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A73866" w14:textId="77777777" w:rsidR="00D916C9" w:rsidRPr="00722D25" w:rsidRDefault="00D916C9" w:rsidP="00D916C9">
      <w:pPr>
        <w:pStyle w:val="Nadpis"/>
        <w:rPr>
          <w:rFonts w:ascii="Century Gothic" w:hAnsi="Century Gothic"/>
        </w:rPr>
      </w:pPr>
      <w:r w:rsidRPr="00722D25">
        <w:rPr>
          <w:rFonts w:ascii="Century Gothic" w:hAnsi="Century Gothic"/>
        </w:rPr>
        <w:t>Atelier T-plan, s.r.o., Sezimova 380/13, Praha 4, 140 00</w:t>
      </w:r>
    </w:p>
    <w:p w14:paraId="0E2B7EB8" w14:textId="77777777" w:rsidR="00D916C9" w:rsidRPr="00FE400B" w:rsidRDefault="00D916C9" w:rsidP="00D916C9">
      <w:pPr>
        <w:suppressAutoHyphens w:val="0"/>
        <w:spacing w:before="120" w:line="288" w:lineRule="auto"/>
        <w:jc w:val="center"/>
        <w:rPr>
          <w:rFonts w:ascii="Arial" w:hAnsi="Arial" w:cs="Arial"/>
          <w:b/>
          <w:bCs/>
          <w:sz w:val="22"/>
        </w:rPr>
      </w:pPr>
    </w:p>
    <w:p w14:paraId="35A90E45" w14:textId="77777777" w:rsidR="00D916C9" w:rsidRPr="00FE400B" w:rsidRDefault="00D916C9" w:rsidP="00D916C9">
      <w:pPr>
        <w:tabs>
          <w:tab w:val="left" w:pos="2520"/>
        </w:tabs>
        <w:suppressAutoHyphens w:val="0"/>
        <w:spacing w:before="120" w:line="288" w:lineRule="auto"/>
        <w:rPr>
          <w:rFonts w:ascii="Arial" w:hAnsi="Arial" w:cs="Arial"/>
          <w:b/>
          <w:i/>
          <w:color w:val="000000" w:themeColor="text1"/>
          <w:sz w:val="22"/>
        </w:rPr>
      </w:pPr>
    </w:p>
    <w:p w14:paraId="43FC846A" w14:textId="77777777" w:rsidR="00D916C9" w:rsidRPr="00FE400B" w:rsidRDefault="00D916C9" w:rsidP="00D916C9">
      <w:pPr>
        <w:tabs>
          <w:tab w:val="left" w:pos="2520"/>
        </w:tabs>
        <w:suppressAutoHyphens w:val="0"/>
        <w:spacing w:before="120" w:line="288" w:lineRule="auto"/>
        <w:rPr>
          <w:rFonts w:ascii="Arial" w:hAnsi="Arial" w:cs="Arial"/>
          <w:b/>
          <w:i/>
          <w:color w:val="000000" w:themeColor="text1"/>
          <w:sz w:val="22"/>
        </w:rPr>
      </w:pPr>
    </w:p>
    <w:p w14:paraId="4970AE79" w14:textId="77777777" w:rsidR="00D916C9" w:rsidRPr="00FE400B" w:rsidRDefault="00D916C9" w:rsidP="00D916C9">
      <w:pPr>
        <w:tabs>
          <w:tab w:val="left" w:pos="2520"/>
        </w:tabs>
        <w:suppressAutoHyphens w:val="0"/>
        <w:spacing w:before="120" w:line="288" w:lineRule="auto"/>
        <w:rPr>
          <w:rFonts w:ascii="Arial" w:hAnsi="Arial" w:cs="Arial"/>
          <w:b/>
          <w:i/>
          <w:color w:val="000000" w:themeColor="text1"/>
          <w:sz w:val="22"/>
        </w:rPr>
      </w:pPr>
    </w:p>
    <w:p w14:paraId="142D672C" w14:textId="77777777" w:rsidR="00470155" w:rsidRPr="00FE400B" w:rsidRDefault="00470155" w:rsidP="00470155">
      <w:pPr>
        <w:tabs>
          <w:tab w:val="left" w:pos="2520"/>
        </w:tabs>
        <w:suppressAutoHyphens w:val="0"/>
        <w:spacing w:before="120" w:line="288" w:lineRule="auto"/>
        <w:rPr>
          <w:rFonts w:ascii="Arial" w:hAnsi="Arial" w:cs="Arial"/>
          <w:b/>
          <w:i/>
          <w:color w:val="000000" w:themeColor="text1"/>
          <w:sz w:val="22"/>
        </w:rPr>
      </w:pPr>
    </w:p>
    <w:tbl>
      <w:tblPr>
        <w:tblW w:w="9923" w:type="dxa"/>
        <w:tblInd w:w="-299" w:type="dxa"/>
        <w:tblLayout w:type="fixed"/>
        <w:tblCellMar>
          <w:left w:w="70" w:type="dxa"/>
          <w:right w:w="70" w:type="dxa"/>
        </w:tblCellMar>
        <w:tblLook w:val="0000" w:firstRow="0" w:lastRow="0" w:firstColumn="0" w:lastColumn="0" w:noHBand="0" w:noVBand="0"/>
      </w:tblPr>
      <w:tblGrid>
        <w:gridCol w:w="9923"/>
      </w:tblGrid>
      <w:tr w:rsidR="00470155" w14:paraId="70D807A9" w14:textId="77777777" w:rsidTr="00D13E0B">
        <w:trPr>
          <w:trHeight w:val="3528"/>
        </w:trPr>
        <w:tc>
          <w:tcPr>
            <w:tcW w:w="9923" w:type="dxa"/>
            <w:tcBorders>
              <w:top w:val="single" w:sz="12" w:space="0" w:color="000000"/>
              <w:left w:val="single" w:sz="12" w:space="0" w:color="000000"/>
              <w:bottom w:val="single" w:sz="12" w:space="0" w:color="000000"/>
              <w:right w:val="single" w:sz="12" w:space="0" w:color="000000"/>
            </w:tcBorders>
            <w:shd w:val="clear" w:color="auto" w:fill="auto"/>
          </w:tcPr>
          <w:p w14:paraId="20BE4121" w14:textId="77777777" w:rsidR="007B2506" w:rsidRDefault="007B2506" w:rsidP="0050677D">
            <w:pPr>
              <w:suppressAutoHyphens w:val="0"/>
              <w:spacing w:before="280" w:after="280" w:line="288" w:lineRule="auto"/>
              <w:jc w:val="center"/>
              <w:rPr>
                <w:rFonts w:ascii="Century Gothic" w:hAnsi="Century Gothic" w:cs="Century Gothic"/>
                <w:b/>
                <w:caps/>
                <w:spacing w:val="100"/>
                <w:sz w:val="36"/>
                <w:szCs w:val="72"/>
              </w:rPr>
            </w:pPr>
          </w:p>
          <w:p w14:paraId="2CDBC6F2" w14:textId="4F72FCD4" w:rsidR="00470155" w:rsidRPr="0071091A" w:rsidRDefault="007B2506" w:rsidP="0050677D">
            <w:pPr>
              <w:suppressAutoHyphens w:val="0"/>
              <w:spacing w:before="280" w:after="280" w:line="288" w:lineRule="auto"/>
              <w:jc w:val="center"/>
              <w:rPr>
                <w:rFonts w:ascii="Century Gothic" w:hAnsi="Century Gothic" w:cs="Century Gothic"/>
                <w:b/>
                <w:caps/>
                <w:spacing w:val="100"/>
                <w:sz w:val="36"/>
                <w:szCs w:val="72"/>
              </w:rPr>
            </w:pPr>
            <w:r>
              <w:rPr>
                <w:rFonts w:ascii="Century Gothic" w:hAnsi="Century Gothic" w:cs="Century Gothic"/>
                <w:b/>
                <w:caps/>
                <w:spacing w:val="100"/>
                <w:sz w:val="36"/>
                <w:szCs w:val="72"/>
              </w:rPr>
              <w:t>ÚPLNÉ ZNĚNÍ ÚZEMNÍHO PLÁNU</w:t>
            </w:r>
            <w:r w:rsidR="00D13E0B">
              <w:rPr>
                <w:rFonts w:ascii="Century Gothic" w:hAnsi="Century Gothic" w:cs="Century Gothic"/>
                <w:b/>
                <w:caps/>
                <w:spacing w:val="100"/>
                <w:sz w:val="36"/>
                <w:szCs w:val="72"/>
              </w:rPr>
              <w:t xml:space="preserve"> MĚSTA</w:t>
            </w:r>
          </w:p>
          <w:p w14:paraId="066C0217" w14:textId="77777777" w:rsidR="00470155" w:rsidRPr="0071091A" w:rsidRDefault="00470155" w:rsidP="0050677D">
            <w:pPr>
              <w:suppressAutoHyphens w:val="0"/>
              <w:spacing w:before="280" w:after="280" w:line="288" w:lineRule="auto"/>
              <w:jc w:val="center"/>
              <w:rPr>
                <w:rFonts w:ascii="Century Gothic" w:hAnsi="Century Gothic" w:cs="Century Gothic"/>
                <w:b/>
                <w:caps/>
                <w:spacing w:val="400"/>
                <w:sz w:val="72"/>
                <w:szCs w:val="100"/>
              </w:rPr>
            </w:pPr>
            <w:r w:rsidRPr="0071091A">
              <w:rPr>
                <w:rFonts w:ascii="Century Gothic" w:hAnsi="Century Gothic" w:cs="Century Gothic"/>
                <w:b/>
                <w:caps/>
                <w:spacing w:val="400"/>
                <w:sz w:val="72"/>
                <w:szCs w:val="100"/>
              </w:rPr>
              <w:t>DĚČÍN</w:t>
            </w:r>
          </w:p>
          <w:p w14:paraId="7898ED77" w14:textId="3971634C" w:rsidR="00470155" w:rsidRPr="0071091A" w:rsidRDefault="0038531E" w:rsidP="0050677D">
            <w:pPr>
              <w:suppressAutoHyphens w:val="0"/>
              <w:spacing w:before="280" w:after="280" w:line="288" w:lineRule="auto"/>
              <w:jc w:val="center"/>
              <w:rPr>
                <w:sz w:val="12"/>
              </w:rPr>
            </w:pPr>
            <w:r>
              <w:rPr>
                <w:rFonts w:ascii="Century Gothic" w:hAnsi="Century Gothic" w:cs="Century Gothic"/>
                <w:caps/>
                <w:spacing w:val="100"/>
                <w:sz w:val="36"/>
                <w:szCs w:val="72"/>
              </w:rPr>
              <w:t xml:space="preserve">PO VYDÁNÍ ZMĚN </w:t>
            </w:r>
            <w:r w:rsidR="00D13E0B">
              <w:rPr>
                <w:rFonts w:ascii="Century Gothic" w:hAnsi="Century Gothic" w:cs="Century Gothic"/>
                <w:caps/>
                <w:spacing w:val="100"/>
                <w:sz w:val="36"/>
                <w:szCs w:val="72"/>
              </w:rPr>
              <w:t xml:space="preserve">Č. </w:t>
            </w:r>
            <w:r>
              <w:rPr>
                <w:rFonts w:ascii="Century Gothic" w:hAnsi="Century Gothic" w:cs="Century Gothic"/>
                <w:caps/>
                <w:spacing w:val="100"/>
                <w:sz w:val="36"/>
                <w:szCs w:val="72"/>
              </w:rPr>
              <w:t xml:space="preserve">1,2,4,6,8 A </w:t>
            </w:r>
            <w:r w:rsidR="007B2506">
              <w:rPr>
                <w:rFonts w:ascii="Century Gothic" w:hAnsi="Century Gothic" w:cs="Century Gothic"/>
                <w:caps/>
                <w:spacing w:val="100"/>
                <w:sz w:val="36"/>
                <w:szCs w:val="72"/>
              </w:rPr>
              <w:t>12</w:t>
            </w:r>
          </w:p>
          <w:p w14:paraId="7216D436" w14:textId="258903B8" w:rsidR="00470155" w:rsidRDefault="00470155" w:rsidP="007B2506">
            <w:pPr>
              <w:spacing w:before="280" w:after="280"/>
              <w:rPr>
                <w:b/>
                <w:bCs/>
                <w:i/>
                <w:sz w:val="28"/>
              </w:rPr>
            </w:pPr>
          </w:p>
        </w:tc>
      </w:tr>
    </w:tbl>
    <w:p w14:paraId="2AAADBE7" w14:textId="77777777" w:rsidR="00470155" w:rsidRPr="00FE400B" w:rsidRDefault="00470155" w:rsidP="00470155">
      <w:pPr>
        <w:suppressAutoHyphens w:val="0"/>
        <w:spacing w:before="120" w:line="288" w:lineRule="auto"/>
        <w:jc w:val="center"/>
        <w:rPr>
          <w:rFonts w:ascii="Arial" w:hAnsi="Arial" w:cs="Arial"/>
          <w:b/>
          <w:bCs/>
          <w:sz w:val="22"/>
        </w:rPr>
      </w:pPr>
    </w:p>
    <w:p w14:paraId="77C2E9FB" w14:textId="77777777" w:rsidR="00470155" w:rsidRPr="00FE400B" w:rsidRDefault="00470155" w:rsidP="00470155">
      <w:pPr>
        <w:suppressAutoHyphens w:val="0"/>
        <w:spacing w:before="120" w:line="288" w:lineRule="auto"/>
        <w:jc w:val="center"/>
        <w:rPr>
          <w:rFonts w:ascii="Arial" w:hAnsi="Arial" w:cs="Arial"/>
          <w:b/>
          <w:bCs/>
          <w:sz w:val="22"/>
        </w:rPr>
      </w:pPr>
    </w:p>
    <w:p w14:paraId="648E3312" w14:textId="77777777" w:rsidR="00D916C9" w:rsidRPr="00FE400B" w:rsidRDefault="00D916C9" w:rsidP="00D916C9">
      <w:pPr>
        <w:suppressAutoHyphens w:val="0"/>
        <w:spacing w:before="120" w:line="288" w:lineRule="auto"/>
        <w:jc w:val="center"/>
        <w:rPr>
          <w:rFonts w:ascii="Arial" w:hAnsi="Arial" w:cs="Arial"/>
          <w:b/>
          <w:bCs/>
          <w:sz w:val="22"/>
        </w:rPr>
      </w:pPr>
    </w:p>
    <w:p w14:paraId="3C06F434" w14:textId="77777777" w:rsidR="00D916C9" w:rsidRPr="00FE400B" w:rsidRDefault="00D916C9" w:rsidP="00D916C9">
      <w:pPr>
        <w:suppressAutoHyphens w:val="0"/>
        <w:spacing w:before="120" w:line="288" w:lineRule="auto"/>
        <w:rPr>
          <w:rFonts w:ascii="Arial" w:hAnsi="Arial" w:cs="Arial"/>
          <w:b/>
          <w:bCs/>
          <w:sz w:val="22"/>
        </w:rPr>
      </w:pPr>
    </w:p>
    <w:p w14:paraId="71D33971" w14:textId="77777777" w:rsidR="00D916C9" w:rsidRDefault="00D916C9" w:rsidP="00D916C9">
      <w:pPr>
        <w:suppressAutoHyphens w:val="0"/>
        <w:spacing w:before="120" w:line="288" w:lineRule="auto"/>
        <w:jc w:val="center"/>
        <w:rPr>
          <w:rFonts w:ascii="Arial" w:hAnsi="Arial" w:cs="Arial"/>
          <w:b/>
          <w:bCs/>
          <w:sz w:val="22"/>
        </w:rPr>
      </w:pPr>
    </w:p>
    <w:p w14:paraId="145EEF4A" w14:textId="77777777" w:rsidR="00470155" w:rsidRPr="00FE400B" w:rsidRDefault="00470155" w:rsidP="00D916C9">
      <w:pPr>
        <w:suppressAutoHyphens w:val="0"/>
        <w:spacing w:before="120" w:line="288" w:lineRule="auto"/>
        <w:jc w:val="center"/>
        <w:rPr>
          <w:rFonts w:ascii="Arial" w:hAnsi="Arial" w:cs="Arial"/>
          <w:b/>
          <w:bCs/>
          <w:sz w:val="22"/>
        </w:rPr>
      </w:pPr>
    </w:p>
    <w:p w14:paraId="4F4F99FD" w14:textId="77777777" w:rsidR="00D916C9" w:rsidRDefault="00D916C9" w:rsidP="00D916C9">
      <w:pPr>
        <w:suppressAutoHyphens w:val="0"/>
        <w:spacing w:before="120" w:line="288" w:lineRule="auto"/>
        <w:jc w:val="center"/>
        <w:rPr>
          <w:rFonts w:ascii="Arial" w:hAnsi="Arial" w:cs="Arial"/>
          <w:b/>
          <w:bCs/>
          <w:sz w:val="22"/>
        </w:rPr>
      </w:pPr>
    </w:p>
    <w:p w14:paraId="3DD562FC" w14:textId="77777777" w:rsidR="007B2506" w:rsidRDefault="007B2506" w:rsidP="00D916C9">
      <w:pPr>
        <w:suppressAutoHyphens w:val="0"/>
        <w:spacing w:before="120" w:line="288" w:lineRule="auto"/>
        <w:jc w:val="center"/>
        <w:rPr>
          <w:rFonts w:ascii="Arial" w:hAnsi="Arial" w:cs="Arial"/>
          <w:b/>
          <w:bCs/>
          <w:sz w:val="22"/>
        </w:rPr>
      </w:pPr>
    </w:p>
    <w:p w14:paraId="3E4328C6" w14:textId="77777777" w:rsidR="007B2506" w:rsidRDefault="007B2506" w:rsidP="00D916C9">
      <w:pPr>
        <w:suppressAutoHyphens w:val="0"/>
        <w:spacing w:before="120" w:line="288" w:lineRule="auto"/>
        <w:jc w:val="center"/>
        <w:rPr>
          <w:rFonts w:ascii="Arial" w:hAnsi="Arial" w:cs="Arial"/>
          <w:b/>
          <w:bCs/>
          <w:sz w:val="22"/>
        </w:rPr>
      </w:pPr>
    </w:p>
    <w:p w14:paraId="31801BDB" w14:textId="77777777" w:rsidR="007B2506" w:rsidRDefault="007B2506" w:rsidP="00D916C9">
      <w:pPr>
        <w:suppressAutoHyphens w:val="0"/>
        <w:spacing w:before="120" w:line="288" w:lineRule="auto"/>
        <w:jc w:val="center"/>
        <w:rPr>
          <w:rFonts w:ascii="Arial" w:hAnsi="Arial" w:cs="Arial"/>
          <w:b/>
          <w:bCs/>
          <w:sz w:val="22"/>
        </w:rPr>
      </w:pPr>
    </w:p>
    <w:p w14:paraId="583A90FE" w14:textId="77777777" w:rsidR="007B2506" w:rsidRPr="00FE400B" w:rsidRDefault="007B2506" w:rsidP="00D916C9">
      <w:pPr>
        <w:suppressAutoHyphens w:val="0"/>
        <w:spacing w:before="120" w:line="288" w:lineRule="auto"/>
        <w:jc w:val="center"/>
        <w:rPr>
          <w:rFonts w:ascii="Arial" w:hAnsi="Arial" w:cs="Arial"/>
          <w:b/>
          <w:bCs/>
          <w:sz w:val="22"/>
        </w:rPr>
      </w:pPr>
    </w:p>
    <w:p w14:paraId="3BD35527" w14:textId="77777777" w:rsidR="00D916C9" w:rsidRPr="00FE400B" w:rsidRDefault="00D916C9" w:rsidP="00D916C9">
      <w:pPr>
        <w:suppressAutoHyphens w:val="0"/>
        <w:spacing w:before="120" w:line="288" w:lineRule="auto"/>
        <w:jc w:val="center"/>
        <w:rPr>
          <w:rFonts w:ascii="Arial" w:hAnsi="Arial" w:cs="Arial"/>
          <w:b/>
          <w:bCs/>
          <w:sz w:val="22"/>
        </w:rPr>
      </w:pPr>
      <w:r w:rsidRPr="00FE400B">
        <w:rPr>
          <w:rFonts w:ascii="Arial" w:hAnsi="Arial" w:cs="Arial"/>
          <w:b/>
          <w:bCs/>
          <w:noProof/>
          <w:sz w:val="22"/>
          <w:lang w:eastAsia="cs-CZ"/>
        </w:rPr>
        <w:drawing>
          <wp:anchor distT="0" distB="0" distL="114935" distR="114935" simplePos="0" relativeHeight="251659264" behindDoc="0" locked="0" layoutInCell="1" allowOverlap="1" wp14:anchorId="10A58EDF" wp14:editId="3A66C652">
            <wp:simplePos x="0" y="0"/>
            <wp:positionH relativeFrom="margin">
              <wp:align>center</wp:align>
            </wp:positionH>
            <wp:positionV relativeFrom="paragraph">
              <wp:posOffset>80645</wp:posOffset>
            </wp:positionV>
            <wp:extent cx="1305560" cy="823595"/>
            <wp:effectExtent l="0" t="0" r="8890" b="0"/>
            <wp:wrapSquare wrapText="bothSides"/>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l="671" t="-95" r="-53" b="-95"/>
                    <a:stretch>
                      <a:fillRect/>
                    </a:stretch>
                  </pic:blipFill>
                  <pic:spPr bwMode="auto">
                    <a:xfrm>
                      <a:off x="0" y="0"/>
                      <a:ext cx="1305560" cy="82359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357695A1" w14:textId="77777777" w:rsidR="00D916C9" w:rsidRPr="00FE400B" w:rsidRDefault="00D916C9" w:rsidP="00D916C9">
      <w:pPr>
        <w:suppressAutoHyphens w:val="0"/>
        <w:spacing w:before="120" w:line="288" w:lineRule="auto"/>
        <w:jc w:val="center"/>
        <w:rPr>
          <w:rFonts w:ascii="Arial" w:hAnsi="Arial" w:cs="Arial"/>
          <w:b/>
          <w:bCs/>
          <w:sz w:val="22"/>
        </w:rPr>
      </w:pPr>
    </w:p>
    <w:p w14:paraId="215720E0" w14:textId="77777777" w:rsidR="00D916C9" w:rsidRPr="00FE400B" w:rsidRDefault="00D916C9" w:rsidP="00D916C9">
      <w:pPr>
        <w:suppressAutoHyphens w:val="0"/>
        <w:spacing w:before="120" w:line="288" w:lineRule="auto"/>
        <w:jc w:val="center"/>
        <w:rPr>
          <w:rFonts w:ascii="Arial" w:hAnsi="Arial" w:cs="Arial"/>
          <w:b/>
          <w:bCs/>
          <w:sz w:val="22"/>
        </w:rPr>
      </w:pPr>
    </w:p>
    <w:p w14:paraId="2694ED9F" w14:textId="77777777" w:rsidR="00D916C9" w:rsidRPr="00FE400B" w:rsidRDefault="00D916C9" w:rsidP="00D916C9">
      <w:pPr>
        <w:suppressAutoHyphens w:val="0"/>
        <w:spacing w:before="120" w:line="288" w:lineRule="auto"/>
        <w:jc w:val="center"/>
        <w:rPr>
          <w:rFonts w:ascii="Arial" w:hAnsi="Arial" w:cs="Arial"/>
          <w:b/>
          <w:bCs/>
          <w:sz w:val="22"/>
        </w:rPr>
      </w:pPr>
    </w:p>
    <w:p w14:paraId="3A6CA1BD" w14:textId="112FEB95" w:rsidR="00EC7039" w:rsidRPr="00D916C9" w:rsidRDefault="00F27535" w:rsidP="00D916C9">
      <w:pPr>
        <w:jc w:val="center"/>
        <w:rPr>
          <w:rFonts w:ascii="Arial" w:hAnsi="Arial" w:cs="Arial"/>
        </w:rPr>
      </w:pPr>
      <w:r>
        <w:rPr>
          <w:rFonts w:ascii="Arial" w:hAnsi="Arial" w:cs="Arial"/>
        </w:rPr>
        <w:t>2025</w:t>
      </w:r>
      <w:bookmarkStart w:id="0" w:name="_GoBack"/>
      <w:bookmarkEnd w:id="0"/>
    </w:p>
    <w:p w14:paraId="7485933E" w14:textId="77777777" w:rsidR="00D916C9" w:rsidRDefault="00D916C9" w:rsidP="00D916C9">
      <w:pPr>
        <w:jc w:val="center"/>
        <w:rPr>
          <w:rFonts w:ascii="Century Gothic" w:hAnsi="Century Gothic" w:cs="Century Gothic"/>
        </w:rPr>
      </w:pPr>
    </w:p>
    <w:p w14:paraId="436EAB95" w14:textId="77777777" w:rsidR="00D916C9" w:rsidRDefault="00D916C9" w:rsidP="00D916C9">
      <w:pPr>
        <w:jc w:val="center"/>
        <w:rPr>
          <w:rFonts w:ascii="Century Gothic" w:hAnsi="Century Gothic" w:cs="Century Gothic"/>
        </w:rPr>
      </w:pPr>
    </w:p>
    <w:p w14:paraId="07B948ED" w14:textId="77777777" w:rsidR="00D916C9" w:rsidRDefault="00D916C9" w:rsidP="00D916C9">
      <w:pPr>
        <w:jc w:val="center"/>
        <w:rPr>
          <w:rFonts w:ascii="Century Gothic" w:hAnsi="Century Gothic" w:cs="Century Gothic"/>
        </w:rPr>
      </w:pPr>
    </w:p>
    <w:p w14:paraId="6A2F5EBF" w14:textId="77777777" w:rsidR="00D916C9" w:rsidRDefault="00D916C9" w:rsidP="00D916C9">
      <w:pPr>
        <w:jc w:val="center"/>
        <w:rPr>
          <w:rFonts w:ascii="Century Gothic" w:hAnsi="Century Gothic" w:cs="Century Gothic"/>
        </w:rPr>
      </w:pPr>
    </w:p>
    <w:p w14:paraId="3652BD7F" w14:textId="77777777" w:rsidR="00D916C9" w:rsidRDefault="00D916C9" w:rsidP="00D916C9">
      <w:pPr>
        <w:jc w:val="center"/>
        <w:rPr>
          <w:rFonts w:ascii="Century Gothic" w:hAnsi="Century Gothic" w:cs="Century Gothic"/>
        </w:rPr>
      </w:pPr>
    </w:p>
    <w:p w14:paraId="1F3C917F" w14:textId="77777777" w:rsidR="00D916C9" w:rsidRDefault="00D916C9" w:rsidP="00D916C9">
      <w:pPr>
        <w:jc w:val="center"/>
        <w:rPr>
          <w:rFonts w:ascii="Century Gothic" w:hAnsi="Century Gothic" w:cs="Century Gothic"/>
        </w:rPr>
      </w:pPr>
    </w:p>
    <w:p w14:paraId="71A67F3D" w14:textId="77777777" w:rsidR="00D916C9" w:rsidRDefault="00D916C9" w:rsidP="00D916C9">
      <w:pPr>
        <w:jc w:val="center"/>
        <w:rPr>
          <w:rFonts w:ascii="Century Gothic" w:hAnsi="Century Gothic" w:cs="Century Gothic"/>
        </w:rPr>
      </w:pPr>
    </w:p>
    <w:p w14:paraId="1B6C39A7" w14:textId="77777777" w:rsidR="00D916C9" w:rsidRDefault="00D916C9" w:rsidP="00D916C9">
      <w:pPr>
        <w:jc w:val="center"/>
        <w:rPr>
          <w:rFonts w:ascii="Century Gothic" w:hAnsi="Century Gothic" w:cs="Century Gothic"/>
        </w:rPr>
      </w:pPr>
    </w:p>
    <w:p w14:paraId="21EC8420" w14:textId="77777777" w:rsidR="00D916C9" w:rsidRDefault="00D916C9" w:rsidP="00D916C9">
      <w:pPr>
        <w:jc w:val="center"/>
        <w:rPr>
          <w:rFonts w:ascii="Century Gothic" w:hAnsi="Century Gothic" w:cs="Century Gothic"/>
        </w:rPr>
      </w:pPr>
    </w:p>
    <w:p w14:paraId="09958BE8" w14:textId="77777777" w:rsidR="00D916C9" w:rsidRDefault="00D916C9" w:rsidP="00D916C9">
      <w:pPr>
        <w:jc w:val="center"/>
        <w:rPr>
          <w:rFonts w:ascii="Century Gothic" w:hAnsi="Century Gothic" w:cs="Century Gothic"/>
        </w:rPr>
      </w:pPr>
    </w:p>
    <w:p w14:paraId="4924F34F" w14:textId="77777777" w:rsidR="00D916C9" w:rsidRDefault="00D916C9" w:rsidP="00D916C9">
      <w:pPr>
        <w:jc w:val="center"/>
        <w:rPr>
          <w:rFonts w:ascii="Century Gothic" w:hAnsi="Century Gothic" w:cs="Century Gothic"/>
        </w:rPr>
      </w:pPr>
    </w:p>
    <w:p w14:paraId="29970819" w14:textId="77777777" w:rsidR="00D916C9" w:rsidRDefault="00D916C9" w:rsidP="00D916C9">
      <w:pPr>
        <w:jc w:val="center"/>
        <w:rPr>
          <w:rFonts w:ascii="Century Gothic" w:hAnsi="Century Gothic" w:cs="Century Gothic"/>
        </w:rPr>
      </w:pPr>
    </w:p>
    <w:p w14:paraId="221E7E3A" w14:textId="77777777" w:rsidR="00D916C9" w:rsidRDefault="00D916C9" w:rsidP="00D916C9">
      <w:pPr>
        <w:jc w:val="center"/>
        <w:rPr>
          <w:rFonts w:ascii="Century Gothic" w:hAnsi="Century Gothic" w:cs="Century Gothic"/>
        </w:rPr>
      </w:pPr>
    </w:p>
    <w:p w14:paraId="06DD3411" w14:textId="77777777" w:rsidR="00D916C9" w:rsidRDefault="00D916C9" w:rsidP="00D916C9">
      <w:pPr>
        <w:jc w:val="center"/>
        <w:rPr>
          <w:rFonts w:ascii="Century Gothic" w:hAnsi="Century Gothic" w:cs="Century Gothic"/>
        </w:rPr>
      </w:pPr>
    </w:p>
    <w:p w14:paraId="6F231E1B" w14:textId="77777777" w:rsidR="00D916C9" w:rsidRDefault="00D916C9" w:rsidP="00D916C9">
      <w:pPr>
        <w:jc w:val="center"/>
        <w:rPr>
          <w:rFonts w:ascii="Century Gothic" w:hAnsi="Century Gothic" w:cs="Century Gothic"/>
        </w:rPr>
      </w:pPr>
    </w:p>
    <w:p w14:paraId="3146D8E9" w14:textId="77777777" w:rsidR="00D916C9" w:rsidRDefault="00D916C9" w:rsidP="00D916C9">
      <w:pPr>
        <w:jc w:val="center"/>
        <w:rPr>
          <w:rFonts w:ascii="Century Gothic" w:hAnsi="Century Gothic" w:cs="Century Gothic"/>
        </w:rPr>
      </w:pPr>
    </w:p>
    <w:p w14:paraId="05FC3A17" w14:textId="77777777" w:rsidR="00D916C9" w:rsidRDefault="00D916C9" w:rsidP="00D916C9">
      <w:pPr>
        <w:jc w:val="center"/>
        <w:rPr>
          <w:rFonts w:ascii="Century Gothic" w:hAnsi="Century Gothic" w:cs="Century Gothic"/>
        </w:rPr>
      </w:pPr>
    </w:p>
    <w:p w14:paraId="384D36DC" w14:textId="77777777" w:rsidR="00D916C9" w:rsidRDefault="00D916C9" w:rsidP="00D916C9">
      <w:pPr>
        <w:jc w:val="center"/>
        <w:rPr>
          <w:rFonts w:ascii="Century Gothic" w:hAnsi="Century Gothic" w:cs="Century Gothic"/>
        </w:rPr>
      </w:pPr>
    </w:p>
    <w:p w14:paraId="053E59BC" w14:textId="77777777" w:rsidR="00D916C9" w:rsidRDefault="00D916C9" w:rsidP="00D916C9">
      <w:pPr>
        <w:jc w:val="center"/>
        <w:rPr>
          <w:rFonts w:ascii="Century Gothic" w:hAnsi="Century Gothic" w:cs="Century Gothic"/>
        </w:rPr>
      </w:pPr>
    </w:p>
    <w:p w14:paraId="44054389" w14:textId="77777777" w:rsidR="00D916C9" w:rsidRDefault="00D916C9" w:rsidP="00D916C9">
      <w:pPr>
        <w:jc w:val="center"/>
        <w:rPr>
          <w:rFonts w:ascii="Century Gothic" w:hAnsi="Century Gothic" w:cs="Century Gothic"/>
        </w:rPr>
      </w:pPr>
    </w:p>
    <w:p w14:paraId="18FCA821" w14:textId="77777777" w:rsidR="00D916C9" w:rsidRDefault="00D916C9" w:rsidP="00D916C9">
      <w:pPr>
        <w:jc w:val="center"/>
        <w:rPr>
          <w:rFonts w:ascii="Century Gothic" w:hAnsi="Century Gothic" w:cs="Century Gothic"/>
        </w:rPr>
      </w:pPr>
    </w:p>
    <w:p w14:paraId="2FCAA6CC" w14:textId="77777777" w:rsidR="00D916C9" w:rsidRDefault="00D916C9" w:rsidP="00D916C9">
      <w:pPr>
        <w:jc w:val="center"/>
        <w:rPr>
          <w:rFonts w:ascii="Century Gothic" w:hAnsi="Century Gothic" w:cs="Century Gothic"/>
        </w:rPr>
      </w:pPr>
    </w:p>
    <w:p w14:paraId="0C6DAB6A" w14:textId="77777777" w:rsidR="00D916C9" w:rsidRDefault="00D916C9" w:rsidP="00D916C9">
      <w:pPr>
        <w:jc w:val="center"/>
        <w:rPr>
          <w:rFonts w:ascii="Century Gothic" w:hAnsi="Century Gothic" w:cs="Century Gothic"/>
        </w:rPr>
      </w:pPr>
    </w:p>
    <w:p w14:paraId="6655CA09" w14:textId="77777777" w:rsidR="00D916C9" w:rsidRDefault="00D916C9" w:rsidP="00D916C9">
      <w:pPr>
        <w:jc w:val="center"/>
        <w:rPr>
          <w:rFonts w:ascii="Century Gothic" w:hAnsi="Century Gothic" w:cs="Century Gothic"/>
        </w:rPr>
      </w:pPr>
    </w:p>
    <w:p w14:paraId="0434B4E2" w14:textId="77777777" w:rsidR="00D916C9" w:rsidRDefault="00D916C9" w:rsidP="00D916C9">
      <w:pPr>
        <w:jc w:val="center"/>
        <w:rPr>
          <w:rFonts w:ascii="Century Gothic" w:hAnsi="Century Gothic" w:cs="Century Gothic"/>
        </w:rPr>
      </w:pPr>
    </w:p>
    <w:p w14:paraId="750BEE02" w14:textId="77777777" w:rsidR="00D916C9" w:rsidRDefault="00D916C9" w:rsidP="00D916C9">
      <w:pPr>
        <w:jc w:val="center"/>
        <w:rPr>
          <w:rFonts w:ascii="Century Gothic" w:hAnsi="Century Gothic" w:cs="Century Gothic"/>
        </w:rPr>
      </w:pPr>
    </w:p>
    <w:p w14:paraId="65B6AD7F" w14:textId="77777777" w:rsidR="00D916C9" w:rsidRDefault="00D916C9" w:rsidP="00D916C9">
      <w:pPr>
        <w:jc w:val="center"/>
        <w:rPr>
          <w:rFonts w:ascii="Century Gothic" w:hAnsi="Century Gothic" w:cs="Century Gothic"/>
        </w:rPr>
      </w:pPr>
    </w:p>
    <w:p w14:paraId="2C2ADB32" w14:textId="77777777" w:rsidR="00D916C9" w:rsidRDefault="00D916C9" w:rsidP="00D916C9">
      <w:pPr>
        <w:jc w:val="center"/>
        <w:rPr>
          <w:rFonts w:ascii="Century Gothic" w:hAnsi="Century Gothic" w:cs="Century Gothic"/>
        </w:rPr>
      </w:pPr>
    </w:p>
    <w:p w14:paraId="0327E2E3" w14:textId="77777777" w:rsidR="00D916C9" w:rsidRDefault="00D916C9" w:rsidP="00D916C9">
      <w:pPr>
        <w:jc w:val="center"/>
        <w:rPr>
          <w:rFonts w:ascii="Century Gothic" w:hAnsi="Century Gothic" w:cs="Century Gothic"/>
        </w:rPr>
      </w:pPr>
    </w:p>
    <w:p w14:paraId="2C37CA26" w14:textId="77777777" w:rsidR="00D916C9" w:rsidRDefault="00D916C9" w:rsidP="00D916C9">
      <w:pPr>
        <w:jc w:val="center"/>
        <w:rPr>
          <w:rFonts w:ascii="Century Gothic" w:hAnsi="Century Gothic" w:cs="Century Gothic"/>
        </w:rPr>
      </w:pPr>
    </w:p>
    <w:p w14:paraId="7352E9AC" w14:textId="77777777" w:rsidR="00D916C9" w:rsidRDefault="00D916C9" w:rsidP="00D916C9">
      <w:pPr>
        <w:jc w:val="center"/>
        <w:rPr>
          <w:rFonts w:ascii="Century Gothic" w:hAnsi="Century Gothic" w:cs="Century Gothic"/>
        </w:rPr>
      </w:pPr>
    </w:p>
    <w:p w14:paraId="4EDB6278" w14:textId="77777777" w:rsidR="00D916C9" w:rsidRDefault="00D916C9" w:rsidP="00D916C9">
      <w:pPr>
        <w:jc w:val="center"/>
        <w:rPr>
          <w:rFonts w:ascii="Century Gothic" w:hAnsi="Century Gothic" w:cs="Century Gothic"/>
        </w:rPr>
      </w:pPr>
    </w:p>
    <w:p w14:paraId="515D8084" w14:textId="77777777" w:rsidR="00D916C9" w:rsidRDefault="00D916C9" w:rsidP="00D916C9">
      <w:pPr>
        <w:jc w:val="center"/>
        <w:rPr>
          <w:rFonts w:ascii="Century Gothic" w:hAnsi="Century Gothic" w:cs="Century Gothic"/>
        </w:rPr>
      </w:pPr>
    </w:p>
    <w:p w14:paraId="0B182983" w14:textId="77777777" w:rsidR="00D916C9" w:rsidRDefault="00D916C9" w:rsidP="00D916C9">
      <w:pPr>
        <w:jc w:val="center"/>
        <w:rPr>
          <w:rFonts w:ascii="Century Gothic" w:hAnsi="Century Gothic" w:cs="Century Gothic"/>
        </w:rPr>
      </w:pPr>
    </w:p>
    <w:p w14:paraId="38FD4D19" w14:textId="77777777" w:rsidR="00D916C9" w:rsidRDefault="00D916C9" w:rsidP="00D916C9">
      <w:pPr>
        <w:jc w:val="center"/>
        <w:rPr>
          <w:rFonts w:ascii="Century Gothic" w:hAnsi="Century Gothic" w:cs="Century Gothic"/>
        </w:rPr>
      </w:pPr>
    </w:p>
    <w:p w14:paraId="68838EFF" w14:textId="77777777" w:rsidR="00D916C9" w:rsidRDefault="00D916C9" w:rsidP="00D916C9">
      <w:pPr>
        <w:jc w:val="center"/>
        <w:rPr>
          <w:rFonts w:ascii="Century Gothic" w:hAnsi="Century Gothic" w:cs="Century Gothic"/>
        </w:rPr>
      </w:pPr>
    </w:p>
    <w:p w14:paraId="1A11C174" w14:textId="77777777" w:rsidR="00D916C9" w:rsidRDefault="00D916C9" w:rsidP="00D916C9">
      <w:pPr>
        <w:jc w:val="center"/>
        <w:rPr>
          <w:rFonts w:ascii="Century Gothic" w:hAnsi="Century Gothic" w:cs="Century Gothic"/>
        </w:rPr>
      </w:pPr>
    </w:p>
    <w:p w14:paraId="36373970" w14:textId="77777777" w:rsidR="00D916C9" w:rsidRDefault="00D916C9" w:rsidP="00D916C9">
      <w:pPr>
        <w:jc w:val="center"/>
        <w:rPr>
          <w:rFonts w:ascii="Century Gothic" w:hAnsi="Century Gothic" w:cs="Century Gothic"/>
        </w:rPr>
      </w:pPr>
    </w:p>
    <w:p w14:paraId="7FA33D4C" w14:textId="77777777" w:rsidR="00D916C9" w:rsidRDefault="00D916C9" w:rsidP="00D916C9">
      <w:pPr>
        <w:jc w:val="center"/>
        <w:rPr>
          <w:rFonts w:ascii="Century Gothic" w:hAnsi="Century Gothic" w:cs="Century Gothic"/>
        </w:rPr>
      </w:pPr>
    </w:p>
    <w:p w14:paraId="347394FB" w14:textId="77777777" w:rsidR="00D916C9" w:rsidRDefault="00D916C9" w:rsidP="00D916C9">
      <w:pPr>
        <w:jc w:val="center"/>
        <w:rPr>
          <w:rFonts w:ascii="Century Gothic" w:hAnsi="Century Gothic" w:cs="Century Gothic"/>
        </w:rPr>
      </w:pPr>
    </w:p>
    <w:p w14:paraId="51272B23" w14:textId="77777777" w:rsidR="00D916C9" w:rsidRDefault="00D916C9" w:rsidP="00D916C9">
      <w:pPr>
        <w:jc w:val="center"/>
        <w:rPr>
          <w:rFonts w:ascii="Century Gothic" w:hAnsi="Century Gothic" w:cs="Century Gothic"/>
        </w:rPr>
      </w:pPr>
    </w:p>
    <w:p w14:paraId="66AEC244" w14:textId="77777777" w:rsidR="00D916C9" w:rsidRDefault="00D916C9" w:rsidP="00D916C9">
      <w:pPr>
        <w:jc w:val="center"/>
        <w:rPr>
          <w:rFonts w:ascii="Century Gothic" w:hAnsi="Century Gothic" w:cs="Century Gothic"/>
        </w:rPr>
      </w:pPr>
    </w:p>
    <w:p w14:paraId="595FA1C3" w14:textId="77777777" w:rsidR="00D916C9" w:rsidRDefault="00D916C9" w:rsidP="00D916C9">
      <w:pPr>
        <w:jc w:val="center"/>
        <w:rPr>
          <w:rFonts w:ascii="Century Gothic" w:hAnsi="Century Gothic" w:cs="Century Gothic"/>
        </w:rPr>
      </w:pPr>
    </w:p>
    <w:p w14:paraId="44CDA7BB" w14:textId="77777777" w:rsidR="00D916C9" w:rsidRDefault="00D916C9" w:rsidP="00D916C9">
      <w:pPr>
        <w:jc w:val="center"/>
        <w:rPr>
          <w:rFonts w:ascii="Century Gothic" w:hAnsi="Century Gothic" w:cs="Century Gothic"/>
        </w:rPr>
      </w:pPr>
    </w:p>
    <w:p w14:paraId="20A88E5F" w14:textId="77777777" w:rsidR="00D916C9" w:rsidRDefault="00D916C9" w:rsidP="00D916C9">
      <w:pPr>
        <w:jc w:val="center"/>
        <w:rPr>
          <w:rFonts w:ascii="Century Gothic" w:hAnsi="Century Gothic" w:cs="Century Gothic"/>
        </w:rPr>
      </w:pPr>
    </w:p>
    <w:p w14:paraId="7D6A9964" w14:textId="77777777" w:rsidR="00D916C9" w:rsidRDefault="00D916C9" w:rsidP="00D916C9">
      <w:pPr>
        <w:jc w:val="center"/>
        <w:rPr>
          <w:rFonts w:ascii="Century Gothic" w:hAnsi="Century Gothic" w:cs="Century Gothic"/>
        </w:rPr>
      </w:pPr>
    </w:p>
    <w:p w14:paraId="7D8B8B15" w14:textId="77777777" w:rsidR="00D916C9" w:rsidRDefault="00D916C9" w:rsidP="00D916C9">
      <w:pPr>
        <w:jc w:val="center"/>
        <w:rPr>
          <w:rFonts w:ascii="Century Gothic" w:hAnsi="Century Gothic" w:cs="Century Gothic"/>
        </w:rPr>
      </w:pPr>
    </w:p>
    <w:p w14:paraId="6D63AB46" w14:textId="77777777" w:rsidR="00D916C9" w:rsidRDefault="00D916C9" w:rsidP="00D916C9">
      <w:pPr>
        <w:jc w:val="center"/>
        <w:rPr>
          <w:rFonts w:ascii="Century Gothic" w:hAnsi="Century Gothic" w:cs="Century Gothic"/>
        </w:rPr>
      </w:pPr>
    </w:p>
    <w:tbl>
      <w:tblPr>
        <w:tblW w:w="9221" w:type="dxa"/>
        <w:tblInd w:w="-5" w:type="dxa"/>
        <w:tblLayout w:type="fixed"/>
        <w:tblCellMar>
          <w:left w:w="70" w:type="dxa"/>
          <w:right w:w="70" w:type="dxa"/>
        </w:tblCellMar>
        <w:tblLook w:val="0000" w:firstRow="0" w:lastRow="0" w:firstColumn="0" w:lastColumn="0" w:noHBand="0" w:noVBand="0"/>
      </w:tblPr>
      <w:tblGrid>
        <w:gridCol w:w="4605"/>
        <w:gridCol w:w="4616"/>
      </w:tblGrid>
      <w:tr w:rsidR="00D916C9" w:rsidRPr="00D916C9" w14:paraId="7957ABA7" w14:textId="77777777" w:rsidTr="00D13E0B">
        <w:trPr>
          <w:cantSplit/>
          <w:trHeight w:val="853"/>
        </w:trPr>
        <w:tc>
          <w:tcPr>
            <w:tcW w:w="922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3AE8601" w14:textId="77777777" w:rsidR="00D916C9" w:rsidRPr="00D13E0B" w:rsidRDefault="00D916C9" w:rsidP="00CA23D0">
            <w:pPr>
              <w:pStyle w:val="Nadpis4"/>
              <w:suppressAutoHyphens w:val="0"/>
              <w:spacing w:before="0" w:after="0" w:line="288" w:lineRule="auto"/>
              <w:jc w:val="center"/>
              <w:rPr>
                <w:color w:val="000000" w:themeColor="text1"/>
                <w:sz w:val="28"/>
              </w:rPr>
            </w:pPr>
            <w:r w:rsidRPr="00D13E0B">
              <w:rPr>
                <w:color w:val="000000" w:themeColor="text1"/>
                <w:sz w:val="28"/>
              </w:rPr>
              <w:t>Záznam o účinnosti</w:t>
            </w:r>
          </w:p>
        </w:tc>
      </w:tr>
      <w:tr w:rsidR="00D916C9" w:rsidRPr="00D916C9" w14:paraId="49B59BB9" w14:textId="77777777" w:rsidTr="00D13E0B">
        <w:tc>
          <w:tcPr>
            <w:tcW w:w="4605" w:type="dxa"/>
            <w:tcBorders>
              <w:top w:val="single" w:sz="4" w:space="0" w:color="000000"/>
              <w:left w:val="single" w:sz="4" w:space="0" w:color="000000"/>
              <w:bottom w:val="single" w:sz="4" w:space="0" w:color="000000"/>
            </w:tcBorders>
            <w:shd w:val="clear" w:color="auto" w:fill="auto"/>
          </w:tcPr>
          <w:p w14:paraId="336116F6" w14:textId="2D08AA03" w:rsidR="00D916C9" w:rsidRPr="00D13E0B" w:rsidRDefault="00744AC8" w:rsidP="00D916C9">
            <w:pPr>
              <w:pStyle w:val="Zkladntext"/>
              <w:suppressAutoHyphens w:val="0"/>
              <w:spacing w:before="240"/>
              <w:rPr>
                <w:rFonts w:ascii="Arial" w:hAnsi="Arial" w:cs="Arial"/>
                <w:b/>
                <w:color w:val="000000" w:themeColor="text1"/>
                <w:sz w:val="20"/>
                <w:szCs w:val="20"/>
              </w:rPr>
            </w:pPr>
            <w:r w:rsidRPr="00D13E0B">
              <w:rPr>
                <w:rFonts w:ascii="Arial" w:hAnsi="Arial" w:cs="Arial"/>
                <w:b/>
                <w:sz w:val="20"/>
                <w:szCs w:val="20"/>
              </w:rPr>
              <w:t xml:space="preserve">Správní orgán, který 12. změnu Územního plánu města Děčín, Silnice I/13 Děčín – Ludvíkovice (Folknářská spojka) vydal: </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14:paraId="2EBAA76C" w14:textId="4EA83407" w:rsidR="00D916C9" w:rsidRPr="00D13E0B" w:rsidRDefault="00D916C9" w:rsidP="00FD5FDF">
            <w:pPr>
              <w:pStyle w:val="Zkladntext"/>
              <w:suppressAutoHyphens w:val="0"/>
              <w:spacing w:before="240"/>
              <w:rPr>
                <w:rFonts w:ascii="Arial" w:hAnsi="Arial" w:cs="Arial"/>
                <w:b/>
                <w:color w:val="000000" w:themeColor="text1"/>
                <w:sz w:val="20"/>
                <w:szCs w:val="20"/>
              </w:rPr>
            </w:pPr>
            <w:r w:rsidRPr="00D13E0B">
              <w:rPr>
                <w:rFonts w:ascii="Arial" w:hAnsi="Arial" w:cs="Arial"/>
                <w:b/>
                <w:color w:val="000000" w:themeColor="text1"/>
                <w:sz w:val="20"/>
                <w:szCs w:val="20"/>
              </w:rPr>
              <w:t>Zastupitelstvo</w:t>
            </w:r>
            <w:r w:rsidR="00744AC8" w:rsidRPr="00D13E0B">
              <w:rPr>
                <w:rFonts w:ascii="Arial" w:hAnsi="Arial" w:cs="Arial"/>
                <w:b/>
                <w:color w:val="000000" w:themeColor="text1"/>
                <w:sz w:val="20"/>
                <w:szCs w:val="20"/>
              </w:rPr>
              <w:t xml:space="preserve"> </w:t>
            </w:r>
            <w:r w:rsidRPr="00D13E0B">
              <w:rPr>
                <w:rFonts w:ascii="Arial" w:hAnsi="Arial" w:cs="Arial"/>
                <w:b/>
                <w:color w:val="000000" w:themeColor="text1"/>
                <w:sz w:val="20"/>
                <w:szCs w:val="20"/>
              </w:rPr>
              <w:t>města Děčín</w:t>
            </w:r>
          </w:p>
        </w:tc>
      </w:tr>
      <w:tr w:rsidR="00D13E0B" w:rsidRPr="00D916C9" w14:paraId="4242C38D" w14:textId="77777777" w:rsidTr="00D13E0B">
        <w:tc>
          <w:tcPr>
            <w:tcW w:w="4605" w:type="dxa"/>
            <w:tcBorders>
              <w:top w:val="single" w:sz="4" w:space="0" w:color="000000"/>
              <w:left w:val="single" w:sz="4" w:space="0" w:color="000000"/>
              <w:bottom w:val="single" w:sz="4" w:space="0" w:color="000000"/>
            </w:tcBorders>
            <w:shd w:val="clear" w:color="auto" w:fill="auto"/>
          </w:tcPr>
          <w:p w14:paraId="1557DEFD" w14:textId="434D6A3C" w:rsidR="00D13E0B" w:rsidRPr="00D13E0B" w:rsidRDefault="00D13E0B" w:rsidP="00D916C9">
            <w:pPr>
              <w:pStyle w:val="Zkladntext"/>
              <w:suppressAutoHyphens w:val="0"/>
              <w:spacing w:before="240"/>
              <w:rPr>
                <w:rFonts w:ascii="Arial" w:hAnsi="Arial" w:cs="Arial"/>
                <w:sz w:val="20"/>
                <w:szCs w:val="20"/>
              </w:rPr>
            </w:pPr>
            <w:r w:rsidRPr="00D13E0B">
              <w:rPr>
                <w:rFonts w:ascii="Arial" w:hAnsi="Arial" w:cs="Arial"/>
                <w:sz w:val="20"/>
                <w:szCs w:val="20"/>
              </w:rPr>
              <w:t xml:space="preserve">Pořadové číslo poslední změny: </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14:paraId="67124089" w14:textId="0BF152F9" w:rsidR="00D13E0B" w:rsidRPr="00D13E0B" w:rsidRDefault="00D13E0B" w:rsidP="00D916C9">
            <w:pPr>
              <w:pStyle w:val="Zkladntext"/>
              <w:suppressAutoHyphens w:val="0"/>
              <w:snapToGrid w:val="0"/>
              <w:spacing w:before="240"/>
              <w:rPr>
                <w:rFonts w:ascii="Arial" w:hAnsi="Arial" w:cs="Arial"/>
                <w:color w:val="000000" w:themeColor="text1"/>
                <w:sz w:val="20"/>
                <w:szCs w:val="20"/>
              </w:rPr>
            </w:pPr>
            <w:r w:rsidRPr="00D13E0B">
              <w:rPr>
                <w:rFonts w:ascii="Arial" w:hAnsi="Arial" w:cs="Arial"/>
                <w:color w:val="000000" w:themeColor="text1"/>
                <w:sz w:val="20"/>
                <w:szCs w:val="20"/>
              </w:rPr>
              <w:t>12</w:t>
            </w:r>
          </w:p>
        </w:tc>
      </w:tr>
      <w:tr w:rsidR="00D916C9" w:rsidRPr="00D916C9" w14:paraId="71681BE6" w14:textId="77777777" w:rsidTr="00D13E0B">
        <w:tc>
          <w:tcPr>
            <w:tcW w:w="4605" w:type="dxa"/>
            <w:tcBorders>
              <w:top w:val="single" w:sz="4" w:space="0" w:color="000000"/>
              <w:left w:val="single" w:sz="4" w:space="0" w:color="000000"/>
              <w:bottom w:val="single" w:sz="4" w:space="0" w:color="000000"/>
            </w:tcBorders>
            <w:shd w:val="clear" w:color="auto" w:fill="auto"/>
          </w:tcPr>
          <w:p w14:paraId="52CE8C49" w14:textId="4560EC33" w:rsidR="00D916C9" w:rsidRPr="00D13E0B" w:rsidRDefault="00D916C9" w:rsidP="00744AC8">
            <w:pPr>
              <w:pStyle w:val="Zkladntext"/>
              <w:suppressAutoHyphens w:val="0"/>
              <w:spacing w:before="240"/>
              <w:rPr>
                <w:rFonts w:ascii="Arial" w:hAnsi="Arial" w:cs="Arial"/>
                <w:color w:val="000000" w:themeColor="text1"/>
                <w:sz w:val="20"/>
                <w:szCs w:val="20"/>
              </w:rPr>
            </w:pPr>
            <w:r w:rsidRPr="00D13E0B">
              <w:rPr>
                <w:rFonts w:ascii="Arial" w:hAnsi="Arial" w:cs="Arial"/>
                <w:color w:val="000000" w:themeColor="text1"/>
                <w:sz w:val="20"/>
                <w:szCs w:val="20"/>
              </w:rPr>
              <w:t xml:space="preserve">Datum nabytí účinnosti </w:t>
            </w:r>
            <w:r w:rsidR="00744AC8" w:rsidRPr="00D13E0B">
              <w:rPr>
                <w:rFonts w:ascii="Arial" w:hAnsi="Arial" w:cs="Arial"/>
                <w:color w:val="000000" w:themeColor="text1"/>
                <w:sz w:val="20"/>
                <w:szCs w:val="20"/>
              </w:rPr>
              <w:t xml:space="preserve">poslední změny územního plánu: </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14:paraId="58E8AE00" w14:textId="77777777" w:rsidR="00D916C9" w:rsidRPr="00D13E0B" w:rsidRDefault="00D916C9" w:rsidP="00D916C9">
            <w:pPr>
              <w:suppressAutoHyphens w:val="0"/>
              <w:spacing w:before="240"/>
              <w:rPr>
                <w:rFonts w:ascii="Arial" w:hAnsi="Arial" w:cs="Arial"/>
                <w:color w:val="000000" w:themeColor="text1"/>
                <w:sz w:val="20"/>
                <w:szCs w:val="20"/>
              </w:rPr>
            </w:pPr>
          </w:p>
        </w:tc>
      </w:tr>
      <w:tr w:rsidR="00D916C9" w:rsidRPr="00D916C9" w14:paraId="3C769A86" w14:textId="77777777" w:rsidTr="00D13E0B">
        <w:tc>
          <w:tcPr>
            <w:tcW w:w="4605" w:type="dxa"/>
            <w:tcBorders>
              <w:top w:val="single" w:sz="4" w:space="0" w:color="000000"/>
              <w:left w:val="single" w:sz="4" w:space="0" w:color="000000"/>
              <w:bottom w:val="single" w:sz="4" w:space="0" w:color="000000"/>
            </w:tcBorders>
            <w:shd w:val="clear" w:color="auto" w:fill="auto"/>
          </w:tcPr>
          <w:p w14:paraId="420347F5" w14:textId="77777777" w:rsidR="00D916C9" w:rsidRPr="00D13E0B" w:rsidRDefault="00D916C9" w:rsidP="00D916C9">
            <w:pPr>
              <w:pStyle w:val="Zkladntext"/>
              <w:suppressAutoHyphens w:val="0"/>
              <w:spacing w:before="240"/>
              <w:rPr>
                <w:rFonts w:ascii="Arial" w:hAnsi="Arial" w:cs="Arial"/>
                <w:color w:val="000000" w:themeColor="text1"/>
                <w:sz w:val="20"/>
                <w:szCs w:val="20"/>
              </w:rPr>
            </w:pPr>
            <w:r w:rsidRPr="00D13E0B">
              <w:rPr>
                <w:rFonts w:ascii="Arial" w:hAnsi="Arial" w:cs="Arial"/>
                <w:color w:val="000000" w:themeColor="text1"/>
                <w:sz w:val="20"/>
                <w:szCs w:val="20"/>
              </w:rPr>
              <w:t>Oprávněná úřední osoba pořizovatele</w:t>
            </w:r>
          </w:p>
          <w:p w14:paraId="12EC5028" w14:textId="77777777" w:rsidR="00D916C9" w:rsidRPr="00D13E0B" w:rsidRDefault="00D916C9" w:rsidP="00D916C9">
            <w:pPr>
              <w:pStyle w:val="Zkladntext"/>
              <w:suppressAutoHyphens w:val="0"/>
              <w:spacing w:before="240"/>
              <w:rPr>
                <w:rFonts w:ascii="Arial" w:hAnsi="Arial" w:cs="Arial"/>
                <w:color w:val="000000" w:themeColor="text1"/>
                <w:sz w:val="20"/>
                <w:szCs w:val="20"/>
              </w:rPr>
            </w:pPr>
            <w:r w:rsidRPr="00D13E0B">
              <w:rPr>
                <w:rFonts w:ascii="Arial" w:hAnsi="Arial" w:cs="Arial"/>
                <w:color w:val="000000" w:themeColor="text1"/>
                <w:sz w:val="20"/>
                <w:szCs w:val="20"/>
              </w:rPr>
              <w:t>Jméno a příjmení:</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14:paraId="325248E7" w14:textId="77777777" w:rsidR="00D916C9" w:rsidRPr="00D13E0B" w:rsidRDefault="00D916C9" w:rsidP="00D916C9">
            <w:pPr>
              <w:pStyle w:val="Zkladntext"/>
              <w:suppressAutoHyphens w:val="0"/>
              <w:spacing w:before="240"/>
              <w:rPr>
                <w:rFonts w:ascii="Arial" w:hAnsi="Arial" w:cs="Arial"/>
                <w:color w:val="000000" w:themeColor="text1"/>
                <w:sz w:val="20"/>
                <w:szCs w:val="20"/>
              </w:rPr>
            </w:pPr>
          </w:p>
          <w:p w14:paraId="0ECBD352" w14:textId="19C3A0BC" w:rsidR="00744AC8" w:rsidRPr="00D13E0B" w:rsidRDefault="00744AC8" w:rsidP="00D916C9">
            <w:pPr>
              <w:pStyle w:val="Zkladntext"/>
              <w:suppressAutoHyphens w:val="0"/>
              <w:spacing w:before="240"/>
              <w:rPr>
                <w:rFonts w:ascii="Arial" w:hAnsi="Arial" w:cs="Arial"/>
                <w:color w:val="000000" w:themeColor="text1"/>
                <w:sz w:val="20"/>
                <w:szCs w:val="20"/>
              </w:rPr>
            </w:pPr>
            <w:r w:rsidRPr="00D13E0B">
              <w:rPr>
                <w:rFonts w:ascii="Arial" w:hAnsi="Arial" w:cs="Arial"/>
                <w:color w:val="000000" w:themeColor="text1"/>
                <w:sz w:val="20"/>
                <w:szCs w:val="20"/>
              </w:rPr>
              <w:t>Ing. Alena Singolová</w:t>
            </w:r>
          </w:p>
        </w:tc>
      </w:tr>
      <w:tr w:rsidR="00D916C9" w:rsidRPr="00D916C9" w14:paraId="1C1ED692" w14:textId="77777777" w:rsidTr="00D13E0B">
        <w:trPr>
          <w:trHeight w:val="473"/>
        </w:trPr>
        <w:tc>
          <w:tcPr>
            <w:tcW w:w="4605" w:type="dxa"/>
            <w:tcBorders>
              <w:top w:val="single" w:sz="4" w:space="0" w:color="000000"/>
              <w:left w:val="single" w:sz="4" w:space="0" w:color="000000"/>
              <w:bottom w:val="single" w:sz="4" w:space="0" w:color="000000"/>
            </w:tcBorders>
            <w:shd w:val="clear" w:color="auto" w:fill="auto"/>
          </w:tcPr>
          <w:p w14:paraId="2D12E730" w14:textId="77777777" w:rsidR="00D916C9" w:rsidRPr="00D13E0B" w:rsidRDefault="00D916C9" w:rsidP="00D916C9">
            <w:pPr>
              <w:pStyle w:val="Zkladntext"/>
              <w:suppressAutoHyphens w:val="0"/>
              <w:spacing w:before="240"/>
              <w:rPr>
                <w:rFonts w:ascii="Arial" w:hAnsi="Arial" w:cs="Arial"/>
                <w:color w:val="000000" w:themeColor="text1"/>
                <w:sz w:val="20"/>
                <w:szCs w:val="20"/>
              </w:rPr>
            </w:pPr>
            <w:r w:rsidRPr="00D13E0B">
              <w:rPr>
                <w:rFonts w:ascii="Arial" w:hAnsi="Arial" w:cs="Arial"/>
                <w:color w:val="000000" w:themeColor="text1"/>
                <w:sz w:val="20"/>
                <w:szCs w:val="20"/>
              </w:rPr>
              <w:t>Funkce:</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14:paraId="493BF47A" w14:textId="2978B448" w:rsidR="00D916C9" w:rsidRPr="00D13E0B" w:rsidRDefault="0029153B" w:rsidP="00D916C9">
            <w:pPr>
              <w:pStyle w:val="Zkladntext"/>
              <w:suppressAutoHyphens w:val="0"/>
              <w:spacing w:before="240"/>
              <w:rPr>
                <w:rFonts w:ascii="Arial" w:hAnsi="Arial" w:cs="Arial"/>
                <w:color w:val="000000" w:themeColor="text1"/>
                <w:sz w:val="20"/>
                <w:szCs w:val="20"/>
              </w:rPr>
            </w:pPr>
            <w:r w:rsidRPr="00D13E0B">
              <w:rPr>
                <w:rFonts w:ascii="Arial" w:hAnsi="Arial" w:cs="Arial"/>
                <w:color w:val="000000" w:themeColor="text1"/>
                <w:sz w:val="20"/>
                <w:szCs w:val="20"/>
              </w:rPr>
              <w:t>vedoucí oddělení Ú</w:t>
            </w:r>
            <w:r w:rsidR="00744AC8" w:rsidRPr="00D13E0B">
              <w:rPr>
                <w:rFonts w:ascii="Arial" w:hAnsi="Arial" w:cs="Arial"/>
                <w:color w:val="000000" w:themeColor="text1"/>
                <w:sz w:val="20"/>
                <w:szCs w:val="20"/>
              </w:rPr>
              <w:t xml:space="preserve">řadu územního plánování – </w:t>
            </w:r>
            <w:r w:rsidRPr="00D13E0B">
              <w:rPr>
                <w:rFonts w:ascii="Arial" w:hAnsi="Arial" w:cs="Arial"/>
                <w:color w:val="000000" w:themeColor="text1"/>
                <w:sz w:val="20"/>
                <w:szCs w:val="20"/>
              </w:rPr>
              <w:t xml:space="preserve">odbor </w:t>
            </w:r>
            <w:r w:rsidR="00744AC8" w:rsidRPr="00D13E0B">
              <w:rPr>
                <w:rFonts w:ascii="Arial" w:hAnsi="Arial" w:cs="Arial"/>
                <w:color w:val="000000" w:themeColor="text1"/>
                <w:sz w:val="20"/>
                <w:szCs w:val="20"/>
              </w:rPr>
              <w:t xml:space="preserve">stavební úřad, Magistrát </w:t>
            </w:r>
            <w:r w:rsidRPr="00D13E0B">
              <w:rPr>
                <w:rFonts w:ascii="Arial" w:hAnsi="Arial" w:cs="Arial"/>
                <w:color w:val="000000" w:themeColor="text1"/>
                <w:sz w:val="20"/>
                <w:szCs w:val="20"/>
              </w:rPr>
              <w:t xml:space="preserve">města </w:t>
            </w:r>
            <w:r w:rsidR="00744AC8" w:rsidRPr="00D13E0B">
              <w:rPr>
                <w:rFonts w:ascii="Arial" w:hAnsi="Arial" w:cs="Arial"/>
                <w:color w:val="000000" w:themeColor="text1"/>
                <w:sz w:val="20"/>
                <w:szCs w:val="20"/>
              </w:rPr>
              <w:t>Děčín</w:t>
            </w:r>
          </w:p>
        </w:tc>
      </w:tr>
      <w:tr w:rsidR="00D916C9" w:rsidRPr="00D916C9" w14:paraId="7FAABECE" w14:textId="77777777" w:rsidTr="00D13E0B">
        <w:trPr>
          <w:trHeight w:val="907"/>
        </w:trPr>
        <w:tc>
          <w:tcPr>
            <w:tcW w:w="4605" w:type="dxa"/>
            <w:tcBorders>
              <w:top w:val="single" w:sz="4" w:space="0" w:color="000000"/>
              <w:left w:val="single" w:sz="4" w:space="0" w:color="000000"/>
              <w:bottom w:val="single" w:sz="4" w:space="0" w:color="000000"/>
            </w:tcBorders>
            <w:shd w:val="clear" w:color="auto" w:fill="auto"/>
          </w:tcPr>
          <w:p w14:paraId="661A683E" w14:textId="77777777" w:rsidR="00D916C9" w:rsidRPr="00D13E0B" w:rsidRDefault="00D916C9" w:rsidP="00D916C9">
            <w:pPr>
              <w:pStyle w:val="Zkladntext"/>
              <w:suppressAutoHyphens w:val="0"/>
              <w:spacing w:before="240"/>
              <w:rPr>
                <w:rFonts w:ascii="Arial" w:hAnsi="Arial" w:cs="Arial"/>
                <w:color w:val="000000" w:themeColor="text1"/>
                <w:sz w:val="20"/>
                <w:szCs w:val="20"/>
              </w:rPr>
            </w:pPr>
            <w:r w:rsidRPr="00D13E0B">
              <w:rPr>
                <w:rFonts w:ascii="Arial" w:hAnsi="Arial" w:cs="Arial"/>
                <w:color w:val="000000" w:themeColor="text1"/>
                <w:sz w:val="20"/>
                <w:szCs w:val="20"/>
              </w:rPr>
              <w:t>Podpis:</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14:paraId="1E1DFE1F" w14:textId="77777777" w:rsidR="00D916C9" w:rsidRPr="00D13E0B" w:rsidRDefault="00D916C9" w:rsidP="00D916C9">
            <w:pPr>
              <w:suppressAutoHyphens w:val="0"/>
              <w:snapToGrid w:val="0"/>
              <w:spacing w:before="240"/>
              <w:rPr>
                <w:rFonts w:ascii="Arial" w:hAnsi="Arial" w:cs="Arial"/>
                <w:color w:val="000000" w:themeColor="text1"/>
                <w:sz w:val="20"/>
                <w:szCs w:val="20"/>
              </w:rPr>
            </w:pPr>
          </w:p>
        </w:tc>
      </w:tr>
      <w:tr w:rsidR="00D916C9" w:rsidRPr="00D916C9" w14:paraId="2C6D26D0" w14:textId="77777777" w:rsidTr="00D13E0B">
        <w:trPr>
          <w:cantSplit/>
          <w:trHeight w:val="2111"/>
        </w:trPr>
        <w:tc>
          <w:tcPr>
            <w:tcW w:w="9221" w:type="dxa"/>
            <w:gridSpan w:val="2"/>
            <w:tcBorders>
              <w:top w:val="single" w:sz="4" w:space="0" w:color="000000"/>
              <w:left w:val="single" w:sz="4" w:space="0" w:color="000000"/>
              <w:bottom w:val="single" w:sz="4" w:space="0" w:color="000000"/>
              <w:right w:val="single" w:sz="4" w:space="0" w:color="000000"/>
            </w:tcBorders>
            <w:shd w:val="clear" w:color="auto" w:fill="auto"/>
          </w:tcPr>
          <w:p w14:paraId="5466D2FB" w14:textId="77777777" w:rsidR="00D916C9" w:rsidRPr="00D13E0B" w:rsidRDefault="00D916C9" w:rsidP="00D916C9">
            <w:pPr>
              <w:pStyle w:val="Zkladntext"/>
              <w:suppressAutoHyphens w:val="0"/>
              <w:spacing w:before="240"/>
              <w:rPr>
                <w:rFonts w:ascii="Arial" w:hAnsi="Arial" w:cs="Arial"/>
                <w:color w:val="000000" w:themeColor="text1"/>
                <w:sz w:val="20"/>
                <w:szCs w:val="20"/>
              </w:rPr>
            </w:pPr>
            <w:r w:rsidRPr="00D13E0B">
              <w:rPr>
                <w:rFonts w:ascii="Arial" w:hAnsi="Arial" w:cs="Arial"/>
                <w:color w:val="000000" w:themeColor="text1"/>
                <w:sz w:val="20"/>
                <w:szCs w:val="20"/>
              </w:rPr>
              <w:t>Otisk razítka:</w:t>
            </w:r>
          </w:p>
          <w:p w14:paraId="07B8C1A0" w14:textId="77777777" w:rsidR="00D916C9" w:rsidRPr="00D13E0B" w:rsidRDefault="00D916C9" w:rsidP="00D916C9">
            <w:pPr>
              <w:suppressAutoHyphens w:val="0"/>
              <w:spacing w:before="240" w:line="288" w:lineRule="auto"/>
              <w:rPr>
                <w:rFonts w:ascii="Arial" w:hAnsi="Arial" w:cs="Arial"/>
                <w:sz w:val="20"/>
                <w:szCs w:val="20"/>
              </w:rPr>
            </w:pPr>
          </w:p>
          <w:p w14:paraId="55E8D3D1" w14:textId="77777777" w:rsidR="00D916C9" w:rsidRPr="00D13E0B" w:rsidRDefault="00D916C9" w:rsidP="00D916C9">
            <w:pPr>
              <w:suppressAutoHyphens w:val="0"/>
              <w:spacing w:before="240" w:line="288" w:lineRule="auto"/>
              <w:rPr>
                <w:rFonts w:ascii="Arial" w:hAnsi="Arial" w:cs="Arial"/>
                <w:sz w:val="20"/>
                <w:szCs w:val="20"/>
              </w:rPr>
            </w:pPr>
          </w:p>
          <w:p w14:paraId="6012D7B5" w14:textId="77777777" w:rsidR="00D916C9" w:rsidRPr="00D13E0B" w:rsidRDefault="00D916C9" w:rsidP="00D916C9">
            <w:pPr>
              <w:suppressAutoHyphens w:val="0"/>
              <w:spacing w:before="240" w:line="288" w:lineRule="auto"/>
              <w:rPr>
                <w:rFonts w:ascii="Arial" w:hAnsi="Arial" w:cs="Arial"/>
                <w:sz w:val="20"/>
                <w:szCs w:val="20"/>
              </w:rPr>
            </w:pPr>
          </w:p>
          <w:p w14:paraId="4DEA3257" w14:textId="77777777" w:rsidR="00D916C9" w:rsidRPr="00D13E0B" w:rsidRDefault="00D916C9" w:rsidP="00D916C9">
            <w:pPr>
              <w:suppressAutoHyphens w:val="0"/>
              <w:spacing w:before="240" w:line="288" w:lineRule="auto"/>
              <w:rPr>
                <w:rFonts w:ascii="Arial" w:hAnsi="Arial" w:cs="Arial"/>
                <w:sz w:val="20"/>
                <w:szCs w:val="20"/>
              </w:rPr>
            </w:pPr>
          </w:p>
          <w:p w14:paraId="2C9A098D" w14:textId="77777777" w:rsidR="00D916C9" w:rsidRPr="00D13E0B" w:rsidRDefault="00D916C9" w:rsidP="00D916C9">
            <w:pPr>
              <w:suppressAutoHyphens w:val="0"/>
              <w:spacing w:before="240"/>
              <w:rPr>
                <w:rFonts w:ascii="Arial" w:hAnsi="Arial" w:cs="Arial"/>
                <w:color w:val="000000" w:themeColor="text1"/>
                <w:sz w:val="20"/>
                <w:szCs w:val="20"/>
              </w:rPr>
            </w:pPr>
          </w:p>
        </w:tc>
      </w:tr>
    </w:tbl>
    <w:p w14:paraId="7276C310" w14:textId="77777777" w:rsidR="00D916C9" w:rsidRDefault="00D916C9" w:rsidP="00D916C9">
      <w:pPr>
        <w:jc w:val="center"/>
      </w:pPr>
    </w:p>
    <w:p w14:paraId="51264448" w14:textId="77777777" w:rsidR="00D916C9" w:rsidRDefault="00D916C9" w:rsidP="00D916C9">
      <w:pPr>
        <w:jc w:val="center"/>
      </w:pPr>
    </w:p>
    <w:p w14:paraId="44166795" w14:textId="77777777" w:rsidR="00D916C9" w:rsidRDefault="00D916C9" w:rsidP="00D916C9">
      <w:pPr>
        <w:jc w:val="center"/>
      </w:pPr>
    </w:p>
    <w:p w14:paraId="2A908869" w14:textId="77777777" w:rsidR="00D916C9" w:rsidRDefault="00D916C9" w:rsidP="00D916C9">
      <w:pPr>
        <w:jc w:val="center"/>
      </w:pPr>
    </w:p>
    <w:p w14:paraId="05CDF05A" w14:textId="77777777" w:rsidR="00D916C9" w:rsidRDefault="00D916C9" w:rsidP="00D916C9">
      <w:pPr>
        <w:jc w:val="center"/>
      </w:pPr>
    </w:p>
    <w:p w14:paraId="488A55C1" w14:textId="77777777" w:rsidR="00D916C9" w:rsidRDefault="00D916C9" w:rsidP="00D916C9">
      <w:pPr>
        <w:jc w:val="center"/>
      </w:pPr>
    </w:p>
    <w:p w14:paraId="7E08BBA1" w14:textId="77777777" w:rsidR="00D916C9" w:rsidRDefault="00D916C9" w:rsidP="00D916C9">
      <w:pPr>
        <w:jc w:val="center"/>
      </w:pPr>
    </w:p>
    <w:p w14:paraId="282F5613" w14:textId="77777777" w:rsidR="00D916C9" w:rsidRDefault="00D916C9" w:rsidP="00D916C9">
      <w:pPr>
        <w:jc w:val="center"/>
      </w:pPr>
    </w:p>
    <w:p w14:paraId="3B05CD87" w14:textId="77777777" w:rsidR="00D916C9" w:rsidRDefault="00D916C9" w:rsidP="00D916C9">
      <w:pPr>
        <w:jc w:val="center"/>
      </w:pPr>
    </w:p>
    <w:p w14:paraId="68AA777A" w14:textId="77777777" w:rsidR="00D916C9" w:rsidRDefault="00D916C9" w:rsidP="00D916C9">
      <w:pPr>
        <w:jc w:val="center"/>
      </w:pPr>
    </w:p>
    <w:p w14:paraId="6EB66F70" w14:textId="77777777" w:rsidR="00D916C9" w:rsidRDefault="00D916C9" w:rsidP="00D916C9">
      <w:pPr>
        <w:jc w:val="center"/>
      </w:pPr>
    </w:p>
    <w:p w14:paraId="67DE2002" w14:textId="77777777" w:rsidR="00D916C9" w:rsidRDefault="00D916C9" w:rsidP="00D916C9">
      <w:pPr>
        <w:jc w:val="center"/>
      </w:pPr>
    </w:p>
    <w:p w14:paraId="4F7EE489" w14:textId="77777777" w:rsidR="00D916C9" w:rsidRDefault="00D916C9" w:rsidP="00D916C9">
      <w:pPr>
        <w:jc w:val="center"/>
      </w:pPr>
    </w:p>
    <w:p w14:paraId="5212469E" w14:textId="77777777" w:rsidR="00D916C9" w:rsidRDefault="00D916C9" w:rsidP="00D916C9">
      <w:pPr>
        <w:jc w:val="center"/>
      </w:pPr>
    </w:p>
    <w:p w14:paraId="222BF5FD" w14:textId="77777777" w:rsidR="00D916C9" w:rsidRDefault="00D916C9" w:rsidP="00D916C9">
      <w:pPr>
        <w:jc w:val="center"/>
      </w:pPr>
    </w:p>
    <w:p w14:paraId="0B88B58B" w14:textId="77777777" w:rsidR="00D916C9" w:rsidRDefault="00D916C9" w:rsidP="00D916C9">
      <w:pPr>
        <w:jc w:val="center"/>
      </w:pPr>
    </w:p>
    <w:p w14:paraId="16A945AE" w14:textId="77777777" w:rsidR="00D916C9" w:rsidRDefault="00D916C9" w:rsidP="00D916C9">
      <w:pPr>
        <w:jc w:val="center"/>
      </w:pPr>
    </w:p>
    <w:p w14:paraId="76E2CFD1" w14:textId="77777777" w:rsidR="00D916C9" w:rsidRDefault="00D916C9" w:rsidP="00D916C9">
      <w:pPr>
        <w:jc w:val="center"/>
      </w:pPr>
    </w:p>
    <w:p w14:paraId="764B7A30" w14:textId="77777777" w:rsidR="00D916C9" w:rsidRDefault="00D916C9" w:rsidP="00D916C9">
      <w:pPr>
        <w:jc w:val="center"/>
      </w:pPr>
    </w:p>
    <w:p w14:paraId="489B679E" w14:textId="77777777" w:rsidR="00D916C9" w:rsidRDefault="00D916C9" w:rsidP="00D916C9">
      <w:pPr>
        <w:jc w:val="center"/>
      </w:pPr>
    </w:p>
    <w:p w14:paraId="0CE2ECB2" w14:textId="77777777" w:rsidR="00D916C9" w:rsidRDefault="00D916C9" w:rsidP="00D916C9">
      <w:pPr>
        <w:jc w:val="center"/>
      </w:pPr>
    </w:p>
    <w:p w14:paraId="789F2966" w14:textId="77777777" w:rsidR="00D916C9" w:rsidRDefault="00D916C9" w:rsidP="00D916C9">
      <w:pPr>
        <w:jc w:val="center"/>
      </w:pPr>
    </w:p>
    <w:p w14:paraId="0D042BDD" w14:textId="77777777" w:rsidR="00D916C9" w:rsidRDefault="00D916C9" w:rsidP="00D916C9">
      <w:pPr>
        <w:jc w:val="center"/>
      </w:pPr>
    </w:p>
    <w:p w14:paraId="74136FDC" w14:textId="77777777" w:rsidR="00D916C9" w:rsidRDefault="00D916C9" w:rsidP="00D916C9">
      <w:pPr>
        <w:jc w:val="center"/>
      </w:pPr>
    </w:p>
    <w:p w14:paraId="28B73C11" w14:textId="77777777" w:rsidR="00D916C9" w:rsidRDefault="00D916C9" w:rsidP="00D916C9">
      <w:pPr>
        <w:jc w:val="center"/>
      </w:pPr>
    </w:p>
    <w:p w14:paraId="18881672" w14:textId="77777777" w:rsidR="00D916C9" w:rsidRDefault="00D916C9" w:rsidP="00D916C9">
      <w:pPr>
        <w:jc w:val="center"/>
      </w:pPr>
    </w:p>
    <w:p w14:paraId="37D1C4B8" w14:textId="77777777" w:rsidR="00D916C9" w:rsidRDefault="00D916C9" w:rsidP="00D916C9">
      <w:pPr>
        <w:jc w:val="center"/>
      </w:pPr>
    </w:p>
    <w:p w14:paraId="05748E41" w14:textId="77777777" w:rsidR="00D916C9" w:rsidRDefault="00D916C9" w:rsidP="00D916C9">
      <w:pPr>
        <w:jc w:val="center"/>
      </w:pPr>
    </w:p>
    <w:p w14:paraId="63820B0F" w14:textId="77777777" w:rsidR="00D916C9" w:rsidRDefault="00D916C9" w:rsidP="00D916C9">
      <w:pPr>
        <w:jc w:val="center"/>
      </w:pPr>
    </w:p>
    <w:p w14:paraId="0EEF282D" w14:textId="77777777" w:rsidR="00D916C9" w:rsidRDefault="00D916C9" w:rsidP="00D916C9">
      <w:pPr>
        <w:jc w:val="center"/>
      </w:pPr>
    </w:p>
    <w:p w14:paraId="07E50524" w14:textId="77777777" w:rsidR="00D916C9" w:rsidRDefault="00D916C9" w:rsidP="00D916C9">
      <w:pPr>
        <w:jc w:val="center"/>
      </w:pPr>
    </w:p>
    <w:p w14:paraId="7802F1CB" w14:textId="77777777" w:rsidR="00D916C9" w:rsidRDefault="00D916C9" w:rsidP="00D916C9">
      <w:pPr>
        <w:jc w:val="center"/>
      </w:pPr>
    </w:p>
    <w:p w14:paraId="2402F009" w14:textId="77777777" w:rsidR="00D916C9" w:rsidRDefault="00D916C9" w:rsidP="00D916C9">
      <w:pPr>
        <w:jc w:val="center"/>
      </w:pPr>
    </w:p>
    <w:p w14:paraId="1FBF4357" w14:textId="77777777" w:rsidR="00D916C9" w:rsidRDefault="00D916C9" w:rsidP="00D916C9">
      <w:pPr>
        <w:jc w:val="center"/>
      </w:pPr>
    </w:p>
    <w:p w14:paraId="078731AF" w14:textId="77777777" w:rsidR="00D916C9" w:rsidRDefault="00D916C9" w:rsidP="00D916C9">
      <w:pPr>
        <w:jc w:val="center"/>
      </w:pPr>
    </w:p>
    <w:p w14:paraId="6889A837" w14:textId="77777777" w:rsidR="00D916C9" w:rsidRDefault="00D916C9" w:rsidP="00D916C9">
      <w:pPr>
        <w:jc w:val="center"/>
      </w:pPr>
    </w:p>
    <w:p w14:paraId="0407352E" w14:textId="77777777" w:rsidR="00D916C9" w:rsidRDefault="00D916C9" w:rsidP="00D916C9">
      <w:pPr>
        <w:jc w:val="center"/>
      </w:pPr>
    </w:p>
    <w:p w14:paraId="238FC81B" w14:textId="77777777" w:rsidR="00D916C9" w:rsidRDefault="00D916C9" w:rsidP="00D916C9">
      <w:pPr>
        <w:jc w:val="center"/>
      </w:pPr>
    </w:p>
    <w:p w14:paraId="5DFC7598" w14:textId="77777777" w:rsidR="00D916C9" w:rsidRDefault="00D916C9" w:rsidP="00D916C9">
      <w:pPr>
        <w:jc w:val="center"/>
      </w:pPr>
    </w:p>
    <w:p w14:paraId="3938347E" w14:textId="77777777" w:rsidR="00D916C9" w:rsidRDefault="00D916C9" w:rsidP="00D916C9">
      <w:pPr>
        <w:jc w:val="center"/>
      </w:pPr>
    </w:p>
    <w:p w14:paraId="3C428B4F" w14:textId="77777777" w:rsidR="00D916C9" w:rsidRDefault="00D916C9" w:rsidP="00D916C9">
      <w:pPr>
        <w:jc w:val="center"/>
      </w:pPr>
    </w:p>
    <w:p w14:paraId="5FE71EC1" w14:textId="77777777" w:rsidR="00D916C9" w:rsidRDefault="00D916C9" w:rsidP="00D916C9">
      <w:pPr>
        <w:jc w:val="center"/>
      </w:pPr>
    </w:p>
    <w:p w14:paraId="4093AFC6" w14:textId="77777777" w:rsidR="00D916C9" w:rsidRDefault="00D916C9" w:rsidP="00D916C9">
      <w:pPr>
        <w:jc w:val="center"/>
      </w:pPr>
    </w:p>
    <w:p w14:paraId="7CCB1AB7" w14:textId="77777777" w:rsidR="00D916C9" w:rsidRDefault="00D916C9" w:rsidP="00D916C9">
      <w:pPr>
        <w:jc w:val="center"/>
      </w:pPr>
    </w:p>
    <w:p w14:paraId="16CCCBE1" w14:textId="77777777" w:rsidR="00D916C9" w:rsidRDefault="00D916C9" w:rsidP="00D916C9">
      <w:pPr>
        <w:jc w:val="center"/>
      </w:pPr>
    </w:p>
    <w:p w14:paraId="49B631B5" w14:textId="77777777" w:rsidR="00D916C9" w:rsidRDefault="00D916C9" w:rsidP="00D916C9">
      <w:pPr>
        <w:jc w:val="center"/>
      </w:pPr>
    </w:p>
    <w:p w14:paraId="6D9DC4B8" w14:textId="77777777" w:rsidR="00D916C9" w:rsidRDefault="00D916C9" w:rsidP="00D916C9">
      <w:pPr>
        <w:jc w:val="center"/>
      </w:pPr>
    </w:p>
    <w:p w14:paraId="5890AA1F" w14:textId="77777777" w:rsidR="00D916C9" w:rsidRDefault="00D916C9" w:rsidP="00D916C9">
      <w:pPr>
        <w:jc w:val="center"/>
      </w:pPr>
    </w:p>
    <w:p w14:paraId="40DB5B07" w14:textId="77777777" w:rsidR="00D916C9" w:rsidRDefault="00D916C9" w:rsidP="00D916C9">
      <w:pPr>
        <w:jc w:val="center"/>
      </w:pPr>
    </w:p>
    <w:p w14:paraId="3A3FE75F" w14:textId="77777777" w:rsidR="00D916C9" w:rsidRDefault="00D916C9" w:rsidP="00D916C9">
      <w:pPr>
        <w:jc w:val="center"/>
      </w:pPr>
    </w:p>
    <w:p w14:paraId="409BFA75" w14:textId="77777777" w:rsidR="00D916C9" w:rsidRDefault="00D916C9" w:rsidP="00D916C9">
      <w:pPr>
        <w:jc w:val="center"/>
      </w:pPr>
    </w:p>
    <w:p w14:paraId="3AE43744" w14:textId="77777777" w:rsidR="00D916C9" w:rsidRDefault="00D916C9" w:rsidP="00D916C9">
      <w:pPr>
        <w:jc w:val="center"/>
      </w:pPr>
    </w:p>
    <w:p w14:paraId="60290098" w14:textId="77777777" w:rsidR="00D916C9" w:rsidRDefault="00D916C9" w:rsidP="00D916C9">
      <w:pPr>
        <w:jc w:val="center"/>
      </w:pPr>
    </w:p>
    <w:p w14:paraId="2008BFB5" w14:textId="77777777" w:rsidR="00D916C9" w:rsidRDefault="00D916C9" w:rsidP="00D916C9">
      <w:pPr>
        <w:jc w:val="center"/>
      </w:pPr>
    </w:p>
    <w:p w14:paraId="0AAF393B" w14:textId="77777777" w:rsidR="00D916C9" w:rsidRDefault="00D916C9" w:rsidP="00D916C9">
      <w:pPr>
        <w:jc w:val="center"/>
      </w:pPr>
    </w:p>
    <w:p w14:paraId="7F3341EE" w14:textId="77777777" w:rsidR="00D916C9" w:rsidRDefault="00D916C9" w:rsidP="00D916C9">
      <w:pPr>
        <w:jc w:val="center"/>
      </w:pPr>
    </w:p>
    <w:p w14:paraId="6C753BD2" w14:textId="77777777" w:rsidR="00D916C9" w:rsidRDefault="00D916C9" w:rsidP="00D916C9">
      <w:pPr>
        <w:jc w:val="center"/>
      </w:pPr>
    </w:p>
    <w:p w14:paraId="6884EAF0" w14:textId="77777777" w:rsidR="00D916C9" w:rsidRDefault="00D916C9" w:rsidP="00D916C9">
      <w:pPr>
        <w:jc w:val="center"/>
      </w:pPr>
    </w:p>
    <w:p w14:paraId="4E35D892" w14:textId="77777777" w:rsidR="00D916C9" w:rsidRDefault="00D916C9" w:rsidP="00D916C9">
      <w:pPr>
        <w:jc w:val="center"/>
      </w:pPr>
    </w:p>
    <w:p w14:paraId="02C23BA6" w14:textId="77777777" w:rsidR="00D916C9" w:rsidRDefault="00D916C9" w:rsidP="00D916C9">
      <w:pPr>
        <w:jc w:val="center"/>
      </w:pPr>
    </w:p>
    <w:p w14:paraId="70770447" w14:textId="77777777" w:rsidR="00D916C9" w:rsidRDefault="00D916C9" w:rsidP="00D916C9">
      <w:pPr>
        <w:jc w:val="center"/>
      </w:pPr>
    </w:p>
    <w:p w14:paraId="20EC01BF" w14:textId="77777777" w:rsidR="00D916C9" w:rsidRDefault="00D916C9" w:rsidP="00D916C9">
      <w:pPr>
        <w:jc w:val="center"/>
      </w:pPr>
    </w:p>
    <w:p w14:paraId="190BC0CD" w14:textId="77777777" w:rsidR="00D916C9" w:rsidRDefault="00D916C9" w:rsidP="00D916C9">
      <w:pPr>
        <w:jc w:val="center"/>
      </w:pPr>
    </w:p>
    <w:p w14:paraId="72F025BA" w14:textId="77777777" w:rsidR="00D916C9" w:rsidRDefault="00D916C9" w:rsidP="00D916C9">
      <w:pPr>
        <w:jc w:val="center"/>
      </w:pPr>
    </w:p>
    <w:p w14:paraId="01E445B0" w14:textId="77777777" w:rsidR="00D916C9" w:rsidRDefault="00D916C9" w:rsidP="00D916C9">
      <w:pPr>
        <w:jc w:val="center"/>
      </w:pPr>
    </w:p>
    <w:p w14:paraId="2D5220D1" w14:textId="77777777" w:rsidR="00D916C9" w:rsidRDefault="00D916C9" w:rsidP="00D916C9">
      <w:pPr>
        <w:jc w:val="center"/>
      </w:pPr>
    </w:p>
    <w:p w14:paraId="42C1CE64" w14:textId="77777777" w:rsidR="00D916C9" w:rsidRDefault="00D916C9" w:rsidP="00D916C9">
      <w:pPr>
        <w:jc w:val="center"/>
      </w:pPr>
    </w:p>
    <w:p w14:paraId="2017A25B" w14:textId="77777777" w:rsidR="00D916C9" w:rsidRDefault="00D916C9" w:rsidP="00D916C9">
      <w:r w:rsidRPr="00986C7E">
        <w:rPr>
          <w:rFonts w:ascii="Arial" w:hAnsi="Arial" w:cs="Arial"/>
          <w:noProof/>
          <w:sz w:val="20"/>
          <w:lang w:eastAsia="cs-CZ"/>
        </w:rPr>
        <w:drawing>
          <wp:anchor distT="0" distB="0" distL="114935" distR="114935" simplePos="0" relativeHeight="251661312" behindDoc="0" locked="0" layoutInCell="1" allowOverlap="1" wp14:anchorId="13D3124E" wp14:editId="2371FE00">
            <wp:simplePos x="0" y="0"/>
            <wp:positionH relativeFrom="column">
              <wp:posOffset>2225040</wp:posOffset>
            </wp:positionH>
            <wp:positionV relativeFrom="paragraph">
              <wp:posOffset>5080</wp:posOffset>
            </wp:positionV>
            <wp:extent cx="989330" cy="617855"/>
            <wp:effectExtent l="0" t="0" r="1270" b="0"/>
            <wp:wrapSquare wrapText="bothSides"/>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l="671" t="-95" r="-53" b="-95"/>
                    <a:stretch>
                      <a:fillRect/>
                    </a:stretch>
                  </pic:blipFill>
                  <pic:spPr bwMode="auto">
                    <a:xfrm>
                      <a:off x="0" y="0"/>
                      <a:ext cx="989330" cy="61785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45BC303C" w14:textId="77777777" w:rsidR="00D916C9" w:rsidRPr="00986C7E" w:rsidRDefault="00D916C9" w:rsidP="00D916C9">
      <w:pPr>
        <w:suppressAutoHyphens w:val="0"/>
        <w:spacing w:before="120" w:line="288" w:lineRule="auto"/>
        <w:rPr>
          <w:rFonts w:ascii="Arial" w:hAnsi="Arial" w:cs="Arial"/>
          <w:sz w:val="20"/>
        </w:rPr>
      </w:pPr>
    </w:p>
    <w:p w14:paraId="5F9349F5" w14:textId="77777777" w:rsidR="00D916C9" w:rsidRPr="00986C7E" w:rsidRDefault="00D916C9" w:rsidP="00D916C9">
      <w:pPr>
        <w:suppressAutoHyphens w:val="0"/>
        <w:spacing w:before="120" w:line="288" w:lineRule="auto"/>
        <w:jc w:val="center"/>
        <w:rPr>
          <w:rFonts w:ascii="Arial" w:hAnsi="Arial" w:cs="Arial"/>
          <w:sz w:val="20"/>
        </w:rPr>
      </w:pPr>
    </w:p>
    <w:p w14:paraId="308925E1" w14:textId="77777777" w:rsidR="00D916C9" w:rsidRPr="00FC65E4" w:rsidRDefault="00D916C9" w:rsidP="00FC65E4">
      <w:pPr>
        <w:pBdr>
          <w:bottom w:val="single" w:sz="4" w:space="1" w:color="auto"/>
        </w:pBdr>
        <w:suppressAutoHyphens w:val="0"/>
        <w:spacing w:before="120" w:line="288" w:lineRule="auto"/>
        <w:jc w:val="center"/>
        <w:rPr>
          <w:rFonts w:ascii="Arial" w:hAnsi="Arial" w:cs="Arial"/>
          <w:sz w:val="22"/>
        </w:rPr>
      </w:pPr>
      <w:r w:rsidRPr="00FC65E4">
        <w:rPr>
          <w:rFonts w:ascii="Arial" w:hAnsi="Arial" w:cs="Arial"/>
          <w:sz w:val="22"/>
        </w:rPr>
        <w:t>Atelier T-plan, s.r.o., Sezimova 380/13, Praha 4, 140 00</w:t>
      </w:r>
    </w:p>
    <w:p w14:paraId="187EF578" w14:textId="77777777" w:rsidR="00D916C9" w:rsidRPr="00D916C9" w:rsidRDefault="00D916C9" w:rsidP="00D916C9">
      <w:pPr>
        <w:suppressAutoHyphens w:val="0"/>
        <w:spacing w:before="120" w:line="288" w:lineRule="auto"/>
        <w:rPr>
          <w:rFonts w:ascii="Arial" w:hAnsi="Arial" w:cs="Arial"/>
          <w:bCs/>
          <w:sz w:val="22"/>
          <w:szCs w:val="22"/>
        </w:rPr>
      </w:pPr>
    </w:p>
    <w:p w14:paraId="599BB011" w14:textId="77777777" w:rsidR="00D916C9" w:rsidRPr="00D916C9" w:rsidRDefault="00D916C9" w:rsidP="00D916C9">
      <w:pPr>
        <w:suppressAutoHyphens w:val="0"/>
        <w:spacing w:before="120" w:line="288" w:lineRule="auto"/>
        <w:rPr>
          <w:rFonts w:ascii="Arial" w:hAnsi="Arial" w:cs="Arial"/>
          <w:bCs/>
          <w:sz w:val="22"/>
          <w:szCs w:val="22"/>
        </w:rPr>
      </w:pPr>
      <w:r w:rsidRPr="00D916C9">
        <w:rPr>
          <w:rFonts w:ascii="Arial" w:hAnsi="Arial" w:cs="Arial"/>
          <w:bCs/>
          <w:sz w:val="22"/>
          <w:szCs w:val="22"/>
        </w:rPr>
        <w:t>Objednatel:</w:t>
      </w:r>
    </w:p>
    <w:p w14:paraId="44BE7436" w14:textId="77777777" w:rsidR="00D916C9" w:rsidRPr="00D916C9" w:rsidRDefault="00D916C9" w:rsidP="00D916C9">
      <w:pPr>
        <w:suppressAutoHyphens w:val="0"/>
        <w:spacing w:before="120" w:line="288" w:lineRule="auto"/>
        <w:rPr>
          <w:rFonts w:ascii="Arial" w:hAnsi="Arial" w:cs="Arial"/>
          <w:b/>
          <w:bCs/>
          <w:sz w:val="22"/>
          <w:szCs w:val="22"/>
        </w:rPr>
      </w:pPr>
      <w:r>
        <w:rPr>
          <w:rFonts w:ascii="Arial" w:hAnsi="Arial" w:cs="Arial"/>
          <w:b/>
          <w:bCs/>
          <w:sz w:val="22"/>
          <w:szCs w:val="22"/>
        </w:rPr>
        <w:t>Statutární město Děčín</w:t>
      </w:r>
    </w:p>
    <w:p w14:paraId="597D1501" w14:textId="77777777" w:rsidR="00D916C9" w:rsidRPr="00D916C9" w:rsidRDefault="00215499" w:rsidP="00D916C9">
      <w:pPr>
        <w:suppressAutoHyphens w:val="0"/>
        <w:spacing w:before="120" w:line="288" w:lineRule="auto"/>
        <w:rPr>
          <w:rFonts w:ascii="Arial" w:hAnsi="Arial" w:cs="Arial"/>
          <w:bCs/>
          <w:sz w:val="22"/>
          <w:szCs w:val="22"/>
        </w:rPr>
      </w:pPr>
      <w:r>
        <w:rPr>
          <w:rFonts w:ascii="Arial" w:hAnsi="Arial" w:cs="Arial"/>
          <w:bCs/>
          <w:sz w:val="22"/>
          <w:szCs w:val="22"/>
        </w:rPr>
        <w:t>Magistrát města Děčín, Mírové nám. 1175/5, 405 38 Děčín IV</w:t>
      </w:r>
    </w:p>
    <w:p w14:paraId="2E9BBBF4" w14:textId="77777777" w:rsidR="00D916C9" w:rsidRPr="00D916C9" w:rsidRDefault="00D916C9" w:rsidP="00D916C9">
      <w:pPr>
        <w:suppressAutoHyphens w:val="0"/>
        <w:spacing w:before="120" w:line="288" w:lineRule="auto"/>
        <w:rPr>
          <w:rFonts w:ascii="Arial" w:hAnsi="Arial" w:cs="Arial"/>
          <w:bCs/>
          <w:sz w:val="22"/>
          <w:szCs w:val="22"/>
        </w:rPr>
      </w:pPr>
      <w:r w:rsidRPr="00D916C9">
        <w:rPr>
          <w:rFonts w:ascii="Arial" w:hAnsi="Arial" w:cs="Arial"/>
          <w:bCs/>
          <w:sz w:val="22"/>
          <w:szCs w:val="22"/>
        </w:rPr>
        <w:t xml:space="preserve">zastoupené: Ing. </w:t>
      </w:r>
      <w:r w:rsidR="00215499">
        <w:rPr>
          <w:rFonts w:ascii="Arial" w:hAnsi="Arial" w:cs="Arial"/>
          <w:bCs/>
          <w:sz w:val="22"/>
          <w:szCs w:val="22"/>
        </w:rPr>
        <w:t>Jiřím Andělem CSc., primátor města</w:t>
      </w:r>
    </w:p>
    <w:p w14:paraId="27864B65" w14:textId="77777777" w:rsidR="00D916C9" w:rsidRPr="00D916C9" w:rsidRDefault="00D916C9" w:rsidP="00D916C9">
      <w:pPr>
        <w:suppressAutoHyphens w:val="0"/>
        <w:spacing w:before="120" w:line="288" w:lineRule="auto"/>
        <w:rPr>
          <w:rFonts w:ascii="Arial" w:hAnsi="Arial" w:cs="Arial"/>
          <w:bCs/>
          <w:sz w:val="22"/>
          <w:szCs w:val="22"/>
        </w:rPr>
      </w:pPr>
    </w:p>
    <w:p w14:paraId="66072DAB" w14:textId="77777777" w:rsidR="00D916C9" w:rsidRPr="00D916C9" w:rsidRDefault="00D916C9" w:rsidP="00D916C9">
      <w:pPr>
        <w:suppressAutoHyphens w:val="0"/>
        <w:spacing w:before="120" w:line="288" w:lineRule="auto"/>
        <w:rPr>
          <w:rFonts w:ascii="Arial" w:hAnsi="Arial" w:cs="Arial"/>
          <w:bCs/>
          <w:sz w:val="22"/>
          <w:szCs w:val="22"/>
        </w:rPr>
      </w:pPr>
      <w:r w:rsidRPr="00D916C9">
        <w:rPr>
          <w:rFonts w:ascii="Arial" w:hAnsi="Arial" w:cs="Arial"/>
          <w:bCs/>
          <w:sz w:val="22"/>
          <w:szCs w:val="22"/>
        </w:rPr>
        <w:t>Pořizovatel:</w:t>
      </w:r>
    </w:p>
    <w:p w14:paraId="3C6FDA01" w14:textId="77777777" w:rsidR="00D916C9" w:rsidRPr="00D916C9" w:rsidRDefault="00215499" w:rsidP="00D916C9">
      <w:pPr>
        <w:suppressAutoHyphens w:val="0"/>
        <w:spacing w:before="120" w:line="288" w:lineRule="auto"/>
        <w:rPr>
          <w:rFonts w:ascii="Arial" w:hAnsi="Arial" w:cs="Arial"/>
          <w:b/>
          <w:bCs/>
          <w:sz w:val="22"/>
          <w:szCs w:val="22"/>
        </w:rPr>
      </w:pPr>
      <w:r>
        <w:rPr>
          <w:rFonts w:ascii="Arial" w:hAnsi="Arial" w:cs="Arial"/>
          <w:b/>
          <w:bCs/>
          <w:sz w:val="22"/>
          <w:szCs w:val="22"/>
        </w:rPr>
        <w:t>Magistrát města Děčín</w:t>
      </w:r>
    </w:p>
    <w:p w14:paraId="2A0B2CE2" w14:textId="77777777" w:rsidR="00D916C9" w:rsidRPr="00D916C9" w:rsidRDefault="00D916C9" w:rsidP="00D916C9">
      <w:pPr>
        <w:suppressAutoHyphens w:val="0"/>
        <w:spacing w:before="120" w:line="288" w:lineRule="auto"/>
        <w:rPr>
          <w:rFonts w:ascii="Arial" w:hAnsi="Arial" w:cs="Arial"/>
          <w:bCs/>
          <w:sz w:val="22"/>
          <w:szCs w:val="22"/>
        </w:rPr>
      </w:pPr>
      <w:r w:rsidRPr="00D916C9">
        <w:rPr>
          <w:rFonts w:ascii="Arial" w:hAnsi="Arial" w:cs="Arial"/>
          <w:bCs/>
          <w:sz w:val="22"/>
          <w:szCs w:val="22"/>
        </w:rPr>
        <w:t xml:space="preserve">Odbor </w:t>
      </w:r>
      <w:r w:rsidR="00215499">
        <w:rPr>
          <w:rFonts w:ascii="Arial" w:hAnsi="Arial" w:cs="Arial"/>
          <w:bCs/>
          <w:sz w:val="22"/>
          <w:szCs w:val="22"/>
        </w:rPr>
        <w:t>stavební úřad – úřad územního plánování</w:t>
      </w:r>
    </w:p>
    <w:p w14:paraId="09C5AFC0" w14:textId="77777777" w:rsidR="00215499" w:rsidRPr="00D916C9" w:rsidRDefault="00215499" w:rsidP="00215499">
      <w:pPr>
        <w:suppressAutoHyphens w:val="0"/>
        <w:spacing w:before="120" w:line="288" w:lineRule="auto"/>
        <w:rPr>
          <w:rFonts w:ascii="Arial" w:hAnsi="Arial" w:cs="Arial"/>
          <w:bCs/>
          <w:sz w:val="22"/>
          <w:szCs w:val="22"/>
        </w:rPr>
      </w:pPr>
      <w:r>
        <w:rPr>
          <w:rFonts w:ascii="Arial" w:hAnsi="Arial" w:cs="Arial"/>
          <w:bCs/>
          <w:sz w:val="22"/>
          <w:szCs w:val="22"/>
        </w:rPr>
        <w:t>Mírové nám. 1175/5, 405 38 Děčín IV</w:t>
      </w:r>
    </w:p>
    <w:p w14:paraId="7FF3FD76" w14:textId="77777777" w:rsidR="00215499" w:rsidRPr="00D916C9" w:rsidRDefault="00215499" w:rsidP="00215499">
      <w:pPr>
        <w:suppressAutoHyphens w:val="0"/>
        <w:spacing w:before="120" w:line="288" w:lineRule="auto"/>
        <w:rPr>
          <w:rFonts w:ascii="Arial" w:hAnsi="Arial" w:cs="Arial"/>
          <w:bCs/>
          <w:sz w:val="22"/>
          <w:szCs w:val="22"/>
        </w:rPr>
      </w:pPr>
      <w:r w:rsidRPr="00D916C9">
        <w:rPr>
          <w:rFonts w:ascii="Arial" w:hAnsi="Arial" w:cs="Arial"/>
          <w:bCs/>
          <w:sz w:val="22"/>
          <w:szCs w:val="22"/>
        </w:rPr>
        <w:t xml:space="preserve">zastoupené: Ing. </w:t>
      </w:r>
      <w:r>
        <w:rPr>
          <w:rFonts w:ascii="Arial" w:hAnsi="Arial" w:cs="Arial"/>
          <w:bCs/>
          <w:sz w:val="22"/>
          <w:szCs w:val="22"/>
        </w:rPr>
        <w:t>Alenou Singolovou – vedoucí oddělení</w:t>
      </w:r>
    </w:p>
    <w:p w14:paraId="4E4F9838" w14:textId="77777777" w:rsidR="00D916C9" w:rsidRPr="00D916C9" w:rsidRDefault="00D916C9" w:rsidP="00D916C9">
      <w:pPr>
        <w:suppressAutoHyphens w:val="0"/>
        <w:spacing w:before="120" w:line="288" w:lineRule="auto"/>
        <w:rPr>
          <w:rFonts w:ascii="Arial" w:hAnsi="Arial" w:cs="Arial"/>
          <w:bCs/>
          <w:sz w:val="22"/>
          <w:szCs w:val="22"/>
        </w:rPr>
      </w:pPr>
    </w:p>
    <w:p w14:paraId="5E8F7C07" w14:textId="77777777" w:rsidR="00D916C9" w:rsidRPr="00D916C9" w:rsidRDefault="00D916C9" w:rsidP="00D916C9">
      <w:pPr>
        <w:suppressAutoHyphens w:val="0"/>
        <w:spacing w:before="120" w:line="288" w:lineRule="auto"/>
        <w:rPr>
          <w:rFonts w:ascii="Arial" w:hAnsi="Arial" w:cs="Arial"/>
          <w:bCs/>
          <w:sz w:val="22"/>
          <w:szCs w:val="22"/>
        </w:rPr>
      </w:pPr>
      <w:r w:rsidRPr="00D916C9">
        <w:rPr>
          <w:rFonts w:ascii="Arial" w:hAnsi="Arial" w:cs="Arial"/>
          <w:bCs/>
          <w:sz w:val="22"/>
          <w:szCs w:val="22"/>
        </w:rPr>
        <w:t>Zpracovatel:</w:t>
      </w:r>
    </w:p>
    <w:p w14:paraId="4195F0A9" w14:textId="77777777" w:rsidR="00D916C9" w:rsidRPr="00D916C9" w:rsidRDefault="00D916C9" w:rsidP="00D916C9">
      <w:pPr>
        <w:suppressAutoHyphens w:val="0"/>
        <w:spacing w:before="120" w:line="288" w:lineRule="auto"/>
        <w:rPr>
          <w:rFonts w:ascii="Arial" w:hAnsi="Arial" w:cs="Arial"/>
          <w:b/>
          <w:bCs/>
          <w:sz w:val="22"/>
          <w:szCs w:val="22"/>
        </w:rPr>
      </w:pPr>
      <w:r w:rsidRPr="00D916C9">
        <w:rPr>
          <w:rFonts w:ascii="Arial" w:hAnsi="Arial" w:cs="Arial"/>
          <w:b/>
          <w:bCs/>
          <w:sz w:val="22"/>
          <w:szCs w:val="22"/>
        </w:rPr>
        <w:t>Atelier T-plan, s.r.o.</w:t>
      </w:r>
    </w:p>
    <w:p w14:paraId="303E4E40" w14:textId="77777777" w:rsidR="00D916C9" w:rsidRPr="00D916C9" w:rsidRDefault="00D916C9" w:rsidP="00D916C9">
      <w:pPr>
        <w:suppressAutoHyphens w:val="0"/>
        <w:spacing w:before="120" w:line="288" w:lineRule="auto"/>
        <w:rPr>
          <w:rFonts w:ascii="Arial" w:hAnsi="Arial" w:cs="Arial"/>
          <w:bCs/>
          <w:sz w:val="22"/>
          <w:szCs w:val="22"/>
        </w:rPr>
      </w:pPr>
      <w:r w:rsidRPr="00D916C9">
        <w:rPr>
          <w:rFonts w:ascii="Arial" w:hAnsi="Arial" w:cs="Arial"/>
          <w:bCs/>
          <w:sz w:val="22"/>
          <w:szCs w:val="22"/>
        </w:rPr>
        <w:t>Sezimova 380/13</w:t>
      </w:r>
    </w:p>
    <w:p w14:paraId="614CB255" w14:textId="77777777" w:rsidR="00D916C9" w:rsidRPr="00D916C9" w:rsidRDefault="00D916C9" w:rsidP="00D916C9">
      <w:pPr>
        <w:suppressAutoHyphens w:val="0"/>
        <w:spacing w:before="120" w:line="288" w:lineRule="auto"/>
        <w:rPr>
          <w:rFonts w:ascii="Arial" w:hAnsi="Arial" w:cs="Arial"/>
          <w:bCs/>
          <w:sz w:val="22"/>
          <w:szCs w:val="22"/>
        </w:rPr>
      </w:pPr>
      <w:r w:rsidRPr="00D916C9">
        <w:rPr>
          <w:rFonts w:ascii="Arial" w:hAnsi="Arial" w:cs="Arial"/>
          <w:bCs/>
          <w:sz w:val="22"/>
          <w:szCs w:val="22"/>
        </w:rPr>
        <w:t>140 00 Praha 4</w:t>
      </w:r>
    </w:p>
    <w:p w14:paraId="566252D9" w14:textId="77777777" w:rsidR="00D916C9" w:rsidRPr="00D916C9" w:rsidRDefault="00D916C9" w:rsidP="00D916C9">
      <w:pPr>
        <w:suppressAutoHyphens w:val="0"/>
        <w:spacing w:before="120" w:line="288" w:lineRule="auto"/>
        <w:rPr>
          <w:rFonts w:ascii="Arial" w:hAnsi="Arial" w:cs="Arial"/>
          <w:bCs/>
          <w:sz w:val="22"/>
          <w:szCs w:val="22"/>
        </w:rPr>
      </w:pPr>
    </w:p>
    <w:p w14:paraId="15114539" w14:textId="77777777" w:rsidR="00D916C9" w:rsidRPr="00D916C9" w:rsidRDefault="00D916C9" w:rsidP="00D916C9">
      <w:pPr>
        <w:suppressAutoHyphens w:val="0"/>
        <w:spacing w:before="120" w:line="288" w:lineRule="auto"/>
        <w:rPr>
          <w:rFonts w:ascii="Arial" w:hAnsi="Arial" w:cs="Arial"/>
          <w:bCs/>
          <w:sz w:val="22"/>
          <w:szCs w:val="22"/>
        </w:rPr>
      </w:pPr>
      <w:r w:rsidRPr="00D916C9">
        <w:rPr>
          <w:rFonts w:ascii="Arial" w:hAnsi="Arial" w:cs="Arial"/>
          <w:bCs/>
          <w:sz w:val="22"/>
          <w:szCs w:val="22"/>
        </w:rPr>
        <w:t>Jednatel společnosti</w:t>
      </w:r>
    </w:p>
    <w:p w14:paraId="52994EE2" w14:textId="77777777" w:rsidR="00D916C9" w:rsidRPr="00D916C9" w:rsidRDefault="00D916C9" w:rsidP="00D916C9">
      <w:pPr>
        <w:suppressAutoHyphens w:val="0"/>
        <w:spacing w:before="120" w:line="288" w:lineRule="auto"/>
        <w:rPr>
          <w:rFonts w:ascii="Arial" w:hAnsi="Arial" w:cs="Arial"/>
          <w:b/>
          <w:bCs/>
          <w:sz w:val="22"/>
          <w:szCs w:val="22"/>
        </w:rPr>
      </w:pPr>
      <w:r w:rsidRPr="00D916C9">
        <w:rPr>
          <w:rFonts w:ascii="Arial" w:hAnsi="Arial" w:cs="Arial"/>
          <w:b/>
          <w:bCs/>
          <w:sz w:val="22"/>
          <w:szCs w:val="22"/>
        </w:rPr>
        <w:t>RNDr. Libor Krajíček</w:t>
      </w:r>
      <w:r w:rsidR="00215499">
        <w:rPr>
          <w:rFonts w:ascii="Arial" w:hAnsi="Arial" w:cs="Arial"/>
          <w:b/>
          <w:bCs/>
          <w:sz w:val="22"/>
          <w:szCs w:val="22"/>
        </w:rPr>
        <w:tab/>
        <w:t>………………..</w:t>
      </w:r>
    </w:p>
    <w:p w14:paraId="5E741043" w14:textId="77777777" w:rsidR="00D916C9" w:rsidRPr="00D916C9" w:rsidRDefault="00D916C9" w:rsidP="00D916C9">
      <w:pPr>
        <w:suppressAutoHyphens w:val="0"/>
        <w:spacing w:before="120" w:line="288" w:lineRule="auto"/>
        <w:rPr>
          <w:rFonts w:ascii="Arial" w:hAnsi="Arial" w:cs="Arial"/>
          <w:bCs/>
          <w:sz w:val="22"/>
          <w:szCs w:val="22"/>
        </w:rPr>
      </w:pPr>
    </w:p>
    <w:p w14:paraId="25A0C437" w14:textId="77777777" w:rsidR="00D916C9" w:rsidRPr="00D916C9" w:rsidRDefault="00D916C9" w:rsidP="00D916C9">
      <w:pPr>
        <w:suppressAutoHyphens w:val="0"/>
        <w:spacing w:before="120" w:line="288" w:lineRule="auto"/>
        <w:rPr>
          <w:rFonts w:ascii="Arial" w:hAnsi="Arial" w:cs="Arial"/>
          <w:bCs/>
          <w:sz w:val="22"/>
          <w:szCs w:val="22"/>
        </w:rPr>
      </w:pPr>
      <w:r w:rsidRPr="00D916C9">
        <w:rPr>
          <w:rFonts w:ascii="Arial" w:hAnsi="Arial" w:cs="Arial"/>
          <w:bCs/>
          <w:sz w:val="22"/>
          <w:szCs w:val="22"/>
        </w:rPr>
        <w:t>Kolektiv zpracovatelů:</w:t>
      </w:r>
    </w:p>
    <w:p w14:paraId="23943EB6" w14:textId="77777777" w:rsidR="00D916C9" w:rsidRPr="00D916C9" w:rsidRDefault="00D916C9" w:rsidP="00D916C9">
      <w:pPr>
        <w:suppressAutoHyphens w:val="0"/>
        <w:spacing w:before="120" w:line="288" w:lineRule="auto"/>
        <w:rPr>
          <w:rFonts w:ascii="Arial" w:hAnsi="Arial" w:cs="Arial"/>
          <w:b/>
          <w:bCs/>
          <w:sz w:val="22"/>
          <w:szCs w:val="22"/>
        </w:rPr>
      </w:pPr>
      <w:r w:rsidRPr="00D916C9">
        <w:rPr>
          <w:rFonts w:ascii="Arial" w:hAnsi="Arial" w:cs="Arial"/>
          <w:b/>
          <w:bCs/>
          <w:sz w:val="22"/>
          <w:szCs w:val="22"/>
        </w:rPr>
        <w:t>Ing. arch. Karel Beránek</w:t>
      </w:r>
      <w:r w:rsidR="00215499">
        <w:rPr>
          <w:rFonts w:ascii="Arial" w:hAnsi="Arial" w:cs="Arial"/>
          <w:b/>
          <w:bCs/>
          <w:sz w:val="22"/>
          <w:szCs w:val="22"/>
        </w:rPr>
        <w:tab/>
        <w:t>………………..</w:t>
      </w:r>
    </w:p>
    <w:p w14:paraId="09367F99" w14:textId="77777777" w:rsidR="00E43B57" w:rsidRDefault="00E43B57" w:rsidP="00D916C9">
      <w:pPr>
        <w:suppressAutoHyphens w:val="0"/>
        <w:spacing w:before="120" w:line="288" w:lineRule="auto"/>
        <w:rPr>
          <w:rFonts w:ascii="Arial" w:hAnsi="Arial" w:cs="Arial"/>
          <w:b/>
          <w:bCs/>
          <w:sz w:val="22"/>
          <w:szCs w:val="22"/>
        </w:rPr>
      </w:pPr>
      <w:r>
        <w:rPr>
          <w:rFonts w:ascii="Arial" w:hAnsi="Arial" w:cs="Arial"/>
          <w:b/>
          <w:bCs/>
          <w:sz w:val="22"/>
          <w:szCs w:val="22"/>
        </w:rPr>
        <w:t>Ing. Marie Wichsová, Ph.D.</w:t>
      </w:r>
    </w:p>
    <w:p w14:paraId="0AC9BBE5" w14:textId="77777777" w:rsidR="00D916C9" w:rsidRDefault="00215499" w:rsidP="00D916C9">
      <w:pPr>
        <w:suppressAutoHyphens w:val="0"/>
        <w:spacing w:before="120" w:line="288" w:lineRule="auto"/>
        <w:rPr>
          <w:rFonts w:ascii="Arial" w:hAnsi="Arial" w:cs="Arial"/>
          <w:b/>
          <w:bCs/>
          <w:sz w:val="22"/>
          <w:szCs w:val="22"/>
        </w:rPr>
      </w:pPr>
      <w:r>
        <w:rPr>
          <w:rFonts w:ascii="Arial" w:hAnsi="Arial" w:cs="Arial"/>
          <w:b/>
          <w:bCs/>
          <w:sz w:val="22"/>
          <w:szCs w:val="22"/>
        </w:rPr>
        <w:t>Ing</w:t>
      </w:r>
      <w:r w:rsidR="00D916C9" w:rsidRPr="00D916C9">
        <w:rPr>
          <w:rFonts w:ascii="Arial" w:hAnsi="Arial" w:cs="Arial"/>
          <w:b/>
          <w:bCs/>
          <w:sz w:val="22"/>
          <w:szCs w:val="22"/>
        </w:rPr>
        <w:t>. Liliana Doktor</w:t>
      </w:r>
    </w:p>
    <w:p w14:paraId="7839F337" w14:textId="77777777" w:rsidR="00215499" w:rsidRPr="00D916C9" w:rsidRDefault="00215499" w:rsidP="00D916C9">
      <w:pPr>
        <w:suppressAutoHyphens w:val="0"/>
        <w:spacing w:before="120" w:line="288" w:lineRule="auto"/>
        <w:rPr>
          <w:rFonts w:ascii="Arial" w:hAnsi="Arial" w:cs="Arial"/>
          <w:b/>
          <w:bCs/>
          <w:sz w:val="22"/>
          <w:szCs w:val="22"/>
        </w:rPr>
      </w:pPr>
      <w:r>
        <w:rPr>
          <w:rFonts w:ascii="Arial" w:hAnsi="Arial" w:cs="Arial"/>
          <w:b/>
          <w:bCs/>
          <w:sz w:val="22"/>
          <w:szCs w:val="22"/>
        </w:rPr>
        <w:t>Ing. Vladimír Juřina</w:t>
      </w:r>
    </w:p>
    <w:p w14:paraId="62347991" w14:textId="77777777" w:rsidR="00D916C9" w:rsidRDefault="00D916C9" w:rsidP="00D916C9">
      <w:pPr>
        <w:suppressAutoHyphens w:val="0"/>
        <w:spacing w:before="120" w:line="288" w:lineRule="auto"/>
        <w:rPr>
          <w:rFonts w:ascii="Arial" w:hAnsi="Arial" w:cs="Arial"/>
          <w:bCs/>
          <w:sz w:val="22"/>
          <w:szCs w:val="22"/>
        </w:rPr>
      </w:pPr>
    </w:p>
    <w:p w14:paraId="1228A1CB" w14:textId="77777777" w:rsidR="00215499" w:rsidRDefault="00215499" w:rsidP="00D916C9">
      <w:pPr>
        <w:suppressAutoHyphens w:val="0"/>
        <w:spacing w:before="120" w:line="288" w:lineRule="auto"/>
        <w:rPr>
          <w:rFonts w:ascii="Arial" w:hAnsi="Arial" w:cs="Arial"/>
          <w:bCs/>
          <w:sz w:val="22"/>
          <w:szCs w:val="22"/>
        </w:rPr>
      </w:pPr>
    </w:p>
    <w:p w14:paraId="59D94E91" w14:textId="77777777" w:rsidR="007B2506" w:rsidRDefault="007B2506" w:rsidP="00D916C9">
      <w:pPr>
        <w:rPr>
          <w:rFonts w:ascii="Arial" w:hAnsi="Arial" w:cs="Arial"/>
          <w:sz w:val="22"/>
        </w:rPr>
      </w:pPr>
    </w:p>
    <w:p w14:paraId="00A7F8E8" w14:textId="77777777" w:rsidR="007B2506" w:rsidRDefault="007B2506" w:rsidP="00D916C9">
      <w:pPr>
        <w:rPr>
          <w:rFonts w:ascii="Arial" w:hAnsi="Arial" w:cs="Arial"/>
          <w:sz w:val="22"/>
        </w:rPr>
      </w:pPr>
    </w:p>
    <w:p w14:paraId="10C88CE1" w14:textId="77777777" w:rsidR="00FC65E4" w:rsidRDefault="00D916C9" w:rsidP="00D916C9">
      <w:pPr>
        <w:rPr>
          <w:rFonts w:ascii="Arial" w:hAnsi="Arial" w:cs="Arial"/>
          <w:sz w:val="22"/>
        </w:rPr>
        <w:sectPr w:rsidR="00FC65E4">
          <w:footerReference w:type="default" r:id="rId10"/>
          <w:pgSz w:w="11906" w:h="16838"/>
          <w:pgMar w:top="1417" w:right="1417" w:bottom="1417" w:left="1417" w:header="708" w:footer="708" w:gutter="0"/>
          <w:cols w:space="708"/>
          <w:docGrid w:linePitch="360"/>
        </w:sectPr>
      </w:pPr>
      <w:r w:rsidRPr="00D916C9">
        <w:rPr>
          <w:rFonts w:ascii="Arial" w:hAnsi="Arial" w:cs="Arial"/>
          <w:sz w:val="22"/>
        </w:rPr>
        <w:t xml:space="preserve">Zak. </w:t>
      </w:r>
      <w:proofErr w:type="gramStart"/>
      <w:r w:rsidRPr="00D916C9">
        <w:rPr>
          <w:rFonts w:ascii="Arial" w:hAnsi="Arial" w:cs="Arial"/>
          <w:sz w:val="22"/>
        </w:rPr>
        <w:t>č.</w:t>
      </w:r>
      <w:proofErr w:type="gramEnd"/>
      <w:r w:rsidRPr="00D916C9">
        <w:rPr>
          <w:rFonts w:ascii="Arial" w:hAnsi="Arial" w:cs="Arial"/>
          <w:sz w:val="22"/>
        </w:rPr>
        <w:t xml:space="preserve"> </w:t>
      </w:r>
      <w:r>
        <w:rPr>
          <w:rFonts w:ascii="Arial" w:hAnsi="Arial" w:cs="Arial"/>
          <w:sz w:val="22"/>
        </w:rPr>
        <w:t>2024 006</w:t>
      </w:r>
    </w:p>
    <w:p w14:paraId="78D14304" w14:textId="7D16C1AF" w:rsidR="00FC65E4" w:rsidRDefault="00FC65E4" w:rsidP="00FC65E4">
      <w:pPr>
        <w:spacing w:after="200" w:line="276" w:lineRule="auto"/>
        <w:rPr>
          <w:rFonts w:ascii="Arial" w:hAnsi="Arial" w:cs="Arial"/>
          <w:b/>
          <w:sz w:val="32"/>
        </w:rPr>
      </w:pPr>
      <w:r w:rsidRPr="000C5146">
        <w:rPr>
          <w:rFonts w:ascii="Arial" w:hAnsi="Arial" w:cs="Arial"/>
          <w:b/>
          <w:sz w:val="32"/>
        </w:rPr>
        <w:lastRenderedPageBreak/>
        <w:t xml:space="preserve">OBSAH TEXTOVÉ ČÁSTI </w:t>
      </w:r>
      <w:r>
        <w:rPr>
          <w:rFonts w:ascii="Arial" w:hAnsi="Arial" w:cs="Arial"/>
          <w:b/>
          <w:sz w:val="32"/>
        </w:rPr>
        <w:t>P</w:t>
      </w:r>
      <w:r w:rsidRPr="000C5146">
        <w:rPr>
          <w:rFonts w:ascii="Arial" w:hAnsi="Arial" w:cs="Arial"/>
          <w:b/>
          <w:sz w:val="32"/>
        </w:rPr>
        <w:t>RÁVNÍHO STAVU ÚPN MĚSTA DĚČÍNA PO</w:t>
      </w:r>
      <w:r>
        <w:rPr>
          <w:rFonts w:ascii="Arial" w:hAnsi="Arial" w:cs="Arial"/>
          <w:b/>
          <w:sz w:val="32"/>
        </w:rPr>
        <w:t xml:space="preserve"> POŘÍZENÍ ZMĚN Č. 1, 2, 4, 6, 8</w:t>
      </w:r>
      <w:r w:rsidR="00B53F16">
        <w:rPr>
          <w:rFonts w:ascii="Arial" w:hAnsi="Arial" w:cs="Arial"/>
          <w:b/>
          <w:sz w:val="32"/>
        </w:rPr>
        <w:t>, 12</w:t>
      </w:r>
    </w:p>
    <w:p w14:paraId="0F04E1E6" w14:textId="77777777" w:rsidR="00FC65E4" w:rsidRDefault="00FC65E4" w:rsidP="00FC65E4">
      <w:pPr>
        <w:pStyle w:val="Odstavecseseznamem"/>
        <w:spacing w:before="120" w:after="0" w:line="288" w:lineRule="auto"/>
        <w:jc w:val="both"/>
        <w:rPr>
          <w:rFonts w:ascii="Arial" w:hAnsi="Arial" w:cs="Arial"/>
          <w:b/>
        </w:rPr>
      </w:pPr>
    </w:p>
    <w:p w14:paraId="495AE854" w14:textId="77777777" w:rsidR="00FC65E4" w:rsidRPr="00FA2738" w:rsidRDefault="00FC65E4" w:rsidP="00FC65E4">
      <w:pPr>
        <w:pStyle w:val="Odstavecseseznamem"/>
        <w:spacing w:before="120" w:after="0" w:line="288" w:lineRule="auto"/>
        <w:jc w:val="both"/>
        <w:rPr>
          <w:rFonts w:ascii="Arial" w:hAnsi="Arial" w:cs="Arial"/>
        </w:rPr>
      </w:pPr>
      <w:r w:rsidRPr="000C5146">
        <w:rPr>
          <w:rFonts w:ascii="Arial" w:hAnsi="Arial" w:cs="Arial"/>
          <w:b/>
        </w:rPr>
        <w:t xml:space="preserve">Úvod do způsobu zpracování </w:t>
      </w:r>
      <w:r>
        <w:rPr>
          <w:rFonts w:ascii="Arial" w:hAnsi="Arial" w:cs="Arial"/>
          <w:b/>
        </w:rPr>
        <w:t xml:space="preserve">dokumentace právního stavu </w:t>
      </w:r>
      <w:r w:rsidRPr="001F1C06">
        <w:rPr>
          <w:rFonts w:ascii="Arial" w:hAnsi="Arial" w:cs="Arial"/>
        </w:rPr>
        <w:t>– s</w:t>
      </w:r>
      <w:r w:rsidRPr="00FA2738">
        <w:rPr>
          <w:rFonts w:ascii="Arial" w:hAnsi="Arial" w:cs="Arial"/>
        </w:rPr>
        <w:t>tr</w:t>
      </w:r>
      <w:r>
        <w:rPr>
          <w:rFonts w:ascii="Arial" w:hAnsi="Arial" w:cs="Arial"/>
        </w:rPr>
        <w:t xml:space="preserve">ana 5 </w:t>
      </w:r>
    </w:p>
    <w:p w14:paraId="3F8FCC10" w14:textId="77777777" w:rsidR="00FC65E4" w:rsidRPr="000C5146" w:rsidRDefault="00FC65E4" w:rsidP="00FC65E4">
      <w:pPr>
        <w:pStyle w:val="Odstavecseseznamem"/>
        <w:spacing w:before="120" w:after="0" w:line="288" w:lineRule="auto"/>
        <w:jc w:val="both"/>
        <w:rPr>
          <w:rFonts w:ascii="Arial" w:hAnsi="Arial" w:cs="Arial"/>
          <w:b/>
        </w:rPr>
      </w:pPr>
    </w:p>
    <w:p w14:paraId="0A944AB9" w14:textId="77777777" w:rsidR="00FC65E4" w:rsidRPr="000C5146" w:rsidRDefault="00FC65E4" w:rsidP="00FC65E4">
      <w:pPr>
        <w:pStyle w:val="Odstavecseseznamem"/>
        <w:numPr>
          <w:ilvl w:val="0"/>
          <w:numId w:val="3"/>
        </w:numPr>
        <w:spacing w:before="120" w:after="0" w:line="288" w:lineRule="auto"/>
        <w:jc w:val="both"/>
        <w:rPr>
          <w:rFonts w:ascii="Arial" w:hAnsi="Arial" w:cs="Arial"/>
          <w:b/>
        </w:rPr>
      </w:pPr>
      <w:r w:rsidRPr="000C5146">
        <w:rPr>
          <w:rFonts w:ascii="Arial" w:hAnsi="Arial" w:cs="Arial"/>
          <w:b/>
        </w:rPr>
        <w:t>Základní údaje a charakteristiky</w:t>
      </w:r>
      <w:r>
        <w:rPr>
          <w:rFonts w:ascii="Arial" w:hAnsi="Arial" w:cs="Arial"/>
          <w:b/>
        </w:rPr>
        <w:t xml:space="preserve"> </w:t>
      </w:r>
      <w:r>
        <w:rPr>
          <w:rFonts w:ascii="Arial" w:hAnsi="Arial" w:cs="Arial"/>
        </w:rPr>
        <w:t>–</w:t>
      </w:r>
      <w:r w:rsidRPr="00FA2738">
        <w:rPr>
          <w:rFonts w:ascii="Arial" w:hAnsi="Arial" w:cs="Arial"/>
        </w:rPr>
        <w:t xml:space="preserve"> str</w:t>
      </w:r>
      <w:r>
        <w:rPr>
          <w:rFonts w:ascii="Arial" w:hAnsi="Arial" w:cs="Arial"/>
        </w:rPr>
        <w:t xml:space="preserve">ana </w:t>
      </w:r>
      <w:r w:rsidRPr="00FA2738">
        <w:rPr>
          <w:rFonts w:ascii="Arial" w:hAnsi="Arial" w:cs="Arial"/>
        </w:rPr>
        <w:t>7</w:t>
      </w:r>
      <w:r>
        <w:rPr>
          <w:rFonts w:ascii="Arial" w:hAnsi="Arial" w:cs="Arial"/>
        </w:rPr>
        <w:t xml:space="preserve"> </w:t>
      </w:r>
      <w:r w:rsidRPr="000C5146">
        <w:rPr>
          <w:rFonts w:ascii="Arial" w:hAnsi="Arial" w:cs="Arial"/>
          <w:b/>
        </w:rPr>
        <w:tab/>
      </w:r>
      <w:r w:rsidRPr="000C5146">
        <w:rPr>
          <w:rFonts w:ascii="Arial" w:hAnsi="Arial" w:cs="Arial"/>
          <w:b/>
        </w:rPr>
        <w:tab/>
      </w:r>
    </w:p>
    <w:p w14:paraId="76034491"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A.1.</w:t>
      </w:r>
      <w:proofErr w:type="gramEnd"/>
      <w:r w:rsidRPr="00CE5B16">
        <w:rPr>
          <w:rFonts w:ascii="Arial" w:hAnsi="Arial" w:cs="Arial"/>
          <w:sz w:val="18"/>
          <w:szCs w:val="18"/>
        </w:rPr>
        <w:t xml:space="preserve"> Důvody pořízení, dosavadní průběh prací</w:t>
      </w:r>
    </w:p>
    <w:p w14:paraId="766A52B4"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A.2.</w:t>
      </w:r>
      <w:proofErr w:type="gramEnd"/>
      <w:r w:rsidRPr="00CE5B16">
        <w:rPr>
          <w:rFonts w:ascii="Arial" w:hAnsi="Arial" w:cs="Arial"/>
          <w:sz w:val="18"/>
          <w:szCs w:val="18"/>
        </w:rPr>
        <w:t xml:space="preserve"> Vyhodnocení splnění souborného stanoviska</w:t>
      </w:r>
    </w:p>
    <w:p w14:paraId="67F3B01C"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A.3.</w:t>
      </w:r>
      <w:proofErr w:type="gramEnd"/>
      <w:r w:rsidRPr="00CE5B16">
        <w:rPr>
          <w:rFonts w:ascii="Arial" w:hAnsi="Arial" w:cs="Arial"/>
          <w:sz w:val="18"/>
          <w:szCs w:val="18"/>
        </w:rPr>
        <w:t xml:space="preserve"> Členění území města</w:t>
      </w:r>
    </w:p>
    <w:p w14:paraId="0AB81198" w14:textId="77777777" w:rsidR="00FC65E4" w:rsidRPr="00CE5B16" w:rsidRDefault="00FC65E4" w:rsidP="00FC65E4">
      <w:pPr>
        <w:pStyle w:val="Odstavecseseznamem"/>
        <w:spacing w:before="120" w:after="0" w:line="288" w:lineRule="auto"/>
        <w:jc w:val="both"/>
        <w:rPr>
          <w:rFonts w:ascii="Arial" w:hAnsi="Arial" w:cs="Arial"/>
          <w:sz w:val="20"/>
          <w:szCs w:val="20"/>
        </w:rPr>
      </w:pPr>
    </w:p>
    <w:p w14:paraId="5287AB84" w14:textId="77777777" w:rsidR="00FC65E4" w:rsidRPr="000C5146" w:rsidRDefault="00FC65E4" w:rsidP="00FC65E4">
      <w:pPr>
        <w:pStyle w:val="Odstavecseseznamem"/>
        <w:numPr>
          <w:ilvl w:val="0"/>
          <w:numId w:val="3"/>
        </w:numPr>
        <w:spacing w:before="120" w:after="0" w:line="288" w:lineRule="auto"/>
        <w:jc w:val="both"/>
        <w:rPr>
          <w:rFonts w:ascii="Arial" w:hAnsi="Arial" w:cs="Arial"/>
          <w:b/>
        </w:rPr>
      </w:pPr>
      <w:r w:rsidRPr="000C5146">
        <w:rPr>
          <w:rFonts w:ascii="Arial" w:hAnsi="Arial" w:cs="Arial"/>
          <w:b/>
        </w:rPr>
        <w:t>Návrh základní koncepce</w:t>
      </w:r>
      <w:r>
        <w:rPr>
          <w:rFonts w:ascii="Arial" w:hAnsi="Arial" w:cs="Arial"/>
          <w:b/>
        </w:rPr>
        <w:t xml:space="preserve"> </w:t>
      </w:r>
      <w:r w:rsidRPr="00FA2738">
        <w:rPr>
          <w:rFonts w:ascii="Arial" w:hAnsi="Arial" w:cs="Arial"/>
        </w:rPr>
        <w:t>–</w:t>
      </w:r>
      <w:r>
        <w:rPr>
          <w:rFonts w:ascii="Arial" w:hAnsi="Arial" w:cs="Arial"/>
        </w:rPr>
        <w:t xml:space="preserve"> strana 34 </w:t>
      </w:r>
    </w:p>
    <w:p w14:paraId="39CBC2BE"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B.1.</w:t>
      </w:r>
      <w:proofErr w:type="gramEnd"/>
      <w:r w:rsidRPr="00CE5B16">
        <w:rPr>
          <w:rFonts w:ascii="Arial" w:hAnsi="Arial" w:cs="Arial"/>
          <w:sz w:val="18"/>
          <w:szCs w:val="18"/>
        </w:rPr>
        <w:t xml:space="preserve"> Historická retrospektiva</w:t>
      </w:r>
    </w:p>
    <w:p w14:paraId="58FABA0E"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B.2.</w:t>
      </w:r>
      <w:proofErr w:type="gramEnd"/>
      <w:r w:rsidRPr="00CE5B16">
        <w:rPr>
          <w:rFonts w:ascii="Arial" w:hAnsi="Arial" w:cs="Arial"/>
          <w:sz w:val="18"/>
          <w:szCs w:val="18"/>
        </w:rPr>
        <w:t xml:space="preserve"> Přírodní podmínky</w:t>
      </w:r>
    </w:p>
    <w:p w14:paraId="25C08C6B"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B.3.</w:t>
      </w:r>
      <w:proofErr w:type="gramEnd"/>
      <w:r w:rsidRPr="00CE5B16">
        <w:rPr>
          <w:rFonts w:ascii="Arial" w:hAnsi="Arial" w:cs="Arial"/>
          <w:sz w:val="18"/>
          <w:szCs w:val="18"/>
        </w:rPr>
        <w:t xml:space="preserve"> Životní prostředí</w:t>
      </w:r>
    </w:p>
    <w:p w14:paraId="66D7BCD6"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B.4.</w:t>
      </w:r>
      <w:proofErr w:type="gramEnd"/>
      <w:r w:rsidRPr="00CE5B16">
        <w:rPr>
          <w:rFonts w:ascii="Arial" w:hAnsi="Arial" w:cs="Arial"/>
          <w:sz w:val="18"/>
          <w:szCs w:val="18"/>
        </w:rPr>
        <w:t xml:space="preserve"> Základní urbanistická koncepce</w:t>
      </w:r>
    </w:p>
    <w:p w14:paraId="7D744105"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B.5.</w:t>
      </w:r>
      <w:proofErr w:type="gramEnd"/>
      <w:r w:rsidRPr="00CE5B16">
        <w:rPr>
          <w:rFonts w:ascii="Arial" w:hAnsi="Arial" w:cs="Arial"/>
          <w:sz w:val="18"/>
          <w:szCs w:val="18"/>
        </w:rPr>
        <w:t xml:space="preserve"> Základní koncepce řešení dopravy</w:t>
      </w:r>
    </w:p>
    <w:p w14:paraId="6FEF5081"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B.6.</w:t>
      </w:r>
      <w:proofErr w:type="gramEnd"/>
      <w:r w:rsidRPr="00CE5B16">
        <w:rPr>
          <w:rFonts w:ascii="Arial" w:hAnsi="Arial" w:cs="Arial"/>
          <w:sz w:val="18"/>
          <w:szCs w:val="18"/>
        </w:rPr>
        <w:t xml:space="preserve"> Základní koncepce vodního hospodářství</w:t>
      </w:r>
    </w:p>
    <w:p w14:paraId="4AF05016"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B.7.</w:t>
      </w:r>
      <w:proofErr w:type="gramEnd"/>
      <w:r w:rsidRPr="00CE5B16">
        <w:rPr>
          <w:rFonts w:ascii="Arial" w:hAnsi="Arial" w:cs="Arial"/>
          <w:sz w:val="18"/>
          <w:szCs w:val="18"/>
        </w:rPr>
        <w:t xml:space="preserve"> Základní koncepce energetiky a spojů</w:t>
      </w:r>
    </w:p>
    <w:p w14:paraId="003D3323" w14:textId="77777777" w:rsidR="00FC65E4" w:rsidRPr="00CE5B16" w:rsidRDefault="00FC65E4" w:rsidP="00FC65E4">
      <w:pPr>
        <w:pStyle w:val="Odstavecseseznamem"/>
        <w:spacing w:before="120" w:after="0" w:line="288" w:lineRule="auto"/>
        <w:jc w:val="both"/>
        <w:rPr>
          <w:rFonts w:ascii="Arial" w:hAnsi="Arial" w:cs="Arial"/>
          <w:sz w:val="20"/>
          <w:szCs w:val="20"/>
        </w:rPr>
      </w:pPr>
    </w:p>
    <w:p w14:paraId="46DF82B5" w14:textId="77777777" w:rsidR="00FC65E4" w:rsidRPr="000C5146" w:rsidRDefault="00FC65E4" w:rsidP="00FC65E4">
      <w:pPr>
        <w:pStyle w:val="Odstavecseseznamem"/>
        <w:numPr>
          <w:ilvl w:val="0"/>
          <w:numId w:val="3"/>
        </w:numPr>
        <w:spacing w:before="120" w:after="0" w:line="288" w:lineRule="auto"/>
        <w:jc w:val="both"/>
        <w:rPr>
          <w:rFonts w:ascii="Arial" w:hAnsi="Arial" w:cs="Arial"/>
          <w:b/>
        </w:rPr>
      </w:pPr>
      <w:r w:rsidRPr="000C5146">
        <w:rPr>
          <w:rFonts w:ascii="Arial" w:hAnsi="Arial" w:cs="Arial"/>
          <w:b/>
        </w:rPr>
        <w:t>Návrh urbanistické koncepce</w:t>
      </w:r>
      <w:r>
        <w:rPr>
          <w:rFonts w:ascii="Arial" w:hAnsi="Arial" w:cs="Arial"/>
          <w:b/>
        </w:rPr>
        <w:t xml:space="preserve"> </w:t>
      </w:r>
      <w:r w:rsidRPr="00FA2738">
        <w:rPr>
          <w:rFonts w:ascii="Arial" w:hAnsi="Arial" w:cs="Arial"/>
        </w:rPr>
        <w:t xml:space="preserve">– strana </w:t>
      </w:r>
      <w:r>
        <w:rPr>
          <w:rFonts w:ascii="Arial" w:hAnsi="Arial" w:cs="Arial"/>
        </w:rPr>
        <w:t xml:space="preserve">51 </w:t>
      </w:r>
    </w:p>
    <w:p w14:paraId="07A62E0E"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C.1.</w:t>
      </w:r>
      <w:proofErr w:type="gramEnd"/>
      <w:r w:rsidRPr="00CE5B16">
        <w:rPr>
          <w:rFonts w:ascii="Arial" w:hAnsi="Arial" w:cs="Arial"/>
          <w:sz w:val="18"/>
          <w:szCs w:val="18"/>
        </w:rPr>
        <w:t xml:space="preserve"> Demografický vývoj</w:t>
      </w:r>
    </w:p>
    <w:p w14:paraId="0D4177DA"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C.2.</w:t>
      </w:r>
      <w:proofErr w:type="gramEnd"/>
      <w:r w:rsidRPr="00CE5B16">
        <w:rPr>
          <w:rFonts w:ascii="Arial" w:hAnsi="Arial" w:cs="Arial"/>
          <w:sz w:val="18"/>
          <w:szCs w:val="18"/>
        </w:rPr>
        <w:t xml:space="preserve"> Návrh obytného území</w:t>
      </w:r>
    </w:p>
    <w:p w14:paraId="239F927B"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C.3.</w:t>
      </w:r>
      <w:proofErr w:type="gramEnd"/>
      <w:r w:rsidRPr="00CE5B16">
        <w:rPr>
          <w:rFonts w:ascii="Arial" w:hAnsi="Arial" w:cs="Arial"/>
          <w:sz w:val="18"/>
          <w:szCs w:val="18"/>
        </w:rPr>
        <w:t xml:space="preserve"> Návrh občanského vybavení</w:t>
      </w:r>
    </w:p>
    <w:p w14:paraId="3BC33992"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C.4.</w:t>
      </w:r>
      <w:proofErr w:type="gramEnd"/>
      <w:r w:rsidRPr="00CE5B16">
        <w:rPr>
          <w:rFonts w:ascii="Arial" w:hAnsi="Arial" w:cs="Arial"/>
          <w:sz w:val="18"/>
          <w:szCs w:val="18"/>
        </w:rPr>
        <w:t xml:space="preserve"> Rekreace a cestovní ruch</w:t>
      </w:r>
    </w:p>
    <w:p w14:paraId="4B847B6B"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C.5.</w:t>
      </w:r>
      <w:proofErr w:type="gramEnd"/>
      <w:r w:rsidRPr="00CE5B16">
        <w:rPr>
          <w:rFonts w:ascii="Arial" w:hAnsi="Arial" w:cs="Arial"/>
          <w:sz w:val="18"/>
          <w:szCs w:val="18"/>
        </w:rPr>
        <w:t xml:space="preserve"> Zeleň</w:t>
      </w:r>
    </w:p>
    <w:p w14:paraId="347F887F"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C.6.</w:t>
      </w:r>
      <w:proofErr w:type="gramEnd"/>
      <w:r w:rsidRPr="00CE5B16">
        <w:rPr>
          <w:rFonts w:ascii="Arial" w:hAnsi="Arial" w:cs="Arial"/>
          <w:sz w:val="18"/>
          <w:szCs w:val="18"/>
        </w:rPr>
        <w:t xml:space="preserve"> Ekonomická základna</w:t>
      </w:r>
    </w:p>
    <w:p w14:paraId="1BA434B3"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C.7.</w:t>
      </w:r>
      <w:proofErr w:type="gramEnd"/>
      <w:r w:rsidRPr="00CE5B16">
        <w:rPr>
          <w:rFonts w:ascii="Arial" w:hAnsi="Arial" w:cs="Arial"/>
          <w:sz w:val="18"/>
          <w:szCs w:val="18"/>
        </w:rPr>
        <w:t xml:space="preserve"> Zemědělská výroba</w:t>
      </w:r>
    </w:p>
    <w:p w14:paraId="05867239"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C.8.</w:t>
      </w:r>
      <w:proofErr w:type="gramEnd"/>
      <w:r w:rsidRPr="00CE5B16">
        <w:rPr>
          <w:rFonts w:ascii="Arial" w:hAnsi="Arial" w:cs="Arial"/>
          <w:sz w:val="18"/>
          <w:szCs w:val="18"/>
        </w:rPr>
        <w:t xml:space="preserve"> Lesnictví</w:t>
      </w:r>
    </w:p>
    <w:p w14:paraId="11D8BB38"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C.9.</w:t>
      </w:r>
      <w:proofErr w:type="gramEnd"/>
      <w:r w:rsidRPr="00CE5B16">
        <w:rPr>
          <w:rFonts w:ascii="Arial" w:hAnsi="Arial" w:cs="Arial"/>
          <w:sz w:val="18"/>
          <w:szCs w:val="18"/>
        </w:rPr>
        <w:t xml:space="preserve"> Vodní toky a plochy</w:t>
      </w:r>
    </w:p>
    <w:p w14:paraId="429303E6" w14:textId="77777777" w:rsidR="00FC65E4" w:rsidRPr="00CE5B16" w:rsidRDefault="00FC65E4" w:rsidP="00FC65E4">
      <w:pPr>
        <w:pStyle w:val="Odstavecseseznamem"/>
        <w:spacing w:before="120" w:after="0" w:line="288" w:lineRule="auto"/>
        <w:jc w:val="both"/>
        <w:rPr>
          <w:rFonts w:ascii="Arial" w:hAnsi="Arial" w:cs="Arial"/>
          <w:sz w:val="20"/>
          <w:szCs w:val="20"/>
        </w:rPr>
      </w:pPr>
      <w:r w:rsidRPr="00CE5B16">
        <w:rPr>
          <w:rFonts w:ascii="Arial" w:hAnsi="Arial" w:cs="Arial"/>
          <w:sz w:val="20"/>
          <w:szCs w:val="20"/>
        </w:rPr>
        <w:t xml:space="preserve"> </w:t>
      </w:r>
    </w:p>
    <w:p w14:paraId="1D095D02" w14:textId="77777777" w:rsidR="00FC65E4" w:rsidRPr="00FA2738" w:rsidRDefault="00FC65E4" w:rsidP="00FC65E4">
      <w:pPr>
        <w:pStyle w:val="Odstavecseseznamem"/>
        <w:numPr>
          <w:ilvl w:val="0"/>
          <w:numId w:val="3"/>
        </w:numPr>
        <w:spacing w:before="120" w:after="0" w:line="288" w:lineRule="auto"/>
        <w:jc w:val="both"/>
        <w:rPr>
          <w:rFonts w:ascii="Arial" w:hAnsi="Arial" w:cs="Arial"/>
        </w:rPr>
      </w:pPr>
      <w:r w:rsidRPr="000C5146">
        <w:rPr>
          <w:rFonts w:ascii="Arial" w:hAnsi="Arial" w:cs="Arial"/>
          <w:b/>
        </w:rPr>
        <w:t>Chráněná území a objekty, ochranná pásma</w:t>
      </w:r>
      <w:r>
        <w:rPr>
          <w:rFonts w:ascii="Arial" w:hAnsi="Arial" w:cs="Arial"/>
          <w:b/>
        </w:rPr>
        <w:t xml:space="preserve"> </w:t>
      </w:r>
      <w:r w:rsidRPr="00FA2738">
        <w:rPr>
          <w:rFonts w:ascii="Arial" w:hAnsi="Arial" w:cs="Arial"/>
        </w:rPr>
        <w:t xml:space="preserve">– strana </w:t>
      </w:r>
      <w:r>
        <w:rPr>
          <w:rFonts w:ascii="Arial" w:hAnsi="Arial" w:cs="Arial"/>
        </w:rPr>
        <w:t xml:space="preserve">136 </w:t>
      </w:r>
    </w:p>
    <w:p w14:paraId="0B41D006"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D.1.</w:t>
      </w:r>
      <w:proofErr w:type="gramEnd"/>
      <w:r w:rsidRPr="00CE5B16">
        <w:rPr>
          <w:rFonts w:ascii="Arial" w:hAnsi="Arial" w:cs="Arial"/>
          <w:sz w:val="18"/>
          <w:szCs w:val="18"/>
        </w:rPr>
        <w:t xml:space="preserve"> Ochrana přírody</w:t>
      </w:r>
    </w:p>
    <w:p w14:paraId="76D635CA"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D.2.</w:t>
      </w:r>
      <w:proofErr w:type="gramEnd"/>
      <w:r w:rsidRPr="00CE5B16">
        <w:rPr>
          <w:rFonts w:ascii="Arial" w:hAnsi="Arial" w:cs="Arial"/>
          <w:sz w:val="18"/>
          <w:szCs w:val="18"/>
        </w:rPr>
        <w:t xml:space="preserve"> Kulturní památky</w:t>
      </w:r>
    </w:p>
    <w:p w14:paraId="12DA8EC1"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D.3.</w:t>
      </w:r>
      <w:proofErr w:type="gramEnd"/>
      <w:r w:rsidRPr="00CE5B16">
        <w:rPr>
          <w:rFonts w:ascii="Arial" w:hAnsi="Arial" w:cs="Arial"/>
          <w:sz w:val="18"/>
          <w:szCs w:val="18"/>
        </w:rPr>
        <w:t xml:space="preserve"> Krajinná památková zóna</w:t>
      </w:r>
    </w:p>
    <w:p w14:paraId="65A34C11"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D.4.</w:t>
      </w:r>
      <w:proofErr w:type="gramEnd"/>
      <w:r w:rsidRPr="00CE5B16">
        <w:rPr>
          <w:rFonts w:ascii="Arial" w:hAnsi="Arial" w:cs="Arial"/>
          <w:sz w:val="18"/>
          <w:szCs w:val="18"/>
        </w:rPr>
        <w:t xml:space="preserve"> Ochranná pásma dopravy</w:t>
      </w:r>
    </w:p>
    <w:p w14:paraId="44AA0CBB"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D.5.</w:t>
      </w:r>
      <w:proofErr w:type="gramEnd"/>
      <w:r w:rsidRPr="00CE5B16">
        <w:rPr>
          <w:rFonts w:ascii="Arial" w:hAnsi="Arial" w:cs="Arial"/>
          <w:sz w:val="18"/>
          <w:szCs w:val="18"/>
        </w:rPr>
        <w:t xml:space="preserve"> Ochranná pásma vodního hospodářství</w:t>
      </w:r>
    </w:p>
    <w:p w14:paraId="4AB732A2"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D.6.</w:t>
      </w:r>
      <w:proofErr w:type="gramEnd"/>
      <w:r w:rsidRPr="00CE5B16">
        <w:rPr>
          <w:rFonts w:ascii="Arial" w:hAnsi="Arial" w:cs="Arial"/>
          <w:sz w:val="18"/>
          <w:szCs w:val="18"/>
        </w:rPr>
        <w:t xml:space="preserve"> Ochranná pásma energetiky a spojů</w:t>
      </w:r>
    </w:p>
    <w:p w14:paraId="711E3C60" w14:textId="77777777" w:rsidR="00FC65E4" w:rsidRPr="00CE5B16" w:rsidRDefault="00FC65E4" w:rsidP="00FC65E4">
      <w:pPr>
        <w:pStyle w:val="Odstavecseseznamem"/>
        <w:spacing w:before="120" w:after="0" w:line="288" w:lineRule="auto"/>
        <w:jc w:val="both"/>
        <w:rPr>
          <w:rFonts w:ascii="Arial" w:hAnsi="Arial" w:cs="Arial"/>
          <w:sz w:val="20"/>
          <w:szCs w:val="20"/>
        </w:rPr>
      </w:pPr>
    </w:p>
    <w:p w14:paraId="2FFF32AD" w14:textId="77777777" w:rsidR="00FC65E4" w:rsidRPr="000C5146" w:rsidRDefault="00FC65E4" w:rsidP="00FC65E4">
      <w:pPr>
        <w:pStyle w:val="Odstavecseseznamem"/>
        <w:numPr>
          <w:ilvl w:val="0"/>
          <w:numId w:val="3"/>
        </w:numPr>
        <w:spacing w:before="120" w:after="0" w:line="288" w:lineRule="auto"/>
        <w:jc w:val="both"/>
        <w:rPr>
          <w:rFonts w:ascii="Arial" w:hAnsi="Arial" w:cs="Arial"/>
          <w:b/>
        </w:rPr>
      </w:pPr>
      <w:r w:rsidRPr="000C5146">
        <w:rPr>
          <w:rFonts w:ascii="Arial" w:hAnsi="Arial" w:cs="Arial"/>
          <w:b/>
        </w:rPr>
        <w:t>Komplexní vyhodnocení kvality životního prostředí</w:t>
      </w:r>
      <w:r>
        <w:rPr>
          <w:rFonts w:ascii="Arial" w:hAnsi="Arial" w:cs="Arial"/>
          <w:b/>
        </w:rPr>
        <w:t xml:space="preserve"> </w:t>
      </w:r>
      <w:r w:rsidRPr="00FA2738">
        <w:rPr>
          <w:rFonts w:ascii="Arial" w:hAnsi="Arial" w:cs="Arial"/>
        </w:rPr>
        <w:t xml:space="preserve">– strana </w:t>
      </w:r>
      <w:r>
        <w:rPr>
          <w:rFonts w:ascii="Arial" w:hAnsi="Arial" w:cs="Arial"/>
        </w:rPr>
        <w:t xml:space="preserve">153 </w:t>
      </w:r>
    </w:p>
    <w:p w14:paraId="6C47DDCD"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E.1.</w:t>
      </w:r>
      <w:proofErr w:type="gramEnd"/>
      <w:r w:rsidRPr="00CE5B16">
        <w:rPr>
          <w:rFonts w:ascii="Arial" w:hAnsi="Arial" w:cs="Arial"/>
          <w:sz w:val="18"/>
          <w:szCs w:val="18"/>
        </w:rPr>
        <w:t xml:space="preserve"> Ovzduší</w:t>
      </w:r>
    </w:p>
    <w:p w14:paraId="1C150234"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E.2.</w:t>
      </w:r>
      <w:proofErr w:type="gramEnd"/>
      <w:r w:rsidRPr="00CE5B16">
        <w:rPr>
          <w:rFonts w:ascii="Arial" w:hAnsi="Arial" w:cs="Arial"/>
          <w:sz w:val="18"/>
          <w:szCs w:val="18"/>
        </w:rPr>
        <w:t xml:space="preserve"> Odpadové hospodářství</w:t>
      </w:r>
    </w:p>
    <w:p w14:paraId="6D023AC3"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E.3.</w:t>
      </w:r>
      <w:proofErr w:type="gramEnd"/>
      <w:r w:rsidRPr="00CE5B16">
        <w:rPr>
          <w:rFonts w:ascii="Arial" w:hAnsi="Arial" w:cs="Arial"/>
          <w:sz w:val="18"/>
          <w:szCs w:val="18"/>
        </w:rPr>
        <w:t xml:space="preserve"> Kontaminace zemin</w:t>
      </w:r>
    </w:p>
    <w:p w14:paraId="09953BAF"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E.4.</w:t>
      </w:r>
      <w:proofErr w:type="gramEnd"/>
      <w:r w:rsidRPr="00CE5B16">
        <w:rPr>
          <w:rFonts w:ascii="Arial" w:hAnsi="Arial" w:cs="Arial"/>
          <w:sz w:val="18"/>
          <w:szCs w:val="18"/>
        </w:rPr>
        <w:t xml:space="preserve"> Pásma hygienické ochrany</w:t>
      </w:r>
    </w:p>
    <w:p w14:paraId="3D1F7155" w14:textId="77777777" w:rsidR="00FC65E4" w:rsidRPr="00CE5B16" w:rsidRDefault="00FC65E4" w:rsidP="00FC65E4">
      <w:pPr>
        <w:pStyle w:val="Odstavecseseznamem"/>
        <w:spacing w:before="120" w:after="0" w:line="288" w:lineRule="auto"/>
        <w:jc w:val="both"/>
        <w:rPr>
          <w:rFonts w:ascii="Arial" w:hAnsi="Arial" w:cs="Arial"/>
          <w:sz w:val="20"/>
          <w:szCs w:val="20"/>
        </w:rPr>
      </w:pPr>
      <w:proofErr w:type="gramStart"/>
      <w:r w:rsidRPr="00CE5B16">
        <w:rPr>
          <w:rFonts w:ascii="Arial" w:hAnsi="Arial" w:cs="Arial"/>
          <w:sz w:val="18"/>
          <w:szCs w:val="18"/>
        </w:rPr>
        <w:t>E.5.</w:t>
      </w:r>
      <w:proofErr w:type="gramEnd"/>
      <w:r w:rsidRPr="00CE5B16">
        <w:rPr>
          <w:rFonts w:ascii="Arial" w:hAnsi="Arial" w:cs="Arial"/>
          <w:sz w:val="18"/>
          <w:szCs w:val="18"/>
        </w:rPr>
        <w:t xml:space="preserve"> Ohrožení hlukem</w:t>
      </w:r>
      <w:r w:rsidRPr="00CE5B16">
        <w:rPr>
          <w:rFonts w:ascii="Arial" w:hAnsi="Arial" w:cs="Arial"/>
          <w:sz w:val="20"/>
          <w:szCs w:val="20"/>
        </w:rPr>
        <w:t xml:space="preserve"> </w:t>
      </w:r>
    </w:p>
    <w:p w14:paraId="7A4B8BAA"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E.6.</w:t>
      </w:r>
      <w:proofErr w:type="gramEnd"/>
      <w:r w:rsidRPr="00CE5B16">
        <w:rPr>
          <w:rFonts w:ascii="Arial" w:hAnsi="Arial" w:cs="Arial"/>
          <w:sz w:val="18"/>
          <w:szCs w:val="18"/>
        </w:rPr>
        <w:t xml:space="preserve"> Radiační riziko</w:t>
      </w:r>
    </w:p>
    <w:p w14:paraId="3F39E508"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E.7.</w:t>
      </w:r>
      <w:proofErr w:type="gramEnd"/>
      <w:r w:rsidRPr="00CE5B16">
        <w:rPr>
          <w:rFonts w:ascii="Arial" w:hAnsi="Arial" w:cs="Arial"/>
          <w:sz w:val="18"/>
          <w:szCs w:val="18"/>
        </w:rPr>
        <w:t xml:space="preserve"> Čistota vody</w:t>
      </w:r>
    </w:p>
    <w:p w14:paraId="2B142984" w14:textId="77777777" w:rsidR="00FC65E4" w:rsidRDefault="00FC65E4" w:rsidP="00FC65E4">
      <w:pPr>
        <w:pStyle w:val="Odstavecseseznamem"/>
        <w:spacing w:before="120" w:after="0" w:line="288" w:lineRule="auto"/>
        <w:jc w:val="both"/>
        <w:rPr>
          <w:rFonts w:ascii="Arial" w:hAnsi="Arial" w:cs="Arial"/>
        </w:rPr>
      </w:pPr>
    </w:p>
    <w:p w14:paraId="3F897CFA" w14:textId="77777777" w:rsidR="00FC65E4" w:rsidRPr="001F1C06" w:rsidRDefault="00FC65E4" w:rsidP="00FC65E4">
      <w:pPr>
        <w:pStyle w:val="Odstavecseseznamem"/>
        <w:numPr>
          <w:ilvl w:val="0"/>
          <w:numId w:val="3"/>
        </w:numPr>
        <w:spacing w:before="120" w:after="0" w:line="288" w:lineRule="auto"/>
        <w:jc w:val="both"/>
        <w:rPr>
          <w:rFonts w:ascii="Arial" w:hAnsi="Arial" w:cs="Arial"/>
          <w:b/>
        </w:rPr>
      </w:pPr>
      <w:r w:rsidRPr="001F1C06">
        <w:rPr>
          <w:rFonts w:ascii="Arial" w:hAnsi="Arial" w:cs="Arial"/>
          <w:b/>
        </w:rPr>
        <w:t xml:space="preserve">Návrh koncepce dopravy </w:t>
      </w:r>
      <w:r w:rsidRPr="001F1C06">
        <w:rPr>
          <w:rFonts w:ascii="Arial" w:hAnsi="Arial" w:cs="Arial"/>
        </w:rPr>
        <w:t>– strana 16</w:t>
      </w:r>
      <w:r>
        <w:rPr>
          <w:rFonts w:ascii="Arial" w:hAnsi="Arial" w:cs="Arial"/>
        </w:rPr>
        <w:t>4</w:t>
      </w:r>
      <w:r w:rsidRPr="001F1C06">
        <w:rPr>
          <w:rFonts w:ascii="Arial" w:hAnsi="Arial" w:cs="Arial"/>
          <w:b/>
        </w:rPr>
        <w:t xml:space="preserve"> </w:t>
      </w:r>
    </w:p>
    <w:p w14:paraId="188C5C5D"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F.1.</w:t>
      </w:r>
      <w:proofErr w:type="gramEnd"/>
      <w:r w:rsidRPr="00CE5B16">
        <w:rPr>
          <w:rFonts w:ascii="Arial" w:hAnsi="Arial" w:cs="Arial"/>
          <w:sz w:val="18"/>
          <w:szCs w:val="18"/>
        </w:rPr>
        <w:t xml:space="preserve"> Problematika současného stavu</w:t>
      </w:r>
    </w:p>
    <w:p w14:paraId="5BC01195"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F.2.</w:t>
      </w:r>
      <w:proofErr w:type="gramEnd"/>
      <w:r w:rsidRPr="00CE5B16">
        <w:rPr>
          <w:rFonts w:ascii="Arial" w:hAnsi="Arial" w:cs="Arial"/>
          <w:sz w:val="18"/>
          <w:szCs w:val="18"/>
        </w:rPr>
        <w:t xml:space="preserve"> Město ve výhledovém dopravním systému</w:t>
      </w:r>
    </w:p>
    <w:p w14:paraId="726F6B00"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F.3.</w:t>
      </w:r>
      <w:proofErr w:type="gramEnd"/>
      <w:r w:rsidRPr="00CE5B16">
        <w:rPr>
          <w:rFonts w:ascii="Arial" w:hAnsi="Arial" w:cs="Arial"/>
          <w:sz w:val="18"/>
          <w:szCs w:val="18"/>
        </w:rPr>
        <w:t xml:space="preserve"> Dopravní síť</w:t>
      </w:r>
    </w:p>
    <w:p w14:paraId="3768D217"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lastRenderedPageBreak/>
        <w:t>F.4.</w:t>
      </w:r>
      <w:proofErr w:type="gramEnd"/>
      <w:r w:rsidRPr="00CE5B16">
        <w:rPr>
          <w:rFonts w:ascii="Arial" w:hAnsi="Arial" w:cs="Arial"/>
          <w:sz w:val="18"/>
          <w:szCs w:val="18"/>
        </w:rPr>
        <w:t xml:space="preserve"> Hromadná doprava</w:t>
      </w:r>
    </w:p>
    <w:p w14:paraId="4B509632"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F.5.</w:t>
      </w:r>
      <w:proofErr w:type="gramEnd"/>
      <w:r w:rsidRPr="00CE5B16">
        <w:rPr>
          <w:rFonts w:ascii="Arial" w:hAnsi="Arial" w:cs="Arial"/>
          <w:sz w:val="18"/>
          <w:szCs w:val="18"/>
        </w:rPr>
        <w:t xml:space="preserve"> Dopravní vybavenost</w:t>
      </w:r>
    </w:p>
    <w:p w14:paraId="6D9ECDD5"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F.6.</w:t>
      </w:r>
      <w:proofErr w:type="gramEnd"/>
      <w:r w:rsidRPr="00CE5B16">
        <w:rPr>
          <w:rFonts w:ascii="Arial" w:hAnsi="Arial" w:cs="Arial"/>
          <w:sz w:val="18"/>
          <w:szCs w:val="18"/>
        </w:rPr>
        <w:t xml:space="preserve"> Klidová doprava</w:t>
      </w:r>
    </w:p>
    <w:p w14:paraId="004B6423" w14:textId="77777777" w:rsidR="00FC65E4" w:rsidRPr="00CE5B16" w:rsidRDefault="00FC65E4" w:rsidP="00FC65E4">
      <w:pPr>
        <w:pStyle w:val="Odstavecseseznamem"/>
        <w:spacing w:before="120" w:after="0" w:line="288" w:lineRule="auto"/>
        <w:jc w:val="both"/>
        <w:rPr>
          <w:rFonts w:ascii="Arial" w:hAnsi="Arial" w:cs="Arial"/>
          <w:sz w:val="20"/>
          <w:szCs w:val="20"/>
        </w:rPr>
      </w:pPr>
    </w:p>
    <w:p w14:paraId="674D3AA6" w14:textId="77777777" w:rsidR="00FC65E4" w:rsidRPr="001F1C06" w:rsidRDefault="00FC65E4" w:rsidP="00FC65E4">
      <w:pPr>
        <w:pStyle w:val="Odstavecseseznamem"/>
        <w:numPr>
          <w:ilvl w:val="0"/>
          <w:numId w:val="3"/>
        </w:numPr>
        <w:spacing w:before="120" w:after="0" w:line="288" w:lineRule="auto"/>
        <w:jc w:val="both"/>
        <w:rPr>
          <w:rFonts w:ascii="Arial" w:hAnsi="Arial" w:cs="Arial"/>
          <w:b/>
        </w:rPr>
      </w:pPr>
      <w:r w:rsidRPr="001F1C06">
        <w:rPr>
          <w:rFonts w:ascii="Arial" w:hAnsi="Arial" w:cs="Arial"/>
          <w:b/>
        </w:rPr>
        <w:t xml:space="preserve">Návrh zásobování vodou </w:t>
      </w:r>
      <w:r w:rsidRPr="001F1C06">
        <w:rPr>
          <w:rFonts w:ascii="Arial" w:hAnsi="Arial" w:cs="Arial"/>
        </w:rPr>
        <w:t xml:space="preserve">– strana </w:t>
      </w:r>
      <w:r>
        <w:rPr>
          <w:rFonts w:ascii="Arial" w:hAnsi="Arial" w:cs="Arial"/>
        </w:rPr>
        <w:t>199</w:t>
      </w:r>
    </w:p>
    <w:p w14:paraId="18CFEB65"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G.1.</w:t>
      </w:r>
      <w:proofErr w:type="gramEnd"/>
      <w:r w:rsidRPr="00CE5B16">
        <w:rPr>
          <w:rFonts w:ascii="Arial" w:hAnsi="Arial" w:cs="Arial"/>
          <w:sz w:val="18"/>
          <w:szCs w:val="18"/>
        </w:rPr>
        <w:t xml:space="preserve"> Zásobování pitnou vodou</w:t>
      </w:r>
    </w:p>
    <w:p w14:paraId="7B863191"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G.2.</w:t>
      </w:r>
      <w:proofErr w:type="gramEnd"/>
      <w:r w:rsidRPr="00CE5B16">
        <w:rPr>
          <w:rFonts w:ascii="Arial" w:hAnsi="Arial" w:cs="Arial"/>
          <w:sz w:val="18"/>
          <w:szCs w:val="18"/>
        </w:rPr>
        <w:t xml:space="preserve"> Zásobování užitkovou vodou </w:t>
      </w:r>
    </w:p>
    <w:p w14:paraId="66288A80"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G.3.</w:t>
      </w:r>
      <w:proofErr w:type="gramEnd"/>
      <w:r w:rsidRPr="00CE5B16">
        <w:rPr>
          <w:rFonts w:ascii="Arial" w:hAnsi="Arial" w:cs="Arial"/>
          <w:sz w:val="18"/>
          <w:szCs w:val="18"/>
        </w:rPr>
        <w:t xml:space="preserve"> Termální vody</w:t>
      </w:r>
    </w:p>
    <w:p w14:paraId="3C563009" w14:textId="77777777" w:rsidR="00FC65E4" w:rsidRPr="00CE5B16" w:rsidRDefault="00FC65E4" w:rsidP="00FC65E4">
      <w:pPr>
        <w:pStyle w:val="Odstavecseseznamem"/>
        <w:spacing w:before="120" w:after="0" w:line="288" w:lineRule="auto"/>
        <w:jc w:val="both"/>
        <w:rPr>
          <w:rFonts w:ascii="Arial" w:hAnsi="Arial" w:cs="Arial"/>
          <w:sz w:val="20"/>
          <w:szCs w:val="20"/>
        </w:rPr>
      </w:pPr>
    </w:p>
    <w:p w14:paraId="517D9373" w14:textId="77777777" w:rsidR="00FC65E4" w:rsidRPr="000C5146" w:rsidRDefault="00FC65E4" w:rsidP="00FC65E4">
      <w:pPr>
        <w:pStyle w:val="Odstavecseseznamem"/>
        <w:numPr>
          <w:ilvl w:val="0"/>
          <w:numId w:val="3"/>
        </w:numPr>
        <w:spacing w:before="120" w:after="0" w:line="288" w:lineRule="auto"/>
        <w:jc w:val="both"/>
        <w:rPr>
          <w:rFonts w:ascii="Arial" w:hAnsi="Arial" w:cs="Arial"/>
          <w:b/>
        </w:rPr>
      </w:pPr>
      <w:r w:rsidRPr="000C5146">
        <w:rPr>
          <w:rFonts w:ascii="Arial" w:hAnsi="Arial" w:cs="Arial"/>
          <w:b/>
        </w:rPr>
        <w:t>Návrh likvidace odpadních vod</w:t>
      </w:r>
      <w:r>
        <w:rPr>
          <w:rFonts w:ascii="Arial" w:hAnsi="Arial" w:cs="Arial"/>
          <w:b/>
        </w:rPr>
        <w:t xml:space="preserve"> </w:t>
      </w:r>
      <w:r w:rsidRPr="00FA2738">
        <w:rPr>
          <w:rFonts w:ascii="Arial" w:hAnsi="Arial" w:cs="Arial"/>
        </w:rPr>
        <w:t xml:space="preserve">– strana </w:t>
      </w:r>
      <w:r>
        <w:rPr>
          <w:rFonts w:ascii="Arial" w:hAnsi="Arial" w:cs="Arial"/>
        </w:rPr>
        <w:t>214</w:t>
      </w:r>
    </w:p>
    <w:p w14:paraId="598E75DF"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H.1.</w:t>
      </w:r>
      <w:proofErr w:type="gramEnd"/>
      <w:r w:rsidRPr="00CE5B16">
        <w:rPr>
          <w:rFonts w:ascii="Arial" w:hAnsi="Arial" w:cs="Arial"/>
          <w:sz w:val="18"/>
          <w:szCs w:val="18"/>
        </w:rPr>
        <w:t xml:space="preserve"> Popis současného stavu</w:t>
      </w:r>
    </w:p>
    <w:p w14:paraId="494CD6B6"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H.2.</w:t>
      </w:r>
      <w:proofErr w:type="gramEnd"/>
      <w:r w:rsidRPr="00CE5B16">
        <w:rPr>
          <w:rFonts w:ascii="Arial" w:hAnsi="Arial" w:cs="Arial"/>
          <w:sz w:val="18"/>
          <w:szCs w:val="18"/>
        </w:rPr>
        <w:t xml:space="preserve"> Hlavní zásady dostavby a rekonstrukce kanalizace a ČOV</w:t>
      </w:r>
    </w:p>
    <w:p w14:paraId="23D5D0C5" w14:textId="77777777" w:rsidR="00FC65E4" w:rsidRPr="00CE5B16" w:rsidRDefault="00FC65E4" w:rsidP="00FC65E4">
      <w:pPr>
        <w:pStyle w:val="Odstavecseseznamem"/>
        <w:spacing w:before="120" w:after="0" w:line="288" w:lineRule="auto"/>
        <w:jc w:val="both"/>
        <w:rPr>
          <w:rFonts w:ascii="Arial" w:hAnsi="Arial" w:cs="Arial"/>
          <w:sz w:val="20"/>
          <w:szCs w:val="20"/>
        </w:rPr>
      </w:pPr>
    </w:p>
    <w:p w14:paraId="5CB6E870" w14:textId="77777777" w:rsidR="00FC65E4" w:rsidRPr="00FA2738" w:rsidRDefault="00FC65E4" w:rsidP="00FC65E4">
      <w:pPr>
        <w:pStyle w:val="Odstavecseseznamem"/>
        <w:spacing w:before="120" w:after="0" w:line="288" w:lineRule="auto"/>
        <w:ind w:left="0"/>
        <w:jc w:val="both"/>
        <w:rPr>
          <w:rFonts w:ascii="Arial" w:hAnsi="Arial" w:cs="Arial"/>
        </w:rPr>
      </w:pPr>
      <w:r>
        <w:rPr>
          <w:rFonts w:ascii="Arial" w:hAnsi="Arial" w:cs="Arial"/>
        </w:rPr>
        <w:t xml:space="preserve">     </w:t>
      </w:r>
      <w:r w:rsidRPr="000C5146">
        <w:rPr>
          <w:rFonts w:ascii="Arial" w:hAnsi="Arial" w:cs="Arial"/>
          <w:b/>
        </w:rPr>
        <w:t>CH. Vodohospodářská koncepce rozvojových ploch</w:t>
      </w:r>
      <w:r>
        <w:rPr>
          <w:rFonts w:ascii="Arial" w:hAnsi="Arial" w:cs="Arial"/>
          <w:b/>
        </w:rPr>
        <w:t xml:space="preserve"> </w:t>
      </w:r>
      <w:r w:rsidRPr="00FA2738">
        <w:rPr>
          <w:rFonts w:ascii="Arial" w:hAnsi="Arial" w:cs="Arial"/>
        </w:rPr>
        <w:t xml:space="preserve">– strana </w:t>
      </w:r>
      <w:r>
        <w:rPr>
          <w:rFonts w:ascii="Arial" w:hAnsi="Arial" w:cs="Arial"/>
        </w:rPr>
        <w:t xml:space="preserve">222 </w:t>
      </w:r>
    </w:p>
    <w:p w14:paraId="6FFFE67A" w14:textId="77777777" w:rsidR="00FC65E4" w:rsidRDefault="00FC65E4" w:rsidP="00FC65E4">
      <w:pPr>
        <w:pStyle w:val="Odstavecseseznamem"/>
        <w:spacing w:before="120" w:after="0" w:line="288" w:lineRule="auto"/>
        <w:ind w:left="0"/>
        <w:jc w:val="both"/>
        <w:rPr>
          <w:rFonts w:ascii="Arial" w:hAnsi="Arial" w:cs="Arial"/>
        </w:rPr>
      </w:pPr>
      <w:r>
        <w:rPr>
          <w:rFonts w:ascii="Arial" w:hAnsi="Arial" w:cs="Arial"/>
        </w:rPr>
        <w:t xml:space="preserve"> </w:t>
      </w:r>
    </w:p>
    <w:p w14:paraId="4739D5B3" w14:textId="77777777" w:rsidR="00FC65E4" w:rsidRPr="001F1C06" w:rsidRDefault="00FC65E4" w:rsidP="00FC65E4">
      <w:pPr>
        <w:pStyle w:val="Odstavecseseznamem"/>
        <w:numPr>
          <w:ilvl w:val="0"/>
          <w:numId w:val="3"/>
        </w:numPr>
        <w:spacing w:before="120" w:after="0" w:line="288" w:lineRule="auto"/>
        <w:jc w:val="both"/>
        <w:rPr>
          <w:rFonts w:ascii="Arial" w:hAnsi="Arial" w:cs="Arial"/>
          <w:b/>
        </w:rPr>
      </w:pPr>
      <w:r w:rsidRPr="000C5146">
        <w:rPr>
          <w:rFonts w:ascii="Arial" w:hAnsi="Arial" w:cs="Arial"/>
          <w:b/>
        </w:rPr>
        <w:t>Návrh energetiky a spojů</w:t>
      </w:r>
      <w:r>
        <w:rPr>
          <w:rFonts w:ascii="Arial" w:hAnsi="Arial" w:cs="Arial"/>
          <w:b/>
        </w:rPr>
        <w:t xml:space="preserve"> </w:t>
      </w:r>
      <w:r w:rsidRPr="00FA2738">
        <w:rPr>
          <w:rFonts w:ascii="Arial" w:hAnsi="Arial" w:cs="Arial"/>
        </w:rPr>
        <w:t xml:space="preserve">– </w:t>
      </w:r>
      <w:r w:rsidRPr="001F1C06">
        <w:rPr>
          <w:rFonts w:ascii="Arial" w:hAnsi="Arial" w:cs="Arial"/>
        </w:rPr>
        <w:t>strana 24</w:t>
      </w:r>
      <w:r>
        <w:rPr>
          <w:rFonts w:ascii="Arial" w:hAnsi="Arial" w:cs="Arial"/>
        </w:rPr>
        <w:t>6</w:t>
      </w:r>
    </w:p>
    <w:p w14:paraId="10C805C7"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I.1.</w:t>
      </w:r>
      <w:proofErr w:type="gramEnd"/>
      <w:r w:rsidRPr="00CE5B16">
        <w:rPr>
          <w:rFonts w:ascii="Arial" w:hAnsi="Arial" w:cs="Arial"/>
          <w:sz w:val="18"/>
          <w:szCs w:val="18"/>
        </w:rPr>
        <w:t xml:space="preserve"> Současný stav zásobování energiemi</w:t>
      </w:r>
    </w:p>
    <w:p w14:paraId="64925D49"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I.2.</w:t>
      </w:r>
      <w:proofErr w:type="gramEnd"/>
      <w:r w:rsidRPr="00CE5B16">
        <w:rPr>
          <w:rFonts w:ascii="Arial" w:hAnsi="Arial" w:cs="Arial"/>
          <w:sz w:val="18"/>
          <w:szCs w:val="18"/>
        </w:rPr>
        <w:t xml:space="preserve"> Zásobování elektrickou energií</w:t>
      </w:r>
    </w:p>
    <w:p w14:paraId="5E11A9FC"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I.3.</w:t>
      </w:r>
      <w:proofErr w:type="gramEnd"/>
      <w:r w:rsidRPr="00CE5B16">
        <w:rPr>
          <w:rFonts w:ascii="Arial" w:hAnsi="Arial" w:cs="Arial"/>
          <w:sz w:val="18"/>
          <w:szCs w:val="18"/>
        </w:rPr>
        <w:t xml:space="preserve"> Zásobování teplem</w:t>
      </w:r>
    </w:p>
    <w:p w14:paraId="66B31B09"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I.4.</w:t>
      </w:r>
      <w:proofErr w:type="gramEnd"/>
      <w:r w:rsidRPr="00CE5B16">
        <w:rPr>
          <w:rFonts w:ascii="Arial" w:hAnsi="Arial" w:cs="Arial"/>
          <w:sz w:val="18"/>
          <w:szCs w:val="18"/>
        </w:rPr>
        <w:t xml:space="preserve"> Zásobování plynem</w:t>
      </w:r>
    </w:p>
    <w:p w14:paraId="00211718"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I.5.</w:t>
      </w:r>
      <w:proofErr w:type="gramEnd"/>
      <w:r w:rsidRPr="00CE5B16">
        <w:rPr>
          <w:rFonts w:ascii="Arial" w:hAnsi="Arial" w:cs="Arial"/>
          <w:sz w:val="18"/>
          <w:szCs w:val="18"/>
        </w:rPr>
        <w:t xml:space="preserve"> Energetická bilance </w:t>
      </w:r>
    </w:p>
    <w:p w14:paraId="107F99A3"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I.6.</w:t>
      </w:r>
      <w:proofErr w:type="gramEnd"/>
      <w:r w:rsidRPr="00CE5B16">
        <w:rPr>
          <w:rFonts w:ascii="Arial" w:hAnsi="Arial" w:cs="Arial"/>
          <w:sz w:val="18"/>
          <w:szCs w:val="18"/>
        </w:rPr>
        <w:t xml:space="preserve"> Spoje – telekomunikace</w:t>
      </w:r>
    </w:p>
    <w:p w14:paraId="0A35B240" w14:textId="77777777" w:rsidR="00FC65E4" w:rsidRPr="00CE5B16" w:rsidRDefault="00FC65E4" w:rsidP="00FC65E4">
      <w:pPr>
        <w:pStyle w:val="Odstavecseseznamem"/>
        <w:spacing w:before="120" w:after="0" w:line="288" w:lineRule="auto"/>
        <w:jc w:val="both"/>
        <w:rPr>
          <w:rFonts w:ascii="Arial" w:hAnsi="Arial" w:cs="Arial"/>
          <w:sz w:val="18"/>
          <w:szCs w:val="18"/>
        </w:rPr>
      </w:pPr>
    </w:p>
    <w:p w14:paraId="4903ED4A" w14:textId="77777777" w:rsidR="00FC65E4" w:rsidRPr="000C5146" w:rsidRDefault="00FC65E4" w:rsidP="00FC65E4">
      <w:pPr>
        <w:pStyle w:val="Odstavecseseznamem"/>
        <w:numPr>
          <w:ilvl w:val="0"/>
          <w:numId w:val="3"/>
        </w:numPr>
        <w:spacing w:before="120" w:after="0" w:line="288" w:lineRule="auto"/>
        <w:jc w:val="both"/>
        <w:rPr>
          <w:rFonts w:ascii="Arial" w:hAnsi="Arial" w:cs="Arial"/>
          <w:b/>
        </w:rPr>
      </w:pPr>
      <w:r w:rsidRPr="000C5146">
        <w:rPr>
          <w:rFonts w:ascii="Arial" w:hAnsi="Arial" w:cs="Arial"/>
          <w:b/>
        </w:rPr>
        <w:t>Návrh členění města na funkční plochy a podmínky jejich využití – etapizace výstavby</w:t>
      </w:r>
      <w:r>
        <w:rPr>
          <w:rFonts w:ascii="Arial" w:hAnsi="Arial" w:cs="Arial"/>
          <w:b/>
        </w:rPr>
        <w:t xml:space="preserve"> </w:t>
      </w:r>
      <w:r w:rsidRPr="00FA2738">
        <w:rPr>
          <w:rFonts w:ascii="Arial" w:hAnsi="Arial" w:cs="Arial"/>
        </w:rPr>
        <w:t>– strana</w:t>
      </w:r>
      <w:r>
        <w:rPr>
          <w:rFonts w:ascii="Arial" w:hAnsi="Arial" w:cs="Arial"/>
        </w:rPr>
        <w:t xml:space="preserve"> 280</w:t>
      </w:r>
    </w:p>
    <w:p w14:paraId="36B30A14"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J.1.</w:t>
      </w:r>
      <w:proofErr w:type="gramEnd"/>
      <w:r w:rsidRPr="00CE5B16">
        <w:rPr>
          <w:rFonts w:ascii="Arial" w:hAnsi="Arial" w:cs="Arial"/>
          <w:sz w:val="18"/>
          <w:szCs w:val="18"/>
        </w:rPr>
        <w:t xml:space="preserve"> Prostorové uspořádání</w:t>
      </w:r>
    </w:p>
    <w:p w14:paraId="0D967749"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J.2.</w:t>
      </w:r>
      <w:proofErr w:type="gramEnd"/>
      <w:r w:rsidRPr="00CE5B16">
        <w:rPr>
          <w:rFonts w:ascii="Arial" w:hAnsi="Arial" w:cs="Arial"/>
          <w:sz w:val="18"/>
          <w:szCs w:val="18"/>
        </w:rPr>
        <w:t xml:space="preserve"> Funkční a prostorové regulativy</w:t>
      </w:r>
    </w:p>
    <w:p w14:paraId="606AF313" w14:textId="77777777" w:rsidR="00FC65E4" w:rsidRPr="00CE5B16" w:rsidRDefault="00FC65E4" w:rsidP="00FC65E4">
      <w:pPr>
        <w:pStyle w:val="Odstavecseseznamem"/>
        <w:spacing w:before="120" w:after="0" w:line="288" w:lineRule="auto"/>
        <w:jc w:val="both"/>
        <w:rPr>
          <w:rFonts w:ascii="Arial" w:hAnsi="Arial" w:cs="Arial"/>
          <w:sz w:val="20"/>
          <w:szCs w:val="20"/>
        </w:rPr>
      </w:pPr>
    </w:p>
    <w:p w14:paraId="01FC0BA7" w14:textId="77777777" w:rsidR="00FC65E4" w:rsidRPr="000C5146" w:rsidRDefault="00FC65E4" w:rsidP="00FC65E4">
      <w:pPr>
        <w:pStyle w:val="Odstavecseseznamem"/>
        <w:numPr>
          <w:ilvl w:val="0"/>
          <w:numId w:val="3"/>
        </w:numPr>
        <w:spacing w:before="120" w:after="0" w:line="288" w:lineRule="auto"/>
        <w:jc w:val="both"/>
        <w:rPr>
          <w:rFonts w:ascii="Arial" w:hAnsi="Arial" w:cs="Arial"/>
          <w:b/>
        </w:rPr>
      </w:pPr>
      <w:r w:rsidRPr="000C5146">
        <w:rPr>
          <w:rFonts w:ascii="Arial" w:hAnsi="Arial" w:cs="Arial"/>
          <w:b/>
        </w:rPr>
        <w:t>Limity využití území</w:t>
      </w:r>
      <w:r>
        <w:rPr>
          <w:rFonts w:ascii="Arial" w:hAnsi="Arial" w:cs="Arial"/>
          <w:b/>
        </w:rPr>
        <w:t xml:space="preserve"> </w:t>
      </w:r>
      <w:r w:rsidRPr="00FA2738">
        <w:rPr>
          <w:rFonts w:ascii="Arial" w:hAnsi="Arial" w:cs="Arial"/>
        </w:rPr>
        <w:t>– strana</w:t>
      </w:r>
      <w:r>
        <w:rPr>
          <w:rFonts w:ascii="Arial" w:hAnsi="Arial" w:cs="Arial"/>
        </w:rPr>
        <w:t xml:space="preserve"> 303</w:t>
      </w:r>
    </w:p>
    <w:p w14:paraId="3D57C0C9" w14:textId="77777777" w:rsidR="00FC65E4" w:rsidRDefault="00FC65E4" w:rsidP="00FC65E4">
      <w:pPr>
        <w:pStyle w:val="Odstavecseseznamem"/>
        <w:spacing w:before="120" w:after="0" w:line="288" w:lineRule="auto"/>
        <w:jc w:val="both"/>
        <w:rPr>
          <w:rFonts w:ascii="Arial" w:hAnsi="Arial" w:cs="Arial"/>
        </w:rPr>
      </w:pPr>
    </w:p>
    <w:p w14:paraId="6A8BC4EC" w14:textId="77777777" w:rsidR="00FC65E4" w:rsidRPr="000C5146" w:rsidRDefault="00FC65E4" w:rsidP="00FC65E4">
      <w:pPr>
        <w:pStyle w:val="Odstavecseseznamem"/>
        <w:numPr>
          <w:ilvl w:val="0"/>
          <w:numId w:val="3"/>
        </w:numPr>
        <w:spacing w:before="120" w:after="0" w:line="288" w:lineRule="auto"/>
        <w:jc w:val="both"/>
        <w:rPr>
          <w:rFonts w:ascii="Arial" w:hAnsi="Arial" w:cs="Arial"/>
          <w:b/>
        </w:rPr>
      </w:pPr>
      <w:r w:rsidRPr="000C5146">
        <w:rPr>
          <w:rFonts w:ascii="Arial" w:hAnsi="Arial" w:cs="Arial"/>
          <w:b/>
        </w:rPr>
        <w:t>Návrh územního systému ekologické stability</w:t>
      </w:r>
      <w:r>
        <w:rPr>
          <w:rFonts w:ascii="Arial" w:hAnsi="Arial" w:cs="Arial"/>
          <w:b/>
        </w:rPr>
        <w:t xml:space="preserve"> </w:t>
      </w:r>
      <w:r w:rsidRPr="00FA2738">
        <w:rPr>
          <w:rFonts w:ascii="Arial" w:hAnsi="Arial" w:cs="Arial"/>
        </w:rPr>
        <w:t>–</w:t>
      </w:r>
      <w:r>
        <w:rPr>
          <w:rFonts w:ascii="Arial" w:hAnsi="Arial" w:cs="Arial"/>
        </w:rPr>
        <w:tab/>
        <w:t xml:space="preserve"> </w:t>
      </w:r>
      <w:r w:rsidRPr="00FA2738">
        <w:rPr>
          <w:rFonts w:ascii="Arial" w:hAnsi="Arial" w:cs="Arial"/>
        </w:rPr>
        <w:t>strana</w:t>
      </w:r>
      <w:r>
        <w:rPr>
          <w:rFonts w:ascii="Arial" w:hAnsi="Arial" w:cs="Arial"/>
        </w:rPr>
        <w:t xml:space="preserve"> 318</w:t>
      </w:r>
    </w:p>
    <w:p w14:paraId="0F0E83C7"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L.1.</w:t>
      </w:r>
      <w:proofErr w:type="gramEnd"/>
      <w:r w:rsidRPr="00CE5B16">
        <w:rPr>
          <w:rFonts w:ascii="Arial" w:hAnsi="Arial" w:cs="Arial"/>
          <w:sz w:val="18"/>
          <w:szCs w:val="18"/>
        </w:rPr>
        <w:t xml:space="preserve"> Biokoridory</w:t>
      </w:r>
    </w:p>
    <w:p w14:paraId="3AE22E4D"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L.2.</w:t>
      </w:r>
      <w:proofErr w:type="gramEnd"/>
      <w:r w:rsidRPr="00CE5B16">
        <w:rPr>
          <w:rFonts w:ascii="Arial" w:hAnsi="Arial" w:cs="Arial"/>
          <w:sz w:val="18"/>
          <w:szCs w:val="18"/>
        </w:rPr>
        <w:t xml:space="preserve"> Interakční prvky</w:t>
      </w:r>
    </w:p>
    <w:p w14:paraId="121724FB" w14:textId="77777777" w:rsidR="00FC65E4" w:rsidRPr="00CE5B16" w:rsidRDefault="00FC65E4" w:rsidP="00FC65E4">
      <w:pPr>
        <w:pStyle w:val="Odstavecseseznamem"/>
        <w:spacing w:before="120" w:after="0" w:line="288" w:lineRule="auto"/>
        <w:jc w:val="both"/>
        <w:rPr>
          <w:rFonts w:ascii="Arial" w:hAnsi="Arial" w:cs="Arial"/>
          <w:sz w:val="18"/>
          <w:szCs w:val="18"/>
        </w:rPr>
      </w:pPr>
      <w:proofErr w:type="gramStart"/>
      <w:r w:rsidRPr="00CE5B16">
        <w:rPr>
          <w:rFonts w:ascii="Arial" w:hAnsi="Arial" w:cs="Arial"/>
          <w:sz w:val="18"/>
          <w:szCs w:val="18"/>
        </w:rPr>
        <w:t>L.3.</w:t>
      </w:r>
      <w:proofErr w:type="gramEnd"/>
      <w:r w:rsidRPr="00CE5B16">
        <w:rPr>
          <w:rFonts w:ascii="Arial" w:hAnsi="Arial" w:cs="Arial"/>
          <w:sz w:val="18"/>
          <w:szCs w:val="18"/>
        </w:rPr>
        <w:t xml:space="preserve"> Biocentra</w:t>
      </w:r>
    </w:p>
    <w:p w14:paraId="1CF25EF8" w14:textId="77777777" w:rsidR="00FC65E4" w:rsidRPr="00CE5B16" w:rsidRDefault="00FC65E4" w:rsidP="00FC65E4">
      <w:pPr>
        <w:pStyle w:val="Odstavecseseznamem"/>
        <w:spacing w:before="120" w:after="0" w:line="288" w:lineRule="auto"/>
        <w:jc w:val="both"/>
        <w:rPr>
          <w:rFonts w:ascii="Arial" w:hAnsi="Arial" w:cs="Arial"/>
          <w:sz w:val="20"/>
          <w:szCs w:val="20"/>
        </w:rPr>
      </w:pPr>
    </w:p>
    <w:p w14:paraId="193202E6" w14:textId="77777777" w:rsidR="00FC65E4" w:rsidRPr="000C5146" w:rsidRDefault="00FC65E4" w:rsidP="00FC65E4">
      <w:pPr>
        <w:pStyle w:val="Odstavecseseznamem"/>
        <w:numPr>
          <w:ilvl w:val="0"/>
          <w:numId w:val="3"/>
        </w:numPr>
        <w:spacing w:before="120" w:after="0" w:line="600" w:lineRule="auto"/>
        <w:jc w:val="both"/>
        <w:rPr>
          <w:rFonts w:ascii="Arial" w:hAnsi="Arial" w:cs="Arial"/>
          <w:b/>
        </w:rPr>
      </w:pPr>
      <w:r w:rsidRPr="000C5146">
        <w:rPr>
          <w:rFonts w:ascii="Arial" w:hAnsi="Arial" w:cs="Arial"/>
          <w:b/>
        </w:rPr>
        <w:t>Vymezení veřejně prospěšných staveb a asanačních úprav</w:t>
      </w:r>
      <w:r>
        <w:rPr>
          <w:rFonts w:ascii="Arial" w:hAnsi="Arial" w:cs="Arial"/>
          <w:b/>
        </w:rPr>
        <w:t xml:space="preserve"> </w:t>
      </w:r>
      <w:r w:rsidRPr="00FA2738">
        <w:rPr>
          <w:rFonts w:ascii="Arial" w:hAnsi="Arial" w:cs="Arial"/>
        </w:rPr>
        <w:t>– strana</w:t>
      </w:r>
      <w:r>
        <w:rPr>
          <w:rFonts w:ascii="Arial" w:hAnsi="Arial" w:cs="Arial"/>
        </w:rPr>
        <w:t xml:space="preserve"> 371</w:t>
      </w:r>
    </w:p>
    <w:p w14:paraId="2EA5EAE0" w14:textId="77777777" w:rsidR="00FC65E4" w:rsidRPr="000C5146" w:rsidRDefault="00FC65E4" w:rsidP="00FC65E4">
      <w:pPr>
        <w:pStyle w:val="Odstavecseseznamem"/>
        <w:numPr>
          <w:ilvl w:val="0"/>
          <w:numId w:val="3"/>
        </w:numPr>
        <w:spacing w:before="120" w:after="0" w:line="600" w:lineRule="auto"/>
        <w:jc w:val="both"/>
        <w:rPr>
          <w:rFonts w:ascii="Arial" w:hAnsi="Arial" w:cs="Arial"/>
          <w:b/>
        </w:rPr>
      </w:pPr>
      <w:r w:rsidRPr="000C5146">
        <w:rPr>
          <w:rFonts w:ascii="Arial" w:hAnsi="Arial" w:cs="Arial"/>
          <w:b/>
        </w:rPr>
        <w:t>Vyhodnocení důsledků návrhu na ZPF a PUPFL</w:t>
      </w:r>
      <w:r>
        <w:rPr>
          <w:rFonts w:ascii="Arial" w:hAnsi="Arial" w:cs="Arial"/>
          <w:b/>
        </w:rPr>
        <w:t xml:space="preserve"> </w:t>
      </w:r>
      <w:r w:rsidRPr="00FA2738">
        <w:rPr>
          <w:rFonts w:ascii="Arial" w:hAnsi="Arial" w:cs="Arial"/>
        </w:rPr>
        <w:t xml:space="preserve">– </w:t>
      </w:r>
      <w:r>
        <w:rPr>
          <w:rFonts w:ascii="Arial" w:hAnsi="Arial" w:cs="Arial"/>
        </w:rPr>
        <w:t>s</w:t>
      </w:r>
      <w:r w:rsidRPr="00FA2738">
        <w:rPr>
          <w:rFonts w:ascii="Arial" w:hAnsi="Arial" w:cs="Arial"/>
        </w:rPr>
        <w:t>trana</w:t>
      </w:r>
      <w:r>
        <w:rPr>
          <w:rFonts w:ascii="Arial" w:hAnsi="Arial" w:cs="Arial"/>
        </w:rPr>
        <w:t xml:space="preserve"> 388</w:t>
      </w:r>
    </w:p>
    <w:p w14:paraId="2E306B7E" w14:textId="77777777" w:rsidR="00FC65E4" w:rsidRPr="000C5146" w:rsidRDefault="00FC65E4" w:rsidP="00FC65E4">
      <w:pPr>
        <w:pStyle w:val="Odstavecseseznamem"/>
        <w:numPr>
          <w:ilvl w:val="0"/>
          <w:numId w:val="3"/>
        </w:numPr>
        <w:spacing w:before="120" w:after="0" w:line="600" w:lineRule="auto"/>
        <w:jc w:val="both"/>
        <w:rPr>
          <w:rFonts w:ascii="Arial" w:hAnsi="Arial" w:cs="Arial"/>
          <w:b/>
        </w:rPr>
      </w:pPr>
      <w:r w:rsidRPr="000C5146">
        <w:rPr>
          <w:rFonts w:ascii="Arial" w:hAnsi="Arial" w:cs="Arial"/>
          <w:b/>
        </w:rPr>
        <w:t>Návrh řešení požadavků civilní obrany</w:t>
      </w:r>
      <w:r>
        <w:rPr>
          <w:rFonts w:ascii="Arial" w:hAnsi="Arial" w:cs="Arial"/>
          <w:b/>
        </w:rPr>
        <w:t xml:space="preserve"> </w:t>
      </w:r>
      <w:r w:rsidRPr="00FA2738">
        <w:rPr>
          <w:rFonts w:ascii="Arial" w:hAnsi="Arial" w:cs="Arial"/>
        </w:rPr>
        <w:t>– strana</w:t>
      </w:r>
      <w:r>
        <w:rPr>
          <w:rFonts w:ascii="Arial" w:hAnsi="Arial" w:cs="Arial"/>
        </w:rPr>
        <w:t xml:space="preserve"> 448</w:t>
      </w:r>
    </w:p>
    <w:p w14:paraId="12988BA1" w14:textId="77777777" w:rsidR="00FC65E4" w:rsidRPr="000C5146" w:rsidRDefault="00FC65E4" w:rsidP="00FC65E4">
      <w:pPr>
        <w:pStyle w:val="Odstavecseseznamem"/>
        <w:numPr>
          <w:ilvl w:val="0"/>
          <w:numId w:val="3"/>
        </w:numPr>
        <w:spacing w:before="120" w:after="0" w:line="600" w:lineRule="auto"/>
        <w:jc w:val="both"/>
        <w:rPr>
          <w:rFonts w:ascii="Arial" w:hAnsi="Arial" w:cs="Arial"/>
          <w:b/>
        </w:rPr>
      </w:pPr>
      <w:r w:rsidRPr="000C5146">
        <w:rPr>
          <w:rFonts w:ascii="Arial" w:hAnsi="Arial" w:cs="Arial"/>
          <w:b/>
        </w:rPr>
        <w:t xml:space="preserve">Závazná část ve formě regulativů </w:t>
      </w:r>
      <w:r w:rsidRPr="00FA2738">
        <w:rPr>
          <w:rFonts w:ascii="Arial" w:hAnsi="Arial" w:cs="Arial"/>
        </w:rPr>
        <w:t>– strana</w:t>
      </w:r>
      <w:r>
        <w:rPr>
          <w:rFonts w:ascii="Arial" w:hAnsi="Arial" w:cs="Arial"/>
        </w:rPr>
        <w:t xml:space="preserve"> 466</w:t>
      </w:r>
    </w:p>
    <w:p w14:paraId="01316494" w14:textId="77777777" w:rsidR="00FC65E4" w:rsidRPr="000C5146" w:rsidRDefault="00FC65E4" w:rsidP="00FC65E4">
      <w:pPr>
        <w:pStyle w:val="Odstavecseseznamem"/>
        <w:numPr>
          <w:ilvl w:val="0"/>
          <w:numId w:val="6"/>
        </w:numPr>
        <w:spacing w:before="120" w:after="0" w:line="600" w:lineRule="auto"/>
        <w:jc w:val="both"/>
        <w:rPr>
          <w:rFonts w:ascii="Arial" w:hAnsi="Arial" w:cs="Arial"/>
          <w:b/>
        </w:rPr>
      </w:pPr>
      <w:r w:rsidRPr="000C5146">
        <w:rPr>
          <w:rFonts w:ascii="Arial" w:hAnsi="Arial" w:cs="Arial"/>
          <w:b/>
        </w:rPr>
        <w:t>Návrh lhůt aktualizace</w:t>
      </w:r>
      <w:r>
        <w:rPr>
          <w:rFonts w:ascii="Arial" w:hAnsi="Arial" w:cs="Arial"/>
          <w:b/>
        </w:rPr>
        <w:t xml:space="preserve"> </w:t>
      </w:r>
      <w:r w:rsidRPr="00FA2738">
        <w:rPr>
          <w:rFonts w:ascii="Arial" w:hAnsi="Arial" w:cs="Arial"/>
        </w:rPr>
        <w:t>– strana</w:t>
      </w:r>
      <w:r>
        <w:rPr>
          <w:rFonts w:ascii="Arial" w:hAnsi="Arial" w:cs="Arial"/>
        </w:rPr>
        <w:t xml:space="preserve"> 526</w:t>
      </w:r>
    </w:p>
    <w:p w14:paraId="5EEC2102" w14:textId="77777777" w:rsidR="00FC65E4" w:rsidRPr="000C5146" w:rsidRDefault="00FC65E4" w:rsidP="00FC65E4">
      <w:pPr>
        <w:pStyle w:val="Odstavecseseznamem"/>
        <w:numPr>
          <w:ilvl w:val="0"/>
          <w:numId w:val="6"/>
        </w:numPr>
        <w:spacing w:before="120" w:after="0" w:line="600" w:lineRule="auto"/>
        <w:jc w:val="both"/>
        <w:rPr>
          <w:rFonts w:ascii="Arial" w:hAnsi="Arial" w:cs="Arial"/>
          <w:b/>
        </w:rPr>
      </w:pPr>
      <w:r w:rsidRPr="000C5146">
        <w:rPr>
          <w:rFonts w:ascii="Arial" w:hAnsi="Arial" w:cs="Arial"/>
          <w:b/>
        </w:rPr>
        <w:t>Doplňková kapitola</w:t>
      </w:r>
      <w:r>
        <w:rPr>
          <w:rFonts w:ascii="Arial" w:hAnsi="Arial" w:cs="Arial"/>
          <w:b/>
        </w:rPr>
        <w:t xml:space="preserve"> </w:t>
      </w:r>
      <w:r w:rsidRPr="00FA2738">
        <w:rPr>
          <w:rFonts w:ascii="Arial" w:hAnsi="Arial" w:cs="Arial"/>
        </w:rPr>
        <w:t>– strana</w:t>
      </w:r>
      <w:r>
        <w:rPr>
          <w:rFonts w:ascii="Arial" w:hAnsi="Arial" w:cs="Arial"/>
        </w:rPr>
        <w:t xml:space="preserve"> 527</w:t>
      </w:r>
    </w:p>
    <w:p w14:paraId="23BB401E" w14:textId="77777777" w:rsidR="00FC65E4" w:rsidRPr="00FA2738" w:rsidRDefault="00FC65E4" w:rsidP="00FC65E4">
      <w:pPr>
        <w:pStyle w:val="Odstavecseseznamem"/>
        <w:numPr>
          <w:ilvl w:val="0"/>
          <w:numId w:val="6"/>
        </w:numPr>
        <w:spacing w:before="120" w:after="0" w:line="600" w:lineRule="auto"/>
        <w:jc w:val="both"/>
        <w:rPr>
          <w:rFonts w:ascii="Arial" w:hAnsi="Arial" w:cs="Arial"/>
          <w:b/>
        </w:rPr>
      </w:pPr>
      <w:r w:rsidRPr="000C5146">
        <w:rPr>
          <w:rFonts w:ascii="Arial" w:hAnsi="Arial" w:cs="Arial"/>
          <w:b/>
        </w:rPr>
        <w:t>Dokumenty ÚPN a změn ÚPN</w:t>
      </w:r>
      <w:r>
        <w:rPr>
          <w:rFonts w:ascii="Arial" w:hAnsi="Arial" w:cs="Arial"/>
          <w:b/>
        </w:rPr>
        <w:t xml:space="preserve"> </w:t>
      </w:r>
      <w:r w:rsidRPr="00FA2738">
        <w:rPr>
          <w:rFonts w:ascii="Arial" w:hAnsi="Arial" w:cs="Arial"/>
        </w:rPr>
        <w:t>– strana</w:t>
      </w:r>
      <w:r>
        <w:rPr>
          <w:rFonts w:ascii="Arial" w:hAnsi="Arial" w:cs="Arial"/>
        </w:rPr>
        <w:t xml:space="preserve"> 532</w:t>
      </w:r>
    </w:p>
    <w:p w14:paraId="61977D89" w14:textId="77777777" w:rsidR="00FC65E4" w:rsidRPr="00626134" w:rsidRDefault="00FC65E4" w:rsidP="00FC65E4">
      <w:pPr>
        <w:spacing w:after="200" w:line="276" w:lineRule="auto"/>
        <w:rPr>
          <w:rFonts w:ascii="Arial" w:hAnsi="Arial" w:cs="Arial"/>
          <w:b/>
          <w:sz w:val="32"/>
        </w:rPr>
      </w:pPr>
      <w:r w:rsidRPr="00626134">
        <w:rPr>
          <w:rFonts w:ascii="Arial" w:hAnsi="Arial" w:cs="Arial"/>
          <w:b/>
          <w:sz w:val="32"/>
        </w:rPr>
        <w:lastRenderedPageBreak/>
        <w:t>ÚVOD</w:t>
      </w:r>
      <w:r>
        <w:rPr>
          <w:rFonts w:ascii="Arial" w:hAnsi="Arial" w:cs="Arial"/>
          <w:b/>
          <w:sz w:val="32"/>
        </w:rPr>
        <w:t xml:space="preserve"> DO ZPŮSOBU ZPRACOVÁNÍ DOKUMENTACE PRÁVNÍHO STAVU </w:t>
      </w:r>
    </w:p>
    <w:p w14:paraId="0BB7EB48" w14:textId="77777777" w:rsidR="00FC65E4" w:rsidRDefault="00FC65E4" w:rsidP="00FC65E4">
      <w:pPr>
        <w:spacing w:before="120" w:line="288" w:lineRule="auto"/>
        <w:ind w:firstLine="709"/>
        <w:jc w:val="both"/>
        <w:rPr>
          <w:rFonts w:ascii="Arial" w:hAnsi="Arial" w:cs="Arial"/>
          <w:sz w:val="22"/>
          <w:szCs w:val="22"/>
        </w:rPr>
      </w:pPr>
      <w:r>
        <w:rPr>
          <w:rFonts w:ascii="Arial" w:hAnsi="Arial" w:cs="Arial"/>
          <w:sz w:val="22"/>
          <w:szCs w:val="22"/>
        </w:rPr>
        <w:t xml:space="preserve">Zpracování právního stavu územního plánu města Děčína (dále také ÚPN) </w:t>
      </w:r>
      <w:r w:rsidRPr="008F4AA0">
        <w:rPr>
          <w:rFonts w:ascii="Arial" w:hAnsi="Arial" w:cs="Arial"/>
          <w:sz w:val="22"/>
          <w:szCs w:val="22"/>
        </w:rPr>
        <w:t>po</w:t>
      </w:r>
      <w:r>
        <w:rPr>
          <w:rFonts w:ascii="Arial" w:hAnsi="Arial" w:cs="Arial"/>
          <w:sz w:val="22"/>
          <w:szCs w:val="22"/>
        </w:rPr>
        <w:t> </w:t>
      </w:r>
      <w:r w:rsidRPr="008F4AA0">
        <w:rPr>
          <w:rFonts w:ascii="Arial" w:hAnsi="Arial" w:cs="Arial"/>
          <w:sz w:val="22"/>
          <w:szCs w:val="22"/>
        </w:rPr>
        <w:t>p</w:t>
      </w:r>
      <w:r>
        <w:rPr>
          <w:rFonts w:ascii="Arial" w:hAnsi="Arial" w:cs="Arial"/>
          <w:sz w:val="22"/>
          <w:szCs w:val="22"/>
        </w:rPr>
        <w:t>ořízení</w:t>
      </w:r>
      <w:r w:rsidRPr="008F4AA0">
        <w:rPr>
          <w:rFonts w:ascii="Arial" w:hAnsi="Arial" w:cs="Arial"/>
          <w:sz w:val="22"/>
          <w:szCs w:val="22"/>
        </w:rPr>
        <w:t xml:space="preserve"> změn č. 1, 2, 4, 6 a 8</w:t>
      </w:r>
      <w:r>
        <w:rPr>
          <w:rFonts w:ascii="Arial" w:hAnsi="Arial" w:cs="Arial"/>
          <w:sz w:val="22"/>
          <w:szCs w:val="22"/>
        </w:rPr>
        <w:t xml:space="preserve"> bylo svěřeno v červnu 2016 Atelieru T- plan, s.r.o. První etapou prací bylo koncipování návrhu modelového uspořádání textové a grafické části dokumentace. Po potvrzení správnosti navrženého postupu pořizovatelem, bylo vyhotoveno předkládané výsledné znění právního stavu ÚPN města Děčín </w:t>
      </w:r>
      <w:r w:rsidRPr="008F4AA0">
        <w:rPr>
          <w:rFonts w:ascii="Arial" w:hAnsi="Arial" w:cs="Arial"/>
          <w:sz w:val="22"/>
          <w:szCs w:val="22"/>
        </w:rPr>
        <w:t>po p</w:t>
      </w:r>
      <w:r>
        <w:rPr>
          <w:rFonts w:ascii="Arial" w:hAnsi="Arial" w:cs="Arial"/>
          <w:sz w:val="22"/>
          <w:szCs w:val="22"/>
        </w:rPr>
        <w:t>ořízení</w:t>
      </w:r>
      <w:r w:rsidRPr="008F4AA0">
        <w:rPr>
          <w:rFonts w:ascii="Arial" w:hAnsi="Arial" w:cs="Arial"/>
          <w:sz w:val="22"/>
          <w:szCs w:val="22"/>
        </w:rPr>
        <w:t xml:space="preserve"> změn č. 1, 2, 4, 6 a 8</w:t>
      </w:r>
      <w:r>
        <w:rPr>
          <w:rFonts w:ascii="Arial" w:hAnsi="Arial" w:cs="Arial"/>
          <w:sz w:val="22"/>
          <w:szCs w:val="22"/>
        </w:rPr>
        <w:t xml:space="preserve">. </w:t>
      </w:r>
    </w:p>
    <w:p w14:paraId="29C9DBF6" w14:textId="77777777" w:rsidR="00FC65E4" w:rsidRDefault="00FC65E4" w:rsidP="00FC65E4">
      <w:pPr>
        <w:spacing w:before="120" w:line="288" w:lineRule="auto"/>
        <w:ind w:firstLine="709"/>
        <w:jc w:val="both"/>
        <w:rPr>
          <w:rFonts w:ascii="Arial" w:hAnsi="Arial" w:cs="Arial"/>
          <w:sz w:val="22"/>
          <w:szCs w:val="22"/>
        </w:rPr>
      </w:pPr>
      <w:r>
        <w:rPr>
          <w:rFonts w:ascii="Arial" w:hAnsi="Arial" w:cs="Arial"/>
          <w:sz w:val="22"/>
          <w:szCs w:val="22"/>
        </w:rPr>
        <w:t xml:space="preserve">Při zpracování </w:t>
      </w:r>
      <w:r w:rsidRPr="00626134">
        <w:rPr>
          <w:rFonts w:ascii="Arial" w:hAnsi="Arial" w:cs="Arial"/>
          <w:b/>
          <w:sz w:val="22"/>
          <w:szCs w:val="22"/>
        </w:rPr>
        <w:t>textové části</w:t>
      </w:r>
      <w:r w:rsidRPr="00845161">
        <w:rPr>
          <w:rFonts w:ascii="Arial" w:hAnsi="Arial" w:cs="Arial"/>
          <w:sz w:val="22"/>
          <w:szCs w:val="22"/>
        </w:rPr>
        <w:t xml:space="preserve"> právního stavu ÚPN Děčín byl</w:t>
      </w:r>
      <w:r>
        <w:rPr>
          <w:rFonts w:ascii="Arial" w:hAnsi="Arial" w:cs="Arial"/>
          <w:sz w:val="22"/>
          <w:szCs w:val="22"/>
        </w:rPr>
        <w:t xml:space="preserve"> použit následující postup</w:t>
      </w:r>
      <w:r w:rsidRPr="00845161">
        <w:rPr>
          <w:rFonts w:ascii="Arial" w:hAnsi="Arial" w:cs="Arial"/>
          <w:sz w:val="22"/>
          <w:szCs w:val="22"/>
        </w:rPr>
        <w:t>:</w:t>
      </w:r>
    </w:p>
    <w:p w14:paraId="400825B0" w14:textId="77777777" w:rsidR="00FC65E4" w:rsidRDefault="00FC65E4" w:rsidP="00FC65E4">
      <w:pPr>
        <w:pStyle w:val="Odstavecseseznamem"/>
        <w:numPr>
          <w:ilvl w:val="0"/>
          <w:numId w:val="1"/>
        </w:numPr>
        <w:spacing w:before="120" w:after="0" w:line="288" w:lineRule="auto"/>
        <w:jc w:val="both"/>
        <w:rPr>
          <w:rFonts w:ascii="Arial" w:hAnsi="Arial" w:cs="Arial"/>
        </w:rPr>
      </w:pPr>
      <w:r w:rsidRPr="00845161">
        <w:rPr>
          <w:rFonts w:ascii="Arial" w:hAnsi="Arial" w:cs="Arial"/>
        </w:rPr>
        <w:t>Z</w:t>
      </w:r>
      <w:r>
        <w:rPr>
          <w:rFonts w:ascii="Arial" w:hAnsi="Arial" w:cs="Arial"/>
        </w:rPr>
        <w:t xml:space="preserve">pracování kompatibility předané platné </w:t>
      </w:r>
      <w:r w:rsidRPr="00845161">
        <w:rPr>
          <w:rFonts w:ascii="Arial" w:hAnsi="Arial" w:cs="Arial"/>
        </w:rPr>
        <w:t xml:space="preserve">tiskové </w:t>
      </w:r>
      <w:r>
        <w:rPr>
          <w:rFonts w:ascii="Arial" w:hAnsi="Arial" w:cs="Arial"/>
        </w:rPr>
        <w:t xml:space="preserve">verze dokumentace </w:t>
      </w:r>
      <w:r w:rsidRPr="00845161">
        <w:rPr>
          <w:rFonts w:ascii="Arial" w:hAnsi="Arial" w:cs="Arial"/>
        </w:rPr>
        <w:t xml:space="preserve">ÚPN </w:t>
      </w:r>
      <w:r>
        <w:rPr>
          <w:rFonts w:ascii="Arial" w:hAnsi="Arial" w:cs="Arial"/>
        </w:rPr>
        <w:t xml:space="preserve">města </w:t>
      </w:r>
      <w:r w:rsidRPr="00845161">
        <w:rPr>
          <w:rFonts w:ascii="Arial" w:hAnsi="Arial" w:cs="Arial"/>
        </w:rPr>
        <w:t xml:space="preserve">Děčín 2002 </w:t>
      </w:r>
      <w:r>
        <w:rPr>
          <w:rFonts w:ascii="Arial" w:hAnsi="Arial" w:cs="Arial"/>
        </w:rPr>
        <w:t xml:space="preserve">s částečnou </w:t>
      </w:r>
      <w:r w:rsidRPr="00845161">
        <w:rPr>
          <w:rFonts w:ascii="Arial" w:hAnsi="Arial" w:cs="Arial"/>
        </w:rPr>
        <w:t>elektronick</w:t>
      </w:r>
      <w:r>
        <w:rPr>
          <w:rFonts w:ascii="Arial" w:hAnsi="Arial" w:cs="Arial"/>
        </w:rPr>
        <w:t xml:space="preserve">ou </w:t>
      </w:r>
      <w:r w:rsidRPr="00845161">
        <w:rPr>
          <w:rFonts w:ascii="Arial" w:hAnsi="Arial" w:cs="Arial"/>
        </w:rPr>
        <w:t>verz</w:t>
      </w:r>
      <w:r>
        <w:rPr>
          <w:rFonts w:ascii="Arial" w:hAnsi="Arial" w:cs="Arial"/>
        </w:rPr>
        <w:t>í</w:t>
      </w:r>
      <w:r w:rsidRPr="00845161">
        <w:rPr>
          <w:rFonts w:ascii="Arial" w:hAnsi="Arial" w:cs="Arial"/>
        </w:rPr>
        <w:t xml:space="preserve"> </w:t>
      </w:r>
      <w:r>
        <w:rPr>
          <w:rFonts w:ascii="Arial" w:hAnsi="Arial" w:cs="Arial"/>
        </w:rPr>
        <w:t xml:space="preserve">dokumentace </w:t>
      </w:r>
      <w:r w:rsidRPr="00845161">
        <w:rPr>
          <w:rFonts w:ascii="Arial" w:hAnsi="Arial" w:cs="Arial"/>
        </w:rPr>
        <w:t>(</w:t>
      </w:r>
      <w:r>
        <w:rPr>
          <w:rFonts w:ascii="Arial" w:hAnsi="Arial" w:cs="Arial"/>
        </w:rPr>
        <w:t xml:space="preserve">pro </w:t>
      </w:r>
      <w:r w:rsidRPr="00845161">
        <w:rPr>
          <w:rFonts w:ascii="Arial" w:hAnsi="Arial" w:cs="Arial"/>
        </w:rPr>
        <w:t xml:space="preserve">zajištění úplnosti textové části </w:t>
      </w:r>
      <w:r>
        <w:rPr>
          <w:rFonts w:ascii="Arial" w:hAnsi="Arial" w:cs="Arial"/>
        </w:rPr>
        <w:t xml:space="preserve">bylo nutno provést </w:t>
      </w:r>
      <w:r w:rsidRPr="00845161">
        <w:rPr>
          <w:rFonts w:ascii="Arial" w:hAnsi="Arial" w:cs="Arial"/>
        </w:rPr>
        <w:t>digitalizac</w:t>
      </w:r>
      <w:r>
        <w:rPr>
          <w:rFonts w:ascii="Arial" w:hAnsi="Arial" w:cs="Arial"/>
        </w:rPr>
        <w:t>i</w:t>
      </w:r>
      <w:r w:rsidRPr="00845161">
        <w:rPr>
          <w:rFonts w:ascii="Arial" w:hAnsi="Arial" w:cs="Arial"/>
        </w:rPr>
        <w:t xml:space="preserve"> chybějících kapitol</w:t>
      </w:r>
      <w:r>
        <w:rPr>
          <w:rFonts w:ascii="Arial" w:hAnsi="Arial" w:cs="Arial"/>
        </w:rPr>
        <w:t xml:space="preserve"> </w:t>
      </w:r>
      <w:r w:rsidRPr="00845161">
        <w:rPr>
          <w:rFonts w:ascii="Arial" w:hAnsi="Arial" w:cs="Arial"/>
        </w:rPr>
        <w:t xml:space="preserve">– </w:t>
      </w:r>
      <w:r>
        <w:rPr>
          <w:rFonts w:ascii="Arial" w:hAnsi="Arial" w:cs="Arial"/>
        </w:rPr>
        <w:t xml:space="preserve">např. </w:t>
      </w:r>
      <w:r w:rsidRPr="00845161">
        <w:rPr>
          <w:rFonts w:ascii="Arial" w:hAnsi="Arial" w:cs="Arial"/>
        </w:rPr>
        <w:t>kapitol dopravní infrastruktura, základní údaje a charakteristiky</w:t>
      </w:r>
      <w:r>
        <w:rPr>
          <w:rFonts w:ascii="Arial" w:hAnsi="Arial" w:cs="Arial"/>
        </w:rPr>
        <w:t>, tabulkových částí aj.</w:t>
      </w:r>
      <w:r w:rsidRPr="00845161">
        <w:rPr>
          <w:rFonts w:ascii="Arial" w:hAnsi="Arial" w:cs="Arial"/>
        </w:rPr>
        <w:t>)</w:t>
      </w:r>
    </w:p>
    <w:p w14:paraId="139AA90E" w14:textId="77777777" w:rsidR="00FC65E4" w:rsidRPr="00845161" w:rsidRDefault="00FC65E4" w:rsidP="00FC65E4">
      <w:pPr>
        <w:pStyle w:val="Odstavecseseznamem"/>
        <w:spacing w:before="120" w:after="0" w:line="288" w:lineRule="auto"/>
        <w:jc w:val="both"/>
        <w:rPr>
          <w:rFonts w:ascii="Arial" w:hAnsi="Arial" w:cs="Arial"/>
        </w:rPr>
      </w:pPr>
    </w:p>
    <w:p w14:paraId="2F5448F1" w14:textId="77777777" w:rsidR="00FC65E4" w:rsidRDefault="00FC65E4" w:rsidP="00FC65E4">
      <w:pPr>
        <w:pStyle w:val="Odstavecseseznamem"/>
        <w:numPr>
          <w:ilvl w:val="0"/>
          <w:numId w:val="1"/>
        </w:numPr>
        <w:spacing w:before="120" w:after="0" w:line="288" w:lineRule="auto"/>
        <w:jc w:val="both"/>
        <w:rPr>
          <w:rFonts w:ascii="Arial" w:hAnsi="Arial" w:cs="Arial"/>
        </w:rPr>
      </w:pPr>
      <w:r>
        <w:rPr>
          <w:rFonts w:ascii="Arial" w:hAnsi="Arial" w:cs="Arial"/>
        </w:rPr>
        <w:t>Doplnění d</w:t>
      </w:r>
      <w:r w:rsidRPr="00845161">
        <w:rPr>
          <w:rFonts w:ascii="Arial" w:hAnsi="Arial" w:cs="Arial"/>
        </w:rPr>
        <w:t>igi</w:t>
      </w:r>
      <w:r>
        <w:rPr>
          <w:rFonts w:ascii="Arial" w:hAnsi="Arial" w:cs="Arial"/>
        </w:rPr>
        <w:t xml:space="preserve">tální formy </w:t>
      </w:r>
      <w:r w:rsidRPr="00845161">
        <w:rPr>
          <w:rFonts w:ascii="Arial" w:hAnsi="Arial" w:cs="Arial"/>
        </w:rPr>
        <w:t xml:space="preserve">textových částí změn </w:t>
      </w:r>
      <w:r>
        <w:rPr>
          <w:rFonts w:ascii="Arial" w:hAnsi="Arial" w:cs="Arial"/>
        </w:rPr>
        <w:t xml:space="preserve">č. </w:t>
      </w:r>
      <w:r w:rsidRPr="00845161">
        <w:rPr>
          <w:rFonts w:ascii="Arial" w:hAnsi="Arial" w:cs="Arial"/>
        </w:rPr>
        <w:t>1, 2, 4</w:t>
      </w:r>
      <w:r>
        <w:rPr>
          <w:rFonts w:ascii="Arial" w:hAnsi="Arial" w:cs="Arial"/>
        </w:rPr>
        <w:t xml:space="preserve"> a </w:t>
      </w:r>
      <w:r w:rsidRPr="00845161">
        <w:rPr>
          <w:rFonts w:ascii="Arial" w:hAnsi="Arial" w:cs="Arial"/>
        </w:rPr>
        <w:t>6.</w:t>
      </w:r>
      <w:r>
        <w:rPr>
          <w:rFonts w:ascii="Arial" w:hAnsi="Arial" w:cs="Arial"/>
        </w:rPr>
        <w:t xml:space="preserve"> (změna č. 8 byla v celém rozsahu k dispozici v digitální formě) </w:t>
      </w:r>
    </w:p>
    <w:p w14:paraId="4F7F0AA2" w14:textId="77777777" w:rsidR="00FC65E4" w:rsidRPr="00845161" w:rsidRDefault="00FC65E4" w:rsidP="00FC65E4">
      <w:pPr>
        <w:pStyle w:val="Odstavecseseznamem"/>
        <w:spacing w:before="120" w:after="0" w:line="288" w:lineRule="auto"/>
        <w:ind w:left="0"/>
        <w:jc w:val="both"/>
        <w:rPr>
          <w:rFonts w:ascii="Arial" w:hAnsi="Arial" w:cs="Arial"/>
        </w:rPr>
      </w:pPr>
    </w:p>
    <w:p w14:paraId="57C7D4D2" w14:textId="77777777" w:rsidR="00FC65E4" w:rsidRDefault="00FC65E4" w:rsidP="00FC65E4">
      <w:pPr>
        <w:pStyle w:val="Odstavecseseznamem"/>
        <w:numPr>
          <w:ilvl w:val="0"/>
          <w:numId w:val="1"/>
        </w:numPr>
        <w:spacing w:before="120" w:after="0" w:line="288" w:lineRule="auto"/>
        <w:jc w:val="both"/>
        <w:rPr>
          <w:rFonts w:ascii="Arial" w:hAnsi="Arial" w:cs="Arial"/>
        </w:rPr>
      </w:pPr>
      <w:r w:rsidRPr="0079299B">
        <w:rPr>
          <w:rFonts w:ascii="Arial" w:hAnsi="Arial" w:cs="Arial"/>
        </w:rPr>
        <w:t>Mezistupeň - sloučení změn č. 1 a 4 podle zákona 50/1976 Sb. do společné textové části dle příslušných témat.</w:t>
      </w:r>
    </w:p>
    <w:p w14:paraId="283C72AD" w14:textId="77777777" w:rsidR="00FC65E4" w:rsidRDefault="00FC65E4" w:rsidP="00FC65E4">
      <w:pPr>
        <w:pStyle w:val="Odstavecseseznamem"/>
        <w:rPr>
          <w:rFonts w:ascii="Arial" w:hAnsi="Arial" w:cs="Arial"/>
        </w:rPr>
      </w:pPr>
    </w:p>
    <w:p w14:paraId="32083063" w14:textId="77777777" w:rsidR="00FC65E4" w:rsidRDefault="00FC65E4" w:rsidP="00FC65E4">
      <w:pPr>
        <w:pStyle w:val="Odstavecseseznamem"/>
        <w:numPr>
          <w:ilvl w:val="0"/>
          <w:numId w:val="1"/>
        </w:numPr>
        <w:spacing w:before="120" w:after="0" w:line="288" w:lineRule="auto"/>
        <w:jc w:val="both"/>
        <w:rPr>
          <w:rFonts w:ascii="Arial" w:hAnsi="Arial" w:cs="Arial"/>
        </w:rPr>
      </w:pPr>
      <w:r w:rsidRPr="0079299B">
        <w:rPr>
          <w:rFonts w:ascii="Arial" w:hAnsi="Arial" w:cs="Arial"/>
        </w:rPr>
        <w:t>Mezistupeň - sloučení změn č. 2, 6 a 8 podle zákona 183/2006 Sb. do společné textové části dle příslušných témat.</w:t>
      </w:r>
    </w:p>
    <w:p w14:paraId="7F352220" w14:textId="77777777" w:rsidR="00FC65E4" w:rsidRPr="0079299B" w:rsidRDefault="00FC65E4" w:rsidP="00FC65E4">
      <w:pPr>
        <w:pStyle w:val="Odstavecseseznamem"/>
        <w:spacing w:before="120" w:after="0" w:line="288" w:lineRule="auto"/>
        <w:ind w:left="0"/>
        <w:jc w:val="both"/>
        <w:rPr>
          <w:rFonts w:ascii="Arial" w:hAnsi="Arial" w:cs="Arial"/>
        </w:rPr>
      </w:pPr>
    </w:p>
    <w:p w14:paraId="346B0F80" w14:textId="77777777" w:rsidR="00FC65E4" w:rsidRPr="00B13B46" w:rsidRDefault="00FC65E4" w:rsidP="00FC65E4">
      <w:pPr>
        <w:pStyle w:val="Odstavecseseznamem"/>
        <w:numPr>
          <w:ilvl w:val="0"/>
          <w:numId w:val="1"/>
        </w:numPr>
        <w:spacing w:before="120" w:after="0" w:line="288" w:lineRule="auto"/>
        <w:jc w:val="both"/>
        <w:rPr>
          <w:rFonts w:ascii="Arial" w:hAnsi="Arial" w:cs="Arial"/>
        </w:rPr>
      </w:pPr>
      <w:r>
        <w:rPr>
          <w:rFonts w:ascii="Arial" w:hAnsi="Arial" w:cs="Arial"/>
        </w:rPr>
        <w:t>Kompletace textové části dokumentace právního stavu územního plánu města Děčín - v</w:t>
      </w:r>
      <w:r w:rsidRPr="00845161">
        <w:rPr>
          <w:rFonts w:ascii="Arial" w:hAnsi="Arial" w:cs="Arial"/>
        </w:rPr>
        <w:t>ložení</w:t>
      </w:r>
      <w:r>
        <w:rPr>
          <w:rFonts w:ascii="Arial" w:hAnsi="Arial" w:cs="Arial"/>
        </w:rPr>
        <w:t>m</w:t>
      </w:r>
      <w:r w:rsidRPr="00845161">
        <w:rPr>
          <w:rFonts w:ascii="Arial" w:hAnsi="Arial" w:cs="Arial"/>
        </w:rPr>
        <w:t xml:space="preserve"> </w:t>
      </w:r>
      <w:r>
        <w:rPr>
          <w:rFonts w:ascii="Arial" w:hAnsi="Arial" w:cs="Arial"/>
        </w:rPr>
        <w:t xml:space="preserve">(citací) </w:t>
      </w:r>
      <w:r w:rsidRPr="00845161">
        <w:rPr>
          <w:rFonts w:ascii="Arial" w:hAnsi="Arial" w:cs="Arial"/>
        </w:rPr>
        <w:t xml:space="preserve">změn </w:t>
      </w:r>
      <w:r>
        <w:rPr>
          <w:rFonts w:ascii="Arial" w:hAnsi="Arial" w:cs="Arial"/>
        </w:rPr>
        <w:t xml:space="preserve">č. </w:t>
      </w:r>
      <w:r w:rsidRPr="00845161">
        <w:rPr>
          <w:rFonts w:ascii="Arial" w:hAnsi="Arial" w:cs="Arial"/>
        </w:rPr>
        <w:t>1</w:t>
      </w:r>
      <w:r>
        <w:rPr>
          <w:rFonts w:ascii="Arial" w:hAnsi="Arial" w:cs="Arial"/>
        </w:rPr>
        <w:t xml:space="preserve">, </w:t>
      </w:r>
      <w:r w:rsidRPr="00845161">
        <w:rPr>
          <w:rFonts w:ascii="Arial" w:hAnsi="Arial" w:cs="Arial"/>
        </w:rPr>
        <w:t>4</w:t>
      </w:r>
      <w:r>
        <w:rPr>
          <w:rFonts w:ascii="Arial" w:hAnsi="Arial" w:cs="Arial"/>
        </w:rPr>
        <w:t xml:space="preserve">, </w:t>
      </w:r>
      <w:r w:rsidRPr="00845161">
        <w:rPr>
          <w:rFonts w:ascii="Arial" w:hAnsi="Arial" w:cs="Arial"/>
        </w:rPr>
        <w:t>2, 6 a 8.</w:t>
      </w:r>
      <w:r>
        <w:rPr>
          <w:rFonts w:ascii="Arial" w:hAnsi="Arial" w:cs="Arial"/>
        </w:rPr>
        <w:t xml:space="preserve"> </w:t>
      </w:r>
      <w:r w:rsidRPr="00B13B46">
        <w:rPr>
          <w:rFonts w:ascii="Arial" w:hAnsi="Arial" w:cs="Arial"/>
        </w:rPr>
        <w:t xml:space="preserve">do </w:t>
      </w:r>
      <w:r>
        <w:rPr>
          <w:rFonts w:ascii="Arial" w:hAnsi="Arial" w:cs="Arial"/>
        </w:rPr>
        <w:t>příslušných kapitol územního plánu města Děčína</w:t>
      </w:r>
      <w:r w:rsidRPr="00B13B46">
        <w:rPr>
          <w:rFonts w:ascii="Arial" w:hAnsi="Arial" w:cs="Arial"/>
        </w:rPr>
        <w:t>.</w:t>
      </w:r>
      <w:r>
        <w:rPr>
          <w:rFonts w:ascii="Arial" w:hAnsi="Arial" w:cs="Arial"/>
        </w:rPr>
        <w:t xml:space="preserve"> </w:t>
      </w:r>
      <w:proofErr w:type="gramStart"/>
      <w:r>
        <w:rPr>
          <w:rFonts w:ascii="Arial" w:hAnsi="Arial" w:cs="Arial"/>
        </w:rPr>
        <w:t>Kapitoly B. a C.</w:t>
      </w:r>
      <w:proofErr w:type="gramEnd"/>
      <w:r>
        <w:rPr>
          <w:rFonts w:ascii="Arial" w:hAnsi="Arial" w:cs="Arial"/>
        </w:rPr>
        <w:t xml:space="preserve"> a též kapitoly G. a H. byly pro tento účel sdruženy, protože odpovídající pasáže z jednotlivých změn ÚPN se týkaly obou kapitol společně.   </w:t>
      </w:r>
    </w:p>
    <w:p w14:paraId="0A3E6E4E" w14:textId="77777777" w:rsidR="00FC65E4" w:rsidRDefault="00FC65E4" w:rsidP="00FC65E4">
      <w:pPr>
        <w:spacing w:before="120" w:line="288" w:lineRule="auto"/>
        <w:ind w:firstLine="709"/>
        <w:jc w:val="both"/>
        <w:rPr>
          <w:rFonts w:ascii="Arial" w:hAnsi="Arial" w:cs="Arial"/>
          <w:sz w:val="22"/>
          <w:szCs w:val="22"/>
        </w:rPr>
      </w:pPr>
      <w:r w:rsidRPr="00A227BB">
        <w:rPr>
          <w:rFonts w:ascii="Arial" w:hAnsi="Arial" w:cs="Arial"/>
          <w:sz w:val="22"/>
          <w:szCs w:val="22"/>
        </w:rPr>
        <w:t>Identifikace textu schváleného (vydaného) Územního plánu města Děčína a</w:t>
      </w:r>
      <w:r>
        <w:rPr>
          <w:rFonts w:ascii="Arial" w:hAnsi="Arial" w:cs="Arial"/>
          <w:sz w:val="22"/>
          <w:szCs w:val="22"/>
        </w:rPr>
        <w:t> </w:t>
      </w:r>
      <w:r w:rsidRPr="00A227BB">
        <w:rPr>
          <w:rFonts w:ascii="Arial" w:hAnsi="Arial" w:cs="Arial"/>
          <w:sz w:val="22"/>
          <w:szCs w:val="22"/>
        </w:rPr>
        <w:t>jednotlivých změn zemního plánu je zajištěna indexem (Z1</w:t>
      </w:r>
      <w:r>
        <w:rPr>
          <w:rFonts w:ascii="Arial" w:hAnsi="Arial" w:cs="Arial"/>
          <w:sz w:val="22"/>
          <w:szCs w:val="22"/>
        </w:rPr>
        <w:t xml:space="preserve"> až Z</w:t>
      </w:r>
      <w:r w:rsidRPr="00A227BB">
        <w:rPr>
          <w:rFonts w:ascii="Arial" w:hAnsi="Arial" w:cs="Arial"/>
          <w:sz w:val="22"/>
          <w:szCs w:val="22"/>
        </w:rPr>
        <w:t>8) a barevným rozlišením textů následovně:</w:t>
      </w:r>
    </w:p>
    <w:p w14:paraId="181A60C8" w14:textId="77777777" w:rsidR="00FC65E4" w:rsidRPr="00A227BB" w:rsidRDefault="00FC65E4" w:rsidP="00FC65E4">
      <w:pPr>
        <w:spacing w:before="120" w:line="288" w:lineRule="auto"/>
        <w:ind w:firstLine="709"/>
        <w:jc w:val="both"/>
        <w:rPr>
          <w:rFonts w:ascii="Arial" w:hAnsi="Arial" w:cs="Arial"/>
          <w:sz w:val="22"/>
          <w:szCs w:val="22"/>
        </w:rPr>
      </w:pPr>
    </w:p>
    <w:p w14:paraId="46FFA635" w14:textId="77777777" w:rsidR="00FC65E4" w:rsidRDefault="00FC65E4" w:rsidP="00FC65E4">
      <w:pPr>
        <w:pStyle w:val="Odstavecseseznamem"/>
        <w:numPr>
          <w:ilvl w:val="0"/>
          <w:numId w:val="5"/>
        </w:numPr>
        <w:spacing w:before="120" w:after="0" w:line="288" w:lineRule="auto"/>
        <w:jc w:val="both"/>
        <w:rPr>
          <w:rFonts w:ascii="Arial" w:hAnsi="Arial" w:cs="Arial"/>
        </w:rPr>
      </w:pPr>
      <w:r>
        <w:rPr>
          <w:rFonts w:ascii="Arial" w:hAnsi="Arial" w:cs="Arial"/>
        </w:rPr>
        <w:t xml:space="preserve">Textová část </w:t>
      </w:r>
      <w:r w:rsidRPr="00855D69">
        <w:rPr>
          <w:rFonts w:ascii="Arial" w:hAnsi="Arial" w:cs="Arial"/>
        </w:rPr>
        <w:t>Ú</w:t>
      </w:r>
      <w:r>
        <w:rPr>
          <w:rFonts w:ascii="Arial" w:hAnsi="Arial" w:cs="Arial"/>
        </w:rPr>
        <w:t xml:space="preserve">zemního plánu města </w:t>
      </w:r>
      <w:r w:rsidRPr="00855D69">
        <w:rPr>
          <w:rFonts w:ascii="Arial" w:hAnsi="Arial" w:cs="Arial"/>
        </w:rPr>
        <w:t>Děčín</w:t>
      </w:r>
      <w:r>
        <w:rPr>
          <w:rFonts w:ascii="Arial" w:hAnsi="Arial" w:cs="Arial"/>
        </w:rPr>
        <w:t>a:</w:t>
      </w:r>
    </w:p>
    <w:p w14:paraId="58981904" w14:textId="77777777" w:rsidR="00FC65E4" w:rsidRDefault="00FC65E4" w:rsidP="00FC65E4">
      <w:pPr>
        <w:spacing w:before="120" w:line="288" w:lineRule="auto"/>
        <w:jc w:val="center"/>
        <w:rPr>
          <w:rFonts w:ascii="Arial" w:hAnsi="Arial" w:cs="Arial"/>
          <w:sz w:val="22"/>
          <w:szCs w:val="22"/>
        </w:rPr>
      </w:pPr>
      <w:r>
        <w:rPr>
          <w:rFonts w:ascii="Arial" w:hAnsi="Arial" w:cs="Arial"/>
          <w:sz w:val="22"/>
          <w:szCs w:val="22"/>
        </w:rPr>
        <w:t>č</w:t>
      </w:r>
      <w:r w:rsidRPr="00986978">
        <w:rPr>
          <w:rFonts w:ascii="Arial" w:hAnsi="Arial" w:cs="Arial"/>
          <w:sz w:val="22"/>
          <w:szCs w:val="22"/>
        </w:rPr>
        <w:t>erně psaný text</w:t>
      </w:r>
    </w:p>
    <w:p w14:paraId="5E049F85" w14:textId="77777777" w:rsidR="00FC65E4" w:rsidRPr="00986978" w:rsidRDefault="00FC65E4" w:rsidP="00FC65E4">
      <w:pPr>
        <w:spacing w:before="120" w:line="288" w:lineRule="auto"/>
        <w:jc w:val="center"/>
        <w:rPr>
          <w:rFonts w:ascii="Arial" w:hAnsi="Arial" w:cs="Arial"/>
          <w:sz w:val="22"/>
          <w:szCs w:val="22"/>
        </w:rPr>
      </w:pPr>
    </w:p>
    <w:p w14:paraId="72688ED3" w14:textId="77777777" w:rsidR="00FC65E4" w:rsidRDefault="00FC65E4" w:rsidP="00FC65E4">
      <w:pPr>
        <w:pStyle w:val="Odstavecseseznamem"/>
        <w:numPr>
          <w:ilvl w:val="0"/>
          <w:numId w:val="5"/>
        </w:numPr>
        <w:spacing w:before="120" w:after="0" w:line="288" w:lineRule="auto"/>
        <w:jc w:val="both"/>
        <w:rPr>
          <w:rFonts w:ascii="Arial" w:hAnsi="Arial" w:cs="Arial"/>
        </w:rPr>
      </w:pPr>
      <w:r w:rsidRPr="00845161">
        <w:rPr>
          <w:rFonts w:ascii="Arial" w:hAnsi="Arial" w:cs="Arial"/>
        </w:rPr>
        <w:t xml:space="preserve">Změny </w:t>
      </w:r>
      <w:r w:rsidRPr="00855D69">
        <w:rPr>
          <w:rFonts w:ascii="Arial" w:hAnsi="Arial" w:cs="Arial"/>
        </w:rPr>
        <w:t>Ú</w:t>
      </w:r>
      <w:r>
        <w:rPr>
          <w:rFonts w:ascii="Arial" w:hAnsi="Arial" w:cs="Arial"/>
        </w:rPr>
        <w:t xml:space="preserve">zemního plánu města </w:t>
      </w:r>
      <w:r w:rsidRPr="00855D69">
        <w:rPr>
          <w:rFonts w:ascii="Arial" w:hAnsi="Arial" w:cs="Arial"/>
        </w:rPr>
        <w:t>Děčín</w:t>
      </w:r>
      <w:r>
        <w:rPr>
          <w:rFonts w:ascii="Arial" w:hAnsi="Arial" w:cs="Arial"/>
        </w:rPr>
        <w:t xml:space="preserve">a zpracované a schválené </w:t>
      </w:r>
      <w:r w:rsidRPr="00845161">
        <w:rPr>
          <w:rFonts w:ascii="Arial" w:hAnsi="Arial" w:cs="Arial"/>
        </w:rPr>
        <w:t xml:space="preserve">dle zákona </w:t>
      </w:r>
      <w:r>
        <w:rPr>
          <w:rFonts w:ascii="Arial" w:hAnsi="Arial" w:cs="Arial"/>
        </w:rPr>
        <w:t>50/1976 Sb.:</w:t>
      </w:r>
    </w:p>
    <w:p w14:paraId="303C28DE" w14:textId="77777777" w:rsidR="00FC65E4" w:rsidRPr="00B04EF5" w:rsidRDefault="00FC65E4" w:rsidP="00FC65E4">
      <w:pPr>
        <w:spacing w:before="120" w:line="288" w:lineRule="auto"/>
        <w:jc w:val="center"/>
        <w:rPr>
          <w:rFonts w:ascii="Arial" w:hAnsi="Arial" w:cs="Arial"/>
          <w:color w:val="009644"/>
          <w:sz w:val="22"/>
          <w:szCs w:val="22"/>
        </w:rPr>
      </w:pPr>
      <w:r w:rsidRPr="00B04EF5">
        <w:rPr>
          <w:rFonts w:ascii="Arial" w:hAnsi="Arial" w:cs="Arial"/>
          <w:color w:val="009644"/>
          <w:sz w:val="22"/>
          <w:szCs w:val="22"/>
        </w:rPr>
        <w:t>(Z1) Změna č. 1</w:t>
      </w:r>
    </w:p>
    <w:p w14:paraId="0EF89C00" w14:textId="77777777" w:rsidR="00FC65E4" w:rsidRDefault="00FC65E4" w:rsidP="00FC65E4">
      <w:pPr>
        <w:spacing w:before="120" w:line="288" w:lineRule="auto"/>
        <w:jc w:val="center"/>
        <w:rPr>
          <w:rFonts w:ascii="Arial" w:hAnsi="Arial" w:cs="Arial"/>
          <w:color w:val="0066FF"/>
          <w:sz w:val="22"/>
          <w:szCs w:val="22"/>
        </w:rPr>
      </w:pPr>
      <w:r>
        <w:rPr>
          <w:rFonts w:ascii="Arial" w:hAnsi="Arial" w:cs="Arial"/>
          <w:color w:val="0066FF"/>
          <w:sz w:val="22"/>
          <w:szCs w:val="22"/>
        </w:rPr>
        <w:t xml:space="preserve">(Z4) </w:t>
      </w:r>
      <w:r w:rsidRPr="00A04C4E">
        <w:rPr>
          <w:rFonts w:ascii="Arial" w:hAnsi="Arial" w:cs="Arial"/>
          <w:color w:val="0066FF"/>
          <w:sz w:val="22"/>
          <w:szCs w:val="22"/>
        </w:rPr>
        <w:t xml:space="preserve">Změna </w:t>
      </w:r>
      <w:r>
        <w:rPr>
          <w:rFonts w:ascii="Arial" w:hAnsi="Arial" w:cs="Arial"/>
          <w:color w:val="0066FF"/>
          <w:sz w:val="22"/>
          <w:szCs w:val="22"/>
        </w:rPr>
        <w:t xml:space="preserve">č. </w:t>
      </w:r>
      <w:r w:rsidRPr="00A04C4E">
        <w:rPr>
          <w:rFonts w:ascii="Arial" w:hAnsi="Arial" w:cs="Arial"/>
          <w:color w:val="0066FF"/>
          <w:sz w:val="22"/>
          <w:szCs w:val="22"/>
        </w:rPr>
        <w:t>4</w:t>
      </w:r>
    </w:p>
    <w:p w14:paraId="72856D2F" w14:textId="77777777" w:rsidR="00FC65E4" w:rsidRDefault="00FC65E4" w:rsidP="00FC65E4">
      <w:pPr>
        <w:spacing w:before="120" w:line="288" w:lineRule="auto"/>
        <w:jc w:val="center"/>
        <w:rPr>
          <w:rFonts w:ascii="Arial" w:hAnsi="Arial" w:cs="Arial"/>
          <w:color w:val="0066FF"/>
          <w:sz w:val="22"/>
          <w:szCs w:val="22"/>
        </w:rPr>
      </w:pPr>
    </w:p>
    <w:p w14:paraId="03BAA554" w14:textId="77777777" w:rsidR="00FC65E4" w:rsidRPr="00A04C4E" w:rsidRDefault="00FC65E4" w:rsidP="00FC65E4">
      <w:pPr>
        <w:spacing w:before="120" w:line="288" w:lineRule="auto"/>
        <w:jc w:val="center"/>
        <w:rPr>
          <w:rFonts w:ascii="Arial" w:hAnsi="Arial" w:cs="Arial"/>
          <w:color w:val="0066FF"/>
          <w:sz w:val="22"/>
          <w:szCs w:val="22"/>
        </w:rPr>
      </w:pPr>
    </w:p>
    <w:p w14:paraId="2A6547BB" w14:textId="77777777" w:rsidR="00FC65E4" w:rsidRDefault="00FC65E4" w:rsidP="00FC65E4">
      <w:pPr>
        <w:pStyle w:val="Odstavecseseznamem"/>
        <w:numPr>
          <w:ilvl w:val="0"/>
          <w:numId w:val="5"/>
        </w:numPr>
        <w:spacing w:before="120" w:after="0" w:line="288" w:lineRule="auto"/>
        <w:jc w:val="both"/>
        <w:rPr>
          <w:rFonts w:ascii="Arial" w:hAnsi="Arial" w:cs="Arial"/>
        </w:rPr>
      </w:pPr>
      <w:r w:rsidRPr="00845161">
        <w:rPr>
          <w:rFonts w:ascii="Arial" w:hAnsi="Arial" w:cs="Arial"/>
        </w:rPr>
        <w:lastRenderedPageBreak/>
        <w:t xml:space="preserve">Změny </w:t>
      </w:r>
      <w:r w:rsidRPr="00855D69">
        <w:rPr>
          <w:rFonts w:ascii="Arial" w:hAnsi="Arial" w:cs="Arial"/>
        </w:rPr>
        <w:t>Ú</w:t>
      </w:r>
      <w:r>
        <w:rPr>
          <w:rFonts w:ascii="Arial" w:hAnsi="Arial" w:cs="Arial"/>
        </w:rPr>
        <w:t xml:space="preserve">zemního plánu města </w:t>
      </w:r>
      <w:r w:rsidRPr="00855D69">
        <w:rPr>
          <w:rFonts w:ascii="Arial" w:hAnsi="Arial" w:cs="Arial"/>
        </w:rPr>
        <w:t>Děčín</w:t>
      </w:r>
      <w:r>
        <w:rPr>
          <w:rFonts w:ascii="Arial" w:hAnsi="Arial" w:cs="Arial"/>
        </w:rPr>
        <w:t xml:space="preserve">a zpracované a vydané </w:t>
      </w:r>
      <w:r w:rsidRPr="00845161">
        <w:rPr>
          <w:rFonts w:ascii="Arial" w:hAnsi="Arial" w:cs="Arial"/>
        </w:rPr>
        <w:t xml:space="preserve">dle zákona </w:t>
      </w:r>
      <w:r>
        <w:rPr>
          <w:rFonts w:ascii="Arial" w:hAnsi="Arial" w:cs="Arial"/>
        </w:rPr>
        <w:t>183/2006 Sb.:</w:t>
      </w:r>
    </w:p>
    <w:p w14:paraId="0A7D9DF7" w14:textId="77777777" w:rsidR="00FC65E4" w:rsidRPr="00B04EF5" w:rsidRDefault="00FC65E4" w:rsidP="00FC65E4">
      <w:pPr>
        <w:spacing w:before="120" w:line="288" w:lineRule="auto"/>
        <w:jc w:val="center"/>
        <w:rPr>
          <w:color w:val="A87C00"/>
          <w:sz w:val="22"/>
          <w:szCs w:val="22"/>
        </w:rPr>
      </w:pPr>
      <w:r w:rsidRPr="00B04EF5">
        <w:rPr>
          <w:rFonts w:ascii="Arial" w:hAnsi="Arial" w:cs="Arial"/>
          <w:color w:val="A87C00"/>
          <w:sz w:val="22"/>
          <w:szCs w:val="22"/>
        </w:rPr>
        <w:t>(Z2) Změna č. 2</w:t>
      </w:r>
    </w:p>
    <w:p w14:paraId="1021B5B8" w14:textId="77777777" w:rsidR="00FC65E4" w:rsidRPr="00A04C4E" w:rsidRDefault="00FC65E4" w:rsidP="00FC65E4">
      <w:pPr>
        <w:spacing w:before="120" w:line="288" w:lineRule="auto"/>
        <w:jc w:val="center"/>
        <w:rPr>
          <w:color w:val="FF00FF"/>
          <w:sz w:val="22"/>
          <w:szCs w:val="22"/>
        </w:rPr>
      </w:pPr>
      <w:r>
        <w:rPr>
          <w:rFonts w:ascii="Arial" w:hAnsi="Arial" w:cs="Arial"/>
          <w:color w:val="D60093"/>
          <w:sz w:val="22"/>
          <w:szCs w:val="22"/>
        </w:rPr>
        <w:t xml:space="preserve">(Z6) </w:t>
      </w:r>
      <w:r w:rsidRPr="00A04C4E">
        <w:rPr>
          <w:rFonts w:ascii="Arial" w:hAnsi="Arial" w:cs="Arial"/>
          <w:color w:val="D60093"/>
          <w:sz w:val="22"/>
          <w:szCs w:val="22"/>
        </w:rPr>
        <w:t xml:space="preserve">Změna </w:t>
      </w:r>
      <w:r>
        <w:rPr>
          <w:rFonts w:ascii="Arial" w:hAnsi="Arial" w:cs="Arial"/>
          <w:color w:val="D60093"/>
          <w:sz w:val="22"/>
          <w:szCs w:val="22"/>
        </w:rPr>
        <w:t xml:space="preserve">č. </w:t>
      </w:r>
      <w:r w:rsidRPr="00A04C4E">
        <w:rPr>
          <w:rFonts w:ascii="Arial" w:hAnsi="Arial" w:cs="Arial"/>
          <w:color w:val="D60093"/>
          <w:sz w:val="22"/>
          <w:szCs w:val="22"/>
        </w:rPr>
        <w:t>6</w:t>
      </w:r>
    </w:p>
    <w:p w14:paraId="78451507" w14:textId="77777777" w:rsidR="00FC65E4" w:rsidRDefault="00FC65E4" w:rsidP="00FC65E4">
      <w:pPr>
        <w:spacing w:before="120" w:line="288" w:lineRule="auto"/>
        <w:jc w:val="center"/>
        <w:rPr>
          <w:rFonts w:ascii="Arial" w:hAnsi="Arial" w:cs="Arial"/>
          <w:color w:val="FF0000"/>
          <w:sz w:val="22"/>
          <w:szCs w:val="22"/>
        </w:rPr>
      </w:pPr>
      <w:r>
        <w:rPr>
          <w:rFonts w:ascii="Arial" w:hAnsi="Arial" w:cs="Arial"/>
          <w:color w:val="FF0000"/>
          <w:sz w:val="22"/>
          <w:szCs w:val="22"/>
        </w:rPr>
        <w:t xml:space="preserve">(Z8) </w:t>
      </w:r>
      <w:r w:rsidRPr="00A04C4E">
        <w:rPr>
          <w:rFonts w:ascii="Arial" w:hAnsi="Arial" w:cs="Arial"/>
          <w:color w:val="FF0000"/>
          <w:sz w:val="22"/>
          <w:szCs w:val="22"/>
        </w:rPr>
        <w:t xml:space="preserve">Změna </w:t>
      </w:r>
      <w:r>
        <w:rPr>
          <w:rFonts w:ascii="Arial" w:hAnsi="Arial" w:cs="Arial"/>
          <w:color w:val="FF0000"/>
          <w:sz w:val="22"/>
          <w:szCs w:val="22"/>
        </w:rPr>
        <w:t xml:space="preserve">č. </w:t>
      </w:r>
      <w:r w:rsidRPr="00A04C4E">
        <w:rPr>
          <w:rFonts w:ascii="Arial" w:hAnsi="Arial" w:cs="Arial"/>
          <w:color w:val="FF0000"/>
          <w:sz w:val="22"/>
          <w:szCs w:val="22"/>
        </w:rPr>
        <w:t>8</w:t>
      </w:r>
    </w:p>
    <w:p w14:paraId="0D44AECC" w14:textId="77777777" w:rsidR="00AB2594" w:rsidRPr="00AB2594" w:rsidRDefault="00AB2594" w:rsidP="00FC65E4">
      <w:pPr>
        <w:spacing w:before="120" w:line="288" w:lineRule="auto"/>
        <w:jc w:val="center"/>
        <w:rPr>
          <w:rFonts w:ascii="Arial" w:hAnsi="Arial" w:cs="Arial"/>
          <w:color w:val="18B8B0"/>
          <w:sz w:val="22"/>
          <w:szCs w:val="22"/>
        </w:rPr>
      </w:pPr>
      <w:r w:rsidRPr="007B2506">
        <w:rPr>
          <w:rFonts w:ascii="Arial" w:hAnsi="Arial" w:cs="Arial"/>
          <w:color w:val="18B8B0"/>
          <w:sz w:val="22"/>
          <w:szCs w:val="22"/>
        </w:rPr>
        <w:t>(Z12) Změna č. 12</w:t>
      </w:r>
    </w:p>
    <w:p w14:paraId="1EF28853" w14:textId="77777777" w:rsidR="00FC65E4" w:rsidRPr="007F3912" w:rsidRDefault="00FC65E4" w:rsidP="00FC65E4">
      <w:pPr>
        <w:spacing w:before="120" w:line="288" w:lineRule="auto"/>
        <w:jc w:val="center"/>
        <w:rPr>
          <w:rFonts w:ascii="Arial" w:hAnsi="Arial" w:cs="Arial"/>
          <w:color w:val="808080"/>
          <w:sz w:val="22"/>
          <w:szCs w:val="22"/>
        </w:rPr>
      </w:pPr>
    </w:p>
    <w:p w14:paraId="5964A52D" w14:textId="77777777" w:rsidR="00FC65E4" w:rsidRPr="007F3912" w:rsidRDefault="00FC65E4" w:rsidP="00FC65E4">
      <w:pPr>
        <w:spacing w:before="120" w:line="288" w:lineRule="auto"/>
        <w:ind w:firstLine="708"/>
        <w:jc w:val="both"/>
        <w:rPr>
          <w:rFonts w:ascii="Arial" w:eastAsia="Calibri" w:hAnsi="Arial" w:cs="Arial"/>
          <w:sz w:val="22"/>
          <w:szCs w:val="22"/>
          <w:lang w:eastAsia="en-US"/>
        </w:rPr>
      </w:pPr>
      <w:r w:rsidRPr="007F3912">
        <w:rPr>
          <w:rFonts w:ascii="Arial" w:eastAsia="Calibri" w:hAnsi="Arial" w:cs="Arial"/>
          <w:sz w:val="22"/>
          <w:szCs w:val="22"/>
          <w:lang w:eastAsia="en-US"/>
        </w:rPr>
        <w:t>Textové části dokumentace změn</w:t>
      </w:r>
      <w:r>
        <w:rPr>
          <w:rFonts w:ascii="Arial" w:eastAsia="Calibri" w:hAnsi="Arial" w:cs="Arial"/>
          <w:sz w:val="22"/>
          <w:szCs w:val="22"/>
          <w:lang w:eastAsia="en-US"/>
        </w:rPr>
        <w:t>,</w:t>
      </w:r>
      <w:r w:rsidRPr="007F3912">
        <w:rPr>
          <w:rFonts w:ascii="Arial" w:eastAsia="Calibri" w:hAnsi="Arial" w:cs="Arial"/>
          <w:sz w:val="22"/>
          <w:szCs w:val="22"/>
          <w:lang w:eastAsia="en-US"/>
        </w:rPr>
        <w:t xml:space="preserve"> které </w:t>
      </w:r>
      <w:r>
        <w:rPr>
          <w:rFonts w:ascii="Arial" w:eastAsia="Calibri" w:hAnsi="Arial" w:cs="Arial"/>
          <w:sz w:val="22"/>
          <w:szCs w:val="22"/>
          <w:lang w:eastAsia="en-US"/>
        </w:rPr>
        <w:t>nenacház</w:t>
      </w:r>
      <w:r w:rsidRPr="007F3912">
        <w:rPr>
          <w:rFonts w:ascii="Arial" w:eastAsia="Calibri" w:hAnsi="Arial" w:cs="Arial"/>
          <w:sz w:val="22"/>
          <w:szCs w:val="22"/>
          <w:lang w:eastAsia="en-US"/>
        </w:rPr>
        <w:t>í odezvu v žádné z</w:t>
      </w:r>
      <w:r>
        <w:rPr>
          <w:rFonts w:ascii="Arial" w:eastAsia="Calibri" w:hAnsi="Arial" w:cs="Arial"/>
          <w:sz w:val="22"/>
          <w:szCs w:val="22"/>
          <w:lang w:eastAsia="en-US"/>
        </w:rPr>
        <w:t> </w:t>
      </w:r>
      <w:r w:rsidRPr="007F3912">
        <w:rPr>
          <w:rFonts w:ascii="Arial" w:eastAsia="Calibri" w:hAnsi="Arial" w:cs="Arial"/>
          <w:sz w:val="22"/>
          <w:szCs w:val="22"/>
          <w:lang w:eastAsia="en-US"/>
        </w:rPr>
        <w:t>kapitol</w:t>
      </w:r>
      <w:r>
        <w:rPr>
          <w:rFonts w:ascii="Arial" w:eastAsia="Calibri" w:hAnsi="Arial" w:cs="Arial"/>
          <w:sz w:val="22"/>
          <w:szCs w:val="22"/>
          <w:lang w:eastAsia="en-US"/>
        </w:rPr>
        <w:t xml:space="preserve"> ÚPN, </w:t>
      </w:r>
      <w:proofErr w:type="gramStart"/>
      <w:r w:rsidRPr="007F3912">
        <w:rPr>
          <w:rFonts w:ascii="Arial" w:eastAsia="Calibri" w:hAnsi="Arial" w:cs="Arial"/>
          <w:sz w:val="22"/>
          <w:szCs w:val="22"/>
          <w:lang w:eastAsia="en-US"/>
        </w:rPr>
        <w:t>jsou</w:t>
      </w:r>
      <w:proofErr w:type="gramEnd"/>
      <w:r w:rsidRPr="007F3912">
        <w:rPr>
          <w:rFonts w:ascii="Arial" w:eastAsia="Calibri" w:hAnsi="Arial" w:cs="Arial"/>
          <w:sz w:val="22"/>
          <w:szCs w:val="22"/>
          <w:lang w:eastAsia="en-US"/>
        </w:rPr>
        <w:t xml:space="preserve"> </w:t>
      </w:r>
      <w:r>
        <w:rPr>
          <w:rFonts w:ascii="Arial" w:eastAsia="Calibri" w:hAnsi="Arial" w:cs="Arial"/>
          <w:sz w:val="22"/>
          <w:szCs w:val="22"/>
          <w:lang w:eastAsia="en-US"/>
        </w:rPr>
        <w:t xml:space="preserve">vloženy do doplňkové kapitoly R. Poslední kapitola T </w:t>
      </w:r>
      <w:proofErr w:type="gramStart"/>
      <w:r>
        <w:rPr>
          <w:rFonts w:ascii="Arial" w:eastAsia="Calibri" w:hAnsi="Arial" w:cs="Arial"/>
          <w:sz w:val="22"/>
          <w:szCs w:val="22"/>
          <w:lang w:eastAsia="en-US"/>
        </w:rPr>
        <w:t>obsahuje</w:t>
      </w:r>
      <w:proofErr w:type="gramEnd"/>
      <w:r>
        <w:rPr>
          <w:rFonts w:ascii="Arial" w:eastAsia="Calibri" w:hAnsi="Arial" w:cs="Arial"/>
          <w:sz w:val="22"/>
          <w:szCs w:val="22"/>
          <w:lang w:eastAsia="en-US"/>
        </w:rPr>
        <w:t xml:space="preserve"> dokumenty ÚPN a pořízených změn.</w:t>
      </w:r>
    </w:p>
    <w:p w14:paraId="0521A510" w14:textId="77777777" w:rsidR="00FC65E4" w:rsidRDefault="00FC65E4" w:rsidP="00FC65E4">
      <w:pPr>
        <w:spacing w:before="120" w:line="288" w:lineRule="auto"/>
        <w:ind w:firstLine="709"/>
        <w:jc w:val="both"/>
        <w:rPr>
          <w:rFonts w:ascii="Arial" w:hAnsi="Arial" w:cs="Arial"/>
          <w:sz w:val="22"/>
          <w:szCs w:val="22"/>
        </w:rPr>
      </w:pPr>
      <w:r w:rsidRPr="007F3912">
        <w:rPr>
          <w:rFonts w:ascii="Arial" w:eastAsia="Calibri" w:hAnsi="Arial" w:cs="Arial"/>
          <w:sz w:val="22"/>
          <w:szCs w:val="22"/>
          <w:lang w:eastAsia="en-US"/>
        </w:rPr>
        <w:t xml:space="preserve">Při zpracování </w:t>
      </w:r>
      <w:r w:rsidRPr="007F3912">
        <w:rPr>
          <w:rFonts w:ascii="Arial" w:eastAsia="Calibri" w:hAnsi="Arial" w:cs="Arial"/>
          <w:b/>
          <w:sz w:val="22"/>
          <w:szCs w:val="22"/>
          <w:lang w:eastAsia="en-US"/>
        </w:rPr>
        <w:t>grafické části</w:t>
      </w:r>
      <w:r w:rsidRPr="007F3912">
        <w:rPr>
          <w:rFonts w:ascii="Arial" w:eastAsia="Calibri" w:hAnsi="Arial" w:cs="Arial"/>
          <w:sz w:val="22"/>
          <w:szCs w:val="22"/>
          <w:lang w:eastAsia="en-US"/>
        </w:rPr>
        <w:t xml:space="preserve"> právního stavu ÚPN Děčín </w:t>
      </w:r>
      <w:r w:rsidRPr="00845161">
        <w:rPr>
          <w:rFonts w:ascii="Arial" w:hAnsi="Arial" w:cs="Arial"/>
          <w:sz w:val="22"/>
          <w:szCs w:val="22"/>
        </w:rPr>
        <w:t>byl</w:t>
      </w:r>
      <w:r>
        <w:rPr>
          <w:rFonts w:ascii="Arial" w:hAnsi="Arial" w:cs="Arial"/>
          <w:sz w:val="22"/>
          <w:szCs w:val="22"/>
        </w:rPr>
        <w:t xml:space="preserve"> použit následující </w:t>
      </w:r>
      <w:r w:rsidRPr="00845161">
        <w:rPr>
          <w:rFonts w:ascii="Arial" w:hAnsi="Arial" w:cs="Arial"/>
          <w:sz w:val="22"/>
          <w:szCs w:val="22"/>
        </w:rPr>
        <w:t xml:space="preserve">postup: </w:t>
      </w:r>
    </w:p>
    <w:p w14:paraId="76C617FF" w14:textId="77777777" w:rsidR="00FC65E4" w:rsidRDefault="00FC65E4" w:rsidP="00FC65E4">
      <w:pPr>
        <w:pStyle w:val="Odstavecseseznamem"/>
        <w:numPr>
          <w:ilvl w:val="0"/>
          <w:numId w:val="2"/>
        </w:numPr>
        <w:spacing w:before="120" w:after="0" w:line="288" w:lineRule="auto"/>
        <w:jc w:val="both"/>
        <w:rPr>
          <w:rFonts w:ascii="Arial" w:hAnsi="Arial" w:cs="Arial"/>
        </w:rPr>
      </w:pPr>
      <w:r w:rsidRPr="00545522">
        <w:rPr>
          <w:rFonts w:ascii="Arial" w:hAnsi="Arial" w:cs="Arial"/>
        </w:rPr>
        <w:t xml:space="preserve">Podkladovým materiálem </w:t>
      </w:r>
      <w:r>
        <w:rPr>
          <w:rFonts w:ascii="Arial" w:hAnsi="Arial" w:cs="Arial"/>
        </w:rPr>
        <w:t xml:space="preserve">předaným pořizovatelem </w:t>
      </w:r>
      <w:r w:rsidRPr="00545522">
        <w:rPr>
          <w:rFonts w:ascii="Arial" w:hAnsi="Arial" w:cs="Arial"/>
        </w:rPr>
        <w:t>byly georeferencované rastrové výkresy ÚP</w:t>
      </w:r>
      <w:r>
        <w:rPr>
          <w:rFonts w:ascii="Arial" w:hAnsi="Arial" w:cs="Arial"/>
        </w:rPr>
        <w:t>N</w:t>
      </w:r>
      <w:r w:rsidRPr="00545522">
        <w:rPr>
          <w:rFonts w:ascii="Arial" w:hAnsi="Arial" w:cs="Arial"/>
        </w:rPr>
        <w:t xml:space="preserve"> města Děčína a jejich změn. </w:t>
      </w:r>
      <w:r>
        <w:rPr>
          <w:rFonts w:ascii="Arial" w:hAnsi="Arial" w:cs="Arial"/>
        </w:rPr>
        <w:t xml:space="preserve">Jejich technické zpracování odpovídá možnostem limitovaným kvalitou originálních tištěných výkresů. </w:t>
      </w:r>
    </w:p>
    <w:p w14:paraId="289392E4" w14:textId="77777777" w:rsidR="00FC65E4" w:rsidRPr="0079299B" w:rsidRDefault="00FC65E4" w:rsidP="00FC65E4">
      <w:pPr>
        <w:pStyle w:val="Odstavecseseznamem"/>
        <w:spacing w:before="120" w:after="0" w:line="288" w:lineRule="auto"/>
        <w:jc w:val="both"/>
        <w:rPr>
          <w:rFonts w:ascii="Arial" w:hAnsi="Arial" w:cs="Arial"/>
        </w:rPr>
      </w:pPr>
    </w:p>
    <w:p w14:paraId="4076F50B" w14:textId="77777777" w:rsidR="00FC65E4" w:rsidRDefault="00FC65E4" w:rsidP="00FC65E4">
      <w:pPr>
        <w:pStyle w:val="Odstavecseseznamem"/>
        <w:numPr>
          <w:ilvl w:val="0"/>
          <w:numId w:val="2"/>
        </w:numPr>
        <w:spacing w:before="120" w:after="0" w:line="288" w:lineRule="auto"/>
        <w:jc w:val="both"/>
        <w:rPr>
          <w:rFonts w:ascii="Arial" w:hAnsi="Arial" w:cs="Arial"/>
        </w:rPr>
      </w:pPr>
      <w:r w:rsidRPr="00545522">
        <w:rPr>
          <w:rFonts w:ascii="Arial" w:hAnsi="Arial" w:cs="Arial"/>
        </w:rPr>
        <w:t xml:space="preserve">Souhrn rozvojových ploch ze změn č. 1, 2, 4, 6, 8 </w:t>
      </w:r>
      <w:r>
        <w:rPr>
          <w:rFonts w:ascii="Arial" w:hAnsi="Arial" w:cs="Arial"/>
        </w:rPr>
        <w:t>byl z</w:t>
      </w:r>
      <w:r w:rsidRPr="00545522">
        <w:rPr>
          <w:rFonts w:ascii="Arial" w:hAnsi="Arial" w:cs="Arial"/>
        </w:rPr>
        <w:t>obrazen nad georeferencovanými rastrovými výkresy původního ÚP</w:t>
      </w:r>
      <w:r>
        <w:rPr>
          <w:rFonts w:ascii="Arial" w:hAnsi="Arial" w:cs="Arial"/>
        </w:rPr>
        <w:t>N</w:t>
      </w:r>
      <w:r w:rsidRPr="00545522">
        <w:rPr>
          <w:rFonts w:ascii="Arial" w:hAnsi="Arial" w:cs="Arial"/>
        </w:rPr>
        <w:t xml:space="preserve"> města Děčína.</w:t>
      </w:r>
    </w:p>
    <w:p w14:paraId="2EA37406" w14:textId="77777777" w:rsidR="00FC65E4" w:rsidRDefault="00FC65E4" w:rsidP="00FC65E4">
      <w:pPr>
        <w:pStyle w:val="Odstavecseseznamem"/>
        <w:spacing w:before="120" w:after="0" w:line="288" w:lineRule="auto"/>
        <w:jc w:val="both"/>
        <w:rPr>
          <w:rFonts w:ascii="Arial" w:hAnsi="Arial" w:cs="Arial"/>
        </w:rPr>
      </w:pPr>
    </w:p>
    <w:p w14:paraId="4FA6D987" w14:textId="77777777" w:rsidR="00FC65E4" w:rsidRDefault="00FC65E4" w:rsidP="00FC65E4">
      <w:pPr>
        <w:pStyle w:val="Odstavecseseznamem"/>
        <w:numPr>
          <w:ilvl w:val="0"/>
          <w:numId w:val="2"/>
        </w:numPr>
        <w:spacing w:before="120" w:after="0" w:line="288" w:lineRule="auto"/>
        <w:jc w:val="both"/>
        <w:rPr>
          <w:rFonts w:ascii="Arial" w:hAnsi="Arial" w:cs="Arial"/>
        </w:rPr>
      </w:pPr>
      <w:r w:rsidRPr="00545522">
        <w:rPr>
          <w:rFonts w:ascii="Arial" w:hAnsi="Arial" w:cs="Arial"/>
        </w:rPr>
        <w:t>Dále byly zjištěny a digitalizovány bodové a liniové záměry ze změn č. 1, 2, 4, 6 a 8 ÚP</w:t>
      </w:r>
      <w:r>
        <w:rPr>
          <w:rFonts w:ascii="Arial" w:hAnsi="Arial" w:cs="Arial"/>
        </w:rPr>
        <w:t>N</w:t>
      </w:r>
      <w:r w:rsidRPr="00545522">
        <w:rPr>
          <w:rFonts w:ascii="Arial" w:hAnsi="Arial" w:cs="Arial"/>
        </w:rPr>
        <w:t xml:space="preserve"> </w:t>
      </w:r>
      <w:r>
        <w:rPr>
          <w:rFonts w:ascii="Arial" w:hAnsi="Arial" w:cs="Arial"/>
        </w:rPr>
        <w:t xml:space="preserve">města </w:t>
      </w:r>
      <w:r w:rsidRPr="00545522">
        <w:rPr>
          <w:rFonts w:ascii="Arial" w:hAnsi="Arial" w:cs="Arial"/>
        </w:rPr>
        <w:t>Děčína. Tyto prvky byly následně zobrazeny nad georeferencovanými rastrovými výkresy původního</w:t>
      </w:r>
      <w:r w:rsidRPr="0079299B">
        <w:rPr>
          <w:rFonts w:ascii="Arial" w:hAnsi="Arial" w:cs="Arial"/>
        </w:rPr>
        <w:t xml:space="preserve"> </w:t>
      </w:r>
      <w:r w:rsidRPr="00545522">
        <w:rPr>
          <w:rFonts w:ascii="Arial" w:hAnsi="Arial" w:cs="Arial"/>
        </w:rPr>
        <w:t>ÚP</w:t>
      </w:r>
      <w:r>
        <w:rPr>
          <w:rFonts w:ascii="Arial" w:hAnsi="Arial" w:cs="Arial"/>
        </w:rPr>
        <w:t>N</w:t>
      </w:r>
      <w:r w:rsidRPr="00545522">
        <w:rPr>
          <w:rFonts w:ascii="Arial" w:hAnsi="Arial" w:cs="Arial"/>
        </w:rPr>
        <w:t xml:space="preserve"> </w:t>
      </w:r>
      <w:r>
        <w:rPr>
          <w:rFonts w:ascii="Arial" w:hAnsi="Arial" w:cs="Arial"/>
        </w:rPr>
        <w:t xml:space="preserve">města </w:t>
      </w:r>
      <w:r w:rsidRPr="00545522">
        <w:rPr>
          <w:rFonts w:ascii="Arial" w:hAnsi="Arial" w:cs="Arial"/>
        </w:rPr>
        <w:t>Děčína stejně jako je tomu u rozvojových ploch. Současně byla zajištěna jejich identifikace, klasifikace a přiřazena příslušnost k jednotlivým změnám.</w:t>
      </w:r>
    </w:p>
    <w:p w14:paraId="4EF3F798" w14:textId="77777777" w:rsidR="00FC65E4" w:rsidRPr="0079299B" w:rsidRDefault="00FC65E4" w:rsidP="00FC65E4">
      <w:pPr>
        <w:pStyle w:val="Odstavecseseznamem"/>
        <w:spacing w:before="120" w:after="0" w:line="288" w:lineRule="auto"/>
        <w:ind w:left="0"/>
        <w:jc w:val="both"/>
        <w:rPr>
          <w:rFonts w:ascii="Arial" w:hAnsi="Arial" w:cs="Arial"/>
        </w:rPr>
      </w:pPr>
    </w:p>
    <w:p w14:paraId="006E5D1C" w14:textId="77777777" w:rsidR="00FC65E4" w:rsidRDefault="00FC65E4" w:rsidP="00FC65E4">
      <w:pPr>
        <w:spacing w:before="120" w:line="288" w:lineRule="auto"/>
        <w:ind w:firstLine="709"/>
        <w:jc w:val="both"/>
        <w:rPr>
          <w:rFonts w:ascii="Arial" w:hAnsi="Arial" w:cs="Arial"/>
          <w:sz w:val="22"/>
          <w:szCs w:val="22"/>
        </w:rPr>
      </w:pPr>
      <w:r w:rsidRPr="00C847CB">
        <w:rPr>
          <w:rFonts w:ascii="Arial" w:hAnsi="Arial" w:cs="Arial"/>
          <w:b/>
          <w:sz w:val="22"/>
          <w:szCs w:val="22"/>
        </w:rPr>
        <w:t>Grafická část</w:t>
      </w:r>
      <w:r w:rsidRPr="00666707">
        <w:rPr>
          <w:rFonts w:ascii="Arial" w:hAnsi="Arial" w:cs="Arial"/>
          <w:sz w:val="22"/>
          <w:szCs w:val="22"/>
        </w:rPr>
        <w:t xml:space="preserve"> dokumentace</w:t>
      </w:r>
      <w:r w:rsidRPr="00205D3A">
        <w:rPr>
          <w:rFonts w:ascii="Arial" w:hAnsi="Arial" w:cs="Arial"/>
          <w:sz w:val="22"/>
          <w:szCs w:val="22"/>
        </w:rPr>
        <w:t xml:space="preserve"> </w:t>
      </w:r>
      <w:r>
        <w:rPr>
          <w:rFonts w:ascii="Arial" w:hAnsi="Arial" w:cs="Arial"/>
          <w:sz w:val="22"/>
          <w:szCs w:val="22"/>
        </w:rPr>
        <w:t xml:space="preserve">právního stavu ÚPN města Děčín </w:t>
      </w:r>
      <w:r w:rsidRPr="008F4AA0">
        <w:rPr>
          <w:rFonts w:ascii="Arial" w:hAnsi="Arial" w:cs="Arial"/>
          <w:sz w:val="22"/>
          <w:szCs w:val="22"/>
        </w:rPr>
        <w:t>po p</w:t>
      </w:r>
      <w:r>
        <w:rPr>
          <w:rFonts w:ascii="Arial" w:hAnsi="Arial" w:cs="Arial"/>
          <w:sz w:val="22"/>
          <w:szCs w:val="22"/>
        </w:rPr>
        <w:t xml:space="preserve">ořízení </w:t>
      </w:r>
      <w:r w:rsidRPr="008F4AA0">
        <w:rPr>
          <w:rFonts w:ascii="Arial" w:hAnsi="Arial" w:cs="Arial"/>
          <w:sz w:val="22"/>
          <w:szCs w:val="22"/>
        </w:rPr>
        <w:t>změn č. 1, 2, 4, 6 a</w:t>
      </w:r>
      <w:r>
        <w:rPr>
          <w:rFonts w:ascii="Arial" w:hAnsi="Arial" w:cs="Arial"/>
          <w:sz w:val="22"/>
          <w:szCs w:val="22"/>
        </w:rPr>
        <w:t> </w:t>
      </w:r>
      <w:r w:rsidRPr="008F4AA0">
        <w:rPr>
          <w:rFonts w:ascii="Arial" w:hAnsi="Arial" w:cs="Arial"/>
          <w:sz w:val="22"/>
          <w:szCs w:val="22"/>
        </w:rPr>
        <w:t>8</w:t>
      </w:r>
      <w:r>
        <w:rPr>
          <w:rFonts w:ascii="Arial" w:hAnsi="Arial" w:cs="Arial"/>
          <w:sz w:val="22"/>
          <w:szCs w:val="22"/>
        </w:rPr>
        <w:t xml:space="preserve"> obsahuje tyto výkresy:</w:t>
      </w:r>
    </w:p>
    <w:p w14:paraId="24F6BB50" w14:textId="77777777" w:rsidR="00FC65E4" w:rsidRDefault="00FC65E4" w:rsidP="00FC65E4">
      <w:pPr>
        <w:pStyle w:val="Odstavecseseznamem"/>
        <w:numPr>
          <w:ilvl w:val="0"/>
          <w:numId w:val="4"/>
        </w:numPr>
        <w:spacing w:before="120" w:after="0" w:line="288" w:lineRule="auto"/>
        <w:jc w:val="both"/>
        <w:rPr>
          <w:rFonts w:ascii="Arial" w:hAnsi="Arial" w:cs="Arial"/>
        </w:rPr>
      </w:pPr>
      <w:r>
        <w:rPr>
          <w:rFonts w:ascii="Arial" w:hAnsi="Arial" w:cs="Arial"/>
        </w:rPr>
        <w:t>Hlavní výkres 1 : 10 000 (celé administrativní území), 1 : 5 000 (jádrové území)</w:t>
      </w:r>
    </w:p>
    <w:p w14:paraId="287CB220" w14:textId="77777777" w:rsidR="00FC65E4" w:rsidRDefault="00FC65E4" w:rsidP="00FC65E4">
      <w:pPr>
        <w:pStyle w:val="Odstavecseseznamem"/>
        <w:numPr>
          <w:ilvl w:val="0"/>
          <w:numId w:val="4"/>
        </w:numPr>
        <w:spacing w:before="120" w:after="0" w:line="288" w:lineRule="auto"/>
        <w:jc w:val="both"/>
        <w:rPr>
          <w:rFonts w:ascii="Arial" w:hAnsi="Arial" w:cs="Arial"/>
        </w:rPr>
      </w:pPr>
      <w:r>
        <w:rPr>
          <w:rFonts w:ascii="Arial" w:hAnsi="Arial" w:cs="Arial"/>
        </w:rPr>
        <w:t>Doprava  1 : 5 000 (jádrové území)</w:t>
      </w:r>
    </w:p>
    <w:p w14:paraId="52CA2E3C" w14:textId="77777777" w:rsidR="00FC65E4" w:rsidRDefault="00FC65E4" w:rsidP="00FC65E4">
      <w:pPr>
        <w:pStyle w:val="Odstavecseseznamem"/>
        <w:numPr>
          <w:ilvl w:val="0"/>
          <w:numId w:val="4"/>
        </w:numPr>
        <w:spacing w:before="120" w:after="0" w:line="288" w:lineRule="auto"/>
        <w:jc w:val="both"/>
        <w:rPr>
          <w:rFonts w:ascii="Arial" w:hAnsi="Arial" w:cs="Arial"/>
        </w:rPr>
      </w:pPr>
      <w:r>
        <w:rPr>
          <w:rFonts w:ascii="Arial" w:hAnsi="Arial" w:cs="Arial"/>
        </w:rPr>
        <w:t>Zásobování vodou 1 : 5 000 (jádrové území)</w:t>
      </w:r>
    </w:p>
    <w:p w14:paraId="315C8342" w14:textId="77777777" w:rsidR="00FC65E4" w:rsidRDefault="00FC65E4" w:rsidP="00FC65E4">
      <w:pPr>
        <w:pStyle w:val="Odstavecseseznamem"/>
        <w:numPr>
          <w:ilvl w:val="0"/>
          <w:numId w:val="4"/>
        </w:numPr>
        <w:spacing w:before="120" w:after="0" w:line="288" w:lineRule="auto"/>
        <w:jc w:val="both"/>
        <w:rPr>
          <w:rFonts w:ascii="Arial" w:hAnsi="Arial" w:cs="Arial"/>
        </w:rPr>
      </w:pPr>
      <w:r>
        <w:rPr>
          <w:rFonts w:ascii="Arial" w:hAnsi="Arial" w:cs="Arial"/>
        </w:rPr>
        <w:t>Likvidace odpadních vod 1 : 5 000 (jádrové území)</w:t>
      </w:r>
    </w:p>
    <w:p w14:paraId="452459D6" w14:textId="77777777" w:rsidR="00FC65E4" w:rsidRDefault="00FC65E4" w:rsidP="00FC65E4">
      <w:pPr>
        <w:pStyle w:val="Odstavecseseznamem"/>
        <w:numPr>
          <w:ilvl w:val="0"/>
          <w:numId w:val="4"/>
        </w:numPr>
        <w:spacing w:before="120" w:after="0" w:line="288" w:lineRule="auto"/>
        <w:jc w:val="both"/>
        <w:rPr>
          <w:rFonts w:ascii="Arial" w:hAnsi="Arial" w:cs="Arial"/>
        </w:rPr>
      </w:pPr>
      <w:r>
        <w:rPr>
          <w:rFonts w:ascii="Arial" w:hAnsi="Arial" w:cs="Arial"/>
        </w:rPr>
        <w:t>Teplo a plyn 1 : 5 000 (jádrové území)</w:t>
      </w:r>
    </w:p>
    <w:p w14:paraId="1E973EEF" w14:textId="77777777" w:rsidR="00FC65E4" w:rsidRDefault="00FC65E4" w:rsidP="00FC65E4">
      <w:pPr>
        <w:pStyle w:val="Odstavecseseznamem"/>
        <w:numPr>
          <w:ilvl w:val="0"/>
          <w:numId w:val="4"/>
        </w:numPr>
        <w:spacing w:before="120" w:after="0" w:line="288" w:lineRule="auto"/>
        <w:jc w:val="both"/>
        <w:rPr>
          <w:rFonts w:ascii="Arial" w:hAnsi="Arial" w:cs="Arial"/>
        </w:rPr>
      </w:pPr>
      <w:r>
        <w:rPr>
          <w:rFonts w:ascii="Arial" w:hAnsi="Arial" w:cs="Arial"/>
        </w:rPr>
        <w:t>Energie a spoje 1 : 5 000 (jádrové území)</w:t>
      </w:r>
    </w:p>
    <w:p w14:paraId="2B5628A6" w14:textId="77777777" w:rsidR="00FC65E4" w:rsidRDefault="00FC65E4" w:rsidP="00FC65E4">
      <w:pPr>
        <w:pStyle w:val="Odstavecseseznamem"/>
        <w:numPr>
          <w:ilvl w:val="0"/>
          <w:numId w:val="4"/>
        </w:numPr>
        <w:spacing w:before="120" w:after="0" w:line="288" w:lineRule="auto"/>
        <w:jc w:val="both"/>
        <w:rPr>
          <w:rFonts w:ascii="Arial" w:hAnsi="Arial" w:cs="Arial"/>
        </w:rPr>
      </w:pPr>
      <w:r>
        <w:rPr>
          <w:rFonts w:ascii="Arial" w:hAnsi="Arial" w:cs="Arial"/>
        </w:rPr>
        <w:t>Veřejně prospěšné stavby 1 : 5 000 (jádrové území)</w:t>
      </w:r>
    </w:p>
    <w:p w14:paraId="23622945" w14:textId="77777777" w:rsidR="00FC65E4" w:rsidRDefault="00FC65E4" w:rsidP="00FC65E4">
      <w:pPr>
        <w:spacing w:before="120" w:line="288" w:lineRule="auto"/>
        <w:ind w:firstLine="360"/>
        <w:jc w:val="both"/>
        <w:rPr>
          <w:rFonts w:ascii="Arial" w:hAnsi="Arial" w:cs="Arial"/>
          <w:sz w:val="22"/>
          <w:szCs w:val="22"/>
        </w:rPr>
      </w:pPr>
      <w:r w:rsidRPr="00D167EF">
        <w:rPr>
          <w:rFonts w:ascii="Arial" w:hAnsi="Arial" w:cs="Arial"/>
          <w:sz w:val="22"/>
          <w:szCs w:val="22"/>
        </w:rPr>
        <w:t>Doplňkový koordinační výkres</w:t>
      </w:r>
      <w:r>
        <w:rPr>
          <w:rFonts w:ascii="Arial" w:hAnsi="Arial" w:cs="Arial"/>
          <w:sz w:val="22"/>
          <w:szCs w:val="22"/>
        </w:rPr>
        <w:t xml:space="preserve"> </w:t>
      </w:r>
      <w:r>
        <w:rPr>
          <w:rFonts w:ascii="Arial" w:hAnsi="Arial" w:cs="Arial"/>
        </w:rPr>
        <w:t>1 : 5 000 (celé administrativní území),</w:t>
      </w:r>
    </w:p>
    <w:p w14:paraId="07D6020E" w14:textId="77777777" w:rsidR="00FC65E4" w:rsidRDefault="00FC65E4" w:rsidP="00FC65E4">
      <w:pPr>
        <w:spacing w:before="120" w:line="288" w:lineRule="auto"/>
        <w:ind w:firstLine="709"/>
        <w:jc w:val="both"/>
        <w:rPr>
          <w:rFonts w:ascii="Arial" w:hAnsi="Arial" w:cs="Arial"/>
          <w:sz w:val="22"/>
          <w:szCs w:val="22"/>
        </w:rPr>
      </w:pPr>
    </w:p>
    <w:p w14:paraId="3819793A" w14:textId="77777777" w:rsidR="00FC65E4" w:rsidRDefault="00FC65E4" w:rsidP="00FC65E4">
      <w:pPr>
        <w:spacing w:before="120" w:line="288" w:lineRule="auto"/>
        <w:ind w:firstLine="709"/>
        <w:jc w:val="both"/>
        <w:rPr>
          <w:rFonts w:ascii="Arial" w:hAnsi="Arial" w:cs="Arial"/>
          <w:sz w:val="22"/>
          <w:szCs w:val="22"/>
        </w:rPr>
      </w:pPr>
    </w:p>
    <w:p w14:paraId="444C6B01" w14:textId="77777777" w:rsidR="00FC65E4" w:rsidRDefault="00FC65E4" w:rsidP="00D916C9">
      <w:pPr>
        <w:rPr>
          <w:rFonts w:ascii="Arial" w:hAnsi="Arial" w:cs="Arial"/>
          <w:sz w:val="22"/>
        </w:rPr>
      </w:pPr>
    </w:p>
    <w:p w14:paraId="42B1E366" w14:textId="77777777" w:rsidR="00FC65E4" w:rsidRDefault="00FC65E4" w:rsidP="00D916C9">
      <w:pPr>
        <w:rPr>
          <w:rFonts w:ascii="Arial" w:hAnsi="Arial" w:cs="Arial"/>
          <w:sz w:val="22"/>
        </w:rPr>
      </w:pPr>
    </w:p>
    <w:p w14:paraId="3D6D9852" w14:textId="77777777" w:rsidR="00FC65E4" w:rsidRDefault="00FC65E4" w:rsidP="00D916C9">
      <w:pPr>
        <w:rPr>
          <w:rFonts w:ascii="Arial" w:hAnsi="Arial" w:cs="Arial"/>
          <w:sz w:val="22"/>
        </w:rPr>
      </w:pPr>
    </w:p>
    <w:p w14:paraId="30795A95" w14:textId="77777777" w:rsidR="00FC65E4" w:rsidRDefault="00FC65E4" w:rsidP="00D916C9">
      <w:pPr>
        <w:rPr>
          <w:rFonts w:ascii="Arial" w:hAnsi="Arial" w:cs="Arial"/>
          <w:sz w:val="22"/>
        </w:rPr>
      </w:pPr>
    </w:p>
    <w:p w14:paraId="3A94C2F9" w14:textId="77777777" w:rsidR="00FC65E4" w:rsidRDefault="00FC65E4" w:rsidP="00D916C9">
      <w:pPr>
        <w:rPr>
          <w:rFonts w:ascii="Arial" w:hAnsi="Arial" w:cs="Arial"/>
          <w:sz w:val="22"/>
        </w:rPr>
      </w:pPr>
    </w:p>
    <w:p w14:paraId="780890D0" w14:textId="77777777" w:rsidR="00FC65E4" w:rsidRPr="00FC65E4" w:rsidRDefault="00FC65E4" w:rsidP="00FC65E4">
      <w:pPr>
        <w:keepNext/>
        <w:keepLines/>
        <w:numPr>
          <w:ilvl w:val="0"/>
          <w:numId w:val="8"/>
        </w:numPr>
        <w:suppressAutoHyphens w:val="0"/>
        <w:spacing w:line="259" w:lineRule="auto"/>
        <w:jc w:val="both"/>
        <w:outlineLvl w:val="0"/>
        <w:rPr>
          <w:rFonts w:ascii="Arial" w:eastAsia="Calibri" w:hAnsi="Arial" w:cs="Arial"/>
          <w:b/>
          <w:color w:val="000000"/>
          <w:sz w:val="42"/>
          <w:szCs w:val="42"/>
          <w:lang w:eastAsia="cs-CZ"/>
        </w:rPr>
      </w:pPr>
      <w:r w:rsidRPr="00FC65E4">
        <w:rPr>
          <w:rFonts w:ascii="Arial" w:eastAsia="Calibri" w:hAnsi="Arial" w:cs="Arial"/>
          <w:b/>
          <w:color w:val="000000"/>
          <w:sz w:val="42"/>
          <w:szCs w:val="42"/>
          <w:lang w:eastAsia="cs-CZ"/>
        </w:rPr>
        <w:lastRenderedPageBreak/>
        <w:t>ZÁKLADNÍ ÚDAJE A CHARAKTERISTIKY</w:t>
      </w:r>
    </w:p>
    <w:p w14:paraId="7BA86AE7" w14:textId="77777777" w:rsidR="00FC65E4" w:rsidRPr="00FC65E4" w:rsidRDefault="00FC65E4" w:rsidP="00FC65E4">
      <w:pPr>
        <w:keepNext/>
        <w:keepLines/>
        <w:suppressAutoHyphens w:val="0"/>
        <w:spacing w:line="259" w:lineRule="auto"/>
        <w:ind w:left="101"/>
        <w:jc w:val="both"/>
        <w:outlineLvl w:val="0"/>
        <w:rPr>
          <w:rFonts w:ascii="Arial" w:eastAsia="Calibri" w:hAnsi="Arial" w:cs="Arial"/>
          <w:b/>
          <w:color w:val="000000"/>
          <w:sz w:val="36"/>
          <w:szCs w:val="22"/>
          <w:lang w:eastAsia="cs-CZ"/>
        </w:rPr>
      </w:pPr>
    </w:p>
    <w:p w14:paraId="071A1D20" w14:textId="77777777" w:rsidR="00FC65E4" w:rsidRPr="00FC65E4" w:rsidRDefault="00FC65E4" w:rsidP="00FC65E4">
      <w:pPr>
        <w:keepNext/>
        <w:keepLines/>
        <w:suppressAutoHyphens w:val="0"/>
        <w:spacing w:line="259" w:lineRule="auto"/>
        <w:ind w:left="101"/>
        <w:jc w:val="both"/>
        <w:outlineLvl w:val="0"/>
        <w:rPr>
          <w:rFonts w:ascii="Arial" w:eastAsia="Calibri" w:hAnsi="Arial" w:cs="Arial"/>
          <w:b/>
          <w:color w:val="000000"/>
          <w:sz w:val="36"/>
          <w:szCs w:val="22"/>
          <w:lang w:eastAsia="cs-CZ"/>
        </w:rPr>
      </w:pPr>
      <w:proofErr w:type="gramStart"/>
      <w:r>
        <w:rPr>
          <w:rFonts w:ascii="Arial" w:eastAsia="Calibri" w:hAnsi="Arial" w:cs="Arial"/>
          <w:b/>
          <w:color w:val="000000"/>
          <w:sz w:val="36"/>
          <w:szCs w:val="22"/>
          <w:lang w:eastAsia="cs-CZ"/>
        </w:rPr>
        <w:t xml:space="preserve">A.1. </w:t>
      </w:r>
      <w:r w:rsidRPr="00FC65E4">
        <w:rPr>
          <w:rFonts w:ascii="Arial" w:eastAsia="Calibri" w:hAnsi="Arial" w:cs="Arial"/>
          <w:b/>
          <w:color w:val="000000"/>
          <w:sz w:val="34"/>
          <w:szCs w:val="34"/>
          <w:lang w:eastAsia="cs-CZ"/>
        </w:rPr>
        <w:t>DŮVODY</w:t>
      </w:r>
      <w:proofErr w:type="gramEnd"/>
      <w:r w:rsidRPr="00FC65E4">
        <w:rPr>
          <w:rFonts w:ascii="Arial" w:eastAsia="Calibri" w:hAnsi="Arial" w:cs="Arial"/>
          <w:b/>
          <w:color w:val="000000"/>
          <w:sz w:val="34"/>
          <w:szCs w:val="34"/>
          <w:lang w:eastAsia="cs-CZ"/>
        </w:rPr>
        <w:t xml:space="preserve"> POŘÍZENÍ, DOSAVADNÍ PRŮBĚH PRACÍ</w:t>
      </w:r>
    </w:p>
    <w:p w14:paraId="0FDC1C2F" w14:textId="77777777" w:rsidR="00FC65E4" w:rsidRPr="00FC65E4" w:rsidRDefault="00FC65E4" w:rsidP="00CA23D0">
      <w:pPr>
        <w:suppressAutoHyphens w:val="0"/>
        <w:spacing w:before="120" w:line="312" w:lineRule="auto"/>
        <w:ind w:left="34" w:firstLine="709"/>
        <w:jc w:val="both"/>
        <w:rPr>
          <w:rFonts w:ascii="Arial" w:hAnsi="Arial" w:cs="Arial"/>
          <w:sz w:val="22"/>
          <w:szCs w:val="22"/>
          <w:lang w:eastAsia="cs-CZ"/>
        </w:rPr>
      </w:pPr>
      <w:r w:rsidRPr="00FC65E4">
        <w:rPr>
          <w:rFonts w:ascii="Arial" w:hAnsi="Arial" w:cs="Arial"/>
          <w:sz w:val="22"/>
          <w:szCs w:val="22"/>
          <w:lang w:eastAsia="cs-CZ"/>
        </w:rPr>
        <w:t>V roce 1963 bylo schváleno první územně technické řešení (územní plán - ÚP) města Děčína a Boletic n. L. V roce 1977 byly zahájeny práce na novém ÚPN města, který po zpracování 2 konceptů řešení a návrhu (1984) byl veřejnoprávně projednán a v roce 1985 oficiálně schválen.</w:t>
      </w:r>
    </w:p>
    <w:p w14:paraId="0A31FC76" w14:textId="77777777" w:rsidR="00FC65E4" w:rsidRPr="00FC65E4" w:rsidRDefault="00FC65E4" w:rsidP="00CA23D0">
      <w:pPr>
        <w:suppressAutoHyphens w:val="0"/>
        <w:spacing w:before="120" w:line="312" w:lineRule="auto"/>
        <w:ind w:left="34" w:firstLine="709"/>
        <w:jc w:val="both"/>
        <w:rPr>
          <w:rFonts w:ascii="Arial" w:hAnsi="Arial" w:cs="Arial"/>
          <w:sz w:val="22"/>
          <w:szCs w:val="22"/>
          <w:lang w:eastAsia="cs-CZ"/>
        </w:rPr>
      </w:pPr>
      <w:r w:rsidRPr="00FC65E4">
        <w:rPr>
          <w:rFonts w:ascii="Arial" w:hAnsi="Arial" w:cs="Arial"/>
          <w:sz w:val="22"/>
          <w:szCs w:val="22"/>
          <w:lang w:eastAsia="cs-CZ"/>
        </w:rPr>
        <w:t>Zásadní politické, celospolečenské a ekonomické změny od roku 1990 se začaly zcela logicky promítat i do požadavků a názorů na možné výhledově funkční využití území města. Tyto nové názory a požadavky bylo nutno chápat jako zcela nové reálné skutečnosti v podmínkách rozvíjející se ekonomiky tržního hospodářství, nové legislativy, probíhající transformace a změny vlastnických vztahů.</w:t>
      </w:r>
    </w:p>
    <w:p w14:paraId="3AAEF5FC" w14:textId="77777777" w:rsidR="00FC65E4" w:rsidRPr="00FC65E4" w:rsidRDefault="00FC65E4" w:rsidP="00CA23D0">
      <w:pPr>
        <w:suppressAutoHyphens w:val="0"/>
        <w:spacing w:before="120" w:line="312" w:lineRule="auto"/>
        <w:ind w:left="34" w:firstLine="709"/>
        <w:jc w:val="both"/>
        <w:rPr>
          <w:rFonts w:ascii="Arial" w:hAnsi="Arial" w:cs="Arial"/>
          <w:noProof/>
          <w:sz w:val="22"/>
          <w:szCs w:val="22"/>
          <w:lang w:eastAsia="cs-CZ"/>
        </w:rPr>
      </w:pPr>
      <w:r w:rsidRPr="00FC65E4">
        <w:rPr>
          <w:rFonts w:ascii="Arial" w:hAnsi="Arial" w:cs="Arial"/>
          <w:sz w:val="22"/>
          <w:szCs w:val="22"/>
          <w:lang w:eastAsia="cs-CZ"/>
        </w:rPr>
        <w:t xml:space="preserve">Na tyto změny pochopitelně nemohlo reagovat řešení (JPN města, zejména z důvodů regulativů a korekcí vyplývajících z národohospodářských plánů a centrálních orgánů minulého období. V řadě </w:t>
      </w:r>
      <w:r w:rsidRPr="00FC65E4">
        <w:rPr>
          <w:rFonts w:ascii="Arial" w:hAnsi="Arial" w:cs="Arial"/>
          <w:noProof/>
          <w:sz w:val="22"/>
          <w:szCs w:val="22"/>
          <w:lang w:eastAsia="cs-CZ"/>
        </w:rPr>
        <w:drawing>
          <wp:inline distT="0" distB="0" distL="0" distR="0" wp14:anchorId="6729FA4C" wp14:editId="50742D92">
            <wp:extent cx="13335" cy="67945"/>
            <wp:effectExtent l="0" t="0" r="5715" b="8255"/>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335" cy="67945"/>
                    </a:xfrm>
                    <a:prstGeom prst="rect">
                      <a:avLst/>
                    </a:prstGeom>
                    <a:noFill/>
                    <a:ln>
                      <a:noFill/>
                    </a:ln>
                  </pic:spPr>
                </pic:pic>
              </a:graphicData>
            </a:graphic>
          </wp:inline>
        </w:drawing>
      </w:r>
      <w:r w:rsidRPr="00FC65E4">
        <w:rPr>
          <w:rFonts w:ascii="Arial" w:hAnsi="Arial" w:cs="Arial"/>
          <w:sz w:val="22"/>
          <w:szCs w:val="22"/>
          <w:lang w:eastAsia="cs-CZ"/>
        </w:rPr>
        <w:t>případů bylo řešení ÚPN města oprávněně zpochybněno. V průběhu roku 1992 byla otevřena diskuse o možné „aktualizaci stávajícího ÚPN” nebo o zpracování nového dokumentu ve smyslu nových podmínek a nové legislativy.</w:t>
      </w:r>
      <w:r w:rsidRPr="00FC65E4">
        <w:rPr>
          <w:rFonts w:ascii="Arial" w:hAnsi="Arial" w:cs="Arial"/>
          <w:noProof/>
          <w:sz w:val="22"/>
          <w:szCs w:val="22"/>
          <w:lang w:eastAsia="cs-CZ"/>
        </w:rPr>
        <w:drawing>
          <wp:inline distT="0" distB="0" distL="0" distR="0" wp14:anchorId="14050C77" wp14:editId="20BBDD37">
            <wp:extent cx="13335" cy="13335"/>
            <wp:effectExtent l="0" t="0" r="0" b="0"/>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p>
    <w:p w14:paraId="651FAA73" w14:textId="77777777" w:rsidR="00FC65E4" w:rsidRPr="00FC65E4" w:rsidRDefault="00FC65E4" w:rsidP="00CA23D0">
      <w:pPr>
        <w:suppressAutoHyphens w:val="0"/>
        <w:spacing w:before="120" w:line="312" w:lineRule="auto"/>
        <w:ind w:left="33" w:firstLine="709"/>
        <w:jc w:val="both"/>
        <w:rPr>
          <w:rFonts w:ascii="Arial" w:hAnsi="Arial" w:cs="Arial"/>
          <w:sz w:val="22"/>
          <w:szCs w:val="22"/>
          <w:lang w:eastAsia="cs-CZ"/>
        </w:rPr>
      </w:pPr>
      <w:r w:rsidRPr="00FC65E4">
        <w:rPr>
          <w:rFonts w:ascii="Arial" w:hAnsi="Arial" w:cs="Arial"/>
          <w:sz w:val="22"/>
          <w:szCs w:val="22"/>
          <w:lang w:eastAsia="cs-CZ"/>
        </w:rPr>
        <w:t xml:space="preserve">Na počátku těchto úvah byly vysloveny nezbytné cíle a strategie možného rozvoje města, </w:t>
      </w:r>
      <w:r w:rsidRPr="00FC65E4">
        <w:rPr>
          <w:rFonts w:ascii="Arial" w:hAnsi="Arial" w:cs="Arial"/>
          <w:noProof/>
          <w:sz w:val="22"/>
          <w:szCs w:val="22"/>
          <w:lang w:eastAsia="cs-CZ"/>
        </w:rPr>
        <w:drawing>
          <wp:inline distT="0" distB="0" distL="0" distR="0" wp14:anchorId="6222525B" wp14:editId="59BE62EB">
            <wp:extent cx="13335" cy="13335"/>
            <wp:effectExtent l="0" t="0" r="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FC65E4">
        <w:rPr>
          <w:rFonts w:ascii="Arial" w:hAnsi="Arial" w:cs="Arial"/>
          <w:sz w:val="22"/>
          <w:szCs w:val="22"/>
          <w:lang w:eastAsia="cs-CZ"/>
        </w:rPr>
        <w:t>postupně byly formulovány městské priority a regionu a hledána i určitá „rovnováha“</w:t>
      </w:r>
      <w:r w:rsidRPr="00FC65E4">
        <w:rPr>
          <w:rFonts w:ascii="Arial" w:hAnsi="Arial" w:cs="Arial"/>
          <w:sz w:val="22"/>
          <w:szCs w:val="22"/>
          <w:vertAlign w:val="superscript"/>
          <w:lang w:eastAsia="cs-CZ"/>
        </w:rPr>
        <w:t xml:space="preserve"> </w:t>
      </w:r>
      <w:r w:rsidRPr="00FC65E4">
        <w:rPr>
          <w:rFonts w:ascii="Arial" w:hAnsi="Arial" w:cs="Arial"/>
          <w:sz w:val="22"/>
          <w:szCs w:val="22"/>
          <w:lang w:eastAsia="cs-CZ"/>
        </w:rPr>
        <w:t>mezi plánovacím rozhodnutím (přijatou a schválenou koncepcí) a nutnou mírou svobody růstu města. Formulace "vize města” proběhla zejména za aktivní účasti městského zastupitelstva v procesu tvorby "strategického scénáře rozvoje města Děčína".</w:t>
      </w:r>
    </w:p>
    <w:p w14:paraId="0ADAD8D2" w14:textId="77777777" w:rsidR="00FC65E4" w:rsidRPr="00FC65E4" w:rsidRDefault="00FC65E4" w:rsidP="00CA23D0">
      <w:pPr>
        <w:suppressAutoHyphens w:val="0"/>
        <w:spacing w:before="120" w:line="312" w:lineRule="auto"/>
        <w:ind w:left="33" w:firstLine="709"/>
        <w:jc w:val="both"/>
        <w:rPr>
          <w:rFonts w:ascii="Arial" w:hAnsi="Arial" w:cs="Arial"/>
          <w:sz w:val="22"/>
          <w:szCs w:val="22"/>
          <w:lang w:eastAsia="cs-CZ"/>
        </w:rPr>
      </w:pPr>
      <w:r w:rsidRPr="00FC65E4">
        <w:rPr>
          <w:rFonts w:ascii="Arial" w:hAnsi="Arial" w:cs="Arial"/>
          <w:sz w:val="22"/>
          <w:szCs w:val="22"/>
          <w:lang w:eastAsia="cs-CZ"/>
        </w:rPr>
        <w:t>Na základě dalších jednání o možném postupu prací na ÚPN města bylo rozhodnuto o vypracování konfrontačního dokumentu” - územně technického podkladu ÚTP, který přehlednou formou poskytuje základní informace o možnostech rozvoje města, bude konfrontovat nové podněty a požadavky s původním ĽJPN včetně konfrontace s novou legislativou a dalšími právními předpisy.</w:t>
      </w:r>
      <w:r w:rsidRPr="00FC65E4">
        <w:rPr>
          <w:rFonts w:ascii="Arial" w:hAnsi="Arial" w:cs="Arial"/>
          <w:noProof/>
          <w:sz w:val="22"/>
          <w:szCs w:val="22"/>
          <w:lang w:eastAsia="cs-CZ"/>
        </w:rPr>
        <w:drawing>
          <wp:inline distT="0" distB="0" distL="0" distR="0" wp14:anchorId="77E5C6DB" wp14:editId="450AB891">
            <wp:extent cx="13335" cy="27305"/>
            <wp:effectExtent l="0" t="0" r="0" b="0"/>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335" cy="27305"/>
                    </a:xfrm>
                    <a:prstGeom prst="rect">
                      <a:avLst/>
                    </a:prstGeom>
                    <a:noFill/>
                    <a:ln>
                      <a:noFill/>
                    </a:ln>
                  </pic:spPr>
                </pic:pic>
              </a:graphicData>
            </a:graphic>
          </wp:inline>
        </w:drawing>
      </w:r>
    </w:p>
    <w:p w14:paraId="08BC9801" w14:textId="77777777" w:rsidR="00FC65E4" w:rsidRPr="00FC65E4" w:rsidRDefault="00FC65E4" w:rsidP="00CA23D0">
      <w:pPr>
        <w:suppressAutoHyphens w:val="0"/>
        <w:spacing w:before="120" w:line="312" w:lineRule="auto"/>
        <w:ind w:left="33" w:firstLine="576"/>
        <w:contextualSpacing/>
        <w:jc w:val="both"/>
        <w:rPr>
          <w:rFonts w:ascii="Arial" w:hAnsi="Arial" w:cs="Arial"/>
          <w:sz w:val="22"/>
          <w:szCs w:val="22"/>
          <w:lang w:eastAsia="cs-CZ"/>
        </w:rPr>
      </w:pPr>
      <w:r w:rsidRPr="00FC65E4">
        <w:rPr>
          <w:rFonts w:ascii="Arial" w:hAnsi="Arial" w:cs="Arial"/>
          <w:noProof/>
          <w:sz w:val="22"/>
          <w:szCs w:val="22"/>
          <w:lang w:eastAsia="cs-CZ"/>
        </w:rPr>
        <w:drawing>
          <wp:anchor distT="0" distB="0" distL="114300" distR="114300" simplePos="0" relativeHeight="251663360" behindDoc="0" locked="0" layoutInCell="1" allowOverlap="0" wp14:anchorId="47577A00" wp14:editId="01F03E5A">
            <wp:simplePos x="0" y="0"/>
            <wp:positionH relativeFrom="column">
              <wp:posOffset>372110</wp:posOffset>
            </wp:positionH>
            <wp:positionV relativeFrom="paragraph">
              <wp:posOffset>130175</wp:posOffset>
            </wp:positionV>
            <wp:extent cx="3175" cy="3175"/>
            <wp:effectExtent l="0" t="0" r="0" b="0"/>
            <wp:wrapSquare wrapText="bothSides"/>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C65E4">
        <w:rPr>
          <w:rFonts w:ascii="Arial" w:hAnsi="Arial" w:cs="Arial"/>
          <w:noProof/>
          <w:sz w:val="22"/>
          <w:szCs w:val="22"/>
          <w:lang w:eastAsia="cs-CZ"/>
        </w:rPr>
        <w:drawing>
          <wp:anchor distT="0" distB="0" distL="114300" distR="114300" simplePos="0" relativeHeight="251664384" behindDoc="0" locked="0" layoutInCell="1" allowOverlap="0" wp14:anchorId="7894A8D5" wp14:editId="7A1DDEAD">
            <wp:simplePos x="0" y="0"/>
            <wp:positionH relativeFrom="column">
              <wp:posOffset>1014730</wp:posOffset>
            </wp:positionH>
            <wp:positionV relativeFrom="paragraph">
              <wp:posOffset>581025</wp:posOffset>
            </wp:positionV>
            <wp:extent cx="3175" cy="6350"/>
            <wp:effectExtent l="0" t="0" r="0" b="0"/>
            <wp:wrapSquare wrapText="bothSides"/>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75" cy="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C65E4">
        <w:rPr>
          <w:rFonts w:ascii="Arial" w:hAnsi="Arial" w:cs="Arial"/>
          <w:sz w:val="22"/>
          <w:szCs w:val="22"/>
          <w:lang w:eastAsia="cs-CZ"/>
        </w:rPr>
        <w:t xml:space="preserve"> </w:t>
      </w:r>
    </w:p>
    <w:p w14:paraId="46201C2E" w14:textId="77777777" w:rsidR="00FC65E4" w:rsidRPr="00FC65E4" w:rsidRDefault="00FC65E4" w:rsidP="00CA23D0">
      <w:pPr>
        <w:suppressAutoHyphens w:val="0"/>
        <w:spacing w:before="120" w:line="312" w:lineRule="auto"/>
        <w:ind w:left="38" w:right="4" w:firstLine="5"/>
        <w:jc w:val="both"/>
        <w:rPr>
          <w:rFonts w:ascii="Arial" w:hAnsi="Arial" w:cs="Arial"/>
          <w:b/>
          <w:sz w:val="22"/>
          <w:szCs w:val="22"/>
          <w:lang w:eastAsia="cs-CZ"/>
        </w:rPr>
      </w:pPr>
      <w:r w:rsidRPr="00FC65E4">
        <w:rPr>
          <w:rFonts w:ascii="Arial" w:hAnsi="Arial" w:cs="Arial"/>
          <w:b/>
          <w:sz w:val="22"/>
          <w:szCs w:val="22"/>
          <w:lang w:eastAsia="cs-CZ"/>
        </w:rPr>
        <w:t>Po jeho následném projednání v orgánech města bylo rozhodnuto, že ÚPN města z roku 1985 nebude aktualizován a bude zpracován nový ÚPN města.</w:t>
      </w:r>
    </w:p>
    <w:p w14:paraId="58E5E4EE" w14:textId="77777777" w:rsidR="00FC65E4" w:rsidRPr="00FC65E4" w:rsidRDefault="00FC65E4" w:rsidP="00CA23D0">
      <w:pPr>
        <w:suppressAutoHyphens w:val="0"/>
        <w:spacing w:before="120" w:line="312" w:lineRule="auto"/>
        <w:ind w:left="783" w:right="370" w:hanging="740"/>
        <w:jc w:val="both"/>
        <w:rPr>
          <w:rFonts w:ascii="Arial" w:hAnsi="Arial" w:cs="Arial"/>
          <w:b/>
          <w:sz w:val="22"/>
          <w:szCs w:val="22"/>
          <w:lang w:eastAsia="cs-CZ"/>
        </w:rPr>
      </w:pPr>
      <w:r w:rsidRPr="00FC65E4">
        <w:rPr>
          <w:rFonts w:ascii="Arial" w:hAnsi="Arial" w:cs="Arial"/>
          <w:b/>
          <w:sz w:val="22"/>
          <w:szCs w:val="22"/>
          <w:lang w:eastAsia="cs-CZ"/>
        </w:rPr>
        <w:t xml:space="preserve">l. etapa prací - průzkumy a rozbory ÚPN </w:t>
      </w:r>
    </w:p>
    <w:p w14:paraId="068C5E99" w14:textId="77777777" w:rsidR="00FC65E4" w:rsidRPr="00FC65E4" w:rsidRDefault="00FC65E4" w:rsidP="00CA23D0">
      <w:pPr>
        <w:suppressAutoHyphens w:val="0"/>
        <w:spacing w:before="120" w:line="312" w:lineRule="auto"/>
        <w:ind w:right="369" w:firstLine="709"/>
        <w:jc w:val="both"/>
        <w:rPr>
          <w:rFonts w:ascii="Arial" w:hAnsi="Arial" w:cs="Arial"/>
          <w:sz w:val="22"/>
          <w:szCs w:val="22"/>
          <w:lang w:eastAsia="cs-CZ"/>
        </w:rPr>
      </w:pPr>
      <w:r w:rsidRPr="00FC65E4">
        <w:rPr>
          <w:rFonts w:ascii="Arial" w:hAnsi="Arial" w:cs="Arial"/>
          <w:sz w:val="22"/>
          <w:szCs w:val="22"/>
          <w:lang w:eastAsia="cs-CZ"/>
        </w:rPr>
        <w:t>Byly dokončeny v únoru 1996, ”územně technické zásady - ÚHZ” pro vypracování konceptu řešení ÚPN byly projednány a schváleny v říjnu 1996.</w:t>
      </w:r>
    </w:p>
    <w:p w14:paraId="5215C8C8" w14:textId="77777777" w:rsidR="00FC65E4" w:rsidRPr="00FC65E4" w:rsidRDefault="00FC65E4" w:rsidP="00CA23D0">
      <w:pPr>
        <w:keepNext/>
        <w:suppressAutoHyphens w:val="0"/>
        <w:spacing w:before="120" w:line="312" w:lineRule="auto"/>
        <w:ind w:left="28"/>
        <w:jc w:val="both"/>
        <w:rPr>
          <w:rFonts w:ascii="Arial" w:hAnsi="Arial" w:cs="Arial"/>
          <w:b/>
          <w:sz w:val="22"/>
          <w:szCs w:val="22"/>
          <w:lang w:eastAsia="cs-CZ"/>
        </w:rPr>
      </w:pPr>
      <w:r w:rsidRPr="00FC65E4">
        <w:rPr>
          <w:rFonts w:ascii="Arial" w:hAnsi="Arial" w:cs="Arial"/>
          <w:b/>
          <w:sz w:val="22"/>
          <w:szCs w:val="22"/>
          <w:lang w:eastAsia="cs-CZ"/>
        </w:rPr>
        <w:t>Il. etapa prací - koncept řešení ÚPN</w:t>
      </w:r>
    </w:p>
    <w:p w14:paraId="28C47926" w14:textId="77777777" w:rsidR="00FC65E4" w:rsidRDefault="00FC65E4" w:rsidP="00CA23D0">
      <w:pPr>
        <w:suppressAutoHyphens w:val="0"/>
        <w:spacing w:before="120" w:line="312" w:lineRule="auto"/>
        <w:ind w:left="34" w:firstLine="709"/>
        <w:jc w:val="both"/>
        <w:rPr>
          <w:rFonts w:ascii="Arial" w:hAnsi="Arial" w:cs="Arial"/>
          <w:sz w:val="22"/>
          <w:szCs w:val="22"/>
          <w:lang w:eastAsia="cs-CZ"/>
        </w:rPr>
      </w:pPr>
      <w:r w:rsidRPr="00FC65E4">
        <w:rPr>
          <w:rFonts w:ascii="Arial" w:hAnsi="Arial" w:cs="Arial"/>
          <w:sz w:val="22"/>
          <w:szCs w:val="22"/>
          <w:lang w:eastAsia="cs-CZ"/>
        </w:rPr>
        <w:t xml:space="preserve">Rozpracovaný koncept řešení ÚPN byl s orgány města a okresu projednán v únoru 1997. Koncept řešení ĽJPN města byl dokončen v červnu 1977, v listopadu 1997 pak </w:t>
      </w:r>
    </w:p>
    <w:p w14:paraId="14686E24" w14:textId="77777777" w:rsidR="00CA23D0" w:rsidRPr="007A6DA4" w:rsidRDefault="00CA23D0" w:rsidP="00CA23D0">
      <w:pPr>
        <w:spacing w:before="120" w:line="288" w:lineRule="auto"/>
        <w:ind w:left="34"/>
        <w:jc w:val="both"/>
        <w:rPr>
          <w:rFonts w:ascii="Arial" w:hAnsi="Arial" w:cs="Arial"/>
          <w:sz w:val="22"/>
          <w:szCs w:val="22"/>
        </w:rPr>
      </w:pPr>
      <w:r w:rsidRPr="007A6DA4">
        <w:rPr>
          <w:rFonts w:ascii="Arial" w:hAnsi="Arial" w:cs="Arial"/>
          <w:sz w:val="22"/>
          <w:szCs w:val="22"/>
        </w:rPr>
        <w:lastRenderedPageBreak/>
        <w:t>veřejnoprávně projednán. V červnu 1998 byly s občany projednány ověřovací dopravní studie. Vznesené požadavky ze strany DOSS, námitky či požadavky ze strany veřejnosti, právnických a</w:t>
      </w:r>
      <w:r>
        <w:rPr>
          <w:rFonts w:ascii="Arial" w:hAnsi="Arial" w:cs="Arial"/>
          <w:sz w:val="22"/>
          <w:szCs w:val="22"/>
        </w:rPr>
        <w:t> </w:t>
      </w:r>
      <w:r w:rsidRPr="007A6DA4">
        <w:rPr>
          <w:rFonts w:ascii="Arial" w:hAnsi="Arial" w:cs="Arial"/>
          <w:noProof/>
          <w:sz w:val="22"/>
          <w:szCs w:val="22"/>
          <w:lang w:eastAsia="cs-CZ"/>
        </w:rPr>
        <w:drawing>
          <wp:inline distT="0" distB="0" distL="0" distR="0" wp14:anchorId="66F487F5" wp14:editId="4E10BE9C">
            <wp:extent cx="27305" cy="27305"/>
            <wp:effectExtent l="0" t="0" r="0" b="0"/>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305" cy="27305"/>
                    </a:xfrm>
                    <a:prstGeom prst="rect">
                      <a:avLst/>
                    </a:prstGeom>
                    <a:noFill/>
                    <a:ln>
                      <a:noFill/>
                    </a:ln>
                  </pic:spPr>
                </pic:pic>
              </a:graphicData>
            </a:graphic>
          </wp:inline>
        </w:drawing>
      </w:r>
      <w:r w:rsidRPr="007A6DA4">
        <w:rPr>
          <w:rFonts w:ascii="Arial" w:hAnsi="Arial" w:cs="Arial"/>
          <w:sz w:val="22"/>
          <w:szCs w:val="22"/>
        </w:rPr>
        <w:t>fyzických osob byly promítnuty do souborného stanoviska, které projednalo a schválilo městské zastupitelstvo 30.</w:t>
      </w:r>
      <w:r>
        <w:rPr>
          <w:rFonts w:ascii="Arial" w:hAnsi="Arial" w:cs="Arial"/>
          <w:sz w:val="22"/>
          <w:szCs w:val="22"/>
        </w:rPr>
        <w:t xml:space="preserve"> </w:t>
      </w:r>
      <w:r w:rsidRPr="007A6DA4">
        <w:rPr>
          <w:rFonts w:ascii="Arial" w:hAnsi="Arial" w:cs="Arial"/>
          <w:sz w:val="22"/>
          <w:szCs w:val="22"/>
        </w:rPr>
        <w:t>09.</w:t>
      </w:r>
      <w:r>
        <w:rPr>
          <w:rFonts w:ascii="Arial" w:hAnsi="Arial" w:cs="Arial"/>
          <w:sz w:val="22"/>
          <w:szCs w:val="22"/>
        </w:rPr>
        <w:t xml:space="preserve"> </w:t>
      </w:r>
      <w:r w:rsidRPr="007A6DA4">
        <w:rPr>
          <w:rFonts w:ascii="Arial" w:hAnsi="Arial" w:cs="Arial"/>
          <w:sz w:val="22"/>
          <w:szCs w:val="22"/>
        </w:rPr>
        <w:t>1999.</w:t>
      </w:r>
    </w:p>
    <w:p w14:paraId="05560B90" w14:textId="77777777" w:rsidR="00CA23D0" w:rsidRPr="007A6DA4" w:rsidRDefault="00CA23D0" w:rsidP="00CA23D0">
      <w:pPr>
        <w:spacing w:before="120" w:line="288" w:lineRule="auto"/>
        <w:ind w:left="778" w:right="4" w:hanging="740"/>
        <w:jc w:val="both"/>
        <w:rPr>
          <w:rFonts w:ascii="Arial" w:hAnsi="Arial" w:cs="Arial"/>
          <w:b/>
          <w:sz w:val="22"/>
          <w:szCs w:val="22"/>
        </w:rPr>
      </w:pPr>
      <w:r w:rsidRPr="007A6DA4">
        <w:rPr>
          <w:rFonts w:ascii="Arial" w:hAnsi="Arial" w:cs="Arial"/>
          <w:b/>
          <w:sz w:val="22"/>
          <w:szCs w:val="22"/>
        </w:rPr>
        <w:t xml:space="preserve">Ill. etapa prací - návrh řešení ÚPN </w:t>
      </w:r>
    </w:p>
    <w:p w14:paraId="5106346E" w14:textId="77777777" w:rsidR="00CA23D0" w:rsidRPr="00AF4402" w:rsidRDefault="00CA23D0" w:rsidP="00CA23D0">
      <w:pPr>
        <w:spacing w:before="120" w:line="288" w:lineRule="auto"/>
        <w:ind w:left="34" w:firstLine="709"/>
        <w:jc w:val="both"/>
        <w:rPr>
          <w:rFonts w:ascii="Arial" w:hAnsi="Arial" w:cs="Arial"/>
          <w:sz w:val="22"/>
          <w:szCs w:val="22"/>
        </w:rPr>
      </w:pPr>
      <w:r w:rsidRPr="007A6DA4">
        <w:rPr>
          <w:rFonts w:ascii="Arial" w:hAnsi="Arial" w:cs="Arial"/>
          <w:sz w:val="22"/>
          <w:szCs w:val="22"/>
        </w:rPr>
        <w:t xml:space="preserve">Rozpracovaný návrh ÚPN byl předložen orgánům města v červnu 2000. Další dílčí požadavky byly formulovány jako "doplnění souborného stanoviska", které byly městským zastupitelstvem projednány a schváleny a do návrhu řešení zahrnuty. Návrh řešení ÚPN zohledňuje všechny </w:t>
      </w:r>
      <w:r w:rsidRPr="007A6DA4">
        <w:rPr>
          <w:rFonts w:ascii="Arial" w:hAnsi="Arial" w:cs="Arial"/>
          <w:noProof/>
          <w:sz w:val="22"/>
          <w:szCs w:val="22"/>
          <w:lang w:eastAsia="cs-CZ"/>
        </w:rPr>
        <w:drawing>
          <wp:inline distT="0" distB="0" distL="0" distR="0" wp14:anchorId="736D4321" wp14:editId="41B54EBC">
            <wp:extent cx="13335" cy="13335"/>
            <wp:effectExtent l="0" t="0" r="0" b="0"/>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7A6DA4">
        <w:rPr>
          <w:rFonts w:ascii="Arial" w:hAnsi="Arial" w:cs="Arial"/>
          <w:sz w:val="22"/>
          <w:szCs w:val="22"/>
        </w:rPr>
        <w:t>požadavky a informace k datu 06/2000. Ostatní dílčí úpravy vycházejí z</w:t>
      </w:r>
      <w:r>
        <w:rPr>
          <w:rFonts w:ascii="Arial" w:hAnsi="Arial" w:cs="Arial"/>
          <w:sz w:val="22"/>
          <w:szCs w:val="22"/>
        </w:rPr>
        <w:t> </w:t>
      </w:r>
      <w:r w:rsidRPr="007A6DA4">
        <w:rPr>
          <w:rFonts w:ascii="Arial" w:hAnsi="Arial" w:cs="Arial"/>
          <w:sz w:val="22"/>
          <w:szCs w:val="22"/>
        </w:rPr>
        <w:t>požadavků projednání navrženého řešení.</w:t>
      </w:r>
    </w:p>
    <w:p w14:paraId="761644BD" w14:textId="77777777" w:rsidR="00CA23D0" w:rsidRDefault="00CA23D0" w:rsidP="00CA23D0">
      <w:pPr>
        <w:tabs>
          <w:tab w:val="decimal" w:pos="144"/>
          <w:tab w:val="decimal" w:pos="1134"/>
          <w:tab w:val="right" w:pos="2679"/>
        </w:tabs>
        <w:spacing w:before="120" w:line="288" w:lineRule="auto"/>
        <w:jc w:val="both"/>
        <w:rPr>
          <w:rFonts w:ascii="Arial" w:hAnsi="Arial" w:cs="Arial"/>
          <w:color w:val="00B050"/>
          <w:spacing w:val="3"/>
          <w:sz w:val="22"/>
          <w:szCs w:val="22"/>
        </w:rPr>
      </w:pPr>
      <w:r w:rsidRPr="007A6DA4">
        <w:rPr>
          <w:rFonts w:ascii="Arial" w:hAnsi="Arial" w:cs="Arial"/>
          <w:color w:val="00B050"/>
          <w:spacing w:val="3"/>
          <w:sz w:val="22"/>
          <w:szCs w:val="22"/>
        </w:rPr>
        <w:t xml:space="preserve">(Z1) </w:t>
      </w:r>
      <w:r>
        <w:rPr>
          <w:rFonts w:ascii="Arial" w:hAnsi="Arial" w:cs="Arial"/>
          <w:b/>
          <w:color w:val="00B050"/>
          <w:spacing w:val="3"/>
          <w:sz w:val="22"/>
          <w:szCs w:val="22"/>
        </w:rPr>
        <w:t>ÚVOD</w:t>
      </w:r>
    </w:p>
    <w:p w14:paraId="4F57EC43" w14:textId="77777777" w:rsidR="00CA23D0" w:rsidRPr="007A6DA4" w:rsidRDefault="00CA23D0" w:rsidP="00CA23D0">
      <w:pPr>
        <w:tabs>
          <w:tab w:val="decimal" w:pos="144"/>
          <w:tab w:val="decimal" w:pos="1134"/>
          <w:tab w:val="right" w:pos="2679"/>
        </w:tabs>
        <w:spacing w:before="120" w:line="288" w:lineRule="auto"/>
        <w:jc w:val="both"/>
        <w:rPr>
          <w:rFonts w:ascii="Arial" w:hAnsi="Arial" w:cs="Arial"/>
          <w:color w:val="00B050"/>
          <w:spacing w:val="3"/>
          <w:sz w:val="22"/>
          <w:szCs w:val="22"/>
        </w:rPr>
      </w:pPr>
      <w:r>
        <w:rPr>
          <w:rFonts w:ascii="Arial" w:hAnsi="Arial" w:cs="Arial"/>
          <w:color w:val="00B050"/>
          <w:spacing w:val="3"/>
          <w:sz w:val="22"/>
          <w:szCs w:val="22"/>
        </w:rPr>
        <w:t>Ú</w:t>
      </w:r>
      <w:r w:rsidRPr="007A6DA4">
        <w:rPr>
          <w:rFonts w:ascii="Arial" w:hAnsi="Arial" w:cs="Arial"/>
          <w:color w:val="00B050"/>
          <w:spacing w:val="3"/>
          <w:sz w:val="22"/>
          <w:szCs w:val="22"/>
        </w:rPr>
        <w:t>zemní plán města (dále jen Úpn M) Děčína byl schválen Zastupitelstvem města dne 21. 3. 2002. ÚPn byl zpracován na základě zadání a dodatku zadání 2 roku 1996. Stáří zadávacího dokumentu vyvolalo již v průběhu dokončovacích prací na ÚPn potřebu aktualizace dokončované dokumentace.</w:t>
      </w:r>
    </w:p>
    <w:p w14:paraId="7B0FABDD" w14:textId="77777777" w:rsidR="00CA23D0" w:rsidRPr="007A6DA4" w:rsidRDefault="00CA23D0" w:rsidP="00CA23D0">
      <w:pPr>
        <w:tabs>
          <w:tab w:val="decimal" w:pos="144"/>
          <w:tab w:val="decimal" w:pos="1134"/>
          <w:tab w:val="right" w:pos="2679"/>
        </w:tabs>
        <w:spacing w:before="120" w:line="288" w:lineRule="auto"/>
        <w:jc w:val="both"/>
        <w:rPr>
          <w:rFonts w:ascii="Arial" w:hAnsi="Arial" w:cs="Arial"/>
          <w:color w:val="00B050"/>
          <w:spacing w:val="3"/>
          <w:sz w:val="22"/>
          <w:szCs w:val="22"/>
        </w:rPr>
      </w:pPr>
      <w:r w:rsidRPr="007A6DA4">
        <w:rPr>
          <w:rFonts w:ascii="Arial" w:hAnsi="Arial" w:cs="Arial"/>
          <w:color w:val="00B050"/>
          <w:spacing w:val="3"/>
          <w:sz w:val="22"/>
          <w:szCs w:val="22"/>
        </w:rPr>
        <w:t>Ze strany právnických a fyzických osob byly vzneseny požadavky na změnu nebo doplnění funkčního využití ploch ÚPn.</w:t>
      </w:r>
    </w:p>
    <w:p w14:paraId="23414236" w14:textId="77777777" w:rsidR="00CA23D0" w:rsidRPr="007A6DA4" w:rsidRDefault="00CA23D0" w:rsidP="00CA23D0">
      <w:pPr>
        <w:tabs>
          <w:tab w:val="decimal" w:pos="144"/>
          <w:tab w:val="decimal" w:pos="1134"/>
          <w:tab w:val="right" w:pos="2679"/>
        </w:tabs>
        <w:spacing w:before="120" w:line="288" w:lineRule="auto"/>
        <w:jc w:val="both"/>
        <w:rPr>
          <w:rFonts w:ascii="Arial" w:hAnsi="Arial" w:cs="Arial"/>
          <w:color w:val="00B050"/>
          <w:spacing w:val="3"/>
          <w:sz w:val="22"/>
          <w:szCs w:val="22"/>
        </w:rPr>
      </w:pPr>
      <w:r w:rsidRPr="007A6DA4">
        <w:rPr>
          <w:rFonts w:ascii="Arial" w:hAnsi="Arial" w:cs="Arial"/>
          <w:color w:val="00B050"/>
          <w:spacing w:val="3"/>
          <w:sz w:val="22"/>
          <w:szCs w:val="22"/>
        </w:rPr>
        <w:t>Na základě těchto skutečností rozhodlo Zastupitelstvo dne 27. 6. 2002 o zpracování změny ÚPn v rozsahu 5 lokalit. Zpracování 1. změny bylo doplněno o 5 lokalit a to usnesením Zastupitelstva ze dne 17. 4. 2003. Na základě projednání byl počet rozvojových ploch upraven na 10.</w:t>
      </w:r>
    </w:p>
    <w:p w14:paraId="1995CE16" w14:textId="77777777" w:rsidR="00CA23D0" w:rsidRPr="00847358" w:rsidRDefault="00CA23D0" w:rsidP="00CA23D0">
      <w:pPr>
        <w:tabs>
          <w:tab w:val="decimal" w:pos="144"/>
          <w:tab w:val="decimal" w:pos="1134"/>
          <w:tab w:val="right" w:pos="2679"/>
        </w:tabs>
        <w:spacing w:before="36" w:line="276" w:lineRule="auto"/>
        <w:jc w:val="both"/>
        <w:rPr>
          <w:rFonts w:ascii="Arial" w:hAnsi="Arial" w:cs="Arial"/>
          <w:color w:val="00B050"/>
          <w:spacing w:val="3"/>
          <w:sz w:val="22"/>
          <w:szCs w:val="22"/>
        </w:rPr>
      </w:pPr>
      <w:r w:rsidRPr="00847358">
        <w:rPr>
          <w:rFonts w:ascii="Arial" w:hAnsi="Arial" w:cs="Arial"/>
          <w:color w:val="00B050"/>
          <w:spacing w:val="3"/>
          <w:sz w:val="22"/>
          <w:szCs w:val="22"/>
        </w:rPr>
        <w:t>Stanovisko nadřízeného orgánu k zadání bylo vydáno dne 5. 1. 2004 pod zn. UPS/738/128036/03/E</w:t>
      </w:r>
    </w:p>
    <w:p w14:paraId="230FEBE0" w14:textId="77777777" w:rsidR="00CA23D0" w:rsidRPr="00847358" w:rsidRDefault="00CA23D0" w:rsidP="00CA23D0">
      <w:pPr>
        <w:tabs>
          <w:tab w:val="decimal" w:pos="72"/>
          <w:tab w:val="decimal" w:pos="144"/>
          <w:tab w:val="right" w:pos="2679"/>
        </w:tabs>
        <w:spacing w:before="36" w:line="276" w:lineRule="auto"/>
        <w:jc w:val="both"/>
        <w:rPr>
          <w:rFonts w:ascii="Arial" w:hAnsi="Arial" w:cs="Arial"/>
          <w:b/>
          <w:color w:val="00B050"/>
          <w:spacing w:val="3"/>
          <w:sz w:val="22"/>
          <w:szCs w:val="22"/>
        </w:rPr>
      </w:pPr>
    </w:p>
    <w:p w14:paraId="34D8A799" w14:textId="77777777" w:rsidR="00CA23D0" w:rsidRPr="00847358" w:rsidRDefault="00CA23D0" w:rsidP="00CA23D0">
      <w:pPr>
        <w:tabs>
          <w:tab w:val="decimal" w:pos="72"/>
          <w:tab w:val="decimal" w:pos="144"/>
          <w:tab w:val="right" w:pos="2679"/>
        </w:tabs>
        <w:spacing w:before="36" w:line="276" w:lineRule="auto"/>
        <w:jc w:val="both"/>
        <w:rPr>
          <w:rFonts w:ascii="Arial" w:hAnsi="Arial" w:cs="Arial"/>
          <w:b/>
          <w:color w:val="00B050"/>
          <w:spacing w:val="3"/>
          <w:sz w:val="22"/>
          <w:szCs w:val="22"/>
        </w:rPr>
      </w:pPr>
      <w:r>
        <w:rPr>
          <w:rFonts w:ascii="Arial" w:hAnsi="Arial" w:cs="Arial"/>
          <w:b/>
          <w:color w:val="00B050"/>
          <w:spacing w:val="3"/>
          <w:sz w:val="22"/>
          <w:szCs w:val="22"/>
        </w:rPr>
        <w:t xml:space="preserve">(Z1) </w:t>
      </w:r>
      <w:r w:rsidRPr="00847358">
        <w:rPr>
          <w:rFonts w:ascii="Arial" w:hAnsi="Arial" w:cs="Arial"/>
          <w:b/>
          <w:color w:val="00B050"/>
          <w:spacing w:val="3"/>
          <w:sz w:val="22"/>
          <w:szCs w:val="22"/>
        </w:rPr>
        <w:t>ZHODNOCENÍ VZTAHU DŘÍVE ZPRACOVANÉ A SCHVÁLENÉ ÚPD</w:t>
      </w:r>
    </w:p>
    <w:p w14:paraId="76A26D66" w14:textId="77777777" w:rsidR="00CA23D0" w:rsidRPr="00847358" w:rsidRDefault="00CA23D0" w:rsidP="00CA23D0">
      <w:pPr>
        <w:tabs>
          <w:tab w:val="decimal" w:pos="144"/>
          <w:tab w:val="decimal" w:pos="709"/>
          <w:tab w:val="right" w:pos="2679"/>
        </w:tabs>
        <w:spacing w:before="36" w:line="276" w:lineRule="auto"/>
        <w:jc w:val="both"/>
        <w:rPr>
          <w:rFonts w:ascii="Arial" w:hAnsi="Arial" w:cs="Arial"/>
          <w:color w:val="00B050"/>
          <w:spacing w:val="3"/>
          <w:sz w:val="22"/>
          <w:szCs w:val="22"/>
        </w:rPr>
      </w:pPr>
      <w:r w:rsidRPr="00847358">
        <w:rPr>
          <w:rFonts w:ascii="Arial" w:hAnsi="Arial" w:cs="Arial"/>
          <w:color w:val="00B050"/>
          <w:spacing w:val="3"/>
          <w:sz w:val="22"/>
          <w:szCs w:val="22"/>
        </w:rPr>
        <w:t>Město má zpracovanou a schválenou ÚPD a návrh 1. změny rozšiřuje zastavitelné</w:t>
      </w:r>
    </w:p>
    <w:p w14:paraId="504BD392" w14:textId="77777777" w:rsidR="00CA23D0" w:rsidRPr="00847358" w:rsidRDefault="00CA23D0" w:rsidP="00CA23D0">
      <w:pPr>
        <w:tabs>
          <w:tab w:val="decimal" w:pos="144"/>
          <w:tab w:val="decimal" w:pos="709"/>
          <w:tab w:val="right" w:pos="2679"/>
        </w:tabs>
        <w:spacing w:before="36" w:line="276" w:lineRule="auto"/>
        <w:jc w:val="both"/>
        <w:rPr>
          <w:rFonts w:ascii="Arial" w:hAnsi="Arial" w:cs="Arial"/>
          <w:color w:val="00B050"/>
          <w:spacing w:val="3"/>
          <w:sz w:val="22"/>
          <w:szCs w:val="22"/>
        </w:rPr>
      </w:pPr>
      <w:r w:rsidRPr="00847358">
        <w:rPr>
          <w:rFonts w:ascii="Arial" w:hAnsi="Arial" w:cs="Arial"/>
          <w:color w:val="00B050"/>
          <w:spacing w:val="3"/>
          <w:sz w:val="22"/>
          <w:szCs w:val="22"/>
        </w:rPr>
        <w:t>území navržené v roce 2002 a částečně i navržené území z roku 2002 mění.</w:t>
      </w:r>
    </w:p>
    <w:p w14:paraId="08006913" w14:textId="77777777" w:rsidR="00CA23D0" w:rsidRDefault="00CA23D0" w:rsidP="00CA23D0">
      <w:pPr>
        <w:spacing w:line="276" w:lineRule="auto"/>
        <w:jc w:val="both"/>
        <w:rPr>
          <w:rFonts w:ascii="Arial" w:hAnsi="Arial" w:cs="Arial"/>
          <w:b/>
        </w:rPr>
      </w:pPr>
    </w:p>
    <w:p w14:paraId="12CBB9FF" w14:textId="77777777" w:rsidR="00CA23D0" w:rsidRPr="00113A9F" w:rsidRDefault="00CA23D0" w:rsidP="00CA23D0">
      <w:pPr>
        <w:spacing w:line="276" w:lineRule="auto"/>
        <w:jc w:val="both"/>
        <w:rPr>
          <w:rFonts w:ascii="Arial" w:hAnsi="Arial" w:cs="Arial"/>
          <w:b/>
          <w:color w:val="BF8F00"/>
          <w:sz w:val="22"/>
          <w:szCs w:val="22"/>
        </w:rPr>
      </w:pPr>
      <w:r w:rsidRPr="00113A9F">
        <w:rPr>
          <w:rFonts w:ascii="Arial" w:hAnsi="Arial" w:cs="Arial"/>
          <w:b/>
          <w:color w:val="BF8F00"/>
          <w:sz w:val="22"/>
          <w:szCs w:val="22"/>
        </w:rPr>
        <w:t>(Z2) KONCEPCE ROZVOJE ÚZEMÍ OBCE, OCHRANY A ROZVOJE JEHO HODNOT,</w:t>
      </w:r>
    </w:p>
    <w:p w14:paraId="2CAB390A" w14:textId="77777777" w:rsidR="00CA23D0" w:rsidRPr="00113A9F" w:rsidRDefault="00CA23D0" w:rsidP="00CA23D0">
      <w:pPr>
        <w:spacing w:line="276" w:lineRule="auto"/>
        <w:jc w:val="both"/>
        <w:rPr>
          <w:rFonts w:ascii="Arial" w:hAnsi="Arial" w:cs="Arial"/>
          <w:b/>
          <w:color w:val="BF8F00"/>
          <w:sz w:val="22"/>
          <w:szCs w:val="22"/>
        </w:rPr>
      </w:pPr>
      <w:r w:rsidRPr="00113A9F">
        <w:rPr>
          <w:rFonts w:ascii="Arial" w:hAnsi="Arial" w:cs="Arial"/>
          <w:b/>
          <w:color w:val="BF8F00"/>
          <w:sz w:val="22"/>
          <w:szCs w:val="22"/>
        </w:rPr>
        <w:t>HLAVNÍ CÍLE ROZVOJE</w:t>
      </w:r>
    </w:p>
    <w:p w14:paraId="3FB80076" w14:textId="77777777" w:rsidR="00CA23D0" w:rsidRPr="00DD2A6C" w:rsidRDefault="00CA23D0" w:rsidP="00CA23D0">
      <w:pPr>
        <w:spacing w:before="120" w:line="288" w:lineRule="auto"/>
        <w:ind w:left="12"/>
        <w:jc w:val="both"/>
        <w:rPr>
          <w:rFonts w:ascii="Arial" w:hAnsi="Arial" w:cs="Arial"/>
          <w:color w:val="BF8F00"/>
          <w:sz w:val="22"/>
          <w:szCs w:val="22"/>
        </w:rPr>
      </w:pPr>
      <w:r w:rsidRPr="00DD2A6C">
        <w:rPr>
          <w:rFonts w:ascii="Arial" w:hAnsi="Arial" w:cs="Arial"/>
          <w:color w:val="BF8F00"/>
          <w:sz w:val="22"/>
          <w:szCs w:val="22"/>
        </w:rPr>
        <w:t xml:space="preserve">Hlavní </w:t>
      </w:r>
      <w:proofErr w:type="gramStart"/>
      <w:r w:rsidRPr="00DD2A6C">
        <w:rPr>
          <w:rFonts w:ascii="Arial" w:hAnsi="Arial" w:cs="Arial"/>
          <w:color w:val="BF8F00"/>
          <w:sz w:val="22"/>
          <w:szCs w:val="22"/>
        </w:rPr>
        <w:t>cíle 2.změny</w:t>
      </w:r>
      <w:proofErr w:type="gramEnd"/>
      <w:r w:rsidRPr="00DD2A6C">
        <w:rPr>
          <w:rFonts w:ascii="Arial" w:hAnsi="Arial" w:cs="Arial"/>
          <w:color w:val="BF8F00"/>
          <w:sz w:val="22"/>
          <w:szCs w:val="22"/>
        </w:rPr>
        <w:t xml:space="preserve"> ÚPn M Děčína vycházejí z „Politiky územního rozvoje České republiky“ (PUR CR):</w:t>
      </w:r>
    </w:p>
    <w:p w14:paraId="10F681D1" w14:textId="77777777" w:rsidR="00CA23D0" w:rsidRPr="00DD2A6C" w:rsidRDefault="00CA23D0" w:rsidP="00CA23D0">
      <w:pPr>
        <w:pStyle w:val="Odstavecseseznamem"/>
        <w:numPr>
          <w:ilvl w:val="0"/>
          <w:numId w:val="7"/>
        </w:numPr>
        <w:spacing w:before="120" w:after="0" w:line="288" w:lineRule="auto"/>
        <w:ind w:left="426"/>
        <w:contextualSpacing w:val="0"/>
        <w:jc w:val="both"/>
        <w:rPr>
          <w:rFonts w:ascii="Arial" w:hAnsi="Arial" w:cs="Arial"/>
          <w:color w:val="BF8F00"/>
        </w:rPr>
      </w:pPr>
      <w:r w:rsidRPr="00DD2A6C">
        <w:rPr>
          <w:rFonts w:ascii="Arial" w:hAnsi="Arial" w:cs="Arial"/>
          <w:color w:val="BF8F00"/>
        </w:rPr>
        <w:t xml:space="preserve">Specifické oblasti (rozvojová oblast Ústí nad Labem) a </w:t>
      </w:r>
      <w:r>
        <w:rPr>
          <w:rFonts w:ascii="Arial" w:hAnsi="Arial" w:cs="Arial"/>
          <w:color w:val="BF8F00"/>
        </w:rPr>
        <w:t>rozvojová osa Praha Ústi nad Lab</w:t>
      </w:r>
      <w:r w:rsidRPr="00DD2A6C">
        <w:rPr>
          <w:rFonts w:ascii="Arial" w:hAnsi="Arial" w:cs="Arial"/>
          <w:color w:val="BF8F00"/>
        </w:rPr>
        <w:t xml:space="preserve">em </w:t>
      </w:r>
      <w:proofErr w:type="gramStart"/>
      <w:r w:rsidRPr="00DD2A6C">
        <w:rPr>
          <w:rFonts w:ascii="Arial" w:hAnsi="Arial" w:cs="Arial"/>
          <w:color w:val="BF8F00"/>
        </w:rPr>
        <w:t>hranice ,CR</w:t>
      </w:r>
      <w:proofErr w:type="gramEnd"/>
    </w:p>
    <w:p w14:paraId="5BDEE553" w14:textId="77777777" w:rsidR="00CA23D0" w:rsidRPr="00DD2A6C" w:rsidRDefault="00CA23D0" w:rsidP="00CA23D0">
      <w:pPr>
        <w:pStyle w:val="Odstavecseseznamem"/>
        <w:numPr>
          <w:ilvl w:val="1"/>
          <w:numId w:val="7"/>
        </w:numPr>
        <w:spacing w:before="120" w:after="0" w:line="288" w:lineRule="auto"/>
        <w:ind w:left="744"/>
        <w:contextualSpacing w:val="0"/>
        <w:jc w:val="both"/>
        <w:rPr>
          <w:rFonts w:ascii="Arial" w:hAnsi="Arial" w:cs="Arial"/>
          <w:b/>
          <w:i/>
          <w:color w:val="BF8F00"/>
        </w:rPr>
      </w:pPr>
      <w:r w:rsidRPr="00DD2A6C">
        <w:rPr>
          <w:rFonts w:ascii="Arial" w:hAnsi="Arial" w:cs="Arial"/>
          <w:b/>
          <w:i/>
          <w:color w:val="BF8F00"/>
        </w:rPr>
        <w:t>řešit územní souvislosti výstavby D8</w:t>
      </w:r>
    </w:p>
    <w:p w14:paraId="1110760D" w14:textId="77777777" w:rsidR="00CA23D0" w:rsidRPr="00DD2A6C" w:rsidRDefault="00CA23D0" w:rsidP="00CA23D0">
      <w:pPr>
        <w:pStyle w:val="Odstavecseseznamem"/>
        <w:numPr>
          <w:ilvl w:val="0"/>
          <w:numId w:val="7"/>
        </w:numPr>
        <w:spacing w:before="120" w:after="0" w:line="288" w:lineRule="auto"/>
        <w:ind w:left="426"/>
        <w:contextualSpacing w:val="0"/>
        <w:jc w:val="both"/>
        <w:rPr>
          <w:rFonts w:ascii="Arial" w:hAnsi="Arial" w:cs="Arial"/>
          <w:color w:val="BF8F00"/>
        </w:rPr>
      </w:pPr>
      <w:r w:rsidRPr="00DD2A6C">
        <w:rPr>
          <w:rFonts w:ascii="Arial" w:hAnsi="Arial" w:cs="Arial"/>
          <w:color w:val="BF8F00"/>
        </w:rPr>
        <w:t>Koridory a plochy dopravy -vodní doprava</w:t>
      </w:r>
    </w:p>
    <w:p w14:paraId="3F8D7C7B" w14:textId="77777777" w:rsidR="00FC65E4" w:rsidRDefault="00FC65E4" w:rsidP="00D916C9">
      <w:pPr>
        <w:rPr>
          <w:rFonts w:ascii="Arial" w:hAnsi="Arial" w:cs="Arial"/>
          <w:sz w:val="22"/>
        </w:rPr>
      </w:pPr>
    </w:p>
    <w:p w14:paraId="31ED5785" w14:textId="77777777" w:rsidR="00CA23D0" w:rsidRDefault="00CA23D0" w:rsidP="00D916C9">
      <w:pPr>
        <w:rPr>
          <w:rFonts w:ascii="Arial" w:hAnsi="Arial" w:cs="Arial"/>
          <w:sz w:val="22"/>
        </w:rPr>
      </w:pPr>
    </w:p>
    <w:p w14:paraId="7943652D" w14:textId="77777777" w:rsidR="00CA23D0" w:rsidRDefault="00CA23D0" w:rsidP="00D916C9">
      <w:pPr>
        <w:rPr>
          <w:rFonts w:ascii="Arial" w:hAnsi="Arial" w:cs="Arial"/>
          <w:sz w:val="22"/>
        </w:rPr>
      </w:pPr>
    </w:p>
    <w:p w14:paraId="298D63B7" w14:textId="77777777" w:rsidR="00CA23D0" w:rsidRPr="00DD2A6C" w:rsidRDefault="00CA23D0" w:rsidP="00CA23D0">
      <w:pPr>
        <w:pStyle w:val="Odstavecseseznamem"/>
        <w:numPr>
          <w:ilvl w:val="1"/>
          <w:numId w:val="7"/>
        </w:numPr>
        <w:spacing w:before="120" w:after="0" w:line="288" w:lineRule="auto"/>
        <w:ind w:left="744"/>
        <w:contextualSpacing w:val="0"/>
        <w:jc w:val="both"/>
        <w:rPr>
          <w:rFonts w:ascii="Arial" w:hAnsi="Arial" w:cs="Arial"/>
          <w:b/>
          <w:i/>
          <w:color w:val="BF8F00"/>
        </w:rPr>
      </w:pPr>
      <w:r w:rsidRPr="00DD2A6C">
        <w:rPr>
          <w:rFonts w:ascii="Arial" w:hAnsi="Arial" w:cs="Arial"/>
          <w:b/>
          <w:i/>
          <w:color w:val="BF8F00"/>
        </w:rPr>
        <w:lastRenderedPageBreak/>
        <w:t>Vymezit plochy a koridory formou územní rezervy s cílem prověřit možnosti budoucího využití pro potřeby zkvalitňování parametrů na vodních cestách využívaných.</w:t>
      </w:r>
    </w:p>
    <w:p w14:paraId="30371A67" w14:textId="77777777" w:rsidR="00CA23D0" w:rsidRPr="00DD2A6C" w:rsidRDefault="00CA23D0" w:rsidP="00CA23D0">
      <w:pPr>
        <w:spacing w:before="120" w:line="288" w:lineRule="auto"/>
        <w:ind w:left="12"/>
        <w:jc w:val="both"/>
        <w:rPr>
          <w:rFonts w:ascii="Arial" w:hAnsi="Arial" w:cs="Arial"/>
          <w:color w:val="BF8F00"/>
          <w:sz w:val="22"/>
          <w:szCs w:val="22"/>
        </w:rPr>
      </w:pPr>
      <w:r w:rsidRPr="00DD2A6C">
        <w:rPr>
          <w:rFonts w:ascii="Arial" w:hAnsi="Arial" w:cs="Arial"/>
          <w:color w:val="BF8F00"/>
          <w:sz w:val="22"/>
          <w:szCs w:val="22"/>
        </w:rPr>
        <w:t>Návrh 2. změny UPn M Děčína není v rozporu s „Politikou územního rozvoje České republiky“.</w:t>
      </w:r>
    </w:p>
    <w:p w14:paraId="4CFCC0BA" w14:textId="77777777" w:rsidR="00CA23D0" w:rsidRDefault="00CA23D0" w:rsidP="00CA23D0">
      <w:pPr>
        <w:spacing w:line="276" w:lineRule="auto"/>
        <w:jc w:val="both"/>
        <w:rPr>
          <w:rFonts w:ascii="Arial" w:hAnsi="Arial" w:cs="Arial"/>
          <w:b/>
          <w:color w:val="0066FF"/>
          <w:sz w:val="22"/>
          <w:szCs w:val="22"/>
        </w:rPr>
      </w:pPr>
    </w:p>
    <w:p w14:paraId="177A7B36" w14:textId="77777777" w:rsidR="00CA23D0" w:rsidRDefault="00CA23D0" w:rsidP="00CA23D0">
      <w:pPr>
        <w:spacing w:line="276" w:lineRule="auto"/>
        <w:jc w:val="both"/>
        <w:rPr>
          <w:rFonts w:ascii="Arial" w:hAnsi="Arial" w:cs="Arial"/>
          <w:b/>
          <w:color w:val="0066FF"/>
          <w:sz w:val="22"/>
          <w:szCs w:val="22"/>
        </w:rPr>
      </w:pPr>
      <w:r w:rsidRPr="00832913">
        <w:rPr>
          <w:rFonts w:ascii="Arial" w:hAnsi="Arial" w:cs="Arial"/>
          <w:b/>
          <w:color w:val="0066FF"/>
          <w:sz w:val="22"/>
          <w:szCs w:val="22"/>
        </w:rPr>
        <w:t>(Z4) HLAVNÍ CÍLE ŘEŠENÍ</w:t>
      </w:r>
    </w:p>
    <w:p w14:paraId="50D57FB6" w14:textId="77777777" w:rsidR="00CA23D0" w:rsidRPr="00832913" w:rsidRDefault="00CA23D0" w:rsidP="00CA23D0">
      <w:pPr>
        <w:spacing w:line="276" w:lineRule="auto"/>
        <w:jc w:val="both"/>
        <w:rPr>
          <w:rFonts w:ascii="Arial" w:hAnsi="Arial" w:cs="Arial"/>
          <w:b/>
          <w:color w:val="0066FF"/>
          <w:sz w:val="22"/>
          <w:szCs w:val="22"/>
        </w:rPr>
      </w:pPr>
      <w:r w:rsidRPr="00832913">
        <w:rPr>
          <w:rFonts w:ascii="Arial" w:hAnsi="Arial" w:cs="Arial"/>
          <w:b/>
          <w:color w:val="0066FF"/>
          <w:sz w:val="22"/>
          <w:szCs w:val="22"/>
        </w:rPr>
        <w:t>Úvodem</w:t>
      </w:r>
    </w:p>
    <w:p w14:paraId="299152B1" w14:textId="77777777" w:rsidR="00CA23D0" w:rsidRPr="00832913" w:rsidRDefault="00CA23D0" w:rsidP="00CA23D0">
      <w:pPr>
        <w:spacing w:line="276" w:lineRule="auto"/>
        <w:jc w:val="both"/>
        <w:rPr>
          <w:rFonts w:ascii="Arial" w:hAnsi="Arial" w:cs="Arial"/>
          <w:color w:val="0066FF"/>
          <w:sz w:val="22"/>
          <w:szCs w:val="22"/>
        </w:rPr>
      </w:pPr>
      <w:r w:rsidRPr="00832913">
        <w:rPr>
          <w:rFonts w:ascii="Arial" w:hAnsi="Arial" w:cs="Arial"/>
          <w:color w:val="0066FF"/>
          <w:sz w:val="22"/>
          <w:szCs w:val="22"/>
        </w:rPr>
        <w:t xml:space="preserve">Územní plán města (dále jen Úpn M) Děčína byl schválen Zastupitelstvem města dne </w:t>
      </w:r>
      <w:proofErr w:type="gramStart"/>
      <w:r w:rsidRPr="00832913">
        <w:rPr>
          <w:rFonts w:ascii="Arial" w:hAnsi="Arial" w:cs="Arial"/>
          <w:color w:val="0066FF"/>
          <w:sz w:val="22"/>
          <w:szCs w:val="22"/>
        </w:rPr>
        <w:t>21.3.2002</w:t>
      </w:r>
      <w:proofErr w:type="gramEnd"/>
      <w:r w:rsidRPr="00832913">
        <w:rPr>
          <w:rFonts w:ascii="Arial" w:hAnsi="Arial" w:cs="Arial"/>
          <w:color w:val="0066FF"/>
          <w:sz w:val="22"/>
          <w:szCs w:val="22"/>
        </w:rPr>
        <w:t>. ÚPn M byl zpracován na základě zadání a dodatku zadání 2 roku 1996. Stáří zadávacího dokumentu vyvolalo již v proběhu dokončovacích prací na ÚPn potřebu aktualizace dokončované dokumentace.</w:t>
      </w:r>
    </w:p>
    <w:p w14:paraId="471E2784" w14:textId="77777777" w:rsidR="00CA23D0" w:rsidRPr="00832913" w:rsidRDefault="00CA23D0" w:rsidP="00CA23D0">
      <w:pPr>
        <w:spacing w:line="276" w:lineRule="auto"/>
        <w:jc w:val="both"/>
        <w:rPr>
          <w:rFonts w:ascii="Arial" w:hAnsi="Arial" w:cs="Arial"/>
          <w:color w:val="0066FF"/>
          <w:sz w:val="22"/>
          <w:szCs w:val="22"/>
        </w:rPr>
      </w:pPr>
      <w:r w:rsidRPr="00832913">
        <w:rPr>
          <w:rFonts w:ascii="Arial" w:hAnsi="Arial" w:cs="Arial"/>
          <w:color w:val="0066FF"/>
          <w:sz w:val="22"/>
          <w:szCs w:val="22"/>
        </w:rPr>
        <w:t>Ze strany právnických a fyzických osob byly vzneseny požadavky na změnu nebo doplnění funkčního využití ploch ÚPn.</w:t>
      </w:r>
    </w:p>
    <w:p w14:paraId="6ADEDD46" w14:textId="77777777" w:rsidR="00CA23D0" w:rsidRPr="00832913" w:rsidRDefault="00CA23D0" w:rsidP="00CA23D0">
      <w:pPr>
        <w:spacing w:line="276" w:lineRule="auto"/>
        <w:jc w:val="both"/>
        <w:rPr>
          <w:rFonts w:ascii="Arial" w:hAnsi="Arial" w:cs="Arial"/>
          <w:color w:val="0066FF"/>
          <w:sz w:val="22"/>
          <w:szCs w:val="22"/>
        </w:rPr>
      </w:pPr>
      <w:r w:rsidRPr="00832913">
        <w:rPr>
          <w:rFonts w:ascii="Arial" w:hAnsi="Arial" w:cs="Arial"/>
          <w:color w:val="0066FF"/>
          <w:sz w:val="22"/>
          <w:szCs w:val="22"/>
        </w:rPr>
        <w:t>Na základě těchto skutečností byla zpracována a schválena l. změna ÚPn M v roce 2005. Dále rozhodlo Zastupitelstvo o zpracování 3. a 4. změny ÚPn. Změna č. 3 „rozšíření Loděnice Křešice je rozpracována souběžně s 4. změnou ÚPn (schválené zadání a rozpracován koncept ÚPn). Projednávána je dále změna ÚPn č. 2 na úrovni zadání (v současné době je 2. změna před schválením zadání). Změna č. 5 má schválené zadání a je v současné době rozpracována.</w:t>
      </w:r>
    </w:p>
    <w:p w14:paraId="02DBBCF8" w14:textId="77777777" w:rsidR="00CA23D0" w:rsidRPr="00832913" w:rsidRDefault="00CA23D0" w:rsidP="00CA23D0">
      <w:pPr>
        <w:spacing w:line="276" w:lineRule="auto"/>
        <w:jc w:val="both"/>
        <w:rPr>
          <w:rFonts w:ascii="Arial" w:hAnsi="Arial" w:cs="Arial"/>
          <w:color w:val="0066FF"/>
          <w:sz w:val="22"/>
          <w:szCs w:val="22"/>
        </w:rPr>
      </w:pPr>
      <w:r w:rsidRPr="00832913">
        <w:rPr>
          <w:rFonts w:ascii="Arial" w:hAnsi="Arial" w:cs="Arial"/>
          <w:color w:val="0066FF"/>
          <w:sz w:val="22"/>
          <w:szCs w:val="22"/>
        </w:rPr>
        <w:t xml:space="preserve">Zpracování 4. změny je dáno jednou lokalitou a zadání bylo schváleno usnesením Zastupitelstva města Děčína ze dne </w:t>
      </w:r>
      <w:proofErr w:type="gramStart"/>
      <w:r w:rsidRPr="00832913">
        <w:rPr>
          <w:rFonts w:ascii="Arial" w:hAnsi="Arial" w:cs="Arial"/>
          <w:color w:val="0066FF"/>
          <w:sz w:val="22"/>
          <w:szCs w:val="22"/>
        </w:rPr>
        <w:t>22.12.2005</w:t>
      </w:r>
      <w:proofErr w:type="gramEnd"/>
      <w:r w:rsidRPr="00832913">
        <w:rPr>
          <w:rFonts w:ascii="Arial" w:hAnsi="Arial" w:cs="Arial"/>
          <w:color w:val="0066FF"/>
          <w:sz w:val="22"/>
          <w:szCs w:val="22"/>
        </w:rPr>
        <w:t>, pod č- 05110801.</w:t>
      </w:r>
    </w:p>
    <w:p w14:paraId="42ED375B" w14:textId="77777777" w:rsidR="00CA23D0" w:rsidRPr="00832913" w:rsidRDefault="00CA23D0" w:rsidP="00CA23D0">
      <w:pPr>
        <w:spacing w:line="276" w:lineRule="auto"/>
        <w:jc w:val="both"/>
        <w:rPr>
          <w:rFonts w:ascii="Arial" w:hAnsi="Arial" w:cs="Arial"/>
          <w:color w:val="0066FF"/>
          <w:sz w:val="22"/>
          <w:szCs w:val="22"/>
        </w:rPr>
      </w:pPr>
      <w:r w:rsidRPr="00832913">
        <w:rPr>
          <w:rFonts w:ascii="Arial" w:hAnsi="Arial" w:cs="Arial"/>
          <w:color w:val="0066FF"/>
          <w:sz w:val="22"/>
          <w:szCs w:val="22"/>
        </w:rPr>
        <w:t xml:space="preserve">Stanovisko nadřízeného orgánu k zadání 4. změny ÚPn M Děčína bylo vydáno dne </w:t>
      </w:r>
      <w:proofErr w:type="gramStart"/>
      <w:r w:rsidRPr="00832913">
        <w:rPr>
          <w:rFonts w:ascii="Arial" w:hAnsi="Arial" w:cs="Arial"/>
          <w:color w:val="0066FF"/>
          <w:sz w:val="22"/>
          <w:szCs w:val="22"/>
        </w:rPr>
        <w:t>1.11.2005</w:t>
      </w:r>
      <w:proofErr w:type="gramEnd"/>
      <w:r w:rsidRPr="00832913">
        <w:rPr>
          <w:rFonts w:ascii="Arial" w:hAnsi="Arial" w:cs="Arial"/>
          <w:color w:val="0066FF"/>
          <w:sz w:val="22"/>
          <w:szCs w:val="22"/>
        </w:rPr>
        <w:t xml:space="preserve"> pod č. VPS/730/ 124 028/05.</w:t>
      </w:r>
    </w:p>
    <w:p w14:paraId="21717FEB" w14:textId="77777777" w:rsidR="00CA23D0" w:rsidRDefault="00CA23D0" w:rsidP="00CA23D0">
      <w:pPr>
        <w:spacing w:line="276" w:lineRule="auto"/>
        <w:jc w:val="both"/>
        <w:rPr>
          <w:rFonts w:ascii="Arial" w:hAnsi="Arial" w:cs="Arial"/>
          <w:b/>
          <w:color w:val="0066FF"/>
          <w:sz w:val="22"/>
          <w:szCs w:val="22"/>
        </w:rPr>
      </w:pPr>
    </w:p>
    <w:p w14:paraId="1A452D65" w14:textId="77777777" w:rsidR="00CA23D0" w:rsidRPr="00832913" w:rsidRDefault="00CA23D0" w:rsidP="00CA23D0">
      <w:pPr>
        <w:spacing w:line="276" w:lineRule="auto"/>
        <w:jc w:val="both"/>
        <w:rPr>
          <w:rFonts w:ascii="Arial" w:hAnsi="Arial" w:cs="Arial"/>
          <w:b/>
          <w:color w:val="0066FF"/>
          <w:sz w:val="22"/>
          <w:szCs w:val="22"/>
        </w:rPr>
      </w:pPr>
      <w:r>
        <w:rPr>
          <w:rFonts w:ascii="Arial" w:hAnsi="Arial" w:cs="Arial"/>
          <w:b/>
          <w:color w:val="0066FF"/>
          <w:sz w:val="22"/>
          <w:szCs w:val="22"/>
        </w:rPr>
        <w:t xml:space="preserve">(Z4) </w:t>
      </w:r>
      <w:r w:rsidRPr="00832913">
        <w:rPr>
          <w:rFonts w:ascii="Arial" w:hAnsi="Arial" w:cs="Arial"/>
          <w:b/>
          <w:color w:val="0066FF"/>
          <w:sz w:val="22"/>
          <w:szCs w:val="22"/>
        </w:rPr>
        <w:t>ZHODNOCENÍ VZTAHU DŘÍVE ZPRACOVANÉ A SCHVÁLENÉ UPD</w:t>
      </w:r>
    </w:p>
    <w:p w14:paraId="6AEB390E" w14:textId="77777777" w:rsidR="00CA23D0" w:rsidRPr="00832913" w:rsidRDefault="00CA23D0" w:rsidP="00CA23D0">
      <w:pPr>
        <w:spacing w:line="276" w:lineRule="auto"/>
        <w:jc w:val="both"/>
        <w:rPr>
          <w:rFonts w:ascii="Arial" w:hAnsi="Arial" w:cs="Arial"/>
          <w:color w:val="0066FF"/>
          <w:sz w:val="22"/>
          <w:szCs w:val="22"/>
        </w:rPr>
      </w:pPr>
      <w:r w:rsidRPr="00832913">
        <w:rPr>
          <w:rFonts w:ascii="Arial" w:hAnsi="Arial" w:cs="Arial"/>
          <w:color w:val="0066FF"/>
          <w:sz w:val="22"/>
          <w:szCs w:val="22"/>
        </w:rPr>
        <w:t>Město má zpracovanou a schválenou ÚPD včetně 1. změny ÚPn M. Návrh 4. změny rozšiřuje zastavitelné území navržené v roce 2002. Plocha 4. změny byla ve schválené dokumentaci z roku 2002 navržena jako výhledová rozvojová plocha rodinných domů městského typu. Původní výhledová plocha byla svým rozsahem větší, zabírala i plochu sousedních zahrádek na západní straně řešeného území.</w:t>
      </w:r>
    </w:p>
    <w:p w14:paraId="5CF8C538" w14:textId="77777777" w:rsidR="00CA23D0" w:rsidRPr="00832913" w:rsidRDefault="00CA23D0" w:rsidP="00CA23D0">
      <w:pPr>
        <w:spacing w:line="276" w:lineRule="auto"/>
        <w:jc w:val="both"/>
        <w:rPr>
          <w:rFonts w:ascii="Arial" w:hAnsi="Arial" w:cs="Arial"/>
          <w:color w:val="0066FF"/>
          <w:sz w:val="22"/>
          <w:szCs w:val="22"/>
        </w:rPr>
      </w:pPr>
      <w:r w:rsidRPr="00832913">
        <w:rPr>
          <w:rFonts w:ascii="Arial" w:hAnsi="Arial" w:cs="Arial"/>
          <w:color w:val="0066FF"/>
          <w:sz w:val="22"/>
          <w:szCs w:val="22"/>
        </w:rPr>
        <w:t>Pro správní území města Děčína není zpracována nadřazená ÚPD.</w:t>
      </w:r>
    </w:p>
    <w:p w14:paraId="4EB2EE5A" w14:textId="77777777" w:rsidR="00CA23D0" w:rsidRPr="007A6DA4" w:rsidRDefault="00CA23D0" w:rsidP="00CA23D0">
      <w:pPr>
        <w:tabs>
          <w:tab w:val="decimal" w:pos="144"/>
          <w:tab w:val="decimal" w:pos="709"/>
          <w:tab w:val="right" w:pos="2679"/>
        </w:tabs>
        <w:spacing w:before="120" w:line="288" w:lineRule="auto"/>
        <w:jc w:val="both"/>
        <w:rPr>
          <w:rFonts w:ascii="Arial" w:hAnsi="Arial" w:cs="Arial"/>
          <w:color w:val="538135"/>
          <w:spacing w:val="3"/>
          <w:sz w:val="22"/>
          <w:szCs w:val="22"/>
        </w:rPr>
      </w:pPr>
    </w:p>
    <w:p w14:paraId="416ED9F2" w14:textId="77777777" w:rsidR="00CA23D0" w:rsidRDefault="00CA23D0" w:rsidP="00CA23D0">
      <w:pPr>
        <w:spacing w:before="120" w:line="288" w:lineRule="auto"/>
        <w:jc w:val="both"/>
        <w:rPr>
          <w:rFonts w:ascii="Arial" w:hAnsi="Arial" w:cs="Arial"/>
          <w:b/>
          <w:color w:val="D60093"/>
          <w:sz w:val="22"/>
          <w:szCs w:val="22"/>
        </w:rPr>
      </w:pPr>
      <w:r w:rsidRPr="00336B48">
        <w:rPr>
          <w:rFonts w:ascii="Arial" w:hAnsi="Arial" w:cs="Arial"/>
          <w:b/>
          <w:color w:val="D60093"/>
          <w:sz w:val="22"/>
          <w:szCs w:val="22"/>
        </w:rPr>
        <w:t>(Z6)</w:t>
      </w:r>
      <w:r w:rsidRPr="00336B48">
        <w:rPr>
          <w:rFonts w:ascii="Arial" w:hAnsi="Arial" w:cs="Arial"/>
          <w:color w:val="D60093"/>
          <w:sz w:val="22"/>
          <w:szCs w:val="22"/>
        </w:rPr>
        <w:t xml:space="preserve"> </w:t>
      </w:r>
      <w:r w:rsidRPr="00336B48">
        <w:rPr>
          <w:rFonts w:ascii="Arial" w:hAnsi="Arial" w:cs="Arial"/>
          <w:b/>
          <w:color w:val="D60093"/>
          <w:sz w:val="22"/>
          <w:szCs w:val="22"/>
        </w:rPr>
        <w:t>KAPITOLA NENÍ ZASTOUPENA VE ZMĚNĚ Č. 6</w:t>
      </w:r>
    </w:p>
    <w:p w14:paraId="54ABFE4B" w14:textId="77777777" w:rsidR="00CA23D0" w:rsidRPr="00336B48" w:rsidRDefault="00CA23D0" w:rsidP="00CA23D0">
      <w:pPr>
        <w:spacing w:before="120" w:line="288" w:lineRule="auto"/>
        <w:jc w:val="both"/>
        <w:rPr>
          <w:rFonts w:ascii="Arial" w:hAnsi="Arial" w:cs="Arial"/>
          <w:b/>
          <w:color w:val="D60093"/>
          <w:sz w:val="22"/>
          <w:szCs w:val="22"/>
        </w:rPr>
      </w:pPr>
    </w:p>
    <w:p w14:paraId="654753DE" w14:textId="77777777" w:rsidR="00CA23D0" w:rsidRPr="007A6DA4" w:rsidRDefault="00CA23D0" w:rsidP="00CA23D0">
      <w:pPr>
        <w:spacing w:before="120" w:line="288" w:lineRule="auto"/>
        <w:jc w:val="both"/>
        <w:rPr>
          <w:rFonts w:ascii="Arial" w:hAnsi="Arial" w:cs="Arial"/>
          <w:b/>
          <w:color w:val="FF0000"/>
          <w:sz w:val="22"/>
          <w:szCs w:val="22"/>
        </w:rPr>
      </w:pPr>
      <w:bookmarkStart w:id="1" w:name="_Toc350929632"/>
      <w:bookmarkStart w:id="2" w:name="_Toc354838606"/>
      <w:r>
        <w:rPr>
          <w:rFonts w:ascii="Arial" w:hAnsi="Arial" w:cs="Arial"/>
          <w:b/>
          <w:color w:val="FF0000"/>
          <w:sz w:val="22"/>
          <w:szCs w:val="22"/>
        </w:rPr>
        <w:t>(</w:t>
      </w:r>
      <w:r w:rsidRPr="007A6DA4">
        <w:rPr>
          <w:rFonts w:ascii="Arial" w:hAnsi="Arial" w:cs="Arial"/>
          <w:b/>
          <w:color w:val="FF0000"/>
          <w:sz w:val="22"/>
          <w:szCs w:val="22"/>
        </w:rPr>
        <w:t>Z8) ZÁKLADNÍ KONCEPCE ROZVOJE ÚZEMÍ OBCE, OCHRANY A ROZVOJE JEHO HODNOT</w:t>
      </w:r>
      <w:bookmarkEnd w:id="1"/>
      <w:bookmarkEnd w:id="2"/>
    </w:p>
    <w:p w14:paraId="7C695691" w14:textId="77777777" w:rsidR="00CA23D0" w:rsidRDefault="00CA23D0" w:rsidP="00CA23D0">
      <w:pPr>
        <w:spacing w:before="120" w:line="288" w:lineRule="auto"/>
        <w:jc w:val="both"/>
        <w:rPr>
          <w:rFonts w:ascii="Arial" w:hAnsi="Arial" w:cs="Arial"/>
          <w:color w:val="FF0000"/>
          <w:sz w:val="22"/>
          <w:szCs w:val="22"/>
        </w:rPr>
      </w:pPr>
      <w:r w:rsidRPr="007A6DA4">
        <w:rPr>
          <w:rFonts w:ascii="Arial" w:hAnsi="Arial" w:cs="Arial"/>
          <w:color w:val="FF0000"/>
          <w:sz w:val="22"/>
          <w:szCs w:val="22"/>
        </w:rPr>
        <w:t>Základní koncepce rozvoje nových lokalit 8. změny je dána potřebami města. Nové rozvojové plochy navazují na koncepci územního plánu z roku 2002, eventuálně schválených změny územního plánu č.</w:t>
      </w:r>
      <w:r>
        <w:rPr>
          <w:rFonts w:ascii="Arial" w:hAnsi="Arial" w:cs="Arial"/>
          <w:color w:val="FF0000"/>
          <w:sz w:val="22"/>
          <w:szCs w:val="22"/>
        </w:rPr>
        <w:t xml:space="preserve"> </w:t>
      </w:r>
      <w:r w:rsidRPr="007A6DA4">
        <w:rPr>
          <w:rFonts w:ascii="Arial" w:hAnsi="Arial" w:cs="Arial"/>
          <w:color w:val="FF0000"/>
          <w:sz w:val="22"/>
          <w:szCs w:val="22"/>
        </w:rPr>
        <w:t>1</w:t>
      </w:r>
      <w:r>
        <w:rPr>
          <w:rFonts w:ascii="Arial" w:hAnsi="Arial" w:cs="Arial"/>
          <w:color w:val="FF0000"/>
          <w:sz w:val="22"/>
          <w:szCs w:val="22"/>
        </w:rPr>
        <w:t xml:space="preserve"> </w:t>
      </w:r>
      <w:r w:rsidRPr="007A6DA4">
        <w:rPr>
          <w:rFonts w:ascii="Arial" w:hAnsi="Arial" w:cs="Arial"/>
          <w:color w:val="FF0000"/>
          <w:sz w:val="22"/>
          <w:szCs w:val="22"/>
        </w:rPr>
        <w:t>- č. 6. Rozsah lokalit 8. změny vychází ze zadání 8. změny ÚP Děčín, schváleného zastupitelstvem města dne 18.</w:t>
      </w:r>
      <w:r>
        <w:rPr>
          <w:rFonts w:ascii="Arial" w:hAnsi="Arial" w:cs="Arial"/>
          <w:color w:val="FF0000"/>
          <w:sz w:val="22"/>
          <w:szCs w:val="22"/>
        </w:rPr>
        <w:t xml:space="preserve"> </w:t>
      </w:r>
      <w:r w:rsidRPr="007A6DA4">
        <w:rPr>
          <w:rFonts w:ascii="Arial" w:hAnsi="Arial" w:cs="Arial"/>
          <w:color w:val="FF0000"/>
          <w:sz w:val="22"/>
          <w:szCs w:val="22"/>
        </w:rPr>
        <w:t>12. 2008 usnesením č. ZM 08 11 03 01, opětovně jsou však prověřovány i dříve připomínkované lokality. Rozšířením rozsahu o dalších 17 lokalit ze dne 23.</w:t>
      </w:r>
      <w:r>
        <w:rPr>
          <w:rFonts w:ascii="Arial" w:hAnsi="Arial" w:cs="Arial"/>
          <w:color w:val="FF0000"/>
          <w:sz w:val="22"/>
          <w:szCs w:val="22"/>
        </w:rPr>
        <w:t xml:space="preserve"> </w:t>
      </w:r>
      <w:r w:rsidRPr="007A6DA4">
        <w:rPr>
          <w:rFonts w:ascii="Arial" w:hAnsi="Arial" w:cs="Arial"/>
          <w:color w:val="FF0000"/>
          <w:sz w:val="22"/>
          <w:szCs w:val="22"/>
        </w:rPr>
        <w:t>9.</w:t>
      </w:r>
      <w:r>
        <w:rPr>
          <w:rFonts w:ascii="Arial" w:hAnsi="Arial" w:cs="Arial"/>
          <w:color w:val="FF0000"/>
          <w:sz w:val="22"/>
          <w:szCs w:val="22"/>
        </w:rPr>
        <w:t xml:space="preserve"> </w:t>
      </w:r>
      <w:r w:rsidRPr="007A6DA4">
        <w:rPr>
          <w:rFonts w:ascii="Arial" w:hAnsi="Arial" w:cs="Arial"/>
          <w:color w:val="FF0000"/>
          <w:sz w:val="22"/>
          <w:szCs w:val="22"/>
        </w:rPr>
        <w:t xml:space="preserve">2010 usnesením č. ZM 10 07 08 01 byl celkový počet projednávaných ploch 59. </w:t>
      </w:r>
    </w:p>
    <w:p w14:paraId="702B0098" w14:textId="77777777" w:rsidR="00CA23D0" w:rsidRDefault="00CA23D0" w:rsidP="00CA23D0">
      <w:pPr>
        <w:spacing w:before="120" w:line="288" w:lineRule="auto"/>
        <w:jc w:val="both"/>
        <w:rPr>
          <w:rFonts w:ascii="Arial" w:hAnsi="Arial" w:cs="Arial"/>
          <w:color w:val="FF0000"/>
          <w:sz w:val="22"/>
          <w:szCs w:val="22"/>
        </w:rPr>
      </w:pPr>
    </w:p>
    <w:p w14:paraId="3CC2B43D" w14:textId="77777777" w:rsidR="00CA23D0" w:rsidRPr="007A6DA4" w:rsidRDefault="00CA23D0" w:rsidP="00CA23D0">
      <w:pPr>
        <w:spacing w:before="120" w:line="288" w:lineRule="auto"/>
        <w:jc w:val="both"/>
        <w:rPr>
          <w:rFonts w:ascii="Arial" w:hAnsi="Arial" w:cs="Arial"/>
          <w:b/>
          <w:color w:val="FF0000"/>
          <w:sz w:val="22"/>
          <w:szCs w:val="22"/>
        </w:rPr>
      </w:pPr>
      <w:bookmarkStart w:id="3" w:name="_Toc354838607"/>
      <w:r w:rsidRPr="007A6DA4">
        <w:rPr>
          <w:rFonts w:ascii="Arial" w:hAnsi="Arial" w:cs="Arial"/>
          <w:b/>
          <w:color w:val="FF0000"/>
          <w:sz w:val="22"/>
          <w:szCs w:val="22"/>
        </w:rPr>
        <w:lastRenderedPageBreak/>
        <w:t>Hodnoty urbanistické a architektonické</w:t>
      </w:r>
      <w:bookmarkEnd w:id="3"/>
    </w:p>
    <w:p w14:paraId="14896D17" w14:textId="77777777" w:rsidR="00CA23D0" w:rsidRPr="007A6DA4" w:rsidRDefault="00CA23D0" w:rsidP="00CA23D0">
      <w:pPr>
        <w:spacing w:before="120" w:line="288" w:lineRule="auto"/>
        <w:jc w:val="both"/>
        <w:rPr>
          <w:rFonts w:ascii="Arial" w:hAnsi="Arial" w:cs="Arial"/>
          <w:color w:val="FF0000"/>
          <w:sz w:val="22"/>
          <w:szCs w:val="22"/>
        </w:rPr>
      </w:pPr>
      <w:r w:rsidRPr="007A6DA4">
        <w:rPr>
          <w:rFonts w:ascii="Arial" w:hAnsi="Arial" w:cs="Arial"/>
          <w:color w:val="FF0000"/>
          <w:sz w:val="22"/>
          <w:szCs w:val="22"/>
        </w:rPr>
        <w:t xml:space="preserve">Urbanistická struktura a koncepce 8. změny ÚP M navazuje na koncepci navrženou v ÚP M z roku </w:t>
      </w:r>
      <w:smartTag w:uri="urn:schemas-microsoft-com:office:smarttags" w:element="metricconverter">
        <w:smartTagPr>
          <w:attr w:name="ProductID" w:val="2002 a"/>
        </w:smartTagPr>
        <w:r w:rsidRPr="007A6DA4">
          <w:rPr>
            <w:rFonts w:ascii="Arial" w:hAnsi="Arial" w:cs="Arial"/>
            <w:color w:val="FF0000"/>
            <w:sz w:val="22"/>
            <w:szCs w:val="22"/>
          </w:rPr>
          <w:t>2002 a</w:t>
        </w:r>
      </w:smartTag>
      <w:r w:rsidRPr="007A6DA4">
        <w:rPr>
          <w:rFonts w:ascii="Arial" w:hAnsi="Arial" w:cs="Arial"/>
          <w:color w:val="FF0000"/>
          <w:sz w:val="22"/>
          <w:szCs w:val="22"/>
        </w:rPr>
        <w:t xml:space="preserve"> na následné schválené změny ÚP M 1- 6. Rozvojové zastavitelné plochy 8.</w:t>
      </w:r>
      <w:r>
        <w:rPr>
          <w:rFonts w:ascii="Arial" w:hAnsi="Arial" w:cs="Arial"/>
          <w:color w:val="FF0000"/>
          <w:sz w:val="22"/>
          <w:szCs w:val="22"/>
        </w:rPr>
        <w:t> </w:t>
      </w:r>
      <w:r w:rsidRPr="007A6DA4">
        <w:rPr>
          <w:rFonts w:ascii="Arial" w:hAnsi="Arial" w:cs="Arial"/>
          <w:color w:val="FF0000"/>
          <w:sz w:val="22"/>
          <w:szCs w:val="22"/>
        </w:rPr>
        <w:t xml:space="preserve">změny převážně navazují na zastavěné území. </w:t>
      </w:r>
    </w:p>
    <w:p w14:paraId="772AD887" w14:textId="77777777" w:rsidR="00CA23D0" w:rsidRDefault="00CA23D0" w:rsidP="00CA23D0">
      <w:pPr>
        <w:spacing w:line="276" w:lineRule="auto"/>
        <w:jc w:val="both"/>
        <w:rPr>
          <w:rFonts w:ascii="Arial" w:hAnsi="Arial" w:cs="Arial"/>
          <w:color w:val="2E74B5"/>
        </w:rPr>
      </w:pPr>
    </w:p>
    <w:p w14:paraId="41C1B6B1" w14:textId="77777777" w:rsidR="00CA23D0" w:rsidRPr="007B2506" w:rsidRDefault="00AB2594" w:rsidP="00CA23D0">
      <w:pPr>
        <w:spacing w:line="276" w:lineRule="auto"/>
        <w:jc w:val="both"/>
        <w:rPr>
          <w:rFonts w:ascii="Arial" w:hAnsi="Arial" w:cs="Arial"/>
          <w:b/>
          <w:color w:val="18B8B0"/>
          <w:sz w:val="22"/>
          <w:szCs w:val="22"/>
        </w:rPr>
      </w:pPr>
      <w:r w:rsidRPr="007B2506">
        <w:rPr>
          <w:rFonts w:ascii="Arial" w:hAnsi="Arial" w:cs="Arial"/>
          <w:b/>
          <w:color w:val="18B8B0"/>
          <w:sz w:val="22"/>
          <w:szCs w:val="22"/>
        </w:rPr>
        <w:t xml:space="preserve">(Z12) </w:t>
      </w:r>
      <w:r w:rsidR="00AF4BD0" w:rsidRPr="007B2506">
        <w:rPr>
          <w:rFonts w:ascii="Arial" w:hAnsi="Arial" w:cs="Arial"/>
          <w:b/>
          <w:color w:val="18B8B0"/>
          <w:sz w:val="22"/>
          <w:szCs w:val="22"/>
        </w:rPr>
        <w:t>HLAVNÍ CÍLE ŘEŠENÍ</w:t>
      </w:r>
    </w:p>
    <w:p w14:paraId="3F8A83AF" w14:textId="77777777" w:rsidR="00FC4805" w:rsidRPr="007B2506" w:rsidRDefault="00AF4BD0" w:rsidP="00AF4BD0">
      <w:pPr>
        <w:spacing w:line="276" w:lineRule="auto"/>
        <w:jc w:val="both"/>
        <w:rPr>
          <w:rFonts w:ascii="Arial" w:hAnsi="Arial" w:cs="Arial"/>
          <w:color w:val="18B8B0"/>
          <w:sz w:val="22"/>
          <w:szCs w:val="22"/>
        </w:rPr>
      </w:pPr>
      <w:r w:rsidRPr="007B2506">
        <w:rPr>
          <w:rFonts w:ascii="Arial" w:hAnsi="Arial" w:cs="Arial"/>
          <w:color w:val="18B8B0"/>
          <w:sz w:val="22"/>
          <w:szCs w:val="22"/>
        </w:rPr>
        <w:t xml:space="preserve">Zastupitelstvo města </w:t>
      </w:r>
      <w:r w:rsidR="00FC4805" w:rsidRPr="007B2506">
        <w:rPr>
          <w:rFonts w:ascii="Arial" w:hAnsi="Arial" w:cs="Arial"/>
          <w:color w:val="18B8B0"/>
          <w:sz w:val="22"/>
          <w:szCs w:val="22"/>
        </w:rPr>
        <w:t xml:space="preserve">dne 25.01.2024 projednalo </w:t>
      </w:r>
      <w:r w:rsidRPr="007B2506">
        <w:rPr>
          <w:rFonts w:ascii="Arial" w:hAnsi="Arial" w:cs="Arial"/>
          <w:color w:val="18B8B0"/>
          <w:sz w:val="22"/>
          <w:szCs w:val="22"/>
        </w:rPr>
        <w:t>příprav</w:t>
      </w:r>
      <w:r w:rsidR="00FC4805" w:rsidRPr="007B2506">
        <w:rPr>
          <w:rFonts w:ascii="Arial" w:hAnsi="Arial" w:cs="Arial"/>
          <w:color w:val="18B8B0"/>
          <w:sz w:val="22"/>
          <w:szCs w:val="22"/>
        </w:rPr>
        <w:t>u</w:t>
      </w:r>
      <w:r w:rsidRPr="007B2506">
        <w:rPr>
          <w:rFonts w:ascii="Arial" w:hAnsi="Arial" w:cs="Arial"/>
          <w:color w:val="18B8B0"/>
          <w:sz w:val="22"/>
          <w:szCs w:val="22"/>
        </w:rPr>
        <w:t xml:space="preserve"> pořízení 12. změny Územního plánu města Děčín v platném znění „Silnice I/13 Děčín - Ludvíkovice“ (tzv. Folknářská spojka) zkráceným postupem dle § 55a zákona č. 183/2006 Sb., o územním plánování a stavebním řádu, v platném znění</w:t>
      </w:r>
      <w:r w:rsidR="00FC4805" w:rsidRPr="007B2506">
        <w:rPr>
          <w:rFonts w:ascii="Arial" w:hAnsi="Arial" w:cs="Arial"/>
          <w:color w:val="18B8B0"/>
          <w:sz w:val="22"/>
          <w:szCs w:val="22"/>
        </w:rPr>
        <w:t xml:space="preserve"> pod usnesením č. ZM 24 01 04 09. </w:t>
      </w:r>
    </w:p>
    <w:p w14:paraId="3FEAB32E" w14:textId="77777777" w:rsidR="00FC4805" w:rsidRPr="007B2506" w:rsidRDefault="00FC4805" w:rsidP="00AF4BD0">
      <w:pPr>
        <w:spacing w:line="276" w:lineRule="auto"/>
        <w:jc w:val="both"/>
        <w:rPr>
          <w:rFonts w:ascii="Arial" w:hAnsi="Arial" w:cs="Arial"/>
          <w:color w:val="18B8B0"/>
          <w:sz w:val="22"/>
          <w:szCs w:val="22"/>
        </w:rPr>
      </w:pPr>
    </w:p>
    <w:p w14:paraId="29E8C70D" w14:textId="2043E079" w:rsidR="00FC4805" w:rsidRPr="000316A6" w:rsidRDefault="00FC4805" w:rsidP="00AF4BD0">
      <w:pPr>
        <w:spacing w:line="276" w:lineRule="auto"/>
        <w:jc w:val="both"/>
        <w:rPr>
          <w:rFonts w:ascii="Arial" w:hAnsi="Arial" w:cs="Arial"/>
          <w:color w:val="18B8B0"/>
          <w:sz w:val="22"/>
          <w:szCs w:val="22"/>
        </w:rPr>
      </w:pPr>
      <w:r w:rsidRPr="007B2506">
        <w:rPr>
          <w:rFonts w:ascii="Arial" w:hAnsi="Arial" w:cs="Arial"/>
          <w:color w:val="18B8B0"/>
          <w:sz w:val="22"/>
          <w:szCs w:val="22"/>
        </w:rPr>
        <w:t>Obsahem změny č. 12 ÚP je úprava vymezení koridoru silnice I/13 Děčín – Ludvíkovice ( tzv. Folknářská spojka)</w:t>
      </w:r>
      <w:r w:rsidR="005206F8" w:rsidRPr="007B2506">
        <w:rPr>
          <w:rFonts w:ascii="Arial" w:hAnsi="Arial" w:cs="Arial"/>
          <w:color w:val="18B8B0"/>
          <w:sz w:val="22"/>
          <w:szCs w:val="22"/>
        </w:rPr>
        <w:t xml:space="preserve"> dle aktualizované </w:t>
      </w:r>
      <w:r w:rsidRPr="007B2506">
        <w:rPr>
          <w:rFonts w:ascii="Arial" w:hAnsi="Arial" w:cs="Arial"/>
          <w:color w:val="18B8B0"/>
          <w:sz w:val="22"/>
          <w:szCs w:val="22"/>
        </w:rPr>
        <w:t xml:space="preserve">trasy a </w:t>
      </w:r>
      <w:r w:rsidR="005206F8" w:rsidRPr="007B2506">
        <w:rPr>
          <w:rFonts w:ascii="Arial" w:hAnsi="Arial" w:cs="Arial"/>
          <w:color w:val="18B8B0"/>
          <w:sz w:val="22"/>
          <w:szCs w:val="22"/>
        </w:rPr>
        <w:t xml:space="preserve">to </w:t>
      </w:r>
      <w:r w:rsidRPr="007B2506">
        <w:rPr>
          <w:rFonts w:ascii="Arial" w:hAnsi="Arial" w:cs="Arial"/>
          <w:color w:val="18B8B0"/>
          <w:sz w:val="22"/>
          <w:szCs w:val="22"/>
        </w:rPr>
        <w:t xml:space="preserve">včetně souvisejících staveb. </w:t>
      </w:r>
      <w:r w:rsidR="00A41974" w:rsidRPr="007B2506">
        <w:rPr>
          <w:rFonts w:ascii="Arial" w:hAnsi="Arial" w:cs="Arial"/>
          <w:color w:val="18B8B0"/>
          <w:sz w:val="22"/>
          <w:szCs w:val="22"/>
        </w:rPr>
        <w:t xml:space="preserve">Změnou jsou dotčeny k.ú. Folknáře a k.ú. Děčín. </w:t>
      </w:r>
      <w:r w:rsidRPr="007B2506">
        <w:rPr>
          <w:rFonts w:ascii="Arial" w:hAnsi="Arial" w:cs="Arial"/>
          <w:color w:val="18B8B0"/>
          <w:sz w:val="22"/>
          <w:szCs w:val="22"/>
        </w:rPr>
        <w:t>Součástí změny je také aktualizace zastavěného území dle aktuá</w:t>
      </w:r>
      <w:r w:rsidR="00F25C75" w:rsidRPr="007B2506">
        <w:rPr>
          <w:rFonts w:ascii="Arial" w:hAnsi="Arial" w:cs="Arial"/>
          <w:color w:val="18B8B0"/>
          <w:sz w:val="22"/>
          <w:szCs w:val="22"/>
        </w:rPr>
        <w:t>lní katastrální mapy ze dne 22.3.2024</w:t>
      </w:r>
      <w:r w:rsidRPr="007B2506">
        <w:rPr>
          <w:rFonts w:ascii="Arial" w:hAnsi="Arial" w:cs="Arial"/>
          <w:color w:val="18B8B0"/>
          <w:sz w:val="22"/>
          <w:szCs w:val="22"/>
        </w:rPr>
        <w:t xml:space="preserve">. </w:t>
      </w:r>
      <w:r w:rsidR="005206F8" w:rsidRPr="007B2506">
        <w:rPr>
          <w:rFonts w:ascii="Arial" w:hAnsi="Arial" w:cs="Arial"/>
          <w:color w:val="18B8B0"/>
          <w:sz w:val="22"/>
          <w:szCs w:val="22"/>
        </w:rPr>
        <w:t>V rámci změny není zpracováno VVURÚ vzhledem k tomu, že zpracování dokumentu nebylo příslušným</w:t>
      </w:r>
      <w:r w:rsidR="000316A6" w:rsidRPr="007B2506">
        <w:rPr>
          <w:rFonts w:ascii="Arial" w:hAnsi="Arial" w:cs="Arial"/>
          <w:color w:val="18B8B0"/>
          <w:sz w:val="22"/>
          <w:szCs w:val="22"/>
        </w:rPr>
        <w:t>i orgány</w:t>
      </w:r>
      <w:r w:rsidR="0027729A" w:rsidRPr="007B2506">
        <w:rPr>
          <w:rFonts w:ascii="Arial" w:hAnsi="Arial" w:cs="Arial"/>
          <w:color w:val="18B8B0"/>
          <w:sz w:val="22"/>
          <w:szCs w:val="22"/>
        </w:rPr>
        <w:t xml:space="preserve"> (KÚ Ústeckého kraje</w:t>
      </w:r>
      <w:r w:rsidR="000316A6" w:rsidRPr="007B2506">
        <w:rPr>
          <w:rFonts w:ascii="Arial" w:hAnsi="Arial" w:cs="Arial"/>
          <w:color w:val="18B8B0"/>
          <w:sz w:val="22"/>
          <w:szCs w:val="22"/>
        </w:rPr>
        <w:t>,  AOPK, Správa národního parku České Švýcarsko)</w:t>
      </w:r>
      <w:r w:rsidR="005206F8" w:rsidRPr="007B2506">
        <w:rPr>
          <w:rFonts w:ascii="Arial" w:hAnsi="Arial" w:cs="Arial"/>
          <w:color w:val="18B8B0"/>
          <w:sz w:val="22"/>
          <w:szCs w:val="22"/>
        </w:rPr>
        <w:t xml:space="preserve"> požadováno.</w:t>
      </w:r>
      <w:r w:rsidR="005206F8" w:rsidRPr="000316A6">
        <w:rPr>
          <w:rFonts w:ascii="Arial" w:hAnsi="Arial" w:cs="Arial"/>
          <w:color w:val="18B8B0"/>
          <w:sz w:val="22"/>
          <w:szCs w:val="22"/>
        </w:rPr>
        <w:t xml:space="preserve"> </w:t>
      </w:r>
    </w:p>
    <w:p w14:paraId="6229014E" w14:textId="77777777" w:rsidR="00AF4BD0" w:rsidRPr="00AF4BD0" w:rsidRDefault="00AF4BD0" w:rsidP="00CA23D0">
      <w:pPr>
        <w:spacing w:line="276" w:lineRule="auto"/>
        <w:jc w:val="both"/>
        <w:rPr>
          <w:rFonts w:ascii="Arial" w:hAnsi="Arial" w:cs="Arial"/>
          <w:color w:val="2E74B5"/>
        </w:rPr>
      </w:pPr>
      <w:r>
        <w:rPr>
          <w:rFonts w:ascii="Arial" w:hAnsi="Arial" w:cs="Arial"/>
          <w:color w:val="2E74B5"/>
        </w:rPr>
        <w:t xml:space="preserve"> </w:t>
      </w:r>
    </w:p>
    <w:p w14:paraId="5A240765" w14:textId="77777777" w:rsidR="00CA23D0" w:rsidRPr="00973CB6" w:rsidRDefault="00CA23D0" w:rsidP="00CA23D0">
      <w:pPr>
        <w:pStyle w:val="Nadpis1"/>
        <w:ind w:left="101"/>
        <w:jc w:val="both"/>
        <w:rPr>
          <w:rFonts w:ascii="Arial" w:hAnsi="Arial" w:cs="Arial"/>
          <w:b/>
          <w:sz w:val="36"/>
        </w:rPr>
      </w:pPr>
      <w:r w:rsidRPr="00973CB6">
        <w:rPr>
          <w:rFonts w:ascii="Arial" w:hAnsi="Arial" w:cs="Arial"/>
          <w:b/>
          <w:sz w:val="36"/>
        </w:rPr>
        <w:t>A.2. VYHODNOCENÍ SPLNĚNÍ SOUBORNÉHO STANOVISKA</w:t>
      </w:r>
    </w:p>
    <w:p w14:paraId="333C8369" w14:textId="77777777" w:rsidR="00CA23D0" w:rsidRPr="00FF420D" w:rsidRDefault="00CA23D0" w:rsidP="00CA23D0">
      <w:pPr>
        <w:keepNext/>
      </w:pPr>
    </w:p>
    <w:p w14:paraId="338A2531" w14:textId="77777777" w:rsidR="00CA23D0" w:rsidRPr="00FF420D" w:rsidRDefault="00CA23D0" w:rsidP="00CA23D0">
      <w:pPr>
        <w:pStyle w:val="Nadpis2"/>
        <w:ind w:right="117"/>
        <w:jc w:val="both"/>
        <w:rPr>
          <w:rFonts w:ascii="Arial" w:hAnsi="Arial" w:cs="Arial"/>
          <w:color w:val="auto"/>
          <w:sz w:val="28"/>
          <w:szCs w:val="28"/>
        </w:rPr>
      </w:pPr>
      <w:r w:rsidRPr="00FF420D">
        <w:rPr>
          <w:rFonts w:ascii="Arial" w:hAnsi="Arial" w:cs="Arial"/>
          <w:color w:val="auto"/>
          <w:sz w:val="28"/>
          <w:szCs w:val="28"/>
        </w:rPr>
        <w:t>Il/1 SMĚRNÁ VELIKOST - ROZSAH BYTOVÉ VÝSTAVBY</w:t>
      </w:r>
    </w:p>
    <w:p w14:paraId="55C19EAB" w14:textId="77777777" w:rsidR="00CA23D0" w:rsidRPr="00BF2FFE" w:rsidRDefault="00CA23D0" w:rsidP="00CA23D0">
      <w:pPr>
        <w:spacing w:before="120" w:line="288" w:lineRule="auto"/>
        <w:ind w:right="119" w:firstLine="709"/>
        <w:jc w:val="both"/>
        <w:rPr>
          <w:rFonts w:ascii="Arial" w:hAnsi="Arial" w:cs="Arial"/>
          <w:sz w:val="22"/>
          <w:szCs w:val="22"/>
        </w:rPr>
      </w:pPr>
      <w:r w:rsidRPr="00BF2FFE">
        <w:rPr>
          <w:rFonts w:ascii="Arial" w:hAnsi="Arial" w:cs="Arial"/>
          <w:sz w:val="22"/>
          <w:szCs w:val="22"/>
        </w:rPr>
        <w:t>Na základě navrženého rozvoje a kapacit obytných ploch na území města ve všech formách výstavby, se směrná velikost města na konci návrhového období navrhuje v</w:t>
      </w:r>
      <w:r>
        <w:rPr>
          <w:rFonts w:ascii="Arial" w:hAnsi="Arial" w:cs="Arial"/>
          <w:sz w:val="22"/>
          <w:szCs w:val="22"/>
        </w:rPr>
        <w:t> </w:t>
      </w:r>
      <w:r w:rsidRPr="00BF2FFE">
        <w:rPr>
          <w:rFonts w:ascii="Arial" w:hAnsi="Arial" w:cs="Arial"/>
          <w:sz w:val="22"/>
          <w:szCs w:val="22"/>
        </w:rPr>
        <w:t>rozmezí 55 - 58 000 trvale bydlících obyvatel. Zde je třeba zdůraznit, že těchto hodnot lze dosáhnout za předpokladu plné realizace všech záměrů v obytném území Oproti konceptu řešení byly respektovány všechny požadované změny jako: změna funkce lokality, změna etapy - pořadí výstavby, vyřazení z důvodů ÚSES nebo lokality již realizované či ve</w:t>
      </w:r>
      <w:r>
        <w:rPr>
          <w:rFonts w:ascii="Arial" w:hAnsi="Arial" w:cs="Arial"/>
          <w:sz w:val="22"/>
          <w:szCs w:val="22"/>
        </w:rPr>
        <w:t> </w:t>
      </w:r>
      <w:r w:rsidRPr="00BF2FFE">
        <w:rPr>
          <w:rFonts w:ascii="Arial" w:hAnsi="Arial" w:cs="Arial"/>
          <w:sz w:val="22"/>
          <w:szCs w:val="22"/>
        </w:rPr>
        <w:t>výstavbě (stavební povolení).</w:t>
      </w:r>
    </w:p>
    <w:p w14:paraId="7FF0E61A" w14:textId="77777777" w:rsidR="00CA23D0" w:rsidRPr="00BF2FFE" w:rsidRDefault="00CA23D0" w:rsidP="00CA23D0">
      <w:pPr>
        <w:spacing w:before="120" w:line="288" w:lineRule="auto"/>
        <w:ind w:right="119" w:firstLine="709"/>
        <w:jc w:val="both"/>
        <w:rPr>
          <w:rFonts w:ascii="Arial" w:hAnsi="Arial" w:cs="Arial"/>
          <w:sz w:val="22"/>
          <w:szCs w:val="22"/>
        </w:rPr>
      </w:pPr>
      <w:r w:rsidRPr="00BF2FFE">
        <w:rPr>
          <w:rFonts w:ascii="Arial" w:hAnsi="Arial" w:cs="Arial"/>
          <w:sz w:val="22"/>
          <w:szCs w:val="22"/>
        </w:rPr>
        <w:t>Do návrhu řešení byly zahrnuty i dílčí požadavky na rozvoj individuálního bydlení s</w:t>
      </w:r>
      <w:r>
        <w:rPr>
          <w:rFonts w:ascii="Arial" w:hAnsi="Arial" w:cs="Arial"/>
          <w:sz w:val="22"/>
          <w:szCs w:val="22"/>
        </w:rPr>
        <w:t> </w:t>
      </w:r>
      <w:r w:rsidRPr="00BF2FFE">
        <w:rPr>
          <w:rFonts w:ascii="Arial" w:hAnsi="Arial" w:cs="Arial"/>
          <w:sz w:val="22"/>
          <w:szCs w:val="22"/>
        </w:rPr>
        <w:t>možností drobného podnikání mimo rámec souborného stanoviska. Jedná se o dílčí návrhy, které nejsou bilancovány jako samostatné lokality po sektorech, ale jsou v souladu s</w:t>
      </w:r>
      <w:r>
        <w:rPr>
          <w:rFonts w:ascii="Arial" w:hAnsi="Arial" w:cs="Arial"/>
          <w:sz w:val="22"/>
          <w:szCs w:val="22"/>
        </w:rPr>
        <w:t> </w:t>
      </w:r>
      <w:r w:rsidRPr="00BF2FFE">
        <w:rPr>
          <w:rFonts w:ascii="Arial" w:hAnsi="Arial" w:cs="Arial"/>
          <w:sz w:val="22"/>
          <w:szCs w:val="22"/>
        </w:rPr>
        <w:t>výhledovou koncepcí rozvoje města a byly projednány a odsouhlaseny městským zastupitelstvem po projednání a odsouhlasení souborného stanoviska (Maxičky, Krásný Studenec, Letná, Křešice, Boletice n.</w:t>
      </w:r>
      <w:r>
        <w:rPr>
          <w:rFonts w:ascii="Arial" w:hAnsi="Arial" w:cs="Arial"/>
          <w:sz w:val="22"/>
          <w:szCs w:val="22"/>
        </w:rPr>
        <w:t xml:space="preserve"> </w:t>
      </w:r>
      <w:r w:rsidRPr="00BF2FFE">
        <w:rPr>
          <w:rFonts w:ascii="Arial" w:hAnsi="Arial" w:cs="Arial"/>
          <w:sz w:val="22"/>
          <w:szCs w:val="22"/>
        </w:rPr>
        <w:t>L., Děčín - Kamenická, Březiny, Lesná, Velká Veleň, Chlum a Dolní Žleb).</w:t>
      </w:r>
    </w:p>
    <w:p w14:paraId="57B8676F" w14:textId="77777777" w:rsidR="00CA23D0" w:rsidRDefault="00CA23D0" w:rsidP="00CA23D0">
      <w:pPr>
        <w:spacing w:before="120" w:line="288" w:lineRule="auto"/>
        <w:ind w:right="119" w:firstLine="709"/>
        <w:jc w:val="both"/>
        <w:rPr>
          <w:rFonts w:ascii="Arial" w:hAnsi="Arial" w:cs="Arial"/>
          <w:sz w:val="22"/>
          <w:szCs w:val="22"/>
        </w:rPr>
      </w:pPr>
      <w:r w:rsidRPr="00BF2FFE">
        <w:rPr>
          <w:rFonts w:ascii="Arial" w:hAnsi="Arial" w:cs="Arial"/>
          <w:sz w:val="22"/>
          <w:szCs w:val="22"/>
        </w:rPr>
        <w:t>Všechny požadované změny jsou respektovány v plném rozsahu.</w:t>
      </w:r>
    </w:p>
    <w:p w14:paraId="5864EE0E" w14:textId="77777777" w:rsidR="00CA23D0" w:rsidRPr="00BF2FFE" w:rsidRDefault="00CA23D0" w:rsidP="00CA23D0">
      <w:pPr>
        <w:spacing w:before="120" w:line="288" w:lineRule="auto"/>
        <w:ind w:right="119" w:hanging="10"/>
        <w:jc w:val="both"/>
        <w:rPr>
          <w:rFonts w:ascii="Arial" w:hAnsi="Arial" w:cs="Arial"/>
          <w:sz w:val="22"/>
          <w:szCs w:val="22"/>
        </w:rPr>
      </w:pPr>
    </w:p>
    <w:p w14:paraId="330D7C08" w14:textId="77777777" w:rsidR="00CA23D0" w:rsidRPr="00FF420D" w:rsidRDefault="00CA23D0" w:rsidP="00CA23D0">
      <w:pPr>
        <w:pStyle w:val="Nadpis2"/>
        <w:ind w:right="117"/>
        <w:jc w:val="both"/>
        <w:rPr>
          <w:rFonts w:ascii="Arial" w:hAnsi="Arial" w:cs="Arial"/>
          <w:color w:val="auto"/>
          <w:sz w:val="28"/>
          <w:szCs w:val="28"/>
        </w:rPr>
      </w:pPr>
      <w:r w:rsidRPr="00FF420D">
        <w:rPr>
          <w:rFonts w:ascii="Arial" w:hAnsi="Arial" w:cs="Arial"/>
          <w:color w:val="auto"/>
          <w:sz w:val="28"/>
          <w:szCs w:val="28"/>
        </w:rPr>
        <w:t>II/2 OBČANSKÁ VYBAVENOST</w:t>
      </w:r>
    </w:p>
    <w:p w14:paraId="275C1CCB" w14:textId="77777777" w:rsidR="00CA23D0" w:rsidRDefault="00CA23D0" w:rsidP="00CA23D0">
      <w:pPr>
        <w:spacing w:before="120" w:line="288" w:lineRule="auto"/>
        <w:ind w:right="119" w:firstLine="709"/>
        <w:jc w:val="both"/>
        <w:rPr>
          <w:rFonts w:ascii="Arial" w:hAnsi="Arial" w:cs="Arial"/>
          <w:sz w:val="22"/>
          <w:szCs w:val="22"/>
        </w:rPr>
      </w:pPr>
      <w:r w:rsidRPr="00BF2FFE">
        <w:rPr>
          <w:rFonts w:ascii="Arial" w:hAnsi="Arial" w:cs="Arial"/>
          <w:noProof/>
          <w:sz w:val="22"/>
          <w:szCs w:val="22"/>
          <w:lang w:eastAsia="cs-CZ"/>
        </w:rPr>
        <mc:AlternateContent>
          <mc:Choice Requires="wpg">
            <w:drawing>
              <wp:anchor distT="0" distB="0" distL="114300" distR="114300" simplePos="0" relativeHeight="251666432" behindDoc="0" locked="0" layoutInCell="1" allowOverlap="1" wp14:anchorId="639A64FA" wp14:editId="3520AD21">
                <wp:simplePos x="0" y="0"/>
                <wp:positionH relativeFrom="page">
                  <wp:posOffset>993775</wp:posOffset>
                </wp:positionH>
                <wp:positionV relativeFrom="page">
                  <wp:posOffset>615950</wp:posOffset>
                </wp:positionV>
                <wp:extent cx="3481070" cy="12065"/>
                <wp:effectExtent l="0" t="0" r="24130" b="26035"/>
                <wp:wrapSquare wrapText="bothSides"/>
                <wp:docPr id="5181" name="Skupina 5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81070" cy="12065"/>
                          <a:chOff x="0" y="0"/>
                          <a:chExt cx="3480816" cy="12195"/>
                        </a:xfrm>
                      </wpg:grpSpPr>
                      <wps:wsp>
                        <wps:cNvPr id="5180" name="Shape 5180"/>
                        <wps:cNvSpPr/>
                        <wps:spPr>
                          <a:xfrm>
                            <a:off x="0" y="0"/>
                            <a:ext cx="3480816" cy="12195"/>
                          </a:xfrm>
                          <a:custGeom>
                            <a:avLst/>
                            <a:gdLst/>
                            <a:ahLst/>
                            <a:cxnLst/>
                            <a:rect l="0" t="0" r="0" b="0"/>
                            <a:pathLst>
                              <a:path w="3480816" h="12195">
                                <a:moveTo>
                                  <a:pt x="0" y="6098"/>
                                </a:moveTo>
                                <a:lnTo>
                                  <a:pt x="3480816" y="6098"/>
                                </a:lnTo>
                              </a:path>
                            </a:pathLst>
                          </a:custGeom>
                          <a:noFill/>
                          <a:ln w="12195" cap="flat" cmpd="sng" algn="ctr">
                            <a:solidFill>
                              <a:srgbClr val="000000"/>
                            </a:solidFill>
                            <a:prstDash val="solid"/>
                            <a:miter lim="100000"/>
                          </a:ln>
                          <a:effectLst/>
                        </wps:spPr>
                        <wps:bodyPr/>
                      </wps:wsp>
                    </wpg:wgp>
                  </a:graphicData>
                </a:graphic>
                <wp14:sizeRelH relativeFrom="page">
                  <wp14:pctWidth>0</wp14:pctWidth>
                </wp14:sizeRelH>
                <wp14:sizeRelV relativeFrom="page">
                  <wp14:pctHeight>0</wp14:pctHeight>
                </wp14:sizeRelV>
              </wp:anchor>
            </w:drawing>
          </mc:Choice>
          <mc:Fallback>
            <w:pict>
              <v:group w14:anchorId="574E02ED" id="Skupina 5181" o:spid="_x0000_s1026" style="position:absolute;margin-left:78.25pt;margin-top:48.5pt;width:274.1pt;height:.95pt;z-index:251666432;mso-position-horizontal-relative:page;mso-position-vertical-relative:page" coordsize="34808,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">
                <v:shape id="Shape 5180" o:spid="_x0000_s1027" style="position:absolute;width:34808;height:121;visibility:visible;mso-wrap-style:square;v-text-anchor:top" coordsize="3480816,12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8DisQA&#10;AADdAAAADwAAAGRycy9kb3ducmV2LnhtbERPTWvCQBC9F/wPywi91U2kFpu6ShCEXIJWC6W3ITtN&#10;gtnZkF2T6K93D4LHx/tebUbTiJ46V1tWEM8iEMSF1TWXCn5Ou7clCOeRNTaWScGVHGzWk5cVJtoO&#10;/E390ZcihLBLUEHlfZtI6YqKDLqZbYkD9287gz7ArpS6wyGEm0bOo+hDGqw5NFTY0rai4ny8GAXp&#10;LS/e55+XOB9tZn9P2/Sv3R+Uep2O6RcIT6N/ih/uTCtYxMuwP7wJT0C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6vA4rEAAAA3QAAAA8AAAAAAAAAAAAAAAAAmAIAAGRycy9k&#10;b3ducmV2LnhtbFBLBQYAAAAABAAEAPUAAACJAwAAAAA=&#10;" path="m,6098r3480816,e" filled="f" strokeweight=".33875mm">
                  <v:stroke miterlimit="1" joinstyle="miter"/>
                  <v:path arrowok="t" textboxrect="0,0,3480816,12195"/>
                </v:shape>
                <w10:wrap type="square" anchorx="page" anchory="page"/>
              </v:group>
            </w:pict>
          </mc:Fallback>
        </mc:AlternateContent>
      </w:r>
      <w:r w:rsidRPr="00BF2FFE">
        <w:rPr>
          <w:rFonts w:ascii="Arial" w:hAnsi="Arial" w:cs="Arial"/>
          <w:sz w:val="22"/>
          <w:szCs w:val="22"/>
        </w:rPr>
        <w:t xml:space="preserve">V návrhu občanského vybavení vychází návrh řešení z odsouhlasené koncepce, realizovaných záměrů v průběhu zpracování i všech nových požadovaných změn. Oproti konceptu řešení byly respektovány všechny požadované změny jako: změna funkce či </w:t>
      </w:r>
      <w:r w:rsidRPr="00BF2FFE">
        <w:rPr>
          <w:rFonts w:ascii="Arial" w:hAnsi="Arial" w:cs="Arial"/>
          <w:sz w:val="22"/>
          <w:szCs w:val="22"/>
        </w:rPr>
        <w:lastRenderedPageBreak/>
        <w:t>upřesnění lokality (Folknáře-cihelna, nábřeží a areál pivovaru Podmokly), nové lokality (Boletice n.</w:t>
      </w:r>
      <w:r>
        <w:rPr>
          <w:rFonts w:ascii="Arial" w:hAnsi="Arial" w:cs="Arial"/>
          <w:sz w:val="22"/>
          <w:szCs w:val="22"/>
        </w:rPr>
        <w:t xml:space="preserve"> </w:t>
      </w:r>
      <w:r w:rsidRPr="00BF2FFE">
        <w:rPr>
          <w:rFonts w:ascii="Arial" w:hAnsi="Arial" w:cs="Arial"/>
          <w:sz w:val="22"/>
          <w:szCs w:val="22"/>
        </w:rPr>
        <w:t>L., Letná, Děčín) nebo lokality realizované (Podmokly - Jordánka, integrovaný záchranný systém u Ploučnice, nákupní centrum Staré Město</w:t>
      </w:r>
      <w:r w:rsidRPr="00BF2FFE">
        <w:rPr>
          <w:rFonts w:ascii="Arial" w:hAnsi="Arial" w:cs="Arial"/>
          <w:noProof/>
          <w:sz w:val="22"/>
          <w:szCs w:val="22"/>
          <w:lang w:eastAsia="cs-CZ"/>
        </w:rPr>
        <w:drawing>
          <wp:inline distT="0" distB="0" distL="0" distR="0" wp14:anchorId="419E8A74" wp14:editId="7A325835">
            <wp:extent cx="13335" cy="27305"/>
            <wp:effectExtent l="0" t="0" r="0" b="0"/>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3335" cy="27305"/>
                    </a:xfrm>
                    <a:prstGeom prst="rect">
                      <a:avLst/>
                    </a:prstGeom>
                    <a:noFill/>
                    <a:ln>
                      <a:noFill/>
                    </a:ln>
                  </pic:spPr>
                </pic:pic>
              </a:graphicData>
            </a:graphic>
          </wp:inline>
        </w:drawing>
      </w:r>
      <w:r>
        <w:rPr>
          <w:rFonts w:ascii="Arial" w:hAnsi="Arial" w:cs="Arial"/>
          <w:sz w:val="22"/>
          <w:szCs w:val="22"/>
        </w:rPr>
        <w:t xml:space="preserve"> </w:t>
      </w:r>
      <w:r w:rsidRPr="00BF2FFE">
        <w:rPr>
          <w:rFonts w:ascii="Arial" w:hAnsi="Arial" w:cs="Arial"/>
          <w:sz w:val="22"/>
          <w:szCs w:val="22"/>
        </w:rPr>
        <w:t>Všechny požadované změny jsou respektovány v plném rozsahu.</w:t>
      </w:r>
    </w:p>
    <w:p w14:paraId="13C96214" w14:textId="77777777" w:rsidR="00CA23D0" w:rsidRDefault="00CA23D0" w:rsidP="00CA23D0">
      <w:pPr>
        <w:spacing w:before="120" w:line="288" w:lineRule="auto"/>
        <w:jc w:val="both"/>
        <w:rPr>
          <w:rFonts w:ascii="Arial" w:hAnsi="Arial" w:cs="Arial"/>
          <w:color w:val="FF0000"/>
          <w:sz w:val="22"/>
          <w:szCs w:val="22"/>
        </w:rPr>
      </w:pPr>
    </w:p>
    <w:p w14:paraId="2FC453F0" w14:textId="77777777" w:rsidR="00CA23D0" w:rsidRPr="00FF420D" w:rsidRDefault="00CA23D0" w:rsidP="00CA23D0">
      <w:pPr>
        <w:pStyle w:val="Nadpis3"/>
        <w:ind w:right="117"/>
        <w:jc w:val="both"/>
        <w:rPr>
          <w:rFonts w:ascii="Arial" w:hAnsi="Arial" w:cs="Arial"/>
          <w:color w:val="auto"/>
          <w:sz w:val="28"/>
          <w:szCs w:val="28"/>
        </w:rPr>
      </w:pPr>
      <w:r w:rsidRPr="00FF420D">
        <w:rPr>
          <w:rFonts w:ascii="Arial" w:hAnsi="Arial" w:cs="Arial"/>
          <w:color w:val="auto"/>
          <w:sz w:val="28"/>
          <w:szCs w:val="28"/>
        </w:rPr>
        <w:t>II/3 EKONOMICKÁ ZÁKLADNA</w:t>
      </w:r>
    </w:p>
    <w:p w14:paraId="19D4DA48" w14:textId="77777777" w:rsidR="00CA23D0" w:rsidRDefault="00CA23D0" w:rsidP="00CA23D0">
      <w:pPr>
        <w:spacing w:before="120" w:line="288" w:lineRule="auto"/>
        <w:ind w:right="119" w:firstLine="709"/>
        <w:jc w:val="both"/>
        <w:rPr>
          <w:rFonts w:ascii="Arial" w:hAnsi="Arial" w:cs="Arial"/>
          <w:sz w:val="22"/>
          <w:szCs w:val="22"/>
        </w:rPr>
      </w:pPr>
      <w:r w:rsidRPr="00BF2FFE">
        <w:rPr>
          <w:rFonts w:ascii="Arial" w:hAnsi="Arial" w:cs="Arial"/>
          <w:sz w:val="22"/>
          <w:szCs w:val="22"/>
        </w:rPr>
        <w:t>Rozvoj ekonomické základny v plném rozsahu akceptuje požadavky souborného stanoviska, navrhuje nejen územní náhrady, ale i kvalifikovanou nabídku vhodného území. Oproti konceptu řešení byly respekto</w:t>
      </w:r>
      <w:r>
        <w:rPr>
          <w:rFonts w:ascii="Arial" w:hAnsi="Arial" w:cs="Arial"/>
          <w:sz w:val="22"/>
          <w:szCs w:val="22"/>
        </w:rPr>
        <w:t>vány všechny požadované změny (</w:t>
      </w:r>
      <w:r w:rsidRPr="00BF2FFE">
        <w:rPr>
          <w:rFonts w:ascii="Arial" w:hAnsi="Arial" w:cs="Arial"/>
          <w:sz w:val="22"/>
          <w:szCs w:val="22"/>
        </w:rPr>
        <w:t>PSD Děčín s.r.o. a</w:t>
      </w:r>
      <w:r>
        <w:rPr>
          <w:rFonts w:ascii="Arial" w:hAnsi="Arial" w:cs="Arial"/>
          <w:sz w:val="22"/>
          <w:szCs w:val="22"/>
        </w:rPr>
        <w:t> </w:t>
      </w:r>
      <w:r w:rsidRPr="00BF2FFE">
        <w:rPr>
          <w:rFonts w:ascii="Arial" w:hAnsi="Arial" w:cs="Arial"/>
          <w:sz w:val="22"/>
          <w:szCs w:val="22"/>
        </w:rPr>
        <w:t>areál v ul. Zelené na Starém Městě, Folknáře - cihelna) a zařazeny nové lokality v</w:t>
      </w:r>
      <w:r>
        <w:rPr>
          <w:rFonts w:ascii="Arial" w:hAnsi="Arial" w:cs="Arial"/>
          <w:sz w:val="22"/>
          <w:szCs w:val="22"/>
        </w:rPr>
        <w:t> </w:t>
      </w:r>
      <w:r w:rsidRPr="00BF2FFE">
        <w:rPr>
          <w:rFonts w:ascii="Arial" w:hAnsi="Arial" w:cs="Arial"/>
          <w:sz w:val="22"/>
          <w:szCs w:val="22"/>
        </w:rPr>
        <w:t>Boleticích n.</w:t>
      </w:r>
      <w:r>
        <w:rPr>
          <w:rFonts w:ascii="Arial" w:hAnsi="Arial" w:cs="Arial"/>
          <w:sz w:val="22"/>
          <w:szCs w:val="22"/>
        </w:rPr>
        <w:t xml:space="preserve"> </w:t>
      </w:r>
      <w:r w:rsidRPr="00BF2FFE">
        <w:rPr>
          <w:rFonts w:ascii="Arial" w:hAnsi="Arial" w:cs="Arial"/>
          <w:sz w:val="22"/>
          <w:szCs w:val="22"/>
        </w:rPr>
        <w:t>L</w:t>
      </w:r>
      <w:r>
        <w:rPr>
          <w:rFonts w:ascii="Arial" w:hAnsi="Arial" w:cs="Arial"/>
          <w:sz w:val="22"/>
          <w:szCs w:val="22"/>
        </w:rPr>
        <w:t xml:space="preserve">. </w:t>
      </w:r>
      <w:r w:rsidRPr="00BF2FFE">
        <w:rPr>
          <w:rFonts w:ascii="Arial" w:hAnsi="Arial" w:cs="Arial"/>
          <w:sz w:val="22"/>
          <w:szCs w:val="22"/>
        </w:rPr>
        <w:t>Všechny požadované změny jsou respektovány v plném rozsahu.</w:t>
      </w:r>
    </w:p>
    <w:p w14:paraId="15C6C98F" w14:textId="77777777" w:rsidR="00CA23D0" w:rsidRPr="00BF2FFE" w:rsidRDefault="00CA23D0" w:rsidP="00CA23D0">
      <w:pPr>
        <w:spacing w:before="120" w:line="288" w:lineRule="auto"/>
        <w:ind w:right="119" w:firstLine="709"/>
        <w:jc w:val="both"/>
        <w:rPr>
          <w:rFonts w:ascii="Arial" w:hAnsi="Arial" w:cs="Arial"/>
          <w:sz w:val="22"/>
          <w:szCs w:val="22"/>
        </w:rPr>
      </w:pPr>
    </w:p>
    <w:p w14:paraId="062F3EC8" w14:textId="77777777" w:rsidR="00CA23D0" w:rsidRPr="00FF420D" w:rsidRDefault="00CA23D0" w:rsidP="00CA23D0">
      <w:pPr>
        <w:pStyle w:val="Nadpis4"/>
        <w:ind w:right="117"/>
        <w:jc w:val="both"/>
        <w:rPr>
          <w:i/>
          <w:sz w:val="28"/>
        </w:rPr>
      </w:pPr>
      <w:r w:rsidRPr="00FF420D">
        <w:rPr>
          <w:i/>
          <w:sz w:val="28"/>
        </w:rPr>
        <w:t>II/4 ZELEŇ</w:t>
      </w:r>
    </w:p>
    <w:p w14:paraId="5D882B3D" w14:textId="77777777" w:rsidR="00CA23D0" w:rsidRDefault="00CA23D0" w:rsidP="00CA23D0">
      <w:pPr>
        <w:spacing w:before="120" w:line="288" w:lineRule="auto"/>
        <w:ind w:right="119" w:firstLine="709"/>
        <w:jc w:val="both"/>
        <w:rPr>
          <w:rFonts w:ascii="Arial" w:hAnsi="Arial" w:cs="Arial"/>
          <w:sz w:val="22"/>
          <w:szCs w:val="22"/>
        </w:rPr>
      </w:pPr>
      <w:r w:rsidRPr="00BF2FFE">
        <w:rPr>
          <w:rFonts w:ascii="Arial" w:hAnsi="Arial" w:cs="Arial"/>
          <w:sz w:val="22"/>
          <w:szCs w:val="22"/>
        </w:rPr>
        <w:t>Návrh řešení vychází ze stávající ekologické kostry města, kterou tvoří zejména rozsáhlé příměstské lesy, strukturní zeleň, zahrádkářské osady, zahrady, obytná a veřejná zeleň. Návrh řešení je komplexně dopracován a aktualizován včetně požadovaných změn (vyčleně</w:t>
      </w:r>
      <w:r>
        <w:rPr>
          <w:rFonts w:ascii="Arial" w:hAnsi="Arial" w:cs="Arial"/>
          <w:sz w:val="22"/>
          <w:szCs w:val="22"/>
        </w:rPr>
        <w:t xml:space="preserve">ní lesoparku Folknáře cihelna). </w:t>
      </w:r>
      <w:r w:rsidRPr="00BF2FFE">
        <w:rPr>
          <w:rFonts w:ascii="Arial" w:hAnsi="Arial" w:cs="Arial"/>
          <w:sz w:val="22"/>
          <w:szCs w:val="22"/>
        </w:rPr>
        <w:t>Všechny požadované změny jsou respektovány v plném rozsahu.</w:t>
      </w:r>
    </w:p>
    <w:p w14:paraId="4BEF9FEC" w14:textId="77777777" w:rsidR="00CA23D0" w:rsidRPr="00BF2FFE" w:rsidRDefault="00CA23D0" w:rsidP="00CA23D0">
      <w:pPr>
        <w:spacing w:before="120" w:line="288" w:lineRule="auto"/>
        <w:ind w:right="119" w:firstLine="586"/>
        <w:jc w:val="both"/>
        <w:rPr>
          <w:rFonts w:ascii="Arial" w:hAnsi="Arial" w:cs="Arial"/>
          <w:sz w:val="22"/>
          <w:szCs w:val="22"/>
        </w:rPr>
      </w:pPr>
    </w:p>
    <w:p w14:paraId="42D6F5A1" w14:textId="77777777" w:rsidR="00CA23D0" w:rsidRPr="00FF420D" w:rsidRDefault="00CA23D0" w:rsidP="00CA23D0">
      <w:pPr>
        <w:spacing w:after="9"/>
        <w:ind w:right="117"/>
        <w:jc w:val="both"/>
        <w:rPr>
          <w:rFonts w:ascii="Arial" w:hAnsi="Arial" w:cs="Arial"/>
          <w:sz w:val="28"/>
          <w:szCs w:val="28"/>
        </w:rPr>
      </w:pPr>
      <w:r w:rsidRPr="00FF420D">
        <w:rPr>
          <w:rFonts w:ascii="Arial" w:eastAsia="Courier New" w:hAnsi="Arial" w:cs="Arial"/>
          <w:sz w:val="28"/>
          <w:szCs w:val="28"/>
        </w:rPr>
        <w:t>II/5 ÚSES</w:t>
      </w:r>
    </w:p>
    <w:p w14:paraId="4B99F39C" w14:textId="77777777" w:rsidR="00CA23D0" w:rsidRDefault="00CA23D0" w:rsidP="00CA23D0">
      <w:pPr>
        <w:spacing w:before="120" w:line="288" w:lineRule="auto"/>
        <w:ind w:right="119" w:firstLine="709"/>
        <w:jc w:val="both"/>
        <w:rPr>
          <w:rFonts w:ascii="Arial" w:hAnsi="Arial" w:cs="Arial"/>
          <w:sz w:val="22"/>
          <w:szCs w:val="22"/>
        </w:rPr>
      </w:pPr>
      <w:r w:rsidRPr="00BF2FFE">
        <w:rPr>
          <w:rFonts w:ascii="Arial" w:hAnsi="Arial" w:cs="Arial"/>
          <w:sz w:val="22"/>
          <w:szCs w:val="22"/>
        </w:rPr>
        <w:t>Pro zpracování konceptu řešení byl k dispozici pouze nadregionální Územní systém ekologické stability - ÚSES ( ÚTP NR - R ÚSES ČR). Generel lokálního územního systému ekologické stability byl zpracován firmou Lareco Praha — ing. Sklenička v prosinci 1997. Po</w:t>
      </w:r>
      <w:r>
        <w:rPr>
          <w:rFonts w:ascii="Arial" w:hAnsi="Arial" w:cs="Arial"/>
          <w:sz w:val="22"/>
          <w:szCs w:val="22"/>
        </w:rPr>
        <w:t> </w:t>
      </w:r>
      <w:r w:rsidRPr="00BF2FFE">
        <w:rPr>
          <w:rFonts w:ascii="Arial" w:hAnsi="Arial" w:cs="Arial"/>
          <w:sz w:val="22"/>
          <w:szCs w:val="22"/>
        </w:rPr>
        <w:t>jeho projednání s dotčenými orgány byl lokální ÚSES doplněn a promítnut v plném rozsahu do návrhu územního plánu.</w:t>
      </w:r>
    </w:p>
    <w:p w14:paraId="6C238481" w14:textId="77777777" w:rsidR="00CA23D0" w:rsidRPr="00BF2FFE" w:rsidRDefault="00CA23D0" w:rsidP="00CA23D0">
      <w:pPr>
        <w:spacing w:before="120" w:line="288" w:lineRule="auto"/>
        <w:ind w:right="119" w:firstLine="709"/>
        <w:jc w:val="both"/>
        <w:rPr>
          <w:rFonts w:ascii="Arial" w:hAnsi="Arial" w:cs="Arial"/>
          <w:sz w:val="22"/>
          <w:szCs w:val="22"/>
        </w:rPr>
      </w:pPr>
    </w:p>
    <w:p w14:paraId="299F4B17" w14:textId="77777777" w:rsidR="00CA23D0" w:rsidRPr="00FF420D" w:rsidRDefault="00CA23D0" w:rsidP="00CA23D0">
      <w:pPr>
        <w:pStyle w:val="Nadpis1"/>
        <w:ind w:right="117"/>
        <w:jc w:val="both"/>
        <w:rPr>
          <w:rFonts w:ascii="Arial" w:hAnsi="Arial" w:cs="Arial"/>
          <w:color w:val="auto"/>
          <w:sz w:val="28"/>
          <w:szCs w:val="28"/>
        </w:rPr>
      </w:pPr>
      <w:r w:rsidRPr="00FF420D">
        <w:rPr>
          <w:rFonts w:ascii="Arial" w:hAnsi="Arial" w:cs="Arial"/>
          <w:color w:val="auto"/>
          <w:sz w:val="28"/>
          <w:szCs w:val="28"/>
        </w:rPr>
        <w:t>II/6 VODNÍ TOKY A PLOCHY</w:t>
      </w:r>
    </w:p>
    <w:p w14:paraId="5F107F81" w14:textId="77777777" w:rsidR="00CA23D0" w:rsidRDefault="00CA23D0" w:rsidP="00CA23D0">
      <w:pPr>
        <w:spacing w:before="120" w:line="288" w:lineRule="auto"/>
        <w:ind w:right="119" w:firstLine="709"/>
        <w:jc w:val="both"/>
        <w:rPr>
          <w:rFonts w:ascii="Arial" w:hAnsi="Arial" w:cs="Arial"/>
          <w:sz w:val="22"/>
          <w:szCs w:val="22"/>
        </w:rPr>
      </w:pPr>
      <w:r w:rsidRPr="00BF2FFE">
        <w:rPr>
          <w:rFonts w:ascii="Arial" w:hAnsi="Arial" w:cs="Arial"/>
          <w:sz w:val="22"/>
          <w:szCs w:val="22"/>
        </w:rPr>
        <w:t xml:space="preserve">Ve smyslu souborného stanoviska byla doplněna část vodní toky a plochy o podrobný přehled </w:t>
      </w:r>
      <w:r w:rsidRPr="00BF2FFE">
        <w:rPr>
          <w:rFonts w:ascii="Arial" w:hAnsi="Arial" w:cs="Arial"/>
          <w:noProof/>
          <w:sz w:val="22"/>
          <w:szCs w:val="22"/>
          <w:lang w:eastAsia="cs-CZ"/>
        </w:rPr>
        <w:drawing>
          <wp:inline distT="0" distB="0" distL="0" distR="0" wp14:anchorId="786EE1CF" wp14:editId="50D9CC71">
            <wp:extent cx="13335" cy="40640"/>
            <wp:effectExtent l="0" t="0" r="5715" b="0"/>
            <wp:docPr id="23" name="Obráze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3335" cy="40640"/>
                    </a:xfrm>
                    <a:prstGeom prst="rect">
                      <a:avLst/>
                    </a:prstGeom>
                    <a:noFill/>
                    <a:ln>
                      <a:noFill/>
                    </a:ln>
                  </pic:spPr>
                </pic:pic>
              </a:graphicData>
            </a:graphic>
          </wp:inline>
        </w:drawing>
      </w:r>
      <w:r w:rsidRPr="00BF2FFE">
        <w:rPr>
          <w:rFonts w:ascii="Arial" w:hAnsi="Arial" w:cs="Arial"/>
          <w:sz w:val="22"/>
          <w:szCs w:val="22"/>
        </w:rPr>
        <w:t>všech toků na území města, které jsou ve správě Povodí Ohře, LČR a SMS Ústí n</w:t>
      </w:r>
      <w:r>
        <w:rPr>
          <w:rFonts w:ascii="Arial" w:hAnsi="Arial" w:cs="Arial"/>
          <w:sz w:val="22"/>
          <w:szCs w:val="22"/>
        </w:rPr>
        <w:t>. </w:t>
      </w:r>
      <w:r w:rsidRPr="00BF2FFE">
        <w:rPr>
          <w:rFonts w:ascii="Arial" w:hAnsi="Arial" w:cs="Arial"/>
          <w:sz w:val="22"/>
          <w:szCs w:val="22"/>
        </w:rPr>
        <w:t>L</w:t>
      </w:r>
      <w:r>
        <w:rPr>
          <w:rFonts w:ascii="Arial" w:hAnsi="Arial" w:cs="Arial"/>
          <w:sz w:val="22"/>
          <w:szCs w:val="22"/>
        </w:rPr>
        <w:t>.</w:t>
      </w:r>
      <w:r w:rsidRPr="00BF2FFE">
        <w:rPr>
          <w:rFonts w:ascii="Arial" w:hAnsi="Arial" w:cs="Arial"/>
          <w:sz w:val="22"/>
          <w:szCs w:val="22"/>
        </w:rPr>
        <w:t xml:space="preserve"> s</w:t>
      </w:r>
      <w:r>
        <w:rPr>
          <w:rFonts w:ascii="Arial" w:hAnsi="Arial" w:cs="Arial"/>
          <w:sz w:val="22"/>
          <w:szCs w:val="22"/>
        </w:rPr>
        <w:t> </w:t>
      </w:r>
      <w:r w:rsidRPr="00BF2FFE">
        <w:rPr>
          <w:rFonts w:ascii="Arial" w:hAnsi="Arial" w:cs="Arial"/>
          <w:sz w:val="22"/>
          <w:szCs w:val="22"/>
        </w:rPr>
        <w:t xml:space="preserve">uvedením základní koncepce jejich úpravy. Aktualizován byl i přehled vodních ploch a jejich funkční využití. </w:t>
      </w:r>
      <w:r w:rsidRPr="00BF2FFE">
        <w:rPr>
          <w:rFonts w:ascii="Arial" w:hAnsi="Arial" w:cs="Arial"/>
          <w:noProof/>
          <w:sz w:val="22"/>
          <w:szCs w:val="22"/>
          <w:lang w:eastAsia="cs-CZ"/>
        </w:rPr>
        <w:drawing>
          <wp:inline distT="0" distB="0" distL="0" distR="0" wp14:anchorId="4E84E9D6" wp14:editId="5C0B87F7">
            <wp:extent cx="13335" cy="13335"/>
            <wp:effectExtent l="0" t="0" r="0" b="0"/>
            <wp:docPr id="22" name="Obráze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BF2FFE">
        <w:rPr>
          <w:rFonts w:ascii="Arial" w:hAnsi="Arial" w:cs="Arial"/>
          <w:sz w:val="22"/>
          <w:szCs w:val="22"/>
        </w:rPr>
        <w:t>Navržené úpravy vodních toků byly na základě požadavku SS zařazeny jako veřejně prospěšné stavby. Do ÚPN byla převzata nejnovější koncepce VD Prostřední Žleb zpracovan</w:t>
      </w:r>
      <w:r>
        <w:rPr>
          <w:rFonts w:ascii="Arial" w:hAnsi="Arial" w:cs="Arial"/>
          <w:sz w:val="22"/>
          <w:szCs w:val="22"/>
        </w:rPr>
        <w:t xml:space="preserve">á Hydroprojektem Praha 12/1998. </w:t>
      </w:r>
      <w:r w:rsidRPr="00BF2FFE">
        <w:rPr>
          <w:rFonts w:ascii="Arial" w:hAnsi="Arial" w:cs="Arial"/>
          <w:sz w:val="22"/>
          <w:szCs w:val="22"/>
        </w:rPr>
        <w:t>Všechny požadované změny jsou respektovány v plném rozsahu.</w:t>
      </w:r>
    </w:p>
    <w:p w14:paraId="16F86303" w14:textId="77777777" w:rsidR="00CA23D0" w:rsidRPr="00BF2FFE" w:rsidRDefault="00CA23D0" w:rsidP="00CA23D0">
      <w:pPr>
        <w:spacing w:before="120" w:line="288" w:lineRule="auto"/>
        <w:ind w:right="119" w:firstLine="586"/>
        <w:jc w:val="both"/>
        <w:rPr>
          <w:rFonts w:ascii="Arial" w:hAnsi="Arial" w:cs="Arial"/>
          <w:sz w:val="22"/>
          <w:szCs w:val="22"/>
        </w:rPr>
      </w:pPr>
    </w:p>
    <w:p w14:paraId="51FB3A30" w14:textId="77777777" w:rsidR="00CA23D0" w:rsidRPr="00FF420D" w:rsidRDefault="00CA23D0" w:rsidP="00CA23D0">
      <w:pPr>
        <w:pStyle w:val="Nadpis2"/>
        <w:ind w:right="117"/>
        <w:jc w:val="both"/>
        <w:rPr>
          <w:rFonts w:ascii="Arial" w:hAnsi="Arial" w:cs="Arial"/>
          <w:color w:val="auto"/>
          <w:sz w:val="28"/>
          <w:szCs w:val="28"/>
        </w:rPr>
      </w:pPr>
      <w:r w:rsidRPr="00FF420D">
        <w:rPr>
          <w:rFonts w:ascii="Arial" w:hAnsi="Arial" w:cs="Arial"/>
          <w:color w:val="auto"/>
          <w:sz w:val="28"/>
          <w:szCs w:val="28"/>
        </w:rPr>
        <w:t>II/7 CHRÁNĚNÁ ÚZEMÍ A OBJEKTY, OCHRANNÁ PÁSMA</w:t>
      </w:r>
    </w:p>
    <w:p w14:paraId="2DF423F2" w14:textId="77777777" w:rsidR="00CA23D0" w:rsidRDefault="00CA23D0" w:rsidP="00CA23D0">
      <w:pPr>
        <w:spacing w:before="120" w:line="288" w:lineRule="auto"/>
        <w:ind w:right="119" w:firstLine="709"/>
        <w:jc w:val="both"/>
        <w:rPr>
          <w:rFonts w:ascii="Arial" w:hAnsi="Arial" w:cs="Arial"/>
          <w:sz w:val="22"/>
          <w:szCs w:val="22"/>
        </w:rPr>
      </w:pPr>
      <w:r w:rsidRPr="00BF2FFE">
        <w:rPr>
          <w:rFonts w:ascii="Arial" w:hAnsi="Arial" w:cs="Arial"/>
          <w:sz w:val="22"/>
          <w:szCs w:val="22"/>
        </w:rPr>
        <w:t xml:space="preserve">Oproti konceptu řešení byly respektovány všechny dílčí požadavky, zejména byla aktualizována všechna OP, upřesněn seznam kulturních památek a všechny další regulativy </w:t>
      </w:r>
      <w:r w:rsidRPr="00BF2FFE">
        <w:rPr>
          <w:rFonts w:ascii="Arial" w:hAnsi="Arial" w:cs="Arial"/>
          <w:sz w:val="22"/>
          <w:szCs w:val="22"/>
        </w:rPr>
        <w:lastRenderedPageBreak/>
        <w:t>vyplývající z existence obou CHKO, systémů dopr</w:t>
      </w:r>
      <w:r>
        <w:rPr>
          <w:rFonts w:ascii="Arial" w:hAnsi="Arial" w:cs="Arial"/>
          <w:sz w:val="22"/>
          <w:szCs w:val="22"/>
        </w:rPr>
        <w:t xml:space="preserve">avy a technické infrastruktury. </w:t>
      </w:r>
      <w:r w:rsidRPr="00BF2FFE">
        <w:rPr>
          <w:rFonts w:ascii="Arial" w:hAnsi="Arial" w:cs="Arial"/>
          <w:sz w:val="22"/>
          <w:szCs w:val="22"/>
        </w:rPr>
        <w:t>Všechny požadované změny jsou respektovány v plném rozsahu.</w:t>
      </w:r>
    </w:p>
    <w:p w14:paraId="0A13D2F5" w14:textId="77777777" w:rsidR="00CA23D0" w:rsidRPr="00BF2FFE" w:rsidRDefault="00CA23D0" w:rsidP="00CA23D0">
      <w:pPr>
        <w:spacing w:before="120" w:line="288" w:lineRule="auto"/>
        <w:ind w:right="119" w:firstLine="709"/>
        <w:jc w:val="both"/>
        <w:rPr>
          <w:rFonts w:ascii="Arial" w:hAnsi="Arial" w:cs="Arial"/>
          <w:sz w:val="22"/>
          <w:szCs w:val="22"/>
        </w:rPr>
      </w:pPr>
    </w:p>
    <w:p w14:paraId="3590C4E4" w14:textId="77777777" w:rsidR="00CA23D0" w:rsidRPr="00FC6ECD" w:rsidRDefault="00CA23D0" w:rsidP="00CA23D0">
      <w:pPr>
        <w:pStyle w:val="Nadpis1"/>
        <w:ind w:right="117"/>
        <w:jc w:val="both"/>
        <w:rPr>
          <w:rFonts w:ascii="Arial" w:hAnsi="Arial" w:cs="Arial"/>
        </w:rPr>
      </w:pPr>
      <w:r w:rsidRPr="007E480D">
        <w:rPr>
          <w:rFonts w:ascii="Arial" w:hAnsi="Arial" w:cs="Arial"/>
          <w:noProof/>
          <w:lang w:eastAsia="cs-CZ"/>
        </w:rPr>
        <w:drawing>
          <wp:inline distT="0" distB="0" distL="0" distR="0" wp14:anchorId="416BE4AC" wp14:editId="6330816F">
            <wp:extent cx="27305" cy="40640"/>
            <wp:effectExtent l="0" t="0" r="0" b="0"/>
            <wp:docPr id="34" name="Obráze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4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305" cy="40640"/>
                    </a:xfrm>
                    <a:prstGeom prst="rect">
                      <a:avLst/>
                    </a:prstGeom>
                    <a:noFill/>
                    <a:ln>
                      <a:noFill/>
                    </a:ln>
                  </pic:spPr>
                </pic:pic>
              </a:graphicData>
            </a:graphic>
          </wp:inline>
        </w:drawing>
      </w:r>
      <w:r w:rsidRPr="00FF420D">
        <w:rPr>
          <w:rFonts w:ascii="Arial" w:hAnsi="Arial" w:cs="Arial"/>
          <w:color w:val="auto"/>
          <w:sz w:val="28"/>
          <w:szCs w:val="28"/>
        </w:rPr>
        <w:t>II/8 ŽIVOTNÍ PROSTŘEDÍ</w:t>
      </w:r>
    </w:p>
    <w:p w14:paraId="0DDE2809" w14:textId="77777777" w:rsidR="00CA23D0" w:rsidRDefault="00CA23D0" w:rsidP="00CA23D0">
      <w:pPr>
        <w:spacing w:before="120" w:line="288" w:lineRule="auto"/>
        <w:ind w:right="119" w:firstLine="709"/>
        <w:jc w:val="both"/>
        <w:rPr>
          <w:rFonts w:ascii="Arial" w:hAnsi="Arial" w:cs="Arial"/>
          <w:sz w:val="22"/>
          <w:szCs w:val="22"/>
        </w:rPr>
      </w:pPr>
      <w:r w:rsidRPr="00BF2FFE">
        <w:rPr>
          <w:rFonts w:ascii="Arial" w:hAnsi="Arial" w:cs="Arial"/>
          <w:sz w:val="22"/>
          <w:szCs w:val="22"/>
        </w:rPr>
        <w:t xml:space="preserve">Tato problematika byla kompletně dopracována a doplněna o faktické údaje k datu zpracování </w:t>
      </w:r>
      <w:r w:rsidRPr="00BF2FFE">
        <w:rPr>
          <w:rFonts w:ascii="Arial" w:hAnsi="Arial" w:cs="Arial"/>
          <w:noProof/>
          <w:sz w:val="22"/>
          <w:szCs w:val="22"/>
          <w:lang w:eastAsia="cs-CZ"/>
        </w:rPr>
        <w:drawing>
          <wp:inline distT="0" distB="0" distL="0" distR="0" wp14:anchorId="56E26F31" wp14:editId="47D08BE8">
            <wp:extent cx="13335" cy="13335"/>
            <wp:effectExtent l="0" t="0" r="0" b="0"/>
            <wp:docPr id="33" name="Obráze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BF2FFE">
        <w:rPr>
          <w:rFonts w:ascii="Arial" w:hAnsi="Arial" w:cs="Arial"/>
          <w:sz w:val="22"/>
          <w:szCs w:val="22"/>
        </w:rPr>
        <w:t xml:space="preserve"> na základě konzultací a předaných podkladů od OHS Děčín, TS Děčín, MěÚ a</w:t>
      </w:r>
      <w:r>
        <w:rPr>
          <w:rFonts w:ascii="Arial" w:hAnsi="Arial" w:cs="Arial"/>
          <w:sz w:val="22"/>
          <w:szCs w:val="22"/>
        </w:rPr>
        <w:t> </w:t>
      </w:r>
      <w:r w:rsidRPr="00BF2FFE">
        <w:rPr>
          <w:rFonts w:ascii="Arial" w:hAnsi="Arial" w:cs="Arial"/>
          <w:sz w:val="22"/>
          <w:szCs w:val="22"/>
        </w:rPr>
        <w:t xml:space="preserve">OkÚ Děčín. Týká se to zejména kapitol o odpadech, ovzduší (energetická koncepce), rozsahu PHO, negativních vlivů dopravy (protihluková opatření), čistoty vody a lokalizace kontaminovaných zemin, včetně návrhů a způsobu </w:t>
      </w:r>
      <w:r w:rsidRPr="00BF2FFE">
        <w:rPr>
          <w:rFonts w:ascii="Arial" w:hAnsi="Arial" w:cs="Arial"/>
          <w:noProof/>
          <w:sz w:val="22"/>
          <w:szCs w:val="22"/>
          <w:lang w:eastAsia="cs-CZ"/>
        </w:rPr>
        <w:drawing>
          <wp:inline distT="0" distB="0" distL="0" distR="0" wp14:anchorId="26942CB5" wp14:editId="1D83E509">
            <wp:extent cx="13335" cy="13335"/>
            <wp:effectExtent l="0" t="0" r="0" b="0"/>
            <wp:docPr id="32" name="Obráze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BF2FFE">
        <w:rPr>
          <w:rFonts w:ascii="Arial" w:hAnsi="Arial" w:cs="Arial"/>
          <w:sz w:val="22"/>
          <w:szCs w:val="22"/>
        </w:rPr>
        <w:t>zlepšení kvality životního prostředí ve</w:t>
      </w:r>
      <w:r>
        <w:rPr>
          <w:rFonts w:ascii="Arial" w:hAnsi="Arial" w:cs="Arial"/>
          <w:sz w:val="22"/>
          <w:szCs w:val="22"/>
        </w:rPr>
        <w:t xml:space="preserve"> městě. </w:t>
      </w:r>
      <w:r w:rsidRPr="00BF2FFE">
        <w:rPr>
          <w:rFonts w:ascii="Arial" w:hAnsi="Arial" w:cs="Arial"/>
          <w:sz w:val="22"/>
          <w:szCs w:val="22"/>
        </w:rPr>
        <w:t>Všechny požadované změny jsou respektovány v plném rozsahu.</w:t>
      </w:r>
    </w:p>
    <w:p w14:paraId="1EB2A681" w14:textId="77777777" w:rsidR="00CA23D0" w:rsidRPr="00BF2FFE" w:rsidRDefault="00CA23D0" w:rsidP="00CA23D0">
      <w:pPr>
        <w:spacing w:before="120" w:line="288" w:lineRule="auto"/>
        <w:ind w:right="119" w:firstLine="709"/>
        <w:jc w:val="both"/>
        <w:rPr>
          <w:rFonts w:ascii="Arial" w:hAnsi="Arial" w:cs="Arial"/>
          <w:sz w:val="22"/>
          <w:szCs w:val="22"/>
        </w:rPr>
      </w:pPr>
    </w:p>
    <w:p w14:paraId="46AA7669" w14:textId="77777777" w:rsidR="00CA23D0" w:rsidRPr="00FF420D" w:rsidRDefault="00CA23D0" w:rsidP="00CA23D0">
      <w:pPr>
        <w:pStyle w:val="Nadpis2"/>
        <w:ind w:right="117"/>
        <w:jc w:val="both"/>
        <w:rPr>
          <w:rFonts w:ascii="Arial" w:hAnsi="Arial" w:cs="Arial"/>
          <w:color w:val="auto"/>
          <w:sz w:val="28"/>
          <w:szCs w:val="28"/>
        </w:rPr>
      </w:pPr>
      <w:r w:rsidRPr="00FF420D">
        <w:rPr>
          <w:rFonts w:ascii="Arial" w:hAnsi="Arial" w:cs="Arial"/>
          <w:color w:val="auto"/>
          <w:sz w:val="28"/>
          <w:szCs w:val="28"/>
        </w:rPr>
        <w:t>II/9 DOPRAVA A PŘEPRAVNÍ VZTAHY</w:t>
      </w:r>
    </w:p>
    <w:p w14:paraId="148D61EE" w14:textId="77777777" w:rsidR="00CA23D0" w:rsidRPr="00BF2FFE" w:rsidRDefault="00CA23D0" w:rsidP="00CA23D0">
      <w:pPr>
        <w:spacing w:before="120" w:line="288" w:lineRule="auto"/>
        <w:ind w:right="119" w:firstLine="709"/>
        <w:jc w:val="both"/>
        <w:rPr>
          <w:rFonts w:ascii="Arial" w:hAnsi="Arial" w:cs="Arial"/>
          <w:sz w:val="22"/>
          <w:szCs w:val="22"/>
        </w:rPr>
      </w:pPr>
      <w:r w:rsidRPr="00BF2FFE">
        <w:rPr>
          <w:rFonts w:ascii="Arial" w:hAnsi="Arial" w:cs="Arial"/>
          <w:sz w:val="22"/>
          <w:szCs w:val="22"/>
        </w:rPr>
        <w:t xml:space="preserve">Návrh dopravního řešení územního plánu v plném rozsahu akceptuje všechny nové požadavky. </w:t>
      </w:r>
      <w:r w:rsidRPr="00BF2FFE">
        <w:rPr>
          <w:rFonts w:ascii="Arial" w:hAnsi="Arial" w:cs="Arial"/>
          <w:noProof/>
          <w:sz w:val="22"/>
          <w:szCs w:val="22"/>
          <w:lang w:eastAsia="cs-CZ"/>
        </w:rPr>
        <w:drawing>
          <wp:inline distT="0" distB="0" distL="0" distR="0" wp14:anchorId="67F65678" wp14:editId="70602F61">
            <wp:extent cx="13335" cy="13335"/>
            <wp:effectExtent l="0" t="0" r="0" b="0"/>
            <wp:docPr id="31" name="Obráze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BF2FFE">
        <w:rPr>
          <w:rFonts w:ascii="Arial" w:hAnsi="Arial" w:cs="Arial"/>
          <w:noProof/>
          <w:sz w:val="22"/>
          <w:szCs w:val="22"/>
          <w:lang w:eastAsia="cs-CZ"/>
        </w:rPr>
        <w:drawing>
          <wp:inline distT="0" distB="0" distL="0" distR="0" wp14:anchorId="35068AC2" wp14:editId="57060B51">
            <wp:extent cx="13335" cy="13335"/>
            <wp:effectExtent l="0" t="0" r="0" b="0"/>
            <wp:docPr id="30" name="Obráze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BF2FFE">
        <w:rPr>
          <w:rFonts w:ascii="Arial" w:hAnsi="Arial" w:cs="Arial"/>
          <w:sz w:val="22"/>
          <w:szCs w:val="22"/>
        </w:rPr>
        <w:t xml:space="preserve">V návrhu silniční sítě se trasa přeložky silnice I/13 v úseku Jílové - Děčín - Vilsnice zařazuje jako </w:t>
      </w:r>
      <w:r w:rsidRPr="00BF2FFE">
        <w:rPr>
          <w:rFonts w:ascii="Arial" w:hAnsi="Arial" w:cs="Arial"/>
          <w:noProof/>
          <w:sz w:val="22"/>
          <w:szCs w:val="22"/>
          <w:lang w:eastAsia="cs-CZ"/>
        </w:rPr>
        <w:drawing>
          <wp:inline distT="0" distB="0" distL="0" distR="0" wp14:anchorId="1DED1046" wp14:editId="2A960BD9">
            <wp:extent cx="13335" cy="13335"/>
            <wp:effectExtent l="0" t="0" r="0" b="0"/>
            <wp:docPr id="29" name="Obráze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BF2FFE">
        <w:rPr>
          <w:rFonts w:ascii="Arial" w:hAnsi="Arial" w:cs="Arial"/>
          <w:sz w:val="22"/>
          <w:szCs w:val="22"/>
        </w:rPr>
        <w:t>územní rezerva, úsek Vilsnice - Nový most má 4-pruhové uspořádání, úsek Děčín - Benešov n.</w:t>
      </w:r>
      <w:r>
        <w:rPr>
          <w:rFonts w:ascii="Arial" w:hAnsi="Arial" w:cs="Arial"/>
          <w:sz w:val="22"/>
          <w:szCs w:val="22"/>
        </w:rPr>
        <w:t xml:space="preserve"> </w:t>
      </w:r>
      <w:r w:rsidRPr="00BF2FFE">
        <w:rPr>
          <w:rFonts w:ascii="Arial" w:hAnsi="Arial" w:cs="Arial"/>
          <w:sz w:val="22"/>
          <w:szCs w:val="22"/>
        </w:rPr>
        <w:t>PI. je veden v trase alt. Folknářská spojka je zařazena do I. etapy výstavby s napojením na Benešovskou ulici okružní křižovatkou. Číslování silnic bylo aktualizováno. Z</w:t>
      </w:r>
      <w:r>
        <w:rPr>
          <w:rFonts w:ascii="Arial" w:hAnsi="Arial" w:cs="Arial"/>
          <w:sz w:val="22"/>
          <w:szCs w:val="22"/>
        </w:rPr>
        <w:t> </w:t>
      </w:r>
      <w:r w:rsidRPr="00BF2FFE">
        <w:rPr>
          <w:rFonts w:ascii="Arial" w:hAnsi="Arial" w:cs="Arial"/>
          <w:sz w:val="22"/>
          <w:szCs w:val="22"/>
        </w:rPr>
        <w:t>návrhu byly vyčleněny všechny stavby realizované či v realizaci.</w:t>
      </w:r>
    </w:p>
    <w:p w14:paraId="0EF29B64" w14:textId="77777777" w:rsidR="00CA23D0" w:rsidRPr="00BF2FFE" w:rsidRDefault="00CA23D0" w:rsidP="00CA23D0">
      <w:pPr>
        <w:spacing w:before="120" w:line="288" w:lineRule="auto"/>
        <w:ind w:right="119" w:firstLine="709"/>
        <w:jc w:val="both"/>
        <w:rPr>
          <w:rFonts w:ascii="Arial" w:hAnsi="Arial" w:cs="Arial"/>
          <w:sz w:val="22"/>
          <w:szCs w:val="22"/>
        </w:rPr>
      </w:pPr>
      <w:r w:rsidRPr="00BF2FFE">
        <w:rPr>
          <w:rFonts w:ascii="Arial" w:hAnsi="Arial" w:cs="Arial"/>
          <w:sz w:val="22"/>
          <w:szCs w:val="22"/>
        </w:rPr>
        <w:t>V stejném rozsahu byly upřesněny i všechny ostatní požadavky, mezi které zejména patří:</w:t>
      </w:r>
      <w:r>
        <w:rPr>
          <w:rFonts w:ascii="Arial" w:hAnsi="Arial" w:cs="Arial"/>
          <w:sz w:val="22"/>
          <w:szCs w:val="22"/>
        </w:rPr>
        <w:t xml:space="preserve"> </w:t>
      </w:r>
      <w:r w:rsidRPr="00BF2FFE">
        <w:rPr>
          <w:rFonts w:ascii="Arial" w:hAnsi="Arial" w:cs="Arial"/>
          <w:noProof/>
          <w:sz w:val="22"/>
          <w:szCs w:val="22"/>
          <w:lang w:eastAsia="cs-CZ"/>
        </w:rPr>
        <w:drawing>
          <wp:inline distT="0" distB="0" distL="0" distR="0" wp14:anchorId="59514312" wp14:editId="1D86EF12">
            <wp:extent cx="13335" cy="13335"/>
            <wp:effectExtent l="0" t="0" r="0" b="0"/>
            <wp:docPr id="28" name="Obráze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BF2FFE">
        <w:rPr>
          <w:rFonts w:ascii="Arial" w:hAnsi="Arial" w:cs="Arial"/>
          <w:sz w:val="22"/>
          <w:szCs w:val="22"/>
        </w:rPr>
        <w:t xml:space="preserve">přeložka silnice 11/261 v Křešicích dle projednané studie, křižovatka 0Pětimostí0 je řešena bez zaústění </w:t>
      </w:r>
      <w:r w:rsidRPr="00BF2FFE">
        <w:rPr>
          <w:rFonts w:ascii="Arial" w:hAnsi="Arial" w:cs="Arial"/>
          <w:noProof/>
          <w:sz w:val="22"/>
          <w:szCs w:val="22"/>
          <w:lang w:eastAsia="cs-CZ"/>
        </w:rPr>
        <w:drawing>
          <wp:inline distT="0" distB="0" distL="0" distR="0" wp14:anchorId="5C8E3DBC" wp14:editId="57E337FA">
            <wp:extent cx="13335" cy="40640"/>
            <wp:effectExtent l="0" t="0" r="5715" b="0"/>
            <wp:docPr id="27" name="Obráze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3335" cy="40640"/>
                    </a:xfrm>
                    <a:prstGeom prst="rect">
                      <a:avLst/>
                    </a:prstGeom>
                    <a:noFill/>
                    <a:ln>
                      <a:noFill/>
                    </a:ln>
                  </pic:spPr>
                </pic:pic>
              </a:graphicData>
            </a:graphic>
          </wp:inline>
        </w:drawing>
      </w:r>
      <w:r w:rsidRPr="00BF2FFE">
        <w:rPr>
          <w:rFonts w:ascii="Arial" w:hAnsi="Arial" w:cs="Arial"/>
          <w:sz w:val="22"/>
          <w:szCs w:val="22"/>
        </w:rPr>
        <w:tab/>
        <w:t>do ul. Práce, křižovatka ulic Čsl. mládeže - Labské nábřeží - Předmostí - ul. Práce je navržena jako u okružní, propojení ul. Předmostí - ul.</w:t>
      </w:r>
      <w:r>
        <w:rPr>
          <w:rFonts w:ascii="Arial" w:hAnsi="Arial" w:cs="Arial"/>
          <w:sz w:val="22"/>
          <w:szCs w:val="22"/>
        </w:rPr>
        <w:t> </w:t>
      </w:r>
      <w:r w:rsidRPr="00BF2FFE">
        <w:rPr>
          <w:rFonts w:ascii="Arial" w:hAnsi="Arial" w:cs="Arial"/>
          <w:sz w:val="22"/>
          <w:szCs w:val="22"/>
        </w:rPr>
        <w:t>Práce mezi sportovními areály je zařazeno do I. etapy výstavby, v křižovatce "Černé Kladno” je zohledněn přístup do</w:t>
      </w:r>
      <w:r>
        <w:rPr>
          <w:rFonts w:ascii="Arial" w:hAnsi="Arial" w:cs="Arial"/>
          <w:sz w:val="22"/>
          <w:szCs w:val="22"/>
        </w:rPr>
        <w:t> </w:t>
      </w:r>
      <w:r w:rsidRPr="00BF2FFE">
        <w:rPr>
          <w:rFonts w:ascii="Arial" w:hAnsi="Arial" w:cs="Arial"/>
          <w:sz w:val="22"/>
          <w:szCs w:val="22"/>
        </w:rPr>
        <w:t xml:space="preserve">pískovny a zachován objekt Ovčího můstku, </w:t>
      </w:r>
      <w:r w:rsidRPr="00BF2FFE">
        <w:rPr>
          <w:rFonts w:ascii="Arial" w:hAnsi="Arial" w:cs="Arial"/>
          <w:noProof/>
          <w:sz w:val="22"/>
          <w:szCs w:val="22"/>
          <w:lang w:eastAsia="cs-CZ"/>
        </w:rPr>
        <w:drawing>
          <wp:inline distT="0" distB="0" distL="0" distR="0" wp14:anchorId="42E75420" wp14:editId="3F933574">
            <wp:extent cx="13335" cy="27305"/>
            <wp:effectExtent l="0" t="0" r="0" b="0"/>
            <wp:docPr id="26" name="Obráze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5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3335" cy="27305"/>
                    </a:xfrm>
                    <a:prstGeom prst="rect">
                      <a:avLst/>
                    </a:prstGeom>
                    <a:noFill/>
                    <a:ln>
                      <a:noFill/>
                    </a:ln>
                  </pic:spPr>
                </pic:pic>
              </a:graphicData>
            </a:graphic>
          </wp:inline>
        </w:drawing>
      </w:r>
      <w:r w:rsidRPr="00BF2FFE">
        <w:rPr>
          <w:rFonts w:ascii="Arial" w:hAnsi="Arial" w:cs="Arial"/>
          <w:sz w:val="22"/>
          <w:szCs w:val="22"/>
        </w:rPr>
        <w:t>rekonstrukce podjezdů pod tratí (Pětimostí, U</w:t>
      </w:r>
      <w:r>
        <w:rPr>
          <w:rFonts w:ascii="Arial" w:hAnsi="Arial" w:cs="Arial"/>
          <w:sz w:val="22"/>
          <w:szCs w:val="22"/>
        </w:rPr>
        <w:t> </w:t>
      </w:r>
      <w:r w:rsidRPr="00BF2FFE">
        <w:rPr>
          <w:rFonts w:ascii="Arial" w:hAnsi="Arial" w:cs="Arial"/>
          <w:sz w:val="22"/>
          <w:szCs w:val="22"/>
        </w:rPr>
        <w:t>Mototechny) je řešena dle ÚR, v železniční dopravě se vycházelo z projednané a schválené koncepce přestavby žel. uzlu Děčín, vodní dílo v</w:t>
      </w:r>
      <w:r>
        <w:rPr>
          <w:rFonts w:ascii="Arial" w:hAnsi="Arial" w:cs="Arial"/>
          <w:sz w:val="22"/>
          <w:szCs w:val="22"/>
        </w:rPr>
        <w:t> </w:t>
      </w:r>
      <w:r w:rsidRPr="00BF2FFE">
        <w:rPr>
          <w:rFonts w:ascii="Arial" w:hAnsi="Arial" w:cs="Arial"/>
          <w:sz w:val="22"/>
          <w:szCs w:val="22"/>
        </w:rPr>
        <w:t>Prostředním Žlebu je zařazeno do</w:t>
      </w:r>
      <w:r>
        <w:rPr>
          <w:rFonts w:ascii="Arial" w:hAnsi="Arial" w:cs="Arial"/>
          <w:sz w:val="22"/>
          <w:szCs w:val="22"/>
        </w:rPr>
        <w:t> </w:t>
      </w:r>
      <w:r w:rsidRPr="00BF2FFE">
        <w:rPr>
          <w:rFonts w:ascii="Arial" w:hAnsi="Arial" w:cs="Arial"/>
          <w:sz w:val="22"/>
          <w:szCs w:val="22"/>
        </w:rPr>
        <w:t xml:space="preserve">návrhového období, v hromadné dopravě je terminál hromadné dopravy navržen </w:t>
      </w:r>
      <w:r w:rsidRPr="00BF2FFE">
        <w:rPr>
          <w:rFonts w:ascii="Arial" w:hAnsi="Arial" w:cs="Arial"/>
          <w:noProof/>
          <w:sz w:val="22"/>
          <w:szCs w:val="22"/>
          <w:lang w:eastAsia="cs-CZ"/>
        </w:rPr>
        <w:drawing>
          <wp:inline distT="0" distB="0" distL="0" distR="0" wp14:anchorId="0D767737" wp14:editId="14C824D1">
            <wp:extent cx="13335" cy="13335"/>
            <wp:effectExtent l="0" t="0" r="0" b="0"/>
            <wp:docPr id="25" name="Obráze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BF2FFE">
        <w:rPr>
          <w:rFonts w:ascii="Arial" w:hAnsi="Arial" w:cs="Arial"/>
          <w:sz w:val="22"/>
          <w:szCs w:val="22"/>
        </w:rPr>
        <w:t>v prostoru za poštou, nároky dopravy v klidu byly přehodnoceny, zrušen manipulační přístav kameniva na</w:t>
      </w:r>
      <w:r>
        <w:rPr>
          <w:rFonts w:ascii="Arial" w:hAnsi="Arial" w:cs="Arial"/>
          <w:sz w:val="22"/>
          <w:szCs w:val="22"/>
        </w:rPr>
        <w:t> </w:t>
      </w:r>
      <w:r w:rsidRPr="00BF2FFE">
        <w:rPr>
          <w:rFonts w:ascii="Arial" w:hAnsi="Arial" w:cs="Arial"/>
          <w:sz w:val="22"/>
          <w:szCs w:val="22"/>
        </w:rPr>
        <w:t xml:space="preserve">Starém Městě, v Jakubech byla naopak vymezena plocha pro přístav s překládkou kameniva </w:t>
      </w:r>
      <w:r w:rsidRPr="00BF2FFE">
        <w:rPr>
          <w:rFonts w:ascii="Arial" w:hAnsi="Arial" w:cs="Arial"/>
          <w:noProof/>
          <w:sz w:val="22"/>
          <w:szCs w:val="22"/>
          <w:lang w:eastAsia="cs-CZ"/>
        </w:rPr>
        <w:drawing>
          <wp:inline distT="0" distB="0" distL="0" distR="0" wp14:anchorId="5D39235E" wp14:editId="740EA4E3">
            <wp:extent cx="13335" cy="13335"/>
            <wp:effectExtent l="0" t="0" r="0" b="0"/>
            <wp:docPr id="24" name="Obráze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BF2FFE">
        <w:rPr>
          <w:rFonts w:ascii="Arial" w:hAnsi="Arial" w:cs="Arial"/>
          <w:sz w:val="22"/>
          <w:szCs w:val="22"/>
        </w:rPr>
        <w:t>(dle US Těchlovice),</w:t>
      </w:r>
    </w:p>
    <w:p w14:paraId="0C3FFA16" w14:textId="77777777" w:rsidR="00CA23D0" w:rsidRDefault="00CA23D0" w:rsidP="00CA23D0">
      <w:pPr>
        <w:spacing w:before="120" w:line="288" w:lineRule="auto"/>
        <w:ind w:right="119" w:firstLine="709"/>
        <w:jc w:val="both"/>
        <w:rPr>
          <w:rFonts w:ascii="Arial" w:hAnsi="Arial" w:cs="Arial"/>
          <w:sz w:val="22"/>
          <w:szCs w:val="22"/>
        </w:rPr>
      </w:pPr>
      <w:r w:rsidRPr="00AF4402">
        <w:rPr>
          <w:rFonts w:ascii="Arial" w:hAnsi="Arial" w:cs="Arial"/>
          <w:noProof/>
          <w:sz w:val="22"/>
          <w:szCs w:val="22"/>
          <w:lang w:eastAsia="cs-CZ"/>
        </w:rPr>
        <w:drawing>
          <wp:anchor distT="0" distB="0" distL="114300" distR="114300" simplePos="0" relativeHeight="251668480" behindDoc="0" locked="0" layoutInCell="1" allowOverlap="1" wp14:anchorId="70D88D33" wp14:editId="3EADDDBB">
            <wp:simplePos x="0" y="0"/>
            <wp:positionH relativeFrom="column">
              <wp:align>left</wp:align>
            </wp:positionH>
            <wp:positionV relativeFrom="paragraph">
              <wp:posOffset>5080</wp:posOffset>
            </wp:positionV>
            <wp:extent cx="9525" cy="9525"/>
            <wp:effectExtent l="0" t="0" r="0" b="0"/>
            <wp:wrapSquare wrapText="right"/>
            <wp:docPr id="35" name="Obráze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F2FFE">
        <w:rPr>
          <w:rFonts w:ascii="Arial" w:hAnsi="Arial" w:cs="Arial"/>
          <w:sz w:val="22"/>
          <w:szCs w:val="22"/>
        </w:rPr>
        <w:t>Při návrhu protihlukových opatření se vycházelo z ”Hlukové mapy města” a</w:t>
      </w:r>
      <w:r>
        <w:rPr>
          <w:rFonts w:ascii="Arial" w:hAnsi="Arial" w:cs="Arial"/>
          <w:sz w:val="22"/>
          <w:szCs w:val="22"/>
        </w:rPr>
        <w:t> </w:t>
      </w:r>
      <w:r w:rsidRPr="00BF2FFE">
        <w:rPr>
          <w:rFonts w:ascii="Arial" w:hAnsi="Arial" w:cs="Arial"/>
          <w:sz w:val="22"/>
          <w:szCs w:val="22"/>
        </w:rPr>
        <w:t>výhledového uspořádání dopravního systému. Navržená opatření jsou zařazena jako VPS. Všechny požadované změny jsou respektovány v plném rozsahu.</w:t>
      </w:r>
    </w:p>
    <w:p w14:paraId="0D69DEA9" w14:textId="77777777" w:rsidR="00CA23D0" w:rsidRPr="00BF2FFE" w:rsidRDefault="00CA23D0" w:rsidP="00CA23D0">
      <w:pPr>
        <w:spacing w:before="120" w:line="288" w:lineRule="auto"/>
        <w:ind w:right="119" w:firstLine="586"/>
        <w:jc w:val="both"/>
        <w:rPr>
          <w:rFonts w:ascii="Arial" w:hAnsi="Arial" w:cs="Arial"/>
          <w:sz w:val="22"/>
          <w:szCs w:val="22"/>
        </w:rPr>
      </w:pPr>
    </w:p>
    <w:p w14:paraId="318FA381" w14:textId="77777777" w:rsidR="00CA23D0" w:rsidRPr="00FF420D" w:rsidRDefault="00CA23D0" w:rsidP="00CA23D0">
      <w:pPr>
        <w:pStyle w:val="Nadpis2"/>
        <w:spacing w:after="175"/>
        <w:ind w:right="117"/>
        <w:jc w:val="both"/>
        <w:rPr>
          <w:rFonts w:ascii="Arial" w:hAnsi="Arial" w:cs="Arial"/>
          <w:color w:val="auto"/>
          <w:sz w:val="28"/>
          <w:szCs w:val="28"/>
        </w:rPr>
      </w:pPr>
      <w:r w:rsidRPr="00FF420D">
        <w:rPr>
          <w:rFonts w:ascii="Arial" w:hAnsi="Arial" w:cs="Arial"/>
          <w:color w:val="auto"/>
          <w:sz w:val="28"/>
          <w:szCs w:val="28"/>
        </w:rPr>
        <w:t>II/10 ZÁSOBOVÁNÍ VODOU</w:t>
      </w:r>
    </w:p>
    <w:p w14:paraId="6E8068D9" w14:textId="77777777" w:rsidR="00CA23D0" w:rsidRPr="00AF4402"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t>V návrhu zásobování pitnou vodou byl aktualizován přehled využívaných vodních zdrojů pro zásobování řešeného území dle seznamu SčVaK a aktualizované provozní situace k datu květen</w:t>
      </w:r>
      <w:r>
        <w:rPr>
          <w:rFonts w:ascii="Arial" w:hAnsi="Arial" w:cs="Arial"/>
          <w:sz w:val="22"/>
          <w:szCs w:val="22"/>
        </w:rPr>
        <w:t xml:space="preserve"> </w:t>
      </w:r>
      <w:r w:rsidRPr="00AF4402">
        <w:rPr>
          <w:rFonts w:ascii="Arial" w:hAnsi="Arial" w:cs="Arial"/>
          <w:sz w:val="22"/>
          <w:szCs w:val="22"/>
        </w:rPr>
        <w:t>2000. Otázka posílení tlakového pásma vodovodu v prostoru Letné o další akumulací byla řešena již na úrovni konceptu. Potřeba výstavby vodojemu v této části byla umocněna dalšími záměry výstavby rodinných domů.</w:t>
      </w:r>
    </w:p>
    <w:p w14:paraId="4F4336A1" w14:textId="77777777" w:rsidR="00CA23D0" w:rsidRDefault="00CA23D0" w:rsidP="00D916C9">
      <w:pPr>
        <w:rPr>
          <w:rFonts w:ascii="Arial" w:hAnsi="Arial" w:cs="Arial"/>
          <w:sz w:val="22"/>
        </w:rPr>
      </w:pPr>
    </w:p>
    <w:p w14:paraId="6093AA9C" w14:textId="77777777" w:rsidR="00CA23D0"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lastRenderedPageBreak/>
        <w:t>Problematika ochrany termálních vod na území města byla řešena za účasti všech zainteresovaných orgánů a organizací a uvedené zásady byly v době zpracování přijaty a</w:t>
      </w:r>
      <w:r>
        <w:rPr>
          <w:rFonts w:ascii="Arial" w:hAnsi="Arial" w:cs="Arial"/>
          <w:sz w:val="22"/>
          <w:szCs w:val="22"/>
        </w:rPr>
        <w:t> </w:t>
      </w:r>
      <w:r w:rsidRPr="00AF4402">
        <w:rPr>
          <w:rFonts w:ascii="Arial" w:hAnsi="Arial" w:cs="Arial"/>
          <w:sz w:val="22"/>
          <w:szCs w:val="22"/>
        </w:rPr>
        <w:t>odsouhlaseny. Všechny požadované změny jsou respektovány v plném rozsahu.</w:t>
      </w:r>
    </w:p>
    <w:p w14:paraId="1C0500A2" w14:textId="77777777" w:rsidR="00CA23D0" w:rsidRPr="00AF4402" w:rsidRDefault="00CA23D0" w:rsidP="00CA23D0">
      <w:pPr>
        <w:spacing w:before="120" w:line="288" w:lineRule="auto"/>
        <w:ind w:right="119" w:firstLine="709"/>
        <w:jc w:val="both"/>
        <w:rPr>
          <w:rFonts w:ascii="Arial" w:hAnsi="Arial" w:cs="Arial"/>
          <w:sz w:val="22"/>
          <w:szCs w:val="22"/>
        </w:rPr>
      </w:pPr>
    </w:p>
    <w:p w14:paraId="06F61827" w14:textId="77777777" w:rsidR="00CA23D0" w:rsidRPr="00FF420D" w:rsidRDefault="00CA23D0" w:rsidP="00CA23D0">
      <w:pPr>
        <w:pStyle w:val="Nadpis1"/>
        <w:ind w:right="117"/>
        <w:jc w:val="both"/>
        <w:rPr>
          <w:rFonts w:ascii="Arial" w:hAnsi="Arial" w:cs="Arial"/>
          <w:color w:val="auto"/>
          <w:sz w:val="28"/>
          <w:szCs w:val="28"/>
        </w:rPr>
      </w:pPr>
      <w:r w:rsidRPr="00FF420D">
        <w:rPr>
          <w:rFonts w:ascii="Arial" w:hAnsi="Arial" w:cs="Arial"/>
          <w:color w:val="auto"/>
          <w:sz w:val="28"/>
          <w:szCs w:val="28"/>
        </w:rPr>
        <w:t>II/11 LIKVIDACE ODPADNÍCH VOD</w:t>
      </w:r>
    </w:p>
    <w:p w14:paraId="2A0946B8" w14:textId="77777777" w:rsidR="00CA23D0" w:rsidRPr="00AF4402"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t>Koncepce likvidace odpadních vod byla aktualizovaná včetně trasy sběrače A dle nejnovější koncepce, která je v realizaci. Likvidace čistírenských kalů z ČOV Boletice n. L. bude zajištěna firmou oprávněnou k likvidací kalů mimo území města (viz. jednání ze dne 05.</w:t>
      </w:r>
      <w:r>
        <w:rPr>
          <w:rFonts w:ascii="Arial" w:hAnsi="Arial" w:cs="Arial"/>
          <w:sz w:val="22"/>
          <w:szCs w:val="22"/>
        </w:rPr>
        <w:t xml:space="preserve"> </w:t>
      </w:r>
      <w:r w:rsidRPr="00AF4402">
        <w:rPr>
          <w:rFonts w:ascii="Arial" w:hAnsi="Arial" w:cs="Arial"/>
          <w:sz w:val="22"/>
          <w:szCs w:val="22"/>
        </w:rPr>
        <w:t>09.</w:t>
      </w:r>
      <w:r>
        <w:rPr>
          <w:rFonts w:ascii="Arial" w:hAnsi="Arial" w:cs="Arial"/>
          <w:sz w:val="22"/>
          <w:szCs w:val="22"/>
        </w:rPr>
        <w:t xml:space="preserve"> </w:t>
      </w:r>
      <w:r w:rsidRPr="00AF4402">
        <w:rPr>
          <w:rFonts w:ascii="Arial" w:hAnsi="Arial" w:cs="Arial"/>
          <w:sz w:val="22"/>
          <w:szCs w:val="22"/>
        </w:rPr>
        <w:t>2000).</w:t>
      </w:r>
    </w:p>
    <w:p w14:paraId="40EABD50" w14:textId="77777777" w:rsidR="00CA23D0"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t xml:space="preserve">Dle požadavků pořizovatele byl doplněn návrh kanalizace a detailní návrh výhledu odkanalizování v místech, kde kanalizace </w:t>
      </w:r>
      <w:r>
        <w:rPr>
          <w:rFonts w:ascii="Arial" w:hAnsi="Arial" w:cs="Arial"/>
          <w:sz w:val="22"/>
          <w:szCs w:val="22"/>
        </w:rPr>
        <w:t xml:space="preserve">je nevyhovující či zcela chybí. </w:t>
      </w:r>
      <w:r w:rsidRPr="00AF4402">
        <w:rPr>
          <w:rFonts w:ascii="Arial" w:hAnsi="Arial" w:cs="Arial"/>
          <w:sz w:val="22"/>
          <w:szCs w:val="22"/>
        </w:rPr>
        <w:t>Všechny požadované změny jsou respektovány v plném rozsahu</w:t>
      </w:r>
    </w:p>
    <w:p w14:paraId="086D6FF2" w14:textId="77777777" w:rsidR="00CA23D0" w:rsidRPr="00AF4402" w:rsidRDefault="00CA23D0" w:rsidP="00CA23D0">
      <w:pPr>
        <w:spacing w:before="120" w:line="288" w:lineRule="auto"/>
        <w:ind w:right="119" w:firstLine="586"/>
        <w:jc w:val="both"/>
        <w:rPr>
          <w:rFonts w:ascii="Arial" w:hAnsi="Arial" w:cs="Arial"/>
          <w:sz w:val="22"/>
          <w:szCs w:val="22"/>
        </w:rPr>
      </w:pPr>
    </w:p>
    <w:p w14:paraId="696C4E22" w14:textId="77777777" w:rsidR="00CA23D0" w:rsidRPr="00FF420D" w:rsidRDefault="00CA23D0" w:rsidP="00CA23D0">
      <w:pPr>
        <w:pStyle w:val="Nadpis1"/>
        <w:ind w:right="117"/>
        <w:jc w:val="both"/>
        <w:rPr>
          <w:rFonts w:ascii="Arial" w:hAnsi="Arial" w:cs="Arial"/>
          <w:color w:val="auto"/>
          <w:sz w:val="28"/>
          <w:szCs w:val="28"/>
        </w:rPr>
      </w:pPr>
      <w:r w:rsidRPr="00FF420D">
        <w:rPr>
          <w:rFonts w:ascii="Arial" w:hAnsi="Arial" w:cs="Arial"/>
          <w:color w:val="auto"/>
          <w:sz w:val="28"/>
          <w:szCs w:val="28"/>
        </w:rPr>
        <w:t>II/12 ENERGETIKA - SPOJE</w:t>
      </w:r>
    </w:p>
    <w:p w14:paraId="7AFE6988" w14:textId="77777777" w:rsidR="00CA23D0" w:rsidRPr="00AF4402"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t>V oblasti energetiky a spojů byly akceptovány připomínky správců sítí, které se převážně týkaly upřesnění informací u nových zařízení energetické infrastruktury.</w:t>
      </w:r>
    </w:p>
    <w:p w14:paraId="0D2377ED" w14:textId="77777777" w:rsidR="00CA23D0" w:rsidRPr="00AF4402"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t>Při řešení vytápění města byla navržena rajonizace užití jednotlivých druhů energií s</w:t>
      </w:r>
      <w:r>
        <w:rPr>
          <w:rFonts w:ascii="Arial" w:hAnsi="Arial" w:cs="Arial"/>
          <w:sz w:val="22"/>
          <w:szCs w:val="22"/>
        </w:rPr>
        <w:t> </w:t>
      </w:r>
      <w:r w:rsidRPr="00AF4402">
        <w:rPr>
          <w:rFonts w:ascii="Arial" w:hAnsi="Arial" w:cs="Arial"/>
          <w:sz w:val="22"/>
          <w:szCs w:val="22"/>
        </w:rPr>
        <w:t>tím, že zásada dvojcestného zásobování jednotlivých území energiemi byla dodržena.</w:t>
      </w:r>
    </w:p>
    <w:p w14:paraId="24BC79C5" w14:textId="77777777" w:rsidR="00CA23D0" w:rsidRPr="00AF4402"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t>Dalším zásadním požadavkem bylo využití i geotermální energie v systému CZT Děčín - východ. Všechny tyto požadavky byly akceptovány-</w:t>
      </w:r>
    </w:p>
    <w:p w14:paraId="6D9836A8" w14:textId="77777777" w:rsidR="00CA23D0" w:rsidRPr="00AF4402" w:rsidRDefault="00CA23D0" w:rsidP="00CA23D0">
      <w:pPr>
        <w:spacing w:before="120" w:line="288" w:lineRule="auto"/>
        <w:ind w:right="119" w:firstLine="709"/>
        <w:jc w:val="both"/>
        <w:rPr>
          <w:rFonts w:ascii="Arial" w:hAnsi="Arial" w:cs="Arial"/>
          <w:sz w:val="22"/>
          <w:szCs w:val="22"/>
        </w:rPr>
      </w:pPr>
      <w:r w:rsidRPr="00AF4402">
        <w:rPr>
          <w:rFonts w:ascii="Arial" w:hAnsi="Arial" w:cs="Arial"/>
          <w:noProof/>
          <w:sz w:val="22"/>
          <w:szCs w:val="22"/>
          <w:lang w:eastAsia="cs-CZ"/>
        </w:rPr>
        <w:drawing>
          <wp:anchor distT="0" distB="0" distL="114300" distR="114300" simplePos="0" relativeHeight="251670528" behindDoc="0" locked="0" layoutInCell="1" allowOverlap="0" wp14:anchorId="2F2020AF" wp14:editId="7E929391">
            <wp:simplePos x="0" y="0"/>
            <wp:positionH relativeFrom="page">
              <wp:posOffset>450850</wp:posOffset>
            </wp:positionH>
            <wp:positionV relativeFrom="page">
              <wp:posOffset>8329295</wp:posOffset>
            </wp:positionV>
            <wp:extent cx="30480" cy="30480"/>
            <wp:effectExtent l="0" t="0" r="7620" b="7620"/>
            <wp:wrapTopAndBottom/>
            <wp:docPr id="37" name="Obráze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0480" cy="30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F4402">
        <w:rPr>
          <w:rFonts w:ascii="Arial" w:hAnsi="Arial" w:cs="Arial"/>
          <w:sz w:val="22"/>
          <w:szCs w:val="22"/>
        </w:rPr>
        <w:t>Elektrické vytápění bude využíváno v malé míře a budou využívány takové systémy, které umožní regulaci celkového zatížení elektrorozvodné sítě. Může být realizováno (pokud to dovolí kapacity sítě) tam, kde není možno využívat CZT nebo zemní plyn.</w:t>
      </w:r>
      <w:r w:rsidRPr="00AF4402">
        <w:rPr>
          <w:rFonts w:ascii="Arial" w:hAnsi="Arial" w:cs="Arial"/>
          <w:sz w:val="22"/>
          <w:szCs w:val="22"/>
        </w:rPr>
        <w:tab/>
      </w:r>
      <w:r w:rsidRPr="00AF4402">
        <w:rPr>
          <w:rFonts w:ascii="Arial" w:hAnsi="Arial" w:cs="Arial"/>
          <w:noProof/>
          <w:sz w:val="22"/>
          <w:szCs w:val="22"/>
          <w:lang w:eastAsia="cs-CZ"/>
        </w:rPr>
        <w:drawing>
          <wp:inline distT="0" distB="0" distL="0" distR="0" wp14:anchorId="58341224" wp14:editId="60A8E1A4">
            <wp:extent cx="13335" cy="13335"/>
            <wp:effectExtent l="0" t="0" r="0" b="0"/>
            <wp:docPr id="36" name="Obráze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p>
    <w:p w14:paraId="0375BECD" w14:textId="77777777" w:rsidR="00CA23D0" w:rsidRPr="00AF4402"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t xml:space="preserve">Připomínky MPO ČR - sekce energetiky (rajonizace území z hlediska užití energií, ochranná pásma), MDaS ČR (požadavek na respektování výstavby vodního díla Prostřední Žleb), České radiokomunikace a.s. oblast Severní Čechy (upřesnění síření TV signálu) byly plně respektovány. V oblasti spojů pak byly upřesněny a doplněny i nově vybudované trasy dálkových kabelů a </w:t>
      </w:r>
      <w:r>
        <w:rPr>
          <w:rFonts w:ascii="Arial" w:hAnsi="Arial" w:cs="Arial"/>
          <w:sz w:val="22"/>
          <w:szCs w:val="22"/>
        </w:rPr>
        <w:t xml:space="preserve">byly doplněny TV převaděče. </w:t>
      </w:r>
      <w:r w:rsidRPr="00AF4402">
        <w:rPr>
          <w:rFonts w:ascii="Arial" w:hAnsi="Arial" w:cs="Arial"/>
          <w:sz w:val="22"/>
          <w:szCs w:val="22"/>
        </w:rPr>
        <w:t>Všechny požadované změny jsou respektovány v plném rozsahu.</w:t>
      </w:r>
    </w:p>
    <w:p w14:paraId="57256403" w14:textId="77777777" w:rsidR="00CA23D0" w:rsidRDefault="00CA23D0" w:rsidP="00CA23D0">
      <w:pPr>
        <w:spacing w:line="217" w:lineRule="auto"/>
        <w:ind w:right="117"/>
        <w:jc w:val="both"/>
        <w:rPr>
          <w:rFonts w:ascii="Arial" w:hAnsi="Arial" w:cs="Arial"/>
        </w:rPr>
      </w:pPr>
    </w:p>
    <w:p w14:paraId="507AA101" w14:textId="77777777" w:rsidR="00CA23D0" w:rsidRDefault="00CA23D0" w:rsidP="00CA23D0">
      <w:pPr>
        <w:spacing w:line="217" w:lineRule="auto"/>
        <w:ind w:right="117"/>
        <w:jc w:val="both"/>
        <w:rPr>
          <w:rFonts w:ascii="Arial" w:hAnsi="Arial" w:cs="Arial"/>
          <w:sz w:val="28"/>
          <w:szCs w:val="28"/>
        </w:rPr>
      </w:pPr>
      <w:r w:rsidRPr="00FF420D">
        <w:rPr>
          <w:rFonts w:ascii="Arial" w:hAnsi="Arial" w:cs="Arial"/>
          <w:sz w:val="28"/>
          <w:szCs w:val="28"/>
        </w:rPr>
        <w:t>II/13 VEŘEJNĚ PROSPĚŠNÉ STAVBY</w:t>
      </w:r>
    </w:p>
    <w:p w14:paraId="0B7F7C02" w14:textId="29E41F67" w:rsidR="00CA23D0" w:rsidRPr="00A920D7" w:rsidRDefault="00CA23D0" w:rsidP="00CA23D0">
      <w:pPr>
        <w:spacing w:before="120" w:line="288" w:lineRule="auto"/>
        <w:ind w:right="119" w:firstLine="709"/>
        <w:jc w:val="both"/>
        <w:rPr>
          <w:rFonts w:ascii="Arial" w:hAnsi="Arial" w:cs="Arial"/>
          <w:strike/>
          <w:color w:val="18B8B0"/>
          <w:sz w:val="22"/>
          <w:szCs w:val="22"/>
        </w:rPr>
      </w:pPr>
      <w:r w:rsidRPr="00AF4402">
        <w:rPr>
          <w:rFonts w:ascii="Arial" w:hAnsi="Arial" w:cs="Arial"/>
          <w:sz w:val="22"/>
          <w:szCs w:val="22"/>
        </w:rPr>
        <w:t>Za ”veřejně prospěšné stavby” se po</w:t>
      </w:r>
      <w:r w:rsidRPr="007B2506">
        <w:rPr>
          <w:rFonts w:ascii="Arial" w:hAnsi="Arial" w:cs="Arial"/>
          <w:sz w:val="22"/>
          <w:szCs w:val="22"/>
        </w:rPr>
        <w:t>dle</w:t>
      </w:r>
      <w:r w:rsidR="00A920D7" w:rsidRPr="007B2506">
        <w:rPr>
          <w:rFonts w:ascii="Arial" w:hAnsi="Arial" w:cs="Arial"/>
          <w:sz w:val="22"/>
          <w:szCs w:val="22"/>
        </w:rPr>
        <w:t xml:space="preserve"> </w:t>
      </w:r>
      <w:r w:rsidR="00A920D7" w:rsidRPr="007B2506">
        <w:rPr>
          <w:rFonts w:ascii="Arial" w:hAnsi="Arial" w:cs="Arial"/>
          <w:color w:val="18B8B0"/>
          <w:sz w:val="22"/>
          <w:szCs w:val="22"/>
        </w:rPr>
        <w:t>§ 2 odst. 1 písm. n) zákona č. 183/2006 Sb. stavební zákon</w:t>
      </w:r>
      <w:r w:rsidRPr="007B2506">
        <w:rPr>
          <w:rFonts w:ascii="Arial" w:hAnsi="Arial" w:cs="Arial"/>
          <w:color w:val="18B8B0"/>
          <w:sz w:val="22"/>
          <w:szCs w:val="22"/>
        </w:rPr>
        <w:t xml:space="preserve"> </w:t>
      </w:r>
      <w:r w:rsidR="007B2506">
        <w:rPr>
          <w:rFonts w:ascii="Arial" w:hAnsi="Arial" w:cs="Arial"/>
          <w:sz w:val="22"/>
          <w:szCs w:val="22"/>
        </w:rPr>
        <w:t>považují stavby</w:t>
      </w:r>
      <w:r w:rsidRPr="007B2506">
        <w:rPr>
          <w:rFonts w:ascii="Arial" w:hAnsi="Arial" w:cs="Arial"/>
          <w:sz w:val="22"/>
          <w:szCs w:val="22"/>
        </w:rPr>
        <w:t xml:space="preserve"> </w:t>
      </w:r>
      <w:r w:rsidRPr="007B2506">
        <w:rPr>
          <w:rFonts w:ascii="Arial" w:hAnsi="Arial" w:cs="Arial"/>
          <w:color w:val="18B8B0"/>
          <w:sz w:val="22"/>
          <w:szCs w:val="22"/>
        </w:rPr>
        <w:t>pro</w:t>
      </w:r>
      <w:r w:rsidR="00A920D7" w:rsidRPr="007B2506">
        <w:rPr>
          <w:rFonts w:ascii="Arial" w:hAnsi="Arial" w:cs="Arial"/>
          <w:color w:val="18B8B0"/>
          <w:sz w:val="22"/>
          <w:szCs w:val="22"/>
        </w:rPr>
        <w:t xml:space="preserve"> </w:t>
      </w:r>
      <w:r w:rsidR="00D913A1" w:rsidRPr="007B2506">
        <w:rPr>
          <w:rFonts w:ascii="Arial" w:hAnsi="Arial" w:cs="Arial"/>
          <w:color w:val="18B8B0"/>
          <w:sz w:val="20"/>
          <w:szCs w:val="20"/>
          <w:shd w:val="clear" w:color="auto" w:fill="FFFFFF"/>
        </w:rPr>
        <w:t>veřejnou infrastrukturu určené</w:t>
      </w:r>
      <w:r w:rsidR="00A920D7" w:rsidRPr="007B2506">
        <w:rPr>
          <w:rFonts w:ascii="Arial" w:hAnsi="Arial" w:cs="Arial"/>
          <w:color w:val="18B8B0"/>
          <w:sz w:val="20"/>
          <w:szCs w:val="20"/>
          <w:shd w:val="clear" w:color="auto" w:fill="FFFFFF"/>
        </w:rPr>
        <w:t xml:space="preserve"> k rozvoji nebo ochraně území </w:t>
      </w:r>
      <w:r w:rsidR="00D913A1" w:rsidRPr="007B2506">
        <w:rPr>
          <w:rFonts w:ascii="Arial" w:hAnsi="Arial" w:cs="Arial"/>
          <w:color w:val="18B8B0"/>
          <w:sz w:val="20"/>
          <w:szCs w:val="20"/>
          <w:shd w:val="clear" w:color="auto" w:fill="FFFFFF"/>
        </w:rPr>
        <w:t>obce, kraje nebo státu, vymezené</w:t>
      </w:r>
      <w:r w:rsidR="00A920D7" w:rsidRPr="007B2506">
        <w:rPr>
          <w:rFonts w:ascii="Arial" w:hAnsi="Arial" w:cs="Arial"/>
          <w:color w:val="18B8B0"/>
          <w:sz w:val="20"/>
          <w:szCs w:val="20"/>
          <w:shd w:val="clear" w:color="auto" w:fill="FFFFFF"/>
        </w:rPr>
        <w:t xml:space="preserve"> ve vydané územně plánovací dokumentaci</w:t>
      </w:r>
      <w:r w:rsidR="00D913A1" w:rsidRPr="007B2506">
        <w:rPr>
          <w:rFonts w:ascii="Arial" w:hAnsi="Arial" w:cs="Arial"/>
          <w:color w:val="18B8B0"/>
          <w:sz w:val="20"/>
          <w:szCs w:val="20"/>
          <w:shd w:val="clear" w:color="auto" w:fill="FFFFFF"/>
        </w:rPr>
        <w:t>.</w:t>
      </w:r>
      <w:r w:rsidRPr="007B2506">
        <w:rPr>
          <w:rFonts w:ascii="Arial" w:hAnsi="Arial" w:cs="Arial"/>
          <w:color w:val="18B8B0"/>
          <w:sz w:val="22"/>
          <w:szCs w:val="22"/>
        </w:rPr>
        <w:t xml:space="preserve"> </w:t>
      </w:r>
    </w:p>
    <w:p w14:paraId="34C507A2" w14:textId="77777777" w:rsidR="00A920D7" w:rsidRDefault="00A920D7" w:rsidP="00CA23D0">
      <w:pPr>
        <w:ind w:firstLine="708"/>
        <w:jc w:val="both"/>
        <w:rPr>
          <w:rFonts w:ascii="Arial" w:hAnsi="Arial" w:cs="Arial"/>
          <w:sz w:val="22"/>
          <w:szCs w:val="22"/>
        </w:rPr>
      </w:pPr>
    </w:p>
    <w:p w14:paraId="05C2A075" w14:textId="77777777" w:rsidR="00CA23D0" w:rsidRDefault="00CA23D0" w:rsidP="00CA23D0">
      <w:pPr>
        <w:ind w:firstLine="708"/>
        <w:jc w:val="both"/>
        <w:rPr>
          <w:rFonts w:ascii="Arial" w:hAnsi="Arial" w:cs="Arial"/>
          <w:sz w:val="22"/>
          <w:szCs w:val="22"/>
        </w:rPr>
      </w:pPr>
      <w:r w:rsidRPr="00AF4402">
        <w:rPr>
          <w:rFonts w:ascii="Arial" w:hAnsi="Arial" w:cs="Arial"/>
          <w:sz w:val="22"/>
          <w:szCs w:val="22"/>
        </w:rPr>
        <w:t>Specifikace těchto staveb vychází z ust. tohoto zákona a navrženého výhledového prostorového uspořádání a funkčního využití města, navržených zásad jeho využití, navržené</w:t>
      </w:r>
    </w:p>
    <w:p w14:paraId="16924A60" w14:textId="77777777" w:rsidR="00CA23D0" w:rsidRDefault="00CA23D0" w:rsidP="00CA23D0">
      <w:pPr>
        <w:spacing w:before="120" w:line="288" w:lineRule="auto"/>
        <w:ind w:right="119"/>
        <w:jc w:val="both"/>
        <w:rPr>
          <w:rFonts w:ascii="Arial" w:hAnsi="Arial" w:cs="Arial"/>
          <w:sz w:val="22"/>
          <w:szCs w:val="22"/>
        </w:rPr>
      </w:pPr>
      <w:r w:rsidRPr="00AF4402">
        <w:rPr>
          <w:rFonts w:ascii="Arial" w:hAnsi="Arial" w:cs="Arial"/>
          <w:sz w:val="22"/>
          <w:szCs w:val="22"/>
        </w:rPr>
        <w:t>koncepce uspořádání dopravy a technické infrastruktury. Současně byly zohledněny stavby již realizované. Všechny požadované změny jsou respektovány v plném rozsahu.</w:t>
      </w:r>
    </w:p>
    <w:p w14:paraId="053BFC40" w14:textId="77777777" w:rsidR="00CA23D0" w:rsidRPr="00AF4402" w:rsidRDefault="00CA23D0" w:rsidP="00CA23D0">
      <w:pPr>
        <w:spacing w:before="120" w:line="288" w:lineRule="auto"/>
        <w:ind w:right="119" w:firstLine="709"/>
        <w:jc w:val="both"/>
        <w:rPr>
          <w:rFonts w:ascii="Arial" w:hAnsi="Arial" w:cs="Arial"/>
          <w:sz w:val="22"/>
          <w:szCs w:val="22"/>
        </w:rPr>
      </w:pPr>
    </w:p>
    <w:p w14:paraId="6948DFA4" w14:textId="77777777" w:rsidR="00CA23D0" w:rsidRPr="00FF420D" w:rsidRDefault="00CA23D0" w:rsidP="00CA23D0">
      <w:pPr>
        <w:pStyle w:val="Nadpis2"/>
        <w:ind w:right="117"/>
        <w:jc w:val="both"/>
        <w:rPr>
          <w:rFonts w:ascii="Arial" w:hAnsi="Arial" w:cs="Arial"/>
          <w:color w:val="auto"/>
          <w:sz w:val="28"/>
          <w:szCs w:val="28"/>
        </w:rPr>
      </w:pPr>
      <w:r w:rsidRPr="00FF420D">
        <w:rPr>
          <w:rFonts w:ascii="Arial" w:hAnsi="Arial" w:cs="Arial"/>
          <w:color w:val="auto"/>
          <w:sz w:val="28"/>
          <w:szCs w:val="28"/>
        </w:rPr>
        <w:lastRenderedPageBreak/>
        <w:t>II/14 FUNKČNÍ VYUŽITÍ - REGULATIVY</w:t>
      </w:r>
    </w:p>
    <w:p w14:paraId="2BB87FDB" w14:textId="77777777" w:rsidR="00CA23D0"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t>Návrh regulativů funkčního využití koresponduje s požadavky souborného stanoviska, tzn., že je vztažen k jednotlivým plochám a vychází z navrženého výhledového prostorového uspořádání a funkčního využití města a</w:t>
      </w:r>
      <w:r>
        <w:rPr>
          <w:rFonts w:ascii="Arial" w:hAnsi="Arial" w:cs="Arial"/>
          <w:sz w:val="22"/>
          <w:szCs w:val="22"/>
        </w:rPr>
        <w:t xml:space="preserve"> navržených zásad jeho využití. </w:t>
      </w:r>
      <w:r w:rsidRPr="00AF4402">
        <w:rPr>
          <w:rFonts w:ascii="Arial" w:hAnsi="Arial" w:cs="Arial"/>
          <w:sz w:val="22"/>
          <w:szCs w:val="22"/>
        </w:rPr>
        <w:t>Všechny požadavky jsou respektovány v plném rozsahu.</w:t>
      </w:r>
    </w:p>
    <w:p w14:paraId="600DAFE6" w14:textId="77777777" w:rsidR="00CA23D0" w:rsidRPr="00AF4402" w:rsidRDefault="00CA23D0" w:rsidP="00CA23D0">
      <w:pPr>
        <w:spacing w:before="120" w:line="288" w:lineRule="auto"/>
        <w:ind w:right="119" w:firstLine="709"/>
        <w:jc w:val="both"/>
        <w:rPr>
          <w:rFonts w:ascii="Arial" w:hAnsi="Arial" w:cs="Arial"/>
          <w:sz w:val="22"/>
          <w:szCs w:val="22"/>
        </w:rPr>
      </w:pPr>
    </w:p>
    <w:p w14:paraId="0822055E" w14:textId="77777777" w:rsidR="00CA23D0" w:rsidRPr="00FF420D" w:rsidRDefault="00CA23D0" w:rsidP="00CA23D0">
      <w:pPr>
        <w:pStyle w:val="Nadpis1"/>
        <w:ind w:right="117" w:hanging="10"/>
        <w:jc w:val="both"/>
        <w:rPr>
          <w:rFonts w:ascii="Arial" w:hAnsi="Arial" w:cs="Arial"/>
          <w:color w:val="auto"/>
          <w:sz w:val="28"/>
          <w:szCs w:val="28"/>
        </w:rPr>
      </w:pPr>
      <w:r w:rsidRPr="00FF420D">
        <w:rPr>
          <w:rFonts w:ascii="Arial" w:hAnsi="Arial" w:cs="Arial"/>
          <w:color w:val="auto"/>
          <w:sz w:val="28"/>
          <w:szCs w:val="28"/>
        </w:rPr>
        <w:t>II/15 SAMOSTATNÁ DOLOŽKA CO</w:t>
      </w:r>
    </w:p>
    <w:p w14:paraId="1C348F76" w14:textId="77777777" w:rsidR="00CA23D0"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t>Dle ust. novely stavebního zákona č. 50 z roku 1998, přílohy č.</w:t>
      </w:r>
      <w:r>
        <w:rPr>
          <w:rFonts w:ascii="Arial" w:hAnsi="Arial" w:cs="Arial"/>
          <w:sz w:val="22"/>
          <w:szCs w:val="22"/>
        </w:rPr>
        <w:t xml:space="preserve"> </w:t>
      </w:r>
      <w:r w:rsidRPr="00AF4402">
        <w:rPr>
          <w:rFonts w:ascii="Arial" w:hAnsi="Arial" w:cs="Arial"/>
          <w:sz w:val="22"/>
          <w:szCs w:val="22"/>
        </w:rPr>
        <w:t>2 vyhlášky 131/98 Sb.</w:t>
      </w:r>
      <w:r>
        <w:rPr>
          <w:rFonts w:ascii="Arial" w:hAnsi="Arial" w:cs="Arial"/>
          <w:sz w:val="22"/>
          <w:szCs w:val="22"/>
        </w:rPr>
        <w:t>,</w:t>
      </w:r>
      <w:r w:rsidRPr="00AF4402">
        <w:rPr>
          <w:rFonts w:ascii="Arial" w:hAnsi="Arial" w:cs="Arial"/>
          <w:sz w:val="22"/>
          <w:szCs w:val="22"/>
        </w:rPr>
        <w:t xml:space="preserve"> </w:t>
      </w:r>
      <w:r>
        <w:rPr>
          <w:rFonts w:ascii="Arial" w:hAnsi="Arial" w:cs="Arial"/>
          <w:sz w:val="22"/>
          <w:szCs w:val="22"/>
        </w:rPr>
        <w:t>„</w:t>
      </w:r>
      <w:r w:rsidRPr="00AF4402">
        <w:rPr>
          <w:rFonts w:ascii="Arial" w:hAnsi="Arial" w:cs="Arial"/>
          <w:sz w:val="22"/>
          <w:szCs w:val="22"/>
        </w:rPr>
        <w:t xml:space="preserve">ZákIadní obsah územně plánovací dokumentace - Il. ÚPN” je v textové části vymezen '/návrh řešení požadavků civilní ochrany". Na základě požadavku HZS Ústeckého kraje Děčín bylo řešení požadavků civilní </w:t>
      </w:r>
      <w:r>
        <w:rPr>
          <w:rFonts w:ascii="Arial" w:hAnsi="Arial" w:cs="Arial"/>
          <w:sz w:val="22"/>
          <w:szCs w:val="22"/>
        </w:rPr>
        <w:t xml:space="preserve">obrany doplněno a přepracováno. </w:t>
      </w:r>
      <w:r w:rsidRPr="00AF4402">
        <w:rPr>
          <w:rFonts w:ascii="Arial" w:hAnsi="Arial" w:cs="Arial"/>
          <w:sz w:val="22"/>
          <w:szCs w:val="22"/>
        </w:rPr>
        <w:t>Všechny požadované změny jsou respektovány v plném rozsahu.</w:t>
      </w:r>
    </w:p>
    <w:p w14:paraId="27707111" w14:textId="77777777" w:rsidR="00CA23D0" w:rsidRPr="00AF4402" w:rsidRDefault="00CA23D0" w:rsidP="00CA23D0">
      <w:pPr>
        <w:spacing w:before="120" w:line="288" w:lineRule="auto"/>
        <w:ind w:right="119" w:firstLine="709"/>
        <w:jc w:val="both"/>
        <w:rPr>
          <w:rFonts w:ascii="Arial" w:hAnsi="Arial" w:cs="Arial"/>
          <w:sz w:val="22"/>
          <w:szCs w:val="22"/>
        </w:rPr>
      </w:pPr>
    </w:p>
    <w:p w14:paraId="1FAE72CB" w14:textId="77777777" w:rsidR="00CA23D0" w:rsidRPr="00A116F6" w:rsidRDefault="00CA23D0" w:rsidP="00CA23D0">
      <w:pPr>
        <w:pStyle w:val="Nadpis1"/>
        <w:jc w:val="both"/>
        <w:rPr>
          <w:rFonts w:ascii="Arial" w:hAnsi="Arial" w:cs="Arial"/>
          <w:sz w:val="28"/>
        </w:rPr>
      </w:pPr>
      <w:r w:rsidRPr="00A116F6">
        <w:rPr>
          <w:rFonts w:ascii="Arial" w:hAnsi="Arial" w:cs="Arial"/>
          <w:sz w:val="28"/>
        </w:rPr>
        <w:t>OSTATNÍ POŽADAVKY</w:t>
      </w:r>
    </w:p>
    <w:p w14:paraId="02769284" w14:textId="77777777" w:rsidR="00CA23D0" w:rsidRPr="00AF4402"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t xml:space="preserve">Pro vypracování návrhu řešení ĽJPN byly dále maximálně využity všechny podklady, informace, </w:t>
      </w:r>
      <w:r w:rsidRPr="00AF4402">
        <w:rPr>
          <w:rFonts w:ascii="Arial" w:hAnsi="Arial" w:cs="Arial"/>
          <w:noProof/>
          <w:sz w:val="22"/>
          <w:szCs w:val="22"/>
          <w:lang w:eastAsia="cs-CZ"/>
        </w:rPr>
        <w:drawing>
          <wp:inline distT="0" distB="0" distL="0" distR="0" wp14:anchorId="49E5465D" wp14:editId="7BC94C4D">
            <wp:extent cx="13335" cy="13335"/>
            <wp:effectExtent l="0" t="0" r="0" b="0"/>
            <wp:docPr id="40" name="Obráze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AF4402">
        <w:rPr>
          <w:rFonts w:ascii="Arial" w:hAnsi="Arial" w:cs="Arial"/>
          <w:sz w:val="22"/>
          <w:szCs w:val="22"/>
        </w:rPr>
        <w:t xml:space="preserve">studie a záměry Městského úřadu (územní rozhodnutí, stavební povolení), Okresního úřadu a všech </w:t>
      </w:r>
      <w:r w:rsidRPr="00AF4402">
        <w:rPr>
          <w:rFonts w:ascii="Arial" w:hAnsi="Arial" w:cs="Arial"/>
          <w:noProof/>
          <w:sz w:val="22"/>
          <w:szCs w:val="22"/>
          <w:lang w:eastAsia="cs-CZ"/>
        </w:rPr>
        <w:drawing>
          <wp:inline distT="0" distB="0" distL="0" distR="0" wp14:anchorId="7481231A" wp14:editId="192C8379">
            <wp:extent cx="13335" cy="40640"/>
            <wp:effectExtent l="0" t="0" r="5715" b="0"/>
            <wp:docPr id="39" name="Obráze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3335" cy="40640"/>
                    </a:xfrm>
                    <a:prstGeom prst="rect">
                      <a:avLst/>
                    </a:prstGeom>
                    <a:noFill/>
                    <a:ln>
                      <a:noFill/>
                    </a:ln>
                  </pic:spPr>
                </pic:pic>
              </a:graphicData>
            </a:graphic>
          </wp:inline>
        </w:drawing>
      </w:r>
      <w:r w:rsidRPr="00AF4402">
        <w:rPr>
          <w:rFonts w:ascii="Arial" w:hAnsi="Arial" w:cs="Arial"/>
          <w:sz w:val="22"/>
          <w:szCs w:val="22"/>
        </w:rPr>
        <w:t>dalších organizací a správců sítí podílejících se svojí činností na rozvoji města.</w:t>
      </w:r>
      <w:r w:rsidRPr="00AF4402">
        <w:rPr>
          <w:rFonts w:ascii="Arial" w:hAnsi="Arial" w:cs="Arial"/>
          <w:noProof/>
          <w:sz w:val="22"/>
          <w:szCs w:val="22"/>
          <w:lang w:eastAsia="cs-CZ"/>
        </w:rPr>
        <w:drawing>
          <wp:inline distT="0" distB="0" distL="0" distR="0" wp14:anchorId="5BBC8981" wp14:editId="6AF3FDD1">
            <wp:extent cx="13335" cy="27305"/>
            <wp:effectExtent l="0" t="0" r="0" b="0"/>
            <wp:docPr id="38" name="Obráze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3335" cy="27305"/>
                    </a:xfrm>
                    <a:prstGeom prst="rect">
                      <a:avLst/>
                    </a:prstGeom>
                    <a:noFill/>
                    <a:ln>
                      <a:noFill/>
                    </a:ln>
                  </pic:spPr>
                </pic:pic>
              </a:graphicData>
            </a:graphic>
          </wp:inline>
        </w:drawing>
      </w:r>
    </w:p>
    <w:p w14:paraId="19DF9158" w14:textId="77777777" w:rsidR="00CA23D0" w:rsidRPr="00AF4402" w:rsidRDefault="00CA23D0" w:rsidP="00CA23D0">
      <w:pPr>
        <w:spacing w:before="120" w:line="288" w:lineRule="auto"/>
        <w:ind w:right="119" w:firstLine="709"/>
        <w:jc w:val="both"/>
        <w:rPr>
          <w:rFonts w:ascii="Arial" w:hAnsi="Arial" w:cs="Arial"/>
          <w:sz w:val="22"/>
          <w:szCs w:val="22"/>
        </w:rPr>
      </w:pPr>
      <w:r w:rsidRPr="00AF4402">
        <w:rPr>
          <w:rFonts w:ascii="Arial" w:hAnsi="Arial" w:cs="Arial"/>
          <w:sz w:val="22"/>
          <w:szCs w:val="22"/>
        </w:rPr>
        <w:t>Hranice SZŰ (současné zastavěné území) byla oproti konceptu upravena dle: podkladů</w:t>
      </w:r>
      <w:r>
        <w:rPr>
          <w:rFonts w:ascii="Arial" w:hAnsi="Arial" w:cs="Arial"/>
          <w:sz w:val="22"/>
          <w:szCs w:val="22"/>
        </w:rPr>
        <w:t xml:space="preserve"> </w:t>
      </w:r>
      <w:r w:rsidRPr="00AF4402">
        <w:rPr>
          <w:rFonts w:ascii="Arial" w:hAnsi="Arial" w:cs="Arial"/>
          <w:sz w:val="22"/>
          <w:szCs w:val="22"/>
        </w:rPr>
        <w:t>Katastrálního úřadu Děčín, Pomůcky Ústavu územního rozvoje Bmo - 1999, Metodického pokynu Pozemkového fondu ČR - 1998 a zápisu zjednání MpMR a</w:t>
      </w:r>
      <w:r>
        <w:rPr>
          <w:rFonts w:ascii="Arial" w:hAnsi="Arial" w:cs="Arial"/>
          <w:sz w:val="22"/>
          <w:szCs w:val="22"/>
        </w:rPr>
        <w:t> </w:t>
      </w:r>
      <w:r w:rsidRPr="00AF4402">
        <w:rPr>
          <w:rFonts w:ascii="Arial" w:hAnsi="Arial" w:cs="Arial"/>
          <w:sz w:val="22"/>
          <w:szCs w:val="22"/>
        </w:rPr>
        <w:t>Pozemkového fondu ČR 1999” a odsouhlasena 0kb Děčín - RRR a schválena městským zastupitelstvem.</w:t>
      </w:r>
    </w:p>
    <w:p w14:paraId="30D7AA13" w14:textId="77777777" w:rsidR="00CA23D0" w:rsidRDefault="00CA23D0" w:rsidP="00CA23D0">
      <w:pPr>
        <w:spacing w:line="276" w:lineRule="auto"/>
        <w:jc w:val="both"/>
        <w:rPr>
          <w:rFonts w:ascii="Arial" w:hAnsi="Arial" w:cs="Arial"/>
          <w:sz w:val="20"/>
          <w:highlight w:val="lightGray"/>
        </w:rPr>
      </w:pPr>
    </w:p>
    <w:p w14:paraId="5CA461DC" w14:textId="77777777" w:rsidR="00CA23D0" w:rsidRPr="00113A9F" w:rsidRDefault="00CA23D0" w:rsidP="00CA23D0">
      <w:pPr>
        <w:tabs>
          <w:tab w:val="decimal" w:pos="144"/>
          <w:tab w:val="decimal" w:pos="1134"/>
          <w:tab w:val="right" w:pos="2679"/>
        </w:tabs>
        <w:spacing w:before="36" w:line="276" w:lineRule="auto"/>
        <w:jc w:val="both"/>
        <w:rPr>
          <w:rFonts w:ascii="Arial" w:hAnsi="Arial" w:cs="Arial"/>
          <w:b/>
          <w:color w:val="00B050"/>
          <w:spacing w:val="3"/>
          <w:sz w:val="22"/>
          <w:szCs w:val="22"/>
        </w:rPr>
      </w:pPr>
      <w:r w:rsidRPr="00113A9F">
        <w:rPr>
          <w:rFonts w:ascii="Arial" w:hAnsi="Arial" w:cs="Arial"/>
          <w:b/>
          <w:color w:val="00B050"/>
          <w:spacing w:val="3"/>
          <w:sz w:val="22"/>
          <w:szCs w:val="22"/>
        </w:rPr>
        <w:t xml:space="preserve">(Z1) </w:t>
      </w:r>
      <w:r>
        <w:rPr>
          <w:rFonts w:ascii="Arial" w:hAnsi="Arial" w:cs="Arial"/>
          <w:b/>
          <w:color w:val="00B050"/>
          <w:spacing w:val="3"/>
          <w:sz w:val="22"/>
          <w:szCs w:val="22"/>
        </w:rPr>
        <w:t xml:space="preserve">ZMĚNA Č. 1 - </w:t>
      </w:r>
      <w:r w:rsidRPr="00113A9F">
        <w:rPr>
          <w:rFonts w:ascii="Arial" w:hAnsi="Arial" w:cs="Arial"/>
          <w:b/>
          <w:color w:val="00B050"/>
          <w:spacing w:val="3"/>
          <w:sz w:val="22"/>
          <w:szCs w:val="22"/>
        </w:rPr>
        <w:t>VYHODNOCENÍ SPLNĚNÍ ZADÁNÍ ÚZEMNÍHO PLÁNU MĚSTA DĚČÍN</w:t>
      </w:r>
    </w:p>
    <w:p w14:paraId="294B0F49" w14:textId="77777777" w:rsidR="00CA23D0" w:rsidRPr="001E1040" w:rsidRDefault="00CA23D0" w:rsidP="00CA23D0">
      <w:pPr>
        <w:tabs>
          <w:tab w:val="decimal" w:pos="144"/>
          <w:tab w:val="decimal" w:pos="1134"/>
          <w:tab w:val="right" w:pos="2679"/>
        </w:tabs>
        <w:spacing w:before="36" w:line="276" w:lineRule="auto"/>
        <w:jc w:val="both"/>
        <w:rPr>
          <w:rFonts w:ascii="Arial" w:hAnsi="Arial" w:cs="Arial"/>
          <w:color w:val="00B050"/>
          <w:spacing w:val="3"/>
          <w:sz w:val="22"/>
          <w:szCs w:val="22"/>
        </w:rPr>
      </w:pPr>
      <w:r>
        <w:rPr>
          <w:rFonts w:ascii="Arial" w:hAnsi="Arial" w:cs="Arial"/>
          <w:color w:val="00B050"/>
          <w:spacing w:val="3"/>
          <w:sz w:val="22"/>
          <w:szCs w:val="22"/>
        </w:rPr>
        <w:t>Při terminologii</w:t>
      </w:r>
      <w:r w:rsidRPr="00E26E24">
        <w:rPr>
          <w:rFonts w:ascii="Arial" w:hAnsi="Arial" w:cs="Arial"/>
          <w:color w:val="00B050"/>
          <w:spacing w:val="3"/>
          <w:sz w:val="22"/>
          <w:szCs w:val="22"/>
        </w:rPr>
        <w:t xml:space="preserve"> jednotlivých lokalit jsou názvy používány ze zadání ÚPn M. Lokalita</w:t>
      </w:r>
      <w:r>
        <w:rPr>
          <w:rFonts w:ascii="Arial" w:hAnsi="Arial" w:cs="Arial"/>
          <w:color w:val="00B050"/>
          <w:spacing w:val="3"/>
          <w:sz w:val="22"/>
          <w:szCs w:val="22"/>
        </w:rPr>
        <w:t xml:space="preserve"> </w:t>
      </w:r>
      <w:r w:rsidRPr="00E26E24">
        <w:rPr>
          <w:rFonts w:ascii="Arial" w:hAnsi="Arial" w:cs="Arial"/>
          <w:color w:val="00B050"/>
          <w:spacing w:val="3"/>
          <w:sz w:val="22"/>
          <w:szCs w:val="22"/>
        </w:rPr>
        <w:t>č. 9 byla původně navrhována v ul. Březová a Kubelíkova. Po projednání zadání byly</w:t>
      </w:r>
      <w:r>
        <w:rPr>
          <w:rFonts w:ascii="Arial" w:hAnsi="Arial" w:cs="Arial"/>
          <w:color w:val="00B050"/>
          <w:spacing w:val="3"/>
          <w:sz w:val="22"/>
          <w:szCs w:val="22"/>
        </w:rPr>
        <w:t xml:space="preserve"> </w:t>
      </w:r>
      <w:r w:rsidRPr="00E26E24">
        <w:rPr>
          <w:rFonts w:ascii="Arial" w:hAnsi="Arial" w:cs="Arial"/>
          <w:color w:val="00B050"/>
          <w:spacing w:val="3"/>
          <w:sz w:val="22"/>
          <w:szCs w:val="22"/>
        </w:rPr>
        <w:t>vyloučeny plochy v Březové ul. a zůstala pouze plocha v Kubelíkovč ul. Názvosloví Březová, jako označení lokality bylo zachováno.</w:t>
      </w:r>
    </w:p>
    <w:p w14:paraId="3F963F9B" w14:textId="77777777" w:rsidR="00CA23D0" w:rsidRPr="001E1040" w:rsidRDefault="00CA23D0" w:rsidP="00CA23D0">
      <w:pPr>
        <w:tabs>
          <w:tab w:val="decimal" w:pos="144"/>
          <w:tab w:val="decimal" w:pos="1134"/>
          <w:tab w:val="right" w:pos="2679"/>
        </w:tabs>
        <w:spacing w:before="36" w:line="276" w:lineRule="auto"/>
        <w:jc w:val="both"/>
        <w:rPr>
          <w:rFonts w:ascii="Arial" w:hAnsi="Arial" w:cs="Arial"/>
          <w:color w:val="00B050"/>
          <w:spacing w:val="3"/>
          <w:sz w:val="22"/>
          <w:szCs w:val="22"/>
        </w:rPr>
      </w:pPr>
      <w:r w:rsidRPr="001E1040">
        <w:rPr>
          <w:rFonts w:ascii="Arial" w:hAnsi="Arial" w:cs="Arial"/>
          <w:color w:val="00B050"/>
          <w:spacing w:val="3"/>
          <w:sz w:val="22"/>
          <w:szCs w:val="22"/>
        </w:rPr>
        <w:t>Při řešení energetické částí l. změny ÚPn M č. 1 nebyl akceptován požadavek uvedený v odstavci m) zadání „na vymístění trafostanice v Kubelíkově ulici“. Tato trafostanice, včetně pozemku, je majetkem a.s. SČE a zásobuje atrakční obvod o poloměru cca 250 metrů v hustě zastavěném území a jiný vhodný pozemek v blízkosti není.  Jinak zadání ÚPn O bylo splněno ve všech bodech.</w:t>
      </w:r>
    </w:p>
    <w:p w14:paraId="02130038" w14:textId="77777777" w:rsidR="00CA23D0" w:rsidRDefault="00CA23D0" w:rsidP="00CA23D0">
      <w:pPr>
        <w:spacing w:line="276" w:lineRule="auto"/>
        <w:jc w:val="both"/>
        <w:rPr>
          <w:rFonts w:ascii="Arial" w:hAnsi="Arial" w:cs="Arial"/>
          <w:sz w:val="22"/>
          <w:szCs w:val="22"/>
          <w:highlight w:val="lightGray"/>
        </w:rPr>
      </w:pPr>
    </w:p>
    <w:p w14:paraId="2DFC0ED4" w14:textId="77777777" w:rsidR="001E1040" w:rsidRDefault="001E1040" w:rsidP="00CA23D0">
      <w:pPr>
        <w:spacing w:line="276" w:lineRule="auto"/>
        <w:jc w:val="both"/>
        <w:rPr>
          <w:rFonts w:ascii="Arial" w:hAnsi="Arial" w:cs="Arial"/>
          <w:sz w:val="22"/>
          <w:szCs w:val="22"/>
          <w:highlight w:val="lightGray"/>
        </w:rPr>
      </w:pPr>
    </w:p>
    <w:p w14:paraId="39D1B47C" w14:textId="77777777" w:rsidR="001E1040" w:rsidRPr="001E1040" w:rsidRDefault="001E1040" w:rsidP="00CA23D0">
      <w:pPr>
        <w:spacing w:line="276" w:lineRule="auto"/>
        <w:jc w:val="both"/>
        <w:rPr>
          <w:rFonts w:ascii="Arial" w:hAnsi="Arial" w:cs="Arial"/>
          <w:sz w:val="22"/>
          <w:szCs w:val="22"/>
          <w:highlight w:val="lightGray"/>
        </w:rPr>
      </w:pPr>
    </w:p>
    <w:p w14:paraId="3D05BEE1" w14:textId="77777777" w:rsidR="00CA23D0" w:rsidRPr="001E1040" w:rsidRDefault="001E1040" w:rsidP="00CA23D0">
      <w:pPr>
        <w:spacing w:line="276" w:lineRule="auto"/>
        <w:jc w:val="both"/>
        <w:rPr>
          <w:rFonts w:ascii="Arial" w:hAnsi="Arial" w:cs="Arial"/>
          <w:b/>
          <w:smallCaps/>
          <w:color w:val="BF8F00"/>
          <w:sz w:val="22"/>
          <w:szCs w:val="22"/>
        </w:rPr>
      </w:pPr>
      <w:r w:rsidRPr="001E1040">
        <w:rPr>
          <w:rFonts w:ascii="Arial" w:hAnsi="Arial" w:cs="Arial"/>
          <w:b/>
          <w:smallCaps/>
          <w:color w:val="BF8F00"/>
          <w:sz w:val="22"/>
          <w:szCs w:val="22"/>
        </w:rPr>
        <w:t xml:space="preserve">(Z2)  ZMĚNA Č. 2 - VYHODNOCENÍ SPLNĚNÍ ZADÁNÍ (TEXT PŘEVZAT Z ODŮVODNĚNÍ Z Č. 2) </w:t>
      </w:r>
    </w:p>
    <w:p w14:paraId="2078A2AB" w14:textId="77777777" w:rsidR="00CA23D0" w:rsidRPr="001E1040" w:rsidRDefault="00CA23D0" w:rsidP="005179D3">
      <w:pPr>
        <w:spacing w:after="72" w:line="223" w:lineRule="auto"/>
        <w:ind w:right="43" w:firstLine="5"/>
        <w:rPr>
          <w:rFonts w:ascii="Arial" w:hAnsi="Arial" w:cs="Arial"/>
          <w:color w:val="BF8F00"/>
          <w:sz w:val="22"/>
          <w:szCs w:val="22"/>
        </w:rPr>
      </w:pPr>
      <w:r w:rsidRPr="001E1040">
        <w:rPr>
          <w:rFonts w:ascii="Arial" w:eastAsia="Calibri" w:hAnsi="Arial" w:cs="Arial"/>
          <w:color w:val="A87C00"/>
          <w:sz w:val="22"/>
          <w:szCs w:val="22"/>
        </w:rPr>
        <w:t xml:space="preserve">Zadání bylo splněno ve všech bodech. Návrh „ Folknářské spojky” byl projednáním 2. změny potvrzen a zůstává součástí platného Územního plánu města Děčín, schváleného v roce </w:t>
      </w:r>
      <w:r w:rsidRPr="001E1040">
        <w:rPr>
          <w:rFonts w:ascii="Arial" w:eastAsia="Calibri" w:hAnsi="Arial" w:cs="Arial"/>
          <w:color w:val="A87C00"/>
          <w:sz w:val="22"/>
          <w:szCs w:val="22"/>
        </w:rPr>
        <w:lastRenderedPageBreak/>
        <w:t>2002, do doby zpracování dopravní koncepce, která vyplyne z řešení ÚP Ústeckého kraje.</w:t>
      </w:r>
      <w:r w:rsidRPr="001E1040">
        <w:rPr>
          <w:rFonts w:ascii="Arial" w:hAnsi="Arial" w:cs="Arial"/>
          <w:noProof/>
          <w:color w:val="A87C00"/>
          <w:sz w:val="22"/>
          <w:szCs w:val="22"/>
          <w:lang w:eastAsia="cs-CZ"/>
        </w:rPr>
        <w:drawing>
          <wp:inline distT="0" distB="0" distL="0" distR="0" wp14:anchorId="2D5D209B" wp14:editId="68B8A084">
            <wp:extent cx="354965" cy="109220"/>
            <wp:effectExtent l="0" t="0" r="6985" b="5080"/>
            <wp:docPr id="41" name="Obráze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68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54965" cy="109220"/>
                    </a:xfrm>
                    <a:prstGeom prst="rect">
                      <a:avLst/>
                    </a:prstGeom>
                    <a:noFill/>
                    <a:ln>
                      <a:noFill/>
                    </a:ln>
                  </pic:spPr>
                </pic:pic>
              </a:graphicData>
            </a:graphic>
          </wp:inline>
        </w:drawing>
      </w:r>
    </w:p>
    <w:p w14:paraId="4F05474C" w14:textId="77777777" w:rsidR="00CA23D0" w:rsidRDefault="00CA23D0" w:rsidP="00CA23D0">
      <w:pPr>
        <w:spacing w:line="276" w:lineRule="auto"/>
        <w:jc w:val="both"/>
        <w:rPr>
          <w:rFonts w:ascii="Arial" w:hAnsi="Arial" w:cs="Arial"/>
          <w:b/>
          <w:color w:val="0066FF"/>
          <w:sz w:val="22"/>
          <w:szCs w:val="22"/>
        </w:rPr>
      </w:pPr>
    </w:p>
    <w:p w14:paraId="188D0BE6" w14:textId="77777777" w:rsidR="00CA23D0" w:rsidRPr="00832913" w:rsidRDefault="00CA23D0" w:rsidP="00CA23D0">
      <w:pPr>
        <w:spacing w:line="276" w:lineRule="auto"/>
        <w:jc w:val="both"/>
        <w:rPr>
          <w:rFonts w:ascii="Arial" w:hAnsi="Arial" w:cs="Arial"/>
          <w:b/>
          <w:color w:val="0066FF"/>
          <w:sz w:val="22"/>
          <w:szCs w:val="22"/>
        </w:rPr>
      </w:pPr>
      <w:r w:rsidRPr="00832913">
        <w:rPr>
          <w:rFonts w:ascii="Arial" w:hAnsi="Arial" w:cs="Arial"/>
          <w:b/>
          <w:color w:val="0066FF"/>
          <w:sz w:val="22"/>
          <w:szCs w:val="22"/>
        </w:rPr>
        <w:t>(Z4)</w:t>
      </w:r>
      <w:r>
        <w:rPr>
          <w:rFonts w:ascii="Arial" w:hAnsi="Arial" w:cs="Arial"/>
          <w:b/>
          <w:color w:val="0066FF"/>
          <w:sz w:val="22"/>
          <w:szCs w:val="22"/>
        </w:rPr>
        <w:t xml:space="preserve"> ZMĚNA Č. 4 - </w:t>
      </w:r>
      <w:r w:rsidRPr="00832913">
        <w:rPr>
          <w:rFonts w:ascii="Arial" w:hAnsi="Arial" w:cs="Arial"/>
          <w:b/>
          <w:color w:val="0066FF"/>
          <w:sz w:val="22"/>
          <w:szCs w:val="22"/>
        </w:rPr>
        <w:t>VYHODNOCENÍ SPLNÉNÍ ZADÁNÍ ÚZE</w:t>
      </w:r>
      <w:r>
        <w:rPr>
          <w:rFonts w:ascii="Arial" w:hAnsi="Arial" w:cs="Arial"/>
          <w:b/>
          <w:color w:val="0066FF"/>
          <w:sz w:val="22"/>
          <w:szCs w:val="22"/>
        </w:rPr>
        <w:t xml:space="preserve">MNÍHO PLÁNU 4. ZMĚNY ÚPN MĚSTA </w:t>
      </w:r>
      <w:r w:rsidRPr="00832913">
        <w:rPr>
          <w:rFonts w:ascii="Arial" w:hAnsi="Arial" w:cs="Arial"/>
          <w:b/>
          <w:color w:val="0066FF"/>
          <w:sz w:val="22"/>
          <w:szCs w:val="22"/>
        </w:rPr>
        <w:t>DĚČÍN</w:t>
      </w:r>
    </w:p>
    <w:p w14:paraId="760E2F7F" w14:textId="77777777" w:rsidR="00CA23D0" w:rsidRPr="00832913" w:rsidRDefault="00CA23D0" w:rsidP="00CA23D0">
      <w:pPr>
        <w:spacing w:line="276" w:lineRule="auto"/>
        <w:jc w:val="both"/>
        <w:rPr>
          <w:rFonts w:ascii="Arial" w:hAnsi="Arial" w:cs="Arial"/>
          <w:color w:val="0066FF"/>
          <w:sz w:val="22"/>
          <w:szCs w:val="22"/>
        </w:rPr>
      </w:pPr>
      <w:r w:rsidRPr="00832913">
        <w:rPr>
          <w:rFonts w:ascii="Arial" w:hAnsi="Arial" w:cs="Arial"/>
          <w:color w:val="0066FF"/>
          <w:sz w:val="22"/>
          <w:szCs w:val="22"/>
        </w:rPr>
        <w:t>Zadání 4. změny ÚPn M bylo v zásadě splněno.</w:t>
      </w:r>
    </w:p>
    <w:p w14:paraId="19411D24" w14:textId="77777777" w:rsidR="00CA23D0" w:rsidRPr="00832913" w:rsidRDefault="00CA23D0" w:rsidP="00CA23D0">
      <w:pPr>
        <w:spacing w:line="276" w:lineRule="auto"/>
        <w:jc w:val="both"/>
        <w:rPr>
          <w:rFonts w:ascii="Arial" w:hAnsi="Arial" w:cs="Arial"/>
          <w:color w:val="0066FF"/>
          <w:sz w:val="22"/>
          <w:szCs w:val="22"/>
        </w:rPr>
      </w:pPr>
      <w:r w:rsidRPr="00832913">
        <w:rPr>
          <w:rFonts w:ascii="Arial" w:hAnsi="Arial" w:cs="Arial"/>
          <w:color w:val="0066FF"/>
          <w:sz w:val="22"/>
          <w:szCs w:val="22"/>
        </w:rPr>
        <w:t>Výjimku tvoří bod n) okruhy problémů řešení vyplývající z průzkumů a rozborů „na předmětném pozemku se vyskytuje stávající vodovodní řad DN 100 a 200, který bude změnou UPn m respektován, 0 jeho přeložce se neuvažuje. Při projednání napojení lokality na pitný vodovod byly správcem sítě poskytnuty zpřesněné podklady trasy DN 200 a byla dohodnuta částečná přeložka této linie na veřejný pozemek.</w:t>
      </w:r>
    </w:p>
    <w:p w14:paraId="7207A73F" w14:textId="77777777" w:rsidR="00CA23D0" w:rsidRDefault="00CA23D0" w:rsidP="00CA23D0">
      <w:pPr>
        <w:spacing w:line="276" w:lineRule="auto"/>
        <w:jc w:val="both"/>
        <w:rPr>
          <w:rFonts w:ascii="Arial" w:hAnsi="Arial" w:cs="Arial"/>
          <w:color w:val="0066FF"/>
          <w:sz w:val="22"/>
          <w:szCs w:val="22"/>
        </w:rPr>
      </w:pPr>
      <w:r w:rsidRPr="00832913">
        <w:rPr>
          <w:rFonts w:ascii="Arial" w:hAnsi="Arial" w:cs="Arial"/>
          <w:color w:val="0066FF"/>
          <w:sz w:val="22"/>
          <w:szCs w:val="22"/>
        </w:rPr>
        <w:t>Jinak zadání ÚPn M bylo splněno ve všech bodech.</w:t>
      </w:r>
    </w:p>
    <w:p w14:paraId="2AA80C6E" w14:textId="77777777" w:rsidR="00CA23D0" w:rsidRPr="00832913" w:rsidRDefault="00CA23D0" w:rsidP="00CA23D0">
      <w:pPr>
        <w:spacing w:line="276" w:lineRule="auto"/>
        <w:jc w:val="both"/>
        <w:rPr>
          <w:rFonts w:ascii="Arial" w:hAnsi="Arial" w:cs="Arial"/>
          <w:color w:val="0066FF"/>
          <w:sz w:val="22"/>
          <w:szCs w:val="22"/>
        </w:rPr>
      </w:pPr>
    </w:p>
    <w:p w14:paraId="0BF1AB36" w14:textId="77777777" w:rsidR="00CA23D0" w:rsidRPr="00276C8D" w:rsidRDefault="00CA23D0" w:rsidP="00CA23D0">
      <w:pPr>
        <w:spacing w:before="120" w:line="288" w:lineRule="auto"/>
        <w:jc w:val="both"/>
        <w:rPr>
          <w:rFonts w:ascii="Arial" w:hAnsi="Arial" w:cs="Arial"/>
          <w:b/>
          <w:color w:val="D60093"/>
          <w:sz w:val="22"/>
          <w:szCs w:val="22"/>
        </w:rPr>
      </w:pPr>
      <w:r w:rsidRPr="00336B48">
        <w:rPr>
          <w:rFonts w:ascii="Arial" w:hAnsi="Arial" w:cs="Arial"/>
          <w:b/>
          <w:color w:val="D60093"/>
          <w:sz w:val="22"/>
          <w:szCs w:val="22"/>
        </w:rPr>
        <w:t>(Z6)</w:t>
      </w:r>
      <w:r w:rsidRPr="00276C8D">
        <w:rPr>
          <w:rFonts w:ascii="Arial" w:hAnsi="Arial" w:cs="Arial"/>
          <w:b/>
          <w:color w:val="D60093"/>
          <w:sz w:val="22"/>
          <w:szCs w:val="22"/>
        </w:rPr>
        <w:t xml:space="preserve"> ZMĚNA Č. 6 - ÚDAJE O SPLNĚNÍ ZADÁNÍ</w:t>
      </w:r>
      <w:r>
        <w:rPr>
          <w:rFonts w:ascii="Arial" w:hAnsi="Arial" w:cs="Arial"/>
          <w:b/>
          <w:color w:val="D60093"/>
          <w:sz w:val="22"/>
          <w:szCs w:val="22"/>
        </w:rPr>
        <w:t xml:space="preserve"> (TEXT PŘEVZAT Z ODŮVODNĚNÍ ZMĚNY Č. 6) </w:t>
      </w:r>
    </w:p>
    <w:p w14:paraId="5141E286" w14:textId="77777777" w:rsidR="00CA23D0" w:rsidRPr="00276C8D" w:rsidRDefault="00CA23D0" w:rsidP="00CA23D0">
      <w:pPr>
        <w:spacing w:after="278"/>
        <w:jc w:val="both"/>
        <w:rPr>
          <w:rFonts w:ascii="Arial" w:hAnsi="Arial" w:cs="Arial"/>
          <w:color w:val="CC3399"/>
          <w:sz w:val="22"/>
          <w:szCs w:val="22"/>
        </w:rPr>
      </w:pPr>
      <w:r>
        <w:rPr>
          <w:rFonts w:ascii="Arial" w:hAnsi="Arial" w:cs="Arial"/>
          <w:color w:val="CC3399"/>
          <w:sz w:val="22"/>
          <w:szCs w:val="22"/>
        </w:rPr>
        <w:t>Ú</w:t>
      </w:r>
      <w:r w:rsidRPr="00276C8D">
        <w:rPr>
          <w:rFonts w:ascii="Arial" w:hAnsi="Arial" w:cs="Arial"/>
          <w:color w:val="CC3399"/>
          <w:sz w:val="22"/>
          <w:szCs w:val="22"/>
        </w:rPr>
        <w:t>zemní plán je zpracován nad vektorovým podkladem předaným MÚ Děčín z roku 2009. Hranice zastavěného území vychází z hranice současně zastavěného území (SZUO) ÚPn M Děčín z roku 2002, Korekce původního SZÚO byla provedena pouze v území 6. změny ÚPn a to v souladu se zákonem 183/2006 Sb.</w:t>
      </w:r>
    </w:p>
    <w:p w14:paraId="679C1973" w14:textId="77777777" w:rsidR="001E1040" w:rsidRDefault="00CA23D0" w:rsidP="001E1040">
      <w:pPr>
        <w:jc w:val="both"/>
        <w:rPr>
          <w:rFonts w:ascii="Arial" w:hAnsi="Arial" w:cs="Arial"/>
          <w:color w:val="CC3399"/>
          <w:sz w:val="22"/>
          <w:szCs w:val="22"/>
        </w:rPr>
      </w:pPr>
      <w:r w:rsidRPr="00276C8D">
        <w:rPr>
          <w:rFonts w:ascii="Arial" w:hAnsi="Arial" w:cs="Arial"/>
          <w:color w:val="CC3399"/>
          <w:sz w:val="22"/>
          <w:szCs w:val="22"/>
        </w:rPr>
        <w:t>Počty rodinných domů uváděné dále v této části mají orientační charakter a byly použity pro stanovení koncepce jednotlivých ploch a pro projednání se správci sítí. Mimo zadání byla do změny ÚP M Děčína zařazena přeložka stávající trasy cyklostezky v Křešicích. Zadání UP Děčín bylo splněno, vyjma neprojednaných a vyřazených lokalit, ve všech bodech.</w:t>
      </w:r>
    </w:p>
    <w:p w14:paraId="6A894AC2" w14:textId="77777777" w:rsidR="001E1040" w:rsidRDefault="001E1040" w:rsidP="001E1040">
      <w:pPr>
        <w:jc w:val="both"/>
        <w:rPr>
          <w:rFonts w:ascii="Arial" w:hAnsi="Arial" w:cs="Arial"/>
          <w:color w:val="CC3399"/>
          <w:sz w:val="22"/>
          <w:szCs w:val="22"/>
        </w:rPr>
      </w:pPr>
    </w:p>
    <w:p w14:paraId="3005E997" w14:textId="77777777" w:rsidR="001E1040" w:rsidRDefault="001E1040" w:rsidP="001E1040">
      <w:pPr>
        <w:jc w:val="both"/>
        <w:rPr>
          <w:rFonts w:ascii="Arial" w:hAnsi="Arial" w:cs="Arial"/>
          <w:color w:val="CC3399"/>
          <w:sz w:val="22"/>
          <w:szCs w:val="22"/>
        </w:rPr>
      </w:pPr>
    </w:p>
    <w:p w14:paraId="6DDF1C05" w14:textId="77777777" w:rsidR="00CA23D0" w:rsidRPr="001E1040" w:rsidRDefault="001E1040" w:rsidP="001E1040">
      <w:pPr>
        <w:jc w:val="both"/>
        <w:rPr>
          <w:rFonts w:ascii="Arial" w:hAnsi="Arial" w:cs="Arial"/>
          <w:color w:val="CC3399"/>
          <w:sz w:val="22"/>
          <w:szCs w:val="22"/>
        </w:rPr>
      </w:pPr>
      <w:r>
        <w:rPr>
          <w:rFonts w:ascii="Arial" w:hAnsi="Arial" w:cs="Arial"/>
          <w:b/>
          <w:color w:val="FF0000"/>
          <w:sz w:val="22"/>
          <w:szCs w:val="22"/>
        </w:rPr>
        <w:t>(</w:t>
      </w:r>
      <w:r w:rsidR="00CA23D0" w:rsidRPr="00E912D0">
        <w:rPr>
          <w:rFonts w:ascii="Arial" w:hAnsi="Arial" w:cs="Arial"/>
          <w:b/>
          <w:color w:val="FF0000"/>
          <w:sz w:val="22"/>
          <w:szCs w:val="22"/>
        </w:rPr>
        <w:t xml:space="preserve">Z8) ZMĚNA Č. 8 – </w:t>
      </w:r>
      <w:bookmarkStart w:id="4" w:name="_Toc358720195"/>
      <w:r w:rsidR="00CA23D0" w:rsidRPr="00E912D0">
        <w:rPr>
          <w:rFonts w:ascii="Arial" w:hAnsi="Arial" w:cs="Arial"/>
          <w:b/>
          <w:color w:val="FF0000"/>
          <w:sz w:val="22"/>
          <w:szCs w:val="22"/>
        </w:rPr>
        <w:t>ÚDAJE O SPLNĚNÍ ZADÁNÍ, V PŘÍPADĚ ZPRACOVÁNÍ KONCEPTU TÉŽ ÚDAJE O SPLNĚNÍ POKYNŮ PRO ZPRACOVÁNÍ NÁVRHU</w:t>
      </w:r>
      <w:bookmarkEnd w:id="4"/>
    </w:p>
    <w:p w14:paraId="2342E7AD" w14:textId="77777777" w:rsidR="00CA23D0" w:rsidRDefault="00CA23D0" w:rsidP="00CA23D0">
      <w:pPr>
        <w:spacing w:after="278"/>
        <w:jc w:val="both"/>
        <w:rPr>
          <w:rFonts w:ascii="Arial" w:hAnsi="Arial" w:cs="Arial"/>
          <w:color w:val="FF0000"/>
          <w:sz w:val="22"/>
          <w:szCs w:val="22"/>
        </w:rPr>
      </w:pPr>
      <w:r w:rsidRPr="00E912D0">
        <w:rPr>
          <w:rFonts w:ascii="Arial" w:hAnsi="Arial" w:cs="Arial"/>
          <w:color w:val="FF0000"/>
          <w:sz w:val="22"/>
          <w:szCs w:val="22"/>
        </w:rPr>
        <w:t>Všechny požadavky zadání 8. změn územního plánu uvedené v odstavcích I-d/ (úprava textové části dle výsledků projednání s dotčenými orgány),  I-g/ (veřejně prospěšné stavby),  II-B.3.4/ (vedení 110 kV Želenice - Babylon) a II-B6.1. (vymezení VPS) byly splněny.</w:t>
      </w:r>
    </w:p>
    <w:p w14:paraId="58BE9510" w14:textId="77777777" w:rsidR="001E1040" w:rsidRPr="007B2506" w:rsidRDefault="001E1040" w:rsidP="001E1040">
      <w:pPr>
        <w:jc w:val="both"/>
        <w:rPr>
          <w:rFonts w:ascii="Arial" w:hAnsi="Arial" w:cs="Arial"/>
          <w:b/>
          <w:color w:val="18B8B0"/>
          <w:sz w:val="22"/>
          <w:szCs w:val="22"/>
        </w:rPr>
      </w:pPr>
      <w:r w:rsidRPr="007B2506">
        <w:rPr>
          <w:rFonts w:ascii="Arial" w:hAnsi="Arial" w:cs="Arial"/>
          <w:b/>
          <w:color w:val="18B8B0"/>
          <w:sz w:val="22"/>
          <w:szCs w:val="22"/>
        </w:rPr>
        <w:t>(Z12) ZMĚNA Č. 12 - ÚDAJE O SPLNĚNÍ ZADÁNÍ</w:t>
      </w:r>
    </w:p>
    <w:p w14:paraId="22697004" w14:textId="77777777" w:rsidR="001E1040" w:rsidRPr="007B2506" w:rsidRDefault="001E1040" w:rsidP="001E1040">
      <w:pPr>
        <w:jc w:val="both"/>
        <w:rPr>
          <w:rFonts w:ascii="Arial" w:eastAsia="Calibri" w:hAnsi="Arial" w:cs="Arial"/>
          <w:color w:val="18B8B0"/>
          <w:sz w:val="22"/>
          <w:szCs w:val="22"/>
        </w:rPr>
      </w:pPr>
      <w:r w:rsidRPr="007B2506">
        <w:rPr>
          <w:rFonts w:ascii="Arial" w:eastAsia="Calibri" w:hAnsi="Arial" w:cs="Arial"/>
          <w:color w:val="18B8B0"/>
          <w:sz w:val="22"/>
          <w:szCs w:val="22"/>
        </w:rPr>
        <w:t xml:space="preserve">Zadání bylo splněno ve všech bodech stanoveného obsahu: </w:t>
      </w:r>
    </w:p>
    <w:p w14:paraId="41FAFDD4" w14:textId="77777777" w:rsidR="006B7C1C" w:rsidRPr="007B2506" w:rsidRDefault="006B7C1C" w:rsidP="001E1040">
      <w:pPr>
        <w:pStyle w:val="Odstavecseseznamem"/>
        <w:numPr>
          <w:ilvl w:val="0"/>
          <w:numId w:val="140"/>
        </w:numPr>
        <w:jc w:val="both"/>
        <w:rPr>
          <w:rFonts w:ascii="Arial" w:hAnsi="Arial" w:cs="Arial"/>
          <w:color w:val="18B8B0"/>
        </w:rPr>
      </w:pPr>
      <w:r w:rsidRPr="007B2506">
        <w:rPr>
          <w:rFonts w:ascii="Arial" w:hAnsi="Arial" w:cs="Arial"/>
          <w:color w:val="18B8B0"/>
        </w:rPr>
        <w:t>úprava vymezení koridoru silnice I/13 Děčín – Ludvíkovice (tzv. Folknářská spojka) včetně zapracování souvisejících staveb,</w:t>
      </w:r>
    </w:p>
    <w:p w14:paraId="54E88694" w14:textId="77777777" w:rsidR="001E1040" w:rsidRPr="007B2506" w:rsidRDefault="001E1040" w:rsidP="001E1040">
      <w:pPr>
        <w:pStyle w:val="Odstavecseseznamem"/>
        <w:numPr>
          <w:ilvl w:val="0"/>
          <w:numId w:val="140"/>
        </w:numPr>
        <w:jc w:val="both"/>
        <w:rPr>
          <w:rFonts w:ascii="Arial" w:hAnsi="Arial" w:cs="Arial"/>
          <w:color w:val="18B8B0"/>
        </w:rPr>
      </w:pPr>
      <w:r w:rsidRPr="007B2506">
        <w:rPr>
          <w:rFonts w:ascii="Arial" w:hAnsi="Arial" w:cs="Arial"/>
          <w:color w:val="18B8B0"/>
        </w:rPr>
        <w:t>uvedení do souladu s nadřazenou ÚPD,</w:t>
      </w:r>
    </w:p>
    <w:p w14:paraId="777FD06D" w14:textId="77777777" w:rsidR="001E1040" w:rsidRPr="007B2506" w:rsidRDefault="001E1040" w:rsidP="001E1040">
      <w:pPr>
        <w:pStyle w:val="Odstavecseseznamem"/>
        <w:numPr>
          <w:ilvl w:val="0"/>
          <w:numId w:val="140"/>
        </w:numPr>
        <w:jc w:val="both"/>
        <w:rPr>
          <w:rFonts w:ascii="Arial" w:hAnsi="Arial" w:cs="Arial"/>
          <w:color w:val="18B8B0"/>
        </w:rPr>
      </w:pPr>
      <w:r w:rsidRPr="007B2506">
        <w:rPr>
          <w:rFonts w:ascii="Arial" w:hAnsi="Arial" w:cs="Arial"/>
          <w:color w:val="18B8B0"/>
        </w:rPr>
        <w:t>zapracování požadavků na urbanistickou koncepci, koncepci veřejné infrastruktury a koncepci us</w:t>
      </w:r>
      <w:r w:rsidR="008A1E85" w:rsidRPr="007B2506">
        <w:rPr>
          <w:rFonts w:ascii="Arial" w:hAnsi="Arial" w:cs="Arial"/>
          <w:color w:val="18B8B0"/>
        </w:rPr>
        <w:t>p</w:t>
      </w:r>
      <w:r w:rsidRPr="007B2506">
        <w:rPr>
          <w:rFonts w:ascii="Arial" w:hAnsi="Arial" w:cs="Arial"/>
          <w:color w:val="18B8B0"/>
        </w:rPr>
        <w:t>ořádání krajiny,</w:t>
      </w:r>
    </w:p>
    <w:p w14:paraId="7D6BDEAE" w14:textId="77777777" w:rsidR="001E1040" w:rsidRPr="007B2506" w:rsidRDefault="001E1040" w:rsidP="001E1040">
      <w:pPr>
        <w:pStyle w:val="Odstavecseseznamem"/>
        <w:numPr>
          <w:ilvl w:val="0"/>
          <w:numId w:val="140"/>
        </w:numPr>
        <w:jc w:val="both"/>
        <w:rPr>
          <w:rFonts w:ascii="Arial" w:hAnsi="Arial" w:cs="Arial"/>
          <w:color w:val="18B8B0"/>
        </w:rPr>
      </w:pPr>
      <w:r w:rsidRPr="007B2506">
        <w:rPr>
          <w:rFonts w:ascii="Arial" w:hAnsi="Arial" w:cs="Arial"/>
          <w:color w:val="18B8B0"/>
        </w:rPr>
        <w:t>vymezení veřejně prospěšné staveb a veřejně prospěšných opatření s možností vyvlastnění nebo uplatnění předkupního práva</w:t>
      </w:r>
      <w:r w:rsidR="000316A6" w:rsidRPr="007B2506">
        <w:rPr>
          <w:rFonts w:ascii="Arial" w:hAnsi="Arial" w:cs="Arial"/>
          <w:color w:val="18B8B0"/>
        </w:rPr>
        <w:t>.</w:t>
      </w:r>
    </w:p>
    <w:p w14:paraId="2E4AA76F" w14:textId="77777777" w:rsidR="001E1040" w:rsidRPr="001E1040" w:rsidRDefault="001E1040" w:rsidP="000316A6">
      <w:pPr>
        <w:pStyle w:val="Odstavecseseznamem"/>
        <w:ind w:left="780"/>
        <w:jc w:val="both"/>
        <w:rPr>
          <w:rFonts w:ascii="Arial" w:hAnsi="Arial" w:cs="Arial"/>
          <w:color w:val="18B8B0"/>
        </w:rPr>
      </w:pPr>
    </w:p>
    <w:p w14:paraId="0106084C" w14:textId="77777777" w:rsidR="00CA23D0" w:rsidRDefault="00CA23D0" w:rsidP="00CA23D0">
      <w:pPr>
        <w:ind w:firstLine="708"/>
        <w:jc w:val="both"/>
        <w:rPr>
          <w:rFonts w:ascii="Arial" w:hAnsi="Arial" w:cs="Arial"/>
          <w:sz w:val="22"/>
        </w:rPr>
      </w:pPr>
    </w:p>
    <w:p w14:paraId="5F78FD36" w14:textId="77777777" w:rsidR="001E1040" w:rsidRDefault="001E1040" w:rsidP="00CA23D0">
      <w:pPr>
        <w:ind w:firstLine="708"/>
        <w:jc w:val="both"/>
        <w:rPr>
          <w:rFonts w:ascii="Arial" w:hAnsi="Arial" w:cs="Arial"/>
          <w:sz w:val="22"/>
        </w:rPr>
      </w:pPr>
    </w:p>
    <w:p w14:paraId="3F96E3E6" w14:textId="77777777" w:rsidR="001E1040" w:rsidRDefault="001E1040" w:rsidP="00CA23D0">
      <w:pPr>
        <w:ind w:firstLine="708"/>
        <w:jc w:val="both"/>
        <w:rPr>
          <w:rFonts w:ascii="Arial" w:hAnsi="Arial" w:cs="Arial"/>
          <w:sz w:val="22"/>
        </w:rPr>
      </w:pPr>
    </w:p>
    <w:p w14:paraId="1AB1C759" w14:textId="77777777" w:rsidR="001E1040" w:rsidRDefault="001E1040" w:rsidP="00CA23D0">
      <w:pPr>
        <w:ind w:firstLine="708"/>
        <w:jc w:val="both"/>
        <w:rPr>
          <w:rFonts w:ascii="Arial" w:hAnsi="Arial" w:cs="Arial"/>
          <w:sz w:val="22"/>
        </w:rPr>
      </w:pPr>
    </w:p>
    <w:p w14:paraId="31395E2D" w14:textId="77777777" w:rsidR="00CA23D0" w:rsidRPr="00CA23D0" w:rsidRDefault="00CA23D0" w:rsidP="00CA23D0">
      <w:pPr>
        <w:pStyle w:val="Nadpis2"/>
        <w:spacing w:after="154"/>
        <w:ind w:left="14"/>
        <w:jc w:val="both"/>
        <w:rPr>
          <w:rFonts w:ascii="Arial" w:hAnsi="Arial" w:cs="Arial"/>
          <w:b/>
          <w:color w:val="000000" w:themeColor="text1"/>
          <w:sz w:val="36"/>
          <w:szCs w:val="36"/>
        </w:rPr>
      </w:pPr>
      <w:r w:rsidRPr="00CA23D0">
        <w:rPr>
          <w:b/>
          <w:noProof/>
          <w:color w:val="000000" w:themeColor="text1"/>
          <w:sz w:val="36"/>
          <w:szCs w:val="36"/>
          <w:lang w:eastAsia="cs-CZ"/>
        </w:rPr>
        <w:lastRenderedPageBreak/>
        <w:drawing>
          <wp:anchor distT="0" distB="0" distL="114300" distR="114300" simplePos="0" relativeHeight="251672576" behindDoc="0" locked="0" layoutInCell="1" allowOverlap="0" wp14:anchorId="0DF2C95D" wp14:editId="3623AD5B">
            <wp:simplePos x="0" y="0"/>
            <wp:positionH relativeFrom="page">
              <wp:posOffset>6788150</wp:posOffset>
            </wp:positionH>
            <wp:positionV relativeFrom="page">
              <wp:posOffset>3463290</wp:posOffset>
            </wp:positionV>
            <wp:extent cx="18415" cy="36830"/>
            <wp:effectExtent l="0" t="0" r="635" b="1270"/>
            <wp:wrapSquare wrapText="bothSides"/>
            <wp:docPr id="47" name="Obráze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0"/>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8415" cy="368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23D0">
        <w:rPr>
          <w:b/>
          <w:noProof/>
          <w:color w:val="000000" w:themeColor="text1"/>
          <w:sz w:val="36"/>
          <w:szCs w:val="36"/>
          <w:lang w:eastAsia="cs-CZ"/>
        </w:rPr>
        <w:drawing>
          <wp:anchor distT="0" distB="0" distL="114300" distR="114300" simplePos="0" relativeHeight="251673600" behindDoc="0" locked="0" layoutInCell="1" allowOverlap="0" wp14:anchorId="11BE5B38" wp14:editId="4EBE410B">
            <wp:simplePos x="0" y="0"/>
            <wp:positionH relativeFrom="page">
              <wp:posOffset>6510655</wp:posOffset>
            </wp:positionH>
            <wp:positionV relativeFrom="page">
              <wp:posOffset>2899410</wp:posOffset>
            </wp:positionV>
            <wp:extent cx="6350" cy="3175"/>
            <wp:effectExtent l="0" t="0" r="0" b="0"/>
            <wp:wrapSquare wrapText="bothSides"/>
            <wp:docPr id="46" name="Obráze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350"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23D0">
        <w:rPr>
          <w:b/>
          <w:noProof/>
          <w:color w:val="000000" w:themeColor="text1"/>
          <w:sz w:val="36"/>
          <w:szCs w:val="36"/>
          <w:lang w:eastAsia="cs-CZ"/>
        </w:rPr>
        <w:drawing>
          <wp:anchor distT="0" distB="0" distL="114300" distR="114300" simplePos="0" relativeHeight="251674624" behindDoc="0" locked="0" layoutInCell="1" allowOverlap="0" wp14:anchorId="73D22AB2" wp14:editId="60BCD77D">
            <wp:simplePos x="0" y="0"/>
            <wp:positionH relativeFrom="page">
              <wp:posOffset>6513830</wp:posOffset>
            </wp:positionH>
            <wp:positionV relativeFrom="page">
              <wp:posOffset>2924175</wp:posOffset>
            </wp:positionV>
            <wp:extent cx="3175" cy="3175"/>
            <wp:effectExtent l="0" t="0" r="0" b="0"/>
            <wp:wrapSquare wrapText="bothSides"/>
            <wp:docPr id="45" name="Obráze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23D0">
        <w:rPr>
          <w:b/>
          <w:noProof/>
          <w:color w:val="000000" w:themeColor="text1"/>
          <w:sz w:val="36"/>
          <w:szCs w:val="36"/>
          <w:lang w:eastAsia="cs-CZ"/>
        </w:rPr>
        <w:drawing>
          <wp:anchor distT="0" distB="0" distL="114300" distR="114300" simplePos="0" relativeHeight="251675648" behindDoc="0" locked="0" layoutInCell="1" allowOverlap="0" wp14:anchorId="47A3B4BF" wp14:editId="6E59D129">
            <wp:simplePos x="0" y="0"/>
            <wp:positionH relativeFrom="page">
              <wp:posOffset>6507480</wp:posOffset>
            </wp:positionH>
            <wp:positionV relativeFrom="page">
              <wp:posOffset>2941955</wp:posOffset>
            </wp:positionV>
            <wp:extent cx="3175" cy="3175"/>
            <wp:effectExtent l="0" t="0" r="0" b="0"/>
            <wp:wrapSquare wrapText="bothSides"/>
            <wp:docPr id="44" name="Obráze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23D0">
        <w:rPr>
          <w:rFonts w:ascii="Arial" w:hAnsi="Arial" w:cs="Arial"/>
          <w:b/>
          <w:color w:val="000000" w:themeColor="text1"/>
          <w:sz w:val="36"/>
          <w:szCs w:val="36"/>
        </w:rPr>
        <w:t>OBSAH DOKUMENTACE ÚZEMNÍHO PLÁNU MĚSTA DĚČÍNA</w:t>
      </w:r>
    </w:p>
    <w:p w14:paraId="00DEAAB6" w14:textId="77777777" w:rsidR="00CA23D0" w:rsidRPr="00E26E24" w:rsidRDefault="00CA23D0" w:rsidP="00CA23D0">
      <w:pPr>
        <w:spacing w:before="120" w:line="288" w:lineRule="auto"/>
        <w:ind w:right="4" w:firstLine="709"/>
        <w:jc w:val="both"/>
        <w:rPr>
          <w:rFonts w:ascii="Arial" w:hAnsi="Arial" w:cs="Arial"/>
          <w:sz w:val="22"/>
          <w:szCs w:val="22"/>
        </w:rPr>
      </w:pPr>
      <w:r w:rsidRPr="00E26E24">
        <w:rPr>
          <w:rFonts w:ascii="Arial" w:hAnsi="Arial" w:cs="Arial"/>
          <w:sz w:val="22"/>
          <w:szCs w:val="22"/>
        </w:rPr>
        <w:t>(JPN města Děčína obsahuje návrh řešení funkčního a prostorového uspořádání města, průběhy tras technické infrastruktury a dopravy s plánovacím horizontem roku 2010. Soubor obsahuje textovou, tabelární a grafickou část, souhrnně dokumentující navržené řešení a je zpracován ve 3 vyhotoveních.</w:t>
      </w:r>
    </w:p>
    <w:p w14:paraId="7947AABB" w14:textId="77777777" w:rsidR="00CA23D0" w:rsidRPr="00E26E24" w:rsidRDefault="00CA23D0" w:rsidP="00CA23D0">
      <w:pPr>
        <w:spacing w:before="120" w:line="288" w:lineRule="auto"/>
        <w:ind w:left="426" w:right="-92" w:hanging="426"/>
        <w:jc w:val="both"/>
        <w:rPr>
          <w:rFonts w:ascii="Arial" w:hAnsi="Arial" w:cs="Arial"/>
          <w:sz w:val="22"/>
          <w:szCs w:val="22"/>
        </w:rPr>
      </w:pPr>
      <w:r w:rsidRPr="00E26E24">
        <w:rPr>
          <w:rFonts w:ascii="Arial" w:hAnsi="Arial" w:cs="Arial"/>
          <w:sz w:val="22"/>
          <w:szCs w:val="22"/>
        </w:rPr>
        <w:t xml:space="preserve">A. </w:t>
      </w:r>
      <w:r w:rsidRPr="00E26E24">
        <w:rPr>
          <w:rFonts w:ascii="Arial" w:hAnsi="Arial" w:cs="Arial"/>
          <w:b/>
          <w:sz w:val="22"/>
          <w:szCs w:val="22"/>
        </w:rPr>
        <w:t>Textová část</w:t>
      </w:r>
      <w:r w:rsidRPr="00E26E24">
        <w:rPr>
          <w:rFonts w:ascii="Arial" w:hAnsi="Arial" w:cs="Arial"/>
          <w:sz w:val="22"/>
          <w:szCs w:val="22"/>
        </w:rPr>
        <w:t xml:space="preserve"> obsahuje všechny základní údaje, komplexní návrh řešení po ucelených kapitolách, číselné údaje (tabelární část) a závaznou část ve formě regulativů. Samostatně ve 3 vyhotoveních byly zpracovány návrhy vodního hospodářství, dopravy a energetiky.</w:t>
      </w:r>
    </w:p>
    <w:p w14:paraId="4D6DC4FD" w14:textId="77777777" w:rsidR="00CA23D0" w:rsidRPr="00E26E24" w:rsidRDefault="00CA23D0" w:rsidP="00CA23D0">
      <w:pPr>
        <w:pStyle w:val="Nadpis3"/>
        <w:spacing w:before="120" w:line="288" w:lineRule="auto"/>
        <w:jc w:val="both"/>
        <w:rPr>
          <w:rFonts w:ascii="Arial" w:eastAsia="Calibri" w:hAnsi="Arial" w:cs="Arial"/>
          <w:color w:val="000000"/>
          <w:sz w:val="22"/>
          <w:szCs w:val="22"/>
        </w:rPr>
      </w:pPr>
      <w:r w:rsidRPr="00E26E24">
        <w:rPr>
          <w:rFonts w:ascii="Arial" w:eastAsia="Calibri" w:hAnsi="Arial" w:cs="Arial"/>
          <w:color w:val="000000"/>
          <w:sz w:val="22"/>
          <w:szCs w:val="22"/>
        </w:rPr>
        <w:t xml:space="preserve">B. </w:t>
      </w:r>
      <w:r w:rsidRPr="00E26E24">
        <w:rPr>
          <w:rFonts w:ascii="Arial" w:eastAsia="Calibri" w:hAnsi="Arial" w:cs="Arial"/>
          <w:b/>
          <w:color w:val="000000"/>
          <w:sz w:val="22"/>
          <w:szCs w:val="22"/>
        </w:rPr>
        <w:t>Grafická část obsahuje</w:t>
      </w:r>
    </w:p>
    <w:tbl>
      <w:tblPr>
        <w:tblW w:w="8386" w:type="dxa"/>
        <w:tblInd w:w="686" w:type="dxa"/>
        <w:tblCellMar>
          <w:top w:w="2" w:type="dxa"/>
          <w:left w:w="0" w:type="dxa"/>
          <w:right w:w="0" w:type="dxa"/>
        </w:tblCellMar>
        <w:tblLook w:val="04A0" w:firstRow="1" w:lastRow="0" w:firstColumn="1" w:lastColumn="0" w:noHBand="0" w:noVBand="1"/>
      </w:tblPr>
      <w:tblGrid>
        <w:gridCol w:w="6544"/>
        <w:gridCol w:w="1842"/>
      </w:tblGrid>
      <w:tr w:rsidR="00CA23D0" w:rsidRPr="00E26E24" w14:paraId="70A370D1" w14:textId="77777777" w:rsidTr="00CA23D0">
        <w:trPr>
          <w:trHeight w:val="224"/>
        </w:trPr>
        <w:tc>
          <w:tcPr>
            <w:tcW w:w="6544" w:type="dxa"/>
            <w:tcBorders>
              <w:top w:val="nil"/>
              <w:left w:val="nil"/>
              <w:bottom w:val="nil"/>
              <w:right w:val="nil"/>
            </w:tcBorders>
            <w:shd w:val="clear" w:color="auto" w:fill="auto"/>
          </w:tcPr>
          <w:p w14:paraId="072B0970" w14:textId="77777777" w:rsidR="00CA23D0" w:rsidRPr="00E26E24" w:rsidRDefault="00CA23D0" w:rsidP="00CA23D0">
            <w:pPr>
              <w:spacing w:before="60" w:line="288" w:lineRule="auto"/>
              <w:ind w:left="110"/>
              <w:jc w:val="both"/>
              <w:rPr>
                <w:rFonts w:ascii="Arial" w:hAnsi="Arial" w:cs="Arial"/>
                <w:sz w:val="22"/>
                <w:szCs w:val="22"/>
              </w:rPr>
            </w:pPr>
            <w:r w:rsidRPr="00E26E24">
              <w:rPr>
                <w:rFonts w:ascii="Arial" w:hAnsi="Arial" w:cs="Arial"/>
                <w:sz w:val="22"/>
                <w:szCs w:val="22"/>
              </w:rPr>
              <w:t>1. výkres širších vztahů</w:t>
            </w:r>
          </w:p>
        </w:tc>
        <w:tc>
          <w:tcPr>
            <w:tcW w:w="1842" w:type="dxa"/>
            <w:tcBorders>
              <w:top w:val="nil"/>
              <w:left w:val="nil"/>
              <w:bottom w:val="nil"/>
              <w:right w:val="nil"/>
            </w:tcBorders>
            <w:shd w:val="clear" w:color="auto" w:fill="auto"/>
          </w:tcPr>
          <w:p w14:paraId="1915B3E7" w14:textId="77777777" w:rsidR="00CA23D0" w:rsidRPr="00E26E24" w:rsidRDefault="00CA23D0" w:rsidP="00CA23D0">
            <w:pPr>
              <w:spacing w:before="60" w:line="288" w:lineRule="auto"/>
              <w:ind w:left="14"/>
              <w:jc w:val="both"/>
              <w:rPr>
                <w:rFonts w:ascii="Arial" w:hAnsi="Arial" w:cs="Arial"/>
                <w:sz w:val="22"/>
                <w:szCs w:val="22"/>
              </w:rPr>
            </w:pPr>
            <w:r w:rsidRPr="00E26E24">
              <w:rPr>
                <w:rFonts w:ascii="Arial" w:hAnsi="Arial" w:cs="Arial"/>
                <w:sz w:val="22"/>
                <w:szCs w:val="22"/>
              </w:rPr>
              <w:t>1:25000</w:t>
            </w:r>
          </w:p>
        </w:tc>
      </w:tr>
      <w:tr w:rsidR="00CA23D0" w:rsidRPr="00E26E24" w14:paraId="70D9FFAC" w14:textId="77777777" w:rsidTr="00CA23D0">
        <w:trPr>
          <w:trHeight w:val="229"/>
        </w:trPr>
        <w:tc>
          <w:tcPr>
            <w:tcW w:w="6544" w:type="dxa"/>
            <w:tcBorders>
              <w:top w:val="nil"/>
              <w:left w:val="nil"/>
              <w:bottom w:val="nil"/>
              <w:right w:val="nil"/>
            </w:tcBorders>
            <w:shd w:val="clear" w:color="auto" w:fill="auto"/>
          </w:tcPr>
          <w:p w14:paraId="492C0234" w14:textId="77777777" w:rsidR="00CA23D0" w:rsidRPr="00E26E24" w:rsidRDefault="00CA23D0" w:rsidP="00CA23D0">
            <w:pPr>
              <w:spacing w:before="60" w:line="288" w:lineRule="auto"/>
              <w:ind w:left="96"/>
              <w:jc w:val="both"/>
              <w:rPr>
                <w:rFonts w:ascii="Arial" w:hAnsi="Arial" w:cs="Arial"/>
                <w:sz w:val="22"/>
                <w:szCs w:val="22"/>
              </w:rPr>
            </w:pPr>
            <w:r w:rsidRPr="00E26E24">
              <w:rPr>
                <w:rFonts w:ascii="Arial" w:hAnsi="Arial" w:cs="Arial"/>
                <w:sz w:val="22"/>
                <w:szCs w:val="22"/>
              </w:rPr>
              <w:t>2. hlavní výkres</w:t>
            </w:r>
          </w:p>
        </w:tc>
        <w:tc>
          <w:tcPr>
            <w:tcW w:w="1842" w:type="dxa"/>
            <w:tcBorders>
              <w:top w:val="nil"/>
              <w:left w:val="nil"/>
              <w:bottom w:val="nil"/>
              <w:right w:val="nil"/>
            </w:tcBorders>
            <w:shd w:val="clear" w:color="auto" w:fill="auto"/>
          </w:tcPr>
          <w:p w14:paraId="385D5D88" w14:textId="77777777" w:rsidR="00CA23D0" w:rsidRPr="00E26E24" w:rsidRDefault="00CA23D0" w:rsidP="00CA23D0">
            <w:pPr>
              <w:spacing w:before="60" w:line="288" w:lineRule="auto"/>
              <w:ind w:left="14"/>
              <w:jc w:val="both"/>
              <w:rPr>
                <w:rFonts w:ascii="Arial" w:hAnsi="Arial" w:cs="Arial"/>
                <w:sz w:val="22"/>
                <w:szCs w:val="22"/>
              </w:rPr>
            </w:pPr>
            <w:r w:rsidRPr="00E26E24">
              <w:rPr>
                <w:rFonts w:ascii="Arial" w:hAnsi="Arial" w:cs="Arial"/>
                <w:sz w:val="22"/>
                <w:szCs w:val="22"/>
              </w:rPr>
              <w:t>1:10 000</w:t>
            </w:r>
          </w:p>
        </w:tc>
      </w:tr>
      <w:tr w:rsidR="00CA23D0" w:rsidRPr="00E26E24" w14:paraId="08814C69" w14:textId="77777777" w:rsidTr="00CA23D0">
        <w:trPr>
          <w:trHeight w:val="239"/>
        </w:trPr>
        <w:tc>
          <w:tcPr>
            <w:tcW w:w="6544" w:type="dxa"/>
            <w:tcBorders>
              <w:top w:val="nil"/>
              <w:left w:val="nil"/>
              <w:bottom w:val="nil"/>
              <w:right w:val="nil"/>
            </w:tcBorders>
            <w:shd w:val="clear" w:color="auto" w:fill="auto"/>
          </w:tcPr>
          <w:p w14:paraId="76325E72" w14:textId="77777777" w:rsidR="00CA23D0" w:rsidRPr="00E26E24" w:rsidRDefault="00CA23D0" w:rsidP="00CA23D0">
            <w:pPr>
              <w:spacing w:before="60" w:line="288" w:lineRule="auto"/>
              <w:ind w:left="101"/>
              <w:jc w:val="both"/>
              <w:rPr>
                <w:rFonts w:ascii="Arial" w:hAnsi="Arial" w:cs="Arial"/>
                <w:sz w:val="22"/>
                <w:szCs w:val="22"/>
              </w:rPr>
            </w:pPr>
            <w:r w:rsidRPr="00E26E24">
              <w:rPr>
                <w:rFonts w:ascii="Arial" w:hAnsi="Arial" w:cs="Arial"/>
                <w:sz w:val="22"/>
                <w:szCs w:val="22"/>
              </w:rPr>
              <w:t>3. hlavní výkres - jádrové území města</w:t>
            </w:r>
          </w:p>
        </w:tc>
        <w:tc>
          <w:tcPr>
            <w:tcW w:w="1842" w:type="dxa"/>
            <w:tcBorders>
              <w:top w:val="nil"/>
              <w:left w:val="nil"/>
              <w:bottom w:val="nil"/>
              <w:right w:val="nil"/>
            </w:tcBorders>
            <w:shd w:val="clear" w:color="auto" w:fill="auto"/>
          </w:tcPr>
          <w:p w14:paraId="055E2A16" w14:textId="77777777" w:rsidR="00CA23D0" w:rsidRPr="00E26E24" w:rsidRDefault="00CA23D0" w:rsidP="00CA23D0">
            <w:pPr>
              <w:spacing w:before="60" w:line="288" w:lineRule="auto"/>
              <w:ind w:left="10"/>
              <w:jc w:val="both"/>
              <w:rPr>
                <w:rFonts w:ascii="Arial" w:hAnsi="Arial" w:cs="Arial"/>
                <w:sz w:val="22"/>
                <w:szCs w:val="22"/>
              </w:rPr>
            </w:pPr>
            <w:r w:rsidRPr="00E26E24">
              <w:rPr>
                <w:rFonts w:ascii="Arial" w:hAnsi="Arial" w:cs="Arial"/>
                <w:sz w:val="22"/>
                <w:szCs w:val="22"/>
              </w:rPr>
              <w:t>1:5 000</w:t>
            </w:r>
          </w:p>
        </w:tc>
      </w:tr>
      <w:tr w:rsidR="00CA23D0" w:rsidRPr="00E26E24" w14:paraId="7347008C" w14:textId="77777777" w:rsidTr="00CA23D0">
        <w:trPr>
          <w:trHeight w:val="234"/>
        </w:trPr>
        <w:tc>
          <w:tcPr>
            <w:tcW w:w="6544" w:type="dxa"/>
            <w:tcBorders>
              <w:top w:val="nil"/>
              <w:left w:val="nil"/>
              <w:bottom w:val="nil"/>
              <w:right w:val="nil"/>
            </w:tcBorders>
            <w:shd w:val="clear" w:color="auto" w:fill="auto"/>
          </w:tcPr>
          <w:p w14:paraId="635D1762" w14:textId="77777777" w:rsidR="00CA23D0" w:rsidRPr="00E26E24" w:rsidRDefault="00CA23D0" w:rsidP="00CA23D0">
            <w:pPr>
              <w:spacing w:before="60" w:line="288" w:lineRule="auto"/>
              <w:ind w:left="96"/>
              <w:jc w:val="both"/>
              <w:rPr>
                <w:rFonts w:ascii="Arial" w:hAnsi="Arial" w:cs="Arial"/>
                <w:sz w:val="22"/>
                <w:szCs w:val="22"/>
              </w:rPr>
            </w:pPr>
            <w:r w:rsidRPr="00E26E24">
              <w:rPr>
                <w:rFonts w:ascii="Arial" w:hAnsi="Arial" w:cs="Arial"/>
                <w:sz w:val="22"/>
                <w:szCs w:val="22"/>
              </w:rPr>
              <w:t>4. návrh dopravního řešení</w:t>
            </w:r>
          </w:p>
        </w:tc>
        <w:tc>
          <w:tcPr>
            <w:tcW w:w="1842" w:type="dxa"/>
            <w:tcBorders>
              <w:top w:val="nil"/>
              <w:left w:val="nil"/>
              <w:bottom w:val="nil"/>
              <w:right w:val="nil"/>
            </w:tcBorders>
            <w:shd w:val="clear" w:color="auto" w:fill="auto"/>
          </w:tcPr>
          <w:p w14:paraId="0556F022" w14:textId="77777777" w:rsidR="00CA23D0" w:rsidRPr="00E26E24" w:rsidRDefault="00CA23D0" w:rsidP="00CA23D0">
            <w:pPr>
              <w:spacing w:before="60" w:line="288" w:lineRule="auto"/>
              <w:ind w:left="10"/>
              <w:jc w:val="both"/>
              <w:rPr>
                <w:rFonts w:ascii="Arial" w:hAnsi="Arial" w:cs="Arial"/>
                <w:sz w:val="22"/>
                <w:szCs w:val="22"/>
              </w:rPr>
            </w:pPr>
            <w:r w:rsidRPr="00E26E24">
              <w:rPr>
                <w:rFonts w:ascii="Arial" w:hAnsi="Arial" w:cs="Arial"/>
                <w:sz w:val="22"/>
                <w:szCs w:val="22"/>
              </w:rPr>
              <w:t>1:5 000</w:t>
            </w:r>
          </w:p>
        </w:tc>
      </w:tr>
      <w:tr w:rsidR="00CA23D0" w:rsidRPr="00E26E24" w14:paraId="5AD46362" w14:textId="77777777" w:rsidTr="00CA23D0">
        <w:trPr>
          <w:trHeight w:val="235"/>
        </w:trPr>
        <w:tc>
          <w:tcPr>
            <w:tcW w:w="6544" w:type="dxa"/>
            <w:tcBorders>
              <w:top w:val="nil"/>
              <w:left w:val="nil"/>
              <w:bottom w:val="nil"/>
              <w:right w:val="nil"/>
            </w:tcBorders>
            <w:shd w:val="clear" w:color="auto" w:fill="auto"/>
          </w:tcPr>
          <w:p w14:paraId="05ECDD8B" w14:textId="77777777" w:rsidR="00CA23D0" w:rsidRPr="00E26E24" w:rsidRDefault="00CA23D0" w:rsidP="00CA23D0">
            <w:pPr>
              <w:spacing w:before="60" w:line="288" w:lineRule="auto"/>
              <w:ind w:left="91"/>
              <w:jc w:val="both"/>
              <w:rPr>
                <w:rFonts w:ascii="Arial" w:hAnsi="Arial" w:cs="Arial"/>
                <w:sz w:val="22"/>
                <w:szCs w:val="22"/>
              </w:rPr>
            </w:pPr>
            <w:r w:rsidRPr="00E26E24">
              <w:rPr>
                <w:rFonts w:ascii="Arial" w:hAnsi="Arial" w:cs="Arial"/>
                <w:sz w:val="22"/>
                <w:szCs w:val="22"/>
              </w:rPr>
              <w:t>5. návrh zásobování pitnou a užitkovou vodou</w:t>
            </w:r>
          </w:p>
        </w:tc>
        <w:tc>
          <w:tcPr>
            <w:tcW w:w="1842" w:type="dxa"/>
            <w:tcBorders>
              <w:top w:val="nil"/>
              <w:left w:val="nil"/>
              <w:bottom w:val="nil"/>
              <w:right w:val="nil"/>
            </w:tcBorders>
            <w:shd w:val="clear" w:color="auto" w:fill="auto"/>
          </w:tcPr>
          <w:p w14:paraId="6AFBD983" w14:textId="77777777" w:rsidR="00CA23D0" w:rsidRPr="00E26E24" w:rsidRDefault="00CA23D0" w:rsidP="00CA23D0">
            <w:pPr>
              <w:spacing w:before="60" w:line="288" w:lineRule="auto"/>
              <w:ind w:left="10"/>
              <w:jc w:val="both"/>
              <w:rPr>
                <w:rFonts w:ascii="Arial" w:hAnsi="Arial" w:cs="Arial"/>
                <w:sz w:val="22"/>
                <w:szCs w:val="22"/>
              </w:rPr>
            </w:pPr>
            <w:r w:rsidRPr="00E26E24">
              <w:rPr>
                <w:rFonts w:ascii="Arial" w:hAnsi="Arial" w:cs="Arial"/>
                <w:sz w:val="22"/>
                <w:szCs w:val="22"/>
              </w:rPr>
              <w:t>1:5 000</w:t>
            </w:r>
          </w:p>
        </w:tc>
      </w:tr>
      <w:tr w:rsidR="00CA23D0" w:rsidRPr="00E26E24" w14:paraId="303E010D" w14:textId="77777777" w:rsidTr="00CA23D0">
        <w:trPr>
          <w:trHeight w:val="232"/>
        </w:trPr>
        <w:tc>
          <w:tcPr>
            <w:tcW w:w="6544" w:type="dxa"/>
            <w:tcBorders>
              <w:top w:val="nil"/>
              <w:left w:val="nil"/>
              <w:bottom w:val="nil"/>
              <w:right w:val="nil"/>
            </w:tcBorders>
            <w:shd w:val="clear" w:color="auto" w:fill="auto"/>
          </w:tcPr>
          <w:p w14:paraId="20F59CEA" w14:textId="77777777" w:rsidR="00CA23D0" w:rsidRPr="00E26E24" w:rsidRDefault="00CA23D0" w:rsidP="00CA23D0">
            <w:pPr>
              <w:spacing w:before="60" w:line="288" w:lineRule="auto"/>
              <w:ind w:left="86"/>
              <w:jc w:val="both"/>
              <w:rPr>
                <w:rFonts w:ascii="Arial" w:hAnsi="Arial" w:cs="Arial"/>
                <w:sz w:val="22"/>
                <w:szCs w:val="22"/>
              </w:rPr>
            </w:pPr>
            <w:r w:rsidRPr="00E26E24">
              <w:rPr>
                <w:rFonts w:ascii="Arial" w:hAnsi="Arial" w:cs="Arial"/>
                <w:sz w:val="22"/>
                <w:szCs w:val="22"/>
              </w:rPr>
              <w:t>6. návrh likvidace odpadních vod</w:t>
            </w:r>
          </w:p>
        </w:tc>
        <w:tc>
          <w:tcPr>
            <w:tcW w:w="1842" w:type="dxa"/>
            <w:tcBorders>
              <w:top w:val="nil"/>
              <w:left w:val="nil"/>
              <w:bottom w:val="nil"/>
              <w:right w:val="nil"/>
            </w:tcBorders>
            <w:shd w:val="clear" w:color="auto" w:fill="auto"/>
          </w:tcPr>
          <w:p w14:paraId="09918F95" w14:textId="77777777" w:rsidR="00CA23D0" w:rsidRPr="00E26E24" w:rsidRDefault="00CA23D0" w:rsidP="00CA23D0">
            <w:pPr>
              <w:spacing w:before="60" w:line="288" w:lineRule="auto"/>
              <w:ind w:left="10"/>
              <w:jc w:val="both"/>
              <w:rPr>
                <w:rFonts w:ascii="Arial" w:hAnsi="Arial" w:cs="Arial"/>
                <w:sz w:val="22"/>
                <w:szCs w:val="22"/>
              </w:rPr>
            </w:pPr>
            <w:r w:rsidRPr="00E26E24">
              <w:rPr>
                <w:rFonts w:ascii="Arial" w:hAnsi="Arial" w:cs="Arial"/>
                <w:sz w:val="22"/>
                <w:szCs w:val="22"/>
              </w:rPr>
              <w:t>1:5 000</w:t>
            </w:r>
          </w:p>
        </w:tc>
      </w:tr>
      <w:tr w:rsidR="00CA23D0" w:rsidRPr="00E26E24" w14:paraId="20902A11" w14:textId="77777777" w:rsidTr="00CA23D0">
        <w:trPr>
          <w:trHeight w:val="231"/>
        </w:trPr>
        <w:tc>
          <w:tcPr>
            <w:tcW w:w="6544" w:type="dxa"/>
            <w:tcBorders>
              <w:top w:val="nil"/>
              <w:left w:val="nil"/>
              <w:bottom w:val="nil"/>
              <w:right w:val="nil"/>
            </w:tcBorders>
            <w:shd w:val="clear" w:color="auto" w:fill="auto"/>
          </w:tcPr>
          <w:p w14:paraId="55BB12DB" w14:textId="77777777" w:rsidR="00CA23D0" w:rsidRPr="00E26E24" w:rsidRDefault="00CA23D0" w:rsidP="00CA23D0">
            <w:pPr>
              <w:spacing w:before="60" w:line="288" w:lineRule="auto"/>
              <w:ind w:left="82"/>
              <w:jc w:val="both"/>
              <w:rPr>
                <w:rFonts w:ascii="Arial" w:hAnsi="Arial" w:cs="Arial"/>
                <w:sz w:val="22"/>
                <w:szCs w:val="22"/>
              </w:rPr>
            </w:pPr>
            <w:r w:rsidRPr="00E26E24">
              <w:rPr>
                <w:rFonts w:ascii="Arial" w:hAnsi="Arial" w:cs="Arial"/>
                <w:sz w:val="22"/>
                <w:szCs w:val="22"/>
              </w:rPr>
              <w:t>7. návrh zásobování teplem a plynem</w:t>
            </w:r>
          </w:p>
        </w:tc>
        <w:tc>
          <w:tcPr>
            <w:tcW w:w="1842" w:type="dxa"/>
            <w:tcBorders>
              <w:top w:val="nil"/>
              <w:left w:val="nil"/>
              <w:bottom w:val="nil"/>
              <w:right w:val="nil"/>
            </w:tcBorders>
            <w:shd w:val="clear" w:color="auto" w:fill="auto"/>
          </w:tcPr>
          <w:p w14:paraId="04CF522D" w14:textId="77777777" w:rsidR="00CA23D0" w:rsidRPr="00E26E24" w:rsidRDefault="00CA23D0" w:rsidP="00CA23D0">
            <w:pPr>
              <w:spacing w:before="60" w:line="288" w:lineRule="auto"/>
              <w:ind w:left="10"/>
              <w:jc w:val="both"/>
              <w:rPr>
                <w:rFonts w:ascii="Arial" w:hAnsi="Arial" w:cs="Arial"/>
                <w:sz w:val="22"/>
                <w:szCs w:val="22"/>
              </w:rPr>
            </w:pPr>
            <w:r w:rsidRPr="00E26E24">
              <w:rPr>
                <w:rFonts w:ascii="Arial" w:hAnsi="Arial" w:cs="Arial"/>
                <w:sz w:val="22"/>
                <w:szCs w:val="22"/>
              </w:rPr>
              <w:t>1:5 000</w:t>
            </w:r>
          </w:p>
        </w:tc>
      </w:tr>
      <w:tr w:rsidR="00CA23D0" w:rsidRPr="00E26E24" w14:paraId="4CFDFEAA" w14:textId="77777777" w:rsidTr="00CA23D0">
        <w:trPr>
          <w:trHeight w:val="231"/>
        </w:trPr>
        <w:tc>
          <w:tcPr>
            <w:tcW w:w="6544" w:type="dxa"/>
            <w:tcBorders>
              <w:top w:val="nil"/>
              <w:left w:val="nil"/>
              <w:bottom w:val="nil"/>
              <w:right w:val="nil"/>
            </w:tcBorders>
            <w:shd w:val="clear" w:color="auto" w:fill="auto"/>
          </w:tcPr>
          <w:p w14:paraId="55AA9DF9" w14:textId="77777777" w:rsidR="00CA23D0" w:rsidRPr="00E26E24" w:rsidRDefault="00CA23D0" w:rsidP="00CA23D0">
            <w:pPr>
              <w:spacing w:before="60" w:line="288" w:lineRule="auto"/>
              <w:ind w:left="91"/>
              <w:jc w:val="both"/>
              <w:rPr>
                <w:rFonts w:ascii="Arial" w:hAnsi="Arial" w:cs="Arial"/>
                <w:sz w:val="22"/>
                <w:szCs w:val="22"/>
              </w:rPr>
            </w:pPr>
            <w:r w:rsidRPr="00E26E24">
              <w:rPr>
                <w:rFonts w:ascii="Arial" w:hAnsi="Arial" w:cs="Arial"/>
                <w:sz w:val="22"/>
                <w:szCs w:val="22"/>
              </w:rPr>
              <w:t>8. návrh zásobování elektrickou energií a spoje</w:t>
            </w:r>
          </w:p>
        </w:tc>
        <w:tc>
          <w:tcPr>
            <w:tcW w:w="1842" w:type="dxa"/>
            <w:tcBorders>
              <w:top w:val="nil"/>
              <w:left w:val="nil"/>
              <w:bottom w:val="nil"/>
              <w:right w:val="nil"/>
            </w:tcBorders>
            <w:shd w:val="clear" w:color="auto" w:fill="auto"/>
          </w:tcPr>
          <w:p w14:paraId="0D7B4475" w14:textId="77777777" w:rsidR="00CA23D0" w:rsidRPr="00E26E24" w:rsidRDefault="00CA23D0" w:rsidP="00CA23D0">
            <w:pPr>
              <w:spacing w:before="60" w:line="288" w:lineRule="auto"/>
              <w:ind w:left="5"/>
              <w:jc w:val="both"/>
              <w:rPr>
                <w:rFonts w:ascii="Arial" w:hAnsi="Arial" w:cs="Arial"/>
                <w:sz w:val="22"/>
                <w:szCs w:val="22"/>
              </w:rPr>
            </w:pPr>
            <w:r w:rsidRPr="00E26E24">
              <w:rPr>
                <w:rFonts w:ascii="Arial" w:hAnsi="Arial" w:cs="Arial"/>
                <w:sz w:val="22"/>
                <w:szCs w:val="22"/>
              </w:rPr>
              <w:t>1:5 000</w:t>
            </w:r>
          </w:p>
        </w:tc>
      </w:tr>
      <w:tr w:rsidR="00CA23D0" w:rsidRPr="00E26E24" w14:paraId="50ED6B3E" w14:textId="77777777" w:rsidTr="00CA23D0">
        <w:trPr>
          <w:trHeight w:val="231"/>
        </w:trPr>
        <w:tc>
          <w:tcPr>
            <w:tcW w:w="6544" w:type="dxa"/>
            <w:tcBorders>
              <w:top w:val="nil"/>
              <w:left w:val="nil"/>
              <w:bottom w:val="nil"/>
              <w:right w:val="nil"/>
            </w:tcBorders>
            <w:shd w:val="clear" w:color="auto" w:fill="auto"/>
          </w:tcPr>
          <w:p w14:paraId="471FA882" w14:textId="77777777" w:rsidR="00CA23D0" w:rsidRPr="00E26E24" w:rsidRDefault="00CA23D0" w:rsidP="00CA23D0">
            <w:pPr>
              <w:spacing w:before="60" w:line="288" w:lineRule="auto"/>
              <w:ind w:left="48"/>
              <w:jc w:val="both"/>
              <w:rPr>
                <w:rFonts w:ascii="Arial" w:hAnsi="Arial" w:cs="Arial"/>
                <w:sz w:val="22"/>
                <w:szCs w:val="22"/>
              </w:rPr>
            </w:pPr>
            <w:r w:rsidRPr="00E26E24">
              <w:rPr>
                <w:rFonts w:ascii="Arial" w:hAnsi="Arial" w:cs="Arial"/>
                <w:sz w:val="22"/>
                <w:szCs w:val="22"/>
              </w:rPr>
              <w:t>9. vymezení veřejně prospěšných staveb</w:t>
            </w:r>
          </w:p>
        </w:tc>
        <w:tc>
          <w:tcPr>
            <w:tcW w:w="1842" w:type="dxa"/>
            <w:tcBorders>
              <w:top w:val="nil"/>
              <w:left w:val="nil"/>
              <w:bottom w:val="nil"/>
              <w:right w:val="nil"/>
            </w:tcBorders>
            <w:shd w:val="clear" w:color="auto" w:fill="auto"/>
          </w:tcPr>
          <w:p w14:paraId="24905A85" w14:textId="77777777" w:rsidR="00CA23D0" w:rsidRPr="00E26E24" w:rsidRDefault="00CA23D0" w:rsidP="00CA23D0">
            <w:pPr>
              <w:spacing w:before="60" w:line="288" w:lineRule="auto"/>
              <w:ind w:left="5"/>
              <w:jc w:val="both"/>
              <w:rPr>
                <w:rFonts w:ascii="Arial" w:hAnsi="Arial" w:cs="Arial"/>
                <w:sz w:val="22"/>
                <w:szCs w:val="22"/>
              </w:rPr>
            </w:pPr>
            <w:r w:rsidRPr="00E26E24">
              <w:rPr>
                <w:rFonts w:ascii="Arial" w:hAnsi="Arial" w:cs="Arial"/>
                <w:sz w:val="22"/>
                <w:szCs w:val="22"/>
              </w:rPr>
              <w:t>1:5 000</w:t>
            </w:r>
          </w:p>
        </w:tc>
      </w:tr>
      <w:tr w:rsidR="00CA23D0" w:rsidRPr="00E26E24" w14:paraId="70E58607" w14:textId="77777777" w:rsidTr="00CA23D0">
        <w:trPr>
          <w:trHeight w:val="229"/>
        </w:trPr>
        <w:tc>
          <w:tcPr>
            <w:tcW w:w="6544" w:type="dxa"/>
            <w:tcBorders>
              <w:top w:val="nil"/>
              <w:left w:val="nil"/>
              <w:bottom w:val="nil"/>
              <w:right w:val="nil"/>
            </w:tcBorders>
            <w:shd w:val="clear" w:color="auto" w:fill="auto"/>
          </w:tcPr>
          <w:p w14:paraId="3F381BF0" w14:textId="77777777" w:rsidR="00CA23D0" w:rsidRPr="00E26E24" w:rsidRDefault="00CA23D0" w:rsidP="00CA23D0">
            <w:pPr>
              <w:spacing w:before="60" w:line="288" w:lineRule="auto"/>
              <w:jc w:val="both"/>
              <w:rPr>
                <w:rFonts w:ascii="Arial" w:hAnsi="Arial" w:cs="Arial"/>
                <w:sz w:val="22"/>
                <w:szCs w:val="22"/>
              </w:rPr>
            </w:pPr>
            <w:r w:rsidRPr="00E26E24">
              <w:rPr>
                <w:rFonts w:ascii="Arial" w:hAnsi="Arial" w:cs="Arial"/>
                <w:noProof/>
                <w:sz w:val="22"/>
                <w:szCs w:val="22"/>
                <w:lang w:eastAsia="cs-CZ"/>
              </w:rPr>
              <w:drawing>
                <wp:inline distT="0" distB="0" distL="0" distR="0" wp14:anchorId="06BA0091" wp14:editId="28B47918">
                  <wp:extent cx="13335" cy="13335"/>
                  <wp:effectExtent l="0" t="0" r="0" b="0"/>
                  <wp:docPr id="43" name="Obráze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E26E24">
              <w:rPr>
                <w:rFonts w:ascii="Arial" w:hAnsi="Arial" w:cs="Arial"/>
                <w:sz w:val="22"/>
                <w:szCs w:val="22"/>
              </w:rPr>
              <w:t>10. vymezení etapizace výstavby</w:t>
            </w:r>
          </w:p>
        </w:tc>
        <w:tc>
          <w:tcPr>
            <w:tcW w:w="1842" w:type="dxa"/>
            <w:tcBorders>
              <w:top w:val="nil"/>
              <w:left w:val="nil"/>
              <w:bottom w:val="nil"/>
              <w:right w:val="nil"/>
            </w:tcBorders>
            <w:shd w:val="clear" w:color="auto" w:fill="auto"/>
          </w:tcPr>
          <w:p w14:paraId="6694AE09" w14:textId="77777777" w:rsidR="00CA23D0" w:rsidRPr="00E26E24" w:rsidRDefault="00CA23D0" w:rsidP="00CA23D0">
            <w:pPr>
              <w:spacing w:before="60" w:line="288" w:lineRule="auto"/>
              <w:ind w:left="5"/>
              <w:jc w:val="both"/>
              <w:rPr>
                <w:rFonts w:ascii="Arial" w:hAnsi="Arial" w:cs="Arial"/>
                <w:sz w:val="22"/>
                <w:szCs w:val="22"/>
              </w:rPr>
            </w:pPr>
            <w:r w:rsidRPr="00E26E24">
              <w:rPr>
                <w:rFonts w:ascii="Arial" w:hAnsi="Arial" w:cs="Arial"/>
                <w:sz w:val="22"/>
                <w:szCs w:val="22"/>
              </w:rPr>
              <w:t>1:5 000</w:t>
            </w:r>
          </w:p>
        </w:tc>
      </w:tr>
    </w:tbl>
    <w:p w14:paraId="3053B6ED" w14:textId="77777777" w:rsidR="00CA23D0" w:rsidRPr="00E26E24" w:rsidRDefault="00CA23D0" w:rsidP="00CA23D0">
      <w:pPr>
        <w:spacing w:before="60" w:line="288" w:lineRule="auto"/>
        <w:ind w:left="695" w:right="4"/>
        <w:jc w:val="both"/>
        <w:rPr>
          <w:rFonts w:ascii="Arial" w:hAnsi="Arial" w:cs="Arial"/>
          <w:sz w:val="22"/>
          <w:szCs w:val="22"/>
        </w:rPr>
      </w:pPr>
      <w:r w:rsidRPr="00E26E24">
        <w:rPr>
          <w:rFonts w:ascii="Arial" w:hAnsi="Arial" w:cs="Arial"/>
          <w:sz w:val="22"/>
          <w:szCs w:val="22"/>
        </w:rPr>
        <w:t>11. vyhodnocení důsledků navrženého řešení na ZPF a PUPFL      1:5 000</w:t>
      </w:r>
    </w:p>
    <w:p w14:paraId="169D69A8" w14:textId="77777777" w:rsidR="00CA23D0" w:rsidRPr="00E26E24" w:rsidRDefault="00CA23D0" w:rsidP="00CA23D0">
      <w:pPr>
        <w:spacing w:before="120" w:line="288" w:lineRule="auto"/>
        <w:ind w:left="700" w:right="9" w:hanging="5"/>
        <w:jc w:val="both"/>
        <w:rPr>
          <w:rFonts w:ascii="Arial" w:hAnsi="Arial" w:cs="Arial"/>
          <w:sz w:val="22"/>
          <w:szCs w:val="22"/>
        </w:rPr>
      </w:pPr>
      <w:r w:rsidRPr="00E26E24">
        <w:rPr>
          <w:rFonts w:ascii="Arial" w:hAnsi="Arial" w:cs="Arial"/>
          <w:sz w:val="22"/>
          <w:szCs w:val="22"/>
        </w:rPr>
        <w:t>Grafická část je zpracována informačním systémem Maplnfo Professional 5.5 CZ.</w:t>
      </w:r>
    </w:p>
    <w:p w14:paraId="2FEB176B" w14:textId="77777777" w:rsidR="00CA23D0" w:rsidRPr="00E26E24" w:rsidRDefault="00CA23D0" w:rsidP="00CA23D0">
      <w:pPr>
        <w:spacing w:before="120" w:line="288" w:lineRule="auto"/>
        <w:ind w:left="700" w:right="9" w:hanging="5"/>
        <w:jc w:val="both"/>
        <w:rPr>
          <w:rFonts w:ascii="Arial" w:hAnsi="Arial" w:cs="Arial"/>
          <w:sz w:val="22"/>
          <w:szCs w:val="22"/>
        </w:rPr>
      </w:pPr>
      <w:r w:rsidRPr="00E26E24">
        <w:rPr>
          <w:rFonts w:ascii="Arial" w:hAnsi="Arial" w:cs="Arial"/>
          <w:sz w:val="22"/>
          <w:szCs w:val="22"/>
        </w:rPr>
        <w:t>Při DGN zpracování grafické části se vycházelo z podkladů předaných pořizovatelem</w:t>
      </w:r>
      <w:r w:rsidRPr="00E26E24">
        <w:rPr>
          <w:rFonts w:ascii="Arial" w:hAnsi="Arial" w:cs="Arial"/>
          <w:noProof/>
          <w:sz w:val="22"/>
          <w:szCs w:val="22"/>
          <w:lang w:eastAsia="cs-CZ"/>
        </w:rPr>
        <w:drawing>
          <wp:inline distT="0" distB="0" distL="0" distR="0" wp14:anchorId="2E964CF6" wp14:editId="57133888">
            <wp:extent cx="27305" cy="67945"/>
            <wp:effectExtent l="0" t="0" r="0" b="8255"/>
            <wp:docPr id="42" name="Obráze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7305" cy="67945"/>
                    </a:xfrm>
                    <a:prstGeom prst="rect">
                      <a:avLst/>
                    </a:prstGeom>
                    <a:noFill/>
                    <a:ln>
                      <a:noFill/>
                    </a:ln>
                  </pic:spPr>
                </pic:pic>
              </a:graphicData>
            </a:graphic>
          </wp:inline>
        </w:drawing>
      </w:r>
    </w:p>
    <w:p w14:paraId="68EE1EFD" w14:textId="77777777" w:rsidR="00CA23D0" w:rsidRPr="00E26E24" w:rsidRDefault="00CA23D0" w:rsidP="00CA23D0">
      <w:pPr>
        <w:pStyle w:val="Odstavecseseznamem"/>
        <w:numPr>
          <w:ilvl w:val="0"/>
          <w:numId w:val="9"/>
        </w:numPr>
        <w:spacing w:before="120" w:after="0" w:line="288" w:lineRule="auto"/>
        <w:ind w:right="7"/>
        <w:jc w:val="both"/>
        <w:rPr>
          <w:rFonts w:ascii="Arial" w:hAnsi="Arial" w:cs="Arial"/>
        </w:rPr>
      </w:pPr>
      <w:r w:rsidRPr="00E26E24">
        <w:rPr>
          <w:rFonts w:ascii="Arial" w:hAnsi="Arial" w:cs="Arial"/>
        </w:rPr>
        <w:t>'SPI” 1:1000 pro všechny k.</w:t>
      </w:r>
      <w:r>
        <w:rPr>
          <w:rFonts w:ascii="Arial" w:hAnsi="Arial" w:cs="Arial"/>
        </w:rPr>
        <w:t xml:space="preserve"> </w:t>
      </w:r>
      <w:r w:rsidRPr="00E26E24">
        <w:rPr>
          <w:rFonts w:ascii="Arial" w:hAnsi="Arial" w:cs="Arial"/>
        </w:rPr>
        <w:t>ú. města, které byly následně zhotovitelem aktualizovány a dopracovány pro potřeby ÚPN.</w:t>
      </w:r>
    </w:p>
    <w:p w14:paraId="1227B5D1" w14:textId="77777777" w:rsidR="00CA23D0" w:rsidRDefault="00CA23D0" w:rsidP="00CA23D0">
      <w:pPr>
        <w:pStyle w:val="Odstavecseseznamem"/>
        <w:numPr>
          <w:ilvl w:val="0"/>
          <w:numId w:val="9"/>
        </w:numPr>
        <w:spacing w:before="120" w:after="0" w:line="288" w:lineRule="auto"/>
        <w:ind w:right="7"/>
        <w:jc w:val="both"/>
        <w:rPr>
          <w:rFonts w:ascii="Arial" w:hAnsi="Arial" w:cs="Arial"/>
        </w:rPr>
      </w:pPr>
      <w:r w:rsidRPr="00E26E24">
        <w:rPr>
          <w:rFonts w:ascii="Arial" w:hAnsi="Arial" w:cs="Arial"/>
        </w:rPr>
        <w:t>ZABAGED 3D 1:10 000 (Čúz a</w:t>
      </w:r>
      <w:r>
        <w:rPr>
          <w:rFonts w:ascii="Arial" w:hAnsi="Arial" w:cs="Arial"/>
        </w:rPr>
        <w:t xml:space="preserve">. </w:t>
      </w:r>
      <w:r w:rsidRPr="00E26E24">
        <w:rPr>
          <w:rFonts w:ascii="Arial" w:hAnsi="Arial" w:cs="Arial"/>
        </w:rPr>
        <w:t>s. Praha) jako výškopisný podklad</w:t>
      </w:r>
    </w:p>
    <w:p w14:paraId="1876C79A" w14:textId="77777777" w:rsidR="00CA23D0" w:rsidRPr="00E26E24" w:rsidRDefault="00CA23D0" w:rsidP="00CA23D0">
      <w:pPr>
        <w:pStyle w:val="Odstavecseseznamem"/>
        <w:numPr>
          <w:ilvl w:val="0"/>
          <w:numId w:val="9"/>
        </w:numPr>
        <w:spacing w:before="120" w:after="0" w:line="288" w:lineRule="auto"/>
        <w:ind w:right="7"/>
        <w:jc w:val="both"/>
        <w:rPr>
          <w:rFonts w:ascii="Arial" w:hAnsi="Arial" w:cs="Arial"/>
        </w:rPr>
      </w:pPr>
    </w:p>
    <w:p w14:paraId="1FD42D06" w14:textId="77777777" w:rsidR="00CA23D0" w:rsidRDefault="00CA23D0" w:rsidP="00CA23D0">
      <w:pPr>
        <w:spacing w:line="276" w:lineRule="auto"/>
        <w:jc w:val="both"/>
        <w:rPr>
          <w:rFonts w:ascii="Arial" w:hAnsi="Arial" w:cs="Arial"/>
          <w:b/>
          <w:color w:val="00B050"/>
          <w:spacing w:val="-1"/>
          <w:sz w:val="28"/>
        </w:rPr>
      </w:pPr>
    </w:p>
    <w:p w14:paraId="29CFFCFF" w14:textId="77777777" w:rsidR="00CA23D0" w:rsidRDefault="00CA23D0" w:rsidP="00CA23D0">
      <w:pPr>
        <w:spacing w:line="276" w:lineRule="auto"/>
        <w:jc w:val="both"/>
        <w:rPr>
          <w:rFonts w:ascii="Arial" w:hAnsi="Arial" w:cs="Arial"/>
          <w:b/>
          <w:color w:val="00B050"/>
          <w:spacing w:val="-1"/>
          <w:sz w:val="28"/>
        </w:rPr>
      </w:pPr>
    </w:p>
    <w:p w14:paraId="2B2996DC" w14:textId="77777777" w:rsidR="00CA23D0" w:rsidRDefault="00CA23D0" w:rsidP="00CA23D0">
      <w:pPr>
        <w:spacing w:line="276" w:lineRule="auto"/>
        <w:jc w:val="both"/>
        <w:rPr>
          <w:rFonts w:ascii="Arial" w:hAnsi="Arial" w:cs="Arial"/>
          <w:b/>
          <w:color w:val="00B050"/>
          <w:spacing w:val="-1"/>
          <w:sz w:val="28"/>
        </w:rPr>
      </w:pPr>
    </w:p>
    <w:p w14:paraId="758D2FB0" w14:textId="77777777" w:rsidR="00CA23D0" w:rsidRDefault="00CA23D0" w:rsidP="00CA23D0">
      <w:pPr>
        <w:spacing w:line="276" w:lineRule="auto"/>
        <w:jc w:val="both"/>
        <w:rPr>
          <w:rFonts w:ascii="Arial" w:hAnsi="Arial" w:cs="Arial"/>
          <w:b/>
          <w:color w:val="00B050"/>
          <w:spacing w:val="-1"/>
          <w:sz w:val="28"/>
        </w:rPr>
      </w:pPr>
    </w:p>
    <w:p w14:paraId="446B74DD" w14:textId="77777777" w:rsidR="00CA23D0" w:rsidRDefault="00CA23D0" w:rsidP="00CA23D0">
      <w:pPr>
        <w:spacing w:line="276" w:lineRule="auto"/>
        <w:jc w:val="both"/>
        <w:rPr>
          <w:rFonts w:ascii="Arial" w:hAnsi="Arial" w:cs="Arial"/>
          <w:b/>
          <w:color w:val="00B050"/>
          <w:spacing w:val="-1"/>
          <w:sz w:val="28"/>
        </w:rPr>
      </w:pPr>
    </w:p>
    <w:p w14:paraId="696F1AEC" w14:textId="77777777" w:rsidR="00CA23D0" w:rsidRDefault="00CA23D0" w:rsidP="00CA23D0">
      <w:pPr>
        <w:spacing w:line="276" w:lineRule="auto"/>
        <w:jc w:val="both"/>
        <w:rPr>
          <w:rFonts w:ascii="Arial" w:hAnsi="Arial" w:cs="Arial"/>
          <w:b/>
          <w:color w:val="00B050"/>
          <w:spacing w:val="-1"/>
          <w:sz w:val="28"/>
        </w:rPr>
      </w:pPr>
    </w:p>
    <w:p w14:paraId="6668CB5D" w14:textId="77777777" w:rsidR="00CA23D0" w:rsidRDefault="00CA23D0" w:rsidP="00CA23D0">
      <w:pPr>
        <w:spacing w:line="276" w:lineRule="auto"/>
        <w:jc w:val="both"/>
        <w:rPr>
          <w:rFonts w:ascii="Arial" w:hAnsi="Arial" w:cs="Arial"/>
          <w:b/>
          <w:color w:val="00B050"/>
          <w:spacing w:val="-1"/>
          <w:sz w:val="28"/>
        </w:rPr>
      </w:pPr>
    </w:p>
    <w:p w14:paraId="5D4EA3BF" w14:textId="77777777" w:rsidR="00CA23D0" w:rsidRDefault="00CA23D0" w:rsidP="00CA23D0">
      <w:pPr>
        <w:ind w:firstLine="708"/>
        <w:jc w:val="both"/>
        <w:rPr>
          <w:rFonts w:ascii="Arial" w:hAnsi="Arial" w:cs="Arial"/>
          <w:sz w:val="22"/>
        </w:rPr>
      </w:pPr>
    </w:p>
    <w:p w14:paraId="2CECC4FB" w14:textId="77777777" w:rsidR="00CA23D0" w:rsidRDefault="00CA23D0" w:rsidP="00CA23D0">
      <w:pPr>
        <w:ind w:firstLine="708"/>
        <w:jc w:val="both"/>
        <w:rPr>
          <w:rFonts w:ascii="Arial" w:hAnsi="Arial" w:cs="Arial"/>
          <w:sz w:val="22"/>
        </w:rPr>
      </w:pPr>
    </w:p>
    <w:p w14:paraId="124DAEEC" w14:textId="77777777" w:rsidR="00CA23D0" w:rsidRDefault="00CA23D0" w:rsidP="00CA23D0">
      <w:pPr>
        <w:ind w:firstLine="708"/>
        <w:jc w:val="both"/>
        <w:rPr>
          <w:rFonts w:ascii="Arial" w:hAnsi="Arial" w:cs="Arial"/>
          <w:sz w:val="22"/>
        </w:rPr>
      </w:pPr>
    </w:p>
    <w:p w14:paraId="493C5020" w14:textId="77777777" w:rsidR="00CA23D0" w:rsidRDefault="00CA23D0" w:rsidP="00CA23D0">
      <w:pPr>
        <w:jc w:val="both"/>
        <w:rPr>
          <w:rFonts w:ascii="Arial" w:hAnsi="Arial" w:cs="Arial"/>
          <w:sz w:val="22"/>
        </w:rPr>
      </w:pPr>
    </w:p>
    <w:p w14:paraId="29DAC4E7" w14:textId="77777777" w:rsidR="00CA23D0" w:rsidRPr="00025C8E" w:rsidRDefault="00CA23D0" w:rsidP="00CA23D0">
      <w:pPr>
        <w:spacing w:line="276" w:lineRule="auto"/>
        <w:jc w:val="both"/>
        <w:rPr>
          <w:rFonts w:ascii="Arial" w:hAnsi="Arial" w:cs="Arial"/>
          <w:b/>
          <w:color w:val="00B050"/>
          <w:spacing w:val="-1"/>
        </w:rPr>
      </w:pPr>
      <w:r w:rsidRPr="00025C8E">
        <w:rPr>
          <w:rFonts w:ascii="Arial" w:hAnsi="Arial" w:cs="Arial"/>
          <w:b/>
          <w:color w:val="00B050"/>
          <w:spacing w:val="-1"/>
        </w:rPr>
        <w:lastRenderedPageBreak/>
        <w:t>(Z1) OBSAH DOKUMENTACE 1. ZMĚNY ÚZEMNÍHO PLÁNU</w:t>
      </w:r>
    </w:p>
    <w:p w14:paraId="48C08D43" w14:textId="77777777" w:rsidR="00CA23D0" w:rsidRPr="00025C8E" w:rsidRDefault="00CA23D0" w:rsidP="00CA23D0">
      <w:pPr>
        <w:pBdr>
          <w:top w:val="single" w:sz="2" w:space="3" w:color="CECDCE"/>
        </w:pBdr>
        <w:spacing w:before="5" w:line="276" w:lineRule="auto"/>
        <w:jc w:val="both"/>
        <w:rPr>
          <w:rFonts w:ascii="Arial" w:hAnsi="Arial" w:cs="Arial"/>
          <w:b/>
          <w:color w:val="00B050"/>
          <w:spacing w:val="-6"/>
        </w:rPr>
      </w:pPr>
      <w:r w:rsidRPr="00025C8E">
        <w:rPr>
          <w:rFonts w:ascii="Arial" w:hAnsi="Arial" w:cs="Arial"/>
          <w:b/>
          <w:color w:val="00B050"/>
          <w:spacing w:val="-6"/>
        </w:rPr>
        <w:t>Grafická Část</w:t>
      </w:r>
    </w:p>
    <w:p w14:paraId="1DF817C9" w14:textId="77777777" w:rsidR="00CA23D0" w:rsidRPr="00DD2A6C" w:rsidRDefault="00CA23D0" w:rsidP="00CA23D0">
      <w:pPr>
        <w:pBdr>
          <w:top w:val="single" w:sz="2" w:space="3" w:color="CECDCE"/>
        </w:pBdr>
        <w:spacing w:before="5" w:line="276" w:lineRule="auto"/>
        <w:jc w:val="both"/>
        <w:rPr>
          <w:rFonts w:ascii="Arial" w:hAnsi="Arial" w:cs="Arial"/>
          <w:color w:val="00B050"/>
          <w:spacing w:val="-6"/>
        </w:rPr>
      </w:pPr>
      <w:r w:rsidRPr="00151BE2">
        <w:rPr>
          <w:rFonts w:ascii="Arial" w:hAnsi="Arial" w:cs="Arial"/>
          <w:noProof/>
          <w:color w:val="00B050"/>
          <w:spacing w:val="-6"/>
          <w:lang w:eastAsia="cs-CZ"/>
        </w:rPr>
        <w:drawing>
          <wp:inline distT="0" distB="0" distL="0" distR="0" wp14:anchorId="176C97F8" wp14:editId="3C0EC169">
            <wp:extent cx="5814060" cy="1651635"/>
            <wp:effectExtent l="38100" t="38100" r="34290" b="43815"/>
            <wp:docPr id="5130" name="Obrázek 5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14060" cy="1651635"/>
                    </a:xfrm>
                    <a:prstGeom prst="rect">
                      <a:avLst/>
                    </a:prstGeom>
                    <a:noFill/>
                    <a:ln w="38100" cmpd="sng">
                      <a:solidFill>
                        <a:srgbClr val="00B050"/>
                      </a:solidFill>
                      <a:miter lim="800000"/>
                      <a:headEnd/>
                      <a:tailEnd/>
                    </a:ln>
                    <a:effectLst/>
                  </pic:spPr>
                </pic:pic>
              </a:graphicData>
            </a:graphic>
          </wp:inline>
        </w:drawing>
      </w:r>
    </w:p>
    <w:p w14:paraId="51B548B2" w14:textId="77777777" w:rsidR="00CA23D0" w:rsidRPr="00025C8E" w:rsidRDefault="00CA23D0" w:rsidP="00CA23D0">
      <w:pPr>
        <w:spacing w:line="276" w:lineRule="auto"/>
        <w:jc w:val="both"/>
        <w:rPr>
          <w:rFonts w:ascii="Arial" w:hAnsi="Arial" w:cs="Arial"/>
          <w:b/>
          <w:color w:val="00B050"/>
          <w:spacing w:val="-6"/>
        </w:rPr>
      </w:pPr>
      <w:r w:rsidRPr="00025C8E">
        <w:rPr>
          <w:rFonts w:ascii="Arial" w:hAnsi="Arial" w:cs="Arial"/>
          <w:b/>
          <w:color w:val="00B050"/>
          <w:spacing w:val="-6"/>
        </w:rPr>
        <w:t>Textová část</w:t>
      </w:r>
    </w:p>
    <w:p w14:paraId="32B2A3DD" w14:textId="77777777" w:rsidR="00CA23D0" w:rsidRPr="00DD2A6C" w:rsidRDefault="00CA23D0" w:rsidP="00CA23D0">
      <w:pPr>
        <w:pStyle w:val="Odstavecseseznamem"/>
        <w:numPr>
          <w:ilvl w:val="0"/>
          <w:numId w:val="11"/>
        </w:numPr>
        <w:spacing w:before="72" w:after="0" w:line="276" w:lineRule="auto"/>
        <w:jc w:val="both"/>
        <w:rPr>
          <w:rFonts w:ascii="Arial" w:hAnsi="Arial" w:cs="Arial"/>
          <w:b/>
          <w:color w:val="00B050"/>
          <w:spacing w:val="-4"/>
        </w:rPr>
      </w:pPr>
      <w:r w:rsidRPr="00DD2A6C">
        <w:rPr>
          <w:rFonts w:ascii="Arial" w:hAnsi="Arial" w:cs="Arial"/>
          <w:b/>
          <w:color w:val="00B050"/>
          <w:spacing w:val="-4"/>
        </w:rPr>
        <w:t xml:space="preserve"> základní údaje</w:t>
      </w:r>
    </w:p>
    <w:p w14:paraId="0A452EE7" w14:textId="77777777" w:rsidR="00CA23D0" w:rsidRPr="00DD2A6C" w:rsidRDefault="00CA23D0" w:rsidP="00CA23D0">
      <w:pPr>
        <w:pStyle w:val="Odstavecseseznamem"/>
        <w:numPr>
          <w:ilvl w:val="0"/>
          <w:numId w:val="10"/>
        </w:numPr>
        <w:tabs>
          <w:tab w:val="decimal" w:pos="144"/>
          <w:tab w:val="decimal" w:pos="288"/>
        </w:tabs>
        <w:spacing w:after="0" w:line="276" w:lineRule="auto"/>
        <w:jc w:val="both"/>
        <w:rPr>
          <w:rFonts w:ascii="Arial" w:hAnsi="Arial" w:cs="Arial"/>
          <w:color w:val="00B050"/>
          <w:spacing w:val="2"/>
        </w:rPr>
      </w:pPr>
      <w:r w:rsidRPr="00DD2A6C">
        <w:rPr>
          <w:rFonts w:ascii="Arial" w:hAnsi="Arial" w:cs="Arial"/>
          <w:color w:val="00B050"/>
          <w:spacing w:val="2"/>
        </w:rPr>
        <w:t>hlavní cíle řešení,</w:t>
      </w:r>
      <w:r w:rsidRPr="00DD2A6C">
        <w:rPr>
          <w:rFonts w:ascii="Arial" w:hAnsi="Arial" w:cs="Arial"/>
          <w:color w:val="00B050"/>
          <w:spacing w:val="2"/>
        </w:rPr>
        <w:tab/>
      </w:r>
    </w:p>
    <w:p w14:paraId="1B2510B0" w14:textId="77777777" w:rsidR="00CA23D0" w:rsidRPr="00DD2A6C" w:rsidRDefault="00CA23D0" w:rsidP="00CA23D0">
      <w:pPr>
        <w:pStyle w:val="Odstavecseseznamem"/>
        <w:numPr>
          <w:ilvl w:val="0"/>
          <w:numId w:val="10"/>
        </w:numPr>
        <w:tabs>
          <w:tab w:val="decimal" w:pos="288"/>
          <w:tab w:val="decimal" w:pos="851"/>
        </w:tabs>
        <w:spacing w:after="0" w:line="276" w:lineRule="auto"/>
        <w:jc w:val="both"/>
        <w:rPr>
          <w:rFonts w:ascii="Arial" w:hAnsi="Arial" w:cs="Arial"/>
          <w:color w:val="00B050"/>
          <w:spacing w:val="2"/>
        </w:rPr>
      </w:pPr>
      <w:r w:rsidRPr="00DD2A6C">
        <w:rPr>
          <w:rFonts w:ascii="Arial" w:hAnsi="Arial" w:cs="Arial"/>
          <w:color w:val="00B050"/>
          <w:spacing w:val="5"/>
        </w:rPr>
        <w:t xml:space="preserve">zhodnocení vztahu dříve zpracované a schválené územně plánovací </w:t>
      </w:r>
      <w:r w:rsidRPr="00DD2A6C">
        <w:rPr>
          <w:rFonts w:ascii="Arial" w:hAnsi="Arial" w:cs="Arial"/>
          <w:color w:val="00B050"/>
          <w:spacing w:val="2"/>
        </w:rPr>
        <w:t>dokumentace a konceptu řešení nebo návrhu územního plánu obce,</w:t>
      </w:r>
    </w:p>
    <w:p w14:paraId="77FDEF53" w14:textId="77777777" w:rsidR="00CA23D0" w:rsidRPr="00DD2A6C" w:rsidRDefault="00CA23D0" w:rsidP="00CA23D0">
      <w:pPr>
        <w:pStyle w:val="Odstavecseseznamem"/>
        <w:numPr>
          <w:ilvl w:val="0"/>
          <w:numId w:val="10"/>
        </w:numPr>
        <w:tabs>
          <w:tab w:val="decimal" w:pos="144"/>
          <w:tab w:val="decimal" w:pos="288"/>
        </w:tabs>
        <w:spacing w:after="0" w:line="276" w:lineRule="auto"/>
        <w:jc w:val="both"/>
        <w:rPr>
          <w:rFonts w:ascii="Arial" w:hAnsi="Arial" w:cs="Arial"/>
          <w:color w:val="00B050"/>
          <w:spacing w:val="5"/>
        </w:rPr>
      </w:pPr>
      <w:r w:rsidRPr="00DD2A6C">
        <w:rPr>
          <w:rFonts w:ascii="Arial" w:hAnsi="Arial" w:cs="Arial"/>
          <w:color w:val="00B050"/>
          <w:spacing w:val="5"/>
        </w:rPr>
        <w:t>vyhodnocení splnění zadání územního plánu obce,</w:t>
      </w:r>
    </w:p>
    <w:p w14:paraId="63D3369D" w14:textId="77777777" w:rsidR="00CA23D0" w:rsidRPr="00DD2A6C" w:rsidRDefault="00CA23D0" w:rsidP="00CA23D0">
      <w:pPr>
        <w:pStyle w:val="Odstavecseseznamem"/>
        <w:numPr>
          <w:ilvl w:val="0"/>
          <w:numId w:val="10"/>
        </w:numPr>
        <w:tabs>
          <w:tab w:val="decimal" w:pos="144"/>
          <w:tab w:val="decimal" w:pos="288"/>
        </w:tabs>
        <w:spacing w:after="0" w:line="276" w:lineRule="auto"/>
        <w:jc w:val="both"/>
        <w:rPr>
          <w:rFonts w:ascii="Arial" w:hAnsi="Arial" w:cs="Arial"/>
          <w:color w:val="00B050"/>
          <w:spacing w:val="5"/>
        </w:rPr>
      </w:pPr>
      <w:r w:rsidRPr="00DD2A6C">
        <w:rPr>
          <w:rFonts w:ascii="Arial" w:hAnsi="Arial" w:cs="Arial"/>
          <w:color w:val="00B050"/>
          <w:spacing w:val="5"/>
        </w:rPr>
        <w:t>vyhodnocení souladu s cíli územního plánování.</w:t>
      </w:r>
    </w:p>
    <w:p w14:paraId="38E321CB" w14:textId="77777777" w:rsidR="00CA23D0" w:rsidRPr="00DD2A6C" w:rsidRDefault="00CA23D0" w:rsidP="00CA23D0">
      <w:pPr>
        <w:pStyle w:val="Odstavecseseznamem"/>
        <w:numPr>
          <w:ilvl w:val="0"/>
          <w:numId w:val="11"/>
        </w:numPr>
        <w:spacing w:before="72" w:after="0" w:line="276" w:lineRule="auto"/>
        <w:jc w:val="both"/>
        <w:rPr>
          <w:rFonts w:ascii="Arial" w:hAnsi="Arial" w:cs="Arial"/>
          <w:b/>
          <w:color w:val="00B050"/>
          <w:spacing w:val="-3"/>
        </w:rPr>
      </w:pPr>
      <w:r w:rsidRPr="00DD2A6C">
        <w:rPr>
          <w:rFonts w:ascii="Arial" w:hAnsi="Arial" w:cs="Arial"/>
          <w:b/>
          <w:color w:val="00B050"/>
          <w:spacing w:val="-3"/>
        </w:rPr>
        <w:t xml:space="preserve"> řešení územního plánu</w:t>
      </w:r>
    </w:p>
    <w:p w14:paraId="7C942CC7" w14:textId="77777777" w:rsidR="00CA23D0" w:rsidRPr="00DD2A6C" w:rsidRDefault="00CA23D0" w:rsidP="00CA23D0">
      <w:pPr>
        <w:pStyle w:val="Odstavecseseznamem"/>
        <w:numPr>
          <w:ilvl w:val="0"/>
          <w:numId w:val="14"/>
        </w:numPr>
        <w:spacing w:before="36" w:after="0" w:line="276" w:lineRule="auto"/>
        <w:ind w:left="993"/>
        <w:jc w:val="both"/>
        <w:rPr>
          <w:rFonts w:ascii="Arial" w:hAnsi="Arial" w:cs="Arial"/>
          <w:color w:val="00B050"/>
          <w:spacing w:val="5"/>
        </w:rPr>
      </w:pPr>
      <w:r w:rsidRPr="00DD2A6C">
        <w:rPr>
          <w:rFonts w:ascii="Arial" w:hAnsi="Arial" w:cs="Arial"/>
          <w:color w:val="00B050"/>
          <w:spacing w:val="5"/>
        </w:rPr>
        <w:t>vymezení řešeného území podle katastrálních území obce,</w:t>
      </w:r>
    </w:p>
    <w:p w14:paraId="5B86CBCC" w14:textId="77777777" w:rsidR="00CA23D0" w:rsidRPr="00DD2A6C" w:rsidRDefault="00CA23D0" w:rsidP="00CA23D0">
      <w:pPr>
        <w:pStyle w:val="Odstavecseseznamem"/>
        <w:numPr>
          <w:ilvl w:val="0"/>
          <w:numId w:val="14"/>
        </w:numPr>
        <w:spacing w:before="36" w:after="0" w:line="276" w:lineRule="auto"/>
        <w:ind w:left="993"/>
        <w:jc w:val="both"/>
        <w:rPr>
          <w:rFonts w:ascii="Arial" w:hAnsi="Arial" w:cs="Arial"/>
          <w:color w:val="00B050"/>
          <w:spacing w:val="5"/>
        </w:rPr>
      </w:pPr>
      <w:r w:rsidRPr="00DD2A6C">
        <w:rPr>
          <w:rFonts w:ascii="Arial" w:hAnsi="Arial" w:cs="Arial"/>
          <w:color w:val="00B050"/>
          <w:spacing w:val="5"/>
        </w:rPr>
        <w:t>základní předpoklady a podmínky vývoje obce a ochrany přírodních, civilizačních a kulturních hodnot území,</w:t>
      </w:r>
    </w:p>
    <w:p w14:paraId="5D45348A" w14:textId="77777777" w:rsidR="00CA23D0" w:rsidRPr="00DD2A6C" w:rsidRDefault="00CA23D0" w:rsidP="00CA23D0">
      <w:pPr>
        <w:pStyle w:val="Odstavecseseznamem"/>
        <w:numPr>
          <w:ilvl w:val="0"/>
          <w:numId w:val="14"/>
        </w:numPr>
        <w:spacing w:before="36" w:after="0" w:line="276" w:lineRule="auto"/>
        <w:ind w:left="993"/>
        <w:jc w:val="both"/>
        <w:rPr>
          <w:rFonts w:ascii="Arial" w:hAnsi="Arial" w:cs="Arial"/>
          <w:color w:val="00B050"/>
          <w:spacing w:val="5"/>
        </w:rPr>
      </w:pPr>
      <w:r w:rsidRPr="00DD2A6C">
        <w:rPr>
          <w:rFonts w:ascii="Arial" w:hAnsi="Arial" w:cs="Arial"/>
          <w:color w:val="00B050"/>
          <w:spacing w:val="5"/>
        </w:rPr>
        <w:t>návrh urbanistické koncepce,</w:t>
      </w:r>
    </w:p>
    <w:p w14:paraId="42FD6D65" w14:textId="77777777" w:rsidR="00CA23D0" w:rsidRPr="00DD2A6C" w:rsidRDefault="00CA23D0" w:rsidP="00CA23D0">
      <w:pPr>
        <w:pStyle w:val="Odstavecseseznamem"/>
        <w:numPr>
          <w:ilvl w:val="0"/>
          <w:numId w:val="14"/>
        </w:numPr>
        <w:spacing w:after="0" w:line="276" w:lineRule="auto"/>
        <w:ind w:left="993"/>
        <w:jc w:val="both"/>
        <w:rPr>
          <w:rFonts w:ascii="Arial" w:hAnsi="Arial" w:cs="Arial"/>
          <w:color w:val="00B050"/>
          <w:spacing w:val="5"/>
        </w:rPr>
      </w:pPr>
      <w:r w:rsidRPr="00DD2A6C">
        <w:rPr>
          <w:rFonts w:ascii="Arial" w:hAnsi="Arial" w:cs="Arial"/>
          <w:color w:val="00B050"/>
          <w:spacing w:val="5"/>
        </w:rPr>
        <w:t>návrh členění území obce na funkční plochy a podmínky jejich využili,</w:t>
      </w:r>
    </w:p>
    <w:p w14:paraId="0F5A9EAD" w14:textId="77777777" w:rsidR="00CA23D0" w:rsidRPr="00DD2A6C" w:rsidRDefault="00CA23D0" w:rsidP="00CA23D0">
      <w:pPr>
        <w:pStyle w:val="Odstavecseseznamem"/>
        <w:numPr>
          <w:ilvl w:val="0"/>
          <w:numId w:val="14"/>
        </w:numPr>
        <w:spacing w:after="0" w:line="276" w:lineRule="auto"/>
        <w:ind w:left="993"/>
        <w:jc w:val="both"/>
        <w:rPr>
          <w:rFonts w:ascii="Arial" w:hAnsi="Arial" w:cs="Arial"/>
          <w:color w:val="00B050"/>
          <w:spacing w:val="5"/>
        </w:rPr>
      </w:pPr>
      <w:r w:rsidRPr="00DD2A6C">
        <w:rPr>
          <w:rFonts w:ascii="Arial" w:hAnsi="Arial" w:cs="Arial"/>
          <w:color w:val="00B050"/>
          <w:spacing w:val="5"/>
        </w:rPr>
        <w:t>limity využití území včetně stanovení zátopových území,</w:t>
      </w:r>
    </w:p>
    <w:p w14:paraId="2286044D" w14:textId="77777777" w:rsidR="00CA23D0" w:rsidRPr="00DD2A6C" w:rsidRDefault="00CA23D0" w:rsidP="00CA23D0">
      <w:pPr>
        <w:pStyle w:val="Odstavecseseznamem"/>
        <w:numPr>
          <w:ilvl w:val="0"/>
          <w:numId w:val="14"/>
        </w:numPr>
        <w:tabs>
          <w:tab w:val="left" w:pos="851"/>
        </w:tabs>
        <w:spacing w:after="0" w:line="276" w:lineRule="auto"/>
        <w:ind w:left="993"/>
        <w:jc w:val="both"/>
        <w:rPr>
          <w:rFonts w:ascii="Arial" w:hAnsi="Arial" w:cs="Arial"/>
          <w:color w:val="00B050"/>
          <w:spacing w:val="4"/>
        </w:rPr>
      </w:pPr>
      <w:r w:rsidRPr="00DD2A6C">
        <w:rPr>
          <w:rFonts w:ascii="Arial" w:hAnsi="Arial" w:cs="Arial"/>
          <w:color w:val="00B050"/>
          <w:spacing w:val="4"/>
        </w:rPr>
        <w:t>přehled a charakteristika vybraných ploch zastavitelného území,</w:t>
      </w:r>
    </w:p>
    <w:p w14:paraId="0A5FD352" w14:textId="77777777" w:rsidR="00CA23D0" w:rsidRPr="00DD2A6C" w:rsidRDefault="00CA23D0" w:rsidP="00CA23D0">
      <w:pPr>
        <w:pStyle w:val="Odstavecseseznamem"/>
        <w:numPr>
          <w:ilvl w:val="0"/>
          <w:numId w:val="14"/>
        </w:numPr>
        <w:spacing w:after="0" w:line="276" w:lineRule="auto"/>
        <w:ind w:left="993"/>
        <w:jc w:val="both"/>
        <w:rPr>
          <w:rFonts w:ascii="Arial" w:hAnsi="Arial" w:cs="Arial"/>
          <w:color w:val="00B050"/>
          <w:spacing w:val="1"/>
        </w:rPr>
      </w:pPr>
      <w:r w:rsidRPr="00DD2A6C">
        <w:rPr>
          <w:rFonts w:ascii="Arial" w:hAnsi="Arial" w:cs="Arial"/>
          <w:color w:val="00B050"/>
          <w:spacing w:val="5"/>
        </w:rPr>
        <w:t xml:space="preserve">návrh koncepce dopravy, občanského a technického vybavení </w:t>
      </w:r>
      <w:r w:rsidRPr="00DD2A6C">
        <w:rPr>
          <w:rFonts w:ascii="Arial" w:hAnsi="Arial" w:cs="Arial"/>
          <w:color w:val="00B050"/>
          <w:spacing w:val="1"/>
        </w:rPr>
        <w:t>a nakládání s odpady,</w:t>
      </w:r>
    </w:p>
    <w:p w14:paraId="193A9FFF" w14:textId="77777777" w:rsidR="00CA23D0" w:rsidRPr="00DD2A6C" w:rsidRDefault="00CA23D0" w:rsidP="00CA23D0">
      <w:pPr>
        <w:pStyle w:val="Odstavecseseznamem"/>
        <w:numPr>
          <w:ilvl w:val="0"/>
          <w:numId w:val="14"/>
        </w:numPr>
        <w:spacing w:after="0" w:line="276" w:lineRule="auto"/>
        <w:ind w:left="993"/>
        <w:jc w:val="both"/>
        <w:rPr>
          <w:rFonts w:ascii="Arial" w:hAnsi="Arial" w:cs="Arial"/>
          <w:color w:val="00B050"/>
          <w:spacing w:val="2"/>
        </w:rPr>
      </w:pPr>
      <w:r w:rsidRPr="00DD2A6C">
        <w:rPr>
          <w:rFonts w:ascii="Arial" w:hAnsi="Arial" w:cs="Arial"/>
          <w:color w:val="00B050"/>
          <w:spacing w:val="3"/>
        </w:rPr>
        <w:t xml:space="preserve">vymezení ploch přípustných pro dobývání ložisek nerostů a ploch </w:t>
      </w:r>
      <w:r w:rsidRPr="00DD2A6C">
        <w:rPr>
          <w:rFonts w:ascii="Arial" w:hAnsi="Arial" w:cs="Arial"/>
          <w:color w:val="00B050"/>
          <w:spacing w:val="2"/>
        </w:rPr>
        <w:t>pro jeho technické zajištění,</w:t>
      </w:r>
    </w:p>
    <w:p w14:paraId="7918BDBE" w14:textId="77777777" w:rsidR="00CA23D0" w:rsidRPr="00DD2A6C" w:rsidRDefault="00CA23D0" w:rsidP="00CA23D0">
      <w:pPr>
        <w:pStyle w:val="Odstavecseseznamem"/>
        <w:numPr>
          <w:ilvl w:val="0"/>
          <w:numId w:val="14"/>
        </w:numPr>
        <w:spacing w:after="0" w:line="276" w:lineRule="auto"/>
        <w:ind w:left="993"/>
        <w:jc w:val="both"/>
        <w:rPr>
          <w:rFonts w:ascii="Arial" w:hAnsi="Arial" w:cs="Arial"/>
          <w:color w:val="00B050"/>
          <w:spacing w:val="5"/>
        </w:rPr>
      </w:pPr>
      <w:r w:rsidRPr="00DD2A6C">
        <w:rPr>
          <w:rFonts w:ascii="Arial" w:hAnsi="Arial" w:cs="Arial"/>
          <w:color w:val="00B050"/>
          <w:spacing w:val="5"/>
        </w:rPr>
        <w:t>návrh místního systému ekologické stability,</w:t>
      </w:r>
    </w:p>
    <w:p w14:paraId="4534267F" w14:textId="77777777" w:rsidR="00CA23D0" w:rsidRPr="00DD2A6C" w:rsidRDefault="00CA23D0" w:rsidP="00CA23D0">
      <w:pPr>
        <w:pStyle w:val="Odstavecseseznamem"/>
        <w:numPr>
          <w:ilvl w:val="0"/>
          <w:numId w:val="14"/>
        </w:numPr>
        <w:spacing w:after="0" w:line="276" w:lineRule="auto"/>
        <w:ind w:left="993"/>
        <w:jc w:val="both"/>
        <w:rPr>
          <w:rFonts w:ascii="Arial" w:hAnsi="Arial" w:cs="Arial"/>
          <w:color w:val="00B050"/>
          <w:spacing w:val="4"/>
        </w:rPr>
      </w:pPr>
      <w:r w:rsidRPr="00DD2A6C">
        <w:rPr>
          <w:rFonts w:ascii="Arial" w:hAnsi="Arial" w:cs="Arial"/>
          <w:color w:val="00B050"/>
          <w:spacing w:val="4"/>
        </w:rPr>
        <w:t>vymezení ploch veřejně prospěšných staveb, asanací a asanačních úprav,</w:t>
      </w:r>
    </w:p>
    <w:p w14:paraId="7CB5B55E" w14:textId="77777777" w:rsidR="00CA23D0" w:rsidRPr="00DD2A6C" w:rsidRDefault="00CA23D0" w:rsidP="00CA23D0">
      <w:pPr>
        <w:pStyle w:val="Odstavecseseznamem"/>
        <w:numPr>
          <w:ilvl w:val="0"/>
          <w:numId w:val="14"/>
        </w:numPr>
        <w:spacing w:after="0" w:line="276" w:lineRule="auto"/>
        <w:ind w:left="993" w:right="144"/>
        <w:jc w:val="both"/>
        <w:rPr>
          <w:rFonts w:ascii="Arial" w:hAnsi="Arial" w:cs="Arial"/>
          <w:color w:val="00B050"/>
          <w:spacing w:val="5"/>
        </w:rPr>
      </w:pPr>
      <w:r w:rsidRPr="00DD2A6C">
        <w:rPr>
          <w:rFonts w:ascii="Arial" w:hAnsi="Arial" w:cs="Arial"/>
          <w:color w:val="00B050"/>
          <w:spacing w:val="5"/>
        </w:rPr>
        <w:t>návrh řešení požadavků civilní ochrany,</w:t>
      </w:r>
    </w:p>
    <w:p w14:paraId="61FBD22E" w14:textId="77777777" w:rsidR="00CA23D0" w:rsidRPr="00DD2A6C" w:rsidRDefault="00CA23D0" w:rsidP="00CA23D0">
      <w:pPr>
        <w:pStyle w:val="Odstavecseseznamem"/>
        <w:numPr>
          <w:ilvl w:val="0"/>
          <w:numId w:val="14"/>
        </w:numPr>
        <w:spacing w:after="0" w:line="276" w:lineRule="auto"/>
        <w:ind w:left="993" w:right="144"/>
        <w:jc w:val="both"/>
        <w:rPr>
          <w:rFonts w:ascii="Arial" w:hAnsi="Arial" w:cs="Arial"/>
          <w:color w:val="00B050"/>
          <w:spacing w:val="2"/>
        </w:rPr>
      </w:pPr>
      <w:r w:rsidRPr="00DD2A6C">
        <w:rPr>
          <w:rFonts w:ascii="Arial" w:hAnsi="Arial" w:cs="Arial"/>
          <w:color w:val="00B050"/>
          <w:spacing w:val="3"/>
        </w:rPr>
        <w:t xml:space="preserve">vyhodnocení předpokládaných důsledků navrhovaného řešení na životní prostředí, na zemědělský půdní fond a na pozemky určené </w:t>
      </w:r>
      <w:r w:rsidRPr="00DD2A6C">
        <w:rPr>
          <w:rFonts w:ascii="Arial" w:hAnsi="Arial" w:cs="Arial"/>
          <w:color w:val="00B050"/>
          <w:spacing w:val="2"/>
        </w:rPr>
        <w:t>k plnění funkce lesa podle zvláštních předpisů,</w:t>
      </w:r>
    </w:p>
    <w:p w14:paraId="14BB1272" w14:textId="77777777" w:rsidR="00CA23D0" w:rsidRPr="00DD2A6C" w:rsidRDefault="00CA23D0" w:rsidP="00CA23D0">
      <w:pPr>
        <w:pStyle w:val="Odstavecseseznamem"/>
        <w:numPr>
          <w:ilvl w:val="0"/>
          <w:numId w:val="14"/>
        </w:numPr>
        <w:spacing w:after="0" w:line="276" w:lineRule="auto"/>
        <w:ind w:left="993"/>
        <w:jc w:val="both"/>
        <w:rPr>
          <w:rFonts w:ascii="Arial" w:hAnsi="Arial" w:cs="Arial"/>
          <w:color w:val="00B050"/>
          <w:spacing w:val="2"/>
        </w:rPr>
      </w:pPr>
      <w:r w:rsidRPr="00DD2A6C">
        <w:rPr>
          <w:rFonts w:ascii="Arial" w:hAnsi="Arial" w:cs="Arial"/>
          <w:color w:val="00B050"/>
          <w:spacing w:val="2"/>
        </w:rPr>
        <w:t>návrh lhůt aktualizace</w:t>
      </w:r>
    </w:p>
    <w:p w14:paraId="67BF49D2" w14:textId="77777777" w:rsidR="00CA23D0" w:rsidRPr="00DD2A6C" w:rsidRDefault="00CA23D0" w:rsidP="00CA23D0">
      <w:pPr>
        <w:pStyle w:val="Odstavecseseznamem"/>
        <w:numPr>
          <w:ilvl w:val="0"/>
          <w:numId w:val="11"/>
        </w:numPr>
        <w:spacing w:before="72" w:after="0" w:line="276" w:lineRule="auto"/>
        <w:jc w:val="both"/>
        <w:rPr>
          <w:rFonts w:ascii="Arial" w:hAnsi="Arial" w:cs="Arial"/>
          <w:b/>
          <w:color w:val="00B050"/>
          <w:spacing w:val="-3"/>
        </w:rPr>
      </w:pPr>
      <w:r w:rsidRPr="00DD2A6C">
        <w:rPr>
          <w:rFonts w:ascii="Arial" w:hAnsi="Arial" w:cs="Arial"/>
          <w:b/>
          <w:color w:val="00B050"/>
          <w:spacing w:val="-3"/>
        </w:rPr>
        <w:t>číselné údaje charakterizující navržené řešení jsou součástí jednotlivých kapitol textu</w:t>
      </w:r>
    </w:p>
    <w:p w14:paraId="307FF626" w14:textId="77777777" w:rsidR="00CA23D0" w:rsidRPr="00DD2A6C" w:rsidRDefault="00CA23D0" w:rsidP="00CA23D0">
      <w:pPr>
        <w:pStyle w:val="Odstavecseseznamem"/>
        <w:numPr>
          <w:ilvl w:val="0"/>
          <w:numId w:val="11"/>
        </w:numPr>
        <w:spacing w:before="72" w:after="0" w:line="276" w:lineRule="auto"/>
        <w:jc w:val="both"/>
        <w:rPr>
          <w:rFonts w:ascii="Arial" w:hAnsi="Arial" w:cs="Arial"/>
          <w:b/>
          <w:color w:val="00B050"/>
          <w:spacing w:val="-3"/>
        </w:rPr>
      </w:pPr>
      <w:r w:rsidRPr="00DD2A6C">
        <w:rPr>
          <w:rFonts w:ascii="Arial" w:hAnsi="Arial" w:cs="Arial"/>
          <w:b/>
          <w:color w:val="00B050"/>
          <w:spacing w:val="-3"/>
        </w:rPr>
        <w:t xml:space="preserve">  závazná část ve formě regulativů</w:t>
      </w:r>
    </w:p>
    <w:p w14:paraId="3812E91F" w14:textId="77777777" w:rsidR="00CA23D0" w:rsidRDefault="00CA23D0" w:rsidP="00CA23D0">
      <w:pPr>
        <w:spacing w:after="573" w:line="265" w:lineRule="auto"/>
        <w:ind w:left="825" w:right="7"/>
        <w:jc w:val="both"/>
        <w:rPr>
          <w:rFonts w:ascii="Arial" w:hAnsi="Arial" w:cs="Arial"/>
          <w:sz w:val="22"/>
          <w:szCs w:val="22"/>
        </w:rPr>
      </w:pPr>
    </w:p>
    <w:p w14:paraId="48861185" w14:textId="77777777" w:rsidR="00CA23D0" w:rsidRPr="00E26E24" w:rsidRDefault="00CA23D0" w:rsidP="00CA23D0">
      <w:pPr>
        <w:spacing w:after="573" w:line="265" w:lineRule="auto"/>
        <w:ind w:left="825" w:right="7"/>
        <w:jc w:val="both"/>
        <w:rPr>
          <w:rFonts w:ascii="Arial" w:hAnsi="Arial" w:cs="Arial"/>
          <w:sz w:val="22"/>
          <w:szCs w:val="22"/>
        </w:rPr>
      </w:pPr>
    </w:p>
    <w:p w14:paraId="5A5AEB30" w14:textId="77777777" w:rsidR="00CA23D0" w:rsidRDefault="00CA23D0" w:rsidP="00CA23D0">
      <w:pPr>
        <w:spacing w:line="276" w:lineRule="auto"/>
        <w:jc w:val="both"/>
        <w:rPr>
          <w:rFonts w:ascii="Arial" w:hAnsi="Arial" w:cs="Arial"/>
          <w:b/>
          <w:color w:val="C45911"/>
          <w:sz w:val="22"/>
          <w:szCs w:val="22"/>
        </w:rPr>
      </w:pPr>
    </w:p>
    <w:p w14:paraId="6CFD8267" w14:textId="77777777" w:rsidR="00CA23D0" w:rsidRPr="00025C8E" w:rsidRDefault="00CA23D0" w:rsidP="00CA23D0">
      <w:pPr>
        <w:spacing w:line="276" w:lineRule="auto"/>
        <w:jc w:val="both"/>
        <w:rPr>
          <w:rFonts w:ascii="Arial" w:hAnsi="Arial" w:cs="Arial"/>
          <w:b/>
          <w:color w:val="BF8F00"/>
        </w:rPr>
      </w:pPr>
      <w:r w:rsidRPr="00025C8E">
        <w:rPr>
          <w:rFonts w:ascii="Arial" w:hAnsi="Arial" w:cs="Arial"/>
          <w:b/>
          <w:color w:val="BF8F00"/>
        </w:rPr>
        <w:t>(Z2) OBSAH 2. ZMĚNY ÚZEMNÍHO PLÁNU</w:t>
      </w:r>
    </w:p>
    <w:p w14:paraId="54808DD2" w14:textId="77777777" w:rsidR="00CA23D0" w:rsidRPr="00025C8E" w:rsidRDefault="00CA23D0" w:rsidP="00CA23D0">
      <w:pPr>
        <w:pStyle w:val="Odstavecseseznamem"/>
        <w:numPr>
          <w:ilvl w:val="0"/>
          <w:numId w:val="12"/>
        </w:numPr>
        <w:spacing w:line="276" w:lineRule="auto"/>
        <w:jc w:val="both"/>
        <w:rPr>
          <w:rFonts w:ascii="Arial" w:hAnsi="Arial" w:cs="Arial"/>
          <w:b/>
          <w:color w:val="BF8F00"/>
          <w:sz w:val="24"/>
          <w:szCs w:val="24"/>
        </w:rPr>
      </w:pPr>
      <w:r w:rsidRPr="00025C8E">
        <w:rPr>
          <w:rFonts w:ascii="Arial" w:hAnsi="Arial" w:cs="Arial"/>
          <w:b/>
          <w:color w:val="BF8F00"/>
          <w:sz w:val="24"/>
          <w:szCs w:val="24"/>
        </w:rPr>
        <w:t>Textová část 2. změny územního plánu</w:t>
      </w:r>
    </w:p>
    <w:p w14:paraId="62CD9A69" w14:textId="77777777" w:rsidR="00CA23D0" w:rsidRPr="00025C8E" w:rsidRDefault="00CA23D0" w:rsidP="00CA23D0">
      <w:pPr>
        <w:pStyle w:val="Odstavecseseznamem"/>
        <w:numPr>
          <w:ilvl w:val="0"/>
          <w:numId w:val="12"/>
        </w:numPr>
        <w:spacing w:line="276" w:lineRule="auto"/>
        <w:jc w:val="both"/>
        <w:rPr>
          <w:rFonts w:ascii="Arial" w:hAnsi="Arial" w:cs="Arial"/>
          <w:b/>
          <w:color w:val="BF8F00"/>
          <w:sz w:val="24"/>
          <w:szCs w:val="24"/>
        </w:rPr>
      </w:pPr>
      <w:r w:rsidRPr="00025C8E">
        <w:rPr>
          <w:rFonts w:ascii="Arial" w:hAnsi="Arial" w:cs="Arial"/>
          <w:b/>
          <w:color w:val="BF8F00"/>
          <w:sz w:val="24"/>
          <w:szCs w:val="24"/>
        </w:rPr>
        <w:t>Grafická část 2. změny územního plánu:</w:t>
      </w:r>
    </w:p>
    <w:p w14:paraId="04A9A848" w14:textId="77777777" w:rsidR="00CA23D0" w:rsidRPr="00DD2A6C" w:rsidRDefault="00CA23D0" w:rsidP="00CA23D0">
      <w:pPr>
        <w:spacing w:line="276" w:lineRule="auto"/>
        <w:ind w:firstLine="708"/>
        <w:jc w:val="both"/>
        <w:rPr>
          <w:rFonts w:ascii="Arial" w:hAnsi="Arial" w:cs="Arial"/>
          <w:color w:val="BF8F00"/>
          <w:sz w:val="22"/>
          <w:szCs w:val="22"/>
        </w:rPr>
      </w:pPr>
      <w:r w:rsidRPr="00DD2A6C">
        <w:rPr>
          <w:rFonts w:ascii="Arial" w:hAnsi="Arial" w:cs="Arial"/>
          <w:color w:val="BF8F00"/>
          <w:sz w:val="22"/>
          <w:szCs w:val="22"/>
        </w:rPr>
        <w:t>Ia) výkres základního členění území</w:t>
      </w:r>
    </w:p>
    <w:p w14:paraId="7BA9887A" w14:textId="77777777" w:rsidR="00CA23D0" w:rsidRPr="00DD2A6C" w:rsidRDefault="00CA23D0" w:rsidP="00CA23D0">
      <w:pPr>
        <w:spacing w:line="276" w:lineRule="auto"/>
        <w:ind w:left="708"/>
        <w:jc w:val="both"/>
        <w:rPr>
          <w:rFonts w:ascii="Arial" w:hAnsi="Arial" w:cs="Arial"/>
          <w:color w:val="BF8F00"/>
          <w:sz w:val="22"/>
          <w:szCs w:val="22"/>
        </w:rPr>
      </w:pPr>
      <w:r w:rsidRPr="00DD2A6C">
        <w:rPr>
          <w:rFonts w:ascii="Arial" w:hAnsi="Arial" w:cs="Arial"/>
          <w:color w:val="BF8F00"/>
          <w:sz w:val="22"/>
          <w:szCs w:val="22"/>
        </w:rPr>
        <w:t>Ib) hlavní výkres,</w:t>
      </w:r>
    </w:p>
    <w:p w14:paraId="31E5A49C" w14:textId="77777777" w:rsidR="00CA23D0" w:rsidRPr="00DD2A6C" w:rsidRDefault="00CA23D0" w:rsidP="00CA23D0">
      <w:pPr>
        <w:spacing w:line="276" w:lineRule="auto"/>
        <w:ind w:left="708" w:firstLine="708"/>
        <w:jc w:val="both"/>
        <w:rPr>
          <w:rFonts w:ascii="Arial" w:hAnsi="Arial" w:cs="Arial"/>
          <w:color w:val="BF8F00"/>
          <w:sz w:val="22"/>
          <w:szCs w:val="22"/>
        </w:rPr>
      </w:pPr>
      <w:r w:rsidRPr="00DD2A6C">
        <w:rPr>
          <w:rFonts w:ascii="Arial" w:hAnsi="Arial" w:cs="Arial"/>
          <w:color w:val="BF8F00"/>
          <w:sz w:val="22"/>
          <w:szCs w:val="22"/>
        </w:rPr>
        <w:t>Ib 1 doprava,</w:t>
      </w:r>
    </w:p>
    <w:p w14:paraId="51E8CAEA" w14:textId="77777777" w:rsidR="00CA23D0" w:rsidRPr="00DD2A6C" w:rsidRDefault="00CA23D0" w:rsidP="00CA23D0">
      <w:pPr>
        <w:spacing w:line="276" w:lineRule="auto"/>
        <w:ind w:left="708" w:firstLine="708"/>
        <w:jc w:val="both"/>
        <w:rPr>
          <w:rFonts w:ascii="Arial" w:hAnsi="Arial" w:cs="Arial"/>
          <w:color w:val="BF8F00"/>
          <w:sz w:val="22"/>
          <w:szCs w:val="22"/>
        </w:rPr>
      </w:pPr>
      <w:r w:rsidRPr="00DD2A6C">
        <w:rPr>
          <w:rFonts w:ascii="Arial" w:hAnsi="Arial" w:cs="Arial"/>
          <w:color w:val="BF8F00"/>
          <w:sz w:val="22"/>
          <w:szCs w:val="22"/>
        </w:rPr>
        <w:t>Ib 2 vodní hospodářství,</w:t>
      </w:r>
    </w:p>
    <w:p w14:paraId="6ABD4F78" w14:textId="77777777" w:rsidR="00CA23D0" w:rsidRPr="00DD2A6C" w:rsidRDefault="00CA23D0" w:rsidP="00CA23D0">
      <w:pPr>
        <w:spacing w:line="276" w:lineRule="auto"/>
        <w:ind w:left="708" w:firstLine="708"/>
        <w:jc w:val="both"/>
        <w:rPr>
          <w:rFonts w:ascii="Arial" w:hAnsi="Arial" w:cs="Arial"/>
          <w:color w:val="BF8F00"/>
          <w:sz w:val="22"/>
          <w:szCs w:val="22"/>
        </w:rPr>
      </w:pPr>
      <w:r w:rsidRPr="00DD2A6C">
        <w:rPr>
          <w:rFonts w:ascii="Arial" w:hAnsi="Arial" w:cs="Arial"/>
          <w:color w:val="BF8F00"/>
          <w:sz w:val="22"/>
          <w:szCs w:val="22"/>
        </w:rPr>
        <w:t>Ib 3) energetika, spoje,</w:t>
      </w:r>
    </w:p>
    <w:p w14:paraId="7B9E8DF9" w14:textId="77777777" w:rsidR="00CA23D0" w:rsidRPr="00DD2A6C" w:rsidRDefault="00CA23D0" w:rsidP="00CA23D0">
      <w:pPr>
        <w:spacing w:line="276" w:lineRule="auto"/>
        <w:ind w:firstLine="708"/>
        <w:jc w:val="both"/>
        <w:rPr>
          <w:rFonts w:ascii="Arial" w:hAnsi="Arial" w:cs="Arial"/>
          <w:color w:val="BF8F00"/>
          <w:sz w:val="22"/>
          <w:szCs w:val="22"/>
        </w:rPr>
      </w:pPr>
      <w:r w:rsidRPr="00DD2A6C">
        <w:rPr>
          <w:rFonts w:ascii="Arial" w:hAnsi="Arial" w:cs="Arial"/>
          <w:color w:val="BF8F00"/>
          <w:sz w:val="22"/>
          <w:szCs w:val="22"/>
        </w:rPr>
        <w:t>Ic) výkres veřejně prospěšných staveb,</w:t>
      </w:r>
    </w:p>
    <w:p w14:paraId="0CB9926E" w14:textId="77777777" w:rsidR="00CA23D0" w:rsidRDefault="00CA23D0" w:rsidP="00CA23D0">
      <w:pPr>
        <w:spacing w:line="276" w:lineRule="auto"/>
        <w:jc w:val="both"/>
        <w:rPr>
          <w:rFonts w:ascii="Arial" w:hAnsi="Arial" w:cs="Arial"/>
          <w:b/>
          <w:color w:val="BF8F00"/>
          <w:sz w:val="22"/>
          <w:szCs w:val="22"/>
        </w:rPr>
      </w:pPr>
    </w:p>
    <w:p w14:paraId="46333AEF" w14:textId="77777777" w:rsidR="00CA23D0" w:rsidRPr="00DD2A6C" w:rsidRDefault="00CA23D0" w:rsidP="00CA23D0">
      <w:pPr>
        <w:spacing w:line="276" w:lineRule="auto"/>
        <w:jc w:val="both"/>
        <w:rPr>
          <w:rFonts w:ascii="Arial" w:hAnsi="Arial" w:cs="Arial"/>
          <w:b/>
          <w:color w:val="BF8F00"/>
          <w:sz w:val="22"/>
          <w:szCs w:val="22"/>
        </w:rPr>
      </w:pPr>
      <w:r w:rsidRPr="00DD2A6C">
        <w:rPr>
          <w:rFonts w:ascii="Arial" w:hAnsi="Arial" w:cs="Arial"/>
          <w:b/>
          <w:color w:val="BF8F00"/>
          <w:sz w:val="22"/>
          <w:szCs w:val="22"/>
        </w:rPr>
        <w:t>Obsah textové části:</w:t>
      </w:r>
    </w:p>
    <w:p w14:paraId="3668CCC6" w14:textId="77777777" w:rsidR="00CA23D0" w:rsidRPr="00DD2A6C" w:rsidRDefault="00CA23D0" w:rsidP="00CA23D0">
      <w:pPr>
        <w:numPr>
          <w:ilvl w:val="1"/>
          <w:numId w:val="11"/>
        </w:numPr>
        <w:tabs>
          <w:tab w:val="left" w:pos="993"/>
        </w:tabs>
        <w:suppressAutoHyphens w:val="0"/>
        <w:spacing w:line="276" w:lineRule="auto"/>
        <w:ind w:left="709" w:firstLine="0"/>
        <w:jc w:val="both"/>
        <w:rPr>
          <w:rFonts w:ascii="Arial" w:hAnsi="Arial" w:cs="Arial"/>
          <w:color w:val="BF8F00"/>
          <w:sz w:val="22"/>
          <w:szCs w:val="22"/>
        </w:rPr>
      </w:pPr>
      <w:r w:rsidRPr="00DD2A6C">
        <w:rPr>
          <w:rFonts w:ascii="Arial" w:hAnsi="Arial" w:cs="Arial"/>
          <w:color w:val="BF8F00"/>
          <w:sz w:val="22"/>
          <w:szCs w:val="22"/>
        </w:rPr>
        <w:t xml:space="preserve">vymezení zastavěného území </w:t>
      </w:r>
    </w:p>
    <w:p w14:paraId="6D849B9F" w14:textId="77777777" w:rsidR="00CA23D0" w:rsidRPr="00DD2A6C" w:rsidRDefault="00CA23D0" w:rsidP="00CA23D0">
      <w:pPr>
        <w:numPr>
          <w:ilvl w:val="1"/>
          <w:numId w:val="11"/>
        </w:numPr>
        <w:tabs>
          <w:tab w:val="left" w:pos="993"/>
        </w:tabs>
        <w:suppressAutoHyphens w:val="0"/>
        <w:spacing w:line="276" w:lineRule="auto"/>
        <w:ind w:left="709" w:firstLine="0"/>
        <w:jc w:val="both"/>
        <w:rPr>
          <w:rFonts w:ascii="Arial" w:hAnsi="Arial" w:cs="Arial"/>
          <w:color w:val="BF8F00"/>
          <w:sz w:val="22"/>
          <w:szCs w:val="22"/>
        </w:rPr>
      </w:pPr>
      <w:r w:rsidRPr="00DD2A6C">
        <w:rPr>
          <w:rFonts w:ascii="Arial" w:hAnsi="Arial" w:cs="Arial"/>
          <w:color w:val="BF8F00"/>
          <w:sz w:val="22"/>
          <w:szCs w:val="22"/>
        </w:rPr>
        <w:t xml:space="preserve">koncepce rozvoje území obce, ochrany a rozvoje jeho hodnot </w:t>
      </w:r>
    </w:p>
    <w:p w14:paraId="13531ED9" w14:textId="77777777" w:rsidR="00CA23D0" w:rsidRPr="00DD2A6C" w:rsidRDefault="00CA23D0" w:rsidP="00CA23D0">
      <w:pPr>
        <w:numPr>
          <w:ilvl w:val="1"/>
          <w:numId w:val="11"/>
        </w:numPr>
        <w:tabs>
          <w:tab w:val="left" w:pos="993"/>
        </w:tabs>
        <w:suppressAutoHyphens w:val="0"/>
        <w:spacing w:line="276" w:lineRule="auto"/>
        <w:ind w:left="993" w:hanging="284"/>
        <w:jc w:val="both"/>
        <w:rPr>
          <w:rFonts w:ascii="Arial" w:hAnsi="Arial" w:cs="Arial"/>
          <w:color w:val="BF8F00"/>
          <w:sz w:val="22"/>
          <w:szCs w:val="22"/>
        </w:rPr>
      </w:pPr>
      <w:r w:rsidRPr="00DD2A6C">
        <w:rPr>
          <w:rFonts w:ascii="Arial" w:hAnsi="Arial" w:cs="Arial"/>
          <w:color w:val="BF8F00"/>
          <w:sz w:val="22"/>
          <w:szCs w:val="22"/>
        </w:rPr>
        <w:t xml:space="preserve">urbanistická koncepce, včetně vymezení zastavitelných ploch, ploch přestavby a systému sídelní zeleně </w:t>
      </w:r>
    </w:p>
    <w:p w14:paraId="76D31683" w14:textId="77777777" w:rsidR="00CA23D0" w:rsidRPr="00DD2A6C" w:rsidRDefault="00CA23D0" w:rsidP="00CA23D0">
      <w:pPr>
        <w:numPr>
          <w:ilvl w:val="1"/>
          <w:numId w:val="11"/>
        </w:numPr>
        <w:tabs>
          <w:tab w:val="left" w:pos="993"/>
        </w:tabs>
        <w:suppressAutoHyphens w:val="0"/>
        <w:spacing w:line="276" w:lineRule="auto"/>
        <w:ind w:left="709" w:firstLine="0"/>
        <w:jc w:val="both"/>
        <w:rPr>
          <w:rFonts w:ascii="Arial" w:hAnsi="Arial" w:cs="Arial"/>
          <w:color w:val="BF8F00"/>
          <w:sz w:val="22"/>
          <w:szCs w:val="22"/>
        </w:rPr>
      </w:pPr>
      <w:r w:rsidRPr="00DD2A6C">
        <w:rPr>
          <w:rFonts w:ascii="Arial" w:hAnsi="Arial" w:cs="Arial"/>
          <w:color w:val="BF8F00"/>
          <w:sz w:val="22"/>
          <w:szCs w:val="22"/>
        </w:rPr>
        <w:t xml:space="preserve">koncepce veřejné infrastruktury, včetně podmínek pro její umísťování </w:t>
      </w:r>
    </w:p>
    <w:p w14:paraId="1B139BD3" w14:textId="77777777" w:rsidR="00CA23D0" w:rsidRPr="00DD2A6C" w:rsidRDefault="00CA23D0" w:rsidP="00CA23D0">
      <w:pPr>
        <w:numPr>
          <w:ilvl w:val="1"/>
          <w:numId w:val="11"/>
        </w:numPr>
        <w:tabs>
          <w:tab w:val="left" w:pos="993"/>
        </w:tabs>
        <w:suppressAutoHyphens w:val="0"/>
        <w:spacing w:line="276" w:lineRule="auto"/>
        <w:ind w:left="709" w:firstLine="0"/>
        <w:jc w:val="both"/>
        <w:rPr>
          <w:rFonts w:ascii="Arial" w:hAnsi="Arial" w:cs="Arial"/>
          <w:color w:val="BF8F00"/>
          <w:sz w:val="22"/>
          <w:szCs w:val="22"/>
        </w:rPr>
      </w:pPr>
      <w:r w:rsidRPr="00DD2A6C">
        <w:rPr>
          <w:rFonts w:ascii="Arial" w:hAnsi="Arial" w:cs="Arial"/>
          <w:color w:val="BF8F00"/>
          <w:sz w:val="22"/>
          <w:szCs w:val="22"/>
        </w:rPr>
        <w:t xml:space="preserve">koncepci uspořádání krajiny, uzemni systém ekologické stability </w:t>
      </w:r>
    </w:p>
    <w:p w14:paraId="5A4DA76C" w14:textId="77777777" w:rsidR="00CA23D0" w:rsidRPr="00DD2A6C" w:rsidRDefault="00CA23D0" w:rsidP="00CA23D0">
      <w:pPr>
        <w:numPr>
          <w:ilvl w:val="1"/>
          <w:numId w:val="11"/>
        </w:numPr>
        <w:tabs>
          <w:tab w:val="left" w:pos="993"/>
        </w:tabs>
        <w:suppressAutoHyphens w:val="0"/>
        <w:spacing w:line="276" w:lineRule="auto"/>
        <w:ind w:left="709" w:firstLine="0"/>
        <w:jc w:val="both"/>
        <w:rPr>
          <w:rFonts w:ascii="Arial" w:hAnsi="Arial" w:cs="Arial"/>
          <w:color w:val="BF8F00"/>
          <w:sz w:val="22"/>
          <w:szCs w:val="22"/>
        </w:rPr>
      </w:pPr>
      <w:r w:rsidRPr="00DD2A6C">
        <w:rPr>
          <w:rFonts w:ascii="Arial" w:hAnsi="Arial" w:cs="Arial"/>
          <w:color w:val="BF8F00"/>
          <w:sz w:val="22"/>
          <w:szCs w:val="22"/>
        </w:rPr>
        <w:t xml:space="preserve">stanovení podmínek pro využití ploch s rozdílným způsobem využití </w:t>
      </w:r>
    </w:p>
    <w:p w14:paraId="701CB5CB" w14:textId="77777777" w:rsidR="00CA23D0" w:rsidRPr="00DD2A6C" w:rsidRDefault="00CA23D0" w:rsidP="00CA23D0">
      <w:pPr>
        <w:numPr>
          <w:ilvl w:val="1"/>
          <w:numId w:val="11"/>
        </w:numPr>
        <w:tabs>
          <w:tab w:val="left" w:pos="993"/>
        </w:tabs>
        <w:suppressAutoHyphens w:val="0"/>
        <w:spacing w:line="276" w:lineRule="auto"/>
        <w:ind w:left="993" w:hanging="284"/>
        <w:jc w:val="both"/>
        <w:rPr>
          <w:rFonts w:ascii="Arial" w:hAnsi="Arial" w:cs="Arial"/>
          <w:color w:val="BF8F00"/>
          <w:sz w:val="22"/>
          <w:szCs w:val="22"/>
        </w:rPr>
      </w:pPr>
      <w:r w:rsidRPr="00DD2A6C">
        <w:rPr>
          <w:rFonts w:ascii="Arial" w:hAnsi="Arial" w:cs="Arial"/>
          <w:color w:val="BF8F00"/>
          <w:sz w:val="22"/>
          <w:szCs w:val="22"/>
        </w:rPr>
        <w:t xml:space="preserve">vymezení veřejně prospěšných staveb veřejně prospěšných opatření, pro které lze práva k pozemkům a stavbám vyvlastnit, </w:t>
      </w:r>
    </w:p>
    <w:p w14:paraId="18772B9A" w14:textId="77777777" w:rsidR="00CA23D0" w:rsidRPr="00DD2A6C" w:rsidRDefault="00CA23D0" w:rsidP="00CA23D0">
      <w:pPr>
        <w:numPr>
          <w:ilvl w:val="1"/>
          <w:numId w:val="11"/>
        </w:numPr>
        <w:tabs>
          <w:tab w:val="left" w:pos="993"/>
        </w:tabs>
        <w:suppressAutoHyphens w:val="0"/>
        <w:spacing w:line="276" w:lineRule="auto"/>
        <w:ind w:left="993" w:hanging="284"/>
        <w:jc w:val="both"/>
        <w:rPr>
          <w:rFonts w:ascii="Arial" w:hAnsi="Arial" w:cs="Arial"/>
          <w:color w:val="BF8F00"/>
          <w:sz w:val="22"/>
          <w:szCs w:val="22"/>
        </w:rPr>
      </w:pPr>
      <w:r w:rsidRPr="00DD2A6C">
        <w:rPr>
          <w:rFonts w:ascii="Arial" w:hAnsi="Arial" w:cs="Arial"/>
          <w:color w:val="BF8F00"/>
          <w:sz w:val="22"/>
          <w:szCs w:val="22"/>
        </w:rPr>
        <w:t xml:space="preserve">vymezení dalších veřejně prospěšných staveb a veřejně prospěšných opatření, pro které lze uplatnit předkupní právo </w:t>
      </w:r>
    </w:p>
    <w:p w14:paraId="2ED07A5A" w14:textId="77777777" w:rsidR="00CA23D0" w:rsidRPr="00DD2A6C" w:rsidRDefault="00CA23D0" w:rsidP="00CA23D0">
      <w:pPr>
        <w:numPr>
          <w:ilvl w:val="1"/>
          <w:numId w:val="11"/>
        </w:numPr>
        <w:tabs>
          <w:tab w:val="left" w:pos="993"/>
        </w:tabs>
        <w:suppressAutoHyphens w:val="0"/>
        <w:spacing w:line="276" w:lineRule="auto"/>
        <w:ind w:left="709" w:firstLine="0"/>
        <w:jc w:val="both"/>
        <w:rPr>
          <w:rFonts w:ascii="Arial" w:hAnsi="Arial" w:cs="Arial"/>
          <w:color w:val="BF8F00"/>
          <w:sz w:val="22"/>
          <w:szCs w:val="22"/>
        </w:rPr>
      </w:pPr>
      <w:r w:rsidRPr="00DD2A6C">
        <w:rPr>
          <w:rFonts w:ascii="Arial" w:hAnsi="Arial" w:cs="Arial"/>
          <w:color w:val="BF8F00"/>
          <w:sz w:val="22"/>
          <w:szCs w:val="22"/>
        </w:rPr>
        <w:t xml:space="preserve">údaje o počtu listu územního plánu a počtu výkresů k němu připojené grafické části </w:t>
      </w:r>
    </w:p>
    <w:p w14:paraId="0EF2AC82" w14:textId="77777777" w:rsidR="00CA23D0" w:rsidRPr="00E26E24" w:rsidRDefault="00CA23D0" w:rsidP="00CA23D0">
      <w:pPr>
        <w:spacing w:line="276" w:lineRule="auto"/>
        <w:ind w:firstLine="708"/>
        <w:jc w:val="both"/>
        <w:rPr>
          <w:rFonts w:ascii="Arial" w:hAnsi="Arial" w:cs="Arial"/>
          <w:color w:val="2E74B5"/>
          <w:sz w:val="22"/>
          <w:szCs w:val="22"/>
        </w:rPr>
      </w:pPr>
    </w:p>
    <w:p w14:paraId="0ED0BA97" w14:textId="77777777" w:rsidR="00CA23D0" w:rsidRPr="00025C8E" w:rsidRDefault="00CA23D0" w:rsidP="00CA23D0">
      <w:pPr>
        <w:spacing w:line="276" w:lineRule="auto"/>
        <w:ind w:firstLine="708"/>
        <w:jc w:val="both"/>
        <w:rPr>
          <w:rFonts w:ascii="Arial" w:hAnsi="Arial" w:cs="Arial"/>
          <w:b/>
          <w:color w:val="0066FF"/>
        </w:rPr>
      </w:pPr>
      <w:r w:rsidRPr="00025C8E">
        <w:rPr>
          <w:rFonts w:ascii="Arial" w:hAnsi="Arial" w:cs="Arial"/>
          <w:b/>
          <w:color w:val="0066FF"/>
        </w:rPr>
        <w:t xml:space="preserve">(Z4) OBSAH 4. ZMĚNY ÚZEMNÍHO PLÁNU </w:t>
      </w:r>
    </w:p>
    <w:p w14:paraId="7892F1A4" w14:textId="77777777" w:rsidR="00CA23D0" w:rsidRPr="00DD2A6C" w:rsidRDefault="00CA23D0" w:rsidP="00CA23D0">
      <w:pPr>
        <w:spacing w:line="276" w:lineRule="auto"/>
        <w:ind w:firstLine="708"/>
        <w:jc w:val="both"/>
        <w:rPr>
          <w:rFonts w:ascii="Arial" w:hAnsi="Arial" w:cs="Arial"/>
          <w:b/>
          <w:color w:val="0066FF"/>
          <w:sz w:val="22"/>
          <w:szCs w:val="22"/>
        </w:rPr>
      </w:pPr>
    </w:p>
    <w:p w14:paraId="384D2906" w14:textId="77777777" w:rsidR="00CA23D0" w:rsidRDefault="00CA23D0" w:rsidP="00CA23D0">
      <w:pPr>
        <w:jc w:val="both"/>
        <w:rPr>
          <w:rFonts w:ascii="Arial" w:hAnsi="Arial" w:cs="Arial"/>
          <w:noProof/>
          <w:color w:val="0066FF"/>
          <w:sz w:val="22"/>
          <w:szCs w:val="22"/>
        </w:rPr>
      </w:pPr>
    </w:p>
    <w:p w14:paraId="032B9C2E" w14:textId="77777777" w:rsidR="00CA23D0" w:rsidRPr="00DD2A6C" w:rsidRDefault="00CA23D0" w:rsidP="00CA23D0">
      <w:pPr>
        <w:jc w:val="both"/>
        <w:rPr>
          <w:rFonts w:ascii="Arial" w:hAnsi="Arial" w:cs="Arial"/>
          <w:color w:val="0066FF"/>
          <w:sz w:val="22"/>
          <w:szCs w:val="22"/>
        </w:rPr>
      </w:pPr>
      <w:r w:rsidRPr="00151BE2">
        <w:rPr>
          <w:rFonts w:ascii="Arial" w:hAnsi="Arial" w:cs="Arial"/>
          <w:noProof/>
          <w:color w:val="0066FF"/>
          <w:sz w:val="22"/>
          <w:szCs w:val="22"/>
          <w:lang w:eastAsia="cs-CZ"/>
        </w:rPr>
        <w:drawing>
          <wp:inline distT="0" distB="0" distL="0" distR="0" wp14:anchorId="1D1EBB74" wp14:editId="3F0A109B">
            <wp:extent cx="5814060" cy="1924050"/>
            <wp:effectExtent l="38100" t="38100" r="34290" b="38100"/>
            <wp:docPr id="5129" name="Obrázek 5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14060" cy="1924050"/>
                    </a:xfrm>
                    <a:prstGeom prst="rect">
                      <a:avLst/>
                    </a:prstGeom>
                    <a:noFill/>
                    <a:ln w="38100" cmpd="sng">
                      <a:solidFill>
                        <a:srgbClr val="0066FF"/>
                      </a:solidFill>
                      <a:miter lim="800000"/>
                      <a:headEnd/>
                      <a:tailEnd/>
                    </a:ln>
                    <a:effectLst/>
                  </pic:spPr>
                </pic:pic>
              </a:graphicData>
            </a:graphic>
          </wp:inline>
        </w:drawing>
      </w:r>
    </w:p>
    <w:p w14:paraId="3B1351C0" w14:textId="77777777" w:rsidR="00CA23D0" w:rsidRPr="00DD2A6C" w:rsidRDefault="00CA23D0" w:rsidP="00CA23D0">
      <w:pPr>
        <w:jc w:val="both"/>
        <w:rPr>
          <w:rFonts w:ascii="Arial" w:hAnsi="Arial" w:cs="Arial"/>
          <w:b/>
          <w:color w:val="0066FF"/>
          <w:sz w:val="22"/>
          <w:szCs w:val="22"/>
        </w:rPr>
      </w:pPr>
    </w:p>
    <w:p w14:paraId="6F33FFB3" w14:textId="77777777" w:rsidR="00CA23D0" w:rsidRPr="00025C8E" w:rsidRDefault="00CA23D0" w:rsidP="00CA23D0">
      <w:pPr>
        <w:keepNext/>
        <w:jc w:val="both"/>
        <w:rPr>
          <w:rFonts w:ascii="Arial" w:hAnsi="Arial" w:cs="Arial"/>
          <w:b/>
          <w:color w:val="0066FF"/>
        </w:rPr>
      </w:pPr>
      <w:r w:rsidRPr="00025C8E">
        <w:rPr>
          <w:rFonts w:ascii="Arial" w:hAnsi="Arial" w:cs="Arial"/>
          <w:b/>
          <w:color w:val="0066FF"/>
        </w:rPr>
        <w:t>Textová část</w:t>
      </w:r>
    </w:p>
    <w:p w14:paraId="38E57BC6" w14:textId="77777777" w:rsidR="00CA23D0" w:rsidRPr="00DD2A6C" w:rsidRDefault="00CA23D0" w:rsidP="00CA23D0">
      <w:pPr>
        <w:keepNext/>
        <w:jc w:val="both"/>
        <w:rPr>
          <w:rFonts w:ascii="Arial" w:hAnsi="Arial" w:cs="Arial"/>
          <w:b/>
          <w:color w:val="0066FF"/>
          <w:sz w:val="22"/>
          <w:szCs w:val="22"/>
        </w:rPr>
      </w:pPr>
      <w:r w:rsidRPr="00DD2A6C">
        <w:rPr>
          <w:rFonts w:ascii="Arial" w:hAnsi="Arial" w:cs="Arial"/>
          <w:b/>
          <w:color w:val="0066FF"/>
          <w:sz w:val="22"/>
          <w:szCs w:val="22"/>
        </w:rPr>
        <w:t>A. základní údaje</w:t>
      </w:r>
    </w:p>
    <w:p w14:paraId="56CA3D9C" w14:textId="77777777" w:rsidR="00CA23D0" w:rsidRPr="00DD2A6C" w:rsidRDefault="00CA23D0" w:rsidP="00CA23D0">
      <w:pPr>
        <w:numPr>
          <w:ilvl w:val="1"/>
          <w:numId w:val="15"/>
        </w:numPr>
        <w:suppressAutoHyphens w:val="0"/>
        <w:ind w:left="1134"/>
        <w:jc w:val="both"/>
        <w:rPr>
          <w:rFonts w:ascii="Arial" w:hAnsi="Arial" w:cs="Arial"/>
          <w:color w:val="0066FF"/>
          <w:sz w:val="22"/>
          <w:szCs w:val="22"/>
        </w:rPr>
      </w:pPr>
      <w:r w:rsidRPr="00DD2A6C">
        <w:rPr>
          <w:rFonts w:ascii="Arial" w:hAnsi="Arial" w:cs="Arial"/>
          <w:color w:val="0066FF"/>
          <w:sz w:val="22"/>
          <w:szCs w:val="22"/>
        </w:rPr>
        <w:t>hlavní cíle řešení,</w:t>
      </w:r>
    </w:p>
    <w:p w14:paraId="27AA6BFB" w14:textId="77777777" w:rsidR="00CA23D0" w:rsidRPr="00DD2A6C" w:rsidRDefault="00CA23D0" w:rsidP="00CA23D0">
      <w:pPr>
        <w:numPr>
          <w:ilvl w:val="1"/>
          <w:numId w:val="15"/>
        </w:numPr>
        <w:suppressAutoHyphens w:val="0"/>
        <w:ind w:left="1134"/>
        <w:jc w:val="both"/>
        <w:rPr>
          <w:rFonts w:ascii="Arial" w:hAnsi="Arial" w:cs="Arial"/>
          <w:color w:val="0066FF"/>
          <w:sz w:val="22"/>
          <w:szCs w:val="22"/>
        </w:rPr>
      </w:pPr>
      <w:r w:rsidRPr="00DD2A6C">
        <w:rPr>
          <w:rFonts w:ascii="Arial" w:hAnsi="Arial" w:cs="Arial"/>
          <w:color w:val="0066FF"/>
          <w:sz w:val="22"/>
          <w:szCs w:val="22"/>
        </w:rPr>
        <w:t>zhodnocení vztahu dříve zpracované a schválené územně plánovací dokumentace a konceptu řešení nebo návrhu územního plánu obce,</w:t>
      </w:r>
    </w:p>
    <w:p w14:paraId="4FFD3BA6" w14:textId="77777777" w:rsidR="00CA23D0" w:rsidRDefault="00CA23D0" w:rsidP="00CA23D0">
      <w:pPr>
        <w:numPr>
          <w:ilvl w:val="1"/>
          <w:numId w:val="15"/>
        </w:numPr>
        <w:suppressAutoHyphens w:val="0"/>
        <w:ind w:left="1134"/>
        <w:jc w:val="both"/>
        <w:rPr>
          <w:rFonts w:ascii="Arial" w:hAnsi="Arial" w:cs="Arial"/>
          <w:color w:val="0066FF"/>
          <w:sz w:val="22"/>
          <w:szCs w:val="22"/>
        </w:rPr>
      </w:pPr>
      <w:r w:rsidRPr="00DD2A6C">
        <w:rPr>
          <w:rFonts w:ascii="Arial" w:hAnsi="Arial" w:cs="Arial"/>
          <w:color w:val="0066FF"/>
          <w:sz w:val="22"/>
          <w:szCs w:val="22"/>
        </w:rPr>
        <w:t>vyhodnocení splnění zadání územního plánu obce</w:t>
      </w:r>
    </w:p>
    <w:p w14:paraId="40E62360" w14:textId="77777777" w:rsidR="00CA23D0" w:rsidRDefault="00CA23D0" w:rsidP="00CA23D0">
      <w:pPr>
        <w:suppressAutoHyphens w:val="0"/>
        <w:ind w:left="1134"/>
        <w:jc w:val="both"/>
        <w:rPr>
          <w:rFonts w:ascii="Arial" w:hAnsi="Arial" w:cs="Arial"/>
          <w:color w:val="0066FF"/>
          <w:sz w:val="22"/>
          <w:szCs w:val="22"/>
        </w:rPr>
      </w:pPr>
    </w:p>
    <w:p w14:paraId="57E7EC12" w14:textId="77777777" w:rsidR="00CA23D0" w:rsidRDefault="00CA23D0" w:rsidP="00CA23D0">
      <w:pPr>
        <w:suppressAutoHyphens w:val="0"/>
        <w:ind w:left="1134"/>
        <w:jc w:val="both"/>
        <w:rPr>
          <w:rFonts w:ascii="Arial" w:hAnsi="Arial" w:cs="Arial"/>
          <w:color w:val="0066FF"/>
          <w:sz w:val="22"/>
          <w:szCs w:val="22"/>
        </w:rPr>
      </w:pPr>
    </w:p>
    <w:p w14:paraId="77585257" w14:textId="77777777" w:rsidR="00CA23D0" w:rsidRPr="00DD2A6C" w:rsidRDefault="00CA23D0" w:rsidP="00CA23D0">
      <w:pPr>
        <w:suppressAutoHyphens w:val="0"/>
        <w:ind w:left="1134"/>
        <w:jc w:val="both"/>
        <w:rPr>
          <w:rFonts w:ascii="Arial" w:hAnsi="Arial" w:cs="Arial"/>
          <w:color w:val="0066FF"/>
          <w:sz w:val="22"/>
          <w:szCs w:val="22"/>
        </w:rPr>
      </w:pPr>
    </w:p>
    <w:p w14:paraId="125BD1B7" w14:textId="77777777" w:rsidR="00CA23D0" w:rsidRPr="00DD2A6C" w:rsidRDefault="00CA23D0" w:rsidP="00CA23D0">
      <w:pPr>
        <w:numPr>
          <w:ilvl w:val="1"/>
          <w:numId w:val="15"/>
        </w:numPr>
        <w:suppressAutoHyphens w:val="0"/>
        <w:ind w:left="1134"/>
        <w:jc w:val="both"/>
        <w:rPr>
          <w:rFonts w:ascii="Arial" w:hAnsi="Arial" w:cs="Arial"/>
          <w:color w:val="0066FF"/>
          <w:sz w:val="22"/>
          <w:szCs w:val="22"/>
        </w:rPr>
      </w:pPr>
      <w:r w:rsidRPr="00DD2A6C">
        <w:rPr>
          <w:rFonts w:ascii="Arial" w:hAnsi="Arial" w:cs="Arial"/>
          <w:color w:val="0066FF"/>
          <w:sz w:val="22"/>
          <w:szCs w:val="22"/>
        </w:rPr>
        <w:t>vyhodnocení souladu s cíli územního plánování</w:t>
      </w:r>
    </w:p>
    <w:p w14:paraId="67890191" w14:textId="77777777" w:rsidR="00CA23D0" w:rsidRPr="00DD2A6C" w:rsidRDefault="00CA23D0" w:rsidP="00CA23D0">
      <w:pPr>
        <w:jc w:val="both"/>
        <w:rPr>
          <w:rFonts w:ascii="Arial" w:hAnsi="Arial" w:cs="Arial"/>
          <w:b/>
          <w:color w:val="0066FF"/>
          <w:sz w:val="22"/>
          <w:szCs w:val="22"/>
        </w:rPr>
      </w:pPr>
      <w:r w:rsidRPr="00DD2A6C">
        <w:rPr>
          <w:rFonts w:ascii="Arial" w:hAnsi="Arial" w:cs="Arial"/>
          <w:b/>
          <w:color w:val="0066FF"/>
          <w:sz w:val="22"/>
          <w:szCs w:val="22"/>
        </w:rPr>
        <w:t>B. řešení územního plánu</w:t>
      </w:r>
    </w:p>
    <w:p w14:paraId="0E0DF856"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vymezení řešeného území podle katastrálních území obce,</w:t>
      </w:r>
    </w:p>
    <w:p w14:paraId="48FCBADB"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základní předpoklady a podmínky vývoje obce a ochrany přírodních, civilizačních a kulturních hodnot území,</w:t>
      </w:r>
    </w:p>
    <w:p w14:paraId="22994591"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návrh urbanistické koncepce,</w:t>
      </w:r>
    </w:p>
    <w:p w14:paraId="6D0E95A1"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návrh členění území obce na funkční plochy a podmínky jejich využití,</w:t>
      </w:r>
    </w:p>
    <w:p w14:paraId="638F260A"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limity využití území včetně stanovení zátopových území,</w:t>
      </w:r>
    </w:p>
    <w:p w14:paraId="05B344D9"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přehled a charakteristika vybraných ploch zastavitelného území,</w:t>
      </w:r>
    </w:p>
    <w:p w14:paraId="4964EBEF"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návrh koncepce dopravy, občanského a technického vybavení a nakládání s</w:t>
      </w:r>
      <w:r w:rsidRPr="00DD2A6C">
        <w:rPr>
          <w:color w:val="0066FF"/>
        </w:rPr>
        <w:t> </w:t>
      </w:r>
      <w:r w:rsidRPr="00DD2A6C">
        <w:rPr>
          <w:rFonts w:ascii="Arial" w:hAnsi="Arial" w:cs="Arial"/>
          <w:color w:val="0066FF"/>
          <w:sz w:val="22"/>
          <w:szCs w:val="22"/>
        </w:rPr>
        <w:t>odpady,</w:t>
      </w:r>
    </w:p>
    <w:p w14:paraId="3FBC0505"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vymezení ploch přípustných pro dobývání ložisek nerostů a ploch pro jeho technické zajištění,</w:t>
      </w:r>
    </w:p>
    <w:p w14:paraId="2B195873"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návrh místního systému ekologické stability,</w:t>
      </w:r>
    </w:p>
    <w:p w14:paraId="06630022"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vymezení ploch veřejně prospěšných staveb, asanací a asanačních úprav,</w:t>
      </w:r>
    </w:p>
    <w:p w14:paraId="1F08CF5A"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návrh řešení požadavků civilní ochrany,</w:t>
      </w:r>
    </w:p>
    <w:p w14:paraId="30076F9C"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 xml:space="preserve">vyhodnocení předpokládaných důsledků navrhovaného řešení na životní prostředí, na zemědělský půdní fond a na pozemky určené k plnění funkce lesa podle zvláštních předpisů, </w:t>
      </w:r>
    </w:p>
    <w:p w14:paraId="28518B31" w14:textId="77777777" w:rsidR="00CA23D0" w:rsidRPr="00DD2A6C" w:rsidRDefault="00CA23D0" w:rsidP="00CA23D0">
      <w:pPr>
        <w:numPr>
          <w:ilvl w:val="1"/>
          <w:numId w:val="16"/>
        </w:numPr>
        <w:suppressAutoHyphens w:val="0"/>
        <w:ind w:left="1134"/>
        <w:jc w:val="both"/>
        <w:rPr>
          <w:rFonts w:ascii="Arial" w:hAnsi="Arial" w:cs="Arial"/>
          <w:color w:val="0066FF"/>
          <w:sz w:val="22"/>
          <w:szCs w:val="22"/>
        </w:rPr>
      </w:pPr>
      <w:r w:rsidRPr="00DD2A6C">
        <w:rPr>
          <w:rFonts w:ascii="Arial" w:hAnsi="Arial" w:cs="Arial"/>
          <w:color w:val="0066FF"/>
          <w:sz w:val="22"/>
          <w:szCs w:val="22"/>
        </w:rPr>
        <w:t>návrh lhůt aktualizace.</w:t>
      </w:r>
    </w:p>
    <w:p w14:paraId="5B559045" w14:textId="77777777" w:rsidR="00CA23D0" w:rsidRPr="00DD2A6C" w:rsidRDefault="00CA23D0" w:rsidP="00CA23D0">
      <w:pPr>
        <w:jc w:val="both"/>
        <w:rPr>
          <w:rFonts w:ascii="Arial" w:hAnsi="Arial" w:cs="Arial"/>
          <w:b/>
          <w:color w:val="0066FF"/>
          <w:sz w:val="22"/>
          <w:szCs w:val="22"/>
        </w:rPr>
      </w:pPr>
      <w:r w:rsidRPr="00DD2A6C">
        <w:rPr>
          <w:rFonts w:ascii="Arial" w:hAnsi="Arial" w:cs="Arial"/>
          <w:b/>
          <w:color w:val="0066FF"/>
          <w:sz w:val="22"/>
          <w:szCs w:val="22"/>
        </w:rPr>
        <w:t>C. číselné údaje charakterizující navržené řešení jsou součástí jednotlivých kapitol textu</w:t>
      </w:r>
    </w:p>
    <w:p w14:paraId="7C8C8D1E" w14:textId="77777777" w:rsidR="00CA23D0" w:rsidRPr="00DD2A6C" w:rsidRDefault="00CA23D0" w:rsidP="00CA23D0">
      <w:pPr>
        <w:jc w:val="both"/>
        <w:rPr>
          <w:rFonts w:ascii="Arial" w:hAnsi="Arial" w:cs="Arial"/>
          <w:b/>
          <w:color w:val="0066FF"/>
          <w:sz w:val="22"/>
          <w:szCs w:val="22"/>
        </w:rPr>
      </w:pPr>
      <w:r w:rsidRPr="00DD2A6C">
        <w:rPr>
          <w:rFonts w:ascii="Arial" w:hAnsi="Arial" w:cs="Arial"/>
          <w:b/>
          <w:color w:val="0066FF"/>
          <w:sz w:val="22"/>
          <w:szCs w:val="22"/>
        </w:rPr>
        <w:t xml:space="preserve">D. závazná část ve formě regulativů </w:t>
      </w:r>
    </w:p>
    <w:p w14:paraId="370EA0E0" w14:textId="77777777" w:rsidR="00CA23D0" w:rsidRPr="00E26E24" w:rsidRDefault="00CA23D0" w:rsidP="00CA23D0">
      <w:pPr>
        <w:spacing w:line="276" w:lineRule="auto"/>
        <w:ind w:firstLine="708"/>
        <w:jc w:val="both"/>
        <w:rPr>
          <w:rFonts w:ascii="Arial" w:hAnsi="Arial" w:cs="Arial"/>
          <w:sz w:val="22"/>
          <w:szCs w:val="22"/>
        </w:rPr>
      </w:pPr>
    </w:p>
    <w:p w14:paraId="473E7748" w14:textId="77777777" w:rsidR="00CA23D0" w:rsidRPr="00025C8E" w:rsidRDefault="00CA23D0" w:rsidP="00CA23D0">
      <w:pPr>
        <w:spacing w:line="276" w:lineRule="auto"/>
        <w:jc w:val="both"/>
        <w:rPr>
          <w:rFonts w:ascii="Arial" w:hAnsi="Arial" w:cs="Arial"/>
          <w:b/>
          <w:color w:val="D60093"/>
        </w:rPr>
      </w:pPr>
      <w:r w:rsidRPr="00025C8E">
        <w:rPr>
          <w:rFonts w:ascii="Arial" w:hAnsi="Arial" w:cs="Arial"/>
          <w:b/>
          <w:color w:val="D60093"/>
        </w:rPr>
        <w:t>(Z6) OBSAH 6. ZMĚNY ÚZEMNÍHO PLÁNU</w:t>
      </w:r>
    </w:p>
    <w:p w14:paraId="4272F10E" w14:textId="77777777" w:rsidR="00CA23D0" w:rsidRPr="00DD2A6C" w:rsidRDefault="00CA23D0" w:rsidP="00CA23D0">
      <w:pPr>
        <w:pStyle w:val="Odstavecseseznamem"/>
        <w:numPr>
          <w:ilvl w:val="0"/>
          <w:numId w:val="13"/>
        </w:numPr>
        <w:spacing w:line="276" w:lineRule="auto"/>
        <w:jc w:val="both"/>
        <w:rPr>
          <w:rFonts w:ascii="Arial" w:hAnsi="Arial" w:cs="Arial"/>
          <w:color w:val="D60093"/>
          <w:sz w:val="28"/>
          <w:szCs w:val="28"/>
        </w:rPr>
      </w:pPr>
      <w:r w:rsidRPr="00DD2A6C">
        <w:rPr>
          <w:rFonts w:ascii="Arial" w:hAnsi="Arial" w:cs="Arial"/>
          <w:color w:val="D60093"/>
          <w:sz w:val="28"/>
          <w:szCs w:val="28"/>
        </w:rPr>
        <w:t>Textová část 6. změny územního plánu</w:t>
      </w:r>
    </w:p>
    <w:p w14:paraId="4E966F24" w14:textId="77777777" w:rsidR="00CA23D0" w:rsidRPr="00DD2A6C" w:rsidRDefault="00CA23D0" w:rsidP="00CA23D0">
      <w:pPr>
        <w:pStyle w:val="Odstavecseseznamem"/>
        <w:numPr>
          <w:ilvl w:val="0"/>
          <w:numId w:val="13"/>
        </w:numPr>
        <w:spacing w:line="276" w:lineRule="auto"/>
        <w:jc w:val="both"/>
        <w:rPr>
          <w:rFonts w:ascii="Arial" w:hAnsi="Arial" w:cs="Arial"/>
          <w:color w:val="D60093"/>
          <w:sz w:val="28"/>
          <w:szCs w:val="28"/>
        </w:rPr>
      </w:pPr>
      <w:r w:rsidRPr="00DD2A6C">
        <w:rPr>
          <w:rFonts w:ascii="Arial" w:hAnsi="Arial" w:cs="Arial"/>
          <w:color w:val="D60093"/>
          <w:sz w:val="28"/>
          <w:szCs w:val="28"/>
        </w:rPr>
        <w:t>Grafická část 6. změny územního plánu:</w:t>
      </w:r>
    </w:p>
    <w:p w14:paraId="7C3295BC" w14:textId="77777777" w:rsidR="00CA23D0" w:rsidRPr="00DD2A6C" w:rsidRDefault="00CA23D0" w:rsidP="00CA23D0">
      <w:pPr>
        <w:spacing w:line="276" w:lineRule="auto"/>
        <w:ind w:left="1416"/>
        <w:jc w:val="both"/>
        <w:rPr>
          <w:rFonts w:ascii="Arial" w:hAnsi="Arial" w:cs="Arial"/>
          <w:color w:val="D60093"/>
          <w:sz w:val="22"/>
          <w:szCs w:val="22"/>
        </w:rPr>
      </w:pPr>
      <w:r w:rsidRPr="00DD2A6C">
        <w:rPr>
          <w:rFonts w:ascii="Arial" w:hAnsi="Arial" w:cs="Arial"/>
          <w:color w:val="D60093"/>
          <w:sz w:val="22"/>
          <w:szCs w:val="22"/>
        </w:rPr>
        <w:t>Ia výkres základního členění území</w:t>
      </w:r>
    </w:p>
    <w:p w14:paraId="3BA74F73" w14:textId="77777777" w:rsidR="00CA23D0" w:rsidRPr="00DD2A6C" w:rsidRDefault="00CA23D0" w:rsidP="00CA23D0">
      <w:pPr>
        <w:spacing w:line="276" w:lineRule="auto"/>
        <w:ind w:left="1416"/>
        <w:jc w:val="both"/>
        <w:rPr>
          <w:rFonts w:ascii="Arial" w:hAnsi="Arial" w:cs="Arial"/>
          <w:color w:val="D60093"/>
          <w:sz w:val="22"/>
          <w:szCs w:val="22"/>
        </w:rPr>
      </w:pPr>
      <w:r w:rsidRPr="00DD2A6C">
        <w:rPr>
          <w:rFonts w:ascii="Arial" w:hAnsi="Arial" w:cs="Arial"/>
          <w:color w:val="D60093"/>
          <w:sz w:val="22"/>
          <w:szCs w:val="22"/>
        </w:rPr>
        <w:t xml:space="preserve">Ib hlavní výkres, </w:t>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t>m : 10 000</w:t>
      </w:r>
    </w:p>
    <w:p w14:paraId="1C9FB5E3" w14:textId="77777777" w:rsidR="00CA23D0" w:rsidRPr="00DD2A6C" w:rsidRDefault="00CA23D0" w:rsidP="00CA23D0">
      <w:pPr>
        <w:spacing w:line="276" w:lineRule="auto"/>
        <w:ind w:left="2124"/>
        <w:jc w:val="both"/>
        <w:rPr>
          <w:rFonts w:ascii="Arial" w:hAnsi="Arial" w:cs="Arial"/>
          <w:color w:val="D60093"/>
          <w:sz w:val="22"/>
          <w:szCs w:val="22"/>
        </w:rPr>
      </w:pPr>
      <w:r w:rsidRPr="00DD2A6C">
        <w:rPr>
          <w:rFonts w:ascii="Arial" w:hAnsi="Arial" w:cs="Arial"/>
          <w:color w:val="D60093"/>
          <w:sz w:val="22"/>
          <w:szCs w:val="22"/>
        </w:rPr>
        <w:t xml:space="preserve">lb 1 doprava, </w:t>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t>m : 10 000</w:t>
      </w:r>
    </w:p>
    <w:p w14:paraId="36118767" w14:textId="77777777" w:rsidR="00CA23D0" w:rsidRPr="00DD2A6C" w:rsidRDefault="00CA23D0" w:rsidP="00CA23D0">
      <w:pPr>
        <w:spacing w:line="276" w:lineRule="auto"/>
        <w:ind w:left="2124"/>
        <w:jc w:val="both"/>
        <w:rPr>
          <w:rFonts w:ascii="Arial" w:hAnsi="Arial" w:cs="Arial"/>
          <w:color w:val="D60093"/>
          <w:sz w:val="22"/>
          <w:szCs w:val="22"/>
        </w:rPr>
      </w:pPr>
      <w:r w:rsidRPr="00DD2A6C">
        <w:rPr>
          <w:rFonts w:ascii="Arial" w:hAnsi="Arial" w:cs="Arial"/>
          <w:color w:val="D60093"/>
          <w:sz w:val="22"/>
          <w:szCs w:val="22"/>
        </w:rPr>
        <w:t xml:space="preserve">lb 2 vodní hospodářství zasobovani pitnou vodou, </w:t>
      </w:r>
      <w:r w:rsidRPr="00DD2A6C">
        <w:rPr>
          <w:rFonts w:ascii="Arial" w:hAnsi="Arial" w:cs="Arial"/>
          <w:color w:val="D60093"/>
          <w:sz w:val="22"/>
          <w:szCs w:val="22"/>
        </w:rPr>
        <w:tab/>
        <w:t>m : 10 000</w:t>
      </w:r>
    </w:p>
    <w:p w14:paraId="59844E43" w14:textId="77777777" w:rsidR="00CA23D0" w:rsidRPr="00DD2A6C" w:rsidRDefault="00CA23D0" w:rsidP="00CA23D0">
      <w:pPr>
        <w:spacing w:line="276" w:lineRule="auto"/>
        <w:ind w:left="2124"/>
        <w:jc w:val="both"/>
        <w:rPr>
          <w:rFonts w:ascii="Arial" w:hAnsi="Arial" w:cs="Arial"/>
          <w:color w:val="D60093"/>
          <w:sz w:val="22"/>
          <w:szCs w:val="22"/>
        </w:rPr>
      </w:pPr>
      <w:r w:rsidRPr="00DD2A6C">
        <w:rPr>
          <w:rFonts w:ascii="Arial" w:hAnsi="Arial" w:cs="Arial"/>
          <w:color w:val="D60093"/>
          <w:sz w:val="22"/>
          <w:szCs w:val="22"/>
        </w:rPr>
        <w:t xml:space="preserve">lb 3 vodní hospodářství- odkanalizování, </w:t>
      </w:r>
      <w:r w:rsidRPr="00DD2A6C">
        <w:rPr>
          <w:rFonts w:ascii="Arial" w:hAnsi="Arial" w:cs="Arial"/>
          <w:color w:val="D60093"/>
          <w:sz w:val="22"/>
          <w:szCs w:val="22"/>
        </w:rPr>
        <w:tab/>
      </w:r>
      <w:r w:rsidRPr="00DD2A6C">
        <w:rPr>
          <w:rFonts w:ascii="Arial" w:hAnsi="Arial" w:cs="Arial"/>
          <w:color w:val="D60093"/>
          <w:sz w:val="22"/>
          <w:szCs w:val="22"/>
        </w:rPr>
        <w:tab/>
        <w:t>m :10 000</w:t>
      </w:r>
    </w:p>
    <w:p w14:paraId="43BB43FF" w14:textId="77777777" w:rsidR="00CA23D0" w:rsidRPr="00DD2A6C" w:rsidRDefault="00CA23D0" w:rsidP="00CA23D0">
      <w:pPr>
        <w:spacing w:line="276" w:lineRule="auto"/>
        <w:ind w:left="2124"/>
        <w:jc w:val="both"/>
        <w:rPr>
          <w:rFonts w:ascii="Arial" w:hAnsi="Arial" w:cs="Arial"/>
          <w:color w:val="D60093"/>
          <w:sz w:val="22"/>
          <w:szCs w:val="22"/>
        </w:rPr>
      </w:pPr>
      <w:r w:rsidRPr="00DD2A6C">
        <w:rPr>
          <w:rFonts w:ascii="Arial" w:hAnsi="Arial" w:cs="Arial"/>
          <w:color w:val="D60093"/>
          <w:sz w:val="22"/>
          <w:szCs w:val="22"/>
        </w:rPr>
        <w:t>lb 4 energetika, spoje,</w:t>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t xml:space="preserve"> m : 10 000</w:t>
      </w:r>
    </w:p>
    <w:p w14:paraId="022C5772" w14:textId="77777777" w:rsidR="00CA23D0" w:rsidRPr="00DD2A6C" w:rsidRDefault="00CA23D0" w:rsidP="00CA23D0">
      <w:pPr>
        <w:spacing w:line="276" w:lineRule="auto"/>
        <w:ind w:left="708" w:firstLine="708"/>
        <w:jc w:val="both"/>
        <w:rPr>
          <w:rFonts w:ascii="Arial" w:hAnsi="Arial" w:cs="Arial"/>
          <w:color w:val="D60093"/>
          <w:sz w:val="22"/>
          <w:szCs w:val="22"/>
        </w:rPr>
      </w:pPr>
      <w:r w:rsidRPr="00DD2A6C">
        <w:rPr>
          <w:rFonts w:ascii="Arial" w:hAnsi="Arial" w:cs="Arial"/>
          <w:color w:val="D60093"/>
          <w:sz w:val="22"/>
          <w:szCs w:val="22"/>
        </w:rPr>
        <w:t xml:space="preserve">Ic) výkres veřejně prospěšných staveb, </w:t>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r>
      <w:r w:rsidRPr="00DD2A6C">
        <w:rPr>
          <w:rFonts w:ascii="Arial" w:hAnsi="Arial" w:cs="Arial"/>
          <w:color w:val="D60093"/>
          <w:sz w:val="22"/>
          <w:szCs w:val="22"/>
        </w:rPr>
        <w:tab/>
        <w:t>m : 5 000</w:t>
      </w:r>
    </w:p>
    <w:p w14:paraId="7A2360AA" w14:textId="77777777" w:rsidR="00CA23D0" w:rsidRPr="00DD2A6C" w:rsidRDefault="00CA23D0" w:rsidP="00CA23D0">
      <w:pPr>
        <w:spacing w:line="276" w:lineRule="auto"/>
        <w:jc w:val="both"/>
        <w:rPr>
          <w:rFonts w:ascii="Arial" w:hAnsi="Arial" w:cs="Arial"/>
          <w:b/>
          <w:color w:val="D60093"/>
          <w:sz w:val="22"/>
          <w:szCs w:val="22"/>
        </w:rPr>
      </w:pPr>
      <w:r w:rsidRPr="00DD2A6C">
        <w:rPr>
          <w:rFonts w:ascii="Arial" w:hAnsi="Arial" w:cs="Arial"/>
          <w:b/>
          <w:color w:val="D60093"/>
          <w:sz w:val="22"/>
          <w:szCs w:val="22"/>
        </w:rPr>
        <w:t>Obsah textové části:</w:t>
      </w:r>
    </w:p>
    <w:p w14:paraId="3A405910" w14:textId="77777777" w:rsidR="00CA23D0" w:rsidRPr="00DD2A6C" w:rsidRDefault="00CA23D0" w:rsidP="00CA23D0">
      <w:pPr>
        <w:numPr>
          <w:ilvl w:val="1"/>
          <w:numId w:val="17"/>
        </w:numPr>
        <w:suppressAutoHyphens w:val="0"/>
        <w:spacing w:line="276" w:lineRule="auto"/>
        <w:ind w:left="1134"/>
        <w:jc w:val="both"/>
        <w:rPr>
          <w:rFonts w:ascii="Arial" w:hAnsi="Arial" w:cs="Arial"/>
          <w:color w:val="D60093"/>
          <w:sz w:val="22"/>
          <w:szCs w:val="22"/>
        </w:rPr>
      </w:pPr>
      <w:r w:rsidRPr="00DD2A6C">
        <w:rPr>
          <w:rFonts w:ascii="Arial" w:hAnsi="Arial" w:cs="Arial"/>
          <w:color w:val="D60093"/>
          <w:sz w:val="22"/>
          <w:szCs w:val="22"/>
        </w:rPr>
        <w:t>vymezení zastavěného území</w:t>
      </w:r>
    </w:p>
    <w:p w14:paraId="51A59C98" w14:textId="77777777" w:rsidR="00CA23D0" w:rsidRPr="00DD2A6C" w:rsidRDefault="00CA23D0" w:rsidP="00CA23D0">
      <w:pPr>
        <w:numPr>
          <w:ilvl w:val="1"/>
          <w:numId w:val="17"/>
        </w:numPr>
        <w:suppressAutoHyphens w:val="0"/>
        <w:spacing w:line="276" w:lineRule="auto"/>
        <w:ind w:left="1134"/>
        <w:jc w:val="both"/>
        <w:rPr>
          <w:rFonts w:ascii="Arial" w:hAnsi="Arial" w:cs="Arial"/>
          <w:color w:val="D60093"/>
          <w:sz w:val="22"/>
          <w:szCs w:val="22"/>
        </w:rPr>
      </w:pPr>
      <w:r w:rsidRPr="00DD2A6C">
        <w:rPr>
          <w:rFonts w:ascii="Arial" w:hAnsi="Arial" w:cs="Arial"/>
          <w:color w:val="D60093"/>
          <w:sz w:val="22"/>
          <w:szCs w:val="22"/>
        </w:rPr>
        <w:t xml:space="preserve">koncepce rozvoje území obce, ochrany a rozvoje jeho hodnot </w:t>
      </w:r>
    </w:p>
    <w:p w14:paraId="59754EA1" w14:textId="77777777" w:rsidR="00CA23D0" w:rsidRPr="00DD2A6C" w:rsidRDefault="00CA23D0" w:rsidP="00CA23D0">
      <w:pPr>
        <w:numPr>
          <w:ilvl w:val="1"/>
          <w:numId w:val="17"/>
        </w:numPr>
        <w:suppressAutoHyphens w:val="0"/>
        <w:spacing w:line="276" w:lineRule="auto"/>
        <w:ind w:left="1134"/>
        <w:jc w:val="both"/>
        <w:rPr>
          <w:rFonts w:ascii="Arial" w:hAnsi="Arial" w:cs="Arial"/>
          <w:color w:val="D60093"/>
          <w:sz w:val="22"/>
          <w:szCs w:val="22"/>
        </w:rPr>
      </w:pPr>
      <w:r w:rsidRPr="00DD2A6C">
        <w:rPr>
          <w:rFonts w:ascii="Arial" w:hAnsi="Arial" w:cs="Arial"/>
          <w:color w:val="D60093"/>
          <w:sz w:val="22"/>
          <w:szCs w:val="22"/>
        </w:rPr>
        <w:t xml:space="preserve">Urbanistická koncepce, včetně vymezení zastavitelných ploch, ploch přestavby a systému sídelní zeleně </w:t>
      </w:r>
    </w:p>
    <w:p w14:paraId="04566769" w14:textId="77777777" w:rsidR="00CA23D0" w:rsidRPr="00DD2A6C" w:rsidRDefault="00CA23D0" w:rsidP="00CA23D0">
      <w:pPr>
        <w:numPr>
          <w:ilvl w:val="1"/>
          <w:numId w:val="17"/>
        </w:numPr>
        <w:suppressAutoHyphens w:val="0"/>
        <w:spacing w:line="276" w:lineRule="auto"/>
        <w:ind w:left="1134"/>
        <w:jc w:val="both"/>
        <w:rPr>
          <w:rFonts w:ascii="Arial" w:hAnsi="Arial" w:cs="Arial"/>
          <w:color w:val="D60093"/>
          <w:sz w:val="22"/>
          <w:szCs w:val="22"/>
        </w:rPr>
      </w:pPr>
      <w:r w:rsidRPr="00DD2A6C">
        <w:rPr>
          <w:rFonts w:ascii="Arial" w:hAnsi="Arial" w:cs="Arial"/>
          <w:color w:val="D60093"/>
          <w:sz w:val="22"/>
          <w:szCs w:val="22"/>
        </w:rPr>
        <w:t>Koncepce veřejné infrastruktury, včetně podmínek pro její umísťování</w:t>
      </w:r>
    </w:p>
    <w:p w14:paraId="01C9D05C" w14:textId="77777777" w:rsidR="00CA23D0" w:rsidRPr="00DD2A6C" w:rsidRDefault="00CA23D0" w:rsidP="00CA23D0">
      <w:pPr>
        <w:numPr>
          <w:ilvl w:val="1"/>
          <w:numId w:val="17"/>
        </w:numPr>
        <w:suppressAutoHyphens w:val="0"/>
        <w:spacing w:line="276" w:lineRule="auto"/>
        <w:ind w:left="1134"/>
        <w:jc w:val="both"/>
        <w:rPr>
          <w:rFonts w:ascii="Arial" w:hAnsi="Arial" w:cs="Arial"/>
          <w:color w:val="D60093"/>
          <w:sz w:val="22"/>
          <w:szCs w:val="22"/>
        </w:rPr>
      </w:pPr>
      <w:r w:rsidRPr="00DD2A6C">
        <w:rPr>
          <w:rFonts w:ascii="Arial" w:hAnsi="Arial" w:cs="Arial"/>
          <w:color w:val="D60093"/>
          <w:sz w:val="22"/>
          <w:szCs w:val="22"/>
        </w:rPr>
        <w:t xml:space="preserve">koncepci uspořádání krajiny, uzemni systém ekologické stability stanovení podmínek pro využití ploch s rozdílným způsobem využití </w:t>
      </w:r>
    </w:p>
    <w:p w14:paraId="364B0927" w14:textId="77777777" w:rsidR="00CA23D0" w:rsidRPr="00DD2A6C" w:rsidRDefault="00CA23D0" w:rsidP="00CA23D0">
      <w:pPr>
        <w:numPr>
          <w:ilvl w:val="1"/>
          <w:numId w:val="17"/>
        </w:numPr>
        <w:suppressAutoHyphens w:val="0"/>
        <w:spacing w:line="276" w:lineRule="auto"/>
        <w:ind w:left="1134"/>
        <w:jc w:val="both"/>
        <w:rPr>
          <w:rFonts w:ascii="Arial" w:hAnsi="Arial" w:cs="Arial"/>
          <w:color w:val="D60093"/>
          <w:sz w:val="22"/>
          <w:szCs w:val="22"/>
        </w:rPr>
      </w:pPr>
      <w:r w:rsidRPr="00DD2A6C">
        <w:rPr>
          <w:rFonts w:ascii="Arial" w:hAnsi="Arial" w:cs="Arial"/>
          <w:color w:val="D60093"/>
          <w:sz w:val="22"/>
          <w:szCs w:val="22"/>
        </w:rPr>
        <w:t xml:space="preserve">stanovení podmínek pro využití ploch s rozdílným způsobem využití </w:t>
      </w:r>
    </w:p>
    <w:p w14:paraId="77AAEBB1" w14:textId="77777777" w:rsidR="00CA23D0" w:rsidRPr="00DD2A6C" w:rsidRDefault="00CA23D0" w:rsidP="00CA23D0">
      <w:pPr>
        <w:numPr>
          <w:ilvl w:val="1"/>
          <w:numId w:val="17"/>
        </w:numPr>
        <w:suppressAutoHyphens w:val="0"/>
        <w:spacing w:line="276" w:lineRule="auto"/>
        <w:ind w:left="1134"/>
        <w:jc w:val="both"/>
        <w:rPr>
          <w:rFonts w:ascii="Arial" w:hAnsi="Arial" w:cs="Arial"/>
          <w:color w:val="D60093"/>
          <w:sz w:val="22"/>
          <w:szCs w:val="22"/>
        </w:rPr>
      </w:pPr>
      <w:r w:rsidRPr="00DD2A6C">
        <w:rPr>
          <w:rFonts w:ascii="Arial" w:hAnsi="Arial" w:cs="Arial"/>
          <w:color w:val="D60093"/>
          <w:sz w:val="22"/>
          <w:szCs w:val="22"/>
        </w:rPr>
        <w:t xml:space="preserve">vymezení veřejně prospěšných staveb veřejné prospěšných opatření, pro které lze práva k pozemkům a stavbám vyvlastnit, </w:t>
      </w:r>
    </w:p>
    <w:p w14:paraId="7320E3ED" w14:textId="77777777" w:rsidR="00CA23D0" w:rsidRDefault="00CA23D0" w:rsidP="00CA23D0">
      <w:pPr>
        <w:numPr>
          <w:ilvl w:val="1"/>
          <w:numId w:val="17"/>
        </w:numPr>
        <w:suppressAutoHyphens w:val="0"/>
        <w:spacing w:line="276" w:lineRule="auto"/>
        <w:ind w:left="1134"/>
        <w:jc w:val="both"/>
        <w:rPr>
          <w:rFonts w:ascii="Arial" w:hAnsi="Arial" w:cs="Arial"/>
          <w:color w:val="D60093"/>
          <w:sz w:val="22"/>
          <w:szCs w:val="22"/>
        </w:rPr>
      </w:pPr>
      <w:r w:rsidRPr="00DD2A6C">
        <w:rPr>
          <w:rFonts w:ascii="Arial" w:hAnsi="Arial" w:cs="Arial"/>
          <w:color w:val="D60093"/>
          <w:sz w:val="22"/>
          <w:szCs w:val="22"/>
        </w:rPr>
        <w:t xml:space="preserve">vymezení dalších veřejně prospěšných staveb a veřejně prospěšných opatření, pro které lze uplatnit předkupní právo </w:t>
      </w:r>
    </w:p>
    <w:p w14:paraId="4FD4FA66" w14:textId="77777777" w:rsidR="00CA23D0" w:rsidRDefault="00CA23D0" w:rsidP="00CA23D0">
      <w:pPr>
        <w:suppressAutoHyphens w:val="0"/>
        <w:spacing w:line="276" w:lineRule="auto"/>
        <w:ind w:left="1134"/>
        <w:jc w:val="both"/>
        <w:rPr>
          <w:rFonts w:ascii="Arial" w:hAnsi="Arial" w:cs="Arial"/>
          <w:color w:val="D60093"/>
          <w:sz w:val="22"/>
          <w:szCs w:val="22"/>
        </w:rPr>
      </w:pPr>
    </w:p>
    <w:p w14:paraId="38970C46" w14:textId="77777777" w:rsidR="00CA23D0" w:rsidRDefault="00CA23D0" w:rsidP="00CA23D0">
      <w:pPr>
        <w:suppressAutoHyphens w:val="0"/>
        <w:spacing w:line="276" w:lineRule="auto"/>
        <w:ind w:left="1134"/>
        <w:jc w:val="both"/>
        <w:rPr>
          <w:rFonts w:ascii="Arial" w:hAnsi="Arial" w:cs="Arial"/>
          <w:color w:val="D60093"/>
          <w:sz w:val="22"/>
          <w:szCs w:val="22"/>
        </w:rPr>
      </w:pPr>
    </w:p>
    <w:p w14:paraId="15BE9E84" w14:textId="77777777" w:rsidR="00CA23D0" w:rsidRPr="00DD2A6C" w:rsidRDefault="00CA23D0" w:rsidP="00CA23D0">
      <w:pPr>
        <w:suppressAutoHyphens w:val="0"/>
        <w:spacing w:line="276" w:lineRule="auto"/>
        <w:ind w:left="1134"/>
        <w:jc w:val="both"/>
        <w:rPr>
          <w:rFonts w:ascii="Arial" w:hAnsi="Arial" w:cs="Arial"/>
          <w:color w:val="D60093"/>
          <w:sz w:val="22"/>
          <w:szCs w:val="22"/>
        </w:rPr>
      </w:pPr>
    </w:p>
    <w:p w14:paraId="4CD3F390" w14:textId="77777777" w:rsidR="00CA23D0" w:rsidRPr="00DD2A6C" w:rsidRDefault="00CA23D0" w:rsidP="00CA23D0">
      <w:pPr>
        <w:numPr>
          <w:ilvl w:val="1"/>
          <w:numId w:val="17"/>
        </w:numPr>
        <w:suppressAutoHyphens w:val="0"/>
        <w:spacing w:line="276" w:lineRule="auto"/>
        <w:ind w:left="1134"/>
        <w:jc w:val="both"/>
        <w:rPr>
          <w:rFonts w:ascii="Arial" w:hAnsi="Arial" w:cs="Arial"/>
          <w:color w:val="D60093"/>
          <w:sz w:val="22"/>
          <w:szCs w:val="22"/>
        </w:rPr>
      </w:pPr>
      <w:r w:rsidRPr="00DD2A6C">
        <w:rPr>
          <w:rFonts w:ascii="Arial" w:hAnsi="Arial" w:cs="Arial"/>
          <w:color w:val="D60093"/>
          <w:sz w:val="22"/>
          <w:szCs w:val="22"/>
        </w:rPr>
        <w:t xml:space="preserve">údaje o počtu listu územního plánu a počtu výkresů k němu připojené grafické části </w:t>
      </w:r>
    </w:p>
    <w:p w14:paraId="7A33AB55" w14:textId="77777777" w:rsidR="00CA23D0" w:rsidRPr="00E26E24" w:rsidRDefault="00CA23D0" w:rsidP="00CA23D0">
      <w:pPr>
        <w:spacing w:line="276" w:lineRule="auto"/>
        <w:ind w:firstLine="708"/>
        <w:jc w:val="both"/>
        <w:rPr>
          <w:rFonts w:ascii="Arial" w:hAnsi="Arial" w:cs="Arial"/>
          <w:sz w:val="22"/>
          <w:szCs w:val="22"/>
        </w:rPr>
      </w:pPr>
    </w:p>
    <w:p w14:paraId="2B40DBC8" w14:textId="77777777" w:rsidR="00CA23D0" w:rsidRPr="00E26E24" w:rsidRDefault="00CA23D0" w:rsidP="00CA23D0">
      <w:pPr>
        <w:spacing w:line="276" w:lineRule="auto"/>
        <w:jc w:val="both"/>
        <w:rPr>
          <w:rFonts w:ascii="Arial" w:hAnsi="Arial" w:cs="Arial"/>
          <w:b/>
          <w:color w:val="C45911"/>
          <w:sz w:val="22"/>
          <w:szCs w:val="22"/>
        </w:rPr>
      </w:pPr>
    </w:p>
    <w:p w14:paraId="723C63E4" w14:textId="77777777" w:rsidR="00CA23D0" w:rsidRPr="00025C8E" w:rsidRDefault="00CA23D0" w:rsidP="00CA23D0">
      <w:pPr>
        <w:spacing w:line="276" w:lineRule="auto"/>
        <w:jc w:val="both"/>
        <w:rPr>
          <w:rFonts w:ascii="Arial" w:hAnsi="Arial" w:cs="Arial"/>
          <w:b/>
          <w:color w:val="FF0000"/>
        </w:rPr>
      </w:pPr>
      <w:r w:rsidRPr="00025C8E">
        <w:rPr>
          <w:rFonts w:ascii="Arial" w:hAnsi="Arial" w:cs="Arial"/>
          <w:b/>
          <w:color w:val="FF0000"/>
        </w:rPr>
        <w:t xml:space="preserve">(Z8) OBSAH 8. ZMĚNY ÚZEMNÍHO PLÁNU </w:t>
      </w:r>
    </w:p>
    <w:p w14:paraId="11D112AC" w14:textId="77777777" w:rsidR="00CA23D0" w:rsidRPr="00E26E24" w:rsidRDefault="00CA23D0" w:rsidP="00CA23D0">
      <w:pPr>
        <w:pStyle w:val="Obsah1"/>
        <w:tabs>
          <w:tab w:val="clear" w:pos="9061"/>
        </w:tabs>
        <w:jc w:val="left"/>
        <w:rPr>
          <w:rFonts w:ascii="Arial" w:hAnsi="Arial" w:cs="Arial"/>
          <w:b w:val="0"/>
          <w:color w:val="FF0000"/>
          <w:sz w:val="22"/>
          <w:szCs w:val="22"/>
        </w:rPr>
      </w:pPr>
      <w:r w:rsidRPr="00E26E24">
        <w:rPr>
          <w:rFonts w:ascii="Arial" w:hAnsi="Arial" w:cs="Arial"/>
          <w:color w:val="FF0000"/>
          <w:sz w:val="22"/>
          <w:szCs w:val="22"/>
        </w:rPr>
        <w:fldChar w:fldCharType="begin"/>
      </w:r>
      <w:r w:rsidRPr="00E26E24">
        <w:rPr>
          <w:rFonts w:ascii="Arial" w:hAnsi="Arial" w:cs="Arial"/>
          <w:color w:val="FF0000"/>
          <w:sz w:val="22"/>
          <w:szCs w:val="22"/>
        </w:rPr>
        <w:instrText xml:space="preserve"> TOC \o "1-3" \h \z \u </w:instrText>
      </w:r>
      <w:r w:rsidRPr="00E26E24">
        <w:rPr>
          <w:rFonts w:ascii="Arial" w:hAnsi="Arial" w:cs="Arial"/>
          <w:color w:val="FF0000"/>
          <w:sz w:val="22"/>
          <w:szCs w:val="22"/>
        </w:rPr>
        <w:fldChar w:fldCharType="separate"/>
      </w:r>
      <w:hyperlink w:anchor="_Toc354838602" w:history="1">
        <w:r w:rsidRPr="00E26E24">
          <w:rPr>
            <w:rStyle w:val="Hypertextovodkaz"/>
            <w:rFonts w:ascii="Arial" w:eastAsia="SimSun" w:hAnsi="Arial" w:cs="Arial"/>
            <w:color w:val="FF0000"/>
            <w:sz w:val="22"/>
            <w:szCs w:val="22"/>
          </w:rPr>
          <w:t>I. 8. změna Územního plánu města Děčín</w:t>
        </w:r>
        <w:r w:rsidRPr="00E26E24">
          <w:rPr>
            <w:rFonts w:ascii="Arial" w:hAnsi="Arial" w:cs="Arial"/>
            <w:webHidden/>
            <w:color w:val="FF0000"/>
            <w:sz w:val="22"/>
            <w:szCs w:val="22"/>
          </w:rPr>
          <w:tab/>
        </w:r>
        <w:r>
          <w:rPr>
            <w:rFonts w:ascii="Arial" w:hAnsi="Arial" w:cs="Arial"/>
            <w:webHidden/>
            <w:color w:val="FF0000"/>
            <w:sz w:val="22"/>
            <w:szCs w:val="22"/>
          </w:rPr>
          <w:tab/>
        </w:r>
        <w:r>
          <w:rPr>
            <w:rFonts w:ascii="Arial" w:hAnsi="Arial" w:cs="Arial"/>
            <w:webHidden/>
            <w:color w:val="FF0000"/>
            <w:sz w:val="22"/>
            <w:szCs w:val="22"/>
          </w:rPr>
          <w:tab/>
        </w:r>
        <w:r>
          <w:rPr>
            <w:rFonts w:ascii="Arial" w:hAnsi="Arial" w:cs="Arial"/>
            <w:webHidden/>
            <w:color w:val="FF0000"/>
            <w:sz w:val="22"/>
            <w:szCs w:val="22"/>
          </w:rPr>
          <w:tab/>
        </w:r>
        <w:r>
          <w:rPr>
            <w:rFonts w:ascii="Arial" w:hAnsi="Arial" w:cs="Arial"/>
            <w:webHidden/>
            <w:color w:val="FF0000"/>
            <w:sz w:val="22"/>
            <w:szCs w:val="22"/>
          </w:rPr>
          <w:tab/>
        </w:r>
        <w:r>
          <w:rPr>
            <w:rFonts w:ascii="Arial" w:hAnsi="Arial" w:cs="Arial"/>
            <w:webHidden/>
            <w:color w:val="FF0000"/>
            <w:sz w:val="22"/>
            <w:szCs w:val="22"/>
          </w:rPr>
          <w:tab/>
        </w:r>
        <w:r>
          <w:rPr>
            <w:rFonts w:ascii="Arial" w:hAnsi="Arial" w:cs="Arial"/>
            <w:webHidden/>
            <w:color w:val="FF0000"/>
            <w:sz w:val="22"/>
            <w:szCs w:val="22"/>
          </w:rPr>
          <w:tab/>
        </w:r>
      </w:hyperlink>
    </w:p>
    <w:p w14:paraId="1CC6193E" w14:textId="77777777" w:rsidR="00CA23D0" w:rsidRPr="00E26E24" w:rsidRDefault="007D43F6" w:rsidP="00CA23D0">
      <w:pPr>
        <w:pStyle w:val="Obsah2"/>
      </w:pPr>
      <w:hyperlink w:anchor="_Toc354838603" w:history="1">
        <w:r w:rsidR="00CA23D0" w:rsidRPr="00E26E24">
          <w:rPr>
            <w:rStyle w:val="Hypertextovodkaz"/>
            <w:rFonts w:eastAsia="SimSun" w:cs="Arial"/>
            <w:color w:val="FF0000"/>
          </w:rPr>
          <w:t>(1) textová část</w:t>
        </w:r>
      </w:hyperlink>
    </w:p>
    <w:p w14:paraId="76C3214F" w14:textId="77777777" w:rsidR="00CA23D0" w:rsidRPr="00E26E24" w:rsidRDefault="007D43F6" w:rsidP="00CA23D0">
      <w:pPr>
        <w:pStyle w:val="Obsah2"/>
      </w:pPr>
      <w:hyperlink w:anchor="_Toc354838604" w:history="1">
        <w:r w:rsidR="00CA23D0" w:rsidRPr="00E26E24">
          <w:rPr>
            <w:rStyle w:val="Hypertextovodkaz"/>
            <w:rFonts w:eastAsia="SimSun" w:cs="Arial"/>
            <w:color w:val="FF0000"/>
          </w:rPr>
          <w:t>a)</w:t>
        </w:r>
        <w:r w:rsidR="00CA23D0" w:rsidRPr="00E26E24">
          <w:tab/>
        </w:r>
        <w:r w:rsidR="00CA23D0" w:rsidRPr="00E26E24">
          <w:rPr>
            <w:rStyle w:val="Hypertextovodkaz"/>
            <w:rFonts w:eastAsia="SimSun" w:cs="Arial"/>
            <w:color w:val="FF0000"/>
          </w:rPr>
          <w:t>Vymezení zastavěného území</w:t>
        </w:r>
      </w:hyperlink>
    </w:p>
    <w:p w14:paraId="36E1BFF9" w14:textId="77777777" w:rsidR="00CA23D0" w:rsidRPr="00E26E24" w:rsidRDefault="00CA23D0" w:rsidP="00CA23D0">
      <w:pPr>
        <w:pStyle w:val="Obsah2"/>
      </w:pPr>
      <w:r>
        <w:t>b</w:t>
      </w:r>
      <w:r w:rsidRPr="00430939">
        <w:t>)</w:t>
      </w:r>
      <w:r w:rsidRPr="00430939">
        <w:tab/>
        <w:t>Základní koncepce rozvoje území obce, ochrany a rozvoje jeho hodnot,</w:t>
      </w:r>
    </w:p>
    <w:p w14:paraId="0D8E7912" w14:textId="77777777" w:rsidR="00CA23D0" w:rsidRPr="00E26E24" w:rsidRDefault="007D43F6" w:rsidP="00CA23D0">
      <w:pPr>
        <w:pStyle w:val="Obsah2"/>
      </w:pPr>
      <w:hyperlink w:anchor="_Toc354838610" w:history="1">
        <w:r w:rsidR="00CA23D0" w:rsidRPr="00E26E24">
          <w:rPr>
            <w:rStyle w:val="Hypertextovodkaz"/>
            <w:rFonts w:eastAsia="SimSun" w:cs="Arial"/>
            <w:color w:val="FF0000"/>
          </w:rPr>
          <w:t>c)</w:t>
        </w:r>
        <w:r w:rsidR="00CA23D0" w:rsidRPr="00E26E24">
          <w:tab/>
        </w:r>
        <w:r w:rsidR="00CA23D0" w:rsidRPr="00E26E24">
          <w:rPr>
            <w:rStyle w:val="Hypertextovodkaz"/>
            <w:rFonts w:eastAsia="SimSun" w:cs="Arial"/>
            <w:color w:val="FF0000"/>
          </w:rPr>
          <w:t>urbanistická koncepce, včetně vymezení zastavitelných ploch, ploch přestavby a systému sídelní zeleně,</w:t>
        </w:r>
      </w:hyperlink>
      <w:r w:rsidR="00CA23D0" w:rsidRPr="00E26E24">
        <w:t xml:space="preserve"> </w:t>
      </w:r>
    </w:p>
    <w:p w14:paraId="2DC75133" w14:textId="77777777" w:rsidR="00CA23D0" w:rsidRPr="00E26E24" w:rsidRDefault="007D43F6" w:rsidP="00CA23D0">
      <w:pPr>
        <w:pStyle w:val="Obsah2"/>
      </w:pPr>
      <w:hyperlink w:anchor="_Toc354838613" w:history="1">
        <w:r w:rsidR="00CA23D0" w:rsidRPr="00E26E24">
          <w:rPr>
            <w:rStyle w:val="Hypertextovodkaz"/>
            <w:rFonts w:eastAsia="SimSun" w:cs="Arial"/>
            <w:color w:val="FF0000"/>
          </w:rPr>
          <w:t>d)</w:t>
        </w:r>
        <w:r w:rsidR="00CA23D0" w:rsidRPr="00E26E24">
          <w:tab/>
        </w:r>
        <w:r w:rsidR="00CA23D0" w:rsidRPr="00E26E24">
          <w:rPr>
            <w:rStyle w:val="Hypertextovodkaz"/>
            <w:rFonts w:eastAsia="SimSun" w:cs="Arial"/>
            <w:color w:val="FF0000"/>
          </w:rPr>
          <w:t>koncepci veřejné infrastruktury, včetně podmínek pro její umísťování,</w:t>
        </w:r>
      </w:hyperlink>
    </w:p>
    <w:p w14:paraId="5282EB11" w14:textId="77777777" w:rsidR="00CA23D0" w:rsidRPr="00E26E24" w:rsidRDefault="007D43F6" w:rsidP="00CA23D0">
      <w:pPr>
        <w:pStyle w:val="Obsah2"/>
      </w:pPr>
      <w:hyperlink w:anchor="_Toc354838621" w:history="1">
        <w:r w:rsidR="00CA23D0" w:rsidRPr="00E26E24">
          <w:rPr>
            <w:rStyle w:val="Hypertextovodkaz"/>
            <w:rFonts w:eastAsia="SimSun" w:cs="Arial"/>
            <w:color w:val="FF0000"/>
          </w:rPr>
          <w:t>e)</w:t>
        </w:r>
        <w:r w:rsidR="00CA23D0" w:rsidRPr="00E26E24">
          <w:tab/>
        </w:r>
        <w:r w:rsidR="00CA23D0" w:rsidRPr="00E26E24">
          <w:rPr>
            <w:rStyle w:val="Hypertextovodkaz"/>
            <w:rFonts w:eastAsia="SimSun" w:cs="Arial"/>
            <w:color w:val="FF0000"/>
          </w:rPr>
          <w:t>koncepce uspořádání krajiny, včetně vymezení ploch a stanovení podmínek pro změny v jejich využití, územní systém ekologické stability, prostupnost krajiny, protierozní opatření, ochrana před povodněmi, rekreace, dobývání ložisek nerostných surovin a podbně,</w:t>
        </w:r>
      </w:hyperlink>
      <w:r w:rsidR="00CA23D0" w:rsidRPr="00E26E24">
        <w:t xml:space="preserve"> </w:t>
      </w:r>
    </w:p>
    <w:p w14:paraId="0380C757" w14:textId="77777777" w:rsidR="00CA23D0" w:rsidRPr="00E26E24" w:rsidRDefault="007D43F6" w:rsidP="00CA23D0">
      <w:pPr>
        <w:pStyle w:val="Obsah3"/>
        <w:rPr>
          <w:noProof/>
        </w:rPr>
      </w:pPr>
      <w:hyperlink w:anchor="_Toc354838624" w:history="1">
        <w:r w:rsidR="00CA23D0" w:rsidRPr="00E26E24">
          <w:rPr>
            <w:rStyle w:val="Hypertextovodkaz"/>
            <w:rFonts w:ascii="Arial" w:eastAsia="SimSun" w:hAnsi="Arial" w:cs="Arial"/>
            <w:noProof/>
            <w:color w:val="FF0000"/>
            <w:sz w:val="22"/>
            <w:szCs w:val="22"/>
          </w:rPr>
          <w:t>f)</w:t>
        </w:r>
        <w:r w:rsidR="00CA23D0" w:rsidRPr="000660B1">
          <w:rPr>
            <w:rStyle w:val="Hypertextovodkaz"/>
            <w:rFonts w:ascii="Arial" w:eastAsia="SimSun" w:hAnsi="Arial" w:cs="Arial"/>
            <w:noProof/>
            <w:color w:val="FF0000"/>
            <w:sz w:val="22"/>
            <w:szCs w:val="22"/>
          </w:rPr>
          <w:tab/>
        </w:r>
        <w:r w:rsidR="00CA23D0" w:rsidRPr="00E26E24">
          <w:rPr>
            <w:rStyle w:val="Hypertextovodkaz"/>
            <w:rFonts w:ascii="Arial" w:eastAsia="SimSun" w:hAnsi="Arial" w:cs="Arial"/>
            <w:noProof/>
            <w:color w:val="FF0000"/>
            <w:sz w:val="22"/>
            <w:szCs w:val="22"/>
          </w:rPr>
          <w:t xml:space="preserve">Stanovení podmínek pro využití ploch s rozdílným způsobem využití s určením převažujícího účelu využití (hlavní využití), pokud je možné jej stanovit, přípustného využití, nepřípustného využití </w:t>
        </w:r>
        <w:r w:rsidR="00CA23D0" w:rsidRPr="000660B1">
          <w:rPr>
            <w:rStyle w:val="Hypertextovodkaz"/>
            <w:rFonts w:ascii="Arial" w:eastAsia="SimSun" w:hAnsi="Arial" w:cs="Arial"/>
            <w:noProof/>
            <w:color w:val="FF0000"/>
            <w:sz w:val="22"/>
            <w:szCs w:val="22"/>
          </w:rPr>
          <w:t>(včetně stanovení, ve kterých plochách je vyloučeno umísťování staveb, zařízení a jiných opatření pro účely uvedené v § 18 odst. 5 stavebního zákona)</w:t>
        </w:r>
        <w:r w:rsidR="00CA23D0" w:rsidRPr="00E26E24">
          <w:rPr>
            <w:rStyle w:val="Hypertextovodkaz"/>
            <w:rFonts w:ascii="Arial" w:eastAsia="SimSun" w:hAnsi="Arial" w:cs="Arial"/>
            <w:noProof/>
            <w:color w:val="FF0000"/>
            <w:sz w:val="22"/>
            <w:szCs w:val="22"/>
          </w:rPr>
          <w:t>, popřípadě podmíněně přípustného využití těchto ploch a stanovení podmínek prostorového uspořádání, včetně základních podmínek ochrany krajinného rázu (například výškové regulace zástavby,</w:t>
        </w:r>
        <w:r w:rsidR="00CA23D0" w:rsidRPr="000660B1">
          <w:rPr>
            <w:rStyle w:val="Hypertextovodkaz"/>
            <w:rFonts w:ascii="Arial" w:eastAsia="SimSun" w:hAnsi="Arial" w:cs="Arial"/>
            <w:noProof/>
            <w:color w:val="FF0000"/>
            <w:sz w:val="22"/>
            <w:szCs w:val="22"/>
          </w:rPr>
          <w:t xml:space="preserve"> charakteru a struktury zástavby, stanovení rozmezí výměry pro vymezování stavebních pozemků a intenzity jejich využití)</w:t>
        </w:r>
      </w:hyperlink>
      <w:r w:rsidR="00CA23D0" w:rsidRPr="00E26E24">
        <w:rPr>
          <w:noProof/>
        </w:rPr>
        <w:t xml:space="preserve"> </w:t>
      </w:r>
    </w:p>
    <w:p w14:paraId="7E6C181D" w14:textId="77777777" w:rsidR="00CA23D0" w:rsidRPr="00E26E24" w:rsidRDefault="007D43F6" w:rsidP="00CA23D0">
      <w:pPr>
        <w:pStyle w:val="Obsah2"/>
      </w:pPr>
      <w:hyperlink w:anchor="_Toc354838632" w:history="1">
        <w:r w:rsidR="00CA23D0" w:rsidRPr="000660B1">
          <w:rPr>
            <w:rStyle w:val="Hypertextovodkaz"/>
            <w:rFonts w:eastAsia="SimSun" w:cs="Arial"/>
            <w:color w:val="FF0000"/>
          </w:rPr>
          <w:t>g)</w:t>
        </w:r>
        <w:r w:rsidR="00CA23D0" w:rsidRPr="000660B1">
          <w:tab/>
        </w:r>
        <w:r w:rsidR="00CA23D0" w:rsidRPr="000660B1">
          <w:rPr>
            <w:rStyle w:val="Hypertextovodkaz"/>
            <w:rFonts w:eastAsia="SimSun" w:cs="Arial"/>
            <w:color w:val="FF0000"/>
          </w:rPr>
          <w:t>vymezení veřejně prospěšných staveb, veřejně prospěšných opatření, staveb a opatření k zajišťování obrany a bezpečnosti státu a ploch pro asanaci, pro které lze práva k pozemkům a stavbám vyvlastnit,</w:t>
        </w:r>
      </w:hyperlink>
      <w:r w:rsidR="00CA23D0" w:rsidRPr="00E26E24">
        <w:t xml:space="preserve"> </w:t>
      </w:r>
    </w:p>
    <w:p w14:paraId="13E603A1" w14:textId="77777777" w:rsidR="00CA23D0" w:rsidRDefault="007D43F6" w:rsidP="00CA23D0">
      <w:pPr>
        <w:pStyle w:val="Obsah2"/>
        <w:rPr>
          <w:rStyle w:val="Hypertextovodkaz"/>
          <w:rFonts w:eastAsia="SimSun" w:cs="Arial"/>
          <w:color w:val="FF0000"/>
        </w:rPr>
      </w:pPr>
      <w:hyperlink w:anchor="_Toc354838634" w:history="1">
        <w:r w:rsidR="00CA23D0" w:rsidRPr="00E26E24">
          <w:rPr>
            <w:rStyle w:val="Hypertextovodkaz"/>
            <w:rFonts w:eastAsia="SimSun" w:cs="Arial"/>
            <w:color w:val="FF0000"/>
          </w:rPr>
          <w:t>i)</w:t>
        </w:r>
        <w:r w:rsidR="00CA23D0" w:rsidRPr="00E26E24">
          <w:tab/>
        </w:r>
        <w:r w:rsidR="00CA23D0" w:rsidRPr="00E26E24">
          <w:rPr>
            <w:rStyle w:val="Hypertextovodkaz"/>
            <w:rFonts w:eastAsia="SimSun" w:cs="Arial"/>
            <w:color w:val="FF0000"/>
          </w:rPr>
          <w:t>stanovení kompenzačních opatření podle § 50 odst. 6 stavebního zákona,</w:t>
        </w:r>
      </w:hyperlink>
    </w:p>
    <w:p w14:paraId="7A25EAF6" w14:textId="77777777" w:rsidR="00CA23D0" w:rsidRPr="00E26E24" w:rsidRDefault="007D43F6" w:rsidP="00CA23D0">
      <w:pPr>
        <w:pStyle w:val="Obsah2"/>
      </w:pPr>
      <w:hyperlink w:anchor="_Toc354838635" w:history="1">
        <w:r w:rsidR="00CA23D0" w:rsidRPr="00E26E24">
          <w:rPr>
            <w:rStyle w:val="Hypertextovodkaz"/>
            <w:rFonts w:eastAsia="SimSun" w:cs="Arial"/>
            <w:color w:val="FF0000"/>
          </w:rPr>
          <w:t>j)</w:t>
        </w:r>
        <w:r w:rsidR="00CA23D0" w:rsidRPr="00E26E24">
          <w:tab/>
        </w:r>
        <w:r w:rsidR="00CA23D0" w:rsidRPr="00E26E24">
          <w:rPr>
            <w:rStyle w:val="Hypertextovodkaz"/>
            <w:rFonts w:eastAsia="SimSun" w:cs="Arial"/>
            <w:color w:val="FF0000"/>
          </w:rPr>
          <w:t>Vymezení ploch a koridorů, ve kterých je rozhodování o změnách v území podmíněno zpracováním územní studie, stanovení podmínek pro její pořízení a přiměřené lhůty pro vložení dat o této studii do evidence územně plánovací činnosti</w:t>
        </w:r>
      </w:hyperlink>
    </w:p>
    <w:p w14:paraId="1BB3D768" w14:textId="77777777" w:rsidR="00CA23D0" w:rsidRPr="00E26E24" w:rsidRDefault="007D43F6" w:rsidP="00CA23D0">
      <w:pPr>
        <w:pStyle w:val="Obsah2"/>
      </w:pPr>
      <w:hyperlink w:anchor="_Toc354838636" w:history="1">
        <w:r w:rsidR="00CA23D0" w:rsidRPr="00E26E24">
          <w:rPr>
            <w:rStyle w:val="Hypertextovodkaz"/>
            <w:rFonts w:eastAsia="SimSun" w:cs="Arial"/>
            <w:color w:val="FF0000"/>
          </w:rPr>
          <w:t>k)</w:t>
        </w:r>
        <w:r w:rsidR="00CA23D0" w:rsidRPr="00E26E24">
          <w:tab/>
        </w:r>
        <w:r w:rsidR="00CA23D0" w:rsidRPr="00E26E24">
          <w:rPr>
            <w:rStyle w:val="Hypertextovodkaz"/>
            <w:rFonts w:eastAsia="SimSun" w:cs="Arial"/>
            <w:color w:val="FF0000"/>
          </w:rPr>
          <w:t>údaje o počtu listů 8. změny územního plánu a počtu výkresů k němu připojené grafické části,</w:t>
        </w:r>
      </w:hyperlink>
      <w:r w:rsidR="00CA23D0" w:rsidRPr="00E26E24">
        <w:t xml:space="preserve"> </w:t>
      </w:r>
    </w:p>
    <w:p w14:paraId="5D5B63F5" w14:textId="77777777" w:rsidR="00CA23D0" w:rsidRPr="00E26E24" w:rsidRDefault="007D43F6" w:rsidP="00CA23D0">
      <w:pPr>
        <w:pStyle w:val="Obsah3"/>
        <w:rPr>
          <w:noProof/>
        </w:rPr>
      </w:pPr>
      <w:hyperlink w:anchor="_Toc354838637" w:history="1">
        <w:r w:rsidR="00CA23D0" w:rsidRPr="00E26E24">
          <w:rPr>
            <w:rStyle w:val="Hypertextovodkaz"/>
            <w:rFonts w:ascii="Arial" w:eastAsia="SimSun" w:hAnsi="Arial" w:cs="Arial"/>
            <w:noProof/>
            <w:color w:val="FF0000"/>
            <w:sz w:val="22"/>
            <w:szCs w:val="22"/>
          </w:rPr>
          <w:t>(1)Textová část územního plánu</w:t>
        </w:r>
      </w:hyperlink>
    </w:p>
    <w:p w14:paraId="16168A2B" w14:textId="77777777" w:rsidR="00CA23D0" w:rsidRPr="00E26E24" w:rsidRDefault="007D43F6" w:rsidP="00CA23D0">
      <w:pPr>
        <w:pStyle w:val="Obsah3"/>
        <w:rPr>
          <w:noProof/>
        </w:rPr>
      </w:pPr>
      <w:hyperlink w:anchor="_Toc354838638" w:history="1">
        <w:r w:rsidR="00CA23D0" w:rsidRPr="00E26E24">
          <w:rPr>
            <w:rStyle w:val="Hypertextovodkaz"/>
            <w:rFonts w:ascii="Arial" w:eastAsia="SimSun" w:hAnsi="Arial" w:cs="Arial"/>
            <w:noProof/>
            <w:color w:val="FF0000"/>
            <w:sz w:val="22"/>
            <w:szCs w:val="22"/>
          </w:rPr>
          <w:t>(2)Grafická část územního plánu</w:t>
        </w:r>
      </w:hyperlink>
    </w:p>
    <w:p w14:paraId="79BF5721" w14:textId="77777777" w:rsidR="00CA23D0" w:rsidRPr="000B2FE7" w:rsidRDefault="00CA23D0" w:rsidP="00CA23D0">
      <w:pPr>
        <w:tabs>
          <w:tab w:val="decimal" w:pos="144"/>
          <w:tab w:val="decimal" w:pos="1134"/>
          <w:tab w:val="right" w:pos="2679"/>
        </w:tabs>
        <w:spacing w:before="36" w:line="276" w:lineRule="auto"/>
        <w:rPr>
          <w:rFonts w:ascii="Arial" w:hAnsi="Arial" w:cs="Arial"/>
          <w:b/>
          <w:bCs/>
          <w:color w:val="18B8B0"/>
          <w:sz w:val="22"/>
          <w:szCs w:val="22"/>
        </w:rPr>
      </w:pPr>
      <w:r w:rsidRPr="00E26E24">
        <w:rPr>
          <w:rFonts w:ascii="Arial" w:hAnsi="Arial" w:cs="Arial"/>
          <w:b/>
          <w:bCs/>
          <w:color w:val="FF0000"/>
          <w:sz w:val="22"/>
          <w:szCs w:val="22"/>
        </w:rPr>
        <w:fldChar w:fldCharType="end"/>
      </w:r>
    </w:p>
    <w:p w14:paraId="3C7E8014" w14:textId="77777777" w:rsidR="000B2FE7" w:rsidRPr="007B2506" w:rsidRDefault="000B2FE7" w:rsidP="00CA23D0">
      <w:pPr>
        <w:tabs>
          <w:tab w:val="decimal" w:pos="144"/>
          <w:tab w:val="decimal" w:pos="1134"/>
          <w:tab w:val="right" w:pos="2679"/>
        </w:tabs>
        <w:spacing w:before="36" w:line="276" w:lineRule="auto"/>
        <w:rPr>
          <w:rFonts w:ascii="Arial" w:hAnsi="Arial" w:cs="Arial"/>
          <w:b/>
          <w:bCs/>
          <w:color w:val="18B8B0"/>
          <w:sz w:val="22"/>
          <w:szCs w:val="22"/>
        </w:rPr>
      </w:pPr>
      <w:r w:rsidRPr="007B2506">
        <w:rPr>
          <w:rFonts w:ascii="Arial" w:hAnsi="Arial" w:cs="Arial"/>
          <w:b/>
          <w:bCs/>
          <w:color w:val="18B8B0"/>
          <w:sz w:val="22"/>
          <w:szCs w:val="22"/>
        </w:rPr>
        <w:t xml:space="preserve">(Z12) OBSAH 12. ZMĚNY ÚZEMNÍHO PLÁNU </w:t>
      </w:r>
    </w:p>
    <w:p w14:paraId="5C04591A" w14:textId="77777777" w:rsidR="000B2FE7" w:rsidRPr="007B2506" w:rsidRDefault="000B2FE7" w:rsidP="000B2FE7">
      <w:pPr>
        <w:tabs>
          <w:tab w:val="decimal" w:pos="144"/>
          <w:tab w:val="decimal" w:pos="1134"/>
          <w:tab w:val="right" w:pos="2679"/>
        </w:tabs>
        <w:spacing w:line="276" w:lineRule="auto"/>
        <w:rPr>
          <w:rFonts w:ascii="Arial" w:hAnsi="Arial" w:cs="Arial"/>
          <w:color w:val="18B8B0"/>
          <w:spacing w:val="3"/>
          <w:sz w:val="22"/>
        </w:rPr>
      </w:pPr>
      <w:r w:rsidRPr="007B2506">
        <w:rPr>
          <w:rFonts w:ascii="Arial" w:hAnsi="Arial" w:cs="Arial"/>
          <w:color w:val="18B8B0"/>
          <w:spacing w:val="3"/>
          <w:sz w:val="22"/>
        </w:rPr>
        <w:tab/>
        <w:t>A.   VÝROK</w:t>
      </w:r>
    </w:p>
    <w:p w14:paraId="2DDB327B" w14:textId="77777777" w:rsidR="000B2FE7" w:rsidRPr="007B2506" w:rsidRDefault="000B2FE7" w:rsidP="000B2FE7">
      <w:pPr>
        <w:pStyle w:val="Odstavecseseznamem"/>
        <w:numPr>
          <w:ilvl w:val="0"/>
          <w:numId w:val="141"/>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 xml:space="preserve">Textová část </w:t>
      </w:r>
    </w:p>
    <w:p w14:paraId="4D2C7213" w14:textId="77777777" w:rsidR="000B2FE7" w:rsidRPr="007B2506" w:rsidRDefault="000B2FE7" w:rsidP="000B2FE7">
      <w:pPr>
        <w:pStyle w:val="Odstavecseseznamem"/>
        <w:numPr>
          <w:ilvl w:val="0"/>
          <w:numId w:val="141"/>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Grafická část:</w:t>
      </w:r>
      <w:r w:rsidRPr="007B2506">
        <w:rPr>
          <w:rFonts w:ascii="Arial" w:hAnsi="Arial" w:cs="Arial"/>
          <w:color w:val="18B8B0"/>
          <w:spacing w:val="3"/>
        </w:rPr>
        <w:tab/>
      </w:r>
    </w:p>
    <w:p w14:paraId="3D211121" w14:textId="77777777" w:rsidR="000B2FE7" w:rsidRPr="007B2506" w:rsidRDefault="000B2FE7" w:rsidP="000B2FE7">
      <w:pPr>
        <w:pStyle w:val="Odstavecseseznamem"/>
        <w:numPr>
          <w:ilvl w:val="1"/>
          <w:numId w:val="141"/>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 xml:space="preserve">Výkres základního členění   </w:t>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t>1 : 10 000</w:t>
      </w:r>
    </w:p>
    <w:p w14:paraId="389AEABE" w14:textId="77777777" w:rsidR="000B2FE7" w:rsidRPr="007B2506" w:rsidRDefault="000B2FE7" w:rsidP="000B2FE7">
      <w:pPr>
        <w:pStyle w:val="Odstavecseseznamem"/>
        <w:numPr>
          <w:ilvl w:val="1"/>
          <w:numId w:val="141"/>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 xml:space="preserve">Hlavní výkres  </w:t>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t>1 : 5 000</w:t>
      </w:r>
    </w:p>
    <w:p w14:paraId="2A2C4701" w14:textId="77777777" w:rsidR="000B2FE7" w:rsidRPr="007B2506" w:rsidRDefault="000B2FE7" w:rsidP="000B2FE7">
      <w:pPr>
        <w:pStyle w:val="Odstavecseseznamem"/>
        <w:numPr>
          <w:ilvl w:val="1"/>
          <w:numId w:val="141"/>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 xml:space="preserve">Výkres veřejně prospěšných staveb a opatření  </w:t>
      </w:r>
      <w:r w:rsidRPr="007B2506">
        <w:rPr>
          <w:rFonts w:ascii="Arial" w:hAnsi="Arial" w:cs="Arial"/>
          <w:color w:val="18B8B0"/>
          <w:spacing w:val="3"/>
        </w:rPr>
        <w:tab/>
      </w:r>
      <w:r w:rsidRPr="007B2506">
        <w:rPr>
          <w:rFonts w:ascii="Arial" w:hAnsi="Arial" w:cs="Arial"/>
          <w:color w:val="18B8B0"/>
          <w:spacing w:val="3"/>
        </w:rPr>
        <w:tab/>
        <w:t>1 : 5 000</w:t>
      </w:r>
    </w:p>
    <w:p w14:paraId="7FACABE1" w14:textId="77777777" w:rsidR="000B2FE7" w:rsidRPr="007B2506" w:rsidRDefault="000B2FE7" w:rsidP="000B2FE7">
      <w:pPr>
        <w:pStyle w:val="Odstavecseseznamem"/>
        <w:numPr>
          <w:ilvl w:val="1"/>
          <w:numId w:val="141"/>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Schéma koncepce dopravy</w:t>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t>1 : 10 000</w:t>
      </w:r>
    </w:p>
    <w:p w14:paraId="1E4AD1A0" w14:textId="77777777" w:rsidR="000B2FE7" w:rsidRPr="007B2506" w:rsidRDefault="00D172EC" w:rsidP="00D172EC">
      <w:pPr>
        <w:pStyle w:val="Odstavecseseznamem"/>
        <w:numPr>
          <w:ilvl w:val="0"/>
          <w:numId w:val="8"/>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ODŮVODNĚNÍ</w:t>
      </w:r>
      <w:r w:rsidR="000B2FE7" w:rsidRPr="007B2506">
        <w:rPr>
          <w:rFonts w:ascii="Arial" w:hAnsi="Arial" w:cs="Arial"/>
          <w:color w:val="18B8B0"/>
          <w:spacing w:val="3"/>
        </w:rPr>
        <w:t xml:space="preserve">  </w:t>
      </w:r>
    </w:p>
    <w:p w14:paraId="37589668" w14:textId="77777777" w:rsidR="00D172EC" w:rsidRPr="007B2506" w:rsidRDefault="00D172EC" w:rsidP="00D172EC">
      <w:pPr>
        <w:pStyle w:val="Odstavecseseznamem"/>
        <w:numPr>
          <w:ilvl w:val="0"/>
          <w:numId w:val="142"/>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Textová část + příloha č. 1 (změnový text)</w:t>
      </w:r>
    </w:p>
    <w:p w14:paraId="5C8EDEDC" w14:textId="77777777" w:rsidR="00D172EC" w:rsidRPr="007B2506" w:rsidRDefault="00D172EC" w:rsidP="00D172EC">
      <w:pPr>
        <w:pStyle w:val="Odstavecseseznamem"/>
        <w:numPr>
          <w:ilvl w:val="0"/>
          <w:numId w:val="142"/>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 xml:space="preserve">Grafická část: </w:t>
      </w:r>
    </w:p>
    <w:p w14:paraId="700877E8" w14:textId="77777777" w:rsidR="00D172EC" w:rsidRPr="007B2506" w:rsidRDefault="00D172EC" w:rsidP="000B2FE7">
      <w:pPr>
        <w:pStyle w:val="Odstavecseseznamem"/>
        <w:numPr>
          <w:ilvl w:val="1"/>
          <w:numId w:val="142"/>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Koordinační výkres</w:t>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r>
      <w:r w:rsidRPr="007B2506">
        <w:rPr>
          <w:rFonts w:ascii="Arial" w:hAnsi="Arial" w:cs="Arial"/>
          <w:color w:val="18B8B0"/>
          <w:spacing w:val="3"/>
        </w:rPr>
        <w:tab/>
      </w:r>
      <w:r w:rsidR="000B2FE7" w:rsidRPr="007B2506">
        <w:rPr>
          <w:rFonts w:ascii="Arial" w:hAnsi="Arial" w:cs="Arial"/>
          <w:color w:val="18B8B0"/>
          <w:spacing w:val="3"/>
        </w:rPr>
        <w:t>1 : 5</w:t>
      </w:r>
      <w:r w:rsidRPr="007B2506">
        <w:rPr>
          <w:rFonts w:ascii="Arial" w:hAnsi="Arial" w:cs="Arial"/>
          <w:color w:val="18B8B0"/>
          <w:spacing w:val="3"/>
        </w:rPr>
        <w:t> </w:t>
      </w:r>
      <w:r w:rsidR="000B2FE7" w:rsidRPr="007B2506">
        <w:rPr>
          <w:rFonts w:ascii="Arial" w:hAnsi="Arial" w:cs="Arial"/>
          <w:color w:val="18B8B0"/>
          <w:spacing w:val="3"/>
        </w:rPr>
        <w:t xml:space="preserve">000 </w:t>
      </w:r>
    </w:p>
    <w:p w14:paraId="0FED0542" w14:textId="77777777" w:rsidR="00D172EC" w:rsidRPr="007B2506" w:rsidRDefault="000B2FE7" w:rsidP="000B2FE7">
      <w:pPr>
        <w:pStyle w:val="Odstavecseseznamem"/>
        <w:numPr>
          <w:ilvl w:val="1"/>
          <w:numId w:val="142"/>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 xml:space="preserve">Výkres širších vztahů  </w:t>
      </w:r>
      <w:r w:rsidR="00D172EC" w:rsidRPr="007B2506">
        <w:rPr>
          <w:rFonts w:ascii="Arial" w:hAnsi="Arial" w:cs="Arial"/>
          <w:color w:val="18B8B0"/>
          <w:spacing w:val="3"/>
        </w:rPr>
        <w:tab/>
      </w:r>
      <w:r w:rsidR="00D172EC" w:rsidRPr="007B2506">
        <w:rPr>
          <w:rFonts w:ascii="Arial" w:hAnsi="Arial" w:cs="Arial"/>
          <w:color w:val="18B8B0"/>
          <w:spacing w:val="3"/>
        </w:rPr>
        <w:tab/>
      </w:r>
      <w:r w:rsidR="00D172EC" w:rsidRPr="007B2506">
        <w:rPr>
          <w:rFonts w:ascii="Arial" w:hAnsi="Arial" w:cs="Arial"/>
          <w:color w:val="18B8B0"/>
          <w:spacing w:val="3"/>
        </w:rPr>
        <w:tab/>
      </w:r>
      <w:r w:rsidR="00D172EC" w:rsidRPr="007B2506">
        <w:rPr>
          <w:rFonts w:ascii="Arial" w:hAnsi="Arial" w:cs="Arial"/>
          <w:color w:val="18B8B0"/>
          <w:spacing w:val="3"/>
        </w:rPr>
        <w:tab/>
      </w:r>
      <w:r w:rsidR="00D172EC" w:rsidRPr="007B2506">
        <w:rPr>
          <w:rFonts w:ascii="Arial" w:hAnsi="Arial" w:cs="Arial"/>
          <w:color w:val="18B8B0"/>
          <w:spacing w:val="3"/>
        </w:rPr>
        <w:tab/>
      </w:r>
      <w:r w:rsidRPr="007B2506">
        <w:rPr>
          <w:rFonts w:ascii="Arial" w:hAnsi="Arial" w:cs="Arial"/>
          <w:color w:val="18B8B0"/>
          <w:spacing w:val="3"/>
        </w:rPr>
        <w:t>1 : 50</w:t>
      </w:r>
      <w:r w:rsidR="00D172EC" w:rsidRPr="007B2506">
        <w:rPr>
          <w:rFonts w:ascii="Arial" w:hAnsi="Arial" w:cs="Arial"/>
          <w:color w:val="18B8B0"/>
          <w:spacing w:val="3"/>
        </w:rPr>
        <w:t> </w:t>
      </w:r>
      <w:r w:rsidRPr="007B2506">
        <w:rPr>
          <w:rFonts w:ascii="Arial" w:hAnsi="Arial" w:cs="Arial"/>
          <w:color w:val="18B8B0"/>
          <w:spacing w:val="3"/>
        </w:rPr>
        <w:t>000</w:t>
      </w:r>
    </w:p>
    <w:p w14:paraId="12EF5FC4" w14:textId="77777777" w:rsidR="000B2FE7" w:rsidRPr="007B2506" w:rsidRDefault="000B2FE7" w:rsidP="000B2FE7">
      <w:pPr>
        <w:pStyle w:val="Odstavecseseznamem"/>
        <w:numPr>
          <w:ilvl w:val="1"/>
          <w:numId w:val="142"/>
        </w:numPr>
        <w:tabs>
          <w:tab w:val="decimal" w:pos="144"/>
          <w:tab w:val="decimal" w:pos="1134"/>
          <w:tab w:val="right" w:pos="2679"/>
        </w:tabs>
        <w:spacing w:line="276" w:lineRule="auto"/>
        <w:rPr>
          <w:rFonts w:ascii="Arial" w:hAnsi="Arial" w:cs="Arial"/>
          <w:color w:val="18B8B0"/>
          <w:spacing w:val="3"/>
        </w:rPr>
      </w:pPr>
      <w:r w:rsidRPr="007B2506">
        <w:rPr>
          <w:rFonts w:ascii="Arial" w:hAnsi="Arial" w:cs="Arial"/>
          <w:color w:val="18B8B0"/>
          <w:spacing w:val="3"/>
        </w:rPr>
        <w:t>Výkres předpoklá</w:t>
      </w:r>
      <w:r w:rsidR="00D172EC" w:rsidRPr="007B2506">
        <w:rPr>
          <w:rFonts w:ascii="Arial" w:hAnsi="Arial" w:cs="Arial"/>
          <w:color w:val="18B8B0"/>
          <w:spacing w:val="3"/>
        </w:rPr>
        <w:t xml:space="preserve">daných záborů půdního fondu  </w:t>
      </w:r>
      <w:r w:rsidR="00D172EC" w:rsidRPr="007B2506">
        <w:rPr>
          <w:rFonts w:ascii="Arial" w:hAnsi="Arial" w:cs="Arial"/>
          <w:color w:val="18B8B0"/>
          <w:spacing w:val="3"/>
        </w:rPr>
        <w:tab/>
      </w:r>
      <w:r w:rsidRPr="007B2506">
        <w:rPr>
          <w:rFonts w:ascii="Arial" w:hAnsi="Arial" w:cs="Arial"/>
          <w:color w:val="18B8B0"/>
          <w:spacing w:val="3"/>
        </w:rPr>
        <w:t>1 : 5 000</w:t>
      </w:r>
    </w:p>
    <w:p w14:paraId="04398AD1" w14:textId="77777777" w:rsidR="00CA23D0" w:rsidRPr="00CA23D0" w:rsidRDefault="000B2FE7" w:rsidP="00D172EC">
      <w:pPr>
        <w:tabs>
          <w:tab w:val="decimal" w:pos="144"/>
          <w:tab w:val="decimal" w:pos="1134"/>
          <w:tab w:val="right" w:pos="2679"/>
        </w:tabs>
        <w:spacing w:line="276" w:lineRule="auto"/>
        <w:rPr>
          <w:rFonts w:ascii="Arial" w:hAnsi="Arial" w:cs="Arial"/>
          <w:b/>
          <w:sz w:val="36"/>
        </w:rPr>
      </w:pPr>
      <w:r w:rsidRPr="000B2FE7">
        <w:rPr>
          <w:rFonts w:ascii="Arial" w:hAnsi="Arial" w:cs="Arial"/>
          <w:color w:val="18B8B0"/>
          <w:spacing w:val="3"/>
          <w:sz w:val="22"/>
        </w:rPr>
        <w:lastRenderedPageBreak/>
        <w:t xml:space="preserve">     </w:t>
      </w:r>
      <w:r w:rsidR="00CA23D0" w:rsidRPr="00CA23D0">
        <w:rPr>
          <w:rFonts w:ascii="Arial" w:hAnsi="Arial" w:cs="Arial"/>
          <w:b/>
          <w:sz w:val="36"/>
        </w:rPr>
        <w:t>A.3. ČLENĚNÍ ÚZEMÍ MĚSTA</w:t>
      </w:r>
    </w:p>
    <w:p w14:paraId="2E8F38A3" w14:textId="77777777" w:rsidR="00CA23D0" w:rsidRPr="000931C2" w:rsidRDefault="00CA23D0" w:rsidP="00CA23D0">
      <w:pPr>
        <w:spacing w:before="120" w:line="288" w:lineRule="auto"/>
        <w:ind w:left="79" w:firstLine="709"/>
        <w:jc w:val="both"/>
        <w:rPr>
          <w:rFonts w:ascii="Arial" w:hAnsi="Arial" w:cs="Arial"/>
          <w:sz w:val="22"/>
          <w:szCs w:val="22"/>
        </w:rPr>
      </w:pPr>
      <w:r w:rsidRPr="000931C2">
        <w:rPr>
          <w:rFonts w:ascii="Arial" w:hAnsi="Arial" w:cs="Arial"/>
          <w:sz w:val="22"/>
          <w:szCs w:val="22"/>
        </w:rPr>
        <w:t>Území města zaujímá celkovou rozlohu téměř 11,8 km</w:t>
      </w:r>
      <w:r w:rsidRPr="000931C2">
        <w:rPr>
          <w:rFonts w:ascii="Arial" w:hAnsi="Arial" w:cs="Arial"/>
          <w:sz w:val="22"/>
          <w:szCs w:val="22"/>
          <w:vertAlign w:val="superscript"/>
        </w:rPr>
        <w:t>2</w:t>
      </w:r>
      <w:r w:rsidRPr="000931C2">
        <w:rPr>
          <w:rFonts w:ascii="Arial" w:hAnsi="Arial" w:cs="Arial"/>
          <w:sz w:val="22"/>
          <w:szCs w:val="22"/>
        </w:rPr>
        <w:t xml:space="preserve">. Administrativně je město Děčín rozděleno na </w:t>
      </w:r>
      <w:r w:rsidRPr="000931C2">
        <w:rPr>
          <w:rFonts w:ascii="Arial" w:hAnsi="Arial" w:cs="Arial"/>
          <w:b/>
          <w:sz w:val="22"/>
          <w:szCs w:val="22"/>
        </w:rPr>
        <w:t>32</w:t>
      </w:r>
      <w:r w:rsidRPr="000931C2">
        <w:rPr>
          <w:rFonts w:ascii="Arial" w:hAnsi="Arial" w:cs="Arial"/>
          <w:sz w:val="22"/>
          <w:szCs w:val="22"/>
        </w:rPr>
        <w:t xml:space="preserve"> částí obce. Poslední změna v administrativním členění nastala k 1. 1. 1997, kdy se od města oddělila nová obec Těchlovice. Územně-technicky tvoří město 22 katastrálních území.</w:t>
      </w:r>
    </w:p>
    <w:p w14:paraId="477C8E58" w14:textId="77777777" w:rsidR="00CA23D0" w:rsidRDefault="00CA23D0" w:rsidP="00CA23D0">
      <w:pPr>
        <w:tabs>
          <w:tab w:val="right" w:pos="9298"/>
        </w:tabs>
        <w:rPr>
          <w:rFonts w:ascii="Arial" w:hAnsi="Arial" w:cs="Arial"/>
          <w:sz w:val="28"/>
        </w:rPr>
      </w:pPr>
    </w:p>
    <w:p w14:paraId="106DAA9A" w14:textId="77777777" w:rsidR="00CA23D0" w:rsidRDefault="00CA23D0" w:rsidP="00CA23D0">
      <w:pPr>
        <w:tabs>
          <w:tab w:val="right" w:pos="9298"/>
        </w:tabs>
        <w:rPr>
          <w:rFonts w:ascii="Arial" w:hAnsi="Arial" w:cs="Arial"/>
          <w:sz w:val="26"/>
        </w:rPr>
      </w:pPr>
      <w:r w:rsidRPr="00CA23D0">
        <w:rPr>
          <w:noProof/>
          <w:lang w:eastAsia="cs-CZ"/>
        </w:rPr>
        <mc:AlternateContent>
          <mc:Choice Requires="wpg">
            <w:drawing>
              <wp:anchor distT="0" distB="0" distL="114300" distR="114300" simplePos="0" relativeHeight="251677696" behindDoc="0" locked="0" layoutInCell="1" allowOverlap="1" wp14:anchorId="002BDE62" wp14:editId="2DFF0170">
                <wp:simplePos x="0" y="0"/>
                <wp:positionH relativeFrom="page">
                  <wp:posOffset>1234440</wp:posOffset>
                </wp:positionH>
                <wp:positionV relativeFrom="page">
                  <wp:posOffset>667385</wp:posOffset>
                </wp:positionV>
                <wp:extent cx="3514090" cy="12065"/>
                <wp:effectExtent l="0" t="0" r="10160" b="26035"/>
                <wp:wrapSquare wrapText="bothSides"/>
                <wp:docPr id="24064" name="Skupina 240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14090" cy="12065"/>
                          <a:chOff x="0" y="0"/>
                          <a:chExt cx="3514345" cy="12196"/>
                        </a:xfrm>
                      </wpg:grpSpPr>
                      <wps:wsp>
                        <wps:cNvPr id="24063" name="Shape 24063"/>
                        <wps:cNvSpPr/>
                        <wps:spPr>
                          <a:xfrm>
                            <a:off x="0" y="0"/>
                            <a:ext cx="3514345" cy="12196"/>
                          </a:xfrm>
                          <a:custGeom>
                            <a:avLst/>
                            <a:gdLst/>
                            <a:ahLst/>
                            <a:cxnLst/>
                            <a:rect l="0" t="0" r="0" b="0"/>
                            <a:pathLst>
                              <a:path w="3514345" h="12196">
                                <a:moveTo>
                                  <a:pt x="0" y="6098"/>
                                </a:moveTo>
                                <a:lnTo>
                                  <a:pt x="3514345" y="6098"/>
                                </a:lnTo>
                              </a:path>
                            </a:pathLst>
                          </a:custGeom>
                          <a:noFill/>
                          <a:ln w="12196" cap="flat" cmpd="sng" algn="ctr">
                            <a:solidFill>
                              <a:srgbClr val="000000"/>
                            </a:solidFill>
                            <a:prstDash val="solid"/>
                            <a:miter lim="100000"/>
                          </a:ln>
                          <a:effectLst/>
                        </wps:spPr>
                        <wps:bodyPr/>
                      </wps:wsp>
                    </wpg:wgp>
                  </a:graphicData>
                </a:graphic>
                <wp14:sizeRelH relativeFrom="page">
                  <wp14:pctWidth>0</wp14:pctWidth>
                </wp14:sizeRelH>
                <wp14:sizeRelV relativeFrom="page">
                  <wp14:pctHeight>0</wp14:pctHeight>
                </wp14:sizeRelV>
              </wp:anchor>
            </w:drawing>
          </mc:Choice>
          <mc:Fallback>
            <w:pict>
              <v:group w14:anchorId="33DCBAE9" id="Skupina 24064" o:spid="_x0000_s1026" style="position:absolute;margin-left:97.2pt;margin-top:52.55pt;width:276.7pt;height:.95pt;z-index:251677696;mso-position-horizontal-relative:page;mso-position-vertical-relative:page" coordsize="35143,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">
                <v:shape id="Shape 24063" o:spid="_x0000_s1027" style="position:absolute;width:35143;height:121;visibility:visible;mso-wrap-style:square;v-text-anchor:top" coordsize="3514345,12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LI1ckA&#10;AADeAAAADwAAAGRycy9kb3ducmV2LnhtbESPQUvDQBSE74L/YXmCF7G7JlJK2m0RRVToxTa29fbI&#10;PpOQ7NuQXdv137uC0OMwM98wi1W0vTjS6FvHGu4mCgRx5UzLtYZy+3w7A+EDssHeMWn4IQ+r5eXF&#10;AgvjTvxOx02oRYKwL1BDE8JQSOmrhiz6iRuIk/flRoshybGWZsRTgtteZkpNpcWW00KDAz02VHWb&#10;b6th9pR97HJ1063jZ7lfv7x18ZCXWl9fxYc5iEAxnMP/7VejIbtX0xz+7qQrIJ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pLI1ckAAADeAAAADwAAAAAAAAAAAAAAAACYAgAA&#10;ZHJzL2Rvd25yZXYueG1sUEsFBgAAAAAEAAQA9QAAAI4DAAAAAA==&#10;" path="m,6098r3514345,e" filled="f" strokeweight=".33878mm">
                  <v:stroke miterlimit="1" joinstyle="miter"/>
                  <v:path arrowok="t" textboxrect="0,0,3514345,12196"/>
                </v:shape>
                <w10:wrap type="square" anchorx="page" anchory="page"/>
              </v:group>
            </w:pict>
          </mc:Fallback>
        </mc:AlternateContent>
      </w:r>
      <w:r w:rsidRPr="00CA23D0">
        <w:rPr>
          <w:rFonts w:ascii="Arial" w:hAnsi="Arial" w:cs="Arial"/>
          <w:sz w:val="28"/>
        </w:rPr>
        <w:t>ZÁKLADNÍ ÚDAJE O KATASTRÁLNÍCH ÚZEMÍCH V HA - STAV 2000</w:t>
      </w:r>
      <w:r w:rsidRPr="00FC6ECD">
        <w:rPr>
          <w:rFonts w:ascii="Arial" w:hAnsi="Arial" w:cs="Arial"/>
          <w:sz w:val="26"/>
        </w:rPr>
        <w:tab/>
      </w:r>
    </w:p>
    <w:p w14:paraId="5A36873F" w14:textId="77777777" w:rsidR="00CA23D0" w:rsidRDefault="00CA23D0" w:rsidP="00CA23D0">
      <w:pPr>
        <w:tabs>
          <w:tab w:val="right" w:pos="9298"/>
        </w:tabs>
        <w:rPr>
          <w:rFonts w:ascii="Arial" w:hAnsi="Arial" w:cs="Arial"/>
          <w:sz w:val="26"/>
        </w:rPr>
      </w:pPr>
    </w:p>
    <w:p w14:paraId="78EF69A7" w14:textId="77777777" w:rsidR="00CA23D0" w:rsidRPr="00FC6ECD" w:rsidRDefault="00CA23D0" w:rsidP="00CA23D0">
      <w:pPr>
        <w:tabs>
          <w:tab w:val="right" w:pos="9298"/>
        </w:tabs>
        <w:jc w:val="right"/>
        <w:rPr>
          <w:rFonts w:ascii="Arial" w:hAnsi="Arial" w:cs="Arial"/>
        </w:rPr>
      </w:pPr>
      <w:r w:rsidRPr="00FC6ECD">
        <w:rPr>
          <w:rFonts w:ascii="Arial" w:hAnsi="Arial" w:cs="Arial"/>
          <w:sz w:val="26"/>
        </w:rPr>
        <w:t>Zem</w:t>
      </w:r>
      <w:r>
        <w:rPr>
          <w:rFonts w:ascii="Arial" w:hAnsi="Arial" w:cs="Arial"/>
          <w:sz w:val="26"/>
        </w:rPr>
        <w:t>ě</w:t>
      </w:r>
      <w:r w:rsidRPr="00FC6ECD">
        <w:rPr>
          <w:rFonts w:ascii="Arial" w:hAnsi="Arial" w:cs="Arial"/>
          <w:sz w:val="26"/>
        </w:rPr>
        <w:t>m</w:t>
      </w:r>
      <w:r>
        <w:rPr>
          <w:rFonts w:ascii="Arial" w:hAnsi="Arial" w:cs="Arial"/>
          <w:sz w:val="26"/>
        </w:rPr>
        <w:t>ěři</w:t>
      </w:r>
      <w:r w:rsidRPr="00FC6ECD">
        <w:rPr>
          <w:rFonts w:ascii="Arial" w:hAnsi="Arial" w:cs="Arial"/>
          <w:sz w:val="26"/>
        </w:rPr>
        <w:t>cký úřad 2000</w:t>
      </w:r>
    </w:p>
    <w:tbl>
      <w:tblPr>
        <w:tblW w:w="9031" w:type="dxa"/>
        <w:tblInd w:w="181" w:type="dxa"/>
        <w:tblCellMar>
          <w:top w:w="22" w:type="dxa"/>
          <w:left w:w="0" w:type="dxa"/>
          <w:bottom w:w="29" w:type="dxa"/>
          <w:right w:w="0" w:type="dxa"/>
        </w:tblCellMar>
        <w:tblLook w:val="04A0" w:firstRow="1" w:lastRow="0" w:firstColumn="1" w:lastColumn="0" w:noHBand="0" w:noVBand="1"/>
      </w:tblPr>
      <w:tblGrid>
        <w:gridCol w:w="1988"/>
        <w:gridCol w:w="957"/>
        <w:gridCol w:w="1021"/>
        <w:gridCol w:w="1074"/>
        <w:gridCol w:w="1066"/>
        <w:gridCol w:w="910"/>
        <w:gridCol w:w="1029"/>
        <w:gridCol w:w="986"/>
      </w:tblGrid>
      <w:tr w:rsidR="00CA23D0" w:rsidRPr="007E480D" w14:paraId="0362EE54" w14:textId="77777777" w:rsidTr="00CA23D0">
        <w:trPr>
          <w:trHeight w:val="626"/>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3B52FD8" w14:textId="77777777" w:rsidR="00CA23D0" w:rsidRPr="007E480D" w:rsidRDefault="00CA23D0" w:rsidP="00CA23D0">
            <w:pPr>
              <w:ind w:left="31"/>
              <w:rPr>
                <w:rFonts w:ascii="Arial" w:hAnsi="Arial" w:cs="Arial"/>
                <w:sz w:val="18"/>
                <w:szCs w:val="18"/>
              </w:rPr>
            </w:pPr>
            <w:r w:rsidRPr="007E480D">
              <w:rPr>
                <w:rFonts w:ascii="Arial" w:hAnsi="Arial" w:cs="Arial"/>
                <w:sz w:val="18"/>
                <w:szCs w:val="18"/>
              </w:rPr>
              <w:t>název kat. území</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8F934D5" w14:textId="77777777" w:rsidR="00CA23D0" w:rsidRPr="007E480D" w:rsidRDefault="00CA23D0" w:rsidP="00CA23D0">
            <w:pPr>
              <w:rPr>
                <w:rFonts w:ascii="Arial" w:hAnsi="Arial" w:cs="Arial"/>
                <w:sz w:val="18"/>
                <w:szCs w:val="18"/>
              </w:rPr>
            </w:pPr>
            <w:r w:rsidRPr="007E480D">
              <w:rPr>
                <w:rFonts w:ascii="Arial" w:hAnsi="Arial" w:cs="Arial"/>
                <w:sz w:val="18"/>
                <w:szCs w:val="18"/>
              </w:rPr>
              <w:t>výměra celkem</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B6C8E2A" w14:textId="77777777" w:rsidR="00CA23D0" w:rsidRPr="007E480D" w:rsidRDefault="00CA23D0" w:rsidP="00CA23D0">
            <w:pPr>
              <w:ind w:left="314" w:hanging="259"/>
              <w:rPr>
                <w:rFonts w:ascii="Arial" w:hAnsi="Arial" w:cs="Arial"/>
                <w:sz w:val="18"/>
                <w:szCs w:val="18"/>
              </w:rPr>
            </w:pPr>
            <w:r w:rsidRPr="007E480D">
              <w:rPr>
                <w:rFonts w:ascii="Arial" w:hAnsi="Arial" w:cs="Arial"/>
                <w:sz w:val="18"/>
                <w:szCs w:val="18"/>
              </w:rPr>
              <w:t>zemědělská půda</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E96E9B5" w14:textId="77777777" w:rsidR="00CA23D0" w:rsidRPr="007E480D" w:rsidRDefault="00CA23D0" w:rsidP="00CA23D0">
            <w:pPr>
              <w:ind w:left="43" w:right="10"/>
              <w:rPr>
                <w:rFonts w:ascii="Arial" w:hAnsi="Arial" w:cs="Arial"/>
                <w:sz w:val="18"/>
                <w:szCs w:val="18"/>
              </w:rPr>
            </w:pPr>
            <w:r w:rsidRPr="007E480D">
              <w:rPr>
                <w:rFonts w:ascii="Arial" w:hAnsi="Arial" w:cs="Arial"/>
                <w:sz w:val="18"/>
                <w:szCs w:val="18"/>
              </w:rPr>
              <w:t>lesní pozemky</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E906F63" w14:textId="77777777" w:rsidR="00CA23D0" w:rsidRPr="007E480D" w:rsidRDefault="00CA23D0" w:rsidP="00CA23D0">
            <w:pPr>
              <w:ind w:left="59"/>
              <w:rPr>
                <w:rFonts w:ascii="Arial" w:hAnsi="Arial" w:cs="Arial"/>
                <w:sz w:val="18"/>
                <w:szCs w:val="18"/>
              </w:rPr>
            </w:pPr>
            <w:r w:rsidRPr="007E480D">
              <w:rPr>
                <w:rFonts w:ascii="Arial" w:hAnsi="Arial" w:cs="Arial"/>
                <w:sz w:val="18"/>
                <w:szCs w:val="18"/>
              </w:rPr>
              <w:t xml:space="preserve">vodní plochy </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60E105E" w14:textId="77777777" w:rsidR="00CA23D0" w:rsidRPr="007E480D" w:rsidRDefault="00CA23D0" w:rsidP="00CA23D0">
            <w:pPr>
              <w:rPr>
                <w:rFonts w:ascii="Arial" w:hAnsi="Arial" w:cs="Arial"/>
                <w:sz w:val="18"/>
                <w:szCs w:val="18"/>
              </w:rPr>
            </w:pPr>
            <w:r w:rsidRPr="007E480D">
              <w:rPr>
                <w:rFonts w:ascii="Arial" w:hAnsi="Arial" w:cs="Arial"/>
                <w:sz w:val="18"/>
                <w:szCs w:val="18"/>
              </w:rPr>
              <w:t>zastavěné území</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496B31A" w14:textId="77777777" w:rsidR="00CA23D0" w:rsidRPr="007E480D" w:rsidRDefault="00CA23D0" w:rsidP="00CA23D0">
            <w:pPr>
              <w:ind w:left="26"/>
              <w:rPr>
                <w:rFonts w:ascii="Arial" w:hAnsi="Arial" w:cs="Arial"/>
                <w:sz w:val="18"/>
                <w:szCs w:val="18"/>
              </w:rPr>
            </w:pPr>
            <w:r w:rsidRPr="007E480D">
              <w:rPr>
                <w:rFonts w:ascii="Arial" w:hAnsi="Arial" w:cs="Arial"/>
                <w:sz w:val="18"/>
                <w:szCs w:val="18"/>
              </w:rPr>
              <w:t>ostatní plochy</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461B4D4" w14:textId="77777777" w:rsidR="00CA23D0" w:rsidRPr="007E480D" w:rsidRDefault="00CA23D0" w:rsidP="00CA23D0">
            <w:pPr>
              <w:ind w:left="38"/>
              <w:rPr>
                <w:rFonts w:ascii="Arial" w:hAnsi="Arial" w:cs="Arial"/>
                <w:sz w:val="18"/>
                <w:szCs w:val="18"/>
              </w:rPr>
            </w:pPr>
            <w:r w:rsidRPr="007E480D">
              <w:rPr>
                <w:rFonts w:ascii="Arial" w:hAnsi="Arial" w:cs="Arial"/>
                <w:sz w:val="18"/>
                <w:szCs w:val="18"/>
              </w:rPr>
              <w:t>počet domů s č.p.</w:t>
            </w:r>
          </w:p>
        </w:tc>
      </w:tr>
      <w:tr w:rsidR="00CA23D0" w:rsidRPr="007E480D" w14:paraId="5BF60D90" w14:textId="77777777" w:rsidTr="00CA23D0">
        <w:trPr>
          <w:trHeight w:val="283"/>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55DC0AB" w14:textId="77777777" w:rsidR="00CA23D0" w:rsidRPr="007E480D" w:rsidRDefault="00CA23D0" w:rsidP="00CA23D0">
            <w:pPr>
              <w:ind w:left="50"/>
              <w:rPr>
                <w:rFonts w:ascii="Arial" w:hAnsi="Arial" w:cs="Arial"/>
                <w:sz w:val="18"/>
                <w:szCs w:val="18"/>
              </w:rPr>
            </w:pPr>
            <w:r w:rsidRPr="007E480D">
              <w:rPr>
                <w:rFonts w:ascii="Arial" w:hAnsi="Arial" w:cs="Arial"/>
                <w:sz w:val="18"/>
                <w:szCs w:val="18"/>
              </w:rPr>
              <w:t>Bělá u Děčína</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8B523C7" w14:textId="77777777" w:rsidR="00CA23D0" w:rsidRPr="007E480D" w:rsidRDefault="00CA23D0" w:rsidP="00CA23D0">
            <w:pPr>
              <w:ind w:right="13"/>
              <w:jc w:val="right"/>
              <w:rPr>
                <w:rFonts w:ascii="Arial" w:hAnsi="Arial" w:cs="Arial"/>
                <w:sz w:val="18"/>
                <w:szCs w:val="18"/>
              </w:rPr>
            </w:pPr>
            <w:r w:rsidRPr="007E480D">
              <w:rPr>
                <w:rFonts w:ascii="Arial" w:hAnsi="Arial" w:cs="Arial"/>
                <w:sz w:val="18"/>
                <w:szCs w:val="18"/>
              </w:rPr>
              <w:t>563,86</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82A8A51" w14:textId="77777777" w:rsidR="00CA23D0" w:rsidRPr="007E480D" w:rsidRDefault="00CA23D0" w:rsidP="00CA23D0">
            <w:pPr>
              <w:ind w:left="296"/>
              <w:jc w:val="right"/>
              <w:rPr>
                <w:rFonts w:ascii="Arial" w:hAnsi="Arial" w:cs="Arial"/>
                <w:sz w:val="18"/>
                <w:szCs w:val="18"/>
              </w:rPr>
            </w:pPr>
            <w:r w:rsidRPr="007E480D">
              <w:rPr>
                <w:rFonts w:ascii="Arial" w:hAnsi="Arial" w:cs="Arial"/>
                <w:sz w:val="18"/>
                <w:szCs w:val="18"/>
              </w:rPr>
              <w:t>71</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3093D88" w14:textId="77777777" w:rsidR="00CA23D0" w:rsidRPr="007E480D" w:rsidRDefault="00CA23D0" w:rsidP="00CA23D0">
            <w:pPr>
              <w:ind w:right="13"/>
              <w:jc w:val="right"/>
              <w:rPr>
                <w:rFonts w:ascii="Arial" w:hAnsi="Arial" w:cs="Arial"/>
                <w:sz w:val="18"/>
                <w:szCs w:val="18"/>
              </w:rPr>
            </w:pPr>
            <w:r w:rsidRPr="007E480D">
              <w:rPr>
                <w:rFonts w:ascii="Arial" w:hAnsi="Arial" w:cs="Arial"/>
                <w:sz w:val="18"/>
                <w:szCs w:val="18"/>
              </w:rPr>
              <w:t>464,36</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48A9121" w14:textId="77777777" w:rsidR="00CA23D0" w:rsidRPr="007E480D" w:rsidRDefault="00CA23D0" w:rsidP="00CA23D0">
            <w:pPr>
              <w:ind w:right="8"/>
              <w:jc w:val="right"/>
              <w:rPr>
                <w:rFonts w:ascii="Arial" w:hAnsi="Arial" w:cs="Arial"/>
                <w:sz w:val="18"/>
                <w:szCs w:val="18"/>
              </w:rPr>
            </w:pPr>
            <w:r w:rsidRPr="007E480D">
              <w:rPr>
                <w:rFonts w:ascii="Arial" w:hAnsi="Arial" w:cs="Arial"/>
                <w:sz w:val="18"/>
                <w:szCs w:val="18"/>
              </w:rPr>
              <w:t>0.36</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2EE693F" w14:textId="77777777" w:rsidR="00CA23D0" w:rsidRPr="007E480D" w:rsidRDefault="00CA23D0" w:rsidP="00CA23D0">
            <w:pPr>
              <w:ind w:right="13"/>
              <w:jc w:val="right"/>
              <w:rPr>
                <w:rFonts w:ascii="Arial" w:hAnsi="Arial" w:cs="Arial"/>
                <w:sz w:val="18"/>
                <w:szCs w:val="18"/>
              </w:rPr>
            </w:pPr>
            <w:r w:rsidRPr="007E480D">
              <w:rPr>
                <w:rFonts w:ascii="Arial" w:hAnsi="Arial" w:cs="Arial"/>
                <w:sz w:val="18"/>
                <w:szCs w:val="18"/>
              </w:rPr>
              <w:t>9,36</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F484996" w14:textId="77777777" w:rsidR="00CA23D0" w:rsidRPr="007E480D" w:rsidRDefault="00CA23D0" w:rsidP="00CA23D0">
            <w:pPr>
              <w:ind w:right="8"/>
              <w:jc w:val="right"/>
              <w:rPr>
                <w:rFonts w:ascii="Arial" w:hAnsi="Arial" w:cs="Arial"/>
                <w:sz w:val="18"/>
                <w:szCs w:val="18"/>
              </w:rPr>
            </w:pPr>
            <w:r w:rsidRPr="007E480D">
              <w:rPr>
                <w:rFonts w:ascii="Arial" w:hAnsi="Arial" w:cs="Arial"/>
                <w:sz w:val="18"/>
                <w:szCs w:val="18"/>
              </w:rPr>
              <w:t>18,56</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33BE611"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298</w:t>
            </w:r>
          </w:p>
        </w:tc>
      </w:tr>
      <w:tr w:rsidR="00CA23D0" w:rsidRPr="007E480D" w14:paraId="21990CAD" w14:textId="77777777" w:rsidTr="00CA23D0">
        <w:trPr>
          <w:trHeight w:val="269"/>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9734307" w14:textId="77777777" w:rsidR="00CA23D0" w:rsidRPr="007E480D" w:rsidRDefault="00CA23D0" w:rsidP="00CA23D0">
            <w:pPr>
              <w:ind w:left="45"/>
              <w:rPr>
                <w:rFonts w:ascii="Arial" w:hAnsi="Arial" w:cs="Arial"/>
                <w:sz w:val="18"/>
                <w:szCs w:val="18"/>
              </w:rPr>
            </w:pPr>
            <w:r w:rsidRPr="007E480D">
              <w:rPr>
                <w:rFonts w:ascii="Arial" w:hAnsi="Arial" w:cs="Arial"/>
                <w:sz w:val="18"/>
                <w:szCs w:val="18"/>
              </w:rPr>
              <w:t>Boletice nad Labem</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5DF24BC"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256,65</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C90F4D1" w14:textId="77777777" w:rsidR="00CA23D0" w:rsidRPr="007E480D" w:rsidRDefault="00CA23D0" w:rsidP="00CA23D0">
            <w:pPr>
              <w:ind w:right="8"/>
              <w:jc w:val="right"/>
              <w:rPr>
                <w:rFonts w:ascii="Arial" w:hAnsi="Arial" w:cs="Arial"/>
                <w:sz w:val="18"/>
                <w:szCs w:val="18"/>
              </w:rPr>
            </w:pPr>
            <w:r w:rsidRPr="007E480D">
              <w:rPr>
                <w:rFonts w:ascii="Arial" w:hAnsi="Arial" w:cs="Arial"/>
                <w:sz w:val="18"/>
                <w:szCs w:val="18"/>
              </w:rPr>
              <w:t>110,73</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00D02CA" w14:textId="77777777" w:rsidR="00CA23D0" w:rsidRPr="007E480D" w:rsidRDefault="00CA23D0" w:rsidP="00CA23D0">
            <w:pPr>
              <w:ind w:right="13"/>
              <w:jc w:val="right"/>
              <w:rPr>
                <w:rFonts w:ascii="Arial" w:hAnsi="Arial" w:cs="Arial"/>
                <w:sz w:val="18"/>
                <w:szCs w:val="18"/>
              </w:rPr>
            </w:pPr>
            <w:r w:rsidRPr="007E480D">
              <w:rPr>
                <w:rFonts w:ascii="Arial" w:hAnsi="Arial" w:cs="Arial"/>
                <w:sz w:val="18"/>
                <w:szCs w:val="18"/>
              </w:rPr>
              <w:t>66,95</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E30EBCD" w14:textId="77777777" w:rsidR="00CA23D0" w:rsidRPr="007E480D" w:rsidRDefault="00CA23D0" w:rsidP="00CA23D0">
            <w:pPr>
              <w:ind w:left="412"/>
              <w:jc w:val="right"/>
              <w:rPr>
                <w:rFonts w:ascii="Arial" w:hAnsi="Arial" w:cs="Arial"/>
                <w:sz w:val="18"/>
                <w:szCs w:val="18"/>
              </w:rPr>
            </w:pPr>
            <w:r w:rsidRPr="007E480D">
              <w:rPr>
                <w:rFonts w:ascii="Arial" w:hAnsi="Arial" w:cs="Arial"/>
                <w:sz w:val="18"/>
                <w:szCs w:val="18"/>
              </w:rPr>
              <w:t>11</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5D3114E"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3,22</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D4BC4A9" w14:textId="77777777" w:rsidR="00CA23D0" w:rsidRPr="007E480D" w:rsidRDefault="00CA23D0" w:rsidP="00CA23D0">
            <w:pPr>
              <w:ind w:right="8"/>
              <w:jc w:val="right"/>
              <w:rPr>
                <w:rFonts w:ascii="Arial" w:hAnsi="Arial" w:cs="Arial"/>
                <w:sz w:val="18"/>
                <w:szCs w:val="18"/>
              </w:rPr>
            </w:pPr>
            <w:r w:rsidRPr="007E480D">
              <w:rPr>
                <w:rFonts w:ascii="Arial" w:hAnsi="Arial" w:cs="Arial"/>
                <w:sz w:val="18"/>
                <w:szCs w:val="18"/>
              </w:rPr>
              <w:t>37,46</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EC473BF" w14:textId="77777777" w:rsidR="00CA23D0" w:rsidRPr="007E480D" w:rsidRDefault="00CA23D0" w:rsidP="00CA23D0">
            <w:pPr>
              <w:ind w:right="10"/>
              <w:jc w:val="right"/>
              <w:rPr>
                <w:rFonts w:ascii="Arial" w:hAnsi="Arial" w:cs="Arial"/>
                <w:sz w:val="18"/>
                <w:szCs w:val="18"/>
              </w:rPr>
            </w:pPr>
            <w:r w:rsidRPr="007E480D">
              <w:rPr>
                <w:rFonts w:ascii="Arial" w:hAnsi="Arial" w:cs="Arial"/>
                <w:sz w:val="18"/>
                <w:szCs w:val="18"/>
              </w:rPr>
              <w:t>417</w:t>
            </w:r>
          </w:p>
        </w:tc>
      </w:tr>
      <w:tr w:rsidR="00CA23D0" w:rsidRPr="007E480D" w14:paraId="052E185F" w14:textId="77777777" w:rsidTr="00CA23D0">
        <w:trPr>
          <w:trHeight w:val="278"/>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7881BB9" w14:textId="77777777" w:rsidR="00CA23D0" w:rsidRPr="007E480D" w:rsidRDefault="00CA23D0" w:rsidP="00CA23D0">
            <w:pPr>
              <w:ind w:left="40"/>
              <w:rPr>
                <w:rFonts w:ascii="Arial" w:hAnsi="Arial" w:cs="Arial"/>
                <w:sz w:val="18"/>
                <w:szCs w:val="18"/>
              </w:rPr>
            </w:pPr>
            <w:r w:rsidRPr="007E480D">
              <w:rPr>
                <w:rFonts w:ascii="Arial" w:hAnsi="Arial" w:cs="Arial"/>
                <w:sz w:val="18"/>
                <w:szCs w:val="18"/>
              </w:rPr>
              <w:t>Březiny u Děčína</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B9C37A4"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433,6</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30F413C" w14:textId="77777777" w:rsidR="00CA23D0" w:rsidRPr="007E480D" w:rsidRDefault="00CA23D0" w:rsidP="00CA23D0">
            <w:pPr>
              <w:ind w:right="8"/>
              <w:jc w:val="right"/>
              <w:rPr>
                <w:rFonts w:ascii="Arial" w:hAnsi="Arial" w:cs="Arial"/>
                <w:sz w:val="18"/>
                <w:szCs w:val="18"/>
              </w:rPr>
            </w:pPr>
            <w:r w:rsidRPr="007E480D">
              <w:rPr>
                <w:rFonts w:ascii="Arial" w:hAnsi="Arial" w:cs="Arial"/>
                <w:sz w:val="18"/>
                <w:szCs w:val="18"/>
              </w:rPr>
              <w:t>198,84</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B46462D" w14:textId="77777777" w:rsidR="00CA23D0" w:rsidRPr="007E480D" w:rsidRDefault="00CA23D0" w:rsidP="00CA23D0">
            <w:pPr>
              <w:ind w:right="8"/>
              <w:jc w:val="right"/>
              <w:rPr>
                <w:rFonts w:ascii="Arial" w:hAnsi="Arial" w:cs="Arial"/>
                <w:sz w:val="18"/>
                <w:szCs w:val="18"/>
              </w:rPr>
            </w:pPr>
            <w:r w:rsidRPr="007E480D">
              <w:rPr>
                <w:rFonts w:ascii="Arial" w:hAnsi="Arial" w:cs="Arial"/>
                <w:sz w:val="18"/>
                <w:szCs w:val="18"/>
              </w:rPr>
              <w:t>162,54</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1FF3312" w14:textId="77777777" w:rsidR="00CA23D0" w:rsidRPr="007E480D" w:rsidRDefault="00CA23D0" w:rsidP="00CA23D0">
            <w:pPr>
              <w:ind w:right="8"/>
              <w:jc w:val="right"/>
              <w:rPr>
                <w:rFonts w:ascii="Arial" w:hAnsi="Arial" w:cs="Arial"/>
                <w:sz w:val="18"/>
                <w:szCs w:val="18"/>
              </w:rPr>
            </w:pPr>
            <w:r w:rsidRPr="007E480D">
              <w:rPr>
                <w:rFonts w:ascii="Arial" w:hAnsi="Arial" w:cs="Arial"/>
                <w:sz w:val="18"/>
                <w:szCs w:val="18"/>
              </w:rPr>
              <w:t>7,24</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6571AB9"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10,72</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6A8F53D" w14:textId="77777777" w:rsidR="00CA23D0" w:rsidRPr="007E480D" w:rsidRDefault="00CA23D0" w:rsidP="00CA23D0">
            <w:pPr>
              <w:ind w:right="13"/>
              <w:jc w:val="right"/>
              <w:rPr>
                <w:rFonts w:ascii="Arial" w:hAnsi="Arial" w:cs="Arial"/>
                <w:sz w:val="18"/>
                <w:szCs w:val="18"/>
              </w:rPr>
            </w:pPr>
            <w:r w:rsidRPr="007E480D">
              <w:rPr>
                <w:rFonts w:ascii="Arial" w:hAnsi="Arial" w:cs="Arial"/>
                <w:sz w:val="18"/>
                <w:szCs w:val="18"/>
              </w:rPr>
              <w:t>54,27</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AD4EA51"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206</w:t>
            </w:r>
          </w:p>
        </w:tc>
      </w:tr>
      <w:tr w:rsidR="00CA23D0" w:rsidRPr="007E480D" w14:paraId="68176488" w14:textId="77777777" w:rsidTr="00CA23D0">
        <w:trPr>
          <w:trHeight w:val="274"/>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4699A33" w14:textId="77777777" w:rsidR="00CA23D0" w:rsidRPr="007E480D" w:rsidRDefault="00CA23D0" w:rsidP="00CA23D0">
            <w:pPr>
              <w:ind w:left="40"/>
              <w:rPr>
                <w:rFonts w:ascii="Arial" w:hAnsi="Arial" w:cs="Arial"/>
                <w:sz w:val="18"/>
                <w:szCs w:val="18"/>
              </w:rPr>
            </w:pPr>
            <w:r w:rsidRPr="007E480D">
              <w:rPr>
                <w:rFonts w:ascii="Arial" w:hAnsi="Arial" w:cs="Arial"/>
                <w:sz w:val="18"/>
                <w:szCs w:val="18"/>
              </w:rPr>
              <w:t>Bynov</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24D7E60" w14:textId="77777777" w:rsidR="00CA23D0" w:rsidRPr="007E480D" w:rsidRDefault="00CA23D0" w:rsidP="00CA23D0">
            <w:pPr>
              <w:ind w:right="27"/>
              <w:jc w:val="right"/>
              <w:rPr>
                <w:rFonts w:ascii="Arial" w:hAnsi="Arial" w:cs="Arial"/>
                <w:sz w:val="18"/>
                <w:szCs w:val="18"/>
              </w:rPr>
            </w:pPr>
            <w:r w:rsidRPr="007E480D">
              <w:rPr>
                <w:rFonts w:ascii="Arial" w:hAnsi="Arial" w:cs="Arial"/>
                <w:sz w:val="18"/>
                <w:szCs w:val="18"/>
              </w:rPr>
              <w:t>1 525,32</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1F61FA3"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46</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A28864E"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1 02,23</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FB55338" w14:textId="77777777" w:rsidR="00CA23D0" w:rsidRPr="007E480D" w:rsidRDefault="00CA23D0" w:rsidP="00CA23D0">
            <w:pPr>
              <w:ind w:right="13"/>
              <w:jc w:val="right"/>
              <w:rPr>
                <w:rFonts w:ascii="Arial" w:hAnsi="Arial" w:cs="Arial"/>
                <w:sz w:val="18"/>
                <w:szCs w:val="18"/>
              </w:rPr>
            </w:pPr>
            <w:r w:rsidRPr="007E480D">
              <w:rPr>
                <w:rFonts w:ascii="Arial" w:hAnsi="Arial" w:cs="Arial"/>
                <w:sz w:val="18"/>
                <w:szCs w:val="18"/>
              </w:rPr>
              <w:t>4,27</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A469955" w14:textId="77777777" w:rsidR="00CA23D0" w:rsidRPr="007E480D" w:rsidRDefault="00CA23D0" w:rsidP="00CA23D0">
            <w:pPr>
              <w:ind w:right="13"/>
              <w:jc w:val="right"/>
              <w:rPr>
                <w:rFonts w:ascii="Arial" w:hAnsi="Arial" w:cs="Arial"/>
                <w:sz w:val="18"/>
                <w:szCs w:val="18"/>
              </w:rPr>
            </w:pPr>
            <w:r w:rsidRPr="007E480D">
              <w:rPr>
                <w:rFonts w:ascii="Arial" w:hAnsi="Arial" w:cs="Arial"/>
                <w:sz w:val="18"/>
                <w:szCs w:val="18"/>
              </w:rPr>
              <w:t>12,76</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17533D0"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60,06</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851758C" w14:textId="77777777" w:rsidR="00CA23D0" w:rsidRPr="007E480D" w:rsidRDefault="00CA23D0" w:rsidP="00CA23D0">
            <w:pPr>
              <w:ind w:right="43"/>
              <w:jc w:val="right"/>
              <w:rPr>
                <w:rFonts w:ascii="Arial" w:hAnsi="Arial" w:cs="Arial"/>
                <w:sz w:val="18"/>
                <w:szCs w:val="18"/>
              </w:rPr>
            </w:pPr>
            <w:r w:rsidRPr="007E480D">
              <w:rPr>
                <w:rFonts w:ascii="Arial" w:hAnsi="Arial" w:cs="Arial"/>
                <w:sz w:val="18"/>
                <w:szCs w:val="18"/>
              </w:rPr>
              <w:t>341</w:t>
            </w:r>
          </w:p>
        </w:tc>
      </w:tr>
      <w:tr w:rsidR="00CA23D0" w:rsidRPr="007E480D" w14:paraId="03FFD137" w14:textId="77777777" w:rsidTr="00CA23D0">
        <w:trPr>
          <w:trHeight w:val="274"/>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478AC2A" w14:textId="77777777" w:rsidR="00CA23D0" w:rsidRPr="007E480D" w:rsidRDefault="00CA23D0" w:rsidP="00CA23D0">
            <w:pPr>
              <w:ind w:left="40"/>
              <w:rPr>
                <w:rFonts w:ascii="Arial" w:hAnsi="Arial" w:cs="Arial"/>
                <w:sz w:val="18"/>
                <w:szCs w:val="18"/>
              </w:rPr>
            </w:pPr>
            <w:r w:rsidRPr="007E480D">
              <w:rPr>
                <w:rFonts w:ascii="Arial" w:hAnsi="Arial" w:cs="Arial"/>
                <w:sz w:val="18"/>
                <w:szCs w:val="18"/>
              </w:rPr>
              <w:t>Děčín</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471C3A5"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460,6</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B6B3223"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87,47</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A6F2E18"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76,74</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6485691" w14:textId="77777777" w:rsidR="00CA23D0" w:rsidRPr="007E480D" w:rsidRDefault="00CA23D0" w:rsidP="00CA23D0">
            <w:pPr>
              <w:ind w:right="46"/>
              <w:jc w:val="right"/>
              <w:rPr>
                <w:rFonts w:ascii="Arial" w:hAnsi="Arial" w:cs="Arial"/>
                <w:sz w:val="18"/>
                <w:szCs w:val="18"/>
              </w:rPr>
            </w:pPr>
            <w:r w:rsidRPr="007E480D">
              <w:rPr>
                <w:rFonts w:ascii="Arial" w:hAnsi="Arial" w:cs="Arial"/>
                <w:sz w:val="18"/>
                <w:szCs w:val="18"/>
              </w:rPr>
              <w:t>37,41</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02DB84A"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62,98</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503D0E4"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196</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E7184C9" w14:textId="77777777" w:rsidR="00CA23D0" w:rsidRPr="007E480D" w:rsidRDefault="00CA23D0" w:rsidP="00CA23D0">
            <w:pPr>
              <w:ind w:right="24"/>
              <w:jc w:val="right"/>
              <w:rPr>
                <w:rFonts w:ascii="Arial" w:hAnsi="Arial" w:cs="Arial"/>
                <w:sz w:val="18"/>
                <w:szCs w:val="18"/>
              </w:rPr>
            </w:pPr>
            <w:r w:rsidRPr="007E480D">
              <w:rPr>
                <w:rFonts w:ascii="Arial" w:hAnsi="Arial" w:cs="Arial"/>
                <w:sz w:val="18"/>
                <w:szCs w:val="18"/>
              </w:rPr>
              <w:t>1 118</w:t>
            </w:r>
          </w:p>
        </w:tc>
      </w:tr>
      <w:tr w:rsidR="00CA23D0" w:rsidRPr="007E480D" w14:paraId="06109033" w14:textId="77777777" w:rsidTr="00CA23D0">
        <w:trPr>
          <w:trHeight w:val="278"/>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809D552" w14:textId="77777777" w:rsidR="00CA23D0" w:rsidRPr="007E480D" w:rsidRDefault="00CA23D0" w:rsidP="00CA23D0">
            <w:pPr>
              <w:ind w:left="40"/>
              <w:rPr>
                <w:rFonts w:ascii="Arial" w:hAnsi="Arial" w:cs="Arial"/>
                <w:sz w:val="18"/>
                <w:szCs w:val="18"/>
              </w:rPr>
            </w:pPr>
            <w:r w:rsidRPr="007E480D">
              <w:rPr>
                <w:rFonts w:ascii="Arial" w:hAnsi="Arial" w:cs="Arial"/>
                <w:sz w:val="18"/>
                <w:szCs w:val="18"/>
              </w:rPr>
              <w:t>DěčinStaré Město</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C494FF3"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297,36</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38D2114"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89,44</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83AC338"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102,13</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1603C13"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14,26</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3ED5AC6"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20,39</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3C04EC6" w14:textId="77777777" w:rsidR="00CA23D0" w:rsidRPr="007E480D" w:rsidRDefault="00CA23D0" w:rsidP="00CA23D0">
            <w:pPr>
              <w:ind w:right="13"/>
              <w:jc w:val="right"/>
              <w:rPr>
                <w:rFonts w:ascii="Arial" w:hAnsi="Arial" w:cs="Arial"/>
                <w:sz w:val="18"/>
                <w:szCs w:val="18"/>
              </w:rPr>
            </w:pPr>
            <w:r w:rsidRPr="007E480D">
              <w:rPr>
                <w:rFonts w:ascii="Arial" w:hAnsi="Arial" w:cs="Arial"/>
                <w:sz w:val="18"/>
                <w:szCs w:val="18"/>
              </w:rPr>
              <w:t>71,14</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39AD600"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338</w:t>
            </w:r>
          </w:p>
        </w:tc>
      </w:tr>
      <w:tr w:rsidR="00CA23D0" w:rsidRPr="007E480D" w14:paraId="7B4F67E7" w14:textId="77777777" w:rsidTr="00CA23D0">
        <w:trPr>
          <w:trHeight w:val="274"/>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478B1F8" w14:textId="77777777" w:rsidR="00CA23D0" w:rsidRPr="007E480D" w:rsidRDefault="00CA23D0" w:rsidP="00CA23D0">
            <w:pPr>
              <w:ind w:left="35"/>
              <w:rPr>
                <w:rFonts w:ascii="Arial" w:hAnsi="Arial" w:cs="Arial"/>
                <w:sz w:val="18"/>
                <w:szCs w:val="18"/>
              </w:rPr>
            </w:pPr>
            <w:r w:rsidRPr="007E480D">
              <w:rPr>
                <w:rFonts w:ascii="Arial" w:hAnsi="Arial" w:cs="Arial"/>
                <w:sz w:val="18"/>
                <w:szCs w:val="18"/>
              </w:rPr>
              <w:t>Dolní žleb</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5504ED5" w14:textId="77777777" w:rsidR="00CA23D0" w:rsidRPr="007E480D" w:rsidRDefault="00CA23D0" w:rsidP="00CA23D0">
            <w:pPr>
              <w:ind w:right="27"/>
              <w:jc w:val="right"/>
              <w:rPr>
                <w:rFonts w:ascii="Arial" w:hAnsi="Arial" w:cs="Arial"/>
                <w:sz w:val="18"/>
                <w:szCs w:val="18"/>
              </w:rPr>
            </w:pPr>
            <w:r w:rsidRPr="007E480D">
              <w:rPr>
                <w:rFonts w:ascii="Arial" w:hAnsi="Arial" w:cs="Arial"/>
                <w:sz w:val="18"/>
                <w:szCs w:val="18"/>
              </w:rPr>
              <w:t>1 090,67</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4ED361E"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29,07</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B41F697"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1 000157</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C9DC298"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24,23</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B3EFC7C"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3,25</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A6914E2"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33,55</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C531B69" w14:textId="77777777" w:rsidR="00CA23D0" w:rsidRPr="007E480D" w:rsidRDefault="00CA23D0" w:rsidP="00CA23D0">
            <w:pPr>
              <w:ind w:right="14"/>
              <w:jc w:val="right"/>
              <w:rPr>
                <w:rFonts w:ascii="Arial" w:hAnsi="Arial" w:cs="Arial"/>
                <w:sz w:val="18"/>
                <w:szCs w:val="18"/>
              </w:rPr>
            </w:pPr>
            <w:r w:rsidRPr="007E480D">
              <w:rPr>
                <w:rFonts w:ascii="Arial" w:hAnsi="Arial" w:cs="Arial"/>
                <w:sz w:val="18"/>
                <w:szCs w:val="18"/>
              </w:rPr>
              <w:t>76</w:t>
            </w:r>
          </w:p>
        </w:tc>
      </w:tr>
      <w:tr w:rsidR="00CA23D0" w:rsidRPr="007E480D" w14:paraId="6E17217B" w14:textId="77777777" w:rsidTr="00CA23D0">
        <w:trPr>
          <w:trHeight w:val="274"/>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052042D" w14:textId="77777777" w:rsidR="00CA23D0" w:rsidRPr="007E480D" w:rsidRDefault="00CA23D0" w:rsidP="00CA23D0">
            <w:pPr>
              <w:ind w:left="35"/>
              <w:rPr>
                <w:rFonts w:ascii="Arial" w:hAnsi="Arial" w:cs="Arial"/>
                <w:sz w:val="18"/>
                <w:szCs w:val="18"/>
              </w:rPr>
            </w:pPr>
            <w:r w:rsidRPr="007E480D">
              <w:rPr>
                <w:rFonts w:ascii="Arial" w:hAnsi="Arial" w:cs="Arial"/>
                <w:sz w:val="18"/>
                <w:szCs w:val="18"/>
              </w:rPr>
              <w:t>Folknáře</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577048B" w14:textId="77777777" w:rsidR="00CA23D0" w:rsidRPr="007E480D" w:rsidRDefault="00CA23D0" w:rsidP="00CA23D0">
            <w:pPr>
              <w:ind w:right="56"/>
              <w:jc w:val="right"/>
              <w:rPr>
                <w:rFonts w:ascii="Arial" w:hAnsi="Arial" w:cs="Arial"/>
                <w:sz w:val="18"/>
                <w:szCs w:val="18"/>
              </w:rPr>
            </w:pPr>
            <w:r w:rsidRPr="007E480D">
              <w:rPr>
                <w:rFonts w:ascii="Arial" w:hAnsi="Arial" w:cs="Arial"/>
                <w:sz w:val="18"/>
                <w:szCs w:val="18"/>
              </w:rPr>
              <w:t>26,1</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1F62C4D"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13197</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C0E5DB6"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92,6</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E2E03DA"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0,65</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656C266"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3,66</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96C94CE"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16,23</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5955CD5" w14:textId="77777777" w:rsidR="00CA23D0" w:rsidRPr="007E480D" w:rsidRDefault="00CA23D0" w:rsidP="00CA23D0">
            <w:pPr>
              <w:ind w:right="14"/>
              <w:jc w:val="right"/>
              <w:rPr>
                <w:rFonts w:ascii="Arial" w:hAnsi="Arial" w:cs="Arial"/>
                <w:sz w:val="18"/>
                <w:szCs w:val="18"/>
              </w:rPr>
            </w:pPr>
            <w:r w:rsidRPr="007E480D">
              <w:rPr>
                <w:rFonts w:ascii="Arial" w:hAnsi="Arial" w:cs="Arial"/>
                <w:sz w:val="18"/>
                <w:szCs w:val="18"/>
              </w:rPr>
              <w:t>79</w:t>
            </w:r>
          </w:p>
        </w:tc>
      </w:tr>
      <w:tr w:rsidR="00CA23D0" w:rsidRPr="007E480D" w14:paraId="49CAA0ED" w14:textId="77777777" w:rsidTr="00CA23D0">
        <w:trPr>
          <w:trHeight w:val="274"/>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86C5E2E" w14:textId="77777777" w:rsidR="00CA23D0" w:rsidRPr="007E480D" w:rsidRDefault="00CA23D0" w:rsidP="00CA23D0">
            <w:pPr>
              <w:ind w:left="31"/>
              <w:rPr>
                <w:rFonts w:ascii="Arial" w:hAnsi="Arial" w:cs="Arial"/>
                <w:sz w:val="18"/>
                <w:szCs w:val="18"/>
              </w:rPr>
            </w:pPr>
            <w:r w:rsidRPr="007E480D">
              <w:rPr>
                <w:rFonts w:ascii="Arial" w:hAnsi="Arial" w:cs="Arial"/>
                <w:sz w:val="18"/>
                <w:szCs w:val="18"/>
              </w:rPr>
              <w:t>Horní Oldňchov</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065ACCE"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142,87</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7A3271E" w14:textId="77777777" w:rsidR="00CA23D0" w:rsidRPr="007E480D" w:rsidRDefault="00CA23D0" w:rsidP="00CA23D0">
            <w:pPr>
              <w:ind w:right="27"/>
              <w:jc w:val="right"/>
              <w:rPr>
                <w:rFonts w:ascii="Arial" w:hAnsi="Arial" w:cs="Arial"/>
                <w:sz w:val="18"/>
                <w:szCs w:val="18"/>
              </w:rPr>
            </w:pPr>
            <w:r w:rsidRPr="007E480D">
              <w:rPr>
                <w:rFonts w:ascii="Arial" w:hAnsi="Arial" w:cs="Arial"/>
                <w:sz w:val="18"/>
                <w:szCs w:val="18"/>
              </w:rPr>
              <w:t>65,27</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92059ED"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32,83</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926C380" w14:textId="77777777" w:rsidR="00CA23D0" w:rsidRPr="007E480D" w:rsidRDefault="00CA23D0" w:rsidP="00CA23D0">
            <w:pPr>
              <w:ind w:right="56"/>
              <w:jc w:val="right"/>
              <w:rPr>
                <w:rFonts w:ascii="Arial" w:hAnsi="Arial" w:cs="Arial"/>
                <w:sz w:val="18"/>
                <w:szCs w:val="18"/>
              </w:rPr>
            </w:pPr>
            <w:r w:rsidRPr="007E480D">
              <w:rPr>
                <w:rFonts w:ascii="Arial" w:hAnsi="Arial" w:cs="Arial"/>
                <w:sz w:val="18"/>
                <w:szCs w:val="18"/>
              </w:rPr>
              <w:t>2,81</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F26B646" w14:textId="77777777" w:rsidR="00CA23D0" w:rsidRPr="007E480D" w:rsidRDefault="00CA23D0" w:rsidP="00CA23D0">
            <w:pPr>
              <w:ind w:right="27"/>
              <w:jc w:val="right"/>
              <w:rPr>
                <w:rFonts w:ascii="Arial" w:hAnsi="Arial" w:cs="Arial"/>
                <w:sz w:val="18"/>
                <w:szCs w:val="18"/>
              </w:rPr>
            </w:pPr>
            <w:r w:rsidRPr="007E480D">
              <w:rPr>
                <w:rFonts w:ascii="Arial" w:hAnsi="Arial" w:cs="Arial"/>
                <w:sz w:val="18"/>
                <w:szCs w:val="18"/>
              </w:rPr>
              <w:t>15,26</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B2BA527"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26,7</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46B7740" w14:textId="77777777" w:rsidR="00CA23D0" w:rsidRPr="007E480D" w:rsidRDefault="00CA23D0" w:rsidP="00CA23D0">
            <w:pPr>
              <w:ind w:right="53"/>
              <w:jc w:val="right"/>
              <w:rPr>
                <w:rFonts w:ascii="Arial" w:hAnsi="Arial" w:cs="Arial"/>
                <w:sz w:val="18"/>
                <w:szCs w:val="18"/>
              </w:rPr>
            </w:pPr>
            <w:r w:rsidRPr="007E480D">
              <w:rPr>
                <w:rFonts w:ascii="Arial" w:hAnsi="Arial" w:cs="Arial"/>
                <w:sz w:val="18"/>
                <w:szCs w:val="18"/>
              </w:rPr>
              <w:t>271</w:t>
            </w:r>
          </w:p>
        </w:tc>
      </w:tr>
      <w:tr w:rsidR="00CA23D0" w:rsidRPr="007E480D" w14:paraId="42910138" w14:textId="77777777" w:rsidTr="00CA23D0">
        <w:trPr>
          <w:trHeight w:val="272"/>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D8C734B" w14:textId="77777777" w:rsidR="00CA23D0" w:rsidRPr="007E480D" w:rsidRDefault="00CA23D0" w:rsidP="00CA23D0">
            <w:pPr>
              <w:ind w:left="31"/>
              <w:rPr>
                <w:rFonts w:ascii="Arial" w:hAnsi="Arial" w:cs="Arial"/>
                <w:sz w:val="18"/>
                <w:szCs w:val="18"/>
              </w:rPr>
            </w:pPr>
            <w:r w:rsidRPr="007E480D">
              <w:rPr>
                <w:rFonts w:ascii="Arial" w:hAnsi="Arial" w:cs="Arial"/>
                <w:sz w:val="18"/>
                <w:szCs w:val="18"/>
              </w:rPr>
              <w:t>Hoštice nad Labem</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030043A"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255,54</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D1EE1D7"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110</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4CAB47F" w14:textId="77777777" w:rsidR="00CA23D0" w:rsidRPr="007E480D" w:rsidRDefault="00CA23D0" w:rsidP="00CA23D0">
            <w:pPr>
              <w:ind w:right="56"/>
              <w:jc w:val="right"/>
              <w:rPr>
                <w:rFonts w:ascii="Arial" w:hAnsi="Arial" w:cs="Arial"/>
                <w:sz w:val="18"/>
                <w:szCs w:val="18"/>
              </w:rPr>
            </w:pPr>
            <w:r w:rsidRPr="007E480D">
              <w:rPr>
                <w:rFonts w:ascii="Arial" w:hAnsi="Arial" w:cs="Arial"/>
                <w:sz w:val="18"/>
                <w:szCs w:val="18"/>
              </w:rPr>
              <w:t>107,81</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F7B393D" w14:textId="77777777" w:rsidR="00CA23D0" w:rsidRPr="007E480D" w:rsidRDefault="00CA23D0" w:rsidP="00CA23D0">
            <w:pPr>
              <w:ind w:right="17"/>
              <w:jc w:val="right"/>
              <w:rPr>
                <w:rFonts w:ascii="Arial" w:hAnsi="Arial" w:cs="Arial"/>
                <w:sz w:val="18"/>
                <w:szCs w:val="18"/>
              </w:rPr>
            </w:pPr>
            <w:r w:rsidRPr="007E480D">
              <w:rPr>
                <w:rFonts w:ascii="Arial" w:hAnsi="Arial" w:cs="Arial"/>
                <w:sz w:val="18"/>
                <w:szCs w:val="18"/>
              </w:rPr>
              <w:t>o</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54FAF7B" w14:textId="77777777" w:rsidR="00CA23D0" w:rsidRPr="007E480D" w:rsidRDefault="00CA23D0" w:rsidP="00CA23D0">
            <w:pPr>
              <w:ind w:right="27"/>
              <w:jc w:val="right"/>
              <w:rPr>
                <w:rFonts w:ascii="Arial" w:hAnsi="Arial" w:cs="Arial"/>
                <w:sz w:val="18"/>
                <w:szCs w:val="18"/>
              </w:rPr>
            </w:pPr>
            <w:r w:rsidRPr="007E480D">
              <w:rPr>
                <w:rFonts w:ascii="Arial" w:hAnsi="Arial" w:cs="Arial"/>
                <w:sz w:val="18"/>
                <w:szCs w:val="18"/>
              </w:rPr>
              <w:t>2,69</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D0BBEBF" w14:textId="77777777" w:rsidR="00CA23D0" w:rsidRPr="007E480D" w:rsidRDefault="00CA23D0" w:rsidP="00CA23D0">
            <w:pPr>
              <w:ind w:left="607"/>
              <w:jc w:val="right"/>
              <w:rPr>
                <w:rFonts w:ascii="Arial" w:hAnsi="Arial" w:cs="Arial"/>
                <w:sz w:val="18"/>
                <w:szCs w:val="18"/>
              </w:rPr>
            </w:pPr>
            <w:r w:rsidRPr="007E480D">
              <w:rPr>
                <w:rFonts w:ascii="Arial" w:hAnsi="Arial" w:cs="Arial"/>
                <w:sz w:val="18"/>
                <w:szCs w:val="18"/>
              </w:rPr>
              <w:t>35,</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6A1A703" w14:textId="77777777" w:rsidR="00CA23D0" w:rsidRPr="007E480D" w:rsidRDefault="00CA23D0" w:rsidP="00CA23D0">
            <w:pPr>
              <w:ind w:right="19"/>
              <w:jc w:val="right"/>
              <w:rPr>
                <w:rFonts w:ascii="Arial" w:hAnsi="Arial" w:cs="Arial"/>
                <w:sz w:val="18"/>
                <w:szCs w:val="18"/>
              </w:rPr>
            </w:pPr>
            <w:r w:rsidRPr="007E480D">
              <w:rPr>
                <w:rFonts w:ascii="Arial" w:hAnsi="Arial" w:cs="Arial"/>
                <w:sz w:val="18"/>
                <w:szCs w:val="18"/>
              </w:rPr>
              <w:t>13</w:t>
            </w:r>
          </w:p>
        </w:tc>
      </w:tr>
      <w:tr w:rsidR="00CA23D0" w:rsidRPr="007E480D" w14:paraId="1B7B6A24" w14:textId="77777777" w:rsidTr="00CA23D0">
        <w:trPr>
          <w:trHeight w:val="275"/>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FE8A719" w14:textId="77777777" w:rsidR="00CA23D0" w:rsidRPr="007E480D" w:rsidRDefault="00CA23D0" w:rsidP="00CA23D0">
            <w:pPr>
              <w:ind w:left="26"/>
              <w:rPr>
                <w:rFonts w:ascii="Arial" w:hAnsi="Arial" w:cs="Arial"/>
                <w:sz w:val="18"/>
                <w:szCs w:val="18"/>
              </w:rPr>
            </w:pPr>
            <w:r w:rsidRPr="007E480D">
              <w:rPr>
                <w:rFonts w:ascii="Arial" w:hAnsi="Arial" w:cs="Arial"/>
                <w:sz w:val="18"/>
                <w:szCs w:val="18"/>
              </w:rPr>
              <w:t>Chlum u Děčína</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B5F372F" w14:textId="77777777" w:rsidR="00CA23D0" w:rsidRPr="007E480D" w:rsidRDefault="00CA23D0" w:rsidP="00CA23D0">
            <w:pPr>
              <w:ind w:right="27"/>
              <w:jc w:val="right"/>
              <w:rPr>
                <w:rFonts w:ascii="Arial" w:hAnsi="Arial" w:cs="Arial"/>
                <w:sz w:val="18"/>
                <w:szCs w:val="18"/>
              </w:rPr>
            </w:pPr>
            <w:r w:rsidRPr="007E480D">
              <w:rPr>
                <w:rFonts w:ascii="Arial" w:hAnsi="Arial" w:cs="Arial"/>
                <w:sz w:val="18"/>
                <w:szCs w:val="18"/>
              </w:rPr>
              <w:t>30,75</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ED4DC63"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197,86</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717CBC2" w14:textId="77777777" w:rsidR="00CA23D0" w:rsidRPr="007E480D" w:rsidRDefault="00CA23D0" w:rsidP="00CA23D0">
            <w:pPr>
              <w:ind w:right="27"/>
              <w:jc w:val="right"/>
              <w:rPr>
                <w:rFonts w:ascii="Arial" w:hAnsi="Arial" w:cs="Arial"/>
                <w:sz w:val="18"/>
                <w:szCs w:val="18"/>
              </w:rPr>
            </w:pPr>
            <w:r w:rsidRPr="007E480D">
              <w:rPr>
                <w:rFonts w:ascii="Arial" w:hAnsi="Arial" w:cs="Arial"/>
                <w:sz w:val="18"/>
                <w:szCs w:val="18"/>
              </w:rPr>
              <w:t>125,6</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6F0ACD0"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0,35</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A229184"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3,16</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B35226F" w14:textId="77777777" w:rsidR="00CA23D0" w:rsidRPr="007E480D" w:rsidRDefault="00CA23D0" w:rsidP="00CA23D0">
            <w:pPr>
              <w:ind w:right="32"/>
              <w:jc w:val="right"/>
              <w:rPr>
                <w:rFonts w:ascii="Arial" w:hAnsi="Arial" w:cs="Arial"/>
                <w:sz w:val="18"/>
                <w:szCs w:val="18"/>
              </w:rPr>
            </w:pPr>
            <w:r w:rsidRPr="007E480D">
              <w:rPr>
                <w:rFonts w:ascii="Arial" w:hAnsi="Arial" w:cs="Arial"/>
                <w:sz w:val="18"/>
                <w:szCs w:val="18"/>
              </w:rPr>
              <w:t>16,78</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076DFFA" w14:textId="77777777" w:rsidR="00CA23D0" w:rsidRPr="007E480D" w:rsidRDefault="00CA23D0" w:rsidP="00CA23D0">
            <w:pPr>
              <w:ind w:right="24"/>
              <w:jc w:val="right"/>
              <w:rPr>
                <w:rFonts w:ascii="Arial" w:hAnsi="Arial" w:cs="Arial"/>
                <w:sz w:val="18"/>
                <w:szCs w:val="18"/>
              </w:rPr>
            </w:pPr>
            <w:r w:rsidRPr="007E480D">
              <w:rPr>
                <w:rFonts w:ascii="Arial" w:hAnsi="Arial" w:cs="Arial"/>
                <w:sz w:val="18"/>
                <w:szCs w:val="18"/>
              </w:rPr>
              <w:t>33</w:t>
            </w:r>
          </w:p>
        </w:tc>
      </w:tr>
      <w:tr w:rsidR="00CA23D0" w:rsidRPr="007E480D" w14:paraId="68F60A9E" w14:textId="77777777" w:rsidTr="00CA23D0">
        <w:trPr>
          <w:trHeight w:val="278"/>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8A3A557" w14:textId="77777777" w:rsidR="00CA23D0" w:rsidRPr="007E480D" w:rsidRDefault="00CA23D0" w:rsidP="00CA23D0">
            <w:pPr>
              <w:ind w:left="21"/>
              <w:rPr>
                <w:rFonts w:ascii="Arial" w:hAnsi="Arial" w:cs="Arial"/>
                <w:sz w:val="18"/>
                <w:szCs w:val="18"/>
              </w:rPr>
            </w:pPr>
            <w:r w:rsidRPr="007E480D">
              <w:rPr>
                <w:rFonts w:ascii="Arial" w:hAnsi="Arial" w:cs="Arial"/>
                <w:sz w:val="18"/>
                <w:szCs w:val="18"/>
              </w:rPr>
              <w:t>Chrochvice</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90AF8A2" w14:textId="77777777" w:rsidR="00CA23D0" w:rsidRPr="007E480D" w:rsidRDefault="00CA23D0" w:rsidP="00CA23D0">
            <w:pPr>
              <w:ind w:right="22"/>
              <w:jc w:val="right"/>
              <w:rPr>
                <w:rFonts w:ascii="Arial" w:hAnsi="Arial" w:cs="Arial"/>
                <w:sz w:val="18"/>
                <w:szCs w:val="18"/>
              </w:rPr>
            </w:pPr>
            <w:r w:rsidRPr="007E480D">
              <w:rPr>
                <w:rFonts w:ascii="Arial" w:hAnsi="Arial" w:cs="Arial"/>
                <w:sz w:val="18"/>
                <w:szCs w:val="18"/>
              </w:rPr>
              <w:t>146,36</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4F14C9F"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75,22</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8154D93"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39,58</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44DC3C4" w14:textId="77777777" w:rsidR="00CA23D0" w:rsidRPr="007E480D" w:rsidRDefault="00CA23D0" w:rsidP="00CA23D0">
            <w:pPr>
              <w:ind w:right="27"/>
              <w:jc w:val="right"/>
              <w:rPr>
                <w:rFonts w:ascii="Arial" w:hAnsi="Arial" w:cs="Arial"/>
                <w:sz w:val="18"/>
                <w:szCs w:val="18"/>
              </w:rPr>
            </w:pPr>
            <w:r w:rsidRPr="007E480D">
              <w:rPr>
                <w:rFonts w:ascii="Arial" w:hAnsi="Arial" w:cs="Arial"/>
                <w:sz w:val="18"/>
                <w:szCs w:val="18"/>
              </w:rPr>
              <w:t>3,57</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65BF4FE"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8,9</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0D2965C" w14:textId="77777777" w:rsidR="00CA23D0" w:rsidRPr="007E480D" w:rsidRDefault="00CA23D0" w:rsidP="00CA23D0">
            <w:pPr>
              <w:ind w:right="56"/>
              <w:jc w:val="right"/>
              <w:rPr>
                <w:rFonts w:ascii="Arial" w:hAnsi="Arial" w:cs="Arial"/>
                <w:sz w:val="18"/>
                <w:szCs w:val="18"/>
              </w:rPr>
            </w:pPr>
            <w:r w:rsidRPr="007E480D">
              <w:rPr>
                <w:rFonts w:ascii="Arial" w:hAnsi="Arial" w:cs="Arial"/>
                <w:sz w:val="18"/>
                <w:szCs w:val="18"/>
              </w:rPr>
              <w:t>19,1</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9DEF1FC"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288</w:t>
            </w:r>
          </w:p>
        </w:tc>
      </w:tr>
      <w:tr w:rsidR="00CA23D0" w:rsidRPr="007E480D" w14:paraId="1E5FC7B0" w14:textId="77777777" w:rsidTr="00CA23D0">
        <w:trPr>
          <w:trHeight w:val="274"/>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2022BF9" w14:textId="77777777" w:rsidR="00CA23D0" w:rsidRPr="007E480D" w:rsidRDefault="00CA23D0" w:rsidP="00CA23D0">
            <w:pPr>
              <w:ind w:left="21"/>
              <w:rPr>
                <w:rFonts w:ascii="Arial" w:hAnsi="Arial" w:cs="Arial"/>
                <w:sz w:val="18"/>
                <w:szCs w:val="18"/>
              </w:rPr>
            </w:pPr>
            <w:r w:rsidRPr="007E480D">
              <w:rPr>
                <w:rFonts w:ascii="Arial" w:hAnsi="Arial" w:cs="Arial"/>
                <w:sz w:val="18"/>
                <w:szCs w:val="18"/>
              </w:rPr>
              <w:t>Krásný Studenec</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85DC612"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59198</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0849FD7" w14:textId="77777777" w:rsidR="00CA23D0" w:rsidRPr="007E480D" w:rsidRDefault="00CA23D0" w:rsidP="00CA23D0">
            <w:pPr>
              <w:ind w:left="172"/>
              <w:jc w:val="right"/>
              <w:rPr>
                <w:rFonts w:ascii="Arial" w:hAnsi="Arial" w:cs="Arial"/>
                <w:sz w:val="18"/>
                <w:szCs w:val="18"/>
              </w:rPr>
            </w:pPr>
            <w:r w:rsidRPr="007E480D">
              <w:rPr>
                <w:rFonts w:ascii="Arial" w:hAnsi="Arial" w:cs="Arial"/>
                <w:sz w:val="18"/>
                <w:szCs w:val="18"/>
              </w:rPr>
              <w:t>331</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AF4EC40"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224,2</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1181185" w14:textId="77777777" w:rsidR="00CA23D0" w:rsidRPr="007E480D" w:rsidRDefault="00CA23D0" w:rsidP="00CA23D0">
            <w:pPr>
              <w:ind w:right="27"/>
              <w:jc w:val="right"/>
              <w:rPr>
                <w:rFonts w:ascii="Arial" w:hAnsi="Arial" w:cs="Arial"/>
                <w:sz w:val="18"/>
                <w:szCs w:val="18"/>
              </w:rPr>
            </w:pPr>
            <w:r w:rsidRPr="007E480D">
              <w:rPr>
                <w:rFonts w:ascii="Arial" w:hAnsi="Arial" w:cs="Arial"/>
                <w:sz w:val="18"/>
                <w:szCs w:val="18"/>
              </w:rPr>
              <w:t>1,79</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364CC9E"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5,93</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D0AB72B" w14:textId="77777777" w:rsidR="00CA23D0" w:rsidRPr="007E480D" w:rsidRDefault="00CA23D0" w:rsidP="00CA23D0">
            <w:pPr>
              <w:ind w:right="61"/>
              <w:jc w:val="right"/>
              <w:rPr>
                <w:rFonts w:ascii="Arial" w:hAnsi="Arial" w:cs="Arial"/>
                <w:sz w:val="18"/>
                <w:szCs w:val="18"/>
              </w:rPr>
            </w:pPr>
            <w:r w:rsidRPr="007E480D">
              <w:rPr>
                <w:rFonts w:ascii="Arial" w:hAnsi="Arial" w:cs="Arial"/>
                <w:sz w:val="18"/>
                <w:szCs w:val="18"/>
              </w:rPr>
              <w:t>28,1</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F21CA6F"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129</w:t>
            </w:r>
          </w:p>
        </w:tc>
      </w:tr>
      <w:tr w:rsidR="00CA23D0" w:rsidRPr="007E480D" w14:paraId="6E91208F" w14:textId="77777777" w:rsidTr="00CA23D0">
        <w:trPr>
          <w:trHeight w:val="278"/>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B7C69BA" w14:textId="77777777" w:rsidR="00CA23D0" w:rsidRPr="007E480D" w:rsidRDefault="00CA23D0" w:rsidP="00CA23D0">
            <w:pPr>
              <w:ind w:left="21"/>
              <w:rPr>
                <w:rFonts w:ascii="Arial" w:hAnsi="Arial" w:cs="Arial"/>
                <w:sz w:val="18"/>
                <w:szCs w:val="18"/>
              </w:rPr>
            </w:pPr>
            <w:r w:rsidRPr="007E480D">
              <w:rPr>
                <w:rFonts w:ascii="Arial" w:hAnsi="Arial" w:cs="Arial"/>
                <w:sz w:val="18"/>
                <w:szCs w:val="18"/>
              </w:rPr>
              <w:t>Křešice u Děčína</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EF0E6A7" w14:textId="77777777" w:rsidR="00CA23D0" w:rsidRPr="007E480D" w:rsidRDefault="00CA23D0" w:rsidP="00CA23D0">
            <w:pPr>
              <w:ind w:right="65"/>
              <w:jc w:val="right"/>
              <w:rPr>
                <w:rFonts w:ascii="Arial" w:hAnsi="Arial" w:cs="Arial"/>
                <w:sz w:val="18"/>
                <w:szCs w:val="18"/>
              </w:rPr>
            </w:pPr>
            <w:r w:rsidRPr="007E480D">
              <w:rPr>
                <w:rFonts w:ascii="Arial" w:hAnsi="Arial" w:cs="Arial"/>
                <w:sz w:val="18"/>
                <w:szCs w:val="18"/>
              </w:rPr>
              <w:t>391,11</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ACD6598" w14:textId="77777777" w:rsidR="00CA23D0" w:rsidRPr="007E480D" w:rsidRDefault="00CA23D0" w:rsidP="00CA23D0">
            <w:pPr>
              <w:ind w:right="32"/>
              <w:jc w:val="right"/>
              <w:rPr>
                <w:rFonts w:ascii="Arial" w:hAnsi="Arial" w:cs="Arial"/>
                <w:sz w:val="18"/>
                <w:szCs w:val="18"/>
              </w:rPr>
            </w:pPr>
            <w:r w:rsidRPr="007E480D">
              <w:rPr>
                <w:rFonts w:ascii="Arial" w:hAnsi="Arial" w:cs="Arial"/>
                <w:sz w:val="18"/>
                <w:szCs w:val="18"/>
              </w:rPr>
              <w:t>196,72</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4BF324B" w14:textId="77777777" w:rsidR="00CA23D0" w:rsidRPr="007E480D" w:rsidRDefault="00CA23D0" w:rsidP="00CA23D0">
            <w:pPr>
              <w:ind w:right="32"/>
              <w:jc w:val="right"/>
              <w:rPr>
                <w:rFonts w:ascii="Arial" w:hAnsi="Arial" w:cs="Arial"/>
                <w:sz w:val="18"/>
                <w:szCs w:val="18"/>
              </w:rPr>
            </w:pPr>
            <w:r w:rsidRPr="007E480D">
              <w:rPr>
                <w:rFonts w:ascii="Arial" w:hAnsi="Arial" w:cs="Arial"/>
                <w:sz w:val="18"/>
                <w:szCs w:val="18"/>
              </w:rPr>
              <w:t>117,9</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5F911F5" w14:textId="77777777" w:rsidR="00CA23D0" w:rsidRPr="007E480D" w:rsidRDefault="00CA23D0" w:rsidP="00CA23D0">
            <w:pPr>
              <w:ind w:right="61"/>
              <w:jc w:val="right"/>
              <w:rPr>
                <w:rFonts w:ascii="Arial" w:hAnsi="Arial" w:cs="Arial"/>
                <w:sz w:val="18"/>
                <w:szCs w:val="18"/>
              </w:rPr>
            </w:pPr>
            <w:r w:rsidRPr="007E480D">
              <w:rPr>
                <w:rFonts w:ascii="Arial" w:hAnsi="Arial" w:cs="Arial"/>
                <w:sz w:val="18"/>
                <w:szCs w:val="18"/>
              </w:rPr>
              <w:t>16,51</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F32AC03"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10,85</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5FDB7EC" w14:textId="77777777" w:rsidR="00CA23D0" w:rsidRPr="007E480D" w:rsidRDefault="00CA23D0" w:rsidP="00CA23D0">
            <w:pPr>
              <w:ind w:right="32"/>
              <w:jc w:val="right"/>
              <w:rPr>
                <w:rFonts w:ascii="Arial" w:hAnsi="Arial" w:cs="Arial"/>
                <w:sz w:val="18"/>
                <w:szCs w:val="18"/>
              </w:rPr>
            </w:pPr>
            <w:r w:rsidRPr="007E480D">
              <w:rPr>
                <w:rFonts w:ascii="Arial" w:hAnsi="Arial" w:cs="Arial"/>
                <w:sz w:val="18"/>
                <w:szCs w:val="18"/>
              </w:rPr>
              <w:t>49,13</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185A17E"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206</w:t>
            </w:r>
          </w:p>
        </w:tc>
      </w:tr>
      <w:tr w:rsidR="00CA23D0" w:rsidRPr="007E480D" w14:paraId="00DDE38C" w14:textId="77777777" w:rsidTr="00CA23D0">
        <w:trPr>
          <w:trHeight w:val="269"/>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09AFA38" w14:textId="77777777" w:rsidR="00CA23D0" w:rsidRPr="007E480D" w:rsidRDefault="00CA23D0" w:rsidP="00CA23D0">
            <w:pPr>
              <w:ind w:left="16"/>
              <w:rPr>
                <w:rFonts w:ascii="Arial" w:hAnsi="Arial" w:cs="Arial"/>
                <w:sz w:val="18"/>
                <w:szCs w:val="18"/>
              </w:rPr>
            </w:pPr>
            <w:r w:rsidRPr="007E480D">
              <w:rPr>
                <w:rFonts w:ascii="Arial" w:hAnsi="Arial" w:cs="Arial"/>
                <w:sz w:val="18"/>
                <w:szCs w:val="18"/>
              </w:rPr>
              <w:t>Lesná u Děčína</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47E2250" w14:textId="77777777" w:rsidR="00CA23D0" w:rsidRPr="007E480D" w:rsidRDefault="00CA23D0" w:rsidP="00CA23D0">
            <w:pPr>
              <w:ind w:right="65"/>
              <w:jc w:val="right"/>
              <w:rPr>
                <w:rFonts w:ascii="Arial" w:hAnsi="Arial" w:cs="Arial"/>
                <w:sz w:val="18"/>
                <w:szCs w:val="18"/>
              </w:rPr>
            </w:pPr>
            <w:r w:rsidRPr="007E480D">
              <w:rPr>
                <w:rFonts w:ascii="Arial" w:hAnsi="Arial" w:cs="Arial"/>
                <w:sz w:val="18"/>
                <w:szCs w:val="18"/>
              </w:rPr>
              <w:t>346,11</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5F74D73" w14:textId="77777777" w:rsidR="00CA23D0" w:rsidRPr="007E480D" w:rsidRDefault="00CA23D0" w:rsidP="00CA23D0">
            <w:pPr>
              <w:ind w:right="32"/>
              <w:jc w:val="right"/>
              <w:rPr>
                <w:rFonts w:ascii="Arial" w:hAnsi="Arial" w:cs="Arial"/>
                <w:sz w:val="18"/>
                <w:szCs w:val="18"/>
              </w:rPr>
            </w:pPr>
            <w:r w:rsidRPr="007E480D">
              <w:rPr>
                <w:rFonts w:ascii="Arial" w:hAnsi="Arial" w:cs="Arial"/>
                <w:sz w:val="18"/>
                <w:szCs w:val="18"/>
              </w:rPr>
              <w:t>21692</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B630E52" w14:textId="77777777" w:rsidR="00CA23D0" w:rsidRPr="007E480D" w:rsidRDefault="00CA23D0" w:rsidP="00CA23D0">
            <w:pPr>
              <w:ind w:right="32"/>
              <w:jc w:val="right"/>
              <w:rPr>
                <w:rFonts w:ascii="Arial" w:hAnsi="Arial" w:cs="Arial"/>
                <w:sz w:val="18"/>
                <w:szCs w:val="18"/>
              </w:rPr>
            </w:pPr>
            <w:r w:rsidRPr="007E480D">
              <w:rPr>
                <w:rFonts w:ascii="Arial" w:hAnsi="Arial" w:cs="Arial"/>
                <w:sz w:val="18"/>
                <w:szCs w:val="18"/>
              </w:rPr>
              <w:t>93,97</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2291596" w14:textId="77777777" w:rsidR="00CA23D0" w:rsidRPr="007E480D" w:rsidRDefault="00CA23D0" w:rsidP="00CA23D0">
            <w:pPr>
              <w:ind w:right="32"/>
              <w:jc w:val="right"/>
              <w:rPr>
                <w:rFonts w:ascii="Arial" w:hAnsi="Arial" w:cs="Arial"/>
                <w:sz w:val="18"/>
                <w:szCs w:val="18"/>
              </w:rPr>
            </w:pPr>
            <w:r w:rsidRPr="007E480D">
              <w:rPr>
                <w:rFonts w:ascii="Arial" w:hAnsi="Arial" w:cs="Arial"/>
                <w:sz w:val="18"/>
                <w:szCs w:val="18"/>
              </w:rPr>
              <w:t>0,95</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D2E055E" w14:textId="77777777" w:rsidR="00CA23D0" w:rsidRPr="007E480D" w:rsidRDefault="00CA23D0" w:rsidP="00CA23D0">
            <w:pPr>
              <w:ind w:right="32"/>
              <w:jc w:val="right"/>
              <w:rPr>
                <w:rFonts w:ascii="Arial" w:hAnsi="Arial" w:cs="Arial"/>
                <w:sz w:val="18"/>
                <w:szCs w:val="18"/>
              </w:rPr>
            </w:pPr>
            <w:r w:rsidRPr="007E480D">
              <w:rPr>
                <w:rFonts w:ascii="Arial" w:hAnsi="Arial" w:cs="Arial"/>
                <w:sz w:val="18"/>
                <w:szCs w:val="18"/>
              </w:rPr>
              <w:t>3,65</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990B3F3" w14:textId="77777777" w:rsidR="00CA23D0" w:rsidRPr="007E480D" w:rsidRDefault="00CA23D0" w:rsidP="00CA23D0">
            <w:pPr>
              <w:ind w:right="27"/>
              <w:jc w:val="right"/>
              <w:rPr>
                <w:rFonts w:ascii="Arial" w:hAnsi="Arial" w:cs="Arial"/>
                <w:sz w:val="18"/>
                <w:szCs w:val="18"/>
              </w:rPr>
            </w:pPr>
            <w:r w:rsidRPr="007E480D">
              <w:rPr>
                <w:rFonts w:ascii="Arial" w:hAnsi="Arial" w:cs="Arial"/>
                <w:sz w:val="18"/>
                <w:szCs w:val="18"/>
              </w:rPr>
              <w:t>30Ľ</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F545216" w14:textId="77777777" w:rsidR="00CA23D0" w:rsidRPr="007E480D" w:rsidRDefault="00CA23D0" w:rsidP="00CA23D0">
            <w:pPr>
              <w:ind w:right="34"/>
              <w:jc w:val="right"/>
              <w:rPr>
                <w:rFonts w:ascii="Arial" w:hAnsi="Arial" w:cs="Arial"/>
                <w:sz w:val="18"/>
                <w:szCs w:val="18"/>
              </w:rPr>
            </w:pPr>
            <w:r w:rsidRPr="007E480D">
              <w:rPr>
                <w:rFonts w:ascii="Arial" w:hAnsi="Arial" w:cs="Arial"/>
                <w:sz w:val="18"/>
                <w:szCs w:val="18"/>
              </w:rPr>
              <w:t>58</w:t>
            </w:r>
          </w:p>
        </w:tc>
      </w:tr>
      <w:tr w:rsidR="00CA23D0" w:rsidRPr="007E480D" w14:paraId="1261C159" w14:textId="77777777" w:rsidTr="00CA23D0">
        <w:trPr>
          <w:trHeight w:val="277"/>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B6F2542" w14:textId="77777777" w:rsidR="00CA23D0" w:rsidRPr="007E480D" w:rsidRDefault="00CA23D0" w:rsidP="00CA23D0">
            <w:pPr>
              <w:ind w:left="21"/>
              <w:rPr>
                <w:rFonts w:ascii="Arial" w:hAnsi="Arial" w:cs="Arial"/>
                <w:sz w:val="18"/>
                <w:szCs w:val="18"/>
              </w:rPr>
            </w:pPr>
            <w:r w:rsidRPr="007E480D">
              <w:rPr>
                <w:rFonts w:ascii="Arial" w:hAnsi="Arial" w:cs="Arial"/>
                <w:sz w:val="18"/>
                <w:szCs w:val="18"/>
              </w:rPr>
              <w:t>Loubí u Děčína</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1F5460B" w14:textId="77777777" w:rsidR="00CA23D0" w:rsidRPr="007E480D" w:rsidRDefault="00CA23D0" w:rsidP="00CA23D0">
            <w:pPr>
              <w:ind w:right="41"/>
              <w:jc w:val="right"/>
              <w:rPr>
                <w:rFonts w:ascii="Arial" w:hAnsi="Arial" w:cs="Arial"/>
                <w:sz w:val="18"/>
                <w:szCs w:val="18"/>
              </w:rPr>
            </w:pPr>
            <w:r w:rsidRPr="007E480D">
              <w:rPr>
                <w:rFonts w:ascii="Arial" w:hAnsi="Arial" w:cs="Arial"/>
                <w:sz w:val="18"/>
                <w:szCs w:val="18"/>
              </w:rPr>
              <w:t>47,35</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98CFCF8"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15.34</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0D1A24A"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8,89</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54BD5D0"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0,85</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95659BE"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1,65</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0BD84F2"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20,62</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1A2173A" w14:textId="77777777" w:rsidR="00CA23D0" w:rsidRPr="007E480D" w:rsidRDefault="00CA23D0" w:rsidP="00CA23D0">
            <w:pPr>
              <w:ind w:right="29"/>
              <w:jc w:val="right"/>
              <w:rPr>
                <w:rFonts w:ascii="Arial" w:hAnsi="Arial" w:cs="Arial"/>
                <w:sz w:val="18"/>
                <w:szCs w:val="18"/>
              </w:rPr>
            </w:pPr>
            <w:r w:rsidRPr="007E480D">
              <w:rPr>
                <w:rFonts w:ascii="Arial" w:hAnsi="Arial" w:cs="Arial"/>
                <w:sz w:val="18"/>
                <w:szCs w:val="18"/>
              </w:rPr>
              <w:t>37</w:t>
            </w:r>
          </w:p>
        </w:tc>
      </w:tr>
      <w:tr w:rsidR="00CA23D0" w:rsidRPr="007E480D" w14:paraId="24CBD351" w14:textId="77777777" w:rsidTr="00CA23D0">
        <w:trPr>
          <w:trHeight w:val="275"/>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B432C6D" w14:textId="77777777" w:rsidR="00CA23D0" w:rsidRPr="007E480D" w:rsidRDefault="00CA23D0" w:rsidP="00CA23D0">
            <w:pPr>
              <w:ind w:left="11"/>
              <w:rPr>
                <w:rFonts w:ascii="Arial" w:hAnsi="Arial" w:cs="Arial"/>
                <w:sz w:val="18"/>
                <w:szCs w:val="18"/>
              </w:rPr>
            </w:pPr>
            <w:r w:rsidRPr="007E480D">
              <w:rPr>
                <w:rFonts w:ascii="Arial" w:hAnsi="Arial" w:cs="Arial"/>
                <w:sz w:val="18"/>
                <w:szCs w:val="18"/>
              </w:rPr>
              <w:t>Maxičky</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B0C3B2B" w14:textId="77777777" w:rsidR="00CA23D0" w:rsidRPr="007E480D" w:rsidRDefault="00CA23D0" w:rsidP="00CA23D0">
            <w:pPr>
              <w:ind w:right="46"/>
              <w:jc w:val="right"/>
              <w:rPr>
                <w:rFonts w:ascii="Arial" w:hAnsi="Arial" w:cs="Arial"/>
                <w:sz w:val="18"/>
                <w:szCs w:val="18"/>
              </w:rPr>
            </w:pPr>
            <w:r w:rsidRPr="007E480D">
              <w:rPr>
                <w:rFonts w:ascii="Arial" w:hAnsi="Arial" w:cs="Arial"/>
                <w:sz w:val="18"/>
                <w:szCs w:val="18"/>
              </w:rPr>
              <w:t>1 854,12</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F46DE33" w14:textId="77777777" w:rsidR="00CA23D0" w:rsidRPr="007E480D" w:rsidRDefault="00CA23D0" w:rsidP="00CA23D0">
            <w:pPr>
              <w:ind w:right="41"/>
              <w:jc w:val="right"/>
              <w:rPr>
                <w:rFonts w:ascii="Arial" w:hAnsi="Arial" w:cs="Arial"/>
                <w:sz w:val="18"/>
                <w:szCs w:val="18"/>
              </w:rPr>
            </w:pPr>
            <w:r w:rsidRPr="007E480D">
              <w:rPr>
                <w:rFonts w:ascii="Arial" w:hAnsi="Arial" w:cs="Arial"/>
                <w:sz w:val="18"/>
                <w:szCs w:val="18"/>
              </w:rPr>
              <w:t>20,23</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CC734D9"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1 790,12</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1435F5F" w14:textId="77777777" w:rsidR="00CA23D0" w:rsidRPr="007E480D" w:rsidRDefault="00CA23D0" w:rsidP="00CA23D0">
            <w:pPr>
              <w:ind w:right="70"/>
              <w:jc w:val="right"/>
              <w:rPr>
                <w:rFonts w:ascii="Arial" w:hAnsi="Arial" w:cs="Arial"/>
                <w:sz w:val="18"/>
                <w:szCs w:val="18"/>
              </w:rPr>
            </w:pPr>
            <w:r w:rsidRPr="007E480D">
              <w:rPr>
                <w:rFonts w:ascii="Arial" w:hAnsi="Arial" w:cs="Arial"/>
                <w:sz w:val="18"/>
                <w:szCs w:val="18"/>
              </w:rPr>
              <w:t>3,1</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0AE80C7" w14:textId="77777777" w:rsidR="00CA23D0" w:rsidRPr="007E480D" w:rsidRDefault="00CA23D0" w:rsidP="00CA23D0">
            <w:pPr>
              <w:ind w:right="32"/>
              <w:jc w:val="right"/>
              <w:rPr>
                <w:rFonts w:ascii="Arial" w:hAnsi="Arial" w:cs="Arial"/>
                <w:sz w:val="18"/>
                <w:szCs w:val="18"/>
              </w:rPr>
            </w:pPr>
            <w:r w:rsidRPr="007E480D">
              <w:rPr>
                <w:rFonts w:ascii="Arial" w:hAnsi="Arial" w:cs="Arial"/>
                <w:sz w:val="18"/>
                <w:szCs w:val="18"/>
              </w:rPr>
              <w:t>3,17</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18F0DC9" w14:textId="77777777" w:rsidR="00CA23D0" w:rsidRPr="007E480D" w:rsidRDefault="00CA23D0" w:rsidP="00CA23D0">
            <w:pPr>
              <w:ind w:right="41"/>
              <w:jc w:val="right"/>
              <w:rPr>
                <w:rFonts w:ascii="Arial" w:hAnsi="Arial" w:cs="Arial"/>
                <w:sz w:val="18"/>
                <w:szCs w:val="18"/>
              </w:rPr>
            </w:pPr>
            <w:r w:rsidRPr="007E480D">
              <w:rPr>
                <w:rFonts w:ascii="Arial" w:hAnsi="Arial" w:cs="Arial"/>
                <w:sz w:val="18"/>
                <w:szCs w:val="18"/>
              </w:rPr>
              <w:t>37,5</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810BA67" w14:textId="77777777" w:rsidR="00CA23D0" w:rsidRPr="007E480D" w:rsidRDefault="00CA23D0" w:rsidP="00CA23D0">
            <w:pPr>
              <w:ind w:right="34"/>
              <w:jc w:val="right"/>
              <w:rPr>
                <w:rFonts w:ascii="Arial" w:hAnsi="Arial" w:cs="Arial"/>
                <w:sz w:val="18"/>
                <w:szCs w:val="18"/>
              </w:rPr>
            </w:pPr>
            <w:r w:rsidRPr="007E480D">
              <w:rPr>
                <w:rFonts w:ascii="Arial" w:hAnsi="Arial" w:cs="Arial"/>
                <w:sz w:val="18"/>
                <w:szCs w:val="18"/>
              </w:rPr>
              <w:t>35</w:t>
            </w:r>
          </w:p>
        </w:tc>
      </w:tr>
      <w:tr w:rsidR="00CA23D0" w:rsidRPr="007E480D" w14:paraId="653DD936" w14:textId="77777777" w:rsidTr="00CA23D0">
        <w:trPr>
          <w:trHeight w:val="269"/>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A76925C" w14:textId="77777777" w:rsidR="00CA23D0" w:rsidRPr="007E480D" w:rsidRDefault="00CA23D0" w:rsidP="00CA23D0">
            <w:pPr>
              <w:ind w:left="16"/>
              <w:rPr>
                <w:rFonts w:ascii="Arial" w:hAnsi="Arial" w:cs="Arial"/>
                <w:sz w:val="18"/>
                <w:szCs w:val="18"/>
              </w:rPr>
            </w:pPr>
            <w:r w:rsidRPr="007E480D">
              <w:rPr>
                <w:rFonts w:ascii="Arial" w:hAnsi="Arial" w:cs="Arial"/>
                <w:sz w:val="18"/>
                <w:szCs w:val="18"/>
              </w:rPr>
              <w:t>Nebočady</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1D99548"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276,45</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340DE65"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134,6</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AA0B09E"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68,62</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1A474C3" w14:textId="77777777" w:rsidR="00CA23D0" w:rsidRPr="007E480D" w:rsidRDefault="00CA23D0" w:rsidP="00CA23D0">
            <w:pPr>
              <w:ind w:right="32"/>
              <w:jc w:val="right"/>
              <w:rPr>
                <w:rFonts w:ascii="Arial" w:hAnsi="Arial" w:cs="Arial"/>
                <w:sz w:val="18"/>
                <w:szCs w:val="18"/>
              </w:rPr>
            </w:pPr>
            <w:r w:rsidRPr="007E480D">
              <w:rPr>
                <w:rFonts w:ascii="Arial" w:hAnsi="Arial" w:cs="Arial"/>
                <w:sz w:val="18"/>
                <w:szCs w:val="18"/>
              </w:rPr>
              <w:t>25,75</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D205519"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5,53</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C6D8E73"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42,09</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1FEC0F9" w14:textId="77777777" w:rsidR="00CA23D0" w:rsidRPr="007E480D" w:rsidRDefault="00CA23D0" w:rsidP="00CA23D0">
            <w:pPr>
              <w:ind w:right="34"/>
              <w:jc w:val="right"/>
              <w:rPr>
                <w:rFonts w:ascii="Arial" w:hAnsi="Arial" w:cs="Arial"/>
                <w:sz w:val="18"/>
                <w:szCs w:val="18"/>
              </w:rPr>
            </w:pPr>
            <w:r w:rsidRPr="007E480D">
              <w:rPr>
                <w:rFonts w:ascii="Arial" w:hAnsi="Arial" w:cs="Arial"/>
                <w:sz w:val="18"/>
                <w:szCs w:val="18"/>
              </w:rPr>
              <w:t>106</w:t>
            </w:r>
          </w:p>
        </w:tc>
      </w:tr>
      <w:tr w:rsidR="00CA23D0" w:rsidRPr="007E480D" w14:paraId="2D9996C3" w14:textId="77777777" w:rsidTr="00CA23D0">
        <w:trPr>
          <w:trHeight w:val="274"/>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0C2D4C5" w14:textId="77777777" w:rsidR="00CA23D0" w:rsidRPr="007E480D" w:rsidRDefault="00CA23D0" w:rsidP="00CA23D0">
            <w:pPr>
              <w:ind w:left="11"/>
              <w:rPr>
                <w:rFonts w:ascii="Arial" w:hAnsi="Arial" w:cs="Arial"/>
                <w:sz w:val="18"/>
                <w:szCs w:val="18"/>
              </w:rPr>
            </w:pPr>
            <w:r w:rsidRPr="007E480D">
              <w:rPr>
                <w:rFonts w:ascii="Arial" w:hAnsi="Arial" w:cs="Arial"/>
                <w:sz w:val="18"/>
                <w:szCs w:val="18"/>
              </w:rPr>
              <w:t>Podmokly</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D694F7A" w14:textId="77777777" w:rsidR="00CA23D0" w:rsidRPr="007E480D" w:rsidRDefault="00CA23D0" w:rsidP="00CA23D0">
            <w:pPr>
              <w:ind w:right="41"/>
              <w:jc w:val="right"/>
              <w:rPr>
                <w:rFonts w:ascii="Arial" w:hAnsi="Arial" w:cs="Arial"/>
                <w:sz w:val="18"/>
                <w:szCs w:val="18"/>
              </w:rPr>
            </w:pPr>
            <w:r w:rsidRPr="007E480D">
              <w:rPr>
                <w:rFonts w:ascii="Arial" w:hAnsi="Arial" w:cs="Arial"/>
                <w:sz w:val="18"/>
                <w:szCs w:val="18"/>
              </w:rPr>
              <w:t>688,86</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C1AC0DA"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194,99</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9655A9D" w14:textId="77777777" w:rsidR="00CA23D0" w:rsidRPr="007E480D" w:rsidRDefault="00CA23D0" w:rsidP="00CA23D0">
            <w:pPr>
              <w:ind w:right="37"/>
              <w:jc w:val="right"/>
              <w:rPr>
                <w:rFonts w:ascii="Arial" w:hAnsi="Arial" w:cs="Arial"/>
                <w:sz w:val="18"/>
                <w:szCs w:val="18"/>
              </w:rPr>
            </w:pPr>
            <w:r w:rsidRPr="007E480D">
              <w:rPr>
                <w:rFonts w:ascii="Arial" w:hAnsi="Arial" w:cs="Arial"/>
                <w:sz w:val="18"/>
                <w:szCs w:val="18"/>
              </w:rPr>
              <w:t>100,07</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05216C6" w14:textId="77777777" w:rsidR="00CA23D0" w:rsidRPr="007E480D" w:rsidRDefault="00CA23D0" w:rsidP="00CA23D0">
            <w:pPr>
              <w:ind w:right="41"/>
              <w:jc w:val="right"/>
              <w:rPr>
                <w:rFonts w:ascii="Arial" w:hAnsi="Arial" w:cs="Arial"/>
                <w:sz w:val="18"/>
                <w:szCs w:val="18"/>
              </w:rPr>
            </w:pPr>
            <w:r w:rsidRPr="007E480D">
              <w:rPr>
                <w:rFonts w:ascii="Arial" w:hAnsi="Arial" w:cs="Arial"/>
                <w:sz w:val="18"/>
                <w:szCs w:val="18"/>
              </w:rPr>
              <w:t>42,13</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8406653" w14:textId="77777777" w:rsidR="00CA23D0" w:rsidRPr="007E480D" w:rsidRDefault="00CA23D0" w:rsidP="00CA23D0">
            <w:pPr>
              <w:ind w:right="46"/>
              <w:jc w:val="right"/>
              <w:rPr>
                <w:rFonts w:ascii="Arial" w:hAnsi="Arial" w:cs="Arial"/>
                <w:sz w:val="18"/>
                <w:szCs w:val="18"/>
              </w:rPr>
            </w:pPr>
            <w:r w:rsidRPr="007E480D">
              <w:rPr>
                <w:rFonts w:ascii="Arial" w:hAnsi="Arial" w:cs="Arial"/>
                <w:sz w:val="18"/>
                <w:szCs w:val="18"/>
              </w:rPr>
              <w:t>112,64</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9A24111"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239,03</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0A6E485" w14:textId="77777777" w:rsidR="00CA23D0" w:rsidRPr="007E480D" w:rsidRDefault="00CA23D0" w:rsidP="00CA23D0">
            <w:pPr>
              <w:ind w:right="38"/>
              <w:jc w:val="right"/>
              <w:rPr>
                <w:rFonts w:ascii="Arial" w:hAnsi="Arial" w:cs="Arial"/>
                <w:sz w:val="18"/>
                <w:szCs w:val="18"/>
              </w:rPr>
            </w:pPr>
            <w:r w:rsidRPr="007E480D">
              <w:rPr>
                <w:rFonts w:ascii="Arial" w:hAnsi="Arial" w:cs="Arial"/>
                <w:sz w:val="18"/>
                <w:szCs w:val="18"/>
              </w:rPr>
              <w:t>1 782</w:t>
            </w:r>
          </w:p>
        </w:tc>
      </w:tr>
      <w:tr w:rsidR="00CA23D0" w:rsidRPr="007E480D" w14:paraId="47D29222" w14:textId="77777777" w:rsidTr="00CA23D0">
        <w:trPr>
          <w:trHeight w:val="274"/>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8398583" w14:textId="77777777" w:rsidR="00CA23D0" w:rsidRPr="007E480D" w:rsidRDefault="00CA23D0" w:rsidP="00CA23D0">
            <w:pPr>
              <w:ind w:left="11"/>
              <w:rPr>
                <w:rFonts w:ascii="Arial" w:hAnsi="Arial" w:cs="Arial"/>
                <w:sz w:val="18"/>
                <w:szCs w:val="18"/>
              </w:rPr>
            </w:pPr>
            <w:r w:rsidRPr="007E480D">
              <w:rPr>
                <w:rFonts w:ascii="Arial" w:hAnsi="Arial" w:cs="Arial"/>
                <w:sz w:val="18"/>
                <w:szCs w:val="18"/>
              </w:rPr>
              <w:t>Prostřední Žleb</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1C3E827" w14:textId="77777777" w:rsidR="00CA23D0" w:rsidRPr="007E480D" w:rsidRDefault="00CA23D0" w:rsidP="00CA23D0">
            <w:pPr>
              <w:ind w:right="46"/>
              <w:jc w:val="right"/>
              <w:rPr>
                <w:rFonts w:ascii="Arial" w:hAnsi="Arial" w:cs="Arial"/>
                <w:sz w:val="18"/>
                <w:szCs w:val="18"/>
              </w:rPr>
            </w:pPr>
            <w:r w:rsidRPr="007E480D">
              <w:rPr>
                <w:rFonts w:ascii="Arial" w:hAnsi="Arial" w:cs="Arial"/>
                <w:sz w:val="18"/>
                <w:szCs w:val="18"/>
              </w:rPr>
              <w:t>1 115,27</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3ADF9DB" w14:textId="77777777" w:rsidR="00CA23D0" w:rsidRPr="007E480D" w:rsidRDefault="00CA23D0" w:rsidP="00CA23D0">
            <w:pPr>
              <w:ind w:right="51"/>
              <w:jc w:val="right"/>
              <w:rPr>
                <w:rFonts w:ascii="Arial" w:hAnsi="Arial" w:cs="Arial"/>
                <w:sz w:val="18"/>
                <w:szCs w:val="18"/>
              </w:rPr>
            </w:pPr>
            <w:r w:rsidRPr="007E480D">
              <w:rPr>
                <w:rFonts w:ascii="Arial" w:hAnsi="Arial" w:cs="Arial"/>
                <w:sz w:val="18"/>
                <w:szCs w:val="18"/>
              </w:rPr>
              <w:t>99,48</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45730A9" w14:textId="77777777" w:rsidR="00CA23D0" w:rsidRPr="007E480D" w:rsidRDefault="00CA23D0" w:rsidP="00CA23D0">
            <w:pPr>
              <w:ind w:right="46"/>
              <w:jc w:val="right"/>
              <w:rPr>
                <w:rFonts w:ascii="Arial" w:hAnsi="Arial" w:cs="Arial"/>
                <w:sz w:val="18"/>
                <w:szCs w:val="18"/>
              </w:rPr>
            </w:pPr>
            <w:r w:rsidRPr="007E480D">
              <w:rPr>
                <w:rFonts w:ascii="Arial" w:hAnsi="Arial" w:cs="Arial"/>
                <w:sz w:val="18"/>
                <w:szCs w:val="18"/>
              </w:rPr>
              <w:t>849,39</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FF27EAA" w14:textId="77777777" w:rsidR="00CA23D0" w:rsidRPr="007E480D" w:rsidRDefault="00CA23D0" w:rsidP="00CA23D0">
            <w:pPr>
              <w:ind w:right="46"/>
              <w:jc w:val="right"/>
              <w:rPr>
                <w:rFonts w:ascii="Arial" w:hAnsi="Arial" w:cs="Arial"/>
                <w:sz w:val="18"/>
                <w:szCs w:val="18"/>
              </w:rPr>
            </w:pPr>
            <w:r w:rsidRPr="007E480D">
              <w:rPr>
                <w:rFonts w:ascii="Arial" w:hAnsi="Arial" w:cs="Arial"/>
                <w:sz w:val="18"/>
                <w:szCs w:val="18"/>
              </w:rPr>
              <w:t>89,99</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4F20D3C" w14:textId="77777777" w:rsidR="00CA23D0" w:rsidRPr="007E480D" w:rsidRDefault="00CA23D0" w:rsidP="00CA23D0">
            <w:pPr>
              <w:ind w:right="80"/>
              <w:jc w:val="right"/>
              <w:rPr>
                <w:rFonts w:ascii="Arial" w:hAnsi="Arial" w:cs="Arial"/>
                <w:sz w:val="18"/>
                <w:szCs w:val="18"/>
              </w:rPr>
            </w:pPr>
            <w:r w:rsidRPr="007E480D">
              <w:rPr>
                <w:rFonts w:ascii="Arial" w:hAnsi="Arial" w:cs="Arial"/>
                <w:sz w:val="18"/>
                <w:szCs w:val="18"/>
              </w:rPr>
              <w:t>10,01</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4F28997" w14:textId="77777777" w:rsidR="00CA23D0" w:rsidRPr="007E480D" w:rsidRDefault="00CA23D0" w:rsidP="00CA23D0">
            <w:pPr>
              <w:ind w:right="41"/>
              <w:jc w:val="right"/>
              <w:rPr>
                <w:rFonts w:ascii="Arial" w:hAnsi="Arial" w:cs="Arial"/>
                <w:sz w:val="18"/>
                <w:szCs w:val="18"/>
              </w:rPr>
            </w:pPr>
            <w:r w:rsidRPr="007E480D">
              <w:rPr>
                <w:rFonts w:ascii="Arial" w:hAnsi="Arial" w:cs="Arial"/>
                <w:sz w:val="18"/>
                <w:szCs w:val="18"/>
              </w:rPr>
              <w:t>66,4</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7955B0B"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389</w:t>
            </w:r>
          </w:p>
        </w:tc>
      </w:tr>
      <w:tr w:rsidR="00CA23D0" w:rsidRPr="007E480D" w14:paraId="56975871" w14:textId="77777777" w:rsidTr="00CA23D0">
        <w:trPr>
          <w:trHeight w:val="277"/>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43CF3B9" w14:textId="77777777" w:rsidR="00CA23D0" w:rsidRPr="007E480D" w:rsidRDefault="00CA23D0" w:rsidP="00CA23D0">
            <w:pPr>
              <w:ind w:left="-3"/>
              <w:rPr>
                <w:rFonts w:ascii="Arial" w:hAnsi="Arial" w:cs="Arial"/>
                <w:sz w:val="18"/>
                <w:szCs w:val="18"/>
              </w:rPr>
            </w:pPr>
            <w:r w:rsidRPr="007E480D">
              <w:rPr>
                <w:rFonts w:ascii="Arial" w:hAnsi="Arial" w:cs="Arial"/>
                <w:sz w:val="18"/>
                <w:szCs w:val="18"/>
              </w:rPr>
              <w:t>Velká Veleň</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15EE416"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396,61</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060FEC8" w14:textId="77777777" w:rsidR="00CA23D0" w:rsidRPr="007E480D" w:rsidRDefault="00CA23D0" w:rsidP="00CA23D0">
            <w:pPr>
              <w:ind w:right="51"/>
              <w:jc w:val="right"/>
              <w:rPr>
                <w:rFonts w:ascii="Arial" w:hAnsi="Arial" w:cs="Arial"/>
                <w:sz w:val="18"/>
                <w:szCs w:val="18"/>
              </w:rPr>
            </w:pPr>
            <w:r w:rsidRPr="007E480D">
              <w:rPr>
                <w:rFonts w:ascii="Arial" w:hAnsi="Arial" w:cs="Arial"/>
                <w:sz w:val="18"/>
                <w:szCs w:val="18"/>
              </w:rPr>
              <w:t>283,58</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41AE983" w14:textId="77777777" w:rsidR="00CA23D0" w:rsidRPr="007E480D" w:rsidRDefault="00CA23D0" w:rsidP="00CA23D0">
            <w:pPr>
              <w:ind w:right="41"/>
              <w:jc w:val="right"/>
              <w:rPr>
                <w:rFonts w:ascii="Arial" w:hAnsi="Arial" w:cs="Arial"/>
                <w:sz w:val="18"/>
                <w:szCs w:val="18"/>
              </w:rPr>
            </w:pPr>
            <w:r w:rsidRPr="007E480D">
              <w:rPr>
                <w:rFonts w:ascii="Arial" w:hAnsi="Arial" w:cs="Arial"/>
                <w:sz w:val="18"/>
                <w:szCs w:val="18"/>
              </w:rPr>
              <w:t>58,89</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77D42E5" w14:textId="77777777" w:rsidR="00CA23D0" w:rsidRPr="007E480D" w:rsidRDefault="00CA23D0" w:rsidP="00CA23D0">
            <w:pPr>
              <w:ind w:right="75"/>
              <w:jc w:val="right"/>
              <w:rPr>
                <w:rFonts w:ascii="Arial" w:hAnsi="Arial" w:cs="Arial"/>
                <w:sz w:val="18"/>
                <w:szCs w:val="18"/>
              </w:rPr>
            </w:pPr>
            <w:r w:rsidRPr="007E480D">
              <w:rPr>
                <w:rFonts w:ascii="Arial" w:hAnsi="Arial" w:cs="Arial"/>
                <w:sz w:val="18"/>
                <w:szCs w:val="18"/>
              </w:rPr>
              <w:t>1</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B7C3238" w14:textId="77777777" w:rsidR="00CA23D0" w:rsidRPr="007E480D" w:rsidRDefault="00CA23D0" w:rsidP="00CA23D0">
            <w:pPr>
              <w:ind w:right="46"/>
              <w:jc w:val="right"/>
              <w:rPr>
                <w:rFonts w:ascii="Arial" w:hAnsi="Arial" w:cs="Arial"/>
                <w:sz w:val="18"/>
                <w:szCs w:val="18"/>
              </w:rPr>
            </w:pPr>
            <w:r w:rsidRPr="007E480D">
              <w:rPr>
                <w:rFonts w:ascii="Arial" w:hAnsi="Arial" w:cs="Arial"/>
                <w:sz w:val="18"/>
                <w:szCs w:val="18"/>
              </w:rPr>
              <w:t>412</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69F5ED1" w14:textId="77777777" w:rsidR="00CA23D0" w:rsidRPr="007E480D" w:rsidRDefault="00CA23D0" w:rsidP="00CA23D0">
            <w:pPr>
              <w:ind w:right="46"/>
              <w:jc w:val="right"/>
              <w:rPr>
                <w:rFonts w:ascii="Arial" w:hAnsi="Arial" w:cs="Arial"/>
                <w:sz w:val="18"/>
                <w:szCs w:val="18"/>
              </w:rPr>
            </w:pPr>
            <w:r w:rsidRPr="007E480D">
              <w:rPr>
                <w:rFonts w:ascii="Arial" w:hAnsi="Arial" w:cs="Arial"/>
                <w:sz w:val="18"/>
                <w:szCs w:val="18"/>
              </w:rPr>
              <w:t>0,02</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B0554EA" w14:textId="77777777" w:rsidR="00CA23D0" w:rsidRPr="007E480D" w:rsidRDefault="00CA23D0" w:rsidP="00CA23D0">
            <w:pPr>
              <w:ind w:right="38"/>
              <w:jc w:val="right"/>
              <w:rPr>
                <w:rFonts w:ascii="Arial" w:hAnsi="Arial" w:cs="Arial"/>
                <w:sz w:val="18"/>
                <w:szCs w:val="18"/>
              </w:rPr>
            </w:pPr>
            <w:r w:rsidRPr="007E480D">
              <w:rPr>
                <w:rFonts w:ascii="Arial" w:hAnsi="Arial" w:cs="Arial"/>
                <w:sz w:val="18"/>
                <w:szCs w:val="18"/>
              </w:rPr>
              <w:t>44</w:t>
            </w:r>
          </w:p>
        </w:tc>
      </w:tr>
      <w:tr w:rsidR="00CA23D0" w:rsidRPr="007E480D" w14:paraId="353E5A5B" w14:textId="77777777" w:rsidTr="00CA23D0">
        <w:trPr>
          <w:trHeight w:val="274"/>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728D32D" w14:textId="77777777" w:rsidR="00CA23D0" w:rsidRPr="007E480D" w:rsidRDefault="00CA23D0" w:rsidP="00CA23D0">
            <w:pPr>
              <w:ind w:left="2"/>
              <w:rPr>
                <w:rFonts w:ascii="Arial" w:hAnsi="Arial" w:cs="Arial"/>
                <w:sz w:val="18"/>
                <w:szCs w:val="18"/>
              </w:rPr>
            </w:pPr>
            <w:r w:rsidRPr="007E480D">
              <w:rPr>
                <w:rFonts w:ascii="Arial" w:hAnsi="Arial" w:cs="Arial"/>
                <w:sz w:val="18"/>
                <w:szCs w:val="18"/>
              </w:rPr>
              <w:t>Vilsnice</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43A1CF2" w14:textId="77777777" w:rsidR="00CA23D0" w:rsidRPr="007E480D" w:rsidRDefault="00CA23D0" w:rsidP="00CA23D0">
            <w:pPr>
              <w:jc w:val="right"/>
              <w:rPr>
                <w:rFonts w:ascii="Arial" w:hAnsi="Arial" w:cs="Arial"/>
                <w:sz w:val="18"/>
                <w:szCs w:val="18"/>
              </w:rPr>
            </w:pPr>
            <w:r w:rsidRPr="007E480D">
              <w:rPr>
                <w:rFonts w:ascii="Arial" w:hAnsi="Arial" w:cs="Arial"/>
                <w:sz w:val="18"/>
                <w:szCs w:val="18"/>
              </w:rPr>
              <w:t>333,93</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4754137" w14:textId="77777777" w:rsidR="00CA23D0" w:rsidRPr="007E480D" w:rsidRDefault="00CA23D0" w:rsidP="00CA23D0">
            <w:pPr>
              <w:ind w:right="75"/>
              <w:jc w:val="right"/>
              <w:rPr>
                <w:rFonts w:ascii="Arial" w:hAnsi="Arial" w:cs="Arial"/>
                <w:sz w:val="18"/>
                <w:szCs w:val="18"/>
              </w:rPr>
            </w:pPr>
            <w:r w:rsidRPr="007E480D">
              <w:rPr>
                <w:rFonts w:ascii="Arial" w:hAnsi="Arial" w:cs="Arial"/>
                <w:sz w:val="18"/>
                <w:szCs w:val="18"/>
              </w:rPr>
              <w:t>190,31</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1539188" w14:textId="77777777" w:rsidR="00CA23D0" w:rsidRPr="007E480D" w:rsidRDefault="00CA23D0" w:rsidP="00CA23D0">
            <w:pPr>
              <w:ind w:right="41"/>
              <w:jc w:val="right"/>
              <w:rPr>
                <w:rFonts w:ascii="Arial" w:hAnsi="Arial" w:cs="Arial"/>
                <w:sz w:val="18"/>
                <w:szCs w:val="18"/>
              </w:rPr>
            </w:pPr>
            <w:r w:rsidRPr="007E480D">
              <w:rPr>
                <w:rFonts w:ascii="Arial" w:hAnsi="Arial" w:cs="Arial"/>
                <w:sz w:val="18"/>
                <w:szCs w:val="18"/>
              </w:rPr>
              <w:t>93,15</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E02CAE0" w14:textId="77777777" w:rsidR="00CA23D0" w:rsidRPr="007E480D" w:rsidRDefault="00CA23D0" w:rsidP="00CA23D0">
            <w:pPr>
              <w:ind w:right="41"/>
              <w:jc w:val="right"/>
              <w:rPr>
                <w:rFonts w:ascii="Arial" w:hAnsi="Arial" w:cs="Arial"/>
                <w:sz w:val="18"/>
                <w:szCs w:val="18"/>
              </w:rPr>
            </w:pPr>
            <w:r w:rsidRPr="007E480D">
              <w:rPr>
                <w:rFonts w:ascii="Arial" w:hAnsi="Arial" w:cs="Arial"/>
                <w:sz w:val="18"/>
                <w:szCs w:val="18"/>
              </w:rPr>
              <w:t>6,44</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C2DBD40" w14:textId="77777777" w:rsidR="00CA23D0" w:rsidRPr="007E480D" w:rsidRDefault="00CA23D0" w:rsidP="00CA23D0">
            <w:pPr>
              <w:ind w:right="41"/>
              <w:jc w:val="right"/>
              <w:rPr>
                <w:rFonts w:ascii="Arial" w:hAnsi="Arial" w:cs="Arial"/>
                <w:sz w:val="18"/>
                <w:szCs w:val="18"/>
              </w:rPr>
            </w:pPr>
            <w:r w:rsidRPr="007E480D">
              <w:rPr>
                <w:rFonts w:ascii="Arial" w:hAnsi="Arial" w:cs="Arial"/>
                <w:sz w:val="18"/>
                <w:szCs w:val="18"/>
              </w:rPr>
              <w:t>7,03</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1C24433" w14:textId="77777777" w:rsidR="00CA23D0" w:rsidRPr="007E480D" w:rsidRDefault="00CA23D0" w:rsidP="00CA23D0">
            <w:pPr>
              <w:ind w:right="41"/>
              <w:jc w:val="right"/>
              <w:rPr>
                <w:rFonts w:ascii="Arial" w:hAnsi="Arial" w:cs="Arial"/>
                <w:sz w:val="18"/>
                <w:szCs w:val="18"/>
              </w:rPr>
            </w:pPr>
            <w:r w:rsidRPr="007E480D">
              <w:rPr>
                <w:rFonts w:ascii="Arial" w:hAnsi="Arial" w:cs="Arial"/>
                <w:sz w:val="18"/>
                <w:szCs w:val="18"/>
              </w:rPr>
              <w:t>37</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4BF2D6D" w14:textId="77777777" w:rsidR="00CA23D0" w:rsidRPr="007E480D" w:rsidRDefault="00CA23D0" w:rsidP="00CA23D0">
            <w:pPr>
              <w:ind w:right="43"/>
              <w:jc w:val="right"/>
              <w:rPr>
                <w:rFonts w:ascii="Arial" w:hAnsi="Arial" w:cs="Arial"/>
                <w:sz w:val="18"/>
                <w:szCs w:val="18"/>
              </w:rPr>
            </w:pPr>
            <w:r w:rsidRPr="007E480D">
              <w:rPr>
                <w:rFonts w:ascii="Arial" w:hAnsi="Arial" w:cs="Arial"/>
                <w:sz w:val="18"/>
                <w:szCs w:val="18"/>
              </w:rPr>
              <w:t>155</w:t>
            </w:r>
          </w:p>
        </w:tc>
      </w:tr>
      <w:tr w:rsidR="00CA23D0" w:rsidRPr="007E480D" w14:paraId="3EF5693C" w14:textId="77777777" w:rsidTr="00CA23D0">
        <w:trPr>
          <w:trHeight w:val="274"/>
        </w:trPr>
        <w:tc>
          <w:tcPr>
            <w:tcW w:w="2008"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41D31E5" w14:textId="77777777" w:rsidR="00CA23D0" w:rsidRPr="007E480D" w:rsidRDefault="00CA23D0" w:rsidP="00CA23D0">
            <w:pPr>
              <w:ind w:left="2"/>
              <w:rPr>
                <w:rFonts w:ascii="Arial" w:hAnsi="Arial" w:cs="Arial"/>
                <w:sz w:val="18"/>
                <w:szCs w:val="18"/>
              </w:rPr>
            </w:pPr>
            <w:r w:rsidRPr="007E480D">
              <w:rPr>
                <w:rFonts w:ascii="Arial" w:hAnsi="Arial" w:cs="Arial"/>
                <w:sz w:val="18"/>
                <w:szCs w:val="18"/>
              </w:rPr>
              <w:t>Město celkem</w:t>
            </w:r>
          </w:p>
        </w:tc>
        <w:tc>
          <w:tcPr>
            <w:tcW w:w="963"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F0FFA0D" w14:textId="77777777" w:rsidR="00CA23D0" w:rsidRPr="007E480D" w:rsidRDefault="00CA23D0" w:rsidP="00CA23D0">
            <w:pPr>
              <w:ind w:right="56"/>
              <w:jc w:val="right"/>
              <w:rPr>
                <w:rFonts w:ascii="Arial" w:hAnsi="Arial" w:cs="Arial"/>
                <w:sz w:val="18"/>
                <w:szCs w:val="18"/>
              </w:rPr>
            </w:pPr>
            <w:r w:rsidRPr="007E480D">
              <w:rPr>
                <w:rFonts w:ascii="Arial" w:hAnsi="Arial" w:cs="Arial"/>
                <w:sz w:val="18"/>
                <w:szCs w:val="18"/>
              </w:rPr>
              <w:t>11 803,47</w:t>
            </w:r>
          </w:p>
        </w:tc>
        <w:tc>
          <w:tcPr>
            <w:tcW w:w="96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2F8B917" w14:textId="77777777" w:rsidR="00CA23D0" w:rsidRPr="007E480D" w:rsidRDefault="00CA23D0" w:rsidP="00CA23D0">
            <w:pPr>
              <w:ind w:right="61"/>
              <w:jc w:val="right"/>
              <w:rPr>
                <w:rFonts w:ascii="Arial" w:hAnsi="Arial" w:cs="Arial"/>
                <w:sz w:val="18"/>
                <w:szCs w:val="18"/>
              </w:rPr>
            </w:pPr>
            <w:r w:rsidRPr="007E480D">
              <w:rPr>
                <w:rFonts w:ascii="Arial" w:hAnsi="Arial" w:cs="Arial"/>
                <w:sz w:val="18"/>
                <w:szCs w:val="18"/>
              </w:rPr>
              <w:t>2 897,07</w:t>
            </w:r>
          </w:p>
        </w:tc>
        <w:tc>
          <w:tcPr>
            <w:tcW w:w="1080" w:type="dxa"/>
            <w:tcBorders>
              <w:top w:val="single" w:sz="2" w:space="0" w:color="000000"/>
              <w:left w:val="single" w:sz="2" w:space="0" w:color="000000"/>
              <w:bottom w:val="single" w:sz="2" w:space="0" w:color="000000"/>
              <w:right w:val="single" w:sz="2" w:space="0" w:color="000000"/>
            </w:tcBorders>
            <w:shd w:val="clear" w:color="auto" w:fill="auto"/>
            <w:vAlign w:val="center"/>
          </w:tcPr>
          <w:p w14:paraId="1AE15E35" w14:textId="77777777" w:rsidR="00CA23D0" w:rsidRPr="007E480D" w:rsidRDefault="00CA23D0" w:rsidP="00CA23D0">
            <w:pPr>
              <w:ind w:right="56"/>
              <w:jc w:val="right"/>
              <w:rPr>
                <w:rFonts w:ascii="Arial" w:hAnsi="Arial" w:cs="Arial"/>
                <w:sz w:val="18"/>
                <w:szCs w:val="18"/>
              </w:rPr>
            </w:pPr>
            <w:r w:rsidRPr="007E480D">
              <w:rPr>
                <w:rFonts w:ascii="Arial" w:hAnsi="Arial" w:cs="Arial"/>
                <w:sz w:val="18"/>
                <w:szCs w:val="18"/>
              </w:rPr>
              <w:t>7 079,14</w:t>
            </w:r>
          </w:p>
        </w:tc>
        <w:tc>
          <w:tcPr>
            <w:tcW w:w="107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2E7C93C" w14:textId="77777777" w:rsidR="00CA23D0" w:rsidRPr="007E480D" w:rsidRDefault="00CA23D0" w:rsidP="00CA23D0">
            <w:pPr>
              <w:ind w:right="56"/>
              <w:jc w:val="right"/>
              <w:rPr>
                <w:rFonts w:ascii="Arial" w:hAnsi="Arial" w:cs="Arial"/>
                <w:sz w:val="18"/>
                <w:szCs w:val="18"/>
              </w:rPr>
            </w:pPr>
            <w:r w:rsidRPr="007E480D">
              <w:rPr>
                <w:rFonts w:ascii="Arial" w:hAnsi="Arial" w:cs="Arial"/>
                <w:sz w:val="18"/>
                <w:szCs w:val="18"/>
              </w:rPr>
              <w:t>294,95</w:t>
            </w:r>
          </w:p>
        </w:tc>
        <w:tc>
          <w:tcPr>
            <w:tcW w:w="91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11FD332" w14:textId="77777777" w:rsidR="00CA23D0" w:rsidRPr="007E480D" w:rsidRDefault="00CA23D0" w:rsidP="00CA23D0">
            <w:pPr>
              <w:ind w:right="61"/>
              <w:jc w:val="right"/>
              <w:rPr>
                <w:rFonts w:ascii="Arial" w:hAnsi="Arial" w:cs="Arial"/>
                <w:sz w:val="18"/>
                <w:szCs w:val="18"/>
              </w:rPr>
            </w:pPr>
            <w:r w:rsidRPr="007E480D">
              <w:rPr>
                <w:rFonts w:ascii="Arial" w:hAnsi="Arial" w:cs="Arial"/>
                <w:sz w:val="18"/>
                <w:szCs w:val="18"/>
              </w:rPr>
              <w:t>347,93</w:t>
            </w:r>
          </w:p>
        </w:tc>
        <w:tc>
          <w:tcPr>
            <w:tcW w:w="1032"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CF5FB2E" w14:textId="77777777" w:rsidR="00CA23D0" w:rsidRPr="007E480D" w:rsidRDefault="00CA23D0" w:rsidP="00CA23D0">
            <w:pPr>
              <w:ind w:right="65"/>
              <w:jc w:val="right"/>
              <w:rPr>
                <w:rFonts w:ascii="Arial" w:hAnsi="Arial" w:cs="Arial"/>
                <w:sz w:val="18"/>
                <w:szCs w:val="18"/>
              </w:rPr>
            </w:pPr>
            <w:r w:rsidRPr="007E480D">
              <w:rPr>
                <w:rFonts w:ascii="Arial" w:hAnsi="Arial" w:cs="Arial"/>
                <w:sz w:val="18"/>
                <w:szCs w:val="18"/>
              </w:rPr>
              <w:t>1 184,41</w:t>
            </w:r>
          </w:p>
        </w:tc>
        <w:tc>
          <w:tcPr>
            <w:tcW w:w="995"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3B201A1" w14:textId="77777777" w:rsidR="00CA23D0" w:rsidRPr="007E480D" w:rsidRDefault="00CA23D0" w:rsidP="00CA23D0">
            <w:pPr>
              <w:ind w:right="53"/>
              <w:jc w:val="right"/>
              <w:rPr>
                <w:rFonts w:ascii="Arial" w:hAnsi="Arial" w:cs="Arial"/>
                <w:sz w:val="18"/>
                <w:szCs w:val="18"/>
              </w:rPr>
            </w:pPr>
            <w:r w:rsidRPr="007E480D">
              <w:rPr>
                <w:rFonts w:ascii="Arial" w:hAnsi="Arial" w:cs="Arial"/>
                <w:sz w:val="18"/>
                <w:szCs w:val="18"/>
              </w:rPr>
              <w:t>6 419</w:t>
            </w:r>
          </w:p>
        </w:tc>
      </w:tr>
    </w:tbl>
    <w:p w14:paraId="67D30447" w14:textId="77777777" w:rsidR="00CA23D0" w:rsidRDefault="00CA23D0" w:rsidP="00CA23D0">
      <w:pPr>
        <w:spacing w:before="120" w:line="288" w:lineRule="auto"/>
        <w:ind w:left="79" w:firstLine="709"/>
        <w:jc w:val="both"/>
        <w:rPr>
          <w:rFonts w:ascii="Arial" w:hAnsi="Arial" w:cs="Arial"/>
          <w:sz w:val="22"/>
          <w:szCs w:val="22"/>
        </w:rPr>
      </w:pPr>
    </w:p>
    <w:p w14:paraId="2557FDB3" w14:textId="77777777" w:rsidR="00CA23D0" w:rsidRPr="000931C2" w:rsidRDefault="00CA23D0" w:rsidP="00CA23D0">
      <w:pPr>
        <w:spacing w:before="120" w:line="288" w:lineRule="auto"/>
        <w:ind w:left="79" w:firstLine="709"/>
        <w:jc w:val="both"/>
        <w:rPr>
          <w:rFonts w:ascii="Arial" w:hAnsi="Arial" w:cs="Arial"/>
          <w:sz w:val="22"/>
          <w:szCs w:val="22"/>
        </w:rPr>
      </w:pPr>
      <w:r w:rsidRPr="000931C2">
        <w:rPr>
          <w:rFonts w:ascii="Arial" w:hAnsi="Arial" w:cs="Arial"/>
          <w:sz w:val="22"/>
          <w:szCs w:val="22"/>
        </w:rPr>
        <w:t xml:space="preserve">Pro větší podrobnost poznání stavu zjišťovaného v rámci sčítání lidu, domů a bytů se od roku 1970 a následně v letech 1980 a 1991 použilo členění podle základních sídelních jednotek (ZSJ), které jsou ve vybraném souboru měst nazývány také urbanistickými obvody (UO). Dále uvedený </w:t>
      </w:r>
      <w:r w:rsidRPr="000931C2">
        <w:rPr>
          <w:rFonts w:ascii="Arial" w:hAnsi="Arial" w:cs="Arial"/>
          <w:noProof/>
          <w:sz w:val="22"/>
          <w:szCs w:val="22"/>
          <w:lang w:eastAsia="cs-CZ"/>
        </w:rPr>
        <w:drawing>
          <wp:inline distT="0" distB="0" distL="0" distR="0" wp14:anchorId="2AE6E322" wp14:editId="76A44F1D">
            <wp:extent cx="13335" cy="13335"/>
            <wp:effectExtent l="0" t="0" r="0" b="0"/>
            <wp:docPr id="5128" name="Obrázek 5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0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0931C2">
        <w:rPr>
          <w:rFonts w:ascii="Arial" w:hAnsi="Arial" w:cs="Arial"/>
          <w:sz w:val="22"/>
          <w:szCs w:val="22"/>
        </w:rPr>
        <w:t xml:space="preserve">seznam UO je doplněn vybranou sadou dat z posledního sčítání lidu. Původní vymezení UO mělo v roce 1970, kdy byly tyto jednotky při sčítání využity obvodů 40. Postupná integrace a následná dezintegrace po roce 1990 znamená, že v současnosti je v </w:t>
      </w:r>
      <w:r w:rsidRPr="000931C2">
        <w:rPr>
          <w:rFonts w:ascii="Arial" w:hAnsi="Arial" w:cs="Arial"/>
          <w:sz w:val="22"/>
          <w:szCs w:val="22"/>
        </w:rPr>
        <w:lastRenderedPageBreak/>
        <w:t>Děčíně vymezeno 60 urbanistických obvodů. Maximální počet UO byl v roce 1989 - 68 (původní přiřazená pořadová čísla UO se nikdy nemění, proto skutečný počet nemusí být v souladu s</w:t>
      </w:r>
      <w:r>
        <w:rPr>
          <w:rFonts w:ascii="Arial" w:hAnsi="Arial" w:cs="Arial"/>
          <w:sz w:val="22"/>
          <w:szCs w:val="22"/>
        </w:rPr>
        <w:t> </w:t>
      </w:r>
      <w:r w:rsidRPr="000931C2">
        <w:rPr>
          <w:rFonts w:ascii="Arial" w:hAnsi="Arial" w:cs="Arial"/>
          <w:sz w:val="22"/>
          <w:szCs w:val="22"/>
        </w:rPr>
        <w:t>počtem aktuálním)</w:t>
      </w:r>
    </w:p>
    <w:p w14:paraId="3BAC70B4" w14:textId="77777777" w:rsidR="00CA23D0" w:rsidRPr="000931C2" w:rsidRDefault="00CA23D0" w:rsidP="00CA23D0">
      <w:pPr>
        <w:spacing w:before="120" w:line="288" w:lineRule="auto"/>
        <w:ind w:left="79" w:firstLine="709"/>
        <w:jc w:val="both"/>
        <w:rPr>
          <w:rFonts w:ascii="Arial" w:hAnsi="Arial" w:cs="Arial"/>
          <w:sz w:val="22"/>
          <w:szCs w:val="22"/>
        </w:rPr>
      </w:pPr>
    </w:p>
    <w:p w14:paraId="616C7777" w14:textId="77777777" w:rsidR="00CA23D0" w:rsidRDefault="00CA23D0" w:rsidP="00CA23D0">
      <w:pPr>
        <w:ind w:left="5" w:hanging="10"/>
        <w:jc w:val="both"/>
        <w:rPr>
          <w:rFonts w:ascii="Arial" w:hAnsi="Arial" w:cs="Arial"/>
          <w:sz w:val="26"/>
        </w:rPr>
      </w:pPr>
      <w:r w:rsidRPr="00FC6ECD">
        <w:rPr>
          <w:rFonts w:ascii="Arial" w:hAnsi="Arial" w:cs="Arial"/>
          <w:sz w:val="26"/>
        </w:rPr>
        <w:t>ČLENĚNÍ MĚSTA NA URBANISTICKÉ OBVODY -1999</w:t>
      </w:r>
    </w:p>
    <w:p w14:paraId="192FF46A" w14:textId="77777777" w:rsidR="00CA23D0" w:rsidRDefault="00CA23D0" w:rsidP="00CA23D0">
      <w:pPr>
        <w:ind w:left="5" w:hanging="10"/>
        <w:jc w:val="both"/>
        <w:rPr>
          <w:rFonts w:ascii="Arial" w:hAnsi="Arial" w:cs="Arial"/>
        </w:rPr>
      </w:pPr>
      <w:r w:rsidRPr="00151BE2">
        <w:rPr>
          <w:rFonts w:ascii="Arial" w:hAnsi="Arial" w:cs="Arial"/>
          <w:noProof/>
          <w:lang w:eastAsia="cs-CZ"/>
        </w:rPr>
        <w:drawing>
          <wp:inline distT="0" distB="0" distL="0" distR="0" wp14:anchorId="187BFB7B" wp14:editId="676B5F8B">
            <wp:extent cx="5977890" cy="2005965"/>
            <wp:effectExtent l="0" t="0" r="3810" b="0"/>
            <wp:docPr id="5127" name="Obrázek 5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77890" cy="2005965"/>
                    </a:xfrm>
                    <a:prstGeom prst="rect">
                      <a:avLst/>
                    </a:prstGeom>
                    <a:noFill/>
                    <a:ln>
                      <a:noFill/>
                    </a:ln>
                  </pic:spPr>
                </pic:pic>
              </a:graphicData>
            </a:graphic>
          </wp:inline>
        </w:drawing>
      </w:r>
    </w:p>
    <w:p w14:paraId="5FC0345D" w14:textId="77777777" w:rsidR="00CA23D0" w:rsidRDefault="00CA23D0" w:rsidP="00CA23D0">
      <w:pPr>
        <w:ind w:left="5" w:hanging="10"/>
        <w:jc w:val="both"/>
        <w:rPr>
          <w:rFonts w:ascii="Arial" w:hAnsi="Arial" w:cs="Arial"/>
          <w:noProof/>
        </w:rPr>
      </w:pPr>
      <w:r w:rsidRPr="00151BE2">
        <w:rPr>
          <w:rFonts w:ascii="Arial" w:hAnsi="Arial" w:cs="Arial"/>
          <w:noProof/>
          <w:lang w:eastAsia="cs-CZ"/>
        </w:rPr>
        <w:lastRenderedPageBreak/>
        <w:drawing>
          <wp:inline distT="0" distB="0" distL="0" distR="0" wp14:anchorId="1D3D4ABD" wp14:editId="5368F612">
            <wp:extent cx="5827395" cy="8256905"/>
            <wp:effectExtent l="0" t="0" r="1905" b="0"/>
            <wp:docPr id="5126" name="Obrázek 5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827395" cy="8256905"/>
                    </a:xfrm>
                    <a:prstGeom prst="rect">
                      <a:avLst/>
                    </a:prstGeom>
                    <a:noFill/>
                    <a:ln>
                      <a:noFill/>
                    </a:ln>
                  </pic:spPr>
                </pic:pic>
              </a:graphicData>
            </a:graphic>
          </wp:inline>
        </w:drawing>
      </w:r>
    </w:p>
    <w:p w14:paraId="6BA5B3EA" w14:textId="77777777" w:rsidR="00CA23D0" w:rsidRDefault="00CA23D0" w:rsidP="00CA23D0">
      <w:pPr>
        <w:ind w:left="5" w:hanging="10"/>
        <w:jc w:val="both"/>
        <w:rPr>
          <w:rFonts w:ascii="Arial" w:hAnsi="Arial" w:cs="Arial"/>
        </w:rPr>
      </w:pPr>
    </w:p>
    <w:p w14:paraId="4EF419EF" w14:textId="77777777" w:rsidR="00CA23D0" w:rsidRPr="00FC6ECD" w:rsidRDefault="00CA23D0" w:rsidP="00CA23D0">
      <w:pPr>
        <w:ind w:left="5" w:hanging="10"/>
        <w:jc w:val="both"/>
        <w:rPr>
          <w:rFonts w:ascii="Arial" w:hAnsi="Arial" w:cs="Arial"/>
        </w:rPr>
      </w:pPr>
      <w:r w:rsidRPr="007E480D">
        <w:rPr>
          <w:rFonts w:ascii="Arial" w:hAnsi="Arial" w:cs="Arial"/>
          <w:noProof/>
          <w:lang w:eastAsia="cs-CZ"/>
        </w:rPr>
        <w:lastRenderedPageBreak/>
        <w:drawing>
          <wp:inline distT="0" distB="0" distL="0" distR="0" wp14:anchorId="7CB50054" wp14:editId="46DA9704">
            <wp:extent cx="5923280" cy="2633980"/>
            <wp:effectExtent l="0" t="0" r="1270" b="0"/>
            <wp:docPr id="5125" name="Obrázek 5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23280" cy="2633980"/>
                    </a:xfrm>
                    <a:prstGeom prst="rect">
                      <a:avLst/>
                    </a:prstGeom>
                    <a:noFill/>
                    <a:ln>
                      <a:noFill/>
                    </a:ln>
                  </pic:spPr>
                </pic:pic>
              </a:graphicData>
            </a:graphic>
          </wp:inline>
        </w:drawing>
      </w:r>
    </w:p>
    <w:p w14:paraId="0593BE78" w14:textId="77777777" w:rsidR="00CA23D0" w:rsidRPr="00FC6ECD" w:rsidRDefault="00CA23D0" w:rsidP="00CA23D0">
      <w:pPr>
        <w:spacing w:after="229"/>
        <w:ind w:left="802" w:right="-15" w:hanging="10"/>
        <w:jc w:val="right"/>
        <w:rPr>
          <w:rFonts w:ascii="Arial" w:hAnsi="Arial" w:cs="Arial"/>
        </w:rPr>
      </w:pPr>
      <w:r w:rsidRPr="00FC6ECD">
        <w:rPr>
          <w:rFonts w:ascii="Arial" w:hAnsi="Arial" w:cs="Arial"/>
          <w:sz w:val="18"/>
        </w:rPr>
        <w:t>Zdroj sta</w:t>
      </w:r>
      <w:r>
        <w:rPr>
          <w:rFonts w:ascii="Arial" w:hAnsi="Arial" w:cs="Arial"/>
          <w:sz w:val="18"/>
        </w:rPr>
        <w:t>ti</w:t>
      </w:r>
      <w:r w:rsidRPr="00FC6ECD">
        <w:rPr>
          <w:rFonts w:ascii="Arial" w:hAnsi="Arial" w:cs="Arial"/>
          <w:sz w:val="18"/>
        </w:rPr>
        <w:t>s</w:t>
      </w:r>
      <w:r>
        <w:rPr>
          <w:rFonts w:ascii="Arial" w:hAnsi="Arial" w:cs="Arial"/>
          <w:sz w:val="18"/>
        </w:rPr>
        <w:t>t</w:t>
      </w:r>
      <w:r w:rsidRPr="00FC6ECD">
        <w:rPr>
          <w:rFonts w:ascii="Arial" w:hAnsi="Arial" w:cs="Arial"/>
          <w:sz w:val="18"/>
        </w:rPr>
        <w:t>ických dat ČSÚ 1992</w:t>
      </w:r>
    </w:p>
    <w:p w14:paraId="0FFEB081" w14:textId="77777777" w:rsidR="00CA23D0" w:rsidRDefault="00CA23D0" w:rsidP="00CA23D0">
      <w:pPr>
        <w:spacing w:before="120" w:line="288" w:lineRule="auto"/>
        <w:ind w:firstLine="709"/>
        <w:jc w:val="both"/>
        <w:rPr>
          <w:rFonts w:ascii="Arial" w:hAnsi="Arial" w:cs="Arial"/>
        </w:rPr>
      </w:pPr>
    </w:p>
    <w:p w14:paraId="38C5ED1A" w14:textId="77777777" w:rsidR="00CA23D0" w:rsidRDefault="00CA23D0" w:rsidP="00CA23D0">
      <w:pPr>
        <w:spacing w:before="120" w:line="288" w:lineRule="auto"/>
        <w:ind w:firstLine="709"/>
        <w:jc w:val="both"/>
        <w:rPr>
          <w:rFonts w:ascii="Arial" w:hAnsi="Arial" w:cs="Arial"/>
        </w:rPr>
      </w:pPr>
      <w:r w:rsidRPr="00FC6ECD">
        <w:rPr>
          <w:rFonts w:ascii="Arial" w:hAnsi="Arial" w:cs="Arial"/>
        </w:rPr>
        <w:t>Vazby mezi administrativní, územně-technickou a sídelní strukturou jsou předmětem územně identifikačního registru (UR), který je v gesci nynějšího Ministerstva pro místní rozvoj zpracováván a průběžně aktualizován v a.s. Terplan Praha. Tento registr je veden jako jeden ze základních standartních instrumentů při vytváření SIS - státního informačního systému.</w:t>
      </w:r>
      <w:r>
        <w:rPr>
          <w:rFonts w:ascii="Arial" w:hAnsi="Arial" w:cs="Arial"/>
        </w:rPr>
        <w:t xml:space="preserve"> </w:t>
      </w:r>
      <w:r w:rsidRPr="00FC6ECD">
        <w:rPr>
          <w:rFonts w:ascii="Arial" w:hAnsi="Arial" w:cs="Arial"/>
        </w:rPr>
        <w:t>Podle UO jsou dále prezentována data charakterizující stav demografické struktury města. Ze souboru UIR jsou vybrány základní identifikační údaje- Tento soubor také ukazuje důvody některých UO na díly (rozložení ve dvou a více KÚ resp. částech obce)</w:t>
      </w:r>
    </w:p>
    <w:p w14:paraId="1C25C6AE" w14:textId="77777777" w:rsidR="00CA23D0" w:rsidRPr="00FC6ECD" w:rsidRDefault="00CA23D0" w:rsidP="00CA23D0">
      <w:pPr>
        <w:spacing w:before="120" w:line="288" w:lineRule="auto"/>
        <w:ind w:firstLine="709"/>
        <w:jc w:val="both"/>
        <w:rPr>
          <w:rFonts w:ascii="Arial" w:hAnsi="Arial" w:cs="Arial"/>
        </w:rPr>
      </w:pPr>
    </w:p>
    <w:p w14:paraId="7043B895" w14:textId="77777777" w:rsidR="00CA23D0" w:rsidRPr="00FC6ECD" w:rsidRDefault="00CA23D0" w:rsidP="00CA23D0">
      <w:pPr>
        <w:ind w:left="58"/>
        <w:jc w:val="both"/>
        <w:rPr>
          <w:rFonts w:ascii="Arial" w:hAnsi="Arial" w:cs="Arial"/>
        </w:rPr>
      </w:pPr>
      <w:r w:rsidRPr="00FC6ECD">
        <w:rPr>
          <w:rFonts w:ascii="Arial" w:hAnsi="Arial" w:cs="Arial"/>
          <w:sz w:val="26"/>
        </w:rPr>
        <w:t>ČLENĚNÍ NA JEDNOTKY SÍDELNÍ, ADMINISTRATIVNÍ A ÚZEMNĚ-TECHNICKÉ STAV 1999</w:t>
      </w:r>
    </w:p>
    <w:p w14:paraId="710D0EE2" w14:textId="77777777" w:rsidR="00CA23D0" w:rsidRPr="00FC6ECD" w:rsidRDefault="00CA23D0" w:rsidP="00CA23D0">
      <w:pPr>
        <w:jc w:val="both"/>
        <w:rPr>
          <w:rFonts w:ascii="Arial" w:hAnsi="Arial" w:cs="Arial"/>
        </w:rPr>
      </w:pPr>
    </w:p>
    <w:p w14:paraId="1D00DD87" w14:textId="77777777" w:rsidR="00CA23D0" w:rsidRDefault="00CA23D0" w:rsidP="00CA23D0">
      <w:pPr>
        <w:spacing w:after="464" w:line="216" w:lineRule="auto"/>
        <w:ind w:right="192" w:firstLine="576"/>
        <w:jc w:val="both"/>
        <w:rPr>
          <w:rFonts w:ascii="Arial" w:hAnsi="Arial" w:cs="Arial"/>
        </w:rPr>
      </w:pPr>
      <w:r w:rsidRPr="007E480D">
        <w:rPr>
          <w:rFonts w:ascii="Arial" w:hAnsi="Arial" w:cs="Arial"/>
          <w:noProof/>
          <w:lang w:eastAsia="cs-CZ"/>
        </w:rPr>
        <w:lastRenderedPageBreak/>
        <w:drawing>
          <wp:inline distT="0" distB="0" distL="0" distR="0" wp14:anchorId="4AE06213" wp14:editId="1D1F42C7">
            <wp:extent cx="5923280" cy="4954270"/>
            <wp:effectExtent l="0" t="0" r="1270" b="0"/>
            <wp:docPr id="5124" name="Obrázek 5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23280" cy="4954270"/>
                    </a:xfrm>
                    <a:prstGeom prst="rect">
                      <a:avLst/>
                    </a:prstGeom>
                    <a:noFill/>
                    <a:ln>
                      <a:noFill/>
                    </a:ln>
                  </pic:spPr>
                </pic:pic>
              </a:graphicData>
            </a:graphic>
          </wp:inline>
        </w:drawing>
      </w:r>
    </w:p>
    <w:p w14:paraId="453F4D66" w14:textId="77777777" w:rsidR="00CA23D0" w:rsidRDefault="00CA23D0" w:rsidP="00CA23D0">
      <w:pPr>
        <w:spacing w:after="464" w:line="216" w:lineRule="auto"/>
        <w:ind w:right="192" w:firstLine="576"/>
        <w:jc w:val="both"/>
        <w:rPr>
          <w:rFonts w:ascii="Arial" w:hAnsi="Arial" w:cs="Arial"/>
        </w:rPr>
      </w:pPr>
      <w:r w:rsidRPr="00151BE2">
        <w:rPr>
          <w:rFonts w:ascii="Arial" w:hAnsi="Arial" w:cs="Arial"/>
          <w:noProof/>
          <w:lang w:eastAsia="cs-CZ"/>
        </w:rPr>
        <w:lastRenderedPageBreak/>
        <w:drawing>
          <wp:inline distT="0" distB="0" distL="0" distR="0" wp14:anchorId="535197E5" wp14:editId="7C3D1098">
            <wp:extent cx="5963920" cy="8038465"/>
            <wp:effectExtent l="0" t="0" r="0" b="635"/>
            <wp:docPr id="5123" name="Obrázek 5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63920" cy="8038465"/>
                    </a:xfrm>
                    <a:prstGeom prst="rect">
                      <a:avLst/>
                    </a:prstGeom>
                    <a:noFill/>
                    <a:ln>
                      <a:noFill/>
                    </a:ln>
                  </pic:spPr>
                </pic:pic>
              </a:graphicData>
            </a:graphic>
          </wp:inline>
        </w:drawing>
      </w:r>
    </w:p>
    <w:p w14:paraId="2889153A" w14:textId="77777777" w:rsidR="00CA23D0" w:rsidRDefault="00CA23D0" w:rsidP="00CA23D0">
      <w:pPr>
        <w:spacing w:before="120" w:line="288" w:lineRule="auto"/>
        <w:ind w:right="193" w:firstLine="709"/>
        <w:jc w:val="both"/>
        <w:rPr>
          <w:rFonts w:ascii="Arial" w:hAnsi="Arial" w:cs="Arial"/>
          <w:sz w:val="22"/>
          <w:szCs w:val="22"/>
        </w:rPr>
      </w:pPr>
    </w:p>
    <w:p w14:paraId="2E001D60" w14:textId="77777777" w:rsidR="00CA23D0" w:rsidRDefault="00CA23D0" w:rsidP="00CA23D0">
      <w:pPr>
        <w:spacing w:before="120" w:line="288" w:lineRule="auto"/>
        <w:ind w:right="193" w:firstLine="709"/>
        <w:jc w:val="both"/>
        <w:rPr>
          <w:rFonts w:ascii="Arial" w:hAnsi="Arial" w:cs="Arial"/>
          <w:sz w:val="22"/>
          <w:szCs w:val="22"/>
        </w:rPr>
      </w:pPr>
      <w:r w:rsidRPr="000931C2">
        <w:rPr>
          <w:rFonts w:ascii="Arial" w:hAnsi="Arial" w:cs="Arial"/>
          <w:sz w:val="22"/>
          <w:szCs w:val="22"/>
        </w:rPr>
        <w:lastRenderedPageBreak/>
        <w:t>Pro potřeby zpracování řady bilancí jsou dále v návrhu územního plánu použity tzv. "městské sektory”, kterých bylo pro celé území vymezeno devět. Sektory lze definovat jako do</w:t>
      </w:r>
      <w:r>
        <w:rPr>
          <w:rFonts w:ascii="Arial" w:hAnsi="Arial" w:cs="Arial"/>
          <w:sz w:val="22"/>
          <w:szCs w:val="22"/>
        </w:rPr>
        <w:t> </w:t>
      </w:r>
      <w:r w:rsidRPr="000931C2">
        <w:rPr>
          <w:rFonts w:ascii="Arial" w:hAnsi="Arial" w:cs="Arial"/>
          <w:sz w:val="22"/>
          <w:szCs w:val="22"/>
        </w:rPr>
        <w:t>logických celků agregované urbanistické obvody.</w:t>
      </w:r>
    </w:p>
    <w:p w14:paraId="5573B468" w14:textId="77777777" w:rsidR="00CA23D0" w:rsidRPr="000931C2" w:rsidRDefault="00CA23D0" w:rsidP="00CA23D0">
      <w:pPr>
        <w:spacing w:before="120" w:line="288" w:lineRule="auto"/>
        <w:ind w:right="193" w:firstLine="709"/>
        <w:jc w:val="both"/>
        <w:rPr>
          <w:rFonts w:ascii="Arial" w:hAnsi="Arial" w:cs="Arial"/>
          <w:sz w:val="22"/>
          <w:szCs w:val="22"/>
        </w:rPr>
      </w:pPr>
    </w:p>
    <w:p w14:paraId="52DCCD07" w14:textId="77777777" w:rsidR="00CA23D0" w:rsidRPr="00CA23D0" w:rsidRDefault="00CA23D0" w:rsidP="00CA23D0">
      <w:pPr>
        <w:pStyle w:val="Nadpis1"/>
        <w:ind w:left="590"/>
        <w:jc w:val="both"/>
        <w:rPr>
          <w:rFonts w:ascii="Arial" w:hAnsi="Arial" w:cs="Arial"/>
        </w:rPr>
      </w:pPr>
      <w:r w:rsidRPr="00CA23D0">
        <w:rPr>
          <w:rFonts w:ascii="Arial" w:hAnsi="Arial" w:cs="Arial"/>
        </w:rPr>
        <w:t>MĚSTSKÉ SEKTORY</w:t>
      </w:r>
    </w:p>
    <w:tbl>
      <w:tblPr>
        <w:tblW w:w="7507" w:type="dxa"/>
        <w:tblInd w:w="939" w:type="dxa"/>
        <w:tblCellMar>
          <w:top w:w="16" w:type="dxa"/>
          <w:left w:w="35" w:type="dxa"/>
          <w:right w:w="118" w:type="dxa"/>
        </w:tblCellMar>
        <w:tblLook w:val="04A0" w:firstRow="1" w:lastRow="0" w:firstColumn="1" w:lastColumn="0" w:noHBand="0" w:noVBand="1"/>
      </w:tblPr>
      <w:tblGrid>
        <w:gridCol w:w="727"/>
        <w:gridCol w:w="3017"/>
        <w:gridCol w:w="3763"/>
      </w:tblGrid>
      <w:tr w:rsidR="00CA23D0" w:rsidRPr="007E480D" w14:paraId="03DAE3E9" w14:textId="77777777" w:rsidTr="00CA23D0">
        <w:trPr>
          <w:trHeight w:val="252"/>
        </w:trPr>
        <w:tc>
          <w:tcPr>
            <w:tcW w:w="727" w:type="dxa"/>
            <w:tcBorders>
              <w:top w:val="single" w:sz="2" w:space="0" w:color="000000"/>
              <w:left w:val="single" w:sz="2" w:space="0" w:color="000000"/>
              <w:bottom w:val="single" w:sz="2" w:space="0" w:color="000000"/>
              <w:right w:val="single" w:sz="2" w:space="0" w:color="000000"/>
            </w:tcBorders>
            <w:shd w:val="clear" w:color="auto" w:fill="auto"/>
          </w:tcPr>
          <w:p w14:paraId="7BB257D0" w14:textId="77777777" w:rsidR="00CA23D0" w:rsidRPr="007E480D" w:rsidRDefault="00CA23D0" w:rsidP="00CA23D0">
            <w:pPr>
              <w:ind w:left="65"/>
              <w:jc w:val="both"/>
              <w:rPr>
                <w:rFonts w:ascii="Arial" w:hAnsi="Arial" w:cs="Arial"/>
                <w:sz w:val="22"/>
                <w:szCs w:val="22"/>
              </w:rPr>
            </w:pPr>
            <w:r w:rsidRPr="007E480D">
              <w:rPr>
                <w:rFonts w:ascii="Arial" w:hAnsi="Arial" w:cs="Arial"/>
                <w:sz w:val="20"/>
                <w:szCs w:val="22"/>
              </w:rPr>
              <w:t>číslo</w:t>
            </w:r>
          </w:p>
        </w:tc>
        <w:tc>
          <w:tcPr>
            <w:tcW w:w="3017" w:type="dxa"/>
            <w:tcBorders>
              <w:top w:val="single" w:sz="2" w:space="0" w:color="000000"/>
              <w:left w:val="single" w:sz="2" w:space="0" w:color="000000"/>
              <w:bottom w:val="single" w:sz="2" w:space="0" w:color="000000"/>
              <w:right w:val="single" w:sz="2" w:space="0" w:color="000000"/>
            </w:tcBorders>
            <w:shd w:val="clear" w:color="auto" w:fill="auto"/>
          </w:tcPr>
          <w:p w14:paraId="03DFB157" w14:textId="77777777" w:rsidR="00CA23D0" w:rsidRPr="007E480D" w:rsidRDefault="00CA23D0" w:rsidP="00CA23D0">
            <w:pPr>
              <w:ind w:left="56"/>
              <w:jc w:val="both"/>
              <w:rPr>
                <w:rFonts w:ascii="Arial" w:hAnsi="Arial" w:cs="Arial"/>
                <w:sz w:val="22"/>
                <w:szCs w:val="22"/>
              </w:rPr>
            </w:pPr>
            <w:r w:rsidRPr="007E480D">
              <w:rPr>
                <w:rFonts w:ascii="Arial" w:hAnsi="Arial" w:cs="Arial"/>
                <w:sz w:val="18"/>
                <w:szCs w:val="22"/>
              </w:rPr>
              <w:t>název</w:t>
            </w:r>
          </w:p>
        </w:tc>
        <w:tc>
          <w:tcPr>
            <w:tcW w:w="3763" w:type="dxa"/>
            <w:tcBorders>
              <w:top w:val="single" w:sz="2" w:space="0" w:color="000000"/>
              <w:left w:val="single" w:sz="2" w:space="0" w:color="000000"/>
              <w:bottom w:val="single" w:sz="2" w:space="0" w:color="000000"/>
              <w:right w:val="single" w:sz="2" w:space="0" w:color="000000"/>
            </w:tcBorders>
            <w:shd w:val="clear" w:color="auto" w:fill="auto"/>
          </w:tcPr>
          <w:p w14:paraId="37A303F0" w14:textId="77777777" w:rsidR="00CA23D0" w:rsidRPr="007E480D" w:rsidRDefault="00CA23D0" w:rsidP="00CA23D0">
            <w:pPr>
              <w:ind w:left="86"/>
              <w:jc w:val="both"/>
              <w:rPr>
                <w:rFonts w:ascii="Arial" w:hAnsi="Arial" w:cs="Arial"/>
                <w:sz w:val="22"/>
                <w:szCs w:val="22"/>
              </w:rPr>
            </w:pPr>
            <w:r w:rsidRPr="007E480D">
              <w:rPr>
                <w:rFonts w:ascii="Arial" w:hAnsi="Arial" w:cs="Arial"/>
                <w:sz w:val="18"/>
                <w:szCs w:val="22"/>
              </w:rPr>
              <w:t>zahmuje urbanistické obvody</w:t>
            </w:r>
          </w:p>
        </w:tc>
      </w:tr>
      <w:tr w:rsidR="00CA23D0" w:rsidRPr="007E480D" w14:paraId="1D7FB8D8" w14:textId="77777777" w:rsidTr="00CA23D0">
        <w:trPr>
          <w:trHeight w:val="566"/>
        </w:trPr>
        <w:tc>
          <w:tcPr>
            <w:tcW w:w="72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F660D53" w14:textId="77777777" w:rsidR="00CA23D0" w:rsidRPr="007E480D" w:rsidRDefault="00CA23D0" w:rsidP="00CA23D0">
            <w:pPr>
              <w:jc w:val="center"/>
              <w:rPr>
                <w:rFonts w:ascii="Arial" w:hAnsi="Arial" w:cs="Arial"/>
                <w:b/>
                <w:sz w:val="22"/>
                <w:szCs w:val="22"/>
              </w:rPr>
            </w:pPr>
            <w:r w:rsidRPr="007E480D">
              <w:rPr>
                <w:rFonts w:ascii="Arial" w:hAnsi="Arial" w:cs="Arial"/>
                <w:b/>
                <w:sz w:val="22"/>
                <w:szCs w:val="22"/>
              </w:rPr>
              <w:t>I.A</w:t>
            </w:r>
          </w:p>
          <w:p w14:paraId="091A2563" w14:textId="77777777" w:rsidR="00CA23D0" w:rsidRPr="007E480D" w:rsidRDefault="00CA23D0" w:rsidP="00CA23D0">
            <w:pPr>
              <w:jc w:val="center"/>
              <w:rPr>
                <w:rFonts w:ascii="Arial" w:hAnsi="Arial" w:cs="Arial"/>
                <w:b/>
                <w:sz w:val="22"/>
                <w:szCs w:val="22"/>
              </w:rPr>
            </w:pPr>
            <w:r w:rsidRPr="007E480D">
              <w:rPr>
                <w:rFonts w:ascii="Arial" w:hAnsi="Arial" w:cs="Arial"/>
                <w:b/>
                <w:sz w:val="22"/>
                <w:szCs w:val="22"/>
              </w:rPr>
              <w:t>I.B</w:t>
            </w:r>
          </w:p>
        </w:tc>
        <w:tc>
          <w:tcPr>
            <w:tcW w:w="301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B1900BC" w14:textId="77777777" w:rsidR="00CA23D0" w:rsidRPr="007E480D" w:rsidRDefault="00CA23D0" w:rsidP="00CA23D0">
            <w:pPr>
              <w:ind w:left="13" w:hanging="5"/>
              <w:rPr>
                <w:rFonts w:ascii="Arial" w:hAnsi="Arial" w:cs="Arial"/>
                <w:sz w:val="22"/>
                <w:szCs w:val="22"/>
              </w:rPr>
            </w:pPr>
            <w:r w:rsidRPr="007E480D">
              <w:rPr>
                <w:rFonts w:ascii="Arial" w:hAnsi="Arial" w:cs="Arial"/>
                <w:sz w:val="20"/>
                <w:szCs w:val="22"/>
              </w:rPr>
              <w:t>centrum levý břeh - Podmokly centrum pravý břeh - Děčín</w:t>
            </w:r>
          </w:p>
        </w:tc>
        <w:tc>
          <w:tcPr>
            <w:tcW w:w="3763" w:type="dxa"/>
            <w:tcBorders>
              <w:top w:val="single" w:sz="2" w:space="0" w:color="000000"/>
              <w:left w:val="single" w:sz="2" w:space="0" w:color="000000"/>
              <w:bottom w:val="single" w:sz="2" w:space="0" w:color="000000"/>
              <w:right w:val="single" w:sz="2" w:space="0" w:color="000000"/>
            </w:tcBorders>
            <w:shd w:val="clear" w:color="auto" w:fill="auto"/>
          </w:tcPr>
          <w:p w14:paraId="193E07DD" w14:textId="77777777" w:rsidR="00CA23D0" w:rsidRPr="007E480D" w:rsidRDefault="00CA23D0" w:rsidP="00CA23D0">
            <w:pPr>
              <w:ind w:left="10"/>
              <w:jc w:val="both"/>
              <w:rPr>
                <w:rFonts w:ascii="Arial" w:hAnsi="Arial" w:cs="Arial"/>
                <w:sz w:val="22"/>
                <w:szCs w:val="22"/>
              </w:rPr>
            </w:pPr>
            <w:r w:rsidRPr="007E480D">
              <w:rPr>
                <w:rFonts w:ascii="Arial" w:hAnsi="Arial" w:cs="Arial"/>
                <w:sz w:val="22"/>
                <w:szCs w:val="22"/>
              </w:rPr>
              <w:t>23, 24, 25 a 26,</w:t>
            </w:r>
          </w:p>
          <w:p w14:paraId="7BC05B69" w14:textId="77777777" w:rsidR="00CA23D0" w:rsidRPr="007E480D" w:rsidRDefault="00CA23D0" w:rsidP="00CA23D0">
            <w:pPr>
              <w:ind w:left="24"/>
              <w:jc w:val="both"/>
              <w:rPr>
                <w:rFonts w:ascii="Arial" w:hAnsi="Arial" w:cs="Arial"/>
                <w:sz w:val="22"/>
                <w:szCs w:val="22"/>
              </w:rPr>
            </w:pPr>
            <w:r w:rsidRPr="007E480D">
              <w:rPr>
                <w:rFonts w:ascii="Arial" w:hAnsi="Arial" w:cs="Arial"/>
                <w:sz w:val="26"/>
                <w:szCs w:val="22"/>
              </w:rPr>
              <w:t>1, 10 a11</w:t>
            </w:r>
          </w:p>
        </w:tc>
      </w:tr>
      <w:tr w:rsidR="00CA23D0" w:rsidRPr="007E480D" w14:paraId="2AEA5538" w14:textId="77777777" w:rsidTr="00CA23D0">
        <w:trPr>
          <w:trHeight w:val="320"/>
        </w:trPr>
        <w:tc>
          <w:tcPr>
            <w:tcW w:w="72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7E2E6F2" w14:textId="77777777" w:rsidR="00CA23D0" w:rsidRPr="007E480D" w:rsidRDefault="00CA23D0" w:rsidP="00CA23D0">
            <w:pPr>
              <w:jc w:val="center"/>
              <w:rPr>
                <w:rFonts w:ascii="Arial" w:hAnsi="Arial" w:cs="Arial"/>
                <w:b/>
                <w:sz w:val="22"/>
                <w:szCs w:val="22"/>
              </w:rPr>
            </w:pPr>
            <w:r w:rsidRPr="007E480D">
              <w:rPr>
                <w:rFonts w:ascii="Arial" w:hAnsi="Arial" w:cs="Arial"/>
                <w:b/>
                <w:sz w:val="22"/>
                <w:szCs w:val="22"/>
              </w:rPr>
              <w:t>II.</w:t>
            </w:r>
          </w:p>
        </w:tc>
        <w:tc>
          <w:tcPr>
            <w:tcW w:w="301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6C2BFC2" w14:textId="77777777" w:rsidR="00CA23D0" w:rsidRPr="007E480D" w:rsidRDefault="00CA23D0" w:rsidP="00CA23D0">
            <w:pPr>
              <w:ind w:left="13"/>
              <w:rPr>
                <w:rFonts w:ascii="Arial" w:hAnsi="Arial" w:cs="Arial"/>
                <w:sz w:val="22"/>
                <w:szCs w:val="22"/>
              </w:rPr>
            </w:pPr>
            <w:r w:rsidRPr="007E480D">
              <w:rPr>
                <w:rFonts w:ascii="Arial" w:hAnsi="Arial" w:cs="Arial"/>
                <w:sz w:val="20"/>
                <w:szCs w:val="22"/>
              </w:rPr>
              <w:t>Želenice - Letná</w:t>
            </w:r>
          </w:p>
        </w:tc>
        <w:tc>
          <w:tcPr>
            <w:tcW w:w="3763" w:type="dxa"/>
            <w:tcBorders>
              <w:top w:val="single" w:sz="2" w:space="0" w:color="000000"/>
              <w:left w:val="single" w:sz="2" w:space="0" w:color="000000"/>
              <w:bottom w:val="single" w:sz="2" w:space="0" w:color="000000"/>
              <w:right w:val="single" w:sz="2" w:space="0" w:color="000000"/>
            </w:tcBorders>
            <w:shd w:val="clear" w:color="auto" w:fill="auto"/>
          </w:tcPr>
          <w:p w14:paraId="58435A41" w14:textId="77777777" w:rsidR="00CA23D0" w:rsidRPr="007E480D" w:rsidRDefault="00CA23D0" w:rsidP="00CA23D0">
            <w:pPr>
              <w:ind w:left="24"/>
              <w:jc w:val="both"/>
              <w:rPr>
                <w:rFonts w:ascii="Arial" w:hAnsi="Arial" w:cs="Arial"/>
                <w:sz w:val="22"/>
                <w:szCs w:val="22"/>
              </w:rPr>
            </w:pPr>
            <w:r w:rsidRPr="007E480D">
              <w:rPr>
                <w:rFonts w:ascii="Arial" w:hAnsi="Arial" w:cs="Arial"/>
                <w:sz w:val="20"/>
                <w:szCs w:val="22"/>
              </w:rPr>
              <w:t>18, 19, 20, 21 a 22</w:t>
            </w:r>
          </w:p>
        </w:tc>
      </w:tr>
      <w:tr w:rsidR="00CA23D0" w:rsidRPr="007E480D" w14:paraId="4651C713" w14:textId="77777777" w:rsidTr="00CA23D0">
        <w:trPr>
          <w:trHeight w:val="328"/>
        </w:trPr>
        <w:tc>
          <w:tcPr>
            <w:tcW w:w="72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AD40481" w14:textId="77777777" w:rsidR="00CA23D0" w:rsidRPr="007E480D" w:rsidRDefault="00CA23D0" w:rsidP="00CA23D0">
            <w:pPr>
              <w:ind w:left="22"/>
              <w:jc w:val="center"/>
              <w:rPr>
                <w:rFonts w:ascii="Arial" w:hAnsi="Arial" w:cs="Arial"/>
                <w:b/>
                <w:sz w:val="22"/>
                <w:szCs w:val="22"/>
              </w:rPr>
            </w:pPr>
            <w:r w:rsidRPr="007E480D">
              <w:rPr>
                <w:rFonts w:ascii="Arial" w:hAnsi="Arial" w:cs="Arial"/>
                <w:b/>
                <w:sz w:val="22"/>
                <w:szCs w:val="22"/>
              </w:rPr>
              <w:t>III.</w:t>
            </w:r>
          </w:p>
        </w:tc>
        <w:tc>
          <w:tcPr>
            <w:tcW w:w="301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32BDCDCA" w14:textId="77777777" w:rsidR="00CA23D0" w:rsidRPr="007E480D" w:rsidRDefault="00CA23D0" w:rsidP="00CA23D0">
            <w:pPr>
              <w:ind w:left="8"/>
              <w:rPr>
                <w:rFonts w:ascii="Arial" w:hAnsi="Arial" w:cs="Arial"/>
                <w:sz w:val="22"/>
                <w:szCs w:val="22"/>
              </w:rPr>
            </w:pPr>
            <w:r w:rsidRPr="007E480D">
              <w:rPr>
                <w:rFonts w:ascii="Arial" w:hAnsi="Arial" w:cs="Arial"/>
                <w:sz w:val="20"/>
                <w:szCs w:val="22"/>
              </w:rPr>
              <w:t>Chrochvice - Vilsnice</w:t>
            </w:r>
          </w:p>
        </w:tc>
        <w:tc>
          <w:tcPr>
            <w:tcW w:w="3763" w:type="dxa"/>
            <w:tcBorders>
              <w:top w:val="single" w:sz="2" w:space="0" w:color="000000"/>
              <w:left w:val="single" w:sz="2" w:space="0" w:color="000000"/>
              <w:bottom w:val="single" w:sz="2" w:space="0" w:color="000000"/>
              <w:right w:val="single" w:sz="2" w:space="0" w:color="000000"/>
            </w:tcBorders>
            <w:shd w:val="clear" w:color="auto" w:fill="auto"/>
          </w:tcPr>
          <w:p w14:paraId="368C7ADA" w14:textId="77777777" w:rsidR="00CA23D0" w:rsidRPr="007E480D" w:rsidRDefault="00CA23D0" w:rsidP="00CA23D0">
            <w:pPr>
              <w:ind w:left="19"/>
              <w:jc w:val="both"/>
              <w:rPr>
                <w:rFonts w:ascii="Arial" w:hAnsi="Arial" w:cs="Arial"/>
                <w:sz w:val="22"/>
                <w:szCs w:val="22"/>
              </w:rPr>
            </w:pPr>
            <w:r w:rsidRPr="007E480D">
              <w:rPr>
                <w:rFonts w:ascii="Arial" w:hAnsi="Arial" w:cs="Arial"/>
                <w:sz w:val="20"/>
                <w:szCs w:val="22"/>
              </w:rPr>
              <w:t>16, 17, 41 a 42</w:t>
            </w:r>
          </w:p>
        </w:tc>
      </w:tr>
      <w:tr w:rsidR="00CA23D0" w:rsidRPr="007E480D" w14:paraId="30764A73" w14:textId="77777777" w:rsidTr="00CA23D0">
        <w:trPr>
          <w:trHeight w:val="331"/>
        </w:trPr>
        <w:tc>
          <w:tcPr>
            <w:tcW w:w="72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A4F017D" w14:textId="77777777" w:rsidR="00CA23D0" w:rsidRPr="007E480D" w:rsidRDefault="00CA23D0" w:rsidP="00CA23D0">
            <w:pPr>
              <w:jc w:val="center"/>
              <w:rPr>
                <w:rFonts w:ascii="Arial" w:hAnsi="Arial" w:cs="Arial"/>
                <w:b/>
                <w:sz w:val="22"/>
                <w:szCs w:val="22"/>
              </w:rPr>
            </w:pPr>
            <w:r w:rsidRPr="007E480D">
              <w:rPr>
                <w:rFonts w:ascii="Arial" w:hAnsi="Arial" w:cs="Arial"/>
                <w:b/>
                <w:sz w:val="22"/>
                <w:szCs w:val="22"/>
              </w:rPr>
              <w:t>IV.</w:t>
            </w:r>
          </w:p>
        </w:tc>
        <w:tc>
          <w:tcPr>
            <w:tcW w:w="301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3F8ED3A" w14:textId="77777777" w:rsidR="00CA23D0" w:rsidRPr="007E480D" w:rsidRDefault="00CA23D0" w:rsidP="00CA23D0">
            <w:pPr>
              <w:ind w:left="13"/>
              <w:rPr>
                <w:rFonts w:ascii="Arial" w:hAnsi="Arial" w:cs="Arial"/>
                <w:sz w:val="22"/>
                <w:szCs w:val="22"/>
              </w:rPr>
            </w:pPr>
            <w:r w:rsidRPr="007E480D">
              <w:rPr>
                <w:rFonts w:ascii="Arial" w:hAnsi="Arial" w:cs="Arial"/>
                <w:sz w:val="20"/>
                <w:szCs w:val="22"/>
              </w:rPr>
              <w:t>Bynov - Oldřichov</w:t>
            </w:r>
          </w:p>
        </w:tc>
        <w:tc>
          <w:tcPr>
            <w:tcW w:w="3763" w:type="dxa"/>
            <w:tcBorders>
              <w:top w:val="single" w:sz="2" w:space="0" w:color="000000"/>
              <w:left w:val="single" w:sz="2" w:space="0" w:color="000000"/>
              <w:bottom w:val="single" w:sz="2" w:space="0" w:color="000000"/>
              <w:right w:val="single" w:sz="2" w:space="0" w:color="000000"/>
            </w:tcBorders>
            <w:shd w:val="clear" w:color="auto" w:fill="auto"/>
          </w:tcPr>
          <w:p w14:paraId="0FB1BB97" w14:textId="77777777" w:rsidR="00CA23D0" w:rsidRPr="007E480D" w:rsidRDefault="00CA23D0" w:rsidP="00CA23D0">
            <w:pPr>
              <w:ind w:left="5"/>
              <w:jc w:val="both"/>
              <w:rPr>
                <w:rFonts w:ascii="Arial" w:hAnsi="Arial" w:cs="Arial"/>
                <w:sz w:val="22"/>
                <w:szCs w:val="22"/>
              </w:rPr>
            </w:pPr>
            <w:r w:rsidRPr="007E480D">
              <w:rPr>
                <w:rFonts w:ascii="Arial" w:hAnsi="Arial" w:cs="Arial"/>
                <w:sz w:val="22"/>
                <w:szCs w:val="22"/>
              </w:rPr>
              <w:t>27, 28, 29, 30, 31, 32, 33 a 64</w:t>
            </w:r>
          </w:p>
        </w:tc>
      </w:tr>
      <w:tr w:rsidR="00CA23D0" w:rsidRPr="007E480D" w14:paraId="48C86626" w14:textId="77777777" w:rsidTr="00CA23D0">
        <w:trPr>
          <w:trHeight w:val="331"/>
        </w:trPr>
        <w:tc>
          <w:tcPr>
            <w:tcW w:w="72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512F944" w14:textId="77777777" w:rsidR="00CA23D0" w:rsidRPr="007E480D" w:rsidRDefault="00CA23D0" w:rsidP="00CA23D0">
            <w:pPr>
              <w:jc w:val="center"/>
              <w:rPr>
                <w:rFonts w:ascii="Arial" w:hAnsi="Arial" w:cs="Arial"/>
                <w:b/>
                <w:sz w:val="22"/>
                <w:szCs w:val="22"/>
              </w:rPr>
            </w:pPr>
            <w:r w:rsidRPr="007E480D">
              <w:rPr>
                <w:rFonts w:ascii="Arial" w:hAnsi="Arial" w:cs="Arial"/>
                <w:b/>
                <w:sz w:val="22"/>
                <w:szCs w:val="22"/>
              </w:rPr>
              <w:t>V.</w:t>
            </w:r>
          </w:p>
        </w:tc>
        <w:tc>
          <w:tcPr>
            <w:tcW w:w="301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3F1773B" w14:textId="77777777" w:rsidR="00CA23D0" w:rsidRPr="007E480D" w:rsidRDefault="00CA23D0" w:rsidP="00CA23D0">
            <w:pPr>
              <w:ind w:left="13"/>
              <w:rPr>
                <w:rFonts w:ascii="Arial" w:hAnsi="Arial" w:cs="Arial"/>
                <w:sz w:val="22"/>
                <w:szCs w:val="22"/>
              </w:rPr>
            </w:pPr>
            <w:r w:rsidRPr="007E480D">
              <w:rPr>
                <w:rFonts w:ascii="Arial" w:hAnsi="Arial" w:cs="Arial"/>
                <w:sz w:val="20"/>
                <w:szCs w:val="22"/>
              </w:rPr>
              <w:t>Loubí - žleb</w:t>
            </w:r>
          </w:p>
        </w:tc>
        <w:tc>
          <w:tcPr>
            <w:tcW w:w="3763" w:type="dxa"/>
            <w:tcBorders>
              <w:top w:val="single" w:sz="2" w:space="0" w:color="000000"/>
              <w:left w:val="single" w:sz="2" w:space="0" w:color="000000"/>
              <w:bottom w:val="single" w:sz="2" w:space="0" w:color="000000"/>
              <w:right w:val="single" w:sz="2" w:space="0" w:color="000000"/>
            </w:tcBorders>
            <w:shd w:val="clear" w:color="auto" w:fill="auto"/>
          </w:tcPr>
          <w:p w14:paraId="6177B785" w14:textId="77777777" w:rsidR="00CA23D0" w:rsidRPr="007E480D" w:rsidRDefault="00CA23D0" w:rsidP="00CA23D0">
            <w:pPr>
              <w:ind w:left="5"/>
              <w:jc w:val="both"/>
              <w:rPr>
                <w:rFonts w:ascii="Arial" w:hAnsi="Arial" w:cs="Arial"/>
                <w:sz w:val="22"/>
                <w:szCs w:val="22"/>
              </w:rPr>
            </w:pPr>
            <w:r w:rsidRPr="007E480D">
              <w:rPr>
                <w:rFonts w:ascii="Arial" w:hAnsi="Arial" w:cs="Arial"/>
                <w:sz w:val="22"/>
                <w:szCs w:val="22"/>
              </w:rPr>
              <w:t>2, 3, 39, 40 a 65</w:t>
            </w:r>
          </w:p>
        </w:tc>
      </w:tr>
      <w:tr w:rsidR="00CA23D0" w:rsidRPr="007E480D" w14:paraId="6F411BAC" w14:textId="77777777" w:rsidTr="00CA23D0">
        <w:trPr>
          <w:trHeight w:val="322"/>
        </w:trPr>
        <w:tc>
          <w:tcPr>
            <w:tcW w:w="72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B038ACF" w14:textId="77777777" w:rsidR="00CA23D0" w:rsidRPr="007E480D" w:rsidRDefault="00CA23D0" w:rsidP="00CA23D0">
            <w:pPr>
              <w:jc w:val="center"/>
              <w:rPr>
                <w:rFonts w:ascii="Arial" w:hAnsi="Arial" w:cs="Arial"/>
                <w:b/>
                <w:sz w:val="22"/>
                <w:szCs w:val="22"/>
              </w:rPr>
            </w:pPr>
            <w:r w:rsidRPr="007E480D">
              <w:rPr>
                <w:rFonts w:ascii="Arial" w:hAnsi="Arial" w:cs="Arial"/>
                <w:b/>
                <w:sz w:val="22"/>
                <w:szCs w:val="22"/>
              </w:rPr>
              <w:t>VI.</w:t>
            </w:r>
          </w:p>
        </w:tc>
        <w:tc>
          <w:tcPr>
            <w:tcW w:w="301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1F0FA38" w14:textId="77777777" w:rsidR="00CA23D0" w:rsidRPr="007E480D" w:rsidRDefault="00CA23D0" w:rsidP="00CA23D0">
            <w:pPr>
              <w:ind w:left="8"/>
              <w:rPr>
                <w:rFonts w:ascii="Arial" w:hAnsi="Arial" w:cs="Arial"/>
                <w:sz w:val="22"/>
                <w:szCs w:val="22"/>
              </w:rPr>
            </w:pPr>
            <w:r w:rsidRPr="007E480D">
              <w:rPr>
                <w:rFonts w:ascii="Arial" w:hAnsi="Arial" w:cs="Arial"/>
                <w:sz w:val="20"/>
                <w:szCs w:val="22"/>
              </w:rPr>
              <w:t>Nové Město - Staré Město</w:t>
            </w:r>
          </w:p>
        </w:tc>
        <w:tc>
          <w:tcPr>
            <w:tcW w:w="3763" w:type="dxa"/>
            <w:tcBorders>
              <w:top w:val="single" w:sz="2" w:space="0" w:color="000000"/>
              <w:left w:val="single" w:sz="2" w:space="0" w:color="000000"/>
              <w:bottom w:val="single" w:sz="2" w:space="0" w:color="000000"/>
              <w:right w:val="single" w:sz="2" w:space="0" w:color="000000"/>
            </w:tcBorders>
            <w:shd w:val="clear" w:color="auto" w:fill="auto"/>
          </w:tcPr>
          <w:p w14:paraId="74BC1A12" w14:textId="77777777" w:rsidR="00CA23D0" w:rsidRPr="007E480D" w:rsidRDefault="00CA23D0" w:rsidP="00CA23D0">
            <w:pPr>
              <w:jc w:val="both"/>
              <w:rPr>
                <w:rFonts w:ascii="Arial" w:hAnsi="Arial" w:cs="Arial"/>
                <w:sz w:val="22"/>
                <w:szCs w:val="22"/>
              </w:rPr>
            </w:pPr>
            <w:r w:rsidRPr="007E480D">
              <w:rPr>
                <w:rFonts w:ascii="Arial" w:hAnsi="Arial" w:cs="Arial"/>
                <w:sz w:val="22"/>
                <w:szCs w:val="22"/>
              </w:rPr>
              <w:t>4, 5, 6, 7, 8, 9, 12, 13, 15. 47, 48 a 14- část</w:t>
            </w:r>
          </w:p>
        </w:tc>
      </w:tr>
      <w:tr w:rsidR="00CA23D0" w:rsidRPr="007E480D" w14:paraId="43E4FE76" w14:textId="77777777" w:rsidTr="00CA23D0">
        <w:trPr>
          <w:trHeight w:val="331"/>
        </w:trPr>
        <w:tc>
          <w:tcPr>
            <w:tcW w:w="72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FCF8E7F" w14:textId="77777777" w:rsidR="00CA23D0" w:rsidRPr="007E480D" w:rsidRDefault="00CA23D0" w:rsidP="00CA23D0">
            <w:pPr>
              <w:jc w:val="center"/>
              <w:rPr>
                <w:rFonts w:ascii="Arial" w:hAnsi="Arial" w:cs="Arial"/>
                <w:b/>
                <w:sz w:val="22"/>
                <w:szCs w:val="22"/>
              </w:rPr>
            </w:pPr>
            <w:r w:rsidRPr="007E480D">
              <w:rPr>
                <w:rFonts w:ascii="Arial" w:hAnsi="Arial" w:cs="Arial"/>
                <w:b/>
                <w:sz w:val="22"/>
                <w:szCs w:val="22"/>
              </w:rPr>
              <w:t>VII.</w:t>
            </w:r>
          </w:p>
        </w:tc>
        <w:tc>
          <w:tcPr>
            <w:tcW w:w="301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89A5F19" w14:textId="77777777" w:rsidR="00CA23D0" w:rsidRPr="007E480D" w:rsidRDefault="00CA23D0" w:rsidP="00CA23D0">
            <w:pPr>
              <w:ind w:left="8"/>
              <w:rPr>
                <w:rFonts w:ascii="Arial" w:hAnsi="Arial" w:cs="Arial"/>
                <w:sz w:val="22"/>
                <w:szCs w:val="22"/>
              </w:rPr>
            </w:pPr>
            <w:r w:rsidRPr="007E480D">
              <w:rPr>
                <w:rFonts w:ascii="Arial" w:hAnsi="Arial" w:cs="Arial"/>
                <w:sz w:val="22"/>
                <w:szCs w:val="22"/>
              </w:rPr>
              <w:t>Boletice n. L. - Křešice</w:t>
            </w:r>
          </w:p>
        </w:tc>
        <w:tc>
          <w:tcPr>
            <w:tcW w:w="3763" w:type="dxa"/>
            <w:tcBorders>
              <w:top w:val="single" w:sz="2" w:space="0" w:color="000000"/>
              <w:left w:val="single" w:sz="2" w:space="0" w:color="000000"/>
              <w:bottom w:val="single" w:sz="2" w:space="0" w:color="000000"/>
              <w:right w:val="single" w:sz="2" w:space="0" w:color="000000"/>
            </w:tcBorders>
            <w:shd w:val="clear" w:color="auto" w:fill="auto"/>
          </w:tcPr>
          <w:p w14:paraId="653F2E6D" w14:textId="77777777" w:rsidR="00CA23D0" w:rsidRPr="007E480D" w:rsidRDefault="00CA23D0" w:rsidP="00CA23D0">
            <w:pPr>
              <w:ind w:left="5"/>
              <w:jc w:val="both"/>
              <w:rPr>
                <w:rFonts w:ascii="Arial" w:hAnsi="Arial" w:cs="Arial"/>
                <w:sz w:val="22"/>
                <w:szCs w:val="22"/>
              </w:rPr>
            </w:pPr>
            <w:r w:rsidRPr="007E480D">
              <w:rPr>
                <w:rFonts w:ascii="Arial" w:hAnsi="Arial" w:cs="Arial"/>
                <w:sz w:val="22"/>
                <w:szCs w:val="22"/>
              </w:rPr>
              <w:t>51, 52, 57, 58, 66, 67, 68 a 14 část</w:t>
            </w:r>
          </w:p>
        </w:tc>
      </w:tr>
      <w:tr w:rsidR="00CA23D0" w:rsidRPr="007E480D" w14:paraId="325CAC62" w14:textId="77777777" w:rsidTr="00CA23D0">
        <w:trPr>
          <w:trHeight w:val="329"/>
        </w:trPr>
        <w:tc>
          <w:tcPr>
            <w:tcW w:w="72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302E02A" w14:textId="77777777" w:rsidR="00CA23D0" w:rsidRPr="007E480D" w:rsidRDefault="00CA23D0" w:rsidP="00CA23D0">
            <w:pPr>
              <w:jc w:val="center"/>
              <w:rPr>
                <w:rFonts w:ascii="Arial" w:hAnsi="Arial" w:cs="Arial"/>
                <w:b/>
                <w:sz w:val="22"/>
                <w:szCs w:val="22"/>
              </w:rPr>
            </w:pPr>
            <w:r w:rsidRPr="007E480D">
              <w:rPr>
                <w:rFonts w:ascii="Arial" w:hAnsi="Arial" w:cs="Arial"/>
                <w:b/>
                <w:sz w:val="22"/>
                <w:szCs w:val="22"/>
              </w:rPr>
              <w:t>VlIl.</w:t>
            </w:r>
          </w:p>
        </w:tc>
        <w:tc>
          <w:tcPr>
            <w:tcW w:w="301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05E894B" w14:textId="77777777" w:rsidR="00CA23D0" w:rsidRPr="007E480D" w:rsidRDefault="00CA23D0" w:rsidP="00CA23D0">
            <w:pPr>
              <w:ind w:left="8"/>
              <w:rPr>
                <w:rFonts w:ascii="Arial" w:hAnsi="Arial" w:cs="Arial"/>
                <w:sz w:val="22"/>
                <w:szCs w:val="22"/>
              </w:rPr>
            </w:pPr>
            <w:r w:rsidRPr="007E480D">
              <w:rPr>
                <w:rFonts w:ascii="Arial" w:hAnsi="Arial" w:cs="Arial"/>
                <w:sz w:val="20"/>
                <w:szCs w:val="22"/>
              </w:rPr>
              <w:t>Maxičky - Žleb</w:t>
            </w:r>
          </w:p>
        </w:tc>
        <w:tc>
          <w:tcPr>
            <w:tcW w:w="3763" w:type="dxa"/>
            <w:tcBorders>
              <w:top w:val="single" w:sz="2" w:space="0" w:color="000000"/>
              <w:left w:val="single" w:sz="2" w:space="0" w:color="000000"/>
              <w:bottom w:val="single" w:sz="2" w:space="0" w:color="000000"/>
              <w:right w:val="single" w:sz="2" w:space="0" w:color="000000"/>
            </w:tcBorders>
            <w:shd w:val="clear" w:color="auto" w:fill="auto"/>
          </w:tcPr>
          <w:p w14:paraId="25C5DA83" w14:textId="77777777" w:rsidR="00CA23D0" w:rsidRPr="007E480D" w:rsidRDefault="00CA23D0" w:rsidP="00CA23D0">
            <w:pPr>
              <w:ind w:left="5"/>
              <w:jc w:val="both"/>
              <w:rPr>
                <w:rFonts w:ascii="Arial" w:hAnsi="Arial" w:cs="Arial"/>
                <w:sz w:val="22"/>
                <w:szCs w:val="22"/>
              </w:rPr>
            </w:pPr>
            <w:r w:rsidRPr="007E480D">
              <w:rPr>
                <w:rFonts w:ascii="Arial" w:hAnsi="Arial" w:cs="Arial"/>
                <w:sz w:val="20"/>
                <w:szCs w:val="22"/>
              </w:rPr>
              <w:t>34, 35, 36, 37, 38, 43 a 44</w:t>
            </w:r>
          </w:p>
        </w:tc>
      </w:tr>
      <w:tr w:rsidR="00CA23D0" w:rsidRPr="007E480D" w14:paraId="5FB96056" w14:textId="77777777" w:rsidTr="00CA23D0">
        <w:trPr>
          <w:trHeight w:val="323"/>
        </w:trPr>
        <w:tc>
          <w:tcPr>
            <w:tcW w:w="72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84DE872" w14:textId="77777777" w:rsidR="00CA23D0" w:rsidRPr="007E480D" w:rsidRDefault="00CA23D0" w:rsidP="00CA23D0">
            <w:pPr>
              <w:jc w:val="center"/>
              <w:rPr>
                <w:rFonts w:ascii="Arial" w:hAnsi="Arial" w:cs="Arial"/>
                <w:b/>
                <w:sz w:val="22"/>
                <w:szCs w:val="22"/>
              </w:rPr>
            </w:pPr>
            <w:r w:rsidRPr="007E480D">
              <w:rPr>
                <w:rFonts w:ascii="Arial" w:hAnsi="Arial" w:cs="Arial"/>
                <w:b/>
                <w:sz w:val="22"/>
                <w:szCs w:val="22"/>
              </w:rPr>
              <w:t>IX.</w:t>
            </w:r>
          </w:p>
        </w:tc>
        <w:tc>
          <w:tcPr>
            <w:tcW w:w="3017"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FDB23C5" w14:textId="77777777" w:rsidR="00CA23D0" w:rsidRPr="007E480D" w:rsidRDefault="00CA23D0" w:rsidP="00CA23D0">
            <w:pPr>
              <w:ind w:left="3"/>
              <w:rPr>
                <w:rFonts w:ascii="Arial" w:hAnsi="Arial" w:cs="Arial"/>
                <w:sz w:val="22"/>
                <w:szCs w:val="22"/>
              </w:rPr>
            </w:pPr>
            <w:r w:rsidRPr="007E480D">
              <w:rPr>
                <w:rFonts w:ascii="Arial" w:hAnsi="Arial" w:cs="Arial"/>
                <w:sz w:val="22"/>
                <w:szCs w:val="22"/>
              </w:rPr>
              <w:t>Lesná</w:t>
            </w:r>
          </w:p>
        </w:tc>
        <w:tc>
          <w:tcPr>
            <w:tcW w:w="3763" w:type="dxa"/>
            <w:tcBorders>
              <w:top w:val="single" w:sz="2" w:space="0" w:color="000000"/>
              <w:left w:val="single" w:sz="2" w:space="0" w:color="000000"/>
              <w:bottom w:val="single" w:sz="2" w:space="0" w:color="000000"/>
              <w:right w:val="single" w:sz="2" w:space="0" w:color="000000"/>
            </w:tcBorders>
            <w:shd w:val="clear" w:color="auto" w:fill="auto"/>
          </w:tcPr>
          <w:p w14:paraId="24F82BE9" w14:textId="77777777" w:rsidR="00CA23D0" w:rsidRPr="007E480D" w:rsidRDefault="00CA23D0" w:rsidP="00CA23D0">
            <w:pPr>
              <w:jc w:val="both"/>
              <w:rPr>
                <w:rFonts w:ascii="Arial" w:hAnsi="Arial" w:cs="Arial"/>
                <w:sz w:val="22"/>
                <w:szCs w:val="22"/>
              </w:rPr>
            </w:pPr>
            <w:r w:rsidRPr="007E480D">
              <w:rPr>
                <w:rFonts w:ascii="Arial" w:hAnsi="Arial" w:cs="Arial"/>
                <w:sz w:val="22"/>
                <w:szCs w:val="22"/>
              </w:rPr>
              <w:t>49, 53, 54, 55 a 56</w:t>
            </w:r>
          </w:p>
        </w:tc>
      </w:tr>
    </w:tbl>
    <w:p w14:paraId="65B1A326" w14:textId="77777777" w:rsidR="00CA23D0" w:rsidRDefault="00CA23D0" w:rsidP="00CA23D0">
      <w:pPr>
        <w:spacing w:before="120" w:line="288" w:lineRule="auto"/>
        <w:ind w:right="193" w:firstLine="709"/>
        <w:jc w:val="both"/>
        <w:rPr>
          <w:rFonts w:ascii="Arial" w:hAnsi="Arial" w:cs="Arial"/>
          <w:sz w:val="22"/>
          <w:szCs w:val="22"/>
        </w:rPr>
      </w:pPr>
    </w:p>
    <w:p w14:paraId="6ACCD5D3" w14:textId="77777777" w:rsidR="00CA23D0" w:rsidRPr="00446FDD" w:rsidRDefault="00CA23D0" w:rsidP="00CA23D0">
      <w:pPr>
        <w:spacing w:before="120" w:line="288" w:lineRule="auto"/>
        <w:ind w:right="193" w:firstLine="709"/>
        <w:jc w:val="both"/>
        <w:rPr>
          <w:rFonts w:ascii="Arial" w:hAnsi="Arial" w:cs="Arial"/>
          <w:sz w:val="22"/>
          <w:szCs w:val="22"/>
        </w:rPr>
      </w:pPr>
      <w:r w:rsidRPr="00446FDD">
        <w:rPr>
          <w:rFonts w:ascii="Arial" w:hAnsi="Arial" w:cs="Arial"/>
          <w:sz w:val="22"/>
          <w:szCs w:val="22"/>
        </w:rPr>
        <w:t>Takto vymezené „městské sektory” zahrnují vždy charakteristické funkce urbanistické struktury jednotlivých městských čtvrtí, charakter území včetně jeho využitelnosti (venkovská sídla a ZPF, LPF) a problematiky a současně tvoří hlavní ”bilanční celky” navrženého řešení.</w:t>
      </w:r>
    </w:p>
    <w:p w14:paraId="4F33E481" w14:textId="77777777" w:rsidR="00CA23D0" w:rsidRDefault="00CA23D0" w:rsidP="00CA23D0">
      <w:pPr>
        <w:spacing w:before="120" w:line="288" w:lineRule="auto"/>
        <w:ind w:right="193" w:firstLine="709"/>
        <w:jc w:val="both"/>
        <w:rPr>
          <w:rFonts w:ascii="Arial" w:hAnsi="Arial" w:cs="Arial"/>
          <w:sz w:val="22"/>
          <w:szCs w:val="22"/>
        </w:rPr>
      </w:pPr>
      <w:r w:rsidRPr="00446FDD">
        <w:rPr>
          <w:rFonts w:ascii="Arial" w:hAnsi="Arial" w:cs="Arial"/>
          <w:noProof/>
          <w:sz w:val="22"/>
          <w:szCs w:val="22"/>
          <w:lang w:eastAsia="cs-CZ"/>
        </w:rPr>
        <w:drawing>
          <wp:anchor distT="0" distB="0" distL="114300" distR="114300" simplePos="0" relativeHeight="251678720" behindDoc="0" locked="0" layoutInCell="1" allowOverlap="0" wp14:anchorId="4DB28058" wp14:editId="53F283D0">
            <wp:simplePos x="0" y="0"/>
            <wp:positionH relativeFrom="page">
              <wp:posOffset>4800600</wp:posOffset>
            </wp:positionH>
            <wp:positionV relativeFrom="page">
              <wp:posOffset>667385</wp:posOffset>
            </wp:positionV>
            <wp:extent cx="3175" cy="3175"/>
            <wp:effectExtent l="0" t="0" r="0" b="0"/>
            <wp:wrapSquare wrapText="bothSides"/>
            <wp:docPr id="5132" name="Obrázek 5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6FDD">
        <w:rPr>
          <w:rFonts w:ascii="Arial" w:hAnsi="Arial" w:cs="Arial"/>
          <w:noProof/>
          <w:sz w:val="22"/>
          <w:szCs w:val="22"/>
          <w:lang w:eastAsia="cs-CZ"/>
        </w:rPr>
        <mc:AlternateContent>
          <mc:Choice Requires="wpg">
            <w:drawing>
              <wp:anchor distT="0" distB="0" distL="114300" distR="114300" simplePos="0" relativeHeight="251679744" behindDoc="0" locked="0" layoutInCell="1" allowOverlap="1" wp14:anchorId="19B7A638" wp14:editId="35707C26">
                <wp:simplePos x="0" y="0"/>
                <wp:positionH relativeFrom="page">
                  <wp:posOffset>1316990</wp:posOffset>
                </wp:positionH>
                <wp:positionV relativeFrom="page">
                  <wp:posOffset>673735</wp:posOffset>
                </wp:positionV>
                <wp:extent cx="3486785" cy="12065"/>
                <wp:effectExtent l="0" t="0" r="18415" b="26035"/>
                <wp:wrapSquare wrapText="bothSides"/>
                <wp:docPr id="10615" name="Skupina 106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86785" cy="12065"/>
                          <a:chOff x="0" y="0"/>
                          <a:chExt cx="3486912" cy="12195"/>
                        </a:xfrm>
                      </wpg:grpSpPr>
                      <wps:wsp>
                        <wps:cNvPr id="10614" name="Shape 10614"/>
                        <wps:cNvSpPr/>
                        <wps:spPr>
                          <a:xfrm>
                            <a:off x="0" y="0"/>
                            <a:ext cx="3486912" cy="12195"/>
                          </a:xfrm>
                          <a:custGeom>
                            <a:avLst/>
                            <a:gdLst/>
                            <a:ahLst/>
                            <a:cxnLst/>
                            <a:rect l="0" t="0" r="0" b="0"/>
                            <a:pathLst>
                              <a:path w="3486912" h="12195">
                                <a:moveTo>
                                  <a:pt x="0" y="6098"/>
                                </a:moveTo>
                                <a:lnTo>
                                  <a:pt x="3486912" y="6098"/>
                                </a:lnTo>
                              </a:path>
                            </a:pathLst>
                          </a:custGeom>
                          <a:noFill/>
                          <a:ln w="12195" cap="flat" cmpd="sng" algn="ctr">
                            <a:solidFill>
                              <a:srgbClr val="000000"/>
                            </a:solidFill>
                            <a:prstDash val="solid"/>
                            <a:miter lim="100000"/>
                          </a:ln>
                          <a:effectLst/>
                        </wps:spPr>
                        <wps:bodyPr/>
                      </wps:wsp>
                    </wpg:wgp>
                  </a:graphicData>
                </a:graphic>
                <wp14:sizeRelH relativeFrom="page">
                  <wp14:pctWidth>0</wp14:pctWidth>
                </wp14:sizeRelH>
                <wp14:sizeRelV relativeFrom="page">
                  <wp14:pctHeight>0</wp14:pctHeight>
                </wp14:sizeRelV>
              </wp:anchor>
            </w:drawing>
          </mc:Choice>
          <mc:Fallback>
            <w:pict>
              <v:group w14:anchorId="19712B50" id="Skupina 10615" o:spid="_x0000_s1026" style="position:absolute;margin-left:103.7pt;margin-top:53.05pt;width:274.55pt;height:.95pt;z-index:251679744;mso-position-horizontal-relative:page;mso-position-vertical-relative:page" coordsize="34869,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">
                <v:shape id="Shape 10614" o:spid="_x0000_s1027" style="position:absolute;width:34869;height:121;visibility:visible;mso-wrap-style:square;v-text-anchor:top" coordsize="3486912,12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8hUMQA&#10;AADeAAAADwAAAGRycy9kb3ducmV2LnhtbERPS2vCQBC+C/6HZYTedKPUB9FVxCr2JD7vY3ZMotnZ&#10;kN3GtL++Wyh4m4/vObNFYwpRU+Vyywr6vQgEcWJ1zqmC82nTnYBwHlljYZkUfJODxbzdmmGs7ZMP&#10;VB99KkIIuxgVZN6XsZQuycig69mSOHA3Wxn0AVap1BU+Q7gp5CCKRtJgzqEhw5JWGSWP45dRsNNy&#10;fDmkdn3bn3fr4bC+b3+uH0q9dZrlFISnxr/E/+5PHeZHo/47/L0Tbp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PIVDEAAAA3gAAAA8AAAAAAAAAAAAAAAAAmAIAAGRycy9k&#10;b3ducmV2LnhtbFBLBQYAAAAABAAEAPUAAACJAwAAAAA=&#10;" path="m,6098r3486912,e" filled="f" strokeweight=".33875mm">
                  <v:stroke miterlimit="1" joinstyle="miter"/>
                  <v:path arrowok="t" textboxrect="0,0,3486912,12195"/>
                </v:shape>
                <w10:wrap type="square" anchorx="page" anchory="page"/>
              </v:group>
            </w:pict>
          </mc:Fallback>
        </mc:AlternateContent>
      </w:r>
      <w:r w:rsidRPr="00446FDD">
        <w:rPr>
          <w:rFonts w:ascii="Arial" w:hAnsi="Arial" w:cs="Arial"/>
          <w:sz w:val="22"/>
          <w:szCs w:val="22"/>
        </w:rPr>
        <w:t>Na přelomu měsíců února a března roku 2001 bude provedeno nové sčítání lidu, domů a bytů. Této akci předchází jeho tzv. územní příprava. Hlavním cílem této územní přípravy je zajištění bezproblémové agregace výsledků sčítání do územních celků stanovených v §1 zákona o sčítání. Mezi hlavní činnosti územní přípravy sčítání lidu patří revize vymezení hranic základních sídelních jednotek (ZSJ). Revize probíhá právě v této době, dává rámec pro vymezení o tzv. sčítacích obvodů, které tvoří základní bilanční jednotku celého sčítání. Výsledkem revize ZSJ je podle nové úpravy metodiky revize ZSJ je nový seznam těchto jednotek i pro město Děčín. Hlavní změny proti výše uvedeným seznamům jsou v dále přiloženém přehledu:</w:t>
      </w:r>
    </w:p>
    <w:p w14:paraId="14D21596" w14:textId="77777777" w:rsidR="00CA23D0" w:rsidRPr="00446FDD" w:rsidRDefault="00CA23D0" w:rsidP="00CA23D0">
      <w:pPr>
        <w:spacing w:before="120" w:line="288" w:lineRule="auto"/>
        <w:ind w:right="193" w:firstLine="709"/>
        <w:jc w:val="both"/>
        <w:rPr>
          <w:rFonts w:ascii="Arial" w:hAnsi="Arial" w:cs="Arial"/>
          <w:sz w:val="22"/>
          <w:szCs w:val="22"/>
        </w:rPr>
      </w:pPr>
    </w:p>
    <w:p w14:paraId="5A92E479" w14:textId="77777777" w:rsidR="00CA23D0" w:rsidRPr="007E480D" w:rsidRDefault="00CA23D0" w:rsidP="00CA23D0">
      <w:pPr>
        <w:pStyle w:val="Nadpis1"/>
        <w:jc w:val="both"/>
        <w:rPr>
          <w:rFonts w:ascii="Arial" w:hAnsi="Arial" w:cs="Arial"/>
        </w:rPr>
      </w:pPr>
      <w:r>
        <w:rPr>
          <w:rFonts w:ascii="Arial" w:hAnsi="Arial" w:cs="Arial"/>
        </w:rPr>
        <w:br w:type="page"/>
      </w:r>
      <w:r w:rsidRPr="007E480D">
        <w:rPr>
          <w:rFonts w:ascii="Arial" w:hAnsi="Arial" w:cs="Arial"/>
        </w:rPr>
        <w:lastRenderedPageBreak/>
        <w:t>PŘEHLED ZMĚN NAVRŽENÝCH V RÁMCI REVIZE ZSJ VE MĚSTĚ DĚČÍN</w:t>
      </w:r>
    </w:p>
    <w:tbl>
      <w:tblPr>
        <w:tblW w:w="7987" w:type="dxa"/>
        <w:tblInd w:w="518" w:type="dxa"/>
        <w:tblCellMar>
          <w:top w:w="2" w:type="dxa"/>
          <w:left w:w="0" w:type="dxa"/>
          <w:right w:w="0" w:type="dxa"/>
        </w:tblCellMar>
        <w:tblLook w:val="04A0" w:firstRow="1" w:lastRow="0" w:firstColumn="1" w:lastColumn="0" w:noHBand="0" w:noVBand="1"/>
      </w:tblPr>
      <w:tblGrid>
        <w:gridCol w:w="3026"/>
        <w:gridCol w:w="2234"/>
        <w:gridCol w:w="2727"/>
      </w:tblGrid>
      <w:tr w:rsidR="00CA23D0" w:rsidRPr="007E480D" w14:paraId="2CC68212" w14:textId="77777777" w:rsidTr="00CA23D0">
        <w:trPr>
          <w:trHeight w:val="259"/>
        </w:trPr>
        <w:tc>
          <w:tcPr>
            <w:tcW w:w="3026" w:type="dxa"/>
            <w:tcBorders>
              <w:top w:val="nil"/>
              <w:left w:val="nil"/>
              <w:bottom w:val="nil"/>
              <w:right w:val="nil"/>
            </w:tcBorders>
            <w:shd w:val="clear" w:color="auto" w:fill="auto"/>
          </w:tcPr>
          <w:p w14:paraId="5053CCA6" w14:textId="77777777" w:rsidR="00CA23D0" w:rsidRPr="007E480D" w:rsidRDefault="00CA23D0" w:rsidP="00CA23D0">
            <w:pPr>
              <w:ind w:left="72"/>
              <w:jc w:val="both"/>
              <w:rPr>
                <w:rFonts w:ascii="Arial" w:hAnsi="Arial" w:cs="Arial"/>
                <w:sz w:val="20"/>
                <w:szCs w:val="22"/>
              </w:rPr>
            </w:pPr>
            <w:r w:rsidRPr="007E480D">
              <w:rPr>
                <w:rFonts w:ascii="Arial" w:hAnsi="Arial" w:cs="Arial"/>
                <w:szCs w:val="22"/>
              </w:rPr>
              <w:t>NOVÉ ZSJ:</w:t>
            </w:r>
          </w:p>
        </w:tc>
        <w:tc>
          <w:tcPr>
            <w:tcW w:w="2234" w:type="dxa"/>
            <w:tcBorders>
              <w:top w:val="nil"/>
              <w:left w:val="nil"/>
              <w:bottom w:val="nil"/>
              <w:right w:val="nil"/>
            </w:tcBorders>
            <w:shd w:val="clear" w:color="auto" w:fill="auto"/>
          </w:tcPr>
          <w:p w14:paraId="39DEDC37" w14:textId="77777777" w:rsidR="00CA23D0" w:rsidRPr="007E480D" w:rsidRDefault="00CA23D0" w:rsidP="00CA23D0">
            <w:pPr>
              <w:jc w:val="both"/>
              <w:rPr>
                <w:rFonts w:ascii="Arial" w:hAnsi="Arial" w:cs="Arial"/>
                <w:sz w:val="20"/>
                <w:szCs w:val="22"/>
              </w:rPr>
            </w:pPr>
          </w:p>
        </w:tc>
        <w:tc>
          <w:tcPr>
            <w:tcW w:w="2727" w:type="dxa"/>
            <w:tcBorders>
              <w:top w:val="nil"/>
              <w:left w:val="nil"/>
              <w:bottom w:val="nil"/>
              <w:right w:val="nil"/>
            </w:tcBorders>
            <w:shd w:val="clear" w:color="auto" w:fill="auto"/>
          </w:tcPr>
          <w:p w14:paraId="35B2F0A4" w14:textId="77777777" w:rsidR="00CA23D0" w:rsidRPr="007E480D" w:rsidRDefault="00CA23D0" w:rsidP="00CA23D0">
            <w:pPr>
              <w:ind w:left="82"/>
              <w:jc w:val="both"/>
              <w:rPr>
                <w:rFonts w:ascii="Arial" w:hAnsi="Arial" w:cs="Arial"/>
                <w:sz w:val="20"/>
                <w:szCs w:val="22"/>
              </w:rPr>
            </w:pPr>
            <w:r w:rsidRPr="007E480D">
              <w:rPr>
                <w:rFonts w:ascii="Arial" w:hAnsi="Arial" w:cs="Arial"/>
                <w:szCs w:val="22"/>
              </w:rPr>
              <w:t>vzniká z:</w:t>
            </w:r>
          </w:p>
        </w:tc>
      </w:tr>
      <w:tr w:rsidR="00CA23D0" w:rsidRPr="007E480D" w14:paraId="0F5DCE73" w14:textId="77777777" w:rsidTr="00CA23D0">
        <w:trPr>
          <w:trHeight w:val="232"/>
        </w:trPr>
        <w:tc>
          <w:tcPr>
            <w:tcW w:w="3026" w:type="dxa"/>
            <w:tcBorders>
              <w:top w:val="nil"/>
              <w:left w:val="nil"/>
              <w:bottom w:val="nil"/>
              <w:right w:val="nil"/>
            </w:tcBorders>
            <w:shd w:val="clear" w:color="auto" w:fill="auto"/>
          </w:tcPr>
          <w:p w14:paraId="5678B2BF" w14:textId="77777777" w:rsidR="00CA23D0" w:rsidRPr="007E480D" w:rsidRDefault="00CA23D0" w:rsidP="00CA23D0">
            <w:pPr>
              <w:ind w:left="72"/>
              <w:jc w:val="both"/>
              <w:rPr>
                <w:rFonts w:ascii="Arial" w:hAnsi="Arial" w:cs="Arial"/>
                <w:sz w:val="20"/>
                <w:szCs w:val="22"/>
              </w:rPr>
            </w:pPr>
            <w:r w:rsidRPr="007E480D">
              <w:rPr>
                <w:rFonts w:ascii="Arial" w:hAnsi="Arial" w:cs="Arial"/>
                <w:sz w:val="22"/>
                <w:szCs w:val="22"/>
              </w:rPr>
              <w:t>kodzsj   kz  cuo</w:t>
            </w:r>
          </w:p>
        </w:tc>
        <w:tc>
          <w:tcPr>
            <w:tcW w:w="2234" w:type="dxa"/>
            <w:tcBorders>
              <w:top w:val="nil"/>
              <w:left w:val="nil"/>
              <w:bottom w:val="nil"/>
              <w:right w:val="nil"/>
            </w:tcBorders>
            <w:shd w:val="clear" w:color="auto" w:fill="auto"/>
          </w:tcPr>
          <w:p w14:paraId="6F6E2ACA" w14:textId="77777777" w:rsidR="00CA23D0" w:rsidRPr="007E480D" w:rsidRDefault="00CA23D0" w:rsidP="00CA23D0">
            <w:pPr>
              <w:ind w:left="398"/>
              <w:jc w:val="both"/>
              <w:rPr>
                <w:rFonts w:ascii="Arial" w:hAnsi="Arial" w:cs="Arial"/>
                <w:sz w:val="20"/>
                <w:szCs w:val="22"/>
              </w:rPr>
            </w:pPr>
            <w:r w:rsidRPr="007E480D">
              <w:rPr>
                <w:rFonts w:ascii="Arial" w:hAnsi="Arial" w:cs="Arial"/>
                <w:sz w:val="22"/>
                <w:szCs w:val="22"/>
              </w:rPr>
              <w:t xml:space="preserve">      nazzsj</w:t>
            </w:r>
          </w:p>
        </w:tc>
        <w:tc>
          <w:tcPr>
            <w:tcW w:w="2727" w:type="dxa"/>
            <w:tcBorders>
              <w:top w:val="nil"/>
              <w:left w:val="nil"/>
              <w:bottom w:val="nil"/>
              <w:right w:val="nil"/>
            </w:tcBorders>
            <w:shd w:val="clear" w:color="auto" w:fill="auto"/>
          </w:tcPr>
          <w:p w14:paraId="706C8CAD" w14:textId="77777777" w:rsidR="00CA23D0" w:rsidRPr="007E480D" w:rsidRDefault="00CA23D0" w:rsidP="00CA23D0">
            <w:pPr>
              <w:ind w:left="91"/>
              <w:jc w:val="both"/>
              <w:rPr>
                <w:rFonts w:ascii="Arial" w:hAnsi="Arial" w:cs="Arial"/>
                <w:sz w:val="20"/>
                <w:szCs w:val="22"/>
              </w:rPr>
            </w:pPr>
            <w:r w:rsidRPr="007E480D">
              <w:rPr>
                <w:rFonts w:ascii="Arial" w:hAnsi="Arial" w:cs="Arial"/>
                <w:sz w:val="22"/>
                <w:szCs w:val="22"/>
              </w:rPr>
              <w:t>kodzsj kz dil cuo duo</w:t>
            </w:r>
          </w:p>
        </w:tc>
      </w:tr>
      <w:tr w:rsidR="00CA23D0" w:rsidRPr="007E480D" w14:paraId="28729015" w14:textId="77777777" w:rsidTr="00CA23D0">
        <w:trPr>
          <w:trHeight w:val="225"/>
        </w:trPr>
        <w:tc>
          <w:tcPr>
            <w:tcW w:w="3026" w:type="dxa"/>
            <w:tcBorders>
              <w:top w:val="nil"/>
              <w:left w:val="nil"/>
              <w:bottom w:val="nil"/>
              <w:right w:val="nil"/>
            </w:tcBorders>
            <w:shd w:val="clear" w:color="auto" w:fill="auto"/>
          </w:tcPr>
          <w:p w14:paraId="1CC5C029" w14:textId="77777777" w:rsidR="00CA23D0" w:rsidRPr="007E480D" w:rsidRDefault="00CA23D0" w:rsidP="00CA23D0">
            <w:pPr>
              <w:ind w:left="67"/>
              <w:jc w:val="both"/>
              <w:rPr>
                <w:rFonts w:ascii="Arial" w:hAnsi="Arial" w:cs="Arial"/>
                <w:sz w:val="20"/>
                <w:szCs w:val="22"/>
              </w:rPr>
            </w:pPr>
            <w:r w:rsidRPr="007E480D">
              <w:rPr>
                <w:rFonts w:ascii="Arial" w:hAnsi="Arial" w:cs="Arial"/>
                <w:sz w:val="20"/>
                <w:szCs w:val="22"/>
              </w:rPr>
              <w:t>31944    9    069</w:t>
            </w:r>
          </w:p>
        </w:tc>
        <w:tc>
          <w:tcPr>
            <w:tcW w:w="2234" w:type="dxa"/>
            <w:tcBorders>
              <w:top w:val="nil"/>
              <w:left w:val="nil"/>
              <w:bottom w:val="nil"/>
              <w:right w:val="nil"/>
            </w:tcBorders>
            <w:shd w:val="clear" w:color="auto" w:fill="auto"/>
          </w:tcPr>
          <w:p w14:paraId="6969A914" w14:textId="77777777" w:rsidR="00CA23D0" w:rsidRPr="007E480D" w:rsidRDefault="00CA23D0" w:rsidP="00CA23D0">
            <w:pPr>
              <w:ind w:right="24"/>
              <w:jc w:val="both"/>
              <w:rPr>
                <w:rFonts w:ascii="Arial" w:hAnsi="Arial" w:cs="Arial"/>
                <w:sz w:val="20"/>
                <w:szCs w:val="22"/>
              </w:rPr>
            </w:pPr>
            <w:r w:rsidRPr="007E480D">
              <w:rPr>
                <w:rFonts w:ascii="Arial" w:hAnsi="Arial" w:cs="Arial"/>
                <w:sz w:val="20"/>
                <w:szCs w:val="22"/>
              </w:rPr>
              <w:t xml:space="preserve">      U zimního stadiónu</w:t>
            </w:r>
          </w:p>
        </w:tc>
        <w:tc>
          <w:tcPr>
            <w:tcW w:w="2727" w:type="dxa"/>
            <w:tcBorders>
              <w:top w:val="nil"/>
              <w:left w:val="nil"/>
              <w:bottom w:val="nil"/>
              <w:right w:val="nil"/>
            </w:tcBorders>
            <w:shd w:val="clear" w:color="auto" w:fill="auto"/>
          </w:tcPr>
          <w:p w14:paraId="15884959" w14:textId="77777777" w:rsidR="00CA23D0" w:rsidRPr="007E480D" w:rsidRDefault="00CA23D0" w:rsidP="00CA23D0">
            <w:pPr>
              <w:ind w:left="115"/>
              <w:jc w:val="both"/>
              <w:rPr>
                <w:rFonts w:ascii="Arial" w:hAnsi="Arial" w:cs="Arial"/>
                <w:sz w:val="20"/>
                <w:szCs w:val="22"/>
              </w:rPr>
            </w:pPr>
            <w:r w:rsidRPr="007E480D">
              <w:rPr>
                <w:rFonts w:ascii="Arial" w:hAnsi="Arial" w:cs="Arial"/>
                <w:sz w:val="20"/>
                <w:szCs w:val="22"/>
              </w:rPr>
              <w:t>02503  8   2   012   B</w:t>
            </w:r>
          </w:p>
        </w:tc>
      </w:tr>
      <w:tr w:rsidR="00CA23D0" w:rsidRPr="007E480D" w14:paraId="575E7BF7" w14:textId="77777777" w:rsidTr="00CA23D0">
        <w:trPr>
          <w:trHeight w:val="229"/>
        </w:trPr>
        <w:tc>
          <w:tcPr>
            <w:tcW w:w="3026" w:type="dxa"/>
            <w:tcBorders>
              <w:top w:val="nil"/>
              <w:left w:val="nil"/>
              <w:bottom w:val="nil"/>
              <w:right w:val="nil"/>
            </w:tcBorders>
            <w:shd w:val="clear" w:color="auto" w:fill="auto"/>
          </w:tcPr>
          <w:p w14:paraId="4E0E4AAC" w14:textId="77777777" w:rsidR="00CA23D0" w:rsidRPr="007E480D" w:rsidRDefault="00CA23D0" w:rsidP="00CA23D0">
            <w:pPr>
              <w:ind w:left="72"/>
              <w:jc w:val="both"/>
              <w:rPr>
                <w:rFonts w:ascii="Arial" w:hAnsi="Arial" w:cs="Arial"/>
                <w:sz w:val="20"/>
                <w:szCs w:val="22"/>
              </w:rPr>
            </w:pPr>
            <w:r w:rsidRPr="007E480D">
              <w:rPr>
                <w:rFonts w:ascii="Arial" w:hAnsi="Arial" w:cs="Arial"/>
                <w:sz w:val="20"/>
                <w:szCs w:val="22"/>
              </w:rPr>
              <w:t>31945    7    070</w:t>
            </w:r>
          </w:p>
        </w:tc>
        <w:tc>
          <w:tcPr>
            <w:tcW w:w="2234" w:type="dxa"/>
            <w:tcBorders>
              <w:top w:val="nil"/>
              <w:left w:val="nil"/>
              <w:bottom w:val="nil"/>
              <w:right w:val="nil"/>
            </w:tcBorders>
            <w:shd w:val="clear" w:color="auto" w:fill="auto"/>
          </w:tcPr>
          <w:p w14:paraId="1553888C" w14:textId="77777777" w:rsidR="00CA23D0" w:rsidRPr="007E480D" w:rsidRDefault="00CA23D0" w:rsidP="00CA23D0">
            <w:pPr>
              <w:ind w:left="389"/>
              <w:jc w:val="both"/>
              <w:rPr>
                <w:rFonts w:ascii="Arial" w:hAnsi="Arial" w:cs="Arial"/>
                <w:sz w:val="20"/>
                <w:szCs w:val="22"/>
              </w:rPr>
            </w:pPr>
            <w:r w:rsidRPr="007E480D">
              <w:rPr>
                <w:rFonts w:ascii="Arial" w:hAnsi="Arial" w:cs="Arial"/>
                <w:sz w:val="22"/>
                <w:szCs w:val="22"/>
              </w:rPr>
              <w:t>Za nádražím</w:t>
            </w:r>
          </w:p>
        </w:tc>
        <w:tc>
          <w:tcPr>
            <w:tcW w:w="2727" w:type="dxa"/>
            <w:tcBorders>
              <w:top w:val="nil"/>
              <w:left w:val="nil"/>
              <w:bottom w:val="nil"/>
              <w:right w:val="nil"/>
            </w:tcBorders>
            <w:shd w:val="clear" w:color="auto" w:fill="auto"/>
          </w:tcPr>
          <w:p w14:paraId="40AA1117" w14:textId="77777777" w:rsidR="00CA23D0" w:rsidRPr="007E480D" w:rsidRDefault="00CA23D0" w:rsidP="00CA23D0">
            <w:pPr>
              <w:ind w:left="101"/>
              <w:jc w:val="both"/>
              <w:rPr>
                <w:rFonts w:ascii="Arial" w:hAnsi="Arial" w:cs="Arial"/>
                <w:sz w:val="20"/>
                <w:szCs w:val="22"/>
              </w:rPr>
            </w:pPr>
            <w:r w:rsidRPr="007E480D">
              <w:rPr>
                <w:rFonts w:ascii="Arial" w:hAnsi="Arial" w:cs="Arial"/>
                <w:sz w:val="20"/>
                <w:szCs w:val="22"/>
              </w:rPr>
              <w:t>02504  6   2   013   B</w:t>
            </w:r>
          </w:p>
        </w:tc>
      </w:tr>
      <w:tr w:rsidR="00CA23D0" w:rsidRPr="007E480D" w14:paraId="5BB77F2B" w14:textId="77777777" w:rsidTr="00CA23D0">
        <w:trPr>
          <w:trHeight w:val="235"/>
        </w:trPr>
        <w:tc>
          <w:tcPr>
            <w:tcW w:w="3026" w:type="dxa"/>
            <w:tcBorders>
              <w:top w:val="nil"/>
              <w:left w:val="nil"/>
              <w:bottom w:val="nil"/>
              <w:right w:val="nil"/>
            </w:tcBorders>
            <w:shd w:val="clear" w:color="auto" w:fill="auto"/>
          </w:tcPr>
          <w:p w14:paraId="5EC6A00D" w14:textId="77777777" w:rsidR="00CA23D0" w:rsidRPr="007E480D" w:rsidRDefault="00CA23D0" w:rsidP="00CA23D0">
            <w:pPr>
              <w:ind w:left="62"/>
              <w:jc w:val="both"/>
              <w:rPr>
                <w:rFonts w:ascii="Arial" w:hAnsi="Arial" w:cs="Arial"/>
                <w:sz w:val="20"/>
                <w:szCs w:val="22"/>
              </w:rPr>
            </w:pPr>
            <w:r w:rsidRPr="007E480D">
              <w:rPr>
                <w:rFonts w:ascii="Arial" w:hAnsi="Arial" w:cs="Arial"/>
                <w:sz w:val="20"/>
                <w:szCs w:val="22"/>
              </w:rPr>
              <w:t>31946    5    071</w:t>
            </w:r>
          </w:p>
        </w:tc>
        <w:tc>
          <w:tcPr>
            <w:tcW w:w="2234" w:type="dxa"/>
            <w:tcBorders>
              <w:top w:val="nil"/>
              <w:left w:val="nil"/>
              <w:bottom w:val="nil"/>
              <w:right w:val="nil"/>
            </w:tcBorders>
            <w:shd w:val="clear" w:color="auto" w:fill="auto"/>
          </w:tcPr>
          <w:p w14:paraId="04F6ED17" w14:textId="77777777" w:rsidR="00CA23D0" w:rsidRPr="007E480D" w:rsidRDefault="00CA23D0" w:rsidP="00CA23D0">
            <w:pPr>
              <w:ind w:left="394"/>
              <w:jc w:val="both"/>
              <w:rPr>
                <w:rFonts w:ascii="Arial" w:hAnsi="Arial" w:cs="Arial"/>
                <w:sz w:val="20"/>
                <w:szCs w:val="22"/>
              </w:rPr>
            </w:pPr>
            <w:r w:rsidRPr="007E480D">
              <w:rPr>
                <w:rFonts w:ascii="Arial" w:hAnsi="Arial" w:cs="Arial"/>
                <w:sz w:val="22"/>
                <w:szCs w:val="22"/>
              </w:rPr>
              <w:t>Nad Křešicemi</w:t>
            </w:r>
          </w:p>
        </w:tc>
        <w:tc>
          <w:tcPr>
            <w:tcW w:w="2727" w:type="dxa"/>
            <w:tcBorders>
              <w:top w:val="nil"/>
              <w:left w:val="nil"/>
              <w:bottom w:val="nil"/>
              <w:right w:val="nil"/>
            </w:tcBorders>
            <w:shd w:val="clear" w:color="auto" w:fill="auto"/>
          </w:tcPr>
          <w:p w14:paraId="0FF24115" w14:textId="77777777" w:rsidR="00CA23D0" w:rsidRPr="007E480D" w:rsidRDefault="00CA23D0" w:rsidP="00CA23D0">
            <w:pPr>
              <w:ind w:left="101"/>
              <w:jc w:val="both"/>
              <w:rPr>
                <w:rFonts w:ascii="Arial" w:hAnsi="Arial" w:cs="Arial"/>
                <w:sz w:val="20"/>
                <w:szCs w:val="22"/>
              </w:rPr>
            </w:pPr>
            <w:r w:rsidRPr="007E480D">
              <w:rPr>
                <w:rFonts w:ascii="Arial" w:hAnsi="Arial" w:cs="Arial"/>
                <w:sz w:val="20"/>
                <w:szCs w:val="22"/>
              </w:rPr>
              <w:t>02505  4   2   014   B</w:t>
            </w:r>
          </w:p>
        </w:tc>
      </w:tr>
      <w:tr w:rsidR="00CA23D0" w:rsidRPr="007E480D" w14:paraId="5A9FBFAE" w14:textId="77777777" w:rsidTr="00CA23D0">
        <w:trPr>
          <w:trHeight w:val="711"/>
        </w:trPr>
        <w:tc>
          <w:tcPr>
            <w:tcW w:w="3026" w:type="dxa"/>
            <w:tcBorders>
              <w:top w:val="nil"/>
              <w:left w:val="nil"/>
              <w:bottom w:val="nil"/>
              <w:right w:val="nil"/>
            </w:tcBorders>
            <w:shd w:val="clear" w:color="auto" w:fill="auto"/>
          </w:tcPr>
          <w:p w14:paraId="29968BD5" w14:textId="77777777" w:rsidR="00CA23D0" w:rsidRPr="007E480D" w:rsidRDefault="00CA23D0" w:rsidP="00CA23D0">
            <w:pPr>
              <w:spacing w:after="172"/>
              <w:ind w:left="58"/>
              <w:jc w:val="both"/>
              <w:rPr>
                <w:rFonts w:ascii="Arial" w:hAnsi="Arial" w:cs="Arial"/>
                <w:sz w:val="20"/>
                <w:szCs w:val="22"/>
              </w:rPr>
            </w:pPr>
            <w:r w:rsidRPr="007E480D">
              <w:rPr>
                <w:rFonts w:ascii="Arial" w:hAnsi="Arial" w:cs="Arial"/>
                <w:sz w:val="20"/>
                <w:szCs w:val="22"/>
              </w:rPr>
              <w:t>31947    3    072</w:t>
            </w:r>
          </w:p>
          <w:p w14:paraId="0F7F43D9" w14:textId="77777777" w:rsidR="00CA23D0" w:rsidRPr="007E480D" w:rsidRDefault="00CA23D0" w:rsidP="00CA23D0">
            <w:pPr>
              <w:ind w:left="48"/>
              <w:jc w:val="both"/>
              <w:rPr>
                <w:rFonts w:ascii="Arial" w:hAnsi="Arial" w:cs="Arial"/>
                <w:sz w:val="20"/>
                <w:szCs w:val="22"/>
              </w:rPr>
            </w:pPr>
            <w:r w:rsidRPr="007E480D">
              <w:rPr>
                <w:rFonts w:ascii="Arial" w:hAnsi="Arial" w:cs="Arial"/>
                <w:szCs w:val="22"/>
              </w:rPr>
              <w:t>ZRUŠENÉ DÍLY ZSJ:</w:t>
            </w:r>
          </w:p>
        </w:tc>
        <w:tc>
          <w:tcPr>
            <w:tcW w:w="2234" w:type="dxa"/>
            <w:tcBorders>
              <w:top w:val="nil"/>
              <w:left w:val="nil"/>
              <w:bottom w:val="nil"/>
              <w:right w:val="nil"/>
            </w:tcBorders>
            <w:shd w:val="clear" w:color="auto" w:fill="auto"/>
          </w:tcPr>
          <w:p w14:paraId="205A8AAA" w14:textId="77777777" w:rsidR="00CA23D0" w:rsidRPr="007E480D" w:rsidRDefault="00CA23D0" w:rsidP="00CA23D0">
            <w:pPr>
              <w:ind w:left="389"/>
              <w:jc w:val="both"/>
              <w:rPr>
                <w:rFonts w:ascii="Arial" w:hAnsi="Arial" w:cs="Arial"/>
                <w:sz w:val="20"/>
                <w:szCs w:val="22"/>
              </w:rPr>
            </w:pPr>
            <w:r w:rsidRPr="007E480D">
              <w:rPr>
                <w:rFonts w:ascii="Arial" w:hAnsi="Arial" w:cs="Arial"/>
                <w:sz w:val="22"/>
                <w:szCs w:val="22"/>
              </w:rPr>
              <w:t>Nad Boleticemi</w:t>
            </w:r>
          </w:p>
        </w:tc>
        <w:tc>
          <w:tcPr>
            <w:tcW w:w="2727" w:type="dxa"/>
            <w:tcBorders>
              <w:top w:val="nil"/>
              <w:left w:val="nil"/>
              <w:bottom w:val="nil"/>
              <w:right w:val="nil"/>
            </w:tcBorders>
            <w:shd w:val="clear" w:color="auto" w:fill="auto"/>
          </w:tcPr>
          <w:p w14:paraId="4C866364" w14:textId="77777777" w:rsidR="00CA23D0" w:rsidRPr="007E480D" w:rsidRDefault="00CA23D0" w:rsidP="00CA23D0">
            <w:pPr>
              <w:ind w:left="91"/>
              <w:jc w:val="both"/>
              <w:rPr>
                <w:rFonts w:ascii="Arial" w:hAnsi="Arial" w:cs="Arial"/>
                <w:sz w:val="20"/>
                <w:szCs w:val="22"/>
              </w:rPr>
            </w:pPr>
            <w:r w:rsidRPr="007E480D">
              <w:rPr>
                <w:rFonts w:ascii="Arial" w:eastAsia="Courier New" w:hAnsi="Arial" w:cs="Arial"/>
                <w:sz w:val="20"/>
                <w:szCs w:val="22"/>
              </w:rPr>
              <w:t>02505  4   3   014   c</w:t>
            </w:r>
          </w:p>
        </w:tc>
      </w:tr>
      <w:tr w:rsidR="00CA23D0" w:rsidRPr="007E480D" w14:paraId="021FAD63" w14:textId="77777777" w:rsidTr="00CA23D0">
        <w:trPr>
          <w:trHeight w:val="225"/>
        </w:trPr>
        <w:tc>
          <w:tcPr>
            <w:tcW w:w="3026" w:type="dxa"/>
            <w:tcBorders>
              <w:top w:val="nil"/>
              <w:left w:val="nil"/>
              <w:bottom w:val="nil"/>
              <w:right w:val="nil"/>
            </w:tcBorders>
            <w:shd w:val="clear" w:color="auto" w:fill="auto"/>
          </w:tcPr>
          <w:p w14:paraId="3D895392" w14:textId="77777777" w:rsidR="00CA23D0" w:rsidRPr="007E480D" w:rsidRDefault="00CA23D0" w:rsidP="00CA23D0">
            <w:pPr>
              <w:ind w:left="58"/>
              <w:jc w:val="both"/>
              <w:rPr>
                <w:rFonts w:ascii="Arial" w:hAnsi="Arial" w:cs="Arial"/>
                <w:sz w:val="20"/>
                <w:szCs w:val="22"/>
              </w:rPr>
            </w:pPr>
            <w:r w:rsidRPr="007E480D">
              <w:rPr>
                <w:rFonts w:ascii="Arial" w:hAnsi="Arial" w:cs="Arial"/>
                <w:sz w:val="22"/>
                <w:szCs w:val="22"/>
              </w:rPr>
              <w:t>kodzsj kz dil cuo duo</w:t>
            </w:r>
          </w:p>
        </w:tc>
        <w:tc>
          <w:tcPr>
            <w:tcW w:w="2234" w:type="dxa"/>
            <w:tcBorders>
              <w:top w:val="nil"/>
              <w:left w:val="nil"/>
              <w:bottom w:val="nil"/>
              <w:right w:val="nil"/>
            </w:tcBorders>
            <w:shd w:val="clear" w:color="auto" w:fill="auto"/>
          </w:tcPr>
          <w:p w14:paraId="5857EE51" w14:textId="77777777" w:rsidR="00CA23D0" w:rsidRPr="007E480D" w:rsidRDefault="00CA23D0" w:rsidP="00CA23D0">
            <w:pPr>
              <w:ind w:left="389"/>
              <w:jc w:val="both"/>
              <w:rPr>
                <w:rFonts w:ascii="Arial" w:hAnsi="Arial" w:cs="Arial"/>
                <w:sz w:val="20"/>
                <w:szCs w:val="22"/>
              </w:rPr>
            </w:pPr>
            <w:r w:rsidRPr="007E480D">
              <w:rPr>
                <w:rFonts w:ascii="Arial" w:hAnsi="Arial" w:cs="Arial"/>
                <w:sz w:val="22"/>
                <w:szCs w:val="22"/>
              </w:rPr>
              <w:t>nazzsj</w:t>
            </w:r>
          </w:p>
        </w:tc>
        <w:tc>
          <w:tcPr>
            <w:tcW w:w="2727" w:type="dxa"/>
            <w:tcBorders>
              <w:top w:val="nil"/>
              <w:left w:val="nil"/>
              <w:bottom w:val="nil"/>
              <w:right w:val="nil"/>
            </w:tcBorders>
            <w:shd w:val="clear" w:color="auto" w:fill="auto"/>
          </w:tcPr>
          <w:p w14:paraId="405E70F1" w14:textId="77777777" w:rsidR="00CA23D0" w:rsidRPr="007E480D" w:rsidRDefault="00CA23D0" w:rsidP="00CA23D0">
            <w:pPr>
              <w:ind w:left="19"/>
              <w:jc w:val="both"/>
              <w:rPr>
                <w:rFonts w:ascii="Arial" w:hAnsi="Arial" w:cs="Arial"/>
                <w:sz w:val="20"/>
                <w:szCs w:val="22"/>
              </w:rPr>
            </w:pPr>
            <w:r w:rsidRPr="007E480D">
              <w:rPr>
                <w:rFonts w:ascii="Arial" w:hAnsi="Arial" w:cs="Arial"/>
                <w:sz w:val="22"/>
                <w:szCs w:val="22"/>
              </w:rPr>
              <w:t>dozsj    do dilu</w:t>
            </w:r>
          </w:p>
        </w:tc>
      </w:tr>
      <w:tr w:rsidR="00CA23D0" w:rsidRPr="007E480D" w14:paraId="2CBAF928" w14:textId="77777777" w:rsidTr="00CA23D0">
        <w:trPr>
          <w:trHeight w:val="225"/>
        </w:trPr>
        <w:tc>
          <w:tcPr>
            <w:tcW w:w="3026" w:type="dxa"/>
            <w:tcBorders>
              <w:top w:val="nil"/>
              <w:left w:val="nil"/>
              <w:bottom w:val="nil"/>
              <w:right w:val="nil"/>
            </w:tcBorders>
            <w:shd w:val="clear" w:color="auto" w:fill="auto"/>
          </w:tcPr>
          <w:p w14:paraId="144B6EA8" w14:textId="77777777" w:rsidR="00CA23D0" w:rsidRPr="007E480D" w:rsidRDefault="00CA23D0" w:rsidP="00CA23D0">
            <w:pPr>
              <w:ind w:left="53"/>
              <w:jc w:val="both"/>
              <w:rPr>
                <w:rFonts w:ascii="Arial" w:hAnsi="Arial" w:cs="Arial"/>
                <w:sz w:val="20"/>
                <w:szCs w:val="22"/>
              </w:rPr>
            </w:pPr>
            <w:r w:rsidRPr="007E480D">
              <w:rPr>
                <w:rFonts w:ascii="Arial" w:hAnsi="Arial" w:cs="Arial"/>
                <w:sz w:val="20"/>
                <w:szCs w:val="22"/>
              </w:rPr>
              <w:t>02505   4   4   014  D</w:t>
            </w:r>
          </w:p>
        </w:tc>
        <w:tc>
          <w:tcPr>
            <w:tcW w:w="2234" w:type="dxa"/>
            <w:tcBorders>
              <w:top w:val="nil"/>
              <w:left w:val="nil"/>
              <w:bottom w:val="nil"/>
              <w:right w:val="nil"/>
            </w:tcBorders>
            <w:shd w:val="clear" w:color="auto" w:fill="auto"/>
          </w:tcPr>
          <w:p w14:paraId="2CE0E5A5" w14:textId="77777777" w:rsidR="00CA23D0" w:rsidRPr="007E480D" w:rsidRDefault="00CA23D0" w:rsidP="00CA23D0">
            <w:pPr>
              <w:ind w:left="384"/>
              <w:jc w:val="both"/>
              <w:rPr>
                <w:rFonts w:ascii="Arial" w:hAnsi="Arial" w:cs="Arial"/>
                <w:sz w:val="20"/>
                <w:szCs w:val="22"/>
              </w:rPr>
            </w:pPr>
            <w:r w:rsidRPr="007E480D">
              <w:rPr>
                <w:rFonts w:ascii="Arial" w:hAnsi="Arial" w:cs="Arial"/>
                <w:sz w:val="22"/>
                <w:szCs w:val="22"/>
              </w:rPr>
              <w:t>Chlumská stráň</w:t>
            </w:r>
          </w:p>
        </w:tc>
        <w:tc>
          <w:tcPr>
            <w:tcW w:w="2727" w:type="dxa"/>
            <w:tcBorders>
              <w:top w:val="nil"/>
              <w:left w:val="nil"/>
              <w:bottom w:val="nil"/>
              <w:right w:val="nil"/>
            </w:tcBorders>
            <w:shd w:val="clear" w:color="auto" w:fill="auto"/>
          </w:tcPr>
          <w:p w14:paraId="4AD6C7C7" w14:textId="77777777" w:rsidR="00CA23D0" w:rsidRPr="007E480D" w:rsidRDefault="00CA23D0" w:rsidP="00CA23D0">
            <w:pPr>
              <w:ind w:left="24"/>
              <w:jc w:val="both"/>
              <w:rPr>
                <w:rFonts w:ascii="Arial" w:hAnsi="Arial" w:cs="Arial"/>
                <w:sz w:val="20"/>
                <w:szCs w:val="22"/>
              </w:rPr>
            </w:pPr>
            <w:r w:rsidRPr="007E480D">
              <w:rPr>
                <w:rFonts w:ascii="Arial" w:hAnsi="Arial" w:cs="Arial"/>
                <w:sz w:val="20"/>
                <w:szCs w:val="22"/>
              </w:rPr>
              <w:t xml:space="preserve">00719   </w:t>
            </w:r>
            <w:r w:rsidRPr="007E480D">
              <w:rPr>
                <w:rFonts w:ascii="Arial" w:hAnsi="Arial" w:cs="Arial"/>
                <w:noProof/>
                <w:sz w:val="20"/>
                <w:szCs w:val="22"/>
                <w:lang w:eastAsia="cs-CZ"/>
              </w:rPr>
              <w:drawing>
                <wp:inline distT="0" distB="0" distL="0" distR="0" wp14:anchorId="3757946C" wp14:editId="35E5CC2D">
                  <wp:extent cx="67945" cy="95250"/>
                  <wp:effectExtent l="0" t="0" r="8255" b="0"/>
                  <wp:docPr id="5122" name="Obrázek 5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7"/>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7945" cy="95250"/>
                          </a:xfrm>
                          <a:prstGeom prst="rect">
                            <a:avLst/>
                          </a:prstGeom>
                          <a:noFill/>
                          <a:ln>
                            <a:noFill/>
                          </a:ln>
                        </pic:spPr>
                      </pic:pic>
                    </a:graphicData>
                  </a:graphic>
                </wp:inline>
              </w:drawing>
            </w:r>
          </w:p>
        </w:tc>
      </w:tr>
      <w:tr w:rsidR="00CA23D0" w:rsidRPr="007E480D" w14:paraId="369D766B" w14:textId="77777777" w:rsidTr="00CA23D0">
        <w:trPr>
          <w:trHeight w:val="237"/>
        </w:trPr>
        <w:tc>
          <w:tcPr>
            <w:tcW w:w="3026" w:type="dxa"/>
            <w:tcBorders>
              <w:top w:val="nil"/>
              <w:left w:val="nil"/>
              <w:bottom w:val="nil"/>
              <w:right w:val="nil"/>
            </w:tcBorders>
            <w:shd w:val="clear" w:color="auto" w:fill="auto"/>
          </w:tcPr>
          <w:p w14:paraId="1BF54189" w14:textId="77777777" w:rsidR="00CA23D0" w:rsidRPr="007E480D" w:rsidRDefault="00CA23D0" w:rsidP="00CA23D0">
            <w:pPr>
              <w:ind w:left="53"/>
              <w:jc w:val="both"/>
              <w:rPr>
                <w:rFonts w:ascii="Arial" w:hAnsi="Arial" w:cs="Arial"/>
                <w:sz w:val="20"/>
                <w:szCs w:val="22"/>
              </w:rPr>
            </w:pPr>
            <w:r w:rsidRPr="007E480D">
              <w:rPr>
                <w:rFonts w:ascii="Arial" w:hAnsi="Arial" w:cs="Arial"/>
                <w:sz w:val="20"/>
                <w:szCs w:val="22"/>
              </w:rPr>
              <w:t>02520   8   1   029  A</w:t>
            </w:r>
          </w:p>
        </w:tc>
        <w:tc>
          <w:tcPr>
            <w:tcW w:w="2234" w:type="dxa"/>
            <w:tcBorders>
              <w:top w:val="nil"/>
              <w:left w:val="nil"/>
              <w:bottom w:val="nil"/>
              <w:right w:val="nil"/>
            </w:tcBorders>
            <w:shd w:val="clear" w:color="auto" w:fill="auto"/>
          </w:tcPr>
          <w:p w14:paraId="2ADFDB9E" w14:textId="77777777" w:rsidR="00CA23D0" w:rsidRPr="007E480D" w:rsidRDefault="00CA23D0" w:rsidP="00CA23D0">
            <w:pPr>
              <w:ind w:left="374"/>
              <w:jc w:val="both"/>
              <w:rPr>
                <w:rFonts w:ascii="Arial" w:hAnsi="Arial" w:cs="Arial"/>
                <w:sz w:val="20"/>
                <w:szCs w:val="22"/>
              </w:rPr>
            </w:pPr>
            <w:r w:rsidRPr="007E480D">
              <w:rPr>
                <w:rFonts w:ascii="Arial" w:hAnsi="Arial" w:cs="Arial"/>
                <w:sz w:val="22"/>
                <w:szCs w:val="22"/>
              </w:rPr>
              <w:t>Žlíbek</w:t>
            </w:r>
          </w:p>
        </w:tc>
        <w:tc>
          <w:tcPr>
            <w:tcW w:w="2727" w:type="dxa"/>
            <w:tcBorders>
              <w:top w:val="nil"/>
              <w:left w:val="nil"/>
              <w:bottom w:val="nil"/>
              <w:right w:val="nil"/>
            </w:tcBorders>
            <w:shd w:val="clear" w:color="auto" w:fill="auto"/>
          </w:tcPr>
          <w:p w14:paraId="68F914BD" w14:textId="77777777" w:rsidR="00CA23D0" w:rsidRPr="007E480D" w:rsidRDefault="00CA23D0" w:rsidP="00CA23D0">
            <w:pPr>
              <w:ind w:left="24"/>
              <w:jc w:val="both"/>
              <w:rPr>
                <w:rFonts w:ascii="Arial" w:hAnsi="Arial" w:cs="Arial"/>
                <w:sz w:val="20"/>
                <w:szCs w:val="22"/>
              </w:rPr>
            </w:pPr>
            <w:r w:rsidRPr="007E480D">
              <w:rPr>
                <w:rFonts w:ascii="Arial" w:hAnsi="Arial" w:cs="Arial"/>
                <w:sz w:val="20"/>
                <w:szCs w:val="22"/>
              </w:rPr>
              <w:t>02520</w:t>
            </w:r>
          </w:p>
        </w:tc>
      </w:tr>
      <w:tr w:rsidR="00CA23D0" w:rsidRPr="007E480D" w14:paraId="6AC31D59" w14:textId="77777777" w:rsidTr="00CA23D0">
        <w:trPr>
          <w:trHeight w:val="229"/>
        </w:trPr>
        <w:tc>
          <w:tcPr>
            <w:tcW w:w="3026" w:type="dxa"/>
            <w:tcBorders>
              <w:top w:val="nil"/>
              <w:left w:val="nil"/>
              <w:bottom w:val="nil"/>
              <w:right w:val="nil"/>
            </w:tcBorders>
            <w:shd w:val="clear" w:color="auto" w:fill="auto"/>
          </w:tcPr>
          <w:p w14:paraId="51D4C5F4" w14:textId="77777777" w:rsidR="00CA23D0" w:rsidRPr="007E480D" w:rsidRDefault="00CA23D0" w:rsidP="00CA23D0">
            <w:pPr>
              <w:ind w:left="53"/>
              <w:jc w:val="both"/>
              <w:rPr>
                <w:rFonts w:ascii="Arial" w:hAnsi="Arial" w:cs="Arial"/>
                <w:sz w:val="20"/>
                <w:szCs w:val="22"/>
              </w:rPr>
            </w:pPr>
            <w:r w:rsidRPr="007E480D">
              <w:rPr>
                <w:rFonts w:ascii="Arial" w:hAnsi="Arial" w:cs="Arial"/>
                <w:sz w:val="20"/>
                <w:szCs w:val="22"/>
              </w:rPr>
              <w:t>02521   6   1   030  A</w:t>
            </w:r>
          </w:p>
        </w:tc>
        <w:tc>
          <w:tcPr>
            <w:tcW w:w="2234" w:type="dxa"/>
            <w:tcBorders>
              <w:top w:val="nil"/>
              <w:left w:val="nil"/>
              <w:bottom w:val="nil"/>
              <w:right w:val="nil"/>
            </w:tcBorders>
            <w:shd w:val="clear" w:color="auto" w:fill="auto"/>
          </w:tcPr>
          <w:p w14:paraId="6ABB0EBC" w14:textId="77777777" w:rsidR="00CA23D0" w:rsidRPr="007E480D" w:rsidRDefault="00CA23D0" w:rsidP="00CA23D0">
            <w:pPr>
              <w:ind w:left="379"/>
              <w:jc w:val="both"/>
              <w:rPr>
                <w:rFonts w:ascii="Arial" w:hAnsi="Arial" w:cs="Arial"/>
                <w:sz w:val="20"/>
                <w:szCs w:val="22"/>
              </w:rPr>
            </w:pPr>
            <w:r w:rsidRPr="007E480D">
              <w:rPr>
                <w:rFonts w:ascii="Arial" w:hAnsi="Arial" w:cs="Arial"/>
                <w:sz w:val="22"/>
                <w:szCs w:val="22"/>
              </w:rPr>
              <w:t>Dolní Oldňchov</w:t>
            </w:r>
          </w:p>
        </w:tc>
        <w:tc>
          <w:tcPr>
            <w:tcW w:w="2727" w:type="dxa"/>
            <w:tcBorders>
              <w:top w:val="nil"/>
              <w:left w:val="nil"/>
              <w:bottom w:val="nil"/>
              <w:right w:val="nil"/>
            </w:tcBorders>
            <w:shd w:val="clear" w:color="auto" w:fill="auto"/>
          </w:tcPr>
          <w:p w14:paraId="25312E1F" w14:textId="77777777" w:rsidR="00CA23D0" w:rsidRPr="007E480D" w:rsidRDefault="00CA23D0" w:rsidP="00CA23D0">
            <w:pPr>
              <w:ind w:left="14"/>
              <w:jc w:val="both"/>
              <w:rPr>
                <w:rFonts w:ascii="Arial" w:hAnsi="Arial" w:cs="Arial"/>
                <w:sz w:val="20"/>
                <w:szCs w:val="22"/>
              </w:rPr>
            </w:pPr>
            <w:r w:rsidRPr="007E480D">
              <w:rPr>
                <w:rFonts w:ascii="Arial" w:hAnsi="Arial" w:cs="Arial"/>
                <w:sz w:val="20"/>
                <w:szCs w:val="22"/>
              </w:rPr>
              <w:t xml:space="preserve">02514   </w:t>
            </w:r>
            <w:r w:rsidRPr="007E480D">
              <w:rPr>
                <w:rFonts w:ascii="Arial" w:hAnsi="Arial" w:cs="Arial"/>
                <w:noProof/>
                <w:sz w:val="20"/>
                <w:szCs w:val="22"/>
                <w:lang w:eastAsia="cs-CZ"/>
              </w:rPr>
              <w:drawing>
                <wp:inline distT="0" distB="0" distL="0" distR="0" wp14:anchorId="4BD6A520" wp14:editId="0489A11C">
                  <wp:extent cx="67945" cy="95250"/>
                  <wp:effectExtent l="0" t="0" r="8255" b="0"/>
                  <wp:docPr id="5121" name="Obrázek 5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8"/>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7945" cy="95250"/>
                          </a:xfrm>
                          <a:prstGeom prst="rect">
                            <a:avLst/>
                          </a:prstGeom>
                          <a:noFill/>
                          <a:ln>
                            <a:noFill/>
                          </a:ln>
                        </pic:spPr>
                      </pic:pic>
                    </a:graphicData>
                  </a:graphic>
                </wp:inline>
              </w:drawing>
            </w:r>
          </w:p>
        </w:tc>
      </w:tr>
      <w:tr w:rsidR="00CA23D0" w:rsidRPr="007E480D" w14:paraId="3F256EF4" w14:textId="77777777" w:rsidTr="00CA23D0">
        <w:trPr>
          <w:trHeight w:val="228"/>
        </w:trPr>
        <w:tc>
          <w:tcPr>
            <w:tcW w:w="3026" w:type="dxa"/>
            <w:tcBorders>
              <w:top w:val="nil"/>
              <w:left w:val="nil"/>
              <w:bottom w:val="nil"/>
              <w:right w:val="nil"/>
            </w:tcBorders>
            <w:shd w:val="clear" w:color="auto" w:fill="auto"/>
          </w:tcPr>
          <w:p w14:paraId="5A49C11D" w14:textId="77777777" w:rsidR="00CA23D0" w:rsidRPr="007E480D" w:rsidRDefault="00CA23D0" w:rsidP="00CA23D0">
            <w:pPr>
              <w:ind w:left="48"/>
              <w:jc w:val="both"/>
              <w:rPr>
                <w:rFonts w:ascii="Arial" w:hAnsi="Arial" w:cs="Arial"/>
                <w:sz w:val="20"/>
                <w:szCs w:val="22"/>
              </w:rPr>
            </w:pPr>
            <w:r w:rsidRPr="007E480D">
              <w:rPr>
                <w:rFonts w:ascii="Arial" w:hAnsi="Arial" w:cs="Arial"/>
                <w:sz w:val="20"/>
                <w:szCs w:val="22"/>
              </w:rPr>
              <w:t>30278   3   2   041  A</w:t>
            </w:r>
          </w:p>
        </w:tc>
        <w:tc>
          <w:tcPr>
            <w:tcW w:w="2234" w:type="dxa"/>
            <w:tcBorders>
              <w:top w:val="nil"/>
              <w:left w:val="nil"/>
              <w:bottom w:val="nil"/>
              <w:right w:val="nil"/>
            </w:tcBorders>
            <w:shd w:val="clear" w:color="auto" w:fill="auto"/>
          </w:tcPr>
          <w:p w14:paraId="5A8250F2" w14:textId="77777777" w:rsidR="00CA23D0" w:rsidRPr="007E480D" w:rsidRDefault="00CA23D0" w:rsidP="00CA23D0">
            <w:pPr>
              <w:ind w:left="379"/>
              <w:jc w:val="both"/>
              <w:rPr>
                <w:rFonts w:ascii="Arial" w:hAnsi="Arial" w:cs="Arial"/>
                <w:sz w:val="20"/>
                <w:szCs w:val="22"/>
              </w:rPr>
            </w:pPr>
            <w:r w:rsidRPr="007E480D">
              <w:rPr>
                <w:rFonts w:ascii="Arial" w:hAnsi="Arial" w:cs="Arial"/>
                <w:sz w:val="22"/>
                <w:szCs w:val="22"/>
              </w:rPr>
              <w:t>Chmelník</w:t>
            </w:r>
          </w:p>
        </w:tc>
        <w:tc>
          <w:tcPr>
            <w:tcW w:w="2727" w:type="dxa"/>
            <w:tcBorders>
              <w:top w:val="nil"/>
              <w:left w:val="nil"/>
              <w:bottom w:val="nil"/>
              <w:right w:val="nil"/>
            </w:tcBorders>
            <w:shd w:val="clear" w:color="auto" w:fill="auto"/>
          </w:tcPr>
          <w:p w14:paraId="546844D4" w14:textId="77777777" w:rsidR="00CA23D0" w:rsidRPr="007E480D" w:rsidRDefault="00CA23D0" w:rsidP="00CA23D0">
            <w:pPr>
              <w:ind w:left="14"/>
              <w:jc w:val="both"/>
              <w:rPr>
                <w:rFonts w:ascii="Arial" w:hAnsi="Arial" w:cs="Arial"/>
                <w:sz w:val="20"/>
                <w:szCs w:val="22"/>
              </w:rPr>
            </w:pPr>
            <w:r w:rsidRPr="007E480D">
              <w:rPr>
                <w:rFonts w:ascii="Arial" w:hAnsi="Arial" w:cs="Arial"/>
                <w:sz w:val="20"/>
                <w:szCs w:val="22"/>
              </w:rPr>
              <w:t xml:space="preserve">02508   </w:t>
            </w:r>
            <w:r w:rsidRPr="007E480D">
              <w:rPr>
                <w:rFonts w:ascii="Arial" w:hAnsi="Arial" w:cs="Arial"/>
                <w:noProof/>
                <w:sz w:val="20"/>
                <w:szCs w:val="22"/>
                <w:lang w:eastAsia="cs-CZ"/>
              </w:rPr>
              <w:drawing>
                <wp:inline distT="0" distB="0" distL="0" distR="0" wp14:anchorId="2EF6528A" wp14:editId="3AC947C8">
                  <wp:extent cx="67945" cy="95250"/>
                  <wp:effectExtent l="0" t="0" r="8255" b="0"/>
                  <wp:docPr id="5120" name="Obrázek 5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9"/>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7945" cy="95250"/>
                          </a:xfrm>
                          <a:prstGeom prst="rect">
                            <a:avLst/>
                          </a:prstGeom>
                          <a:noFill/>
                          <a:ln>
                            <a:noFill/>
                          </a:ln>
                        </pic:spPr>
                      </pic:pic>
                    </a:graphicData>
                  </a:graphic>
                </wp:inline>
              </w:drawing>
            </w:r>
          </w:p>
        </w:tc>
      </w:tr>
      <w:tr w:rsidR="00CA23D0" w:rsidRPr="007E480D" w14:paraId="389E8BDD" w14:textId="77777777" w:rsidTr="00CA23D0">
        <w:trPr>
          <w:trHeight w:val="240"/>
        </w:trPr>
        <w:tc>
          <w:tcPr>
            <w:tcW w:w="3026" w:type="dxa"/>
            <w:tcBorders>
              <w:top w:val="nil"/>
              <w:left w:val="nil"/>
              <w:bottom w:val="nil"/>
              <w:right w:val="nil"/>
            </w:tcBorders>
            <w:shd w:val="clear" w:color="auto" w:fill="auto"/>
          </w:tcPr>
          <w:p w14:paraId="1A1E5CBC" w14:textId="77777777" w:rsidR="00CA23D0" w:rsidRPr="007E480D" w:rsidRDefault="00CA23D0" w:rsidP="00CA23D0">
            <w:pPr>
              <w:ind w:left="43"/>
              <w:jc w:val="both"/>
              <w:rPr>
                <w:rFonts w:ascii="Arial" w:hAnsi="Arial" w:cs="Arial"/>
                <w:sz w:val="20"/>
                <w:szCs w:val="22"/>
              </w:rPr>
            </w:pPr>
            <w:r w:rsidRPr="007E480D">
              <w:rPr>
                <w:rFonts w:ascii="Arial" w:hAnsi="Arial" w:cs="Arial"/>
                <w:sz w:val="20"/>
                <w:szCs w:val="22"/>
              </w:rPr>
              <w:t>30992   3   2   067  B</w:t>
            </w:r>
          </w:p>
        </w:tc>
        <w:tc>
          <w:tcPr>
            <w:tcW w:w="2234" w:type="dxa"/>
            <w:tcBorders>
              <w:top w:val="nil"/>
              <w:left w:val="nil"/>
              <w:bottom w:val="nil"/>
              <w:right w:val="nil"/>
            </w:tcBorders>
            <w:shd w:val="clear" w:color="auto" w:fill="auto"/>
          </w:tcPr>
          <w:p w14:paraId="19D866D3" w14:textId="77777777" w:rsidR="00CA23D0" w:rsidRPr="007E480D" w:rsidRDefault="00CA23D0" w:rsidP="00CA23D0">
            <w:pPr>
              <w:ind w:left="379"/>
              <w:jc w:val="both"/>
              <w:rPr>
                <w:rFonts w:ascii="Arial" w:hAnsi="Arial" w:cs="Arial"/>
                <w:sz w:val="20"/>
                <w:szCs w:val="22"/>
              </w:rPr>
            </w:pPr>
            <w:r w:rsidRPr="007E480D">
              <w:rPr>
                <w:rFonts w:ascii="Arial" w:hAnsi="Arial" w:cs="Arial"/>
                <w:szCs w:val="22"/>
              </w:rPr>
              <w:t>Labská niva</w:t>
            </w:r>
          </w:p>
        </w:tc>
        <w:tc>
          <w:tcPr>
            <w:tcW w:w="2727" w:type="dxa"/>
            <w:tcBorders>
              <w:top w:val="nil"/>
              <w:left w:val="nil"/>
              <w:bottom w:val="nil"/>
              <w:right w:val="nil"/>
            </w:tcBorders>
            <w:shd w:val="clear" w:color="auto" w:fill="auto"/>
          </w:tcPr>
          <w:p w14:paraId="1DED6DEB" w14:textId="77777777" w:rsidR="00CA23D0" w:rsidRPr="007E480D" w:rsidRDefault="00CA23D0" w:rsidP="00CA23D0">
            <w:pPr>
              <w:ind w:left="14"/>
              <w:jc w:val="both"/>
              <w:rPr>
                <w:rFonts w:ascii="Arial" w:hAnsi="Arial" w:cs="Arial"/>
                <w:sz w:val="20"/>
                <w:szCs w:val="22"/>
              </w:rPr>
            </w:pPr>
            <w:r w:rsidRPr="007E480D">
              <w:rPr>
                <w:rFonts w:ascii="Arial" w:hAnsi="Arial" w:cs="Arial"/>
                <w:sz w:val="22"/>
                <w:szCs w:val="22"/>
              </w:rPr>
              <w:t xml:space="preserve">30993  </w:t>
            </w:r>
            <w:r w:rsidRPr="007E480D">
              <w:rPr>
                <w:rFonts w:ascii="Arial" w:hAnsi="Arial" w:cs="Arial"/>
                <w:noProof/>
                <w:sz w:val="20"/>
                <w:szCs w:val="22"/>
              </w:rPr>
              <w:t>0</w:t>
            </w:r>
          </w:p>
        </w:tc>
      </w:tr>
      <w:tr w:rsidR="00CA23D0" w:rsidRPr="007E480D" w14:paraId="2A2B57E4" w14:textId="77777777" w:rsidTr="00CA23D0">
        <w:trPr>
          <w:trHeight w:val="718"/>
        </w:trPr>
        <w:tc>
          <w:tcPr>
            <w:tcW w:w="3026" w:type="dxa"/>
            <w:tcBorders>
              <w:top w:val="nil"/>
              <w:left w:val="nil"/>
              <w:bottom w:val="nil"/>
              <w:right w:val="nil"/>
            </w:tcBorders>
            <w:shd w:val="clear" w:color="auto" w:fill="auto"/>
          </w:tcPr>
          <w:p w14:paraId="35687FAB" w14:textId="77777777" w:rsidR="00CA23D0" w:rsidRPr="007E480D" w:rsidRDefault="00CA23D0" w:rsidP="00CA23D0">
            <w:pPr>
              <w:spacing w:after="126"/>
              <w:ind w:left="48"/>
              <w:jc w:val="both"/>
              <w:rPr>
                <w:rFonts w:ascii="Arial" w:hAnsi="Arial" w:cs="Arial"/>
                <w:sz w:val="22"/>
                <w:szCs w:val="22"/>
              </w:rPr>
            </w:pPr>
            <w:r w:rsidRPr="007E480D">
              <w:rPr>
                <w:rFonts w:ascii="Arial" w:eastAsia="Courier New" w:hAnsi="Arial" w:cs="Arial"/>
                <w:sz w:val="20"/>
                <w:szCs w:val="22"/>
              </w:rPr>
              <w:t>30992   3   3   067  c</w:t>
            </w:r>
          </w:p>
          <w:p w14:paraId="04F6898F" w14:textId="77777777" w:rsidR="00CA23D0" w:rsidRPr="007E480D" w:rsidRDefault="00CA23D0" w:rsidP="00CA23D0">
            <w:pPr>
              <w:ind w:left="38"/>
              <w:jc w:val="both"/>
              <w:rPr>
                <w:rFonts w:ascii="Arial" w:hAnsi="Arial" w:cs="Arial"/>
                <w:sz w:val="20"/>
                <w:szCs w:val="22"/>
              </w:rPr>
            </w:pPr>
            <w:r w:rsidRPr="007E480D">
              <w:rPr>
                <w:rFonts w:ascii="Arial" w:hAnsi="Arial" w:cs="Arial"/>
                <w:szCs w:val="22"/>
              </w:rPr>
              <w:t>ZMĚNY V DÍLECH ZSJ</w:t>
            </w:r>
          </w:p>
        </w:tc>
        <w:tc>
          <w:tcPr>
            <w:tcW w:w="2234" w:type="dxa"/>
            <w:tcBorders>
              <w:top w:val="nil"/>
              <w:left w:val="nil"/>
              <w:bottom w:val="nil"/>
              <w:right w:val="nil"/>
            </w:tcBorders>
            <w:shd w:val="clear" w:color="auto" w:fill="auto"/>
          </w:tcPr>
          <w:p w14:paraId="0107DC8A" w14:textId="77777777" w:rsidR="00CA23D0" w:rsidRPr="007E480D" w:rsidRDefault="00CA23D0" w:rsidP="00CA23D0">
            <w:pPr>
              <w:ind w:left="379"/>
              <w:jc w:val="both"/>
              <w:rPr>
                <w:rFonts w:ascii="Arial" w:hAnsi="Arial" w:cs="Arial"/>
                <w:sz w:val="20"/>
                <w:szCs w:val="22"/>
              </w:rPr>
            </w:pPr>
            <w:r w:rsidRPr="007E480D">
              <w:rPr>
                <w:rFonts w:ascii="Arial" w:hAnsi="Arial" w:cs="Arial"/>
                <w:szCs w:val="22"/>
              </w:rPr>
              <w:t>Labská niva</w:t>
            </w:r>
          </w:p>
        </w:tc>
        <w:tc>
          <w:tcPr>
            <w:tcW w:w="2727" w:type="dxa"/>
            <w:tcBorders>
              <w:top w:val="nil"/>
              <w:left w:val="nil"/>
              <w:bottom w:val="nil"/>
              <w:right w:val="nil"/>
            </w:tcBorders>
            <w:shd w:val="clear" w:color="auto" w:fill="auto"/>
          </w:tcPr>
          <w:p w14:paraId="25A44658" w14:textId="77777777" w:rsidR="00CA23D0" w:rsidRPr="007E480D" w:rsidRDefault="00CA23D0" w:rsidP="00CA23D0">
            <w:pPr>
              <w:ind w:left="19"/>
              <w:jc w:val="both"/>
              <w:rPr>
                <w:rFonts w:ascii="Arial" w:hAnsi="Arial" w:cs="Arial"/>
                <w:sz w:val="20"/>
                <w:szCs w:val="22"/>
              </w:rPr>
            </w:pPr>
            <w:r w:rsidRPr="007E480D">
              <w:rPr>
                <w:rFonts w:ascii="Arial" w:hAnsi="Arial" w:cs="Arial"/>
                <w:sz w:val="20"/>
                <w:szCs w:val="22"/>
              </w:rPr>
              <w:t xml:space="preserve">00719   </w:t>
            </w:r>
            <w:r w:rsidRPr="007E480D">
              <w:rPr>
                <w:rFonts w:ascii="Arial" w:hAnsi="Arial" w:cs="Arial"/>
                <w:noProof/>
                <w:sz w:val="20"/>
                <w:szCs w:val="22"/>
                <w:lang w:eastAsia="cs-CZ"/>
              </w:rPr>
              <w:drawing>
                <wp:inline distT="0" distB="0" distL="0" distR="0" wp14:anchorId="56D3A0B7" wp14:editId="0FC97D40">
                  <wp:extent cx="67945" cy="95250"/>
                  <wp:effectExtent l="0" t="0" r="8255" b="0"/>
                  <wp:docPr id="63" name="Obráze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7945" cy="95250"/>
                          </a:xfrm>
                          <a:prstGeom prst="rect">
                            <a:avLst/>
                          </a:prstGeom>
                          <a:noFill/>
                          <a:ln>
                            <a:noFill/>
                          </a:ln>
                        </pic:spPr>
                      </pic:pic>
                    </a:graphicData>
                  </a:graphic>
                </wp:inline>
              </w:drawing>
            </w:r>
          </w:p>
        </w:tc>
      </w:tr>
      <w:tr w:rsidR="00CA23D0" w:rsidRPr="007E480D" w14:paraId="07028B91" w14:textId="77777777" w:rsidTr="00CA23D0">
        <w:trPr>
          <w:trHeight w:val="225"/>
        </w:trPr>
        <w:tc>
          <w:tcPr>
            <w:tcW w:w="3026" w:type="dxa"/>
            <w:tcBorders>
              <w:top w:val="nil"/>
              <w:left w:val="nil"/>
              <w:bottom w:val="nil"/>
              <w:right w:val="nil"/>
            </w:tcBorders>
            <w:shd w:val="clear" w:color="auto" w:fill="auto"/>
          </w:tcPr>
          <w:p w14:paraId="5BD79477" w14:textId="77777777" w:rsidR="00CA23D0" w:rsidRPr="007E480D" w:rsidRDefault="00CA23D0" w:rsidP="00CA23D0">
            <w:pPr>
              <w:tabs>
                <w:tab w:val="center" w:pos="1759"/>
              </w:tabs>
              <w:jc w:val="both"/>
              <w:rPr>
                <w:rFonts w:ascii="Arial" w:hAnsi="Arial" w:cs="Arial"/>
                <w:sz w:val="20"/>
                <w:szCs w:val="22"/>
              </w:rPr>
            </w:pPr>
            <w:r w:rsidRPr="007E480D">
              <w:rPr>
                <w:rFonts w:ascii="Arial" w:hAnsi="Arial" w:cs="Arial"/>
                <w:sz w:val="22"/>
                <w:szCs w:val="22"/>
              </w:rPr>
              <w:t>kodzsj    kz  dil</w:t>
            </w:r>
            <w:r w:rsidRPr="007E480D">
              <w:rPr>
                <w:rFonts w:ascii="Arial" w:hAnsi="Arial" w:cs="Arial"/>
                <w:sz w:val="22"/>
                <w:szCs w:val="22"/>
              </w:rPr>
              <w:tab/>
              <w:t xml:space="preserve">   cuo</w:t>
            </w:r>
          </w:p>
        </w:tc>
        <w:tc>
          <w:tcPr>
            <w:tcW w:w="2234" w:type="dxa"/>
            <w:tcBorders>
              <w:top w:val="nil"/>
              <w:left w:val="nil"/>
              <w:bottom w:val="nil"/>
              <w:right w:val="nil"/>
            </w:tcBorders>
            <w:shd w:val="clear" w:color="auto" w:fill="auto"/>
          </w:tcPr>
          <w:p w14:paraId="78677820" w14:textId="77777777" w:rsidR="00CA23D0" w:rsidRPr="007E480D" w:rsidRDefault="00CA23D0" w:rsidP="00CA23D0">
            <w:pPr>
              <w:ind w:left="374"/>
              <w:jc w:val="both"/>
              <w:rPr>
                <w:rFonts w:ascii="Arial" w:hAnsi="Arial" w:cs="Arial"/>
                <w:sz w:val="20"/>
                <w:szCs w:val="22"/>
              </w:rPr>
            </w:pPr>
            <w:r w:rsidRPr="007E480D">
              <w:rPr>
                <w:rFonts w:ascii="Arial" w:hAnsi="Arial" w:cs="Arial"/>
                <w:szCs w:val="22"/>
              </w:rPr>
              <w:t>nazzsj</w:t>
            </w:r>
          </w:p>
        </w:tc>
        <w:tc>
          <w:tcPr>
            <w:tcW w:w="2727" w:type="dxa"/>
            <w:tcBorders>
              <w:top w:val="nil"/>
              <w:left w:val="nil"/>
              <w:bottom w:val="nil"/>
              <w:right w:val="nil"/>
            </w:tcBorders>
            <w:shd w:val="clear" w:color="auto" w:fill="auto"/>
          </w:tcPr>
          <w:p w14:paraId="34785285" w14:textId="77777777" w:rsidR="00CA23D0" w:rsidRPr="007E480D" w:rsidRDefault="00CA23D0" w:rsidP="00CA23D0">
            <w:pPr>
              <w:ind w:left="14"/>
              <w:jc w:val="both"/>
              <w:rPr>
                <w:rFonts w:ascii="Arial" w:hAnsi="Arial" w:cs="Arial"/>
                <w:sz w:val="20"/>
                <w:szCs w:val="22"/>
              </w:rPr>
            </w:pPr>
            <w:r w:rsidRPr="007E480D">
              <w:rPr>
                <w:rFonts w:ascii="Arial" w:hAnsi="Arial" w:cs="Arial"/>
                <w:sz w:val="22"/>
                <w:szCs w:val="22"/>
              </w:rPr>
              <w:t>kodzsj kz dit cuo duo</w:t>
            </w:r>
          </w:p>
        </w:tc>
      </w:tr>
      <w:tr w:rsidR="00CA23D0" w:rsidRPr="007E480D" w14:paraId="33F1B0E2" w14:textId="77777777" w:rsidTr="00CA23D0">
        <w:trPr>
          <w:trHeight w:val="220"/>
        </w:trPr>
        <w:tc>
          <w:tcPr>
            <w:tcW w:w="3026" w:type="dxa"/>
            <w:tcBorders>
              <w:top w:val="nil"/>
              <w:left w:val="nil"/>
              <w:bottom w:val="nil"/>
              <w:right w:val="nil"/>
            </w:tcBorders>
            <w:shd w:val="clear" w:color="auto" w:fill="auto"/>
          </w:tcPr>
          <w:p w14:paraId="07B0E596" w14:textId="77777777" w:rsidR="00CA23D0" w:rsidRPr="007E480D" w:rsidRDefault="00CA23D0" w:rsidP="00CA23D0">
            <w:pPr>
              <w:ind w:left="48"/>
              <w:jc w:val="both"/>
              <w:rPr>
                <w:rFonts w:ascii="Arial" w:hAnsi="Arial" w:cs="Arial"/>
                <w:sz w:val="20"/>
                <w:szCs w:val="22"/>
              </w:rPr>
            </w:pPr>
            <w:r w:rsidRPr="007E480D">
              <w:rPr>
                <w:rFonts w:ascii="Arial" w:hAnsi="Arial" w:cs="Arial"/>
                <w:sz w:val="20"/>
                <w:szCs w:val="22"/>
              </w:rPr>
              <w:t xml:space="preserve">02503     8     o </w:t>
            </w:r>
            <w:r w:rsidRPr="007E480D">
              <w:rPr>
                <w:rFonts w:ascii="Arial" w:hAnsi="Arial" w:cs="Arial"/>
                <w:noProof/>
                <w:sz w:val="20"/>
                <w:szCs w:val="22"/>
                <w:lang w:eastAsia="cs-CZ"/>
              </w:rPr>
              <w:drawing>
                <wp:inline distT="0" distB="0" distL="0" distR="0" wp14:anchorId="3FD6C1E3" wp14:editId="2CD8FFCD">
                  <wp:extent cx="13335" cy="13335"/>
                  <wp:effectExtent l="0" t="0" r="0" b="0"/>
                  <wp:docPr id="62" name="Obráze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7E480D">
              <w:rPr>
                <w:rFonts w:ascii="Arial" w:hAnsi="Arial" w:cs="Arial"/>
                <w:sz w:val="20"/>
                <w:szCs w:val="22"/>
              </w:rPr>
              <w:t xml:space="preserve">   012</w:t>
            </w:r>
            <w:r w:rsidRPr="007E480D">
              <w:rPr>
                <w:rFonts w:ascii="Arial" w:hAnsi="Arial" w:cs="Arial"/>
                <w:noProof/>
                <w:sz w:val="20"/>
                <w:szCs w:val="22"/>
                <w:lang w:eastAsia="cs-CZ"/>
              </w:rPr>
              <w:drawing>
                <wp:inline distT="0" distB="0" distL="0" distR="0" wp14:anchorId="1BDA2940" wp14:editId="1B6D448F">
                  <wp:extent cx="13335" cy="13335"/>
                  <wp:effectExtent l="0" t="0" r="0" b="0"/>
                  <wp:docPr id="61" name="Obráze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p>
        </w:tc>
        <w:tc>
          <w:tcPr>
            <w:tcW w:w="2234" w:type="dxa"/>
            <w:tcBorders>
              <w:top w:val="nil"/>
              <w:left w:val="nil"/>
              <w:bottom w:val="nil"/>
              <w:right w:val="nil"/>
            </w:tcBorders>
            <w:shd w:val="clear" w:color="auto" w:fill="auto"/>
          </w:tcPr>
          <w:p w14:paraId="28646FE7" w14:textId="77777777" w:rsidR="00CA23D0" w:rsidRPr="007E480D" w:rsidRDefault="00CA23D0" w:rsidP="00CA23D0">
            <w:pPr>
              <w:ind w:left="370"/>
              <w:jc w:val="both"/>
              <w:rPr>
                <w:rFonts w:ascii="Arial" w:hAnsi="Arial" w:cs="Arial"/>
                <w:sz w:val="20"/>
                <w:szCs w:val="22"/>
              </w:rPr>
            </w:pPr>
            <w:r w:rsidRPr="007E480D">
              <w:rPr>
                <w:rFonts w:ascii="Arial" w:hAnsi="Arial" w:cs="Arial"/>
                <w:sz w:val="22"/>
                <w:szCs w:val="22"/>
              </w:rPr>
              <w:t>Staré Město</w:t>
            </w:r>
          </w:p>
        </w:tc>
        <w:tc>
          <w:tcPr>
            <w:tcW w:w="2727" w:type="dxa"/>
            <w:tcBorders>
              <w:top w:val="nil"/>
              <w:left w:val="nil"/>
              <w:bottom w:val="nil"/>
              <w:right w:val="nil"/>
            </w:tcBorders>
            <w:shd w:val="clear" w:color="auto" w:fill="auto"/>
          </w:tcPr>
          <w:p w14:paraId="3025C48A" w14:textId="77777777" w:rsidR="00CA23D0" w:rsidRPr="007E480D" w:rsidRDefault="00CA23D0" w:rsidP="00CA23D0">
            <w:pPr>
              <w:ind w:left="14"/>
              <w:jc w:val="both"/>
              <w:rPr>
                <w:rFonts w:ascii="Arial" w:hAnsi="Arial" w:cs="Arial"/>
                <w:sz w:val="20"/>
                <w:szCs w:val="22"/>
              </w:rPr>
            </w:pPr>
            <w:r w:rsidRPr="007E480D">
              <w:rPr>
                <w:rFonts w:ascii="Arial" w:hAnsi="Arial" w:cs="Arial"/>
                <w:sz w:val="20"/>
                <w:szCs w:val="22"/>
              </w:rPr>
              <w:t>02503  8    1  012   A</w:t>
            </w:r>
          </w:p>
        </w:tc>
      </w:tr>
      <w:tr w:rsidR="00CA23D0" w:rsidRPr="007E480D" w14:paraId="49F3715F" w14:textId="77777777" w:rsidTr="00CA23D0">
        <w:trPr>
          <w:trHeight w:val="231"/>
        </w:trPr>
        <w:tc>
          <w:tcPr>
            <w:tcW w:w="3026" w:type="dxa"/>
            <w:tcBorders>
              <w:top w:val="nil"/>
              <w:left w:val="nil"/>
              <w:bottom w:val="nil"/>
              <w:right w:val="nil"/>
            </w:tcBorders>
            <w:shd w:val="clear" w:color="auto" w:fill="auto"/>
          </w:tcPr>
          <w:p w14:paraId="5A1BA445" w14:textId="77777777" w:rsidR="00CA23D0" w:rsidRPr="007E480D" w:rsidRDefault="00CA23D0" w:rsidP="00CA23D0">
            <w:pPr>
              <w:tabs>
                <w:tab w:val="center" w:pos="1733"/>
              </w:tabs>
              <w:jc w:val="both"/>
              <w:rPr>
                <w:rFonts w:ascii="Arial" w:hAnsi="Arial" w:cs="Arial"/>
                <w:sz w:val="20"/>
                <w:szCs w:val="22"/>
              </w:rPr>
            </w:pPr>
            <w:r w:rsidRPr="007E480D">
              <w:rPr>
                <w:rFonts w:ascii="Arial" w:hAnsi="Arial" w:cs="Arial"/>
                <w:noProof/>
                <w:sz w:val="20"/>
                <w:szCs w:val="22"/>
                <w:lang w:eastAsia="cs-CZ"/>
              </w:rPr>
              <w:drawing>
                <wp:inline distT="0" distB="0" distL="0" distR="0" wp14:anchorId="49EBE04A" wp14:editId="79085584">
                  <wp:extent cx="13335" cy="13335"/>
                  <wp:effectExtent l="0" t="0" r="0" b="0"/>
                  <wp:docPr id="60" name="Obráze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7E480D">
              <w:rPr>
                <w:rFonts w:ascii="Arial" w:hAnsi="Arial" w:cs="Arial"/>
                <w:sz w:val="20"/>
                <w:szCs w:val="22"/>
              </w:rPr>
              <w:t>02504      6     o    013</w:t>
            </w:r>
          </w:p>
        </w:tc>
        <w:tc>
          <w:tcPr>
            <w:tcW w:w="2234" w:type="dxa"/>
            <w:tcBorders>
              <w:top w:val="nil"/>
              <w:left w:val="nil"/>
              <w:bottom w:val="nil"/>
              <w:right w:val="nil"/>
            </w:tcBorders>
            <w:shd w:val="clear" w:color="auto" w:fill="auto"/>
          </w:tcPr>
          <w:p w14:paraId="7179C08F" w14:textId="77777777" w:rsidR="00CA23D0" w:rsidRPr="007E480D" w:rsidRDefault="00CA23D0" w:rsidP="00CA23D0">
            <w:pPr>
              <w:ind w:left="374"/>
              <w:jc w:val="both"/>
              <w:rPr>
                <w:rFonts w:ascii="Arial" w:hAnsi="Arial" w:cs="Arial"/>
                <w:sz w:val="20"/>
                <w:szCs w:val="22"/>
              </w:rPr>
            </w:pPr>
            <w:r w:rsidRPr="007E480D">
              <w:rPr>
                <w:rFonts w:ascii="Arial" w:hAnsi="Arial" w:cs="Arial"/>
                <w:sz w:val="22"/>
                <w:szCs w:val="22"/>
              </w:rPr>
              <w:t>U Ploučnice</w:t>
            </w:r>
          </w:p>
        </w:tc>
        <w:tc>
          <w:tcPr>
            <w:tcW w:w="2727" w:type="dxa"/>
            <w:tcBorders>
              <w:top w:val="nil"/>
              <w:left w:val="nil"/>
              <w:bottom w:val="nil"/>
              <w:right w:val="nil"/>
            </w:tcBorders>
            <w:shd w:val="clear" w:color="auto" w:fill="auto"/>
          </w:tcPr>
          <w:p w14:paraId="66DD1174" w14:textId="77777777" w:rsidR="00CA23D0" w:rsidRPr="007E480D" w:rsidRDefault="00CA23D0" w:rsidP="00CA23D0">
            <w:pPr>
              <w:ind w:left="14"/>
              <w:jc w:val="both"/>
              <w:rPr>
                <w:rFonts w:ascii="Arial" w:hAnsi="Arial" w:cs="Arial"/>
                <w:sz w:val="20"/>
                <w:szCs w:val="22"/>
              </w:rPr>
            </w:pPr>
            <w:r w:rsidRPr="007E480D">
              <w:rPr>
                <w:rFonts w:ascii="Arial" w:hAnsi="Arial" w:cs="Arial"/>
                <w:sz w:val="20"/>
                <w:szCs w:val="22"/>
              </w:rPr>
              <w:t>02504  6    1  013   A</w:t>
            </w:r>
          </w:p>
        </w:tc>
      </w:tr>
      <w:tr w:rsidR="00CA23D0" w:rsidRPr="007E480D" w14:paraId="7A8839F1" w14:textId="77777777" w:rsidTr="00CA23D0">
        <w:trPr>
          <w:trHeight w:val="231"/>
        </w:trPr>
        <w:tc>
          <w:tcPr>
            <w:tcW w:w="3026" w:type="dxa"/>
            <w:tcBorders>
              <w:top w:val="nil"/>
              <w:left w:val="nil"/>
              <w:bottom w:val="nil"/>
              <w:right w:val="nil"/>
            </w:tcBorders>
            <w:shd w:val="clear" w:color="auto" w:fill="auto"/>
          </w:tcPr>
          <w:p w14:paraId="1B512860" w14:textId="77777777" w:rsidR="00CA23D0" w:rsidRPr="007E480D" w:rsidRDefault="00CA23D0" w:rsidP="00CA23D0">
            <w:pPr>
              <w:jc w:val="both"/>
              <w:rPr>
                <w:rFonts w:ascii="Arial" w:hAnsi="Arial" w:cs="Arial"/>
                <w:sz w:val="20"/>
                <w:szCs w:val="22"/>
              </w:rPr>
            </w:pPr>
            <w:r w:rsidRPr="007E480D">
              <w:rPr>
                <w:rFonts w:ascii="Arial" w:hAnsi="Arial" w:cs="Arial"/>
                <w:noProof/>
                <w:sz w:val="20"/>
                <w:szCs w:val="22"/>
                <w:lang w:eastAsia="cs-CZ"/>
              </w:rPr>
              <w:drawing>
                <wp:inline distT="0" distB="0" distL="0" distR="0" wp14:anchorId="4FC5929A" wp14:editId="6995FC47">
                  <wp:extent cx="13335" cy="13335"/>
                  <wp:effectExtent l="0" t="0" r="0" b="0"/>
                  <wp:docPr id="59" name="Obráze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7E480D">
              <w:rPr>
                <w:rFonts w:ascii="Arial" w:hAnsi="Arial" w:cs="Arial"/>
                <w:sz w:val="20"/>
                <w:szCs w:val="22"/>
              </w:rPr>
              <w:t>02505      4     0</w:t>
            </w:r>
            <w:r w:rsidRPr="007E480D">
              <w:rPr>
                <w:rFonts w:ascii="Arial" w:hAnsi="Arial" w:cs="Arial"/>
                <w:noProof/>
                <w:sz w:val="20"/>
                <w:szCs w:val="22"/>
                <w:lang w:eastAsia="cs-CZ"/>
              </w:rPr>
              <w:drawing>
                <wp:inline distT="0" distB="0" distL="0" distR="0" wp14:anchorId="39FC23EF" wp14:editId="18FB5022">
                  <wp:extent cx="13335" cy="13335"/>
                  <wp:effectExtent l="0" t="0" r="0" b="0"/>
                  <wp:docPr id="58" name="Obráze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7E480D">
              <w:rPr>
                <w:rFonts w:ascii="Arial" w:hAnsi="Arial" w:cs="Arial"/>
                <w:sz w:val="20"/>
                <w:szCs w:val="22"/>
              </w:rPr>
              <w:t xml:space="preserve">    014</w:t>
            </w:r>
          </w:p>
        </w:tc>
        <w:tc>
          <w:tcPr>
            <w:tcW w:w="2234" w:type="dxa"/>
            <w:tcBorders>
              <w:top w:val="nil"/>
              <w:left w:val="nil"/>
              <w:bottom w:val="nil"/>
              <w:right w:val="nil"/>
            </w:tcBorders>
            <w:shd w:val="clear" w:color="auto" w:fill="auto"/>
          </w:tcPr>
          <w:p w14:paraId="13869CB5" w14:textId="77777777" w:rsidR="00CA23D0" w:rsidRPr="007E480D" w:rsidRDefault="00CA23D0" w:rsidP="00CA23D0">
            <w:pPr>
              <w:ind w:left="370"/>
              <w:jc w:val="both"/>
              <w:rPr>
                <w:rFonts w:ascii="Arial" w:hAnsi="Arial" w:cs="Arial"/>
                <w:sz w:val="20"/>
                <w:szCs w:val="22"/>
              </w:rPr>
            </w:pPr>
            <w:r w:rsidRPr="007E480D">
              <w:rPr>
                <w:rFonts w:ascii="Arial" w:hAnsi="Arial" w:cs="Arial"/>
                <w:sz w:val="22"/>
                <w:szCs w:val="22"/>
              </w:rPr>
              <w:t>Chlumská stráň</w:t>
            </w:r>
          </w:p>
        </w:tc>
        <w:tc>
          <w:tcPr>
            <w:tcW w:w="2727" w:type="dxa"/>
            <w:tcBorders>
              <w:top w:val="nil"/>
              <w:left w:val="nil"/>
              <w:bottom w:val="nil"/>
              <w:right w:val="nil"/>
            </w:tcBorders>
            <w:shd w:val="clear" w:color="auto" w:fill="auto"/>
          </w:tcPr>
          <w:p w14:paraId="2E367737" w14:textId="77777777" w:rsidR="00CA23D0" w:rsidRPr="007E480D" w:rsidRDefault="00CA23D0" w:rsidP="00CA23D0">
            <w:pPr>
              <w:ind w:left="10"/>
              <w:jc w:val="both"/>
              <w:rPr>
                <w:rFonts w:ascii="Arial" w:hAnsi="Arial" w:cs="Arial"/>
                <w:sz w:val="20"/>
                <w:szCs w:val="22"/>
              </w:rPr>
            </w:pPr>
            <w:r w:rsidRPr="007E480D">
              <w:rPr>
                <w:rFonts w:ascii="Arial" w:hAnsi="Arial" w:cs="Arial"/>
                <w:sz w:val="20"/>
                <w:szCs w:val="22"/>
              </w:rPr>
              <w:t>02505  4    1  014   A</w:t>
            </w:r>
          </w:p>
        </w:tc>
      </w:tr>
      <w:tr w:rsidR="00CA23D0" w:rsidRPr="007E480D" w14:paraId="3A27EF6B" w14:textId="77777777" w:rsidTr="00CA23D0">
        <w:trPr>
          <w:trHeight w:val="232"/>
        </w:trPr>
        <w:tc>
          <w:tcPr>
            <w:tcW w:w="3026" w:type="dxa"/>
            <w:tcBorders>
              <w:top w:val="nil"/>
              <w:left w:val="nil"/>
              <w:bottom w:val="nil"/>
              <w:right w:val="nil"/>
            </w:tcBorders>
            <w:shd w:val="clear" w:color="auto" w:fill="auto"/>
          </w:tcPr>
          <w:p w14:paraId="5723BEE5" w14:textId="77777777" w:rsidR="00CA23D0" w:rsidRPr="007E480D" w:rsidRDefault="00CA23D0" w:rsidP="00CA23D0">
            <w:pPr>
              <w:tabs>
                <w:tab w:val="center" w:pos="1730"/>
              </w:tabs>
              <w:jc w:val="both"/>
              <w:rPr>
                <w:rFonts w:ascii="Arial" w:hAnsi="Arial" w:cs="Arial"/>
                <w:sz w:val="20"/>
                <w:szCs w:val="22"/>
              </w:rPr>
            </w:pPr>
            <w:r w:rsidRPr="007E480D">
              <w:rPr>
                <w:rFonts w:ascii="Arial" w:hAnsi="Arial" w:cs="Arial"/>
                <w:sz w:val="20"/>
                <w:szCs w:val="22"/>
              </w:rPr>
              <w:t>02520</w:t>
            </w:r>
            <w:r w:rsidRPr="007E480D">
              <w:rPr>
                <w:rFonts w:ascii="Arial" w:hAnsi="Arial" w:cs="Arial"/>
                <w:noProof/>
                <w:sz w:val="20"/>
                <w:szCs w:val="22"/>
                <w:lang w:eastAsia="cs-CZ"/>
              </w:rPr>
              <w:drawing>
                <wp:inline distT="0" distB="0" distL="0" distR="0" wp14:anchorId="7C3DE6B0" wp14:editId="6DC7F2EF">
                  <wp:extent cx="13335" cy="13335"/>
                  <wp:effectExtent l="0" t="0" r="0" b="0"/>
                  <wp:docPr id="57" name="Obráze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7E480D">
              <w:rPr>
                <w:rFonts w:ascii="Arial" w:hAnsi="Arial" w:cs="Arial"/>
                <w:sz w:val="20"/>
                <w:szCs w:val="22"/>
              </w:rPr>
              <w:t xml:space="preserve">      8     o</w:t>
            </w:r>
            <w:r w:rsidRPr="007E480D">
              <w:rPr>
                <w:rFonts w:ascii="Arial" w:hAnsi="Arial" w:cs="Arial"/>
                <w:sz w:val="20"/>
                <w:szCs w:val="22"/>
              </w:rPr>
              <w:tab/>
              <w:t xml:space="preserve">    029</w:t>
            </w:r>
          </w:p>
        </w:tc>
        <w:tc>
          <w:tcPr>
            <w:tcW w:w="2234" w:type="dxa"/>
            <w:tcBorders>
              <w:top w:val="nil"/>
              <w:left w:val="nil"/>
              <w:bottom w:val="nil"/>
              <w:right w:val="nil"/>
            </w:tcBorders>
            <w:shd w:val="clear" w:color="auto" w:fill="auto"/>
          </w:tcPr>
          <w:p w14:paraId="115F4A36" w14:textId="77777777" w:rsidR="00CA23D0" w:rsidRPr="007E480D" w:rsidRDefault="00CA23D0" w:rsidP="00CA23D0">
            <w:pPr>
              <w:ind w:left="365"/>
              <w:jc w:val="both"/>
              <w:rPr>
                <w:rFonts w:ascii="Arial" w:hAnsi="Arial" w:cs="Arial"/>
                <w:sz w:val="20"/>
                <w:szCs w:val="22"/>
              </w:rPr>
            </w:pPr>
            <w:r w:rsidRPr="007E480D">
              <w:rPr>
                <w:rFonts w:ascii="Arial" w:hAnsi="Arial" w:cs="Arial"/>
                <w:sz w:val="22"/>
                <w:szCs w:val="22"/>
              </w:rPr>
              <w:t>Žlíbek</w:t>
            </w:r>
          </w:p>
        </w:tc>
        <w:tc>
          <w:tcPr>
            <w:tcW w:w="2727" w:type="dxa"/>
            <w:tcBorders>
              <w:top w:val="nil"/>
              <w:left w:val="nil"/>
              <w:bottom w:val="nil"/>
              <w:right w:val="nil"/>
            </w:tcBorders>
            <w:shd w:val="clear" w:color="auto" w:fill="auto"/>
          </w:tcPr>
          <w:p w14:paraId="0FAEA621" w14:textId="77777777" w:rsidR="00CA23D0" w:rsidRPr="007E480D" w:rsidRDefault="00CA23D0" w:rsidP="00CA23D0">
            <w:pPr>
              <w:ind w:left="10"/>
              <w:jc w:val="both"/>
              <w:rPr>
                <w:rFonts w:ascii="Arial" w:hAnsi="Arial" w:cs="Arial"/>
                <w:sz w:val="20"/>
                <w:szCs w:val="22"/>
              </w:rPr>
            </w:pPr>
            <w:r w:rsidRPr="007E480D">
              <w:rPr>
                <w:rFonts w:ascii="Arial" w:hAnsi="Arial" w:cs="Arial"/>
                <w:sz w:val="20"/>
                <w:szCs w:val="22"/>
              </w:rPr>
              <w:t>02520  8    2  029   B</w:t>
            </w:r>
          </w:p>
        </w:tc>
      </w:tr>
      <w:tr w:rsidR="00CA23D0" w:rsidRPr="007E480D" w14:paraId="1A5985ED" w14:textId="77777777" w:rsidTr="00CA23D0">
        <w:trPr>
          <w:trHeight w:val="238"/>
        </w:trPr>
        <w:tc>
          <w:tcPr>
            <w:tcW w:w="3026" w:type="dxa"/>
            <w:tcBorders>
              <w:top w:val="nil"/>
              <w:left w:val="nil"/>
              <w:bottom w:val="nil"/>
              <w:right w:val="nil"/>
            </w:tcBorders>
            <w:shd w:val="clear" w:color="auto" w:fill="auto"/>
          </w:tcPr>
          <w:p w14:paraId="2918B4E3" w14:textId="77777777" w:rsidR="00CA23D0" w:rsidRPr="007E480D" w:rsidRDefault="00CA23D0" w:rsidP="00CA23D0">
            <w:pPr>
              <w:tabs>
                <w:tab w:val="center" w:pos="1159"/>
                <w:tab w:val="center" w:pos="1214"/>
                <w:tab w:val="center" w:pos="1723"/>
              </w:tabs>
              <w:jc w:val="both"/>
              <w:rPr>
                <w:rFonts w:ascii="Arial" w:hAnsi="Arial" w:cs="Arial"/>
                <w:sz w:val="20"/>
                <w:szCs w:val="22"/>
              </w:rPr>
            </w:pPr>
            <w:r w:rsidRPr="007E480D">
              <w:rPr>
                <w:rFonts w:ascii="Arial" w:hAnsi="Arial" w:cs="Arial"/>
                <w:sz w:val="20"/>
                <w:szCs w:val="22"/>
              </w:rPr>
              <w:t>02521      6</w:t>
            </w:r>
            <w:r w:rsidRPr="007E480D">
              <w:rPr>
                <w:rFonts w:ascii="Arial" w:hAnsi="Arial" w:cs="Arial"/>
                <w:noProof/>
                <w:sz w:val="20"/>
                <w:szCs w:val="22"/>
                <w:lang w:eastAsia="cs-CZ"/>
              </w:rPr>
              <w:drawing>
                <wp:inline distT="0" distB="0" distL="0" distR="0" wp14:anchorId="2ABFA48D" wp14:editId="15187417">
                  <wp:extent cx="13335" cy="13335"/>
                  <wp:effectExtent l="0" t="0" r="0" b="0"/>
                  <wp:docPr id="56" name="Obráze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7E480D">
              <w:rPr>
                <w:rFonts w:ascii="Arial" w:hAnsi="Arial" w:cs="Arial"/>
                <w:sz w:val="20"/>
                <w:szCs w:val="22"/>
              </w:rPr>
              <w:tab/>
            </w:r>
            <w:r w:rsidRPr="007E480D">
              <w:rPr>
                <w:rFonts w:ascii="Arial" w:hAnsi="Arial" w:cs="Arial"/>
                <w:noProof/>
                <w:sz w:val="20"/>
                <w:szCs w:val="22"/>
                <w:lang w:eastAsia="cs-CZ"/>
              </w:rPr>
              <w:drawing>
                <wp:inline distT="0" distB="0" distL="0" distR="0" wp14:anchorId="662A590A" wp14:editId="01A6C7CD">
                  <wp:extent cx="13335" cy="13335"/>
                  <wp:effectExtent l="0" t="0" r="0" b="0"/>
                  <wp:docPr id="55" name="Obráze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7E480D">
              <w:rPr>
                <w:rFonts w:ascii="Arial" w:hAnsi="Arial" w:cs="Arial"/>
                <w:sz w:val="20"/>
                <w:szCs w:val="22"/>
              </w:rPr>
              <w:tab/>
              <w:t xml:space="preserve">    0</w:t>
            </w:r>
            <w:r w:rsidRPr="007E480D">
              <w:rPr>
                <w:rFonts w:ascii="Arial" w:hAnsi="Arial" w:cs="Arial"/>
                <w:sz w:val="20"/>
                <w:szCs w:val="22"/>
              </w:rPr>
              <w:tab/>
              <w:t xml:space="preserve">    030</w:t>
            </w:r>
          </w:p>
        </w:tc>
        <w:tc>
          <w:tcPr>
            <w:tcW w:w="2234" w:type="dxa"/>
            <w:tcBorders>
              <w:top w:val="nil"/>
              <w:left w:val="nil"/>
              <w:bottom w:val="nil"/>
              <w:right w:val="nil"/>
            </w:tcBorders>
            <w:shd w:val="clear" w:color="auto" w:fill="auto"/>
          </w:tcPr>
          <w:p w14:paraId="33E03A36" w14:textId="77777777" w:rsidR="00CA23D0" w:rsidRPr="007E480D" w:rsidRDefault="00CA23D0" w:rsidP="00CA23D0">
            <w:pPr>
              <w:ind w:left="370"/>
              <w:jc w:val="both"/>
              <w:rPr>
                <w:rFonts w:ascii="Arial" w:hAnsi="Arial" w:cs="Arial"/>
                <w:sz w:val="20"/>
                <w:szCs w:val="22"/>
              </w:rPr>
            </w:pPr>
            <w:r w:rsidRPr="007E480D">
              <w:rPr>
                <w:rFonts w:ascii="Arial" w:hAnsi="Arial" w:cs="Arial"/>
                <w:sz w:val="20"/>
                <w:szCs w:val="22"/>
              </w:rPr>
              <w:t>Dolní Oldřichov</w:t>
            </w:r>
          </w:p>
        </w:tc>
        <w:tc>
          <w:tcPr>
            <w:tcW w:w="2727" w:type="dxa"/>
            <w:tcBorders>
              <w:top w:val="nil"/>
              <w:left w:val="nil"/>
              <w:bottom w:val="nil"/>
              <w:right w:val="nil"/>
            </w:tcBorders>
            <w:shd w:val="clear" w:color="auto" w:fill="auto"/>
          </w:tcPr>
          <w:p w14:paraId="3C2609FA" w14:textId="77777777" w:rsidR="00CA23D0" w:rsidRPr="007E480D" w:rsidRDefault="00CA23D0" w:rsidP="00CA23D0">
            <w:pPr>
              <w:ind w:left="5"/>
              <w:jc w:val="both"/>
              <w:rPr>
                <w:rFonts w:ascii="Arial" w:hAnsi="Arial" w:cs="Arial"/>
                <w:sz w:val="20"/>
                <w:szCs w:val="22"/>
              </w:rPr>
            </w:pPr>
            <w:r w:rsidRPr="007E480D">
              <w:rPr>
                <w:rFonts w:ascii="Arial" w:hAnsi="Arial" w:cs="Arial"/>
                <w:sz w:val="20"/>
                <w:szCs w:val="22"/>
              </w:rPr>
              <w:t>02521  6    2  030   B</w:t>
            </w:r>
          </w:p>
        </w:tc>
      </w:tr>
      <w:tr w:rsidR="00CA23D0" w:rsidRPr="007E480D" w14:paraId="2060B10E" w14:textId="77777777" w:rsidTr="00CA23D0">
        <w:trPr>
          <w:trHeight w:val="234"/>
        </w:trPr>
        <w:tc>
          <w:tcPr>
            <w:tcW w:w="3026" w:type="dxa"/>
            <w:tcBorders>
              <w:top w:val="nil"/>
              <w:left w:val="nil"/>
              <w:bottom w:val="nil"/>
              <w:right w:val="nil"/>
            </w:tcBorders>
            <w:shd w:val="clear" w:color="auto" w:fill="auto"/>
          </w:tcPr>
          <w:p w14:paraId="7773A139" w14:textId="77777777" w:rsidR="00CA23D0" w:rsidRPr="007E480D" w:rsidRDefault="00CA23D0" w:rsidP="00CA23D0">
            <w:pPr>
              <w:ind w:left="29"/>
              <w:jc w:val="both"/>
              <w:rPr>
                <w:rFonts w:ascii="Arial" w:hAnsi="Arial" w:cs="Arial"/>
                <w:sz w:val="20"/>
                <w:szCs w:val="22"/>
              </w:rPr>
            </w:pPr>
            <w:r w:rsidRPr="007E480D">
              <w:rPr>
                <w:rFonts w:ascii="Arial" w:hAnsi="Arial" w:cs="Arial"/>
                <w:sz w:val="20"/>
                <w:szCs w:val="22"/>
              </w:rPr>
              <w:t>30278      3</w:t>
            </w:r>
            <w:r w:rsidRPr="007E480D">
              <w:rPr>
                <w:rFonts w:ascii="Arial" w:hAnsi="Arial" w:cs="Arial"/>
                <w:noProof/>
                <w:sz w:val="20"/>
                <w:szCs w:val="22"/>
                <w:lang w:eastAsia="cs-CZ"/>
              </w:rPr>
              <w:drawing>
                <wp:inline distT="0" distB="0" distL="0" distR="0" wp14:anchorId="764BBDEA" wp14:editId="52C1ADEC">
                  <wp:extent cx="13335" cy="13335"/>
                  <wp:effectExtent l="0" t="0" r="0" b="0"/>
                  <wp:docPr id="54" name="Obráze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7E480D">
              <w:rPr>
                <w:rFonts w:ascii="Arial" w:hAnsi="Arial" w:cs="Arial"/>
                <w:sz w:val="20"/>
                <w:szCs w:val="22"/>
              </w:rPr>
              <w:t xml:space="preserve">     o    041</w:t>
            </w:r>
          </w:p>
        </w:tc>
        <w:tc>
          <w:tcPr>
            <w:tcW w:w="2234" w:type="dxa"/>
            <w:tcBorders>
              <w:top w:val="nil"/>
              <w:left w:val="nil"/>
              <w:bottom w:val="nil"/>
              <w:right w:val="nil"/>
            </w:tcBorders>
            <w:shd w:val="clear" w:color="auto" w:fill="auto"/>
          </w:tcPr>
          <w:p w14:paraId="29FCF687" w14:textId="77777777" w:rsidR="00CA23D0" w:rsidRPr="007E480D" w:rsidRDefault="00CA23D0" w:rsidP="00CA23D0">
            <w:pPr>
              <w:ind w:left="365"/>
              <w:jc w:val="both"/>
              <w:rPr>
                <w:rFonts w:ascii="Arial" w:hAnsi="Arial" w:cs="Arial"/>
                <w:sz w:val="20"/>
                <w:szCs w:val="22"/>
              </w:rPr>
            </w:pPr>
            <w:r w:rsidRPr="007E480D">
              <w:rPr>
                <w:rFonts w:ascii="Arial" w:hAnsi="Arial" w:cs="Arial"/>
                <w:sz w:val="22"/>
                <w:szCs w:val="22"/>
              </w:rPr>
              <w:t>Chmelník</w:t>
            </w:r>
          </w:p>
        </w:tc>
        <w:tc>
          <w:tcPr>
            <w:tcW w:w="2727" w:type="dxa"/>
            <w:tcBorders>
              <w:top w:val="nil"/>
              <w:left w:val="nil"/>
              <w:bottom w:val="nil"/>
              <w:right w:val="nil"/>
            </w:tcBorders>
            <w:shd w:val="clear" w:color="auto" w:fill="auto"/>
          </w:tcPr>
          <w:p w14:paraId="688A6565" w14:textId="77777777" w:rsidR="00CA23D0" w:rsidRPr="007E480D" w:rsidRDefault="00CA23D0" w:rsidP="00CA23D0">
            <w:pPr>
              <w:jc w:val="both"/>
              <w:rPr>
                <w:rFonts w:ascii="Arial" w:hAnsi="Arial" w:cs="Arial"/>
                <w:sz w:val="20"/>
                <w:szCs w:val="22"/>
              </w:rPr>
            </w:pPr>
            <w:r w:rsidRPr="007E480D">
              <w:rPr>
                <w:rFonts w:ascii="Arial" w:hAnsi="Arial" w:cs="Arial"/>
                <w:sz w:val="20"/>
                <w:szCs w:val="22"/>
              </w:rPr>
              <w:t>30278  3    1  041   B</w:t>
            </w:r>
          </w:p>
        </w:tc>
      </w:tr>
      <w:tr w:rsidR="00CA23D0" w:rsidRPr="007E480D" w14:paraId="619B3D12" w14:textId="77777777" w:rsidTr="00CA23D0">
        <w:trPr>
          <w:trHeight w:val="213"/>
        </w:trPr>
        <w:tc>
          <w:tcPr>
            <w:tcW w:w="3026" w:type="dxa"/>
            <w:tcBorders>
              <w:top w:val="nil"/>
              <w:left w:val="nil"/>
              <w:bottom w:val="nil"/>
              <w:right w:val="nil"/>
            </w:tcBorders>
            <w:shd w:val="clear" w:color="auto" w:fill="auto"/>
          </w:tcPr>
          <w:p w14:paraId="38752600" w14:textId="77777777" w:rsidR="00CA23D0" w:rsidRPr="007E480D" w:rsidRDefault="00CA23D0" w:rsidP="00CA23D0">
            <w:pPr>
              <w:ind w:left="34"/>
              <w:jc w:val="both"/>
              <w:rPr>
                <w:rFonts w:ascii="Arial" w:hAnsi="Arial" w:cs="Arial"/>
                <w:sz w:val="20"/>
                <w:szCs w:val="22"/>
              </w:rPr>
            </w:pPr>
            <w:r w:rsidRPr="007E480D">
              <w:rPr>
                <w:rFonts w:ascii="Arial" w:hAnsi="Arial" w:cs="Arial"/>
                <w:sz w:val="20"/>
                <w:szCs w:val="22"/>
              </w:rPr>
              <w:t>30992      3     o    067</w:t>
            </w:r>
          </w:p>
        </w:tc>
        <w:tc>
          <w:tcPr>
            <w:tcW w:w="2234" w:type="dxa"/>
            <w:tcBorders>
              <w:top w:val="nil"/>
              <w:left w:val="nil"/>
              <w:bottom w:val="nil"/>
              <w:right w:val="nil"/>
            </w:tcBorders>
            <w:shd w:val="clear" w:color="auto" w:fill="auto"/>
          </w:tcPr>
          <w:p w14:paraId="013FA585" w14:textId="77777777" w:rsidR="00CA23D0" w:rsidRPr="007E480D" w:rsidRDefault="00CA23D0" w:rsidP="00CA23D0">
            <w:pPr>
              <w:ind w:left="365"/>
              <w:jc w:val="both"/>
              <w:rPr>
                <w:rFonts w:ascii="Arial" w:hAnsi="Arial" w:cs="Arial"/>
                <w:sz w:val="20"/>
                <w:szCs w:val="22"/>
              </w:rPr>
            </w:pPr>
            <w:r w:rsidRPr="007E480D">
              <w:rPr>
                <w:rFonts w:ascii="Arial" w:hAnsi="Arial" w:cs="Arial"/>
                <w:sz w:val="22"/>
                <w:szCs w:val="22"/>
              </w:rPr>
              <w:t>Labská niva</w:t>
            </w:r>
          </w:p>
        </w:tc>
        <w:tc>
          <w:tcPr>
            <w:tcW w:w="2727" w:type="dxa"/>
            <w:tcBorders>
              <w:top w:val="nil"/>
              <w:left w:val="nil"/>
              <w:bottom w:val="nil"/>
              <w:right w:val="nil"/>
            </w:tcBorders>
            <w:shd w:val="clear" w:color="auto" w:fill="auto"/>
          </w:tcPr>
          <w:p w14:paraId="01BD98CA" w14:textId="77777777" w:rsidR="00CA23D0" w:rsidRPr="007E480D" w:rsidRDefault="00CA23D0" w:rsidP="00CA23D0">
            <w:pPr>
              <w:jc w:val="both"/>
              <w:rPr>
                <w:rFonts w:ascii="Arial" w:hAnsi="Arial" w:cs="Arial"/>
                <w:sz w:val="20"/>
                <w:szCs w:val="22"/>
              </w:rPr>
            </w:pPr>
            <w:r w:rsidRPr="007E480D">
              <w:rPr>
                <w:rFonts w:ascii="Arial" w:hAnsi="Arial" w:cs="Arial"/>
                <w:sz w:val="20"/>
                <w:szCs w:val="22"/>
              </w:rPr>
              <w:t>30992  3    1  067   A</w:t>
            </w:r>
          </w:p>
        </w:tc>
      </w:tr>
    </w:tbl>
    <w:p w14:paraId="1B82D004" w14:textId="77777777" w:rsidR="00CA23D0" w:rsidRPr="007E480D" w:rsidRDefault="00CA23D0" w:rsidP="00CA23D0">
      <w:pPr>
        <w:spacing w:after="195" w:line="216" w:lineRule="auto"/>
        <w:ind w:left="548" w:hanging="10"/>
        <w:jc w:val="both"/>
        <w:rPr>
          <w:rFonts w:ascii="Arial" w:hAnsi="Arial" w:cs="Arial"/>
          <w:sz w:val="22"/>
        </w:rPr>
      </w:pPr>
      <w:r w:rsidRPr="007E480D">
        <w:rPr>
          <w:rFonts w:ascii="Arial" w:hAnsi="Arial" w:cs="Arial"/>
          <w:sz w:val="22"/>
        </w:rPr>
        <w:t>ve všech případech zrušením jednoho dílu se druhý díl změnil na díl O</w:t>
      </w:r>
    </w:p>
    <w:p w14:paraId="0472E6F9" w14:textId="77777777" w:rsidR="00CA23D0" w:rsidRPr="00D876FF" w:rsidRDefault="00CA23D0" w:rsidP="00CA23D0">
      <w:pPr>
        <w:pStyle w:val="Nadpis1"/>
        <w:jc w:val="both"/>
        <w:rPr>
          <w:rFonts w:ascii="Arial" w:hAnsi="Arial" w:cs="Arial"/>
          <w:sz w:val="28"/>
        </w:rPr>
      </w:pPr>
      <w:r w:rsidRPr="00D876FF">
        <w:rPr>
          <w:rFonts w:ascii="Arial" w:hAnsi="Arial" w:cs="Arial"/>
          <w:sz w:val="28"/>
        </w:rPr>
        <w:t>DĚČÍN - OPRAVY A DOPLŇKY</w:t>
      </w:r>
    </w:p>
    <w:p w14:paraId="471396CE" w14:textId="77777777" w:rsidR="00CA23D0" w:rsidRPr="007E480D" w:rsidRDefault="00CA23D0" w:rsidP="00CA23D0">
      <w:pPr>
        <w:spacing w:before="120" w:line="288" w:lineRule="auto"/>
        <w:ind w:left="585" w:hanging="18"/>
        <w:jc w:val="both"/>
        <w:rPr>
          <w:rFonts w:ascii="Arial" w:hAnsi="Arial" w:cs="Arial"/>
          <w:sz w:val="22"/>
        </w:rPr>
      </w:pPr>
      <w:r w:rsidRPr="007E480D">
        <w:rPr>
          <w:rFonts w:ascii="Arial" w:hAnsi="Arial" w:cs="Arial"/>
          <w:sz w:val="22"/>
        </w:rPr>
        <w:t>Změny dílů ZSJ:</w:t>
      </w:r>
    </w:p>
    <w:p w14:paraId="558D2717" w14:textId="77777777" w:rsidR="00CA23D0" w:rsidRPr="007E480D" w:rsidRDefault="00CA23D0" w:rsidP="00CA23D0">
      <w:pPr>
        <w:spacing w:before="120" w:line="288" w:lineRule="auto"/>
        <w:ind w:firstLine="709"/>
        <w:jc w:val="both"/>
        <w:rPr>
          <w:rFonts w:ascii="Arial" w:hAnsi="Arial" w:cs="Arial"/>
          <w:sz w:val="22"/>
        </w:rPr>
      </w:pPr>
      <w:r w:rsidRPr="007E480D">
        <w:rPr>
          <w:rFonts w:ascii="Arial" w:hAnsi="Arial" w:cs="Arial"/>
          <w:sz w:val="22"/>
        </w:rPr>
        <w:t>Rozděluje se ZSJ 01419 2 0 Březiny v obci 562335 Děčín na dva díly: díl 01419 2 1 je v</w:t>
      </w:r>
      <w:r>
        <w:rPr>
          <w:rFonts w:ascii="Arial" w:hAnsi="Arial" w:cs="Arial"/>
          <w:sz w:val="22"/>
        </w:rPr>
        <w:t> </w:t>
      </w:r>
      <w:r w:rsidRPr="007E480D">
        <w:rPr>
          <w:rFonts w:ascii="Arial" w:hAnsi="Arial" w:cs="Arial"/>
          <w:sz w:val="22"/>
        </w:rPr>
        <w:t>COB 40735 6 Děčín XXVII-Březiny, díl 01419 2 2 je v COB 40734 8 Děčín XXVI-Bechlejovice, oba díly leží na KÚ 61419 0 Březiny u Děčína. Oprava provedena na základě hlášení z ČSÚ Děčín, potvrzené údaji ČÚZK (části obcí v KÚ).</w:t>
      </w:r>
      <w:r w:rsidRPr="007E480D">
        <w:rPr>
          <w:rFonts w:ascii="Arial" w:hAnsi="Arial" w:cs="Arial"/>
          <w:noProof/>
          <w:sz w:val="22"/>
          <w:lang w:eastAsia="cs-CZ"/>
        </w:rPr>
        <w:drawing>
          <wp:inline distT="0" distB="0" distL="0" distR="0" wp14:anchorId="6B3A1C1C" wp14:editId="2F555529">
            <wp:extent cx="13335" cy="13335"/>
            <wp:effectExtent l="0" t="0" r="0" b="0"/>
            <wp:docPr id="53" name="Obráze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2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p>
    <w:p w14:paraId="2321776C" w14:textId="77777777" w:rsidR="00CA23D0" w:rsidRPr="007E480D" w:rsidRDefault="00CA23D0" w:rsidP="00CA23D0">
      <w:pPr>
        <w:spacing w:before="120" w:line="288" w:lineRule="auto"/>
        <w:ind w:left="585" w:hanging="18"/>
        <w:jc w:val="both"/>
        <w:rPr>
          <w:rFonts w:ascii="Arial" w:hAnsi="Arial" w:cs="Arial"/>
          <w:sz w:val="22"/>
        </w:rPr>
      </w:pPr>
      <w:r w:rsidRPr="007E480D">
        <w:rPr>
          <w:rFonts w:ascii="Arial" w:hAnsi="Arial" w:cs="Arial"/>
          <w:sz w:val="22"/>
        </w:rPr>
        <w:t>Jiné změny:</w:t>
      </w:r>
    </w:p>
    <w:p w14:paraId="55EF2A72" w14:textId="77777777" w:rsidR="00CA23D0" w:rsidRPr="007E480D" w:rsidRDefault="00CA23D0" w:rsidP="00CA23D0">
      <w:pPr>
        <w:spacing w:before="120" w:line="288" w:lineRule="auto"/>
        <w:ind w:right="-92" w:firstLine="709"/>
        <w:jc w:val="both"/>
        <w:rPr>
          <w:rFonts w:ascii="Arial" w:hAnsi="Arial" w:cs="Arial"/>
          <w:sz w:val="22"/>
        </w:rPr>
      </w:pPr>
      <w:r w:rsidRPr="007E480D">
        <w:rPr>
          <w:rFonts w:ascii="Arial" w:hAnsi="Arial" w:cs="Arial"/>
          <w:sz w:val="22"/>
        </w:rPr>
        <w:t>Opravuje se příslušnost ZSJ 02521 6 0 Dolní Oldřichov v obci 562335 Děčín - dříve: 62514 1 Podmokly, opraveno na: 62522 1 Horní Oldřichov. Oprava provedena podle grafické kontroly skladebnosti ZSJ do KÚ, potvrzeno ČSÚ Děčín.</w:t>
      </w:r>
    </w:p>
    <w:p w14:paraId="533C4ACE" w14:textId="77777777" w:rsidR="00CA23D0" w:rsidRPr="007E480D" w:rsidRDefault="00CA23D0" w:rsidP="00CA23D0">
      <w:pPr>
        <w:spacing w:before="120" w:line="288" w:lineRule="auto"/>
        <w:ind w:right="29" w:firstLine="709"/>
        <w:jc w:val="both"/>
        <w:rPr>
          <w:rFonts w:ascii="Arial" w:hAnsi="Arial" w:cs="Arial"/>
          <w:sz w:val="22"/>
        </w:rPr>
      </w:pPr>
      <w:r w:rsidRPr="007E480D">
        <w:rPr>
          <w:noProof/>
          <w:sz w:val="22"/>
          <w:lang w:eastAsia="cs-CZ"/>
        </w:rPr>
        <w:drawing>
          <wp:anchor distT="0" distB="0" distL="114300" distR="114300" simplePos="0" relativeHeight="251680768" behindDoc="0" locked="0" layoutInCell="1" allowOverlap="0" wp14:anchorId="77B0CA73" wp14:editId="5453A5B2">
            <wp:simplePos x="0" y="0"/>
            <wp:positionH relativeFrom="page">
              <wp:posOffset>4712335</wp:posOffset>
            </wp:positionH>
            <wp:positionV relativeFrom="page">
              <wp:posOffset>704215</wp:posOffset>
            </wp:positionV>
            <wp:extent cx="3175" cy="3175"/>
            <wp:effectExtent l="0" t="0" r="0" b="0"/>
            <wp:wrapSquare wrapText="bothSides"/>
            <wp:docPr id="5131" name="Obrázek 5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2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480D">
        <w:rPr>
          <w:noProof/>
          <w:sz w:val="22"/>
          <w:lang w:eastAsia="cs-CZ"/>
        </w:rPr>
        <mc:AlternateContent>
          <mc:Choice Requires="wpg">
            <w:drawing>
              <wp:anchor distT="0" distB="0" distL="114300" distR="114300" simplePos="0" relativeHeight="251681792" behindDoc="0" locked="0" layoutInCell="1" allowOverlap="1" wp14:anchorId="28088AB0" wp14:editId="6ABD406D">
                <wp:simplePos x="0" y="0"/>
                <wp:positionH relativeFrom="page">
                  <wp:posOffset>1203960</wp:posOffset>
                </wp:positionH>
                <wp:positionV relativeFrom="page">
                  <wp:posOffset>728980</wp:posOffset>
                </wp:positionV>
                <wp:extent cx="3511550" cy="12065"/>
                <wp:effectExtent l="0" t="0" r="12700" b="26035"/>
                <wp:wrapSquare wrapText="bothSides"/>
                <wp:docPr id="25338" name="Skupina 25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11550" cy="12065"/>
                          <a:chOff x="0" y="0"/>
                          <a:chExt cx="3511297" cy="12195"/>
                        </a:xfrm>
                      </wpg:grpSpPr>
                      <wps:wsp>
                        <wps:cNvPr id="25337" name="Shape 25337"/>
                        <wps:cNvSpPr/>
                        <wps:spPr>
                          <a:xfrm>
                            <a:off x="0" y="0"/>
                            <a:ext cx="3511297" cy="12195"/>
                          </a:xfrm>
                          <a:custGeom>
                            <a:avLst/>
                            <a:gdLst/>
                            <a:ahLst/>
                            <a:cxnLst/>
                            <a:rect l="0" t="0" r="0" b="0"/>
                            <a:pathLst>
                              <a:path w="3511297" h="12195">
                                <a:moveTo>
                                  <a:pt x="0" y="6098"/>
                                </a:moveTo>
                                <a:lnTo>
                                  <a:pt x="3511297" y="6098"/>
                                </a:lnTo>
                              </a:path>
                            </a:pathLst>
                          </a:custGeom>
                          <a:noFill/>
                          <a:ln w="12195" cap="flat" cmpd="sng" algn="ctr">
                            <a:solidFill>
                              <a:srgbClr val="000000"/>
                            </a:solidFill>
                            <a:prstDash val="solid"/>
                            <a:miter lim="100000"/>
                          </a:ln>
                          <a:effectLst/>
                        </wps:spPr>
                        <wps:bodyPr/>
                      </wps:wsp>
                    </wpg:wgp>
                  </a:graphicData>
                </a:graphic>
                <wp14:sizeRelH relativeFrom="page">
                  <wp14:pctWidth>0</wp14:pctWidth>
                </wp14:sizeRelH>
                <wp14:sizeRelV relativeFrom="page">
                  <wp14:pctHeight>0</wp14:pctHeight>
                </wp14:sizeRelV>
              </wp:anchor>
            </w:drawing>
          </mc:Choice>
          <mc:Fallback>
            <w:pict>
              <v:group w14:anchorId="63CB25AD" id="Skupina 25338" o:spid="_x0000_s1026" style="position:absolute;margin-left:94.8pt;margin-top:57.4pt;width:276.5pt;height:.95pt;z-index:251681792;mso-position-horizontal-relative:page;mso-position-vertical-relative:page" coordsize="35112,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">
                <v:shape id="Shape 25337" o:spid="_x0000_s1027" style="position:absolute;width:35112;height:121;visibility:visible;mso-wrap-style:square;v-text-anchor:top" coordsize="3511297,12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qtmskA&#10;AADeAAAADwAAAGRycy9kb3ducmV2LnhtbESPQWvCQBSE7wX/w/KE3urG2NYQXcUWLBZ70MSDx0f2&#10;mQSzb0N2q9Ff3y0Uehxm5htmvuxNIy7UudqygvEoAkFcWF1zqeCQr58SEM4ja2wsk4IbOVguBg9z&#10;TLW98p4umS9FgLBLUUHlfZtK6YqKDLqRbYmDd7KdQR9kV0rd4TXATSPjKHqVBmsOCxW29F5Rcc6+&#10;jYK37dc4+Vh/Nvc+f97ovY2z4y5W6nHYr2YgPPX+P/zX3mgF8ctkMoXfO+EKyMU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0qtmskAAADeAAAADwAAAAAAAAAAAAAAAACYAgAA&#10;ZHJzL2Rvd25yZXYueG1sUEsFBgAAAAAEAAQA9QAAAI4DAAAAAA==&#10;" path="m,6098r3511297,e" filled="f" strokeweight=".33875mm">
                  <v:stroke miterlimit="1" joinstyle="miter"/>
                  <v:path arrowok="t" textboxrect="0,0,3511297,12195"/>
                </v:shape>
                <w10:wrap type="square" anchorx="page" anchory="page"/>
              </v:group>
            </w:pict>
          </mc:Fallback>
        </mc:AlternateContent>
      </w:r>
      <w:r w:rsidRPr="007E480D">
        <w:rPr>
          <w:rFonts w:ascii="Arial" w:hAnsi="Arial" w:cs="Arial"/>
          <w:sz w:val="22"/>
        </w:rPr>
        <w:t>Dále uvedený nový seznam základních sídelních jednotek urbanistických obvodů byl čtyři nové jednotky, jež vznikly eliminací dílů urbanistických obvodů, které jsou v původním seznamu značeny velkými písmeny a které přestavovaly rozdělení UO katastrální hranicí. Podle nového metodického pokynu toto rozdělení ZSJ nesmí napříště existovat. Dělení ZSJ resp. UO na díly se tím omezilo na případy, kdy jsou tyto jednotky ve více částech obcí.</w:t>
      </w:r>
    </w:p>
    <w:p w14:paraId="4B0E902F" w14:textId="77777777" w:rsidR="00CA23D0" w:rsidRDefault="00CA23D0" w:rsidP="00CA23D0">
      <w:pPr>
        <w:spacing w:after="376"/>
        <w:ind w:right="29" w:firstLine="595"/>
        <w:jc w:val="both"/>
        <w:rPr>
          <w:rFonts w:ascii="Arial" w:hAnsi="Arial" w:cs="Arial"/>
        </w:rPr>
      </w:pPr>
      <w:r w:rsidRPr="00151BE2">
        <w:rPr>
          <w:rFonts w:ascii="Arial" w:hAnsi="Arial" w:cs="Arial"/>
          <w:noProof/>
          <w:lang w:eastAsia="cs-CZ"/>
        </w:rPr>
        <w:lastRenderedPageBreak/>
        <w:drawing>
          <wp:inline distT="0" distB="0" distL="0" distR="0" wp14:anchorId="795D822A" wp14:editId="13578D08">
            <wp:extent cx="5581650" cy="5227320"/>
            <wp:effectExtent l="0" t="0" r="0" b="0"/>
            <wp:docPr id="52" name="Obráze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581650" cy="5227320"/>
                    </a:xfrm>
                    <a:prstGeom prst="rect">
                      <a:avLst/>
                    </a:prstGeom>
                    <a:noFill/>
                    <a:ln>
                      <a:noFill/>
                    </a:ln>
                  </pic:spPr>
                </pic:pic>
              </a:graphicData>
            </a:graphic>
          </wp:inline>
        </w:drawing>
      </w:r>
    </w:p>
    <w:p w14:paraId="08BE42A1" w14:textId="77777777" w:rsidR="00CA23D0" w:rsidRPr="00FC6ECD" w:rsidRDefault="00CA23D0" w:rsidP="00CA23D0">
      <w:pPr>
        <w:spacing w:after="376"/>
        <w:ind w:right="29" w:firstLine="595"/>
        <w:jc w:val="both"/>
        <w:rPr>
          <w:rFonts w:ascii="Arial" w:hAnsi="Arial" w:cs="Arial"/>
        </w:rPr>
      </w:pPr>
      <w:r w:rsidRPr="00EC64BB">
        <w:rPr>
          <w:rFonts w:ascii="Arial" w:hAnsi="Arial" w:cs="Arial"/>
          <w:noProof/>
          <w:lang w:eastAsia="cs-CZ"/>
        </w:rPr>
        <w:lastRenderedPageBreak/>
        <w:drawing>
          <wp:inline distT="0" distB="0" distL="0" distR="0" wp14:anchorId="20CA247B" wp14:editId="05E63B7C">
            <wp:extent cx="5882005" cy="7424420"/>
            <wp:effectExtent l="0" t="0" r="4445" b="5080"/>
            <wp:docPr id="51" name="Obráze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882005" cy="7424420"/>
                    </a:xfrm>
                    <a:prstGeom prst="rect">
                      <a:avLst/>
                    </a:prstGeom>
                    <a:noFill/>
                    <a:ln>
                      <a:noFill/>
                    </a:ln>
                  </pic:spPr>
                </pic:pic>
              </a:graphicData>
            </a:graphic>
          </wp:inline>
        </w:drawing>
      </w:r>
    </w:p>
    <w:p w14:paraId="060ECF04" w14:textId="77777777" w:rsidR="00CA23D0" w:rsidRPr="00446FDD" w:rsidRDefault="00CA23D0" w:rsidP="00CA23D0">
      <w:pPr>
        <w:spacing w:before="120" w:line="288" w:lineRule="auto"/>
        <w:ind w:firstLine="709"/>
        <w:jc w:val="both"/>
        <w:rPr>
          <w:rFonts w:ascii="Arial" w:hAnsi="Arial" w:cs="Arial"/>
          <w:sz w:val="22"/>
          <w:szCs w:val="22"/>
        </w:rPr>
      </w:pPr>
      <w:r w:rsidRPr="00446FDD">
        <w:rPr>
          <w:noProof/>
          <w:sz w:val="22"/>
          <w:szCs w:val="22"/>
          <w:lang w:eastAsia="cs-CZ"/>
        </w:rPr>
        <mc:AlternateContent>
          <mc:Choice Requires="wpg">
            <w:drawing>
              <wp:anchor distT="0" distB="0" distL="114300" distR="114300" simplePos="0" relativeHeight="251682816" behindDoc="0" locked="0" layoutInCell="1" allowOverlap="1" wp14:anchorId="6C84AB62" wp14:editId="38AFB64E">
                <wp:simplePos x="0" y="0"/>
                <wp:positionH relativeFrom="page">
                  <wp:posOffset>1386840</wp:posOffset>
                </wp:positionH>
                <wp:positionV relativeFrom="page">
                  <wp:posOffset>685800</wp:posOffset>
                </wp:positionV>
                <wp:extent cx="3489960" cy="12065"/>
                <wp:effectExtent l="0" t="0" r="15240" b="26035"/>
                <wp:wrapSquare wrapText="bothSides"/>
                <wp:docPr id="34997" name="Skupina 349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89960" cy="12065"/>
                          <a:chOff x="0" y="0"/>
                          <a:chExt cx="3489960" cy="12195"/>
                        </a:xfrm>
                      </wpg:grpSpPr>
                      <wps:wsp>
                        <wps:cNvPr id="34996" name="Shape 34996"/>
                        <wps:cNvSpPr/>
                        <wps:spPr>
                          <a:xfrm>
                            <a:off x="0" y="0"/>
                            <a:ext cx="3489960" cy="12195"/>
                          </a:xfrm>
                          <a:custGeom>
                            <a:avLst/>
                            <a:gdLst/>
                            <a:ahLst/>
                            <a:cxnLst/>
                            <a:rect l="0" t="0" r="0" b="0"/>
                            <a:pathLst>
                              <a:path w="3489960" h="12195">
                                <a:moveTo>
                                  <a:pt x="0" y="6098"/>
                                </a:moveTo>
                                <a:lnTo>
                                  <a:pt x="3489960" y="6098"/>
                                </a:lnTo>
                              </a:path>
                            </a:pathLst>
                          </a:custGeom>
                          <a:noFill/>
                          <a:ln w="12195" cap="flat" cmpd="sng" algn="ctr">
                            <a:solidFill>
                              <a:srgbClr val="000000"/>
                            </a:solidFill>
                            <a:prstDash val="solid"/>
                            <a:miter lim="100000"/>
                          </a:ln>
                          <a:effectLst/>
                        </wps:spPr>
                        <wps:bodyPr/>
                      </wps:wsp>
                    </wpg:wgp>
                  </a:graphicData>
                </a:graphic>
                <wp14:sizeRelH relativeFrom="page">
                  <wp14:pctWidth>0</wp14:pctWidth>
                </wp14:sizeRelH>
                <wp14:sizeRelV relativeFrom="page">
                  <wp14:pctHeight>0</wp14:pctHeight>
                </wp14:sizeRelV>
              </wp:anchor>
            </w:drawing>
          </mc:Choice>
          <mc:Fallback>
            <w:pict>
              <v:group w14:anchorId="48DC0057" id="Skupina 34997" o:spid="_x0000_s1026" style="position:absolute;margin-left:109.2pt;margin-top:54pt;width:274.8pt;height:.95pt;z-index:251682816;mso-position-horizontal-relative:page;mso-position-vertical-relative:page" coordsize="34899,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">
                <v:shape id="Shape 34996" o:spid="_x0000_s1027" style="position:absolute;width:34899;height:121;visibility:visible;mso-wrap-style:square;v-text-anchor:top" coordsize="3489960,12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eVcMgA&#10;AADeAAAADwAAAGRycy9kb3ducmV2LnhtbESPT2vCQBTE74V+h+UJvdWNNViNrlKFVsFD8Q+Ct0f2&#10;mYRm34bdbYzf3hUKPQ4z8xtmtuhMLVpyvrKsYNBPQBDnVldcKDgePl/HIHxA1lhbJgU38rCYPz/N&#10;MNP2yjtq96EQEcI+QwVlCE0mpc9LMuj7tiGO3sU6gyFKV0jt8BrhppZvSTKSBiuOCyU2tCop/9n/&#10;GgXn3SkN9XJri2Wzef9Kj9/GrVulXnrdxxREoC78h//aG61gmE4mI3jciVdAzu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9t5VwyAAAAN4AAAAPAAAAAAAAAAAAAAAAAJgCAABk&#10;cnMvZG93bnJldi54bWxQSwUGAAAAAAQABAD1AAAAjQMAAAAA&#10;" path="m,6098r3489960,e" filled="f" strokeweight=".33875mm">
                  <v:stroke miterlimit="1" joinstyle="miter"/>
                  <v:path arrowok="t" textboxrect="0,0,3489960,12195"/>
                </v:shape>
                <w10:wrap type="square" anchorx="page" anchory="page"/>
              </v:group>
            </w:pict>
          </mc:Fallback>
        </mc:AlternateContent>
      </w:r>
      <w:r w:rsidRPr="00446FDD">
        <w:rPr>
          <w:rFonts w:ascii="Arial" w:hAnsi="Arial" w:cs="Arial"/>
          <w:sz w:val="22"/>
          <w:szCs w:val="22"/>
        </w:rPr>
        <w:t>Pro potřeby zpracování územního plánu města byl však nadále používán původní seznam ZSJ, poněvadž podle nového vymezení lze pracovat až po zveřejnění výsledků sčítání v</w:t>
      </w:r>
      <w:r>
        <w:rPr>
          <w:rFonts w:ascii="Arial" w:hAnsi="Arial" w:cs="Arial"/>
          <w:sz w:val="22"/>
          <w:szCs w:val="22"/>
        </w:rPr>
        <w:t> </w:t>
      </w:r>
      <w:r w:rsidRPr="00446FDD">
        <w:rPr>
          <w:rFonts w:ascii="Arial" w:hAnsi="Arial" w:cs="Arial"/>
          <w:sz w:val="22"/>
          <w:szCs w:val="22"/>
        </w:rPr>
        <w:t>roce 2001.</w:t>
      </w:r>
    </w:p>
    <w:p w14:paraId="01288C99" w14:textId="77777777" w:rsidR="00CA23D0" w:rsidRPr="00FC6ECD" w:rsidRDefault="00CA23D0" w:rsidP="00CA23D0">
      <w:pPr>
        <w:ind w:left="14"/>
        <w:jc w:val="both"/>
        <w:rPr>
          <w:rFonts w:ascii="Arial" w:hAnsi="Arial" w:cs="Arial"/>
        </w:rPr>
      </w:pPr>
      <w:r w:rsidRPr="00EC64BB">
        <w:rPr>
          <w:rFonts w:ascii="Arial" w:hAnsi="Arial" w:cs="Arial"/>
          <w:noProof/>
          <w:lang w:eastAsia="cs-CZ"/>
        </w:rPr>
        <w:lastRenderedPageBreak/>
        <w:drawing>
          <wp:inline distT="0" distB="0" distL="0" distR="0" wp14:anchorId="47F190CC" wp14:editId="194CC05F">
            <wp:extent cx="5677535" cy="8188960"/>
            <wp:effectExtent l="0" t="0" r="0" b="2540"/>
            <wp:docPr id="50" name="Obráze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677535" cy="8188960"/>
                    </a:xfrm>
                    <a:prstGeom prst="rect">
                      <a:avLst/>
                    </a:prstGeom>
                    <a:noFill/>
                    <a:ln>
                      <a:noFill/>
                    </a:ln>
                  </pic:spPr>
                </pic:pic>
              </a:graphicData>
            </a:graphic>
          </wp:inline>
        </w:drawing>
      </w:r>
    </w:p>
    <w:p w14:paraId="0BA66948" w14:textId="77777777" w:rsidR="00CA23D0" w:rsidRDefault="00CA23D0" w:rsidP="00CA23D0">
      <w:pPr>
        <w:spacing w:before="36" w:line="276" w:lineRule="auto"/>
        <w:jc w:val="both"/>
        <w:rPr>
          <w:rFonts w:ascii="Arial" w:hAnsi="Arial" w:cs="Arial"/>
          <w:b/>
          <w:color w:val="00CC66"/>
          <w:spacing w:val="3"/>
        </w:rPr>
      </w:pPr>
    </w:p>
    <w:p w14:paraId="0A219C45" w14:textId="77777777" w:rsidR="00CA23D0" w:rsidRDefault="00CA23D0" w:rsidP="00CA23D0">
      <w:pPr>
        <w:spacing w:before="36" w:line="276" w:lineRule="auto"/>
        <w:jc w:val="both"/>
        <w:rPr>
          <w:rFonts w:ascii="Arial" w:hAnsi="Arial" w:cs="Arial"/>
          <w:b/>
          <w:color w:val="00CC66"/>
          <w:spacing w:val="3"/>
        </w:rPr>
      </w:pPr>
    </w:p>
    <w:p w14:paraId="4674A904" w14:textId="77777777" w:rsidR="00CA23D0" w:rsidRDefault="00CA23D0" w:rsidP="00CA23D0">
      <w:pPr>
        <w:spacing w:before="36" w:line="276" w:lineRule="auto"/>
        <w:jc w:val="both"/>
        <w:rPr>
          <w:rFonts w:ascii="Arial" w:hAnsi="Arial" w:cs="Arial"/>
          <w:b/>
          <w:color w:val="00CC66"/>
          <w:spacing w:val="3"/>
        </w:rPr>
      </w:pPr>
    </w:p>
    <w:p w14:paraId="0484EB84" w14:textId="77777777" w:rsidR="00CA23D0" w:rsidRPr="00C835F6" w:rsidRDefault="00CA23D0" w:rsidP="00CA23D0">
      <w:pPr>
        <w:spacing w:before="36" w:line="276" w:lineRule="auto"/>
        <w:jc w:val="both"/>
        <w:rPr>
          <w:rFonts w:ascii="Arial" w:hAnsi="Arial" w:cs="Arial"/>
          <w:b/>
          <w:color w:val="00CC66"/>
          <w:spacing w:val="3"/>
        </w:rPr>
      </w:pPr>
      <w:r w:rsidRPr="00C835F6">
        <w:rPr>
          <w:rFonts w:ascii="Arial" w:hAnsi="Arial" w:cs="Arial"/>
          <w:b/>
          <w:color w:val="00CC66"/>
          <w:spacing w:val="3"/>
        </w:rPr>
        <w:t>(Z1) VYMEZENÍ ŘEŠENÉHO ÚZEMÍ PODLE KATASTRÁLNÍCH ÚZEMÍ OBCE</w:t>
      </w:r>
    </w:p>
    <w:p w14:paraId="7A4BD5B5" w14:textId="77777777" w:rsidR="00CA23D0" w:rsidRPr="00C835F6" w:rsidRDefault="00CA23D0" w:rsidP="00CA23D0">
      <w:pPr>
        <w:tabs>
          <w:tab w:val="decimal" w:pos="144"/>
          <w:tab w:val="decimal" w:pos="709"/>
          <w:tab w:val="right" w:pos="2679"/>
        </w:tabs>
        <w:spacing w:before="36" w:line="276" w:lineRule="auto"/>
        <w:jc w:val="both"/>
        <w:rPr>
          <w:rFonts w:ascii="Arial" w:hAnsi="Arial" w:cs="Arial"/>
          <w:color w:val="00B050"/>
          <w:spacing w:val="3"/>
          <w:sz w:val="22"/>
          <w:szCs w:val="22"/>
        </w:rPr>
      </w:pPr>
      <w:r w:rsidRPr="00C835F6">
        <w:rPr>
          <w:rFonts w:ascii="Arial" w:hAnsi="Arial" w:cs="Arial"/>
          <w:color w:val="00B050"/>
          <w:spacing w:val="3"/>
          <w:sz w:val="22"/>
          <w:szCs w:val="22"/>
        </w:rPr>
        <w:t>Město má zpracovanou a schválenou ÚPD a návrh 1. změny rozšiřuje zastavitelné území navržené v roce 2002 a částečně i navržené území z roku 2002 mění.</w:t>
      </w:r>
    </w:p>
    <w:p w14:paraId="4A5267C8" w14:textId="77777777" w:rsidR="00CA23D0" w:rsidRPr="00C835F6" w:rsidRDefault="00CA23D0" w:rsidP="00CA23D0">
      <w:pPr>
        <w:spacing w:before="36" w:line="276" w:lineRule="auto"/>
        <w:jc w:val="both"/>
        <w:rPr>
          <w:rFonts w:ascii="Arial" w:hAnsi="Arial" w:cs="Arial"/>
          <w:color w:val="00B050"/>
          <w:spacing w:val="3"/>
          <w:sz w:val="22"/>
          <w:szCs w:val="22"/>
        </w:rPr>
      </w:pPr>
      <w:r w:rsidRPr="00C835F6">
        <w:rPr>
          <w:rFonts w:ascii="Arial" w:hAnsi="Arial" w:cs="Arial"/>
          <w:color w:val="00B050"/>
          <w:spacing w:val="3"/>
          <w:sz w:val="22"/>
          <w:szCs w:val="22"/>
        </w:rPr>
        <w:t xml:space="preserve">Řešené území 1. změny ÚPn M je navrženo </w:t>
      </w:r>
      <w:r>
        <w:rPr>
          <w:rFonts w:ascii="Arial" w:hAnsi="Arial" w:cs="Arial"/>
          <w:color w:val="00B050"/>
          <w:spacing w:val="3"/>
          <w:sz w:val="22"/>
          <w:szCs w:val="22"/>
        </w:rPr>
        <w:t>v těchto katastrálních územích.</w:t>
      </w:r>
    </w:p>
    <w:p w14:paraId="56643434" w14:textId="77777777" w:rsidR="00CA23D0" w:rsidRPr="00584393" w:rsidRDefault="00CA23D0" w:rsidP="00CA23D0">
      <w:pPr>
        <w:tabs>
          <w:tab w:val="decimal" w:pos="72"/>
          <w:tab w:val="decimal" w:pos="144"/>
          <w:tab w:val="right" w:pos="2679"/>
        </w:tabs>
        <w:spacing w:before="36" w:line="276" w:lineRule="auto"/>
        <w:ind w:left="72"/>
        <w:jc w:val="both"/>
        <w:rPr>
          <w:color w:val="00CC66"/>
          <w:spacing w:val="3"/>
        </w:rPr>
      </w:pPr>
    </w:p>
    <w:p w14:paraId="5D3392D8" w14:textId="77777777" w:rsidR="00CA23D0" w:rsidRPr="00584393" w:rsidRDefault="00CA23D0" w:rsidP="00CA23D0">
      <w:pPr>
        <w:tabs>
          <w:tab w:val="decimal" w:pos="72"/>
          <w:tab w:val="decimal" w:pos="144"/>
          <w:tab w:val="right" w:pos="2679"/>
        </w:tabs>
        <w:spacing w:before="36" w:line="276" w:lineRule="auto"/>
        <w:ind w:left="72"/>
        <w:jc w:val="center"/>
        <w:rPr>
          <w:color w:val="00CC66"/>
          <w:spacing w:val="3"/>
        </w:rPr>
      </w:pPr>
      <w:r w:rsidRPr="00584393">
        <w:rPr>
          <w:noProof/>
          <w:color w:val="00CC66"/>
          <w:spacing w:val="3"/>
          <w:lang w:eastAsia="cs-CZ"/>
        </w:rPr>
        <w:drawing>
          <wp:inline distT="0" distB="0" distL="0" distR="0" wp14:anchorId="307CC352" wp14:editId="3D5DED37">
            <wp:extent cx="5008880" cy="6400800"/>
            <wp:effectExtent l="38100" t="38100" r="39370" b="38100"/>
            <wp:docPr id="49" name="Obráze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008880" cy="6400800"/>
                    </a:xfrm>
                    <a:prstGeom prst="rect">
                      <a:avLst/>
                    </a:prstGeom>
                    <a:noFill/>
                    <a:ln w="38100" cmpd="sng">
                      <a:solidFill>
                        <a:srgbClr val="00B050"/>
                      </a:solidFill>
                      <a:miter lim="800000"/>
                      <a:headEnd/>
                      <a:tailEnd/>
                    </a:ln>
                    <a:effectLst/>
                  </pic:spPr>
                </pic:pic>
              </a:graphicData>
            </a:graphic>
          </wp:inline>
        </w:drawing>
      </w:r>
    </w:p>
    <w:p w14:paraId="1E954E26" w14:textId="77777777" w:rsidR="00CA23D0" w:rsidRDefault="00CA23D0" w:rsidP="00CA23D0">
      <w:pPr>
        <w:jc w:val="both"/>
        <w:rPr>
          <w:color w:val="00CC66"/>
          <w:spacing w:val="3"/>
        </w:rPr>
      </w:pPr>
    </w:p>
    <w:p w14:paraId="60E3CDF0" w14:textId="77777777" w:rsidR="00CA23D0" w:rsidRDefault="00CA23D0" w:rsidP="00CA23D0">
      <w:pPr>
        <w:pStyle w:val="Bezmezer"/>
      </w:pPr>
    </w:p>
    <w:p w14:paraId="1E604AA1" w14:textId="77777777" w:rsidR="00CA23D0" w:rsidRDefault="00CA23D0" w:rsidP="00CA23D0">
      <w:pPr>
        <w:pStyle w:val="Bezmezer"/>
      </w:pPr>
    </w:p>
    <w:p w14:paraId="6F1BBF2D" w14:textId="77777777" w:rsidR="00CA23D0" w:rsidRDefault="00CA23D0" w:rsidP="00CA23D0">
      <w:pPr>
        <w:pStyle w:val="Bezmezer"/>
      </w:pPr>
    </w:p>
    <w:p w14:paraId="16822680" w14:textId="77777777" w:rsidR="00CA23D0" w:rsidRPr="00DD2A6C" w:rsidRDefault="00CA23D0" w:rsidP="00CA23D0">
      <w:pPr>
        <w:keepNext/>
        <w:spacing w:line="276" w:lineRule="auto"/>
        <w:jc w:val="both"/>
        <w:rPr>
          <w:rFonts w:ascii="Arial" w:hAnsi="Arial" w:cs="Arial"/>
          <w:b/>
          <w:color w:val="BF8F00"/>
        </w:rPr>
      </w:pPr>
      <w:r w:rsidRPr="00DD2A6C">
        <w:rPr>
          <w:rFonts w:ascii="Arial" w:hAnsi="Arial" w:cs="Arial"/>
          <w:b/>
          <w:color w:val="BF8F00"/>
        </w:rPr>
        <w:lastRenderedPageBreak/>
        <w:t>(Z2) VYMEZENÍ ZASTAVĚNÉHO ÚZEMÍ</w:t>
      </w:r>
    </w:p>
    <w:p w14:paraId="1A0BA770" w14:textId="77777777" w:rsidR="00CA23D0" w:rsidRPr="00DD2A6C" w:rsidRDefault="00CA23D0" w:rsidP="00CA23D0">
      <w:pPr>
        <w:spacing w:line="276" w:lineRule="auto"/>
        <w:jc w:val="both"/>
        <w:rPr>
          <w:rFonts w:ascii="Arial" w:hAnsi="Arial" w:cs="Arial"/>
          <w:color w:val="BF8F00"/>
          <w:sz w:val="22"/>
          <w:szCs w:val="22"/>
        </w:rPr>
      </w:pPr>
      <w:r w:rsidRPr="00DD2A6C">
        <w:rPr>
          <w:rFonts w:ascii="Arial" w:hAnsi="Arial" w:cs="Arial"/>
          <w:color w:val="BF8F00"/>
          <w:sz w:val="22"/>
          <w:szCs w:val="22"/>
        </w:rPr>
        <w:t xml:space="preserve">Hranice zastavěného území (ZÚ) je vymezena k 1. 5. 2007 a je součástí výkresové dokumentace (hlavní výkres). Nové vymezení zastavěného území bylo provedeno pouze v řešeném území 2. změny Územní plán města (dále jen UPn M) Děčína. </w:t>
      </w:r>
    </w:p>
    <w:p w14:paraId="4C232A3C" w14:textId="77777777" w:rsidR="00CA23D0" w:rsidRPr="002449FC" w:rsidRDefault="00CA23D0" w:rsidP="00CA23D0">
      <w:pPr>
        <w:spacing w:line="276" w:lineRule="auto"/>
        <w:ind w:left="708"/>
        <w:jc w:val="both"/>
        <w:rPr>
          <w:rFonts w:ascii="Arial" w:hAnsi="Arial" w:cs="Arial"/>
          <w:color w:val="C45911"/>
        </w:rPr>
      </w:pPr>
    </w:p>
    <w:p w14:paraId="7C1822A0" w14:textId="77777777" w:rsidR="00CA23D0" w:rsidRPr="00025C8E" w:rsidRDefault="00CA23D0" w:rsidP="00CA23D0">
      <w:pPr>
        <w:spacing w:line="276" w:lineRule="auto"/>
        <w:jc w:val="both"/>
        <w:rPr>
          <w:rFonts w:ascii="Arial" w:hAnsi="Arial" w:cs="Arial"/>
          <w:b/>
          <w:color w:val="0066FF"/>
        </w:rPr>
      </w:pPr>
      <w:r w:rsidRPr="00025C8E">
        <w:rPr>
          <w:rFonts w:ascii="Arial" w:hAnsi="Arial" w:cs="Arial"/>
          <w:b/>
          <w:color w:val="0066FF"/>
        </w:rPr>
        <w:t>(Z4) VYMEZENÍ ŘEŠENÉHO ÚZEMÍ PODLE KATASTRÁLNÍCH ÚZEMÍ OBCE</w:t>
      </w:r>
    </w:p>
    <w:p w14:paraId="44F5445E" w14:textId="77777777" w:rsidR="00CA23D0" w:rsidRDefault="00CA23D0" w:rsidP="00CA23D0">
      <w:pPr>
        <w:spacing w:line="276" w:lineRule="auto"/>
        <w:jc w:val="both"/>
        <w:rPr>
          <w:rFonts w:ascii="Arial" w:hAnsi="Arial" w:cs="Arial"/>
          <w:color w:val="0066FF"/>
          <w:sz w:val="22"/>
          <w:szCs w:val="22"/>
        </w:rPr>
      </w:pPr>
      <w:r w:rsidRPr="00DD2A6C">
        <w:rPr>
          <w:rFonts w:ascii="Arial" w:hAnsi="Arial" w:cs="Arial"/>
          <w:color w:val="0066FF"/>
          <w:sz w:val="22"/>
          <w:szCs w:val="22"/>
        </w:rPr>
        <w:t>Řešené území 4 změny ÚPn M je navrženo na:.</w:t>
      </w:r>
    </w:p>
    <w:p w14:paraId="104CA7E3" w14:textId="77777777" w:rsidR="00CA23D0" w:rsidRPr="00DD2A6C" w:rsidRDefault="00CA23D0" w:rsidP="00CA23D0">
      <w:pPr>
        <w:spacing w:line="276" w:lineRule="auto"/>
        <w:jc w:val="both"/>
        <w:rPr>
          <w:rFonts w:ascii="Arial" w:hAnsi="Arial" w:cs="Arial"/>
          <w:color w:val="0066FF"/>
          <w:sz w:val="22"/>
          <w:szCs w:val="22"/>
        </w:rPr>
      </w:pPr>
      <w:r w:rsidRPr="00EC64BB">
        <w:rPr>
          <w:rFonts w:ascii="Arial" w:hAnsi="Arial" w:cs="Arial"/>
          <w:noProof/>
          <w:color w:val="0066FF"/>
          <w:sz w:val="22"/>
          <w:szCs w:val="22"/>
          <w:lang w:eastAsia="cs-CZ"/>
        </w:rPr>
        <w:drawing>
          <wp:inline distT="0" distB="0" distL="0" distR="0" wp14:anchorId="57623B4F" wp14:editId="6E8A27DA">
            <wp:extent cx="4612640" cy="1023620"/>
            <wp:effectExtent l="38100" t="38100" r="35560" b="43180"/>
            <wp:docPr id="48" name="Obráze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612640" cy="1023620"/>
                    </a:xfrm>
                    <a:prstGeom prst="rect">
                      <a:avLst/>
                    </a:prstGeom>
                    <a:noFill/>
                    <a:ln w="38100" cmpd="sng">
                      <a:solidFill>
                        <a:srgbClr val="0066FF"/>
                      </a:solidFill>
                      <a:miter lim="800000"/>
                      <a:headEnd/>
                      <a:tailEnd/>
                    </a:ln>
                    <a:effectLst/>
                  </pic:spPr>
                </pic:pic>
              </a:graphicData>
            </a:graphic>
          </wp:inline>
        </w:drawing>
      </w:r>
    </w:p>
    <w:p w14:paraId="67D16BDB" w14:textId="77777777" w:rsidR="00CA23D0" w:rsidRPr="00E26E24" w:rsidRDefault="00CA23D0" w:rsidP="00CA23D0">
      <w:pPr>
        <w:spacing w:line="276" w:lineRule="auto"/>
        <w:jc w:val="both"/>
        <w:rPr>
          <w:rFonts w:ascii="Arial" w:hAnsi="Arial" w:cs="Arial"/>
          <w:b/>
          <w:sz w:val="22"/>
          <w:szCs w:val="22"/>
        </w:rPr>
      </w:pPr>
    </w:p>
    <w:p w14:paraId="682399D5" w14:textId="77777777" w:rsidR="00CA23D0" w:rsidRPr="00DD2A6C" w:rsidRDefault="00CA23D0" w:rsidP="00CA23D0">
      <w:pPr>
        <w:spacing w:line="276" w:lineRule="auto"/>
        <w:jc w:val="both"/>
        <w:rPr>
          <w:rFonts w:ascii="Arial" w:hAnsi="Arial" w:cs="Arial"/>
          <w:b/>
          <w:color w:val="D60093"/>
        </w:rPr>
      </w:pPr>
      <w:r w:rsidRPr="00DD2A6C">
        <w:rPr>
          <w:rFonts w:ascii="Arial" w:hAnsi="Arial" w:cs="Arial"/>
          <w:b/>
          <w:color w:val="D60093"/>
        </w:rPr>
        <w:t>(Z6) VYMEZENÍ ZASTAVĚNÉHO ÚZEMÍ,</w:t>
      </w:r>
    </w:p>
    <w:p w14:paraId="38D16216" w14:textId="77777777" w:rsidR="00CA23D0" w:rsidRPr="00DD2A6C" w:rsidRDefault="00CA23D0" w:rsidP="00CA23D0">
      <w:pPr>
        <w:spacing w:line="276" w:lineRule="auto"/>
        <w:jc w:val="both"/>
        <w:rPr>
          <w:rFonts w:ascii="Arial" w:hAnsi="Arial" w:cs="Arial"/>
          <w:color w:val="D60093"/>
          <w:sz w:val="22"/>
          <w:szCs w:val="22"/>
        </w:rPr>
      </w:pPr>
      <w:r w:rsidRPr="00DD2A6C">
        <w:rPr>
          <w:rFonts w:ascii="Arial" w:hAnsi="Arial" w:cs="Arial"/>
          <w:color w:val="D60093"/>
          <w:sz w:val="22"/>
          <w:szCs w:val="22"/>
        </w:rPr>
        <w:t>Hranice zastavěného území (ZÚ) je vymezena k 1. 5. 2007 a je součástí výkresové dokumentace (hlavní výkres). Nové vymezení zastavěného území bylo provedeno pouze v řešeném území 6. změny Územní plán města (dále jen UPn M) Děčína.</w:t>
      </w:r>
    </w:p>
    <w:p w14:paraId="53ACBA6F" w14:textId="77777777" w:rsidR="00CA23D0" w:rsidRDefault="00CA23D0" w:rsidP="00CA23D0">
      <w:pPr>
        <w:spacing w:line="276" w:lineRule="auto"/>
        <w:jc w:val="both"/>
        <w:rPr>
          <w:rFonts w:ascii="Arial" w:hAnsi="Arial" w:cs="Arial"/>
          <w:b/>
          <w:color w:val="FF3399"/>
        </w:rPr>
      </w:pPr>
      <w:bookmarkStart w:id="5" w:name="_Toc341636755"/>
      <w:bookmarkStart w:id="6" w:name="_Toc354838604"/>
    </w:p>
    <w:p w14:paraId="2479295D" w14:textId="77777777" w:rsidR="00CA23D0" w:rsidRPr="00DD2A6C" w:rsidRDefault="00CA23D0" w:rsidP="00CA23D0">
      <w:pPr>
        <w:spacing w:line="276" w:lineRule="auto"/>
        <w:jc w:val="both"/>
        <w:rPr>
          <w:rFonts w:ascii="Arial" w:hAnsi="Arial" w:cs="Arial"/>
          <w:b/>
          <w:color w:val="FF0000"/>
        </w:rPr>
      </w:pPr>
      <w:r w:rsidRPr="00DD2A6C">
        <w:rPr>
          <w:rFonts w:ascii="Arial" w:hAnsi="Arial" w:cs="Arial"/>
          <w:b/>
          <w:color w:val="FF0000"/>
        </w:rPr>
        <w:t>(Z8) VYMEZENÍ ZASTAVĚNÉHO ÚZEMÍ,</w:t>
      </w:r>
      <w:bookmarkEnd w:id="5"/>
      <w:bookmarkEnd w:id="6"/>
    </w:p>
    <w:p w14:paraId="5734A3FC" w14:textId="77777777" w:rsidR="00CA23D0" w:rsidRPr="00DD2A6C" w:rsidRDefault="00CA23D0" w:rsidP="00CA23D0">
      <w:pPr>
        <w:spacing w:line="276" w:lineRule="auto"/>
        <w:jc w:val="both"/>
        <w:rPr>
          <w:rFonts w:ascii="Arial" w:hAnsi="Arial" w:cs="Arial"/>
          <w:color w:val="FF0000"/>
          <w:sz w:val="22"/>
          <w:szCs w:val="22"/>
        </w:rPr>
      </w:pPr>
      <w:r w:rsidRPr="00DD2A6C">
        <w:rPr>
          <w:rFonts w:ascii="Arial" w:hAnsi="Arial" w:cs="Arial"/>
          <w:color w:val="FF0000"/>
          <w:sz w:val="22"/>
          <w:szCs w:val="22"/>
        </w:rPr>
        <w:t>Hranice zastavěného území je dána stávajícím schváleným územním plánem města z roku 2002. Součástí 8. Změny je aktualizace zastavěného území k 31. 12. 2013 stavbami realizovanými po schválení ÚP v roce 2002.</w:t>
      </w:r>
    </w:p>
    <w:p w14:paraId="1983D42A" w14:textId="77777777" w:rsidR="00CA23D0" w:rsidRDefault="00CA23D0" w:rsidP="00CA23D0">
      <w:pPr>
        <w:spacing w:line="276" w:lineRule="auto"/>
        <w:jc w:val="both"/>
        <w:rPr>
          <w:rFonts w:ascii="Arial" w:hAnsi="Arial" w:cs="Arial"/>
          <w:color w:val="FF0000"/>
        </w:rPr>
      </w:pPr>
    </w:p>
    <w:p w14:paraId="716F0C06" w14:textId="77777777" w:rsidR="00C00C57" w:rsidRPr="007B2506" w:rsidRDefault="00C00C57" w:rsidP="00CA23D0">
      <w:pPr>
        <w:spacing w:line="276" w:lineRule="auto"/>
        <w:jc w:val="both"/>
        <w:rPr>
          <w:rFonts w:ascii="Arial" w:hAnsi="Arial" w:cs="Arial"/>
          <w:b/>
          <w:color w:val="18B8B0"/>
        </w:rPr>
      </w:pPr>
      <w:r w:rsidRPr="007B2506">
        <w:rPr>
          <w:rFonts w:ascii="Arial" w:hAnsi="Arial" w:cs="Arial"/>
          <w:b/>
          <w:color w:val="18B8B0"/>
        </w:rPr>
        <w:t xml:space="preserve">(Z12) VYMEZENÍ ZASTAVĚNÉHO ÚZEMÍ, </w:t>
      </w:r>
    </w:p>
    <w:p w14:paraId="4C2D27EF" w14:textId="3B1FA066" w:rsidR="00C00C57" w:rsidRPr="00C00C57" w:rsidRDefault="00C00C57" w:rsidP="00CA23D0">
      <w:pPr>
        <w:spacing w:line="276" w:lineRule="auto"/>
        <w:jc w:val="both"/>
        <w:rPr>
          <w:rFonts w:ascii="Arial" w:hAnsi="Arial" w:cs="Arial"/>
          <w:color w:val="18B8B0"/>
          <w:sz w:val="22"/>
        </w:rPr>
      </w:pPr>
      <w:r w:rsidRPr="007B2506">
        <w:rPr>
          <w:rFonts w:ascii="Arial" w:hAnsi="Arial" w:cs="Arial"/>
          <w:color w:val="18B8B0"/>
          <w:sz w:val="22"/>
          <w:szCs w:val="22"/>
        </w:rPr>
        <w:t>Hranice zastavěného</w:t>
      </w:r>
      <w:r w:rsidR="00F25C75" w:rsidRPr="007B2506">
        <w:rPr>
          <w:rFonts w:ascii="Arial" w:hAnsi="Arial" w:cs="Arial"/>
          <w:color w:val="18B8B0"/>
          <w:sz w:val="22"/>
        </w:rPr>
        <w:t xml:space="preserve"> území je vymezena ke dni 22.3.2024</w:t>
      </w:r>
      <w:r w:rsidRPr="007B2506">
        <w:rPr>
          <w:rFonts w:ascii="Arial" w:hAnsi="Arial" w:cs="Arial"/>
          <w:color w:val="18B8B0"/>
          <w:sz w:val="22"/>
        </w:rPr>
        <w:t xml:space="preserve"> a je součástí výkresové dokumentace. </w:t>
      </w:r>
      <w:r w:rsidR="00FC04FE" w:rsidRPr="007B2506">
        <w:rPr>
          <w:rFonts w:ascii="Arial" w:hAnsi="Arial" w:cs="Arial"/>
          <w:color w:val="18B8B0"/>
          <w:sz w:val="22"/>
        </w:rPr>
        <w:t>Aktualizace zastavěného území byla provedena</w:t>
      </w:r>
      <w:r w:rsidRPr="007B2506">
        <w:rPr>
          <w:rFonts w:ascii="Arial" w:hAnsi="Arial" w:cs="Arial"/>
          <w:color w:val="18B8B0"/>
          <w:sz w:val="22"/>
        </w:rPr>
        <w:t xml:space="preserve"> v rámci celého správního území statutárního města Děčín.</w:t>
      </w:r>
      <w:r>
        <w:rPr>
          <w:rFonts w:ascii="Arial" w:hAnsi="Arial" w:cs="Arial"/>
          <w:color w:val="18B8B0"/>
          <w:sz w:val="22"/>
        </w:rPr>
        <w:t xml:space="preserve"> </w:t>
      </w:r>
    </w:p>
    <w:p w14:paraId="7B61C912" w14:textId="77777777" w:rsidR="00CA23D0" w:rsidRDefault="00CA23D0" w:rsidP="00CA23D0">
      <w:pPr>
        <w:jc w:val="both"/>
        <w:rPr>
          <w:rFonts w:ascii="Arial" w:hAnsi="Arial" w:cs="Arial"/>
          <w:sz w:val="22"/>
        </w:rPr>
      </w:pPr>
    </w:p>
    <w:p w14:paraId="716BC227" w14:textId="77777777" w:rsidR="00CA23D0" w:rsidRDefault="00CA23D0" w:rsidP="00CA23D0">
      <w:pPr>
        <w:jc w:val="both"/>
        <w:rPr>
          <w:rFonts w:ascii="Arial" w:hAnsi="Arial" w:cs="Arial"/>
          <w:sz w:val="22"/>
        </w:rPr>
      </w:pPr>
    </w:p>
    <w:p w14:paraId="4E0453DE" w14:textId="77777777" w:rsidR="00CA23D0" w:rsidRDefault="00CA23D0" w:rsidP="00CA23D0">
      <w:pPr>
        <w:jc w:val="both"/>
        <w:rPr>
          <w:rFonts w:ascii="Arial" w:hAnsi="Arial" w:cs="Arial"/>
          <w:sz w:val="22"/>
        </w:rPr>
      </w:pPr>
    </w:p>
    <w:p w14:paraId="171255AD" w14:textId="77777777" w:rsidR="00CA23D0" w:rsidRDefault="00CA23D0" w:rsidP="00CA23D0">
      <w:pPr>
        <w:jc w:val="both"/>
        <w:rPr>
          <w:rFonts w:ascii="Arial" w:hAnsi="Arial" w:cs="Arial"/>
          <w:sz w:val="22"/>
        </w:rPr>
      </w:pPr>
    </w:p>
    <w:p w14:paraId="356D8226" w14:textId="77777777" w:rsidR="00CA23D0" w:rsidRDefault="00CA23D0" w:rsidP="00CA23D0">
      <w:pPr>
        <w:jc w:val="both"/>
        <w:rPr>
          <w:rFonts w:ascii="Arial" w:hAnsi="Arial" w:cs="Arial"/>
          <w:sz w:val="22"/>
        </w:rPr>
      </w:pPr>
    </w:p>
    <w:p w14:paraId="4526BD67" w14:textId="77777777" w:rsidR="00CA23D0" w:rsidRDefault="00CA23D0" w:rsidP="00CA23D0">
      <w:pPr>
        <w:jc w:val="both"/>
        <w:rPr>
          <w:rFonts w:ascii="Arial" w:hAnsi="Arial" w:cs="Arial"/>
          <w:sz w:val="22"/>
        </w:rPr>
      </w:pPr>
    </w:p>
    <w:p w14:paraId="7A3CEAD6" w14:textId="77777777" w:rsidR="00CA23D0" w:rsidRDefault="00CA23D0" w:rsidP="00CA23D0">
      <w:pPr>
        <w:jc w:val="both"/>
        <w:rPr>
          <w:rFonts w:ascii="Arial" w:hAnsi="Arial" w:cs="Arial"/>
          <w:sz w:val="22"/>
        </w:rPr>
      </w:pPr>
    </w:p>
    <w:p w14:paraId="0E0A0C74" w14:textId="77777777" w:rsidR="00CA23D0" w:rsidRDefault="00CA23D0" w:rsidP="00CA23D0">
      <w:pPr>
        <w:jc w:val="both"/>
        <w:rPr>
          <w:rFonts w:ascii="Arial" w:hAnsi="Arial" w:cs="Arial"/>
          <w:sz w:val="22"/>
        </w:rPr>
      </w:pPr>
    </w:p>
    <w:p w14:paraId="328C8998" w14:textId="77777777" w:rsidR="00CA23D0" w:rsidRDefault="00CA23D0" w:rsidP="00CA23D0">
      <w:pPr>
        <w:jc w:val="both"/>
        <w:rPr>
          <w:rFonts w:ascii="Arial" w:hAnsi="Arial" w:cs="Arial"/>
          <w:sz w:val="22"/>
        </w:rPr>
      </w:pPr>
    </w:p>
    <w:p w14:paraId="548762AF" w14:textId="77777777" w:rsidR="00CA23D0" w:rsidRDefault="00CA23D0" w:rsidP="00CA23D0">
      <w:pPr>
        <w:jc w:val="both"/>
        <w:rPr>
          <w:rFonts w:ascii="Arial" w:hAnsi="Arial" w:cs="Arial"/>
          <w:sz w:val="22"/>
        </w:rPr>
      </w:pPr>
    </w:p>
    <w:p w14:paraId="68E1C4F0" w14:textId="77777777" w:rsidR="00CA23D0" w:rsidRDefault="00CA23D0" w:rsidP="00CA23D0">
      <w:pPr>
        <w:jc w:val="both"/>
        <w:rPr>
          <w:rFonts w:ascii="Arial" w:hAnsi="Arial" w:cs="Arial"/>
          <w:sz w:val="22"/>
        </w:rPr>
      </w:pPr>
    </w:p>
    <w:p w14:paraId="384D2492" w14:textId="77777777" w:rsidR="00CA23D0" w:rsidRDefault="00CA23D0" w:rsidP="00CA23D0">
      <w:pPr>
        <w:jc w:val="both"/>
        <w:rPr>
          <w:rFonts w:ascii="Arial" w:hAnsi="Arial" w:cs="Arial"/>
          <w:sz w:val="22"/>
        </w:rPr>
      </w:pPr>
    </w:p>
    <w:p w14:paraId="0280D8C6" w14:textId="77777777" w:rsidR="00CA23D0" w:rsidRDefault="00CA23D0" w:rsidP="00CA23D0">
      <w:pPr>
        <w:jc w:val="both"/>
        <w:rPr>
          <w:rFonts w:ascii="Arial" w:hAnsi="Arial" w:cs="Arial"/>
          <w:sz w:val="22"/>
        </w:rPr>
      </w:pPr>
    </w:p>
    <w:p w14:paraId="2408CE57" w14:textId="77777777" w:rsidR="00CA23D0" w:rsidRDefault="00CA23D0" w:rsidP="00CA23D0">
      <w:pPr>
        <w:jc w:val="both"/>
        <w:rPr>
          <w:rFonts w:ascii="Arial" w:hAnsi="Arial" w:cs="Arial"/>
          <w:sz w:val="22"/>
        </w:rPr>
      </w:pPr>
    </w:p>
    <w:p w14:paraId="00E0B21C" w14:textId="77777777" w:rsidR="00CA23D0" w:rsidRDefault="00CA23D0" w:rsidP="00CA23D0">
      <w:pPr>
        <w:jc w:val="both"/>
        <w:rPr>
          <w:rFonts w:ascii="Arial" w:hAnsi="Arial" w:cs="Arial"/>
          <w:sz w:val="22"/>
        </w:rPr>
      </w:pPr>
    </w:p>
    <w:p w14:paraId="471D7FC3" w14:textId="77777777" w:rsidR="00CA23D0" w:rsidRDefault="00CA23D0" w:rsidP="00CA23D0">
      <w:pPr>
        <w:jc w:val="both"/>
        <w:rPr>
          <w:rFonts w:ascii="Arial" w:hAnsi="Arial" w:cs="Arial"/>
          <w:sz w:val="22"/>
        </w:rPr>
      </w:pPr>
    </w:p>
    <w:p w14:paraId="51BB4065" w14:textId="77777777" w:rsidR="00CA23D0" w:rsidRDefault="00CA23D0" w:rsidP="00CA23D0">
      <w:pPr>
        <w:jc w:val="both"/>
        <w:rPr>
          <w:rFonts w:ascii="Arial" w:hAnsi="Arial" w:cs="Arial"/>
          <w:sz w:val="22"/>
        </w:rPr>
      </w:pPr>
    </w:p>
    <w:p w14:paraId="17A23EDB" w14:textId="77777777" w:rsidR="00CA23D0" w:rsidRDefault="00CA23D0" w:rsidP="00CA23D0">
      <w:pPr>
        <w:jc w:val="both"/>
        <w:rPr>
          <w:rFonts w:ascii="Arial" w:hAnsi="Arial" w:cs="Arial"/>
          <w:sz w:val="22"/>
        </w:rPr>
      </w:pPr>
    </w:p>
    <w:p w14:paraId="46521B12" w14:textId="77777777" w:rsidR="00CA23D0" w:rsidRDefault="00CA23D0" w:rsidP="00CA23D0">
      <w:pPr>
        <w:jc w:val="both"/>
        <w:rPr>
          <w:rFonts w:ascii="Arial" w:hAnsi="Arial" w:cs="Arial"/>
          <w:sz w:val="22"/>
        </w:rPr>
      </w:pPr>
    </w:p>
    <w:p w14:paraId="56E54E44" w14:textId="77777777" w:rsidR="00CA23D0" w:rsidRDefault="00CA23D0" w:rsidP="00CA23D0">
      <w:pPr>
        <w:jc w:val="both"/>
        <w:rPr>
          <w:rFonts w:ascii="Arial" w:hAnsi="Arial" w:cs="Arial"/>
          <w:sz w:val="22"/>
        </w:rPr>
      </w:pPr>
    </w:p>
    <w:p w14:paraId="35F8608B" w14:textId="77777777" w:rsidR="00CA23D0" w:rsidRDefault="00CA23D0" w:rsidP="00CA23D0">
      <w:pPr>
        <w:jc w:val="both"/>
        <w:rPr>
          <w:rFonts w:ascii="Arial" w:hAnsi="Arial" w:cs="Arial"/>
          <w:sz w:val="22"/>
        </w:rPr>
      </w:pPr>
    </w:p>
    <w:p w14:paraId="149C862C" w14:textId="77777777" w:rsidR="00CA23D0" w:rsidRPr="001C726B" w:rsidRDefault="00CA23D0" w:rsidP="00CA23D0">
      <w:pPr>
        <w:pStyle w:val="Nadpis"/>
        <w:ind w:left="1276" w:hanging="1276"/>
        <w:jc w:val="both"/>
      </w:pPr>
      <w:r>
        <w:rPr>
          <w:sz w:val="48"/>
          <w:szCs w:val="48"/>
        </w:rPr>
        <w:lastRenderedPageBreak/>
        <w:t>B</w:t>
      </w:r>
      <w:r w:rsidRPr="001C726B">
        <w:rPr>
          <w:sz w:val="48"/>
          <w:szCs w:val="48"/>
        </w:rPr>
        <w:t xml:space="preserve">. NÁVRH ZÁKLADNÍ KONCEPCE </w:t>
      </w:r>
      <w:r>
        <w:rPr>
          <w:sz w:val="48"/>
          <w:szCs w:val="48"/>
        </w:rPr>
        <w:t>ŘEŠENÍ</w:t>
      </w:r>
    </w:p>
    <w:p w14:paraId="53D3F902" w14:textId="77777777" w:rsidR="00CA23D0" w:rsidRPr="001C726B" w:rsidRDefault="00CA23D0" w:rsidP="00CA23D0">
      <w:pPr>
        <w:pStyle w:val="Zkladntext"/>
        <w:jc w:val="both"/>
        <w:rPr>
          <w:rFonts w:cs="Arial"/>
        </w:rPr>
      </w:pPr>
    </w:p>
    <w:p w14:paraId="0604B652" w14:textId="77777777" w:rsidR="00CA23D0" w:rsidRPr="001C726B" w:rsidRDefault="00CA23D0" w:rsidP="00CA23D0">
      <w:pPr>
        <w:pStyle w:val="podnadpis2"/>
        <w:jc w:val="both"/>
        <w:rPr>
          <w:rFonts w:cs="Arial"/>
        </w:rPr>
      </w:pPr>
      <w:r w:rsidRPr="001C726B">
        <w:rPr>
          <w:rFonts w:cs="Arial"/>
        </w:rPr>
        <w:t>Poloha města</w:t>
      </w:r>
    </w:p>
    <w:p w14:paraId="7DD30D2D" w14:textId="77777777" w:rsidR="00CA23D0" w:rsidRPr="00CA23D0" w:rsidRDefault="00CA23D0" w:rsidP="00CA23D0">
      <w:pPr>
        <w:pStyle w:val="Zkladntext"/>
        <w:spacing w:line="240" w:lineRule="atLeast"/>
        <w:ind w:firstLine="708"/>
        <w:jc w:val="both"/>
        <w:rPr>
          <w:rFonts w:ascii="Arial" w:hAnsi="Arial" w:cs="Arial"/>
          <w:sz w:val="22"/>
          <w:szCs w:val="22"/>
        </w:rPr>
      </w:pPr>
      <w:r w:rsidRPr="00CA23D0">
        <w:rPr>
          <w:rFonts w:ascii="Arial" w:hAnsi="Arial" w:cs="Arial"/>
          <w:sz w:val="22"/>
          <w:szCs w:val="22"/>
        </w:rPr>
        <w:t>Město Děčín zaujímá v souboru obcí považovaných v rámci České republiky za města aktuálním počtem bydlících obyvatel 19. místo. Je jedním z  pěti měst, ve kterých se počet obyvatel pohybuje v rozmezí 50 až 60 tisíc osob.</w:t>
      </w:r>
    </w:p>
    <w:p w14:paraId="24AD69B1" w14:textId="77777777" w:rsidR="00CA23D0" w:rsidRPr="001C726B" w:rsidRDefault="00CA23D0" w:rsidP="00CA23D0">
      <w:pPr>
        <w:pStyle w:val="Zkladntext"/>
        <w:spacing w:line="240" w:lineRule="atLeast"/>
        <w:ind w:firstLine="708"/>
        <w:jc w:val="both"/>
        <w:rPr>
          <w:rFonts w:cs="Arial"/>
        </w:rPr>
      </w:pPr>
    </w:p>
    <w:tbl>
      <w:tblPr>
        <w:tblW w:w="0" w:type="auto"/>
        <w:jc w:val="center"/>
        <w:tblLayout w:type="fixed"/>
        <w:tblCellMar>
          <w:left w:w="5" w:type="dxa"/>
          <w:right w:w="5" w:type="dxa"/>
        </w:tblCellMar>
        <w:tblLook w:val="0000" w:firstRow="0" w:lastRow="0" w:firstColumn="0" w:lastColumn="0" w:noHBand="0" w:noVBand="0"/>
      </w:tblPr>
      <w:tblGrid>
        <w:gridCol w:w="1485"/>
        <w:gridCol w:w="941"/>
      </w:tblGrid>
      <w:tr w:rsidR="00CA23D0" w:rsidRPr="009D3BF3" w14:paraId="329497A0" w14:textId="77777777" w:rsidTr="00CA23D0">
        <w:trPr>
          <w:jc w:val="center"/>
        </w:trPr>
        <w:tc>
          <w:tcPr>
            <w:tcW w:w="1485" w:type="dxa"/>
            <w:tcBorders>
              <w:top w:val="single" w:sz="6" w:space="0" w:color="auto"/>
              <w:left w:val="single" w:sz="6" w:space="0" w:color="auto"/>
              <w:bottom w:val="single" w:sz="6" w:space="0" w:color="auto"/>
              <w:right w:val="single" w:sz="6" w:space="0" w:color="auto"/>
            </w:tcBorders>
          </w:tcPr>
          <w:p w14:paraId="2BBC65F9" w14:textId="77777777" w:rsidR="00CA23D0" w:rsidRPr="009D3BF3" w:rsidRDefault="00CA23D0" w:rsidP="00CA23D0">
            <w:pPr>
              <w:pStyle w:val="Texttabulky"/>
              <w:spacing w:line="240" w:lineRule="atLeast"/>
              <w:jc w:val="both"/>
              <w:rPr>
                <w:rFonts w:cs="Arial"/>
              </w:rPr>
            </w:pPr>
            <w:r w:rsidRPr="009D3BF3">
              <w:rPr>
                <w:rFonts w:cs="Arial"/>
              </w:rPr>
              <w:t>Karlovy Vary</w:t>
            </w:r>
          </w:p>
        </w:tc>
        <w:tc>
          <w:tcPr>
            <w:tcW w:w="941" w:type="dxa"/>
            <w:tcBorders>
              <w:top w:val="single" w:sz="6" w:space="0" w:color="auto"/>
              <w:left w:val="single" w:sz="6" w:space="0" w:color="auto"/>
              <w:bottom w:val="single" w:sz="6" w:space="0" w:color="auto"/>
              <w:right w:val="single" w:sz="6" w:space="0" w:color="auto"/>
            </w:tcBorders>
          </w:tcPr>
          <w:p w14:paraId="75A0BD8C" w14:textId="77777777" w:rsidR="00CA23D0" w:rsidRPr="009D3BF3" w:rsidRDefault="00CA23D0" w:rsidP="00CA23D0">
            <w:pPr>
              <w:pStyle w:val="Texttabulky"/>
              <w:spacing w:line="240" w:lineRule="atLeast"/>
              <w:jc w:val="both"/>
              <w:rPr>
                <w:rFonts w:cs="Arial"/>
              </w:rPr>
            </w:pPr>
            <w:r w:rsidRPr="009D3BF3">
              <w:rPr>
                <w:rFonts w:cs="Arial"/>
              </w:rPr>
              <w:t xml:space="preserve">54 487 </w:t>
            </w:r>
          </w:p>
        </w:tc>
      </w:tr>
      <w:tr w:rsidR="00CA23D0" w:rsidRPr="009D3BF3" w14:paraId="373B5825" w14:textId="77777777" w:rsidTr="00CA23D0">
        <w:trPr>
          <w:jc w:val="center"/>
        </w:trPr>
        <w:tc>
          <w:tcPr>
            <w:tcW w:w="1485" w:type="dxa"/>
            <w:tcBorders>
              <w:top w:val="single" w:sz="6" w:space="0" w:color="auto"/>
              <w:left w:val="single" w:sz="6" w:space="0" w:color="auto"/>
              <w:bottom w:val="single" w:sz="6" w:space="0" w:color="auto"/>
              <w:right w:val="single" w:sz="6" w:space="0" w:color="auto"/>
            </w:tcBorders>
          </w:tcPr>
          <w:p w14:paraId="0989A108" w14:textId="77777777" w:rsidR="00CA23D0" w:rsidRPr="009D3BF3" w:rsidRDefault="00CA23D0" w:rsidP="00CA23D0">
            <w:pPr>
              <w:pStyle w:val="Texttabulky"/>
              <w:spacing w:line="240" w:lineRule="atLeast"/>
              <w:jc w:val="both"/>
              <w:rPr>
                <w:rFonts w:cs="Arial"/>
              </w:rPr>
            </w:pPr>
            <w:r w:rsidRPr="009D3BF3">
              <w:rPr>
                <w:rFonts w:cs="Arial"/>
                <w:b/>
                <w:bCs/>
                <w:sz w:val="18"/>
                <w:szCs w:val="18"/>
              </w:rPr>
              <w:t xml:space="preserve"> Děčín</w:t>
            </w:r>
          </w:p>
        </w:tc>
        <w:tc>
          <w:tcPr>
            <w:tcW w:w="941" w:type="dxa"/>
            <w:tcBorders>
              <w:top w:val="single" w:sz="6" w:space="0" w:color="auto"/>
              <w:left w:val="single" w:sz="6" w:space="0" w:color="auto"/>
              <w:bottom w:val="single" w:sz="6" w:space="0" w:color="auto"/>
              <w:right w:val="single" w:sz="6" w:space="0" w:color="auto"/>
            </w:tcBorders>
          </w:tcPr>
          <w:p w14:paraId="7FF36374" w14:textId="77777777" w:rsidR="00CA23D0" w:rsidRPr="009D3BF3" w:rsidRDefault="00CA23D0" w:rsidP="00CA23D0">
            <w:pPr>
              <w:pStyle w:val="Texttabulky"/>
              <w:spacing w:line="240" w:lineRule="atLeast"/>
              <w:jc w:val="both"/>
              <w:rPr>
                <w:rFonts w:cs="Arial"/>
              </w:rPr>
            </w:pPr>
            <w:r w:rsidRPr="009D3BF3">
              <w:rPr>
                <w:rFonts w:cs="Arial"/>
                <w:b/>
                <w:bCs/>
                <w:sz w:val="18"/>
                <w:szCs w:val="18"/>
              </w:rPr>
              <w:t>52 951</w:t>
            </w:r>
          </w:p>
        </w:tc>
      </w:tr>
      <w:tr w:rsidR="00CA23D0" w:rsidRPr="009D3BF3" w14:paraId="452C211D" w14:textId="77777777" w:rsidTr="00CA23D0">
        <w:trPr>
          <w:jc w:val="center"/>
        </w:trPr>
        <w:tc>
          <w:tcPr>
            <w:tcW w:w="1485" w:type="dxa"/>
            <w:tcBorders>
              <w:top w:val="single" w:sz="6" w:space="0" w:color="auto"/>
              <w:left w:val="single" w:sz="6" w:space="0" w:color="auto"/>
              <w:bottom w:val="single" w:sz="6" w:space="0" w:color="auto"/>
              <w:right w:val="single" w:sz="6" w:space="0" w:color="auto"/>
            </w:tcBorders>
          </w:tcPr>
          <w:p w14:paraId="7AB158C8" w14:textId="77777777" w:rsidR="00CA23D0" w:rsidRPr="009D3BF3" w:rsidRDefault="00CA23D0" w:rsidP="00CA23D0">
            <w:pPr>
              <w:pStyle w:val="Texttabulky"/>
              <w:spacing w:line="240" w:lineRule="atLeast"/>
              <w:jc w:val="both"/>
              <w:rPr>
                <w:rFonts w:cs="Arial"/>
              </w:rPr>
            </w:pPr>
            <w:r w:rsidRPr="009D3BF3">
              <w:rPr>
                <w:rFonts w:cs="Arial"/>
              </w:rPr>
              <w:t xml:space="preserve"> Teplice</w:t>
            </w:r>
          </w:p>
        </w:tc>
        <w:tc>
          <w:tcPr>
            <w:tcW w:w="941" w:type="dxa"/>
            <w:tcBorders>
              <w:top w:val="single" w:sz="6" w:space="0" w:color="auto"/>
              <w:left w:val="single" w:sz="6" w:space="0" w:color="auto"/>
              <w:bottom w:val="single" w:sz="6" w:space="0" w:color="auto"/>
              <w:right w:val="single" w:sz="6" w:space="0" w:color="auto"/>
            </w:tcBorders>
          </w:tcPr>
          <w:p w14:paraId="00A7EC98" w14:textId="77777777" w:rsidR="00CA23D0" w:rsidRPr="009D3BF3" w:rsidRDefault="00CA23D0" w:rsidP="00CA23D0">
            <w:pPr>
              <w:pStyle w:val="Texttabulky"/>
              <w:spacing w:line="240" w:lineRule="atLeast"/>
              <w:jc w:val="both"/>
              <w:rPr>
                <w:rFonts w:cs="Arial"/>
              </w:rPr>
            </w:pPr>
            <w:r w:rsidRPr="009D3BF3">
              <w:rPr>
                <w:rFonts w:cs="Arial"/>
              </w:rPr>
              <w:t>52 964</w:t>
            </w:r>
          </w:p>
        </w:tc>
      </w:tr>
      <w:tr w:rsidR="00CA23D0" w:rsidRPr="009D3BF3" w14:paraId="7358EEE4" w14:textId="77777777" w:rsidTr="00CA23D0">
        <w:trPr>
          <w:jc w:val="center"/>
        </w:trPr>
        <w:tc>
          <w:tcPr>
            <w:tcW w:w="1485" w:type="dxa"/>
            <w:tcBorders>
              <w:top w:val="single" w:sz="6" w:space="0" w:color="auto"/>
              <w:left w:val="single" w:sz="6" w:space="0" w:color="auto"/>
              <w:bottom w:val="single" w:sz="6" w:space="0" w:color="auto"/>
              <w:right w:val="single" w:sz="6" w:space="0" w:color="auto"/>
            </w:tcBorders>
          </w:tcPr>
          <w:p w14:paraId="48FF4195" w14:textId="77777777" w:rsidR="00CA23D0" w:rsidRPr="009D3BF3" w:rsidRDefault="00CA23D0" w:rsidP="00CA23D0">
            <w:pPr>
              <w:pStyle w:val="Texttabulky"/>
              <w:spacing w:line="240" w:lineRule="atLeast"/>
              <w:jc w:val="both"/>
              <w:rPr>
                <w:rFonts w:cs="Arial"/>
              </w:rPr>
            </w:pPr>
            <w:r w:rsidRPr="009D3BF3">
              <w:rPr>
                <w:rFonts w:cs="Arial"/>
              </w:rPr>
              <w:t xml:space="preserve"> Jihlava</w:t>
            </w:r>
          </w:p>
        </w:tc>
        <w:tc>
          <w:tcPr>
            <w:tcW w:w="941" w:type="dxa"/>
            <w:tcBorders>
              <w:top w:val="single" w:sz="6" w:space="0" w:color="auto"/>
              <w:left w:val="single" w:sz="6" w:space="0" w:color="auto"/>
              <w:bottom w:val="single" w:sz="6" w:space="0" w:color="auto"/>
              <w:right w:val="single" w:sz="6" w:space="0" w:color="auto"/>
            </w:tcBorders>
          </w:tcPr>
          <w:p w14:paraId="0383D397" w14:textId="77777777" w:rsidR="00CA23D0" w:rsidRPr="009D3BF3" w:rsidRDefault="00CA23D0" w:rsidP="00CA23D0">
            <w:pPr>
              <w:pStyle w:val="Texttabulky"/>
              <w:spacing w:line="240" w:lineRule="atLeast"/>
              <w:jc w:val="both"/>
              <w:rPr>
                <w:rFonts w:cs="Arial"/>
              </w:rPr>
            </w:pPr>
            <w:r w:rsidRPr="009D3BF3">
              <w:rPr>
                <w:rFonts w:cs="Arial"/>
              </w:rPr>
              <w:t>51 814</w:t>
            </w:r>
          </w:p>
        </w:tc>
      </w:tr>
      <w:tr w:rsidR="00CA23D0" w:rsidRPr="009D3BF3" w14:paraId="1AD78A9B" w14:textId="77777777" w:rsidTr="00CA23D0">
        <w:trPr>
          <w:jc w:val="center"/>
        </w:trPr>
        <w:tc>
          <w:tcPr>
            <w:tcW w:w="1485" w:type="dxa"/>
            <w:tcBorders>
              <w:top w:val="single" w:sz="6" w:space="0" w:color="auto"/>
              <w:left w:val="single" w:sz="6" w:space="0" w:color="auto"/>
              <w:bottom w:val="single" w:sz="6" w:space="0" w:color="auto"/>
              <w:right w:val="single" w:sz="6" w:space="0" w:color="auto"/>
            </w:tcBorders>
          </w:tcPr>
          <w:p w14:paraId="35D19305" w14:textId="77777777" w:rsidR="00CA23D0" w:rsidRPr="009D3BF3" w:rsidRDefault="00CA23D0" w:rsidP="00CA23D0">
            <w:pPr>
              <w:pStyle w:val="Texttabulky"/>
              <w:spacing w:line="240" w:lineRule="atLeast"/>
              <w:jc w:val="both"/>
              <w:rPr>
                <w:rFonts w:cs="Arial"/>
              </w:rPr>
            </w:pPr>
            <w:r w:rsidRPr="009D3BF3">
              <w:rPr>
                <w:rFonts w:cs="Arial"/>
              </w:rPr>
              <w:t xml:space="preserve"> Chomutov</w:t>
            </w:r>
          </w:p>
        </w:tc>
        <w:tc>
          <w:tcPr>
            <w:tcW w:w="941" w:type="dxa"/>
            <w:tcBorders>
              <w:top w:val="single" w:sz="6" w:space="0" w:color="auto"/>
              <w:left w:val="single" w:sz="6" w:space="0" w:color="auto"/>
              <w:bottom w:val="single" w:sz="6" w:space="0" w:color="auto"/>
              <w:right w:val="single" w:sz="6" w:space="0" w:color="auto"/>
            </w:tcBorders>
          </w:tcPr>
          <w:p w14:paraId="4401F9C3" w14:textId="77777777" w:rsidR="00CA23D0" w:rsidRPr="009D3BF3" w:rsidRDefault="00CA23D0" w:rsidP="00CA23D0">
            <w:pPr>
              <w:pStyle w:val="Texttabulky"/>
              <w:spacing w:line="240" w:lineRule="atLeast"/>
              <w:jc w:val="both"/>
              <w:rPr>
                <w:rFonts w:cs="Arial"/>
              </w:rPr>
            </w:pPr>
            <w:r w:rsidRPr="009D3BF3">
              <w:rPr>
                <w:rFonts w:cs="Arial"/>
              </w:rPr>
              <w:t>51 405</w:t>
            </w:r>
          </w:p>
        </w:tc>
      </w:tr>
    </w:tbl>
    <w:p w14:paraId="59ED0AD6" w14:textId="77777777" w:rsidR="00CA23D0" w:rsidRPr="00CA23D0" w:rsidRDefault="00CA23D0" w:rsidP="00CA23D0">
      <w:pPr>
        <w:pStyle w:val="Zkladntext"/>
        <w:spacing w:line="240" w:lineRule="atLeast"/>
        <w:ind w:firstLine="708"/>
        <w:jc w:val="both"/>
        <w:rPr>
          <w:rFonts w:ascii="Arial" w:hAnsi="Arial" w:cs="Arial"/>
        </w:rPr>
      </w:pPr>
    </w:p>
    <w:p w14:paraId="75C5AC39"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 xml:space="preserve">Z  dat, která ukazují stav na počátku roku 2000 je zřejmé, že Děčín je mezi těmito městy momentálně druhý. Za určitou zajímavost lze považovat i fakt, že velikostí danou počtem obyvatel se město Děčín vyrovná dvěma krajským městům </w:t>
      </w:r>
    </w:p>
    <w:p w14:paraId="3B6D09E8"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Fyzická či geografická poloha města je a patrně i v budoucnu bude z  mnoha hledisek velmi příznivá, což může být příčinou růstu města, jehož velikost je dána počtem obyvatel. Dříve okrajová poloha v blízkosti hranic státu je z  pohledu dneška a především k  budoucnosti značnou výhodou. Velmi dobře vyznívá a pro město může být rozhodující postavení v dopravní síti, kde je Děčín na hlavním koridoru železniční sítě státu, jenž je součástí jednoho z  nosných dopravních směrů v rámci střední Evropy. Kromě polohy na železnici bude mít pro město nepochybně velký význam i v současnosti realizovaná nedaleká trasa dálnice, jejíž dokončení umocní význam dopravního směru Berlín - Praha - Vídeň.</w:t>
      </w:r>
    </w:p>
    <w:p w14:paraId="6121E537"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Zatím velkou neznámou je možný dopad připravovaného ustavení nových krajů v České republice. Politické a ekonomické změny z  počátku devadesátých let vedlo k  likvidaci správních orgánů krajů a převodu kompetencí na úroveň okresů.</w:t>
      </w:r>
    </w:p>
    <w:p w14:paraId="6C636A4F"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Od 1. 1. 2000 vstoupil v platnost ústavní zákon, který dal vzniknout 14 novým krajům –vyšším územním samosprávným celkům. Město Děčín je nyní součástí stejně jako celý okres součástí budoucího Ústeckého kraje.</w:t>
      </w:r>
    </w:p>
    <w:p w14:paraId="3CF25827" w14:textId="77777777" w:rsidR="00CA23D0" w:rsidRDefault="00CA23D0" w:rsidP="00CA23D0">
      <w:pPr>
        <w:pStyle w:val="Zkladntext"/>
        <w:spacing w:line="240" w:lineRule="atLeast"/>
        <w:jc w:val="both"/>
        <w:rPr>
          <w:rFonts w:ascii="Arial" w:hAnsi="Arial" w:cs="Arial"/>
        </w:rPr>
      </w:pPr>
    </w:p>
    <w:p w14:paraId="382CA8F5" w14:textId="77777777" w:rsidR="00CA23D0" w:rsidRPr="00CA23D0" w:rsidRDefault="00CA23D0" w:rsidP="00CA23D0">
      <w:pPr>
        <w:pStyle w:val="Zkladntext"/>
        <w:spacing w:line="240" w:lineRule="atLeast"/>
        <w:jc w:val="both"/>
        <w:rPr>
          <w:rFonts w:ascii="Arial" w:hAnsi="Arial" w:cs="Arial"/>
        </w:rPr>
      </w:pPr>
    </w:p>
    <w:p w14:paraId="245AA236" w14:textId="77777777" w:rsidR="00CA23D0" w:rsidRPr="00CA23D0" w:rsidRDefault="00CA23D0" w:rsidP="00CA23D0">
      <w:pPr>
        <w:rPr>
          <w:rFonts w:ascii="Arial" w:hAnsi="Arial" w:cs="Arial"/>
        </w:rPr>
      </w:pPr>
    </w:p>
    <w:p w14:paraId="440DB7FA" w14:textId="77777777" w:rsidR="00CA23D0" w:rsidRPr="00CA23D0" w:rsidRDefault="00CA23D0" w:rsidP="00CA23D0">
      <w:pPr>
        <w:jc w:val="center"/>
        <w:rPr>
          <w:rFonts w:ascii="Arial" w:hAnsi="Arial" w:cs="Arial"/>
        </w:rPr>
      </w:pPr>
    </w:p>
    <w:p w14:paraId="5D57BACD" w14:textId="77777777" w:rsidR="00CA23D0" w:rsidRPr="00CA23D0" w:rsidRDefault="00CA23D0" w:rsidP="00CA23D0">
      <w:pPr>
        <w:pStyle w:val="podnadpis2"/>
        <w:keepNext/>
        <w:jc w:val="both"/>
        <w:rPr>
          <w:rFonts w:cs="Arial"/>
        </w:rPr>
      </w:pPr>
      <w:r w:rsidRPr="00CA23D0">
        <w:rPr>
          <w:rFonts w:cs="Arial"/>
          <w:szCs w:val="22"/>
        </w:rPr>
        <w:lastRenderedPageBreak/>
        <w:t xml:space="preserve">Návrh koncepce územního rozvoje města vychází dále zejména z těchto skutečností a požadavků: </w:t>
      </w:r>
    </w:p>
    <w:p w14:paraId="09A6212B" w14:textId="77777777" w:rsidR="00CA23D0" w:rsidRPr="00CA23D0" w:rsidRDefault="00CA23D0" w:rsidP="006031D6">
      <w:pPr>
        <w:pStyle w:val="Znaka"/>
        <w:numPr>
          <w:ilvl w:val="0"/>
          <w:numId w:val="19"/>
        </w:numPr>
        <w:spacing w:before="120" w:after="0" w:line="300" w:lineRule="auto"/>
        <w:ind w:left="426"/>
        <w:jc w:val="both"/>
        <w:rPr>
          <w:rFonts w:cs="Arial"/>
        </w:rPr>
      </w:pPr>
      <w:r w:rsidRPr="00CA23D0">
        <w:rPr>
          <w:rFonts w:cs="Arial"/>
        </w:rPr>
        <w:t>město představuje významné historické centrum na řece Labi, plní funkci administrativního a správního centra okresu a v současné době i funkci významného centra osídlení regionu</w:t>
      </w:r>
    </w:p>
    <w:p w14:paraId="4553282B" w14:textId="77777777" w:rsidR="00CA23D0" w:rsidRPr="00CA23D0" w:rsidRDefault="00CA23D0" w:rsidP="006031D6">
      <w:pPr>
        <w:pStyle w:val="Znaka"/>
        <w:numPr>
          <w:ilvl w:val="0"/>
          <w:numId w:val="19"/>
        </w:numPr>
        <w:spacing w:before="120" w:after="0" w:line="300" w:lineRule="auto"/>
        <w:ind w:left="426"/>
        <w:jc w:val="both"/>
        <w:rPr>
          <w:rFonts w:cs="Arial"/>
        </w:rPr>
      </w:pPr>
      <w:r w:rsidRPr="00CA23D0">
        <w:rPr>
          <w:rFonts w:cs="Arial"/>
        </w:rPr>
        <w:t xml:space="preserve">město je charakteristické výrazným a členitým reliéfem a ojedinělým přírodním zázemím (CHKO Labské pískovce, CHKO České Středohoří) s širokou možností kvalifikované nabídky pro trvalé bydlení </w:t>
      </w:r>
    </w:p>
    <w:p w14:paraId="2238C048" w14:textId="77777777" w:rsidR="00CA23D0" w:rsidRPr="00CA23D0" w:rsidRDefault="00CA23D0" w:rsidP="006031D6">
      <w:pPr>
        <w:pStyle w:val="Znaka"/>
        <w:numPr>
          <w:ilvl w:val="0"/>
          <w:numId w:val="19"/>
        </w:numPr>
        <w:spacing w:before="120" w:after="0" w:line="300" w:lineRule="auto"/>
        <w:ind w:left="426"/>
        <w:jc w:val="both"/>
        <w:rPr>
          <w:rFonts w:cs="Arial"/>
        </w:rPr>
      </w:pPr>
      <w:r w:rsidRPr="00CA23D0">
        <w:rPr>
          <w:rFonts w:cs="Arial"/>
        </w:rPr>
        <w:t xml:space="preserve">nadregionální význam města je umocněn významnou polohou v mezinárodním dopravním systému (železniční, silniční a lodní doprava), příznivou skladbou a rozsahem ekonomické základny, pestrou nabídkou v zařízení vyšší občanské vybavenosti a významným postavením v cestovním ruchu. </w:t>
      </w:r>
    </w:p>
    <w:p w14:paraId="763548A5" w14:textId="77777777" w:rsidR="00CA23D0" w:rsidRPr="00CA23D0" w:rsidRDefault="00CA23D0" w:rsidP="006031D6">
      <w:pPr>
        <w:pStyle w:val="Znaka"/>
        <w:numPr>
          <w:ilvl w:val="0"/>
          <w:numId w:val="19"/>
        </w:numPr>
        <w:spacing w:before="120" w:after="0" w:line="300" w:lineRule="auto"/>
        <w:ind w:left="426"/>
        <w:jc w:val="both"/>
        <w:rPr>
          <w:rFonts w:cs="Arial"/>
        </w:rPr>
      </w:pPr>
      <w:r w:rsidRPr="00CA23D0">
        <w:rPr>
          <w:rFonts w:cs="Arial"/>
        </w:rPr>
        <w:t xml:space="preserve">základními regulativy výhledového rozvoje města k roku 2010 jsou jednak přírodně geografické skutečnosti a jednak uspořádání jeho urbanistické struktury, systémů dopravy a technické infrastruktury </w:t>
      </w:r>
    </w:p>
    <w:p w14:paraId="7530CE82" w14:textId="77777777" w:rsidR="00CA23D0" w:rsidRPr="00CA23D0" w:rsidRDefault="00CA23D0" w:rsidP="006031D6">
      <w:pPr>
        <w:pStyle w:val="Znaka"/>
        <w:numPr>
          <w:ilvl w:val="0"/>
          <w:numId w:val="19"/>
        </w:numPr>
        <w:spacing w:before="120" w:after="0" w:line="300" w:lineRule="auto"/>
        <w:ind w:left="426"/>
        <w:jc w:val="both"/>
        <w:rPr>
          <w:rFonts w:cs="Arial"/>
        </w:rPr>
      </w:pPr>
      <w:r w:rsidRPr="00CA23D0">
        <w:rPr>
          <w:rFonts w:cs="Arial"/>
        </w:rPr>
        <w:t xml:space="preserve">formulovaných v "územně hospodářských zásadách" (ÚHZ) pro koncept řešení ÚPN a v souborném stanovisku pro návrh řešení, projednaných a schválených v zastupitelstvu města. </w:t>
      </w:r>
    </w:p>
    <w:p w14:paraId="6C6F5912" w14:textId="77777777" w:rsidR="00CA23D0" w:rsidRDefault="00CA23D0" w:rsidP="00CA23D0">
      <w:pPr>
        <w:pStyle w:val="Zkladntext"/>
        <w:jc w:val="both"/>
        <w:rPr>
          <w:rFonts w:ascii="Arial" w:hAnsi="Arial" w:cs="Arial"/>
        </w:rPr>
      </w:pPr>
    </w:p>
    <w:p w14:paraId="06B8ED85" w14:textId="77777777" w:rsidR="00CA23D0" w:rsidRPr="00CA23D0" w:rsidRDefault="00CA23D0" w:rsidP="00CA23D0">
      <w:pPr>
        <w:pStyle w:val="Zkladntext"/>
        <w:jc w:val="both"/>
        <w:rPr>
          <w:rFonts w:ascii="Arial" w:hAnsi="Arial" w:cs="Arial"/>
        </w:rPr>
      </w:pPr>
    </w:p>
    <w:p w14:paraId="7F7CC308" w14:textId="77777777" w:rsidR="00CA23D0" w:rsidRPr="00CA23D0" w:rsidRDefault="00CA23D0" w:rsidP="00CA23D0">
      <w:pPr>
        <w:pStyle w:val="podnadpis1"/>
        <w:jc w:val="both"/>
        <w:rPr>
          <w:rFonts w:cs="Arial"/>
        </w:rPr>
      </w:pPr>
      <w:r w:rsidRPr="00CA23D0">
        <w:rPr>
          <w:rFonts w:cs="Arial"/>
          <w:sz w:val="28"/>
          <w:szCs w:val="28"/>
        </w:rPr>
        <w:t>b1. Historická retrospektiva</w:t>
      </w:r>
      <w:r w:rsidRPr="00CA23D0">
        <w:rPr>
          <w:rFonts w:cs="Arial"/>
        </w:rPr>
        <w:t xml:space="preserve"> </w:t>
      </w:r>
    </w:p>
    <w:p w14:paraId="70530131" w14:textId="77777777" w:rsidR="00CA23D0" w:rsidRPr="00CA23D0" w:rsidRDefault="00CA23D0" w:rsidP="00CA23D0">
      <w:pPr>
        <w:pStyle w:val="podnadpis2"/>
        <w:jc w:val="both"/>
        <w:rPr>
          <w:rFonts w:cs="Arial"/>
        </w:rPr>
      </w:pPr>
      <w:r w:rsidRPr="00CA23D0">
        <w:rPr>
          <w:rFonts w:cs="Arial"/>
        </w:rPr>
        <w:t xml:space="preserve">Urbanistický vývoj pravého břehu </w:t>
      </w:r>
    </w:p>
    <w:p w14:paraId="3B61953C"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Již v 6. - 7. století existovalo v prostoru děčínské aglomerace slovanské osídlení. Sídliště ze 7.  -  8. století bylo zjištěno na levém břehu Labe mezi Podmokly a Rozbělesy. Osídlení až do poloviny 10. století nepřesáhlo obvod děčínské kotliny. V 11. - 12. století existovalo na obou stranách kotliny několik osad. Strategicky mimořádně exponovaná poloha kotliny vedla záhy ke vzniku přemyslovského správního hradu na skalním bradle nad soutokem Labe a Ploučnice. Výraz "Dazana" v listině z roku 1086 neoznačuje domnělý kmen Děčanů, ale obyvatele pomezní oblasti přemyslovského státu, jejíž význam spočíval jednak v pohraniční poloze, jednak v kontrole labské vodní cesty. Roku 1128 je děčínský správní hrad výslovně doložen a roku 1130 se Děčín uvádí jako hradské centrum. K roku 1146 (falzum asi z konce 12. století) a roku 1183 je doloženo solné clo. Severně pod hradem (kolem kostela sv. Václava) se vyvíjelo podhradní české sídliště.</w:t>
      </w:r>
    </w:p>
    <w:p w14:paraId="29A6EFF2" w14:textId="77777777" w:rsidR="00CA23D0" w:rsidRDefault="00CA23D0" w:rsidP="00CA23D0">
      <w:pPr>
        <w:pStyle w:val="Zkladntext"/>
        <w:spacing w:before="120" w:after="0" w:line="288" w:lineRule="auto"/>
        <w:ind w:firstLine="709"/>
        <w:jc w:val="both"/>
        <w:rPr>
          <w:rFonts w:ascii="Arial" w:hAnsi="Arial" w:cs="Arial"/>
          <w:sz w:val="22"/>
          <w:szCs w:val="22"/>
        </w:rPr>
      </w:pPr>
    </w:p>
    <w:p w14:paraId="044FE5E4"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p>
    <w:p w14:paraId="0833208B" w14:textId="77777777" w:rsidR="00CA23D0" w:rsidRPr="00CA23D0" w:rsidRDefault="00CA23D0" w:rsidP="00CA23D0">
      <w:pPr>
        <w:pStyle w:val="podnadpis2"/>
        <w:jc w:val="both"/>
        <w:rPr>
          <w:rFonts w:cs="Arial"/>
        </w:rPr>
      </w:pPr>
      <w:r w:rsidRPr="00CA23D0">
        <w:rPr>
          <w:rFonts w:cs="Arial"/>
          <w:szCs w:val="22"/>
        </w:rPr>
        <w:t xml:space="preserve">Město na Mariánské louce </w:t>
      </w:r>
    </w:p>
    <w:p w14:paraId="2C741744"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 xml:space="preserve">Intenzivní emfyteutickou kolonizací ve 13. století prováděnou Markvartici, kteří zde nejprve působili jako hradští správci, a později Děčínsko získali, byla dosud málo osídlená okolní horská krajina výrazně proměněna, což znamenalo také impuls pro kvalitativní proměnu děčínské sídelní aglomerace. Někdy na počátku 60. let 13. století byl Děčín pravděpodobně </w:t>
      </w:r>
      <w:r w:rsidRPr="00CA23D0">
        <w:rPr>
          <w:rFonts w:ascii="Arial" w:hAnsi="Arial" w:cs="Arial"/>
          <w:sz w:val="22"/>
          <w:szCs w:val="22"/>
        </w:rPr>
        <w:lastRenderedPageBreak/>
        <w:t>Markvarticům odebrán a jako královská lokace bylo na dnešní Mariánské louce jižně pod hradem založeno město Děčín. Bezpečně je doloženo roku 1283.</w:t>
      </w:r>
    </w:p>
    <w:p w14:paraId="7CAD49F7" w14:textId="77777777" w:rsidR="00CA23D0" w:rsidRPr="00CA23D0" w:rsidRDefault="00CA23D0" w:rsidP="00CA23D0">
      <w:pPr>
        <w:pStyle w:val="Zkladntext"/>
        <w:spacing w:before="120" w:line="288" w:lineRule="auto"/>
        <w:ind w:firstLine="709"/>
        <w:jc w:val="both"/>
        <w:rPr>
          <w:rFonts w:ascii="Arial" w:hAnsi="Arial" w:cs="Arial"/>
          <w:sz w:val="22"/>
          <w:szCs w:val="22"/>
        </w:rPr>
      </w:pPr>
      <w:r w:rsidRPr="00CA23D0">
        <w:rPr>
          <w:rFonts w:ascii="Arial" w:hAnsi="Arial" w:cs="Arial"/>
          <w:sz w:val="22"/>
          <w:szCs w:val="22"/>
        </w:rPr>
        <w:t xml:space="preserve">Město na Mariánské louce, o rozloze cca 7 ha, bylo od konce 13. století chráněno kamennou hradbou, mimoto mělo neobyčejně účinnou vodní ochranu. Na západní straně ji tvořilo Labe, na jižní straně Ploučnice a na severovýchodě rybník na mlýnském náhonu Ploučnice, z něhož byla voda vedena jednak po severní straně města pod hradní skálou, jednak kolem jeho jihovýchodní strany, do Ploučnice. Město mělo ortogonálně uspořádanou zástavbu. Uprostřed bylo situováno náměstí. Město bylo v nejstarším období zastavěno jednoduchými zemnicemi, od přelomu 13. a 14. století začal rozvoj definitivní městské zástavby včetně zděných objektů. Město zaniklo již někdy ve 2. polovině 14. století. Důležitým faktorem byla zřejmě též poloha nízko nad řekou. Město ovšem nezaniklo v důsledku povodně, ale jen kvůli potenciálnímu ohrožení velkou vodou. Rozsáhlejší záplavy postihovaly Mariánskou louku až od 16. století a zejména v 18. a 19. století. </w:t>
      </w:r>
    </w:p>
    <w:p w14:paraId="1EFB86C3"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 xml:space="preserve">Označení "staré město" pak postupně přešlo na dnešní ves </w:t>
      </w:r>
      <w:r w:rsidRPr="00CA23D0">
        <w:rPr>
          <w:rFonts w:ascii="Arial" w:hAnsi="Arial" w:cs="Arial"/>
          <w:b/>
          <w:bCs/>
          <w:sz w:val="22"/>
          <w:szCs w:val="22"/>
        </w:rPr>
        <w:t>Staré Město</w:t>
      </w:r>
      <w:r w:rsidRPr="00CA23D0">
        <w:rPr>
          <w:rFonts w:ascii="Arial" w:hAnsi="Arial" w:cs="Arial"/>
          <w:sz w:val="22"/>
          <w:szCs w:val="22"/>
        </w:rPr>
        <w:t xml:space="preserve"> na levém břehu Ploučnice (poprvé roku 1543 - ve vztahu k roku 1515). Tato ves ovšem byla původně někdejším předměstím města na Mariánské louce. Po vsi snad již v době existence města stál farní kostel sv. Bartoloměje se hřbitovem, který je doložen až roku 1582. Po přenesení města se někdejší předměstí dostalo do izolace a vyvinulo se ve vesnici. V letech 1564 - 67 zde byl postaven nový most přes Ploučnici. Na místě někdejšího města později existovala jen louka a ještě roku 1572 i původní kostel. V letech 1831-32 vznikl na celé ploše Mariánské louky nový zámecký park, později opět zrušený. Dnes novostavba polikliniky, koupaliště aj.</w:t>
      </w:r>
    </w:p>
    <w:p w14:paraId="326DAE66" w14:textId="77777777" w:rsidR="00CA23D0" w:rsidRDefault="00CA23D0" w:rsidP="00CA23D0">
      <w:pPr>
        <w:pStyle w:val="Zkladntext"/>
        <w:spacing w:before="120" w:after="0" w:line="288" w:lineRule="auto"/>
        <w:ind w:firstLine="709"/>
        <w:jc w:val="both"/>
        <w:rPr>
          <w:rFonts w:ascii="Arial" w:hAnsi="Arial" w:cs="Arial"/>
          <w:sz w:val="22"/>
          <w:szCs w:val="22"/>
        </w:rPr>
      </w:pPr>
    </w:p>
    <w:p w14:paraId="34C84470"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p>
    <w:p w14:paraId="01F65E2C" w14:textId="77777777" w:rsidR="00CA23D0" w:rsidRDefault="00CA23D0" w:rsidP="00CA23D0">
      <w:pPr>
        <w:pStyle w:val="podnadpis2"/>
        <w:jc w:val="both"/>
        <w:rPr>
          <w:rFonts w:cs="Arial"/>
        </w:rPr>
      </w:pPr>
      <w:r w:rsidRPr="00CA23D0">
        <w:rPr>
          <w:rFonts w:cs="Arial"/>
        </w:rPr>
        <w:t xml:space="preserve">Nově Město </w:t>
      </w:r>
    </w:p>
    <w:p w14:paraId="63877D86" w14:textId="77777777" w:rsidR="008826DF" w:rsidRDefault="008826DF" w:rsidP="00CA23D0">
      <w:pPr>
        <w:pStyle w:val="podnadpis2"/>
        <w:jc w:val="both"/>
        <w:rPr>
          <w:rFonts w:cs="Arial"/>
        </w:rPr>
      </w:pPr>
    </w:p>
    <w:p w14:paraId="5FE758B8" w14:textId="77777777" w:rsid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 xml:space="preserve">Severovýchodně pod hradem (kolem kostela sv. Václava) se ve 13. století i později plynule vyvíjelo někdejší předhradí přemyslovského hradu. Tato poloha neměla oproti Mariánské louce zdaleka tak výhodné obranné možnosti, což zřejmě vysvětluje, proč původní lokační město nevzniklo zde. Díky poloze na vyvýšené terase nad řekou zde ovšem nehrozilo ohrožení povodněmi, což zřejmě rozhodlo o provedení nákladného přeložení města právě sem. O založení města chybí písemné doklady, nepřímo však lze tento akt poměrně bezpečně datovat. </w:t>
      </w:r>
    </w:p>
    <w:p w14:paraId="49436FEC" w14:textId="77777777" w:rsidR="008826DF" w:rsidRPr="00CA23D0" w:rsidRDefault="008826DF" w:rsidP="00CA23D0">
      <w:pPr>
        <w:pStyle w:val="Zkladntext"/>
        <w:spacing w:before="120" w:after="0" w:line="288" w:lineRule="auto"/>
        <w:ind w:firstLine="709"/>
        <w:jc w:val="both"/>
        <w:rPr>
          <w:rFonts w:ascii="Arial" w:hAnsi="Arial" w:cs="Arial"/>
          <w:sz w:val="22"/>
          <w:szCs w:val="22"/>
        </w:rPr>
      </w:pPr>
    </w:p>
    <w:p w14:paraId="3B298BD9"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b/>
          <w:bCs/>
          <w:sz w:val="22"/>
          <w:szCs w:val="22"/>
        </w:rPr>
        <w:t>Nové město</w:t>
      </w:r>
      <w:r w:rsidRPr="00CA23D0">
        <w:rPr>
          <w:rFonts w:ascii="Arial" w:hAnsi="Arial" w:cs="Arial"/>
          <w:sz w:val="22"/>
          <w:szCs w:val="22"/>
        </w:rPr>
        <w:t xml:space="preserve"> Děčín bylo založeno na poměrně pravidelné ortogonální osnově, která zcela převrstvila starší situaci podhradí. Středem města se stalo poměrně velké obdélné náměstí, od něhož se rozvíjí uliční síť, která má zcela specifický charakter, daný polohou města na břehu velké řeky a při úpatí strmé hradní skály. Hradbami chráněné město sice mělo tři brány, ale pouze jihovýchodní (Benešovská) sloužila tranzitní pozemní dopravě. Do Děčína totiž vedly pouhé dvě cesty: od jihovýchodu (od České Lípy a Benešova nad Ploučnicí, po pravé straně Ploučnice a jejího náhonu) a od jihu (po pravém břehu Labe), přes Staré Město). Obě se stýkaly při jihovýchodním okraji města, společně vstupovaly do města a Benešovskou ulicí do středu náměstí. Severozápadní Labská brána, situovaná za spojením Lodní a </w:t>
      </w:r>
      <w:r w:rsidRPr="00CA23D0">
        <w:rPr>
          <w:rFonts w:ascii="Arial" w:hAnsi="Arial" w:cs="Arial"/>
          <w:sz w:val="22"/>
          <w:szCs w:val="22"/>
        </w:rPr>
        <w:lastRenderedPageBreak/>
        <w:t xml:space="preserve">Řeznické ulice, měla mimořádný tranzitní význam, ale v napojení na lodní dopravu, neboť ústila pouze do děčínského přístavu: spojení na druhý břeh řeky bylo možné jen prámem. </w:t>
      </w:r>
    </w:p>
    <w:p w14:paraId="43E6D8E0"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 xml:space="preserve">Pozoruhodným rysem nového města je poloha farního kostela sv. Václava vně hradeb. Tuto situaci by bylo možno vysvětlit starším původem kostela ve vazbě na starší podhradí. Pozdější postavení kostela za hradbami lze vysvětlit pouze jeho hřbitovní funkcí. </w:t>
      </w:r>
    </w:p>
    <w:p w14:paraId="0A1AE970" w14:textId="77777777" w:rsidR="008826DF" w:rsidRDefault="008826DF" w:rsidP="00CA23D0">
      <w:pPr>
        <w:pStyle w:val="Zkladntext"/>
        <w:spacing w:before="120" w:after="0" w:line="288" w:lineRule="auto"/>
        <w:ind w:firstLine="709"/>
        <w:jc w:val="both"/>
        <w:rPr>
          <w:rFonts w:ascii="Arial" w:hAnsi="Arial" w:cs="Arial"/>
          <w:sz w:val="22"/>
          <w:szCs w:val="22"/>
        </w:rPr>
      </w:pPr>
    </w:p>
    <w:p w14:paraId="457A1BEB"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Výrazný zásah do struktury města znamenala velkolepá přestavba zámku na raně barokní thunovské sídlo, s hlavním těžištěm v 70. letech 17. století, díky níž se Děčín stal jedním z nejvelkoryseji řešených barokních sídelních měst v Čechách. Zcela bez srovnatelných analogií je princip 285 m dlouhé tzv. Dlouhé jízdy - přímého příjezdového koridoru k zámku včetně pozdějšího napojení novostavby kostela sv. Kříže krytou chodbou, nemluvě o jedinečné Růžové zahradě s výhledem na město.</w:t>
      </w:r>
    </w:p>
    <w:p w14:paraId="788DE2FB" w14:textId="77777777" w:rsidR="008826DF" w:rsidRDefault="008826DF" w:rsidP="00CA23D0">
      <w:pPr>
        <w:pStyle w:val="Zkladntext"/>
        <w:spacing w:before="120" w:after="0" w:line="288" w:lineRule="auto"/>
        <w:ind w:firstLine="709"/>
        <w:jc w:val="both"/>
        <w:rPr>
          <w:rFonts w:ascii="Arial" w:hAnsi="Arial" w:cs="Arial"/>
          <w:b/>
          <w:bCs/>
          <w:sz w:val="22"/>
          <w:szCs w:val="22"/>
        </w:rPr>
      </w:pPr>
    </w:p>
    <w:p w14:paraId="7649A480"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b/>
          <w:bCs/>
          <w:sz w:val="22"/>
          <w:szCs w:val="22"/>
        </w:rPr>
        <w:t>Zámek</w:t>
      </w:r>
      <w:r w:rsidRPr="00CA23D0">
        <w:rPr>
          <w:rFonts w:ascii="Arial" w:hAnsi="Arial" w:cs="Arial"/>
          <w:sz w:val="22"/>
          <w:szCs w:val="22"/>
        </w:rPr>
        <w:t xml:space="preserve"> byl pak z města přístupný dlouhým schodištěm od západního konce Křížové ulice. Kolem roku 1835 byly strženy hradby a všechny městské brány, ale počátek novodobého rozvoje města znamenal až rok 1851, kdy byla v levobřežních Podmoklech otevřena železniční trať z Prahy do Drážďan, a v souvislosti s tím byl v letech 1853-55 přes Labe konečně vybudován řetězový most, situovaný do místa dosavadního přívozu. Roku 1869 byla otevřena trať z Podmokel přes Labe a po okraji Mariánské louky do Děčína a dále do Varnsdorfu a současně byla vybudována spojka podél Labe do děčínského přístavu. Obklíčení města železničními tratěmi dovršila již roku 1874 trať z Lysé nad Labem přes Děčín do Prostředního Žlebu, kde se napojila na drážďanskou trať. Děčínské nádraží (dnes Děčín východ) vzniklo nad pravým břehem Ploučnice jihovýchodně od města, kde přerušilo průběh dosavadní silnice na Benešov nad Ploučnicí, která musela být přeložena na severní obvod drážní plochy a nově zaústěna starou Benešovskou ulicí. Tato změna trasy se týkala i hlavního tahu od České Kamenice. Situování řetězového mostu již dříve změnilo zcela okrajovou Růžovou ulici na hlavní spojnici Děčína s Podmokly. V poslední třetině 19. století, díky rozvoji průmyslu a obchodu, začal a do 1. světové války výrazně pokročil proces úplné přestavby dosavadního městského jádra, kde byla starší zástavba nahrazena historizujícími novostavbami. Urbanistický vývoj přilehlého území bohužel velmi negativně ovlivnila trať do Prostředního Žlebu. Bloková městská struktura se proto rozšířila jen severně od náměstí a potom - bez organické návaznosti - až severně od nádraží podél českokamenické silnice. Severně odtud se rozvíjela převážně vilová zástavba Nového Města, řešená v pravoúhlé uliční síti, bohužel oddělené od nové severní části vnitřního města právě žlebskou tratí. Mariánská louka, Ploučnice, trať z Podmokel, ale zejména nádraží, kolem něhož se soustřeďoval i průmysl, vytvořily výraznou urbanistickou bariéru, která až do 20. let 20. století bránila urbanizaci prostoru Starého Města, které bylo ostatně samostatnou obcí. Teprve za 1. republiky vznikla ve Starém Městě novodobá, vesměs rodinná zástavba ve vcelku pravidelné uliční síti. V období socialismu došlo k úplné asanaci přístavní čtvrti a zčásti i západní části historického města a na této ploše vznikla panelová zástavba výškových domů. Zasaženo bylo i náměstí, jehož severní strana byla zbořena a prostor byl prodloužen až ke kostelu sv. Václava. </w:t>
      </w:r>
    </w:p>
    <w:p w14:paraId="0238C34E" w14:textId="77777777" w:rsid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lastRenderedPageBreak/>
        <w:t>Nevyhovující průjezd automobilové dopravy přes město byl vyřešen roku 1985, kdy byl dokončen průtah z českokamenické silnice přes západní zhlaví nádraží a potom po estakádě mezi Ploučnicí a podmokelskou tratí a novým mostem přes Labe do Podmokel.</w:t>
      </w:r>
    </w:p>
    <w:p w14:paraId="56A9441A" w14:textId="77777777" w:rsidR="008826DF" w:rsidRPr="00CA23D0" w:rsidRDefault="008826DF" w:rsidP="00CA23D0">
      <w:pPr>
        <w:pStyle w:val="Zkladntext"/>
        <w:spacing w:before="120" w:after="0" w:line="288" w:lineRule="auto"/>
        <w:ind w:firstLine="709"/>
        <w:jc w:val="both"/>
        <w:rPr>
          <w:rFonts w:ascii="Arial" w:hAnsi="Arial" w:cs="Arial"/>
          <w:sz w:val="22"/>
          <w:szCs w:val="22"/>
        </w:rPr>
      </w:pPr>
    </w:p>
    <w:p w14:paraId="36A67F33" w14:textId="77777777" w:rsidR="00CA23D0" w:rsidRPr="00CA23D0" w:rsidRDefault="00CA23D0" w:rsidP="00CA23D0">
      <w:pPr>
        <w:pStyle w:val="Zkladntext"/>
        <w:jc w:val="both"/>
        <w:rPr>
          <w:rFonts w:ascii="Arial" w:hAnsi="Arial" w:cs="Arial"/>
        </w:rPr>
      </w:pPr>
    </w:p>
    <w:p w14:paraId="2C6AABA2" w14:textId="77777777" w:rsidR="00CA23D0" w:rsidRPr="00CA23D0" w:rsidRDefault="00CA23D0" w:rsidP="00CA23D0">
      <w:pPr>
        <w:pStyle w:val="podnadpis2"/>
        <w:jc w:val="both"/>
        <w:rPr>
          <w:rFonts w:cs="Arial"/>
        </w:rPr>
      </w:pPr>
      <w:r w:rsidRPr="00CA23D0">
        <w:rPr>
          <w:rFonts w:cs="Arial"/>
        </w:rPr>
        <w:t>Urbanistický vývoj levého břehu</w:t>
      </w:r>
    </w:p>
    <w:p w14:paraId="1347331B" w14:textId="77777777" w:rsid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b/>
          <w:bCs/>
          <w:sz w:val="22"/>
          <w:szCs w:val="22"/>
        </w:rPr>
        <w:t>Podmokelská strana</w:t>
      </w:r>
      <w:r w:rsidRPr="00CA23D0">
        <w:rPr>
          <w:rFonts w:ascii="Arial" w:hAnsi="Arial" w:cs="Arial"/>
          <w:sz w:val="22"/>
          <w:szCs w:val="22"/>
        </w:rPr>
        <w:t xml:space="preserve"> děčínské kotliny je na severní straně vymezena údolím Jílovského potoka, nad nímž se strmě zvedá Pastýřská stěna. Západně od Labe a jižně od Jílovského potoka se postupně zvedá plochá terasa, neohrožovaná záplavami. </w:t>
      </w:r>
    </w:p>
    <w:p w14:paraId="2D8050B3" w14:textId="77777777" w:rsidR="008826DF" w:rsidRPr="00CA23D0" w:rsidRDefault="008826DF" w:rsidP="00CA23D0">
      <w:pPr>
        <w:pStyle w:val="Zkladntext"/>
        <w:spacing w:before="120" w:after="0" w:line="288" w:lineRule="auto"/>
        <w:ind w:firstLine="709"/>
        <w:jc w:val="both"/>
        <w:rPr>
          <w:rFonts w:ascii="Arial" w:hAnsi="Arial" w:cs="Arial"/>
          <w:sz w:val="22"/>
          <w:szCs w:val="22"/>
        </w:rPr>
      </w:pPr>
    </w:p>
    <w:p w14:paraId="2EA4BE37" w14:textId="77777777" w:rsid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Toto území bylo součástí raně středověké sídelní aglomerace v děčínské kotlině (románský kostel v Rozbělesích), ale po vzniku středověkého města Děčína na protější straně Labe zde sídelní rozvoj nepokračoval. Toto území se stalo důležitým zemědělským zázemím Děčína. Roku 1407 je v Podmoklech doložen vrchnostenský poplužní dvůr. Nejvýznamnější vsí zde byly Rozbělesy s farním kostelem sv. Václava (1352). V předhusitské době existovaly též vsi Želenice (1401), Chrást (1454) a dále v údolí Jílovského potoka Martiněves (1455). Zahuštění sídelní sítě přineslo 15. a 1. polovina 16. století, kdy se již připomíná řada dalších vsí: Bělá, Chmelnice, Chrochvice, Malšovice, Oldřichov (všechny vsi prvně zmíněny roku 1515), Bynov (1543 hamr); Žleb (1579), Jalůvčí (1579), Žlíbek (1652), Nová Ves (1654) - i tyto poslední vsi jistě vznikly ještě před třicetiletou válkou. K opevněným sídlům se přiřadil manský opevněný dvorec či tvrz v Podmoklech (1475), který byl roku 1545 připojen k podmokelskému dvoru. V letech 1576-91 pak krátce existovalo podmokelské panství, což vyvolalo vznik zámku při starším dvoře. V roce 1591 se naopak vyčlenil bynovský statek a při dvoře zde potom vznikl zámek. Dvorec existoval také v Přípeři. Ve 2. polovině 17. a na počátku 18. století bylo dokončeno i osídlování vyšších poloh; v té době vznikly Maxičky (1671), Popovice (1713), Červený vrch (1720), Jesenice (1720). V letech 1722-30 byla na úbočí Popovického vrchu vybudována thunovská hrobní kaple s. Jana Nepomuckého. Nová kolonizační vlna pak nastala v období raabizace, kdy byly založeny Čechy (1781), Horní Oldřichov (1781) a jako poslední roku 1786 Václavov.</w:t>
      </w:r>
    </w:p>
    <w:p w14:paraId="01221FFF" w14:textId="77777777" w:rsidR="008826DF" w:rsidRPr="00CA23D0" w:rsidRDefault="008826DF" w:rsidP="00CA23D0">
      <w:pPr>
        <w:pStyle w:val="Zkladntext"/>
        <w:spacing w:before="120" w:after="0" w:line="288" w:lineRule="auto"/>
        <w:ind w:firstLine="709"/>
        <w:jc w:val="both"/>
        <w:rPr>
          <w:rFonts w:ascii="Arial" w:hAnsi="Arial" w:cs="Arial"/>
          <w:sz w:val="22"/>
          <w:szCs w:val="22"/>
        </w:rPr>
      </w:pPr>
    </w:p>
    <w:p w14:paraId="15322F37" w14:textId="77777777" w:rsid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Přes relativně značný počet vsí bylo celé území osídleno jen velmi řídce, vsi byly malé a v obraze krajiny dominovaly rozsáhlé plochy zemědělské půdy, zvláště na souvislém území při Labi jižně od Podmokel. Těžiště celého území tvořily Podmokly, v jejichž struktuře dominovala trojice velkých vrchnostenských hospodářských komplexů. Vlastní ves tvořila jen drobná zástavba po obou stranách Teplické ulice.</w:t>
      </w:r>
    </w:p>
    <w:p w14:paraId="4149FF96" w14:textId="77777777" w:rsidR="008826DF" w:rsidRPr="00CA23D0" w:rsidRDefault="008826DF" w:rsidP="00CA23D0">
      <w:pPr>
        <w:pStyle w:val="Zkladntext"/>
        <w:spacing w:before="120" w:after="0" w:line="288" w:lineRule="auto"/>
        <w:ind w:firstLine="709"/>
        <w:jc w:val="both"/>
        <w:rPr>
          <w:rFonts w:ascii="Arial" w:hAnsi="Arial" w:cs="Arial"/>
          <w:sz w:val="22"/>
          <w:szCs w:val="22"/>
        </w:rPr>
      </w:pPr>
    </w:p>
    <w:p w14:paraId="4EDF0215"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b/>
          <w:bCs/>
          <w:sz w:val="22"/>
          <w:szCs w:val="22"/>
        </w:rPr>
        <w:t>Rozvoj labské plavby</w:t>
      </w:r>
      <w:r w:rsidRPr="00CA23D0">
        <w:rPr>
          <w:rFonts w:ascii="Arial" w:hAnsi="Arial" w:cs="Arial"/>
          <w:sz w:val="22"/>
          <w:szCs w:val="22"/>
        </w:rPr>
        <w:t xml:space="preserve"> ve 40. letech 19. století a otevření pražsko-drážďanské trati roku 1851 a duchcovské trati roku 1871 vyvolaly ve 2. polovině 19. století bouřlivou urbanizaci celého levobřežního území, která vyvrcholila roku 1901 povýšením Podmokel na město, které bylo pak roku 1923 rozšířeno na jihu po Chrochvice a na západě po Oldřichov. Město vzniklo na území svažujícím se k jihu a k východu, vymezeném na severu Pastýřskou stěnou, na východě drážďanskou tratí a budovou nádraží (1863), na jihu a jihozápadě duchcovskou tratí. </w:t>
      </w:r>
      <w:r w:rsidRPr="00CA23D0">
        <w:rPr>
          <w:rFonts w:ascii="Arial" w:hAnsi="Arial" w:cs="Arial"/>
          <w:sz w:val="22"/>
          <w:szCs w:val="22"/>
        </w:rPr>
        <w:lastRenderedPageBreak/>
        <w:t xml:space="preserve">Bylo vytýčeno a od 50. let 19. století budováno podle jednotné urbanistické koncepce, v přísně šachovnicové kompozici. Severní okraj nového města vytvořila dosavadní teplická silnice, kolem níž vyrůstaly jednoduché patrové domy. </w:t>
      </w:r>
    </w:p>
    <w:p w14:paraId="5C5FC707" w14:textId="77777777" w:rsidR="00CA23D0" w:rsidRPr="00CA23D0" w:rsidRDefault="00CA23D0" w:rsidP="00CA23D0">
      <w:pPr>
        <w:pStyle w:val="Zkladntext"/>
        <w:spacing w:before="120" w:after="0" w:line="288" w:lineRule="auto"/>
        <w:ind w:firstLine="709"/>
        <w:jc w:val="both"/>
        <w:rPr>
          <w:rFonts w:ascii="Arial" w:hAnsi="Arial" w:cs="Arial"/>
          <w:sz w:val="22"/>
          <w:szCs w:val="22"/>
        </w:rPr>
      </w:pPr>
      <w:r w:rsidRPr="00CA23D0">
        <w:rPr>
          <w:rFonts w:ascii="Arial" w:hAnsi="Arial" w:cs="Arial"/>
          <w:sz w:val="22"/>
          <w:szCs w:val="22"/>
        </w:rPr>
        <w:t xml:space="preserve">V horní části </w:t>
      </w:r>
      <w:r w:rsidRPr="00CA23D0">
        <w:rPr>
          <w:rFonts w:ascii="Arial" w:hAnsi="Arial" w:cs="Arial"/>
          <w:b/>
          <w:bCs/>
          <w:sz w:val="22"/>
          <w:szCs w:val="22"/>
        </w:rPr>
        <w:t xml:space="preserve">šachovnicové uliční sítě </w:t>
      </w:r>
      <w:r w:rsidRPr="00CA23D0">
        <w:rPr>
          <w:rFonts w:ascii="Arial" w:hAnsi="Arial" w:cs="Arial"/>
          <w:sz w:val="22"/>
          <w:szCs w:val="22"/>
        </w:rPr>
        <w:t xml:space="preserve">byl vytýčen střed celé kompozice - Husovo náměstí, kolem něhož vyrůstaly patrové pozdně klasicistní domy a jehož střed již v letech 1856-58 zaujal nový katolický kostel sv. Františka Serafinského. Ostatní bloky byly zastavovány v následujících desetiletích v charakteristické směsici historizujících slohů. Od 80. let 19. století se stavební aktivita soustředila opět i na Teplickou ulici, při níž byl v letech 1881-84 vybudován německý evangelický kostel a roku 1907 velká synagoga. V té době také vznikl </w:t>
      </w:r>
      <w:r w:rsidRPr="00CA23D0">
        <w:rPr>
          <w:rFonts w:ascii="Arial" w:hAnsi="Arial" w:cs="Arial"/>
          <w:b/>
          <w:bCs/>
          <w:sz w:val="22"/>
          <w:szCs w:val="22"/>
        </w:rPr>
        <w:t>lesopark na Pastýřské skále</w:t>
      </w:r>
      <w:r w:rsidRPr="00CA23D0">
        <w:rPr>
          <w:rFonts w:ascii="Arial" w:hAnsi="Arial" w:cs="Arial"/>
          <w:sz w:val="22"/>
          <w:szCs w:val="22"/>
        </w:rPr>
        <w:t xml:space="preserve">. Do začátku 1. světové války byly Podmokly dobudovány jako velmi hodnotný urbanistický a architektonický městský celek, který počtem obyvatel převýšil historický Děčín. Současně se rozvíjela urbanizace celé levobřežní aglomerace. Podobně jako v Děčíně, také v Podmoklech záhy vznikly </w:t>
      </w:r>
      <w:r w:rsidRPr="00CA23D0">
        <w:rPr>
          <w:rFonts w:ascii="Arial" w:hAnsi="Arial" w:cs="Arial"/>
          <w:b/>
          <w:bCs/>
          <w:sz w:val="22"/>
          <w:szCs w:val="22"/>
        </w:rPr>
        <w:t>rozsáhlé drážní plochy</w:t>
      </w:r>
      <w:r w:rsidRPr="00CA23D0">
        <w:rPr>
          <w:rFonts w:ascii="Arial" w:hAnsi="Arial" w:cs="Arial"/>
          <w:sz w:val="22"/>
          <w:szCs w:val="22"/>
        </w:rPr>
        <w:t xml:space="preserve">, nikoli však v prostoru osobního nádraží, ale jižně od města, kde již roku 1872 vzniklo samostatné nádraží duchcovské dráhy, k němuž se přičlenilo nákladní nádraží státní dráhy. Vznikl tak velký drážní komplex, jehož plocha převýšila rozlohu nového města. Tím byl ovšem značně ztížen koncepční vývoj celého rozsáhlého území jižně od města. Rozbělesy a plochy při labském oblouku se dostaly do izolace a stagnovaly. V návaznosti na nákladní nádraží a zimní přístav s překladištěm zde postupně vznikla největší </w:t>
      </w:r>
      <w:r w:rsidRPr="00CA23D0">
        <w:rPr>
          <w:rFonts w:ascii="Arial" w:hAnsi="Arial" w:cs="Arial"/>
          <w:b/>
          <w:bCs/>
          <w:sz w:val="22"/>
          <w:szCs w:val="22"/>
        </w:rPr>
        <w:t>děčínská průmyslová zóna</w:t>
      </w:r>
      <w:r w:rsidRPr="00CA23D0">
        <w:rPr>
          <w:rFonts w:ascii="Arial" w:hAnsi="Arial" w:cs="Arial"/>
          <w:sz w:val="22"/>
          <w:szCs w:val="22"/>
        </w:rPr>
        <w:t xml:space="preserve">. Obytná zástavba, zejména vilová, se mohla rozvinout až na svazích Popovického vrchu západně nad nákladním nádražím a jihozápadně od duchcovské trati, nikdy však již nezískala organické spojení na městské centrum. Rovněž její vnitřní struktura se rozpadala do několika celků (Letná, Chrást, Václavov, Želenice, Chrochvice). Ve velmi náročných terénních podmínkách vznikala početná zástavba také ve starších vsích v údolí Jílovského potoka a severně odtud. Ve vlastním údolí dosáhla zástavba městského charakteru až do Dolního Oldřichova, v Bynově a kolem Bělé se rozvíjela především zástavba rodinná. V období socialismu byly existující územní rezervy na svazích Popovického vrchu využity pro panelovou výstavbu (zejména mezi Václavovem a Želenicemi); na rozdíl od Děčína však téměř nebylo rozrušeno centrum města, díky čemuž se Podmokly včetně některých vilových čtvrtí zachovaly jako pozoruhodný urbanistický celek 2. poloviny 19. a počátku 20. století, navíc s přírodním zázemím Pastýřské stěny a navazujícího území Děčínské vrchoviny (chráněná krajinná oblast Labské pískovce). </w:t>
      </w:r>
    </w:p>
    <w:p w14:paraId="61634ADB" w14:textId="77777777" w:rsidR="00CA23D0" w:rsidRPr="00D239FB" w:rsidRDefault="00CA23D0" w:rsidP="00CA23D0">
      <w:pPr>
        <w:pStyle w:val="Zkladntext"/>
        <w:spacing w:before="120" w:after="0" w:line="288" w:lineRule="auto"/>
        <w:ind w:firstLine="709"/>
        <w:jc w:val="both"/>
        <w:rPr>
          <w:rFonts w:cs="Arial"/>
          <w:sz w:val="22"/>
          <w:szCs w:val="22"/>
        </w:rPr>
      </w:pPr>
    </w:p>
    <w:p w14:paraId="393BA24E" w14:textId="77777777" w:rsidR="00CA23D0" w:rsidRPr="001C726B" w:rsidRDefault="00CA23D0" w:rsidP="00CA23D0">
      <w:pPr>
        <w:pStyle w:val="podnadpis2"/>
        <w:jc w:val="both"/>
        <w:rPr>
          <w:rFonts w:cs="Arial"/>
        </w:rPr>
      </w:pPr>
      <w:r w:rsidRPr="001C726B">
        <w:rPr>
          <w:rFonts w:cs="Arial"/>
          <w:noProof/>
        </w:rPr>
        <w:lastRenderedPageBreak/>
        <w:drawing>
          <wp:inline distT="0" distB="0" distL="0" distR="0" wp14:anchorId="4527D473" wp14:editId="240E1C2A">
            <wp:extent cx="5901055" cy="7581265"/>
            <wp:effectExtent l="0" t="0" r="4445" b="635"/>
            <wp:docPr id="5135" name="Obrázek 5135" descr="WP_20160831_09_52_07_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descr="WP_20160831_09_52_07_Pro"/>
                    <pic:cNvPicPr>
                      <a:picLocks noChangeAspect="1" noChangeArrowheads="1"/>
                    </pic:cNvPicPr>
                  </pic:nvPicPr>
                  <pic:blipFill>
                    <a:blip r:embed="rId72">
                      <a:extLst>
                        <a:ext uri="{28A0092B-C50C-407E-A947-70E740481C1C}">
                          <a14:useLocalDpi xmlns:a14="http://schemas.microsoft.com/office/drawing/2010/main" val="0"/>
                        </a:ext>
                      </a:extLst>
                    </a:blip>
                    <a:srcRect t="17206" b="10176"/>
                    <a:stretch>
                      <a:fillRect/>
                    </a:stretch>
                  </pic:blipFill>
                  <pic:spPr bwMode="auto">
                    <a:xfrm>
                      <a:off x="0" y="0"/>
                      <a:ext cx="5901055" cy="7581265"/>
                    </a:xfrm>
                    <a:prstGeom prst="rect">
                      <a:avLst/>
                    </a:prstGeom>
                    <a:noFill/>
                    <a:ln>
                      <a:noFill/>
                    </a:ln>
                  </pic:spPr>
                </pic:pic>
              </a:graphicData>
            </a:graphic>
          </wp:inline>
        </w:drawing>
      </w:r>
    </w:p>
    <w:p w14:paraId="3FCE4FA5" w14:textId="77777777" w:rsidR="00CA23D0" w:rsidRDefault="00CA23D0" w:rsidP="00CA23D0">
      <w:pPr>
        <w:pStyle w:val="Zkladntext"/>
        <w:jc w:val="both"/>
        <w:rPr>
          <w:rFonts w:cs="Arial"/>
          <w:b/>
          <w:bCs/>
          <w:caps/>
        </w:rPr>
      </w:pPr>
    </w:p>
    <w:p w14:paraId="68D24774" w14:textId="77777777" w:rsidR="00CA23D0" w:rsidRPr="008013AC" w:rsidRDefault="00CA23D0" w:rsidP="00CA23D0">
      <w:pPr>
        <w:pStyle w:val="Zkladntext"/>
        <w:jc w:val="both"/>
        <w:rPr>
          <w:rFonts w:ascii="Arial" w:hAnsi="Arial" w:cs="Arial"/>
        </w:rPr>
      </w:pPr>
      <w:r w:rsidRPr="008013AC">
        <w:rPr>
          <w:rFonts w:ascii="Arial" w:hAnsi="Arial" w:cs="Arial"/>
          <w:b/>
          <w:bCs/>
          <w:caps/>
        </w:rPr>
        <w:t xml:space="preserve">podmokly  </w:t>
      </w:r>
      <w:r w:rsidRPr="008013AC">
        <w:rPr>
          <w:rFonts w:ascii="Arial" w:hAnsi="Arial" w:cs="Arial"/>
        </w:rPr>
        <w:t>- mapa stabilního katastru z roku 1843</w:t>
      </w:r>
    </w:p>
    <w:p w14:paraId="660C172A" w14:textId="77777777" w:rsidR="00CA23D0" w:rsidRPr="001C726B" w:rsidRDefault="00CA23D0" w:rsidP="00CA23D0">
      <w:pPr>
        <w:pStyle w:val="podnadpis2"/>
        <w:jc w:val="both"/>
        <w:rPr>
          <w:rFonts w:cs="Arial"/>
        </w:rPr>
      </w:pPr>
      <w:r w:rsidRPr="001C726B">
        <w:rPr>
          <w:rFonts w:cs="Arial"/>
          <w:noProof/>
        </w:rPr>
        <w:lastRenderedPageBreak/>
        <w:drawing>
          <wp:inline distT="0" distB="0" distL="0" distR="0" wp14:anchorId="4C5B4FAC" wp14:editId="660C6036">
            <wp:extent cx="6060440" cy="7209155"/>
            <wp:effectExtent l="0" t="0" r="0" b="0"/>
            <wp:docPr id="5134" name="Obrázek 5134" descr="WP_20160831_09_53_39_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descr="WP_20160831_09_53_39_Pro"/>
                    <pic:cNvPicPr>
                      <a:picLocks noChangeAspect="1" noChangeArrowheads="1"/>
                    </pic:cNvPicPr>
                  </pic:nvPicPr>
                  <pic:blipFill>
                    <a:blip r:embed="rId73">
                      <a:extLst>
                        <a:ext uri="{28A0092B-C50C-407E-A947-70E740481C1C}">
                          <a14:useLocalDpi xmlns:a14="http://schemas.microsoft.com/office/drawing/2010/main" val="0"/>
                        </a:ext>
                      </a:extLst>
                    </a:blip>
                    <a:srcRect t="21362" b="11432"/>
                    <a:stretch>
                      <a:fillRect/>
                    </a:stretch>
                  </pic:blipFill>
                  <pic:spPr bwMode="auto">
                    <a:xfrm>
                      <a:off x="0" y="0"/>
                      <a:ext cx="6060440" cy="7209155"/>
                    </a:xfrm>
                    <a:prstGeom prst="rect">
                      <a:avLst/>
                    </a:prstGeom>
                    <a:noFill/>
                    <a:ln>
                      <a:noFill/>
                    </a:ln>
                  </pic:spPr>
                </pic:pic>
              </a:graphicData>
            </a:graphic>
          </wp:inline>
        </w:drawing>
      </w:r>
    </w:p>
    <w:p w14:paraId="78E180EB" w14:textId="77777777" w:rsidR="00CA23D0" w:rsidRDefault="00CA23D0" w:rsidP="00CA23D0">
      <w:pPr>
        <w:pStyle w:val="Zkladntext"/>
        <w:jc w:val="both"/>
        <w:rPr>
          <w:rFonts w:cs="Arial"/>
          <w:b/>
          <w:bCs/>
          <w:caps/>
        </w:rPr>
      </w:pPr>
    </w:p>
    <w:p w14:paraId="7E1BAF54" w14:textId="77777777" w:rsidR="00CA23D0" w:rsidRPr="008013AC" w:rsidRDefault="00CA23D0" w:rsidP="00CA23D0">
      <w:pPr>
        <w:pStyle w:val="Zkladntext"/>
        <w:jc w:val="both"/>
        <w:rPr>
          <w:rFonts w:ascii="Arial" w:hAnsi="Arial" w:cs="Arial"/>
        </w:rPr>
      </w:pPr>
      <w:r w:rsidRPr="008013AC">
        <w:rPr>
          <w:rFonts w:ascii="Arial" w:hAnsi="Arial" w:cs="Arial"/>
          <w:b/>
          <w:bCs/>
          <w:caps/>
        </w:rPr>
        <w:t>děčín</w:t>
      </w:r>
      <w:r w:rsidRPr="008013AC">
        <w:rPr>
          <w:rFonts w:ascii="Arial" w:hAnsi="Arial" w:cs="Arial"/>
        </w:rPr>
        <w:t xml:space="preserve">  - mapa stabilního katastru z roku 1843</w:t>
      </w:r>
    </w:p>
    <w:p w14:paraId="07222261" w14:textId="77777777" w:rsidR="00CA23D0" w:rsidRDefault="00CA23D0" w:rsidP="00CA23D0">
      <w:pPr>
        <w:pStyle w:val="podnadpis2"/>
        <w:jc w:val="both"/>
        <w:rPr>
          <w:rFonts w:cs="Arial"/>
        </w:rPr>
      </w:pPr>
    </w:p>
    <w:p w14:paraId="438D9644" w14:textId="77777777" w:rsidR="008826DF" w:rsidRDefault="008826DF" w:rsidP="00CA23D0">
      <w:pPr>
        <w:pStyle w:val="podnadpis2"/>
        <w:jc w:val="both"/>
        <w:rPr>
          <w:rFonts w:cs="Arial"/>
        </w:rPr>
      </w:pPr>
    </w:p>
    <w:p w14:paraId="29CA7CEE" w14:textId="77777777" w:rsidR="008826DF" w:rsidRDefault="008826DF" w:rsidP="00CA23D0">
      <w:pPr>
        <w:pStyle w:val="podnadpis2"/>
        <w:jc w:val="both"/>
        <w:rPr>
          <w:rFonts w:cs="Arial"/>
        </w:rPr>
      </w:pPr>
    </w:p>
    <w:p w14:paraId="58278236" w14:textId="77777777" w:rsidR="008826DF" w:rsidRDefault="008826DF" w:rsidP="00CA23D0">
      <w:pPr>
        <w:pStyle w:val="podnadpis2"/>
        <w:jc w:val="both"/>
        <w:rPr>
          <w:rFonts w:cs="Arial"/>
        </w:rPr>
      </w:pPr>
    </w:p>
    <w:p w14:paraId="7EBB43F4" w14:textId="77777777" w:rsidR="008826DF" w:rsidRPr="001C726B" w:rsidRDefault="008826DF" w:rsidP="00CA23D0">
      <w:pPr>
        <w:pStyle w:val="podnadpis2"/>
        <w:jc w:val="both"/>
        <w:rPr>
          <w:rFonts w:cs="Arial"/>
        </w:rPr>
      </w:pPr>
    </w:p>
    <w:p w14:paraId="712AEEE2" w14:textId="77777777" w:rsidR="00CA23D0" w:rsidRPr="008013AC" w:rsidRDefault="00CA23D0" w:rsidP="00CA23D0">
      <w:pPr>
        <w:pStyle w:val="podnadpis2"/>
        <w:jc w:val="both"/>
        <w:rPr>
          <w:rFonts w:cs="Arial"/>
        </w:rPr>
      </w:pPr>
      <w:r w:rsidRPr="008013AC">
        <w:rPr>
          <w:rFonts w:cs="Arial"/>
        </w:rPr>
        <w:lastRenderedPageBreak/>
        <w:t xml:space="preserve">Boletice n. L. - urbanistický vývoj </w:t>
      </w:r>
    </w:p>
    <w:p w14:paraId="171B4F10" w14:textId="77777777" w:rsidR="00CA23D0" w:rsidRPr="008013AC" w:rsidRDefault="00CA23D0" w:rsidP="00CA23D0">
      <w:pPr>
        <w:pStyle w:val="Zkladntext"/>
        <w:spacing w:before="120" w:after="0" w:line="288" w:lineRule="auto"/>
        <w:ind w:firstLine="709"/>
        <w:jc w:val="both"/>
        <w:rPr>
          <w:rFonts w:ascii="Arial" w:hAnsi="Arial" w:cs="Arial"/>
          <w:sz w:val="22"/>
          <w:szCs w:val="22"/>
        </w:rPr>
      </w:pPr>
      <w:r w:rsidRPr="008013AC">
        <w:rPr>
          <w:rFonts w:ascii="Arial" w:hAnsi="Arial" w:cs="Arial"/>
          <w:sz w:val="22"/>
          <w:szCs w:val="22"/>
        </w:rPr>
        <w:t>Boletice leží v hlubokém a širokém labském údolí nad Děčínem. Někdejší ves však vznikla relativně daleko od řeky, při potoce Kameničce, který přitéká od východu. Ves ještě v polovině 19. století tvořilo jen několik izolovaných větších usedlostí v řadě při jižním břehu potoka, doplněných na severní straně především drobnější zástavbou. Plužina však neměla záhumenicový charakter, ale její parcelace byla rovnoběžná s potokem a tedy i osou zástavby. Novodobý rozvoj začal až v poslední třetině 19. století a souvisel s průmyslovým rozvojem nedaleké děčínsko-podmokelské aglomerace a vybudováním labské pravobřežní železnice a silnice. Novodobá zástavba se rozvíjela nadále v potočním údolí, těžiště života obce se však přeneslo na děčínskou silnici. Důležitým podnětem růstu obce se stal vznik průmyslového areálu (přádelna a smaltovna) mezi železnicí a Labem jihozápadně od vsi. Za 1. republiky vznikala proto souvislá zástavba podél děčínské silnice také jižně od obce, na úrovni těchto továren, čímž došlo k téměř úplnému splynutí s nedalekými Nebočady. Roku 1964 se Boletice staly městem, následně se zde rozvinula i panelová výstavba. Již roku 1981 byly administrativně připojeny k Děčínu.</w:t>
      </w:r>
    </w:p>
    <w:p w14:paraId="0DB4CF24" w14:textId="77777777" w:rsidR="00CA23D0" w:rsidRPr="00BD7524" w:rsidRDefault="00CA23D0" w:rsidP="00CA23D0">
      <w:pPr>
        <w:pStyle w:val="podnadpis2"/>
        <w:spacing w:before="120" w:after="0" w:line="288" w:lineRule="auto"/>
        <w:ind w:firstLine="709"/>
        <w:jc w:val="both"/>
        <w:rPr>
          <w:rFonts w:cs="Arial"/>
          <w:szCs w:val="22"/>
        </w:rPr>
      </w:pPr>
    </w:p>
    <w:p w14:paraId="6C7B3FA3" w14:textId="77777777" w:rsidR="00CA23D0" w:rsidRPr="001C726B" w:rsidRDefault="00CA23D0" w:rsidP="00CA23D0">
      <w:pPr>
        <w:pStyle w:val="podnadpis2"/>
        <w:jc w:val="both"/>
        <w:rPr>
          <w:rFonts w:cs="Arial"/>
        </w:rPr>
      </w:pPr>
      <w:r w:rsidRPr="001C726B">
        <w:rPr>
          <w:rFonts w:cs="Arial"/>
          <w:noProof/>
        </w:rPr>
        <w:drawing>
          <wp:inline distT="0" distB="0" distL="0" distR="0" wp14:anchorId="03D3D296" wp14:editId="7042653C">
            <wp:extent cx="6249035" cy="3879850"/>
            <wp:effectExtent l="0" t="0" r="0" b="6350"/>
            <wp:docPr id="5147" name="Obrázek 5147" descr="WP_20160831_09_53_51_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WP_20160831_09_53_51_Pro"/>
                    <pic:cNvPicPr>
                      <a:picLocks noChangeAspect="1" noChangeArrowheads="1"/>
                    </pic:cNvPicPr>
                  </pic:nvPicPr>
                  <pic:blipFill>
                    <a:blip r:embed="rId74" cstate="print">
                      <a:extLst>
                        <a:ext uri="{28A0092B-C50C-407E-A947-70E740481C1C}">
                          <a14:useLocalDpi xmlns:a14="http://schemas.microsoft.com/office/drawing/2010/main" val="0"/>
                        </a:ext>
                      </a:extLst>
                    </a:blip>
                    <a:srcRect l="6760" t="3401" r="7916" b="2582"/>
                    <a:stretch>
                      <a:fillRect/>
                    </a:stretch>
                  </pic:blipFill>
                  <pic:spPr bwMode="auto">
                    <a:xfrm>
                      <a:off x="0" y="0"/>
                      <a:ext cx="6249035" cy="3879850"/>
                    </a:xfrm>
                    <a:prstGeom prst="rect">
                      <a:avLst/>
                    </a:prstGeom>
                    <a:noFill/>
                    <a:ln>
                      <a:noFill/>
                    </a:ln>
                  </pic:spPr>
                </pic:pic>
              </a:graphicData>
            </a:graphic>
          </wp:inline>
        </w:drawing>
      </w:r>
    </w:p>
    <w:p w14:paraId="4F454CD2" w14:textId="77777777" w:rsidR="00CA23D0" w:rsidRPr="008013AC" w:rsidRDefault="00CA23D0" w:rsidP="00CA23D0">
      <w:pPr>
        <w:pStyle w:val="Zkladntext"/>
        <w:jc w:val="both"/>
        <w:rPr>
          <w:rFonts w:ascii="Arial" w:hAnsi="Arial" w:cs="Arial"/>
        </w:rPr>
      </w:pPr>
      <w:r w:rsidRPr="008013AC">
        <w:rPr>
          <w:rFonts w:ascii="Arial" w:hAnsi="Arial" w:cs="Arial"/>
          <w:b/>
          <w:bCs/>
          <w:caps/>
        </w:rPr>
        <w:t>boletice n. Labem</w:t>
      </w:r>
      <w:r w:rsidRPr="008013AC">
        <w:rPr>
          <w:rFonts w:ascii="Arial" w:hAnsi="Arial" w:cs="Arial"/>
          <w:b/>
          <w:bCs/>
        </w:rPr>
        <w:t xml:space="preserve"> </w:t>
      </w:r>
      <w:r w:rsidRPr="008013AC">
        <w:rPr>
          <w:rFonts w:ascii="Arial" w:hAnsi="Arial" w:cs="Arial"/>
        </w:rPr>
        <w:t>- mapa stabilního katastru z roku 1843</w:t>
      </w:r>
    </w:p>
    <w:p w14:paraId="30A0F0D4" w14:textId="77777777" w:rsidR="00CA23D0" w:rsidRDefault="00CA23D0" w:rsidP="00CA23D0">
      <w:pPr>
        <w:pStyle w:val="podnadpis1"/>
        <w:jc w:val="both"/>
        <w:rPr>
          <w:rFonts w:cs="Arial"/>
          <w:sz w:val="28"/>
          <w:szCs w:val="28"/>
        </w:rPr>
      </w:pPr>
    </w:p>
    <w:p w14:paraId="2943B502" w14:textId="77777777" w:rsidR="008826DF" w:rsidRDefault="008826DF" w:rsidP="00CA23D0">
      <w:pPr>
        <w:pStyle w:val="podnadpis1"/>
        <w:jc w:val="both"/>
        <w:rPr>
          <w:rFonts w:cs="Arial"/>
          <w:sz w:val="28"/>
          <w:szCs w:val="28"/>
        </w:rPr>
      </w:pPr>
    </w:p>
    <w:p w14:paraId="2583C5DA" w14:textId="77777777" w:rsidR="008826DF" w:rsidRDefault="008826DF" w:rsidP="00CA23D0">
      <w:pPr>
        <w:pStyle w:val="podnadpis1"/>
        <w:jc w:val="both"/>
        <w:rPr>
          <w:rFonts w:cs="Arial"/>
          <w:sz w:val="28"/>
          <w:szCs w:val="28"/>
        </w:rPr>
      </w:pPr>
    </w:p>
    <w:p w14:paraId="4B49F18B" w14:textId="77777777" w:rsidR="008826DF" w:rsidRPr="001C726B" w:rsidRDefault="008826DF" w:rsidP="00CA23D0">
      <w:pPr>
        <w:pStyle w:val="podnadpis1"/>
        <w:jc w:val="both"/>
        <w:rPr>
          <w:rFonts w:cs="Arial"/>
          <w:sz w:val="28"/>
          <w:szCs w:val="28"/>
        </w:rPr>
      </w:pPr>
    </w:p>
    <w:p w14:paraId="6EC447EC" w14:textId="77777777" w:rsidR="00CA23D0" w:rsidRPr="00E30642" w:rsidRDefault="00CA23D0" w:rsidP="00CA23D0">
      <w:pPr>
        <w:pStyle w:val="podnadpis1"/>
        <w:keepNext/>
        <w:jc w:val="both"/>
        <w:rPr>
          <w:rFonts w:cs="Arial"/>
        </w:rPr>
      </w:pPr>
      <w:r w:rsidRPr="00E30642">
        <w:rPr>
          <w:rFonts w:cs="Arial"/>
          <w:sz w:val="28"/>
          <w:szCs w:val="28"/>
        </w:rPr>
        <w:lastRenderedPageBreak/>
        <w:t>b.2.  Přírodní podmínky</w:t>
      </w:r>
    </w:p>
    <w:p w14:paraId="7B080E2F" w14:textId="77777777" w:rsidR="00E30642" w:rsidRDefault="00E30642" w:rsidP="00CA23D0">
      <w:pPr>
        <w:pStyle w:val="Zkladntext"/>
        <w:spacing w:before="120" w:after="0" w:line="288" w:lineRule="auto"/>
        <w:ind w:firstLine="709"/>
        <w:jc w:val="both"/>
        <w:rPr>
          <w:rFonts w:ascii="Arial" w:hAnsi="Arial" w:cs="Arial"/>
          <w:sz w:val="22"/>
          <w:szCs w:val="22"/>
        </w:rPr>
      </w:pPr>
    </w:p>
    <w:p w14:paraId="7F151F2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Vlivem </w:t>
      </w:r>
      <w:r w:rsidRPr="00E30642">
        <w:rPr>
          <w:rFonts w:ascii="Arial" w:hAnsi="Arial" w:cs="Arial"/>
          <w:b/>
          <w:bCs/>
          <w:sz w:val="22"/>
          <w:szCs w:val="22"/>
        </w:rPr>
        <w:t>geologické</w:t>
      </w:r>
      <w:r w:rsidRPr="00E30642">
        <w:rPr>
          <w:rFonts w:ascii="Arial" w:hAnsi="Arial" w:cs="Arial"/>
          <w:sz w:val="22"/>
          <w:szCs w:val="22"/>
        </w:rPr>
        <w:t xml:space="preserve"> </w:t>
      </w:r>
      <w:r w:rsidRPr="00E30642">
        <w:rPr>
          <w:rFonts w:ascii="Arial" w:hAnsi="Arial" w:cs="Arial"/>
          <w:b/>
          <w:bCs/>
          <w:sz w:val="22"/>
          <w:szCs w:val="22"/>
        </w:rPr>
        <w:t>stavby</w:t>
      </w:r>
      <w:r w:rsidRPr="00E30642">
        <w:rPr>
          <w:rFonts w:ascii="Arial" w:hAnsi="Arial" w:cs="Arial"/>
          <w:sz w:val="22"/>
          <w:szCs w:val="22"/>
        </w:rPr>
        <w:t xml:space="preserve"> je část území náležející do Českého středohoří ohrožena sesuvnými pochody. Jsou to zvláště svahové polohy, kde mohou nastat svážné pochody. Jílovitý charakter podložních vrstev křídových sedimentů je příčinou náchylnosti území k sesuvům. </w:t>
      </w:r>
    </w:p>
    <w:p w14:paraId="6859F62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Nejrozsáhlejší území, ohrožené </w:t>
      </w:r>
      <w:r w:rsidRPr="00E30642">
        <w:rPr>
          <w:rFonts w:ascii="Arial" w:hAnsi="Arial" w:cs="Arial"/>
          <w:b/>
          <w:bCs/>
          <w:sz w:val="22"/>
          <w:szCs w:val="22"/>
        </w:rPr>
        <w:t>sesuvy</w:t>
      </w:r>
      <w:r w:rsidRPr="00E30642">
        <w:rPr>
          <w:rFonts w:ascii="Arial" w:hAnsi="Arial" w:cs="Arial"/>
          <w:sz w:val="22"/>
          <w:szCs w:val="22"/>
        </w:rPr>
        <w:t xml:space="preserve"> je v Březinách, kde je zasaženo celé zastavěné území, včetně přilehlých svahů, pokračující až k Folknářům. Na levobřežní části je největší ohrožená plocha na úbočí Chmelníku, která jde po jeho svahu až téměř k Labi. Mimo těchto rozsáhlých souvislých ploch je zde ještě řada drobnějších lokalit. </w:t>
      </w:r>
    </w:p>
    <w:p w14:paraId="5E4563A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Sesuvná území jsou limitujícím faktorem pro výstavbu nových objektů, podle typu sesuvů jsou nutné zemní úpravy, které zajistí stabilitu svahu. </w:t>
      </w:r>
    </w:p>
    <w:p w14:paraId="270BDE1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Geomorfologicky</w:t>
      </w:r>
      <w:r w:rsidRPr="00E30642">
        <w:rPr>
          <w:rFonts w:ascii="Arial" w:hAnsi="Arial" w:cs="Arial"/>
          <w:sz w:val="22"/>
          <w:szCs w:val="22"/>
        </w:rPr>
        <w:t xml:space="preserve"> je území rozděleno do dvou hlavních skupin. Severní oblast je součástí Děčínských stěn, které náležejí k Děčínské vrchovině. Od Jílovského potoka jižním směrem je České středohoří, které je geomorfologicky rozděleno na dvě části. Řešené území je součástí Verneřického středohoří.</w:t>
      </w:r>
    </w:p>
    <w:p w14:paraId="0D53366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 xml:space="preserve">Klimatický región </w:t>
      </w:r>
      <w:r w:rsidRPr="00E30642">
        <w:rPr>
          <w:rFonts w:ascii="Arial" w:hAnsi="Arial" w:cs="Arial"/>
          <w:sz w:val="22"/>
          <w:szCs w:val="22"/>
        </w:rPr>
        <w:t>je charakterizován mírně teplým podnebím, s  krátkou a mírnou zimou, s  krátkým přechodným obdobím (podzim, jaro). Centrální část Děčína leží na dně údolí, které je ze všech stran obklopeno vyvýšeným terénem s  nadmořskou výškou cca 400-500 m. Úzká údolí Labe a Ploučnice nezaručují dostatečné větrání. Proto při anticyklonálních situacích, kdy proudění vzduchu je minimální, může v zimním období (ale i během noci) docházet ke stékání studeného vzduchu na dno kotliny a tím k  vytváření inverzí.</w:t>
      </w:r>
    </w:p>
    <w:p w14:paraId="4C5BBDE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Kvalita ovzduší</w:t>
      </w:r>
      <w:r w:rsidRPr="00E30642">
        <w:rPr>
          <w:rFonts w:ascii="Arial" w:hAnsi="Arial" w:cs="Arial"/>
          <w:sz w:val="22"/>
          <w:szCs w:val="22"/>
        </w:rPr>
        <w:t xml:space="preserve"> je dána specifickou polohou Děčína a jeho okolí, kdy v sevřeném údolí obklopeném vyššími kopci dochází při inverzním zvrstvení vzduchu ke špatnému provětrávání území. Tím dochází k hromadění exhalací a k  nárůstu koncentrací škodlivých látek v ovzduší. Vzhledem k  morfologii terénu je počet inverzních situací vyšší než jinde.</w:t>
      </w:r>
    </w:p>
    <w:p w14:paraId="76920E2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Pro zlepšení kvality životního prostředí je navržena řada opatření, týkajících se kvality ovzduší, hluku z  dopravy, zlepšení dopravní situace v zastavěném území a likvidace odpadů.</w:t>
      </w:r>
    </w:p>
    <w:p w14:paraId="5C34EA71" w14:textId="77777777" w:rsidR="00CA23D0" w:rsidRDefault="00CA23D0" w:rsidP="00CA23D0">
      <w:pPr>
        <w:pStyle w:val="Zkladntext"/>
        <w:spacing w:line="240" w:lineRule="atLeast"/>
        <w:jc w:val="both"/>
        <w:rPr>
          <w:rFonts w:ascii="Arial" w:hAnsi="Arial" w:cs="Arial"/>
        </w:rPr>
      </w:pPr>
    </w:p>
    <w:p w14:paraId="7512E4F6" w14:textId="77777777" w:rsidR="00E30642" w:rsidRPr="00E30642" w:rsidRDefault="00E30642" w:rsidP="00CA23D0">
      <w:pPr>
        <w:pStyle w:val="Zkladntext"/>
        <w:spacing w:line="240" w:lineRule="atLeast"/>
        <w:jc w:val="both"/>
        <w:rPr>
          <w:rFonts w:ascii="Arial" w:hAnsi="Arial" w:cs="Arial"/>
        </w:rPr>
      </w:pPr>
    </w:p>
    <w:p w14:paraId="70E6B17E" w14:textId="77777777" w:rsidR="00CA23D0" w:rsidRPr="00E30642" w:rsidRDefault="00CA23D0" w:rsidP="00CA23D0">
      <w:pPr>
        <w:pStyle w:val="dka"/>
        <w:spacing w:line="240" w:lineRule="atLeast"/>
        <w:jc w:val="both"/>
        <w:rPr>
          <w:rFonts w:cs="Arial"/>
        </w:rPr>
      </w:pPr>
      <w:r w:rsidRPr="00E30642">
        <w:rPr>
          <w:rFonts w:cs="Arial"/>
          <w:b/>
          <w:bCs/>
        </w:rPr>
        <w:t>Charakteristika klimatických regionů:</w:t>
      </w:r>
    </w:p>
    <w:p w14:paraId="5D341FFD" w14:textId="77777777" w:rsidR="00CA23D0" w:rsidRPr="00E30642" w:rsidRDefault="00CA23D0" w:rsidP="00CA23D0">
      <w:pPr>
        <w:pStyle w:val="Zkladntext"/>
        <w:jc w:val="both"/>
        <w:rPr>
          <w:rFonts w:ascii="Arial" w:hAnsi="Arial" w:cs="Arial"/>
        </w:rPr>
      </w:pPr>
      <w:r w:rsidRPr="00E30642">
        <w:rPr>
          <w:rFonts w:ascii="Arial" w:hAnsi="Arial" w:cs="Arial"/>
          <w:b/>
          <w:bCs/>
        </w:rPr>
        <w:tab/>
      </w:r>
      <w:r w:rsidRPr="00E30642">
        <w:rPr>
          <w:rFonts w:ascii="Arial" w:hAnsi="Arial" w:cs="Arial"/>
          <w:b/>
          <w:bCs/>
        </w:rPr>
        <w:tab/>
      </w:r>
      <w:r w:rsidRPr="00E30642">
        <w:rPr>
          <w:rFonts w:ascii="Arial" w:hAnsi="Arial" w:cs="Arial"/>
          <w:b/>
          <w:bCs/>
        </w:rPr>
        <w:tab/>
      </w:r>
      <w:r w:rsidRPr="00E30642">
        <w:rPr>
          <w:rFonts w:ascii="Arial" w:hAnsi="Arial" w:cs="Arial"/>
          <w:b/>
          <w:bCs/>
        </w:rPr>
        <w:tab/>
      </w:r>
      <w:r w:rsidRPr="00E30642">
        <w:rPr>
          <w:rFonts w:ascii="Arial" w:hAnsi="Arial" w:cs="Arial"/>
          <w:b/>
          <w:bCs/>
        </w:rPr>
        <w:tab/>
      </w:r>
      <w:r w:rsidRPr="00E30642">
        <w:rPr>
          <w:rFonts w:ascii="Arial" w:hAnsi="Arial" w:cs="Arial"/>
          <w:b/>
          <w:bCs/>
        </w:rPr>
        <w:tab/>
      </w:r>
      <w:r w:rsidRPr="00E30642">
        <w:rPr>
          <w:rFonts w:ascii="Arial" w:hAnsi="Arial" w:cs="Arial"/>
          <w:b/>
          <w:bCs/>
        </w:rPr>
        <w:tab/>
        <w:t>T2</w:t>
      </w:r>
      <w:r w:rsidRPr="00E30642">
        <w:rPr>
          <w:rFonts w:ascii="Arial" w:hAnsi="Arial" w:cs="Arial"/>
          <w:b/>
          <w:bCs/>
        </w:rPr>
        <w:tab/>
      </w:r>
      <w:r w:rsidRPr="00E30642">
        <w:rPr>
          <w:rFonts w:ascii="Arial" w:hAnsi="Arial" w:cs="Arial"/>
          <w:b/>
          <w:bCs/>
        </w:rPr>
        <w:tab/>
        <w:t xml:space="preserve"> MT 9</w:t>
      </w:r>
    </w:p>
    <w:p w14:paraId="33BC186F"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počet letních dnů </w:t>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008826DF" w:rsidRPr="00E30642">
        <w:rPr>
          <w:rFonts w:ascii="Arial" w:hAnsi="Arial" w:cs="Arial"/>
          <w:sz w:val="20"/>
          <w:szCs w:val="20"/>
        </w:rPr>
        <w:tab/>
      </w:r>
      <w:r w:rsidRPr="00E30642">
        <w:rPr>
          <w:rFonts w:ascii="Arial" w:hAnsi="Arial" w:cs="Arial"/>
          <w:sz w:val="20"/>
          <w:szCs w:val="20"/>
        </w:rPr>
        <w:t xml:space="preserve">50-60 </w:t>
      </w:r>
      <w:r w:rsidRPr="00E30642">
        <w:rPr>
          <w:rFonts w:ascii="Arial" w:hAnsi="Arial" w:cs="Arial"/>
          <w:sz w:val="20"/>
          <w:szCs w:val="20"/>
        </w:rPr>
        <w:tab/>
      </w:r>
      <w:r w:rsidRPr="00E30642">
        <w:rPr>
          <w:rFonts w:ascii="Arial" w:hAnsi="Arial" w:cs="Arial"/>
          <w:sz w:val="20"/>
          <w:szCs w:val="20"/>
        </w:rPr>
        <w:tab/>
        <w:t xml:space="preserve"> 40-50</w:t>
      </w:r>
    </w:p>
    <w:p w14:paraId="520226E6"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počet mrazových dnů </w:t>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00E30642">
        <w:rPr>
          <w:rFonts w:ascii="Arial" w:hAnsi="Arial" w:cs="Arial"/>
          <w:sz w:val="20"/>
          <w:szCs w:val="20"/>
        </w:rPr>
        <w:tab/>
      </w:r>
      <w:r w:rsidRPr="00E30642">
        <w:rPr>
          <w:rFonts w:ascii="Arial" w:hAnsi="Arial" w:cs="Arial"/>
          <w:sz w:val="20"/>
          <w:szCs w:val="20"/>
        </w:rPr>
        <w:tab/>
        <w:t xml:space="preserve">100-110 </w:t>
      </w:r>
      <w:r w:rsidRPr="00E30642">
        <w:rPr>
          <w:rFonts w:ascii="Arial" w:hAnsi="Arial" w:cs="Arial"/>
          <w:sz w:val="20"/>
          <w:szCs w:val="20"/>
        </w:rPr>
        <w:tab/>
        <w:t>120-130</w:t>
      </w:r>
    </w:p>
    <w:p w14:paraId="379B37D2"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počet ledových dnů </w:t>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00E30642">
        <w:rPr>
          <w:rFonts w:ascii="Arial" w:hAnsi="Arial" w:cs="Arial"/>
          <w:sz w:val="20"/>
          <w:szCs w:val="20"/>
        </w:rPr>
        <w:tab/>
      </w:r>
      <w:r w:rsidRPr="00E30642">
        <w:rPr>
          <w:rFonts w:ascii="Arial" w:hAnsi="Arial" w:cs="Arial"/>
          <w:sz w:val="20"/>
          <w:szCs w:val="20"/>
        </w:rPr>
        <w:t xml:space="preserve">30-40 </w:t>
      </w:r>
      <w:r w:rsidRPr="00E30642">
        <w:rPr>
          <w:rFonts w:ascii="Arial" w:hAnsi="Arial" w:cs="Arial"/>
          <w:sz w:val="20"/>
          <w:szCs w:val="20"/>
        </w:rPr>
        <w:tab/>
      </w:r>
      <w:r w:rsidRPr="00E30642">
        <w:rPr>
          <w:rFonts w:ascii="Arial" w:hAnsi="Arial" w:cs="Arial"/>
          <w:sz w:val="20"/>
          <w:szCs w:val="20"/>
        </w:rPr>
        <w:tab/>
        <w:t>30-40</w:t>
      </w:r>
    </w:p>
    <w:p w14:paraId="58B94D34"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průměrná teplota v lednu </w:t>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008826DF" w:rsidRPr="00E30642">
        <w:rPr>
          <w:rFonts w:ascii="Arial" w:hAnsi="Arial" w:cs="Arial"/>
          <w:sz w:val="20"/>
          <w:szCs w:val="20"/>
        </w:rPr>
        <w:tab/>
      </w:r>
      <w:r w:rsidRPr="00E30642">
        <w:rPr>
          <w:rFonts w:ascii="Arial" w:hAnsi="Arial" w:cs="Arial"/>
          <w:sz w:val="20"/>
          <w:szCs w:val="20"/>
        </w:rPr>
        <w:t>-2</w:t>
      </w:r>
      <w:r w:rsidRPr="00E30642">
        <w:rPr>
          <w:rFonts w:ascii="Arial" w:hAnsi="Arial" w:cs="Arial"/>
          <w:position w:val="6"/>
          <w:sz w:val="20"/>
          <w:szCs w:val="20"/>
        </w:rPr>
        <w:t>o</w:t>
      </w:r>
      <w:r w:rsidRPr="00E30642">
        <w:rPr>
          <w:rFonts w:ascii="Arial" w:hAnsi="Arial" w:cs="Arial"/>
          <w:sz w:val="20"/>
          <w:szCs w:val="20"/>
        </w:rPr>
        <w:t>C -3</w:t>
      </w:r>
      <w:r w:rsidRPr="00E30642">
        <w:rPr>
          <w:rFonts w:ascii="Arial" w:hAnsi="Arial" w:cs="Arial"/>
          <w:position w:val="6"/>
          <w:sz w:val="20"/>
          <w:szCs w:val="20"/>
        </w:rPr>
        <w:t>o</w:t>
      </w:r>
      <w:r w:rsidRPr="00E30642">
        <w:rPr>
          <w:rFonts w:ascii="Arial" w:hAnsi="Arial" w:cs="Arial"/>
          <w:sz w:val="20"/>
          <w:szCs w:val="20"/>
        </w:rPr>
        <w:t xml:space="preserve">C </w:t>
      </w:r>
      <w:r w:rsidRPr="00E30642">
        <w:rPr>
          <w:rFonts w:ascii="Arial" w:hAnsi="Arial" w:cs="Arial"/>
          <w:sz w:val="20"/>
          <w:szCs w:val="20"/>
        </w:rPr>
        <w:tab/>
        <w:t>-3</w:t>
      </w:r>
      <w:r w:rsidRPr="00E30642">
        <w:rPr>
          <w:rFonts w:ascii="Arial" w:hAnsi="Arial" w:cs="Arial"/>
          <w:position w:val="6"/>
          <w:sz w:val="20"/>
          <w:szCs w:val="20"/>
        </w:rPr>
        <w:t>o</w:t>
      </w:r>
      <w:r w:rsidRPr="00E30642">
        <w:rPr>
          <w:rFonts w:ascii="Arial" w:hAnsi="Arial" w:cs="Arial"/>
          <w:sz w:val="20"/>
          <w:szCs w:val="20"/>
        </w:rPr>
        <w:t>C -4</w:t>
      </w:r>
      <w:r w:rsidRPr="00E30642">
        <w:rPr>
          <w:rFonts w:ascii="Arial" w:hAnsi="Arial" w:cs="Arial"/>
          <w:position w:val="6"/>
          <w:sz w:val="20"/>
          <w:szCs w:val="20"/>
        </w:rPr>
        <w:t>o</w:t>
      </w:r>
      <w:r w:rsidRPr="00E30642">
        <w:rPr>
          <w:rFonts w:ascii="Arial" w:hAnsi="Arial" w:cs="Arial"/>
          <w:sz w:val="20"/>
          <w:szCs w:val="20"/>
        </w:rPr>
        <w:t>C</w:t>
      </w:r>
    </w:p>
    <w:p w14:paraId="57D39C88"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                    </w:t>
      </w:r>
      <w:r w:rsidRPr="00E30642">
        <w:rPr>
          <w:rFonts w:ascii="Arial" w:hAnsi="Arial" w:cs="Arial"/>
          <w:sz w:val="20"/>
          <w:szCs w:val="20"/>
        </w:rPr>
        <w:tab/>
        <w:t xml:space="preserve">červenci </w:t>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008826DF" w:rsidRPr="00E30642">
        <w:rPr>
          <w:rFonts w:ascii="Arial" w:hAnsi="Arial" w:cs="Arial"/>
          <w:sz w:val="20"/>
          <w:szCs w:val="20"/>
        </w:rPr>
        <w:tab/>
      </w:r>
      <w:r w:rsidRPr="00E30642">
        <w:rPr>
          <w:rFonts w:ascii="Arial" w:hAnsi="Arial" w:cs="Arial"/>
          <w:sz w:val="20"/>
          <w:szCs w:val="20"/>
        </w:rPr>
        <w:t>18-19</w:t>
      </w:r>
      <w:r w:rsidRPr="00E30642">
        <w:rPr>
          <w:rFonts w:ascii="Arial" w:hAnsi="Arial" w:cs="Arial"/>
          <w:position w:val="6"/>
          <w:sz w:val="20"/>
          <w:szCs w:val="20"/>
        </w:rPr>
        <w:t>o</w:t>
      </w:r>
      <w:r w:rsidRPr="00E30642">
        <w:rPr>
          <w:rFonts w:ascii="Arial" w:hAnsi="Arial" w:cs="Arial"/>
          <w:sz w:val="20"/>
          <w:szCs w:val="20"/>
        </w:rPr>
        <w:t xml:space="preserve">C </w:t>
      </w:r>
      <w:r w:rsidRPr="00E30642">
        <w:rPr>
          <w:rFonts w:ascii="Arial" w:hAnsi="Arial" w:cs="Arial"/>
          <w:sz w:val="20"/>
          <w:szCs w:val="20"/>
        </w:rPr>
        <w:tab/>
        <w:t>17-18</w:t>
      </w:r>
      <w:r w:rsidRPr="00E30642">
        <w:rPr>
          <w:rFonts w:ascii="Arial" w:hAnsi="Arial" w:cs="Arial"/>
          <w:position w:val="6"/>
          <w:sz w:val="20"/>
          <w:szCs w:val="20"/>
        </w:rPr>
        <w:t>o</w:t>
      </w:r>
      <w:r w:rsidRPr="00E30642">
        <w:rPr>
          <w:rFonts w:ascii="Arial" w:hAnsi="Arial" w:cs="Arial"/>
          <w:sz w:val="20"/>
          <w:szCs w:val="20"/>
        </w:rPr>
        <w:t>C</w:t>
      </w:r>
    </w:p>
    <w:p w14:paraId="6C28E2AC"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                    </w:t>
      </w:r>
      <w:r w:rsidRPr="00E30642">
        <w:rPr>
          <w:rFonts w:ascii="Arial" w:hAnsi="Arial" w:cs="Arial"/>
          <w:sz w:val="20"/>
          <w:szCs w:val="20"/>
        </w:rPr>
        <w:tab/>
        <w:t xml:space="preserve">dubnu  </w:t>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00E30642">
        <w:rPr>
          <w:rFonts w:ascii="Arial" w:hAnsi="Arial" w:cs="Arial"/>
          <w:sz w:val="20"/>
          <w:szCs w:val="20"/>
        </w:rPr>
        <w:tab/>
      </w:r>
      <w:r w:rsidRPr="00E30642">
        <w:rPr>
          <w:rFonts w:ascii="Arial" w:hAnsi="Arial" w:cs="Arial"/>
          <w:sz w:val="20"/>
          <w:szCs w:val="20"/>
        </w:rPr>
        <w:t>8-9</w:t>
      </w:r>
      <w:r w:rsidRPr="00E30642">
        <w:rPr>
          <w:rFonts w:ascii="Arial" w:hAnsi="Arial" w:cs="Arial"/>
          <w:position w:val="6"/>
          <w:sz w:val="20"/>
          <w:szCs w:val="20"/>
        </w:rPr>
        <w:t>o</w:t>
      </w:r>
      <w:r w:rsidRPr="00E30642">
        <w:rPr>
          <w:rFonts w:ascii="Arial" w:hAnsi="Arial" w:cs="Arial"/>
          <w:sz w:val="20"/>
          <w:szCs w:val="20"/>
        </w:rPr>
        <w:t>C</w:t>
      </w:r>
      <w:r w:rsidRPr="00E30642">
        <w:rPr>
          <w:rFonts w:ascii="Arial" w:hAnsi="Arial" w:cs="Arial"/>
          <w:sz w:val="20"/>
          <w:szCs w:val="20"/>
        </w:rPr>
        <w:tab/>
      </w:r>
      <w:r w:rsidRPr="00E30642">
        <w:rPr>
          <w:rFonts w:ascii="Arial" w:hAnsi="Arial" w:cs="Arial"/>
          <w:sz w:val="20"/>
          <w:szCs w:val="20"/>
        </w:rPr>
        <w:tab/>
        <w:t>6-7</w:t>
      </w:r>
      <w:r w:rsidRPr="00E30642">
        <w:rPr>
          <w:rFonts w:ascii="Arial" w:hAnsi="Arial" w:cs="Arial"/>
          <w:position w:val="6"/>
          <w:sz w:val="20"/>
          <w:szCs w:val="20"/>
        </w:rPr>
        <w:t>o</w:t>
      </w:r>
      <w:r w:rsidRPr="00E30642">
        <w:rPr>
          <w:rFonts w:ascii="Arial" w:hAnsi="Arial" w:cs="Arial"/>
          <w:sz w:val="20"/>
          <w:szCs w:val="20"/>
        </w:rPr>
        <w:t>C</w:t>
      </w:r>
    </w:p>
    <w:p w14:paraId="778CD572"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                    </w:t>
      </w:r>
      <w:r w:rsidRPr="00E30642">
        <w:rPr>
          <w:rFonts w:ascii="Arial" w:hAnsi="Arial" w:cs="Arial"/>
          <w:sz w:val="20"/>
          <w:szCs w:val="20"/>
        </w:rPr>
        <w:tab/>
        <w:t xml:space="preserve">říjnu  </w:t>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008826DF" w:rsidRPr="00E30642">
        <w:rPr>
          <w:rFonts w:ascii="Arial" w:hAnsi="Arial" w:cs="Arial"/>
          <w:sz w:val="20"/>
          <w:szCs w:val="20"/>
        </w:rPr>
        <w:tab/>
      </w:r>
      <w:r w:rsidRPr="00E30642">
        <w:rPr>
          <w:rFonts w:ascii="Arial" w:hAnsi="Arial" w:cs="Arial"/>
          <w:sz w:val="20"/>
          <w:szCs w:val="20"/>
        </w:rPr>
        <w:t>7-9</w:t>
      </w:r>
      <w:r w:rsidRPr="00E30642">
        <w:rPr>
          <w:rFonts w:ascii="Arial" w:hAnsi="Arial" w:cs="Arial"/>
          <w:position w:val="6"/>
          <w:sz w:val="20"/>
          <w:szCs w:val="20"/>
        </w:rPr>
        <w:t>o</w:t>
      </w:r>
      <w:r w:rsidR="00E30642" w:rsidRPr="00E30642">
        <w:rPr>
          <w:rFonts w:ascii="Arial" w:hAnsi="Arial" w:cs="Arial"/>
          <w:sz w:val="20"/>
          <w:szCs w:val="20"/>
        </w:rPr>
        <w:t xml:space="preserve">C </w:t>
      </w:r>
      <w:r w:rsidR="00E30642" w:rsidRPr="00E30642">
        <w:rPr>
          <w:rFonts w:ascii="Arial" w:hAnsi="Arial" w:cs="Arial"/>
          <w:sz w:val="20"/>
          <w:szCs w:val="20"/>
        </w:rPr>
        <w:tab/>
      </w:r>
      <w:r w:rsidRPr="00E30642">
        <w:rPr>
          <w:rFonts w:ascii="Arial" w:hAnsi="Arial" w:cs="Arial"/>
          <w:sz w:val="20"/>
          <w:szCs w:val="20"/>
        </w:rPr>
        <w:t>7-8</w:t>
      </w:r>
      <w:r w:rsidRPr="00E30642">
        <w:rPr>
          <w:rFonts w:ascii="Arial" w:hAnsi="Arial" w:cs="Arial"/>
          <w:position w:val="6"/>
          <w:sz w:val="20"/>
          <w:szCs w:val="20"/>
        </w:rPr>
        <w:t>o</w:t>
      </w:r>
      <w:r w:rsidRPr="00E30642">
        <w:rPr>
          <w:rFonts w:ascii="Arial" w:hAnsi="Arial" w:cs="Arial"/>
          <w:sz w:val="20"/>
          <w:szCs w:val="20"/>
        </w:rPr>
        <w:t>C</w:t>
      </w:r>
    </w:p>
    <w:p w14:paraId="70E56515"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lastRenderedPageBreak/>
        <w:t>průměrný počet dní se</w:t>
      </w:r>
      <w:r w:rsidR="00E30642" w:rsidRPr="00E30642">
        <w:rPr>
          <w:rFonts w:ascii="Arial" w:hAnsi="Arial" w:cs="Arial"/>
          <w:sz w:val="20"/>
          <w:szCs w:val="20"/>
        </w:rPr>
        <w:t xml:space="preserve"> srážkami 1mm a více  </w:t>
      </w:r>
      <w:r w:rsidR="00E30642" w:rsidRPr="00E30642">
        <w:rPr>
          <w:rFonts w:ascii="Arial" w:hAnsi="Arial" w:cs="Arial"/>
          <w:sz w:val="20"/>
          <w:szCs w:val="20"/>
        </w:rPr>
        <w:tab/>
        <w:t xml:space="preserve">90-100 </w:t>
      </w:r>
      <w:r w:rsidR="00E30642" w:rsidRPr="00E30642">
        <w:rPr>
          <w:rFonts w:ascii="Arial" w:hAnsi="Arial" w:cs="Arial"/>
          <w:sz w:val="20"/>
          <w:szCs w:val="20"/>
        </w:rPr>
        <w:tab/>
      </w:r>
      <w:r w:rsidRPr="00E30642">
        <w:rPr>
          <w:rFonts w:ascii="Arial" w:hAnsi="Arial" w:cs="Arial"/>
          <w:sz w:val="20"/>
          <w:szCs w:val="20"/>
        </w:rPr>
        <w:t>100-120</w:t>
      </w:r>
    </w:p>
    <w:p w14:paraId="2B63BB69"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srážkový úhrn ve vegetačním období  </w:t>
      </w:r>
      <w:r w:rsidRPr="00E30642">
        <w:rPr>
          <w:rFonts w:ascii="Arial" w:hAnsi="Arial" w:cs="Arial"/>
          <w:sz w:val="20"/>
          <w:szCs w:val="20"/>
        </w:rPr>
        <w:tab/>
      </w:r>
      <w:r w:rsidRPr="00E30642">
        <w:rPr>
          <w:rFonts w:ascii="Arial" w:hAnsi="Arial" w:cs="Arial"/>
          <w:sz w:val="20"/>
          <w:szCs w:val="20"/>
        </w:rPr>
        <w:tab/>
        <w:t xml:space="preserve">350-400 </w:t>
      </w:r>
      <w:r w:rsidRPr="00E30642">
        <w:rPr>
          <w:rFonts w:ascii="Arial" w:hAnsi="Arial" w:cs="Arial"/>
          <w:sz w:val="20"/>
          <w:szCs w:val="20"/>
        </w:rPr>
        <w:tab/>
        <w:t>400-450</w:t>
      </w:r>
    </w:p>
    <w:p w14:paraId="2C196A76"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srážkový úhrn v zimním období </w:t>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t xml:space="preserve">200-300 </w:t>
      </w:r>
      <w:r w:rsidRPr="00E30642">
        <w:rPr>
          <w:rFonts w:ascii="Arial" w:hAnsi="Arial" w:cs="Arial"/>
          <w:sz w:val="20"/>
          <w:szCs w:val="20"/>
        </w:rPr>
        <w:tab/>
        <w:t>250-300</w:t>
      </w:r>
    </w:p>
    <w:p w14:paraId="6615F700"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počet dnů se sněhovou pokrývkou  </w:t>
      </w:r>
      <w:r w:rsidRPr="00E30642">
        <w:rPr>
          <w:rFonts w:ascii="Arial" w:hAnsi="Arial" w:cs="Arial"/>
          <w:sz w:val="20"/>
          <w:szCs w:val="20"/>
        </w:rPr>
        <w:tab/>
      </w:r>
      <w:r w:rsidRPr="00E30642">
        <w:rPr>
          <w:rFonts w:ascii="Arial" w:hAnsi="Arial" w:cs="Arial"/>
          <w:sz w:val="20"/>
          <w:szCs w:val="20"/>
        </w:rPr>
        <w:tab/>
        <w:t xml:space="preserve">40-50 </w:t>
      </w:r>
      <w:r w:rsidRPr="00E30642">
        <w:rPr>
          <w:rFonts w:ascii="Arial" w:hAnsi="Arial" w:cs="Arial"/>
          <w:sz w:val="20"/>
          <w:szCs w:val="20"/>
        </w:rPr>
        <w:tab/>
      </w:r>
      <w:r w:rsidRPr="00E30642">
        <w:rPr>
          <w:rFonts w:ascii="Arial" w:hAnsi="Arial" w:cs="Arial"/>
          <w:sz w:val="20"/>
          <w:szCs w:val="20"/>
        </w:rPr>
        <w:tab/>
        <w:t>60-80</w:t>
      </w:r>
    </w:p>
    <w:p w14:paraId="73B19570"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počet dnů zamračených </w:t>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t xml:space="preserve">120-140  </w:t>
      </w:r>
      <w:r w:rsidRPr="00E30642">
        <w:rPr>
          <w:rFonts w:ascii="Arial" w:hAnsi="Arial" w:cs="Arial"/>
          <w:sz w:val="20"/>
          <w:szCs w:val="20"/>
        </w:rPr>
        <w:tab/>
        <w:t>120-150</w:t>
      </w:r>
    </w:p>
    <w:p w14:paraId="7EBECCBD" w14:textId="77777777" w:rsidR="00CA23D0" w:rsidRPr="00E30642" w:rsidRDefault="00CA23D0" w:rsidP="00CA23D0">
      <w:pPr>
        <w:pStyle w:val="Zkladntext"/>
        <w:jc w:val="both"/>
        <w:rPr>
          <w:rFonts w:ascii="Arial" w:hAnsi="Arial" w:cs="Arial"/>
          <w:sz w:val="20"/>
          <w:szCs w:val="20"/>
        </w:rPr>
      </w:pPr>
      <w:r w:rsidRPr="00E30642">
        <w:rPr>
          <w:rFonts w:ascii="Arial" w:hAnsi="Arial" w:cs="Arial"/>
          <w:sz w:val="20"/>
          <w:szCs w:val="20"/>
        </w:rPr>
        <w:t xml:space="preserve">počet dnů jasných </w:t>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r>
      <w:r w:rsidRPr="00E30642">
        <w:rPr>
          <w:rFonts w:ascii="Arial" w:hAnsi="Arial" w:cs="Arial"/>
          <w:sz w:val="20"/>
          <w:szCs w:val="20"/>
        </w:rPr>
        <w:tab/>
        <w:t xml:space="preserve">40-50  </w:t>
      </w:r>
      <w:r w:rsidRPr="00E30642">
        <w:rPr>
          <w:rFonts w:ascii="Arial" w:hAnsi="Arial" w:cs="Arial"/>
          <w:sz w:val="20"/>
          <w:szCs w:val="20"/>
        </w:rPr>
        <w:tab/>
      </w:r>
      <w:r w:rsidRPr="00E30642">
        <w:rPr>
          <w:rFonts w:ascii="Arial" w:hAnsi="Arial" w:cs="Arial"/>
          <w:sz w:val="20"/>
          <w:szCs w:val="20"/>
        </w:rPr>
        <w:tab/>
        <w:t>40-50</w:t>
      </w:r>
    </w:p>
    <w:p w14:paraId="78C173F4" w14:textId="77777777" w:rsidR="00CA23D0" w:rsidRPr="00E30642" w:rsidRDefault="00CA23D0" w:rsidP="00CA23D0">
      <w:pPr>
        <w:pStyle w:val="Zkladntext"/>
        <w:jc w:val="both"/>
        <w:rPr>
          <w:rFonts w:ascii="Arial" w:hAnsi="Arial" w:cs="Arial"/>
        </w:rPr>
      </w:pPr>
      <w:r w:rsidRPr="00E30642">
        <w:rPr>
          <w:rFonts w:ascii="Arial" w:hAnsi="Arial" w:cs="Arial"/>
        </w:rPr>
        <w:t xml:space="preserve"> </w:t>
      </w:r>
    </w:p>
    <w:p w14:paraId="308A5D3D" w14:textId="77777777" w:rsidR="00CA23D0" w:rsidRPr="00E30642" w:rsidRDefault="00CA23D0" w:rsidP="00CA23D0">
      <w:pPr>
        <w:pStyle w:val="dka"/>
        <w:spacing w:line="240" w:lineRule="atLeast"/>
        <w:jc w:val="both"/>
        <w:rPr>
          <w:rFonts w:cs="Arial"/>
        </w:rPr>
      </w:pPr>
      <w:r w:rsidRPr="00E30642">
        <w:rPr>
          <w:rFonts w:cs="Arial"/>
          <w:noProof/>
        </w:rPr>
        <w:drawing>
          <wp:inline distT="0" distB="0" distL="0" distR="0" wp14:anchorId="3E329719" wp14:editId="35DB6DEE">
            <wp:extent cx="5975350" cy="605790"/>
            <wp:effectExtent l="0" t="0" r="6350" b="3810"/>
            <wp:docPr id="5133" name="Obrázek 5133" descr="WP_20160831_09_56_53_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descr="WP_20160831_09_56_53_Pro"/>
                    <pic:cNvPicPr>
                      <a:picLocks noChangeAspect="1" noChangeArrowheads="1"/>
                    </pic:cNvPicPr>
                  </pic:nvPicPr>
                  <pic:blipFill>
                    <a:blip r:embed="rId75" cstate="print">
                      <a:extLst>
                        <a:ext uri="{28A0092B-C50C-407E-A947-70E740481C1C}">
                          <a14:useLocalDpi xmlns:a14="http://schemas.microsoft.com/office/drawing/2010/main" val="0"/>
                        </a:ext>
                      </a:extLst>
                    </a:blip>
                    <a:srcRect t="49858" b="32011"/>
                    <a:stretch>
                      <a:fillRect/>
                    </a:stretch>
                  </pic:blipFill>
                  <pic:spPr bwMode="auto">
                    <a:xfrm>
                      <a:off x="0" y="0"/>
                      <a:ext cx="5975350" cy="605790"/>
                    </a:xfrm>
                    <a:prstGeom prst="rect">
                      <a:avLst/>
                    </a:prstGeom>
                    <a:noFill/>
                    <a:ln>
                      <a:noFill/>
                    </a:ln>
                  </pic:spPr>
                </pic:pic>
              </a:graphicData>
            </a:graphic>
          </wp:inline>
        </w:drawing>
      </w:r>
    </w:p>
    <w:p w14:paraId="4727C1E7" w14:textId="77777777" w:rsidR="00CA23D0" w:rsidRPr="00E30642" w:rsidRDefault="00CA23D0" w:rsidP="00CA23D0">
      <w:pPr>
        <w:pStyle w:val="Zkladntext"/>
        <w:spacing w:line="240" w:lineRule="atLeast"/>
        <w:jc w:val="both"/>
        <w:rPr>
          <w:rFonts w:ascii="Arial" w:hAnsi="Arial" w:cs="Arial"/>
        </w:rPr>
      </w:pPr>
    </w:p>
    <w:p w14:paraId="5B46A57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Struktura půdního fondu</w:t>
      </w:r>
      <w:r w:rsidRPr="00E30642">
        <w:rPr>
          <w:rFonts w:ascii="Arial" w:hAnsi="Arial" w:cs="Arial"/>
          <w:sz w:val="22"/>
          <w:szCs w:val="22"/>
        </w:rPr>
        <w:t xml:space="preserve"> je pravidelně aktualizována Katastrálním úřadem v Děčíně a je členěna jako struktura půdního fondu a zvlášť zemědělského půdního fondu.</w:t>
      </w:r>
    </w:p>
    <w:p w14:paraId="4046AB4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Celková výměra řešeného území je 8 994 ha, z  toho je zemědělské půdy 2 457 ha a lesní půdy (ploch určených k  plnění funkce lesa) 5 013 ha. Významné je zastoupení lesních porostů, téměř 57 % z  celkové výměry a naopak zemědělské půdy je cca 27 %. </w:t>
      </w:r>
    </w:p>
    <w:p w14:paraId="7226D0CF" w14:textId="77777777" w:rsidR="00CA23D0" w:rsidRPr="00435C73" w:rsidRDefault="00CA23D0" w:rsidP="00CA23D0">
      <w:pPr>
        <w:pStyle w:val="Zkladntext"/>
        <w:jc w:val="both"/>
        <w:rPr>
          <w:rFonts w:cs="Arial"/>
          <w:sz w:val="22"/>
          <w:szCs w:val="22"/>
        </w:rPr>
      </w:pPr>
    </w:p>
    <w:p w14:paraId="5625909B" w14:textId="77777777" w:rsidR="00CA23D0" w:rsidRPr="001C726B" w:rsidRDefault="00CA23D0" w:rsidP="00CA23D0">
      <w:pPr>
        <w:pStyle w:val="Zkladntext"/>
        <w:jc w:val="both"/>
        <w:rPr>
          <w:rFonts w:cs="Arial"/>
          <w:b/>
          <w:bCs/>
          <w:caps/>
          <w:sz w:val="22"/>
          <w:szCs w:val="22"/>
        </w:rPr>
      </w:pPr>
      <w:r w:rsidRPr="001C726B">
        <w:rPr>
          <w:rFonts w:cs="Arial"/>
          <w:b/>
          <w:bCs/>
          <w:caps/>
          <w:noProof/>
          <w:sz w:val="22"/>
          <w:szCs w:val="22"/>
          <w:lang w:eastAsia="cs-CZ"/>
        </w:rPr>
        <w:lastRenderedPageBreak/>
        <w:drawing>
          <wp:inline distT="0" distB="0" distL="0" distR="0" wp14:anchorId="3E1500C1" wp14:editId="46CAB5EB">
            <wp:extent cx="4175760" cy="5920105"/>
            <wp:effectExtent l="0" t="0" r="0" b="4445"/>
            <wp:docPr id="5146" name="Obrázek 5146" descr="WP_20160831_09_57_58_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WP_20160831_09_57_58_Pro"/>
                    <pic:cNvPicPr>
                      <a:picLocks noChangeAspect="1" noChangeArrowheads="1"/>
                    </pic:cNvPicPr>
                  </pic:nvPicPr>
                  <pic:blipFill>
                    <a:blip r:embed="rId76" cstate="print">
                      <a:extLst>
                        <a:ext uri="{28A0092B-C50C-407E-A947-70E740481C1C}">
                          <a14:useLocalDpi xmlns:a14="http://schemas.microsoft.com/office/drawing/2010/main" val="0"/>
                        </a:ext>
                      </a:extLst>
                    </a:blip>
                    <a:srcRect t="4710" b="9081"/>
                    <a:stretch>
                      <a:fillRect/>
                    </a:stretch>
                  </pic:blipFill>
                  <pic:spPr bwMode="auto">
                    <a:xfrm>
                      <a:off x="0" y="0"/>
                      <a:ext cx="4175760" cy="5920105"/>
                    </a:xfrm>
                    <a:prstGeom prst="rect">
                      <a:avLst/>
                    </a:prstGeom>
                    <a:noFill/>
                    <a:ln>
                      <a:noFill/>
                    </a:ln>
                  </pic:spPr>
                </pic:pic>
              </a:graphicData>
            </a:graphic>
          </wp:inline>
        </w:drawing>
      </w:r>
    </w:p>
    <w:p w14:paraId="7A296A70" w14:textId="77777777" w:rsidR="00E30642" w:rsidRDefault="00E30642" w:rsidP="00CA23D0">
      <w:pPr>
        <w:pStyle w:val="Zkladntext"/>
        <w:spacing w:before="120" w:after="0" w:line="288" w:lineRule="auto"/>
        <w:ind w:firstLine="709"/>
        <w:jc w:val="both"/>
        <w:rPr>
          <w:rFonts w:ascii="Arial" w:hAnsi="Arial" w:cs="Arial"/>
          <w:b/>
          <w:bCs/>
          <w:caps/>
          <w:sz w:val="22"/>
          <w:szCs w:val="22"/>
        </w:rPr>
      </w:pPr>
    </w:p>
    <w:p w14:paraId="21E54C9E"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caps/>
          <w:sz w:val="22"/>
          <w:szCs w:val="22"/>
        </w:rPr>
        <w:t>Ložiska nerostných surovin</w:t>
      </w:r>
    </w:p>
    <w:p w14:paraId="74B8FBA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Mimo řešené území je dobývací prostor Soutěsky. Ložisko cihlářských surovin v Děčíně bylo rušeno. Ze sousedního katastru zasahuje do řešeného území prognózní zdroj Sněžník. Na vrcholu kopce Klobouk je prognózní zdroj kamene.</w:t>
      </w:r>
    </w:p>
    <w:p w14:paraId="779BF11D" w14:textId="77777777" w:rsidR="00CA23D0" w:rsidRPr="00E30642" w:rsidRDefault="00CA23D0" w:rsidP="00CA23D0">
      <w:pPr>
        <w:pStyle w:val="podnadpis2"/>
        <w:jc w:val="both"/>
        <w:rPr>
          <w:rFonts w:cs="Arial"/>
        </w:rPr>
      </w:pPr>
    </w:p>
    <w:p w14:paraId="347DDAA6" w14:textId="77777777" w:rsidR="00E30642" w:rsidRDefault="00CA23D0" w:rsidP="00CA23D0">
      <w:pPr>
        <w:pStyle w:val="podnadpis2"/>
        <w:spacing w:line="240" w:lineRule="atLeast"/>
        <w:jc w:val="both"/>
        <w:rPr>
          <w:rFonts w:cs="Arial"/>
          <w:szCs w:val="22"/>
        </w:rPr>
      </w:pPr>
      <w:r w:rsidRPr="00E30642">
        <w:rPr>
          <w:rFonts w:cs="Arial"/>
          <w:szCs w:val="22"/>
        </w:rPr>
        <w:tab/>
      </w:r>
    </w:p>
    <w:p w14:paraId="5B39E88C" w14:textId="77777777" w:rsidR="00CA23D0" w:rsidRPr="00E30642" w:rsidRDefault="00CA23D0" w:rsidP="00CA23D0">
      <w:pPr>
        <w:pStyle w:val="podnadpis2"/>
        <w:spacing w:line="240" w:lineRule="atLeast"/>
        <w:jc w:val="both"/>
        <w:rPr>
          <w:rFonts w:cs="Arial"/>
        </w:rPr>
      </w:pPr>
      <w:r w:rsidRPr="00E30642">
        <w:rPr>
          <w:rFonts w:cs="Arial"/>
          <w:szCs w:val="22"/>
        </w:rPr>
        <w:t>Krajinná ekologie</w:t>
      </w:r>
    </w:p>
    <w:p w14:paraId="579B1F5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Celé správní území je součástí dvou chráněných krajinných oblastí Českého středohoří a Labských pískovců. Z  toho plyne i vysoká ekologická a estetická hodnota krajiny, kde cca 57 % zabírají lesní porosty. Je zde množství strukturní zeleně, břehových porostů podél místních vodotečí a liniové zeleně.</w:t>
      </w:r>
    </w:p>
    <w:p w14:paraId="750D6C2B"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Území chráněných krajinných oblastí je rozděleno podle stupně zachovalosti přírodního prostředí do čtyř zón – první zóna je nejkvalitnějším územím, čtvrtá zóna je urbanizované území, zemědělsky využívané.</w:t>
      </w:r>
      <w:r w:rsidR="00E30642">
        <w:rPr>
          <w:rFonts w:ascii="Arial" w:hAnsi="Arial" w:cs="Arial"/>
          <w:sz w:val="22"/>
          <w:szCs w:val="22"/>
        </w:rPr>
        <w:t xml:space="preserve"> </w:t>
      </w:r>
      <w:r w:rsidRPr="00E30642">
        <w:rPr>
          <w:rFonts w:ascii="Arial" w:hAnsi="Arial" w:cs="Arial"/>
          <w:sz w:val="22"/>
          <w:szCs w:val="22"/>
        </w:rPr>
        <w:t>První zóna se zde nevyskytuje, druhá je v prostoru Labského údolí a ve vrcholových partiích Labských pískovců, třetí zóna je v sousedství zastavěného území a čtvrtá je území zastavěné a zemědělsky využívané. Jednotlivé zóny jsou zakresleny podle podkladů správ CHKO do mapového podkladu.</w:t>
      </w:r>
    </w:p>
    <w:p w14:paraId="1EFBB69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Ve správním území města jsou chráněná území přírody - přírodní památka Nebočadský luh a národní přírodní památka Březinské tisy.</w:t>
      </w:r>
    </w:p>
    <w:p w14:paraId="39989A3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Pro zpracování územního plánu byl firmou Lareco Praha vypracován lokální systém ekologické stability, řešící správní území Děčína a obec Těchlovice s  návazností na k.ú. Jílové. Tento ÚSES byl převzat do návrhu ÚPN. </w:t>
      </w:r>
    </w:p>
    <w:p w14:paraId="2E6033C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Všechny výše uvedené části přírodního a krajinného prostředí jsou ze zákona o ochraně přírody č.114/1992 Sb. významnými krajinnými prvky a proto jsou limitujícím faktorem ve využití území. </w:t>
      </w:r>
    </w:p>
    <w:p w14:paraId="3BAE2072" w14:textId="77777777" w:rsidR="00CA23D0" w:rsidRPr="00E30642" w:rsidRDefault="00CA23D0" w:rsidP="00CA23D0">
      <w:pPr>
        <w:pStyle w:val="Zkladntext"/>
        <w:spacing w:line="240" w:lineRule="atLeast"/>
        <w:jc w:val="both"/>
        <w:rPr>
          <w:rFonts w:ascii="Arial" w:hAnsi="Arial" w:cs="Arial"/>
        </w:rPr>
      </w:pPr>
    </w:p>
    <w:p w14:paraId="221F8B22" w14:textId="77777777" w:rsidR="00CA23D0" w:rsidRPr="00E30642" w:rsidRDefault="00CA23D0" w:rsidP="00CA23D0">
      <w:pPr>
        <w:pStyle w:val="podnadpis1"/>
        <w:spacing w:line="240" w:lineRule="atLeast"/>
        <w:jc w:val="both"/>
        <w:rPr>
          <w:rFonts w:cs="Arial"/>
        </w:rPr>
      </w:pPr>
      <w:r w:rsidRPr="00E30642">
        <w:rPr>
          <w:rFonts w:cs="Arial"/>
          <w:sz w:val="28"/>
          <w:szCs w:val="28"/>
        </w:rPr>
        <w:t>b.3.  Životní prostředí</w:t>
      </w:r>
    </w:p>
    <w:p w14:paraId="2F296966" w14:textId="77777777" w:rsidR="00E30642" w:rsidRDefault="00E30642" w:rsidP="00CA23D0">
      <w:pPr>
        <w:pStyle w:val="Zkladntext"/>
        <w:spacing w:before="120" w:after="0" w:line="288" w:lineRule="auto"/>
        <w:ind w:firstLine="709"/>
        <w:jc w:val="both"/>
        <w:rPr>
          <w:rFonts w:ascii="Arial" w:hAnsi="Arial" w:cs="Arial"/>
          <w:sz w:val="22"/>
          <w:szCs w:val="22"/>
        </w:rPr>
      </w:pPr>
    </w:p>
    <w:p w14:paraId="62BD43E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Kvalitní životní prostředí je jedním ze zásadních předpokladů pro rozvoj sídla a jeho obyvatelnost. Nejproblematičtější složkou životního prostředí v Děčíně je kvalita ovzduší, ovlivněná přítomností velkého množství zdrojů exhalací, včetně dopravního zatížení vnitřních komunikací. To vše je umocněno nevýhodnou polohou vlastního města, kdy sevřené údolí je špatně provětrávané a náchylné k  inverzím.</w:t>
      </w:r>
    </w:p>
    <w:p w14:paraId="11E394B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Likvidace komunálního odpadu je zajišťována Technickými službami Děčín odvozem na skládku Orlík IV. Tato skládka se průběžně rozšiřuje novými kazetami, takže je vždy v předstihu zajištěn nový úložný prostor pro TKO.</w:t>
      </w:r>
    </w:p>
    <w:p w14:paraId="62CD247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V návrhu je vybudování kompostárny pro likvidaci biologického odpadu, čistírenské kaly budou </w:t>
      </w:r>
      <w:r w:rsidRPr="00E30642">
        <w:rPr>
          <w:rFonts w:ascii="Arial" w:hAnsi="Arial" w:cs="Arial"/>
          <w:sz w:val="22"/>
          <w:szCs w:val="22"/>
        </w:rPr>
        <w:tab/>
        <w:t>smluvně likvidovány firmou oprávněnou k likvidaci mimo areál ČOV i území města, zřízení dvou sběrných dvorů Technickými službami, rozmístění kontejnerů na ostatní a recyklovatelný odpad. V k.ú. Malšovice je vybudován recyklační dvůr na stavební odpad a provozovna na likvidaci autovraků. V rámci malého podnikání vznikají ve městě malé sběrny odpadu, především odpadu kovového.</w:t>
      </w:r>
    </w:p>
    <w:p w14:paraId="72FCF053" w14:textId="77777777" w:rsidR="00CA23D0" w:rsidRPr="00E30642" w:rsidRDefault="00CA23D0" w:rsidP="00CA23D0">
      <w:pPr>
        <w:pStyle w:val="Zkladntext"/>
        <w:spacing w:line="240" w:lineRule="atLeast"/>
        <w:jc w:val="both"/>
        <w:rPr>
          <w:rFonts w:ascii="Arial" w:hAnsi="Arial" w:cs="Arial"/>
        </w:rPr>
      </w:pPr>
    </w:p>
    <w:p w14:paraId="6C9C8D18" w14:textId="77777777" w:rsidR="00CA23D0" w:rsidRPr="00E30642" w:rsidRDefault="00CA23D0" w:rsidP="00CA23D0">
      <w:pPr>
        <w:pStyle w:val="podnadpis2"/>
        <w:jc w:val="both"/>
        <w:rPr>
          <w:rFonts w:cs="Arial"/>
        </w:rPr>
      </w:pPr>
      <w:r w:rsidRPr="00E30642">
        <w:rPr>
          <w:rFonts w:cs="Arial"/>
          <w:sz w:val="28"/>
          <w:szCs w:val="28"/>
        </w:rPr>
        <w:t xml:space="preserve">b.4. Návrh urbanistické koncepce </w:t>
      </w:r>
    </w:p>
    <w:p w14:paraId="4CDDD61E" w14:textId="77777777" w:rsidR="00E30642" w:rsidRDefault="00CA23D0" w:rsidP="00CA23D0">
      <w:pPr>
        <w:pStyle w:val="podnadpis2"/>
        <w:jc w:val="both"/>
        <w:rPr>
          <w:rFonts w:cs="Arial"/>
          <w:szCs w:val="20"/>
        </w:rPr>
      </w:pPr>
      <w:r w:rsidRPr="00E30642">
        <w:rPr>
          <w:rFonts w:cs="Arial"/>
          <w:szCs w:val="20"/>
        </w:rPr>
        <w:tab/>
      </w:r>
    </w:p>
    <w:p w14:paraId="756C153C" w14:textId="77777777" w:rsidR="00CA23D0" w:rsidRPr="00E30642" w:rsidRDefault="00CA23D0" w:rsidP="00CA23D0">
      <w:pPr>
        <w:pStyle w:val="podnadpis2"/>
        <w:jc w:val="both"/>
        <w:rPr>
          <w:rFonts w:cs="Arial"/>
        </w:rPr>
      </w:pPr>
      <w:r w:rsidRPr="00E30642">
        <w:rPr>
          <w:rFonts w:cs="Arial"/>
          <w:szCs w:val="20"/>
        </w:rPr>
        <w:t xml:space="preserve">Návrh řešení ÚPN </w:t>
      </w:r>
    </w:p>
    <w:p w14:paraId="4E77A4EB" w14:textId="77777777" w:rsidR="00CA23D0" w:rsidRPr="00E30642" w:rsidRDefault="00CA23D0" w:rsidP="006031D6">
      <w:pPr>
        <w:pStyle w:val="Znaka"/>
        <w:numPr>
          <w:ilvl w:val="0"/>
          <w:numId w:val="20"/>
        </w:numPr>
        <w:ind w:left="426"/>
        <w:jc w:val="both"/>
        <w:rPr>
          <w:rFonts w:cs="Arial"/>
        </w:rPr>
      </w:pPr>
      <w:r w:rsidRPr="00E30642">
        <w:rPr>
          <w:rFonts w:cs="Arial"/>
        </w:rPr>
        <w:t xml:space="preserve">na základě navrženého modelu v rozložení obyvatel k roku 2010 se počítá </w:t>
      </w:r>
      <w:r w:rsidRPr="00E30642">
        <w:rPr>
          <w:rFonts w:cs="Arial"/>
          <w:b/>
          <w:bCs/>
        </w:rPr>
        <w:t>se směrnou velikostí města 55 000 trvale bydlících</w:t>
      </w:r>
      <w:r w:rsidRPr="00E30642">
        <w:rPr>
          <w:rFonts w:cs="Arial"/>
        </w:rPr>
        <w:t xml:space="preserve"> obyvatel, s územními rezervami potom s cca 58 000 obyvateli </w:t>
      </w:r>
    </w:p>
    <w:p w14:paraId="5EFEAA9A" w14:textId="77777777" w:rsidR="00CA23D0" w:rsidRPr="00E30642" w:rsidRDefault="00CA23D0" w:rsidP="006031D6">
      <w:pPr>
        <w:pStyle w:val="Znaka"/>
        <w:numPr>
          <w:ilvl w:val="1"/>
          <w:numId w:val="20"/>
        </w:numPr>
        <w:ind w:left="426"/>
        <w:jc w:val="both"/>
        <w:rPr>
          <w:rFonts w:cs="Arial"/>
        </w:rPr>
      </w:pPr>
      <w:r w:rsidRPr="00E30642">
        <w:rPr>
          <w:rFonts w:cs="Arial"/>
        </w:rPr>
        <w:t>upřednostňuje Děčín jako "</w:t>
      </w:r>
      <w:r w:rsidRPr="00E30642">
        <w:rPr>
          <w:rFonts w:cs="Arial"/>
          <w:b/>
          <w:bCs/>
        </w:rPr>
        <w:t>město kompaktní</w:t>
      </w:r>
      <w:r w:rsidRPr="00E30642">
        <w:rPr>
          <w:rFonts w:cs="Arial"/>
        </w:rPr>
        <w:t>", s využitím všech disponibilních vnitřních územních rezerv (přestavba, dostavba proluk, změna funkce objektů a areálů)</w:t>
      </w:r>
    </w:p>
    <w:p w14:paraId="6AE3D0FA" w14:textId="77777777" w:rsidR="00CA23D0" w:rsidRPr="00E30642" w:rsidRDefault="00CA23D0" w:rsidP="006031D6">
      <w:pPr>
        <w:pStyle w:val="Znaka"/>
        <w:numPr>
          <w:ilvl w:val="1"/>
          <w:numId w:val="20"/>
        </w:numPr>
        <w:ind w:left="426"/>
        <w:jc w:val="both"/>
        <w:rPr>
          <w:rFonts w:cs="Arial"/>
        </w:rPr>
      </w:pPr>
      <w:r w:rsidRPr="00E30642">
        <w:rPr>
          <w:rFonts w:cs="Arial"/>
        </w:rPr>
        <w:lastRenderedPageBreak/>
        <w:t>řeší</w:t>
      </w:r>
      <w:r w:rsidRPr="00E30642">
        <w:rPr>
          <w:rFonts w:cs="Arial"/>
          <w:b/>
          <w:bCs/>
        </w:rPr>
        <w:t xml:space="preserve"> dostavbu centra</w:t>
      </w:r>
      <w:r w:rsidRPr="00E30642">
        <w:rPr>
          <w:rFonts w:cs="Arial"/>
        </w:rPr>
        <w:t xml:space="preserve"> na obou březích Labe formou "městských domů" s 50 % zastoupením trvalého bydlení - polyfunkční domy </w:t>
      </w:r>
    </w:p>
    <w:p w14:paraId="40D4EA66" w14:textId="77777777" w:rsidR="00CA23D0" w:rsidRPr="00E30642" w:rsidRDefault="00CA23D0" w:rsidP="006031D6">
      <w:pPr>
        <w:pStyle w:val="Znaka"/>
        <w:numPr>
          <w:ilvl w:val="1"/>
          <w:numId w:val="20"/>
        </w:numPr>
        <w:ind w:left="426"/>
        <w:jc w:val="both"/>
        <w:rPr>
          <w:rFonts w:cs="Arial"/>
        </w:rPr>
      </w:pPr>
      <w:r w:rsidRPr="00E30642">
        <w:rPr>
          <w:rFonts w:cs="Arial"/>
        </w:rPr>
        <w:t xml:space="preserve">lokalizuje výhledově </w:t>
      </w:r>
      <w:r w:rsidRPr="00E30642">
        <w:rPr>
          <w:rFonts w:cs="Arial"/>
          <w:b/>
          <w:bCs/>
        </w:rPr>
        <w:t>obytné území</w:t>
      </w:r>
      <w:r w:rsidRPr="00E30642">
        <w:rPr>
          <w:rFonts w:cs="Arial"/>
        </w:rPr>
        <w:t xml:space="preserve"> s převažující rodinnou zástavbou, do nejatraktivnějších poloh města s optimálním napojením na komunikační síť a systémy technické infrastruktury (Letná, Želenice, Chrochvice, Bělá, Jalůvčí, Škrabky, Folknáře, Boletice n. L.) </w:t>
      </w:r>
    </w:p>
    <w:p w14:paraId="43313454" w14:textId="77777777" w:rsidR="00CA23D0" w:rsidRPr="00E30642" w:rsidRDefault="00CA23D0" w:rsidP="006031D6">
      <w:pPr>
        <w:pStyle w:val="Znaka"/>
        <w:numPr>
          <w:ilvl w:val="1"/>
          <w:numId w:val="20"/>
        </w:numPr>
        <w:ind w:left="426"/>
        <w:jc w:val="both"/>
        <w:rPr>
          <w:rFonts w:cs="Arial"/>
        </w:rPr>
      </w:pPr>
      <w:r w:rsidRPr="00E30642">
        <w:rPr>
          <w:rFonts w:cs="Arial"/>
        </w:rPr>
        <w:t xml:space="preserve">sleduje koncepci "kvalifikované nabídky" pro nezbytný rozvoj </w:t>
      </w:r>
      <w:r w:rsidRPr="00E30642">
        <w:rPr>
          <w:rFonts w:cs="Arial"/>
          <w:b/>
          <w:bCs/>
        </w:rPr>
        <w:t>ekonomické základny</w:t>
      </w:r>
      <w:r w:rsidRPr="00E30642">
        <w:rPr>
          <w:rFonts w:cs="Arial"/>
        </w:rPr>
        <w:t xml:space="preserve"> (náhrady za rušené provozy, nové plochy) </w:t>
      </w:r>
    </w:p>
    <w:p w14:paraId="51B15C39" w14:textId="77777777" w:rsidR="00CA23D0" w:rsidRPr="00E30642" w:rsidRDefault="00CA23D0" w:rsidP="006031D6">
      <w:pPr>
        <w:pStyle w:val="Znaka"/>
        <w:numPr>
          <w:ilvl w:val="1"/>
          <w:numId w:val="20"/>
        </w:numPr>
        <w:ind w:left="426"/>
        <w:jc w:val="both"/>
        <w:rPr>
          <w:rFonts w:cs="Arial"/>
        </w:rPr>
      </w:pPr>
      <w:r w:rsidRPr="00E30642">
        <w:rPr>
          <w:rFonts w:cs="Arial"/>
        </w:rPr>
        <w:t xml:space="preserve">využívá pro rozvoj města všech vhodných ploch funkčně diferencovaných, bezproblémové a stabilní výhledově potvrzuje, nestabilní a funkčně či provozně problémové návrhem vymisťuje (výrobní a skladové areály v centru a obytném území) </w:t>
      </w:r>
    </w:p>
    <w:p w14:paraId="1C2BCB27" w14:textId="77777777" w:rsidR="00CA23D0" w:rsidRPr="00E30642" w:rsidRDefault="00CA23D0" w:rsidP="006031D6">
      <w:pPr>
        <w:pStyle w:val="Znaka"/>
        <w:numPr>
          <w:ilvl w:val="1"/>
          <w:numId w:val="20"/>
        </w:numPr>
        <w:ind w:left="426"/>
        <w:jc w:val="both"/>
        <w:rPr>
          <w:rFonts w:cs="Arial"/>
        </w:rPr>
      </w:pPr>
      <w:r w:rsidRPr="00E30642">
        <w:rPr>
          <w:rFonts w:cs="Arial"/>
        </w:rPr>
        <w:t xml:space="preserve">na úseku </w:t>
      </w:r>
      <w:r w:rsidRPr="00E30642">
        <w:rPr>
          <w:rFonts w:cs="Arial"/>
          <w:b/>
          <w:bCs/>
        </w:rPr>
        <w:t>občanského vybavení</w:t>
      </w:r>
      <w:r w:rsidRPr="00E30642">
        <w:rPr>
          <w:rFonts w:cs="Arial"/>
        </w:rPr>
        <w:t xml:space="preserve"> řeší pouze deficitní nabídky obchodu, služeb, veřejného ubytování a stravování, tělovýchovy a sportu, stabilizované a funkční návrhem pouze potvrzuje s řadou doporučení (není k dispozici koncepce optimalizace školství, koncepce zdravotnictví apod.). Důraz je kladen zejména na komplexnost řešení centra (Děčín, Podmokly, Bioletice n. L.), areál zámku, soutok Labe a Ploučnice. </w:t>
      </w:r>
    </w:p>
    <w:p w14:paraId="571D65D7" w14:textId="77777777" w:rsidR="00CA23D0" w:rsidRPr="00E30642" w:rsidRDefault="00CA23D0" w:rsidP="006031D6">
      <w:pPr>
        <w:pStyle w:val="Znaka"/>
        <w:numPr>
          <w:ilvl w:val="1"/>
          <w:numId w:val="20"/>
        </w:numPr>
        <w:ind w:left="426"/>
        <w:jc w:val="both"/>
        <w:rPr>
          <w:rFonts w:cs="Arial"/>
        </w:rPr>
      </w:pPr>
      <w:r w:rsidRPr="00E30642">
        <w:rPr>
          <w:rFonts w:cs="Arial"/>
        </w:rPr>
        <w:t xml:space="preserve">plně respektuje stávající ekologickou </w:t>
      </w:r>
      <w:r w:rsidRPr="00E30642">
        <w:rPr>
          <w:rFonts w:cs="Arial"/>
          <w:b/>
          <w:bCs/>
        </w:rPr>
        <w:t>kostru zeleně</w:t>
      </w:r>
      <w:r w:rsidRPr="00E30642">
        <w:rPr>
          <w:rFonts w:cs="Arial"/>
        </w:rPr>
        <w:t xml:space="preserve"> (parky, doprovodná a strukturní zeleň, příměstské lesy), navrženým řešením upřednostňuje založení "centrálního parku" na obou březích Labe (nevyužívané plochy)</w:t>
      </w:r>
    </w:p>
    <w:p w14:paraId="1DD8DEAC" w14:textId="77777777" w:rsidR="00CA23D0" w:rsidRPr="00E30642" w:rsidRDefault="00CA23D0" w:rsidP="006031D6">
      <w:pPr>
        <w:pStyle w:val="Znaka"/>
        <w:numPr>
          <w:ilvl w:val="1"/>
          <w:numId w:val="20"/>
        </w:numPr>
        <w:ind w:left="426"/>
        <w:jc w:val="both"/>
        <w:rPr>
          <w:rFonts w:cs="Arial"/>
        </w:rPr>
      </w:pPr>
      <w:r w:rsidRPr="00E30642">
        <w:rPr>
          <w:rFonts w:cs="Arial"/>
        </w:rPr>
        <w:t>návrh prostorového uspořádání rozvoje města a jeho funkčního využití je obsahem samostatného přehledu, v řazení dle lokalit a městských sektorů, obsahující základní informace o jejich využití, funkci a možném pořadí výstavby (1. a 2. etapa, výhled).</w:t>
      </w:r>
    </w:p>
    <w:p w14:paraId="23E31FBD" w14:textId="77777777" w:rsidR="00CA23D0" w:rsidRPr="00E30642" w:rsidRDefault="00CA23D0" w:rsidP="00CA23D0">
      <w:pPr>
        <w:pStyle w:val="Zkladntext"/>
        <w:ind w:left="1088"/>
        <w:jc w:val="both"/>
        <w:rPr>
          <w:rFonts w:ascii="Arial" w:hAnsi="Arial" w:cs="Arial"/>
        </w:rPr>
      </w:pPr>
    </w:p>
    <w:p w14:paraId="5B45526D" w14:textId="77777777" w:rsidR="00CA23D0" w:rsidRPr="00E30642" w:rsidRDefault="00CA23D0" w:rsidP="00CA23D0">
      <w:pPr>
        <w:pStyle w:val="podnadpis2"/>
        <w:jc w:val="both"/>
        <w:rPr>
          <w:rFonts w:cs="Arial"/>
        </w:rPr>
      </w:pPr>
      <w:r w:rsidRPr="00E30642">
        <w:rPr>
          <w:rFonts w:cs="Arial"/>
          <w:sz w:val="28"/>
          <w:szCs w:val="28"/>
        </w:rPr>
        <w:t>b.5.  Návrh základní koncepce řešení dopravy</w:t>
      </w:r>
    </w:p>
    <w:p w14:paraId="0D78055B" w14:textId="77777777" w:rsidR="00E30642" w:rsidRDefault="00E30642" w:rsidP="00CA23D0">
      <w:pPr>
        <w:pStyle w:val="Zkladntext"/>
        <w:spacing w:before="120" w:after="0" w:line="288" w:lineRule="auto"/>
        <w:ind w:firstLine="709"/>
        <w:jc w:val="both"/>
        <w:rPr>
          <w:rFonts w:ascii="Arial" w:hAnsi="Arial" w:cs="Arial"/>
          <w:sz w:val="22"/>
          <w:szCs w:val="22"/>
        </w:rPr>
      </w:pPr>
    </w:p>
    <w:p w14:paraId="50721AC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Návrh koncepce dopravy v řešeném území města Děčína závisí na několika základních faktech a předpokladech, které jsou považovány v současné době za koncepčně stabilizované. Jedinou otázkou zůstává vazba na reálný časový horizont, který je vzhledem k obrovské investiční náročnosti předpokládaných záměrů v některých případech velmi těžko určitelný. </w:t>
      </w:r>
    </w:p>
    <w:p w14:paraId="447ADA6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Za koncepčně stabilní lze podle současných znalostí označit následující záměry na realizace staveb:</w:t>
      </w:r>
    </w:p>
    <w:p w14:paraId="381A6B07" w14:textId="77777777" w:rsidR="00CA23D0" w:rsidRPr="00E30642" w:rsidRDefault="00CA23D0" w:rsidP="006031D6">
      <w:pPr>
        <w:pStyle w:val="Znaka"/>
        <w:numPr>
          <w:ilvl w:val="1"/>
          <w:numId w:val="21"/>
        </w:numPr>
        <w:spacing w:before="120" w:after="0" w:line="288" w:lineRule="auto"/>
        <w:ind w:left="426"/>
        <w:jc w:val="both"/>
        <w:rPr>
          <w:rFonts w:cs="Arial"/>
        </w:rPr>
      </w:pPr>
      <w:r w:rsidRPr="00E30642">
        <w:rPr>
          <w:rFonts w:cs="Arial"/>
          <w:b/>
          <w:bCs/>
        </w:rPr>
        <w:t>Záměry související s výstavbou dálnice D8 -</w:t>
      </w:r>
      <w:r w:rsidRPr="00E30642">
        <w:rPr>
          <w:rFonts w:cs="Arial"/>
        </w:rPr>
        <w:t xml:space="preserve"> trasa D8 není předmětem řešeného území, avšak svým významem se samotného města Děčína dotýká. Po její realizaci a uvedení do provozu lze oprávněně očekávat zvýšení dopravních intenzit na jejích přivaděčích a silničních tazích, které budou napojeny do uzlových bodů mimoúrovňových křižovatek. V konkrétním případě u Děčína se jedná o silnici I/62 (vazba na mimoúrovňovou křižovatku Trmice) a silnici I/13 (vazba na mimoúrovňovou křižovatku Knínice). Z tohoto důvodu je nutné rekonstruovat a zkapacitnit vstupy těchto tahů na území města Děčína.</w:t>
      </w:r>
    </w:p>
    <w:p w14:paraId="6888C6CE" w14:textId="77777777" w:rsidR="00CA23D0" w:rsidRPr="00E30642" w:rsidRDefault="00CA23D0" w:rsidP="006031D6">
      <w:pPr>
        <w:pStyle w:val="Znaka"/>
        <w:numPr>
          <w:ilvl w:val="1"/>
          <w:numId w:val="21"/>
        </w:numPr>
        <w:spacing w:before="120" w:after="0" w:line="288" w:lineRule="auto"/>
        <w:ind w:left="426"/>
        <w:jc w:val="both"/>
        <w:rPr>
          <w:rFonts w:cs="Arial"/>
        </w:rPr>
      </w:pPr>
      <w:r w:rsidRPr="00E30642">
        <w:rPr>
          <w:rFonts w:cs="Arial"/>
          <w:b/>
          <w:bCs/>
        </w:rPr>
        <w:t>Přeložka silnice I/13 Děčín - Knínice -</w:t>
      </w:r>
      <w:r w:rsidRPr="00E30642">
        <w:rPr>
          <w:rFonts w:cs="Arial"/>
        </w:rPr>
        <w:t xml:space="preserve"> jeho nezbytnost je výhledově nutná vzhledem ke kritické situaci vznikající každodenně na průtahu vedeném městem po Teplické, </w:t>
      </w:r>
      <w:r w:rsidRPr="00E30642">
        <w:rPr>
          <w:rFonts w:cs="Arial"/>
        </w:rPr>
        <w:lastRenderedPageBreak/>
        <w:t>Pivovarské a Podmokelské ulici. Je zřejmé, že podstatná část dopravní zátěže spadá do kategorie vnitroměstských či radiálních vztahů, avšak další výraznější zatížení tranzitem po zprovoznění dálnice je již těžko přípustné. Realizace se předpokládá ve výhledu a je vázána na časové období dokončení D8.</w:t>
      </w:r>
    </w:p>
    <w:p w14:paraId="623FAFD0" w14:textId="77777777" w:rsidR="00CA23D0" w:rsidRPr="00E30642" w:rsidRDefault="00CA23D0" w:rsidP="006031D6">
      <w:pPr>
        <w:pStyle w:val="Znaka"/>
        <w:numPr>
          <w:ilvl w:val="1"/>
          <w:numId w:val="21"/>
        </w:numPr>
        <w:spacing w:before="120" w:after="0" w:line="288" w:lineRule="auto"/>
        <w:ind w:left="426"/>
        <w:jc w:val="both"/>
        <w:rPr>
          <w:rFonts w:cs="Arial"/>
        </w:rPr>
      </w:pPr>
      <w:r w:rsidRPr="00E30642">
        <w:rPr>
          <w:rFonts w:cs="Arial"/>
          <w:b/>
          <w:bCs/>
        </w:rPr>
        <w:t>Přeložka silnice I/13 Děčín - Benešov - Nový Bor -</w:t>
      </w:r>
      <w:r w:rsidRPr="00E30642">
        <w:rPr>
          <w:rFonts w:cs="Arial"/>
        </w:rPr>
        <w:t xml:space="preserve"> je dlouhodobě sledovaná akce. Nahrazuje trasu vedenou v nevhodných podmínkách přes Huntířov a Českou Kamenici ve směru na Nový Bor, kde šířkové, směrové ani výškové parametry neodpovídají kategorii nadřazeného tahu. </w:t>
      </w:r>
    </w:p>
    <w:p w14:paraId="4048BCBE" w14:textId="77777777" w:rsidR="00CA23D0" w:rsidRPr="001C726B" w:rsidRDefault="00CA23D0" w:rsidP="006031D6">
      <w:pPr>
        <w:pStyle w:val="Znaka"/>
        <w:numPr>
          <w:ilvl w:val="1"/>
          <w:numId w:val="21"/>
        </w:numPr>
        <w:spacing w:before="120" w:after="0" w:line="288" w:lineRule="auto"/>
        <w:ind w:left="426"/>
        <w:jc w:val="both"/>
        <w:rPr>
          <w:rFonts w:cs="Arial"/>
        </w:rPr>
      </w:pPr>
      <w:r w:rsidRPr="001C726B">
        <w:rPr>
          <w:rFonts w:cs="Arial"/>
          <w:b/>
          <w:bCs/>
        </w:rPr>
        <w:t>Přeložka silnice II/261 Křešice - Boletice - Nebočady -</w:t>
      </w:r>
      <w:r w:rsidRPr="001C726B">
        <w:rPr>
          <w:rFonts w:cs="Arial"/>
        </w:rPr>
        <w:t xml:space="preserve"> je sledována jako výhledová. V</w:t>
      </w:r>
      <w:r>
        <w:rPr>
          <w:rFonts w:cs="Arial"/>
        </w:rPr>
        <w:t> </w:t>
      </w:r>
      <w:r w:rsidRPr="001C726B">
        <w:rPr>
          <w:rFonts w:cs="Arial"/>
        </w:rPr>
        <w:t xml:space="preserve">návrhovém období připadá v úvahu pouze její část vedená v Křešicích v souběhu s tratí ČD a s vyloučením úrovňového přejezdu na Starém Městě. </w:t>
      </w:r>
    </w:p>
    <w:p w14:paraId="417D9A5E" w14:textId="77777777" w:rsidR="00CA23D0" w:rsidRPr="001C726B" w:rsidRDefault="00CA23D0" w:rsidP="006031D6">
      <w:pPr>
        <w:pStyle w:val="Znaka"/>
        <w:numPr>
          <w:ilvl w:val="1"/>
          <w:numId w:val="21"/>
        </w:numPr>
        <w:spacing w:before="120" w:after="0" w:line="288" w:lineRule="auto"/>
        <w:ind w:left="426"/>
        <w:jc w:val="both"/>
        <w:rPr>
          <w:rFonts w:cs="Arial"/>
        </w:rPr>
      </w:pPr>
      <w:r w:rsidRPr="001C726B">
        <w:rPr>
          <w:rFonts w:cs="Arial"/>
          <w:b/>
          <w:bCs/>
        </w:rPr>
        <w:t>Folknářská spojka -</w:t>
      </w:r>
      <w:r w:rsidRPr="001C726B">
        <w:rPr>
          <w:rFonts w:cs="Arial"/>
        </w:rPr>
        <w:t xml:space="preserve"> trasa zlepšuje dopravní situaci na kritickém úseku na Kamenické ulici. Je po ní vedena část tranzitní a regionální dopravy a odlehčuje stávající trasu. Opodstatnění bude mít i po vybudování přeložky silnice I/13 ve směru na Benešov. </w:t>
      </w:r>
    </w:p>
    <w:p w14:paraId="0A97DDB8" w14:textId="77777777" w:rsidR="00CA23D0" w:rsidRPr="001C726B" w:rsidRDefault="00CA23D0" w:rsidP="006031D6">
      <w:pPr>
        <w:pStyle w:val="Znaka"/>
        <w:numPr>
          <w:ilvl w:val="1"/>
          <w:numId w:val="21"/>
        </w:numPr>
        <w:spacing w:before="120" w:after="0" w:line="288" w:lineRule="auto"/>
        <w:ind w:left="426"/>
        <w:jc w:val="both"/>
        <w:rPr>
          <w:rFonts w:cs="Arial"/>
        </w:rPr>
      </w:pPr>
      <w:r w:rsidRPr="001C726B">
        <w:rPr>
          <w:rFonts w:cs="Arial"/>
          <w:b/>
          <w:bCs/>
        </w:rPr>
        <w:t xml:space="preserve">Rekonstrukce trati ČD Břeclav - Děčín - Drážďany - </w:t>
      </w:r>
      <w:r w:rsidRPr="001C726B">
        <w:rPr>
          <w:rFonts w:cs="Arial"/>
        </w:rPr>
        <w:t>souvisí se zvýšením rychlosti a</w:t>
      </w:r>
      <w:r>
        <w:rPr>
          <w:rFonts w:cs="Arial"/>
        </w:rPr>
        <w:t> </w:t>
      </w:r>
      <w:r w:rsidRPr="001C726B">
        <w:rPr>
          <w:rFonts w:cs="Arial"/>
        </w:rPr>
        <w:t xml:space="preserve">výkonnosti železniční trati. Úpravy jsou uvažovány převážně v prostoru ochranného pásma dráhy. Výhledově bude realizován tunel pod Pastýřskou stěnou. </w:t>
      </w:r>
    </w:p>
    <w:p w14:paraId="7F219FF3" w14:textId="77777777" w:rsidR="00CA23D0" w:rsidRPr="001C726B" w:rsidRDefault="00CA23D0" w:rsidP="006031D6">
      <w:pPr>
        <w:pStyle w:val="Znaka"/>
        <w:numPr>
          <w:ilvl w:val="1"/>
          <w:numId w:val="21"/>
        </w:numPr>
        <w:spacing w:before="120" w:after="0" w:line="288" w:lineRule="auto"/>
        <w:ind w:left="426"/>
        <w:jc w:val="both"/>
        <w:rPr>
          <w:rFonts w:cs="Arial"/>
        </w:rPr>
      </w:pPr>
      <w:r w:rsidRPr="001C726B">
        <w:rPr>
          <w:rFonts w:cs="Arial"/>
          <w:b/>
          <w:bCs/>
        </w:rPr>
        <w:t>Výstavba vodního díla v lokalitě Prostřední Žleb -</w:t>
      </w:r>
      <w:r w:rsidRPr="001C726B">
        <w:rPr>
          <w:rFonts w:cs="Arial"/>
        </w:rPr>
        <w:t xml:space="preserve"> dlouho diskutovaná otázka ohledně nutnosti jeho realizace a umístění se zdá být již koncepčně stanovena. S jeho výstavbou se počítá v návrhovém období. </w:t>
      </w:r>
    </w:p>
    <w:p w14:paraId="480231C0" w14:textId="77777777" w:rsidR="00CA23D0" w:rsidRPr="001C726B" w:rsidRDefault="00CA23D0" w:rsidP="006031D6">
      <w:pPr>
        <w:pStyle w:val="Znaka"/>
        <w:numPr>
          <w:ilvl w:val="1"/>
          <w:numId w:val="21"/>
        </w:numPr>
        <w:spacing w:before="120" w:after="0" w:line="288" w:lineRule="auto"/>
        <w:ind w:left="426"/>
        <w:jc w:val="both"/>
        <w:rPr>
          <w:rFonts w:cs="Arial"/>
        </w:rPr>
      </w:pPr>
      <w:r w:rsidRPr="001C726B">
        <w:rPr>
          <w:rFonts w:cs="Arial"/>
          <w:b/>
          <w:bCs/>
        </w:rPr>
        <w:t>Autobusové nádraží, terminál hromadné dopravy -</w:t>
      </w:r>
      <w:r w:rsidRPr="001C726B">
        <w:rPr>
          <w:rFonts w:cs="Arial"/>
        </w:rPr>
        <w:t xml:space="preserve"> město Děčín má dosud provizorní autobusové nádraží v Hankově ulici. Pro jeho výstavbu byla vybrána lokalita za poštou v</w:t>
      </w:r>
      <w:r>
        <w:rPr>
          <w:rFonts w:cs="Arial"/>
        </w:rPr>
        <w:t> </w:t>
      </w:r>
      <w:r w:rsidRPr="001C726B">
        <w:rPr>
          <w:rFonts w:cs="Arial"/>
        </w:rPr>
        <w:t>Podmoklech tak, aby odpovídala požadavkům na optimální dostupnost a lokalizaci v</w:t>
      </w:r>
      <w:r>
        <w:rPr>
          <w:rFonts w:cs="Arial"/>
        </w:rPr>
        <w:t> </w:t>
      </w:r>
      <w:r w:rsidRPr="001C726B">
        <w:rPr>
          <w:rFonts w:cs="Arial"/>
        </w:rPr>
        <w:t xml:space="preserve">centru vybavenosti. </w:t>
      </w:r>
    </w:p>
    <w:p w14:paraId="173B71FD" w14:textId="77777777" w:rsidR="00CA23D0" w:rsidRDefault="00CA23D0" w:rsidP="00CA23D0">
      <w:pPr>
        <w:pStyle w:val="Zkladntext"/>
        <w:jc w:val="both"/>
        <w:rPr>
          <w:rFonts w:ascii="Arial" w:hAnsi="Arial" w:cs="Arial"/>
        </w:rPr>
      </w:pPr>
    </w:p>
    <w:p w14:paraId="5E90A537" w14:textId="77777777" w:rsidR="00E30642" w:rsidRPr="00E30642" w:rsidRDefault="00E30642" w:rsidP="00CA23D0">
      <w:pPr>
        <w:pStyle w:val="Zkladntext"/>
        <w:jc w:val="both"/>
        <w:rPr>
          <w:rFonts w:ascii="Arial" w:hAnsi="Arial" w:cs="Arial"/>
        </w:rPr>
      </w:pPr>
    </w:p>
    <w:p w14:paraId="6E1F128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Do základní koncepce návrhu dopravy patří také řada objektů a ploch klidové dopravy, které v celkových plošných bilancích představují nezanedbatelnou část území. Jejich jednotlivé objekty jsou navrženy po urbanistických sektorech v rámci požadavků na souvisejících s bydlením v bytových domech a s vybaveností. </w:t>
      </w:r>
    </w:p>
    <w:p w14:paraId="3917E126" w14:textId="77777777" w:rsidR="00CA23D0"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Součástí celkové koncepce dopravy jsou také některé náměty nebo dosud zcela neujasněné návrhy na realizaci objektů dopravního charakteru, pro které je však nutné v územním plánu držet územní rezervy. Jedná se zejména o některé úpravy související se záměrem na komplexní přestavbu železničního uzlu Děčín (lokality Prostřední Žleb, východní nádraží aj.). </w:t>
      </w:r>
    </w:p>
    <w:p w14:paraId="6425498A" w14:textId="77777777" w:rsidR="00E30642" w:rsidRPr="00E30642" w:rsidRDefault="00E30642" w:rsidP="00CA23D0">
      <w:pPr>
        <w:pStyle w:val="Zkladntext"/>
        <w:spacing w:before="120" w:after="0" w:line="288" w:lineRule="auto"/>
        <w:ind w:firstLine="709"/>
        <w:jc w:val="both"/>
        <w:rPr>
          <w:rFonts w:ascii="Arial" w:hAnsi="Arial" w:cs="Arial"/>
          <w:sz w:val="22"/>
          <w:szCs w:val="22"/>
        </w:rPr>
      </w:pPr>
    </w:p>
    <w:p w14:paraId="05833211" w14:textId="77777777" w:rsidR="00CA23D0" w:rsidRPr="00E30642" w:rsidRDefault="00CA23D0" w:rsidP="00CA23D0">
      <w:pPr>
        <w:pStyle w:val="podnadpis2"/>
        <w:spacing w:line="240" w:lineRule="atLeast"/>
        <w:jc w:val="both"/>
        <w:rPr>
          <w:rFonts w:cs="Arial"/>
        </w:rPr>
      </w:pPr>
    </w:p>
    <w:p w14:paraId="15245E1E" w14:textId="77777777" w:rsidR="00CA23D0" w:rsidRPr="00E30642" w:rsidRDefault="00CA23D0" w:rsidP="00CA23D0">
      <w:pPr>
        <w:pStyle w:val="podnadpis2"/>
        <w:keepNext/>
        <w:spacing w:line="240" w:lineRule="atLeast"/>
        <w:jc w:val="both"/>
        <w:rPr>
          <w:rFonts w:cs="Arial"/>
        </w:rPr>
      </w:pPr>
      <w:r w:rsidRPr="00E30642">
        <w:rPr>
          <w:rFonts w:cs="Arial"/>
          <w:sz w:val="28"/>
          <w:szCs w:val="28"/>
        </w:rPr>
        <w:lastRenderedPageBreak/>
        <w:t>b.6.  Návrh základní koncepce vodního hospodářství</w:t>
      </w:r>
    </w:p>
    <w:p w14:paraId="2F3B5142" w14:textId="77777777" w:rsidR="00CA23D0" w:rsidRPr="00E30642" w:rsidRDefault="00CA23D0" w:rsidP="00CA23D0">
      <w:pPr>
        <w:pStyle w:val="Zkladntext"/>
        <w:keepNext/>
        <w:spacing w:line="240" w:lineRule="atLeast"/>
        <w:jc w:val="both"/>
        <w:rPr>
          <w:rFonts w:ascii="Arial" w:hAnsi="Arial" w:cs="Arial"/>
        </w:rPr>
      </w:pPr>
    </w:p>
    <w:p w14:paraId="11A918D6" w14:textId="77777777" w:rsidR="00CA23D0" w:rsidRPr="00E30642" w:rsidRDefault="00CA23D0" w:rsidP="00CA23D0">
      <w:pPr>
        <w:pStyle w:val="podnadpis2"/>
        <w:keepNext/>
        <w:spacing w:line="240" w:lineRule="atLeast"/>
        <w:jc w:val="both"/>
        <w:rPr>
          <w:rFonts w:cs="Arial"/>
        </w:rPr>
      </w:pPr>
      <w:r w:rsidRPr="00E30642">
        <w:rPr>
          <w:rFonts w:cs="Arial"/>
          <w:szCs w:val="20"/>
        </w:rPr>
        <w:tab/>
        <w:t>Návrh odtokových poměrů</w:t>
      </w:r>
    </w:p>
    <w:p w14:paraId="1F2A84A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Zkapacitnění koryt Labe a Ploučnice, které zatápějí přilehlé pozemky, se především z důvodů ekonomické náročnosti a ochrany přírodního prostředí nenavrhují. Pro zvýšení ochrany v zátopovém území těchto toků (pro Ploučnici je nutno území legislativně vyhlásit) se navrhují regulace činností, především omezení výstavby v zátopě. Zátopová území jsou tedy pro rozvoj města limitou.</w:t>
      </w:r>
    </w:p>
    <w:p w14:paraId="3D2F323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Jílovský potok přes zástavbu sídelního útvaru je navrženo v souladu s koncepcí správce toku a vodohospodářského orgánu zkapacitnit tak, aby jeho koryto provedlo minimálně padesátiletou povodeň (Q</w:t>
      </w:r>
      <w:r w:rsidRPr="00E30642">
        <w:rPr>
          <w:rFonts w:ascii="Arial" w:hAnsi="Arial" w:cs="Arial"/>
          <w:sz w:val="22"/>
          <w:szCs w:val="22"/>
          <w:vertAlign w:val="subscript"/>
        </w:rPr>
        <w:t>50</w:t>
      </w:r>
      <w:r w:rsidRPr="00E30642">
        <w:rPr>
          <w:rFonts w:ascii="Arial" w:hAnsi="Arial" w:cs="Arial"/>
          <w:sz w:val="22"/>
          <w:szCs w:val="22"/>
        </w:rPr>
        <w:t xml:space="preserve">). </w:t>
      </w:r>
    </w:p>
    <w:p w14:paraId="56A62904"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Úpravy pro ochranu přilehlého území jsou navrženy na Bělském potoce a Oldřichovském potoce. Respektuje se závěr na výstavbu VD Prostřední Žleb. Dílo navržené především ke zlepšení plavebních podmínek a využití energetického potenciálu by mělo být situováno v pl. km 98,88, s kótou vzdutí při normálním průtoku 124,5 m n. m. (Balt p. v.). </w:t>
      </w:r>
    </w:p>
    <w:p w14:paraId="3F8071C5" w14:textId="77777777" w:rsidR="00CA23D0" w:rsidRDefault="00CA23D0" w:rsidP="00CA23D0">
      <w:pPr>
        <w:pStyle w:val="podnadpis2"/>
        <w:spacing w:line="240" w:lineRule="atLeast"/>
        <w:jc w:val="both"/>
        <w:rPr>
          <w:rFonts w:cs="Arial"/>
        </w:rPr>
      </w:pPr>
    </w:p>
    <w:p w14:paraId="3D995AF3" w14:textId="77777777" w:rsidR="00D3579D" w:rsidRPr="00E30642" w:rsidRDefault="00D3579D" w:rsidP="00CA23D0">
      <w:pPr>
        <w:pStyle w:val="podnadpis2"/>
        <w:spacing w:line="240" w:lineRule="atLeast"/>
        <w:jc w:val="both"/>
        <w:rPr>
          <w:rFonts w:cs="Arial"/>
        </w:rPr>
      </w:pPr>
    </w:p>
    <w:p w14:paraId="3F42E196" w14:textId="77777777" w:rsidR="00CA23D0" w:rsidRPr="00E30642" w:rsidRDefault="00CA23D0" w:rsidP="00CA23D0">
      <w:pPr>
        <w:pStyle w:val="podnadpis2"/>
        <w:spacing w:line="240" w:lineRule="atLeast"/>
        <w:jc w:val="both"/>
        <w:rPr>
          <w:rFonts w:cs="Arial"/>
          <w:szCs w:val="20"/>
        </w:rPr>
      </w:pPr>
      <w:r w:rsidRPr="00E30642">
        <w:rPr>
          <w:rFonts w:cs="Arial"/>
          <w:szCs w:val="20"/>
        </w:rPr>
        <w:tab/>
        <w:t>Návrh zásobování vodou</w:t>
      </w:r>
    </w:p>
    <w:p w14:paraId="03D5120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Pitná voda</w:t>
      </w:r>
      <w:r w:rsidRPr="00E30642">
        <w:rPr>
          <w:rFonts w:ascii="Arial" w:hAnsi="Arial" w:cs="Arial"/>
          <w:sz w:val="22"/>
          <w:szCs w:val="22"/>
        </w:rPr>
        <w:t>:</w:t>
      </w:r>
    </w:p>
    <w:p w14:paraId="20209A64"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Po stránce zásobování pitnou vodou lze pokládat sídelní útvar Děčín v návrhovém období za zabezpečený za následujících předpokladů: </w:t>
      </w:r>
    </w:p>
    <w:p w14:paraId="1DCFA2A1" w14:textId="77777777" w:rsidR="00CA23D0" w:rsidRPr="00E30642" w:rsidRDefault="00CA23D0" w:rsidP="006031D6">
      <w:pPr>
        <w:pStyle w:val="Zkladntext"/>
        <w:numPr>
          <w:ilvl w:val="0"/>
          <w:numId w:val="22"/>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budou rekonstruovány hlavní přírodní řady z pramenišť oblasti Děčínského Sněžníku;</w:t>
      </w:r>
    </w:p>
    <w:p w14:paraId="419ECC16" w14:textId="77777777" w:rsidR="00CA23D0" w:rsidRPr="00E30642" w:rsidRDefault="00CA23D0" w:rsidP="006031D6">
      <w:pPr>
        <w:pStyle w:val="Zkladntext"/>
        <w:numPr>
          <w:ilvl w:val="0"/>
          <w:numId w:val="22"/>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budou provedena opatření, která vyřeší provozní potíže vyplývající z nerovnoměrně rozložených akumulací;</w:t>
      </w:r>
    </w:p>
    <w:p w14:paraId="04083A6B" w14:textId="77777777" w:rsidR="00CA23D0" w:rsidRPr="00E30642" w:rsidRDefault="00CA23D0" w:rsidP="006031D6">
      <w:pPr>
        <w:pStyle w:val="Zkladntext"/>
        <w:numPr>
          <w:ilvl w:val="0"/>
          <w:numId w:val="22"/>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pro zvýšení zabezpečenosti dodávky se navrhuje posílení zdrojové kapacity o cca 50 l/s do konce návrhového období.</w:t>
      </w:r>
    </w:p>
    <w:p w14:paraId="4AB5C6DB"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Navržený rozsah zástavby bytové, občanské vybavenosti i průmyslové lze zásobovat při zajištění specifických podmínek ze stávajícího systému. </w:t>
      </w:r>
    </w:p>
    <w:p w14:paraId="3A9A8AF0" w14:textId="77777777" w:rsidR="00D3579D" w:rsidRDefault="00D3579D" w:rsidP="00CA23D0">
      <w:pPr>
        <w:pStyle w:val="Zkladntext"/>
        <w:spacing w:before="120" w:after="0" w:line="288" w:lineRule="auto"/>
        <w:ind w:firstLine="709"/>
        <w:jc w:val="both"/>
        <w:rPr>
          <w:rFonts w:ascii="Arial" w:hAnsi="Arial" w:cs="Arial"/>
          <w:b/>
          <w:bCs/>
          <w:sz w:val="22"/>
          <w:szCs w:val="22"/>
        </w:rPr>
      </w:pPr>
    </w:p>
    <w:p w14:paraId="55D0E8AF" w14:textId="77777777" w:rsidR="00CA23D0" w:rsidRPr="00E30642" w:rsidRDefault="00CA23D0" w:rsidP="00CA23D0">
      <w:pPr>
        <w:pStyle w:val="Zkladntext"/>
        <w:spacing w:before="120" w:after="0" w:line="288" w:lineRule="auto"/>
        <w:ind w:firstLine="709"/>
        <w:jc w:val="both"/>
        <w:rPr>
          <w:rFonts w:ascii="Arial" w:hAnsi="Arial" w:cs="Arial"/>
          <w:b/>
          <w:bCs/>
          <w:sz w:val="22"/>
          <w:szCs w:val="22"/>
        </w:rPr>
      </w:pPr>
      <w:r w:rsidRPr="00E30642">
        <w:rPr>
          <w:rFonts w:ascii="Arial" w:hAnsi="Arial" w:cs="Arial"/>
          <w:b/>
          <w:bCs/>
          <w:sz w:val="22"/>
          <w:szCs w:val="22"/>
        </w:rPr>
        <w:t>Užitková voda:</w:t>
      </w:r>
    </w:p>
    <w:p w14:paraId="4A7B771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V území s ohledem na existenci velkých recipientů dávajících možnost přímých odběrů a druhotné zvodnění v údolní nivě, není problém zajištění potřebného množství užitkové vody. V území nebyla uplatněna potřeba budování společných zařízení; odběratelé si zajišťují své potřeby vlastními vodovody. </w:t>
      </w:r>
    </w:p>
    <w:p w14:paraId="7D937374" w14:textId="77777777" w:rsidR="00D3579D" w:rsidRDefault="00D3579D" w:rsidP="00CA23D0">
      <w:pPr>
        <w:pStyle w:val="Zkladntext"/>
        <w:spacing w:before="120" w:after="0" w:line="288" w:lineRule="auto"/>
        <w:ind w:firstLine="709"/>
        <w:jc w:val="both"/>
        <w:rPr>
          <w:rFonts w:ascii="Arial" w:hAnsi="Arial" w:cs="Arial"/>
          <w:b/>
          <w:bCs/>
          <w:sz w:val="22"/>
          <w:szCs w:val="22"/>
        </w:rPr>
      </w:pPr>
    </w:p>
    <w:p w14:paraId="1CC136C2" w14:textId="77777777" w:rsidR="00CA23D0" w:rsidRPr="00E30642" w:rsidRDefault="00CA23D0" w:rsidP="00CA23D0">
      <w:pPr>
        <w:pStyle w:val="Zkladntext"/>
        <w:spacing w:before="120" w:after="0" w:line="288" w:lineRule="auto"/>
        <w:ind w:firstLine="709"/>
        <w:jc w:val="both"/>
        <w:rPr>
          <w:rFonts w:ascii="Arial" w:hAnsi="Arial" w:cs="Arial"/>
          <w:b/>
          <w:bCs/>
          <w:sz w:val="22"/>
          <w:szCs w:val="22"/>
        </w:rPr>
      </w:pPr>
      <w:r w:rsidRPr="00E30642">
        <w:rPr>
          <w:rFonts w:ascii="Arial" w:hAnsi="Arial" w:cs="Arial"/>
          <w:b/>
          <w:bCs/>
          <w:sz w:val="22"/>
          <w:szCs w:val="22"/>
        </w:rPr>
        <w:t>Termální vody:</w:t>
      </w:r>
    </w:p>
    <w:p w14:paraId="3B5E6FA4"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Pro zamezení destrukce struktury děčínských termálních vod se navrhuje postup opatření, který zajistí optimální využívání těchto vod pro zásobování, rekreaci, energetiku ap. </w:t>
      </w:r>
    </w:p>
    <w:p w14:paraId="30EDC524"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Nejdůležitější je zabezpečit strukturu před neovladatelnými úniky. Dále je nutno zamezit spontánnímu narušování ochranného nadloží a zajištění patřičné ochrany térem</w:t>
      </w:r>
    </w:p>
    <w:p w14:paraId="2CB0B266" w14:textId="77777777" w:rsidR="00CA23D0" w:rsidRPr="00E30642" w:rsidRDefault="00CA23D0" w:rsidP="00CA23D0">
      <w:pPr>
        <w:pStyle w:val="podnadpis2"/>
        <w:spacing w:line="240" w:lineRule="atLeast"/>
        <w:jc w:val="both"/>
        <w:rPr>
          <w:rFonts w:cs="Arial"/>
        </w:rPr>
      </w:pPr>
    </w:p>
    <w:p w14:paraId="11B8AF00" w14:textId="77777777" w:rsidR="00CA23D0" w:rsidRPr="00E30642" w:rsidRDefault="00CA23D0" w:rsidP="00CA23D0">
      <w:pPr>
        <w:pStyle w:val="podnadpis2"/>
        <w:spacing w:line="240" w:lineRule="atLeast"/>
        <w:jc w:val="both"/>
        <w:rPr>
          <w:rFonts w:cs="Arial"/>
        </w:rPr>
      </w:pPr>
      <w:r w:rsidRPr="00E30642">
        <w:rPr>
          <w:rFonts w:cs="Arial"/>
          <w:szCs w:val="20"/>
        </w:rPr>
        <w:tab/>
        <w:t>Návrh likvidace odpadních vod</w:t>
      </w:r>
    </w:p>
    <w:p w14:paraId="751E527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Koncepčně se přejímá záměr vybudování centrální čistírny odpadních vod pro celý sídelní útvar v Boleticích a hlavních sběračů A a B, které podchytí odpadní vody z podstatné části města. Návazně je řešena koncepce přivedení zbylých částí města z navržené zástavby do tohoto systému k možné likvidaci odpadních vod. Řešení odkanalizování u nové zástavby je navrženo převážně oddílnou kanalizací pro vyloučení proniknutí znečištění do toků a zlepšení provozních podmínek čerpání odpadních vod. V celém sídelním útvaru je navrženo vyloučení vtoku povrchových (balastních) vod do kanalizace. </w:t>
      </w:r>
    </w:p>
    <w:p w14:paraId="274E734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Zároveň je řešena v nutném rozsahu ochrana zástavby před extravilánovými vodami.</w:t>
      </w:r>
    </w:p>
    <w:p w14:paraId="07AA2353" w14:textId="77777777" w:rsidR="00CA23D0" w:rsidRPr="00E30642" w:rsidRDefault="00CA23D0" w:rsidP="00CA23D0">
      <w:pPr>
        <w:pStyle w:val="Zkladntext"/>
        <w:spacing w:line="240" w:lineRule="atLeast"/>
        <w:jc w:val="both"/>
        <w:rPr>
          <w:rFonts w:ascii="Arial" w:hAnsi="Arial" w:cs="Arial"/>
        </w:rPr>
      </w:pPr>
    </w:p>
    <w:p w14:paraId="2519CC2B" w14:textId="77777777" w:rsidR="00CA23D0" w:rsidRDefault="00CA23D0" w:rsidP="00CA23D0">
      <w:pPr>
        <w:pStyle w:val="podnadpis2"/>
        <w:spacing w:line="240" w:lineRule="atLeast"/>
        <w:jc w:val="both"/>
        <w:rPr>
          <w:rFonts w:cs="Arial"/>
          <w:sz w:val="28"/>
          <w:szCs w:val="28"/>
        </w:rPr>
      </w:pPr>
      <w:r w:rsidRPr="00E30642">
        <w:rPr>
          <w:rFonts w:cs="Arial"/>
          <w:sz w:val="28"/>
          <w:szCs w:val="28"/>
        </w:rPr>
        <w:t>b.7.    Základní energetická koncepce</w:t>
      </w:r>
    </w:p>
    <w:p w14:paraId="69BA5D1E" w14:textId="77777777" w:rsidR="00D3579D" w:rsidRPr="00E30642" w:rsidRDefault="00D3579D" w:rsidP="00CA23D0">
      <w:pPr>
        <w:pStyle w:val="podnadpis2"/>
        <w:spacing w:line="240" w:lineRule="atLeast"/>
        <w:jc w:val="both"/>
        <w:rPr>
          <w:rFonts w:cs="Arial"/>
        </w:rPr>
      </w:pPr>
    </w:p>
    <w:p w14:paraId="2D933D6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Základní energetická koncepce řešeného území je založena na dodávkách elektřiny a zemního plynu. Elektřina je dodávána z rozvoden 110 kV Želenice a Děčín - východ. Sítě VN jsou provozovány na napěťové hladině 10, 22 a 35 kV. Výhledově se předpokládá unifikace na 22 kV. Uvedené rozvodny stačí pokrýt i rozvojové plochy města. Zdrojem elektřiny jsou i kogenerační jednotky v Býnově a Želenicích. Dalším zdrojem bude malá vodní elektrárna Prostřední Žleb. </w:t>
      </w:r>
    </w:p>
    <w:p w14:paraId="04A6D19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Těžištěm energetiky bude využívání zemního plynu, který je do řešeného území přiváděn dvěma vysokotlakými plynovody a jedním středotlakým plynovodem. Podstatná část území je plošně plynofikována NTL a STL rozvody. Předpokládá se plynofikace sídel Křešice, Marjanín, Vilsnice a Nebočady.</w:t>
      </w:r>
    </w:p>
    <w:p w14:paraId="0EC434E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Rovněž rozvoj centrálního zásobování teplem bude řešen na bázi zemního plynu. V provozu je od roku 1996 moderní kogenerační jednotka Býnov. Následně v roce 1998 byla zprovozněna stejná jednotka v Želenicích. V roce 2002 bude uveden do provozu zdroj CZT Děčín - východ., který pokryje podstatnou část města na pravém  břehu řeky Labe a umožní zrušit celou řadu kotelen s neekologickými palivy. Palivovou základnou zdroje bude zemní plyn, pomocí tepelných čerpadel bude využívána geotermální energii podzemních vod a bude řešen jako kogenerační (výroba elektřiny). Rozvoj systému CZT po celé ploše Podmokel nepokryje rezerva ze stávajícího zdroje v Želenicích. Jako ekonomicky nejvýhodnější se jeví využití volné kapacity v kotelně Kabelovny a výstavba poměrně krátkého tepelného napaječe do uvažovaného území. Tento záměr je však třeba podložit technicko - ekonomickým podkladem.</w:t>
      </w:r>
    </w:p>
    <w:p w14:paraId="182F271D" w14:textId="77777777" w:rsidR="00CA23D0" w:rsidRDefault="00CA23D0" w:rsidP="00CA23D0">
      <w:pPr>
        <w:pStyle w:val="Zkladntext"/>
        <w:spacing w:before="120" w:after="0" w:line="288" w:lineRule="auto"/>
        <w:ind w:firstLine="709"/>
        <w:jc w:val="both"/>
        <w:rPr>
          <w:rFonts w:ascii="Arial" w:hAnsi="Arial" w:cs="Arial"/>
          <w:sz w:val="22"/>
          <w:szCs w:val="22"/>
        </w:rPr>
      </w:pPr>
    </w:p>
    <w:p w14:paraId="63FC5428" w14:textId="77777777" w:rsidR="00D3579D" w:rsidRPr="00E30642" w:rsidRDefault="00D3579D" w:rsidP="00CA23D0">
      <w:pPr>
        <w:pStyle w:val="Zkladntext"/>
        <w:spacing w:before="120" w:after="0" w:line="288" w:lineRule="auto"/>
        <w:ind w:firstLine="709"/>
        <w:jc w:val="both"/>
        <w:rPr>
          <w:rFonts w:ascii="Arial" w:hAnsi="Arial" w:cs="Arial"/>
          <w:sz w:val="22"/>
          <w:szCs w:val="22"/>
        </w:rPr>
      </w:pPr>
    </w:p>
    <w:p w14:paraId="62356D74" w14:textId="77777777" w:rsidR="00CA23D0" w:rsidRPr="00E30642" w:rsidRDefault="00CA23D0" w:rsidP="00CA23D0">
      <w:pPr>
        <w:pStyle w:val="podnadpis2"/>
        <w:spacing w:line="240" w:lineRule="atLeast"/>
        <w:jc w:val="both"/>
        <w:rPr>
          <w:rFonts w:cs="Arial"/>
        </w:rPr>
      </w:pPr>
      <w:r w:rsidRPr="00E30642">
        <w:rPr>
          <w:rFonts w:cs="Arial"/>
        </w:rPr>
        <w:tab/>
        <w:t>Spoje</w:t>
      </w:r>
    </w:p>
    <w:p w14:paraId="36B4DCB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Oblast telekomunikační sítě je vyřešena. Rychlým tempem byla vybudována místní telekomunikační síť a všechny analogové ústředny byly nahrazeny moderní digitální technologií. Děčín se stal prvním městem v ČR s plně digitálním provozem. Navrhuje se dále </w:t>
      </w:r>
      <w:r w:rsidRPr="00E30642">
        <w:rPr>
          <w:rFonts w:ascii="Arial" w:hAnsi="Arial" w:cs="Arial"/>
          <w:sz w:val="22"/>
          <w:szCs w:val="22"/>
        </w:rPr>
        <w:lastRenderedPageBreak/>
        <w:t>rozšiřovat rozvody kabelové televize, která umožní nejenom příjem mnoha rozhlasových a televizních programů ale i zavedení dalších služeb pro připojené účastníky.</w:t>
      </w:r>
    </w:p>
    <w:p w14:paraId="5383858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Telekomunikační možnosti umožňují i rychle se rozvíjející sítě GSM (mobilní telefony).</w:t>
      </w:r>
    </w:p>
    <w:p w14:paraId="77A6AFAF" w14:textId="77777777" w:rsidR="00CA23D0" w:rsidRDefault="00CA23D0" w:rsidP="00CA23D0">
      <w:pPr>
        <w:pStyle w:val="Zkladntext"/>
        <w:spacing w:before="120" w:after="0" w:line="288" w:lineRule="auto"/>
        <w:ind w:firstLine="709"/>
        <w:jc w:val="both"/>
        <w:rPr>
          <w:rFonts w:ascii="Arial" w:hAnsi="Arial" w:cs="Arial"/>
          <w:sz w:val="22"/>
          <w:szCs w:val="22"/>
        </w:rPr>
      </w:pPr>
    </w:p>
    <w:p w14:paraId="50AEC163" w14:textId="77777777" w:rsidR="004D3621" w:rsidRDefault="004D3621" w:rsidP="00CA23D0">
      <w:pPr>
        <w:pStyle w:val="Zkladntext"/>
        <w:spacing w:before="120" w:after="0" w:line="288" w:lineRule="auto"/>
        <w:ind w:firstLine="709"/>
        <w:jc w:val="both"/>
        <w:rPr>
          <w:rFonts w:ascii="Arial" w:hAnsi="Arial" w:cs="Arial"/>
          <w:sz w:val="22"/>
          <w:szCs w:val="22"/>
        </w:rPr>
      </w:pPr>
    </w:p>
    <w:p w14:paraId="5B3DD3B2" w14:textId="77777777" w:rsidR="004D3621" w:rsidRDefault="004D3621" w:rsidP="00CA23D0">
      <w:pPr>
        <w:pStyle w:val="Zkladntext"/>
        <w:spacing w:before="120" w:after="0" w:line="288" w:lineRule="auto"/>
        <w:ind w:firstLine="709"/>
        <w:jc w:val="both"/>
        <w:rPr>
          <w:rFonts w:ascii="Arial" w:hAnsi="Arial" w:cs="Arial"/>
          <w:sz w:val="22"/>
          <w:szCs w:val="22"/>
        </w:rPr>
      </w:pPr>
    </w:p>
    <w:p w14:paraId="6DEF409B" w14:textId="77777777" w:rsidR="004D3621" w:rsidRDefault="004D3621" w:rsidP="00CA23D0">
      <w:pPr>
        <w:pStyle w:val="Zkladntext"/>
        <w:spacing w:before="120" w:after="0" w:line="288" w:lineRule="auto"/>
        <w:ind w:firstLine="709"/>
        <w:jc w:val="both"/>
        <w:rPr>
          <w:rFonts w:ascii="Arial" w:hAnsi="Arial" w:cs="Arial"/>
          <w:sz w:val="22"/>
          <w:szCs w:val="22"/>
        </w:rPr>
      </w:pPr>
    </w:p>
    <w:p w14:paraId="0E8E7E8F" w14:textId="77777777" w:rsidR="004D3621" w:rsidRDefault="004D3621" w:rsidP="00CA23D0">
      <w:pPr>
        <w:pStyle w:val="Zkladntext"/>
        <w:spacing w:before="120" w:after="0" w:line="288" w:lineRule="auto"/>
        <w:ind w:firstLine="709"/>
        <w:jc w:val="both"/>
        <w:rPr>
          <w:rFonts w:ascii="Arial" w:hAnsi="Arial" w:cs="Arial"/>
          <w:sz w:val="22"/>
          <w:szCs w:val="22"/>
        </w:rPr>
      </w:pPr>
    </w:p>
    <w:p w14:paraId="0B99FE5B" w14:textId="77777777" w:rsidR="004D3621" w:rsidRDefault="004D3621" w:rsidP="00CA23D0">
      <w:pPr>
        <w:pStyle w:val="Zkladntext"/>
        <w:spacing w:before="120" w:after="0" w:line="288" w:lineRule="auto"/>
        <w:ind w:firstLine="709"/>
        <w:jc w:val="both"/>
        <w:rPr>
          <w:rFonts w:ascii="Arial" w:hAnsi="Arial" w:cs="Arial"/>
          <w:sz w:val="22"/>
          <w:szCs w:val="22"/>
        </w:rPr>
      </w:pPr>
    </w:p>
    <w:p w14:paraId="2DBFAAB2" w14:textId="77777777" w:rsidR="004D3621" w:rsidRDefault="004D3621" w:rsidP="00CA23D0">
      <w:pPr>
        <w:pStyle w:val="Zkladntext"/>
        <w:spacing w:before="120" w:after="0" w:line="288" w:lineRule="auto"/>
        <w:ind w:firstLine="709"/>
        <w:jc w:val="both"/>
        <w:rPr>
          <w:rFonts w:ascii="Arial" w:hAnsi="Arial" w:cs="Arial"/>
          <w:sz w:val="22"/>
          <w:szCs w:val="22"/>
        </w:rPr>
      </w:pPr>
    </w:p>
    <w:p w14:paraId="2D044D00" w14:textId="77777777" w:rsidR="004D3621" w:rsidRDefault="004D3621" w:rsidP="00CA23D0">
      <w:pPr>
        <w:pStyle w:val="Zkladntext"/>
        <w:spacing w:before="120" w:after="0" w:line="288" w:lineRule="auto"/>
        <w:ind w:firstLine="709"/>
        <w:jc w:val="both"/>
        <w:rPr>
          <w:rFonts w:ascii="Arial" w:hAnsi="Arial" w:cs="Arial"/>
          <w:sz w:val="22"/>
          <w:szCs w:val="22"/>
        </w:rPr>
      </w:pPr>
    </w:p>
    <w:p w14:paraId="190AC6C7" w14:textId="77777777" w:rsidR="004D3621" w:rsidRDefault="004D3621" w:rsidP="00CA23D0">
      <w:pPr>
        <w:pStyle w:val="Zkladntext"/>
        <w:spacing w:before="120" w:after="0" w:line="288" w:lineRule="auto"/>
        <w:ind w:firstLine="709"/>
        <w:jc w:val="both"/>
        <w:rPr>
          <w:rFonts w:ascii="Arial" w:hAnsi="Arial" w:cs="Arial"/>
          <w:sz w:val="22"/>
          <w:szCs w:val="22"/>
        </w:rPr>
      </w:pPr>
    </w:p>
    <w:p w14:paraId="4D788899" w14:textId="77777777" w:rsidR="004D3621" w:rsidRDefault="004D3621" w:rsidP="00CA23D0">
      <w:pPr>
        <w:pStyle w:val="Zkladntext"/>
        <w:spacing w:before="120" w:after="0" w:line="288" w:lineRule="auto"/>
        <w:ind w:firstLine="709"/>
        <w:jc w:val="both"/>
        <w:rPr>
          <w:rFonts w:ascii="Arial" w:hAnsi="Arial" w:cs="Arial"/>
          <w:sz w:val="22"/>
          <w:szCs w:val="22"/>
        </w:rPr>
      </w:pPr>
    </w:p>
    <w:p w14:paraId="241D3A4A" w14:textId="77777777" w:rsidR="004D3621" w:rsidRDefault="004D3621" w:rsidP="00CA23D0">
      <w:pPr>
        <w:pStyle w:val="Zkladntext"/>
        <w:spacing w:before="120" w:after="0" w:line="288" w:lineRule="auto"/>
        <w:ind w:firstLine="709"/>
        <w:jc w:val="both"/>
        <w:rPr>
          <w:rFonts w:ascii="Arial" w:hAnsi="Arial" w:cs="Arial"/>
          <w:sz w:val="22"/>
          <w:szCs w:val="22"/>
        </w:rPr>
      </w:pPr>
    </w:p>
    <w:p w14:paraId="1051E128" w14:textId="77777777" w:rsidR="004D3621" w:rsidRDefault="004D3621" w:rsidP="00CA23D0">
      <w:pPr>
        <w:pStyle w:val="Zkladntext"/>
        <w:spacing w:before="120" w:after="0" w:line="288" w:lineRule="auto"/>
        <w:ind w:firstLine="709"/>
        <w:jc w:val="both"/>
        <w:rPr>
          <w:rFonts w:ascii="Arial" w:hAnsi="Arial" w:cs="Arial"/>
          <w:sz w:val="22"/>
          <w:szCs w:val="22"/>
        </w:rPr>
      </w:pPr>
    </w:p>
    <w:p w14:paraId="30377ED1" w14:textId="77777777" w:rsidR="004D3621" w:rsidRDefault="004D3621" w:rsidP="00CA23D0">
      <w:pPr>
        <w:pStyle w:val="Zkladntext"/>
        <w:spacing w:before="120" w:after="0" w:line="288" w:lineRule="auto"/>
        <w:ind w:firstLine="709"/>
        <w:jc w:val="both"/>
        <w:rPr>
          <w:rFonts w:ascii="Arial" w:hAnsi="Arial" w:cs="Arial"/>
          <w:sz w:val="22"/>
          <w:szCs w:val="22"/>
        </w:rPr>
      </w:pPr>
    </w:p>
    <w:p w14:paraId="5C08F61C" w14:textId="77777777" w:rsidR="004D3621" w:rsidRDefault="004D3621" w:rsidP="00CA23D0">
      <w:pPr>
        <w:pStyle w:val="Zkladntext"/>
        <w:spacing w:before="120" w:after="0" w:line="288" w:lineRule="auto"/>
        <w:ind w:firstLine="709"/>
        <w:jc w:val="both"/>
        <w:rPr>
          <w:rFonts w:ascii="Arial" w:hAnsi="Arial" w:cs="Arial"/>
          <w:sz w:val="22"/>
          <w:szCs w:val="22"/>
        </w:rPr>
      </w:pPr>
    </w:p>
    <w:p w14:paraId="5ED6765F" w14:textId="77777777" w:rsidR="004D3621" w:rsidRDefault="004D3621" w:rsidP="00CA23D0">
      <w:pPr>
        <w:pStyle w:val="Zkladntext"/>
        <w:spacing w:before="120" w:after="0" w:line="288" w:lineRule="auto"/>
        <w:ind w:firstLine="709"/>
        <w:jc w:val="both"/>
        <w:rPr>
          <w:rFonts w:ascii="Arial" w:hAnsi="Arial" w:cs="Arial"/>
          <w:sz w:val="22"/>
          <w:szCs w:val="22"/>
        </w:rPr>
      </w:pPr>
    </w:p>
    <w:p w14:paraId="6488116C" w14:textId="77777777" w:rsidR="004D3621" w:rsidRDefault="004D3621" w:rsidP="00CA23D0">
      <w:pPr>
        <w:pStyle w:val="Zkladntext"/>
        <w:spacing w:before="120" w:after="0" w:line="288" w:lineRule="auto"/>
        <w:ind w:firstLine="709"/>
        <w:jc w:val="both"/>
        <w:rPr>
          <w:rFonts w:ascii="Arial" w:hAnsi="Arial" w:cs="Arial"/>
          <w:sz w:val="22"/>
          <w:szCs w:val="22"/>
        </w:rPr>
      </w:pPr>
    </w:p>
    <w:p w14:paraId="53114030" w14:textId="77777777" w:rsidR="004D3621" w:rsidRDefault="004D3621" w:rsidP="00CA23D0">
      <w:pPr>
        <w:pStyle w:val="Zkladntext"/>
        <w:spacing w:before="120" w:after="0" w:line="288" w:lineRule="auto"/>
        <w:ind w:firstLine="709"/>
        <w:jc w:val="both"/>
        <w:rPr>
          <w:rFonts w:ascii="Arial" w:hAnsi="Arial" w:cs="Arial"/>
          <w:sz w:val="22"/>
          <w:szCs w:val="22"/>
        </w:rPr>
      </w:pPr>
    </w:p>
    <w:p w14:paraId="57D8571D" w14:textId="77777777" w:rsidR="004D3621" w:rsidRDefault="004D3621" w:rsidP="00CA23D0">
      <w:pPr>
        <w:pStyle w:val="Zkladntext"/>
        <w:spacing w:before="120" w:after="0" w:line="288" w:lineRule="auto"/>
        <w:ind w:firstLine="709"/>
        <w:jc w:val="both"/>
        <w:rPr>
          <w:rFonts w:ascii="Arial" w:hAnsi="Arial" w:cs="Arial"/>
          <w:sz w:val="22"/>
          <w:szCs w:val="22"/>
        </w:rPr>
      </w:pPr>
    </w:p>
    <w:p w14:paraId="2192E009" w14:textId="77777777" w:rsidR="004D3621" w:rsidRDefault="004D3621" w:rsidP="00CA23D0">
      <w:pPr>
        <w:pStyle w:val="Zkladntext"/>
        <w:spacing w:before="120" w:after="0" w:line="288" w:lineRule="auto"/>
        <w:ind w:firstLine="709"/>
        <w:jc w:val="both"/>
        <w:rPr>
          <w:rFonts w:ascii="Arial" w:hAnsi="Arial" w:cs="Arial"/>
          <w:sz w:val="22"/>
          <w:szCs w:val="22"/>
        </w:rPr>
      </w:pPr>
    </w:p>
    <w:p w14:paraId="1AA96D59" w14:textId="77777777" w:rsidR="004D3621" w:rsidRDefault="004D3621" w:rsidP="00CA23D0">
      <w:pPr>
        <w:pStyle w:val="Zkladntext"/>
        <w:spacing w:before="120" w:after="0" w:line="288" w:lineRule="auto"/>
        <w:ind w:firstLine="709"/>
        <w:jc w:val="both"/>
        <w:rPr>
          <w:rFonts w:ascii="Arial" w:hAnsi="Arial" w:cs="Arial"/>
          <w:sz w:val="22"/>
          <w:szCs w:val="22"/>
        </w:rPr>
      </w:pPr>
    </w:p>
    <w:p w14:paraId="70D4AC05" w14:textId="77777777" w:rsidR="004D3621" w:rsidRDefault="004D3621" w:rsidP="00CA23D0">
      <w:pPr>
        <w:pStyle w:val="Zkladntext"/>
        <w:spacing w:before="120" w:after="0" w:line="288" w:lineRule="auto"/>
        <w:ind w:firstLine="709"/>
        <w:jc w:val="both"/>
        <w:rPr>
          <w:rFonts w:ascii="Arial" w:hAnsi="Arial" w:cs="Arial"/>
          <w:sz w:val="22"/>
          <w:szCs w:val="22"/>
        </w:rPr>
      </w:pPr>
    </w:p>
    <w:p w14:paraId="29D840F7" w14:textId="77777777" w:rsidR="004D3621" w:rsidRDefault="004D3621" w:rsidP="00CA23D0">
      <w:pPr>
        <w:pStyle w:val="Zkladntext"/>
        <w:spacing w:before="120" w:after="0" w:line="288" w:lineRule="auto"/>
        <w:ind w:firstLine="709"/>
        <w:jc w:val="both"/>
        <w:rPr>
          <w:rFonts w:ascii="Arial" w:hAnsi="Arial" w:cs="Arial"/>
          <w:sz w:val="22"/>
          <w:szCs w:val="22"/>
        </w:rPr>
      </w:pPr>
    </w:p>
    <w:p w14:paraId="68411507" w14:textId="77777777" w:rsidR="004D3621" w:rsidRDefault="004D3621" w:rsidP="00CA23D0">
      <w:pPr>
        <w:pStyle w:val="Zkladntext"/>
        <w:spacing w:before="120" w:after="0" w:line="288" w:lineRule="auto"/>
        <w:ind w:firstLine="709"/>
        <w:jc w:val="both"/>
        <w:rPr>
          <w:rFonts w:ascii="Arial" w:hAnsi="Arial" w:cs="Arial"/>
          <w:sz w:val="22"/>
          <w:szCs w:val="22"/>
        </w:rPr>
      </w:pPr>
    </w:p>
    <w:p w14:paraId="23D08A75" w14:textId="77777777" w:rsidR="004D3621" w:rsidRDefault="004D3621" w:rsidP="00CA23D0">
      <w:pPr>
        <w:pStyle w:val="Zkladntext"/>
        <w:spacing w:before="120" w:after="0" w:line="288" w:lineRule="auto"/>
        <w:ind w:firstLine="709"/>
        <w:jc w:val="both"/>
        <w:rPr>
          <w:rFonts w:ascii="Arial" w:hAnsi="Arial" w:cs="Arial"/>
          <w:sz w:val="22"/>
          <w:szCs w:val="22"/>
        </w:rPr>
      </w:pPr>
    </w:p>
    <w:p w14:paraId="125C66F9" w14:textId="77777777" w:rsidR="004D3621" w:rsidRDefault="004D3621" w:rsidP="00CA23D0">
      <w:pPr>
        <w:pStyle w:val="Zkladntext"/>
        <w:spacing w:before="120" w:after="0" w:line="288" w:lineRule="auto"/>
        <w:ind w:firstLine="709"/>
        <w:jc w:val="both"/>
        <w:rPr>
          <w:rFonts w:ascii="Arial" w:hAnsi="Arial" w:cs="Arial"/>
          <w:sz w:val="22"/>
          <w:szCs w:val="22"/>
        </w:rPr>
      </w:pPr>
    </w:p>
    <w:p w14:paraId="7DE72855" w14:textId="77777777" w:rsidR="004D3621" w:rsidRDefault="004D3621" w:rsidP="00CA23D0">
      <w:pPr>
        <w:pStyle w:val="Zkladntext"/>
        <w:spacing w:before="120" w:after="0" w:line="288" w:lineRule="auto"/>
        <w:ind w:firstLine="709"/>
        <w:jc w:val="both"/>
        <w:rPr>
          <w:rFonts w:ascii="Arial" w:hAnsi="Arial" w:cs="Arial"/>
          <w:sz w:val="22"/>
          <w:szCs w:val="22"/>
        </w:rPr>
      </w:pPr>
    </w:p>
    <w:p w14:paraId="280348D4" w14:textId="77777777" w:rsidR="004D3621" w:rsidRDefault="004D3621" w:rsidP="00CA23D0">
      <w:pPr>
        <w:pStyle w:val="Zkladntext"/>
        <w:spacing w:before="120" w:after="0" w:line="288" w:lineRule="auto"/>
        <w:ind w:firstLine="709"/>
        <w:jc w:val="both"/>
        <w:rPr>
          <w:rFonts w:ascii="Arial" w:hAnsi="Arial" w:cs="Arial"/>
          <w:sz w:val="22"/>
          <w:szCs w:val="22"/>
        </w:rPr>
      </w:pPr>
    </w:p>
    <w:p w14:paraId="210DC1E9" w14:textId="77777777" w:rsidR="004D3621" w:rsidRDefault="004D3621" w:rsidP="00CA23D0">
      <w:pPr>
        <w:pStyle w:val="Zkladntext"/>
        <w:spacing w:before="120" w:after="0" w:line="288" w:lineRule="auto"/>
        <w:ind w:firstLine="709"/>
        <w:jc w:val="both"/>
        <w:rPr>
          <w:rFonts w:ascii="Arial" w:hAnsi="Arial" w:cs="Arial"/>
          <w:sz w:val="22"/>
          <w:szCs w:val="22"/>
        </w:rPr>
      </w:pPr>
    </w:p>
    <w:p w14:paraId="27D4D9C5" w14:textId="77777777" w:rsidR="004D3621" w:rsidRDefault="004D3621" w:rsidP="00CA23D0">
      <w:pPr>
        <w:pStyle w:val="Zkladntext"/>
        <w:spacing w:before="120" w:after="0" w:line="288" w:lineRule="auto"/>
        <w:ind w:firstLine="709"/>
        <w:jc w:val="both"/>
        <w:rPr>
          <w:rFonts w:ascii="Arial" w:hAnsi="Arial" w:cs="Arial"/>
          <w:sz w:val="22"/>
          <w:szCs w:val="22"/>
        </w:rPr>
      </w:pPr>
    </w:p>
    <w:p w14:paraId="2BB3110A" w14:textId="77777777" w:rsidR="004D3621" w:rsidRPr="00E30642" w:rsidRDefault="004D3621" w:rsidP="00CA23D0">
      <w:pPr>
        <w:pStyle w:val="Zkladntext"/>
        <w:spacing w:before="120" w:after="0" w:line="288" w:lineRule="auto"/>
        <w:ind w:firstLine="709"/>
        <w:jc w:val="both"/>
        <w:rPr>
          <w:rFonts w:ascii="Arial" w:hAnsi="Arial" w:cs="Arial"/>
          <w:sz w:val="22"/>
          <w:szCs w:val="22"/>
        </w:rPr>
      </w:pPr>
    </w:p>
    <w:p w14:paraId="0FA18880" w14:textId="77777777" w:rsidR="00CA23D0" w:rsidRPr="00E30642" w:rsidRDefault="00D3579D" w:rsidP="00CA23D0">
      <w:pPr>
        <w:pStyle w:val="Nadpis"/>
        <w:jc w:val="both"/>
      </w:pPr>
      <w:r w:rsidRPr="00E30642">
        <w:rPr>
          <w:sz w:val="48"/>
          <w:szCs w:val="48"/>
        </w:rPr>
        <w:lastRenderedPageBreak/>
        <w:t>C. NÁVRH URBANISTICKÉ KONCEPCE</w:t>
      </w:r>
    </w:p>
    <w:p w14:paraId="42FE3E23" w14:textId="77777777" w:rsidR="00CA23D0" w:rsidRPr="00E30642" w:rsidRDefault="00CA23D0" w:rsidP="00CA23D0">
      <w:pPr>
        <w:pStyle w:val="Zkladntext"/>
        <w:jc w:val="both"/>
        <w:rPr>
          <w:rFonts w:ascii="Arial" w:hAnsi="Arial" w:cs="Arial"/>
        </w:rPr>
      </w:pPr>
    </w:p>
    <w:p w14:paraId="2EA2A1ED" w14:textId="77777777" w:rsidR="00CA23D0" w:rsidRPr="00E30642" w:rsidRDefault="00CA23D0" w:rsidP="00CA23D0">
      <w:pPr>
        <w:pStyle w:val="podnadpis1"/>
        <w:jc w:val="both"/>
        <w:rPr>
          <w:rFonts w:cs="Arial"/>
        </w:rPr>
      </w:pPr>
      <w:r w:rsidRPr="00E30642">
        <w:rPr>
          <w:rFonts w:cs="Arial"/>
        </w:rPr>
        <w:t>c.1.  demografický vývoj</w:t>
      </w:r>
    </w:p>
    <w:p w14:paraId="302AD970" w14:textId="77777777" w:rsidR="00CA23D0" w:rsidRPr="00E30642" w:rsidRDefault="00CA23D0" w:rsidP="00CA23D0">
      <w:pPr>
        <w:pStyle w:val="Zkladntext"/>
        <w:jc w:val="both"/>
        <w:rPr>
          <w:rFonts w:ascii="Arial" w:hAnsi="Arial" w:cs="Arial"/>
        </w:rPr>
      </w:pPr>
    </w:p>
    <w:p w14:paraId="76E47D71" w14:textId="77777777" w:rsidR="00CA23D0" w:rsidRPr="00E30642" w:rsidRDefault="00CA23D0" w:rsidP="00CA23D0">
      <w:pPr>
        <w:pStyle w:val="podnadpis2"/>
        <w:spacing w:line="240" w:lineRule="atLeast"/>
        <w:jc w:val="both"/>
        <w:rPr>
          <w:rFonts w:cs="Arial"/>
        </w:rPr>
      </w:pPr>
      <w:r w:rsidRPr="00E30642">
        <w:rPr>
          <w:rFonts w:cs="Arial"/>
        </w:rPr>
        <w:t>Výchozí data demografické prognózy města</w:t>
      </w:r>
    </w:p>
    <w:p w14:paraId="36AD5D80" w14:textId="77777777" w:rsidR="00D3579D" w:rsidRDefault="00D3579D" w:rsidP="00CA23D0">
      <w:pPr>
        <w:pStyle w:val="Zkladntext"/>
        <w:spacing w:before="120" w:after="0" w:line="288" w:lineRule="auto"/>
        <w:ind w:firstLine="709"/>
        <w:jc w:val="both"/>
        <w:rPr>
          <w:rFonts w:ascii="Arial" w:hAnsi="Arial" w:cs="Arial"/>
          <w:sz w:val="22"/>
          <w:szCs w:val="22"/>
        </w:rPr>
      </w:pPr>
    </w:p>
    <w:p w14:paraId="33E8BE4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Hlavním podkladem pro problematiku obyvatelstva, domů a bytů byly v předchozích etapách zpracování územně plánovací dokumentace města data ze sčítání v roce 1991. V době mezi tímto a připravovaným cenzem v roce 2001 se průběžně sledoval vývoj obyvatelstvo v omezeném rozsahu a v maximální podrobnosti za území obcí. Jako ilustraci vývoje obyvatelstva města je uveden vývoj přirozenou měnou a migrací v období od 1. 1. 1991 do 31. 12. 1999.</w:t>
      </w:r>
    </w:p>
    <w:p w14:paraId="02D9A921" w14:textId="77777777" w:rsidR="00CA23D0" w:rsidRPr="00E30642" w:rsidRDefault="00CA23D0" w:rsidP="00CA23D0">
      <w:pPr>
        <w:pStyle w:val="Zkladntext"/>
        <w:spacing w:line="240" w:lineRule="atLeast"/>
        <w:ind w:firstLine="708"/>
        <w:jc w:val="both"/>
        <w:rPr>
          <w:rFonts w:ascii="Arial" w:hAnsi="Arial" w:cs="Arial"/>
        </w:rPr>
      </w:pPr>
    </w:p>
    <w:tbl>
      <w:tblPr>
        <w:tblW w:w="0" w:type="auto"/>
        <w:tblInd w:w="8" w:type="dxa"/>
        <w:tblLayout w:type="fixed"/>
        <w:tblCellMar>
          <w:left w:w="5" w:type="dxa"/>
          <w:right w:w="5" w:type="dxa"/>
        </w:tblCellMar>
        <w:tblLook w:val="0000" w:firstRow="0" w:lastRow="0" w:firstColumn="0" w:lastColumn="0" w:noHBand="0" w:noVBand="0"/>
      </w:tblPr>
      <w:tblGrid>
        <w:gridCol w:w="851"/>
        <w:gridCol w:w="777"/>
        <w:gridCol w:w="708"/>
        <w:gridCol w:w="641"/>
        <w:gridCol w:w="709"/>
        <w:gridCol w:w="791"/>
        <w:gridCol w:w="804"/>
        <w:gridCol w:w="763"/>
        <w:gridCol w:w="764"/>
        <w:gridCol w:w="709"/>
        <w:gridCol w:w="708"/>
        <w:gridCol w:w="736"/>
      </w:tblGrid>
      <w:tr w:rsidR="00CA23D0" w:rsidRPr="00E30642" w14:paraId="0B98412A" w14:textId="77777777" w:rsidTr="00CA23D0">
        <w:tc>
          <w:tcPr>
            <w:tcW w:w="851" w:type="dxa"/>
            <w:tcBorders>
              <w:top w:val="single" w:sz="6" w:space="0" w:color="auto"/>
              <w:left w:val="single" w:sz="6" w:space="0" w:color="auto"/>
              <w:bottom w:val="single" w:sz="6" w:space="0" w:color="auto"/>
              <w:right w:val="single" w:sz="6" w:space="0" w:color="auto"/>
            </w:tcBorders>
          </w:tcPr>
          <w:p w14:paraId="733A14F4" w14:textId="77777777" w:rsidR="00CA23D0" w:rsidRPr="00E30642" w:rsidRDefault="00CA23D0" w:rsidP="00CA23D0">
            <w:pPr>
              <w:pStyle w:val="Texttabulky"/>
              <w:spacing w:line="240" w:lineRule="atLeast"/>
              <w:jc w:val="both"/>
              <w:rPr>
                <w:rFonts w:cs="Arial"/>
              </w:rPr>
            </w:pPr>
            <w:r w:rsidRPr="00E30642">
              <w:rPr>
                <w:rFonts w:cs="Arial"/>
                <w:b/>
                <w:bCs/>
              </w:rPr>
              <w:t>rok</w:t>
            </w:r>
          </w:p>
        </w:tc>
        <w:tc>
          <w:tcPr>
            <w:tcW w:w="777" w:type="dxa"/>
            <w:tcBorders>
              <w:top w:val="single" w:sz="6" w:space="0" w:color="auto"/>
              <w:left w:val="single" w:sz="6" w:space="0" w:color="auto"/>
              <w:bottom w:val="single" w:sz="6" w:space="0" w:color="auto"/>
              <w:right w:val="single" w:sz="6" w:space="0" w:color="auto"/>
            </w:tcBorders>
          </w:tcPr>
          <w:p w14:paraId="1642B6CD" w14:textId="77777777" w:rsidR="00CA23D0" w:rsidRPr="00E30642" w:rsidRDefault="00CA23D0" w:rsidP="00CA23D0">
            <w:pPr>
              <w:pStyle w:val="Texttabulky"/>
              <w:spacing w:line="240" w:lineRule="atLeast"/>
              <w:jc w:val="both"/>
              <w:rPr>
                <w:rFonts w:cs="Arial"/>
              </w:rPr>
            </w:pPr>
            <w:r w:rsidRPr="00E30642">
              <w:rPr>
                <w:rFonts w:cs="Arial"/>
                <w:b/>
                <w:bCs/>
              </w:rPr>
              <w:t>stav k 1.1.</w:t>
            </w:r>
          </w:p>
        </w:tc>
        <w:tc>
          <w:tcPr>
            <w:tcW w:w="708" w:type="dxa"/>
            <w:tcBorders>
              <w:top w:val="single" w:sz="6" w:space="0" w:color="auto"/>
              <w:left w:val="single" w:sz="6" w:space="0" w:color="auto"/>
              <w:bottom w:val="single" w:sz="6" w:space="0" w:color="auto"/>
              <w:right w:val="single" w:sz="6" w:space="0" w:color="auto"/>
            </w:tcBorders>
          </w:tcPr>
          <w:p w14:paraId="186B9F15" w14:textId="77777777" w:rsidR="00CA23D0" w:rsidRPr="00E30642" w:rsidRDefault="00CA23D0" w:rsidP="00CA23D0">
            <w:pPr>
              <w:pStyle w:val="Texttabulky"/>
              <w:spacing w:line="240" w:lineRule="atLeast"/>
              <w:jc w:val="both"/>
              <w:rPr>
                <w:rFonts w:cs="Arial"/>
              </w:rPr>
            </w:pPr>
            <w:r w:rsidRPr="00E30642">
              <w:rPr>
                <w:rFonts w:cs="Arial"/>
              </w:rPr>
              <w:t>narození</w:t>
            </w:r>
          </w:p>
        </w:tc>
        <w:tc>
          <w:tcPr>
            <w:tcW w:w="641" w:type="dxa"/>
            <w:tcBorders>
              <w:top w:val="single" w:sz="6" w:space="0" w:color="auto"/>
              <w:left w:val="single" w:sz="6" w:space="0" w:color="auto"/>
              <w:bottom w:val="single" w:sz="6" w:space="0" w:color="auto"/>
              <w:right w:val="single" w:sz="6" w:space="0" w:color="auto"/>
            </w:tcBorders>
          </w:tcPr>
          <w:p w14:paraId="73C29C7A" w14:textId="77777777" w:rsidR="00CA23D0" w:rsidRPr="00E30642" w:rsidRDefault="00CA23D0" w:rsidP="00CA23D0">
            <w:pPr>
              <w:pStyle w:val="Texttabulky"/>
              <w:spacing w:line="240" w:lineRule="atLeast"/>
              <w:jc w:val="both"/>
              <w:rPr>
                <w:rFonts w:cs="Arial"/>
              </w:rPr>
            </w:pPr>
            <w:r w:rsidRPr="00E30642">
              <w:rPr>
                <w:rFonts w:cs="Arial"/>
              </w:rPr>
              <w:t>zemřelí</w:t>
            </w:r>
          </w:p>
        </w:tc>
        <w:tc>
          <w:tcPr>
            <w:tcW w:w="709" w:type="dxa"/>
            <w:tcBorders>
              <w:top w:val="single" w:sz="6" w:space="0" w:color="auto"/>
              <w:left w:val="single" w:sz="6" w:space="0" w:color="auto"/>
              <w:bottom w:val="single" w:sz="6" w:space="0" w:color="auto"/>
              <w:right w:val="single" w:sz="6" w:space="0" w:color="auto"/>
            </w:tcBorders>
          </w:tcPr>
          <w:p w14:paraId="0BF9E8D6" w14:textId="77777777" w:rsidR="00CA23D0" w:rsidRPr="00E30642" w:rsidRDefault="00CA23D0" w:rsidP="00CA23D0">
            <w:pPr>
              <w:pStyle w:val="Texttabulky"/>
              <w:spacing w:line="240" w:lineRule="atLeast"/>
              <w:jc w:val="both"/>
              <w:rPr>
                <w:rFonts w:cs="Arial"/>
              </w:rPr>
            </w:pPr>
            <w:r w:rsidRPr="00E30642">
              <w:rPr>
                <w:rFonts w:cs="Arial"/>
              </w:rPr>
              <w:t>přirozená měna</w:t>
            </w:r>
          </w:p>
        </w:tc>
        <w:tc>
          <w:tcPr>
            <w:tcW w:w="791" w:type="dxa"/>
            <w:tcBorders>
              <w:top w:val="single" w:sz="6" w:space="0" w:color="auto"/>
              <w:left w:val="single" w:sz="6" w:space="0" w:color="auto"/>
              <w:bottom w:val="single" w:sz="6" w:space="0" w:color="auto"/>
              <w:right w:val="single" w:sz="6" w:space="0" w:color="auto"/>
            </w:tcBorders>
          </w:tcPr>
          <w:p w14:paraId="0D661E9B" w14:textId="77777777" w:rsidR="00CA23D0" w:rsidRPr="00E30642" w:rsidRDefault="00CA23D0" w:rsidP="00CA23D0">
            <w:pPr>
              <w:pStyle w:val="Texttabulky"/>
              <w:spacing w:line="240" w:lineRule="atLeast"/>
              <w:jc w:val="both"/>
              <w:rPr>
                <w:rFonts w:cs="Arial"/>
              </w:rPr>
            </w:pPr>
            <w:r w:rsidRPr="00E30642">
              <w:rPr>
                <w:rFonts w:cs="Arial"/>
              </w:rPr>
              <w:t>přistěhovalí z ČR</w:t>
            </w:r>
          </w:p>
        </w:tc>
        <w:tc>
          <w:tcPr>
            <w:tcW w:w="804" w:type="dxa"/>
            <w:tcBorders>
              <w:top w:val="single" w:sz="6" w:space="0" w:color="auto"/>
              <w:left w:val="single" w:sz="6" w:space="0" w:color="auto"/>
              <w:bottom w:val="single" w:sz="6" w:space="0" w:color="auto"/>
              <w:right w:val="single" w:sz="6" w:space="0" w:color="auto"/>
            </w:tcBorders>
          </w:tcPr>
          <w:p w14:paraId="21B0D104" w14:textId="77777777" w:rsidR="00CA23D0" w:rsidRPr="00E30642" w:rsidRDefault="00CA23D0" w:rsidP="00CA23D0">
            <w:pPr>
              <w:pStyle w:val="Texttabulky"/>
              <w:spacing w:line="240" w:lineRule="atLeast"/>
              <w:jc w:val="both"/>
              <w:rPr>
                <w:rFonts w:cs="Arial"/>
              </w:rPr>
            </w:pPr>
            <w:r w:rsidRPr="00E30642">
              <w:rPr>
                <w:rFonts w:cs="Arial"/>
              </w:rPr>
              <w:t>přistěhovalí z ciziny</w:t>
            </w:r>
          </w:p>
        </w:tc>
        <w:tc>
          <w:tcPr>
            <w:tcW w:w="763" w:type="dxa"/>
            <w:tcBorders>
              <w:top w:val="single" w:sz="6" w:space="0" w:color="auto"/>
              <w:left w:val="single" w:sz="6" w:space="0" w:color="auto"/>
              <w:bottom w:val="single" w:sz="6" w:space="0" w:color="auto"/>
              <w:right w:val="single" w:sz="6" w:space="0" w:color="auto"/>
            </w:tcBorders>
          </w:tcPr>
          <w:p w14:paraId="174F3C7B" w14:textId="77777777" w:rsidR="00CA23D0" w:rsidRPr="00E30642" w:rsidRDefault="00CA23D0" w:rsidP="00CA23D0">
            <w:pPr>
              <w:pStyle w:val="Texttabulky"/>
              <w:spacing w:line="240" w:lineRule="atLeast"/>
              <w:jc w:val="both"/>
              <w:rPr>
                <w:rFonts w:cs="Arial"/>
              </w:rPr>
            </w:pPr>
            <w:r w:rsidRPr="00E30642">
              <w:rPr>
                <w:rFonts w:cs="Arial"/>
              </w:rPr>
              <w:t>vystěhovalí do ČR</w:t>
            </w:r>
          </w:p>
        </w:tc>
        <w:tc>
          <w:tcPr>
            <w:tcW w:w="764" w:type="dxa"/>
            <w:tcBorders>
              <w:top w:val="single" w:sz="6" w:space="0" w:color="auto"/>
              <w:left w:val="single" w:sz="6" w:space="0" w:color="auto"/>
              <w:bottom w:val="single" w:sz="6" w:space="0" w:color="auto"/>
              <w:right w:val="single" w:sz="6" w:space="0" w:color="auto"/>
            </w:tcBorders>
          </w:tcPr>
          <w:p w14:paraId="55CFECBC" w14:textId="77777777" w:rsidR="00CA23D0" w:rsidRPr="00E30642" w:rsidRDefault="00CA23D0" w:rsidP="00CA23D0">
            <w:pPr>
              <w:pStyle w:val="Texttabulky"/>
              <w:spacing w:line="240" w:lineRule="atLeast"/>
              <w:jc w:val="both"/>
              <w:rPr>
                <w:rFonts w:cs="Arial"/>
              </w:rPr>
            </w:pPr>
            <w:r w:rsidRPr="00E30642">
              <w:rPr>
                <w:rFonts w:cs="Arial"/>
              </w:rPr>
              <w:t>vystěhovalí do ciziny</w:t>
            </w:r>
          </w:p>
        </w:tc>
        <w:tc>
          <w:tcPr>
            <w:tcW w:w="709" w:type="dxa"/>
            <w:tcBorders>
              <w:top w:val="single" w:sz="6" w:space="0" w:color="auto"/>
              <w:left w:val="single" w:sz="6" w:space="0" w:color="auto"/>
              <w:bottom w:val="single" w:sz="6" w:space="0" w:color="auto"/>
              <w:right w:val="single" w:sz="6" w:space="0" w:color="auto"/>
            </w:tcBorders>
          </w:tcPr>
          <w:p w14:paraId="24B9CF07" w14:textId="77777777" w:rsidR="00CA23D0" w:rsidRPr="00E30642" w:rsidRDefault="00CA23D0" w:rsidP="00CA23D0">
            <w:pPr>
              <w:pStyle w:val="Texttabulky"/>
              <w:spacing w:line="240" w:lineRule="atLeast"/>
              <w:jc w:val="both"/>
              <w:rPr>
                <w:rFonts w:cs="Arial"/>
              </w:rPr>
            </w:pPr>
            <w:r w:rsidRPr="00E30642">
              <w:rPr>
                <w:rFonts w:cs="Arial"/>
              </w:rPr>
              <w:t>přírůstek migrací</w:t>
            </w:r>
          </w:p>
        </w:tc>
        <w:tc>
          <w:tcPr>
            <w:tcW w:w="708" w:type="dxa"/>
            <w:tcBorders>
              <w:top w:val="single" w:sz="6" w:space="0" w:color="auto"/>
              <w:left w:val="single" w:sz="6" w:space="0" w:color="auto"/>
              <w:bottom w:val="single" w:sz="6" w:space="0" w:color="auto"/>
              <w:right w:val="single" w:sz="6" w:space="0" w:color="auto"/>
            </w:tcBorders>
          </w:tcPr>
          <w:p w14:paraId="0747F425" w14:textId="77777777" w:rsidR="00CA23D0" w:rsidRPr="00E30642" w:rsidRDefault="00CA23D0" w:rsidP="00CA23D0">
            <w:pPr>
              <w:pStyle w:val="Texttabulky"/>
              <w:spacing w:line="240" w:lineRule="atLeast"/>
              <w:jc w:val="both"/>
              <w:rPr>
                <w:rFonts w:cs="Arial"/>
              </w:rPr>
            </w:pPr>
            <w:r w:rsidRPr="00E30642">
              <w:rPr>
                <w:rFonts w:cs="Arial"/>
              </w:rPr>
              <w:t>přírůstek celkový</w:t>
            </w:r>
          </w:p>
        </w:tc>
        <w:tc>
          <w:tcPr>
            <w:tcW w:w="736" w:type="dxa"/>
            <w:tcBorders>
              <w:top w:val="single" w:sz="6" w:space="0" w:color="auto"/>
              <w:left w:val="single" w:sz="6" w:space="0" w:color="auto"/>
              <w:bottom w:val="single" w:sz="6" w:space="0" w:color="auto"/>
              <w:right w:val="single" w:sz="6" w:space="0" w:color="auto"/>
            </w:tcBorders>
          </w:tcPr>
          <w:p w14:paraId="6E6DF68C" w14:textId="77777777" w:rsidR="00CA23D0" w:rsidRPr="00E30642" w:rsidRDefault="00CA23D0" w:rsidP="00CA23D0">
            <w:pPr>
              <w:pStyle w:val="Texttabulky"/>
              <w:spacing w:line="240" w:lineRule="atLeast"/>
              <w:jc w:val="both"/>
              <w:rPr>
                <w:rFonts w:cs="Arial"/>
              </w:rPr>
            </w:pPr>
            <w:r w:rsidRPr="00E30642">
              <w:rPr>
                <w:rFonts w:cs="Arial"/>
              </w:rPr>
              <w:t>stav k 31.12.</w:t>
            </w:r>
          </w:p>
        </w:tc>
      </w:tr>
      <w:tr w:rsidR="00CA23D0" w:rsidRPr="00E30642" w14:paraId="3111442A" w14:textId="77777777" w:rsidTr="00CA23D0">
        <w:tc>
          <w:tcPr>
            <w:tcW w:w="851" w:type="dxa"/>
            <w:tcBorders>
              <w:top w:val="single" w:sz="6" w:space="0" w:color="auto"/>
              <w:left w:val="single" w:sz="6" w:space="0" w:color="auto"/>
              <w:bottom w:val="single" w:sz="6" w:space="0" w:color="auto"/>
              <w:right w:val="single" w:sz="6" w:space="0" w:color="auto"/>
            </w:tcBorders>
          </w:tcPr>
          <w:p w14:paraId="6B0895BD" w14:textId="77777777" w:rsidR="00CA23D0" w:rsidRPr="00E30642" w:rsidRDefault="00CA23D0" w:rsidP="00CA23D0">
            <w:pPr>
              <w:pStyle w:val="Texttabulky"/>
              <w:spacing w:line="240" w:lineRule="atLeast"/>
              <w:jc w:val="both"/>
              <w:rPr>
                <w:rFonts w:cs="Arial"/>
              </w:rPr>
            </w:pPr>
            <w:r w:rsidRPr="00E30642">
              <w:rPr>
                <w:rFonts w:cs="Arial"/>
                <w:b/>
                <w:bCs/>
              </w:rPr>
              <w:t>1 991</w:t>
            </w:r>
          </w:p>
        </w:tc>
        <w:tc>
          <w:tcPr>
            <w:tcW w:w="777" w:type="dxa"/>
            <w:tcBorders>
              <w:top w:val="single" w:sz="6" w:space="0" w:color="auto"/>
              <w:left w:val="single" w:sz="6" w:space="0" w:color="auto"/>
              <w:bottom w:val="single" w:sz="6" w:space="0" w:color="auto"/>
              <w:right w:val="single" w:sz="6" w:space="0" w:color="auto"/>
            </w:tcBorders>
          </w:tcPr>
          <w:p w14:paraId="43655751" w14:textId="77777777" w:rsidR="00CA23D0" w:rsidRPr="00E30642" w:rsidRDefault="00CA23D0" w:rsidP="00CA23D0">
            <w:pPr>
              <w:pStyle w:val="Texttabulky"/>
              <w:spacing w:line="240" w:lineRule="atLeast"/>
              <w:jc w:val="both"/>
              <w:rPr>
                <w:rFonts w:cs="Arial"/>
              </w:rPr>
            </w:pPr>
            <w:r w:rsidRPr="00E30642">
              <w:rPr>
                <w:rFonts w:cs="Arial"/>
              </w:rPr>
              <w:t>55 155</w:t>
            </w:r>
          </w:p>
        </w:tc>
        <w:tc>
          <w:tcPr>
            <w:tcW w:w="708" w:type="dxa"/>
            <w:tcBorders>
              <w:top w:val="single" w:sz="6" w:space="0" w:color="auto"/>
              <w:left w:val="single" w:sz="6" w:space="0" w:color="auto"/>
              <w:bottom w:val="single" w:sz="6" w:space="0" w:color="auto"/>
              <w:right w:val="single" w:sz="6" w:space="0" w:color="auto"/>
            </w:tcBorders>
          </w:tcPr>
          <w:p w14:paraId="21D38862" w14:textId="77777777" w:rsidR="00CA23D0" w:rsidRPr="00E30642" w:rsidRDefault="00CA23D0" w:rsidP="00CA23D0">
            <w:pPr>
              <w:pStyle w:val="Texttabulky"/>
              <w:spacing w:line="240" w:lineRule="atLeast"/>
              <w:jc w:val="both"/>
              <w:rPr>
                <w:rFonts w:cs="Arial"/>
              </w:rPr>
            </w:pPr>
            <w:r w:rsidRPr="00E30642">
              <w:rPr>
                <w:rFonts w:cs="Arial"/>
              </w:rPr>
              <w:t>752</w:t>
            </w:r>
          </w:p>
        </w:tc>
        <w:tc>
          <w:tcPr>
            <w:tcW w:w="641" w:type="dxa"/>
            <w:tcBorders>
              <w:top w:val="single" w:sz="6" w:space="0" w:color="auto"/>
              <w:left w:val="single" w:sz="6" w:space="0" w:color="auto"/>
              <w:bottom w:val="single" w:sz="6" w:space="0" w:color="auto"/>
              <w:right w:val="single" w:sz="6" w:space="0" w:color="auto"/>
            </w:tcBorders>
          </w:tcPr>
          <w:p w14:paraId="4B23D5CB" w14:textId="77777777" w:rsidR="00CA23D0" w:rsidRPr="00E30642" w:rsidRDefault="00CA23D0" w:rsidP="00CA23D0">
            <w:pPr>
              <w:pStyle w:val="Texttabulky"/>
              <w:spacing w:line="240" w:lineRule="atLeast"/>
              <w:jc w:val="both"/>
              <w:rPr>
                <w:rFonts w:cs="Arial"/>
              </w:rPr>
            </w:pPr>
            <w:r w:rsidRPr="00E30642">
              <w:rPr>
                <w:rFonts w:cs="Arial"/>
              </w:rPr>
              <w:t>638</w:t>
            </w:r>
          </w:p>
        </w:tc>
        <w:tc>
          <w:tcPr>
            <w:tcW w:w="709" w:type="dxa"/>
            <w:tcBorders>
              <w:top w:val="single" w:sz="6" w:space="0" w:color="auto"/>
              <w:left w:val="single" w:sz="6" w:space="0" w:color="auto"/>
              <w:bottom w:val="single" w:sz="6" w:space="0" w:color="auto"/>
              <w:right w:val="single" w:sz="6" w:space="0" w:color="auto"/>
            </w:tcBorders>
          </w:tcPr>
          <w:p w14:paraId="38CD9D72" w14:textId="77777777" w:rsidR="00CA23D0" w:rsidRPr="00E30642" w:rsidRDefault="00CA23D0" w:rsidP="00CA23D0">
            <w:pPr>
              <w:pStyle w:val="Texttabulky"/>
              <w:spacing w:line="240" w:lineRule="atLeast"/>
              <w:jc w:val="both"/>
              <w:rPr>
                <w:rFonts w:cs="Arial"/>
              </w:rPr>
            </w:pPr>
            <w:r w:rsidRPr="00E30642">
              <w:rPr>
                <w:rFonts w:cs="Arial"/>
              </w:rPr>
              <w:t>114</w:t>
            </w:r>
          </w:p>
        </w:tc>
        <w:tc>
          <w:tcPr>
            <w:tcW w:w="791" w:type="dxa"/>
            <w:tcBorders>
              <w:top w:val="single" w:sz="6" w:space="0" w:color="auto"/>
              <w:left w:val="single" w:sz="6" w:space="0" w:color="auto"/>
              <w:bottom w:val="single" w:sz="6" w:space="0" w:color="auto"/>
              <w:right w:val="single" w:sz="6" w:space="0" w:color="auto"/>
            </w:tcBorders>
          </w:tcPr>
          <w:p w14:paraId="431DE9F1" w14:textId="77777777" w:rsidR="00CA23D0" w:rsidRPr="00E30642" w:rsidRDefault="00CA23D0" w:rsidP="00CA23D0">
            <w:pPr>
              <w:pStyle w:val="Texttabulky"/>
              <w:spacing w:line="240" w:lineRule="atLeast"/>
              <w:jc w:val="both"/>
              <w:rPr>
                <w:rFonts w:cs="Arial"/>
              </w:rPr>
            </w:pPr>
            <w:r w:rsidRPr="00E30642">
              <w:rPr>
                <w:rFonts w:cs="Arial"/>
              </w:rPr>
              <w:t>776</w:t>
            </w:r>
          </w:p>
        </w:tc>
        <w:tc>
          <w:tcPr>
            <w:tcW w:w="804" w:type="dxa"/>
            <w:tcBorders>
              <w:top w:val="single" w:sz="6" w:space="0" w:color="auto"/>
              <w:left w:val="single" w:sz="6" w:space="0" w:color="auto"/>
              <w:bottom w:val="single" w:sz="6" w:space="0" w:color="auto"/>
              <w:right w:val="single" w:sz="6" w:space="0" w:color="auto"/>
            </w:tcBorders>
          </w:tcPr>
          <w:p w14:paraId="6DA49FFC" w14:textId="77777777" w:rsidR="00CA23D0" w:rsidRPr="00E30642" w:rsidRDefault="00CA23D0" w:rsidP="00CA23D0">
            <w:pPr>
              <w:pStyle w:val="Texttabulky"/>
              <w:spacing w:line="240" w:lineRule="atLeast"/>
              <w:jc w:val="both"/>
              <w:rPr>
                <w:rFonts w:cs="Arial"/>
              </w:rPr>
            </w:pPr>
            <w:r w:rsidRPr="00E30642">
              <w:rPr>
                <w:rFonts w:cs="Arial"/>
              </w:rPr>
              <w:t>83</w:t>
            </w:r>
          </w:p>
        </w:tc>
        <w:tc>
          <w:tcPr>
            <w:tcW w:w="763" w:type="dxa"/>
            <w:tcBorders>
              <w:top w:val="single" w:sz="6" w:space="0" w:color="auto"/>
              <w:left w:val="single" w:sz="6" w:space="0" w:color="auto"/>
              <w:bottom w:val="single" w:sz="6" w:space="0" w:color="auto"/>
              <w:right w:val="single" w:sz="6" w:space="0" w:color="auto"/>
            </w:tcBorders>
          </w:tcPr>
          <w:p w14:paraId="5F9A73CA" w14:textId="77777777" w:rsidR="00CA23D0" w:rsidRPr="00E30642" w:rsidRDefault="00CA23D0" w:rsidP="00CA23D0">
            <w:pPr>
              <w:pStyle w:val="Texttabulky"/>
              <w:spacing w:line="240" w:lineRule="atLeast"/>
              <w:jc w:val="both"/>
              <w:rPr>
                <w:rFonts w:cs="Arial"/>
              </w:rPr>
            </w:pPr>
            <w:r w:rsidRPr="00E30642">
              <w:rPr>
                <w:rFonts w:cs="Arial"/>
              </w:rPr>
              <w:t>960</w:t>
            </w:r>
          </w:p>
        </w:tc>
        <w:tc>
          <w:tcPr>
            <w:tcW w:w="764" w:type="dxa"/>
            <w:tcBorders>
              <w:top w:val="single" w:sz="6" w:space="0" w:color="auto"/>
              <w:left w:val="single" w:sz="6" w:space="0" w:color="auto"/>
              <w:bottom w:val="single" w:sz="6" w:space="0" w:color="auto"/>
              <w:right w:val="single" w:sz="6" w:space="0" w:color="auto"/>
            </w:tcBorders>
          </w:tcPr>
          <w:p w14:paraId="4359064B" w14:textId="77777777" w:rsidR="00CA23D0" w:rsidRPr="00E30642" w:rsidRDefault="00CA23D0" w:rsidP="00CA23D0">
            <w:pPr>
              <w:pStyle w:val="Texttabulky"/>
              <w:spacing w:line="240" w:lineRule="atLeast"/>
              <w:jc w:val="both"/>
              <w:rPr>
                <w:rFonts w:cs="Arial"/>
              </w:rPr>
            </w:pPr>
            <w:r w:rsidRPr="00E30642">
              <w:rPr>
                <w:rFonts w:cs="Arial"/>
              </w:rPr>
              <w:t>23</w:t>
            </w:r>
          </w:p>
        </w:tc>
        <w:tc>
          <w:tcPr>
            <w:tcW w:w="709" w:type="dxa"/>
            <w:tcBorders>
              <w:top w:val="single" w:sz="6" w:space="0" w:color="auto"/>
              <w:left w:val="single" w:sz="6" w:space="0" w:color="auto"/>
              <w:bottom w:val="single" w:sz="6" w:space="0" w:color="auto"/>
              <w:right w:val="single" w:sz="6" w:space="0" w:color="auto"/>
            </w:tcBorders>
          </w:tcPr>
          <w:p w14:paraId="49533307" w14:textId="77777777" w:rsidR="00CA23D0" w:rsidRPr="00E30642" w:rsidRDefault="00CA23D0" w:rsidP="00CA23D0">
            <w:pPr>
              <w:pStyle w:val="Texttabulky"/>
              <w:spacing w:line="240" w:lineRule="atLeast"/>
              <w:jc w:val="both"/>
              <w:rPr>
                <w:rFonts w:cs="Arial"/>
              </w:rPr>
            </w:pPr>
            <w:r w:rsidRPr="00E30642">
              <w:rPr>
                <w:rFonts w:cs="Arial"/>
              </w:rPr>
              <w:t>-124</w:t>
            </w:r>
          </w:p>
        </w:tc>
        <w:tc>
          <w:tcPr>
            <w:tcW w:w="708" w:type="dxa"/>
            <w:tcBorders>
              <w:top w:val="single" w:sz="6" w:space="0" w:color="auto"/>
              <w:left w:val="single" w:sz="6" w:space="0" w:color="auto"/>
              <w:bottom w:val="single" w:sz="6" w:space="0" w:color="auto"/>
              <w:right w:val="single" w:sz="6" w:space="0" w:color="auto"/>
            </w:tcBorders>
          </w:tcPr>
          <w:p w14:paraId="17D96DD6" w14:textId="77777777" w:rsidR="00CA23D0" w:rsidRPr="00E30642" w:rsidRDefault="00CA23D0" w:rsidP="00CA23D0">
            <w:pPr>
              <w:pStyle w:val="Texttabulky"/>
              <w:spacing w:line="240" w:lineRule="atLeast"/>
              <w:jc w:val="both"/>
              <w:rPr>
                <w:rFonts w:cs="Arial"/>
              </w:rPr>
            </w:pPr>
            <w:r w:rsidRPr="00E30642">
              <w:rPr>
                <w:rFonts w:cs="Arial"/>
              </w:rPr>
              <w:t>-10</w:t>
            </w:r>
          </w:p>
        </w:tc>
        <w:tc>
          <w:tcPr>
            <w:tcW w:w="736" w:type="dxa"/>
            <w:tcBorders>
              <w:top w:val="single" w:sz="6" w:space="0" w:color="auto"/>
              <w:left w:val="single" w:sz="6" w:space="0" w:color="auto"/>
              <w:bottom w:val="single" w:sz="6" w:space="0" w:color="auto"/>
              <w:right w:val="single" w:sz="6" w:space="0" w:color="auto"/>
            </w:tcBorders>
          </w:tcPr>
          <w:p w14:paraId="0B575980" w14:textId="77777777" w:rsidR="00CA23D0" w:rsidRPr="00E30642" w:rsidRDefault="00CA23D0" w:rsidP="00CA23D0">
            <w:pPr>
              <w:pStyle w:val="Texttabulky"/>
              <w:spacing w:line="240" w:lineRule="atLeast"/>
              <w:jc w:val="both"/>
              <w:rPr>
                <w:rFonts w:cs="Arial"/>
              </w:rPr>
            </w:pPr>
            <w:r w:rsidRPr="00E30642">
              <w:rPr>
                <w:rFonts w:cs="Arial"/>
              </w:rPr>
              <w:t>55 145</w:t>
            </w:r>
          </w:p>
        </w:tc>
      </w:tr>
      <w:tr w:rsidR="00CA23D0" w:rsidRPr="00E30642" w14:paraId="3D2C593F" w14:textId="77777777" w:rsidTr="00CA23D0">
        <w:tc>
          <w:tcPr>
            <w:tcW w:w="851" w:type="dxa"/>
            <w:tcBorders>
              <w:top w:val="single" w:sz="6" w:space="0" w:color="auto"/>
              <w:left w:val="single" w:sz="6" w:space="0" w:color="auto"/>
              <w:bottom w:val="single" w:sz="6" w:space="0" w:color="auto"/>
              <w:right w:val="single" w:sz="6" w:space="0" w:color="auto"/>
            </w:tcBorders>
          </w:tcPr>
          <w:p w14:paraId="7E70CFBA" w14:textId="77777777" w:rsidR="00CA23D0" w:rsidRPr="00E30642" w:rsidRDefault="00CA23D0" w:rsidP="00CA23D0">
            <w:pPr>
              <w:pStyle w:val="Texttabulky"/>
              <w:spacing w:line="240" w:lineRule="atLeast"/>
              <w:jc w:val="both"/>
              <w:rPr>
                <w:rFonts w:cs="Arial"/>
              </w:rPr>
            </w:pPr>
            <w:r w:rsidRPr="00E30642">
              <w:rPr>
                <w:rFonts w:cs="Arial"/>
                <w:b/>
                <w:bCs/>
              </w:rPr>
              <w:t>1 992</w:t>
            </w:r>
          </w:p>
        </w:tc>
        <w:tc>
          <w:tcPr>
            <w:tcW w:w="777" w:type="dxa"/>
            <w:tcBorders>
              <w:top w:val="single" w:sz="6" w:space="0" w:color="auto"/>
              <w:left w:val="single" w:sz="6" w:space="0" w:color="auto"/>
              <w:bottom w:val="single" w:sz="6" w:space="0" w:color="auto"/>
              <w:right w:val="single" w:sz="6" w:space="0" w:color="auto"/>
            </w:tcBorders>
          </w:tcPr>
          <w:p w14:paraId="48DE15EB" w14:textId="77777777" w:rsidR="00CA23D0" w:rsidRPr="00E30642" w:rsidRDefault="00CA23D0" w:rsidP="00CA23D0">
            <w:pPr>
              <w:pStyle w:val="Texttabulky"/>
              <w:spacing w:line="240" w:lineRule="atLeast"/>
              <w:jc w:val="both"/>
              <w:rPr>
                <w:rFonts w:cs="Arial"/>
              </w:rPr>
            </w:pPr>
            <w:r w:rsidRPr="00E30642">
              <w:rPr>
                <w:rFonts w:cs="Arial"/>
              </w:rPr>
              <w:t>54 351</w:t>
            </w:r>
          </w:p>
        </w:tc>
        <w:tc>
          <w:tcPr>
            <w:tcW w:w="708" w:type="dxa"/>
            <w:tcBorders>
              <w:top w:val="single" w:sz="6" w:space="0" w:color="auto"/>
              <w:left w:val="single" w:sz="6" w:space="0" w:color="auto"/>
              <w:bottom w:val="single" w:sz="6" w:space="0" w:color="auto"/>
              <w:right w:val="single" w:sz="6" w:space="0" w:color="auto"/>
            </w:tcBorders>
          </w:tcPr>
          <w:p w14:paraId="0AFBC240" w14:textId="77777777" w:rsidR="00CA23D0" w:rsidRPr="00E30642" w:rsidRDefault="00CA23D0" w:rsidP="00CA23D0">
            <w:pPr>
              <w:pStyle w:val="Texttabulky"/>
              <w:spacing w:line="240" w:lineRule="atLeast"/>
              <w:jc w:val="both"/>
              <w:rPr>
                <w:rFonts w:cs="Arial"/>
              </w:rPr>
            </w:pPr>
            <w:r w:rsidRPr="00E30642">
              <w:rPr>
                <w:rFonts w:cs="Arial"/>
              </w:rPr>
              <w:t>651</w:t>
            </w:r>
          </w:p>
        </w:tc>
        <w:tc>
          <w:tcPr>
            <w:tcW w:w="641" w:type="dxa"/>
            <w:tcBorders>
              <w:top w:val="single" w:sz="6" w:space="0" w:color="auto"/>
              <w:left w:val="single" w:sz="6" w:space="0" w:color="auto"/>
              <w:bottom w:val="single" w:sz="6" w:space="0" w:color="auto"/>
              <w:right w:val="single" w:sz="6" w:space="0" w:color="auto"/>
            </w:tcBorders>
          </w:tcPr>
          <w:p w14:paraId="7757B79C" w14:textId="77777777" w:rsidR="00CA23D0" w:rsidRPr="00E30642" w:rsidRDefault="00CA23D0" w:rsidP="00CA23D0">
            <w:pPr>
              <w:pStyle w:val="Texttabulky"/>
              <w:spacing w:line="240" w:lineRule="atLeast"/>
              <w:jc w:val="both"/>
              <w:rPr>
                <w:rFonts w:cs="Arial"/>
              </w:rPr>
            </w:pPr>
            <w:r w:rsidRPr="00E30642">
              <w:rPr>
                <w:rFonts w:cs="Arial"/>
              </w:rPr>
              <w:t>594</w:t>
            </w:r>
          </w:p>
        </w:tc>
        <w:tc>
          <w:tcPr>
            <w:tcW w:w="709" w:type="dxa"/>
            <w:tcBorders>
              <w:top w:val="single" w:sz="6" w:space="0" w:color="auto"/>
              <w:left w:val="single" w:sz="6" w:space="0" w:color="auto"/>
              <w:bottom w:val="single" w:sz="6" w:space="0" w:color="auto"/>
              <w:right w:val="single" w:sz="6" w:space="0" w:color="auto"/>
            </w:tcBorders>
          </w:tcPr>
          <w:p w14:paraId="7B2BDBDF" w14:textId="77777777" w:rsidR="00CA23D0" w:rsidRPr="00E30642" w:rsidRDefault="00CA23D0" w:rsidP="00CA23D0">
            <w:pPr>
              <w:pStyle w:val="Texttabulky"/>
              <w:spacing w:line="240" w:lineRule="atLeast"/>
              <w:jc w:val="both"/>
              <w:rPr>
                <w:rFonts w:cs="Arial"/>
              </w:rPr>
            </w:pPr>
            <w:r w:rsidRPr="00E30642">
              <w:rPr>
                <w:rFonts w:cs="Arial"/>
              </w:rPr>
              <w:t>57</w:t>
            </w:r>
          </w:p>
        </w:tc>
        <w:tc>
          <w:tcPr>
            <w:tcW w:w="791" w:type="dxa"/>
            <w:tcBorders>
              <w:top w:val="single" w:sz="6" w:space="0" w:color="auto"/>
              <w:left w:val="single" w:sz="6" w:space="0" w:color="auto"/>
              <w:bottom w:val="single" w:sz="6" w:space="0" w:color="auto"/>
              <w:right w:val="single" w:sz="6" w:space="0" w:color="auto"/>
            </w:tcBorders>
          </w:tcPr>
          <w:p w14:paraId="5C9EF21F" w14:textId="77777777" w:rsidR="00CA23D0" w:rsidRPr="00E30642" w:rsidRDefault="00CA23D0" w:rsidP="00CA23D0">
            <w:pPr>
              <w:pStyle w:val="Texttabulky"/>
              <w:spacing w:line="240" w:lineRule="atLeast"/>
              <w:jc w:val="both"/>
              <w:rPr>
                <w:rFonts w:cs="Arial"/>
              </w:rPr>
            </w:pPr>
            <w:r w:rsidRPr="00E30642">
              <w:rPr>
                <w:rFonts w:cs="Arial"/>
              </w:rPr>
              <w:t>676</w:t>
            </w:r>
          </w:p>
        </w:tc>
        <w:tc>
          <w:tcPr>
            <w:tcW w:w="804" w:type="dxa"/>
            <w:tcBorders>
              <w:top w:val="single" w:sz="6" w:space="0" w:color="auto"/>
              <w:left w:val="single" w:sz="6" w:space="0" w:color="auto"/>
              <w:bottom w:val="single" w:sz="6" w:space="0" w:color="auto"/>
              <w:right w:val="single" w:sz="6" w:space="0" w:color="auto"/>
            </w:tcBorders>
          </w:tcPr>
          <w:p w14:paraId="58BB6FB1" w14:textId="77777777" w:rsidR="00CA23D0" w:rsidRPr="00E30642" w:rsidRDefault="00CA23D0" w:rsidP="00CA23D0">
            <w:pPr>
              <w:pStyle w:val="Texttabulky"/>
              <w:spacing w:line="240" w:lineRule="atLeast"/>
              <w:jc w:val="both"/>
              <w:rPr>
                <w:rFonts w:cs="Arial"/>
              </w:rPr>
            </w:pPr>
            <w:r w:rsidRPr="00E30642">
              <w:rPr>
                <w:rFonts w:cs="Arial"/>
              </w:rPr>
              <w:t>91</w:t>
            </w:r>
          </w:p>
        </w:tc>
        <w:tc>
          <w:tcPr>
            <w:tcW w:w="763" w:type="dxa"/>
            <w:tcBorders>
              <w:top w:val="single" w:sz="6" w:space="0" w:color="auto"/>
              <w:left w:val="single" w:sz="6" w:space="0" w:color="auto"/>
              <w:bottom w:val="single" w:sz="6" w:space="0" w:color="auto"/>
              <w:right w:val="single" w:sz="6" w:space="0" w:color="auto"/>
            </w:tcBorders>
          </w:tcPr>
          <w:p w14:paraId="29B8D0BD" w14:textId="77777777" w:rsidR="00CA23D0" w:rsidRPr="00E30642" w:rsidRDefault="00CA23D0" w:rsidP="00CA23D0">
            <w:pPr>
              <w:pStyle w:val="Texttabulky"/>
              <w:spacing w:line="240" w:lineRule="atLeast"/>
              <w:jc w:val="both"/>
              <w:rPr>
                <w:rFonts w:cs="Arial"/>
              </w:rPr>
            </w:pPr>
            <w:r w:rsidRPr="00E30642">
              <w:rPr>
                <w:rFonts w:cs="Arial"/>
              </w:rPr>
              <w:t>943</w:t>
            </w:r>
          </w:p>
        </w:tc>
        <w:tc>
          <w:tcPr>
            <w:tcW w:w="764" w:type="dxa"/>
            <w:tcBorders>
              <w:top w:val="single" w:sz="6" w:space="0" w:color="auto"/>
              <w:left w:val="single" w:sz="6" w:space="0" w:color="auto"/>
              <w:bottom w:val="single" w:sz="6" w:space="0" w:color="auto"/>
              <w:right w:val="single" w:sz="6" w:space="0" w:color="auto"/>
            </w:tcBorders>
          </w:tcPr>
          <w:p w14:paraId="322CAAAB" w14:textId="77777777" w:rsidR="00CA23D0" w:rsidRPr="00E30642" w:rsidRDefault="00CA23D0" w:rsidP="00CA23D0">
            <w:pPr>
              <w:pStyle w:val="Texttabulky"/>
              <w:spacing w:line="240" w:lineRule="atLeast"/>
              <w:jc w:val="both"/>
              <w:rPr>
                <w:rFonts w:cs="Arial"/>
              </w:rPr>
            </w:pPr>
            <w:r w:rsidRPr="00E30642">
              <w:rPr>
                <w:rFonts w:cs="Arial"/>
              </w:rPr>
              <w:t>14</w:t>
            </w:r>
          </w:p>
        </w:tc>
        <w:tc>
          <w:tcPr>
            <w:tcW w:w="709" w:type="dxa"/>
            <w:tcBorders>
              <w:top w:val="single" w:sz="6" w:space="0" w:color="auto"/>
              <w:left w:val="single" w:sz="6" w:space="0" w:color="auto"/>
              <w:bottom w:val="single" w:sz="6" w:space="0" w:color="auto"/>
              <w:right w:val="single" w:sz="6" w:space="0" w:color="auto"/>
            </w:tcBorders>
          </w:tcPr>
          <w:p w14:paraId="769C2AF3" w14:textId="77777777" w:rsidR="00CA23D0" w:rsidRPr="00E30642" w:rsidRDefault="00CA23D0" w:rsidP="00CA23D0">
            <w:pPr>
              <w:pStyle w:val="Texttabulky"/>
              <w:spacing w:line="240" w:lineRule="atLeast"/>
              <w:jc w:val="both"/>
              <w:rPr>
                <w:rFonts w:cs="Arial"/>
              </w:rPr>
            </w:pPr>
            <w:r w:rsidRPr="00E30642">
              <w:rPr>
                <w:rFonts w:cs="Arial"/>
              </w:rPr>
              <w:t>-190</w:t>
            </w:r>
          </w:p>
        </w:tc>
        <w:tc>
          <w:tcPr>
            <w:tcW w:w="708" w:type="dxa"/>
            <w:tcBorders>
              <w:top w:val="single" w:sz="6" w:space="0" w:color="auto"/>
              <w:left w:val="single" w:sz="6" w:space="0" w:color="auto"/>
              <w:bottom w:val="single" w:sz="6" w:space="0" w:color="auto"/>
              <w:right w:val="single" w:sz="6" w:space="0" w:color="auto"/>
            </w:tcBorders>
          </w:tcPr>
          <w:p w14:paraId="60289B65" w14:textId="77777777" w:rsidR="00CA23D0" w:rsidRPr="00E30642" w:rsidRDefault="00CA23D0" w:rsidP="00CA23D0">
            <w:pPr>
              <w:pStyle w:val="Texttabulky"/>
              <w:spacing w:line="240" w:lineRule="atLeast"/>
              <w:jc w:val="both"/>
              <w:rPr>
                <w:rFonts w:cs="Arial"/>
              </w:rPr>
            </w:pPr>
            <w:r w:rsidRPr="00E30642">
              <w:rPr>
                <w:rFonts w:cs="Arial"/>
              </w:rPr>
              <w:t>-133</w:t>
            </w:r>
          </w:p>
        </w:tc>
        <w:tc>
          <w:tcPr>
            <w:tcW w:w="736" w:type="dxa"/>
            <w:tcBorders>
              <w:top w:val="single" w:sz="6" w:space="0" w:color="auto"/>
              <w:left w:val="single" w:sz="6" w:space="0" w:color="auto"/>
              <w:bottom w:val="single" w:sz="6" w:space="0" w:color="auto"/>
              <w:right w:val="single" w:sz="6" w:space="0" w:color="auto"/>
            </w:tcBorders>
          </w:tcPr>
          <w:p w14:paraId="10DE59EB" w14:textId="77777777" w:rsidR="00CA23D0" w:rsidRPr="00E30642" w:rsidRDefault="00CA23D0" w:rsidP="00CA23D0">
            <w:pPr>
              <w:pStyle w:val="Texttabulky"/>
              <w:spacing w:line="240" w:lineRule="atLeast"/>
              <w:jc w:val="both"/>
              <w:rPr>
                <w:rFonts w:cs="Arial"/>
              </w:rPr>
            </w:pPr>
            <w:r w:rsidRPr="00E30642">
              <w:rPr>
                <w:rFonts w:cs="Arial"/>
              </w:rPr>
              <w:t>54 218</w:t>
            </w:r>
          </w:p>
        </w:tc>
      </w:tr>
      <w:tr w:rsidR="00CA23D0" w:rsidRPr="00E30642" w14:paraId="6CF92CF0" w14:textId="77777777" w:rsidTr="00CA23D0">
        <w:tc>
          <w:tcPr>
            <w:tcW w:w="851" w:type="dxa"/>
            <w:tcBorders>
              <w:top w:val="single" w:sz="6" w:space="0" w:color="auto"/>
              <w:left w:val="single" w:sz="6" w:space="0" w:color="auto"/>
              <w:bottom w:val="single" w:sz="6" w:space="0" w:color="auto"/>
              <w:right w:val="single" w:sz="6" w:space="0" w:color="auto"/>
            </w:tcBorders>
          </w:tcPr>
          <w:p w14:paraId="6968ADA9" w14:textId="77777777" w:rsidR="00CA23D0" w:rsidRPr="00E30642" w:rsidRDefault="00CA23D0" w:rsidP="00CA23D0">
            <w:pPr>
              <w:pStyle w:val="Texttabulky"/>
              <w:spacing w:line="240" w:lineRule="atLeast"/>
              <w:jc w:val="both"/>
              <w:rPr>
                <w:rFonts w:cs="Arial"/>
              </w:rPr>
            </w:pPr>
            <w:r w:rsidRPr="00E30642">
              <w:rPr>
                <w:rFonts w:cs="Arial"/>
                <w:b/>
                <w:bCs/>
              </w:rPr>
              <w:t>1 993</w:t>
            </w:r>
          </w:p>
        </w:tc>
        <w:tc>
          <w:tcPr>
            <w:tcW w:w="777" w:type="dxa"/>
            <w:tcBorders>
              <w:top w:val="single" w:sz="6" w:space="0" w:color="auto"/>
              <w:left w:val="single" w:sz="6" w:space="0" w:color="auto"/>
              <w:bottom w:val="single" w:sz="6" w:space="0" w:color="auto"/>
              <w:right w:val="single" w:sz="6" w:space="0" w:color="auto"/>
            </w:tcBorders>
          </w:tcPr>
          <w:p w14:paraId="6FDB1C2F" w14:textId="77777777" w:rsidR="00CA23D0" w:rsidRPr="00E30642" w:rsidRDefault="00CA23D0" w:rsidP="00CA23D0">
            <w:pPr>
              <w:pStyle w:val="Texttabulky"/>
              <w:spacing w:line="240" w:lineRule="atLeast"/>
              <w:jc w:val="both"/>
              <w:rPr>
                <w:rFonts w:cs="Arial"/>
              </w:rPr>
            </w:pPr>
            <w:r w:rsidRPr="00E30642">
              <w:rPr>
                <w:rFonts w:cs="Arial"/>
              </w:rPr>
              <w:t>54 218</w:t>
            </w:r>
          </w:p>
        </w:tc>
        <w:tc>
          <w:tcPr>
            <w:tcW w:w="708" w:type="dxa"/>
            <w:tcBorders>
              <w:top w:val="single" w:sz="6" w:space="0" w:color="auto"/>
              <w:left w:val="single" w:sz="6" w:space="0" w:color="auto"/>
              <w:bottom w:val="single" w:sz="6" w:space="0" w:color="auto"/>
              <w:right w:val="single" w:sz="6" w:space="0" w:color="auto"/>
            </w:tcBorders>
          </w:tcPr>
          <w:p w14:paraId="43D53794" w14:textId="77777777" w:rsidR="00CA23D0" w:rsidRPr="00E30642" w:rsidRDefault="00CA23D0" w:rsidP="00CA23D0">
            <w:pPr>
              <w:pStyle w:val="Texttabulky"/>
              <w:spacing w:line="240" w:lineRule="atLeast"/>
              <w:jc w:val="both"/>
              <w:rPr>
                <w:rFonts w:cs="Arial"/>
              </w:rPr>
            </w:pPr>
            <w:r w:rsidRPr="00E30642">
              <w:rPr>
                <w:rFonts w:cs="Arial"/>
              </w:rPr>
              <w:t>707</w:t>
            </w:r>
          </w:p>
        </w:tc>
        <w:tc>
          <w:tcPr>
            <w:tcW w:w="641" w:type="dxa"/>
            <w:tcBorders>
              <w:top w:val="single" w:sz="6" w:space="0" w:color="auto"/>
              <w:left w:val="single" w:sz="6" w:space="0" w:color="auto"/>
              <w:bottom w:val="single" w:sz="6" w:space="0" w:color="auto"/>
              <w:right w:val="single" w:sz="6" w:space="0" w:color="auto"/>
            </w:tcBorders>
          </w:tcPr>
          <w:p w14:paraId="65C1F005" w14:textId="77777777" w:rsidR="00CA23D0" w:rsidRPr="00E30642" w:rsidRDefault="00CA23D0" w:rsidP="00CA23D0">
            <w:pPr>
              <w:pStyle w:val="Texttabulky"/>
              <w:spacing w:line="240" w:lineRule="atLeast"/>
              <w:jc w:val="both"/>
              <w:rPr>
                <w:rFonts w:cs="Arial"/>
              </w:rPr>
            </w:pPr>
            <w:r w:rsidRPr="00E30642">
              <w:rPr>
                <w:rFonts w:cs="Arial"/>
              </w:rPr>
              <w:t>553</w:t>
            </w:r>
          </w:p>
        </w:tc>
        <w:tc>
          <w:tcPr>
            <w:tcW w:w="709" w:type="dxa"/>
            <w:tcBorders>
              <w:top w:val="single" w:sz="6" w:space="0" w:color="auto"/>
              <w:left w:val="single" w:sz="6" w:space="0" w:color="auto"/>
              <w:bottom w:val="single" w:sz="6" w:space="0" w:color="auto"/>
              <w:right w:val="single" w:sz="6" w:space="0" w:color="auto"/>
            </w:tcBorders>
          </w:tcPr>
          <w:p w14:paraId="5C21E60D" w14:textId="77777777" w:rsidR="00CA23D0" w:rsidRPr="00E30642" w:rsidRDefault="00CA23D0" w:rsidP="00CA23D0">
            <w:pPr>
              <w:pStyle w:val="Texttabulky"/>
              <w:spacing w:line="240" w:lineRule="atLeast"/>
              <w:jc w:val="both"/>
              <w:rPr>
                <w:rFonts w:cs="Arial"/>
              </w:rPr>
            </w:pPr>
            <w:r w:rsidRPr="00E30642">
              <w:rPr>
                <w:rFonts w:cs="Arial"/>
              </w:rPr>
              <w:t>154</w:t>
            </w:r>
          </w:p>
        </w:tc>
        <w:tc>
          <w:tcPr>
            <w:tcW w:w="791" w:type="dxa"/>
            <w:tcBorders>
              <w:top w:val="single" w:sz="6" w:space="0" w:color="auto"/>
              <w:left w:val="single" w:sz="6" w:space="0" w:color="auto"/>
              <w:bottom w:val="single" w:sz="6" w:space="0" w:color="auto"/>
              <w:right w:val="single" w:sz="6" w:space="0" w:color="auto"/>
            </w:tcBorders>
          </w:tcPr>
          <w:p w14:paraId="1B8372B1" w14:textId="77777777" w:rsidR="00CA23D0" w:rsidRPr="00E30642" w:rsidRDefault="00CA23D0" w:rsidP="00CA23D0">
            <w:pPr>
              <w:pStyle w:val="Texttabulky"/>
              <w:spacing w:line="240" w:lineRule="atLeast"/>
              <w:jc w:val="both"/>
              <w:rPr>
                <w:rFonts w:cs="Arial"/>
              </w:rPr>
            </w:pPr>
            <w:r w:rsidRPr="00E30642">
              <w:rPr>
                <w:rFonts w:cs="Arial"/>
              </w:rPr>
              <w:t>632</w:t>
            </w:r>
          </w:p>
        </w:tc>
        <w:tc>
          <w:tcPr>
            <w:tcW w:w="804" w:type="dxa"/>
            <w:tcBorders>
              <w:top w:val="single" w:sz="6" w:space="0" w:color="auto"/>
              <w:left w:val="single" w:sz="6" w:space="0" w:color="auto"/>
              <w:bottom w:val="single" w:sz="6" w:space="0" w:color="auto"/>
              <w:right w:val="single" w:sz="6" w:space="0" w:color="auto"/>
            </w:tcBorders>
          </w:tcPr>
          <w:p w14:paraId="1CD3AE58" w14:textId="77777777" w:rsidR="00CA23D0" w:rsidRPr="00E30642" w:rsidRDefault="00CA23D0" w:rsidP="00CA23D0">
            <w:pPr>
              <w:pStyle w:val="Texttabulky"/>
              <w:spacing w:line="240" w:lineRule="atLeast"/>
              <w:jc w:val="both"/>
              <w:rPr>
                <w:rFonts w:cs="Arial"/>
              </w:rPr>
            </w:pPr>
            <w:r w:rsidRPr="00E30642">
              <w:rPr>
                <w:rFonts w:cs="Arial"/>
              </w:rPr>
              <w:t>65</w:t>
            </w:r>
          </w:p>
        </w:tc>
        <w:tc>
          <w:tcPr>
            <w:tcW w:w="763" w:type="dxa"/>
            <w:tcBorders>
              <w:top w:val="single" w:sz="6" w:space="0" w:color="auto"/>
              <w:left w:val="single" w:sz="6" w:space="0" w:color="auto"/>
              <w:bottom w:val="single" w:sz="6" w:space="0" w:color="auto"/>
              <w:right w:val="single" w:sz="6" w:space="0" w:color="auto"/>
            </w:tcBorders>
          </w:tcPr>
          <w:p w14:paraId="7FD428BA" w14:textId="77777777" w:rsidR="00CA23D0" w:rsidRPr="00E30642" w:rsidRDefault="00CA23D0" w:rsidP="00CA23D0">
            <w:pPr>
              <w:pStyle w:val="Texttabulky"/>
              <w:spacing w:line="240" w:lineRule="atLeast"/>
              <w:jc w:val="both"/>
              <w:rPr>
                <w:rFonts w:cs="Arial"/>
              </w:rPr>
            </w:pPr>
            <w:r w:rsidRPr="00E30642">
              <w:rPr>
                <w:rFonts w:cs="Arial"/>
              </w:rPr>
              <w:t>849</w:t>
            </w:r>
          </w:p>
        </w:tc>
        <w:tc>
          <w:tcPr>
            <w:tcW w:w="764" w:type="dxa"/>
            <w:tcBorders>
              <w:top w:val="single" w:sz="6" w:space="0" w:color="auto"/>
              <w:left w:val="single" w:sz="6" w:space="0" w:color="auto"/>
              <w:bottom w:val="single" w:sz="6" w:space="0" w:color="auto"/>
              <w:right w:val="single" w:sz="6" w:space="0" w:color="auto"/>
            </w:tcBorders>
          </w:tcPr>
          <w:p w14:paraId="092B61B5" w14:textId="77777777" w:rsidR="00CA23D0" w:rsidRPr="00E30642" w:rsidRDefault="00CA23D0" w:rsidP="00CA23D0">
            <w:pPr>
              <w:pStyle w:val="Texttabulky"/>
              <w:spacing w:line="240" w:lineRule="atLeast"/>
              <w:jc w:val="both"/>
              <w:rPr>
                <w:rFonts w:cs="Arial"/>
              </w:rPr>
            </w:pPr>
            <w:r w:rsidRPr="00E30642">
              <w:rPr>
                <w:rFonts w:cs="Arial"/>
              </w:rPr>
              <w:t>15</w:t>
            </w:r>
          </w:p>
        </w:tc>
        <w:tc>
          <w:tcPr>
            <w:tcW w:w="709" w:type="dxa"/>
            <w:tcBorders>
              <w:top w:val="single" w:sz="6" w:space="0" w:color="auto"/>
              <w:left w:val="single" w:sz="6" w:space="0" w:color="auto"/>
              <w:bottom w:val="single" w:sz="6" w:space="0" w:color="auto"/>
              <w:right w:val="single" w:sz="6" w:space="0" w:color="auto"/>
            </w:tcBorders>
          </w:tcPr>
          <w:p w14:paraId="6050133A" w14:textId="77777777" w:rsidR="00CA23D0" w:rsidRPr="00E30642" w:rsidRDefault="00CA23D0" w:rsidP="00CA23D0">
            <w:pPr>
              <w:pStyle w:val="Texttabulky"/>
              <w:spacing w:line="240" w:lineRule="atLeast"/>
              <w:jc w:val="both"/>
              <w:rPr>
                <w:rFonts w:cs="Arial"/>
              </w:rPr>
            </w:pPr>
            <w:r w:rsidRPr="00E30642">
              <w:rPr>
                <w:rFonts w:cs="Arial"/>
              </w:rPr>
              <w:t>-167</w:t>
            </w:r>
          </w:p>
        </w:tc>
        <w:tc>
          <w:tcPr>
            <w:tcW w:w="708" w:type="dxa"/>
            <w:tcBorders>
              <w:top w:val="single" w:sz="6" w:space="0" w:color="auto"/>
              <w:left w:val="single" w:sz="6" w:space="0" w:color="auto"/>
              <w:bottom w:val="single" w:sz="6" w:space="0" w:color="auto"/>
              <w:right w:val="single" w:sz="6" w:space="0" w:color="auto"/>
            </w:tcBorders>
          </w:tcPr>
          <w:p w14:paraId="7AFE73EE" w14:textId="77777777" w:rsidR="00CA23D0" w:rsidRPr="00E30642" w:rsidRDefault="00CA23D0" w:rsidP="00CA23D0">
            <w:pPr>
              <w:pStyle w:val="Texttabulky"/>
              <w:spacing w:line="240" w:lineRule="atLeast"/>
              <w:jc w:val="both"/>
              <w:rPr>
                <w:rFonts w:cs="Arial"/>
              </w:rPr>
            </w:pPr>
            <w:r w:rsidRPr="00E30642">
              <w:rPr>
                <w:rFonts w:cs="Arial"/>
              </w:rPr>
              <w:t>-13</w:t>
            </w:r>
          </w:p>
        </w:tc>
        <w:tc>
          <w:tcPr>
            <w:tcW w:w="736" w:type="dxa"/>
            <w:tcBorders>
              <w:top w:val="single" w:sz="6" w:space="0" w:color="auto"/>
              <w:left w:val="single" w:sz="6" w:space="0" w:color="auto"/>
              <w:bottom w:val="single" w:sz="6" w:space="0" w:color="auto"/>
              <w:right w:val="single" w:sz="6" w:space="0" w:color="auto"/>
            </w:tcBorders>
          </w:tcPr>
          <w:p w14:paraId="0EB265D4" w14:textId="77777777" w:rsidR="00CA23D0" w:rsidRPr="00E30642" w:rsidRDefault="00CA23D0" w:rsidP="00CA23D0">
            <w:pPr>
              <w:pStyle w:val="Texttabulky"/>
              <w:spacing w:line="240" w:lineRule="atLeast"/>
              <w:jc w:val="both"/>
              <w:rPr>
                <w:rFonts w:cs="Arial"/>
              </w:rPr>
            </w:pPr>
            <w:r w:rsidRPr="00E30642">
              <w:rPr>
                <w:rFonts w:cs="Arial"/>
              </w:rPr>
              <w:t>54 205</w:t>
            </w:r>
          </w:p>
        </w:tc>
      </w:tr>
      <w:tr w:rsidR="00CA23D0" w:rsidRPr="00E30642" w14:paraId="22987C68" w14:textId="77777777" w:rsidTr="00CA23D0">
        <w:tc>
          <w:tcPr>
            <w:tcW w:w="851" w:type="dxa"/>
            <w:tcBorders>
              <w:top w:val="single" w:sz="6" w:space="0" w:color="auto"/>
              <w:left w:val="single" w:sz="6" w:space="0" w:color="auto"/>
              <w:bottom w:val="single" w:sz="6" w:space="0" w:color="auto"/>
              <w:right w:val="single" w:sz="6" w:space="0" w:color="auto"/>
            </w:tcBorders>
          </w:tcPr>
          <w:p w14:paraId="2E3DD27F" w14:textId="77777777" w:rsidR="00CA23D0" w:rsidRPr="00E30642" w:rsidRDefault="00CA23D0" w:rsidP="00CA23D0">
            <w:pPr>
              <w:pStyle w:val="Texttabulky"/>
              <w:spacing w:line="240" w:lineRule="atLeast"/>
              <w:jc w:val="both"/>
              <w:rPr>
                <w:rFonts w:cs="Arial"/>
              </w:rPr>
            </w:pPr>
            <w:r w:rsidRPr="00E30642">
              <w:rPr>
                <w:rFonts w:cs="Arial"/>
                <w:b/>
                <w:bCs/>
              </w:rPr>
              <w:t>1 994</w:t>
            </w:r>
          </w:p>
        </w:tc>
        <w:tc>
          <w:tcPr>
            <w:tcW w:w="777" w:type="dxa"/>
            <w:tcBorders>
              <w:top w:val="single" w:sz="6" w:space="0" w:color="auto"/>
              <w:left w:val="single" w:sz="6" w:space="0" w:color="auto"/>
              <w:bottom w:val="single" w:sz="6" w:space="0" w:color="auto"/>
              <w:right w:val="single" w:sz="6" w:space="0" w:color="auto"/>
            </w:tcBorders>
          </w:tcPr>
          <w:p w14:paraId="14C12DC7" w14:textId="77777777" w:rsidR="00CA23D0" w:rsidRPr="00E30642" w:rsidRDefault="00CA23D0" w:rsidP="00CA23D0">
            <w:pPr>
              <w:pStyle w:val="Texttabulky"/>
              <w:spacing w:line="240" w:lineRule="atLeast"/>
              <w:jc w:val="both"/>
              <w:rPr>
                <w:rFonts w:cs="Arial"/>
              </w:rPr>
            </w:pPr>
            <w:r w:rsidRPr="00E30642">
              <w:rPr>
                <w:rFonts w:cs="Arial"/>
              </w:rPr>
              <w:t>54 205</w:t>
            </w:r>
          </w:p>
        </w:tc>
        <w:tc>
          <w:tcPr>
            <w:tcW w:w="708" w:type="dxa"/>
            <w:tcBorders>
              <w:top w:val="single" w:sz="6" w:space="0" w:color="auto"/>
              <w:left w:val="single" w:sz="6" w:space="0" w:color="auto"/>
              <w:bottom w:val="single" w:sz="6" w:space="0" w:color="auto"/>
              <w:right w:val="single" w:sz="6" w:space="0" w:color="auto"/>
            </w:tcBorders>
          </w:tcPr>
          <w:p w14:paraId="5205E463" w14:textId="77777777" w:rsidR="00CA23D0" w:rsidRPr="00E30642" w:rsidRDefault="00CA23D0" w:rsidP="00CA23D0">
            <w:pPr>
              <w:pStyle w:val="Texttabulky"/>
              <w:spacing w:line="240" w:lineRule="atLeast"/>
              <w:jc w:val="both"/>
              <w:rPr>
                <w:rFonts w:cs="Arial"/>
              </w:rPr>
            </w:pPr>
            <w:r w:rsidRPr="00E30642">
              <w:rPr>
                <w:rFonts w:cs="Arial"/>
              </w:rPr>
              <w:t>544</w:t>
            </w:r>
          </w:p>
        </w:tc>
        <w:tc>
          <w:tcPr>
            <w:tcW w:w="641" w:type="dxa"/>
            <w:tcBorders>
              <w:top w:val="single" w:sz="6" w:space="0" w:color="auto"/>
              <w:left w:val="single" w:sz="6" w:space="0" w:color="auto"/>
              <w:bottom w:val="single" w:sz="6" w:space="0" w:color="auto"/>
              <w:right w:val="single" w:sz="6" w:space="0" w:color="auto"/>
            </w:tcBorders>
          </w:tcPr>
          <w:p w14:paraId="4717938A" w14:textId="77777777" w:rsidR="00CA23D0" w:rsidRPr="00E30642" w:rsidRDefault="00CA23D0" w:rsidP="00CA23D0">
            <w:pPr>
              <w:pStyle w:val="Texttabulky"/>
              <w:spacing w:line="240" w:lineRule="atLeast"/>
              <w:jc w:val="both"/>
              <w:rPr>
                <w:rFonts w:cs="Arial"/>
              </w:rPr>
            </w:pPr>
            <w:r w:rsidRPr="00E30642">
              <w:rPr>
                <w:rFonts w:cs="Arial"/>
              </w:rPr>
              <w:t>583</w:t>
            </w:r>
          </w:p>
        </w:tc>
        <w:tc>
          <w:tcPr>
            <w:tcW w:w="709" w:type="dxa"/>
            <w:tcBorders>
              <w:top w:val="single" w:sz="6" w:space="0" w:color="auto"/>
              <w:left w:val="single" w:sz="6" w:space="0" w:color="auto"/>
              <w:bottom w:val="single" w:sz="6" w:space="0" w:color="auto"/>
              <w:right w:val="single" w:sz="6" w:space="0" w:color="auto"/>
            </w:tcBorders>
          </w:tcPr>
          <w:p w14:paraId="6E83EC59" w14:textId="77777777" w:rsidR="00CA23D0" w:rsidRPr="00E30642" w:rsidRDefault="00CA23D0" w:rsidP="00CA23D0">
            <w:pPr>
              <w:pStyle w:val="Texttabulky"/>
              <w:spacing w:line="240" w:lineRule="atLeast"/>
              <w:jc w:val="both"/>
              <w:rPr>
                <w:rFonts w:cs="Arial"/>
              </w:rPr>
            </w:pPr>
            <w:r w:rsidRPr="00E30642">
              <w:rPr>
                <w:rFonts w:cs="Arial"/>
              </w:rPr>
              <w:t>-39</w:t>
            </w:r>
          </w:p>
        </w:tc>
        <w:tc>
          <w:tcPr>
            <w:tcW w:w="791" w:type="dxa"/>
            <w:tcBorders>
              <w:top w:val="single" w:sz="6" w:space="0" w:color="auto"/>
              <w:left w:val="single" w:sz="6" w:space="0" w:color="auto"/>
              <w:bottom w:val="single" w:sz="6" w:space="0" w:color="auto"/>
              <w:right w:val="single" w:sz="6" w:space="0" w:color="auto"/>
            </w:tcBorders>
          </w:tcPr>
          <w:p w14:paraId="560EFCA7" w14:textId="77777777" w:rsidR="00CA23D0" w:rsidRPr="00E30642" w:rsidRDefault="00CA23D0" w:rsidP="00CA23D0">
            <w:pPr>
              <w:pStyle w:val="Texttabulky"/>
              <w:spacing w:line="240" w:lineRule="atLeast"/>
              <w:jc w:val="both"/>
              <w:rPr>
                <w:rFonts w:cs="Arial"/>
              </w:rPr>
            </w:pPr>
            <w:r w:rsidRPr="00E30642">
              <w:rPr>
                <w:rFonts w:cs="Arial"/>
              </w:rPr>
              <w:t>596</w:t>
            </w:r>
          </w:p>
        </w:tc>
        <w:tc>
          <w:tcPr>
            <w:tcW w:w="804" w:type="dxa"/>
            <w:tcBorders>
              <w:top w:val="single" w:sz="6" w:space="0" w:color="auto"/>
              <w:left w:val="single" w:sz="6" w:space="0" w:color="auto"/>
              <w:bottom w:val="single" w:sz="6" w:space="0" w:color="auto"/>
              <w:right w:val="single" w:sz="6" w:space="0" w:color="auto"/>
            </w:tcBorders>
          </w:tcPr>
          <w:p w14:paraId="17FF8948" w14:textId="77777777" w:rsidR="00CA23D0" w:rsidRPr="00E30642" w:rsidRDefault="00CA23D0" w:rsidP="00CA23D0">
            <w:pPr>
              <w:pStyle w:val="Texttabulky"/>
              <w:spacing w:line="240" w:lineRule="atLeast"/>
              <w:jc w:val="both"/>
              <w:rPr>
                <w:rFonts w:cs="Arial"/>
              </w:rPr>
            </w:pPr>
            <w:r w:rsidRPr="00E30642">
              <w:rPr>
                <w:rFonts w:cs="Arial"/>
              </w:rPr>
              <w:t>95</w:t>
            </w:r>
          </w:p>
        </w:tc>
        <w:tc>
          <w:tcPr>
            <w:tcW w:w="763" w:type="dxa"/>
            <w:tcBorders>
              <w:top w:val="single" w:sz="6" w:space="0" w:color="auto"/>
              <w:left w:val="single" w:sz="6" w:space="0" w:color="auto"/>
              <w:bottom w:val="single" w:sz="6" w:space="0" w:color="auto"/>
              <w:right w:val="single" w:sz="6" w:space="0" w:color="auto"/>
            </w:tcBorders>
          </w:tcPr>
          <w:p w14:paraId="4142573D" w14:textId="77777777" w:rsidR="00CA23D0" w:rsidRPr="00E30642" w:rsidRDefault="00CA23D0" w:rsidP="00CA23D0">
            <w:pPr>
              <w:pStyle w:val="Texttabulky"/>
              <w:spacing w:line="240" w:lineRule="atLeast"/>
              <w:jc w:val="both"/>
              <w:rPr>
                <w:rFonts w:cs="Arial"/>
              </w:rPr>
            </w:pPr>
            <w:r w:rsidRPr="00E30642">
              <w:rPr>
                <w:rFonts w:cs="Arial"/>
              </w:rPr>
              <w:t>786</w:t>
            </w:r>
          </w:p>
        </w:tc>
        <w:tc>
          <w:tcPr>
            <w:tcW w:w="764" w:type="dxa"/>
            <w:tcBorders>
              <w:top w:val="single" w:sz="6" w:space="0" w:color="auto"/>
              <w:left w:val="single" w:sz="6" w:space="0" w:color="auto"/>
              <w:bottom w:val="single" w:sz="6" w:space="0" w:color="auto"/>
              <w:right w:val="single" w:sz="6" w:space="0" w:color="auto"/>
            </w:tcBorders>
          </w:tcPr>
          <w:p w14:paraId="29198EF6" w14:textId="77777777" w:rsidR="00CA23D0" w:rsidRPr="00E30642" w:rsidRDefault="00CA23D0" w:rsidP="00CA23D0">
            <w:pPr>
              <w:pStyle w:val="Texttabulky"/>
              <w:spacing w:line="240" w:lineRule="atLeast"/>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548E3800" w14:textId="77777777" w:rsidR="00CA23D0" w:rsidRPr="00E30642" w:rsidRDefault="00CA23D0" w:rsidP="00CA23D0">
            <w:pPr>
              <w:pStyle w:val="Texttabulky"/>
              <w:spacing w:line="240" w:lineRule="atLeast"/>
              <w:jc w:val="both"/>
              <w:rPr>
                <w:rFonts w:cs="Arial"/>
              </w:rPr>
            </w:pPr>
            <w:r w:rsidRPr="00E30642">
              <w:rPr>
                <w:rFonts w:cs="Arial"/>
              </w:rPr>
              <w:t>-95</w:t>
            </w:r>
          </w:p>
        </w:tc>
        <w:tc>
          <w:tcPr>
            <w:tcW w:w="708" w:type="dxa"/>
            <w:tcBorders>
              <w:top w:val="single" w:sz="6" w:space="0" w:color="auto"/>
              <w:left w:val="single" w:sz="6" w:space="0" w:color="auto"/>
              <w:bottom w:val="single" w:sz="6" w:space="0" w:color="auto"/>
              <w:right w:val="single" w:sz="6" w:space="0" w:color="auto"/>
            </w:tcBorders>
          </w:tcPr>
          <w:p w14:paraId="6F074086" w14:textId="77777777" w:rsidR="00CA23D0" w:rsidRPr="00E30642" w:rsidRDefault="00CA23D0" w:rsidP="00CA23D0">
            <w:pPr>
              <w:pStyle w:val="Texttabulky"/>
              <w:spacing w:line="240" w:lineRule="atLeast"/>
              <w:jc w:val="both"/>
              <w:rPr>
                <w:rFonts w:cs="Arial"/>
              </w:rPr>
            </w:pPr>
            <w:r w:rsidRPr="00E30642">
              <w:rPr>
                <w:rFonts w:cs="Arial"/>
              </w:rPr>
              <w:t>-134</w:t>
            </w:r>
          </w:p>
        </w:tc>
        <w:tc>
          <w:tcPr>
            <w:tcW w:w="736" w:type="dxa"/>
            <w:tcBorders>
              <w:top w:val="single" w:sz="6" w:space="0" w:color="auto"/>
              <w:left w:val="single" w:sz="6" w:space="0" w:color="auto"/>
              <w:bottom w:val="single" w:sz="6" w:space="0" w:color="auto"/>
              <w:right w:val="single" w:sz="6" w:space="0" w:color="auto"/>
            </w:tcBorders>
          </w:tcPr>
          <w:p w14:paraId="04433D6F" w14:textId="77777777" w:rsidR="00CA23D0" w:rsidRPr="00E30642" w:rsidRDefault="00CA23D0" w:rsidP="00CA23D0">
            <w:pPr>
              <w:pStyle w:val="Texttabulky"/>
              <w:spacing w:line="240" w:lineRule="atLeast"/>
              <w:jc w:val="both"/>
              <w:rPr>
                <w:rFonts w:cs="Arial"/>
              </w:rPr>
            </w:pPr>
            <w:r w:rsidRPr="00E30642">
              <w:rPr>
                <w:rFonts w:cs="Arial"/>
              </w:rPr>
              <w:t>54 071</w:t>
            </w:r>
          </w:p>
        </w:tc>
      </w:tr>
      <w:tr w:rsidR="00CA23D0" w:rsidRPr="00E30642" w14:paraId="0AF35760" w14:textId="77777777" w:rsidTr="00CA23D0">
        <w:tc>
          <w:tcPr>
            <w:tcW w:w="851" w:type="dxa"/>
            <w:tcBorders>
              <w:top w:val="single" w:sz="6" w:space="0" w:color="auto"/>
              <w:left w:val="single" w:sz="6" w:space="0" w:color="auto"/>
              <w:bottom w:val="single" w:sz="6" w:space="0" w:color="auto"/>
              <w:right w:val="single" w:sz="6" w:space="0" w:color="auto"/>
            </w:tcBorders>
          </w:tcPr>
          <w:p w14:paraId="4EE95448" w14:textId="77777777" w:rsidR="00CA23D0" w:rsidRPr="00E30642" w:rsidRDefault="00CA23D0" w:rsidP="00CA23D0">
            <w:pPr>
              <w:pStyle w:val="Texttabulky"/>
              <w:spacing w:line="240" w:lineRule="atLeast"/>
              <w:jc w:val="both"/>
              <w:rPr>
                <w:rFonts w:cs="Arial"/>
              </w:rPr>
            </w:pPr>
            <w:r w:rsidRPr="00E30642">
              <w:rPr>
                <w:rFonts w:cs="Arial"/>
                <w:b/>
                <w:bCs/>
              </w:rPr>
              <w:t>1 995</w:t>
            </w:r>
          </w:p>
        </w:tc>
        <w:tc>
          <w:tcPr>
            <w:tcW w:w="777" w:type="dxa"/>
            <w:tcBorders>
              <w:top w:val="single" w:sz="6" w:space="0" w:color="auto"/>
              <w:left w:val="single" w:sz="6" w:space="0" w:color="auto"/>
              <w:bottom w:val="single" w:sz="6" w:space="0" w:color="auto"/>
              <w:right w:val="single" w:sz="6" w:space="0" w:color="auto"/>
            </w:tcBorders>
          </w:tcPr>
          <w:p w14:paraId="68533854" w14:textId="77777777" w:rsidR="00CA23D0" w:rsidRPr="00E30642" w:rsidRDefault="00CA23D0" w:rsidP="00CA23D0">
            <w:pPr>
              <w:pStyle w:val="Texttabulky"/>
              <w:spacing w:line="240" w:lineRule="atLeast"/>
              <w:jc w:val="both"/>
              <w:rPr>
                <w:rFonts w:cs="Arial"/>
              </w:rPr>
            </w:pPr>
            <w:r w:rsidRPr="00E30642">
              <w:rPr>
                <w:rFonts w:cs="Arial"/>
              </w:rPr>
              <w:t>54 071</w:t>
            </w:r>
          </w:p>
        </w:tc>
        <w:tc>
          <w:tcPr>
            <w:tcW w:w="708" w:type="dxa"/>
            <w:tcBorders>
              <w:top w:val="single" w:sz="6" w:space="0" w:color="auto"/>
              <w:left w:val="single" w:sz="6" w:space="0" w:color="auto"/>
              <w:bottom w:val="single" w:sz="6" w:space="0" w:color="auto"/>
              <w:right w:val="single" w:sz="6" w:space="0" w:color="auto"/>
            </w:tcBorders>
          </w:tcPr>
          <w:p w14:paraId="5BA4D71D" w14:textId="77777777" w:rsidR="00CA23D0" w:rsidRPr="00E30642" w:rsidRDefault="00CA23D0" w:rsidP="00CA23D0">
            <w:pPr>
              <w:pStyle w:val="Texttabulky"/>
              <w:spacing w:line="240" w:lineRule="atLeast"/>
              <w:jc w:val="both"/>
              <w:rPr>
                <w:rFonts w:cs="Arial"/>
              </w:rPr>
            </w:pPr>
            <w:r w:rsidRPr="00E30642">
              <w:rPr>
                <w:rFonts w:cs="Arial"/>
              </w:rPr>
              <w:t>508</w:t>
            </w:r>
          </w:p>
        </w:tc>
        <w:tc>
          <w:tcPr>
            <w:tcW w:w="641" w:type="dxa"/>
            <w:tcBorders>
              <w:top w:val="single" w:sz="6" w:space="0" w:color="auto"/>
              <w:left w:val="single" w:sz="6" w:space="0" w:color="auto"/>
              <w:bottom w:val="single" w:sz="6" w:space="0" w:color="auto"/>
              <w:right w:val="single" w:sz="6" w:space="0" w:color="auto"/>
            </w:tcBorders>
          </w:tcPr>
          <w:p w14:paraId="5DDD6340" w14:textId="77777777" w:rsidR="00CA23D0" w:rsidRPr="00E30642" w:rsidRDefault="00CA23D0" w:rsidP="00CA23D0">
            <w:pPr>
              <w:pStyle w:val="Texttabulky"/>
              <w:spacing w:line="240" w:lineRule="atLeast"/>
              <w:jc w:val="both"/>
              <w:rPr>
                <w:rFonts w:cs="Arial"/>
              </w:rPr>
            </w:pPr>
            <w:r w:rsidRPr="00E30642">
              <w:rPr>
                <w:rFonts w:cs="Arial"/>
              </w:rPr>
              <w:t>592</w:t>
            </w:r>
          </w:p>
        </w:tc>
        <w:tc>
          <w:tcPr>
            <w:tcW w:w="709" w:type="dxa"/>
            <w:tcBorders>
              <w:top w:val="single" w:sz="6" w:space="0" w:color="auto"/>
              <w:left w:val="single" w:sz="6" w:space="0" w:color="auto"/>
              <w:bottom w:val="single" w:sz="6" w:space="0" w:color="auto"/>
              <w:right w:val="single" w:sz="6" w:space="0" w:color="auto"/>
            </w:tcBorders>
          </w:tcPr>
          <w:p w14:paraId="113587C9" w14:textId="77777777" w:rsidR="00CA23D0" w:rsidRPr="00E30642" w:rsidRDefault="00CA23D0" w:rsidP="00CA23D0">
            <w:pPr>
              <w:pStyle w:val="Texttabulky"/>
              <w:spacing w:line="240" w:lineRule="atLeast"/>
              <w:jc w:val="both"/>
              <w:rPr>
                <w:rFonts w:cs="Arial"/>
              </w:rPr>
            </w:pPr>
            <w:r w:rsidRPr="00E30642">
              <w:rPr>
                <w:rFonts w:cs="Arial"/>
              </w:rPr>
              <w:t>-84</w:t>
            </w:r>
          </w:p>
        </w:tc>
        <w:tc>
          <w:tcPr>
            <w:tcW w:w="791" w:type="dxa"/>
            <w:tcBorders>
              <w:top w:val="single" w:sz="6" w:space="0" w:color="auto"/>
              <w:left w:val="single" w:sz="6" w:space="0" w:color="auto"/>
              <w:bottom w:val="single" w:sz="6" w:space="0" w:color="auto"/>
              <w:right w:val="single" w:sz="6" w:space="0" w:color="auto"/>
            </w:tcBorders>
          </w:tcPr>
          <w:p w14:paraId="4DA6F552" w14:textId="77777777" w:rsidR="00CA23D0" w:rsidRPr="00E30642" w:rsidRDefault="00CA23D0" w:rsidP="00CA23D0">
            <w:pPr>
              <w:pStyle w:val="Texttabulky"/>
              <w:spacing w:line="240" w:lineRule="atLeast"/>
              <w:jc w:val="both"/>
              <w:rPr>
                <w:rFonts w:cs="Arial"/>
              </w:rPr>
            </w:pPr>
            <w:r w:rsidRPr="00E30642">
              <w:rPr>
                <w:rFonts w:cs="Arial"/>
              </w:rPr>
              <w:t>610</w:t>
            </w:r>
          </w:p>
        </w:tc>
        <w:tc>
          <w:tcPr>
            <w:tcW w:w="804" w:type="dxa"/>
            <w:tcBorders>
              <w:top w:val="single" w:sz="6" w:space="0" w:color="auto"/>
              <w:left w:val="single" w:sz="6" w:space="0" w:color="auto"/>
              <w:bottom w:val="single" w:sz="6" w:space="0" w:color="auto"/>
              <w:right w:val="single" w:sz="6" w:space="0" w:color="auto"/>
            </w:tcBorders>
          </w:tcPr>
          <w:p w14:paraId="191E39B0" w14:textId="77777777" w:rsidR="00CA23D0" w:rsidRPr="00E30642" w:rsidRDefault="00CA23D0" w:rsidP="00CA23D0">
            <w:pPr>
              <w:pStyle w:val="Texttabulky"/>
              <w:spacing w:line="240" w:lineRule="atLeast"/>
              <w:jc w:val="both"/>
              <w:rPr>
                <w:rFonts w:cs="Arial"/>
              </w:rPr>
            </w:pPr>
            <w:r w:rsidRPr="00E30642">
              <w:rPr>
                <w:rFonts w:cs="Arial"/>
              </w:rPr>
              <w:t>81</w:t>
            </w:r>
          </w:p>
        </w:tc>
        <w:tc>
          <w:tcPr>
            <w:tcW w:w="763" w:type="dxa"/>
            <w:tcBorders>
              <w:top w:val="single" w:sz="6" w:space="0" w:color="auto"/>
              <w:left w:val="single" w:sz="6" w:space="0" w:color="auto"/>
              <w:bottom w:val="single" w:sz="6" w:space="0" w:color="auto"/>
              <w:right w:val="single" w:sz="6" w:space="0" w:color="auto"/>
            </w:tcBorders>
          </w:tcPr>
          <w:p w14:paraId="3797C1D2" w14:textId="77777777" w:rsidR="00CA23D0" w:rsidRPr="00E30642" w:rsidRDefault="00CA23D0" w:rsidP="00CA23D0">
            <w:pPr>
              <w:pStyle w:val="Texttabulky"/>
              <w:spacing w:line="240" w:lineRule="atLeast"/>
              <w:jc w:val="both"/>
              <w:rPr>
                <w:rFonts w:cs="Arial"/>
              </w:rPr>
            </w:pPr>
            <w:r w:rsidRPr="00E30642">
              <w:rPr>
                <w:rFonts w:cs="Arial"/>
              </w:rPr>
              <w:t>729</w:t>
            </w:r>
          </w:p>
        </w:tc>
        <w:tc>
          <w:tcPr>
            <w:tcW w:w="764" w:type="dxa"/>
            <w:tcBorders>
              <w:top w:val="single" w:sz="6" w:space="0" w:color="auto"/>
              <w:left w:val="single" w:sz="6" w:space="0" w:color="auto"/>
              <w:bottom w:val="single" w:sz="6" w:space="0" w:color="auto"/>
              <w:right w:val="single" w:sz="6" w:space="0" w:color="auto"/>
            </w:tcBorders>
          </w:tcPr>
          <w:p w14:paraId="53F3678F" w14:textId="77777777" w:rsidR="00CA23D0" w:rsidRPr="00E30642" w:rsidRDefault="00CA23D0" w:rsidP="00CA23D0">
            <w:pPr>
              <w:pStyle w:val="Texttabulky"/>
              <w:spacing w:line="240" w:lineRule="atLeast"/>
              <w:jc w:val="both"/>
              <w:rPr>
                <w:rFonts w:cs="Arial"/>
              </w:rPr>
            </w:pPr>
            <w:r w:rsidRPr="00E30642">
              <w:rPr>
                <w:rFonts w:cs="Arial"/>
              </w:rPr>
              <w:t>11</w:t>
            </w:r>
          </w:p>
        </w:tc>
        <w:tc>
          <w:tcPr>
            <w:tcW w:w="709" w:type="dxa"/>
            <w:tcBorders>
              <w:top w:val="single" w:sz="6" w:space="0" w:color="auto"/>
              <w:left w:val="single" w:sz="6" w:space="0" w:color="auto"/>
              <w:bottom w:val="single" w:sz="6" w:space="0" w:color="auto"/>
              <w:right w:val="single" w:sz="6" w:space="0" w:color="auto"/>
            </w:tcBorders>
          </w:tcPr>
          <w:p w14:paraId="3BD8C3B9" w14:textId="77777777" w:rsidR="00CA23D0" w:rsidRPr="00E30642" w:rsidRDefault="00CA23D0" w:rsidP="00CA23D0">
            <w:pPr>
              <w:pStyle w:val="Texttabulky"/>
              <w:spacing w:line="240" w:lineRule="atLeast"/>
              <w:jc w:val="both"/>
              <w:rPr>
                <w:rFonts w:cs="Arial"/>
              </w:rPr>
            </w:pPr>
            <w:r w:rsidRPr="00E30642">
              <w:rPr>
                <w:rFonts w:cs="Arial"/>
              </w:rPr>
              <w:t>-49</w:t>
            </w:r>
          </w:p>
        </w:tc>
        <w:tc>
          <w:tcPr>
            <w:tcW w:w="708" w:type="dxa"/>
            <w:tcBorders>
              <w:top w:val="single" w:sz="6" w:space="0" w:color="auto"/>
              <w:left w:val="single" w:sz="6" w:space="0" w:color="auto"/>
              <w:bottom w:val="single" w:sz="6" w:space="0" w:color="auto"/>
              <w:right w:val="single" w:sz="6" w:space="0" w:color="auto"/>
            </w:tcBorders>
          </w:tcPr>
          <w:p w14:paraId="05D963D5" w14:textId="77777777" w:rsidR="00CA23D0" w:rsidRPr="00E30642" w:rsidRDefault="00CA23D0" w:rsidP="00CA23D0">
            <w:pPr>
              <w:pStyle w:val="Texttabulky"/>
              <w:spacing w:line="240" w:lineRule="atLeast"/>
              <w:jc w:val="both"/>
              <w:rPr>
                <w:rFonts w:cs="Arial"/>
              </w:rPr>
            </w:pPr>
            <w:r w:rsidRPr="00E30642">
              <w:rPr>
                <w:rFonts w:cs="Arial"/>
              </w:rPr>
              <w:t>-133</w:t>
            </w:r>
          </w:p>
        </w:tc>
        <w:tc>
          <w:tcPr>
            <w:tcW w:w="736" w:type="dxa"/>
            <w:tcBorders>
              <w:top w:val="single" w:sz="6" w:space="0" w:color="auto"/>
              <w:left w:val="single" w:sz="6" w:space="0" w:color="auto"/>
              <w:bottom w:val="single" w:sz="6" w:space="0" w:color="auto"/>
              <w:right w:val="single" w:sz="6" w:space="0" w:color="auto"/>
            </w:tcBorders>
          </w:tcPr>
          <w:p w14:paraId="7FD78AC3" w14:textId="77777777" w:rsidR="00CA23D0" w:rsidRPr="00E30642" w:rsidRDefault="00CA23D0" w:rsidP="00CA23D0">
            <w:pPr>
              <w:pStyle w:val="Texttabulky"/>
              <w:spacing w:line="240" w:lineRule="atLeast"/>
              <w:jc w:val="both"/>
              <w:rPr>
                <w:rFonts w:cs="Arial"/>
              </w:rPr>
            </w:pPr>
            <w:r w:rsidRPr="00E30642">
              <w:rPr>
                <w:rFonts w:cs="Arial"/>
              </w:rPr>
              <w:t>53 938</w:t>
            </w:r>
          </w:p>
        </w:tc>
      </w:tr>
      <w:tr w:rsidR="00CA23D0" w:rsidRPr="00E30642" w14:paraId="14D8935D" w14:textId="77777777" w:rsidTr="00CA23D0">
        <w:tc>
          <w:tcPr>
            <w:tcW w:w="851" w:type="dxa"/>
            <w:tcBorders>
              <w:top w:val="single" w:sz="6" w:space="0" w:color="auto"/>
              <w:left w:val="single" w:sz="6" w:space="0" w:color="auto"/>
              <w:bottom w:val="single" w:sz="6" w:space="0" w:color="auto"/>
              <w:right w:val="single" w:sz="6" w:space="0" w:color="auto"/>
            </w:tcBorders>
          </w:tcPr>
          <w:p w14:paraId="346BAD28" w14:textId="77777777" w:rsidR="00CA23D0" w:rsidRPr="00E30642" w:rsidRDefault="00CA23D0" w:rsidP="00CA23D0">
            <w:pPr>
              <w:pStyle w:val="Texttabulky"/>
              <w:spacing w:line="240" w:lineRule="atLeast"/>
              <w:jc w:val="both"/>
              <w:rPr>
                <w:rFonts w:cs="Arial"/>
              </w:rPr>
            </w:pPr>
            <w:r w:rsidRPr="00E30642">
              <w:rPr>
                <w:rFonts w:cs="Arial"/>
                <w:b/>
                <w:bCs/>
              </w:rPr>
              <w:t>1 996</w:t>
            </w:r>
          </w:p>
        </w:tc>
        <w:tc>
          <w:tcPr>
            <w:tcW w:w="777" w:type="dxa"/>
            <w:tcBorders>
              <w:top w:val="single" w:sz="6" w:space="0" w:color="auto"/>
              <w:left w:val="single" w:sz="6" w:space="0" w:color="auto"/>
              <w:bottom w:val="single" w:sz="6" w:space="0" w:color="auto"/>
              <w:right w:val="single" w:sz="6" w:space="0" w:color="auto"/>
            </w:tcBorders>
          </w:tcPr>
          <w:p w14:paraId="21DEA29D" w14:textId="77777777" w:rsidR="00CA23D0" w:rsidRPr="00E30642" w:rsidRDefault="00CA23D0" w:rsidP="00CA23D0">
            <w:pPr>
              <w:pStyle w:val="Texttabulky"/>
              <w:spacing w:line="240" w:lineRule="atLeast"/>
              <w:jc w:val="both"/>
              <w:rPr>
                <w:rFonts w:cs="Arial"/>
              </w:rPr>
            </w:pPr>
            <w:r w:rsidRPr="00E30642">
              <w:rPr>
                <w:rFonts w:cs="Arial"/>
              </w:rPr>
              <w:t>53 938</w:t>
            </w:r>
          </w:p>
        </w:tc>
        <w:tc>
          <w:tcPr>
            <w:tcW w:w="708" w:type="dxa"/>
            <w:tcBorders>
              <w:top w:val="single" w:sz="6" w:space="0" w:color="auto"/>
              <w:left w:val="single" w:sz="6" w:space="0" w:color="auto"/>
              <w:bottom w:val="single" w:sz="6" w:space="0" w:color="auto"/>
              <w:right w:val="single" w:sz="6" w:space="0" w:color="auto"/>
            </w:tcBorders>
          </w:tcPr>
          <w:p w14:paraId="751114A8" w14:textId="77777777" w:rsidR="00CA23D0" w:rsidRPr="00E30642" w:rsidRDefault="00CA23D0" w:rsidP="00CA23D0">
            <w:pPr>
              <w:pStyle w:val="Texttabulky"/>
              <w:spacing w:line="240" w:lineRule="atLeast"/>
              <w:jc w:val="both"/>
              <w:rPr>
                <w:rFonts w:cs="Arial"/>
              </w:rPr>
            </w:pPr>
            <w:r w:rsidRPr="00E30642">
              <w:rPr>
                <w:rFonts w:cs="Arial"/>
              </w:rPr>
              <w:t>486</w:t>
            </w:r>
          </w:p>
        </w:tc>
        <w:tc>
          <w:tcPr>
            <w:tcW w:w="641" w:type="dxa"/>
            <w:tcBorders>
              <w:top w:val="single" w:sz="6" w:space="0" w:color="auto"/>
              <w:left w:val="single" w:sz="6" w:space="0" w:color="auto"/>
              <w:bottom w:val="single" w:sz="6" w:space="0" w:color="auto"/>
              <w:right w:val="single" w:sz="6" w:space="0" w:color="auto"/>
            </w:tcBorders>
          </w:tcPr>
          <w:p w14:paraId="2B527701" w14:textId="77777777" w:rsidR="00CA23D0" w:rsidRPr="00E30642" w:rsidRDefault="00CA23D0" w:rsidP="00CA23D0">
            <w:pPr>
              <w:pStyle w:val="Texttabulky"/>
              <w:spacing w:line="240" w:lineRule="atLeast"/>
              <w:jc w:val="both"/>
              <w:rPr>
                <w:rFonts w:cs="Arial"/>
              </w:rPr>
            </w:pPr>
            <w:r w:rsidRPr="00E30642">
              <w:rPr>
                <w:rFonts w:cs="Arial"/>
              </w:rPr>
              <w:t>571</w:t>
            </w:r>
          </w:p>
        </w:tc>
        <w:tc>
          <w:tcPr>
            <w:tcW w:w="709" w:type="dxa"/>
            <w:tcBorders>
              <w:top w:val="single" w:sz="6" w:space="0" w:color="auto"/>
              <w:left w:val="single" w:sz="6" w:space="0" w:color="auto"/>
              <w:bottom w:val="single" w:sz="6" w:space="0" w:color="auto"/>
              <w:right w:val="single" w:sz="6" w:space="0" w:color="auto"/>
            </w:tcBorders>
          </w:tcPr>
          <w:p w14:paraId="15AC3283" w14:textId="77777777" w:rsidR="00CA23D0" w:rsidRPr="00E30642" w:rsidRDefault="00CA23D0" w:rsidP="00CA23D0">
            <w:pPr>
              <w:pStyle w:val="Texttabulky"/>
              <w:spacing w:line="240" w:lineRule="atLeast"/>
              <w:jc w:val="both"/>
              <w:rPr>
                <w:rFonts w:cs="Arial"/>
              </w:rPr>
            </w:pPr>
            <w:r w:rsidRPr="00E30642">
              <w:rPr>
                <w:rFonts w:cs="Arial"/>
              </w:rPr>
              <w:t>-85</w:t>
            </w:r>
          </w:p>
        </w:tc>
        <w:tc>
          <w:tcPr>
            <w:tcW w:w="791" w:type="dxa"/>
            <w:tcBorders>
              <w:top w:val="single" w:sz="6" w:space="0" w:color="auto"/>
              <w:left w:val="single" w:sz="6" w:space="0" w:color="auto"/>
              <w:bottom w:val="single" w:sz="6" w:space="0" w:color="auto"/>
              <w:right w:val="single" w:sz="6" w:space="0" w:color="auto"/>
            </w:tcBorders>
          </w:tcPr>
          <w:p w14:paraId="0A1A9A91" w14:textId="77777777" w:rsidR="00CA23D0" w:rsidRPr="00E30642" w:rsidRDefault="00CA23D0" w:rsidP="00CA23D0">
            <w:pPr>
              <w:pStyle w:val="Texttabulky"/>
              <w:spacing w:line="240" w:lineRule="atLeast"/>
              <w:jc w:val="both"/>
              <w:rPr>
                <w:rFonts w:cs="Arial"/>
              </w:rPr>
            </w:pPr>
            <w:r w:rsidRPr="00E30642">
              <w:rPr>
                <w:rFonts w:cs="Arial"/>
              </w:rPr>
              <w:t>679</w:t>
            </w:r>
          </w:p>
        </w:tc>
        <w:tc>
          <w:tcPr>
            <w:tcW w:w="804" w:type="dxa"/>
            <w:tcBorders>
              <w:top w:val="single" w:sz="6" w:space="0" w:color="auto"/>
              <w:left w:val="single" w:sz="6" w:space="0" w:color="auto"/>
              <w:bottom w:val="single" w:sz="6" w:space="0" w:color="auto"/>
              <w:right w:val="single" w:sz="6" w:space="0" w:color="auto"/>
            </w:tcBorders>
          </w:tcPr>
          <w:p w14:paraId="39A87163" w14:textId="77777777" w:rsidR="00CA23D0" w:rsidRPr="00E30642" w:rsidRDefault="00CA23D0" w:rsidP="00CA23D0">
            <w:pPr>
              <w:pStyle w:val="Texttabulky"/>
              <w:spacing w:line="240" w:lineRule="atLeast"/>
              <w:jc w:val="both"/>
              <w:rPr>
                <w:rFonts w:cs="Arial"/>
              </w:rPr>
            </w:pPr>
            <w:r w:rsidRPr="00E30642">
              <w:rPr>
                <w:rFonts w:cs="Arial"/>
              </w:rPr>
              <w:t>88</w:t>
            </w:r>
          </w:p>
        </w:tc>
        <w:tc>
          <w:tcPr>
            <w:tcW w:w="763" w:type="dxa"/>
            <w:tcBorders>
              <w:top w:val="single" w:sz="6" w:space="0" w:color="auto"/>
              <w:left w:val="single" w:sz="6" w:space="0" w:color="auto"/>
              <w:bottom w:val="single" w:sz="6" w:space="0" w:color="auto"/>
              <w:right w:val="single" w:sz="6" w:space="0" w:color="auto"/>
            </w:tcBorders>
          </w:tcPr>
          <w:p w14:paraId="0E12AC19" w14:textId="77777777" w:rsidR="00CA23D0" w:rsidRPr="00E30642" w:rsidRDefault="00CA23D0" w:rsidP="00CA23D0">
            <w:pPr>
              <w:pStyle w:val="Texttabulky"/>
              <w:spacing w:line="240" w:lineRule="atLeast"/>
              <w:jc w:val="both"/>
              <w:rPr>
                <w:rFonts w:cs="Arial"/>
              </w:rPr>
            </w:pPr>
            <w:r w:rsidRPr="00E30642">
              <w:rPr>
                <w:rFonts w:cs="Arial"/>
              </w:rPr>
              <w:t>748</w:t>
            </w:r>
          </w:p>
        </w:tc>
        <w:tc>
          <w:tcPr>
            <w:tcW w:w="764" w:type="dxa"/>
            <w:tcBorders>
              <w:top w:val="single" w:sz="6" w:space="0" w:color="auto"/>
              <w:left w:val="single" w:sz="6" w:space="0" w:color="auto"/>
              <w:bottom w:val="single" w:sz="6" w:space="0" w:color="auto"/>
              <w:right w:val="single" w:sz="6" w:space="0" w:color="auto"/>
            </w:tcBorders>
          </w:tcPr>
          <w:p w14:paraId="7D60F958" w14:textId="77777777" w:rsidR="00CA23D0" w:rsidRPr="00E30642" w:rsidRDefault="00CA23D0" w:rsidP="00CA23D0">
            <w:pPr>
              <w:pStyle w:val="Texttabulky"/>
              <w:spacing w:line="240" w:lineRule="atLeast"/>
              <w:jc w:val="both"/>
              <w:rPr>
                <w:rFonts w:cs="Arial"/>
              </w:rPr>
            </w:pPr>
            <w:r w:rsidRPr="00E30642">
              <w:rPr>
                <w:rFonts w:cs="Arial"/>
              </w:rPr>
              <w:t>11</w:t>
            </w:r>
          </w:p>
        </w:tc>
        <w:tc>
          <w:tcPr>
            <w:tcW w:w="709" w:type="dxa"/>
            <w:tcBorders>
              <w:top w:val="single" w:sz="6" w:space="0" w:color="auto"/>
              <w:left w:val="single" w:sz="6" w:space="0" w:color="auto"/>
              <w:bottom w:val="single" w:sz="6" w:space="0" w:color="auto"/>
              <w:right w:val="single" w:sz="6" w:space="0" w:color="auto"/>
            </w:tcBorders>
          </w:tcPr>
          <w:p w14:paraId="0C4AA300" w14:textId="77777777" w:rsidR="00CA23D0" w:rsidRPr="00E30642" w:rsidRDefault="00CA23D0" w:rsidP="00CA23D0">
            <w:pPr>
              <w:pStyle w:val="Texttabulky"/>
              <w:spacing w:line="240" w:lineRule="atLeast"/>
              <w:jc w:val="both"/>
              <w:rPr>
                <w:rFonts w:cs="Arial"/>
              </w:rPr>
            </w:pPr>
            <w:r w:rsidRPr="00E30642">
              <w:rPr>
                <w:rFonts w:cs="Arial"/>
              </w:rPr>
              <w:t>8</w:t>
            </w:r>
          </w:p>
        </w:tc>
        <w:tc>
          <w:tcPr>
            <w:tcW w:w="708" w:type="dxa"/>
            <w:tcBorders>
              <w:top w:val="single" w:sz="6" w:space="0" w:color="auto"/>
              <w:left w:val="single" w:sz="6" w:space="0" w:color="auto"/>
              <w:bottom w:val="single" w:sz="6" w:space="0" w:color="auto"/>
              <w:right w:val="single" w:sz="6" w:space="0" w:color="auto"/>
            </w:tcBorders>
          </w:tcPr>
          <w:p w14:paraId="265BFE8F" w14:textId="77777777" w:rsidR="00CA23D0" w:rsidRPr="00E30642" w:rsidRDefault="00CA23D0" w:rsidP="00CA23D0">
            <w:pPr>
              <w:pStyle w:val="Texttabulky"/>
              <w:spacing w:line="240" w:lineRule="atLeast"/>
              <w:jc w:val="both"/>
              <w:rPr>
                <w:rFonts w:cs="Arial"/>
              </w:rPr>
            </w:pPr>
            <w:r w:rsidRPr="00E30642">
              <w:rPr>
                <w:rFonts w:cs="Arial"/>
              </w:rPr>
              <w:t>-77</w:t>
            </w:r>
          </w:p>
        </w:tc>
        <w:tc>
          <w:tcPr>
            <w:tcW w:w="736" w:type="dxa"/>
            <w:tcBorders>
              <w:top w:val="single" w:sz="6" w:space="0" w:color="auto"/>
              <w:left w:val="single" w:sz="6" w:space="0" w:color="auto"/>
              <w:bottom w:val="single" w:sz="6" w:space="0" w:color="auto"/>
              <w:right w:val="single" w:sz="6" w:space="0" w:color="auto"/>
            </w:tcBorders>
          </w:tcPr>
          <w:p w14:paraId="32417955" w14:textId="77777777" w:rsidR="00CA23D0" w:rsidRPr="00E30642" w:rsidRDefault="00CA23D0" w:rsidP="00CA23D0">
            <w:pPr>
              <w:pStyle w:val="Texttabulky"/>
              <w:spacing w:line="240" w:lineRule="atLeast"/>
              <w:jc w:val="both"/>
              <w:rPr>
                <w:rFonts w:cs="Arial"/>
              </w:rPr>
            </w:pPr>
            <w:r w:rsidRPr="00E30642">
              <w:rPr>
                <w:rFonts w:cs="Arial"/>
              </w:rPr>
              <w:t>53 861</w:t>
            </w:r>
          </w:p>
        </w:tc>
      </w:tr>
      <w:tr w:rsidR="00CA23D0" w:rsidRPr="00E30642" w14:paraId="6DABB407" w14:textId="77777777" w:rsidTr="00CA23D0">
        <w:tc>
          <w:tcPr>
            <w:tcW w:w="851" w:type="dxa"/>
            <w:tcBorders>
              <w:top w:val="single" w:sz="6" w:space="0" w:color="auto"/>
              <w:left w:val="single" w:sz="6" w:space="0" w:color="auto"/>
              <w:bottom w:val="single" w:sz="6" w:space="0" w:color="auto"/>
              <w:right w:val="single" w:sz="6" w:space="0" w:color="auto"/>
            </w:tcBorders>
          </w:tcPr>
          <w:p w14:paraId="539A1653" w14:textId="77777777" w:rsidR="00CA23D0" w:rsidRPr="00E30642" w:rsidRDefault="00CA23D0" w:rsidP="00CA23D0">
            <w:pPr>
              <w:pStyle w:val="Texttabulky"/>
              <w:spacing w:line="240" w:lineRule="atLeast"/>
              <w:jc w:val="both"/>
              <w:rPr>
                <w:rFonts w:cs="Arial"/>
              </w:rPr>
            </w:pPr>
            <w:r w:rsidRPr="00E30642">
              <w:rPr>
                <w:rFonts w:cs="Arial"/>
                <w:b/>
                <w:bCs/>
              </w:rPr>
              <w:t>1 997</w:t>
            </w:r>
          </w:p>
        </w:tc>
        <w:tc>
          <w:tcPr>
            <w:tcW w:w="777" w:type="dxa"/>
            <w:tcBorders>
              <w:top w:val="single" w:sz="6" w:space="0" w:color="auto"/>
              <w:left w:val="single" w:sz="6" w:space="0" w:color="auto"/>
              <w:bottom w:val="single" w:sz="6" w:space="0" w:color="auto"/>
              <w:right w:val="single" w:sz="6" w:space="0" w:color="auto"/>
            </w:tcBorders>
          </w:tcPr>
          <w:p w14:paraId="59574930" w14:textId="77777777" w:rsidR="00CA23D0" w:rsidRPr="00E30642" w:rsidRDefault="00CA23D0" w:rsidP="00CA23D0">
            <w:pPr>
              <w:pStyle w:val="Texttabulky"/>
              <w:spacing w:line="240" w:lineRule="atLeast"/>
              <w:jc w:val="both"/>
              <w:rPr>
                <w:rFonts w:cs="Arial"/>
              </w:rPr>
            </w:pPr>
            <w:r w:rsidRPr="00E30642">
              <w:rPr>
                <w:rFonts w:cs="Arial"/>
              </w:rPr>
              <w:t>53 427</w:t>
            </w:r>
          </w:p>
        </w:tc>
        <w:tc>
          <w:tcPr>
            <w:tcW w:w="708" w:type="dxa"/>
            <w:tcBorders>
              <w:top w:val="single" w:sz="6" w:space="0" w:color="auto"/>
              <w:left w:val="single" w:sz="6" w:space="0" w:color="auto"/>
              <w:bottom w:val="single" w:sz="6" w:space="0" w:color="auto"/>
              <w:right w:val="single" w:sz="6" w:space="0" w:color="auto"/>
            </w:tcBorders>
          </w:tcPr>
          <w:p w14:paraId="049FAAE1" w14:textId="77777777" w:rsidR="00CA23D0" w:rsidRPr="00E30642" w:rsidRDefault="00CA23D0" w:rsidP="00CA23D0">
            <w:pPr>
              <w:pStyle w:val="Texttabulky"/>
              <w:spacing w:line="240" w:lineRule="atLeast"/>
              <w:jc w:val="both"/>
              <w:rPr>
                <w:rFonts w:cs="Arial"/>
              </w:rPr>
            </w:pPr>
            <w:r w:rsidRPr="00E30642">
              <w:rPr>
                <w:rFonts w:cs="Arial"/>
              </w:rPr>
              <w:t>467</w:t>
            </w:r>
          </w:p>
        </w:tc>
        <w:tc>
          <w:tcPr>
            <w:tcW w:w="641" w:type="dxa"/>
            <w:tcBorders>
              <w:top w:val="single" w:sz="6" w:space="0" w:color="auto"/>
              <w:left w:val="single" w:sz="6" w:space="0" w:color="auto"/>
              <w:bottom w:val="single" w:sz="6" w:space="0" w:color="auto"/>
              <w:right w:val="single" w:sz="6" w:space="0" w:color="auto"/>
            </w:tcBorders>
          </w:tcPr>
          <w:p w14:paraId="7C6B378D" w14:textId="77777777" w:rsidR="00CA23D0" w:rsidRPr="00E30642" w:rsidRDefault="00CA23D0" w:rsidP="00CA23D0">
            <w:pPr>
              <w:pStyle w:val="Texttabulky"/>
              <w:spacing w:line="240" w:lineRule="atLeast"/>
              <w:jc w:val="both"/>
              <w:rPr>
                <w:rFonts w:cs="Arial"/>
              </w:rPr>
            </w:pPr>
            <w:r w:rsidRPr="00E30642">
              <w:rPr>
                <w:rFonts w:cs="Arial"/>
              </w:rPr>
              <w:t>526</w:t>
            </w:r>
          </w:p>
        </w:tc>
        <w:tc>
          <w:tcPr>
            <w:tcW w:w="709" w:type="dxa"/>
            <w:tcBorders>
              <w:top w:val="single" w:sz="6" w:space="0" w:color="auto"/>
              <w:left w:val="single" w:sz="6" w:space="0" w:color="auto"/>
              <w:bottom w:val="single" w:sz="6" w:space="0" w:color="auto"/>
              <w:right w:val="single" w:sz="6" w:space="0" w:color="auto"/>
            </w:tcBorders>
          </w:tcPr>
          <w:p w14:paraId="383F16CE" w14:textId="77777777" w:rsidR="00CA23D0" w:rsidRPr="00E30642" w:rsidRDefault="00CA23D0" w:rsidP="00CA23D0">
            <w:pPr>
              <w:pStyle w:val="Texttabulky"/>
              <w:spacing w:line="240" w:lineRule="atLeast"/>
              <w:jc w:val="both"/>
              <w:rPr>
                <w:rFonts w:cs="Arial"/>
              </w:rPr>
            </w:pPr>
            <w:r w:rsidRPr="00E30642">
              <w:rPr>
                <w:rFonts w:cs="Arial"/>
              </w:rPr>
              <w:t>-59</w:t>
            </w:r>
          </w:p>
        </w:tc>
        <w:tc>
          <w:tcPr>
            <w:tcW w:w="791" w:type="dxa"/>
            <w:tcBorders>
              <w:top w:val="single" w:sz="6" w:space="0" w:color="auto"/>
              <w:left w:val="single" w:sz="6" w:space="0" w:color="auto"/>
              <w:bottom w:val="single" w:sz="6" w:space="0" w:color="auto"/>
              <w:right w:val="single" w:sz="6" w:space="0" w:color="auto"/>
            </w:tcBorders>
          </w:tcPr>
          <w:p w14:paraId="675ABCF8" w14:textId="77777777" w:rsidR="00CA23D0" w:rsidRPr="00E30642" w:rsidRDefault="00CA23D0" w:rsidP="00CA23D0">
            <w:pPr>
              <w:pStyle w:val="Texttabulky"/>
              <w:spacing w:line="240" w:lineRule="atLeast"/>
              <w:jc w:val="both"/>
              <w:rPr>
                <w:rFonts w:cs="Arial"/>
              </w:rPr>
            </w:pPr>
            <w:r w:rsidRPr="00E30642">
              <w:rPr>
                <w:rFonts w:cs="Arial"/>
              </w:rPr>
              <w:t>579</w:t>
            </w:r>
          </w:p>
        </w:tc>
        <w:tc>
          <w:tcPr>
            <w:tcW w:w="804" w:type="dxa"/>
            <w:tcBorders>
              <w:top w:val="single" w:sz="6" w:space="0" w:color="auto"/>
              <w:left w:val="single" w:sz="6" w:space="0" w:color="auto"/>
              <w:bottom w:val="single" w:sz="6" w:space="0" w:color="auto"/>
              <w:right w:val="single" w:sz="6" w:space="0" w:color="auto"/>
            </w:tcBorders>
          </w:tcPr>
          <w:p w14:paraId="1F1051A9" w14:textId="77777777" w:rsidR="00CA23D0" w:rsidRPr="00E30642" w:rsidRDefault="00CA23D0" w:rsidP="00CA23D0">
            <w:pPr>
              <w:pStyle w:val="Texttabulky"/>
              <w:spacing w:line="240" w:lineRule="atLeast"/>
              <w:jc w:val="both"/>
              <w:rPr>
                <w:rFonts w:cs="Arial"/>
              </w:rPr>
            </w:pPr>
            <w:r w:rsidRPr="00E30642">
              <w:rPr>
                <w:rFonts w:cs="Arial"/>
              </w:rPr>
              <w:t>51</w:t>
            </w:r>
          </w:p>
        </w:tc>
        <w:tc>
          <w:tcPr>
            <w:tcW w:w="763" w:type="dxa"/>
            <w:tcBorders>
              <w:top w:val="single" w:sz="6" w:space="0" w:color="auto"/>
              <w:left w:val="single" w:sz="6" w:space="0" w:color="auto"/>
              <w:bottom w:val="single" w:sz="6" w:space="0" w:color="auto"/>
              <w:right w:val="single" w:sz="6" w:space="0" w:color="auto"/>
            </w:tcBorders>
          </w:tcPr>
          <w:p w14:paraId="50197285" w14:textId="77777777" w:rsidR="00CA23D0" w:rsidRPr="00E30642" w:rsidRDefault="00CA23D0" w:rsidP="00CA23D0">
            <w:pPr>
              <w:pStyle w:val="Texttabulky"/>
              <w:spacing w:line="240" w:lineRule="atLeast"/>
              <w:jc w:val="both"/>
              <w:rPr>
                <w:rFonts w:cs="Arial"/>
              </w:rPr>
            </w:pPr>
            <w:r w:rsidRPr="00E30642">
              <w:rPr>
                <w:rFonts w:cs="Arial"/>
              </w:rPr>
              <w:t>704</w:t>
            </w:r>
          </w:p>
        </w:tc>
        <w:tc>
          <w:tcPr>
            <w:tcW w:w="764" w:type="dxa"/>
            <w:tcBorders>
              <w:top w:val="single" w:sz="6" w:space="0" w:color="auto"/>
              <w:left w:val="single" w:sz="6" w:space="0" w:color="auto"/>
              <w:bottom w:val="single" w:sz="6" w:space="0" w:color="auto"/>
              <w:right w:val="single" w:sz="6" w:space="0" w:color="auto"/>
            </w:tcBorders>
          </w:tcPr>
          <w:p w14:paraId="7B4B4602" w14:textId="77777777" w:rsidR="00CA23D0" w:rsidRPr="00E30642" w:rsidRDefault="00CA23D0" w:rsidP="00CA23D0">
            <w:pPr>
              <w:pStyle w:val="Texttabulky"/>
              <w:spacing w:line="240" w:lineRule="atLeast"/>
              <w:jc w:val="both"/>
              <w:rPr>
                <w:rFonts w:cs="Arial"/>
              </w:rPr>
            </w:pPr>
            <w:r w:rsidRPr="00E30642">
              <w:rPr>
                <w:rFonts w:cs="Arial"/>
              </w:rPr>
              <w:t>18</w:t>
            </w:r>
          </w:p>
        </w:tc>
        <w:tc>
          <w:tcPr>
            <w:tcW w:w="709" w:type="dxa"/>
            <w:tcBorders>
              <w:top w:val="single" w:sz="6" w:space="0" w:color="auto"/>
              <w:left w:val="single" w:sz="6" w:space="0" w:color="auto"/>
              <w:bottom w:val="single" w:sz="6" w:space="0" w:color="auto"/>
              <w:right w:val="single" w:sz="6" w:space="0" w:color="auto"/>
            </w:tcBorders>
          </w:tcPr>
          <w:p w14:paraId="11C9B7EF" w14:textId="77777777" w:rsidR="00CA23D0" w:rsidRPr="00E30642" w:rsidRDefault="00CA23D0" w:rsidP="00CA23D0">
            <w:pPr>
              <w:pStyle w:val="Texttabulky"/>
              <w:spacing w:line="240" w:lineRule="atLeast"/>
              <w:jc w:val="both"/>
              <w:rPr>
                <w:rFonts w:cs="Arial"/>
              </w:rPr>
            </w:pPr>
            <w:r w:rsidRPr="00E30642">
              <w:rPr>
                <w:rFonts w:cs="Arial"/>
              </w:rPr>
              <w:t>-92</w:t>
            </w:r>
          </w:p>
        </w:tc>
        <w:tc>
          <w:tcPr>
            <w:tcW w:w="708" w:type="dxa"/>
            <w:tcBorders>
              <w:top w:val="single" w:sz="6" w:space="0" w:color="auto"/>
              <w:left w:val="single" w:sz="6" w:space="0" w:color="auto"/>
              <w:bottom w:val="single" w:sz="6" w:space="0" w:color="auto"/>
              <w:right w:val="single" w:sz="6" w:space="0" w:color="auto"/>
            </w:tcBorders>
          </w:tcPr>
          <w:p w14:paraId="02A21363" w14:textId="77777777" w:rsidR="00CA23D0" w:rsidRPr="00E30642" w:rsidRDefault="00CA23D0" w:rsidP="00CA23D0">
            <w:pPr>
              <w:pStyle w:val="Texttabulky"/>
              <w:spacing w:line="240" w:lineRule="atLeast"/>
              <w:jc w:val="both"/>
              <w:rPr>
                <w:rFonts w:cs="Arial"/>
              </w:rPr>
            </w:pPr>
            <w:r w:rsidRPr="00E30642">
              <w:rPr>
                <w:rFonts w:cs="Arial"/>
              </w:rPr>
              <w:t>-151</w:t>
            </w:r>
          </w:p>
        </w:tc>
        <w:tc>
          <w:tcPr>
            <w:tcW w:w="736" w:type="dxa"/>
            <w:tcBorders>
              <w:top w:val="single" w:sz="6" w:space="0" w:color="auto"/>
              <w:left w:val="single" w:sz="6" w:space="0" w:color="auto"/>
              <w:bottom w:val="single" w:sz="6" w:space="0" w:color="auto"/>
              <w:right w:val="single" w:sz="6" w:space="0" w:color="auto"/>
            </w:tcBorders>
          </w:tcPr>
          <w:p w14:paraId="1ECE5BFD" w14:textId="77777777" w:rsidR="00CA23D0" w:rsidRPr="00E30642" w:rsidRDefault="00CA23D0" w:rsidP="00CA23D0">
            <w:pPr>
              <w:pStyle w:val="Texttabulky"/>
              <w:spacing w:line="240" w:lineRule="atLeast"/>
              <w:jc w:val="both"/>
              <w:rPr>
                <w:rFonts w:cs="Arial"/>
              </w:rPr>
            </w:pPr>
            <w:r w:rsidRPr="00E30642">
              <w:rPr>
                <w:rFonts w:cs="Arial"/>
              </w:rPr>
              <w:t>53 276</w:t>
            </w:r>
          </w:p>
        </w:tc>
      </w:tr>
      <w:tr w:rsidR="00CA23D0" w:rsidRPr="00E30642" w14:paraId="09141A12" w14:textId="77777777" w:rsidTr="00CA23D0">
        <w:tc>
          <w:tcPr>
            <w:tcW w:w="851" w:type="dxa"/>
            <w:tcBorders>
              <w:top w:val="single" w:sz="6" w:space="0" w:color="auto"/>
              <w:left w:val="single" w:sz="6" w:space="0" w:color="auto"/>
              <w:bottom w:val="single" w:sz="6" w:space="0" w:color="auto"/>
              <w:right w:val="single" w:sz="6" w:space="0" w:color="auto"/>
            </w:tcBorders>
          </w:tcPr>
          <w:p w14:paraId="6F266D72" w14:textId="77777777" w:rsidR="00CA23D0" w:rsidRPr="00E30642" w:rsidRDefault="00CA23D0" w:rsidP="00CA23D0">
            <w:pPr>
              <w:pStyle w:val="Texttabulky"/>
              <w:spacing w:line="240" w:lineRule="atLeast"/>
              <w:jc w:val="both"/>
              <w:rPr>
                <w:rFonts w:cs="Arial"/>
              </w:rPr>
            </w:pPr>
            <w:r w:rsidRPr="00E30642">
              <w:rPr>
                <w:rFonts w:cs="Arial"/>
                <w:b/>
                <w:bCs/>
              </w:rPr>
              <w:t>1 998</w:t>
            </w:r>
          </w:p>
        </w:tc>
        <w:tc>
          <w:tcPr>
            <w:tcW w:w="777" w:type="dxa"/>
            <w:tcBorders>
              <w:top w:val="single" w:sz="6" w:space="0" w:color="auto"/>
              <w:left w:val="single" w:sz="6" w:space="0" w:color="auto"/>
              <w:bottom w:val="single" w:sz="6" w:space="0" w:color="auto"/>
              <w:right w:val="single" w:sz="6" w:space="0" w:color="auto"/>
            </w:tcBorders>
          </w:tcPr>
          <w:p w14:paraId="3041A6D3" w14:textId="77777777" w:rsidR="00CA23D0" w:rsidRPr="00E30642" w:rsidRDefault="00CA23D0" w:rsidP="00CA23D0">
            <w:pPr>
              <w:pStyle w:val="Texttabulky"/>
              <w:spacing w:line="240" w:lineRule="atLeast"/>
              <w:jc w:val="both"/>
              <w:rPr>
                <w:rFonts w:cs="Arial"/>
              </w:rPr>
            </w:pPr>
            <w:r w:rsidRPr="00E30642">
              <w:rPr>
                <w:rFonts w:cs="Arial"/>
              </w:rPr>
              <w:t>53 276</w:t>
            </w:r>
          </w:p>
        </w:tc>
        <w:tc>
          <w:tcPr>
            <w:tcW w:w="708" w:type="dxa"/>
            <w:tcBorders>
              <w:top w:val="single" w:sz="6" w:space="0" w:color="auto"/>
              <w:left w:val="single" w:sz="6" w:space="0" w:color="auto"/>
              <w:bottom w:val="single" w:sz="6" w:space="0" w:color="auto"/>
              <w:right w:val="single" w:sz="6" w:space="0" w:color="auto"/>
            </w:tcBorders>
          </w:tcPr>
          <w:p w14:paraId="61A9C298" w14:textId="77777777" w:rsidR="00CA23D0" w:rsidRPr="00E30642" w:rsidRDefault="00CA23D0" w:rsidP="00CA23D0">
            <w:pPr>
              <w:pStyle w:val="Texttabulky"/>
              <w:spacing w:line="240" w:lineRule="atLeast"/>
              <w:jc w:val="both"/>
              <w:rPr>
                <w:rFonts w:cs="Arial"/>
              </w:rPr>
            </w:pPr>
            <w:r w:rsidRPr="00E30642">
              <w:rPr>
                <w:rFonts w:cs="Arial"/>
              </w:rPr>
              <w:t>510</w:t>
            </w:r>
          </w:p>
        </w:tc>
        <w:tc>
          <w:tcPr>
            <w:tcW w:w="641" w:type="dxa"/>
            <w:tcBorders>
              <w:top w:val="single" w:sz="6" w:space="0" w:color="auto"/>
              <w:left w:val="single" w:sz="6" w:space="0" w:color="auto"/>
              <w:bottom w:val="single" w:sz="6" w:space="0" w:color="auto"/>
              <w:right w:val="single" w:sz="6" w:space="0" w:color="auto"/>
            </w:tcBorders>
          </w:tcPr>
          <w:p w14:paraId="489B282C" w14:textId="77777777" w:rsidR="00CA23D0" w:rsidRPr="00E30642" w:rsidRDefault="00CA23D0" w:rsidP="00CA23D0">
            <w:pPr>
              <w:pStyle w:val="Texttabulky"/>
              <w:spacing w:line="240" w:lineRule="atLeast"/>
              <w:jc w:val="both"/>
              <w:rPr>
                <w:rFonts w:cs="Arial"/>
              </w:rPr>
            </w:pPr>
            <w:r w:rsidRPr="00E30642">
              <w:rPr>
                <w:rFonts w:cs="Arial"/>
              </w:rPr>
              <w:t>522</w:t>
            </w:r>
          </w:p>
        </w:tc>
        <w:tc>
          <w:tcPr>
            <w:tcW w:w="709" w:type="dxa"/>
            <w:tcBorders>
              <w:top w:val="single" w:sz="6" w:space="0" w:color="auto"/>
              <w:left w:val="single" w:sz="6" w:space="0" w:color="auto"/>
              <w:bottom w:val="single" w:sz="6" w:space="0" w:color="auto"/>
              <w:right w:val="single" w:sz="6" w:space="0" w:color="auto"/>
            </w:tcBorders>
          </w:tcPr>
          <w:p w14:paraId="0360E97E" w14:textId="77777777" w:rsidR="00CA23D0" w:rsidRPr="00E30642" w:rsidRDefault="00CA23D0" w:rsidP="00CA23D0">
            <w:pPr>
              <w:pStyle w:val="Texttabulky"/>
              <w:spacing w:line="240" w:lineRule="atLeast"/>
              <w:jc w:val="both"/>
              <w:rPr>
                <w:rFonts w:cs="Arial"/>
              </w:rPr>
            </w:pPr>
            <w:r w:rsidRPr="00E30642">
              <w:rPr>
                <w:rFonts w:cs="Arial"/>
              </w:rPr>
              <w:t>-12</w:t>
            </w:r>
          </w:p>
        </w:tc>
        <w:tc>
          <w:tcPr>
            <w:tcW w:w="791" w:type="dxa"/>
            <w:tcBorders>
              <w:top w:val="single" w:sz="6" w:space="0" w:color="auto"/>
              <w:left w:val="single" w:sz="6" w:space="0" w:color="auto"/>
              <w:bottom w:val="single" w:sz="6" w:space="0" w:color="auto"/>
              <w:right w:val="single" w:sz="6" w:space="0" w:color="auto"/>
            </w:tcBorders>
          </w:tcPr>
          <w:p w14:paraId="37EA4185" w14:textId="77777777" w:rsidR="00CA23D0" w:rsidRPr="00E30642" w:rsidRDefault="00CA23D0" w:rsidP="00CA23D0">
            <w:pPr>
              <w:pStyle w:val="Texttabulky"/>
              <w:spacing w:line="240" w:lineRule="atLeast"/>
              <w:jc w:val="both"/>
              <w:rPr>
                <w:rFonts w:cs="Arial"/>
              </w:rPr>
            </w:pPr>
            <w:r w:rsidRPr="00E30642">
              <w:rPr>
                <w:rFonts w:cs="Arial"/>
              </w:rPr>
              <w:t>602</w:t>
            </w:r>
          </w:p>
        </w:tc>
        <w:tc>
          <w:tcPr>
            <w:tcW w:w="804" w:type="dxa"/>
            <w:tcBorders>
              <w:top w:val="single" w:sz="6" w:space="0" w:color="auto"/>
              <w:left w:val="single" w:sz="6" w:space="0" w:color="auto"/>
              <w:bottom w:val="single" w:sz="6" w:space="0" w:color="auto"/>
              <w:right w:val="single" w:sz="6" w:space="0" w:color="auto"/>
            </w:tcBorders>
          </w:tcPr>
          <w:p w14:paraId="30E04E61" w14:textId="77777777" w:rsidR="00CA23D0" w:rsidRPr="00E30642" w:rsidRDefault="00CA23D0" w:rsidP="00CA23D0">
            <w:pPr>
              <w:pStyle w:val="Texttabulky"/>
              <w:spacing w:line="240" w:lineRule="atLeast"/>
              <w:jc w:val="both"/>
              <w:rPr>
                <w:rFonts w:cs="Arial"/>
              </w:rPr>
            </w:pPr>
            <w:r w:rsidRPr="00E30642">
              <w:rPr>
                <w:rFonts w:cs="Arial"/>
              </w:rPr>
              <w:t>70</w:t>
            </w:r>
          </w:p>
        </w:tc>
        <w:tc>
          <w:tcPr>
            <w:tcW w:w="763" w:type="dxa"/>
            <w:tcBorders>
              <w:top w:val="single" w:sz="6" w:space="0" w:color="auto"/>
              <w:left w:val="single" w:sz="6" w:space="0" w:color="auto"/>
              <w:bottom w:val="single" w:sz="6" w:space="0" w:color="auto"/>
              <w:right w:val="single" w:sz="6" w:space="0" w:color="auto"/>
            </w:tcBorders>
          </w:tcPr>
          <w:p w14:paraId="282BA885" w14:textId="77777777" w:rsidR="00CA23D0" w:rsidRPr="00E30642" w:rsidRDefault="00CA23D0" w:rsidP="00CA23D0">
            <w:pPr>
              <w:pStyle w:val="Texttabulky"/>
              <w:spacing w:line="240" w:lineRule="atLeast"/>
              <w:jc w:val="both"/>
              <w:rPr>
                <w:rFonts w:cs="Arial"/>
              </w:rPr>
            </w:pPr>
            <w:r w:rsidRPr="00E30642">
              <w:rPr>
                <w:rFonts w:cs="Arial"/>
              </w:rPr>
              <w:t>797</w:t>
            </w:r>
          </w:p>
        </w:tc>
        <w:tc>
          <w:tcPr>
            <w:tcW w:w="764" w:type="dxa"/>
            <w:tcBorders>
              <w:top w:val="single" w:sz="6" w:space="0" w:color="auto"/>
              <w:left w:val="single" w:sz="6" w:space="0" w:color="auto"/>
              <w:bottom w:val="single" w:sz="6" w:space="0" w:color="auto"/>
              <w:right w:val="single" w:sz="6" w:space="0" w:color="auto"/>
            </w:tcBorders>
          </w:tcPr>
          <w:p w14:paraId="2DECC285" w14:textId="77777777" w:rsidR="00CA23D0" w:rsidRPr="00E30642" w:rsidRDefault="00CA23D0" w:rsidP="00CA23D0">
            <w:pPr>
              <w:pStyle w:val="Texttabulky"/>
              <w:spacing w:line="240" w:lineRule="atLeast"/>
              <w:jc w:val="both"/>
              <w:rPr>
                <w:rFonts w:cs="Arial"/>
              </w:rPr>
            </w:pPr>
            <w:r w:rsidRPr="00E30642">
              <w:rPr>
                <w:rFonts w:cs="Arial"/>
              </w:rPr>
              <w:t>16</w:t>
            </w:r>
          </w:p>
        </w:tc>
        <w:tc>
          <w:tcPr>
            <w:tcW w:w="709" w:type="dxa"/>
            <w:tcBorders>
              <w:top w:val="single" w:sz="6" w:space="0" w:color="auto"/>
              <w:left w:val="single" w:sz="6" w:space="0" w:color="auto"/>
              <w:bottom w:val="single" w:sz="6" w:space="0" w:color="auto"/>
              <w:right w:val="single" w:sz="6" w:space="0" w:color="auto"/>
            </w:tcBorders>
          </w:tcPr>
          <w:p w14:paraId="6EEF37BD" w14:textId="77777777" w:rsidR="00CA23D0" w:rsidRPr="00E30642" w:rsidRDefault="00CA23D0" w:rsidP="00CA23D0">
            <w:pPr>
              <w:pStyle w:val="Texttabulky"/>
              <w:spacing w:line="240" w:lineRule="atLeast"/>
              <w:jc w:val="both"/>
              <w:rPr>
                <w:rFonts w:cs="Arial"/>
              </w:rPr>
            </w:pPr>
            <w:r w:rsidRPr="00E30642">
              <w:rPr>
                <w:rFonts w:cs="Arial"/>
              </w:rPr>
              <w:t>-141</w:t>
            </w:r>
          </w:p>
        </w:tc>
        <w:tc>
          <w:tcPr>
            <w:tcW w:w="708" w:type="dxa"/>
            <w:tcBorders>
              <w:top w:val="single" w:sz="6" w:space="0" w:color="auto"/>
              <w:left w:val="single" w:sz="6" w:space="0" w:color="auto"/>
              <w:bottom w:val="single" w:sz="6" w:space="0" w:color="auto"/>
              <w:right w:val="single" w:sz="6" w:space="0" w:color="auto"/>
            </w:tcBorders>
          </w:tcPr>
          <w:p w14:paraId="6A3A3C2D" w14:textId="77777777" w:rsidR="00CA23D0" w:rsidRPr="00E30642" w:rsidRDefault="00CA23D0" w:rsidP="00CA23D0">
            <w:pPr>
              <w:pStyle w:val="Texttabulky"/>
              <w:spacing w:line="240" w:lineRule="atLeast"/>
              <w:jc w:val="both"/>
              <w:rPr>
                <w:rFonts w:cs="Arial"/>
              </w:rPr>
            </w:pPr>
            <w:r w:rsidRPr="00E30642">
              <w:rPr>
                <w:rFonts w:cs="Arial"/>
              </w:rPr>
              <w:t>-153</w:t>
            </w:r>
          </w:p>
        </w:tc>
        <w:tc>
          <w:tcPr>
            <w:tcW w:w="736" w:type="dxa"/>
            <w:tcBorders>
              <w:top w:val="single" w:sz="6" w:space="0" w:color="auto"/>
              <w:left w:val="single" w:sz="6" w:space="0" w:color="auto"/>
              <w:bottom w:val="single" w:sz="6" w:space="0" w:color="auto"/>
              <w:right w:val="single" w:sz="6" w:space="0" w:color="auto"/>
            </w:tcBorders>
          </w:tcPr>
          <w:p w14:paraId="5723878D" w14:textId="77777777" w:rsidR="00CA23D0" w:rsidRPr="00E30642" w:rsidRDefault="00CA23D0" w:rsidP="00CA23D0">
            <w:pPr>
              <w:pStyle w:val="Texttabulky"/>
              <w:spacing w:line="240" w:lineRule="atLeast"/>
              <w:jc w:val="both"/>
              <w:rPr>
                <w:rFonts w:cs="Arial"/>
              </w:rPr>
            </w:pPr>
            <w:r w:rsidRPr="00E30642">
              <w:rPr>
                <w:rFonts w:cs="Arial"/>
              </w:rPr>
              <w:t>53 123</w:t>
            </w:r>
          </w:p>
        </w:tc>
      </w:tr>
      <w:tr w:rsidR="00CA23D0" w:rsidRPr="00E30642" w14:paraId="53B2D937" w14:textId="77777777" w:rsidTr="00CA23D0">
        <w:tc>
          <w:tcPr>
            <w:tcW w:w="851" w:type="dxa"/>
            <w:tcBorders>
              <w:top w:val="single" w:sz="6" w:space="0" w:color="auto"/>
              <w:left w:val="single" w:sz="6" w:space="0" w:color="auto"/>
              <w:bottom w:val="single" w:sz="6" w:space="0" w:color="auto"/>
              <w:right w:val="single" w:sz="6" w:space="0" w:color="auto"/>
            </w:tcBorders>
          </w:tcPr>
          <w:p w14:paraId="6338E2F4" w14:textId="77777777" w:rsidR="00CA23D0" w:rsidRPr="00E30642" w:rsidRDefault="00CA23D0" w:rsidP="00CA23D0">
            <w:pPr>
              <w:pStyle w:val="Texttabulky"/>
              <w:spacing w:line="240" w:lineRule="atLeast"/>
              <w:jc w:val="both"/>
              <w:rPr>
                <w:rFonts w:cs="Arial"/>
              </w:rPr>
            </w:pPr>
            <w:r w:rsidRPr="00E30642">
              <w:rPr>
                <w:rFonts w:cs="Arial"/>
                <w:b/>
                <w:bCs/>
              </w:rPr>
              <w:t>1 999</w:t>
            </w:r>
          </w:p>
        </w:tc>
        <w:tc>
          <w:tcPr>
            <w:tcW w:w="777" w:type="dxa"/>
            <w:tcBorders>
              <w:top w:val="single" w:sz="6" w:space="0" w:color="auto"/>
              <w:left w:val="single" w:sz="6" w:space="0" w:color="auto"/>
              <w:bottom w:val="single" w:sz="6" w:space="0" w:color="auto"/>
              <w:right w:val="single" w:sz="6" w:space="0" w:color="auto"/>
            </w:tcBorders>
          </w:tcPr>
          <w:p w14:paraId="1867903F" w14:textId="77777777" w:rsidR="00CA23D0" w:rsidRPr="00E30642" w:rsidRDefault="00CA23D0" w:rsidP="00CA23D0">
            <w:pPr>
              <w:pStyle w:val="Texttabulky"/>
              <w:spacing w:line="240" w:lineRule="atLeast"/>
              <w:jc w:val="both"/>
              <w:rPr>
                <w:rFonts w:cs="Arial"/>
              </w:rPr>
            </w:pPr>
            <w:r w:rsidRPr="00E30642">
              <w:rPr>
                <w:rFonts w:cs="Arial"/>
              </w:rPr>
              <w:t>53 123</w:t>
            </w:r>
          </w:p>
        </w:tc>
        <w:tc>
          <w:tcPr>
            <w:tcW w:w="708" w:type="dxa"/>
            <w:tcBorders>
              <w:top w:val="single" w:sz="6" w:space="0" w:color="auto"/>
              <w:left w:val="single" w:sz="6" w:space="0" w:color="auto"/>
              <w:bottom w:val="single" w:sz="6" w:space="0" w:color="auto"/>
              <w:right w:val="single" w:sz="6" w:space="0" w:color="auto"/>
            </w:tcBorders>
          </w:tcPr>
          <w:p w14:paraId="5815800D" w14:textId="77777777" w:rsidR="00CA23D0" w:rsidRPr="00E30642" w:rsidRDefault="00CA23D0" w:rsidP="00CA23D0">
            <w:pPr>
              <w:pStyle w:val="Texttabulky"/>
              <w:spacing w:line="240" w:lineRule="atLeast"/>
              <w:jc w:val="both"/>
              <w:rPr>
                <w:rFonts w:cs="Arial"/>
              </w:rPr>
            </w:pPr>
            <w:r w:rsidRPr="00E30642">
              <w:rPr>
                <w:rFonts w:cs="Arial"/>
              </w:rPr>
              <w:t>467</w:t>
            </w:r>
          </w:p>
        </w:tc>
        <w:tc>
          <w:tcPr>
            <w:tcW w:w="641" w:type="dxa"/>
            <w:tcBorders>
              <w:top w:val="single" w:sz="6" w:space="0" w:color="auto"/>
              <w:left w:val="single" w:sz="6" w:space="0" w:color="auto"/>
              <w:bottom w:val="single" w:sz="6" w:space="0" w:color="auto"/>
              <w:right w:val="single" w:sz="6" w:space="0" w:color="auto"/>
            </w:tcBorders>
          </w:tcPr>
          <w:p w14:paraId="4BDE5148" w14:textId="77777777" w:rsidR="00CA23D0" w:rsidRPr="00E30642" w:rsidRDefault="00CA23D0" w:rsidP="00CA23D0">
            <w:pPr>
              <w:pStyle w:val="Texttabulky"/>
              <w:spacing w:line="240" w:lineRule="atLeast"/>
              <w:jc w:val="both"/>
              <w:rPr>
                <w:rFonts w:cs="Arial"/>
              </w:rPr>
            </w:pPr>
            <w:r w:rsidRPr="00E30642">
              <w:rPr>
                <w:rFonts w:cs="Arial"/>
              </w:rPr>
              <w:t>570</w:t>
            </w:r>
          </w:p>
        </w:tc>
        <w:tc>
          <w:tcPr>
            <w:tcW w:w="709" w:type="dxa"/>
            <w:tcBorders>
              <w:top w:val="single" w:sz="6" w:space="0" w:color="auto"/>
              <w:left w:val="single" w:sz="6" w:space="0" w:color="auto"/>
              <w:bottom w:val="single" w:sz="6" w:space="0" w:color="auto"/>
              <w:right w:val="single" w:sz="6" w:space="0" w:color="auto"/>
            </w:tcBorders>
          </w:tcPr>
          <w:p w14:paraId="2AE119D7" w14:textId="77777777" w:rsidR="00CA23D0" w:rsidRPr="00E30642" w:rsidRDefault="00CA23D0" w:rsidP="00CA23D0">
            <w:pPr>
              <w:pStyle w:val="Texttabulky"/>
              <w:spacing w:line="240" w:lineRule="atLeast"/>
              <w:jc w:val="both"/>
              <w:rPr>
                <w:rFonts w:cs="Arial"/>
              </w:rPr>
            </w:pPr>
            <w:r w:rsidRPr="00E30642">
              <w:rPr>
                <w:rFonts w:cs="Arial"/>
              </w:rPr>
              <w:t>-103</w:t>
            </w:r>
          </w:p>
        </w:tc>
        <w:tc>
          <w:tcPr>
            <w:tcW w:w="791" w:type="dxa"/>
            <w:tcBorders>
              <w:top w:val="single" w:sz="6" w:space="0" w:color="auto"/>
              <w:left w:val="single" w:sz="6" w:space="0" w:color="auto"/>
              <w:bottom w:val="single" w:sz="6" w:space="0" w:color="auto"/>
              <w:right w:val="single" w:sz="6" w:space="0" w:color="auto"/>
            </w:tcBorders>
          </w:tcPr>
          <w:p w14:paraId="18A9090D" w14:textId="77777777" w:rsidR="00CA23D0" w:rsidRPr="00E30642" w:rsidRDefault="00CA23D0" w:rsidP="00CA23D0">
            <w:pPr>
              <w:pStyle w:val="Texttabulky"/>
              <w:spacing w:line="240" w:lineRule="atLeast"/>
              <w:jc w:val="both"/>
              <w:rPr>
                <w:rFonts w:cs="Arial"/>
              </w:rPr>
            </w:pPr>
            <w:r w:rsidRPr="00E30642">
              <w:rPr>
                <w:rFonts w:cs="Arial"/>
              </w:rPr>
              <w:t>584</w:t>
            </w:r>
          </w:p>
        </w:tc>
        <w:tc>
          <w:tcPr>
            <w:tcW w:w="804" w:type="dxa"/>
            <w:tcBorders>
              <w:top w:val="single" w:sz="6" w:space="0" w:color="auto"/>
              <w:left w:val="single" w:sz="6" w:space="0" w:color="auto"/>
              <w:bottom w:val="single" w:sz="6" w:space="0" w:color="auto"/>
              <w:right w:val="single" w:sz="6" w:space="0" w:color="auto"/>
            </w:tcBorders>
          </w:tcPr>
          <w:p w14:paraId="27CCF730" w14:textId="77777777" w:rsidR="00CA23D0" w:rsidRPr="00E30642" w:rsidRDefault="00CA23D0" w:rsidP="00CA23D0">
            <w:pPr>
              <w:pStyle w:val="Texttabulky"/>
              <w:spacing w:line="240" w:lineRule="atLeast"/>
              <w:jc w:val="both"/>
              <w:rPr>
                <w:rFonts w:cs="Arial"/>
              </w:rPr>
            </w:pPr>
            <w:r w:rsidRPr="00E30642">
              <w:rPr>
                <w:rFonts w:cs="Arial"/>
              </w:rPr>
              <w:t>73</w:t>
            </w:r>
          </w:p>
        </w:tc>
        <w:tc>
          <w:tcPr>
            <w:tcW w:w="763" w:type="dxa"/>
            <w:tcBorders>
              <w:top w:val="single" w:sz="6" w:space="0" w:color="auto"/>
              <w:left w:val="single" w:sz="6" w:space="0" w:color="auto"/>
              <w:bottom w:val="single" w:sz="6" w:space="0" w:color="auto"/>
              <w:right w:val="single" w:sz="6" w:space="0" w:color="auto"/>
            </w:tcBorders>
          </w:tcPr>
          <w:p w14:paraId="7D33C081" w14:textId="77777777" w:rsidR="00CA23D0" w:rsidRPr="00E30642" w:rsidRDefault="00CA23D0" w:rsidP="00CA23D0">
            <w:pPr>
              <w:pStyle w:val="Texttabulky"/>
              <w:spacing w:line="240" w:lineRule="atLeast"/>
              <w:jc w:val="both"/>
              <w:rPr>
                <w:rFonts w:cs="Arial"/>
              </w:rPr>
            </w:pPr>
            <w:r w:rsidRPr="00E30642">
              <w:rPr>
                <w:rFonts w:cs="Arial"/>
              </w:rPr>
              <w:t>706</w:t>
            </w:r>
          </w:p>
        </w:tc>
        <w:tc>
          <w:tcPr>
            <w:tcW w:w="764" w:type="dxa"/>
            <w:tcBorders>
              <w:top w:val="single" w:sz="6" w:space="0" w:color="auto"/>
              <w:left w:val="single" w:sz="6" w:space="0" w:color="auto"/>
              <w:bottom w:val="single" w:sz="6" w:space="0" w:color="auto"/>
              <w:right w:val="single" w:sz="6" w:space="0" w:color="auto"/>
            </w:tcBorders>
          </w:tcPr>
          <w:p w14:paraId="456D0D6C" w14:textId="77777777" w:rsidR="00CA23D0" w:rsidRPr="00E30642" w:rsidRDefault="00CA23D0" w:rsidP="00CA23D0">
            <w:pPr>
              <w:pStyle w:val="Texttabulky"/>
              <w:spacing w:line="240" w:lineRule="atLeast"/>
              <w:jc w:val="both"/>
              <w:rPr>
                <w:rFonts w:cs="Arial"/>
              </w:rPr>
            </w:pPr>
            <w:r w:rsidRPr="00E30642">
              <w:rPr>
                <w:rFonts w:cs="Arial"/>
              </w:rPr>
              <w:t>20</w:t>
            </w:r>
          </w:p>
        </w:tc>
        <w:tc>
          <w:tcPr>
            <w:tcW w:w="709" w:type="dxa"/>
            <w:tcBorders>
              <w:top w:val="single" w:sz="6" w:space="0" w:color="auto"/>
              <w:left w:val="single" w:sz="6" w:space="0" w:color="auto"/>
              <w:bottom w:val="single" w:sz="6" w:space="0" w:color="auto"/>
              <w:right w:val="single" w:sz="6" w:space="0" w:color="auto"/>
            </w:tcBorders>
          </w:tcPr>
          <w:p w14:paraId="03A8CC1E" w14:textId="77777777" w:rsidR="00CA23D0" w:rsidRPr="00E30642" w:rsidRDefault="00CA23D0" w:rsidP="00CA23D0">
            <w:pPr>
              <w:pStyle w:val="Texttabulky"/>
              <w:spacing w:line="240" w:lineRule="atLeast"/>
              <w:jc w:val="both"/>
              <w:rPr>
                <w:rFonts w:cs="Arial"/>
              </w:rPr>
            </w:pPr>
            <w:r w:rsidRPr="00E30642">
              <w:rPr>
                <w:rFonts w:cs="Arial"/>
              </w:rPr>
              <w:t>-69</w:t>
            </w:r>
          </w:p>
        </w:tc>
        <w:tc>
          <w:tcPr>
            <w:tcW w:w="708" w:type="dxa"/>
            <w:tcBorders>
              <w:top w:val="single" w:sz="6" w:space="0" w:color="auto"/>
              <w:left w:val="single" w:sz="6" w:space="0" w:color="auto"/>
              <w:bottom w:val="single" w:sz="6" w:space="0" w:color="auto"/>
              <w:right w:val="single" w:sz="6" w:space="0" w:color="auto"/>
            </w:tcBorders>
          </w:tcPr>
          <w:p w14:paraId="7DAB533E" w14:textId="77777777" w:rsidR="00CA23D0" w:rsidRPr="00E30642" w:rsidRDefault="00CA23D0" w:rsidP="00CA23D0">
            <w:pPr>
              <w:pStyle w:val="Texttabulky"/>
              <w:spacing w:line="240" w:lineRule="atLeast"/>
              <w:jc w:val="both"/>
              <w:rPr>
                <w:rFonts w:cs="Arial"/>
              </w:rPr>
            </w:pPr>
            <w:r w:rsidRPr="00E30642">
              <w:rPr>
                <w:rFonts w:cs="Arial"/>
              </w:rPr>
              <w:t>-172</w:t>
            </w:r>
          </w:p>
        </w:tc>
        <w:tc>
          <w:tcPr>
            <w:tcW w:w="736" w:type="dxa"/>
            <w:tcBorders>
              <w:top w:val="single" w:sz="6" w:space="0" w:color="auto"/>
              <w:left w:val="single" w:sz="6" w:space="0" w:color="auto"/>
              <w:bottom w:val="single" w:sz="6" w:space="0" w:color="auto"/>
              <w:right w:val="single" w:sz="6" w:space="0" w:color="auto"/>
            </w:tcBorders>
          </w:tcPr>
          <w:p w14:paraId="30A56224" w14:textId="77777777" w:rsidR="00CA23D0" w:rsidRPr="00E30642" w:rsidRDefault="00CA23D0" w:rsidP="00CA23D0">
            <w:pPr>
              <w:pStyle w:val="Texttabulky"/>
              <w:spacing w:line="240" w:lineRule="atLeast"/>
              <w:jc w:val="both"/>
              <w:rPr>
                <w:rFonts w:cs="Arial"/>
              </w:rPr>
            </w:pPr>
            <w:r w:rsidRPr="00E30642">
              <w:rPr>
                <w:rFonts w:cs="Arial"/>
              </w:rPr>
              <w:t>52 951</w:t>
            </w:r>
          </w:p>
        </w:tc>
      </w:tr>
      <w:tr w:rsidR="00CA23D0" w:rsidRPr="00E30642" w14:paraId="2423F478" w14:textId="77777777" w:rsidTr="00CA23D0">
        <w:tc>
          <w:tcPr>
            <w:tcW w:w="851" w:type="dxa"/>
            <w:tcBorders>
              <w:top w:val="single" w:sz="6" w:space="0" w:color="auto"/>
              <w:left w:val="single" w:sz="6" w:space="0" w:color="auto"/>
              <w:bottom w:val="single" w:sz="6" w:space="0" w:color="auto"/>
              <w:right w:val="single" w:sz="6" w:space="0" w:color="auto"/>
            </w:tcBorders>
          </w:tcPr>
          <w:p w14:paraId="0F440087" w14:textId="77777777" w:rsidR="00CA23D0" w:rsidRPr="00E30642" w:rsidRDefault="00CA23D0" w:rsidP="00CA23D0">
            <w:pPr>
              <w:pStyle w:val="Texttabulky"/>
              <w:spacing w:line="240" w:lineRule="atLeast"/>
              <w:jc w:val="both"/>
              <w:rPr>
                <w:rFonts w:cs="Arial"/>
              </w:rPr>
            </w:pPr>
            <w:r w:rsidRPr="00E30642">
              <w:rPr>
                <w:rFonts w:cs="Arial"/>
                <w:b/>
                <w:bCs/>
              </w:rPr>
              <w:t>1991/1999</w:t>
            </w:r>
          </w:p>
        </w:tc>
        <w:tc>
          <w:tcPr>
            <w:tcW w:w="777" w:type="dxa"/>
            <w:tcBorders>
              <w:top w:val="single" w:sz="6" w:space="0" w:color="auto"/>
              <w:left w:val="single" w:sz="6" w:space="0" w:color="auto"/>
              <w:bottom w:val="single" w:sz="6" w:space="0" w:color="auto"/>
              <w:right w:val="single" w:sz="6" w:space="0" w:color="auto"/>
            </w:tcBorders>
          </w:tcPr>
          <w:p w14:paraId="3ED503F3" w14:textId="77777777" w:rsidR="00CA23D0" w:rsidRPr="00E30642" w:rsidRDefault="00CA23D0" w:rsidP="00CA23D0">
            <w:pPr>
              <w:pStyle w:val="Zkladntext"/>
              <w:jc w:val="both"/>
              <w:rPr>
                <w:rFonts w:ascii="Arial" w:hAnsi="Arial" w:cs="Arial"/>
              </w:rPr>
            </w:pPr>
          </w:p>
        </w:tc>
        <w:tc>
          <w:tcPr>
            <w:tcW w:w="708" w:type="dxa"/>
            <w:tcBorders>
              <w:top w:val="single" w:sz="6" w:space="0" w:color="auto"/>
              <w:left w:val="single" w:sz="6" w:space="0" w:color="auto"/>
              <w:bottom w:val="single" w:sz="6" w:space="0" w:color="auto"/>
              <w:right w:val="single" w:sz="6" w:space="0" w:color="auto"/>
            </w:tcBorders>
          </w:tcPr>
          <w:p w14:paraId="0D055101" w14:textId="77777777" w:rsidR="00CA23D0" w:rsidRPr="00E30642" w:rsidRDefault="00CA23D0" w:rsidP="00CA23D0">
            <w:pPr>
              <w:pStyle w:val="Texttabulky"/>
              <w:spacing w:line="240" w:lineRule="atLeast"/>
              <w:jc w:val="both"/>
              <w:rPr>
                <w:rFonts w:cs="Arial"/>
              </w:rPr>
            </w:pPr>
            <w:r w:rsidRPr="00E30642">
              <w:rPr>
                <w:rFonts w:cs="Arial"/>
                <w:b/>
                <w:bCs/>
              </w:rPr>
              <w:t>5 092</w:t>
            </w:r>
          </w:p>
        </w:tc>
        <w:tc>
          <w:tcPr>
            <w:tcW w:w="641" w:type="dxa"/>
            <w:tcBorders>
              <w:top w:val="single" w:sz="6" w:space="0" w:color="auto"/>
              <w:left w:val="single" w:sz="6" w:space="0" w:color="auto"/>
              <w:bottom w:val="single" w:sz="6" w:space="0" w:color="auto"/>
              <w:right w:val="single" w:sz="6" w:space="0" w:color="auto"/>
            </w:tcBorders>
          </w:tcPr>
          <w:p w14:paraId="20015108" w14:textId="77777777" w:rsidR="00CA23D0" w:rsidRPr="00E30642" w:rsidRDefault="00CA23D0" w:rsidP="00CA23D0">
            <w:pPr>
              <w:pStyle w:val="Texttabulky"/>
              <w:spacing w:line="240" w:lineRule="atLeast"/>
              <w:jc w:val="both"/>
              <w:rPr>
                <w:rFonts w:cs="Arial"/>
              </w:rPr>
            </w:pPr>
            <w:r w:rsidRPr="00E30642">
              <w:rPr>
                <w:rFonts w:cs="Arial"/>
                <w:b/>
                <w:bCs/>
              </w:rPr>
              <w:t>5 149</w:t>
            </w:r>
          </w:p>
        </w:tc>
        <w:tc>
          <w:tcPr>
            <w:tcW w:w="709" w:type="dxa"/>
            <w:tcBorders>
              <w:top w:val="single" w:sz="6" w:space="0" w:color="auto"/>
              <w:left w:val="single" w:sz="6" w:space="0" w:color="auto"/>
              <w:bottom w:val="single" w:sz="6" w:space="0" w:color="auto"/>
              <w:right w:val="single" w:sz="6" w:space="0" w:color="auto"/>
            </w:tcBorders>
          </w:tcPr>
          <w:p w14:paraId="6D8E6630" w14:textId="77777777" w:rsidR="00CA23D0" w:rsidRPr="00E30642" w:rsidRDefault="00CA23D0" w:rsidP="00CA23D0">
            <w:pPr>
              <w:pStyle w:val="Texttabulky"/>
              <w:spacing w:line="240" w:lineRule="atLeast"/>
              <w:jc w:val="both"/>
              <w:rPr>
                <w:rFonts w:cs="Arial"/>
              </w:rPr>
            </w:pPr>
            <w:r w:rsidRPr="00E30642">
              <w:rPr>
                <w:rFonts w:cs="Arial"/>
                <w:b/>
                <w:bCs/>
              </w:rPr>
              <w:t>-57</w:t>
            </w:r>
          </w:p>
        </w:tc>
        <w:tc>
          <w:tcPr>
            <w:tcW w:w="791" w:type="dxa"/>
            <w:tcBorders>
              <w:top w:val="single" w:sz="6" w:space="0" w:color="auto"/>
              <w:left w:val="single" w:sz="6" w:space="0" w:color="auto"/>
              <w:bottom w:val="single" w:sz="6" w:space="0" w:color="auto"/>
              <w:right w:val="single" w:sz="6" w:space="0" w:color="auto"/>
            </w:tcBorders>
          </w:tcPr>
          <w:p w14:paraId="0AF327D1" w14:textId="77777777" w:rsidR="00CA23D0" w:rsidRPr="00E30642" w:rsidRDefault="00CA23D0" w:rsidP="00CA23D0">
            <w:pPr>
              <w:pStyle w:val="Texttabulky"/>
              <w:spacing w:line="240" w:lineRule="atLeast"/>
              <w:jc w:val="both"/>
              <w:rPr>
                <w:rFonts w:cs="Arial"/>
              </w:rPr>
            </w:pPr>
            <w:r w:rsidRPr="00E30642">
              <w:rPr>
                <w:rFonts w:cs="Arial"/>
                <w:b/>
                <w:bCs/>
              </w:rPr>
              <w:t>5 734</w:t>
            </w:r>
          </w:p>
        </w:tc>
        <w:tc>
          <w:tcPr>
            <w:tcW w:w="804" w:type="dxa"/>
            <w:tcBorders>
              <w:top w:val="single" w:sz="6" w:space="0" w:color="auto"/>
              <w:left w:val="single" w:sz="6" w:space="0" w:color="auto"/>
              <w:bottom w:val="single" w:sz="6" w:space="0" w:color="auto"/>
              <w:right w:val="single" w:sz="6" w:space="0" w:color="auto"/>
            </w:tcBorders>
          </w:tcPr>
          <w:p w14:paraId="2D4B3174" w14:textId="77777777" w:rsidR="00CA23D0" w:rsidRPr="00E30642" w:rsidRDefault="00CA23D0" w:rsidP="00CA23D0">
            <w:pPr>
              <w:pStyle w:val="Texttabulky"/>
              <w:spacing w:line="240" w:lineRule="atLeast"/>
              <w:jc w:val="both"/>
              <w:rPr>
                <w:rFonts w:cs="Arial"/>
              </w:rPr>
            </w:pPr>
            <w:r w:rsidRPr="00E30642">
              <w:rPr>
                <w:rFonts w:cs="Arial"/>
                <w:b/>
                <w:bCs/>
              </w:rPr>
              <w:t>697</w:t>
            </w:r>
          </w:p>
        </w:tc>
        <w:tc>
          <w:tcPr>
            <w:tcW w:w="763" w:type="dxa"/>
            <w:tcBorders>
              <w:top w:val="single" w:sz="6" w:space="0" w:color="auto"/>
              <w:left w:val="single" w:sz="6" w:space="0" w:color="auto"/>
              <w:bottom w:val="single" w:sz="6" w:space="0" w:color="auto"/>
              <w:right w:val="single" w:sz="6" w:space="0" w:color="auto"/>
            </w:tcBorders>
          </w:tcPr>
          <w:p w14:paraId="38B4EF48" w14:textId="77777777" w:rsidR="00CA23D0" w:rsidRPr="00E30642" w:rsidRDefault="00CA23D0" w:rsidP="00CA23D0">
            <w:pPr>
              <w:pStyle w:val="Texttabulky"/>
              <w:spacing w:line="240" w:lineRule="atLeast"/>
              <w:jc w:val="both"/>
              <w:rPr>
                <w:rFonts w:cs="Arial"/>
              </w:rPr>
            </w:pPr>
            <w:r w:rsidRPr="00E30642">
              <w:rPr>
                <w:rFonts w:cs="Arial"/>
                <w:b/>
                <w:bCs/>
              </w:rPr>
              <w:t>7 222</w:t>
            </w:r>
          </w:p>
        </w:tc>
        <w:tc>
          <w:tcPr>
            <w:tcW w:w="764" w:type="dxa"/>
            <w:tcBorders>
              <w:top w:val="single" w:sz="6" w:space="0" w:color="auto"/>
              <w:left w:val="single" w:sz="6" w:space="0" w:color="auto"/>
              <w:bottom w:val="single" w:sz="6" w:space="0" w:color="auto"/>
              <w:right w:val="single" w:sz="6" w:space="0" w:color="auto"/>
            </w:tcBorders>
          </w:tcPr>
          <w:p w14:paraId="104C6338" w14:textId="77777777" w:rsidR="00CA23D0" w:rsidRPr="00E30642" w:rsidRDefault="00CA23D0" w:rsidP="00CA23D0">
            <w:pPr>
              <w:pStyle w:val="Texttabulky"/>
              <w:spacing w:line="240" w:lineRule="atLeast"/>
              <w:jc w:val="both"/>
              <w:rPr>
                <w:rFonts w:cs="Arial"/>
              </w:rPr>
            </w:pPr>
            <w:r w:rsidRPr="00E30642">
              <w:rPr>
                <w:rFonts w:cs="Arial"/>
                <w:b/>
                <w:bCs/>
              </w:rPr>
              <w:t>128</w:t>
            </w:r>
          </w:p>
        </w:tc>
        <w:tc>
          <w:tcPr>
            <w:tcW w:w="709" w:type="dxa"/>
            <w:tcBorders>
              <w:top w:val="single" w:sz="6" w:space="0" w:color="auto"/>
              <w:left w:val="single" w:sz="6" w:space="0" w:color="auto"/>
              <w:bottom w:val="single" w:sz="6" w:space="0" w:color="auto"/>
              <w:right w:val="single" w:sz="6" w:space="0" w:color="auto"/>
            </w:tcBorders>
          </w:tcPr>
          <w:p w14:paraId="5D870873" w14:textId="77777777" w:rsidR="00CA23D0" w:rsidRPr="00E30642" w:rsidRDefault="00CA23D0" w:rsidP="00CA23D0">
            <w:pPr>
              <w:pStyle w:val="Texttabulky"/>
              <w:spacing w:line="240" w:lineRule="atLeast"/>
              <w:jc w:val="both"/>
              <w:rPr>
                <w:rFonts w:cs="Arial"/>
              </w:rPr>
            </w:pPr>
            <w:r w:rsidRPr="00E30642">
              <w:rPr>
                <w:rFonts w:cs="Arial"/>
                <w:b/>
                <w:bCs/>
              </w:rPr>
              <w:t>-919</w:t>
            </w:r>
          </w:p>
        </w:tc>
        <w:tc>
          <w:tcPr>
            <w:tcW w:w="708" w:type="dxa"/>
            <w:tcBorders>
              <w:top w:val="single" w:sz="6" w:space="0" w:color="auto"/>
              <w:left w:val="single" w:sz="6" w:space="0" w:color="auto"/>
              <w:bottom w:val="single" w:sz="6" w:space="0" w:color="auto"/>
              <w:right w:val="single" w:sz="6" w:space="0" w:color="auto"/>
            </w:tcBorders>
          </w:tcPr>
          <w:p w14:paraId="205C0AF5" w14:textId="77777777" w:rsidR="00CA23D0" w:rsidRPr="00E30642" w:rsidRDefault="00CA23D0" w:rsidP="00CA23D0">
            <w:pPr>
              <w:pStyle w:val="Texttabulky"/>
              <w:spacing w:line="240" w:lineRule="atLeast"/>
              <w:jc w:val="both"/>
              <w:rPr>
                <w:rFonts w:cs="Arial"/>
              </w:rPr>
            </w:pPr>
            <w:r w:rsidRPr="00E30642">
              <w:rPr>
                <w:rFonts w:cs="Arial"/>
                <w:b/>
                <w:bCs/>
              </w:rPr>
              <w:t>-976</w:t>
            </w:r>
          </w:p>
        </w:tc>
        <w:tc>
          <w:tcPr>
            <w:tcW w:w="736" w:type="dxa"/>
            <w:tcBorders>
              <w:top w:val="single" w:sz="6" w:space="0" w:color="auto"/>
              <w:left w:val="single" w:sz="6" w:space="0" w:color="auto"/>
              <w:bottom w:val="single" w:sz="6" w:space="0" w:color="auto"/>
              <w:right w:val="single" w:sz="6" w:space="0" w:color="auto"/>
            </w:tcBorders>
          </w:tcPr>
          <w:p w14:paraId="061D110E" w14:textId="77777777" w:rsidR="00CA23D0" w:rsidRPr="00E30642" w:rsidRDefault="00CA23D0" w:rsidP="00CA23D0">
            <w:pPr>
              <w:pStyle w:val="Zkladntext"/>
              <w:jc w:val="both"/>
              <w:rPr>
                <w:rFonts w:ascii="Arial" w:hAnsi="Arial" w:cs="Arial"/>
              </w:rPr>
            </w:pPr>
          </w:p>
        </w:tc>
      </w:tr>
    </w:tbl>
    <w:p w14:paraId="126663C8" w14:textId="77777777" w:rsidR="00CA23D0" w:rsidRPr="00E30642" w:rsidRDefault="00CA23D0" w:rsidP="00CA23D0">
      <w:pPr>
        <w:autoSpaceDE w:val="0"/>
        <w:autoSpaceDN w:val="0"/>
        <w:adjustRightInd w:val="0"/>
        <w:jc w:val="both"/>
        <w:rPr>
          <w:rFonts w:ascii="Arial" w:hAnsi="Arial" w:cs="Arial"/>
          <w:sz w:val="20"/>
        </w:rPr>
      </w:pPr>
    </w:p>
    <w:p w14:paraId="7D0EAE5E" w14:textId="77777777" w:rsidR="00CA23D0" w:rsidRPr="00E30642" w:rsidRDefault="00CA23D0" w:rsidP="00CA23D0">
      <w:pPr>
        <w:pStyle w:val="Zkladntext"/>
        <w:spacing w:line="240" w:lineRule="atLeast"/>
        <w:jc w:val="both"/>
        <w:rPr>
          <w:rFonts w:ascii="Arial" w:hAnsi="Arial" w:cs="Arial"/>
        </w:rPr>
      </w:pPr>
    </w:p>
    <w:p w14:paraId="37444DA0" w14:textId="77777777" w:rsidR="00CA23D0" w:rsidRDefault="00CA23D0" w:rsidP="00CA23D0">
      <w:pPr>
        <w:pStyle w:val="Zkladntext"/>
        <w:spacing w:line="240" w:lineRule="atLeast"/>
        <w:ind w:firstLine="708"/>
        <w:jc w:val="both"/>
        <w:rPr>
          <w:rFonts w:ascii="Arial" w:hAnsi="Arial" w:cs="Arial"/>
        </w:rPr>
      </w:pPr>
    </w:p>
    <w:p w14:paraId="5262C82B" w14:textId="77777777" w:rsidR="00D3579D" w:rsidRDefault="00D3579D" w:rsidP="00CA23D0">
      <w:pPr>
        <w:pStyle w:val="Zkladntext"/>
        <w:spacing w:line="240" w:lineRule="atLeast"/>
        <w:ind w:firstLine="708"/>
        <w:jc w:val="both"/>
        <w:rPr>
          <w:rFonts w:ascii="Arial" w:hAnsi="Arial" w:cs="Arial"/>
        </w:rPr>
      </w:pPr>
    </w:p>
    <w:p w14:paraId="32A5F9AE" w14:textId="77777777" w:rsidR="00D3579D" w:rsidRDefault="00D3579D" w:rsidP="00CA23D0">
      <w:pPr>
        <w:pStyle w:val="Zkladntext"/>
        <w:spacing w:line="240" w:lineRule="atLeast"/>
        <w:ind w:firstLine="708"/>
        <w:jc w:val="both"/>
        <w:rPr>
          <w:rFonts w:ascii="Arial" w:hAnsi="Arial" w:cs="Arial"/>
        </w:rPr>
      </w:pPr>
    </w:p>
    <w:p w14:paraId="24685CCF" w14:textId="77777777" w:rsidR="00D3579D" w:rsidRDefault="00D3579D" w:rsidP="00CA23D0">
      <w:pPr>
        <w:pStyle w:val="Zkladntext"/>
        <w:spacing w:line="240" w:lineRule="atLeast"/>
        <w:ind w:firstLine="708"/>
        <w:jc w:val="both"/>
        <w:rPr>
          <w:rFonts w:ascii="Arial" w:hAnsi="Arial" w:cs="Arial"/>
        </w:rPr>
      </w:pPr>
    </w:p>
    <w:p w14:paraId="52BD2772" w14:textId="77777777" w:rsidR="00D3579D" w:rsidRDefault="00D3579D" w:rsidP="00CA23D0">
      <w:pPr>
        <w:pStyle w:val="Zkladntext"/>
        <w:spacing w:line="240" w:lineRule="atLeast"/>
        <w:ind w:firstLine="708"/>
        <w:jc w:val="both"/>
        <w:rPr>
          <w:rFonts w:ascii="Arial" w:hAnsi="Arial" w:cs="Arial"/>
        </w:rPr>
      </w:pPr>
    </w:p>
    <w:p w14:paraId="3D9F2DB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  přehledu je zřejmé, že všechny hodnoty přírůstků přirozenou měnou, migrací a nakonec i přírůstek celkový jsou v záporných číslech. Obyvatel v důsledku vývoje přirozenou měnou a migrací ubylo v tomto období celkem 976 osob. Počet obyvatel charakterizovaný stavy na počátku a konci roku zaznamenává i změny v rozloze města a to z  důvodů vyčlenění dnes obcí Kámen, Ludvíkovice a později Těchlovic.</w:t>
      </w:r>
    </w:p>
    <w:p w14:paraId="1EAA5FA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Jako jeden z  hlavních vstupů pro stanovení  vývoje obyvatelstva je výpočet projekce obyvatelstva podle okresů  České republiky do roku 2020, kterou zpracoval Český statistický úřad v roce 1993. Tato projekce je řešena za předpokladu vývoje přirozenou měnou, tedy bez zápočtu vlivu migrace. Pro okres Děčín byl vypočten následující trend vývoje:</w:t>
      </w:r>
    </w:p>
    <w:p w14:paraId="0924B27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p>
    <w:p w14:paraId="5FDFFB96"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Okres Děčín  - projekce obyvatelstva do roku 2020</w:t>
      </w:r>
    </w:p>
    <w:tbl>
      <w:tblPr>
        <w:tblW w:w="0" w:type="auto"/>
        <w:tblInd w:w="30" w:type="dxa"/>
        <w:tblLayout w:type="fixed"/>
        <w:tblCellMar>
          <w:left w:w="30" w:type="dxa"/>
          <w:right w:w="30" w:type="dxa"/>
        </w:tblCellMar>
        <w:tblLook w:val="0000" w:firstRow="0" w:lastRow="0" w:firstColumn="0" w:lastColumn="0" w:noHBand="0" w:noVBand="0"/>
      </w:tblPr>
      <w:tblGrid>
        <w:gridCol w:w="900"/>
        <w:gridCol w:w="559"/>
        <w:gridCol w:w="614"/>
        <w:gridCol w:w="762"/>
        <w:gridCol w:w="709"/>
        <w:gridCol w:w="567"/>
        <w:gridCol w:w="709"/>
        <w:gridCol w:w="567"/>
        <w:gridCol w:w="567"/>
        <w:gridCol w:w="709"/>
        <w:gridCol w:w="708"/>
        <w:gridCol w:w="567"/>
        <w:gridCol w:w="709"/>
      </w:tblGrid>
      <w:tr w:rsidR="00CA23D0" w:rsidRPr="00E30642" w14:paraId="722B6A05" w14:textId="77777777" w:rsidTr="00CA23D0">
        <w:tc>
          <w:tcPr>
            <w:tcW w:w="900" w:type="dxa"/>
            <w:tcBorders>
              <w:top w:val="single" w:sz="6" w:space="0" w:color="auto"/>
              <w:left w:val="single" w:sz="6" w:space="0" w:color="auto"/>
              <w:bottom w:val="single" w:sz="6" w:space="0" w:color="auto"/>
              <w:right w:val="single" w:sz="6" w:space="0" w:color="auto"/>
            </w:tcBorders>
          </w:tcPr>
          <w:p w14:paraId="2EC3A0B4" w14:textId="77777777" w:rsidR="00CA23D0" w:rsidRPr="00E30642" w:rsidRDefault="00CA23D0" w:rsidP="00CA23D0">
            <w:pPr>
              <w:pStyle w:val="Zkladntext"/>
              <w:jc w:val="both"/>
              <w:rPr>
                <w:rFonts w:ascii="Arial" w:hAnsi="Arial" w:cs="Arial"/>
              </w:rPr>
            </w:pPr>
          </w:p>
        </w:tc>
        <w:tc>
          <w:tcPr>
            <w:tcW w:w="1935" w:type="dxa"/>
            <w:gridSpan w:val="3"/>
            <w:tcBorders>
              <w:top w:val="single" w:sz="6" w:space="0" w:color="auto"/>
              <w:left w:val="single" w:sz="6" w:space="0" w:color="auto"/>
              <w:bottom w:val="single" w:sz="6" w:space="0" w:color="auto"/>
              <w:right w:val="single" w:sz="6" w:space="0" w:color="auto"/>
            </w:tcBorders>
          </w:tcPr>
          <w:p w14:paraId="21F8F2DB" w14:textId="77777777" w:rsidR="00CA23D0" w:rsidRPr="00E30642" w:rsidRDefault="00CA23D0" w:rsidP="00CA23D0">
            <w:pPr>
              <w:pStyle w:val="Zkladntext"/>
              <w:jc w:val="both"/>
              <w:rPr>
                <w:rFonts w:ascii="Arial" w:hAnsi="Arial" w:cs="Arial"/>
              </w:rPr>
            </w:pPr>
            <w:r w:rsidRPr="00E30642">
              <w:rPr>
                <w:rFonts w:ascii="Arial" w:hAnsi="Arial" w:cs="Arial"/>
                <w:b/>
                <w:bCs/>
              </w:rPr>
              <w:t>rok  1995</w:t>
            </w:r>
          </w:p>
        </w:tc>
        <w:tc>
          <w:tcPr>
            <w:tcW w:w="1985" w:type="dxa"/>
            <w:gridSpan w:val="3"/>
            <w:tcBorders>
              <w:top w:val="single" w:sz="6" w:space="0" w:color="auto"/>
              <w:left w:val="single" w:sz="6" w:space="0" w:color="auto"/>
              <w:bottom w:val="single" w:sz="6" w:space="0" w:color="auto"/>
              <w:right w:val="single" w:sz="6" w:space="0" w:color="auto"/>
            </w:tcBorders>
          </w:tcPr>
          <w:p w14:paraId="668990C0" w14:textId="77777777" w:rsidR="00CA23D0" w:rsidRPr="00E30642" w:rsidRDefault="00CA23D0" w:rsidP="00CA23D0">
            <w:pPr>
              <w:pStyle w:val="Zkladntext"/>
              <w:jc w:val="both"/>
              <w:rPr>
                <w:rFonts w:ascii="Arial" w:hAnsi="Arial" w:cs="Arial"/>
              </w:rPr>
            </w:pPr>
            <w:r w:rsidRPr="00E30642">
              <w:rPr>
                <w:rFonts w:ascii="Arial" w:hAnsi="Arial" w:cs="Arial"/>
                <w:b/>
                <w:bCs/>
              </w:rPr>
              <w:t>rok   2000</w:t>
            </w:r>
          </w:p>
        </w:tc>
        <w:tc>
          <w:tcPr>
            <w:tcW w:w="1843" w:type="dxa"/>
            <w:gridSpan w:val="3"/>
            <w:tcBorders>
              <w:top w:val="single" w:sz="6" w:space="0" w:color="auto"/>
              <w:left w:val="single" w:sz="6" w:space="0" w:color="auto"/>
              <w:bottom w:val="single" w:sz="6" w:space="0" w:color="auto"/>
              <w:right w:val="single" w:sz="6" w:space="0" w:color="auto"/>
            </w:tcBorders>
          </w:tcPr>
          <w:p w14:paraId="468303BF" w14:textId="77777777" w:rsidR="00CA23D0" w:rsidRPr="00E30642" w:rsidRDefault="00CA23D0" w:rsidP="00CA23D0">
            <w:pPr>
              <w:pStyle w:val="Zkladntext"/>
              <w:jc w:val="both"/>
              <w:rPr>
                <w:rFonts w:ascii="Arial" w:hAnsi="Arial" w:cs="Arial"/>
              </w:rPr>
            </w:pPr>
            <w:r w:rsidRPr="00E30642">
              <w:rPr>
                <w:rFonts w:ascii="Arial" w:hAnsi="Arial" w:cs="Arial"/>
                <w:b/>
                <w:bCs/>
              </w:rPr>
              <w:t>rok   2010</w:t>
            </w:r>
          </w:p>
        </w:tc>
        <w:tc>
          <w:tcPr>
            <w:tcW w:w="1984" w:type="dxa"/>
            <w:gridSpan w:val="3"/>
            <w:tcBorders>
              <w:top w:val="single" w:sz="6" w:space="0" w:color="auto"/>
              <w:left w:val="single" w:sz="6" w:space="0" w:color="auto"/>
              <w:bottom w:val="single" w:sz="6" w:space="0" w:color="auto"/>
              <w:right w:val="single" w:sz="6" w:space="0" w:color="auto"/>
            </w:tcBorders>
          </w:tcPr>
          <w:p w14:paraId="2B3382BE" w14:textId="77777777" w:rsidR="00CA23D0" w:rsidRPr="00E30642" w:rsidRDefault="00CA23D0" w:rsidP="00CA23D0">
            <w:pPr>
              <w:pStyle w:val="Zkladntext"/>
              <w:jc w:val="both"/>
              <w:rPr>
                <w:rFonts w:ascii="Arial" w:hAnsi="Arial" w:cs="Arial"/>
              </w:rPr>
            </w:pPr>
            <w:r w:rsidRPr="00E30642">
              <w:rPr>
                <w:rFonts w:ascii="Arial" w:hAnsi="Arial" w:cs="Arial"/>
                <w:b/>
                <w:bCs/>
              </w:rPr>
              <w:t>rok   2020</w:t>
            </w:r>
          </w:p>
        </w:tc>
      </w:tr>
      <w:tr w:rsidR="00CA23D0" w:rsidRPr="00E30642" w14:paraId="7910AEEF" w14:textId="77777777" w:rsidTr="00CA23D0">
        <w:tc>
          <w:tcPr>
            <w:tcW w:w="900" w:type="dxa"/>
            <w:tcBorders>
              <w:top w:val="single" w:sz="6" w:space="0" w:color="auto"/>
              <w:left w:val="single" w:sz="6" w:space="0" w:color="auto"/>
              <w:bottom w:val="single" w:sz="6" w:space="0" w:color="auto"/>
              <w:right w:val="single" w:sz="6" w:space="0" w:color="auto"/>
            </w:tcBorders>
          </w:tcPr>
          <w:p w14:paraId="068F2819" w14:textId="77777777" w:rsidR="00CA23D0" w:rsidRPr="00E30642" w:rsidRDefault="00CA23D0" w:rsidP="00CA23D0">
            <w:pPr>
              <w:pStyle w:val="Texttabulky"/>
              <w:spacing w:line="240" w:lineRule="atLeast"/>
              <w:jc w:val="both"/>
              <w:rPr>
                <w:rFonts w:cs="Arial"/>
              </w:rPr>
            </w:pPr>
            <w:r w:rsidRPr="00E30642">
              <w:rPr>
                <w:rFonts w:cs="Arial"/>
                <w:b/>
                <w:bCs/>
              </w:rPr>
              <w:t>Věk</w:t>
            </w:r>
          </w:p>
        </w:tc>
        <w:tc>
          <w:tcPr>
            <w:tcW w:w="559" w:type="dxa"/>
            <w:tcBorders>
              <w:top w:val="single" w:sz="6" w:space="0" w:color="auto"/>
              <w:left w:val="single" w:sz="6" w:space="0" w:color="auto"/>
              <w:bottom w:val="single" w:sz="6" w:space="0" w:color="auto"/>
              <w:right w:val="single" w:sz="6" w:space="0" w:color="auto"/>
            </w:tcBorders>
          </w:tcPr>
          <w:p w14:paraId="3D01F84F" w14:textId="77777777" w:rsidR="00CA23D0" w:rsidRPr="00E30642" w:rsidRDefault="00CA23D0" w:rsidP="00CA23D0">
            <w:pPr>
              <w:pStyle w:val="Texttabulky"/>
              <w:spacing w:line="240" w:lineRule="atLeast"/>
              <w:jc w:val="both"/>
              <w:rPr>
                <w:rFonts w:cs="Arial"/>
              </w:rPr>
            </w:pPr>
            <w:r w:rsidRPr="00E30642">
              <w:rPr>
                <w:rFonts w:cs="Arial"/>
              </w:rPr>
              <w:t xml:space="preserve">muži </w:t>
            </w:r>
          </w:p>
        </w:tc>
        <w:tc>
          <w:tcPr>
            <w:tcW w:w="614" w:type="dxa"/>
            <w:tcBorders>
              <w:top w:val="single" w:sz="6" w:space="0" w:color="auto"/>
              <w:left w:val="single" w:sz="6" w:space="0" w:color="auto"/>
              <w:bottom w:val="single" w:sz="6" w:space="0" w:color="auto"/>
              <w:right w:val="single" w:sz="6" w:space="0" w:color="auto"/>
            </w:tcBorders>
          </w:tcPr>
          <w:p w14:paraId="0F9FD581" w14:textId="77777777" w:rsidR="00CA23D0" w:rsidRPr="00E30642" w:rsidRDefault="00CA23D0" w:rsidP="00CA23D0">
            <w:pPr>
              <w:pStyle w:val="Texttabulky"/>
              <w:spacing w:line="240" w:lineRule="atLeast"/>
              <w:jc w:val="both"/>
              <w:rPr>
                <w:rFonts w:cs="Arial"/>
              </w:rPr>
            </w:pPr>
            <w:r w:rsidRPr="00E30642">
              <w:rPr>
                <w:rFonts w:cs="Arial"/>
              </w:rPr>
              <w:t>ženy</w:t>
            </w:r>
          </w:p>
        </w:tc>
        <w:tc>
          <w:tcPr>
            <w:tcW w:w="762" w:type="dxa"/>
            <w:tcBorders>
              <w:top w:val="single" w:sz="6" w:space="0" w:color="auto"/>
              <w:left w:val="single" w:sz="6" w:space="0" w:color="auto"/>
              <w:bottom w:val="single" w:sz="6" w:space="0" w:color="auto"/>
              <w:right w:val="single" w:sz="6" w:space="0" w:color="auto"/>
            </w:tcBorders>
          </w:tcPr>
          <w:p w14:paraId="01CE716F" w14:textId="77777777" w:rsidR="00CA23D0" w:rsidRPr="00E30642" w:rsidRDefault="00CA23D0" w:rsidP="00CA23D0">
            <w:pPr>
              <w:pStyle w:val="Texttabulky"/>
              <w:spacing w:line="240" w:lineRule="atLeast"/>
              <w:jc w:val="both"/>
              <w:rPr>
                <w:rFonts w:cs="Arial"/>
              </w:rPr>
            </w:pPr>
            <w:r w:rsidRPr="00E30642">
              <w:rPr>
                <w:rFonts w:cs="Arial"/>
              </w:rPr>
              <w:t>celkem</w:t>
            </w:r>
          </w:p>
        </w:tc>
        <w:tc>
          <w:tcPr>
            <w:tcW w:w="709" w:type="dxa"/>
            <w:tcBorders>
              <w:top w:val="single" w:sz="6" w:space="0" w:color="auto"/>
              <w:left w:val="single" w:sz="6" w:space="0" w:color="auto"/>
              <w:bottom w:val="single" w:sz="6" w:space="0" w:color="auto"/>
              <w:right w:val="single" w:sz="6" w:space="0" w:color="auto"/>
            </w:tcBorders>
          </w:tcPr>
          <w:p w14:paraId="67E2724F" w14:textId="77777777" w:rsidR="00CA23D0" w:rsidRPr="00E30642" w:rsidRDefault="00CA23D0" w:rsidP="00CA23D0">
            <w:pPr>
              <w:pStyle w:val="Texttabulky"/>
              <w:spacing w:line="240" w:lineRule="atLeast"/>
              <w:jc w:val="both"/>
              <w:rPr>
                <w:rFonts w:cs="Arial"/>
              </w:rPr>
            </w:pPr>
            <w:r w:rsidRPr="00E30642">
              <w:rPr>
                <w:rFonts w:cs="Arial"/>
              </w:rPr>
              <w:t xml:space="preserve">muži </w:t>
            </w:r>
          </w:p>
        </w:tc>
        <w:tc>
          <w:tcPr>
            <w:tcW w:w="567" w:type="dxa"/>
            <w:tcBorders>
              <w:top w:val="single" w:sz="6" w:space="0" w:color="auto"/>
              <w:left w:val="single" w:sz="6" w:space="0" w:color="auto"/>
              <w:bottom w:val="single" w:sz="6" w:space="0" w:color="auto"/>
              <w:right w:val="single" w:sz="6" w:space="0" w:color="auto"/>
            </w:tcBorders>
          </w:tcPr>
          <w:p w14:paraId="75482960" w14:textId="77777777" w:rsidR="00CA23D0" w:rsidRPr="00E30642" w:rsidRDefault="00CA23D0" w:rsidP="00CA23D0">
            <w:pPr>
              <w:pStyle w:val="Texttabulky"/>
              <w:spacing w:line="240" w:lineRule="atLeast"/>
              <w:jc w:val="both"/>
              <w:rPr>
                <w:rFonts w:cs="Arial"/>
              </w:rPr>
            </w:pPr>
            <w:r w:rsidRPr="00E30642">
              <w:rPr>
                <w:rFonts w:cs="Arial"/>
              </w:rPr>
              <w:t>ženy</w:t>
            </w:r>
          </w:p>
        </w:tc>
        <w:tc>
          <w:tcPr>
            <w:tcW w:w="709" w:type="dxa"/>
            <w:tcBorders>
              <w:top w:val="single" w:sz="6" w:space="0" w:color="auto"/>
              <w:left w:val="single" w:sz="6" w:space="0" w:color="auto"/>
              <w:bottom w:val="single" w:sz="6" w:space="0" w:color="auto"/>
              <w:right w:val="single" w:sz="6" w:space="0" w:color="auto"/>
            </w:tcBorders>
          </w:tcPr>
          <w:p w14:paraId="6C682F33" w14:textId="77777777" w:rsidR="00CA23D0" w:rsidRPr="00E30642" w:rsidRDefault="00CA23D0" w:rsidP="00CA23D0">
            <w:pPr>
              <w:pStyle w:val="Texttabulky"/>
              <w:spacing w:line="240" w:lineRule="atLeast"/>
              <w:jc w:val="both"/>
              <w:rPr>
                <w:rFonts w:cs="Arial"/>
              </w:rPr>
            </w:pPr>
            <w:r w:rsidRPr="00E30642">
              <w:rPr>
                <w:rFonts w:cs="Arial"/>
              </w:rPr>
              <w:t>celkem</w:t>
            </w:r>
          </w:p>
        </w:tc>
        <w:tc>
          <w:tcPr>
            <w:tcW w:w="567" w:type="dxa"/>
            <w:tcBorders>
              <w:top w:val="single" w:sz="6" w:space="0" w:color="auto"/>
              <w:left w:val="single" w:sz="6" w:space="0" w:color="auto"/>
              <w:bottom w:val="single" w:sz="6" w:space="0" w:color="auto"/>
              <w:right w:val="single" w:sz="6" w:space="0" w:color="auto"/>
            </w:tcBorders>
          </w:tcPr>
          <w:p w14:paraId="73E7A3F2" w14:textId="77777777" w:rsidR="00CA23D0" w:rsidRPr="00E30642" w:rsidRDefault="00CA23D0" w:rsidP="00CA23D0">
            <w:pPr>
              <w:pStyle w:val="Texttabulky"/>
              <w:spacing w:line="240" w:lineRule="atLeast"/>
              <w:jc w:val="both"/>
              <w:rPr>
                <w:rFonts w:cs="Arial"/>
              </w:rPr>
            </w:pPr>
            <w:r w:rsidRPr="00E30642">
              <w:rPr>
                <w:rFonts w:cs="Arial"/>
              </w:rPr>
              <w:t xml:space="preserve">Muži </w:t>
            </w:r>
          </w:p>
        </w:tc>
        <w:tc>
          <w:tcPr>
            <w:tcW w:w="567" w:type="dxa"/>
            <w:tcBorders>
              <w:top w:val="single" w:sz="6" w:space="0" w:color="auto"/>
              <w:left w:val="single" w:sz="6" w:space="0" w:color="auto"/>
              <w:bottom w:val="single" w:sz="6" w:space="0" w:color="auto"/>
              <w:right w:val="single" w:sz="6" w:space="0" w:color="auto"/>
            </w:tcBorders>
          </w:tcPr>
          <w:p w14:paraId="188974D3" w14:textId="77777777" w:rsidR="00CA23D0" w:rsidRPr="00E30642" w:rsidRDefault="00CA23D0" w:rsidP="00CA23D0">
            <w:pPr>
              <w:pStyle w:val="Texttabulky"/>
              <w:spacing w:line="240" w:lineRule="atLeast"/>
              <w:jc w:val="both"/>
              <w:rPr>
                <w:rFonts w:cs="Arial"/>
              </w:rPr>
            </w:pPr>
            <w:r w:rsidRPr="00E30642">
              <w:rPr>
                <w:rFonts w:cs="Arial"/>
              </w:rPr>
              <w:t>ženy</w:t>
            </w:r>
          </w:p>
        </w:tc>
        <w:tc>
          <w:tcPr>
            <w:tcW w:w="709" w:type="dxa"/>
            <w:tcBorders>
              <w:top w:val="single" w:sz="6" w:space="0" w:color="auto"/>
              <w:left w:val="single" w:sz="6" w:space="0" w:color="auto"/>
              <w:bottom w:val="single" w:sz="6" w:space="0" w:color="auto"/>
              <w:right w:val="single" w:sz="6" w:space="0" w:color="auto"/>
            </w:tcBorders>
          </w:tcPr>
          <w:p w14:paraId="6C538A82" w14:textId="77777777" w:rsidR="00CA23D0" w:rsidRPr="00E30642" w:rsidRDefault="00CA23D0" w:rsidP="00CA23D0">
            <w:pPr>
              <w:pStyle w:val="Texttabulky"/>
              <w:spacing w:line="240" w:lineRule="atLeast"/>
              <w:jc w:val="both"/>
              <w:rPr>
                <w:rFonts w:cs="Arial"/>
              </w:rPr>
            </w:pPr>
            <w:r w:rsidRPr="00E30642">
              <w:rPr>
                <w:rFonts w:cs="Arial"/>
              </w:rPr>
              <w:t>celkem</w:t>
            </w:r>
          </w:p>
        </w:tc>
        <w:tc>
          <w:tcPr>
            <w:tcW w:w="708" w:type="dxa"/>
            <w:tcBorders>
              <w:top w:val="single" w:sz="6" w:space="0" w:color="auto"/>
              <w:left w:val="single" w:sz="6" w:space="0" w:color="auto"/>
              <w:bottom w:val="single" w:sz="6" w:space="0" w:color="auto"/>
              <w:right w:val="single" w:sz="6" w:space="0" w:color="auto"/>
            </w:tcBorders>
          </w:tcPr>
          <w:p w14:paraId="5BF57E7B" w14:textId="77777777" w:rsidR="00CA23D0" w:rsidRPr="00E30642" w:rsidRDefault="00CA23D0" w:rsidP="00CA23D0">
            <w:pPr>
              <w:pStyle w:val="Texttabulky"/>
              <w:spacing w:line="240" w:lineRule="atLeast"/>
              <w:jc w:val="both"/>
              <w:rPr>
                <w:rFonts w:cs="Arial"/>
              </w:rPr>
            </w:pPr>
            <w:r w:rsidRPr="00E30642">
              <w:rPr>
                <w:rFonts w:cs="Arial"/>
              </w:rPr>
              <w:t xml:space="preserve">muži </w:t>
            </w:r>
          </w:p>
        </w:tc>
        <w:tc>
          <w:tcPr>
            <w:tcW w:w="567" w:type="dxa"/>
            <w:tcBorders>
              <w:top w:val="single" w:sz="6" w:space="0" w:color="auto"/>
              <w:left w:val="single" w:sz="6" w:space="0" w:color="auto"/>
              <w:bottom w:val="single" w:sz="6" w:space="0" w:color="auto"/>
              <w:right w:val="single" w:sz="6" w:space="0" w:color="auto"/>
            </w:tcBorders>
          </w:tcPr>
          <w:p w14:paraId="74022C31" w14:textId="77777777" w:rsidR="00CA23D0" w:rsidRPr="00E30642" w:rsidRDefault="00CA23D0" w:rsidP="00CA23D0">
            <w:pPr>
              <w:pStyle w:val="Texttabulky"/>
              <w:spacing w:line="240" w:lineRule="atLeast"/>
              <w:jc w:val="both"/>
              <w:rPr>
                <w:rFonts w:cs="Arial"/>
              </w:rPr>
            </w:pPr>
            <w:r w:rsidRPr="00E30642">
              <w:rPr>
                <w:rFonts w:cs="Arial"/>
              </w:rPr>
              <w:t>ženy</w:t>
            </w:r>
          </w:p>
        </w:tc>
        <w:tc>
          <w:tcPr>
            <w:tcW w:w="709" w:type="dxa"/>
            <w:tcBorders>
              <w:top w:val="single" w:sz="6" w:space="0" w:color="auto"/>
              <w:left w:val="single" w:sz="6" w:space="0" w:color="auto"/>
              <w:bottom w:val="single" w:sz="6" w:space="0" w:color="auto"/>
              <w:right w:val="single" w:sz="6" w:space="0" w:color="auto"/>
            </w:tcBorders>
          </w:tcPr>
          <w:p w14:paraId="12664924" w14:textId="77777777" w:rsidR="00CA23D0" w:rsidRPr="00E30642" w:rsidRDefault="00CA23D0" w:rsidP="00CA23D0">
            <w:pPr>
              <w:pStyle w:val="Texttabulky"/>
              <w:spacing w:line="240" w:lineRule="atLeast"/>
              <w:jc w:val="both"/>
              <w:rPr>
                <w:rFonts w:cs="Arial"/>
              </w:rPr>
            </w:pPr>
            <w:r w:rsidRPr="00E30642">
              <w:rPr>
                <w:rFonts w:cs="Arial"/>
              </w:rPr>
              <w:t>celkem</w:t>
            </w:r>
          </w:p>
        </w:tc>
      </w:tr>
      <w:tr w:rsidR="00CA23D0" w:rsidRPr="00E30642" w14:paraId="7FBDDE0D" w14:textId="77777777" w:rsidTr="00CA23D0">
        <w:tc>
          <w:tcPr>
            <w:tcW w:w="900" w:type="dxa"/>
            <w:tcBorders>
              <w:top w:val="single" w:sz="6" w:space="0" w:color="auto"/>
              <w:left w:val="single" w:sz="6" w:space="0" w:color="auto"/>
              <w:bottom w:val="single" w:sz="6" w:space="0" w:color="auto"/>
              <w:right w:val="single" w:sz="6" w:space="0" w:color="auto"/>
            </w:tcBorders>
          </w:tcPr>
          <w:p w14:paraId="10140442" w14:textId="77777777" w:rsidR="00CA23D0" w:rsidRPr="00E30642" w:rsidRDefault="00CA23D0" w:rsidP="00CA23D0">
            <w:pPr>
              <w:pStyle w:val="Texttabulky"/>
              <w:spacing w:line="240" w:lineRule="atLeast"/>
              <w:jc w:val="both"/>
              <w:rPr>
                <w:rFonts w:cs="Arial"/>
              </w:rPr>
            </w:pPr>
            <w:r w:rsidRPr="00E30642">
              <w:rPr>
                <w:rFonts w:cs="Arial"/>
                <w:b/>
                <w:bCs/>
              </w:rPr>
              <w:t>0-4</w:t>
            </w:r>
          </w:p>
        </w:tc>
        <w:tc>
          <w:tcPr>
            <w:tcW w:w="559" w:type="dxa"/>
            <w:tcBorders>
              <w:top w:val="single" w:sz="6" w:space="0" w:color="auto"/>
              <w:left w:val="single" w:sz="6" w:space="0" w:color="auto"/>
              <w:bottom w:val="single" w:sz="6" w:space="0" w:color="auto"/>
              <w:right w:val="single" w:sz="6" w:space="0" w:color="auto"/>
            </w:tcBorders>
          </w:tcPr>
          <w:p w14:paraId="6AF40E26" w14:textId="77777777" w:rsidR="00CA23D0" w:rsidRPr="00E30642" w:rsidRDefault="00CA23D0" w:rsidP="00CA23D0">
            <w:pPr>
              <w:pStyle w:val="Texttabulky"/>
              <w:spacing w:line="240" w:lineRule="atLeast"/>
              <w:jc w:val="both"/>
              <w:rPr>
                <w:rFonts w:cs="Arial"/>
              </w:rPr>
            </w:pPr>
            <w:r w:rsidRPr="00E30642">
              <w:rPr>
                <w:rFonts w:cs="Arial"/>
              </w:rPr>
              <w:t>4 371</w:t>
            </w:r>
          </w:p>
        </w:tc>
        <w:tc>
          <w:tcPr>
            <w:tcW w:w="614" w:type="dxa"/>
            <w:tcBorders>
              <w:top w:val="single" w:sz="6" w:space="0" w:color="auto"/>
              <w:left w:val="single" w:sz="6" w:space="0" w:color="auto"/>
              <w:bottom w:val="single" w:sz="6" w:space="0" w:color="auto"/>
              <w:right w:val="single" w:sz="6" w:space="0" w:color="auto"/>
            </w:tcBorders>
          </w:tcPr>
          <w:p w14:paraId="2FCFAE28" w14:textId="77777777" w:rsidR="00CA23D0" w:rsidRPr="00E30642" w:rsidRDefault="00CA23D0" w:rsidP="00CA23D0">
            <w:pPr>
              <w:pStyle w:val="Texttabulky"/>
              <w:spacing w:line="240" w:lineRule="atLeast"/>
              <w:jc w:val="both"/>
              <w:rPr>
                <w:rFonts w:cs="Arial"/>
              </w:rPr>
            </w:pPr>
            <w:r w:rsidRPr="00E30642">
              <w:rPr>
                <w:rFonts w:cs="Arial"/>
              </w:rPr>
              <w:t>4 164</w:t>
            </w:r>
          </w:p>
        </w:tc>
        <w:tc>
          <w:tcPr>
            <w:tcW w:w="762" w:type="dxa"/>
            <w:tcBorders>
              <w:top w:val="single" w:sz="6" w:space="0" w:color="auto"/>
              <w:left w:val="single" w:sz="6" w:space="0" w:color="auto"/>
              <w:bottom w:val="single" w:sz="6" w:space="0" w:color="auto"/>
              <w:right w:val="single" w:sz="6" w:space="0" w:color="auto"/>
            </w:tcBorders>
          </w:tcPr>
          <w:p w14:paraId="4D59132A" w14:textId="77777777" w:rsidR="00CA23D0" w:rsidRPr="00E30642" w:rsidRDefault="00CA23D0" w:rsidP="00CA23D0">
            <w:pPr>
              <w:pStyle w:val="Texttabulky"/>
              <w:spacing w:line="240" w:lineRule="atLeast"/>
              <w:jc w:val="both"/>
              <w:rPr>
                <w:rFonts w:cs="Arial"/>
              </w:rPr>
            </w:pPr>
            <w:r w:rsidRPr="00E30642">
              <w:rPr>
                <w:rFonts w:cs="Arial"/>
              </w:rPr>
              <w:t>8 535</w:t>
            </w:r>
          </w:p>
        </w:tc>
        <w:tc>
          <w:tcPr>
            <w:tcW w:w="709" w:type="dxa"/>
            <w:tcBorders>
              <w:top w:val="single" w:sz="6" w:space="0" w:color="auto"/>
              <w:left w:val="single" w:sz="6" w:space="0" w:color="auto"/>
              <w:bottom w:val="single" w:sz="6" w:space="0" w:color="auto"/>
              <w:right w:val="single" w:sz="6" w:space="0" w:color="auto"/>
            </w:tcBorders>
          </w:tcPr>
          <w:p w14:paraId="6D411BE7" w14:textId="77777777" w:rsidR="00CA23D0" w:rsidRPr="00E30642" w:rsidRDefault="00CA23D0" w:rsidP="00CA23D0">
            <w:pPr>
              <w:pStyle w:val="Texttabulky"/>
              <w:spacing w:line="240" w:lineRule="atLeast"/>
              <w:jc w:val="both"/>
              <w:rPr>
                <w:rFonts w:cs="Arial"/>
              </w:rPr>
            </w:pPr>
            <w:r w:rsidRPr="00E30642">
              <w:rPr>
                <w:rFonts w:cs="Arial"/>
              </w:rPr>
              <w:t>4 797</w:t>
            </w:r>
          </w:p>
        </w:tc>
        <w:tc>
          <w:tcPr>
            <w:tcW w:w="567" w:type="dxa"/>
            <w:tcBorders>
              <w:top w:val="single" w:sz="6" w:space="0" w:color="auto"/>
              <w:left w:val="single" w:sz="6" w:space="0" w:color="auto"/>
              <w:bottom w:val="single" w:sz="6" w:space="0" w:color="auto"/>
              <w:right w:val="single" w:sz="6" w:space="0" w:color="auto"/>
            </w:tcBorders>
          </w:tcPr>
          <w:p w14:paraId="75D87177" w14:textId="77777777" w:rsidR="00CA23D0" w:rsidRPr="00E30642" w:rsidRDefault="00CA23D0" w:rsidP="00CA23D0">
            <w:pPr>
              <w:pStyle w:val="Texttabulky"/>
              <w:spacing w:line="240" w:lineRule="atLeast"/>
              <w:jc w:val="both"/>
              <w:rPr>
                <w:rFonts w:cs="Arial"/>
              </w:rPr>
            </w:pPr>
            <w:r w:rsidRPr="00E30642">
              <w:rPr>
                <w:rFonts w:cs="Arial"/>
              </w:rPr>
              <w:t>4 554</w:t>
            </w:r>
          </w:p>
        </w:tc>
        <w:tc>
          <w:tcPr>
            <w:tcW w:w="709" w:type="dxa"/>
            <w:tcBorders>
              <w:top w:val="single" w:sz="6" w:space="0" w:color="auto"/>
              <w:left w:val="single" w:sz="6" w:space="0" w:color="auto"/>
              <w:bottom w:val="single" w:sz="6" w:space="0" w:color="auto"/>
              <w:right w:val="single" w:sz="6" w:space="0" w:color="auto"/>
            </w:tcBorders>
          </w:tcPr>
          <w:p w14:paraId="0B85C883" w14:textId="77777777" w:rsidR="00CA23D0" w:rsidRPr="00E30642" w:rsidRDefault="00CA23D0" w:rsidP="00CA23D0">
            <w:pPr>
              <w:pStyle w:val="Texttabulky"/>
              <w:spacing w:line="240" w:lineRule="atLeast"/>
              <w:jc w:val="both"/>
              <w:rPr>
                <w:rFonts w:cs="Arial"/>
              </w:rPr>
            </w:pPr>
            <w:r w:rsidRPr="00E30642">
              <w:rPr>
                <w:rFonts w:cs="Arial"/>
              </w:rPr>
              <w:t>9 351</w:t>
            </w:r>
          </w:p>
        </w:tc>
        <w:tc>
          <w:tcPr>
            <w:tcW w:w="567" w:type="dxa"/>
            <w:tcBorders>
              <w:top w:val="single" w:sz="6" w:space="0" w:color="auto"/>
              <w:left w:val="single" w:sz="6" w:space="0" w:color="auto"/>
              <w:bottom w:val="single" w:sz="6" w:space="0" w:color="auto"/>
              <w:right w:val="single" w:sz="6" w:space="0" w:color="auto"/>
            </w:tcBorders>
          </w:tcPr>
          <w:p w14:paraId="2669FAD2" w14:textId="77777777" w:rsidR="00CA23D0" w:rsidRPr="00E30642" w:rsidRDefault="00CA23D0" w:rsidP="00CA23D0">
            <w:pPr>
              <w:pStyle w:val="Texttabulky"/>
              <w:spacing w:line="240" w:lineRule="atLeast"/>
              <w:jc w:val="both"/>
              <w:rPr>
                <w:rFonts w:cs="Arial"/>
              </w:rPr>
            </w:pPr>
            <w:r w:rsidRPr="00E30642">
              <w:rPr>
                <w:rFonts w:cs="Arial"/>
              </w:rPr>
              <w:t>3 945</w:t>
            </w:r>
          </w:p>
        </w:tc>
        <w:tc>
          <w:tcPr>
            <w:tcW w:w="567" w:type="dxa"/>
            <w:tcBorders>
              <w:top w:val="single" w:sz="6" w:space="0" w:color="auto"/>
              <w:left w:val="single" w:sz="6" w:space="0" w:color="auto"/>
              <w:bottom w:val="single" w:sz="6" w:space="0" w:color="auto"/>
              <w:right w:val="single" w:sz="6" w:space="0" w:color="auto"/>
            </w:tcBorders>
          </w:tcPr>
          <w:p w14:paraId="4AC80ABA" w14:textId="77777777" w:rsidR="00CA23D0" w:rsidRPr="00E30642" w:rsidRDefault="00CA23D0" w:rsidP="00CA23D0">
            <w:pPr>
              <w:pStyle w:val="Texttabulky"/>
              <w:spacing w:line="240" w:lineRule="atLeast"/>
              <w:jc w:val="both"/>
              <w:rPr>
                <w:rFonts w:cs="Arial"/>
              </w:rPr>
            </w:pPr>
            <w:r w:rsidRPr="00E30642">
              <w:rPr>
                <w:rFonts w:cs="Arial"/>
              </w:rPr>
              <w:t>3 748</w:t>
            </w:r>
          </w:p>
        </w:tc>
        <w:tc>
          <w:tcPr>
            <w:tcW w:w="709" w:type="dxa"/>
            <w:tcBorders>
              <w:top w:val="single" w:sz="6" w:space="0" w:color="auto"/>
              <w:left w:val="single" w:sz="6" w:space="0" w:color="auto"/>
              <w:bottom w:val="single" w:sz="6" w:space="0" w:color="auto"/>
              <w:right w:val="single" w:sz="6" w:space="0" w:color="auto"/>
            </w:tcBorders>
          </w:tcPr>
          <w:p w14:paraId="77506380" w14:textId="77777777" w:rsidR="00CA23D0" w:rsidRPr="00E30642" w:rsidRDefault="00CA23D0" w:rsidP="00CA23D0">
            <w:pPr>
              <w:pStyle w:val="Texttabulky"/>
              <w:spacing w:line="240" w:lineRule="atLeast"/>
              <w:jc w:val="both"/>
              <w:rPr>
                <w:rFonts w:cs="Arial"/>
              </w:rPr>
            </w:pPr>
            <w:r w:rsidRPr="00E30642">
              <w:rPr>
                <w:rFonts w:cs="Arial"/>
              </w:rPr>
              <w:t>7 693</w:t>
            </w:r>
          </w:p>
        </w:tc>
        <w:tc>
          <w:tcPr>
            <w:tcW w:w="708" w:type="dxa"/>
            <w:tcBorders>
              <w:top w:val="single" w:sz="6" w:space="0" w:color="auto"/>
              <w:left w:val="single" w:sz="6" w:space="0" w:color="auto"/>
              <w:bottom w:val="single" w:sz="6" w:space="0" w:color="auto"/>
              <w:right w:val="single" w:sz="6" w:space="0" w:color="auto"/>
            </w:tcBorders>
          </w:tcPr>
          <w:p w14:paraId="62060ED9" w14:textId="77777777" w:rsidR="00CA23D0" w:rsidRPr="00E30642" w:rsidRDefault="00CA23D0" w:rsidP="00CA23D0">
            <w:pPr>
              <w:pStyle w:val="Texttabulky"/>
              <w:spacing w:line="240" w:lineRule="atLeast"/>
              <w:jc w:val="both"/>
              <w:rPr>
                <w:rFonts w:cs="Arial"/>
              </w:rPr>
            </w:pPr>
            <w:r w:rsidRPr="00E30642">
              <w:rPr>
                <w:rFonts w:cs="Arial"/>
              </w:rPr>
              <w:t>3 728</w:t>
            </w:r>
          </w:p>
        </w:tc>
        <w:tc>
          <w:tcPr>
            <w:tcW w:w="567" w:type="dxa"/>
            <w:tcBorders>
              <w:top w:val="single" w:sz="6" w:space="0" w:color="auto"/>
              <w:left w:val="single" w:sz="6" w:space="0" w:color="auto"/>
              <w:bottom w:val="single" w:sz="6" w:space="0" w:color="auto"/>
              <w:right w:val="single" w:sz="6" w:space="0" w:color="auto"/>
            </w:tcBorders>
          </w:tcPr>
          <w:p w14:paraId="1D7483A9" w14:textId="77777777" w:rsidR="00CA23D0" w:rsidRPr="00E30642" w:rsidRDefault="00CA23D0" w:rsidP="00CA23D0">
            <w:pPr>
              <w:pStyle w:val="Texttabulky"/>
              <w:spacing w:line="240" w:lineRule="atLeast"/>
              <w:jc w:val="both"/>
              <w:rPr>
                <w:rFonts w:cs="Arial"/>
              </w:rPr>
            </w:pPr>
            <w:r w:rsidRPr="00E30642">
              <w:rPr>
                <w:rFonts w:cs="Arial"/>
              </w:rPr>
              <w:t>3 540</w:t>
            </w:r>
          </w:p>
        </w:tc>
        <w:tc>
          <w:tcPr>
            <w:tcW w:w="709" w:type="dxa"/>
            <w:tcBorders>
              <w:top w:val="single" w:sz="6" w:space="0" w:color="auto"/>
              <w:left w:val="single" w:sz="6" w:space="0" w:color="auto"/>
              <w:bottom w:val="single" w:sz="6" w:space="0" w:color="auto"/>
              <w:right w:val="single" w:sz="6" w:space="0" w:color="auto"/>
            </w:tcBorders>
          </w:tcPr>
          <w:p w14:paraId="19EBA24B" w14:textId="77777777" w:rsidR="00CA23D0" w:rsidRPr="00E30642" w:rsidRDefault="00CA23D0" w:rsidP="00CA23D0">
            <w:pPr>
              <w:pStyle w:val="Texttabulky"/>
              <w:spacing w:line="240" w:lineRule="atLeast"/>
              <w:jc w:val="both"/>
              <w:rPr>
                <w:rFonts w:cs="Arial"/>
              </w:rPr>
            </w:pPr>
            <w:r w:rsidRPr="00E30642">
              <w:rPr>
                <w:rFonts w:cs="Arial"/>
              </w:rPr>
              <w:t>7 268</w:t>
            </w:r>
          </w:p>
        </w:tc>
      </w:tr>
      <w:tr w:rsidR="00CA23D0" w:rsidRPr="00E30642" w14:paraId="413FF8C7" w14:textId="77777777" w:rsidTr="00CA23D0">
        <w:tc>
          <w:tcPr>
            <w:tcW w:w="900" w:type="dxa"/>
            <w:tcBorders>
              <w:top w:val="single" w:sz="6" w:space="0" w:color="auto"/>
              <w:left w:val="single" w:sz="6" w:space="0" w:color="auto"/>
              <w:bottom w:val="single" w:sz="6" w:space="0" w:color="auto"/>
              <w:right w:val="single" w:sz="6" w:space="0" w:color="auto"/>
            </w:tcBorders>
          </w:tcPr>
          <w:p w14:paraId="31FC8B84" w14:textId="77777777" w:rsidR="00CA23D0" w:rsidRPr="00E30642" w:rsidRDefault="00CA23D0" w:rsidP="00CA23D0">
            <w:pPr>
              <w:pStyle w:val="Texttabulky"/>
              <w:spacing w:line="240" w:lineRule="atLeast"/>
              <w:jc w:val="both"/>
              <w:rPr>
                <w:rFonts w:cs="Arial"/>
              </w:rPr>
            </w:pPr>
            <w:r w:rsidRPr="00E30642">
              <w:rPr>
                <w:rFonts w:cs="Arial"/>
                <w:b/>
                <w:bCs/>
              </w:rPr>
              <w:t>5-9</w:t>
            </w:r>
          </w:p>
        </w:tc>
        <w:tc>
          <w:tcPr>
            <w:tcW w:w="559" w:type="dxa"/>
            <w:tcBorders>
              <w:top w:val="single" w:sz="6" w:space="0" w:color="auto"/>
              <w:left w:val="single" w:sz="6" w:space="0" w:color="auto"/>
              <w:bottom w:val="single" w:sz="6" w:space="0" w:color="auto"/>
              <w:right w:val="single" w:sz="6" w:space="0" w:color="auto"/>
            </w:tcBorders>
          </w:tcPr>
          <w:p w14:paraId="408104EB" w14:textId="77777777" w:rsidR="00CA23D0" w:rsidRPr="00E30642" w:rsidRDefault="00CA23D0" w:rsidP="00CA23D0">
            <w:pPr>
              <w:pStyle w:val="Texttabulky"/>
              <w:spacing w:line="240" w:lineRule="atLeast"/>
              <w:jc w:val="both"/>
              <w:rPr>
                <w:rFonts w:cs="Arial"/>
              </w:rPr>
            </w:pPr>
            <w:r w:rsidRPr="00E30642">
              <w:rPr>
                <w:rFonts w:cs="Arial"/>
              </w:rPr>
              <w:t>4 345</w:t>
            </w:r>
          </w:p>
        </w:tc>
        <w:tc>
          <w:tcPr>
            <w:tcW w:w="614" w:type="dxa"/>
            <w:tcBorders>
              <w:top w:val="single" w:sz="6" w:space="0" w:color="auto"/>
              <w:left w:val="single" w:sz="6" w:space="0" w:color="auto"/>
              <w:bottom w:val="single" w:sz="6" w:space="0" w:color="auto"/>
              <w:right w:val="single" w:sz="6" w:space="0" w:color="auto"/>
            </w:tcBorders>
          </w:tcPr>
          <w:p w14:paraId="30A68D87" w14:textId="77777777" w:rsidR="00CA23D0" w:rsidRPr="00E30642" w:rsidRDefault="00CA23D0" w:rsidP="00CA23D0">
            <w:pPr>
              <w:pStyle w:val="Texttabulky"/>
              <w:spacing w:line="240" w:lineRule="atLeast"/>
              <w:jc w:val="both"/>
              <w:rPr>
                <w:rFonts w:cs="Arial"/>
              </w:rPr>
            </w:pPr>
            <w:r w:rsidRPr="00E30642">
              <w:rPr>
                <w:rFonts w:cs="Arial"/>
              </w:rPr>
              <w:t>4 087</w:t>
            </w:r>
          </w:p>
        </w:tc>
        <w:tc>
          <w:tcPr>
            <w:tcW w:w="762" w:type="dxa"/>
            <w:tcBorders>
              <w:top w:val="single" w:sz="6" w:space="0" w:color="auto"/>
              <w:left w:val="single" w:sz="6" w:space="0" w:color="auto"/>
              <w:bottom w:val="single" w:sz="6" w:space="0" w:color="auto"/>
              <w:right w:val="single" w:sz="6" w:space="0" w:color="auto"/>
            </w:tcBorders>
          </w:tcPr>
          <w:p w14:paraId="00904BF0" w14:textId="77777777" w:rsidR="00CA23D0" w:rsidRPr="00E30642" w:rsidRDefault="00CA23D0" w:rsidP="00CA23D0">
            <w:pPr>
              <w:pStyle w:val="Texttabulky"/>
              <w:spacing w:line="240" w:lineRule="atLeast"/>
              <w:jc w:val="both"/>
              <w:rPr>
                <w:rFonts w:cs="Arial"/>
              </w:rPr>
            </w:pPr>
            <w:r w:rsidRPr="00E30642">
              <w:rPr>
                <w:rFonts w:cs="Arial"/>
              </w:rPr>
              <w:t>8 432</w:t>
            </w:r>
          </w:p>
        </w:tc>
        <w:tc>
          <w:tcPr>
            <w:tcW w:w="709" w:type="dxa"/>
            <w:tcBorders>
              <w:top w:val="single" w:sz="6" w:space="0" w:color="auto"/>
              <w:left w:val="single" w:sz="6" w:space="0" w:color="auto"/>
              <w:bottom w:val="single" w:sz="6" w:space="0" w:color="auto"/>
              <w:right w:val="single" w:sz="6" w:space="0" w:color="auto"/>
            </w:tcBorders>
          </w:tcPr>
          <w:p w14:paraId="3ABDEC23" w14:textId="77777777" w:rsidR="00CA23D0" w:rsidRPr="00E30642" w:rsidRDefault="00CA23D0" w:rsidP="00CA23D0">
            <w:pPr>
              <w:pStyle w:val="Texttabulky"/>
              <w:spacing w:line="240" w:lineRule="atLeast"/>
              <w:jc w:val="both"/>
              <w:rPr>
                <w:rFonts w:cs="Arial"/>
              </w:rPr>
            </w:pPr>
            <w:r w:rsidRPr="00E30642">
              <w:rPr>
                <w:rFonts w:cs="Arial"/>
              </w:rPr>
              <w:t>4 362</w:t>
            </w:r>
          </w:p>
        </w:tc>
        <w:tc>
          <w:tcPr>
            <w:tcW w:w="567" w:type="dxa"/>
            <w:tcBorders>
              <w:top w:val="single" w:sz="6" w:space="0" w:color="auto"/>
              <w:left w:val="single" w:sz="6" w:space="0" w:color="auto"/>
              <w:bottom w:val="single" w:sz="6" w:space="0" w:color="auto"/>
              <w:right w:val="single" w:sz="6" w:space="0" w:color="auto"/>
            </w:tcBorders>
          </w:tcPr>
          <w:p w14:paraId="2318CC2A" w14:textId="77777777" w:rsidR="00CA23D0" w:rsidRPr="00E30642" w:rsidRDefault="00CA23D0" w:rsidP="00CA23D0">
            <w:pPr>
              <w:pStyle w:val="Texttabulky"/>
              <w:spacing w:line="240" w:lineRule="atLeast"/>
              <w:jc w:val="both"/>
              <w:rPr>
                <w:rFonts w:cs="Arial"/>
              </w:rPr>
            </w:pPr>
            <w:r w:rsidRPr="00E30642">
              <w:rPr>
                <w:rFonts w:cs="Arial"/>
              </w:rPr>
              <w:t>4 157</w:t>
            </w:r>
          </w:p>
        </w:tc>
        <w:tc>
          <w:tcPr>
            <w:tcW w:w="709" w:type="dxa"/>
            <w:tcBorders>
              <w:top w:val="single" w:sz="6" w:space="0" w:color="auto"/>
              <w:left w:val="single" w:sz="6" w:space="0" w:color="auto"/>
              <w:bottom w:val="single" w:sz="6" w:space="0" w:color="auto"/>
              <w:right w:val="single" w:sz="6" w:space="0" w:color="auto"/>
            </w:tcBorders>
          </w:tcPr>
          <w:p w14:paraId="095D3736" w14:textId="77777777" w:rsidR="00CA23D0" w:rsidRPr="00E30642" w:rsidRDefault="00CA23D0" w:rsidP="00CA23D0">
            <w:pPr>
              <w:pStyle w:val="Texttabulky"/>
              <w:spacing w:line="240" w:lineRule="atLeast"/>
              <w:jc w:val="both"/>
              <w:rPr>
                <w:rFonts w:cs="Arial"/>
              </w:rPr>
            </w:pPr>
            <w:r w:rsidRPr="00E30642">
              <w:rPr>
                <w:rFonts w:cs="Arial"/>
              </w:rPr>
              <w:t>8 519</w:t>
            </w:r>
          </w:p>
        </w:tc>
        <w:tc>
          <w:tcPr>
            <w:tcW w:w="567" w:type="dxa"/>
            <w:tcBorders>
              <w:top w:val="single" w:sz="6" w:space="0" w:color="auto"/>
              <w:left w:val="single" w:sz="6" w:space="0" w:color="auto"/>
              <w:bottom w:val="single" w:sz="6" w:space="0" w:color="auto"/>
              <w:right w:val="single" w:sz="6" w:space="0" w:color="auto"/>
            </w:tcBorders>
          </w:tcPr>
          <w:p w14:paraId="581BBED3" w14:textId="77777777" w:rsidR="00CA23D0" w:rsidRPr="00E30642" w:rsidRDefault="00CA23D0" w:rsidP="00CA23D0">
            <w:pPr>
              <w:pStyle w:val="Texttabulky"/>
              <w:spacing w:line="240" w:lineRule="atLeast"/>
              <w:jc w:val="both"/>
              <w:rPr>
                <w:rFonts w:cs="Arial"/>
              </w:rPr>
            </w:pPr>
            <w:r w:rsidRPr="00E30642">
              <w:rPr>
                <w:rFonts w:cs="Arial"/>
              </w:rPr>
              <w:t>4 434</w:t>
            </w:r>
          </w:p>
        </w:tc>
        <w:tc>
          <w:tcPr>
            <w:tcW w:w="567" w:type="dxa"/>
            <w:tcBorders>
              <w:top w:val="single" w:sz="6" w:space="0" w:color="auto"/>
              <w:left w:val="single" w:sz="6" w:space="0" w:color="auto"/>
              <w:bottom w:val="single" w:sz="6" w:space="0" w:color="auto"/>
              <w:right w:val="single" w:sz="6" w:space="0" w:color="auto"/>
            </w:tcBorders>
          </w:tcPr>
          <w:p w14:paraId="3B7484F0" w14:textId="77777777" w:rsidR="00CA23D0" w:rsidRPr="00E30642" w:rsidRDefault="00CA23D0" w:rsidP="00CA23D0">
            <w:pPr>
              <w:pStyle w:val="Texttabulky"/>
              <w:spacing w:line="240" w:lineRule="atLeast"/>
              <w:jc w:val="both"/>
              <w:rPr>
                <w:rFonts w:cs="Arial"/>
              </w:rPr>
            </w:pPr>
            <w:r w:rsidRPr="00E30642">
              <w:rPr>
                <w:rFonts w:cs="Arial"/>
              </w:rPr>
              <w:t>4 214</w:t>
            </w:r>
          </w:p>
        </w:tc>
        <w:tc>
          <w:tcPr>
            <w:tcW w:w="709" w:type="dxa"/>
            <w:tcBorders>
              <w:top w:val="single" w:sz="6" w:space="0" w:color="auto"/>
              <w:left w:val="single" w:sz="6" w:space="0" w:color="auto"/>
              <w:bottom w:val="single" w:sz="6" w:space="0" w:color="auto"/>
              <w:right w:val="single" w:sz="6" w:space="0" w:color="auto"/>
            </w:tcBorders>
          </w:tcPr>
          <w:p w14:paraId="001CAE54" w14:textId="77777777" w:rsidR="00CA23D0" w:rsidRPr="00E30642" w:rsidRDefault="00CA23D0" w:rsidP="00CA23D0">
            <w:pPr>
              <w:pStyle w:val="Texttabulky"/>
              <w:spacing w:line="240" w:lineRule="atLeast"/>
              <w:jc w:val="both"/>
              <w:rPr>
                <w:rFonts w:cs="Arial"/>
              </w:rPr>
            </w:pPr>
            <w:r w:rsidRPr="00E30642">
              <w:rPr>
                <w:rFonts w:cs="Arial"/>
              </w:rPr>
              <w:t>8 648</w:t>
            </w:r>
          </w:p>
        </w:tc>
        <w:tc>
          <w:tcPr>
            <w:tcW w:w="708" w:type="dxa"/>
            <w:tcBorders>
              <w:top w:val="single" w:sz="6" w:space="0" w:color="auto"/>
              <w:left w:val="single" w:sz="6" w:space="0" w:color="auto"/>
              <w:bottom w:val="single" w:sz="6" w:space="0" w:color="auto"/>
              <w:right w:val="single" w:sz="6" w:space="0" w:color="auto"/>
            </w:tcBorders>
          </w:tcPr>
          <w:p w14:paraId="67587666" w14:textId="77777777" w:rsidR="00CA23D0" w:rsidRPr="00E30642" w:rsidRDefault="00CA23D0" w:rsidP="00CA23D0">
            <w:pPr>
              <w:pStyle w:val="Texttabulky"/>
              <w:spacing w:line="240" w:lineRule="atLeast"/>
              <w:jc w:val="both"/>
              <w:rPr>
                <w:rFonts w:cs="Arial"/>
              </w:rPr>
            </w:pPr>
            <w:r w:rsidRPr="00E30642">
              <w:rPr>
                <w:rFonts w:cs="Arial"/>
              </w:rPr>
              <w:t>3 675</w:t>
            </w:r>
          </w:p>
        </w:tc>
        <w:tc>
          <w:tcPr>
            <w:tcW w:w="567" w:type="dxa"/>
            <w:tcBorders>
              <w:top w:val="single" w:sz="6" w:space="0" w:color="auto"/>
              <w:left w:val="single" w:sz="6" w:space="0" w:color="auto"/>
              <w:bottom w:val="single" w:sz="6" w:space="0" w:color="auto"/>
              <w:right w:val="single" w:sz="6" w:space="0" w:color="auto"/>
            </w:tcBorders>
          </w:tcPr>
          <w:p w14:paraId="47C31580" w14:textId="77777777" w:rsidR="00CA23D0" w:rsidRPr="00E30642" w:rsidRDefault="00CA23D0" w:rsidP="00CA23D0">
            <w:pPr>
              <w:pStyle w:val="Texttabulky"/>
              <w:spacing w:line="240" w:lineRule="atLeast"/>
              <w:jc w:val="both"/>
              <w:rPr>
                <w:rFonts w:cs="Arial"/>
              </w:rPr>
            </w:pPr>
            <w:r w:rsidRPr="00E30642">
              <w:rPr>
                <w:rFonts w:cs="Arial"/>
              </w:rPr>
              <w:t>3 493</w:t>
            </w:r>
          </w:p>
        </w:tc>
        <w:tc>
          <w:tcPr>
            <w:tcW w:w="709" w:type="dxa"/>
            <w:tcBorders>
              <w:top w:val="single" w:sz="6" w:space="0" w:color="auto"/>
              <w:left w:val="single" w:sz="6" w:space="0" w:color="auto"/>
              <w:bottom w:val="single" w:sz="6" w:space="0" w:color="auto"/>
              <w:right w:val="single" w:sz="6" w:space="0" w:color="auto"/>
            </w:tcBorders>
          </w:tcPr>
          <w:p w14:paraId="221CADB0" w14:textId="77777777" w:rsidR="00CA23D0" w:rsidRPr="00E30642" w:rsidRDefault="00CA23D0" w:rsidP="00CA23D0">
            <w:pPr>
              <w:pStyle w:val="Texttabulky"/>
              <w:spacing w:line="240" w:lineRule="atLeast"/>
              <w:jc w:val="both"/>
              <w:rPr>
                <w:rFonts w:cs="Arial"/>
              </w:rPr>
            </w:pPr>
            <w:r w:rsidRPr="00E30642">
              <w:rPr>
                <w:rFonts w:cs="Arial"/>
              </w:rPr>
              <w:t>7 168</w:t>
            </w:r>
          </w:p>
        </w:tc>
      </w:tr>
      <w:tr w:rsidR="00CA23D0" w:rsidRPr="00E30642" w14:paraId="7E2AE17D" w14:textId="77777777" w:rsidTr="00CA23D0">
        <w:tc>
          <w:tcPr>
            <w:tcW w:w="900" w:type="dxa"/>
            <w:tcBorders>
              <w:top w:val="single" w:sz="6" w:space="0" w:color="auto"/>
              <w:left w:val="single" w:sz="6" w:space="0" w:color="auto"/>
              <w:bottom w:val="single" w:sz="6" w:space="0" w:color="auto"/>
              <w:right w:val="single" w:sz="6" w:space="0" w:color="auto"/>
            </w:tcBorders>
          </w:tcPr>
          <w:p w14:paraId="4E37BAD7" w14:textId="77777777" w:rsidR="00CA23D0" w:rsidRPr="00E30642" w:rsidRDefault="00CA23D0" w:rsidP="00CA23D0">
            <w:pPr>
              <w:pStyle w:val="Texttabulky"/>
              <w:spacing w:line="240" w:lineRule="atLeast"/>
              <w:jc w:val="both"/>
              <w:rPr>
                <w:rFonts w:cs="Arial"/>
              </w:rPr>
            </w:pPr>
            <w:r w:rsidRPr="00E30642">
              <w:rPr>
                <w:rFonts w:cs="Arial"/>
                <w:b/>
                <w:bCs/>
              </w:rPr>
              <w:t>10-14</w:t>
            </w:r>
          </w:p>
        </w:tc>
        <w:tc>
          <w:tcPr>
            <w:tcW w:w="559" w:type="dxa"/>
            <w:tcBorders>
              <w:top w:val="single" w:sz="6" w:space="0" w:color="auto"/>
              <w:left w:val="single" w:sz="6" w:space="0" w:color="auto"/>
              <w:bottom w:val="single" w:sz="6" w:space="0" w:color="auto"/>
              <w:right w:val="single" w:sz="6" w:space="0" w:color="auto"/>
            </w:tcBorders>
          </w:tcPr>
          <w:p w14:paraId="4B07AE0F" w14:textId="77777777" w:rsidR="00CA23D0" w:rsidRPr="00E30642" w:rsidRDefault="00CA23D0" w:rsidP="00CA23D0">
            <w:pPr>
              <w:pStyle w:val="Texttabulky"/>
              <w:spacing w:line="240" w:lineRule="atLeast"/>
              <w:jc w:val="both"/>
              <w:rPr>
                <w:rFonts w:cs="Arial"/>
              </w:rPr>
            </w:pPr>
            <w:r w:rsidRPr="00E30642">
              <w:rPr>
                <w:rFonts w:cs="Arial"/>
              </w:rPr>
              <w:t>4 536</w:t>
            </w:r>
          </w:p>
        </w:tc>
        <w:tc>
          <w:tcPr>
            <w:tcW w:w="614" w:type="dxa"/>
            <w:tcBorders>
              <w:top w:val="single" w:sz="6" w:space="0" w:color="auto"/>
              <w:left w:val="single" w:sz="6" w:space="0" w:color="auto"/>
              <w:bottom w:val="single" w:sz="6" w:space="0" w:color="auto"/>
              <w:right w:val="single" w:sz="6" w:space="0" w:color="auto"/>
            </w:tcBorders>
          </w:tcPr>
          <w:p w14:paraId="00AD5B22" w14:textId="77777777" w:rsidR="00CA23D0" w:rsidRPr="00E30642" w:rsidRDefault="00CA23D0" w:rsidP="00CA23D0">
            <w:pPr>
              <w:pStyle w:val="Texttabulky"/>
              <w:spacing w:line="240" w:lineRule="atLeast"/>
              <w:jc w:val="both"/>
              <w:rPr>
                <w:rFonts w:cs="Arial"/>
              </w:rPr>
            </w:pPr>
            <w:r w:rsidRPr="00E30642">
              <w:rPr>
                <w:rFonts w:cs="Arial"/>
              </w:rPr>
              <w:t>4 349</w:t>
            </w:r>
          </w:p>
        </w:tc>
        <w:tc>
          <w:tcPr>
            <w:tcW w:w="762" w:type="dxa"/>
            <w:tcBorders>
              <w:top w:val="single" w:sz="6" w:space="0" w:color="auto"/>
              <w:left w:val="single" w:sz="6" w:space="0" w:color="auto"/>
              <w:bottom w:val="single" w:sz="6" w:space="0" w:color="auto"/>
              <w:right w:val="single" w:sz="6" w:space="0" w:color="auto"/>
            </w:tcBorders>
          </w:tcPr>
          <w:p w14:paraId="158DC720" w14:textId="77777777" w:rsidR="00CA23D0" w:rsidRPr="00E30642" w:rsidRDefault="00CA23D0" w:rsidP="00CA23D0">
            <w:pPr>
              <w:pStyle w:val="Texttabulky"/>
              <w:spacing w:line="240" w:lineRule="atLeast"/>
              <w:jc w:val="both"/>
              <w:rPr>
                <w:rFonts w:cs="Arial"/>
              </w:rPr>
            </w:pPr>
            <w:r w:rsidRPr="00E30642">
              <w:rPr>
                <w:rFonts w:cs="Arial"/>
              </w:rPr>
              <w:t>8 885</w:t>
            </w:r>
          </w:p>
        </w:tc>
        <w:tc>
          <w:tcPr>
            <w:tcW w:w="709" w:type="dxa"/>
            <w:tcBorders>
              <w:top w:val="single" w:sz="6" w:space="0" w:color="auto"/>
              <w:left w:val="single" w:sz="6" w:space="0" w:color="auto"/>
              <w:bottom w:val="single" w:sz="6" w:space="0" w:color="auto"/>
              <w:right w:val="single" w:sz="6" w:space="0" w:color="auto"/>
            </w:tcBorders>
          </w:tcPr>
          <w:p w14:paraId="7B1CCAB3" w14:textId="77777777" w:rsidR="00CA23D0" w:rsidRPr="00E30642" w:rsidRDefault="00CA23D0" w:rsidP="00CA23D0">
            <w:pPr>
              <w:pStyle w:val="Texttabulky"/>
              <w:spacing w:line="240" w:lineRule="atLeast"/>
              <w:jc w:val="both"/>
              <w:rPr>
                <w:rFonts w:cs="Arial"/>
              </w:rPr>
            </w:pPr>
            <w:r w:rsidRPr="00E30642">
              <w:rPr>
                <w:rFonts w:cs="Arial"/>
              </w:rPr>
              <w:t>4 337</w:t>
            </w:r>
          </w:p>
        </w:tc>
        <w:tc>
          <w:tcPr>
            <w:tcW w:w="567" w:type="dxa"/>
            <w:tcBorders>
              <w:top w:val="single" w:sz="6" w:space="0" w:color="auto"/>
              <w:left w:val="single" w:sz="6" w:space="0" w:color="auto"/>
              <w:bottom w:val="single" w:sz="6" w:space="0" w:color="auto"/>
              <w:right w:val="single" w:sz="6" w:space="0" w:color="auto"/>
            </w:tcBorders>
          </w:tcPr>
          <w:p w14:paraId="1A992396" w14:textId="77777777" w:rsidR="00CA23D0" w:rsidRPr="00E30642" w:rsidRDefault="00CA23D0" w:rsidP="00CA23D0">
            <w:pPr>
              <w:pStyle w:val="Texttabulky"/>
              <w:spacing w:line="240" w:lineRule="atLeast"/>
              <w:jc w:val="both"/>
              <w:rPr>
                <w:rFonts w:cs="Arial"/>
              </w:rPr>
            </w:pPr>
            <w:r w:rsidRPr="00E30642">
              <w:rPr>
                <w:rFonts w:cs="Arial"/>
              </w:rPr>
              <w:t>4 083</w:t>
            </w:r>
          </w:p>
        </w:tc>
        <w:tc>
          <w:tcPr>
            <w:tcW w:w="709" w:type="dxa"/>
            <w:tcBorders>
              <w:top w:val="single" w:sz="6" w:space="0" w:color="auto"/>
              <w:left w:val="single" w:sz="6" w:space="0" w:color="auto"/>
              <w:bottom w:val="single" w:sz="6" w:space="0" w:color="auto"/>
              <w:right w:val="single" w:sz="6" w:space="0" w:color="auto"/>
            </w:tcBorders>
          </w:tcPr>
          <w:p w14:paraId="7FF6F898" w14:textId="77777777" w:rsidR="00CA23D0" w:rsidRPr="00E30642" w:rsidRDefault="00CA23D0" w:rsidP="00CA23D0">
            <w:pPr>
              <w:pStyle w:val="Texttabulky"/>
              <w:spacing w:line="240" w:lineRule="atLeast"/>
              <w:jc w:val="both"/>
              <w:rPr>
                <w:rFonts w:cs="Arial"/>
              </w:rPr>
            </w:pPr>
            <w:r w:rsidRPr="00E30642">
              <w:rPr>
                <w:rFonts w:cs="Arial"/>
              </w:rPr>
              <w:t>8 420</w:t>
            </w:r>
          </w:p>
        </w:tc>
        <w:tc>
          <w:tcPr>
            <w:tcW w:w="567" w:type="dxa"/>
            <w:tcBorders>
              <w:top w:val="single" w:sz="6" w:space="0" w:color="auto"/>
              <w:left w:val="single" w:sz="6" w:space="0" w:color="auto"/>
              <w:bottom w:val="single" w:sz="6" w:space="0" w:color="auto"/>
              <w:right w:val="single" w:sz="6" w:space="0" w:color="auto"/>
            </w:tcBorders>
          </w:tcPr>
          <w:p w14:paraId="40ABEDE2" w14:textId="77777777" w:rsidR="00CA23D0" w:rsidRPr="00E30642" w:rsidRDefault="00CA23D0" w:rsidP="00CA23D0">
            <w:pPr>
              <w:pStyle w:val="Texttabulky"/>
              <w:spacing w:line="240" w:lineRule="atLeast"/>
              <w:jc w:val="both"/>
              <w:rPr>
                <w:rFonts w:cs="Arial"/>
              </w:rPr>
            </w:pPr>
            <w:r w:rsidRPr="00E30642">
              <w:rPr>
                <w:rFonts w:cs="Arial"/>
              </w:rPr>
              <w:t>4 777</w:t>
            </w:r>
          </w:p>
        </w:tc>
        <w:tc>
          <w:tcPr>
            <w:tcW w:w="567" w:type="dxa"/>
            <w:tcBorders>
              <w:top w:val="single" w:sz="6" w:space="0" w:color="auto"/>
              <w:left w:val="single" w:sz="6" w:space="0" w:color="auto"/>
              <w:bottom w:val="single" w:sz="6" w:space="0" w:color="auto"/>
              <w:right w:val="single" w:sz="6" w:space="0" w:color="auto"/>
            </w:tcBorders>
          </w:tcPr>
          <w:p w14:paraId="1ED1CAF3" w14:textId="77777777" w:rsidR="00CA23D0" w:rsidRPr="00E30642" w:rsidRDefault="00CA23D0" w:rsidP="00CA23D0">
            <w:pPr>
              <w:pStyle w:val="Texttabulky"/>
              <w:spacing w:line="240" w:lineRule="atLeast"/>
              <w:jc w:val="both"/>
              <w:rPr>
                <w:rFonts w:cs="Arial"/>
              </w:rPr>
            </w:pPr>
            <w:r w:rsidRPr="00E30642">
              <w:rPr>
                <w:rFonts w:cs="Arial"/>
              </w:rPr>
              <w:t>4 543</w:t>
            </w:r>
          </w:p>
        </w:tc>
        <w:tc>
          <w:tcPr>
            <w:tcW w:w="709" w:type="dxa"/>
            <w:tcBorders>
              <w:top w:val="single" w:sz="6" w:space="0" w:color="auto"/>
              <w:left w:val="single" w:sz="6" w:space="0" w:color="auto"/>
              <w:bottom w:val="single" w:sz="6" w:space="0" w:color="auto"/>
              <w:right w:val="single" w:sz="6" w:space="0" w:color="auto"/>
            </w:tcBorders>
          </w:tcPr>
          <w:p w14:paraId="71638991" w14:textId="77777777" w:rsidR="00CA23D0" w:rsidRPr="00E30642" w:rsidRDefault="00CA23D0" w:rsidP="00CA23D0">
            <w:pPr>
              <w:pStyle w:val="Texttabulky"/>
              <w:spacing w:line="240" w:lineRule="atLeast"/>
              <w:jc w:val="both"/>
              <w:rPr>
                <w:rFonts w:cs="Arial"/>
              </w:rPr>
            </w:pPr>
            <w:r w:rsidRPr="00E30642">
              <w:rPr>
                <w:rFonts w:cs="Arial"/>
              </w:rPr>
              <w:t>9 320</w:t>
            </w:r>
          </w:p>
        </w:tc>
        <w:tc>
          <w:tcPr>
            <w:tcW w:w="708" w:type="dxa"/>
            <w:tcBorders>
              <w:top w:val="single" w:sz="6" w:space="0" w:color="auto"/>
              <w:left w:val="single" w:sz="6" w:space="0" w:color="auto"/>
              <w:bottom w:val="single" w:sz="6" w:space="0" w:color="auto"/>
              <w:right w:val="single" w:sz="6" w:space="0" w:color="auto"/>
            </w:tcBorders>
          </w:tcPr>
          <w:p w14:paraId="12A16FD9" w14:textId="77777777" w:rsidR="00CA23D0" w:rsidRPr="00E30642" w:rsidRDefault="00CA23D0" w:rsidP="00CA23D0">
            <w:pPr>
              <w:pStyle w:val="Texttabulky"/>
              <w:spacing w:line="240" w:lineRule="atLeast"/>
              <w:jc w:val="both"/>
              <w:rPr>
                <w:rFonts w:cs="Arial"/>
              </w:rPr>
            </w:pPr>
            <w:r w:rsidRPr="00E30642">
              <w:rPr>
                <w:rFonts w:cs="Arial"/>
              </w:rPr>
              <w:t>3 929</w:t>
            </w:r>
          </w:p>
        </w:tc>
        <w:tc>
          <w:tcPr>
            <w:tcW w:w="567" w:type="dxa"/>
            <w:tcBorders>
              <w:top w:val="single" w:sz="6" w:space="0" w:color="auto"/>
              <w:left w:val="single" w:sz="6" w:space="0" w:color="auto"/>
              <w:bottom w:val="single" w:sz="6" w:space="0" w:color="auto"/>
              <w:right w:val="single" w:sz="6" w:space="0" w:color="auto"/>
            </w:tcBorders>
          </w:tcPr>
          <w:p w14:paraId="564C8829" w14:textId="77777777" w:rsidR="00CA23D0" w:rsidRPr="00E30642" w:rsidRDefault="00CA23D0" w:rsidP="00CA23D0">
            <w:pPr>
              <w:pStyle w:val="Texttabulky"/>
              <w:spacing w:line="240" w:lineRule="atLeast"/>
              <w:jc w:val="both"/>
              <w:rPr>
                <w:rFonts w:cs="Arial"/>
              </w:rPr>
            </w:pPr>
            <w:r w:rsidRPr="00E30642">
              <w:rPr>
                <w:rFonts w:cs="Arial"/>
              </w:rPr>
              <w:t>3 737</w:t>
            </w:r>
          </w:p>
        </w:tc>
        <w:tc>
          <w:tcPr>
            <w:tcW w:w="709" w:type="dxa"/>
            <w:tcBorders>
              <w:top w:val="single" w:sz="6" w:space="0" w:color="auto"/>
              <w:left w:val="single" w:sz="6" w:space="0" w:color="auto"/>
              <w:bottom w:val="single" w:sz="6" w:space="0" w:color="auto"/>
              <w:right w:val="single" w:sz="6" w:space="0" w:color="auto"/>
            </w:tcBorders>
          </w:tcPr>
          <w:p w14:paraId="51106CCD" w14:textId="77777777" w:rsidR="00CA23D0" w:rsidRPr="00E30642" w:rsidRDefault="00CA23D0" w:rsidP="00CA23D0">
            <w:pPr>
              <w:pStyle w:val="Texttabulky"/>
              <w:spacing w:line="240" w:lineRule="atLeast"/>
              <w:jc w:val="both"/>
              <w:rPr>
                <w:rFonts w:cs="Arial"/>
              </w:rPr>
            </w:pPr>
            <w:r w:rsidRPr="00E30642">
              <w:rPr>
                <w:rFonts w:cs="Arial"/>
              </w:rPr>
              <w:t>7 666</w:t>
            </w:r>
          </w:p>
        </w:tc>
      </w:tr>
      <w:tr w:rsidR="00CA23D0" w:rsidRPr="00E30642" w14:paraId="674AE905" w14:textId="77777777" w:rsidTr="00CA23D0">
        <w:tc>
          <w:tcPr>
            <w:tcW w:w="900" w:type="dxa"/>
            <w:tcBorders>
              <w:top w:val="single" w:sz="6" w:space="0" w:color="auto"/>
              <w:left w:val="single" w:sz="6" w:space="0" w:color="auto"/>
              <w:bottom w:val="single" w:sz="6" w:space="0" w:color="auto"/>
              <w:right w:val="single" w:sz="6" w:space="0" w:color="auto"/>
            </w:tcBorders>
          </w:tcPr>
          <w:p w14:paraId="4E1983A0" w14:textId="77777777" w:rsidR="00CA23D0" w:rsidRPr="00E30642" w:rsidRDefault="00CA23D0" w:rsidP="00CA23D0">
            <w:pPr>
              <w:pStyle w:val="Texttabulky"/>
              <w:spacing w:line="240" w:lineRule="atLeast"/>
              <w:jc w:val="both"/>
              <w:rPr>
                <w:rFonts w:cs="Arial"/>
              </w:rPr>
            </w:pPr>
            <w:r w:rsidRPr="00E30642">
              <w:rPr>
                <w:rFonts w:cs="Arial"/>
                <w:b/>
                <w:bCs/>
              </w:rPr>
              <w:t>15-19</w:t>
            </w:r>
          </w:p>
        </w:tc>
        <w:tc>
          <w:tcPr>
            <w:tcW w:w="559" w:type="dxa"/>
            <w:tcBorders>
              <w:top w:val="single" w:sz="6" w:space="0" w:color="auto"/>
              <w:left w:val="single" w:sz="6" w:space="0" w:color="auto"/>
              <w:bottom w:val="single" w:sz="6" w:space="0" w:color="auto"/>
              <w:right w:val="single" w:sz="6" w:space="0" w:color="auto"/>
            </w:tcBorders>
          </w:tcPr>
          <w:p w14:paraId="43DB7DD9" w14:textId="77777777" w:rsidR="00CA23D0" w:rsidRPr="00E30642" w:rsidRDefault="00CA23D0" w:rsidP="00CA23D0">
            <w:pPr>
              <w:pStyle w:val="Texttabulky"/>
              <w:spacing w:line="240" w:lineRule="atLeast"/>
              <w:jc w:val="both"/>
              <w:rPr>
                <w:rFonts w:cs="Arial"/>
              </w:rPr>
            </w:pPr>
            <w:r w:rsidRPr="00E30642">
              <w:rPr>
                <w:rFonts w:cs="Arial"/>
              </w:rPr>
              <w:t>5 938</w:t>
            </w:r>
          </w:p>
        </w:tc>
        <w:tc>
          <w:tcPr>
            <w:tcW w:w="614" w:type="dxa"/>
            <w:tcBorders>
              <w:top w:val="single" w:sz="6" w:space="0" w:color="auto"/>
              <w:left w:val="single" w:sz="6" w:space="0" w:color="auto"/>
              <w:bottom w:val="single" w:sz="6" w:space="0" w:color="auto"/>
              <w:right w:val="single" w:sz="6" w:space="0" w:color="auto"/>
            </w:tcBorders>
          </w:tcPr>
          <w:p w14:paraId="5677B6D0" w14:textId="77777777" w:rsidR="00CA23D0" w:rsidRPr="00E30642" w:rsidRDefault="00CA23D0" w:rsidP="00CA23D0">
            <w:pPr>
              <w:pStyle w:val="Texttabulky"/>
              <w:spacing w:line="240" w:lineRule="atLeast"/>
              <w:jc w:val="both"/>
              <w:rPr>
                <w:rFonts w:cs="Arial"/>
              </w:rPr>
            </w:pPr>
            <w:r w:rsidRPr="00E30642">
              <w:rPr>
                <w:rFonts w:cs="Arial"/>
              </w:rPr>
              <w:t>5 528</w:t>
            </w:r>
          </w:p>
        </w:tc>
        <w:tc>
          <w:tcPr>
            <w:tcW w:w="762" w:type="dxa"/>
            <w:tcBorders>
              <w:top w:val="single" w:sz="6" w:space="0" w:color="auto"/>
              <w:left w:val="single" w:sz="6" w:space="0" w:color="auto"/>
              <w:bottom w:val="single" w:sz="6" w:space="0" w:color="auto"/>
              <w:right w:val="single" w:sz="6" w:space="0" w:color="auto"/>
            </w:tcBorders>
          </w:tcPr>
          <w:p w14:paraId="49AD2041" w14:textId="77777777" w:rsidR="00CA23D0" w:rsidRPr="00E30642" w:rsidRDefault="00CA23D0" w:rsidP="00CA23D0">
            <w:pPr>
              <w:pStyle w:val="Texttabulky"/>
              <w:spacing w:line="240" w:lineRule="atLeast"/>
              <w:jc w:val="both"/>
              <w:rPr>
                <w:rFonts w:cs="Arial"/>
              </w:rPr>
            </w:pPr>
            <w:r w:rsidRPr="00E30642">
              <w:rPr>
                <w:rFonts w:cs="Arial"/>
              </w:rPr>
              <w:t>11 466</w:t>
            </w:r>
          </w:p>
        </w:tc>
        <w:tc>
          <w:tcPr>
            <w:tcW w:w="709" w:type="dxa"/>
            <w:tcBorders>
              <w:top w:val="single" w:sz="6" w:space="0" w:color="auto"/>
              <w:left w:val="single" w:sz="6" w:space="0" w:color="auto"/>
              <w:bottom w:val="single" w:sz="6" w:space="0" w:color="auto"/>
              <w:right w:val="single" w:sz="6" w:space="0" w:color="auto"/>
            </w:tcBorders>
          </w:tcPr>
          <w:p w14:paraId="11BB3D86" w14:textId="77777777" w:rsidR="00CA23D0" w:rsidRPr="00E30642" w:rsidRDefault="00CA23D0" w:rsidP="00CA23D0">
            <w:pPr>
              <w:pStyle w:val="Texttabulky"/>
              <w:spacing w:line="240" w:lineRule="atLeast"/>
              <w:jc w:val="both"/>
              <w:rPr>
                <w:rFonts w:cs="Arial"/>
              </w:rPr>
            </w:pPr>
            <w:r w:rsidRPr="00E30642">
              <w:rPr>
                <w:rFonts w:cs="Arial"/>
              </w:rPr>
              <w:t>4 522</w:t>
            </w:r>
          </w:p>
        </w:tc>
        <w:tc>
          <w:tcPr>
            <w:tcW w:w="567" w:type="dxa"/>
            <w:tcBorders>
              <w:top w:val="single" w:sz="6" w:space="0" w:color="auto"/>
              <w:left w:val="single" w:sz="6" w:space="0" w:color="auto"/>
              <w:bottom w:val="single" w:sz="6" w:space="0" w:color="auto"/>
              <w:right w:val="single" w:sz="6" w:space="0" w:color="auto"/>
            </w:tcBorders>
          </w:tcPr>
          <w:p w14:paraId="57340456" w14:textId="77777777" w:rsidR="00CA23D0" w:rsidRPr="00E30642" w:rsidRDefault="00CA23D0" w:rsidP="00CA23D0">
            <w:pPr>
              <w:pStyle w:val="Texttabulky"/>
              <w:spacing w:line="240" w:lineRule="atLeast"/>
              <w:jc w:val="both"/>
              <w:rPr>
                <w:rFonts w:cs="Arial"/>
              </w:rPr>
            </w:pPr>
            <w:r w:rsidRPr="00E30642">
              <w:rPr>
                <w:rFonts w:cs="Arial"/>
              </w:rPr>
              <w:t>4 345</w:t>
            </w:r>
          </w:p>
        </w:tc>
        <w:tc>
          <w:tcPr>
            <w:tcW w:w="709" w:type="dxa"/>
            <w:tcBorders>
              <w:top w:val="single" w:sz="6" w:space="0" w:color="auto"/>
              <w:left w:val="single" w:sz="6" w:space="0" w:color="auto"/>
              <w:bottom w:val="single" w:sz="6" w:space="0" w:color="auto"/>
              <w:right w:val="single" w:sz="6" w:space="0" w:color="auto"/>
            </w:tcBorders>
          </w:tcPr>
          <w:p w14:paraId="01973C1A" w14:textId="77777777" w:rsidR="00CA23D0" w:rsidRPr="00E30642" w:rsidRDefault="00CA23D0" w:rsidP="00CA23D0">
            <w:pPr>
              <w:pStyle w:val="Texttabulky"/>
              <w:spacing w:line="240" w:lineRule="atLeast"/>
              <w:jc w:val="both"/>
              <w:rPr>
                <w:rFonts w:cs="Arial"/>
              </w:rPr>
            </w:pPr>
            <w:r w:rsidRPr="00E30642">
              <w:rPr>
                <w:rFonts w:cs="Arial"/>
              </w:rPr>
              <w:t>8 867</w:t>
            </w:r>
          </w:p>
        </w:tc>
        <w:tc>
          <w:tcPr>
            <w:tcW w:w="567" w:type="dxa"/>
            <w:tcBorders>
              <w:top w:val="single" w:sz="6" w:space="0" w:color="auto"/>
              <w:left w:val="single" w:sz="6" w:space="0" w:color="auto"/>
              <w:bottom w:val="single" w:sz="6" w:space="0" w:color="auto"/>
              <w:right w:val="single" w:sz="6" w:space="0" w:color="auto"/>
            </w:tcBorders>
          </w:tcPr>
          <w:p w14:paraId="21E9514B" w14:textId="77777777" w:rsidR="00CA23D0" w:rsidRPr="00E30642" w:rsidRDefault="00CA23D0" w:rsidP="00CA23D0">
            <w:pPr>
              <w:pStyle w:val="Texttabulky"/>
              <w:spacing w:line="240" w:lineRule="atLeast"/>
              <w:jc w:val="both"/>
              <w:rPr>
                <w:rFonts w:cs="Arial"/>
              </w:rPr>
            </w:pPr>
            <w:r w:rsidRPr="00E30642">
              <w:rPr>
                <w:rFonts w:cs="Arial"/>
              </w:rPr>
              <w:t>4 340</w:t>
            </w:r>
          </w:p>
        </w:tc>
        <w:tc>
          <w:tcPr>
            <w:tcW w:w="567" w:type="dxa"/>
            <w:tcBorders>
              <w:top w:val="single" w:sz="6" w:space="0" w:color="auto"/>
              <w:left w:val="single" w:sz="6" w:space="0" w:color="auto"/>
              <w:bottom w:val="single" w:sz="6" w:space="0" w:color="auto"/>
              <w:right w:val="single" w:sz="6" w:space="0" w:color="auto"/>
            </w:tcBorders>
          </w:tcPr>
          <w:p w14:paraId="0EE0654B" w14:textId="77777777" w:rsidR="00CA23D0" w:rsidRPr="00E30642" w:rsidRDefault="00CA23D0" w:rsidP="00CA23D0">
            <w:pPr>
              <w:pStyle w:val="Texttabulky"/>
              <w:spacing w:line="240" w:lineRule="atLeast"/>
              <w:jc w:val="both"/>
              <w:rPr>
                <w:rFonts w:cs="Arial"/>
              </w:rPr>
            </w:pPr>
            <w:r w:rsidRPr="00E30642">
              <w:rPr>
                <w:rFonts w:cs="Arial"/>
              </w:rPr>
              <w:t>4 147</w:t>
            </w:r>
          </w:p>
        </w:tc>
        <w:tc>
          <w:tcPr>
            <w:tcW w:w="709" w:type="dxa"/>
            <w:tcBorders>
              <w:top w:val="single" w:sz="6" w:space="0" w:color="auto"/>
              <w:left w:val="single" w:sz="6" w:space="0" w:color="auto"/>
              <w:bottom w:val="single" w:sz="6" w:space="0" w:color="auto"/>
              <w:right w:val="single" w:sz="6" w:space="0" w:color="auto"/>
            </w:tcBorders>
          </w:tcPr>
          <w:p w14:paraId="519AB251" w14:textId="77777777" w:rsidR="00CA23D0" w:rsidRPr="00E30642" w:rsidRDefault="00CA23D0" w:rsidP="00CA23D0">
            <w:pPr>
              <w:pStyle w:val="Texttabulky"/>
              <w:spacing w:line="240" w:lineRule="atLeast"/>
              <w:jc w:val="both"/>
              <w:rPr>
                <w:rFonts w:cs="Arial"/>
              </w:rPr>
            </w:pPr>
            <w:r w:rsidRPr="00E30642">
              <w:rPr>
                <w:rFonts w:cs="Arial"/>
              </w:rPr>
              <w:t>8 487</w:t>
            </w:r>
          </w:p>
        </w:tc>
        <w:tc>
          <w:tcPr>
            <w:tcW w:w="708" w:type="dxa"/>
            <w:tcBorders>
              <w:top w:val="single" w:sz="6" w:space="0" w:color="auto"/>
              <w:left w:val="single" w:sz="6" w:space="0" w:color="auto"/>
              <w:bottom w:val="single" w:sz="6" w:space="0" w:color="auto"/>
              <w:right w:val="single" w:sz="6" w:space="0" w:color="auto"/>
            </w:tcBorders>
          </w:tcPr>
          <w:p w14:paraId="36B7BB3C" w14:textId="77777777" w:rsidR="00CA23D0" w:rsidRPr="00E30642" w:rsidRDefault="00CA23D0" w:rsidP="00CA23D0">
            <w:pPr>
              <w:pStyle w:val="Texttabulky"/>
              <w:spacing w:line="240" w:lineRule="atLeast"/>
              <w:jc w:val="both"/>
              <w:rPr>
                <w:rFonts w:cs="Arial"/>
              </w:rPr>
            </w:pPr>
            <w:r w:rsidRPr="00E30642">
              <w:rPr>
                <w:rFonts w:cs="Arial"/>
              </w:rPr>
              <w:t>4 413</w:t>
            </w:r>
          </w:p>
        </w:tc>
        <w:tc>
          <w:tcPr>
            <w:tcW w:w="567" w:type="dxa"/>
            <w:tcBorders>
              <w:top w:val="single" w:sz="6" w:space="0" w:color="auto"/>
              <w:left w:val="single" w:sz="6" w:space="0" w:color="auto"/>
              <w:bottom w:val="single" w:sz="6" w:space="0" w:color="auto"/>
              <w:right w:val="single" w:sz="6" w:space="0" w:color="auto"/>
            </w:tcBorders>
          </w:tcPr>
          <w:p w14:paraId="4196BADF" w14:textId="77777777" w:rsidR="00CA23D0" w:rsidRPr="00E30642" w:rsidRDefault="00CA23D0" w:rsidP="00CA23D0">
            <w:pPr>
              <w:pStyle w:val="Texttabulky"/>
              <w:spacing w:line="240" w:lineRule="atLeast"/>
              <w:jc w:val="both"/>
              <w:rPr>
                <w:rFonts w:cs="Arial"/>
              </w:rPr>
            </w:pPr>
            <w:r w:rsidRPr="00E30642">
              <w:rPr>
                <w:rFonts w:cs="Arial"/>
              </w:rPr>
              <w:t>4 205</w:t>
            </w:r>
          </w:p>
        </w:tc>
        <w:tc>
          <w:tcPr>
            <w:tcW w:w="709" w:type="dxa"/>
            <w:tcBorders>
              <w:top w:val="single" w:sz="6" w:space="0" w:color="auto"/>
              <w:left w:val="single" w:sz="6" w:space="0" w:color="auto"/>
              <w:bottom w:val="single" w:sz="6" w:space="0" w:color="auto"/>
              <w:right w:val="single" w:sz="6" w:space="0" w:color="auto"/>
            </w:tcBorders>
          </w:tcPr>
          <w:p w14:paraId="4E8BE131" w14:textId="77777777" w:rsidR="00CA23D0" w:rsidRPr="00E30642" w:rsidRDefault="00CA23D0" w:rsidP="00CA23D0">
            <w:pPr>
              <w:pStyle w:val="Texttabulky"/>
              <w:spacing w:line="240" w:lineRule="atLeast"/>
              <w:jc w:val="both"/>
              <w:rPr>
                <w:rFonts w:cs="Arial"/>
              </w:rPr>
            </w:pPr>
            <w:r w:rsidRPr="00E30642">
              <w:rPr>
                <w:rFonts w:cs="Arial"/>
              </w:rPr>
              <w:t>8 618</w:t>
            </w:r>
          </w:p>
        </w:tc>
      </w:tr>
      <w:tr w:rsidR="00CA23D0" w:rsidRPr="00E30642" w14:paraId="4CC6F29E" w14:textId="77777777" w:rsidTr="00CA23D0">
        <w:tc>
          <w:tcPr>
            <w:tcW w:w="900" w:type="dxa"/>
            <w:tcBorders>
              <w:top w:val="single" w:sz="6" w:space="0" w:color="auto"/>
              <w:left w:val="single" w:sz="6" w:space="0" w:color="auto"/>
              <w:bottom w:val="single" w:sz="6" w:space="0" w:color="auto"/>
              <w:right w:val="single" w:sz="6" w:space="0" w:color="auto"/>
            </w:tcBorders>
          </w:tcPr>
          <w:p w14:paraId="3FDA44F3" w14:textId="77777777" w:rsidR="00CA23D0" w:rsidRPr="00E30642" w:rsidRDefault="00CA23D0" w:rsidP="00CA23D0">
            <w:pPr>
              <w:pStyle w:val="Texttabulky"/>
              <w:spacing w:line="240" w:lineRule="atLeast"/>
              <w:jc w:val="both"/>
              <w:rPr>
                <w:rFonts w:cs="Arial"/>
              </w:rPr>
            </w:pPr>
            <w:r w:rsidRPr="00E30642">
              <w:rPr>
                <w:rFonts w:cs="Arial"/>
                <w:b/>
                <w:bCs/>
              </w:rPr>
              <w:t>20-24</w:t>
            </w:r>
          </w:p>
        </w:tc>
        <w:tc>
          <w:tcPr>
            <w:tcW w:w="559" w:type="dxa"/>
            <w:tcBorders>
              <w:top w:val="single" w:sz="6" w:space="0" w:color="auto"/>
              <w:left w:val="single" w:sz="6" w:space="0" w:color="auto"/>
              <w:bottom w:val="single" w:sz="6" w:space="0" w:color="auto"/>
              <w:right w:val="single" w:sz="6" w:space="0" w:color="auto"/>
            </w:tcBorders>
          </w:tcPr>
          <w:p w14:paraId="3393F9D7" w14:textId="77777777" w:rsidR="00CA23D0" w:rsidRPr="00E30642" w:rsidRDefault="00CA23D0" w:rsidP="00CA23D0">
            <w:pPr>
              <w:pStyle w:val="Texttabulky"/>
              <w:spacing w:line="240" w:lineRule="atLeast"/>
              <w:jc w:val="both"/>
              <w:rPr>
                <w:rFonts w:cs="Arial"/>
              </w:rPr>
            </w:pPr>
            <w:r w:rsidRPr="00E30642">
              <w:rPr>
                <w:rFonts w:cs="Arial"/>
              </w:rPr>
              <w:t>6 491</w:t>
            </w:r>
          </w:p>
        </w:tc>
        <w:tc>
          <w:tcPr>
            <w:tcW w:w="614" w:type="dxa"/>
            <w:tcBorders>
              <w:top w:val="single" w:sz="6" w:space="0" w:color="auto"/>
              <w:left w:val="single" w:sz="6" w:space="0" w:color="auto"/>
              <w:bottom w:val="single" w:sz="6" w:space="0" w:color="auto"/>
              <w:right w:val="single" w:sz="6" w:space="0" w:color="auto"/>
            </w:tcBorders>
          </w:tcPr>
          <w:p w14:paraId="4EE48598" w14:textId="77777777" w:rsidR="00CA23D0" w:rsidRPr="00E30642" w:rsidRDefault="00CA23D0" w:rsidP="00CA23D0">
            <w:pPr>
              <w:pStyle w:val="Texttabulky"/>
              <w:spacing w:line="240" w:lineRule="atLeast"/>
              <w:jc w:val="both"/>
              <w:rPr>
                <w:rFonts w:cs="Arial"/>
              </w:rPr>
            </w:pPr>
            <w:r w:rsidRPr="00E30642">
              <w:rPr>
                <w:rFonts w:cs="Arial"/>
              </w:rPr>
              <w:t>6 212</w:t>
            </w:r>
          </w:p>
        </w:tc>
        <w:tc>
          <w:tcPr>
            <w:tcW w:w="762" w:type="dxa"/>
            <w:tcBorders>
              <w:top w:val="single" w:sz="6" w:space="0" w:color="auto"/>
              <w:left w:val="single" w:sz="6" w:space="0" w:color="auto"/>
              <w:bottom w:val="single" w:sz="6" w:space="0" w:color="auto"/>
              <w:right w:val="single" w:sz="6" w:space="0" w:color="auto"/>
            </w:tcBorders>
          </w:tcPr>
          <w:p w14:paraId="2FE605EA" w14:textId="77777777" w:rsidR="00CA23D0" w:rsidRPr="00E30642" w:rsidRDefault="00CA23D0" w:rsidP="00CA23D0">
            <w:pPr>
              <w:pStyle w:val="Texttabulky"/>
              <w:spacing w:line="240" w:lineRule="atLeast"/>
              <w:jc w:val="both"/>
              <w:rPr>
                <w:rFonts w:cs="Arial"/>
              </w:rPr>
            </w:pPr>
            <w:r w:rsidRPr="00E30642">
              <w:rPr>
                <w:rFonts w:cs="Arial"/>
              </w:rPr>
              <w:t>12 703</w:t>
            </w:r>
          </w:p>
        </w:tc>
        <w:tc>
          <w:tcPr>
            <w:tcW w:w="709" w:type="dxa"/>
            <w:tcBorders>
              <w:top w:val="single" w:sz="6" w:space="0" w:color="auto"/>
              <w:left w:val="single" w:sz="6" w:space="0" w:color="auto"/>
              <w:bottom w:val="single" w:sz="6" w:space="0" w:color="auto"/>
              <w:right w:val="single" w:sz="6" w:space="0" w:color="auto"/>
            </w:tcBorders>
          </w:tcPr>
          <w:p w14:paraId="267DB8DA" w14:textId="77777777" w:rsidR="00CA23D0" w:rsidRPr="00E30642" w:rsidRDefault="00CA23D0" w:rsidP="00CA23D0">
            <w:pPr>
              <w:pStyle w:val="Texttabulky"/>
              <w:spacing w:line="240" w:lineRule="atLeast"/>
              <w:jc w:val="both"/>
              <w:rPr>
                <w:rFonts w:cs="Arial"/>
              </w:rPr>
            </w:pPr>
            <w:r w:rsidRPr="00E30642">
              <w:rPr>
                <w:rFonts w:cs="Arial"/>
              </w:rPr>
              <w:t>5 904</w:t>
            </w:r>
          </w:p>
        </w:tc>
        <w:tc>
          <w:tcPr>
            <w:tcW w:w="567" w:type="dxa"/>
            <w:tcBorders>
              <w:top w:val="single" w:sz="6" w:space="0" w:color="auto"/>
              <w:left w:val="single" w:sz="6" w:space="0" w:color="auto"/>
              <w:bottom w:val="single" w:sz="6" w:space="0" w:color="auto"/>
              <w:right w:val="single" w:sz="6" w:space="0" w:color="auto"/>
            </w:tcBorders>
          </w:tcPr>
          <w:p w14:paraId="40294AAD" w14:textId="77777777" w:rsidR="00CA23D0" w:rsidRPr="00E30642" w:rsidRDefault="00CA23D0" w:rsidP="00CA23D0">
            <w:pPr>
              <w:pStyle w:val="Texttabulky"/>
              <w:spacing w:line="240" w:lineRule="atLeast"/>
              <w:jc w:val="both"/>
              <w:rPr>
                <w:rFonts w:cs="Arial"/>
              </w:rPr>
            </w:pPr>
            <w:r w:rsidRPr="00E30642">
              <w:rPr>
                <w:rFonts w:cs="Arial"/>
              </w:rPr>
              <w:t>5 519</w:t>
            </w:r>
          </w:p>
        </w:tc>
        <w:tc>
          <w:tcPr>
            <w:tcW w:w="709" w:type="dxa"/>
            <w:tcBorders>
              <w:top w:val="single" w:sz="6" w:space="0" w:color="auto"/>
              <w:left w:val="single" w:sz="6" w:space="0" w:color="auto"/>
              <w:bottom w:val="single" w:sz="6" w:space="0" w:color="auto"/>
              <w:right w:val="single" w:sz="6" w:space="0" w:color="auto"/>
            </w:tcBorders>
          </w:tcPr>
          <w:p w14:paraId="0B22B3A1" w14:textId="77777777" w:rsidR="00CA23D0" w:rsidRPr="00E30642" w:rsidRDefault="00CA23D0" w:rsidP="00CA23D0">
            <w:pPr>
              <w:pStyle w:val="Texttabulky"/>
              <w:spacing w:line="240" w:lineRule="atLeast"/>
              <w:jc w:val="both"/>
              <w:rPr>
                <w:rFonts w:cs="Arial"/>
              </w:rPr>
            </w:pPr>
            <w:r w:rsidRPr="00E30642">
              <w:rPr>
                <w:rFonts w:cs="Arial"/>
              </w:rPr>
              <w:t>11 423</w:t>
            </w:r>
          </w:p>
        </w:tc>
        <w:tc>
          <w:tcPr>
            <w:tcW w:w="567" w:type="dxa"/>
            <w:tcBorders>
              <w:top w:val="single" w:sz="6" w:space="0" w:color="auto"/>
              <w:left w:val="single" w:sz="6" w:space="0" w:color="auto"/>
              <w:bottom w:val="single" w:sz="6" w:space="0" w:color="auto"/>
              <w:right w:val="single" w:sz="6" w:space="0" w:color="auto"/>
            </w:tcBorders>
          </w:tcPr>
          <w:p w14:paraId="4D51E6BA" w14:textId="77777777" w:rsidR="00CA23D0" w:rsidRPr="00E30642" w:rsidRDefault="00CA23D0" w:rsidP="00CA23D0">
            <w:pPr>
              <w:pStyle w:val="Texttabulky"/>
              <w:spacing w:line="240" w:lineRule="atLeast"/>
              <w:jc w:val="both"/>
              <w:rPr>
                <w:rFonts w:cs="Arial"/>
              </w:rPr>
            </w:pPr>
            <w:r w:rsidRPr="00E30642">
              <w:rPr>
                <w:rFonts w:cs="Arial"/>
              </w:rPr>
              <w:t>4 301</w:t>
            </w:r>
          </w:p>
        </w:tc>
        <w:tc>
          <w:tcPr>
            <w:tcW w:w="567" w:type="dxa"/>
            <w:tcBorders>
              <w:top w:val="single" w:sz="6" w:space="0" w:color="auto"/>
              <w:left w:val="single" w:sz="6" w:space="0" w:color="auto"/>
              <w:bottom w:val="single" w:sz="6" w:space="0" w:color="auto"/>
              <w:right w:val="single" w:sz="6" w:space="0" w:color="auto"/>
            </w:tcBorders>
          </w:tcPr>
          <w:p w14:paraId="5A0D5319" w14:textId="77777777" w:rsidR="00CA23D0" w:rsidRPr="00E30642" w:rsidRDefault="00CA23D0" w:rsidP="00CA23D0">
            <w:pPr>
              <w:pStyle w:val="Texttabulky"/>
              <w:spacing w:line="240" w:lineRule="atLeast"/>
              <w:jc w:val="both"/>
              <w:rPr>
                <w:rFonts w:cs="Arial"/>
              </w:rPr>
            </w:pPr>
            <w:r w:rsidRPr="00E30642">
              <w:rPr>
                <w:rFonts w:cs="Arial"/>
              </w:rPr>
              <w:t>4 072</w:t>
            </w:r>
          </w:p>
        </w:tc>
        <w:tc>
          <w:tcPr>
            <w:tcW w:w="709" w:type="dxa"/>
            <w:tcBorders>
              <w:top w:val="single" w:sz="6" w:space="0" w:color="auto"/>
              <w:left w:val="single" w:sz="6" w:space="0" w:color="auto"/>
              <w:bottom w:val="single" w:sz="6" w:space="0" w:color="auto"/>
              <w:right w:val="single" w:sz="6" w:space="0" w:color="auto"/>
            </w:tcBorders>
          </w:tcPr>
          <w:p w14:paraId="4C39C4A4" w14:textId="77777777" w:rsidR="00CA23D0" w:rsidRPr="00E30642" w:rsidRDefault="00CA23D0" w:rsidP="00CA23D0">
            <w:pPr>
              <w:pStyle w:val="Texttabulky"/>
              <w:spacing w:line="240" w:lineRule="atLeast"/>
              <w:jc w:val="both"/>
              <w:rPr>
                <w:rFonts w:cs="Arial"/>
              </w:rPr>
            </w:pPr>
            <w:r w:rsidRPr="00E30642">
              <w:rPr>
                <w:rFonts w:cs="Arial"/>
              </w:rPr>
              <w:t>8 373</w:t>
            </w:r>
          </w:p>
        </w:tc>
        <w:tc>
          <w:tcPr>
            <w:tcW w:w="708" w:type="dxa"/>
            <w:tcBorders>
              <w:top w:val="single" w:sz="6" w:space="0" w:color="auto"/>
              <w:left w:val="single" w:sz="6" w:space="0" w:color="auto"/>
              <w:bottom w:val="single" w:sz="6" w:space="0" w:color="auto"/>
              <w:right w:val="single" w:sz="6" w:space="0" w:color="auto"/>
            </w:tcBorders>
          </w:tcPr>
          <w:p w14:paraId="5F39AA42" w14:textId="77777777" w:rsidR="00CA23D0" w:rsidRPr="00E30642" w:rsidRDefault="00CA23D0" w:rsidP="00CA23D0">
            <w:pPr>
              <w:pStyle w:val="Texttabulky"/>
              <w:spacing w:line="240" w:lineRule="atLeast"/>
              <w:jc w:val="both"/>
              <w:rPr>
                <w:rFonts w:cs="Arial"/>
              </w:rPr>
            </w:pPr>
            <w:r w:rsidRPr="00E30642">
              <w:rPr>
                <w:rFonts w:cs="Arial"/>
              </w:rPr>
              <w:t>4 737</w:t>
            </w:r>
          </w:p>
        </w:tc>
        <w:tc>
          <w:tcPr>
            <w:tcW w:w="567" w:type="dxa"/>
            <w:tcBorders>
              <w:top w:val="single" w:sz="6" w:space="0" w:color="auto"/>
              <w:left w:val="single" w:sz="6" w:space="0" w:color="auto"/>
              <w:bottom w:val="single" w:sz="6" w:space="0" w:color="auto"/>
              <w:right w:val="single" w:sz="6" w:space="0" w:color="auto"/>
            </w:tcBorders>
          </w:tcPr>
          <w:p w14:paraId="42458848" w14:textId="77777777" w:rsidR="00CA23D0" w:rsidRPr="00E30642" w:rsidRDefault="00CA23D0" w:rsidP="00CA23D0">
            <w:pPr>
              <w:pStyle w:val="Texttabulky"/>
              <w:spacing w:line="240" w:lineRule="atLeast"/>
              <w:jc w:val="both"/>
              <w:rPr>
                <w:rFonts w:cs="Arial"/>
              </w:rPr>
            </w:pPr>
            <w:r w:rsidRPr="00E30642">
              <w:rPr>
                <w:rFonts w:cs="Arial"/>
              </w:rPr>
              <w:t>4 528</w:t>
            </w:r>
          </w:p>
        </w:tc>
        <w:tc>
          <w:tcPr>
            <w:tcW w:w="709" w:type="dxa"/>
            <w:tcBorders>
              <w:top w:val="single" w:sz="6" w:space="0" w:color="auto"/>
              <w:left w:val="single" w:sz="6" w:space="0" w:color="auto"/>
              <w:bottom w:val="single" w:sz="6" w:space="0" w:color="auto"/>
              <w:right w:val="single" w:sz="6" w:space="0" w:color="auto"/>
            </w:tcBorders>
          </w:tcPr>
          <w:p w14:paraId="008A17FD" w14:textId="77777777" w:rsidR="00CA23D0" w:rsidRPr="00E30642" w:rsidRDefault="00CA23D0" w:rsidP="00CA23D0">
            <w:pPr>
              <w:pStyle w:val="Texttabulky"/>
              <w:spacing w:line="240" w:lineRule="atLeast"/>
              <w:jc w:val="both"/>
              <w:rPr>
                <w:rFonts w:cs="Arial"/>
              </w:rPr>
            </w:pPr>
            <w:r w:rsidRPr="00E30642">
              <w:rPr>
                <w:rFonts w:cs="Arial"/>
              </w:rPr>
              <w:t>9 265</w:t>
            </w:r>
          </w:p>
        </w:tc>
      </w:tr>
      <w:tr w:rsidR="00CA23D0" w:rsidRPr="00E30642" w14:paraId="28372EC5" w14:textId="77777777" w:rsidTr="00CA23D0">
        <w:tc>
          <w:tcPr>
            <w:tcW w:w="900" w:type="dxa"/>
            <w:tcBorders>
              <w:top w:val="single" w:sz="6" w:space="0" w:color="auto"/>
              <w:left w:val="single" w:sz="6" w:space="0" w:color="auto"/>
              <w:bottom w:val="single" w:sz="6" w:space="0" w:color="auto"/>
              <w:right w:val="single" w:sz="6" w:space="0" w:color="auto"/>
            </w:tcBorders>
          </w:tcPr>
          <w:p w14:paraId="0756699A" w14:textId="77777777" w:rsidR="00CA23D0" w:rsidRPr="00E30642" w:rsidRDefault="00CA23D0" w:rsidP="00CA23D0">
            <w:pPr>
              <w:pStyle w:val="Texttabulky"/>
              <w:spacing w:line="240" w:lineRule="atLeast"/>
              <w:jc w:val="both"/>
              <w:rPr>
                <w:rFonts w:cs="Arial"/>
              </w:rPr>
            </w:pPr>
            <w:r w:rsidRPr="00E30642">
              <w:rPr>
                <w:rFonts w:cs="Arial"/>
                <w:b/>
                <w:bCs/>
              </w:rPr>
              <w:t>25-29</w:t>
            </w:r>
          </w:p>
        </w:tc>
        <w:tc>
          <w:tcPr>
            <w:tcW w:w="559" w:type="dxa"/>
            <w:tcBorders>
              <w:top w:val="single" w:sz="6" w:space="0" w:color="auto"/>
              <w:left w:val="single" w:sz="6" w:space="0" w:color="auto"/>
              <w:bottom w:val="single" w:sz="6" w:space="0" w:color="auto"/>
              <w:right w:val="single" w:sz="6" w:space="0" w:color="auto"/>
            </w:tcBorders>
          </w:tcPr>
          <w:p w14:paraId="191DDB7D" w14:textId="77777777" w:rsidR="00CA23D0" w:rsidRPr="00E30642" w:rsidRDefault="00CA23D0" w:rsidP="00CA23D0">
            <w:pPr>
              <w:pStyle w:val="Texttabulky"/>
              <w:spacing w:line="240" w:lineRule="atLeast"/>
              <w:jc w:val="both"/>
              <w:rPr>
                <w:rFonts w:cs="Arial"/>
              </w:rPr>
            </w:pPr>
            <w:r w:rsidRPr="00E30642">
              <w:rPr>
                <w:rFonts w:cs="Arial"/>
              </w:rPr>
              <w:t>4 578</w:t>
            </w:r>
          </w:p>
        </w:tc>
        <w:tc>
          <w:tcPr>
            <w:tcW w:w="614" w:type="dxa"/>
            <w:tcBorders>
              <w:top w:val="single" w:sz="6" w:space="0" w:color="auto"/>
              <w:left w:val="single" w:sz="6" w:space="0" w:color="auto"/>
              <w:bottom w:val="single" w:sz="6" w:space="0" w:color="auto"/>
              <w:right w:val="single" w:sz="6" w:space="0" w:color="auto"/>
            </w:tcBorders>
          </w:tcPr>
          <w:p w14:paraId="297A1A23" w14:textId="77777777" w:rsidR="00CA23D0" w:rsidRPr="00E30642" w:rsidRDefault="00CA23D0" w:rsidP="00CA23D0">
            <w:pPr>
              <w:pStyle w:val="Texttabulky"/>
              <w:spacing w:line="240" w:lineRule="atLeast"/>
              <w:jc w:val="both"/>
              <w:rPr>
                <w:rFonts w:cs="Arial"/>
              </w:rPr>
            </w:pPr>
            <w:r w:rsidRPr="00E30642">
              <w:rPr>
                <w:rFonts w:cs="Arial"/>
              </w:rPr>
              <w:t>4 343</w:t>
            </w:r>
          </w:p>
        </w:tc>
        <w:tc>
          <w:tcPr>
            <w:tcW w:w="762" w:type="dxa"/>
            <w:tcBorders>
              <w:top w:val="single" w:sz="6" w:space="0" w:color="auto"/>
              <w:left w:val="single" w:sz="6" w:space="0" w:color="auto"/>
              <w:bottom w:val="single" w:sz="6" w:space="0" w:color="auto"/>
              <w:right w:val="single" w:sz="6" w:space="0" w:color="auto"/>
            </w:tcBorders>
          </w:tcPr>
          <w:p w14:paraId="4C496E61" w14:textId="77777777" w:rsidR="00CA23D0" w:rsidRPr="00E30642" w:rsidRDefault="00CA23D0" w:rsidP="00CA23D0">
            <w:pPr>
              <w:pStyle w:val="Texttabulky"/>
              <w:spacing w:line="240" w:lineRule="atLeast"/>
              <w:jc w:val="both"/>
              <w:rPr>
                <w:rFonts w:cs="Arial"/>
              </w:rPr>
            </w:pPr>
            <w:r w:rsidRPr="00E30642">
              <w:rPr>
                <w:rFonts w:cs="Arial"/>
              </w:rPr>
              <w:t>8 921</w:t>
            </w:r>
          </w:p>
        </w:tc>
        <w:tc>
          <w:tcPr>
            <w:tcW w:w="709" w:type="dxa"/>
            <w:tcBorders>
              <w:top w:val="single" w:sz="6" w:space="0" w:color="auto"/>
              <w:left w:val="single" w:sz="6" w:space="0" w:color="auto"/>
              <w:bottom w:val="single" w:sz="6" w:space="0" w:color="auto"/>
              <w:right w:val="single" w:sz="6" w:space="0" w:color="auto"/>
            </w:tcBorders>
          </w:tcPr>
          <w:p w14:paraId="381C6BE3" w14:textId="77777777" w:rsidR="00CA23D0" w:rsidRPr="00E30642" w:rsidRDefault="00CA23D0" w:rsidP="00CA23D0">
            <w:pPr>
              <w:pStyle w:val="Texttabulky"/>
              <w:spacing w:line="240" w:lineRule="atLeast"/>
              <w:jc w:val="both"/>
              <w:rPr>
                <w:rFonts w:cs="Arial"/>
              </w:rPr>
            </w:pPr>
            <w:r w:rsidRPr="00E30642">
              <w:rPr>
                <w:rFonts w:cs="Arial"/>
              </w:rPr>
              <w:t>6 449</w:t>
            </w:r>
          </w:p>
        </w:tc>
        <w:tc>
          <w:tcPr>
            <w:tcW w:w="567" w:type="dxa"/>
            <w:tcBorders>
              <w:top w:val="single" w:sz="6" w:space="0" w:color="auto"/>
              <w:left w:val="single" w:sz="6" w:space="0" w:color="auto"/>
              <w:bottom w:val="single" w:sz="6" w:space="0" w:color="auto"/>
              <w:right w:val="single" w:sz="6" w:space="0" w:color="auto"/>
            </w:tcBorders>
          </w:tcPr>
          <w:p w14:paraId="3563A57A" w14:textId="77777777" w:rsidR="00CA23D0" w:rsidRPr="00E30642" w:rsidRDefault="00CA23D0" w:rsidP="00CA23D0">
            <w:pPr>
              <w:pStyle w:val="Texttabulky"/>
              <w:spacing w:line="240" w:lineRule="atLeast"/>
              <w:jc w:val="both"/>
              <w:rPr>
                <w:rFonts w:cs="Arial"/>
              </w:rPr>
            </w:pPr>
            <w:r w:rsidRPr="00E30642">
              <w:rPr>
                <w:rFonts w:cs="Arial"/>
              </w:rPr>
              <w:t>6 197</w:t>
            </w:r>
          </w:p>
        </w:tc>
        <w:tc>
          <w:tcPr>
            <w:tcW w:w="709" w:type="dxa"/>
            <w:tcBorders>
              <w:top w:val="single" w:sz="6" w:space="0" w:color="auto"/>
              <w:left w:val="single" w:sz="6" w:space="0" w:color="auto"/>
              <w:bottom w:val="single" w:sz="6" w:space="0" w:color="auto"/>
              <w:right w:val="single" w:sz="6" w:space="0" w:color="auto"/>
            </w:tcBorders>
          </w:tcPr>
          <w:p w14:paraId="4AD01422" w14:textId="77777777" w:rsidR="00CA23D0" w:rsidRPr="00E30642" w:rsidRDefault="00CA23D0" w:rsidP="00CA23D0">
            <w:pPr>
              <w:pStyle w:val="Texttabulky"/>
              <w:spacing w:line="240" w:lineRule="atLeast"/>
              <w:jc w:val="both"/>
              <w:rPr>
                <w:rFonts w:cs="Arial"/>
              </w:rPr>
            </w:pPr>
            <w:r w:rsidRPr="00E30642">
              <w:rPr>
                <w:rFonts w:cs="Arial"/>
              </w:rPr>
              <w:t>12 646</w:t>
            </w:r>
          </w:p>
        </w:tc>
        <w:tc>
          <w:tcPr>
            <w:tcW w:w="567" w:type="dxa"/>
            <w:tcBorders>
              <w:top w:val="single" w:sz="6" w:space="0" w:color="auto"/>
              <w:left w:val="single" w:sz="6" w:space="0" w:color="auto"/>
              <w:bottom w:val="single" w:sz="6" w:space="0" w:color="auto"/>
              <w:right w:val="single" w:sz="6" w:space="0" w:color="auto"/>
            </w:tcBorders>
          </w:tcPr>
          <w:p w14:paraId="2BA13BE3" w14:textId="77777777" w:rsidR="00CA23D0" w:rsidRPr="00E30642" w:rsidRDefault="00CA23D0" w:rsidP="00CA23D0">
            <w:pPr>
              <w:pStyle w:val="Texttabulky"/>
              <w:spacing w:line="240" w:lineRule="atLeast"/>
              <w:jc w:val="both"/>
              <w:rPr>
                <w:rFonts w:cs="Arial"/>
              </w:rPr>
            </w:pPr>
            <w:r w:rsidRPr="00E30642">
              <w:rPr>
                <w:rFonts w:cs="Arial"/>
              </w:rPr>
              <w:t>4 468</w:t>
            </w:r>
          </w:p>
        </w:tc>
        <w:tc>
          <w:tcPr>
            <w:tcW w:w="567" w:type="dxa"/>
            <w:tcBorders>
              <w:top w:val="single" w:sz="6" w:space="0" w:color="auto"/>
              <w:left w:val="single" w:sz="6" w:space="0" w:color="auto"/>
              <w:bottom w:val="single" w:sz="6" w:space="0" w:color="auto"/>
              <w:right w:val="single" w:sz="6" w:space="0" w:color="auto"/>
            </w:tcBorders>
          </w:tcPr>
          <w:p w14:paraId="63833DA4" w14:textId="77777777" w:rsidR="00CA23D0" w:rsidRPr="00E30642" w:rsidRDefault="00CA23D0" w:rsidP="00CA23D0">
            <w:pPr>
              <w:pStyle w:val="Texttabulky"/>
              <w:spacing w:line="240" w:lineRule="atLeast"/>
              <w:jc w:val="both"/>
              <w:rPr>
                <w:rFonts w:cs="Arial"/>
              </w:rPr>
            </w:pPr>
            <w:r w:rsidRPr="00E30642">
              <w:rPr>
                <w:rFonts w:cs="Arial"/>
              </w:rPr>
              <w:t>4 326</w:t>
            </w:r>
          </w:p>
        </w:tc>
        <w:tc>
          <w:tcPr>
            <w:tcW w:w="709" w:type="dxa"/>
            <w:tcBorders>
              <w:top w:val="single" w:sz="6" w:space="0" w:color="auto"/>
              <w:left w:val="single" w:sz="6" w:space="0" w:color="auto"/>
              <w:bottom w:val="single" w:sz="6" w:space="0" w:color="auto"/>
              <w:right w:val="single" w:sz="6" w:space="0" w:color="auto"/>
            </w:tcBorders>
          </w:tcPr>
          <w:p w14:paraId="3CE0B60A" w14:textId="77777777" w:rsidR="00CA23D0" w:rsidRPr="00E30642" w:rsidRDefault="00CA23D0" w:rsidP="00CA23D0">
            <w:pPr>
              <w:pStyle w:val="Texttabulky"/>
              <w:spacing w:line="240" w:lineRule="atLeast"/>
              <w:jc w:val="both"/>
              <w:rPr>
                <w:rFonts w:cs="Arial"/>
              </w:rPr>
            </w:pPr>
            <w:r w:rsidRPr="00E30642">
              <w:rPr>
                <w:rFonts w:cs="Arial"/>
              </w:rPr>
              <w:t>8 794</w:t>
            </w:r>
          </w:p>
        </w:tc>
        <w:tc>
          <w:tcPr>
            <w:tcW w:w="708" w:type="dxa"/>
            <w:tcBorders>
              <w:top w:val="single" w:sz="6" w:space="0" w:color="auto"/>
              <w:left w:val="single" w:sz="6" w:space="0" w:color="auto"/>
              <w:bottom w:val="single" w:sz="6" w:space="0" w:color="auto"/>
              <w:right w:val="single" w:sz="6" w:space="0" w:color="auto"/>
            </w:tcBorders>
          </w:tcPr>
          <w:p w14:paraId="13B461F8" w14:textId="77777777" w:rsidR="00CA23D0" w:rsidRPr="00E30642" w:rsidRDefault="00CA23D0" w:rsidP="00CA23D0">
            <w:pPr>
              <w:pStyle w:val="Texttabulky"/>
              <w:spacing w:line="240" w:lineRule="atLeast"/>
              <w:jc w:val="both"/>
              <w:rPr>
                <w:rFonts w:cs="Arial"/>
              </w:rPr>
            </w:pPr>
            <w:r w:rsidRPr="00E30642">
              <w:rPr>
                <w:rFonts w:cs="Arial"/>
              </w:rPr>
              <w:t>4 288</w:t>
            </w:r>
          </w:p>
        </w:tc>
        <w:tc>
          <w:tcPr>
            <w:tcW w:w="567" w:type="dxa"/>
            <w:tcBorders>
              <w:top w:val="single" w:sz="6" w:space="0" w:color="auto"/>
              <w:left w:val="single" w:sz="6" w:space="0" w:color="auto"/>
              <w:bottom w:val="single" w:sz="6" w:space="0" w:color="auto"/>
              <w:right w:val="single" w:sz="6" w:space="0" w:color="auto"/>
            </w:tcBorders>
          </w:tcPr>
          <w:p w14:paraId="0A1F33C0" w14:textId="77777777" w:rsidR="00CA23D0" w:rsidRPr="00E30642" w:rsidRDefault="00CA23D0" w:rsidP="00CA23D0">
            <w:pPr>
              <w:pStyle w:val="Texttabulky"/>
              <w:spacing w:line="240" w:lineRule="atLeast"/>
              <w:jc w:val="both"/>
              <w:rPr>
                <w:rFonts w:cs="Arial"/>
              </w:rPr>
            </w:pPr>
            <w:r w:rsidRPr="00E30642">
              <w:rPr>
                <w:rFonts w:cs="Arial"/>
              </w:rPr>
              <w:t>4 130</w:t>
            </w:r>
          </w:p>
        </w:tc>
        <w:tc>
          <w:tcPr>
            <w:tcW w:w="709" w:type="dxa"/>
            <w:tcBorders>
              <w:top w:val="single" w:sz="6" w:space="0" w:color="auto"/>
              <w:left w:val="single" w:sz="6" w:space="0" w:color="auto"/>
              <w:bottom w:val="single" w:sz="6" w:space="0" w:color="auto"/>
              <w:right w:val="single" w:sz="6" w:space="0" w:color="auto"/>
            </w:tcBorders>
          </w:tcPr>
          <w:p w14:paraId="6A10F941" w14:textId="77777777" w:rsidR="00CA23D0" w:rsidRPr="00E30642" w:rsidRDefault="00CA23D0" w:rsidP="00CA23D0">
            <w:pPr>
              <w:pStyle w:val="Texttabulky"/>
              <w:spacing w:line="240" w:lineRule="atLeast"/>
              <w:jc w:val="both"/>
              <w:rPr>
                <w:rFonts w:cs="Arial"/>
              </w:rPr>
            </w:pPr>
            <w:r w:rsidRPr="00E30642">
              <w:rPr>
                <w:rFonts w:cs="Arial"/>
              </w:rPr>
              <w:t>8 418</w:t>
            </w:r>
          </w:p>
        </w:tc>
      </w:tr>
      <w:tr w:rsidR="00CA23D0" w:rsidRPr="00E30642" w14:paraId="6E6C7D34" w14:textId="77777777" w:rsidTr="00CA23D0">
        <w:tc>
          <w:tcPr>
            <w:tcW w:w="900" w:type="dxa"/>
            <w:tcBorders>
              <w:top w:val="single" w:sz="6" w:space="0" w:color="auto"/>
              <w:left w:val="single" w:sz="6" w:space="0" w:color="auto"/>
              <w:bottom w:val="single" w:sz="6" w:space="0" w:color="auto"/>
              <w:right w:val="single" w:sz="6" w:space="0" w:color="auto"/>
            </w:tcBorders>
          </w:tcPr>
          <w:p w14:paraId="680A1494" w14:textId="77777777" w:rsidR="00CA23D0" w:rsidRPr="00E30642" w:rsidRDefault="00CA23D0" w:rsidP="00CA23D0">
            <w:pPr>
              <w:pStyle w:val="Texttabulky"/>
              <w:spacing w:line="240" w:lineRule="atLeast"/>
              <w:jc w:val="both"/>
              <w:rPr>
                <w:rFonts w:cs="Arial"/>
              </w:rPr>
            </w:pPr>
            <w:r w:rsidRPr="00E30642">
              <w:rPr>
                <w:rFonts w:cs="Arial"/>
                <w:b/>
                <w:bCs/>
              </w:rPr>
              <w:t>30-34</w:t>
            </w:r>
          </w:p>
        </w:tc>
        <w:tc>
          <w:tcPr>
            <w:tcW w:w="559" w:type="dxa"/>
            <w:tcBorders>
              <w:top w:val="single" w:sz="6" w:space="0" w:color="auto"/>
              <w:left w:val="single" w:sz="6" w:space="0" w:color="auto"/>
              <w:bottom w:val="single" w:sz="6" w:space="0" w:color="auto"/>
              <w:right w:val="single" w:sz="6" w:space="0" w:color="auto"/>
            </w:tcBorders>
          </w:tcPr>
          <w:p w14:paraId="65C469E0" w14:textId="77777777" w:rsidR="00CA23D0" w:rsidRPr="00E30642" w:rsidRDefault="00CA23D0" w:rsidP="00CA23D0">
            <w:pPr>
              <w:pStyle w:val="Texttabulky"/>
              <w:spacing w:line="240" w:lineRule="atLeast"/>
              <w:jc w:val="both"/>
              <w:rPr>
                <w:rFonts w:cs="Arial"/>
              </w:rPr>
            </w:pPr>
            <w:r w:rsidRPr="00E30642">
              <w:rPr>
                <w:rFonts w:cs="Arial"/>
              </w:rPr>
              <w:t>4 180</w:t>
            </w:r>
          </w:p>
        </w:tc>
        <w:tc>
          <w:tcPr>
            <w:tcW w:w="614" w:type="dxa"/>
            <w:tcBorders>
              <w:top w:val="single" w:sz="6" w:space="0" w:color="auto"/>
              <w:left w:val="single" w:sz="6" w:space="0" w:color="auto"/>
              <w:bottom w:val="single" w:sz="6" w:space="0" w:color="auto"/>
              <w:right w:val="single" w:sz="6" w:space="0" w:color="auto"/>
            </w:tcBorders>
          </w:tcPr>
          <w:p w14:paraId="3B1E96BC" w14:textId="77777777" w:rsidR="00CA23D0" w:rsidRPr="00E30642" w:rsidRDefault="00CA23D0" w:rsidP="00CA23D0">
            <w:pPr>
              <w:pStyle w:val="Texttabulky"/>
              <w:spacing w:line="240" w:lineRule="atLeast"/>
              <w:jc w:val="both"/>
              <w:rPr>
                <w:rFonts w:cs="Arial"/>
              </w:rPr>
            </w:pPr>
            <w:r w:rsidRPr="00E30642">
              <w:rPr>
                <w:rFonts w:cs="Arial"/>
              </w:rPr>
              <w:t>4 008</w:t>
            </w:r>
          </w:p>
        </w:tc>
        <w:tc>
          <w:tcPr>
            <w:tcW w:w="762" w:type="dxa"/>
            <w:tcBorders>
              <w:top w:val="single" w:sz="6" w:space="0" w:color="auto"/>
              <w:left w:val="single" w:sz="6" w:space="0" w:color="auto"/>
              <w:bottom w:val="single" w:sz="6" w:space="0" w:color="auto"/>
              <w:right w:val="single" w:sz="6" w:space="0" w:color="auto"/>
            </w:tcBorders>
          </w:tcPr>
          <w:p w14:paraId="1F897467" w14:textId="77777777" w:rsidR="00CA23D0" w:rsidRPr="00E30642" w:rsidRDefault="00CA23D0" w:rsidP="00CA23D0">
            <w:pPr>
              <w:pStyle w:val="Texttabulky"/>
              <w:spacing w:line="240" w:lineRule="atLeast"/>
              <w:jc w:val="both"/>
              <w:rPr>
                <w:rFonts w:cs="Arial"/>
              </w:rPr>
            </w:pPr>
            <w:r w:rsidRPr="00E30642">
              <w:rPr>
                <w:rFonts w:cs="Arial"/>
              </w:rPr>
              <w:t>8 188</w:t>
            </w:r>
          </w:p>
        </w:tc>
        <w:tc>
          <w:tcPr>
            <w:tcW w:w="709" w:type="dxa"/>
            <w:tcBorders>
              <w:top w:val="single" w:sz="6" w:space="0" w:color="auto"/>
              <w:left w:val="single" w:sz="6" w:space="0" w:color="auto"/>
              <w:bottom w:val="single" w:sz="6" w:space="0" w:color="auto"/>
              <w:right w:val="single" w:sz="6" w:space="0" w:color="auto"/>
            </w:tcBorders>
          </w:tcPr>
          <w:p w14:paraId="77435F8B" w14:textId="77777777" w:rsidR="00CA23D0" w:rsidRPr="00E30642" w:rsidRDefault="00CA23D0" w:rsidP="00CA23D0">
            <w:pPr>
              <w:pStyle w:val="Texttabulky"/>
              <w:spacing w:line="240" w:lineRule="atLeast"/>
              <w:jc w:val="both"/>
              <w:rPr>
                <w:rFonts w:cs="Arial"/>
              </w:rPr>
            </w:pPr>
            <w:r w:rsidRPr="00E30642">
              <w:rPr>
                <w:rFonts w:cs="Arial"/>
              </w:rPr>
              <w:t>4 546</w:t>
            </w:r>
          </w:p>
        </w:tc>
        <w:tc>
          <w:tcPr>
            <w:tcW w:w="567" w:type="dxa"/>
            <w:tcBorders>
              <w:top w:val="single" w:sz="6" w:space="0" w:color="auto"/>
              <w:left w:val="single" w:sz="6" w:space="0" w:color="auto"/>
              <w:bottom w:val="single" w:sz="6" w:space="0" w:color="auto"/>
              <w:right w:val="single" w:sz="6" w:space="0" w:color="auto"/>
            </w:tcBorders>
          </w:tcPr>
          <w:p w14:paraId="6EB54650" w14:textId="77777777" w:rsidR="00CA23D0" w:rsidRPr="00E30642" w:rsidRDefault="00CA23D0" w:rsidP="00CA23D0">
            <w:pPr>
              <w:pStyle w:val="Texttabulky"/>
              <w:spacing w:line="240" w:lineRule="atLeast"/>
              <w:jc w:val="both"/>
              <w:rPr>
                <w:rFonts w:cs="Arial"/>
              </w:rPr>
            </w:pPr>
            <w:r w:rsidRPr="00E30642">
              <w:rPr>
                <w:rFonts w:cs="Arial"/>
              </w:rPr>
              <w:t>4 330</w:t>
            </w:r>
          </w:p>
        </w:tc>
        <w:tc>
          <w:tcPr>
            <w:tcW w:w="709" w:type="dxa"/>
            <w:tcBorders>
              <w:top w:val="single" w:sz="6" w:space="0" w:color="auto"/>
              <w:left w:val="single" w:sz="6" w:space="0" w:color="auto"/>
              <w:bottom w:val="single" w:sz="6" w:space="0" w:color="auto"/>
              <w:right w:val="single" w:sz="6" w:space="0" w:color="auto"/>
            </w:tcBorders>
          </w:tcPr>
          <w:p w14:paraId="3B575DC7" w14:textId="77777777" w:rsidR="00CA23D0" w:rsidRPr="00E30642" w:rsidRDefault="00CA23D0" w:rsidP="00CA23D0">
            <w:pPr>
              <w:pStyle w:val="Texttabulky"/>
              <w:spacing w:line="240" w:lineRule="atLeast"/>
              <w:jc w:val="both"/>
              <w:rPr>
                <w:rFonts w:cs="Arial"/>
              </w:rPr>
            </w:pPr>
            <w:r w:rsidRPr="00E30642">
              <w:rPr>
                <w:rFonts w:cs="Arial"/>
              </w:rPr>
              <w:t>8 876</w:t>
            </w:r>
          </w:p>
        </w:tc>
        <w:tc>
          <w:tcPr>
            <w:tcW w:w="567" w:type="dxa"/>
            <w:tcBorders>
              <w:top w:val="single" w:sz="6" w:space="0" w:color="auto"/>
              <w:left w:val="single" w:sz="6" w:space="0" w:color="auto"/>
              <w:bottom w:val="single" w:sz="6" w:space="0" w:color="auto"/>
              <w:right w:val="single" w:sz="6" w:space="0" w:color="auto"/>
            </w:tcBorders>
          </w:tcPr>
          <w:p w14:paraId="21B578BB" w14:textId="77777777" w:rsidR="00CA23D0" w:rsidRPr="00E30642" w:rsidRDefault="00CA23D0" w:rsidP="00CA23D0">
            <w:pPr>
              <w:pStyle w:val="Texttabulky"/>
              <w:spacing w:line="240" w:lineRule="atLeast"/>
              <w:jc w:val="both"/>
              <w:rPr>
                <w:rFonts w:cs="Arial"/>
              </w:rPr>
            </w:pPr>
            <w:r w:rsidRPr="00E30642">
              <w:rPr>
                <w:rFonts w:cs="Arial"/>
              </w:rPr>
              <w:t>5 823</w:t>
            </w:r>
          </w:p>
        </w:tc>
        <w:tc>
          <w:tcPr>
            <w:tcW w:w="567" w:type="dxa"/>
            <w:tcBorders>
              <w:top w:val="single" w:sz="6" w:space="0" w:color="auto"/>
              <w:left w:val="single" w:sz="6" w:space="0" w:color="auto"/>
              <w:bottom w:val="single" w:sz="6" w:space="0" w:color="auto"/>
              <w:right w:val="single" w:sz="6" w:space="0" w:color="auto"/>
            </w:tcBorders>
          </w:tcPr>
          <w:p w14:paraId="49E564D1" w14:textId="77777777" w:rsidR="00CA23D0" w:rsidRPr="00E30642" w:rsidRDefault="00CA23D0" w:rsidP="00CA23D0">
            <w:pPr>
              <w:pStyle w:val="Texttabulky"/>
              <w:spacing w:line="240" w:lineRule="atLeast"/>
              <w:jc w:val="both"/>
              <w:rPr>
                <w:rFonts w:cs="Arial"/>
              </w:rPr>
            </w:pPr>
            <w:r w:rsidRPr="00E30642">
              <w:rPr>
                <w:rFonts w:cs="Arial"/>
              </w:rPr>
              <w:t>5 489</w:t>
            </w:r>
          </w:p>
        </w:tc>
        <w:tc>
          <w:tcPr>
            <w:tcW w:w="709" w:type="dxa"/>
            <w:tcBorders>
              <w:top w:val="single" w:sz="6" w:space="0" w:color="auto"/>
              <w:left w:val="single" w:sz="6" w:space="0" w:color="auto"/>
              <w:bottom w:val="single" w:sz="6" w:space="0" w:color="auto"/>
              <w:right w:val="single" w:sz="6" w:space="0" w:color="auto"/>
            </w:tcBorders>
          </w:tcPr>
          <w:p w14:paraId="00597953" w14:textId="77777777" w:rsidR="00CA23D0" w:rsidRPr="00E30642" w:rsidRDefault="00CA23D0" w:rsidP="00CA23D0">
            <w:pPr>
              <w:pStyle w:val="Texttabulky"/>
              <w:spacing w:line="240" w:lineRule="atLeast"/>
              <w:jc w:val="both"/>
              <w:rPr>
                <w:rFonts w:cs="Arial"/>
              </w:rPr>
            </w:pPr>
            <w:r w:rsidRPr="00E30642">
              <w:rPr>
                <w:rFonts w:cs="Arial"/>
              </w:rPr>
              <w:t>11 312</w:t>
            </w:r>
          </w:p>
        </w:tc>
        <w:tc>
          <w:tcPr>
            <w:tcW w:w="708" w:type="dxa"/>
            <w:tcBorders>
              <w:top w:val="single" w:sz="6" w:space="0" w:color="auto"/>
              <w:left w:val="single" w:sz="6" w:space="0" w:color="auto"/>
              <w:bottom w:val="single" w:sz="6" w:space="0" w:color="auto"/>
              <w:right w:val="single" w:sz="6" w:space="0" w:color="auto"/>
            </w:tcBorders>
          </w:tcPr>
          <w:p w14:paraId="03901F00" w14:textId="77777777" w:rsidR="00CA23D0" w:rsidRPr="00E30642" w:rsidRDefault="00CA23D0" w:rsidP="00CA23D0">
            <w:pPr>
              <w:pStyle w:val="Texttabulky"/>
              <w:spacing w:line="240" w:lineRule="atLeast"/>
              <w:jc w:val="both"/>
              <w:rPr>
                <w:rFonts w:cs="Arial"/>
              </w:rPr>
            </w:pPr>
            <w:r w:rsidRPr="00E30642">
              <w:rPr>
                <w:rFonts w:cs="Arial"/>
              </w:rPr>
              <w:t>4 242</w:t>
            </w:r>
          </w:p>
        </w:tc>
        <w:tc>
          <w:tcPr>
            <w:tcW w:w="567" w:type="dxa"/>
            <w:tcBorders>
              <w:top w:val="single" w:sz="6" w:space="0" w:color="auto"/>
              <w:left w:val="single" w:sz="6" w:space="0" w:color="auto"/>
              <w:bottom w:val="single" w:sz="6" w:space="0" w:color="auto"/>
              <w:right w:val="single" w:sz="6" w:space="0" w:color="auto"/>
            </w:tcBorders>
          </w:tcPr>
          <w:p w14:paraId="4B01FF2B" w14:textId="77777777" w:rsidR="00CA23D0" w:rsidRPr="00E30642" w:rsidRDefault="00CA23D0" w:rsidP="00CA23D0">
            <w:pPr>
              <w:pStyle w:val="Texttabulky"/>
              <w:spacing w:line="240" w:lineRule="atLeast"/>
              <w:jc w:val="both"/>
              <w:rPr>
                <w:rFonts w:cs="Arial"/>
              </w:rPr>
            </w:pPr>
            <w:r w:rsidRPr="00E30642">
              <w:rPr>
                <w:rFonts w:cs="Arial"/>
              </w:rPr>
              <w:t>4 048</w:t>
            </w:r>
          </w:p>
        </w:tc>
        <w:tc>
          <w:tcPr>
            <w:tcW w:w="709" w:type="dxa"/>
            <w:tcBorders>
              <w:top w:val="single" w:sz="6" w:space="0" w:color="auto"/>
              <w:left w:val="single" w:sz="6" w:space="0" w:color="auto"/>
              <w:bottom w:val="single" w:sz="6" w:space="0" w:color="auto"/>
              <w:right w:val="single" w:sz="6" w:space="0" w:color="auto"/>
            </w:tcBorders>
          </w:tcPr>
          <w:p w14:paraId="26A6F75D" w14:textId="77777777" w:rsidR="00CA23D0" w:rsidRPr="00E30642" w:rsidRDefault="00CA23D0" w:rsidP="00CA23D0">
            <w:pPr>
              <w:pStyle w:val="Texttabulky"/>
              <w:spacing w:line="240" w:lineRule="atLeast"/>
              <w:jc w:val="both"/>
              <w:rPr>
                <w:rFonts w:cs="Arial"/>
              </w:rPr>
            </w:pPr>
            <w:r w:rsidRPr="00E30642">
              <w:rPr>
                <w:rFonts w:cs="Arial"/>
              </w:rPr>
              <w:t>8 290</w:t>
            </w:r>
          </w:p>
        </w:tc>
      </w:tr>
      <w:tr w:rsidR="00CA23D0" w:rsidRPr="00E30642" w14:paraId="6EC7BC16" w14:textId="77777777" w:rsidTr="00CA23D0">
        <w:tc>
          <w:tcPr>
            <w:tcW w:w="900" w:type="dxa"/>
            <w:tcBorders>
              <w:top w:val="single" w:sz="6" w:space="0" w:color="auto"/>
              <w:left w:val="single" w:sz="6" w:space="0" w:color="auto"/>
              <w:bottom w:val="single" w:sz="6" w:space="0" w:color="auto"/>
              <w:right w:val="single" w:sz="6" w:space="0" w:color="auto"/>
            </w:tcBorders>
          </w:tcPr>
          <w:p w14:paraId="530C2C99" w14:textId="77777777" w:rsidR="00CA23D0" w:rsidRPr="00E30642" w:rsidRDefault="00CA23D0" w:rsidP="00CA23D0">
            <w:pPr>
              <w:pStyle w:val="Texttabulky"/>
              <w:spacing w:line="240" w:lineRule="atLeast"/>
              <w:jc w:val="both"/>
              <w:rPr>
                <w:rFonts w:cs="Arial"/>
              </w:rPr>
            </w:pPr>
            <w:r w:rsidRPr="00E30642">
              <w:rPr>
                <w:rFonts w:cs="Arial"/>
                <w:b/>
                <w:bCs/>
              </w:rPr>
              <w:t>35-39</w:t>
            </w:r>
          </w:p>
        </w:tc>
        <w:tc>
          <w:tcPr>
            <w:tcW w:w="559" w:type="dxa"/>
            <w:tcBorders>
              <w:top w:val="single" w:sz="6" w:space="0" w:color="auto"/>
              <w:left w:val="single" w:sz="6" w:space="0" w:color="auto"/>
              <w:bottom w:val="single" w:sz="6" w:space="0" w:color="auto"/>
              <w:right w:val="single" w:sz="6" w:space="0" w:color="auto"/>
            </w:tcBorders>
          </w:tcPr>
          <w:p w14:paraId="1517DB67" w14:textId="77777777" w:rsidR="00CA23D0" w:rsidRPr="00E30642" w:rsidRDefault="00CA23D0" w:rsidP="00CA23D0">
            <w:pPr>
              <w:pStyle w:val="Texttabulky"/>
              <w:spacing w:line="240" w:lineRule="atLeast"/>
              <w:jc w:val="both"/>
              <w:rPr>
                <w:rFonts w:cs="Arial"/>
              </w:rPr>
            </w:pPr>
            <w:r w:rsidRPr="00E30642">
              <w:rPr>
                <w:rFonts w:cs="Arial"/>
              </w:rPr>
              <w:t>4 075</w:t>
            </w:r>
          </w:p>
        </w:tc>
        <w:tc>
          <w:tcPr>
            <w:tcW w:w="614" w:type="dxa"/>
            <w:tcBorders>
              <w:top w:val="single" w:sz="6" w:space="0" w:color="auto"/>
              <w:left w:val="single" w:sz="6" w:space="0" w:color="auto"/>
              <w:bottom w:val="single" w:sz="6" w:space="0" w:color="auto"/>
              <w:right w:val="single" w:sz="6" w:space="0" w:color="auto"/>
            </w:tcBorders>
          </w:tcPr>
          <w:p w14:paraId="4F48AE85" w14:textId="77777777" w:rsidR="00CA23D0" w:rsidRPr="00E30642" w:rsidRDefault="00CA23D0" w:rsidP="00CA23D0">
            <w:pPr>
              <w:pStyle w:val="Texttabulky"/>
              <w:spacing w:line="240" w:lineRule="atLeast"/>
              <w:jc w:val="both"/>
              <w:rPr>
                <w:rFonts w:cs="Arial"/>
              </w:rPr>
            </w:pPr>
            <w:r w:rsidRPr="00E30642">
              <w:rPr>
                <w:rFonts w:cs="Arial"/>
              </w:rPr>
              <w:t>3 978</w:t>
            </w:r>
          </w:p>
        </w:tc>
        <w:tc>
          <w:tcPr>
            <w:tcW w:w="762" w:type="dxa"/>
            <w:tcBorders>
              <w:top w:val="single" w:sz="6" w:space="0" w:color="auto"/>
              <w:left w:val="single" w:sz="6" w:space="0" w:color="auto"/>
              <w:bottom w:val="single" w:sz="6" w:space="0" w:color="auto"/>
              <w:right w:val="single" w:sz="6" w:space="0" w:color="auto"/>
            </w:tcBorders>
          </w:tcPr>
          <w:p w14:paraId="325C15AF" w14:textId="77777777" w:rsidR="00CA23D0" w:rsidRPr="00E30642" w:rsidRDefault="00CA23D0" w:rsidP="00CA23D0">
            <w:pPr>
              <w:pStyle w:val="Texttabulky"/>
              <w:spacing w:line="240" w:lineRule="atLeast"/>
              <w:jc w:val="both"/>
              <w:rPr>
                <w:rFonts w:cs="Arial"/>
              </w:rPr>
            </w:pPr>
            <w:r w:rsidRPr="00E30642">
              <w:rPr>
                <w:rFonts w:cs="Arial"/>
              </w:rPr>
              <w:t>8 053</w:t>
            </w:r>
          </w:p>
        </w:tc>
        <w:tc>
          <w:tcPr>
            <w:tcW w:w="709" w:type="dxa"/>
            <w:tcBorders>
              <w:top w:val="single" w:sz="6" w:space="0" w:color="auto"/>
              <w:left w:val="single" w:sz="6" w:space="0" w:color="auto"/>
              <w:bottom w:val="single" w:sz="6" w:space="0" w:color="auto"/>
              <w:right w:val="single" w:sz="6" w:space="0" w:color="auto"/>
            </w:tcBorders>
          </w:tcPr>
          <w:p w14:paraId="11B8AD99" w14:textId="77777777" w:rsidR="00CA23D0" w:rsidRPr="00E30642" w:rsidRDefault="00CA23D0" w:rsidP="00CA23D0">
            <w:pPr>
              <w:pStyle w:val="Texttabulky"/>
              <w:spacing w:line="240" w:lineRule="atLeast"/>
              <w:jc w:val="both"/>
              <w:rPr>
                <w:rFonts w:cs="Arial"/>
              </w:rPr>
            </w:pPr>
            <w:r w:rsidRPr="00E30642">
              <w:rPr>
                <w:rFonts w:cs="Arial"/>
              </w:rPr>
              <w:t>4 138</w:t>
            </w:r>
          </w:p>
        </w:tc>
        <w:tc>
          <w:tcPr>
            <w:tcW w:w="567" w:type="dxa"/>
            <w:tcBorders>
              <w:top w:val="single" w:sz="6" w:space="0" w:color="auto"/>
              <w:left w:val="single" w:sz="6" w:space="0" w:color="auto"/>
              <w:bottom w:val="single" w:sz="6" w:space="0" w:color="auto"/>
              <w:right w:val="single" w:sz="6" w:space="0" w:color="auto"/>
            </w:tcBorders>
          </w:tcPr>
          <w:p w14:paraId="74E883F2" w14:textId="77777777" w:rsidR="00CA23D0" w:rsidRPr="00E30642" w:rsidRDefault="00CA23D0" w:rsidP="00CA23D0">
            <w:pPr>
              <w:pStyle w:val="Texttabulky"/>
              <w:spacing w:line="240" w:lineRule="atLeast"/>
              <w:jc w:val="both"/>
              <w:rPr>
                <w:rFonts w:cs="Arial"/>
              </w:rPr>
            </w:pPr>
            <w:r w:rsidRPr="00E30642">
              <w:rPr>
                <w:rFonts w:cs="Arial"/>
              </w:rPr>
              <w:t>3 990</w:t>
            </w:r>
          </w:p>
        </w:tc>
        <w:tc>
          <w:tcPr>
            <w:tcW w:w="709" w:type="dxa"/>
            <w:tcBorders>
              <w:top w:val="single" w:sz="6" w:space="0" w:color="auto"/>
              <w:left w:val="single" w:sz="6" w:space="0" w:color="auto"/>
              <w:bottom w:val="single" w:sz="6" w:space="0" w:color="auto"/>
              <w:right w:val="single" w:sz="6" w:space="0" w:color="auto"/>
            </w:tcBorders>
          </w:tcPr>
          <w:p w14:paraId="171AD20E" w14:textId="77777777" w:rsidR="00CA23D0" w:rsidRPr="00E30642" w:rsidRDefault="00CA23D0" w:rsidP="00CA23D0">
            <w:pPr>
              <w:pStyle w:val="Texttabulky"/>
              <w:spacing w:line="240" w:lineRule="atLeast"/>
              <w:jc w:val="both"/>
              <w:rPr>
                <w:rFonts w:cs="Arial"/>
              </w:rPr>
            </w:pPr>
            <w:r w:rsidRPr="00E30642">
              <w:rPr>
                <w:rFonts w:cs="Arial"/>
              </w:rPr>
              <w:t>8 128</w:t>
            </w:r>
          </w:p>
        </w:tc>
        <w:tc>
          <w:tcPr>
            <w:tcW w:w="567" w:type="dxa"/>
            <w:tcBorders>
              <w:top w:val="single" w:sz="6" w:space="0" w:color="auto"/>
              <w:left w:val="single" w:sz="6" w:space="0" w:color="auto"/>
              <w:bottom w:val="single" w:sz="6" w:space="0" w:color="auto"/>
              <w:right w:val="single" w:sz="6" w:space="0" w:color="auto"/>
            </w:tcBorders>
          </w:tcPr>
          <w:p w14:paraId="7AF90F5E" w14:textId="77777777" w:rsidR="00CA23D0" w:rsidRPr="00E30642" w:rsidRDefault="00CA23D0" w:rsidP="00CA23D0">
            <w:pPr>
              <w:pStyle w:val="Texttabulky"/>
              <w:spacing w:line="240" w:lineRule="atLeast"/>
              <w:jc w:val="both"/>
              <w:rPr>
                <w:rFonts w:cs="Arial"/>
              </w:rPr>
            </w:pPr>
            <w:r w:rsidRPr="00E30642">
              <w:rPr>
                <w:rFonts w:cs="Arial"/>
              </w:rPr>
              <w:t>6 336</w:t>
            </w:r>
          </w:p>
        </w:tc>
        <w:tc>
          <w:tcPr>
            <w:tcW w:w="567" w:type="dxa"/>
            <w:tcBorders>
              <w:top w:val="single" w:sz="6" w:space="0" w:color="auto"/>
              <w:left w:val="single" w:sz="6" w:space="0" w:color="auto"/>
              <w:bottom w:val="single" w:sz="6" w:space="0" w:color="auto"/>
              <w:right w:val="single" w:sz="6" w:space="0" w:color="auto"/>
            </w:tcBorders>
          </w:tcPr>
          <w:p w14:paraId="3FCF7066" w14:textId="77777777" w:rsidR="00CA23D0" w:rsidRPr="00E30642" w:rsidRDefault="00CA23D0" w:rsidP="00CA23D0">
            <w:pPr>
              <w:pStyle w:val="Texttabulky"/>
              <w:spacing w:line="240" w:lineRule="atLeast"/>
              <w:jc w:val="both"/>
              <w:rPr>
                <w:rFonts w:cs="Arial"/>
              </w:rPr>
            </w:pPr>
            <w:r w:rsidRPr="00E30642">
              <w:rPr>
                <w:rFonts w:cs="Arial"/>
              </w:rPr>
              <w:t>6 154</w:t>
            </w:r>
          </w:p>
        </w:tc>
        <w:tc>
          <w:tcPr>
            <w:tcW w:w="709" w:type="dxa"/>
            <w:tcBorders>
              <w:top w:val="single" w:sz="6" w:space="0" w:color="auto"/>
              <w:left w:val="single" w:sz="6" w:space="0" w:color="auto"/>
              <w:bottom w:val="single" w:sz="6" w:space="0" w:color="auto"/>
              <w:right w:val="single" w:sz="6" w:space="0" w:color="auto"/>
            </w:tcBorders>
          </w:tcPr>
          <w:p w14:paraId="1417DE96" w14:textId="77777777" w:rsidR="00CA23D0" w:rsidRPr="00E30642" w:rsidRDefault="00CA23D0" w:rsidP="00CA23D0">
            <w:pPr>
              <w:pStyle w:val="Texttabulky"/>
              <w:spacing w:line="240" w:lineRule="atLeast"/>
              <w:jc w:val="both"/>
              <w:rPr>
                <w:rFonts w:cs="Arial"/>
              </w:rPr>
            </w:pPr>
            <w:r w:rsidRPr="00E30642">
              <w:rPr>
                <w:rFonts w:cs="Arial"/>
              </w:rPr>
              <w:t>12 490</w:t>
            </w:r>
          </w:p>
        </w:tc>
        <w:tc>
          <w:tcPr>
            <w:tcW w:w="708" w:type="dxa"/>
            <w:tcBorders>
              <w:top w:val="single" w:sz="6" w:space="0" w:color="auto"/>
              <w:left w:val="single" w:sz="6" w:space="0" w:color="auto"/>
              <w:bottom w:val="single" w:sz="6" w:space="0" w:color="auto"/>
              <w:right w:val="single" w:sz="6" w:space="0" w:color="auto"/>
            </w:tcBorders>
          </w:tcPr>
          <w:p w14:paraId="72C2D8B0" w14:textId="77777777" w:rsidR="00CA23D0" w:rsidRPr="00E30642" w:rsidRDefault="00CA23D0" w:rsidP="00CA23D0">
            <w:pPr>
              <w:pStyle w:val="Texttabulky"/>
              <w:spacing w:line="240" w:lineRule="atLeast"/>
              <w:jc w:val="both"/>
              <w:rPr>
                <w:rFonts w:cs="Arial"/>
              </w:rPr>
            </w:pPr>
            <w:r w:rsidRPr="00E30642">
              <w:rPr>
                <w:rFonts w:cs="Arial"/>
              </w:rPr>
              <w:t>4 391</w:t>
            </w:r>
          </w:p>
        </w:tc>
        <w:tc>
          <w:tcPr>
            <w:tcW w:w="567" w:type="dxa"/>
            <w:tcBorders>
              <w:top w:val="single" w:sz="6" w:space="0" w:color="auto"/>
              <w:left w:val="single" w:sz="6" w:space="0" w:color="auto"/>
              <w:bottom w:val="single" w:sz="6" w:space="0" w:color="auto"/>
              <w:right w:val="single" w:sz="6" w:space="0" w:color="auto"/>
            </w:tcBorders>
          </w:tcPr>
          <w:p w14:paraId="37FFBA9E" w14:textId="77777777" w:rsidR="00CA23D0" w:rsidRPr="00E30642" w:rsidRDefault="00CA23D0" w:rsidP="00CA23D0">
            <w:pPr>
              <w:pStyle w:val="Texttabulky"/>
              <w:spacing w:line="240" w:lineRule="atLeast"/>
              <w:jc w:val="both"/>
              <w:rPr>
                <w:rFonts w:cs="Arial"/>
              </w:rPr>
            </w:pPr>
            <w:r w:rsidRPr="00E30642">
              <w:rPr>
                <w:rFonts w:cs="Arial"/>
              </w:rPr>
              <w:t>4 295</w:t>
            </w:r>
          </w:p>
        </w:tc>
        <w:tc>
          <w:tcPr>
            <w:tcW w:w="709" w:type="dxa"/>
            <w:tcBorders>
              <w:top w:val="single" w:sz="6" w:space="0" w:color="auto"/>
              <w:left w:val="single" w:sz="6" w:space="0" w:color="auto"/>
              <w:bottom w:val="single" w:sz="6" w:space="0" w:color="auto"/>
              <w:right w:val="single" w:sz="6" w:space="0" w:color="auto"/>
            </w:tcBorders>
          </w:tcPr>
          <w:p w14:paraId="68A721C7" w14:textId="77777777" w:rsidR="00CA23D0" w:rsidRPr="00E30642" w:rsidRDefault="00CA23D0" w:rsidP="00CA23D0">
            <w:pPr>
              <w:pStyle w:val="Texttabulky"/>
              <w:spacing w:line="240" w:lineRule="atLeast"/>
              <w:jc w:val="both"/>
              <w:rPr>
                <w:rFonts w:cs="Arial"/>
              </w:rPr>
            </w:pPr>
            <w:r w:rsidRPr="00E30642">
              <w:rPr>
                <w:rFonts w:cs="Arial"/>
              </w:rPr>
              <w:t>8 686</w:t>
            </w:r>
          </w:p>
        </w:tc>
      </w:tr>
      <w:tr w:rsidR="00CA23D0" w:rsidRPr="00E30642" w14:paraId="4996F554" w14:textId="77777777" w:rsidTr="00CA23D0">
        <w:tc>
          <w:tcPr>
            <w:tcW w:w="900" w:type="dxa"/>
            <w:tcBorders>
              <w:top w:val="single" w:sz="6" w:space="0" w:color="auto"/>
              <w:left w:val="single" w:sz="6" w:space="0" w:color="auto"/>
              <w:bottom w:val="single" w:sz="6" w:space="0" w:color="auto"/>
              <w:right w:val="single" w:sz="6" w:space="0" w:color="auto"/>
            </w:tcBorders>
          </w:tcPr>
          <w:p w14:paraId="7F878E4D" w14:textId="77777777" w:rsidR="00CA23D0" w:rsidRPr="00E30642" w:rsidRDefault="00CA23D0" w:rsidP="00CA23D0">
            <w:pPr>
              <w:pStyle w:val="Texttabulky"/>
              <w:spacing w:line="240" w:lineRule="atLeast"/>
              <w:jc w:val="both"/>
              <w:rPr>
                <w:rFonts w:cs="Arial"/>
              </w:rPr>
            </w:pPr>
            <w:r w:rsidRPr="00E30642">
              <w:rPr>
                <w:rFonts w:cs="Arial"/>
                <w:b/>
                <w:bCs/>
              </w:rPr>
              <w:t>40-44</w:t>
            </w:r>
          </w:p>
        </w:tc>
        <w:tc>
          <w:tcPr>
            <w:tcW w:w="559" w:type="dxa"/>
            <w:tcBorders>
              <w:top w:val="single" w:sz="6" w:space="0" w:color="auto"/>
              <w:left w:val="single" w:sz="6" w:space="0" w:color="auto"/>
              <w:bottom w:val="single" w:sz="6" w:space="0" w:color="auto"/>
              <w:right w:val="single" w:sz="6" w:space="0" w:color="auto"/>
            </w:tcBorders>
          </w:tcPr>
          <w:p w14:paraId="0E6B18FC" w14:textId="77777777" w:rsidR="00CA23D0" w:rsidRPr="00E30642" w:rsidRDefault="00CA23D0" w:rsidP="00CA23D0">
            <w:pPr>
              <w:pStyle w:val="Texttabulky"/>
              <w:spacing w:line="240" w:lineRule="atLeast"/>
              <w:jc w:val="both"/>
              <w:rPr>
                <w:rFonts w:cs="Arial"/>
              </w:rPr>
            </w:pPr>
            <w:r w:rsidRPr="00E30642">
              <w:rPr>
                <w:rFonts w:cs="Arial"/>
              </w:rPr>
              <w:t>5 283</w:t>
            </w:r>
          </w:p>
        </w:tc>
        <w:tc>
          <w:tcPr>
            <w:tcW w:w="614" w:type="dxa"/>
            <w:tcBorders>
              <w:top w:val="single" w:sz="6" w:space="0" w:color="auto"/>
              <w:left w:val="single" w:sz="6" w:space="0" w:color="auto"/>
              <w:bottom w:val="single" w:sz="6" w:space="0" w:color="auto"/>
              <w:right w:val="single" w:sz="6" w:space="0" w:color="auto"/>
            </w:tcBorders>
          </w:tcPr>
          <w:p w14:paraId="3DAA3C83" w14:textId="77777777" w:rsidR="00CA23D0" w:rsidRPr="00E30642" w:rsidRDefault="00CA23D0" w:rsidP="00CA23D0">
            <w:pPr>
              <w:pStyle w:val="Texttabulky"/>
              <w:spacing w:line="240" w:lineRule="atLeast"/>
              <w:jc w:val="both"/>
              <w:rPr>
                <w:rFonts w:cs="Arial"/>
              </w:rPr>
            </w:pPr>
            <w:r w:rsidRPr="00E30642">
              <w:rPr>
                <w:rFonts w:cs="Arial"/>
              </w:rPr>
              <w:t>5 535</w:t>
            </w:r>
          </w:p>
        </w:tc>
        <w:tc>
          <w:tcPr>
            <w:tcW w:w="762" w:type="dxa"/>
            <w:tcBorders>
              <w:top w:val="single" w:sz="6" w:space="0" w:color="auto"/>
              <w:left w:val="single" w:sz="6" w:space="0" w:color="auto"/>
              <w:bottom w:val="single" w:sz="6" w:space="0" w:color="auto"/>
              <w:right w:val="single" w:sz="6" w:space="0" w:color="auto"/>
            </w:tcBorders>
          </w:tcPr>
          <w:p w14:paraId="46E03393" w14:textId="77777777" w:rsidR="00CA23D0" w:rsidRPr="00E30642" w:rsidRDefault="00CA23D0" w:rsidP="00CA23D0">
            <w:pPr>
              <w:pStyle w:val="Texttabulky"/>
              <w:spacing w:line="240" w:lineRule="atLeast"/>
              <w:jc w:val="both"/>
              <w:rPr>
                <w:rFonts w:cs="Arial"/>
              </w:rPr>
            </w:pPr>
            <w:r w:rsidRPr="00E30642">
              <w:rPr>
                <w:rFonts w:cs="Arial"/>
              </w:rPr>
              <w:t>10 818</w:t>
            </w:r>
          </w:p>
        </w:tc>
        <w:tc>
          <w:tcPr>
            <w:tcW w:w="709" w:type="dxa"/>
            <w:tcBorders>
              <w:top w:val="single" w:sz="6" w:space="0" w:color="auto"/>
              <w:left w:val="single" w:sz="6" w:space="0" w:color="auto"/>
              <w:bottom w:val="single" w:sz="6" w:space="0" w:color="auto"/>
              <w:right w:val="single" w:sz="6" w:space="0" w:color="auto"/>
            </w:tcBorders>
          </w:tcPr>
          <w:p w14:paraId="22275AE8" w14:textId="77777777" w:rsidR="00CA23D0" w:rsidRPr="00E30642" w:rsidRDefault="00CA23D0" w:rsidP="00CA23D0">
            <w:pPr>
              <w:pStyle w:val="Texttabulky"/>
              <w:spacing w:line="240" w:lineRule="atLeast"/>
              <w:jc w:val="both"/>
              <w:rPr>
                <w:rFonts w:cs="Arial"/>
              </w:rPr>
            </w:pPr>
            <w:r w:rsidRPr="00E30642">
              <w:rPr>
                <w:rFonts w:cs="Arial"/>
              </w:rPr>
              <w:t>4 010</w:t>
            </w:r>
          </w:p>
        </w:tc>
        <w:tc>
          <w:tcPr>
            <w:tcW w:w="567" w:type="dxa"/>
            <w:tcBorders>
              <w:top w:val="single" w:sz="6" w:space="0" w:color="auto"/>
              <w:left w:val="single" w:sz="6" w:space="0" w:color="auto"/>
              <w:bottom w:val="single" w:sz="6" w:space="0" w:color="auto"/>
              <w:right w:val="single" w:sz="6" w:space="0" w:color="auto"/>
            </w:tcBorders>
          </w:tcPr>
          <w:p w14:paraId="5AD73B37" w14:textId="77777777" w:rsidR="00CA23D0" w:rsidRPr="00E30642" w:rsidRDefault="00CA23D0" w:rsidP="00CA23D0">
            <w:pPr>
              <w:pStyle w:val="Texttabulky"/>
              <w:spacing w:line="240" w:lineRule="atLeast"/>
              <w:jc w:val="both"/>
              <w:rPr>
                <w:rFonts w:cs="Arial"/>
              </w:rPr>
            </w:pPr>
            <w:r w:rsidRPr="00E30642">
              <w:rPr>
                <w:rFonts w:cs="Arial"/>
              </w:rPr>
              <w:t>3 950</w:t>
            </w:r>
          </w:p>
        </w:tc>
        <w:tc>
          <w:tcPr>
            <w:tcW w:w="709" w:type="dxa"/>
            <w:tcBorders>
              <w:top w:val="single" w:sz="6" w:space="0" w:color="auto"/>
              <w:left w:val="single" w:sz="6" w:space="0" w:color="auto"/>
              <w:bottom w:val="single" w:sz="6" w:space="0" w:color="auto"/>
              <w:right w:val="single" w:sz="6" w:space="0" w:color="auto"/>
            </w:tcBorders>
          </w:tcPr>
          <w:p w14:paraId="0E078B05" w14:textId="77777777" w:rsidR="00CA23D0" w:rsidRPr="00E30642" w:rsidRDefault="00CA23D0" w:rsidP="00CA23D0">
            <w:pPr>
              <w:pStyle w:val="Texttabulky"/>
              <w:spacing w:line="240" w:lineRule="atLeast"/>
              <w:jc w:val="both"/>
              <w:rPr>
                <w:rFonts w:cs="Arial"/>
              </w:rPr>
            </w:pPr>
            <w:r w:rsidRPr="00E30642">
              <w:rPr>
                <w:rFonts w:cs="Arial"/>
              </w:rPr>
              <w:t>7 960</w:t>
            </w:r>
          </w:p>
        </w:tc>
        <w:tc>
          <w:tcPr>
            <w:tcW w:w="567" w:type="dxa"/>
            <w:tcBorders>
              <w:top w:val="single" w:sz="6" w:space="0" w:color="auto"/>
              <w:left w:val="single" w:sz="6" w:space="0" w:color="auto"/>
              <w:bottom w:val="single" w:sz="6" w:space="0" w:color="auto"/>
              <w:right w:val="single" w:sz="6" w:space="0" w:color="auto"/>
            </w:tcBorders>
          </w:tcPr>
          <w:p w14:paraId="526CF0B8" w14:textId="77777777" w:rsidR="00CA23D0" w:rsidRPr="00E30642" w:rsidRDefault="00CA23D0" w:rsidP="00CA23D0">
            <w:pPr>
              <w:pStyle w:val="Texttabulky"/>
              <w:spacing w:line="240" w:lineRule="atLeast"/>
              <w:jc w:val="both"/>
              <w:rPr>
                <w:rFonts w:cs="Arial"/>
              </w:rPr>
            </w:pPr>
            <w:r w:rsidRPr="00E30642">
              <w:rPr>
                <w:rFonts w:cs="Arial"/>
              </w:rPr>
              <w:t>4 429</w:t>
            </w:r>
          </w:p>
        </w:tc>
        <w:tc>
          <w:tcPr>
            <w:tcW w:w="567" w:type="dxa"/>
            <w:tcBorders>
              <w:top w:val="single" w:sz="6" w:space="0" w:color="auto"/>
              <w:left w:val="single" w:sz="6" w:space="0" w:color="auto"/>
              <w:bottom w:val="single" w:sz="6" w:space="0" w:color="auto"/>
              <w:right w:val="single" w:sz="6" w:space="0" w:color="auto"/>
            </w:tcBorders>
          </w:tcPr>
          <w:p w14:paraId="385B9BA2" w14:textId="77777777" w:rsidR="00CA23D0" w:rsidRPr="00E30642" w:rsidRDefault="00CA23D0" w:rsidP="00CA23D0">
            <w:pPr>
              <w:pStyle w:val="Texttabulky"/>
              <w:spacing w:line="240" w:lineRule="atLeast"/>
              <w:jc w:val="both"/>
              <w:rPr>
                <w:rFonts w:cs="Arial"/>
              </w:rPr>
            </w:pPr>
            <w:r w:rsidRPr="00E30642">
              <w:rPr>
                <w:rFonts w:cs="Arial"/>
              </w:rPr>
              <w:t>4 284</w:t>
            </w:r>
          </w:p>
        </w:tc>
        <w:tc>
          <w:tcPr>
            <w:tcW w:w="709" w:type="dxa"/>
            <w:tcBorders>
              <w:top w:val="single" w:sz="6" w:space="0" w:color="auto"/>
              <w:left w:val="single" w:sz="6" w:space="0" w:color="auto"/>
              <w:bottom w:val="single" w:sz="6" w:space="0" w:color="auto"/>
              <w:right w:val="single" w:sz="6" w:space="0" w:color="auto"/>
            </w:tcBorders>
          </w:tcPr>
          <w:p w14:paraId="2D6E790F" w14:textId="77777777" w:rsidR="00CA23D0" w:rsidRPr="00E30642" w:rsidRDefault="00CA23D0" w:rsidP="00CA23D0">
            <w:pPr>
              <w:pStyle w:val="Texttabulky"/>
              <w:spacing w:line="240" w:lineRule="atLeast"/>
              <w:jc w:val="both"/>
              <w:rPr>
                <w:rFonts w:cs="Arial"/>
              </w:rPr>
            </w:pPr>
            <w:r w:rsidRPr="00E30642">
              <w:rPr>
                <w:rFonts w:cs="Arial"/>
              </w:rPr>
              <w:t>8 713</w:t>
            </w:r>
          </w:p>
        </w:tc>
        <w:tc>
          <w:tcPr>
            <w:tcW w:w="708" w:type="dxa"/>
            <w:tcBorders>
              <w:top w:val="single" w:sz="6" w:space="0" w:color="auto"/>
              <w:left w:val="single" w:sz="6" w:space="0" w:color="auto"/>
              <w:bottom w:val="single" w:sz="6" w:space="0" w:color="auto"/>
              <w:right w:val="single" w:sz="6" w:space="0" w:color="auto"/>
            </w:tcBorders>
          </w:tcPr>
          <w:p w14:paraId="0226FAD0" w14:textId="77777777" w:rsidR="00CA23D0" w:rsidRPr="00E30642" w:rsidRDefault="00CA23D0" w:rsidP="00CA23D0">
            <w:pPr>
              <w:pStyle w:val="Texttabulky"/>
              <w:spacing w:line="240" w:lineRule="atLeast"/>
              <w:jc w:val="both"/>
              <w:rPr>
                <w:rFonts w:cs="Arial"/>
              </w:rPr>
            </w:pPr>
            <w:r w:rsidRPr="00E30642">
              <w:rPr>
                <w:rFonts w:cs="Arial"/>
              </w:rPr>
              <w:t>5 669</w:t>
            </w:r>
          </w:p>
        </w:tc>
        <w:tc>
          <w:tcPr>
            <w:tcW w:w="567" w:type="dxa"/>
            <w:tcBorders>
              <w:top w:val="single" w:sz="6" w:space="0" w:color="auto"/>
              <w:left w:val="single" w:sz="6" w:space="0" w:color="auto"/>
              <w:bottom w:val="single" w:sz="6" w:space="0" w:color="auto"/>
              <w:right w:val="single" w:sz="6" w:space="0" w:color="auto"/>
            </w:tcBorders>
          </w:tcPr>
          <w:p w14:paraId="2C70A02E" w14:textId="77777777" w:rsidR="00CA23D0" w:rsidRPr="00E30642" w:rsidRDefault="00CA23D0" w:rsidP="00CA23D0">
            <w:pPr>
              <w:pStyle w:val="Texttabulky"/>
              <w:spacing w:line="240" w:lineRule="atLeast"/>
              <w:jc w:val="both"/>
              <w:rPr>
                <w:rFonts w:cs="Arial"/>
              </w:rPr>
            </w:pPr>
            <w:r w:rsidRPr="00E30642">
              <w:rPr>
                <w:rFonts w:cs="Arial"/>
              </w:rPr>
              <w:t>5 428</w:t>
            </w:r>
          </w:p>
        </w:tc>
        <w:tc>
          <w:tcPr>
            <w:tcW w:w="709" w:type="dxa"/>
            <w:tcBorders>
              <w:top w:val="single" w:sz="6" w:space="0" w:color="auto"/>
              <w:left w:val="single" w:sz="6" w:space="0" w:color="auto"/>
              <w:bottom w:val="single" w:sz="6" w:space="0" w:color="auto"/>
              <w:right w:val="single" w:sz="6" w:space="0" w:color="auto"/>
            </w:tcBorders>
          </w:tcPr>
          <w:p w14:paraId="77BDDB67" w14:textId="77777777" w:rsidR="00CA23D0" w:rsidRPr="00E30642" w:rsidRDefault="00CA23D0" w:rsidP="00CA23D0">
            <w:pPr>
              <w:pStyle w:val="Texttabulky"/>
              <w:spacing w:line="240" w:lineRule="atLeast"/>
              <w:jc w:val="both"/>
              <w:rPr>
                <w:rFonts w:cs="Arial"/>
              </w:rPr>
            </w:pPr>
            <w:r w:rsidRPr="00E30642">
              <w:rPr>
                <w:rFonts w:cs="Arial"/>
              </w:rPr>
              <w:t>11 097</w:t>
            </w:r>
          </w:p>
        </w:tc>
      </w:tr>
      <w:tr w:rsidR="00CA23D0" w:rsidRPr="00E30642" w14:paraId="39C03BF1" w14:textId="77777777" w:rsidTr="00CA23D0">
        <w:tc>
          <w:tcPr>
            <w:tcW w:w="900" w:type="dxa"/>
            <w:tcBorders>
              <w:top w:val="single" w:sz="6" w:space="0" w:color="auto"/>
              <w:left w:val="single" w:sz="6" w:space="0" w:color="auto"/>
              <w:bottom w:val="single" w:sz="6" w:space="0" w:color="auto"/>
              <w:right w:val="single" w:sz="6" w:space="0" w:color="auto"/>
            </w:tcBorders>
          </w:tcPr>
          <w:p w14:paraId="3F4E7B8C" w14:textId="77777777" w:rsidR="00CA23D0" w:rsidRPr="00E30642" w:rsidRDefault="00CA23D0" w:rsidP="00CA23D0">
            <w:pPr>
              <w:pStyle w:val="Texttabulky"/>
              <w:spacing w:line="240" w:lineRule="atLeast"/>
              <w:jc w:val="both"/>
              <w:rPr>
                <w:rFonts w:cs="Arial"/>
              </w:rPr>
            </w:pPr>
            <w:r w:rsidRPr="00E30642">
              <w:rPr>
                <w:rFonts w:cs="Arial"/>
                <w:b/>
                <w:bCs/>
              </w:rPr>
              <w:t>45-49</w:t>
            </w:r>
          </w:p>
        </w:tc>
        <w:tc>
          <w:tcPr>
            <w:tcW w:w="559" w:type="dxa"/>
            <w:tcBorders>
              <w:top w:val="single" w:sz="6" w:space="0" w:color="auto"/>
              <w:left w:val="single" w:sz="6" w:space="0" w:color="auto"/>
              <w:bottom w:val="single" w:sz="6" w:space="0" w:color="auto"/>
              <w:right w:val="single" w:sz="6" w:space="0" w:color="auto"/>
            </w:tcBorders>
          </w:tcPr>
          <w:p w14:paraId="40E67024" w14:textId="77777777" w:rsidR="00CA23D0" w:rsidRPr="00E30642" w:rsidRDefault="00CA23D0" w:rsidP="00CA23D0">
            <w:pPr>
              <w:pStyle w:val="Texttabulky"/>
              <w:spacing w:line="240" w:lineRule="atLeast"/>
              <w:jc w:val="both"/>
              <w:rPr>
                <w:rFonts w:cs="Arial"/>
              </w:rPr>
            </w:pPr>
            <w:r w:rsidRPr="00E30642">
              <w:rPr>
                <w:rFonts w:cs="Arial"/>
              </w:rPr>
              <w:t>6 227</w:t>
            </w:r>
          </w:p>
        </w:tc>
        <w:tc>
          <w:tcPr>
            <w:tcW w:w="614" w:type="dxa"/>
            <w:tcBorders>
              <w:top w:val="single" w:sz="6" w:space="0" w:color="auto"/>
              <w:left w:val="single" w:sz="6" w:space="0" w:color="auto"/>
              <w:bottom w:val="single" w:sz="6" w:space="0" w:color="auto"/>
              <w:right w:val="single" w:sz="6" w:space="0" w:color="auto"/>
            </w:tcBorders>
          </w:tcPr>
          <w:p w14:paraId="6368FD74" w14:textId="77777777" w:rsidR="00CA23D0" w:rsidRPr="00E30642" w:rsidRDefault="00CA23D0" w:rsidP="00CA23D0">
            <w:pPr>
              <w:pStyle w:val="Texttabulky"/>
              <w:spacing w:line="240" w:lineRule="atLeast"/>
              <w:jc w:val="both"/>
              <w:rPr>
                <w:rFonts w:cs="Arial"/>
              </w:rPr>
            </w:pPr>
            <w:r w:rsidRPr="00E30642">
              <w:rPr>
                <w:rFonts w:cs="Arial"/>
              </w:rPr>
              <w:t>6 049</w:t>
            </w:r>
          </w:p>
        </w:tc>
        <w:tc>
          <w:tcPr>
            <w:tcW w:w="762" w:type="dxa"/>
            <w:tcBorders>
              <w:top w:val="single" w:sz="6" w:space="0" w:color="auto"/>
              <w:left w:val="single" w:sz="6" w:space="0" w:color="auto"/>
              <w:bottom w:val="single" w:sz="6" w:space="0" w:color="auto"/>
              <w:right w:val="single" w:sz="6" w:space="0" w:color="auto"/>
            </w:tcBorders>
          </w:tcPr>
          <w:p w14:paraId="4DD025F4" w14:textId="77777777" w:rsidR="00CA23D0" w:rsidRPr="00E30642" w:rsidRDefault="00CA23D0" w:rsidP="00CA23D0">
            <w:pPr>
              <w:pStyle w:val="Texttabulky"/>
              <w:spacing w:line="240" w:lineRule="atLeast"/>
              <w:jc w:val="both"/>
              <w:rPr>
                <w:rFonts w:cs="Arial"/>
              </w:rPr>
            </w:pPr>
            <w:r w:rsidRPr="00E30642">
              <w:rPr>
                <w:rFonts w:cs="Arial"/>
              </w:rPr>
              <w:t>12 276</w:t>
            </w:r>
          </w:p>
        </w:tc>
        <w:tc>
          <w:tcPr>
            <w:tcW w:w="709" w:type="dxa"/>
            <w:tcBorders>
              <w:top w:val="single" w:sz="6" w:space="0" w:color="auto"/>
              <w:left w:val="single" w:sz="6" w:space="0" w:color="auto"/>
              <w:bottom w:val="single" w:sz="6" w:space="0" w:color="auto"/>
              <w:right w:val="single" w:sz="6" w:space="0" w:color="auto"/>
            </w:tcBorders>
          </w:tcPr>
          <w:p w14:paraId="454CE12D" w14:textId="77777777" w:rsidR="00CA23D0" w:rsidRPr="00E30642" w:rsidRDefault="00CA23D0" w:rsidP="00CA23D0">
            <w:pPr>
              <w:pStyle w:val="Texttabulky"/>
              <w:spacing w:line="240" w:lineRule="atLeast"/>
              <w:jc w:val="both"/>
              <w:rPr>
                <w:rFonts w:cs="Arial"/>
              </w:rPr>
            </w:pPr>
            <w:r w:rsidRPr="00E30642">
              <w:rPr>
                <w:rFonts w:cs="Arial"/>
              </w:rPr>
              <w:t>5 142</w:t>
            </w:r>
          </w:p>
        </w:tc>
        <w:tc>
          <w:tcPr>
            <w:tcW w:w="567" w:type="dxa"/>
            <w:tcBorders>
              <w:top w:val="single" w:sz="6" w:space="0" w:color="auto"/>
              <w:left w:val="single" w:sz="6" w:space="0" w:color="auto"/>
              <w:bottom w:val="single" w:sz="6" w:space="0" w:color="auto"/>
              <w:right w:val="single" w:sz="6" w:space="0" w:color="auto"/>
            </w:tcBorders>
          </w:tcPr>
          <w:p w14:paraId="31674587" w14:textId="77777777" w:rsidR="00CA23D0" w:rsidRPr="00E30642" w:rsidRDefault="00CA23D0" w:rsidP="00CA23D0">
            <w:pPr>
              <w:pStyle w:val="Texttabulky"/>
              <w:spacing w:line="240" w:lineRule="atLeast"/>
              <w:jc w:val="both"/>
              <w:rPr>
                <w:rFonts w:cs="Arial"/>
              </w:rPr>
            </w:pPr>
            <w:r w:rsidRPr="00E30642">
              <w:rPr>
                <w:rFonts w:cs="Arial"/>
              </w:rPr>
              <w:t>5 469</w:t>
            </w:r>
          </w:p>
        </w:tc>
        <w:tc>
          <w:tcPr>
            <w:tcW w:w="709" w:type="dxa"/>
            <w:tcBorders>
              <w:top w:val="single" w:sz="6" w:space="0" w:color="auto"/>
              <w:left w:val="single" w:sz="6" w:space="0" w:color="auto"/>
              <w:bottom w:val="single" w:sz="6" w:space="0" w:color="auto"/>
              <w:right w:val="single" w:sz="6" w:space="0" w:color="auto"/>
            </w:tcBorders>
          </w:tcPr>
          <w:p w14:paraId="61E31F23" w14:textId="77777777" w:rsidR="00CA23D0" w:rsidRPr="00E30642" w:rsidRDefault="00CA23D0" w:rsidP="00CA23D0">
            <w:pPr>
              <w:pStyle w:val="Texttabulky"/>
              <w:spacing w:line="240" w:lineRule="atLeast"/>
              <w:jc w:val="both"/>
              <w:rPr>
                <w:rFonts w:cs="Arial"/>
              </w:rPr>
            </w:pPr>
            <w:r w:rsidRPr="00E30642">
              <w:rPr>
                <w:rFonts w:cs="Arial"/>
              </w:rPr>
              <w:t>10 611</w:t>
            </w:r>
          </w:p>
        </w:tc>
        <w:tc>
          <w:tcPr>
            <w:tcW w:w="567" w:type="dxa"/>
            <w:tcBorders>
              <w:top w:val="single" w:sz="6" w:space="0" w:color="auto"/>
              <w:left w:val="single" w:sz="6" w:space="0" w:color="auto"/>
              <w:bottom w:val="single" w:sz="6" w:space="0" w:color="auto"/>
              <w:right w:val="single" w:sz="6" w:space="0" w:color="auto"/>
            </w:tcBorders>
          </w:tcPr>
          <w:p w14:paraId="612E6C69" w14:textId="77777777" w:rsidR="00CA23D0" w:rsidRPr="00E30642" w:rsidRDefault="00CA23D0" w:rsidP="00CA23D0">
            <w:pPr>
              <w:pStyle w:val="Texttabulky"/>
              <w:spacing w:line="240" w:lineRule="atLeast"/>
              <w:jc w:val="both"/>
              <w:rPr>
                <w:rFonts w:cs="Arial"/>
              </w:rPr>
            </w:pPr>
            <w:r w:rsidRPr="00E30642">
              <w:rPr>
                <w:rFonts w:cs="Arial"/>
              </w:rPr>
              <w:t>3 967</w:t>
            </w:r>
          </w:p>
        </w:tc>
        <w:tc>
          <w:tcPr>
            <w:tcW w:w="567" w:type="dxa"/>
            <w:tcBorders>
              <w:top w:val="single" w:sz="6" w:space="0" w:color="auto"/>
              <w:left w:val="single" w:sz="6" w:space="0" w:color="auto"/>
              <w:bottom w:val="single" w:sz="6" w:space="0" w:color="auto"/>
              <w:right w:val="single" w:sz="6" w:space="0" w:color="auto"/>
            </w:tcBorders>
          </w:tcPr>
          <w:p w14:paraId="4D01EB29" w14:textId="77777777" w:rsidR="00CA23D0" w:rsidRPr="00E30642" w:rsidRDefault="00CA23D0" w:rsidP="00CA23D0">
            <w:pPr>
              <w:pStyle w:val="Texttabulky"/>
              <w:spacing w:line="240" w:lineRule="atLeast"/>
              <w:jc w:val="both"/>
              <w:rPr>
                <w:rFonts w:cs="Arial"/>
              </w:rPr>
            </w:pPr>
            <w:r w:rsidRPr="00E30642">
              <w:rPr>
                <w:rFonts w:cs="Arial"/>
              </w:rPr>
              <w:t>3 918</w:t>
            </w:r>
          </w:p>
        </w:tc>
        <w:tc>
          <w:tcPr>
            <w:tcW w:w="709" w:type="dxa"/>
            <w:tcBorders>
              <w:top w:val="single" w:sz="6" w:space="0" w:color="auto"/>
              <w:left w:val="single" w:sz="6" w:space="0" w:color="auto"/>
              <w:bottom w:val="single" w:sz="6" w:space="0" w:color="auto"/>
              <w:right w:val="single" w:sz="6" w:space="0" w:color="auto"/>
            </w:tcBorders>
          </w:tcPr>
          <w:p w14:paraId="5DA756C4" w14:textId="77777777" w:rsidR="00CA23D0" w:rsidRPr="00E30642" w:rsidRDefault="00CA23D0" w:rsidP="00CA23D0">
            <w:pPr>
              <w:pStyle w:val="Texttabulky"/>
              <w:spacing w:line="240" w:lineRule="atLeast"/>
              <w:jc w:val="both"/>
              <w:rPr>
                <w:rFonts w:cs="Arial"/>
              </w:rPr>
            </w:pPr>
            <w:r w:rsidRPr="00E30642">
              <w:rPr>
                <w:rFonts w:cs="Arial"/>
              </w:rPr>
              <w:t>7 885</w:t>
            </w:r>
          </w:p>
        </w:tc>
        <w:tc>
          <w:tcPr>
            <w:tcW w:w="708" w:type="dxa"/>
            <w:tcBorders>
              <w:top w:val="single" w:sz="6" w:space="0" w:color="auto"/>
              <w:left w:val="single" w:sz="6" w:space="0" w:color="auto"/>
              <w:bottom w:val="single" w:sz="6" w:space="0" w:color="auto"/>
              <w:right w:val="single" w:sz="6" w:space="0" w:color="auto"/>
            </w:tcBorders>
          </w:tcPr>
          <w:p w14:paraId="77B872FE" w14:textId="77777777" w:rsidR="00CA23D0" w:rsidRPr="00E30642" w:rsidRDefault="00CA23D0" w:rsidP="00CA23D0">
            <w:pPr>
              <w:pStyle w:val="Texttabulky"/>
              <w:spacing w:line="240" w:lineRule="atLeast"/>
              <w:jc w:val="both"/>
              <w:rPr>
                <w:rFonts w:cs="Arial"/>
              </w:rPr>
            </w:pPr>
            <w:r w:rsidRPr="00E30642">
              <w:rPr>
                <w:rFonts w:cs="Arial"/>
              </w:rPr>
              <w:t>6 074</w:t>
            </w:r>
          </w:p>
        </w:tc>
        <w:tc>
          <w:tcPr>
            <w:tcW w:w="567" w:type="dxa"/>
            <w:tcBorders>
              <w:top w:val="single" w:sz="6" w:space="0" w:color="auto"/>
              <w:left w:val="single" w:sz="6" w:space="0" w:color="auto"/>
              <w:bottom w:val="single" w:sz="6" w:space="0" w:color="auto"/>
              <w:right w:val="single" w:sz="6" w:space="0" w:color="auto"/>
            </w:tcBorders>
          </w:tcPr>
          <w:p w14:paraId="7A2079A6" w14:textId="77777777" w:rsidR="00CA23D0" w:rsidRPr="00E30642" w:rsidRDefault="00CA23D0" w:rsidP="00CA23D0">
            <w:pPr>
              <w:pStyle w:val="Texttabulky"/>
              <w:spacing w:line="240" w:lineRule="atLeast"/>
              <w:jc w:val="both"/>
              <w:rPr>
                <w:rFonts w:cs="Arial"/>
              </w:rPr>
            </w:pPr>
            <w:r w:rsidRPr="00E30642">
              <w:rPr>
                <w:rFonts w:cs="Arial"/>
              </w:rPr>
              <w:t>6 042</w:t>
            </w:r>
          </w:p>
        </w:tc>
        <w:tc>
          <w:tcPr>
            <w:tcW w:w="709" w:type="dxa"/>
            <w:tcBorders>
              <w:top w:val="single" w:sz="6" w:space="0" w:color="auto"/>
              <w:left w:val="single" w:sz="6" w:space="0" w:color="auto"/>
              <w:bottom w:val="single" w:sz="6" w:space="0" w:color="auto"/>
              <w:right w:val="single" w:sz="6" w:space="0" w:color="auto"/>
            </w:tcBorders>
          </w:tcPr>
          <w:p w14:paraId="4AE7CD6A" w14:textId="77777777" w:rsidR="00CA23D0" w:rsidRPr="00E30642" w:rsidRDefault="00CA23D0" w:rsidP="00CA23D0">
            <w:pPr>
              <w:pStyle w:val="Texttabulky"/>
              <w:spacing w:line="240" w:lineRule="atLeast"/>
              <w:jc w:val="both"/>
              <w:rPr>
                <w:rFonts w:cs="Arial"/>
              </w:rPr>
            </w:pPr>
            <w:r w:rsidRPr="00E30642">
              <w:rPr>
                <w:rFonts w:cs="Arial"/>
              </w:rPr>
              <w:t>12 116</w:t>
            </w:r>
          </w:p>
        </w:tc>
      </w:tr>
      <w:tr w:rsidR="00CA23D0" w:rsidRPr="00E30642" w14:paraId="65FF379D" w14:textId="77777777" w:rsidTr="00CA23D0">
        <w:tc>
          <w:tcPr>
            <w:tcW w:w="900" w:type="dxa"/>
            <w:tcBorders>
              <w:top w:val="single" w:sz="6" w:space="0" w:color="auto"/>
              <w:left w:val="single" w:sz="6" w:space="0" w:color="auto"/>
              <w:bottom w:val="single" w:sz="6" w:space="0" w:color="auto"/>
              <w:right w:val="single" w:sz="6" w:space="0" w:color="auto"/>
            </w:tcBorders>
          </w:tcPr>
          <w:p w14:paraId="1EC85DA0" w14:textId="77777777" w:rsidR="00CA23D0" w:rsidRPr="00E30642" w:rsidRDefault="00CA23D0" w:rsidP="00CA23D0">
            <w:pPr>
              <w:pStyle w:val="Texttabulky"/>
              <w:spacing w:line="240" w:lineRule="atLeast"/>
              <w:jc w:val="both"/>
              <w:rPr>
                <w:rFonts w:cs="Arial"/>
              </w:rPr>
            </w:pPr>
            <w:r w:rsidRPr="00E30642">
              <w:rPr>
                <w:rFonts w:cs="Arial"/>
                <w:b/>
                <w:bCs/>
              </w:rPr>
              <w:t>50-54</w:t>
            </w:r>
          </w:p>
        </w:tc>
        <w:tc>
          <w:tcPr>
            <w:tcW w:w="559" w:type="dxa"/>
            <w:tcBorders>
              <w:top w:val="single" w:sz="6" w:space="0" w:color="auto"/>
              <w:left w:val="single" w:sz="6" w:space="0" w:color="auto"/>
              <w:bottom w:val="single" w:sz="6" w:space="0" w:color="auto"/>
              <w:right w:val="single" w:sz="6" w:space="0" w:color="auto"/>
            </w:tcBorders>
          </w:tcPr>
          <w:p w14:paraId="07BC8B23" w14:textId="77777777" w:rsidR="00CA23D0" w:rsidRPr="00E30642" w:rsidRDefault="00CA23D0" w:rsidP="00CA23D0">
            <w:pPr>
              <w:pStyle w:val="Texttabulky"/>
              <w:spacing w:line="240" w:lineRule="atLeast"/>
              <w:jc w:val="both"/>
              <w:rPr>
                <w:rFonts w:cs="Arial"/>
              </w:rPr>
            </w:pPr>
            <w:r w:rsidRPr="00E30642">
              <w:rPr>
                <w:rFonts w:cs="Arial"/>
              </w:rPr>
              <w:t>4 194</w:t>
            </w:r>
          </w:p>
        </w:tc>
        <w:tc>
          <w:tcPr>
            <w:tcW w:w="614" w:type="dxa"/>
            <w:tcBorders>
              <w:top w:val="single" w:sz="6" w:space="0" w:color="auto"/>
              <w:left w:val="single" w:sz="6" w:space="0" w:color="auto"/>
              <w:bottom w:val="single" w:sz="6" w:space="0" w:color="auto"/>
              <w:right w:val="single" w:sz="6" w:space="0" w:color="auto"/>
            </w:tcBorders>
          </w:tcPr>
          <w:p w14:paraId="6732602E" w14:textId="77777777" w:rsidR="00CA23D0" w:rsidRPr="00E30642" w:rsidRDefault="00CA23D0" w:rsidP="00CA23D0">
            <w:pPr>
              <w:pStyle w:val="Texttabulky"/>
              <w:spacing w:line="240" w:lineRule="atLeast"/>
              <w:jc w:val="both"/>
              <w:rPr>
                <w:rFonts w:cs="Arial"/>
              </w:rPr>
            </w:pPr>
            <w:r w:rsidRPr="00E30642">
              <w:rPr>
                <w:rFonts w:cs="Arial"/>
              </w:rPr>
              <w:t>4 157</w:t>
            </w:r>
          </w:p>
        </w:tc>
        <w:tc>
          <w:tcPr>
            <w:tcW w:w="762" w:type="dxa"/>
            <w:tcBorders>
              <w:top w:val="single" w:sz="6" w:space="0" w:color="auto"/>
              <w:left w:val="single" w:sz="6" w:space="0" w:color="auto"/>
              <w:bottom w:val="single" w:sz="6" w:space="0" w:color="auto"/>
              <w:right w:val="single" w:sz="6" w:space="0" w:color="auto"/>
            </w:tcBorders>
          </w:tcPr>
          <w:p w14:paraId="12A0B3D5" w14:textId="77777777" w:rsidR="00CA23D0" w:rsidRPr="00E30642" w:rsidRDefault="00CA23D0" w:rsidP="00CA23D0">
            <w:pPr>
              <w:pStyle w:val="Texttabulky"/>
              <w:spacing w:line="240" w:lineRule="atLeast"/>
              <w:jc w:val="both"/>
              <w:rPr>
                <w:rFonts w:cs="Arial"/>
              </w:rPr>
            </w:pPr>
            <w:r w:rsidRPr="00E30642">
              <w:rPr>
                <w:rFonts w:cs="Arial"/>
              </w:rPr>
              <w:t>8 351</w:t>
            </w:r>
          </w:p>
        </w:tc>
        <w:tc>
          <w:tcPr>
            <w:tcW w:w="709" w:type="dxa"/>
            <w:tcBorders>
              <w:top w:val="single" w:sz="6" w:space="0" w:color="auto"/>
              <w:left w:val="single" w:sz="6" w:space="0" w:color="auto"/>
              <w:bottom w:val="single" w:sz="6" w:space="0" w:color="auto"/>
              <w:right w:val="single" w:sz="6" w:space="0" w:color="auto"/>
            </w:tcBorders>
          </w:tcPr>
          <w:p w14:paraId="3A1FB42B" w14:textId="77777777" w:rsidR="00CA23D0" w:rsidRPr="00E30642" w:rsidRDefault="00CA23D0" w:rsidP="00CA23D0">
            <w:pPr>
              <w:pStyle w:val="Texttabulky"/>
              <w:spacing w:line="240" w:lineRule="atLeast"/>
              <w:jc w:val="both"/>
              <w:rPr>
                <w:rFonts w:cs="Arial"/>
              </w:rPr>
            </w:pPr>
            <w:r w:rsidRPr="00E30642">
              <w:rPr>
                <w:rFonts w:cs="Arial"/>
              </w:rPr>
              <w:t>5 952</w:t>
            </w:r>
          </w:p>
        </w:tc>
        <w:tc>
          <w:tcPr>
            <w:tcW w:w="567" w:type="dxa"/>
            <w:tcBorders>
              <w:top w:val="single" w:sz="6" w:space="0" w:color="auto"/>
              <w:left w:val="single" w:sz="6" w:space="0" w:color="auto"/>
              <w:bottom w:val="single" w:sz="6" w:space="0" w:color="auto"/>
              <w:right w:val="single" w:sz="6" w:space="0" w:color="auto"/>
            </w:tcBorders>
          </w:tcPr>
          <w:p w14:paraId="6D4F9B87" w14:textId="77777777" w:rsidR="00CA23D0" w:rsidRPr="00E30642" w:rsidRDefault="00CA23D0" w:rsidP="00CA23D0">
            <w:pPr>
              <w:pStyle w:val="Texttabulky"/>
              <w:spacing w:line="240" w:lineRule="atLeast"/>
              <w:jc w:val="both"/>
              <w:rPr>
                <w:rFonts w:cs="Arial"/>
              </w:rPr>
            </w:pPr>
            <w:r w:rsidRPr="00E30642">
              <w:rPr>
                <w:rFonts w:cs="Arial"/>
              </w:rPr>
              <w:t>5 935</w:t>
            </w:r>
          </w:p>
        </w:tc>
        <w:tc>
          <w:tcPr>
            <w:tcW w:w="709" w:type="dxa"/>
            <w:tcBorders>
              <w:top w:val="single" w:sz="6" w:space="0" w:color="auto"/>
              <w:left w:val="single" w:sz="6" w:space="0" w:color="auto"/>
              <w:bottom w:val="single" w:sz="6" w:space="0" w:color="auto"/>
              <w:right w:val="single" w:sz="6" w:space="0" w:color="auto"/>
            </w:tcBorders>
          </w:tcPr>
          <w:p w14:paraId="220E75F1" w14:textId="77777777" w:rsidR="00CA23D0" w:rsidRPr="00E30642" w:rsidRDefault="00CA23D0" w:rsidP="00CA23D0">
            <w:pPr>
              <w:pStyle w:val="Texttabulky"/>
              <w:spacing w:line="240" w:lineRule="atLeast"/>
              <w:jc w:val="both"/>
              <w:rPr>
                <w:rFonts w:cs="Arial"/>
              </w:rPr>
            </w:pPr>
            <w:r w:rsidRPr="00E30642">
              <w:rPr>
                <w:rFonts w:cs="Arial"/>
              </w:rPr>
              <w:t>11 887</w:t>
            </w:r>
          </w:p>
        </w:tc>
        <w:tc>
          <w:tcPr>
            <w:tcW w:w="567" w:type="dxa"/>
            <w:tcBorders>
              <w:top w:val="single" w:sz="6" w:space="0" w:color="auto"/>
              <w:left w:val="single" w:sz="6" w:space="0" w:color="auto"/>
              <w:bottom w:val="single" w:sz="6" w:space="0" w:color="auto"/>
              <w:right w:val="single" w:sz="6" w:space="0" w:color="auto"/>
            </w:tcBorders>
          </w:tcPr>
          <w:p w14:paraId="1FCF679C" w14:textId="77777777" w:rsidR="00CA23D0" w:rsidRPr="00E30642" w:rsidRDefault="00CA23D0" w:rsidP="00CA23D0">
            <w:pPr>
              <w:pStyle w:val="Texttabulky"/>
              <w:spacing w:line="240" w:lineRule="atLeast"/>
              <w:jc w:val="both"/>
              <w:rPr>
                <w:rFonts w:cs="Arial"/>
              </w:rPr>
            </w:pPr>
            <w:r w:rsidRPr="00E30642">
              <w:rPr>
                <w:rFonts w:cs="Arial"/>
              </w:rPr>
              <w:t>3 729</w:t>
            </w:r>
          </w:p>
        </w:tc>
        <w:tc>
          <w:tcPr>
            <w:tcW w:w="567" w:type="dxa"/>
            <w:tcBorders>
              <w:top w:val="single" w:sz="6" w:space="0" w:color="auto"/>
              <w:left w:val="single" w:sz="6" w:space="0" w:color="auto"/>
              <w:bottom w:val="single" w:sz="6" w:space="0" w:color="auto"/>
              <w:right w:val="single" w:sz="6" w:space="0" w:color="auto"/>
            </w:tcBorders>
          </w:tcPr>
          <w:p w14:paraId="72C682F7" w14:textId="77777777" w:rsidR="00CA23D0" w:rsidRPr="00E30642" w:rsidRDefault="00CA23D0" w:rsidP="00CA23D0">
            <w:pPr>
              <w:pStyle w:val="Texttabulky"/>
              <w:spacing w:line="240" w:lineRule="atLeast"/>
              <w:jc w:val="both"/>
              <w:rPr>
                <w:rFonts w:cs="Arial"/>
              </w:rPr>
            </w:pPr>
            <w:r w:rsidRPr="00E30642">
              <w:rPr>
                <w:rFonts w:cs="Arial"/>
              </w:rPr>
              <w:t>3 828</w:t>
            </w:r>
          </w:p>
        </w:tc>
        <w:tc>
          <w:tcPr>
            <w:tcW w:w="709" w:type="dxa"/>
            <w:tcBorders>
              <w:top w:val="single" w:sz="6" w:space="0" w:color="auto"/>
              <w:left w:val="single" w:sz="6" w:space="0" w:color="auto"/>
              <w:bottom w:val="single" w:sz="6" w:space="0" w:color="auto"/>
              <w:right w:val="single" w:sz="6" w:space="0" w:color="auto"/>
            </w:tcBorders>
          </w:tcPr>
          <w:p w14:paraId="449B3FE2" w14:textId="77777777" w:rsidR="00CA23D0" w:rsidRPr="00E30642" w:rsidRDefault="00CA23D0" w:rsidP="00CA23D0">
            <w:pPr>
              <w:pStyle w:val="Texttabulky"/>
              <w:spacing w:line="240" w:lineRule="atLeast"/>
              <w:jc w:val="both"/>
              <w:rPr>
                <w:rFonts w:cs="Arial"/>
              </w:rPr>
            </w:pPr>
            <w:r w:rsidRPr="00E30642">
              <w:rPr>
                <w:rFonts w:cs="Arial"/>
              </w:rPr>
              <w:t>7 557</w:t>
            </w:r>
          </w:p>
        </w:tc>
        <w:tc>
          <w:tcPr>
            <w:tcW w:w="708" w:type="dxa"/>
            <w:tcBorders>
              <w:top w:val="single" w:sz="6" w:space="0" w:color="auto"/>
              <w:left w:val="single" w:sz="6" w:space="0" w:color="auto"/>
              <w:bottom w:val="single" w:sz="6" w:space="0" w:color="auto"/>
              <w:right w:val="single" w:sz="6" w:space="0" w:color="auto"/>
            </w:tcBorders>
          </w:tcPr>
          <w:p w14:paraId="12EE8836" w14:textId="77777777" w:rsidR="00CA23D0" w:rsidRPr="00E30642" w:rsidRDefault="00CA23D0" w:rsidP="00CA23D0">
            <w:pPr>
              <w:pStyle w:val="Texttabulky"/>
              <w:spacing w:line="240" w:lineRule="atLeast"/>
              <w:jc w:val="both"/>
              <w:rPr>
                <w:rFonts w:cs="Arial"/>
              </w:rPr>
            </w:pPr>
            <w:r w:rsidRPr="00E30642">
              <w:rPr>
                <w:rFonts w:cs="Arial"/>
              </w:rPr>
              <w:t>4 126</w:t>
            </w:r>
          </w:p>
        </w:tc>
        <w:tc>
          <w:tcPr>
            <w:tcW w:w="567" w:type="dxa"/>
            <w:tcBorders>
              <w:top w:val="single" w:sz="6" w:space="0" w:color="auto"/>
              <w:left w:val="single" w:sz="6" w:space="0" w:color="auto"/>
              <w:bottom w:val="single" w:sz="6" w:space="0" w:color="auto"/>
              <w:right w:val="single" w:sz="6" w:space="0" w:color="auto"/>
            </w:tcBorders>
          </w:tcPr>
          <w:p w14:paraId="63EC418D" w14:textId="77777777" w:rsidR="00CA23D0" w:rsidRPr="00E30642" w:rsidRDefault="00CA23D0" w:rsidP="00CA23D0">
            <w:pPr>
              <w:pStyle w:val="Texttabulky"/>
              <w:spacing w:line="240" w:lineRule="atLeast"/>
              <w:jc w:val="both"/>
              <w:rPr>
                <w:rFonts w:cs="Arial"/>
              </w:rPr>
            </w:pPr>
            <w:r w:rsidRPr="00E30642">
              <w:rPr>
                <w:rFonts w:cs="Arial"/>
              </w:rPr>
              <w:t>4 155</w:t>
            </w:r>
          </w:p>
        </w:tc>
        <w:tc>
          <w:tcPr>
            <w:tcW w:w="709" w:type="dxa"/>
            <w:tcBorders>
              <w:top w:val="single" w:sz="6" w:space="0" w:color="auto"/>
              <w:left w:val="single" w:sz="6" w:space="0" w:color="auto"/>
              <w:bottom w:val="single" w:sz="6" w:space="0" w:color="auto"/>
              <w:right w:val="single" w:sz="6" w:space="0" w:color="auto"/>
            </w:tcBorders>
          </w:tcPr>
          <w:p w14:paraId="799BB86D" w14:textId="77777777" w:rsidR="00CA23D0" w:rsidRPr="00E30642" w:rsidRDefault="00CA23D0" w:rsidP="00CA23D0">
            <w:pPr>
              <w:pStyle w:val="Texttabulky"/>
              <w:spacing w:line="240" w:lineRule="atLeast"/>
              <w:jc w:val="both"/>
              <w:rPr>
                <w:rFonts w:cs="Arial"/>
              </w:rPr>
            </w:pPr>
            <w:r w:rsidRPr="00E30642">
              <w:rPr>
                <w:rFonts w:cs="Arial"/>
              </w:rPr>
              <w:t>8 281</w:t>
            </w:r>
          </w:p>
        </w:tc>
      </w:tr>
      <w:tr w:rsidR="00CA23D0" w:rsidRPr="00E30642" w14:paraId="49CC3AF0" w14:textId="77777777" w:rsidTr="00CA23D0">
        <w:tc>
          <w:tcPr>
            <w:tcW w:w="900" w:type="dxa"/>
            <w:tcBorders>
              <w:top w:val="single" w:sz="6" w:space="0" w:color="auto"/>
              <w:left w:val="single" w:sz="6" w:space="0" w:color="auto"/>
              <w:bottom w:val="single" w:sz="6" w:space="0" w:color="auto"/>
              <w:right w:val="single" w:sz="6" w:space="0" w:color="auto"/>
            </w:tcBorders>
          </w:tcPr>
          <w:p w14:paraId="0B05725B" w14:textId="77777777" w:rsidR="00CA23D0" w:rsidRPr="00E30642" w:rsidRDefault="00CA23D0" w:rsidP="00CA23D0">
            <w:pPr>
              <w:pStyle w:val="Texttabulky"/>
              <w:spacing w:line="240" w:lineRule="atLeast"/>
              <w:jc w:val="both"/>
              <w:rPr>
                <w:rFonts w:cs="Arial"/>
              </w:rPr>
            </w:pPr>
            <w:r w:rsidRPr="00E30642">
              <w:rPr>
                <w:rFonts w:cs="Arial"/>
                <w:b/>
                <w:bCs/>
              </w:rPr>
              <w:t>55-59</w:t>
            </w:r>
          </w:p>
        </w:tc>
        <w:tc>
          <w:tcPr>
            <w:tcW w:w="559" w:type="dxa"/>
            <w:tcBorders>
              <w:top w:val="single" w:sz="6" w:space="0" w:color="auto"/>
              <w:left w:val="single" w:sz="6" w:space="0" w:color="auto"/>
              <w:bottom w:val="single" w:sz="6" w:space="0" w:color="auto"/>
              <w:right w:val="single" w:sz="6" w:space="0" w:color="auto"/>
            </w:tcBorders>
          </w:tcPr>
          <w:p w14:paraId="6B00CB3F" w14:textId="77777777" w:rsidR="00CA23D0" w:rsidRPr="00E30642" w:rsidRDefault="00CA23D0" w:rsidP="00CA23D0">
            <w:pPr>
              <w:pStyle w:val="Texttabulky"/>
              <w:spacing w:line="240" w:lineRule="atLeast"/>
              <w:jc w:val="both"/>
              <w:rPr>
                <w:rFonts w:cs="Arial"/>
              </w:rPr>
            </w:pPr>
            <w:r w:rsidRPr="00E30642">
              <w:rPr>
                <w:rFonts w:cs="Arial"/>
              </w:rPr>
              <w:t>2 911</w:t>
            </w:r>
          </w:p>
        </w:tc>
        <w:tc>
          <w:tcPr>
            <w:tcW w:w="614" w:type="dxa"/>
            <w:tcBorders>
              <w:top w:val="single" w:sz="6" w:space="0" w:color="auto"/>
              <w:left w:val="single" w:sz="6" w:space="0" w:color="auto"/>
              <w:bottom w:val="single" w:sz="6" w:space="0" w:color="auto"/>
              <w:right w:val="single" w:sz="6" w:space="0" w:color="auto"/>
            </w:tcBorders>
          </w:tcPr>
          <w:p w14:paraId="188226F3" w14:textId="77777777" w:rsidR="00CA23D0" w:rsidRPr="00E30642" w:rsidRDefault="00CA23D0" w:rsidP="00CA23D0">
            <w:pPr>
              <w:pStyle w:val="Texttabulky"/>
              <w:spacing w:line="240" w:lineRule="atLeast"/>
              <w:jc w:val="both"/>
              <w:rPr>
                <w:rFonts w:cs="Arial"/>
              </w:rPr>
            </w:pPr>
            <w:r w:rsidRPr="00E30642">
              <w:rPr>
                <w:rFonts w:cs="Arial"/>
              </w:rPr>
              <w:t>3 130</w:t>
            </w:r>
          </w:p>
        </w:tc>
        <w:tc>
          <w:tcPr>
            <w:tcW w:w="762" w:type="dxa"/>
            <w:tcBorders>
              <w:top w:val="single" w:sz="6" w:space="0" w:color="auto"/>
              <w:left w:val="single" w:sz="6" w:space="0" w:color="auto"/>
              <w:bottom w:val="single" w:sz="6" w:space="0" w:color="auto"/>
              <w:right w:val="single" w:sz="6" w:space="0" w:color="auto"/>
            </w:tcBorders>
          </w:tcPr>
          <w:p w14:paraId="541D03E1" w14:textId="77777777" w:rsidR="00CA23D0" w:rsidRPr="00E30642" w:rsidRDefault="00CA23D0" w:rsidP="00CA23D0">
            <w:pPr>
              <w:pStyle w:val="Texttabulky"/>
              <w:spacing w:line="240" w:lineRule="atLeast"/>
              <w:jc w:val="both"/>
              <w:rPr>
                <w:rFonts w:cs="Arial"/>
              </w:rPr>
            </w:pPr>
            <w:r w:rsidRPr="00E30642">
              <w:rPr>
                <w:rFonts w:cs="Arial"/>
              </w:rPr>
              <w:t>6 041</w:t>
            </w:r>
          </w:p>
        </w:tc>
        <w:tc>
          <w:tcPr>
            <w:tcW w:w="709" w:type="dxa"/>
            <w:tcBorders>
              <w:top w:val="single" w:sz="6" w:space="0" w:color="auto"/>
              <w:left w:val="single" w:sz="6" w:space="0" w:color="auto"/>
              <w:bottom w:val="single" w:sz="6" w:space="0" w:color="auto"/>
              <w:right w:val="single" w:sz="6" w:space="0" w:color="auto"/>
            </w:tcBorders>
          </w:tcPr>
          <w:p w14:paraId="782AB324" w14:textId="77777777" w:rsidR="00CA23D0" w:rsidRPr="00E30642" w:rsidRDefault="00CA23D0" w:rsidP="00CA23D0">
            <w:pPr>
              <w:pStyle w:val="Texttabulky"/>
              <w:spacing w:line="240" w:lineRule="atLeast"/>
              <w:jc w:val="both"/>
              <w:rPr>
                <w:rFonts w:cs="Arial"/>
              </w:rPr>
            </w:pPr>
            <w:r w:rsidRPr="00E30642">
              <w:rPr>
                <w:rFonts w:cs="Arial"/>
              </w:rPr>
              <w:t>3 894</w:t>
            </w:r>
          </w:p>
        </w:tc>
        <w:tc>
          <w:tcPr>
            <w:tcW w:w="567" w:type="dxa"/>
            <w:tcBorders>
              <w:top w:val="single" w:sz="6" w:space="0" w:color="auto"/>
              <w:left w:val="single" w:sz="6" w:space="0" w:color="auto"/>
              <w:bottom w:val="single" w:sz="6" w:space="0" w:color="auto"/>
              <w:right w:val="single" w:sz="6" w:space="0" w:color="auto"/>
            </w:tcBorders>
          </w:tcPr>
          <w:p w14:paraId="19275535" w14:textId="77777777" w:rsidR="00CA23D0" w:rsidRPr="00E30642" w:rsidRDefault="00CA23D0" w:rsidP="00CA23D0">
            <w:pPr>
              <w:pStyle w:val="Texttabulky"/>
              <w:spacing w:line="240" w:lineRule="atLeast"/>
              <w:jc w:val="both"/>
              <w:rPr>
                <w:rFonts w:cs="Arial"/>
              </w:rPr>
            </w:pPr>
            <w:r w:rsidRPr="00E30642">
              <w:rPr>
                <w:rFonts w:cs="Arial"/>
              </w:rPr>
              <w:t>4 030</w:t>
            </w:r>
          </w:p>
        </w:tc>
        <w:tc>
          <w:tcPr>
            <w:tcW w:w="709" w:type="dxa"/>
            <w:tcBorders>
              <w:top w:val="single" w:sz="6" w:space="0" w:color="auto"/>
              <w:left w:val="single" w:sz="6" w:space="0" w:color="auto"/>
              <w:bottom w:val="single" w:sz="6" w:space="0" w:color="auto"/>
              <w:right w:val="single" w:sz="6" w:space="0" w:color="auto"/>
            </w:tcBorders>
          </w:tcPr>
          <w:p w14:paraId="14FC7FBD" w14:textId="77777777" w:rsidR="00CA23D0" w:rsidRPr="00E30642" w:rsidRDefault="00CA23D0" w:rsidP="00CA23D0">
            <w:pPr>
              <w:pStyle w:val="Texttabulky"/>
              <w:spacing w:line="240" w:lineRule="atLeast"/>
              <w:jc w:val="both"/>
              <w:rPr>
                <w:rFonts w:cs="Arial"/>
              </w:rPr>
            </w:pPr>
            <w:r w:rsidRPr="00E30642">
              <w:rPr>
                <w:rFonts w:cs="Arial"/>
              </w:rPr>
              <w:t>7 924</w:t>
            </w:r>
          </w:p>
        </w:tc>
        <w:tc>
          <w:tcPr>
            <w:tcW w:w="567" w:type="dxa"/>
            <w:tcBorders>
              <w:top w:val="single" w:sz="6" w:space="0" w:color="auto"/>
              <w:left w:val="single" w:sz="6" w:space="0" w:color="auto"/>
              <w:bottom w:val="single" w:sz="6" w:space="0" w:color="auto"/>
              <w:right w:val="single" w:sz="6" w:space="0" w:color="auto"/>
            </w:tcBorders>
          </w:tcPr>
          <w:p w14:paraId="35BD32F4" w14:textId="77777777" w:rsidR="00CA23D0" w:rsidRPr="00E30642" w:rsidRDefault="00CA23D0" w:rsidP="00CA23D0">
            <w:pPr>
              <w:pStyle w:val="Texttabulky"/>
              <w:spacing w:line="240" w:lineRule="atLeast"/>
              <w:jc w:val="both"/>
              <w:rPr>
                <w:rFonts w:cs="Arial"/>
              </w:rPr>
            </w:pPr>
            <w:r w:rsidRPr="00E30642">
              <w:rPr>
                <w:rFonts w:cs="Arial"/>
              </w:rPr>
              <w:t>4 556</w:t>
            </w:r>
          </w:p>
        </w:tc>
        <w:tc>
          <w:tcPr>
            <w:tcW w:w="567" w:type="dxa"/>
            <w:tcBorders>
              <w:top w:val="single" w:sz="6" w:space="0" w:color="auto"/>
              <w:left w:val="single" w:sz="6" w:space="0" w:color="auto"/>
              <w:bottom w:val="single" w:sz="6" w:space="0" w:color="auto"/>
              <w:right w:val="single" w:sz="6" w:space="0" w:color="auto"/>
            </w:tcBorders>
          </w:tcPr>
          <w:p w14:paraId="36588472" w14:textId="77777777" w:rsidR="00CA23D0" w:rsidRPr="00E30642" w:rsidRDefault="00CA23D0" w:rsidP="00CA23D0">
            <w:pPr>
              <w:pStyle w:val="Texttabulky"/>
              <w:spacing w:line="240" w:lineRule="atLeast"/>
              <w:jc w:val="both"/>
              <w:rPr>
                <w:rFonts w:cs="Arial"/>
              </w:rPr>
            </w:pPr>
            <w:r w:rsidRPr="00E30642">
              <w:rPr>
                <w:rFonts w:cs="Arial"/>
              </w:rPr>
              <w:t>5 198</w:t>
            </w:r>
          </w:p>
        </w:tc>
        <w:tc>
          <w:tcPr>
            <w:tcW w:w="709" w:type="dxa"/>
            <w:tcBorders>
              <w:top w:val="single" w:sz="6" w:space="0" w:color="auto"/>
              <w:left w:val="single" w:sz="6" w:space="0" w:color="auto"/>
              <w:bottom w:val="single" w:sz="6" w:space="0" w:color="auto"/>
              <w:right w:val="single" w:sz="6" w:space="0" w:color="auto"/>
            </w:tcBorders>
          </w:tcPr>
          <w:p w14:paraId="7CDDE007" w14:textId="77777777" w:rsidR="00CA23D0" w:rsidRPr="00E30642" w:rsidRDefault="00CA23D0" w:rsidP="00CA23D0">
            <w:pPr>
              <w:pStyle w:val="Texttabulky"/>
              <w:spacing w:line="240" w:lineRule="atLeast"/>
              <w:jc w:val="both"/>
              <w:rPr>
                <w:rFonts w:cs="Arial"/>
              </w:rPr>
            </w:pPr>
            <w:r w:rsidRPr="00E30642">
              <w:rPr>
                <w:rFonts w:cs="Arial"/>
              </w:rPr>
              <w:t>9 754</w:t>
            </w:r>
          </w:p>
        </w:tc>
        <w:tc>
          <w:tcPr>
            <w:tcW w:w="708" w:type="dxa"/>
            <w:tcBorders>
              <w:top w:val="single" w:sz="6" w:space="0" w:color="auto"/>
              <w:left w:val="single" w:sz="6" w:space="0" w:color="auto"/>
              <w:bottom w:val="single" w:sz="6" w:space="0" w:color="auto"/>
              <w:right w:val="single" w:sz="6" w:space="0" w:color="auto"/>
            </w:tcBorders>
          </w:tcPr>
          <w:p w14:paraId="66E86BD8" w14:textId="77777777" w:rsidR="00CA23D0" w:rsidRPr="00E30642" w:rsidRDefault="00CA23D0" w:rsidP="00CA23D0">
            <w:pPr>
              <w:pStyle w:val="Texttabulky"/>
              <w:spacing w:line="240" w:lineRule="atLeast"/>
              <w:jc w:val="both"/>
              <w:rPr>
                <w:rFonts w:cs="Arial"/>
              </w:rPr>
            </w:pPr>
            <w:r w:rsidRPr="00E30642">
              <w:rPr>
                <w:rFonts w:cs="Arial"/>
              </w:rPr>
              <w:t>3 525</w:t>
            </w:r>
          </w:p>
        </w:tc>
        <w:tc>
          <w:tcPr>
            <w:tcW w:w="567" w:type="dxa"/>
            <w:tcBorders>
              <w:top w:val="single" w:sz="6" w:space="0" w:color="auto"/>
              <w:left w:val="single" w:sz="6" w:space="0" w:color="auto"/>
              <w:bottom w:val="single" w:sz="6" w:space="0" w:color="auto"/>
              <w:right w:val="single" w:sz="6" w:space="0" w:color="auto"/>
            </w:tcBorders>
          </w:tcPr>
          <w:p w14:paraId="7D7E2EAF" w14:textId="77777777" w:rsidR="00CA23D0" w:rsidRPr="00E30642" w:rsidRDefault="00CA23D0" w:rsidP="00CA23D0">
            <w:pPr>
              <w:pStyle w:val="Texttabulky"/>
              <w:spacing w:line="240" w:lineRule="atLeast"/>
              <w:jc w:val="both"/>
              <w:rPr>
                <w:rFonts w:cs="Arial"/>
              </w:rPr>
            </w:pPr>
            <w:r w:rsidRPr="00E30642">
              <w:rPr>
                <w:rFonts w:cs="Arial"/>
              </w:rPr>
              <w:t>3 727</w:t>
            </w:r>
          </w:p>
        </w:tc>
        <w:tc>
          <w:tcPr>
            <w:tcW w:w="709" w:type="dxa"/>
            <w:tcBorders>
              <w:top w:val="single" w:sz="6" w:space="0" w:color="auto"/>
              <w:left w:val="single" w:sz="6" w:space="0" w:color="auto"/>
              <w:bottom w:val="single" w:sz="6" w:space="0" w:color="auto"/>
              <w:right w:val="single" w:sz="6" w:space="0" w:color="auto"/>
            </w:tcBorders>
          </w:tcPr>
          <w:p w14:paraId="6CD1DB05" w14:textId="77777777" w:rsidR="00CA23D0" w:rsidRPr="00E30642" w:rsidRDefault="00CA23D0" w:rsidP="00CA23D0">
            <w:pPr>
              <w:pStyle w:val="Texttabulky"/>
              <w:spacing w:line="240" w:lineRule="atLeast"/>
              <w:jc w:val="both"/>
              <w:rPr>
                <w:rFonts w:cs="Arial"/>
              </w:rPr>
            </w:pPr>
            <w:r w:rsidRPr="00E30642">
              <w:rPr>
                <w:rFonts w:cs="Arial"/>
              </w:rPr>
              <w:t>7 252</w:t>
            </w:r>
          </w:p>
        </w:tc>
      </w:tr>
      <w:tr w:rsidR="00CA23D0" w:rsidRPr="00E30642" w14:paraId="0087EB37" w14:textId="77777777" w:rsidTr="00CA23D0">
        <w:tc>
          <w:tcPr>
            <w:tcW w:w="900" w:type="dxa"/>
            <w:tcBorders>
              <w:top w:val="single" w:sz="6" w:space="0" w:color="auto"/>
              <w:left w:val="single" w:sz="6" w:space="0" w:color="auto"/>
              <w:bottom w:val="single" w:sz="6" w:space="0" w:color="auto"/>
              <w:right w:val="single" w:sz="6" w:space="0" w:color="auto"/>
            </w:tcBorders>
          </w:tcPr>
          <w:p w14:paraId="3AFDE739" w14:textId="77777777" w:rsidR="00CA23D0" w:rsidRPr="00E30642" w:rsidRDefault="00CA23D0" w:rsidP="00CA23D0">
            <w:pPr>
              <w:pStyle w:val="Texttabulky"/>
              <w:spacing w:line="240" w:lineRule="atLeast"/>
              <w:jc w:val="both"/>
              <w:rPr>
                <w:rFonts w:cs="Arial"/>
              </w:rPr>
            </w:pPr>
            <w:r w:rsidRPr="00E30642">
              <w:rPr>
                <w:rFonts w:cs="Arial"/>
                <w:b/>
                <w:bCs/>
              </w:rPr>
              <w:t>60-64</w:t>
            </w:r>
          </w:p>
        </w:tc>
        <w:tc>
          <w:tcPr>
            <w:tcW w:w="559" w:type="dxa"/>
            <w:tcBorders>
              <w:top w:val="single" w:sz="6" w:space="0" w:color="auto"/>
              <w:left w:val="single" w:sz="6" w:space="0" w:color="auto"/>
              <w:bottom w:val="single" w:sz="6" w:space="0" w:color="auto"/>
              <w:right w:val="single" w:sz="6" w:space="0" w:color="auto"/>
            </w:tcBorders>
          </w:tcPr>
          <w:p w14:paraId="399C4DF9" w14:textId="77777777" w:rsidR="00CA23D0" w:rsidRPr="00E30642" w:rsidRDefault="00CA23D0" w:rsidP="00CA23D0">
            <w:pPr>
              <w:pStyle w:val="Texttabulky"/>
              <w:spacing w:line="240" w:lineRule="atLeast"/>
              <w:jc w:val="both"/>
              <w:rPr>
                <w:rFonts w:cs="Arial"/>
              </w:rPr>
            </w:pPr>
            <w:r w:rsidRPr="00E30642">
              <w:rPr>
                <w:rFonts w:cs="Arial"/>
              </w:rPr>
              <w:t>2 720</w:t>
            </w:r>
          </w:p>
        </w:tc>
        <w:tc>
          <w:tcPr>
            <w:tcW w:w="614" w:type="dxa"/>
            <w:tcBorders>
              <w:top w:val="single" w:sz="6" w:space="0" w:color="auto"/>
              <w:left w:val="single" w:sz="6" w:space="0" w:color="auto"/>
              <w:bottom w:val="single" w:sz="6" w:space="0" w:color="auto"/>
              <w:right w:val="single" w:sz="6" w:space="0" w:color="auto"/>
            </w:tcBorders>
          </w:tcPr>
          <w:p w14:paraId="3C68223F" w14:textId="77777777" w:rsidR="00CA23D0" w:rsidRPr="00E30642" w:rsidRDefault="00CA23D0" w:rsidP="00CA23D0">
            <w:pPr>
              <w:pStyle w:val="Texttabulky"/>
              <w:spacing w:line="240" w:lineRule="atLeast"/>
              <w:jc w:val="both"/>
              <w:rPr>
                <w:rFonts w:cs="Arial"/>
              </w:rPr>
            </w:pPr>
            <w:r w:rsidRPr="00E30642">
              <w:rPr>
                <w:rFonts w:cs="Arial"/>
              </w:rPr>
              <w:t>3 220</w:t>
            </w:r>
          </w:p>
        </w:tc>
        <w:tc>
          <w:tcPr>
            <w:tcW w:w="762" w:type="dxa"/>
            <w:tcBorders>
              <w:top w:val="single" w:sz="6" w:space="0" w:color="auto"/>
              <w:left w:val="single" w:sz="6" w:space="0" w:color="auto"/>
              <w:bottom w:val="single" w:sz="6" w:space="0" w:color="auto"/>
              <w:right w:val="single" w:sz="6" w:space="0" w:color="auto"/>
            </w:tcBorders>
          </w:tcPr>
          <w:p w14:paraId="01F6AE19" w14:textId="77777777" w:rsidR="00CA23D0" w:rsidRPr="00E30642" w:rsidRDefault="00CA23D0" w:rsidP="00CA23D0">
            <w:pPr>
              <w:pStyle w:val="Texttabulky"/>
              <w:spacing w:line="240" w:lineRule="atLeast"/>
              <w:jc w:val="both"/>
              <w:rPr>
                <w:rFonts w:cs="Arial"/>
              </w:rPr>
            </w:pPr>
            <w:r w:rsidRPr="00E30642">
              <w:rPr>
                <w:rFonts w:cs="Arial"/>
              </w:rPr>
              <w:t>5 940</w:t>
            </w:r>
          </w:p>
        </w:tc>
        <w:tc>
          <w:tcPr>
            <w:tcW w:w="709" w:type="dxa"/>
            <w:tcBorders>
              <w:top w:val="single" w:sz="6" w:space="0" w:color="auto"/>
              <w:left w:val="single" w:sz="6" w:space="0" w:color="auto"/>
              <w:bottom w:val="single" w:sz="6" w:space="0" w:color="auto"/>
              <w:right w:val="single" w:sz="6" w:space="0" w:color="auto"/>
            </w:tcBorders>
          </w:tcPr>
          <w:p w14:paraId="6F819513" w14:textId="77777777" w:rsidR="00CA23D0" w:rsidRPr="00E30642" w:rsidRDefault="00CA23D0" w:rsidP="00CA23D0">
            <w:pPr>
              <w:pStyle w:val="Texttabulky"/>
              <w:spacing w:line="240" w:lineRule="atLeast"/>
              <w:jc w:val="both"/>
              <w:rPr>
                <w:rFonts w:cs="Arial"/>
              </w:rPr>
            </w:pPr>
            <w:r w:rsidRPr="00E30642">
              <w:rPr>
                <w:rFonts w:cs="Arial"/>
              </w:rPr>
              <w:t>2 590</w:t>
            </w:r>
          </w:p>
        </w:tc>
        <w:tc>
          <w:tcPr>
            <w:tcW w:w="567" w:type="dxa"/>
            <w:tcBorders>
              <w:top w:val="single" w:sz="6" w:space="0" w:color="auto"/>
              <w:left w:val="single" w:sz="6" w:space="0" w:color="auto"/>
              <w:bottom w:val="single" w:sz="6" w:space="0" w:color="auto"/>
              <w:right w:val="single" w:sz="6" w:space="0" w:color="auto"/>
            </w:tcBorders>
          </w:tcPr>
          <w:p w14:paraId="5940E93F" w14:textId="77777777" w:rsidR="00CA23D0" w:rsidRPr="00E30642" w:rsidRDefault="00CA23D0" w:rsidP="00CA23D0">
            <w:pPr>
              <w:pStyle w:val="Texttabulky"/>
              <w:spacing w:line="240" w:lineRule="atLeast"/>
              <w:jc w:val="both"/>
              <w:rPr>
                <w:rFonts w:cs="Arial"/>
              </w:rPr>
            </w:pPr>
            <w:r w:rsidRPr="00E30642">
              <w:rPr>
                <w:rFonts w:cs="Arial"/>
              </w:rPr>
              <w:t>2 973</w:t>
            </w:r>
          </w:p>
        </w:tc>
        <w:tc>
          <w:tcPr>
            <w:tcW w:w="709" w:type="dxa"/>
            <w:tcBorders>
              <w:top w:val="single" w:sz="6" w:space="0" w:color="auto"/>
              <w:left w:val="single" w:sz="6" w:space="0" w:color="auto"/>
              <w:bottom w:val="single" w:sz="6" w:space="0" w:color="auto"/>
              <w:right w:val="single" w:sz="6" w:space="0" w:color="auto"/>
            </w:tcBorders>
          </w:tcPr>
          <w:p w14:paraId="2A4103A9" w14:textId="77777777" w:rsidR="00CA23D0" w:rsidRPr="00E30642" w:rsidRDefault="00CA23D0" w:rsidP="00CA23D0">
            <w:pPr>
              <w:pStyle w:val="Texttabulky"/>
              <w:spacing w:line="240" w:lineRule="atLeast"/>
              <w:jc w:val="both"/>
              <w:rPr>
                <w:rFonts w:cs="Arial"/>
              </w:rPr>
            </w:pPr>
            <w:r w:rsidRPr="00E30642">
              <w:rPr>
                <w:rFonts w:cs="Arial"/>
              </w:rPr>
              <w:t>5 563</w:t>
            </w:r>
          </w:p>
        </w:tc>
        <w:tc>
          <w:tcPr>
            <w:tcW w:w="567" w:type="dxa"/>
            <w:tcBorders>
              <w:top w:val="single" w:sz="6" w:space="0" w:color="auto"/>
              <w:left w:val="single" w:sz="6" w:space="0" w:color="auto"/>
              <w:bottom w:val="single" w:sz="6" w:space="0" w:color="auto"/>
              <w:right w:val="single" w:sz="6" w:space="0" w:color="auto"/>
            </w:tcBorders>
          </w:tcPr>
          <w:p w14:paraId="1B3621D8" w14:textId="77777777" w:rsidR="00CA23D0" w:rsidRPr="00E30642" w:rsidRDefault="00CA23D0" w:rsidP="00CA23D0">
            <w:pPr>
              <w:pStyle w:val="Texttabulky"/>
              <w:spacing w:line="240" w:lineRule="atLeast"/>
              <w:jc w:val="both"/>
              <w:rPr>
                <w:rFonts w:cs="Arial"/>
              </w:rPr>
            </w:pPr>
            <w:r w:rsidRPr="00E30642">
              <w:rPr>
                <w:rFonts w:cs="Arial"/>
              </w:rPr>
              <w:t>4 900</w:t>
            </w:r>
          </w:p>
        </w:tc>
        <w:tc>
          <w:tcPr>
            <w:tcW w:w="567" w:type="dxa"/>
            <w:tcBorders>
              <w:top w:val="single" w:sz="6" w:space="0" w:color="auto"/>
              <w:left w:val="single" w:sz="6" w:space="0" w:color="auto"/>
              <w:bottom w:val="single" w:sz="6" w:space="0" w:color="auto"/>
              <w:right w:val="single" w:sz="6" w:space="0" w:color="auto"/>
            </w:tcBorders>
          </w:tcPr>
          <w:p w14:paraId="06BD1ED5" w14:textId="77777777" w:rsidR="00CA23D0" w:rsidRPr="00E30642" w:rsidRDefault="00CA23D0" w:rsidP="00CA23D0">
            <w:pPr>
              <w:pStyle w:val="Texttabulky"/>
              <w:spacing w:line="240" w:lineRule="atLeast"/>
              <w:jc w:val="both"/>
              <w:rPr>
                <w:rFonts w:cs="Arial"/>
              </w:rPr>
            </w:pPr>
            <w:r w:rsidRPr="00E30642">
              <w:rPr>
                <w:rFonts w:cs="Arial"/>
              </w:rPr>
              <w:t>5 461</w:t>
            </w:r>
          </w:p>
        </w:tc>
        <w:tc>
          <w:tcPr>
            <w:tcW w:w="709" w:type="dxa"/>
            <w:tcBorders>
              <w:top w:val="single" w:sz="6" w:space="0" w:color="auto"/>
              <w:left w:val="single" w:sz="6" w:space="0" w:color="auto"/>
              <w:bottom w:val="single" w:sz="6" w:space="0" w:color="auto"/>
              <w:right w:val="single" w:sz="6" w:space="0" w:color="auto"/>
            </w:tcBorders>
          </w:tcPr>
          <w:p w14:paraId="2054902C" w14:textId="77777777" w:rsidR="00CA23D0" w:rsidRPr="00E30642" w:rsidRDefault="00CA23D0" w:rsidP="00CA23D0">
            <w:pPr>
              <w:pStyle w:val="Texttabulky"/>
              <w:spacing w:line="240" w:lineRule="atLeast"/>
              <w:jc w:val="both"/>
              <w:rPr>
                <w:rFonts w:cs="Arial"/>
              </w:rPr>
            </w:pPr>
            <w:r w:rsidRPr="00E30642">
              <w:rPr>
                <w:rFonts w:cs="Arial"/>
              </w:rPr>
              <w:t>10 361</w:t>
            </w:r>
          </w:p>
        </w:tc>
        <w:tc>
          <w:tcPr>
            <w:tcW w:w="708" w:type="dxa"/>
            <w:tcBorders>
              <w:top w:val="single" w:sz="6" w:space="0" w:color="auto"/>
              <w:left w:val="single" w:sz="6" w:space="0" w:color="auto"/>
              <w:bottom w:val="single" w:sz="6" w:space="0" w:color="auto"/>
              <w:right w:val="single" w:sz="6" w:space="0" w:color="auto"/>
            </w:tcBorders>
          </w:tcPr>
          <w:p w14:paraId="672BA3B3" w14:textId="77777777" w:rsidR="00CA23D0" w:rsidRPr="00E30642" w:rsidRDefault="00CA23D0" w:rsidP="00CA23D0">
            <w:pPr>
              <w:pStyle w:val="Texttabulky"/>
              <w:spacing w:line="240" w:lineRule="atLeast"/>
              <w:jc w:val="both"/>
              <w:rPr>
                <w:rFonts w:cs="Arial"/>
              </w:rPr>
            </w:pPr>
            <w:r w:rsidRPr="00E30642">
              <w:rPr>
                <w:rFonts w:cs="Arial"/>
              </w:rPr>
              <w:t>3 065</w:t>
            </w:r>
          </w:p>
        </w:tc>
        <w:tc>
          <w:tcPr>
            <w:tcW w:w="567" w:type="dxa"/>
            <w:tcBorders>
              <w:top w:val="single" w:sz="6" w:space="0" w:color="auto"/>
              <w:left w:val="single" w:sz="6" w:space="0" w:color="auto"/>
              <w:bottom w:val="single" w:sz="6" w:space="0" w:color="auto"/>
              <w:right w:val="single" w:sz="6" w:space="0" w:color="auto"/>
            </w:tcBorders>
          </w:tcPr>
          <w:p w14:paraId="10340151" w14:textId="77777777" w:rsidR="00CA23D0" w:rsidRPr="00E30642" w:rsidRDefault="00CA23D0" w:rsidP="00CA23D0">
            <w:pPr>
              <w:pStyle w:val="Texttabulky"/>
              <w:spacing w:line="240" w:lineRule="atLeast"/>
              <w:jc w:val="both"/>
              <w:rPr>
                <w:rFonts w:cs="Arial"/>
              </w:rPr>
            </w:pPr>
            <w:r w:rsidRPr="00E30642">
              <w:rPr>
                <w:rFonts w:cs="Arial"/>
              </w:rPr>
              <w:t>3 518</w:t>
            </w:r>
          </w:p>
        </w:tc>
        <w:tc>
          <w:tcPr>
            <w:tcW w:w="709" w:type="dxa"/>
            <w:tcBorders>
              <w:top w:val="single" w:sz="6" w:space="0" w:color="auto"/>
              <w:left w:val="single" w:sz="6" w:space="0" w:color="auto"/>
              <w:bottom w:val="single" w:sz="6" w:space="0" w:color="auto"/>
              <w:right w:val="single" w:sz="6" w:space="0" w:color="auto"/>
            </w:tcBorders>
          </w:tcPr>
          <w:p w14:paraId="36233A7F" w14:textId="77777777" w:rsidR="00CA23D0" w:rsidRPr="00E30642" w:rsidRDefault="00CA23D0" w:rsidP="00CA23D0">
            <w:pPr>
              <w:pStyle w:val="Texttabulky"/>
              <w:spacing w:line="240" w:lineRule="atLeast"/>
              <w:jc w:val="both"/>
              <w:rPr>
                <w:rFonts w:cs="Arial"/>
              </w:rPr>
            </w:pPr>
            <w:r w:rsidRPr="00E30642">
              <w:rPr>
                <w:rFonts w:cs="Arial"/>
              </w:rPr>
              <w:t>6 583</w:t>
            </w:r>
          </w:p>
        </w:tc>
      </w:tr>
      <w:tr w:rsidR="00CA23D0" w:rsidRPr="00E30642" w14:paraId="71C8A28D" w14:textId="77777777" w:rsidTr="00CA23D0">
        <w:tc>
          <w:tcPr>
            <w:tcW w:w="900" w:type="dxa"/>
            <w:tcBorders>
              <w:top w:val="single" w:sz="6" w:space="0" w:color="auto"/>
              <w:left w:val="single" w:sz="6" w:space="0" w:color="auto"/>
              <w:bottom w:val="single" w:sz="6" w:space="0" w:color="auto"/>
              <w:right w:val="single" w:sz="6" w:space="0" w:color="auto"/>
            </w:tcBorders>
          </w:tcPr>
          <w:p w14:paraId="79573E9F" w14:textId="77777777" w:rsidR="00CA23D0" w:rsidRPr="00E30642" w:rsidRDefault="00CA23D0" w:rsidP="00CA23D0">
            <w:pPr>
              <w:pStyle w:val="Texttabulky"/>
              <w:spacing w:line="240" w:lineRule="atLeast"/>
              <w:jc w:val="both"/>
              <w:rPr>
                <w:rFonts w:cs="Arial"/>
              </w:rPr>
            </w:pPr>
            <w:r w:rsidRPr="00E30642">
              <w:rPr>
                <w:rFonts w:cs="Arial"/>
                <w:b/>
                <w:bCs/>
              </w:rPr>
              <w:t>65-69</w:t>
            </w:r>
          </w:p>
        </w:tc>
        <w:tc>
          <w:tcPr>
            <w:tcW w:w="559" w:type="dxa"/>
            <w:tcBorders>
              <w:top w:val="single" w:sz="6" w:space="0" w:color="auto"/>
              <w:left w:val="single" w:sz="6" w:space="0" w:color="auto"/>
              <w:bottom w:val="single" w:sz="6" w:space="0" w:color="auto"/>
              <w:right w:val="single" w:sz="6" w:space="0" w:color="auto"/>
            </w:tcBorders>
          </w:tcPr>
          <w:p w14:paraId="230A48F5" w14:textId="77777777" w:rsidR="00CA23D0" w:rsidRPr="00E30642" w:rsidRDefault="00CA23D0" w:rsidP="00CA23D0">
            <w:pPr>
              <w:pStyle w:val="Texttabulky"/>
              <w:spacing w:line="240" w:lineRule="atLeast"/>
              <w:jc w:val="both"/>
              <w:rPr>
                <w:rFonts w:cs="Arial"/>
              </w:rPr>
            </w:pPr>
            <w:r w:rsidRPr="00E30642">
              <w:rPr>
                <w:rFonts w:cs="Arial"/>
              </w:rPr>
              <w:t>2 319</w:t>
            </w:r>
          </w:p>
        </w:tc>
        <w:tc>
          <w:tcPr>
            <w:tcW w:w="614" w:type="dxa"/>
            <w:tcBorders>
              <w:top w:val="single" w:sz="6" w:space="0" w:color="auto"/>
              <w:left w:val="single" w:sz="6" w:space="0" w:color="auto"/>
              <w:bottom w:val="single" w:sz="6" w:space="0" w:color="auto"/>
              <w:right w:val="single" w:sz="6" w:space="0" w:color="auto"/>
            </w:tcBorders>
          </w:tcPr>
          <w:p w14:paraId="5C9DB34C" w14:textId="77777777" w:rsidR="00CA23D0" w:rsidRPr="00E30642" w:rsidRDefault="00CA23D0" w:rsidP="00CA23D0">
            <w:pPr>
              <w:pStyle w:val="Texttabulky"/>
              <w:spacing w:line="240" w:lineRule="atLeast"/>
              <w:jc w:val="both"/>
              <w:rPr>
                <w:rFonts w:cs="Arial"/>
              </w:rPr>
            </w:pPr>
            <w:r w:rsidRPr="00E30642">
              <w:rPr>
                <w:rFonts w:cs="Arial"/>
              </w:rPr>
              <w:t>3 320</w:t>
            </w:r>
          </w:p>
        </w:tc>
        <w:tc>
          <w:tcPr>
            <w:tcW w:w="762" w:type="dxa"/>
            <w:tcBorders>
              <w:top w:val="single" w:sz="6" w:space="0" w:color="auto"/>
              <w:left w:val="single" w:sz="6" w:space="0" w:color="auto"/>
              <w:bottom w:val="single" w:sz="6" w:space="0" w:color="auto"/>
              <w:right w:val="single" w:sz="6" w:space="0" w:color="auto"/>
            </w:tcBorders>
          </w:tcPr>
          <w:p w14:paraId="28F451B6" w14:textId="77777777" w:rsidR="00CA23D0" w:rsidRPr="00E30642" w:rsidRDefault="00CA23D0" w:rsidP="00CA23D0">
            <w:pPr>
              <w:pStyle w:val="Texttabulky"/>
              <w:spacing w:line="240" w:lineRule="atLeast"/>
              <w:jc w:val="both"/>
              <w:rPr>
                <w:rFonts w:cs="Arial"/>
              </w:rPr>
            </w:pPr>
            <w:r w:rsidRPr="00E30642">
              <w:rPr>
                <w:rFonts w:cs="Arial"/>
              </w:rPr>
              <w:t>5 639</w:t>
            </w:r>
          </w:p>
        </w:tc>
        <w:tc>
          <w:tcPr>
            <w:tcW w:w="709" w:type="dxa"/>
            <w:tcBorders>
              <w:top w:val="single" w:sz="6" w:space="0" w:color="auto"/>
              <w:left w:val="single" w:sz="6" w:space="0" w:color="auto"/>
              <w:bottom w:val="single" w:sz="6" w:space="0" w:color="auto"/>
              <w:right w:val="single" w:sz="6" w:space="0" w:color="auto"/>
            </w:tcBorders>
          </w:tcPr>
          <w:p w14:paraId="3FEF8A8F" w14:textId="77777777" w:rsidR="00CA23D0" w:rsidRPr="00E30642" w:rsidRDefault="00CA23D0" w:rsidP="00CA23D0">
            <w:pPr>
              <w:pStyle w:val="Texttabulky"/>
              <w:spacing w:line="240" w:lineRule="atLeast"/>
              <w:jc w:val="both"/>
              <w:rPr>
                <w:rFonts w:cs="Arial"/>
              </w:rPr>
            </w:pPr>
            <w:r w:rsidRPr="00E30642">
              <w:rPr>
                <w:rFonts w:cs="Arial"/>
              </w:rPr>
              <w:t>2 257</w:t>
            </w:r>
          </w:p>
        </w:tc>
        <w:tc>
          <w:tcPr>
            <w:tcW w:w="567" w:type="dxa"/>
            <w:tcBorders>
              <w:top w:val="single" w:sz="6" w:space="0" w:color="auto"/>
              <w:left w:val="single" w:sz="6" w:space="0" w:color="auto"/>
              <w:bottom w:val="single" w:sz="6" w:space="0" w:color="auto"/>
              <w:right w:val="single" w:sz="6" w:space="0" w:color="auto"/>
            </w:tcBorders>
          </w:tcPr>
          <w:p w14:paraId="63A368D0" w14:textId="77777777" w:rsidR="00CA23D0" w:rsidRPr="00E30642" w:rsidRDefault="00CA23D0" w:rsidP="00CA23D0">
            <w:pPr>
              <w:pStyle w:val="Texttabulky"/>
              <w:spacing w:line="240" w:lineRule="atLeast"/>
              <w:jc w:val="both"/>
              <w:rPr>
                <w:rFonts w:cs="Arial"/>
              </w:rPr>
            </w:pPr>
            <w:r w:rsidRPr="00E30642">
              <w:rPr>
                <w:rFonts w:cs="Arial"/>
              </w:rPr>
              <w:t>2 946</w:t>
            </w:r>
          </w:p>
        </w:tc>
        <w:tc>
          <w:tcPr>
            <w:tcW w:w="709" w:type="dxa"/>
            <w:tcBorders>
              <w:top w:val="single" w:sz="6" w:space="0" w:color="auto"/>
              <w:left w:val="single" w:sz="6" w:space="0" w:color="auto"/>
              <w:bottom w:val="single" w:sz="6" w:space="0" w:color="auto"/>
              <w:right w:val="single" w:sz="6" w:space="0" w:color="auto"/>
            </w:tcBorders>
          </w:tcPr>
          <w:p w14:paraId="0EF8DDBD" w14:textId="77777777" w:rsidR="00CA23D0" w:rsidRPr="00E30642" w:rsidRDefault="00CA23D0" w:rsidP="00CA23D0">
            <w:pPr>
              <w:pStyle w:val="Texttabulky"/>
              <w:spacing w:line="240" w:lineRule="atLeast"/>
              <w:jc w:val="both"/>
              <w:rPr>
                <w:rFonts w:cs="Arial"/>
              </w:rPr>
            </w:pPr>
            <w:r w:rsidRPr="00E30642">
              <w:rPr>
                <w:rFonts w:cs="Arial"/>
              </w:rPr>
              <w:t>5 203</w:t>
            </w:r>
          </w:p>
        </w:tc>
        <w:tc>
          <w:tcPr>
            <w:tcW w:w="567" w:type="dxa"/>
            <w:tcBorders>
              <w:top w:val="single" w:sz="6" w:space="0" w:color="auto"/>
              <w:left w:val="single" w:sz="6" w:space="0" w:color="auto"/>
              <w:bottom w:val="single" w:sz="6" w:space="0" w:color="auto"/>
              <w:right w:val="single" w:sz="6" w:space="0" w:color="auto"/>
            </w:tcBorders>
          </w:tcPr>
          <w:p w14:paraId="7C5F5DE5" w14:textId="77777777" w:rsidR="00CA23D0" w:rsidRPr="00E30642" w:rsidRDefault="00CA23D0" w:rsidP="00CA23D0">
            <w:pPr>
              <w:pStyle w:val="Texttabulky"/>
              <w:spacing w:line="240" w:lineRule="atLeast"/>
              <w:jc w:val="both"/>
              <w:rPr>
                <w:rFonts w:cs="Arial"/>
              </w:rPr>
            </w:pPr>
            <w:r w:rsidRPr="00E30642">
              <w:rPr>
                <w:rFonts w:cs="Arial"/>
              </w:rPr>
              <w:t>2 882</w:t>
            </w:r>
          </w:p>
        </w:tc>
        <w:tc>
          <w:tcPr>
            <w:tcW w:w="567" w:type="dxa"/>
            <w:tcBorders>
              <w:top w:val="single" w:sz="6" w:space="0" w:color="auto"/>
              <w:left w:val="single" w:sz="6" w:space="0" w:color="auto"/>
              <w:bottom w:val="single" w:sz="6" w:space="0" w:color="auto"/>
              <w:right w:val="single" w:sz="6" w:space="0" w:color="auto"/>
            </w:tcBorders>
          </w:tcPr>
          <w:p w14:paraId="71A209E8" w14:textId="77777777" w:rsidR="00CA23D0" w:rsidRPr="00E30642" w:rsidRDefault="00CA23D0" w:rsidP="00CA23D0">
            <w:pPr>
              <w:pStyle w:val="Texttabulky"/>
              <w:spacing w:line="240" w:lineRule="atLeast"/>
              <w:jc w:val="both"/>
              <w:rPr>
                <w:rFonts w:cs="Arial"/>
              </w:rPr>
            </w:pPr>
            <w:r w:rsidRPr="00E30642">
              <w:rPr>
                <w:rFonts w:cs="Arial"/>
              </w:rPr>
              <w:t>3 508</w:t>
            </w:r>
          </w:p>
        </w:tc>
        <w:tc>
          <w:tcPr>
            <w:tcW w:w="709" w:type="dxa"/>
            <w:tcBorders>
              <w:top w:val="single" w:sz="6" w:space="0" w:color="auto"/>
              <w:left w:val="single" w:sz="6" w:space="0" w:color="auto"/>
              <w:bottom w:val="single" w:sz="6" w:space="0" w:color="auto"/>
              <w:right w:val="single" w:sz="6" w:space="0" w:color="auto"/>
            </w:tcBorders>
          </w:tcPr>
          <w:p w14:paraId="706302E3" w14:textId="77777777" w:rsidR="00CA23D0" w:rsidRPr="00E30642" w:rsidRDefault="00CA23D0" w:rsidP="00CA23D0">
            <w:pPr>
              <w:pStyle w:val="Texttabulky"/>
              <w:spacing w:line="240" w:lineRule="atLeast"/>
              <w:jc w:val="both"/>
              <w:rPr>
                <w:rFonts w:cs="Arial"/>
              </w:rPr>
            </w:pPr>
            <w:r w:rsidRPr="00E30642">
              <w:rPr>
                <w:rFonts w:cs="Arial"/>
              </w:rPr>
              <w:t>6 390</w:t>
            </w:r>
          </w:p>
        </w:tc>
        <w:tc>
          <w:tcPr>
            <w:tcW w:w="708" w:type="dxa"/>
            <w:tcBorders>
              <w:top w:val="single" w:sz="6" w:space="0" w:color="auto"/>
              <w:left w:val="single" w:sz="6" w:space="0" w:color="auto"/>
              <w:bottom w:val="single" w:sz="6" w:space="0" w:color="auto"/>
              <w:right w:val="single" w:sz="6" w:space="0" w:color="auto"/>
            </w:tcBorders>
          </w:tcPr>
          <w:p w14:paraId="2172B72D" w14:textId="77777777" w:rsidR="00CA23D0" w:rsidRPr="00E30642" w:rsidRDefault="00CA23D0" w:rsidP="00CA23D0">
            <w:pPr>
              <w:pStyle w:val="Texttabulky"/>
              <w:spacing w:line="240" w:lineRule="atLeast"/>
              <w:jc w:val="both"/>
              <w:rPr>
                <w:rFonts w:cs="Arial"/>
              </w:rPr>
            </w:pPr>
            <w:r w:rsidRPr="00E30642">
              <w:rPr>
                <w:rFonts w:cs="Arial"/>
              </w:rPr>
              <w:t>3 356</w:t>
            </w:r>
          </w:p>
        </w:tc>
        <w:tc>
          <w:tcPr>
            <w:tcW w:w="567" w:type="dxa"/>
            <w:tcBorders>
              <w:top w:val="single" w:sz="6" w:space="0" w:color="auto"/>
              <w:left w:val="single" w:sz="6" w:space="0" w:color="auto"/>
              <w:bottom w:val="single" w:sz="6" w:space="0" w:color="auto"/>
              <w:right w:val="single" w:sz="6" w:space="0" w:color="auto"/>
            </w:tcBorders>
          </w:tcPr>
          <w:p w14:paraId="48EA04CD" w14:textId="77777777" w:rsidR="00CA23D0" w:rsidRPr="00E30642" w:rsidRDefault="00CA23D0" w:rsidP="00CA23D0">
            <w:pPr>
              <w:pStyle w:val="Texttabulky"/>
              <w:spacing w:line="240" w:lineRule="atLeast"/>
              <w:jc w:val="both"/>
              <w:rPr>
                <w:rFonts w:cs="Arial"/>
              </w:rPr>
            </w:pPr>
            <w:r w:rsidRPr="00E30642">
              <w:rPr>
                <w:rFonts w:cs="Arial"/>
              </w:rPr>
              <w:t>4 509</w:t>
            </w:r>
          </w:p>
        </w:tc>
        <w:tc>
          <w:tcPr>
            <w:tcW w:w="709" w:type="dxa"/>
            <w:tcBorders>
              <w:top w:val="single" w:sz="6" w:space="0" w:color="auto"/>
              <w:left w:val="single" w:sz="6" w:space="0" w:color="auto"/>
              <w:bottom w:val="single" w:sz="6" w:space="0" w:color="auto"/>
              <w:right w:val="single" w:sz="6" w:space="0" w:color="auto"/>
            </w:tcBorders>
          </w:tcPr>
          <w:p w14:paraId="54C702F0" w14:textId="77777777" w:rsidR="00CA23D0" w:rsidRPr="00E30642" w:rsidRDefault="00CA23D0" w:rsidP="00CA23D0">
            <w:pPr>
              <w:pStyle w:val="Texttabulky"/>
              <w:spacing w:line="240" w:lineRule="atLeast"/>
              <w:jc w:val="both"/>
              <w:rPr>
                <w:rFonts w:cs="Arial"/>
              </w:rPr>
            </w:pPr>
            <w:r w:rsidRPr="00E30642">
              <w:rPr>
                <w:rFonts w:cs="Arial"/>
              </w:rPr>
              <w:t>7 865</w:t>
            </w:r>
          </w:p>
        </w:tc>
      </w:tr>
      <w:tr w:rsidR="00CA23D0" w:rsidRPr="00E30642" w14:paraId="4C899FC2" w14:textId="77777777" w:rsidTr="00CA23D0">
        <w:tc>
          <w:tcPr>
            <w:tcW w:w="900" w:type="dxa"/>
            <w:tcBorders>
              <w:top w:val="single" w:sz="6" w:space="0" w:color="auto"/>
              <w:left w:val="single" w:sz="6" w:space="0" w:color="auto"/>
              <w:bottom w:val="single" w:sz="6" w:space="0" w:color="auto"/>
              <w:right w:val="single" w:sz="6" w:space="0" w:color="auto"/>
            </w:tcBorders>
          </w:tcPr>
          <w:p w14:paraId="3910F49B" w14:textId="77777777" w:rsidR="00CA23D0" w:rsidRPr="00E30642" w:rsidRDefault="00CA23D0" w:rsidP="00CA23D0">
            <w:pPr>
              <w:pStyle w:val="Texttabulky"/>
              <w:spacing w:line="240" w:lineRule="atLeast"/>
              <w:jc w:val="both"/>
              <w:rPr>
                <w:rFonts w:cs="Arial"/>
              </w:rPr>
            </w:pPr>
            <w:r w:rsidRPr="00E30642">
              <w:rPr>
                <w:rFonts w:cs="Arial"/>
                <w:b/>
                <w:bCs/>
              </w:rPr>
              <w:t>70-74</w:t>
            </w:r>
          </w:p>
        </w:tc>
        <w:tc>
          <w:tcPr>
            <w:tcW w:w="559" w:type="dxa"/>
            <w:tcBorders>
              <w:top w:val="single" w:sz="6" w:space="0" w:color="auto"/>
              <w:left w:val="single" w:sz="6" w:space="0" w:color="auto"/>
              <w:bottom w:val="single" w:sz="6" w:space="0" w:color="auto"/>
              <w:right w:val="single" w:sz="6" w:space="0" w:color="auto"/>
            </w:tcBorders>
          </w:tcPr>
          <w:p w14:paraId="5A84C209" w14:textId="77777777" w:rsidR="00CA23D0" w:rsidRPr="00E30642" w:rsidRDefault="00CA23D0" w:rsidP="00CA23D0">
            <w:pPr>
              <w:pStyle w:val="Texttabulky"/>
              <w:spacing w:line="240" w:lineRule="atLeast"/>
              <w:jc w:val="both"/>
              <w:rPr>
                <w:rFonts w:cs="Arial"/>
              </w:rPr>
            </w:pPr>
            <w:r w:rsidRPr="00E30642">
              <w:rPr>
                <w:rFonts w:cs="Arial"/>
              </w:rPr>
              <w:t>1 921</w:t>
            </w:r>
          </w:p>
        </w:tc>
        <w:tc>
          <w:tcPr>
            <w:tcW w:w="614" w:type="dxa"/>
            <w:tcBorders>
              <w:top w:val="single" w:sz="6" w:space="0" w:color="auto"/>
              <w:left w:val="single" w:sz="6" w:space="0" w:color="auto"/>
              <w:bottom w:val="single" w:sz="6" w:space="0" w:color="auto"/>
              <w:right w:val="single" w:sz="6" w:space="0" w:color="auto"/>
            </w:tcBorders>
          </w:tcPr>
          <w:p w14:paraId="3214CA68" w14:textId="77777777" w:rsidR="00CA23D0" w:rsidRPr="00E30642" w:rsidRDefault="00CA23D0" w:rsidP="00CA23D0">
            <w:pPr>
              <w:pStyle w:val="Texttabulky"/>
              <w:spacing w:line="240" w:lineRule="atLeast"/>
              <w:jc w:val="both"/>
              <w:rPr>
                <w:rFonts w:cs="Arial"/>
              </w:rPr>
            </w:pPr>
            <w:r w:rsidRPr="00E30642">
              <w:rPr>
                <w:rFonts w:cs="Arial"/>
              </w:rPr>
              <w:t>3 447</w:t>
            </w:r>
          </w:p>
        </w:tc>
        <w:tc>
          <w:tcPr>
            <w:tcW w:w="762" w:type="dxa"/>
            <w:tcBorders>
              <w:top w:val="single" w:sz="6" w:space="0" w:color="auto"/>
              <w:left w:val="single" w:sz="6" w:space="0" w:color="auto"/>
              <w:bottom w:val="single" w:sz="6" w:space="0" w:color="auto"/>
              <w:right w:val="single" w:sz="6" w:space="0" w:color="auto"/>
            </w:tcBorders>
          </w:tcPr>
          <w:p w14:paraId="62A5CA47" w14:textId="77777777" w:rsidR="00CA23D0" w:rsidRPr="00E30642" w:rsidRDefault="00CA23D0" w:rsidP="00CA23D0">
            <w:pPr>
              <w:pStyle w:val="Texttabulky"/>
              <w:spacing w:line="240" w:lineRule="atLeast"/>
              <w:jc w:val="both"/>
              <w:rPr>
                <w:rFonts w:cs="Arial"/>
              </w:rPr>
            </w:pPr>
            <w:r w:rsidRPr="00E30642">
              <w:rPr>
                <w:rFonts w:cs="Arial"/>
              </w:rPr>
              <w:t>5 368</w:t>
            </w:r>
          </w:p>
        </w:tc>
        <w:tc>
          <w:tcPr>
            <w:tcW w:w="709" w:type="dxa"/>
            <w:tcBorders>
              <w:top w:val="single" w:sz="6" w:space="0" w:color="auto"/>
              <w:left w:val="single" w:sz="6" w:space="0" w:color="auto"/>
              <w:bottom w:val="single" w:sz="6" w:space="0" w:color="auto"/>
              <w:right w:val="single" w:sz="6" w:space="0" w:color="auto"/>
            </w:tcBorders>
          </w:tcPr>
          <w:p w14:paraId="0D4DDF1C" w14:textId="77777777" w:rsidR="00CA23D0" w:rsidRPr="00E30642" w:rsidRDefault="00CA23D0" w:rsidP="00CA23D0">
            <w:pPr>
              <w:pStyle w:val="Texttabulky"/>
              <w:spacing w:line="240" w:lineRule="atLeast"/>
              <w:jc w:val="both"/>
              <w:rPr>
                <w:rFonts w:cs="Arial"/>
              </w:rPr>
            </w:pPr>
            <w:r w:rsidRPr="00E30642">
              <w:rPr>
                <w:rFonts w:cs="Arial"/>
              </w:rPr>
              <w:t>1 730</w:t>
            </w:r>
          </w:p>
        </w:tc>
        <w:tc>
          <w:tcPr>
            <w:tcW w:w="567" w:type="dxa"/>
            <w:tcBorders>
              <w:top w:val="single" w:sz="6" w:space="0" w:color="auto"/>
              <w:left w:val="single" w:sz="6" w:space="0" w:color="auto"/>
              <w:bottom w:val="single" w:sz="6" w:space="0" w:color="auto"/>
              <w:right w:val="single" w:sz="6" w:space="0" w:color="auto"/>
            </w:tcBorders>
          </w:tcPr>
          <w:p w14:paraId="7F74FC6D" w14:textId="77777777" w:rsidR="00CA23D0" w:rsidRPr="00E30642" w:rsidRDefault="00CA23D0" w:rsidP="00CA23D0">
            <w:pPr>
              <w:pStyle w:val="Texttabulky"/>
              <w:spacing w:line="240" w:lineRule="atLeast"/>
              <w:jc w:val="both"/>
              <w:rPr>
                <w:rFonts w:cs="Arial"/>
              </w:rPr>
            </w:pPr>
            <w:r w:rsidRPr="00E30642">
              <w:rPr>
                <w:rFonts w:cs="Arial"/>
              </w:rPr>
              <w:t>2 839</w:t>
            </w:r>
          </w:p>
        </w:tc>
        <w:tc>
          <w:tcPr>
            <w:tcW w:w="709" w:type="dxa"/>
            <w:tcBorders>
              <w:top w:val="single" w:sz="6" w:space="0" w:color="auto"/>
              <w:left w:val="single" w:sz="6" w:space="0" w:color="auto"/>
              <w:bottom w:val="single" w:sz="6" w:space="0" w:color="auto"/>
              <w:right w:val="single" w:sz="6" w:space="0" w:color="auto"/>
            </w:tcBorders>
          </w:tcPr>
          <w:p w14:paraId="4604D7D6" w14:textId="77777777" w:rsidR="00CA23D0" w:rsidRPr="00E30642" w:rsidRDefault="00CA23D0" w:rsidP="00CA23D0">
            <w:pPr>
              <w:pStyle w:val="Texttabulky"/>
              <w:spacing w:line="240" w:lineRule="atLeast"/>
              <w:jc w:val="both"/>
              <w:rPr>
                <w:rFonts w:cs="Arial"/>
              </w:rPr>
            </w:pPr>
            <w:r w:rsidRPr="00E30642">
              <w:rPr>
                <w:rFonts w:cs="Arial"/>
              </w:rPr>
              <w:t>4 569</w:t>
            </w:r>
          </w:p>
        </w:tc>
        <w:tc>
          <w:tcPr>
            <w:tcW w:w="567" w:type="dxa"/>
            <w:tcBorders>
              <w:top w:val="single" w:sz="6" w:space="0" w:color="auto"/>
              <w:left w:val="single" w:sz="6" w:space="0" w:color="auto"/>
              <w:bottom w:val="single" w:sz="6" w:space="0" w:color="auto"/>
              <w:right w:val="single" w:sz="6" w:space="0" w:color="auto"/>
            </w:tcBorders>
          </w:tcPr>
          <w:p w14:paraId="42D8F87F" w14:textId="77777777" w:rsidR="00CA23D0" w:rsidRPr="00E30642" w:rsidRDefault="00CA23D0" w:rsidP="00CA23D0">
            <w:pPr>
              <w:pStyle w:val="Texttabulky"/>
              <w:spacing w:line="240" w:lineRule="atLeast"/>
              <w:jc w:val="both"/>
              <w:rPr>
                <w:rFonts w:cs="Arial"/>
              </w:rPr>
            </w:pPr>
            <w:r w:rsidRPr="00E30642">
              <w:rPr>
                <w:rFonts w:cs="Arial"/>
              </w:rPr>
              <w:t>1 616</w:t>
            </w:r>
          </w:p>
        </w:tc>
        <w:tc>
          <w:tcPr>
            <w:tcW w:w="567" w:type="dxa"/>
            <w:tcBorders>
              <w:top w:val="single" w:sz="6" w:space="0" w:color="auto"/>
              <w:left w:val="single" w:sz="6" w:space="0" w:color="auto"/>
              <w:bottom w:val="single" w:sz="6" w:space="0" w:color="auto"/>
              <w:right w:val="single" w:sz="6" w:space="0" w:color="auto"/>
            </w:tcBorders>
          </w:tcPr>
          <w:p w14:paraId="18C1EC1E" w14:textId="77777777" w:rsidR="00CA23D0" w:rsidRPr="00E30642" w:rsidRDefault="00CA23D0" w:rsidP="00CA23D0">
            <w:pPr>
              <w:pStyle w:val="Texttabulky"/>
              <w:spacing w:line="240" w:lineRule="atLeast"/>
              <w:jc w:val="both"/>
              <w:rPr>
                <w:rFonts w:cs="Arial"/>
              </w:rPr>
            </w:pPr>
            <w:r w:rsidRPr="00E30642">
              <w:rPr>
                <w:rFonts w:cs="Arial"/>
              </w:rPr>
              <w:t>2 337</w:t>
            </w:r>
          </w:p>
        </w:tc>
        <w:tc>
          <w:tcPr>
            <w:tcW w:w="709" w:type="dxa"/>
            <w:tcBorders>
              <w:top w:val="single" w:sz="6" w:space="0" w:color="auto"/>
              <w:left w:val="single" w:sz="6" w:space="0" w:color="auto"/>
              <w:bottom w:val="single" w:sz="6" w:space="0" w:color="auto"/>
              <w:right w:val="single" w:sz="6" w:space="0" w:color="auto"/>
            </w:tcBorders>
          </w:tcPr>
          <w:p w14:paraId="628BF56A" w14:textId="77777777" w:rsidR="00CA23D0" w:rsidRPr="00E30642" w:rsidRDefault="00CA23D0" w:rsidP="00CA23D0">
            <w:pPr>
              <w:pStyle w:val="Texttabulky"/>
              <w:spacing w:line="240" w:lineRule="atLeast"/>
              <w:jc w:val="both"/>
              <w:rPr>
                <w:rFonts w:cs="Arial"/>
              </w:rPr>
            </w:pPr>
            <w:r w:rsidRPr="00E30642">
              <w:rPr>
                <w:rFonts w:cs="Arial"/>
              </w:rPr>
              <w:t>3 953</w:t>
            </w:r>
          </w:p>
        </w:tc>
        <w:tc>
          <w:tcPr>
            <w:tcW w:w="708" w:type="dxa"/>
            <w:tcBorders>
              <w:top w:val="single" w:sz="6" w:space="0" w:color="auto"/>
              <w:left w:val="single" w:sz="6" w:space="0" w:color="auto"/>
              <w:bottom w:val="single" w:sz="6" w:space="0" w:color="auto"/>
              <w:right w:val="single" w:sz="6" w:space="0" w:color="auto"/>
            </w:tcBorders>
          </w:tcPr>
          <w:p w14:paraId="2E52DE64" w14:textId="77777777" w:rsidR="00CA23D0" w:rsidRPr="00E30642" w:rsidRDefault="00CA23D0" w:rsidP="00CA23D0">
            <w:pPr>
              <w:pStyle w:val="Texttabulky"/>
              <w:spacing w:line="240" w:lineRule="atLeast"/>
              <w:jc w:val="both"/>
              <w:rPr>
                <w:rFonts w:cs="Arial"/>
              </w:rPr>
            </w:pPr>
            <w:r w:rsidRPr="00E30642">
              <w:rPr>
                <w:rFonts w:cs="Arial"/>
              </w:rPr>
              <w:t>3 033</w:t>
            </w:r>
          </w:p>
        </w:tc>
        <w:tc>
          <w:tcPr>
            <w:tcW w:w="567" w:type="dxa"/>
            <w:tcBorders>
              <w:top w:val="single" w:sz="6" w:space="0" w:color="auto"/>
              <w:left w:val="single" w:sz="6" w:space="0" w:color="auto"/>
              <w:bottom w:val="single" w:sz="6" w:space="0" w:color="auto"/>
              <w:right w:val="single" w:sz="6" w:space="0" w:color="auto"/>
            </w:tcBorders>
          </w:tcPr>
          <w:p w14:paraId="3C2A77F9" w14:textId="77777777" w:rsidR="00CA23D0" w:rsidRPr="00E30642" w:rsidRDefault="00CA23D0" w:rsidP="00CA23D0">
            <w:pPr>
              <w:pStyle w:val="Texttabulky"/>
              <w:spacing w:line="240" w:lineRule="atLeast"/>
              <w:jc w:val="both"/>
              <w:rPr>
                <w:rFonts w:cs="Arial"/>
              </w:rPr>
            </w:pPr>
            <w:r w:rsidRPr="00E30642">
              <w:rPr>
                <w:rFonts w:cs="Arial"/>
              </w:rPr>
              <w:t>4 277</w:t>
            </w:r>
          </w:p>
        </w:tc>
        <w:tc>
          <w:tcPr>
            <w:tcW w:w="709" w:type="dxa"/>
            <w:tcBorders>
              <w:top w:val="single" w:sz="6" w:space="0" w:color="auto"/>
              <w:left w:val="single" w:sz="6" w:space="0" w:color="auto"/>
              <w:bottom w:val="single" w:sz="6" w:space="0" w:color="auto"/>
              <w:right w:val="single" w:sz="6" w:space="0" w:color="auto"/>
            </w:tcBorders>
          </w:tcPr>
          <w:p w14:paraId="44495689" w14:textId="77777777" w:rsidR="00CA23D0" w:rsidRPr="00E30642" w:rsidRDefault="00CA23D0" w:rsidP="00CA23D0">
            <w:pPr>
              <w:pStyle w:val="Texttabulky"/>
              <w:spacing w:line="240" w:lineRule="atLeast"/>
              <w:jc w:val="both"/>
              <w:rPr>
                <w:rFonts w:cs="Arial"/>
              </w:rPr>
            </w:pPr>
            <w:r w:rsidRPr="00E30642">
              <w:rPr>
                <w:rFonts w:cs="Arial"/>
              </w:rPr>
              <w:t>7 310</w:t>
            </w:r>
          </w:p>
        </w:tc>
      </w:tr>
      <w:tr w:rsidR="00CA23D0" w:rsidRPr="00E30642" w14:paraId="1D5DD7D0" w14:textId="77777777" w:rsidTr="00CA23D0">
        <w:tc>
          <w:tcPr>
            <w:tcW w:w="900" w:type="dxa"/>
            <w:tcBorders>
              <w:top w:val="single" w:sz="6" w:space="0" w:color="auto"/>
              <w:left w:val="single" w:sz="6" w:space="0" w:color="auto"/>
              <w:bottom w:val="single" w:sz="6" w:space="0" w:color="auto"/>
              <w:right w:val="single" w:sz="6" w:space="0" w:color="auto"/>
            </w:tcBorders>
          </w:tcPr>
          <w:p w14:paraId="56C2B516" w14:textId="77777777" w:rsidR="00CA23D0" w:rsidRPr="00E30642" w:rsidRDefault="00CA23D0" w:rsidP="00CA23D0">
            <w:pPr>
              <w:pStyle w:val="Texttabulky"/>
              <w:spacing w:line="240" w:lineRule="atLeast"/>
              <w:jc w:val="both"/>
              <w:rPr>
                <w:rFonts w:cs="Arial"/>
              </w:rPr>
            </w:pPr>
            <w:r w:rsidRPr="00E30642">
              <w:rPr>
                <w:rFonts w:cs="Arial"/>
                <w:b/>
                <w:bCs/>
              </w:rPr>
              <w:t>75-79</w:t>
            </w:r>
          </w:p>
        </w:tc>
        <w:tc>
          <w:tcPr>
            <w:tcW w:w="559" w:type="dxa"/>
            <w:tcBorders>
              <w:top w:val="single" w:sz="6" w:space="0" w:color="auto"/>
              <w:left w:val="single" w:sz="6" w:space="0" w:color="auto"/>
              <w:bottom w:val="single" w:sz="6" w:space="0" w:color="auto"/>
              <w:right w:val="single" w:sz="6" w:space="0" w:color="auto"/>
            </w:tcBorders>
          </w:tcPr>
          <w:p w14:paraId="06A9DE25" w14:textId="77777777" w:rsidR="00CA23D0" w:rsidRPr="00E30642" w:rsidRDefault="00CA23D0" w:rsidP="00CA23D0">
            <w:pPr>
              <w:pStyle w:val="Texttabulky"/>
              <w:spacing w:line="240" w:lineRule="atLeast"/>
              <w:jc w:val="both"/>
              <w:rPr>
                <w:rFonts w:cs="Arial"/>
              </w:rPr>
            </w:pPr>
            <w:r w:rsidRPr="00E30642">
              <w:rPr>
                <w:rFonts w:cs="Arial"/>
              </w:rPr>
              <w:t>844</w:t>
            </w:r>
          </w:p>
        </w:tc>
        <w:tc>
          <w:tcPr>
            <w:tcW w:w="614" w:type="dxa"/>
            <w:tcBorders>
              <w:top w:val="single" w:sz="6" w:space="0" w:color="auto"/>
              <w:left w:val="single" w:sz="6" w:space="0" w:color="auto"/>
              <w:bottom w:val="single" w:sz="6" w:space="0" w:color="auto"/>
              <w:right w:val="single" w:sz="6" w:space="0" w:color="auto"/>
            </w:tcBorders>
          </w:tcPr>
          <w:p w14:paraId="3DBBDA0E" w14:textId="77777777" w:rsidR="00CA23D0" w:rsidRPr="00E30642" w:rsidRDefault="00CA23D0" w:rsidP="00CA23D0">
            <w:pPr>
              <w:pStyle w:val="Texttabulky"/>
              <w:spacing w:line="240" w:lineRule="atLeast"/>
              <w:jc w:val="both"/>
              <w:rPr>
                <w:rFonts w:cs="Arial"/>
              </w:rPr>
            </w:pPr>
            <w:r w:rsidRPr="00E30642">
              <w:rPr>
                <w:rFonts w:cs="Arial"/>
              </w:rPr>
              <w:t>1 509</w:t>
            </w:r>
          </w:p>
        </w:tc>
        <w:tc>
          <w:tcPr>
            <w:tcW w:w="762" w:type="dxa"/>
            <w:tcBorders>
              <w:top w:val="single" w:sz="6" w:space="0" w:color="auto"/>
              <w:left w:val="single" w:sz="6" w:space="0" w:color="auto"/>
              <w:bottom w:val="single" w:sz="6" w:space="0" w:color="auto"/>
              <w:right w:val="single" w:sz="6" w:space="0" w:color="auto"/>
            </w:tcBorders>
          </w:tcPr>
          <w:p w14:paraId="6AA90FCB" w14:textId="77777777" w:rsidR="00CA23D0" w:rsidRPr="00E30642" w:rsidRDefault="00CA23D0" w:rsidP="00CA23D0">
            <w:pPr>
              <w:pStyle w:val="Texttabulky"/>
              <w:spacing w:line="240" w:lineRule="atLeast"/>
              <w:jc w:val="both"/>
              <w:rPr>
                <w:rFonts w:cs="Arial"/>
              </w:rPr>
            </w:pPr>
            <w:r w:rsidRPr="00E30642">
              <w:rPr>
                <w:rFonts w:cs="Arial"/>
              </w:rPr>
              <w:t>2 353</w:t>
            </w:r>
          </w:p>
        </w:tc>
        <w:tc>
          <w:tcPr>
            <w:tcW w:w="709" w:type="dxa"/>
            <w:tcBorders>
              <w:top w:val="single" w:sz="6" w:space="0" w:color="auto"/>
              <w:left w:val="single" w:sz="6" w:space="0" w:color="auto"/>
              <w:bottom w:val="single" w:sz="6" w:space="0" w:color="auto"/>
              <w:right w:val="single" w:sz="6" w:space="0" w:color="auto"/>
            </w:tcBorders>
          </w:tcPr>
          <w:p w14:paraId="72CFCE3D" w14:textId="77777777" w:rsidR="00CA23D0" w:rsidRPr="00E30642" w:rsidRDefault="00CA23D0" w:rsidP="00CA23D0">
            <w:pPr>
              <w:pStyle w:val="Texttabulky"/>
              <w:spacing w:line="240" w:lineRule="atLeast"/>
              <w:jc w:val="both"/>
              <w:rPr>
                <w:rFonts w:cs="Arial"/>
              </w:rPr>
            </w:pPr>
            <w:r w:rsidRPr="00E30642">
              <w:rPr>
                <w:rFonts w:cs="Arial"/>
              </w:rPr>
              <w:t>1 205</w:t>
            </w:r>
          </w:p>
        </w:tc>
        <w:tc>
          <w:tcPr>
            <w:tcW w:w="567" w:type="dxa"/>
            <w:tcBorders>
              <w:top w:val="single" w:sz="6" w:space="0" w:color="auto"/>
              <w:left w:val="single" w:sz="6" w:space="0" w:color="auto"/>
              <w:bottom w:val="single" w:sz="6" w:space="0" w:color="auto"/>
              <w:right w:val="single" w:sz="6" w:space="0" w:color="auto"/>
            </w:tcBorders>
          </w:tcPr>
          <w:p w14:paraId="2927DECA" w14:textId="77777777" w:rsidR="00CA23D0" w:rsidRPr="00E30642" w:rsidRDefault="00CA23D0" w:rsidP="00CA23D0">
            <w:pPr>
              <w:pStyle w:val="Texttabulky"/>
              <w:spacing w:line="240" w:lineRule="atLeast"/>
              <w:jc w:val="both"/>
              <w:rPr>
                <w:rFonts w:cs="Arial"/>
              </w:rPr>
            </w:pPr>
            <w:r w:rsidRPr="00E30642">
              <w:rPr>
                <w:rFonts w:cs="Arial"/>
              </w:rPr>
              <w:t>2 610</w:t>
            </w:r>
          </w:p>
        </w:tc>
        <w:tc>
          <w:tcPr>
            <w:tcW w:w="709" w:type="dxa"/>
            <w:tcBorders>
              <w:top w:val="single" w:sz="6" w:space="0" w:color="auto"/>
              <w:left w:val="single" w:sz="6" w:space="0" w:color="auto"/>
              <w:bottom w:val="single" w:sz="6" w:space="0" w:color="auto"/>
              <w:right w:val="single" w:sz="6" w:space="0" w:color="auto"/>
            </w:tcBorders>
          </w:tcPr>
          <w:p w14:paraId="799AC31F" w14:textId="77777777" w:rsidR="00CA23D0" w:rsidRPr="00E30642" w:rsidRDefault="00CA23D0" w:rsidP="00CA23D0">
            <w:pPr>
              <w:pStyle w:val="Texttabulky"/>
              <w:spacing w:line="240" w:lineRule="atLeast"/>
              <w:jc w:val="both"/>
              <w:rPr>
                <w:rFonts w:cs="Arial"/>
              </w:rPr>
            </w:pPr>
            <w:r w:rsidRPr="00E30642">
              <w:rPr>
                <w:rFonts w:cs="Arial"/>
              </w:rPr>
              <w:t>3 815</w:t>
            </w:r>
          </w:p>
        </w:tc>
        <w:tc>
          <w:tcPr>
            <w:tcW w:w="567" w:type="dxa"/>
            <w:tcBorders>
              <w:top w:val="single" w:sz="6" w:space="0" w:color="auto"/>
              <w:left w:val="single" w:sz="6" w:space="0" w:color="auto"/>
              <w:bottom w:val="single" w:sz="6" w:space="0" w:color="auto"/>
              <w:right w:val="single" w:sz="6" w:space="0" w:color="auto"/>
            </w:tcBorders>
          </w:tcPr>
          <w:p w14:paraId="413C7100" w14:textId="77777777" w:rsidR="00CA23D0" w:rsidRPr="00E30642" w:rsidRDefault="00CA23D0" w:rsidP="00CA23D0">
            <w:pPr>
              <w:pStyle w:val="Texttabulky"/>
              <w:spacing w:line="240" w:lineRule="atLeast"/>
              <w:jc w:val="both"/>
              <w:rPr>
                <w:rFonts w:cs="Arial"/>
              </w:rPr>
            </w:pPr>
            <w:r w:rsidRPr="00E30642">
              <w:rPr>
                <w:rFonts w:cs="Arial"/>
              </w:rPr>
              <w:t>1 055</w:t>
            </w:r>
          </w:p>
        </w:tc>
        <w:tc>
          <w:tcPr>
            <w:tcW w:w="567" w:type="dxa"/>
            <w:tcBorders>
              <w:top w:val="single" w:sz="6" w:space="0" w:color="auto"/>
              <w:left w:val="single" w:sz="6" w:space="0" w:color="auto"/>
              <w:bottom w:val="single" w:sz="6" w:space="0" w:color="auto"/>
              <w:right w:val="single" w:sz="6" w:space="0" w:color="auto"/>
            </w:tcBorders>
          </w:tcPr>
          <w:p w14:paraId="46C7E6D7" w14:textId="77777777" w:rsidR="00CA23D0" w:rsidRPr="00E30642" w:rsidRDefault="00CA23D0" w:rsidP="00CA23D0">
            <w:pPr>
              <w:pStyle w:val="Texttabulky"/>
              <w:spacing w:line="240" w:lineRule="atLeast"/>
              <w:jc w:val="both"/>
              <w:rPr>
                <w:rFonts w:cs="Arial"/>
              </w:rPr>
            </w:pPr>
            <w:r w:rsidRPr="00E30642">
              <w:rPr>
                <w:rFonts w:cs="Arial"/>
              </w:rPr>
              <w:t>1 903</w:t>
            </w:r>
          </w:p>
        </w:tc>
        <w:tc>
          <w:tcPr>
            <w:tcW w:w="709" w:type="dxa"/>
            <w:tcBorders>
              <w:top w:val="single" w:sz="6" w:space="0" w:color="auto"/>
              <w:left w:val="single" w:sz="6" w:space="0" w:color="auto"/>
              <w:bottom w:val="single" w:sz="6" w:space="0" w:color="auto"/>
              <w:right w:val="single" w:sz="6" w:space="0" w:color="auto"/>
            </w:tcBorders>
          </w:tcPr>
          <w:p w14:paraId="7DEF97C6" w14:textId="77777777" w:rsidR="00CA23D0" w:rsidRPr="00E30642" w:rsidRDefault="00CA23D0" w:rsidP="00CA23D0">
            <w:pPr>
              <w:pStyle w:val="Texttabulky"/>
              <w:spacing w:line="240" w:lineRule="atLeast"/>
              <w:jc w:val="both"/>
              <w:rPr>
                <w:rFonts w:cs="Arial"/>
              </w:rPr>
            </w:pPr>
            <w:r w:rsidRPr="00E30642">
              <w:rPr>
                <w:rFonts w:cs="Arial"/>
              </w:rPr>
              <w:t>2 958</w:t>
            </w:r>
          </w:p>
        </w:tc>
        <w:tc>
          <w:tcPr>
            <w:tcW w:w="708" w:type="dxa"/>
            <w:tcBorders>
              <w:top w:val="single" w:sz="6" w:space="0" w:color="auto"/>
              <w:left w:val="single" w:sz="6" w:space="0" w:color="auto"/>
              <w:bottom w:val="single" w:sz="6" w:space="0" w:color="auto"/>
              <w:right w:val="single" w:sz="6" w:space="0" w:color="auto"/>
            </w:tcBorders>
          </w:tcPr>
          <w:p w14:paraId="6B9E86AE" w14:textId="77777777" w:rsidR="00CA23D0" w:rsidRPr="00E30642" w:rsidRDefault="00CA23D0" w:rsidP="00CA23D0">
            <w:pPr>
              <w:pStyle w:val="Texttabulky"/>
              <w:spacing w:line="240" w:lineRule="atLeast"/>
              <w:jc w:val="both"/>
              <w:rPr>
                <w:rFonts w:cs="Arial"/>
              </w:rPr>
            </w:pPr>
            <w:r w:rsidRPr="00E30642">
              <w:rPr>
                <w:rFonts w:cs="Arial"/>
              </w:rPr>
              <w:t>1 365</w:t>
            </w:r>
          </w:p>
        </w:tc>
        <w:tc>
          <w:tcPr>
            <w:tcW w:w="567" w:type="dxa"/>
            <w:tcBorders>
              <w:top w:val="single" w:sz="6" w:space="0" w:color="auto"/>
              <w:left w:val="single" w:sz="6" w:space="0" w:color="auto"/>
              <w:bottom w:val="single" w:sz="6" w:space="0" w:color="auto"/>
              <w:right w:val="single" w:sz="6" w:space="0" w:color="auto"/>
            </w:tcBorders>
          </w:tcPr>
          <w:p w14:paraId="3BA1B5E0" w14:textId="77777777" w:rsidR="00CA23D0" w:rsidRPr="00E30642" w:rsidRDefault="00CA23D0" w:rsidP="00CA23D0">
            <w:pPr>
              <w:pStyle w:val="Texttabulky"/>
              <w:spacing w:line="240" w:lineRule="atLeast"/>
              <w:jc w:val="both"/>
              <w:rPr>
                <w:rFonts w:cs="Arial"/>
              </w:rPr>
            </w:pPr>
            <w:r w:rsidRPr="00E30642">
              <w:rPr>
                <w:rFonts w:cs="Arial"/>
              </w:rPr>
              <w:t>2 286</w:t>
            </w:r>
          </w:p>
        </w:tc>
        <w:tc>
          <w:tcPr>
            <w:tcW w:w="709" w:type="dxa"/>
            <w:tcBorders>
              <w:top w:val="single" w:sz="6" w:space="0" w:color="auto"/>
              <w:left w:val="single" w:sz="6" w:space="0" w:color="auto"/>
              <w:bottom w:val="single" w:sz="6" w:space="0" w:color="auto"/>
              <w:right w:val="single" w:sz="6" w:space="0" w:color="auto"/>
            </w:tcBorders>
          </w:tcPr>
          <w:p w14:paraId="45CB252C" w14:textId="77777777" w:rsidR="00CA23D0" w:rsidRPr="00E30642" w:rsidRDefault="00CA23D0" w:rsidP="00CA23D0">
            <w:pPr>
              <w:pStyle w:val="Texttabulky"/>
              <w:spacing w:line="240" w:lineRule="atLeast"/>
              <w:jc w:val="both"/>
              <w:rPr>
                <w:rFonts w:cs="Arial"/>
              </w:rPr>
            </w:pPr>
            <w:r w:rsidRPr="00E30642">
              <w:rPr>
                <w:rFonts w:cs="Arial"/>
              </w:rPr>
              <w:t>3 651</w:t>
            </w:r>
          </w:p>
        </w:tc>
      </w:tr>
      <w:tr w:rsidR="00CA23D0" w:rsidRPr="00E30642" w14:paraId="18C7D13E" w14:textId="77777777" w:rsidTr="00CA23D0">
        <w:tc>
          <w:tcPr>
            <w:tcW w:w="900" w:type="dxa"/>
            <w:tcBorders>
              <w:top w:val="single" w:sz="6" w:space="0" w:color="auto"/>
              <w:left w:val="single" w:sz="6" w:space="0" w:color="auto"/>
              <w:bottom w:val="single" w:sz="6" w:space="0" w:color="auto"/>
              <w:right w:val="single" w:sz="6" w:space="0" w:color="auto"/>
            </w:tcBorders>
          </w:tcPr>
          <w:p w14:paraId="342CFD56" w14:textId="77777777" w:rsidR="00CA23D0" w:rsidRPr="00E30642" w:rsidRDefault="00CA23D0" w:rsidP="00CA23D0">
            <w:pPr>
              <w:pStyle w:val="Texttabulky"/>
              <w:spacing w:line="240" w:lineRule="atLeast"/>
              <w:jc w:val="both"/>
              <w:rPr>
                <w:rFonts w:cs="Arial"/>
              </w:rPr>
            </w:pPr>
            <w:r w:rsidRPr="00E30642">
              <w:rPr>
                <w:rFonts w:cs="Arial"/>
                <w:b/>
                <w:bCs/>
              </w:rPr>
              <w:t>80-84</w:t>
            </w:r>
          </w:p>
        </w:tc>
        <w:tc>
          <w:tcPr>
            <w:tcW w:w="559" w:type="dxa"/>
            <w:tcBorders>
              <w:top w:val="single" w:sz="6" w:space="0" w:color="auto"/>
              <w:left w:val="single" w:sz="6" w:space="0" w:color="auto"/>
              <w:bottom w:val="single" w:sz="6" w:space="0" w:color="auto"/>
              <w:right w:val="single" w:sz="6" w:space="0" w:color="auto"/>
            </w:tcBorders>
          </w:tcPr>
          <w:p w14:paraId="3CFF9D9D" w14:textId="77777777" w:rsidR="00CA23D0" w:rsidRPr="00E30642" w:rsidRDefault="00CA23D0" w:rsidP="00CA23D0">
            <w:pPr>
              <w:pStyle w:val="Texttabulky"/>
              <w:spacing w:line="240" w:lineRule="atLeast"/>
              <w:jc w:val="both"/>
              <w:rPr>
                <w:rFonts w:cs="Arial"/>
              </w:rPr>
            </w:pPr>
            <w:r w:rsidRPr="00E30642">
              <w:rPr>
                <w:rFonts w:cs="Arial"/>
              </w:rPr>
              <w:t>540</w:t>
            </w:r>
          </w:p>
        </w:tc>
        <w:tc>
          <w:tcPr>
            <w:tcW w:w="614" w:type="dxa"/>
            <w:tcBorders>
              <w:top w:val="single" w:sz="6" w:space="0" w:color="auto"/>
              <w:left w:val="single" w:sz="6" w:space="0" w:color="auto"/>
              <w:bottom w:val="single" w:sz="6" w:space="0" w:color="auto"/>
              <w:right w:val="single" w:sz="6" w:space="0" w:color="auto"/>
            </w:tcBorders>
          </w:tcPr>
          <w:p w14:paraId="354E73EA" w14:textId="77777777" w:rsidR="00CA23D0" w:rsidRPr="00E30642" w:rsidRDefault="00CA23D0" w:rsidP="00CA23D0">
            <w:pPr>
              <w:pStyle w:val="Texttabulky"/>
              <w:spacing w:line="240" w:lineRule="atLeast"/>
              <w:jc w:val="both"/>
              <w:rPr>
                <w:rFonts w:cs="Arial"/>
              </w:rPr>
            </w:pPr>
            <w:r w:rsidRPr="00E30642">
              <w:rPr>
                <w:rFonts w:cs="Arial"/>
              </w:rPr>
              <w:t>1 199</w:t>
            </w:r>
          </w:p>
        </w:tc>
        <w:tc>
          <w:tcPr>
            <w:tcW w:w="762" w:type="dxa"/>
            <w:tcBorders>
              <w:top w:val="single" w:sz="6" w:space="0" w:color="auto"/>
              <w:left w:val="single" w:sz="6" w:space="0" w:color="auto"/>
              <w:bottom w:val="single" w:sz="6" w:space="0" w:color="auto"/>
              <w:right w:val="single" w:sz="6" w:space="0" w:color="auto"/>
            </w:tcBorders>
          </w:tcPr>
          <w:p w14:paraId="1DC1B6B8" w14:textId="77777777" w:rsidR="00CA23D0" w:rsidRPr="00E30642" w:rsidRDefault="00CA23D0" w:rsidP="00CA23D0">
            <w:pPr>
              <w:pStyle w:val="Texttabulky"/>
              <w:spacing w:line="240" w:lineRule="atLeast"/>
              <w:jc w:val="both"/>
              <w:rPr>
                <w:rFonts w:cs="Arial"/>
              </w:rPr>
            </w:pPr>
            <w:r w:rsidRPr="00E30642">
              <w:rPr>
                <w:rFonts w:cs="Arial"/>
              </w:rPr>
              <w:t>1 739</w:t>
            </w:r>
          </w:p>
        </w:tc>
        <w:tc>
          <w:tcPr>
            <w:tcW w:w="709" w:type="dxa"/>
            <w:tcBorders>
              <w:top w:val="single" w:sz="6" w:space="0" w:color="auto"/>
              <w:left w:val="single" w:sz="6" w:space="0" w:color="auto"/>
              <w:bottom w:val="single" w:sz="6" w:space="0" w:color="auto"/>
              <w:right w:val="single" w:sz="6" w:space="0" w:color="auto"/>
            </w:tcBorders>
          </w:tcPr>
          <w:p w14:paraId="2B8B7B19" w14:textId="77777777" w:rsidR="00CA23D0" w:rsidRPr="00E30642" w:rsidRDefault="00CA23D0" w:rsidP="00CA23D0">
            <w:pPr>
              <w:pStyle w:val="Texttabulky"/>
              <w:spacing w:line="240" w:lineRule="atLeast"/>
              <w:jc w:val="both"/>
              <w:rPr>
                <w:rFonts w:cs="Arial"/>
              </w:rPr>
            </w:pPr>
            <w:r w:rsidRPr="00E30642">
              <w:rPr>
                <w:rFonts w:cs="Arial"/>
              </w:rPr>
              <w:t>421</w:t>
            </w:r>
          </w:p>
        </w:tc>
        <w:tc>
          <w:tcPr>
            <w:tcW w:w="567" w:type="dxa"/>
            <w:tcBorders>
              <w:top w:val="single" w:sz="6" w:space="0" w:color="auto"/>
              <w:left w:val="single" w:sz="6" w:space="0" w:color="auto"/>
              <w:bottom w:val="single" w:sz="6" w:space="0" w:color="auto"/>
              <w:right w:val="single" w:sz="6" w:space="0" w:color="auto"/>
            </w:tcBorders>
          </w:tcPr>
          <w:p w14:paraId="20FE4826" w14:textId="77777777" w:rsidR="00CA23D0" w:rsidRPr="00E30642" w:rsidRDefault="00CA23D0" w:rsidP="00CA23D0">
            <w:pPr>
              <w:pStyle w:val="Texttabulky"/>
              <w:spacing w:line="240" w:lineRule="atLeast"/>
              <w:jc w:val="both"/>
              <w:rPr>
                <w:rFonts w:cs="Arial"/>
              </w:rPr>
            </w:pPr>
            <w:r w:rsidRPr="00E30642">
              <w:rPr>
                <w:rFonts w:cs="Arial"/>
              </w:rPr>
              <w:t>951</w:t>
            </w:r>
          </w:p>
        </w:tc>
        <w:tc>
          <w:tcPr>
            <w:tcW w:w="709" w:type="dxa"/>
            <w:tcBorders>
              <w:top w:val="single" w:sz="6" w:space="0" w:color="auto"/>
              <w:left w:val="single" w:sz="6" w:space="0" w:color="auto"/>
              <w:bottom w:val="single" w:sz="6" w:space="0" w:color="auto"/>
              <w:right w:val="single" w:sz="6" w:space="0" w:color="auto"/>
            </w:tcBorders>
          </w:tcPr>
          <w:p w14:paraId="56229A04" w14:textId="77777777" w:rsidR="00CA23D0" w:rsidRPr="00E30642" w:rsidRDefault="00CA23D0" w:rsidP="00CA23D0">
            <w:pPr>
              <w:pStyle w:val="Texttabulky"/>
              <w:spacing w:line="240" w:lineRule="atLeast"/>
              <w:jc w:val="both"/>
              <w:rPr>
                <w:rFonts w:cs="Arial"/>
              </w:rPr>
            </w:pPr>
            <w:r w:rsidRPr="00E30642">
              <w:rPr>
                <w:rFonts w:cs="Arial"/>
              </w:rPr>
              <w:t>1 372</w:t>
            </w:r>
          </w:p>
        </w:tc>
        <w:tc>
          <w:tcPr>
            <w:tcW w:w="567" w:type="dxa"/>
            <w:tcBorders>
              <w:top w:val="single" w:sz="6" w:space="0" w:color="auto"/>
              <w:left w:val="single" w:sz="6" w:space="0" w:color="auto"/>
              <w:bottom w:val="single" w:sz="6" w:space="0" w:color="auto"/>
              <w:right w:val="single" w:sz="6" w:space="0" w:color="auto"/>
            </w:tcBorders>
          </w:tcPr>
          <w:p w14:paraId="087B7ED9" w14:textId="77777777" w:rsidR="00CA23D0" w:rsidRPr="00E30642" w:rsidRDefault="00CA23D0" w:rsidP="00CA23D0">
            <w:pPr>
              <w:pStyle w:val="Texttabulky"/>
              <w:spacing w:line="240" w:lineRule="atLeast"/>
              <w:jc w:val="both"/>
              <w:rPr>
                <w:rFonts w:cs="Arial"/>
              </w:rPr>
            </w:pPr>
            <w:r w:rsidRPr="00E30642">
              <w:rPr>
                <w:rFonts w:cs="Arial"/>
              </w:rPr>
              <w:t>533</w:t>
            </w:r>
          </w:p>
        </w:tc>
        <w:tc>
          <w:tcPr>
            <w:tcW w:w="567" w:type="dxa"/>
            <w:tcBorders>
              <w:top w:val="single" w:sz="6" w:space="0" w:color="auto"/>
              <w:left w:val="single" w:sz="6" w:space="0" w:color="auto"/>
              <w:bottom w:val="single" w:sz="6" w:space="0" w:color="auto"/>
              <w:right w:val="single" w:sz="6" w:space="0" w:color="auto"/>
            </w:tcBorders>
          </w:tcPr>
          <w:p w14:paraId="04BDF3D2" w14:textId="77777777" w:rsidR="00CA23D0" w:rsidRPr="00E30642" w:rsidRDefault="00CA23D0" w:rsidP="00CA23D0">
            <w:pPr>
              <w:pStyle w:val="Texttabulky"/>
              <w:spacing w:line="240" w:lineRule="atLeast"/>
              <w:jc w:val="both"/>
              <w:rPr>
                <w:rFonts w:cs="Arial"/>
              </w:rPr>
            </w:pPr>
            <w:r w:rsidRPr="00E30642">
              <w:rPr>
                <w:rFonts w:cs="Arial"/>
              </w:rPr>
              <w:t>1 314</w:t>
            </w:r>
          </w:p>
        </w:tc>
        <w:tc>
          <w:tcPr>
            <w:tcW w:w="709" w:type="dxa"/>
            <w:tcBorders>
              <w:top w:val="single" w:sz="6" w:space="0" w:color="auto"/>
              <w:left w:val="single" w:sz="6" w:space="0" w:color="auto"/>
              <w:bottom w:val="single" w:sz="6" w:space="0" w:color="auto"/>
              <w:right w:val="single" w:sz="6" w:space="0" w:color="auto"/>
            </w:tcBorders>
          </w:tcPr>
          <w:p w14:paraId="063F807B" w14:textId="77777777" w:rsidR="00CA23D0" w:rsidRPr="00E30642" w:rsidRDefault="00CA23D0" w:rsidP="00CA23D0">
            <w:pPr>
              <w:pStyle w:val="Texttabulky"/>
              <w:spacing w:line="240" w:lineRule="atLeast"/>
              <w:jc w:val="both"/>
              <w:rPr>
                <w:rFonts w:cs="Arial"/>
              </w:rPr>
            </w:pPr>
            <w:r w:rsidRPr="00E30642">
              <w:rPr>
                <w:rFonts w:cs="Arial"/>
              </w:rPr>
              <w:t>1 847</w:t>
            </w:r>
          </w:p>
        </w:tc>
        <w:tc>
          <w:tcPr>
            <w:tcW w:w="708" w:type="dxa"/>
            <w:tcBorders>
              <w:top w:val="single" w:sz="6" w:space="0" w:color="auto"/>
              <w:left w:val="single" w:sz="6" w:space="0" w:color="auto"/>
              <w:bottom w:val="single" w:sz="6" w:space="0" w:color="auto"/>
              <w:right w:val="single" w:sz="6" w:space="0" w:color="auto"/>
            </w:tcBorders>
          </w:tcPr>
          <w:p w14:paraId="4D30A335" w14:textId="77777777" w:rsidR="00CA23D0" w:rsidRPr="00E30642" w:rsidRDefault="00CA23D0" w:rsidP="00CA23D0">
            <w:pPr>
              <w:pStyle w:val="Texttabulky"/>
              <w:spacing w:line="240" w:lineRule="atLeast"/>
              <w:jc w:val="both"/>
              <w:rPr>
                <w:rFonts w:cs="Arial"/>
              </w:rPr>
            </w:pPr>
            <w:r w:rsidRPr="00E30642">
              <w:rPr>
                <w:rFonts w:cs="Arial"/>
              </w:rPr>
              <w:t>506</w:t>
            </w:r>
          </w:p>
        </w:tc>
        <w:tc>
          <w:tcPr>
            <w:tcW w:w="567" w:type="dxa"/>
            <w:tcBorders>
              <w:top w:val="single" w:sz="6" w:space="0" w:color="auto"/>
              <w:left w:val="single" w:sz="6" w:space="0" w:color="auto"/>
              <w:bottom w:val="single" w:sz="6" w:space="0" w:color="auto"/>
              <w:right w:val="single" w:sz="6" w:space="0" w:color="auto"/>
            </w:tcBorders>
          </w:tcPr>
          <w:p w14:paraId="5DF20EC1" w14:textId="77777777" w:rsidR="00CA23D0" w:rsidRPr="00E30642" w:rsidRDefault="00CA23D0" w:rsidP="00CA23D0">
            <w:pPr>
              <w:pStyle w:val="Texttabulky"/>
              <w:spacing w:line="240" w:lineRule="atLeast"/>
              <w:jc w:val="both"/>
              <w:rPr>
                <w:rFonts w:cs="Arial"/>
              </w:rPr>
            </w:pPr>
            <w:r w:rsidRPr="00E30642">
              <w:rPr>
                <w:rFonts w:cs="Arial"/>
              </w:rPr>
              <w:t>1 096</w:t>
            </w:r>
          </w:p>
        </w:tc>
        <w:tc>
          <w:tcPr>
            <w:tcW w:w="709" w:type="dxa"/>
            <w:tcBorders>
              <w:top w:val="single" w:sz="6" w:space="0" w:color="auto"/>
              <w:left w:val="single" w:sz="6" w:space="0" w:color="auto"/>
              <w:bottom w:val="single" w:sz="6" w:space="0" w:color="auto"/>
              <w:right w:val="single" w:sz="6" w:space="0" w:color="auto"/>
            </w:tcBorders>
          </w:tcPr>
          <w:p w14:paraId="2A2CEE89" w14:textId="77777777" w:rsidR="00CA23D0" w:rsidRPr="00E30642" w:rsidRDefault="00CA23D0" w:rsidP="00CA23D0">
            <w:pPr>
              <w:pStyle w:val="Texttabulky"/>
              <w:spacing w:line="240" w:lineRule="atLeast"/>
              <w:jc w:val="both"/>
              <w:rPr>
                <w:rFonts w:cs="Arial"/>
              </w:rPr>
            </w:pPr>
            <w:r w:rsidRPr="00E30642">
              <w:rPr>
                <w:rFonts w:cs="Arial"/>
              </w:rPr>
              <w:t>1 602</w:t>
            </w:r>
          </w:p>
        </w:tc>
      </w:tr>
      <w:tr w:rsidR="00CA23D0" w:rsidRPr="00E30642" w14:paraId="58312458" w14:textId="77777777" w:rsidTr="00CA23D0">
        <w:tc>
          <w:tcPr>
            <w:tcW w:w="900" w:type="dxa"/>
            <w:tcBorders>
              <w:top w:val="single" w:sz="6" w:space="0" w:color="auto"/>
              <w:left w:val="single" w:sz="6" w:space="0" w:color="auto"/>
              <w:bottom w:val="single" w:sz="6" w:space="0" w:color="auto"/>
              <w:right w:val="single" w:sz="6" w:space="0" w:color="auto"/>
            </w:tcBorders>
          </w:tcPr>
          <w:p w14:paraId="44B2F856" w14:textId="77777777" w:rsidR="00CA23D0" w:rsidRPr="00E30642" w:rsidRDefault="00CA23D0" w:rsidP="00CA23D0">
            <w:pPr>
              <w:pStyle w:val="Texttabulky"/>
              <w:spacing w:line="240" w:lineRule="atLeast"/>
              <w:jc w:val="both"/>
              <w:rPr>
                <w:rFonts w:cs="Arial"/>
              </w:rPr>
            </w:pPr>
            <w:r w:rsidRPr="00E30642">
              <w:rPr>
                <w:rFonts w:cs="Arial"/>
                <w:b/>
                <w:bCs/>
              </w:rPr>
              <w:t>85+</w:t>
            </w:r>
          </w:p>
        </w:tc>
        <w:tc>
          <w:tcPr>
            <w:tcW w:w="559" w:type="dxa"/>
            <w:tcBorders>
              <w:top w:val="single" w:sz="6" w:space="0" w:color="auto"/>
              <w:left w:val="single" w:sz="6" w:space="0" w:color="auto"/>
              <w:bottom w:val="single" w:sz="6" w:space="0" w:color="auto"/>
              <w:right w:val="single" w:sz="6" w:space="0" w:color="auto"/>
            </w:tcBorders>
          </w:tcPr>
          <w:p w14:paraId="20EDD9A7" w14:textId="77777777" w:rsidR="00CA23D0" w:rsidRPr="00E30642" w:rsidRDefault="00CA23D0" w:rsidP="00CA23D0">
            <w:pPr>
              <w:pStyle w:val="Texttabulky"/>
              <w:spacing w:line="240" w:lineRule="atLeast"/>
              <w:jc w:val="both"/>
              <w:rPr>
                <w:rFonts w:cs="Arial"/>
              </w:rPr>
            </w:pPr>
            <w:r w:rsidRPr="00E30642">
              <w:rPr>
                <w:rFonts w:cs="Arial"/>
              </w:rPr>
              <w:t>180</w:t>
            </w:r>
          </w:p>
        </w:tc>
        <w:tc>
          <w:tcPr>
            <w:tcW w:w="614" w:type="dxa"/>
            <w:tcBorders>
              <w:top w:val="single" w:sz="6" w:space="0" w:color="auto"/>
              <w:left w:val="single" w:sz="6" w:space="0" w:color="auto"/>
              <w:bottom w:val="single" w:sz="6" w:space="0" w:color="auto"/>
              <w:right w:val="single" w:sz="6" w:space="0" w:color="auto"/>
            </w:tcBorders>
          </w:tcPr>
          <w:p w14:paraId="5FC3B069" w14:textId="77777777" w:rsidR="00CA23D0" w:rsidRPr="00E30642" w:rsidRDefault="00CA23D0" w:rsidP="00CA23D0">
            <w:pPr>
              <w:pStyle w:val="Texttabulky"/>
              <w:spacing w:line="240" w:lineRule="atLeast"/>
              <w:jc w:val="both"/>
              <w:rPr>
                <w:rFonts w:cs="Arial"/>
              </w:rPr>
            </w:pPr>
            <w:r w:rsidRPr="00E30642">
              <w:rPr>
                <w:rFonts w:cs="Arial"/>
              </w:rPr>
              <w:t>601</w:t>
            </w:r>
          </w:p>
        </w:tc>
        <w:tc>
          <w:tcPr>
            <w:tcW w:w="762" w:type="dxa"/>
            <w:tcBorders>
              <w:top w:val="single" w:sz="6" w:space="0" w:color="auto"/>
              <w:left w:val="single" w:sz="6" w:space="0" w:color="auto"/>
              <w:bottom w:val="single" w:sz="6" w:space="0" w:color="auto"/>
              <w:right w:val="single" w:sz="6" w:space="0" w:color="auto"/>
            </w:tcBorders>
          </w:tcPr>
          <w:p w14:paraId="715396B1" w14:textId="77777777" w:rsidR="00CA23D0" w:rsidRPr="00E30642" w:rsidRDefault="00CA23D0" w:rsidP="00CA23D0">
            <w:pPr>
              <w:pStyle w:val="Texttabulky"/>
              <w:spacing w:line="240" w:lineRule="atLeast"/>
              <w:jc w:val="both"/>
              <w:rPr>
                <w:rFonts w:cs="Arial"/>
              </w:rPr>
            </w:pPr>
            <w:r w:rsidRPr="00E30642">
              <w:rPr>
                <w:rFonts w:cs="Arial"/>
              </w:rPr>
              <w:t>781</w:t>
            </w:r>
          </w:p>
        </w:tc>
        <w:tc>
          <w:tcPr>
            <w:tcW w:w="709" w:type="dxa"/>
            <w:tcBorders>
              <w:top w:val="single" w:sz="6" w:space="0" w:color="auto"/>
              <w:left w:val="single" w:sz="6" w:space="0" w:color="auto"/>
              <w:bottom w:val="single" w:sz="6" w:space="0" w:color="auto"/>
              <w:right w:val="single" w:sz="6" w:space="0" w:color="auto"/>
            </w:tcBorders>
          </w:tcPr>
          <w:p w14:paraId="2EC8E961" w14:textId="77777777" w:rsidR="00CA23D0" w:rsidRPr="00E30642" w:rsidRDefault="00CA23D0" w:rsidP="00CA23D0">
            <w:pPr>
              <w:pStyle w:val="Texttabulky"/>
              <w:spacing w:line="240" w:lineRule="atLeast"/>
              <w:jc w:val="both"/>
              <w:rPr>
                <w:rFonts w:cs="Arial"/>
              </w:rPr>
            </w:pPr>
            <w:r w:rsidRPr="00E30642">
              <w:rPr>
                <w:rFonts w:cs="Arial"/>
              </w:rPr>
              <w:t>210</w:t>
            </w:r>
          </w:p>
        </w:tc>
        <w:tc>
          <w:tcPr>
            <w:tcW w:w="567" w:type="dxa"/>
            <w:tcBorders>
              <w:top w:val="single" w:sz="6" w:space="0" w:color="auto"/>
              <w:left w:val="single" w:sz="6" w:space="0" w:color="auto"/>
              <w:bottom w:val="single" w:sz="6" w:space="0" w:color="auto"/>
              <w:right w:val="single" w:sz="6" w:space="0" w:color="auto"/>
            </w:tcBorders>
          </w:tcPr>
          <w:p w14:paraId="6CAE096C" w14:textId="77777777" w:rsidR="00CA23D0" w:rsidRPr="00E30642" w:rsidRDefault="00CA23D0" w:rsidP="00CA23D0">
            <w:pPr>
              <w:pStyle w:val="Texttabulky"/>
              <w:spacing w:line="240" w:lineRule="atLeast"/>
              <w:jc w:val="both"/>
              <w:rPr>
                <w:rFonts w:cs="Arial"/>
              </w:rPr>
            </w:pPr>
            <w:r w:rsidRPr="00E30642">
              <w:rPr>
                <w:rFonts w:cs="Arial"/>
              </w:rPr>
              <w:t>642</w:t>
            </w:r>
          </w:p>
        </w:tc>
        <w:tc>
          <w:tcPr>
            <w:tcW w:w="709" w:type="dxa"/>
            <w:tcBorders>
              <w:top w:val="single" w:sz="6" w:space="0" w:color="auto"/>
              <w:left w:val="single" w:sz="6" w:space="0" w:color="auto"/>
              <w:bottom w:val="single" w:sz="6" w:space="0" w:color="auto"/>
              <w:right w:val="single" w:sz="6" w:space="0" w:color="auto"/>
            </w:tcBorders>
          </w:tcPr>
          <w:p w14:paraId="6BAC769B" w14:textId="77777777" w:rsidR="00CA23D0" w:rsidRPr="00E30642" w:rsidRDefault="00CA23D0" w:rsidP="00CA23D0">
            <w:pPr>
              <w:pStyle w:val="Texttabulky"/>
              <w:spacing w:line="240" w:lineRule="atLeast"/>
              <w:jc w:val="both"/>
              <w:rPr>
                <w:rFonts w:cs="Arial"/>
              </w:rPr>
            </w:pPr>
            <w:r w:rsidRPr="00E30642">
              <w:rPr>
                <w:rFonts w:cs="Arial"/>
              </w:rPr>
              <w:t>852</w:t>
            </w:r>
          </w:p>
        </w:tc>
        <w:tc>
          <w:tcPr>
            <w:tcW w:w="567" w:type="dxa"/>
            <w:tcBorders>
              <w:top w:val="single" w:sz="6" w:space="0" w:color="auto"/>
              <w:left w:val="single" w:sz="6" w:space="0" w:color="auto"/>
              <w:bottom w:val="single" w:sz="6" w:space="0" w:color="auto"/>
              <w:right w:val="single" w:sz="6" w:space="0" w:color="auto"/>
            </w:tcBorders>
          </w:tcPr>
          <w:p w14:paraId="524F1A9C" w14:textId="77777777" w:rsidR="00CA23D0" w:rsidRPr="00E30642" w:rsidRDefault="00CA23D0" w:rsidP="00CA23D0">
            <w:pPr>
              <w:pStyle w:val="Texttabulky"/>
              <w:spacing w:line="240" w:lineRule="atLeast"/>
              <w:jc w:val="both"/>
              <w:rPr>
                <w:rFonts w:cs="Arial"/>
              </w:rPr>
            </w:pPr>
            <w:r w:rsidRPr="00E30642">
              <w:rPr>
                <w:rFonts w:cs="Arial"/>
              </w:rPr>
              <w:t>226</w:t>
            </w:r>
          </w:p>
        </w:tc>
        <w:tc>
          <w:tcPr>
            <w:tcW w:w="567" w:type="dxa"/>
            <w:tcBorders>
              <w:top w:val="single" w:sz="6" w:space="0" w:color="auto"/>
              <w:left w:val="single" w:sz="6" w:space="0" w:color="auto"/>
              <w:bottom w:val="single" w:sz="6" w:space="0" w:color="auto"/>
              <w:right w:val="single" w:sz="6" w:space="0" w:color="auto"/>
            </w:tcBorders>
          </w:tcPr>
          <w:p w14:paraId="3FBCA7B7" w14:textId="77777777" w:rsidR="00CA23D0" w:rsidRPr="00E30642" w:rsidRDefault="00CA23D0" w:rsidP="00CA23D0">
            <w:pPr>
              <w:pStyle w:val="Texttabulky"/>
              <w:spacing w:line="240" w:lineRule="atLeast"/>
              <w:jc w:val="both"/>
              <w:rPr>
                <w:rFonts w:cs="Arial"/>
              </w:rPr>
            </w:pPr>
            <w:r w:rsidRPr="00E30642">
              <w:rPr>
                <w:rFonts w:cs="Arial"/>
              </w:rPr>
              <w:t>810</w:t>
            </w:r>
          </w:p>
        </w:tc>
        <w:tc>
          <w:tcPr>
            <w:tcW w:w="709" w:type="dxa"/>
            <w:tcBorders>
              <w:top w:val="single" w:sz="6" w:space="0" w:color="auto"/>
              <w:left w:val="single" w:sz="6" w:space="0" w:color="auto"/>
              <w:bottom w:val="single" w:sz="6" w:space="0" w:color="auto"/>
              <w:right w:val="single" w:sz="6" w:space="0" w:color="auto"/>
            </w:tcBorders>
          </w:tcPr>
          <w:p w14:paraId="437AF78A" w14:textId="77777777" w:rsidR="00CA23D0" w:rsidRPr="00E30642" w:rsidRDefault="00CA23D0" w:rsidP="00CA23D0">
            <w:pPr>
              <w:pStyle w:val="Texttabulky"/>
              <w:spacing w:line="240" w:lineRule="atLeast"/>
              <w:jc w:val="both"/>
              <w:rPr>
                <w:rFonts w:cs="Arial"/>
              </w:rPr>
            </w:pPr>
            <w:r w:rsidRPr="00E30642">
              <w:rPr>
                <w:rFonts w:cs="Arial"/>
              </w:rPr>
              <w:t>1 036</w:t>
            </w:r>
          </w:p>
        </w:tc>
        <w:tc>
          <w:tcPr>
            <w:tcW w:w="708" w:type="dxa"/>
            <w:tcBorders>
              <w:top w:val="single" w:sz="6" w:space="0" w:color="auto"/>
              <w:left w:val="single" w:sz="6" w:space="0" w:color="auto"/>
              <w:bottom w:val="single" w:sz="6" w:space="0" w:color="auto"/>
              <w:right w:val="single" w:sz="6" w:space="0" w:color="auto"/>
            </w:tcBorders>
          </w:tcPr>
          <w:p w14:paraId="5F773DBA" w14:textId="77777777" w:rsidR="00CA23D0" w:rsidRPr="00E30642" w:rsidRDefault="00CA23D0" w:rsidP="00CA23D0">
            <w:pPr>
              <w:pStyle w:val="Texttabulky"/>
              <w:spacing w:line="240" w:lineRule="atLeast"/>
              <w:jc w:val="both"/>
              <w:rPr>
                <w:rFonts w:cs="Arial"/>
              </w:rPr>
            </w:pPr>
            <w:r w:rsidRPr="00E30642">
              <w:rPr>
                <w:rFonts w:cs="Arial"/>
              </w:rPr>
              <w:t>208</w:t>
            </w:r>
          </w:p>
        </w:tc>
        <w:tc>
          <w:tcPr>
            <w:tcW w:w="567" w:type="dxa"/>
            <w:tcBorders>
              <w:top w:val="single" w:sz="6" w:space="0" w:color="auto"/>
              <w:left w:val="single" w:sz="6" w:space="0" w:color="auto"/>
              <w:bottom w:val="single" w:sz="6" w:space="0" w:color="auto"/>
              <w:right w:val="single" w:sz="6" w:space="0" w:color="auto"/>
            </w:tcBorders>
          </w:tcPr>
          <w:p w14:paraId="7C87E52E" w14:textId="77777777" w:rsidR="00CA23D0" w:rsidRPr="00E30642" w:rsidRDefault="00CA23D0" w:rsidP="00CA23D0">
            <w:pPr>
              <w:pStyle w:val="Texttabulky"/>
              <w:spacing w:line="240" w:lineRule="atLeast"/>
              <w:jc w:val="both"/>
              <w:rPr>
                <w:rFonts w:cs="Arial"/>
              </w:rPr>
            </w:pPr>
            <w:r w:rsidRPr="00E30642">
              <w:rPr>
                <w:rFonts w:cs="Arial"/>
              </w:rPr>
              <w:t>644</w:t>
            </w:r>
          </w:p>
        </w:tc>
        <w:tc>
          <w:tcPr>
            <w:tcW w:w="709" w:type="dxa"/>
            <w:tcBorders>
              <w:top w:val="single" w:sz="6" w:space="0" w:color="auto"/>
              <w:left w:val="single" w:sz="6" w:space="0" w:color="auto"/>
              <w:bottom w:val="single" w:sz="6" w:space="0" w:color="auto"/>
              <w:right w:val="single" w:sz="6" w:space="0" w:color="auto"/>
            </w:tcBorders>
          </w:tcPr>
          <w:p w14:paraId="04700309" w14:textId="77777777" w:rsidR="00CA23D0" w:rsidRPr="00E30642" w:rsidRDefault="00CA23D0" w:rsidP="00CA23D0">
            <w:pPr>
              <w:pStyle w:val="Texttabulky"/>
              <w:spacing w:line="240" w:lineRule="atLeast"/>
              <w:jc w:val="both"/>
              <w:rPr>
                <w:rFonts w:cs="Arial"/>
              </w:rPr>
            </w:pPr>
            <w:r w:rsidRPr="00E30642">
              <w:rPr>
                <w:rFonts w:cs="Arial"/>
              </w:rPr>
              <w:t>852</w:t>
            </w:r>
          </w:p>
        </w:tc>
      </w:tr>
      <w:tr w:rsidR="00CA23D0" w:rsidRPr="00E30642" w14:paraId="6BE8036E" w14:textId="77777777" w:rsidTr="00CA23D0">
        <w:tc>
          <w:tcPr>
            <w:tcW w:w="900" w:type="dxa"/>
            <w:tcBorders>
              <w:top w:val="single" w:sz="6" w:space="0" w:color="auto"/>
              <w:left w:val="single" w:sz="6" w:space="0" w:color="auto"/>
              <w:bottom w:val="single" w:sz="6" w:space="0" w:color="auto"/>
              <w:right w:val="single" w:sz="6" w:space="0" w:color="auto"/>
            </w:tcBorders>
          </w:tcPr>
          <w:p w14:paraId="704C2705" w14:textId="77777777" w:rsidR="00CA23D0" w:rsidRPr="00E30642" w:rsidRDefault="00CA23D0" w:rsidP="00CA23D0">
            <w:pPr>
              <w:pStyle w:val="Texttabulky"/>
              <w:spacing w:line="240" w:lineRule="atLeast"/>
              <w:jc w:val="both"/>
              <w:rPr>
                <w:rFonts w:cs="Arial"/>
              </w:rPr>
            </w:pPr>
            <w:r w:rsidRPr="00E30642">
              <w:rPr>
                <w:rFonts w:cs="Arial"/>
                <w:b/>
                <w:bCs/>
              </w:rPr>
              <w:t>úhrn</w:t>
            </w:r>
          </w:p>
        </w:tc>
        <w:tc>
          <w:tcPr>
            <w:tcW w:w="559" w:type="dxa"/>
            <w:tcBorders>
              <w:top w:val="single" w:sz="6" w:space="0" w:color="auto"/>
              <w:left w:val="single" w:sz="6" w:space="0" w:color="auto"/>
              <w:bottom w:val="single" w:sz="6" w:space="0" w:color="auto"/>
              <w:right w:val="single" w:sz="6" w:space="0" w:color="auto"/>
            </w:tcBorders>
          </w:tcPr>
          <w:p w14:paraId="3481EFF7" w14:textId="77777777" w:rsidR="00CA23D0" w:rsidRPr="00E30642" w:rsidRDefault="00CA23D0" w:rsidP="00CA23D0">
            <w:pPr>
              <w:pStyle w:val="Texttabulky"/>
              <w:spacing w:line="240" w:lineRule="atLeast"/>
              <w:jc w:val="both"/>
              <w:rPr>
                <w:rFonts w:cs="Arial"/>
              </w:rPr>
            </w:pPr>
            <w:r w:rsidRPr="00E30642">
              <w:rPr>
                <w:rFonts w:cs="Arial"/>
                <w:b/>
                <w:bCs/>
              </w:rPr>
              <w:t>65 653</w:t>
            </w:r>
          </w:p>
        </w:tc>
        <w:tc>
          <w:tcPr>
            <w:tcW w:w="614" w:type="dxa"/>
            <w:tcBorders>
              <w:top w:val="single" w:sz="6" w:space="0" w:color="auto"/>
              <w:left w:val="single" w:sz="6" w:space="0" w:color="auto"/>
              <w:bottom w:val="single" w:sz="6" w:space="0" w:color="auto"/>
              <w:right w:val="single" w:sz="6" w:space="0" w:color="auto"/>
            </w:tcBorders>
          </w:tcPr>
          <w:p w14:paraId="77DFA806" w14:textId="77777777" w:rsidR="00CA23D0" w:rsidRPr="00E30642" w:rsidRDefault="00CA23D0" w:rsidP="00CA23D0">
            <w:pPr>
              <w:pStyle w:val="Texttabulky"/>
              <w:spacing w:line="240" w:lineRule="atLeast"/>
              <w:jc w:val="both"/>
              <w:rPr>
                <w:rFonts w:cs="Arial"/>
              </w:rPr>
            </w:pPr>
            <w:r w:rsidRPr="00E30642">
              <w:rPr>
                <w:rFonts w:cs="Arial"/>
                <w:b/>
                <w:bCs/>
              </w:rPr>
              <w:t>68 836</w:t>
            </w:r>
          </w:p>
        </w:tc>
        <w:tc>
          <w:tcPr>
            <w:tcW w:w="762" w:type="dxa"/>
            <w:tcBorders>
              <w:top w:val="single" w:sz="6" w:space="0" w:color="auto"/>
              <w:left w:val="single" w:sz="6" w:space="0" w:color="auto"/>
              <w:bottom w:val="single" w:sz="6" w:space="0" w:color="auto"/>
              <w:right w:val="single" w:sz="6" w:space="0" w:color="auto"/>
            </w:tcBorders>
          </w:tcPr>
          <w:p w14:paraId="5A3DF174" w14:textId="77777777" w:rsidR="00CA23D0" w:rsidRPr="00E30642" w:rsidRDefault="00CA23D0" w:rsidP="00CA23D0">
            <w:pPr>
              <w:pStyle w:val="Texttabulky"/>
              <w:spacing w:line="240" w:lineRule="atLeast"/>
              <w:jc w:val="both"/>
              <w:rPr>
                <w:rFonts w:cs="Arial"/>
              </w:rPr>
            </w:pPr>
            <w:r w:rsidRPr="00E30642">
              <w:rPr>
                <w:rFonts w:cs="Arial"/>
                <w:b/>
                <w:bCs/>
              </w:rPr>
              <w:t>134 489</w:t>
            </w:r>
          </w:p>
        </w:tc>
        <w:tc>
          <w:tcPr>
            <w:tcW w:w="709" w:type="dxa"/>
            <w:tcBorders>
              <w:top w:val="single" w:sz="6" w:space="0" w:color="auto"/>
              <w:left w:val="single" w:sz="6" w:space="0" w:color="auto"/>
              <w:bottom w:val="single" w:sz="6" w:space="0" w:color="auto"/>
              <w:right w:val="single" w:sz="6" w:space="0" w:color="auto"/>
            </w:tcBorders>
          </w:tcPr>
          <w:p w14:paraId="1564D1F9" w14:textId="77777777" w:rsidR="00CA23D0" w:rsidRPr="00E30642" w:rsidRDefault="00CA23D0" w:rsidP="00CA23D0">
            <w:pPr>
              <w:pStyle w:val="Texttabulky"/>
              <w:spacing w:line="240" w:lineRule="atLeast"/>
              <w:jc w:val="both"/>
              <w:rPr>
                <w:rFonts w:cs="Arial"/>
              </w:rPr>
            </w:pPr>
            <w:r w:rsidRPr="00E30642">
              <w:rPr>
                <w:rFonts w:cs="Arial"/>
                <w:b/>
                <w:bCs/>
              </w:rPr>
              <w:t>66 466</w:t>
            </w:r>
          </w:p>
        </w:tc>
        <w:tc>
          <w:tcPr>
            <w:tcW w:w="567" w:type="dxa"/>
            <w:tcBorders>
              <w:top w:val="single" w:sz="6" w:space="0" w:color="auto"/>
              <w:left w:val="single" w:sz="6" w:space="0" w:color="auto"/>
              <w:bottom w:val="single" w:sz="6" w:space="0" w:color="auto"/>
              <w:right w:val="single" w:sz="6" w:space="0" w:color="auto"/>
            </w:tcBorders>
          </w:tcPr>
          <w:p w14:paraId="57D80756" w14:textId="77777777" w:rsidR="00CA23D0" w:rsidRPr="00E30642" w:rsidRDefault="00CA23D0" w:rsidP="00CA23D0">
            <w:pPr>
              <w:pStyle w:val="Texttabulky"/>
              <w:spacing w:line="240" w:lineRule="atLeast"/>
              <w:jc w:val="both"/>
              <w:rPr>
                <w:rFonts w:cs="Arial"/>
              </w:rPr>
            </w:pPr>
            <w:r w:rsidRPr="00E30642">
              <w:rPr>
                <w:rFonts w:cs="Arial"/>
                <w:b/>
                <w:bCs/>
              </w:rPr>
              <w:t>69 520</w:t>
            </w:r>
          </w:p>
        </w:tc>
        <w:tc>
          <w:tcPr>
            <w:tcW w:w="709" w:type="dxa"/>
            <w:tcBorders>
              <w:top w:val="single" w:sz="6" w:space="0" w:color="auto"/>
              <w:left w:val="single" w:sz="6" w:space="0" w:color="auto"/>
              <w:bottom w:val="single" w:sz="6" w:space="0" w:color="auto"/>
              <w:right w:val="single" w:sz="6" w:space="0" w:color="auto"/>
            </w:tcBorders>
          </w:tcPr>
          <w:p w14:paraId="159E4BD5" w14:textId="77777777" w:rsidR="00CA23D0" w:rsidRPr="00E30642" w:rsidRDefault="00CA23D0" w:rsidP="00CA23D0">
            <w:pPr>
              <w:pStyle w:val="Texttabulky"/>
              <w:spacing w:line="240" w:lineRule="atLeast"/>
              <w:jc w:val="both"/>
              <w:rPr>
                <w:rFonts w:cs="Arial"/>
              </w:rPr>
            </w:pPr>
            <w:r w:rsidRPr="00E30642">
              <w:rPr>
                <w:rFonts w:cs="Arial"/>
                <w:b/>
                <w:bCs/>
              </w:rPr>
              <w:t>135 986</w:t>
            </w:r>
          </w:p>
        </w:tc>
        <w:tc>
          <w:tcPr>
            <w:tcW w:w="567" w:type="dxa"/>
            <w:tcBorders>
              <w:top w:val="single" w:sz="6" w:space="0" w:color="auto"/>
              <w:left w:val="single" w:sz="6" w:space="0" w:color="auto"/>
              <w:bottom w:val="single" w:sz="6" w:space="0" w:color="auto"/>
              <w:right w:val="single" w:sz="6" w:space="0" w:color="auto"/>
            </w:tcBorders>
          </w:tcPr>
          <w:p w14:paraId="74CFD8D5" w14:textId="77777777" w:rsidR="00CA23D0" w:rsidRPr="00E30642" w:rsidRDefault="00CA23D0" w:rsidP="00CA23D0">
            <w:pPr>
              <w:pStyle w:val="Texttabulky"/>
              <w:spacing w:line="240" w:lineRule="atLeast"/>
              <w:jc w:val="both"/>
              <w:rPr>
                <w:rFonts w:cs="Arial"/>
              </w:rPr>
            </w:pPr>
            <w:r w:rsidRPr="00E30642">
              <w:rPr>
                <w:rFonts w:cs="Arial"/>
                <w:b/>
                <w:bCs/>
              </w:rPr>
              <w:t>66 317</w:t>
            </w:r>
          </w:p>
        </w:tc>
        <w:tc>
          <w:tcPr>
            <w:tcW w:w="567" w:type="dxa"/>
            <w:tcBorders>
              <w:top w:val="single" w:sz="6" w:space="0" w:color="auto"/>
              <w:left w:val="single" w:sz="6" w:space="0" w:color="auto"/>
              <w:bottom w:val="single" w:sz="6" w:space="0" w:color="auto"/>
              <w:right w:val="single" w:sz="6" w:space="0" w:color="auto"/>
            </w:tcBorders>
          </w:tcPr>
          <w:p w14:paraId="64BE54E5" w14:textId="77777777" w:rsidR="00CA23D0" w:rsidRPr="00E30642" w:rsidRDefault="00CA23D0" w:rsidP="00CA23D0">
            <w:pPr>
              <w:pStyle w:val="Texttabulky"/>
              <w:spacing w:line="240" w:lineRule="atLeast"/>
              <w:jc w:val="both"/>
              <w:rPr>
                <w:rFonts w:cs="Arial"/>
              </w:rPr>
            </w:pPr>
            <w:r w:rsidRPr="00E30642">
              <w:rPr>
                <w:rFonts w:cs="Arial"/>
                <w:b/>
                <w:bCs/>
              </w:rPr>
              <w:t>69 254</w:t>
            </w:r>
          </w:p>
        </w:tc>
        <w:tc>
          <w:tcPr>
            <w:tcW w:w="709" w:type="dxa"/>
            <w:tcBorders>
              <w:top w:val="single" w:sz="6" w:space="0" w:color="auto"/>
              <w:left w:val="single" w:sz="6" w:space="0" w:color="auto"/>
              <w:bottom w:val="single" w:sz="6" w:space="0" w:color="auto"/>
              <w:right w:val="single" w:sz="6" w:space="0" w:color="auto"/>
            </w:tcBorders>
          </w:tcPr>
          <w:p w14:paraId="74CBB638" w14:textId="77777777" w:rsidR="00CA23D0" w:rsidRPr="00E30642" w:rsidRDefault="00CA23D0" w:rsidP="00CA23D0">
            <w:pPr>
              <w:pStyle w:val="Texttabulky"/>
              <w:spacing w:line="240" w:lineRule="atLeast"/>
              <w:jc w:val="both"/>
              <w:rPr>
                <w:rFonts w:cs="Arial"/>
              </w:rPr>
            </w:pPr>
            <w:r w:rsidRPr="00E30642">
              <w:rPr>
                <w:rFonts w:cs="Arial"/>
                <w:b/>
                <w:bCs/>
              </w:rPr>
              <w:t>135 571</w:t>
            </w:r>
          </w:p>
        </w:tc>
        <w:tc>
          <w:tcPr>
            <w:tcW w:w="708" w:type="dxa"/>
            <w:tcBorders>
              <w:top w:val="single" w:sz="6" w:space="0" w:color="auto"/>
              <w:left w:val="single" w:sz="6" w:space="0" w:color="auto"/>
              <w:bottom w:val="single" w:sz="6" w:space="0" w:color="auto"/>
              <w:right w:val="single" w:sz="6" w:space="0" w:color="auto"/>
            </w:tcBorders>
          </w:tcPr>
          <w:p w14:paraId="461A8B2A" w14:textId="77777777" w:rsidR="00CA23D0" w:rsidRPr="00E30642" w:rsidRDefault="00CA23D0" w:rsidP="00CA23D0">
            <w:pPr>
              <w:pStyle w:val="Texttabulky"/>
              <w:spacing w:line="240" w:lineRule="atLeast"/>
              <w:jc w:val="both"/>
              <w:rPr>
                <w:rFonts w:cs="Arial"/>
              </w:rPr>
            </w:pPr>
            <w:r w:rsidRPr="00E30642">
              <w:rPr>
                <w:rFonts w:cs="Arial"/>
                <w:b/>
                <w:bCs/>
              </w:rPr>
              <w:t>64 330</w:t>
            </w:r>
          </w:p>
        </w:tc>
        <w:tc>
          <w:tcPr>
            <w:tcW w:w="567" w:type="dxa"/>
            <w:tcBorders>
              <w:top w:val="single" w:sz="6" w:space="0" w:color="auto"/>
              <w:left w:val="single" w:sz="6" w:space="0" w:color="auto"/>
              <w:bottom w:val="single" w:sz="6" w:space="0" w:color="auto"/>
              <w:right w:val="single" w:sz="6" w:space="0" w:color="auto"/>
            </w:tcBorders>
          </w:tcPr>
          <w:p w14:paraId="035997D0" w14:textId="77777777" w:rsidR="00CA23D0" w:rsidRPr="00E30642" w:rsidRDefault="00CA23D0" w:rsidP="00CA23D0">
            <w:pPr>
              <w:pStyle w:val="Texttabulky"/>
              <w:spacing w:line="240" w:lineRule="atLeast"/>
              <w:jc w:val="both"/>
              <w:rPr>
                <w:rFonts w:cs="Arial"/>
              </w:rPr>
            </w:pPr>
            <w:r w:rsidRPr="00E30642">
              <w:rPr>
                <w:rFonts w:cs="Arial"/>
                <w:b/>
                <w:bCs/>
              </w:rPr>
              <w:t>67 658</w:t>
            </w:r>
          </w:p>
        </w:tc>
        <w:tc>
          <w:tcPr>
            <w:tcW w:w="709" w:type="dxa"/>
            <w:tcBorders>
              <w:top w:val="single" w:sz="6" w:space="0" w:color="auto"/>
              <w:left w:val="single" w:sz="6" w:space="0" w:color="auto"/>
              <w:bottom w:val="single" w:sz="6" w:space="0" w:color="auto"/>
              <w:right w:val="single" w:sz="6" w:space="0" w:color="auto"/>
            </w:tcBorders>
          </w:tcPr>
          <w:p w14:paraId="1F21B9F7" w14:textId="77777777" w:rsidR="00CA23D0" w:rsidRPr="00E30642" w:rsidRDefault="00CA23D0" w:rsidP="00CA23D0">
            <w:pPr>
              <w:pStyle w:val="Texttabulky"/>
              <w:spacing w:line="240" w:lineRule="atLeast"/>
              <w:jc w:val="both"/>
              <w:rPr>
                <w:rFonts w:cs="Arial"/>
              </w:rPr>
            </w:pPr>
            <w:r w:rsidRPr="00E30642">
              <w:rPr>
                <w:rFonts w:cs="Arial"/>
                <w:b/>
                <w:bCs/>
              </w:rPr>
              <w:t>131 988</w:t>
            </w:r>
          </w:p>
        </w:tc>
      </w:tr>
      <w:tr w:rsidR="00CA23D0" w:rsidRPr="00E30642" w14:paraId="1D9B4AC9" w14:textId="77777777" w:rsidTr="00CA23D0">
        <w:tc>
          <w:tcPr>
            <w:tcW w:w="900" w:type="dxa"/>
            <w:tcBorders>
              <w:top w:val="single" w:sz="6" w:space="0" w:color="auto"/>
              <w:left w:val="single" w:sz="6" w:space="0" w:color="auto"/>
              <w:bottom w:val="single" w:sz="6" w:space="0" w:color="auto"/>
              <w:right w:val="single" w:sz="6" w:space="0" w:color="auto"/>
            </w:tcBorders>
          </w:tcPr>
          <w:p w14:paraId="3ED896D6" w14:textId="77777777" w:rsidR="00CA23D0" w:rsidRPr="00E30642" w:rsidRDefault="00CA23D0" w:rsidP="00CA23D0">
            <w:pPr>
              <w:pStyle w:val="Texttabulky"/>
              <w:spacing w:line="240" w:lineRule="atLeast"/>
              <w:jc w:val="both"/>
              <w:rPr>
                <w:rFonts w:cs="Arial"/>
              </w:rPr>
            </w:pPr>
            <w:r w:rsidRPr="00E30642">
              <w:rPr>
                <w:rFonts w:cs="Arial"/>
                <w:b/>
                <w:bCs/>
              </w:rPr>
              <w:t>0-14</w:t>
            </w:r>
          </w:p>
        </w:tc>
        <w:tc>
          <w:tcPr>
            <w:tcW w:w="559" w:type="dxa"/>
            <w:tcBorders>
              <w:top w:val="single" w:sz="6" w:space="0" w:color="auto"/>
              <w:left w:val="single" w:sz="6" w:space="0" w:color="auto"/>
              <w:bottom w:val="single" w:sz="6" w:space="0" w:color="auto"/>
              <w:right w:val="single" w:sz="6" w:space="0" w:color="auto"/>
            </w:tcBorders>
          </w:tcPr>
          <w:p w14:paraId="161F5D98" w14:textId="77777777" w:rsidR="00CA23D0" w:rsidRPr="00E30642" w:rsidRDefault="00CA23D0" w:rsidP="00CA23D0">
            <w:pPr>
              <w:pStyle w:val="Texttabulky"/>
              <w:spacing w:line="240" w:lineRule="atLeast"/>
              <w:jc w:val="both"/>
              <w:rPr>
                <w:rFonts w:cs="Arial"/>
              </w:rPr>
            </w:pPr>
            <w:r w:rsidRPr="00E30642">
              <w:rPr>
                <w:rFonts w:cs="Arial"/>
              </w:rPr>
              <w:t>13 252</w:t>
            </w:r>
          </w:p>
        </w:tc>
        <w:tc>
          <w:tcPr>
            <w:tcW w:w="614" w:type="dxa"/>
            <w:tcBorders>
              <w:top w:val="single" w:sz="6" w:space="0" w:color="auto"/>
              <w:left w:val="single" w:sz="6" w:space="0" w:color="auto"/>
              <w:bottom w:val="single" w:sz="6" w:space="0" w:color="auto"/>
              <w:right w:val="single" w:sz="6" w:space="0" w:color="auto"/>
            </w:tcBorders>
          </w:tcPr>
          <w:p w14:paraId="4C565F7E" w14:textId="77777777" w:rsidR="00CA23D0" w:rsidRPr="00E30642" w:rsidRDefault="00CA23D0" w:rsidP="00CA23D0">
            <w:pPr>
              <w:pStyle w:val="Texttabulky"/>
              <w:spacing w:line="240" w:lineRule="atLeast"/>
              <w:jc w:val="both"/>
              <w:rPr>
                <w:rFonts w:cs="Arial"/>
              </w:rPr>
            </w:pPr>
            <w:r w:rsidRPr="00E30642">
              <w:rPr>
                <w:rFonts w:cs="Arial"/>
              </w:rPr>
              <w:t>12 600</w:t>
            </w:r>
          </w:p>
        </w:tc>
        <w:tc>
          <w:tcPr>
            <w:tcW w:w="762" w:type="dxa"/>
            <w:tcBorders>
              <w:top w:val="single" w:sz="6" w:space="0" w:color="auto"/>
              <w:left w:val="single" w:sz="6" w:space="0" w:color="auto"/>
              <w:bottom w:val="single" w:sz="6" w:space="0" w:color="auto"/>
              <w:right w:val="single" w:sz="6" w:space="0" w:color="auto"/>
            </w:tcBorders>
          </w:tcPr>
          <w:p w14:paraId="289A455C" w14:textId="77777777" w:rsidR="00CA23D0" w:rsidRPr="00E30642" w:rsidRDefault="00CA23D0" w:rsidP="00CA23D0">
            <w:pPr>
              <w:pStyle w:val="Texttabulky"/>
              <w:spacing w:line="240" w:lineRule="atLeast"/>
              <w:jc w:val="both"/>
              <w:rPr>
                <w:rFonts w:cs="Arial"/>
              </w:rPr>
            </w:pPr>
            <w:r w:rsidRPr="00E30642">
              <w:rPr>
                <w:rFonts w:cs="Arial"/>
              </w:rPr>
              <w:t>25 852</w:t>
            </w:r>
          </w:p>
        </w:tc>
        <w:tc>
          <w:tcPr>
            <w:tcW w:w="709" w:type="dxa"/>
            <w:tcBorders>
              <w:top w:val="single" w:sz="6" w:space="0" w:color="auto"/>
              <w:left w:val="single" w:sz="6" w:space="0" w:color="auto"/>
              <w:bottom w:val="single" w:sz="6" w:space="0" w:color="auto"/>
              <w:right w:val="single" w:sz="6" w:space="0" w:color="auto"/>
            </w:tcBorders>
          </w:tcPr>
          <w:p w14:paraId="41639311" w14:textId="77777777" w:rsidR="00CA23D0" w:rsidRPr="00E30642" w:rsidRDefault="00CA23D0" w:rsidP="00CA23D0">
            <w:pPr>
              <w:pStyle w:val="Texttabulky"/>
              <w:spacing w:line="240" w:lineRule="atLeast"/>
              <w:jc w:val="both"/>
              <w:rPr>
                <w:rFonts w:cs="Arial"/>
              </w:rPr>
            </w:pPr>
            <w:r w:rsidRPr="00E30642">
              <w:rPr>
                <w:rFonts w:cs="Arial"/>
              </w:rPr>
              <w:t>13 496</w:t>
            </w:r>
          </w:p>
        </w:tc>
        <w:tc>
          <w:tcPr>
            <w:tcW w:w="567" w:type="dxa"/>
            <w:tcBorders>
              <w:top w:val="single" w:sz="6" w:space="0" w:color="auto"/>
              <w:left w:val="single" w:sz="6" w:space="0" w:color="auto"/>
              <w:bottom w:val="single" w:sz="6" w:space="0" w:color="auto"/>
              <w:right w:val="single" w:sz="6" w:space="0" w:color="auto"/>
            </w:tcBorders>
          </w:tcPr>
          <w:p w14:paraId="240DD94E" w14:textId="77777777" w:rsidR="00CA23D0" w:rsidRPr="00E30642" w:rsidRDefault="00CA23D0" w:rsidP="00CA23D0">
            <w:pPr>
              <w:pStyle w:val="Texttabulky"/>
              <w:spacing w:line="240" w:lineRule="atLeast"/>
              <w:jc w:val="both"/>
              <w:rPr>
                <w:rFonts w:cs="Arial"/>
              </w:rPr>
            </w:pPr>
            <w:r w:rsidRPr="00E30642">
              <w:rPr>
                <w:rFonts w:cs="Arial"/>
              </w:rPr>
              <w:t>12 794</w:t>
            </w:r>
          </w:p>
        </w:tc>
        <w:tc>
          <w:tcPr>
            <w:tcW w:w="709" w:type="dxa"/>
            <w:tcBorders>
              <w:top w:val="single" w:sz="6" w:space="0" w:color="auto"/>
              <w:left w:val="single" w:sz="6" w:space="0" w:color="auto"/>
              <w:bottom w:val="single" w:sz="6" w:space="0" w:color="auto"/>
              <w:right w:val="single" w:sz="6" w:space="0" w:color="auto"/>
            </w:tcBorders>
          </w:tcPr>
          <w:p w14:paraId="42564EEA" w14:textId="77777777" w:rsidR="00CA23D0" w:rsidRPr="00E30642" w:rsidRDefault="00CA23D0" w:rsidP="00CA23D0">
            <w:pPr>
              <w:pStyle w:val="Texttabulky"/>
              <w:spacing w:line="240" w:lineRule="atLeast"/>
              <w:jc w:val="both"/>
              <w:rPr>
                <w:rFonts w:cs="Arial"/>
              </w:rPr>
            </w:pPr>
            <w:r w:rsidRPr="00E30642">
              <w:rPr>
                <w:rFonts w:cs="Arial"/>
              </w:rPr>
              <w:t>26 290</w:t>
            </w:r>
          </w:p>
        </w:tc>
        <w:tc>
          <w:tcPr>
            <w:tcW w:w="567" w:type="dxa"/>
            <w:tcBorders>
              <w:top w:val="single" w:sz="6" w:space="0" w:color="auto"/>
              <w:left w:val="single" w:sz="6" w:space="0" w:color="auto"/>
              <w:bottom w:val="single" w:sz="6" w:space="0" w:color="auto"/>
              <w:right w:val="single" w:sz="6" w:space="0" w:color="auto"/>
            </w:tcBorders>
          </w:tcPr>
          <w:p w14:paraId="041E4F16" w14:textId="77777777" w:rsidR="00CA23D0" w:rsidRPr="00E30642" w:rsidRDefault="00CA23D0" w:rsidP="00CA23D0">
            <w:pPr>
              <w:pStyle w:val="Texttabulky"/>
              <w:spacing w:line="240" w:lineRule="atLeast"/>
              <w:jc w:val="both"/>
              <w:rPr>
                <w:rFonts w:cs="Arial"/>
              </w:rPr>
            </w:pPr>
            <w:r w:rsidRPr="00E30642">
              <w:rPr>
                <w:rFonts w:cs="Arial"/>
              </w:rPr>
              <w:t>13 156</w:t>
            </w:r>
          </w:p>
        </w:tc>
        <w:tc>
          <w:tcPr>
            <w:tcW w:w="567" w:type="dxa"/>
            <w:tcBorders>
              <w:top w:val="single" w:sz="6" w:space="0" w:color="auto"/>
              <w:left w:val="single" w:sz="6" w:space="0" w:color="auto"/>
              <w:bottom w:val="single" w:sz="6" w:space="0" w:color="auto"/>
              <w:right w:val="single" w:sz="6" w:space="0" w:color="auto"/>
            </w:tcBorders>
          </w:tcPr>
          <w:p w14:paraId="19CCBDEF" w14:textId="77777777" w:rsidR="00CA23D0" w:rsidRPr="00E30642" w:rsidRDefault="00CA23D0" w:rsidP="00CA23D0">
            <w:pPr>
              <w:pStyle w:val="Texttabulky"/>
              <w:spacing w:line="240" w:lineRule="atLeast"/>
              <w:jc w:val="both"/>
              <w:rPr>
                <w:rFonts w:cs="Arial"/>
              </w:rPr>
            </w:pPr>
            <w:r w:rsidRPr="00E30642">
              <w:rPr>
                <w:rFonts w:cs="Arial"/>
              </w:rPr>
              <w:t>12 505</w:t>
            </w:r>
          </w:p>
        </w:tc>
        <w:tc>
          <w:tcPr>
            <w:tcW w:w="709" w:type="dxa"/>
            <w:tcBorders>
              <w:top w:val="single" w:sz="6" w:space="0" w:color="auto"/>
              <w:left w:val="single" w:sz="6" w:space="0" w:color="auto"/>
              <w:bottom w:val="single" w:sz="6" w:space="0" w:color="auto"/>
              <w:right w:val="single" w:sz="6" w:space="0" w:color="auto"/>
            </w:tcBorders>
          </w:tcPr>
          <w:p w14:paraId="5E9F437A" w14:textId="77777777" w:rsidR="00CA23D0" w:rsidRPr="00E30642" w:rsidRDefault="00CA23D0" w:rsidP="00CA23D0">
            <w:pPr>
              <w:pStyle w:val="Texttabulky"/>
              <w:spacing w:line="240" w:lineRule="atLeast"/>
              <w:jc w:val="both"/>
              <w:rPr>
                <w:rFonts w:cs="Arial"/>
              </w:rPr>
            </w:pPr>
            <w:r w:rsidRPr="00E30642">
              <w:rPr>
                <w:rFonts w:cs="Arial"/>
              </w:rPr>
              <w:t>25 661</w:t>
            </w:r>
          </w:p>
        </w:tc>
        <w:tc>
          <w:tcPr>
            <w:tcW w:w="708" w:type="dxa"/>
            <w:tcBorders>
              <w:top w:val="single" w:sz="6" w:space="0" w:color="auto"/>
              <w:left w:val="single" w:sz="6" w:space="0" w:color="auto"/>
              <w:bottom w:val="single" w:sz="6" w:space="0" w:color="auto"/>
              <w:right w:val="single" w:sz="6" w:space="0" w:color="auto"/>
            </w:tcBorders>
          </w:tcPr>
          <w:p w14:paraId="1EEC8E5E" w14:textId="77777777" w:rsidR="00CA23D0" w:rsidRPr="00E30642" w:rsidRDefault="00CA23D0" w:rsidP="00CA23D0">
            <w:pPr>
              <w:pStyle w:val="Texttabulky"/>
              <w:spacing w:line="240" w:lineRule="atLeast"/>
              <w:jc w:val="both"/>
              <w:rPr>
                <w:rFonts w:cs="Arial"/>
              </w:rPr>
            </w:pPr>
            <w:r w:rsidRPr="00E30642">
              <w:rPr>
                <w:rFonts w:cs="Arial"/>
              </w:rPr>
              <w:t>11 332</w:t>
            </w:r>
          </w:p>
        </w:tc>
        <w:tc>
          <w:tcPr>
            <w:tcW w:w="567" w:type="dxa"/>
            <w:tcBorders>
              <w:top w:val="single" w:sz="6" w:space="0" w:color="auto"/>
              <w:left w:val="single" w:sz="6" w:space="0" w:color="auto"/>
              <w:bottom w:val="single" w:sz="6" w:space="0" w:color="auto"/>
              <w:right w:val="single" w:sz="6" w:space="0" w:color="auto"/>
            </w:tcBorders>
          </w:tcPr>
          <w:p w14:paraId="741E66F7" w14:textId="77777777" w:rsidR="00CA23D0" w:rsidRPr="00E30642" w:rsidRDefault="00CA23D0" w:rsidP="00CA23D0">
            <w:pPr>
              <w:pStyle w:val="Texttabulky"/>
              <w:spacing w:line="240" w:lineRule="atLeast"/>
              <w:jc w:val="both"/>
              <w:rPr>
                <w:rFonts w:cs="Arial"/>
              </w:rPr>
            </w:pPr>
            <w:r w:rsidRPr="00E30642">
              <w:rPr>
                <w:rFonts w:cs="Arial"/>
              </w:rPr>
              <w:t>10 770</w:t>
            </w:r>
          </w:p>
        </w:tc>
        <w:tc>
          <w:tcPr>
            <w:tcW w:w="709" w:type="dxa"/>
            <w:tcBorders>
              <w:top w:val="single" w:sz="6" w:space="0" w:color="auto"/>
              <w:left w:val="single" w:sz="6" w:space="0" w:color="auto"/>
              <w:bottom w:val="single" w:sz="6" w:space="0" w:color="auto"/>
              <w:right w:val="single" w:sz="6" w:space="0" w:color="auto"/>
            </w:tcBorders>
          </w:tcPr>
          <w:p w14:paraId="4D61021F" w14:textId="77777777" w:rsidR="00CA23D0" w:rsidRPr="00E30642" w:rsidRDefault="00CA23D0" w:rsidP="00CA23D0">
            <w:pPr>
              <w:pStyle w:val="Texttabulky"/>
              <w:spacing w:line="240" w:lineRule="atLeast"/>
              <w:jc w:val="both"/>
              <w:rPr>
                <w:rFonts w:cs="Arial"/>
              </w:rPr>
            </w:pPr>
            <w:r w:rsidRPr="00E30642">
              <w:rPr>
                <w:rFonts w:cs="Arial"/>
              </w:rPr>
              <w:t>22 102</w:t>
            </w:r>
          </w:p>
        </w:tc>
      </w:tr>
      <w:tr w:rsidR="00CA23D0" w:rsidRPr="00E30642" w14:paraId="05647A29" w14:textId="77777777" w:rsidTr="00CA23D0">
        <w:tc>
          <w:tcPr>
            <w:tcW w:w="900" w:type="dxa"/>
            <w:tcBorders>
              <w:top w:val="single" w:sz="6" w:space="0" w:color="auto"/>
              <w:left w:val="single" w:sz="6" w:space="0" w:color="auto"/>
              <w:bottom w:val="single" w:sz="6" w:space="0" w:color="auto"/>
              <w:right w:val="single" w:sz="6" w:space="0" w:color="auto"/>
            </w:tcBorders>
          </w:tcPr>
          <w:p w14:paraId="6990CD98" w14:textId="77777777" w:rsidR="00CA23D0" w:rsidRPr="00E30642" w:rsidRDefault="00CA23D0" w:rsidP="00CA23D0">
            <w:pPr>
              <w:pStyle w:val="Texttabulky"/>
              <w:spacing w:line="240" w:lineRule="atLeast"/>
              <w:jc w:val="both"/>
              <w:rPr>
                <w:rFonts w:cs="Arial"/>
              </w:rPr>
            </w:pPr>
            <w:r w:rsidRPr="00E30642">
              <w:rPr>
                <w:rFonts w:cs="Arial"/>
                <w:b/>
                <w:bCs/>
              </w:rPr>
              <w:t>15-59</w:t>
            </w:r>
          </w:p>
        </w:tc>
        <w:tc>
          <w:tcPr>
            <w:tcW w:w="559" w:type="dxa"/>
            <w:tcBorders>
              <w:top w:val="single" w:sz="6" w:space="0" w:color="auto"/>
              <w:left w:val="single" w:sz="6" w:space="0" w:color="auto"/>
              <w:bottom w:val="single" w:sz="6" w:space="0" w:color="auto"/>
              <w:right w:val="single" w:sz="6" w:space="0" w:color="auto"/>
            </w:tcBorders>
          </w:tcPr>
          <w:p w14:paraId="732C327B" w14:textId="77777777" w:rsidR="00CA23D0" w:rsidRPr="00E30642" w:rsidRDefault="00CA23D0" w:rsidP="00CA23D0">
            <w:pPr>
              <w:pStyle w:val="Texttabulky"/>
              <w:spacing w:line="240" w:lineRule="atLeast"/>
              <w:jc w:val="both"/>
              <w:rPr>
                <w:rFonts w:cs="Arial"/>
              </w:rPr>
            </w:pPr>
            <w:r w:rsidRPr="00E30642">
              <w:rPr>
                <w:rFonts w:cs="Arial"/>
              </w:rPr>
              <w:t>43 877</w:t>
            </w:r>
          </w:p>
        </w:tc>
        <w:tc>
          <w:tcPr>
            <w:tcW w:w="614" w:type="dxa"/>
            <w:tcBorders>
              <w:top w:val="single" w:sz="6" w:space="0" w:color="auto"/>
              <w:left w:val="single" w:sz="6" w:space="0" w:color="auto"/>
              <w:bottom w:val="single" w:sz="6" w:space="0" w:color="auto"/>
              <w:right w:val="single" w:sz="6" w:space="0" w:color="auto"/>
            </w:tcBorders>
          </w:tcPr>
          <w:p w14:paraId="019998F7" w14:textId="77777777" w:rsidR="00CA23D0" w:rsidRPr="00E30642" w:rsidRDefault="00CA23D0" w:rsidP="00CA23D0">
            <w:pPr>
              <w:pStyle w:val="Texttabulky"/>
              <w:spacing w:line="240" w:lineRule="atLeast"/>
              <w:jc w:val="both"/>
              <w:rPr>
                <w:rFonts w:cs="Arial"/>
              </w:rPr>
            </w:pPr>
            <w:r w:rsidRPr="00E30642">
              <w:rPr>
                <w:rFonts w:cs="Arial"/>
              </w:rPr>
              <w:t>39 810</w:t>
            </w:r>
          </w:p>
        </w:tc>
        <w:tc>
          <w:tcPr>
            <w:tcW w:w="762" w:type="dxa"/>
            <w:tcBorders>
              <w:top w:val="single" w:sz="6" w:space="0" w:color="auto"/>
              <w:left w:val="single" w:sz="6" w:space="0" w:color="auto"/>
              <w:bottom w:val="single" w:sz="6" w:space="0" w:color="auto"/>
              <w:right w:val="single" w:sz="6" w:space="0" w:color="auto"/>
            </w:tcBorders>
          </w:tcPr>
          <w:p w14:paraId="7C8DEE01" w14:textId="77777777" w:rsidR="00CA23D0" w:rsidRPr="00E30642" w:rsidRDefault="00CA23D0" w:rsidP="00CA23D0">
            <w:pPr>
              <w:pStyle w:val="Texttabulky"/>
              <w:spacing w:line="240" w:lineRule="atLeast"/>
              <w:jc w:val="both"/>
              <w:rPr>
                <w:rFonts w:cs="Arial"/>
              </w:rPr>
            </w:pPr>
            <w:r w:rsidRPr="00E30642">
              <w:rPr>
                <w:rFonts w:cs="Arial"/>
              </w:rPr>
              <w:t>83 687</w:t>
            </w:r>
          </w:p>
        </w:tc>
        <w:tc>
          <w:tcPr>
            <w:tcW w:w="709" w:type="dxa"/>
            <w:tcBorders>
              <w:top w:val="single" w:sz="6" w:space="0" w:color="auto"/>
              <w:left w:val="single" w:sz="6" w:space="0" w:color="auto"/>
              <w:bottom w:val="single" w:sz="6" w:space="0" w:color="auto"/>
              <w:right w:val="single" w:sz="6" w:space="0" w:color="auto"/>
            </w:tcBorders>
          </w:tcPr>
          <w:p w14:paraId="6BF097FE" w14:textId="77777777" w:rsidR="00CA23D0" w:rsidRPr="00E30642" w:rsidRDefault="00CA23D0" w:rsidP="00CA23D0">
            <w:pPr>
              <w:pStyle w:val="Texttabulky"/>
              <w:spacing w:line="240" w:lineRule="atLeast"/>
              <w:jc w:val="both"/>
              <w:rPr>
                <w:rFonts w:cs="Arial"/>
              </w:rPr>
            </w:pPr>
            <w:r w:rsidRPr="00E30642">
              <w:rPr>
                <w:rFonts w:cs="Arial"/>
              </w:rPr>
              <w:t>44 557</w:t>
            </w:r>
          </w:p>
        </w:tc>
        <w:tc>
          <w:tcPr>
            <w:tcW w:w="567" w:type="dxa"/>
            <w:tcBorders>
              <w:top w:val="single" w:sz="6" w:space="0" w:color="auto"/>
              <w:left w:val="single" w:sz="6" w:space="0" w:color="auto"/>
              <w:bottom w:val="single" w:sz="6" w:space="0" w:color="auto"/>
              <w:right w:val="single" w:sz="6" w:space="0" w:color="auto"/>
            </w:tcBorders>
          </w:tcPr>
          <w:p w14:paraId="0803EBC7" w14:textId="77777777" w:rsidR="00CA23D0" w:rsidRPr="00E30642" w:rsidRDefault="00CA23D0" w:rsidP="00CA23D0">
            <w:pPr>
              <w:pStyle w:val="Texttabulky"/>
              <w:spacing w:line="240" w:lineRule="atLeast"/>
              <w:jc w:val="both"/>
              <w:rPr>
                <w:rFonts w:cs="Arial"/>
              </w:rPr>
            </w:pPr>
            <w:r w:rsidRPr="00E30642">
              <w:rPr>
                <w:rFonts w:cs="Arial"/>
              </w:rPr>
              <w:t>39 735</w:t>
            </w:r>
          </w:p>
        </w:tc>
        <w:tc>
          <w:tcPr>
            <w:tcW w:w="709" w:type="dxa"/>
            <w:tcBorders>
              <w:top w:val="single" w:sz="6" w:space="0" w:color="auto"/>
              <w:left w:val="single" w:sz="6" w:space="0" w:color="auto"/>
              <w:bottom w:val="single" w:sz="6" w:space="0" w:color="auto"/>
              <w:right w:val="single" w:sz="6" w:space="0" w:color="auto"/>
            </w:tcBorders>
          </w:tcPr>
          <w:p w14:paraId="1978F88D" w14:textId="77777777" w:rsidR="00CA23D0" w:rsidRPr="00E30642" w:rsidRDefault="00CA23D0" w:rsidP="00CA23D0">
            <w:pPr>
              <w:pStyle w:val="Texttabulky"/>
              <w:spacing w:line="240" w:lineRule="atLeast"/>
              <w:jc w:val="both"/>
              <w:rPr>
                <w:rFonts w:cs="Arial"/>
              </w:rPr>
            </w:pPr>
            <w:r w:rsidRPr="00E30642">
              <w:rPr>
                <w:rFonts w:cs="Arial"/>
              </w:rPr>
              <w:t>84 292</w:t>
            </w:r>
          </w:p>
        </w:tc>
        <w:tc>
          <w:tcPr>
            <w:tcW w:w="567" w:type="dxa"/>
            <w:tcBorders>
              <w:top w:val="single" w:sz="6" w:space="0" w:color="auto"/>
              <w:left w:val="single" w:sz="6" w:space="0" w:color="auto"/>
              <w:bottom w:val="single" w:sz="6" w:space="0" w:color="auto"/>
              <w:right w:val="single" w:sz="6" w:space="0" w:color="auto"/>
            </w:tcBorders>
          </w:tcPr>
          <w:p w14:paraId="50E40918" w14:textId="77777777" w:rsidR="00CA23D0" w:rsidRPr="00E30642" w:rsidRDefault="00CA23D0" w:rsidP="00CA23D0">
            <w:pPr>
              <w:pStyle w:val="Texttabulky"/>
              <w:spacing w:line="240" w:lineRule="atLeast"/>
              <w:jc w:val="both"/>
              <w:rPr>
                <w:rFonts w:cs="Arial"/>
              </w:rPr>
            </w:pPr>
            <w:r w:rsidRPr="00E30642">
              <w:rPr>
                <w:rFonts w:cs="Arial"/>
              </w:rPr>
              <w:t>41 949</w:t>
            </w:r>
          </w:p>
        </w:tc>
        <w:tc>
          <w:tcPr>
            <w:tcW w:w="567" w:type="dxa"/>
            <w:tcBorders>
              <w:top w:val="single" w:sz="6" w:space="0" w:color="auto"/>
              <w:left w:val="single" w:sz="6" w:space="0" w:color="auto"/>
              <w:bottom w:val="single" w:sz="6" w:space="0" w:color="auto"/>
              <w:right w:val="single" w:sz="6" w:space="0" w:color="auto"/>
            </w:tcBorders>
          </w:tcPr>
          <w:p w14:paraId="573DCFAF" w14:textId="77777777" w:rsidR="00CA23D0" w:rsidRPr="00E30642" w:rsidRDefault="00CA23D0" w:rsidP="00CA23D0">
            <w:pPr>
              <w:pStyle w:val="Texttabulky"/>
              <w:spacing w:line="240" w:lineRule="atLeast"/>
              <w:jc w:val="both"/>
              <w:rPr>
                <w:rFonts w:cs="Arial"/>
              </w:rPr>
            </w:pPr>
            <w:r w:rsidRPr="00E30642">
              <w:rPr>
                <w:rFonts w:cs="Arial"/>
              </w:rPr>
              <w:t>36 218</w:t>
            </w:r>
          </w:p>
        </w:tc>
        <w:tc>
          <w:tcPr>
            <w:tcW w:w="709" w:type="dxa"/>
            <w:tcBorders>
              <w:top w:val="single" w:sz="6" w:space="0" w:color="auto"/>
              <w:left w:val="single" w:sz="6" w:space="0" w:color="auto"/>
              <w:bottom w:val="single" w:sz="6" w:space="0" w:color="auto"/>
              <w:right w:val="single" w:sz="6" w:space="0" w:color="auto"/>
            </w:tcBorders>
          </w:tcPr>
          <w:p w14:paraId="795550FA" w14:textId="77777777" w:rsidR="00CA23D0" w:rsidRPr="00E30642" w:rsidRDefault="00CA23D0" w:rsidP="00CA23D0">
            <w:pPr>
              <w:pStyle w:val="Texttabulky"/>
              <w:spacing w:line="240" w:lineRule="atLeast"/>
              <w:jc w:val="both"/>
              <w:rPr>
                <w:rFonts w:cs="Arial"/>
              </w:rPr>
            </w:pPr>
            <w:r w:rsidRPr="00E30642">
              <w:rPr>
                <w:rFonts w:cs="Arial"/>
              </w:rPr>
              <w:t>78 167</w:t>
            </w:r>
          </w:p>
        </w:tc>
        <w:tc>
          <w:tcPr>
            <w:tcW w:w="708" w:type="dxa"/>
            <w:tcBorders>
              <w:top w:val="single" w:sz="6" w:space="0" w:color="auto"/>
              <w:left w:val="single" w:sz="6" w:space="0" w:color="auto"/>
              <w:bottom w:val="single" w:sz="6" w:space="0" w:color="auto"/>
              <w:right w:val="single" w:sz="6" w:space="0" w:color="auto"/>
            </w:tcBorders>
          </w:tcPr>
          <w:p w14:paraId="59106FF2" w14:textId="77777777" w:rsidR="00CA23D0" w:rsidRPr="00E30642" w:rsidRDefault="00CA23D0" w:rsidP="00CA23D0">
            <w:pPr>
              <w:pStyle w:val="Texttabulky"/>
              <w:spacing w:line="240" w:lineRule="atLeast"/>
              <w:jc w:val="both"/>
              <w:rPr>
                <w:rFonts w:cs="Arial"/>
              </w:rPr>
            </w:pPr>
            <w:r w:rsidRPr="00E30642">
              <w:rPr>
                <w:rFonts w:cs="Arial"/>
              </w:rPr>
              <w:t>41 465</w:t>
            </w:r>
          </w:p>
        </w:tc>
        <w:tc>
          <w:tcPr>
            <w:tcW w:w="567" w:type="dxa"/>
            <w:tcBorders>
              <w:top w:val="single" w:sz="6" w:space="0" w:color="auto"/>
              <w:left w:val="single" w:sz="6" w:space="0" w:color="auto"/>
              <w:bottom w:val="single" w:sz="6" w:space="0" w:color="auto"/>
              <w:right w:val="single" w:sz="6" w:space="0" w:color="auto"/>
            </w:tcBorders>
          </w:tcPr>
          <w:p w14:paraId="66A36AC2" w14:textId="77777777" w:rsidR="00CA23D0" w:rsidRPr="00E30642" w:rsidRDefault="00CA23D0" w:rsidP="00CA23D0">
            <w:pPr>
              <w:pStyle w:val="Texttabulky"/>
              <w:spacing w:line="240" w:lineRule="atLeast"/>
              <w:jc w:val="both"/>
              <w:rPr>
                <w:rFonts w:cs="Arial"/>
              </w:rPr>
            </w:pPr>
            <w:r w:rsidRPr="00E30642">
              <w:rPr>
                <w:rFonts w:cs="Arial"/>
              </w:rPr>
              <w:t>36 831</w:t>
            </w:r>
          </w:p>
        </w:tc>
        <w:tc>
          <w:tcPr>
            <w:tcW w:w="709" w:type="dxa"/>
            <w:tcBorders>
              <w:top w:val="single" w:sz="6" w:space="0" w:color="auto"/>
              <w:left w:val="single" w:sz="6" w:space="0" w:color="auto"/>
              <w:bottom w:val="single" w:sz="6" w:space="0" w:color="auto"/>
              <w:right w:val="single" w:sz="6" w:space="0" w:color="auto"/>
            </w:tcBorders>
          </w:tcPr>
          <w:p w14:paraId="26437822" w14:textId="77777777" w:rsidR="00CA23D0" w:rsidRPr="00E30642" w:rsidRDefault="00CA23D0" w:rsidP="00CA23D0">
            <w:pPr>
              <w:pStyle w:val="Texttabulky"/>
              <w:spacing w:line="240" w:lineRule="atLeast"/>
              <w:jc w:val="both"/>
              <w:rPr>
                <w:rFonts w:cs="Arial"/>
              </w:rPr>
            </w:pPr>
            <w:r w:rsidRPr="00E30642">
              <w:rPr>
                <w:rFonts w:cs="Arial"/>
              </w:rPr>
              <w:t>78 296</w:t>
            </w:r>
          </w:p>
        </w:tc>
      </w:tr>
      <w:tr w:rsidR="00CA23D0" w:rsidRPr="00E30642" w14:paraId="59FD5713" w14:textId="77777777" w:rsidTr="00CA23D0">
        <w:tc>
          <w:tcPr>
            <w:tcW w:w="900" w:type="dxa"/>
            <w:tcBorders>
              <w:top w:val="single" w:sz="6" w:space="0" w:color="auto"/>
              <w:left w:val="single" w:sz="6" w:space="0" w:color="auto"/>
              <w:bottom w:val="single" w:sz="6" w:space="0" w:color="auto"/>
              <w:right w:val="single" w:sz="6" w:space="0" w:color="auto"/>
            </w:tcBorders>
          </w:tcPr>
          <w:p w14:paraId="7AAF2725" w14:textId="77777777" w:rsidR="00CA23D0" w:rsidRPr="00E30642" w:rsidRDefault="00CA23D0" w:rsidP="00CA23D0">
            <w:pPr>
              <w:pStyle w:val="Texttabulky"/>
              <w:spacing w:line="240" w:lineRule="atLeast"/>
              <w:jc w:val="both"/>
              <w:rPr>
                <w:rFonts w:cs="Arial"/>
              </w:rPr>
            </w:pPr>
            <w:r w:rsidRPr="00E30642">
              <w:rPr>
                <w:rFonts w:cs="Arial"/>
                <w:b/>
                <w:bCs/>
              </w:rPr>
              <w:t>60 +</w:t>
            </w:r>
          </w:p>
        </w:tc>
        <w:tc>
          <w:tcPr>
            <w:tcW w:w="559" w:type="dxa"/>
            <w:tcBorders>
              <w:top w:val="single" w:sz="6" w:space="0" w:color="auto"/>
              <w:left w:val="single" w:sz="6" w:space="0" w:color="auto"/>
              <w:bottom w:val="single" w:sz="6" w:space="0" w:color="auto"/>
              <w:right w:val="single" w:sz="6" w:space="0" w:color="auto"/>
            </w:tcBorders>
          </w:tcPr>
          <w:p w14:paraId="2C7DB5BF" w14:textId="77777777" w:rsidR="00CA23D0" w:rsidRPr="00E30642" w:rsidRDefault="00CA23D0" w:rsidP="00CA23D0">
            <w:pPr>
              <w:pStyle w:val="Texttabulky"/>
              <w:spacing w:line="240" w:lineRule="atLeast"/>
              <w:jc w:val="both"/>
              <w:rPr>
                <w:rFonts w:cs="Arial"/>
              </w:rPr>
            </w:pPr>
            <w:r w:rsidRPr="00E30642">
              <w:rPr>
                <w:rFonts w:cs="Arial"/>
              </w:rPr>
              <w:t>8 524</w:t>
            </w:r>
          </w:p>
        </w:tc>
        <w:tc>
          <w:tcPr>
            <w:tcW w:w="614" w:type="dxa"/>
            <w:tcBorders>
              <w:top w:val="single" w:sz="6" w:space="0" w:color="auto"/>
              <w:left w:val="single" w:sz="6" w:space="0" w:color="auto"/>
              <w:bottom w:val="single" w:sz="6" w:space="0" w:color="auto"/>
              <w:right w:val="single" w:sz="6" w:space="0" w:color="auto"/>
            </w:tcBorders>
          </w:tcPr>
          <w:p w14:paraId="6DB22B3D" w14:textId="77777777" w:rsidR="00CA23D0" w:rsidRPr="00E30642" w:rsidRDefault="00CA23D0" w:rsidP="00CA23D0">
            <w:pPr>
              <w:pStyle w:val="Texttabulky"/>
              <w:spacing w:line="240" w:lineRule="atLeast"/>
              <w:jc w:val="both"/>
              <w:rPr>
                <w:rFonts w:cs="Arial"/>
              </w:rPr>
            </w:pPr>
            <w:r w:rsidRPr="00E30642">
              <w:rPr>
                <w:rFonts w:cs="Arial"/>
              </w:rPr>
              <w:t>16 426</w:t>
            </w:r>
          </w:p>
        </w:tc>
        <w:tc>
          <w:tcPr>
            <w:tcW w:w="762" w:type="dxa"/>
            <w:tcBorders>
              <w:top w:val="single" w:sz="6" w:space="0" w:color="auto"/>
              <w:left w:val="single" w:sz="6" w:space="0" w:color="auto"/>
              <w:bottom w:val="single" w:sz="6" w:space="0" w:color="auto"/>
              <w:right w:val="single" w:sz="6" w:space="0" w:color="auto"/>
            </w:tcBorders>
          </w:tcPr>
          <w:p w14:paraId="6731AE9B" w14:textId="77777777" w:rsidR="00CA23D0" w:rsidRPr="00E30642" w:rsidRDefault="00CA23D0" w:rsidP="00CA23D0">
            <w:pPr>
              <w:pStyle w:val="Texttabulky"/>
              <w:spacing w:line="240" w:lineRule="atLeast"/>
              <w:jc w:val="both"/>
              <w:rPr>
                <w:rFonts w:cs="Arial"/>
              </w:rPr>
            </w:pPr>
            <w:r w:rsidRPr="00E30642">
              <w:rPr>
                <w:rFonts w:cs="Arial"/>
              </w:rPr>
              <w:t>24 950</w:t>
            </w:r>
          </w:p>
        </w:tc>
        <w:tc>
          <w:tcPr>
            <w:tcW w:w="709" w:type="dxa"/>
            <w:tcBorders>
              <w:top w:val="single" w:sz="6" w:space="0" w:color="auto"/>
              <w:left w:val="single" w:sz="6" w:space="0" w:color="auto"/>
              <w:bottom w:val="single" w:sz="6" w:space="0" w:color="auto"/>
              <w:right w:val="single" w:sz="6" w:space="0" w:color="auto"/>
            </w:tcBorders>
          </w:tcPr>
          <w:p w14:paraId="78045C6D" w14:textId="77777777" w:rsidR="00CA23D0" w:rsidRPr="00E30642" w:rsidRDefault="00CA23D0" w:rsidP="00CA23D0">
            <w:pPr>
              <w:pStyle w:val="Texttabulky"/>
              <w:spacing w:line="240" w:lineRule="atLeast"/>
              <w:jc w:val="both"/>
              <w:rPr>
                <w:rFonts w:cs="Arial"/>
              </w:rPr>
            </w:pPr>
            <w:r w:rsidRPr="00E30642">
              <w:rPr>
                <w:rFonts w:cs="Arial"/>
              </w:rPr>
              <w:t>8 413</w:t>
            </w:r>
          </w:p>
        </w:tc>
        <w:tc>
          <w:tcPr>
            <w:tcW w:w="567" w:type="dxa"/>
            <w:tcBorders>
              <w:top w:val="single" w:sz="6" w:space="0" w:color="auto"/>
              <w:left w:val="single" w:sz="6" w:space="0" w:color="auto"/>
              <w:bottom w:val="single" w:sz="6" w:space="0" w:color="auto"/>
              <w:right w:val="single" w:sz="6" w:space="0" w:color="auto"/>
            </w:tcBorders>
          </w:tcPr>
          <w:p w14:paraId="5A5AC5EB" w14:textId="77777777" w:rsidR="00CA23D0" w:rsidRPr="00E30642" w:rsidRDefault="00CA23D0" w:rsidP="00CA23D0">
            <w:pPr>
              <w:pStyle w:val="Texttabulky"/>
              <w:spacing w:line="240" w:lineRule="atLeast"/>
              <w:jc w:val="both"/>
              <w:rPr>
                <w:rFonts w:cs="Arial"/>
              </w:rPr>
            </w:pPr>
            <w:r w:rsidRPr="00E30642">
              <w:rPr>
                <w:rFonts w:cs="Arial"/>
              </w:rPr>
              <w:t>16 991</w:t>
            </w:r>
          </w:p>
        </w:tc>
        <w:tc>
          <w:tcPr>
            <w:tcW w:w="709" w:type="dxa"/>
            <w:tcBorders>
              <w:top w:val="single" w:sz="6" w:space="0" w:color="auto"/>
              <w:left w:val="single" w:sz="6" w:space="0" w:color="auto"/>
              <w:bottom w:val="single" w:sz="6" w:space="0" w:color="auto"/>
              <w:right w:val="single" w:sz="6" w:space="0" w:color="auto"/>
            </w:tcBorders>
          </w:tcPr>
          <w:p w14:paraId="6767C02E" w14:textId="77777777" w:rsidR="00CA23D0" w:rsidRPr="00E30642" w:rsidRDefault="00CA23D0" w:rsidP="00CA23D0">
            <w:pPr>
              <w:pStyle w:val="Texttabulky"/>
              <w:spacing w:line="240" w:lineRule="atLeast"/>
              <w:jc w:val="both"/>
              <w:rPr>
                <w:rFonts w:cs="Arial"/>
              </w:rPr>
            </w:pPr>
            <w:r w:rsidRPr="00E30642">
              <w:rPr>
                <w:rFonts w:cs="Arial"/>
              </w:rPr>
              <w:t>25 404</w:t>
            </w:r>
          </w:p>
        </w:tc>
        <w:tc>
          <w:tcPr>
            <w:tcW w:w="567" w:type="dxa"/>
            <w:tcBorders>
              <w:top w:val="single" w:sz="6" w:space="0" w:color="auto"/>
              <w:left w:val="single" w:sz="6" w:space="0" w:color="auto"/>
              <w:bottom w:val="single" w:sz="6" w:space="0" w:color="auto"/>
              <w:right w:val="single" w:sz="6" w:space="0" w:color="auto"/>
            </w:tcBorders>
          </w:tcPr>
          <w:p w14:paraId="12448F90" w14:textId="77777777" w:rsidR="00CA23D0" w:rsidRPr="00E30642" w:rsidRDefault="00CA23D0" w:rsidP="00CA23D0">
            <w:pPr>
              <w:pStyle w:val="Texttabulky"/>
              <w:spacing w:line="240" w:lineRule="atLeast"/>
              <w:jc w:val="both"/>
              <w:rPr>
                <w:rFonts w:cs="Arial"/>
              </w:rPr>
            </w:pPr>
            <w:r w:rsidRPr="00E30642">
              <w:rPr>
                <w:rFonts w:cs="Arial"/>
              </w:rPr>
              <w:t>11 212</w:t>
            </w:r>
          </w:p>
        </w:tc>
        <w:tc>
          <w:tcPr>
            <w:tcW w:w="567" w:type="dxa"/>
            <w:tcBorders>
              <w:top w:val="single" w:sz="6" w:space="0" w:color="auto"/>
              <w:left w:val="single" w:sz="6" w:space="0" w:color="auto"/>
              <w:bottom w:val="single" w:sz="6" w:space="0" w:color="auto"/>
              <w:right w:val="single" w:sz="6" w:space="0" w:color="auto"/>
            </w:tcBorders>
          </w:tcPr>
          <w:p w14:paraId="6B443B89" w14:textId="77777777" w:rsidR="00CA23D0" w:rsidRPr="00E30642" w:rsidRDefault="00CA23D0" w:rsidP="00CA23D0">
            <w:pPr>
              <w:pStyle w:val="Texttabulky"/>
              <w:spacing w:line="240" w:lineRule="atLeast"/>
              <w:jc w:val="both"/>
              <w:rPr>
                <w:rFonts w:cs="Arial"/>
              </w:rPr>
            </w:pPr>
            <w:r w:rsidRPr="00E30642">
              <w:rPr>
                <w:rFonts w:cs="Arial"/>
              </w:rPr>
              <w:t>20 531</w:t>
            </w:r>
          </w:p>
        </w:tc>
        <w:tc>
          <w:tcPr>
            <w:tcW w:w="709" w:type="dxa"/>
            <w:tcBorders>
              <w:top w:val="single" w:sz="6" w:space="0" w:color="auto"/>
              <w:left w:val="single" w:sz="6" w:space="0" w:color="auto"/>
              <w:bottom w:val="single" w:sz="6" w:space="0" w:color="auto"/>
              <w:right w:val="single" w:sz="6" w:space="0" w:color="auto"/>
            </w:tcBorders>
          </w:tcPr>
          <w:p w14:paraId="33ACE7C3" w14:textId="77777777" w:rsidR="00CA23D0" w:rsidRPr="00E30642" w:rsidRDefault="00CA23D0" w:rsidP="00CA23D0">
            <w:pPr>
              <w:pStyle w:val="Texttabulky"/>
              <w:spacing w:line="240" w:lineRule="atLeast"/>
              <w:jc w:val="both"/>
              <w:rPr>
                <w:rFonts w:cs="Arial"/>
              </w:rPr>
            </w:pPr>
            <w:r w:rsidRPr="00E30642">
              <w:rPr>
                <w:rFonts w:cs="Arial"/>
              </w:rPr>
              <w:t>31 743</w:t>
            </w:r>
          </w:p>
        </w:tc>
        <w:tc>
          <w:tcPr>
            <w:tcW w:w="708" w:type="dxa"/>
            <w:tcBorders>
              <w:top w:val="single" w:sz="6" w:space="0" w:color="auto"/>
              <w:left w:val="single" w:sz="6" w:space="0" w:color="auto"/>
              <w:bottom w:val="single" w:sz="6" w:space="0" w:color="auto"/>
              <w:right w:val="single" w:sz="6" w:space="0" w:color="auto"/>
            </w:tcBorders>
          </w:tcPr>
          <w:p w14:paraId="0B43FA63" w14:textId="77777777" w:rsidR="00CA23D0" w:rsidRPr="00E30642" w:rsidRDefault="00CA23D0" w:rsidP="00CA23D0">
            <w:pPr>
              <w:pStyle w:val="Texttabulky"/>
              <w:spacing w:line="240" w:lineRule="atLeast"/>
              <w:jc w:val="both"/>
              <w:rPr>
                <w:rFonts w:cs="Arial"/>
              </w:rPr>
            </w:pPr>
            <w:r w:rsidRPr="00E30642">
              <w:rPr>
                <w:rFonts w:cs="Arial"/>
              </w:rPr>
              <w:t>11 533</w:t>
            </w:r>
          </w:p>
        </w:tc>
        <w:tc>
          <w:tcPr>
            <w:tcW w:w="567" w:type="dxa"/>
            <w:tcBorders>
              <w:top w:val="single" w:sz="6" w:space="0" w:color="auto"/>
              <w:left w:val="single" w:sz="6" w:space="0" w:color="auto"/>
              <w:bottom w:val="single" w:sz="6" w:space="0" w:color="auto"/>
              <w:right w:val="single" w:sz="6" w:space="0" w:color="auto"/>
            </w:tcBorders>
          </w:tcPr>
          <w:p w14:paraId="49E95393" w14:textId="77777777" w:rsidR="00CA23D0" w:rsidRPr="00E30642" w:rsidRDefault="00CA23D0" w:rsidP="00CA23D0">
            <w:pPr>
              <w:pStyle w:val="Texttabulky"/>
              <w:spacing w:line="240" w:lineRule="atLeast"/>
              <w:jc w:val="both"/>
              <w:rPr>
                <w:rFonts w:cs="Arial"/>
              </w:rPr>
            </w:pPr>
            <w:r w:rsidRPr="00E30642">
              <w:rPr>
                <w:rFonts w:cs="Arial"/>
              </w:rPr>
              <w:t>20 057</w:t>
            </w:r>
          </w:p>
        </w:tc>
        <w:tc>
          <w:tcPr>
            <w:tcW w:w="709" w:type="dxa"/>
            <w:tcBorders>
              <w:top w:val="single" w:sz="6" w:space="0" w:color="auto"/>
              <w:left w:val="single" w:sz="6" w:space="0" w:color="auto"/>
              <w:bottom w:val="single" w:sz="6" w:space="0" w:color="auto"/>
              <w:right w:val="single" w:sz="6" w:space="0" w:color="auto"/>
            </w:tcBorders>
          </w:tcPr>
          <w:p w14:paraId="1737FD4E" w14:textId="77777777" w:rsidR="00CA23D0" w:rsidRPr="00E30642" w:rsidRDefault="00CA23D0" w:rsidP="00CA23D0">
            <w:pPr>
              <w:pStyle w:val="Texttabulky"/>
              <w:spacing w:line="240" w:lineRule="atLeast"/>
              <w:jc w:val="both"/>
              <w:rPr>
                <w:rFonts w:cs="Arial"/>
              </w:rPr>
            </w:pPr>
            <w:r w:rsidRPr="00E30642">
              <w:rPr>
                <w:rFonts w:cs="Arial"/>
              </w:rPr>
              <w:t>31 590</w:t>
            </w:r>
          </w:p>
        </w:tc>
      </w:tr>
      <w:tr w:rsidR="00CA23D0" w:rsidRPr="00E30642" w14:paraId="62F56D2F" w14:textId="77777777" w:rsidTr="00CA23D0">
        <w:tc>
          <w:tcPr>
            <w:tcW w:w="900" w:type="dxa"/>
            <w:tcBorders>
              <w:top w:val="single" w:sz="6" w:space="0" w:color="auto"/>
              <w:left w:val="single" w:sz="6" w:space="0" w:color="auto"/>
              <w:bottom w:val="single" w:sz="6" w:space="0" w:color="auto"/>
              <w:right w:val="single" w:sz="6" w:space="0" w:color="auto"/>
            </w:tcBorders>
          </w:tcPr>
          <w:p w14:paraId="67026784" w14:textId="77777777" w:rsidR="00CA23D0" w:rsidRPr="00E30642" w:rsidRDefault="00CA23D0" w:rsidP="00CA23D0">
            <w:pPr>
              <w:pStyle w:val="Texttabulky"/>
              <w:spacing w:line="240" w:lineRule="atLeast"/>
              <w:jc w:val="both"/>
              <w:rPr>
                <w:rFonts w:cs="Arial"/>
              </w:rPr>
            </w:pPr>
            <w:r w:rsidRPr="00E30642">
              <w:rPr>
                <w:rFonts w:cs="Arial"/>
                <w:i/>
                <w:iCs/>
              </w:rPr>
              <w:t>prod. Věk</w:t>
            </w:r>
          </w:p>
        </w:tc>
        <w:tc>
          <w:tcPr>
            <w:tcW w:w="559" w:type="dxa"/>
            <w:tcBorders>
              <w:top w:val="single" w:sz="6" w:space="0" w:color="auto"/>
              <w:left w:val="single" w:sz="6" w:space="0" w:color="auto"/>
              <w:bottom w:val="single" w:sz="6" w:space="0" w:color="auto"/>
              <w:right w:val="single" w:sz="6" w:space="0" w:color="auto"/>
            </w:tcBorders>
          </w:tcPr>
          <w:p w14:paraId="624A1735" w14:textId="77777777" w:rsidR="00CA23D0" w:rsidRPr="00E30642" w:rsidRDefault="00CA23D0" w:rsidP="00CA23D0">
            <w:pPr>
              <w:pStyle w:val="Texttabulky"/>
              <w:spacing w:line="240" w:lineRule="atLeast"/>
              <w:jc w:val="both"/>
              <w:rPr>
                <w:rFonts w:cs="Arial"/>
              </w:rPr>
            </w:pPr>
            <w:r w:rsidRPr="00E30642">
              <w:rPr>
                <w:rFonts w:cs="Arial"/>
              </w:rPr>
              <w:t>43 877</w:t>
            </w:r>
          </w:p>
        </w:tc>
        <w:tc>
          <w:tcPr>
            <w:tcW w:w="614" w:type="dxa"/>
            <w:tcBorders>
              <w:top w:val="single" w:sz="6" w:space="0" w:color="auto"/>
              <w:left w:val="single" w:sz="6" w:space="0" w:color="auto"/>
              <w:bottom w:val="single" w:sz="6" w:space="0" w:color="auto"/>
              <w:right w:val="single" w:sz="6" w:space="0" w:color="auto"/>
            </w:tcBorders>
          </w:tcPr>
          <w:p w14:paraId="4F692771" w14:textId="77777777" w:rsidR="00CA23D0" w:rsidRPr="00E30642" w:rsidRDefault="00CA23D0" w:rsidP="00CA23D0">
            <w:pPr>
              <w:pStyle w:val="Texttabulky"/>
              <w:spacing w:line="240" w:lineRule="atLeast"/>
              <w:jc w:val="both"/>
              <w:rPr>
                <w:rFonts w:cs="Arial"/>
              </w:rPr>
            </w:pPr>
            <w:r w:rsidRPr="00E30642">
              <w:rPr>
                <w:rFonts w:cs="Arial"/>
              </w:rPr>
              <w:t>39 810</w:t>
            </w:r>
          </w:p>
        </w:tc>
        <w:tc>
          <w:tcPr>
            <w:tcW w:w="762" w:type="dxa"/>
            <w:tcBorders>
              <w:top w:val="single" w:sz="6" w:space="0" w:color="auto"/>
              <w:left w:val="single" w:sz="6" w:space="0" w:color="auto"/>
              <w:bottom w:val="single" w:sz="6" w:space="0" w:color="auto"/>
              <w:right w:val="single" w:sz="6" w:space="0" w:color="auto"/>
            </w:tcBorders>
          </w:tcPr>
          <w:p w14:paraId="101AF611" w14:textId="77777777" w:rsidR="00CA23D0" w:rsidRPr="00E30642" w:rsidRDefault="00CA23D0" w:rsidP="00CA23D0">
            <w:pPr>
              <w:pStyle w:val="Texttabulky"/>
              <w:spacing w:line="240" w:lineRule="atLeast"/>
              <w:jc w:val="both"/>
              <w:rPr>
                <w:rFonts w:cs="Arial"/>
              </w:rPr>
            </w:pPr>
            <w:r w:rsidRPr="00E30642">
              <w:rPr>
                <w:rFonts w:cs="Arial"/>
              </w:rPr>
              <w:t>83 687</w:t>
            </w:r>
          </w:p>
        </w:tc>
        <w:tc>
          <w:tcPr>
            <w:tcW w:w="709" w:type="dxa"/>
            <w:tcBorders>
              <w:top w:val="single" w:sz="6" w:space="0" w:color="auto"/>
              <w:left w:val="single" w:sz="6" w:space="0" w:color="auto"/>
              <w:bottom w:val="single" w:sz="6" w:space="0" w:color="auto"/>
              <w:right w:val="single" w:sz="6" w:space="0" w:color="auto"/>
            </w:tcBorders>
          </w:tcPr>
          <w:p w14:paraId="755E9FBF" w14:textId="77777777" w:rsidR="00CA23D0" w:rsidRPr="00E30642" w:rsidRDefault="00CA23D0" w:rsidP="00CA23D0">
            <w:pPr>
              <w:pStyle w:val="Texttabulky"/>
              <w:spacing w:line="240" w:lineRule="atLeast"/>
              <w:jc w:val="both"/>
              <w:rPr>
                <w:rFonts w:cs="Arial"/>
              </w:rPr>
            </w:pPr>
            <w:r w:rsidRPr="00E30642">
              <w:rPr>
                <w:rFonts w:cs="Arial"/>
              </w:rPr>
              <w:t>44 557</w:t>
            </w:r>
          </w:p>
        </w:tc>
        <w:tc>
          <w:tcPr>
            <w:tcW w:w="567" w:type="dxa"/>
            <w:tcBorders>
              <w:top w:val="single" w:sz="6" w:space="0" w:color="auto"/>
              <w:left w:val="single" w:sz="6" w:space="0" w:color="auto"/>
              <w:bottom w:val="single" w:sz="6" w:space="0" w:color="auto"/>
              <w:right w:val="single" w:sz="6" w:space="0" w:color="auto"/>
            </w:tcBorders>
          </w:tcPr>
          <w:p w14:paraId="4A235DB8" w14:textId="77777777" w:rsidR="00CA23D0" w:rsidRPr="00E30642" w:rsidRDefault="00CA23D0" w:rsidP="00CA23D0">
            <w:pPr>
              <w:pStyle w:val="Texttabulky"/>
              <w:spacing w:line="240" w:lineRule="atLeast"/>
              <w:jc w:val="both"/>
              <w:rPr>
                <w:rFonts w:cs="Arial"/>
              </w:rPr>
            </w:pPr>
            <w:r w:rsidRPr="00E30642">
              <w:rPr>
                <w:rFonts w:cs="Arial"/>
              </w:rPr>
              <w:t>39 735</w:t>
            </w:r>
          </w:p>
        </w:tc>
        <w:tc>
          <w:tcPr>
            <w:tcW w:w="709" w:type="dxa"/>
            <w:tcBorders>
              <w:top w:val="single" w:sz="6" w:space="0" w:color="auto"/>
              <w:left w:val="single" w:sz="6" w:space="0" w:color="auto"/>
              <w:bottom w:val="single" w:sz="6" w:space="0" w:color="auto"/>
              <w:right w:val="single" w:sz="6" w:space="0" w:color="auto"/>
            </w:tcBorders>
          </w:tcPr>
          <w:p w14:paraId="49CF3515" w14:textId="77777777" w:rsidR="00CA23D0" w:rsidRPr="00E30642" w:rsidRDefault="00CA23D0" w:rsidP="00CA23D0">
            <w:pPr>
              <w:pStyle w:val="Texttabulky"/>
              <w:spacing w:line="240" w:lineRule="atLeast"/>
              <w:jc w:val="both"/>
              <w:rPr>
                <w:rFonts w:cs="Arial"/>
              </w:rPr>
            </w:pPr>
            <w:r w:rsidRPr="00E30642">
              <w:rPr>
                <w:rFonts w:cs="Arial"/>
              </w:rPr>
              <w:t>84 292</w:t>
            </w:r>
          </w:p>
        </w:tc>
        <w:tc>
          <w:tcPr>
            <w:tcW w:w="567" w:type="dxa"/>
            <w:tcBorders>
              <w:top w:val="single" w:sz="6" w:space="0" w:color="auto"/>
              <w:left w:val="single" w:sz="6" w:space="0" w:color="auto"/>
              <w:bottom w:val="single" w:sz="6" w:space="0" w:color="auto"/>
              <w:right w:val="single" w:sz="6" w:space="0" w:color="auto"/>
            </w:tcBorders>
          </w:tcPr>
          <w:p w14:paraId="2D344D48" w14:textId="77777777" w:rsidR="00CA23D0" w:rsidRPr="00E30642" w:rsidRDefault="00CA23D0" w:rsidP="00CA23D0">
            <w:pPr>
              <w:pStyle w:val="Texttabulky"/>
              <w:spacing w:line="240" w:lineRule="atLeast"/>
              <w:jc w:val="both"/>
              <w:rPr>
                <w:rFonts w:cs="Arial"/>
              </w:rPr>
            </w:pPr>
            <w:r w:rsidRPr="00E30642">
              <w:rPr>
                <w:rFonts w:cs="Arial"/>
              </w:rPr>
              <w:t>41 949</w:t>
            </w:r>
          </w:p>
        </w:tc>
        <w:tc>
          <w:tcPr>
            <w:tcW w:w="567" w:type="dxa"/>
            <w:tcBorders>
              <w:top w:val="single" w:sz="6" w:space="0" w:color="auto"/>
              <w:left w:val="single" w:sz="6" w:space="0" w:color="auto"/>
              <w:bottom w:val="single" w:sz="6" w:space="0" w:color="auto"/>
              <w:right w:val="single" w:sz="6" w:space="0" w:color="auto"/>
            </w:tcBorders>
          </w:tcPr>
          <w:p w14:paraId="4A859727" w14:textId="77777777" w:rsidR="00CA23D0" w:rsidRPr="00E30642" w:rsidRDefault="00CA23D0" w:rsidP="00CA23D0">
            <w:pPr>
              <w:pStyle w:val="Texttabulky"/>
              <w:spacing w:line="240" w:lineRule="atLeast"/>
              <w:jc w:val="both"/>
              <w:rPr>
                <w:rFonts w:cs="Arial"/>
              </w:rPr>
            </w:pPr>
            <w:r w:rsidRPr="00E30642">
              <w:rPr>
                <w:rFonts w:cs="Arial"/>
              </w:rPr>
              <w:t>36 218</w:t>
            </w:r>
          </w:p>
        </w:tc>
        <w:tc>
          <w:tcPr>
            <w:tcW w:w="709" w:type="dxa"/>
            <w:tcBorders>
              <w:top w:val="single" w:sz="6" w:space="0" w:color="auto"/>
              <w:left w:val="single" w:sz="6" w:space="0" w:color="auto"/>
              <w:bottom w:val="single" w:sz="6" w:space="0" w:color="auto"/>
              <w:right w:val="single" w:sz="6" w:space="0" w:color="auto"/>
            </w:tcBorders>
          </w:tcPr>
          <w:p w14:paraId="02047E66" w14:textId="77777777" w:rsidR="00CA23D0" w:rsidRPr="00E30642" w:rsidRDefault="00CA23D0" w:rsidP="00CA23D0">
            <w:pPr>
              <w:pStyle w:val="Texttabulky"/>
              <w:spacing w:line="240" w:lineRule="atLeast"/>
              <w:jc w:val="both"/>
              <w:rPr>
                <w:rFonts w:cs="Arial"/>
              </w:rPr>
            </w:pPr>
            <w:r w:rsidRPr="00E30642">
              <w:rPr>
                <w:rFonts w:cs="Arial"/>
              </w:rPr>
              <w:t>78 167</w:t>
            </w:r>
          </w:p>
        </w:tc>
        <w:tc>
          <w:tcPr>
            <w:tcW w:w="708" w:type="dxa"/>
            <w:tcBorders>
              <w:top w:val="single" w:sz="6" w:space="0" w:color="auto"/>
              <w:left w:val="single" w:sz="6" w:space="0" w:color="auto"/>
              <w:bottom w:val="single" w:sz="6" w:space="0" w:color="auto"/>
              <w:right w:val="single" w:sz="6" w:space="0" w:color="auto"/>
            </w:tcBorders>
          </w:tcPr>
          <w:p w14:paraId="0171D09F" w14:textId="77777777" w:rsidR="00CA23D0" w:rsidRPr="00E30642" w:rsidRDefault="00CA23D0" w:rsidP="00CA23D0">
            <w:pPr>
              <w:pStyle w:val="Texttabulky"/>
              <w:spacing w:line="240" w:lineRule="atLeast"/>
              <w:jc w:val="both"/>
              <w:rPr>
                <w:rFonts w:cs="Arial"/>
              </w:rPr>
            </w:pPr>
            <w:r w:rsidRPr="00E30642">
              <w:rPr>
                <w:rFonts w:cs="Arial"/>
              </w:rPr>
              <w:t>41 465</w:t>
            </w:r>
          </w:p>
        </w:tc>
        <w:tc>
          <w:tcPr>
            <w:tcW w:w="567" w:type="dxa"/>
            <w:tcBorders>
              <w:top w:val="single" w:sz="6" w:space="0" w:color="auto"/>
              <w:left w:val="single" w:sz="6" w:space="0" w:color="auto"/>
              <w:bottom w:val="single" w:sz="6" w:space="0" w:color="auto"/>
              <w:right w:val="single" w:sz="6" w:space="0" w:color="auto"/>
            </w:tcBorders>
          </w:tcPr>
          <w:p w14:paraId="065D14C5" w14:textId="77777777" w:rsidR="00CA23D0" w:rsidRPr="00E30642" w:rsidRDefault="00CA23D0" w:rsidP="00CA23D0">
            <w:pPr>
              <w:pStyle w:val="Texttabulky"/>
              <w:spacing w:line="240" w:lineRule="atLeast"/>
              <w:jc w:val="both"/>
              <w:rPr>
                <w:rFonts w:cs="Arial"/>
              </w:rPr>
            </w:pPr>
            <w:r w:rsidRPr="00E30642">
              <w:rPr>
                <w:rFonts w:cs="Arial"/>
              </w:rPr>
              <w:t>36 831</w:t>
            </w:r>
          </w:p>
        </w:tc>
        <w:tc>
          <w:tcPr>
            <w:tcW w:w="709" w:type="dxa"/>
            <w:tcBorders>
              <w:top w:val="single" w:sz="6" w:space="0" w:color="auto"/>
              <w:left w:val="single" w:sz="6" w:space="0" w:color="auto"/>
              <w:bottom w:val="single" w:sz="6" w:space="0" w:color="auto"/>
              <w:right w:val="single" w:sz="6" w:space="0" w:color="auto"/>
            </w:tcBorders>
          </w:tcPr>
          <w:p w14:paraId="3BF28C19" w14:textId="77777777" w:rsidR="00CA23D0" w:rsidRPr="00E30642" w:rsidRDefault="00CA23D0" w:rsidP="00CA23D0">
            <w:pPr>
              <w:pStyle w:val="Texttabulky"/>
              <w:spacing w:line="240" w:lineRule="atLeast"/>
              <w:jc w:val="both"/>
              <w:rPr>
                <w:rFonts w:cs="Arial"/>
              </w:rPr>
            </w:pPr>
            <w:r w:rsidRPr="00E30642">
              <w:rPr>
                <w:rFonts w:cs="Arial"/>
              </w:rPr>
              <w:t>78 296</w:t>
            </w:r>
          </w:p>
        </w:tc>
      </w:tr>
      <w:tr w:rsidR="00CA23D0" w:rsidRPr="00E30642" w14:paraId="4DBC4C84" w14:textId="77777777" w:rsidTr="00CA23D0">
        <w:tc>
          <w:tcPr>
            <w:tcW w:w="900" w:type="dxa"/>
            <w:tcBorders>
              <w:top w:val="single" w:sz="6" w:space="0" w:color="auto"/>
              <w:left w:val="single" w:sz="6" w:space="0" w:color="auto"/>
              <w:bottom w:val="single" w:sz="6" w:space="0" w:color="auto"/>
              <w:right w:val="single" w:sz="6" w:space="0" w:color="auto"/>
            </w:tcBorders>
          </w:tcPr>
          <w:p w14:paraId="7C6A88C6" w14:textId="77777777" w:rsidR="00CA23D0" w:rsidRPr="00E30642" w:rsidRDefault="00CA23D0" w:rsidP="00CA23D0">
            <w:pPr>
              <w:pStyle w:val="Texttabulky"/>
              <w:spacing w:line="240" w:lineRule="atLeast"/>
              <w:jc w:val="both"/>
              <w:rPr>
                <w:rFonts w:cs="Arial"/>
              </w:rPr>
            </w:pPr>
            <w:r w:rsidRPr="00E30642">
              <w:rPr>
                <w:rFonts w:cs="Arial"/>
                <w:i/>
                <w:iCs/>
              </w:rPr>
              <w:t>poprod. Věk</w:t>
            </w:r>
          </w:p>
        </w:tc>
        <w:tc>
          <w:tcPr>
            <w:tcW w:w="559" w:type="dxa"/>
            <w:tcBorders>
              <w:top w:val="single" w:sz="6" w:space="0" w:color="auto"/>
              <w:left w:val="single" w:sz="6" w:space="0" w:color="auto"/>
              <w:bottom w:val="single" w:sz="6" w:space="0" w:color="auto"/>
              <w:right w:val="single" w:sz="6" w:space="0" w:color="auto"/>
            </w:tcBorders>
          </w:tcPr>
          <w:p w14:paraId="1E0E18EE" w14:textId="77777777" w:rsidR="00CA23D0" w:rsidRPr="00E30642" w:rsidRDefault="00CA23D0" w:rsidP="00CA23D0">
            <w:pPr>
              <w:pStyle w:val="Texttabulky"/>
              <w:spacing w:line="240" w:lineRule="atLeast"/>
              <w:jc w:val="both"/>
              <w:rPr>
                <w:rFonts w:cs="Arial"/>
              </w:rPr>
            </w:pPr>
            <w:r w:rsidRPr="00E30642">
              <w:rPr>
                <w:rFonts w:cs="Arial"/>
              </w:rPr>
              <w:t>8 524</w:t>
            </w:r>
          </w:p>
        </w:tc>
        <w:tc>
          <w:tcPr>
            <w:tcW w:w="614" w:type="dxa"/>
            <w:tcBorders>
              <w:top w:val="single" w:sz="6" w:space="0" w:color="auto"/>
              <w:left w:val="single" w:sz="6" w:space="0" w:color="auto"/>
              <w:bottom w:val="single" w:sz="6" w:space="0" w:color="auto"/>
              <w:right w:val="single" w:sz="6" w:space="0" w:color="auto"/>
            </w:tcBorders>
          </w:tcPr>
          <w:p w14:paraId="1DDF25D3" w14:textId="77777777" w:rsidR="00CA23D0" w:rsidRPr="00E30642" w:rsidRDefault="00CA23D0" w:rsidP="00CA23D0">
            <w:pPr>
              <w:pStyle w:val="Texttabulky"/>
              <w:spacing w:line="240" w:lineRule="atLeast"/>
              <w:jc w:val="both"/>
              <w:rPr>
                <w:rFonts w:cs="Arial"/>
              </w:rPr>
            </w:pPr>
            <w:r w:rsidRPr="00E30642">
              <w:rPr>
                <w:rFonts w:cs="Arial"/>
              </w:rPr>
              <w:t>16 426</w:t>
            </w:r>
          </w:p>
        </w:tc>
        <w:tc>
          <w:tcPr>
            <w:tcW w:w="762" w:type="dxa"/>
            <w:tcBorders>
              <w:top w:val="single" w:sz="6" w:space="0" w:color="auto"/>
              <w:left w:val="single" w:sz="6" w:space="0" w:color="auto"/>
              <w:bottom w:val="single" w:sz="6" w:space="0" w:color="auto"/>
              <w:right w:val="single" w:sz="6" w:space="0" w:color="auto"/>
            </w:tcBorders>
          </w:tcPr>
          <w:p w14:paraId="14BACE72" w14:textId="77777777" w:rsidR="00CA23D0" w:rsidRPr="00E30642" w:rsidRDefault="00CA23D0" w:rsidP="00CA23D0">
            <w:pPr>
              <w:pStyle w:val="Texttabulky"/>
              <w:spacing w:line="240" w:lineRule="atLeast"/>
              <w:jc w:val="both"/>
              <w:rPr>
                <w:rFonts w:cs="Arial"/>
              </w:rPr>
            </w:pPr>
            <w:r w:rsidRPr="00E30642">
              <w:rPr>
                <w:rFonts w:cs="Arial"/>
              </w:rPr>
              <w:t>24 950</w:t>
            </w:r>
          </w:p>
        </w:tc>
        <w:tc>
          <w:tcPr>
            <w:tcW w:w="709" w:type="dxa"/>
            <w:tcBorders>
              <w:top w:val="single" w:sz="6" w:space="0" w:color="auto"/>
              <w:left w:val="single" w:sz="6" w:space="0" w:color="auto"/>
              <w:bottom w:val="single" w:sz="6" w:space="0" w:color="auto"/>
              <w:right w:val="single" w:sz="6" w:space="0" w:color="auto"/>
            </w:tcBorders>
          </w:tcPr>
          <w:p w14:paraId="5D8EA721" w14:textId="77777777" w:rsidR="00CA23D0" w:rsidRPr="00E30642" w:rsidRDefault="00CA23D0" w:rsidP="00CA23D0">
            <w:pPr>
              <w:pStyle w:val="Texttabulky"/>
              <w:spacing w:line="240" w:lineRule="atLeast"/>
              <w:jc w:val="both"/>
              <w:rPr>
                <w:rFonts w:cs="Arial"/>
              </w:rPr>
            </w:pPr>
            <w:r w:rsidRPr="00E30642">
              <w:rPr>
                <w:rFonts w:cs="Arial"/>
              </w:rPr>
              <w:t>8 413</w:t>
            </w:r>
          </w:p>
        </w:tc>
        <w:tc>
          <w:tcPr>
            <w:tcW w:w="567" w:type="dxa"/>
            <w:tcBorders>
              <w:top w:val="single" w:sz="6" w:space="0" w:color="auto"/>
              <w:left w:val="single" w:sz="6" w:space="0" w:color="auto"/>
              <w:bottom w:val="single" w:sz="6" w:space="0" w:color="auto"/>
              <w:right w:val="single" w:sz="6" w:space="0" w:color="auto"/>
            </w:tcBorders>
          </w:tcPr>
          <w:p w14:paraId="44AE9446" w14:textId="77777777" w:rsidR="00CA23D0" w:rsidRPr="00E30642" w:rsidRDefault="00CA23D0" w:rsidP="00CA23D0">
            <w:pPr>
              <w:pStyle w:val="Texttabulky"/>
              <w:spacing w:line="240" w:lineRule="atLeast"/>
              <w:jc w:val="both"/>
              <w:rPr>
                <w:rFonts w:cs="Arial"/>
              </w:rPr>
            </w:pPr>
            <w:r w:rsidRPr="00E30642">
              <w:rPr>
                <w:rFonts w:cs="Arial"/>
              </w:rPr>
              <w:t>16 991</w:t>
            </w:r>
          </w:p>
        </w:tc>
        <w:tc>
          <w:tcPr>
            <w:tcW w:w="709" w:type="dxa"/>
            <w:tcBorders>
              <w:top w:val="single" w:sz="6" w:space="0" w:color="auto"/>
              <w:left w:val="single" w:sz="6" w:space="0" w:color="auto"/>
              <w:bottom w:val="single" w:sz="6" w:space="0" w:color="auto"/>
              <w:right w:val="single" w:sz="6" w:space="0" w:color="auto"/>
            </w:tcBorders>
          </w:tcPr>
          <w:p w14:paraId="787B21DC" w14:textId="77777777" w:rsidR="00CA23D0" w:rsidRPr="00E30642" w:rsidRDefault="00CA23D0" w:rsidP="00CA23D0">
            <w:pPr>
              <w:pStyle w:val="Texttabulky"/>
              <w:spacing w:line="240" w:lineRule="atLeast"/>
              <w:jc w:val="both"/>
              <w:rPr>
                <w:rFonts w:cs="Arial"/>
              </w:rPr>
            </w:pPr>
            <w:r w:rsidRPr="00E30642">
              <w:rPr>
                <w:rFonts w:cs="Arial"/>
              </w:rPr>
              <w:t>25 404</w:t>
            </w:r>
          </w:p>
        </w:tc>
        <w:tc>
          <w:tcPr>
            <w:tcW w:w="567" w:type="dxa"/>
            <w:tcBorders>
              <w:top w:val="single" w:sz="6" w:space="0" w:color="auto"/>
              <w:left w:val="single" w:sz="6" w:space="0" w:color="auto"/>
              <w:bottom w:val="single" w:sz="6" w:space="0" w:color="auto"/>
              <w:right w:val="single" w:sz="6" w:space="0" w:color="auto"/>
            </w:tcBorders>
          </w:tcPr>
          <w:p w14:paraId="26CEEC5C" w14:textId="77777777" w:rsidR="00CA23D0" w:rsidRPr="00E30642" w:rsidRDefault="00CA23D0" w:rsidP="00CA23D0">
            <w:pPr>
              <w:pStyle w:val="Texttabulky"/>
              <w:spacing w:line="240" w:lineRule="atLeast"/>
              <w:jc w:val="both"/>
              <w:rPr>
                <w:rFonts w:cs="Arial"/>
              </w:rPr>
            </w:pPr>
            <w:r w:rsidRPr="00E30642">
              <w:rPr>
                <w:rFonts w:cs="Arial"/>
              </w:rPr>
              <w:t>11 212</w:t>
            </w:r>
          </w:p>
        </w:tc>
        <w:tc>
          <w:tcPr>
            <w:tcW w:w="567" w:type="dxa"/>
            <w:tcBorders>
              <w:top w:val="single" w:sz="6" w:space="0" w:color="auto"/>
              <w:left w:val="single" w:sz="6" w:space="0" w:color="auto"/>
              <w:bottom w:val="single" w:sz="6" w:space="0" w:color="auto"/>
              <w:right w:val="single" w:sz="6" w:space="0" w:color="auto"/>
            </w:tcBorders>
          </w:tcPr>
          <w:p w14:paraId="6B4E4D93" w14:textId="77777777" w:rsidR="00CA23D0" w:rsidRPr="00E30642" w:rsidRDefault="00CA23D0" w:rsidP="00CA23D0">
            <w:pPr>
              <w:pStyle w:val="Texttabulky"/>
              <w:spacing w:line="240" w:lineRule="atLeast"/>
              <w:jc w:val="both"/>
              <w:rPr>
                <w:rFonts w:cs="Arial"/>
              </w:rPr>
            </w:pPr>
            <w:r w:rsidRPr="00E30642">
              <w:rPr>
                <w:rFonts w:cs="Arial"/>
              </w:rPr>
              <w:t>20 531</w:t>
            </w:r>
          </w:p>
        </w:tc>
        <w:tc>
          <w:tcPr>
            <w:tcW w:w="709" w:type="dxa"/>
            <w:tcBorders>
              <w:top w:val="single" w:sz="6" w:space="0" w:color="auto"/>
              <w:left w:val="single" w:sz="6" w:space="0" w:color="auto"/>
              <w:bottom w:val="single" w:sz="6" w:space="0" w:color="auto"/>
              <w:right w:val="single" w:sz="6" w:space="0" w:color="auto"/>
            </w:tcBorders>
          </w:tcPr>
          <w:p w14:paraId="3602FD89" w14:textId="77777777" w:rsidR="00CA23D0" w:rsidRPr="00E30642" w:rsidRDefault="00CA23D0" w:rsidP="00CA23D0">
            <w:pPr>
              <w:pStyle w:val="Texttabulky"/>
              <w:spacing w:line="240" w:lineRule="atLeast"/>
              <w:jc w:val="both"/>
              <w:rPr>
                <w:rFonts w:cs="Arial"/>
              </w:rPr>
            </w:pPr>
            <w:r w:rsidRPr="00E30642">
              <w:rPr>
                <w:rFonts w:cs="Arial"/>
              </w:rPr>
              <w:t>31 743</w:t>
            </w:r>
          </w:p>
        </w:tc>
        <w:tc>
          <w:tcPr>
            <w:tcW w:w="708" w:type="dxa"/>
            <w:tcBorders>
              <w:top w:val="single" w:sz="6" w:space="0" w:color="auto"/>
              <w:left w:val="single" w:sz="6" w:space="0" w:color="auto"/>
              <w:bottom w:val="single" w:sz="6" w:space="0" w:color="auto"/>
              <w:right w:val="single" w:sz="6" w:space="0" w:color="auto"/>
            </w:tcBorders>
          </w:tcPr>
          <w:p w14:paraId="2BC5316F" w14:textId="77777777" w:rsidR="00CA23D0" w:rsidRPr="00E30642" w:rsidRDefault="00CA23D0" w:rsidP="00CA23D0">
            <w:pPr>
              <w:pStyle w:val="Texttabulky"/>
              <w:spacing w:line="240" w:lineRule="atLeast"/>
              <w:jc w:val="both"/>
              <w:rPr>
                <w:rFonts w:cs="Arial"/>
              </w:rPr>
            </w:pPr>
            <w:r w:rsidRPr="00E30642">
              <w:rPr>
                <w:rFonts w:cs="Arial"/>
              </w:rPr>
              <w:t>11 533</w:t>
            </w:r>
          </w:p>
        </w:tc>
        <w:tc>
          <w:tcPr>
            <w:tcW w:w="567" w:type="dxa"/>
            <w:tcBorders>
              <w:top w:val="single" w:sz="6" w:space="0" w:color="auto"/>
              <w:left w:val="single" w:sz="6" w:space="0" w:color="auto"/>
              <w:bottom w:val="single" w:sz="6" w:space="0" w:color="auto"/>
              <w:right w:val="single" w:sz="6" w:space="0" w:color="auto"/>
            </w:tcBorders>
          </w:tcPr>
          <w:p w14:paraId="47063FCC" w14:textId="77777777" w:rsidR="00CA23D0" w:rsidRPr="00E30642" w:rsidRDefault="00CA23D0" w:rsidP="00CA23D0">
            <w:pPr>
              <w:pStyle w:val="Texttabulky"/>
              <w:spacing w:line="240" w:lineRule="atLeast"/>
              <w:jc w:val="both"/>
              <w:rPr>
                <w:rFonts w:cs="Arial"/>
              </w:rPr>
            </w:pPr>
            <w:r w:rsidRPr="00E30642">
              <w:rPr>
                <w:rFonts w:cs="Arial"/>
              </w:rPr>
              <w:t>20 057</w:t>
            </w:r>
          </w:p>
        </w:tc>
        <w:tc>
          <w:tcPr>
            <w:tcW w:w="709" w:type="dxa"/>
            <w:tcBorders>
              <w:top w:val="single" w:sz="6" w:space="0" w:color="auto"/>
              <w:left w:val="single" w:sz="6" w:space="0" w:color="auto"/>
              <w:bottom w:val="single" w:sz="6" w:space="0" w:color="auto"/>
              <w:right w:val="single" w:sz="6" w:space="0" w:color="auto"/>
            </w:tcBorders>
          </w:tcPr>
          <w:p w14:paraId="55CA5218" w14:textId="77777777" w:rsidR="00CA23D0" w:rsidRPr="00E30642" w:rsidRDefault="00CA23D0" w:rsidP="00CA23D0">
            <w:pPr>
              <w:pStyle w:val="Texttabulky"/>
              <w:spacing w:line="240" w:lineRule="atLeast"/>
              <w:jc w:val="both"/>
              <w:rPr>
                <w:rFonts w:cs="Arial"/>
              </w:rPr>
            </w:pPr>
            <w:r w:rsidRPr="00E30642">
              <w:rPr>
                <w:rFonts w:cs="Arial"/>
              </w:rPr>
              <w:t>31 590</w:t>
            </w:r>
          </w:p>
        </w:tc>
      </w:tr>
      <w:tr w:rsidR="00CA23D0" w:rsidRPr="00E30642" w14:paraId="2A1CBFCF" w14:textId="77777777" w:rsidTr="00CA23D0">
        <w:tc>
          <w:tcPr>
            <w:tcW w:w="900" w:type="dxa"/>
            <w:tcBorders>
              <w:top w:val="single" w:sz="6" w:space="0" w:color="auto"/>
              <w:left w:val="single" w:sz="6" w:space="0" w:color="auto"/>
              <w:bottom w:val="single" w:sz="6" w:space="0" w:color="auto"/>
              <w:right w:val="single" w:sz="6" w:space="0" w:color="auto"/>
            </w:tcBorders>
          </w:tcPr>
          <w:p w14:paraId="4BD05013" w14:textId="77777777" w:rsidR="00CA23D0" w:rsidRPr="00E30642" w:rsidRDefault="00CA23D0" w:rsidP="00CA23D0">
            <w:pPr>
              <w:pStyle w:val="Texttabulky"/>
              <w:spacing w:line="240" w:lineRule="atLeast"/>
              <w:jc w:val="both"/>
              <w:rPr>
                <w:rFonts w:cs="Arial"/>
              </w:rPr>
            </w:pPr>
            <w:r w:rsidRPr="00E30642">
              <w:rPr>
                <w:rFonts w:cs="Arial"/>
                <w:i/>
                <w:iCs/>
              </w:rPr>
              <w:t>narození</w:t>
            </w:r>
          </w:p>
        </w:tc>
        <w:tc>
          <w:tcPr>
            <w:tcW w:w="559" w:type="dxa"/>
            <w:tcBorders>
              <w:top w:val="single" w:sz="6" w:space="0" w:color="auto"/>
              <w:left w:val="single" w:sz="6" w:space="0" w:color="auto"/>
              <w:bottom w:val="single" w:sz="6" w:space="0" w:color="auto"/>
              <w:right w:val="single" w:sz="6" w:space="0" w:color="auto"/>
            </w:tcBorders>
          </w:tcPr>
          <w:p w14:paraId="119CC6DE" w14:textId="77777777" w:rsidR="00CA23D0" w:rsidRPr="00E30642" w:rsidRDefault="00CA23D0" w:rsidP="00CA23D0">
            <w:pPr>
              <w:pStyle w:val="Texttabulky"/>
              <w:spacing w:line="240" w:lineRule="atLeast"/>
              <w:jc w:val="both"/>
              <w:rPr>
                <w:rFonts w:cs="Arial"/>
              </w:rPr>
            </w:pPr>
            <w:r w:rsidRPr="00E30642">
              <w:rPr>
                <w:rFonts w:cs="Arial"/>
              </w:rPr>
              <w:t>940</w:t>
            </w:r>
          </w:p>
        </w:tc>
        <w:tc>
          <w:tcPr>
            <w:tcW w:w="614" w:type="dxa"/>
            <w:tcBorders>
              <w:top w:val="single" w:sz="6" w:space="0" w:color="auto"/>
              <w:left w:val="single" w:sz="6" w:space="0" w:color="auto"/>
              <w:bottom w:val="single" w:sz="6" w:space="0" w:color="auto"/>
              <w:right w:val="single" w:sz="6" w:space="0" w:color="auto"/>
            </w:tcBorders>
          </w:tcPr>
          <w:p w14:paraId="4685DD95" w14:textId="77777777" w:rsidR="00CA23D0" w:rsidRPr="00E30642" w:rsidRDefault="00CA23D0" w:rsidP="00CA23D0">
            <w:pPr>
              <w:pStyle w:val="Texttabulky"/>
              <w:spacing w:line="240" w:lineRule="atLeast"/>
              <w:jc w:val="both"/>
              <w:rPr>
                <w:rFonts w:cs="Arial"/>
              </w:rPr>
            </w:pPr>
            <w:r w:rsidRPr="00E30642">
              <w:rPr>
                <w:rFonts w:cs="Arial"/>
              </w:rPr>
              <w:t>889</w:t>
            </w:r>
          </w:p>
        </w:tc>
        <w:tc>
          <w:tcPr>
            <w:tcW w:w="762" w:type="dxa"/>
            <w:tcBorders>
              <w:top w:val="single" w:sz="6" w:space="0" w:color="auto"/>
              <w:left w:val="single" w:sz="6" w:space="0" w:color="auto"/>
              <w:bottom w:val="single" w:sz="6" w:space="0" w:color="auto"/>
              <w:right w:val="single" w:sz="6" w:space="0" w:color="auto"/>
            </w:tcBorders>
          </w:tcPr>
          <w:p w14:paraId="18927A0B" w14:textId="77777777" w:rsidR="00CA23D0" w:rsidRPr="00E30642" w:rsidRDefault="00CA23D0" w:rsidP="00CA23D0">
            <w:pPr>
              <w:pStyle w:val="Texttabulky"/>
              <w:spacing w:line="240" w:lineRule="atLeast"/>
              <w:jc w:val="both"/>
              <w:rPr>
                <w:rFonts w:cs="Arial"/>
              </w:rPr>
            </w:pPr>
            <w:r w:rsidRPr="00E30642">
              <w:rPr>
                <w:rFonts w:cs="Arial"/>
              </w:rPr>
              <w:t>1 829</w:t>
            </w:r>
          </w:p>
        </w:tc>
        <w:tc>
          <w:tcPr>
            <w:tcW w:w="709" w:type="dxa"/>
            <w:tcBorders>
              <w:top w:val="single" w:sz="6" w:space="0" w:color="auto"/>
              <w:left w:val="single" w:sz="6" w:space="0" w:color="auto"/>
              <w:bottom w:val="single" w:sz="6" w:space="0" w:color="auto"/>
              <w:right w:val="single" w:sz="6" w:space="0" w:color="auto"/>
            </w:tcBorders>
          </w:tcPr>
          <w:p w14:paraId="4660B477" w14:textId="77777777" w:rsidR="00CA23D0" w:rsidRPr="00E30642" w:rsidRDefault="00CA23D0" w:rsidP="00CA23D0">
            <w:pPr>
              <w:pStyle w:val="Texttabulky"/>
              <w:spacing w:line="240" w:lineRule="atLeast"/>
              <w:jc w:val="both"/>
              <w:rPr>
                <w:rFonts w:cs="Arial"/>
              </w:rPr>
            </w:pPr>
            <w:r w:rsidRPr="00E30642">
              <w:rPr>
                <w:rFonts w:cs="Arial"/>
              </w:rPr>
              <w:t>967</w:t>
            </w:r>
          </w:p>
        </w:tc>
        <w:tc>
          <w:tcPr>
            <w:tcW w:w="567" w:type="dxa"/>
            <w:tcBorders>
              <w:top w:val="single" w:sz="6" w:space="0" w:color="auto"/>
              <w:left w:val="single" w:sz="6" w:space="0" w:color="auto"/>
              <w:bottom w:val="single" w:sz="6" w:space="0" w:color="auto"/>
              <w:right w:val="single" w:sz="6" w:space="0" w:color="auto"/>
            </w:tcBorders>
          </w:tcPr>
          <w:p w14:paraId="06F8031D" w14:textId="77777777" w:rsidR="00CA23D0" w:rsidRPr="00E30642" w:rsidRDefault="00CA23D0" w:rsidP="00CA23D0">
            <w:pPr>
              <w:pStyle w:val="Texttabulky"/>
              <w:spacing w:line="240" w:lineRule="atLeast"/>
              <w:jc w:val="both"/>
              <w:rPr>
                <w:rFonts w:cs="Arial"/>
              </w:rPr>
            </w:pPr>
            <w:r w:rsidRPr="00E30642">
              <w:rPr>
                <w:rFonts w:cs="Arial"/>
              </w:rPr>
              <w:t>915</w:t>
            </w:r>
          </w:p>
        </w:tc>
        <w:tc>
          <w:tcPr>
            <w:tcW w:w="709" w:type="dxa"/>
            <w:tcBorders>
              <w:top w:val="single" w:sz="6" w:space="0" w:color="auto"/>
              <w:left w:val="single" w:sz="6" w:space="0" w:color="auto"/>
              <w:bottom w:val="single" w:sz="6" w:space="0" w:color="auto"/>
              <w:right w:val="single" w:sz="6" w:space="0" w:color="auto"/>
            </w:tcBorders>
          </w:tcPr>
          <w:p w14:paraId="739C26C1" w14:textId="77777777" w:rsidR="00CA23D0" w:rsidRPr="00E30642" w:rsidRDefault="00CA23D0" w:rsidP="00CA23D0">
            <w:pPr>
              <w:pStyle w:val="Texttabulky"/>
              <w:spacing w:line="240" w:lineRule="atLeast"/>
              <w:jc w:val="both"/>
              <w:rPr>
                <w:rFonts w:cs="Arial"/>
              </w:rPr>
            </w:pPr>
            <w:r w:rsidRPr="00E30642">
              <w:rPr>
                <w:rFonts w:cs="Arial"/>
              </w:rPr>
              <w:t>1 882</w:t>
            </w:r>
          </w:p>
        </w:tc>
        <w:tc>
          <w:tcPr>
            <w:tcW w:w="567" w:type="dxa"/>
            <w:tcBorders>
              <w:top w:val="single" w:sz="6" w:space="0" w:color="auto"/>
              <w:left w:val="single" w:sz="6" w:space="0" w:color="auto"/>
              <w:bottom w:val="single" w:sz="6" w:space="0" w:color="auto"/>
              <w:right w:val="single" w:sz="6" w:space="0" w:color="auto"/>
            </w:tcBorders>
          </w:tcPr>
          <w:p w14:paraId="4887B54C" w14:textId="77777777" w:rsidR="00CA23D0" w:rsidRPr="00E30642" w:rsidRDefault="00CA23D0" w:rsidP="00CA23D0">
            <w:pPr>
              <w:pStyle w:val="Texttabulky"/>
              <w:spacing w:line="240" w:lineRule="atLeast"/>
              <w:jc w:val="both"/>
              <w:rPr>
                <w:rFonts w:cs="Arial"/>
              </w:rPr>
            </w:pPr>
            <w:r w:rsidRPr="00E30642">
              <w:rPr>
                <w:rFonts w:cs="Arial"/>
              </w:rPr>
              <w:t>772</w:t>
            </w:r>
          </w:p>
        </w:tc>
        <w:tc>
          <w:tcPr>
            <w:tcW w:w="567" w:type="dxa"/>
            <w:tcBorders>
              <w:top w:val="single" w:sz="6" w:space="0" w:color="auto"/>
              <w:left w:val="single" w:sz="6" w:space="0" w:color="auto"/>
              <w:bottom w:val="single" w:sz="6" w:space="0" w:color="auto"/>
              <w:right w:val="single" w:sz="6" w:space="0" w:color="auto"/>
            </w:tcBorders>
          </w:tcPr>
          <w:p w14:paraId="1942EFC4" w14:textId="77777777" w:rsidR="00CA23D0" w:rsidRPr="00E30642" w:rsidRDefault="00CA23D0" w:rsidP="00CA23D0">
            <w:pPr>
              <w:pStyle w:val="Texttabulky"/>
              <w:spacing w:line="240" w:lineRule="atLeast"/>
              <w:jc w:val="both"/>
              <w:rPr>
                <w:rFonts w:cs="Arial"/>
              </w:rPr>
            </w:pPr>
            <w:r w:rsidRPr="00E30642">
              <w:rPr>
                <w:rFonts w:cs="Arial"/>
              </w:rPr>
              <w:t>730</w:t>
            </w:r>
          </w:p>
        </w:tc>
        <w:tc>
          <w:tcPr>
            <w:tcW w:w="709" w:type="dxa"/>
            <w:tcBorders>
              <w:top w:val="single" w:sz="6" w:space="0" w:color="auto"/>
              <w:left w:val="single" w:sz="6" w:space="0" w:color="auto"/>
              <w:bottom w:val="single" w:sz="6" w:space="0" w:color="auto"/>
              <w:right w:val="single" w:sz="6" w:space="0" w:color="auto"/>
            </w:tcBorders>
          </w:tcPr>
          <w:p w14:paraId="37F4ECCC" w14:textId="77777777" w:rsidR="00CA23D0" w:rsidRPr="00E30642" w:rsidRDefault="00CA23D0" w:rsidP="00CA23D0">
            <w:pPr>
              <w:pStyle w:val="Texttabulky"/>
              <w:spacing w:line="240" w:lineRule="atLeast"/>
              <w:jc w:val="both"/>
              <w:rPr>
                <w:rFonts w:cs="Arial"/>
              </w:rPr>
            </w:pPr>
            <w:r w:rsidRPr="00E30642">
              <w:rPr>
                <w:rFonts w:cs="Arial"/>
              </w:rPr>
              <w:t>1 502</w:t>
            </w:r>
          </w:p>
        </w:tc>
        <w:tc>
          <w:tcPr>
            <w:tcW w:w="708" w:type="dxa"/>
            <w:tcBorders>
              <w:top w:val="single" w:sz="6" w:space="0" w:color="auto"/>
              <w:left w:val="single" w:sz="6" w:space="0" w:color="auto"/>
              <w:bottom w:val="single" w:sz="6" w:space="0" w:color="auto"/>
              <w:right w:val="single" w:sz="6" w:space="0" w:color="auto"/>
            </w:tcBorders>
          </w:tcPr>
          <w:p w14:paraId="4A2D2999" w14:textId="77777777" w:rsidR="00CA23D0" w:rsidRPr="00E30642" w:rsidRDefault="00CA23D0" w:rsidP="00CA23D0">
            <w:pPr>
              <w:pStyle w:val="Texttabulky"/>
              <w:spacing w:line="240" w:lineRule="atLeast"/>
              <w:jc w:val="both"/>
              <w:rPr>
                <w:rFonts w:cs="Arial"/>
              </w:rPr>
            </w:pPr>
            <w:r w:rsidRPr="00E30642">
              <w:rPr>
                <w:rFonts w:cs="Arial"/>
              </w:rPr>
              <w:t>767</w:t>
            </w:r>
          </w:p>
        </w:tc>
        <w:tc>
          <w:tcPr>
            <w:tcW w:w="567" w:type="dxa"/>
            <w:tcBorders>
              <w:top w:val="single" w:sz="6" w:space="0" w:color="auto"/>
              <w:left w:val="single" w:sz="6" w:space="0" w:color="auto"/>
              <w:bottom w:val="single" w:sz="6" w:space="0" w:color="auto"/>
              <w:right w:val="single" w:sz="6" w:space="0" w:color="auto"/>
            </w:tcBorders>
          </w:tcPr>
          <w:p w14:paraId="41A1A41B" w14:textId="77777777" w:rsidR="00CA23D0" w:rsidRPr="00E30642" w:rsidRDefault="00CA23D0" w:rsidP="00CA23D0">
            <w:pPr>
              <w:pStyle w:val="Texttabulky"/>
              <w:spacing w:line="240" w:lineRule="atLeast"/>
              <w:jc w:val="both"/>
              <w:rPr>
                <w:rFonts w:cs="Arial"/>
              </w:rPr>
            </w:pPr>
            <w:r w:rsidRPr="00E30642">
              <w:rPr>
                <w:rFonts w:cs="Arial"/>
              </w:rPr>
              <w:t>725</w:t>
            </w:r>
          </w:p>
        </w:tc>
        <w:tc>
          <w:tcPr>
            <w:tcW w:w="709" w:type="dxa"/>
            <w:tcBorders>
              <w:top w:val="single" w:sz="6" w:space="0" w:color="auto"/>
              <w:left w:val="single" w:sz="6" w:space="0" w:color="auto"/>
              <w:bottom w:val="single" w:sz="6" w:space="0" w:color="auto"/>
              <w:right w:val="single" w:sz="6" w:space="0" w:color="auto"/>
            </w:tcBorders>
          </w:tcPr>
          <w:p w14:paraId="71216B42" w14:textId="77777777" w:rsidR="00CA23D0" w:rsidRPr="00E30642" w:rsidRDefault="00CA23D0" w:rsidP="00CA23D0">
            <w:pPr>
              <w:pStyle w:val="Texttabulky"/>
              <w:spacing w:line="240" w:lineRule="atLeast"/>
              <w:jc w:val="both"/>
              <w:rPr>
                <w:rFonts w:cs="Arial"/>
              </w:rPr>
            </w:pPr>
            <w:r w:rsidRPr="00E30642">
              <w:rPr>
                <w:rFonts w:cs="Arial"/>
              </w:rPr>
              <w:t>1 492</w:t>
            </w:r>
          </w:p>
        </w:tc>
      </w:tr>
      <w:tr w:rsidR="00CA23D0" w:rsidRPr="00E30642" w14:paraId="5419ED1E" w14:textId="77777777" w:rsidTr="00CA23D0">
        <w:tc>
          <w:tcPr>
            <w:tcW w:w="900" w:type="dxa"/>
            <w:tcBorders>
              <w:top w:val="single" w:sz="6" w:space="0" w:color="auto"/>
              <w:left w:val="single" w:sz="6" w:space="0" w:color="auto"/>
              <w:bottom w:val="single" w:sz="6" w:space="0" w:color="auto"/>
              <w:right w:val="single" w:sz="6" w:space="0" w:color="auto"/>
            </w:tcBorders>
          </w:tcPr>
          <w:p w14:paraId="2BF7335B" w14:textId="77777777" w:rsidR="00CA23D0" w:rsidRPr="00E30642" w:rsidRDefault="00CA23D0" w:rsidP="00CA23D0">
            <w:pPr>
              <w:pStyle w:val="Texttabulky"/>
              <w:spacing w:line="240" w:lineRule="atLeast"/>
              <w:jc w:val="both"/>
              <w:rPr>
                <w:rFonts w:cs="Arial"/>
              </w:rPr>
            </w:pPr>
            <w:r w:rsidRPr="00E30642">
              <w:rPr>
                <w:rFonts w:cs="Arial"/>
                <w:i/>
                <w:iCs/>
              </w:rPr>
              <w:lastRenderedPageBreak/>
              <w:t>zemřelí</w:t>
            </w:r>
          </w:p>
        </w:tc>
        <w:tc>
          <w:tcPr>
            <w:tcW w:w="559" w:type="dxa"/>
            <w:tcBorders>
              <w:top w:val="single" w:sz="6" w:space="0" w:color="auto"/>
              <w:left w:val="single" w:sz="6" w:space="0" w:color="auto"/>
              <w:bottom w:val="single" w:sz="6" w:space="0" w:color="auto"/>
              <w:right w:val="single" w:sz="6" w:space="0" w:color="auto"/>
            </w:tcBorders>
          </w:tcPr>
          <w:p w14:paraId="4579E4A7" w14:textId="77777777" w:rsidR="00CA23D0" w:rsidRPr="00E30642" w:rsidRDefault="00CA23D0" w:rsidP="00CA23D0">
            <w:pPr>
              <w:pStyle w:val="Texttabulky"/>
              <w:spacing w:line="240" w:lineRule="atLeast"/>
              <w:jc w:val="both"/>
              <w:rPr>
                <w:rFonts w:cs="Arial"/>
              </w:rPr>
            </w:pPr>
            <w:r w:rsidRPr="00E30642">
              <w:rPr>
                <w:rFonts w:cs="Arial"/>
              </w:rPr>
              <w:t>781</w:t>
            </w:r>
          </w:p>
        </w:tc>
        <w:tc>
          <w:tcPr>
            <w:tcW w:w="614" w:type="dxa"/>
            <w:tcBorders>
              <w:top w:val="single" w:sz="6" w:space="0" w:color="auto"/>
              <w:left w:val="single" w:sz="6" w:space="0" w:color="auto"/>
              <w:bottom w:val="single" w:sz="6" w:space="0" w:color="auto"/>
              <w:right w:val="single" w:sz="6" w:space="0" w:color="auto"/>
            </w:tcBorders>
          </w:tcPr>
          <w:p w14:paraId="7045B627" w14:textId="77777777" w:rsidR="00CA23D0" w:rsidRPr="00E30642" w:rsidRDefault="00CA23D0" w:rsidP="00CA23D0">
            <w:pPr>
              <w:pStyle w:val="Texttabulky"/>
              <w:spacing w:line="240" w:lineRule="atLeast"/>
              <w:jc w:val="both"/>
              <w:rPr>
                <w:rFonts w:cs="Arial"/>
              </w:rPr>
            </w:pPr>
            <w:r w:rsidRPr="00E30642">
              <w:rPr>
                <w:rFonts w:cs="Arial"/>
              </w:rPr>
              <w:t>761</w:t>
            </w:r>
          </w:p>
        </w:tc>
        <w:tc>
          <w:tcPr>
            <w:tcW w:w="762" w:type="dxa"/>
            <w:tcBorders>
              <w:top w:val="single" w:sz="6" w:space="0" w:color="auto"/>
              <w:left w:val="single" w:sz="6" w:space="0" w:color="auto"/>
              <w:bottom w:val="single" w:sz="6" w:space="0" w:color="auto"/>
              <w:right w:val="single" w:sz="6" w:space="0" w:color="auto"/>
            </w:tcBorders>
          </w:tcPr>
          <w:p w14:paraId="3D69EE0E" w14:textId="77777777" w:rsidR="00CA23D0" w:rsidRPr="00E30642" w:rsidRDefault="00CA23D0" w:rsidP="00CA23D0">
            <w:pPr>
              <w:pStyle w:val="Texttabulky"/>
              <w:spacing w:line="240" w:lineRule="atLeast"/>
              <w:jc w:val="both"/>
              <w:rPr>
                <w:rFonts w:cs="Arial"/>
              </w:rPr>
            </w:pPr>
            <w:r w:rsidRPr="00E30642">
              <w:rPr>
                <w:rFonts w:cs="Arial"/>
              </w:rPr>
              <w:t>1 542</w:t>
            </w:r>
          </w:p>
        </w:tc>
        <w:tc>
          <w:tcPr>
            <w:tcW w:w="709" w:type="dxa"/>
            <w:tcBorders>
              <w:top w:val="single" w:sz="6" w:space="0" w:color="auto"/>
              <w:left w:val="single" w:sz="6" w:space="0" w:color="auto"/>
              <w:bottom w:val="single" w:sz="6" w:space="0" w:color="auto"/>
              <w:right w:val="single" w:sz="6" w:space="0" w:color="auto"/>
            </w:tcBorders>
          </w:tcPr>
          <w:p w14:paraId="23DE5A8A" w14:textId="77777777" w:rsidR="00CA23D0" w:rsidRPr="00E30642" w:rsidRDefault="00CA23D0" w:rsidP="00CA23D0">
            <w:pPr>
              <w:pStyle w:val="Texttabulky"/>
              <w:spacing w:line="240" w:lineRule="atLeast"/>
              <w:jc w:val="both"/>
              <w:rPr>
                <w:rFonts w:cs="Arial"/>
              </w:rPr>
            </w:pPr>
            <w:r w:rsidRPr="00E30642">
              <w:rPr>
                <w:rFonts w:cs="Arial"/>
              </w:rPr>
              <w:t>822</w:t>
            </w:r>
          </w:p>
        </w:tc>
        <w:tc>
          <w:tcPr>
            <w:tcW w:w="567" w:type="dxa"/>
            <w:tcBorders>
              <w:top w:val="single" w:sz="6" w:space="0" w:color="auto"/>
              <w:left w:val="single" w:sz="6" w:space="0" w:color="auto"/>
              <w:bottom w:val="single" w:sz="6" w:space="0" w:color="auto"/>
              <w:right w:val="single" w:sz="6" w:space="0" w:color="auto"/>
            </w:tcBorders>
          </w:tcPr>
          <w:p w14:paraId="2444369A" w14:textId="77777777" w:rsidR="00CA23D0" w:rsidRPr="00E30642" w:rsidRDefault="00CA23D0" w:rsidP="00CA23D0">
            <w:pPr>
              <w:pStyle w:val="Texttabulky"/>
              <w:spacing w:line="240" w:lineRule="atLeast"/>
              <w:jc w:val="both"/>
              <w:rPr>
                <w:rFonts w:cs="Arial"/>
              </w:rPr>
            </w:pPr>
            <w:r w:rsidRPr="00E30642">
              <w:rPr>
                <w:rFonts w:cs="Arial"/>
              </w:rPr>
              <w:t>803</w:t>
            </w:r>
          </w:p>
        </w:tc>
        <w:tc>
          <w:tcPr>
            <w:tcW w:w="709" w:type="dxa"/>
            <w:tcBorders>
              <w:top w:val="single" w:sz="6" w:space="0" w:color="auto"/>
              <w:left w:val="single" w:sz="6" w:space="0" w:color="auto"/>
              <w:bottom w:val="single" w:sz="6" w:space="0" w:color="auto"/>
              <w:right w:val="single" w:sz="6" w:space="0" w:color="auto"/>
            </w:tcBorders>
          </w:tcPr>
          <w:p w14:paraId="67EF7CF2" w14:textId="77777777" w:rsidR="00CA23D0" w:rsidRPr="00E30642" w:rsidRDefault="00CA23D0" w:rsidP="00CA23D0">
            <w:pPr>
              <w:pStyle w:val="Texttabulky"/>
              <w:spacing w:line="240" w:lineRule="atLeast"/>
              <w:jc w:val="both"/>
              <w:rPr>
                <w:rFonts w:cs="Arial"/>
              </w:rPr>
            </w:pPr>
            <w:r w:rsidRPr="00E30642">
              <w:rPr>
                <w:rFonts w:cs="Arial"/>
              </w:rPr>
              <w:t>1 625</w:t>
            </w:r>
          </w:p>
        </w:tc>
        <w:tc>
          <w:tcPr>
            <w:tcW w:w="567" w:type="dxa"/>
            <w:tcBorders>
              <w:top w:val="single" w:sz="6" w:space="0" w:color="auto"/>
              <w:left w:val="single" w:sz="6" w:space="0" w:color="auto"/>
              <w:bottom w:val="single" w:sz="6" w:space="0" w:color="auto"/>
              <w:right w:val="single" w:sz="6" w:space="0" w:color="auto"/>
            </w:tcBorders>
          </w:tcPr>
          <w:p w14:paraId="6999494C" w14:textId="77777777" w:rsidR="00CA23D0" w:rsidRPr="00E30642" w:rsidRDefault="00CA23D0" w:rsidP="00CA23D0">
            <w:pPr>
              <w:pStyle w:val="Texttabulky"/>
              <w:spacing w:line="240" w:lineRule="atLeast"/>
              <w:jc w:val="both"/>
              <w:rPr>
                <w:rFonts w:cs="Arial"/>
              </w:rPr>
            </w:pPr>
            <w:r w:rsidRPr="00E30642">
              <w:rPr>
                <w:rFonts w:cs="Arial"/>
              </w:rPr>
              <w:t>902</w:t>
            </w:r>
          </w:p>
        </w:tc>
        <w:tc>
          <w:tcPr>
            <w:tcW w:w="567" w:type="dxa"/>
            <w:tcBorders>
              <w:top w:val="single" w:sz="6" w:space="0" w:color="auto"/>
              <w:left w:val="single" w:sz="6" w:space="0" w:color="auto"/>
              <w:bottom w:val="single" w:sz="6" w:space="0" w:color="auto"/>
              <w:right w:val="single" w:sz="6" w:space="0" w:color="auto"/>
            </w:tcBorders>
          </w:tcPr>
          <w:p w14:paraId="389DCC57" w14:textId="77777777" w:rsidR="00CA23D0" w:rsidRPr="00E30642" w:rsidRDefault="00CA23D0" w:rsidP="00CA23D0">
            <w:pPr>
              <w:pStyle w:val="Texttabulky"/>
              <w:spacing w:line="240" w:lineRule="atLeast"/>
              <w:jc w:val="both"/>
              <w:rPr>
                <w:rFonts w:cs="Arial"/>
              </w:rPr>
            </w:pPr>
            <w:r w:rsidRPr="00E30642">
              <w:rPr>
                <w:rFonts w:cs="Arial"/>
              </w:rPr>
              <w:t>853</w:t>
            </w:r>
          </w:p>
        </w:tc>
        <w:tc>
          <w:tcPr>
            <w:tcW w:w="709" w:type="dxa"/>
            <w:tcBorders>
              <w:top w:val="single" w:sz="6" w:space="0" w:color="auto"/>
              <w:left w:val="single" w:sz="6" w:space="0" w:color="auto"/>
              <w:bottom w:val="single" w:sz="6" w:space="0" w:color="auto"/>
              <w:right w:val="single" w:sz="6" w:space="0" w:color="auto"/>
            </w:tcBorders>
          </w:tcPr>
          <w:p w14:paraId="18B4F662" w14:textId="77777777" w:rsidR="00CA23D0" w:rsidRPr="00E30642" w:rsidRDefault="00CA23D0" w:rsidP="00CA23D0">
            <w:pPr>
              <w:pStyle w:val="Texttabulky"/>
              <w:spacing w:line="240" w:lineRule="atLeast"/>
              <w:jc w:val="both"/>
              <w:rPr>
                <w:rFonts w:cs="Arial"/>
              </w:rPr>
            </w:pPr>
            <w:r w:rsidRPr="00E30642">
              <w:rPr>
                <w:rFonts w:cs="Arial"/>
              </w:rPr>
              <w:t>1 755</w:t>
            </w:r>
          </w:p>
        </w:tc>
        <w:tc>
          <w:tcPr>
            <w:tcW w:w="708" w:type="dxa"/>
            <w:tcBorders>
              <w:top w:val="single" w:sz="6" w:space="0" w:color="auto"/>
              <w:left w:val="single" w:sz="6" w:space="0" w:color="auto"/>
              <w:bottom w:val="single" w:sz="6" w:space="0" w:color="auto"/>
              <w:right w:val="single" w:sz="6" w:space="0" w:color="auto"/>
            </w:tcBorders>
          </w:tcPr>
          <w:p w14:paraId="715CB9BB" w14:textId="77777777" w:rsidR="00CA23D0" w:rsidRPr="00E30642" w:rsidRDefault="00CA23D0" w:rsidP="00CA23D0">
            <w:pPr>
              <w:pStyle w:val="Texttabulky"/>
              <w:spacing w:line="240" w:lineRule="atLeast"/>
              <w:jc w:val="both"/>
              <w:rPr>
                <w:rFonts w:cs="Arial"/>
              </w:rPr>
            </w:pPr>
            <w:r w:rsidRPr="00E30642">
              <w:rPr>
                <w:rFonts w:cs="Arial"/>
              </w:rPr>
              <w:t>996</w:t>
            </w:r>
          </w:p>
        </w:tc>
        <w:tc>
          <w:tcPr>
            <w:tcW w:w="567" w:type="dxa"/>
            <w:tcBorders>
              <w:top w:val="single" w:sz="6" w:space="0" w:color="auto"/>
              <w:left w:val="single" w:sz="6" w:space="0" w:color="auto"/>
              <w:bottom w:val="single" w:sz="6" w:space="0" w:color="auto"/>
              <w:right w:val="single" w:sz="6" w:space="0" w:color="auto"/>
            </w:tcBorders>
          </w:tcPr>
          <w:p w14:paraId="0D4E3A9D" w14:textId="77777777" w:rsidR="00CA23D0" w:rsidRPr="00E30642" w:rsidRDefault="00CA23D0" w:rsidP="00CA23D0">
            <w:pPr>
              <w:pStyle w:val="Texttabulky"/>
              <w:spacing w:line="240" w:lineRule="atLeast"/>
              <w:jc w:val="both"/>
              <w:rPr>
                <w:rFonts w:cs="Arial"/>
              </w:rPr>
            </w:pPr>
            <w:r w:rsidRPr="00E30642">
              <w:rPr>
                <w:rFonts w:cs="Arial"/>
              </w:rPr>
              <w:t>900</w:t>
            </w:r>
          </w:p>
        </w:tc>
        <w:tc>
          <w:tcPr>
            <w:tcW w:w="709" w:type="dxa"/>
            <w:tcBorders>
              <w:top w:val="single" w:sz="6" w:space="0" w:color="auto"/>
              <w:left w:val="single" w:sz="6" w:space="0" w:color="auto"/>
              <w:bottom w:val="single" w:sz="6" w:space="0" w:color="auto"/>
              <w:right w:val="single" w:sz="6" w:space="0" w:color="auto"/>
            </w:tcBorders>
          </w:tcPr>
          <w:p w14:paraId="0D2B604C" w14:textId="77777777" w:rsidR="00CA23D0" w:rsidRPr="00E30642" w:rsidRDefault="00CA23D0" w:rsidP="00CA23D0">
            <w:pPr>
              <w:pStyle w:val="Texttabulky"/>
              <w:spacing w:line="240" w:lineRule="atLeast"/>
              <w:jc w:val="both"/>
              <w:rPr>
                <w:rFonts w:cs="Arial"/>
              </w:rPr>
            </w:pPr>
            <w:r w:rsidRPr="00E30642">
              <w:rPr>
                <w:rFonts w:cs="Arial"/>
              </w:rPr>
              <w:t>1 896</w:t>
            </w:r>
          </w:p>
        </w:tc>
      </w:tr>
      <w:tr w:rsidR="00CA23D0" w:rsidRPr="00E30642" w14:paraId="6DC90AEA" w14:textId="77777777" w:rsidTr="00CA23D0">
        <w:tc>
          <w:tcPr>
            <w:tcW w:w="900" w:type="dxa"/>
            <w:tcBorders>
              <w:top w:val="single" w:sz="6" w:space="0" w:color="auto"/>
              <w:left w:val="single" w:sz="6" w:space="0" w:color="auto"/>
              <w:bottom w:val="single" w:sz="6" w:space="0" w:color="auto"/>
              <w:right w:val="single" w:sz="6" w:space="0" w:color="auto"/>
            </w:tcBorders>
          </w:tcPr>
          <w:p w14:paraId="01AA89DE" w14:textId="77777777" w:rsidR="00CA23D0" w:rsidRPr="00E30642" w:rsidRDefault="00CA23D0" w:rsidP="00CA23D0">
            <w:pPr>
              <w:pStyle w:val="Texttabulky"/>
              <w:spacing w:line="240" w:lineRule="atLeast"/>
              <w:jc w:val="both"/>
              <w:rPr>
                <w:rFonts w:cs="Arial"/>
              </w:rPr>
            </w:pPr>
            <w:r w:rsidRPr="00E30642">
              <w:rPr>
                <w:rFonts w:cs="Arial"/>
                <w:i/>
                <w:iCs/>
              </w:rPr>
              <w:t>přiroz měna</w:t>
            </w:r>
          </w:p>
        </w:tc>
        <w:tc>
          <w:tcPr>
            <w:tcW w:w="559" w:type="dxa"/>
            <w:tcBorders>
              <w:top w:val="single" w:sz="6" w:space="0" w:color="auto"/>
              <w:left w:val="single" w:sz="6" w:space="0" w:color="auto"/>
              <w:bottom w:val="single" w:sz="6" w:space="0" w:color="auto"/>
              <w:right w:val="single" w:sz="6" w:space="0" w:color="auto"/>
            </w:tcBorders>
          </w:tcPr>
          <w:p w14:paraId="0677C7B1" w14:textId="77777777" w:rsidR="00CA23D0" w:rsidRPr="00E30642" w:rsidRDefault="00CA23D0" w:rsidP="00CA23D0">
            <w:pPr>
              <w:pStyle w:val="Texttabulky"/>
              <w:spacing w:line="240" w:lineRule="atLeast"/>
              <w:jc w:val="both"/>
              <w:rPr>
                <w:rFonts w:cs="Arial"/>
              </w:rPr>
            </w:pPr>
            <w:r w:rsidRPr="00E30642">
              <w:rPr>
                <w:rFonts w:cs="Arial"/>
              </w:rPr>
              <w:t>159</w:t>
            </w:r>
          </w:p>
        </w:tc>
        <w:tc>
          <w:tcPr>
            <w:tcW w:w="614" w:type="dxa"/>
            <w:tcBorders>
              <w:top w:val="single" w:sz="6" w:space="0" w:color="auto"/>
              <w:left w:val="single" w:sz="6" w:space="0" w:color="auto"/>
              <w:bottom w:val="single" w:sz="6" w:space="0" w:color="auto"/>
              <w:right w:val="single" w:sz="6" w:space="0" w:color="auto"/>
            </w:tcBorders>
          </w:tcPr>
          <w:p w14:paraId="3C349411" w14:textId="77777777" w:rsidR="00CA23D0" w:rsidRPr="00E30642" w:rsidRDefault="00CA23D0" w:rsidP="00CA23D0">
            <w:pPr>
              <w:pStyle w:val="Texttabulky"/>
              <w:spacing w:line="240" w:lineRule="atLeast"/>
              <w:jc w:val="both"/>
              <w:rPr>
                <w:rFonts w:cs="Arial"/>
              </w:rPr>
            </w:pPr>
            <w:r w:rsidRPr="00E30642">
              <w:rPr>
                <w:rFonts w:cs="Arial"/>
              </w:rPr>
              <w:t>128</w:t>
            </w:r>
          </w:p>
        </w:tc>
        <w:tc>
          <w:tcPr>
            <w:tcW w:w="762" w:type="dxa"/>
            <w:tcBorders>
              <w:top w:val="single" w:sz="6" w:space="0" w:color="auto"/>
              <w:left w:val="single" w:sz="6" w:space="0" w:color="auto"/>
              <w:bottom w:val="single" w:sz="6" w:space="0" w:color="auto"/>
              <w:right w:val="single" w:sz="6" w:space="0" w:color="auto"/>
            </w:tcBorders>
          </w:tcPr>
          <w:p w14:paraId="48211493" w14:textId="77777777" w:rsidR="00CA23D0" w:rsidRPr="00E30642" w:rsidRDefault="00CA23D0" w:rsidP="00CA23D0">
            <w:pPr>
              <w:pStyle w:val="Texttabulky"/>
              <w:spacing w:line="240" w:lineRule="atLeast"/>
              <w:jc w:val="both"/>
              <w:rPr>
                <w:rFonts w:cs="Arial"/>
              </w:rPr>
            </w:pPr>
            <w:r w:rsidRPr="00E30642">
              <w:rPr>
                <w:rFonts w:cs="Arial"/>
              </w:rPr>
              <w:t>287</w:t>
            </w:r>
          </w:p>
        </w:tc>
        <w:tc>
          <w:tcPr>
            <w:tcW w:w="709" w:type="dxa"/>
            <w:tcBorders>
              <w:top w:val="single" w:sz="6" w:space="0" w:color="auto"/>
              <w:left w:val="single" w:sz="6" w:space="0" w:color="auto"/>
              <w:bottom w:val="single" w:sz="6" w:space="0" w:color="auto"/>
              <w:right w:val="single" w:sz="6" w:space="0" w:color="auto"/>
            </w:tcBorders>
          </w:tcPr>
          <w:p w14:paraId="381F361A" w14:textId="77777777" w:rsidR="00CA23D0" w:rsidRPr="00E30642" w:rsidRDefault="00CA23D0" w:rsidP="00CA23D0">
            <w:pPr>
              <w:pStyle w:val="Texttabulky"/>
              <w:spacing w:line="240" w:lineRule="atLeast"/>
              <w:jc w:val="both"/>
              <w:rPr>
                <w:rFonts w:cs="Arial"/>
              </w:rPr>
            </w:pPr>
            <w:r w:rsidRPr="00E30642">
              <w:rPr>
                <w:rFonts w:cs="Arial"/>
              </w:rPr>
              <w:t>145</w:t>
            </w:r>
          </w:p>
        </w:tc>
        <w:tc>
          <w:tcPr>
            <w:tcW w:w="567" w:type="dxa"/>
            <w:tcBorders>
              <w:top w:val="single" w:sz="6" w:space="0" w:color="auto"/>
              <w:left w:val="single" w:sz="6" w:space="0" w:color="auto"/>
              <w:bottom w:val="single" w:sz="6" w:space="0" w:color="auto"/>
              <w:right w:val="single" w:sz="6" w:space="0" w:color="auto"/>
            </w:tcBorders>
          </w:tcPr>
          <w:p w14:paraId="206B5019" w14:textId="77777777" w:rsidR="00CA23D0" w:rsidRPr="00E30642" w:rsidRDefault="00CA23D0" w:rsidP="00CA23D0">
            <w:pPr>
              <w:pStyle w:val="Texttabulky"/>
              <w:spacing w:line="240" w:lineRule="atLeast"/>
              <w:jc w:val="both"/>
              <w:rPr>
                <w:rFonts w:cs="Arial"/>
              </w:rPr>
            </w:pPr>
            <w:r w:rsidRPr="00E30642">
              <w:rPr>
                <w:rFonts w:cs="Arial"/>
              </w:rPr>
              <w:t>112</w:t>
            </w:r>
          </w:p>
        </w:tc>
        <w:tc>
          <w:tcPr>
            <w:tcW w:w="709" w:type="dxa"/>
            <w:tcBorders>
              <w:top w:val="single" w:sz="6" w:space="0" w:color="auto"/>
              <w:left w:val="single" w:sz="6" w:space="0" w:color="auto"/>
              <w:bottom w:val="single" w:sz="6" w:space="0" w:color="auto"/>
              <w:right w:val="single" w:sz="6" w:space="0" w:color="auto"/>
            </w:tcBorders>
          </w:tcPr>
          <w:p w14:paraId="4FECA1F4" w14:textId="77777777" w:rsidR="00CA23D0" w:rsidRPr="00E30642" w:rsidRDefault="00CA23D0" w:rsidP="00CA23D0">
            <w:pPr>
              <w:pStyle w:val="Texttabulky"/>
              <w:spacing w:line="240" w:lineRule="atLeast"/>
              <w:jc w:val="both"/>
              <w:rPr>
                <w:rFonts w:cs="Arial"/>
              </w:rPr>
            </w:pPr>
            <w:r w:rsidRPr="00E30642">
              <w:rPr>
                <w:rFonts w:cs="Arial"/>
              </w:rPr>
              <w:t>257</w:t>
            </w:r>
          </w:p>
        </w:tc>
        <w:tc>
          <w:tcPr>
            <w:tcW w:w="567" w:type="dxa"/>
            <w:tcBorders>
              <w:top w:val="single" w:sz="6" w:space="0" w:color="auto"/>
              <w:left w:val="single" w:sz="6" w:space="0" w:color="auto"/>
              <w:bottom w:val="single" w:sz="6" w:space="0" w:color="auto"/>
              <w:right w:val="single" w:sz="6" w:space="0" w:color="auto"/>
            </w:tcBorders>
          </w:tcPr>
          <w:p w14:paraId="440DE36F" w14:textId="77777777" w:rsidR="00CA23D0" w:rsidRPr="00E30642" w:rsidRDefault="00CA23D0" w:rsidP="00CA23D0">
            <w:pPr>
              <w:pStyle w:val="Texttabulky"/>
              <w:spacing w:line="240" w:lineRule="atLeast"/>
              <w:jc w:val="both"/>
              <w:rPr>
                <w:rFonts w:cs="Arial"/>
              </w:rPr>
            </w:pPr>
            <w:r w:rsidRPr="00E30642">
              <w:rPr>
                <w:rFonts w:cs="Arial"/>
              </w:rPr>
              <w:t>-130</w:t>
            </w:r>
          </w:p>
        </w:tc>
        <w:tc>
          <w:tcPr>
            <w:tcW w:w="567" w:type="dxa"/>
            <w:tcBorders>
              <w:top w:val="single" w:sz="6" w:space="0" w:color="auto"/>
              <w:left w:val="single" w:sz="6" w:space="0" w:color="auto"/>
              <w:bottom w:val="single" w:sz="6" w:space="0" w:color="auto"/>
              <w:right w:val="single" w:sz="6" w:space="0" w:color="auto"/>
            </w:tcBorders>
          </w:tcPr>
          <w:p w14:paraId="63DAF256" w14:textId="77777777" w:rsidR="00CA23D0" w:rsidRPr="00E30642" w:rsidRDefault="00CA23D0" w:rsidP="00CA23D0">
            <w:pPr>
              <w:pStyle w:val="Texttabulky"/>
              <w:spacing w:line="240" w:lineRule="atLeast"/>
              <w:jc w:val="both"/>
              <w:rPr>
                <w:rFonts w:cs="Arial"/>
              </w:rPr>
            </w:pPr>
            <w:r w:rsidRPr="00E30642">
              <w:rPr>
                <w:rFonts w:cs="Arial"/>
              </w:rPr>
              <w:t>-123</w:t>
            </w:r>
          </w:p>
        </w:tc>
        <w:tc>
          <w:tcPr>
            <w:tcW w:w="709" w:type="dxa"/>
            <w:tcBorders>
              <w:top w:val="single" w:sz="6" w:space="0" w:color="auto"/>
              <w:left w:val="single" w:sz="6" w:space="0" w:color="auto"/>
              <w:bottom w:val="single" w:sz="6" w:space="0" w:color="auto"/>
              <w:right w:val="single" w:sz="6" w:space="0" w:color="auto"/>
            </w:tcBorders>
          </w:tcPr>
          <w:p w14:paraId="618FC55A" w14:textId="77777777" w:rsidR="00CA23D0" w:rsidRPr="00E30642" w:rsidRDefault="00CA23D0" w:rsidP="00CA23D0">
            <w:pPr>
              <w:pStyle w:val="Texttabulky"/>
              <w:spacing w:line="240" w:lineRule="atLeast"/>
              <w:jc w:val="both"/>
              <w:rPr>
                <w:rFonts w:cs="Arial"/>
              </w:rPr>
            </w:pPr>
            <w:r w:rsidRPr="00E30642">
              <w:rPr>
                <w:rFonts w:cs="Arial"/>
              </w:rPr>
              <w:t>-253</w:t>
            </w:r>
          </w:p>
        </w:tc>
        <w:tc>
          <w:tcPr>
            <w:tcW w:w="708" w:type="dxa"/>
            <w:tcBorders>
              <w:top w:val="single" w:sz="6" w:space="0" w:color="auto"/>
              <w:left w:val="single" w:sz="6" w:space="0" w:color="auto"/>
              <w:bottom w:val="single" w:sz="6" w:space="0" w:color="auto"/>
              <w:right w:val="single" w:sz="6" w:space="0" w:color="auto"/>
            </w:tcBorders>
          </w:tcPr>
          <w:p w14:paraId="6392EE0D" w14:textId="77777777" w:rsidR="00CA23D0" w:rsidRPr="00E30642" w:rsidRDefault="00CA23D0" w:rsidP="00CA23D0">
            <w:pPr>
              <w:pStyle w:val="Texttabulky"/>
              <w:spacing w:line="240" w:lineRule="atLeast"/>
              <w:jc w:val="both"/>
              <w:rPr>
                <w:rFonts w:cs="Arial"/>
              </w:rPr>
            </w:pPr>
            <w:r w:rsidRPr="00E30642">
              <w:rPr>
                <w:rFonts w:cs="Arial"/>
              </w:rPr>
              <w:t>-229</w:t>
            </w:r>
          </w:p>
        </w:tc>
        <w:tc>
          <w:tcPr>
            <w:tcW w:w="567" w:type="dxa"/>
            <w:tcBorders>
              <w:top w:val="single" w:sz="6" w:space="0" w:color="auto"/>
              <w:left w:val="single" w:sz="6" w:space="0" w:color="auto"/>
              <w:bottom w:val="single" w:sz="6" w:space="0" w:color="auto"/>
              <w:right w:val="single" w:sz="6" w:space="0" w:color="auto"/>
            </w:tcBorders>
          </w:tcPr>
          <w:p w14:paraId="16C35931" w14:textId="77777777" w:rsidR="00CA23D0" w:rsidRPr="00E30642" w:rsidRDefault="00CA23D0" w:rsidP="00CA23D0">
            <w:pPr>
              <w:pStyle w:val="Texttabulky"/>
              <w:spacing w:line="240" w:lineRule="atLeast"/>
              <w:jc w:val="both"/>
              <w:rPr>
                <w:rFonts w:cs="Arial"/>
              </w:rPr>
            </w:pPr>
            <w:r w:rsidRPr="00E30642">
              <w:rPr>
                <w:rFonts w:cs="Arial"/>
              </w:rPr>
              <w:t>-175</w:t>
            </w:r>
          </w:p>
        </w:tc>
        <w:tc>
          <w:tcPr>
            <w:tcW w:w="709" w:type="dxa"/>
            <w:tcBorders>
              <w:top w:val="single" w:sz="6" w:space="0" w:color="auto"/>
              <w:left w:val="single" w:sz="6" w:space="0" w:color="auto"/>
              <w:bottom w:val="single" w:sz="6" w:space="0" w:color="auto"/>
              <w:right w:val="single" w:sz="6" w:space="0" w:color="auto"/>
            </w:tcBorders>
          </w:tcPr>
          <w:p w14:paraId="5F4178ED" w14:textId="77777777" w:rsidR="00CA23D0" w:rsidRPr="00E30642" w:rsidRDefault="00CA23D0" w:rsidP="00CA23D0">
            <w:pPr>
              <w:pStyle w:val="Texttabulky"/>
              <w:spacing w:line="240" w:lineRule="atLeast"/>
              <w:jc w:val="both"/>
              <w:rPr>
                <w:rFonts w:cs="Arial"/>
              </w:rPr>
            </w:pPr>
            <w:r w:rsidRPr="00E30642">
              <w:rPr>
                <w:rFonts w:cs="Arial"/>
              </w:rPr>
              <w:t>-404</w:t>
            </w:r>
          </w:p>
        </w:tc>
      </w:tr>
      <w:tr w:rsidR="00CA23D0" w:rsidRPr="00E30642" w14:paraId="3143A7D9" w14:textId="77777777" w:rsidTr="00CA23D0">
        <w:tc>
          <w:tcPr>
            <w:tcW w:w="8647" w:type="dxa"/>
            <w:gridSpan w:val="13"/>
            <w:tcBorders>
              <w:top w:val="single" w:sz="6" w:space="0" w:color="auto"/>
              <w:left w:val="single" w:sz="6" w:space="0" w:color="auto"/>
              <w:bottom w:val="single" w:sz="6" w:space="0" w:color="auto"/>
              <w:right w:val="single" w:sz="6" w:space="0" w:color="auto"/>
            </w:tcBorders>
          </w:tcPr>
          <w:p w14:paraId="54B4A5A6" w14:textId="77777777" w:rsidR="00CA23D0" w:rsidRPr="00E30642" w:rsidRDefault="00CA23D0" w:rsidP="00CA23D0">
            <w:pPr>
              <w:pStyle w:val="Zkladntext"/>
              <w:jc w:val="both"/>
              <w:rPr>
                <w:rFonts w:ascii="Arial" w:hAnsi="Arial" w:cs="Arial"/>
              </w:rPr>
            </w:pPr>
            <w:r w:rsidRPr="00E30642">
              <w:rPr>
                <w:rFonts w:ascii="Arial" w:hAnsi="Arial" w:cs="Arial"/>
                <w:i/>
                <w:iCs/>
              </w:rPr>
              <w:t>Pramen: ČSÚ Praha 1993</w:t>
            </w:r>
          </w:p>
        </w:tc>
      </w:tr>
    </w:tbl>
    <w:p w14:paraId="0B8B01CF" w14:textId="77777777" w:rsidR="00CA23D0" w:rsidRPr="00E30642" w:rsidRDefault="00CA23D0" w:rsidP="00CA23D0">
      <w:pPr>
        <w:pStyle w:val="Zkladntext"/>
        <w:spacing w:line="240" w:lineRule="atLeast"/>
        <w:jc w:val="both"/>
        <w:rPr>
          <w:rFonts w:ascii="Arial" w:hAnsi="Arial" w:cs="Arial"/>
        </w:rPr>
      </w:pPr>
    </w:p>
    <w:p w14:paraId="6ED10AB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Na sledované období se předpokládá do roku 2000 mírný růst, v dalším desetiletí bude pokračovat mírným poklesem (spíše stagnací). Období 2010 - 2020 bude charakteristické značným úbytkem obyvatel, kdy se do pásma zvýšené pravděpodobnosti úmrtí dostane jedna dosud nejčetnější část populace České republiky, tj. osoby narozené v letech 1945 - 1950. Tuto část populace nenahradí ani "druhá populační vlna" narozených v období 1970 - 1975.</w:t>
      </w:r>
    </w:p>
    <w:p w14:paraId="6495B26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 roce 1998 byla v ČSÚ zpracována pro území okresů České republiky projekce obyvatelstva do roku 2020 bez promítnutí procesů migrace. Výsledky této projekce jsou podstatně z  hlediska budoucího vývoje pesimistické. Do stanovení tohoto trendu nejvíce zasáhlo výrazné zpomalení vývoje v průběhu let 1991 – 1997. Dále uvedená tabulka ukazuje rozdíl výpočtu z  roku 1993 a 1998:</w:t>
      </w:r>
    </w:p>
    <w:p w14:paraId="5DE9E6AB" w14:textId="77777777" w:rsidR="00CA23D0" w:rsidRPr="00E30642" w:rsidRDefault="00CA23D0" w:rsidP="00CA23D0">
      <w:pPr>
        <w:pStyle w:val="Zkladntext"/>
        <w:spacing w:line="240" w:lineRule="atLeast"/>
        <w:jc w:val="both"/>
        <w:rPr>
          <w:rFonts w:ascii="Arial" w:hAnsi="Arial" w:cs="Arial"/>
        </w:rPr>
      </w:pPr>
    </w:p>
    <w:tbl>
      <w:tblPr>
        <w:tblW w:w="0" w:type="auto"/>
        <w:jc w:val="center"/>
        <w:tblLayout w:type="fixed"/>
        <w:tblCellMar>
          <w:left w:w="30" w:type="dxa"/>
          <w:right w:w="30" w:type="dxa"/>
        </w:tblCellMar>
        <w:tblLook w:val="0000" w:firstRow="0" w:lastRow="0" w:firstColumn="0" w:lastColumn="0" w:noHBand="0" w:noVBand="0"/>
      </w:tblPr>
      <w:tblGrid>
        <w:gridCol w:w="2105"/>
        <w:gridCol w:w="1140"/>
        <w:gridCol w:w="1240"/>
        <w:gridCol w:w="1140"/>
      </w:tblGrid>
      <w:tr w:rsidR="00CA23D0" w:rsidRPr="00E30642" w14:paraId="219D22B8"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7143125F" w14:textId="77777777" w:rsidR="00CA23D0" w:rsidRPr="00E30642" w:rsidRDefault="00CA23D0" w:rsidP="00CA23D0">
            <w:pPr>
              <w:pStyle w:val="Texttabulky"/>
              <w:spacing w:line="240" w:lineRule="atLeast"/>
              <w:jc w:val="both"/>
              <w:rPr>
                <w:rFonts w:cs="Arial"/>
              </w:rPr>
            </w:pPr>
            <w:r w:rsidRPr="00E30642">
              <w:rPr>
                <w:rFonts w:cs="Arial"/>
                <w:b/>
                <w:bCs/>
              </w:rPr>
              <w:t>rok</w:t>
            </w:r>
          </w:p>
        </w:tc>
        <w:tc>
          <w:tcPr>
            <w:tcW w:w="1140" w:type="dxa"/>
            <w:tcBorders>
              <w:top w:val="single" w:sz="6" w:space="0" w:color="auto"/>
              <w:left w:val="single" w:sz="6" w:space="0" w:color="auto"/>
              <w:bottom w:val="single" w:sz="6" w:space="0" w:color="auto"/>
              <w:right w:val="single" w:sz="6" w:space="0" w:color="auto"/>
            </w:tcBorders>
          </w:tcPr>
          <w:p w14:paraId="3524C810" w14:textId="77777777" w:rsidR="00CA23D0" w:rsidRPr="00E30642" w:rsidRDefault="00CA23D0" w:rsidP="00CA23D0">
            <w:pPr>
              <w:pStyle w:val="Texttabulky"/>
              <w:spacing w:line="240" w:lineRule="atLeast"/>
              <w:jc w:val="both"/>
              <w:rPr>
                <w:rFonts w:cs="Arial"/>
              </w:rPr>
            </w:pPr>
            <w:r w:rsidRPr="00E30642">
              <w:rPr>
                <w:rFonts w:cs="Arial"/>
                <w:b/>
                <w:bCs/>
              </w:rPr>
              <w:t>2 000</w:t>
            </w:r>
          </w:p>
        </w:tc>
        <w:tc>
          <w:tcPr>
            <w:tcW w:w="1240" w:type="dxa"/>
            <w:tcBorders>
              <w:top w:val="single" w:sz="6" w:space="0" w:color="auto"/>
              <w:left w:val="single" w:sz="6" w:space="0" w:color="auto"/>
              <w:bottom w:val="single" w:sz="6" w:space="0" w:color="auto"/>
              <w:right w:val="single" w:sz="6" w:space="0" w:color="auto"/>
            </w:tcBorders>
          </w:tcPr>
          <w:p w14:paraId="5F1BE9E6" w14:textId="77777777" w:rsidR="00CA23D0" w:rsidRPr="00E30642" w:rsidRDefault="00CA23D0" w:rsidP="00CA23D0">
            <w:pPr>
              <w:pStyle w:val="Texttabulky"/>
              <w:spacing w:line="240" w:lineRule="atLeast"/>
              <w:jc w:val="both"/>
              <w:rPr>
                <w:rFonts w:cs="Arial"/>
              </w:rPr>
            </w:pPr>
            <w:r w:rsidRPr="00E30642">
              <w:rPr>
                <w:rFonts w:cs="Arial"/>
                <w:b/>
                <w:bCs/>
              </w:rPr>
              <w:t>2 010</w:t>
            </w:r>
          </w:p>
        </w:tc>
        <w:tc>
          <w:tcPr>
            <w:tcW w:w="1140" w:type="dxa"/>
            <w:tcBorders>
              <w:top w:val="single" w:sz="6" w:space="0" w:color="auto"/>
              <w:left w:val="single" w:sz="6" w:space="0" w:color="auto"/>
              <w:bottom w:val="single" w:sz="6" w:space="0" w:color="auto"/>
              <w:right w:val="single" w:sz="6" w:space="0" w:color="auto"/>
            </w:tcBorders>
          </w:tcPr>
          <w:p w14:paraId="4CE8FF76" w14:textId="77777777" w:rsidR="00CA23D0" w:rsidRPr="00E30642" w:rsidRDefault="00CA23D0" w:rsidP="00CA23D0">
            <w:pPr>
              <w:pStyle w:val="Texttabulky"/>
              <w:spacing w:line="240" w:lineRule="atLeast"/>
              <w:jc w:val="both"/>
              <w:rPr>
                <w:rFonts w:cs="Arial"/>
              </w:rPr>
            </w:pPr>
            <w:r w:rsidRPr="00E30642">
              <w:rPr>
                <w:rFonts w:cs="Arial"/>
                <w:b/>
                <w:bCs/>
              </w:rPr>
              <w:t>2 020</w:t>
            </w:r>
          </w:p>
        </w:tc>
      </w:tr>
      <w:tr w:rsidR="00CA23D0" w:rsidRPr="00E30642" w14:paraId="220CFACD"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24499FF2" w14:textId="77777777" w:rsidR="00CA23D0" w:rsidRPr="00E30642" w:rsidRDefault="00CA23D0" w:rsidP="00CA23D0">
            <w:pPr>
              <w:pStyle w:val="Texttabulky"/>
              <w:spacing w:line="240" w:lineRule="atLeast"/>
              <w:jc w:val="both"/>
              <w:rPr>
                <w:rFonts w:cs="Arial"/>
              </w:rPr>
            </w:pPr>
            <w:r w:rsidRPr="00E30642">
              <w:rPr>
                <w:rFonts w:cs="Arial"/>
              </w:rPr>
              <w:t xml:space="preserve"> výpočet 1993</w:t>
            </w:r>
          </w:p>
        </w:tc>
        <w:tc>
          <w:tcPr>
            <w:tcW w:w="1140" w:type="dxa"/>
            <w:tcBorders>
              <w:top w:val="single" w:sz="6" w:space="0" w:color="auto"/>
              <w:left w:val="single" w:sz="6" w:space="0" w:color="auto"/>
              <w:bottom w:val="single" w:sz="6" w:space="0" w:color="auto"/>
              <w:right w:val="single" w:sz="6" w:space="0" w:color="auto"/>
            </w:tcBorders>
          </w:tcPr>
          <w:p w14:paraId="3789DC1C" w14:textId="77777777" w:rsidR="00CA23D0" w:rsidRPr="00E30642" w:rsidRDefault="00CA23D0" w:rsidP="00CA23D0">
            <w:pPr>
              <w:pStyle w:val="Texttabulky"/>
              <w:spacing w:line="240" w:lineRule="atLeast"/>
              <w:jc w:val="both"/>
              <w:rPr>
                <w:rFonts w:cs="Arial"/>
              </w:rPr>
            </w:pPr>
            <w:r w:rsidRPr="00E30642">
              <w:rPr>
                <w:rFonts w:cs="Arial"/>
              </w:rPr>
              <w:t>135 986</w:t>
            </w:r>
          </w:p>
        </w:tc>
        <w:tc>
          <w:tcPr>
            <w:tcW w:w="1240" w:type="dxa"/>
            <w:tcBorders>
              <w:top w:val="single" w:sz="6" w:space="0" w:color="auto"/>
              <w:left w:val="single" w:sz="6" w:space="0" w:color="auto"/>
              <w:bottom w:val="single" w:sz="6" w:space="0" w:color="auto"/>
              <w:right w:val="single" w:sz="6" w:space="0" w:color="auto"/>
            </w:tcBorders>
          </w:tcPr>
          <w:p w14:paraId="3ECDE5CE" w14:textId="77777777" w:rsidR="00CA23D0" w:rsidRPr="00E30642" w:rsidRDefault="00CA23D0" w:rsidP="00CA23D0">
            <w:pPr>
              <w:pStyle w:val="Texttabulky"/>
              <w:spacing w:line="240" w:lineRule="atLeast"/>
              <w:jc w:val="both"/>
              <w:rPr>
                <w:rFonts w:cs="Arial"/>
              </w:rPr>
            </w:pPr>
            <w:r w:rsidRPr="00E30642">
              <w:rPr>
                <w:rFonts w:cs="Arial"/>
              </w:rPr>
              <w:t>135 571</w:t>
            </w:r>
          </w:p>
        </w:tc>
        <w:tc>
          <w:tcPr>
            <w:tcW w:w="1140" w:type="dxa"/>
            <w:tcBorders>
              <w:top w:val="single" w:sz="6" w:space="0" w:color="auto"/>
              <w:left w:val="single" w:sz="6" w:space="0" w:color="auto"/>
              <w:bottom w:val="single" w:sz="6" w:space="0" w:color="auto"/>
              <w:right w:val="single" w:sz="6" w:space="0" w:color="auto"/>
            </w:tcBorders>
          </w:tcPr>
          <w:p w14:paraId="7BF5DC2F" w14:textId="77777777" w:rsidR="00CA23D0" w:rsidRPr="00E30642" w:rsidRDefault="00CA23D0" w:rsidP="00CA23D0">
            <w:pPr>
              <w:pStyle w:val="Texttabulky"/>
              <w:spacing w:line="240" w:lineRule="atLeast"/>
              <w:jc w:val="both"/>
              <w:rPr>
                <w:rFonts w:cs="Arial"/>
              </w:rPr>
            </w:pPr>
            <w:r w:rsidRPr="00E30642">
              <w:rPr>
                <w:rFonts w:cs="Arial"/>
              </w:rPr>
              <w:t>131 988</w:t>
            </w:r>
          </w:p>
        </w:tc>
      </w:tr>
      <w:tr w:rsidR="00CA23D0" w:rsidRPr="00E30642" w14:paraId="5A3EFD13"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66FE4A89" w14:textId="77777777" w:rsidR="00CA23D0" w:rsidRPr="00E30642" w:rsidRDefault="00CA23D0" w:rsidP="00CA23D0">
            <w:pPr>
              <w:pStyle w:val="Texttabulky"/>
              <w:spacing w:line="240" w:lineRule="atLeast"/>
              <w:jc w:val="both"/>
              <w:rPr>
                <w:rFonts w:cs="Arial"/>
              </w:rPr>
            </w:pPr>
            <w:r w:rsidRPr="00E30642">
              <w:rPr>
                <w:rFonts w:cs="Arial"/>
              </w:rPr>
              <w:t xml:space="preserve"> výpočet 1998</w:t>
            </w:r>
          </w:p>
        </w:tc>
        <w:tc>
          <w:tcPr>
            <w:tcW w:w="1140" w:type="dxa"/>
            <w:tcBorders>
              <w:top w:val="single" w:sz="6" w:space="0" w:color="auto"/>
              <w:left w:val="single" w:sz="6" w:space="0" w:color="auto"/>
              <w:bottom w:val="single" w:sz="6" w:space="0" w:color="auto"/>
              <w:right w:val="single" w:sz="6" w:space="0" w:color="auto"/>
            </w:tcBorders>
          </w:tcPr>
          <w:p w14:paraId="447E4F39" w14:textId="77777777" w:rsidR="00CA23D0" w:rsidRPr="00E30642" w:rsidRDefault="00CA23D0" w:rsidP="00CA23D0">
            <w:pPr>
              <w:pStyle w:val="Texttabulky"/>
              <w:spacing w:line="240" w:lineRule="atLeast"/>
              <w:jc w:val="both"/>
              <w:rPr>
                <w:rFonts w:cs="Arial"/>
              </w:rPr>
            </w:pPr>
            <w:r w:rsidRPr="00E30642">
              <w:rPr>
                <w:rFonts w:cs="Arial"/>
              </w:rPr>
              <w:t>133 409</w:t>
            </w:r>
          </w:p>
        </w:tc>
        <w:tc>
          <w:tcPr>
            <w:tcW w:w="1240" w:type="dxa"/>
            <w:tcBorders>
              <w:top w:val="single" w:sz="6" w:space="0" w:color="auto"/>
              <w:left w:val="single" w:sz="6" w:space="0" w:color="auto"/>
              <w:bottom w:val="single" w:sz="6" w:space="0" w:color="auto"/>
              <w:right w:val="single" w:sz="6" w:space="0" w:color="auto"/>
            </w:tcBorders>
          </w:tcPr>
          <w:p w14:paraId="3CB2154C" w14:textId="77777777" w:rsidR="00CA23D0" w:rsidRPr="00E30642" w:rsidRDefault="00CA23D0" w:rsidP="00CA23D0">
            <w:pPr>
              <w:pStyle w:val="Texttabulky"/>
              <w:spacing w:line="240" w:lineRule="atLeast"/>
              <w:jc w:val="both"/>
              <w:rPr>
                <w:rFonts w:cs="Arial"/>
              </w:rPr>
            </w:pPr>
            <w:r w:rsidRPr="00E30642">
              <w:rPr>
                <w:rFonts w:cs="Arial"/>
              </w:rPr>
              <w:t>132 506</w:t>
            </w:r>
          </w:p>
        </w:tc>
        <w:tc>
          <w:tcPr>
            <w:tcW w:w="1140" w:type="dxa"/>
            <w:tcBorders>
              <w:top w:val="single" w:sz="6" w:space="0" w:color="auto"/>
              <w:left w:val="single" w:sz="6" w:space="0" w:color="auto"/>
              <w:bottom w:val="single" w:sz="6" w:space="0" w:color="auto"/>
              <w:right w:val="single" w:sz="6" w:space="0" w:color="auto"/>
            </w:tcBorders>
          </w:tcPr>
          <w:p w14:paraId="16E7EB6A" w14:textId="77777777" w:rsidR="00CA23D0" w:rsidRPr="00E30642" w:rsidRDefault="00CA23D0" w:rsidP="00CA23D0">
            <w:pPr>
              <w:pStyle w:val="Texttabulky"/>
              <w:spacing w:line="240" w:lineRule="atLeast"/>
              <w:jc w:val="both"/>
              <w:rPr>
                <w:rFonts w:cs="Arial"/>
              </w:rPr>
            </w:pPr>
            <w:r w:rsidRPr="00E30642">
              <w:rPr>
                <w:rFonts w:cs="Arial"/>
              </w:rPr>
              <w:t>129 074</w:t>
            </w:r>
          </w:p>
        </w:tc>
      </w:tr>
      <w:tr w:rsidR="00CA23D0" w:rsidRPr="00E30642" w14:paraId="2FFA0C33"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D7FAB41" w14:textId="77777777" w:rsidR="00CA23D0" w:rsidRPr="00E30642" w:rsidRDefault="00CA23D0" w:rsidP="00CA23D0">
            <w:pPr>
              <w:pStyle w:val="Texttabulky"/>
              <w:spacing w:line="240" w:lineRule="atLeast"/>
              <w:jc w:val="both"/>
              <w:rPr>
                <w:rFonts w:cs="Arial"/>
              </w:rPr>
            </w:pPr>
            <w:r w:rsidRPr="00E30642">
              <w:rPr>
                <w:rFonts w:cs="Arial"/>
              </w:rPr>
              <w:t xml:space="preserve"> rozdíl 1998/93</w:t>
            </w:r>
          </w:p>
        </w:tc>
        <w:tc>
          <w:tcPr>
            <w:tcW w:w="1140" w:type="dxa"/>
            <w:tcBorders>
              <w:top w:val="single" w:sz="6" w:space="0" w:color="auto"/>
              <w:left w:val="single" w:sz="6" w:space="0" w:color="auto"/>
              <w:bottom w:val="single" w:sz="6" w:space="0" w:color="auto"/>
              <w:right w:val="single" w:sz="6" w:space="0" w:color="auto"/>
            </w:tcBorders>
          </w:tcPr>
          <w:p w14:paraId="65D99EEC" w14:textId="77777777" w:rsidR="00CA23D0" w:rsidRPr="00E30642" w:rsidRDefault="00CA23D0" w:rsidP="00CA23D0">
            <w:pPr>
              <w:pStyle w:val="Texttabulky"/>
              <w:spacing w:line="240" w:lineRule="atLeast"/>
              <w:jc w:val="both"/>
              <w:rPr>
                <w:rFonts w:cs="Arial"/>
              </w:rPr>
            </w:pPr>
            <w:r w:rsidRPr="00E30642">
              <w:rPr>
                <w:rFonts w:cs="Arial"/>
              </w:rPr>
              <w:t>-2 577</w:t>
            </w:r>
          </w:p>
        </w:tc>
        <w:tc>
          <w:tcPr>
            <w:tcW w:w="1240" w:type="dxa"/>
            <w:tcBorders>
              <w:top w:val="single" w:sz="6" w:space="0" w:color="auto"/>
              <w:left w:val="single" w:sz="6" w:space="0" w:color="auto"/>
              <w:bottom w:val="single" w:sz="6" w:space="0" w:color="auto"/>
              <w:right w:val="single" w:sz="6" w:space="0" w:color="auto"/>
            </w:tcBorders>
          </w:tcPr>
          <w:p w14:paraId="68B2BA6B" w14:textId="77777777" w:rsidR="00CA23D0" w:rsidRPr="00E30642" w:rsidRDefault="00CA23D0" w:rsidP="00CA23D0">
            <w:pPr>
              <w:pStyle w:val="Texttabulky"/>
              <w:spacing w:line="240" w:lineRule="atLeast"/>
              <w:jc w:val="both"/>
              <w:rPr>
                <w:rFonts w:cs="Arial"/>
              </w:rPr>
            </w:pPr>
            <w:r w:rsidRPr="00E30642">
              <w:rPr>
                <w:rFonts w:cs="Arial"/>
              </w:rPr>
              <w:t>-3 065</w:t>
            </w:r>
          </w:p>
        </w:tc>
        <w:tc>
          <w:tcPr>
            <w:tcW w:w="1140" w:type="dxa"/>
            <w:tcBorders>
              <w:top w:val="single" w:sz="6" w:space="0" w:color="auto"/>
              <w:left w:val="single" w:sz="6" w:space="0" w:color="auto"/>
              <w:bottom w:val="single" w:sz="6" w:space="0" w:color="auto"/>
              <w:right w:val="single" w:sz="6" w:space="0" w:color="auto"/>
            </w:tcBorders>
          </w:tcPr>
          <w:p w14:paraId="2BA69049" w14:textId="77777777" w:rsidR="00CA23D0" w:rsidRPr="00E30642" w:rsidRDefault="00CA23D0" w:rsidP="00CA23D0">
            <w:pPr>
              <w:pStyle w:val="Texttabulky"/>
              <w:spacing w:line="240" w:lineRule="atLeast"/>
              <w:jc w:val="both"/>
              <w:rPr>
                <w:rFonts w:cs="Arial"/>
              </w:rPr>
            </w:pPr>
            <w:r w:rsidRPr="00E30642">
              <w:rPr>
                <w:rFonts w:cs="Arial"/>
              </w:rPr>
              <w:t>-2 914</w:t>
            </w:r>
          </w:p>
        </w:tc>
      </w:tr>
    </w:tbl>
    <w:p w14:paraId="26B2C58A" w14:textId="77777777" w:rsidR="00CA23D0" w:rsidRPr="00E30642" w:rsidRDefault="00CA23D0" w:rsidP="00CA23D0">
      <w:pPr>
        <w:autoSpaceDE w:val="0"/>
        <w:autoSpaceDN w:val="0"/>
        <w:adjustRightInd w:val="0"/>
        <w:jc w:val="both"/>
        <w:rPr>
          <w:rFonts w:ascii="Arial" w:hAnsi="Arial" w:cs="Arial"/>
          <w:sz w:val="20"/>
        </w:rPr>
      </w:pPr>
    </w:p>
    <w:p w14:paraId="3350FDC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Ze stejného základu vychází další prognózní podklad, který byl zpracován v a.s. Terplan Praha. Kromě jiného zde je vývoj obyvatel do roku 2020 podle okresu dnešního Ústeckého kraje se započtením vlivu migrace. S  daty za okresy je dále vypočten vývoj za města s  více než 10 tisíci obyvatel. </w:t>
      </w:r>
    </w:p>
    <w:p w14:paraId="4524691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br w:type="page"/>
      </w:r>
    </w:p>
    <w:tbl>
      <w:tblPr>
        <w:tblW w:w="0" w:type="auto"/>
        <w:jc w:val="center"/>
        <w:tblLayout w:type="fixed"/>
        <w:tblCellMar>
          <w:left w:w="30" w:type="dxa"/>
          <w:right w:w="30" w:type="dxa"/>
        </w:tblCellMar>
        <w:tblLook w:val="0000" w:firstRow="0" w:lastRow="0" w:firstColumn="0" w:lastColumn="0" w:noHBand="0" w:noVBand="0"/>
      </w:tblPr>
      <w:tblGrid>
        <w:gridCol w:w="2105"/>
        <w:gridCol w:w="1140"/>
        <w:gridCol w:w="1000"/>
        <w:gridCol w:w="1140"/>
        <w:gridCol w:w="960"/>
      </w:tblGrid>
      <w:tr w:rsidR="00CA23D0" w:rsidRPr="00E30642" w14:paraId="0491DDE6"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20DFD712" w14:textId="77777777" w:rsidR="00CA23D0" w:rsidRPr="00E30642" w:rsidRDefault="00CA23D0" w:rsidP="00CA23D0">
            <w:pPr>
              <w:pStyle w:val="Texttabulky"/>
              <w:spacing w:line="240" w:lineRule="atLeast"/>
              <w:jc w:val="both"/>
              <w:rPr>
                <w:rFonts w:cs="Arial"/>
              </w:rPr>
            </w:pPr>
            <w:r w:rsidRPr="00E30642">
              <w:rPr>
                <w:rFonts w:cs="Arial"/>
                <w:b/>
                <w:bCs/>
              </w:rPr>
              <w:lastRenderedPageBreak/>
              <w:t>území</w:t>
            </w:r>
          </w:p>
        </w:tc>
        <w:tc>
          <w:tcPr>
            <w:tcW w:w="1140" w:type="dxa"/>
            <w:tcBorders>
              <w:top w:val="single" w:sz="6" w:space="0" w:color="auto"/>
              <w:left w:val="single" w:sz="6" w:space="0" w:color="auto"/>
              <w:bottom w:val="single" w:sz="6" w:space="0" w:color="auto"/>
              <w:right w:val="single" w:sz="6" w:space="0" w:color="auto"/>
            </w:tcBorders>
          </w:tcPr>
          <w:p w14:paraId="464A86DC" w14:textId="77777777" w:rsidR="00CA23D0" w:rsidRPr="00E30642" w:rsidRDefault="00CA23D0" w:rsidP="00CA23D0">
            <w:pPr>
              <w:pStyle w:val="Texttabulky"/>
              <w:spacing w:line="240" w:lineRule="atLeast"/>
              <w:jc w:val="both"/>
              <w:rPr>
                <w:rFonts w:cs="Arial"/>
              </w:rPr>
            </w:pPr>
            <w:r w:rsidRPr="00E30642">
              <w:rPr>
                <w:rFonts w:cs="Arial"/>
                <w:b/>
                <w:bCs/>
              </w:rPr>
              <w:t>31.12.1999</w:t>
            </w:r>
          </w:p>
        </w:tc>
        <w:tc>
          <w:tcPr>
            <w:tcW w:w="1000" w:type="dxa"/>
            <w:tcBorders>
              <w:top w:val="single" w:sz="6" w:space="0" w:color="auto"/>
              <w:left w:val="single" w:sz="6" w:space="0" w:color="auto"/>
              <w:bottom w:val="single" w:sz="6" w:space="0" w:color="auto"/>
              <w:right w:val="single" w:sz="6" w:space="0" w:color="auto"/>
            </w:tcBorders>
          </w:tcPr>
          <w:p w14:paraId="34247E0A" w14:textId="77777777" w:rsidR="00CA23D0" w:rsidRPr="00E30642" w:rsidRDefault="00CA23D0" w:rsidP="00CA23D0">
            <w:pPr>
              <w:pStyle w:val="Texttabulky"/>
              <w:spacing w:line="240" w:lineRule="atLeast"/>
              <w:jc w:val="both"/>
              <w:rPr>
                <w:rFonts w:cs="Arial"/>
              </w:rPr>
            </w:pPr>
            <w:r w:rsidRPr="00E30642">
              <w:rPr>
                <w:rFonts w:cs="Arial"/>
                <w:b/>
                <w:bCs/>
              </w:rPr>
              <w:t>2 000</w:t>
            </w:r>
          </w:p>
        </w:tc>
        <w:tc>
          <w:tcPr>
            <w:tcW w:w="1140" w:type="dxa"/>
            <w:tcBorders>
              <w:top w:val="single" w:sz="6" w:space="0" w:color="auto"/>
              <w:left w:val="single" w:sz="6" w:space="0" w:color="auto"/>
              <w:bottom w:val="single" w:sz="6" w:space="0" w:color="auto"/>
              <w:right w:val="single" w:sz="6" w:space="0" w:color="auto"/>
            </w:tcBorders>
          </w:tcPr>
          <w:p w14:paraId="7704107C" w14:textId="77777777" w:rsidR="00CA23D0" w:rsidRPr="00E30642" w:rsidRDefault="00CA23D0" w:rsidP="00CA23D0">
            <w:pPr>
              <w:pStyle w:val="Texttabulky"/>
              <w:spacing w:line="240" w:lineRule="atLeast"/>
              <w:jc w:val="both"/>
              <w:rPr>
                <w:rFonts w:cs="Arial"/>
              </w:rPr>
            </w:pPr>
            <w:r w:rsidRPr="00E30642">
              <w:rPr>
                <w:rFonts w:cs="Arial"/>
                <w:b/>
                <w:bCs/>
              </w:rPr>
              <w:t>2 010</w:t>
            </w:r>
          </w:p>
        </w:tc>
        <w:tc>
          <w:tcPr>
            <w:tcW w:w="960" w:type="dxa"/>
            <w:tcBorders>
              <w:top w:val="single" w:sz="6" w:space="0" w:color="auto"/>
              <w:left w:val="single" w:sz="6" w:space="0" w:color="auto"/>
              <w:bottom w:val="single" w:sz="6" w:space="0" w:color="auto"/>
              <w:right w:val="single" w:sz="6" w:space="0" w:color="auto"/>
            </w:tcBorders>
          </w:tcPr>
          <w:p w14:paraId="71F9507E" w14:textId="77777777" w:rsidR="00CA23D0" w:rsidRPr="00E30642" w:rsidRDefault="00CA23D0" w:rsidP="00CA23D0">
            <w:pPr>
              <w:pStyle w:val="Texttabulky"/>
              <w:spacing w:line="240" w:lineRule="atLeast"/>
              <w:jc w:val="both"/>
              <w:rPr>
                <w:rFonts w:cs="Arial"/>
              </w:rPr>
            </w:pPr>
            <w:r w:rsidRPr="00E30642">
              <w:rPr>
                <w:rFonts w:cs="Arial"/>
                <w:b/>
                <w:bCs/>
              </w:rPr>
              <w:t>2 020</w:t>
            </w:r>
          </w:p>
        </w:tc>
      </w:tr>
      <w:tr w:rsidR="00CA23D0" w:rsidRPr="00E30642" w14:paraId="16D68394"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6AFA7839" w14:textId="77777777" w:rsidR="00CA23D0" w:rsidRPr="00E30642" w:rsidRDefault="00CA23D0" w:rsidP="00CA23D0">
            <w:pPr>
              <w:pStyle w:val="Texttabulky"/>
              <w:spacing w:line="240" w:lineRule="atLeast"/>
              <w:jc w:val="both"/>
              <w:rPr>
                <w:rFonts w:cs="Arial"/>
              </w:rPr>
            </w:pPr>
            <w:r w:rsidRPr="00E30642">
              <w:rPr>
                <w:rFonts w:cs="Arial"/>
              </w:rPr>
              <w:t>Okres Děčín</w:t>
            </w:r>
          </w:p>
        </w:tc>
        <w:tc>
          <w:tcPr>
            <w:tcW w:w="1140" w:type="dxa"/>
            <w:tcBorders>
              <w:top w:val="single" w:sz="6" w:space="0" w:color="auto"/>
              <w:left w:val="single" w:sz="6" w:space="0" w:color="auto"/>
              <w:bottom w:val="single" w:sz="6" w:space="0" w:color="auto"/>
              <w:right w:val="single" w:sz="6" w:space="0" w:color="auto"/>
            </w:tcBorders>
          </w:tcPr>
          <w:p w14:paraId="25E32156" w14:textId="77777777" w:rsidR="00CA23D0" w:rsidRPr="00E30642" w:rsidRDefault="00CA23D0" w:rsidP="00CA23D0">
            <w:pPr>
              <w:pStyle w:val="Texttabulky"/>
              <w:spacing w:line="240" w:lineRule="atLeast"/>
              <w:jc w:val="both"/>
              <w:rPr>
                <w:rFonts w:cs="Arial"/>
              </w:rPr>
            </w:pPr>
            <w:r w:rsidRPr="00E30642">
              <w:rPr>
                <w:rFonts w:cs="Arial"/>
              </w:rPr>
              <w:t>133 768</w:t>
            </w:r>
          </w:p>
        </w:tc>
        <w:tc>
          <w:tcPr>
            <w:tcW w:w="1000" w:type="dxa"/>
            <w:tcBorders>
              <w:top w:val="single" w:sz="6" w:space="0" w:color="auto"/>
              <w:left w:val="single" w:sz="6" w:space="0" w:color="auto"/>
              <w:bottom w:val="single" w:sz="6" w:space="0" w:color="auto"/>
              <w:right w:val="single" w:sz="6" w:space="0" w:color="auto"/>
            </w:tcBorders>
          </w:tcPr>
          <w:p w14:paraId="1582B92F" w14:textId="77777777" w:rsidR="00CA23D0" w:rsidRPr="00E30642" w:rsidRDefault="00CA23D0" w:rsidP="00CA23D0">
            <w:pPr>
              <w:pStyle w:val="Texttabulky"/>
              <w:spacing w:line="240" w:lineRule="atLeast"/>
              <w:jc w:val="both"/>
              <w:rPr>
                <w:rFonts w:cs="Arial"/>
              </w:rPr>
            </w:pPr>
            <w:r w:rsidRPr="00E30642">
              <w:rPr>
                <w:rFonts w:cs="Arial"/>
              </w:rPr>
              <w:t>133 600</w:t>
            </w:r>
          </w:p>
        </w:tc>
        <w:tc>
          <w:tcPr>
            <w:tcW w:w="1140" w:type="dxa"/>
            <w:tcBorders>
              <w:top w:val="single" w:sz="6" w:space="0" w:color="auto"/>
              <w:left w:val="single" w:sz="6" w:space="0" w:color="auto"/>
              <w:bottom w:val="single" w:sz="6" w:space="0" w:color="auto"/>
              <w:right w:val="single" w:sz="6" w:space="0" w:color="auto"/>
            </w:tcBorders>
          </w:tcPr>
          <w:p w14:paraId="53070ADA" w14:textId="77777777" w:rsidR="00CA23D0" w:rsidRPr="00E30642" w:rsidRDefault="00CA23D0" w:rsidP="00CA23D0">
            <w:pPr>
              <w:pStyle w:val="Texttabulky"/>
              <w:spacing w:line="240" w:lineRule="atLeast"/>
              <w:jc w:val="both"/>
              <w:rPr>
                <w:rFonts w:cs="Arial"/>
              </w:rPr>
            </w:pPr>
            <w:r w:rsidRPr="00E30642">
              <w:rPr>
                <w:rFonts w:cs="Arial"/>
              </w:rPr>
              <w:t>133 300</w:t>
            </w:r>
          </w:p>
        </w:tc>
        <w:tc>
          <w:tcPr>
            <w:tcW w:w="960" w:type="dxa"/>
            <w:tcBorders>
              <w:top w:val="single" w:sz="6" w:space="0" w:color="auto"/>
              <w:left w:val="single" w:sz="6" w:space="0" w:color="auto"/>
              <w:bottom w:val="single" w:sz="6" w:space="0" w:color="auto"/>
              <w:right w:val="single" w:sz="6" w:space="0" w:color="auto"/>
            </w:tcBorders>
          </w:tcPr>
          <w:p w14:paraId="503831AC" w14:textId="77777777" w:rsidR="00CA23D0" w:rsidRPr="00E30642" w:rsidRDefault="00CA23D0" w:rsidP="00CA23D0">
            <w:pPr>
              <w:pStyle w:val="Texttabulky"/>
              <w:spacing w:line="240" w:lineRule="atLeast"/>
              <w:jc w:val="both"/>
              <w:rPr>
                <w:rFonts w:cs="Arial"/>
              </w:rPr>
            </w:pPr>
            <w:r w:rsidRPr="00E30642">
              <w:rPr>
                <w:rFonts w:cs="Arial"/>
              </w:rPr>
              <w:t>133 100</w:t>
            </w:r>
          </w:p>
        </w:tc>
      </w:tr>
      <w:tr w:rsidR="00CA23D0" w:rsidRPr="00E30642" w14:paraId="5AC91339"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E82946A" w14:textId="77777777" w:rsidR="00CA23D0" w:rsidRPr="00E30642" w:rsidRDefault="00CA23D0" w:rsidP="00CA23D0">
            <w:pPr>
              <w:pStyle w:val="Texttabulky"/>
              <w:spacing w:line="240" w:lineRule="atLeast"/>
              <w:jc w:val="both"/>
              <w:rPr>
                <w:rFonts w:cs="Arial"/>
              </w:rPr>
            </w:pPr>
            <w:r w:rsidRPr="00E30642">
              <w:rPr>
                <w:rFonts w:cs="Arial"/>
                <w:b/>
                <w:bCs/>
              </w:rPr>
              <w:t>Děčín</w:t>
            </w:r>
          </w:p>
        </w:tc>
        <w:tc>
          <w:tcPr>
            <w:tcW w:w="1140" w:type="dxa"/>
            <w:tcBorders>
              <w:top w:val="single" w:sz="6" w:space="0" w:color="auto"/>
              <w:left w:val="single" w:sz="6" w:space="0" w:color="auto"/>
              <w:bottom w:val="single" w:sz="6" w:space="0" w:color="auto"/>
              <w:right w:val="single" w:sz="6" w:space="0" w:color="auto"/>
            </w:tcBorders>
          </w:tcPr>
          <w:p w14:paraId="32848392" w14:textId="77777777" w:rsidR="00CA23D0" w:rsidRPr="00E30642" w:rsidRDefault="00CA23D0" w:rsidP="00CA23D0">
            <w:pPr>
              <w:pStyle w:val="Texttabulky"/>
              <w:spacing w:line="240" w:lineRule="atLeast"/>
              <w:jc w:val="both"/>
              <w:rPr>
                <w:rFonts w:cs="Arial"/>
              </w:rPr>
            </w:pPr>
            <w:r w:rsidRPr="00E30642">
              <w:rPr>
                <w:rFonts w:cs="Arial"/>
                <w:b/>
                <w:bCs/>
              </w:rPr>
              <w:t>52 951</w:t>
            </w:r>
          </w:p>
        </w:tc>
        <w:tc>
          <w:tcPr>
            <w:tcW w:w="1000" w:type="dxa"/>
            <w:tcBorders>
              <w:top w:val="single" w:sz="6" w:space="0" w:color="auto"/>
              <w:left w:val="single" w:sz="6" w:space="0" w:color="auto"/>
              <w:bottom w:val="single" w:sz="6" w:space="0" w:color="auto"/>
              <w:right w:val="single" w:sz="6" w:space="0" w:color="auto"/>
            </w:tcBorders>
          </w:tcPr>
          <w:p w14:paraId="20B84272" w14:textId="77777777" w:rsidR="00CA23D0" w:rsidRPr="00E30642" w:rsidRDefault="00CA23D0" w:rsidP="00CA23D0">
            <w:pPr>
              <w:pStyle w:val="Texttabulky"/>
              <w:spacing w:line="240" w:lineRule="atLeast"/>
              <w:jc w:val="both"/>
              <w:rPr>
                <w:rFonts w:cs="Arial"/>
              </w:rPr>
            </w:pPr>
            <w:r w:rsidRPr="00E30642">
              <w:rPr>
                <w:rFonts w:cs="Arial"/>
                <w:b/>
                <w:bCs/>
              </w:rPr>
              <w:t>52 900</w:t>
            </w:r>
          </w:p>
        </w:tc>
        <w:tc>
          <w:tcPr>
            <w:tcW w:w="1140" w:type="dxa"/>
            <w:tcBorders>
              <w:top w:val="single" w:sz="6" w:space="0" w:color="auto"/>
              <w:left w:val="single" w:sz="6" w:space="0" w:color="auto"/>
              <w:bottom w:val="single" w:sz="6" w:space="0" w:color="auto"/>
              <w:right w:val="single" w:sz="6" w:space="0" w:color="auto"/>
            </w:tcBorders>
          </w:tcPr>
          <w:p w14:paraId="57D9D10D" w14:textId="77777777" w:rsidR="00CA23D0" w:rsidRPr="00E30642" w:rsidRDefault="00CA23D0" w:rsidP="00CA23D0">
            <w:pPr>
              <w:pStyle w:val="Texttabulky"/>
              <w:spacing w:line="240" w:lineRule="atLeast"/>
              <w:jc w:val="both"/>
              <w:rPr>
                <w:rFonts w:cs="Arial"/>
              </w:rPr>
            </w:pPr>
            <w:r w:rsidRPr="00E30642">
              <w:rPr>
                <w:rFonts w:cs="Arial"/>
                <w:b/>
                <w:bCs/>
              </w:rPr>
              <w:t>52 700</w:t>
            </w:r>
          </w:p>
        </w:tc>
        <w:tc>
          <w:tcPr>
            <w:tcW w:w="960" w:type="dxa"/>
            <w:tcBorders>
              <w:top w:val="single" w:sz="6" w:space="0" w:color="auto"/>
              <w:left w:val="single" w:sz="6" w:space="0" w:color="auto"/>
              <w:bottom w:val="single" w:sz="6" w:space="0" w:color="auto"/>
              <w:right w:val="single" w:sz="6" w:space="0" w:color="auto"/>
            </w:tcBorders>
          </w:tcPr>
          <w:p w14:paraId="5A35BE0E" w14:textId="77777777" w:rsidR="00CA23D0" w:rsidRPr="00E30642" w:rsidRDefault="00CA23D0" w:rsidP="00CA23D0">
            <w:pPr>
              <w:pStyle w:val="Texttabulky"/>
              <w:spacing w:line="240" w:lineRule="atLeast"/>
              <w:jc w:val="both"/>
              <w:rPr>
                <w:rFonts w:cs="Arial"/>
              </w:rPr>
            </w:pPr>
            <w:r w:rsidRPr="00E30642">
              <w:rPr>
                <w:rFonts w:cs="Arial"/>
                <w:b/>
                <w:bCs/>
              </w:rPr>
              <w:t>52 500</w:t>
            </w:r>
          </w:p>
        </w:tc>
      </w:tr>
      <w:tr w:rsidR="00CA23D0" w:rsidRPr="00E30642" w14:paraId="444E1D6C"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6EF36060" w14:textId="77777777" w:rsidR="00CA23D0" w:rsidRPr="00E30642" w:rsidRDefault="00CA23D0" w:rsidP="00CA23D0">
            <w:pPr>
              <w:pStyle w:val="Texttabulky"/>
              <w:spacing w:line="240" w:lineRule="atLeast"/>
              <w:jc w:val="both"/>
              <w:rPr>
                <w:rFonts w:cs="Arial"/>
              </w:rPr>
            </w:pPr>
            <w:r w:rsidRPr="00E30642">
              <w:rPr>
                <w:rFonts w:cs="Arial"/>
              </w:rPr>
              <w:t>Rumburk</w:t>
            </w:r>
          </w:p>
        </w:tc>
        <w:tc>
          <w:tcPr>
            <w:tcW w:w="1140" w:type="dxa"/>
            <w:tcBorders>
              <w:top w:val="single" w:sz="6" w:space="0" w:color="auto"/>
              <w:left w:val="single" w:sz="6" w:space="0" w:color="auto"/>
              <w:bottom w:val="single" w:sz="6" w:space="0" w:color="auto"/>
              <w:right w:val="single" w:sz="6" w:space="0" w:color="auto"/>
            </w:tcBorders>
          </w:tcPr>
          <w:p w14:paraId="09C52795" w14:textId="77777777" w:rsidR="00CA23D0" w:rsidRPr="00E30642" w:rsidRDefault="00CA23D0" w:rsidP="00CA23D0">
            <w:pPr>
              <w:pStyle w:val="Texttabulky"/>
              <w:spacing w:line="240" w:lineRule="atLeast"/>
              <w:jc w:val="both"/>
              <w:rPr>
                <w:rFonts w:cs="Arial"/>
              </w:rPr>
            </w:pPr>
            <w:r w:rsidRPr="00E30642">
              <w:rPr>
                <w:rFonts w:cs="Arial"/>
              </w:rPr>
              <w:t>11 081</w:t>
            </w:r>
          </w:p>
        </w:tc>
        <w:tc>
          <w:tcPr>
            <w:tcW w:w="1000" w:type="dxa"/>
            <w:tcBorders>
              <w:top w:val="single" w:sz="6" w:space="0" w:color="auto"/>
              <w:left w:val="single" w:sz="6" w:space="0" w:color="auto"/>
              <w:bottom w:val="single" w:sz="6" w:space="0" w:color="auto"/>
              <w:right w:val="single" w:sz="6" w:space="0" w:color="auto"/>
            </w:tcBorders>
          </w:tcPr>
          <w:p w14:paraId="6B8C3766" w14:textId="77777777" w:rsidR="00CA23D0" w:rsidRPr="00E30642" w:rsidRDefault="00CA23D0" w:rsidP="00CA23D0">
            <w:pPr>
              <w:pStyle w:val="Texttabulky"/>
              <w:spacing w:line="240" w:lineRule="atLeast"/>
              <w:jc w:val="both"/>
              <w:rPr>
                <w:rFonts w:cs="Arial"/>
              </w:rPr>
            </w:pPr>
            <w:r w:rsidRPr="00E30642">
              <w:rPr>
                <w:rFonts w:cs="Arial"/>
              </w:rPr>
              <w:t>11 000</w:t>
            </w:r>
          </w:p>
        </w:tc>
        <w:tc>
          <w:tcPr>
            <w:tcW w:w="1140" w:type="dxa"/>
            <w:tcBorders>
              <w:top w:val="single" w:sz="6" w:space="0" w:color="auto"/>
              <w:left w:val="single" w:sz="6" w:space="0" w:color="auto"/>
              <w:bottom w:val="single" w:sz="6" w:space="0" w:color="auto"/>
              <w:right w:val="single" w:sz="6" w:space="0" w:color="auto"/>
            </w:tcBorders>
          </w:tcPr>
          <w:p w14:paraId="7D362DB3" w14:textId="77777777" w:rsidR="00CA23D0" w:rsidRPr="00E30642" w:rsidRDefault="00CA23D0" w:rsidP="00CA23D0">
            <w:pPr>
              <w:pStyle w:val="Texttabulky"/>
              <w:spacing w:line="240" w:lineRule="atLeast"/>
              <w:jc w:val="both"/>
              <w:rPr>
                <w:rFonts w:cs="Arial"/>
              </w:rPr>
            </w:pPr>
            <w:r w:rsidRPr="00E30642">
              <w:rPr>
                <w:rFonts w:cs="Arial"/>
              </w:rPr>
              <w:t>10 800</w:t>
            </w:r>
          </w:p>
        </w:tc>
        <w:tc>
          <w:tcPr>
            <w:tcW w:w="960" w:type="dxa"/>
            <w:tcBorders>
              <w:top w:val="single" w:sz="6" w:space="0" w:color="auto"/>
              <w:left w:val="single" w:sz="6" w:space="0" w:color="auto"/>
              <w:bottom w:val="single" w:sz="6" w:space="0" w:color="auto"/>
              <w:right w:val="single" w:sz="6" w:space="0" w:color="auto"/>
            </w:tcBorders>
          </w:tcPr>
          <w:p w14:paraId="228430BA" w14:textId="77777777" w:rsidR="00CA23D0" w:rsidRPr="00E30642" w:rsidRDefault="00CA23D0" w:rsidP="00CA23D0">
            <w:pPr>
              <w:pStyle w:val="Texttabulky"/>
              <w:spacing w:line="240" w:lineRule="atLeast"/>
              <w:jc w:val="both"/>
              <w:rPr>
                <w:rFonts w:cs="Arial"/>
              </w:rPr>
            </w:pPr>
            <w:r w:rsidRPr="00E30642">
              <w:rPr>
                <w:rFonts w:cs="Arial"/>
              </w:rPr>
              <w:t>10 600</w:t>
            </w:r>
          </w:p>
        </w:tc>
      </w:tr>
      <w:tr w:rsidR="00CA23D0" w:rsidRPr="00E30642" w14:paraId="1BAF4AF0"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03CB8783" w14:textId="77777777" w:rsidR="00CA23D0" w:rsidRPr="00E30642" w:rsidRDefault="00CA23D0" w:rsidP="00CA23D0">
            <w:pPr>
              <w:pStyle w:val="Texttabulky"/>
              <w:spacing w:line="240" w:lineRule="atLeast"/>
              <w:jc w:val="both"/>
              <w:rPr>
                <w:rFonts w:cs="Arial"/>
              </w:rPr>
            </w:pPr>
            <w:r w:rsidRPr="00E30642">
              <w:rPr>
                <w:rFonts w:cs="Arial"/>
              </w:rPr>
              <w:t>Varnsdorf</w:t>
            </w:r>
          </w:p>
        </w:tc>
        <w:tc>
          <w:tcPr>
            <w:tcW w:w="1140" w:type="dxa"/>
            <w:tcBorders>
              <w:top w:val="single" w:sz="6" w:space="0" w:color="auto"/>
              <w:left w:val="single" w:sz="6" w:space="0" w:color="auto"/>
              <w:bottom w:val="single" w:sz="6" w:space="0" w:color="auto"/>
              <w:right w:val="single" w:sz="6" w:space="0" w:color="auto"/>
            </w:tcBorders>
          </w:tcPr>
          <w:p w14:paraId="321A66CF" w14:textId="77777777" w:rsidR="00CA23D0" w:rsidRPr="00E30642" w:rsidRDefault="00CA23D0" w:rsidP="00CA23D0">
            <w:pPr>
              <w:pStyle w:val="Texttabulky"/>
              <w:spacing w:line="240" w:lineRule="atLeast"/>
              <w:jc w:val="both"/>
              <w:rPr>
                <w:rFonts w:cs="Arial"/>
              </w:rPr>
            </w:pPr>
            <w:r w:rsidRPr="00E30642">
              <w:rPr>
                <w:rFonts w:cs="Arial"/>
              </w:rPr>
              <w:t>16 144</w:t>
            </w:r>
          </w:p>
        </w:tc>
        <w:tc>
          <w:tcPr>
            <w:tcW w:w="1000" w:type="dxa"/>
            <w:tcBorders>
              <w:top w:val="single" w:sz="6" w:space="0" w:color="auto"/>
              <w:left w:val="single" w:sz="6" w:space="0" w:color="auto"/>
              <w:bottom w:val="single" w:sz="6" w:space="0" w:color="auto"/>
              <w:right w:val="single" w:sz="6" w:space="0" w:color="auto"/>
            </w:tcBorders>
          </w:tcPr>
          <w:p w14:paraId="39E6F236" w14:textId="77777777" w:rsidR="00CA23D0" w:rsidRPr="00E30642" w:rsidRDefault="00CA23D0" w:rsidP="00CA23D0">
            <w:pPr>
              <w:pStyle w:val="Texttabulky"/>
              <w:spacing w:line="240" w:lineRule="atLeast"/>
              <w:jc w:val="both"/>
              <w:rPr>
                <w:rFonts w:cs="Arial"/>
              </w:rPr>
            </w:pPr>
            <w:r w:rsidRPr="00E30642">
              <w:rPr>
                <w:rFonts w:cs="Arial"/>
              </w:rPr>
              <w:t>16 000</w:t>
            </w:r>
          </w:p>
        </w:tc>
        <w:tc>
          <w:tcPr>
            <w:tcW w:w="1140" w:type="dxa"/>
            <w:tcBorders>
              <w:top w:val="single" w:sz="6" w:space="0" w:color="auto"/>
              <w:left w:val="single" w:sz="6" w:space="0" w:color="auto"/>
              <w:bottom w:val="single" w:sz="6" w:space="0" w:color="auto"/>
              <w:right w:val="single" w:sz="6" w:space="0" w:color="auto"/>
            </w:tcBorders>
          </w:tcPr>
          <w:p w14:paraId="6BE6C161" w14:textId="77777777" w:rsidR="00CA23D0" w:rsidRPr="00E30642" w:rsidRDefault="00CA23D0" w:rsidP="00CA23D0">
            <w:pPr>
              <w:pStyle w:val="Texttabulky"/>
              <w:spacing w:line="240" w:lineRule="atLeast"/>
              <w:jc w:val="both"/>
              <w:rPr>
                <w:rFonts w:cs="Arial"/>
              </w:rPr>
            </w:pPr>
            <w:r w:rsidRPr="00E30642">
              <w:rPr>
                <w:rFonts w:cs="Arial"/>
              </w:rPr>
              <w:t>15 800</w:t>
            </w:r>
          </w:p>
        </w:tc>
        <w:tc>
          <w:tcPr>
            <w:tcW w:w="960" w:type="dxa"/>
            <w:tcBorders>
              <w:top w:val="single" w:sz="6" w:space="0" w:color="auto"/>
              <w:left w:val="single" w:sz="6" w:space="0" w:color="auto"/>
              <w:bottom w:val="single" w:sz="6" w:space="0" w:color="auto"/>
              <w:right w:val="single" w:sz="6" w:space="0" w:color="auto"/>
            </w:tcBorders>
          </w:tcPr>
          <w:p w14:paraId="0E95962F" w14:textId="77777777" w:rsidR="00CA23D0" w:rsidRPr="00E30642" w:rsidRDefault="00CA23D0" w:rsidP="00CA23D0">
            <w:pPr>
              <w:pStyle w:val="Texttabulky"/>
              <w:spacing w:line="240" w:lineRule="atLeast"/>
              <w:jc w:val="both"/>
              <w:rPr>
                <w:rFonts w:cs="Arial"/>
              </w:rPr>
            </w:pPr>
            <w:r w:rsidRPr="00E30642">
              <w:rPr>
                <w:rFonts w:cs="Arial"/>
              </w:rPr>
              <w:t>15 600</w:t>
            </w:r>
          </w:p>
        </w:tc>
      </w:tr>
      <w:tr w:rsidR="00CA23D0" w:rsidRPr="00E30642" w14:paraId="61F39FAB"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2EDAA611" w14:textId="77777777" w:rsidR="00CA23D0" w:rsidRPr="00E30642" w:rsidRDefault="00CA23D0" w:rsidP="00CA23D0">
            <w:pPr>
              <w:pStyle w:val="Texttabulky"/>
              <w:spacing w:line="240" w:lineRule="atLeast"/>
              <w:jc w:val="both"/>
              <w:rPr>
                <w:rFonts w:cs="Arial"/>
              </w:rPr>
            </w:pPr>
            <w:r w:rsidRPr="00E30642">
              <w:rPr>
                <w:rFonts w:cs="Arial"/>
              </w:rPr>
              <w:t>Města celkem</w:t>
            </w:r>
          </w:p>
        </w:tc>
        <w:tc>
          <w:tcPr>
            <w:tcW w:w="1140" w:type="dxa"/>
            <w:tcBorders>
              <w:top w:val="single" w:sz="6" w:space="0" w:color="auto"/>
              <w:left w:val="single" w:sz="6" w:space="0" w:color="auto"/>
              <w:bottom w:val="single" w:sz="6" w:space="0" w:color="auto"/>
              <w:right w:val="single" w:sz="6" w:space="0" w:color="auto"/>
            </w:tcBorders>
          </w:tcPr>
          <w:p w14:paraId="15219B97" w14:textId="77777777" w:rsidR="00CA23D0" w:rsidRPr="00E30642" w:rsidRDefault="00CA23D0" w:rsidP="00CA23D0">
            <w:pPr>
              <w:pStyle w:val="Texttabulky"/>
              <w:spacing w:line="240" w:lineRule="atLeast"/>
              <w:jc w:val="both"/>
              <w:rPr>
                <w:rFonts w:cs="Arial"/>
              </w:rPr>
            </w:pPr>
            <w:r w:rsidRPr="00E30642">
              <w:rPr>
                <w:rFonts w:cs="Arial"/>
              </w:rPr>
              <w:t>80 176</w:t>
            </w:r>
          </w:p>
        </w:tc>
        <w:tc>
          <w:tcPr>
            <w:tcW w:w="1000" w:type="dxa"/>
            <w:tcBorders>
              <w:top w:val="single" w:sz="6" w:space="0" w:color="auto"/>
              <w:left w:val="single" w:sz="6" w:space="0" w:color="auto"/>
              <w:bottom w:val="single" w:sz="6" w:space="0" w:color="auto"/>
              <w:right w:val="single" w:sz="6" w:space="0" w:color="auto"/>
            </w:tcBorders>
          </w:tcPr>
          <w:p w14:paraId="455AB949" w14:textId="77777777" w:rsidR="00CA23D0" w:rsidRPr="00E30642" w:rsidRDefault="00CA23D0" w:rsidP="00CA23D0">
            <w:pPr>
              <w:pStyle w:val="Texttabulky"/>
              <w:spacing w:line="240" w:lineRule="atLeast"/>
              <w:jc w:val="both"/>
              <w:rPr>
                <w:rFonts w:cs="Arial"/>
              </w:rPr>
            </w:pPr>
            <w:r w:rsidRPr="00E30642">
              <w:rPr>
                <w:rFonts w:cs="Arial"/>
              </w:rPr>
              <w:t>79 900</w:t>
            </w:r>
          </w:p>
        </w:tc>
        <w:tc>
          <w:tcPr>
            <w:tcW w:w="1140" w:type="dxa"/>
            <w:tcBorders>
              <w:top w:val="single" w:sz="6" w:space="0" w:color="auto"/>
              <w:left w:val="single" w:sz="6" w:space="0" w:color="auto"/>
              <w:bottom w:val="single" w:sz="6" w:space="0" w:color="auto"/>
              <w:right w:val="single" w:sz="6" w:space="0" w:color="auto"/>
            </w:tcBorders>
          </w:tcPr>
          <w:p w14:paraId="4482FFA9" w14:textId="77777777" w:rsidR="00CA23D0" w:rsidRPr="00E30642" w:rsidRDefault="00CA23D0" w:rsidP="00CA23D0">
            <w:pPr>
              <w:pStyle w:val="Texttabulky"/>
              <w:spacing w:line="240" w:lineRule="atLeast"/>
              <w:jc w:val="both"/>
              <w:rPr>
                <w:rFonts w:cs="Arial"/>
              </w:rPr>
            </w:pPr>
            <w:r w:rsidRPr="00E30642">
              <w:rPr>
                <w:rFonts w:cs="Arial"/>
              </w:rPr>
              <w:t>79 300</w:t>
            </w:r>
          </w:p>
        </w:tc>
        <w:tc>
          <w:tcPr>
            <w:tcW w:w="960" w:type="dxa"/>
            <w:tcBorders>
              <w:top w:val="single" w:sz="6" w:space="0" w:color="auto"/>
              <w:left w:val="single" w:sz="6" w:space="0" w:color="auto"/>
              <w:bottom w:val="single" w:sz="6" w:space="0" w:color="auto"/>
              <w:right w:val="single" w:sz="6" w:space="0" w:color="auto"/>
            </w:tcBorders>
          </w:tcPr>
          <w:p w14:paraId="7096BD93" w14:textId="77777777" w:rsidR="00CA23D0" w:rsidRPr="00E30642" w:rsidRDefault="00CA23D0" w:rsidP="00CA23D0">
            <w:pPr>
              <w:pStyle w:val="Texttabulky"/>
              <w:spacing w:line="240" w:lineRule="atLeast"/>
              <w:jc w:val="both"/>
              <w:rPr>
                <w:rFonts w:cs="Arial"/>
              </w:rPr>
            </w:pPr>
            <w:r w:rsidRPr="00E30642">
              <w:rPr>
                <w:rFonts w:cs="Arial"/>
              </w:rPr>
              <w:t>78 700</w:t>
            </w:r>
          </w:p>
        </w:tc>
      </w:tr>
      <w:tr w:rsidR="00CA23D0" w:rsidRPr="00E30642" w14:paraId="20BE9720"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5A415948" w14:textId="77777777" w:rsidR="00CA23D0" w:rsidRPr="00E30642" w:rsidRDefault="00CA23D0" w:rsidP="00CA23D0">
            <w:pPr>
              <w:pStyle w:val="Texttabulky"/>
              <w:spacing w:line="240" w:lineRule="atLeast"/>
              <w:jc w:val="both"/>
              <w:rPr>
                <w:rFonts w:cs="Arial"/>
              </w:rPr>
            </w:pPr>
            <w:r w:rsidRPr="00E30642">
              <w:rPr>
                <w:rFonts w:cs="Arial"/>
              </w:rPr>
              <w:t>Ostatní obce</w:t>
            </w:r>
          </w:p>
        </w:tc>
        <w:tc>
          <w:tcPr>
            <w:tcW w:w="1140" w:type="dxa"/>
            <w:tcBorders>
              <w:top w:val="single" w:sz="6" w:space="0" w:color="auto"/>
              <w:left w:val="single" w:sz="6" w:space="0" w:color="auto"/>
              <w:bottom w:val="single" w:sz="6" w:space="0" w:color="auto"/>
              <w:right w:val="single" w:sz="6" w:space="0" w:color="auto"/>
            </w:tcBorders>
          </w:tcPr>
          <w:p w14:paraId="180B0A28" w14:textId="77777777" w:rsidR="00CA23D0" w:rsidRPr="00E30642" w:rsidRDefault="00CA23D0" w:rsidP="00CA23D0">
            <w:pPr>
              <w:pStyle w:val="Texttabulky"/>
              <w:spacing w:line="240" w:lineRule="atLeast"/>
              <w:jc w:val="both"/>
              <w:rPr>
                <w:rFonts w:cs="Arial"/>
              </w:rPr>
            </w:pPr>
            <w:r w:rsidRPr="00E30642">
              <w:rPr>
                <w:rFonts w:cs="Arial"/>
              </w:rPr>
              <w:t>53 592</w:t>
            </w:r>
          </w:p>
        </w:tc>
        <w:tc>
          <w:tcPr>
            <w:tcW w:w="1000" w:type="dxa"/>
            <w:tcBorders>
              <w:top w:val="single" w:sz="6" w:space="0" w:color="auto"/>
              <w:left w:val="single" w:sz="6" w:space="0" w:color="auto"/>
              <w:bottom w:val="single" w:sz="6" w:space="0" w:color="auto"/>
              <w:right w:val="single" w:sz="6" w:space="0" w:color="auto"/>
            </w:tcBorders>
          </w:tcPr>
          <w:p w14:paraId="7A9162B1" w14:textId="77777777" w:rsidR="00CA23D0" w:rsidRPr="00E30642" w:rsidRDefault="00CA23D0" w:rsidP="00CA23D0">
            <w:pPr>
              <w:pStyle w:val="Texttabulky"/>
              <w:spacing w:line="240" w:lineRule="atLeast"/>
              <w:jc w:val="both"/>
              <w:rPr>
                <w:rFonts w:cs="Arial"/>
              </w:rPr>
            </w:pPr>
            <w:r w:rsidRPr="00E30642">
              <w:rPr>
                <w:rFonts w:cs="Arial"/>
              </w:rPr>
              <w:t>53 700</w:t>
            </w:r>
          </w:p>
        </w:tc>
        <w:tc>
          <w:tcPr>
            <w:tcW w:w="1140" w:type="dxa"/>
            <w:tcBorders>
              <w:top w:val="single" w:sz="6" w:space="0" w:color="auto"/>
              <w:left w:val="single" w:sz="6" w:space="0" w:color="auto"/>
              <w:bottom w:val="single" w:sz="6" w:space="0" w:color="auto"/>
              <w:right w:val="single" w:sz="6" w:space="0" w:color="auto"/>
            </w:tcBorders>
          </w:tcPr>
          <w:p w14:paraId="3684090D" w14:textId="77777777" w:rsidR="00CA23D0" w:rsidRPr="00E30642" w:rsidRDefault="00CA23D0" w:rsidP="00CA23D0">
            <w:pPr>
              <w:pStyle w:val="Texttabulky"/>
              <w:spacing w:line="240" w:lineRule="atLeast"/>
              <w:jc w:val="both"/>
              <w:rPr>
                <w:rFonts w:cs="Arial"/>
              </w:rPr>
            </w:pPr>
            <w:r w:rsidRPr="00E30642">
              <w:rPr>
                <w:rFonts w:cs="Arial"/>
              </w:rPr>
              <w:t>54 000</w:t>
            </w:r>
          </w:p>
        </w:tc>
        <w:tc>
          <w:tcPr>
            <w:tcW w:w="960" w:type="dxa"/>
            <w:tcBorders>
              <w:top w:val="single" w:sz="6" w:space="0" w:color="auto"/>
              <w:left w:val="single" w:sz="6" w:space="0" w:color="auto"/>
              <w:bottom w:val="single" w:sz="6" w:space="0" w:color="auto"/>
              <w:right w:val="single" w:sz="6" w:space="0" w:color="auto"/>
            </w:tcBorders>
          </w:tcPr>
          <w:p w14:paraId="025C0F2B" w14:textId="77777777" w:rsidR="00CA23D0" w:rsidRPr="00E30642" w:rsidRDefault="00CA23D0" w:rsidP="00CA23D0">
            <w:pPr>
              <w:pStyle w:val="Texttabulky"/>
              <w:spacing w:line="240" w:lineRule="atLeast"/>
              <w:jc w:val="both"/>
              <w:rPr>
                <w:rFonts w:cs="Arial"/>
              </w:rPr>
            </w:pPr>
            <w:r w:rsidRPr="00E30642">
              <w:rPr>
                <w:rFonts w:cs="Arial"/>
              </w:rPr>
              <w:t>54 400</w:t>
            </w:r>
          </w:p>
        </w:tc>
      </w:tr>
      <w:tr w:rsidR="00CA23D0" w:rsidRPr="00E30642" w14:paraId="5DD5B6F6"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AB86A70" w14:textId="77777777" w:rsidR="00CA23D0" w:rsidRPr="00E30642" w:rsidRDefault="00CA23D0" w:rsidP="00CA23D0">
            <w:pPr>
              <w:pStyle w:val="Texttabulky"/>
              <w:spacing w:line="240" w:lineRule="atLeast"/>
              <w:jc w:val="both"/>
              <w:rPr>
                <w:rFonts w:cs="Arial"/>
              </w:rPr>
            </w:pPr>
            <w:r w:rsidRPr="00E30642">
              <w:rPr>
                <w:rFonts w:cs="Arial"/>
              </w:rPr>
              <w:t>Podíl měst v %</w:t>
            </w:r>
          </w:p>
        </w:tc>
        <w:tc>
          <w:tcPr>
            <w:tcW w:w="1140" w:type="dxa"/>
            <w:tcBorders>
              <w:top w:val="single" w:sz="6" w:space="0" w:color="auto"/>
              <w:left w:val="single" w:sz="6" w:space="0" w:color="auto"/>
              <w:bottom w:val="single" w:sz="6" w:space="0" w:color="auto"/>
              <w:right w:val="single" w:sz="6" w:space="0" w:color="auto"/>
            </w:tcBorders>
          </w:tcPr>
          <w:p w14:paraId="1FD823EE" w14:textId="77777777" w:rsidR="00CA23D0" w:rsidRPr="00E30642" w:rsidRDefault="00CA23D0" w:rsidP="00CA23D0">
            <w:pPr>
              <w:pStyle w:val="Texttabulky"/>
              <w:spacing w:line="240" w:lineRule="atLeast"/>
              <w:jc w:val="both"/>
              <w:rPr>
                <w:rFonts w:cs="Arial"/>
              </w:rPr>
            </w:pPr>
            <w:r w:rsidRPr="00E30642">
              <w:rPr>
                <w:rFonts w:cs="Arial"/>
              </w:rPr>
              <w:t>59,94</w:t>
            </w:r>
          </w:p>
        </w:tc>
        <w:tc>
          <w:tcPr>
            <w:tcW w:w="1000" w:type="dxa"/>
            <w:tcBorders>
              <w:top w:val="single" w:sz="6" w:space="0" w:color="auto"/>
              <w:left w:val="single" w:sz="6" w:space="0" w:color="auto"/>
              <w:bottom w:val="single" w:sz="6" w:space="0" w:color="auto"/>
              <w:right w:val="single" w:sz="6" w:space="0" w:color="auto"/>
            </w:tcBorders>
          </w:tcPr>
          <w:p w14:paraId="41E721C0" w14:textId="77777777" w:rsidR="00CA23D0" w:rsidRPr="00E30642" w:rsidRDefault="00CA23D0" w:rsidP="00CA23D0">
            <w:pPr>
              <w:pStyle w:val="Texttabulky"/>
              <w:spacing w:line="240" w:lineRule="atLeast"/>
              <w:jc w:val="both"/>
              <w:rPr>
                <w:rFonts w:cs="Arial"/>
              </w:rPr>
            </w:pPr>
            <w:r w:rsidRPr="00E30642">
              <w:rPr>
                <w:rFonts w:cs="Arial"/>
              </w:rPr>
              <w:t>59,81</w:t>
            </w:r>
          </w:p>
        </w:tc>
        <w:tc>
          <w:tcPr>
            <w:tcW w:w="1140" w:type="dxa"/>
            <w:tcBorders>
              <w:top w:val="single" w:sz="6" w:space="0" w:color="auto"/>
              <w:left w:val="single" w:sz="6" w:space="0" w:color="auto"/>
              <w:bottom w:val="single" w:sz="6" w:space="0" w:color="auto"/>
              <w:right w:val="single" w:sz="6" w:space="0" w:color="auto"/>
            </w:tcBorders>
          </w:tcPr>
          <w:p w14:paraId="5B0696BE" w14:textId="77777777" w:rsidR="00CA23D0" w:rsidRPr="00E30642" w:rsidRDefault="00CA23D0" w:rsidP="00CA23D0">
            <w:pPr>
              <w:pStyle w:val="Texttabulky"/>
              <w:spacing w:line="240" w:lineRule="atLeast"/>
              <w:jc w:val="both"/>
              <w:rPr>
                <w:rFonts w:cs="Arial"/>
              </w:rPr>
            </w:pPr>
            <w:r w:rsidRPr="00E30642">
              <w:rPr>
                <w:rFonts w:cs="Arial"/>
              </w:rPr>
              <w:t>59,49</w:t>
            </w:r>
          </w:p>
        </w:tc>
        <w:tc>
          <w:tcPr>
            <w:tcW w:w="960" w:type="dxa"/>
            <w:tcBorders>
              <w:top w:val="single" w:sz="6" w:space="0" w:color="auto"/>
              <w:left w:val="single" w:sz="6" w:space="0" w:color="auto"/>
              <w:bottom w:val="single" w:sz="6" w:space="0" w:color="auto"/>
              <w:right w:val="single" w:sz="6" w:space="0" w:color="auto"/>
            </w:tcBorders>
          </w:tcPr>
          <w:p w14:paraId="26D1E89E" w14:textId="77777777" w:rsidR="00CA23D0" w:rsidRPr="00E30642" w:rsidRDefault="00CA23D0" w:rsidP="00CA23D0">
            <w:pPr>
              <w:pStyle w:val="Texttabulky"/>
              <w:spacing w:line="240" w:lineRule="atLeast"/>
              <w:jc w:val="both"/>
              <w:rPr>
                <w:rFonts w:cs="Arial"/>
              </w:rPr>
            </w:pPr>
            <w:r w:rsidRPr="00E30642">
              <w:rPr>
                <w:rFonts w:cs="Arial"/>
              </w:rPr>
              <w:t>59,13</w:t>
            </w:r>
          </w:p>
        </w:tc>
      </w:tr>
      <w:tr w:rsidR="00CA23D0" w:rsidRPr="00E30642" w14:paraId="11CFF35D"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6AD8D2BB" w14:textId="77777777" w:rsidR="00CA23D0" w:rsidRPr="00E30642" w:rsidRDefault="00CA23D0" w:rsidP="00CA23D0">
            <w:pPr>
              <w:pStyle w:val="Zkladntext"/>
              <w:jc w:val="both"/>
              <w:rPr>
                <w:rFonts w:ascii="Arial" w:hAnsi="Arial" w:cs="Arial"/>
              </w:rPr>
            </w:pPr>
          </w:p>
        </w:tc>
        <w:tc>
          <w:tcPr>
            <w:tcW w:w="1140" w:type="dxa"/>
            <w:tcBorders>
              <w:top w:val="single" w:sz="6" w:space="0" w:color="auto"/>
              <w:left w:val="single" w:sz="6" w:space="0" w:color="auto"/>
              <w:bottom w:val="single" w:sz="6" w:space="0" w:color="auto"/>
              <w:right w:val="single" w:sz="6" w:space="0" w:color="auto"/>
            </w:tcBorders>
          </w:tcPr>
          <w:p w14:paraId="1B194832" w14:textId="77777777" w:rsidR="00CA23D0" w:rsidRPr="00E30642" w:rsidRDefault="00CA23D0" w:rsidP="00CA23D0">
            <w:pPr>
              <w:pStyle w:val="Zkladntext"/>
              <w:jc w:val="both"/>
              <w:rPr>
                <w:rFonts w:ascii="Arial" w:hAnsi="Arial" w:cs="Arial"/>
              </w:rPr>
            </w:pPr>
          </w:p>
        </w:tc>
        <w:tc>
          <w:tcPr>
            <w:tcW w:w="1000" w:type="dxa"/>
            <w:tcBorders>
              <w:top w:val="single" w:sz="6" w:space="0" w:color="auto"/>
              <w:left w:val="single" w:sz="6" w:space="0" w:color="auto"/>
              <w:bottom w:val="single" w:sz="6" w:space="0" w:color="auto"/>
              <w:right w:val="single" w:sz="6" w:space="0" w:color="auto"/>
            </w:tcBorders>
          </w:tcPr>
          <w:p w14:paraId="33F36E2C" w14:textId="77777777" w:rsidR="00CA23D0" w:rsidRPr="00E30642" w:rsidRDefault="00CA23D0" w:rsidP="00CA23D0">
            <w:pPr>
              <w:pStyle w:val="Zkladntext"/>
              <w:jc w:val="both"/>
              <w:rPr>
                <w:rFonts w:ascii="Arial" w:hAnsi="Arial" w:cs="Arial"/>
              </w:rPr>
            </w:pPr>
          </w:p>
        </w:tc>
        <w:tc>
          <w:tcPr>
            <w:tcW w:w="1140" w:type="dxa"/>
            <w:tcBorders>
              <w:top w:val="single" w:sz="6" w:space="0" w:color="auto"/>
              <w:left w:val="single" w:sz="6" w:space="0" w:color="auto"/>
              <w:bottom w:val="single" w:sz="6" w:space="0" w:color="auto"/>
              <w:right w:val="single" w:sz="6" w:space="0" w:color="auto"/>
            </w:tcBorders>
          </w:tcPr>
          <w:p w14:paraId="1CD656D1"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65CD58AE" w14:textId="77777777" w:rsidR="00CA23D0" w:rsidRPr="00E30642" w:rsidRDefault="00CA23D0" w:rsidP="00CA23D0">
            <w:pPr>
              <w:pStyle w:val="Zkladntext"/>
              <w:jc w:val="both"/>
              <w:rPr>
                <w:rFonts w:ascii="Arial" w:hAnsi="Arial" w:cs="Arial"/>
              </w:rPr>
            </w:pPr>
          </w:p>
        </w:tc>
      </w:tr>
      <w:tr w:rsidR="00CA23D0" w:rsidRPr="00E30642" w14:paraId="037D13C3"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71B7FCB1" w14:textId="77777777" w:rsidR="00CA23D0" w:rsidRPr="00E30642" w:rsidRDefault="00CA23D0" w:rsidP="00CA23D0">
            <w:pPr>
              <w:pStyle w:val="Texttabulky"/>
              <w:spacing w:line="240" w:lineRule="atLeast"/>
              <w:jc w:val="both"/>
              <w:rPr>
                <w:rFonts w:cs="Arial"/>
              </w:rPr>
            </w:pPr>
            <w:r w:rsidRPr="00E30642">
              <w:rPr>
                <w:rFonts w:cs="Arial"/>
              </w:rPr>
              <w:t>Okres Chomutov</w:t>
            </w:r>
          </w:p>
        </w:tc>
        <w:tc>
          <w:tcPr>
            <w:tcW w:w="1140" w:type="dxa"/>
            <w:tcBorders>
              <w:top w:val="single" w:sz="6" w:space="0" w:color="auto"/>
              <w:left w:val="single" w:sz="6" w:space="0" w:color="auto"/>
              <w:bottom w:val="single" w:sz="6" w:space="0" w:color="auto"/>
              <w:right w:val="single" w:sz="6" w:space="0" w:color="auto"/>
            </w:tcBorders>
          </w:tcPr>
          <w:p w14:paraId="3A65FE33" w14:textId="77777777" w:rsidR="00CA23D0" w:rsidRPr="00E30642" w:rsidRDefault="00CA23D0" w:rsidP="00CA23D0">
            <w:pPr>
              <w:pStyle w:val="Texttabulky"/>
              <w:spacing w:line="240" w:lineRule="atLeast"/>
              <w:jc w:val="both"/>
              <w:rPr>
                <w:rFonts w:cs="Arial"/>
              </w:rPr>
            </w:pPr>
            <w:r w:rsidRPr="00E30642">
              <w:rPr>
                <w:rFonts w:cs="Arial"/>
              </w:rPr>
              <w:t>125 427</w:t>
            </w:r>
          </w:p>
        </w:tc>
        <w:tc>
          <w:tcPr>
            <w:tcW w:w="1000" w:type="dxa"/>
            <w:tcBorders>
              <w:top w:val="single" w:sz="6" w:space="0" w:color="auto"/>
              <w:left w:val="single" w:sz="6" w:space="0" w:color="auto"/>
              <w:bottom w:val="single" w:sz="6" w:space="0" w:color="auto"/>
              <w:right w:val="single" w:sz="6" w:space="0" w:color="auto"/>
            </w:tcBorders>
          </w:tcPr>
          <w:p w14:paraId="75D5B394" w14:textId="77777777" w:rsidR="00CA23D0" w:rsidRPr="00E30642" w:rsidRDefault="00CA23D0" w:rsidP="00CA23D0">
            <w:pPr>
              <w:pStyle w:val="Texttabulky"/>
              <w:spacing w:line="240" w:lineRule="atLeast"/>
              <w:jc w:val="both"/>
              <w:rPr>
                <w:rFonts w:cs="Arial"/>
              </w:rPr>
            </w:pPr>
            <w:r w:rsidRPr="00E30642">
              <w:rPr>
                <w:rFonts w:cs="Arial"/>
              </w:rPr>
              <w:t>125 600</w:t>
            </w:r>
          </w:p>
        </w:tc>
        <w:tc>
          <w:tcPr>
            <w:tcW w:w="1140" w:type="dxa"/>
            <w:tcBorders>
              <w:top w:val="single" w:sz="6" w:space="0" w:color="auto"/>
              <w:left w:val="single" w:sz="6" w:space="0" w:color="auto"/>
              <w:bottom w:val="single" w:sz="6" w:space="0" w:color="auto"/>
              <w:right w:val="single" w:sz="6" w:space="0" w:color="auto"/>
            </w:tcBorders>
          </w:tcPr>
          <w:p w14:paraId="225738CB" w14:textId="77777777" w:rsidR="00CA23D0" w:rsidRPr="00E30642" w:rsidRDefault="00CA23D0" w:rsidP="00CA23D0">
            <w:pPr>
              <w:pStyle w:val="Texttabulky"/>
              <w:spacing w:line="240" w:lineRule="atLeast"/>
              <w:jc w:val="both"/>
              <w:rPr>
                <w:rFonts w:cs="Arial"/>
              </w:rPr>
            </w:pPr>
            <w:r w:rsidRPr="00E30642">
              <w:rPr>
                <w:rFonts w:cs="Arial"/>
              </w:rPr>
              <w:t>125 800</w:t>
            </w:r>
          </w:p>
        </w:tc>
        <w:tc>
          <w:tcPr>
            <w:tcW w:w="960" w:type="dxa"/>
            <w:tcBorders>
              <w:top w:val="single" w:sz="6" w:space="0" w:color="auto"/>
              <w:left w:val="single" w:sz="6" w:space="0" w:color="auto"/>
              <w:bottom w:val="single" w:sz="6" w:space="0" w:color="auto"/>
              <w:right w:val="single" w:sz="6" w:space="0" w:color="auto"/>
            </w:tcBorders>
          </w:tcPr>
          <w:p w14:paraId="072A7953" w14:textId="77777777" w:rsidR="00CA23D0" w:rsidRPr="00E30642" w:rsidRDefault="00CA23D0" w:rsidP="00CA23D0">
            <w:pPr>
              <w:pStyle w:val="Texttabulky"/>
              <w:spacing w:line="240" w:lineRule="atLeast"/>
              <w:jc w:val="both"/>
              <w:rPr>
                <w:rFonts w:cs="Arial"/>
              </w:rPr>
            </w:pPr>
            <w:r w:rsidRPr="00E30642">
              <w:rPr>
                <w:rFonts w:cs="Arial"/>
              </w:rPr>
              <w:t>125 500</w:t>
            </w:r>
          </w:p>
        </w:tc>
      </w:tr>
      <w:tr w:rsidR="00CA23D0" w:rsidRPr="00E30642" w14:paraId="6CB3DFD1"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706BD290" w14:textId="77777777" w:rsidR="00CA23D0" w:rsidRPr="00E30642" w:rsidRDefault="00CA23D0" w:rsidP="00CA23D0">
            <w:pPr>
              <w:pStyle w:val="Texttabulky"/>
              <w:spacing w:line="240" w:lineRule="atLeast"/>
              <w:jc w:val="both"/>
              <w:rPr>
                <w:rFonts w:cs="Arial"/>
              </w:rPr>
            </w:pPr>
            <w:r w:rsidRPr="00E30642">
              <w:rPr>
                <w:rFonts w:cs="Arial"/>
              </w:rPr>
              <w:t>Chomutov</w:t>
            </w:r>
          </w:p>
        </w:tc>
        <w:tc>
          <w:tcPr>
            <w:tcW w:w="1140" w:type="dxa"/>
            <w:tcBorders>
              <w:top w:val="single" w:sz="6" w:space="0" w:color="auto"/>
              <w:left w:val="single" w:sz="6" w:space="0" w:color="auto"/>
              <w:bottom w:val="single" w:sz="6" w:space="0" w:color="auto"/>
              <w:right w:val="single" w:sz="6" w:space="0" w:color="auto"/>
            </w:tcBorders>
          </w:tcPr>
          <w:p w14:paraId="7379DD63" w14:textId="77777777" w:rsidR="00CA23D0" w:rsidRPr="00E30642" w:rsidRDefault="00CA23D0" w:rsidP="00CA23D0">
            <w:pPr>
              <w:pStyle w:val="Texttabulky"/>
              <w:spacing w:line="240" w:lineRule="atLeast"/>
              <w:jc w:val="both"/>
              <w:rPr>
                <w:rFonts w:cs="Arial"/>
              </w:rPr>
            </w:pPr>
            <w:r w:rsidRPr="00E30642">
              <w:rPr>
                <w:rFonts w:cs="Arial"/>
              </w:rPr>
              <w:t>51 405</w:t>
            </w:r>
          </w:p>
        </w:tc>
        <w:tc>
          <w:tcPr>
            <w:tcW w:w="1000" w:type="dxa"/>
            <w:tcBorders>
              <w:top w:val="single" w:sz="6" w:space="0" w:color="auto"/>
              <w:left w:val="single" w:sz="6" w:space="0" w:color="auto"/>
              <w:bottom w:val="single" w:sz="6" w:space="0" w:color="auto"/>
              <w:right w:val="single" w:sz="6" w:space="0" w:color="auto"/>
            </w:tcBorders>
          </w:tcPr>
          <w:p w14:paraId="252F2191" w14:textId="77777777" w:rsidR="00CA23D0" w:rsidRPr="00E30642" w:rsidRDefault="00CA23D0" w:rsidP="00CA23D0">
            <w:pPr>
              <w:pStyle w:val="Texttabulky"/>
              <w:spacing w:line="240" w:lineRule="atLeast"/>
              <w:jc w:val="both"/>
              <w:rPr>
                <w:rFonts w:cs="Arial"/>
              </w:rPr>
            </w:pPr>
            <w:r w:rsidRPr="00E30642">
              <w:rPr>
                <w:rFonts w:cs="Arial"/>
              </w:rPr>
              <w:t>51 500</w:t>
            </w:r>
          </w:p>
        </w:tc>
        <w:tc>
          <w:tcPr>
            <w:tcW w:w="1140" w:type="dxa"/>
            <w:tcBorders>
              <w:top w:val="single" w:sz="6" w:space="0" w:color="auto"/>
              <w:left w:val="single" w:sz="6" w:space="0" w:color="auto"/>
              <w:bottom w:val="single" w:sz="6" w:space="0" w:color="auto"/>
              <w:right w:val="single" w:sz="6" w:space="0" w:color="auto"/>
            </w:tcBorders>
          </w:tcPr>
          <w:p w14:paraId="1C27823B" w14:textId="77777777" w:rsidR="00CA23D0" w:rsidRPr="00E30642" w:rsidRDefault="00CA23D0" w:rsidP="00CA23D0">
            <w:pPr>
              <w:pStyle w:val="Texttabulky"/>
              <w:spacing w:line="240" w:lineRule="atLeast"/>
              <w:jc w:val="both"/>
              <w:rPr>
                <w:rFonts w:cs="Arial"/>
              </w:rPr>
            </w:pPr>
            <w:r w:rsidRPr="00E30642">
              <w:rPr>
                <w:rFonts w:cs="Arial"/>
              </w:rPr>
              <w:t>51 100</w:t>
            </w:r>
          </w:p>
        </w:tc>
        <w:tc>
          <w:tcPr>
            <w:tcW w:w="960" w:type="dxa"/>
            <w:tcBorders>
              <w:top w:val="single" w:sz="6" w:space="0" w:color="auto"/>
              <w:left w:val="single" w:sz="6" w:space="0" w:color="auto"/>
              <w:bottom w:val="single" w:sz="6" w:space="0" w:color="auto"/>
              <w:right w:val="single" w:sz="6" w:space="0" w:color="auto"/>
            </w:tcBorders>
          </w:tcPr>
          <w:p w14:paraId="32BBE102" w14:textId="77777777" w:rsidR="00CA23D0" w:rsidRPr="00E30642" w:rsidRDefault="00CA23D0" w:rsidP="00CA23D0">
            <w:pPr>
              <w:pStyle w:val="Texttabulky"/>
              <w:spacing w:line="240" w:lineRule="atLeast"/>
              <w:jc w:val="both"/>
              <w:rPr>
                <w:rFonts w:cs="Arial"/>
              </w:rPr>
            </w:pPr>
            <w:r w:rsidRPr="00E30642">
              <w:rPr>
                <w:rFonts w:cs="Arial"/>
              </w:rPr>
              <w:t>50 700</w:t>
            </w:r>
          </w:p>
        </w:tc>
      </w:tr>
      <w:tr w:rsidR="00CA23D0" w:rsidRPr="00E30642" w14:paraId="2E9189AF"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B9E49D0" w14:textId="77777777" w:rsidR="00CA23D0" w:rsidRPr="00E30642" w:rsidRDefault="00CA23D0" w:rsidP="00CA23D0">
            <w:pPr>
              <w:pStyle w:val="Texttabulky"/>
              <w:spacing w:line="240" w:lineRule="atLeast"/>
              <w:jc w:val="both"/>
              <w:rPr>
                <w:rFonts w:cs="Arial"/>
              </w:rPr>
            </w:pPr>
            <w:r w:rsidRPr="00E30642">
              <w:rPr>
                <w:rFonts w:cs="Arial"/>
              </w:rPr>
              <w:t>Jirkov</w:t>
            </w:r>
          </w:p>
        </w:tc>
        <w:tc>
          <w:tcPr>
            <w:tcW w:w="1140" w:type="dxa"/>
            <w:tcBorders>
              <w:top w:val="single" w:sz="6" w:space="0" w:color="auto"/>
              <w:left w:val="single" w:sz="6" w:space="0" w:color="auto"/>
              <w:bottom w:val="single" w:sz="6" w:space="0" w:color="auto"/>
              <w:right w:val="single" w:sz="6" w:space="0" w:color="auto"/>
            </w:tcBorders>
          </w:tcPr>
          <w:p w14:paraId="12829831" w14:textId="77777777" w:rsidR="00CA23D0" w:rsidRPr="00E30642" w:rsidRDefault="00CA23D0" w:rsidP="00CA23D0">
            <w:pPr>
              <w:pStyle w:val="Texttabulky"/>
              <w:spacing w:line="240" w:lineRule="atLeast"/>
              <w:jc w:val="both"/>
              <w:rPr>
                <w:rFonts w:cs="Arial"/>
              </w:rPr>
            </w:pPr>
            <w:r w:rsidRPr="00E30642">
              <w:rPr>
                <w:rFonts w:cs="Arial"/>
              </w:rPr>
              <w:t>20 738</w:t>
            </w:r>
          </w:p>
        </w:tc>
        <w:tc>
          <w:tcPr>
            <w:tcW w:w="1000" w:type="dxa"/>
            <w:tcBorders>
              <w:top w:val="single" w:sz="6" w:space="0" w:color="auto"/>
              <w:left w:val="single" w:sz="6" w:space="0" w:color="auto"/>
              <w:bottom w:val="single" w:sz="6" w:space="0" w:color="auto"/>
              <w:right w:val="single" w:sz="6" w:space="0" w:color="auto"/>
            </w:tcBorders>
          </w:tcPr>
          <w:p w14:paraId="37154B4B" w14:textId="77777777" w:rsidR="00CA23D0" w:rsidRPr="00E30642" w:rsidRDefault="00CA23D0" w:rsidP="00CA23D0">
            <w:pPr>
              <w:pStyle w:val="Texttabulky"/>
              <w:spacing w:line="240" w:lineRule="atLeast"/>
              <w:jc w:val="both"/>
              <w:rPr>
                <w:rFonts w:cs="Arial"/>
              </w:rPr>
            </w:pPr>
            <w:r w:rsidRPr="00E30642">
              <w:rPr>
                <w:rFonts w:cs="Arial"/>
              </w:rPr>
              <w:t>20 600</w:t>
            </w:r>
          </w:p>
        </w:tc>
        <w:tc>
          <w:tcPr>
            <w:tcW w:w="1140" w:type="dxa"/>
            <w:tcBorders>
              <w:top w:val="single" w:sz="6" w:space="0" w:color="auto"/>
              <w:left w:val="single" w:sz="6" w:space="0" w:color="auto"/>
              <w:bottom w:val="single" w:sz="6" w:space="0" w:color="auto"/>
              <w:right w:val="single" w:sz="6" w:space="0" w:color="auto"/>
            </w:tcBorders>
          </w:tcPr>
          <w:p w14:paraId="46F65EA0" w14:textId="77777777" w:rsidR="00CA23D0" w:rsidRPr="00E30642" w:rsidRDefault="00CA23D0" w:rsidP="00CA23D0">
            <w:pPr>
              <w:pStyle w:val="Texttabulky"/>
              <w:spacing w:line="240" w:lineRule="atLeast"/>
              <w:jc w:val="both"/>
              <w:rPr>
                <w:rFonts w:cs="Arial"/>
              </w:rPr>
            </w:pPr>
            <w:r w:rsidRPr="00E30642">
              <w:rPr>
                <w:rFonts w:cs="Arial"/>
              </w:rPr>
              <w:t>20 700</w:t>
            </w:r>
          </w:p>
        </w:tc>
        <w:tc>
          <w:tcPr>
            <w:tcW w:w="960" w:type="dxa"/>
            <w:tcBorders>
              <w:top w:val="single" w:sz="6" w:space="0" w:color="auto"/>
              <w:left w:val="single" w:sz="6" w:space="0" w:color="auto"/>
              <w:bottom w:val="single" w:sz="6" w:space="0" w:color="auto"/>
              <w:right w:val="single" w:sz="6" w:space="0" w:color="auto"/>
            </w:tcBorders>
          </w:tcPr>
          <w:p w14:paraId="74990CEB" w14:textId="77777777" w:rsidR="00CA23D0" w:rsidRPr="00E30642" w:rsidRDefault="00CA23D0" w:rsidP="00CA23D0">
            <w:pPr>
              <w:pStyle w:val="Texttabulky"/>
              <w:spacing w:line="240" w:lineRule="atLeast"/>
              <w:jc w:val="both"/>
              <w:rPr>
                <w:rFonts w:cs="Arial"/>
              </w:rPr>
            </w:pPr>
            <w:r w:rsidRPr="00E30642">
              <w:rPr>
                <w:rFonts w:cs="Arial"/>
              </w:rPr>
              <w:t>20 800</w:t>
            </w:r>
          </w:p>
        </w:tc>
      </w:tr>
      <w:tr w:rsidR="00CA23D0" w:rsidRPr="00E30642" w14:paraId="0F4A7A03"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205BD139" w14:textId="77777777" w:rsidR="00CA23D0" w:rsidRPr="00E30642" w:rsidRDefault="00CA23D0" w:rsidP="00CA23D0">
            <w:pPr>
              <w:pStyle w:val="Texttabulky"/>
              <w:spacing w:line="240" w:lineRule="atLeast"/>
              <w:jc w:val="both"/>
              <w:rPr>
                <w:rFonts w:cs="Arial"/>
              </w:rPr>
            </w:pPr>
            <w:r w:rsidRPr="00E30642">
              <w:rPr>
                <w:rFonts w:cs="Arial"/>
              </w:rPr>
              <w:t>Kadaň</w:t>
            </w:r>
          </w:p>
        </w:tc>
        <w:tc>
          <w:tcPr>
            <w:tcW w:w="1140" w:type="dxa"/>
            <w:tcBorders>
              <w:top w:val="single" w:sz="6" w:space="0" w:color="auto"/>
              <w:left w:val="single" w:sz="6" w:space="0" w:color="auto"/>
              <w:bottom w:val="single" w:sz="6" w:space="0" w:color="auto"/>
              <w:right w:val="single" w:sz="6" w:space="0" w:color="auto"/>
            </w:tcBorders>
          </w:tcPr>
          <w:p w14:paraId="7D763897" w14:textId="77777777" w:rsidR="00CA23D0" w:rsidRPr="00E30642" w:rsidRDefault="00CA23D0" w:rsidP="00CA23D0">
            <w:pPr>
              <w:pStyle w:val="Texttabulky"/>
              <w:spacing w:line="240" w:lineRule="atLeast"/>
              <w:jc w:val="both"/>
              <w:rPr>
                <w:rFonts w:cs="Arial"/>
              </w:rPr>
            </w:pPr>
            <w:r w:rsidRPr="00E30642">
              <w:rPr>
                <w:rFonts w:cs="Arial"/>
              </w:rPr>
              <w:t>17 854</w:t>
            </w:r>
          </w:p>
        </w:tc>
        <w:tc>
          <w:tcPr>
            <w:tcW w:w="1000" w:type="dxa"/>
            <w:tcBorders>
              <w:top w:val="single" w:sz="6" w:space="0" w:color="auto"/>
              <w:left w:val="single" w:sz="6" w:space="0" w:color="auto"/>
              <w:bottom w:val="single" w:sz="6" w:space="0" w:color="auto"/>
              <w:right w:val="single" w:sz="6" w:space="0" w:color="auto"/>
            </w:tcBorders>
          </w:tcPr>
          <w:p w14:paraId="3B660499" w14:textId="77777777" w:rsidR="00CA23D0" w:rsidRPr="00E30642" w:rsidRDefault="00CA23D0" w:rsidP="00CA23D0">
            <w:pPr>
              <w:pStyle w:val="Texttabulky"/>
              <w:spacing w:line="240" w:lineRule="atLeast"/>
              <w:jc w:val="both"/>
              <w:rPr>
                <w:rFonts w:cs="Arial"/>
              </w:rPr>
            </w:pPr>
            <w:r w:rsidRPr="00E30642">
              <w:rPr>
                <w:rFonts w:cs="Arial"/>
              </w:rPr>
              <w:t>18 000</w:t>
            </w:r>
          </w:p>
        </w:tc>
        <w:tc>
          <w:tcPr>
            <w:tcW w:w="1140" w:type="dxa"/>
            <w:tcBorders>
              <w:top w:val="single" w:sz="6" w:space="0" w:color="auto"/>
              <w:left w:val="single" w:sz="6" w:space="0" w:color="auto"/>
              <w:bottom w:val="single" w:sz="6" w:space="0" w:color="auto"/>
              <w:right w:val="single" w:sz="6" w:space="0" w:color="auto"/>
            </w:tcBorders>
          </w:tcPr>
          <w:p w14:paraId="53CB3247" w14:textId="77777777" w:rsidR="00CA23D0" w:rsidRPr="00E30642" w:rsidRDefault="00CA23D0" w:rsidP="00CA23D0">
            <w:pPr>
              <w:pStyle w:val="Texttabulky"/>
              <w:spacing w:line="240" w:lineRule="atLeast"/>
              <w:jc w:val="both"/>
              <w:rPr>
                <w:rFonts w:cs="Arial"/>
              </w:rPr>
            </w:pPr>
            <w:r w:rsidRPr="00E30642">
              <w:rPr>
                <w:rFonts w:cs="Arial"/>
              </w:rPr>
              <w:t>17 800</w:t>
            </w:r>
          </w:p>
        </w:tc>
        <w:tc>
          <w:tcPr>
            <w:tcW w:w="960" w:type="dxa"/>
            <w:tcBorders>
              <w:top w:val="single" w:sz="6" w:space="0" w:color="auto"/>
              <w:left w:val="single" w:sz="6" w:space="0" w:color="auto"/>
              <w:bottom w:val="single" w:sz="6" w:space="0" w:color="auto"/>
              <w:right w:val="single" w:sz="6" w:space="0" w:color="auto"/>
            </w:tcBorders>
          </w:tcPr>
          <w:p w14:paraId="3554BFAF" w14:textId="77777777" w:rsidR="00CA23D0" w:rsidRPr="00E30642" w:rsidRDefault="00CA23D0" w:rsidP="00CA23D0">
            <w:pPr>
              <w:pStyle w:val="Texttabulky"/>
              <w:spacing w:line="240" w:lineRule="atLeast"/>
              <w:jc w:val="both"/>
              <w:rPr>
                <w:rFonts w:cs="Arial"/>
              </w:rPr>
            </w:pPr>
            <w:r w:rsidRPr="00E30642">
              <w:rPr>
                <w:rFonts w:cs="Arial"/>
              </w:rPr>
              <w:t>17 600</w:t>
            </w:r>
          </w:p>
        </w:tc>
      </w:tr>
      <w:tr w:rsidR="00CA23D0" w:rsidRPr="00E30642" w14:paraId="3B479FE2"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7378BF9" w14:textId="77777777" w:rsidR="00CA23D0" w:rsidRPr="00E30642" w:rsidRDefault="00CA23D0" w:rsidP="00CA23D0">
            <w:pPr>
              <w:pStyle w:val="Texttabulky"/>
              <w:spacing w:line="240" w:lineRule="atLeast"/>
              <w:jc w:val="both"/>
              <w:rPr>
                <w:rFonts w:cs="Arial"/>
              </w:rPr>
            </w:pPr>
            <w:r w:rsidRPr="00E30642">
              <w:rPr>
                <w:rFonts w:cs="Arial"/>
              </w:rPr>
              <w:t>Klášterec nad Ohří</w:t>
            </w:r>
          </w:p>
        </w:tc>
        <w:tc>
          <w:tcPr>
            <w:tcW w:w="1140" w:type="dxa"/>
            <w:tcBorders>
              <w:top w:val="single" w:sz="6" w:space="0" w:color="auto"/>
              <w:left w:val="single" w:sz="6" w:space="0" w:color="auto"/>
              <w:bottom w:val="single" w:sz="6" w:space="0" w:color="auto"/>
              <w:right w:val="single" w:sz="6" w:space="0" w:color="auto"/>
            </w:tcBorders>
          </w:tcPr>
          <w:p w14:paraId="6901A2DA" w14:textId="77777777" w:rsidR="00CA23D0" w:rsidRPr="00E30642" w:rsidRDefault="00CA23D0" w:rsidP="00CA23D0">
            <w:pPr>
              <w:pStyle w:val="Texttabulky"/>
              <w:spacing w:line="240" w:lineRule="atLeast"/>
              <w:jc w:val="both"/>
              <w:rPr>
                <w:rFonts w:cs="Arial"/>
              </w:rPr>
            </w:pPr>
            <w:r w:rsidRPr="00E30642">
              <w:rPr>
                <w:rFonts w:cs="Arial"/>
              </w:rPr>
              <w:t>16 148</w:t>
            </w:r>
          </w:p>
        </w:tc>
        <w:tc>
          <w:tcPr>
            <w:tcW w:w="1000" w:type="dxa"/>
            <w:tcBorders>
              <w:top w:val="single" w:sz="6" w:space="0" w:color="auto"/>
              <w:left w:val="single" w:sz="6" w:space="0" w:color="auto"/>
              <w:bottom w:val="single" w:sz="6" w:space="0" w:color="auto"/>
              <w:right w:val="single" w:sz="6" w:space="0" w:color="auto"/>
            </w:tcBorders>
          </w:tcPr>
          <w:p w14:paraId="7ED16566" w14:textId="77777777" w:rsidR="00CA23D0" w:rsidRPr="00E30642" w:rsidRDefault="00CA23D0" w:rsidP="00CA23D0">
            <w:pPr>
              <w:pStyle w:val="Texttabulky"/>
              <w:spacing w:line="240" w:lineRule="atLeast"/>
              <w:jc w:val="both"/>
              <w:rPr>
                <w:rFonts w:cs="Arial"/>
              </w:rPr>
            </w:pPr>
            <w:r w:rsidRPr="00E30642">
              <w:rPr>
                <w:rFonts w:cs="Arial"/>
              </w:rPr>
              <w:t>16 000</w:t>
            </w:r>
          </w:p>
        </w:tc>
        <w:tc>
          <w:tcPr>
            <w:tcW w:w="1140" w:type="dxa"/>
            <w:tcBorders>
              <w:top w:val="single" w:sz="6" w:space="0" w:color="auto"/>
              <w:left w:val="single" w:sz="6" w:space="0" w:color="auto"/>
              <w:bottom w:val="single" w:sz="6" w:space="0" w:color="auto"/>
              <w:right w:val="single" w:sz="6" w:space="0" w:color="auto"/>
            </w:tcBorders>
          </w:tcPr>
          <w:p w14:paraId="422C02F3" w14:textId="77777777" w:rsidR="00CA23D0" w:rsidRPr="00E30642" w:rsidRDefault="00CA23D0" w:rsidP="00CA23D0">
            <w:pPr>
              <w:pStyle w:val="Texttabulky"/>
              <w:spacing w:line="240" w:lineRule="atLeast"/>
              <w:jc w:val="both"/>
              <w:rPr>
                <w:rFonts w:cs="Arial"/>
              </w:rPr>
            </w:pPr>
            <w:r w:rsidRPr="00E30642">
              <w:rPr>
                <w:rFonts w:cs="Arial"/>
              </w:rPr>
              <w:t>15 900</w:t>
            </w:r>
          </w:p>
        </w:tc>
        <w:tc>
          <w:tcPr>
            <w:tcW w:w="960" w:type="dxa"/>
            <w:tcBorders>
              <w:top w:val="single" w:sz="6" w:space="0" w:color="auto"/>
              <w:left w:val="single" w:sz="6" w:space="0" w:color="auto"/>
              <w:bottom w:val="single" w:sz="6" w:space="0" w:color="auto"/>
              <w:right w:val="single" w:sz="6" w:space="0" w:color="auto"/>
            </w:tcBorders>
          </w:tcPr>
          <w:p w14:paraId="2D79F8B9" w14:textId="77777777" w:rsidR="00CA23D0" w:rsidRPr="00E30642" w:rsidRDefault="00CA23D0" w:rsidP="00CA23D0">
            <w:pPr>
              <w:pStyle w:val="Texttabulky"/>
              <w:spacing w:line="240" w:lineRule="atLeast"/>
              <w:jc w:val="both"/>
              <w:rPr>
                <w:rFonts w:cs="Arial"/>
              </w:rPr>
            </w:pPr>
            <w:r w:rsidRPr="00E30642">
              <w:rPr>
                <w:rFonts w:cs="Arial"/>
              </w:rPr>
              <w:t>15 750</w:t>
            </w:r>
          </w:p>
        </w:tc>
      </w:tr>
      <w:tr w:rsidR="00CA23D0" w:rsidRPr="00E30642" w14:paraId="693B0F4B"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5CD704D" w14:textId="77777777" w:rsidR="00CA23D0" w:rsidRPr="00E30642" w:rsidRDefault="00CA23D0" w:rsidP="00CA23D0">
            <w:pPr>
              <w:pStyle w:val="Texttabulky"/>
              <w:spacing w:line="240" w:lineRule="atLeast"/>
              <w:jc w:val="both"/>
              <w:rPr>
                <w:rFonts w:cs="Arial"/>
              </w:rPr>
            </w:pPr>
            <w:r w:rsidRPr="00E30642">
              <w:rPr>
                <w:rFonts w:cs="Arial"/>
              </w:rPr>
              <w:t>Města celkem</w:t>
            </w:r>
          </w:p>
        </w:tc>
        <w:tc>
          <w:tcPr>
            <w:tcW w:w="1140" w:type="dxa"/>
            <w:tcBorders>
              <w:top w:val="single" w:sz="6" w:space="0" w:color="auto"/>
              <w:left w:val="single" w:sz="6" w:space="0" w:color="auto"/>
              <w:bottom w:val="single" w:sz="6" w:space="0" w:color="auto"/>
              <w:right w:val="single" w:sz="6" w:space="0" w:color="auto"/>
            </w:tcBorders>
          </w:tcPr>
          <w:p w14:paraId="755A1395" w14:textId="77777777" w:rsidR="00CA23D0" w:rsidRPr="00E30642" w:rsidRDefault="00CA23D0" w:rsidP="00CA23D0">
            <w:pPr>
              <w:pStyle w:val="Texttabulky"/>
              <w:spacing w:line="240" w:lineRule="atLeast"/>
              <w:jc w:val="both"/>
              <w:rPr>
                <w:rFonts w:cs="Arial"/>
              </w:rPr>
            </w:pPr>
            <w:r w:rsidRPr="00E30642">
              <w:rPr>
                <w:rFonts w:cs="Arial"/>
              </w:rPr>
              <w:t>106 145</w:t>
            </w:r>
          </w:p>
        </w:tc>
        <w:tc>
          <w:tcPr>
            <w:tcW w:w="1000" w:type="dxa"/>
            <w:tcBorders>
              <w:top w:val="single" w:sz="6" w:space="0" w:color="auto"/>
              <w:left w:val="single" w:sz="6" w:space="0" w:color="auto"/>
              <w:bottom w:val="single" w:sz="6" w:space="0" w:color="auto"/>
              <w:right w:val="single" w:sz="6" w:space="0" w:color="auto"/>
            </w:tcBorders>
          </w:tcPr>
          <w:p w14:paraId="1BAE44A0" w14:textId="77777777" w:rsidR="00CA23D0" w:rsidRPr="00E30642" w:rsidRDefault="00CA23D0" w:rsidP="00CA23D0">
            <w:pPr>
              <w:pStyle w:val="Texttabulky"/>
              <w:spacing w:line="240" w:lineRule="atLeast"/>
              <w:jc w:val="both"/>
              <w:rPr>
                <w:rFonts w:cs="Arial"/>
              </w:rPr>
            </w:pPr>
            <w:r w:rsidRPr="00E30642">
              <w:rPr>
                <w:rFonts w:cs="Arial"/>
              </w:rPr>
              <w:t>106 100</w:t>
            </w:r>
          </w:p>
        </w:tc>
        <w:tc>
          <w:tcPr>
            <w:tcW w:w="1140" w:type="dxa"/>
            <w:tcBorders>
              <w:top w:val="single" w:sz="6" w:space="0" w:color="auto"/>
              <w:left w:val="single" w:sz="6" w:space="0" w:color="auto"/>
              <w:bottom w:val="single" w:sz="6" w:space="0" w:color="auto"/>
              <w:right w:val="single" w:sz="6" w:space="0" w:color="auto"/>
            </w:tcBorders>
          </w:tcPr>
          <w:p w14:paraId="078B6D98" w14:textId="77777777" w:rsidR="00CA23D0" w:rsidRPr="00E30642" w:rsidRDefault="00CA23D0" w:rsidP="00CA23D0">
            <w:pPr>
              <w:pStyle w:val="Texttabulky"/>
              <w:spacing w:line="240" w:lineRule="atLeast"/>
              <w:jc w:val="both"/>
              <w:rPr>
                <w:rFonts w:cs="Arial"/>
              </w:rPr>
            </w:pPr>
            <w:r w:rsidRPr="00E30642">
              <w:rPr>
                <w:rFonts w:cs="Arial"/>
              </w:rPr>
              <w:t>105 500</w:t>
            </w:r>
          </w:p>
        </w:tc>
        <w:tc>
          <w:tcPr>
            <w:tcW w:w="960" w:type="dxa"/>
            <w:tcBorders>
              <w:top w:val="single" w:sz="6" w:space="0" w:color="auto"/>
              <w:left w:val="single" w:sz="6" w:space="0" w:color="auto"/>
              <w:bottom w:val="single" w:sz="6" w:space="0" w:color="auto"/>
              <w:right w:val="single" w:sz="6" w:space="0" w:color="auto"/>
            </w:tcBorders>
          </w:tcPr>
          <w:p w14:paraId="0AF80DEE" w14:textId="77777777" w:rsidR="00CA23D0" w:rsidRPr="00E30642" w:rsidRDefault="00CA23D0" w:rsidP="00CA23D0">
            <w:pPr>
              <w:pStyle w:val="Texttabulky"/>
              <w:spacing w:line="240" w:lineRule="atLeast"/>
              <w:jc w:val="both"/>
              <w:rPr>
                <w:rFonts w:cs="Arial"/>
              </w:rPr>
            </w:pPr>
            <w:r w:rsidRPr="00E30642">
              <w:rPr>
                <w:rFonts w:cs="Arial"/>
              </w:rPr>
              <w:t>104 850</w:t>
            </w:r>
          </w:p>
        </w:tc>
      </w:tr>
      <w:tr w:rsidR="00CA23D0" w:rsidRPr="00E30642" w14:paraId="723389B6"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19C6940E" w14:textId="77777777" w:rsidR="00CA23D0" w:rsidRPr="00E30642" w:rsidRDefault="00CA23D0" w:rsidP="00CA23D0">
            <w:pPr>
              <w:pStyle w:val="Texttabulky"/>
              <w:spacing w:line="240" w:lineRule="atLeast"/>
              <w:jc w:val="both"/>
              <w:rPr>
                <w:rFonts w:cs="Arial"/>
              </w:rPr>
            </w:pPr>
            <w:r w:rsidRPr="00E30642">
              <w:rPr>
                <w:rFonts w:cs="Arial"/>
              </w:rPr>
              <w:t>Ostatní obce</w:t>
            </w:r>
          </w:p>
        </w:tc>
        <w:tc>
          <w:tcPr>
            <w:tcW w:w="1140" w:type="dxa"/>
            <w:tcBorders>
              <w:top w:val="single" w:sz="6" w:space="0" w:color="auto"/>
              <w:left w:val="single" w:sz="6" w:space="0" w:color="auto"/>
              <w:bottom w:val="single" w:sz="6" w:space="0" w:color="auto"/>
              <w:right w:val="single" w:sz="6" w:space="0" w:color="auto"/>
            </w:tcBorders>
          </w:tcPr>
          <w:p w14:paraId="722A8E76" w14:textId="77777777" w:rsidR="00CA23D0" w:rsidRPr="00E30642" w:rsidRDefault="00CA23D0" w:rsidP="00CA23D0">
            <w:pPr>
              <w:pStyle w:val="Texttabulky"/>
              <w:spacing w:line="240" w:lineRule="atLeast"/>
              <w:jc w:val="both"/>
              <w:rPr>
                <w:rFonts w:cs="Arial"/>
              </w:rPr>
            </w:pPr>
            <w:r w:rsidRPr="00E30642">
              <w:rPr>
                <w:rFonts w:cs="Arial"/>
              </w:rPr>
              <w:t>19 282</w:t>
            </w:r>
          </w:p>
        </w:tc>
        <w:tc>
          <w:tcPr>
            <w:tcW w:w="1000" w:type="dxa"/>
            <w:tcBorders>
              <w:top w:val="single" w:sz="6" w:space="0" w:color="auto"/>
              <w:left w:val="single" w:sz="6" w:space="0" w:color="auto"/>
              <w:bottom w:val="single" w:sz="6" w:space="0" w:color="auto"/>
              <w:right w:val="single" w:sz="6" w:space="0" w:color="auto"/>
            </w:tcBorders>
          </w:tcPr>
          <w:p w14:paraId="65A8399A" w14:textId="77777777" w:rsidR="00CA23D0" w:rsidRPr="00E30642" w:rsidRDefault="00CA23D0" w:rsidP="00CA23D0">
            <w:pPr>
              <w:pStyle w:val="Texttabulky"/>
              <w:spacing w:line="240" w:lineRule="atLeast"/>
              <w:jc w:val="both"/>
              <w:rPr>
                <w:rFonts w:cs="Arial"/>
              </w:rPr>
            </w:pPr>
            <w:r w:rsidRPr="00E30642">
              <w:rPr>
                <w:rFonts w:cs="Arial"/>
              </w:rPr>
              <w:t>19 500</w:t>
            </w:r>
          </w:p>
        </w:tc>
        <w:tc>
          <w:tcPr>
            <w:tcW w:w="1140" w:type="dxa"/>
            <w:tcBorders>
              <w:top w:val="single" w:sz="6" w:space="0" w:color="auto"/>
              <w:left w:val="single" w:sz="6" w:space="0" w:color="auto"/>
              <w:bottom w:val="single" w:sz="6" w:space="0" w:color="auto"/>
              <w:right w:val="single" w:sz="6" w:space="0" w:color="auto"/>
            </w:tcBorders>
          </w:tcPr>
          <w:p w14:paraId="01B6C927" w14:textId="77777777" w:rsidR="00CA23D0" w:rsidRPr="00E30642" w:rsidRDefault="00CA23D0" w:rsidP="00CA23D0">
            <w:pPr>
              <w:pStyle w:val="Texttabulky"/>
              <w:spacing w:line="240" w:lineRule="atLeast"/>
              <w:jc w:val="both"/>
              <w:rPr>
                <w:rFonts w:cs="Arial"/>
              </w:rPr>
            </w:pPr>
            <w:r w:rsidRPr="00E30642">
              <w:rPr>
                <w:rFonts w:cs="Arial"/>
              </w:rPr>
              <w:t>20 300</w:t>
            </w:r>
          </w:p>
        </w:tc>
        <w:tc>
          <w:tcPr>
            <w:tcW w:w="960" w:type="dxa"/>
            <w:tcBorders>
              <w:top w:val="single" w:sz="6" w:space="0" w:color="auto"/>
              <w:left w:val="single" w:sz="6" w:space="0" w:color="auto"/>
              <w:bottom w:val="single" w:sz="6" w:space="0" w:color="auto"/>
              <w:right w:val="single" w:sz="6" w:space="0" w:color="auto"/>
            </w:tcBorders>
          </w:tcPr>
          <w:p w14:paraId="5C4F887A" w14:textId="77777777" w:rsidR="00CA23D0" w:rsidRPr="00E30642" w:rsidRDefault="00CA23D0" w:rsidP="00CA23D0">
            <w:pPr>
              <w:pStyle w:val="Texttabulky"/>
              <w:spacing w:line="240" w:lineRule="atLeast"/>
              <w:jc w:val="both"/>
              <w:rPr>
                <w:rFonts w:cs="Arial"/>
              </w:rPr>
            </w:pPr>
            <w:r w:rsidRPr="00E30642">
              <w:rPr>
                <w:rFonts w:cs="Arial"/>
              </w:rPr>
              <w:t>20 650</w:t>
            </w:r>
          </w:p>
        </w:tc>
      </w:tr>
      <w:tr w:rsidR="00CA23D0" w:rsidRPr="00E30642" w14:paraId="1D3068F9"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E36F059" w14:textId="77777777" w:rsidR="00CA23D0" w:rsidRPr="00E30642" w:rsidRDefault="00CA23D0" w:rsidP="00CA23D0">
            <w:pPr>
              <w:pStyle w:val="Texttabulky"/>
              <w:spacing w:line="240" w:lineRule="atLeast"/>
              <w:jc w:val="both"/>
              <w:rPr>
                <w:rFonts w:cs="Arial"/>
              </w:rPr>
            </w:pPr>
            <w:r w:rsidRPr="00E30642">
              <w:rPr>
                <w:rFonts w:cs="Arial"/>
              </w:rPr>
              <w:t>Podíl měst v %</w:t>
            </w:r>
          </w:p>
        </w:tc>
        <w:tc>
          <w:tcPr>
            <w:tcW w:w="1140" w:type="dxa"/>
            <w:tcBorders>
              <w:top w:val="single" w:sz="6" w:space="0" w:color="auto"/>
              <w:left w:val="single" w:sz="6" w:space="0" w:color="auto"/>
              <w:bottom w:val="single" w:sz="6" w:space="0" w:color="auto"/>
              <w:right w:val="single" w:sz="6" w:space="0" w:color="auto"/>
            </w:tcBorders>
          </w:tcPr>
          <w:p w14:paraId="5CAF4917" w14:textId="77777777" w:rsidR="00CA23D0" w:rsidRPr="00E30642" w:rsidRDefault="00CA23D0" w:rsidP="00CA23D0">
            <w:pPr>
              <w:pStyle w:val="Texttabulky"/>
              <w:spacing w:line="240" w:lineRule="atLeast"/>
              <w:jc w:val="both"/>
              <w:rPr>
                <w:rFonts w:cs="Arial"/>
              </w:rPr>
            </w:pPr>
            <w:r w:rsidRPr="00E30642">
              <w:rPr>
                <w:rFonts w:cs="Arial"/>
              </w:rPr>
              <w:t>84,63</w:t>
            </w:r>
          </w:p>
        </w:tc>
        <w:tc>
          <w:tcPr>
            <w:tcW w:w="1000" w:type="dxa"/>
            <w:tcBorders>
              <w:top w:val="single" w:sz="6" w:space="0" w:color="auto"/>
              <w:left w:val="single" w:sz="6" w:space="0" w:color="auto"/>
              <w:bottom w:val="single" w:sz="6" w:space="0" w:color="auto"/>
              <w:right w:val="single" w:sz="6" w:space="0" w:color="auto"/>
            </w:tcBorders>
          </w:tcPr>
          <w:p w14:paraId="4B93F17D" w14:textId="77777777" w:rsidR="00CA23D0" w:rsidRPr="00E30642" w:rsidRDefault="00CA23D0" w:rsidP="00CA23D0">
            <w:pPr>
              <w:pStyle w:val="Texttabulky"/>
              <w:spacing w:line="240" w:lineRule="atLeast"/>
              <w:jc w:val="both"/>
              <w:rPr>
                <w:rFonts w:cs="Arial"/>
              </w:rPr>
            </w:pPr>
            <w:r w:rsidRPr="00E30642">
              <w:rPr>
                <w:rFonts w:cs="Arial"/>
              </w:rPr>
              <w:t>84,47</w:t>
            </w:r>
          </w:p>
        </w:tc>
        <w:tc>
          <w:tcPr>
            <w:tcW w:w="1140" w:type="dxa"/>
            <w:tcBorders>
              <w:top w:val="single" w:sz="6" w:space="0" w:color="auto"/>
              <w:left w:val="single" w:sz="6" w:space="0" w:color="auto"/>
              <w:bottom w:val="single" w:sz="6" w:space="0" w:color="auto"/>
              <w:right w:val="single" w:sz="6" w:space="0" w:color="auto"/>
            </w:tcBorders>
          </w:tcPr>
          <w:p w14:paraId="05A4251A" w14:textId="77777777" w:rsidR="00CA23D0" w:rsidRPr="00E30642" w:rsidRDefault="00CA23D0" w:rsidP="00CA23D0">
            <w:pPr>
              <w:pStyle w:val="Texttabulky"/>
              <w:spacing w:line="240" w:lineRule="atLeast"/>
              <w:jc w:val="both"/>
              <w:rPr>
                <w:rFonts w:cs="Arial"/>
              </w:rPr>
            </w:pPr>
            <w:r w:rsidRPr="00E30642">
              <w:rPr>
                <w:rFonts w:cs="Arial"/>
              </w:rPr>
              <w:t>83,86</w:t>
            </w:r>
          </w:p>
        </w:tc>
        <w:tc>
          <w:tcPr>
            <w:tcW w:w="960" w:type="dxa"/>
            <w:tcBorders>
              <w:top w:val="single" w:sz="6" w:space="0" w:color="auto"/>
              <w:left w:val="single" w:sz="6" w:space="0" w:color="auto"/>
              <w:bottom w:val="single" w:sz="6" w:space="0" w:color="auto"/>
              <w:right w:val="single" w:sz="6" w:space="0" w:color="auto"/>
            </w:tcBorders>
          </w:tcPr>
          <w:p w14:paraId="052FFE03" w14:textId="77777777" w:rsidR="00CA23D0" w:rsidRPr="00E30642" w:rsidRDefault="00CA23D0" w:rsidP="00CA23D0">
            <w:pPr>
              <w:pStyle w:val="Texttabulky"/>
              <w:spacing w:line="240" w:lineRule="atLeast"/>
              <w:jc w:val="both"/>
              <w:rPr>
                <w:rFonts w:cs="Arial"/>
              </w:rPr>
            </w:pPr>
            <w:r w:rsidRPr="00E30642">
              <w:rPr>
                <w:rFonts w:cs="Arial"/>
              </w:rPr>
              <w:t>83,55</w:t>
            </w:r>
          </w:p>
        </w:tc>
      </w:tr>
      <w:tr w:rsidR="00CA23D0" w:rsidRPr="00E30642" w14:paraId="3D346AFE"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6537CE8E" w14:textId="77777777" w:rsidR="00CA23D0" w:rsidRPr="00E30642" w:rsidRDefault="00CA23D0" w:rsidP="00CA23D0">
            <w:pPr>
              <w:pStyle w:val="Zkladntext"/>
              <w:jc w:val="both"/>
              <w:rPr>
                <w:rFonts w:ascii="Arial" w:hAnsi="Arial" w:cs="Arial"/>
              </w:rPr>
            </w:pPr>
          </w:p>
        </w:tc>
        <w:tc>
          <w:tcPr>
            <w:tcW w:w="1140" w:type="dxa"/>
            <w:tcBorders>
              <w:top w:val="single" w:sz="6" w:space="0" w:color="auto"/>
              <w:left w:val="single" w:sz="6" w:space="0" w:color="auto"/>
              <w:bottom w:val="single" w:sz="6" w:space="0" w:color="auto"/>
              <w:right w:val="single" w:sz="6" w:space="0" w:color="auto"/>
            </w:tcBorders>
          </w:tcPr>
          <w:p w14:paraId="28FBFCF9" w14:textId="77777777" w:rsidR="00CA23D0" w:rsidRPr="00E30642" w:rsidRDefault="00CA23D0" w:rsidP="00CA23D0">
            <w:pPr>
              <w:pStyle w:val="Zkladntext"/>
              <w:jc w:val="both"/>
              <w:rPr>
                <w:rFonts w:ascii="Arial" w:hAnsi="Arial" w:cs="Arial"/>
              </w:rPr>
            </w:pPr>
          </w:p>
        </w:tc>
        <w:tc>
          <w:tcPr>
            <w:tcW w:w="1000" w:type="dxa"/>
            <w:tcBorders>
              <w:top w:val="single" w:sz="6" w:space="0" w:color="auto"/>
              <w:left w:val="single" w:sz="6" w:space="0" w:color="auto"/>
              <w:bottom w:val="single" w:sz="6" w:space="0" w:color="auto"/>
              <w:right w:val="single" w:sz="6" w:space="0" w:color="auto"/>
            </w:tcBorders>
          </w:tcPr>
          <w:p w14:paraId="662498B3" w14:textId="77777777" w:rsidR="00CA23D0" w:rsidRPr="00E30642" w:rsidRDefault="00CA23D0" w:rsidP="00CA23D0">
            <w:pPr>
              <w:pStyle w:val="Zkladntext"/>
              <w:jc w:val="both"/>
              <w:rPr>
                <w:rFonts w:ascii="Arial" w:hAnsi="Arial" w:cs="Arial"/>
              </w:rPr>
            </w:pPr>
          </w:p>
        </w:tc>
        <w:tc>
          <w:tcPr>
            <w:tcW w:w="1140" w:type="dxa"/>
            <w:tcBorders>
              <w:top w:val="single" w:sz="6" w:space="0" w:color="auto"/>
              <w:left w:val="single" w:sz="6" w:space="0" w:color="auto"/>
              <w:bottom w:val="single" w:sz="6" w:space="0" w:color="auto"/>
              <w:right w:val="single" w:sz="6" w:space="0" w:color="auto"/>
            </w:tcBorders>
          </w:tcPr>
          <w:p w14:paraId="2502E65E"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7B4C67BB" w14:textId="77777777" w:rsidR="00CA23D0" w:rsidRPr="00E30642" w:rsidRDefault="00CA23D0" w:rsidP="00CA23D0">
            <w:pPr>
              <w:pStyle w:val="Zkladntext"/>
              <w:jc w:val="both"/>
              <w:rPr>
                <w:rFonts w:ascii="Arial" w:hAnsi="Arial" w:cs="Arial"/>
              </w:rPr>
            </w:pPr>
          </w:p>
        </w:tc>
      </w:tr>
      <w:tr w:rsidR="00CA23D0" w:rsidRPr="00E30642" w14:paraId="48CE3AE7"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1EF96812" w14:textId="77777777" w:rsidR="00CA23D0" w:rsidRPr="00E30642" w:rsidRDefault="00CA23D0" w:rsidP="00CA23D0">
            <w:pPr>
              <w:pStyle w:val="Texttabulky"/>
              <w:spacing w:line="240" w:lineRule="atLeast"/>
              <w:jc w:val="both"/>
              <w:rPr>
                <w:rFonts w:cs="Arial"/>
              </w:rPr>
            </w:pPr>
            <w:r w:rsidRPr="00E30642">
              <w:rPr>
                <w:rFonts w:cs="Arial"/>
              </w:rPr>
              <w:t>Okres Litoměřice</w:t>
            </w:r>
          </w:p>
        </w:tc>
        <w:tc>
          <w:tcPr>
            <w:tcW w:w="1140" w:type="dxa"/>
            <w:tcBorders>
              <w:top w:val="single" w:sz="6" w:space="0" w:color="auto"/>
              <w:left w:val="single" w:sz="6" w:space="0" w:color="auto"/>
              <w:bottom w:val="single" w:sz="6" w:space="0" w:color="auto"/>
              <w:right w:val="single" w:sz="6" w:space="0" w:color="auto"/>
            </w:tcBorders>
          </w:tcPr>
          <w:p w14:paraId="611A2D30" w14:textId="77777777" w:rsidR="00CA23D0" w:rsidRPr="00E30642" w:rsidRDefault="00CA23D0" w:rsidP="00CA23D0">
            <w:pPr>
              <w:pStyle w:val="Texttabulky"/>
              <w:spacing w:line="240" w:lineRule="atLeast"/>
              <w:jc w:val="both"/>
              <w:rPr>
                <w:rFonts w:cs="Arial"/>
              </w:rPr>
            </w:pPr>
            <w:r w:rsidRPr="00E30642">
              <w:rPr>
                <w:rFonts w:cs="Arial"/>
              </w:rPr>
              <w:t>114 181</w:t>
            </w:r>
          </w:p>
        </w:tc>
        <w:tc>
          <w:tcPr>
            <w:tcW w:w="1000" w:type="dxa"/>
            <w:tcBorders>
              <w:top w:val="single" w:sz="6" w:space="0" w:color="auto"/>
              <w:left w:val="single" w:sz="6" w:space="0" w:color="auto"/>
              <w:bottom w:val="single" w:sz="6" w:space="0" w:color="auto"/>
              <w:right w:val="single" w:sz="6" w:space="0" w:color="auto"/>
            </w:tcBorders>
          </w:tcPr>
          <w:p w14:paraId="4444828C" w14:textId="77777777" w:rsidR="00CA23D0" w:rsidRPr="00E30642" w:rsidRDefault="00CA23D0" w:rsidP="00CA23D0">
            <w:pPr>
              <w:pStyle w:val="Texttabulky"/>
              <w:spacing w:line="240" w:lineRule="atLeast"/>
              <w:jc w:val="both"/>
              <w:rPr>
                <w:rFonts w:cs="Arial"/>
              </w:rPr>
            </w:pPr>
            <w:r w:rsidRPr="00E30642">
              <w:rPr>
                <w:rFonts w:cs="Arial"/>
              </w:rPr>
              <w:t>114 300</w:t>
            </w:r>
          </w:p>
        </w:tc>
        <w:tc>
          <w:tcPr>
            <w:tcW w:w="1140" w:type="dxa"/>
            <w:tcBorders>
              <w:top w:val="single" w:sz="6" w:space="0" w:color="auto"/>
              <w:left w:val="single" w:sz="6" w:space="0" w:color="auto"/>
              <w:bottom w:val="single" w:sz="6" w:space="0" w:color="auto"/>
              <w:right w:val="single" w:sz="6" w:space="0" w:color="auto"/>
            </w:tcBorders>
          </w:tcPr>
          <w:p w14:paraId="13511538" w14:textId="77777777" w:rsidR="00CA23D0" w:rsidRPr="00E30642" w:rsidRDefault="00CA23D0" w:rsidP="00CA23D0">
            <w:pPr>
              <w:pStyle w:val="Texttabulky"/>
              <w:spacing w:line="240" w:lineRule="atLeast"/>
              <w:jc w:val="both"/>
              <w:rPr>
                <w:rFonts w:cs="Arial"/>
              </w:rPr>
            </w:pPr>
            <w:r w:rsidRPr="00E30642">
              <w:rPr>
                <w:rFonts w:cs="Arial"/>
              </w:rPr>
              <w:t>114 500</w:t>
            </w:r>
          </w:p>
        </w:tc>
        <w:tc>
          <w:tcPr>
            <w:tcW w:w="960" w:type="dxa"/>
            <w:tcBorders>
              <w:top w:val="single" w:sz="6" w:space="0" w:color="auto"/>
              <w:left w:val="single" w:sz="6" w:space="0" w:color="auto"/>
              <w:bottom w:val="single" w:sz="6" w:space="0" w:color="auto"/>
              <w:right w:val="single" w:sz="6" w:space="0" w:color="auto"/>
            </w:tcBorders>
          </w:tcPr>
          <w:p w14:paraId="28A7CF73" w14:textId="77777777" w:rsidR="00CA23D0" w:rsidRPr="00E30642" w:rsidRDefault="00CA23D0" w:rsidP="00CA23D0">
            <w:pPr>
              <w:pStyle w:val="Texttabulky"/>
              <w:spacing w:line="240" w:lineRule="atLeast"/>
              <w:jc w:val="both"/>
              <w:rPr>
                <w:rFonts w:cs="Arial"/>
              </w:rPr>
            </w:pPr>
            <w:r w:rsidRPr="00E30642">
              <w:rPr>
                <w:rFonts w:cs="Arial"/>
              </w:rPr>
              <w:t>114 300</w:t>
            </w:r>
          </w:p>
        </w:tc>
      </w:tr>
      <w:tr w:rsidR="00CA23D0" w:rsidRPr="00E30642" w14:paraId="0939236A"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2AB69EBD" w14:textId="77777777" w:rsidR="00CA23D0" w:rsidRPr="00E30642" w:rsidRDefault="00CA23D0" w:rsidP="00CA23D0">
            <w:pPr>
              <w:pStyle w:val="Texttabulky"/>
              <w:spacing w:line="240" w:lineRule="atLeast"/>
              <w:jc w:val="both"/>
              <w:rPr>
                <w:rFonts w:cs="Arial"/>
              </w:rPr>
            </w:pPr>
            <w:r w:rsidRPr="00E30642">
              <w:rPr>
                <w:rFonts w:cs="Arial"/>
              </w:rPr>
              <w:t>Litoměřice</w:t>
            </w:r>
          </w:p>
        </w:tc>
        <w:tc>
          <w:tcPr>
            <w:tcW w:w="1140" w:type="dxa"/>
            <w:tcBorders>
              <w:top w:val="single" w:sz="6" w:space="0" w:color="auto"/>
              <w:left w:val="single" w:sz="6" w:space="0" w:color="auto"/>
              <w:bottom w:val="single" w:sz="6" w:space="0" w:color="auto"/>
              <w:right w:val="single" w:sz="6" w:space="0" w:color="auto"/>
            </w:tcBorders>
          </w:tcPr>
          <w:p w14:paraId="3AF484F0" w14:textId="77777777" w:rsidR="00CA23D0" w:rsidRPr="00E30642" w:rsidRDefault="00CA23D0" w:rsidP="00CA23D0">
            <w:pPr>
              <w:pStyle w:val="Texttabulky"/>
              <w:spacing w:line="240" w:lineRule="atLeast"/>
              <w:jc w:val="both"/>
              <w:rPr>
                <w:rFonts w:cs="Arial"/>
              </w:rPr>
            </w:pPr>
            <w:r w:rsidRPr="00E30642">
              <w:rPr>
                <w:rFonts w:cs="Arial"/>
              </w:rPr>
              <w:t>25 549</w:t>
            </w:r>
          </w:p>
        </w:tc>
        <w:tc>
          <w:tcPr>
            <w:tcW w:w="1000" w:type="dxa"/>
            <w:tcBorders>
              <w:top w:val="single" w:sz="6" w:space="0" w:color="auto"/>
              <w:left w:val="single" w:sz="6" w:space="0" w:color="auto"/>
              <w:bottom w:val="single" w:sz="6" w:space="0" w:color="auto"/>
              <w:right w:val="single" w:sz="6" w:space="0" w:color="auto"/>
            </w:tcBorders>
          </w:tcPr>
          <w:p w14:paraId="519CC194" w14:textId="77777777" w:rsidR="00CA23D0" w:rsidRPr="00E30642" w:rsidRDefault="00CA23D0" w:rsidP="00CA23D0">
            <w:pPr>
              <w:pStyle w:val="Texttabulky"/>
              <w:spacing w:line="240" w:lineRule="atLeast"/>
              <w:jc w:val="both"/>
              <w:rPr>
                <w:rFonts w:cs="Arial"/>
              </w:rPr>
            </w:pPr>
            <w:r w:rsidRPr="00E30642">
              <w:rPr>
                <w:rFonts w:cs="Arial"/>
              </w:rPr>
              <w:t>25 600</w:t>
            </w:r>
          </w:p>
        </w:tc>
        <w:tc>
          <w:tcPr>
            <w:tcW w:w="1140" w:type="dxa"/>
            <w:tcBorders>
              <w:top w:val="single" w:sz="6" w:space="0" w:color="auto"/>
              <w:left w:val="single" w:sz="6" w:space="0" w:color="auto"/>
              <w:bottom w:val="single" w:sz="6" w:space="0" w:color="auto"/>
              <w:right w:val="single" w:sz="6" w:space="0" w:color="auto"/>
            </w:tcBorders>
          </w:tcPr>
          <w:p w14:paraId="05BB352B" w14:textId="77777777" w:rsidR="00CA23D0" w:rsidRPr="00E30642" w:rsidRDefault="00CA23D0" w:rsidP="00CA23D0">
            <w:pPr>
              <w:pStyle w:val="Texttabulky"/>
              <w:spacing w:line="240" w:lineRule="atLeast"/>
              <w:jc w:val="both"/>
              <w:rPr>
                <w:rFonts w:cs="Arial"/>
              </w:rPr>
            </w:pPr>
            <w:r w:rsidRPr="00E30642">
              <w:rPr>
                <w:rFonts w:cs="Arial"/>
              </w:rPr>
              <w:t>25 400</w:t>
            </w:r>
          </w:p>
        </w:tc>
        <w:tc>
          <w:tcPr>
            <w:tcW w:w="960" w:type="dxa"/>
            <w:tcBorders>
              <w:top w:val="single" w:sz="6" w:space="0" w:color="auto"/>
              <w:left w:val="single" w:sz="6" w:space="0" w:color="auto"/>
              <w:bottom w:val="single" w:sz="6" w:space="0" w:color="auto"/>
              <w:right w:val="single" w:sz="6" w:space="0" w:color="auto"/>
            </w:tcBorders>
          </w:tcPr>
          <w:p w14:paraId="79F36365" w14:textId="77777777" w:rsidR="00CA23D0" w:rsidRPr="00E30642" w:rsidRDefault="00CA23D0" w:rsidP="00CA23D0">
            <w:pPr>
              <w:pStyle w:val="Texttabulky"/>
              <w:spacing w:line="240" w:lineRule="atLeast"/>
              <w:jc w:val="both"/>
              <w:rPr>
                <w:rFonts w:cs="Arial"/>
              </w:rPr>
            </w:pPr>
            <w:r w:rsidRPr="00E30642">
              <w:rPr>
                <w:rFonts w:cs="Arial"/>
              </w:rPr>
              <w:t>25 200</w:t>
            </w:r>
          </w:p>
        </w:tc>
      </w:tr>
      <w:tr w:rsidR="00CA23D0" w:rsidRPr="00E30642" w14:paraId="0E1A1972"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70104796" w14:textId="77777777" w:rsidR="00CA23D0" w:rsidRPr="00E30642" w:rsidRDefault="00CA23D0" w:rsidP="00CA23D0">
            <w:pPr>
              <w:pStyle w:val="Texttabulky"/>
              <w:spacing w:line="240" w:lineRule="atLeast"/>
              <w:jc w:val="both"/>
              <w:rPr>
                <w:rFonts w:cs="Arial"/>
              </w:rPr>
            </w:pPr>
            <w:r w:rsidRPr="00E30642">
              <w:rPr>
                <w:rFonts w:cs="Arial"/>
              </w:rPr>
              <w:t>Roudnice nad Labem</w:t>
            </w:r>
          </w:p>
        </w:tc>
        <w:tc>
          <w:tcPr>
            <w:tcW w:w="1140" w:type="dxa"/>
            <w:tcBorders>
              <w:top w:val="single" w:sz="6" w:space="0" w:color="auto"/>
              <w:left w:val="single" w:sz="6" w:space="0" w:color="auto"/>
              <w:bottom w:val="single" w:sz="6" w:space="0" w:color="auto"/>
              <w:right w:val="single" w:sz="6" w:space="0" w:color="auto"/>
            </w:tcBorders>
          </w:tcPr>
          <w:p w14:paraId="3B973A88" w14:textId="77777777" w:rsidR="00CA23D0" w:rsidRPr="00E30642" w:rsidRDefault="00CA23D0" w:rsidP="00CA23D0">
            <w:pPr>
              <w:pStyle w:val="Texttabulky"/>
              <w:spacing w:line="240" w:lineRule="atLeast"/>
              <w:jc w:val="both"/>
              <w:rPr>
                <w:rFonts w:cs="Arial"/>
              </w:rPr>
            </w:pPr>
            <w:r w:rsidRPr="00E30642">
              <w:rPr>
                <w:rFonts w:cs="Arial"/>
              </w:rPr>
              <w:t>13 311</w:t>
            </w:r>
          </w:p>
        </w:tc>
        <w:tc>
          <w:tcPr>
            <w:tcW w:w="1000" w:type="dxa"/>
            <w:tcBorders>
              <w:top w:val="single" w:sz="6" w:space="0" w:color="auto"/>
              <w:left w:val="single" w:sz="6" w:space="0" w:color="auto"/>
              <w:bottom w:val="single" w:sz="6" w:space="0" w:color="auto"/>
              <w:right w:val="single" w:sz="6" w:space="0" w:color="auto"/>
            </w:tcBorders>
          </w:tcPr>
          <w:p w14:paraId="33AD42C2" w14:textId="77777777" w:rsidR="00CA23D0" w:rsidRPr="00E30642" w:rsidRDefault="00CA23D0" w:rsidP="00CA23D0">
            <w:pPr>
              <w:pStyle w:val="Texttabulky"/>
              <w:spacing w:line="240" w:lineRule="atLeast"/>
              <w:jc w:val="both"/>
              <w:rPr>
                <w:rFonts w:cs="Arial"/>
              </w:rPr>
            </w:pPr>
            <w:r w:rsidRPr="00E30642">
              <w:rPr>
                <w:rFonts w:cs="Arial"/>
              </w:rPr>
              <w:t>13 300</w:t>
            </w:r>
          </w:p>
        </w:tc>
        <w:tc>
          <w:tcPr>
            <w:tcW w:w="1140" w:type="dxa"/>
            <w:tcBorders>
              <w:top w:val="single" w:sz="6" w:space="0" w:color="auto"/>
              <w:left w:val="single" w:sz="6" w:space="0" w:color="auto"/>
              <w:bottom w:val="single" w:sz="6" w:space="0" w:color="auto"/>
              <w:right w:val="single" w:sz="6" w:space="0" w:color="auto"/>
            </w:tcBorders>
          </w:tcPr>
          <w:p w14:paraId="18E6CDAB" w14:textId="77777777" w:rsidR="00CA23D0" w:rsidRPr="00E30642" w:rsidRDefault="00CA23D0" w:rsidP="00CA23D0">
            <w:pPr>
              <w:pStyle w:val="Texttabulky"/>
              <w:spacing w:line="240" w:lineRule="atLeast"/>
              <w:jc w:val="both"/>
              <w:rPr>
                <w:rFonts w:cs="Arial"/>
              </w:rPr>
            </w:pPr>
            <w:r w:rsidRPr="00E30642">
              <w:rPr>
                <w:rFonts w:cs="Arial"/>
              </w:rPr>
              <w:t>13 100</w:t>
            </w:r>
          </w:p>
        </w:tc>
        <w:tc>
          <w:tcPr>
            <w:tcW w:w="960" w:type="dxa"/>
            <w:tcBorders>
              <w:top w:val="single" w:sz="6" w:space="0" w:color="auto"/>
              <w:left w:val="single" w:sz="6" w:space="0" w:color="auto"/>
              <w:bottom w:val="single" w:sz="6" w:space="0" w:color="auto"/>
              <w:right w:val="single" w:sz="6" w:space="0" w:color="auto"/>
            </w:tcBorders>
          </w:tcPr>
          <w:p w14:paraId="696CCDA5" w14:textId="77777777" w:rsidR="00CA23D0" w:rsidRPr="00E30642" w:rsidRDefault="00CA23D0" w:rsidP="00CA23D0">
            <w:pPr>
              <w:pStyle w:val="Texttabulky"/>
              <w:spacing w:line="240" w:lineRule="atLeast"/>
              <w:jc w:val="both"/>
              <w:rPr>
                <w:rFonts w:cs="Arial"/>
              </w:rPr>
            </w:pPr>
            <w:r w:rsidRPr="00E30642">
              <w:rPr>
                <w:rFonts w:cs="Arial"/>
              </w:rPr>
              <w:t>13 000</w:t>
            </w:r>
          </w:p>
        </w:tc>
      </w:tr>
      <w:tr w:rsidR="00CA23D0" w:rsidRPr="00E30642" w14:paraId="7B5BA1E0"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1A4EF07A" w14:textId="77777777" w:rsidR="00CA23D0" w:rsidRPr="00E30642" w:rsidRDefault="00CA23D0" w:rsidP="00CA23D0">
            <w:pPr>
              <w:pStyle w:val="Texttabulky"/>
              <w:spacing w:line="240" w:lineRule="atLeast"/>
              <w:jc w:val="both"/>
              <w:rPr>
                <w:rFonts w:cs="Arial"/>
              </w:rPr>
            </w:pPr>
            <w:r w:rsidRPr="00E30642">
              <w:rPr>
                <w:rFonts w:cs="Arial"/>
              </w:rPr>
              <w:t>Města celkem</w:t>
            </w:r>
          </w:p>
        </w:tc>
        <w:tc>
          <w:tcPr>
            <w:tcW w:w="1140" w:type="dxa"/>
            <w:tcBorders>
              <w:top w:val="single" w:sz="6" w:space="0" w:color="auto"/>
              <w:left w:val="single" w:sz="6" w:space="0" w:color="auto"/>
              <w:bottom w:val="single" w:sz="6" w:space="0" w:color="auto"/>
              <w:right w:val="single" w:sz="6" w:space="0" w:color="auto"/>
            </w:tcBorders>
          </w:tcPr>
          <w:p w14:paraId="616C256D" w14:textId="77777777" w:rsidR="00CA23D0" w:rsidRPr="00E30642" w:rsidRDefault="00CA23D0" w:rsidP="00CA23D0">
            <w:pPr>
              <w:pStyle w:val="Texttabulky"/>
              <w:spacing w:line="240" w:lineRule="atLeast"/>
              <w:jc w:val="both"/>
              <w:rPr>
                <w:rFonts w:cs="Arial"/>
              </w:rPr>
            </w:pPr>
            <w:r w:rsidRPr="00E30642">
              <w:rPr>
                <w:rFonts w:cs="Arial"/>
              </w:rPr>
              <w:t>38 860</w:t>
            </w:r>
          </w:p>
        </w:tc>
        <w:tc>
          <w:tcPr>
            <w:tcW w:w="1000" w:type="dxa"/>
            <w:tcBorders>
              <w:top w:val="single" w:sz="6" w:space="0" w:color="auto"/>
              <w:left w:val="single" w:sz="6" w:space="0" w:color="auto"/>
              <w:bottom w:val="single" w:sz="6" w:space="0" w:color="auto"/>
              <w:right w:val="single" w:sz="6" w:space="0" w:color="auto"/>
            </w:tcBorders>
          </w:tcPr>
          <w:p w14:paraId="0CE4ADC7" w14:textId="77777777" w:rsidR="00CA23D0" w:rsidRPr="00E30642" w:rsidRDefault="00CA23D0" w:rsidP="00CA23D0">
            <w:pPr>
              <w:pStyle w:val="Texttabulky"/>
              <w:spacing w:line="240" w:lineRule="atLeast"/>
              <w:jc w:val="both"/>
              <w:rPr>
                <w:rFonts w:cs="Arial"/>
              </w:rPr>
            </w:pPr>
            <w:r w:rsidRPr="00E30642">
              <w:rPr>
                <w:rFonts w:cs="Arial"/>
              </w:rPr>
              <w:t>38 900</w:t>
            </w:r>
          </w:p>
        </w:tc>
        <w:tc>
          <w:tcPr>
            <w:tcW w:w="1140" w:type="dxa"/>
            <w:tcBorders>
              <w:top w:val="single" w:sz="6" w:space="0" w:color="auto"/>
              <w:left w:val="single" w:sz="6" w:space="0" w:color="auto"/>
              <w:bottom w:val="single" w:sz="6" w:space="0" w:color="auto"/>
              <w:right w:val="single" w:sz="6" w:space="0" w:color="auto"/>
            </w:tcBorders>
          </w:tcPr>
          <w:p w14:paraId="3BEB6357" w14:textId="77777777" w:rsidR="00CA23D0" w:rsidRPr="00E30642" w:rsidRDefault="00CA23D0" w:rsidP="00CA23D0">
            <w:pPr>
              <w:pStyle w:val="Texttabulky"/>
              <w:spacing w:line="240" w:lineRule="atLeast"/>
              <w:jc w:val="both"/>
              <w:rPr>
                <w:rFonts w:cs="Arial"/>
              </w:rPr>
            </w:pPr>
            <w:r w:rsidRPr="00E30642">
              <w:rPr>
                <w:rFonts w:cs="Arial"/>
              </w:rPr>
              <w:t>38 500</w:t>
            </w:r>
          </w:p>
        </w:tc>
        <w:tc>
          <w:tcPr>
            <w:tcW w:w="960" w:type="dxa"/>
            <w:tcBorders>
              <w:top w:val="single" w:sz="6" w:space="0" w:color="auto"/>
              <w:left w:val="single" w:sz="6" w:space="0" w:color="auto"/>
              <w:bottom w:val="single" w:sz="6" w:space="0" w:color="auto"/>
              <w:right w:val="single" w:sz="6" w:space="0" w:color="auto"/>
            </w:tcBorders>
          </w:tcPr>
          <w:p w14:paraId="504ED559" w14:textId="77777777" w:rsidR="00CA23D0" w:rsidRPr="00E30642" w:rsidRDefault="00CA23D0" w:rsidP="00CA23D0">
            <w:pPr>
              <w:pStyle w:val="Texttabulky"/>
              <w:spacing w:line="240" w:lineRule="atLeast"/>
              <w:jc w:val="both"/>
              <w:rPr>
                <w:rFonts w:cs="Arial"/>
              </w:rPr>
            </w:pPr>
            <w:r w:rsidRPr="00E30642">
              <w:rPr>
                <w:rFonts w:cs="Arial"/>
              </w:rPr>
              <w:t>38 200</w:t>
            </w:r>
          </w:p>
        </w:tc>
      </w:tr>
      <w:tr w:rsidR="00CA23D0" w:rsidRPr="00E30642" w14:paraId="57482F5B"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055E19D2" w14:textId="77777777" w:rsidR="00CA23D0" w:rsidRPr="00E30642" w:rsidRDefault="00CA23D0" w:rsidP="00CA23D0">
            <w:pPr>
              <w:pStyle w:val="Texttabulky"/>
              <w:spacing w:line="240" w:lineRule="atLeast"/>
              <w:jc w:val="both"/>
              <w:rPr>
                <w:rFonts w:cs="Arial"/>
              </w:rPr>
            </w:pPr>
            <w:r w:rsidRPr="00E30642">
              <w:rPr>
                <w:rFonts w:cs="Arial"/>
              </w:rPr>
              <w:t>Ostatní obce</w:t>
            </w:r>
          </w:p>
        </w:tc>
        <w:tc>
          <w:tcPr>
            <w:tcW w:w="1140" w:type="dxa"/>
            <w:tcBorders>
              <w:top w:val="single" w:sz="6" w:space="0" w:color="auto"/>
              <w:left w:val="single" w:sz="6" w:space="0" w:color="auto"/>
              <w:bottom w:val="single" w:sz="6" w:space="0" w:color="auto"/>
              <w:right w:val="single" w:sz="6" w:space="0" w:color="auto"/>
            </w:tcBorders>
          </w:tcPr>
          <w:p w14:paraId="0611421E" w14:textId="77777777" w:rsidR="00CA23D0" w:rsidRPr="00E30642" w:rsidRDefault="00CA23D0" w:rsidP="00CA23D0">
            <w:pPr>
              <w:pStyle w:val="Texttabulky"/>
              <w:spacing w:line="240" w:lineRule="atLeast"/>
              <w:jc w:val="both"/>
              <w:rPr>
                <w:rFonts w:cs="Arial"/>
              </w:rPr>
            </w:pPr>
            <w:r w:rsidRPr="00E30642">
              <w:rPr>
                <w:rFonts w:cs="Arial"/>
              </w:rPr>
              <w:t>75 321</w:t>
            </w:r>
          </w:p>
        </w:tc>
        <w:tc>
          <w:tcPr>
            <w:tcW w:w="1000" w:type="dxa"/>
            <w:tcBorders>
              <w:top w:val="single" w:sz="6" w:space="0" w:color="auto"/>
              <w:left w:val="single" w:sz="6" w:space="0" w:color="auto"/>
              <w:bottom w:val="single" w:sz="6" w:space="0" w:color="auto"/>
              <w:right w:val="single" w:sz="6" w:space="0" w:color="auto"/>
            </w:tcBorders>
          </w:tcPr>
          <w:p w14:paraId="5F222E8C" w14:textId="77777777" w:rsidR="00CA23D0" w:rsidRPr="00E30642" w:rsidRDefault="00CA23D0" w:rsidP="00CA23D0">
            <w:pPr>
              <w:pStyle w:val="Texttabulky"/>
              <w:spacing w:line="240" w:lineRule="atLeast"/>
              <w:jc w:val="both"/>
              <w:rPr>
                <w:rFonts w:cs="Arial"/>
              </w:rPr>
            </w:pPr>
            <w:r w:rsidRPr="00E30642">
              <w:rPr>
                <w:rFonts w:cs="Arial"/>
              </w:rPr>
              <w:t>75 400</w:t>
            </w:r>
          </w:p>
        </w:tc>
        <w:tc>
          <w:tcPr>
            <w:tcW w:w="1140" w:type="dxa"/>
            <w:tcBorders>
              <w:top w:val="single" w:sz="6" w:space="0" w:color="auto"/>
              <w:left w:val="single" w:sz="6" w:space="0" w:color="auto"/>
              <w:bottom w:val="single" w:sz="6" w:space="0" w:color="auto"/>
              <w:right w:val="single" w:sz="6" w:space="0" w:color="auto"/>
            </w:tcBorders>
          </w:tcPr>
          <w:p w14:paraId="3D608CCC" w14:textId="77777777" w:rsidR="00CA23D0" w:rsidRPr="00E30642" w:rsidRDefault="00CA23D0" w:rsidP="00CA23D0">
            <w:pPr>
              <w:pStyle w:val="Texttabulky"/>
              <w:spacing w:line="240" w:lineRule="atLeast"/>
              <w:jc w:val="both"/>
              <w:rPr>
                <w:rFonts w:cs="Arial"/>
              </w:rPr>
            </w:pPr>
            <w:r w:rsidRPr="00E30642">
              <w:rPr>
                <w:rFonts w:cs="Arial"/>
              </w:rPr>
              <w:t>76 000</w:t>
            </w:r>
          </w:p>
        </w:tc>
        <w:tc>
          <w:tcPr>
            <w:tcW w:w="960" w:type="dxa"/>
            <w:tcBorders>
              <w:top w:val="single" w:sz="6" w:space="0" w:color="auto"/>
              <w:left w:val="single" w:sz="6" w:space="0" w:color="auto"/>
              <w:bottom w:val="single" w:sz="6" w:space="0" w:color="auto"/>
              <w:right w:val="single" w:sz="6" w:space="0" w:color="auto"/>
            </w:tcBorders>
          </w:tcPr>
          <w:p w14:paraId="3C064314" w14:textId="77777777" w:rsidR="00CA23D0" w:rsidRPr="00E30642" w:rsidRDefault="00CA23D0" w:rsidP="00CA23D0">
            <w:pPr>
              <w:pStyle w:val="Texttabulky"/>
              <w:spacing w:line="240" w:lineRule="atLeast"/>
              <w:jc w:val="both"/>
              <w:rPr>
                <w:rFonts w:cs="Arial"/>
              </w:rPr>
            </w:pPr>
            <w:r w:rsidRPr="00E30642">
              <w:rPr>
                <w:rFonts w:cs="Arial"/>
              </w:rPr>
              <w:t>76 100</w:t>
            </w:r>
          </w:p>
        </w:tc>
      </w:tr>
      <w:tr w:rsidR="00CA23D0" w:rsidRPr="00E30642" w14:paraId="0C2D2957"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074D8EC7" w14:textId="77777777" w:rsidR="00CA23D0" w:rsidRPr="00E30642" w:rsidRDefault="00CA23D0" w:rsidP="00CA23D0">
            <w:pPr>
              <w:pStyle w:val="Texttabulky"/>
              <w:spacing w:line="240" w:lineRule="atLeast"/>
              <w:jc w:val="both"/>
              <w:rPr>
                <w:rFonts w:cs="Arial"/>
              </w:rPr>
            </w:pPr>
            <w:r w:rsidRPr="00E30642">
              <w:rPr>
                <w:rFonts w:cs="Arial"/>
              </w:rPr>
              <w:t>Podíl měst v %</w:t>
            </w:r>
          </w:p>
        </w:tc>
        <w:tc>
          <w:tcPr>
            <w:tcW w:w="1140" w:type="dxa"/>
            <w:tcBorders>
              <w:top w:val="single" w:sz="6" w:space="0" w:color="auto"/>
              <w:left w:val="single" w:sz="6" w:space="0" w:color="auto"/>
              <w:bottom w:val="single" w:sz="6" w:space="0" w:color="auto"/>
              <w:right w:val="single" w:sz="6" w:space="0" w:color="auto"/>
            </w:tcBorders>
          </w:tcPr>
          <w:p w14:paraId="456B1E2B" w14:textId="77777777" w:rsidR="00CA23D0" w:rsidRPr="00E30642" w:rsidRDefault="00CA23D0" w:rsidP="00CA23D0">
            <w:pPr>
              <w:pStyle w:val="Texttabulky"/>
              <w:spacing w:line="240" w:lineRule="atLeast"/>
              <w:jc w:val="both"/>
              <w:rPr>
                <w:rFonts w:cs="Arial"/>
              </w:rPr>
            </w:pPr>
            <w:r w:rsidRPr="00E30642">
              <w:rPr>
                <w:rFonts w:cs="Arial"/>
              </w:rPr>
              <w:t>34,03</w:t>
            </w:r>
          </w:p>
        </w:tc>
        <w:tc>
          <w:tcPr>
            <w:tcW w:w="1000" w:type="dxa"/>
            <w:tcBorders>
              <w:top w:val="single" w:sz="6" w:space="0" w:color="auto"/>
              <w:left w:val="single" w:sz="6" w:space="0" w:color="auto"/>
              <w:bottom w:val="single" w:sz="6" w:space="0" w:color="auto"/>
              <w:right w:val="single" w:sz="6" w:space="0" w:color="auto"/>
            </w:tcBorders>
          </w:tcPr>
          <w:p w14:paraId="3971221A" w14:textId="77777777" w:rsidR="00CA23D0" w:rsidRPr="00E30642" w:rsidRDefault="00CA23D0" w:rsidP="00CA23D0">
            <w:pPr>
              <w:pStyle w:val="Texttabulky"/>
              <w:spacing w:line="240" w:lineRule="atLeast"/>
              <w:jc w:val="both"/>
              <w:rPr>
                <w:rFonts w:cs="Arial"/>
              </w:rPr>
            </w:pPr>
            <w:r w:rsidRPr="00E30642">
              <w:rPr>
                <w:rFonts w:cs="Arial"/>
              </w:rPr>
              <w:t>34,03</w:t>
            </w:r>
          </w:p>
        </w:tc>
        <w:tc>
          <w:tcPr>
            <w:tcW w:w="1140" w:type="dxa"/>
            <w:tcBorders>
              <w:top w:val="single" w:sz="6" w:space="0" w:color="auto"/>
              <w:left w:val="single" w:sz="6" w:space="0" w:color="auto"/>
              <w:bottom w:val="single" w:sz="6" w:space="0" w:color="auto"/>
              <w:right w:val="single" w:sz="6" w:space="0" w:color="auto"/>
            </w:tcBorders>
          </w:tcPr>
          <w:p w14:paraId="4436080D" w14:textId="77777777" w:rsidR="00CA23D0" w:rsidRPr="00E30642" w:rsidRDefault="00CA23D0" w:rsidP="00CA23D0">
            <w:pPr>
              <w:pStyle w:val="Texttabulky"/>
              <w:spacing w:line="240" w:lineRule="atLeast"/>
              <w:jc w:val="both"/>
              <w:rPr>
                <w:rFonts w:cs="Arial"/>
              </w:rPr>
            </w:pPr>
            <w:r w:rsidRPr="00E30642">
              <w:rPr>
                <w:rFonts w:cs="Arial"/>
              </w:rPr>
              <w:t>33,62</w:t>
            </w:r>
          </w:p>
        </w:tc>
        <w:tc>
          <w:tcPr>
            <w:tcW w:w="960" w:type="dxa"/>
            <w:tcBorders>
              <w:top w:val="single" w:sz="6" w:space="0" w:color="auto"/>
              <w:left w:val="single" w:sz="6" w:space="0" w:color="auto"/>
              <w:bottom w:val="single" w:sz="6" w:space="0" w:color="auto"/>
              <w:right w:val="single" w:sz="6" w:space="0" w:color="auto"/>
            </w:tcBorders>
          </w:tcPr>
          <w:p w14:paraId="67DFB4EF" w14:textId="77777777" w:rsidR="00CA23D0" w:rsidRPr="00E30642" w:rsidRDefault="00CA23D0" w:rsidP="00CA23D0">
            <w:pPr>
              <w:pStyle w:val="Texttabulky"/>
              <w:spacing w:line="240" w:lineRule="atLeast"/>
              <w:jc w:val="both"/>
              <w:rPr>
                <w:rFonts w:cs="Arial"/>
              </w:rPr>
            </w:pPr>
            <w:r w:rsidRPr="00E30642">
              <w:rPr>
                <w:rFonts w:cs="Arial"/>
              </w:rPr>
              <w:t>33,42</w:t>
            </w:r>
          </w:p>
        </w:tc>
      </w:tr>
      <w:tr w:rsidR="00CA23D0" w:rsidRPr="00E30642" w14:paraId="3750CDD6"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B97B364" w14:textId="77777777" w:rsidR="00CA23D0" w:rsidRPr="00E30642" w:rsidRDefault="00CA23D0" w:rsidP="00CA23D0">
            <w:pPr>
              <w:pStyle w:val="Zkladntext"/>
              <w:jc w:val="both"/>
              <w:rPr>
                <w:rFonts w:ascii="Arial" w:hAnsi="Arial" w:cs="Arial"/>
              </w:rPr>
            </w:pPr>
          </w:p>
        </w:tc>
        <w:tc>
          <w:tcPr>
            <w:tcW w:w="1140" w:type="dxa"/>
            <w:tcBorders>
              <w:top w:val="single" w:sz="6" w:space="0" w:color="auto"/>
              <w:left w:val="single" w:sz="6" w:space="0" w:color="auto"/>
              <w:bottom w:val="single" w:sz="6" w:space="0" w:color="auto"/>
              <w:right w:val="single" w:sz="6" w:space="0" w:color="auto"/>
            </w:tcBorders>
          </w:tcPr>
          <w:p w14:paraId="45C9D36D" w14:textId="77777777" w:rsidR="00CA23D0" w:rsidRPr="00E30642" w:rsidRDefault="00CA23D0" w:rsidP="00CA23D0">
            <w:pPr>
              <w:pStyle w:val="Zkladntext"/>
              <w:jc w:val="both"/>
              <w:rPr>
                <w:rFonts w:ascii="Arial" w:hAnsi="Arial" w:cs="Arial"/>
              </w:rPr>
            </w:pPr>
          </w:p>
        </w:tc>
        <w:tc>
          <w:tcPr>
            <w:tcW w:w="1000" w:type="dxa"/>
            <w:tcBorders>
              <w:top w:val="single" w:sz="6" w:space="0" w:color="auto"/>
              <w:left w:val="single" w:sz="6" w:space="0" w:color="auto"/>
              <w:bottom w:val="single" w:sz="6" w:space="0" w:color="auto"/>
              <w:right w:val="single" w:sz="6" w:space="0" w:color="auto"/>
            </w:tcBorders>
          </w:tcPr>
          <w:p w14:paraId="6AC0DD1A" w14:textId="77777777" w:rsidR="00CA23D0" w:rsidRPr="00E30642" w:rsidRDefault="00CA23D0" w:rsidP="00CA23D0">
            <w:pPr>
              <w:pStyle w:val="Zkladntext"/>
              <w:jc w:val="both"/>
              <w:rPr>
                <w:rFonts w:ascii="Arial" w:hAnsi="Arial" w:cs="Arial"/>
              </w:rPr>
            </w:pPr>
          </w:p>
        </w:tc>
        <w:tc>
          <w:tcPr>
            <w:tcW w:w="1140" w:type="dxa"/>
            <w:tcBorders>
              <w:top w:val="single" w:sz="6" w:space="0" w:color="auto"/>
              <w:left w:val="single" w:sz="6" w:space="0" w:color="auto"/>
              <w:bottom w:val="single" w:sz="6" w:space="0" w:color="auto"/>
              <w:right w:val="single" w:sz="6" w:space="0" w:color="auto"/>
            </w:tcBorders>
          </w:tcPr>
          <w:p w14:paraId="03EF2CDA"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09986B16" w14:textId="77777777" w:rsidR="00CA23D0" w:rsidRPr="00E30642" w:rsidRDefault="00CA23D0" w:rsidP="00CA23D0">
            <w:pPr>
              <w:pStyle w:val="Zkladntext"/>
              <w:jc w:val="both"/>
              <w:rPr>
                <w:rFonts w:ascii="Arial" w:hAnsi="Arial" w:cs="Arial"/>
              </w:rPr>
            </w:pPr>
          </w:p>
        </w:tc>
      </w:tr>
      <w:tr w:rsidR="00CA23D0" w:rsidRPr="00E30642" w14:paraId="3FD39FAD"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1F54FFA" w14:textId="77777777" w:rsidR="00CA23D0" w:rsidRPr="00E30642" w:rsidRDefault="00CA23D0" w:rsidP="00CA23D0">
            <w:pPr>
              <w:pStyle w:val="Texttabulky"/>
              <w:spacing w:line="240" w:lineRule="atLeast"/>
              <w:jc w:val="both"/>
              <w:rPr>
                <w:rFonts w:cs="Arial"/>
              </w:rPr>
            </w:pPr>
            <w:r w:rsidRPr="00E30642">
              <w:rPr>
                <w:rFonts w:cs="Arial"/>
              </w:rPr>
              <w:t>Okres Louny</w:t>
            </w:r>
          </w:p>
        </w:tc>
        <w:tc>
          <w:tcPr>
            <w:tcW w:w="1140" w:type="dxa"/>
            <w:tcBorders>
              <w:top w:val="single" w:sz="6" w:space="0" w:color="auto"/>
              <w:left w:val="single" w:sz="6" w:space="0" w:color="auto"/>
              <w:bottom w:val="single" w:sz="6" w:space="0" w:color="auto"/>
              <w:right w:val="single" w:sz="6" w:space="0" w:color="auto"/>
            </w:tcBorders>
          </w:tcPr>
          <w:p w14:paraId="2B09FD5E" w14:textId="77777777" w:rsidR="00CA23D0" w:rsidRPr="00E30642" w:rsidRDefault="00CA23D0" w:rsidP="00CA23D0">
            <w:pPr>
              <w:pStyle w:val="Texttabulky"/>
              <w:spacing w:line="240" w:lineRule="atLeast"/>
              <w:jc w:val="both"/>
              <w:rPr>
                <w:rFonts w:cs="Arial"/>
              </w:rPr>
            </w:pPr>
            <w:r w:rsidRPr="00E30642">
              <w:rPr>
                <w:rFonts w:cs="Arial"/>
              </w:rPr>
              <w:t>86 094</w:t>
            </w:r>
          </w:p>
        </w:tc>
        <w:tc>
          <w:tcPr>
            <w:tcW w:w="1000" w:type="dxa"/>
            <w:tcBorders>
              <w:top w:val="single" w:sz="6" w:space="0" w:color="auto"/>
              <w:left w:val="single" w:sz="6" w:space="0" w:color="auto"/>
              <w:bottom w:val="single" w:sz="6" w:space="0" w:color="auto"/>
              <w:right w:val="single" w:sz="6" w:space="0" w:color="auto"/>
            </w:tcBorders>
          </w:tcPr>
          <w:p w14:paraId="3949C6EE" w14:textId="77777777" w:rsidR="00CA23D0" w:rsidRPr="00E30642" w:rsidRDefault="00CA23D0" w:rsidP="00CA23D0">
            <w:pPr>
              <w:pStyle w:val="Texttabulky"/>
              <w:spacing w:line="240" w:lineRule="atLeast"/>
              <w:jc w:val="both"/>
              <w:rPr>
                <w:rFonts w:cs="Arial"/>
              </w:rPr>
            </w:pPr>
            <w:r w:rsidRPr="00E30642">
              <w:rPr>
                <w:rFonts w:cs="Arial"/>
              </w:rPr>
              <w:t>86 000</w:t>
            </w:r>
          </w:p>
        </w:tc>
        <w:tc>
          <w:tcPr>
            <w:tcW w:w="1140" w:type="dxa"/>
            <w:tcBorders>
              <w:top w:val="single" w:sz="6" w:space="0" w:color="auto"/>
              <w:left w:val="single" w:sz="6" w:space="0" w:color="auto"/>
              <w:bottom w:val="single" w:sz="6" w:space="0" w:color="auto"/>
              <w:right w:val="single" w:sz="6" w:space="0" w:color="auto"/>
            </w:tcBorders>
          </w:tcPr>
          <w:p w14:paraId="5E6172BF" w14:textId="77777777" w:rsidR="00CA23D0" w:rsidRPr="00E30642" w:rsidRDefault="00CA23D0" w:rsidP="00CA23D0">
            <w:pPr>
              <w:pStyle w:val="Texttabulky"/>
              <w:spacing w:line="240" w:lineRule="atLeast"/>
              <w:jc w:val="both"/>
              <w:rPr>
                <w:rFonts w:cs="Arial"/>
              </w:rPr>
            </w:pPr>
            <w:r w:rsidRPr="00E30642">
              <w:rPr>
                <w:rFonts w:cs="Arial"/>
              </w:rPr>
              <w:t>86 200</w:t>
            </w:r>
          </w:p>
        </w:tc>
        <w:tc>
          <w:tcPr>
            <w:tcW w:w="960" w:type="dxa"/>
            <w:tcBorders>
              <w:top w:val="single" w:sz="6" w:space="0" w:color="auto"/>
              <w:left w:val="single" w:sz="6" w:space="0" w:color="auto"/>
              <w:bottom w:val="single" w:sz="6" w:space="0" w:color="auto"/>
              <w:right w:val="single" w:sz="6" w:space="0" w:color="auto"/>
            </w:tcBorders>
          </w:tcPr>
          <w:p w14:paraId="5B7C04DE" w14:textId="77777777" w:rsidR="00CA23D0" w:rsidRPr="00E30642" w:rsidRDefault="00CA23D0" w:rsidP="00CA23D0">
            <w:pPr>
              <w:pStyle w:val="Texttabulky"/>
              <w:spacing w:line="240" w:lineRule="atLeast"/>
              <w:jc w:val="both"/>
              <w:rPr>
                <w:rFonts w:cs="Arial"/>
              </w:rPr>
            </w:pPr>
            <w:r w:rsidRPr="00E30642">
              <w:rPr>
                <w:rFonts w:cs="Arial"/>
              </w:rPr>
              <w:t>86 400</w:t>
            </w:r>
          </w:p>
        </w:tc>
      </w:tr>
      <w:tr w:rsidR="00CA23D0" w:rsidRPr="00E30642" w14:paraId="23B701A4"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4A18052" w14:textId="77777777" w:rsidR="00CA23D0" w:rsidRPr="00E30642" w:rsidRDefault="00CA23D0" w:rsidP="00CA23D0">
            <w:pPr>
              <w:pStyle w:val="Texttabulky"/>
              <w:spacing w:line="240" w:lineRule="atLeast"/>
              <w:jc w:val="both"/>
              <w:rPr>
                <w:rFonts w:cs="Arial"/>
              </w:rPr>
            </w:pPr>
            <w:r w:rsidRPr="00E30642">
              <w:rPr>
                <w:rFonts w:cs="Arial"/>
              </w:rPr>
              <w:t>Louny</w:t>
            </w:r>
          </w:p>
        </w:tc>
        <w:tc>
          <w:tcPr>
            <w:tcW w:w="1140" w:type="dxa"/>
            <w:tcBorders>
              <w:top w:val="single" w:sz="6" w:space="0" w:color="auto"/>
              <w:left w:val="single" w:sz="6" w:space="0" w:color="auto"/>
              <w:bottom w:val="single" w:sz="6" w:space="0" w:color="auto"/>
              <w:right w:val="single" w:sz="6" w:space="0" w:color="auto"/>
            </w:tcBorders>
          </w:tcPr>
          <w:p w14:paraId="32C4A6C7" w14:textId="77777777" w:rsidR="00CA23D0" w:rsidRPr="00E30642" w:rsidRDefault="00CA23D0" w:rsidP="00CA23D0">
            <w:pPr>
              <w:pStyle w:val="Texttabulky"/>
              <w:spacing w:line="240" w:lineRule="atLeast"/>
              <w:jc w:val="both"/>
              <w:rPr>
                <w:rFonts w:cs="Arial"/>
              </w:rPr>
            </w:pPr>
            <w:r w:rsidRPr="00E30642">
              <w:rPr>
                <w:rFonts w:cs="Arial"/>
              </w:rPr>
              <w:t>19 984</w:t>
            </w:r>
          </w:p>
        </w:tc>
        <w:tc>
          <w:tcPr>
            <w:tcW w:w="1000" w:type="dxa"/>
            <w:tcBorders>
              <w:top w:val="single" w:sz="6" w:space="0" w:color="auto"/>
              <w:left w:val="single" w:sz="6" w:space="0" w:color="auto"/>
              <w:bottom w:val="single" w:sz="6" w:space="0" w:color="auto"/>
              <w:right w:val="single" w:sz="6" w:space="0" w:color="auto"/>
            </w:tcBorders>
          </w:tcPr>
          <w:p w14:paraId="3D3EE3BB" w14:textId="77777777" w:rsidR="00CA23D0" w:rsidRPr="00E30642" w:rsidRDefault="00CA23D0" w:rsidP="00CA23D0">
            <w:pPr>
              <w:pStyle w:val="Texttabulky"/>
              <w:spacing w:line="240" w:lineRule="atLeast"/>
              <w:jc w:val="both"/>
              <w:rPr>
                <w:rFonts w:cs="Arial"/>
              </w:rPr>
            </w:pPr>
            <w:r w:rsidRPr="00E30642">
              <w:rPr>
                <w:rFonts w:cs="Arial"/>
              </w:rPr>
              <w:t>19 950</w:t>
            </w:r>
          </w:p>
        </w:tc>
        <w:tc>
          <w:tcPr>
            <w:tcW w:w="1140" w:type="dxa"/>
            <w:tcBorders>
              <w:top w:val="single" w:sz="6" w:space="0" w:color="auto"/>
              <w:left w:val="single" w:sz="6" w:space="0" w:color="auto"/>
              <w:bottom w:val="single" w:sz="6" w:space="0" w:color="auto"/>
              <w:right w:val="single" w:sz="6" w:space="0" w:color="auto"/>
            </w:tcBorders>
          </w:tcPr>
          <w:p w14:paraId="30B342B1" w14:textId="77777777" w:rsidR="00CA23D0" w:rsidRPr="00E30642" w:rsidRDefault="00CA23D0" w:rsidP="00CA23D0">
            <w:pPr>
              <w:pStyle w:val="Texttabulky"/>
              <w:spacing w:line="240" w:lineRule="atLeast"/>
              <w:jc w:val="both"/>
              <w:rPr>
                <w:rFonts w:cs="Arial"/>
              </w:rPr>
            </w:pPr>
            <w:r w:rsidRPr="00E30642">
              <w:rPr>
                <w:rFonts w:cs="Arial"/>
              </w:rPr>
              <w:t>19 700</w:t>
            </w:r>
          </w:p>
        </w:tc>
        <w:tc>
          <w:tcPr>
            <w:tcW w:w="960" w:type="dxa"/>
            <w:tcBorders>
              <w:top w:val="single" w:sz="6" w:space="0" w:color="auto"/>
              <w:left w:val="single" w:sz="6" w:space="0" w:color="auto"/>
              <w:bottom w:val="single" w:sz="6" w:space="0" w:color="auto"/>
              <w:right w:val="single" w:sz="6" w:space="0" w:color="auto"/>
            </w:tcBorders>
          </w:tcPr>
          <w:p w14:paraId="68125E42" w14:textId="77777777" w:rsidR="00CA23D0" w:rsidRPr="00E30642" w:rsidRDefault="00CA23D0" w:rsidP="00CA23D0">
            <w:pPr>
              <w:pStyle w:val="Texttabulky"/>
              <w:spacing w:line="240" w:lineRule="atLeast"/>
              <w:jc w:val="both"/>
              <w:rPr>
                <w:rFonts w:cs="Arial"/>
              </w:rPr>
            </w:pPr>
            <w:r w:rsidRPr="00E30642">
              <w:rPr>
                <w:rFonts w:cs="Arial"/>
              </w:rPr>
              <w:t>19 500</w:t>
            </w:r>
          </w:p>
        </w:tc>
      </w:tr>
      <w:tr w:rsidR="00CA23D0" w:rsidRPr="00E30642" w14:paraId="03A0D522"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EC6A720" w14:textId="77777777" w:rsidR="00CA23D0" w:rsidRPr="00E30642" w:rsidRDefault="00CA23D0" w:rsidP="00CA23D0">
            <w:pPr>
              <w:pStyle w:val="Texttabulky"/>
              <w:spacing w:line="240" w:lineRule="atLeast"/>
              <w:jc w:val="both"/>
              <w:rPr>
                <w:rFonts w:cs="Arial"/>
              </w:rPr>
            </w:pPr>
            <w:r w:rsidRPr="00E30642">
              <w:rPr>
                <w:rFonts w:cs="Arial"/>
              </w:rPr>
              <w:t>Žatec</w:t>
            </w:r>
          </w:p>
        </w:tc>
        <w:tc>
          <w:tcPr>
            <w:tcW w:w="1140" w:type="dxa"/>
            <w:tcBorders>
              <w:top w:val="single" w:sz="6" w:space="0" w:color="auto"/>
              <w:left w:val="single" w:sz="6" w:space="0" w:color="auto"/>
              <w:bottom w:val="single" w:sz="6" w:space="0" w:color="auto"/>
              <w:right w:val="single" w:sz="6" w:space="0" w:color="auto"/>
            </w:tcBorders>
          </w:tcPr>
          <w:p w14:paraId="66065974" w14:textId="77777777" w:rsidR="00CA23D0" w:rsidRPr="00E30642" w:rsidRDefault="00CA23D0" w:rsidP="00CA23D0">
            <w:pPr>
              <w:pStyle w:val="Texttabulky"/>
              <w:spacing w:line="240" w:lineRule="atLeast"/>
              <w:jc w:val="both"/>
              <w:rPr>
                <w:rFonts w:cs="Arial"/>
              </w:rPr>
            </w:pPr>
            <w:r w:rsidRPr="00E30642">
              <w:rPr>
                <w:rFonts w:cs="Arial"/>
              </w:rPr>
              <w:t>20 214</w:t>
            </w:r>
          </w:p>
        </w:tc>
        <w:tc>
          <w:tcPr>
            <w:tcW w:w="1000" w:type="dxa"/>
            <w:tcBorders>
              <w:top w:val="single" w:sz="6" w:space="0" w:color="auto"/>
              <w:left w:val="single" w:sz="6" w:space="0" w:color="auto"/>
              <w:bottom w:val="single" w:sz="6" w:space="0" w:color="auto"/>
              <w:right w:val="single" w:sz="6" w:space="0" w:color="auto"/>
            </w:tcBorders>
          </w:tcPr>
          <w:p w14:paraId="1CA2A763" w14:textId="77777777" w:rsidR="00CA23D0" w:rsidRPr="00E30642" w:rsidRDefault="00CA23D0" w:rsidP="00CA23D0">
            <w:pPr>
              <w:pStyle w:val="Texttabulky"/>
              <w:spacing w:line="240" w:lineRule="atLeast"/>
              <w:jc w:val="both"/>
              <w:rPr>
                <w:rFonts w:cs="Arial"/>
              </w:rPr>
            </w:pPr>
            <w:r w:rsidRPr="00E30642">
              <w:rPr>
                <w:rFonts w:cs="Arial"/>
              </w:rPr>
              <w:t>20 200</w:t>
            </w:r>
          </w:p>
        </w:tc>
        <w:tc>
          <w:tcPr>
            <w:tcW w:w="1140" w:type="dxa"/>
            <w:tcBorders>
              <w:top w:val="single" w:sz="6" w:space="0" w:color="auto"/>
              <w:left w:val="single" w:sz="6" w:space="0" w:color="auto"/>
              <w:bottom w:val="single" w:sz="6" w:space="0" w:color="auto"/>
              <w:right w:val="single" w:sz="6" w:space="0" w:color="auto"/>
            </w:tcBorders>
          </w:tcPr>
          <w:p w14:paraId="26FC3830" w14:textId="77777777" w:rsidR="00CA23D0" w:rsidRPr="00E30642" w:rsidRDefault="00CA23D0" w:rsidP="00CA23D0">
            <w:pPr>
              <w:pStyle w:val="Texttabulky"/>
              <w:spacing w:line="240" w:lineRule="atLeast"/>
              <w:jc w:val="both"/>
              <w:rPr>
                <w:rFonts w:cs="Arial"/>
              </w:rPr>
            </w:pPr>
            <w:r w:rsidRPr="00E30642">
              <w:rPr>
                <w:rFonts w:cs="Arial"/>
              </w:rPr>
              <w:t>20 000</w:t>
            </w:r>
          </w:p>
        </w:tc>
        <w:tc>
          <w:tcPr>
            <w:tcW w:w="960" w:type="dxa"/>
            <w:tcBorders>
              <w:top w:val="single" w:sz="6" w:space="0" w:color="auto"/>
              <w:left w:val="single" w:sz="6" w:space="0" w:color="auto"/>
              <w:bottom w:val="single" w:sz="6" w:space="0" w:color="auto"/>
              <w:right w:val="single" w:sz="6" w:space="0" w:color="auto"/>
            </w:tcBorders>
          </w:tcPr>
          <w:p w14:paraId="35045E42" w14:textId="77777777" w:rsidR="00CA23D0" w:rsidRPr="00E30642" w:rsidRDefault="00CA23D0" w:rsidP="00CA23D0">
            <w:pPr>
              <w:pStyle w:val="Texttabulky"/>
              <w:spacing w:line="240" w:lineRule="atLeast"/>
              <w:jc w:val="both"/>
              <w:rPr>
                <w:rFonts w:cs="Arial"/>
              </w:rPr>
            </w:pPr>
            <w:r w:rsidRPr="00E30642">
              <w:rPr>
                <w:rFonts w:cs="Arial"/>
              </w:rPr>
              <w:t>19 800</w:t>
            </w:r>
          </w:p>
        </w:tc>
      </w:tr>
      <w:tr w:rsidR="00CA23D0" w:rsidRPr="00E30642" w14:paraId="6B54F961"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C1D33F2" w14:textId="77777777" w:rsidR="00CA23D0" w:rsidRPr="00E30642" w:rsidRDefault="00CA23D0" w:rsidP="00CA23D0">
            <w:pPr>
              <w:pStyle w:val="Texttabulky"/>
              <w:spacing w:line="240" w:lineRule="atLeast"/>
              <w:jc w:val="both"/>
              <w:rPr>
                <w:rFonts w:cs="Arial"/>
              </w:rPr>
            </w:pPr>
            <w:r w:rsidRPr="00E30642">
              <w:rPr>
                <w:rFonts w:cs="Arial"/>
              </w:rPr>
              <w:t>Města celkem</w:t>
            </w:r>
          </w:p>
        </w:tc>
        <w:tc>
          <w:tcPr>
            <w:tcW w:w="1140" w:type="dxa"/>
            <w:tcBorders>
              <w:top w:val="single" w:sz="6" w:space="0" w:color="auto"/>
              <w:left w:val="single" w:sz="6" w:space="0" w:color="auto"/>
              <w:bottom w:val="single" w:sz="6" w:space="0" w:color="auto"/>
              <w:right w:val="single" w:sz="6" w:space="0" w:color="auto"/>
            </w:tcBorders>
          </w:tcPr>
          <w:p w14:paraId="175EA668" w14:textId="77777777" w:rsidR="00CA23D0" w:rsidRPr="00E30642" w:rsidRDefault="00CA23D0" w:rsidP="00CA23D0">
            <w:pPr>
              <w:pStyle w:val="Texttabulky"/>
              <w:spacing w:line="240" w:lineRule="atLeast"/>
              <w:jc w:val="both"/>
              <w:rPr>
                <w:rFonts w:cs="Arial"/>
              </w:rPr>
            </w:pPr>
            <w:r w:rsidRPr="00E30642">
              <w:rPr>
                <w:rFonts w:cs="Arial"/>
              </w:rPr>
              <w:t>40 198</w:t>
            </w:r>
          </w:p>
        </w:tc>
        <w:tc>
          <w:tcPr>
            <w:tcW w:w="1000" w:type="dxa"/>
            <w:tcBorders>
              <w:top w:val="single" w:sz="6" w:space="0" w:color="auto"/>
              <w:left w:val="single" w:sz="6" w:space="0" w:color="auto"/>
              <w:bottom w:val="single" w:sz="6" w:space="0" w:color="auto"/>
              <w:right w:val="single" w:sz="6" w:space="0" w:color="auto"/>
            </w:tcBorders>
          </w:tcPr>
          <w:p w14:paraId="25228EF1" w14:textId="77777777" w:rsidR="00CA23D0" w:rsidRPr="00E30642" w:rsidRDefault="00CA23D0" w:rsidP="00CA23D0">
            <w:pPr>
              <w:pStyle w:val="Texttabulky"/>
              <w:spacing w:line="240" w:lineRule="atLeast"/>
              <w:jc w:val="both"/>
              <w:rPr>
                <w:rFonts w:cs="Arial"/>
              </w:rPr>
            </w:pPr>
            <w:r w:rsidRPr="00E30642">
              <w:rPr>
                <w:rFonts w:cs="Arial"/>
              </w:rPr>
              <w:t>40 150</w:t>
            </w:r>
          </w:p>
        </w:tc>
        <w:tc>
          <w:tcPr>
            <w:tcW w:w="1140" w:type="dxa"/>
            <w:tcBorders>
              <w:top w:val="single" w:sz="6" w:space="0" w:color="auto"/>
              <w:left w:val="single" w:sz="6" w:space="0" w:color="auto"/>
              <w:bottom w:val="single" w:sz="6" w:space="0" w:color="auto"/>
              <w:right w:val="single" w:sz="6" w:space="0" w:color="auto"/>
            </w:tcBorders>
          </w:tcPr>
          <w:p w14:paraId="39D27F01" w14:textId="77777777" w:rsidR="00CA23D0" w:rsidRPr="00E30642" w:rsidRDefault="00CA23D0" w:rsidP="00CA23D0">
            <w:pPr>
              <w:pStyle w:val="Texttabulky"/>
              <w:spacing w:line="240" w:lineRule="atLeast"/>
              <w:jc w:val="both"/>
              <w:rPr>
                <w:rFonts w:cs="Arial"/>
              </w:rPr>
            </w:pPr>
            <w:r w:rsidRPr="00E30642">
              <w:rPr>
                <w:rFonts w:cs="Arial"/>
              </w:rPr>
              <w:t>39 700</w:t>
            </w:r>
          </w:p>
        </w:tc>
        <w:tc>
          <w:tcPr>
            <w:tcW w:w="960" w:type="dxa"/>
            <w:tcBorders>
              <w:top w:val="single" w:sz="6" w:space="0" w:color="auto"/>
              <w:left w:val="single" w:sz="6" w:space="0" w:color="auto"/>
              <w:bottom w:val="single" w:sz="6" w:space="0" w:color="auto"/>
              <w:right w:val="single" w:sz="6" w:space="0" w:color="auto"/>
            </w:tcBorders>
          </w:tcPr>
          <w:p w14:paraId="5B5F1FD4" w14:textId="77777777" w:rsidR="00CA23D0" w:rsidRPr="00E30642" w:rsidRDefault="00CA23D0" w:rsidP="00CA23D0">
            <w:pPr>
              <w:pStyle w:val="Texttabulky"/>
              <w:spacing w:line="240" w:lineRule="atLeast"/>
              <w:jc w:val="both"/>
              <w:rPr>
                <w:rFonts w:cs="Arial"/>
              </w:rPr>
            </w:pPr>
            <w:r w:rsidRPr="00E30642">
              <w:rPr>
                <w:rFonts w:cs="Arial"/>
              </w:rPr>
              <w:t>39 300</w:t>
            </w:r>
          </w:p>
        </w:tc>
      </w:tr>
      <w:tr w:rsidR="00CA23D0" w:rsidRPr="00E30642" w14:paraId="70D9B721"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5EFF7A0" w14:textId="77777777" w:rsidR="00CA23D0" w:rsidRPr="00E30642" w:rsidRDefault="00CA23D0" w:rsidP="00CA23D0">
            <w:pPr>
              <w:pStyle w:val="Texttabulky"/>
              <w:spacing w:line="240" w:lineRule="atLeast"/>
              <w:jc w:val="both"/>
              <w:rPr>
                <w:rFonts w:cs="Arial"/>
              </w:rPr>
            </w:pPr>
            <w:r w:rsidRPr="00E30642">
              <w:rPr>
                <w:rFonts w:cs="Arial"/>
              </w:rPr>
              <w:t>Ostatní obce</w:t>
            </w:r>
          </w:p>
        </w:tc>
        <w:tc>
          <w:tcPr>
            <w:tcW w:w="1140" w:type="dxa"/>
            <w:tcBorders>
              <w:top w:val="single" w:sz="6" w:space="0" w:color="auto"/>
              <w:left w:val="single" w:sz="6" w:space="0" w:color="auto"/>
              <w:bottom w:val="single" w:sz="6" w:space="0" w:color="auto"/>
              <w:right w:val="single" w:sz="6" w:space="0" w:color="auto"/>
            </w:tcBorders>
          </w:tcPr>
          <w:p w14:paraId="51FB727E" w14:textId="77777777" w:rsidR="00CA23D0" w:rsidRPr="00E30642" w:rsidRDefault="00CA23D0" w:rsidP="00CA23D0">
            <w:pPr>
              <w:pStyle w:val="Texttabulky"/>
              <w:spacing w:line="240" w:lineRule="atLeast"/>
              <w:jc w:val="both"/>
              <w:rPr>
                <w:rFonts w:cs="Arial"/>
              </w:rPr>
            </w:pPr>
            <w:r w:rsidRPr="00E30642">
              <w:rPr>
                <w:rFonts w:cs="Arial"/>
              </w:rPr>
              <w:t>49 896</w:t>
            </w:r>
          </w:p>
        </w:tc>
        <w:tc>
          <w:tcPr>
            <w:tcW w:w="1000" w:type="dxa"/>
            <w:tcBorders>
              <w:top w:val="single" w:sz="6" w:space="0" w:color="auto"/>
              <w:left w:val="single" w:sz="6" w:space="0" w:color="auto"/>
              <w:bottom w:val="single" w:sz="6" w:space="0" w:color="auto"/>
              <w:right w:val="single" w:sz="6" w:space="0" w:color="auto"/>
            </w:tcBorders>
          </w:tcPr>
          <w:p w14:paraId="36641C8C" w14:textId="77777777" w:rsidR="00CA23D0" w:rsidRPr="00E30642" w:rsidRDefault="00CA23D0" w:rsidP="00CA23D0">
            <w:pPr>
              <w:pStyle w:val="Texttabulky"/>
              <w:spacing w:line="240" w:lineRule="atLeast"/>
              <w:jc w:val="both"/>
              <w:rPr>
                <w:rFonts w:cs="Arial"/>
              </w:rPr>
            </w:pPr>
            <w:r w:rsidRPr="00E30642">
              <w:rPr>
                <w:rFonts w:cs="Arial"/>
              </w:rPr>
              <w:t>45 850</w:t>
            </w:r>
          </w:p>
        </w:tc>
        <w:tc>
          <w:tcPr>
            <w:tcW w:w="1140" w:type="dxa"/>
            <w:tcBorders>
              <w:top w:val="single" w:sz="6" w:space="0" w:color="auto"/>
              <w:left w:val="single" w:sz="6" w:space="0" w:color="auto"/>
              <w:bottom w:val="single" w:sz="6" w:space="0" w:color="auto"/>
              <w:right w:val="single" w:sz="6" w:space="0" w:color="auto"/>
            </w:tcBorders>
          </w:tcPr>
          <w:p w14:paraId="39A7F95B" w14:textId="77777777" w:rsidR="00CA23D0" w:rsidRPr="00E30642" w:rsidRDefault="00CA23D0" w:rsidP="00CA23D0">
            <w:pPr>
              <w:pStyle w:val="Texttabulky"/>
              <w:spacing w:line="240" w:lineRule="atLeast"/>
              <w:jc w:val="both"/>
              <w:rPr>
                <w:rFonts w:cs="Arial"/>
              </w:rPr>
            </w:pPr>
            <w:r w:rsidRPr="00E30642">
              <w:rPr>
                <w:rFonts w:cs="Arial"/>
              </w:rPr>
              <w:t>46 500</w:t>
            </w:r>
          </w:p>
        </w:tc>
        <w:tc>
          <w:tcPr>
            <w:tcW w:w="960" w:type="dxa"/>
            <w:tcBorders>
              <w:top w:val="single" w:sz="6" w:space="0" w:color="auto"/>
              <w:left w:val="single" w:sz="6" w:space="0" w:color="auto"/>
              <w:bottom w:val="single" w:sz="6" w:space="0" w:color="auto"/>
              <w:right w:val="single" w:sz="6" w:space="0" w:color="auto"/>
            </w:tcBorders>
          </w:tcPr>
          <w:p w14:paraId="7C15F15F" w14:textId="77777777" w:rsidR="00CA23D0" w:rsidRPr="00E30642" w:rsidRDefault="00CA23D0" w:rsidP="00CA23D0">
            <w:pPr>
              <w:pStyle w:val="Texttabulky"/>
              <w:spacing w:line="240" w:lineRule="atLeast"/>
              <w:jc w:val="both"/>
              <w:rPr>
                <w:rFonts w:cs="Arial"/>
              </w:rPr>
            </w:pPr>
            <w:r w:rsidRPr="00E30642">
              <w:rPr>
                <w:rFonts w:cs="Arial"/>
              </w:rPr>
              <w:t>47 100</w:t>
            </w:r>
          </w:p>
        </w:tc>
      </w:tr>
      <w:tr w:rsidR="00CA23D0" w:rsidRPr="00E30642" w14:paraId="498F192E"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6B53634C" w14:textId="77777777" w:rsidR="00CA23D0" w:rsidRPr="00E30642" w:rsidRDefault="00CA23D0" w:rsidP="00CA23D0">
            <w:pPr>
              <w:pStyle w:val="Texttabulky"/>
              <w:spacing w:line="240" w:lineRule="atLeast"/>
              <w:jc w:val="both"/>
              <w:rPr>
                <w:rFonts w:cs="Arial"/>
              </w:rPr>
            </w:pPr>
            <w:r w:rsidRPr="00E30642">
              <w:rPr>
                <w:rFonts w:cs="Arial"/>
              </w:rPr>
              <w:t>Podíl měst v %</w:t>
            </w:r>
          </w:p>
        </w:tc>
        <w:tc>
          <w:tcPr>
            <w:tcW w:w="1140" w:type="dxa"/>
            <w:tcBorders>
              <w:top w:val="single" w:sz="6" w:space="0" w:color="auto"/>
              <w:left w:val="single" w:sz="6" w:space="0" w:color="auto"/>
              <w:bottom w:val="single" w:sz="6" w:space="0" w:color="auto"/>
              <w:right w:val="single" w:sz="6" w:space="0" w:color="auto"/>
            </w:tcBorders>
          </w:tcPr>
          <w:p w14:paraId="7915539E" w14:textId="77777777" w:rsidR="00CA23D0" w:rsidRPr="00E30642" w:rsidRDefault="00CA23D0" w:rsidP="00CA23D0">
            <w:pPr>
              <w:pStyle w:val="Texttabulky"/>
              <w:spacing w:line="240" w:lineRule="atLeast"/>
              <w:jc w:val="both"/>
              <w:rPr>
                <w:rFonts w:cs="Arial"/>
              </w:rPr>
            </w:pPr>
            <w:r w:rsidRPr="00E30642">
              <w:rPr>
                <w:rFonts w:cs="Arial"/>
              </w:rPr>
              <w:t>46,69</w:t>
            </w:r>
          </w:p>
        </w:tc>
        <w:tc>
          <w:tcPr>
            <w:tcW w:w="1000" w:type="dxa"/>
            <w:tcBorders>
              <w:top w:val="single" w:sz="6" w:space="0" w:color="auto"/>
              <w:left w:val="single" w:sz="6" w:space="0" w:color="auto"/>
              <w:bottom w:val="single" w:sz="6" w:space="0" w:color="auto"/>
              <w:right w:val="single" w:sz="6" w:space="0" w:color="auto"/>
            </w:tcBorders>
          </w:tcPr>
          <w:p w14:paraId="4235BBBA" w14:textId="77777777" w:rsidR="00CA23D0" w:rsidRPr="00E30642" w:rsidRDefault="00CA23D0" w:rsidP="00CA23D0">
            <w:pPr>
              <w:pStyle w:val="Texttabulky"/>
              <w:spacing w:line="240" w:lineRule="atLeast"/>
              <w:jc w:val="both"/>
              <w:rPr>
                <w:rFonts w:cs="Arial"/>
              </w:rPr>
            </w:pPr>
            <w:r w:rsidRPr="00E30642">
              <w:rPr>
                <w:rFonts w:cs="Arial"/>
              </w:rPr>
              <w:t>46,69</w:t>
            </w:r>
          </w:p>
        </w:tc>
        <w:tc>
          <w:tcPr>
            <w:tcW w:w="1140" w:type="dxa"/>
            <w:tcBorders>
              <w:top w:val="single" w:sz="6" w:space="0" w:color="auto"/>
              <w:left w:val="single" w:sz="6" w:space="0" w:color="auto"/>
              <w:bottom w:val="single" w:sz="6" w:space="0" w:color="auto"/>
              <w:right w:val="single" w:sz="6" w:space="0" w:color="auto"/>
            </w:tcBorders>
          </w:tcPr>
          <w:p w14:paraId="226F94A1" w14:textId="77777777" w:rsidR="00CA23D0" w:rsidRPr="00E30642" w:rsidRDefault="00CA23D0" w:rsidP="00CA23D0">
            <w:pPr>
              <w:pStyle w:val="Texttabulky"/>
              <w:spacing w:line="240" w:lineRule="atLeast"/>
              <w:jc w:val="both"/>
              <w:rPr>
                <w:rFonts w:cs="Arial"/>
              </w:rPr>
            </w:pPr>
            <w:r w:rsidRPr="00E30642">
              <w:rPr>
                <w:rFonts w:cs="Arial"/>
              </w:rPr>
              <w:t>46,06</w:t>
            </w:r>
          </w:p>
        </w:tc>
        <w:tc>
          <w:tcPr>
            <w:tcW w:w="960" w:type="dxa"/>
            <w:tcBorders>
              <w:top w:val="single" w:sz="6" w:space="0" w:color="auto"/>
              <w:left w:val="single" w:sz="6" w:space="0" w:color="auto"/>
              <w:bottom w:val="single" w:sz="6" w:space="0" w:color="auto"/>
              <w:right w:val="single" w:sz="6" w:space="0" w:color="auto"/>
            </w:tcBorders>
          </w:tcPr>
          <w:p w14:paraId="2DA5B7F6" w14:textId="77777777" w:rsidR="00CA23D0" w:rsidRPr="00E30642" w:rsidRDefault="00CA23D0" w:rsidP="00CA23D0">
            <w:pPr>
              <w:pStyle w:val="Texttabulky"/>
              <w:spacing w:line="240" w:lineRule="atLeast"/>
              <w:jc w:val="both"/>
              <w:rPr>
                <w:rFonts w:cs="Arial"/>
              </w:rPr>
            </w:pPr>
            <w:r w:rsidRPr="00E30642">
              <w:rPr>
                <w:rFonts w:cs="Arial"/>
              </w:rPr>
              <w:t>45,49</w:t>
            </w:r>
          </w:p>
        </w:tc>
      </w:tr>
      <w:tr w:rsidR="00CA23D0" w:rsidRPr="00E30642" w14:paraId="4C9D1FC3"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11C5D820" w14:textId="77777777" w:rsidR="00CA23D0" w:rsidRPr="00E30642" w:rsidRDefault="00CA23D0" w:rsidP="00CA23D0">
            <w:pPr>
              <w:pStyle w:val="Zkladntext"/>
              <w:jc w:val="both"/>
              <w:rPr>
                <w:rFonts w:ascii="Arial" w:hAnsi="Arial" w:cs="Arial"/>
              </w:rPr>
            </w:pPr>
          </w:p>
        </w:tc>
        <w:tc>
          <w:tcPr>
            <w:tcW w:w="1140" w:type="dxa"/>
            <w:tcBorders>
              <w:top w:val="single" w:sz="6" w:space="0" w:color="auto"/>
              <w:left w:val="single" w:sz="6" w:space="0" w:color="auto"/>
              <w:bottom w:val="single" w:sz="6" w:space="0" w:color="auto"/>
              <w:right w:val="single" w:sz="6" w:space="0" w:color="auto"/>
            </w:tcBorders>
          </w:tcPr>
          <w:p w14:paraId="6E00F201" w14:textId="77777777" w:rsidR="00CA23D0" w:rsidRPr="00E30642" w:rsidRDefault="00CA23D0" w:rsidP="00CA23D0">
            <w:pPr>
              <w:pStyle w:val="Zkladntext"/>
              <w:jc w:val="both"/>
              <w:rPr>
                <w:rFonts w:ascii="Arial" w:hAnsi="Arial" w:cs="Arial"/>
              </w:rPr>
            </w:pPr>
          </w:p>
        </w:tc>
        <w:tc>
          <w:tcPr>
            <w:tcW w:w="1000" w:type="dxa"/>
            <w:tcBorders>
              <w:top w:val="single" w:sz="6" w:space="0" w:color="auto"/>
              <w:left w:val="single" w:sz="6" w:space="0" w:color="auto"/>
              <w:bottom w:val="single" w:sz="6" w:space="0" w:color="auto"/>
              <w:right w:val="single" w:sz="6" w:space="0" w:color="auto"/>
            </w:tcBorders>
          </w:tcPr>
          <w:p w14:paraId="3550FAEA" w14:textId="77777777" w:rsidR="00CA23D0" w:rsidRPr="00E30642" w:rsidRDefault="00CA23D0" w:rsidP="00CA23D0">
            <w:pPr>
              <w:pStyle w:val="Zkladntext"/>
              <w:jc w:val="both"/>
              <w:rPr>
                <w:rFonts w:ascii="Arial" w:hAnsi="Arial" w:cs="Arial"/>
              </w:rPr>
            </w:pPr>
          </w:p>
        </w:tc>
        <w:tc>
          <w:tcPr>
            <w:tcW w:w="1140" w:type="dxa"/>
            <w:tcBorders>
              <w:top w:val="single" w:sz="6" w:space="0" w:color="auto"/>
              <w:left w:val="single" w:sz="6" w:space="0" w:color="auto"/>
              <w:bottom w:val="single" w:sz="6" w:space="0" w:color="auto"/>
              <w:right w:val="single" w:sz="6" w:space="0" w:color="auto"/>
            </w:tcBorders>
          </w:tcPr>
          <w:p w14:paraId="7EB6A1DF"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3F6CD110" w14:textId="77777777" w:rsidR="00CA23D0" w:rsidRPr="00E30642" w:rsidRDefault="00CA23D0" w:rsidP="00CA23D0">
            <w:pPr>
              <w:pStyle w:val="Zkladntext"/>
              <w:jc w:val="both"/>
              <w:rPr>
                <w:rFonts w:ascii="Arial" w:hAnsi="Arial" w:cs="Arial"/>
              </w:rPr>
            </w:pPr>
          </w:p>
        </w:tc>
      </w:tr>
      <w:tr w:rsidR="00CA23D0" w:rsidRPr="00E30642" w14:paraId="7045F9FC"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2D86A96" w14:textId="77777777" w:rsidR="00CA23D0" w:rsidRPr="00E30642" w:rsidRDefault="00CA23D0" w:rsidP="00CA23D0">
            <w:pPr>
              <w:pStyle w:val="Texttabulky"/>
              <w:spacing w:line="240" w:lineRule="atLeast"/>
              <w:jc w:val="both"/>
              <w:rPr>
                <w:rFonts w:cs="Arial"/>
              </w:rPr>
            </w:pPr>
            <w:r w:rsidRPr="00E30642">
              <w:rPr>
                <w:rFonts w:cs="Arial"/>
              </w:rPr>
              <w:t>Okres Most</w:t>
            </w:r>
          </w:p>
        </w:tc>
        <w:tc>
          <w:tcPr>
            <w:tcW w:w="1140" w:type="dxa"/>
            <w:tcBorders>
              <w:top w:val="single" w:sz="6" w:space="0" w:color="auto"/>
              <w:left w:val="single" w:sz="6" w:space="0" w:color="auto"/>
              <w:bottom w:val="single" w:sz="6" w:space="0" w:color="auto"/>
              <w:right w:val="single" w:sz="6" w:space="0" w:color="auto"/>
            </w:tcBorders>
          </w:tcPr>
          <w:p w14:paraId="037DC1CE" w14:textId="77777777" w:rsidR="00CA23D0" w:rsidRPr="00E30642" w:rsidRDefault="00CA23D0" w:rsidP="00CA23D0">
            <w:pPr>
              <w:pStyle w:val="Texttabulky"/>
              <w:spacing w:line="240" w:lineRule="atLeast"/>
              <w:jc w:val="both"/>
              <w:rPr>
                <w:rFonts w:cs="Arial"/>
              </w:rPr>
            </w:pPr>
            <w:r w:rsidRPr="00E30642">
              <w:rPr>
                <w:rFonts w:cs="Arial"/>
              </w:rPr>
              <w:t>119 178</w:t>
            </w:r>
          </w:p>
        </w:tc>
        <w:tc>
          <w:tcPr>
            <w:tcW w:w="1000" w:type="dxa"/>
            <w:tcBorders>
              <w:top w:val="single" w:sz="6" w:space="0" w:color="auto"/>
              <w:left w:val="single" w:sz="6" w:space="0" w:color="auto"/>
              <w:bottom w:val="single" w:sz="6" w:space="0" w:color="auto"/>
              <w:right w:val="single" w:sz="6" w:space="0" w:color="auto"/>
            </w:tcBorders>
          </w:tcPr>
          <w:p w14:paraId="0A80AFFD" w14:textId="77777777" w:rsidR="00CA23D0" w:rsidRPr="00E30642" w:rsidRDefault="00CA23D0" w:rsidP="00CA23D0">
            <w:pPr>
              <w:pStyle w:val="Texttabulky"/>
              <w:spacing w:line="240" w:lineRule="atLeast"/>
              <w:jc w:val="both"/>
              <w:rPr>
                <w:rFonts w:cs="Arial"/>
              </w:rPr>
            </w:pPr>
            <w:r w:rsidRPr="00E30642">
              <w:rPr>
                <w:rFonts w:cs="Arial"/>
              </w:rPr>
              <w:t>119 300</w:t>
            </w:r>
          </w:p>
        </w:tc>
        <w:tc>
          <w:tcPr>
            <w:tcW w:w="1140" w:type="dxa"/>
            <w:tcBorders>
              <w:top w:val="single" w:sz="6" w:space="0" w:color="auto"/>
              <w:left w:val="single" w:sz="6" w:space="0" w:color="auto"/>
              <w:bottom w:val="single" w:sz="6" w:space="0" w:color="auto"/>
              <w:right w:val="single" w:sz="6" w:space="0" w:color="auto"/>
            </w:tcBorders>
          </w:tcPr>
          <w:p w14:paraId="05EC4093" w14:textId="77777777" w:rsidR="00CA23D0" w:rsidRPr="00E30642" w:rsidRDefault="00CA23D0" w:rsidP="00CA23D0">
            <w:pPr>
              <w:pStyle w:val="Texttabulky"/>
              <w:spacing w:line="240" w:lineRule="atLeast"/>
              <w:jc w:val="both"/>
              <w:rPr>
                <w:rFonts w:cs="Arial"/>
              </w:rPr>
            </w:pPr>
            <w:r w:rsidRPr="00E30642">
              <w:rPr>
                <w:rFonts w:cs="Arial"/>
              </w:rPr>
              <w:t>118 900</w:t>
            </w:r>
          </w:p>
        </w:tc>
        <w:tc>
          <w:tcPr>
            <w:tcW w:w="960" w:type="dxa"/>
            <w:tcBorders>
              <w:top w:val="single" w:sz="6" w:space="0" w:color="auto"/>
              <w:left w:val="single" w:sz="6" w:space="0" w:color="auto"/>
              <w:bottom w:val="single" w:sz="6" w:space="0" w:color="auto"/>
              <w:right w:val="single" w:sz="6" w:space="0" w:color="auto"/>
            </w:tcBorders>
          </w:tcPr>
          <w:p w14:paraId="5375FBB4" w14:textId="77777777" w:rsidR="00CA23D0" w:rsidRPr="00E30642" w:rsidRDefault="00CA23D0" w:rsidP="00CA23D0">
            <w:pPr>
              <w:pStyle w:val="Texttabulky"/>
              <w:spacing w:line="240" w:lineRule="atLeast"/>
              <w:jc w:val="both"/>
              <w:rPr>
                <w:rFonts w:cs="Arial"/>
              </w:rPr>
            </w:pPr>
            <w:r w:rsidRPr="00E30642">
              <w:rPr>
                <w:rFonts w:cs="Arial"/>
              </w:rPr>
              <w:t>118 500</w:t>
            </w:r>
          </w:p>
        </w:tc>
      </w:tr>
      <w:tr w:rsidR="00CA23D0" w:rsidRPr="00E30642" w14:paraId="4E359F04"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7943155" w14:textId="77777777" w:rsidR="00CA23D0" w:rsidRPr="00E30642" w:rsidRDefault="00CA23D0" w:rsidP="00CA23D0">
            <w:pPr>
              <w:pStyle w:val="Texttabulky"/>
              <w:spacing w:line="240" w:lineRule="atLeast"/>
              <w:jc w:val="both"/>
              <w:rPr>
                <w:rFonts w:cs="Arial"/>
              </w:rPr>
            </w:pPr>
            <w:r w:rsidRPr="00E30642">
              <w:rPr>
                <w:rFonts w:cs="Arial"/>
              </w:rPr>
              <w:lastRenderedPageBreak/>
              <w:t xml:space="preserve">Most </w:t>
            </w:r>
          </w:p>
        </w:tc>
        <w:tc>
          <w:tcPr>
            <w:tcW w:w="1140" w:type="dxa"/>
            <w:tcBorders>
              <w:top w:val="single" w:sz="6" w:space="0" w:color="auto"/>
              <w:left w:val="single" w:sz="6" w:space="0" w:color="auto"/>
              <w:bottom w:val="single" w:sz="6" w:space="0" w:color="auto"/>
              <w:right w:val="single" w:sz="6" w:space="0" w:color="auto"/>
            </w:tcBorders>
          </w:tcPr>
          <w:p w14:paraId="1B355C3A" w14:textId="77777777" w:rsidR="00CA23D0" w:rsidRPr="00E30642" w:rsidRDefault="00CA23D0" w:rsidP="00CA23D0">
            <w:pPr>
              <w:pStyle w:val="Texttabulky"/>
              <w:spacing w:line="240" w:lineRule="atLeast"/>
              <w:jc w:val="both"/>
              <w:rPr>
                <w:rFonts w:cs="Arial"/>
              </w:rPr>
            </w:pPr>
            <w:r w:rsidRPr="00E30642">
              <w:rPr>
                <w:rFonts w:cs="Arial"/>
              </w:rPr>
              <w:t>69 852</w:t>
            </w:r>
          </w:p>
        </w:tc>
        <w:tc>
          <w:tcPr>
            <w:tcW w:w="1000" w:type="dxa"/>
            <w:tcBorders>
              <w:top w:val="single" w:sz="6" w:space="0" w:color="auto"/>
              <w:left w:val="single" w:sz="6" w:space="0" w:color="auto"/>
              <w:bottom w:val="single" w:sz="6" w:space="0" w:color="auto"/>
              <w:right w:val="single" w:sz="6" w:space="0" w:color="auto"/>
            </w:tcBorders>
          </w:tcPr>
          <w:p w14:paraId="691FE872" w14:textId="77777777" w:rsidR="00CA23D0" w:rsidRPr="00E30642" w:rsidRDefault="00CA23D0" w:rsidP="00CA23D0">
            <w:pPr>
              <w:pStyle w:val="Texttabulky"/>
              <w:spacing w:line="240" w:lineRule="atLeast"/>
              <w:jc w:val="both"/>
              <w:rPr>
                <w:rFonts w:cs="Arial"/>
              </w:rPr>
            </w:pPr>
            <w:r w:rsidRPr="00E30642">
              <w:rPr>
                <w:rFonts w:cs="Arial"/>
              </w:rPr>
              <w:t>69 900</w:t>
            </w:r>
          </w:p>
        </w:tc>
        <w:tc>
          <w:tcPr>
            <w:tcW w:w="1140" w:type="dxa"/>
            <w:tcBorders>
              <w:top w:val="single" w:sz="6" w:space="0" w:color="auto"/>
              <w:left w:val="single" w:sz="6" w:space="0" w:color="auto"/>
              <w:bottom w:val="single" w:sz="6" w:space="0" w:color="auto"/>
              <w:right w:val="single" w:sz="6" w:space="0" w:color="auto"/>
            </w:tcBorders>
          </w:tcPr>
          <w:p w14:paraId="08255348" w14:textId="77777777" w:rsidR="00CA23D0" w:rsidRPr="00E30642" w:rsidRDefault="00CA23D0" w:rsidP="00CA23D0">
            <w:pPr>
              <w:pStyle w:val="Texttabulky"/>
              <w:spacing w:line="240" w:lineRule="atLeast"/>
              <w:jc w:val="both"/>
              <w:rPr>
                <w:rFonts w:cs="Arial"/>
              </w:rPr>
            </w:pPr>
            <w:r w:rsidRPr="00E30642">
              <w:rPr>
                <w:rFonts w:cs="Arial"/>
              </w:rPr>
              <w:t>69 600</w:t>
            </w:r>
          </w:p>
        </w:tc>
        <w:tc>
          <w:tcPr>
            <w:tcW w:w="960" w:type="dxa"/>
            <w:tcBorders>
              <w:top w:val="single" w:sz="6" w:space="0" w:color="auto"/>
              <w:left w:val="single" w:sz="6" w:space="0" w:color="auto"/>
              <w:bottom w:val="single" w:sz="6" w:space="0" w:color="auto"/>
              <w:right w:val="single" w:sz="6" w:space="0" w:color="auto"/>
            </w:tcBorders>
          </w:tcPr>
          <w:p w14:paraId="1AF899EB" w14:textId="77777777" w:rsidR="00CA23D0" w:rsidRPr="00E30642" w:rsidRDefault="00CA23D0" w:rsidP="00CA23D0">
            <w:pPr>
              <w:pStyle w:val="Texttabulky"/>
              <w:spacing w:line="240" w:lineRule="atLeast"/>
              <w:jc w:val="both"/>
              <w:rPr>
                <w:rFonts w:cs="Arial"/>
              </w:rPr>
            </w:pPr>
            <w:r w:rsidRPr="00E30642">
              <w:rPr>
                <w:rFonts w:cs="Arial"/>
              </w:rPr>
              <w:t>69 400</w:t>
            </w:r>
          </w:p>
        </w:tc>
      </w:tr>
      <w:tr w:rsidR="00CA23D0" w:rsidRPr="00E30642" w14:paraId="23AE64E5"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7A2243B3" w14:textId="77777777" w:rsidR="00CA23D0" w:rsidRPr="00E30642" w:rsidRDefault="00CA23D0" w:rsidP="00CA23D0">
            <w:pPr>
              <w:pStyle w:val="Texttabulky"/>
              <w:spacing w:line="240" w:lineRule="atLeast"/>
              <w:jc w:val="both"/>
              <w:rPr>
                <w:rFonts w:cs="Arial"/>
              </w:rPr>
            </w:pPr>
            <w:r w:rsidRPr="00E30642">
              <w:rPr>
                <w:rFonts w:cs="Arial"/>
              </w:rPr>
              <w:t>Litvínov</w:t>
            </w:r>
          </w:p>
        </w:tc>
        <w:tc>
          <w:tcPr>
            <w:tcW w:w="1140" w:type="dxa"/>
            <w:tcBorders>
              <w:top w:val="single" w:sz="6" w:space="0" w:color="auto"/>
              <w:left w:val="single" w:sz="6" w:space="0" w:color="auto"/>
              <w:bottom w:val="single" w:sz="6" w:space="0" w:color="auto"/>
              <w:right w:val="single" w:sz="6" w:space="0" w:color="auto"/>
            </w:tcBorders>
          </w:tcPr>
          <w:p w14:paraId="0F8C35C6" w14:textId="77777777" w:rsidR="00CA23D0" w:rsidRPr="00E30642" w:rsidRDefault="00CA23D0" w:rsidP="00CA23D0">
            <w:pPr>
              <w:pStyle w:val="Texttabulky"/>
              <w:spacing w:line="240" w:lineRule="atLeast"/>
              <w:jc w:val="both"/>
              <w:rPr>
                <w:rFonts w:cs="Arial"/>
              </w:rPr>
            </w:pPr>
            <w:r w:rsidRPr="00E30642">
              <w:rPr>
                <w:rFonts w:cs="Arial"/>
              </w:rPr>
              <w:t>27 995</w:t>
            </w:r>
          </w:p>
        </w:tc>
        <w:tc>
          <w:tcPr>
            <w:tcW w:w="1000" w:type="dxa"/>
            <w:tcBorders>
              <w:top w:val="single" w:sz="6" w:space="0" w:color="auto"/>
              <w:left w:val="single" w:sz="6" w:space="0" w:color="auto"/>
              <w:bottom w:val="single" w:sz="6" w:space="0" w:color="auto"/>
              <w:right w:val="single" w:sz="6" w:space="0" w:color="auto"/>
            </w:tcBorders>
          </w:tcPr>
          <w:p w14:paraId="10F79744" w14:textId="77777777" w:rsidR="00CA23D0" w:rsidRPr="00E30642" w:rsidRDefault="00CA23D0" w:rsidP="00CA23D0">
            <w:pPr>
              <w:pStyle w:val="Texttabulky"/>
              <w:spacing w:line="240" w:lineRule="atLeast"/>
              <w:jc w:val="both"/>
              <w:rPr>
                <w:rFonts w:cs="Arial"/>
              </w:rPr>
            </w:pPr>
            <w:r w:rsidRPr="00E30642">
              <w:rPr>
                <w:rFonts w:cs="Arial"/>
              </w:rPr>
              <w:t>28 000</w:t>
            </w:r>
          </w:p>
        </w:tc>
        <w:tc>
          <w:tcPr>
            <w:tcW w:w="1140" w:type="dxa"/>
            <w:tcBorders>
              <w:top w:val="single" w:sz="6" w:space="0" w:color="auto"/>
              <w:left w:val="single" w:sz="6" w:space="0" w:color="auto"/>
              <w:bottom w:val="single" w:sz="6" w:space="0" w:color="auto"/>
              <w:right w:val="single" w:sz="6" w:space="0" w:color="auto"/>
            </w:tcBorders>
          </w:tcPr>
          <w:p w14:paraId="0572D73C" w14:textId="77777777" w:rsidR="00CA23D0" w:rsidRPr="00E30642" w:rsidRDefault="00CA23D0" w:rsidP="00CA23D0">
            <w:pPr>
              <w:pStyle w:val="Texttabulky"/>
              <w:spacing w:line="240" w:lineRule="atLeast"/>
              <w:jc w:val="both"/>
              <w:rPr>
                <w:rFonts w:cs="Arial"/>
              </w:rPr>
            </w:pPr>
            <w:r w:rsidRPr="00E30642">
              <w:rPr>
                <w:rFonts w:cs="Arial"/>
              </w:rPr>
              <w:t>27 800</w:t>
            </w:r>
          </w:p>
        </w:tc>
        <w:tc>
          <w:tcPr>
            <w:tcW w:w="960" w:type="dxa"/>
            <w:tcBorders>
              <w:top w:val="single" w:sz="6" w:space="0" w:color="auto"/>
              <w:left w:val="single" w:sz="6" w:space="0" w:color="auto"/>
              <w:bottom w:val="single" w:sz="6" w:space="0" w:color="auto"/>
              <w:right w:val="single" w:sz="6" w:space="0" w:color="auto"/>
            </w:tcBorders>
          </w:tcPr>
          <w:p w14:paraId="21B7CFDF" w14:textId="77777777" w:rsidR="00CA23D0" w:rsidRPr="00E30642" w:rsidRDefault="00CA23D0" w:rsidP="00CA23D0">
            <w:pPr>
              <w:pStyle w:val="Texttabulky"/>
              <w:spacing w:line="240" w:lineRule="atLeast"/>
              <w:jc w:val="both"/>
              <w:rPr>
                <w:rFonts w:cs="Arial"/>
              </w:rPr>
            </w:pPr>
            <w:r w:rsidRPr="00E30642">
              <w:rPr>
                <w:rFonts w:cs="Arial"/>
              </w:rPr>
              <w:t>27 600</w:t>
            </w:r>
          </w:p>
        </w:tc>
      </w:tr>
      <w:tr w:rsidR="00CA23D0" w:rsidRPr="00E30642" w14:paraId="41FDF575"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74617895" w14:textId="77777777" w:rsidR="00CA23D0" w:rsidRPr="00E30642" w:rsidRDefault="00CA23D0" w:rsidP="00CA23D0">
            <w:pPr>
              <w:pStyle w:val="Texttabulky"/>
              <w:spacing w:line="240" w:lineRule="atLeast"/>
              <w:jc w:val="both"/>
              <w:rPr>
                <w:rFonts w:cs="Arial"/>
              </w:rPr>
            </w:pPr>
            <w:r w:rsidRPr="00E30642">
              <w:rPr>
                <w:rFonts w:cs="Arial"/>
              </w:rPr>
              <w:t>Města celkem</w:t>
            </w:r>
          </w:p>
        </w:tc>
        <w:tc>
          <w:tcPr>
            <w:tcW w:w="1140" w:type="dxa"/>
            <w:tcBorders>
              <w:top w:val="single" w:sz="6" w:space="0" w:color="auto"/>
              <w:left w:val="single" w:sz="6" w:space="0" w:color="auto"/>
              <w:bottom w:val="single" w:sz="6" w:space="0" w:color="auto"/>
              <w:right w:val="single" w:sz="6" w:space="0" w:color="auto"/>
            </w:tcBorders>
          </w:tcPr>
          <w:p w14:paraId="5A5BF2B3" w14:textId="77777777" w:rsidR="00CA23D0" w:rsidRPr="00E30642" w:rsidRDefault="00CA23D0" w:rsidP="00CA23D0">
            <w:pPr>
              <w:pStyle w:val="Texttabulky"/>
              <w:spacing w:line="240" w:lineRule="atLeast"/>
              <w:jc w:val="both"/>
              <w:rPr>
                <w:rFonts w:cs="Arial"/>
              </w:rPr>
            </w:pPr>
            <w:r w:rsidRPr="00E30642">
              <w:rPr>
                <w:rFonts w:cs="Arial"/>
              </w:rPr>
              <w:t>97 847</w:t>
            </w:r>
          </w:p>
        </w:tc>
        <w:tc>
          <w:tcPr>
            <w:tcW w:w="1000" w:type="dxa"/>
            <w:tcBorders>
              <w:top w:val="single" w:sz="6" w:space="0" w:color="auto"/>
              <w:left w:val="single" w:sz="6" w:space="0" w:color="auto"/>
              <w:bottom w:val="single" w:sz="6" w:space="0" w:color="auto"/>
              <w:right w:val="single" w:sz="6" w:space="0" w:color="auto"/>
            </w:tcBorders>
          </w:tcPr>
          <w:p w14:paraId="147A9F90" w14:textId="77777777" w:rsidR="00CA23D0" w:rsidRPr="00E30642" w:rsidRDefault="00CA23D0" w:rsidP="00CA23D0">
            <w:pPr>
              <w:pStyle w:val="Texttabulky"/>
              <w:spacing w:line="240" w:lineRule="atLeast"/>
              <w:jc w:val="both"/>
              <w:rPr>
                <w:rFonts w:cs="Arial"/>
              </w:rPr>
            </w:pPr>
            <w:r w:rsidRPr="00E30642">
              <w:rPr>
                <w:rFonts w:cs="Arial"/>
              </w:rPr>
              <w:t>97 900</w:t>
            </w:r>
          </w:p>
        </w:tc>
        <w:tc>
          <w:tcPr>
            <w:tcW w:w="1140" w:type="dxa"/>
            <w:tcBorders>
              <w:top w:val="single" w:sz="6" w:space="0" w:color="auto"/>
              <w:left w:val="single" w:sz="6" w:space="0" w:color="auto"/>
              <w:bottom w:val="single" w:sz="6" w:space="0" w:color="auto"/>
              <w:right w:val="single" w:sz="6" w:space="0" w:color="auto"/>
            </w:tcBorders>
          </w:tcPr>
          <w:p w14:paraId="3F480552" w14:textId="77777777" w:rsidR="00CA23D0" w:rsidRPr="00E30642" w:rsidRDefault="00CA23D0" w:rsidP="00CA23D0">
            <w:pPr>
              <w:pStyle w:val="Texttabulky"/>
              <w:spacing w:line="240" w:lineRule="atLeast"/>
              <w:jc w:val="both"/>
              <w:rPr>
                <w:rFonts w:cs="Arial"/>
              </w:rPr>
            </w:pPr>
            <w:r w:rsidRPr="00E30642">
              <w:rPr>
                <w:rFonts w:cs="Arial"/>
              </w:rPr>
              <w:t>97 400</w:t>
            </w:r>
          </w:p>
        </w:tc>
        <w:tc>
          <w:tcPr>
            <w:tcW w:w="960" w:type="dxa"/>
            <w:tcBorders>
              <w:top w:val="single" w:sz="6" w:space="0" w:color="auto"/>
              <w:left w:val="single" w:sz="6" w:space="0" w:color="auto"/>
              <w:bottom w:val="single" w:sz="6" w:space="0" w:color="auto"/>
              <w:right w:val="single" w:sz="6" w:space="0" w:color="auto"/>
            </w:tcBorders>
          </w:tcPr>
          <w:p w14:paraId="4900E27F" w14:textId="77777777" w:rsidR="00CA23D0" w:rsidRPr="00E30642" w:rsidRDefault="00CA23D0" w:rsidP="00CA23D0">
            <w:pPr>
              <w:pStyle w:val="Texttabulky"/>
              <w:spacing w:line="240" w:lineRule="atLeast"/>
              <w:jc w:val="both"/>
              <w:rPr>
                <w:rFonts w:cs="Arial"/>
              </w:rPr>
            </w:pPr>
            <w:r w:rsidRPr="00E30642">
              <w:rPr>
                <w:rFonts w:cs="Arial"/>
              </w:rPr>
              <w:t>97 000</w:t>
            </w:r>
          </w:p>
        </w:tc>
      </w:tr>
      <w:tr w:rsidR="00CA23D0" w:rsidRPr="00E30642" w14:paraId="47307639"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6BE62BE" w14:textId="77777777" w:rsidR="00CA23D0" w:rsidRPr="00E30642" w:rsidRDefault="00CA23D0" w:rsidP="00CA23D0">
            <w:pPr>
              <w:pStyle w:val="Texttabulky"/>
              <w:spacing w:line="240" w:lineRule="atLeast"/>
              <w:jc w:val="both"/>
              <w:rPr>
                <w:rFonts w:cs="Arial"/>
              </w:rPr>
            </w:pPr>
            <w:r w:rsidRPr="00E30642">
              <w:rPr>
                <w:rFonts w:cs="Arial"/>
              </w:rPr>
              <w:t>Ostatní obce</w:t>
            </w:r>
          </w:p>
        </w:tc>
        <w:tc>
          <w:tcPr>
            <w:tcW w:w="1140" w:type="dxa"/>
            <w:tcBorders>
              <w:top w:val="single" w:sz="6" w:space="0" w:color="auto"/>
              <w:left w:val="single" w:sz="6" w:space="0" w:color="auto"/>
              <w:bottom w:val="single" w:sz="6" w:space="0" w:color="auto"/>
              <w:right w:val="single" w:sz="6" w:space="0" w:color="auto"/>
            </w:tcBorders>
          </w:tcPr>
          <w:p w14:paraId="10DEF9AE" w14:textId="77777777" w:rsidR="00CA23D0" w:rsidRPr="00E30642" w:rsidRDefault="00CA23D0" w:rsidP="00CA23D0">
            <w:pPr>
              <w:pStyle w:val="Texttabulky"/>
              <w:spacing w:line="240" w:lineRule="atLeast"/>
              <w:jc w:val="both"/>
              <w:rPr>
                <w:rFonts w:cs="Arial"/>
              </w:rPr>
            </w:pPr>
            <w:r w:rsidRPr="00E30642">
              <w:rPr>
                <w:rFonts w:cs="Arial"/>
              </w:rPr>
              <w:t>21 331</w:t>
            </w:r>
          </w:p>
        </w:tc>
        <w:tc>
          <w:tcPr>
            <w:tcW w:w="1000" w:type="dxa"/>
            <w:tcBorders>
              <w:top w:val="single" w:sz="6" w:space="0" w:color="auto"/>
              <w:left w:val="single" w:sz="6" w:space="0" w:color="auto"/>
              <w:bottom w:val="single" w:sz="6" w:space="0" w:color="auto"/>
              <w:right w:val="single" w:sz="6" w:space="0" w:color="auto"/>
            </w:tcBorders>
          </w:tcPr>
          <w:p w14:paraId="551D35D7" w14:textId="77777777" w:rsidR="00CA23D0" w:rsidRPr="00E30642" w:rsidRDefault="00CA23D0" w:rsidP="00CA23D0">
            <w:pPr>
              <w:pStyle w:val="Texttabulky"/>
              <w:spacing w:line="240" w:lineRule="atLeast"/>
              <w:jc w:val="both"/>
              <w:rPr>
                <w:rFonts w:cs="Arial"/>
              </w:rPr>
            </w:pPr>
            <w:r w:rsidRPr="00E30642">
              <w:rPr>
                <w:rFonts w:cs="Arial"/>
              </w:rPr>
              <w:t>21 400</w:t>
            </w:r>
          </w:p>
        </w:tc>
        <w:tc>
          <w:tcPr>
            <w:tcW w:w="1140" w:type="dxa"/>
            <w:tcBorders>
              <w:top w:val="single" w:sz="6" w:space="0" w:color="auto"/>
              <w:left w:val="single" w:sz="6" w:space="0" w:color="auto"/>
              <w:bottom w:val="single" w:sz="6" w:space="0" w:color="auto"/>
              <w:right w:val="single" w:sz="6" w:space="0" w:color="auto"/>
            </w:tcBorders>
          </w:tcPr>
          <w:p w14:paraId="5CA76AB2" w14:textId="77777777" w:rsidR="00CA23D0" w:rsidRPr="00E30642" w:rsidRDefault="00CA23D0" w:rsidP="00CA23D0">
            <w:pPr>
              <w:pStyle w:val="Texttabulky"/>
              <w:spacing w:line="240" w:lineRule="atLeast"/>
              <w:jc w:val="both"/>
              <w:rPr>
                <w:rFonts w:cs="Arial"/>
              </w:rPr>
            </w:pPr>
            <w:r w:rsidRPr="00E30642">
              <w:rPr>
                <w:rFonts w:cs="Arial"/>
              </w:rPr>
              <w:t>21 500</w:t>
            </w:r>
          </w:p>
        </w:tc>
        <w:tc>
          <w:tcPr>
            <w:tcW w:w="960" w:type="dxa"/>
            <w:tcBorders>
              <w:top w:val="single" w:sz="6" w:space="0" w:color="auto"/>
              <w:left w:val="single" w:sz="6" w:space="0" w:color="auto"/>
              <w:bottom w:val="single" w:sz="6" w:space="0" w:color="auto"/>
              <w:right w:val="single" w:sz="6" w:space="0" w:color="auto"/>
            </w:tcBorders>
          </w:tcPr>
          <w:p w14:paraId="1DB51698" w14:textId="77777777" w:rsidR="00CA23D0" w:rsidRPr="00E30642" w:rsidRDefault="00CA23D0" w:rsidP="00CA23D0">
            <w:pPr>
              <w:pStyle w:val="Texttabulky"/>
              <w:spacing w:line="240" w:lineRule="atLeast"/>
              <w:jc w:val="both"/>
              <w:rPr>
                <w:rFonts w:cs="Arial"/>
              </w:rPr>
            </w:pPr>
            <w:r w:rsidRPr="00E30642">
              <w:rPr>
                <w:rFonts w:cs="Arial"/>
              </w:rPr>
              <w:t>21 500</w:t>
            </w:r>
          </w:p>
        </w:tc>
      </w:tr>
      <w:tr w:rsidR="00CA23D0" w:rsidRPr="00E30642" w14:paraId="30726C46"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29343A9B" w14:textId="77777777" w:rsidR="00CA23D0" w:rsidRPr="00E30642" w:rsidRDefault="00CA23D0" w:rsidP="00CA23D0">
            <w:pPr>
              <w:pStyle w:val="Texttabulky"/>
              <w:spacing w:line="240" w:lineRule="atLeast"/>
              <w:jc w:val="both"/>
              <w:rPr>
                <w:rFonts w:cs="Arial"/>
              </w:rPr>
            </w:pPr>
            <w:r w:rsidRPr="00E30642">
              <w:rPr>
                <w:rFonts w:cs="Arial"/>
              </w:rPr>
              <w:t>Podíl měst v %</w:t>
            </w:r>
          </w:p>
        </w:tc>
        <w:tc>
          <w:tcPr>
            <w:tcW w:w="1140" w:type="dxa"/>
            <w:tcBorders>
              <w:top w:val="single" w:sz="6" w:space="0" w:color="auto"/>
              <w:left w:val="single" w:sz="6" w:space="0" w:color="auto"/>
              <w:bottom w:val="single" w:sz="6" w:space="0" w:color="auto"/>
              <w:right w:val="single" w:sz="6" w:space="0" w:color="auto"/>
            </w:tcBorders>
          </w:tcPr>
          <w:p w14:paraId="53B9143D" w14:textId="77777777" w:rsidR="00CA23D0" w:rsidRPr="00E30642" w:rsidRDefault="00CA23D0" w:rsidP="00CA23D0">
            <w:pPr>
              <w:pStyle w:val="Texttabulky"/>
              <w:spacing w:line="240" w:lineRule="atLeast"/>
              <w:jc w:val="both"/>
              <w:rPr>
                <w:rFonts w:cs="Arial"/>
              </w:rPr>
            </w:pPr>
            <w:r w:rsidRPr="00E30642">
              <w:rPr>
                <w:rFonts w:cs="Arial"/>
              </w:rPr>
              <w:t>82,1</w:t>
            </w:r>
          </w:p>
        </w:tc>
        <w:tc>
          <w:tcPr>
            <w:tcW w:w="1000" w:type="dxa"/>
            <w:tcBorders>
              <w:top w:val="single" w:sz="6" w:space="0" w:color="auto"/>
              <w:left w:val="single" w:sz="6" w:space="0" w:color="auto"/>
              <w:bottom w:val="single" w:sz="6" w:space="0" w:color="auto"/>
              <w:right w:val="single" w:sz="6" w:space="0" w:color="auto"/>
            </w:tcBorders>
          </w:tcPr>
          <w:p w14:paraId="7E4A5062" w14:textId="77777777" w:rsidR="00CA23D0" w:rsidRPr="00E30642" w:rsidRDefault="00CA23D0" w:rsidP="00CA23D0">
            <w:pPr>
              <w:pStyle w:val="Texttabulky"/>
              <w:spacing w:line="240" w:lineRule="atLeast"/>
              <w:jc w:val="both"/>
              <w:rPr>
                <w:rFonts w:cs="Arial"/>
              </w:rPr>
            </w:pPr>
            <w:r w:rsidRPr="00E30642">
              <w:rPr>
                <w:rFonts w:cs="Arial"/>
              </w:rPr>
              <w:t>82,06</w:t>
            </w:r>
          </w:p>
        </w:tc>
        <w:tc>
          <w:tcPr>
            <w:tcW w:w="1140" w:type="dxa"/>
            <w:tcBorders>
              <w:top w:val="single" w:sz="6" w:space="0" w:color="auto"/>
              <w:left w:val="single" w:sz="6" w:space="0" w:color="auto"/>
              <w:bottom w:val="single" w:sz="6" w:space="0" w:color="auto"/>
              <w:right w:val="single" w:sz="6" w:space="0" w:color="auto"/>
            </w:tcBorders>
          </w:tcPr>
          <w:p w14:paraId="03FAB2D8" w14:textId="77777777" w:rsidR="00CA23D0" w:rsidRPr="00E30642" w:rsidRDefault="00CA23D0" w:rsidP="00CA23D0">
            <w:pPr>
              <w:pStyle w:val="Texttabulky"/>
              <w:spacing w:line="240" w:lineRule="atLeast"/>
              <w:jc w:val="both"/>
              <w:rPr>
                <w:rFonts w:cs="Arial"/>
              </w:rPr>
            </w:pPr>
            <w:r w:rsidRPr="00E30642">
              <w:rPr>
                <w:rFonts w:cs="Arial"/>
              </w:rPr>
              <w:t>81,92</w:t>
            </w:r>
          </w:p>
        </w:tc>
        <w:tc>
          <w:tcPr>
            <w:tcW w:w="960" w:type="dxa"/>
            <w:tcBorders>
              <w:top w:val="single" w:sz="6" w:space="0" w:color="auto"/>
              <w:left w:val="single" w:sz="6" w:space="0" w:color="auto"/>
              <w:bottom w:val="single" w:sz="6" w:space="0" w:color="auto"/>
              <w:right w:val="single" w:sz="6" w:space="0" w:color="auto"/>
            </w:tcBorders>
          </w:tcPr>
          <w:p w14:paraId="43ABCA08" w14:textId="77777777" w:rsidR="00CA23D0" w:rsidRPr="00E30642" w:rsidRDefault="00CA23D0" w:rsidP="00CA23D0">
            <w:pPr>
              <w:pStyle w:val="Texttabulky"/>
              <w:spacing w:line="240" w:lineRule="atLeast"/>
              <w:jc w:val="both"/>
              <w:rPr>
                <w:rFonts w:cs="Arial"/>
              </w:rPr>
            </w:pPr>
            <w:r w:rsidRPr="00E30642">
              <w:rPr>
                <w:rFonts w:cs="Arial"/>
              </w:rPr>
              <w:t>81,86</w:t>
            </w:r>
          </w:p>
        </w:tc>
      </w:tr>
      <w:tr w:rsidR="00CA23D0" w:rsidRPr="00E30642" w14:paraId="2ED28DA3"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0B08B54" w14:textId="77777777" w:rsidR="00CA23D0" w:rsidRPr="00E30642" w:rsidRDefault="00CA23D0" w:rsidP="00CA23D0">
            <w:pPr>
              <w:pStyle w:val="Zkladntext"/>
              <w:jc w:val="both"/>
              <w:rPr>
                <w:rFonts w:ascii="Arial" w:hAnsi="Arial" w:cs="Arial"/>
              </w:rPr>
            </w:pPr>
          </w:p>
        </w:tc>
        <w:tc>
          <w:tcPr>
            <w:tcW w:w="1140" w:type="dxa"/>
            <w:tcBorders>
              <w:top w:val="single" w:sz="6" w:space="0" w:color="auto"/>
              <w:left w:val="single" w:sz="6" w:space="0" w:color="auto"/>
              <w:bottom w:val="single" w:sz="6" w:space="0" w:color="auto"/>
              <w:right w:val="single" w:sz="6" w:space="0" w:color="auto"/>
            </w:tcBorders>
          </w:tcPr>
          <w:p w14:paraId="7FDDDD71" w14:textId="77777777" w:rsidR="00CA23D0" w:rsidRPr="00E30642" w:rsidRDefault="00CA23D0" w:rsidP="00CA23D0">
            <w:pPr>
              <w:pStyle w:val="Zkladntext"/>
              <w:jc w:val="both"/>
              <w:rPr>
                <w:rFonts w:ascii="Arial" w:hAnsi="Arial" w:cs="Arial"/>
              </w:rPr>
            </w:pPr>
          </w:p>
        </w:tc>
        <w:tc>
          <w:tcPr>
            <w:tcW w:w="1000" w:type="dxa"/>
            <w:tcBorders>
              <w:top w:val="single" w:sz="6" w:space="0" w:color="auto"/>
              <w:left w:val="single" w:sz="6" w:space="0" w:color="auto"/>
              <w:bottom w:val="single" w:sz="6" w:space="0" w:color="auto"/>
              <w:right w:val="single" w:sz="6" w:space="0" w:color="auto"/>
            </w:tcBorders>
          </w:tcPr>
          <w:p w14:paraId="7D8546A3" w14:textId="77777777" w:rsidR="00CA23D0" w:rsidRPr="00E30642" w:rsidRDefault="00CA23D0" w:rsidP="00CA23D0">
            <w:pPr>
              <w:pStyle w:val="Zkladntext"/>
              <w:jc w:val="both"/>
              <w:rPr>
                <w:rFonts w:ascii="Arial" w:hAnsi="Arial" w:cs="Arial"/>
              </w:rPr>
            </w:pPr>
          </w:p>
        </w:tc>
        <w:tc>
          <w:tcPr>
            <w:tcW w:w="1140" w:type="dxa"/>
            <w:tcBorders>
              <w:top w:val="single" w:sz="6" w:space="0" w:color="auto"/>
              <w:left w:val="single" w:sz="6" w:space="0" w:color="auto"/>
              <w:bottom w:val="single" w:sz="6" w:space="0" w:color="auto"/>
              <w:right w:val="single" w:sz="6" w:space="0" w:color="auto"/>
            </w:tcBorders>
          </w:tcPr>
          <w:p w14:paraId="7CF3CE87"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3046FFDD" w14:textId="77777777" w:rsidR="00CA23D0" w:rsidRPr="00E30642" w:rsidRDefault="00CA23D0" w:rsidP="00CA23D0">
            <w:pPr>
              <w:pStyle w:val="Zkladntext"/>
              <w:jc w:val="both"/>
              <w:rPr>
                <w:rFonts w:ascii="Arial" w:hAnsi="Arial" w:cs="Arial"/>
              </w:rPr>
            </w:pPr>
          </w:p>
        </w:tc>
      </w:tr>
      <w:tr w:rsidR="00CA23D0" w:rsidRPr="00E30642" w14:paraId="69771291"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5E908393" w14:textId="77777777" w:rsidR="00CA23D0" w:rsidRPr="00E30642" w:rsidRDefault="00CA23D0" w:rsidP="00CA23D0">
            <w:pPr>
              <w:pStyle w:val="Texttabulky"/>
              <w:spacing w:line="240" w:lineRule="atLeast"/>
              <w:jc w:val="both"/>
              <w:rPr>
                <w:rFonts w:cs="Arial"/>
              </w:rPr>
            </w:pPr>
            <w:r w:rsidRPr="00E30642">
              <w:rPr>
                <w:rFonts w:cs="Arial"/>
              </w:rPr>
              <w:t>Okres Teplice</w:t>
            </w:r>
          </w:p>
        </w:tc>
        <w:tc>
          <w:tcPr>
            <w:tcW w:w="1140" w:type="dxa"/>
            <w:tcBorders>
              <w:top w:val="single" w:sz="6" w:space="0" w:color="auto"/>
              <w:left w:val="single" w:sz="6" w:space="0" w:color="auto"/>
              <w:bottom w:val="single" w:sz="6" w:space="0" w:color="auto"/>
              <w:right w:val="single" w:sz="6" w:space="0" w:color="auto"/>
            </w:tcBorders>
          </w:tcPr>
          <w:p w14:paraId="691484AD" w14:textId="77777777" w:rsidR="00CA23D0" w:rsidRPr="00E30642" w:rsidRDefault="00CA23D0" w:rsidP="00CA23D0">
            <w:pPr>
              <w:pStyle w:val="Texttabulky"/>
              <w:spacing w:line="240" w:lineRule="atLeast"/>
              <w:jc w:val="both"/>
              <w:rPr>
                <w:rFonts w:cs="Arial"/>
              </w:rPr>
            </w:pPr>
            <w:r w:rsidRPr="00E30642">
              <w:rPr>
                <w:rFonts w:cs="Arial"/>
              </w:rPr>
              <w:t>129 909</w:t>
            </w:r>
          </w:p>
        </w:tc>
        <w:tc>
          <w:tcPr>
            <w:tcW w:w="1000" w:type="dxa"/>
            <w:tcBorders>
              <w:top w:val="single" w:sz="6" w:space="0" w:color="auto"/>
              <w:left w:val="single" w:sz="6" w:space="0" w:color="auto"/>
              <w:bottom w:val="single" w:sz="6" w:space="0" w:color="auto"/>
              <w:right w:val="single" w:sz="6" w:space="0" w:color="auto"/>
            </w:tcBorders>
          </w:tcPr>
          <w:p w14:paraId="5332DEBA" w14:textId="77777777" w:rsidR="00CA23D0" w:rsidRPr="00E30642" w:rsidRDefault="00CA23D0" w:rsidP="00CA23D0">
            <w:pPr>
              <w:pStyle w:val="Texttabulky"/>
              <w:spacing w:line="240" w:lineRule="atLeast"/>
              <w:jc w:val="both"/>
              <w:rPr>
                <w:rFonts w:cs="Arial"/>
              </w:rPr>
            </w:pPr>
            <w:r w:rsidRPr="00E30642">
              <w:rPr>
                <w:rFonts w:cs="Arial"/>
              </w:rPr>
              <w:t>129 000</w:t>
            </w:r>
          </w:p>
        </w:tc>
        <w:tc>
          <w:tcPr>
            <w:tcW w:w="1140" w:type="dxa"/>
            <w:tcBorders>
              <w:top w:val="single" w:sz="6" w:space="0" w:color="auto"/>
              <w:left w:val="single" w:sz="6" w:space="0" w:color="auto"/>
              <w:bottom w:val="single" w:sz="6" w:space="0" w:color="auto"/>
              <w:right w:val="single" w:sz="6" w:space="0" w:color="auto"/>
            </w:tcBorders>
          </w:tcPr>
          <w:p w14:paraId="61976567" w14:textId="77777777" w:rsidR="00CA23D0" w:rsidRPr="00E30642" w:rsidRDefault="00CA23D0" w:rsidP="00CA23D0">
            <w:pPr>
              <w:pStyle w:val="Texttabulky"/>
              <w:spacing w:line="240" w:lineRule="atLeast"/>
              <w:jc w:val="both"/>
              <w:rPr>
                <w:rFonts w:cs="Arial"/>
              </w:rPr>
            </w:pPr>
            <w:r w:rsidRPr="00E30642">
              <w:rPr>
                <w:rFonts w:cs="Arial"/>
              </w:rPr>
              <w:t>128 600</w:t>
            </w:r>
          </w:p>
        </w:tc>
        <w:tc>
          <w:tcPr>
            <w:tcW w:w="960" w:type="dxa"/>
            <w:tcBorders>
              <w:top w:val="single" w:sz="6" w:space="0" w:color="auto"/>
              <w:left w:val="single" w:sz="6" w:space="0" w:color="auto"/>
              <w:bottom w:val="single" w:sz="6" w:space="0" w:color="auto"/>
              <w:right w:val="single" w:sz="6" w:space="0" w:color="auto"/>
            </w:tcBorders>
          </w:tcPr>
          <w:p w14:paraId="081A0679" w14:textId="77777777" w:rsidR="00CA23D0" w:rsidRPr="00E30642" w:rsidRDefault="00CA23D0" w:rsidP="00CA23D0">
            <w:pPr>
              <w:pStyle w:val="Texttabulky"/>
              <w:spacing w:line="240" w:lineRule="atLeast"/>
              <w:jc w:val="both"/>
              <w:rPr>
                <w:rFonts w:cs="Arial"/>
              </w:rPr>
            </w:pPr>
            <w:r w:rsidRPr="00E30642">
              <w:rPr>
                <w:rFonts w:cs="Arial"/>
              </w:rPr>
              <w:t>128 200</w:t>
            </w:r>
          </w:p>
        </w:tc>
      </w:tr>
    </w:tbl>
    <w:p w14:paraId="181030E0" w14:textId="77777777" w:rsidR="00CA23D0" w:rsidRPr="00E30642" w:rsidRDefault="00CA23D0" w:rsidP="00CA23D0">
      <w:pPr>
        <w:autoSpaceDE w:val="0"/>
        <w:autoSpaceDN w:val="0"/>
        <w:adjustRightInd w:val="0"/>
        <w:jc w:val="both"/>
        <w:rPr>
          <w:rFonts w:ascii="Arial" w:hAnsi="Arial" w:cs="Arial"/>
          <w:sz w:val="20"/>
        </w:rPr>
      </w:pPr>
    </w:p>
    <w:tbl>
      <w:tblPr>
        <w:tblW w:w="0" w:type="auto"/>
        <w:jc w:val="center"/>
        <w:tblLayout w:type="fixed"/>
        <w:tblCellMar>
          <w:left w:w="5" w:type="dxa"/>
          <w:right w:w="5" w:type="dxa"/>
        </w:tblCellMar>
        <w:tblLook w:val="0000" w:firstRow="0" w:lastRow="0" w:firstColumn="0" w:lastColumn="0" w:noHBand="0" w:noVBand="0"/>
      </w:tblPr>
      <w:tblGrid>
        <w:gridCol w:w="2105"/>
        <w:gridCol w:w="1255"/>
        <w:gridCol w:w="1118"/>
        <w:gridCol w:w="1254"/>
        <w:gridCol w:w="859"/>
      </w:tblGrid>
      <w:tr w:rsidR="00CA23D0" w:rsidRPr="00E30642" w14:paraId="7713A146"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02FBFF1" w14:textId="77777777" w:rsidR="00CA23D0" w:rsidRPr="00E30642" w:rsidRDefault="00CA23D0" w:rsidP="00CA23D0">
            <w:pPr>
              <w:pStyle w:val="Texttabulky"/>
              <w:spacing w:line="240" w:lineRule="atLeast"/>
              <w:jc w:val="both"/>
              <w:rPr>
                <w:rFonts w:cs="Arial"/>
              </w:rPr>
            </w:pPr>
            <w:r w:rsidRPr="00E30642">
              <w:rPr>
                <w:rFonts w:cs="Arial"/>
              </w:rPr>
              <w:t>Teplice</w:t>
            </w:r>
          </w:p>
        </w:tc>
        <w:tc>
          <w:tcPr>
            <w:tcW w:w="1255" w:type="dxa"/>
            <w:tcBorders>
              <w:top w:val="single" w:sz="6" w:space="0" w:color="auto"/>
              <w:left w:val="single" w:sz="6" w:space="0" w:color="auto"/>
              <w:bottom w:val="single" w:sz="6" w:space="0" w:color="auto"/>
              <w:right w:val="single" w:sz="6" w:space="0" w:color="auto"/>
            </w:tcBorders>
          </w:tcPr>
          <w:p w14:paraId="02E34DBB" w14:textId="77777777" w:rsidR="00CA23D0" w:rsidRPr="00E30642" w:rsidRDefault="00CA23D0" w:rsidP="00CA23D0">
            <w:pPr>
              <w:pStyle w:val="Texttabulky"/>
              <w:spacing w:line="240" w:lineRule="atLeast"/>
              <w:jc w:val="both"/>
              <w:rPr>
                <w:rFonts w:cs="Arial"/>
              </w:rPr>
            </w:pPr>
            <w:r w:rsidRPr="00E30642">
              <w:rPr>
                <w:rFonts w:cs="Arial"/>
              </w:rPr>
              <w:t>52 964</w:t>
            </w:r>
          </w:p>
        </w:tc>
        <w:tc>
          <w:tcPr>
            <w:tcW w:w="1118" w:type="dxa"/>
            <w:tcBorders>
              <w:top w:val="single" w:sz="6" w:space="0" w:color="auto"/>
              <w:left w:val="single" w:sz="6" w:space="0" w:color="auto"/>
              <w:bottom w:val="single" w:sz="6" w:space="0" w:color="auto"/>
              <w:right w:val="single" w:sz="6" w:space="0" w:color="auto"/>
            </w:tcBorders>
          </w:tcPr>
          <w:p w14:paraId="6529B5DB" w14:textId="77777777" w:rsidR="00CA23D0" w:rsidRPr="00E30642" w:rsidRDefault="00CA23D0" w:rsidP="00CA23D0">
            <w:pPr>
              <w:pStyle w:val="Texttabulky"/>
              <w:spacing w:line="240" w:lineRule="atLeast"/>
              <w:jc w:val="both"/>
              <w:rPr>
                <w:rFonts w:cs="Arial"/>
              </w:rPr>
            </w:pPr>
            <w:r w:rsidRPr="00E30642">
              <w:rPr>
                <w:rFonts w:cs="Arial"/>
              </w:rPr>
              <w:t>52 700</w:t>
            </w:r>
          </w:p>
        </w:tc>
        <w:tc>
          <w:tcPr>
            <w:tcW w:w="1254" w:type="dxa"/>
            <w:tcBorders>
              <w:top w:val="single" w:sz="6" w:space="0" w:color="auto"/>
              <w:left w:val="single" w:sz="6" w:space="0" w:color="auto"/>
              <w:bottom w:val="single" w:sz="6" w:space="0" w:color="auto"/>
              <w:right w:val="single" w:sz="6" w:space="0" w:color="auto"/>
            </w:tcBorders>
          </w:tcPr>
          <w:p w14:paraId="0C3271E0" w14:textId="77777777" w:rsidR="00CA23D0" w:rsidRPr="00E30642" w:rsidRDefault="00CA23D0" w:rsidP="00CA23D0">
            <w:pPr>
              <w:pStyle w:val="Texttabulky"/>
              <w:spacing w:line="240" w:lineRule="atLeast"/>
              <w:jc w:val="both"/>
              <w:rPr>
                <w:rFonts w:cs="Arial"/>
              </w:rPr>
            </w:pPr>
            <w:r w:rsidRPr="00E30642">
              <w:rPr>
                <w:rFonts w:cs="Arial"/>
              </w:rPr>
              <w:t>52 500</w:t>
            </w:r>
          </w:p>
        </w:tc>
        <w:tc>
          <w:tcPr>
            <w:tcW w:w="859" w:type="dxa"/>
            <w:tcBorders>
              <w:top w:val="single" w:sz="6" w:space="0" w:color="auto"/>
              <w:left w:val="single" w:sz="6" w:space="0" w:color="auto"/>
              <w:bottom w:val="single" w:sz="6" w:space="0" w:color="auto"/>
              <w:right w:val="single" w:sz="6" w:space="0" w:color="auto"/>
            </w:tcBorders>
          </w:tcPr>
          <w:p w14:paraId="0647444B" w14:textId="77777777" w:rsidR="00CA23D0" w:rsidRPr="00E30642" w:rsidRDefault="00CA23D0" w:rsidP="00CA23D0">
            <w:pPr>
              <w:pStyle w:val="Texttabulky"/>
              <w:spacing w:line="240" w:lineRule="atLeast"/>
              <w:jc w:val="both"/>
              <w:rPr>
                <w:rFonts w:cs="Arial"/>
              </w:rPr>
            </w:pPr>
            <w:r w:rsidRPr="00E30642">
              <w:rPr>
                <w:rFonts w:cs="Arial"/>
              </w:rPr>
              <w:t>52 300</w:t>
            </w:r>
          </w:p>
        </w:tc>
      </w:tr>
      <w:tr w:rsidR="00CA23D0" w:rsidRPr="00E30642" w14:paraId="24F6E735"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71EE4D4" w14:textId="77777777" w:rsidR="00CA23D0" w:rsidRPr="00E30642" w:rsidRDefault="00CA23D0" w:rsidP="00CA23D0">
            <w:pPr>
              <w:pStyle w:val="Texttabulky"/>
              <w:spacing w:line="240" w:lineRule="atLeast"/>
              <w:jc w:val="both"/>
              <w:rPr>
                <w:rFonts w:cs="Arial"/>
              </w:rPr>
            </w:pPr>
            <w:r w:rsidRPr="00E30642">
              <w:rPr>
                <w:rFonts w:cs="Arial"/>
              </w:rPr>
              <w:t>Bílina</w:t>
            </w:r>
          </w:p>
        </w:tc>
        <w:tc>
          <w:tcPr>
            <w:tcW w:w="1255" w:type="dxa"/>
            <w:tcBorders>
              <w:top w:val="single" w:sz="6" w:space="0" w:color="auto"/>
              <w:left w:val="single" w:sz="6" w:space="0" w:color="auto"/>
              <w:bottom w:val="single" w:sz="6" w:space="0" w:color="auto"/>
              <w:right w:val="single" w:sz="6" w:space="0" w:color="auto"/>
            </w:tcBorders>
          </w:tcPr>
          <w:p w14:paraId="073D7029" w14:textId="77777777" w:rsidR="00CA23D0" w:rsidRPr="00E30642" w:rsidRDefault="00CA23D0" w:rsidP="00CA23D0">
            <w:pPr>
              <w:pStyle w:val="Texttabulky"/>
              <w:spacing w:line="240" w:lineRule="atLeast"/>
              <w:jc w:val="both"/>
              <w:rPr>
                <w:rFonts w:cs="Arial"/>
              </w:rPr>
            </w:pPr>
            <w:r w:rsidRPr="00E30642">
              <w:rPr>
                <w:rFonts w:cs="Arial"/>
              </w:rPr>
              <w:t>17 250</w:t>
            </w:r>
          </w:p>
        </w:tc>
        <w:tc>
          <w:tcPr>
            <w:tcW w:w="1118" w:type="dxa"/>
            <w:tcBorders>
              <w:top w:val="single" w:sz="6" w:space="0" w:color="auto"/>
              <w:left w:val="single" w:sz="6" w:space="0" w:color="auto"/>
              <w:bottom w:val="single" w:sz="6" w:space="0" w:color="auto"/>
              <w:right w:val="single" w:sz="6" w:space="0" w:color="auto"/>
            </w:tcBorders>
          </w:tcPr>
          <w:p w14:paraId="5B0491E3" w14:textId="77777777" w:rsidR="00CA23D0" w:rsidRPr="00E30642" w:rsidRDefault="00CA23D0" w:rsidP="00CA23D0">
            <w:pPr>
              <w:pStyle w:val="Texttabulky"/>
              <w:spacing w:line="240" w:lineRule="atLeast"/>
              <w:jc w:val="both"/>
              <w:rPr>
                <w:rFonts w:cs="Arial"/>
              </w:rPr>
            </w:pPr>
            <w:r w:rsidRPr="00E30642">
              <w:rPr>
                <w:rFonts w:cs="Arial"/>
              </w:rPr>
              <w:t>17 000</w:t>
            </w:r>
          </w:p>
        </w:tc>
        <w:tc>
          <w:tcPr>
            <w:tcW w:w="1254" w:type="dxa"/>
            <w:tcBorders>
              <w:top w:val="single" w:sz="6" w:space="0" w:color="auto"/>
              <w:left w:val="single" w:sz="6" w:space="0" w:color="auto"/>
              <w:bottom w:val="single" w:sz="6" w:space="0" w:color="auto"/>
              <w:right w:val="single" w:sz="6" w:space="0" w:color="auto"/>
            </w:tcBorders>
          </w:tcPr>
          <w:p w14:paraId="595D85C2" w14:textId="77777777" w:rsidR="00CA23D0" w:rsidRPr="00E30642" w:rsidRDefault="00CA23D0" w:rsidP="00CA23D0">
            <w:pPr>
              <w:pStyle w:val="Texttabulky"/>
              <w:spacing w:line="240" w:lineRule="atLeast"/>
              <w:jc w:val="both"/>
              <w:rPr>
                <w:rFonts w:cs="Arial"/>
              </w:rPr>
            </w:pPr>
            <w:r w:rsidRPr="00E30642">
              <w:rPr>
                <w:rFonts w:cs="Arial"/>
              </w:rPr>
              <w:t>16 800</w:t>
            </w:r>
          </w:p>
        </w:tc>
        <w:tc>
          <w:tcPr>
            <w:tcW w:w="859" w:type="dxa"/>
            <w:tcBorders>
              <w:top w:val="single" w:sz="6" w:space="0" w:color="auto"/>
              <w:left w:val="single" w:sz="6" w:space="0" w:color="auto"/>
              <w:bottom w:val="single" w:sz="6" w:space="0" w:color="auto"/>
              <w:right w:val="single" w:sz="6" w:space="0" w:color="auto"/>
            </w:tcBorders>
          </w:tcPr>
          <w:p w14:paraId="73E14A93" w14:textId="77777777" w:rsidR="00CA23D0" w:rsidRPr="00E30642" w:rsidRDefault="00CA23D0" w:rsidP="00CA23D0">
            <w:pPr>
              <w:pStyle w:val="Texttabulky"/>
              <w:spacing w:line="240" w:lineRule="atLeast"/>
              <w:jc w:val="both"/>
              <w:rPr>
                <w:rFonts w:cs="Arial"/>
              </w:rPr>
            </w:pPr>
            <w:r w:rsidRPr="00E30642">
              <w:rPr>
                <w:rFonts w:cs="Arial"/>
              </w:rPr>
              <w:t>16 600</w:t>
            </w:r>
          </w:p>
        </w:tc>
      </w:tr>
      <w:tr w:rsidR="00CA23D0" w:rsidRPr="00E30642" w14:paraId="2D130659"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2F10B532" w14:textId="77777777" w:rsidR="00CA23D0" w:rsidRPr="00E30642" w:rsidRDefault="00CA23D0" w:rsidP="00CA23D0">
            <w:pPr>
              <w:pStyle w:val="Texttabulky"/>
              <w:spacing w:line="240" w:lineRule="atLeast"/>
              <w:jc w:val="both"/>
              <w:rPr>
                <w:rFonts w:cs="Arial"/>
              </w:rPr>
            </w:pPr>
            <w:r w:rsidRPr="00E30642">
              <w:rPr>
                <w:rFonts w:cs="Arial"/>
              </w:rPr>
              <w:t>Krupka</w:t>
            </w:r>
          </w:p>
        </w:tc>
        <w:tc>
          <w:tcPr>
            <w:tcW w:w="1255" w:type="dxa"/>
            <w:tcBorders>
              <w:top w:val="single" w:sz="6" w:space="0" w:color="auto"/>
              <w:left w:val="single" w:sz="6" w:space="0" w:color="auto"/>
              <w:bottom w:val="single" w:sz="6" w:space="0" w:color="auto"/>
              <w:right w:val="single" w:sz="6" w:space="0" w:color="auto"/>
            </w:tcBorders>
          </w:tcPr>
          <w:p w14:paraId="2F0409F2" w14:textId="77777777" w:rsidR="00CA23D0" w:rsidRPr="00E30642" w:rsidRDefault="00CA23D0" w:rsidP="00CA23D0">
            <w:pPr>
              <w:pStyle w:val="Texttabulky"/>
              <w:spacing w:line="240" w:lineRule="atLeast"/>
              <w:jc w:val="both"/>
              <w:rPr>
                <w:rFonts w:cs="Arial"/>
              </w:rPr>
            </w:pPr>
            <w:r w:rsidRPr="00E30642">
              <w:rPr>
                <w:rFonts w:cs="Arial"/>
              </w:rPr>
              <w:t>13 528</w:t>
            </w:r>
          </w:p>
        </w:tc>
        <w:tc>
          <w:tcPr>
            <w:tcW w:w="1118" w:type="dxa"/>
            <w:tcBorders>
              <w:top w:val="single" w:sz="6" w:space="0" w:color="auto"/>
              <w:left w:val="single" w:sz="6" w:space="0" w:color="auto"/>
              <w:bottom w:val="single" w:sz="6" w:space="0" w:color="auto"/>
              <w:right w:val="single" w:sz="6" w:space="0" w:color="auto"/>
            </w:tcBorders>
          </w:tcPr>
          <w:p w14:paraId="48FE4708" w14:textId="77777777" w:rsidR="00CA23D0" w:rsidRPr="00E30642" w:rsidRDefault="00CA23D0" w:rsidP="00CA23D0">
            <w:pPr>
              <w:pStyle w:val="Texttabulky"/>
              <w:spacing w:line="240" w:lineRule="atLeast"/>
              <w:jc w:val="both"/>
              <w:rPr>
                <w:rFonts w:cs="Arial"/>
              </w:rPr>
            </w:pPr>
            <w:r w:rsidRPr="00E30642">
              <w:rPr>
                <w:rFonts w:cs="Arial"/>
              </w:rPr>
              <w:t>13 000</w:t>
            </w:r>
          </w:p>
        </w:tc>
        <w:tc>
          <w:tcPr>
            <w:tcW w:w="1254" w:type="dxa"/>
            <w:tcBorders>
              <w:top w:val="single" w:sz="6" w:space="0" w:color="auto"/>
              <w:left w:val="single" w:sz="6" w:space="0" w:color="auto"/>
              <w:bottom w:val="single" w:sz="6" w:space="0" w:color="auto"/>
              <w:right w:val="single" w:sz="6" w:space="0" w:color="auto"/>
            </w:tcBorders>
          </w:tcPr>
          <w:p w14:paraId="5DF7C7A2" w14:textId="77777777" w:rsidR="00CA23D0" w:rsidRPr="00E30642" w:rsidRDefault="00CA23D0" w:rsidP="00CA23D0">
            <w:pPr>
              <w:pStyle w:val="Texttabulky"/>
              <w:spacing w:line="240" w:lineRule="atLeast"/>
              <w:jc w:val="both"/>
              <w:rPr>
                <w:rFonts w:cs="Arial"/>
              </w:rPr>
            </w:pPr>
            <w:r w:rsidRPr="00E30642">
              <w:rPr>
                <w:rFonts w:cs="Arial"/>
              </w:rPr>
              <w:t>12 800</w:t>
            </w:r>
          </w:p>
        </w:tc>
        <w:tc>
          <w:tcPr>
            <w:tcW w:w="859" w:type="dxa"/>
            <w:tcBorders>
              <w:top w:val="single" w:sz="6" w:space="0" w:color="auto"/>
              <w:left w:val="single" w:sz="6" w:space="0" w:color="auto"/>
              <w:bottom w:val="single" w:sz="6" w:space="0" w:color="auto"/>
              <w:right w:val="single" w:sz="6" w:space="0" w:color="auto"/>
            </w:tcBorders>
          </w:tcPr>
          <w:p w14:paraId="05B287DE" w14:textId="77777777" w:rsidR="00CA23D0" w:rsidRPr="00E30642" w:rsidRDefault="00CA23D0" w:rsidP="00CA23D0">
            <w:pPr>
              <w:pStyle w:val="Texttabulky"/>
              <w:spacing w:line="240" w:lineRule="atLeast"/>
              <w:jc w:val="both"/>
              <w:rPr>
                <w:rFonts w:cs="Arial"/>
              </w:rPr>
            </w:pPr>
            <w:r w:rsidRPr="00E30642">
              <w:rPr>
                <w:rFonts w:cs="Arial"/>
              </w:rPr>
              <w:t>12 600</w:t>
            </w:r>
          </w:p>
        </w:tc>
      </w:tr>
      <w:tr w:rsidR="00CA23D0" w:rsidRPr="00E30642" w14:paraId="51549D03"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DE74EBC" w14:textId="77777777" w:rsidR="00CA23D0" w:rsidRPr="00E30642" w:rsidRDefault="00CA23D0" w:rsidP="00CA23D0">
            <w:pPr>
              <w:pStyle w:val="Texttabulky"/>
              <w:spacing w:line="240" w:lineRule="atLeast"/>
              <w:jc w:val="both"/>
              <w:rPr>
                <w:rFonts w:cs="Arial"/>
              </w:rPr>
            </w:pPr>
            <w:r w:rsidRPr="00E30642">
              <w:rPr>
                <w:rFonts w:cs="Arial"/>
              </w:rPr>
              <w:t>Města celkem</w:t>
            </w:r>
          </w:p>
        </w:tc>
        <w:tc>
          <w:tcPr>
            <w:tcW w:w="1255" w:type="dxa"/>
            <w:tcBorders>
              <w:top w:val="single" w:sz="6" w:space="0" w:color="auto"/>
              <w:left w:val="single" w:sz="6" w:space="0" w:color="auto"/>
              <w:bottom w:val="single" w:sz="6" w:space="0" w:color="auto"/>
              <w:right w:val="single" w:sz="6" w:space="0" w:color="auto"/>
            </w:tcBorders>
          </w:tcPr>
          <w:p w14:paraId="3DC46A4C" w14:textId="77777777" w:rsidR="00CA23D0" w:rsidRPr="00E30642" w:rsidRDefault="00CA23D0" w:rsidP="00CA23D0">
            <w:pPr>
              <w:pStyle w:val="Texttabulky"/>
              <w:spacing w:line="240" w:lineRule="atLeast"/>
              <w:jc w:val="both"/>
              <w:rPr>
                <w:rFonts w:cs="Arial"/>
              </w:rPr>
            </w:pPr>
            <w:r w:rsidRPr="00E30642">
              <w:rPr>
                <w:rFonts w:cs="Arial"/>
              </w:rPr>
              <w:t>83 742</w:t>
            </w:r>
          </w:p>
        </w:tc>
        <w:tc>
          <w:tcPr>
            <w:tcW w:w="1118" w:type="dxa"/>
            <w:tcBorders>
              <w:top w:val="single" w:sz="6" w:space="0" w:color="auto"/>
              <w:left w:val="single" w:sz="6" w:space="0" w:color="auto"/>
              <w:bottom w:val="single" w:sz="6" w:space="0" w:color="auto"/>
              <w:right w:val="single" w:sz="6" w:space="0" w:color="auto"/>
            </w:tcBorders>
          </w:tcPr>
          <w:p w14:paraId="332EC3F2" w14:textId="77777777" w:rsidR="00CA23D0" w:rsidRPr="00E30642" w:rsidRDefault="00CA23D0" w:rsidP="00CA23D0">
            <w:pPr>
              <w:pStyle w:val="Texttabulky"/>
              <w:spacing w:line="240" w:lineRule="atLeast"/>
              <w:jc w:val="both"/>
              <w:rPr>
                <w:rFonts w:cs="Arial"/>
              </w:rPr>
            </w:pPr>
            <w:r w:rsidRPr="00E30642">
              <w:rPr>
                <w:rFonts w:cs="Arial"/>
              </w:rPr>
              <w:t>82 700</w:t>
            </w:r>
          </w:p>
        </w:tc>
        <w:tc>
          <w:tcPr>
            <w:tcW w:w="1254" w:type="dxa"/>
            <w:tcBorders>
              <w:top w:val="single" w:sz="6" w:space="0" w:color="auto"/>
              <w:left w:val="single" w:sz="6" w:space="0" w:color="auto"/>
              <w:bottom w:val="single" w:sz="6" w:space="0" w:color="auto"/>
              <w:right w:val="single" w:sz="6" w:space="0" w:color="auto"/>
            </w:tcBorders>
          </w:tcPr>
          <w:p w14:paraId="241FE8B1" w14:textId="77777777" w:rsidR="00CA23D0" w:rsidRPr="00E30642" w:rsidRDefault="00CA23D0" w:rsidP="00CA23D0">
            <w:pPr>
              <w:pStyle w:val="Texttabulky"/>
              <w:spacing w:line="240" w:lineRule="atLeast"/>
              <w:jc w:val="both"/>
              <w:rPr>
                <w:rFonts w:cs="Arial"/>
              </w:rPr>
            </w:pPr>
            <w:r w:rsidRPr="00E30642">
              <w:rPr>
                <w:rFonts w:cs="Arial"/>
              </w:rPr>
              <w:t>82 100</w:t>
            </w:r>
          </w:p>
        </w:tc>
        <w:tc>
          <w:tcPr>
            <w:tcW w:w="859" w:type="dxa"/>
            <w:tcBorders>
              <w:top w:val="single" w:sz="6" w:space="0" w:color="auto"/>
              <w:left w:val="single" w:sz="6" w:space="0" w:color="auto"/>
              <w:bottom w:val="single" w:sz="6" w:space="0" w:color="auto"/>
              <w:right w:val="single" w:sz="6" w:space="0" w:color="auto"/>
            </w:tcBorders>
          </w:tcPr>
          <w:p w14:paraId="772E969B" w14:textId="77777777" w:rsidR="00CA23D0" w:rsidRPr="00E30642" w:rsidRDefault="00CA23D0" w:rsidP="00CA23D0">
            <w:pPr>
              <w:pStyle w:val="Texttabulky"/>
              <w:spacing w:line="240" w:lineRule="atLeast"/>
              <w:jc w:val="both"/>
              <w:rPr>
                <w:rFonts w:cs="Arial"/>
              </w:rPr>
            </w:pPr>
            <w:r w:rsidRPr="00E30642">
              <w:rPr>
                <w:rFonts w:cs="Arial"/>
              </w:rPr>
              <w:t>81 500</w:t>
            </w:r>
          </w:p>
        </w:tc>
      </w:tr>
      <w:tr w:rsidR="00CA23D0" w:rsidRPr="00E30642" w14:paraId="4053045A"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6185ABA" w14:textId="77777777" w:rsidR="00CA23D0" w:rsidRPr="00E30642" w:rsidRDefault="00CA23D0" w:rsidP="00CA23D0">
            <w:pPr>
              <w:pStyle w:val="Texttabulky"/>
              <w:spacing w:line="240" w:lineRule="atLeast"/>
              <w:jc w:val="both"/>
              <w:rPr>
                <w:rFonts w:cs="Arial"/>
              </w:rPr>
            </w:pPr>
            <w:r w:rsidRPr="00E30642">
              <w:rPr>
                <w:rFonts w:cs="Arial"/>
              </w:rPr>
              <w:t>Ostatní obce</w:t>
            </w:r>
          </w:p>
        </w:tc>
        <w:tc>
          <w:tcPr>
            <w:tcW w:w="1255" w:type="dxa"/>
            <w:tcBorders>
              <w:top w:val="single" w:sz="6" w:space="0" w:color="auto"/>
              <w:left w:val="single" w:sz="6" w:space="0" w:color="auto"/>
              <w:bottom w:val="single" w:sz="6" w:space="0" w:color="auto"/>
              <w:right w:val="single" w:sz="6" w:space="0" w:color="auto"/>
            </w:tcBorders>
          </w:tcPr>
          <w:p w14:paraId="5F5D54DB" w14:textId="77777777" w:rsidR="00CA23D0" w:rsidRPr="00E30642" w:rsidRDefault="00CA23D0" w:rsidP="00CA23D0">
            <w:pPr>
              <w:pStyle w:val="Texttabulky"/>
              <w:spacing w:line="240" w:lineRule="atLeast"/>
              <w:jc w:val="both"/>
              <w:rPr>
                <w:rFonts w:cs="Arial"/>
              </w:rPr>
            </w:pPr>
            <w:r w:rsidRPr="00E30642">
              <w:rPr>
                <w:rFonts w:cs="Arial"/>
              </w:rPr>
              <w:t>46 167</w:t>
            </w:r>
          </w:p>
        </w:tc>
        <w:tc>
          <w:tcPr>
            <w:tcW w:w="1118" w:type="dxa"/>
            <w:tcBorders>
              <w:top w:val="single" w:sz="6" w:space="0" w:color="auto"/>
              <w:left w:val="single" w:sz="6" w:space="0" w:color="auto"/>
              <w:bottom w:val="single" w:sz="6" w:space="0" w:color="auto"/>
              <w:right w:val="single" w:sz="6" w:space="0" w:color="auto"/>
            </w:tcBorders>
          </w:tcPr>
          <w:p w14:paraId="1A8D33BF" w14:textId="77777777" w:rsidR="00CA23D0" w:rsidRPr="00E30642" w:rsidRDefault="00CA23D0" w:rsidP="00CA23D0">
            <w:pPr>
              <w:pStyle w:val="Texttabulky"/>
              <w:spacing w:line="240" w:lineRule="atLeast"/>
              <w:jc w:val="both"/>
              <w:rPr>
                <w:rFonts w:cs="Arial"/>
              </w:rPr>
            </w:pPr>
            <w:r w:rsidRPr="00E30642">
              <w:rPr>
                <w:rFonts w:cs="Arial"/>
              </w:rPr>
              <w:t>46 300</w:t>
            </w:r>
          </w:p>
        </w:tc>
        <w:tc>
          <w:tcPr>
            <w:tcW w:w="1254" w:type="dxa"/>
            <w:tcBorders>
              <w:top w:val="single" w:sz="6" w:space="0" w:color="auto"/>
              <w:left w:val="single" w:sz="6" w:space="0" w:color="auto"/>
              <w:bottom w:val="single" w:sz="6" w:space="0" w:color="auto"/>
              <w:right w:val="single" w:sz="6" w:space="0" w:color="auto"/>
            </w:tcBorders>
          </w:tcPr>
          <w:p w14:paraId="3606E63A" w14:textId="77777777" w:rsidR="00CA23D0" w:rsidRPr="00E30642" w:rsidRDefault="00CA23D0" w:rsidP="00CA23D0">
            <w:pPr>
              <w:pStyle w:val="Texttabulky"/>
              <w:spacing w:line="240" w:lineRule="atLeast"/>
              <w:jc w:val="both"/>
              <w:rPr>
                <w:rFonts w:cs="Arial"/>
              </w:rPr>
            </w:pPr>
            <w:r w:rsidRPr="00E30642">
              <w:rPr>
                <w:rFonts w:cs="Arial"/>
              </w:rPr>
              <w:t>46 500</w:t>
            </w:r>
          </w:p>
        </w:tc>
        <w:tc>
          <w:tcPr>
            <w:tcW w:w="859" w:type="dxa"/>
            <w:tcBorders>
              <w:top w:val="single" w:sz="6" w:space="0" w:color="auto"/>
              <w:left w:val="single" w:sz="6" w:space="0" w:color="auto"/>
              <w:bottom w:val="single" w:sz="6" w:space="0" w:color="auto"/>
              <w:right w:val="single" w:sz="6" w:space="0" w:color="auto"/>
            </w:tcBorders>
          </w:tcPr>
          <w:p w14:paraId="41BB0F9E" w14:textId="77777777" w:rsidR="00CA23D0" w:rsidRPr="00E30642" w:rsidRDefault="00CA23D0" w:rsidP="00CA23D0">
            <w:pPr>
              <w:pStyle w:val="Texttabulky"/>
              <w:spacing w:line="240" w:lineRule="atLeast"/>
              <w:jc w:val="both"/>
              <w:rPr>
                <w:rFonts w:cs="Arial"/>
              </w:rPr>
            </w:pPr>
            <w:r w:rsidRPr="00E30642">
              <w:rPr>
                <w:rFonts w:cs="Arial"/>
              </w:rPr>
              <w:t>46 700</w:t>
            </w:r>
          </w:p>
        </w:tc>
      </w:tr>
      <w:tr w:rsidR="00CA23D0" w:rsidRPr="00E30642" w14:paraId="64E15D0D"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BDAD65F" w14:textId="77777777" w:rsidR="00CA23D0" w:rsidRPr="00E30642" w:rsidRDefault="00CA23D0" w:rsidP="00CA23D0">
            <w:pPr>
              <w:pStyle w:val="Texttabulky"/>
              <w:spacing w:line="240" w:lineRule="atLeast"/>
              <w:jc w:val="both"/>
              <w:rPr>
                <w:rFonts w:cs="Arial"/>
              </w:rPr>
            </w:pPr>
            <w:r w:rsidRPr="00E30642">
              <w:rPr>
                <w:rFonts w:cs="Arial"/>
              </w:rPr>
              <w:t>Podíl měst v %</w:t>
            </w:r>
          </w:p>
        </w:tc>
        <w:tc>
          <w:tcPr>
            <w:tcW w:w="1255" w:type="dxa"/>
            <w:tcBorders>
              <w:top w:val="single" w:sz="6" w:space="0" w:color="auto"/>
              <w:left w:val="single" w:sz="6" w:space="0" w:color="auto"/>
              <w:bottom w:val="single" w:sz="6" w:space="0" w:color="auto"/>
              <w:right w:val="single" w:sz="6" w:space="0" w:color="auto"/>
            </w:tcBorders>
          </w:tcPr>
          <w:p w14:paraId="255EE703" w14:textId="77777777" w:rsidR="00CA23D0" w:rsidRPr="00E30642" w:rsidRDefault="00CA23D0" w:rsidP="00CA23D0">
            <w:pPr>
              <w:pStyle w:val="Texttabulky"/>
              <w:spacing w:line="240" w:lineRule="atLeast"/>
              <w:jc w:val="both"/>
              <w:rPr>
                <w:rFonts w:cs="Arial"/>
              </w:rPr>
            </w:pPr>
            <w:r w:rsidRPr="00E30642">
              <w:rPr>
                <w:rFonts w:cs="Arial"/>
              </w:rPr>
              <w:t>64,46</w:t>
            </w:r>
          </w:p>
        </w:tc>
        <w:tc>
          <w:tcPr>
            <w:tcW w:w="1118" w:type="dxa"/>
            <w:tcBorders>
              <w:top w:val="single" w:sz="6" w:space="0" w:color="auto"/>
              <w:left w:val="single" w:sz="6" w:space="0" w:color="auto"/>
              <w:bottom w:val="single" w:sz="6" w:space="0" w:color="auto"/>
              <w:right w:val="single" w:sz="6" w:space="0" w:color="auto"/>
            </w:tcBorders>
          </w:tcPr>
          <w:p w14:paraId="44D1122A" w14:textId="77777777" w:rsidR="00CA23D0" w:rsidRPr="00E30642" w:rsidRDefault="00CA23D0" w:rsidP="00CA23D0">
            <w:pPr>
              <w:pStyle w:val="Texttabulky"/>
              <w:spacing w:line="240" w:lineRule="atLeast"/>
              <w:jc w:val="both"/>
              <w:rPr>
                <w:rFonts w:cs="Arial"/>
              </w:rPr>
            </w:pPr>
            <w:r w:rsidRPr="00E30642">
              <w:rPr>
                <w:rFonts w:cs="Arial"/>
              </w:rPr>
              <w:t>64,11</w:t>
            </w:r>
          </w:p>
        </w:tc>
        <w:tc>
          <w:tcPr>
            <w:tcW w:w="1254" w:type="dxa"/>
            <w:tcBorders>
              <w:top w:val="single" w:sz="6" w:space="0" w:color="auto"/>
              <w:left w:val="single" w:sz="6" w:space="0" w:color="auto"/>
              <w:bottom w:val="single" w:sz="6" w:space="0" w:color="auto"/>
              <w:right w:val="single" w:sz="6" w:space="0" w:color="auto"/>
            </w:tcBorders>
          </w:tcPr>
          <w:p w14:paraId="23B2B851" w14:textId="77777777" w:rsidR="00CA23D0" w:rsidRPr="00E30642" w:rsidRDefault="00CA23D0" w:rsidP="00CA23D0">
            <w:pPr>
              <w:pStyle w:val="Texttabulky"/>
              <w:spacing w:line="240" w:lineRule="atLeast"/>
              <w:jc w:val="both"/>
              <w:rPr>
                <w:rFonts w:cs="Arial"/>
              </w:rPr>
            </w:pPr>
            <w:r w:rsidRPr="00E30642">
              <w:rPr>
                <w:rFonts w:cs="Arial"/>
              </w:rPr>
              <w:t>63,84</w:t>
            </w:r>
          </w:p>
        </w:tc>
        <w:tc>
          <w:tcPr>
            <w:tcW w:w="859" w:type="dxa"/>
            <w:tcBorders>
              <w:top w:val="single" w:sz="6" w:space="0" w:color="auto"/>
              <w:left w:val="single" w:sz="6" w:space="0" w:color="auto"/>
              <w:bottom w:val="single" w:sz="6" w:space="0" w:color="auto"/>
              <w:right w:val="single" w:sz="6" w:space="0" w:color="auto"/>
            </w:tcBorders>
          </w:tcPr>
          <w:p w14:paraId="1A55B3D9" w14:textId="77777777" w:rsidR="00CA23D0" w:rsidRPr="00E30642" w:rsidRDefault="00CA23D0" w:rsidP="00CA23D0">
            <w:pPr>
              <w:pStyle w:val="Texttabulky"/>
              <w:spacing w:line="240" w:lineRule="atLeast"/>
              <w:jc w:val="both"/>
              <w:rPr>
                <w:rFonts w:cs="Arial"/>
              </w:rPr>
            </w:pPr>
            <w:r w:rsidRPr="00E30642">
              <w:rPr>
                <w:rFonts w:cs="Arial"/>
              </w:rPr>
              <w:t>63,58</w:t>
            </w:r>
          </w:p>
        </w:tc>
      </w:tr>
      <w:tr w:rsidR="00CA23D0" w:rsidRPr="00E30642" w14:paraId="407B6448"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34BBB808" w14:textId="77777777" w:rsidR="00CA23D0" w:rsidRPr="00E30642" w:rsidRDefault="00CA23D0" w:rsidP="00CA23D0">
            <w:pPr>
              <w:pStyle w:val="Zkladntext"/>
              <w:jc w:val="both"/>
              <w:rPr>
                <w:rFonts w:ascii="Arial" w:hAnsi="Arial" w:cs="Arial"/>
              </w:rPr>
            </w:pPr>
          </w:p>
        </w:tc>
        <w:tc>
          <w:tcPr>
            <w:tcW w:w="1255" w:type="dxa"/>
            <w:tcBorders>
              <w:top w:val="single" w:sz="6" w:space="0" w:color="auto"/>
              <w:left w:val="single" w:sz="6" w:space="0" w:color="auto"/>
              <w:bottom w:val="single" w:sz="6" w:space="0" w:color="auto"/>
              <w:right w:val="single" w:sz="6" w:space="0" w:color="auto"/>
            </w:tcBorders>
          </w:tcPr>
          <w:p w14:paraId="208FCB7F" w14:textId="77777777" w:rsidR="00CA23D0" w:rsidRPr="00E30642" w:rsidRDefault="00CA23D0" w:rsidP="00CA23D0">
            <w:pPr>
              <w:pStyle w:val="Zkladntext"/>
              <w:jc w:val="both"/>
              <w:rPr>
                <w:rFonts w:ascii="Arial" w:hAnsi="Arial" w:cs="Arial"/>
              </w:rPr>
            </w:pPr>
          </w:p>
        </w:tc>
        <w:tc>
          <w:tcPr>
            <w:tcW w:w="1118" w:type="dxa"/>
            <w:tcBorders>
              <w:top w:val="single" w:sz="6" w:space="0" w:color="auto"/>
              <w:left w:val="single" w:sz="6" w:space="0" w:color="auto"/>
              <w:bottom w:val="single" w:sz="6" w:space="0" w:color="auto"/>
              <w:right w:val="single" w:sz="6" w:space="0" w:color="auto"/>
            </w:tcBorders>
          </w:tcPr>
          <w:p w14:paraId="477E90A4" w14:textId="77777777" w:rsidR="00CA23D0" w:rsidRPr="00E30642" w:rsidRDefault="00CA23D0" w:rsidP="00CA23D0">
            <w:pPr>
              <w:pStyle w:val="Zkladntext"/>
              <w:jc w:val="both"/>
              <w:rPr>
                <w:rFonts w:ascii="Arial" w:hAnsi="Arial" w:cs="Arial"/>
              </w:rPr>
            </w:pPr>
          </w:p>
        </w:tc>
        <w:tc>
          <w:tcPr>
            <w:tcW w:w="1254" w:type="dxa"/>
            <w:tcBorders>
              <w:top w:val="single" w:sz="6" w:space="0" w:color="auto"/>
              <w:left w:val="single" w:sz="6" w:space="0" w:color="auto"/>
              <w:bottom w:val="single" w:sz="6" w:space="0" w:color="auto"/>
              <w:right w:val="single" w:sz="6" w:space="0" w:color="auto"/>
            </w:tcBorders>
          </w:tcPr>
          <w:p w14:paraId="5D7FC4AF" w14:textId="77777777" w:rsidR="00CA23D0" w:rsidRPr="00E30642" w:rsidRDefault="00CA23D0" w:rsidP="00CA23D0">
            <w:pPr>
              <w:pStyle w:val="Zkladntext"/>
              <w:jc w:val="both"/>
              <w:rPr>
                <w:rFonts w:ascii="Arial" w:hAnsi="Arial" w:cs="Arial"/>
              </w:rPr>
            </w:pPr>
          </w:p>
        </w:tc>
        <w:tc>
          <w:tcPr>
            <w:tcW w:w="859" w:type="dxa"/>
            <w:tcBorders>
              <w:top w:val="single" w:sz="6" w:space="0" w:color="auto"/>
              <w:left w:val="single" w:sz="6" w:space="0" w:color="auto"/>
              <w:bottom w:val="single" w:sz="6" w:space="0" w:color="auto"/>
              <w:right w:val="single" w:sz="6" w:space="0" w:color="auto"/>
            </w:tcBorders>
          </w:tcPr>
          <w:p w14:paraId="09A95701" w14:textId="77777777" w:rsidR="00CA23D0" w:rsidRPr="00E30642" w:rsidRDefault="00CA23D0" w:rsidP="00CA23D0">
            <w:pPr>
              <w:pStyle w:val="Zkladntext"/>
              <w:jc w:val="both"/>
              <w:rPr>
                <w:rFonts w:ascii="Arial" w:hAnsi="Arial" w:cs="Arial"/>
              </w:rPr>
            </w:pPr>
          </w:p>
        </w:tc>
      </w:tr>
      <w:tr w:rsidR="00CA23D0" w:rsidRPr="00E30642" w14:paraId="0D993F1C"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58C2EA5B" w14:textId="77777777" w:rsidR="00CA23D0" w:rsidRPr="00E30642" w:rsidRDefault="00CA23D0" w:rsidP="00CA23D0">
            <w:pPr>
              <w:pStyle w:val="Texttabulky"/>
              <w:spacing w:line="240" w:lineRule="atLeast"/>
              <w:jc w:val="both"/>
              <w:rPr>
                <w:rFonts w:cs="Arial"/>
              </w:rPr>
            </w:pPr>
            <w:r w:rsidRPr="00E30642">
              <w:rPr>
                <w:rFonts w:cs="Arial"/>
              </w:rPr>
              <w:t>Okres Ústí nad Labem</w:t>
            </w:r>
          </w:p>
        </w:tc>
        <w:tc>
          <w:tcPr>
            <w:tcW w:w="1255" w:type="dxa"/>
            <w:tcBorders>
              <w:top w:val="single" w:sz="6" w:space="0" w:color="auto"/>
              <w:left w:val="single" w:sz="6" w:space="0" w:color="auto"/>
              <w:bottom w:val="single" w:sz="6" w:space="0" w:color="auto"/>
              <w:right w:val="single" w:sz="6" w:space="0" w:color="auto"/>
            </w:tcBorders>
          </w:tcPr>
          <w:p w14:paraId="48A59AD8" w14:textId="77777777" w:rsidR="00CA23D0" w:rsidRPr="00E30642" w:rsidRDefault="00CA23D0" w:rsidP="00CA23D0">
            <w:pPr>
              <w:pStyle w:val="Texttabulky"/>
              <w:spacing w:line="240" w:lineRule="atLeast"/>
              <w:jc w:val="both"/>
              <w:rPr>
                <w:rFonts w:cs="Arial"/>
              </w:rPr>
            </w:pPr>
            <w:r w:rsidRPr="00E30642">
              <w:rPr>
                <w:rFonts w:cs="Arial"/>
              </w:rPr>
              <w:t>118 594</w:t>
            </w:r>
          </w:p>
        </w:tc>
        <w:tc>
          <w:tcPr>
            <w:tcW w:w="1118" w:type="dxa"/>
            <w:tcBorders>
              <w:top w:val="single" w:sz="6" w:space="0" w:color="auto"/>
              <w:left w:val="single" w:sz="6" w:space="0" w:color="auto"/>
              <w:bottom w:val="single" w:sz="6" w:space="0" w:color="auto"/>
              <w:right w:val="single" w:sz="6" w:space="0" w:color="auto"/>
            </w:tcBorders>
          </w:tcPr>
          <w:p w14:paraId="14323EFE" w14:textId="77777777" w:rsidR="00CA23D0" w:rsidRPr="00E30642" w:rsidRDefault="00CA23D0" w:rsidP="00CA23D0">
            <w:pPr>
              <w:pStyle w:val="Texttabulky"/>
              <w:spacing w:line="240" w:lineRule="atLeast"/>
              <w:jc w:val="both"/>
              <w:rPr>
                <w:rFonts w:cs="Arial"/>
              </w:rPr>
            </w:pPr>
            <w:r w:rsidRPr="00E30642">
              <w:rPr>
                <w:rFonts w:cs="Arial"/>
              </w:rPr>
              <w:t>118 500</w:t>
            </w:r>
          </w:p>
        </w:tc>
        <w:tc>
          <w:tcPr>
            <w:tcW w:w="1254" w:type="dxa"/>
            <w:tcBorders>
              <w:top w:val="single" w:sz="6" w:space="0" w:color="auto"/>
              <w:left w:val="single" w:sz="6" w:space="0" w:color="auto"/>
              <w:bottom w:val="single" w:sz="6" w:space="0" w:color="auto"/>
              <w:right w:val="single" w:sz="6" w:space="0" w:color="auto"/>
            </w:tcBorders>
          </w:tcPr>
          <w:p w14:paraId="66A746AD" w14:textId="77777777" w:rsidR="00CA23D0" w:rsidRPr="00E30642" w:rsidRDefault="00CA23D0" w:rsidP="00CA23D0">
            <w:pPr>
              <w:pStyle w:val="Texttabulky"/>
              <w:spacing w:line="240" w:lineRule="atLeast"/>
              <w:jc w:val="both"/>
              <w:rPr>
                <w:rFonts w:cs="Arial"/>
              </w:rPr>
            </w:pPr>
            <w:r w:rsidRPr="00E30642">
              <w:rPr>
                <w:rFonts w:cs="Arial"/>
              </w:rPr>
              <w:t>118 300</w:t>
            </w:r>
          </w:p>
        </w:tc>
        <w:tc>
          <w:tcPr>
            <w:tcW w:w="859" w:type="dxa"/>
            <w:tcBorders>
              <w:top w:val="single" w:sz="6" w:space="0" w:color="auto"/>
              <w:left w:val="single" w:sz="6" w:space="0" w:color="auto"/>
              <w:bottom w:val="single" w:sz="6" w:space="0" w:color="auto"/>
              <w:right w:val="single" w:sz="6" w:space="0" w:color="auto"/>
            </w:tcBorders>
          </w:tcPr>
          <w:p w14:paraId="3A4F41BA" w14:textId="77777777" w:rsidR="00CA23D0" w:rsidRPr="00E30642" w:rsidRDefault="00CA23D0" w:rsidP="00CA23D0">
            <w:pPr>
              <w:pStyle w:val="Texttabulky"/>
              <w:spacing w:line="240" w:lineRule="atLeast"/>
              <w:jc w:val="both"/>
              <w:rPr>
                <w:rFonts w:cs="Arial"/>
              </w:rPr>
            </w:pPr>
            <w:r w:rsidRPr="00E30642">
              <w:rPr>
                <w:rFonts w:cs="Arial"/>
              </w:rPr>
              <w:t>118 000</w:t>
            </w:r>
          </w:p>
        </w:tc>
      </w:tr>
      <w:tr w:rsidR="00CA23D0" w:rsidRPr="00E30642" w14:paraId="20595877"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B16D409" w14:textId="77777777" w:rsidR="00CA23D0" w:rsidRPr="00E30642" w:rsidRDefault="00CA23D0" w:rsidP="00CA23D0">
            <w:pPr>
              <w:pStyle w:val="Texttabulky"/>
              <w:spacing w:line="240" w:lineRule="atLeast"/>
              <w:jc w:val="both"/>
              <w:rPr>
                <w:rFonts w:cs="Arial"/>
              </w:rPr>
            </w:pPr>
            <w:r w:rsidRPr="00E30642">
              <w:rPr>
                <w:rFonts w:cs="Arial"/>
              </w:rPr>
              <w:t>Ústí nad Labem</w:t>
            </w:r>
          </w:p>
        </w:tc>
        <w:tc>
          <w:tcPr>
            <w:tcW w:w="1255" w:type="dxa"/>
            <w:tcBorders>
              <w:top w:val="single" w:sz="6" w:space="0" w:color="auto"/>
              <w:left w:val="single" w:sz="6" w:space="0" w:color="auto"/>
              <w:bottom w:val="single" w:sz="6" w:space="0" w:color="auto"/>
              <w:right w:val="single" w:sz="6" w:space="0" w:color="auto"/>
            </w:tcBorders>
          </w:tcPr>
          <w:p w14:paraId="45D14652" w14:textId="77777777" w:rsidR="00CA23D0" w:rsidRPr="00E30642" w:rsidRDefault="00CA23D0" w:rsidP="00CA23D0">
            <w:pPr>
              <w:pStyle w:val="Texttabulky"/>
              <w:spacing w:line="240" w:lineRule="atLeast"/>
              <w:jc w:val="both"/>
              <w:rPr>
                <w:rFonts w:cs="Arial"/>
              </w:rPr>
            </w:pPr>
            <w:r w:rsidRPr="00E30642">
              <w:rPr>
                <w:rFonts w:cs="Arial"/>
              </w:rPr>
              <w:t>96 070</w:t>
            </w:r>
          </w:p>
        </w:tc>
        <w:tc>
          <w:tcPr>
            <w:tcW w:w="1118" w:type="dxa"/>
            <w:tcBorders>
              <w:top w:val="single" w:sz="6" w:space="0" w:color="auto"/>
              <w:left w:val="single" w:sz="6" w:space="0" w:color="auto"/>
              <w:bottom w:val="single" w:sz="6" w:space="0" w:color="auto"/>
              <w:right w:val="single" w:sz="6" w:space="0" w:color="auto"/>
            </w:tcBorders>
          </w:tcPr>
          <w:p w14:paraId="08838498" w14:textId="77777777" w:rsidR="00CA23D0" w:rsidRPr="00E30642" w:rsidRDefault="00CA23D0" w:rsidP="00CA23D0">
            <w:pPr>
              <w:pStyle w:val="Texttabulky"/>
              <w:spacing w:line="240" w:lineRule="atLeast"/>
              <w:jc w:val="both"/>
              <w:rPr>
                <w:rFonts w:cs="Arial"/>
              </w:rPr>
            </w:pPr>
            <w:r w:rsidRPr="00E30642">
              <w:rPr>
                <w:rFonts w:cs="Arial"/>
              </w:rPr>
              <w:t>96 000</w:t>
            </w:r>
          </w:p>
        </w:tc>
        <w:tc>
          <w:tcPr>
            <w:tcW w:w="1254" w:type="dxa"/>
            <w:tcBorders>
              <w:top w:val="single" w:sz="6" w:space="0" w:color="auto"/>
              <w:left w:val="single" w:sz="6" w:space="0" w:color="auto"/>
              <w:bottom w:val="single" w:sz="6" w:space="0" w:color="auto"/>
              <w:right w:val="single" w:sz="6" w:space="0" w:color="auto"/>
            </w:tcBorders>
          </w:tcPr>
          <w:p w14:paraId="388275AA" w14:textId="77777777" w:rsidR="00CA23D0" w:rsidRPr="00E30642" w:rsidRDefault="00CA23D0" w:rsidP="00CA23D0">
            <w:pPr>
              <w:pStyle w:val="Texttabulky"/>
              <w:spacing w:line="240" w:lineRule="atLeast"/>
              <w:jc w:val="both"/>
              <w:rPr>
                <w:rFonts w:cs="Arial"/>
              </w:rPr>
            </w:pPr>
            <w:r w:rsidRPr="00E30642">
              <w:rPr>
                <w:rFonts w:cs="Arial"/>
              </w:rPr>
              <w:t>95 600</w:t>
            </w:r>
          </w:p>
        </w:tc>
        <w:tc>
          <w:tcPr>
            <w:tcW w:w="859" w:type="dxa"/>
            <w:tcBorders>
              <w:top w:val="single" w:sz="6" w:space="0" w:color="auto"/>
              <w:left w:val="single" w:sz="6" w:space="0" w:color="auto"/>
              <w:bottom w:val="single" w:sz="6" w:space="0" w:color="auto"/>
              <w:right w:val="single" w:sz="6" w:space="0" w:color="auto"/>
            </w:tcBorders>
          </w:tcPr>
          <w:p w14:paraId="7FE8C84E" w14:textId="77777777" w:rsidR="00CA23D0" w:rsidRPr="00E30642" w:rsidRDefault="00CA23D0" w:rsidP="00CA23D0">
            <w:pPr>
              <w:pStyle w:val="Texttabulky"/>
              <w:spacing w:line="240" w:lineRule="atLeast"/>
              <w:jc w:val="both"/>
              <w:rPr>
                <w:rFonts w:cs="Arial"/>
              </w:rPr>
            </w:pPr>
            <w:r w:rsidRPr="00E30642">
              <w:rPr>
                <w:rFonts w:cs="Arial"/>
              </w:rPr>
              <w:t>95 300</w:t>
            </w:r>
          </w:p>
        </w:tc>
      </w:tr>
      <w:tr w:rsidR="00CA23D0" w:rsidRPr="00E30642" w14:paraId="79E69361"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1EA39816" w14:textId="77777777" w:rsidR="00CA23D0" w:rsidRPr="00E30642" w:rsidRDefault="00CA23D0" w:rsidP="00CA23D0">
            <w:pPr>
              <w:pStyle w:val="Texttabulky"/>
              <w:spacing w:line="240" w:lineRule="atLeast"/>
              <w:jc w:val="both"/>
              <w:rPr>
                <w:rFonts w:cs="Arial"/>
              </w:rPr>
            </w:pPr>
            <w:r w:rsidRPr="00E30642">
              <w:rPr>
                <w:rFonts w:cs="Arial"/>
              </w:rPr>
              <w:t>Ostatní obce</w:t>
            </w:r>
          </w:p>
        </w:tc>
        <w:tc>
          <w:tcPr>
            <w:tcW w:w="1255" w:type="dxa"/>
            <w:tcBorders>
              <w:top w:val="single" w:sz="6" w:space="0" w:color="auto"/>
              <w:left w:val="single" w:sz="6" w:space="0" w:color="auto"/>
              <w:bottom w:val="single" w:sz="6" w:space="0" w:color="auto"/>
              <w:right w:val="single" w:sz="6" w:space="0" w:color="auto"/>
            </w:tcBorders>
          </w:tcPr>
          <w:p w14:paraId="050E4914" w14:textId="77777777" w:rsidR="00CA23D0" w:rsidRPr="00E30642" w:rsidRDefault="00CA23D0" w:rsidP="00CA23D0">
            <w:pPr>
              <w:pStyle w:val="Texttabulky"/>
              <w:spacing w:line="240" w:lineRule="atLeast"/>
              <w:jc w:val="both"/>
              <w:rPr>
                <w:rFonts w:cs="Arial"/>
              </w:rPr>
            </w:pPr>
            <w:r w:rsidRPr="00E30642">
              <w:rPr>
                <w:rFonts w:cs="Arial"/>
              </w:rPr>
              <w:t>22 524</w:t>
            </w:r>
          </w:p>
        </w:tc>
        <w:tc>
          <w:tcPr>
            <w:tcW w:w="1118" w:type="dxa"/>
            <w:tcBorders>
              <w:top w:val="single" w:sz="6" w:space="0" w:color="auto"/>
              <w:left w:val="single" w:sz="6" w:space="0" w:color="auto"/>
              <w:bottom w:val="single" w:sz="6" w:space="0" w:color="auto"/>
              <w:right w:val="single" w:sz="6" w:space="0" w:color="auto"/>
            </w:tcBorders>
          </w:tcPr>
          <w:p w14:paraId="101649E1" w14:textId="77777777" w:rsidR="00CA23D0" w:rsidRPr="00E30642" w:rsidRDefault="00CA23D0" w:rsidP="00CA23D0">
            <w:pPr>
              <w:pStyle w:val="Texttabulky"/>
              <w:spacing w:line="240" w:lineRule="atLeast"/>
              <w:jc w:val="both"/>
              <w:rPr>
                <w:rFonts w:cs="Arial"/>
              </w:rPr>
            </w:pPr>
            <w:r w:rsidRPr="00E30642">
              <w:rPr>
                <w:rFonts w:cs="Arial"/>
              </w:rPr>
              <w:t>22 500</w:t>
            </w:r>
          </w:p>
        </w:tc>
        <w:tc>
          <w:tcPr>
            <w:tcW w:w="1254" w:type="dxa"/>
            <w:tcBorders>
              <w:top w:val="single" w:sz="6" w:space="0" w:color="auto"/>
              <w:left w:val="single" w:sz="6" w:space="0" w:color="auto"/>
              <w:bottom w:val="single" w:sz="6" w:space="0" w:color="auto"/>
              <w:right w:val="single" w:sz="6" w:space="0" w:color="auto"/>
            </w:tcBorders>
          </w:tcPr>
          <w:p w14:paraId="421CE666" w14:textId="77777777" w:rsidR="00CA23D0" w:rsidRPr="00E30642" w:rsidRDefault="00CA23D0" w:rsidP="00CA23D0">
            <w:pPr>
              <w:pStyle w:val="Texttabulky"/>
              <w:spacing w:line="240" w:lineRule="atLeast"/>
              <w:jc w:val="both"/>
              <w:rPr>
                <w:rFonts w:cs="Arial"/>
              </w:rPr>
            </w:pPr>
            <w:r w:rsidRPr="00E30642">
              <w:rPr>
                <w:rFonts w:cs="Arial"/>
              </w:rPr>
              <w:t>22 700</w:t>
            </w:r>
          </w:p>
        </w:tc>
        <w:tc>
          <w:tcPr>
            <w:tcW w:w="859" w:type="dxa"/>
            <w:tcBorders>
              <w:top w:val="single" w:sz="6" w:space="0" w:color="auto"/>
              <w:left w:val="single" w:sz="6" w:space="0" w:color="auto"/>
              <w:bottom w:val="single" w:sz="6" w:space="0" w:color="auto"/>
              <w:right w:val="single" w:sz="6" w:space="0" w:color="auto"/>
            </w:tcBorders>
          </w:tcPr>
          <w:p w14:paraId="69BFB097" w14:textId="77777777" w:rsidR="00CA23D0" w:rsidRPr="00E30642" w:rsidRDefault="00CA23D0" w:rsidP="00CA23D0">
            <w:pPr>
              <w:pStyle w:val="Texttabulky"/>
              <w:spacing w:line="240" w:lineRule="atLeast"/>
              <w:jc w:val="both"/>
              <w:rPr>
                <w:rFonts w:cs="Arial"/>
              </w:rPr>
            </w:pPr>
            <w:r w:rsidRPr="00E30642">
              <w:rPr>
                <w:rFonts w:cs="Arial"/>
              </w:rPr>
              <w:t>22 700</w:t>
            </w:r>
          </w:p>
        </w:tc>
      </w:tr>
      <w:tr w:rsidR="00CA23D0" w:rsidRPr="00E30642" w14:paraId="282295DF"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1DB0DA1D" w14:textId="77777777" w:rsidR="00CA23D0" w:rsidRPr="00E30642" w:rsidRDefault="00CA23D0" w:rsidP="00CA23D0">
            <w:pPr>
              <w:pStyle w:val="Texttabulky"/>
              <w:spacing w:line="240" w:lineRule="atLeast"/>
              <w:jc w:val="both"/>
              <w:rPr>
                <w:rFonts w:cs="Arial"/>
              </w:rPr>
            </w:pPr>
            <w:r w:rsidRPr="00E30642">
              <w:rPr>
                <w:rFonts w:cs="Arial"/>
              </w:rPr>
              <w:t>Podíl měst v %</w:t>
            </w:r>
          </w:p>
        </w:tc>
        <w:tc>
          <w:tcPr>
            <w:tcW w:w="1255" w:type="dxa"/>
            <w:tcBorders>
              <w:top w:val="single" w:sz="6" w:space="0" w:color="auto"/>
              <w:left w:val="single" w:sz="6" w:space="0" w:color="auto"/>
              <w:bottom w:val="single" w:sz="6" w:space="0" w:color="auto"/>
              <w:right w:val="single" w:sz="6" w:space="0" w:color="auto"/>
            </w:tcBorders>
          </w:tcPr>
          <w:p w14:paraId="24AC5757" w14:textId="77777777" w:rsidR="00CA23D0" w:rsidRPr="00E30642" w:rsidRDefault="00CA23D0" w:rsidP="00CA23D0">
            <w:pPr>
              <w:pStyle w:val="Texttabulky"/>
              <w:spacing w:line="240" w:lineRule="atLeast"/>
              <w:jc w:val="both"/>
              <w:rPr>
                <w:rFonts w:cs="Arial"/>
              </w:rPr>
            </w:pPr>
            <w:r w:rsidRPr="00E30642">
              <w:rPr>
                <w:rFonts w:cs="Arial"/>
              </w:rPr>
              <w:t>81</w:t>
            </w:r>
          </w:p>
        </w:tc>
        <w:tc>
          <w:tcPr>
            <w:tcW w:w="1118" w:type="dxa"/>
            <w:tcBorders>
              <w:top w:val="single" w:sz="6" w:space="0" w:color="auto"/>
              <w:left w:val="single" w:sz="6" w:space="0" w:color="auto"/>
              <w:bottom w:val="single" w:sz="6" w:space="0" w:color="auto"/>
              <w:right w:val="single" w:sz="6" w:space="0" w:color="auto"/>
            </w:tcBorders>
          </w:tcPr>
          <w:p w14:paraId="029F5F0E" w14:textId="77777777" w:rsidR="00CA23D0" w:rsidRPr="00E30642" w:rsidRDefault="00CA23D0" w:rsidP="00CA23D0">
            <w:pPr>
              <w:pStyle w:val="Texttabulky"/>
              <w:spacing w:line="240" w:lineRule="atLeast"/>
              <w:jc w:val="both"/>
              <w:rPr>
                <w:rFonts w:cs="Arial"/>
              </w:rPr>
            </w:pPr>
            <w:r w:rsidRPr="00E30642">
              <w:rPr>
                <w:rFonts w:cs="Arial"/>
              </w:rPr>
              <w:t>81,01</w:t>
            </w:r>
          </w:p>
        </w:tc>
        <w:tc>
          <w:tcPr>
            <w:tcW w:w="1254" w:type="dxa"/>
            <w:tcBorders>
              <w:top w:val="single" w:sz="6" w:space="0" w:color="auto"/>
              <w:left w:val="single" w:sz="6" w:space="0" w:color="auto"/>
              <w:bottom w:val="single" w:sz="6" w:space="0" w:color="auto"/>
              <w:right w:val="single" w:sz="6" w:space="0" w:color="auto"/>
            </w:tcBorders>
          </w:tcPr>
          <w:p w14:paraId="370E4346" w14:textId="77777777" w:rsidR="00CA23D0" w:rsidRPr="00E30642" w:rsidRDefault="00CA23D0" w:rsidP="00CA23D0">
            <w:pPr>
              <w:pStyle w:val="Texttabulky"/>
              <w:spacing w:line="240" w:lineRule="atLeast"/>
              <w:jc w:val="both"/>
              <w:rPr>
                <w:rFonts w:cs="Arial"/>
              </w:rPr>
            </w:pPr>
            <w:r w:rsidRPr="00E30642">
              <w:rPr>
                <w:rFonts w:cs="Arial"/>
              </w:rPr>
              <w:t>81,07</w:t>
            </w:r>
          </w:p>
        </w:tc>
        <w:tc>
          <w:tcPr>
            <w:tcW w:w="859" w:type="dxa"/>
            <w:tcBorders>
              <w:top w:val="single" w:sz="6" w:space="0" w:color="auto"/>
              <w:left w:val="single" w:sz="6" w:space="0" w:color="auto"/>
              <w:bottom w:val="single" w:sz="6" w:space="0" w:color="auto"/>
              <w:right w:val="single" w:sz="6" w:space="0" w:color="auto"/>
            </w:tcBorders>
          </w:tcPr>
          <w:p w14:paraId="3937AE32" w14:textId="77777777" w:rsidR="00CA23D0" w:rsidRPr="00E30642" w:rsidRDefault="00CA23D0" w:rsidP="00CA23D0">
            <w:pPr>
              <w:pStyle w:val="Texttabulky"/>
              <w:spacing w:line="240" w:lineRule="atLeast"/>
              <w:jc w:val="both"/>
              <w:rPr>
                <w:rFonts w:cs="Arial"/>
              </w:rPr>
            </w:pPr>
            <w:r w:rsidRPr="00E30642">
              <w:rPr>
                <w:rFonts w:cs="Arial"/>
              </w:rPr>
              <w:t>80,76</w:t>
            </w:r>
          </w:p>
        </w:tc>
      </w:tr>
      <w:tr w:rsidR="00CA23D0" w:rsidRPr="00E30642" w14:paraId="389B8690" w14:textId="77777777" w:rsidTr="00CA23D0">
        <w:trPr>
          <w:jc w:val="center"/>
        </w:trPr>
        <w:tc>
          <w:tcPr>
            <w:tcW w:w="2105" w:type="dxa"/>
            <w:tcBorders>
              <w:top w:val="nil"/>
              <w:left w:val="single" w:sz="6" w:space="0" w:color="auto"/>
              <w:bottom w:val="single" w:sz="6" w:space="0" w:color="auto"/>
              <w:right w:val="single" w:sz="6" w:space="0" w:color="auto"/>
            </w:tcBorders>
          </w:tcPr>
          <w:p w14:paraId="51DC6075" w14:textId="77777777" w:rsidR="00CA23D0" w:rsidRPr="00E30642" w:rsidRDefault="00CA23D0" w:rsidP="00CA23D0">
            <w:pPr>
              <w:pStyle w:val="Zkladntext"/>
              <w:jc w:val="both"/>
              <w:rPr>
                <w:rFonts w:ascii="Arial" w:hAnsi="Arial" w:cs="Arial"/>
              </w:rPr>
            </w:pPr>
          </w:p>
        </w:tc>
        <w:tc>
          <w:tcPr>
            <w:tcW w:w="1255" w:type="dxa"/>
            <w:tcBorders>
              <w:top w:val="nil"/>
              <w:left w:val="single" w:sz="6" w:space="0" w:color="auto"/>
              <w:bottom w:val="single" w:sz="6" w:space="0" w:color="auto"/>
              <w:right w:val="single" w:sz="6" w:space="0" w:color="auto"/>
            </w:tcBorders>
          </w:tcPr>
          <w:p w14:paraId="0E6D372F" w14:textId="77777777" w:rsidR="00CA23D0" w:rsidRPr="00E30642" w:rsidRDefault="00CA23D0" w:rsidP="00CA23D0">
            <w:pPr>
              <w:pStyle w:val="Zkladntext"/>
              <w:jc w:val="both"/>
              <w:rPr>
                <w:rFonts w:ascii="Arial" w:hAnsi="Arial" w:cs="Arial"/>
              </w:rPr>
            </w:pPr>
          </w:p>
        </w:tc>
        <w:tc>
          <w:tcPr>
            <w:tcW w:w="1118" w:type="dxa"/>
            <w:tcBorders>
              <w:top w:val="single" w:sz="6" w:space="0" w:color="auto"/>
              <w:left w:val="single" w:sz="6" w:space="0" w:color="auto"/>
              <w:bottom w:val="single" w:sz="6" w:space="0" w:color="auto"/>
              <w:right w:val="single" w:sz="6" w:space="0" w:color="auto"/>
            </w:tcBorders>
          </w:tcPr>
          <w:p w14:paraId="0EEAAEEA" w14:textId="77777777" w:rsidR="00CA23D0" w:rsidRPr="00E30642" w:rsidRDefault="00CA23D0" w:rsidP="00CA23D0">
            <w:pPr>
              <w:pStyle w:val="Zkladntext"/>
              <w:jc w:val="both"/>
              <w:rPr>
                <w:rFonts w:ascii="Arial" w:hAnsi="Arial" w:cs="Arial"/>
              </w:rPr>
            </w:pPr>
          </w:p>
        </w:tc>
        <w:tc>
          <w:tcPr>
            <w:tcW w:w="1254" w:type="dxa"/>
            <w:tcBorders>
              <w:top w:val="single" w:sz="6" w:space="0" w:color="auto"/>
              <w:left w:val="single" w:sz="6" w:space="0" w:color="auto"/>
              <w:bottom w:val="single" w:sz="6" w:space="0" w:color="auto"/>
              <w:right w:val="single" w:sz="6" w:space="0" w:color="auto"/>
            </w:tcBorders>
          </w:tcPr>
          <w:p w14:paraId="5C44FA42" w14:textId="77777777" w:rsidR="00CA23D0" w:rsidRPr="00E30642" w:rsidRDefault="00CA23D0" w:rsidP="00CA23D0">
            <w:pPr>
              <w:pStyle w:val="Zkladntext"/>
              <w:jc w:val="both"/>
              <w:rPr>
                <w:rFonts w:ascii="Arial" w:hAnsi="Arial" w:cs="Arial"/>
              </w:rPr>
            </w:pPr>
          </w:p>
        </w:tc>
        <w:tc>
          <w:tcPr>
            <w:tcW w:w="859" w:type="dxa"/>
            <w:tcBorders>
              <w:top w:val="single" w:sz="6" w:space="0" w:color="auto"/>
              <w:left w:val="single" w:sz="6" w:space="0" w:color="auto"/>
              <w:bottom w:val="single" w:sz="6" w:space="0" w:color="auto"/>
              <w:right w:val="single" w:sz="6" w:space="0" w:color="auto"/>
            </w:tcBorders>
          </w:tcPr>
          <w:p w14:paraId="5D41991B" w14:textId="77777777" w:rsidR="00CA23D0" w:rsidRPr="00E30642" w:rsidRDefault="00CA23D0" w:rsidP="00CA23D0">
            <w:pPr>
              <w:pStyle w:val="Zkladntext"/>
              <w:jc w:val="both"/>
              <w:rPr>
                <w:rFonts w:ascii="Arial" w:hAnsi="Arial" w:cs="Arial"/>
              </w:rPr>
            </w:pPr>
          </w:p>
        </w:tc>
      </w:tr>
      <w:tr w:rsidR="00CA23D0" w:rsidRPr="00E30642" w14:paraId="78CA3B03"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41860F6A" w14:textId="77777777" w:rsidR="00CA23D0" w:rsidRPr="00E30642" w:rsidRDefault="00CA23D0" w:rsidP="00CA23D0">
            <w:pPr>
              <w:pStyle w:val="Texttabulky"/>
              <w:spacing w:line="240" w:lineRule="atLeast"/>
              <w:jc w:val="both"/>
              <w:rPr>
                <w:rFonts w:cs="Arial"/>
              </w:rPr>
            </w:pPr>
            <w:r w:rsidRPr="00E30642">
              <w:rPr>
                <w:rFonts w:cs="Arial"/>
              </w:rPr>
              <w:t>Ústecký kraj celkem</w:t>
            </w:r>
          </w:p>
        </w:tc>
        <w:tc>
          <w:tcPr>
            <w:tcW w:w="1255" w:type="dxa"/>
            <w:tcBorders>
              <w:top w:val="single" w:sz="6" w:space="0" w:color="auto"/>
              <w:left w:val="single" w:sz="6" w:space="0" w:color="auto"/>
              <w:bottom w:val="single" w:sz="6" w:space="0" w:color="auto"/>
              <w:right w:val="single" w:sz="6" w:space="0" w:color="auto"/>
            </w:tcBorders>
          </w:tcPr>
          <w:p w14:paraId="4F0A2BD3" w14:textId="77777777" w:rsidR="00CA23D0" w:rsidRPr="00E30642" w:rsidRDefault="00CA23D0" w:rsidP="00CA23D0">
            <w:pPr>
              <w:pStyle w:val="Texttabulky"/>
              <w:spacing w:line="240" w:lineRule="atLeast"/>
              <w:jc w:val="both"/>
              <w:rPr>
                <w:rFonts w:cs="Arial"/>
              </w:rPr>
            </w:pPr>
            <w:r w:rsidRPr="00E30642">
              <w:rPr>
                <w:rFonts w:cs="Arial"/>
              </w:rPr>
              <w:t>827 151</w:t>
            </w:r>
          </w:p>
        </w:tc>
        <w:tc>
          <w:tcPr>
            <w:tcW w:w="1118" w:type="dxa"/>
            <w:tcBorders>
              <w:top w:val="single" w:sz="6" w:space="0" w:color="auto"/>
              <w:left w:val="single" w:sz="6" w:space="0" w:color="auto"/>
              <w:bottom w:val="single" w:sz="6" w:space="0" w:color="auto"/>
              <w:right w:val="single" w:sz="6" w:space="0" w:color="auto"/>
            </w:tcBorders>
          </w:tcPr>
          <w:p w14:paraId="54402115" w14:textId="77777777" w:rsidR="00CA23D0" w:rsidRPr="00E30642" w:rsidRDefault="00CA23D0" w:rsidP="00CA23D0">
            <w:pPr>
              <w:pStyle w:val="Texttabulky"/>
              <w:spacing w:line="240" w:lineRule="atLeast"/>
              <w:jc w:val="both"/>
              <w:rPr>
                <w:rFonts w:cs="Arial"/>
              </w:rPr>
            </w:pPr>
            <w:r w:rsidRPr="00E30642">
              <w:rPr>
                <w:rFonts w:cs="Arial"/>
              </w:rPr>
              <w:t>826 300</w:t>
            </w:r>
          </w:p>
        </w:tc>
        <w:tc>
          <w:tcPr>
            <w:tcW w:w="1254" w:type="dxa"/>
            <w:tcBorders>
              <w:top w:val="single" w:sz="6" w:space="0" w:color="auto"/>
              <w:left w:val="single" w:sz="6" w:space="0" w:color="auto"/>
              <w:bottom w:val="single" w:sz="6" w:space="0" w:color="auto"/>
              <w:right w:val="single" w:sz="6" w:space="0" w:color="auto"/>
            </w:tcBorders>
          </w:tcPr>
          <w:p w14:paraId="3B41FDE4" w14:textId="77777777" w:rsidR="00CA23D0" w:rsidRPr="00E30642" w:rsidRDefault="00CA23D0" w:rsidP="00CA23D0">
            <w:pPr>
              <w:pStyle w:val="Texttabulky"/>
              <w:spacing w:line="240" w:lineRule="atLeast"/>
              <w:jc w:val="both"/>
              <w:rPr>
                <w:rFonts w:cs="Arial"/>
              </w:rPr>
            </w:pPr>
            <w:r w:rsidRPr="00E30642">
              <w:rPr>
                <w:rFonts w:cs="Arial"/>
              </w:rPr>
              <w:t>825 600</w:t>
            </w:r>
          </w:p>
        </w:tc>
        <w:tc>
          <w:tcPr>
            <w:tcW w:w="859" w:type="dxa"/>
            <w:tcBorders>
              <w:top w:val="single" w:sz="6" w:space="0" w:color="auto"/>
              <w:left w:val="single" w:sz="6" w:space="0" w:color="auto"/>
              <w:bottom w:val="single" w:sz="6" w:space="0" w:color="auto"/>
              <w:right w:val="single" w:sz="6" w:space="0" w:color="auto"/>
            </w:tcBorders>
          </w:tcPr>
          <w:p w14:paraId="6DB5F6CE" w14:textId="77777777" w:rsidR="00CA23D0" w:rsidRPr="00E30642" w:rsidRDefault="00CA23D0" w:rsidP="00CA23D0">
            <w:pPr>
              <w:pStyle w:val="Texttabulky"/>
              <w:spacing w:line="240" w:lineRule="atLeast"/>
              <w:jc w:val="both"/>
              <w:rPr>
                <w:rFonts w:cs="Arial"/>
              </w:rPr>
            </w:pPr>
            <w:r w:rsidRPr="00E30642">
              <w:rPr>
                <w:rFonts w:cs="Arial"/>
              </w:rPr>
              <w:t>824 000</w:t>
            </w:r>
          </w:p>
        </w:tc>
      </w:tr>
      <w:tr w:rsidR="00CA23D0" w:rsidRPr="00E30642" w14:paraId="22062FAD"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0146DDCD" w14:textId="77777777" w:rsidR="00CA23D0" w:rsidRPr="00E30642" w:rsidRDefault="00CA23D0" w:rsidP="00CA23D0">
            <w:pPr>
              <w:pStyle w:val="Texttabulky"/>
              <w:spacing w:line="240" w:lineRule="atLeast"/>
              <w:jc w:val="both"/>
              <w:rPr>
                <w:rFonts w:cs="Arial"/>
              </w:rPr>
            </w:pPr>
            <w:r w:rsidRPr="00E30642">
              <w:rPr>
                <w:rFonts w:cs="Arial"/>
              </w:rPr>
              <w:t>Města s 10000 a více obyvateli</w:t>
            </w:r>
          </w:p>
        </w:tc>
        <w:tc>
          <w:tcPr>
            <w:tcW w:w="1255" w:type="dxa"/>
            <w:tcBorders>
              <w:top w:val="single" w:sz="6" w:space="0" w:color="auto"/>
              <w:left w:val="single" w:sz="6" w:space="0" w:color="auto"/>
              <w:bottom w:val="single" w:sz="6" w:space="0" w:color="auto"/>
              <w:right w:val="single" w:sz="6" w:space="0" w:color="auto"/>
            </w:tcBorders>
          </w:tcPr>
          <w:p w14:paraId="16B7B0C1" w14:textId="77777777" w:rsidR="00CA23D0" w:rsidRPr="00E30642" w:rsidRDefault="00CA23D0" w:rsidP="00CA23D0">
            <w:pPr>
              <w:pStyle w:val="Texttabulky"/>
              <w:spacing w:line="240" w:lineRule="atLeast"/>
              <w:jc w:val="both"/>
              <w:rPr>
                <w:rFonts w:cs="Arial"/>
              </w:rPr>
            </w:pPr>
            <w:r w:rsidRPr="00E30642">
              <w:rPr>
                <w:rFonts w:cs="Arial"/>
              </w:rPr>
              <w:t>543 038</w:t>
            </w:r>
          </w:p>
        </w:tc>
        <w:tc>
          <w:tcPr>
            <w:tcW w:w="1118" w:type="dxa"/>
            <w:tcBorders>
              <w:top w:val="single" w:sz="6" w:space="0" w:color="auto"/>
              <w:left w:val="single" w:sz="6" w:space="0" w:color="auto"/>
              <w:bottom w:val="single" w:sz="6" w:space="0" w:color="auto"/>
              <w:right w:val="single" w:sz="6" w:space="0" w:color="auto"/>
            </w:tcBorders>
          </w:tcPr>
          <w:p w14:paraId="2004A732" w14:textId="77777777" w:rsidR="00CA23D0" w:rsidRPr="00E30642" w:rsidRDefault="00CA23D0" w:rsidP="00CA23D0">
            <w:pPr>
              <w:pStyle w:val="Texttabulky"/>
              <w:spacing w:line="240" w:lineRule="atLeast"/>
              <w:jc w:val="both"/>
              <w:rPr>
                <w:rFonts w:cs="Arial"/>
              </w:rPr>
            </w:pPr>
            <w:r w:rsidRPr="00E30642">
              <w:rPr>
                <w:rFonts w:cs="Arial"/>
              </w:rPr>
              <w:t>541 650</w:t>
            </w:r>
          </w:p>
        </w:tc>
        <w:tc>
          <w:tcPr>
            <w:tcW w:w="1254" w:type="dxa"/>
            <w:tcBorders>
              <w:top w:val="single" w:sz="6" w:space="0" w:color="auto"/>
              <w:left w:val="single" w:sz="6" w:space="0" w:color="auto"/>
              <w:bottom w:val="single" w:sz="6" w:space="0" w:color="auto"/>
              <w:right w:val="single" w:sz="6" w:space="0" w:color="auto"/>
            </w:tcBorders>
          </w:tcPr>
          <w:p w14:paraId="6D8EE84A" w14:textId="77777777" w:rsidR="00CA23D0" w:rsidRPr="00E30642" w:rsidRDefault="00CA23D0" w:rsidP="00CA23D0">
            <w:pPr>
              <w:pStyle w:val="Texttabulky"/>
              <w:spacing w:line="240" w:lineRule="atLeast"/>
              <w:jc w:val="both"/>
              <w:rPr>
                <w:rFonts w:cs="Arial"/>
              </w:rPr>
            </w:pPr>
            <w:r w:rsidRPr="00E30642">
              <w:rPr>
                <w:rFonts w:cs="Arial"/>
              </w:rPr>
              <w:t>538 100</w:t>
            </w:r>
          </w:p>
        </w:tc>
        <w:tc>
          <w:tcPr>
            <w:tcW w:w="859" w:type="dxa"/>
            <w:tcBorders>
              <w:top w:val="single" w:sz="6" w:space="0" w:color="auto"/>
              <w:left w:val="single" w:sz="6" w:space="0" w:color="auto"/>
              <w:bottom w:val="single" w:sz="6" w:space="0" w:color="auto"/>
              <w:right w:val="single" w:sz="6" w:space="0" w:color="auto"/>
            </w:tcBorders>
          </w:tcPr>
          <w:p w14:paraId="1E724D24" w14:textId="77777777" w:rsidR="00CA23D0" w:rsidRPr="00E30642" w:rsidRDefault="00CA23D0" w:rsidP="00CA23D0">
            <w:pPr>
              <w:pStyle w:val="Texttabulky"/>
              <w:spacing w:line="240" w:lineRule="atLeast"/>
              <w:jc w:val="both"/>
              <w:rPr>
                <w:rFonts w:cs="Arial"/>
              </w:rPr>
            </w:pPr>
            <w:r w:rsidRPr="00E30642">
              <w:rPr>
                <w:rFonts w:cs="Arial"/>
              </w:rPr>
              <w:t>534 850</w:t>
            </w:r>
          </w:p>
        </w:tc>
      </w:tr>
      <w:tr w:rsidR="00CA23D0" w:rsidRPr="00E30642" w14:paraId="7A09DD34"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625FD244" w14:textId="77777777" w:rsidR="00CA23D0" w:rsidRPr="00E30642" w:rsidRDefault="00CA23D0" w:rsidP="00CA23D0">
            <w:pPr>
              <w:pStyle w:val="Texttabulky"/>
              <w:spacing w:line="240" w:lineRule="atLeast"/>
              <w:jc w:val="both"/>
              <w:rPr>
                <w:rFonts w:cs="Arial"/>
              </w:rPr>
            </w:pPr>
            <w:r w:rsidRPr="00E30642">
              <w:rPr>
                <w:rFonts w:cs="Arial"/>
              </w:rPr>
              <w:t>Ostatní obce</w:t>
            </w:r>
          </w:p>
        </w:tc>
        <w:tc>
          <w:tcPr>
            <w:tcW w:w="1255" w:type="dxa"/>
            <w:tcBorders>
              <w:top w:val="single" w:sz="6" w:space="0" w:color="auto"/>
              <w:left w:val="single" w:sz="6" w:space="0" w:color="auto"/>
              <w:bottom w:val="single" w:sz="6" w:space="0" w:color="auto"/>
              <w:right w:val="single" w:sz="6" w:space="0" w:color="auto"/>
            </w:tcBorders>
          </w:tcPr>
          <w:p w14:paraId="1112736A" w14:textId="77777777" w:rsidR="00CA23D0" w:rsidRPr="00E30642" w:rsidRDefault="00CA23D0" w:rsidP="00CA23D0">
            <w:pPr>
              <w:pStyle w:val="Texttabulky"/>
              <w:spacing w:line="240" w:lineRule="atLeast"/>
              <w:jc w:val="both"/>
              <w:rPr>
                <w:rFonts w:cs="Arial"/>
              </w:rPr>
            </w:pPr>
            <w:r w:rsidRPr="00E30642">
              <w:rPr>
                <w:rFonts w:cs="Arial"/>
              </w:rPr>
              <w:t>284 113</w:t>
            </w:r>
          </w:p>
        </w:tc>
        <w:tc>
          <w:tcPr>
            <w:tcW w:w="1118" w:type="dxa"/>
            <w:tcBorders>
              <w:top w:val="single" w:sz="6" w:space="0" w:color="auto"/>
              <w:left w:val="single" w:sz="6" w:space="0" w:color="auto"/>
              <w:bottom w:val="single" w:sz="6" w:space="0" w:color="auto"/>
              <w:right w:val="single" w:sz="6" w:space="0" w:color="auto"/>
            </w:tcBorders>
          </w:tcPr>
          <w:p w14:paraId="0BE274E4" w14:textId="77777777" w:rsidR="00CA23D0" w:rsidRPr="00E30642" w:rsidRDefault="00CA23D0" w:rsidP="00CA23D0">
            <w:pPr>
              <w:pStyle w:val="Texttabulky"/>
              <w:spacing w:line="240" w:lineRule="atLeast"/>
              <w:jc w:val="both"/>
              <w:rPr>
                <w:rFonts w:cs="Arial"/>
              </w:rPr>
            </w:pPr>
            <w:r w:rsidRPr="00E30642">
              <w:rPr>
                <w:rFonts w:cs="Arial"/>
              </w:rPr>
              <w:t>284 650</w:t>
            </w:r>
          </w:p>
        </w:tc>
        <w:tc>
          <w:tcPr>
            <w:tcW w:w="1254" w:type="dxa"/>
            <w:tcBorders>
              <w:top w:val="single" w:sz="6" w:space="0" w:color="auto"/>
              <w:left w:val="single" w:sz="6" w:space="0" w:color="auto"/>
              <w:bottom w:val="single" w:sz="6" w:space="0" w:color="auto"/>
              <w:right w:val="single" w:sz="6" w:space="0" w:color="auto"/>
            </w:tcBorders>
          </w:tcPr>
          <w:p w14:paraId="09AAF7F8" w14:textId="77777777" w:rsidR="00CA23D0" w:rsidRPr="00E30642" w:rsidRDefault="00CA23D0" w:rsidP="00CA23D0">
            <w:pPr>
              <w:pStyle w:val="Texttabulky"/>
              <w:spacing w:line="240" w:lineRule="atLeast"/>
              <w:jc w:val="both"/>
              <w:rPr>
                <w:rFonts w:cs="Arial"/>
              </w:rPr>
            </w:pPr>
            <w:r w:rsidRPr="00E30642">
              <w:rPr>
                <w:rFonts w:cs="Arial"/>
              </w:rPr>
              <w:t>287 500</w:t>
            </w:r>
          </w:p>
        </w:tc>
        <w:tc>
          <w:tcPr>
            <w:tcW w:w="859" w:type="dxa"/>
            <w:tcBorders>
              <w:top w:val="single" w:sz="6" w:space="0" w:color="auto"/>
              <w:left w:val="single" w:sz="6" w:space="0" w:color="auto"/>
              <w:bottom w:val="single" w:sz="6" w:space="0" w:color="auto"/>
              <w:right w:val="single" w:sz="6" w:space="0" w:color="auto"/>
            </w:tcBorders>
          </w:tcPr>
          <w:p w14:paraId="7EF78DDA" w14:textId="77777777" w:rsidR="00CA23D0" w:rsidRPr="00E30642" w:rsidRDefault="00CA23D0" w:rsidP="00CA23D0">
            <w:pPr>
              <w:pStyle w:val="Texttabulky"/>
              <w:spacing w:line="240" w:lineRule="atLeast"/>
              <w:jc w:val="both"/>
              <w:rPr>
                <w:rFonts w:cs="Arial"/>
              </w:rPr>
            </w:pPr>
            <w:r w:rsidRPr="00E30642">
              <w:rPr>
                <w:rFonts w:cs="Arial"/>
              </w:rPr>
              <w:t>289 150</w:t>
            </w:r>
          </w:p>
        </w:tc>
      </w:tr>
      <w:tr w:rsidR="00CA23D0" w:rsidRPr="00E30642" w14:paraId="3A537DCE" w14:textId="77777777" w:rsidTr="00CA23D0">
        <w:trPr>
          <w:jc w:val="center"/>
        </w:trPr>
        <w:tc>
          <w:tcPr>
            <w:tcW w:w="2105" w:type="dxa"/>
            <w:tcBorders>
              <w:top w:val="single" w:sz="6" w:space="0" w:color="auto"/>
              <w:left w:val="single" w:sz="6" w:space="0" w:color="auto"/>
              <w:bottom w:val="single" w:sz="6" w:space="0" w:color="auto"/>
              <w:right w:val="single" w:sz="6" w:space="0" w:color="auto"/>
            </w:tcBorders>
          </w:tcPr>
          <w:p w14:paraId="6777FB37" w14:textId="77777777" w:rsidR="00CA23D0" w:rsidRPr="00E30642" w:rsidRDefault="00CA23D0" w:rsidP="00CA23D0">
            <w:pPr>
              <w:pStyle w:val="Texttabulky"/>
              <w:spacing w:line="240" w:lineRule="atLeast"/>
              <w:jc w:val="both"/>
              <w:rPr>
                <w:rFonts w:cs="Arial"/>
              </w:rPr>
            </w:pPr>
            <w:r w:rsidRPr="00E30642">
              <w:rPr>
                <w:rFonts w:cs="Arial"/>
              </w:rPr>
              <w:t>Podíl měst v %</w:t>
            </w:r>
          </w:p>
        </w:tc>
        <w:tc>
          <w:tcPr>
            <w:tcW w:w="1255" w:type="dxa"/>
            <w:tcBorders>
              <w:top w:val="single" w:sz="6" w:space="0" w:color="auto"/>
              <w:left w:val="single" w:sz="6" w:space="0" w:color="auto"/>
              <w:bottom w:val="single" w:sz="6" w:space="0" w:color="auto"/>
              <w:right w:val="single" w:sz="6" w:space="0" w:color="auto"/>
            </w:tcBorders>
          </w:tcPr>
          <w:p w14:paraId="00ED5968" w14:textId="77777777" w:rsidR="00CA23D0" w:rsidRPr="00E30642" w:rsidRDefault="00CA23D0" w:rsidP="00CA23D0">
            <w:pPr>
              <w:pStyle w:val="Texttabulky"/>
              <w:spacing w:line="240" w:lineRule="atLeast"/>
              <w:jc w:val="both"/>
              <w:rPr>
                <w:rFonts w:cs="Arial"/>
              </w:rPr>
            </w:pPr>
            <w:r w:rsidRPr="00E30642">
              <w:rPr>
                <w:rFonts w:cs="Arial"/>
              </w:rPr>
              <w:t>65,65</w:t>
            </w:r>
          </w:p>
        </w:tc>
        <w:tc>
          <w:tcPr>
            <w:tcW w:w="1118" w:type="dxa"/>
            <w:tcBorders>
              <w:top w:val="single" w:sz="6" w:space="0" w:color="auto"/>
              <w:left w:val="single" w:sz="6" w:space="0" w:color="auto"/>
              <w:bottom w:val="single" w:sz="6" w:space="0" w:color="auto"/>
              <w:right w:val="single" w:sz="6" w:space="0" w:color="auto"/>
            </w:tcBorders>
          </w:tcPr>
          <w:p w14:paraId="2C8B97E4" w14:textId="77777777" w:rsidR="00CA23D0" w:rsidRPr="00E30642" w:rsidRDefault="00CA23D0" w:rsidP="00CA23D0">
            <w:pPr>
              <w:pStyle w:val="Texttabulky"/>
              <w:spacing w:line="240" w:lineRule="atLeast"/>
              <w:jc w:val="both"/>
              <w:rPr>
                <w:rFonts w:cs="Arial"/>
              </w:rPr>
            </w:pPr>
            <w:r w:rsidRPr="00E30642">
              <w:rPr>
                <w:rFonts w:cs="Arial"/>
              </w:rPr>
              <w:t>65,55</w:t>
            </w:r>
          </w:p>
        </w:tc>
        <w:tc>
          <w:tcPr>
            <w:tcW w:w="1254" w:type="dxa"/>
            <w:tcBorders>
              <w:top w:val="single" w:sz="6" w:space="0" w:color="auto"/>
              <w:left w:val="single" w:sz="6" w:space="0" w:color="auto"/>
              <w:bottom w:val="single" w:sz="6" w:space="0" w:color="auto"/>
              <w:right w:val="single" w:sz="6" w:space="0" w:color="auto"/>
            </w:tcBorders>
          </w:tcPr>
          <w:p w14:paraId="024EC6A5" w14:textId="77777777" w:rsidR="00CA23D0" w:rsidRPr="00E30642" w:rsidRDefault="00CA23D0" w:rsidP="00CA23D0">
            <w:pPr>
              <w:pStyle w:val="Texttabulky"/>
              <w:spacing w:line="240" w:lineRule="atLeast"/>
              <w:jc w:val="both"/>
              <w:rPr>
                <w:rFonts w:cs="Arial"/>
              </w:rPr>
            </w:pPr>
            <w:r w:rsidRPr="00E30642">
              <w:rPr>
                <w:rFonts w:cs="Arial"/>
              </w:rPr>
              <w:t>65,18</w:t>
            </w:r>
          </w:p>
        </w:tc>
        <w:tc>
          <w:tcPr>
            <w:tcW w:w="859" w:type="dxa"/>
            <w:tcBorders>
              <w:top w:val="single" w:sz="6" w:space="0" w:color="auto"/>
              <w:left w:val="single" w:sz="6" w:space="0" w:color="auto"/>
              <w:bottom w:val="single" w:sz="6" w:space="0" w:color="auto"/>
              <w:right w:val="single" w:sz="6" w:space="0" w:color="auto"/>
            </w:tcBorders>
          </w:tcPr>
          <w:p w14:paraId="23276B7E" w14:textId="77777777" w:rsidR="00CA23D0" w:rsidRPr="00E30642" w:rsidRDefault="00CA23D0" w:rsidP="00CA23D0">
            <w:pPr>
              <w:pStyle w:val="Texttabulky"/>
              <w:spacing w:line="240" w:lineRule="atLeast"/>
              <w:jc w:val="both"/>
              <w:rPr>
                <w:rFonts w:cs="Arial"/>
              </w:rPr>
            </w:pPr>
            <w:r w:rsidRPr="00E30642">
              <w:rPr>
                <w:rFonts w:cs="Arial"/>
              </w:rPr>
              <w:t>64,91</w:t>
            </w:r>
          </w:p>
        </w:tc>
      </w:tr>
    </w:tbl>
    <w:p w14:paraId="300E2370" w14:textId="77777777" w:rsidR="00CA23D0" w:rsidRPr="00E30642" w:rsidRDefault="00CA23D0" w:rsidP="00CA23D0">
      <w:pPr>
        <w:autoSpaceDE w:val="0"/>
        <w:autoSpaceDN w:val="0"/>
        <w:adjustRightInd w:val="0"/>
        <w:jc w:val="both"/>
        <w:rPr>
          <w:rFonts w:ascii="Arial" w:hAnsi="Arial" w:cs="Arial"/>
          <w:sz w:val="20"/>
        </w:rPr>
      </w:pPr>
    </w:p>
    <w:p w14:paraId="29724885"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rPr>
        <w:tab/>
      </w:r>
    </w:p>
    <w:p w14:paraId="2054DF13" w14:textId="77777777" w:rsidR="00D3579D" w:rsidRDefault="00D3579D" w:rsidP="00CA23D0">
      <w:pPr>
        <w:pStyle w:val="Zkladntext"/>
        <w:spacing w:before="120" w:after="0" w:line="288" w:lineRule="auto"/>
        <w:ind w:firstLine="709"/>
        <w:jc w:val="both"/>
        <w:rPr>
          <w:rFonts w:ascii="Arial" w:hAnsi="Arial" w:cs="Arial"/>
          <w:sz w:val="22"/>
          <w:szCs w:val="22"/>
        </w:rPr>
      </w:pPr>
    </w:p>
    <w:p w14:paraId="72FE9DB0" w14:textId="77777777" w:rsidR="00D3579D" w:rsidRDefault="00D3579D" w:rsidP="00CA23D0">
      <w:pPr>
        <w:pStyle w:val="Zkladntext"/>
        <w:spacing w:before="120" w:after="0" w:line="288" w:lineRule="auto"/>
        <w:ind w:firstLine="709"/>
        <w:jc w:val="both"/>
        <w:rPr>
          <w:rFonts w:ascii="Arial" w:hAnsi="Arial" w:cs="Arial"/>
          <w:sz w:val="22"/>
          <w:szCs w:val="22"/>
        </w:rPr>
      </w:pPr>
    </w:p>
    <w:p w14:paraId="2CF45536" w14:textId="77777777" w:rsidR="00D3579D" w:rsidRDefault="00D3579D" w:rsidP="00CA23D0">
      <w:pPr>
        <w:pStyle w:val="Zkladntext"/>
        <w:spacing w:before="120" w:after="0" w:line="288" w:lineRule="auto"/>
        <w:ind w:firstLine="709"/>
        <w:jc w:val="both"/>
        <w:rPr>
          <w:rFonts w:ascii="Arial" w:hAnsi="Arial" w:cs="Arial"/>
          <w:sz w:val="22"/>
          <w:szCs w:val="22"/>
        </w:rPr>
      </w:pPr>
    </w:p>
    <w:p w14:paraId="3475BE3A" w14:textId="77777777" w:rsidR="00D3579D" w:rsidRDefault="00D3579D" w:rsidP="00CA23D0">
      <w:pPr>
        <w:pStyle w:val="Zkladntext"/>
        <w:spacing w:before="120" w:after="0" w:line="288" w:lineRule="auto"/>
        <w:ind w:firstLine="709"/>
        <w:jc w:val="both"/>
        <w:rPr>
          <w:rFonts w:ascii="Arial" w:hAnsi="Arial" w:cs="Arial"/>
          <w:sz w:val="22"/>
          <w:szCs w:val="22"/>
        </w:rPr>
      </w:pPr>
    </w:p>
    <w:p w14:paraId="240F8719" w14:textId="77777777" w:rsidR="00D3579D" w:rsidRDefault="00D3579D" w:rsidP="00CA23D0">
      <w:pPr>
        <w:pStyle w:val="Zkladntext"/>
        <w:spacing w:before="120" w:after="0" w:line="288" w:lineRule="auto"/>
        <w:ind w:firstLine="709"/>
        <w:jc w:val="both"/>
        <w:rPr>
          <w:rFonts w:ascii="Arial" w:hAnsi="Arial" w:cs="Arial"/>
          <w:sz w:val="22"/>
          <w:szCs w:val="22"/>
        </w:rPr>
      </w:pPr>
    </w:p>
    <w:p w14:paraId="02BE7D43" w14:textId="77777777" w:rsidR="00D3579D" w:rsidRDefault="00D3579D" w:rsidP="00CA23D0">
      <w:pPr>
        <w:pStyle w:val="Zkladntext"/>
        <w:spacing w:before="120" w:after="0" w:line="288" w:lineRule="auto"/>
        <w:ind w:firstLine="709"/>
        <w:jc w:val="both"/>
        <w:rPr>
          <w:rFonts w:ascii="Arial" w:hAnsi="Arial" w:cs="Arial"/>
          <w:sz w:val="22"/>
          <w:szCs w:val="22"/>
        </w:rPr>
      </w:pPr>
    </w:p>
    <w:p w14:paraId="60D82923" w14:textId="77777777" w:rsidR="00D3579D" w:rsidRDefault="00D3579D" w:rsidP="00CA23D0">
      <w:pPr>
        <w:pStyle w:val="Zkladntext"/>
        <w:spacing w:before="120" w:after="0" w:line="288" w:lineRule="auto"/>
        <w:ind w:firstLine="709"/>
        <w:jc w:val="both"/>
        <w:rPr>
          <w:rFonts w:ascii="Arial" w:hAnsi="Arial" w:cs="Arial"/>
          <w:sz w:val="22"/>
          <w:szCs w:val="22"/>
        </w:rPr>
      </w:pPr>
    </w:p>
    <w:p w14:paraId="5FAF0D9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Pro jiné potřeby byl na základě projekce obyvatel vytvořen model možného rozložení obyvatel v obcích okresu. V rámci návrhu územního plánu města Děčín je tento model uveden proto, aby byl znám rámec, ve kterém se dále uvedené úvahy o demografickém růstu města mohou a zřejmě i budou ubírat. Z  modelu rozložení obyvatel vyplývá, že i nadále bude město Děčín jednoznačně největším v okrese.</w:t>
      </w:r>
    </w:p>
    <w:p w14:paraId="59A93D95" w14:textId="77777777" w:rsidR="00CA23D0" w:rsidRPr="00E30642" w:rsidRDefault="00CA23D0" w:rsidP="00CA23D0">
      <w:pPr>
        <w:pStyle w:val="Zkladntext"/>
        <w:spacing w:line="240" w:lineRule="atLeast"/>
        <w:jc w:val="both"/>
        <w:rPr>
          <w:rFonts w:ascii="Arial" w:hAnsi="Arial" w:cs="Arial"/>
        </w:rPr>
      </w:pPr>
    </w:p>
    <w:p w14:paraId="4CAC7444"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Model rozložení obyvatelstva v obcích okresu Děčín</w:t>
      </w:r>
    </w:p>
    <w:tbl>
      <w:tblPr>
        <w:tblW w:w="0" w:type="auto"/>
        <w:tblInd w:w="8" w:type="dxa"/>
        <w:tblLayout w:type="fixed"/>
        <w:tblCellMar>
          <w:left w:w="5" w:type="dxa"/>
          <w:right w:w="5" w:type="dxa"/>
        </w:tblCellMar>
        <w:tblLook w:val="0000" w:firstRow="0" w:lastRow="0" w:firstColumn="0" w:lastColumn="0" w:noHBand="0" w:noVBand="0"/>
      </w:tblPr>
      <w:tblGrid>
        <w:gridCol w:w="1985"/>
        <w:gridCol w:w="1414"/>
        <w:gridCol w:w="1417"/>
        <w:gridCol w:w="1418"/>
        <w:gridCol w:w="1417"/>
        <w:gridCol w:w="1418"/>
      </w:tblGrid>
      <w:tr w:rsidR="00CA23D0" w:rsidRPr="00E30642" w14:paraId="2F2744E3" w14:textId="77777777" w:rsidTr="00CA23D0">
        <w:tc>
          <w:tcPr>
            <w:tcW w:w="1985" w:type="dxa"/>
            <w:tcBorders>
              <w:top w:val="single" w:sz="6" w:space="0" w:color="auto"/>
              <w:left w:val="single" w:sz="6" w:space="0" w:color="auto"/>
              <w:bottom w:val="single" w:sz="6" w:space="0" w:color="auto"/>
              <w:right w:val="single" w:sz="6" w:space="0" w:color="auto"/>
            </w:tcBorders>
          </w:tcPr>
          <w:p w14:paraId="0EF52734" w14:textId="77777777" w:rsidR="00CA23D0" w:rsidRPr="00E30642" w:rsidRDefault="00CA23D0" w:rsidP="00CA23D0">
            <w:pPr>
              <w:pStyle w:val="Texttabulky"/>
              <w:spacing w:line="240" w:lineRule="atLeast"/>
              <w:jc w:val="both"/>
              <w:rPr>
                <w:rFonts w:cs="Arial"/>
              </w:rPr>
            </w:pPr>
            <w:r w:rsidRPr="00E30642">
              <w:rPr>
                <w:rFonts w:cs="Arial"/>
                <w:b/>
                <w:bCs/>
              </w:rPr>
              <w:t>Obec</w:t>
            </w:r>
          </w:p>
        </w:tc>
        <w:tc>
          <w:tcPr>
            <w:tcW w:w="1414" w:type="dxa"/>
            <w:tcBorders>
              <w:top w:val="single" w:sz="6" w:space="0" w:color="auto"/>
              <w:left w:val="single" w:sz="6" w:space="0" w:color="auto"/>
              <w:bottom w:val="single" w:sz="6" w:space="0" w:color="auto"/>
              <w:right w:val="single" w:sz="6" w:space="0" w:color="auto"/>
            </w:tcBorders>
          </w:tcPr>
          <w:p w14:paraId="6DEDA8D7" w14:textId="77777777" w:rsidR="00CA23D0" w:rsidRPr="00E30642" w:rsidRDefault="00CA23D0" w:rsidP="00CA23D0">
            <w:pPr>
              <w:pStyle w:val="Texttabulky"/>
              <w:spacing w:line="240" w:lineRule="atLeast"/>
              <w:jc w:val="both"/>
              <w:rPr>
                <w:rFonts w:cs="Arial"/>
              </w:rPr>
            </w:pPr>
            <w:r w:rsidRPr="00E30642">
              <w:rPr>
                <w:rFonts w:cs="Arial"/>
                <w:b/>
                <w:bCs/>
              </w:rPr>
              <w:t>výměra v ha</w:t>
            </w:r>
          </w:p>
        </w:tc>
        <w:tc>
          <w:tcPr>
            <w:tcW w:w="1417" w:type="dxa"/>
            <w:tcBorders>
              <w:top w:val="single" w:sz="6" w:space="0" w:color="auto"/>
              <w:left w:val="single" w:sz="6" w:space="0" w:color="auto"/>
              <w:bottom w:val="single" w:sz="6" w:space="0" w:color="auto"/>
              <w:right w:val="single" w:sz="6" w:space="0" w:color="auto"/>
            </w:tcBorders>
          </w:tcPr>
          <w:p w14:paraId="51732DBA" w14:textId="77777777" w:rsidR="00CA23D0" w:rsidRPr="00E30642" w:rsidRDefault="00CA23D0" w:rsidP="00CA23D0">
            <w:pPr>
              <w:pStyle w:val="Texttabulky"/>
              <w:spacing w:line="240" w:lineRule="atLeast"/>
              <w:jc w:val="both"/>
              <w:rPr>
                <w:rFonts w:cs="Arial"/>
              </w:rPr>
            </w:pPr>
            <w:r w:rsidRPr="00E30642">
              <w:rPr>
                <w:rFonts w:cs="Arial"/>
                <w:b/>
                <w:bCs/>
              </w:rPr>
              <w:t>obyvatelstvo 1991</w:t>
            </w:r>
          </w:p>
        </w:tc>
        <w:tc>
          <w:tcPr>
            <w:tcW w:w="1418" w:type="dxa"/>
            <w:tcBorders>
              <w:top w:val="single" w:sz="6" w:space="0" w:color="auto"/>
              <w:left w:val="single" w:sz="6" w:space="0" w:color="auto"/>
              <w:bottom w:val="single" w:sz="6" w:space="0" w:color="auto"/>
              <w:right w:val="single" w:sz="6" w:space="0" w:color="auto"/>
            </w:tcBorders>
          </w:tcPr>
          <w:p w14:paraId="4AAE0885" w14:textId="77777777" w:rsidR="00CA23D0" w:rsidRPr="00E30642" w:rsidRDefault="00CA23D0" w:rsidP="00CA23D0">
            <w:pPr>
              <w:pStyle w:val="Texttabulky"/>
              <w:spacing w:line="240" w:lineRule="atLeast"/>
              <w:jc w:val="both"/>
              <w:rPr>
                <w:rFonts w:cs="Arial"/>
              </w:rPr>
            </w:pPr>
            <w:r w:rsidRPr="00E30642">
              <w:rPr>
                <w:rFonts w:cs="Arial"/>
                <w:b/>
                <w:bCs/>
              </w:rPr>
              <w:t>obyvatelstvo 1999</w:t>
            </w:r>
          </w:p>
        </w:tc>
        <w:tc>
          <w:tcPr>
            <w:tcW w:w="1417" w:type="dxa"/>
            <w:tcBorders>
              <w:top w:val="single" w:sz="6" w:space="0" w:color="auto"/>
              <w:left w:val="single" w:sz="6" w:space="0" w:color="auto"/>
              <w:bottom w:val="single" w:sz="6" w:space="0" w:color="auto"/>
              <w:right w:val="single" w:sz="6" w:space="0" w:color="auto"/>
            </w:tcBorders>
          </w:tcPr>
          <w:p w14:paraId="1189A8E4" w14:textId="77777777" w:rsidR="00CA23D0" w:rsidRPr="00E30642" w:rsidRDefault="00CA23D0" w:rsidP="00CA23D0">
            <w:pPr>
              <w:pStyle w:val="Texttabulky"/>
              <w:spacing w:line="240" w:lineRule="atLeast"/>
              <w:jc w:val="both"/>
              <w:rPr>
                <w:rFonts w:cs="Arial"/>
              </w:rPr>
            </w:pPr>
            <w:r w:rsidRPr="00E30642">
              <w:rPr>
                <w:rFonts w:cs="Arial"/>
                <w:b/>
                <w:bCs/>
              </w:rPr>
              <w:t>obyvatelstvo 2010</w:t>
            </w:r>
          </w:p>
        </w:tc>
        <w:tc>
          <w:tcPr>
            <w:tcW w:w="1418" w:type="dxa"/>
            <w:tcBorders>
              <w:top w:val="single" w:sz="6" w:space="0" w:color="auto"/>
              <w:left w:val="single" w:sz="6" w:space="0" w:color="auto"/>
              <w:bottom w:val="single" w:sz="6" w:space="0" w:color="auto"/>
              <w:right w:val="single" w:sz="6" w:space="0" w:color="auto"/>
            </w:tcBorders>
          </w:tcPr>
          <w:p w14:paraId="6920ECBF" w14:textId="77777777" w:rsidR="00CA23D0" w:rsidRPr="00E30642" w:rsidRDefault="00CA23D0" w:rsidP="00CA23D0">
            <w:pPr>
              <w:pStyle w:val="Texttabulky"/>
              <w:spacing w:line="240" w:lineRule="atLeast"/>
              <w:jc w:val="both"/>
              <w:rPr>
                <w:rFonts w:cs="Arial"/>
              </w:rPr>
            </w:pPr>
            <w:r w:rsidRPr="00E30642">
              <w:rPr>
                <w:rFonts w:cs="Arial"/>
                <w:b/>
                <w:bCs/>
              </w:rPr>
              <w:t>obyvatelstvo 2020</w:t>
            </w:r>
          </w:p>
        </w:tc>
      </w:tr>
      <w:tr w:rsidR="00CA23D0" w:rsidRPr="00E30642" w14:paraId="0060B519" w14:textId="77777777" w:rsidTr="00CA23D0">
        <w:tc>
          <w:tcPr>
            <w:tcW w:w="1985" w:type="dxa"/>
            <w:tcBorders>
              <w:top w:val="single" w:sz="6" w:space="0" w:color="auto"/>
              <w:left w:val="single" w:sz="6" w:space="0" w:color="auto"/>
              <w:bottom w:val="single" w:sz="6" w:space="0" w:color="auto"/>
              <w:right w:val="single" w:sz="6" w:space="0" w:color="auto"/>
            </w:tcBorders>
          </w:tcPr>
          <w:p w14:paraId="108A88B7" w14:textId="77777777" w:rsidR="00CA23D0" w:rsidRPr="00E30642" w:rsidRDefault="00CA23D0" w:rsidP="00CA23D0">
            <w:pPr>
              <w:pStyle w:val="Texttabulky"/>
              <w:spacing w:line="240" w:lineRule="atLeast"/>
              <w:ind w:firstLine="157"/>
              <w:jc w:val="both"/>
              <w:rPr>
                <w:rFonts w:cs="Arial"/>
              </w:rPr>
            </w:pPr>
            <w:r w:rsidRPr="00E30642">
              <w:rPr>
                <w:rFonts w:cs="Arial"/>
                <w:b/>
                <w:bCs/>
              </w:rPr>
              <w:t>Děčín</w:t>
            </w:r>
          </w:p>
        </w:tc>
        <w:tc>
          <w:tcPr>
            <w:tcW w:w="1414" w:type="dxa"/>
            <w:tcBorders>
              <w:top w:val="single" w:sz="6" w:space="0" w:color="auto"/>
              <w:left w:val="single" w:sz="6" w:space="0" w:color="auto"/>
              <w:bottom w:val="single" w:sz="6" w:space="0" w:color="auto"/>
              <w:right w:val="single" w:sz="6" w:space="0" w:color="auto"/>
            </w:tcBorders>
          </w:tcPr>
          <w:p w14:paraId="2DAB9C90" w14:textId="77777777" w:rsidR="00CA23D0" w:rsidRPr="00E30642" w:rsidRDefault="00CA23D0" w:rsidP="00CA23D0">
            <w:pPr>
              <w:pStyle w:val="Texttabulky"/>
              <w:spacing w:line="240" w:lineRule="atLeast"/>
              <w:jc w:val="both"/>
              <w:rPr>
                <w:rFonts w:cs="Arial"/>
              </w:rPr>
            </w:pPr>
            <w:r w:rsidRPr="00E30642">
              <w:rPr>
                <w:rFonts w:cs="Arial"/>
                <w:b/>
                <w:bCs/>
              </w:rPr>
              <w:t>11 803,47</w:t>
            </w:r>
          </w:p>
        </w:tc>
        <w:tc>
          <w:tcPr>
            <w:tcW w:w="1417" w:type="dxa"/>
            <w:tcBorders>
              <w:top w:val="single" w:sz="6" w:space="0" w:color="auto"/>
              <w:left w:val="single" w:sz="6" w:space="0" w:color="auto"/>
              <w:bottom w:val="single" w:sz="6" w:space="0" w:color="auto"/>
              <w:right w:val="single" w:sz="6" w:space="0" w:color="auto"/>
            </w:tcBorders>
          </w:tcPr>
          <w:p w14:paraId="2BA2101D" w14:textId="77777777" w:rsidR="00CA23D0" w:rsidRPr="00E30642" w:rsidRDefault="00CA23D0" w:rsidP="00CA23D0">
            <w:pPr>
              <w:pStyle w:val="Texttabulky"/>
              <w:spacing w:line="240" w:lineRule="atLeast"/>
              <w:jc w:val="both"/>
              <w:rPr>
                <w:rFonts w:cs="Arial"/>
              </w:rPr>
            </w:pPr>
            <w:r w:rsidRPr="00E30642">
              <w:rPr>
                <w:rFonts w:cs="Arial"/>
                <w:b/>
                <w:bCs/>
              </w:rPr>
              <w:t>53 899</w:t>
            </w:r>
          </w:p>
        </w:tc>
        <w:tc>
          <w:tcPr>
            <w:tcW w:w="1418" w:type="dxa"/>
            <w:tcBorders>
              <w:top w:val="single" w:sz="6" w:space="0" w:color="auto"/>
              <w:left w:val="single" w:sz="6" w:space="0" w:color="auto"/>
              <w:bottom w:val="single" w:sz="6" w:space="0" w:color="auto"/>
              <w:right w:val="single" w:sz="6" w:space="0" w:color="auto"/>
            </w:tcBorders>
          </w:tcPr>
          <w:p w14:paraId="0350ED2C" w14:textId="77777777" w:rsidR="00CA23D0" w:rsidRPr="00E30642" w:rsidRDefault="00CA23D0" w:rsidP="00CA23D0">
            <w:pPr>
              <w:pStyle w:val="Texttabulky"/>
              <w:spacing w:line="240" w:lineRule="atLeast"/>
              <w:jc w:val="both"/>
              <w:rPr>
                <w:rFonts w:cs="Arial"/>
              </w:rPr>
            </w:pPr>
            <w:r w:rsidRPr="00E30642">
              <w:rPr>
                <w:rFonts w:cs="Arial"/>
                <w:b/>
                <w:bCs/>
              </w:rPr>
              <w:t>53 123</w:t>
            </w:r>
          </w:p>
        </w:tc>
        <w:tc>
          <w:tcPr>
            <w:tcW w:w="1417" w:type="dxa"/>
            <w:tcBorders>
              <w:top w:val="single" w:sz="6" w:space="0" w:color="auto"/>
              <w:left w:val="single" w:sz="6" w:space="0" w:color="auto"/>
              <w:bottom w:val="single" w:sz="6" w:space="0" w:color="auto"/>
              <w:right w:val="single" w:sz="6" w:space="0" w:color="auto"/>
            </w:tcBorders>
          </w:tcPr>
          <w:p w14:paraId="52A77325" w14:textId="77777777" w:rsidR="00CA23D0" w:rsidRPr="00E30642" w:rsidRDefault="00CA23D0" w:rsidP="00CA23D0">
            <w:pPr>
              <w:pStyle w:val="Texttabulky"/>
              <w:spacing w:line="240" w:lineRule="atLeast"/>
              <w:jc w:val="both"/>
              <w:rPr>
                <w:rFonts w:cs="Arial"/>
              </w:rPr>
            </w:pPr>
            <w:r w:rsidRPr="00E30642">
              <w:rPr>
                <w:rFonts w:cs="Arial"/>
                <w:b/>
                <w:bCs/>
              </w:rPr>
              <w:t>54 600</w:t>
            </w:r>
          </w:p>
        </w:tc>
        <w:tc>
          <w:tcPr>
            <w:tcW w:w="1418" w:type="dxa"/>
            <w:tcBorders>
              <w:top w:val="single" w:sz="6" w:space="0" w:color="auto"/>
              <w:left w:val="single" w:sz="6" w:space="0" w:color="auto"/>
              <w:bottom w:val="single" w:sz="6" w:space="0" w:color="auto"/>
              <w:right w:val="single" w:sz="6" w:space="0" w:color="auto"/>
            </w:tcBorders>
          </w:tcPr>
          <w:p w14:paraId="7CF93B31" w14:textId="77777777" w:rsidR="00CA23D0" w:rsidRPr="00E30642" w:rsidRDefault="00CA23D0" w:rsidP="00CA23D0">
            <w:pPr>
              <w:pStyle w:val="Texttabulky"/>
              <w:spacing w:line="240" w:lineRule="atLeast"/>
              <w:jc w:val="both"/>
              <w:rPr>
                <w:rFonts w:cs="Arial"/>
              </w:rPr>
            </w:pPr>
            <w:r w:rsidRPr="00E30642">
              <w:rPr>
                <w:rFonts w:cs="Arial"/>
                <w:b/>
                <w:bCs/>
              </w:rPr>
              <w:t>51 700</w:t>
            </w:r>
          </w:p>
        </w:tc>
      </w:tr>
      <w:tr w:rsidR="00CA23D0" w:rsidRPr="00E30642" w14:paraId="1B3A2DD1" w14:textId="77777777" w:rsidTr="00CA23D0">
        <w:tc>
          <w:tcPr>
            <w:tcW w:w="1985" w:type="dxa"/>
            <w:tcBorders>
              <w:top w:val="single" w:sz="6" w:space="0" w:color="auto"/>
              <w:left w:val="single" w:sz="6" w:space="0" w:color="auto"/>
              <w:bottom w:val="single" w:sz="6" w:space="0" w:color="auto"/>
              <w:right w:val="single" w:sz="6" w:space="0" w:color="auto"/>
            </w:tcBorders>
          </w:tcPr>
          <w:p w14:paraId="191041F2" w14:textId="77777777" w:rsidR="00CA23D0" w:rsidRPr="00E30642" w:rsidRDefault="00CA23D0" w:rsidP="00CA23D0">
            <w:pPr>
              <w:pStyle w:val="Texttabulky"/>
              <w:spacing w:line="240" w:lineRule="atLeast"/>
              <w:ind w:firstLine="157"/>
              <w:jc w:val="both"/>
              <w:rPr>
                <w:rFonts w:cs="Arial"/>
              </w:rPr>
            </w:pPr>
            <w:r w:rsidRPr="00E30642">
              <w:rPr>
                <w:rFonts w:cs="Arial"/>
              </w:rPr>
              <w:t>Arnoltice</w:t>
            </w:r>
          </w:p>
        </w:tc>
        <w:tc>
          <w:tcPr>
            <w:tcW w:w="1414" w:type="dxa"/>
            <w:tcBorders>
              <w:top w:val="single" w:sz="6" w:space="0" w:color="auto"/>
              <w:left w:val="single" w:sz="6" w:space="0" w:color="auto"/>
              <w:bottom w:val="single" w:sz="6" w:space="0" w:color="auto"/>
              <w:right w:val="single" w:sz="6" w:space="0" w:color="auto"/>
            </w:tcBorders>
          </w:tcPr>
          <w:p w14:paraId="1FBEADCB" w14:textId="77777777" w:rsidR="00CA23D0" w:rsidRPr="00E30642" w:rsidRDefault="00CA23D0" w:rsidP="00CA23D0">
            <w:pPr>
              <w:pStyle w:val="Texttabulky"/>
              <w:spacing w:line="240" w:lineRule="atLeast"/>
              <w:jc w:val="both"/>
              <w:rPr>
                <w:rFonts w:cs="Arial"/>
              </w:rPr>
            </w:pPr>
            <w:r w:rsidRPr="00E30642">
              <w:rPr>
                <w:rFonts w:cs="Arial"/>
              </w:rPr>
              <w:t>553,41</w:t>
            </w:r>
          </w:p>
        </w:tc>
        <w:tc>
          <w:tcPr>
            <w:tcW w:w="1417" w:type="dxa"/>
            <w:tcBorders>
              <w:top w:val="single" w:sz="6" w:space="0" w:color="auto"/>
              <w:left w:val="single" w:sz="6" w:space="0" w:color="auto"/>
              <w:bottom w:val="single" w:sz="6" w:space="0" w:color="auto"/>
              <w:right w:val="single" w:sz="6" w:space="0" w:color="auto"/>
            </w:tcBorders>
          </w:tcPr>
          <w:p w14:paraId="711E1486" w14:textId="77777777" w:rsidR="00CA23D0" w:rsidRPr="00E30642" w:rsidRDefault="00CA23D0" w:rsidP="00CA23D0">
            <w:pPr>
              <w:pStyle w:val="Texttabulky"/>
              <w:spacing w:line="240" w:lineRule="atLeast"/>
              <w:jc w:val="both"/>
              <w:rPr>
                <w:rFonts w:cs="Arial"/>
              </w:rPr>
            </w:pPr>
            <w:r w:rsidRPr="00E30642">
              <w:rPr>
                <w:rFonts w:cs="Arial"/>
              </w:rPr>
              <w:t>261</w:t>
            </w:r>
          </w:p>
        </w:tc>
        <w:tc>
          <w:tcPr>
            <w:tcW w:w="1418" w:type="dxa"/>
            <w:tcBorders>
              <w:top w:val="single" w:sz="6" w:space="0" w:color="auto"/>
              <w:left w:val="single" w:sz="6" w:space="0" w:color="auto"/>
              <w:bottom w:val="single" w:sz="6" w:space="0" w:color="auto"/>
              <w:right w:val="single" w:sz="6" w:space="0" w:color="auto"/>
            </w:tcBorders>
          </w:tcPr>
          <w:p w14:paraId="2A064B8C" w14:textId="77777777" w:rsidR="00CA23D0" w:rsidRPr="00E30642" w:rsidRDefault="00CA23D0" w:rsidP="00CA23D0">
            <w:pPr>
              <w:pStyle w:val="Texttabulky"/>
              <w:spacing w:line="240" w:lineRule="atLeast"/>
              <w:jc w:val="both"/>
              <w:rPr>
                <w:rFonts w:cs="Arial"/>
              </w:rPr>
            </w:pPr>
            <w:r w:rsidRPr="00E30642">
              <w:rPr>
                <w:rFonts w:cs="Arial"/>
              </w:rPr>
              <w:t>246</w:t>
            </w:r>
          </w:p>
        </w:tc>
        <w:tc>
          <w:tcPr>
            <w:tcW w:w="1417" w:type="dxa"/>
            <w:tcBorders>
              <w:top w:val="single" w:sz="6" w:space="0" w:color="auto"/>
              <w:left w:val="single" w:sz="6" w:space="0" w:color="auto"/>
              <w:bottom w:val="single" w:sz="6" w:space="0" w:color="auto"/>
              <w:right w:val="single" w:sz="6" w:space="0" w:color="auto"/>
            </w:tcBorders>
          </w:tcPr>
          <w:p w14:paraId="4E8CFEDE"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418" w:type="dxa"/>
            <w:tcBorders>
              <w:top w:val="single" w:sz="6" w:space="0" w:color="auto"/>
              <w:left w:val="single" w:sz="6" w:space="0" w:color="auto"/>
              <w:bottom w:val="single" w:sz="6" w:space="0" w:color="auto"/>
              <w:right w:val="single" w:sz="6" w:space="0" w:color="auto"/>
            </w:tcBorders>
          </w:tcPr>
          <w:p w14:paraId="121A6FA8"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55F42EEA" w14:textId="77777777" w:rsidTr="00CA23D0">
        <w:tc>
          <w:tcPr>
            <w:tcW w:w="1985" w:type="dxa"/>
            <w:tcBorders>
              <w:top w:val="single" w:sz="6" w:space="0" w:color="auto"/>
              <w:left w:val="single" w:sz="6" w:space="0" w:color="auto"/>
              <w:bottom w:val="single" w:sz="6" w:space="0" w:color="auto"/>
              <w:right w:val="single" w:sz="6" w:space="0" w:color="auto"/>
            </w:tcBorders>
          </w:tcPr>
          <w:p w14:paraId="21FC5DBB" w14:textId="77777777" w:rsidR="00CA23D0" w:rsidRPr="00E30642" w:rsidRDefault="00CA23D0" w:rsidP="00CA23D0">
            <w:pPr>
              <w:pStyle w:val="Texttabulky"/>
              <w:spacing w:line="240" w:lineRule="atLeast"/>
              <w:ind w:firstLine="157"/>
              <w:jc w:val="both"/>
              <w:rPr>
                <w:rFonts w:cs="Arial"/>
              </w:rPr>
            </w:pPr>
            <w:r w:rsidRPr="00E30642">
              <w:rPr>
                <w:rFonts w:cs="Arial"/>
              </w:rPr>
              <w:t>Benešov nad Ploučnicí</w:t>
            </w:r>
          </w:p>
        </w:tc>
        <w:tc>
          <w:tcPr>
            <w:tcW w:w="1414" w:type="dxa"/>
            <w:tcBorders>
              <w:top w:val="single" w:sz="6" w:space="0" w:color="auto"/>
              <w:left w:val="single" w:sz="6" w:space="0" w:color="auto"/>
              <w:bottom w:val="single" w:sz="6" w:space="0" w:color="auto"/>
              <w:right w:val="single" w:sz="6" w:space="0" w:color="auto"/>
            </w:tcBorders>
          </w:tcPr>
          <w:p w14:paraId="69A48840" w14:textId="77777777" w:rsidR="00CA23D0" w:rsidRPr="00E30642" w:rsidRDefault="00CA23D0" w:rsidP="00CA23D0">
            <w:pPr>
              <w:pStyle w:val="Texttabulky"/>
              <w:spacing w:line="240" w:lineRule="atLeast"/>
              <w:jc w:val="both"/>
              <w:rPr>
                <w:rFonts w:cs="Arial"/>
              </w:rPr>
            </w:pPr>
            <w:r w:rsidRPr="00E30642">
              <w:rPr>
                <w:rFonts w:cs="Arial"/>
              </w:rPr>
              <w:t>977,19</w:t>
            </w:r>
          </w:p>
        </w:tc>
        <w:tc>
          <w:tcPr>
            <w:tcW w:w="1417" w:type="dxa"/>
            <w:tcBorders>
              <w:top w:val="single" w:sz="6" w:space="0" w:color="auto"/>
              <w:left w:val="single" w:sz="6" w:space="0" w:color="auto"/>
              <w:bottom w:val="single" w:sz="6" w:space="0" w:color="auto"/>
              <w:right w:val="single" w:sz="6" w:space="0" w:color="auto"/>
            </w:tcBorders>
          </w:tcPr>
          <w:p w14:paraId="680BFDBA" w14:textId="77777777" w:rsidR="00CA23D0" w:rsidRPr="00E30642" w:rsidRDefault="00CA23D0" w:rsidP="00CA23D0">
            <w:pPr>
              <w:pStyle w:val="Texttabulky"/>
              <w:spacing w:line="240" w:lineRule="atLeast"/>
              <w:jc w:val="both"/>
              <w:rPr>
                <w:rFonts w:cs="Arial"/>
              </w:rPr>
            </w:pPr>
            <w:r w:rsidRPr="00E30642">
              <w:rPr>
                <w:rFonts w:cs="Arial"/>
              </w:rPr>
              <w:t>4 233</w:t>
            </w:r>
          </w:p>
        </w:tc>
        <w:tc>
          <w:tcPr>
            <w:tcW w:w="1418" w:type="dxa"/>
            <w:tcBorders>
              <w:top w:val="single" w:sz="6" w:space="0" w:color="auto"/>
              <w:left w:val="single" w:sz="6" w:space="0" w:color="auto"/>
              <w:bottom w:val="single" w:sz="6" w:space="0" w:color="auto"/>
              <w:right w:val="single" w:sz="6" w:space="0" w:color="auto"/>
            </w:tcBorders>
          </w:tcPr>
          <w:p w14:paraId="2F11B9CA" w14:textId="77777777" w:rsidR="00CA23D0" w:rsidRPr="00E30642" w:rsidRDefault="00CA23D0" w:rsidP="00CA23D0">
            <w:pPr>
              <w:pStyle w:val="Texttabulky"/>
              <w:spacing w:line="240" w:lineRule="atLeast"/>
              <w:jc w:val="both"/>
              <w:rPr>
                <w:rFonts w:cs="Arial"/>
              </w:rPr>
            </w:pPr>
            <w:r w:rsidRPr="00E30642">
              <w:rPr>
                <w:rFonts w:cs="Arial"/>
              </w:rPr>
              <w:t>4 098</w:t>
            </w:r>
          </w:p>
        </w:tc>
        <w:tc>
          <w:tcPr>
            <w:tcW w:w="1417" w:type="dxa"/>
            <w:tcBorders>
              <w:top w:val="single" w:sz="6" w:space="0" w:color="auto"/>
              <w:left w:val="single" w:sz="6" w:space="0" w:color="auto"/>
              <w:bottom w:val="single" w:sz="6" w:space="0" w:color="auto"/>
              <w:right w:val="single" w:sz="6" w:space="0" w:color="auto"/>
            </w:tcBorders>
          </w:tcPr>
          <w:p w14:paraId="56113F77" w14:textId="77777777" w:rsidR="00CA23D0" w:rsidRPr="00E30642" w:rsidRDefault="00CA23D0" w:rsidP="00CA23D0">
            <w:pPr>
              <w:pStyle w:val="Texttabulky"/>
              <w:spacing w:line="240" w:lineRule="atLeast"/>
              <w:jc w:val="both"/>
              <w:rPr>
                <w:rFonts w:cs="Arial"/>
              </w:rPr>
            </w:pPr>
            <w:r w:rsidRPr="00E30642">
              <w:rPr>
                <w:rFonts w:cs="Arial"/>
              </w:rPr>
              <w:t>4 100</w:t>
            </w:r>
          </w:p>
        </w:tc>
        <w:tc>
          <w:tcPr>
            <w:tcW w:w="1418" w:type="dxa"/>
            <w:tcBorders>
              <w:top w:val="single" w:sz="6" w:space="0" w:color="auto"/>
              <w:left w:val="single" w:sz="6" w:space="0" w:color="auto"/>
              <w:bottom w:val="single" w:sz="6" w:space="0" w:color="auto"/>
              <w:right w:val="single" w:sz="6" w:space="0" w:color="auto"/>
            </w:tcBorders>
          </w:tcPr>
          <w:p w14:paraId="6EBCA433" w14:textId="77777777" w:rsidR="00CA23D0" w:rsidRPr="00E30642" w:rsidRDefault="00CA23D0" w:rsidP="00CA23D0">
            <w:pPr>
              <w:pStyle w:val="Texttabulky"/>
              <w:spacing w:line="240" w:lineRule="atLeast"/>
              <w:jc w:val="both"/>
              <w:rPr>
                <w:rFonts w:cs="Arial"/>
              </w:rPr>
            </w:pPr>
            <w:r w:rsidRPr="00E30642">
              <w:rPr>
                <w:rFonts w:cs="Arial"/>
              </w:rPr>
              <w:t>4 000</w:t>
            </w:r>
          </w:p>
        </w:tc>
      </w:tr>
      <w:tr w:rsidR="00CA23D0" w:rsidRPr="00E30642" w14:paraId="2BF50CD2" w14:textId="77777777" w:rsidTr="00CA23D0">
        <w:tc>
          <w:tcPr>
            <w:tcW w:w="1985" w:type="dxa"/>
            <w:tcBorders>
              <w:top w:val="single" w:sz="6" w:space="0" w:color="auto"/>
              <w:left w:val="single" w:sz="6" w:space="0" w:color="auto"/>
              <w:bottom w:val="single" w:sz="6" w:space="0" w:color="auto"/>
              <w:right w:val="single" w:sz="6" w:space="0" w:color="auto"/>
            </w:tcBorders>
          </w:tcPr>
          <w:p w14:paraId="13B8A08D" w14:textId="77777777" w:rsidR="00CA23D0" w:rsidRPr="00E30642" w:rsidRDefault="00CA23D0" w:rsidP="00CA23D0">
            <w:pPr>
              <w:pStyle w:val="Texttabulky"/>
              <w:spacing w:line="240" w:lineRule="atLeast"/>
              <w:ind w:firstLine="157"/>
              <w:jc w:val="both"/>
              <w:rPr>
                <w:rFonts w:cs="Arial"/>
              </w:rPr>
            </w:pPr>
            <w:r w:rsidRPr="00E30642">
              <w:rPr>
                <w:rFonts w:cs="Arial"/>
              </w:rPr>
              <w:t>Bynovec</w:t>
            </w:r>
          </w:p>
        </w:tc>
        <w:tc>
          <w:tcPr>
            <w:tcW w:w="1414" w:type="dxa"/>
            <w:tcBorders>
              <w:top w:val="single" w:sz="6" w:space="0" w:color="auto"/>
              <w:left w:val="single" w:sz="6" w:space="0" w:color="auto"/>
              <w:bottom w:val="single" w:sz="6" w:space="0" w:color="auto"/>
              <w:right w:val="single" w:sz="6" w:space="0" w:color="auto"/>
            </w:tcBorders>
          </w:tcPr>
          <w:p w14:paraId="2CF3F706" w14:textId="77777777" w:rsidR="00CA23D0" w:rsidRPr="00E30642" w:rsidRDefault="00CA23D0" w:rsidP="00CA23D0">
            <w:pPr>
              <w:pStyle w:val="Texttabulky"/>
              <w:spacing w:line="240" w:lineRule="atLeast"/>
              <w:jc w:val="both"/>
              <w:rPr>
                <w:rFonts w:cs="Arial"/>
              </w:rPr>
            </w:pPr>
            <w:r w:rsidRPr="00E30642">
              <w:rPr>
                <w:rFonts w:cs="Arial"/>
              </w:rPr>
              <w:t>635,94</w:t>
            </w:r>
          </w:p>
        </w:tc>
        <w:tc>
          <w:tcPr>
            <w:tcW w:w="1417" w:type="dxa"/>
            <w:tcBorders>
              <w:top w:val="single" w:sz="6" w:space="0" w:color="auto"/>
              <w:left w:val="single" w:sz="6" w:space="0" w:color="auto"/>
              <w:bottom w:val="single" w:sz="6" w:space="0" w:color="auto"/>
              <w:right w:val="single" w:sz="6" w:space="0" w:color="auto"/>
            </w:tcBorders>
          </w:tcPr>
          <w:p w14:paraId="265864B1" w14:textId="77777777" w:rsidR="00CA23D0" w:rsidRPr="00E30642" w:rsidRDefault="00CA23D0" w:rsidP="00CA23D0">
            <w:pPr>
              <w:pStyle w:val="Texttabulky"/>
              <w:spacing w:line="240" w:lineRule="atLeast"/>
              <w:jc w:val="both"/>
              <w:rPr>
                <w:rFonts w:cs="Arial"/>
              </w:rPr>
            </w:pPr>
            <w:r w:rsidRPr="00E30642">
              <w:rPr>
                <w:rFonts w:cs="Arial"/>
              </w:rPr>
              <w:t>215</w:t>
            </w:r>
          </w:p>
        </w:tc>
        <w:tc>
          <w:tcPr>
            <w:tcW w:w="1418" w:type="dxa"/>
            <w:tcBorders>
              <w:top w:val="single" w:sz="6" w:space="0" w:color="auto"/>
              <w:left w:val="single" w:sz="6" w:space="0" w:color="auto"/>
              <w:bottom w:val="single" w:sz="6" w:space="0" w:color="auto"/>
              <w:right w:val="single" w:sz="6" w:space="0" w:color="auto"/>
            </w:tcBorders>
          </w:tcPr>
          <w:p w14:paraId="281BA707" w14:textId="77777777" w:rsidR="00CA23D0" w:rsidRPr="00E30642" w:rsidRDefault="00CA23D0" w:rsidP="00CA23D0">
            <w:pPr>
              <w:pStyle w:val="Texttabulky"/>
              <w:spacing w:line="240" w:lineRule="atLeast"/>
              <w:jc w:val="both"/>
              <w:rPr>
                <w:rFonts w:cs="Arial"/>
              </w:rPr>
            </w:pPr>
            <w:r w:rsidRPr="00E30642">
              <w:rPr>
                <w:rFonts w:cs="Arial"/>
              </w:rPr>
              <w:t>224</w:t>
            </w:r>
          </w:p>
        </w:tc>
        <w:tc>
          <w:tcPr>
            <w:tcW w:w="1417" w:type="dxa"/>
            <w:tcBorders>
              <w:top w:val="single" w:sz="6" w:space="0" w:color="auto"/>
              <w:left w:val="single" w:sz="6" w:space="0" w:color="auto"/>
              <w:bottom w:val="single" w:sz="6" w:space="0" w:color="auto"/>
              <w:right w:val="single" w:sz="6" w:space="0" w:color="auto"/>
            </w:tcBorders>
          </w:tcPr>
          <w:p w14:paraId="47E39162" w14:textId="77777777" w:rsidR="00CA23D0" w:rsidRPr="00E30642" w:rsidRDefault="00CA23D0" w:rsidP="00CA23D0">
            <w:pPr>
              <w:pStyle w:val="Texttabulky"/>
              <w:spacing w:line="240" w:lineRule="atLeast"/>
              <w:jc w:val="both"/>
              <w:rPr>
                <w:rFonts w:cs="Arial"/>
              </w:rPr>
            </w:pPr>
            <w:r w:rsidRPr="00E30642">
              <w:rPr>
                <w:rFonts w:cs="Arial"/>
              </w:rPr>
              <w:t>220</w:t>
            </w:r>
          </w:p>
        </w:tc>
        <w:tc>
          <w:tcPr>
            <w:tcW w:w="1418" w:type="dxa"/>
            <w:tcBorders>
              <w:top w:val="single" w:sz="6" w:space="0" w:color="auto"/>
              <w:left w:val="single" w:sz="6" w:space="0" w:color="auto"/>
              <w:bottom w:val="single" w:sz="6" w:space="0" w:color="auto"/>
              <w:right w:val="single" w:sz="6" w:space="0" w:color="auto"/>
            </w:tcBorders>
          </w:tcPr>
          <w:p w14:paraId="004D2E47" w14:textId="77777777" w:rsidR="00CA23D0" w:rsidRPr="00E30642" w:rsidRDefault="00CA23D0" w:rsidP="00CA23D0">
            <w:pPr>
              <w:pStyle w:val="Texttabulky"/>
              <w:spacing w:line="240" w:lineRule="atLeast"/>
              <w:jc w:val="both"/>
              <w:rPr>
                <w:rFonts w:cs="Arial"/>
              </w:rPr>
            </w:pPr>
            <w:r w:rsidRPr="00E30642">
              <w:rPr>
                <w:rFonts w:cs="Arial"/>
              </w:rPr>
              <w:t>250</w:t>
            </w:r>
          </w:p>
        </w:tc>
      </w:tr>
      <w:tr w:rsidR="00CA23D0" w:rsidRPr="00E30642" w14:paraId="57E996E0" w14:textId="77777777" w:rsidTr="00CA23D0">
        <w:tc>
          <w:tcPr>
            <w:tcW w:w="1985" w:type="dxa"/>
            <w:tcBorders>
              <w:top w:val="single" w:sz="6" w:space="0" w:color="auto"/>
              <w:left w:val="single" w:sz="6" w:space="0" w:color="auto"/>
              <w:bottom w:val="single" w:sz="6" w:space="0" w:color="auto"/>
              <w:right w:val="single" w:sz="6" w:space="0" w:color="auto"/>
            </w:tcBorders>
          </w:tcPr>
          <w:p w14:paraId="72F9A283" w14:textId="77777777" w:rsidR="00CA23D0" w:rsidRPr="00E30642" w:rsidRDefault="00CA23D0" w:rsidP="00CA23D0">
            <w:pPr>
              <w:pStyle w:val="Texttabulky"/>
              <w:spacing w:line="240" w:lineRule="atLeast"/>
              <w:ind w:firstLine="157"/>
              <w:jc w:val="both"/>
              <w:rPr>
                <w:rFonts w:cs="Arial"/>
              </w:rPr>
            </w:pPr>
            <w:r w:rsidRPr="00E30642">
              <w:rPr>
                <w:rFonts w:cs="Arial"/>
              </w:rPr>
              <w:t>Česká Kamenice</w:t>
            </w:r>
          </w:p>
        </w:tc>
        <w:tc>
          <w:tcPr>
            <w:tcW w:w="1414" w:type="dxa"/>
            <w:tcBorders>
              <w:top w:val="single" w:sz="6" w:space="0" w:color="auto"/>
              <w:left w:val="single" w:sz="6" w:space="0" w:color="auto"/>
              <w:bottom w:val="single" w:sz="6" w:space="0" w:color="auto"/>
              <w:right w:val="single" w:sz="6" w:space="0" w:color="auto"/>
            </w:tcBorders>
          </w:tcPr>
          <w:p w14:paraId="6DDC7C17" w14:textId="77777777" w:rsidR="00CA23D0" w:rsidRPr="00E30642" w:rsidRDefault="00CA23D0" w:rsidP="00CA23D0">
            <w:pPr>
              <w:pStyle w:val="Texttabulky"/>
              <w:spacing w:line="240" w:lineRule="atLeast"/>
              <w:jc w:val="both"/>
              <w:rPr>
                <w:rFonts w:cs="Arial"/>
              </w:rPr>
            </w:pPr>
            <w:r w:rsidRPr="00E30642">
              <w:rPr>
                <w:rFonts w:cs="Arial"/>
              </w:rPr>
              <w:t>3 876,37</w:t>
            </w:r>
          </w:p>
        </w:tc>
        <w:tc>
          <w:tcPr>
            <w:tcW w:w="1417" w:type="dxa"/>
            <w:tcBorders>
              <w:top w:val="single" w:sz="6" w:space="0" w:color="auto"/>
              <w:left w:val="single" w:sz="6" w:space="0" w:color="auto"/>
              <w:bottom w:val="single" w:sz="6" w:space="0" w:color="auto"/>
              <w:right w:val="single" w:sz="6" w:space="0" w:color="auto"/>
            </w:tcBorders>
          </w:tcPr>
          <w:p w14:paraId="3E916BFA" w14:textId="77777777" w:rsidR="00CA23D0" w:rsidRPr="00E30642" w:rsidRDefault="00CA23D0" w:rsidP="00CA23D0">
            <w:pPr>
              <w:pStyle w:val="Texttabulky"/>
              <w:spacing w:line="240" w:lineRule="atLeast"/>
              <w:jc w:val="both"/>
              <w:rPr>
                <w:rFonts w:cs="Arial"/>
              </w:rPr>
            </w:pPr>
            <w:r w:rsidRPr="00E30642">
              <w:rPr>
                <w:rFonts w:cs="Arial"/>
              </w:rPr>
              <w:t>5 646</w:t>
            </w:r>
          </w:p>
        </w:tc>
        <w:tc>
          <w:tcPr>
            <w:tcW w:w="1418" w:type="dxa"/>
            <w:tcBorders>
              <w:top w:val="single" w:sz="6" w:space="0" w:color="auto"/>
              <w:left w:val="single" w:sz="6" w:space="0" w:color="auto"/>
              <w:bottom w:val="single" w:sz="6" w:space="0" w:color="auto"/>
              <w:right w:val="single" w:sz="6" w:space="0" w:color="auto"/>
            </w:tcBorders>
          </w:tcPr>
          <w:p w14:paraId="6BE825C4" w14:textId="77777777" w:rsidR="00CA23D0" w:rsidRPr="00E30642" w:rsidRDefault="00CA23D0" w:rsidP="00CA23D0">
            <w:pPr>
              <w:pStyle w:val="Texttabulky"/>
              <w:spacing w:line="240" w:lineRule="atLeast"/>
              <w:jc w:val="both"/>
              <w:rPr>
                <w:rFonts w:cs="Arial"/>
              </w:rPr>
            </w:pPr>
            <w:r w:rsidRPr="00E30642">
              <w:rPr>
                <w:rFonts w:cs="Arial"/>
              </w:rPr>
              <w:t>5 636</w:t>
            </w:r>
          </w:p>
        </w:tc>
        <w:tc>
          <w:tcPr>
            <w:tcW w:w="1417" w:type="dxa"/>
            <w:tcBorders>
              <w:top w:val="single" w:sz="6" w:space="0" w:color="auto"/>
              <w:left w:val="single" w:sz="6" w:space="0" w:color="auto"/>
              <w:bottom w:val="single" w:sz="6" w:space="0" w:color="auto"/>
              <w:right w:val="single" w:sz="6" w:space="0" w:color="auto"/>
            </w:tcBorders>
          </w:tcPr>
          <w:p w14:paraId="43FDC923" w14:textId="77777777" w:rsidR="00CA23D0" w:rsidRPr="00E30642" w:rsidRDefault="00CA23D0" w:rsidP="00CA23D0">
            <w:pPr>
              <w:pStyle w:val="Texttabulky"/>
              <w:spacing w:line="240" w:lineRule="atLeast"/>
              <w:jc w:val="both"/>
              <w:rPr>
                <w:rFonts w:cs="Arial"/>
              </w:rPr>
            </w:pPr>
            <w:r w:rsidRPr="00E30642">
              <w:rPr>
                <w:rFonts w:cs="Arial"/>
              </w:rPr>
              <w:t>5 700</w:t>
            </w:r>
          </w:p>
        </w:tc>
        <w:tc>
          <w:tcPr>
            <w:tcW w:w="1418" w:type="dxa"/>
            <w:tcBorders>
              <w:top w:val="single" w:sz="6" w:space="0" w:color="auto"/>
              <w:left w:val="single" w:sz="6" w:space="0" w:color="auto"/>
              <w:bottom w:val="single" w:sz="6" w:space="0" w:color="auto"/>
              <w:right w:val="single" w:sz="6" w:space="0" w:color="auto"/>
            </w:tcBorders>
          </w:tcPr>
          <w:p w14:paraId="7A1A2425" w14:textId="77777777" w:rsidR="00CA23D0" w:rsidRPr="00E30642" w:rsidRDefault="00CA23D0" w:rsidP="00CA23D0">
            <w:pPr>
              <w:pStyle w:val="Texttabulky"/>
              <w:spacing w:line="240" w:lineRule="atLeast"/>
              <w:jc w:val="both"/>
              <w:rPr>
                <w:rFonts w:cs="Arial"/>
              </w:rPr>
            </w:pPr>
            <w:r w:rsidRPr="00E30642">
              <w:rPr>
                <w:rFonts w:cs="Arial"/>
              </w:rPr>
              <w:t>5 500</w:t>
            </w:r>
          </w:p>
        </w:tc>
      </w:tr>
      <w:tr w:rsidR="00CA23D0" w:rsidRPr="00E30642" w14:paraId="0FDDA940" w14:textId="77777777" w:rsidTr="00CA23D0">
        <w:tc>
          <w:tcPr>
            <w:tcW w:w="1985" w:type="dxa"/>
            <w:tcBorders>
              <w:top w:val="single" w:sz="6" w:space="0" w:color="auto"/>
              <w:left w:val="single" w:sz="6" w:space="0" w:color="auto"/>
              <w:bottom w:val="single" w:sz="6" w:space="0" w:color="auto"/>
              <w:right w:val="single" w:sz="6" w:space="0" w:color="auto"/>
            </w:tcBorders>
          </w:tcPr>
          <w:p w14:paraId="374DFDE5" w14:textId="77777777" w:rsidR="00CA23D0" w:rsidRPr="00E30642" w:rsidRDefault="00CA23D0" w:rsidP="00CA23D0">
            <w:pPr>
              <w:pStyle w:val="Texttabulky"/>
              <w:spacing w:line="240" w:lineRule="atLeast"/>
              <w:ind w:firstLine="157"/>
              <w:jc w:val="both"/>
              <w:rPr>
                <w:rFonts w:cs="Arial"/>
              </w:rPr>
            </w:pPr>
            <w:r w:rsidRPr="00E30642">
              <w:rPr>
                <w:rFonts w:cs="Arial"/>
              </w:rPr>
              <w:t>Dobkovice</w:t>
            </w:r>
          </w:p>
        </w:tc>
        <w:tc>
          <w:tcPr>
            <w:tcW w:w="1414" w:type="dxa"/>
            <w:tcBorders>
              <w:top w:val="single" w:sz="6" w:space="0" w:color="auto"/>
              <w:left w:val="single" w:sz="6" w:space="0" w:color="auto"/>
              <w:bottom w:val="single" w:sz="6" w:space="0" w:color="auto"/>
              <w:right w:val="single" w:sz="6" w:space="0" w:color="auto"/>
            </w:tcBorders>
          </w:tcPr>
          <w:p w14:paraId="461210F5" w14:textId="77777777" w:rsidR="00CA23D0" w:rsidRPr="00E30642" w:rsidRDefault="00CA23D0" w:rsidP="00CA23D0">
            <w:pPr>
              <w:pStyle w:val="Texttabulky"/>
              <w:spacing w:line="240" w:lineRule="atLeast"/>
              <w:jc w:val="both"/>
              <w:rPr>
                <w:rFonts w:cs="Arial"/>
              </w:rPr>
            </w:pPr>
            <w:r w:rsidRPr="00E30642">
              <w:rPr>
                <w:rFonts w:cs="Arial"/>
              </w:rPr>
              <w:t>575,12</w:t>
            </w:r>
          </w:p>
        </w:tc>
        <w:tc>
          <w:tcPr>
            <w:tcW w:w="1417" w:type="dxa"/>
            <w:tcBorders>
              <w:top w:val="single" w:sz="6" w:space="0" w:color="auto"/>
              <w:left w:val="single" w:sz="6" w:space="0" w:color="auto"/>
              <w:bottom w:val="single" w:sz="6" w:space="0" w:color="auto"/>
              <w:right w:val="single" w:sz="6" w:space="0" w:color="auto"/>
            </w:tcBorders>
          </w:tcPr>
          <w:p w14:paraId="3E216DE2" w14:textId="77777777" w:rsidR="00CA23D0" w:rsidRPr="00E30642" w:rsidRDefault="00CA23D0" w:rsidP="00CA23D0">
            <w:pPr>
              <w:pStyle w:val="Texttabulky"/>
              <w:spacing w:line="240" w:lineRule="atLeast"/>
              <w:jc w:val="both"/>
              <w:rPr>
                <w:rFonts w:cs="Arial"/>
              </w:rPr>
            </w:pPr>
            <w:r w:rsidRPr="00E30642">
              <w:rPr>
                <w:rFonts w:cs="Arial"/>
              </w:rPr>
              <w:t>632</w:t>
            </w:r>
          </w:p>
        </w:tc>
        <w:tc>
          <w:tcPr>
            <w:tcW w:w="1418" w:type="dxa"/>
            <w:tcBorders>
              <w:top w:val="single" w:sz="6" w:space="0" w:color="auto"/>
              <w:left w:val="single" w:sz="6" w:space="0" w:color="auto"/>
              <w:bottom w:val="single" w:sz="6" w:space="0" w:color="auto"/>
              <w:right w:val="single" w:sz="6" w:space="0" w:color="auto"/>
            </w:tcBorders>
          </w:tcPr>
          <w:p w14:paraId="238139A4" w14:textId="77777777" w:rsidR="00CA23D0" w:rsidRPr="00E30642" w:rsidRDefault="00CA23D0" w:rsidP="00CA23D0">
            <w:pPr>
              <w:pStyle w:val="Texttabulky"/>
              <w:spacing w:line="240" w:lineRule="atLeast"/>
              <w:jc w:val="both"/>
              <w:rPr>
                <w:rFonts w:cs="Arial"/>
              </w:rPr>
            </w:pPr>
            <w:r w:rsidRPr="00E30642">
              <w:rPr>
                <w:rFonts w:cs="Arial"/>
              </w:rPr>
              <w:t>645</w:t>
            </w:r>
          </w:p>
        </w:tc>
        <w:tc>
          <w:tcPr>
            <w:tcW w:w="1417" w:type="dxa"/>
            <w:tcBorders>
              <w:top w:val="single" w:sz="6" w:space="0" w:color="auto"/>
              <w:left w:val="single" w:sz="6" w:space="0" w:color="auto"/>
              <w:bottom w:val="single" w:sz="6" w:space="0" w:color="auto"/>
              <w:right w:val="single" w:sz="6" w:space="0" w:color="auto"/>
            </w:tcBorders>
          </w:tcPr>
          <w:p w14:paraId="2F8D0772"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50636319" w14:textId="77777777" w:rsidR="00CA23D0" w:rsidRPr="00E30642" w:rsidRDefault="00CA23D0" w:rsidP="00CA23D0">
            <w:pPr>
              <w:pStyle w:val="Texttabulky"/>
              <w:spacing w:line="240" w:lineRule="atLeast"/>
              <w:jc w:val="both"/>
              <w:rPr>
                <w:rFonts w:cs="Arial"/>
              </w:rPr>
            </w:pPr>
            <w:r w:rsidRPr="00E30642">
              <w:rPr>
                <w:rFonts w:cs="Arial"/>
              </w:rPr>
              <w:t>700</w:t>
            </w:r>
          </w:p>
        </w:tc>
      </w:tr>
      <w:tr w:rsidR="00CA23D0" w:rsidRPr="00E30642" w14:paraId="69D1C02D" w14:textId="77777777" w:rsidTr="00CA23D0">
        <w:tc>
          <w:tcPr>
            <w:tcW w:w="1985" w:type="dxa"/>
            <w:tcBorders>
              <w:top w:val="single" w:sz="6" w:space="0" w:color="auto"/>
              <w:left w:val="single" w:sz="6" w:space="0" w:color="auto"/>
              <w:bottom w:val="single" w:sz="6" w:space="0" w:color="auto"/>
              <w:right w:val="single" w:sz="6" w:space="0" w:color="auto"/>
            </w:tcBorders>
          </w:tcPr>
          <w:p w14:paraId="45B2B6B2" w14:textId="77777777" w:rsidR="00CA23D0" w:rsidRPr="00E30642" w:rsidRDefault="00CA23D0" w:rsidP="00CA23D0">
            <w:pPr>
              <w:pStyle w:val="Texttabulky"/>
              <w:spacing w:line="240" w:lineRule="atLeast"/>
              <w:ind w:firstLine="157"/>
              <w:jc w:val="both"/>
              <w:rPr>
                <w:rFonts w:cs="Arial"/>
              </w:rPr>
            </w:pPr>
            <w:r w:rsidRPr="00E30642">
              <w:rPr>
                <w:rFonts w:cs="Arial"/>
              </w:rPr>
              <w:t>Dobrná</w:t>
            </w:r>
          </w:p>
        </w:tc>
        <w:tc>
          <w:tcPr>
            <w:tcW w:w="1414" w:type="dxa"/>
            <w:tcBorders>
              <w:top w:val="single" w:sz="6" w:space="0" w:color="auto"/>
              <w:left w:val="single" w:sz="6" w:space="0" w:color="auto"/>
              <w:bottom w:val="single" w:sz="6" w:space="0" w:color="auto"/>
              <w:right w:val="single" w:sz="6" w:space="0" w:color="auto"/>
            </w:tcBorders>
          </w:tcPr>
          <w:p w14:paraId="74179836" w14:textId="77777777" w:rsidR="00CA23D0" w:rsidRPr="00E30642" w:rsidRDefault="00CA23D0" w:rsidP="00CA23D0">
            <w:pPr>
              <w:pStyle w:val="Texttabulky"/>
              <w:spacing w:line="240" w:lineRule="atLeast"/>
              <w:jc w:val="both"/>
              <w:rPr>
                <w:rFonts w:cs="Arial"/>
              </w:rPr>
            </w:pPr>
            <w:r w:rsidRPr="00E30642">
              <w:rPr>
                <w:rFonts w:cs="Arial"/>
              </w:rPr>
              <w:t>881,87</w:t>
            </w:r>
          </w:p>
        </w:tc>
        <w:tc>
          <w:tcPr>
            <w:tcW w:w="1417" w:type="dxa"/>
            <w:tcBorders>
              <w:top w:val="single" w:sz="6" w:space="0" w:color="auto"/>
              <w:left w:val="single" w:sz="6" w:space="0" w:color="auto"/>
              <w:bottom w:val="single" w:sz="6" w:space="0" w:color="auto"/>
              <w:right w:val="single" w:sz="6" w:space="0" w:color="auto"/>
            </w:tcBorders>
          </w:tcPr>
          <w:p w14:paraId="48374FBF" w14:textId="77777777" w:rsidR="00CA23D0" w:rsidRPr="00E30642" w:rsidRDefault="00CA23D0" w:rsidP="00CA23D0">
            <w:pPr>
              <w:pStyle w:val="Texttabulky"/>
              <w:spacing w:line="240" w:lineRule="atLeast"/>
              <w:jc w:val="both"/>
              <w:rPr>
                <w:rFonts w:cs="Arial"/>
              </w:rPr>
            </w:pPr>
            <w:r w:rsidRPr="00E30642">
              <w:rPr>
                <w:rFonts w:cs="Arial"/>
              </w:rPr>
              <w:t>370</w:t>
            </w:r>
          </w:p>
        </w:tc>
        <w:tc>
          <w:tcPr>
            <w:tcW w:w="1418" w:type="dxa"/>
            <w:tcBorders>
              <w:top w:val="single" w:sz="6" w:space="0" w:color="auto"/>
              <w:left w:val="single" w:sz="6" w:space="0" w:color="auto"/>
              <w:bottom w:val="single" w:sz="6" w:space="0" w:color="auto"/>
              <w:right w:val="single" w:sz="6" w:space="0" w:color="auto"/>
            </w:tcBorders>
          </w:tcPr>
          <w:p w14:paraId="0CFB1D3E" w14:textId="77777777" w:rsidR="00CA23D0" w:rsidRPr="00E30642" w:rsidRDefault="00CA23D0" w:rsidP="00CA23D0">
            <w:pPr>
              <w:pStyle w:val="Texttabulky"/>
              <w:spacing w:line="240" w:lineRule="atLeast"/>
              <w:jc w:val="both"/>
              <w:rPr>
                <w:rFonts w:cs="Arial"/>
              </w:rPr>
            </w:pPr>
            <w:r w:rsidRPr="00E30642">
              <w:rPr>
                <w:rFonts w:cs="Arial"/>
              </w:rPr>
              <w:t>349</w:t>
            </w:r>
          </w:p>
        </w:tc>
        <w:tc>
          <w:tcPr>
            <w:tcW w:w="1417" w:type="dxa"/>
            <w:tcBorders>
              <w:top w:val="single" w:sz="6" w:space="0" w:color="auto"/>
              <w:left w:val="single" w:sz="6" w:space="0" w:color="auto"/>
              <w:bottom w:val="single" w:sz="6" w:space="0" w:color="auto"/>
              <w:right w:val="single" w:sz="6" w:space="0" w:color="auto"/>
            </w:tcBorders>
          </w:tcPr>
          <w:p w14:paraId="189D989C" w14:textId="77777777" w:rsidR="00CA23D0" w:rsidRPr="00E30642" w:rsidRDefault="00CA23D0" w:rsidP="00CA23D0">
            <w:pPr>
              <w:pStyle w:val="Texttabulky"/>
              <w:spacing w:line="240" w:lineRule="atLeast"/>
              <w:jc w:val="both"/>
              <w:rPr>
                <w:rFonts w:cs="Arial"/>
              </w:rPr>
            </w:pPr>
            <w:r w:rsidRPr="00E30642">
              <w:rPr>
                <w:rFonts w:cs="Arial"/>
              </w:rPr>
              <w:t>350</w:t>
            </w:r>
          </w:p>
        </w:tc>
        <w:tc>
          <w:tcPr>
            <w:tcW w:w="1418" w:type="dxa"/>
            <w:tcBorders>
              <w:top w:val="single" w:sz="6" w:space="0" w:color="auto"/>
              <w:left w:val="single" w:sz="6" w:space="0" w:color="auto"/>
              <w:bottom w:val="single" w:sz="6" w:space="0" w:color="auto"/>
              <w:right w:val="single" w:sz="6" w:space="0" w:color="auto"/>
            </w:tcBorders>
          </w:tcPr>
          <w:p w14:paraId="70F45E47"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32F5F366" w14:textId="77777777" w:rsidTr="00CA23D0">
        <w:tc>
          <w:tcPr>
            <w:tcW w:w="1985" w:type="dxa"/>
            <w:tcBorders>
              <w:top w:val="single" w:sz="6" w:space="0" w:color="auto"/>
              <w:left w:val="single" w:sz="6" w:space="0" w:color="auto"/>
              <w:bottom w:val="single" w:sz="6" w:space="0" w:color="auto"/>
              <w:right w:val="single" w:sz="6" w:space="0" w:color="auto"/>
            </w:tcBorders>
          </w:tcPr>
          <w:p w14:paraId="2EC67E40" w14:textId="77777777" w:rsidR="00CA23D0" w:rsidRPr="00E30642" w:rsidRDefault="00CA23D0" w:rsidP="00CA23D0">
            <w:pPr>
              <w:pStyle w:val="Texttabulky"/>
              <w:spacing w:line="240" w:lineRule="atLeast"/>
              <w:ind w:firstLine="157"/>
              <w:jc w:val="both"/>
              <w:rPr>
                <w:rFonts w:cs="Arial"/>
              </w:rPr>
            </w:pPr>
            <w:r w:rsidRPr="00E30642">
              <w:rPr>
                <w:rFonts w:cs="Arial"/>
              </w:rPr>
              <w:t>Dolní Habartice</w:t>
            </w:r>
          </w:p>
        </w:tc>
        <w:tc>
          <w:tcPr>
            <w:tcW w:w="1414" w:type="dxa"/>
            <w:tcBorders>
              <w:top w:val="single" w:sz="6" w:space="0" w:color="auto"/>
              <w:left w:val="single" w:sz="6" w:space="0" w:color="auto"/>
              <w:bottom w:val="single" w:sz="6" w:space="0" w:color="auto"/>
              <w:right w:val="single" w:sz="6" w:space="0" w:color="auto"/>
            </w:tcBorders>
          </w:tcPr>
          <w:p w14:paraId="0FE6396A" w14:textId="77777777" w:rsidR="00CA23D0" w:rsidRPr="00E30642" w:rsidRDefault="00CA23D0" w:rsidP="00CA23D0">
            <w:pPr>
              <w:pStyle w:val="Texttabulky"/>
              <w:spacing w:line="240" w:lineRule="atLeast"/>
              <w:jc w:val="both"/>
              <w:rPr>
                <w:rFonts w:cs="Arial"/>
              </w:rPr>
            </w:pPr>
            <w:r w:rsidRPr="00E30642">
              <w:rPr>
                <w:rFonts w:cs="Arial"/>
              </w:rPr>
              <w:t>557,6</w:t>
            </w:r>
          </w:p>
        </w:tc>
        <w:tc>
          <w:tcPr>
            <w:tcW w:w="1417" w:type="dxa"/>
            <w:tcBorders>
              <w:top w:val="single" w:sz="6" w:space="0" w:color="auto"/>
              <w:left w:val="single" w:sz="6" w:space="0" w:color="auto"/>
              <w:bottom w:val="single" w:sz="6" w:space="0" w:color="auto"/>
              <w:right w:val="single" w:sz="6" w:space="0" w:color="auto"/>
            </w:tcBorders>
          </w:tcPr>
          <w:p w14:paraId="0E355B06" w14:textId="77777777" w:rsidR="00CA23D0" w:rsidRPr="00E30642" w:rsidRDefault="00CA23D0" w:rsidP="00CA23D0">
            <w:pPr>
              <w:pStyle w:val="Texttabulky"/>
              <w:spacing w:line="240" w:lineRule="atLeast"/>
              <w:jc w:val="both"/>
              <w:rPr>
                <w:rFonts w:cs="Arial"/>
              </w:rPr>
            </w:pPr>
            <w:r w:rsidRPr="00E30642">
              <w:rPr>
                <w:rFonts w:cs="Arial"/>
              </w:rPr>
              <w:t>508</w:t>
            </w:r>
          </w:p>
        </w:tc>
        <w:tc>
          <w:tcPr>
            <w:tcW w:w="1418" w:type="dxa"/>
            <w:tcBorders>
              <w:top w:val="single" w:sz="6" w:space="0" w:color="auto"/>
              <w:left w:val="single" w:sz="6" w:space="0" w:color="auto"/>
              <w:bottom w:val="single" w:sz="6" w:space="0" w:color="auto"/>
              <w:right w:val="single" w:sz="6" w:space="0" w:color="auto"/>
            </w:tcBorders>
          </w:tcPr>
          <w:p w14:paraId="2FF19B8B" w14:textId="77777777" w:rsidR="00CA23D0" w:rsidRPr="00E30642" w:rsidRDefault="00CA23D0" w:rsidP="00CA23D0">
            <w:pPr>
              <w:pStyle w:val="Texttabulky"/>
              <w:spacing w:line="240" w:lineRule="atLeast"/>
              <w:jc w:val="both"/>
              <w:rPr>
                <w:rFonts w:cs="Arial"/>
              </w:rPr>
            </w:pPr>
            <w:r w:rsidRPr="00E30642">
              <w:rPr>
                <w:rFonts w:cs="Arial"/>
              </w:rPr>
              <w:t>551</w:t>
            </w:r>
          </w:p>
        </w:tc>
        <w:tc>
          <w:tcPr>
            <w:tcW w:w="1417" w:type="dxa"/>
            <w:tcBorders>
              <w:top w:val="single" w:sz="6" w:space="0" w:color="auto"/>
              <w:left w:val="single" w:sz="6" w:space="0" w:color="auto"/>
              <w:bottom w:val="single" w:sz="6" w:space="0" w:color="auto"/>
              <w:right w:val="single" w:sz="6" w:space="0" w:color="auto"/>
            </w:tcBorders>
          </w:tcPr>
          <w:p w14:paraId="62E8FD55" w14:textId="77777777" w:rsidR="00CA23D0" w:rsidRPr="00E30642" w:rsidRDefault="00CA23D0" w:rsidP="00CA23D0">
            <w:pPr>
              <w:pStyle w:val="Texttabulky"/>
              <w:spacing w:line="240" w:lineRule="atLeast"/>
              <w:jc w:val="both"/>
              <w:rPr>
                <w:rFonts w:cs="Arial"/>
              </w:rPr>
            </w:pPr>
            <w:r w:rsidRPr="00E30642">
              <w:rPr>
                <w:rFonts w:cs="Arial"/>
              </w:rPr>
              <w:t>550</w:t>
            </w:r>
          </w:p>
        </w:tc>
        <w:tc>
          <w:tcPr>
            <w:tcW w:w="1418" w:type="dxa"/>
            <w:tcBorders>
              <w:top w:val="single" w:sz="6" w:space="0" w:color="auto"/>
              <w:left w:val="single" w:sz="6" w:space="0" w:color="auto"/>
              <w:bottom w:val="single" w:sz="6" w:space="0" w:color="auto"/>
              <w:right w:val="single" w:sz="6" w:space="0" w:color="auto"/>
            </w:tcBorders>
          </w:tcPr>
          <w:p w14:paraId="1F4B9DEB" w14:textId="77777777" w:rsidR="00CA23D0" w:rsidRPr="00E30642" w:rsidRDefault="00CA23D0" w:rsidP="00CA23D0">
            <w:pPr>
              <w:pStyle w:val="Texttabulky"/>
              <w:spacing w:line="240" w:lineRule="atLeast"/>
              <w:jc w:val="both"/>
              <w:rPr>
                <w:rFonts w:cs="Arial"/>
              </w:rPr>
            </w:pPr>
            <w:r w:rsidRPr="00E30642">
              <w:rPr>
                <w:rFonts w:cs="Arial"/>
              </w:rPr>
              <w:t>700</w:t>
            </w:r>
          </w:p>
        </w:tc>
      </w:tr>
      <w:tr w:rsidR="00CA23D0" w:rsidRPr="00E30642" w14:paraId="597F17AB" w14:textId="77777777" w:rsidTr="00CA23D0">
        <w:tc>
          <w:tcPr>
            <w:tcW w:w="1985" w:type="dxa"/>
            <w:tcBorders>
              <w:top w:val="single" w:sz="6" w:space="0" w:color="auto"/>
              <w:left w:val="single" w:sz="6" w:space="0" w:color="auto"/>
              <w:bottom w:val="single" w:sz="6" w:space="0" w:color="auto"/>
              <w:right w:val="single" w:sz="6" w:space="0" w:color="auto"/>
            </w:tcBorders>
          </w:tcPr>
          <w:p w14:paraId="20875E48" w14:textId="77777777" w:rsidR="00CA23D0" w:rsidRPr="00E30642" w:rsidRDefault="00CA23D0" w:rsidP="00CA23D0">
            <w:pPr>
              <w:pStyle w:val="Texttabulky"/>
              <w:spacing w:line="240" w:lineRule="atLeast"/>
              <w:ind w:firstLine="157"/>
              <w:jc w:val="both"/>
              <w:rPr>
                <w:rFonts w:cs="Arial"/>
              </w:rPr>
            </w:pPr>
            <w:r w:rsidRPr="00E30642">
              <w:rPr>
                <w:rFonts w:cs="Arial"/>
              </w:rPr>
              <w:t>Dolní Podluží</w:t>
            </w:r>
          </w:p>
        </w:tc>
        <w:tc>
          <w:tcPr>
            <w:tcW w:w="1414" w:type="dxa"/>
            <w:tcBorders>
              <w:top w:val="single" w:sz="6" w:space="0" w:color="auto"/>
              <w:left w:val="single" w:sz="6" w:space="0" w:color="auto"/>
              <w:bottom w:val="single" w:sz="6" w:space="0" w:color="auto"/>
              <w:right w:val="single" w:sz="6" w:space="0" w:color="auto"/>
            </w:tcBorders>
          </w:tcPr>
          <w:p w14:paraId="0438BBEA" w14:textId="77777777" w:rsidR="00CA23D0" w:rsidRPr="00E30642" w:rsidRDefault="00CA23D0" w:rsidP="00CA23D0">
            <w:pPr>
              <w:pStyle w:val="Texttabulky"/>
              <w:spacing w:line="240" w:lineRule="atLeast"/>
              <w:jc w:val="both"/>
              <w:rPr>
                <w:rFonts w:cs="Arial"/>
              </w:rPr>
            </w:pPr>
            <w:r w:rsidRPr="00E30642">
              <w:rPr>
                <w:rFonts w:cs="Arial"/>
              </w:rPr>
              <w:t>1 548,26</w:t>
            </w:r>
          </w:p>
        </w:tc>
        <w:tc>
          <w:tcPr>
            <w:tcW w:w="1417" w:type="dxa"/>
            <w:tcBorders>
              <w:top w:val="single" w:sz="6" w:space="0" w:color="auto"/>
              <w:left w:val="single" w:sz="6" w:space="0" w:color="auto"/>
              <w:bottom w:val="single" w:sz="6" w:space="0" w:color="auto"/>
              <w:right w:val="single" w:sz="6" w:space="0" w:color="auto"/>
            </w:tcBorders>
          </w:tcPr>
          <w:p w14:paraId="0F8DA5A0" w14:textId="77777777" w:rsidR="00CA23D0" w:rsidRPr="00E30642" w:rsidRDefault="00CA23D0" w:rsidP="00CA23D0">
            <w:pPr>
              <w:pStyle w:val="Texttabulky"/>
              <w:spacing w:line="240" w:lineRule="atLeast"/>
              <w:jc w:val="both"/>
              <w:rPr>
                <w:rFonts w:cs="Arial"/>
              </w:rPr>
            </w:pPr>
            <w:r w:rsidRPr="00E30642">
              <w:rPr>
                <w:rFonts w:cs="Arial"/>
              </w:rPr>
              <w:t>1 244</w:t>
            </w:r>
          </w:p>
        </w:tc>
        <w:tc>
          <w:tcPr>
            <w:tcW w:w="1418" w:type="dxa"/>
            <w:tcBorders>
              <w:top w:val="single" w:sz="6" w:space="0" w:color="auto"/>
              <w:left w:val="single" w:sz="6" w:space="0" w:color="auto"/>
              <w:bottom w:val="single" w:sz="6" w:space="0" w:color="auto"/>
              <w:right w:val="single" w:sz="6" w:space="0" w:color="auto"/>
            </w:tcBorders>
          </w:tcPr>
          <w:p w14:paraId="4817A5A5" w14:textId="77777777" w:rsidR="00CA23D0" w:rsidRPr="00E30642" w:rsidRDefault="00CA23D0" w:rsidP="00CA23D0">
            <w:pPr>
              <w:pStyle w:val="Texttabulky"/>
              <w:spacing w:line="240" w:lineRule="atLeast"/>
              <w:jc w:val="both"/>
              <w:rPr>
                <w:rFonts w:cs="Arial"/>
              </w:rPr>
            </w:pPr>
            <w:r w:rsidRPr="00E30642">
              <w:rPr>
                <w:rFonts w:cs="Arial"/>
              </w:rPr>
              <w:t>1 205</w:t>
            </w:r>
          </w:p>
        </w:tc>
        <w:tc>
          <w:tcPr>
            <w:tcW w:w="1417" w:type="dxa"/>
            <w:tcBorders>
              <w:top w:val="single" w:sz="6" w:space="0" w:color="auto"/>
              <w:left w:val="single" w:sz="6" w:space="0" w:color="auto"/>
              <w:bottom w:val="single" w:sz="6" w:space="0" w:color="auto"/>
              <w:right w:val="single" w:sz="6" w:space="0" w:color="auto"/>
            </w:tcBorders>
          </w:tcPr>
          <w:p w14:paraId="4E3A7F76" w14:textId="77777777" w:rsidR="00CA23D0" w:rsidRPr="00E30642" w:rsidRDefault="00CA23D0" w:rsidP="00CA23D0">
            <w:pPr>
              <w:pStyle w:val="Texttabulky"/>
              <w:spacing w:line="240" w:lineRule="atLeast"/>
              <w:jc w:val="both"/>
              <w:rPr>
                <w:rFonts w:cs="Arial"/>
              </w:rPr>
            </w:pPr>
            <w:r w:rsidRPr="00E30642">
              <w:rPr>
                <w:rFonts w:cs="Arial"/>
              </w:rPr>
              <w:t>1 200</w:t>
            </w:r>
          </w:p>
        </w:tc>
        <w:tc>
          <w:tcPr>
            <w:tcW w:w="1418" w:type="dxa"/>
            <w:tcBorders>
              <w:top w:val="single" w:sz="6" w:space="0" w:color="auto"/>
              <w:left w:val="single" w:sz="6" w:space="0" w:color="auto"/>
              <w:bottom w:val="single" w:sz="6" w:space="0" w:color="auto"/>
              <w:right w:val="single" w:sz="6" w:space="0" w:color="auto"/>
            </w:tcBorders>
          </w:tcPr>
          <w:p w14:paraId="3538A783" w14:textId="77777777" w:rsidR="00CA23D0" w:rsidRPr="00E30642" w:rsidRDefault="00CA23D0" w:rsidP="00CA23D0">
            <w:pPr>
              <w:pStyle w:val="Texttabulky"/>
              <w:spacing w:line="240" w:lineRule="atLeast"/>
              <w:jc w:val="both"/>
              <w:rPr>
                <w:rFonts w:cs="Arial"/>
              </w:rPr>
            </w:pPr>
            <w:r w:rsidRPr="00E30642">
              <w:rPr>
                <w:rFonts w:cs="Arial"/>
              </w:rPr>
              <w:t>1 000</w:t>
            </w:r>
          </w:p>
        </w:tc>
      </w:tr>
      <w:tr w:rsidR="00CA23D0" w:rsidRPr="00E30642" w14:paraId="037684DC" w14:textId="77777777" w:rsidTr="00CA23D0">
        <w:tc>
          <w:tcPr>
            <w:tcW w:w="1985" w:type="dxa"/>
            <w:tcBorders>
              <w:top w:val="single" w:sz="6" w:space="0" w:color="auto"/>
              <w:left w:val="single" w:sz="6" w:space="0" w:color="auto"/>
              <w:bottom w:val="single" w:sz="6" w:space="0" w:color="auto"/>
              <w:right w:val="single" w:sz="6" w:space="0" w:color="auto"/>
            </w:tcBorders>
          </w:tcPr>
          <w:p w14:paraId="7BBBD51B" w14:textId="77777777" w:rsidR="00CA23D0" w:rsidRPr="00E30642" w:rsidRDefault="00CA23D0" w:rsidP="00CA23D0">
            <w:pPr>
              <w:pStyle w:val="Texttabulky"/>
              <w:spacing w:line="240" w:lineRule="atLeast"/>
              <w:ind w:firstLine="157"/>
              <w:jc w:val="both"/>
              <w:rPr>
                <w:rFonts w:cs="Arial"/>
              </w:rPr>
            </w:pPr>
            <w:r w:rsidRPr="00E30642">
              <w:rPr>
                <w:rFonts w:cs="Arial"/>
              </w:rPr>
              <w:t>Dolní Poustevna</w:t>
            </w:r>
          </w:p>
        </w:tc>
        <w:tc>
          <w:tcPr>
            <w:tcW w:w="1414" w:type="dxa"/>
            <w:tcBorders>
              <w:top w:val="single" w:sz="6" w:space="0" w:color="auto"/>
              <w:left w:val="single" w:sz="6" w:space="0" w:color="auto"/>
              <w:bottom w:val="single" w:sz="6" w:space="0" w:color="auto"/>
              <w:right w:val="single" w:sz="6" w:space="0" w:color="auto"/>
            </w:tcBorders>
          </w:tcPr>
          <w:p w14:paraId="6FEB72C7" w14:textId="77777777" w:rsidR="00CA23D0" w:rsidRPr="00E30642" w:rsidRDefault="00CA23D0" w:rsidP="00CA23D0">
            <w:pPr>
              <w:pStyle w:val="Texttabulky"/>
              <w:spacing w:line="240" w:lineRule="atLeast"/>
              <w:jc w:val="both"/>
              <w:rPr>
                <w:rFonts w:cs="Arial"/>
              </w:rPr>
            </w:pPr>
            <w:r w:rsidRPr="00E30642">
              <w:rPr>
                <w:rFonts w:cs="Arial"/>
              </w:rPr>
              <w:t>1 107,17</w:t>
            </w:r>
          </w:p>
        </w:tc>
        <w:tc>
          <w:tcPr>
            <w:tcW w:w="1417" w:type="dxa"/>
            <w:tcBorders>
              <w:top w:val="single" w:sz="6" w:space="0" w:color="auto"/>
              <w:left w:val="single" w:sz="6" w:space="0" w:color="auto"/>
              <w:bottom w:val="single" w:sz="6" w:space="0" w:color="auto"/>
              <w:right w:val="single" w:sz="6" w:space="0" w:color="auto"/>
            </w:tcBorders>
          </w:tcPr>
          <w:p w14:paraId="369F33CE" w14:textId="77777777" w:rsidR="00CA23D0" w:rsidRPr="00E30642" w:rsidRDefault="00CA23D0" w:rsidP="00CA23D0">
            <w:pPr>
              <w:pStyle w:val="Texttabulky"/>
              <w:spacing w:line="240" w:lineRule="atLeast"/>
              <w:jc w:val="both"/>
              <w:rPr>
                <w:rFonts w:cs="Arial"/>
              </w:rPr>
            </w:pPr>
            <w:r w:rsidRPr="00E30642">
              <w:rPr>
                <w:rFonts w:cs="Arial"/>
              </w:rPr>
              <w:t>1 746</w:t>
            </w:r>
          </w:p>
        </w:tc>
        <w:tc>
          <w:tcPr>
            <w:tcW w:w="1418" w:type="dxa"/>
            <w:tcBorders>
              <w:top w:val="single" w:sz="6" w:space="0" w:color="auto"/>
              <w:left w:val="single" w:sz="6" w:space="0" w:color="auto"/>
              <w:bottom w:val="single" w:sz="6" w:space="0" w:color="auto"/>
              <w:right w:val="single" w:sz="6" w:space="0" w:color="auto"/>
            </w:tcBorders>
          </w:tcPr>
          <w:p w14:paraId="149334E3" w14:textId="77777777" w:rsidR="00CA23D0" w:rsidRPr="00E30642" w:rsidRDefault="00CA23D0" w:rsidP="00CA23D0">
            <w:pPr>
              <w:pStyle w:val="Texttabulky"/>
              <w:spacing w:line="240" w:lineRule="atLeast"/>
              <w:jc w:val="both"/>
              <w:rPr>
                <w:rFonts w:cs="Arial"/>
              </w:rPr>
            </w:pPr>
            <w:r w:rsidRPr="00E30642">
              <w:rPr>
                <w:rFonts w:cs="Arial"/>
              </w:rPr>
              <w:t>1 739</w:t>
            </w:r>
          </w:p>
        </w:tc>
        <w:tc>
          <w:tcPr>
            <w:tcW w:w="1417" w:type="dxa"/>
            <w:tcBorders>
              <w:top w:val="single" w:sz="6" w:space="0" w:color="auto"/>
              <w:left w:val="single" w:sz="6" w:space="0" w:color="auto"/>
              <w:bottom w:val="single" w:sz="6" w:space="0" w:color="auto"/>
              <w:right w:val="single" w:sz="6" w:space="0" w:color="auto"/>
            </w:tcBorders>
          </w:tcPr>
          <w:p w14:paraId="6E60B424" w14:textId="77777777" w:rsidR="00CA23D0" w:rsidRPr="00E30642" w:rsidRDefault="00CA23D0" w:rsidP="00CA23D0">
            <w:pPr>
              <w:pStyle w:val="Texttabulky"/>
              <w:spacing w:line="240" w:lineRule="atLeast"/>
              <w:jc w:val="both"/>
              <w:rPr>
                <w:rFonts w:cs="Arial"/>
              </w:rPr>
            </w:pPr>
            <w:r w:rsidRPr="00E30642">
              <w:rPr>
                <w:rFonts w:cs="Arial"/>
              </w:rPr>
              <w:t>1 750</w:t>
            </w:r>
          </w:p>
        </w:tc>
        <w:tc>
          <w:tcPr>
            <w:tcW w:w="1418" w:type="dxa"/>
            <w:tcBorders>
              <w:top w:val="single" w:sz="6" w:space="0" w:color="auto"/>
              <w:left w:val="single" w:sz="6" w:space="0" w:color="auto"/>
              <w:bottom w:val="single" w:sz="6" w:space="0" w:color="auto"/>
              <w:right w:val="single" w:sz="6" w:space="0" w:color="auto"/>
            </w:tcBorders>
          </w:tcPr>
          <w:p w14:paraId="0EEBB474" w14:textId="77777777" w:rsidR="00CA23D0" w:rsidRPr="00E30642" w:rsidRDefault="00CA23D0" w:rsidP="00CA23D0">
            <w:pPr>
              <w:pStyle w:val="Texttabulky"/>
              <w:spacing w:line="240" w:lineRule="atLeast"/>
              <w:jc w:val="both"/>
              <w:rPr>
                <w:rFonts w:cs="Arial"/>
              </w:rPr>
            </w:pPr>
            <w:r w:rsidRPr="00E30642">
              <w:rPr>
                <w:rFonts w:cs="Arial"/>
              </w:rPr>
              <w:t>1 700</w:t>
            </w:r>
          </w:p>
        </w:tc>
      </w:tr>
      <w:tr w:rsidR="00CA23D0" w:rsidRPr="00E30642" w14:paraId="544C6367" w14:textId="77777777" w:rsidTr="00CA23D0">
        <w:tc>
          <w:tcPr>
            <w:tcW w:w="1985" w:type="dxa"/>
            <w:tcBorders>
              <w:top w:val="single" w:sz="6" w:space="0" w:color="auto"/>
              <w:left w:val="single" w:sz="6" w:space="0" w:color="auto"/>
              <w:bottom w:val="single" w:sz="6" w:space="0" w:color="auto"/>
              <w:right w:val="single" w:sz="6" w:space="0" w:color="auto"/>
            </w:tcBorders>
          </w:tcPr>
          <w:p w14:paraId="74D3A0AB" w14:textId="77777777" w:rsidR="00CA23D0" w:rsidRPr="00E30642" w:rsidRDefault="00CA23D0" w:rsidP="00CA23D0">
            <w:pPr>
              <w:pStyle w:val="Texttabulky"/>
              <w:spacing w:line="240" w:lineRule="atLeast"/>
              <w:ind w:firstLine="157"/>
              <w:jc w:val="both"/>
              <w:rPr>
                <w:rFonts w:cs="Arial"/>
              </w:rPr>
            </w:pPr>
            <w:r w:rsidRPr="00E30642">
              <w:rPr>
                <w:rFonts w:cs="Arial"/>
              </w:rPr>
              <w:t>Doubice</w:t>
            </w:r>
          </w:p>
        </w:tc>
        <w:tc>
          <w:tcPr>
            <w:tcW w:w="1414" w:type="dxa"/>
            <w:tcBorders>
              <w:top w:val="single" w:sz="6" w:space="0" w:color="auto"/>
              <w:left w:val="single" w:sz="6" w:space="0" w:color="auto"/>
              <w:bottom w:val="single" w:sz="6" w:space="0" w:color="auto"/>
              <w:right w:val="single" w:sz="6" w:space="0" w:color="auto"/>
            </w:tcBorders>
          </w:tcPr>
          <w:p w14:paraId="75C7BB86" w14:textId="77777777" w:rsidR="00CA23D0" w:rsidRPr="00E30642" w:rsidRDefault="00CA23D0" w:rsidP="00CA23D0">
            <w:pPr>
              <w:pStyle w:val="Texttabulky"/>
              <w:spacing w:line="240" w:lineRule="atLeast"/>
              <w:jc w:val="both"/>
              <w:rPr>
                <w:rFonts w:cs="Arial"/>
              </w:rPr>
            </w:pPr>
            <w:r w:rsidRPr="00E30642">
              <w:rPr>
                <w:rFonts w:cs="Arial"/>
              </w:rPr>
              <w:t>1 928,75</w:t>
            </w:r>
          </w:p>
        </w:tc>
        <w:tc>
          <w:tcPr>
            <w:tcW w:w="1417" w:type="dxa"/>
            <w:tcBorders>
              <w:top w:val="single" w:sz="6" w:space="0" w:color="auto"/>
              <w:left w:val="single" w:sz="6" w:space="0" w:color="auto"/>
              <w:bottom w:val="single" w:sz="6" w:space="0" w:color="auto"/>
              <w:right w:val="single" w:sz="6" w:space="0" w:color="auto"/>
            </w:tcBorders>
          </w:tcPr>
          <w:p w14:paraId="0A720A2E" w14:textId="77777777" w:rsidR="00CA23D0" w:rsidRPr="00E30642" w:rsidRDefault="00CA23D0" w:rsidP="00CA23D0">
            <w:pPr>
              <w:pStyle w:val="Texttabulky"/>
              <w:spacing w:line="240" w:lineRule="atLeast"/>
              <w:jc w:val="both"/>
              <w:rPr>
                <w:rFonts w:cs="Arial"/>
              </w:rPr>
            </w:pPr>
            <w:r w:rsidRPr="00E30642">
              <w:rPr>
                <w:rFonts w:cs="Arial"/>
              </w:rPr>
              <w:t>53</w:t>
            </w:r>
          </w:p>
        </w:tc>
        <w:tc>
          <w:tcPr>
            <w:tcW w:w="1418" w:type="dxa"/>
            <w:tcBorders>
              <w:top w:val="single" w:sz="6" w:space="0" w:color="auto"/>
              <w:left w:val="single" w:sz="6" w:space="0" w:color="auto"/>
              <w:bottom w:val="single" w:sz="6" w:space="0" w:color="auto"/>
              <w:right w:val="single" w:sz="6" w:space="0" w:color="auto"/>
            </w:tcBorders>
          </w:tcPr>
          <w:p w14:paraId="53FD3BFC" w14:textId="77777777" w:rsidR="00CA23D0" w:rsidRPr="00E30642" w:rsidRDefault="00CA23D0" w:rsidP="00CA23D0">
            <w:pPr>
              <w:pStyle w:val="Texttabulky"/>
              <w:spacing w:line="240" w:lineRule="atLeast"/>
              <w:jc w:val="both"/>
              <w:rPr>
                <w:rFonts w:cs="Arial"/>
              </w:rPr>
            </w:pPr>
            <w:r w:rsidRPr="00E30642">
              <w:rPr>
                <w:rFonts w:cs="Arial"/>
              </w:rPr>
              <w:t>79</w:t>
            </w:r>
          </w:p>
        </w:tc>
        <w:tc>
          <w:tcPr>
            <w:tcW w:w="1417" w:type="dxa"/>
            <w:tcBorders>
              <w:top w:val="single" w:sz="6" w:space="0" w:color="auto"/>
              <w:left w:val="single" w:sz="6" w:space="0" w:color="auto"/>
              <w:bottom w:val="single" w:sz="6" w:space="0" w:color="auto"/>
              <w:right w:val="single" w:sz="6" w:space="0" w:color="auto"/>
            </w:tcBorders>
          </w:tcPr>
          <w:p w14:paraId="34F31202" w14:textId="77777777" w:rsidR="00CA23D0" w:rsidRPr="00E30642" w:rsidRDefault="00CA23D0" w:rsidP="00CA23D0">
            <w:pPr>
              <w:pStyle w:val="Texttabulky"/>
              <w:spacing w:line="240" w:lineRule="atLeast"/>
              <w:jc w:val="both"/>
              <w:rPr>
                <w:rFonts w:cs="Arial"/>
              </w:rPr>
            </w:pPr>
            <w:r w:rsidRPr="00E30642">
              <w:rPr>
                <w:rFonts w:cs="Arial"/>
              </w:rPr>
              <w:t>100</w:t>
            </w:r>
          </w:p>
        </w:tc>
        <w:tc>
          <w:tcPr>
            <w:tcW w:w="1418" w:type="dxa"/>
            <w:tcBorders>
              <w:top w:val="single" w:sz="6" w:space="0" w:color="auto"/>
              <w:left w:val="single" w:sz="6" w:space="0" w:color="auto"/>
              <w:bottom w:val="single" w:sz="6" w:space="0" w:color="auto"/>
              <w:right w:val="single" w:sz="6" w:space="0" w:color="auto"/>
            </w:tcBorders>
          </w:tcPr>
          <w:p w14:paraId="6C0699EF"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370C10AC" w14:textId="77777777" w:rsidTr="00CA23D0">
        <w:tc>
          <w:tcPr>
            <w:tcW w:w="1985" w:type="dxa"/>
            <w:tcBorders>
              <w:top w:val="single" w:sz="6" w:space="0" w:color="auto"/>
              <w:left w:val="single" w:sz="6" w:space="0" w:color="auto"/>
              <w:bottom w:val="single" w:sz="6" w:space="0" w:color="auto"/>
              <w:right w:val="single" w:sz="6" w:space="0" w:color="auto"/>
            </w:tcBorders>
          </w:tcPr>
          <w:p w14:paraId="118E50BF" w14:textId="77777777" w:rsidR="00CA23D0" w:rsidRPr="00E30642" w:rsidRDefault="00CA23D0" w:rsidP="00CA23D0">
            <w:pPr>
              <w:pStyle w:val="Texttabulky"/>
              <w:spacing w:line="240" w:lineRule="atLeast"/>
              <w:ind w:firstLine="157"/>
              <w:jc w:val="both"/>
              <w:rPr>
                <w:rFonts w:cs="Arial"/>
              </w:rPr>
            </w:pPr>
            <w:r w:rsidRPr="00E30642">
              <w:rPr>
                <w:rFonts w:cs="Arial"/>
              </w:rPr>
              <w:t>Františkov nad Ploučnicí</w:t>
            </w:r>
          </w:p>
        </w:tc>
        <w:tc>
          <w:tcPr>
            <w:tcW w:w="1414" w:type="dxa"/>
            <w:tcBorders>
              <w:top w:val="single" w:sz="6" w:space="0" w:color="auto"/>
              <w:left w:val="single" w:sz="6" w:space="0" w:color="auto"/>
              <w:bottom w:val="single" w:sz="6" w:space="0" w:color="auto"/>
              <w:right w:val="single" w:sz="6" w:space="0" w:color="auto"/>
            </w:tcBorders>
          </w:tcPr>
          <w:p w14:paraId="1BBC5933" w14:textId="77777777" w:rsidR="00CA23D0" w:rsidRPr="00E30642" w:rsidRDefault="00CA23D0" w:rsidP="00CA23D0">
            <w:pPr>
              <w:pStyle w:val="Texttabulky"/>
              <w:spacing w:line="240" w:lineRule="atLeast"/>
              <w:jc w:val="both"/>
              <w:rPr>
                <w:rFonts w:cs="Arial"/>
              </w:rPr>
            </w:pPr>
            <w:r w:rsidRPr="00E30642">
              <w:rPr>
                <w:rFonts w:cs="Arial"/>
              </w:rPr>
              <w:t>536,77</w:t>
            </w:r>
          </w:p>
        </w:tc>
        <w:tc>
          <w:tcPr>
            <w:tcW w:w="1417" w:type="dxa"/>
            <w:tcBorders>
              <w:top w:val="single" w:sz="6" w:space="0" w:color="auto"/>
              <w:left w:val="single" w:sz="6" w:space="0" w:color="auto"/>
              <w:bottom w:val="single" w:sz="6" w:space="0" w:color="auto"/>
              <w:right w:val="single" w:sz="6" w:space="0" w:color="auto"/>
            </w:tcBorders>
          </w:tcPr>
          <w:p w14:paraId="23B6BAA4" w14:textId="77777777" w:rsidR="00CA23D0" w:rsidRPr="00E30642" w:rsidRDefault="00CA23D0" w:rsidP="00CA23D0">
            <w:pPr>
              <w:pStyle w:val="Texttabulky"/>
              <w:spacing w:line="240" w:lineRule="atLeast"/>
              <w:jc w:val="both"/>
              <w:rPr>
                <w:rFonts w:cs="Arial"/>
              </w:rPr>
            </w:pPr>
            <w:r w:rsidRPr="00E30642">
              <w:rPr>
                <w:rFonts w:cs="Arial"/>
              </w:rPr>
              <w:t>397</w:t>
            </w:r>
          </w:p>
        </w:tc>
        <w:tc>
          <w:tcPr>
            <w:tcW w:w="1418" w:type="dxa"/>
            <w:tcBorders>
              <w:top w:val="single" w:sz="6" w:space="0" w:color="auto"/>
              <w:left w:val="single" w:sz="6" w:space="0" w:color="auto"/>
              <w:bottom w:val="single" w:sz="6" w:space="0" w:color="auto"/>
              <w:right w:val="single" w:sz="6" w:space="0" w:color="auto"/>
            </w:tcBorders>
          </w:tcPr>
          <w:p w14:paraId="3422F980" w14:textId="77777777" w:rsidR="00CA23D0" w:rsidRPr="00E30642" w:rsidRDefault="00CA23D0" w:rsidP="00CA23D0">
            <w:pPr>
              <w:pStyle w:val="Texttabulky"/>
              <w:spacing w:line="240" w:lineRule="atLeast"/>
              <w:jc w:val="both"/>
              <w:rPr>
                <w:rFonts w:cs="Arial"/>
              </w:rPr>
            </w:pPr>
            <w:r w:rsidRPr="00E30642">
              <w:rPr>
                <w:rFonts w:cs="Arial"/>
              </w:rPr>
              <w:t>386</w:t>
            </w:r>
          </w:p>
        </w:tc>
        <w:tc>
          <w:tcPr>
            <w:tcW w:w="1417" w:type="dxa"/>
            <w:tcBorders>
              <w:top w:val="single" w:sz="6" w:space="0" w:color="auto"/>
              <w:left w:val="single" w:sz="6" w:space="0" w:color="auto"/>
              <w:bottom w:val="single" w:sz="6" w:space="0" w:color="auto"/>
              <w:right w:val="single" w:sz="6" w:space="0" w:color="auto"/>
            </w:tcBorders>
          </w:tcPr>
          <w:p w14:paraId="3CCA67C3" w14:textId="77777777" w:rsidR="00CA23D0" w:rsidRPr="00E30642" w:rsidRDefault="00CA23D0" w:rsidP="00CA23D0">
            <w:pPr>
              <w:pStyle w:val="Texttabulky"/>
              <w:spacing w:line="240" w:lineRule="atLeast"/>
              <w:jc w:val="both"/>
              <w:rPr>
                <w:rFonts w:cs="Arial"/>
              </w:rPr>
            </w:pPr>
            <w:r w:rsidRPr="00E30642">
              <w:rPr>
                <w:rFonts w:cs="Arial"/>
              </w:rPr>
              <w:t>300</w:t>
            </w:r>
          </w:p>
        </w:tc>
        <w:tc>
          <w:tcPr>
            <w:tcW w:w="1418" w:type="dxa"/>
            <w:tcBorders>
              <w:top w:val="single" w:sz="6" w:space="0" w:color="auto"/>
              <w:left w:val="single" w:sz="6" w:space="0" w:color="auto"/>
              <w:bottom w:val="single" w:sz="6" w:space="0" w:color="auto"/>
              <w:right w:val="single" w:sz="6" w:space="0" w:color="auto"/>
            </w:tcBorders>
          </w:tcPr>
          <w:p w14:paraId="3BFB6986"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03202751" w14:textId="77777777" w:rsidTr="00CA23D0">
        <w:tc>
          <w:tcPr>
            <w:tcW w:w="1985" w:type="dxa"/>
            <w:tcBorders>
              <w:top w:val="single" w:sz="6" w:space="0" w:color="auto"/>
              <w:left w:val="single" w:sz="6" w:space="0" w:color="auto"/>
              <w:bottom w:val="single" w:sz="6" w:space="0" w:color="auto"/>
              <w:right w:val="single" w:sz="6" w:space="0" w:color="auto"/>
            </w:tcBorders>
          </w:tcPr>
          <w:p w14:paraId="64E86BE7" w14:textId="77777777" w:rsidR="00CA23D0" w:rsidRPr="00E30642" w:rsidRDefault="00CA23D0" w:rsidP="00CA23D0">
            <w:pPr>
              <w:pStyle w:val="Texttabulky"/>
              <w:spacing w:line="240" w:lineRule="atLeast"/>
              <w:ind w:firstLine="157"/>
              <w:jc w:val="both"/>
              <w:rPr>
                <w:rFonts w:cs="Arial"/>
              </w:rPr>
            </w:pPr>
            <w:r w:rsidRPr="00E30642">
              <w:rPr>
                <w:rFonts w:cs="Arial"/>
              </w:rPr>
              <w:t>Heřmanov</w:t>
            </w:r>
          </w:p>
        </w:tc>
        <w:tc>
          <w:tcPr>
            <w:tcW w:w="1414" w:type="dxa"/>
            <w:tcBorders>
              <w:top w:val="single" w:sz="6" w:space="0" w:color="auto"/>
              <w:left w:val="single" w:sz="6" w:space="0" w:color="auto"/>
              <w:bottom w:val="single" w:sz="6" w:space="0" w:color="auto"/>
              <w:right w:val="single" w:sz="6" w:space="0" w:color="auto"/>
            </w:tcBorders>
          </w:tcPr>
          <w:p w14:paraId="43805974" w14:textId="77777777" w:rsidR="00CA23D0" w:rsidRPr="00E30642" w:rsidRDefault="00CA23D0" w:rsidP="00CA23D0">
            <w:pPr>
              <w:pStyle w:val="Texttabulky"/>
              <w:spacing w:line="240" w:lineRule="atLeast"/>
              <w:jc w:val="both"/>
              <w:rPr>
                <w:rFonts w:cs="Arial"/>
              </w:rPr>
            </w:pPr>
            <w:r w:rsidRPr="00E30642">
              <w:rPr>
                <w:rFonts w:cs="Arial"/>
              </w:rPr>
              <w:t>1 771,1</w:t>
            </w:r>
          </w:p>
        </w:tc>
        <w:tc>
          <w:tcPr>
            <w:tcW w:w="1417" w:type="dxa"/>
            <w:tcBorders>
              <w:top w:val="single" w:sz="6" w:space="0" w:color="auto"/>
              <w:left w:val="single" w:sz="6" w:space="0" w:color="auto"/>
              <w:bottom w:val="single" w:sz="6" w:space="0" w:color="auto"/>
              <w:right w:val="single" w:sz="6" w:space="0" w:color="auto"/>
            </w:tcBorders>
          </w:tcPr>
          <w:p w14:paraId="2DF49D7E" w14:textId="77777777" w:rsidR="00CA23D0" w:rsidRPr="00E30642" w:rsidRDefault="00CA23D0" w:rsidP="00CA23D0">
            <w:pPr>
              <w:pStyle w:val="Texttabulky"/>
              <w:spacing w:line="240" w:lineRule="atLeast"/>
              <w:jc w:val="both"/>
              <w:rPr>
                <w:rFonts w:cs="Arial"/>
              </w:rPr>
            </w:pPr>
            <w:r w:rsidRPr="00E30642">
              <w:rPr>
                <w:rFonts w:cs="Arial"/>
              </w:rPr>
              <w:t>395</w:t>
            </w:r>
          </w:p>
        </w:tc>
        <w:tc>
          <w:tcPr>
            <w:tcW w:w="1418" w:type="dxa"/>
            <w:tcBorders>
              <w:top w:val="single" w:sz="6" w:space="0" w:color="auto"/>
              <w:left w:val="single" w:sz="6" w:space="0" w:color="auto"/>
              <w:bottom w:val="single" w:sz="6" w:space="0" w:color="auto"/>
              <w:right w:val="single" w:sz="6" w:space="0" w:color="auto"/>
            </w:tcBorders>
          </w:tcPr>
          <w:p w14:paraId="1C4AC943" w14:textId="77777777" w:rsidR="00CA23D0" w:rsidRPr="00E30642" w:rsidRDefault="00CA23D0" w:rsidP="00CA23D0">
            <w:pPr>
              <w:pStyle w:val="Texttabulky"/>
              <w:spacing w:line="240" w:lineRule="atLeast"/>
              <w:jc w:val="both"/>
              <w:rPr>
                <w:rFonts w:cs="Arial"/>
              </w:rPr>
            </w:pPr>
            <w:r w:rsidRPr="00E30642">
              <w:rPr>
                <w:rFonts w:cs="Arial"/>
              </w:rPr>
              <w:t>439</w:t>
            </w:r>
          </w:p>
        </w:tc>
        <w:tc>
          <w:tcPr>
            <w:tcW w:w="1417" w:type="dxa"/>
            <w:tcBorders>
              <w:top w:val="single" w:sz="6" w:space="0" w:color="auto"/>
              <w:left w:val="single" w:sz="6" w:space="0" w:color="auto"/>
              <w:bottom w:val="single" w:sz="6" w:space="0" w:color="auto"/>
              <w:right w:val="single" w:sz="6" w:space="0" w:color="auto"/>
            </w:tcBorders>
          </w:tcPr>
          <w:p w14:paraId="7C17C4AF"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36E17A5E"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55C40F05" w14:textId="77777777" w:rsidTr="00CA23D0">
        <w:tc>
          <w:tcPr>
            <w:tcW w:w="1985" w:type="dxa"/>
            <w:tcBorders>
              <w:top w:val="single" w:sz="6" w:space="0" w:color="auto"/>
              <w:left w:val="single" w:sz="6" w:space="0" w:color="auto"/>
              <w:bottom w:val="single" w:sz="6" w:space="0" w:color="auto"/>
              <w:right w:val="single" w:sz="6" w:space="0" w:color="auto"/>
            </w:tcBorders>
          </w:tcPr>
          <w:p w14:paraId="039106A0" w14:textId="77777777" w:rsidR="00CA23D0" w:rsidRPr="00E30642" w:rsidRDefault="00CA23D0" w:rsidP="00CA23D0">
            <w:pPr>
              <w:pStyle w:val="Texttabulky"/>
              <w:spacing w:line="240" w:lineRule="atLeast"/>
              <w:ind w:firstLine="157"/>
              <w:jc w:val="both"/>
              <w:rPr>
                <w:rFonts w:cs="Arial"/>
              </w:rPr>
            </w:pPr>
            <w:r w:rsidRPr="00E30642">
              <w:rPr>
                <w:rFonts w:cs="Arial"/>
              </w:rPr>
              <w:t>Horní Habartice</w:t>
            </w:r>
          </w:p>
        </w:tc>
        <w:tc>
          <w:tcPr>
            <w:tcW w:w="1414" w:type="dxa"/>
            <w:tcBorders>
              <w:top w:val="single" w:sz="6" w:space="0" w:color="auto"/>
              <w:left w:val="single" w:sz="6" w:space="0" w:color="auto"/>
              <w:bottom w:val="single" w:sz="6" w:space="0" w:color="auto"/>
              <w:right w:val="single" w:sz="6" w:space="0" w:color="auto"/>
            </w:tcBorders>
          </w:tcPr>
          <w:p w14:paraId="6DB7E471" w14:textId="77777777" w:rsidR="00CA23D0" w:rsidRPr="00E30642" w:rsidRDefault="00CA23D0" w:rsidP="00CA23D0">
            <w:pPr>
              <w:pStyle w:val="Texttabulky"/>
              <w:spacing w:line="240" w:lineRule="atLeast"/>
              <w:jc w:val="both"/>
              <w:rPr>
                <w:rFonts w:cs="Arial"/>
              </w:rPr>
            </w:pPr>
            <w:r w:rsidRPr="00E30642">
              <w:rPr>
                <w:rFonts w:cs="Arial"/>
              </w:rPr>
              <w:t>726,43</w:t>
            </w:r>
          </w:p>
        </w:tc>
        <w:tc>
          <w:tcPr>
            <w:tcW w:w="1417" w:type="dxa"/>
            <w:tcBorders>
              <w:top w:val="single" w:sz="6" w:space="0" w:color="auto"/>
              <w:left w:val="single" w:sz="6" w:space="0" w:color="auto"/>
              <w:bottom w:val="single" w:sz="6" w:space="0" w:color="auto"/>
              <w:right w:val="single" w:sz="6" w:space="0" w:color="auto"/>
            </w:tcBorders>
          </w:tcPr>
          <w:p w14:paraId="42C3BC5A" w14:textId="77777777" w:rsidR="00CA23D0" w:rsidRPr="00E30642" w:rsidRDefault="00CA23D0" w:rsidP="00CA23D0">
            <w:pPr>
              <w:pStyle w:val="Texttabulky"/>
              <w:spacing w:line="240" w:lineRule="atLeast"/>
              <w:jc w:val="both"/>
              <w:rPr>
                <w:rFonts w:cs="Arial"/>
              </w:rPr>
            </w:pPr>
            <w:r w:rsidRPr="00E30642">
              <w:rPr>
                <w:rFonts w:cs="Arial"/>
              </w:rPr>
              <w:t>368</w:t>
            </w:r>
          </w:p>
        </w:tc>
        <w:tc>
          <w:tcPr>
            <w:tcW w:w="1418" w:type="dxa"/>
            <w:tcBorders>
              <w:top w:val="single" w:sz="6" w:space="0" w:color="auto"/>
              <w:left w:val="single" w:sz="6" w:space="0" w:color="auto"/>
              <w:bottom w:val="single" w:sz="6" w:space="0" w:color="auto"/>
              <w:right w:val="single" w:sz="6" w:space="0" w:color="auto"/>
            </w:tcBorders>
          </w:tcPr>
          <w:p w14:paraId="6A1D963E" w14:textId="77777777" w:rsidR="00CA23D0" w:rsidRPr="00E30642" w:rsidRDefault="00CA23D0" w:rsidP="00CA23D0">
            <w:pPr>
              <w:pStyle w:val="Texttabulky"/>
              <w:spacing w:line="240" w:lineRule="atLeast"/>
              <w:jc w:val="both"/>
              <w:rPr>
                <w:rFonts w:cs="Arial"/>
              </w:rPr>
            </w:pPr>
            <w:r w:rsidRPr="00E30642">
              <w:rPr>
                <w:rFonts w:cs="Arial"/>
              </w:rPr>
              <w:t>368</w:t>
            </w:r>
          </w:p>
        </w:tc>
        <w:tc>
          <w:tcPr>
            <w:tcW w:w="1417" w:type="dxa"/>
            <w:tcBorders>
              <w:top w:val="single" w:sz="6" w:space="0" w:color="auto"/>
              <w:left w:val="single" w:sz="6" w:space="0" w:color="auto"/>
              <w:bottom w:val="single" w:sz="6" w:space="0" w:color="auto"/>
              <w:right w:val="single" w:sz="6" w:space="0" w:color="auto"/>
            </w:tcBorders>
          </w:tcPr>
          <w:p w14:paraId="0C19C8A8" w14:textId="77777777" w:rsidR="00CA23D0" w:rsidRPr="00E30642" w:rsidRDefault="00CA23D0" w:rsidP="00CA23D0">
            <w:pPr>
              <w:pStyle w:val="Texttabulky"/>
              <w:spacing w:line="240" w:lineRule="atLeast"/>
              <w:jc w:val="both"/>
              <w:rPr>
                <w:rFonts w:cs="Arial"/>
              </w:rPr>
            </w:pPr>
            <w:r w:rsidRPr="00E30642">
              <w:rPr>
                <w:rFonts w:cs="Arial"/>
              </w:rPr>
              <w:t>300</w:t>
            </w:r>
          </w:p>
        </w:tc>
        <w:tc>
          <w:tcPr>
            <w:tcW w:w="1418" w:type="dxa"/>
            <w:tcBorders>
              <w:top w:val="single" w:sz="6" w:space="0" w:color="auto"/>
              <w:left w:val="single" w:sz="6" w:space="0" w:color="auto"/>
              <w:bottom w:val="single" w:sz="6" w:space="0" w:color="auto"/>
              <w:right w:val="single" w:sz="6" w:space="0" w:color="auto"/>
            </w:tcBorders>
          </w:tcPr>
          <w:p w14:paraId="5433795F" w14:textId="77777777" w:rsidR="00CA23D0" w:rsidRPr="00E30642" w:rsidRDefault="00CA23D0" w:rsidP="00CA23D0">
            <w:pPr>
              <w:pStyle w:val="Texttabulky"/>
              <w:spacing w:line="240" w:lineRule="atLeast"/>
              <w:jc w:val="both"/>
              <w:rPr>
                <w:rFonts w:cs="Arial"/>
              </w:rPr>
            </w:pPr>
            <w:r w:rsidRPr="00E30642">
              <w:rPr>
                <w:rFonts w:cs="Arial"/>
              </w:rPr>
              <w:t>350</w:t>
            </w:r>
          </w:p>
        </w:tc>
      </w:tr>
      <w:tr w:rsidR="00CA23D0" w:rsidRPr="00E30642" w14:paraId="5785FB05" w14:textId="77777777" w:rsidTr="00CA23D0">
        <w:tc>
          <w:tcPr>
            <w:tcW w:w="1985" w:type="dxa"/>
            <w:tcBorders>
              <w:top w:val="single" w:sz="6" w:space="0" w:color="auto"/>
              <w:left w:val="single" w:sz="6" w:space="0" w:color="auto"/>
              <w:bottom w:val="single" w:sz="6" w:space="0" w:color="auto"/>
              <w:right w:val="single" w:sz="6" w:space="0" w:color="auto"/>
            </w:tcBorders>
          </w:tcPr>
          <w:p w14:paraId="5D812707" w14:textId="77777777" w:rsidR="00CA23D0" w:rsidRPr="00E30642" w:rsidRDefault="00CA23D0" w:rsidP="00CA23D0">
            <w:pPr>
              <w:pStyle w:val="Texttabulky"/>
              <w:spacing w:line="240" w:lineRule="atLeast"/>
              <w:ind w:firstLine="157"/>
              <w:jc w:val="both"/>
              <w:rPr>
                <w:rFonts w:cs="Arial"/>
              </w:rPr>
            </w:pPr>
            <w:r w:rsidRPr="00E30642">
              <w:rPr>
                <w:rFonts w:cs="Arial"/>
              </w:rPr>
              <w:t>Horní Podluží</w:t>
            </w:r>
          </w:p>
        </w:tc>
        <w:tc>
          <w:tcPr>
            <w:tcW w:w="1414" w:type="dxa"/>
            <w:tcBorders>
              <w:top w:val="single" w:sz="6" w:space="0" w:color="auto"/>
              <w:left w:val="single" w:sz="6" w:space="0" w:color="auto"/>
              <w:bottom w:val="single" w:sz="6" w:space="0" w:color="auto"/>
              <w:right w:val="single" w:sz="6" w:space="0" w:color="auto"/>
            </w:tcBorders>
          </w:tcPr>
          <w:p w14:paraId="3EC32D2E" w14:textId="77777777" w:rsidR="00CA23D0" w:rsidRPr="00E30642" w:rsidRDefault="00CA23D0" w:rsidP="00CA23D0">
            <w:pPr>
              <w:pStyle w:val="Texttabulky"/>
              <w:spacing w:line="240" w:lineRule="atLeast"/>
              <w:jc w:val="both"/>
              <w:rPr>
                <w:rFonts w:cs="Arial"/>
              </w:rPr>
            </w:pPr>
            <w:r w:rsidRPr="00E30642">
              <w:rPr>
                <w:rFonts w:cs="Arial"/>
              </w:rPr>
              <w:t>732,1</w:t>
            </w:r>
          </w:p>
        </w:tc>
        <w:tc>
          <w:tcPr>
            <w:tcW w:w="1417" w:type="dxa"/>
            <w:tcBorders>
              <w:top w:val="single" w:sz="6" w:space="0" w:color="auto"/>
              <w:left w:val="single" w:sz="6" w:space="0" w:color="auto"/>
              <w:bottom w:val="single" w:sz="6" w:space="0" w:color="auto"/>
              <w:right w:val="single" w:sz="6" w:space="0" w:color="auto"/>
            </w:tcBorders>
          </w:tcPr>
          <w:p w14:paraId="60A91E4B" w14:textId="77777777" w:rsidR="00CA23D0" w:rsidRPr="00E30642" w:rsidRDefault="00CA23D0" w:rsidP="00CA23D0">
            <w:pPr>
              <w:pStyle w:val="Texttabulky"/>
              <w:spacing w:line="240" w:lineRule="atLeast"/>
              <w:jc w:val="both"/>
              <w:rPr>
                <w:rFonts w:cs="Arial"/>
              </w:rPr>
            </w:pPr>
            <w:r w:rsidRPr="00E30642">
              <w:rPr>
                <w:rFonts w:cs="Arial"/>
              </w:rPr>
              <w:t>687</w:t>
            </w:r>
          </w:p>
        </w:tc>
        <w:tc>
          <w:tcPr>
            <w:tcW w:w="1418" w:type="dxa"/>
            <w:tcBorders>
              <w:top w:val="single" w:sz="6" w:space="0" w:color="auto"/>
              <w:left w:val="single" w:sz="6" w:space="0" w:color="auto"/>
              <w:bottom w:val="single" w:sz="6" w:space="0" w:color="auto"/>
              <w:right w:val="single" w:sz="6" w:space="0" w:color="auto"/>
            </w:tcBorders>
          </w:tcPr>
          <w:p w14:paraId="52FC0241" w14:textId="77777777" w:rsidR="00CA23D0" w:rsidRPr="00E30642" w:rsidRDefault="00CA23D0" w:rsidP="00CA23D0">
            <w:pPr>
              <w:pStyle w:val="Texttabulky"/>
              <w:spacing w:line="240" w:lineRule="atLeast"/>
              <w:jc w:val="both"/>
              <w:rPr>
                <w:rFonts w:cs="Arial"/>
              </w:rPr>
            </w:pPr>
            <w:r w:rsidRPr="00E30642">
              <w:rPr>
                <w:rFonts w:cs="Arial"/>
              </w:rPr>
              <w:t>698</w:t>
            </w:r>
          </w:p>
        </w:tc>
        <w:tc>
          <w:tcPr>
            <w:tcW w:w="1417" w:type="dxa"/>
            <w:tcBorders>
              <w:top w:val="single" w:sz="6" w:space="0" w:color="auto"/>
              <w:left w:val="single" w:sz="6" w:space="0" w:color="auto"/>
              <w:bottom w:val="single" w:sz="6" w:space="0" w:color="auto"/>
              <w:right w:val="single" w:sz="6" w:space="0" w:color="auto"/>
            </w:tcBorders>
          </w:tcPr>
          <w:p w14:paraId="28EF5DBE"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01EC0B9B" w14:textId="77777777" w:rsidR="00CA23D0" w:rsidRPr="00E30642" w:rsidRDefault="00CA23D0" w:rsidP="00CA23D0">
            <w:pPr>
              <w:pStyle w:val="Texttabulky"/>
              <w:spacing w:line="240" w:lineRule="atLeast"/>
              <w:jc w:val="both"/>
              <w:rPr>
                <w:rFonts w:cs="Arial"/>
              </w:rPr>
            </w:pPr>
            <w:r w:rsidRPr="00E30642">
              <w:rPr>
                <w:rFonts w:cs="Arial"/>
              </w:rPr>
              <w:t>600</w:t>
            </w:r>
          </w:p>
        </w:tc>
      </w:tr>
      <w:tr w:rsidR="00CA23D0" w:rsidRPr="00E30642" w14:paraId="79C6146E" w14:textId="77777777" w:rsidTr="00CA23D0">
        <w:tc>
          <w:tcPr>
            <w:tcW w:w="1985" w:type="dxa"/>
            <w:tcBorders>
              <w:top w:val="single" w:sz="6" w:space="0" w:color="auto"/>
              <w:left w:val="single" w:sz="6" w:space="0" w:color="auto"/>
              <w:bottom w:val="single" w:sz="6" w:space="0" w:color="auto"/>
              <w:right w:val="single" w:sz="6" w:space="0" w:color="auto"/>
            </w:tcBorders>
          </w:tcPr>
          <w:p w14:paraId="49FBD41F" w14:textId="77777777" w:rsidR="00CA23D0" w:rsidRPr="00E30642" w:rsidRDefault="00CA23D0" w:rsidP="00CA23D0">
            <w:pPr>
              <w:pStyle w:val="Texttabulky"/>
              <w:spacing w:line="240" w:lineRule="atLeast"/>
              <w:ind w:firstLine="157"/>
              <w:jc w:val="both"/>
              <w:rPr>
                <w:rFonts w:cs="Arial"/>
              </w:rPr>
            </w:pPr>
            <w:r w:rsidRPr="00E30642">
              <w:rPr>
                <w:rFonts w:cs="Arial"/>
              </w:rPr>
              <w:t>Hřensko</w:t>
            </w:r>
          </w:p>
        </w:tc>
        <w:tc>
          <w:tcPr>
            <w:tcW w:w="1414" w:type="dxa"/>
            <w:tcBorders>
              <w:top w:val="single" w:sz="6" w:space="0" w:color="auto"/>
              <w:left w:val="single" w:sz="6" w:space="0" w:color="auto"/>
              <w:bottom w:val="single" w:sz="6" w:space="0" w:color="auto"/>
              <w:right w:val="single" w:sz="6" w:space="0" w:color="auto"/>
            </w:tcBorders>
          </w:tcPr>
          <w:p w14:paraId="5D0589EB" w14:textId="77777777" w:rsidR="00CA23D0" w:rsidRPr="00E30642" w:rsidRDefault="00CA23D0" w:rsidP="00CA23D0">
            <w:pPr>
              <w:pStyle w:val="Texttabulky"/>
              <w:spacing w:line="240" w:lineRule="atLeast"/>
              <w:jc w:val="both"/>
              <w:rPr>
                <w:rFonts w:cs="Arial"/>
              </w:rPr>
            </w:pPr>
            <w:r w:rsidRPr="00E30642">
              <w:rPr>
                <w:rFonts w:cs="Arial"/>
              </w:rPr>
              <w:t>1 990,69</w:t>
            </w:r>
          </w:p>
        </w:tc>
        <w:tc>
          <w:tcPr>
            <w:tcW w:w="1417" w:type="dxa"/>
            <w:tcBorders>
              <w:top w:val="single" w:sz="6" w:space="0" w:color="auto"/>
              <w:left w:val="single" w:sz="6" w:space="0" w:color="auto"/>
              <w:bottom w:val="single" w:sz="6" w:space="0" w:color="auto"/>
              <w:right w:val="single" w:sz="6" w:space="0" w:color="auto"/>
            </w:tcBorders>
          </w:tcPr>
          <w:p w14:paraId="3888E259" w14:textId="77777777" w:rsidR="00CA23D0" w:rsidRPr="00E30642" w:rsidRDefault="00CA23D0" w:rsidP="00CA23D0">
            <w:pPr>
              <w:pStyle w:val="Texttabulky"/>
              <w:spacing w:line="240" w:lineRule="atLeast"/>
              <w:jc w:val="both"/>
              <w:rPr>
                <w:rFonts w:cs="Arial"/>
              </w:rPr>
            </w:pPr>
            <w:r w:rsidRPr="00E30642">
              <w:rPr>
                <w:rFonts w:cs="Arial"/>
              </w:rPr>
              <w:t>199</w:t>
            </w:r>
          </w:p>
        </w:tc>
        <w:tc>
          <w:tcPr>
            <w:tcW w:w="1418" w:type="dxa"/>
            <w:tcBorders>
              <w:top w:val="single" w:sz="6" w:space="0" w:color="auto"/>
              <w:left w:val="single" w:sz="6" w:space="0" w:color="auto"/>
              <w:bottom w:val="single" w:sz="6" w:space="0" w:color="auto"/>
              <w:right w:val="single" w:sz="6" w:space="0" w:color="auto"/>
            </w:tcBorders>
          </w:tcPr>
          <w:p w14:paraId="76605256" w14:textId="77777777" w:rsidR="00CA23D0" w:rsidRPr="00E30642" w:rsidRDefault="00CA23D0" w:rsidP="00CA23D0">
            <w:pPr>
              <w:pStyle w:val="Texttabulky"/>
              <w:spacing w:line="240" w:lineRule="atLeast"/>
              <w:jc w:val="both"/>
              <w:rPr>
                <w:rFonts w:cs="Arial"/>
              </w:rPr>
            </w:pPr>
            <w:r w:rsidRPr="00E30642">
              <w:rPr>
                <w:rFonts w:cs="Arial"/>
              </w:rPr>
              <w:t>234</w:t>
            </w:r>
          </w:p>
        </w:tc>
        <w:tc>
          <w:tcPr>
            <w:tcW w:w="1417" w:type="dxa"/>
            <w:tcBorders>
              <w:top w:val="single" w:sz="6" w:space="0" w:color="auto"/>
              <w:left w:val="single" w:sz="6" w:space="0" w:color="auto"/>
              <w:bottom w:val="single" w:sz="6" w:space="0" w:color="auto"/>
              <w:right w:val="single" w:sz="6" w:space="0" w:color="auto"/>
            </w:tcBorders>
          </w:tcPr>
          <w:p w14:paraId="68439D8F" w14:textId="77777777" w:rsidR="00CA23D0" w:rsidRPr="00E30642" w:rsidRDefault="00CA23D0" w:rsidP="00CA23D0">
            <w:pPr>
              <w:pStyle w:val="Texttabulky"/>
              <w:spacing w:line="240" w:lineRule="atLeast"/>
              <w:jc w:val="both"/>
              <w:rPr>
                <w:rFonts w:cs="Arial"/>
              </w:rPr>
            </w:pPr>
            <w:r w:rsidRPr="00E30642">
              <w:rPr>
                <w:rFonts w:cs="Arial"/>
              </w:rPr>
              <w:t>250</w:t>
            </w:r>
          </w:p>
        </w:tc>
        <w:tc>
          <w:tcPr>
            <w:tcW w:w="1418" w:type="dxa"/>
            <w:tcBorders>
              <w:top w:val="single" w:sz="6" w:space="0" w:color="auto"/>
              <w:left w:val="single" w:sz="6" w:space="0" w:color="auto"/>
              <w:bottom w:val="single" w:sz="6" w:space="0" w:color="auto"/>
              <w:right w:val="single" w:sz="6" w:space="0" w:color="auto"/>
            </w:tcBorders>
          </w:tcPr>
          <w:p w14:paraId="05005B95"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4E8FF326" w14:textId="77777777" w:rsidTr="00CA23D0">
        <w:tc>
          <w:tcPr>
            <w:tcW w:w="1985" w:type="dxa"/>
            <w:tcBorders>
              <w:top w:val="single" w:sz="6" w:space="0" w:color="auto"/>
              <w:left w:val="single" w:sz="6" w:space="0" w:color="auto"/>
              <w:bottom w:val="single" w:sz="6" w:space="0" w:color="auto"/>
              <w:right w:val="single" w:sz="6" w:space="0" w:color="auto"/>
            </w:tcBorders>
          </w:tcPr>
          <w:p w14:paraId="3F0AADBB" w14:textId="77777777" w:rsidR="00CA23D0" w:rsidRPr="00E30642" w:rsidRDefault="00CA23D0" w:rsidP="00CA23D0">
            <w:pPr>
              <w:pStyle w:val="Texttabulky"/>
              <w:spacing w:line="240" w:lineRule="atLeast"/>
              <w:ind w:firstLine="157"/>
              <w:jc w:val="both"/>
              <w:rPr>
                <w:rFonts w:cs="Arial"/>
              </w:rPr>
            </w:pPr>
            <w:r w:rsidRPr="00E30642">
              <w:rPr>
                <w:rFonts w:cs="Arial"/>
              </w:rPr>
              <w:t>Huntířov</w:t>
            </w:r>
          </w:p>
        </w:tc>
        <w:tc>
          <w:tcPr>
            <w:tcW w:w="1414" w:type="dxa"/>
            <w:tcBorders>
              <w:top w:val="single" w:sz="6" w:space="0" w:color="auto"/>
              <w:left w:val="single" w:sz="6" w:space="0" w:color="auto"/>
              <w:bottom w:val="single" w:sz="6" w:space="0" w:color="auto"/>
              <w:right w:val="single" w:sz="6" w:space="0" w:color="auto"/>
            </w:tcBorders>
          </w:tcPr>
          <w:p w14:paraId="17B7BCD2" w14:textId="77777777" w:rsidR="00CA23D0" w:rsidRPr="00E30642" w:rsidRDefault="00CA23D0" w:rsidP="00CA23D0">
            <w:pPr>
              <w:pStyle w:val="Texttabulky"/>
              <w:spacing w:line="240" w:lineRule="atLeast"/>
              <w:jc w:val="both"/>
              <w:rPr>
                <w:rFonts w:cs="Arial"/>
              </w:rPr>
            </w:pPr>
            <w:r w:rsidRPr="00E30642">
              <w:rPr>
                <w:rFonts w:cs="Arial"/>
              </w:rPr>
              <w:t>1 423,19</w:t>
            </w:r>
          </w:p>
        </w:tc>
        <w:tc>
          <w:tcPr>
            <w:tcW w:w="1417" w:type="dxa"/>
            <w:tcBorders>
              <w:top w:val="single" w:sz="6" w:space="0" w:color="auto"/>
              <w:left w:val="single" w:sz="6" w:space="0" w:color="auto"/>
              <w:bottom w:val="single" w:sz="6" w:space="0" w:color="auto"/>
              <w:right w:val="single" w:sz="6" w:space="0" w:color="auto"/>
            </w:tcBorders>
          </w:tcPr>
          <w:p w14:paraId="7ED38E9D" w14:textId="77777777" w:rsidR="00CA23D0" w:rsidRPr="00E30642" w:rsidRDefault="00CA23D0" w:rsidP="00CA23D0">
            <w:pPr>
              <w:pStyle w:val="Texttabulky"/>
              <w:spacing w:line="240" w:lineRule="atLeast"/>
              <w:jc w:val="both"/>
              <w:rPr>
                <w:rFonts w:cs="Arial"/>
              </w:rPr>
            </w:pPr>
            <w:r w:rsidRPr="00E30642">
              <w:rPr>
                <w:rFonts w:cs="Arial"/>
              </w:rPr>
              <w:t>535</w:t>
            </w:r>
          </w:p>
        </w:tc>
        <w:tc>
          <w:tcPr>
            <w:tcW w:w="1418" w:type="dxa"/>
            <w:tcBorders>
              <w:top w:val="single" w:sz="6" w:space="0" w:color="auto"/>
              <w:left w:val="single" w:sz="6" w:space="0" w:color="auto"/>
              <w:bottom w:val="single" w:sz="6" w:space="0" w:color="auto"/>
              <w:right w:val="single" w:sz="6" w:space="0" w:color="auto"/>
            </w:tcBorders>
          </w:tcPr>
          <w:p w14:paraId="1513246F" w14:textId="77777777" w:rsidR="00CA23D0" w:rsidRPr="00E30642" w:rsidRDefault="00CA23D0" w:rsidP="00CA23D0">
            <w:pPr>
              <w:pStyle w:val="Texttabulky"/>
              <w:spacing w:line="240" w:lineRule="atLeast"/>
              <w:jc w:val="both"/>
              <w:rPr>
                <w:rFonts w:cs="Arial"/>
              </w:rPr>
            </w:pPr>
            <w:r w:rsidRPr="00E30642">
              <w:rPr>
                <w:rFonts w:cs="Arial"/>
              </w:rPr>
              <w:t>644</w:t>
            </w:r>
          </w:p>
        </w:tc>
        <w:tc>
          <w:tcPr>
            <w:tcW w:w="1417" w:type="dxa"/>
            <w:tcBorders>
              <w:top w:val="single" w:sz="6" w:space="0" w:color="auto"/>
              <w:left w:val="single" w:sz="6" w:space="0" w:color="auto"/>
              <w:bottom w:val="single" w:sz="6" w:space="0" w:color="auto"/>
              <w:right w:val="single" w:sz="6" w:space="0" w:color="auto"/>
            </w:tcBorders>
          </w:tcPr>
          <w:p w14:paraId="1A69727F"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5A5A2024" w14:textId="77777777" w:rsidR="00CA23D0" w:rsidRPr="00E30642" w:rsidRDefault="00CA23D0" w:rsidP="00CA23D0">
            <w:pPr>
              <w:pStyle w:val="Texttabulky"/>
              <w:spacing w:line="240" w:lineRule="atLeast"/>
              <w:jc w:val="both"/>
              <w:rPr>
                <w:rFonts w:cs="Arial"/>
              </w:rPr>
            </w:pPr>
            <w:r w:rsidRPr="00E30642">
              <w:rPr>
                <w:rFonts w:cs="Arial"/>
              </w:rPr>
              <w:t>850</w:t>
            </w:r>
          </w:p>
        </w:tc>
      </w:tr>
      <w:tr w:rsidR="00CA23D0" w:rsidRPr="00E30642" w14:paraId="69724716" w14:textId="77777777" w:rsidTr="00CA23D0">
        <w:tc>
          <w:tcPr>
            <w:tcW w:w="1985" w:type="dxa"/>
            <w:tcBorders>
              <w:top w:val="single" w:sz="6" w:space="0" w:color="auto"/>
              <w:left w:val="single" w:sz="6" w:space="0" w:color="auto"/>
              <w:bottom w:val="single" w:sz="6" w:space="0" w:color="auto"/>
              <w:right w:val="single" w:sz="6" w:space="0" w:color="auto"/>
            </w:tcBorders>
          </w:tcPr>
          <w:p w14:paraId="036FCC21" w14:textId="77777777" w:rsidR="00CA23D0" w:rsidRPr="00E30642" w:rsidRDefault="00CA23D0" w:rsidP="00CA23D0">
            <w:pPr>
              <w:pStyle w:val="Texttabulky"/>
              <w:spacing w:line="240" w:lineRule="atLeast"/>
              <w:ind w:firstLine="157"/>
              <w:jc w:val="both"/>
              <w:rPr>
                <w:rFonts w:cs="Arial"/>
              </w:rPr>
            </w:pPr>
            <w:r w:rsidRPr="00E30642">
              <w:rPr>
                <w:rFonts w:cs="Arial"/>
              </w:rPr>
              <w:t>Chřibská</w:t>
            </w:r>
          </w:p>
        </w:tc>
        <w:tc>
          <w:tcPr>
            <w:tcW w:w="1414" w:type="dxa"/>
            <w:tcBorders>
              <w:top w:val="single" w:sz="6" w:space="0" w:color="auto"/>
              <w:left w:val="single" w:sz="6" w:space="0" w:color="auto"/>
              <w:bottom w:val="single" w:sz="6" w:space="0" w:color="auto"/>
              <w:right w:val="single" w:sz="6" w:space="0" w:color="auto"/>
            </w:tcBorders>
          </w:tcPr>
          <w:p w14:paraId="72F6C0DD" w14:textId="77777777" w:rsidR="00CA23D0" w:rsidRPr="00E30642" w:rsidRDefault="00CA23D0" w:rsidP="00CA23D0">
            <w:pPr>
              <w:pStyle w:val="Texttabulky"/>
              <w:spacing w:line="240" w:lineRule="atLeast"/>
              <w:jc w:val="both"/>
              <w:rPr>
                <w:rFonts w:cs="Arial"/>
              </w:rPr>
            </w:pPr>
            <w:r w:rsidRPr="00E30642">
              <w:rPr>
                <w:rFonts w:cs="Arial"/>
              </w:rPr>
              <w:t>1 595,97</w:t>
            </w:r>
          </w:p>
        </w:tc>
        <w:tc>
          <w:tcPr>
            <w:tcW w:w="1417" w:type="dxa"/>
            <w:tcBorders>
              <w:top w:val="single" w:sz="6" w:space="0" w:color="auto"/>
              <w:left w:val="single" w:sz="6" w:space="0" w:color="auto"/>
              <w:bottom w:val="single" w:sz="6" w:space="0" w:color="auto"/>
              <w:right w:val="single" w:sz="6" w:space="0" w:color="auto"/>
            </w:tcBorders>
          </w:tcPr>
          <w:p w14:paraId="7F51C4EF" w14:textId="77777777" w:rsidR="00CA23D0" w:rsidRPr="00E30642" w:rsidRDefault="00CA23D0" w:rsidP="00CA23D0">
            <w:pPr>
              <w:pStyle w:val="Texttabulky"/>
              <w:spacing w:line="240" w:lineRule="atLeast"/>
              <w:jc w:val="both"/>
              <w:rPr>
                <w:rFonts w:cs="Arial"/>
              </w:rPr>
            </w:pPr>
            <w:r w:rsidRPr="00E30642">
              <w:rPr>
                <w:rFonts w:cs="Arial"/>
              </w:rPr>
              <w:t>1 411</w:t>
            </w:r>
          </w:p>
        </w:tc>
        <w:tc>
          <w:tcPr>
            <w:tcW w:w="1418" w:type="dxa"/>
            <w:tcBorders>
              <w:top w:val="single" w:sz="6" w:space="0" w:color="auto"/>
              <w:left w:val="single" w:sz="6" w:space="0" w:color="auto"/>
              <w:bottom w:val="single" w:sz="6" w:space="0" w:color="auto"/>
              <w:right w:val="single" w:sz="6" w:space="0" w:color="auto"/>
            </w:tcBorders>
          </w:tcPr>
          <w:p w14:paraId="7EFCFF54" w14:textId="77777777" w:rsidR="00CA23D0" w:rsidRPr="00E30642" w:rsidRDefault="00CA23D0" w:rsidP="00CA23D0">
            <w:pPr>
              <w:pStyle w:val="Texttabulky"/>
              <w:spacing w:line="240" w:lineRule="atLeast"/>
              <w:jc w:val="both"/>
              <w:rPr>
                <w:rFonts w:cs="Arial"/>
              </w:rPr>
            </w:pPr>
            <w:r w:rsidRPr="00E30642">
              <w:rPr>
                <w:rFonts w:cs="Arial"/>
              </w:rPr>
              <w:t>1 405</w:t>
            </w:r>
          </w:p>
        </w:tc>
        <w:tc>
          <w:tcPr>
            <w:tcW w:w="1417" w:type="dxa"/>
            <w:tcBorders>
              <w:top w:val="single" w:sz="6" w:space="0" w:color="auto"/>
              <w:left w:val="single" w:sz="6" w:space="0" w:color="auto"/>
              <w:bottom w:val="single" w:sz="6" w:space="0" w:color="auto"/>
              <w:right w:val="single" w:sz="6" w:space="0" w:color="auto"/>
            </w:tcBorders>
          </w:tcPr>
          <w:p w14:paraId="4ADC391E" w14:textId="77777777" w:rsidR="00CA23D0" w:rsidRPr="00E30642" w:rsidRDefault="00CA23D0" w:rsidP="00CA23D0">
            <w:pPr>
              <w:pStyle w:val="Texttabulky"/>
              <w:spacing w:line="240" w:lineRule="atLeast"/>
              <w:jc w:val="both"/>
              <w:rPr>
                <w:rFonts w:cs="Arial"/>
              </w:rPr>
            </w:pPr>
            <w:r w:rsidRPr="00E30642">
              <w:rPr>
                <w:rFonts w:cs="Arial"/>
              </w:rPr>
              <w:t>1 400</w:t>
            </w:r>
          </w:p>
        </w:tc>
        <w:tc>
          <w:tcPr>
            <w:tcW w:w="1418" w:type="dxa"/>
            <w:tcBorders>
              <w:top w:val="single" w:sz="6" w:space="0" w:color="auto"/>
              <w:left w:val="single" w:sz="6" w:space="0" w:color="auto"/>
              <w:bottom w:val="single" w:sz="6" w:space="0" w:color="auto"/>
              <w:right w:val="single" w:sz="6" w:space="0" w:color="auto"/>
            </w:tcBorders>
          </w:tcPr>
          <w:p w14:paraId="7D881A9F" w14:textId="77777777" w:rsidR="00CA23D0" w:rsidRPr="00E30642" w:rsidRDefault="00CA23D0" w:rsidP="00CA23D0">
            <w:pPr>
              <w:pStyle w:val="Texttabulky"/>
              <w:spacing w:line="240" w:lineRule="atLeast"/>
              <w:jc w:val="both"/>
              <w:rPr>
                <w:rFonts w:cs="Arial"/>
              </w:rPr>
            </w:pPr>
            <w:r w:rsidRPr="00E30642">
              <w:rPr>
                <w:rFonts w:cs="Arial"/>
              </w:rPr>
              <w:t>1 300</w:t>
            </w:r>
          </w:p>
        </w:tc>
      </w:tr>
      <w:tr w:rsidR="00CA23D0" w:rsidRPr="00E30642" w14:paraId="1C115FDD" w14:textId="77777777" w:rsidTr="00CA23D0">
        <w:tc>
          <w:tcPr>
            <w:tcW w:w="1985" w:type="dxa"/>
            <w:tcBorders>
              <w:top w:val="single" w:sz="6" w:space="0" w:color="auto"/>
              <w:left w:val="single" w:sz="6" w:space="0" w:color="auto"/>
              <w:bottom w:val="single" w:sz="6" w:space="0" w:color="auto"/>
              <w:right w:val="single" w:sz="6" w:space="0" w:color="auto"/>
            </w:tcBorders>
          </w:tcPr>
          <w:p w14:paraId="601E049C" w14:textId="77777777" w:rsidR="00CA23D0" w:rsidRPr="00E30642" w:rsidRDefault="00CA23D0" w:rsidP="00CA23D0">
            <w:pPr>
              <w:pStyle w:val="Texttabulky"/>
              <w:spacing w:line="240" w:lineRule="atLeast"/>
              <w:ind w:firstLine="157"/>
              <w:jc w:val="both"/>
              <w:rPr>
                <w:rFonts w:cs="Arial"/>
              </w:rPr>
            </w:pPr>
            <w:r w:rsidRPr="00E30642">
              <w:rPr>
                <w:rFonts w:cs="Arial"/>
              </w:rPr>
              <w:t>Janov</w:t>
            </w:r>
          </w:p>
        </w:tc>
        <w:tc>
          <w:tcPr>
            <w:tcW w:w="1414" w:type="dxa"/>
            <w:tcBorders>
              <w:top w:val="single" w:sz="6" w:space="0" w:color="auto"/>
              <w:left w:val="single" w:sz="6" w:space="0" w:color="auto"/>
              <w:bottom w:val="single" w:sz="6" w:space="0" w:color="auto"/>
              <w:right w:val="single" w:sz="6" w:space="0" w:color="auto"/>
            </w:tcBorders>
          </w:tcPr>
          <w:p w14:paraId="7AA3CAE8" w14:textId="77777777" w:rsidR="00CA23D0" w:rsidRPr="00E30642" w:rsidRDefault="00CA23D0" w:rsidP="00CA23D0">
            <w:pPr>
              <w:pStyle w:val="Texttabulky"/>
              <w:spacing w:line="240" w:lineRule="atLeast"/>
              <w:jc w:val="both"/>
              <w:rPr>
                <w:rFonts w:cs="Arial"/>
              </w:rPr>
            </w:pPr>
            <w:r w:rsidRPr="00E30642">
              <w:rPr>
                <w:rFonts w:cs="Arial"/>
              </w:rPr>
              <w:t>466,23</w:t>
            </w:r>
          </w:p>
        </w:tc>
        <w:tc>
          <w:tcPr>
            <w:tcW w:w="1417" w:type="dxa"/>
            <w:tcBorders>
              <w:top w:val="single" w:sz="6" w:space="0" w:color="auto"/>
              <w:left w:val="single" w:sz="6" w:space="0" w:color="auto"/>
              <w:bottom w:val="single" w:sz="6" w:space="0" w:color="auto"/>
              <w:right w:val="single" w:sz="6" w:space="0" w:color="auto"/>
            </w:tcBorders>
          </w:tcPr>
          <w:p w14:paraId="78AC183E" w14:textId="77777777" w:rsidR="00CA23D0" w:rsidRPr="00E30642" w:rsidRDefault="00CA23D0" w:rsidP="00CA23D0">
            <w:pPr>
              <w:pStyle w:val="Texttabulky"/>
              <w:spacing w:line="240" w:lineRule="atLeast"/>
              <w:jc w:val="both"/>
              <w:rPr>
                <w:rFonts w:cs="Arial"/>
              </w:rPr>
            </w:pPr>
            <w:r w:rsidRPr="00E30642">
              <w:rPr>
                <w:rFonts w:cs="Arial"/>
              </w:rPr>
              <w:t>116</w:t>
            </w:r>
          </w:p>
        </w:tc>
        <w:tc>
          <w:tcPr>
            <w:tcW w:w="1418" w:type="dxa"/>
            <w:tcBorders>
              <w:top w:val="single" w:sz="6" w:space="0" w:color="auto"/>
              <w:left w:val="single" w:sz="6" w:space="0" w:color="auto"/>
              <w:bottom w:val="single" w:sz="6" w:space="0" w:color="auto"/>
              <w:right w:val="single" w:sz="6" w:space="0" w:color="auto"/>
            </w:tcBorders>
          </w:tcPr>
          <w:p w14:paraId="7D2B0D5D" w14:textId="77777777" w:rsidR="00CA23D0" w:rsidRPr="00E30642" w:rsidRDefault="00CA23D0" w:rsidP="00CA23D0">
            <w:pPr>
              <w:pStyle w:val="Texttabulky"/>
              <w:spacing w:line="240" w:lineRule="atLeast"/>
              <w:jc w:val="both"/>
              <w:rPr>
                <w:rFonts w:cs="Arial"/>
              </w:rPr>
            </w:pPr>
            <w:r w:rsidRPr="00E30642">
              <w:rPr>
                <w:rFonts w:cs="Arial"/>
              </w:rPr>
              <w:t>167</w:t>
            </w:r>
          </w:p>
        </w:tc>
        <w:tc>
          <w:tcPr>
            <w:tcW w:w="1417" w:type="dxa"/>
            <w:tcBorders>
              <w:top w:val="single" w:sz="6" w:space="0" w:color="auto"/>
              <w:left w:val="single" w:sz="6" w:space="0" w:color="auto"/>
              <w:bottom w:val="single" w:sz="6" w:space="0" w:color="auto"/>
              <w:right w:val="single" w:sz="6" w:space="0" w:color="auto"/>
            </w:tcBorders>
          </w:tcPr>
          <w:p w14:paraId="77AC98F3" w14:textId="77777777" w:rsidR="00CA23D0" w:rsidRPr="00E30642" w:rsidRDefault="00CA23D0" w:rsidP="00CA23D0">
            <w:pPr>
              <w:pStyle w:val="Texttabulky"/>
              <w:spacing w:line="240" w:lineRule="atLeast"/>
              <w:jc w:val="both"/>
              <w:rPr>
                <w:rFonts w:cs="Arial"/>
              </w:rPr>
            </w:pPr>
            <w:r w:rsidRPr="00E30642">
              <w:rPr>
                <w:rFonts w:cs="Arial"/>
              </w:rPr>
              <w:t>150</w:t>
            </w:r>
          </w:p>
        </w:tc>
        <w:tc>
          <w:tcPr>
            <w:tcW w:w="1418" w:type="dxa"/>
            <w:tcBorders>
              <w:top w:val="single" w:sz="6" w:space="0" w:color="auto"/>
              <w:left w:val="single" w:sz="6" w:space="0" w:color="auto"/>
              <w:bottom w:val="single" w:sz="6" w:space="0" w:color="auto"/>
              <w:right w:val="single" w:sz="6" w:space="0" w:color="auto"/>
            </w:tcBorders>
          </w:tcPr>
          <w:p w14:paraId="33749F55"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6111B544" w14:textId="77777777" w:rsidTr="00CA23D0">
        <w:tc>
          <w:tcPr>
            <w:tcW w:w="1985" w:type="dxa"/>
            <w:tcBorders>
              <w:top w:val="single" w:sz="6" w:space="0" w:color="auto"/>
              <w:left w:val="single" w:sz="6" w:space="0" w:color="auto"/>
              <w:bottom w:val="single" w:sz="6" w:space="0" w:color="auto"/>
              <w:right w:val="single" w:sz="6" w:space="0" w:color="auto"/>
            </w:tcBorders>
          </w:tcPr>
          <w:p w14:paraId="61976EE9" w14:textId="77777777" w:rsidR="00CA23D0" w:rsidRPr="00E30642" w:rsidRDefault="00CA23D0" w:rsidP="00CA23D0">
            <w:pPr>
              <w:pStyle w:val="Texttabulky"/>
              <w:spacing w:line="240" w:lineRule="atLeast"/>
              <w:ind w:firstLine="157"/>
              <w:jc w:val="both"/>
              <w:rPr>
                <w:rFonts w:cs="Arial"/>
              </w:rPr>
            </w:pPr>
            <w:r w:rsidRPr="00E30642">
              <w:rPr>
                <w:rFonts w:cs="Arial"/>
              </w:rPr>
              <w:t>Janská</w:t>
            </w:r>
          </w:p>
        </w:tc>
        <w:tc>
          <w:tcPr>
            <w:tcW w:w="1414" w:type="dxa"/>
            <w:tcBorders>
              <w:top w:val="single" w:sz="6" w:space="0" w:color="auto"/>
              <w:left w:val="single" w:sz="6" w:space="0" w:color="auto"/>
              <w:bottom w:val="single" w:sz="6" w:space="0" w:color="auto"/>
              <w:right w:val="single" w:sz="6" w:space="0" w:color="auto"/>
            </w:tcBorders>
          </w:tcPr>
          <w:p w14:paraId="0986C161" w14:textId="77777777" w:rsidR="00CA23D0" w:rsidRPr="00E30642" w:rsidRDefault="00CA23D0" w:rsidP="00CA23D0">
            <w:pPr>
              <w:pStyle w:val="Texttabulky"/>
              <w:spacing w:line="240" w:lineRule="atLeast"/>
              <w:jc w:val="both"/>
              <w:rPr>
                <w:rFonts w:cs="Arial"/>
              </w:rPr>
            </w:pPr>
            <w:r w:rsidRPr="00E30642">
              <w:rPr>
                <w:rFonts w:cs="Arial"/>
              </w:rPr>
              <w:t>536,15</w:t>
            </w:r>
          </w:p>
        </w:tc>
        <w:tc>
          <w:tcPr>
            <w:tcW w:w="1417" w:type="dxa"/>
            <w:tcBorders>
              <w:top w:val="single" w:sz="6" w:space="0" w:color="auto"/>
              <w:left w:val="single" w:sz="6" w:space="0" w:color="auto"/>
              <w:bottom w:val="single" w:sz="6" w:space="0" w:color="auto"/>
              <w:right w:val="single" w:sz="6" w:space="0" w:color="auto"/>
            </w:tcBorders>
          </w:tcPr>
          <w:p w14:paraId="11B56CD3" w14:textId="77777777" w:rsidR="00CA23D0" w:rsidRPr="00E30642" w:rsidRDefault="00CA23D0" w:rsidP="00CA23D0">
            <w:pPr>
              <w:pStyle w:val="Texttabulky"/>
              <w:spacing w:line="240" w:lineRule="atLeast"/>
              <w:jc w:val="both"/>
              <w:rPr>
                <w:rFonts w:cs="Arial"/>
              </w:rPr>
            </w:pPr>
            <w:r w:rsidRPr="00E30642">
              <w:rPr>
                <w:rFonts w:cs="Arial"/>
              </w:rPr>
              <w:t>203</w:t>
            </w:r>
          </w:p>
        </w:tc>
        <w:tc>
          <w:tcPr>
            <w:tcW w:w="1418" w:type="dxa"/>
            <w:tcBorders>
              <w:top w:val="single" w:sz="6" w:space="0" w:color="auto"/>
              <w:left w:val="single" w:sz="6" w:space="0" w:color="auto"/>
              <w:bottom w:val="single" w:sz="6" w:space="0" w:color="auto"/>
              <w:right w:val="single" w:sz="6" w:space="0" w:color="auto"/>
            </w:tcBorders>
          </w:tcPr>
          <w:p w14:paraId="781C922C" w14:textId="77777777" w:rsidR="00CA23D0" w:rsidRPr="00E30642" w:rsidRDefault="00CA23D0" w:rsidP="00CA23D0">
            <w:pPr>
              <w:pStyle w:val="Texttabulky"/>
              <w:spacing w:line="240" w:lineRule="atLeast"/>
              <w:jc w:val="both"/>
              <w:rPr>
                <w:rFonts w:cs="Arial"/>
              </w:rPr>
            </w:pPr>
            <w:r w:rsidRPr="00E30642">
              <w:rPr>
                <w:rFonts w:cs="Arial"/>
              </w:rPr>
              <w:t>202</w:t>
            </w:r>
          </w:p>
        </w:tc>
        <w:tc>
          <w:tcPr>
            <w:tcW w:w="1417" w:type="dxa"/>
            <w:tcBorders>
              <w:top w:val="single" w:sz="6" w:space="0" w:color="auto"/>
              <w:left w:val="single" w:sz="6" w:space="0" w:color="auto"/>
              <w:bottom w:val="single" w:sz="6" w:space="0" w:color="auto"/>
              <w:right w:val="single" w:sz="6" w:space="0" w:color="auto"/>
            </w:tcBorders>
          </w:tcPr>
          <w:p w14:paraId="7B2092AC"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418" w:type="dxa"/>
            <w:tcBorders>
              <w:top w:val="single" w:sz="6" w:space="0" w:color="auto"/>
              <w:left w:val="single" w:sz="6" w:space="0" w:color="auto"/>
              <w:bottom w:val="single" w:sz="6" w:space="0" w:color="auto"/>
              <w:right w:val="single" w:sz="6" w:space="0" w:color="auto"/>
            </w:tcBorders>
          </w:tcPr>
          <w:p w14:paraId="2BA7D7E2"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4C6033FF" w14:textId="77777777" w:rsidTr="00CA23D0">
        <w:tc>
          <w:tcPr>
            <w:tcW w:w="1985" w:type="dxa"/>
            <w:tcBorders>
              <w:top w:val="single" w:sz="6" w:space="0" w:color="auto"/>
              <w:left w:val="single" w:sz="6" w:space="0" w:color="auto"/>
              <w:bottom w:val="nil"/>
              <w:right w:val="single" w:sz="6" w:space="0" w:color="auto"/>
            </w:tcBorders>
          </w:tcPr>
          <w:p w14:paraId="7F63EC6F" w14:textId="77777777" w:rsidR="00CA23D0" w:rsidRPr="00E30642" w:rsidRDefault="00CA23D0" w:rsidP="00CA23D0">
            <w:pPr>
              <w:pStyle w:val="Texttabulky"/>
              <w:spacing w:line="240" w:lineRule="atLeast"/>
              <w:ind w:firstLine="157"/>
              <w:jc w:val="both"/>
              <w:rPr>
                <w:rFonts w:cs="Arial"/>
              </w:rPr>
            </w:pPr>
            <w:r w:rsidRPr="00E30642">
              <w:rPr>
                <w:rFonts w:cs="Arial"/>
              </w:rPr>
              <w:t>Jetřichovice</w:t>
            </w:r>
          </w:p>
        </w:tc>
        <w:tc>
          <w:tcPr>
            <w:tcW w:w="1414" w:type="dxa"/>
            <w:tcBorders>
              <w:top w:val="single" w:sz="6" w:space="0" w:color="auto"/>
              <w:left w:val="single" w:sz="6" w:space="0" w:color="auto"/>
              <w:bottom w:val="single" w:sz="6" w:space="0" w:color="auto"/>
              <w:right w:val="single" w:sz="6" w:space="0" w:color="auto"/>
            </w:tcBorders>
          </w:tcPr>
          <w:p w14:paraId="37724C65" w14:textId="77777777" w:rsidR="00CA23D0" w:rsidRPr="00E30642" w:rsidRDefault="00CA23D0" w:rsidP="00CA23D0">
            <w:pPr>
              <w:pStyle w:val="Texttabulky"/>
              <w:spacing w:line="240" w:lineRule="atLeast"/>
              <w:jc w:val="both"/>
              <w:rPr>
                <w:rFonts w:cs="Arial"/>
              </w:rPr>
            </w:pPr>
            <w:r w:rsidRPr="00E30642">
              <w:rPr>
                <w:rFonts w:cs="Arial"/>
              </w:rPr>
              <w:t>4 421,46</w:t>
            </w:r>
          </w:p>
        </w:tc>
        <w:tc>
          <w:tcPr>
            <w:tcW w:w="1417" w:type="dxa"/>
            <w:tcBorders>
              <w:top w:val="single" w:sz="6" w:space="0" w:color="auto"/>
              <w:left w:val="single" w:sz="6" w:space="0" w:color="auto"/>
              <w:bottom w:val="nil"/>
              <w:right w:val="single" w:sz="6" w:space="0" w:color="auto"/>
            </w:tcBorders>
          </w:tcPr>
          <w:p w14:paraId="36E99216" w14:textId="77777777" w:rsidR="00CA23D0" w:rsidRPr="00E30642" w:rsidRDefault="00CA23D0" w:rsidP="00CA23D0">
            <w:pPr>
              <w:pStyle w:val="Texttabulky"/>
              <w:spacing w:line="240" w:lineRule="atLeast"/>
              <w:jc w:val="both"/>
              <w:rPr>
                <w:rFonts w:cs="Arial"/>
              </w:rPr>
            </w:pPr>
            <w:r w:rsidRPr="00E30642">
              <w:rPr>
                <w:rFonts w:cs="Arial"/>
              </w:rPr>
              <w:t>306</w:t>
            </w:r>
          </w:p>
        </w:tc>
        <w:tc>
          <w:tcPr>
            <w:tcW w:w="1418" w:type="dxa"/>
            <w:tcBorders>
              <w:top w:val="single" w:sz="6" w:space="0" w:color="auto"/>
              <w:left w:val="single" w:sz="6" w:space="0" w:color="auto"/>
              <w:bottom w:val="single" w:sz="6" w:space="0" w:color="auto"/>
              <w:right w:val="single" w:sz="6" w:space="0" w:color="auto"/>
            </w:tcBorders>
          </w:tcPr>
          <w:p w14:paraId="39963633" w14:textId="77777777" w:rsidR="00CA23D0" w:rsidRPr="00E30642" w:rsidRDefault="00CA23D0" w:rsidP="00CA23D0">
            <w:pPr>
              <w:pStyle w:val="Texttabulky"/>
              <w:spacing w:line="240" w:lineRule="atLeast"/>
              <w:jc w:val="both"/>
              <w:rPr>
                <w:rFonts w:cs="Arial"/>
              </w:rPr>
            </w:pPr>
            <w:r w:rsidRPr="00E30642">
              <w:rPr>
                <w:rFonts w:cs="Arial"/>
              </w:rPr>
              <w:t>368</w:t>
            </w:r>
          </w:p>
        </w:tc>
        <w:tc>
          <w:tcPr>
            <w:tcW w:w="1417" w:type="dxa"/>
            <w:tcBorders>
              <w:top w:val="single" w:sz="6" w:space="0" w:color="auto"/>
              <w:left w:val="single" w:sz="6" w:space="0" w:color="auto"/>
              <w:bottom w:val="nil"/>
              <w:right w:val="single" w:sz="6" w:space="0" w:color="auto"/>
            </w:tcBorders>
          </w:tcPr>
          <w:p w14:paraId="52AA250F" w14:textId="77777777" w:rsidR="00CA23D0" w:rsidRPr="00E30642" w:rsidRDefault="00CA23D0" w:rsidP="00CA23D0">
            <w:pPr>
              <w:pStyle w:val="Texttabulky"/>
              <w:spacing w:line="240" w:lineRule="atLeast"/>
              <w:jc w:val="both"/>
              <w:rPr>
                <w:rFonts w:cs="Arial"/>
              </w:rPr>
            </w:pPr>
            <w:r w:rsidRPr="00E30642">
              <w:rPr>
                <w:rFonts w:cs="Arial"/>
              </w:rPr>
              <w:t>350</w:t>
            </w:r>
          </w:p>
        </w:tc>
        <w:tc>
          <w:tcPr>
            <w:tcW w:w="1418" w:type="dxa"/>
            <w:tcBorders>
              <w:top w:val="single" w:sz="6" w:space="0" w:color="auto"/>
              <w:left w:val="single" w:sz="6" w:space="0" w:color="auto"/>
              <w:bottom w:val="single" w:sz="6" w:space="0" w:color="auto"/>
              <w:right w:val="single" w:sz="6" w:space="0" w:color="auto"/>
            </w:tcBorders>
          </w:tcPr>
          <w:p w14:paraId="645C84D1"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3828A5B9" w14:textId="77777777" w:rsidTr="00CA23D0">
        <w:tc>
          <w:tcPr>
            <w:tcW w:w="1985" w:type="dxa"/>
            <w:tcBorders>
              <w:top w:val="single" w:sz="6" w:space="0" w:color="auto"/>
              <w:left w:val="single" w:sz="6" w:space="0" w:color="auto"/>
              <w:bottom w:val="single" w:sz="6" w:space="0" w:color="auto"/>
              <w:right w:val="single" w:sz="6" w:space="0" w:color="auto"/>
            </w:tcBorders>
          </w:tcPr>
          <w:p w14:paraId="21B790F6" w14:textId="77777777" w:rsidR="00CA23D0" w:rsidRPr="00E30642" w:rsidRDefault="00CA23D0" w:rsidP="00CA23D0">
            <w:pPr>
              <w:pStyle w:val="Texttabulky"/>
              <w:spacing w:line="240" w:lineRule="atLeast"/>
              <w:ind w:firstLine="157"/>
              <w:jc w:val="both"/>
              <w:rPr>
                <w:rFonts w:cs="Arial"/>
              </w:rPr>
            </w:pPr>
            <w:r w:rsidRPr="00E30642">
              <w:rPr>
                <w:rFonts w:cs="Arial"/>
              </w:rPr>
              <w:t>Jílové</w:t>
            </w:r>
          </w:p>
        </w:tc>
        <w:tc>
          <w:tcPr>
            <w:tcW w:w="1414" w:type="dxa"/>
            <w:tcBorders>
              <w:top w:val="single" w:sz="6" w:space="0" w:color="auto"/>
              <w:left w:val="single" w:sz="6" w:space="0" w:color="auto"/>
              <w:bottom w:val="single" w:sz="6" w:space="0" w:color="auto"/>
              <w:right w:val="single" w:sz="6" w:space="0" w:color="auto"/>
            </w:tcBorders>
          </w:tcPr>
          <w:p w14:paraId="1A40E03F" w14:textId="77777777" w:rsidR="00CA23D0" w:rsidRPr="00E30642" w:rsidRDefault="00CA23D0" w:rsidP="00CA23D0">
            <w:pPr>
              <w:pStyle w:val="Texttabulky"/>
              <w:spacing w:line="240" w:lineRule="atLeast"/>
              <w:jc w:val="both"/>
              <w:rPr>
                <w:rFonts w:cs="Arial"/>
              </w:rPr>
            </w:pPr>
            <w:r w:rsidRPr="00E30642">
              <w:rPr>
                <w:rFonts w:cs="Arial"/>
              </w:rPr>
              <w:t>3 656,75</w:t>
            </w:r>
          </w:p>
        </w:tc>
        <w:tc>
          <w:tcPr>
            <w:tcW w:w="1417" w:type="dxa"/>
            <w:tcBorders>
              <w:top w:val="single" w:sz="6" w:space="0" w:color="auto"/>
              <w:left w:val="single" w:sz="6" w:space="0" w:color="auto"/>
              <w:bottom w:val="single" w:sz="6" w:space="0" w:color="auto"/>
              <w:right w:val="single" w:sz="6" w:space="0" w:color="auto"/>
            </w:tcBorders>
          </w:tcPr>
          <w:p w14:paraId="45E7912D" w14:textId="77777777" w:rsidR="00CA23D0" w:rsidRPr="00E30642" w:rsidRDefault="00CA23D0" w:rsidP="00CA23D0">
            <w:pPr>
              <w:pStyle w:val="Texttabulky"/>
              <w:spacing w:line="240" w:lineRule="atLeast"/>
              <w:jc w:val="both"/>
              <w:rPr>
                <w:rFonts w:cs="Arial"/>
              </w:rPr>
            </w:pPr>
            <w:r w:rsidRPr="00E30642">
              <w:rPr>
                <w:rFonts w:cs="Arial"/>
              </w:rPr>
              <w:t>5 195</w:t>
            </w:r>
          </w:p>
        </w:tc>
        <w:tc>
          <w:tcPr>
            <w:tcW w:w="1418" w:type="dxa"/>
            <w:tcBorders>
              <w:top w:val="single" w:sz="6" w:space="0" w:color="auto"/>
              <w:left w:val="single" w:sz="6" w:space="0" w:color="auto"/>
              <w:bottom w:val="single" w:sz="6" w:space="0" w:color="auto"/>
              <w:right w:val="single" w:sz="6" w:space="0" w:color="auto"/>
            </w:tcBorders>
          </w:tcPr>
          <w:p w14:paraId="5FB93F57" w14:textId="77777777" w:rsidR="00CA23D0" w:rsidRPr="00E30642" w:rsidRDefault="00CA23D0" w:rsidP="00CA23D0">
            <w:pPr>
              <w:pStyle w:val="Texttabulky"/>
              <w:spacing w:line="240" w:lineRule="atLeast"/>
              <w:jc w:val="both"/>
              <w:rPr>
                <w:rFonts w:cs="Arial"/>
              </w:rPr>
            </w:pPr>
            <w:r w:rsidRPr="00E30642">
              <w:rPr>
                <w:rFonts w:cs="Arial"/>
              </w:rPr>
              <w:t>5 329</w:t>
            </w:r>
          </w:p>
        </w:tc>
        <w:tc>
          <w:tcPr>
            <w:tcW w:w="1417" w:type="dxa"/>
            <w:tcBorders>
              <w:top w:val="single" w:sz="6" w:space="0" w:color="auto"/>
              <w:left w:val="single" w:sz="6" w:space="0" w:color="auto"/>
              <w:bottom w:val="single" w:sz="6" w:space="0" w:color="auto"/>
              <w:right w:val="single" w:sz="6" w:space="0" w:color="auto"/>
            </w:tcBorders>
          </w:tcPr>
          <w:p w14:paraId="60BFDE32" w14:textId="77777777" w:rsidR="00CA23D0" w:rsidRPr="00E30642" w:rsidRDefault="00CA23D0" w:rsidP="00CA23D0">
            <w:pPr>
              <w:pStyle w:val="Texttabulky"/>
              <w:spacing w:line="240" w:lineRule="atLeast"/>
              <w:jc w:val="both"/>
              <w:rPr>
                <w:rFonts w:cs="Arial"/>
              </w:rPr>
            </w:pPr>
            <w:r w:rsidRPr="00E30642">
              <w:rPr>
                <w:rFonts w:cs="Arial"/>
              </w:rPr>
              <w:t>5 300</w:t>
            </w:r>
          </w:p>
        </w:tc>
        <w:tc>
          <w:tcPr>
            <w:tcW w:w="1418" w:type="dxa"/>
            <w:tcBorders>
              <w:top w:val="single" w:sz="6" w:space="0" w:color="auto"/>
              <w:left w:val="single" w:sz="6" w:space="0" w:color="auto"/>
              <w:bottom w:val="single" w:sz="6" w:space="0" w:color="auto"/>
              <w:right w:val="single" w:sz="6" w:space="0" w:color="auto"/>
            </w:tcBorders>
          </w:tcPr>
          <w:p w14:paraId="3BBC0C17" w14:textId="77777777" w:rsidR="00CA23D0" w:rsidRPr="00E30642" w:rsidRDefault="00CA23D0" w:rsidP="00CA23D0">
            <w:pPr>
              <w:pStyle w:val="Texttabulky"/>
              <w:spacing w:line="240" w:lineRule="atLeast"/>
              <w:jc w:val="both"/>
              <w:rPr>
                <w:rFonts w:cs="Arial"/>
              </w:rPr>
            </w:pPr>
            <w:r w:rsidRPr="00E30642">
              <w:rPr>
                <w:rFonts w:cs="Arial"/>
              </w:rPr>
              <w:t>5 500</w:t>
            </w:r>
          </w:p>
        </w:tc>
      </w:tr>
      <w:tr w:rsidR="00CA23D0" w:rsidRPr="00E30642" w14:paraId="6F281D0B" w14:textId="77777777" w:rsidTr="00CA23D0">
        <w:tc>
          <w:tcPr>
            <w:tcW w:w="1985" w:type="dxa"/>
            <w:tcBorders>
              <w:top w:val="single" w:sz="6" w:space="0" w:color="auto"/>
              <w:left w:val="single" w:sz="6" w:space="0" w:color="auto"/>
              <w:bottom w:val="single" w:sz="6" w:space="0" w:color="auto"/>
              <w:right w:val="single" w:sz="6" w:space="0" w:color="auto"/>
            </w:tcBorders>
          </w:tcPr>
          <w:p w14:paraId="0A6A7C1B" w14:textId="77777777" w:rsidR="00CA23D0" w:rsidRPr="00E30642" w:rsidRDefault="00CA23D0" w:rsidP="00CA23D0">
            <w:pPr>
              <w:pStyle w:val="Texttabulky"/>
              <w:spacing w:line="240" w:lineRule="atLeast"/>
              <w:ind w:firstLine="157"/>
              <w:jc w:val="both"/>
              <w:rPr>
                <w:rFonts w:cs="Arial"/>
              </w:rPr>
            </w:pPr>
            <w:r w:rsidRPr="00E30642">
              <w:rPr>
                <w:rFonts w:cs="Arial"/>
              </w:rPr>
              <w:t>Jiřetín pod Jedlovou</w:t>
            </w:r>
          </w:p>
        </w:tc>
        <w:tc>
          <w:tcPr>
            <w:tcW w:w="1414" w:type="dxa"/>
            <w:tcBorders>
              <w:top w:val="single" w:sz="6" w:space="0" w:color="auto"/>
              <w:left w:val="single" w:sz="6" w:space="0" w:color="auto"/>
              <w:bottom w:val="single" w:sz="6" w:space="0" w:color="auto"/>
              <w:right w:val="single" w:sz="6" w:space="0" w:color="auto"/>
            </w:tcBorders>
          </w:tcPr>
          <w:p w14:paraId="3227DFBE" w14:textId="77777777" w:rsidR="00CA23D0" w:rsidRPr="00E30642" w:rsidRDefault="00CA23D0" w:rsidP="00CA23D0">
            <w:pPr>
              <w:pStyle w:val="Texttabulky"/>
              <w:spacing w:line="240" w:lineRule="atLeast"/>
              <w:jc w:val="both"/>
              <w:rPr>
                <w:rFonts w:cs="Arial"/>
              </w:rPr>
            </w:pPr>
            <w:r w:rsidRPr="00E30642">
              <w:rPr>
                <w:rFonts w:cs="Arial"/>
              </w:rPr>
              <w:t>1 120,6</w:t>
            </w:r>
          </w:p>
        </w:tc>
        <w:tc>
          <w:tcPr>
            <w:tcW w:w="1417" w:type="dxa"/>
            <w:tcBorders>
              <w:top w:val="single" w:sz="6" w:space="0" w:color="auto"/>
              <w:left w:val="single" w:sz="6" w:space="0" w:color="auto"/>
              <w:bottom w:val="single" w:sz="6" w:space="0" w:color="auto"/>
              <w:right w:val="single" w:sz="6" w:space="0" w:color="auto"/>
            </w:tcBorders>
          </w:tcPr>
          <w:p w14:paraId="3EBF3DE3" w14:textId="77777777" w:rsidR="00CA23D0" w:rsidRPr="00E30642" w:rsidRDefault="00CA23D0" w:rsidP="00CA23D0">
            <w:pPr>
              <w:pStyle w:val="Texttabulky"/>
              <w:spacing w:line="240" w:lineRule="atLeast"/>
              <w:jc w:val="both"/>
              <w:rPr>
                <w:rFonts w:cs="Arial"/>
              </w:rPr>
            </w:pPr>
            <w:r w:rsidRPr="00E30642">
              <w:rPr>
                <w:rFonts w:cs="Arial"/>
              </w:rPr>
              <w:t>614</w:t>
            </w:r>
          </w:p>
        </w:tc>
        <w:tc>
          <w:tcPr>
            <w:tcW w:w="1418" w:type="dxa"/>
            <w:tcBorders>
              <w:top w:val="single" w:sz="6" w:space="0" w:color="auto"/>
              <w:left w:val="single" w:sz="6" w:space="0" w:color="auto"/>
              <w:bottom w:val="single" w:sz="6" w:space="0" w:color="auto"/>
              <w:right w:val="single" w:sz="6" w:space="0" w:color="auto"/>
            </w:tcBorders>
          </w:tcPr>
          <w:p w14:paraId="49B5FA57" w14:textId="77777777" w:rsidR="00CA23D0" w:rsidRPr="00E30642" w:rsidRDefault="00CA23D0" w:rsidP="00CA23D0">
            <w:pPr>
              <w:pStyle w:val="Texttabulky"/>
              <w:spacing w:line="240" w:lineRule="atLeast"/>
              <w:jc w:val="both"/>
              <w:rPr>
                <w:rFonts w:cs="Arial"/>
              </w:rPr>
            </w:pPr>
            <w:r w:rsidRPr="00E30642">
              <w:rPr>
                <w:rFonts w:cs="Arial"/>
              </w:rPr>
              <w:t>590</w:t>
            </w:r>
          </w:p>
        </w:tc>
        <w:tc>
          <w:tcPr>
            <w:tcW w:w="1417" w:type="dxa"/>
            <w:tcBorders>
              <w:top w:val="single" w:sz="6" w:space="0" w:color="auto"/>
              <w:left w:val="single" w:sz="6" w:space="0" w:color="auto"/>
              <w:bottom w:val="single" w:sz="6" w:space="0" w:color="auto"/>
              <w:right w:val="single" w:sz="6" w:space="0" w:color="auto"/>
            </w:tcBorders>
          </w:tcPr>
          <w:p w14:paraId="6551C361" w14:textId="77777777" w:rsidR="00CA23D0" w:rsidRPr="00E30642" w:rsidRDefault="00CA23D0" w:rsidP="00CA23D0">
            <w:pPr>
              <w:pStyle w:val="Texttabulky"/>
              <w:spacing w:line="240" w:lineRule="atLeast"/>
              <w:jc w:val="both"/>
              <w:rPr>
                <w:rFonts w:cs="Arial"/>
              </w:rPr>
            </w:pPr>
            <w:r w:rsidRPr="00E30642">
              <w:rPr>
                <w:rFonts w:cs="Arial"/>
              </w:rPr>
              <w:t>500</w:t>
            </w:r>
          </w:p>
        </w:tc>
        <w:tc>
          <w:tcPr>
            <w:tcW w:w="1418" w:type="dxa"/>
            <w:tcBorders>
              <w:top w:val="single" w:sz="6" w:space="0" w:color="auto"/>
              <w:left w:val="single" w:sz="6" w:space="0" w:color="auto"/>
              <w:bottom w:val="single" w:sz="6" w:space="0" w:color="auto"/>
              <w:right w:val="single" w:sz="6" w:space="0" w:color="auto"/>
            </w:tcBorders>
          </w:tcPr>
          <w:p w14:paraId="0CC15009" w14:textId="77777777" w:rsidR="00CA23D0" w:rsidRPr="00E30642" w:rsidRDefault="00CA23D0" w:rsidP="00CA23D0">
            <w:pPr>
              <w:pStyle w:val="Texttabulky"/>
              <w:spacing w:line="240" w:lineRule="atLeast"/>
              <w:jc w:val="both"/>
              <w:rPr>
                <w:rFonts w:cs="Arial"/>
              </w:rPr>
            </w:pPr>
            <w:r w:rsidRPr="00E30642">
              <w:rPr>
                <w:rFonts w:cs="Arial"/>
              </w:rPr>
              <w:t>450</w:t>
            </w:r>
          </w:p>
        </w:tc>
      </w:tr>
      <w:tr w:rsidR="00CA23D0" w:rsidRPr="00E30642" w14:paraId="13458AF3" w14:textId="77777777" w:rsidTr="00CA23D0">
        <w:tc>
          <w:tcPr>
            <w:tcW w:w="1985" w:type="dxa"/>
            <w:tcBorders>
              <w:top w:val="single" w:sz="6" w:space="0" w:color="auto"/>
              <w:left w:val="single" w:sz="6" w:space="0" w:color="auto"/>
              <w:bottom w:val="single" w:sz="6" w:space="0" w:color="auto"/>
              <w:right w:val="single" w:sz="6" w:space="0" w:color="auto"/>
            </w:tcBorders>
          </w:tcPr>
          <w:p w14:paraId="70EF1C8A" w14:textId="77777777" w:rsidR="00CA23D0" w:rsidRPr="00E30642" w:rsidRDefault="00CA23D0" w:rsidP="00CA23D0">
            <w:pPr>
              <w:pStyle w:val="Texttabulky"/>
              <w:spacing w:line="240" w:lineRule="atLeast"/>
              <w:ind w:firstLine="157"/>
              <w:jc w:val="both"/>
              <w:rPr>
                <w:rFonts w:cs="Arial"/>
              </w:rPr>
            </w:pPr>
            <w:r w:rsidRPr="00E30642">
              <w:rPr>
                <w:rFonts w:cs="Arial"/>
              </w:rPr>
              <w:t>Jiříkov</w:t>
            </w:r>
          </w:p>
        </w:tc>
        <w:tc>
          <w:tcPr>
            <w:tcW w:w="1414" w:type="dxa"/>
            <w:tcBorders>
              <w:top w:val="single" w:sz="6" w:space="0" w:color="auto"/>
              <w:left w:val="single" w:sz="6" w:space="0" w:color="auto"/>
              <w:bottom w:val="single" w:sz="6" w:space="0" w:color="auto"/>
              <w:right w:val="single" w:sz="6" w:space="0" w:color="auto"/>
            </w:tcBorders>
          </w:tcPr>
          <w:p w14:paraId="2026C98E" w14:textId="77777777" w:rsidR="00CA23D0" w:rsidRPr="00E30642" w:rsidRDefault="00CA23D0" w:rsidP="00CA23D0">
            <w:pPr>
              <w:pStyle w:val="Texttabulky"/>
              <w:spacing w:line="240" w:lineRule="atLeast"/>
              <w:jc w:val="both"/>
              <w:rPr>
                <w:rFonts w:cs="Arial"/>
              </w:rPr>
            </w:pPr>
            <w:r w:rsidRPr="00E30642">
              <w:rPr>
                <w:rFonts w:cs="Arial"/>
              </w:rPr>
              <w:t>1 331,89</w:t>
            </w:r>
          </w:p>
        </w:tc>
        <w:tc>
          <w:tcPr>
            <w:tcW w:w="1417" w:type="dxa"/>
            <w:tcBorders>
              <w:top w:val="single" w:sz="6" w:space="0" w:color="auto"/>
              <w:left w:val="single" w:sz="6" w:space="0" w:color="auto"/>
              <w:bottom w:val="single" w:sz="6" w:space="0" w:color="auto"/>
              <w:right w:val="single" w:sz="6" w:space="0" w:color="auto"/>
            </w:tcBorders>
          </w:tcPr>
          <w:p w14:paraId="0B0F03F6" w14:textId="77777777" w:rsidR="00CA23D0" w:rsidRPr="00E30642" w:rsidRDefault="00CA23D0" w:rsidP="00CA23D0">
            <w:pPr>
              <w:pStyle w:val="Texttabulky"/>
              <w:spacing w:line="240" w:lineRule="atLeast"/>
              <w:jc w:val="both"/>
              <w:rPr>
                <w:rFonts w:cs="Arial"/>
              </w:rPr>
            </w:pPr>
            <w:r w:rsidRPr="00E30642">
              <w:rPr>
                <w:rFonts w:cs="Arial"/>
              </w:rPr>
              <w:t>3 638</w:t>
            </w:r>
          </w:p>
        </w:tc>
        <w:tc>
          <w:tcPr>
            <w:tcW w:w="1418" w:type="dxa"/>
            <w:tcBorders>
              <w:top w:val="single" w:sz="6" w:space="0" w:color="auto"/>
              <w:left w:val="single" w:sz="6" w:space="0" w:color="auto"/>
              <w:bottom w:val="single" w:sz="6" w:space="0" w:color="auto"/>
              <w:right w:val="single" w:sz="6" w:space="0" w:color="auto"/>
            </w:tcBorders>
          </w:tcPr>
          <w:p w14:paraId="5A17B0C2" w14:textId="77777777" w:rsidR="00CA23D0" w:rsidRPr="00E30642" w:rsidRDefault="00CA23D0" w:rsidP="00CA23D0">
            <w:pPr>
              <w:pStyle w:val="Texttabulky"/>
              <w:spacing w:line="240" w:lineRule="atLeast"/>
              <w:jc w:val="both"/>
              <w:rPr>
                <w:rFonts w:cs="Arial"/>
              </w:rPr>
            </w:pPr>
            <w:r w:rsidRPr="00E30642">
              <w:rPr>
                <w:rFonts w:cs="Arial"/>
              </w:rPr>
              <w:t>3 798</w:t>
            </w:r>
          </w:p>
        </w:tc>
        <w:tc>
          <w:tcPr>
            <w:tcW w:w="1417" w:type="dxa"/>
            <w:tcBorders>
              <w:top w:val="single" w:sz="6" w:space="0" w:color="auto"/>
              <w:left w:val="single" w:sz="6" w:space="0" w:color="auto"/>
              <w:bottom w:val="single" w:sz="6" w:space="0" w:color="auto"/>
              <w:right w:val="single" w:sz="6" w:space="0" w:color="auto"/>
            </w:tcBorders>
          </w:tcPr>
          <w:p w14:paraId="59E4EBC0" w14:textId="77777777" w:rsidR="00CA23D0" w:rsidRPr="00E30642" w:rsidRDefault="00CA23D0" w:rsidP="00CA23D0">
            <w:pPr>
              <w:pStyle w:val="Texttabulky"/>
              <w:spacing w:line="240" w:lineRule="atLeast"/>
              <w:jc w:val="both"/>
              <w:rPr>
                <w:rFonts w:cs="Arial"/>
              </w:rPr>
            </w:pPr>
            <w:r w:rsidRPr="00E30642">
              <w:rPr>
                <w:rFonts w:cs="Arial"/>
              </w:rPr>
              <w:t>3 900</w:t>
            </w:r>
          </w:p>
        </w:tc>
        <w:tc>
          <w:tcPr>
            <w:tcW w:w="1418" w:type="dxa"/>
            <w:tcBorders>
              <w:top w:val="single" w:sz="6" w:space="0" w:color="auto"/>
              <w:left w:val="single" w:sz="6" w:space="0" w:color="auto"/>
              <w:bottom w:val="single" w:sz="6" w:space="0" w:color="auto"/>
              <w:right w:val="single" w:sz="6" w:space="0" w:color="auto"/>
            </w:tcBorders>
          </w:tcPr>
          <w:p w14:paraId="3E350675" w14:textId="77777777" w:rsidR="00CA23D0" w:rsidRPr="00E30642" w:rsidRDefault="00CA23D0" w:rsidP="00CA23D0">
            <w:pPr>
              <w:pStyle w:val="Texttabulky"/>
              <w:spacing w:line="240" w:lineRule="atLeast"/>
              <w:jc w:val="both"/>
              <w:rPr>
                <w:rFonts w:cs="Arial"/>
              </w:rPr>
            </w:pPr>
            <w:r w:rsidRPr="00E30642">
              <w:rPr>
                <w:rFonts w:cs="Arial"/>
              </w:rPr>
              <w:t>4 200</w:t>
            </w:r>
          </w:p>
        </w:tc>
      </w:tr>
      <w:tr w:rsidR="00CA23D0" w:rsidRPr="00E30642" w14:paraId="146B4167" w14:textId="77777777" w:rsidTr="00CA23D0">
        <w:tc>
          <w:tcPr>
            <w:tcW w:w="1985" w:type="dxa"/>
            <w:tcBorders>
              <w:top w:val="single" w:sz="6" w:space="0" w:color="auto"/>
              <w:left w:val="single" w:sz="6" w:space="0" w:color="auto"/>
              <w:bottom w:val="single" w:sz="6" w:space="0" w:color="auto"/>
              <w:right w:val="single" w:sz="6" w:space="0" w:color="auto"/>
            </w:tcBorders>
          </w:tcPr>
          <w:p w14:paraId="6DF05AF3" w14:textId="77777777" w:rsidR="00CA23D0" w:rsidRPr="00E30642" w:rsidRDefault="00CA23D0" w:rsidP="00CA23D0">
            <w:pPr>
              <w:pStyle w:val="Texttabulky"/>
              <w:spacing w:line="240" w:lineRule="atLeast"/>
              <w:ind w:firstLine="157"/>
              <w:jc w:val="both"/>
              <w:rPr>
                <w:rFonts w:cs="Arial"/>
              </w:rPr>
            </w:pPr>
            <w:r w:rsidRPr="00E30642">
              <w:rPr>
                <w:rFonts w:cs="Arial"/>
              </w:rPr>
              <w:t>Kámen</w:t>
            </w:r>
          </w:p>
        </w:tc>
        <w:tc>
          <w:tcPr>
            <w:tcW w:w="1414" w:type="dxa"/>
            <w:tcBorders>
              <w:top w:val="single" w:sz="6" w:space="0" w:color="auto"/>
              <w:left w:val="single" w:sz="6" w:space="0" w:color="auto"/>
              <w:bottom w:val="single" w:sz="6" w:space="0" w:color="auto"/>
              <w:right w:val="single" w:sz="6" w:space="0" w:color="auto"/>
            </w:tcBorders>
          </w:tcPr>
          <w:p w14:paraId="38DE11D7" w14:textId="77777777" w:rsidR="00CA23D0" w:rsidRPr="00E30642" w:rsidRDefault="00CA23D0" w:rsidP="00CA23D0">
            <w:pPr>
              <w:pStyle w:val="Texttabulky"/>
              <w:spacing w:line="240" w:lineRule="atLeast"/>
              <w:jc w:val="both"/>
              <w:rPr>
                <w:rFonts w:cs="Arial"/>
              </w:rPr>
            </w:pPr>
            <w:r w:rsidRPr="00E30642">
              <w:rPr>
                <w:rFonts w:cs="Arial"/>
              </w:rPr>
              <w:t>178,35</w:t>
            </w:r>
          </w:p>
        </w:tc>
        <w:tc>
          <w:tcPr>
            <w:tcW w:w="1417" w:type="dxa"/>
            <w:tcBorders>
              <w:top w:val="single" w:sz="6" w:space="0" w:color="auto"/>
              <w:left w:val="single" w:sz="6" w:space="0" w:color="auto"/>
              <w:bottom w:val="single" w:sz="6" w:space="0" w:color="auto"/>
              <w:right w:val="single" w:sz="6" w:space="0" w:color="auto"/>
            </w:tcBorders>
          </w:tcPr>
          <w:p w14:paraId="3A5F3ECC" w14:textId="77777777" w:rsidR="00CA23D0" w:rsidRPr="00E30642" w:rsidRDefault="00CA23D0" w:rsidP="00CA23D0">
            <w:pPr>
              <w:pStyle w:val="Texttabulky"/>
              <w:spacing w:line="240" w:lineRule="atLeast"/>
              <w:jc w:val="both"/>
              <w:rPr>
                <w:rFonts w:cs="Arial"/>
              </w:rPr>
            </w:pPr>
            <w:r w:rsidRPr="00E30642">
              <w:rPr>
                <w:rFonts w:cs="Arial"/>
              </w:rPr>
              <w:t>145</w:t>
            </w:r>
          </w:p>
        </w:tc>
        <w:tc>
          <w:tcPr>
            <w:tcW w:w="1418" w:type="dxa"/>
            <w:tcBorders>
              <w:top w:val="single" w:sz="6" w:space="0" w:color="auto"/>
              <w:left w:val="single" w:sz="6" w:space="0" w:color="auto"/>
              <w:bottom w:val="single" w:sz="6" w:space="0" w:color="auto"/>
              <w:right w:val="single" w:sz="6" w:space="0" w:color="auto"/>
            </w:tcBorders>
          </w:tcPr>
          <w:p w14:paraId="72F8DBD7" w14:textId="77777777" w:rsidR="00CA23D0" w:rsidRPr="00E30642" w:rsidRDefault="00CA23D0" w:rsidP="00CA23D0">
            <w:pPr>
              <w:pStyle w:val="Texttabulky"/>
              <w:spacing w:line="240" w:lineRule="atLeast"/>
              <w:jc w:val="both"/>
              <w:rPr>
                <w:rFonts w:cs="Arial"/>
              </w:rPr>
            </w:pPr>
            <w:r w:rsidRPr="00E30642">
              <w:rPr>
                <w:rFonts w:cs="Arial"/>
              </w:rPr>
              <w:t>135</w:t>
            </w:r>
          </w:p>
        </w:tc>
        <w:tc>
          <w:tcPr>
            <w:tcW w:w="1417" w:type="dxa"/>
            <w:tcBorders>
              <w:top w:val="single" w:sz="6" w:space="0" w:color="auto"/>
              <w:left w:val="single" w:sz="6" w:space="0" w:color="auto"/>
              <w:bottom w:val="single" w:sz="6" w:space="0" w:color="auto"/>
              <w:right w:val="single" w:sz="6" w:space="0" w:color="auto"/>
            </w:tcBorders>
          </w:tcPr>
          <w:p w14:paraId="5016CF1A" w14:textId="77777777" w:rsidR="00CA23D0" w:rsidRPr="00E30642" w:rsidRDefault="00CA23D0" w:rsidP="00CA23D0">
            <w:pPr>
              <w:pStyle w:val="Texttabulky"/>
              <w:spacing w:line="240" w:lineRule="atLeast"/>
              <w:jc w:val="both"/>
              <w:rPr>
                <w:rFonts w:cs="Arial"/>
              </w:rPr>
            </w:pPr>
            <w:r w:rsidRPr="00E30642">
              <w:rPr>
                <w:rFonts w:cs="Arial"/>
              </w:rPr>
              <w:t>100</w:t>
            </w:r>
          </w:p>
        </w:tc>
        <w:tc>
          <w:tcPr>
            <w:tcW w:w="1418" w:type="dxa"/>
            <w:tcBorders>
              <w:top w:val="single" w:sz="6" w:space="0" w:color="auto"/>
              <w:left w:val="single" w:sz="6" w:space="0" w:color="auto"/>
              <w:bottom w:val="single" w:sz="6" w:space="0" w:color="auto"/>
              <w:right w:val="single" w:sz="6" w:space="0" w:color="auto"/>
            </w:tcBorders>
          </w:tcPr>
          <w:p w14:paraId="1613E600" w14:textId="77777777" w:rsidR="00CA23D0" w:rsidRPr="00E30642" w:rsidRDefault="00CA23D0" w:rsidP="00CA23D0">
            <w:pPr>
              <w:pStyle w:val="Texttabulky"/>
              <w:spacing w:line="240" w:lineRule="atLeast"/>
              <w:jc w:val="both"/>
              <w:rPr>
                <w:rFonts w:cs="Arial"/>
              </w:rPr>
            </w:pPr>
            <w:r w:rsidRPr="00E30642">
              <w:rPr>
                <w:rFonts w:cs="Arial"/>
              </w:rPr>
              <w:t>100</w:t>
            </w:r>
          </w:p>
        </w:tc>
      </w:tr>
      <w:tr w:rsidR="00CA23D0" w:rsidRPr="00E30642" w14:paraId="1BE1857E" w14:textId="77777777" w:rsidTr="00CA23D0">
        <w:tc>
          <w:tcPr>
            <w:tcW w:w="1985" w:type="dxa"/>
            <w:tcBorders>
              <w:top w:val="single" w:sz="6" w:space="0" w:color="auto"/>
              <w:left w:val="single" w:sz="6" w:space="0" w:color="auto"/>
              <w:bottom w:val="single" w:sz="6" w:space="0" w:color="auto"/>
              <w:right w:val="single" w:sz="6" w:space="0" w:color="auto"/>
            </w:tcBorders>
          </w:tcPr>
          <w:p w14:paraId="71B8D71E" w14:textId="77777777" w:rsidR="00CA23D0" w:rsidRPr="00E30642" w:rsidRDefault="00CA23D0" w:rsidP="00CA23D0">
            <w:pPr>
              <w:pStyle w:val="Texttabulky"/>
              <w:spacing w:line="240" w:lineRule="atLeast"/>
              <w:ind w:firstLine="157"/>
              <w:jc w:val="both"/>
              <w:rPr>
                <w:rFonts w:cs="Arial"/>
              </w:rPr>
            </w:pPr>
            <w:r w:rsidRPr="00E30642">
              <w:rPr>
                <w:rFonts w:cs="Arial"/>
              </w:rPr>
              <w:t>Krásná Lípa</w:t>
            </w:r>
          </w:p>
        </w:tc>
        <w:tc>
          <w:tcPr>
            <w:tcW w:w="1414" w:type="dxa"/>
            <w:tcBorders>
              <w:top w:val="single" w:sz="6" w:space="0" w:color="auto"/>
              <w:left w:val="single" w:sz="6" w:space="0" w:color="auto"/>
              <w:bottom w:val="single" w:sz="6" w:space="0" w:color="auto"/>
              <w:right w:val="single" w:sz="6" w:space="0" w:color="auto"/>
            </w:tcBorders>
          </w:tcPr>
          <w:p w14:paraId="5B219DC5" w14:textId="77777777" w:rsidR="00CA23D0" w:rsidRPr="00E30642" w:rsidRDefault="00CA23D0" w:rsidP="00CA23D0">
            <w:pPr>
              <w:pStyle w:val="Texttabulky"/>
              <w:spacing w:line="240" w:lineRule="atLeast"/>
              <w:jc w:val="both"/>
              <w:rPr>
                <w:rFonts w:cs="Arial"/>
              </w:rPr>
            </w:pPr>
            <w:r w:rsidRPr="00E30642">
              <w:rPr>
                <w:rFonts w:cs="Arial"/>
              </w:rPr>
              <w:t>3 139,35</w:t>
            </w:r>
          </w:p>
        </w:tc>
        <w:tc>
          <w:tcPr>
            <w:tcW w:w="1417" w:type="dxa"/>
            <w:tcBorders>
              <w:top w:val="single" w:sz="6" w:space="0" w:color="auto"/>
              <w:left w:val="single" w:sz="6" w:space="0" w:color="auto"/>
              <w:bottom w:val="single" w:sz="6" w:space="0" w:color="auto"/>
              <w:right w:val="single" w:sz="6" w:space="0" w:color="auto"/>
            </w:tcBorders>
          </w:tcPr>
          <w:p w14:paraId="33AE82C8" w14:textId="77777777" w:rsidR="00CA23D0" w:rsidRPr="00E30642" w:rsidRDefault="00CA23D0" w:rsidP="00CA23D0">
            <w:pPr>
              <w:pStyle w:val="Texttabulky"/>
              <w:spacing w:line="240" w:lineRule="atLeast"/>
              <w:jc w:val="both"/>
              <w:rPr>
                <w:rFonts w:cs="Arial"/>
              </w:rPr>
            </w:pPr>
            <w:r w:rsidRPr="00E30642">
              <w:rPr>
                <w:rFonts w:cs="Arial"/>
              </w:rPr>
              <w:t>3 381</w:t>
            </w:r>
          </w:p>
        </w:tc>
        <w:tc>
          <w:tcPr>
            <w:tcW w:w="1418" w:type="dxa"/>
            <w:tcBorders>
              <w:top w:val="single" w:sz="6" w:space="0" w:color="auto"/>
              <w:left w:val="single" w:sz="6" w:space="0" w:color="auto"/>
              <w:bottom w:val="single" w:sz="6" w:space="0" w:color="auto"/>
              <w:right w:val="single" w:sz="6" w:space="0" w:color="auto"/>
            </w:tcBorders>
          </w:tcPr>
          <w:p w14:paraId="48DC01EE" w14:textId="77777777" w:rsidR="00CA23D0" w:rsidRPr="00E30642" w:rsidRDefault="00CA23D0" w:rsidP="00CA23D0">
            <w:pPr>
              <w:pStyle w:val="Texttabulky"/>
              <w:spacing w:line="240" w:lineRule="atLeast"/>
              <w:jc w:val="both"/>
              <w:rPr>
                <w:rFonts w:cs="Arial"/>
              </w:rPr>
            </w:pPr>
            <w:r w:rsidRPr="00E30642">
              <w:rPr>
                <w:rFonts w:cs="Arial"/>
              </w:rPr>
              <w:t>3 442</w:t>
            </w:r>
          </w:p>
        </w:tc>
        <w:tc>
          <w:tcPr>
            <w:tcW w:w="1417" w:type="dxa"/>
            <w:tcBorders>
              <w:top w:val="single" w:sz="6" w:space="0" w:color="auto"/>
              <w:left w:val="single" w:sz="6" w:space="0" w:color="auto"/>
              <w:bottom w:val="single" w:sz="6" w:space="0" w:color="auto"/>
              <w:right w:val="single" w:sz="6" w:space="0" w:color="auto"/>
            </w:tcBorders>
          </w:tcPr>
          <w:p w14:paraId="3B42E80B" w14:textId="77777777" w:rsidR="00CA23D0" w:rsidRPr="00E30642" w:rsidRDefault="00CA23D0" w:rsidP="00CA23D0">
            <w:pPr>
              <w:pStyle w:val="Texttabulky"/>
              <w:spacing w:line="240" w:lineRule="atLeast"/>
              <w:jc w:val="both"/>
              <w:rPr>
                <w:rFonts w:cs="Arial"/>
              </w:rPr>
            </w:pPr>
            <w:r w:rsidRPr="00E30642">
              <w:rPr>
                <w:rFonts w:cs="Arial"/>
              </w:rPr>
              <w:t>3 500</w:t>
            </w:r>
          </w:p>
        </w:tc>
        <w:tc>
          <w:tcPr>
            <w:tcW w:w="1418" w:type="dxa"/>
            <w:tcBorders>
              <w:top w:val="single" w:sz="6" w:space="0" w:color="auto"/>
              <w:left w:val="single" w:sz="6" w:space="0" w:color="auto"/>
              <w:bottom w:val="single" w:sz="6" w:space="0" w:color="auto"/>
              <w:right w:val="single" w:sz="6" w:space="0" w:color="auto"/>
            </w:tcBorders>
          </w:tcPr>
          <w:p w14:paraId="10CCCD02" w14:textId="77777777" w:rsidR="00CA23D0" w:rsidRPr="00E30642" w:rsidRDefault="00CA23D0" w:rsidP="00CA23D0">
            <w:pPr>
              <w:pStyle w:val="Texttabulky"/>
              <w:spacing w:line="240" w:lineRule="atLeast"/>
              <w:jc w:val="both"/>
              <w:rPr>
                <w:rFonts w:cs="Arial"/>
              </w:rPr>
            </w:pPr>
            <w:r w:rsidRPr="00E30642">
              <w:rPr>
                <w:rFonts w:cs="Arial"/>
              </w:rPr>
              <w:t>3 100</w:t>
            </w:r>
          </w:p>
        </w:tc>
      </w:tr>
      <w:tr w:rsidR="00CA23D0" w:rsidRPr="00E30642" w14:paraId="2A2A3BD3" w14:textId="77777777" w:rsidTr="00CA23D0">
        <w:tc>
          <w:tcPr>
            <w:tcW w:w="1985" w:type="dxa"/>
            <w:tcBorders>
              <w:top w:val="single" w:sz="6" w:space="0" w:color="auto"/>
              <w:left w:val="single" w:sz="6" w:space="0" w:color="auto"/>
              <w:bottom w:val="single" w:sz="6" w:space="0" w:color="auto"/>
              <w:right w:val="single" w:sz="6" w:space="0" w:color="auto"/>
            </w:tcBorders>
          </w:tcPr>
          <w:p w14:paraId="35CAFC5B" w14:textId="77777777" w:rsidR="00CA23D0" w:rsidRPr="00E30642" w:rsidRDefault="00CA23D0" w:rsidP="00CA23D0">
            <w:pPr>
              <w:pStyle w:val="Texttabulky"/>
              <w:spacing w:line="240" w:lineRule="atLeast"/>
              <w:ind w:firstLine="157"/>
              <w:jc w:val="both"/>
              <w:rPr>
                <w:rFonts w:cs="Arial"/>
              </w:rPr>
            </w:pPr>
            <w:r w:rsidRPr="00E30642">
              <w:rPr>
                <w:rFonts w:cs="Arial"/>
              </w:rPr>
              <w:lastRenderedPageBreak/>
              <w:t>Kunratice</w:t>
            </w:r>
          </w:p>
        </w:tc>
        <w:tc>
          <w:tcPr>
            <w:tcW w:w="1414" w:type="dxa"/>
            <w:tcBorders>
              <w:top w:val="single" w:sz="6" w:space="0" w:color="auto"/>
              <w:left w:val="single" w:sz="6" w:space="0" w:color="auto"/>
              <w:bottom w:val="single" w:sz="6" w:space="0" w:color="auto"/>
              <w:right w:val="single" w:sz="6" w:space="0" w:color="auto"/>
            </w:tcBorders>
          </w:tcPr>
          <w:p w14:paraId="473FF0C5" w14:textId="77777777" w:rsidR="00CA23D0" w:rsidRPr="00E30642" w:rsidRDefault="00CA23D0" w:rsidP="00CA23D0">
            <w:pPr>
              <w:pStyle w:val="Texttabulky"/>
              <w:spacing w:line="240" w:lineRule="atLeast"/>
              <w:jc w:val="both"/>
              <w:rPr>
                <w:rFonts w:cs="Arial"/>
              </w:rPr>
            </w:pPr>
            <w:r w:rsidRPr="00E30642">
              <w:rPr>
                <w:rFonts w:cs="Arial"/>
              </w:rPr>
              <w:t>1 365,65</w:t>
            </w:r>
          </w:p>
        </w:tc>
        <w:tc>
          <w:tcPr>
            <w:tcW w:w="1417" w:type="dxa"/>
            <w:tcBorders>
              <w:top w:val="single" w:sz="6" w:space="0" w:color="auto"/>
              <w:left w:val="single" w:sz="6" w:space="0" w:color="auto"/>
              <w:bottom w:val="single" w:sz="6" w:space="0" w:color="auto"/>
              <w:right w:val="single" w:sz="6" w:space="0" w:color="auto"/>
            </w:tcBorders>
          </w:tcPr>
          <w:p w14:paraId="7B049ADE" w14:textId="77777777" w:rsidR="00CA23D0" w:rsidRPr="00E30642" w:rsidRDefault="00CA23D0" w:rsidP="00CA23D0">
            <w:pPr>
              <w:pStyle w:val="Texttabulky"/>
              <w:spacing w:line="240" w:lineRule="atLeast"/>
              <w:jc w:val="both"/>
              <w:rPr>
                <w:rFonts w:cs="Arial"/>
              </w:rPr>
            </w:pPr>
            <w:r w:rsidRPr="00E30642">
              <w:rPr>
                <w:rFonts w:cs="Arial"/>
              </w:rPr>
              <w:t>184</w:t>
            </w:r>
          </w:p>
        </w:tc>
        <w:tc>
          <w:tcPr>
            <w:tcW w:w="1418" w:type="dxa"/>
            <w:tcBorders>
              <w:top w:val="single" w:sz="6" w:space="0" w:color="auto"/>
              <w:left w:val="single" w:sz="6" w:space="0" w:color="auto"/>
              <w:bottom w:val="single" w:sz="6" w:space="0" w:color="auto"/>
              <w:right w:val="single" w:sz="6" w:space="0" w:color="auto"/>
            </w:tcBorders>
          </w:tcPr>
          <w:p w14:paraId="7AB626AA" w14:textId="77777777" w:rsidR="00CA23D0" w:rsidRPr="00E30642" w:rsidRDefault="00CA23D0" w:rsidP="00CA23D0">
            <w:pPr>
              <w:pStyle w:val="Texttabulky"/>
              <w:spacing w:line="240" w:lineRule="atLeast"/>
              <w:jc w:val="both"/>
              <w:rPr>
                <w:rFonts w:cs="Arial"/>
              </w:rPr>
            </w:pPr>
            <w:r w:rsidRPr="00E30642">
              <w:rPr>
                <w:rFonts w:cs="Arial"/>
              </w:rPr>
              <w:t>221</w:t>
            </w:r>
          </w:p>
        </w:tc>
        <w:tc>
          <w:tcPr>
            <w:tcW w:w="1417" w:type="dxa"/>
            <w:tcBorders>
              <w:top w:val="single" w:sz="6" w:space="0" w:color="auto"/>
              <w:left w:val="single" w:sz="6" w:space="0" w:color="auto"/>
              <w:bottom w:val="single" w:sz="6" w:space="0" w:color="auto"/>
              <w:right w:val="single" w:sz="6" w:space="0" w:color="auto"/>
            </w:tcBorders>
          </w:tcPr>
          <w:p w14:paraId="38F636E1"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418" w:type="dxa"/>
            <w:tcBorders>
              <w:top w:val="single" w:sz="6" w:space="0" w:color="auto"/>
              <w:left w:val="single" w:sz="6" w:space="0" w:color="auto"/>
              <w:bottom w:val="single" w:sz="6" w:space="0" w:color="auto"/>
              <w:right w:val="single" w:sz="6" w:space="0" w:color="auto"/>
            </w:tcBorders>
          </w:tcPr>
          <w:p w14:paraId="58A41799"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37C93112" w14:textId="77777777" w:rsidTr="00CA23D0">
        <w:tc>
          <w:tcPr>
            <w:tcW w:w="1985" w:type="dxa"/>
            <w:tcBorders>
              <w:top w:val="single" w:sz="6" w:space="0" w:color="auto"/>
              <w:left w:val="single" w:sz="6" w:space="0" w:color="auto"/>
              <w:bottom w:val="single" w:sz="6" w:space="0" w:color="auto"/>
              <w:right w:val="single" w:sz="6" w:space="0" w:color="auto"/>
            </w:tcBorders>
          </w:tcPr>
          <w:p w14:paraId="3145CF11" w14:textId="77777777" w:rsidR="00CA23D0" w:rsidRPr="00E30642" w:rsidRDefault="00CA23D0" w:rsidP="00CA23D0">
            <w:pPr>
              <w:pStyle w:val="Texttabulky"/>
              <w:spacing w:line="240" w:lineRule="atLeast"/>
              <w:ind w:firstLine="157"/>
              <w:jc w:val="both"/>
              <w:rPr>
                <w:rFonts w:cs="Arial"/>
              </w:rPr>
            </w:pPr>
            <w:r w:rsidRPr="00E30642">
              <w:rPr>
                <w:rFonts w:cs="Arial"/>
              </w:rPr>
              <w:t>Kytlice</w:t>
            </w:r>
          </w:p>
        </w:tc>
        <w:tc>
          <w:tcPr>
            <w:tcW w:w="1414" w:type="dxa"/>
            <w:tcBorders>
              <w:top w:val="single" w:sz="6" w:space="0" w:color="auto"/>
              <w:left w:val="single" w:sz="6" w:space="0" w:color="auto"/>
              <w:bottom w:val="single" w:sz="6" w:space="0" w:color="auto"/>
              <w:right w:val="single" w:sz="6" w:space="0" w:color="auto"/>
            </w:tcBorders>
          </w:tcPr>
          <w:p w14:paraId="5E25889B" w14:textId="77777777" w:rsidR="00CA23D0" w:rsidRPr="00E30642" w:rsidRDefault="00CA23D0" w:rsidP="00CA23D0">
            <w:pPr>
              <w:pStyle w:val="Texttabulky"/>
              <w:spacing w:line="240" w:lineRule="atLeast"/>
              <w:jc w:val="both"/>
              <w:rPr>
                <w:rFonts w:cs="Arial"/>
              </w:rPr>
            </w:pPr>
            <w:r w:rsidRPr="00E30642">
              <w:rPr>
                <w:rFonts w:cs="Arial"/>
              </w:rPr>
              <w:t>2 676,55</w:t>
            </w:r>
          </w:p>
        </w:tc>
        <w:tc>
          <w:tcPr>
            <w:tcW w:w="1417" w:type="dxa"/>
            <w:tcBorders>
              <w:top w:val="single" w:sz="6" w:space="0" w:color="auto"/>
              <w:left w:val="single" w:sz="6" w:space="0" w:color="auto"/>
              <w:bottom w:val="single" w:sz="6" w:space="0" w:color="auto"/>
              <w:right w:val="single" w:sz="6" w:space="0" w:color="auto"/>
            </w:tcBorders>
          </w:tcPr>
          <w:p w14:paraId="60F67C72" w14:textId="77777777" w:rsidR="00CA23D0" w:rsidRPr="00E30642" w:rsidRDefault="00CA23D0" w:rsidP="00CA23D0">
            <w:pPr>
              <w:pStyle w:val="Texttabulky"/>
              <w:spacing w:line="240" w:lineRule="atLeast"/>
              <w:jc w:val="both"/>
              <w:rPr>
                <w:rFonts w:cs="Arial"/>
              </w:rPr>
            </w:pPr>
            <w:r w:rsidRPr="00E30642">
              <w:rPr>
                <w:rFonts w:cs="Arial"/>
              </w:rPr>
              <w:t>365</w:t>
            </w:r>
          </w:p>
        </w:tc>
        <w:tc>
          <w:tcPr>
            <w:tcW w:w="1418" w:type="dxa"/>
            <w:tcBorders>
              <w:top w:val="single" w:sz="6" w:space="0" w:color="auto"/>
              <w:left w:val="single" w:sz="6" w:space="0" w:color="auto"/>
              <w:bottom w:val="single" w:sz="6" w:space="0" w:color="auto"/>
              <w:right w:val="single" w:sz="6" w:space="0" w:color="auto"/>
            </w:tcBorders>
          </w:tcPr>
          <w:p w14:paraId="6B110EF5" w14:textId="77777777" w:rsidR="00CA23D0" w:rsidRPr="00E30642" w:rsidRDefault="00CA23D0" w:rsidP="00CA23D0">
            <w:pPr>
              <w:pStyle w:val="Texttabulky"/>
              <w:spacing w:line="240" w:lineRule="atLeast"/>
              <w:jc w:val="both"/>
              <w:rPr>
                <w:rFonts w:cs="Arial"/>
              </w:rPr>
            </w:pPr>
            <w:r w:rsidRPr="00E30642">
              <w:rPr>
                <w:rFonts w:cs="Arial"/>
              </w:rPr>
              <w:t>397</w:t>
            </w:r>
          </w:p>
        </w:tc>
        <w:tc>
          <w:tcPr>
            <w:tcW w:w="1417" w:type="dxa"/>
            <w:tcBorders>
              <w:top w:val="single" w:sz="6" w:space="0" w:color="auto"/>
              <w:left w:val="single" w:sz="6" w:space="0" w:color="auto"/>
              <w:bottom w:val="single" w:sz="6" w:space="0" w:color="auto"/>
              <w:right w:val="single" w:sz="6" w:space="0" w:color="auto"/>
            </w:tcBorders>
          </w:tcPr>
          <w:p w14:paraId="0877BC47"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747E993A" w14:textId="77777777" w:rsidR="00CA23D0" w:rsidRPr="00E30642" w:rsidRDefault="00CA23D0" w:rsidP="00CA23D0">
            <w:pPr>
              <w:pStyle w:val="Texttabulky"/>
              <w:spacing w:line="240" w:lineRule="atLeast"/>
              <w:jc w:val="both"/>
              <w:rPr>
                <w:rFonts w:cs="Arial"/>
              </w:rPr>
            </w:pPr>
            <w:r w:rsidRPr="00E30642">
              <w:rPr>
                <w:rFonts w:cs="Arial"/>
              </w:rPr>
              <w:t>450</w:t>
            </w:r>
          </w:p>
        </w:tc>
      </w:tr>
      <w:tr w:rsidR="00CA23D0" w:rsidRPr="00E30642" w14:paraId="68CE61E8" w14:textId="77777777" w:rsidTr="00CA23D0">
        <w:tc>
          <w:tcPr>
            <w:tcW w:w="1985" w:type="dxa"/>
            <w:tcBorders>
              <w:top w:val="single" w:sz="6" w:space="0" w:color="auto"/>
              <w:left w:val="single" w:sz="6" w:space="0" w:color="auto"/>
              <w:bottom w:val="single" w:sz="6" w:space="0" w:color="auto"/>
              <w:right w:val="single" w:sz="6" w:space="0" w:color="auto"/>
            </w:tcBorders>
          </w:tcPr>
          <w:p w14:paraId="3C6C41B4" w14:textId="77777777" w:rsidR="00CA23D0" w:rsidRPr="00E30642" w:rsidRDefault="00CA23D0" w:rsidP="00CA23D0">
            <w:pPr>
              <w:pStyle w:val="Texttabulky"/>
              <w:spacing w:line="240" w:lineRule="atLeast"/>
              <w:ind w:firstLine="157"/>
              <w:jc w:val="both"/>
              <w:rPr>
                <w:rFonts w:cs="Arial"/>
              </w:rPr>
            </w:pPr>
            <w:r w:rsidRPr="00E30642">
              <w:rPr>
                <w:rFonts w:cs="Arial"/>
              </w:rPr>
              <w:t>Labská Stráň</w:t>
            </w:r>
          </w:p>
        </w:tc>
        <w:tc>
          <w:tcPr>
            <w:tcW w:w="1414" w:type="dxa"/>
            <w:tcBorders>
              <w:top w:val="single" w:sz="6" w:space="0" w:color="auto"/>
              <w:left w:val="single" w:sz="6" w:space="0" w:color="auto"/>
              <w:bottom w:val="single" w:sz="6" w:space="0" w:color="auto"/>
              <w:right w:val="single" w:sz="6" w:space="0" w:color="auto"/>
            </w:tcBorders>
          </w:tcPr>
          <w:p w14:paraId="202158C8" w14:textId="77777777" w:rsidR="00CA23D0" w:rsidRPr="00E30642" w:rsidRDefault="00CA23D0" w:rsidP="00CA23D0">
            <w:pPr>
              <w:pStyle w:val="Texttabulky"/>
              <w:spacing w:line="240" w:lineRule="atLeast"/>
              <w:jc w:val="both"/>
              <w:rPr>
                <w:rFonts w:cs="Arial"/>
              </w:rPr>
            </w:pPr>
            <w:r w:rsidRPr="00E30642">
              <w:rPr>
                <w:rFonts w:cs="Arial"/>
              </w:rPr>
              <w:t>288,37</w:t>
            </w:r>
          </w:p>
        </w:tc>
        <w:tc>
          <w:tcPr>
            <w:tcW w:w="1417" w:type="dxa"/>
            <w:tcBorders>
              <w:top w:val="single" w:sz="6" w:space="0" w:color="auto"/>
              <w:left w:val="single" w:sz="6" w:space="0" w:color="auto"/>
              <w:bottom w:val="single" w:sz="6" w:space="0" w:color="auto"/>
              <w:right w:val="single" w:sz="6" w:space="0" w:color="auto"/>
            </w:tcBorders>
          </w:tcPr>
          <w:p w14:paraId="3A57A196" w14:textId="77777777" w:rsidR="00CA23D0" w:rsidRPr="00E30642" w:rsidRDefault="00CA23D0" w:rsidP="00CA23D0">
            <w:pPr>
              <w:pStyle w:val="Texttabulky"/>
              <w:spacing w:line="240" w:lineRule="atLeast"/>
              <w:jc w:val="both"/>
              <w:rPr>
                <w:rFonts w:cs="Arial"/>
              </w:rPr>
            </w:pPr>
            <w:r w:rsidRPr="00E30642">
              <w:rPr>
                <w:rFonts w:cs="Arial"/>
              </w:rPr>
              <w:t>158</w:t>
            </w:r>
          </w:p>
        </w:tc>
        <w:tc>
          <w:tcPr>
            <w:tcW w:w="1418" w:type="dxa"/>
            <w:tcBorders>
              <w:top w:val="single" w:sz="6" w:space="0" w:color="auto"/>
              <w:left w:val="single" w:sz="6" w:space="0" w:color="auto"/>
              <w:bottom w:val="single" w:sz="6" w:space="0" w:color="auto"/>
              <w:right w:val="single" w:sz="6" w:space="0" w:color="auto"/>
            </w:tcBorders>
          </w:tcPr>
          <w:p w14:paraId="4EDEC26B" w14:textId="77777777" w:rsidR="00CA23D0" w:rsidRPr="00E30642" w:rsidRDefault="00CA23D0" w:rsidP="00CA23D0">
            <w:pPr>
              <w:pStyle w:val="Texttabulky"/>
              <w:spacing w:line="240" w:lineRule="atLeast"/>
              <w:jc w:val="both"/>
              <w:rPr>
                <w:rFonts w:cs="Arial"/>
              </w:rPr>
            </w:pPr>
            <w:r w:rsidRPr="00E30642">
              <w:rPr>
                <w:rFonts w:cs="Arial"/>
              </w:rPr>
              <w:t>212</w:t>
            </w:r>
          </w:p>
        </w:tc>
        <w:tc>
          <w:tcPr>
            <w:tcW w:w="1417" w:type="dxa"/>
            <w:tcBorders>
              <w:top w:val="single" w:sz="6" w:space="0" w:color="auto"/>
              <w:left w:val="single" w:sz="6" w:space="0" w:color="auto"/>
              <w:bottom w:val="single" w:sz="6" w:space="0" w:color="auto"/>
              <w:right w:val="single" w:sz="6" w:space="0" w:color="auto"/>
            </w:tcBorders>
          </w:tcPr>
          <w:p w14:paraId="52D57549"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418" w:type="dxa"/>
            <w:tcBorders>
              <w:top w:val="single" w:sz="6" w:space="0" w:color="auto"/>
              <w:left w:val="single" w:sz="6" w:space="0" w:color="auto"/>
              <w:bottom w:val="single" w:sz="6" w:space="0" w:color="auto"/>
              <w:right w:val="single" w:sz="6" w:space="0" w:color="auto"/>
            </w:tcBorders>
          </w:tcPr>
          <w:p w14:paraId="6201595E"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4B48BC7B" w14:textId="77777777" w:rsidTr="00CA23D0">
        <w:tc>
          <w:tcPr>
            <w:tcW w:w="1985" w:type="dxa"/>
            <w:tcBorders>
              <w:top w:val="single" w:sz="6" w:space="0" w:color="auto"/>
              <w:left w:val="single" w:sz="6" w:space="0" w:color="auto"/>
              <w:bottom w:val="single" w:sz="6" w:space="0" w:color="auto"/>
              <w:right w:val="single" w:sz="6" w:space="0" w:color="auto"/>
            </w:tcBorders>
          </w:tcPr>
          <w:p w14:paraId="508EFDA9" w14:textId="77777777" w:rsidR="00CA23D0" w:rsidRPr="00E30642" w:rsidRDefault="00CA23D0" w:rsidP="00CA23D0">
            <w:pPr>
              <w:pStyle w:val="Texttabulky"/>
              <w:spacing w:line="240" w:lineRule="atLeast"/>
              <w:ind w:firstLine="157"/>
              <w:jc w:val="both"/>
              <w:rPr>
                <w:rFonts w:cs="Arial"/>
              </w:rPr>
            </w:pPr>
            <w:r w:rsidRPr="00E30642">
              <w:rPr>
                <w:rFonts w:cs="Arial"/>
              </w:rPr>
              <w:t>Lipová</w:t>
            </w:r>
          </w:p>
        </w:tc>
        <w:tc>
          <w:tcPr>
            <w:tcW w:w="1414" w:type="dxa"/>
            <w:tcBorders>
              <w:top w:val="single" w:sz="6" w:space="0" w:color="auto"/>
              <w:left w:val="single" w:sz="6" w:space="0" w:color="auto"/>
              <w:bottom w:val="single" w:sz="6" w:space="0" w:color="auto"/>
              <w:right w:val="single" w:sz="6" w:space="0" w:color="auto"/>
            </w:tcBorders>
          </w:tcPr>
          <w:p w14:paraId="18A62A51" w14:textId="77777777" w:rsidR="00CA23D0" w:rsidRPr="00E30642" w:rsidRDefault="00CA23D0" w:rsidP="00CA23D0">
            <w:pPr>
              <w:pStyle w:val="Texttabulky"/>
              <w:spacing w:line="240" w:lineRule="atLeast"/>
              <w:jc w:val="both"/>
              <w:rPr>
                <w:rFonts w:cs="Arial"/>
              </w:rPr>
            </w:pPr>
            <w:r w:rsidRPr="00E30642">
              <w:rPr>
                <w:rFonts w:cs="Arial"/>
              </w:rPr>
              <w:t>1 282,18</w:t>
            </w:r>
          </w:p>
        </w:tc>
        <w:tc>
          <w:tcPr>
            <w:tcW w:w="1417" w:type="dxa"/>
            <w:tcBorders>
              <w:top w:val="single" w:sz="6" w:space="0" w:color="auto"/>
              <w:left w:val="single" w:sz="6" w:space="0" w:color="auto"/>
              <w:bottom w:val="single" w:sz="6" w:space="0" w:color="auto"/>
              <w:right w:val="single" w:sz="6" w:space="0" w:color="auto"/>
            </w:tcBorders>
          </w:tcPr>
          <w:p w14:paraId="39B22ACF" w14:textId="77777777" w:rsidR="00CA23D0" w:rsidRPr="00E30642" w:rsidRDefault="00CA23D0" w:rsidP="00CA23D0">
            <w:pPr>
              <w:pStyle w:val="Texttabulky"/>
              <w:spacing w:line="240" w:lineRule="atLeast"/>
              <w:jc w:val="both"/>
              <w:rPr>
                <w:rFonts w:cs="Arial"/>
              </w:rPr>
            </w:pPr>
            <w:r w:rsidRPr="00E30642">
              <w:rPr>
                <w:rFonts w:cs="Arial"/>
              </w:rPr>
              <w:t>627</w:t>
            </w:r>
          </w:p>
        </w:tc>
        <w:tc>
          <w:tcPr>
            <w:tcW w:w="1418" w:type="dxa"/>
            <w:tcBorders>
              <w:top w:val="single" w:sz="6" w:space="0" w:color="auto"/>
              <w:left w:val="single" w:sz="6" w:space="0" w:color="auto"/>
              <w:bottom w:val="single" w:sz="6" w:space="0" w:color="auto"/>
              <w:right w:val="single" w:sz="6" w:space="0" w:color="auto"/>
            </w:tcBorders>
          </w:tcPr>
          <w:p w14:paraId="032128AF" w14:textId="77777777" w:rsidR="00CA23D0" w:rsidRPr="00E30642" w:rsidRDefault="00CA23D0" w:rsidP="00CA23D0">
            <w:pPr>
              <w:pStyle w:val="Texttabulky"/>
              <w:spacing w:line="240" w:lineRule="atLeast"/>
              <w:jc w:val="both"/>
              <w:rPr>
                <w:rFonts w:cs="Arial"/>
              </w:rPr>
            </w:pPr>
            <w:r w:rsidRPr="00E30642">
              <w:rPr>
                <w:rFonts w:cs="Arial"/>
              </w:rPr>
              <w:t>636</w:t>
            </w:r>
          </w:p>
        </w:tc>
        <w:tc>
          <w:tcPr>
            <w:tcW w:w="1417" w:type="dxa"/>
            <w:tcBorders>
              <w:top w:val="single" w:sz="6" w:space="0" w:color="auto"/>
              <w:left w:val="single" w:sz="6" w:space="0" w:color="auto"/>
              <w:bottom w:val="single" w:sz="6" w:space="0" w:color="auto"/>
              <w:right w:val="single" w:sz="6" w:space="0" w:color="auto"/>
            </w:tcBorders>
          </w:tcPr>
          <w:p w14:paraId="2A22811D"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08C01094" w14:textId="77777777" w:rsidR="00CA23D0" w:rsidRPr="00E30642" w:rsidRDefault="00CA23D0" w:rsidP="00CA23D0">
            <w:pPr>
              <w:pStyle w:val="Texttabulky"/>
              <w:spacing w:line="240" w:lineRule="atLeast"/>
              <w:jc w:val="both"/>
              <w:rPr>
                <w:rFonts w:cs="Arial"/>
              </w:rPr>
            </w:pPr>
            <w:r w:rsidRPr="00E30642">
              <w:rPr>
                <w:rFonts w:cs="Arial"/>
              </w:rPr>
              <w:t>700</w:t>
            </w:r>
          </w:p>
        </w:tc>
      </w:tr>
      <w:tr w:rsidR="00CA23D0" w:rsidRPr="00E30642" w14:paraId="7DC82BF4" w14:textId="77777777" w:rsidTr="00CA23D0">
        <w:tc>
          <w:tcPr>
            <w:tcW w:w="1985" w:type="dxa"/>
            <w:tcBorders>
              <w:top w:val="single" w:sz="6" w:space="0" w:color="auto"/>
              <w:left w:val="single" w:sz="6" w:space="0" w:color="auto"/>
              <w:bottom w:val="single" w:sz="6" w:space="0" w:color="auto"/>
              <w:right w:val="single" w:sz="6" w:space="0" w:color="auto"/>
            </w:tcBorders>
          </w:tcPr>
          <w:p w14:paraId="407395CC" w14:textId="77777777" w:rsidR="00CA23D0" w:rsidRPr="00E30642" w:rsidRDefault="00CA23D0" w:rsidP="00CA23D0">
            <w:pPr>
              <w:pStyle w:val="Texttabulky"/>
              <w:spacing w:line="240" w:lineRule="atLeast"/>
              <w:ind w:firstLine="157"/>
              <w:jc w:val="both"/>
              <w:rPr>
                <w:rFonts w:cs="Arial"/>
              </w:rPr>
            </w:pPr>
            <w:r w:rsidRPr="00E30642">
              <w:rPr>
                <w:rFonts w:cs="Arial"/>
              </w:rPr>
              <w:t>Lobendava</w:t>
            </w:r>
          </w:p>
        </w:tc>
        <w:tc>
          <w:tcPr>
            <w:tcW w:w="1414" w:type="dxa"/>
            <w:tcBorders>
              <w:top w:val="single" w:sz="6" w:space="0" w:color="auto"/>
              <w:left w:val="single" w:sz="6" w:space="0" w:color="auto"/>
              <w:bottom w:val="single" w:sz="6" w:space="0" w:color="auto"/>
              <w:right w:val="single" w:sz="6" w:space="0" w:color="auto"/>
            </w:tcBorders>
          </w:tcPr>
          <w:p w14:paraId="2D468828" w14:textId="77777777" w:rsidR="00CA23D0" w:rsidRPr="00E30642" w:rsidRDefault="00CA23D0" w:rsidP="00CA23D0">
            <w:pPr>
              <w:pStyle w:val="Texttabulky"/>
              <w:spacing w:line="240" w:lineRule="atLeast"/>
              <w:jc w:val="both"/>
              <w:rPr>
                <w:rFonts w:cs="Arial"/>
              </w:rPr>
            </w:pPr>
            <w:r w:rsidRPr="00E30642">
              <w:rPr>
                <w:rFonts w:cs="Arial"/>
              </w:rPr>
              <w:t>1 954,54</w:t>
            </w:r>
          </w:p>
        </w:tc>
        <w:tc>
          <w:tcPr>
            <w:tcW w:w="1417" w:type="dxa"/>
            <w:tcBorders>
              <w:top w:val="single" w:sz="6" w:space="0" w:color="auto"/>
              <w:left w:val="single" w:sz="6" w:space="0" w:color="auto"/>
              <w:bottom w:val="single" w:sz="6" w:space="0" w:color="auto"/>
              <w:right w:val="single" w:sz="6" w:space="0" w:color="auto"/>
            </w:tcBorders>
          </w:tcPr>
          <w:p w14:paraId="05E2203B" w14:textId="77777777" w:rsidR="00CA23D0" w:rsidRPr="00E30642" w:rsidRDefault="00CA23D0" w:rsidP="00CA23D0">
            <w:pPr>
              <w:pStyle w:val="Texttabulky"/>
              <w:spacing w:line="240" w:lineRule="atLeast"/>
              <w:jc w:val="both"/>
              <w:rPr>
                <w:rFonts w:cs="Arial"/>
              </w:rPr>
            </w:pPr>
            <w:r w:rsidRPr="00E30642">
              <w:rPr>
                <w:rFonts w:cs="Arial"/>
              </w:rPr>
              <w:t>315</w:t>
            </w:r>
          </w:p>
        </w:tc>
        <w:tc>
          <w:tcPr>
            <w:tcW w:w="1418" w:type="dxa"/>
            <w:tcBorders>
              <w:top w:val="single" w:sz="6" w:space="0" w:color="auto"/>
              <w:left w:val="single" w:sz="6" w:space="0" w:color="auto"/>
              <w:bottom w:val="single" w:sz="6" w:space="0" w:color="auto"/>
              <w:right w:val="single" w:sz="6" w:space="0" w:color="auto"/>
            </w:tcBorders>
          </w:tcPr>
          <w:p w14:paraId="4EFB25AA" w14:textId="77777777" w:rsidR="00CA23D0" w:rsidRPr="00E30642" w:rsidRDefault="00CA23D0" w:rsidP="00CA23D0">
            <w:pPr>
              <w:pStyle w:val="Texttabulky"/>
              <w:spacing w:line="240" w:lineRule="atLeast"/>
              <w:jc w:val="both"/>
              <w:rPr>
                <w:rFonts w:cs="Arial"/>
              </w:rPr>
            </w:pPr>
            <w:r w:rsidRPr="00E30642">
              <w:rPr>
                <w:rFonts w:cs="Arial"/>
              </w:rPr>
              <w:t>314</w:t>
            </w:r>
          </w:p>
        </w:tc>
        <w:tc>
          <w:tcPr>
            <w:tcW w:w="1417" w:type="dxa"/>
            <w:tcBorders>
              <w:top w:val="single" w:sz="6" w:space="0" w:color="auto"/>
              <w:left w:val="single" w:sz="6" w:space="0" w:color="auto"/>
              <w:bottom w:val="single" w:sz="6" w:space="0" w:color="auto"/>
              <w:right w:val="single" w:sz="6" w:space="0" w:color="auto"/>
            </w:tcBorders>
          </w:tcPr>
          <w:p w14:paraId="13E0C75F" w14:textId="77777777" w:rsidR="00CA23D0" w:rsidRPr="00E30642" w:rsidRDefault="00CA23D0" w:rsidP="00CA23D0">
            <w:pPr>
              <w:pStyle w:val="Texttabulky"/>
              <w:spacing w:line="240" w:lineRule="atLeast"/>
              <w:jc w:val="both"/>
              <w:rPr>
                <w:rFonts w:cs="Arial"/>
              </w:rPr>
            </w:pPr>
            <w:r w:rsidRPr="00E30642">
              <w:rPr>
                <w:rFonts w:cs="Arial"/>
              </w:rPr>
              <w:t>350</w:t>
            </w:r>
          </w:p>
        </w:tc>
        <w:tc>
          <w:tcPr>
            <w:tcW w:w="1418" w:type="dxa"/>
            <w:tcBorders>
              <w:top w:val="single" w:sz="6" w:space="0" w:color="auto"/>
              <w:left w:val="single" w:sz="6" w:space="0" w:color="auto"/>
              <w:bottom w:val="single" w:sz="6" w:space="0" w:color="auto"/>
              <w:right w:val="single" w:sz="6" w:space="0" w:color="auto"/>
            </w:tcBorders>
          </w:tcPr>
          <w:p w14:paraId="314D4E78"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3CE77A55" w14:textId="77777777" w:rsidTr="00CA23D0">
        <w:tc>
          <w:tcPr>
            <w:tcW w:w="1985" w:type="dxa"/>
            <w:tcBorders>
              <w:top w:val="single" w:sz="6" w:space="0" w:color="auto"/>
              <w:left w:val="single" w:sz="6" w:space="0" w:color="auto"/>
              <w:bottom w:val="single" w:sz="6" w:space="0" w:color="auto"/>
              <w:right w:val="single" w:sz="6" w:space="0" w:color="auto"/>
            </w:tcBorders>
          </w:tcPr>
          <w:p w14:paraId="034B3218" w14:textId="77777777" w:rsidR="00CA23D0" w:rsidRPr="00E30642" w:rsidRDefault="00CA23D0" w:rsidP="00CA23D0">
            <w:pPr>
              <w:pStyle w:val="Texttabulky"/>
              <w:spacing w:line="240" w:lineRule="atLeast"/>
              <w:ind w:firstLine="157"/>
              <w:jc w:val="both"/>
              <w:rPr>
                <w:rFonts w:cs="Arial"/>
              </w:rPr>
            </w:pPr>
            <w:r w:rsidRPr="00E30642">
              <w:rPr>
                <w:rFonts w:cs="Arial"/>
              </w:rPr>
              <w:t>Ludvíkovice</w:t>
            </w:r>
          </w:p>
        </w:tc>
        <w:tc>
          <w:tcPr>
            <w:tcW w:w="1414" w:type="dxa"/>
            <w:tcBorders>
              <w:top w:val="single" w:sz="6" w:space="0" w:color="auto"/>
              <w:left w:val="single" w:sz="6" w:space="0" w:color="auto"/>
              <w:bottom w:val="single" w:sz="6" w:space="0" w:color="auto"/>
              <w:right w:val="single" w:sz="6" w:space="0" w:color="auto"/>
            </w:tcBorders>
          </w:tcPr>
          <w:p w14:paraId="76CD7F55" w14:textId="77777777" w:rsidR="00CA23D0" w:rsidRPr="00E30642" w:rsidRDefault="00CA23D0" w:rsidP="00CA23D0">
            <w:pPr>
              <w:pStyle w:val="Texttabulky"/>
              <w:spacing w:line="240" w:lineRule="atLeast"/>
              <w:jc w:val="both"/>
              <w:rPr>
                <w:rFonts w:cs="Arial"/>
              </w:rPr>
            </w:pPr>
            <w:r w:rsidRPr="00E30642">
              <w:rPr>
                <w:rFonts w:cs="Arial"/>
              </w:rPr>
              <w:t>948,12</w:t>
            </w:r>
          </w:p>
        </w:tc>
        <w:tc>
          <w:tcPr>
            <w:tcW w:w="1417" w:type="dxa"/>
            <w:tcBorders>
              <w:top w:val="single" w:sz="6" w:space="0" w:color="auto"/>
              <w:left w:val="single" w:sz="6" w:space="0" w:color="auto"/>
              <w:bottom w:val="single" w:sz="6" w:space="0" w:color="auto"/>
              <w:right w:val="single" w:sz="6" w:space="0" w:color="auto"/>
            </w:tcBorders>
          </w:tcPr>
          <w:p w14:paraId="449ADE0F"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0445D1E0" w14:textId="77777777" w:rsidR="00CA23D0" w:rsidRPr="00E30642" w:rsidRDefault="00CA23D0" w:rsidP="00CA23D0">
            <w:pPr>
              <w:pStyle w:val="Texttabulky"/>
              <w:spacing w:line="240" w:lineRule="atLeast"/>
              <w:jc w:val="both"/>
              <w:rPr>
                <w:rFonts w:cs="Arial"/>
              </w:rPr>
            </w:pPr>
            <w:r w:rsidRPr="00E30642">
              <w:rPr>
                <w:rFonts w:cs="Arial"/>
              </w:rPr>
              <w:t>693</w:t>
            </w:r>
          </w:p>
        </w:tc>
        <w:tc>
          <w:tcPr>
            <w:tcW w:w="1417" w:type="dxa"/>
            <w:tcBorders>
              <w:top w:val="single" w:sz="6" w:space="0" w:color="auto"/>
              <w:left w:val="single" w:sz="6" w:space="0" w:color="auto"/>
              <w:bottom w:val="single" w:sz="6" w:space="0" w:color="auto"/>
              <w:right w:val="single" w:sz="6" w:space="0" w:color="auto"/>
            </w:tcBorders>
          </w:tcPr>
          <w:p w14:paraId="05912B7C" w14:textId="77777777" w:rsidR="00CA23D0" w:rsidRPr="00E30642" w:rsidRDefault="00CA23D0" w:rsidP="00CA23D0">
            <w:pPr>
              <w:pStyle w:val="Texttabulky"/>
              <w:spacing w:line="240" w:lineRule="atLeast"/>
              <w:jc w:val="both"/>
              <w:rPr>
                <w:rFonts w:cs="Arial"/>
              </w:rPr>
            </w:pPr>
            <w:r w:rsidRPr="00E30642">
              <w:rPr>
                <w:rFonts w:cs="Arial"/>
              </w:rPr>
              <w:t>700</w:t>
            </w:r>
          </w:p>
        </w:tc>
        <w:tc>
          <w:tcPr>
            <w:tcW w:w="1418" w:type="dxa"/>
            <w:tcBorders>
              <w:top w:val="single" w:sz="6" w:space="0" w:color="auto"/>
              <w:left w:val="single" w:sz="6" w:space="0" w:color="auto"/>
              <w:bottom w:val="single" w:sz="6" w:space="0" w:color="auto"/>
              <w:right w:val="single" w:sz="6" w:space="0" w:color="auto"/>
            </w:tcBorders>
          </w:tcPr>
          <w:p w14:paraId="2D3DF4DC" w14:textId="77777777" w:rsidR="00CA23D0" w:rsidRPr="00E30642" w:rsidRDefault="00CA23D0" w:rsidP="00CA23D0">
            <w:pPr>
              <w:pStyle w:val="Texttabulky"/>
              <w:spacing w:line="240" w:lineRule="atLeast"/>
              <w:jc w:val="both"/>
              <w:rPr>
                <w:rFonts w:cs="Arial"/>
              </w:rPr>
            </w:pPr>
            <w:r w:rsidRPr="00E30642">
              <w:rPr>
                <w:rFonts w:cs="Arial"/>
              </w:rPr>
              <w:t>700</w:t>
            </w:r>
          </w:p>
        </w:tc>
      </w:tr>
      <w:tr w:rsidR="00CA23D0" w:rsidRPr="00E30642" w14:paraId="48CC87EA" w14:textId="77777777" w:rsidTr="00CA23D0">
        <w:tc>
          <w:tcPr>
            <w:tcW w:w="1985" w:type="dxa"/>
            <w:tcBorders>
              <w:top w:val="single" w:sz="6" w:space="0" w:color="auto"/>
              <w:left w:val="single" w:sz="6" w:space="0" w:color="auto"/>
              <w:bottom w:val="single" w:sz="6" w:space="0" w:color="auto"/>
              <w:right w:val="single" w:sz="6" w:space="0" w:color="auto"/>
            </w:tcBorders>
          </w:tcPr>
          <w:p w14:paraId="174CE3A0" w14:textId="77777777" w:rsidR="00CA23D0" w:rsidRPr="00E30642" w:rsidRDefault="00CA23D0" w:rsidP="00CA23D0">
            <w:pPr>
              <w:pStyle w:val="Texttabulky"/>
              <w:spacing w:line="240" w:lineRule="atLeast"/>
              <w:ind w:firstLine="157"/>
              <w:jc w:val="both"/>
              <w:rPr>
                <w:rFonts w:cs="Arial"/>
              </w:rPr>
            </w:pPr>
            <w:r w:rsidRPr="00E30642">
              <w:rPr>
                <w:rFonts w:cs="Arial"/>
              </w:rPr>
              <w:t>Malá Veleň</w:t>
            </w:r>
          </w:p>
        </w:tc>
        <w:tc>
          <w:tcPr>
            <w:tcW w:w="1414" w:type="dxa"/>
            <w:tcBorders>
              <w:top w:val="single" w:sz="6" w:space="0" w:color="auto"/>
              <w:left w:val="single" w:sz="6" w:space="0" w:color="auto"/>
              <w:bottom w:val="single" w:sz="6" w:space="0" w:color="auto"/>
              <w:right w:val="single" w:sz="6" w:space="0" w:color="auto"/>
            </w:tcBorders>
          </w:tcPr>
          <w:p w14:paraId="7BC5354E" w14:textId="77777777" w:rsidR="00CA23D0" w:rsidRPr="00E30642" w:rsidRDefault="00CA23D0" w:rsidP="00CA23D0">
            <w:pPr>
              <w:pStyle w:val="Texttabulky"/>
              <w:spacing w:line="240" w:lineRule="atLeast"/>
              <w:jc w:val="both"/>
              <w:rPr>
                <w:rFonts w:cs="Arial"/>
              </w:rPr>
            </w:pPr>
            <w:r w:rsidRPr="00E30642">
              <w:rPr>
                <w:rFonts w:cs="Arial"/>
              </w:rPr>
              <w:t>502,38</w:t>
            </w:r>
          </w:p>
        </w:tc>
        <w:tc>
          <w:tcPr>
            <w:tcW w:w="1417" w:type="dxa"/>
            <w:tcBorders>
              <w:top w:val="single" w:sz="6" w:space="0" w:color="auto"/>
              <w:left w:val="single" w:sz="6" w:space="0" w:color="auto"/>
              <w:bottom w:val="single" w:sz="6" w:space="0" w:color="auto"/>
              <w:right w:val="single" w:sz="6" w:space="0" w:color="auto"/>
            </w:tcBorders>
          </w:tcPr>
          <w:p w14:paraId="579AFCC7" w14:textId="77777777" w:rsidR="00CA23D0" w:rsidRPr="00E30642" w:rsidRDefault="00CA23D0" w:rsidP="00CA23D0">
            <w:pPr>
              <w:pStyle w:val="Texttabulky"/>
              <w:spacing w:line="240" w:lineRule="atLeast"/>
              <w:jc w:val="both"/>
              <w:rPr>
                <w:rFonts w:cs="Arial"/>
              </w:rPr>
            </w:pPr>
            <w:r w:rsidRPr="00E30642">
              <w:rPr>
                <w:rFonts w:cs="Arial"/>
              </w:rPr>
              <w:t>405</w:t>
            </w:r>
          </w:p>
        </w:tc>
        <w:tc>
          <w:tcPr>
            <w:tcW w:w="1418" w:type="dxa"/>
            <w:tcBorders>
              <w:top w:val="single" w:sz="6" w:space="0" w:color="auto"/>
              <w:left w:val="single" w:sz="6" w:space="0" w:color="auto"/>
              <w:bottom w:val="single" w:sz="6" w:space="0" w:color="auto"/>
              <w:right w:val="single" w:sz="6" w:space="0" w:color="auto"/>
            </w:tcBorders>
          </w:tcPr>
          <w:p w14:paraId="6FE0397A" w14:textId="77777777" w:rsidR="00CA23D0" w:rsidRPr="00E30642" w:rsidRDefault="00CA23D0" w:rsidP="00CA23D0">
            <w:pPr>
              <w:pStyle w:val="Texttabulky"/>
              <w:spacing w:line="240" w:lineRule="atLeast"/>
              <w:jc w:val="both"/>
              <w:rPr>
                <w:rFonts w:cs="Arial"/>
              </w:rPr>
            </w:pPr>
            <w:r w:rsidRPr="00E30642">
              <w:rPr>
                <w:rFonts w:cs="Arial"/>
              </w:rPr>
              <w:t>427</w:t>
            </w:r>
          </w:p>
        </w:tc>
        <w:tc>
          <w:tcPr>
            <w:tcW w:w="1417" w:type="dxa"/>
            <w:tcBorders>
              <w:top w:val="single" w:sz="6" w:space="0" w:color="auto"/>
              <w:left w:val="single" w:sz="6" w:space="0" w:color="auto"/>
              <w:bottom w:val="single" w:sz="6" w:space="0" w:color="auto"/>
              <w:right w:val="single" w:sz="6" w:space="0" w:color="auto"/>
            </w:tcBorders>
          </w:tcPr>
          <w:p w14:paraId="0809FFB3"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02A32B9B"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51E9B593" w14:textId="77777777" w:rsidTr="00CA23D0">
        <w:tc>
          <w:tcPr>
            <w:tcW w:w="1985" w:type="dxa"/>
            <w:tcBorders>
              <w:top w:val="single" w:sz="6" w:space="0" w:color="auto"/>
              <w:left w:val="single" w:sz="6" w:space="0" w:color="auto"/>
              <w:bottom w:val="single" w:sz="6" w:space="0" w:color="auto"/>
              <w:right w:val="single" w:sz="6" w:space="0" w:color="auto"/>
            </w:tcBorders>
          </w:tcPr>
          <w:p w14:paraId="6986F519" w14:textId="77777777" w:rsidR="00CA23D0" w:rsidRPr="00E30642" w:rsidRDefault="00CA23D0" w:rsidP="00CA23D0">
            <w:pPr>
              <w:pStyle w:val="Texttabulky"/>
              <w:spacing w:line="240" w:lineRule="atLeast"/>
              <w:ind w:firstLine="157"/>
              <w:jc w:val="both"/>
              <w:rPr>
                <w:rFonts w:cs="Arial"/>
              </w:rPr>
            </w:pPr>
            <w:r w:rsidRPr="00E30642">
              <w:rPr>
                <w:rFonts w:cs="Arial"/>
              </w:rPr>
              <w:t>Malšovice</w:t>
            </w:r>
          </w:p>
        </w:tc>
        <w:tc>
          <w:tcPr>
            <w:tcW w:w="1414" w:type="dxa"/>
            <w:tcBorders>
              <w:top w:val="single" w:sz="6" w:space="0" w:color="auto"/>
              <w:left w:val="single" w:sz="6" w:space="0" w:color="auto"/>
              <w:bottom w:val="single" w:sz="6" w:space="0" w:color="auto"/>
              <w:right w:val="single" w:sz="6" w:space="0" w:color="auto"/>
            </w:tcBorders>
          </w:tcPr>
          <w:p w14:paraId="7975AFCC" w14:textId="77777777" w:rsidR="00CA23D0" w:rsidRPr="00E30642" w:rsidRDefault="00CA23D0" w:rsidP="00CA23D0">
            <w:pPr>
              <w:pStyle w:val="Texttabulky"/>
              <w:spacing w:line="240" w:lineRule="atLeast"/>
              <w:jc w:val="both"/>
              <w:rPr>
                <w:rFonts w:cs="Arial"/>
              </w:rPr>
            </w:pPr>
            <w:r w:rsidRPr="00E30642">
              <w:rPr>
                <w:rFonts w:cs="Arial"/>
              </w:rPr>
              <w:t>1 304,54</w:t>
            </w:r>
          </w:p>
        </w:tc>
        <w:tc>
          <w:tcPr>
            <w:tcW w:w="1417" w:type="dxa"/>
            <w:tcBorders>
              <w:top w:val="single" w:sz="6" w:space="0" w:color="auto"/>
              <w:left w:val="single" w:sz="6" w:space="0" w:color="auto"/>
              <w:bottom w:val="single" w:sz="6" w:space="0" w:color="auto"/>
              <w:right w:val="single" w:sz="6" w:space="0" w:color="auto"/>
            </w:tcBorders>
          </w:tcPr>
          <w:p w14:paraId="32E61EA5" w14:textId="77777777" w:rsidR="00CA23D0" w:rsidRPr="00E30642" w:rsidRDefault="00CA23D0" w:rsidP="00CA23D0">
            <w:pPr>
              <w:pStyle w:val="Texttabulky"/>
              <w:spacing w:line="240" w:lineRule="atLeast"/>
              <w:jc w:val="both"/>
              <w:rPr>
                <w:rFonts w:cs="Arial"/>
              </w:rPr>
            </w:pPr>
            <w:r w:rsidRPr="00E30642">
              <w:rPr>
                <w:rFonts w:cs="Arial"/>
              </w:rPr>
              <w:t>652</w:t>
            </w:r>
          </w:p>
        </w:tc>
        <w:tc>
          <w:tcPr>
            <w:tcW w:w="1418" w:type="dxa"/>
            <w:tcBorders>
              <w:top w:val="single" w:sz="6" w:space="0" w:color="auto"/>
              <w:left w:val="single" w:sz="6" w:space="0" w:color="auto"/>
              <w:bottom w:val="single" w:sz="6" w:space="0" w:color="auto"/>
              <w:right w:val="single" w:sz="6" w:space="0" w:color="auto"/>
            </w:tcBorders>
          </w:tcPr>
          <w:p w14:paraId="41326B65" w14:textId="77777777" w:rsidR="00CA23D0" w:rsidRPr="00E30642" w:rsidRDefault="00CA23D0" w:rsidP="00CA23D0">
            <w:pPr>
              <w:pStyle w:val="Texttabulky"/>
              <w:spacing w:line="240" w:lineRule="atLeast"/>
              <w:jc w:val="both"/>
              <w:rPr>
                <w:rFonts w:cs="Arial"/>
              </w:rPr>
            </w:pPr>
            <w:r w:rsidRPr="00E30642">
              <w:rPr>
                <w:rFonts w:cs="Arial"/>
              </w:rPr>
              <w:t>661</w:t>
            </w:r>
          </w:p>
        </w:tc>
        <w:tc>
          <w:tcPr>
            <w:tcW w:w="1417" w:type="dxa"/>
            <w:tcBorders>
              <w:top w:val="single" w:sz="6" w:space="0" w:color="auto"/>
              <w:left w:val="single" w:sz="6" w:space="0" w:color="auto"/>
              <w:bottom w:val="single" w:sz="6" w:space="0" w:color="auto"/>
              <w:right w:val="single" w:sz="6" w:space="0" w:color="auto"/>
            </w:tcBorders>
          </w:tcPr>
          <w:p w14:paraId="464ED829" w14:textId="77777777" w:rsidR="00CA23D0" w:rsidRPr="00E30642" w:rsidRDefault="00CA23D0" w:rsidP="00CA23D0">
            <w:pPr>
              <w:pStyle w:val="Texttabulky"/>
              <w:spacing w:line="240" w:lineRule="atLeast"/>
              <w:jc w:val="both"/>
              <w:rPr>
                <w:rFonts w:cs="Arial"/>
              </w:rPr>
            </w:pPr>
            <w:r w:rsidRPr="00E30642">
              <w:rPr>
                <w:rFonts w:cs="Arial"/>
              </w:rPr>
              <w:t>600</w:t>
            </w:r>
          </w:p>
        </w:tc>
        <w:tc>
          <w:tcPr>
            <w:tcW w:w="1418" w:type="dxa"/>
            <w:tcBorders>
              <w:top w:val="single" w:sz="6" w:space="0" w:color="auto"/>
              <w:left w:val="single" w:sz="6" w:space="0" w:color="auto"/>
              <w:bottom w:val="single" w:sz="6" w:space="0" w:color="auto"/>
              <w:right w:val="single" w:sz="6" w:space="0" w:color="auto"/>
            </w:tcBorders>
          </w:tcPr>
          <w:p w14:paraId="59C767E6" w14:textId="77777777" w:rsidR="00CA23D0" w:rsidRPr="00E30642" w:rsidRDefault="00CA23D0" w:rsidP="00CA23D0">
            <w:pPr>
              <w:pStyle w:val="Texttabulky"/>
              <w:spacing w:line="240" w:lineRule="atLeast"/>
              <w:jc w:val="both"/>
              <w:rPr>
                <w:rFonts w:cs="Arial"/>
              </w:rPr>
            </w:pPr>
            <w:r w:rsidRPr="00E30642">
              <w:rPr>
                <w:rFonts w:cs="Arial"/>
              </w:rPr>
              <w:t>600</w:t>
            </w:r>
          </w:p>
        </w:tc>
      </w:tr>
      <w:tr w:rsidR="00CA23D0" w:rsidRPr="00E30642" w14:paraId="642D54B0" w14:textId="77777777" w:rsidTr="00CA23D0">
        <w:tc>
          <w:tcPr>
            <w:tcW w:w="1985" w:type="dxa"/>
            <w:tcBorders>
              <w:top w:val="single" w:sz="6" w:space="0" w:color="auto"/>
              <w:left w:val="single" w:sz="6" w:space="0" w:color="auto"/>
              <w:bottom w:val="single" w:sz="6" w:space="0" w:color="auto"/>
              <w:right w:val="single" w:sz="6" w:space="0" w:color="auto"/>
            </w:tcBorders>
          </w:tcPr>
          <w:p w14:paraId="0DE7AC23" w14:textId="77777777" w:rsidR="00CA23D0" w:rsidRPr="00E30642" w:rsidRDefault="00CA23D0" w:rsidP="00CA23D0">
            <w:pPr>
              <w:pStyle w:val="Texttabulky"/>
              <w:spacing w:line="240" w:lineRule="atLeast"/>
              <w:ind w:firstLine="157"/>
              <w:jc w:val="both"/>
              <w:rPr>
                <w:rFonts w:cs="Arial"/>
              </w:rPr>
            </w:pPr>
            <w:r w:rsidRPr="00E30642">
              <w:rPr>
                <w:rFonts w:cs="Arial"/>
              </w:rPr>
              <w:t>Markvartice</w:t>
            </w:r>
          </w:p>
        </w:tc>
        <w:tc>
          <w:tcPr>
            <w:tcW w:w="1414" w:type="dxa"/>
            <w:tcBorders>
              <w:top w:val="single" w:sz="6" w:space="0" w:color="auto"/>
              <w:left w:val="single" w:sz="6" w:space="0" w:color="auto"/>
              <w:bottom w:val="single" w:sz="6" w:space="0" w:color="auto"/>
              <w:right w:val="single" w:sz="6" w:space="0" w:color="auto"/>
            </w:tcBorders>
          </w:tcPr>
          <w:p w14:paraId="0BC36521" w14:textId="77777777" w:rsidR="00CA23D0" w:rsidRPr="00E30642" w:rsidRDefault="00CA23D0" w:rsidP="00CA23D0">
            <w:pPr>
              <w:pStyle w:val="Texttabulky"/>
              <w:spacing w:line="240" w:lineRule="atLeast"/>
              <w:jc w:val="both"/>
              <w:rPr>
                <w:rFonts w:cs="Arial"/>
              </w:rPr>
            </w:pPr>
            <w:r w:rsidRPr="00E30642">
              <w:rPr>
                <w:rFonts w:cs="Arial"/>
              </w:rPr>
              <w:t>854,5</w:t>
            </w:r>
          </w:p>
        </w:tc>
        <w:tc>
          <w:tcPr>
            <w:tcW w:w="1417" w:type="dxa"/>
            <w:tcBorders>
              <w:top w:val="single" w:sz="6" w:space="0" w:color="auto"/>
              <w:left w:val="single" w:sz="6" w:space="0" w:color="auto"/>
              <w:bottom w:val="single" w:sz="6" w:space="0" w:color="auto"/>
              <w:right w:val="single" w:sz="6" w:space="0" w:color="auto"/>
            </w:tcBorders>
          </w:tcPr>
          <w:p w14:paraId="620B4F1F" w14:textId="77777777" w:rsidR="00CA23D0" w:rsidRPr="00E30642" w:rsidRDefault="00CA23D0" w:rsidP="00CA23D0">
            <w:pPr>
              <w:pStyle w:val="Texttabulky"/>
              <w:spacing w:line="240" w:lineRule="atLeast"/>
              <w:jc w:val="both"/>
              <w:rPr>
                <w:rFonts w:cs="Arial"/>
              </w:rPr>
            </w:pPr>
            <w:r w:rsidRPr="00E30642">
              <w:rPr>
                <w:rFonts w:cs="Arial"/>
              </w:rPr>
              <w:t>578</w:t>
            </w:r>
          </w:p>
        </w:tc>
        <w:tc>
          <w:tcPr>
            <w:tcW w:w="1418" w:type="dxa"/>
            <w:tcBorders>
              <w:top w:val="single" w:sz="6" w:space="0" w:color="auto"/>
              <w:left w:val="single" w:sz="6" w:space="0" w:color="auto"/>
              <w:bottom w:val="single" w:sz="6" w:space="0" w:color="auto"/>
              <w:right w:val="single" w:sz="6" w:space="0" w:color="auto"/>
            </w:tcBorders>
          </w:tcPr>
          <w:p w14:paraId="66E73193" w14:textId="77777777" w:rsidR="00CA23D0" w:rsidRPr="00E30642" w:rsidRDefault="00CA23D0" w:rsidP="00CA23D0">
            <w:pPr>
              <w:pStyle w:val="Texttabulky"/>
              <w:spacing w:line="240" w:lineRule="atLeast"/>
              <w:jc w:val="both"/>
              <w:rPr>
                <w:rFonts w:cs="Arial"/>
              </w:rPr>
            </w:pPr>
            <w:r w:rsidRPr="00E30642">
              <w:rPr>
                <w:rFonts w:cs="Arial"/>
              </w:rPr>
              <w:t>630</w:t>
            </w:r>
          </w:p>
        </w:tc>
        <w:tc>
          <w:tcPr>
            <w:tcW w:w="1417" w:type="dxa"/>
            <w:tcBorders>
              <w:top w:val="single" w:sz="6" w:space="0" w:color="auto"/>
              <w:left w:val="single" w:sz="6" w:space="0" w:color="auto"/>
              <w:bottom w:val="single" w:sz="6" w:space="0" w:color="auto"/>
              <w:right w:val="single" w:sz="6" w:space="0" w:color="auto"/>
            </w:tcBorders>
          </w:tcPr>
          <w:p w14:paraId="4E65C206"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30D1300E" w14:textId="77777777" w:rsidR="00CA23D0" w:rsidRPr="00E30642" w:rsidRDefault="00CA23D0" w:rsidP="00CA23D0">
            <w:pPr>
              <w:pStyle w:val="Texttabulky"/>
              <w:spacing w:line="240" w:lineRule="atLeast"/>
              <w:jc w:val="both"/>
              <w:rPr>
                <w:rFonts w:cs="Arial"/>
              </w:rPr>
            </w:pPr>
            <w:r w:rsidRPr="00E30642">
              <w:rPr>
                <w:rFonts w:cs="Arial"/>
              </w:rPr>
              <w:t>600</w:t>
            </w:r>
          </w:p>
        </w:tc>
      </w:tr>
      <w:tr w:rsidR="00CA23D0" w:rsidRPr="00E30642" w14:paraId="37548059" w14:textId="77777777" w:rsidTr="00CA23D0">
        <w:tc>
          <w:tcPr>
            <w:tcW w:w="1985" w:type="dxa"/>
            <w:tcBorders>
              <w:top w:val="single" w:sz="6" w:space="0" w:color="auto"/>
              <w:left w:val="single" w:sz="6" w:space="0" w:color="auto"/>
              <w:bottom w:val="single" w:sz="6" w:space="0" w:color="auto"/>
              <w:right w:val="single" w:sz="6" w:space="0" w:color="auto"/>
            </w:tcBorders>
          </w:tcPr>
          <w:p w14:paraId="3A16C858" w14:textId="77777777" w:rsidR="00CA23D0" w:rsidRPr="00E30642" w:rsidRDefault="00CA23D0" w:rsidP="00CA23D0">
            <w:pPr>
              <w:pStyle w:val="Texttabulky"/>
              <w:spacing w:line="240" w:lineRule="atLeast"/>
              <w:ind w:firstLine="157"/>
              <w:jc w:val="both"/>
              <w:rPr>
                <w:rFonts w:cs="Arial"/>
              </w:rPr>
            </w:pPr>
            <w:r w:rsidRPr="00E30642">
              <w:rPr>
                <w:rFonts w:cs="Arial"/>
              </w:rPr>
              <w:t>Merboltice</w:t>
            </w:r>
          </w:p>
        </w:tc>
        <w:tc>
          <w:tcPr>
            <w:tcW w:w="1414" w:type="dxa"/>
            <w:tcBorders>
              <w:top w:val="single" w:sz="6" w:space="0" w:color="auto"/>
              <w:left w:val="single" w:sz="6" w:space="0" w:color="auto"/>
              <w:bottom w:val="single" w:sz="6" w:space="0" w:color="auto"/>
              <w:right w:val="single" w:sz="6" w:space="0" w:color="auto"/>
            </w:tcBorders>
          </w:tcPr>
          <w:p w14:paraId="17109ABC" w14:textId="77777777" w:rsidR="00CA23D0" w:rsidRPr="00E30642" w:rsidRDefault="00CA23D0" w:rsidP="00CA23D0">
            <w:pPr>
              <w:pStyle w:val="Texttabulky"/>
              <w:spacing w:line="240" w:lineRule="atLeast"/>
              <w:jc w:val="both"/>
              <w:rPr>
                <w:rFonts w:cs="Arial"/>
              </w:rPr>
            </w:pPr>
            <w:r w:rsidRPr="00E30642">
              <w:rPr>
                <w:rFonts w:cs="Arial"/>
              </w:rPr>
              <w:t>825,38</w:t>
            </w:r>
          </w:p>
        </w:tc>
        <w:tc>
          <w:tcPr>
            <w:tcW w:w="1417" w:type="dxa"/>
            <w:tcBorders>
              <w:top w:val="single" w:sz="6" w:space="0" w:color="auto"/>
              <w:left w:val="single" w:sz="6" w:space="0" w:color="auto"/>
              <w:bottom w:val="single" w:sz="6" w:space="0" w:color="auto"/>
              <w:right w:val="single" w:sz="6" w:space="0" w:color="auto"/>
            </w:tcBorders>
          </w:tcPr>
          <w:p w14:paraId="730CCBB3" w14:textId="77777777" w:rsidR="00CA23D0" w:rsidRPr="00E30642" w:rsidRDefault="00CA23D0" w:rsidP="00CA23D0">
            <w:pPr>
              <w:pStyle w:val="Texttabulky"/>
              <w:spacing w:line="240" w:lineRule="atLeast"/>
              <w:jc w:val="both"/>
              <w:rPr>
                <w:rFonts w:cs="Arial"/>
              </w:rPr>
            </w:pPr>
            <w:r w:rsidRPr="00E30642">
              <w:rPr>
                <w:rFonts w:cs="Arial"/>
              </w:rPr>
              <w:t>97</w:t>
            </w:r>
          </w:p>
        </w:tc>
        <w:tc>
          <w:tcPr>
            <w:tcW w:w="1418" w:type="dxa"/>
            <w:tcBorders>
              <w:top w:val="single" w:sz="6" w:space="0" w:color="auto"/>
              <w:left w:val="single" w:sz="6" w:space="0" w:color="auto"/>
              <w:bottom w:val="single" w:sz="6" w:space="0" w:color="auto"/>
              <w:right w:val="single" w:sz="6" w:space="0" w:color="auto"/>
            </w:tcBorders>
          </w:tcPr>
          <w:p w14:paraId="4CEF9514" w14:textId="77777777" w:rsidR="00CA23D0" w:rsidRPr="00E30642" w:rsidRDefault="00CA23D0" w:rsidP="00CA23D0">
            <w:pPr>
              <w:pStyle w:val="Texttabulky"/>
              <w:spacing w:line="240" w:lineRule="atLeast"/>
              <w:jc w:val="both"/>
              <w:rPr>
                <w:rFonts w:cs="Arial"/>
              </w:rPr>
            </w:pPr>
            <w:r w:rsidRPr="00E30642">
              <w:rPr>
                <w:rFonts w:cs="Arial"/>
              </w:rPr>
              <w:t>112</w:t>
            </w:r>
          </w:p>
        </w:tc>
        <w:tc>
          <w:tcPr>
            <w:tcW w:w="1417" w:type="dxa"/>
            <w:tcBorders>
              <w:top w:val="single" w:sz="6" w:space="0" w:color="auto"/>
              <w:left w:val="single" w:sz="6" w:space="0" w:color="auto"/>
              <w:bottom w:val="single" w:sz="6" w:space="0" w:color="auto"/>
              <w:right w:val="single" w:sz="6" w:space="0" w:color="auto"/>
            </w:tcBorders>
          </w:tcPr>
          <w:p w14:paraId="1E36EE45" w14:textId="77777777" w:rsidR="00CA23D0" w:rsidRPr="00E30642" w:rsidRDefault="00CA23D0" w:rsidP="00CA23D0">
            <w:pPr>
              <w:pStyle w:val="Texttabulky"/>
              <w:spacing w:line="240" w:lineRule="atLeast"/>
              <w:jc w:val="both"/>
              <w:rPr>
                <w:rFonts w:cs="Arial"/>
              </w:rPr>
            </w:pPr>
            <w:r w:rsidRPr="00E30642">
              <w:rPr>
                <w:rFonts w:cs="Arial"/>
              </w:rPr>
              <w:t>150</w:t>
            </w:r>
          </w:p>
        </w:tc>
        <w:tc>
          <w:tcPr>
            <w:tcW w:w="1418" w:type="dxa"/>
            <w:tcBorders>
              <w:top w:val="single" w:sz="6" w:space="0" w:color="auto"/>
              <w:left w:val="single" w:sz="6" w:space="0" w:color="auto"/>
              <w:bottom w:val="single" w:sz="6" w:space="0" w:color="auto"/>
              <w:right w:val="single" w:sz="6" w:space="0" w:color="auto"/>
            </w:tcBorders>
          </w:tcPr>
          <w:p w14:paraId="3C5F83EA"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483748BF" w14:textId="77777777" w:rsidTr="00CA23D0">
        <w:tc>
          <w:tcPr>
            <w:tcW w:w="1985" w:type="dxa"/>
            <w:tcBorders>
              <w:top w:val="single" w:sz="6" w:space="0" w:color="auto"/>
              <w:left w:val="single" w:sz="6" w:space="0" w:color="auto"/>
              <w:bottom w:val="single" w:sz="6" w:space="0" w:color="auto"/>
              <w:right w:val="single" w:sz="6" w:space="0" w:color="auto"/>
            </w:tcBorders>
          </w:tcPr>
          <w:p w14:paraId="3FCCB617" w14:textId="77777777" w:rsidR="00CA23D0" w:rsidRPr="00E30642" w:rsidRDefault="00CA23D0" w:rsidP="00CA23D0">
            <w:pPr>
              <w:pStyle w:val="Texttabulky"/>
              <w:spacing w:line="240" w:lineRule="atLeast"/>
              <w:ind w:firstLine="157"/>
              <w:jc w:val="both"/>
              <w:rPr>
                <w:rFonts w:cs="Arial"/>
              </w:rPr>
            </w:pPr>
            <w:r w:rsidRPr="00E30642">
              <w:rPr>
                <w:rFonts w:cs="Arial"/>
              </w:rPr>
              <w:t>Mikulášovice</w:t>
            </w:r>
          </w:p>
        </w:tc>
        <w:tc>
          <w:tcPr>
            <w:tcW w:w="1414" w:type="dxa"/>
            <w:tcBorders>
              <w:top w:val="single" w:sz="6" w:space="0" w:color="auto"/>
              <w:left w:val="single" w:sz="6" w:space="0" w:color="auto"/>
              <w:bottom w:val="single" w:sz="6" w:space="0" w:color="auto"/>
              <w:right w:val="single" w:sz="6" w:space="0" w:color="auto"/>
            </w:tcBorders>
          </w:tcPr>
          <w:p w14:paraId="2B726F71" w14:textId="77777777" w:rsidR="00CA23D0" w:rsidRPr="00E30642" w:rsidRDefault="00CA23D0" w:rsidP="00CA23D0">
            <w:pPr>
              <w:pStyle w:val="Texttabulky"/>
              <w:spacing w:line="240" w:lineRule="atLeast"/>
              <w:jc w:val="both"/>
              <w:rPr>
                <w:rFonts w:cs="Arial"/>
              </w:rPr>
            </w:pPr>
            <w:r w:rsidRPr="00E30642">
              <w:rPr>
                <w:rFonts w:cs="Arial"/>
              </w:rPr>
              <w:t>2 585,72</w:t>
            </w:r>
          </w:p>
        </w:tc>
        <w:tc>
          <w:tcPr>
            <w:tcW w:w="1417" w:type="dxa"/>
            <w:tcBorders>
              <w:top w:val="single" w:sz="6" w:space="0" w:color="auto"/>
              <w:left w:val="single" w:sz="6" w:space="0" w:color="auto"/>
              <w:bottom w:val="single" w:sz="6" w:space="0" w:color="auto"/>
              <w:right w:val="single" w:sz="6" w:space="0" w:color="auto"/>
            </w:tcBorders>
          </w:tcPr>
          <w:p w14:paraId="602A08C8" w14:textId="77777777" w:rsidR="00CA23D0" w:rsidRPr="00E30642" w:rsidRDefault="00CA23D0" w:rsidP="00CA23D0">
            <w:pPr>
              <w:pStyle w:val="Texttabulky"/>
              <w:spacing w:line="240" w:lineRule="atLeast"/>
              <w:jc w:val="both"/>
              <w:rPr>
                <w:rFonts w:cs="Arial"/>
              </w:rPr>
            </w:pPr>
            <w:r w:rsidRPr="00E30642">
              <w:rPr>
                <w:rFonts w:cs="Arial"/>
              </w:rPr>
              <w:t>2 546</w:t>
            </w:r>
          </w:p>
        </w:tc>
        <w:tc>
          <w:tcPr>
            <w:tcW w:w="1418" w:type="dxa"/>
            <w:tcBorders>
              <w:top w:val="single" w:sz="6" w:space="0" w:color="auto"/>
              <w:left w:val="single" w:sz="6" w:space="0" w:color="auto"/>
              <w:bottom w:val="single" w:sz="6" w:space="0" w:color="auto"/>
              <w:right w:val="single" w:sz="6" w:space="0" w:color="auto"/>
            </w:tcBorders>
          </w:tcPr>
          <w:p w14:paraId="479FCC7A" w14:textId="77777777" w:rsidR="00CA23D0" w:rsidRPr="00E30642" w:rsidRDefault="00CA23D0" w:rsidP="00CA23D0">
            <w:pPr>
              <w:pStyle w:val="Texttabulky"/>
              <w:spacing w:line="240" w:lineRule="atLeast"/>
              <w:jc w:val="both"/>
              <w:rPr>
                <w:rFonts w:cs="Arial"/>
              </w:rPr>
            </w:pPr>
            <w:r w:rsidRPr="00E30642">
              <w:rPr>
                <w:rFonts w:cs="Arial"/>
              </w:rPr>
              <w:t>2 476</w:t>
            </w:r>
          </w:p>
        </w:tc>
        <w:tc>
          <w:tcPr>
            <w:tcW w:w="1417" w:type="dxa"/>
            <w:tcBorders>
              <w:top w:val="single" w:sz="6" w:space="0" w:color="auto"/>
              <w:left w:val="single" w:sz="6" w:space="0" w:color="auto"/>
              <w:bottom w:val="single" w:sz="6" w:space="0" w:color="auto"/>
              <w:right w:val="single" w:sz="6" w:space="0" w:color="auto"/>
            </w:tcBorders>
          </w:tcPr>
          <w:p w14:paraId="58744CC5" w14:textId="77777777" w:rsidR="00CA23D0" w:rsidRPr="00E30642" w:rsidRDefault="00CA23D0" w:rsidP="00CA23D0">
            <w:pPr>
              <w:pStyle w:val="Texttabulky"/>
              <w:spacing w:line="240" w:lineRule="atLeast"/>
              <w:jc w:val="both"/>
              <w:rPr>
                <w:rFonts w:cs="Arial"/>
              </w:rPr>
            </w:pPr>
            <w:r w:rsidRPr="00E30642">
              <w:rPr>
                <w:rFonts w:cs="Arial"/>
              </w:rPr>
              <w:t>2 500</w:t>
            </w:r>
          </w:p>
        </w:tc>
        <w:tc>
          <w:tcPr>
            <w:tcW w:w="1418" w:type="dxa"/>
            <w:tcBorders>
              <w:top w:val="single" w:sz="6" w:space="0" w:color="auto"/>
              <w:left w:val="single" w:sz="6" w:space="0" w:color="auto"/>
              <w:bottom w:val="single" w:sz="6" w:space="0" w:color="auto"/>
              <w:right w:val="single" w:sz="6" w:space="0" w:color="auto"/>
            </w:tcBorders>
          </w:tcPr>
          <w:p w14:paraId="00B2035A" w14:textId="77777777" w:rsidR="00CA23D0" w:rsidRPr="00E30642" w:rsidRDefault="00CA23D0" w:rsidP="00CA23D0">
            <w:pPr>
              <w:pStyle w:val="Texttabulky"/>
              <w:spacing w:line="240" w:lineRule="atLeast"/>
              <w:jc w:val="both"/>
              <w:rPr>
                <w:rFonts w:cs="Arial"/>
              </w:rPr>
            </w:pPr>
            <w:r w:rsidRPr="00E30642">
              <w:rPr>
                <w:rFonts w:cs="Arial"/>
              </w:rPr>
              <w:t>2 400</w:t>
            </w:r>
          </w:p>
        </w:tc>
      </w:tr>
      <w:tr w:rsidR="00CA23D0" w:rsidRPr="00E30642" w14:paraId="531D2DFA" w14:textId="77777777" w:rsidTr="00CA23D0">
        <w:tc>
          <w:tcPr>
            <w:tcW w:w="1985" w:type="dxa"/>
            <w:tcBorders>
              <w:top w:val="single" w:sz="6" w:space="0" w:color="auto"/>
              <w:left w:val="single" w:sz="6" w:space="0" w:color="auto"/>
              <w:bottom w:val="single" w:sz="6" w:space="0" w:color="auto"/>
              <w:right w:val="single" w:sz="6" w:space="0" w:color="auto"/>
            </w:tcBorders>
          </w:tcPr>
          <w:p w14:paraId="0BEE91F2" w14:textId="77777777" w:rsidR="00CA23D0" w:rsidRPr="00E30642" w:rsidRDefault="00CA23D0" w:rsidP="00CA23D0">
            <w:pPr>
              <w:pStyle w:val="Texttabulky"/>
              <w:spacing w:line="240" w:lineRule="atLeast"/>
              <w:ind w:firstLine="157"/>
              <w:jc w:val="both"/>
              <w:rPr>
                <w:rFonts w:cs="Arial"/>
              </w:rPr>
            </w:pPr>
            <w:r w:rsidRPr="00E30642">
              <w:rPr>
                <w:rFonts w:cs="Arial"/>
              </w:rPr>
              <w:t>Rumburk</w:t>
            </w:r>
          </w:p>
        </w:tc>
        <w:tc>
          <w:tcPr>
            <w:tcW w:w="1414" w:type="dxa"/>
            <w:tcBorders>
              <w:top w:val="single" w:sz="6" w:space="0" w:color="auto"/>
              <w:left w:val="single" w:sz="6" w:space="0" w:color="auto"/>
              <w:bottom w:val="single" w:sz="6" w:space="0" w:color="auto"/>
              <w:right w:val="single" w:sz="6" w:space="0" w:color="auto"/>
            </w:tcBorders>
          </w:tcPr>
          <w:p w14:paraId="5A61A596" w14:textId="77777777" w:rsidR="00CA23D0" w:rsidRPr="00E30642" w:rsidRDefault="00CA23D0" w:rsidP="00CA23D0">
            <w:pPr>
              <w:pStyle w:val="Texttabulky"/>
              <w:spacing w:line="240" w:lineRule="atLeast"/>
              <w:jc w:val="both"/>
              <w:rPr>
                <w:rFonts w:cs="Arial"/>
              </w:rPr>
            </w:pPr>
            <w:r w:rsidRPr="00E30642">
              <w:rPr>
                <w:rFonts w:cs="Arial"/>
              </w:rPr>
              <w:t>2 469,7</w:t>
            </w:r>
          </w:p>
        </w:tc>
        <w:tc>
          <w:tcPr>
            <w:tcW w:w="1417" w:type="dxa"/>
            <w:tcBorders>
              <w:top w:val="single" w:sz="6" w:space="0" w:color="auto"/>
              <w:left w:val="single" w:sz="6" w:space="0" w:color="auto"/>
              <w:bottom w:val="single" w:sz="6" w:space="0" w:color="auto"/>
              <w:right w:val="single" w:sz="6" w:space="0" w:color="auto"/>
            </w:tcBorders>
          </w:tcPr>
          <w:p w14:paraId="6F1A5FEE" w14:textId="77777777" w:rsidR="00CA23D0" w:rsidRPr="00E30642" w:rsidRDefault="00CA23D0" w:rsidP="00CA23D0">
            <w:pPr>
              <w:pStyle w:val="Texttabulky"/>
              <w:spacing w:line="240" w:lineRule="atLeast"/>
              <w:jc w:val="both"/>
              <w:rPr>
                <w:rFonts w:cs="Arial"/>
              </w:rPr>
            </w:pPr>
            <w:r w:rsidRPr="00E30642">
              <w:rPr>
                <w:rFonts w:cs="Arial"/>
              </w:rPr>
              <w:t>10 789</w:t>
            </w:r>
          </w:p>
        </w:tc>
        <w:tc>
          <w:tcPr>
            <w:tcW w:w="1418" w:type="dxa"/>
            <w:tcBorders>
              <w:top w:val="single" w:sz="6" w:space="0" w:color="auto"/>
              <w:left w:val="single" w:sz="6" w:space="0" w:color="auto"/>
              <w:bottom w:val="single" w:sz="6" w:space="0" w:color="auto"/>
              <w:right w:val="single" w:sz="6" w:space="0" w:color="auto"/>
            </w:tcBorders>
          </w:tcPr>
          <w:p w14:paraId="61DF11A3" w14:textId="77777777" w:rsidR="00CA23D0" w:rsidRPr="00E30642" w:rsidRDefault="00CA23D0" w:rsidP="00CA23D0">
            <w:pPr>
              <w:pStyle w:val="Texttabulky"/>
              <w:spacing w:line="240" w:lineRule="atLeast"/>
              <w:jc w:val="both"/>
              <w:rPr>
                <w:rFonts w:cs="Arial"/>
              </w:rPr>
            </w:pPr>
            <w:r w:rsidRPr="00E30642">
              <w:rPr>
                <w:rFonts w:cs="Arial"/>
              </w:rPr>
              <w:t>11 056</w:t>
            </w:r>
          </w:p>
        </w:tc>
        <w:tc>
          <w:tcPr>
            <w:tcW w:w="1417" w:type="dxa"/>
            <w:tcBorders>
              <w:top w:val="single" w:sz="6" w:space="0" w:color="auto"/>
              <w:left w:val="single" w:sz="6" w:space="0" w:color="auto"/>
              <w:bottom w:val="single" w:sz="6" w:space="0" w:color="auto"/>
              <w:right w:val="single" w:sz="6" w:space="0" w:color="auto"/>
            </w:tcBorders>
          </w:tcPr>
          <w:p w14:paraId="45B494DF" w14:textId="77777777" w:rsidR="00CA23D0" w:rsidRPr="00E30642" w:rsidRDefault="00CA23D0" w:rsidP="00CA23D0">
            <w:pPr>
              <w:pStyle w:val="Texttabulky"/>
              <w:spacing w:line="240" w:lineRule="atLeast"/>
              <w:jc w:val="both"/>
              <w:rPr>
                <w:rFonts w:cs="Arial"/>
              </w:rPr>
            </w:pPr>
            <w:r w:rsidRPr="00E30642">
              <w:rPr>
                <w:rFonts w:cs="Arial"/>
              </w:rPr>
              <w:t>11 500</w:t>
            </w:r>
          </w:p>
        </w:tc>
        <w:tc>
          <w:tcPr>
            <w:tcW w:w="1418" w:type="dxa"/>
            <w:tcBorders>
              <w:top w:val="single" w:sz="6" w:space="0" w:color="auto"/>
              <w:left w:val="single" w:sz="6" w:space="0" w:color="auto"/>
              <w:bottom w:val="single" w:sz="6" w:space="0" w:color="auto"/>
              <w:right w:val="single" w:sz="6" w:space="0" w:color="auto"/>
            </w:tcBorders>
          </w:tcPr>
          <w:p w14:paraId="3BC0161D" w14:textId="77777777" w:rsidR="00CA23D0" w:rsidRPr="00E30642" w:rsidRDefault="00CA23D0" w:rsidP="00CA23D0">
            <w:pPr>
              <w:pStyle w:val="Texttabulky"/>
              <w:spacing w:line="240" w:lineRule="atLeast"/>
              <w:jc w:val="both"/>
              <w:rPr>
                <w:rFonts w:cs="Arial"/>
              </w:rPr>
            </w:pPr>
            <w:r w:rsidRPr="00E30642">
              <w:rPr>
                <w:rFonts w:cs="Arial"/>
              </w:rPr>
              <w:t>11 800</w:t>
            </w:r>
          </w:p>
        </w:tc>
      </w:tr>
      <w:tr w:rsidR="00CA23D0" w:rsidRPr="00E30642" w14:paraId="5B4D27D1" w14:textId="77777777" w:rsidTr="00CA23D0">
        <w:tc>
          <w:tcPr>
            <w:tcW w:w="1985" w:type="dxa"/>
            <w:tcBorders>
              <w:top w:val="single" w:sz="6" w:space="0" w:color="auto"/>
              <w:left w:val="single" w:sz="6" w:space="0" w:color="auto"/>
              <w:bottom w:val="single" w:sz="6" w:space="0" w:color="auto"/>
              <w:right w:val="single" w:sz="6" w:space="0" w:color="auto"/>
            </w:tcBorders>
          </w:tcPr>
          <w:p w14:paraId="2179A8B0" w14:textId="77777777" w:rsidR="00CA23D0" w:rsidRPr="00E30642" w:rsidRDefault="00CA23D0" w:rsidP="00CA23D0">
            <w:pPr>
              <w:pStyle w:val="Texttabulky"/>
              <w:spacing w:line="240" w:lineRule="atLeast"/>
              <w:ind w:firstLine="157"/>
              <w:jc w:val="both"/>
              <w:rPr>
                <w:rFonts w:cs="Arial"/>
              </w:rPr>
            </w:pPr>
            <w:r w:rsidRPr="00E30642">
              <w:rPr>
                <w:rFonts w:cs="Arial"/>
              </w:rPr>
              <w:t>Růžová</w:t>
            </w:r>
          </w:p>
        </w:tc>
        <w:tc>
          <w:tcPr>
            <w:tcW w:w="1414" w:type="dxa"/>
            <w:tcBorders>
              <w:top w:val="single" w:sz="6" w:space="0" w:color="auto"/>
              <w:left w:val="single" w:sz="6" w:space="0" w:color="auto"/>
              <w:bottom w:val="single" w:sz="6" w:space="0" w:color="auto"/>
              <w:right w:val="single" w:sz="6" w:space="0" w:color="auto"/>
            </w:tcBorders>
          </w:tcPr>
          <w:p w14:paraId="53492BBF" w14:textId="77777777" w:rsidR="00CA23D0" w:rsidRPr="00E30642" w:rsidRDefault="00CA23D0" w:rsidP="00CA23D0">
            <w:pPr>
              <w:pStyle w:val="Texttabulky"/>
              <w:spacing w:line="240" w:lineRule="atLeast"/>
              <w:jc w:val="both"/>
              <w:rPr>
                <w:rFonts w:cs="Arial"/>
              </w:rPr>
            </w:pPr>
            <w:r w:rsidRPr="00E30642">
              <w:rPr>
                <w:rFonts w:cs="Arial"/>
              </w:rPr>
              <w:t>1 787,11</w:t>
            </w:r>
          </w:p>
        </w:tc>
        <w:tc>
          <w:tcPr>
            <w:tcW w:w="1417" w:type="dxa"/>
            <w:tcBorders>
              <w:top w:val="single" w:sz="6" w:space="0" w:color="auto"/>
              <w:left w:val="single" w:sz="6" w:space="0" w:color="auto"/>
              <w:bottom w:val="single" w:sz="6" w:space="0" w:color="auto"/>
              <w:right w:val="single" w:sz="6" w:space="0" w:color="auto"/>
            </w:tcBorders>
          </w:tcPr>
          <w:p w14:paraId="392026FD" w14:textId="77777777" w:rsidR="00CA23D0" w:rsidRPr="00E30642" w:rsidRDefault="00CA23D0" w:rsidP="00CA23D0">
            <w:pPr>
              <w:pStyle w:val="Texttabulky"/>
              <w:spacing w:line="240" w:lineRule="atLeast"/>
              <w:jc w:val="both"/>
              <w:rPr>
                <w:rFonts w:cs="Arial"/>
              </w:rPr>
            </w:pPr>
            <w:r w:rsidRPr="00E30642">
              <w:rPr>
                <w:rFonts w:cs="Arial"/>
              </w:rPr>
              <w:t>201</w:t>
            </w:r>
          </w:p>
        </w:tc>
        <w:tc>
          <w:tcPr>
            <w:tcW w:w="1418" w:type="dxa"/>
            <w:tcBorders>
              <w:top w:val="single" w:sz="6" w:space="0" w:color="auto"/>
              <w:left w:val="single" w:sz="6" w:space="0" w:color="auto"/>
              <w:bottom w:val="single" w:sz="6" w:space="0" w:color="auto"/>
              <w:right w:val="single" w:sz="6" w:space="0" w:color="auto"/>
            </w:tcBorders>
          </w:tcPr>
          <w:p w14:paraId="21848144" w14:textId="77777777" w:rsidR="00CA23D0" w:rsidRPr="00E30642" w:rsidRDefault="00CA23D0" w:rsidP="00CA23D0">
            <w:pPr>
              <w:pStyle w:val="Texttabulky"/>
              <w:spacing w:line="240" w:lineRule="atLeast"/>
              <w:jc w:val="both"/>
              <w:rPr>
                <w:rFonts w:cs="Arial"/>
              </w:rPr>
            </w:pPr>
            <w:r w:rsidRPr="00E30642">
              <w:rPr>
                <w:rFonts w:cs="Arial"/>
              </w:rPr>
              <w:t>264</w:t>
            </w:r>
          </w:p>
        </w:tc>
        <w:tc>
          <w:tcPr>
            <w:tcW w:w="1417" w:type="dxa"/>
            <w:tcBorders>
              <w:top w:val="single" w:sz="6" w:space="0" w:color="auto"/>
              <w:left w:val="single" w:sz="6" w:space="0" w:color="auto"/>
              <w:bottom w:val="single" w:sz="6" w:space="0" w:color="auto"/>
              <w:right w:val="single" w:sz="6" w:space="0" w:color="auto"/>
            </w:tcBorders>
          </w:tcPr>
          <w:p w14:paraId="735FE0DF" w14:textId="77777777" w:rsidR="00CA23D0" w:rsidRPr="00E30642" w:rsidRDefault="00CA23D0" w:rsidP="00CA23D0">
            <w:pPr>
              <w:pStyle w:val="Texttabulky"/>
              <w:spacing w:line="240" w:lineRule="atLeast"/>
              <w:jc w:val="both"/>
              <w:rPr>
                <w:rFonts w:cs="Arial"/>
              </w:rPr>
            </w:pPr>
            <w:r w:rsidRPr="00E30642">
              <w:rPr>
                <w:rFonts w:cs="Arial"/>
              </w:rPr>
              <w:t>250</w:t>
            </w:r>
          </w:p>
        </w:tc>
        <w:tc>
          <w:tcPr>
            <w:tcW w:w="1418" w:type="dxa"/>
            <w:tcBorders>
              <w:top w:val="single" w:sz="6" w:space="0" w:color="auto"/>
              <w:left w:val="single" w:sz="6" w:space="0" w:color="auto"/>
              <w:bottom w:val="single" w:sz="6" w:space="0" w:color="auto"/>
              <w:right w:val="single" w:sz="6" w:space="0" w:color="auto"/>
            </w:tcBorders>
          </w:tcPr>
          <w:p w14:paraId="4042BCAE"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574B8228" w14:textId="77777777" w:rsidTr="00CA23D0">
        <w:tc>
          <w:tcPr>
            <w:tcW w:w="1985" w:type="dxa"/>
            <w:tcBorders>
              <w:top w:val="single" w:sz="6" w:space="0" w:color="auto"/>
              <w:left w:val="single" w:sz="6" w:space="0" w:color="auto"/>
              <w:bottom w:val="single" w:sz="6" w:space="0" w:color="auto"/>
              <w:right w:val="single" w:sz="6" w:space="0" w:color="auto"/>
            </w:tcBorders>
          </w:tcPr>
          <w:p w14:paraId="39FD5724" w14:textId="77777777" w:rsidR="00CA23D0" w:rsidRPr="00E30642" w:rsidRDefault="00CA23D0" w:rsidP="00CA23D0">
            <w:pPr>
              <w:pStyle w:val="Texttabulky"/>
              <w:spacing w:line="240" w:lineRule="atLeast"/>
              <w:ind w:firstLine="157"/>
              <w:jc w:val="both"/>
              <w:rPr>
                <w:rFonts w:cs="Arial"/>
              </w:rPr>
            </w:pPr>
            <w:r w:rsidRPr="00E30642">
              <w:rPr>
                <w:rFonts w:cs="Arial"/>
              </w:rPr>
              <w:t>Rybniště</w:t>
            </w:r>
          </w:p>
        </w:tc>
        <w:tc>
          <w:tcPr>
            <w:tcW w:w="1414" w:type="dxa"/>
            <w:tcBorders>
              <w:top w:val="single" w:sz="6" w:space="0" w:color="auto"/>
              <w:left w:val="single" w:sz="6" w:space="0" w:color="auto"/>
              <w:bottom w:val="single" w:sz="6" w:space="0" w:color="auto"/>
              <w:right w:val="single" w:sz="6" w:space="0" w:color="auto"/>
            </w:tcBorders>
          </w:tcPr>
          <w:p w14:paraId="4704CE3A" w14:textId="77777777" w:rsidR="00CA23D0" w:rsidRPr="00E30642" w:rsidRDefault="00CA23D0" w:rsidP="00CA23D0">
            <w:pPr>
              <w:pStyle w:val="Texttabulky"/>
              <w:spacing w:line="240" w:lineRule="atLeast"/>
              <w:jc w:val="both"/>
              <w:rPr>
                <w:rFonts w:cs="Arial"/>
              </w:rPr>
            </w:pPr>
            <w:r w:rsidRPr="00E30642">
              <w:rPr>
                <w:rFonts w:cs="Arial"/>
              </w:rPr>
              <w:t>1 271,5</w:t>
            </w:r>
          </w:p>
        </w:tc>
        <w:tc>
          <w:tcPr>
            <w:tcW w:w="1417" w:type="dxa"/>
            <w:tcBorders>
              <w:top w:val="single" w:sz="6" w:space="0" w:color="auto"/>
              <w:left w:val="single" w:sz="6" w:space="0" w:color="auto"/>
              <w:bottom w:val="single" w:sz="6" w:space="0" w:color="auto"/>
              <w:right w:val="single" w:sz="6" w:space="0" w:color="auto"/>
            </w:tcBorders>
          </w:tcPr>
          <w:p w14:paraId="1E687238" w14:textId="77777777" w:rsidR="00CA23D0" w:rsidRPr="00E30642" w:rsidRDefault="00CA23D0" w:rsidP="00CA23D0">
            <w:pPr>
              <w:pStyle w:val="Texttabulky"/>
              <w:spacing w:line="240" w:lineRule="atLeast"/>
              <w:jc w:val="both"/>
              <w:rPr>
                <w:rFonts w:cs="Arial"/>
              </w:rPr>
            </w:pPr>
            <w:r w:rsidRPr="00E30642">
              <w:rPr>
                <w:rFonts w:cs="Arial"/>
              </w:rPr>
              <w:t>668</w:t>
            </w:r>
          </w:p>
        </w:tc>
        <w:tc>
          <w:tcPr>
            <w:tcW w:w="1418" w:type="dxa"/>
            <w:tcBorders>
              <w:top w:val="single" w:sz="6" w:space="0" w:color="auto"/>
              <w:left w:val="single" w:sz="6" w:space="0" w:color="auto"/>
              <w:bottom w:val="single" w:sz="6" w:space="0" w:color="auto"/>
              <w:right w:val="single" w:sz="6" w:space="0" w:color="auto"/>
            </w:tcBorders>
          </w:tcPr>
          <w:p w14:paraId="27F29E72" w14:textId="77777777" w:rsidR="00CA23D0" w:rsidRPr="00E30642" w:rsidRDefault="00CA23D0" w:rsidP="00CA23D0">
            <w:pPr>
              <w:pStyle w:val="Texttabulky"/>
              <w:spacing w:line="240" w:lineRule="atLeast"/>
              <w:jc w:val="both"/>
              <w:rPr>
                <w:rFonts w:cs="Arial"/>
              </w:rPr>
            </w:pPr>
            <w:r w:rsidRPr="00E30642">
              <w:rPr>
                <w:rFonts w:cs="Arial"/>
              </w:rPr>
              <w:t>713</w:t>
            </w:r>
          </w:p>
        </w:tc>
        <w:tc>
          <w:tcPr>
            <w:tcW w:w="1417" w:type="dxa"/>
            <w:tcBorders>
              <w:top w:val="single" w:sz="6" w:space="0" w:color="auto"/>
              <w:left w:val="single" w:sz="6" w:space="0" w:color="auto"/>
              <w:bottom w:val="single" w:sz="6" w:space="0" w:color="auto"/>
              <w:right w:val="single" w:sz="6" w:space="0" w:color="auto"/>
            </w:tcBorders>
          </w:tcPr>
          <w:p w14:paraId="21B53590" w14:textId="77777777" w:rsidR="00CA23D0" w:rsidRPr="00E30642" w:rsidRDefault="00CA23D0" w:rsidP="00CA23D0">
            <w:pPr>
              <w:pStyle w:val="Texttabulky"/>
              <w:spacing w:line="240" w:lineRule="atLeast"/>
              <w:jc w:val="both"/>
              <w:rPr>
                <w:rFonts w:cs="Arial"/>
              </w:rPr>
            </w:pPr>
            <w:r w:rsidRPr="00E30642">
              <w:rPr>
                <w:rFonts w:cs="Arial"/>
              </w:rPr>
              <w:t>750</w:t>
            </w:r>
          </w:p>
        </w:tc>
        <w:tc>
          <w:tcPr>
            <w:tcW w:w="1418" w:type="dxa"/>
            <w:tcBorders>
              <w:top w:val="single" w:sz="6" w:space="0" w:color="auto"/>
              <w:left w:val="single" w:sz="6" w:space="0" w:color="auto"/>
              <w:bottom w:val="single" w:sz="6" w:space="0" w:color="auto"/>
              <w:right w:val="single" w:sz="6" w:space="0" w:color="auto"/>
            </w:tcBorders>
          </w:tcPr>
          <w:p w14:paraId="3FD486FE" w14:textId="77777777" w:rsidR="00CA23D0" w:rsidRPr="00E30642" w:rsidRDefault="00CA23D0" w:rsidP="00CA23D0">
            <w:pPr>
              <w:pStyle w:val="Texttabulky"/>
              <w:spacing w:line="240" w:lineRule="atLeast"/>
              <w:jc w:val="both"/>
              <w:rPr>
                <w:rFonts w:cs="Arial"/>
              </w:rPr>
            </w:pPr>
            <w:r w:rsidRPr="00E30642">
              <w:rPr>
                <w:rFonts w:cs="Arial"/>
              </w:rPr>
              <w:t>800</w:t>
            </w:r>
          </w:p>
        </w:tc>
      </w:tr>
      <w:tr w:rsidR="00CA23D0" w:rsidRPr="00E30642" w14:paraId="21A3C752" w14:textId="77777777" w:rsidTr="00CA23D0">
        <w:tc>
          <w:tcPr>
            <w:tcW w:w="1985" w:type="dxa"/>
            <w:tcBorders>
              <w:top w:val="single" w:sz="6" w:space="0" w:color="auto"/>
              <w:left w:val="single" w:sz="6" w:space="0" w:color="auto"/>
              <w:bottom w:val="single" w:sz="6" w:space="0" w:color="auto"/>
              <w:right w:val="single" w:sz="6" w:space="0" w:color="auto"/>
            </w:tcBorders>
          </w:tcPr>
          <w:p w14:paraId="06CD281A" w14:textId="77777777" w:rsidR="00CA23D0" w:rsidRPr="00E30642" w:rsidRDefault="00CA23D0" w:rsidP="00CA23D0">
            <w:pPr>
              <w:pStyle w:val="Texttabulky"/>
              <w:spacing w:line="240" w:lineRule="atLeast"/>
              <w:ind w:firstLine="157"/>
              <w:jc w:val="both"/>
              <w:rPr>
                <w:rFonts w:cs="Arial"/>
              </w:rPr>
            </w:pPr>
            <w:r w:rsidRPr="00E30642">
              <w:rPr>
                <w:rFonts w:cs="Arial"/>
              </w:rPr>
              <w:t>Srbská Kamenice</w:t>
            </w:r>
          </w:p>
        </w:tc>
        <w:tc>
          <w:tcPr>
            <w:tcW w:w="1414" w:type="dxa"/>
            <w:tcBorders>
              <w:top w:val="single" w:sz="6" w:space="0" w:color="auto"/>
              <w:left w:val="single" w:sz="6" w:space="0" w:color="auto"/>
              <w:bottom w:val="single" w:sz="6" w:space="0" w:color="auto"/>
              <w:right w:val="single" w:sz="6" w:space="0" w:color="auto"/>
            </w:tcBorders>
          </w:tcPr>
          <w:p w14:paraId="078832AF" w14:textId="77777777" w:rsidR="00CA23D0" w:rsidRPr="00E30642" w:rsidRDefault="00CA23D0" w:rsidP="00CA23D0">
            <w:pPr>
              <w:pStyle w:val="Texttabulky"/>
              <w:spacing w:line="240" w:lineRule="atLeast"/>
              <w:jc w:val="both"/>
              <w:rPr>
                <w:rFonts w:cs="Arial"/>
              </w:rPr>
            </w:pPr>
            <w:r w:rsidRPr="00E30642">
              <w:rPr>
                <w:rFonts w:cs="Arial"/>
              </w:rPr>
              <w:t>1 173,53</w:t>
            </w:r>
          </w:p>
        </w:tc>
        <w:tc>
          <w:tcPr>
            <w:tcW w:w="1417" w:type="dxa"/>
            <w:tcBorders>
              <w:top w:val="single" w:sz="6" w:space="0" w:color="auto"/>
              <w:left w:val="single" w:sz="6" w:space="0" w:color="auto"/>
              <w:bottom w:val="single" w:sz="6" w:space="0" w:color="auto"/>
              <w:right w:val="single" w:sz="6" w:space="0" w:color="auto"/>
            </w:tcBorders>
          </w:tcPr>
          <w:p w14:paraId="0F0D10C2" w14:textId="77777777" w:rsidR="00CA23D0" w:rsidRPr="00E30642" w:rsidRDefault="00CA23D0" w:rsidP="00CA23D0">
            <w:pPr>
              <w:pStyle w:val="Texttabulky"/>
              <w:spacing w:line="240" w:lineRule="atLeast"/>
              <w:jc w:val="both"/>
              <w:rPr>
                <w:rFonts w:cs="Arial"/>
              </w:rPr>
            </w:pPr>
            <w:r w:rsidRPr="00E30642">
              <w:rPr>
                <w:rFonts w:cs="Arial"/>
              </w:rPr>
              <w:t>172</w:t>
            </w:r>
          </w:p>
        </w:tc>
        <w:tc>
          <w:tcPr>
            <w:tcW w:w="1418" w:type="dxa"/>
            <w:tcBorders>
              <w:top w:val="single" w:sz="6" w:space="0" w:color="auto"/>
              <w:left w:val="single" w:sz="6" w:space="0" w:color="auto"/>
              <w:bottom w:val="single" w:sz="6" w:space="0" w:color="auto"/>
              <w:right w:val="single" w:sz="6" w:space="0" w:color="auto"/>
            </w:tcBorders>
          </w:tcPr>
          <w:p w14:paraId="0348AA43" w14:textId="77777777" w:rsidR="00CA23D0" w:rsidRPr="00E30642" w:rsidRDefault="00CA23D0" w:rsidP="00CA23D0">
            <w:pPr>
              <w:pStyle w:val="Texttabulky"/>
              <w:spacing w:line="240" w:lineRule="atLeast"/>
              <w:jc w:val="both"/>
              <w:rPr>
                <w:rFonts w:cs="Arial"/>
              </w:rPr>
            </w:pPr>
            <w:r w:rsidRPr="00E30642">
              <w:rPr>
                <w:rFonts w:cs="Arial"/>
              </w:rPr>
              <w:t>178</w:t>
            </w:r>
          </w:p>
        </w:tc>
        <w:tc>
          <w:tcPr>
            <w:tcW w:w="1417" w:type="dxa"/>
            <w:tcBorders>
              <w:top w:val="single" w:sz="6" w:space="0" w:color="auto"/>
              <w:left w:val="single" w:sz="6" w:space="0" w:color="auto"/>
              <w:bottom w:val="single" w:sz="6" w:space="0" w:color="auto"/>
              <w:right w:val="single" w:sz="6" w:space="0" w:color="auto"/>
            </w:tcBorders>
          </w:tcPr>
          <w:p w14:paraId="15B88045"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418" w:type="dxa"/>
            <w:tcBorders>
              <w:top w:val="single" w:sz="6" w:space="0" w:color="auto"/>
              <w:left w:val="single" w:sz="6" w:space="0" w:color="auto"/>
              <w:bottom w:val="single" w:sz="6" w:space="0" w:color="auto"/>
              <w:right w:val="single" w:sz="6" w:space="0" w:color="auto"/>
            </w:tcBorders>
          </w:tcPr>
          <w:p w14:paraId="621D85D2"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17190FEB" w14:textId="77777777" w:rsidTr="00CA23D0">
        <w:tc>
          <w:tcPr>
            <w:tcW w:w="1985" w:type="dxa"/>
            <w:tcBorders>
              <w:top w:val="single" w:sz="6" w:space="0" w:color="auto"/>
              <w:left w:val="single" w:sz="6" w:space="0" w:color="auto"/>
              <w:bottom w:val="single" w:sz="6" w:space="0" w:color="auto"/>
              <w:right w:val="single" w:sz="6" w:space="0" w:color="auto"/>
            </w:tcBorders>
          </w:tcPr>
          <w:p w14:paraId="23225C33" w14:textId="77777777" w:rsidR="00CA23D0" w:rsidRPr="00E30642" w:rsidRDefault="00CA23D0" w:rsidP="00CA23D0">
            <w:pPr>
              <w:pStyle w:val="Texttabulky"/>
              <w:spacing w:line="240" w:lineRule="atLeast"/>
              <w:ind w:firstLine="157"/>
              <w:jc w:val="both"/>
              <w:rPr>
                <w:rFonts w:cs="Arial"/>
              </w:rPr>
            </w:pPr>
            <w:r w:rsidRPr="00E30642">
              <w:rPr>
                <w:rFonts w:cs="Arial"/>
              </w:rPr>
              <w:t>Staré Křečany</w:t>
            </w:r>
          </w:p>
        </w:tc>
        <w:tc>
          <w:tcPr>
            <w:tcW w:w="1414" w:type="dxa"/>
            <w:tcBorders>
              <w:top w:val="single" w:sz="6" w:space="0" w:color="auto"/>
              <w:left w:val="single" w:sz="6" w:space="0" w:color="auto"/>
              <w:bottom w:val="single" w:sz="6" w:space="0" w:color="auto"/>
              <w:right w:val="single" w:sz="6" w:space="0" w:color="auto"/>
            </w:tcBorders>
          </w:tcPr>
          <w:p w14:paraId="7837C7F9" w14:textId="77777777" w:rsidR="00CA23D0" w:rsidRPr="00E30642" w:rsidRDefault="00CA23D0" w:rsidP="00CA23D0">
            <w:pPr>
              <w:pStyle w:val="Texttabulky"/>
              <w:spacing w:line="240" w:lineRule="atLeast"/>
              <w:jc w:val="both"/>
              <w:rPr>
                <w:rFonts w:cs="Arial"/>
              </w:rPr>
            </w:pPr>
            <w:r w:rsidRPr="00E30642">
              <w:rPr>
                <w:rFonts w:cs="Arial"/>
              </w:rPr>
              <w:t>3 677,18</w:t>
            </w:r>
          </w:p>
        </w:tc>
        <w:tc>
          <w:tcPr>
            <w:tcW w:w="1417" w:type="dxa"/>
            <w:tcBorders>
              <w:top w:val="single" w:sz="6" w:space="0" w:color="auto"/>
              <w:left w:val="single" w:sz="6" w:space="0" w:color="auto"/>
              <w:bottom w:val="single" w:sz="6" w:space="0" w:color="auto"/>
              <w:right w:val="single" w:sz="6" w:space="0" w:color="auto"/>
            </w:tcBorders>
          </w:tcPr>
          <w:p w14:paraId="0EFF852F" w14:textId="77777777" w:rsidR="00CA23D0" w:rsidRPr="00E30642" w:rsidRDefault="00CA23D0" w:rsidP="00CA23D0">
            <w:pPr>
              <w:pStyle w:val="Texttabulky"/>
              <w:spacing w:line="240" w:lineRule="atLeast"/>
              <w:jc w:val="both"/>
              <w:rPr>
                <w:rFonts w:cs="Arial"/>
              </w:rPr>
            </w:pPr>
            <w:r w:rsidRPr="00E30642">
              <w:rPr>
                <w:rFonts w:cs="Arial"/>
              </w:rPr>
              <w:t>1 147</w:t>
            </w:r>
          </w:p>
        </w:tc>
        <w:tc>
          <w:tcPr>
            <w:tcW w:w="1418" w:type="dxa"/>
            <w:tcBorders>
              <w:top w:val="single" w:sz="6" w:space="0" w:color="auto"/>
              <w:left w:val="single" w:sz="6" w:space="0" w:color="auto"/>
              <w:bottom w:val="single" w:sz="6" w:space="0" w:color="auto"/>
              <w:right w:val="single" w:sz="6" w:space="0" w:color="auto"/>
            </w:tcBorders>
          </w:tcPr>
          <w:p w14:paraId="7BA51AF0" w14:textId="77777777" w:rsidR="00CA23D0" w:rsidRPr="00E30642" w:rsidRDefault="00CA23D0" w:rsidP="00CA23D0">
            <w:pPr>
              <w:pStyle w:val="Texttabulky"/>
              <w:spacing w:line="240" w:lineRule="atLeast"/>
              <w:jc w:val="both"/>
              <w:rPr>
                <w:rFonts w:cs="Arial"/>
              </w:rPr>
            </w:pPr>
            <w:r w:rsidRPr="00E30642">
              <w:rPr>
                <w:rFonts w:cs="Arial"/>
              </w:rPr>
              <w:t>1 180</w:t>
            </w:r>
          </w:p>
        </w:tc>
        <w:tc>
          <w:tcPr>
            <w:tcW w:w="1417" w:type="dxa"/>
            <w:tcBorders>
              <w:top w:val="single" w:sz="6" w:space="0" w:color="auto"/>
              <w:left w:val="single" w:sz="6" w:space="0" w:color="auto"/>
              <w:bottom w:val="single" w:sz="6" w:space="0" w:color="auto"/>
              <w:right w:val="single" w:sz="6" w:space="0" w:color="auto"/>
            </w:tcBorders>
          </w:tcPr>
          <w:p w14:paraId="0807523E" w14:textId="77777777" w:rsidR="00CA23D0" w:rsidRPr="00E30642" w:rsidRDefault="00CA23D0" w:rsidP="00CA23D0">
            <w:pPr>
              <w:pStyle w:val="Texttabulky"/>
              <w:spacing w:line="240" w:lineRule="atLeast"/>
              <w:jc w:val="both"/>
              <w:rPr>
                <w:rFonts w:cs="Arial"/>
              </w:rPr>
            </w:pPr>
            <w:r w:rsidRPr="00E30642">
              <w:rPr>
                <w:rFonts w:cs="Arial"/>
              </w:rPr>
              <w:t>1 200</w:t>
            </w:r>
          </w:p>
        </w:tc>
        <w:tc>
          <w:tcPr>
            <w:tcW w:w="1418" w:type="dxa"/>
            <w:tcBorders>
              <w:top w:val="single" w:sz="6" w:space="0" w:color="auto"/>
              <w:left w:val="single" w:sz="6" w:space="0" w:color="auto"/>
              <w:bottom w:val="single" w:sz="6" w:space="0" w:color="auto"/>
              <w:right w:val="single" w:sz="6" w:space="0" w:color="auto"/>
            </w:tcBorders>
          </w:tcPr>
          <w:p w14:paraId="1BEABB1D" w14:textId="77777777" w:rsidR="00CA23D0" w:rsidRPr="00E30642" w:rsidRDefault="00CA23D0" w:rsidP="00CA23D0">
            <w:pPr>
              <w:pStyle w:val="Texttabulky"/>
              <w:spacing w:line="240" w:lineRule="atLeast"/>
              <w:jc w:val="both"/>
              <w:rPr>
                <w:rFonts w:cs="Arial"/>
              </w:rPr>
            </w:pPr>
            <w:r w:rsidRPr="00E30642">
              <w:rPr>
                <w:rFonts w:cs="Arial"/>
              </w:rPr>
              <w:t>1 200</w:t>
            </w:r>
          </w:p>
        </w:tc>
      </w:tr>
      <w:tr w:rsidR="00CA23D0" w:rsidRPr="00E30642" w14:paraId="309DC12A" w14:textId="77777777" w:rsidTr="00CA23D0">
        <w:tc>
          <w:tcPr>
            <w:tcW w:w="1985" w:type="dxa"/>
            <w:tcBorders>
              <w:top w:val="single" w:sz="6" w:space="0" w:color="auto"/>
              <w:left w:val="single" w:sz="6" w:space="0" w:color="auto"/>
              <w:bottom w:val="single" w:sz="6" w:space="0" w:color="auto"/>
              <w:right w:val="single" w:sz="6" w:space="0" w:color="auto"/>
            </w:tcBorders>
          </w:tcPr>
          <w:p w14:paraId="37846FAE" w14:textId="77777777" w:rsidR="00CA23D0" w:rsidRPr="00E30642" w:rsidRDefault="00CA23D0" w:rsidP="00CA23D0">
            <w:pPr>
              <w:pStyle w:val="Texttabulky"/>
              <w:spacing w:line="240" w:lineRule="atLeast"/>
              <w:ind w:firstLine="157"/>
              <w:jc w:val="both"/>
              <w:rPr>
                <w:rFonts w:cs="Arial"/>
              </w:rPr>
            </w:pPr>
            <w:r w:rsidRPr="00E30642">
              <w:rPr>
                <w:rFonts w:cs="Arial"/>
              </w:rPr>
              <w:t>Starý Šachov</w:t>
            </w:r>
          </w:p>
        </w:tc>
        <w:tc>
          <w:tcPr>
            <w:tcW w:w="1414" w:type="dxa"/>
            <w:tcBorders>
              <w:top w:val="single" w:sz="6" w:space="0" w:color="auto"/>
              <w:left w:val="single" w:sz="6" w:space="0" w:color="auto"/>
              <w:bottom w:val="single" w:sz="6" w:space="0" w:color="auto"/>
              <w:right w:val="single" w:sz="6" w:space="0" w:color="auto"/>
            </w:tcBorders>
          </w:tcPr>
          <w:p w14:paraId="6EBD40B9" w14:textId="77777777" w:rsidR="00CA23D0" w:rsidRPr="00E30642" w:rsidRDefault="00CA23D0" w:rsidP="00CA23D0">
            <w:pPr>
              <w:pStyle w:val="Texttabulky"/>
              <w:spacing w:line="240" w:lineRule="atLeast"/>
              <w:jc w:val="both"/>
              <w:rPr>
                <w:rFonts w:cs="Arial"/>
              </w:rPr>
            </w:pPr>
            <w:r w:rsidRPr="00E30642">
              <w:rPr>
                <w:rFonts w:cs="Arial"/>
              </w:rPr>
              <w:t>342,4</w:t>
            </w:r>
          </w:p>
        </w:tc>
        <w:tc>
          <w:tcPr>
            <w:tcW w:w="1417" w:type="dxa"/>
            <w:tcBorders>
              <w:top w:val="single" w:sz="6" w:space="0" w:color="auto"/>
              <w:left w:val="single" w:sz="6" w:space="0" w:color="auto"/>
              <w:bottom w:val="single" w:sz="6" w:space="0" w:color="auto"/>
              <w:right w:val="single" w:sz="6" w:space="0" w:color="auto"/>
            </w:tcBorders>
          </w:tcPr>
          <w:p w14:paraId="6D68E33A" w14:textId="77777777" w:rsidR="00CA23D0" w:rsidRPr="00E30642" w:rsidRDefault="00CA23D0" w:rsidP="00CA23D0">
            <w:pPr>
              <w:pStyle w:val="Texttabulky"/>
              <w:spacing w:line="240" w:lineRule="atLeast"/>
              <w:jc w:val="both"/>
              <w:rPr>
                <w:rFonts w:cs="Arial"/>
              </w:rPr>
            </w:pPr>
            <w:r w:rsidRPr="00E30642">
              <w:rPr>
                <w:rFonts w:cs="Arial"/>
              </w:rPr>
              <w:t>180</w:t>
            </w:r>
          </w:p>
        </w:tc>
        <w:tc>
          <w:tcPr>
            <w:tcW w:w="1418" w:type="dxa"/>
            <w:tcBorders>
              <w:top w:val="single" w:sz="6" w:space="0" w:color="auto"/>
              <w:left w:val="single" w:sz="6" w:space="0" w:color="auto"/>
              <w:bottom w:val="single" w:sz="6" w:space="0" w:color="auto"/>
              <w:right w:val="single" w:sz="6" w:space="0" w:color="auto"/>
            </w:tcBorders>
          </w:tcPr>
          <w:p w14:paraId="6BE2292B" w14:textId="77777777" w:rsidR="00CA23D0" w:rsidRPr="00E30642" w:rsidRDefault="00CA23D0" w:rsidP="00CA23D0">
            <w:pPr>
              <w:pStyle w:val="Texttabulky"/>
              <w:spacing w:line="240" w:lineRule="atLeast"/>
              <w:jc w:val="both"/>
              <w:rPr>
                <w:rFonts w:cs="Arial"/>
              </w:rPr>
            </w:pPr>
            <w:r w:rsidRPr="00E30642">
              <w:rPr>
                <w:rFonts w:cs="Arial"/>
              </w:rPr>
              <w:t>158</w:t>
            </w:r>
          </w:p>
        </w:tc>
        <w:tc>
          <w:tcPr>
            <w:tcW w:w="1417" w:type="dxa"/>
            <w:tcBorders>
              <w:top w:val="single" w:sz="6" w:space="0" w:color="auto"/>
              <w:left w:val="single" w:sz="6" w:space="0" w:color="auto"/>
              <w:bottom w:val="single" w:sz="6" w:space="0" w:color="auto"/>
              <w:right w:val="single" w:sz="6" w:space="0" w:color="auto"/>
            </w:tcBorders>
          </w:tcPr>
          <w:p w14:paraId="5E52559F" w14:textId="77777777" w:rsidR="00CA23D0" w:rsidRPr="00E30642" w:rsidRDefault="00CA23D0" w:rsidP="00CA23D0">
            <w:pPr>
              <w:pStyle w:val="Texttabulky"/>
              <w:spacing w:line="240" w:lineRule="atLeast"/>
              <w:jc w:val="both"/>
              <w:rPr>
                <w:rFonts w:cs="Arial"/>
              </w:rPr>
            </w:pPr>
            <w:r w:rsidRPr="00E30642">
              <w:rPr>
                <w:rFonts w:cs="Arial"/>
              </w:rPr>
              <w:t>150</w:t>
            </w:r>
          </w:p>
        </w:tc>
        <w:tc>
          <w:tcPr>
            <w:tcW w:w="1418" w:type="dxa"/>
            <w:tcBorders>
              <w:top w:val="single" w:sz="6" w:space="0" w:color="auto"/>
              <w:left w:val="single" w:sz="6" w:space="0" w:color="auto"/>
              <w:bottom w:val="single" w:sz="6" w:space="0" w:color="auto"/>
              <w:right w:val="single" w:sz="6" w:space="0" w:color="auto"/>
            </w:tcBorders>
          </w:tcPr>
          <w:p w14:paraId="17ABB079" w14:textId="77777777" w:rsidR="00CA23D0" w:rsidRPr="00E30642" w:rsidRDefault="00CA23D0" w:rsidP="00CA23D0">
            <w:pPr>
              <w:pStyle w:val="Texttabulky"/>
              <w:spacing w:line="240" w:lineRule="atLeast"/>
              <w:jc w:val="both"/>
              <w:rPr>
                <w:rFonts w:cs="Arial"/>
              </w:rPr>
            </w:pPr>
            <w:r w:rsidRPr="00E30642">
              <w:rPr>
                <w:rFonts w:cs="Arial"/>
              </w:rPr>
              <w:t>100</w:t>
            </w:r>
          </w:p>
        </w:tc>
      </w:tr>
      <w:tr w:rsidR="00CA23D0" w:rsidRPr="00E30642" w14:paraId="4ED11FE5" w14:textId="77777777" w:rsidTr="00CA23D0">
        <w:tc>
          <w:tcPr>
            <w:tcW w:w="1985" w:type="dxa"/>
            <w:tcBorders>
              <w:top w:val="single" w:sz="6" w:space="0" w:color="auto"/>
              <w:left w:val="single" w:sz="6" w:space="0" w:color="auto"/>
              <w:bottom w:val="single" w:sz="6" w:space="0" w:color="auto"/>
              <w:right w:val="single" w:sz="6" w:space="0" w:color="auto"/>
            </w:tcBorders>
          </w:tcPr>
          <w:p w14:paraId="2F082C5E" w14:textId="77777777" w:rsidR="00CA23D0" w:rsidRPr="00E30642" w:rsidRDefault="00CA23D0" w:rsidP="00CA23D0">
            <w:pPr>
              <w:pStyle w:val="Texttabulky"/>
              <w:spacing w:line="240" w:lineRule="atLeast"/>
              <w:ind w:firstLine="157"/>
              <w:jc w:val="both"/>
              <w:rPr>
                <w:rFonts w:cs="Arial"/>
              </w:rPr>
            </w:pPr>
            <w:r w:rsidRPr="00E30642">
              <w:rPr>
                <w:rFonts w:cs="Arial"/>
              </w:rPr>
              <w:t>Šluknov</w:t>
            </w:r>
          </w:p>
        </w:tc>
        <w:tc>
          <w:tcPr>
            <w:tcW w:w="1414" w:type="dxa"/>
            <w:tcBorders>
              <w:top w:val="single" w:sz="6" w:space="0" w:color="auto"/>
              <w:left w:val="single" w:sz="6" w:space="0" w:color="auto"/>
              <w:bottom w:val="single" w:sz="6" w:space="0" w:color="auto"/>
              <w:right w:val="single" w:sz="6" w:space="0" w:color="auto"/>
            </w:tcBorders>
          </w:tcPr>
          <w:p w14:paraId="679AF042" w14:textId="77777777" w:rsidR="00CA23D0" w:rsidRPr="00E30642" w:rsidRDefault="00CA23D0" w:rsidP="00CA23D0">
            <w:pPr>
              <w:pStyle w:val="Texttabulky"/>
              <w:spacing w:line="240" w:lineRule="atLeast"/>
              <w:jc w:val="both"/>
              <w:rPr>
                <w:rFonts w:cs="Arial"/>
              </w:rPr>
            </w:pPr>
            <w:r w:rsidRPr="00E30642">
              <w:rPr>
                <w:rFonts w:cs="Arial"/>
              </w:rPr>
              <w:t>4 748,58</w:t>
            </w:r>
          </w:p>
        </w:tc>
        <w:tc>
          <w:tcPr>
            <w:tcW w:w="1417" w:type="dxa"/>
            <w:tcBorders>
              <w:top w:val="single" w:sz="6" w:space="0" w:color="auto"/>
              <w:left w:val="single" w:sz="6" w:space="0" w:color="auto"/>
              <w:bottom w:val="single" w:sz="6" w:space="0" w:color="auto"/>
              <w:right w:val="single" w:sz="6" w:space="0" w:color="auto"/>
            </w:tcBorders>
          </w:tcPr>
          <w:p w14:paraId="3DFFF336" w14:textId="77777777" w:rsidR="00CA23D0" w:rsidRPr="00E30642" w:rsidRDefault="00CA23D0" w:rsidP="00CA23D0">
            <w:pPr>
              <w:pStyle w:val="Texttabulky"/>
              <w:spacing w:line="240" w:lineRule="atLeast"/>
              <w:jc w:val="both"/>
              <w:rPr>
                <w:rFonts w:cs="Arial"/>
              </w:rPr>
            </w:pPr>
            <w:r w:rsidRPr="00E30642">
              <w:rPr>
                <w:rFonts w:cs="Arial"/>
              </w:rPr>
              <w:t>5 568</w:t>
            </w:r>
          </w:p>
        </w:tc>
        <w:tc>
          <w:tcPr>
            <w:tcW w:w="1418" w:type="dxa"/>
            <w:tcBorders>
              <w:top w:val="single" w:sz="6" w:space="0" w:color="auto"/>
              <w:left w:val="single" w:sz="6" w:space="0" w:color="auto"/>
              <w:bottom w:val="single" w:sz="6" w:space="0" w:color="auto"/>
              <w:right w:val="single" w:sz="6" w:space="0" w:color="auto"/>
            </w:tcBorders>
          </w:tcPr>
          <w:p w14:paraId="1F22334A" w14:textId="77777777" w:rsidR="00CA23D0" w:rsidRPr="00E30642" w:rsidRDefault="00CA23D0" w:rsidP="00CA23D0">
            <w:pPr>
              <w:pStyle w:val="Texttabulky"/>
              <w:spacing w:line="240" w:lineRule="atLeast"/>
              <w:jc w:val="both"/>
              <w:rPr>
                <w:rFonts w:cs="Arial"/>
              </w:rPr>
            </w:pPr>
            <w:r w:rsidRPr="00E30642">
              <w:rPr>
                <w:rFonts w:cs="Arial"/>
              </w:rPr>
              <w:t>5 577</w:t>
            </w:r>
          </w:p>
        </w:tc>
        <w:tc>
          <w:tcPr>
            <w:tcW w:w="1417" w:type="dxa"/>
            <w:tcBorders>
              <w:top w:val="single" w:sz="6" w:space="0" w:color="auto"/>
              <w:left w:val="single" w:sz="6" w:space="0" w:color="auto"/>
              <w:bottom w:val="single" w:sz="6" w:space="0" w:color="auto"/>
              <w:right w:val="single" w:sz="6" w:space="0" w:color="auto"/>
            </w:tcBorders>
          </w:tcPr>
          <w:p w14:paraId="7E165B19" w14:textId="77777777" w:rsidR="00CA23D0" w:rsidRPr="00E30642" w:rsidRDefault="00CA23D0" w:rsidP="00CA23D0">
            <w:pPr>
              <w:pStyle w:val="Texttabulky"/>
              <w:spacing w:line="240" w:lineRule="atLeast"/>
              <w:jc w:val="both"/>
              <w:rPr>
                <w:rFonts w:cs="Arial"/>
              </w:rPr>
            </w:pPr>
            <w:r w:rsidRPr="00E30642">
              <w:rPr>
                <w:rFonts w:cs="Arial"/>
              </w:rPr>
              <w:t>5 550</w:t>
            </w:r>
          </w:p>
        </w:tc>
        <w:tc>
          <w:tcPr>
            <w:tcW w:w="1418" w:type="dxa"/>
            <w:tcBorders>
              <w:top w:val="single" w:sz="6" w:space="0" w:color="auto"/>
              <w:left w:val="single" w:sz="6" w:space="0" w:color="auto"/>
              <w:bottom w:val="single" w:sz="6" w:space="0" w:color="auto"/>
              <w:right w:val="single" w:sz="6" w:space="0" w:color="auto"/>
            </w:tcBorders>
          </w:tcPr>
          <w:p w14:paraId="3AB1B748" w14:textId="77777777" w:rsidR="00CA23D0" w:rsidRPr="00E30642" w:rsidRDefault="00CA23D0" w:rsidP="00CA23D0">
            <w:pPr>
              <w:pStyle w:val="Texttabulky"/>
              <w:spacing w:line="240" w:lineRule="atLeast"/>
              <w:jc w:val="both"/>
              <w:rPr>
                <w:rFonts w:cs="Arial"/>
              </w:rPr>
            </w:pPr>
            <w:r w:rsidRPr="00E30642">
              <w:rPr>
                <w:rFonts w:cs="Arial"/>
              </w:rPr>
              <w:t>5 500</w:t>
            </w:r>
          </w:p>
        </w:tc>
      </w:tr>
      <w:tr w:rsidR="00CA23D0" w:rsidRPr="00E30642" w14:paraId="34E48467" w14:textId="77777777" w:rsidTr="00CA23D0">
        <w:tc>
          <w:tcPr>
            <w:tcW w:w="1985" w:type="dxa"/>
            <w:tcBorders>
              <w:top w:val="single" w:sz="6" w:space="0" w:color="auto"/>
              <w:left w:val="single" w:sz="6" w:space="0" w:color="auto"/>
              <w:bottom w:val="single" w:sz="6" w:space="0" w:color="auto"/>
              <w:right w:val="single" w:sz="6" w:space="0" w:color="auto"/>
            </w:tcBorders>
          </w:tcPr>
          <w:p w14:paraId="47C16CC2" w14:textId="77777777" w:rsidR="00CA23D0" w:rsidRPr="00E30642" w:rsidRDefault="00CA23D0" w:rsidP="00CA23D0">
            <w:pPr>
              <w:pStyle w:val="Texttabulky"/>
              <w:spacing w:line="240" w:lineRule="atLeast"/>
              <w:ind w:firstLine="157"/>
              <w:jc w:val="both"/>
              <w:rPr>
                <w:rFonts w:cs="Arial"/>
              </w:rPr>
            </w:pPr>
            <w:r w:rsidRPr="00E30642">
              <w:rPr>
                <w:rFonts w:cs="Arial"/>
              </w:rPr>
              <w:t>Těchlovice</w:t>
            </w:r>
          </w:p>
        </w:tc>
        <w:tc>
          <w:tcPr>
            <w:tcW w:w="1414" w:type="dxa"/>
            <w:tcBorders>
              <w:top w:val="single" w:sz="6" w:space="0" w:color="auto"/>
              <w:left w:val="single" w:sz="6" w:space="0" w:color="auto"/>
              <w:bottom w:val="single" w:sz="6" w:space="0" w:color="auto"/>
              <w:right w:val="single" w:sz="6" w:space="0" w:color="auto"/>
            </w:tcBorders>
          </w:tcPr>
          <w:p w14:paraId="62761CC6" w14:textId="77777777" w:rsidR="00CA23D0" w:rsidRPr="00E30642" w:rsidRDefault="00CA23D0" w:rsidP="00CA23D0">
            <w:pPr>
              <w:pStyle w:val="Texttabulky"/>
              <w:spacing w:line="240" w:lineRule="atLeast"/>
              <w:jc w:val="both"/>
              <w:rPr>
                <w:rFonts w:cs="Arial"/>
              </w:rPr>
            </w:pPr>
            <w:r w:rsidRPr="00E30642">
              <w:rPr>
                <w:rFonts w:cs="Arial"/>
              </w:rPr>
              <w:t>1 048,04</w:t>
            </w:r>
          </w:p>
        </w:tc>
        <w:tc>
          <w:tcPr>
            <w:tcW w:w="1417" w:type="dxa"/>
            <w:tcBorders>
              <w:top w:val="single" w:sz="6" w:space="0" w:color="auto"/>
              <w:left w:val="single" w:sz="6" w:space="0" w:color="auto"/>
              <w:bottom w:val="single" w:sz="6" w:space="0" w:color="auto"/>
              <w:right w:val="single" w:sz="6" w:space="0" w:color="auto"/>
            </w:tcBorders>
          </w:tcPr>
          <w:p w14:paraId="683AD103" w14:textId="77777777" w:rsidR="00CA23D0" w:rsidRPr="00E30642" w:rsidRDefault="00CA23D0" w:rsidP="00CA23D0">
            <w:pPr>
              <w:pStyle w:val="Texttabulky"/>
              <w:spacing w:line="240" w:lineRule="atLeast"/>
              <w:jc w:val="both"/>
              <w:rPr>
                <w:rFonts w:cs="Arial"/>
              </w:rPr>
            </w:pPr>
            <w:r w:rsidRPr="00E30642">
              <w:rPr>
                <w:rFonts w:cs="Arial"/>
              </w:rPr>
              <w:t>442</w:t>
            </w:r>
          </w:p>
        </w:tc>
        <w:tc>
          <w:tcPr>
            <w:tcW w:w="1418" w:type="dxa"/>
            <w:tcBorders>
              <w:top w:val="single" w:sz="6" w:space="0" w:color="auto"/>
              <w:left w:val="single" w:sz="6" w:space="0" w:color="auto"/>
              <w:bottom w:val="single" w:sz="6" w:space="0" w:color="auto"/>
              <w:right w:val="single" w:sz="6" w:space="0" w:color="auto"/>
            </w:tcBorders>
          </w:tcPr>
          <w:p w14:paraId="33714E4F" w14:textId="77777777" w:rsidR="00CA23D0" w:rsidRPr="00E30642" w:rsidRDefault="00CA23D0" w:rsidP="00CA23D0">
            <w:pPr>
              <w:pStyle w:val="Texttabulky"/>
              <w:spacing w:line="240" w:lineRule="atLeast"/>
              <w:jc w:val="both"/>
              <w:rPr>
                <w:rFonts w:cs="Arial"/>
              </w:rPr>
            </w:pPr>
            <w:r w:rsidRPr="00E30642">
              <w:rPr>
                <w:rFonts w:cs="Arial"/>
              </w:rPr>
              <w:t>425</w:t>
            </w:r>
          </w:p>
        </w:tc>
        <w:tc>
          <w:tcPr>
            <w:tcW w:w="1417" w:type="dxa"/>
            <w:tcBorders>
              <w:top w:val="single" w:sz="6" w:space="0" w:color="auto"/>
              <w:left w:val="single" w:sz="6" w:space="0" w:color="auto"/>
              <w:bottom w:val="single" w:sz="6" w:space="0" w:color="auto"/>
              <w:right w:val="single" w:sz="6" w:space="0" w:color="auto"/>
            </w:tcBorders>
          </w:tcPr>
          <w:p w14:paraId="1CD60DF5"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5AE24100"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1DEF8920" w14:textId="77777777" w:rsidTr="00CA23D0">
        <w:tc>
          <w:tcPr>
            <w:tcW w:w="1985" w:type="dxa"/>
            <w:tcBorders>
              <w:top w:val="single" w:sz="6" w:space="0" w:color="auto"/>
              <w:left w:val="single" w:sz="6" w:space="0" w:color="auto"/>
              <w:bottom w:val="single" w:sz="6" w:space="0" w:color="auto"/>
              <w:right w:val="single" w:sz="6" w:space="0" w:color="auto"/>
            </w:tcBorders>
          </w:tcPr>
          <w:p w14:paraId="3DB8305F" w14:textId="77777777" w:rsidR="00CA23D0" w:rsidRPr="00E30642" w:rsidRDefault="00CA23D0" w:rsidP="00CA23D0">
            <w:pPr>
              <w:pStyle w:val="Texttabulky"/>
              <w:spacing w:line="240" w:lineRule="atLeast"/>
              <w:ind w:firstLine="157"/>
              <w:jc w:val="both"/>
              <w:rPr>
                <w:rFonts w:cs="Arial"/>
              </w:rPr>
            </w:pPr>
            <w:r w:rsidRPr="00E30642">
              <w:rPr>
                <w:rFonts w:cs="Arial"/>
              </w:rPr>
              <w:t>Valkeřice</w:t>
            </w:r>
          </w:p>
        </w:tc>
        <w:tc>
          <w:tcPr>
            <w:tcW w:w="1414" w:type="dxa"/>
            <w:tcBorders>
              <w:top w:val="single" w:sz="6" w:space="0" w:color="auto"/>
              <w:left w:val="single" w:sz="6" w:space="0" w:color="auto"/>
              <w:bottom w:val="single" w:sz="6" w:space="0" w:color="auto"/>
              <w:right w:val="single" w:sz="6" w:space="0" w:color="auto"/>
            </w:tcBorders>
          </w:tcPr>
          <w:p w14:paraId="5E2474E4" w14:textId="77777777" w:rsidR="00CA23D0" w:rsidRPr="00E30642" w:rsidRDefault="00CA23D0" w:rsidP="00CA23D0">
            <w:pPr>
              <w:pStyle w:val="Texttabulky"/>
              <w:spacing w:line="240" w:lineRule="atLeast"/>
              <w:jc w:val="both"/>
              <w:rPr>
                <w:rFonts w:cs="Arial"/>
              </w:rPr>
            </w:pPr>
            <w:r w:rsidRPr="00E30642">
              <w:rPr>
                <w:rFonts w:cs="Arial"/>
              </w:rPr>
              <w:t>1 414</w:t>
            </w:r>
          </w:p>
        </w:tc>
        <w:tc>
          <w:tcPr>
            <w:tcW w:w="1417" w:type="dxa"/>
            <w:tcBorders>
              <w:top w:val="single" w:sz="6" w:space="0" w:color="auto"/>
              <w:left w:val="single" w:sz="6" w:space="0" w:color="auto"/>
              <w:bottom w:val="single" w:sz="6" w:space="0" w:color="auto"/>
              <w:right w:val="single" w:sz="6" w:space="0" w:color="auto"/>
            </w:tcBorders>
          </w:tcPr>
          <w:p w14:paraId="37A53A80" w14:textId="77777777" w:rsidR="00CA23D0" w:rsidRPr="00E30642" w:rsidRDefault="00CA23D0" w:rsidP="00CA23D0">
            <w:pPr>
              <w:pStyle w:val="Texttabulky"/>
              <w:spacing w:line="240" w:lineRule="atLeast"/>
              <w:jc w:val="both"/>
              <w:rPr>
                <w:rFonts w:cs="Arial"/>
              </w:rPr>
            </w:pPr>
            <w:r w:rsidRPr="00E30642">
              <w:rPr>
                <w:rFonts w:cs="Arial"/>
              </w:rPr>
              <w:t>369</w:t>
            </w:r>
          </w:p>
        </w:tc>
        <w:tc>
          <w:tcPr>
            <w:tcW w:w="1418" w:type="dxa"/>
            <w:tcBorders>
              <w:top w:val="single" w:sz="6" w:space="0" w:color="auto"/>
              <w:left w:val="single" w:sz="6" w:space="0" w:color="auto"/>
              <w:bottom w:val="single" w:sz="6" w:space="0" w:color="auto"/>
              <w:right w:val="single" w:sz="6" w:space="0" w:color="auto"/>
            </w:tcBorders>
          </w:tcPr>
          <w:p w14:paraId="58C21B03" w14:textId="77777777" w:rsidR="00CA23D0" w:rsidRPr="00E30642" w:rsidRDefault="00CA23D0" w:rsidP="00CA23D0">
            <w:pPr>
              <w:pStyle w:val="Texttabulky"/>
              <w:spacing w:line="240" w:lineRule="atLeast"/>
              <w:jc w:val="both"/>
              <w:rPr>
                <w:rFonts w:cs="Arial"/>
              </w:rPr>
            </w:pPr>
            <w:r w:rsidRPr="00E30642">
              <w:rPr>
                <w:rFonts w:cs="Arial"/>
              </w:rPr>
              <w:t>414</w:t>
            </w:r>
          </w:p>
        </w:tc>
        <w:tc>
          <w:tcPr>
            <w:tcW w:w="1417" w:type="dxa"/>
            <w:tcBorders>
              <w:top w:val="single" w:sz="6" w:space="0" w:color="auto"/>
              <w:left w:val="single" w:sz="6" w:space="0" w:color="auto"/>
              <w:bottom w:val="single" w:sz="6" w:space="0" w:color="auto"/>
              <w:right w:val="single" w:sz="6" w:space="0" w:color="auto"/>
            </w:tcBorders>
          </w:tcPr>
          <w:p w14:paraId="29932C1D"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0E102F34"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38B6CE94" w14:textId="77777777" w:rsidTr="00CA23D0">
        <w:tc>
          <w:tcPr>
            <w:tcW w:w="1985" w:type="dxa"/>
            <w:tcBorders>
              <w:top w:val="single" w:sz="6" w:space="0" w:color="auto"/>
              <w:left w:val="single" w:sz="6" w:space="0" w:color="auto"/>
              <w:bottom w:val="single" w:sz="6" w:space="0" w:color="auto"/>
              <w:right w:val="single" w:sz="6" w:space="0" w:color="auto"/>
            </w:tcBorders>
          </w:tcPr>
          <w:p w14:paraId="096C630D" w14:textId="77777777" w:rsidR="00CA23D0" w:rsidRPr="00E30642" w:rsidRDefault="00CA23D0" w:rsidP="00CA23D0">
            <w:pPr>
              <w:pStyle w:val="Texttabulky"/>
              <w:spacing w:line="240" w:lineRule="atLeast"/>
              <w:ind w:firstLine="157"/>
              <w:jc w:val="both"/>
              <w:rPr>
                <w:rFonts w:cs="Arial"/>
              </w:rPr>
            </w:pPr>
            <w:r w:rsidRPr="00E30642">
              <w:rPr>
                <w:rFonts w:cs="Arial"/>
              </w:rPr>
              <w:t>Varnsdorf</w:t>
            </w:r>
          </w:p>
        </w:tc>
        <w:tc>
          <w:tcPr>
            <w:tcW w:w="1414" w:type="dxa"/>
            <w:tcBorders>
              <w:top w:val="single" w:sz="6" w:space="0" w:color="auto"/>
              <w:left w:val="single" w:sz="6" w:space="0" w:color="auto"/>
              <w:bottom w:val="single" w:sz="6" w:space="0" w:color="auto"/>
              <w:right w:val="single" w:sz="6" w:space="0" w:color="auto"/>
            </w:tcBorders>
          </w:tcPr>
          <w:p w14:paraId="1E2095B5" w14:textId="77777777" w:rsidR="00CA23D0" w:rsidRPr="00E30642" w:rsidRDefault="00CA23D0" w:rsidP="00CA23D0">
            <w:pPr>
              <w:pStyle w:val="Texttabulky"/>
              <w:spacing w:line="240" w:lineRule="atLeast"/>
              <w:jc w:val="both"/>
              <w:rPr>
                <w:rFonts w:cs="Arial"/>
              </w:rPr>
            </w:pPr>
            <w:r w:rsidRPr="00E30642">
              <w:rPr>
                <w:rFonts w:cs="Arial"/>
              </w:rPr>
              <w:t>2 620,99</w:t>
            </w:r>
          </w:p>
        </w:tc>
        <w:tc>
          <w:tcPr>
            <w:tcW w:w="1417" w:type="dxa"/>
            <w:tcBorders>
              <w:top w:val="single" w:sz="6" w:space="0" w:color="auto"/>
              <w:left w:val="single" w:sz="6" w:space="0" w:color="auto"/>
              <w:bottom w:val="single" w:sz="6" w:space="0" w:color="auto"/>
              <w:right w:val="single" w:sz="6" w:space="0" w:color="auto"/>
            </w:tcBorders>
          </w:tcPr>
          <w:p w14:paraId="631C0C21" w14:textId="77777777" w:rsidR="00CA23D0" w:rsidRPr="00E30642" w:rsidRDefault="00CA23D0" w:rsidP="00CA23D0">
            <w:pPr>
              <w:pStyle w:val="Texttabulky"/>
              <w:spacing w:line="240" w:lineRule="atLeast"/>
              <w:jc w:val="both"/>
              <w:rPr>
                <w:rFonts w:cs="Arial"/>
              </w:rPr>
            </w:pPr>
            <w:r w:rsidRPr="00E30642">
              <w:rPr>
                <w:rFonts w:cs="Arial"/>
              </w:rPr>
              <w:t>16 266</w:t>
            </w:r>
          </w:p>
        </w:tc>
        <w:tc>
          <w:tcPr>
            <w:tcW w:w="1418" w:type="dxa"/>
            <w:tcBorders>
              <w:top w:val="single" w:sz="6" w:space="0" w:color="auto"/>
              <w:left w:val="single" w:sz="6" w:space="0" w:color="auto"/>
              <w:bottom w:val="single" w:sz="6" w:space="0" w:color="auto"/>
              <w:right w:val="single" w:sz="6" w:space="0" w:color="auto"/>
            </w:tcBorders>
          </w:tcPr>
          <w:p w14:paraId="460A43DA" w14:textId="77777777" w:rsidR="00CA23D0" w:rsidRPr="00E30642" w:rsidRDefault="00CA23D0" w:rsidP="00CA23D0">
            <w:pPr>
              <w:pStyle w:val="Texttabulky"/>
              <w:spacing w:line="240" w:lineRule="atLeast"/>
              <w:jc w:val="both"/>
              <w:rPr>
                <w:rFonts w:cs="Arial"/>
              </w:rPr>
            </w:pPr>
            <w:r w:rsidRPr="00E30642">
              <w:rPr>
                <w:rFonts w:cs="Arial"/>
              </w:rPr>
              <w:t>16 247</w:t>
            </w:r>
          </w:p>
        </w:tc>
        <w:tc>
          <w:tcPr>
            <w:tcW w:w="1417" w:type="dxa"/>
            <w:tcBorders>
              <w:top w:val="single" w:sz="6" w:space="0" w:color="auto"/>
              <w:left w:val="single" w:sz="6" w:space="0" w:color="auto"/>
              <w:bottom w:val="single" w:sz="6" w:space="0" w:color="auto"/>
              <w:right w:val="single" w:sz="6" w:space="0" w:color="auto"/>
            </w:tcBorders>
          </w:tcPr>
          <w:p w14:paraId="12D9D153" w14:textId="77777777" w:rsidR="00CA23D0" w:rsidRPr="00E30642" w:rsidRDefault="00CA23D0" w:rsidP="00CA23D0">
            <w:pPr>
              <w:pStyle w:val="Texttabulky"/>
              <w:spacing w:line="240" w:lineRule="atLeast"/>
              <w:jc w:val="both"/>
              <w:rPr>
                <w:rFonts w:cs="Arial"/>
              </w:rPr>
            </w:pPr>
            <w:r w:rsidRPr="00E30642">
              <w:rPr>
                <w:rFonts w:cs="Arial"/>
              </w:rPr>
              <w:t>16 500</w:t>
            </w:r>
          </w:p>
        </w:tc>
        <w:tc>
          <w:tcPr>
            <w:tcW w:w="1418" w:type="dxa"/>
            <w:tcBorders>
              <w:top w:val="single" w:sz="6" w:space="0" w:color="auto"/>
              <w:left w:val="single" w:sz="6" w:space="0" w:color="auto"/>
              <w:bottom w:val="single" w:sz="6" w:space="0" w:color="auto"/>
              <w:right w:val="single" w:sz="6" w:space="0" w:color="auto"/>
            </w:tcBorders>
          </w:tcPr>
          <w:p w14:paraId="4940096F" w14:textId="77777777" w:rsidR="00CA23D0" w:rsidRPr="00E30642" w:rsidRDefault="00CA23D0" w:rsidP="00CA23D0">
            <w:pPr>
              <w:pStyle w:val="Texttabulky"/>
              <w:spacing w:line="240" w:lineRule="atLeast"/>
              <w:jc w:val="both"/>
              <w:rPr>
                <w:rFonts w:cs="Arial"/>
              </w:rPr>
            </w:pPr>
            <w:r w:rsidRPr="00E30642">
              <w:rPr>
                <w:rFonts w:cs="Arial"/>
              </w:rPr>
              <w:t>16 500</w:t>
            </w:r>
          </w:p>
        </w:tc>
      </w:tr>
      <w:tr w:rsidR="00CA23D0" w:rsidRPr="00E30642" w14:paraId="317FE516" w14:textId="77777777" w:rsidTr="00CA23D0">
        <w:tc>
          <w:tcPr>
            <w:tcW w:w="1985" w:type="dxa"/>
            <w:tcBorders>
              <w:top w:val="single" w:sz="6" w:space="0" w:color="auto"/>
              <w:left w:val="single" w:sz="6" w:space="0" w:color="auto"/>
              <w:bottom w:val="single" w:sz="6" w:space="0" w:color="auto"/>
              <w:right w:val="single" w:sz="6" w:space="0" w:color="auto"/>
            </w:tcBorders>
          </w:tcPr>
          <w:p w14:paraId="581FC2C7" w14:textId="77777777" w:rsidR="00CA23D0" w:rsidRPr="00E30642" w:rsidRDefault="00CA23D0" w:rsidP="00CA23D0">
            <w:pPr>
              <w:pStyle w:val="Texttabulky"/>
              <w:spacing w:line="240" w:lineRule="atLeast"/>
              <w:ind w:firstLine="157"/>
              <w:jc w:val="both"/>
              <w:rPr>
                <w:rFonts w:cs="Arial"/>
              </w:rPr>
            </w:pPr>
            <w:r w:rsidRPr="00E30642">
              <w:rPr>
                <w:rFonts w:cs="Arial"/>
              </w:rPr>
              <w:t>Velká Bukovina</w:t>
            </w:r>
          </w:p>
        </w:tc>
        <w:tc>
          <w:tcPr>
            <w:tcW w:w="1414" w:type="dxa"/>
            <w:tcBorders>
              <w:top w:val="single" w:sz="6" w:space="0" w:color="auto"/>
              <w:left w:val="single" w:sz="6" w:space="0" w:color="auto"/>
              <w:bottom w:val="single" w:sz="6" w:space="0" w:color="auto"/>
              <w:right w:val="single" w:sz="6" w:space="0" w:color="auto"/>
            </w:tcBorders>
          </w:tcPr>
          <w:p w14:paraId="55804347" w14:textId="77777777" w:rsidR="00CA23D0" w:rsidRPr="00E30642" w:rsidRDefault="00CA23D0" w:rsidP="00CA23D0">
            <w:pPr>
              <w:pStyle w:val="Texttabulky"/>
              <w:spacing w:line="240" w:lineRule="atLeast"/>
              <w:jc w:val="both"/>
              <w:rPr>
                <w:rFonts w:cs="Arial"/>
              </w:rPr>
            </w:pPr>
            <w:r w:rsidRPr="00E30642">
              <w:rPr>
                <w:rFonts w:cs="Arial"/>
              </w:rPr>
              <w:t>1 434,67</w:t>
            </w:r>
          </w:p>
        </w:tc>
        <w:tc>
          <w:tcPr>
            <w:tcW w:w="1417" w:type="dxa"/>
            <w:tcBorders>
              <w:top w:val="single" w:sz="6" w:space="0" w:color="auto"/>
              <w:left w:val="single" w:sz="6" w:space="0" w:color="auto"/>
              <w:bottom w:val="single" w:sz="6" w:space="0" w:color="auto"/>
              <w:right w:val="single" w:sz="6" w:space="0" w:color="auto"/>
            </w:tcBorders>
          </w:tcPr>
          <w:p w14:paraId="34A1E5B7" w14:textId="77777777" w:rsidR="00CA23D0" w:rsidRPr="00E30642" w:rsidRDefault="00CA23D0" w:rsidP="00CA23D0">
            <w:pPr>
              <w:pStyle w:val="Texttabulky"/>
              <w:spacing w:line="240" w:lineRule="atLeast"/>
              <w:jc w:val="both"/>
              <w:rPr>
                <w:rFonts w:cs="Arial"/>
              </w:rPr>
            </w:pPr>
            <w:r w:rsidRPr="00E30642">
              <w:rPr>
                <w:rFonts w:cs="Arial"/>
              </w:rPr>
              <w:t>415</w:t>
            </w:r>
          </w:p>
        </w:tc>
        <w:tc>
          <w:tcPr>
            <w:tcW w:w="1418" w:type="dxa"/>
            <w:tcBorders>
              <w:top w:val="single" w:sz="6" w:space="0" w:color="auto"/>
              <w:left w:val="single" w:sz="6" w:space="0" w:color="auto"/>
              <w:bottom w:val="single" w:sz="6" w:space="0" w:color="auto"/>
              <w:right w:val="single" w:sz="6" w:space="0" w:color="auto"/>
            </w:tcBorders>
          </w:tcPr>
          <w:p w14:paraId="41F67F0A" w14:textId="77777777" w:rsidR="00CA23D0" w:rsidRPr="00E30642" w:rsidRDefault="00CA23D0" w:rsidP="00CA23D0">
            <w:pPr>
              <w:pStyle w:val="Texttabulky"/>
              <w:spacing w:line="240" w:lineRule="atLeast"/>
              <w:jc w:val="both"/>
              <w:rPr>
                <w:rFonts w:cs="Arial"/>
              </w:rPr>
            </w:pPr>
            <w:r w:rsidRPr="00E30642">
              <w:rPr>
                <w:rFonts w:cs="Arial"/>
              </w:rPr>
              <w:t>418</w:t>
            </w:r>
          </w:p>
        </w:tc>
        <w:tc>
          <w:tcPr>
            <w:tcW w:w="1417" w:type="dxa"/>
            <w:tcBorders>
              <w:top w:val="single" w:sz="6" w:space="0" w:color="auto"/>
              <w:left w:val="single" w:sz="6" w:space="0" w:color="auto"/>
              <w:bottom w:val="single" w:sz="6" w:space="0" w:color="auto"/>
              <w:right w:val="single" w:sz="6" w:space="0" w:color="auto"/>
            </w:tcBorders>
          </w:tcPr>
          <w:p w14:paraId="28746924"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14F260FF"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1A55E11B" w14:textId="77777777" w:rsidTr="00CA23D0">
        <w:tc>
          <w:tcPr>
            <w:tcW w:w="1985" w:type="dxa"/>
            <w:tcBorders>
              <w:top w:val="single" w:sz="6" w:space="0" w:color="auto"/>
              <w:left w:val="single" w:sz="6" w:space="0" w:color="auto"/>
              <w:bottom w:val="single" w:sz="6" w:space="0" w:color="auto"/>
              <w:right w:val="single" w:sz="6" w:space="0" w:color="auto"/>
            </w:tcBorders>
          </w:tcPr>
          <w:p w14:paraId="12845DA7" w14:textId="77777777" w:rsidR="00CA23D0" w:rsidRPr="00E30642" w:rsidRDefault="00CA23D0" w:rsidP="00CA23D0">
            <w:pPr>
              <w:pStyle w:val="Texttabulky"/>
              <w:spacing w:line="240" w:lineRule="atLeast"/>
              <w:ind w:firstLine="157"/>
              <w:jc w:val="both"/>
              <w:rPr>
                <w:rFonts w:cs="Arial"/>
              </w:rPr>
            </w:pPr>
            <w:r w:rsidRPr="00E30642">
              <w:rPr>
                <w:rFonts w:cs="Arial"/>
              </w:rPr>
              <w:t>Velký Šenov</w:t>
            </w:r>
          </w:p>
        </w:tc>
        <w:tc>
          <w:tcPr>
            <w:tcW w:w="1414" w:type="dxa"/>
            <w:tcBorders>
              <w:top w:val="single" w:sz="6" w:space="0" w:color="auto"/>
              <w:left w:val="single" w:sz="6" w:space="0" w:color="auto"/>
              <w:bottom w:val="single" w:sz="6" w:space="0" w:color="auto"/>
              <w:right w:val="single" w:sz="6" w:space="0" w:color="auto"/>
            </w:tcBorders>
          </w:tcPr>
          <w:p w14:paraId="7B098F47" w14:textId="77777777" w:rsidR="00CA23D0" w:rsidRPr="00E30642" w:rsidRDefault="00CA23D0" w:rsidP="00CA23D0">
            <w:pPr>
              <w:pStyle w:val="Texttabulky"/>
              <w:spacing w:line="240" w:lineRule="atLeast"/>
              <w:jc w:val="both"/>
              <w:rPr>
                <w:rFonts w:cs="Arial"/>
              </w:rPr>
            </w:pPr>
            <w:r w:rsidRPr="00E30642">
              <w:rPr>
                <w:rFonts w:cs="Arial"/>
              </w:rPr>
              <w:t>1 982,24</w:t>
            </w:r>
          </w:p>
        </w:tc>
        <w:tc>
          <w:tcPr>
            <w:tcW w:w="1417" w:type="dxa"/>
            <w:tcBorders>
              <w:top w:val="single" w:sz="6" w:space="0" w:color="auto"/>
              <w:left w:val="single" w:sz="6" w:space="0" w:color="auto"/>
              <w:bottom w:val="single" w:sz="6" w:space="0" w:color="auto"/>
              <w:right w:val="single" w:sz="6" w:space="0" w:color="auto"/>
            </w:tcBorders>
          </w:tcPr>
          <w:p w14:paraId="38CA9F2A" w14:textId="77777777" w:rsidR="00CA23D0" w:rsidRPr="00E30642" w:rsidRDefault="00CA23D0" w:rsidP="00CA23D0">
            <w:pPr>
              <w:pStyle w:val="Texttabulky"/>
              <w:spacing w:line="240" w:lineRule="atLeast"/>
              <w:jc w:val="both"/>
              <w:rPr>
                <w:rFonts w:cs="Arial"/>
              </w:rPr>
            </w:pPr>
            <w:r w:rsidRPr="00E30642">
              <w:rPr>
                <w:rFonts w:cs="Arial"/>
              </w:rPr>
              <w:t>1 943</w:t>
            </w:r>
          </w:p>
        </w:tc>
        <w:tc>
          <w:tcPr>
            <w:tcW w:w="1418" w:type="dxa"/>
            <w:tcBorders>
              <w:top w:val="single" w:sz="6" w:space="0" w:color="auto"/>
              <w:left w:val="single" w:sz="6" w:space="0" w:color="auto"/>
              <w:bottom w:val="single" w:sz="6" w:space="0" w:color="auto"/>
              <w:right w:val="single" w:sz="6" w:space="0" w:color="auto"/>
            </w:tcBorders>
          </w:tcPr>
          <w:p w14:paraId="5048D836" w14:textId="77777777" w:rsidR="00CA23D0" w:rsidRPr="00E30642" w:rsidRDefault="00CA23D0" w:rsidP="00CA23D0">
            <w:pPr>
              <w:pStyle w:val="Texttabulky"/>
              <w:spacing w:line="240" w:lineRule="atLeast"/>
              <w:jc w:val="both"/>
              <w:rPr>
                <w:rFonts w:cs="Arial"/>
              </w:rPr>
            </w:pPr>
            <w:r w:rsidRPr="00E30642">
              <w:rPr>
                <w:rFonts w:cs="Arial"/>
              </w:rPr>
              <w:t>1 899</w:t>
            </w:r>
          </w:p>
        </w:tc>
        <w:tc>
          <w:tcPr>
            <w:tcW w:w="1417" w:type="dxa"/>
            <w:tcBorders>
              <w:top w:val="single" w:sz="6" w:space="0" w:color="auto"/>
              <w:left w:val="single" w:sz="6" w:space="0" w:color="auto"/>
              <w:bottom w:val="single" w:sz="6" w:space="0" w:color="auto"/>
              <w:right w:val="single" w:sz="6" w:space="0" w:color="auto"/>
            </w:tcBorders>
          </w:tcPr>
          <w:p w14:paraId="159B742D" w14:textId="77777777" w:rsidR="00CA23D0" w:rsidRPr="00E30642" w:rsidRDefault="00CA23D0" w:rsidP="00CA23D0">
            <w:pPr>
              <w:pStyle w:val="Texttabulky"/>
              <w:spacing w:line="240" w:lineRule="atLeast"/>
              <w:jc w:val="both"/>
              <w:rPr>
                <w:rFonts w:cs="Arial"/>
              </w:rPr>
            </w:pPr>
            <w:r w:rsidRPr="00E30642">
              <w:rPr>
                <w:rFonts w:cs="Arial"/>
              </w:rPr>
              <w:t>1 850</w:t>
            </w:r>
          </w:p>
        </w:tc>
        <w:tc>
          <w:tcPr>
            <w:tcW w:w="1418" w:type="dxa"/>
            <w:tcBorders>
              <w:top w:val="single" w:sz="6" w:space="0" w:color="auto"/>
              <w:left w:val="single" w:sz="6" w:space="0" w:color="auto"/>
              <w:bottom w:val="single" w:sz="6" w:space="0" w:color="auto"/>
              <w:right w:val="single" w:sz="6" w:space="0" w:color="auto"/>
            </w:tcBorders>
          </w:tcPr>
          <w:p w14:paraId="07C48CB0" w14:textId="77777777" w:rsidR="00CA23D0" w:rsidRPr="00E30642" w:rsidRDefault="00CA23D0" w:rsidP="00CA23D0">
            <w:pPr>
              <w:pStyle w:val="Texttabulky"/>
              <w:spacing w:line="240" w:lineRule="atLeast"/>
              <w:jc w:val="both"/>
              <w:rPr>
                <w:rFonts w:cs="Arial"/>
              </w:rPr>
            </w:pPr>
            <w:r w:rsidRPr="00E30642">
              <w:rPr>
                <w:rFonts w:cs="Arial"/>
              </w:rPr>
              <w:t>2 000</w:t>
            </w:r>
          </w:p>
        </w:tc>
      </w:tr>
      <w:tr w:rsidR="00CA23D0" w:rsidRPr="00E30642" w14:paraId="436E3187" w14:textId="77777777" w:rsidTr="00CA23D0">
        <w:tc>
          <w:tcPr>
            <w:tcW w:w="1985" w:type="dxa"/>
            <w:tcBorders>
              <w:top w:val="single" w:sz="6" w:space="0" w:color="auto"/>
              <w:left w:val="single" w:sz="6" w:space="0" w:color="auto"/>
              <w:bottom w:val="single" w:sz="6" w:space="0" w:color="auto"/>
              <w:right w:val="single" w:sz="6" w:space="0" w:color="auto"/>
            </w:tcBorders>
          </w:tcPr>
          <w:p w14:paraId="6BA97FE1" w14:textId="77777777" w:rsidR="00CA23D0" w:rsidRPr="00E30642" w:rsidRDefault="00CA23D0" w:rsidP="00CA23D0">
            <w:pPr>
              <w:pStyle w:val="Texttabulky"/>
              <w:spacing w:line="240" w:lineRule="atLeast"/>
              <w:ind w:firstLine="157"/>
              <w:jc w:val="both"/>
              <w:rPr>
                <w:rFonts w:cs="Arial"/>
              </w:rPr>
            </w:pPr>
            <w:r w:rsidRPr="00E30642">
              <w:rPr>
                <w:rFonts w:cs="Arial"/>
              </w:rPr>
              <w:t>Verneřice</w:t>
            </w:r>
          </w:p>
        </w:tc>
        <w:tc>
          <w:tcPr>
            <w:tcW w:w="1414" w:type="dxa"/>
            <w:tcBorders>
              <w:top w:val="single" w:sz="6" w:space="0" w:color="auto"/>
              <w:left w:val="single" w:sz="6" w:space="0" w:color="auto"/>
              <w:bottom w:val="single" w:sz="6" w:space="0" w:color="auto"/>
              <w:right w:val="single" w:sz="6" w:space="0" w:color="auto"/>
            </w:tcBorders>
          </w:tcPr>
          <w:p w14:paraId="609BC7FB" w14:textId="77777777" w:rsidR="00CA23D0" w:rsidRPr="00E30642" w:rsidRDefault="00CA23D0" w:rsidP="00CA23D0">
            <w:pPr>
              <w:pStyle w:val="Texttabulky"/>
              <w:spacing w:line="240" w:lineRule="atLeast"/>
              <w:jc w:val="both"/>
              <w:rPr>
                <w:rFonts w:cs="Arial"/>
              </w:rPr>
            </w:pPr>
            <w:r w:rsidRPr="00E30642">
              <w:rPr>
                <w:rFonts w:cs="Arial"/>
              </w:rPr>
              <w:t>3 141,43</w:t>
            </w:r>
          </w:p>
        </w:tc>
        <w:tc>
          <w:tcPr>
            <w:tcW w:w="1417" w:type="dxa"/>
            <w:tcBorders>
              <w:top w:val="single" w:sz="6" w:space="0" w:color="auto"/>
              <w:left w:val="single" w:sz="6" w:space="0" w:color="auto"/>
              <w:bottom w:val="single" w:sz="6" w:space="0" w:color="auto"/>
              <w:right w:val="single" w:sz="6" w:space="0" w:color="auto"/>
            </w:tcBorders>
          </w:tcPr>
          <w:p w14:paraId="5353E217" w14:textId="77777777" w:rsidR="00CA23D0" w:rsidRPr="00E30642" w:rsidRDefault="00CA23D0" w:rsidP="00CA23D0">
            <w:pPr>
              <w:pStyle w:val="Texttabulky"/>
              <w:spacing w:line="240" w:lineRule="atLeast"/>
              <w:jc w:val="both"/>
              <w:rPr>
                <w:rFonts w:cs="Arial"/>
              </w:rPr>
            </w:pPr>
            <w:r w:rsidRPr="00E30642">
              <w:rPr>
                <w:rFonts w:cs="Arial"/>
              </w:rPr>
              <w:t>1 074</w:t>
            </w:r>
          </w:p>
        </w:tc>
        <w:tc>
          <w:tcPr>
            <w:tcW w:w="1418" w:type="dxa"/>
            <w:tcBorders>
              <w:top w:val="single" w:sz="6" w:space="0" w:color="auto"/>
              <w:left w:val="single" w:sz="6" w:space="0" w:color="auto"/>
              <w:bottom w:val="single" w:sz="6" w:space="0" w:color="auto"/>
              <w:right w:val="single" w:sz="6" w:space="0" w:color="auto"/>
            </w:tcBorders>
          </w:tcPr>
          <w:p w14:paraId="54157A80" w14:textId="77777777" w:rsidR="00CA23D0" w:rsidRPr="00E30642" w:rsidRDefault="00CA23D0" w:rsidP="00CA23D0">
            <w:pPr>
              <w:pStyle w:val="Texttabulky"/>
              <w:spacing w:line="240" w:lineRule="atLeast"/>
              <w:jc w:val="both"/>
              <w:rPr>
                <w:rFonts w:cs="Arial"/>
              </w:rPr>
            </w:pPr>
            <w:r w:rsidRPr="00E30642">
              <w:rPr>
                <w:rFonts w:cs="Arial"/>
              </w:rPr>
              <w:t>1 080</w:t>
            </w:r>
          </w:p>
        </w:tc>
        <w:tc>
          <w:tcPr>
            <w:tcW w:w="1417" w:type="dxa"/>
            <w:tcBorders>
              <w:top w:val="single" w:sz="6" w:space="0" w:color="auto"/>
              <w:left w:val="single" w:sz="6" w:space="0" w:color="auto"/>
              <w:bottom w:val="single" w:sz="6" w:space="0" w:color="auto"/>
              <w:right w:val="single" w:sz="6" w:space="0" w:color="auto"/>
            </w:tcBorders>
          </w:tcPr>
          <w:p w14:paraId="57095ACA" w14:textId="77777777" w:rsidR="00CA23D0" w:rsidRPr="00E30642" w:rsidRDefault="00CA23D0" w:rsidP="00CA23D0">
            <w:pPr>
              <w:pStyle w:val="Texttabulky"/>
              <w:spacing w:line="240" w:lineRule="atLeast"/>
              <w:jc w:val="both"/>
              <w:rPr>
                <w:rFonts w:cs="Arial"/>
              </w:rPr>
            </w:pPr>
            <w:r w:rsidRPr="00E30642">
              <w:rPr>
                <w:rFonts w:cs="Arial"/>
              </w:rPr>
              <w:t>1 100</w:t>
            </w:r>
          </w:p>
        </w:tc>
        <w:tc>
          <w:tcPr>
            <w:tcW w:w="1418" w:type="dxa"/>
            <w:tcBorders>
              <w:top w:val="single" w:sz="6" w:space="0" w:color="auto"/>
              <w:left w:val="single" w:sz="6" w:space="0" w:color="auto"/>
              <w:bottom w:val="single" w:sz="6" w:space="0" w:color="auto"/>
              <w:right w:val="single" w:sz="6" w:space="0" w:color="auto"/>
            </w:tcBorders>
          </w:tcPr>
          <w:p w14:paraId="1CECCC81" w14:textId="77777777" w:rsidR="00CA23D0" w:rsidRPr="00E30642" w:rsidRDefault="00CA23D0" w:rsidP="00CA23D0">
            <w:pPr>
              <w:pStyle w:val="Texttabulky"/>
              <w:spacing w:line="240" w:lineRule="atLeast"/>
              <w:jc w:val="both"/>
              <w:rPr>
                <w:rFonts w:cs="Arial"/>
              </w:rPr>
            </w:pPr>
            <w:r w:rsidRPr="00E30642">
              <w:rPr>
                <w:rFonts w:cs="Arial"/>
              </w:rPr>
              <w:t>1 000</w:t>
            </w:r>
          </w:p>
        </w:tc>
      </w:tr>
      <w:tr w:rsidR="00CA23D0" w:rsidRPr="00E30642" w14:paraId="1B1A9B40" w14:textId="77777777" w:rsidTr="00CA23D0">
        <w:tc>
          <w:tcPr>
            <w:tcW w:w="1985" w:type="dxa"/>
            <w:tcBorders>
              <w:top w:val="single" w:sz="6" w:space="0" w:color="auto"/>
              <w:left w:val="single" w:sz="6" w:space="0" w:color="auto"/>
              <w:bottom w:val="single" w:sz="6" w:space="0" w:color="auto"/>
              <w:right w:val="single" w:sz="6" w:space="0" w:color="auto"/>
            </w:tcBorders>
          </w:tcPr>
          <w:p w14:paraId="756ED883" w14:textId="77777777" w:rsidR="00CA23D0" w:rsidRPr="00E30642" w:rsidRDefault="00CA23D0" w:rsidP="00CA23D0">
            <w:pPr>
              <w:pStyle w:val="Texttabulky"/>
              <w:spacing w:line="240" w:lineRule="atLeast"/>
              <w:ind w:firstLine="157"/>
              <w:jc w:val="both"/>
              <w:rPr>
                <w:rFonts w:cs="Arial"/>
              </w:rPr>
            </w:pPr>
            <w:r w:rsidRPr="00E30642">
              <w:rPr>
                <w:rFonts w:cs="Arial"/>
              </w:rPr>
              <w:t>Veselé</w:t>
            </w:r>
          </w:p>
        </w:tc>
        <w:tc>
          <w:tcPr>
            <w:tcW w:w="1414" w:type="dxa"/>
            <w:tcBorders>
              <w:top w:val="single" w:sz="6" w:space="0" w:color="auto"/>
              <w:left w:val="single" w:sz="6" w:space="0" w:color="auto"/>
              <w:bottom w:val="single" w:sz="6" w:space="0" w:color="auto"/>
              <w:right w:val="single" w:sz="6" w:space="0" w:color="auto"/>
            </w:tcBorders>
          </w:tcPr>
          <w:p w14:paraId="38751CF1" w14:textId="77777777" w:rsidR="00CA23D0" w:rsidRPr="00E30642" w:rsidRDefault="00CA23D0" w:rsidP="00CA23D0">
            <w:pPr>
              <w:pStyle w:val="Texttabulky"/>
              <w:spacing w:line="240" w:lineRule="atLeast"/>
              <w:jc w:val="both"/>
              <w:rPr>
                <w:rFonts w:cs="Arial"/>
              </w:rPr>
            </w:pPr>
            <w:r w:rsidRPr="00E30642">
              <w:rPr>
                <w:rFonts w:cs="Arial"/>
              </w:rPr>
              <w:t>738,48</w:t>
            </w:r>
          </w:p>
        </w:tc>
        <w:tc>
          <w:tcPr>
            <w:tcW w:w="1417" w:type="dxa"/>
            <w:tcBorders>
              <w:top w:val="single" w:sz="6" w:space="0" w:color="auto"/>
              <w:left w:val="single" w:sz="6" w:space="0" w:color="auto"/>
              <w:bottom w:val="single" w:sz="6" w:space="0" w:color="auto"/>
              <w:right w:val="single" w:sz="6" w:space="0" w:color="auto"/>
            </w:tcBorders>
          </w:tcPr>
          <w:p w14:paraId="7FE40D0F" w14:textId="77777777" w:rsidR="00CA23D0" w:rsidRPr="00E30642" w:rsidRDefault="00CA23D0" w:rsidP="00CA23D0">
            <w:pPr>
              <w:pStyle w:val="Texttabulky"/>
              <w:spacing w:line="240" w:lineRule="atLeast"/>
              <w:jc w:val="both"/>
              <w:rPr>
                <w:rFonts w:cs="Arial"/>
              </w:rPr>
            </w:pPr>
            <w:r w:rsidRPr="00E30642">
              <w:rPr>
                <w:rFonts w:cs="Arial"/>
              </w:rPr>
              <w:t>229</w:t>
            </w:r>
          </w:p>
        </w:tc>
        <w:tc>
          <w:tcPr>
            <w:tcW w:w="1418" w:type="dxa"/>
            <w:tcBorders>
              <w:top w:val="single" w:sz="6" w:space="0" w:color="auto"/>
              <w:left w:val="single" w:sz="6" w:space="0" w:color="auto"/>
              <w:bottom w:val="single" w:sz="6" w:space="0" w:color="auto"/>
              <w:right w:val="single" w:sz="6" w:space="0" w:color="auto"/>
            </w:tcBorders>
          </w:tcPr>
          <w:p w14:paraId="6AD5EB89" w14:textId="77777777" w:rsidR="00CA23D0" w:rsidRPr="00E30642" w:rsidRDefault="00CA23D0" w:rsidP="00CA23D0">
            <w:pPr>
              <w:pStyle w:val="Texttabulky"/>
              <w:spacing w:line="240" w:lineRule="atLeast"/>
              <w:jc w:val="both"/>
              <w:rPr>
                <w:rFonts w:cs="Arial"/>
              </w:rPr>
            </w:pPr>
            <w:r w:rsidRPr="00E30642">
              <w:rPr>
                <w:rFonts w:cs="Arial"/>
              </w:rPr>
              <w:t>257</w:t>
            </w:r>
          </w:p>
        </w:tc>
        <w:tc>
          <w:tcPr>
            <w:tcW w:w="1417" w:type="dxa"/>
            <w:tcBorders>
              <w:top w:val="single" w:sz="6" w:space="0" w:color="auto"/>
              <w:left w:val="single" w:sz="6" w:space="0" w:color="auto"/>
              <w:bottom w:val="single" w:sz="6" w:space="0" w:color="auto"/>
              <w:right w:val="single" w:sz="6" w:space="0" w:color="auto"/>
            </w:tcBorders>
          </w:tcPr>
          <w:p w14:paraId="2BB9E6F9" w14:textId="77777777" w:rsidR="00CA23D0" w:rsidRPr="00E30642" w:rsidRDefault="00CA23D0" w:rsidP="00CA23D0">
            <w:pPr>
              <w:pStyle w:val="Texttabulky"/>
              <w:spacing w:line="240" w:lineRule="atLeast"/>
              <w:jc w:val="both"/>
              <w:rPr>
                <w:rFonts w:cs="Arial"/>
              </w:rPr>
            </w:pPr>
            <w:r w:rsidRPr="00E30642">
              <w:rPr>
                <w:rFonts w:cs="Arial"/>
              </w:rPr>
              <w:t>250</w:t>
            </w:r>
          </w:p>
        </w:tc>
        <w:tc>
          <w:tcPr>
            <w:tcW w:w="1418" w:type="dxa"/>
            <w:tcBorders>
              <w:top w:val="single" w:sz="6" w:space="0" w:color="auto"/>
              <w:left w:val="single" w:sz="6" w:space="0" w:color="auto"/>
              <w:bottom w:val="single" w:sz="6" w:space="0" w:color="auto"/>
              <w:right w:val="single" w:sz="6" w:space="0" w:color="auto"/>
            </w:tcBorders>
          </w:tcPr>
          <w:p w14:paraId="15DEB035"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19D7DA0F" w14:textId="77777777" w:rsidTr="00CA23D0">
        <w:tc>
          <w:tcPr>
            <w:tcW w:w="1985" w:type="dxa"/>
            <w:tcBorders>
              <w:top w:val="single" w:sz="6" w:space="0" w:color="auto"/>
              <w:left w:val="single" w:sz="6" w:space="0" w:color="auto"/>
              <w:bottom w:val="single" w:sz="6" w:space="0" w:color="auto"/>
              <w:right w:val="single" w:sz="6" w:space="0" w:color="auto"/>
            </w:tcBorders>
          </w:tcPr>
          <w:p w14:paraId="66C2B05A" w14:textId="77777777" w:rsidR="00CA23D0" w:rsidRPr="00E30642" w:rsidRDefault="00CA23D0" w:rsidP="00CA23D0">
            <w:pPr>
              <w:pStyle w:val="Texttabulky"/>
              <w:spacing w:line="240" w:lineRule="atLeast"/>
              <w:ind w:firstLine="157"/>
              <w:jc w:val="both"/>
              <w:rPr>
                <w:rFonts w:cs="Arial"/>
              </w:rPr>
            </w:pPr>
            <w:r w:rsidRPr="00E30642">
              <w:rPr>
                <w:rFonts w:cs="Arial"/>
              </w:rPr>
              <w:t>Vilémov</w:t>
            </w:r>
          </w:p>
        </w:tc>
        <w:tc>
          <w:tcPr>
            <w:tcW w:w="1414" w:type="dxa"/>
            <w:tcBorders>
              <w:top w:val="single" w:sz="6" w:space="0" w:color="auto"/>
              <w:left w:val="single" w:sz="6" w:space="0" w:color="auto"/>
              <w:bottom w:val="single" w:sz="6" w:space="0" w:color="auto"/>
              <w:right w:val="single" w:sz="6" w:space="0" w:color="auto"/>
            </w:tcBorders>
          </w:tcPr>
          <w:p w14:paraId="55F45F2F" w14:textId="77777777" w:rsidR="00CA23D0" w:rsidRPr="00E30642" w:rsidRDefault="00CA23D0" w:rsidP="00CA23D0">
            <w:pPr>
              <w:pStyle w:val="Texttabulky"/>
              <w:spacing w:line="240" w:lineRule="atLeast"/>
              <w:jc w:val="both"/>
              <w:rPr>
                <w:rFonts w:cs="Arial"/>
              </w:rPr>
            </w:pPr>
            <w:r w:rsidRPr="00E30642">
              <w:rPr>
                <w:rFonts w:cs="Arial"/>
              </w:rPr>
              <w:t>406,86</w:t>
            </w:r>
          </w:p>
        </w:tc>
        <w:tc>
          <w:tcPr>
            <w:tcW w:w="1417" w:type="dxa"/>
            <w:tcBorders>
              <w:top w:val="single" w:sz="6" w:space="0" w:color="auto"/>
              <w:left w:val="single" w:sz="6" w:space="0" w:color="auto"/>
              <w:bottom w:val="single" w:sz="6" w:space="0" w:color="auto"/>
              <w:right w:val="single" w:sz="6" w:space="0" w:color="auto"/>
            </w:tcBorders>
          </w:tcPr>
          <w:p w14:paraId="1AF47CE5" w14:textId="77777777" w:rsidR="00CA23D0" w:rsidRPr="00E30642" w:rsidRDefault="00CA23D0" w:rsidP="00CA23D0">
            <w:pPr>
              <w:pStyle w:val="Texttabulky"/>
              <w:spacing w:line="240" w:lineRule="atLeast"/>
              <w:jc w:val="both"/>
              <w:rPr>
                <w:rFonts w:cs="Arial"/>
              </w:rPr>
            </w:pPr>
            <w:r w:rsidRPr="00E30642">
              <w:rPr>
                <w:rFonts w:cs="Arial"/>
              </w:rPr>
              <w:t>1 011</w:t>
            </w:r>
          </w:p>
        </w:tc>
        <w:tc>
          <w:tcPr>
            <w:tcW w:w="1418" w:type="dxa"/>
            <w:tcBorders>
              <w:top w:val="single" w:sz="6" w:space="0" w:color="auto"/>
              <w:left w:val="single" w:sz="6" w:space="0" w:color="auto"/>
              <w:bottom w:val="single" w:sz="6" w:space="0" w:color="auto"/>
              <w:right w:val="single" w:sz="6" w:space="0" w:color="auto"/>
            </w:tcBorders>
          </w:tcPr>
          <w:p w14:paraId="30682978" w14:textId="77777777" w:rsidR="00CA23D0" w:rsidRPr="00E30642" w:rsidRDefault="00CA23D0" w:rsidP="00CA23D0">
            <w:pPr>
              <w:pStyle w:val="Texttabulky"/>
              <w:spacing w:line="240" w:lineRule="atLeast"/>
              <w:jc w:val="both"/>
              <w:rPr>
                <w:rFonts w:cs="Arial"/>
              </w:rPr>
            </w:pPr>
            <w:r w:rsidRPr="00E30642">
              <w:rPr>
                <w:rFonts w:cs="Arial"/>
              </w:rPr>
              <w:t>1 055</w:t>
            </w:r>
          </w:p>
        </w:tc>
        <w:tc>
          <w:tcPr>
            <w:tcW w:w="1417" w:type="dxa"/>
            <w:tcBorders>
              <w:top w:val="single" w:sz="6" w:space="0" w:color="auto"/>
              <w:left w:val="single" w:sz="6" w:space="0" w:color="auto"/>
              <w:bottom w:val="single" w:sz="6" w:space="0" w:color="auto"/>
              <w:right w:val="single" w:sz="6" w:space="0" w:color="auto"/>
            </w:tcBorders>
          </w:tcPr>
          <w:p w14:paraId="270BB6FD" w14:textId="77777777" w:rsidR="00CA23D0" w:rsidRPr="00E30642" w:rsidRDefault="00CA23D0" w:rsidP="00CA23D0">
            <w:pPr>
              <w:pStyle w:val="Texttabulky"/>
              <w:spacing w:line="240" w:lineRule="atLeast"/>
              <w:jc w:val="both"/>
              <w:rPr>
                <w:rFonts w:cs="Arial"/>
              </w:rPr>
            </w:pPr>
            <w:r w:rsidRPr="00E30642">
              <w:rPr>
                <w:rFonts w:cs="Arial"/>
              </w:rPr>
              <w:t>1 100</w:t>
            </w:r>
          </w:p>
        </w:tc>
        <w:tc>
          <w:tcPr>
            <w:tcW w:w="1418" w:type="dxa"/>
            <w:tcBorders>
              <w:top w:val="single" w:sz="6" w:space="0" w:color="auto"/>
              <w:left w:val="single" w:sz="6" w:space="0" w:color="auto"/>
              <w:bottom w:val="single" w:sz="6" w:space="0" w:color="auto"/>
              <w:right w:val="single" w:sz="6" w:space="0" w:color="auto"/>
            </w:tcBorders>
          </w:tcPr>
          <w:p w14:paraId="0777CBF3" w14:textId="77777777" w:rsidR="00CA23D0" w:rsidRPr="00E30642" w:rsidRDefault="00CA23D0" w:rsidP="00CA23D0">
            <w:pPr>
              <w:pStyle w:val="Texttabulky"/>
              <w:spacing w:line="240" w:lineRule="atLeast"/>
              <w:jc w:val="both"/>
              <w:rPr>
                <w:rFonts w:cs="Arial"/>
              </w:rPr>
            </w:pPr>
            <w:r w:rsidRPr="00E30642">
              <w:rPr>
                <w:rFonts w:cs="Arial"/>
              </w:rPr>
              <w:t>1 100</w:t>
            </w:r>
          </w:p>
        </w:tc>
      </w:tr>
      <w:tr w:rsidR="00CA23D0" w:rsidRPr="00E30642" w14:paraId="51108701" w14:textId="77777777" w:rsidTr="00CA23D0">
        <w:tc>
          <w:tcPr>
            <w:tcW w:w="1985" w:type="dxa"/>
            <w:tcBorders>
              <w:top w:val="single" w:sz="6" w:space="0" w:color="auto"/>
              <w:left w:val="single" w:sz="6" w:space="0" w:color="auto"/>
              <w:bottom w:val="single" w:sz="6" w:space="0" w:color="auto"/>
              <w:right w:val="single" w:sz="6" w:space="0" w:color="auto"/>
            </w:tcBorders>
          </w:tcPr>
          <w:p w14:paraId="08D52E72" w14:textId="77777777" w:rsidR="00CA23D0" w:rsidRPr="00E30642" w:rsidRDefault="00CA23D0" w:rsidP="00CA23D0">
            <w:pPr>
              <w:pStyle w:val="Texttabulky"/>
              <w:spacing w:line="240" w:lineRule="atLeast"/>
              <w:jc w:val="both"/>
              <w:rPr>
                <w:rFonts w:cs="Arial"/>
              </w:rPr>
            </w:pPr>
            <w:r w:rsidRPr="00E30642">
              <w:rPr>
                <w:rFonts w:cs="Arial"/>
                <w:b/>
                <w:bCs/>
              </w:rPr>
              <w:t>OKRES CELKEM</w:t>
            </w:r>
          </w:p>
        </w:tc>
        <w:tc>
          <w:tcPr>
            <w:tcW w:w="1414" w:type="dxa"/>
            <w:tcBorders>
              <w:top w:val="single" w:sz="6" w:space="0" w:color="auto"/>
              <w:left w:val="single" w:sz="6" w:space="0" w:color="auto"/>
              <w:bottom w:val="single" w:sz="6" w:space="0" w:color="auto"/>
              <w:right w:val="single" w:sz="6" w:space="0" w:color="auto"/>
            </w:tcBorders>
          </w:tcPr>
          <w:p w14:paraId="75637958" w14:textId="77777777" w:rsidR="00CA23D0" w:rsidRPr="00E30642" w:rsidRDefault="00CA23D0" w:rsidP="00CA23D0">
            <w:pPr>
              <w:pStyle w:val="Texttabulky"/>
              <w:spacing w:line="240" w:lineRule="atLeast"/>
              <w:jc w:val="both"/>
              <w:rPr>
                <w:rFonts w:cs="Arial"/>
              </w:rPr>
            </w:pPr>
            <w:r w:rsidRPr="00E30642">
              <w:rPr>
                <w:rFonts w:cs="Arial"/>
                <w:b/>
                <w:bCs/>
              </w:rPr>
              <w:t>90 916,82</w:t>
            </w:r>
          </w:p>
        </w:tc>
        <w:tc>
          <w:tcPr>
            <w:tcW w:w="1417" w:type="dxa"/>
            <w:tcBorders>
              <w:top w:val="single" w:sz="6" w:space="0" w:color="auto"/>
              <w:left w:val="single" w:sz="6" w:space="0" w:color="auto"/>
              <w:bottom w:val="single" w:sz="6" w:space="0" w:color="auto"/>
              <w:right w:val="single" w:sz="6" w:space="0" w:color="auto"/>
            </w:tcBorders>
          </w:tcPr>
          <w:p w14:paraId="04330C13" w14:textId="77777777" w:rsidR="00CA23D0" w:rsidRPr="00E30642" w:rsidRDefault="00CA23D0" w:rsidP="00CA23D0">
            <w:pPr>
              <w:pStyle w:val="Texttabulky"/>
              <w:spacing w:line="240" w:lineRule="atLeast"/>
              <w:jc w:val="both"/>
              <w:rPr>
                <w:rFonts w:cs="Arial"/>
              </w:rPr>
            </w:pPr>
            <w:r w:rsidRPr="00E30642">
              <w:rPr>
                <w:rFonts w:cs="Arial"/>
                <w:b/>
                <w:bCs/>
              </w:rPr>
              <w:t>133 448</w:t>
            </w:r>
          </w:p>
        </w:tc>
        <w:tc>
          <w:tcPr>
            <w:tcW w:w="1418" w:type="dxa"/>
            <w:tcBorders>
              <w:top w:val="single" w:sz="6" w:space="0" w:color="auto"/>
              <w:left w:val="single" w:sz="6" w:space="0" w:color="auto"/>
              <w:bottom w:val="single" w:sz="6" w:space="0" w:color="auto"/>
              <w:right w:val="single" w:sz="6" w:space="0" w:color="auto"/>
            </w:tcBorders>
          </w:tcPr>
          <w:p w14:paraId="3562E5FB" w14:textId="77777777" w:rsidR="00CA23D0" w:rsidRPr="00E30642" w:rsidRDefault="00CA23D0" w:rsidP="00CA23D0">
            <w:pPr>
              <w:pStyle w:val="Texttabulky"/>
              <w:spacing w:line="240" w:lineRule="atLeast"/>
              <w:jc w:val="both"/>
              <w:rPr>
                <w:rFonts w:cs="Arial"/>
              </w:rPr>
            </w:pPr>
            <w:r w:rsidRPr="00E30642">
              <w:rPr>
                <w:rFonts w:cs="Arial"/>
                <w:b/>
                <w:bCs/>
              </w:rPr>
              <w:t>133 800</w:t>
            </w:r>
          </w:p>
        </w:tc>
        <w:tc>
          <w:tcPr>
            <w:tcW w:w="1417" w:type="dxa"/>
            <w:tcBorders>
              <w:top w:val="single" w:sz="6" w:space="0" w:color="auto"/>
              <w:left w:val="single" w:sz="6" w:space="0" w:color="auto"/>
              <w:bottom w:val="single" w:sz="6" w:space="0" w:color="auto"/>
              <w:right w:val="single" w:sz="6" w:space="0" w:color="auto"/>
            </w:tcBorders>
          </w:tcPr>
          <w:p w14:paraId="2E1DA70D" w14:textId="77777777" w:rsidR="00CA23D0" w:rsidRPr="00E30642" w:rsidRDefault="00CA23D0" w:rsidP="00CA23D0">
            <w:pPr>
              <w:pStyle w:val="Texttabulky"/>
              <w:spacing w:line="240" w:lineRule="atLeast"/>
              <w:jc w:val="both"/>
              <w:rPr>
                <w:rFonts w:cs="Arial"/>
              </w:rPr>
            </w:pPr>
            <w:r w:rsidRPr="00E30642">
              <w:rPr>
                <w:rFonts w:cs="Arial"/>
                <w:b/>
                <w:bCs/>
              </w:rPr>
              <w:t>135 770</w:t>
            </w:r>
          </w:p>
        </w:tc>
        <w:tc>
          <w:tcPr>
            <w:tcW w:w="1418" w:type="dxa"/>
            <w:tcBorders>
              <w:top w:val="single" w:sz="6" w:space="0" w:color="auto"/>
              <w:left w:val="single" w:sz="6" w:space="0" w:color="auto"/>
              <w:bottom w:val="single" w:sz="6" w:space="0" w:color="auto"/>
              <w:right w:val="single" w:sz="6" w:space="0" w:color="auto"/>
            </w:tcBorders>
          </w:tcPr>
          <w:p w14:paraId="429E6188" w14:textId="77777777" w:rsidR="00CA23D0" w:rsidRPr="00E30642" w:rsidRDefault="00CA23D0" w:rsidP="00CA23D0">
            <w:pPr>
              <w:pStyle w:val="Texttabulky"/>
              <w:spacing w:line="240" w:lineRule="atLeast"/>
              <w:jc w:val="both"/>
              <w:rPr>
                <w:rFonts w:cs="Arial"/>
              </w:rPr>
            </w:pPr>
            <w:r w:rsidRPr="00E30642">
              <w:rPr>
                <w:rFonts w:cs="Arial"/>
                <w:b/>
                <w:bCs/>
              </w:rPr>
              <w:t>133 200</w:t>
            </w:r>
          </w:p>
        </w:tc>
      </w:tr>
    </w:tbl>
    <w:p w14:paraId="02182116" w14:textId="77777777" w:rsidR="00CA23D0" w:rsidRPr="00E30642" w:rsidRDefault="00CA23D0" w:rsidP="00CA23D0">
      <w:pPr>
        <w:autoSpaceDE w:val="0"/>
        <w:autoSpaceDN w:val="0"/>
        <w:adjustRightInd w:val="0"/>
        <w:jc w:val="both"/>
        <w:rPr>
          <w:rFonts w:ascii="Arial" w:hAnsi="Arial" w:cs="Arial"/>
          <w:sz w:val="20"/>
        </w:rPr>
      </w:pPr>
    </w:p>
    <w:p w14:paraId="72B9F5CC" w14:textId="77777777" w:rsidR="00CA23D0" w:rsidRPr="00E30642" w:rsidRDefault="00CA23D0" w:rsidP="00CA23D0">
      <w:pPr>
        <w:pStyle w:val="Zkladntext"/>
        <w:spacing w:line="240" w:lineRule="atLeast"/>
        <w:jc w:val="both"/>
        <w:rPr>
          <w:rFonts w:ascii="Arial" w:hAnsi="Arial" w:cs="Arial"/>
        </w:rPr>
      </w:pPr>
    </w:p>
    <w:p w14:paraId="631784C7" w14:textId="77777777" w:rsidR="00D3579D" w:rsidRDefault="00D3579D" w:rsidP="00CA23D0">
      <w:pPr>
        <w:pStyle w:val="Zkladntext"/>
        <w:spacing w:before="120" w:after="0" w:line="288" w:lineRule="auto"/>
        <w:ind w:firstLine="709"/>
        <w:jc w:val="both"/>
        <w:rPr>
          <w:rFonts w:ascii="Arial" w:hAnsi="Arial" w:cs="Arial"/>
          <w:sz w:val="22"/>
          <w:szCs w:val="22"/>
        </w:rPr>
      </w:pPr>
    </w:p>
    <w:p w14:paraId="184DA5D4" w14:textId="77777777" w:rsidR="00D3579D" w:rsidRDefault="00D3579D" w:rsidP="00CA23D0">
      <w:pPr>
        <w:pStyle w:val="Zkladntext"/>
        <w:spacing w:before="120" w:after="0" w:line="288" w:lineRule="auto"/>
        <w:ind w:firstLine="709"/>
        <w:jc w:val="both"/>
        <w:rPr>
          <w:rFonts w:ascii="Arial" w:hAnsi="Arial" w:cs="Arial"/>
          <w:sz w:val="22"/>
          <w:szCs w:val="22"/>
        </w:rPr>
      </w:pPr>
    </w:p>
    <w:p w14:paraId="75DF8031" w14:textId="77777777" w:rsidR="00D3579D" w:rsidRDefault="00D3579D" w:rsidP="00CA23D0">
      <w:pPr>
        <w:pStyle w:val="Zkladntext"/>
        <w:spacing w:before="120" w:after="0" w:line="288" w:lineRule="auto"/>
        <w:ind w:firstLine="709"/>
        <w:jc w:val="both"/>
        <w:rPr>
          <w:rFonts w:ascii="Arial" w:hAnsi="Arial" w:cs="Arial"/>
          <w:sz w:val="22"/>
          <w:szCs w:val="22"/>
        </w:rPr>
      </w:pPr>
    </w:p>
    <w:p w14:paraId="1A45D143" w14:textId="77777777" w:rsidR="00D3579D" w:rsidRDefault="00D3579D" w:rsidP="00CA23D0">
      <w:pPr>
        <w:pStyle w:val="Zkladntext"/>
        <w:spacing w:before="120" w:after="0" w:line="288" w:lineRule="auto"/>
        <w:ind w:firstLine="709"/>
        <w:jc w:val="both"/>
        <w:rPr>
          <w:rFonts w:ascii="Arial" w:hAnsi="Arial" w:cs="Arial"/>
          <w:sz w:val="22"/>
          <w:szCs w:val="22"/>
        </w:rPr>
      </w:pPr>
    </w:p>
    <w:p w14:paraId="0379BBC1" w14:textId="77777777" w:rsidR="00D3579D" w:rsidRDefault="00D3579D" w:rsidP="00CA23D0">
      <w:pPr>
        <w:pStyle w:val="Zkladntext"/>
        <w:spacing w:before="120" w:after="0" w:line="288" w:lineRule="auto"/>
        <w:ind w:firstLine="709"/>
        <w:jc w:val="both"/>
        <w:rPr>
          <w:rFonts w:ascii="Arial" w:hAnsi="Arial" w:cs="Arial"/>
          <w:sz w:val="22"/>
          <w:szCs w:val="22"/>
        </w:rPr>
      </w:pPr>
    </w:p>
    <w:p w14:paraId="7024885E"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Pro návrhové období bude mít vliv na růst počtu obyvatel města rozvoj obytného území. Přes velkou rozlohu má pro tento rozvoj Děčín omezené podmínky. Současnost také ukončila řešení problematiky výstavby nových bytů formou tzv. komplexní bytové výstavby, kdy se řešila pouze otázka kvantity a to navíc nikoli podle místních potřeb, nýbrž na základě centrálního rozhodnutí. Pro návrhové období není již uvažováno v rámci řešení rozvoje obytného území s  realizacemi rozsáhlých obytných souborů typu kdysi zamýšlených sídlišť v Krásném Studenci či Folknářích. Rozvoj obytných ploch bude mít v návrhovém období odlišný charakter, jehož hlavním znakem bude důraz na řešení kvality bydlení. Obytné území - jeho rozvoj - bude probíhat dvěma hlavními směry.</w:t>
      </w:r>
    </w:p>
    <w:p w14:paraId="4490734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První bude realizace nových bytů v rodinných domech v předem vytypovaných lokalitách. Zde bude tempo výstavby plně závislé na možnostech soukromých investorů, pro které bude připravena příslušná plocha. Tuto formu řešení otázky bydlení lze očekávat zejména u osob produktivního věku s  dobrým ekonomickým zázemím.</w:t>
      </w:r>
    </w:p>
    <w:p w14:paraId="74A2A794"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Druhým směrem rozvoje obytného území bude realizace bytů pro okrajové kategorie populace města, čímž jsou míněny věkově mladé osoby usilující o svůj první byt (v přiměřené cenové hladině), dále začínající mladá manželství na jedné straně a skupina osob důchodového věku, kterým jejich dosavadní způsob bydlení již z  mnoha důvodů nevyhovuje. Pro tuto část populace bude vyhovující realizace bytů s  menší užitkovou plochou, což by se mělo projevit i přijatelnou cenou za jejich užívání. Na této formě řešení či realizace nových bytů lze očekávat ekonomickou spoluúčast státu nebo města</w:t>
      </w:r>
    </w:p>
    <w:p w14:paraId="1F03DB9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Značné rezervy pro rozvoj bydlení lze dále vidět v bytovém fondu stávajícím, jehož momentálně velký úbytek (bude plně kvantifikovatelný až sčítání lidu domů a bytů v roce 2001) není dán jeho fyzickou likvidací, nýbrž jinou formou využití. Toto využívání k  nebytovým účelům je z  velké části záležitostí vynucenou okolnostmi, kdy výnosy z  pronájmu kryjí novým majitelům domů provozní náklady a také dávají možnost vložit takto získané prostředky do rekonstrukcí v převážné míře dříve málo udržovaných či spíše zanedbávaných domů resp. bytů.</w:t>
      </w:r>
    </w:p>
    <w:p w14:paraId="720C0F6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p>
    <w:p w14:paraId="53B73982" w14:textId="77777777" w:rsidR="00CA23D0" w:rsidRPr="00E30642" w:rsidRDefault="00CA23D0" w:rsidP="00CA23D0">
      <w:pPr>
        <w:pStyle w:val="podnadpis2"/>
        <w:spacing w:line="240" w:lineRule="atLeast"/>
        <w:jc w:val="both"/>
        <w:rPr>
          <w:rFonts w:cs="Arial"/>
        </w:rPr>
      </w:pPr>
      <w:r w:rsidRPr="00E30642">
        <w:rPr>
          <w:rFonts w:cs="Arial"/>
        </w:rPr>
        <w:t>Výhledový počet obyvatel a jeho rozložení ve městě</w:t>
      </w:r>
    </w:p>
    <w:p w14:paraId="37260379" w14:textId="77777777" w:rsidR="00CA23D0"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Průmět záměrů rozvoje obytných ploch na území města dovádí k  závěru, že na konci návrhového období se počet bydlících osob mohl pohybovat v rozmezí 55 - 58tis. Zde je třeba opět velmi intenzivně zdůraznit, že těchto hodnot lze dosáhnout za předpokladu plné realizace všech záměrů v obytném území. Vyšší uvedená hodnota v sobě zahrnuje plnou realizaci všech podle návrhu uvažovaných rezervních ploch.</w:t>
      </w:r>
    </w:p>
    <w:p w14:paraId="48600B3A" w14:textId="77777777" w:rsidR="00D3579D" w:rsidRDefault="00D3579D" w:rsidP="00CA23D0">
      <w:pPr>
        <w:pStyle w:val="Zkladntext"/>
        <w:spacing w:before="120" w:after="0" w:line="288" w:lineRule="auto"/>
        <w:ind w:firstLine="709"/>
        <w:jc w:val="both"/>
        <w:rPr>
          <w:rFonts w:ascii="Arial" w:hAnsi="Arial" w:cs="Arial"/>
          <w:sz w:val="22"/>
          <w:szCs w:val="22"/>
        </w:rPr>
      </w:pPr>
    </w:p>
    <w:p w14:paraId="279B9AD8" w14:textId="77777777" w:rsidR="00D3579D" w:rsidRPr="00E30642" w:rsidRDefault="00D3579D" w:rsidP="00CA23D0">
      <w:pPr>
        <w:pStyle w:val="Zkladntext"/>
        <w:spacing w:before="120" w:after="0" w:line="288" w:lineRule="auto"/>
        <w:ind w:firstLine="709"/>
        <w:jc w:val="both"/>
        <w:rPr>
          <w:rFonts w:ascii="Arial" w:hAnsi="Arial" w:cs="Arial"/>
          <w:sz w:val="22"/>
          <w:szCs w:val="22"/>
        </w:rPr>
      </w:pPr>
    </w:p>
    <w:p w14:paraId="17902417" w14:textId="77777777" w:rsidR="00CA23D0" w:rsidRPr="00E30642" w:rsidRDefault="00CA23D0" w:rsidP="00CA23D0">
      <w:pPr>
        <w:pStyle w:val="Zkladntext"/>
        <w:spacing w:line="240" w:lineRule="atLeast"/>
        <w:jc w:val="both"/>
        <w:rPr>
          <w:rFonts w:ascii="Arial" w:hAnsi="Arial" w:cs="Arial"/>
        </w:rPr>
      </w:pPr>
    </w:p>
    <w:p w14:paraId="0FC5551C" w14:textId="77777777" w:rsidR="00CA23D0" w:rsidRPr="00E30642" w:rsidRDefault="00CA23D0" w:rsidP="00CA23D0">
      <w:pPr>
        <w:pStyle w:val="Zkladntext"/>
        <w:keepNext/>
        <w:spacing w:line="240" w:lineRule="atLeast"/>
        <w:jc w:val="both"/>
        <w:rPr>
          <w:rFonts w:ascii="Arial" w:hAnsi="Arial" w:cs="Arial"/>
        </w:rPr>
      </w:pPr>
      <w:r w:rsidRPr="00E30642">
        <w:rPr>
          <w:rFonts w:ascii="Arial" w:hAnsi="Arial" w:cs="Arial"/>
          <w:b/>
          <w:bCs/>
          <w:caps/>
        </w:rPr>
        <w:lastRenderedPageBreak/>
        <w:t>Modelové rozložení obyvatelstva ovlivněné předpokladem rozvoje obytného území v návrhovém období i do dalšího výhledu</w:t>
      </w:r>
    </w:p>
    <w:tbl>
      <w:tblPr>
        <w:tblW w:w="0" w:type="auto"/>
        <w:tblInd w:w="8" w:type="dxa"/>
        <w:tblLayout w:type="fixed"/>
        <w:tblCellMar>
          <w:left w:w="5" w:type="dxa"/>
          <w:right w:w="5" w:type="dxa"/>
        </w:tblCellMar>
        <w:tblLook w:val="0000" w:firstRow="0" w:lastRow="0" w:firstColumn="0" w:lastColumn="0" w:noHBand="0" w:noVBand="0"/>
      </w:tblPr>
      <w:tblGrid>
        <w:gridCol w:w="1985"/>
        <w:gridCol w:w="1104"/>
        <w:gridCol w:w="1417"/>
        <w:gridCol w:w="1418"/>
        <w:gridCol w:w="1417"/>
        <w:gridCol w:w="1418"/>
      </w:tblGrid>
      <w:tr w:rsidR="00CA23D0" w:rsidRPr="00E30642" w14:paraId="43C086E3" w14:textId="77777777" w:rsidTr="00CA23D0">
        <w:tc>
          <w:tcPr>
            <w:tcW w:w="1985" w:type="dxa"/>
            <w:tcBorders>
              <w:top w:val="single" w:sz="6" w:space="0" w:color="auto"/>
              <w:left w:val="single" w:sz="6" w:space="0" w:color="auto"/>
              <w:bottom w:val="single" w:sz="6" w:space="0" w:color="auto"/>
              <w:right w:val="single" w:sz="6" w:space="0" w:color="auto"/>
            </w:tcBorders>
          </w:tcPr>
          <w:p w14:paraId="205EC2FA" w14:textId="77777777" w:rsidR="00CA23D0" w:rsidRPr="00E30642" w:rsidRDefault="00CA23D0" w:rsidP="00CA23D0">
            <w:pPr>
              <w:pStyle w:val="Texttabulky"/>
              <w:keepNext/>
              <w:spacing w:line="240" w:lineRule="atLeast"/>
              <w:jc w:val="both"/>
              <w:rPr>
                <w:rFonts w:cs="Arial"/>
              </w:rPr>
            </w:pPr>
            <w:r w:rsidRPr="00E30642">
              <w:rPr>
                <w:rFonts w:cs="Arial"/>
              </w:rPr>
              <w:t>Obec</w:t>
            </w:r>
          </w:p>
        </w:tc>
        <w:tc>
          <w:tcPr>
            <w:tcW w:w="1104" w:type="dxa"/>
            <w:tcBorders>
              <w:top w:val="single" w:sz="6" w:space="0" w:color="auto"/>
              <w:left w:val="single" w:sz="6" w:space="0" w:color="auto"/>
              <w:bottom w:val="single" w:sz="6" w:space="0" w:color="auto"/>
              <w:right w:val="single" w:sz="6" w:space="0" w:color="auto"/>
            </w:tcBorders>
          </w:tcPr>
          <w:p w14:paraId="6E6AC650" w14:textId="77777777" w:rsidR="00CA23D0" w:rsidRPr="00E30642" w:rsidRDefault="00CA23D0" w:rsidP="00CA23D0">
            <w:pPr>
              <w:pStyle w:val="Texttabulky"/>
              <w:keepNext/>
              <w:spacing w:line="240" w:lineRule="atLeast"/>
              <w:jc w:val="both"/>
              <w:rPr>
                <w:rFonts w:cs="Arial"/>
              </w:rPr>
            </w:pPr>
            <w:r w:rsidRPr="00E30642">
              <w:rPr>
                <w:rFonts w:cs="Arial"/>
              </w:rPr>
              <w:t>výměra v ha</w:t>
            </w:r>
          </w:p>
        </w:tc>
        <w:tc>
          <w:tcPr>
            <w:tcW w:w="1417" w:type="dxa"/>
            <w:tcBorders>
              <w:top w:val="single" w:sz="6" w:space="0" w:color="auto"/>
              <w:left w:val="single" w:sz="6" w:space="0" w:color="auto"/>
              <w:bottom w:val="single" w:sz="6" w:space="0" w:color="auto"/>
              <w:right w:val="single" w:sz="6" w:space="0" w:color="auto"/>
            </w:tcBorders>
          </w:tcPr>
          <w:p w14:paraId="1146CE92" w14:textId="77777777" w:rsidR="00CA23D0" w:rsidRPr="00E30642" w:rsidRDefault="00CA23D0" w:rsidP="00CA23D0">
            <w:pPr>
              <w:pStyle w:val="Texttabulky"/>
              <w:keepNext/>
              <w:spacing w:line="240" w:lineRule="atLeast"/>
              <w:jc w:val="both"/>
              <w:rPr>
                <w:rFonts w:cs="Arial"/>
              </w:rPr>
            </w:pPr>
            <w:r w:rsidRPr="00E30642">
              <w:rPr>
                <w:rFonts w:cs="Arial"/>
              </w:rPr>
              <w:t>obyvatelstvo 1991</w:t>
            </w:r>
          </w:p>
        </w:tc>
        <w:tc>
          <w:tcPr>
            <w:tcW w:w="1418" w:type="dxa"/>
            <w:tcBorders>
              <w:top w:val="single" w:sz="6" w:space="0" w:color="auto"/>
              <w:left w:val="single" w:sz="6" w:space="0" w:color="auto"/>
              <w:bottom w:val="single" w:sz="6" w:space="0" w:color="auto"/>
              <w:right w:val="single" w:sz="6" w:space="0" w:color="auto"/>
            </w:tcBorders>
          </w:tcPr>
          <w:p w14:paraId="646F72E8" w14:textId="77777777" w:rsidR="00CA23D0" w:rsidRPr="00E30642" w:rsidRDefault="00CA23D0" w:rsidP="00CA23D0">
            <w:pPr>
              <w:pStyle w:val="Texttabulky"/>
              <w:keepNext/>
              <w:spacing w:line="240" w:lineRule="atLeast"/>
              <w:jc w:val="both"/>
              <w:rPr>
                <w:rFonts w:cs="Arial"/>
              </w:rPr>
            </w:pPr>
            <w:r w:rsidRPr="00E30642">
              <w:rPr>
                <w:rFonts w:cs="Arial"/>
              </w:rPr>
              <w:t>obyvatelstvo 1999</w:t>
            </w:r>
          </w:p>
        </w:tc>
        <w:tc>
          <w:tcPr>
            <w:tcW w:w="1417" w:type="dxa"/>
            <w:tcBorders>
              <w:top w:val="single" w:sz="6" w:space="0" w:color="auto"/>
              <w:left w:val="single" w:sz="6" w:space="0" w:color="auto"/>
              <w:bottom w:val="single" w:sz="6" w:space="0" w:color="auto"/>
              <w:right w:val="single" w:sz="6" w:space="0" w:color="auto"/>
            </w:tcBorders>
          </w:tcPr>
          <w:p w14:paraId="22980D25" w14:textId="77777777" w:rsidR="00CA23D0" w:rsidRPr="00E30642" w:rsidRDefault="00CA23D0" w:rsidP="00CA23D0">
            <w:pPr>
              <w:pStyle w:val="Texttabulky"/>
              <w:keepNext/>
              <w:spacing w:line="240" w:lineRule="atLeast"/>
              <w:jc w:val="both"/>
              <w:rPr>
                <w:rFonts w:cs="Arial"/>
              </w:rPr>
            </w:pPr>
            <w:r w:rsidRPr="00E30642">
              <w:rPr>
                <w:rFonts w:cs="Arial"/>
              </w:rPr>
              <w:t>obyvatelstvo 2010</w:t>
            </w:r>
          </w:p>
        </w:tc>
        <w:tc>
          <w:tcPr>
            <w:tcW w:w="1418" w:type="dxa"/>
            <w:tcBorders>
              <w:top w:val="single" w:sz="6" w:space="0" w:color="auto"/>
              <w:left w:val="single" w:sz="6" w:space="0" w:color="auto"/>
              <w:bottom w:val="single" w:sz="6" w:space="0" w:color="auto"/>
              <w:right w:val="single" w:sz="6" w:space="0" w:color="auto"/>
            </w:tcBorders>
          </w:tcPr>
          <w:p w14:paraId="3E3CF645" w14:textId="77777777" w:rsidR="00CA23D0" w:rsidRPr="00E30642" w:rsidRDefault="00CA23D0" w:rsidP="00CA23D0">
            <w:pPr>
              <w:pStyle w:val="Texttabulky"/>
              <w:keepNext/>
              <w:spacing w:line="240" w:lineRule="atLeast"/>
              <w:jc w:val="both"/>
              <w:rPr>
                <w:rFonts w:cs="Arial"/>
              </w:rPr>
            </w:pPr>
            <w:r w:rsidRPr="00E30642">
              <w:rPr>
                <w:rFonts w:cs="Arial"/>
              </w:rPr>
              <w:t>obyvatelstvo 2020</w:t>
            </w:r>
          </w:p>
        </w:tc>
      </w:tr>
      <w:tr w:rsidR="00CA23D0" w:rsidRPr="00E30642" w14:paraId="114837AB" w14:textId="77777777" w:rsidTr="00CA23D0">
        <w:tc>
          <w:tcPr>
            <w:tcW w:w="1985" w:type="dxa"/>
            <w:tcBorders>
              <w:top w:val="single" w:sz="6" w:space="0" w:color="auto"/>
              <w:left w:val="single" w:sz="6" w:space="0" w:color="auto"/>
              <w:bottom w:val="single" w:sz="6" w:space="0" w:color="auto"/>
              <w:right w:val="single" w:sz="6" w:space="0" w:color="auto"/>
            </w:tcBorders>
          </w:tcPr>
          <w:p w14:paraId="4C0399CA" w14:textId="77777777" w:rsidR="00CA23D0" w:rsidRPr="00E30642" w:rsidRDefault="00CA23D0" w:rsidP="00CA23D0">
            <w:pPr>
              <w:pStyle w:val="Texttabulky"/>
              <w:keepNext/>
              <w:spacing w:line="240" w:lineRule="atLeast"/>
              <w:ind w:firstLine="157"/>
              <w:jc w:val="both"/>
              <w:rPr>
                <w:rFonts w:cs="Arial"/>
              </w:rPr>
            </w:pPr>
            <w:r w:rsidRPr="00E30642">
              <w:rPr>
                <w:rFonts w:cs="Arial"/>
              </w:rPr>
              <w:t>Děčín</w:t>
            </w:r>
          </w:p>
        </w:tc>
        <w:tc>
          <w:tcPr>
            <w:tcW w:w="1104" w:type="dxa"/>
            <w:tcBorders>
              <w:top w:val="single" w:sz="6" w:space="0" w:color="auto"/>
              <w:left w:val="single" w:sz="6" w:space="0" w:color="auto"/>
              <w:bottom w:val="single" w:sz="6" w:space="0" w:color="auto"/>
              <w:right w:val="single" w:sz="6" w:space="0" w:color="auto"/>
            </w:tcBorders>
          </w:tcPr>
          <w:p w14:paraId="412FC6BB" w14:textId="77777777" w:rsidR="00CA23D0" w:rsidRPr="00E30642" w:rsidRDefault="00CA23D0" w:rsidP="00CA23D0">
            <w:pPr>
              <w:pStyle w:val="Texttabulky"/>
              <w:keepNext/>
              <w:spacing w:line="240" w:lineRule="atLeast"/>
              <w:jc w:val="both"/>
              <w:rPr>
                <w:rFonts w:cs="Arial"/>
              </w:rPr>
            </w:pPr>
            <w:r w:rsidRPr="00E30642">
              <w:rPr>
                <w:rFonts w:cs="Arial"/>
              </w:rPr>
              <w:t>11 803,47</w:t>
            </w:r>
          </w:p>
        </w:tc>
        <w:tc>
          <w:tcPr>
            <w:tcW w:w="1417" w:type="dxa"/>
            <w:tcBorders>
              <w:top w:val="single" w:sz="6" w:space="0" w:color="auto"/>
              <w:left w:val="single" w:sz="6" w:space="0" w:color="auto"/>
              <w:bottom w:val="single" w:sz="6" w:space="0" w:color="auto"/>
              <w:right w:val="single" w:sz="6" w:space="0" w:color="auto"/>
            </w:tcBorders>
          </w:tcPr>
          <w:p w14:paraId="60E7C06F" w14:textId="77777777" w:rsidR="00CA23D0" w:rsidRPr="00E30642" w:rsidRDefault="00CA23D0" w:rsidP="00CA23D0">
            <w:pPr>
              <w:pStyle w:val="Texttabulky"/>
              <w:keepNext/>
              <w:spacing w:line="240" w:lineRule="atLeast"/>
              <w:jc w:val="both"/>
              <w:rPr>
                <w:rFonts w:cs="Arial"/>
              </w:rPr>
            </w:pPr>
            <w:r w:rsidRPr="00E30642">
              <w:rPr>
                <w:rFonts w:cs="Arial"/>
              </w:rPr>
              <w:t>53 899</w:t>
            </w:r>
          </w:p>
        </w:tc>
        <w:tc>
          <w:tcPr>
            <w:tcW w:w="1418" w:type="dxa"/>
            <w:tcBorders>
              <w:top w:val="single" w:sz="6" w:space="0" w:color="auto"/>
              <w:left w:val="single" w:sz="6" w:space="0" w:color="auto"/>
              <w:bottom w:val="single" w:sz="6" w:space="0" w:color="auto"/>
              <w:right w:val="single" w:sz="6" w:space="0" w:color="auto"/>
            </w:tcBorders>
          </w:tcPr>
          <w:p w14:paraId="35CE4D9F" w14:textId="77777777" w:rsidR="00CA23D0" w:rsidRPr="00E30642" w:rsidRDefault="00CA23D0" w:rsidP="00CA23D0">
            <w:pPr>
              <w:pStyle w:val="Texttabulky"/>
              <w:keepNext/>
              <w:spacing w:line="240" w:lineRule="atLeast"/>
              <w:jc w:val="both"/>
              <w:rPr>
                <w:rFonts w:cs="Arial"/>
              </w:rPr>
            </w:pPr>
            <w:r w:rsidRPr="00E30642">
              <w:rPr>
                <w:rFonts w:cs="Arial"/>
              </w:rPr>
              <w:t>53 123</w:t>
            </w:r>
          </w:p>
        </w:tc>
        <w:tc>
          <w:tcPr>
            <w:tcW w:w="1417" w:type="dxa"/>
            <w:tcBorders>
              <w:top w:val="single" w:sz="6" w:space="0" w:color="auto"/>
              <w:left w:val="single" w:sz="6" w:space="0" w:color="auto"/>
              <w:bottom w:val="single" w:sz="6" w:space="0" w:color="auto"/>
              <w:right w:val="single" w:sz="6" w:space="0" w:color="auto"/>
            </w:tcBorders>
          </w:tcPr>
          <w:p w14:paraId="4684AACC" w14:textId="77777777" w:rsidR="00CA23D0" w:rsidRPr="00E30642" w:rsidRDefault="00CA23D0" w:rsidP="00CA23D0">
            <w:pPr>
              <w:pStyle w:val="Texttabulky"/>
              <w:keepNext/>
              <w:spacing w:line="240" w:lineRule="atLeast"/>
              <w:jc w:val="both"/>
              <w:rPr>
                <w:rFonts w:cs="Arial"/>
              </w:rPr>
            </w:pPr>
            <w:r w:rsidRPr="00E30642">
              <w:rPr>
                <w:rFonts w:cs="Arial"/>
              </w:rPr>
              <w:t>54 600</w:t>
            </w:r>
          </w:p>
        </w:tc>
        <w:tc>
          <w:tcPr>
            <w:tcW w:w="1418" w:type="dxa"/>
            <w:tcBorders>
              <w:top w:val="single" w:sz="6" w:space="0" w:color="auto"/>
              <w:left w:val="single" w:sz="6" w:space="0" w:color="auto"/>
              <w:bottom w:val="single" w:sz="6" w:space="0" w:color="auto"/>
              <w:right w:val="single" w:sz="6" w:space="0" w:color="auto"/>
            </w:tcBorders>
          </w:tcPr>
          <w:p w14:paraId="6A992C5F" w14:textId="77777777" w:rsidR="00CA23D0" w:rsidRPr="00E30642" w:rsidRDefault="00CA23D0" w:rsidP="00CA23D0">
            <w:pPr>
              <w:pStyle w:val="Texttabulky"/>
              <w:keepNext/>
              <w:spacing w:line="240" w:lineRule="atLeast"/>
              <w:jc w:val="both"/>
              <w:rPr>
                <w:rFonts w:cs="Arial"/>
              </w:rPr>
            </w:pPr>
            <w:r w:rsidRPr="00E30642">
              <w:rPr>
                <w:rFonts w:cs="Arial"/>
              </w:rPr>
              <w:t>51 700</w:t>
            </w:r>
          </w:p>
        </w:tc>
      </w:tr>
      <w:tr w:rsidR="00CA23D0" w:rsidRPr="00E30642" w14:paraId="1E01D892" w14:textId="77777777" w:rsidTr="00CA23D0">
        <w:tc>
          <w:tcPr>
            <w:tcW w:w="1985" w:type="dxa"/>
            <w:tcBorders>
              <w:top w:val="single" w:sz="6" w:space="0" w:color="auto"/>
              <w:left w:val="single" w:sz="6" w:space="0" w:color="auto"/>
              <w:bottom w:val="single" w:sz="6" w:space="0" w:color="auto"/>
              <w:right w:val="single" w:sz="6" w:space="0" w:color="auto"/>
            </w:tcBorders>
          </w:tcPr>
          <w:p w14:paraId="1A8C57F7" w14:textId="77777777" w:rsidR="00CA23D0" w:rsidRPr="00E30642" w:rsidRDefault="00CA23D0" w:rsidP="00CA23D0">
            <w:pPr>
              <w:pStyle w:val="Texttabulky"/>
              <w:spacing w:line="240" w:lineRule="atLeast"/>
              <w:ind w:firstLine="157"/>
              <w:jc w:val="both"/>
              <w:rPr>
                <w:rFonts w:cs="Arial"/>
              </w:rPr>
            </w:pPr>
            <w:r w:rsidRPr="00E30642">
              <w:rPr>
                <w:rFonts w:cs="Arial"/>
              </w:rPr>
              <w:t>Arnoltice</w:t>
            </w:r>
          </w:p>
        </w:tc>
        <w:tc>
          <w:tcPr>
            <w:tcW w:w="1104" w:type="dxa"/>
            <w:tcBorders>
              <w:top w:val="single" w:sz="6" w:space="0" w:color="auto"/>
              <w:left w:val="single" w:sz="6" w:space="0" w:color="auto"/>
              <w:bottom w:val="single" w:sz="6" w:space="0" w:color="auto"/>
              <w:right w:val="single" w:sz="6" w:space="0" w:color="auto"/>
            </w:tcBorders>
          </w:tcPr>
          <w:p w14:paraId="15176517" w14:textId="77777777" w:rsidR="00CA23D0" w:rsidRPr="00E30642" w:rsidRDefault="00CA23D0" w:rsidP="00CA23D0">
            <w:pPr>
              <w:pStyle w:val="Texttabulky"/>
              <w:spacing w:line="240" w:lineRule="atLeast"/>
              <w:jc w:val="both"/>
              <w:rPr>
                <w:rFonts w:cs="Arial"/>
              </w:rPr>
            </w:pPr>
            <w:r w:rsidRPr="00E30642">
              <w:rPr>
                <w:rFonts w:cs="Arial"/>
              </w:rPr>
              <w:t>553,41</w:t>
            </w:r>
          </w:p>
        </w:tc>
        <w:tc>
          <w:tcPr>
            <w:tcW w:w="1417" w:type="dxa"/>
            <w:tcBorders>
              <w:top w:val="single" w:sz="6" w:space="0" w:color="auto"/>
              <w:left w:val="single" w:sz="6" w:space="0" w:color="auto"/>
              <w:bottom w:val="single" w:sz="6" w:space="0" w:color="auto"/>
              <w:right w:val="single" w:sz="6" w:space="0" w:color="auto"/>
            </w:tcBorders>
          </w:tcPr>
          <w:p w14:paraId="3D8DEC56" w14:textId="77777777" w:rsidR="00CA23D0" w:rsidRPr="00E30642" w:rsidRDefault="00CA23D0" w:rsidP="00CA23D0">
            <w:pPr>
              <w:pStyle w:val="Texttabulky"/>
              <w:spacing w:line="240" w:lineRule="atLeast"/>
              <w:jc w:val="both"/>
              <w:rPr>
                <w:rFonts w:cs="Arial"/>
              </w:rPr>
            </w:pPr>
            <w:r w:rsidRPr="00E30642">
              <w:rPr>
                <w:rFonts w:cs="Arial"/>
              </w:rPr>
              <w:t>261</w:t>
            </w:r>
          </w:p>
        </w:tc>
        <w:tc>
          <w:tcPr>
            <w:tcW w:w="1418" w:type="dxa"/>
            <w:tcBorders>
              <w:top w:val="single" w:sz="6" w:space="0" w:color="auto"/>
              <w:left w:val="single" w:sz="6" w:space="0" w:color="auto"/>
              <w:bottom w:val="single" w:sz="6" w:space="0" w:color="auto"/>
              <w:right w:val="single" w:sz="6" w:space="0" w:color="auto"/>
            </w:tcBorders>
          </w:tcPr>
          <w:p w14:paraId="08B075F0" w14:textId="77777777" w:rsidR="00CA23D0" w:rsidRPr="00E30642" w:rsidRDefault="00CA23D0" w:rsidP="00CA23D0">
            <w:pPr>
              <w:pStyle w:val="Texttabulky"/>
              <w:spacing w:line="240" w:lineRule="atLeast"/>
              <w:jc w:val="both"/>
              <w:rPr>
                <w:rFonts w:cs="Arial"/>
              </w:rPr>
            </w:pPr>
            <w:r w:rsidRPr="00E30642">
              <w:rPr>
                <w:rFonts w:cs="Arial"/>
              </w:rPr>
              <w:t>246</w:t>
            </w:r>
          </w:p>
        </w:tc>
        <w:tc>
          <w:tcPr>
            <w:tcW w:w="1417" w:type="dxa"/>
            <w:tcBorders>
              <w:top w:val="single" w:sz="6" w:space="0" w:color="auto"/>
              <w:left w:val="single" w:sz="6" w:space="0" w:color="auto"/>
              <w:bottom w:val="single" w:sz="6" w:space="0" w:color="auto"/>
              <w:right w:val="single" w:sz="6" w:space="0" w:color="auto"/>
            </w:tcBorders>
          </w:tcPr>
          <w:p w14:paraId="74A931BB"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418" w:type="dxa"/>
            <w:tcBorders>
              <w:top w:val="single" w:sz="6" w:space="0" w:color="auto"/>
              <w:left w:val="single" w:sz="6" w:space="0" w:color="auto"/>
              <w:bottom w:val="single" w:sz="6" w:space="0" w:color="auto"/>
              <w:right w:val="single" w:sz="6" w:space="0" w:color="auto"/>
            </w:tcBorders>
          </w:tcPr>
          <w:p w14:paraId="19E5BFF5"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340EF61E" w14:textId="77777777" w:rsidTr="00CA23D0">
        <w:tc>
          <w:tcPr>
            <w:tcW w:w="1985" w:type="dxa"/>
            <w:tcBorders>
              <w:top w:val="single" w:sz="6" w:space="0" w:color="auto"/>
              <w:left w:val="single" w:sz="6" w:space="0" w:color="auto"/>
              <w:bottom w:val="single" w:sz="6" w:space="0" w:color="auto"/>
              <w:right w:val="single" w:sz="6" w:space="0" w:color="auto"/>
            </w:tcBorders>
          </w:tcPr>
          <w:p w14:paraId="47DE2637" w14:textId="77777777" w:rsidR="00CA23D0" w:rsidRPr="00E30642" w:rsidRDefault="00CA23D0" w:rsidP="00CA23D0">
            <w:pPr>
              <w:pStyle w:val="Texttabulky"/>
              <w:spacing w:line="240" w:lineRule="atLeast"/>
              <w:ind w:firstLine="157"/>
              <w:jc w:val="both"/>
              <w:rPr>
                <w:rFonts w:cs="Arial"/>
              </w:rPr>
            </w:pPr>
            <w:r w:rsidRPr="00E30642">
              <w:rPr>
                <w:rFonts w:cs="Arial"/>
              </w:rPr>
              <w:t>Benešov nad Ploučnicí</w:t>
            </w:r>
          </w:p>
        </w:tc>
        <w:tc>
          <w:tcPr>
            <w:tcW w:w="1104" w:type="dxa"/>
            <w:tcBorders>
              <w:top w:val="single" w:sz="6" w:space="0" w:color="auto"/>
              <w:left w:val="single" w:sz="6" w:space="0" w:color="auto"/>
              <w:bottom w:val="single" w:sz="6" w:space="0" w:color="auto"/>
              <w:right w:val="single" w:sz="6" w:space="0" w:color="auto"/>
            </w:tcBorders>
          </w:tcPr>
          <w:p w14:paraId="306CE944" w14:textId="77777777" w:rsidR="00CA23D0" w:rsidRPr="00E30642" w:rsidRDefault="00CA23D0" w:rsidP="00CA23D0">
            <w:pPr>
              <w:pStyle w:val="Texttabulky"/>
              <w:spacing w:line="240" w:lineRule="atLeast"/>
              <w:jc w:val="both"/>
              <w:rPr>
                <w:rFonts w:cs="Arial"/>
              </w:rPr>
            </w:pPr>
            <w:r w:rsidRPr="00E30642">
              <w:rPr>
                <w:rFonts w:cs="Arial"/>
              </w:rPr>
              <w:t>977,19</w:t>
            </w:r>
          </w:p>
        </w:tc>
        <w:tc>
          <w:tcPr>
            <w:tcW w:w="1417" w:type="dxa"/>
            <w:tcBorders>
              <w:top w:val="single" w:sz="6" w:space="0" w:color="auto"/>
              <w:left w:val="single" w:sz="6" w:space="0" w:color="auto"/>
              <w:bottom w:val="single" w:sz="6" w:space="0" w:color="auto"/>
              <w:right w:val="single" w:sz="6" w:space="0" w:color="auto"/>
            </w:tcBorders>
          </w:tcPr>
          <w:p w14:paraId="5D3DB503" w14:textId="77777777" w:rsidR="00CA23D0" w:rsidRPr="00E30642" w:rsidRDefault="00CA23D0" w:rsidP="00CA23D0">
            <w:pPr>
              <w:pStyle w:val="Texttabulky"/>
              <w:spacing w:line="240" w:lineRule="atLeast"/>
              <w:jc w:val="both"/>
              <w:rPr>
                <w:rFonts w:cs="Arial"/>
              </w:rPr>
            </w:pPr>
            <w:r w:rsidRPr="00E30642">
              <w:rPr>
                <w:rFonts w:cs="Arial"/>
              </w:rPr>
              <w:t>4 233</w:t>
            </w:r>
          </w:p>
        </w:tc>
        <w:tc>
          <w:tcPr>
            <w:tcW w:w="1418" w:type="dxa"/>
            <w:tcBorders>
              <w:top w:val="single" w:sz="6" w:space="0" w:color="auto"/>
              <w:left w:val="single" w:sz="6" w:space="0" w:color="auto"/>
              <w:bottom w:val="single" w:sz="6" w:space="0" w:color="auto"/>
              <w:right w:val="single" w:sz="6" w:space="0" w:color="auto"/>
            </w:tcBorders>
          </w:tcPr>
          <w:p w14:paraId="23560FBB" w14:textId="77777777" w:rsidR="00CA23D0" w:rsidRPr="00E30642" w:rsidRDefault="00CA23D0" w:rsidP="00CA23D0">
            <w:pPr>
              <w:pStyle w:val="Texttabulky"/>
              <w:spacing w:line="240" w:lineRule="atLeast"/>
              <w:jc w:val="both"/>
              <w:rPr>
                <w:rFonts w:cs="Arial"/>
              </w:rPr>
            </w:pPr>
            <w:r w:rsidRPr="00E30642">
              <w:rPr>
                <w:rFonts w:cs="Arial"/>
              </w:rPr>
              <w:t>4 098</w:t>
            </w:r>
          </w:p>
        </w:tc>
        <w:tc>
          <w:tcPr>
            <w:tcW w:w="1417" w:type="dxa"/>
            <w:tcBorders>
              <w:top w:val="single" w:sz="6" w:space="0" w:color="auto"/>
              <w:left w:val="single" w:sz="6" w:space="0" w:color="auto"/>
              <w:bottom w:val="single" w:sz="6" w:space="0" w:color="auto"/>
              <w:right w:val="single" w:sz="6" w:space="0" w:color="auto"/>
            </w:tcBorders>
          </w:tcPr>
          <w:p w14:paraId="37A63208" w14:textId="77777777" w:rsidR="00CA23D0" w:rsidRPr="00E30642" w:rsidRDefault="00CA23D0" w:rsidP="00CA23D0">
            <w:pPr>
              <w:pStyle w:val="Texttabulky"/>
              <w:spacing w:line="240" w:lineRule="atLeast"/>
              <w:jc w:val="both"/>
              <w:rPr>
                <w:rFonts w:cs="Arial"/>
              </w:rPr>
            </w:pPr>
            <w:r w:rsidRPr="00E30642">
              <w:rPr>
                <w:rFonts w:cs="Arial"/>
              </w:rPr>
              <w:t>4 100</w:t>
            </w:r>
          </w:p>
        </w:tc>
        <w:tc>
          <w:tcPr>
            <w:tcW w:w="1418" w:type="dxa"/>
            <w:tcBorders>
              <w:top w:val="single" w:sz="6" w:space="0" w:color="auto"/>
              <w:left w:val="single" w:sz="6" w:space="0" w:color="auto"/>
              <w:bottom w:val="single" w:sz="6" w:space="0" w:color="auto"/>
              <w:right w:val="single" w:sz="6" w:space="0" w:color="auto"/>
            </w:tcBorders>
          </w:tcPr>
          <w:p w14:paraId="7DDA201D" w14:textId="77777777" w:rsidR="00CA23D0" w:rsidRPr="00E30642" w:rsidRDefault="00CA23D0" w:rsidP="00CA23D0">
            <w:pPr>
              <w:pStyle w:val="Texttabulky"/>
              <w:spacing w:line="240" w:lineRule="atLeast"/>
              <w:jc w:val="both"/>
              <w:rPr>
                <w:rFonts w:cs="Arial"/>
              </w:rPr>
            </w:pPr>
            <w:r w:rsidRPr="00E30642">
              <w:rPr>
                <w:rFonts w:cs="Arial"/>
              </w:rPr>
              <w:t>4 000</w:t>
            </w:r>
          </w:p>
        </w:tc>
      </w:tr>
      <w:tr w:rsidR="00CA23D0" w:rsidRPr="00E30642" w14:paraId="0FDDDD92" w14:textId="77777777" w:rsidTr="00CA23D0">
        <w:tc>
          <w:tcPr>
            <w:tcW w:w="1985" w:type="dxa"/>
            <w:tcBorders>
              <w:top w:val="single" w:sz="6" w:space="0" w:color="auto"/>
              <w:left w:val="single" w:sz="6" w:space="0" w:color="auto"/>
              <w:bottom w:val="single" w:sz="6" w:space="0" w:color="auto"/>
              <w:right w:val="single" w:sz="6" w:space="0" w:color="auto"/>
            </w:tcBorders>
          </w:tcPr>
          <w:p w14:paraId="3D04A0DC" w14:textId="77777777" w:rsidR="00CA23D0" w:rsidRPr="00E30642" w:rsidRDefault="00CA23D0" w:rsidP="00CA23D0">
            <w:pPr>
              <w:pStyle w:val="Texttabulky"/>
              <w:spacing w:line="240" w:lineRule="atLeast"/>
              <w:ind w:firstLine="157"/>
              <w:jc w:val="both"/>
              <w:rPr>
                <w:rFonts w:cs="Arial"/>
              </w:rPr>
            </w:pPr>
            <w:r w:rsidRPr="00E30642">
              <w:rPr>
                <w:rFonts w:cs="Arial"/>
              </w:rPr>
              <w:t>Bynovec</w:t>
            </w:r>
          </w:p>
        </w:tc>
        <w:tc>
          <w:tcPr>
            <w:tcW w:w="1104" w:type="dxa"/>
            <w:tcBorders>
              <w:top w:val="single" w:sz="6" w:space="0" w:color="auto"/>
              <w:left w:val="single" w:sz="6" w:space="0" w:color="auto"/>
              <w:bottom w:val="single" w:sz="6" w:space="0" w:color="auto"/>
              <w:right w:val="single" w:sz="6" w:space="0" w:color="auto"/>
            </w:tcBorders>
          </w:tcPr>
          <w:p w14:paraId="759BE818" w14:textId="77777777" w:rsidR="00CA23D0" w:rsidRPr="00E30642" w:rsidRDefault="00CA23D0" w:rsidP="00CA23D0">
            <w:pPr>
              <w:pStyle w:val="Texttabulky"/>
              <w:spacing w:line="240" w:lineRule="atLeast"/>
              <w:jc w:val="both"/>
              <w:rPr>
                <w:rFonts w:cs="Arial"/>
              </w:rPr>
            </w:pPr>
            <w:r w:rsidRPr="00E30642">
              <w:rPr>
                <w:rFonts w:cs="Arial"/>
              </w:rPr>
              <w:t>635,94</w:t>
            </w:r>
          </w:p>
        </w:tc>
        <w:tc>
          <w:tcPr>
            <w:tcW w:w="1417" w:type="dxa"/>
            <w:tcBorders>
              <w:top w:val="single" w:sz="6" w:space="0" w:color="auto"/>
              <w:left w:val="single" w:sz="6" w:space="0" w:color="auto"/>
              <w:bottom w:val="single" w:sz="6" w:space="0" w:color="auto"/>
              <w:right w:val="single" w:sz="6" w:space="0" w:color="auto"/>
            </w:tcBorders>
          </w:tcPr>
          <w:p w14:paraId="7923C831" w14:textId="77777777" w:rsidR="00CA23D0" w:rsidRPr="00E30642" w:rsidRDefault="00CA23D0" w:rsidP="00CA23D0">
            <w:pPr>
              <w:pStyle w:val="Texttabulky"/>
              <w:spacing w:line="240" w:lineRule="atLeast"/>
              <w:jc w:val="both"/>
              <w:rPr>
                <w:rFonts w:cs="Arial"/>
              </w:rPr>
            </w:pPr>
            <w:r w:rsidRPr="00E30642">
              <w:rPr>
                <w:rFonts w:cs="Arial"/>
              </w:rPr>
              <w:t>215</w:t>
            </w:r>
          </w:p>
        </w:tc>
        <w:tc>
          <w:tcPr>
            <w:tcW w:w="1418" w:type="dxa"/>
            <w:tcBorders>
              <w:top w:val="single" w:sz="6" w:space="0" w:color="auto"/>
              <w:left w:val="single" w:sz="6" w:space="0" w:color="auto"/>
              <w:bottom w:val="single" w:sz="6" w:space="0" w:color="auto"/>
              <w:right w:val="single" w:sz="6" w:space="0" w:color="auto"/>
            </w:tcBorders>
          </w:tcPr>
          <w:p w14:paraId="6CC3FA28" w14:textId="77777777" w:rsidR="00CA23D0" w:rsidRPr="00E30642" w:rsidRDefault="00CA23D0" w:rsidP="00CA23D0">
            <w:pPr>
              <w:pStyle w:val="Texttabulky"/>
              <w:spacing w:line="240" w:lineRule="atLeast"/>
              <w:jc w:val="both"/>
              <w:rPr>
                <w:rFonts w:cs="Arial"/>
              </w:rPr>
            </w:pPr>
            <w:r w:rsidRPr="00E30642">
              <w:rPr>
                <w:rFonts w:cs="Arial"/>
              </w:rPr>
              <w:t>224</w:t>
            </w:r>
          </w:p>
        </w:tc>
        <w:tc>
          <w:tcPr>
            <w:tcW w:w="1417" w:type="dxa"/>
            <w:tcBorders>
              <w:top w:val="single" w:sz="6" w:space="0" w:color="auto"/>
              <w:left w:val="single" w:sz="6" w:space="0" w:color="auto"/>
              <w:bottom w:val="single" w:sz="6" w:space="0" w:color="auto"/>
              <w:right w:val="single" w:sz="6" w:space="0" w:color="auto"/>
            </w:tcBorders>
          </w:tcPr>
          <w:p w14:paraId="3560C233" w14:textId="77777777" w:rsidR="00CA23D0" w:rsidRPr="00E30642" w:rsidRDefault="00CA23D0" w:rsidP="00CA23D0">
            <w:pPr>
              <w:pStyle w:val="Texttabulky"/>
              <w:spacing w:line="240" w:lineRule="atLeast"/>
              <w:jc w:val="both"/>
              <w:rPr>
                <w:rFonts w:cs="Arial"/>
              </w:rPr>
            </w:pPr>
            <w:r w:rsidRPr="00E30642">
              <w:rPr>
                <w:rFonts w:cs="Arial"/>
              </w:rPr>
              <w:t>220</w:t>
            </w:r>
          </w:p>
        </w:tc>
        <w:tc>
          <w:tcPr>
            <w:tcW w:w="1418" w:type="dxa"/>
            <w:tcBorders>
              <w:top w:val="single" w:sz="6" w:space="0" w:color="auto"/>
              <w:left w:val="single" w:sz="6" w:space="0" w:color="auto"/>
              <w:bottom w:val="single" w:sz="6" w:space="0" w:color="auto"/>
              <w:right w:val="single" w:sz="6" w:space="0" w:color="auto"/>
            </w:tcBorders>
          </w:tcPr>
          <w:p w14:paraId="5C06E722" w14:textId="77777777" w:rsidR="00CA23D0" w:rsidRPr="00E30642" w:rsidRDefault="00CA23D0" w:rsidP="00CA23D0">
            <w:pPr>
              <w:pStyle w:val="Texttabulky"/>
              <w:spacing w:line="240" w:lineRule="atLeast"/>
              <w:jc w:val="both"/>
              <w:rPr>
                <w:rFonts w:cs="Arial"/>
              </w:rPr>
            </w:pPr>
            <w:r w:rsidRPr="00E30642">
              <w:rPr>
                <w:rFonts w:cs="Arial"/>
              </w:rPr>
              <w:t>250</w:t>
            </w:r>
          </w:p>
        </w:tc>
      </w:tr>
      <w:tr w:rsidR="00CA23D0" w:rsidRPr="00E30642" w14:paraId="0733D20B" w14:textId="77777777" w:rsidTr="00CA23D0">
        <w:tc>
          <w:tcPr>
            <w:tcW w:w="1985" w:type="dxa"/>
            <w:tcBorders>
              <w:top w:val="single" w:sz="6" w:space="0" w:color="auto"/>
              <w:left w:val="single" w:sz="6" w:space="0" w:color="auto"/>
              <w:bottom w:val="single" w:sz="6" w:space="0" w:color="auto"/>
              <w:right w:val="single" w:sz="6" w:space="0" w:color="auto"/>
            </w:tcBorders>
          </w:tcPr>
          <w:p w14:paraId="4D89D1D3" w14:textId="77777777" w:rsidR="00CA23D0" w:rsidRPr="00E30642" w:rsidRDefault="00CA23D0" w:rsidP="00CA23D0">
            <w:pPr>
              <w:pStyle w:val="Texttabulky"/>
              <w:spacing w:line="240" w:lineRule="atLeast"/>
              <w:ind w:firstLine="157"/>
              <w:jc w:val="both"/>
              <w:rPr>
                <w:rFonts w:cs="Arial"/>
              </w:rPr>
            </w:pPr>
            <w:r w:rsidRPr="00E30642">
              <w:rPr>
                <w:rFonts w:cs="Arial"/>
              </w:rPr>
              <w:t>Česká Kamenice</w:t>
            </w:r>
          </w:p>
        </w:tc>
        <w:tc>
          <w:tcPr>
            <w:tcW w:w="1104" w:type="dxa"/>
            <w:tcBorders>
              <w:top w:val="single" w:sz="6" w:space="0" w:color="auto"/>
              <w:left w:val="single" w:sz="6" w:space="0" w:color="auto"/>
              <w:bottom w:val="single" w:sz="6" w:space="0" w:color="auto"/>
              <w:right w:val="single" w:sz="6" w:space="0" w:color="auto"/>
            </w:tcBorders>
          </w:tcPr>
          <w:p w14:paraId="3B4376CD" w14:textId="77777777" w:rsidR="00CA23D0" w:rsidRPr="00E30642" w:rsidRDefault="00CA23D0" w:rsidP="00CA23D0">
            <w:pPr>
              <w:pStyle w:val="Texttabulky"/>
              <w:spacing w:line="240" w:lineRule="atLeast"/>
              <w:jc w:val="both"/>
              <w:rPr>
                <w:rFonts w:cs="Arial"/>
              </w:rPr>
            </w:pPr>
            <w:r w:rsidRPr="00E30642">
              <w:rPr>
                <w:rFonts w:cs="Arial"/>
              </w:rPr>
              <w:t>3 876,37</w:t>
            </w:r>
          </w:p>
        </w:tc>
        <w:tc>
          <w:tcPr>
            <w:tcW w:w="1417" w:type="dxa"/>
            <w:tcBorders>
              <w:top w:val="single" w:sz="6" w:space="0" w:color="auto"/>
              <w:left w:val="single" w:sz="6" w:space="0" w:color="auto"/>
              <w:bottom w:val="single" w:sz="6" w:space="0" w:color="auto"/>
              <w:right w:val="single" w:sz="6" w:space="0" w:color="auto"/>
            </w:tcBorders>
          </w:tcPr>
          <w:p w14:paraId="26316693" w14:textId="77777777" w:rsidR="00CA23D0" w:rsidRPr="00E30642" w:rsidRDefault="00CA23D0" w:rsidP="00CA23D0">
            <w:pPr>
              <w:pStyle w:val="Texttabulky"/>
              <w:spacing w:line="240" w:lineRule="atLeast"/>
              <w:jc w:val="both"/>
              <w:rPr>
                <w:rFonts w:cs="Arial"/>
              </w:rPr>
            </w:pPr>
            <w:r w:rsidRPr="00E30642">
              <w:rPr>
                <w:rFonts w:cs="Arial"/>
              </w:rPr>
              <w:t>5 646</w:t>
            </w:r>
          </w:p>
        </w:tc>
        <w:tc>
          <w:tcPr>
            <w:tcW w:w="1418" w:type="dxa"/>
            <w:tcBorders>
              <w:top w:val="single" w:sz="6" w:space="0" w:color="auto"/>
              <w:left w:val="single" w:sz="6" w:space="0" w:color="auto"/>
              <w:bottom w:val="single" w:sz="6" w:space="0" w:color="auto"/>
              <w:right w:val="single" w:sz="6" w:space="0" w:color="auto"/>
            </w:tcBorders>
          </w:tcPr>
          <w:p w14:paraId="5038CF8C" w14:textId="77777777" w:rsidR="00CA23D0" w:rsidRPr="00E30642" w:rsidRDefault="00CA23D0" w:rsidP="00CA23D0">
            <w:pPr>
              <w:pStyle w:val="Texttabulky"/>
              <w:spacing w:line="240" w:lineRule="atLeast"/>
              <w:jc w:val="both"/>
              <w:rPr>
                <w:rFonts w:cs="Arial"/>
              </w:rPr>
            </w:pPr>
            <w:r w:rsidRPr="00E30642">
              <w:rPr>
                <w:rFonts w:cs="Arial"/>
              </w:rPr>
              <w:t>5 636</w:t>
            </w:r>
          </w:p>
        </w:tc>
        <w:tc>
          <w:tcPr>
            <w:tcW w:w="1417" w:type="dxa"/>
            <w:tcBorders>
              <w:top w:val="single" w:sz="6" w:space="0" w:color="auto"/>
              <w:left w:val="single" w:sz="6" w:space="0" w:color="auto"/>
              <w:bottom w:val="single" w:sz="6" w:space="0" w:color="auto"/>
              <w:right w:val="single" w:sz="6" w:space="0" w:color="auto"/>
            </w:tcBorders>
          </w:tcPr>
          <w:p w14:paraId="2E7F05E7" w14:textId="77777777" w:rsidR="00CA23D0" w:rsidRPr="00E30642" w:rsidRDefault="00CA23D0" w:rsidP="00CA23D0">
            <w:pPr>
              <w:pStyle w:val="Texttabulky"/>
              <w:spacing w:line="240" w:lineRule="atLeast"/>
              <w:jc w:val="both"/>
              <w:rPr>
                <w:rFonts w:cs="Arial"/>
              </w:rPr>
            </w:pPr>
            <w:r w:rsidRPr="00E30642">
              <w:rPr>
                <w:rFonts w:cs="Arial"/>
              </w:rPr>
              <w:t>5 700</w:t>
            </w:r>
          </w:p>
        </w:tc>
        <w:tc>
          <w:tcPr>
            <w:tcW w:w="1418" w:type="dxa"/>
            <w:tcBorders>
              <w:top w:val="single" w:sz="6" w:space="0" w:color="auto"/>
              <w:left w:val="single" w:sz="6" w:space="0" w:color="auto"/>
              <w:bottom w:val="single" w:sz="6" w:space="0" w:color="auto"/>
              <w:right w:val="single" w:sz="6" w:space="0" w:color="auto"/>
            </w:tcBorders>
          </w:tcPr>
          <w:p w14:paraId="5A1232CD" w14:textId="77777777" w:rsidR="00CA23D0" w:rsidRPr="00E30642" w:rsidRDefault="00CA23D0" w:rsidP="00CA23D0">
            <w:pPr>
              <w:pStyle w:val="Texttabulky"/>
              <w:spacing w:line="240" w:lineRule="atLeast"/>
              <w:jc w:val="both"/>
              <w:rPr>
                <w:rFonts w:cs="Arial"/>
              </w:rPr>
            </w:pPr>
            <w:r w:rsidRPr="00E30642">
              <w:rPr>
                <w:rFonts w:cs="Arial"/>
              </w:rPr>
              <w:t>5 500</w:t>
            </w:r>
          </w:p>
        </w:tc>
      </w:tr>
      <w:tr w:rsidR="00CA23D0" w:rsidRPr="00E30642" w14:paraId="680D33AB" w14:textId="77777777" w:rsidTr="00CA23D0">
        <w:tc>
          <w:tcPr>
            <w:tcW w:w="1985" w:type="dxa"/>
            <w:tcBorders>
              <w:top w:val="single" w:sz="6" w:space="0" w:color="auto"/>
              <w:left w:val="single" w:sz="6" w:space="0" w:color="auto"/>
              <w:bottom w:val="single" w:sz="6" w:space="0" w:color="auto"/>
              <w:right w:val="single" w:sz="6" w:space="0" w:color="auto"/>
            </w:tcBorders>
          </w:tcPr>
          <w:p w14:paraId="6A0DB53A" w14:textId="77777777" w:rsidR="00CA23D0" w:rsidRPr="00E30642" w:rsidRDefault="00CA23D0" w:rsidP="00CA23D0">
            <w:pPr>
              <w:pStyle w:val="Texttabulky"/>
              <w:spacing w:line="240" w:lineRule="atLeast"/>
              <w:ind w:firstLine="157"/>
              <w:jc w:val="both"/>
              <w:rPr>
                <w:rFonts w:cs="Arial"/>
              </w:rPr>
            </w:pPr>
            <w:r w:rsidRPr="00E30642">
              <w:rPr>
                <w:rFonts w:cs="Arial"/>
              </w:rPr>
              <w:t>Dobkovice</w:t>
            </w:r>
          </w:p>
        </w:tc>
        <w:tc>
          <w:tcPr>
            <w:tcW w:w="1104" w:type="dxa"/>
            <w:tcBorders>
              <w:top w:val="single" w:sz="6" w:space="0" w:color="auto"/>
              <w:left w:val="single" w:sz="6" w:space="0" w:color="auto"/>
              <w:bottom w:val="single" w:sz="6" w:space="0" w:color="auto"/>
              <w:right w:val="single" w:sz="6" w:space="0" w:color="auto"/>
            </w:tcBorders>
          </w:tcPr>
          <w:p w14:paraId="2AEE6BFB" w14:textId="77777777" w:rsidR="00CA23D0" w:rsidRPr="00E30642" w:rsidRDefault="00CA23D0" w:rsidP="00CA23D0">
            <w:pPr>
              <w:pStyle w:val="Texttabulky"/>
              <w:spacing w:line="240" w:lineRule="atLeast"/>
              <w:jc w:val="both"/>
              <w:rPr>
                <w:rFonts w:cs="Arial"/>
              </w:rPr>
            </w:pPr>
            <w:r w:rsidRPr="00E30642">
              <w:rPr>
                <w:rFonts w:cs="Arial"/>
              </w:rPr>
              <w:t>575,12</w:t>
            </w:r>
          </w:p>
        </w:tc>
        <w:tc>
          <w:tcPr>
            <w:tcW w:w="1417" w:type="dxa"/>
            <w:tcBorders>
              <w:top w:val="single" w:sz="6" w:space="0" w:color="auto"/>
              <w:left w:val="single" w:sz="6" w:space="0" w:color="auto"/>
              <w:bottom w:val="single" w:sz="6" w:space="0" w:color="auto"/>
              <w:right w:val="single" w:sz="6" w:space="0" w:color="auto"/>
            </w:tcBorders>
          </w:tcPr>
          <w:p w14:paraId="17B143F8" w14:textId="77777777" w:rsidR="00CA23D0" w:rsidRPr="00E30642" w:rsidRDefault="00CA23D0" w:rsidP="00CA23D0">
            <w:pPr>
              <w:pStyle w:val="Texttabulky"/>
              <w:spacing w:line="240" w:lineRule="atLeast"/>
              <w:jc w:val="both"/>
              <w:rPr>
                <w:rFonts w:cs="Arial"/>
              </w:rPr>
            </w:pPr>
            <w:r w:rsidRPr="00E30642">
              <w:rPr>
                <w:rFonts w:cs="Arial"/>
              </w:rPr>
              <w:t>632</w:t>
            </w:r>
          </w:p>
        </w:tc>
        <w:tc>
          <w:tcPr>
            <w:tcW w:w="1418" w:type="dxa"/>
            <w:tcBorders>
              <w:top w:val="single" w:sz="6" w:space="0" w:color="auto"/>
              <w:left w:val="single" w:sz="6" w:space="0" w:color="auto"/>
              <w:bottom w:val="single" w:sz="6" w:space="0" w:color="auto"/>
              <w:right w:val="single" w:sz="6" w:space="0" w:color="auto"/>
            </w:tcBorders>
          </w:tcPr>
          <w:p w14:paraId="06893506" w14:textId="77777777" w:rsidR="00CA23D0" w:rsidRPr="00E30642" w:rsidRDefault="00CA23D0" w:rsidP="00CA23D0">
            <w:pPr>
              <w:pStyle w:val="Texttabulky"/>
              <w:spacing w:line="240" w:lineRule="atLeast"/>
              <w:jc w:val="both"/>
              <w:rPr>
                <w:rFonts w:cs="Arial"/>
              </w:rPr>
            </w:pPr>
            <w:r w:rsidRPr="00E30642">
              <w:rPr>
                <w:rFonts w:cs="Arial"/>
              </w:rPr>
              <w:t>645</w:t>
            </w:r>
          </w:p>
        </w:tc>
        <w:tc>
          <w:tcPr>
            <w:tcW w:w="1417" w:type="dxa"/>
            <w:tcBorders>
              <w:top w:val="single" w:sz="6" w:space="0" w:color="auto"/>
              <w:left w:val="single" w:sz="6" w:space="0" w:color="auto"/>
              <w:bottom w:val="single" w:sz="6" w:space="0" w:color="auto"/>
              <w:right w:val="single" w:sz="6" w:space="0" w:color="auto"/>
            </w:tcBorders>
          </w:tcPr>
          <w:p w14:paraId="58C3D5EF"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6BF318D9" w14:textId="77777777" w:rsidR="00CA23D0" w:rsidRPr="00E30642" w:rsidRDefault="00CA23D0" w:rsidP="00CA23D0">
            <w:pPr>
              <w:pStyle w:val="Texttabulky"/>
              <w:spacing w:line="240" w:lineRule="atLeast"/>
              <w:jc w:val="both"/>
              <w:rPr>
                <w:rFonts w:cs="Arial"/>
              </w:rPr>
            </w:pPr>
            <w:r w:rsidRPr="00E30642">
              <w:rPr>
                <w:rFonts w:cs="Arial"/>
              </w:rPr>
              <w:t>700</w:t>
            </w:r>
          </w:p>
        </w:tc>
      </w:tr>
      <w:tr w:rsidR="00CA23D0" w:rsidRPr="00E30642" w14:paraId="3DDE0711" w14:textId="77777777" w:rsidTr="00CA23D0">
        <w:tc>
          <w:tcPr>
            <w:tcW w:w="1985" w:type="dxa"/>
            <w:tcBorders>
              <w:top w:val="single" w:sz="6" w:space="0" w:color="auto"/>
              <w:left w:val="single" w:sz="6" w:space="0" w:color="auto"/>
              <w:bottom w:val="single" w:sz="6" w:space="0" w:color="auto"/>
              <w:right w:val="single" w:sz="6" w:space="0" w:color="auto"/>
            </w:tcBorders>
          </w:tcPr>
          <w:p w14:paraId="5D840441" w14:textId="77777777" w:rsidR="00CA23D0" w:rsidRPr="00E30642" w:rsidRDefault="00CA23D0" w:rsidP="00CA23D0">
            <w:pPr>
              <w:pStyle w:val="Texttabulky"/>
              <w:spacing w:line="240" w:lineRule="atLeast"/>
              <w:ind w:firstLine="157"/>
              <w:jc w:val="both"/>
              <w:rPr>
                <w:rFonts w:cs="Arial"/>
              </w:rPr>
            </w:pPr>
            <w:r w:rsidRPr="00E30642">
              <w:rPr>
                <w:rFonts w:cs="Arial"/>
              </w:rPr>
              <w:t>Dobrná</w:t>
            </w:r>
          </w:p>
        </w:tc>
        <w:tc>
          <w:tcPr>
            <w:tcW w:w="1104" w:type="dxa"/>
            <w:tcBorders>
              <w:top w:val="single" w:sz="6" w:space="0" w:color="auto"/>
              <w:left w:val="single" w:sz="6" w:space="0" w:color="auto"/>
              <w:bottom w:val="single" w:sz="6" w:space="0" w:color="auto"/>
              <w:right w:val="single" w:sz="6" w:space="0" w:color="auto"/>
            </w:tcBorders>
          </w:tcPr>
          <w:p w14:paraId="2CA4295A" w14:textId="77777777" w:rsidR="00CA23D0" w:rsidRPr="00E30642" w:rsidRDefault="00CA23D0" w:rsidP="00CA23D0">
            <w:pPr>
              <w:pStyle w:val="Texttabulky"/>
              <w:spacing w:line="240" w:lineRule="atLeast"/>
              <w:jc w:val="both"/>
              <w:rPr>
                <w:rFonts w:cs="Arial"/>
              </w:rPr>
            </w:pPr>
            <w:r w:rsidRPr="00E30642">
              <w:rPr>
                <w:rFonts w:cs="Arial"/>
              </w:rPr>
              <w:t>881,87</w:t>
            </w:r>
          </w:p>
        </w:tc>
        <w:tc>
          <w:tcPr>
            <w:tcW w:w="1417" w:type="dxa"/>
            <w:tcBorders>
              <w:top w:val="single" w:sz="6" w:space="0" w:color="auto"/>
              <w:left w:val="single" w:sz="6" w:space="0" w:color="auto"/>
              <w:bottom w:val="single" w:sz="6" w:space="0" w:color="auto"/>
              <w:right w:val="single" w:sz="6" w:space="0" w:color="auto"/>
            </w:tcBorders>
          </w:tcPr>
          <w:p w14:paraId="30D31F36" w14:textId="77777777" w:rsidR="00CA23D0" w:rsidRPr="00E30642" w:rsidRDefault="00CA23D0" w:rsidP="00CA23D0">
            <w:pPr>
              <w:pStyle w:val="Texttabulky"/>
              <w:spacing w:line="240" w:lineRule="atLeast"/>
              <w:jc w:val="both"/>
              <w:rPr>
                <w:rFonts w:cs="Arial"/>
              </w:rPr>
            </w:pPr>
            <w:r w:rsidRPr="00E30642">
              <w:rPr>
                <w:rFonts w:cs="Arial"/>
              </w:rPr>
              <w:t>370</w:t>
            </w:r>
          </w:p>
        </w:tc>
        <w:tc>
          <w:tcPr>
            <w:tcW w:w="1418" w:type="dxa"/>
            <w:tcBorders>
              <w:top w:val="single" w:sz="6" w:space="0" w:color="auto"/>
              <w:left w:val="single" w:sz="6" w:space="0" w:color="auto"/>
              <w:bottom w:val="single" w:sz="6" w:space="0" w:color="auto"/>
              <w:right w:val="single" w:sz="6" w:space="0" w:color="auto"/>
            </w:tcBorders>
          </w:tcPr>
          <w:p w14:paraId="2E613954" w14:textId="77777777" w:rsidR="00CA23D0" w:rsidRPr="00E30642" w:rsidRDefault="00CA23D0" w:rsidP="00CA23D0">
            <w:pPr>
              <w:pStyle w:val="Texttabulky"/>
              <w:spacing w:line="240" w:lineRule="atLeast"/>
              <w:jc w:val="both"/>
              <w:rPr>
                <w:rFonts w:cs="Arial"/>
              </w:rPr>
            </w:pPr>
            <w:r w:rsidRPr="00E30642">
              <w:rPr>
                <w:rFonts w:cs="Arial"/>
              </w:rPr>
              <w:t>349</w:t>
            </w:r>
          </w:p>
        </w:tc>
        <w:tc>
          <w:tcPr>
            <w:tcW w:w="1417" w:type="dxa"/>
            <w:tcBorders>
              <w:top w:val="single" w:sz="6" w:space="0" w:color="auto"/>
              <w:left w:val="single" w:sz="6" w:space="0" w:color="auto"/>
              <w:bottom w:val="single" w:sz="6" w:space="0" w:color="auto"/>
              <w:right w:val="single" w:sz="6" w:space="0" w:color="auto"/>
            </w:tcBorders>
          </w:tcPr>
          <w:p w14:paraId="62E115C5" w14:textId="77777777" w:rsidR="00CA23D0" w:rsidRPr="00E30642" w:rsidRDefault="00CA23D0" w:rsidP="00CA23D0">
            <w:pPr>
              <w:pStyle w:val="Texttabulky"/>
              <w:spacing w:line="240" w:lineRule="atLeast"/>
              <w:jc w:val="both"/>
              <w:rPr>
                <w:rFonts w:cs="Arial"/>
              </w:rPr>
            </w:pPr>
            <w:r w:rsidRPr="00E30642">
              <w:rPr>
                <w:rFonts w:cs="Arial"/>
              </w:rPr>
              <w:t>350</w:t>
            </w:r>
          </w:p>
        </w:tc>
        <w:tc>
          <w:tcPr>
            <w:tcW w:w="1418" w:type="dxa"/>
            <w:tcBorders>
              <w:top w:val="single" w:sz="6" w:space="0" w:color="auto"/>
              <w:left w:val="single" w:sz="6" w:space="0" w:color="auto"/>
              <w:bottom w:val="single" w:sz="6" w:space="0" w:color="auto"/>
              <w:right w:val="single" w:sz="6" w:space="0" w:color="auto"/>
            </w:tcBorders>
          </w:tcPr>
          <w:p w14:paraId="700D00A1"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622F8794" w14:textId="77777777" w:rsidTr="00CA23D0">
        <w:tc>
          <w:tcPr>
            <w:tcW w:w="1985" w:type="dxa"/>
            <w:tcBorders>
              <w:top w:val="single" w:sz="6" w:space="0" w:color="auto"/>
              <w:left w:val="single" w:sz="6" w:space="0" w:color="auto"/>
              <w:bottom w:val="single" w:sz="6" w:space="0" w:color="auto"/>
              <w:right w:val="single" w:sz="6" w:space="0" w:color="auto"/>
            </w:tcBorders>
          </w:tcPr>
          <w:p w14:paraId="09C1E448" w14:textId="77777777" w:rsidR="00CA23D0" w:rsidRPr="00E30642" w:rsidRDefault="00CA23D0" w:rsidP="00CA23D0">
            <w:pPr>
              <w:pStyle w:val="Texttabulky"/>
              <w:spacing w:line="240" w:lineRule="atLeast"/>
              <w:ind w:firstLine="157"/>
              <w:jc w:val="both"/>
              <w:rPr>
                <w:rFonts w:cs="Arial"/>
              </w:rPr>
            </w:pPr>
            <w:r w:rsidRPr="00E30642">
              <w:rPr>
                <w:rFonts w:cs="Arial"/>
              </w:rPr>
              <w:t>Dolní Habartice</w:t>
            </w:r>
          </w:p>
        </w:tc>
        <w:tc>
          <w:tcPr>
            <w:tcW w:w="1104" w:type="dxa"/>
            <w:tcBorders>
              <w:top w:val="single" w:sz="6" w:space="0" w:color="auto"/>
              <w:left w:val="single" w:sz="6" w:space="0" w:color="auto"/>
              <w:bottom w:val="single" w:sz="6" w:space="0" w:color="auto"/>
              <w:right w:val="single" w:sz="6" w:space="0" w:color="auto"/>
            </w:tcBorders>
          </w:tcPr>
          <w:p w14:paraId="6E5F4E1C" w14:textId="77777777" w:rsidR="00CA23D0" w:rsidRPr="00E30642" w:rsidRDefault="00CA23D0" w:rsidP="00CA23D0">
            <w:pPr>
              <w:pStyle w:val="Texttabulky"/>
              <w:spacing w:line="240" w:lineRule="atLeast"/>
              <w:jc w:val="both"/>
              <w:rPr>
                <w:rFonts w:cs="Arial"/>
              </w:rPr>
            </w:pPr>
            <w:r w:rsidRPr="00E30642">
              <w:rPr>
                <w:rFonts w:cs="Arial"/>
              </w:rPr>
              <w:t>557,6</w:t>
            </w:r>
          </w:p>
        </w:tc>
        <w:tc>
          <w:tcPr>
            <w:tcW w:w="1417" w:type="dxa"/>
            <w:tcBorders>
              <w:top w:val="single" w:sz="6" w:space="0" w:color="auto"/>
              <w:left w:val="single" w:sz="6" w:space="0" w:color="auto"/>
              <w:bottom w:val="single" w:sz="6" w:space="0" w:color="auto"/>
              <w:right w:val="single" w:sz="6" w:space="0" w:color="auto"/>
            </w:tcBorders>
          </w:tcPr>
          <w:p w14:paraId="59446B9A" w14:textId="77777777" w:rsidR="00CA23D0" w:rsidRPr="00E30642" w:rsidRDefault="00CA23D0" w:rsidP="00CA23D0">
            <w:pPr>
              <w:pStyle w:val="Texttabulky"/>
              <w:spacing w:line="240" w:lineRule="atLeast"/>
              <w:jc w:val="both"/>
              <w:rPr>
                <w:rFonts w:cs="Arial"/>
              </w:rPr>
            </w:pPr>
            <w:r w:rsidRPr="00E30642">
              <w:rPr>
                <w:rFonts w:cs="Arial"/>
              </w:rPr>
              <w:t>508</w:t>
            </w:r>
          </w:p>
        </w:tc>
        <w:tc>
          <w:tcPr>
            <w:tcW w:w="1418" w:type="dxa"/>
            <w:tcBorders>
              <w:top w:val="single" w:sz="6" w:space="0" w:color="auto"/>
              <w:left w:val="single" w:sz="6" w:space="0" w:color="auto"/>
              <w:bottom w:val="single" w:sz="6" w:space="0" w:color="auto"/>
              <w:right w:val="single" w:sz="6" w:space="0" w:color="auto"/>
            </w:tcBorders>
          </w:tcPr>
          <w:p w14:paraId="30E0CE49" w14:textId="77777777" w:rsidR="00CA23D0" w:rsidRPr="00E30642" w:rsidRDefault="00CA23D0" w:rsidP="00CA23D0">
            <w:pPr>
              <w:pStyle w:val="Texttabulky"/>
              <w:spacing w:line="240" w:lineRule="atLeast"/>
              <w:jc w:val="both"/>
              <w:rPr>
                <w:rFonts w:cs="Arial"/>
              </w:rPr>
            </w:pPr>
            <w:r w:rsidRPr="00E30642">
              <w:rPr>
                <w:rFonts w:cs="Arial"/>
              </w:rPr>
              <w:t>551</w:t>
            </w:r>
          </w:p>
        </w:tc>
        <w:tc>
          <w:tcPr>
            <w:tcW w:w="1417" w:type="dxa"/>
            <w:tcBorders>
              <w:top w:val="single" w:sz="6" w:space="0" w:color="auto"/>
              <w:left w:val="single" w:sz="6" w:space="0" w:color="auto"/>
              <w:bottom w:val="single" w:sz="6" w:space="0" w:color="auto"/>
              <w:right w:val="single" w:sz="6" w:space="0" w:color="auto"/>
            </w:tcBorders>
          </w:tcPr>
          <w:p w14:paraId="3B568A1B" w14:textId="77777777" w:rsidR="00CA23D0" w:rsidRPr="00E30642" w:rsidRDefault="00CA23D0" w:rsidP="00CA23D0">
            <w:pPr>
              <w:pStyle w:val="Texttabulky"/>
              <w:spacing w:line="240" w:lineRule="atLeast"/>
              <w:jc w:val="both"/>
              <w:rPr>
                <w:rFonts w:cs="Arial"/>
              </w:rPr>
            </w:pPr>
            <w:r w:rsidRPr="00E30642">
              <w:rPr>
                <w:rFonts w:cs="Arial"/>
              </w:rPr>
              <w:t>550</w:t>
            </w:r>
          </w:p>
        </w:tc>
        <w:tc>
          <w:tcPr>
            <w:tcW w:w="1418" w:type="dxa"/>
            <w:tcBorders>
              <w:top w:val="single" w:sz="6" w:space="0" w:color="auto"/>
              <w:left w:val="single" w:sz="6" w:space="0" w:color="auto"/>
              <w:bottom w:val="single" w:sz="6" w:space="0" w:color="auto"/>
              <w:right w:val="single" w:sz="6" w:space="0" w:color="auto"/>
            </w:tcBorders>
          </w:tcPr>
          <w:p w14:paraId="01FD0182" w14:textId="77777777" w:rsidR="00CA23D0" w:rsidRPr="00E30642" w:rsidRDefault="00CA23D0" w:rsidP="00CA23D0">
            <w:pPr>
              <w:pStyle w:val="Texttabulky"/>
              <w:spacing w:line="240" w:lineRule="atLeast"/>
              <w:jc w:val="both"/>
              <w:rPr>
                <w:rFonts w:cs="Arial"/>
              </w:rPr>
            </w:pPr>
            <w:r w:rsidRPr="00E30642">
              <w:rPr>
                <w:rFonts w:cs="Arial"/>
              </w:rPr>
              <w:t>700</w:t>
            </w:r>
          </w:p>
        </w:tc>
      </w:tr>
      <w:tr w:rsidR="00CA23D0" w:rsidRPr="00E30642" w14:paraId="743D046B" w14:textId="77777777" w:rsidTr="00CA23D0">
        <w:tc>
          <w:tcPr>
            <w:tcW w:w="1985" w:type="dxa"/>
            <w:tcBorders>
              <w:top w:val="single" w:sz="6" w:space="0" w:color="auto"/>
              <w:left w:val="single" w:sz="6" w:space="0" w:color="auto"/>
              <w:bottom w:val="single" w:sz="6" w:space="0" w:color="auto"/>
              <w:right w:val="single" w:sz="6" w:space="0" w:color="auto"/>
            </w:tcBorders>
          </w:tcPr>
          <w:p w14:paraId="5471312D" w14:textId="77777777" w:rsidR="00CA23D0" w:rsidRPr="00E30642" w:rsidRDefault="00CA23D0" w:rsidP="00CA23D0">
            <w:pPr>
              <w:pStyle w:val="Texttabulky"/>
              <w:spacing w:line="240" w:lineRule="atLeast"/>
              <w:ind w:firstLine="157"/>
              <w:jc w:val="both"/>
              <w:rPr>
                <w:rFonts w:cs="Arial"/>
              </w:rPr>
            </w:pPr>
            <w:r w:rsidRPr="00E30642">
              <w:rPr>
                <w:rFonts w:cs="Arial"/>
              </w:rPr>
              <w:t>Dolní Podluží</w:t>
            </w:r>
          </w:p>
        </w:tc>
        <w:tc>
          <w:tcPr>
            <w:tcW w:w="1104" w:type="dxa"/>
            <w:tcBorders>
              <w:top w:val="single" w:sz="6" w:space="0" w:color="auto"/>
              <w:left w:val="single" w:sz="6" w:space="0" w:color="auto"/>
              <w:bottom w:val="single" w:sz="6" w:space="0" w:color="auto"/>
              <w:right w:val="single" w:sz="6" w:space="0" w:color="auto"/>
            </w:tcBorders>
          </w:tcPr>
          <w:p w14:paraId="15787839" w14:textId="77777777" w:rsidR="00CA23D0" w:rsidRPr="00E30642" w:rsidRDefault="00CA23D0" w:rsidP="00CA23D0">
            <w:pPr>
              <w:pStyle w:val="Texttabulky"/>
              <w:spacing w:line="240" w:lineRule="atLeast"/>
              <w:jc w:val="both"/>
              <w:rPr>
                <w:rFonts w:cs="Arial"/>
              </w:rPr>
            </w:pPr>
            <w:r w:rsidRPr="00E30642">
              <w:rPr>
                <w:rFonts w:cs="Arial"/>
              </w:rPr>
              <w:t>1 548,26</w:t>
            </w:r>
          </w:p>
        </w:tc>
        <w:tc>
          <w:tcPr>
            <w:tcW w:w="1417" w:type="dxa"/>
            <w:tcBorders>
              <w:top w:val="single" w:sz="6" w:space="0" w:color="auto"/>
              <w:left w:val="single" w:sz="6" w:space="0" w:color="auto"/>
              <w:bottom w:val="single" w:sz="6" w:space="0" w:color="auto"/>
              <w:right w:val="single" w:sz="6" w:space="0" w:color="auto"/>
            </w:tcBorders>
          </w:tcPr>
          <w:p w14:paraId="49A8D343" w14:textId="77777777" w:rsidR="00CA23D0" w:rsidRPr="00E30642" w:rsidRDefault="00CA23D0" w:rsidP="00CA23D0">
            <w:pPr>
              <w:pStyle w:val="Texttabulky"/>
              <w:spacing w:line="240" w:lineRule="atLeast"/>
              <w:jc w:val="both"/>
              <w:rPr>
                <w:rFonts w:cs="Arial"/>
              </w:rPr>
            </w:pPr>
            <w:r w:rsidRPr="00E30642">
              <w:rPr>
                <w:rFonts w:cs="Arial"/>
              </w:rPr>
              <w:t>1 244</w:t>
            </w:r>
          </w:p>
        </w:tc>
        <w:tc>
          <w:tcPr>
            <w:tcW w:w="1418" w:type="dxa"/>
            <w:tcBorders>
              <w:top w:val="single" w:sz="6" w:space="0" w:color="auto"/>
              <w:left w:val="single" w:sz="6" w:space="0" w:color="auto"/>
              <w:bottom w:val="single" w:sz="6" w:space="0" w:color="auto"/>
              <w:right w:val="single" w:sz="6" w:space="0" w:color="auto"/>
            </w:tcBorders>
          </w:tcPr>
          <w:p w14:paraId="6CBD7FCA" w14:textId="77777777" w:rsidR="00CA23D0" w:rsidRPr="00E30642" w:rsidRDefault="00CA23D0" w:rsidP="00CA23D0">
            <w:pPr>
              <w:pStyle w:val="Texttabulky"/>
              <w:spacing w:line="240" w:lineRule="atLeast"/>
              <w:jc w:val="both"/>
              <w:rPr>
                <w:rFonts w:cs="Arial"/>
              </w:rPr>
            </w:pPr>
            <w:r w:rsidRPr="00E30642">
              <w:rPr>
                <w:rFonts w:cs="Arial"/>
              </w:rPr>
              <w:t>1 205</w:t>
            </w:r>
          </w:p>
        </w:tc>
        <w:tc>
          <w:tcPr>
            <w:tcW w:w="1417" w:type="dxa"/>
            <w:tcBorders>
              <w:top w:val="single" w:sz="6" w:space="0" w:color="auto"/>
              <w:left w:val="single" w:sz="6" w:space="0" w:color="auto"/>
              <w:bottom w:val="single" w:sz="6" w:space="0" w:color="auto"/>
              <w:right w:val="single" w:sz="6" w:space="0" w:color="auto"/>
            </w:tcBorders>
          </w:tcPr>
          <w:p w14:paraId="3CDC490A" w14:textId="77777777" w:rsidR="00CA23D0" w:rsidRPr="00E30642" w:rsidRDefault="00CA23D0" w:rsidP="00CA23D0">
            <w:pPr>
              <w:pStyle w:val="Texttabulky"/>
              <w:spacing w:line="240" w:lineRule="atLeast"/>
              <w:jc w:val="both"/>
              <w:rPr>
                <w:rFonts w:cs="Arial"/>
              </w:rPr>
            </w:pPr>
            <w:r w:rsidRPr="00E30642">
              <w:rPr>
                <w:rFonts w:cs="Arial"/>
              </w:rPr>
              <w:t>1 200</w:t>
            </w:r>
          </w:p>
        </w:tc>
        <w:tc>
          <w:tcPr>
            <w:tcW w:w="1418" w:type="dxa"/>
            <w:tcBorders>
              <w:top w:val="single" w:sz="6" w:space="0" w:color="auto"/>
              <w:left w:val="single" w:sz="6" w:space="0" w:color="auto"/>
              <w:bottom w:val="single" w:sz="6" w:space="0" w:color="auto"/>
              <w:right w:val="single" w:sz="6" w:space="0" w:color="auto"/>
            </w:tcBorders>
          </w:tcPr>
          <w:p w14:paraId="69EAEAC2" w14:textId="77777777" w:rsidR="00CA23D0" w:rsidRPr="00E30642" w:rsidRDefault="00CA23D0" w:rsidP="00CA23D0">
            <w:pPr>
              <w:pStyle w:val="Texttabulky"/>
              <w:spacing w:line="240" w:lineRule="atLeast"/>
              <w:jc w:val="both"/>
              <w:rPr>
                <w:rFonts w:cs="Arial"/>
              </w:rPr>
            </w:pPr>
            <w:r w:rsidRPr="00E30642">
              <w:rPr>
                <w:rFonts w:cs="Arial"/>
              </w:rPr>
              <w:t>1 000</w:t>
            </w:r>
          </w:p>
        </w:tc>
      </w:tr>
      <w:tr w:rsidR="00CA23D0" w:rsidRPr="00E30642" w14:paraId="19714046" w14:textId="77777777" w:rsidTr="00CA23D0">
        <w:tc>
          <w:tcPr>
            <w:tcW w:w="1985" w:type="dxa"/>
            <w:tcBorders>
              <w:top w:val="single" w:sz="6" w:space="0" w:color="auto"/>
              <w:left w:val="single" w:sz="6" w:space="0" w:color="auto"/>
              <w:bottom w:val="single" w:sz="6" w:space="0" w:color="auto"/>
              <w:right w:val="single" w:sz="6" w:space="0" w:color="auto"/>
            </w:tcBorders>
          </w:tcPr>
          <w:p w14:paraId="63DF64F2" w14:textId="77777777" w:rsidR="00CA23D0" w:rsidRPr="00E30642" w:rsidRDefault="00CA23D0" w:rsidP="00CA23D0">
            <w:pPr>
              <w:pStyle w:val="Texttabulky"/>
              <w:spacing w:line="240" w:lineRule="atLeast"/>
              <w:ind w:firstLine="157"/>
              <w:jc w:val="both"/>
              <w:rPr>
                <w:rFonts w:cs="Arial"/>
              </w:rPr>
            </w:pPr>
            <w:r w:rsidRPr="00E30642">
              <w:rPr>
                <w:rFonts w:cs="Arial"/>
              </w:rPr>
              <w:t>Dolní Poustevna</w:t>
            </w:r>
          </w:p>
        </w:tc>
        <w:tc>
          <w:tcPr>
            <w:tcW w:w="1104" w:type="dxa"/>
            <w:tcBorders>
              <w:top w:val="single" w:sz="6" w:space="0" w:color="auto"/>
              <w:left w:val="single" w:sz="6" w:space="0" w:color="auto"/>
              <w:bottom w:val="single" w:sz="6" w:space="0" w:color="auto"/>
              <w:right w:val="single" w:sz="6" w:space="0" w:color="auto"/>
            </w:tcBorders>
          </w:tcPr>
          <w:p w14:paraId="0C307D4C" w14:textId="77777777" w:rsidR="00CA23D0" w:rsidRPr="00E30642" w:rsidRDefault="00CA23D0" w:rsidP="00CA23D0">
            <w:pPr>
              <w:pStyle w:val="Texttabulky"/>
              <w:spacing w:line="240" w:lineRule="atLeast"/>
              <w:jc w:val="both"/>
              <w:rPr>
                <w:rFonts w:cs="Arial"/>
              </w:rPr>
            </w:pPr>
            <w:r w:rsidRPr="00E30642">
              <w:rPr>
                <w:rFonts w:cs="Arial"/>
              </w:rPr>
              <w:t>1 107,17</w:t>
            </w:r>
          </w:p>
        </w:tc>
        <w:tc>
          <w:tcPr>
            <w:tcW w:w="1417" w:type="dxa"/>
            <w:tcBorders>
              <w:top w:val="single" w:sz="6" w:space="0" w:color="auto"/>
              <w:left w:val="single" w:sz="6" w:space="0" w:color="auto"/>
              <w:bottom w:val="single" w:sz="6" w:space="0" w:color="auto"/>
              <w:right w:val="single" w:sz="6" w:space="0" w:color="auto"/>
            </w:tcBorders>
          </w:tcPr>
          <w:p w14:paraId="3B4376DF" w14:textId="77777777" w:rsidR="00CA23D0" w:rsidRPr="00E30642" w:rsidRDefault="00CA23D0" w:rsidP="00CA23D0">
            <w:pPr>
              <w:pStyle w:val="Texttabulky"/>
              <w:spacing w:line="240" w:lineRule="atLeast"/>
              <w:jc w:val="both"/>
              <w:rPr>
                <w:rFonts w:cs="Arial"/>
              </w:rPr>
            </w:pPr>
            <w:r w:rsidRPr="00E30642">
              <w:rPr>
                <w:rFonts w:cs="Arial"/>
              </w:rPr>
              <w:t>1 746</w:t>
            </w:r>
          </w:p>
        </w:tc>
        <w:tc>
          <w:tcPr>
            <w:tcW w:w="1418" w:type="dxa"/>
            <w:tcBorders>
              <w:top w:val="single" w:sz="6" w:space="0" w:color="auto"/>
              <w:left w:val="single" w:sz="6" w:space="0" w:color="auto"/>
              <w:bottom w:val="single" w:sz="6" w:space="0" w:color="auto"/>
              <w:right w:val="single" w:sz="6" w:space="0" w:color="auto"/>
            </w:tcBorders>
          </w:tcPr>
          <w:p w14:paraId="26340D93" w14:textId="77777777" w:rsidR="00CA23D0" w:rsidRPr="00E30642" w:rsidRDefault="00CA23D0" w:rsidP="00CA23D0">
            <w:pPr>
              <w:pStyle w:val="Texttabulky"/>
              <w:spacing w:line="240" w:lineRule="atLeast"/>
              <w:jc w:val="both"/>
              <w:rPr>
                <w:rFonts w:cs="Arial"/>
              </w:rPr>
            </w:pPr>
            <w:r w:rsidRPr="00E30642">
              <w:rPr>
                <w:rFonts w:cs="Arial"/>
              </w:rPr>
              <w:t>1 739</w:t>
            </w:r>
          </w:p>
        </w:tc>
        <w:tc>
          <w:tcPr>
            <w:tcW w:w="1417" w:type="dxa"/>
            <w:tcBorders>
              <w:top w:val="single" w:sz="6" w:space="0" w:color="auto"/>
              <w:left w:val="single" w:sz="6" w:space="0" w:color="auto"/>
              <w:bottom w:val="single" w:sz="6" w:space="0" w:color="auto"/>
              <w:right w:val="single" w:sz="6" w:space="0" w:color="auto"/>
            </w:tcBorders>
          </w:tcPr>
          <w:p w14:paraId="35F97B99" w14:textId="77777777" w:rsidR="00CA23D0" w:rsidRPr="00E30642" w:rsidRDefault="00CA23D0" w:rsidP="00CA23D0">
            <w:pPr>
              <w:pStyle w:val="Texttabulky"/>
              <w:spacing w:line="240" w:lineRule="atLeast"/>
              <w:jc w:val="both"/>
              <w:rPr>
                <w:rFonts w:cs="Arial"/>
              </w:rPr>
            </w:pPr>
            <w:r w:rsidRPr="00E30642">
              <w:rPr>
                <w:rFonts w:cs="Arial"/>
              </w:rPr>
              <w:t>1 750</w:t>
            </w:r>
          </w:p>
        </w:tc>
        <w:tc>
          <w:tcPr>
            <w:tcW w:w="1418" w:type="dxa"/>
            <w:tcBorders>
              <w:top w:val="single" w:sz="6" w:space="0" w:color="auto"/>
              <w:left w:val="single" w:sz="6" w:space="0" w:color="auto"/>
              <w:bottom w:val="single" w:sz="6" w:space="0" w:color="auto"/>
              <w:right w:val="single" w:sz="6" w:space="0" w:color="auto"/>
            </w:tcBorders>
          </w:tcPr>
          <w:p w14:paraId="3F076317" w14:textId="77777777" w:rsidR="00CA23D0" w:rsidRPr="00E30642" w:rsidRDefault="00CA23D0" w:rsidP="00CA23D0">
            <w:pPr>
              <w:pStyle w:val="Texttabulky"/>
              <w:spacing w:line="240" w:lineRule="atLeast"/>
              <w:jc w:val="both"/>
              <w:rPr>
                <w:rFonts w:cs="Arial"/>
              </w:rPr>
            </w:pPr>
            <w:r w:rsidRPr="00E30642">
              <w:rPr>
                <w:rFonts w:cs="Arial"/>
              </w:rPr>
              <w:t>1 700</w:t>
            </w:r>
          </w:p>
        </w:tc>
      </w:tr>
      <w:tr w:rsidR="00CA23D0" w:rsidRPr="00E30642" w14:paraId="0F93C6A9" w14:textId="77777777" w:rsidTr="00CA23D0">
        <w:tc>
          <w:tcPr>
            <w:tcW w:w="1985" w:type="dxa"/>
            <w:tcBorders>
              <w:top w:val="single" w:sz="6" w:space="0" w:color="auto"/>
              <w:left w:val="single" w:sz="6" w:space="0" w:color="auto"/>
              <w:bottom w:val="single" w:sz="6" w:space="0" w:color="auto"/>
              <w:right w:val="single" w:sz="6" w:space="0" w:color="auto"/>
            </w:tcBorders>
          </w:tcPr>
          <w:p w14:paraId="28BB8BE2" w14:textId="77777777" w:rsidR="00CA23D0" w:rsidRPr="00E30642" w:rsidRDefault="00CA23D0" w:rsidP="00CA23D0">
            <w:pPr>
              <w:pStyle w:val="Texttabulky"/>
              <w:spacing w:line="240" w:lineRule="atLeast"/>
              <w:ind w:firstLine="157"/>
              <w:jc w:val="both"/>
              <w:rPr>
                <w:rFonts w:cs="Arial"/>
              </w:rPr>
            </w:pPr>
            <w:r w:rsidRPr="00E30642">
              <w:rPr>
                <w:rFonts w:cs="Arial"/>
              </w:rPr>
              <w:t>Doubice</w:t>
            </w:r>
          </w:p>
        </w:tc>
        <w:tc>
          <w:tcPr>
            <w:tcW w:w="1104" w:type="dxa"/>
            <w:tcBorders>
              <w:top w:val="single" w:sz="6" w:space="0" w:color="auto"/>
              <w:left w:val="single" w:sz="6" w:space="0" w:color="auto"/>
              <w:bottom w:val="single" w:sz="6" w:space="0" w:color="auto"/>
              <w:right w:val="single" w:sz="6" w:space="0" w:color="auto"/>
            </w:tcBorders>
          </w:tcPr>
          <w:p w14:paraId="3DF21765" w14:textId="77777777" w:rsidR="00CA23D0" w:rsidRPr="00E30642" w:rsidRDefault="00CA23D0" w:rsidP="00CA23D0">
            <w:pPr>
              <w:pStyle w:val="Texttabulky"/>
              <w:spacing w:line="240" w:lineRule="atLeast"/>
              <w:jc w:val="both"/>
              <w:rPr>
                <w:rFonts w:cs="Arial"/>
              </w:rPr>
            </w:pPr>
            <w:r w:rsidRPr="00E30642">
              <w:rPr>
                <w:rFonts w:cs="Arial"/>
              </w:rPr>
              <w:t>1 928,75</w:t>
            </w:r>
          </w:p>
        </w:tc>
        <w:tc>
          <w:tcPr>
            <w:tcW w:w="1417" w:type="dxa"/>
            <w:tcBorders>
              <w:top w:val="single" w:sz="6" w:space="0" w:color="auto"/>
              <w:left w:val="single" w:sz="6" w:space="0" w:color="auto"/>
              <w:bottom w:val="single" w:sz="6" w:space="0" w:color="auto"/>
              <w:right w:val="single" w:sz="6" w:space="0" w:color="auto"/>
            </w:tcBorders>
          </w:tcPr>
          <w:p w14:paraId="0B7863AC" w14:textId="77777777" w:rsidR="00CA23D0" w:rsidRPr="00E30642" w:rsidRDefault="00CA23D0" w:rsidP="00CA23D0">
            <w:pPr>
              <w:pStyle w:val="Texttabulky"/>
              <w:spacing w:line="240" w:lineRule="atLeast"/>
              <w:jc w:val="both"/>
              <w:rPr>
                <w:rFonts w:cs="Arial"/>
              </w:rPr>
            </w:pPr>
            <w:r w:rsidRPr="00E30642">
              <w:rPr>
                <w:rFonts w:cs="Arial"/>
              </w:rPr>
              <w:t>53</w:t>
            </w:r>
          </w:p>
        </w:tc>
        <w:tc>
          <w:tcPr>
            <w:tcW w:w="1418" w:type="dxa"/>
            <w:tcBorders>
              <w:top w:val="single" w:sz="6" w:space="0" w:color="auto"/>
              <w:left w:val="single" w:sz="6" w:space="0" w:color="auto"/>
              <w:bottom w:val="single" w:sz="6" w:space="0" w:color="auto"/>
              <w:right w:val="single" w:sz="6" w:space="0" w:color="auto"/>
            </w:tcBorders>
          </w:tcPr>
          <w:p w14:paraId="24947921" w14:textId="77777777" w:rsidR="00CA23D0" w:rsidRPr="00E30642" w:rsidRDefault="00CA23D0" w:rsidP="00CA23D0">
            <w:pPr>
              <w:pStyle w:val="Texttabulky"/>
              <w:spacing w:line="240" w:lineRule="atLeast"/>
              <w:jc w:val="both"/>
              <w:rPr>
                <w:rFonts w:cs="Arial"/>
              </w:rPr>
            </w:pPr>
            <w:r w:rsidRPr="00E30642">
              <w:rPr>
                <w:rFonts w:cs="Arial"/>
              </w:rPr>
              <w:t>79</w:t>
            </w:r>
          </w:p>
        </w:tc>
        <w:tc>
          <w:tcPr>
            <w:tcW w:w="1417" w:type="dxa"/>
            <w:tcBorders>
              <w:top w:val="single" w:sz="6" w:space="0" w:color="auto"/>
              <w:left w:val="single" w:sz="6" w:space="0" w:color="auto"/>
              <w:bottom w:val="single" w:sz="6" w:space="0" w:color="auto"/>
              <w:right w:val="single" w:sz="6" w:space="0" w:color="auto"/>
            </w:tcBorders>
          </w:tcPr>
          <w:p w14:paraId="6EF7B0F1" w14:textId="77777777" w:rsidR="00CA23D0" w:rsidRPr="00E30642" w:rsidRDefault="00CA23D0" w:rsidP="00CA23D0">
            <w:pPr>
              <w:pStyle w:val="Texttabulky"/>
              <w:spacing w:line="240" w:lineRule="atLeast"/>
              <w:jc w:val="both"/>
              <w:rPr>
                <w:rFonts w:cs="Arial"/>
              </w:rPr>
            </w:pPr>
            <w:r w:rsidRPr="00E30642">
              <w:rPr>
                <w:rFonts w:cs="Arial"/>
              </w:rPr>
              <w:t>100</w:t>
            </w:r>
          </w:p>
        </w:tc>
        <w:tc>
          <w:tcPr>
            <w:tcW w:w="1418" w:type="dxa"/>
            <w:tcBorders>
              <w:top w:val="single" w:sz="6" w:space="0" w:color="auto"/>
              <w:left w:val="single" w:sz="6" w:space="0" w:color="auto"/>
              <w:bottom w:val="single" w:sz="6" w:space="0" w:color="auto"/>
              <w:right w:val="single" w:sz="6" w:space="0" w:color="auto"/>
            </w:tcBorders>
          </w:tcPr>
          <w:p w14:paraId="2F4BF21B"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79F2EC71" w14:textId="77777777" w:rsidTr="00CA23D0">
        <w:tc>
          <w:tcPr>
            <w:tcW w:w="1985" w:type="dxa"/>
            <w:tcBorders>
              <w:top w:val="single" w:sz="6" w:space="0" w:color="auto"/>
              <w:left w:val="single" w:sz="6" w:space="0" w:color="auto"/>
              <w:bottom w:val="single" w:sz="6" w:space="0" w:color="auto"/>
              <w:right w:val="single" w:sz="6" w:space="0" w:color="auto"/>
            </w:tcBorders>
          </w:tcPr>
          <w:p w14:paraId="3338F47F" w14:textId="77777777" w:rsidR="00CA23D0" w:rsidRPr="00E30642" w:rsidRDefault="00CA23D0" w:rsidP="00CA23D0">
            <w:pPr>
              <w:pStyle w:val="Texttabulky"/>
              <w:spacing w:line="240" w:lineRule="atLeast"/>
              <w:ind w:firstLine="157"/>
              <w:jc w:val="both"/>
              <w:rPr>
                <w:rFonts w:cs="Arial"/>
              </w:rPr>
            </w:pPr>
            <w:r w:rsidRPr="00E30642">
              <w:rPr>
                <w:rFonts w:cs="Arial"/>
              </w:rPr>
              <w:t>Františkov nad Ploučnicí</w:t>
            </w:r>
          </w:p>
        </w:tc>
        <w:tc>
          <w:tcPr>
            <w:tcW w:w="1104" w:type="dxa"/>
            <w:tcBorders>
              <w:top w:val="single" w:sz="6" w:space="0" w:color="auto"/>
              <w:left w:val="single" w:sz="6" w:space="0" w:color="auto"/>
              <w:bottom w:val="single" w:sz="6" w:space="0" w:color="auto"/>
              <w:right w:val="single" w:sz="6" w:space="0" w:color="auto"/>
            </w:tcBorders>
          </w:tcPr>
          <w:p w14:paraId="2B088155" w14:textId="77777777" w:rsidR="00CA23D0" w:rsidRPr="00E30642" w:rsidRDefault="00CA23D0" w:rsidP="00CA23D0">
            <w:pPr>
              <w:pStyle w:val="Texttabulky"/>
              <w:spacing w:line="240" w:lineRule="atLeast"/>
              <w:jc w:val="both"/>
              <w:rPr>
                <w:rFonts w:cs="Arial"/>
              </w:rPr>
            </w:pPr>
            <w:r w:rsidRPr="00E30642">
              <w:rPr>
                <w:rFonts w:cs="Arial"/>
              </w:rPr>
              <w:t>536,77</w:t>
            </w:r>
          </w:p>
        </w:tc>
        <w:tc>
          <w:tcPr>
            <w:tcW w:w="1417" w:type="dxa"/>
            <w:tcBorders>
              <w:top w:val="single" w:sz="6" w:space="0" w:color="auto"/>
              <w:left w:val="single" w:sz="6" w:space="0" w:color="auto"/>
              <w:bottom w:val="single" w:sz="6" w:space="0" w:color="auto"/>
              <w:right w:val="single" w:sz="6" w:space="0" w:color="auto"/>
            </w:tcBorders>
          </w:tcPr>
          <w:p w14:paraId="00566184" w14:textId="77777777" w:rsidR="00CA23D0" w:rsidRPr="00E30642" w:rsidRDefault="00CA23D0" w:rsidP="00CA23D0">
            <w:pPr>
              <w:pStyle w:val="Texttabulky"/>
              <w:spacing w:line="240" w:lineRule="atLeast"/>
              <w:jc w:val="both"/>
              <w:rPr>
                <w:rFonts w:cs="Arial"/>
              </w:rPr>
            </w:pPr>
            <w:r w:rsidRPr="00E30642">
              <w:rPr>
                <w:rFonts w:cs="Arial"/>
              </w:rPr>
              <w:t>397</w:t>
            </w:r>
          </w:p>
        </w:tc>
        <w:tc>
          <w:tcPr>
            <w:tcW w:w="1418" w:type="dxa"/>
            <w:tcBorders>
              <w:top w:val="single" w:sz="6" w:space="0" w:color="auto"/>
              <w:left w:val="single" w:sz="6" w:space="0" w:color="auto"/>
              <w:bottom w:val="single" w:sz="6" w:space="0" w:color="auto"/>
              <w:right w:val="single" w:sz="6" w:space="0" w:color="auto"/>
            </w:tcBorders>
          </w:tcPr>
          <w:p w14:paraId="0CE7AAF2" w14:textId="77777777" w:rsidR="00CA23D0" w:rsidRPr="00E30642" w:rsidRDefault="00CA23D0" w:rsidP="00CA23D0">
            <w:pPr>
              <w:pStyle w:val="Texttabulky"/>
              <w:spacing w:line="240" w:lineRule="atLeast"/>
              <w:jc w:val="both"/>
              <w:rPr>
                <w:rFonts w:cs="Arial"/>
              </w:rPr>
            </w:pPr>
            <w:r w:rsidRPr="00E30642">
              <w:rPr>
                <w:rFonts w:cs="Arial"/>
              </w:rPr>
              <w:t>386</w:t>
            </w:r>
          </w:p>
        </w:tc>
        <w:tc>
          <w:tcPr>
            <w:tcW w:w="1417" w:type="dxa"/>
            <w:tcBorders>
              <w:top w:val="single" w:sz="6" w:space="0" w:color="auto"/>
              <w:left w:val="single" w:sz="6" w:space="0" w:color="auto"/>
              <w:bottom w:val="single" w:sz="6" w:space="0" w:color="auto"/>
              <w:right w:val="single" w:sz="6" w:space="0" w:color="auto"/>
            </w:tcBorders>
          </w:tcPr>
          <w:p w14:paraId="2E95BCEA" w14:textId="77777777" w:rsidR="00CA23D0" w:rsidRPr="00E30642" w:rsidRDefault="00CA23D0" w:rsidP="00CA23D0">
            <w:pPr>
              <w:pStyle w:val="Texttabulky"/>
              <w:spacing w:line="240" w:lineRule="atLeast"/>
              <w:jc w:val="both"/>
              <w:rPr>
                <w:rFonts w:cs="Arial"/>
              </w:rPr>
            </w:pPr>
            <w:r w:rsidRPr="00E30642">
              <w:rPr>
                <w:rFonts w:cs="Arial"/>
              </w:rPr>
              <w:t>300</w:t>
            </w:r>
          </w:p>
        </w:tc>
        <w:tc>
          <w:tcPr>
            <w:tcW w:w="1418" w:type="dxa"/>
            <w:tcBorders>
              <w:top w:val="single" w:sz="6" w:space="0" w:color="auto"/>
              <w:left w:val="single" w:sz="6" w:space="0" w:color="auto"/>
              <w:bottom w:val="single" w:sz="6" w:space="0" w:color="auto"/>
              <w:right w:val="single" w:sz="6" w:space="0" w:color="auto"/>
            </w:tcBorders>
          </w:tcPr>
          <w:p w14:paraId="417D2B4C"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1FEE342F" w14:textId="77777777" w:rsidTr="00CA23D0">
        <w:tc>
          <w:tcPr>
            <w:tcW w:w="1985" w:type="dxa"/>
            <w:tcBorders>
              <w:top w:val="single" w:sz="6" w:space="0" w:color="auto"/>
              <w:left w:val="single" w:sz="6" w:space="0" w:color="auto"/>
              <w:bottom w:val="single" w:sz="6" w:space="0" w:color="auto"/>
              <w:right w:val="single" w:sz="6" w:space="0" w:color="auto"/>
            </w:tcBorders>
          </w:tcPr>
          <w:p w14:paraId="7765ADDF" w14:textId="77777777" w:rsidR="00CA23D0" w:rsidRPr="00E30642" w:rsidRDefault="00CA23D0" w:rsidP="00CA23D0">
            <w:pPr>
              <w:pStyle w:val="Texttabulky"/>
              <w:spacing w:line="240" w:lineRule="atLeast"/>
              <w:ind w:firstLine="157"/>
              <w:jc w:val="both"/>
              <w:rPr>
                <w:rFonts w:cs="Arial"/>
              </w:rPr>
            </w:pPr>
            <w:r w:rsidRPr="00E30642">
              <w:rPr>
                <w:rFonts w:cs="Arial"/>
              </w:rPr>
              <w:t>Heřmanov</w:t>
            </w:r>
          </w:p>
        </w:tc>
        <w:tc>
          <w:tcPr>
            <w:tcW w:w="1104" w:type="dxa"/>
            <w:tcBorders>
              <w:top w:val="single" w:sz="6" w:space="0" w:color="auto"/>
              <w:left w:val="single" w:sz="6" w:space="0" w:color="auto"/>
              <w:bottom w:val="single" w:sz="6" w:space="0" w:color="auto"/>
              <w:right w:val="single" w:sz="6" w:space="0" w:color="auto"/>
            </w:tcBorders>
          </w:tcPr>
          <w:p w14:paraId="12CC49E9" w14:textId="77777777" w:rsidR="00CA23D0" w:rsidRPr="00E30642" w:rsidRDefault="00CA23D0" w:rsidP="00CA23D0">
            <w:pPr>
              <w:pStyle w:val="Texttabulky"/>
              <w:spacing w:line="240" w:lineRule="atLeast"/>
              <w:jc w:val="both"/>
              <w:rPr>
                <w:rFonts w:cs="Arial"/>
              </w:rPr>
            </w:pPr>
            <w:r w:rsidRPr="00E30642">
              <w:rPr>
                <w:rFonts w:cs="Arial"/>
              </w:rPr>
              <w:t>1 771,1</w:t>
            </w:r>
          </w:p>
        </w:tc>
        <w:tc>
          <w:tcPr>
            <w:tcW w:w="1417" w:type="dxa"/>
            <w:tcBorders>
              <w:top w:val="single" w:sz="6" w:space="0" w:color="auto"/>
              <w:left w:val="single" w:sz="6" w:space="0" w:color="auto"/>
              <w:bottom w:val="single" w:sz="6" w:space="0" w:color="auto"/>
              <w:right w:val="single" w:sz="6" w:space="0" w:color="auto"/>
            </w:tcBorders>
          </w:tcPr>
          <w:p w14:paraId="423C39E6" w14:textId="77777777" w:rsidR="00CA23D0" w:rsidRPr="00E30642" w:rsidRDefault="00CA23D0" w:rsidP="00CA23D0">
            <w:pPr>
              <w:pStyle w:val="Texttabulky"/>
              <w:spacing w:line="240" w:lineRule="atLeast"/>
              <w:jc w:val="both"/>
              <w:rPr>
                <w:rFonts w:cs="Arial"/>
              </w:rPr>
            </w:pPr>
            <w:r w:rsidRPr="00E30642">
              <w:rPr>
                <w:rFonts w:cs="Arial"/>
              </w:rPr>
              <w:t>395</w:t>
            </w:r>
          </w:p>
        </w:tc>
        <w:tc>
          <w:tcPr>
            <w:tcW w:w="1418" w:type="dxa"/>
            <w:tcBorders>
              <w:top w:val="single" w:sz="6" w:space="0" w:color="auto"/>
              <w:left w:val="single" w:sz="6" w:space="0" w:color="auto"/>
              <w:bottom w:val="single" w:sz="6" w:space="0" w:color="auto"/>
              <w:right w:val="single" w:sz="6" w:space="0" w:color="auto"/>
            </w:tcBorders>
          </w:tcPr>
          <w:p w14:paraId="1B86069F" w14:textId="77777777" w:rsidR="00CA23D0" w:rsidRPr="00E30642" w:rsidRDefault="00CA23D0" w:rsidP="00CA23D0">
            <w:pPr>
              <w:pStyle w:val="Texttabulky"/>
              <w:spacing w:line="240" w:lineRule="atLeast"/>
              <w:jc w:val="both"/>
              <w:rPr>
                <w:rFonts w:cs="Arial"/>
              </w:rPr>
            </w:pPr>
            <w:r w:rsidRPr="00E30642">
              <w:rPr>
                <w:rFonts w:cs="Arial"/>
              </w:rPr>
              <w:t>439</w:t>
            </w:r>
          </w:p>
        </w:tc>
        <w:tc>
          <w:tcPr>
            <w:tcW w:w="1417" w:type="dxa"/>
            <w:tcBorders>
              <w:top w:val="single" w:sz="6" w:space="0" w:color="auto"/>
              <w:left w:val="single" w:sz="6" w:space="0" w:color="auto"/>
              <w:bottom w:val="single" w:sz="6" w:space="0" w:color="auto"/>
              <w:right w:val="single" w:sz="6" w:space="0" w:color="auto"/>
            </w:tcBorders>
          </w:tcPr>
          <w:p w14:paraId="7FB8C1F9"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6DF660D8"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4E54946F" w14:textId="77777777" w:rsidTr="00CA23D0">
        <w:tc>
          <w:tcPr>
            <w:tcW w:w="1985" w:type="dxa"/>
            <w:tcBorders>
              <w:top w:val="single" w:sz="6" w:space="0" w:color="auto"/>
              <w:left w:val="single" w:sz="6" w:space="0" w:color="auto"/>
              <w:bottom w:val="single" w:sz="6" w:space="0" w:color="auto"/>
              <w:right w:val="single" w:sz="6" w:space="0" w:color="auto"/>
            </w:tcBorders>
          </w:tcPr>
          <w:p w14:paraId="1054B057" w14:textId="77777777" w:rsidR="00CA23D0" w:rsidRPr="00E30642" w:rsidRDefault="00CA23D0" w:rsidP="00CA23D0">
            <w:pPr>
              <w:pStyle w:val="Texttabulky"/>
              <w:spacing w:line="240" w:lineRule="atLeast"/>
              <w:ind w:firstLine="157"/>
              <w:jc w:val="both"/>
              <w:rPr>
                <w:rFonts w:cs="Arial"/>
              </w:rPr>
            </w:pPr>
            <w:r w:rsidRPr="00E30642">
              <w:rPr>
                <w:rFonts w:cs="Arial"/>
              </w:rPr>
              <w:t>Horní Habartice</w:t>
            </w:r>
          </w:p>
        </w:tc>
        <w:tc>
          <w:tcPr>
            <w:tcW w:w="1104" w:type="dxa"/>
            <w:tcBorders>
              <w:top w:val="single" w:sz="6" w:space="0" w:color="auto"/>
              <w:left w:val="single" w:sz="6" w:space="0" w:color="auto"/>
              <w:bottom w:val="single" w:sz="6" w:space="0" w:color="auto"/>
              <w:right w:val="single" w:sz="6" w:space="0" w:color="auto"/>
            </w:tcBorders>
          </w:tcPr>
          <w:p w14:paraId="1BFDB51A" w14:textId="77777777" w:rsidR="00CA23D0" w:rsidRPr="00E30642" w:rsidRDefault="00CA23D0" w:rsidP="00CA23D0">
            <w:pPr>
              <w:pStyle w:val="Texttabulky"/>
              <w:spacing w:line="240" w:lineRule="atLeast"/>
              <w:jc w:val="both"/>
              <w:rPr>
                <w:rFonts w:cs="Arial"/>
              </w:rPr>
            </w:pPr>
            <w:r w:rsidRPr="00E30642">
              <w:rPr>
                <w:rFonts w:cs="Arial"/>
              </w:rPr>
              <w:t>726,43</w:t>
            </w:r>
          </w:p>
        </w:tc>
        <w:tc>
          <w:tcPr>
            <w:tcW w:w="1417" w:type="dxa"/>
            <w:tcBorders>
              <w:top w:val="single" w:sz="6" w:space="0" w:color="auto"/>
              <w:left w:val="single" w:sz="6" w:space="0" w:color="auto"/>
              <w:bottom w:val="single" w:sz="6" w:space="0" w:color="auto"/>
              <w:right w:val="single" w:sz="6" w:space="0" w:color="auto"/>
            </w:tcBorders>
          </w:tcPr>
          <w:p w14:paraId="6F196276" w14:textId="77777777" w:rsidR="00CA23D0" w:rsidRPr="00E30642" w:rsidRDefault="00CA23D0" w:rsidP="00CA23D0">
            <w:pPr>
              <w:pStyle w:val="Texttabulky"/>
              <w:spacing w:line="240" w:lineRule="atLeast"/>
              <w:jc w:val="both"/>
              <w:rPr>
                <w:rFonts w:cs="Arial"/>
              </w:rPr>
            </w:pPr>
            <w:r w:rsidRPr="00E30642">
              <w:rPr>
                <w:rFonts w:cs="Arial"/>
              </w:rPr>
              <w:t>368</w:t>
            </w:r>
          </w:p>
        </w:tc>
        <w:tc>
          <w:tcPr>
            <w:tcW w:w="1418" w:type="dxa"/>
            <w:tcBorders>
              <w:top w:val="single" w:sz="6" w:space="0" w:color="auto"/>
              <w:left w:val="single" w:sz="6" w:space="0" w:color="auto"/>
              <w:bottom w:val="single" w:sz="6" w:space="0" w:color="auto"/>
              <w:right w:val="single" w:sz="6" w:space="0" w:color="auto"/>
            </w:tcBorders>
          </w:tcPr>
          <w:p w14:paraId="3BE335AA" w14:textId="77777777" w:rsidR="00CA23D0" w:rsidRPr="00E30642" w:rsidRDefault="00CA23D0" w:rsidP="00CA23D0">
            <w:pPr>
              <w:pStyle w:val="Texttabulky"/>
              <w:spacing w:line="240" w:lineRule="atLeast"/>
              <w:jc w:val="both"/>
              <w:rPr>
                <w:rFonts w:cs="Arial"/>
              </w:rPr>
            </w:pPr>
            <w:r w:rsidRPr="00E30642">
              <w:rPr>
                <w:rFonts w:cs="Arial"/>
              </w:rPr>
              <w:t>368</w:t>
            </w:r>
          </w:p>
        </w:tc>
        <w:tc>
          <w:tcPr>
            <w:tcW w:w="1417" w:type="dxa"/>
            <w:tcBorders>
              <w:top w:val="single" w:sz="6" w:space="0" w:color="auto"/>
              <w:left w:val="single" w:sz="6" w:space="0" w:color="auto"/>
              <w:bottom w:val="single" w:sz="6" w:space="0" w:color="auto"/>
              <w:right w:val="single" w:sz="6" w:space="0" w:color="auto"/>
            </w:tcBorders>
          </w:tcPr>
          <w:p w14:paraId="168E8AB6" w14:textId="77777777" w:rsidR="00CA23D0" w:rsidRPr="00E30642" w:rsidRDefault="00CA23D0" w:rsidP="00CA23D0">
            <w:pPr>
              <w:pStyle w:val="Texttabulky"/>
              <w:spacing w:line="240" w:lineRule="atLeast"/>
              <w:jc w:val="both"/>
              <w:rPr>
                <w:rFonts w:cs="Arial"/>
              </w:rPr>
            </w:pPr>
            <w:r w:rsidRPr="00E30642">
              <w:rPr>
                <w:rFonts w:cs="Arial"/>
              </w:rPr>
              <w:t>300</w:t>
            </w:r>
          </w:p>
        </w:tc>
        <w:tc>
          <w:tcPr>
            <w:tcW w:w="1418" w:type="dxa"/>
            <w:tcBorders>
              <w:top w:val="single" w:sz="6" w:space="0" w:color="auto"/>
              <w:left w:val="single" w:sz="6" w:space="0" w:color="auto"/>
              <w:bottom w:val="single" w:sz="6" w:space="0" w:color="auto"/>
              <w:right w:val="single" w:sz="6" w:space="0" w:color="auto"/>
            </w:tcBorders>
          </w:tcPr>
          <w:p w14:paraId="756C1452" w14:textId="77777777" w:rsidR="00CA23D0" w:rsidRPr="00E30642" w:rsidRDefault="00CA23D0" w:rsidP="00CA23D0">
            <w:pPr>
              <w:pStyle w:val="Texttabulky"/>
              <w:spacing w:line="240" w:lineRule="atLeast"/>
              <w:jc w:val="both"/>
              <w:rPr>
                <w:rFonts w:cs="Arial"/>
              </w:rPr>
            </w:pPr>
            <w:r w:rsidRPr="00E30642">
              <w:rPr>
                <w:rFonts w:cs="Arial"/>
              </w:rPr>
              <w:t>350</w:t>
            </w:r>
          </w:p>
        </w:tc>
      </w:tr>
      <w:tr w:rsidR="00CA23D0" w:rsidRPr="00E30642" w14:paraId="3E0A0CC9" w14:textId="77777777" w:rsidTr="00CA23D0">
        <w:tc>
          <w:tcPr>
            <w:tcW w:w="1985" w:type="dxa"/>
            <w:tcBorders>
              <w:top w:val="single" w:sz="6" w:space="0" w:color="auto"/>
              <w:left w:val="single" w:sz="6" w:space="0" w:color="auto"/>
              <w:bottom w:val="single" w:sz="6" w:space="0" w:color="auto"/>
              <w:right w:val="single" w:sz="6" w:space="0" w:color="auto"/>
            </w:tcBorders>
          </w:tcPr>
          <w:p w14:paraId="1DCF4FE7" w14:textId="77777777" w:rsidR="00CA23D0" w:rsidRPr="00E30642" w:rsidRDefault="00CA23D0" w:rsidP="00CA23D0">
            <w:pPr>
              <w:pStyle w:val="Texttabulky"/>
              <w:spacing w:line="240" w:lineRule="atLeast"/>
              <w:ind w:firstLine="157"/>
              <w:jc w:val="both"/>
              <w:rPr>
                <w:rFonts w:cs="Arial"/>
              </w:rPr>
            </w:pPr>
            <w:r w:rsidRPr="00E30642">
              <w:rPr>
                <w:rFonts w:cs="Arial"/>
              </w:rPr>
              <w:t>Horní Podluží</w:t>
            </w:r>
          </w:p>
        </w:tc>
        <w:tc>
          <w:tcPr>
            <w:tcW w:w="1104" w:type="dxa"/>
            <w:tcBorders>
              <w:top w:val="single" w:sz="6" w:space="0" w:color="auto"/>
              <w:left w:val="single" w:sz="6" w:space="0" w:color="auto"/>
              <w:bottom w:val="single" w:sz="6" w:space="0" w:color="auto"/>
              <w:right w:val="single" w:sz="6" w:space="0" w:color="auto"/>
            </w:tcBorders>
          </w:tcPr>
          <w:p w14:paraId="353901C6" w14:textId="77777777" w:rsidR="00CA23D0" w:rsidRPr="00E30642" w:rsidRDefault="00CA23D0" w:rsidP="00CA23D0">
            <w:pPr>
              <w:pStyle w:val="Texttabulky"/>
              <w:spacing w:line="240" w:lineRule="atLeast"/>
              <w:jc w:val="both"/>
              <w:rPr>
                <w:rFonts w:cs="Arial"/>
              </w:rPr>
            </w:pPr>
            <w:r w:rsidRPr="00E30642">
              <w:rPr>
                <w:rFonts w:cs="Arial"/>
              </w:rPr>
              <w:t>732,1</w:t>
            </w:r>
          </w:p>
        </w:tc>
        <w:tc>
          <w:tcPr>
            <w:tcW w:w="1417" w:type="dxa"/>
            <w:tcBorders>
              <w:top w:val="single" w:sz="6" w:space="0" w:color="auto"/>
              <w:left w:val="single" w:sz="6" w:space="0" w:color="auto"/>
              <w:bottom w:val="single" w:sz="6" w:space="0" w:color="auto"/>
              <w:right w:val="single" w:sz="6" w:space="0" w:color="auto"/>
            </w:tcBorders>
          </w:tcPr>
          <w:p w14:paraId="6705CCE3" w14:textId="77777777" w:rsidR="00CA23D0" w:rsidRPr="00E30642" w:rsidRDefault="00CA23D0" w:rsidP="00CA23D0">
            <w:pPr>
              <w:pStyle w:val="Texttabulky"/>
              <w:spacing w:line="240" w:lineRule="atLeast"/>
              <w:jc w:val="both"/>
              <w:rPr>
                <w:rFonts w:cs="Arial"/>
              </w:rPr>
            </w:pPr>
            <w:r w:rsidRPr="00E30642">
              <w:rPr>
                <w:rFonts w:cs="Arial"/>
              </w:rPr>
              <w:t>687</w:t>
            </w:r>
          </w:p>
        </w:tc>
        <w:tc>
          <w:tcPr>
            <w:tcW w:w="1418" w:type="dxa"/>
            <w:tcBorders>
              <w:top w:val="single" w:sz="6" w:space="0" w:color="auto"/>
              <w:left w:val="single" w:sz="6" w:space="0" w:color="auto"/>
              <w:bottom w:val="single" w:sz="6" w:space="0" w:color="auto"/>
              <w:right w:val="single" w:sz="6" w:space="0" w:color="auto"/>
            </w:tcBorders>
          </w:tcPr>
          <w:p w14:paraId="64921700" w14:textId="77777777" w:rsidR="00CA23D0" w:rsidRPr="00E30642" w:rsidRDefault="00CA23D0" w:rsidP="00CA23D0">
            <w:pPr>
              <w:pStyle w:val="Texttabulky"/>
              <w:spacing w:line="240" w:lineRule="atLeast"/>
              <w:jc w:val="both"/>
              <w:rPr>
                <w:rFonts w:cs="Arial"/>
              </w:rPr>
            </w:pPr>
            <w:r w:rsidRPr="00E30642">
              <w:rPr>
                <w:rFonts w:cs="Arial"/>
              </w:rPr>
              <w:t>698</w:t>
            </w:r>
          </w:p>
        </w:tc>
        <w:tc>
          <w:tcPr>
            <w:tcW w:w="1417" w:type="dxa"/>
            <w:tcBorders>
              <w:top w:val="single" w:sz="6" w:space="0" w:color="auto"/>
              <w:left w:val="single" w:sz="6" w:space="0" w:color="auto"/>
              <w:bottom w:val="single" w:sz="6" w:space="0" w:color="auto"/>
              <w:right w:val="single" w:sz="6" w:space="0" w:color="auto"/>
            </w:tcBorders>
          </w:tcPr>
          <w:p w14:paraId="5389427A"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53C8163D" w14:textId="77777777" w:rsidR="00CA23D0" w:rsidRPr="00E30642" w:rsidRDefault="00CA23D0" w:rsidP="00CA23D0">
            <w:pPr>
              <w:pStyle w:val="Texttabulky"/>
              <w:spacing w:line="240" w:lineRule="atLeast"/>
              <w:jc w:val="both"/>
              <w:rPr>
                <w:rFonts w:cs="Arial"/>
              </w:rPr>
            </w:pPr>
            <w:r w:rsidRPr="00E30642">
              <w:rPr>
                <w:rFonts w:cs="Arial"/>
              </w:rPr>
              <w:t>600</w:t>
            </w:r>
          </w:p>
        </w:tc>
      </w:tr>
      <w:tr w:rsidR="00CA23D0" w:rsidRPr="00E30642" w14:paraId="21839213" w14:textId="77777777" w:rsidTr="00CA23D0">
        <w:tc>
          <w:tcPr>
            <w:tcW w:w="1985" w:type="dxa"/>
            <w:tcBorders>
              <w:top w:val="single" w:sz="6" w:space="0" w:color="auto"/>
              <w:left w:val="single" w:sz="6" w:space="0" w:color="auto"/>
              <w:bottom w:val="single" w:sz="6" w:space="0" w:color="auto"/>
              <w:right w:val="single" w:sz="6" w:space="0" w:color="auto"/>
            </w:tcBorders>
          </w:tcPr>
          <w:p w14:paraId="229940B4" w14:textId="77777777" w:rsidR="00CA23D0" w:rsidRPr="00E30642" w:rsidRDefault="00CA23D0" w:rsidP="00CA23D0">
            <w:pPr>
              <w:pStyle w:val="Texttabulky"/>
              <w:spacing w:line="240" w:lineRule="atLeast"/>
              <w:ind w:firstLine="157"/>
              <w:jc w:val="both"/>
              <w:rPr>
                <w:rFonts w:cs="Arial"/>
              </w:rPr>
            </w:pPr>
            <w:r w:rsidRPr="00E30642">
              <w:rPr>
                <w:rFonts w:cs="Arial"/>
              </w:rPr>
              <w:t>Hřensko</w:t>
            </w:r>
          </w:p>
        </w:tc>
        <w:tc>
          <w:tcPr>
            <w:tcW w:w="1104" w:type="dxa"/>
            <w:tcBorders>
              <w:top w:val="single" w:sz="6" w:space="0" w:color="auto"/>
              <w:left w:val="single" w:sz="6" w:space="0" w:color="auto"/>
              <w:bottom w:val="single" w:sz="6" w:space="0" w:color="auto"/>
              <w:right w:val="single" w:sz="6" w:space="0" w:color="auto"/>
            </w:tcBorders>
          </w:tcPr>
          <w:p w14:paraId="6C541061" w14:textId="77777777" w:rsidR="00CA23D0" w:rsidRPr="00E30642" w:rsidRDefault="00CA23D0" w:rsidP="00CA23D0">
            <w:pPr>
              <w:pStyle w:val="Texttabulky"/>
              <w:spacing w:line="240" w:lineRule="atLeast"/>
              <w:jc w:val="both"/>
              <w:rPr>
                <w:rFonts w:cs="Arial"/>
              </w:rPr>
            </w:pPr>
            <w:r w:rsidRPr="00E30642">
              <w:rPr>
                <w:rFonts w:cs="Arial"/>
              </w:rPr>
              <w:t>1 990,69</w:t>
            </w:r>
          </w:p>
        </w:tc>
        <w:tc>
          <w:tcPr>
            <w:tcW w:w="1417" w:type="dxa"/>
            <w:tcBorders>
              <w:top w:val="single" w:sz="6" w:space="0" w:color="auto"/>
              <w:left w:val="single" w:sz="6" w:space="0" w:color="auto"/>
              <w:bottom w:val="single" w:sz="6" w:space="0" w:color="auto"/>
              <w:right w:val="single" w:sz="6" w:space="0" w:color="auto"/>
            </w:tcBorders>
          </w:tcPr>
          <w:p w14:paraId="70055504" w14:textId="77777777" w:rsidR="00CA23D0" w:rsidRPr="00E30642" w:rsidRDefault="00CA23D0" w:rsidP="00CA23D0">
            <w:pPr>
              <w:pStyle w:val="Texttabulky"/>
              <w:spacing w:line="240" w:lineRule="atLeast"/>
              <w:jc w:val="both"/>
              <w:rPr>
                <w:rFonts w:cs="Arial"/>
              </w:rPr>
            </w:pPr>
            <w:r w:rsidRPr="00E30642">
              <w:rPr>
                <w:rFonts w:cs="Arial"/>
              </w:rPr>
              <w:t>199</w:t>
            </w:r>
          </w:p>
        </w:tc>
        <w:tc>
          <w:tcPr>
            <w:tcW w:w="1418" w:type="dxa"/>
            <w:tcBorders>
              <w:top w:val="single" w:sz="6" w:space="0" w:color="auto"/>
              <w:left w:val="single" w:sz="6" w:space="0" w:color="auto"/>
              <w:bottom w:val="single" w:sz="6" w:space="0" w:color="auto"/>
              <w:right w:val="single" w:sz="6" w:space="0" w:color="auto"/>
            </w:tcBorders>
          </w:tcPr>
          <w:p w14:paraId="179B7D5B" w14:textId="77777777" w:rsidR="00CA23D0" w:rsidRPr="00E30642" w:rsidRDefault="00CA23D0" w:rsidP="00CA23D0">
            <w:pPr>
              <w:pStyle w:val="Texttabulky"/>
              <w:spacing w:line="240" w:lineRule="atLeast"/>
              <w:jc w:val="both"/>
              <w:rPr>
                <w:rFonts w:cs="Arial"/>
              </w:rPr>
            </w:pPr>
            <w:r w:rsidRPr="00E30642">
              <w:rPr>
                <w:rFonts w:cs="Arial"/>
              </w:rPr>
              <w:t>234</w:t>
            </w:r>
          </w:p>
        </w:tc>
        <w:tc>
          <w:tcPr>
            <w:tcW w:w="1417" w:type="dxa"/>
            <w:tcBorders>
              <w:top w:val="single" w:sz="6" w:space="0" w:color="auto"/>
              <w:left w:val="single" w:sz="6" w:space="0" w:color="auto"/>
              <w:bottom w:val="single" w:sz="6" w:space="0" w:color="auto"/>
              <w:right w:val="single" w:sz="6" w:space="0" w:color="auto"/>
            </w:tcBorders>
          </w:tcPr>
          <w:p w14:paraId="4324CC1F" w14:textId="77777777" w:rsidR="00CA23D0" w:rsidRPr="00E30642" w:rsidRDefault="00CA23D0" w:rsidP="00CA23D0">
            <w:pPr>
              <w:pStyle w:val="Texttabulky"/>
              <w:spacing w:line="240" w:lineRule="atLeast"/>
              <w:jc w:val="both"/>
              <w:rPr>
                <w:rFonts w:cs="Arial"/>
              </w:rPr>
            </w:pPr>
            <w:r w:rsidRPr="00E30642">
              <w:rPr>
                <w:rFonts w:cs="Arial"/>
              </w:rPr>
              <w:t>250</w:t>
            </w:r>
          </w:p>
        </w:tc>
        <w:tc>
          <w:tcPr>
            <w:tcW w:w="1418" w:type="dxa"/>
            <w:tcBorders>
              <w:top w:val="single" w:sz="6" w:space="0" w:color="auto"/>
              <w:left w:val="single" w:sz="6" w:space="0" w:color="auto"/>
              <w:bottom w:val="single" w:sz="6" w:space="0" w:color="auto"/>
              <w:right w:val="single" w:sz="6" w:space="0" w:color="auto"/>
            </w:tcBorders>
          </w:tcPr>
          <w:p w14:paraId="75B7A6B6"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0B4BF661" w14:textId="77777777" w:rsidTr="00CA23D0">
        <w:tc>
          <w:tcPr>
            <w:tcW w:w="1985" w:type="dxa"/>
            <w:tcBorders>
              <w:top w:val="single" w:sz="6" w:space="0" w:color="auto"/>
              <w:left w:val="single" w:sz="6" w:space="0" w:color="auto"/>
              <w:bottom w:val="single" w:sz="6" w:space="0" w:color="auto"/>
              <w:right w:val="single" w:sz="6" w:space="0" w:color="auto"/>
            </w:tcBorders>
          </w:tcPr>
          <w:p w14:paraId="4F87A36A" w14:textId="77777777" w:rsidR="00CA23D0" w:rsidRPr="00E30642" w:rsidRDefault="00CA23D0" w:rsidP="00CA23D0">
            <w:pPr>
              <w:pStyle w:val="Texttabulky"/>
              <w:spacing w:line="240" w:lineRule="atLeast"/>
              <w:ind w:firstLine="157"/>
              <w:jc w:val="both"/>
              <w:rPr>
                <w:rFonts w:cs="Arial"/>
              </w:rPr>
            </w:pPr>
            <w:r w:rsidRPr="00E30642">
              <w:rPr>
                <w:rFonts w:cs="Arial"/>
              </w:rPr>
              <w:t>Huntířov</w:t>
            </w:r>
          </w:p>
        </w:tc>
        <w:tc>
          <w:tcPr>
            <w:tcW w:w="1104" w:type="dxa"/>
            <w:tcBorders>
              <w:top w:val="single" w:sz="6" w:space="0" w:color="auto"/>
              <w:left w:val="single" w:sz="6" w:space="0" w:color="auto"/>
              <w:bottom w:val="single" w:sz="6" w:space="0" w:color="auto"/>
              <w:right w:val="single" w:sz="6" w:space="0" w:color="auto"/>
            </w:tcBorders>
          </w:tcPr>
          <w:p w14:paraId="21950269" w14:textId="77777777" w:rsidR="00CA23D0" w:rsidRPr="00E30642" w:rsidRDefault="00CA23D0" w:rsidP="00CA23D0">
            <w:pPr>
              <w:pStyle w:val="Texttabulky"/>
              <w:spacing w:line="240" w:lineRule="atLeast"/>
              <w:jc w:val="both"/>
              <w:rPr>
                <w:rFonts w:cs="Arial"/>
              </w:rPr>
            </w:pPr>
            <w:r w:rsidRPr="00E30642">
              <w:rPr>
                <w:rFonts w:cs="Arial"/>
              </w:rPr>
              <w:t>1 423,19</w:t>
            </w:r>
          </w:p>
        </w:tc>
        <w:tc>
          <w:tcPr>
            <w:tcW w:w="1417" w:type="dxa"/>
            <w:tcBorders>
              <w:top w:val="single" w:sz="6" w:space="0" w:color="auto"/>
              <w:left w:val="single" w:sz="6" w:space="0" w:color="auto"/>
              <w:bottom w:val="single" w:sz="6" w:space="0" w:color="auto"/>
              <w:right w:val="single" w:sz="6" w:space="0" w:color="auto"/>
            </w:tcBorders>
          </w:tcPr>
          <w:p w14:paraId="6C8A3502" w14:textId="77777777" w:rsidR="00CA23D0" w:rsidRPr="00E30642" w:rsidRDefault="00CA23D0" w:rsidP="00CA23D0">
            <w:pPr>
              <w:pStyle w:val="Texttabulky"/>
              <w:spacing w:line="240" w:lineRule="atLeast"/>
              <w:jc w:val="both"/>
              <w:rPr>
                <w:rFonts w:cs="Arial"/>
              </w:rPr>
            </w:pPr>
            <w:r w:rsidRPr="00E30642">
              <w:rPr>
                <w:rFonts w:cs="Arial"/>
              </w:rPr>
              <w:t>535</w:t>
            </w:r>
          </w:p>
        </w:tc>
        <w:tc>
          <w:tcPr>
            <w:tcW w:w="1418" w:type="dxa"/>
            <w:tcBorders>
              <w:top w:val="single" w:sz="6" w:space="0" w:color="auto"/>
              <w:left w:val="single" w:sz="6" w:space="0" w:color="auto"/>
              <w:bottom w:val="single" w:sz="6" w:space="0" w:color="auto"/>
              <w:right w:val="single" w:sz="6" w:space="0" w:color="auto"/>
            </w:tcBorders>
          </w:tcPr>
          <w:p w14:paraId="0D2076C8" w14:textId="77777777" w:rsidR="00CA23D0" w:rsidRPr="00E30642" w:rsidRDefault="00CA23D0" w:rsidP="00CA23D0">
            <w:pPr>
              <w:pStyle w:val="Texttabulky"/>
              <w:spacing w:line="240" w:lineRule="atLeast"/>
              <w:jc w:val="both"/>
              <w:rPr>
                <w:rFonts w:cs="Arial"/>
              </w:rPr>
            </w:pPr>
            <w:r w:rsidRPr="00E30642">
              <w:rPr>
                <w:rFonts w:cs="Arial"/>
              </w:rPr>
              <w:t>644</w:t>
            </w:r>
          </w:p>
        </w:tc>
        <w:tc>
          <w:tcPr>
            <w:tcW w:w="1417" w:type="dxa"/>
            <w:tcBorders>
              <w:top w:val="single" w:sz="6" w:space="0" w:color="auto"/>
              <w:left w:val="single" w:sz="6" w:space="0" w:color="auto"/>
              <w:bottom w:val="single" w:sz="6" w:space="0" w:color="auto"/>
              <w:right w:val="single" w:sz="6" w:space="0" w:color="auto"/>
            </w:tcBorders>
          </w:tcPr>
          <w:p w14:paraId="31797D3F"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1CC6A245" w14:textId="77777777" w:rsidR="00CA23D0" w:rsidRPr="00E30642" w:rsidRDefault="00CA23D0" w:rsidP="00CA23D0">
            <w:pPr>
              <w:pStyle w:val="Texttabulky"/>
              <w:spacing w:line="240" w:lineRule="atLeast"/>
              <w:jc w:val="both"/>
              <w:rPr>
                <w:rFonts w:cs="Arial"/>
              </w:rPr>
            </w:pPr>
            <w:r w:rsidRPr="00E30642">
              <w:rPr>
                <w:rFonts w:cs="Arial"/>
              </w:rPr>
              <w:t>850</w:t>
            </w:r>
          </w:p>
        </w:tc>
      </w:tr>
      <w:tr w:rsidR="00CA23D0" w:rsidRPr="00E30642" w14:paraId="0DB0BD28" w14:textId="77777777" w:rsidTr="00CA23D0">
        <w:tc>
          <w:tcPr>
            <w:tcW w:w="1985" w:type="dxa"/>
            <w:tcBorders>
              <w:top w:val="single" w:sz="6" w:space="0" w:color="auto"/>
              <w:left w:val="single" w:sz="6" w:space="0" w:color="auto"/>
              <w:bottom w:val="single" w:sz="6" w:space="0" w:color="auto"/>
              <w:right w:val="single" w:sz="6" w:space="0" w:color="auto"/>
            </w:tcBorders>
          </w:tcPr>
          <w:p w14:paraId="7C379B63" w14:textId="77777777" w:rsidR="00CA23D0" w:rsidRPr="00E30642" w:rsidRDefault="00CA23D0" w:rsidP="00CA23D0">
            <w:pPr>
              <w:pStyle w:val="Texttabulky"/>
              <w:spacing w:line="240" w:lineRule="atLeast"/>
              <w:ind w:firstLine="157"/>
              <w:jc w:val="both"/>
              <w:rPr>
                <w:rFonts w:cs="Arial"/>
              </w:rPr>
            </w:pPr>
            <w:r w:rsidRPr="00E30642">
              <w:rPr>
                <w:rFonts w:cs="Arial"/>
              </w:rPr>
              <w:t>Chřibská</w:t>
            </w:r>
          </w:p>
        </w:tc>
        <w:tc>
          <w:tcPr>
            <w:tcW w:w="1104" w:type="dxa"/>
            <w:tcBorders>
              <w:top w:val="single" w:sz="6" w:space="0" w:color="auto"/>
              <w:left w:val="single" w:sz="6" w:space="0" w:color="auto"/>
              <w:bottom w:val="single" w:sz="6" w:space="0" w:color="auto"/>
              <w:right w:val="single" w:sz="6" w:space="0" w:color="auto"/>
            </w:tcBorders>
          </w:tcPr>
          <w:p w14:paraId="7C510EFC" w14:textId="77777777" w:rsidR="00CA23D0" w:rsidRPr="00E30642" w:rsidRDefault="00CA23D0" w:rsidP="00CA23D0">
            <w:pPr>
              <w:pStyle w:val="Texttabulky"/>
              <w:spacing w:line="240" w:lineRule="atLeast"/>
              <w:jc w:val="both"/>
              <w:rPr>
                <w:rFonts w:cs="Arial"/>
              </w:rPr>
            </w:pPr>
            <w:r w:rsidRPr="00E30642">
              <w:rPr>
                <w:rFonts w:cs="Arial"/>
              </w:rPr>
              <w:t>1 595,97</w:t>
            </w:r>
          </w:p>
        </w:tc>
        <w:tc>
          <w:tcPr>
            <w:tcW w:w="1417" w:type="dxa"/>
            <w:tcBorders>
              <w:top w:val="single" w:sz="6" w:space="0" w:color="auto"/>
              <w:left w:val="single" w:sz="6" w:space="0" w:color="auto"/>
              <w:bottom w:val="single" w:sz="6" w:space="0" w:color="auto"/>
              <w:right w:val="single" w:sz="6" w:space="0" w:color="auto"/>
            </w:tcBorders>
          </w:tcPr>
          <w:p w14:paraId="4CB8DAA6" w14:textId="77777777" w:rsidR="00CA23D0" w:rsidRPr="00E30642" w:rsidRDefault="00CA23D0" w:rsidP="00CA23D0">
            <w:pPr>
              <w:pStyle w:val="Texttabulky"/>
              <w:spacing w:line="240" w:lineRule="atLeast"/>
              <w:jc w:val="both"/>
              <w:rPr>
                <w:rFonts w:cs="Arial"/>
              </w:rPr>
            </w:pPr>
            <w:r w:rsidRPr="00E30642">
              <w:rPr>
                <w:rFonts w:cs="Arial"/>
              </w:rPr>
              <w:t>1 411</w:t>
            </w:r>
          </w:p>
        </w:tc>
        <w:tc>
          <w:tcPr>
            <w:tcW w:w="1418" w:type="dxa"/>
            <w:tcBorders>
              <w:top w:val="single" w:sz="6" w:space="0" w:color="auto"/>
              <w:left w:val="single" w:sz="6" w:space="0" w:color="auto"/>
              <w:bottom w:val="single" w:sz="6" w:space="0" w:color="auto"/>
              <w:right w:val="single" w:sz="6" w:space="0" w:color="auto"/>
            </w:tcBorders>
          </w:tcPr>
          <w:p w14:paraId="6AA8EAF1" w14:textId="77777777" w:rsidR="00CA23D0" w:rsidRPr="00E30642" w:rsidRDefault="00CA23D0" w:rsidP="00CA23D0">
            <w:pPr>
              <w:pStyle w:val="Texttabulky"/>
              <w:spacing w:line="240" w:lineRule="atLeast"/>
              <w:jc w:val="both"/>
              <w:rPr>
                <w:rFonts w:cs="Arial"/>
              </w:rPr>
            </w:pPr>
            <w:r w:rsidRPr="00E30642">
              <w:rPr>
                <w:rFonts w:cs="Arial"/>
              </w:rPr>
              <w:t>1 405</w:t>
            </w:r>
          </w:p>
        </w:tc>
        <w:tc>
          <w:tcPr>
            <w:tcW w:w="1417" w:type="dxa"/>
            <w:tcBorders>
              <w:top w:val="single" w:sz="6" w:space="0" w:color="auto"/>
              <w:left w:val="single" w:sz="6" w:space="0" w:color="auto"/>
              <w:bottom w:val="single" w:sz="6" w:space="0" w:color="auto"/>
              <w:right w:val="single" w:sz="6" w:space="0" w:color="auto"/>
            </w:tcBorders>
          </w:tcPr>
          <w:p w14:paraId="6D4A1B2E" w14:textId="77777777" w:rsidR="00CA23D0" w:rsidRPr="00E30642" w:rsidRDefault="00CA23D0" w:rsidP="00CA23D0">
            <w:pPr>
              <w:pStyle w:val="Texttabulky"/>
              <w:spacing w:line="240" w:lineRule="atLeast"/>
              <w:jc w:val="both"/>
              <w:rPr>
                <w:rFonts w:cs="Arial"/>
              </w:rPr>
            </w:pPr>
            <w:r w:rsidRPr="00E30642">
              <w:rPr>
                <w:rFonts w:cs="Arial"/>
              </w:rPr>
              <w:t>1 400</w:t>
            </w:r>
          </w:p>
        </w:tc>
        <w:tc>
          <w:tcPr>
            <w:tcW w:w="1418" w:type="dxa"/>
            <w:tcBorders>
              <w:top w:val="single" w:sz="6" w:space="0" w:color="auto"/>
              <w:left w:val="single" w:sz="6" w:space="0" w:color="auto"/>
              <w:bottom w:val="single" w:sz="6" w:space="0" w:color="auto"/>
              <w:right w:val="single" w:sz="6" w:space="0" w:color="auto"/>
            </w:tcBorders>
          </w:tcPr>
          <w:p w14:paraId="4F01A8AC" w14:textId="77777777" w:rsidR="00CA23D0" w:rsidRPr="00E30642" w:rsidRDefault="00CA23D0" w:rsidP="00CA23D0">
            <w:pPr>
              <w:pStyle w:val="Texttabulky"/>
              <w:spacing w:line="240" w:lineRule="atLeast"/>
              <w:jc w:val="both"/>
              <w:rPr>
                <w:rFonts w:cs="Arial"/>
              </w:rPr>
            </w:pPr>
            <w:r w:rsidRPr="00E30642">
              <w:rPr>
                <w:rFonts w:cs="Arial"/>
              </w:rPr>
              <w:t>1 300</w:t>
            </w:r>
          </w:p>
        </w:tc>
      </w:tr>
      <w:tr w:rsidR="00CA23D0" w:rsidRPr="00E30642" w14:paraId="7B7E023D" w14:textId="77777777" w:rsidTr="00CA23D0">
        <w:tc>
          <w:tcPr>
            <w:tcW w:w="1985" w:type="dxa"/>
            <w:tcBorders>
              <w:top w:val="single" w:sz="6" w:space="0" w:color="auto"/>
              <w:left w:val="single" w:sz="6" w:space="0" w:color="auto"/>
              <w:bottom w:val="single" w:sz="6" w:space="0" w:color="auto"/>
              <w:right w:val="single" w:sz="6" w:space="0" w:color="auto"/>
            </w:tcBorders>
          </w:tcPr>
          <w:p w14:paraId="505565DF" w14:textId="77777777" w:rsidR="00CA23D0" w:rsidRPr="00E30642" w:rsidRDefault="00CA23D0" w:rsidP="00CA23D0">
            <w:pPr>
              <w:pStyle w:val="Texttabulky"/>
              <w:spacing w:line="240" w:lineRule="atLeast"/>
              <w:ind w:firstLine="157"/>
              <w:jc w:val="both"/>
              <w:rPr>
                <w:rFonts w:cs="Arial"/>
              </w:rPr>
            </w:pPr>
            <w:r w:rsidRPr="00E30642">
              <w:rPr>
                <w:rFonts w:cs="Arial"/>
              </w:rPr>
              <w:t>Janov</w:t>
            </w:r>
          </w:p>
        </w:tc>
        <w:tc>
          <w:tcPr>
            <w:tcW w:w="1104" w:type="dxa"/>
            <w:tcBorders>
              <w:top w:val="single" w:sz="6" w:space="0" w:color="auto"/>
              <w:left w:val="single" w:sz="6" w:space="0" w:color="auto"/>
              <w:bottom w:val="single" w:sz="6" w:space="0" w:color="auto"/>
              <w:right w:val="single" w:sz="6" w:space="0" w:color="auto"/>
            </w:tcBorders>
          </w:tcPr>
          <w:p w14:paraId="7731FAA5" w14:textId="77777777" w:rsidR="00CA23D0" w:rsidRPr="00E30642" w:rsidRDefault="00CA23D0" w:rsidP="00CA23D0">
            <w:pPr>
              <w:pStyle w:val="Texttabulky"/>
              <w:spacing w:line="240" w:lineRule="atLeast"/>
              <w:jc w:val="both"/>
              <w:rPr>
                <w:rFonts w:cs="Arial"/>
              </w:rPr>
            </w:pPr>
            <w:r w:rsidRPr="00E30642">
              <w:rPr>
                <w:rFonts w:cs="Arial"/>
              </w:rPr>
              <w:t>466,23</w:t>
            </w:r>
          </w:p>
        </w:tc>
        <w:tc>
          <w:tcPr>
            <w:tcW w:w="1417" w:type="dxa"/>
            <w:tcBorders>
              <w:top w:val="single" w:sz="6" w:space="0" w:color="auto"/>
              <w:left w:val="single" w:sz="6" w:space="0" w:color="auto"/>
              <w:bottom w:val="single" w:sz="6" w:space="0" w:color="auto"/>
              <w:right w:val="single" w:sz="6" w:space="0" w:color="auto"/>
            </w:tcBorders>
          </w:tcPr>
          <w:p w14:paraId="53697597" w14:textId="77777777" w:rsidR="00CA23D0" w:rsidRPr="00E30642" w:rsidRDefault="00CA23D0" w:rsidP="00CA23D0">
            <w:pPr>
              <w:pStyle w:val="Texttabulky"/>
              <w:spacing w:line="240" w:lineRule="atLeast"/>
              <w:jc w:val="both"/>
              <w:rPr>
                <w:rFonts w:cs="Arial"/>
              </w:rPr>
            </w:pPr>
            <w:r w:rsidRPr="00E30642">
              <w:rPr>
                <w:rFonts w:cs="Arial"/>
              </w:rPr>
              <w:t>116</w:t>
            </w:r>
          </w:p>
        </w:tc>
        <w:tc>
          <w:tcPr>
            <w:tcW w:w="1418" w:type="dxa"/>
            <w:tcBorders>
              <w:top w:val="single" w:sz="6" w:space="0" w:color="auto"/>
              <w:left w:val="single" w:sz="6" w:space="0" w:color="auto"/>
              <w:bottom w:val="single" w:sz="6" w:space="0" w:color="auto"/>
              <w:right w:val="single" w:sz="6" w:space="0" w:color="auto"/>
            </w:tcBorders>
          </w:tcPr>
          <w:p w14:paraId="0FD10032" w14:textId="77777777" w:rsidR="00CA23D0" w:rsidRPr="00E30642" w:rsidRDefault="00CA23D0" w:rsidP="00CA23D0">
            <w:pPr>
              <w:pStyle w:val="Texttabulky"/>
              <w:spacing w:line="240" w:lineRule="atLeast"/>
              <w:jc w:val="both"/>
              <w:rPr>
                <w:rFonts w:cs="Arial"/>
              </w:rPr>
            </w:pPr>
            <w:r w:rsidRPr="00E30642">
              <w:rPr>
                <w:rFonts w:cs="Arial"/>
              </w:rPr>
              <w:t>167</w:t>
            </w:r>
          </w:p>
        </w:tc>
        <w:tc>
          <w:tcPr>
            <w:tcW w:w="1417" w:type="dxa"/>
            <w:tcBorders>
              <w:top w:val="single" w:sz="6" w:space="0" w:color="auto"/>
              <w:left w:val="single" w:sz="6" w:space="0" w:color="auto"/>
              <w:bottom w:val="single" w:sz="6" w:space="0" w:color="auto"/>
              <w:right w:val="single" w:sz="6" w:space="0" w:color="auto"/>
            </w:tcBorders>
          </w:tcPr>
          <w:p w14:paraId="60012593" w14:textId="77777777" w:rsidR="00CA23D0" w:rsidRPr="00E30642" w:rsidRDefault="00CA23D0" w:rsidP="00CA23D0">
            <w:pPr>
              <w:pStyle w:val="Texttabulky"/>
              <w:spacing w:line="240" w:lineRule="atLeast"/>
              <w:jc w:val="both"/>
              <w:rPr>
                <w:rFonts w:cs="Arial"/>
              </w:rPr>
            </w:pPr>
            <w:r w:rsidRPr="00E30642">
              <w:rPr>
                <w:rFonts w:cs="Arial"/>
              </w:rPr>
              <w:t>150</w:t>
            </w:r>
          </w:p>
        </w:tc>
        <w:tc>
          <w:tcPr>
            <w:tcW w:w="1418" w:type="dxa"/>
            <w:tcBorders>
              <w:top w:val="single" w:sz="6" w:space="0" w:color="auto"/>
              <w:left w:val="single" w:sz="6" w:space="0" w:color="auto"/>
              <w:bottom w:val="single" w:sz="6" w:space="0" w:color="auto"/>
              <w:right w:val="single" w:sz="6" w:space="0" w:color="auto"/>
            </w:tcBorders>
          </w:tcPr>
          <w:p w14:paraId="270B6713"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4EAA0602" w14:textId="77777777" w:rsidTr="00CA23D0">
        <w:tc>
          <w:tcPr>
            <w:tcW w:w="1985" w:type="dxa"/>
            <w:tcBorders>
              <w:top w:val="single" w:sz="6" w:space="0" w:color="auto"/>
              <w:left w:val="single" w:sz="6" w:space="0" w:color="auto"/>
              <w:bottom w:val="single" w:sz="6" w:space="0" w:color="auto"/>
              <w:right w:val="single" w:sz="6" w:space="0" w:color="auto"/>
            </w:tcBorders>
          </w:tcPr>
          <w:p w14:paraId="2C28E329" w14:textId="77777777" w:rsidR="00CA23D0" w:rsidRPr="00E30642" w:rsidRDefault="00CA23D0" w:rsidP="00CA23D0">
            <w:pPr>
              <w:pStyle w:val="Texttabulky"/>
              <w:spacing w:line="240" w:lineRule="atLeast"/>
              <w:ind w:firstLine="157"/>
              <w:jc w:val="both"/>
              <w:rPr>
                <w:rFonts w:cs="Arial"/>
              </w:rPr>
            </w:pPr>
            <w:r w:rsidRPr="00E30642">
              <w:rPr>
                <w:rFonts w:cs="Arial"/>
              </w:rPr>
              <w:t>Janská</w:t>
            </w:r>
          </w:p>
        </w:tc>
        <w:tc>
          <w:tcPr>
            <w:tcW w:w="1104" w:type="dxa"/>
            <w:tcBorders>
              <w:top w:val="single" w:sz="6" w:space="0" w:color="auto"/>
              <w:left w:val="single" w:sz="6" w:space="0" w:color="auto"/>
              <w:bottom w:val="single" w:sz="6" w:space="0" w:color="auto"/>
              <w:right w:val="single" w:sz="6" w:space="0" w:color="auto"/>
            </w:tcBorders>
          </w:tcPr>
          <w:p w14:paraId="379F5F42" w14:textId="77777777" w:rsidR="00CA23D0" w:rsidRPr="00E30642" w:rsidRDefault="00CA23D0" w:rsidP="00CA23D0">
            <w:pPr>
              <w:pStyle w:val="Texttabulky"/>
              <w:spacing w:line="240" w:lineRule="atLeast"/>
              <w:jc w:val="both"/>
              <w:rPr>
                <w:rFonts w:cs="Arial"/>
              </w:rPr>
            </w:pPr>
            <w:r w:rsidRPr="00E30642">
              <w:rPr>
                <w:rFonts w:cs="Arial"/>
              </w:rPr>
              <w:t>536,15</w:t>
            </w:r>
          </w:p>
        </w:tc>
        <w:tc>
          <w:tcPr>
            <w:tcW w:w="1417" w:type="dxa"/>
            <w:tcBorders>
              <w:top w:val="single" w:sz="6" w:space="0" w:color="auto"/>
              <w:left w:val="single" w:sz="6" w:space="0" w:color="auto"/>
              <w:bottom w:val="single" w:sz="6" w:space="0" w:color="auto"/>
              <w:right w:val="single" w:sz="6" w:space="0" w:color="auto"/>
            </w:tcBorders>
          </w:tcPr>
          <w:p w14:paraId="781625C3" w14:textId="77777777" w:rsidR="00CA23D0" w:rsidRPr="00E30642" w:rsidRDefault="00CA23D0" w:rsidP="00CA23D0">
            <w:pPr>
              <w:pStyle w:val="Texttabulky"/>
              <w:spacing w:line="240" w:lineRule="atLeast"/>
              <w:jc w:val="both"/>
              <w:rPr>
                <w:rFonts w:cs="Arial"/>
              </w:rPr>
            </w:pPr>
            <w:r w:rsidRPr="00E30642">
              <w:rPr>
                <w:rFonts w:cs="Arial"/>
              </w:rPr>
              <w:t>203</w:t>
            </w:r>
          </w:p>
        </w:tc>
        <w:tc>
          <w:tcPr>
            <w:tcW w:w="1418" w:type="dxa"/>
            <w:tcBorders>
              <w:top w:val="single" w:sz="6" w:space="0" w:color="auto"/>
              <w:left w:val="single" w:sz="6" w:space="0" w:color="auto"/>
              <w:bottom w:val="single" w:sz="6" w:space="0" w:color="auto"/>
              <w:right w:val="single" w:sz="6" w:space="0" w:color="auto"/>
            </w:tcBorders>
          </w:tcPr>
          <w:p w14:paraId="04B3B24A" w14:textId="77777777" w:rsidR="00CA23D0" w:rsidRPr="00E30642" w:rsidRDefault="00CA23D0" w:rsidP="00CA23D0">
            <w:pPr>
              <w:pStyle w:val="Texttabulky"/>
              <w:spacing w:line="240" w:lineRule="atLeast"/>
              <w:jc w:val="both"/>
              <w:rPr>
                <w:rFonts w:cs="Arial"/>
              </w:rPr>
            </w:pPr>
            <w:r w:rsidRPr="00E30642">
              <w:rPr>
                <w:rFonts w:cs="Arial"/>
              </w:rPr>
              <w:t>202</w:t>
            </w:r>
          </w:p>
        </w:tc>
        <w:tc>
          <w:tcPr>
            <w:tcW w:w="1417" w:type="dxa"/>
            <w:tcBorders>
              <w:top w:val="single" w:sz="6" w:space="0" w:color="auto"/>
              <w:left w:val="single" w:sz="6" w:space="0" w:color="auto"/>
              <w:bottom w:val="single" w:sz="6" w:space="0" w:color="auto"/>
              <w:right w:val="single" w:sz="6" w:space="0" w:color="auto"/>
            </w:tcBorders>
          </w:tcPr>
          <w:p w14:paraId="7CCB6B83"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418" w:type="dxa"/>
            <w:tcBorders>
              <w:top w:val="single" w:sz="6" w:space="0" w:color="auto"/>
              <w:left w:val="single" w:sz="6" w:space="0" w:color="auto"/>
              <w:bottom w:val="single" w:sz="6" w:space="0" w:color="auto"/>
              <w:right w:val="single" w:sz="6" w:space="0" w:color="auto"/>
            </w:tcBorders>
          </w:tcPr>
          <w:p w14:paraId="22E88E5B"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2AD15CDF" w14:textId="77777777" w:rsidTr="00CA23D0">
        <w:tc>
          <w:tcPr>
            <w:tcW w:w="1985" w:type="dxa"/>
            <w:tcBorders>
              <w:top w:val="single" w:sz="6" w:space="0" w:color="auto"/>
              <w:left w:val="single" w:sz="6" w:space="0" w:color="auto"/>
              <w:bottom w:val="nil"/>
              <w:right w:val="single" w:sz="6" w:space="0" w:color="auto"/>
            </w:tcBorders>
          </w:tcPr>
          <w:p w14:paraId="6BB56978" w14:textId="77777777" w:rsidR="00CA23D0" w:rsidRPr="00E30642" w:rsidRDefault="00CA23D0" w:rsidP="00CA23D0">
            <w:pPr>
              <w:pStyle w:val="Texttabulky"/>
              <w:spacing w:line="240" w:lineRule="atLeast"/>
              <w:ind w:firstLine="157"/>
              <w:jc w:val="both"/>
              <w:rPr>
                <w:rFonts w:cs="Arial"/>
              </w:rPr>
            </w:pPr>
            <w:r w:rsidRPr="00E30642">
              <w:rPr>
                <w:rFonts w:cs="Arial"/>
              </w:rPr>
              <w:t>Jetřichovice</w:t>
            </w:r>
          </w:p>
        </w:tc>
        <w:tc>
          <w:tcPr>
            <w:tcW w:w="1104" w:type="dxa"/>
            <w:tcBorders>
              <w:top w:val="single" w:sz="6" w:space="0" w:color="auto"/>
              <w:left w:val="single" w:sz="6" w:space="0" w:color="auto"/>
              <w:bottom w:val="single" w:sz="6" w:space="0" w:color="auto"/>
              <w:right w:val="single" w:sz="6" w:space="0" w:color="auto"/>
            </w:tcBorders>
          </w:tcPr>
          <w:p w14:paraId="299C0C44" w14:textId="77777777" w:rsidR="00CA23D0" w:rsidRPr="00E30642" w:rsidRDefault="00CA23D0" w:rsidP="00CA23D0">
            <w:pPr>
              <w:pStyle w:val="Texttabulky"/>
              <w:spacing w:line="240" w:lineRule="atLeast"/>
              <w:jc w:val="both"/>
              <w:rPr>
                <w:rFonts w:cs="Arial"/>
              </w:rPr>
            </w:pPr>
            <w:r w:rsidRPr="00E30642">
              <w:rPr>
                <w:rFonts w:cs="Arial"/>
              </w:rPr>
              <w:t>4 421,46</w:t>
            </w:r>
          </w:p>
        </w:tc>
        <w:tc>
          <w:tcPr>
            <w:tcW w:w="1417" w:type="dxa"/>
            <w:tcBorders>
              <w:top w:val="single" w:sz="6" w:space="0" w:color="auto"/>
              <w:left w:val="single" w:sz="6" w:space="0" w:color="auto"/>
              <w:bottom w:val="nil"/>
              <w:right w:val="single" w:sz="6" w:space="0" w:color="auto"/>
            </w:tcBorders>
          </w:tcPr>
          <w:p w14:paraId="628F674A" w14:textId="77777777" w:rsidR="00CA23D0" w:rsidRPr="00E30642" w:rsidRDefault="00CA23D0" w:rsidP="00CA23D0">
            <w:pPr>
              <w:pStyle w:val="Texttabulky"/>
              <w:spacing w:line="240" w:lineRule="atLeast"/>
              <w:jc w:val="both"/>
              <w:rPr>
                <w:rFonts w:cs="Arial"/>
              </w:rPr>
            </w:pPr>
            <w:r w:rsidRPr="00E30642">
              <w:rPr>
                <w:rFonts w:cs="Arial"/>
              </w:rPr>
              <w:t>306</w:t>
            </w:r>
          </w:p>
        </w:tc>
        <w:tc>
          <w:tcPr>
            <w:tcW w:w="1418" w:type="dxa"/>
            <w:tcBorders>
              <w:top w:val="single" w:sz="6" w:space="0" w:color="auto"/>
              <w:left w:val="single" w:sz="6" w:space="0" w:color="auto"/>
              <w:bottom w:val="single" w:sz="6" w:space="0" w:color="auto"/>
              <w:right w:val="single" w:sz="6" w:space="0" w:color="auto"/>
            </w:tcBorders>
          </w:tcPr>
          <w:p w14:paraId="327A72E0" w14:textId="77777777" w:rsidR="00CA23D0" w:rsidRPr="00E30642" w:rsidRDefault="00CA23D0" w:rsidP="00CA23D0">
            <w:pPr>
              <w:pStyle w:val="Texttabulky"/>
              <w:spacing w:line="240" w:lineRule="atLeast"/>
              <w:jc w:val="both"/>
              <w:rPr>
                <w:rFonts w:cs="Arial"/>
              </w:rPr>
            </w:pPr>
            <w:r w:rsidRPr="00E30642">
              <w:rPr>
                <w:rFonts w:cs="Arial"/>
              </w:rPr>
              <w:t>368</w:t>
            </w:r>
          </w:p>
        </w:tc>
        <w:tc>
          <w:tcPr>
            <w:tcW w:w="1417" w:type="dxa"/>
            <w:tcBorders>
              <w:top w:val="single" w:sz="6" w:space="0" w:color="auto"/>
              <w:left w:val="single" w:sz="6" w:space="0" w:color="auto"/>
              <w:bottom w:val="nil"/>
              <w:right w:val="single" w:sz="6" w:space="0" w:color="auto"/>
            </w:tcBorders>
          </w:tcPr>
          <w:p w14:paraId="1E95D1EB" w14:textId="77777777" w:rsidR="00CA23D0" w:rsidRPr="00E30642" w:rsidRDefault="00CA23D0" w:rsidP="00CA23D0">
            <w:pPr>
              <w:pStyle w:val="Texttabulky"/>
              <w:spacing w:line="240" w:lineRule="atLeast"/>
              <w:jc w:val="both"/>
              <w:rPr>
                <w:rFonts w:cs="Arial"/>
              </w:rPr>
            </w:pPr>
            <w:r w:rsidRPr="00E30642">
              <w:rPr>
                <w:rFonts w:cs="Arial"/>
              </w:rPr>
              <w:t>350</w:t>
            </w:r>
          </w:p>
        </w:tc>
        <w:tc>
          <w:tcPr>
            <w:tcW w:w="1418" w:type="dxa"/>
            <w:tcBorders>
              <w:top w:val="single" w:sz="6" w:space="0" w:color="auto"/>
              <w:left w:val="single" w:sz="6" w:space="0" w:color="auto"/>
              <w:bottom w:val="single" w:sz="6" w:space="0" w:color="auto"/>
              <w:right w:val="single" w:sz="6" w:space="0" w:color="auto"/>
            </w:tcBorders>
          </w:tcPr>
          <w:p w14:paraId="74A2F657"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36CAB3C5" w14:textId="77777777" w:rsidTr="00CA23D0">
        <w:tc>
          <w:tcPr>
            <w:tcW w:w="1985" w:type="dxa"/>
            <w:tcBorders>
              <w:top w:val="single" w:sz="6" w:space="0" w:color="auto"/>
              <w:left w:val="single" w:sz="6" w:space="0" w:color="auto"/>
              <w:bottom w:val="single" w:sz="6" w:space="0" w:color="auto"/>
              <w:right w:val="single" w:sz="6" w:space="0" w:color="auto"/>
            </w:tcBorders>
          </w:tcPr>
          <w:p w14:paraId="3CE494D4" w14:textId="77777777" w:rsidR="00CA23D0" w:rsidRPr="00E30642" w:rsidRDefault="00CA23D0" w:rsidP="00CA23D0">
            <w:pPr>
              <w:pStyle w:val="Texttabulky"/>
              <w:spacing w:line="240" w:lineRule="atLeast"/>
              <w:ind w:firstLine="157"/>
              <w:jc w:val="both"/>
              <w:rPr>
                <w:rFonts w:cs="Arial"/>
              </w:rPr>
            </w:pPr>
            <w:r w:rsidRPr="00E30642">
              <w:rPr>
                <w:rFonts w:cs="Arial"/>
              </w:rPr>
              <w:t>Jílové</w:t>
            </w:r>
          </w:p>
        </w:tc>
        <w:tc>
          <w:tcPr>
            <w:tcW w:w="1104" w:type="dxa"/>
            <w:tcBorders>
              <w:top w:val="single" w:sz="6" w:space="0" w:color="auto"/>
              <w:left w:val="single" w:sz="6" w:space="0" w:color="auto"/>
              <w:bottom w:val="single" w:sz="6" w:space="0" w:color="auto"/>
              <w:right w:val="single" w:sz="6" w:space="0" w:color="auto"/>
            </w:tcBorders>
          </w:tcPr>
          <w:p w14:paraId="282E5D3D" w14:textId="77777777" w:rsidR="00CA23D0" w:rsidRPr="00E30642" w:rsidRDefault="00CA23D0" w:rsidP="00CA23D0">
            <w:pPr>
              <w:pStyle w:val="Texttabulky"/>
              <w:spacing w:line="240" w:lineRule="atLeast"/>
              <w:jc w:val="both"/>
              <w:rPr>
                <w:rFonts w:cs="Arial"/>
              </w:rPr>
            </w:pPr>
            <w:r w:rsidRPr="00E30642">
              <w:rPr>
                <w:rFonts w:cs="Arial"/>
              </w:rPr>
              <w:t>3 656,75</w:t>
            </w:r>
          </w:p>
        </w:tc>
        <w:tc>
          <w:tcPr>
            <w:tcW w:w="1417" w:type="dxa"/>
            <w:tcBorders>
              <w:top w:val="single" w:sz="6" w:space="0" w:color="auto"/>
              <w:left w:val="single" w:sz="6" w:space="0" w:color="auto"/>
              <w:bottom w:val="single" w:sz="6" w:space="0" w:color="auto"/>
              <w:right w:val="single" w:sz="6" w:space="0" w:color="auto"/>
            </w:tcBorders>
          </w:tcPr>
          <w:p w14:paraId="15BBA6EF" w14:textId="77777777" w:rsidR="00CA23D0" w:rsidRPr="00E30642" w:rsidRDefault="00CA23D0" w:rsidP="00CA23D0">
            <w:pPr>
              <w:pStyle w:val="Texttabulky"/>
              <w:spacing w:line="240" w:lineRule="atLeast"/>
              <w:jc w:val="both"/>
              <w:rPr>
                <w:rFonts w:cs="Arial"/>
              </w:rPr>
            </w:pPr>
            <w:r w:rsidRPr="00E30642">
              <w:rPr>
                <w:rFonts w:cs="Arial"/>
              </w:rPr>
              <w:t>5 195</w:t>
            </w:r>
          </w:p>
        </w:tc>
        <w:tc>
          <w:tcPr>
            <w:tcW w:w="1418" w:type="dxa"/>
            <w:tcBorders>
              <w:top w:val="single" w:sz="6" w:space="0" w:color="auto"/>
              <w:left w:val="single" w:sz="6" w:space="0" w:color="auto"/>
              <w:bottom w:val="single" w:sz="6" w:space="0" w:color="auto"/>
              <w:right w:val="single" w:sz="6" w:space="0" w:color="auto"/>
            </w:tcBorders>
          </w:tcPr>
          <w:p w14:paraId="5AFFD406" w14:textId="77777777" w:rsidR="00CA23D0" w:rsidRPr="00E30642" w:rsidRDefault="00CA23D0" w:rsidP="00CA23D0">
            <w:pPr>
              <w:pStyle w:val="Texttabulky"/>
              <w:spacing w:line="240" w:lineRule="atLeast"/>
              <w:jc w:val="both"/>
              <w:rPr>
                <w:rFonts w:cs="Arial"/>
              </w:rPr>
            </w:pPr>
            <w:r w:rsidRPr="00E30642">
              <w:rPr>
                <w:rFonts w:cs="Arial"/>
              </w:rPr>
              <w:t>5 329</w:t>
            </w:r>
          </w:p>
        </w:tc>
        <w:tc>
          <w:tcPr>
            <w:tcW w:w="1417" w:type="dxa"/>
            <w:tcBorders>
              <w:top w:val="single" w:sz="6" w:space="0" w:color="auto"/>
              <w:left w:val="single" w:sz="6" w:space="0" w:color="auto"/>
              <w:bottom w:val="single" w:sz="6" w:space="0" w:color="auto"/>
              <w:right w:val="single" w:sz="6" w:space="0" w:color="auto"/>
            </w:tcBorders>
          </w:tcPr>
          <w:p w14:paraId="2375C2AC" w14:textId="77777777" w:rsidR="00CA23D0" w:rsidRPr="00E30642" w:rsidRDefault="00CA23D0" w:rsidP="00CA23D0">
            <w:pPr>
              <w:pStyle w:val="Texttabulky"/>
              <w:spacing w:line="240" w:lineRule="atLeast"/>
              <w:jc w:val="both"/>
              <w:rPr>
                <w:rFonts w:cs="Arial"/>
              </w:rPr>
            </w:pPr>
            <w:r w:rsidRPr="00E30642">
              <w:rPr>
                <w:rFonts w:cs="Arial"/>
              </w:rPr>
              <w:t>5 300</w:t>
            </w:r>
          </w:p>
        </w:tc>
        <w:tc>
          <w:tcPr>
            <w:tcW w:w="1418" w:type="dxa"/>
            <w:tcBorders>
              <w:top w:val="single" w:sz="6" w:space="0" w:color="auto"/>
              <w:left w:val="single" w:sz="6" w:space="0" w:color="auto"/>
              <w:bottom w:val="single" w:sz="6" w:space="0" w:color="auto"/>
              <w:right w:val="single" w:sz="6" w:space="0" w:color="auto"/>
            </w:tcBorders>
          </w:tcPr>
          <w:p w14:paraId="77BA07D0" w14:textId="77777777" w:rsidR="00CA23D0" w:rsidRPr="00E30642" w:rsidRDefault="00CA23D0" w:rsidP="00CA23D0">
            <w:pPr>
              <w:pStyle w:val="Texttabulky"/>
              <w:spacing w:line="240" w:lineRule="atLeast"/>
              <w:jc w:val="both"/>
              <w:rPr>
                <w:rFonts w:cs="Arial"/>
              </w:rPr>
            </w:pPr>
            <w:r w:rsidRPr="00E30642">
              <w:rPr>
                <w:rFonts w:cs="Arial"/>
              </w:rPr>
              <w:t>5 500</w:t>
            </w:r>
          </w:p>
        </w:tc>
      </w:tr>
      <w:tr w:rsidR="00CA23D0" w:rsidRPr="00E30642" w14:paraId="70E5C08D" w14:textId="77777777" w:rsidTr="00CA23D0">
        <w:tc>
          <w:tcPr>
            <w:tcW w:w="1985" w:type="dxa"/>
            <w:tcBorders>
              <w:top w:val="single" w:sz="6" w:space="0" w:color="auto"/>
              <w:left w:val="single" w:sz="6" w:space="0" w:color="auto"/>
              <w:bottom w:val="single" w:sz="6" w:space="0" w:color="auto"/>
              <w:right w:val="single" w:sz="6" w:space="0" w:color="auto"/>
            </w:tcBorders>
          </w:tcPr>
          <w:p w14:paraId="195F5420" w14:textId="77777777" w:rsidR="00CA23D0" w:rsidRPr="00E30642" w:rsidRDefault="00CA23D0" w:rsidP="00CA23D0">
            <w:pPr>
              <w:pStyle w:val="Texttabulky"/>
              <w:spacing w:line="240" w:lineRule="atLeast"/>
              <w:ind w:firstLine="157"/>
              <w:jc w:val="both"/>
              <w:rPr>
                <w:rFonts w:cs="Arial"/>
              </w:rPr>
            </w:pPr>
            <w:r w:rsidRPr="00E30642">
              <w:rPr>
                <w:rFonts w:cs="Arial"/>
              </w:rPr>
              <w:t>Jiřetín pod Jedlovou</w:t>
            </w:r>
          </w:p>
        </w:tc>
        <w:tc>
          <w:tcPr>
            <w:tcW w:w="1104" w:type="dxa"/>
            <w:tcBorders>
              <w:top w:val="single" w:sz="6" w:space="0" w:color="auto"/>
              <w:left w:val="single" w:sz="6" w:space="0" w:color="auto"/>
              <w:bottom w:val="single" w:sz="6" w:space="0" w:color="auto"/>
              <w:right w:val="single" w:sz="6" w:space="0" w:color="auto"/>
            </w:tcBorders>
          </w:tcPr>
          <w:p w14:paraId="792B1501" w14:textId="77777777" w:rsidR="00CA23D0" w:rsidRPr="00E30642" w:rsidRDefault="00CA23D0" w:rsidP="00CA23D0">
            <w:pPr>
              <w:pStyle w:val="Texttabulky"/>
              <w:spacing w:line="240" w:lineRule="atLeast"/>
              <w:jc w:val="both"/>
              <w:rPr>
                <w:rFonts w:cs="Arial"/>
              </w:rPr>
            </w:pPr>
            <w:r w:rsidRPr="00E30642">
              <w:rPr>
                <w:rFonts w:cs="Arial"/>
              </w:rPr>
              <w:t>1 120,6</w:t>
            </w:r>
          </w:p>
        </w:tc>
        <w:tc>
          <w:tcPr>
            <w:tcW w:w="1417" w:type="dxa"/>
            <w:tcBorders>
              <w:top w:val="single" w:sz="6" w:space="0" w:color="auto"/>
              <w:left w:val="single" w:sz="6" w:space="0" w:color="auto"/>
              <w:bottom w:val="single" w:sz="6" w:space="0" w:color="auto"/>
              <w:right w:val="single" w:sz="6" w:space="0" w:color="auto"/>
            </w:tcBorders>
          </w:tcPr>
          <w:p w14:paraId="04D1CF36" w14:textId="77777777" w:rsidR="00CA23D0" w:rsidRPr="00E30642" w:rsidRDefault="00CA23D0" w:rsidP="00CA23D0">
            <w:pPr>
              <w:pStyle w:val="Texttabulky"/>
              <w:spacing w:line="240" w:lineRule="atLeast"/>
              <w:jc w:val="both"/>
              <w:rPr>
                <w:rFonts w:cs="Arial"/>
              </w:rPr>
            </w:pPr>
            <w:r w:rsidRPr="00E30642">
              <w:rPr>
                <w:rFonts w:cs="Arial"/>
              </w:rPr>
              <w:t>614</w:t>
            </w:r>
          </w:p>
        </w:tc>
        <w:tc>
          <w:tcPr>
            <w:tcW w:w="1418" w:type="dxa"/>
            <w:tcBorders>
              <w:top w:val="single" w:sz="6" w:space="0" w:color="auto"/>
              <w:left w:val="single" w:sz="6" w:space="0" w:color="auto"/>
              <w:bottom w:val="single" w:sz="6" w:space="0" w:color="auto"/>
              <w:right w:val="single" w:sz="6" w:space="0" w:color="auto"/>
            </w:tcBorders>
          </w:tcPr>
          <w:p w14:paraId="00070A3C" w14:textId="77777777" w:rsidR="00CA23D0" w:rsidRPr="00E30642" w:rsidRDefault="00CA23D0" w:rsidP="00CA23D0">
            <w:pPr>
              <w:pStyle w:val="Texttabulky"/>
              <w:spacing w:line="240" w:lineRule="atLeast"/>
              <w:jc w:val="both"/>
              <w:rPr>
                <w:rFonts w:cs="Arial"/>
              </w:rPr>
            </w:pPr>
            <w:r w:rsidRPr="00E30642">
              <w:rPr>
                <w:rFonts w:cs="Arial"/>
              </w:rPr>
              <w:t>590</w:t>
            </w:r>
          </w:p>
        </w:tc>
        <w:tc>
          <w:tcPr>
            <w:tcW w:w="1417" w:type="dxa"/>
            <w:tcBorders>
              <w:top w:val="single" w:sz="6" w:space="0" w:color="auto"/>
              <w:left w:val="single" w:sz="6" w:space="0" w:color="auto"/>
              <w:bottom w:val="single" w:sz="6" w:space="0" w:color="auto"/>
              <w:right w:val="single" w:sz="6" w:space="0" w:color="auto"/>
            </w:tcBorders>
          </w:tcPr>
          <w:p w14:paraId="29205B71" w14:textId="77777777" w:rsidR="00CA23D0" w:rsidRPr="00E30642" w:rsidRDefault="00CA23D0" w:rsidP="00CA23D0">
            <w:pPr>
              <w:pStyle w:val="Texttabulky"/>
              <w:spacing w:line="240" w:lineRule="atLeast"/>
              <w:jc w:val="both"/>
              <w:rPr>
                <w:rFonts w:cs="Arial"/>
              </w:rPr>
            </w:pPr>
            <w:r w:rsidRPr="00E30642">
              <w:rPr>
                <w:rFonts w:cs="Arial"/>
              </w:rPr>
              <w:t>500</w:t>
            </w:r>
          </w:p>
        </w:tc>
        <w:tc>
          <w:tcPr>
            <w:tcW w:w="1418" w:type="dxa"/>
            <w:tcBorders>
              <w:top w:val="single" w:sz="6" w:space="0" w:color="auto"/>
              <w:left w:val="single" w:sz="6" w:space="0" w:color="auto"/>
              <w:bottom w:val="single" w:sz="6" w:space="0" w:color="auto"/>
              <w:right w:val="single" w:sz="6" w:space="0" w:color="auto"/>
            </w:tcBorders>
          </w:tcPr>
          <w:p w14:paraId="5960C801" w14:textId="77777777" w:rsidR="00CA23D0" w:rsidRPr="00E30642" w:rsidRDefault="00CA23D0" w:rsidP="00CA23D0">
            <w:pPr>
              <w:pStyle w:val="Texttabulky"/>
              <w:spacing w:line="240" w:lineRule="atLeast"/>
              <w:jc w:val="both"/>
              <w:rPr>
                <w:rFonts w:cs="Arial"/>
              </w:rPr>
            </w:pPr>
            <w:r w:rsidRPr="00E30642">
              <w:rPr>
                <w:rFonts w:cs="Arial"/>
              </w:rPr>
              <w:t>450</w:t>
            </w:r>
          </w:p>
        </w:tc>
      </w:tr>
      <w:tr w:rsidR="00CA23D0" w:rsidRPr="00E30642" w14:paraId="7CFBD0A8" w14:textId="77777777" w:rsidTr="00CA23D0">
        <w:tc>
          <w:tcPr>
            <w:tcW w:w="1985" w:type="dxa"/>
            <w:tcBorders>
              <w:top w:val="single" w:sz="6" w:space="0" w:color="auto"/>
              <w:left w:val="single" w:sz="6" w:space="0" w:color="auto"/>
              <w:bottom w:val="single" w:sz="6" w:space="0" w:color="auto"/>
              <w:right w:val="single" w:sz="6" w:space="0" w:color="auto"/>
            </w:tcBorders>
          </w:tcPr>
          <w:p w14:paraId="3918DA88" w14:textId="77777777" w:rsidR="00CA23D0" w:rsidRPr="00E30642" w:rsidRDefault="00CA23D0" w:rsidP="00CA23D0">
            <w:pPr>
              <w:pStyle w:val="Texttabulky"/>
              <w:spacing w:line="240" w:lineRule="atLeast"/>
              <w:ind w:firstLine="157"/>
              <w:jc w:val="both"/>
              <w:rPr>
                <w:rFonts w:cs="Arial"/>
              </w:rPr>
            </w:pPr>
            <w:r w:rsidRPr="00E30642">
              <w:rPr>
                <w:rFonts w:cs="Arial"/>
              </w:rPr>
              <w:t>Jiříkov</w:t>
            </w:r>
          </w:p>
        </w:tc>
        <w:tc>
          <w:tcPr>
            <w:tcW w:w="1104" w:type="dxa"/>
            <w:tcBorders>
              <w:top w:val="single" w:sz="6" w:space="0" w:color="auto"/>
              <w:left w:val="single" w:sz="6" w:space="0" w:color="auto"/>
              <w:bottom w:val="single" w:sz="6" w:space="0" w:color="auto"/>
              <w:right w:val="single" w:sz="6" w:space="0" w:color="auto"/>
            </w:tcBorders>
          </w:tcPr>
          <w:p w14:paraId="0984703F" w14:textId="77777777" w:rsidR="00CA23D0" w:rsidRPr="00E30642" w:rsidRDefault="00CA23D0" w:rsidP="00CA23D0">
            <w:pPr>
              <w:pStyle w:val="Texttabulky"/>
              <w:spacing w:line="240" w:lineRule="atLeast"/>
              <w:jc w:val="both"/>
              <w:rPr>
                <w:rFonts w:cs="Arial"/>
              </w:rPr>
            </w:pPr>
            <w:r w:rsidRPr="00E30642">
              <w:rPr>
                <w:rFonts w:cs="Arial"/>
              </w:rPr>
              <w:t>1 331,89</w:t>
            </w:r>
          </w:p>
        </w:tc>
        <w:tc>
          <w:tcPr>
            <w:tcW w:w="1417" w:type="dxa"/>
            <w:tcBorders>
              <w:top w:val="single" w:sz="6" w:space="0" w:color="auto"/>
              <w:left w:val="single" w:sz="6" w:space="0" w:color="auto"/>
              <w:bottom w:val="single" w:sz="6" w:space="0" w:color="auto"/>
              <w:right w:val="single" w:sz="6" w:space="0" w:color="auto"/>
            </w:tcBorders>
          </w:tcPr>
          <w:p w14:paraId="38D2D663" w14:textId="77777777" w:rsidR="00CA23D0" w:rsidRPr="00E30642" w:rsidRDefault="00CA23D0" w:rsidP="00CA23D0">
            <w:pPr>
              <w:pStyle w:val="Texttabulky"/>
              <w:spacing w:line="240" w:lineRule="atLeast"/>
              <w:jc w:val="both"/>
              <w:rPr>
                <w:rFonts w:cs="Arial"/>
              </w:rPr>
            </w:pPr>
            <w:r w:rsidRPr="00E30642">
              <w:rPr>
                <w:rFonts w:cs="Arial"/>
              </w:rPr>
              <w:t>3 638</w:t>
            </w:r>
          </w:p>
        </w:tc>
        <w:tc>
          <w:tcPr>
            <w:tcW w:w="1418" w:type="dxa"/>
            <w:tcBorders>
              <w:top w:val="single" w:sz="6" w:space="0" w:color="auto"/>
              <w:left w:val="single" w:sz="6" w:space="0" w:color="auto"/>
              <w:bottom w:val="single" w:sz="6" w:space="0" w:color="auto"/>
              <w:right w:val="single" w:sz="6" w:space="0" w:color="auto"/>
            </w:tcBorders>
          </w:tcPr>
          <w:p w14:paraId="0B7761F8" w14:textId="77777777" w:rsidR="00CA23D0" w:rsidRPr="00E30642" w:rsidRDefault="00CA23D0" w:rsidP="00CA23D0">
            <w:pPr>
              <w:pStyle w:val="Texttabulky"/>
              <w:spacing w:line="240" w:lineRule="atLeast"/>
              <w:jc w:val="both"/>
              <w:rPr>
                <w:rFonts w:cs="Arial"/>
              </w:rPr>
            </w:pPr>
            <w:r w:rsidRPr="00E30642">
              <w:rPr>
                <w:rFonts w:cs="Arial"/>
              </w:rPr>
              <w:t>3 798</w:t>
            </w:r>
          </w:p>
        </w:tc>
        <w:tc>
          <w:tcPr>
            <w:tcW w:w="1417" w:type="dxa"/>
            <w:tcBorders>
              <w:top w:val="single" w:sz="6" w:space="0" w:color="auto"/>
              <w:left w:val="single" w:sz="6" w:space="0" w:color="auto"/>
              <w:bottom w:val="single" w:sz="6" w:space="0" w:color="auto"/>
              <w:right w:val="single" w:sz="6" w:space="0" w:color="auto"/>
            </w:tcBorders>
          </w:tcPr>
          <w:p w14:paraId="7DF61DF0" w14:textId="77777777" w:rsidR="00CA23D0" w:rsidRPr="00E30642" w:rsidRDefault="00CA23D0" w:rsidP="00CA23D0">
            <w:pPr>
              <w:pStyle w:val="Texttabulky"/>
              <w:spacing w:line="240" w:lineRule="atLeast"/>
              <w:jc w:val="both"/>
              <w:rPr>
                <w:rFonts w:cs="Arial"/>
              </w:rPr>
            </w:pPr>
            <w:r w:rsidRPr="00E30642">
              <w:rPr>
                <w:rFonts w:cs="Arial"/>
              </w:rPr>
              <w:t>3 900</w:t>
            </w:r>
          </w:p>
        </w:tc>
        <w:tc>
          <w:tcPr>
            <w:tcW w:w="1418" w:type="dxa"/>
            <w:tcBorders>
              <w:top w:val="single" w:sz="6" w:space="0" w:color="auto"/>
              <w:left w:val="single" w:sz="6" w:space="0" w:color="auto"/>
              <w:bottom w:val="single" w:sz="6" w:space="0" w:color="auto"/>
              <w:right w:val="single" w:sz="6" w:space="0" w:color="auto"/>
            </w:tcBorders>
          </w:tcPr>
          <w:p w14:paraId="65E77EE4" w14:textId="77777777" w:rsidR="00CA23D0" w:rsidRPr="00E30642" w:rsidRDefault="00CA23D0" w:rsidP="00CA23D0">
            <w:pPr>
              <w:pStyle w:val="Texttabulky"/>
              <w:spacing w:line="240" w:lineRule="atLeast"/>
              <w:jc w:val="both"/>
              <w:rPr>
                <w:rFonts w:cs="Arial"/>
              </w:rPr>
            </w:pPr>
            <w:r w:rsidRPr="00E30642">
              <w:rPr>
                <w:rFonts w:cs="Arial"/>
              </w:rPr>
              <w:t>4 200</w:t>
            </w:r>
          </w:p>
        </w:tc>
      </w:tr>
      <w:tr w:rsidR="00CA23D0" w:rsidRPr="00E30642" w14:paraId="0C552219" w14:textId="77777777" w:rsidTr="00CA23D0">
        <w:tc>
          <w:tcPr>
            <w:tcW w:w="1985" w:type="dxa"/>
            <w:tcBorders>
              <w:top w:val="single" w:sz="6" w:space="0" w:color="auto"/>
              <w:left w:val="single" w:sz="6" w:space="0" w:color="auto"/>
              <w:bottom w:val="single" w:sz="6" w:space="0" w:color="auto"/>
              <w:right w:val="single" w:sz="6" w:space="0" w:color="auto"/>
            </w:tcBorders>
          </w:tcPr>
          <w:p w14:paraId="6380C972" w14:textId="77777777" w:rsidR="00CA23D0" w:rsidRPr="00E30642" w:rsidRDefault="00CA23D0" w:rsidP="00CA23D0">
            <w:pPr>
              <w:pStyle w:val="Texttabulky"/>
              <w:spacing w:line="240" w:lineRule="atLeast"/>
              <w:ind w:firstLine="157"/>
              <w:jc w:val="both"/>
              <w:rPr>
                <w:rFonts w:cs="Arial"/>
              </w:rPr>
            </w:pPr>
            <w:r w:rsidRPr="00E30642">
              <w:rPr>
                <w:rFonts w:cs="Arial"/>
              </w:rPr>
              <w:t>Kámen</w:t>
            </w:r>
          </w:p>
        </w:tc>
        <w:tc>
          <w:tcPr>
            <w:tcW w:w="1104" w:type="dxa"/>
            <w:tcBorders>
              <w:top w:val="single" w:sz="6" w:space="0" w:color="auto"/>
              <w:left w:val="single" w:sz="6" w:space="0" w:color="auto"/>
              <w:bottom w:val="single" w:sz="6" w:space="0" w:color="auto"/>
              <w:right w:val="single" w:sz="6" w:space="0" w:color="auto"/>
            </w:tcBorders>
          </w:tcPr>
          <w:p w14:paraId="5EBD0389" w14:textId="77777777" w:rsidR="00CA23D0" w:rsidRPr="00E30642" w:rsidRDefault="00CA23D0" w:rsidP="00CA23D0">
            <w:pPr>
              <w:pStyle w:val="Texttabulky"/>
              <w:spacing w:line="240" w:lineRule="atLeast"/>
              <w:jc w:val="both"/>
              <w:rPr>
                <w:rFonts w:cs="Arial"/>
              </w:rPr>
            </w:pPr>
            <w:r w:rsidRPr="00E30642">
              <w:rPr>
                <w:rFonts w:cs="Arial"/>
              </w:rPr>
              <w:t>178,35</w:t>
            </w:r>
          </w:p>
        </w:tc>
        <w:tc>
          <w:tcPr>
            <w:tcW w:w="1417" w:type="dxa"/>
            <w:tcBorders>
              <w:top w:val="single" w:sz="6" w:space="0" w:color="auto"/>
              <w:left w:val="single" w:sz="6" w:space="0" w:color="auto"/>
              <w:bottom w:val="single" w:sz="6" w:space="0" w:color="auto"/>
              <w:right w:val="single" w:sz="6" w:space="0" w:color="auto"/>
            </w:tcBorders>
          </w:tcPr>
          <w:p w14:paraId="143D98E8" w14:textId="77777777" w:rsidR="00CA23D0" w:rsidRPr="00E30642" w:rsidRDefault="00CA23D0" w:rsidP="00CA23D0">
            <w:pPr>
              <w:pStyle w:val="Texttabulky"/>
              <w:spacing w:line="240" w:lineRule="atLeast"/>
              <w:jc w:val="both"/>
              <w:rPr>
                <w:rFonts w:cs="Arial"/>
              </w:rPr>
            </w:pPr>
            <w:r w:rsidRPr="00E30642">
              <w:rPr>
                <w:rFonts w:cs="Arial"/>
              </w:rPr>
              <w:t>145</w:t>
            </w:r>
          </w:p>
        </w:tc>
        <w:tc>
          <w:tcPr>
            <w:tcW w:w="1418" w:type="dxa"/>
            <w:tcBorders>
              <w:top w:val="single" w:sz="6" w:space="0" w:color="auto"/>
              <w:left w:val="single" w:sz="6" w:space="0" w:color="auto"/>
              <w:bottom w:val="single" w:sz="6" w:space="0" w:color="auto"/>
              <w:right w:val="single" w:sz="6" w:space="0" w:color="auto"/>
            </w:tcBorders>
          </w:tcPr>
          <w:p w14:paraId="1A1FB29B" w14:textId="77777777" w:rsidR="00CA23D0" w:rsidRPr="00E30642" w:rsidRDefault="00CA23D0" w:rsidP="00CA23D0">
            <w:pPr>
              <w:pStyle w:val="Texttabulky"/>
              <w:spacing w:line="240" w:lineRule="atLeast"/>
              <w:jc w:val="both"/>
              <w:rPr>
                <w:rFonts w:cs="Arial"/>
              </w:rPr>
            </w:pPr>
            <w:r w:rsidRPr="00E30642">
              <w:rPr>
                <w:rFonts w:cs="Arial"/>
              </w:rPr>
              <w:t>135</w:t>
            </w:r>
          </w:p>
        </w:tc>
        <w:tc>
          <w:tcPr>
            <w:tcW w:w="1417" w:type="dxa"/>
            <w:tcBorders>
              <w:top w:val="single" w:sz="6" w:space="0" w:color="auto"/>
              <w:left w:val="single" w:sz="6" w:space="0" w:color="auto"/>
              <w:bottom w:val="single" w:sz="6" w:space="0" w:color="auto"/>
              <w:right w:val="single" w:sz="6" w:space="0" w:color="auto"/>
            </w:tcBorders>
          </w:tcPr>
          <w:p w14:paraId="4D13B23C" w14:textId="77777777" w:rsidR="00CA23D0" w:rsidRPr="00E30642" w:rsidRDefault="00CA23D0" w:rsidP="00CA23D0">
            <w:pPr>
              <w:pStyle w:val="Texttabulky"/>
              <w:spacing w:line="240" w:lineRule="atLeast"/>
              <w:jc w:val="both"/>
              <w:rPr>
                <w:rFonts w:cs="Arial"/>
              </w:rPr>
            </w:pPr>
            <w:r w:rsidRPr="00E30642">
              <w:rPr>
                <w:rFonts w:cs="Arial"/>
              </w:rPr>
              <w:t>100</w:t>
            </w:r>
          </w:p>
        </w:tc>
        <w:tc>
          <w:tcPr>
            <w:tcW w:w="1418" w:type="dxa"/>
            <w:tcBorders>
              <w:top w:val="single" w:sz="6" w:space="0" w:color="auto"/>
              <w:left w:val="single" w:sz="6" w:space="0" w:color="auto"/>
              <w:bottom w:val="single" w:sz="6" w:space="0" w:color="auto"/>
              <w:right w:val="single" w:sz="6" w:space="0" w:color="auto"/>
            </w:tcBorders>
          </w:tcPr>
          <w:p w14:paraId="07A97E0B" w14:textId="77777777" w:rsidR="00CA23D0" w:rsidRPr="00E30642" w:rsidRDefault="00CA23D0" w:rsidP="00CA23D0">
            <w:pPr>
              <w:pStyle w:val="Texttabulky"/>
              <w:spacing w:line="240" w:lineRule="atLeast"/>
              <w:jc w:val="both"/>
              <w:rPr>
                <w:rFonts w:cs="Arial"/>
              </w:rPr>
            </w:pPr>
            <w:r w:rsidRPr="00E30642">
              <w:rPr>
                <w:rFonts w:cs="Arial"/>
              </w:rPr>
              <w:t>100</w:t>
            </w:r>
          </w:p>
        </w:tc>
      </w:tr>
      <w:tr w:rsidR="00CA23D0" w:rsidRPr="00E30642" w14:paraId="0246BDA5" w14:textId="77777777" w:rsidTr="00CA23D0">
        <w:tc>
          <w:tcPr>
            <w:tcW w:w="1985" w:type="dxa"/>
            <w:tcBorders>
              <w:top w:val="single" w:sz="6" w:space="0" w:color="auto"/>
              <w:left w:val="single" w:sz="6" w:space="0" w:color="auto"/>
              <w:bottom w:val="single" w:sz="6" w:space="0" w:color="auto"/>
              <w:right w:val="single" w:sz="6" w:space="0" w:color="auto"/>
            </w:tcBorders>
          </w:tcPr>
          <w:p w14:paraId="3909D21A" w14:textId="77777777" w:rsidR="00CA23D0" w:rsidRPr="00E30642" w:rsidRDefault="00CA23D0" w:rsidP="00CA23D0">
            <w:pPr>
              <w:pStyle w:val="Texttabulky"/>
              <w:spacing w:line="240" w:lineRule="atLeast"/>
              <w:ind w:firstLine="157"/>
              <w:jc w:val="both"/>
              <w:rPr>
                <w:rFonts w:cs="Arial"/>
              </w:rPr>
            </w:pPr>
            <w:r w:rsidRPr="00E30642">
              <w:rPr>
                <w:rFonts w:cs="Arial"/>
              </w:rPr>
              <w:t>Krásná Lípa</w:t>
            </w:r>
          </w:p>
        </w:tc>
        <w:tc>
          <w:tcPr>
            <w:tcW w:w="1104" w:type="dxa"/>
            <w:tcBorders>
              <w:top w:val="single" w:sz="6" w:space="0" w:color="auto"/>
              <w:left w:val="single" w:sz="6" w:space="0" w:color="auto"/>
              <w:bottom w:val="single" w:sz="6" w:space="0" w:color="auto"/>
              <w:right w:val="single" w:sz="6" w:space="0" w:color="auto"/>
            </w:tcBorders>
          </w:tcPr>
          <w:p w14:paraId="48CE120D" w14:textId="77777777" w:rsidR="00CA23D0" w:rsidRPr="00E30642" w:rsidRDefault="00CA23D0" w:rsidP="00CA23D0">
            <w:pPr>
              <w:pStyle w:val="Texttabulky"/>
              <w:spacing w:line="240" w:lineRule="atLeast"/>
              <w:jc w:val="both"/>
              <w:rPr>
                <w:rFonts w:cs="Arial"/>
              </w:rPr>
            </w:pPr>
            <w:r w:rsidRPr="00E30642">
              <w:rPr>
                <w:rFonts w:cs="Arial"/>
              </w:rPr>
              <w:t>3 139,35</w:t>
            </w:r>
          </w:p>
        </w:tc>
        <w:tc>
          <w:tcPr>
            <w:tcW w:w="1417" w:type="dxa"/>
            <w:tcBorders>
              <w:top w:val="single" w:sz="6" w:space="0" w:color="auto"/>
              <w:left w:val="single" w:sz="6" w:space="0" w:color="auto"/>
              <w:bottom w:val="single" w:sz="6" w:space="0" w:color="auto"/>
              <w:right w:val="single" w:sz="6" w:space="0" w:color="auto"/>
            </w:tcBorders>
          </w:tcPr>
          <w:p w14:paraId="24975810" w14:textId="77777777" w:rsidR="00CA23D0" w:rsidRPr="00E30642" w:rsidRDefault="00CA23D0" w:rsidP="00CA23D0">
            <w:pPr>
              <w:pStyle w:val="Texttabulky"/>
              <w:spacing w:line="240" w:lineRule="atLeast"/>
              <w:jc w:val="both"/>
              <w:rPr>
                <w:rFonts w:cs="Arial"/>
              </w:rPr>
            </w:pPr>
            <w:r w:rsidRPr="00E30642">
              <w:rPr>
                <w:rFonts w:cs="Arial"/>
              </w:rPr>
              <w:t>3 381</w:t>
            </w:r>
          </w:p>
        </w:tc>
        <w:tc>
          <w:tcPr>
            <w:tcW w:w="1418" w:type="dxa"/>
            <w:tcBorders>
              <w:top w:val="single" w:sz="6" w:space="0" w:color="auto"/>
              <w:left w:val="single" w:sz="6" w:space="0" w:color="auto"/>
              <w:bottom w:val="single" w:sz="6" w:space="0" w:color="auto"/>
              <w:right w:val="single" w:sz="6" w:space="0" w:color="auto"/>
            </w:tcBorders>
          </w:tcPr>
          <w:p w14:paraId="5D1A2165" w14:textId="77777777" w:rsidR="00CA23D0" w:rsidRPr="00E30642" w:rsidRDefault="00CA23D0" w:rsidP="00CA23D0">
            <w:pPr>
              <w:pStyle w:val="Texttabulky"/>
              <w:spacing w:line="240" w:lineRule="atLeast"/>
              <w:jc w:val="both"/>
              <w:rPr>
                <w:rFonts w:cs="Arial"/>
              </w:rPr>
            </w:pPr>
            <w:r w:rsidRPr="00E30642">
              <w:rPr>
                <w:rFonts w:cs="Arial"/>
              </w:rPr>
              <w:t>3 442</w:t>
            </w:r>
          </w:p>
        </w:tc>
        <w:tc>
          <w:tcPr>
            <w:tcW w:w="1417" w:type="dxa"/>
            <w:tcBorders>
              <w:top w:val="single" w:sz="6" w:space="0" w:color="auto"/>
              <w:left w:val="single" w:sz="6" w:space="0" w:color="auto"/>
              <w:bottom w:val="single" w:sz="6" w:space="0" w:color="auto"/>
              <w:right w:val="single" w:sz="6" w:space="0" w:color="auto"/>
            </w:tcBorders>
          </w:tcPr>
          <w:p w14:paraId="4E8019C0" w14:textId="77777777" w:rsidR="00CA23D0" w:rsidRPr="00E30642" w:rsidRDefault="00CA23D0" w:rsidP="00CA23D0">
            <w:pPr>
              <w:pStyle w:val="Texttabulky"/>
              <w:spacing w:line="240" w:lineRule="atLeast"/>
              <w:jc w:val="both"/>
              <w:rPr>
                <w:rFonts w:cs="Arial"/>
              </w:rPr>
            </w:pPr>
            <w:r w:rsidRPr="00E30642">
              <w:rPr>
                <w:rFonts w:cs="Arial"/>
              </w:rPr>
              <w:t>3 500</w:t>
            </w:r>
          </w:p>
        </w:tc>
        <w:tc>
          <w:tcPr>
            <w:tcW w:w="1418" w:type="dxa"/>
            <w:tcBorders>
              <w:top w:val="single" w:sz="6" w:space="0" w:color="auto"/>
              <w:left w:val="single" w:sz="6" w:space="0" w:color="auto"/>
              <w:bottom w:val="single" w:sz="6" w:space="0" w:color="auto"/>
              <w:right w:val="single" w:sz="6" w:space="0" w:color="auto"/>
            </w:tcBorders>
          </w:tcPr>
          <w:p w14:paraId="2368B078" w14:textId="77777777" w:rsidR="00CA23D0" w:rsidRPr="00E30642" w:rsidRDefault="00CA23D0" w:rsidP="00CA23D0">
            <w:pPr>
              <w:pStyle w:val="Texttabulky"/>
              <w:spacing w:line="240" w:lineRule="atLeast"/>
              <w:jc w:val="both"/>
              <w:rPr>
                <w:rFonts w:cs="Arial"/>
              </w:rPr>
            </w:pPr>
            <w:r w:rsidRPr="00E30642">
              <w:rPr>
                <w:rFonts w:cs="Arial"/>
              </w:rPr>
              <w:t>3 100</w:t>
            </w:r>
          </w:p>
        </w:tc>
      </w:tr>
      <w:tr w:rsidR="00CA23D0" w:rsidRPr="00E30642" w14:paraId="53AFA6CA" w14:textId="77777777" w:rsidTr="00CA23D0">
        <w:tc>
          <w:tcPr>
            <w:tcW w:w="1985" w:type="dxa"/>
            <w:tcBorders>
              <w:top w:val="single" w:sz="6" w:space="0" w:color="auto"/>
              <w:left w:val="single" w:sz="6" w:space="0" w:color="auto"/>
              <w:bottom w:val="single" w:sz="6" w:space="0" w:color="auto"/>
              <w:right w:val="single" w:sz="6" w:space="0" w:color="auto"/>
            </w:tcBorders>
          </w:tcPr>
          <w:p w14:paraId="6EE61272" w14:textId="77777777" w:rsidR="00CA23D0" w:rsidRPr="00E30642" w:rsidRDefault="00CA23D0" w:rsidP="00CA23D0">
            <w:pPr>
              <w:pStyle w:val="Texttabulky"/>
              <w:spacing w:line="240" w:lineRule="atLeast"/>
              <w:ind w:firstLine="157"/>
              <w:jc w:val="both"/>
              <w:rPr>
                <w:rFonts w:cs="Arial"/>
              </w:rPr>
            </w:pPr>
            <w:r w:rsidRPr="00E30642">
              <w:rPr>
                <w:rFonts w:cs="Arial"/>
              </w:rPr>
              <w:t>Kunratice</w:t>
            </w:r>
          </w:p>
        </w:tc>
        <w:tc>
          <w:tcPr>
            <w:tcW w:w="1104" w:type="dxa"/>
            <w:tcBorders>
              <w:top w:val="single" w:sz="6" w:space="0" w:color="auto"/>
              <w:left w:val="single" w:sz="6" w:space="0" w:color="auto"/>
              <w:bottom w:val="single" w:sz="6" w:space="0" w:color="auto"/>
              <w:right w:val="single" w:sz="6" w:space="0" w:color="auto"/>
            </w:tcBorders>
          </w:tcPr>
          <w:p w14:paraId="0B5E7F67" w14:textId="77777777" w:rsidR="00CA23D0" w:rsidRPr="00E30642" w:rsidRDefault="00CA23D0" w:rsidP="00CA23D0">
            <w:pPr>
              <w:pStyle w:val="Texttabulky"/>
              <w:spacing w:line="240" w:lineRule="atLeast"/>
              <w:jc w:val="both"/>
              <w:rPr>
                <w:rFonts w:cs="Arial"/>
              </w:rPr>
            </w:pPr>
            <w:r w:rsidRPr="00E30642">
              <w:rPr>
                <w:rFonts w:cs="Arial"/>
              </w:rPr>
              <w:t>1 365,65</w:t>
            </w:r>
          </w:p>
        </w:tc>
        <w:tc>
          <w:tcPr>
            <w:tcW w:w="1417" w:type="dxa"/>
            <w:tcBorders>
              <w:top w:val="single" w:sz="6" w:space="0" w:color="auto"/>
              <w:left w:val="single" w:sz="6" w:space="0" w:color="auto"/>
              <w:bottom w:val="single" w:sz="6" w:space="0" w:color="auto"/>
              <w:right w:val="single" w:sz="6" w:space="0" w:color="auto"/>
            </w:tcBorders>
          </w:tcPr>
          <w:p w14:paraId="434A50AF" w14:textId="77777777" w:rsidR="00CA23D0" w:rsidRPr="00E30642" w:rsidRDefault="00CA23D0" w:rsidP="00CA23D0">
            <w:pPr>
              <w:pStyle w:val="Texttabulky"/>
              <w:spacing w:line="240" w:lineRule="atLeast"/>
              <w:jc w:val="both"/>
              <w:rPr>
                <w:rFonts w:cs="Arial"/>
              </w:rPr>
            </w:pPr>
            <w:r w:rsidRPr="00E30642">
              <w:rPr>
                <w:rFonts w:cs="Arial"/>
              </w:rPr>
              <w:t>184</w:t>
            </w:r>
          </w:p>
        </w:tc>
        <w:tc>
          <w:tcPr>
            <w:tcW w:w="1418" w:type="dxa"/>
            <w:tcBorders>
              <w:top w:val="single" w:sz="6" w:space="0" w:color="auto"/>
              <w:left w:val="single" w:sz="6" w:space="0" w:color="auto"/>
              <w:bottom w:val="single" w:sz="6" w:space="0" w:color="auto"/>
              <w:right w:val="single" w:sz="6" w:space="0" w:color="auto"/>
            </w:tcBorders>
          </w:tcPr>
          <w:p w14:paraId="1506213E" w14:textId="77777777" w:rsidR="00CA23D0" w:rsidRPr="00E30642" w:rsidRDefault="00CA23D0" w:rsidP="00CA23D0">
            <w:pPr>
              <w:pStyle w:val="Texttabulky"/>
              <w:spacing w:line="240" w:lineRule="atLeast"/>
              <w:jc w:val="both"/>
              <w:rPr>
                <w:rFonts w:cs="Arial"/>
              </w:rPr>
            </w:pPr>
            <w:r w:rsidRPr="00E30642">
              <w:rPr>
                <w:rFonts w:cs="Arial"/>
              </w:rPr>
              <w:t>221</w:t>
            </w:r>
          </w:p>
        </w:tc>
        <w:tc>
          <w:tcPr>
            <w:tcW w:w="1417" w:type="dxa"/>
            <w:tcBorders>
              <w:top w:val="single" w:sz="6" w:space="0" w:color="auto"/>
              <w:left w:val="single" w:sz="6" w:space="0" w:color="auto"/>
              <w:bottom w:val="single" w:sz="6" w:space="0" w:color="auto"/>
              <w:right w:val="single" w:sz="6" w:space="0" w:color="auto"/>
            </w:tcBorders>
          </w:tcPr>
          <w:p w14:paraId="27360EEF"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418" w:type="dxa"/>
            <w:tcBorders>
              <w:top w:val="single" w:sz="6" w:space="0" w:color="auto"/>
              <w:left w:val="single" w:sz="6" w:space="0" w:color="auto"/>
              <w:bottom w:val="single" w:sz="6" w:space="0" w:color="auto"/>
              <w:right w:val="single" w:sz="6" w:space="0" w:color="auto"/>
            </w:tcBorders>
          </w:tcPr>
          <w:p w14:paraId="5FE79E45"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2BE45A23" w14:textId="77777777" w:rsidTr="00CA23D0">
        <w:tc>
          <w:tcPr>
            <w:tcW w:w="1985" w:type="dxa"/>
            <w:tcBorders>
              <w:top w:val="single" w:sz="6" w:space="0" w:color="auto"/>
              <w:left w:val="single" w:sz="6" w:space="0" w:color="auto"/>
              <w:bottom w:val="single" w:sz="6" w:space="0" w:color="auto"/>
              <w:right w:val="single" w:sz="6" w:space="0" w:color="auto"/>
            </w:tcBorders>
          </w:tcPr>
          <w:p w14:paraId="149E788A" w14:textId="77777777" w:rsidR="00CA23D0" w:rsidRPr="00E30642" w:rsidRDefault="00CA23D0" w:rsidP="00CA23D0">
            <w:pPr>
              <w:pStyle w:val="Texttabulky"/>
              <w:spacing w:line="240" w:lineRule="atLeast"/>
              <w:ind w:firstLine="157"/>
              <w:jc w:val="both"/>
              <w:rPr>
                <w:rFonts w:cs="Arial"/>
              </w:rPr>
            </w:pPr>
            <w:r w:rsidRPr="00E30642">
              <w:rPr>
                <w:rFonts w:cs="Arial"/>
              </w:rPr>
              <w:t>Kytlice</w:t>
            </w:r>
          </w:p>
        </w:tc>
        <w:tc>
          <w:tcPr>
            <w:tcW w:w="1104" w:type="dxa"/>
            <w:tcBorders>
              <w:top w:val="single" w:sz="6" w:space="0" w:color="auto"/>
              <w:left w:val="single" w:sz="6" w:space="0" w:color="auto"/>
              <w:bottom w:val="single" w:sz="6" w:space="0" w:color="auto"/>
              <w:right w:val="single" w:sz="6" w:space="0" w:color="auto"/>
            </w:tcBorders>
          </w:tcPr>
          <w:p w14:paraId="1E8301DA" w14:textId="77777777" w:rsidR="00CA23D0" w:rsidRPr="00E30642" w:rsidRDefault="00CA23D0" w:rsidP="00CA23D0">
            <w:pPr>
              <w:pStyle w:val="Texttabulky"/>
              <w:spacing w:line="240" w:lineRule="atLeast"/>
              <w:jc w:val="both"/>
              <w:rPr>
                <w:rFonts w:cs="Arial"/>
              </w:rPr>
            </w:pPr>
            <w:r w:rsidRPr="00E30642">
              <w:rPr>
                <w:rFonts w:cs="Arial"/>
              </w:rPr>
              <w:t>2 676,55</w:t>
            </w:r>
          </w:p>
        </w:tc>
        <w:tc>
          <w:tcPr>
            <w:tcW w:w="1417" w:type="dxa"/>
            <w:tcBorders>
              <w:top w:val="single" w:sz="6" w:space="0" w:color="auto"/>
              <w:left w:val="single" w:sz="6" w:space="0" w:color="auto"/>
              <w:bottom w:val="single" w:sz="6" w:space="0" w:color="auto"/>
              <w:right w:val="single" w:sz="6" w:space="0" w:color="auto"/>
            </w:tcBorders>
          </w:tcPr>
          <w:p w14:paraId="22EAD91F" w14:textId="77777777" w:rsidR="00CA23D0" w:rsidRPr="00E30642" w:rsidRDefault="00CA23D0" w:rsidP="00CA23D0">
            <w:pPr>
              <w:pStyle w:val="Texttabulky"/>
              <w:spacing w:line="240" w:lineRule="atLeast"/>
              <w:jc w:val="both"/>
              <w:rPr>
                <w:rFonts w:cs="Arial"/>
              </w:rPr>
            </w:pPr>
            <w:r w:rsidRPr="00E30642">
              <w:rPr>
                <w:rFonts w:cs="Arial"/>
              </w:rPr>
              <w:t>365</w:t>
            </w:r>
          </w:p>
        </w:tc>
        <w:tc>
          <w:tcPr>
            <w:tcW w:w="1418" w:type="dxa"/>
            <w:tcBorders>
              <w:top w:val="single" w:sz="6" w:space="0" w:color="auto"/>
              <w:left w:val="single" w:sz="6" w:space="0" w:color="auto"/>
              <w:bottom w:val="single" w:sz="6" w:space="0" w:color="auto"/>
              <w:right w:val="single" w:sz="6" w:space="0" w:color="auto"/>
            </w:tcBorders>
          </w:tcPr>
          <w:p w14:paraId="26983455" w14:textId="77777777" w:rsidR="00CA23D0" w:rsidRPr="00E30642" w:rsidRDefault="00CA23D0" w:rsidP="00CA23D0">
            <w:pPr>
              <w:pStyle w:val="Texttabulky"/>
              <w:spacing w:line="240" w:lineRule="atLeast"/>
              <w:jc w:val="both"/>
              <w:rPr>
                <w:rFonts w:cs="Arial"/>
              </w:rPr>
            </w:pPr>
            <w:r w:rsidRPr="00E30642">
              <w:rPr>
                <w:rFonts w:cs="Arial"/>
              </w:rPr>
              <w:t>397</w:t>
            </w:r>
          </w:p>
        </w:tc>
        <w:tc>
          <w:tcPr>
            <w:tcW w:w="1417" w:type="dxa"/>
            <w:tcBorders>
              <w:top w:val="single" w:sz="6" w:space="0" w:color="auto"/>
              <w:left w:val="single" w:sz="6" w:space="0" w:color="auto"/>
              <w:bottom w:val="single" w:sz="6" w:space="0" w:color="auto"/>
              <w:right w:val="single" w:sz="6" w:space="0" w:color="auto"/>
            </w:tcBorders>
          </w:tcPr>
          <w:p w14:paraId="381C71F4"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364C65A6" w14:textId="77777777" w:rsidR="00CA23D0" w:rsidRPr="00E30642" w:rsidRDefault="00CA23D0" w:rsidP="00CA23D0">
            <w:pPr>
              <w:pStyle w:val="Texttabulky"/>
              <w:spacing w:line="240" w:lineRule="atLeast"/>
              <w:jc w:val="both"/>
              <w:rPr>
                <w:rFonts w:cs="Arial"/>
              </w:rPr>
            </w:pPr>
            <w:r w:rsidRPr="00E30642">
              <w:rPr>
                <w:rFonts w:cs="Arial"/>
              </w:rPr>
              <w:t>450</w:t>
            </w:r>
          </w:p>
        </w:tc>
      </w:tr>
      <w:tr w:rsidR="00CA23D0" w:rsidRPr="00E30642" w14:paraId="6E9B9B81" w14:textId="77777777" w:rsidTr="00CA23D0">
        <w:tc>
          <w:tcPr>
            <w:tcW w:w="1985" w:type="dxa"/>
            <w:tcBorders>
              <w:top w:val="single" w:sz="6" w:space="0" w:color="auto"/>
              <w:left w:val="single" w:sz="6" w:space="0" w:color="auto"/>
              <w:bottom w:val="single" w:sz="6" w:space="0" w:color="auto"/>
              <w:right w:val="single" w:sz="6" w:space="0" w:color="auto"/>
            </w:tcBorders>
          </w:tcPr>
          <w:p w14:paraId="7262B978" w14:textId="77777777" w:rsidR="00CA23D0" w:rsidRPr="00E30642" w:rsidRDefault="00CA23D0" w:rsidP="00CA23D0">
            <w:pPr>
              <w:pStyle w:val="Texttabulky"/>
              <w:spacing w:line="240" w:lineRule="atLeast"/>
              <w:ind w:firstLine="157"/>
              <w:jc w:val="both"/>
              <w:rPr>
                <w:rFonts w:cs="Arial"/>
              </w:rPr>
            </w:pPr>
            <w:r w:rsidRPr="00E30642">
              <w:rPr>
                <w:rFonts w:cs="Arial"/>
              </w:rPr>
              <w:t>Labská Stráň</w:t>
            </w:r>
          </w:p>
        </w:tc>
        <w:tc>
          <w:tcPr>
            <w:tcW w:w="1104" w:type="dxa"/>
            <w:tcBorders>
              <w:top w:val="single" w:sz="6" w:space="0" w:color="auto"/>
              <w:left w:val="single" w:sz="6" w:space="0" w:color="auto"/>
              <w:bottom w:val="single" w:sz="6" w:space="0" w:color="auto"/>
              <w:right w:val="single" w:sz="6" w:space="0" w:color="auto"/>
            </w:tcBorders>
          </w:tcPr>
          <w:p w14:paraId="507218BE" w14:textId="77777777" w:rsidR="00CA23D0" w:rsidRPr="00E30642" w:rsidRDefault="00CA23D0" w:rsidP="00CA23D0">
            <w:pPr>
              <w:pStyle w:val="Texttabulky"/>
              <w:spacing w:line="240" w:lineRule="atLeast"/>
              <w:jc w:val="both"/>
              <w:rPr>
                <w:rFonts w:cs="Arial"/>
              </w:rPr>
            </w:pPr>
            <w:r w:rsidRPr="00E30642">
              <w:rPr>
                <w:rFonts w:cs="Arial"/>
              </w:rPr>
              <w:t>288,37</w:t>
            </w:r>
          </w:p>
        </w:tc>
        <w:tc>
          <w:tcPr>
            <w:tcW w:w="1417" w:type="dxa"/>
            <w:tcBorders>
              <w:top w:val="single" w:sz="6" w:space="0" w:color="auto"/>
              <w:left w:val="single" w:sz="6" w:space="0" w:color="auto"/>
              <w:bottom w:val="single" w:sz="6" w:space="0" w:color="auto"/>
              <w:right w:val="single" w:sz="6" w:space="0" w:color="auto"/>
            </w:tcBorders>
          </w:tcPr>
          <w:p w14:paraId="442C1D72" w14:textId="77777777" w:rsidR="00CA23D0" w:rsidRPr="00E30642" w:rsidRDefault="00CA23D0" w:rsidP="00CA23D0">
            <w:pPr>
              <w:pStyle w:val="Texttabulky"/>
              <w:spacing w:line="240" w:lineRule="atLeast"/>
              <w:jc w:val="both"/>
              <w:rPr>
                <w:rFonts w:cs="Arial"/>
              </w:rPr>
            </w:pPr>
            <w:r w:rsidRPr="00E30642">
              <w:rPr>
                <w:rFonts w:cs="Arial"/>
              </w:rPr>
              <w:t>158</w:t>
            </w:r>
          </w:p>
        </w:tc>
        <w:tc>
          <w:tcPr>
            <w:tcW w:w="1418" w:type="dxa"/>
            <w:tcBorders>
              <w:top w:val="single" w:sz="6" w:space="0" w:color="auto"/>
              <w:left w:val="single" w:sz="6" w:space="0" w:color="auto"/>
              <w:bottom w:val="single" w:sz="6" w:space="0" w:color="auto"/>
              <w:right w:val="single" w:sz="6" w:space="0" w:color="auto"/>
            </w:tcBorders>
          </w:tcPr>
          <w:p w14:paraId="6B7271E2" w14:textId="77777777" w:rsidR="00CA23D0" w:rsidRPr="00E30642" w:rsidRDefault="00CA23D0" w:rsidP="00CA23D0">
            <w:pPr>
              <w:pStyle w:val="Texttabulky"/>
              <w:spacing w:line="240" w:lineRule="atLeast"/>
              <w:jc w:val="both"/>
              <w:rPr>
                <w:rFonts w:cs="Arial"/>
              </w:rPr>
            </w:pPr>
            <w:r w:rsidRPr="00E30642">
              <w:rPr>
                <w:rFonts w:cs="Arial"/>
              </w:rPr>
              <w:t>212</w:t>
            </w:r>
          </w:p>
        </w:tc>
        <w:tc>
          <w:tcPr>
            <w:tcW w:w="1417" w:type="dxa"/>
            <w:tcBorders>
              <w:top w:val="single" w:sz="6" w:space="0" w:color="auto"/>
              <w:left w:val="single" w:sz="6" w:space="0" w:color="auto"/>
              <w:bottom w:val="single" w:sz="6" w:space="0" w:color="auto"/>
              <w:right w:val="single" w:sz="6" w:space="0" w:color="auto"/>
            </w:tcBorders>
          </w:tcPr>
          <w:p w14:paraId="2087D248"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418" w:type="dxa"/>
            <w:tcBorders>
              <w:top w:val="single" w:sz="6" w:space="0" w:color="auto"/>
              <w:left w:val="single" w:sz="6" w:space="0" w:color="auto"/>
              <w:bottom w:val="single" w:sz="6" w:space="0" w:color="auto"/>
              <w:right w:val="single" w:sz="6" w:space="0" w:color="auto"/>
            </w:tcBorders>
          </w:tcPr>
          <w:p w14:paraId="159ACC48"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510AEBAE" w14:textId="77777777" w:rsidTr="00CA23D0">
        <w:tc>
          <w:tcPr>
            <w:tcW w:w="1985" w:type="dxa"/>
            <w:tcBorders>
              <w:top w:val="single" w:sz="6" w:space="0" w:color="auto"/>
              <w:left w:val="single" w:sz="6" w:space="0" w:color="auto"/>
              <w:bottom w:val="single" w:sz="6" w:space="0" w:color="auto"/>
              <w:right w:val="single" w:sz="6" w:space="0" w:color="auto"/>
            </w:tcBorders>
          </w:tcPr>
          <w:p w14:paraId="62A98A4A" w14:textId="77777777" w:rsidR="00CA23D0" w:rsidRPr="00E30642" w:rsidRDefault="00CA23D0" w:rsidP="00CA23D0">
            <w:pPr>
              <w:pStyle w:val="Texttabulky"/>
              <w:spacing w:line="240" w:lineRule="atLeast"/>
              <w:ind w:firstLine="157"/>
              <w:jc w:val="both"/>
              <w:rPr>
                <w:rFonts w:cs="Arial"/>
              </w:rPr>
            </w:pPr>
            <w:r w:rsidRPr="00E30642">
              <w:rPr>
                <w:rFonts w:cs="Arial"/>
              </w:rPr>
              <w:t>Lipová</w:t>
            </w:r>
          </w:p>
        </w:tc>
        <w:tc>
          <w:tcPr>
            <w:tcW w:w="1104" w:type="dxa"/>
            <w:tcBorders>
              <w:top w:val="single" w:sz="6" w:space="0" w:color="auto"/>
              <w:left w:val="single" w:sz="6" w:space="0" w:color="auto"/>
              <w:bottom w:val="single" w:sz="6" w:space="0" w:color="auto"/>
              <w:right w:val="single" w:sz="6" w:space="0" w:color="auto"/>
            </w:tcBorders>
          </w:tcPr>
          <w:p w14:paraId="1D2B1E6A" w14:textId="77777777" w:rsidR="00CA23D0" w:rsidRPr="00E30642" w:rsidRDefault="00CA23D0" w:rsidP="00CA23D0">
            <w:pPr>
              <w:pStyle w:val="Texttabulky"/>
              <w:spacing w:line="240" w:lineRule="atLeast"/>
              <w:jc w:val="both"/>
              <w:rPr>
                <w:rFonts w:cs="Arial"/>
              </w:rPr>
            </w:pPr>
            <w:r w:rsidRPr="00E30642">
              <w:rPr>
                <w:rFonts w:cs="Arial"/>
              </w:rPr>
              <w:t>1 282,18</w:t>
            </w:r>
          </w:p>
        </w:tc>
        <w:tc>
          <w:tcPr>
            <w:tcW w:w="1417" w:type="dxa"/>
            <w:tcBorders>
              <w:top w:val="single" w:sz="6" w:space="0" w:color="auto"/>
              <w:left w:val="single" w:sz="6" w:space="0" w:color="auto"/>
              <w:bottom w:val="single" w:sz="6" w:space="0" w:color="auto"/>
              <w:right w:val="single" w:sz="6" w:space="0" w:color="auto"/>
            </w:tcBorders>
          </w:tcPr>
          <w:p w14:paraId="1A3A80B5" w14:textId="77777777" w:rsidR="00CA23D0" w:rsidRPr="00E30642" w:rsidRDefault="00CA23D0" w:rsidP="00CA23D0">
            <w:pPr>
              <w:pStyle w:val="Texttabulky"/>
              <w:spacing w:line="240" w:lineRule="atLeast"/>
              <w:jc w:val="both"/>
              <w:rPr>
                <w:rFonts w:cs="Arial"/>
              </w:rPr>
            </w:pPr>
            <w:r w:rsidRPr="00E30642">
              <w:rPr>
                <w:rFonts w:cs="Arial"/>
              </w:rPr>
              <w:t>627</w:t>
            </w:r>
          </w:p>
        </w:tc>
        <w:tc>
          <w:tcPr>
            <w:tcW w:w="1418" w:type="dxa"/>
            <w:tcBorders>
              <w:top w:val="single" w:sz="6" w:space="0" w:color="auto"/>
              <w:left w:val="single" w:sz="6" w:space="0" w:color="auto"/>
              <w:bottom w:val="single" w:sz="6" w:space="0" w:color="auto"/>
              <w:right w:val="single" w:sz="6" w:space="0" w:color="auto"/>
            </w:tcBorders>
          </w:tcPr>
          <w:p w14:paraId="51685C12" w14:textId="77777777" w:rsidR="00CA23D0" w:rsidRPr="00E30642" w:rsidRDefault="00CA23D0" w:rsidP="00CA23D0">
            <w:pPr>
              <w:pStyle w:val="Texttabulky"/>
              <w:spacing w:line="240" w:lineRule="atLeast"/>
              <w:jc w:val="both"/>
              <w:rPr>
                <w:rFonts w:cs="Arial"/>
              </w:rPr>
            </w:pPr>
            <w:r w:rsidRPr="00E30642">
              <w:rPr>
                <w:rFonts w:cs="Arial"/>
              </w:rPr>
              <w:t>636</w:t>
            </w:r>
          </w:p>
        </w:tc>
        <w:tc>
          <w:tcPr>
            <w:tcW w:w="1417" w:type="dxa"/>
            <w:tcBorders>
              <w:top w:val="single" w:sz="6" w:space="0" w:color="auto"/>
              <w:left w:val="single" w:sz="6" w:space="0" w:color="auto"/>
              <w:bottom w:val="single" w:sz="6" w:space="0" w:color="auto"/>
              <w:right w:val="single" w:sz="6" w:space="0" w:color="auto"/>
            </w:tcBorders>
          </w:tcPr>
          <w:p w14:paraId="2BA100D9"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5AAA444C" w14:textId="77777777" w:rsidR="00CA23D0" w:rsidRPr="00E30642" w:rsidRDefault="00CA23D0" w:rsidP="00CA23D0">
            <w:pPr>
              <w:pStyle w:val="Texttabulky"/>
              <w:spacing w:line="240" w:lineRule="atLeast"/>
              <w:jc w:val="both"/>
              <w:rPr>
                <w:rFonts w:cs="Arial"/>
              </w:rPr>
            </w:pPr>
            <w:r w:rsidRPr="00E30642">
              <w:rPr>
                <w:rFonts w:cs="Arial"/>
              </w:rPr>
              <w:t>700</w:t>
            </w:r>
          </w:p>
        </w:tc>
      </w:tr>
      <w:tr w:rsidR="00CA23D0" w:rsidRPr="00E30642" w14:paraId="712175C2" w14:textId="77777777" w:rsidTr="00CA23D0">
        <w:tc>
          <w:tcPr>
            <w:tcW w:w="1985" w:type="dxa"/>
            <w:tcBorders>
              <w:top w:val="single" w:sz="6" w:space="0" w:color="auto"/>
              <w:left w:val="single" w:sz="6" w:space="0" w:color="auto"/>
              <w:bottom w:val="single" w:sz="6" w:space="0" w:color="auto"/>
              <w:right w:val="single" w:sz="6" w:space="0" w:color="auto"/>
            </w:tcBorders>
          </w:tcPr>
          <w:p w14:paraId="2B004469" w14:textId="77777777" w:rsidR="00CA23D0" w:rsidRPr="00E30642" w:rsidRDefault="00CA23D0" w:rsidP="00CA23D0">
            <w:pPr>
              <w:pStyle w:val="Texttabulky"/>
              <w:spacing w:line="240" w:lineRule="atLeast"/>
              <w:ind w:firstLine="157"/>
              <w:jc w:val="both"/>
              <w:rPr>
                <w:rFonts w:cs="Arial"/>
              </w:rPr>
            </w:pPr>
            <w:r w:rsidRPr="00E30642">
              <w:rPr>
                <w:rFonts w:cs="Arial"/>
              </w:rPr>
              <w:lastRenderedPageBreak/>
              <w:t>Lobendava</w:t>
            </w:r>
          </w:p>
        </w:tc>
        <w:tc>
          <w:tcPr>
            <w:tcW w:w="1104" w:type="dxa"/>
            <w:tcBorders>
              <w:top w:val="single" w:sz="6" w:space="0" w:color="auto"/>
              <w:left w:val="single" w:sz="6" w:space="0" w:color="auto"/>
              <w:bottom w:val="single" w:sz="6" w:space="0" w:color="auto"/>
              <w:right w:val="single" w:sz="6" w:space="0" w:color="auto"/>
            </w:tcBorders>
          </w:tcPr>
          <w:p w14:paraId="444D2D96" w14:textId="77777777" w:rsidR="00CA23D0" w:rsidRPr="00E30642" w:rsidRDefault="00CA23D0" w:rsidP="00CA23D0">
            <w:pPr>
              <w:pStyle w:val="Texttabulky"/>
              <w:spacing w:line="240" w:lineRule="atLeast"/>
              <w:jc w:val="both"/>
              <w:rPr>
                <w:rFonts w:cs="Arial"/>
              </w:rPr>
            </w:pPr>
            <w:r w:rsidRPr="00E30642">
              <w:rPr>
                <w:rFonts w:cs="Arial"/>
              </w:rPr>
              <w:t>1 954,54</w:t>
            </w:r>
          </w:p>
        </w:tc>
        <w:tc>
          <w:tcPr>
            <w:tcW w:w="1417" w:type="dxa"/>
            <w:tcBorders>
              <w:top w:val="single" w:sz="6" w:space="0" w:color="auto"/>
              <w:left w:val="single" w:sz="6" w:space="0" w:color="auto"/>
              <w:bottom w:val="single" w:sz="6" w:space="0" w:color="auto"/>
              <w:right w:val="single" w:sz="6" w:space="0" w:color="auto"/>
            </w:tcBorders>
          </w:tcPr>
          <w:p w14:paraId="5FDAAB3B" w14:textId="77777777" w:rsidR="00CA23D0" w:rsidRPr="00E30642" w:rsidRDefault="00CA23D0" w:rsidP="00CA23D0">
            <w:pPr>
              <w:pStyle w:val="Texttabulky"/>
              <w:spacing w:line="240" w:lineRule="atLeast"/>
              <w:jc w:val="both"/>
              <w:rPr>
                <w:rFonts w:cs="Arial"/>
              </w:rPr>
            </w:pPr>
            <w:r w:rsidRPr="00E30642">
              <w:rPr>
                <w:rFonts w:cs="Arial"/>
              </w:rPr>
              <w:t>315</w:t>
            </w:r>
          </w:p>
        </w:tc>
        <w:tc>
          <w:tcPr>
            <w:tcW w:w="1418" w:type="dxa"/>
            <w:tcBorders>
              <w:top w:val="single" w:sz="6" w:space="0" w:color="auto"/>
              <w:left w:val="single" w:sz="6" w:space="0" w:color="auto"/>
              <w:bottom w:val="single" w:sz="6" w:space="0" w:color="auto"/>
              <w:right w:val="single" w:sz="6" w:space="0" w:color="auto"/>
            </w:tcBorders>
          </w:tcPr>
          <w:p w14:paraId="62E7EB2C" w14:textId="77777777" w:rsidR="00CA23D0" w:rsidRPr="00E30642" w:rsidRDefault="00CA23D0" w:rsidP="00CA23D0">
            <w:pPr>
              <w:pStyle w:val="Texttabulky"/>
              <w:spacing w:line="240" w:lineRule="atLeast"/>
              <w:jc w:val="both"/>
              <w:rPr>
                <w:rFonts w:cs="Arial"/>
              </w:rPr>
            </w:pPr>
            <w:r w:rsidRPr="00E30642">
              <w:rPr>
                <w:rFonts w:cs="Arial"/>
              </w:rPr>
              <w:t>314</w:t>
            </w:r>
          </w:p>
        </w:tc>
        <w:tc>
          <w:tcPr>
            <w:tcW w:w="1417" w:type="dxa"/>
            <w:tcBorders>
              <w:top w:val="single" w:sz="6" w:space="0" w:color="auto"/>
              <w:left w:val="single" w:sz="6" w:space="0" w:color="auto"/>
              <w:bottom w:val="single" w:sz="6" w:space="0" w:color="auto"/>
              <w:right w:val="single" w:sz="6" w:space="0" w:color="auto"/>
            </w:tcBorders>
          </w:tcPr>
          <w:p w14:paraId="7635D0AC" w14:textId="77777777" w:rsidR="00CA23D0" w:rsidRPr="00E30642" w:rsidRDefault="00CA23D0" w:rsidP="00CA23D0">
            <w:pPr>
              <w:pStyle w:val="Texttabulky"/>
              <w:spacing w:line="240" w:lineRule="atLeast"/>
              <w:jc w:val="both"/>
              <w:rPr>
                <w:rFonts w:cs="Arial"/>
              </w:rPr>
            </w:pPr>
            <w:r w:rsidRPr="00E30642">
              <w:rPr>
                <w:rFonts w:cs="Arial"/>
              </w:rPr>
              <w:t>350</w:t>
            </w:r>
          </w:p>
        </w:tc>
        <w:tc>
          <w:tcPr>
            <w:tcW w:w="1418" w:type="dxa"/>
            <w:tcBorders>
              <w:top w:val="single" w:sz="6" w:space="0" w:color="auto"/>
              <w:left w:val="single" w:sz="6" w:space="0" w:color="auto"/>
              <w:bottom w:val="single" w:sz="6" w:space="0" w:color="auto"/>
              <w:right w:val="single" w:sz="6" w:space="0" w:color="auto"/>
            </w:tcBorders>
          </w:tcPr>
          <w:p w14:paraId="09934096"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35C88091" w14:textId="77777777" w:rsidTr="00CA23D0">
        <w:tc>
          <w:tcPr>
            <w:tcW w:w="1985" w:type="dxa"/>
            <w:tcBorders>
              <w:top w:val="single" w:sz="6" w:space="0" w:color="auto"/>
              <w:left w:val="single" w:sz="6" w:space="0" w:color="auto"/>
              <w:bottom w:val="single" w:sz="6" w:space="0" w:color="auto"/>
              <w:right w:val="single" w:sz="6" w:space="0" w:color="auto"/>
            </w:tcBorders>
          </w:tcPr>
          <w:p w14:paraId="2BAF8751" w14:textId="77777777" w:rsidR="00CA23D0" w:rsidRPr="00E30642" w:rsidRDefault="00CA23D0" w:rsidP="00CA23D0">
            <w:pPr>
              <w:pStyle w:val="Texttabulky"/>
              <w:spacing w:line="240" w:lineRule="atLeast"/>
              <w:ind w:firstLine="157"/>
              <w:jc w:val="both"/>
              <w:rPr>
                <w:rFonts w:cs="Arial"/>
              </w:rPr>
            </w:pPr>
            <w:r w:rsidRPr="00E30642">
              <w:rPr>
                <w:rFonts w:cs="Arial"/>
              </w:rPr>
              <w:t>Ludvíkovice</w:t>
            </w:r>
          </w:p>
        </w:tc>
        <w:tc>
          <w:tcPr>
            <w:tcW w:w="1104" w:type="dxa"/>
            <w:tcBorders>
              <w:top w:val="single" w:sz="6" w:space="0" w:color="auto"/>
              <w:left w:val="single" w:sz="6" w:space="0" w:color="auto"/>
              <w:bottom w:val="single" w:sz="6" w:space="0" w:color="auto"/>
              <w:right w:val="single" w:sz="6" w:space="0" w:color="auto"/>
            </w:tcBorders>
          </w:tcPr>
          <w:p w14:paraId="07E70160" w14:textId="77777777" w:rsidR="00CA23D0" w:rsidRPr="00E30642" w:rsidRDefault="00CA23D0" w:rsidP="00CA23D0">
            <w:pPr>
              <w:pStyle w:val="Texttabulky"/>
              <w:spacing w:line="240" w:lineRule="atLeast"/>
              <w:jc w:val="both"/>
              <w:rPr>
                <w:rFonts w:cs="Arial"/>
              </w:rPr>
            </w:pPr>
            <w:r w:rsidRPr="00E30642">
              <w:rPr>
                <w:rFonts w:cs="Arial"/>
              </w:rPr>
              <w:t>948,12</w:t>
            </w:r>
          </w:p>
        </w:tc>
        <w:tc>
          <w:tcPr>
            <w:tcW w:w="1417" w:type="dxa"/>
            <w:tcBorders>
              <w:top w:val="single" w:sz="6" w:space="0" w:color="auto"/>
              <w:left w:val="single" w:sz="6" w:space="0" w:color="auto"/>
              <w:bottom w:val="single" w:sz="6" w:space="0" w:color="auto"/>
              <w:right w:val="single" w:sz="6" w:space="0" w:color="auto"/>
            </w:tcBorders>
          </w:tcPr>
          <w:p w14:paraId="442C7646"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78C23052" w14:textId="77777777" w:rsidR="00CA23D0" w:rsidRPr="00E30642" w:rsidRDefault="00CA23D0" w:rsidP="00CA23D0">
            <w:pPr>
              <w:pStyle w:val="Texttabulky"/>
              <w:spacing w:line="240" w:lineRule="atLeast"/>
              <w:jc w:val="both"/>
              <w:rPr>
                <w:rFonts w:cs="Arial"/>
              </w:rPr>
            </w:pPr>
            <w:r w:rsidRPr="00E30642">
              <w:rPr>
                <w:rFonts w:cs="Arial"/>
              </w:rPr>
              <w:t>693</w:t>
            </w:r>
          </w:p>
        </w:tc>
        <w:tc>
          <w:tcPr>
            <w:tcW w:w="1417" w:type="dxa"/>
            <w:tcBorders>
              <w:top w:val="single" w:sz="6" w:space="0" w:color="auto"/>
              <w:left w:val="single" w:sz="6" w:space="0" w:color="auto"/>
              <w:bottom w:val="single" w:sz="6" w:space="0" w:color="auto"/>
              <w:right w:val="single" w:sz="6" w:space="0" w:color="auto"/>
            </w:tcBorders>
          </w:tcPr>
          <w:p w14:paraId="4CC4B246" w14:textId="77777777" w:rsidR="00CA23D0" w:rsidRPr="00E30642" w:rsidRDefault="00CA23D0" w:rsidP="00CA23D0">
            <w:pPr>
              <w:pStyle w:val="Texttabulky"/>
              <w:spacing w:line="240" w:lineRule="atLeast"/>
              <w:jc w:val="both"/>
              <w:rPr>
                <w:rFonts w:cs="Arial"/>
              </w:rPr>
            </w:pPr>
            <w:r w:rsidRPr="00E30642">
              <w:rPr>
                <w:rFonts w:cs="Arial"/>
              </w:rPr>
              <w:t>700</w:t>
            </w:r>
          </w:p>
        </w:tc>
        <w:tc>
          <w:tcPr>
            <w:tcW w:w="1418" w:type="dxa"/>
            <w:tcBorders>
              <w:top w:val="single" w:sz="6" w:space="0" w:color="auto"/>
              <w:left w:val="single" w:sz="6" w:space="0" w:color="auto"/>
              <w:bottom w:val="single" w:sz="6" w:space="0" w:color="auto"/>
              <w:right w:val="single" w:sz="6" w:space="0" w:color="auto"/>
            </w:tcBorders>
          </w:tcPr>
          <w:p w14:paraId="30F80444" w14:textId="77777777" w:rsidR="00CA23D0" w:rsidRPr="00E30642" w:rsidRDefault="00CA23D0" w:rsidP="00CA23D0">
            <w:pPr>
              <w:pStyle w:val="Texttabulky"/>
              <w:spacing w:line="240" w:lineRule="atLeast"/>
              <w:jc w:val="both"/>
              <w:rPr>
                <w:rFonts w:cs="Arial"/>
              </w:rPr>
            </w:pPr>
            <w:r w:rsidRPr="00E30642">
              <w:rPr>
                <w:rFonts w:cs="Arial"/>
              </w:rPr>
              <w:t>700</w:t>
            </w:r>
          </w:p>
        </w:tc>
      </w:tr>
      <w:tr w:rsidR="00CA23D0" w:rsidRPr="00E30642" w14:paraId="1596B0BC" w14:textId="77777777" w:rsidTr="00CA23D0">
        <w:tc>
          <w:tcPr>
            <w:tcW w:w="1985" w:type="dxa"/>
            <w:tcBorders>
              <w:top w:val="single" w:sz="6" w:space="0" w:color="auto"/>
              <w:left w:val="single" w:sz="6" w:space="0" w:color="auto"/>
              <w:bottom w:val="single" w:sz="6" w:space="0" w:color="auto"/>
              <w:right w:val="single" w:sz="6" w:space="0" w:color="auto"/>
            </w:tcBorders>
          </w:tcPr>
          <w:p w14:paraId="67F908AD" w14:textId="77777777" w:rsidR="00CA23D0" w:rsidRPr="00E30642" w:rsidRDefault="00CA23D0" w:rsidP="00CA23D0">
            <w:pPr>
              <w:pStyle w:val="Texttabulky"/>
              <w:spacing w:line="240" w:lineRule="atLeast"/>
              <w:ind w:firstLine="157"/>
              <w:jc w:val="both"/>
              <w:rPr>
                <w:rFonts w:cs="Arial"/>
              </w:rPr>
            </w:pPr>
            <w:r w:rsidRPr="00E30642">
              <w:rPr>
                <w:rFonts w:cs="Arial"/>
              </w:rPr>
              <w:t>Malá Veleň</w:t>
            </w:r>
          </w:p>
        </w:tc>
        <w:tc>
          <w:tcPr>
            <w:tcW w:w="1104" w:type="dxa"/>
            <w:tcBorders>
              <w:top w:val="single" w:sz="6" w:space="0" w:color="auto"/>
              <w:left w:val="single" w:sz="6" w:space="0" w:color="auto"/>
              <w:bottom w:val="single" w:sz="6" w:space="0" w:color="auto"/>
              <w:right w:val="single" w:sz="6" w:space="0" w:color="auto"/>
            </w:tcBorders>
          </w:tcPr>
          <w:p w14:paraId="57CEB20F" w14:textId="77777777" w:rsidR="00CA23D0" w:rsidRPr="00E30642" w:rsidRDefault="00CA23D0" w:rsidP="00CA23D0">
            <w:pPr>
              <w:pStyle w:val="Texttabulky"/>
              <w:spacing w:line="240" w:lineRule="atLeast"/>
              <w:jc w:val="both"/>
              <w:rPr>
                <w:rFonts w:cs="Arial"/>
              </w:rPr>
            </w:pPr>
            <w:r w:rsidRPr="00E30642">
              <w:rPr>
                <w:rFonts w:cs="Arial"/>
              </w:rPr>
              <w:t>502,38</w:t>
            </w:r>
          </w:p>
        </w:tc>
        <w:tc>
          <w:tcPr>
            <w:tcW w:w="1417" w:type="dxa"/>
            <w:tcBorders>
              <w:top w:val="single" w:sz="6" w:space="0" w:color="auto"/>
              <w:left w:val="single" w:sz="6" w:space="0" w:color="auto"/>
              <w:bottom w:val="single" w:sz="6" w:space="0" w:color="auto"/>
              <w:right w:val="single" w:sz="6" w:space="0" w:color="auto"/>
            </w:tcBorders>
          </w:tcPr>
          <w:p w14:paraId="2F91C1CA" w14:textId="77777777" w:rsidR="00CA23D0" w:rsidRPr="00E30642" w:rsidRDefault="00CA23D0" w:rsidP="00CA23D0">
            <w:pPr>
              <w:pStyle w:val="Texttabulky"/>
              <w:spacing w:line="240" w:lineRule="atLeast"/>
              <w:jc w:val="both"/>
              <w:rPr>
                <w:rFonts w:cs="Arial"/>
              </w:rPr>
            </w:pPr>
            <w:r w:rsidRPr="00E30642">
              <w:rPr>
                <w:rFonts w:cs="Arial"/>
              </w:rPr>
              <w:t>405</w:t>
            </w:r>
          </w:p>
        </w:tc>
        <w:tc>
          <w:tcPr>
            <w:tcW w:w="1418" w:type="dxa"/>
            <w:tcBorders>
              <w:top w:val="single" w:sz="6" w:space="0" w:color="auto"/>
              <w:left w:val="single" w:sz="6" w:space="0" w:color="auto"/>
              <w:bottom w:val="single" w:sz="6" w:space="0" w:color="auto"/>
              <w:right w:val="single" w:sz="6" w:space="0" w:color="auto"/>
            </w:tcBorders>
          </w:tcPr>
          <w:p w14:paraId="05C44225" w14:textId="77777777" w:rsidR="00CA23D0" w:rsidRPr="00E30642" w:rsidRDefault="00CA23D0" w:rsidP="00CA23D0">
            <w:pPr>
              <w:pStyle w:val="Texttabulky"/>
              <w:spacing w:line="240" w:lineRule="atLeast"/>
              <w:jc w:val="both"/>
              <w:rPr>
                <w:rFonts w:cs="Arial"/>
              </w:rPr>
            </w:pPr>
            <w:r w:rsidRPr="00E30642">
              <w:rPr>
                <w:rFonts w:cs="Arial"/>
              </w:rPr>
              <w:t>427</w:t>
            </w:r>
          </w:p>
        </w:tc>
        <w:tc>
          <w:tcPr>
            <w:tcW w:w="1417" w:type="dxa"/>
            <w:tcBorders>
              <w:top w:val="single" w:sz="6" w:space="0" w:color="auto"/>
              <w:left w:val="single" w:sz="6" w:space="0" w:color="auto"/>
              <w:bottom w:val="single" w:sz="6" w:space="0" w:color="auto"/>
              <w:right w:val="single" w:sz="6" w:space="0" w:color="auto"/>
            </w:tcBorders>
          </w:tcPr>
          <w:p w14:paraId="552A3E29"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509F97FD"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18FA90C7" w14:textId="77777777" w:rsidTr="00CA23D0">
        <w:tc>
          <w:tcPr>
            <w:tcW w:w="1985" w:type="dxa"/>
            <w:tcBorders>
              <w:top w:val="single" w:sz="6" w:space="0" w:color="auto"/>
              <w:left w:val="single" w:sz="6" w:space="0" w:color="auto"/>
              <w:bottom w:val="single" w:sz="6" w:space="0" w:color="auto"/>
              <w:right w:val="single" w:sz="6" w:space="0" w:color="auto"/>
            </w:tcBorders>
          </w:tcPr>
          <w:p w14:paraId="5106DE62" w14:textId="77777777" w:rsidR="00CA23D0" w:rsidRPr="00E30642" w:rsidRDefault="00CA23D0" w:rsidP="00CA23D0">
            <w:pPr>
              <w:pStyle w:val="Texttabulky"/>
              <w:spacing w:line="240" w:lineRule="atLeast"/>
              <w:ind w:firstLine="157"/>
              <w:jc w:val="both"/>
              <w:rPr>
                <w:rFonts w:cs="Arial"/>
              </w:rPr>
            </w:pPr>
            <w:r w:rsidRPr="00E30642">
              <w:rPr>
                <w:rFonts w:cs="Arial"/>
              </w:rPr>
              <w:t>Malšovice</w:t>
            </w:r>
          </w:p>
        </w:tc>
        <w:tc>
          <w:tcPr>
            <w:tcW w:w="1104" w:type="dxa"/>
            <w:tcBorders>
              <w:top w:val="single" w:sz="6" w:space="0" w:color="auto"/>
              <w:left w:val="single" w:sz="6" w:space="0" w:color="auto"/>
              <w:bottom w:val="single" w:sz="6" w:space="0" w:color="auto"/>
              <w:right w:val="single" w:sz="6" w:space="0" w:color="auto"/>
            </w:tcBorders>
          </w:tcPr>
          <w:p w14:paraId="0F8E3763" w14:textId="77777777" w:rsidR="00CA23D0" w:rsidRPr="00E30642" w:rsidRDefault="00CA23D0" w:rsidP="00CA23D0">
            <w:pPr>
              <w:pStyle w:val="Texttabulky"/>
              <w:spacing w:line="240" w:lineRule="atLeast"/>
              <w:jc w:val="both"/>
              <w:rPr>
                <w:rFonts w:cs="Arial"/>
              </w:rPr>
            </w:pPr>
            <w:r w:rsidRPr="00E30642">
              <w:rPr>
                <w:rFonts w:cs="Arial"/>
              </w:rPr>
              <w:t>1 304,54</w:t>
            </w:r>
          </w:p>
        </w:tc>
        <w:tc>
          <w:tcPr>
            <w:tcW w:w="1417" w:type="dxa"/>
            <w:tcBorders>
              <w:top w:val="single" w:sz="6" w:space="0" w:color="auto"/>
              <w:left w:val="single" w:sz="6" w:space="0" w:color="auto"/>
              <w:bottom w:val="single" w:sz="6" w:space="0" w:color="auto"/>
              <w:right w:val="single" w:sz="6" w:space="0" w:color="auto"/>
            </w:tcBorders>
          </w:tcPr>
          <w:p w14:paraId="5DEF8603" w14:textId="77777777" w:rsidR="00CA23D0" w:rsidRPr="00E30642" w:rsidRDefault="00CA23D0" w:rsidP="00CA23D0">
            <w:pPr>
              <w:pStyle w:val="Texttabulky"/>
              <w:spacing w:line="240" w:lineRule="atLeast"/>
              <w:jc w:val="both"/>
              <w:rPr>
                <w:rFonts w:cs="Arial"/>
              </w:rPr>
            </w:pPr>
            <w:r w:rsidRPr="00E30642">
              <w:rPr>
                <w:rFonts w:cs="Arial"/>
              </w:rPr>
              <w:t>652</w:t>
            </w:r>
          </w:p>
        </w:tc>
        <w:tc>
          <w:tcPr>
            <w:tcW w:w="1418" w:type="dxa"/>
            <w:tcBorders>
              <w:top w:val="single" w:sz="6" w:space="0" w:color="auto"/>
              <w:left w:val="single" w:sz="6" w:space="0" w:color="auto"/>
              <w:bottom w:val="single" w:sz="6" w:space="0" w:color="auto"/>
              <w:right w:val="single" w:sz="6" w:space="0" w:color="auto"/>
            </w:tcBorders>
          </w:tcPr>
          <w:p w14:paraId="48F51202" w14:textId="77777777" w:rsidR="00CA23D0" w:rsidRPr="00E30642" w:rsidRDefault="00CA23D0" w:rsidP="00CA23D0">
            <w:pPr>
              <w:pStyle w:val="Texttabulky"/>
              <w:spacing w:line="240" w:lineRule="atLeast"/>
              <w:jc w:val="both"/>
              <w:rPr>
                <w:rFonts w:cs="Arial"/>
              </w:rPr>
            </w:pPr>
            <w:r w:rsidRPr="00E30642">
              <w:rPr>
                <w:rFonts w:cs="Arial"/>
              </w:rPr>
              <w:t>661</w:t>
            </w:r>
          </w:p>
        </w:tc>
        <w:tc>
          <w:tcPr>
            <w:tcW w:w="1417" w:type="dxa"/>
            <w:tcBorders>
              <w:top w:val="single" w:sz="6" w:space="0" w:color="auto"/>
              <w:left w:val="single" w:sz="6" w:space="0" w:color="auto"/>
              <w:bottom w:val="single" w:sz="6" w:space="0" w:color="auto"/>
              <w:right w:val="single" w:sz="6" w:space="0" w:color="auto"/>
            </w:tcBorders>
          </w:tcPr>
          <w:p w14:paraId="7CC0A64C" w14:textId="77777777" w:rsidR="00CA23D0" w:rsidRPr="00E30642" w:rsidRDefault="00CA23D0" w:rsidP="00CA23D0">
            <w:pPr>
              <w:pStyle w:val="Texttabulky"/>
              <w:spacing w:line="240" w:lineRule="atLeast"/>
              <w:jc w:val="both"/>
              <w:rPr>
                <w:rFonts w:cs="Arial"/>
              </w:rPr>
            </w:pPr>
            <w:r w:rsidRPr="00E30642">
              <w:rPr>
                <w:rFonts w:cs="Arial"/>
              </w:rPr>
              <w:t>600</w:t>
            </w:r>
          </w:p>
        </w:tc>
        <w:tc>
          <w:tcPr>
            <w:tcW w:w="1418" w:type="dxa"/>
            <w:tcBorders>
              <w:top w:val="single" w:sz="6" w:space="0" w:color="auto"/>
              <w:left w:val="single" w:sz="6" w:space="0" w:color="auto"/>
              <w:bottom w:val="single" w:sz="6" w:space="0" w:color="auto"/>
              <w:right w:val="single" w:sz="6" w:space="0" w:color="auto"/>
            </w:tcBorders>
          </w:tcPr>
          <w:p w14:paraId="05B8AE12" w14:textId="77777777" w:rsidR="00CA23D0" w:rsidRPr="00E30642" w:rsidRDefault="00CA23D0" w:rsidP="00CA23D0">
            <w:pPr>
              <w:pStyle w:val="Texttabulky"/>
              <w:spacing w:line="240" w:lineRule="atLeast"/>
              <w:jc w:val="both"/>
              <w:rPr>
                <w:rFonts w:cs="Arial"/>
              </w:rPr>
            </w:pPr>
            <w:r w:rsidRPr="00E30642">
              <w:rPr>
                <w:rFonts w:cs="Arial"/>
              </w:rPr>
              <w:t>600</w:t>
            </w:r>
          </w:p>
        </w:tc>
      </w:tr>
      <w:tr w:rsidR="00CA23D0" w:rsidRPr="00E30642" w14:paraId="55BB4D28" w14:textId="77777777" w:rsidTr="00CA23D0">
        <w:tc>
          <w:tcPr>
            <w:tcW w:w="1985" w:type="dxa"/>
            <w:tcBorders>
              <w:top w:val="single" w:sz="6" w:space="0" w:color="auto"/>
              <w:left w:val="single" w:sz="6" w:space="0" w:color="auto"/>
              <w:bottom w:val="single" w:sz="6" w:space="0" w:color="auto"/>
              <w:right w:val="single" w:sz="6" w:space="0" w:color="auto"/>
            </w:tcBorders>
          </w:tcPr>
          <w:p w14:paraId="5F90EA86" w14:textId="77777777" w:rsidR="00CA23D0" w:rsidRPr="00E30642" w:rsidRDefault="00CA23D0" w:rsidP="00CA23D0">
            <w:pPr>
              <w:pStyle w:val="Texttabulky"/>
              <w:spacing w:line="240" w:lineRule="atLeast"/>
              <w:ind w:firstLine="157"/>
              <w:jc w:val="both"/>
              <w:rPr>
                <w:rFonts w:cs="Arial"/>
              </w:rPr>
            </w:pPr>
            <w:r w:rsidRPr="00E30642">
              <w:rPr>
                <w:rFonts w:cs="Arial"/>
              </w:rPr>
              <w:t>Markvartice</w:t>
            </w:r>
          </w:p>
        </w:tc>
        <w:tc>
          <w:tcPr>
            <w:tcW w:w="1104" w:type="dxa"/>
            <w:tcBorders>
              <w:top w:val="single" w:sz="6" w:space="0" w:color="auto"/>
              <w:left w:val="single" w:sz="6" w:space="0" w:color="auto"/>
              <w:bottom w:val="single" w:sz="6" w:space="0" w:color="auto"/>
              <w:right w:val="single" w:sz="6" w:space="0" w:color="auto"/>
            </w:tcBorders>
          </w:tcPr>
          <w:p w14:paraId="5581F46A" w14:textId="77777777" w:rsidR="00CA23D0" w:rsidRPr="00E30642" w:rsidRDefault="00CA23D0" w:rsidP="00CA23D0">
            <w:pPr>
              <w:pStyle w:val="Texttabulky"/>
              <w:spacing w:line="240" w:lineRule="atLeast"/>
              <w:jc w:val="both"/>
              <w:rPr>
                <w:rFonts w:cs="Arial"/>
              </w:rPr>
            </w:pPr>
            <w:r w:rsidRPr="00E30642">
              <w:rPr>
                <w:rFonts w:cs="Arial"/>
              </w:rPr>
              <w:t>854,5</w:t>
            </w:r>
          </w:p>
        </w:tc>
        <w:tc>
          <w:tcPr>
            <w:tcW w:w="1417" w:type="dxa"/>
            <w:tcBorders>
              <w:top w:val="single" w:sz="6" w:space="0" w:color="auto"/>
              <w:left w:val="single" w:sz="6" w:space="0" w:color="auto"/>
              <w:bottom w:val="single" w:sz="6" w:space="0" w:color="auto"/>
              <w:right w:val="single" w:sz="6" w:space="0" w:color="auto"/>
            </w:tcBorders>
          </w:tcPr>
          <w:p w14:paraId="758A6943" w14:textId="77777777" w:rsidR="00CA23D0" w:rsidRPr="00E30642" w:rsidRDefault="00CA23D0" w:rsidP="00CA23D0">
            <w:pPr>
              <w:pStyle w:val="Texttabulky"/>
              <w:spacing w:line="240" w:lineRule="atLeast"/>
              <w:jc w:val="both"/>
              <w:rPr>
                <w:rFonts w:cs="Arial"/>
              </w:rPr>
            </w:pPr>
            <w:r w:rsidRPr="00E30642">
              <w:rPr>
                <w:rFonts w:cs="Arial"/>
              </w:rPr>
              <w:t>578</w:t>
            </w:r>
          </w:p>
        </w:tc>
        <w:tc>
          <w:tcPr>
            <w:tcW w:w="1418" w:type="dxa"/>
            <w:tcBorders>
              <w:top w:val="single" w:sz="6" w:space="0" w:color="auto"/>
              <w:left w:val="single" w:sz="6" w:space="0" w:color="auto"/>
              <w:bottom w:val="single" w:sz="6" w:space="0" w:color="auto"/>
              <w:right w:val="single" w:sz="6" w:space="0" w:color="auto"/>
            </w:tcBorders>
          </w:tcPr>
          <w:p w14:paraId="59F5189D" w14:textId="77777777" w:rsidR="00CA23D0" w:rsidRPr="00E30642" w:rsidRDefault="00CA23D0" w:rsidP="00CA23D0">
            <w:pPr>
              <w:pStyle w:val="Texttabulky"/>
              <w:spacing w:line="240" w:lineRule="atLeast"/>
              <w:jc w:val="both"/>
              <w:rPr>
                <w:rFonts w:cs="Arial"/>
              </w:rPr>
            </w:pPr>
            <w:r w:rsidRPr="00E30642">
              <w:rPr>
                <w:rFonts w:cs="Arial"/>
              </w:rPr>
              <w:t>630</w:t>
            </w:r>
          </w:p>
        </w:tc>
        <w:tc>
          <w:tcPr>
            <w:tcW w:w="1417" w:type="dxa"/>
            <w:tcBorders>
              <w:top w:val="single" w:sz="6" w:space="0" w:color="auto"/>
              <w:left w:val="single" w:sz="6" w:space="0" w:color="auto"/>
              <w:bottom w:val="single" w:sz="6" w:space="0" w:color="auto"/>
              <w:right w:val="single" w:sz="6" w:space="0" w:color="auto"/>
            </w:tcBorders>
          </w:tcPr>
          <w:p w14:paraId="2ABE20D1" w14:textId="77777777" w:rsidR="00CA23D0" w:rsidRPr="00E30642" w:rsidRDefault="00CA23D0" w:rsidP="00CA23D0">
            <w:pPr>
              <w:pStyle w:val="Texttabulky"/>
              <w:spacing w:line="240" w:lineRule="atLeast"/>
              <w:jc w:val="both"/>
              <w:rPr>
                <w:rFonts w:cs="Arial"/>
              </w:rPr>
            </w:pPr>
            <w:r w:rsidRPr="00E30642">
              <w:rPr>
                <w:rFonts w:cs="Arial"/>
              </w:rPr>
              <w:t>650</w:t>
            </w:r>
          </w:p>
        </w:tc>
        <w:tc>
          <w:tcPr>
            <w:tcW w:w="1418" w:type="dxa"/>
            <w:tcBorders>
              <w:top w:val="single" w:sz="6" w:space="0" w:color="auto"/>
              <w:left w:val="single" w:sz="6" w:space="0" w:color="auto"/>
              <w:bottom w:val="single" w:sz="6" w:space="0" w:color="auto"/>
              <w:right w:val="single" w:sz="6" w:space="0" w:color="auto"/>
            </w:tcBorders>
          </w:tcPr>
          <w:p w14:paraId="5AFDCD56" w14:textId="77777777" w:rsidR="00CA23D0" w:rsidRPr="00E30642" w:rsidRDefault="00CA23D0" w:rsidP="00CA23D0">
            <w:pPr>
              <w:pStyle w:val="Texttabulky"/>
              <w:spacing w:line="240" w:lineRule="atLeast"/>
              <w:jc w:val="both"/>
              <w:rPr>
                <w:rFonts w:cs="Arial"/>
              </w:rPr>
            </w:pPr>
            <w:r w:rsidRPr="00E30642">
              <w:rPr>
                <w:rFonts w:cs="Arial"/>
              </w:rPr>
              <w:t>600</w:t>
            </w:r>
          </w:p>
        </w:tc>
      </w:tr>
      <w:tr w:rsidR="00CA23D0" w:rsidRPr="00E30642" w14:paraId="5E582471" w14:textId="77777777" w:rsidTr="00CA23D0">
        <w:tc>
          <w:tcPr>
            <w:tcW w:w="1985" w:type="dxa"/>
            <w:tcBorders>
              <w:top w:val="single" w:sz="6" w:space="0" w:color="auto"/>
              <w:left w:val="single" w:sz="6" w:space="0" w:color="auto"/>
              <w:bottom w:val="single" w:sz="6" w:space="0" w:color="auto"/>
              <w:right w:val="single" w:sz="6" w:space="0" w:color="auto"/>
            </w:tcBorders>
          </w:tcPr>
          <w:p w14:paraId="0D8BED79" w14:textId="77777777" w:rsidR="00CA23D0" w:rsidRPr="00E30642" w:rsidRDefault="00CA23D0" w:rsidP="00CA23D0">
            <w:pPr>
              <w:pStyle w:val="Texttabulky"/>
              <w:spacing w:line="240" w:lineRule="atLeast"/>
              <w:ind w:firstLine="157"/>
              <w:jc w:val="both"/>
              <w:rPr>
                <w:rFonts w:cs="Arial"/>
              </w:rPr>
            </w:pPr>
            <w:r w:rsidRPr="00E30642">
              <w:rPr>
                <w:rFonts w:cs="Arial"/>
              </w:rPr>
              <w:t>Merboltice</w:t>
            </w:r>
          </w:p>
        </w:tc>
        <w:tc>
          <w:tcPr>
            <w:tcW w:w="1104" w:type="dxa"/>
            <w:tcBorders>
              <w:top w:val="single" w:sz="6" w:space="0" w:color="auto"/>
              <w:left w:val="single" w:sz="6" w:space="0" w:color="auto"/>
              <w:bottom w:val="single" w:sz="6" w:space="0" w:color="auto"/>
              <w:right w:val="single" w:sz="6" w:space="0" w:color="auto"/>
            </w:tcBorders>
          </w:tcPr>
          <w:p w14:paraId="4C21EAB0" w14:textId="77777777" w:rsidR="00CA23D0" w:rsidRPr="00E30642" w:rsidRDefault="00CA23D0" w:rsidP="00CA23D0">
            <w:pPr>
              <w:pStyle w:val="Texttabulky"/>
              <w:spacing w:line="240" w:lineRule="atLeast"/>
              <w:jc w:val="both"/>
              <w:rPr>
                <w:rFonts w:cs="Arial"/>
              </w:rPr>
            </w:pPr>
            <w:r w:rsidRPr="00E30642">
              <w:rPr>
                <w:rFonts w:cs="Arial"/>
              </w:rPr>
              <w:t>825,38</w:t>
            </w:r>
          </w:p>
        </w:tc>
        <w:tc>
          <w:tcPr>
            <w:tcW w:w="1417" w:type="dxa"/>
            <w:tcBorders>
              <w:top w:val="single" w:sz="6" w:space="0" w:color="auto"/>
              <w:left w:val="single" w:sz="6" w:space="0" w:color="auto"/>
              <w:bottom w:val="single" w:sz="6" w:space="0" w:color="auto"/>
              <w:right w:val="single" w:sz="6" w:space="0" w:color="auto"/>
            </w:tcBorders>
          </w:tcPr>
          <w:p w14:paraId="4C353076" w14:textId="77777777" w:rsidR="00CA23D0" w:rsidRPr="00E30642" w:rsidRDefault="00CA23D0" w:rsidP="00CA23D0">
            <w:pPr>
              <w:pStyle w:val="Texttabulky"/>
              <w:spacing w:line="240" w:lineRule="atLeast"/>
              <w:jc w:val="both"/>
              <w:rPr>
                <w:rFonts w:cs="Arial"/>
              </w:rPr>
            </w:pPr>
            <w:r w:rsidRPr="00E30642">
              <w:rPr>
                <w:rFonts w:cs="Arial"/>
              </w:rPr>
              <w:t>97</w:t>
            </w:r>
          </w:p>
        </w:tc>
        <w:tc>
          <w:tcPr>
            <w:tcW w:w="1418" w:type="dxa"/>
            <w:tcBorders>
              <w:top w:val="single" w:sz="6" w:space="0" w:color="auto"/>
              <w:left w:val="single" w:sz="6" w:space="0" w:color="auto"/>
              <w:bottom w:val="single" w:sz="6" w:space="0" w:color="auto"/>
              <w:right w:val="single" w:sz="6" w:space="0" w:color="auto"/>
            </w:tcBorders>
          </w:tcPr>
          <w:p w14:paraId="2F91067F" w14:textId="77777777" w:rsidR="00CA23D0" w:rsidRPr="00E30642" w:rsidRDefault="00CA23D0" w:rsidP="00CA23D0">
            <w:pPr>
              <w:pStyle w:val="Texttabulky"/>
              <w:spacing w:line="240" w:lineRule="atLeast"/>
              <w:jc w:val="both"/>
              <w:rPr>
                <w:rFonts w:cs="Arial"/>
              </w:rPr>
            </w:pPr>
            <w:r w:rsidRPr="00E30642">
              <w:rPr>
                <w:rFonts w:cs="Arial"/>
              </w:rPr>
              <w:t>112</w:t>
            </w:r>
          </w:p>
        </w:tc>
        <w:tc>
          <w:tcPr>
            <w:tcW w:w="1417" w:type="dxa"/>
            <w:tcBorders>
              <w:top w:val="single" w:sz="6" w:space="0" w:color="auto"/>
              <w:left w:val="single" w:sz="6" w:space="0" w:color="auto"/>
              <w:bottom w:val="single" w:sz="6" w:space="0" w:color="auto"/>
              <w:right w:val="single" w:sz="6" w:space="0" w:color="auto"/>
            </w:tcBorders>
          </w:tcPr>
          <w:p w14:paraId="69B2F1A1" w14:textId="77777777" w:rsidR="00CA23D0" w:rsidRPr="00E30642" w:rsidRDefault="00CA23D0" w:rsidP="00CA23D0">
            <w:pPr>
              <w:pStyle w:val="Texttabulky"/>
              <w:spacing w:line="240" w:lineRule="atLeast"/>
              <w:jc w:val="both"/>
              <w:rPr>
                <w:rFonts w:cs="Arial"/>
              </w:rPr>
            </w:pPr>
            <w:r w:rsidRPr="00E30642">
              <w:rPr>
                <w:rFonts w:cs="Arial"/>
              </w:rPr>
              <w:t>150</w:t>
            </w:r>
          </w:p>
        </w:tc>
        <w:tc>
          <w:tcPr>
            <w:tcW w:w="1418" w:type="dxa"/>
            <w:tcBorders>
              <w:top w:val="single" w:sz="6" w:space="0" w:color="auto"/>
              <w:left w:val="single" w:sz="6" w:space="0" w:color="auto"/>
              <w:bottom w:val="single" w:sz="6" w:space="0" w:color="auto"/>
              <w:right w:val="single" w:sz="6" w:space="0" w:color="auto"/>
            </w:tcBorders>
          </w:tcPr>
          <w:p w14:paraId="10EC8FDF"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43CEC3F1" w14:textId="77777777" w:rsidTr="00CA23D0">
        <w:tc>
          <w:tcPr>
            <w:tcW w:w="1985" w:type="dxa"/>
            <w:tcBorders>
              <w:top w:val="single" w:sz="6" w:space="0" w:color="auto"/>
              <w:left w:val="single" w:sz="6" w:space="0" w:color="auto"/>
              <w:bottom w:val="single" w:sz="6" w:space="0" w:color="auto"/>
              <w:right w:val="single" w:sz="6" w:space="0" w:color="auto"/>
            </w:tcBorders>
          </w:tcPr>
          <w:p w14:paraId="767AF95C" w14:textId="77777777" w:rsidR="00CA23D0" w:rsidRPr="00E30642" w:rsidRDefault="00CA23D0" w:rsidP="00CA23D0">
            <w:pPr>
              <w:pStyle w:val="Texttabulky"/>
              <w:spacing w:line="240" w:lineRule="atLeast"/>
              <w:ind w:firstLine="157"/>
              <w:jc w:val="both"/>
              <w:rPr>
                <w:rFonts w:cs="Arial"/>
              </w:rPr>
            </w:pPr>
            <w:r w:rsidRPr="00E30642">
              <w:rPr>
                <w:rFonts w:cs="Arial"/>
              </w:rPr>
              <w:t>Mikulášovice</w:t>
            </w:r>
          </w:p>
        </w:tc>
        <w:tc>
          <w:tcPr>
            <w:tcW w:w="1104" w:type="dxa"/>
            <w:tcBorders>
              <w:top w:val="single" w:sz="6" w:space="0" w:color="auto"/>
              <w:left w:val="single" w:sz="6" w:space="0" w:color="auto"/>
              <w:bottom w:val="single" w:sz="6" w:space="0" w:color="auto"/>
              <w:right w:val="single" w:sz="6" w:space="0" w:color="auto"/>
            </w:tcBorders>
          </w:tcPr>
          <w:p w14:paraId="66BD375B" w14:textId="77777777" w:rsidR="00CA23D0" w:rsidRPr="00E30642" w:rsidRDefault="00CA23D0" w:rsidP="00CA23D0">
            <w:pPr>
              <w:pStyle w:val="Texttabulky"/>
              <w:spacing w:line="240" w:lineRule="atLeast"/>
              <w:jc w:val="both"/>
              <w:rPr>
                <w:rFonts w:cs="Arial"/>
              </w:rPr>
            </w:pPr>
            <w:r w:rsidRPr="00E30642">
              <w:rPr>
                <w:rFonts w:cs="Arial"/>
              </w:rPr>
              <w:t>2 585,72</w:t>
            </w:r>
          </w:p>
        </w:tc>
        <w:tc>
          <w:tcPr>
            <w:tcW w:w="1417" w:type="dxa"/>
            <w:tcBorders>
              <w:top w:val="single" w:sz="6" w:space="0" w:color="auto"/>
              <w:left w:val="single" w:sz="6" w:space="0" w:color="auto"/>
              <w:bottom w:val="single" w:sz="6" w:space="0" w:color="auto"/>
              <w:right w:val="single" w:sz="6" w:space="0" w:color="auto"/>
            </w:tcBorders>
          </w:tcPr>
          <w:p w14:paraId="04017E7F" w14:textId="77777777" w:rsidR="00CA23D0" w:rsidRPr="00E30642" w:rsidRDefault="00CA23D0" w:rsidP="00CA23D0">
            <w:pPr>
              <w:pStyle w:val="Texttabulky"/>
              <w:spacing w:line="240" w:lineRule="atLeast"/>
              <w:jc w:val="both"/>
              <w:rPr>
                <w:rFonts w:cs="Arial"/>
              </w:rPr>
            </w:pPr>
            <w:r w:rsidRPr="00E30642">
              <w:rPr>
                <w:rFonts w:cs="Arial"/>
              </w:rPr>
              <w:t>2 546</w:t>
            </w:r>
          </w:p>
        </w:tc>
        <w:tc>
          <w:tcPr>
            <w:tcW w:w="1418" w:type="dxa"/>
            <w:tcBorders>
              <w:top w:val="single" w:sz="6" w:space="0" w:color="auto"/>
              <w:left w:val="single" w:sz="6" w:space="0" w:color="auto"/>
              <w:bottom w:val="single" w:sz="6" w:space="0" w:color="auto"/>
              <w:right w:val="single" w:sz="6" w:space="0" w:color="auto"/>
            </w:tcBorders>
          </w:tcPr>
          <w:p w14:paraId="485E78D8" w14:textId="77777777" w:rsidR="00CA23D0" w:rsidRPr="00E30642" w:rsidRDefault="00CA23D0" w:rsidP="00CA23D0">
            <w:pPr>
              <w:pStyle w:val="Texttabulky"/>
              <w:spacing w:line="240" w:lineRule="atLeast"/>
              <w:jc w:val="both"/>
              <w:rPr>
                <w:rFonts w:cs="Arial"/>
              </w:rPr>
            </w:pPr>
            <w:r w:rsidRPr="00E30642">
              <w:rPr>
                <w:rFonts w:cs="Arial"/>
              </w:rPr>
              <w:t>2 476</w:t>
            </w:r>
          </w:p>
        </w:tc>
        <w:tc>
          <w:tcPr>
            <w:tcW w:w="1417" w:type="dxa"/>
            <w:tcBorders>
              <w:top w:val="single" w:sz="6" w:space="0" w:color="auto"/>
              <w:left w:val="single" w:sz="6" w:space="0" w:color="auto"/>
              <w:bottom w:val="single" w:sz="6" w:space="0" w:color="auto"/>
              <w:right w:val="single" w:sz="6" w:space="0" w:color="auto"/>
            </w:tcBorders>
          </w:tcPr>
          <w:p w14:paraId="6B4EE4D6" w14:textId="77777777" w:rsidR="00CA23D0" w:rsidRPr="00E30642" w:rsidRDefault="00CA23D0" w:rsidP="00CA23D0">
            <w:pPr>
              <w:pStyle w:val="Texttabulky"/>
              <w:spacing w:line="240" w:lineRule="atLeast"/>
              <w:jc w:val="both"/>
              <w:rPr>
                <w:rFonts w:cs="Arial"/>
              </w:rPr>
            </w:pPr>
            <w:r w:rsidRPr="00E30642">
              <w:rPr>
                <w:rFonts w:cs="Arial"/>
              </w:rPr>
              <w:t>2 500</w:t>
            </w:r>
          </w:p>
        </w:tc>
        <w:tc>
          <w:tcPr>
            <w:tcW w:w="1418" w:type="dxa"/>
            <w:tcBorders>
              <w:top w:val="single" w:sz="6" w:space="0" w:color="auto"/>
              <w:left w:val="single" w:sz="6" w:space="0" w:color="auto"/>
              <w:bottom w:val="single" w:sz="6" w:space="0" w:color="auto"/>
              <w:right w:val="single" w:sz="6" w:space="0" w:color="auto"/>
            </w:tcBorders>
          </w:tcPr>
          <w:p w14:paraId="4CADD4EF" w14:textId="77777777" w:rsidR="00CA23D0" w:rsidRPr="00E30642" w:rsidRDefault="00CA23D0" w:rsidP="00CA23D0">
            <w:pPr>
              <w:pStyle w:val="Texttabulky"/>
              <w:spacing w:line="240" w:lineRule="atLeast"/>
              <w:jc w:val="both"/>
              <w:rPr>
                <w:rFonts w:cs="Arial"/>
              </w:rPr>
            </w:pPr>
            <w:r w:rsidRPr="00E30642">
              <w:rPr>
                <w:rFonts w:cs="Arial"/>
              </w:rPr>
              <w:t>2 400</w:t>
            </w:r>
          </w:p>
        </w:tc>
      </w:tr>
      <w:tr w:rsidR="00CA23D0" w:rsidRPr="00E30642" w14:paraId="0CCFA4E3" w14:textId="77777777" w:rsidTr="00CA23D0">
        <w:tc>
          <w:tcPr>
            <w:tcW w:w="1985" w:type="dxa"/>
            <w:tcBorders>
              <w:top w:val="single" w:sz="6" w:space="0" w:color="auto"/>
              <w:left w:val="single" w:sz="6" w:space="0" w:color="auto"/>
              <w:bottom w:val="single" w:sz="6" w:space="0" w:color="auto"/>
              <w:right w:val="single" w:sz="6" w:space="0" w:color="auto"/>
            </w:tcBorders>
          </w:tcPr>
          <w:p w14:paraId="6E3FDCB3" w14:textId="77777777" w:rsidR="00CA23D0" w:rsidRPr="00E30642" w:rsidRDefault="00CA23D0" w:rsidP="00CA23D0">
            <w:pPr>
              <w:pStyle w:val="Texttabulky"/>
              <w:spacing w:line="240" w:lineRule="atLeast"/>
              <w:ind w:firstLine="157"/>
              <w:jc w:val="both"/>
              <w:rPr>
                <w:rFonts w:cs="Arial"/>
              </w:rPr>
            </w:pPr>
            <w:r w:rsidRPr="00E30642">
              <w:rPr>
                <w:rFonts w:cs="Arial"/>
              </w:rPr>
              <w:t>Rumburk</w:t>
            </w:r>
          </w:p>
        </w:tc>
        <w:tc>
          <w:tcPr>
            <w:tcW w:w="1104" w:type="dxa"/>
            <w:tcBorders>
              <w:top w:val="single" w:sz="6" w:space="0" w:color="auto"/>
              <w:left w:val="single" w:sz="6" w:space="0" w:color="auto"/>
              <w:bottom w:val="single" w:sz="6" w:space="0" w:color="auto"/>
              <w:right w:val="single" w:sz="6" w:space="0" w:color="auto"/>
            </w:tcBorders>
          </w:tcPr>
          <w:p w14:paraId="2302AB4D" w14:textId="77777777" w:rsidR="00CA23D0" w:rsidRPr="00E30642" w:rsidRDefault="00CA23D0" w:rsidP="00CA23D0">
            <w:pPr>
              <w:pStyle w:val="Texttabulky"/>
              <w:spacing w:line="240" w:lineRule="atLeast"/>
              <w:jc w:val="both"/>
              <w:rPr>
                <w:rFonts w:cs="Arial"/>
              </w:rPr>
            </w:pPr>
            <w:r w:rsidRPr="00E30642">
              <w:rPr>
                <w:rFonts w:cs="Arial"/>
              </w:rPr>
              <w:t>2 469,7</w:t>
            </w:r>
          </w:p>
        </w:tc>
        <w:tc>
          <w:tcPr>
            <w:tcW w:w="1417" w:type="dxa"/>
            <w:tcBorders>
              <w:top w:val="single" w:sz="6" w:space="0" w:color="auto"/>
              <w:left w:val="single" w:sz="6" w:space="0" w:color="auto"/>
              <w:bottom w:val="single" w:sz="6" w:space="0" w:color="auto"/>
              <w:right w:val="single" w:sz="6" w:space="0" w:color="auto"/>
            </w:tcBorders>
          </w:tcPr>
          <w:p w14:paraId="38726E95" w14:textId="77777777" w:rsidR="00CA23D0" w:rsidRPr="00E30642" w:rsidRDefault="00CA23D0" w:rsidP="00CA23D0">
            <w:pPr>
              <w:pStyle w:val="Texttabulky"/>
              <w:spacing w:line="240" w:lineRule="atLeast"/>
              <w:jc w:val="both"/>
              <w:rPr>
                <w:rFonts w:cs="Arial"/>
              </w:rPr>
            </w:pPr>
            <w:r w:rsidRPr="00E30642">
              <w:rPr>
                <w:rFonts w:cs="Arial"/>
              </w:rPr>
              <w:t>10 789</w:t>
            </w:r>
          </w:p>
        </w:tc>
        <w:tc>
          <w:tcPr>
            <w:tcW w:w="1418" w:type="dxa"/>
            <w:tcBorders>
              <w:top w:val="single" w:sz="6" w:space="0" w:color="auto"/>
              <w:left w:val="single" w:sz="6" w:space="0" w:color="auto"/>
              <w:bottom w:val="single" w:sz="6" w:space="0" w:color="auto"/>
              <w:right w:val="single" w:sz="6" w:space="0" w:color="auto"/>
            </w:tcBorders>
          </w:tcPr>
          <w:p w14:paraId="19091A28" w14:textId="77777777" w:rsidR="00CA23D0" w:rsidRPr="00E30642" w:rsidRDefault="00CA23D0" w:rsidP="00CA23D0">
            <w:pPr>
              <w:pStyle w:val="Texttabulky"/>
              <w:spacing w:line="240" w:lineRule="atLeast"/>
              <w:jc w:val="both"/>
              <w:rPr>
                <w:rFonts w:cs="Arial"/>
              </w:rPr>
            </w:pPr>
            <w:r w:rsidRPr="00E30642">
              <w:rPr>
                <w:rFonts w:cs="Arial"/>
              </w:rPr>
              <w:t>11 056</w:t>
            </w:r>
          </w:p>
        </w:tc>
        <w:tc>
          <w:tcPr>
            <w:tcW w:w="1417" w:type="dxa"/>
            <w:tcBorders>
              <w:top w:val="single" w:sz="6" w:space="0" w:color="auto"/>
              <w:left w:val="single" w:sz="6" w:space="0" w:color="auto"/>
              <w:bottom w:val="single" w:sz="6" w:space="0" w:color="auto"/>
              <w:right w:val="single" w:sz="6" w:space="0" w:color="auto"/>
            </w:tcBorders>
          </w:tcPr>
          <w:p w14:paraId="0D3D23B6" w14:textId="77777777" w:rsidR="00CA23D0" w:rsidRPr="00E30642" w:rsidRDefault="00CA23D0" w:rsidP="00CA23D0">
            <w:pPr>
              <w:pStyle w:val="Texttabulky"/>
              <w:spacing w:line="240" w:lineRule="atLeast"/>
              <w:jc w:val="both"/>
              <w:rPr>
                <w:rFonts w:cs="Arial"/>
              </w:rPr>
            </w:pPr>
            <w:r w:rsidRPr="00E30642">
              <w:rPr>
                <w:rFonts w:cs="Arial"/>
              </w:rPr>
              <w:t>11 500</w:t>
            </w:r>
          </w:p>
        </w:tc>
        <w:tc>
          <w:tcPr>
            <w:tcW w:w="1418" w:type="dxa"/>
            <w:tcBorders>
              <w:top w:val="single" w:sz="6" w:space="0" w:color="auto"/>
              <w:left w:val="single" w:sz="6" w:space="0" w:color="auto"/>
              <w:bottom w:val="single" w:sz="6" w:space="0" w:color="auto"/>
              <w:right w:val="single" w:sz="6" w:space="0" w:color="auto"/>
            </w:tcBorders>
          </w:tcPr>
          <w:p w14:paraId="7D8FB2EA" w14:textId="77777777" w:rsidR="00CA23D0" w:rsidRPr="00E30642" w:rsidRDefault="00CA23D0" w:rsidP="00CA23D0">
            <w:pPr>
              <w:pStyle w:val="Texttabulky"/>
              <w:spacing w:line="240" w:lineRule="atLeast"/>
              <w:jc w:val="both"/>
              <w:rPr>
                <w:rFonts w:cs="Arial"/>
              </w:rPr>
            </w:pPr>
            <w:r w:rsidRPr="00E30642">
              <w:rPr>
                <w:rFonts w:cs="Arial"/>
              </w:rPr>
              <w:t>11 800</w:t>
            </w:r>
          </w:p>
        </w:tc>
      </w:tr>
      <w:tr w:rsidR="00CA23D0" w:rsidRPr="00E30642" w14:paraId="5D95A7E7" w14:textId="77777777" w:rsidTr="00CA23D0">
        <w:tc>
          <w:tcPr>
            <w:tcW w:w="1985" w:type="dxa"/>
            <w:tcBorders>
              <w:top w:val="single" w:sz="6" w:space="0" w:color="auto"/>
              <w:left w:val="single" w:sz="6" w:space="0" w:color="auto"/>
              <w:bottom w:val="single" w:sz="6" w:space="0" w:color="auto"/>
              <w:right w:val="single" w:sz="6" w:space="0" w:color="auto"/>
            </w:tcBorders>
          </w:tcPr>
          <w:p w14:paraId="14F53EE8" w14:textId="77777777" w:rsidR="00CA23D0" w:rsidRPr="00E30642" w:rsidRDefault="00CA23D0" w:rsidP="00CA23D0">
            <w:pPr>
              <w:pStyle w:val="Texttabulky"/>
              <w:spacing w:line="240" w:lineRule="atLeast"/>
              <w:ind w:firstLine="157"/>
              <w:jc w:val="both"/>
              <w:rPr>
                <w:rFonts w:cs="Arial"/>
              </w:rPr>
            </w:pPr>
            <w:r w:rsidRPr="00E30642">
              <w:rPr>
                <w:rFonts w:cs="Arial"/>
              </w:rPr>
              <w:t>Růžová</w:t>
            </w:r>
          </w:p>
        </w:tc>
        <w:tc>
          <w:tcPr>
            <w:tcW w:w="1104" w:type="dxa"/>
            <w:tcBorders>
              <w:top w:val="single" w:sz="6" w:space="0" w:color="auto"/>
              <w:left w:val="single" w:sz="6" w:space="0" w:color="auto"/>
              <w:bottom w:val="single" w:sz="6" w:space="0" w:color="auto"/>
              <w:right w:val="single" w:sz="6" w:space="0" w:color="auto"/>
            </w:tcBorders>
          </w:tcPr>
          <w:p w14:paraId="1F7B04BA" w14:textId="77777777" w:rsidR="00CA23D0" w:rsidRPr="00E30642" w:rsidRDefault="00CA23D0" w:rsidP="00CA23D0">
            <w:pPr>
              <w:pStyle w:val="Texttabulky"/>
              <w:spacing w:line="240" w:lineRule="atLeast"/>
              <w:jc w:val="both"/>
              <w:rPr>
                <w:rFonts w:cs="Arial"/>
              </w:rPr>
            </w:pPr>
            <w:r w:rsidRPr="00E30642">
              <w:rPr>
                <w:rFonts w:cs="Arial"/>
              </w:rPr>
              <w:t>1 787,11</w:t>
            </w:r>
          </w:p>
        </w:tc>
        <w:tc>
          <w:tcPr>
            <w:tcW w:w="1417" w:type="dxa"/>
            <w:tcBorders>
              <w:top w:val="single" w:sz="6" w:space="0" w:color="auto"/>
              <w:left w:val="single" w:sz="6" w:space="0" w:color="auto"/>
              <w:bottom w:val="single" w:sz="6" w:space="0" w:color="auto"/>
              <w:right w:val="single" w:sz="6" w:space="0" w:color="auto"/>
            </w:tcBorders>
          </w:tcPr>
          <w:p w14:paraId="4D71211F" w14:textId="77777777" w:rsidR="00CA23D0" w:rsidRPr="00E30642" w:rsidRDefault="00CA23D0" w:rsidP="00CA23D0">
            <w:pPr>
              <w:pStyle w:val="Texttabulky"/>
              <w:spacing w:line="240" w:lineRule="atLeast"/>
              <w:jc w:val="both"/>
              <w:rPr>
                <w:rFonts w:cs="Arial"/>
              </w:rPr>
            </w:pPr>
            <w:r w:rsidRPr="00E30642">
              <w:rPr>
                <w:rFonts w:cs="Arial"/>
              </w:rPr>
              <w:t>201</w:t>
            </w:r>
          </w:p>
        </w:tc>
        <w:tc>
          <w:tcPr>
            <w:tcW w:w="1418" w:type="dxa"/>
            <w:tcBorders>
              <w:top w:val="single" w:sz="6" w:space="0" w:color="auto"/>
              <w:left w:val="single" w:sz="6" w:space="0" w:color="auto"/>
              <w:bottom w:val="single" w:sz="6" w:space="0" w:color="auto"/>
              <w:right w:val="single" w:sz="6" w:space="0" w:color="auto"/>
            </w:tcBorders>
          </w:tcPr>
          <w:p w14:paraId="08107C08" w14:textId="77777777" w:rsidR="00CA23D0" w:rsidRPr="00E30642" w:rsidRDefault="00CA23D0" w:rsidP="00CA23D0">
            <w:pPr>
              <w:pStyle w:val="Texttabulky"/>
              <w:spacing w:line="240" w:lineRule="atLeast"/>
              <w:jc w:val="both"/>
              <w:rPr>
                <w:rFonts w:cs="Arial"/>
              </w:rPr>
            </w:pPr>
            <w:r w:rsidRPr="00E30642">
              <w:rPr>
                <w:rFonts w:cs="Arial"/>
              </w:rPr>
              <w:t>264</w:t>
            </w:r>
          </w:p>
        </w:tc>
        <w:tc>
          <w:tcPr>
            <w:tcW w:w="1417" w:type="dxa"/>
            <w:tcBorders>
              <w:top w:val="single" w:sz="6" w:space="0" w:color="auto"/>
              <w:left w:val="single" w:sz="6" w:space="0" w:color="auto"/>
              <w:bottom w:val="single" w:sz="6" w:space="0" w:color="auto"/>
              <w:right w:val="single" w:sz="6" w:space="0" w:color="auto"/>
            </w:tcBorders>
          </w:tcPr>
          <w:p w14:paraId="7B72E33E" w14:textId="77777777" w:rsidR="00CA23D0" w:rsidRPr="00E30642" w:rsidRDefault="00CA23D0" w:rsidP="00CA23D0">
            <w:pPr>
              <w:pStyle w:val="Texttabulky"/>
              <w:spacing w:line="240" w:lineRule="atLeast"/>
              <w:jc w:val="both"/>
              <w:rPr>
                <w:rFonts w:cs="Arial"/>
              </w:rPr>
            </w:pPr>
            <w:r w:rsidRPr="00E30642">
              <w:rPr>
                <w:rFonts w:cs="Arial"/>
              </w:rPr>
              <w:t>250</w:t>
            </w:r>
          </w:p>
        </w:tc>
        <w:tc>
          <w:tcPr>
            <w:tcW w:w="1418" w:type="dxa"/>
            <w:tcBorders>
              <w:top w:val="single" w:sz="6" w:space="0" w:color="auto"/>
              <w:left w:val="single" w:sz="6" w:space="0" w:color="auto"/>
              <w:bottom w:val="single" w:sz="6" w:space="0" w:color="auto"/>
              <w:right w:val="single" w:sz="6" w:space="0" w:color="auto"/>
            </w:tcBorders>
          </w:tcPr>
          <w:p w14:paraId="0184C567"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3490630D" w14:textId="77777777" w:rsidTr="00CA23D0">
        <w:tc>
          <w:tcPr>
            <w:tcW w:w="1985" w:type="dxa"/>
            <w:tcBorders>
              <w:top w:val="single" w:sz="6" w:space="0" w:color="auto"/>
              <w:left w:val="single" w:sz="6" w:space="0" w:color="auto"/>
              <w:bottom w:val="single" w:sz="6" w:space="0" w:color="auto"/>
              <w:right w:val="single" w:sz="6" w:space="0" w:color="auto"/>
            </w:tcBorders>
          </w:tcPr>
          <w:p w14:paraId="51573E8E" w14:textId="77777777" w:rsidR="00CA23D0" w:rsidRPr="00E30642" w:rsidRDefault="00CA23D0" w:rsidP="00CA23D0">
            <w:pPr>
              <w:pStyle w:val="Texttabulky"/>
              <w:spacing w:line="240" w:lineRule="atLeast"/>
              <w:ind w:firstLine="157"/>
              <w:jc w:val="both"/>
              <w:rPr>
                <w:rFonts w:cs="Arial"/>
              </w:rPr>
            </w:pPr>
            <w:r w:rsidRPr="00E30642">
              <w:rPr>
                <w:rFonts w:cs="Arial"/>
              </w:rPr>
              <w:t>Rybniště</w:t>
            </w:r>
          </w:p>
        </w:tc>
        <w:tc>
          <w:tcPr>
            <w:tcW w:w="1104" w:type="dxa"/>
            <w:tcBorders>
              <w:top w:val="single" w:sz="6" w:space="0" w:color="auto"/>
              <w:left w:val="single" w:sz="6" w:space="0" w:color="auto"/>
              <w:bottom w:val="single" w:sz="6" w:space="0" w:color="auto"/>
              <w:right w:val="single" w:sz="6" w:space="0" w:color="auto"/>
            </w:tcBorders>
          </w:tcPr>
          <w:p w14:paraId="1B07B9A3" w14:textId="77777777" w:rsidR="00CA23D0" w:rsidRPr="00E30642" w:rsidRDefault="00CA23D0" w:rsidP="00CA23D0">
            <w:pPr>
              <w:pStyle w:val="Texttabulky"/>
              <w:spacing w:line="240" w:lineRule="atLeast"/>
              <w:jc w:val="both"/>
              <w:rPr>
                <w:rFonts w:cs="Arial"/>
              </w:rPr>
            </w:pPr>
            <w:r w:rsidRPr="00E30642">
              <w:rPr>
                <w:rFonts w:cs="Arial"/>
              </w:rPr>
              <w:t>1 271,5</w:t>
            </w:r>
          </w:p>
        </w:tc>
        <w:tc>
          <w:tcPr>
            <w:tcW w:w="1417" w:type="dxa"/>
            <w:tcBorders>
              <w:top w:val="single" w:sz="6" w:space="0" w:color="auto"/>
              <w:left w:val="single" w:sz="6" w:space="0" w:color="auto"/>
              <w:bottom w:val="single" w:sz="6" w:space="0" w:color="auto"/>
              <w:right w:val="single" w:sz="6" w:space="0" w:color="auto"/>
            </w:tcBorders>
          </w:tcPr>
          <w:p w14:paraId="126952D9" w14:textId="77777777" w:rsidR="00CA23D0" w:rsidRPr="00E30642" w:rsidRDefault="00CA23D0" w:rsidP="00CA23D0">
            <w:pPr>
              <w:pStyle w:val="Texttabulky"/>
              <w:spacing w:line="240" w:lineRule="atLeast"/>
              <w:jc w:val="both"/>
              <w:rPr>
                <w:rFonts w:cs="Arial"/>
              </w:rPr>
            </w:pPr>
            <w:r w:rsidRPr="00E30642">
              <w:rPr>
                <w:rFonts w:cs="Arial"/>
              </w:rPr>
              <w:t>668</w:t>
            </w:r>
          </w:p>
        </w:tc>
        <w:tc>
          <w:tcPr>
            <w:tcW w:w="1418" w:type="dxa"/>
            <w:tcBorders>
              <w:top w:val="single" w:sz="6" w:space="0" w:color="auto"/>
              <w:left w:val="single" w:sz="6" w:space="0" w:color="auto"/>
              <w:bottom w:val="single" w:sz="6" w:space="0" w:color="auto"/>
              <w:right w:val="single" w:sz="6" w:space="0" w:color="auto"/>
            </w:tcBorders>
          </w:tcPr>
          <w:p w14:paraId="6D9BFDE2" w14:textId="77777777" w:rsidR="00CA23D0" w:rsidRPr="00E30642" w:rsidRDefault="00CA23D0" w:rsidP="00CA23D0">
            <w:pPr>
              <w:pStyle w:val="Texttabulky"/>
              <w:spacing w:line="240" w:lineRule="atLeast"/>
              <w:jc w:val="both"/>
              <w:rPr>
                <w:rFonts w:cs="Arial"/>
              </w:rPr>
            </w:pPr>
            <w:r w:rsidRPr="00E30642">
              <w:rPr>
                <w:rFonts w:cs="Arial"/>
              </w:rPr>
              <w:t>713</w:t>
            </w:r>
          </w:p>
        </w:tc>
        <w:tc>
          <w:tcPr>
            <w:tcW w:w="1417" w:type="dxa"/>
            <w:tcBorders>
              <w:top w:val="single" w:sz="6" w:space="0" w:color="auto"/>
              <w:left w:val="single" w:sz="6" w:space="0" w:color="auto"/>
              <w:bottom w:val="single" w:sz="6" w:space="0" w:color="auto"/>
              <w:right w:val="single" w:sz="6" w:space="0" w:color="auto"/>
            </w:tcBorders>
          </w:tcPr>
          <w:p w14:paraId="1467CA01" w14:textId="77777777" w:rsidR="00CA23D0" w:rsidRPr="00E30642" w:rsidRDefault="00CA23D0" w:rsidP="00CA23D0">
            <w:pPr>
              <w:pStyle w:val="Texttabulky"/>
              <w:spacing w:line="240" w:lineRule="atLeast"/>
              <w:jc w:val="both"/>
              <w:rPr>
                <w:rFonts w:cs="Arial"/>
              </w:rPr>
            </w:pPr>
            <w:r w:rsidRPr="00E30642">
              <w:rPr>
                <w:rFonts w:cs="Arial"/>
              </w:rPr>
              <w:t>750</w:t>
            </w:r>
          </w:p>
        </w:tc>
        <w:tc>
          <w:tcPr>
            <w:tcW w:w="1418" w:type="dxa"/>
            <w:tcBorders>
              <w:top w:val="single" w:sz="6" w:space="0" w:color="auto"/>
              <w:left w:val="single" w:sz="6" w:space="0" w:color="auto"/>
              <w:bottom w:val="single" w:sz="6" w:space="0" w:color="auto"/>
              <w:right w:val="single" w:sz="6" w:space="0" w:color="auto"/>
            </w:tcBorders>
          </w:tcPr>
          <w:p w14:paraId="6CBD486D" w14:textId="77777777" w:rsidR="00CA23D0" w:rsidRPr="00E30642" w:rsidRDefault="00CA23D0" w:rsidP="00CA23D0">
            <w:pPr>
              <w:pStyle w:val="Texttabulky"/>
              <w:spacing w:line="240" w:lineRule="atLeast"/>
              <w:jc w:val="both"/>
              <w:rPr>
                <w:rFonts w:cs="Arial"/>
              </w:rPr>
            </w:pPr>
            <w:r w:rsidRPr="00E30642">
              <w:rPr>
                <w:rFonts w:cs="Arial"/>
              </w:rPr>
              <w:t>800</w:t>
            </w:r>
          </w:p>
        </w:tc>
      </w:tr>
      <w:tr w:rsidR="00CA23D0" w:rsidRPr="00E30642" w14:paraId="456A1CFC" w14:textId="77777777" w:rsidTr="00CA23D0">
        <w:tc>
          <w:tcPr>
            <w:tcW w:w="1985" w:type="dxa"/>
            <w:tcBorders>
              <w:top w:val="single" w:sz="6" w:space="0" w:color="auto"/>
              <w:left w:val="single" w:sz="6" w:space="0" w:color="auto"/>
              <w:bottom w:val="single" w:sz="6" w:space="0" w:color="auto"/>
              <w:right w:val="single" w:sz="6" w:space="0" w:color="auto"/>
            </w:tcBorders>
          </w:tcPr>
          <w:p w14:paraId="2234C177" w14:textId="77777777" w:rsidR="00CA23D0" w:rsidRPr="00E30642" w:rsidRDefault="00CA23D0" w:rsidP="00CA23D0">
            <w:pPr>
              <w:pStyle w:val="Texttabulky"/>
              <w:spacing w:line="240" w:lineRule="atLeast"/>
              <w:ind w:firstLine="157"/>
              <w:jc w:val="both"/>
              <w:rPr>
                <w:rFonts w:cs="Arial"/>
              </w:rPr>
            </w:pPr>
            <w:r w:rsidRPr="00E30642">
              <w:rPr>
                <w:rFonts w:cs="Arial"/>
              </w:rPr>
              <w:t>Srbská Kamenice</w:t>
            </w:r>
          </w:p>
        </w:tc>
        <w:tc>
          <w:tcPr>
            <w:tcW w:w="1104" w:type="dxa"/>
            <w:tcBorders>
              <w:top w:val="single" w:sz="6" w:space="0" w:color="auto"/>
              <w:left w:val="single" w:sz="6" w:space="0" w:color="auto"/>
              <w:bottom w:val="single" w:sz="6" w:space="0" w:color="auto"/>
              <w:right w:val="single" w:sz="6" w:space="0" w:color="auto"/>
            </w:tcBorders>
          </w:tcPr>
          <w:p w14:paraId="5CEEC09B" w14:textId="77777777" w:rsidR="00CA23D0" w:rsidRPr="00E30642" w:rsidRDefault="00CA23D0" w:rsidP="00CA23D0">
            <w:pPr>
              <w:pStyle w:val="Texttabulky"/>
              <w:spacing w:line="240" w:lineRule="atLeast"/>
              <w:jc w:val="both"/>
              <w:rPr>
                <w:rFonts w:cs="Arial"/>
              </w:rPr>
            </w:pPr>
            <w:r w:rsidRPr="00E30642">
              <w:rPr>
                <w:rFonts w:cs="Arial"/>
              </w:rPr>
              <w:t>1 173,53</w:t>
            </w:r>
          </w:p>
        </w:tc>
        <w:tc>
          <w:tcPr>
            <w:tcW w:w="1417" w:type="dxa"/>
            <w:tcBorders>
              <w:top w:val="single" w:sz="6" w:space="0" w:color="auto"/>
              <w:left w:val="single" w:sz="6" w:space="0" w:color="auto"/>
              <w:bottom w:val="single" w:sz="6" w:space="0" w:color="auto"/>
              <w:right w:val="single" w:sz="6" w:space="0" w:color="auto"/>
            </w:tcBorders>
          </w:tcPr>
          <w:p w14:paraId="4E5FD3FF" w14:textId="77777777" w:rsidR="00CA23D0" w:rsidRPr="00E30642" w:rsidRDefault="00CA23D0" w:rsidP="00CA23D0">
            <w:pPr>
              <w:pStyle w:val="Texttabulky"/>
              <w:spacing w:line="240" w:lineRule="atLeast"/>
              <w:jc w:val="both"/>
              <w:rPr>
                <w:rFonts w:cs="Arial"/>
              </w:rPr>
            </w:pPr>
            <w:r w:rsidRPr="00E30642">
              <w:rPr>
                <w:rFonts w:cs="Arial"/>
              </w:rPr>
              <w:t>172</w:t>
            </w:r>
          </w:p>
        </w:tc>
        <w:tc>
          <w:tcPr>
            <w:tcW w:w="1418" w:type="dxa"/>
            <w:tcBorders>
              <w:top w:val="single" w:sz="6" w:space="0" w:color="auto"/>
              <w:left w:val="single" w:sz="6" w:space="0" w:color="auto"/>
              <w:bottom w:val="single" w:sz="6" w:space="0" w:color="auto"/>
              <w:right w:val="single" w:sz="6" w:space="0" w:color="auto"/>
            </w:tcBorders>
          </w:tcPr>
          <w:p w14:paraId="4D54C7BC" w14:textId="77777777" w:rsidR="00CA23D0" w:rsidRPr="00E30642" w:rsidRDefault="00CA23D0" w:rsidP="00CA23D0">
            <w:pPr>
              <w:pStyle w:val="Texttabulky"/>
              <w:spacing w:line="240" w:lineRule="atLeast"/>
              <w:jc w:val="both"/>
              <w:rPr>
                <w:rFonts w:cs="Arial"/>
              </w:rPr>
            </w:pPr>
            <w:r w:rsidRPr="00E30642">
              <w:rPr>
                <w:rFonts w:cs="Arial"/>
              </w:rPr>
              <w:t>178</w:t>
            </w:r>
          </w:p>
        </w:tc>
        <w:tc>
          <w:tcPr>
            <w:tcW w:w="1417" w:type="dxa"/>
            <w:tcBorders>
              <w:top w:val="single" w:sz="6" w:space="0" w:color="auto"/>
              <w:left w:val="single" w:sz="6" w:space="0" w:color="auto"/>
              <w:bottom w:val="single" w:sz="6" w:space="0" w:color="auto"/>
              <w:right w:val="single" w:sz="6" w:space="0" w:color="auto"/>
            </w:tcBorders>
          </w:tcPr>
          <w:p w14:paraId="487F58EE"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418" w:type="dxa"/>
            <w:tcBorders>
              <w:top w:val="single" w:sz="6" w:space="0" w:color="auto"/>
              <w:left w:val="single" w:sz="6" w:space="0" w:color="auto"/>
              <w:bottom w:val="single" w:sz="6" w:space="0" w:color="auto"/>
              <w:right w:val="single" w:sz="6" w:space="0" w:color="auto"/>
            </w:tcBorders>
          </w:tcPr>
          <w:p w14:paraId="58836FF0"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4DC83619" w14:textId="77777777" w:rsidTr="00CA23D0">
        <w:tc>
          <w:tcPr>
            <w:tcW w:w="1985" w:type="dxa"/>
            <w:tcBorders>
              <w:top w:val="single" w:sz="6" w:space="0" w:color="auto"/>
              <w:left w:val="single" w:sz="6" w:space="0" w:color="auto"/>
              <w:bottom w:val="single" w:sz="6" w:space="0" w:color="auto"/>
              <w:right w:val="single" w:sz="6" w:space="0" w:color="auto"/>
            </w:tcBorders>
          </w:tcPr>
          <w:p w14:paraId="12E6BE60" w14:textId="77777777" w:rsidR="00CA23D0" w:rsidRPr="00E30642" w:rsidRDefault="00CA23D0" w:rsidP="00CA23D0">
            <w:pPr>
              <w:pStyle w:val="Texttabulky"/>
              <w:spacing w:line="240" w:lineRule="atLeast"/>
              <w:ind w:firstLine="157"/>
              <w:jc w:val="both"/>
              <w:rPr>
                <w:rFonts w:cs="Arial"/>
              </w:rPr>
            </w:pPr>
            <w:r w:rsidRPr="00E30642">
              <w:rPr>
                <w:rFonts w:cs="Arial"/>
              </w:rPr>
              <w:t>Staré Křečany</w:t>
            </w:r>
          </w:p>
        </w:tc>
        <w:tc>
          <w:tcPr>
            <w:tcW w:w="1104" w:type="dxa"/>
            <w:tcBorders>
              <w:top w:val="single" w:sz="6" w:space="0" w:color="auto"/>
              <w:left w:val="single" w:sz="6" w:space="0" w:color="auto"/>
              <w:bottom w:val="single" w:sz="6" w:space="0" w:color="auto"/>
              <w:right w:val="single" w:sz="6" w:space="0" w:color="auto"/>
            </w:tcBorders>
          </w:tcPr>
          <w:p w14:paraId="39221FA6" w14:textId="77777777" w:rsidR="00CA23D0" w:rsidRPr="00E30642" w:rsidRDefault="00CA23D0" w:rsidP="00CA23D0">
            <w:pPr>
              <w:pStyle w:val="Texttabulky"/>
              <w:spacing w:line="240" w:lineRule="atLeast"/>
              <w:jc w:val="both"/>
              <w:rPr>
                <w:rFonts w:cs="Arial"/>
              </w:rPr>
            </w:pPr>
            <w:r w:rsidRPr="00E30642">
              <w:rPr>
                <w:rFonts w:cs="Arial"/>
              </w:rPr>
              <w:t>3 677,18</w:t>
            </w:r>
          </w:p>
        </w:tc>
        <w:tc>
          <w:tcPr>
            <w:tcW w:w="1417" w:type="dxa"/>
            <w:tcBorders>
              <w:top w:val="single" w:sz="6" w:space="0" w:color="auto"/>
              <w:left w:val="single" w:sz="6" w:space="0" w:color="auto"/>
              <w:bottom w:val="single" w:sz="6" w:space="0" w:color="auto"/>
              <w:right w:val="single" w:sz="6" w:space="0" w:color="auto"/>
            </w:tcBorders>
          </w:tcPr>
          <w:p w14:paraId="6D24F4AD" w14:textId="77777777" w:rsidR="00CA23D0" w:rsidRPr="00E30642" w:rsidRDefault="00CA23D0" w:rsidP="00CA23D0">
            <w:pPr>
              <w:pStyle w:val="Texttabulky"/>
              <w:spacing w:line="240" w:lineRule="atLeast"/>
              <w:jc w:val="both"/>
              <w:rPr>
                <w:rFonts w:cs="Arial"/>
              </w:rPr>
            </w:pPr>
            <w:r w:rsidRPr="00E30642">
              <w:rPr>
                <w:rFonts w:cs="Arial"/>
              </w:rPr>
              <w:t>1 147</w:t>
            </w:r>
          </w:p>
        </w:tc>
        <w:tc>
          <w:tcPr>
            <w:tcW w:w="1418" w:type="dxa"/>
            <w:tcBorders>
              <w:top w:val="single" w:sz="6" w:space="0" w:color="auto"/>
              <w:left w:val="single" w:sz="6" w:space="0" w:color="auto"/>
              <w:bottom w:val="single" w:sz="6" w:space="0" w:color="auto"/>
              <w:right w:val="single" w:sz="6" w:space="0" w:color="auto"/>
            </w:tcBorders>
          </w:tcPr>
          <w:p w14:paraId="3DCB74BA" w14:textId="77777777" w:rsidR="00CA23D0" w:rsidRPr="00E30642" w:rsidRDefault="00CA23D0" w:rsidP="00CA23D0">
            <w:pPr>
              <w:pStyle w:val="Texttabulky"/>
              <w:spacing w:line="240" w:lineRule="atLeast"/>
              <w:jc w:val="both"/>
              <w:rPr>
                <w:rFonts w:cs="Arial"/>
              </w:rPr>
            </w:pPr>
            <w:r w:rsidRPr="00E30642">
              <w:rPr>
                <w:rFonts w:cs="Arial"/>
              </w:rPr>
              <w:t>1 180</w:t>
            </w:r>
          </w:p>
        </w:tc>
        <w:tc>
          <w:tcPr>
            <w:tcW w:w="1417" w:type="dxa"/>
            <w:tcBorders>
              <w:top w:val="single" w:sz="6" w:space="0" w:color="auto"/>
              <w:left w:val="single" w:sz="6" w:space="0" w:color="auto"/>
              <w:bottom w:val="single" w:sz="6" w:space="0" w:color="auto"/>
              <w:right w:val="single" w:sz="6" w:space="0" w:color="auto"/>
            </w:tcBorders>
          </w:tcPr>
          <w:p w14:paraId="4149E25B" w14:textId="77777777" w:rsidR="00CA23D0" w:rsidRPr="00E30642" w:rsidRDefault="00CA23D0" w:rsidP="00CA23D0">
            <w:pPr>
              <w:pStyle w:val="Texttabulky"/>
              <w:spacing w:line="240" w:lineRule="atLeast"/>
              <w:jc w:val="both"/>
              <w:rPr>
                <w:rFonts w:cs="Arial"/>
              </w:rPr>
            </w:pPr>
            <w:r w:rsidRPr="00E30642">
              <w:rPr>
                <w:rFonts w:cs="Arial"/>
              </w:rPr>
              <w:t>1 200</w:t>
            </w:r>
          </w:p>
        </w:tc>
        <w:tc>
          <w:tcPr>
            <w:tcW w:w="1418" w:type="dxa"/>
            <w:tcBorders>
              <w:top w:val="single" w:sz="6" w:space="0" w:color="auto"/>
              <w:left w:val="single" w:sz="6" w:space="0" w:color="auto"/>
              <w:bottom w:val="single" w:sz="6" w:space="0" w:color="auto"/>
              <w:right w:val="single" w:sz="6" w:space="0" w:color="auto"/>
            </w:tcBorders>
          </w:tcPr>
          <w:p w14:paraId="4A7D8E48" w14:textId="77777777" w:rsidR="00CA23D0" w:rsidRPr="00E30642" w:rsidRDefault="00CA23D0" w:rsidP="00CA23D0">
            <w:pPr>
              <w:pStyle w:val="Texttabulky"/>
              <w:spacing w:line="240" w:lineRule="atLeast"/>
              <w:jc w:val="both"/>
              <w:rPr>
                <w:rFonts w:cs="Arial"/>
              </w:rPr>
            </w:pPr>
            <w:r w:rsidRPr="00E30642">
              <w:rPr>
                <w:rFonts w:cs="Arial"/>
              </w:rPr>
              <w:t>1 200</w:t>
            </w:r>
          </w:p>
        </w:tc>
      </w:tr>
      <w:tr w:rsidR="00CA23D0" w:rsidRPr="00E30642" w14:paraId="1C994011" w14:textId="77777777" w:rsidTr="00CA23D0">
        <w:tc>
          <w:tcPr>
            <w:tcW w:w="1985" w:type="dxa"/>
            <w:tcBorders>
              <w:top w:val="single" w:sz="6" w:space="0" w:color="auto"/>
              <w:left w:val="single" w:sz="6" w:space="0" w:color="auto"/>
              <w:bottom w:val="single" w:sz="6" w:space="0" w:color="auto"/>
              <w:right w:val="single" w:sz="6" w:space="0" w:color="auto"/>
            </w:tcBorders>
          </w:tcPr>
          <w:p w14:paraId="14D04409" w14:textId="77777777" w:rsidR="00CA23D0" w:rsidRPr="00E30642" w:rsidRDefault="00CA23D0" w:rsidP="00CA23D0">
            <w:pPr>
              <w:pStyle w:val="Texttabulky"/>
              <w:spacing w:line="240" w:lineRule="atLeast"/>
              <w:ind w:firstLine="157"/>
              <w:jc w:val="both"/>
              <w:rPr>
                <w:rFonts w:cs="Arial"/>
              </w:rPr>
            </w:pPr>
            <w:r w:rsidRPr="00E30642">
              <w:rPr>
                <w:rFonts w:cs="Arial"/>
              </w:rPr>
              <w:t>Starý Šachov</w:t>
            </w:r>
          </w:p>
        </w:tc>
        <w:tc>
          <w:tcPr>
            <w:tcW w:w="1104" w:type="dxa"/>
            <w:tcBorders>
              <w:top w:val="single" w:sz="6" w:space="0" w:color="auto"/>
              <w:left w:val="single" w:sz="6" w:space="0" w:color="auto"/>
              <w:bottom w:val="single" w:sz="6" w:space="0" w:color="auto"/>
              <w:right w:val="single" w:sz="6" w:space="0" w:color="auto"/>
            </w:tcBorders>
          </w:tcPr>
          <w:p w14:paraId="14CED6C7" w14:textId="77777777" w:rsidR="00CA23D0" w:rsidRPr="00E30642" w:rsidRDefault="00CA23D0" w:rsidP="00CA23D0">
            <w:pPr>
              <w:pStyle w:val="Texttabulky"/>
              <w:spacing w:line="240" w:lineRule="atLeast"/>
              <w:jc w:val="both"/>
              <w:rPr>
                <w:rFonts w:cs="Arial"/>
              </w:rPr>
            </w:pPr>
            <w:r w:rsidRPr="00E30642">
              <w:rPr>
                <w:rFonts w:cs="Arial"/>
              </w:rPr>
              <w:t>342,4</w:t>
            </w:r>
          </w:p>
        </w:tc>
        <w:tc>
          <w:tcPr>
            <w:tcW w:w="1417" w:type="dxa"/>
            <w:tcBorders>
              <w:top w:val="single" w:sz="6" w:space="0" w:color="auto"/>
              <w:left w:val="single" w:sz="6" w:space="0" w:color="auto"/>
              <w:bottom w:val="single" w:sz="6" w:space="0" w:color="auto"/>
              <w:right w:val="single" w:sz="6" w:space="0" w:color="auto"/>
            </w:tcBorders>
          </w:tcPr>
          <w:p w14:paraId="5E124B09" w14:textId="77777777" w:rsidR="00CA23D0" w:rsidRPr="00E30642" w:rsidRDefault="00CA23D0" w:rsidP="00CA23D0">
            <w:pPr>
              <w:pStyle w:val="Texttabulky"/>
              <w:spacing w:line="240" w:lineRule="atLeast"/>
              <w:jc w:val="both"/>
              <w:rPr>
                <w:rFonts w:cs="Arial"/>
              </w:rPr>
            </w:pPr>
            <w:r w:rsidRPr="00E30642">
              <w:rPr>
                <w:rFonts w:cs="Arial"/>
              </w:rPr>
              <w:t>180</w:t>
            </w:r>
          </w:p>
        </w:tc>
        <w:tc>
          <w:tcPr>
            <w:tcW w:w="1418" w:type="dxa"/>
            <w:tcBorders>
              <w:top w:val="single" w:sz="6" w:space="0" w:color="auto"/>
              <w:left w:val="single" w:sz="6" w:space="0" w:color="auto"/>
              <w:bottom w:val="single" w:sz="6" w:space="0" w:color="auto"/>
              <w:right w:val="single" w:sz="6" w:space="0" w:color="auto"/>
            </w:tcBorders>
          </w:tcPr>
          <w:p w14:paraId="7ED581B1" w14:textId="77777777" w:rsidR="00CA23D0" w:rsidRPr="00E30642" w:rsidRDefault="00CA23D0" w:rsidP="00CA23D0">
            <w:pPr>
              <w:pStyle w:val="Texttabulky"/>
              <w:spacing w:line="240" w:lineRule="atLeast"/>
              <w:jc w:val="both"/>
              <w:rPr>
                <w:rFonts w:cs="Arial"/>
              </w:rPr>
            </w:pPr>
            <w:r w:rsidRPr="00E30642">
              <w:rPr>
                <w:rFonts w:cs="Arial"/>
              </w:rPr>
              <w:t>158</w:t>
            </w:r>
          </w:p>
        </w:tc>
        <w:tc>
          <w:tcPr>
            <w:tcW w:w="1417" w:type="dxa"/>
            <w:tcBorders>
              <w:top w:val="single" w:sz="6" w:space="0" w:color="auto"/>
              <w:left w:val="single" w:sz="6" w:space="0" w:color="auto"/>
              <w:bottom w:val="single" w:sz="6" w:space="0" w:color="auto"/>
              <w:right w:val="single" w:sz="6" w:space="0" w:color="auto"/>
            </w:tcBorders>
          </w:tcPr>
          <w:p w14:paraId="5FDD52F1" w14:textId="77777777" w:rsidR="00CA23D0" w:rsidRPr="00E30642" w:rsidRDefault="00CA23D0" w:rsidP="00CA23D0">
            <w:pPr>
              <w:pStyle w:val="Texttabulky"/>
              <w:spacing w:line="240" w:lineRule="atLeast"/>
              <w:jc w:val="both"/>
              <w:rPr>
                <w:rFonts w:cs="Arial"/>
              </w:rPr>
            </w:pPr>
            <w:r w:rsidRPr="00E30642">
              <w:rPr>
                <w:rFonts w:cs="Arial"/>
              </w:rPr>
              <w:t>150</w:t>
            </w:r>
          </w:p>
        </w:tc>
        <w:tc>
          <w:tcPr>
            <w:tcW w:w="1418" w:type="dxa"/>
            <w:tcBorders>
              <w:top w:val="single" w:sz="6" w:space="0" w:color="auto"/>
              <w:left w:val="single" w:sz="6" w:space="0" w:color="auto"/>
              <w:bottom w:val="single" w:sz="6" w:space="0" w:color="auto"/>
              <w:right w:val="single" w:sz="6" w:space="0" w:color="auto"/>
            </w:tcBorders>
          </w:tcPr>
          <w:p w14:paraId="48C3DA44" w14:textId="77777777" w:rsidR="00CA23D0" w:rsidRPr="00E30642" w:rsidRDefault="00CA23D0" w:rsidP="00CA23D0">
            <w:pPr>
              <w:pStyle w:val="Texttabulky"/>
              <w:spacing w:line="240" w:lineRule="atLeast"/>
              <w:jc w:val="both"/>
              <w:rPr>
                <w:rFonts w:cs="Arial"/>
              </w:rPr>
            </w:pPr>
            <w:r w:rsidRPr="00E30642">
              <w:rPr>
                <w:rFonts w:cs="Arial"/>
              </w:rPr>
              <w:t>100</w:t>
            </w:r>
          </w:p>
        </w:tc>
      </w:tr>
      <w:tr w:rsidR="00CA23D0" w:rsidRPr="00E30642" w14:paraId="4C91C932" w14:textId="77777777" w:rsidTr="00CA23D0">
        <w:tc>
          <w:tcPr>
            <w:tcW w:w="1985" w:type="dxa"/>
            <w:tcBorders>
              <w:top w:val="single" w:sz="6" w:space="0" w:color="auto"/>
              <w:left w:val="single" w:sz="6" w:space="0" w:color="auto"/>
              <w:bottom w:val="single" w:sz="6" w:space="0" w:color="auto"/>
              <w:right w:val="single" w:sz="6" w:space="0" w:color="auto"/>
            </w:tcBorders>
          </w:tcPr>
          <w:p w14:paraId="3E3B8C17" w14:textId="77777777" w:rsidR="00CA23D0" w:rsidRPr="00E30642" w:rsidRDefault="00CA23D0" w:rsidP="00CA23D0">
            <w:pPr>
              <w:pStyle w:val="Texttabulky"/>
              <w:spacing w:line="240" w:lineRule="atLeast"/>
              <w:ind w:firstLine="157"/>
              <w:jc w:val="both"/>
              <w:rPr>
                <w:rFonts w:cs="Arial"/>
              </w:rPr>
            </w:pPr>
            <w:r w:rsidRPr="00E30642">
              <w:rPr>
                <w:rFonts w:cs="Arial"/>
              </w:rPr>
              <w:t>Šluknov</w:t>
            </w:r>
          </w:p>
        </w:tc>
        <w:tc>
          <w:tcPr>
            <w:tcW w:w="1104" w:type="dxa"/>
            <w:tcBorders>
              <w:top w:val="single" w:sz="6" w:space="0" w:color="auto"/>
              <w:left w:val="single" w:sz="6" w:space="0" w:color="auto"/>
              <w:bottom w:val="single" w:sz="6" w:space="0" w:color="auto"/>
              <w:right w:val="single" w:sz="6" w:space="0" w:color="auto"/>
            </w:tcBorders>
          </w:tcPr>
          <w:p w14:paraId="0D7A25E0" w14:textId="77777777" w:rsidR="00CA23D0" w:rsidRPr="00E30642" w:rsidRDefault="00CA23D0" w:rsidP="00CA23D0">
            <w:pPr>
              <w:pStyle w:val="Texttabulky"/>
              <w:spacing w:line="240" w:lineRule="atLeast"/>
              <w:jc w:val="both"/>
              <w:rPr>
                <w:rFonts w:cs="Arial"/>
              </w:rPr>
            </w:pPr>
            <w:r w:rsidRPr="00E30642">
              <w:rPr>
                <w:rFonts w:cs="Arial"/>
              </w:rPr>
              <w:t>4 748,58</w:t>
            </w:r>
          </w:p>
        </w:tc>
        <w:tc>
          <w:tcPr>
            <w:tcW w:w="1417" w:type="dxa"/>
            <w:tcBorders>
              <w:top w:val="single" w:sz="6" w:space="0" w:color="auto"/>
              <w:left w:val="single" w:sz="6" w:space="0" w:color="auto"/>
              <w:bottom w:val="single" w:sz="6" w:space="0" w:color="auto"/>
              <w:right w:val="single" w:sz="6" w:space="0" w:color="auto"/>
            </w:tcBorders>
          </w:tcPr>
          <w:p w14:paraId="220BBBD9" w14:textId="77777777" w:rsidR="00CA23D0" w:rsidRPr="00E30642" w:rsidRDefault="00CA23D0" w:rsidP="00CA23D0">
            <w:pPr>
              <w:pStyle w:val="Texttabulky"/>
              <w:spacing w:line="240" w:lineRule="atLeast"/>
              <w:jc w:val="both"/>
              <w:rPr>
                <w:rFonts w:cs="Arial"/>
              </w:rPr>
            </w:pPr>
            <w:r w:rsidRPr="00E30642">
              <w:rPr>
                <w:rFonts w:cs="Arial"/>
              </w:rPr>
              <w:t>5 568</w:t>
            </w:r>
          </w:p>
        </w:tc>
        <w:tc>
          <w:tcPr>
            <w:tcW w:w="1418" w:type="dxa"/>
            <w:tcBorders>
              <w:top w:val="single" w:sz="6" w:space="0" w:color="auto"/>
              <w:left w:val="single" w:sz="6" w:space="0" w:color="auto"/>
              <w:bottom w:val="single" w:sz="6" w:space="0" w:color="auto"/>
              <w:right w:val="single" w:sz="6" w:space="0" w:color="auto"/>
            </w:tcBorders>
          </w:tcPr>
          <w:p w14:paraId="37323386" w14:textId="77777777" w:rsidR="00CA23D0" w:rsidRPr="00E30642" w:rsidRDefault="00CA23D0" w:rsidP="00CA23D0">
            <w:pPr>
              <w:pStyle w:val="Texttabulky"/>
              <w:spacing w:line="240" w:lineRule="atLeast"/>
              <w:jc w:val="both"/>
              <w:rPr>
                <w:rFonts w:cs="Arial"/>
              </w:rPr>
            </w:pPr>
            <w:r w:rsidRPr="00E30642">
              <w:rPr>
                <w:rFonts w:cs="Arial"/>
              </w:rPr>
              <w:t>5 577</w:t>
            </w:r>
          </w:p>
        </w:tc>
        <w:tc>
          <w:tcPr>
            <w:tcW w:w="1417" w:type="dxa"/>
            <w:tcBorders>
              <w:top w:val="single" w:sz="6" w:space="0" w:color="auto"/>
              <w:left w:val="single" w:sz="6" w:space="0" w:color="auto"/>
              <w:bottom w:val="single" w:sz="6" w:space="0" w:color="auto"/>
              <w:right w:val="single" w:sz="6" w:space="0" w:color="auto"/>
            </w:tcBorders>
          </w:tcPr>
          <w:p w14:paraId="1BEF5E4B" w14:textId="77777777" w:rsidR="00CA23D0" w:rsidRPr="00E30642" w:rsidRDefault="00CA23D0" w:rsidP="00CA23D0">
            <w:pPr>
              <w:pStyle w:val="Texttabulky"/>
              <w:spacing w:line="240" w:lineRule="atLeast"/>
              <w:jc w:val="both"/>
              <w:rPr>
                <w:rFonts w:cs="Arial"/>
              </w:rPr>
            </w:pPr>
            <w:r w:rsidRPr="00E30642">
              <w:rPr>
                <w:rFonts w:cs="Arial"/>
              </w:rPr>
              <w:t>5 550</w:t>
            </w:r>
          </w:p>
        </w:tc>
        <w:tc>
          <w:tcPr>
            <w:tcW w:w="1418" w:type="dxa"/>
            <w:tcBorders>
              <w:top w:val="single" w:sz="6" w:space="0" w:color="auto"/>
              <w:left w:val="single" w:sz="6" w:space="0" w:color="auto"/>
              <w:bottom w:val="single" w:sz="6" w:space="0" w:color="auto"/>
              <w:right w:val="single" w:sz="6" w:space="0" w:color="auto"/>
            </w:tcBorders>
          </w:tcPr>
          <w:p w14:paraId="49012914" w14:textId="77777777" w:rsidR="00CA23D0" w:rsidRPr="00E30642" w:rsidRDefault="00CA23D0" w:rsidP="00CA23D0">
            <w:pPr>
              <w:pStyle w:val="Texttabulky"/>
              <w:spacing w:line="240" w:lineRule="atLeast"/>
              <w:jc w:val="both"/>
              <w:rPr>
                <w:rFonts w:cs="Arial"/>
              </w:rPr>
            </w:pPr>
            <w:r w:rsidRPr="00E30642">
              <w:rPr>
                <w:rFonts w:cs="Arial"/>
              </w:rPr>
              <w:t>5 500</w:t>
            </w:r>
          </w:p>
        </w:tc>
      </w:tr>
      <w:tr w:rsidR="00CA23D0" w:rsidRPr="00E30642" w14:paraId="6124D2FB" w14:textId="77777777" w:rsidTr="00CA23D0">
        <w:tc>
          <w:tcPr>
            <w:tcW w:w="1985" w:type="dxa"/>
            <w:tcBorders>
              <w:top w:val="single" w:sz="6" w:space="0" w:color="auto"/>
              <w:left w:val="single" w:sz="6" w:space="0" w:color="auto"/>
              <w:bottom w:val="single" w:sz="6" w:space="0" w:color="auto"/>
              <w:right w:val="single" w:sz="6" w:space="0" w:color="auto"/>
            </w:tcBorders>
          </w:tcPr>
          <w:p w14:paraId="0FE05058" w14:textId="77777777" w:rsidR="00CA23D0" w:rsidRPr="00E30642" w:rsidRDefault="00CA23D0" w:rsidP="00CA23D0">
            <w:pPr>
              <w:pStyle w:val="Texttabulky"/>
              <w:spacing w:line="240" w:lineRule="atLeast"/>
              <w:ind w:firstLine="157"/>
              <w:jc w:val="both"/>
              <w:rPr>
                <w:rFonts w:cs="Arial"/>
              </w:rPr>
            </w:pPr>
            <w:r w:rsidRPr="00E30642">
              <w:rPr>
                <w:rFonts w:cs="Arial"/>
              </w:rPr>
              <w:t>Těchlovice</w:t>
            </w:r>
          </w:p>
        </w:tc>
        <w:tc>
          <w:tcPr>
            <w:tcW w:w="1104" w:type="dxa"/>
            <w:tcBorders>
              <w:top w:val="single" w:sz="6" w:space="0" w:color="auto"/>
              <w:left w:val="single" w:sz="6" w:space="0" w:color="auto"/>
              <w:bottom w:val="single" w:sz="6" w:space="0" w:color="auto"/>
              <w:right w:val="single" w:sz="6" w:space="0" w:color="auto"/>
            </w:tcBorders>
          </w:tcPr>
          <w:p w14:paraId="2B76F6E5" w14:textId="77777777" w:rsidR="00CA23D0" w:rsidRPr="00E30642" w:rsidRDefault="00CA23D0" w:rsidP="00CA23D0">
            <w:pPr>
              <w:pStyle w:val="Texttabulky"/>
              <w:spacing w:line="240" w:lineRule="atLeast"/>
              <w:jc w:val="both"/>
              <w:rPr>
                <w:rFonts w:cs="Arial"/>
              </w:rPr>
            </w:pPr>
            <w:r w:rsidRPr="00E30642">
              <w:rPr>
                <w:rFonts w:cs="Arial"/>
              </w:rPr>
              <w:t>1 048,04</w:t>
            </w:r>
          </w:p>
        </w:tc>
        <w:tc>
          <w:tcPr>
            <w:tcW w:w="1417" w:type="dxa"/>
            <w:tcBorders>
              <w:top w:val="single" w:sz="6" w:space="0" w:color="auto"/>
              <w:left w:val="single" w:sz="6" w:space="0" w:color="auto"/>
              <w:bottom w:val="single" w:sz="6" w:space="0" w:color="auto"/>
              <w:right w:val="single" w:sz="6" w:space="0" w:color="auto"/>
            </w:tcBorders>
          </w:tcPr>
          <w:p w14:paraId="0DEA6824" w14:textId="77777777" w:rsidR="00CA23D0" w:rsidRPr="00E30642" w:rsidRDefault="00CA23D0" w:rsidP="00CA23D0">
            <w:pPr>
              <w:pStyle w:val="Texttabulky"/>
              <w:spacing w:line="240" w:lineRule="atLeast"/>
              <w:jc w:val="both"/>
              <w:rPr>
                <w:rFonts w:cs="Arial"/>
              </w:rPr>
            </w:pPr>
            <w:r w:rsidRPr="00E30642">
              <w:rPr>
                <w:rFonts w:cs="Arial"/>
              </w:rPr>
              <w:t>442</w:t>
            </w:r>
          </w:p>
        </w:tc>
        <w:tc>
          <w:tcPr>
            <w:tcW w:w="1418" w:type="dxa"/>
            <w:tcBorders>
              <w:top w:val="single" w:sz="6" w:space="0" w:color="auto"/>
              <w:left w:val="single" w:sz="6" w:space="0" w:color="auto"/>
              <w:bottom w:val="single" w:sz="6" w:space="0" w:color="auto"/>
              <w:right w:val="single" w:sz="6" w:space="0" w:color="auto"/>
            </w:tcBorders>
          </w:tcPr>
          <w:p w14:paraId="74A9E259" w14:textId="77777777" w:rsidR="00CA23D0" w:rsidRPr="00E30642" w:rsidRDefault="00CA23D0" w:rsidP="00CA23D0">
            <w:pPr>
              <w:pStyle w:val="Texttabulky"/>
              <w:spacing w:line="240" w:lineRule="atLeast"/>
              <w:jc w:val="both"/>
              <w:rPr>
                <w:rFonts w:cs="Arial"/>
              </w:rPr>
            </w:pPr>
            <w:r w:rsidRPr="00E30642">
              <w:rPr>
                <w:rFonts w:cs="Arial"/>
              </w:rPr>
              <w:t>425</w:t>
            </w:r>
          </w:p>
        </w:tc>
        <w:tc>
          <w:tcPr>
            <w:tcW w:w="1417" w:type="dxa"/>
            <w:tcBorders>
              <w:top w:val="single" w:sz="6" w:space="0" w:color="auto"/>
              <w:left w:val="single" w:sz="6" w:space="0" w:color="auto"/>
              <w:bottom w:val="single" w:sz="6" w:space="0" w:color="auto"/>
              <w:right w:val="single" w:sz="6" w:space="0" w:color="auto"/>
            </w:tcBorders>
          </w:tcPr>
          <w:p w14:paraId="345D7628"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008A9FE5"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71271BB8" w14:textId="77777777" w:rsidTr="00CA23D0">
        <w:tc>
          <w:tcPr>
            <w:tcW w:w="1985" w:type="dxa"/>
            <w:tcBorders>
              <w:top w:val="single" w:sz="6" w:space="0" w:color="auto"/>
              <w:left w:val="single" w:sz="6" w:space="0" w:color="auto"/>
              <w:bottom w:val="single" w:sz="6" w:space="0" w:color="auto"/>
              <w:right w:val="single" w:sz="6" w:space="0" w:color="auto"/>
            </w:tcBorders>
          </w:tcPr>
          <w:p w14:paraId="5CBEC944" w14:textId="77777777" w:rsidR="00CA23D0" w:rsidRPr="00E30642" w:rsidRDefault="00CA23D0" w:rsidP="00CA23D0">
            <w:pPr>
              <w:pStyle w:val="Texttabulky"/>
              <w:spacing w:line="240" w:lineRule="atLeast"/>
              <w:ind w:firstLine="157"/>
              <w:jc w:val="both"/>
              <w:rPr>
                <w:rFonts w:cs="Arial"/>
              </w:rPr>
            </w:pPr>
            <w:r w:rsidRPr="00E30642">
              <w:rPr>
                <w:rFonts w:cs="Arial"/>
              </w:rPr>
              <w:t>Valkeřice</w:t>
            </w:r>
          </w:p>
        </w:tc>
        <w:tc>
          <w:tcPr>
            <w:tcW w:w="1104" w:type="dxa"/>
            <w:tcBorders>
              <w:top w:val="single" w:sz="6" w:space="0" w:color="auto"/>
              <w:left w:val="single" w:sz="6" w:space="0" w:color="auto"/>
              <w:bottom w:val="single" w:sz="6" w:space="0" w:color="auto"/>
              <w:right w:val="single" w:sz="6" w:space="0" w:color="auto"/>
            </w:tcBorders>
          </w:tcPr>
          <w:p w14:paraId="1E3C1218" w14:textId="77777777" w:rsidR="00CA23D0" w:rsidRPr="00E30642" w:rsidRDefault="00CA23D0" w:rsidP="00CA23D0">
            <w:pPr>
              <w:pStyle w:val="Texttabulky"/>
              <w:spacing w:line="240" w:lineRule="atLeast"/>
              <w:jc w:val="both"/>
              <w:rPr>
                <w:rFonts w:cs="Arial"/>
              </w:rPr>
            </w:pPr>
            <w:r w:rsidRPr="00E30642">
              <w:rPr>
                <w:rFonts w:cs="Arial"/>
              </w:rPr>
              <w:t>1 414</w:t>
            </w:r>
          </w:p>
        </w:tc>
        <w:tc>
          <w:tcPr>
            <w:tcW w:w="1417" w:type="dxa"/>
            <w:tcBorders>
              <w:top w:val="single" w:sz="6" w:space="0" w:color="auto"/>
              <w:left w:val="single" w:sz="6" w:space="0" w:color="auto"/>
              <w:bottom w:val="single" w:sz="6" w:space="0" w:color="auto"/>
              <w:right w:val="single" w:sz="6" w:space="0" w:color="auto"/>
            </w:tcBorders>
          </w:tcPr>
          <w:p w14:paraId="018ED4C6" w14:textId="77777777" w:rsidR="00CA23D0" w:rsidRPr="00E30642" w:rsidRDefault="00CA23D0" w:rsidP="00CA23D0">
            <w:pPr>
              <w:pStyle w:val="Texttabulky"/>
              <w:spacing w:line="240" w:lineRule="atLeast"/>
              <w:jc w:val="both"/>
              <w:rPr>
                <w:rFonts w:cs="Arial"/>
              </w:rPr>
            </w:pPr>
            <w:r w:rsidRPr="00E30642">
              <w:rPr>
                <w:rFonts w:cs="Arial"/>
              </w:rPr>
              <w:t>369</w:t>
            </w:r>
          </w:p>
        </w:tc>
        <w:tc>
          <w:tcPr>
            <w:tcW w:w="1418" w:type="dxa"/>
            <w:tcBorders>
              <w:top w:val="single" w:sz="6" w:space="0" w:color="auto"/>
              <w:left w:val="single" w:sz="6" w:space="0" w:color="auto"/>
              <w:bottom w:val="single" w:sz="6" w:space="0" w:color="auto"/>
              <w:right w:val="single" w:sz="6" w:space="0" w:color="auto"/>
            </w:tcBorders>
          </w:tcPr>
          <w:p w14:paraId="5F85704B" w14:textId="77777777" w:rsidR="00CA23D0" w:rsidRPr="00E30642" w:rsidRDefault="00CA23D0" w:rsidP="00CA23D0">
            <w:pPr>
              <w:pStyle w:val="Texttabulky"/>
              <w:spacing w:line="240" w:lineRule="atLeast"/>
              <w:jc w:val="both"/>
              <w:rPr>
                <w:rFonts w:cs="Arial"/>
              </w:rPr>
            </w:pPr>
            <w:r w:rsidRPr="00E30642">
              <w:rPr>
                <w:rFonts w:cs="Arial"/>
              </w:rPr>
              <w:t>414</w:t>
            </w:r>
          </w:p>
        </w:tc>
        <w:tc>
          <w:tcPr>
            <w:tcW w:w="1417" w:type="dxa"/>
            <w:tcBorders>
              <w:top w:val="single" w:sz="6" w:space="0" w:color="auto"/>
              <w:left w:val="single" w:sz="6" w:space="0" w:color="auto"/>
              <w:bottom w:val="single" w:sz="6" w:space="0" w:color="auto"/>
              <w:right w:val="single" w:sz="6" w:space="0" w:color="auto"/>
            </w:tcBorders>
          </w:tcPr>
          <w:p w14:paraId="1D31C836"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19DA9231"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6B79EC9D" w14:textId="77777777" w:rsidTr="00CA23D0">
        <w:tc>
          <w:tcPr>
            <w:tcW w:w="1985" w:type="dxa"/>
            <w:tcBorders>
              <w:top w:val="single" w:sz="6" w:space="0" w:color="auto"/>
              <w:left w:val="single" w:sz="6" w:space="0" w:color="auto"/>
              <w:bottom w:val="single" w:sz="6" w:space="0" w:color="auto"/>
              <w:right w:val="single" w:sz="6" w:space="0" w:color="auto"/>
            </w:tcBorders>
          </w:tcPr>
          <w:p w14:paraId="045F4B59" w14:textId="77777777" w:rsidR="00CA23D0" w:rsidRPr="00E30642" w:rsidRDefault="00CA23D0" w:rsidP="00CA23D0">
            <w:pPr>
              <w:pStyle w:val="Texttabulky"/>
              <w:spacing w:line="240" w:lineRule="atLeast"/>
              <w:ind w:firstLine="157"/>
              <w:jc w:val="both"/>
              <w:rPr>
                <w:rFonts w:cs="Arial"/>
              </w:rPr>
            </w:pPr>
            <w:r w:rsidRPr="00E30642">
              <w:rPr>
                <w:rFonts w:cs="Arial"/>
              </w:rPr>
              <w:t>Varnsdorf</w:t>
            </w:r>
          </w:p>
        </w:tc>
        <w:tc>
          <w:tcPr>
            <w:tcW w:w="1104" w:type="dxa"/>
            <w:tcBorders>
              <w:top w:val="single" w:sz="6" w:space="0" w:color="auto"/>
              <w:left w:val="single" w:sz="6" w:space="0" w:color="auto"/>
              <w:bottom w:val="single" w:sz="6" w:space="0" w:color="auto"/>
              <w:right w:val="single" w:sz="6" w:space="0" w:color="auto"/>
            </w:tcBorders>
          </w:tcPr>
          <w:p w14:paraId="56DA3F37" w14:textId="77777777" w:rsidR="00CA23D0" w:rsidRPr="00E30642" w:rsidRDefault="00CA23D0" w:rsidP="00CA23D0">
            <w:pPr>
              <w:pStyle w:val="Texttabulky"/>
              <w:spacing w:line="240" w:lineRule="atLeast"/>
              <w:jc w:val="both"/>
              <w:rPr>
                <w:rFonts w:cs="Arial"/>
              </w:rPr>
            </w:pPr>
            <w:r w:rsidRPr="00E30642">
              <w:rPr>
                <w:rFonts w:cs="Arial"/>
              </w:rPr>
              <w:t>2 620,99</w:t>
            </w:r>
          </w:p>
        </w:tc>
        <w:tc>
          <w:tcPr>
            <w:tcW w:w="1417" w:type="dxa"/>
            <w:tcBorders>
              <w:top w:val="single" w:sz="6" w:space="0" w:color="auto"/>
              <w:left w:val="single" w:sz="6" w:space="0" w:color="auto"/>
              <w:bottom w:val="single" w:sz="6" w:space="0" w:color="auto"/>
              <w:right w:val="single" w:sz="6" w:space="0" w:color="auto"/>
            </w:tcBorders>
          </w:tcPr>
          <w:p w14:paraId="0DB80F6E" w14:textId="77777777" w:rsidR="00CA23D0" w:rsidRPr="00E30642" w:rsidRDefault="00CA23D0" w:rsidP="00CA23D0">
            <w:pPr>
              <w:pStyle w:val="Texttabulky"/>
              <w:spacing w:line="240" w:lineRule="atLeast"/>
              <w:jc w:val="both"/>
              <w:rPr>
                <w:rFonts w:cs="Arial"/>
              </w:rPr>
            </w:pPr>
            <w:r w:rsidRPr="00E30642">
              <w:rPr>
                <w:rFonts w:cs="Arial"/>
              </w:rPr>
              <w:t>16 266</w:t>
            </w:r>
          </w:p>
        </w:tc>
        <w:tc>
          <w:tcPr>
            <w:tcW w:w="1418" w:type="dxa"/>
            <w:tcBorders>
              <w:top w:val="single" w:sz="6" w:space="0" w:color="auto"/>
              <w:left w:val="single" w:sz="6" w:space="0" w:color="auto"/>
              <w:bottom w:val="single" w:sz="6" w:space="0" w:color="auto"/>
              <w:right w:val="single" w:sz="6" w:space="0" w:color="auto"/>
            </w:tcBorders>
          </w:tcPr>
          <w:p w14:paraId="69349865" w14:textId="77777777" w:rsidR="00CA23D0" w:rsidRPr="00E30642" w:rsidRDefault="00CA23D0" w:rsidP="00CA23D0">
            <w:pPr>
              <w:pStyle w:val="Texttabulky"/>
              <w:spacing w:line="240" w:lineRule="atLeast"/>
              <w:jc w:val="both"/>
              <w:rPr>
                <w:rFonts w:cs="Arial"/>
              </w:rPr>
            </w:pPr>
            <w:r w:rsidRPr="00E30642">
              <w:rPr>
                <w:rFonts w:cs="Arial"/>
              </w:rPr>
              <w:t>16 247</w:t>
            </w:r>
          </w:p>
        </w:tc>
        <w:tc>
          <w:tcPr>
            <w:tcW w:w="1417" w:type="dxa"/>
            <w:tcBorders>
              <w:top w:val="single" w:sz="6" w:space="0" w:color="auto"/>
              <w:left w:val="single" w:sz="6" w:space="0" w:color="auto"/>
              <w:bottom w:val="single" w:sz="6" w:space="0" w:color="auto"/>
              <w:right w:val="single" w:sz="6" w:space="0" w:color="auto"/>
            </w:tcBorders>
          </w:tcPr>
          <w:p w14:paraId="21C745B1" w14:textId="77777777" w:rsidR="00CA23D0" w:rsidRPr="00E30642" w:rsidRDefault="00CA23D0" w:rsidP="00CA23D0">
            <w:pPr>
              <w:pStyle w:val="Texttabulky"/>
              <w:spacing w:line="240" w:lineRule="atLeast"/>
              <w:jc w:val="both"/>
              <w:rPr>
                <w:rFonts w:cs="Arial"/>
              </w:rPr>
            </w:pPr>
            <w:r w:rsidRPr="00E30642">
              <w:rPr>
                <w:rFonts w:cs="Arial"/>
              </w:rPr>
              <w:t>16 500</w:t>
            </w:r>
          </w:p>
        </w:tc>
        <w:tc>
          <w:tcPr>
            <w:tcW w:w="1418" w:type="dxa"/>
            <w:tcBorders>
              <w:top w:val="single" w:sz="6" w:space="0" w:color="auto"/>
              <w:left w:val="single" w:sz="6" w:space="0" w:color="auto"/>
              <w:bottom w:val="single" w:sz="6" w:space="0" w:color="auto"/>
              <w:right w:val="single" w:sz="6" w:space="0" w:color="auto"/>
            </w:tcBorders>
          </w:tcPr>
          <w:p w14:paraId="74C95976" w14:textId="77777777" w:rsidR="00CA23D0" w:rsidRPr="00E30642" w:rsidRDefault="00CA23D0" w:rsidP="00CA23D0">
            <w:pPr>
              <w:pStyle w:val="Texttabulky"/>
              <w:spacing w:line="240" w:lineRule="atLeast"/>
              <w:jc w:val="both"/>
              <w:rPr>
                <w:rFonts w:cs="Arial"/>
              </w:rPr>
            </w:pPr>
            <w:r w:rsidRPr="00E30642">
              <w:rPr>
                <w:rFonts w:cs="Arial"/>
              </w:rPr>
              <w:t>16 500</w:t>
            </w:r>
          </w:p>
        </w:tc>
      </w:tr>
      <w:tr w:rsidR="00CA23D0" w:rsidRPr="00E30642" w14:paraId="3599672B" w14:textId="77777777" w:rsidTr="00CA23D0">
        <w:tc>
          <w:tcPr>
            <w:tcW w:w="1985" w:type="dxa"/>
            <w:tcBorders>
              <w:top w:val="single" w:sz="6" w:space="0" w:color="auto"/>
              <w:left w:val="single" w:sz="6" w:space="0" w:color="auto"/>
              <w:bottom w:val="single" w:sz="6" w:space="0" w:color="auto"/>
              <w:right w:val="single" w:sz="6" w:space="0" w:color="auto"/>
            </w:tcBorders>
          </w:tcPr>
          <w:p w14:paraId="3F7740D7" w14:textId="77777777" w:rsidR="00CA23D0" w:rsidRPr="00E30642" w:rsidRDefault="00CA23D0" w:rsidP="00CA23D0">
            <w:pPr>
              <w:pStyle w:val="Texttabulky"/>
              <w:spacing w:line="240" w:lineRule="atLeast"/>
              <w:ind w:firstLine="157"/>
              <w:jc w:val="both"/>
              <w:rPr>
                <w:rFonts w:cs="Arial"/>
              </w:rPr>
            </w:pPr>
            <w:r w:rsidRPr="00E30642">
              <w:rPr>
                <w:rFonts w:cs="Arial"/>
              </w:rPr>
              <w:t>Velká Bukovina</w:t>
            </w:r>
          </w:p>
        </w:tc>
        <w:tc>
          <w:tcPr>
            <w:tcW w:w="1104" w:type="dxa"/>
            <w:tcBorders>
              <w:top w:val="single" w:sz="6" w:space="0" w:color="auto"/>
              <w:left w:val="single" w:sz="6" w:space="0" w:color="auto"/>
              <w:bottom w:val="single" w:sz="6" w:space="0" w:color="auto"/>
              <w:right w:val="single" w:sz="6" w:space="0" w:color="auto"/>
            </w:tcBorders>
          </w:tcPr>
          <w:p w14:paraId="5CFF510B" w14:textId="77777777" w:rsidR="00CA23D0" w:rsidRPr="00E30642" w:rsidRDefault="00CA23D0" w:rsidP="00CA23D0">
            <w:pPr>
              <w:pStyle w:val="Texttabulky"/>
              <w:spacing w:line="240" w:lineRule="atLeast"/>
              <w:jc w:val="both"/>
              <w:rPr>
                <w:rFonts w:cs="Arial"/>
              </w:rPr>
            </w:pPr>
            <w:r w:rsidRPr="00E30642">
              <w:rPr>
                <w:rFonts w:cs="Arial"/>
              </w:rPr>
              <w:t>1 434,67</w:t>
            </w:r>
          </w:p>
        </w:tc>
        <w:tc>
          <w:tcPr>
            <w:tcW w:w="1417" w:type="dxa"/>
            <w:tcBorders>
              <w:top w:val="single" w:sz="6" w:space="0" w:color="auto"/>
              <w:left w:val="single" w:sz="6" w:space="0" w:color="auto"/>
              <w:bottom w:val="single" w:sz="6" w:space="0" w:color="auto"/>
              <w:right w:val="single" w:sz="6" w:space="0" w:color="auto"/>
            </w:tcBorders>
          </w:tcPr>
          <w:p w14:paraId="49D50423" w14:textId="77777777" w:rsidR="00CA23D0" w:rsidRPr="00E30642" w:rsidRDefault="00CA23D0" w:rsidP="00CA23D0">
            <w:pPr>
              <w:pStyle w:val="Texttabulky"/>
              <w:spacing w:line="240" w:lineRule="atLeast"/>
              <w:jc w:val="both"/>
              <w:rPr>
                <w:rFonts w:cs="Arial"/>
              </w:rPr>
            </w:pPr>
            <w:r w:rsidRPr="00E30642">
              <w:rPr>
                <w:rFonts w:cs="Arial"/>
              </w:rPr>
              <w:t>415</w:t>
            </w:r>
          </w:p>
        </w:tc>
        <w:tc>
          <w:tcPr>
            <w:tcW w:w="1418" w:type="dxa"/>
            <w:tcBorders>
              <w:top w:val="single" w:sz="6" w:space="0" w:color="auto"/>
              <w:left w:val="single" w:sz="6" w:space="0" w:color="auto"/>
              <w:bottom w:val="single" w:sz="6" w:space="0" w:color="auto"/>
              <w:right w:val="single" w:sz="6" w:space="0" w:color="auto"/>
            </w:tcBorders>
          </w:tcPr>
          <w:p w14:paraId="0C0C9732" w14:textId="77777777" w:rsidR="00CA23D0" w:rsidRPr="00E30642" w:rsidRDefault="00CA23D0" w:rsidP="00CA23D0">
            <w:pPr>
              <w:pStyle w:val="Texttabulky"/>
              <w:spacing w:line="240" w:lineRule="atLeast"/>
              <w:jc w:val="both"/>
              <w:rPr>
                <w:rFonts w:cs="Arial"/>
              </w:rPr>
            </w:pPr>
            <w:r w:rsidRPr="00E30642">
              <w:rPr>
                <w:rFonts w:cs="Arial"/>
              </w:rPr>
              <w:t>418</w:t>
            </w:r>
          </w:p>
        </w:tc>
        <w:tc>
          <w:tcPr>
            <w:tcW w:w="1417" w:type="dxa"/>
            <w:tcBorders>
              <w:top w:val="single" w:sz="6" w:space="0" w:color="auto"/>
              <w:left w:val="single" w:sz="6" w:space="0" w:color="auto"/>
              <w:bottom w:val="single" w:sz="6" w:space="0" w:color="auto"/>
              <w:right w:val="single" w:sz="6" w:space="0" w:color="auto"/>
            </w:tcBorders>
          </w:tcPr>
          <w:p w14:paraId="5A1122E4" w14:textId="77777777" w:rsidR="00CA23D0" w:rsidRPr="00E30642" w:rsidRDefault="00CA23D0" w:rsidP="00CA23D0">
            <w:pPr>
              <w:pStyle w:val="Texttabulky"/>
              <w:spacing w:line="240" w:lineRule="atLeast"/>
              <w:jc w:val="both"/>
              <w:rPr>
                <w:rFonts w:cs="Arial"/>
              </w:rPr>
            </w:pPr>
            <w:r w:rsidRPr="00E30642">
              <w:rPr>
                <w:rFonts w:cs="Arial"/>
              </w:rPr>
              <w:t>400</w:t>
            </w:r>
          </w:p>
        </w:tc>
        <w:tc>
          <w:tcPr>
            <w:tcW w:w="1418" w:type="dxa"/>
            <w:tcBorders>
              <w:top w:val="single" w:sz="6" w:space="0" w:color="auto"/>
              <w:left w:val="single" w:sz="6" w:space="0" w:color="auto"/>
              <w:bottom w:val="single" w:sz="6" w:space="0" w:color="auto"/>
              <w:right w:val="single" w:sz="6" w:space="0" w:color="auto"/>
            </w:tcBorders>
          </w:tcPr>
          <w:p w14:paraId="5E747AD7" w14:textId="77777777" w:rsidR="00CA23D0" w:rsidRPr="00E30642" w:rsidRDefault="00CA23D0" w:rsidP="00CA23D0">
            <w:pPr>
              <w:pStyle w:val="Texttabulky"/>
              <w:spacing w:line="240" w:lineRule="atLeast"/>
              <w:jc w:val="both"/>
              <w:rPr>
                <w:rFonts w:cs="Arial"/>
              </w:rPr>
            </w:pPr>
            <w:r w:rsidRPr="00E30642">
              <w:rPr>
                <w:rFonts w:cs="Arial"/>
              </w:rPr>
              <w:t>400</w:t>
            </w:r>
          </w:p>
        </w:tc>
      </w:tr>
      <w:tr w:rsidR="00CA23D0" w:rsidRPr="00E30642" w14:paraId="5D91D40B" w14:textId="77777777" w:rsidTr="00CA23D0">
        <w:tc>
          <w:tcPr>
            <w:tcW w:w="1985" w:type="dxa"/>
            <w:tcBorders>
              <w:top w:val="single" w:sz="6" w:space="0" w:color="auto"/>
              <w:left w:val="single" w:sz="6" w:space="0" w:color="auto"/>
              <w:bottom w:val="single" w:sz="6" w:space="0" w:color="auto"/>
              <w:right w:val="single" w:sz="6" w:space="0" w:color="auto"/>
            </w:tcBorders>
          </w:tcPr>
          <w:p w14:paraId="5917A706" w14:textId="77777777" w:rsidR="00CA23D0" w:rsidRPr="00E30642" w:rsidRDefault="00CA23D0" w:rsidP="00CA23D0">
            <w:pPr>
              <w:pStyle w:val="Texttabulky"/>
              <w:spacing w:line="240" w:lineRule="atLeast"/>
              <w:ind w:firstLine="157"/>
              <w:jc w:val="both"/>
              <w:rPr>
                <w:rFonts w:cs="Arial"/>
              </w:rPr>
            </w:pPr>
            <w:r w:rsidRPr="00E30642">
              <w:rPr>
                <w:rFonts w:cs="Arial"/>
              </w:rPr>
              <w:t>Velký Šenov</w:t>
            </w:r>
          </w:p>
        </w:tc>
        <w:tc>
          <w:tcPr>
            <w:tcW w:w="1104" w:type="dxa"/>
            <w:tcBorders>
              <w:top w:val="single" w:sz="6" w:space="0" w:color="auto"/>
              <w:left w:val="single" w:sz="6" w:space="0" w:color="auto"/>
              <w:bottom w:val="single" w:sz="6" w:space="0" w:color="auto"/>
              <w:right w:val="single" w:sz="6" w:space="0" w:color="auto"/>
            </w:tcBorders>
          </w:tcPr>
          <w:p w14:paraId="7B6F792D" w14:textId="77777777" w:rsidR="00CA23D0" w:rsidRPr="00E30642" w:rsidRDefault="00CA23D0" w:rsidP="00CA23D0">
            <w:pPr>
              <w:pStyle w:val="Texttabulky"/>
              <w:spacing w:line="240" w:lineRule="atLeast"/>
              <w:jc w:val="both"/>
              <w:rPr>
                <w:rFonts w:cs="Arial"/>
              </w:rPr>
            </w:pPr>
            <w:r w:rsidRPr="00E30642">
              <w:rPr>
                <w:rFonts w:cs="Arial"/>
              </w:rPr>
              <w:t>1 982,24</w:t>
            </w:r>
          </w:p>
        </w:tc>
        <w:tc>
          <w:tcPr>
            <w:tcW w:w="1417" w:type="dxa"/>
            <w:tcBorders>
              <w:top w:val="single" w:sz="6" w:space="0" w:color="auto"/>
              <w:left w:val="single" w:sz="6" w:space="0" w:color="auto"/>
              <w:bottom w:val="single" w:sz="6" w:space="0" w:color="auto"/>
              <w:right w:val="single" w:sz="6" w:space="0" w:color="auto"/>
            </w:tcBorders>
          </w:tcPr>
          <w:p w14:paraId="7E88B80B" w14:textId="77777777" w:rsidR="00CA23D0" w:rsidRPr="00E30642" w:rsidRDefault="00CA23D0" w:rsidP="00CA23D0">
            <w:pPr>
              <w:pStyle w:val="Texttabulky"/>
              <w:spacing w:line="240" w:lineRule="atLeast"/>
              <w:jc w:val="both"/>
              <w:rPr>
                <w:rFonts w:cs="Arial"/>
              </w:rPr>
            </w:pPr>
            <w:r w:rsidRPr="00E30642">
              <w:rPr>
                <w:rFonts w:cs="Arial"/>
              </w:rPr>
              <w:t>1 943</w:t>
            </w:r>
          </w:p>
        </w:tc>
        <w:tc>
          <w:tcPr>
            <w:tcW w:w="1418" w:type="dxa"/>
            <w:tcBorders>
              <w:top w:val="single" w:sz="6" w:space="0" w:color="auto"/>
              <w:left w:val="single" w:sz="6" w:space="0" w:color="auto"/>
              <w:bottom w:val="single" w:sz="6" w:space="0" w:color="auto"/>
              <w:right w:val="single" w:sz="6" w:space="0" w:color="auto"/>
            </w:tcBorders>
          </w:tcPr>
          <w:p w14:paraId="5E097235" w14:textId="77777777" w:rsidR="00CA23D0" w:rsidRPr="00E30642" w:rsidRDefault="00CA23D0" w:rsidP="00CA23D0">
            <w:pPr>
              <w:pStyle w:val="Texttabulky"/>
              <w:spacing w:line="240" w:lineRule="atLeast"/>
              <w:jc w:val="both"/>
              <w:rPr>
                <w:rFonts w:cs="Arial"/>
              </w:rPr>
            </w:pPr>
            <w:r w:rsidRPr="00E30642">
              <w:rPr>
                <w:rFonts w:cs="Arial"/>
              </w:rPr>
              <w:t>1 899</w:t>
            </w:r>
          </w:p>
        </w:tc>
        <w:tc>
          <w:tcPr>
            <w:tcW w:w="1417" w:type="dxa"/>
            <w:tcBorders>
              <w:top w:val="single" w:sz="6" w:space="0" w:color="auto"/>
              <w:left w:val="single" w:sz="6" w:space="0" w:color="auto"/>
              <w:bottom w:val="single" w:sz="6" w:space="0" w:color="auto"/>
              <w:right w:val="single" w:sz="6" w:space="0" w:color="auto"/>
            </w:tcBorders>
          </w:tcPr>
          <w:p w14:paraId="2B6F50F8" w14:textId="77777777" w:rsidR="00CA23D0" w:rsidRPr="00E30642" w:rsidRDefault="00CA23D0" w:rsidP="00CA23D0">
            <w:pPr>
              <w:pStyle w:val="Texttabulky"/>
              <w:spacing w:line="240" w:lineRule="atLeast"/>
              <w:jc w:val="both"/>
              <w:rPr>
                <w:rFonts w:cs="Arial"/>
              </w:rPr>
            </w:pPr>
            <w:r w:rsidRPr="00E30642">
              <w:rPr>
                <w:rFonts w:cs="Arial"/>
              </w:rPr>
              <w:t>1 850</w:t>
            </w:r>
          </w:p>
        </w:tc>
        <w:tc>
          <w:tcPr>
            <w:tcW w:w="1418" w:type="dxa"/>
            <w:tcBorders>
              <w:top w:val="single" w:sz="6" w:space="0" w:color="auto"/>
              <w:left w:val="single" w:sz="6" w:space="0" w:color="auto"/>
              <w:bottom w:val="single" w:sz="6" w:space="0" w:color="auto"/>
              <w:right w:val="single" w:sz="6" w:space="0" w:color="auto"/>
            </w:tcBorders>
          </w:tcPr>
          <w:p w14:paraId="6881FB47" w14:textId="77777777" w:rsidR="00CA23D0" w:rsidRPr="00E30642" w:rsidRDefault="00CA23D0" w:rsidP="00CA23D0">
            <w:pPr>
              <w:pStyle w:val="Texttabulky"/>
              <w:spacing w:line="240" w:lineRule="atLeast"/>
              <w:jc w:val="both"/>
              <w:rPr>
                <w:rFonts w:cs="Arial"/>
              </w:rPr>
            </w:pPr>
            <w:r w:rsidRPr="00E30642">
              <w:rPr>
                <w:rFonts w:cs="Arial"/>
              </w:rPr>
              <w:t>2 000</w:t>
            </w:r>
          </w:p>
        </w:tc>
      </w:tr>
      <w:tr w:rsidR="00CA23D0" w:rsidRPr="00E30642" w14:paraId="785EA23E" w14:textId="77777777" w:rsidTr="00CA23D0">
        <w:tc>
          <w:tcPr>
            <w:tcW w:w="1985" w:type="dxa"/>
            <w:tcBorders>
              <w:top w:val="single" w:sz="6" w:space="0" w:color="auto"/>
              <w:left w:val="single" w:sz="6" w:space="0" w:color="auto"/>
              <w:bottom w:val="single" w:sz="6" w:space="0" w:color="auto"/>
              <w:right w:val="single" w:sz="6" w:space="0" w:color="auto"/>
            </w:tcBorders>
          </w:tcPr>
          <w:p w14:paraId="3E809080" w14:textId="77777777" w:rsidR="00CA23D0" w:rsidRPr="00E30642" w:rsidRDefault="00CA23D0" w:rsidP="00CA23D0">
            <w:pPr>
              <w:pStyle w:val="Texttabulky"/>
              <w:spacing w:line="240" w:lineRule="atLeast"/>
              <w:ind w:firstLine="157"/>
              <w:jc w:val="both"/>
              <w:rPr>
                <w:rFonts w:cs="Arial"/>
              </w:rPr>
            </w:pPr>
            <w:r w:rsidRPr="00E30642">
              <w:rPr>
                <w:rFonts w:cs="Arial"/>
              </w:rPr>
              <w:t>Verneřice</w:t>
            </w:r>
          </w:p>
        </w:tc>
        <w:tc>
          <w:tcPr>
            <w:tcW w:w="1104" w:type="dxa"/>
            <w:tcBorders>
              <w:top w:val="single" w:sz="6" w:space="0" w:color="auto"/>
              <w:left w:val="single" w:sz="6" w:space="0" w:color="auto"/>
              <w:bottom w:val="single" w:sz="6" w:space="0" w:color="auto"/>
              <w:right w:val="single" w:sz="6" w:space="0" w:color="auto"/>
            </w:tcBorders>
          </w:tcPr>
          <w:p w14:paraId="6534448E" w14:textId="77777777" w:rsidR="00CA23D0" w:rsidRPr="00E30642" w:rsidRDefault="00CA23D0" w:rsidP="00CA23D0">
            <w:pPr>
              <w:pStyle w:val="Texttabulky"/>
              <w:spacing w:line="240" w:lineRule="atLeast"/>
              <w:jc w:val="both"/>
              <w:rPr>
                <w:rFonts w:cs="Arial"/>
              </w:rPr>
            </w:pPr>
            <w:r w:rsidRPr="00E30642">
              <w:rPr>
                <w:rFonts w:cs="Arial"/>
              </w:rPr>
              <w:t>3 141,43</w:t>
            </w:r>
          </w:p>
        </w:tc>
        <w:tc>
          <w:tcPr>
            <w:tcW w:w="1417" w:type="dxa"/>
            <w:tcBorders>
              <w:top w:val="single" w:sz="6" w:space="0" w:color="auto"/>
              <w:left w:val="single" w:sz="6" w:space="0" w:color="auto"/>
              <w:bottom w:val="single" w:sz="6" w:space="0" w:color="auto"/>
              <w:right w:val="single" w:sz="6" w:space="0" w:color="auto"/>
            </w:tcBorders>
          </w:tcPr>
          <w:p w14:paraId="2136F56C" w14:textId="77777777" w:rsidR="00CA23D0" w:rsidRPr="00E30642" w:rsidRDefault="00CA23D0" w:rsidP="00CA23D0">
            <w:pPr>
              <w:pStyle w:val="Texttabulky"/>
              <w:spacing w:line="240" w:lineRule="atLeast"/>
              <w:jc w:val="both"/>
              <w:rPr>
                <w:rFonts w:cs="Arial"/>
              </w:rPr>
            </w:pPr>
            <w:r w:rsidRPr="00E30642">
              <w:rPr>
                <w:rFonts w:cs="Arial"/>
              </w:rPr>
              <w:t>1 074</w:t>
            </w:r>
          </w:p>
        </w:tc>
        <w:tc>
          <w:tcPr>
            <w:tcW w:w="1418" w:type="dxa"/>
            <w:tcBorders>
              <w:top w:val="single" w:sz="6" w:space="0" w:color="auto"/>
              <w:left w:val="single" w:sz="6" w:space="0" w:color="auto"/>
              <w:bottom w:val="single" w:sz="6" w:space="0" w:color="auto"/>
              <w:right w:val="single" w:sz="6" w:space="0" w:color="auto"/>
            </w:tcBorders>
          </w:tcPr>
          <w:p w14:paraId="5471F10C" w14:textId="77777777" w:rsidR="00CA23D0" w:rsidRPr="00E30642" w:rsidRDefault="00CA23D0" w:rsidP="00CA23D0">
            <w:pPr>
              <w:pStyle w:val="Texttabulky"/>
              <w:spacing w:line="240" w:lineRule="atLeast"/>
              <w:jc w:val="both"/>
              <w:rPr>
                <w:rFonts w:cs="Arial"/>
              </w:rPr>
            </w:pPr>
            <w:r w:rsidRPr="00E30642">
              <w:rPr>
                <w:rFonts w:cs="Arial"/>
              </w:rPr>
              <w:t>1 080</w:t>
            </w:r>
          </w:p>
        </w:tc>
        <w:tc>
          <w:tcPr>
            <w:tcW w:w="1417" w:type="dxa"/>
            <w:tcBorders>
              <w:top w:val="single" w:sz="6" w:space="0" w:color="auto"/>
              <w:left w:val="single" w:sz="6" w:space="0" w:color="auto"/>
              <w:bottom w:val="single" w:sz="6" w:space="0" w:color="auto"/>
              <w:right w:val="single" w:sz="6" w:space="0" w:color="auto"/>
            </w:tcBorders>
          </w:tcPr>
          <w:p w14:paraId="323937C5" w14:textId="77777777" w:rsidR="00CA23D0" w:rsidRPr="00E30642" w:rsidRDefault="00CA23D0" w:rsidP="00CA23D0">
            <w:pPr>
              <w:pStyle w:val="Texttabulky"/>
              <w:spacing w:line="240" w:lineRule="atLeast"/>
              <w:jc w:val="both"/>
              <w:rPr>
                <w:rFonts w:cs="Arial"/>
              </w:rPr>
            </w:pPr>
            <w:r w:rsidRPr="00E30642">
              <w:rPr>
                <w:rFonts w:cs="Arial"/>
              </w:rPr>
              <w:t>1 100</w:t>
            </w:r>
          </w:p>
        </w:tc>
        <w:tc>
          <w:tcPr>
            <w:tcW w:w="1418" w:type="dxa"/>
            <w:tcBorders>
              <w:top w:val="single" w:sz="6" w:space="0" w:color="auto"/>
              <w:left w:val="single" w:sz="6" w:space="0" w:color="auto"/>
              <w:bottom w:val="single" w:sz="6" w:space="0" w:color="auto"/>
              <w:right w:val="single" w:sz="6" w:space="0" w:color="auto"/>
            </w:tcBorders>
          </w:tcPr>
          <w:p w14:paraId="581D554F" w14:textId="77777777" w:rsidR="00CA23D0" w:rsidRPr="00E30642" w:rsidRDefault="00CA23D0" w:rsidP="00CA23D0">
            <w:pPr>
              <w:pStyle w:val="Texttabulky"/>
              <w:spacing w:line="240" w:lineRule="atLeast"/>
              <w:jc w:val="both"/>
              <w:rPr>
                <w:rFonts w:cs="Arial"/>
              </w:rPr>
            </w:pPr>
            <w:r w:rsidRPr="00E30642">
              <w:rPr>
                <w:rFonts w:cs="Arial"/>
              </w:rPr>
              <w:t>1 000</w:t>
            </w:r>
          </w:p>
        </w:tc>
      </w:tr>
      <w:tr w:rsidR="00CA23D0" w:rsidRPr="00E30642" w14:paraId="5ABEE1C1" w14:textId="77777777" w:rsidTr="00CA23D0">
        <w:tc>
          <w:tcPr>
            <w:tcW w:w="1985" w:type="dxa"/>
            <w:tcBorders>
              <w:top w:val="single" w:sz="6" w:space="0" w:color="auto"/>
              <w:left w:val="single" w:sz="6" w:space="0" w:color="auto"/>
              <w:bottom w:val="single" w:sz="6" w:space="0" w:color="auto"/>
              <w:right w:val="single" w:sz="6" w:space="0" w:color="auto"/>
            </w:tcBorders>
          </w:tcPr>
          <w:p w14:paraId="61832FF7" w14:textId="77777777" w:rsidR="00CA23D0" w:rsidRPr="00E30642" w:rsidRDefault="00CA23D0" w:rsidP="00CA23D0">
            <w:pPr>
              <w:pStyle w:val="Texttabulky"/>
              <w:spacing w:line="240" w:lineRule="atLeast"/>
              <w:ind w:firstLine="157"/>
              <w:jc w:val="both"/>
              <w:rPr>
                <w:rFonts w:cs="Arial"/>
              </w:rPr>
            </w:pPr>
            <w:r w:rsidRPr="00E30642">
              <w:rPr>
                <w:rFonts w:cs="Arial"/>
              </w:rPr>
              <w:t>Veselé</w:t>
            </w:r>
          </w:p>
        </w:tc>
        <w:tc>
          <w:tcPr>
            <w:tcW w:w="1104" w:type="dxa"/>
            <w:tcBorders>
              <w:top w:val="single" w:sz="6" w:space="0" w:color="auto"/>
              <w:left w:val="single" w:sz="6" w:space="0" w:color="auto"/>
              <w:bottom w:val="single" w:sz="6" w:space="0" w:color="auto"/>
              <w:right w:val="single" w:sz="6" w:space="0" w:color="auto"/>
            </w:tcBorders>
          </w:tcPr>
          <w:p w14:paraId="00D3F1EC" w14:textId="77777777" w:rsidR="00CA23D0" w:rsidRPr="00E30642" w:rsidRDefault="00CA23D0" w:rsidP="00CA23D0">
            <w:pPr>
              <w:pStyle w:val="Texttabulky"/>
              <w:spacing w:line="240" w:lineRule="atLeast"/>
              <w:jc w:val="both"/>
              <w:rPr>
                <w:rFonts w:cs="Arial"/>
              </w:rPr>
            </w:pPr>
            <w:r w:rsidRPr="00E30642">
              <w:rPr>
                <w:rFonts w:cs="Arial"/>
              </w:rPr>
              <w:t>738,48</w:t>
            </w:r>
          </w:p>
        </w:tc>
        <w:tc>
          <w:tcPr>
            <w:tcW w:w="1417" w:type="dxa"/>
            <w:tcBorders>
              <w:top w:val="single" w:sz="6" w:space="0" w:color="auto"/>
              <w:left w:val="single" w:sz="6" w:space="0" w:color="auto"/>
              <w:bottom w:val="single" w:sz="6" w:space="0" w:color="auto"/>
              <w:right w:val="single" w:sz="6" w:space="0" w:color="auto"/>
            </w:tcBorders>
          </w:tcPr>
          <w:p w14:paraId="5DF4A062" w14:textId="77777777" w:rsidR="00CA23D0" w:rsidRPr="00E30642" w:rsidRDefault="00CA23D0" w:rsidP="00CA23D0">
            <w:pPr>
              <w:pStyle w:val="Texttabulky"/>
              <w:spacing w:line="240" w:lineRule="atLeast"/>
              <w:jc w:val="both"/>
              <w:rPr>
                <w:rFonts w:cs="Arial"/>
              </w:rPr>
            </w:pPr>
            <w:r w:rsidRPr="00E30642">
              <w:rPr>
                <w:rFonts w:cs="Arial"/>
              </w:rPr>
              <w:t>229</w:t>
            </w:r>
          </w:p>
        </w:tc>
        <w:tc>
          <w:tcPr>
            <w:tcW w:w="1418" w:type="dxa"/>
            <w:tcBorders>
              <w:top w:val="single" w:sz="6" w:space="0" w:color="auto"/>
              <w:left w:val="single" w:sz="6" w:space="0" w:color="auto"/>
              <w:bottom w:val="single" w:sz="6" w:space="0" w:color="auto"/>
              <w:right w:val="single" w:sz="6" w:space="0" w:color="auto"/>
            </w:tcBorders>
          </w:tcPr>
          <w:p w14:paraId="0CB9AB8B" w14:textId="77777777" w:rsidR="00CA23D0" w:rsidRPr="00E30642" w:rsidRDefault="00CA23D0" w:rsidP="00CA23D0">
            <w:pPr>
              <w:pStyle w:val="Texttabulky"/>
              <w:spacing w:line="240" w:lineRule="atLeast"/>
              <w:jc w:val="both"/>
              <w:rPr>
                <w:rFonts w:cs="Arial"/>
              </w:rPr>
            </w:pPr>
            <w:r w:rsidRPr="00E30642">
              <w:rPr>
                <w:rFonts w:cs="Arial"/>
              </w:rPr>
              <w:t>257</w:t>
            </w:r>
          </w:p>
        </w:tc>
        <w:tc>
          <w:tcPr>
            <w:tcW w:w="1417" w:type="dxa"/>
            <w:tcBorders>
              <w:top w:val="single" w:sz="6" w:space="0" w:color="auto"/>
              <w:left w:val="single" w:sz="6" w:space="0" w:color="auto"/>
              <w:bottom w:val="single" w:sz="6" w:space="0" w:color="auto"/>
              <w:right w:val="single" w:sz="6" w:space="0" w:color="auto"/>
            </w:tcBorders>
          </w:tcPr>
          <w:p w14:paraId="49F6AD91" w14:textId="77777777" w:rsidR="00CA23D0" w:rsidRPr="00E30642" w:rsidRDefault="00CA23D0" w:rsidP="00CA23D0">
            <w:pPr>
              <w:pStyle w:val="Texttabulky"/>
              <w:spacing w:line="240" w:lineRule="atLeast"/>
              <w:jc w:val="both"/>
              <w:rPr>
                <w:rFonts w:cs="Arial"/>
              </w:rPr>
            </w:pPr>
            <w:r w:rsidRPr="00E30642">
              <w:rPr>
                <w:rFonts w:cs="Arial"/>
              </w:rPr>
              <w:t>250</w:t>
            </w:r>
          </w:p>
        </w:tc>
        <w:tc>
          <w:tcPr>
            <w:tcW w:w="1418" w:type="dxa"/>
            <w:tcBorders>
              <w:top w:val="single" w:sz="6" w:space="0" w:color="auto"/>
              <w:left w:val="single" w:sz="6" w:space="0" w:color="auto"/>
              <w:bottom w:val="single" w:sz="6" w:space="0" w:color="auto"/>
              <w:right w:val="single" w:sz="6" w:space="0" w:color="auto"/>
            </w:tcBorders>
          </w:tcPr>
          <w:p w14:paraId="176D64C0"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6AB2FE17" w14:textId="77777777" w:rsidTr="00CA23D0">
        <w:tc>
          <w:tcPr>
            <w:tcW w:w="1985" w:type="dxa"/>
            <w:tcBorders>
              <w:top w:val="single" w:sz="6" w:space="0" w:color="auto"/>
              <w:left w:val="single" w:sz="6" w:space="0" w:color="auto"/>
              <w:bottom w:val="single" w:sz="6" w:space="0" w:color="auto"/>
              <w:right w:val="single" w:sz="6" w:space="0" w:color="auto"/>
            </w:tcBorders>
          </w:tcPr>
          <w:p w14:paraId="67E7984E" w14:textId="77777777" w:rsidR="00CA23D0" w:rsidRPr="00E30642" w:rsidRDefault="00CA23D0" w:rsidP="00CA23D0">
            <w:pPr>
              <w:pStyle w:val="Texttabulky"/>
              <w:spacing w:line="240" w:lineRule="atLeast"/>
              <w:ind w:firstLine="157"/>
              <w:jc w:val="both"/>
              <w:rPr>
                <w:rFonts w:cs="Arial"/>
              </w:rPr>
            </w:pPr>
            <w:r w:rsidRPr="00E30642">
              <w:rPr>
                <w:rFonts w:cs="Arial"/>
              </w:rPr>
              <w:t>Vilémov</w:t>
            </w:r>
          </w:p>
        </w:tc>
        <w:tc>
          <w:tcPr>
            <w:tcW w:w="1104" w:type="dxa"/>
            <w:tcBorders>
              <w:top w:val="single" w:sz="6" w:space="0" w:color="auto"/>
              <w:left w:val="single" w:sz="6" w:space="0" w:color="auto"/>
              <w:bottom w:val="single" w:sz="6" w:space="0" w:color="auto"/>
              <w:right w:val="single" w:sz="6" w:space="0" w:color="auto"/>
            </w:tcBorders>
          </w:tcPr>
          <w:p w14:paraId="3ACAD775" w14:textId="77777777" w:rsidR="00CA23D0" w:rsidRPr="00E30642" w:rsidRDefault="00CA23D0" w:rsidP="00CA23D0">
            <w:pPr>
              <w:pStyle w:val="Texttabulky"/>
              <w:spacing w:line="240" w:lineRule="atLeast"/>
              <w:jc w:val="both"/>
              <w:rPr>
                <w:rFonts w:cs="Arial"/>
              </w:rPr>
            </w:pPr>
            <w:r w:rsidRPr="00E30642">
              <w:rPr>
                <w:rFonts w:cs="Arial"/>
              </w:rPr>
              <w:t>406,86</w:t>
            </w:r>
          </w:p>
        </w:tc>
        <w:tc>
          <w:tcPr>
            <w:tcW w:w="1417" w:type="dxa"/>
            <w:tcBorders>
              <w:top w:val="single" w:sz="6" w:space="0" w:color="auto"/>
              <w:left w:val="single" w:sz="6" w:space="0" w:color="auto"/>
              <w:bottom w:val="single" w:sz="6" w:space="0" w:color="auto"/>
              <w:right w:val="single" w:sz="6" w:space="0" w:color="auto"/>
            </w:tcBorders>
          </w:tcPr>
          <w:p w14:paraId="12B8654B" w14:textId="77777777" w:rsidR="00CA23D0" w:rsidRPr="00E30642" w:rsidRDefault="00CA23D0" w:rsidP="00CA23D0">
            <w:pPr>
              <w:pStyle w:val="Texttabulky"/>
              <w:spacing w:line="240" w:lineRule="atLeast"/>
              <w:jc w:val="both"/>
              <w:rPr>
                <w:rFonts w:cs="Arial"/>
              </w:rPr>
            </w:pPr>
            <w:r w:rsidRPr="00E30642">
              <w:rPr>
                <w:rFonts w:cs="Arial"/>
              </w:rPr>
              <w:t>1 011</w:t>
            </w:r>
          </w:p>
        </w:tc>
        <w:tc>
          <w:tcPr>
            <w:tcW w:w="1418" w:type="dxa"/>
            <w:tcBorders>
              <w:top w:val="single" w:sz="6" w:space="0" w:color="auto"/>
              <w:left w:val="single" w:sz="6" w:space="0" w:color="auto"/>
              <w:bottom w:val="single" w:sz="6" w:space="0" w:color="auto"/>
              <w:right w:val="single" w:sz="6" w:space="0" w:color="auto"/>
            </w:tcBorders>
          </w:tcPr>
          <w:p w14:paraId="4712B427" w14:textId="77777777" w:rsidR="00CA23D0" w:rsidRPr="00E30642" w:rsidRDefault="00CA23D0" w:rsidP="00CA23D0">
            <w:pPr>
              <w:pStyle w:val="Texttabulky"/>
              <w:spacing w:line="240" w:lineRule="atLeast"/>
              <w:jc w:val="both"/>
              <w:rPr>
                <w:rFonts w:cs="Arial"/>
              </w:rPr>
            </w:pPr>
            <w:r w:rsidRPr="00E30642">
              <w:rPr>
                <w:rFonts w:cs="Arial"/>
              </w:rPr>
              <w:t>1 055</w:t>
            </w:r>
          </w:p>
        </w:tc>
        <w:tc>
          <w:tcPr>
            <w:tcW w:w="1417" w:type="dxa"/>
            <w:tcBorders>
              <w:top w:val="single" w:sz="6" w:space="0" w:color="auto"/>
              <w:left w:val="single" w:sz="6" w:space="0" w:color="auto"/>
              <w:bottom w:val="single" w:sz="6" w:space="0" w:color="auto"/>
              <w:right w:val="single" w:sz="6" w:space="0" w:color="auto"/>
            </w:tcBorders>
          </w:tcPr>
          <w:p w14:paraId="33962811" w14:textId="77777777" w:rsidR="00CA23D0" w:rsidRPr="00E30642" w:rsidRDefault="00CA23D0" w:rsidP="00CA23D0">
            <w:pPr>
              <w:pStyle w:val="Texttabulky"/>
              <w:spacing w:line="240" w:lineRule="atLeast"/>
              <w:jc w:val="both"/>
              <w:rPr>
                <w:rFonts w:cs="Arial"/>
              </w:rPr>
            </w:pPr>
            <w:r w:rsidRPr="00E30642">
              <w:rPr>
                <w:rFonts w:cs="Arial"/>
              </w:rPr>
              <w:t>1 100</w:t>
            </w:r>
          </w:p>
        </w:tc>
        <w:tc>
          <w:tcPr>
            <w:tcW w:w="1418" w:type="dxa"/>
            <w:tcBorders>
              <w:top w:val="single" w:sz="6" w:space="0" w:color="auto"/>
              <w:left w:val="single" w:sz="6" w:space="0" w:color="auto"/>
              <w:bottom w:val="single" w:sz="6" w:space="0" w:color="auto"/>
              <w:right w:val="single" w:sz="6" w:space="0" w:color="auto"/>
            </w:tcBorders>
          </w:tcPr>
          <w:p w14:paraId="228BDD3C" w14:textId="77777777" w:rsidR="00CA23D0" w:rsidRPr="00E30642" w:rsidRDefault="00CA23D0" w:rsidP="00CA23D0">
            <w:pPr>
              <w:pStyle w:val="Texttabulky"/>
              <w:spacing w:line="240" w:lineRule="atLeast"/>
              <w:jc w:val="both"/>
              <w:rPr>
                <w:rFonts w:cs="Arial"/>
              </w:rPr>
            </w:pPr>
            <w:r w:rsidRPr="00E30642">
              <w:rPr>
                <w:rFonts w:cs="Arial"/>
              </w:rPr>
              <w:t>1 100</w:t>
            </w:r>
          </w:p>
        </w:tc>
      </w:tr>
      <w:tr w:rsidR="00CA23D0" w:rsidRPr="00E30642" w14:paraId="7F869601" w14:textId="77777777" w:rsidTr="00CA23D0">
        <w:tc>
          <w:tcPr>
            <w:tcW w:w="1985" w:type="dxa"/>
            <w:tcBorders>
              <w:top w:val="single" w:sz="6" w:space="0" w:color="auto"/>
              <w:left w:val="single" w:sz="6" w:space="0" w:color="auto"/>
              <w:bottom w:val="single" w:sz="6" w:space="0" w:color="auto"/>
              <w:right w:val="single" w:sz="6" w:space="0" w:color="auto"/>
            </w:tcBorders>
          </w:tcPr>
          <w:p w14:paraId="6FCABA81" w14:textId="77777777" w:rsidR="00CA23D0" w:rsidRPr="00E30642" w:rsidRDefault="00CA23D0" w:rsidP="00CA23D0">
            <w:pPr>
              <w:pStyle w:val="Texttabulky"/>
              <w:spacing w:line="240" w:lineRule="atLeast"/>
              <w:jc w:val="both"/>
              <w:rPr>
                <w:rFonts w:cs="Arial"/>
              </w:rPr>
            </w:pPr>
            <w:r w:rsidRPr="00E30642">
              <w:rPr>
                <w:rFonts w:cs="Arial"/>
                <w:b/>
                <w:bCs/>
              </w:rPr>
              <w:t>OKRES CELKEM</w:t>
            </w:r>
          </w:p>
        </w:tc>
        <w:tc>
          <w:tcPr>
            <w:tcW w:w="1104" w:type="dxa"/>
            <w:tcBorders>
              <w:top w:val="single" w:sz="6" w:space="0" w:color="auto"/>
              <w:left w:val="single" w:sz="6" w:space="0" w:color="auto"/>
              <w:bottom w:val="single" w:sz="6" w:space="0" w:color="auto"/>
              <w:right w:val="single" w:sz="6" w:space="0" w:color="auto"/>
            </w:tcBorders>
          </w:tcPr>
          <w:p w14:paraId="4F61D442" w14:textId="77777777" w:rsidR="00CA23D0" w:rsidRPr="00E30642" w:rsidRDefault="00CA23D0" w:rsidP="00CA23D0">
            <w:pPr>
              <w:pStyle w:val="Texttabulky"/>
              <w:spacing w:line="240" w:lineRule="atLeast"/>
              <w:jc w:val="both"/>
              <w:rPr>
                <w:rFonts w:cs="Arial"/>
              </w:rPr>
            </w:pPr>
            <w:r w:rsidRPr="00E30642">
              <w:rPr>
                <w:rFonts w:cs="Arial"/>
                <w:b/>
                <w:bCs/>
              </w:rPr>
              <w:t>90 916,82</w:t>
            </w:r>
          </w:p>
        </w:tc>
        <w:tc>
          <w:tcPr>
            <w:tcW w:w="1417" w:type="dxa"/>
            <w:tcBorders>
              <w:top w:val="single" w:sz="6" w:space="0" w:color="auto"/>
              <w:left w:val="single" w:sz="6" w:space="0" w:color="auto"/>
              <w:bottom w:val="single" w:sz="6" w:space="0" w:color="auto"/>
              <w:right w:val="single" w:sz="6" w:space="0" w:color="auto"/>
            </w:tcBorders>
          </w:tcPr>
          <w:p w14:paraId="7718C94E" w14:textId="77777777" w:rsidR="00CA23D0" w:rsidRPr="00E30642" w:rsidRDefault="00CA23D0" w:rsidP="00CA23D0">
            <w:pPr>
              <w:pStyle w:val="Texttabulky"/>
              <w:spacing w:line="240" w:lineRule="atLeast"/>
              <w:jc w:val="both"/>
              <w:rPr>
                <w:rFonts w:cs="Arial"/>
              </w:rPr>
            </w:pPr>
            <w:r w:rsidRPr="00E30642">
              <w:rPr>
                <w:rFonts w:cs="Arial"/>
                <w:b/>
                <w:bCs/>
              </w:rPr>
              <w:t>133 448</w:t>
            </w:r>
          </w:p>
        </w:tc>
        <w:tc>
          <w:tcPr>
            <w:tcW w:w="1418" w:type="dxa"/>
            <w:tcBorders>
              <w:top w:val="single" w:sz="6" w:space="0" w:color="auto"/>
              <w:left w:val="single" w:sz="6" w:space="0" w:color="auto"/>
              <w:bottom w:val="single" w:sz="6" w:space="0" w:color="auto"/>
              <w:right w:val="single" w:sz="6" w:space="0" w:color="auto"/>
            </w:tcBorders>
          </w:tcPr>
          <w:p w14:paraId="0CEFB3AB" w14:textId="77777777" w:rsidR="00CA23D0" w:rsidRPr="00E30642" w:rsidRDefault="00CA23D0" w:rsidP="00CA23D0">
            <w:pPr>
              <w:pStyle w:val="Texttabulky"/>
              <w:spacing w:line="240" w:lineRule="atLeast"/>
              <w:jc w:val="both"/>
              <w:rPr>
                <w:rFonts w:cs="Arial"/>
              </w:rPr>
            </w:pPr>
            <w:r w:rsidRPr="00E30642">
              <w:rPr>
                <w:rFonts w:cs="Arial"/>
                <w:b/>
                <w:bCs/>
              </w:rPr>
              <w:t>133 800</w:t>
            </w:r>
          </w:p>
        </w:tc>
        <w:tc>
          <w:tcPr>
            <w:tcW w:w="1417" w:type="dxa"/>
            <w:tcBorders>
              <w:top w:val="single" w:sz="6" w:space="0" w:color="auto"/>
              <w:left w:val="single" w:sz="6" w:space="0" w:color="auto"/>
              <w:bottom w:val="single" w:sz="6" w:space="0" w:color="auto"/>
              <w:right w:val="single" w:sz="6" w:space="0" w:color="auto"/>
            </w:tcBorders>
          </w:tcPr>
          <w:p w14:paraId="62CC6430" w14:textId="77777777" w:rsidR="00CA23D0" w:rsidRPr="00E30642" w:rsidRDefault="00CA23D0" w:rsidP="00CA23D0">
            <w:pPr>
              <w:pStyle w:val="Texttabulky"/>
              <w:spacing w:line="240" w:lineRule="atLeast"/>
              <w:jc w:val="both"/>
              <w:rPr>
                <w:rFonts w:cs="Arial"/>
              </w:rPr>
            </w:pPr>
            <w:r w:rsidRPr="00E30642">
              <w:rPr>
                <w:rFonts w:cs="Arial"/>
                <w:b/>
                <w:bCs/>
              </w:rPr>
              <w:t>135 770</w:t>
            </w:r>
          </w:p>
        </w:tc>
        <w:tc>
          <w:tcPr>
            <w:tcW w:w="1418" w:type="dxa"/>
            <w:tcBorders>
              <w:top w:val="single" w:sz="6" w:space="0" w:color="auto"/>
              <w:left w:val="single" w:sz="6" w:space="0" w:color="auto"/>
              <w:bottom w:val="single" w:sz="6" w:space="0" w:color="auto"/>
              <w:right w:val="single" w:sz="6" w:space="0" w:color="auto"/>
            </w:tcBorders>
          </w:tcPr>
          <w:p w14:paraId="562C60B3" w14:textId="77777777" w:rsidR="00CA23D0" w:rsidRPr="00E30642" w:rsidRDefault="00CA23D0" w:rsidP="00CA23D0">
            <w:pPr>
              <w:pStyle w:val="Texttabulky"/>
              <w:spacing w:line="240" w:lineRule="atLeast"/>
              <w:jc w:val="both"/>
              <w:rPr>
                <w:rFonts w:cs="Arial"/>
              </w:rPr>
            </w:pPr>
            <w:r w:rsidRPr="00E30642">
              <w:rPr>
                <w:rFonts w:cs="Arial"/>
                <w:b/>
                <w:bCs/>
              </w:rPr>
              <w:t>133 200</w:t>
            </w:r>
          </w:p>
        </w:tc>
      </w:tr>
    </w:tbl>
    <w:p w14:paraId="6935A28A" w14:textId="77777777" w:rsidR="00CA23D0" w:rsidRPr="00E30642" w:rsidRDefault="00CA23D0" w:rsidP="00CA23D0">
      <w:pPr>
        <w:autoSpaceDE w:val="0"/>
        <w:autoSpaceDN w:val="0"/>
        <w:adjustRightInd w:val="0"/>
        <w:jc w:val="both"/>
        <w:rPr>
          <w:rFonts w:ascii="Arial" w:hAnsi="Arial" w:cs="Arial"/>
          <w:sz w:val="20"/>
        </w:rPr>
      </w:pPr>
    </w:p>
    <w:p w14:paraId="49A983D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Pro návrhové období bude mít na růst počtu obyvatel města rozvoj obytného území. Přes velkou rozlohu má pro tento rozvoj Děčín omezené podmínky. Současnost také ukončila řešení problematiky výstavby nových bytů formou tzv. komplexní bytové výstavby, kdy se řešila pouze otázka kvantity a to navíc nikoli podle místních potřeb, nýbrž na základě centrálního rozhodnutí. Pro návrhové období není již uvažováno v rámci řešení rozvoje obytného území s  realizacemi rozsáhlých obytných souborů typu kdysi zamýšlených sídlišť v Krásném Studenci či Folknářích. Rozvoj obytných ploch bude mít v návrhovém období odlišný charakter, jehož hlavním znakem bude důraz na řešení kvality bydlení. Obytné území - jeho rozvoj - bude probíhat dvěma hlavními směry.</w:t>
      </w:r>
    </w:p>
    <w:p w14:paraId="0733A4A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První bude realizace nových bytů v rodinných domech v předem vytypovaných lokalitách. Zde bude tempo výstavby plně závislé na možnostech soukromých investorů, pro </w:t>
      </w:r>
      <w:r w:rsidRPr="00E30642">
        <w:rPr>
          <w:rFonts w:ascii="Arial" w:hAnsi="Arial" w:cs="Arial"/>
          <w:sz w:val="22"/>
          <w:szCs w:val="22"/>
        </w:rPr>
        <w:lastRenderedPageBreak/>
        <w:t>které bude připravena příslušná plocha. Tuto formu řešení otázky bydlení lze očekávat zejména u osob produktivního věku s  dobrým ekonomickým zázemím.</w:t>
      </w:r>
    </w:p>
    <w:p w14:paraId="634144F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Druhým směrem rozvoje obytného území bude realizace bytů pro okrajové kategorie populace města, čímž jsou míněny věkově mladé osoby usilující o svůj první byt (v přiměřené cenové hladině), dále začínající mladá manželství na jedné straně a skupina osob důchodového věku, kterým jejich dosavadní způsob bydlení již z mnoha důvodů nevyhovuje. Pro tuto část populace bude vyhovující realizace bytů s menší užitkovou plochou, což by se mělo projevit i přijatelnou cenou za jejich užívání. Na této formě řešení či realizace nových bytů lze očekávat ekonomickou spoluúčast státu nebo města</w:t>
      </w:r>
    </w:p>
    <w:p w14:paraId="59FF491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Značné rezervy pro rozvoj bydlení lze dále vidět v bytovém fondu stávajícím, jehož momentálně velký úbytek (bude plně kvantifikovatelný až sčítání lidu domů a bytů v roce 2001) není dán jeho fyzickou likvidací, nýbrž jinou formou využití. Toto využívání k  nebytovým účelům je z velké části záležitostí vynucenou okolnostmi, kdy výnosy z pronájmu kryjí novým majitelům domů provozní náklady a také dávají možnost vložit takto získané prostředky do rekonstrukcí v převážné míře dříve málo udržovaných či spíše zanedbávaných domů resp. bytů.</w:t>
      </w:r>
    </w:p>
    <w:p w14:paraId="31A4BCC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p>
    <w:p w14:paraId="17EAA63D" w14:textId="77777777" w:rsidR="00CA23D0" w:rsidRPr="00E30642" w:rsidRDefault="00CA23D0" w:rsidP="00CA23D0">
      <w:pPr>
        <w:pStyle w:val="podnadpis2"/>
        <w:spacing w:line="240" w:lineRule="atLeast"/>
        <w:jc w:val="both"/>
        <w:rPr>
          <w:rFonts w:cs="Arial"/>
        </w:rPr>
      </w:pPr>
      <w:r w:rsidRPr="00E30642">
        <w:rPr>
          <w:rFonts w:cs="Arial"/>
        </w:rPr>
        <w:t>Výhledový počet obyvatel a jeho rozložení ve městě</w:t>
      </w:r>
    </w:p>
    <w:p w14:paraId="1FF82F6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Průmět záměrů rozvoje obytných ploch na území města dovádí k  závěru, že na konci návrhového období se počet bydlících osob mohl pohybovat v rozmezí 55 – 58 tis. Zde je třeba opět velmi intenzivně zdůraznit, že těchto hodnot lze dosáhnout za předpokladu plné realizace všech záměrů v obytném území. Vyšší uvedená hodnota v sobě zahrnuje plnou realizaci všech podle návrhu uvažovaných rezervních ploch.</w:t>
      </w:r>
    </w:p>
    <w:p w14:paraId="0F3E5F14" w14:textId="77777777" w:rsidR="00CA23D0" w:rsidRPr="00E30642" w:rsidRDefault="00CA23D0" w:rsidP="00CA23D0">
      <w:pPr>
        <w:pStyle w:val="Zkladntext"/>
        <w:spacing w:line="240" w:lineRule="atLeast"/>
        <w:jc w:val="both"/>
        <w:rPr>
          <w:rFonts w:ascii="Arial" w:hAnsi="Arial" w:cs="Arial"/>
        </w:rPr>
      </w:pPr>
    </w:p>
    <w:p w14:paraId="66D236A3" w14:textId="77777777" w:rsidR="00CA23D0" w:rsidRPr="00E30642" w:rsidRDefault="00CA23D0" w:rsidP="00CA23D0">
      <w:pPr>
        <w:pStyle w:val="Zkladntext"/>
        <w:spacing w:line="240" w:lineRule="atLeast"/>
        <w:jc w:val="both"/>
        <w:rPr>
          <w:rFonts w:ascii="Arial" w:hAnsi="Arial" w:cs="Arial"/>
          <w:b/>
          <w:bCs/>
          <w:caps/>
        </w:rPr>
      </w:pPr>
      <w:r w:rsidRPr="00E30642">
        <w:rPr>
          <w:rFonts w:ascii="Arial" w:hAnsi="Arial" w:cs="Arial"/>
          <w:b/>
          <w:bCs/>
          <w:caps/>
        </w:rPr>
        <w:t>Modelové rozložení obyvatelstva ovlivněné předpokladem rozvoje obytného území v návrhovém období i do dalšího výhledu</w:t>
      </w:r>
    </w:p>
    <w:tbl>
      <w:tblPr>
        <w:tblW w:w="0" w:type="auto"/>
        <w:tblInd w:w="8" w:type="dxa"/>
        <w:tblLayout w:type="fixed"/>
        <w:tblCellMar>
          <w:left w:w="5" w:type="dxa"/>
          <w:right w:w="5" w:type="dxa"/>
        </w:tblCellMar>
        <w:tblLook w:val="0000" w:firstRow="0" w:lastRow="0" w:firstColumn="0" w:lastColumn="0" w:noHBand="0" w:noVBand="0"/>
      </w:tblPr>
      <w:tblGrid>
        <w:gridCol w:w="705"/>
        <w:gridCol w:w="2072"/>
        <w:gridCol w:w="960"/>
        <w:gridCol w:w="885"/>
        <w:gridCol w:w="855"/>
        <w:gridCol w:w="844"/>
        <w:gridCol w:w="960"/>
        <w:gridCol w:w="960"/>
      </w:tblGrid>
      <w:tr w:rsidR="00CA23D0" w:rsidRPr="00E30642" w14:paraId="175E60DC" w14:textId="77777777" w:rsidTr="00CA23D0">
        <w:tc>
          <w:tcPr>
            <w:tcW w:w="2777" w:type="dxa"/>
            <w:gridSpan w:val="2"/>
            <w:tcBorders>
              <w:top w:val="single" w:sz="6" w:space="0" w:color="auto"/>
              <w:left w:val="single" w:sz="6" w:space="0" w:color="auto"/>
              <w:bottom w:val="single" w:sz="6" w:space="0" w:color="auto"/>
              <w:right w:val="single" w:sz="6" w:space="0" w:color="auto"/>
            </w:tcBorders>
          </w:tcPr>
          <w:p w14:paraId="29870A25" w14:textId="77777777" w:rsidR="00CA23D0" w:rsidRPr="00E30642" w:rsidRDefault="00CA23D0" w:rsidP="00CA23D0">
            <w:pPr>
              <w:pStyle w:val="Zkladntext"/>
              <w:jc w:val="both"/>
              <w:rPr>
                <w:rFonts w:ascii="Arial" w:hAnsi="Arial" w:cs="Arial"/>
              </w:rPr>
            </w:pPr>
          </w:p>
        </w:tc>
        <w:tc>
          <w:tcPr>
            <w:tcW w:w="960" w:type="dxa"/>
            <w:vMerge w:val="restart"/>
            <w:tcBorders>
              <w:top w:val="single" w:sz="6" w:space="0" w:color="auto"/>
              <w:left w:val="single" w:sz="6" w:space="0" w:color="auto"/>
              <w:right w:val="single" w:sz="6" w:space="0" w:color="auto"/>
            </w:tcBorders>
          </w:tcPr>
          <w:p w14:paraId="3C9CFBBE" w14:textId="77777777" w:rsidR="00CA23D0" w:rsidRPr="00E30642" w:rsidRDefault="00CA23D0" w:rsidP="00CA23D0">
            <w:pPr>
              <w:pStyle w:val="Texttabulky"/>
              <w:jc w:val="both"/>
              <w:rPr>
                <w:rFonts w:cs="Arial"/>
              </w:rPr>
            </w:pPr>
            <w:r w:rsidRPr="00E30642">
              <w:rPr>
                <w:rFonts w:cs="Arial"/>
                <w:b/>
                <w:bCs/>
              </w:rPr>
              <w:t>OB91</w:t>
            </w:r>
          </w:p>
        </w:tc>
        <w:tc>
          <w:tcPr>
            <w:tcW w:w="2584" w:type="dxa"/>
            <w:gridSpan w:val="3"/>
            <w:tcBorders>
              <w:top w:val="single" w:sz="6" w:space="0" w:color="auto"/>
              <w:left w:val="single" w:sz="6" w:space="0" w:color="auto"/>
              <w:bottom w:val="single" w:sz="6" w:space="0" w:color="auto"/>
              <w:right w:val="single" w:sz="6" w:space="0" w:color="auto"/>
            </w:tcBorders>
          </w:tcPr>
          <w:p w14:paraId="6D727ABE" w14:textId="77777777" w:rsidR="00CA23D0" w:rsidRPr="00E30642" w:rsidRDefault="00CA23D0" w:rsidP="00CA23D0">
            <w:pPr>
              <w:pStyle w:val="Zkladntext"/>
              <w:jc w:val="both"/>
              <w:rPr>
                <w:rFonts w:ascii="Arial" w:hAnsi="Arial" w:cs="Arial"/>
              </w:rPr>
            </w:pPr>
            <w:r w:rsidRPr="00E30642">
              <w:rPr>
                <w:rFonts w:ascii="Arial" w:hAnsi="Arial" w:cs="Arial"/>
                <w:b/>
                <w:bCs/>
              </w:rPr>
              <w:t>obyvatel – nové obytné plochy</w:t>
            </w:r>
          </w:p>
        </w:tc>
        <w:tc>
          <w:tcPr>
            <w:tcW w:w="1920" w:type="dxa"/>
            <w:gridSpan w:val="2"/>
            <w:tcBorders>
              <w:top w:val="single" w:sz="6" w:space="0" w:color="auto"/>
              <w:left w:val="single" w:sz="6" w:space="0" w:color="auto"/>
              <w:bottom w:val="single" w:sz="6" w:space="0" w:color="auto"/>
              <w:right w:val="single" w:sz="6" w:space="0" w:color="auto"/>
            </w:tcBorders>
          </w:tcPr>
          <w:p w14:paraId="5BDBB93E" w14:textId="77777777" w:rsidR="00CA23D0" w:rsidRPr="00E30642" w:rsidRDefault="00CA23D0" w:rsidP="00CA23D0">
            <w:pPr>
              <w:pStyle w:val="Zkladntext"/>
              <w:jc w:val="both"/>
              <w:rPr>
                <w:rFonts w:ascii="Arial" w:hAnsi="Arial" w:cs="Arial"/>
              </w:rPr>
            </w:pPr>
            <w:r w:rsidRPr="00E30642">
              <w:rPr>
                <w:rFonts w:ascii="Arial" w:hAnsi="Arial" w:cs="Arial"/>
                <w:b/>
                <w:bCs/>
              </w:rPr>
              <w:t>počet bydlících osob</w:t>
            </w:r>
          </w:p>
        </w:tc>
      </w:tr>
      <w:tr w:rsidR="00CA23D0" w:rsidRPr="00E30642" w14:paraId="1E207885" w14:textId="77777777" w:rsidTr="00CA23D0">
        <w:tc>
          <w:tcPr>
            <w:tcW w:w="705" w:type="dxa"/>
            <w:tcBorders>
              <w:top w:val="single" w:sz="6" w:space="0" w:color="auto"/>
              <w:left w:val="single" w:sz="6" w:space="0" w:color="auto"/>
              <w:bottom w:val="single" w:sz="6" w:space="0" w:color="auto"/>
              <w:right w:val="single" w:sz="6" w:space="0" w:color="auto"/>
            </w:tcBorders>
          </w:tcPr>
          <w:p w14:paraId="1AB68987" w14:textId="77777777" w:rsidR="00CA23D0" w:rsidRPr="00E30642" w:rsidRDefault="00CA23D0" w:rsidP="00CA23D0">
            <w:pPr>
              <w:pStyle w:val="Texttabulky"/>
              <w:spacing w:line="240" w:lineRule="atLeast"/>
              <w:jc w:val="both"/>
              <w:rPr>
                <w:rFonts w:cs="Arial"/>
              </w:rPr>
            </w:pPr>
            <w:r w:rsidRPr="00E30642">
              <w:rPr>
                <w:rFonts w:cs="Arial"/>
                <w:b/>
                <w:bCs/>
              </w:rPr>
              <w:t>poř. č. UO</w:t>
            </w:r>
          </w:p>
        </w:tc>
        <w:tc>
          <w:tcPr>
            <w:tcW w:w="2072" w:type="dxa"/>
            <w:tcBorders>
              <w:top w:val="single" w:sz="6" w:space="0" w:color="auto"/>
              <w:left w:val="single" w:sz="6" w:space="0" w:color="auto"/>
              <w:bottom w:val="single" w:sz="6" w:space="0" w:color="auto"/>
              <w:right w:val="single" w:sz="6" w:space="0" w:color="auto"/>
            </w:tcBorders>
          </w:tcPr>
          <w:p w14:paraId="67C6BCF5" w14:textId="77777777" w:rsidR="00CA23D0" w:rsidRPr="00E30642" w:rsidRDefault="00CA23D0" w:rsidP="00CA23D0">
            <w:pPr>
              <w:pStyle w:val="Texttabulky"/>
              <w:spacing w:line="240" w:lineRule="atLeast"/>
              <w:jc w:val="both"/>
              <w:rPr>
                <w:rFonts w:cs="Arial"/>
              </w:rPr>
            </w:pPr>
            <w:r w:rsidRPr="00E30642">
              <w:rPr>
                <w:rFonts w:cs="Arial"/>
                <w:b/>
                <w:bCs/>
              </w:rPr>
              <w:t>urbanistický obvod</w:t>
            </w:r>
          </w:p>
        </w:tc>
        <w:tc>
          <w:tcPr>
            <w:tcW w:w="960" w:type="dxa"/>
            <w:vMerge/>
            <w:tcBorders>
              <w:left w:val="single" w:sz="6" w:space="0" w:color="auto"/>
              <w:bottom w:val="single" w:sz="6" w:space="0" w:color="auto"/>
              <w:right w:val="single" w:sz="6" w:space="0" w:color="auto"/>
            </w:tcBorders>
          </w:tcPr>
          <w:p w14:paraId="4E4BF6B1" w14:textId="77777777" w:rsidR="00CA23D0" w:rsidRPr="00E30642" w:rsidRDefault="00CA23D0" w:rsidP="00CA23D0">
            <w:pPr>
              <w:pStyle w:val="Zkladntext"/>
              <w:spacing w:line="240" w:lineRule="atLeast"/>
              <w:jc w:val="both"/>
              <w:rPr>
                <w:rFonts w:ascii="Arial" w:hAnsi="Arial" w:cs="Arial"/>
              </w:rPr>
            </w:pPr>
          </w:p>
        </w:tc>
        <w:tc>
          <w:tcPr>
            <w:tcW w:w="885" w:type="dxa"/>
            <w:tcBorders>
              <w:top w:val="single" w:sz="6" w:space="0" w:color="auto"/>
              <w:left w:val="single" w:sz="6" w:space="0" w:color="auto"/>
              <w:bottom w:val="single" w:sz="6" w:space="0" w:color="auto"/>
              <w:right w:val="single" w:sz="6" w:space="0" w:color="auto"/>
            </w:tcBorders>
          </w:tcPr>
          <w:p w14:paraId="5343CF86" w14:textId="77777777" w:rsidR="00CA23D0" w:rsidRPr="00E30642" w:rsidRDefault="00CA23D0" w:rsidP="00CA23D0">
            <w:pPr>
              <w:pStyle w:val="Texttabulky"/>
              <w:spacing w:line="240" w:lineRule="atLeast"/>
              <w:jc w:val="both"/>
              <w:rPr>
                <w:rFonts w:cs="Arial"/>
              </w:rPr>
            </w:pPr>
            <w:r w:rsidRPr="00E30642">
              <w:rPr>
                <w:rFonts w:cs="Arial"/>
                <w:b/>
                <w:bCs/>
              </w:rPr>
              <w:t>OB návrh I</w:t>
            </w:r>
          </w:p>
        </w:tc>
        <w:tc>
          <w:tcPr>
            <w:tcW w:w="855" w:type="dxa"/>
            <w:tcBorders>
              <w:top w:val="single" w:sz="6" w:space="0" w:color="auto"/>
              <w:left w:val="single" w:sz="6" w:space="0" w:color="auto"/>
              <w:bottom w:val="single" w:sz="6" w:space="0" w:color="auto"/>
              <w:right w:val="single" w:sz="6" w:space="0" w:color="auto"/>
            </w:tcBorders>
          </w:tcPr>
          <w:p w14:paraId="6B7D1EBE" w14:textId="77777777" w:rsidR="00CA23D0" w:rsidRPr="00E30642" w:rsidRDefault="00CA23D0" w:rsidP="00CA23D0">
            <w:pPr>
              <w:pStyle w:val="Texttabulky"/>
              <w:spacing w:line="240" w:lineRule="atLeast"/>
              <w:jc w:val="both"/>
              <w:rPr>
                <w:rFonts w:cs="Arial"/>
              </w:rPr>
            </w:pPr>
            <w:r w:rsidRPr="00E30642">
              <w:rPr>
                <w:rFonts w:cs="Arial"/>
                <w:b/>
                <w:bCs/>
              </w:rPr>
              <w:t>OB návrh II</w:t>
            </w:r>
          </w:p>
        </w:tc>
        <w:tc>
          <w:tcPr>
            <w:tcW w:w="844" w:type="dxa"/>
            <w:tcBorders>
              <w:top w:val="single" w:sz="6" w:space="0" w:color="auto"/>
              <w:left w:val="single" w:sz="6" w:space="0" w:color="auto"/>
              <w:bottom w:val="single" w:sz="6" w:space="0" w:color="auto"/>
              <w:right w:val="single" w:sz="6" w:space="0" w:color="auto"/>
            </w:tcBorders>
          </w:tcPr>
          <w:p w14:paraId="3A1161C6" w14:textId="77777777" w:rsidR="00CA23D0" w:rsidRPr="00E30642" w:rsidRDefault="00CA23D0" w:rsidP="00CA23D0">
            <w:pPr>
              <w:pStyle w:val="Texttabulky"/>
              <w:spacing w:line="240" w:lineRule="atLeast"/>
              <w:jc w:val="both"/>
              <w:rPr>
                <w:rFonts w:cs="Arial"/>
              </w:rPr>
            </w:pPr>
            <w:r w:rsidRPr="00E30642">
              <w:rPr>
                <w:rFonts w:cs="Arial"/>
                <w:b/>
                <w:bCs/>
              </w:rPr>
              <w:t>OB rezerva</w:t>
            </w:r>
          </w:p>
        </w:tc>
        <w:tc>
          <w:tcPr>
            <w:tcW w:w="960" w:type="dxa"/>
            <w:tcBorders>
              <w:top w:val="single" w:sz="6" w:space="0" w:color="auto"/>
              <w:left w:val="single" w:sz="6" w:space="0" w:color="auto"/>
              <w:bottom w:val="single" w:sz="6" w:space="0" w:color="auto"/>
              <w:right w:val="single" w:sz="6" w:space="0" w:color="auto"/>
            </w:tcBorders>
          </w:tcPr>
          <w:p w14:paraId="47E0C16B" w14:textId="77777777" w:rsidR="00CA23D0" w:rsidRPr="00E30642" w:rsidRDefault="00CA23D0" w:rsidP="00CA23D0">
            <w:pPr>
              <w:pStyle w:val="Texttabulky"/>
              <w:spacing w:line="240" w:lineRule="atLeast"/>
              <w:jc w:val="both"/>
              <w:rPr>
                <w:rFonts w:cs="Arial"/>
              </w:rPr>
            </w:pPr>
            <w:r w:rsidRPr="00E30642">
              <w:rPr>
                <w:rFonts w:cs="Arial"/>
                <w:b/>
                <w:bCs/>
              </w:rPr>
              <w:t>návrh</w:t>
            </w:r>
          </w:p>
        </w:tc>
        <w:tc>
          <w:tcPr>
            <w:tcW w:w="960" w:type="dxa"/>
            <w:tcBorders>
              <w:top w:val="single" w:sz="6" w:space="0" w:color="auto"/>
              <w:left w:val="single" w:sz="6" w:space="0" w:color="auto"/>
              <w:bottom w:val="single" w:sz="6" w:space="0" w:color="auto"/>
              <w:right w:val="single" w:sz="6" w:space="0" w:color="auto"/>
            </w:tcBorders>
          </w:tcPr>
          <w:p w14:paraId="14691392" w14:textId="77777777" w:rsidR="00CA23D0" w:rsidRPr="00E30642" w:rsidRDefault="00CA23D0" w:rsidP="00CA23D0">
            <w:pPr>
              <w:pStyle w:val="Texttabulky"/>
              <w:spacing w:line="240" w:lineRule="atLeast"/>
              <w:jc w:val="both"/>
              <w:rPr>
                <w:rFonts w:cs="Arial"/>
              </w:rPr>
            </w:pPr>
            <w:r w:rsidRPr="00E30642">
              <w:rPr>
                <w:rFonts w:cs="Arial"/>
                <w:b/>
                <w:bCs/>
              </w:rPr>
              <w:t>návrh+ výhled</w:t>
            </w:r>
          </w:p>
        </w:tc>
      </w:tr>
      <w:tr w:rsidR="00CA23D0" w:rsidRPr="00E30642" w14:paraId="68A5111C" w14:textId="77777777" w:rsidTr="00CA23D0">
        <w:tc>
          <w:tcPr>
            <w:tcW w:w="705" w:type="dxa"/>
            <w:tcBorders>
              <w:top w:val="single" w:sz="6" w:space="0" w:color="auto"/>
              <w:left w:val="single" w:sz="6" w:space="0" w:color="auto"/>
              <w:bottom w:val="single" w:sz="6" w:space="0" w:color="auto"/>
              <w:right w:val="single" w:sz="6" w:space="0" w:color="auto"/>
            </w:tcBorders>
          </w:tcPr>
          <w:p w14:paraId="5EBC4DCC" w14:textId="77777777" w:rsidR="00CA23D0" w:rsidRPr="00E30642" w:rsidRDefault="00CA23D0" w:rsidP="00CA23D0">
            <w:pPr>
              <w:pStyle w:val="Texttabulky"/>
              <w:spacing w:line="240" w:lineRule="atLeast"/>
              <w:jc w:val="both"/>
              <w:rPr>
                <w:rFonts w:cs="Arial"/>
              </w:rPr>
            </w:pPr>
            <w:r w:rsidRPr="00E30642">
              <w:rPr>
                <w:rFonts w:cs="Arial"/>
                <w:b/>
                <w:bCs/>
              </w:rPr>
              <w:t>1</w:t>
            </w:r>
          </w:p>
        </w:tc>
        <w:tc>
          <w:tcPr>
            <w:tcW w:w="2072" w:type="dxa"/>
            <w:tcBorders>
              <w:top w:val="single" w:sz="6" w:space="0" w:color="auto"/>
              <w:left w:val="single" w:sz="6" w:space="0" w:color="auto"/>
              <w:bottom w:val="single" w:sz="6" w:space="0" w:color="auto"/>
              <w:right w:val="single" w:sz="6" w:space="0" w:color="auto"/>
            </w:tcBorders>
          </w:tcPr>
          <w:p w14:paraId="79016FE3" w14:textId="77777777" w:rsidR="00CA23D0" w:rsidRPr="00E30642" w:rsidRDefault="00CA23D0" w:rsidP="00CA23D0">
            <w:pPr>
              <w:pStyle w:val="Texttabulky"/>
              <w:spacing w:line="240" w:lineRule="atLeast"/>
              <w:jc w:val="both"/>
              <w:rPr>
                <w:rFonts w:cs="Arial"/>
              </w:rPr>
            </w:pPr>
            <w:r w:rsidRPr="00E30642">
              <w:rPr>
                <w:rFonts w:cs="Arial"/>
              </w:rPr>
              <w:t>Děčín-střed</w:t>
            </w:r>
          </w:p>
        </w:tc>
        <w:tc>
          <w:tcPr>
            <w:tcW w:w="960" w:type="dxa"/>
            <w:tcBorders>
              <w:top w:val="single" w:sz="6" w:space="0" w:color="auto"/>
              <w:left w:val="single" w:sz="6" w:space="0" w:color="auto"/>
              <w:bottom w:val="single" w:sz="6" w:space="0" w:color="auto"/>
              <w:right w:val="single" w:sz="6" w:space="0" w:color="auto"/>
            </w:tcBorders>
          </w:tcPr>
          <w:p w14:paraId="472E3D11" w14:textId="77777777" w:rsidR="00CA23D0" w:rsidRPr="00E30642" w:rsidRDefault="00CA23D0" w:rsidP="00CA23D0">
            <w:pPr>
              <w:pStyle w:val="Texttabulky"/>
              <w:spacing w:line="240" w:lineRule="atLeast"/>
              <w:jc w:val="both"/>
              <w:rPr>
                <w:rFonts w:cs="Arial"/>
              </w:rPr>
            </w:pPr>
            <w:r w:rsidRPr="00E30642">
              <w:rPr>
                <w:rFonts w:cs="Arial"/>
              </w:rPr>
              <w:t>5 443</w:t>
            </w:r>
          </w:p>
        </w:tc>
        <w:tc>
          <w:tcPr>
            <w:tcW w:w="885" w:type="dxa"/>
            <w:tcBorders>
              <w:top w:val="single" w:sz="6" w:space="0" w:color="auto"/>
              <w:left w:val="single" w:sz="6" w:space="0" w:color="auto"/>
              <w:bottom w:val="single" w:sz="6" w:space="0" w:color="auto"/>
              <w:right w:val="single" w:sz="6" w:space="0" w:color="auto"/>
            </w:tcBorders>
          </w:tcPr>
          <w:p w14:paraId="53E99AB4" w14:textId="77777777" w:rsidR="00CA23D0" w:rsidRPr="00E30642" w:rsidRDefault="00CA23D0" w:rsidP="00CA23D0">
            <w:pPr>
              <w:pStyle w:val="Texttabulky"/>
              <w:spacing w:line="240" w:lineRule="atLeast"/>
              <w:jc w:val="both"/>
              <w:rPr>
                <w:rFonts w:cs="Arial"/>
              </w:rPr>
            </w:pPr>
            <w:r w:rsidRPr="00E30642">
              <w:rPr>
                <w:rFonts w:cs="Arial"/>
              </w:rPr>
              <w:t>260</w:t>
            </w:r>
          </w:p>
        </w:tc>
        <w:tc>
          <w:tcPr>
            <w:tcW w:w="855" w:type="dxa"/>
            <w:tcBorders>
              <w:top w:val="single" w:sz="6" w:space="0" w:color="auto"/>
              <w:left w:val="single" w:sz="6" w:space="0" w:color="auto"/>
              <w:bottom w:val="single" w:sz="6" w:space="0" w:color="auto"/>
              <w:right w:val="single" w:sz="6" w:space="0" w:color="auto"/>
            </w:tcBorders>
          </w:tcPr>
          <w:p w14:paraId="43E0C9F3" w14:textId="77777777" w:rsidR="00CA23D0" w:rsidRPr="00E30642" w:rsidRDefault="00CA23D0" w:rsidP="00CA23D0">
            <w:pPr>
              <w:pStyle w:val="Texttabulky"/>
              <w:spacing w:line="240" w:lineRule="atLeast"/>
              <w:jc w:val="both"/>
              <w:rPr>
                <w:rFonts w:cs="Arial"/>
              </w:rPr>
            </w:pPr>
            <w:r w:rsidRPr="00E30642">
              <w:rPr>
                <w:rFonts w:cs="Arial"/>
              </w:rPr>
              <w:t>135</w:t>
            </w:r>
          </w:p>
        </w:tc>
        <w:tc>
          <w:tcPr>
            <w:tcW w:w="844" w:type="dxa"/>
            <w:tcBorders>
              <w:top w:val="single" w:sz="6" w:space="0" w:color="auto"/>
              <w:left w:val="single" w:sz="6" w:space="0" w:color="auto"/>
              <w:bottom w:val="single" w:sz="6" w:space="0" w:color="auto"/>
              <w:right w:val="single" w:sz="6" w:space="0" w:color="auto"/>
            </w:tcBorders>
          </w:tcPr>
          <w:p w14:paraId="21B051F6" w14:textId="77777777" w:rsidR="00CA23D0" w:rsidRPr="00E30642" w:rsidRDefault="00CA23D0" w:rsidP="00CA23D0">
            <w:pPr>
              <w:pStyle w:val="Texttabulky"/>
              <w:spacing w:line="240" w:lineRule="atLeast"/>
              <w:jc w:val="both"/>
              <w:rPr>
                <w:rFonts w:cs="Arial"/>
              </w:rPr>
            </w:pPr>
            <w:r w:rsidRPr="00E30642">
              <w:rPr>
                <w:rFonts w:cs="Arial"/>
              </w:rPr>
              <w:t>120</w:t>
            </w:r>
          </w:p>
        </w:tc>
        <w:tc>
          <w:tcPr>
            <w:tcW w:w="960" w:type="dxa"/>
            <w:tcBorders>
              <w:top w:val="single" w:sz="6" w:space="0" w:color="auto"/>
              <w:left w:val="single" w:sz="6" w:space="0" w:color="auto"/>
              <w:bottom w:val="single" w:sz="6" w:space="0" w:color="auto"/>
              <w:right w:val="single" w:sz="6" w:space="0" w:color="auto"/>
            </w:tcBorders>
          </w:tcPr>
          <w:p w14:paraId="04450650" w14:textId="77777777" w:rsidR="00CA23D0" w:rsidRPr="00E30642" w:rsidRDefault="00CA23D0" w:rsidP="00CA23D0">
            <w:pPr>
              <w:pStyle w:val="Texttabulky"/>
              <w:spacing w:line="240" w:lineRule="atLeast"/>
              <w:jc w:val="both"/>
              <w:rPr>
                <w:rFonts w:cs="Arial"/>
              </w:rPr>
            </w:pPr>
            <w:r w:rsidRPr="00E30642">
              <w:rPr>
                <w:rFonts w:cs="Arial"/>
              </w:rPr>
              <w:t>5 695</w:t>
            </w:r>
          </w:p>
        </w:tc>
        <w:tc>
          <w:tcPr>
            <w:tcW w:w="960" w:type="dxa"/>
            <w:tcBorders>
              <w:top w:val="single" w:sz="6" w:space="0" w:color="auto"/>
              <w:left w:val="single" w:sz="6" w:space="0" w:color="auto"/>
              <w:bottom w:val="single" w:sz="6" w:space="0" w:color="auto"/>
              <w:right w:val="single" w:sz="6" w:space="0" w:color="auto"/>
            </w:tcBorders>
          </w:tcPr>
          <w:p w14:paraId="670FEA86" w14:textId="77777777" w:rsidR="00CA23D0" w:rsidRPr="00E30642" w:rsidRDefault="00CA23D0" w:rsidP="00CA23D0">
            <w:pPr>
              <w:pStyle w:val="Texttabulky"/>
              <w:spacing w:line="240" w:lineRule="atLeast"/>
              <w:jc w:val="both"/>
              <w:rPr>
                <w:rFonts w:cs="Arial"/>
              </w:rPr>
            </w:pPr>
            <w:r w:rsidRPr="00E30642">
              <w:rPr>
                <w:rFonts w:cs="Arial"/>
              </w:rPr>
              <w:t>5 815</w:t>
            </w:r>
          </w:p>
        </w:tc>
      </w:tr>
      <w:tr w:rsidR="00CA23D0" w:rsidRPr="00E30642" w14:paraId="7DB680B2" w14:textId="77777777" w:rsidTr="00CA23D0">
        <w:tc>
          <w:tcPr>
            <w:tcW w:w="705" w:type="dxa"/>
            <w:tcBorders>
              <w:top w:val="single" w:sz="6" w:space="0" w:color="auto"/>
              <w:left w:val="single" w:sz="6" w:space="0" w:color="auto"/>
              <w:bottom w:val="single" w:sz="6" w:space="0" w:color="auto"/>
              <w:right w:val="single" w:sz="6" w:space="0" w:color="auto"/>
            </w:tcBorders>
          </w:tcPr>
          <w:p w14:paraId="1F8E57BC" w14:textId="77777777" w:rsidR="00CA23D0" w:rsidRPr="00E30642" w:rsidRDefault="00CA23D0" w:rsidP="00CA23D0">
            <w:pPr>
              <w:pStyle w:val="Texttabulky"/>
              <w:spacing w:line="240" w:lineRule="atLeast"/>
              <w:jc w:val="both"/>
              <w:rPr>
                <w:rFonts w:cs="Arial"/>
              </w:rPr>
            </w:pPr>
            <w:r w:rsidRPr="00E30642">
              <w:rPr>
                <w:rFonts w:cs="Arial"/>
                <w:b/>
                <w:bCs/>
              </w:rPr>
              <w:t>2</w:t>
            </w:r>
          </w:p>
        </w:tc>
        <w:tc>
          <w:tcPr>
            <w:tcW w:w="2072" w:type="dxa"/>
            <w:tcBorders>
              <w:top w:val="single" w:sz="6" w:space="0" w:color="auto"/>
              <w:left w:val="single" w:sz="6" w:space="0" w:color="auto"/>
              <w:bottom w:val="single" w:sz="6" w:space="0" w:color="auto"/>
              <w:right w:val="single" w:sz="6" w:space="0" w:color="auto"/>
            </w:tcBorders>
          </w:tcPr>
          <w:p w14:paraId="32C884BD" w14:textId="77777777" w:rsidR="00CA23D0" w:rsidRPr="00E30642" w:rsidRDefault="00CA23D0" w:rsidP="00CA23D0">
            <w:pPr>
              <w:pStyle w:val="Texttabulky"/>
              <w:spacing w:line="240" w:lineRule="atLeast"/>
              <w:jc w:val="both"/>
              <w:rPr>
                <w:rFonts w:cs="Arial"/>
              </w:rPr>
            </w:pPr>
            <w:r w:rsidRPr="00E30642">
              <w:rPr>
                <w:rFonts w:cs="Arial"/>
              </w:rPr>
              <w:t>Přístav</w:t>
            </w:r>
          </w:p>
        </w:tc>
        <w:tc>
          <w:tcPr>
            <w:tcW w:w="960" w:type="dxa"/>
            <w:tcBorders>
              <w:top w:val="single" w:sz="6" w:space="0" w:color="auto"/>
              <w:left w:val="single" w:sz="6" w:space="0" w:color="auto"/>
              <w:bottom w:val="single" w:sz="6" w:space="0" w:color="auto"/>
              <w:right w:val="single" w:sz="6" w:space="0" w:color="auto"/>
            </w:tcBorders>
          </w:tcPr>
          <w:p w14:paraId="51991E67"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7A3023CA"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23D9FC70"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7CB6187F"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70D6A8BC"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76142403"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6A309F12" w14:textId="77777777" w:rsidTr="00CA23D0">
        <w:tc>
          <w:tcPr>
            <w:tcW w:w="705" w:type="dxa"/>
            <w:tcBorders>
              <w:top w:val="single" w:sz="6" w:space="0" w:color="auto"/>
              <w:left w:val="single" w:sz="6" w:space="0" w:color="auto"/>
              <w:bottom w:val="single" w:sz="6" w:space="0" w:color="auto"/>
              <w:right w:val="single" w:sz="6" w:space="0" w:color="auto"/>
            </w:tcBorders>
          </w:tcPr>
          <w:p w14:paraId="5D74255F" w14:textId="77777777" w:rsidR="00CA23D0" w:rsidRPr="00E30642" w:rsidRDefault="00CA23D0" w:rsidP="00CA23D0">
            <w:pPr>
              <w:pStyle w:val="Texttabulky"/>
              <w:spacing w:line="240" w:lineRule="atLeast"/>
              <w:jc w:val="both"/>
              <w:rPr>
                <w:rFonts w:cs="Arial"/>
              </w:rPr>
            </w:pPr>
            <w:r w:rsidRPr="00E30642">
              <w:rPr>
                <w:rFonts w:cs="Arial"/>
                <w:b/>
                <w:bCs/>
              </w:rPr>
              <w:t>3</w:t>
            </w:r>
          </w:p>
        </w:tc>
        <w:tc>
          <w:tcPr>
            <w:tcW w:w="2072" w:type="dxa"/>
            <w:tcBorders>
              <w:top w:val="single" w:sz="6" w:space="0" w:color="auto"/>
              <w:left w:val="single" w:sz="6" w:space="0" w:color="auto"/>
              <w:bottom w:val="single" w:sz="6" w:space="0" w:color="auto"/>
              <w:right w:val="single" w:sz="6" w:space="0" w:color="auto"/>
            </w:tcBorders>
          </w:tcPr>
          <w:p w14:paraId="4BCA9F54" w14:textId="77777777" w:rsidR="00CA23D0" w:rsidRPr="00E30642" w:rsidRDefault="00CA23D0" w:rsidP="00CA23D0">
            <w:pPr>
              <w:pStyle w:val="Texttabulky"/>
              <w:spacing w:line="240" w:lineRule="atLeast"/>
              <w:jc w:val="both"/>
              <w:rPr>
                <w:rFonts w:cs="Arial"/>
              </w:rPr>
            </w:pPr>
            <w:r w:rsidRPr="00E30642">
              <w:rPr>
                <w:rFonts w:cs="Arial"/>
              </w:rPr>
              <w:t>Děčínská výšina</w:t>
            </w:r>
          </w:p>
        </w:tc>
        <w:tc>
          <w:tcPr>
            <w:tcW w:w="960" w:type="dxa"/>
            <w:tcBorders>
              <w:top w:val="single" w:sz="6" w:space="0" w:color="auto"/>
              <w:left w:val="single" w:sz="6" w:space="0" w:color="auto"/>
              <w:bottom w:val="single" w:sz="6" w:space="0" w:color="auto"/>
              <w:right w:val="single" w:sz="6" w:space="0" w:color="auto"/>
            </w:tcBorders>
          </w:tcPr>
          <w:p w14:paraId="374F2FFC"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73F0A18C"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7172713E"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4E6F3B41"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1C40FD77"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04487156"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04C5BFCA" w14:textId="77777777" w:rsidTr="00CA23D0">
        <w:tc>
          <w:tcPr>
            <w:tcW w:w="705" w:type="dxa"/>
            <w:tcBorders>
              <w:top w:val="single" w:sz="6" w:space="0" w:color="auto"/>
              <w:left w:val="single" w:sz="6" w:space="0" w:color="auto"/>
              <w:bottom w:val="single" w:sz="6" w:space="0" w:color="auto"/>
              <w:right w:val="single" w:sz="6" w:space="0" w:color="auto"/>
            </w:tcBorders>
          </w:tcPr>
          <w:p w14:paraId="66536388" w14:textId="77777777" w:rsidR="00CA23D0" w:rsidRPr="00E30642" w:rsidRDefault="00CA23D0" w:rsidP="00CA23D0">
            <w:pPr>
              <w:pStyle w:val="Texttabulky"/>
              <w:spacing w:line="240" w:lineRule="atLeast"/>
              <w:jc w:val="both"/>
              <w:rPr>
                <w:rFonts w:cs="Arial"/>
              </w:rPr>
            </w:pPr>
            <w:r w:rsidRPr="00E30642">
              <w:rPr>
                <w:rFonts w:cs="Arial"/>
                <w:b/>
                <w:bCs/>
              </w:rPr>
              <w:t>4</w:t>
            </w:r>
          </w:p>
        </w:tc>
        <w:tc>
          <w:tcPr>
            <w:tcW w:w="2072" w:type="dxa"/>
            <w:tcBorders>
              <w:top w:val="single" w:sz="6" w:space="0" w:color="auto"/>
              <w:left w:val="single" w:sz="6" w:space="0" w:color="auto"/>
              <w:bottom w:val="single" w:sz="6" w:space="0" w:color="auto"/>
              <w:right w:val="single" w:sz="6" w:space="0" w:color="auto"/>
            </w:tcBorders>
          </w:tcPr>
          <w:p w14:paraId="281E4B20" w14:textId="77777777" w:rsidR="00CA23D0" w:rsidRPr="00E30642" w:rsidRDefault="00CA23D0" w:rsidP="00CA23D0">
            <w:pPr>
              <w:pStyle w:val="Texttabulky"/>
              <w:spacing w:line="240" w:lineRule="atLeast"/>
              <w:jc w:val="both"/>
              <w:rPr>
                <w:rFonts w:cs="Arial"/>
              </w:rPr>
            </w:pPr>
            <w:r w:rsidRPr="00E30642">
              <w:rPr>
                <w:rFonts w:cs="Arial"/>
              </w:rPr>
              <w:t>Nemocnice</w:t>
            </w:r>
          </w:p>
        </w:tc>
        <w:tc>
          <w:tcPr>
            <w:tcW w:w="960" w:type="dxa"/>
            <w:tcBorders>
              <w:top w:val="single" w:sz="6" w:space="0" w:color="auto"/>
              <w:left w:val="single" w:sz="6" w:space="0" w:color="auto"/>
              <w:bottom w:val="single" w:sz="6" w:space="0" w:color="auto"/>
              <w:right w:val="single" w:sz="6" w:space="0" w:color="auto"/>
            </w:tcBorders>
          </w:tcPr>
          <w:p w14:paraId="2D34C1A0"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5BF4D70A" w14:textId="77777777" w:rsidR="00CA23D0" w:rsidRPr="00E30642" w:rsidRDefault="00CA23D0" w:rsidP="00CA23D0">
            <w:pPr>
              <w:pStyle w:val="Texttabulky"/>
              <w:spacing w:line="240" w:lineRule="atLeast"/>
              <w:jc w:val="both"/>
              <w:rPr>
                <w:rFonts w:cs="Arial"/>
              </w:rPr>
            </w:pPr>
            <w:r w:rsidRPr="00E30642">
              <w:rPr>
                <w:rFonts w:cs="Arial"/>
              </w:rPr>
              <w:t>355</w:t>
            </w:r>
          </w:p>
        </w:tc>
        <w:tc>
          <w:tcPr>
            <w:tcW w:w="855" w:type="dxa"/>
            <w:tcBorders>
              <w:top w:val="single" w:sz="6" w:space="0" w:color="auto"/>
              <w:left w:val="single" w:sz="6" w:space="0" w:color="auto"/>
              <w:bottom w:val="single" w:sz="6" w:space="0" w:color="auto"/>
              <w:right w:val="single" w:sz="6" w:space="0" w:color="auto"/>
            </w:tcBorders>
          </w:tcPr>
          <w:p w14:paraId="5AEA7226"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6F29FBA3"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38A78245" w14:textId="77777777" w:rsidR="00CA23D0" w:rsidRPr="00E30642" w:rsidRDefault="00CA23D0" w:rsidP="00CA23D0">
            <w:pPr>
              <w:pStyle w:val="Texttabulky"/>
              <w:spacing w:line="240" w:lineRule="atLeast"/>
              <w:jc w:val="both"/>
              <w:rPr>
                <w:rFonts w:cs="Arial"/>
              </w:rPr>
            </w:pPr>
            <w:r w:rsidRPr="00E30642">
              <w:rPr>
                <w:rFonts w:cs="Arial"/>
              </w:rPr>
              <w:t>355</w:t>
            </w:r>
          </w:p>
        </w:tc>
        <w:tc>
          <w:tcPr>
            <w:tcW w:w="960" w:type="dxa"/>
            <w:tcBorders>
              <w:top w:val="single" w:sz="6" w:space="0" w:color="auto"/>
              <w:left w:val="single" w:sz="6" w:space="0" w:color="auto"/>
              <w:bottom w:val="single" w:sz="6" w:space="0" w:color="auto"/>
              <w:right w:val="single" w:sz="6" w:space="0" w:color="auto"/>
            </w:tcBorders>
          </w:tcPr>
          <w:p w14:paraId="0D3D53D5" w14:textId="77777777" w:rsidR="00CA23D0" w:rsidRPr="00E30642" w:rsidRDefault="00CA23D0" w:rsidP="00CA23D0">
            <w:pPr>
              <w:pStyle w:val="Texttabulky"/>
              <w:spacing w:line="240" w:lineRule="atLeast"/>
              <w:jc w:val="both"/>
              <w:rPr>
                <w:rFonts w:cs="Arial"/>
              </w:rPr>
            </w:pPr>
            <w:r w:rsidRPr="00E30642">
              <w:rPr>
                <w:rFonts w:cs="Arial"/>
              </w:rPr>
              <w:t>355</w:t>
            </w:r>
          </w:p>
        </w:tc>
      </w:tr>
      <w:tr w:rsidR="00CA23D0" w:rsidRPr="00E30642" w14:paraId="3F47461A" w14:textId="77777777" w:rsidTr="00CA23D0">
        <w:tc>
          <w:tcPr>
            <w:tcW w:w="705" w:type="dxa"/>
            <w:tcBorders>
              <w:top w:val="single" w:sz="6" w:space="0" w:color="auto"/>
              <w:left w:val="single" w:sz="6" w:space="0" w:color="auto"/>
              <w:bottom w:val="single" w:sz="6" w:space="0" w:color="auto"/>
              <w:right w:val="single" w:sz="6" w:space="0" w:color="auto"/>
            </w:tcBorders>
          </w:tcPr>
          <w:p w14:paraId="315B5EB5" w14:textId="77777777" w:rsidR="00CA23D0" w:rsidRPr="00E30642" w:rsidRDefault="00CA23D0" w:rsidP="00CA23D0">
            <w:pPr>
              <w:pStyle w:val="Texttabulky"/>
              <w:spacing w:line="240" w:lineRule="atLeast"/>
              <w:jc w:val="both"/>
              <w:rPr>
                <w:rFonts w:cs="Arial"/>
              </w:rPr>
            </w:pPr>
            <w:r w:rsidRPr="00E30642">
              <w:rPr>
                <w:rFonts w:cs="Arial"/>
                <w:b/>
                <w:bCs/>
              </w:rPr>
              <w:t>5</w:t>
            </w:r>
          </w:p>
        </w:tc>
        <w:tc>
          <w:tcPr>
            <w:tcW w:w="2072" w:type="dxa"/>
            <w:tcBorders>
              <w:top w:val="single" w:sz="6" w:space="0" w:color="auto"/>
              <w:left w:val="single" w:sz="6" w:space="0" w:color="auto"/>
              <w:bottom w:val="single" w:sz="6" w:space="0" w:color="auto"/>
              <w:right w:val="single" w:sz="6" w:space="0" w:color="auto"/>
            </w:tcBorders>
          </w:tcPr>
          <w:p w14:paraId="194D13AF" w14:textId="77777777" w:rsidR="00CA23D0" w:rsidRPr="00E30642" w:rsidRDefault="00CA23D0" w:rsidP="00CA23D0">
            <w:pPr>
              <w:pStyle w:val="Texttabulky"/>
              <w:spacing w:line="240" w:lineRule="atLeast"/>
              <w:jc w:val="both"/>
              <w:rPr>
                <w:rFonts w:cs="Arial"/>
              </w:rPr>
            </w:pPr>
            <w:r w:rsidRPr="00E30642">
              <w:rPr>
                <w:rFonts w:cs="Arial"/>
              </w:rPr>
              <w:t>Kamenická</w:t>
            </w:r>
          </w:p>
        </w:tc>
        <w:tc>
          <w:tcPr>
            <w:tcW w:w="960" w:type="dxa"/>
            <w:tcBorders>
              <w:top w:val="single" w:sz="6" w:space="0" w:color="auto"/>
              <w:left w:val="single" w:sz="6" w:space="0" w:color="auto"/>
              <w:bottom w:val="single" w:sz="6" w:space="0" w:color="auto"/>
              <w:right w:val="single" w:sz="6" w:space="0" w:color="auto"/>
            </w:tcBorders>
          </w:tcPr>
          <w:p w14:paraId="3CF8D074" w14:textId="77777777" w:rsidR="00CA23D0" w:rsidRPr="00E30642" w:rsidRDefault="00CA23D0" w:rsidP="00CA23D0">
            <w:pPr>
              <w:pStyle w:val="Texttabulky"/>
              <w:spacing w:line="240" w:lineRule="atLeast"/>
              <w:jc w:val="both"/>
              <w:rPr>
                <w:rFonts w:cs="Arial"/>
              </w:rPr>
            </w:pPr>
            <w:r w:rsidRPr="00E30642">
              <w:rPr>
                <w:rFonts w:cs="Arial"/>
              </w:rPr>
              <w:t>3 215</w:t>
            </w:r>
          </w:p>
        </w:tc>
        <w:tc>
          <w:tcPr>
            <w:tcW w:w="885" w:type="dxa"/>
            <w:tcBorders>
              <w:top w:val="single" w:sz="6" w:space="0" w:color="auto"/>
              <w:left w:val="single" w:sz="6" w:space="0" w:color="auto"/>
              <w:bottom w:val="single" w:sz="6" w:space="0" w:color="auto"/>
              <w:right w:val="single" w:sz="6" w:space="0" w:color="auto"/>
            </w:tcBorders>
          </w:tcPr>
          <w:p w14:paraId="3061CE9A"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333FC955"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311B7E1F" w14:textId="77777777" w:rsidR="00CA23D0" w:rsidRPr="00E30642" w:rsidRDefault="00CA23D0" w:rsidP="00CA23D0">
            <w:pPr>
              <w:pStyle w:val="Texttabulky"/>
              <w:spacing w:line="240" w:lineRule="atLeast"/>
              <w:jc w:val="both"/>
              <w:rPr>
                <w:rFonts w:cs="Arial"/>
              </w:rPr>
            </w:pPr>
            <w:r w:rsidRPr="00E30642">
              <w:rPr>
                <w:rFonts w:cs="Arial"/>
              </w:rPr>
              <w:t>210</w:t>
            </w:r>
          </w:p>
        </w:tc>
        <w:tc>
          <w:tcPr>
            <w:tcW w:w="960" w:type="dxa"/>
            <w:tcBorders>
              <w:top w:val="single" w:sz="6" w:space="0" w:color="auto"/>
              <w:left w:val="single" w:sz="6" w:space="0" w:color="auto"/>
              <w:bottom w:val="single" w:sz="6" w:space="0" w:color="auto"/>
              <w:right w:val="single" w:sz="6" w:space="0" w:color="auto"/>
            </w:tcBorders>
          </w:tcPr>
          <w:p w14:paraId="06C2469A" w14:textId="77777777" w:rsidR="00CA23D0" w:rsidRPr="00E30642" w:rsidRDefault="00CA23D0" w:rsidP="00CA23D0">
            <w:pPr>
              <w:pStyle w:val="Texttabulky"/>
              <w:spacing w:line="240" w:lineRule="atLeast"/>
              <w:jc w:val="both"/>
              <w:rPr>
                <w:rFonts w:cs="Arial"/>
              </w:rPr>
            </w:pPr>
            <w:r w:rsidRPr="00E30642">
              <w:rPr>
                <w:rFonts w:cs="Arial"/>
              </w:rPr>
              <w:t>3 000</w:t>
            </w:r>
          </w:p>
        </w:tc>
        <w:tc>
          <w:tcPr>
            <w:tcW w:w="960" w:type="dxa"/>
            <w:tcBorders>
              <w:top w:val="single" w:sz="6" w:space="0" w:color="auto"/>
              <w:left w:val="single" w:sz="6" w:space="0" w:color="auto"/>
              <w:bottom w:val="single" w:sz="6" w:space="0" w:color="auto"/>
              <w:right w:val="single" w:sz="6" w:space="0" w:color="auto"/>
            </w:tcBorders>
          </w:tcPr>
          <w:p w14:paraId="661B4587" w14:textId="77777777" w:rsidR="00CA23D0" w:rsidRPr="00E30642" w:rsidRDefault="00CA23D0" w:rsidP="00CA23D0">
            <w:pPr>
              <w:pStyle w:val="Texttabulky"/>
              <w:spacing w:line="240" w:lineRule="atLeast"/>
              <w:jc w:val="both"/>
              <w:rPr>
                <w:rFonts w:cs="Arial"/>
              </w:rPr>
            </w:pPr>
            <w:r w:rsidRPr="00E30642">
              <w:rPr>
                <w:rFonts w:cs="Arial"/>
              </w:rPr>
              <w:t>3 210</w:t>
            </w:r>
          </w:p>
        </w:tc>
      </w:tr>
      <w:tr w:rsidR="00CA23D0" w:rsidRPr="00E30642" w14:paraId="68D46828" w14:textId="77777777" w:rsidTr="00CA23D0">
        <w:tc>
          <w:tcPr>
            <w:tcW w:w="705" w:type="dxa"/>
            <w:tcBorders>
              <w:top w:val="single" w:sz="6" w:space="0" w:color="auto"/>
              <w:left w:val="single" w:sz="6" w:space="0" w:color="auto"/>
              <w:bottom w:val="single" w:sz="6" w:space="0" w:color="auto"/>
              <w:right w:val="single" w:sz="6" w:space="0" w:color="auto"/>
            </w:tcBorders>
          </w:tcPr>
          <w:p w14:paraId="2C59292A" w14:textId="77777777" w:rsidR="00CA23D0" w:rsidRPr="00E30642" w:rsidRDefault="00CA23D0" w:rsidP="00CA23D0">
            <w:pPr>
              <w:pStyle w:val="Texttabulky"/>
              <w:spacing w:line="240" w:lineRule="atLeast"/>
              <w:jc w:val="both"/>
              <w:rPr>
                <w:rFonts w:cs="Arial"/>
              </w:rPr>
            </w:pPr>
            <w:r w:rsidRPr="00E30642">
              <w:rPr>
                <w:rFonts w:cs="Arial"/>
                <w:b/>
                <w:bCs/>
              </w:rPr>
              <w:t>6</w:t>
            </w:r>
          </w:p>
        </w:tc>
        <w:tc>
          <w:tcPr>
            <w:tcW w:w="2072" w:type="dxa"/>
            <w:tcBorders>
              <w:top w:val="single" w:sz="6" w:space="0" w:color="auto"/>
              <w:left w:val="single" w:sz="6" w:space="0" w:color="auto"/>
              <w:bottom w:val="single" w:sz="6" w:space="0" w:color="auto"/>
              <w:right w:val="single" w:sz="6" w:space="0" w:color="auto"/>
            </w:tcBorders>
          </w:tcPr>
          <w:p w14:paraId="738D024D" w14:textId="77777777" w:rsidR="00CA23D0" w:rsidRPr="00E30642" w:rsidRDefault="00CA23D0" w:rsidP="00CA23D0">
            <w:pPr>
              <w:pStyle w:val="Texttabulky"/>
              <w:spacing w:line="240" w:lineRule="atLeast"/>
              <w:jc w:val="both"/>
              <w:rPr>
                <w:rFonts w:cs="Arial"/>
              </w:rPr>
            </w:pPr>
            <w:r w:rsidRPr="00E30642">
              <w:rPr>
                <w:rFonts w:cs="Arial"/>
              </w:rPr>
              <w:t>U nemocnice</w:t>
            </w:r>
          </w:p>
        </w:tc>
        <w:tc>
          <w:tcPr>
            <w:tcW w:w="960" w:type="dxa"/>
            <w:tcBorders>
              <w:top w:val="single" w:sz="6" w:space="0" w:color="auto"/>
              <w:left w:val="single" w:sz="6" w:space="0" w:color="auto"/>
              <w:bottom w:val="single" w:sz="6" w:space="0" w:color="auto"/>
              <w:right w:val="single" w:sz="6" w:space="0" w:color="auto"/>
            </w:tcBorders>
          </w:tcPr>
          <w:p w14:paraId="039E4035" w14:textId="77777777" w:rsidR="00CA23D0" w:rsidRPr="00E30642" w:rsidRDefault="00CA23D0" w:rsidP="00CA23D0">
            <w:pPr>
              <w:pStyle w:val="Texttabulky"/>
              <w:spacing w:line="240" w:lineRule="atLeast"/>
              <w:jc w:val="both"/>
              <w:rPr>
                <w:rFonts w:cs="Arial"/>
              </w:rPr>
            </w:pPr>
            <w:r w:rsidRPr="00E30642">
              <w:rPr>
                <w:rFonts w:cs="Arial"/>
              </w:rPr>
              <w:t>3 106</w:t>
            </w:r>
          </w:p>
        </w:tc>
        <w:tc>
          <w:tcPr>
            <w:tcW w:w="885" w:type="dxa"/>
            <w:tcBorders>
              <w:top w:val="single" w:sz="6" w:space="0" w:color="auto"/>
              <w:left w:val="single" w:sz="6" w:space="0" w:color="auto"/>
              <w:bottom w:val="single" w:sz="6" w:space="0" w:color="auto"/>
              <w:right w:val="single" w:sz="6" w:space="0" w:color="auto"/>
            </w:tcBorders>
          </w:tcPr>
          <w:p w14:paraId="6911EB05"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6F7220BD"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085EF184"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3D641C5C" w14:textId="77777777" w:rsidR="00CA23D0" w:rsidRPr="00E30642" w:rsidRDefault="00CA23D0" w:rsidP="00CA23D0">
            <w:pPr>
              <w:pStyle w:val="Texttabulky"/>
              <w:spacing w:line="240" w:lineRule="atLeast"/>
              <w:jc w:val="both"/>
              <w:rPr>
                <w:rFonts w:cs="Arial"/>
              </w:rPr>
            </w:pPr>
            <w:r w:rsidRPr="00E30642">
              <w:rPr>
                <w:rFonts w:cs="Arial"/>
              </w:rPr>
              <w:t>3 000</w:t>
            </w:r>
          </w:p>
        </w:tc>
        <w:tc>
          <w:tcPr>
            <w:tcW w:w="960" w:type="dxa"/>
            <w:tcBorders>
              <w:top w:val="single" w:sz="6" w:space="0" w:color="auto"/>
              <w:left w:val="single" w:sz="6" w:space="0" w:color="auto"/>
              <w:bottom w:val="single" w:sz="6" w:space="0" w:color="auto"/>
              <w:right w:val="single" w:sz="6" w:space="0" w:color="auto"/>
            </w:tcBorders>
          </w:tcPr>
          <w:p w14:paraId="44A0D33B" w14:textId="77777777" w:rsidR="00CA23D0" w:rsidRPr="00E30642" w:rsidRDefault="00CA23D0" w:rsidP="00CA23D0">
            <w:pPr>
              <w:pStyle w:val="Texttabulky"/>
              <w:spacing w:line="240" w:lineRule="atLeast"/>
              <w:jc w:val="both"/>
              <w:rPr>
                <w:rFonts w:cs="Arial"/>
              </w:rPr>
            </w:pPr>
            <w:r w:rsidRPr="00E30642">
              <w:rPr>
                <w:rFonts w:cs="Arial"/>
              </w:rPr>
              <w:t>3 000</w:t>
            </w:r>
          </w:p>
        </w:tc>
      </w:tr>
      <w:tr w:rsidR="00CA23D0" w:rsidRPr="00E30642" w14:paraId="39BE6AA5" w14:textId="77777777" w:rsidTr="00CA23D0">
        <w:tc>
          <w:tcPr>
            <w:tcW w:w="705" w:type="dxa"/>
            <w:tcBorders>
              <w:top w:val="single" w:sz="6" w:space="0" w:color="auto"/>
              <w:left w:val="single" w:sz="6" w:space="0" w:color="auto"/>
              <w:bottom w:val="single" w:sz="6" w:space="0" w:color="auto"/>
              <w:right w:val="single" w:sz="6" w:space="0" w:color="auto"/>
            </w:tcBorders>
          </w:tcPr>
          <w:p w14:paraId="37ACABAF" w14:textId="77777777" w:rsidR="00CA23D0" w:rsidRPr="00E30642" w:rsidRDefault="00CA23D0" w:rsidP="00CA23D0">
            <w:pPr>
              <w:pStyle w:val="Texttabulky"/>
              <w:spacing w:line="240" w:lineRule="atLeast"/>
              <w:jc w:val="both"/>
              <w:rPr>
                <w:rFonts w:cs="Arial"/>
              </w:rPr>
            </w:pPr>
            <w:r w:rsidRPr="00E30642">
              <w:rPr>
                <w:rFonts w:cs="Arial"/>
                <w:b/>
                <w:bCs/>
              </w:rPr>
              <w:t>7</w:t>
            </w:r>
          </w:p>
        </w:tc>
        <w:tc>
          <w:tcPr>
            <w:tcW w:w="2072" w:type="dxa"/>
            <w:tcBorders>
              <w:top w:val="single" w:sz="6" w:space="0" w:color="auto"/>
              <w:left w:val="single" w:sz="6" w:space="0" w:color="auto"/>
              <w:bottom w:val="single" w:sz="6" w:space="0" w:color="auto"/>
              <w:right w:val="single" w:sz="6" w:space="0" w:color="auto"/>
            </w:tcBorders>
          </w:tcPr>
          <w:p w14:paraId="76433AA7" w14:textId="77777777" w:rsidR="00CA23D0" w:rsidRPr="00E30642" w:rsidRDefault="00CA23D0" w:rsidP="00CA23D0">
            <w:pPr>
              <w:pStyle w:val="Texttabulky"/>
              <w:spacing w:line="240" w:lineRule="atLeast"/>
              <w:jc w:val="both"/>
              <w:rPr>
                <w:rFonts w:cs="Arial"/>
              </w:rPr>
            </w:pPr>
            <w:r w:rsidRPr="00E30642">
              <w:rPr>
                <w:rFonts w:cs="Arial"/>
              </w:rPr>
              <w:t>Nad Slovankou</w:t>
            </w:r>
          </w:p>
        </w:tc>
        <w:tc>
          <w:tcPr>
            <w:tcW w:w="960" w:type="dxa"/>
            <w:tcBorders>
              <w:top w:val="single" w:sz="6" w:space="0" w:color="auto"/>
              <w:left w:val="single" w:sz="6" w:space="0" w:color="auto"/>
              <w:bottom w:val="single" w:sz="6" w:space="0" w:color="auto"/>
              <w:right w:val="single" w:sz="6" w:space="0" w:color="auto"/>
            </w:tcBorders>
          </w:tcPr>
          <w:p w14:paraId="0C2E0FF5" w14:textId="77777777" w:rsidR="00CA23D0" w:rsidRPr="00E30642" w:rsidRDefault="00CA23D0" w:rsidP="00CA23D0">
            <w:pPr>
              <w:pStyle w:val="Texttabulky"/>
              <w:spacing w:line="240" w:lineRule="atLeast"/>
              <w:jc w:val="both"/>
              <w:rPr>
                <w:rFonts w:cs="Arial"/>
              </w:rPr>
            </w:pPr>
            <w:r w:rsidRPr="00E30642">
              <w:rPr>
                <w:rFonts w:cs="Arial"/>
              </w:rPr>
              <w:t>10</w:t>
            </w:r>
          </w:p>
        </w:tc>
        <w:tc>
          <w:tcPr>
            <w:tcW w:w="885" w:type="dxa"/>
            <w:tcBorders>
              <w:top w:val="single" w:sz="6" w:space="0" w:color="auto"/>
              <w:left w:val="single" w:sz="6" w:space="0" w:color="auto"/>
              <w:bottom w:val="single" w:sz="6" w:space="0" w:color="auto"/>
              <w:right w:val="single" w:sz="6" w:space="0" w:color="auto"/>
            </w:tcBorders>
          </w:tcPr>
          <w:p w14:paraId="5E26E412"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15087DFA" w14:textId="77777777" w:rsidR="00CA23D0" w:rsidRPr="00E30642" w:rsidRDefault="00CA23D0" w:rsidP="00CA23D0">
            <w:pPr>
              <w:pStyle w:val="Texttabulky"/>
              <w:spacing w:line="240" w:lineRule="atLeast"/>
              <w:jc w:val="both"/>
              <w:rPr>
                <w:rFonts w:cs="Arial"/>
              </w:rPr>
            </w:pPr>
            <w:r w:rsidRPr="00E30642">
              <w:rPr>
                <w:rFonts w:cs="Arial"/>
              </w:rPr>
              <w:t>160</w:t>
            </w:r>
          </w:p>
        </w:tc>
        <w:tc>
          <w:tcPr>
            <w:tcW w:w="844" w:type="dxa"/>
            <w:tcBorders>
              <w:top w:val="single" w:sz="6" w:space="0" w:color="auto"/>
              <w:left w:val="single" w:sz="6" w:space="0" w:color="auto"/>
              <w:bottom w:val="single" w:sz="6" w:space="0" w:color="auto"/>
              <w:right w:val="single" w:sz="6" w:space="0" w:color="auto"/>
            </w:tcBorders>
          </w:tcPr>
          <w:p w14:paraId="01D5A7D5"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7C9438D8" w14:textId="77777777" w:rsidR="00CA23D0" w:rsidRPr="00E30642" w:rsidRDefault="00CA23D0" w:rsidP="00CA23D0">
            <w:pPr>
              <w:pStyle w:val="Texttabulky"/>
              <w:spacing w:line="240" w:lineRule="atLeast"/>
              <w:jc w:val="both"/>
              <w:rPr>
                <w:rFonts w:cs="Arial"/>
              </w:rPr>
            </w:pPr>
            <w:r w:rsidRPr="00E30642">
              <w:rPr>
                <w:rFonts w:cs="Arial"/>
              </w:rPr>
              <w:t>170</w:t>
            </w:r>
          </w:p>
        </w:tc>
        <w:tc>
          <w:tcPr>
            <w:tcW w:w="960" w:type="dxa"/>
            <w:tcBorders>
              <w:top w:val="single" w:sz="6" w:space="0" w:color="auto"/>
              <w:left w:val="single" w:sz="6" w:space="0" w:color="auto"/>
              <w:bottom w:val="single" w:sz="6" w:space="0" w:color="auto"/>
              <w:right w:val="single" w:sz="6" w:space="0" w:color="auto"/>
            </w:tcBorders>
          </w:tcPr>
          <w:p w14:paraId="5D55A597" w14:textId="77777777" w:rsidR="00CA23D0" w:rsidRPr="00E30642" w:rsidRDefault="00CA23D0" w:rsidP="00CA23D0">
            <w:pPr>
              <w:pStyle w:val="Texttabulky"/>
              <w:spacing w:line="240" w:lineRule="atLeast"/>
              <w:jc w:val="both"/>
              <w:rPr>
                <w:rFonts w:cs="Arial"/>
              </w:rPr>
            </w:pPr>
            <w:r w:rsidRPr="00E30642">
              <w:rPr>
                <w:rFonts w:cs="Arial"/>
              </w:rPr>
              <w:t>170</w:t>
            </w:r>
          </w:p>
        </w:tc>
      </w:tr>
      <w:tr w:rsidR="00CA23D0" w:rsidRPr="00E30642" w14:paraId="022B6BF0" w14:textId="77777777" w:rsidTr="00CA23D0">
        <w:tc>
          <w:tcPr>
            <w:tcW w:w="705" w:type="dxa"/>
            <w:tcBorders>
              <w:top w:val="single" w:sz="6" w:space="0" w:color="auto"/>
              <w:left w:val="single" w:sz="6" w:space="0" w:color="auto"/>
              <w:bottom w:val="single" w:sz="6" w:space="0" w:color="auto"/>
              <w:right w:val="single" w:sz="6" w:space="0" w:color="auto"/>
            </w:tcBorders>
          </w:tcPr>
          <w:p w14:paraId="590E1F25" w14:textId="77777777" w:rsidR="00CA23D0" w:rsidRPr="00E30642" w:rsidRDefault="00CA23D0" w:rsidP="00CA23D0">
            <w:pPr>
              <w:pStyle w:val="Texttabulky"/>
              <w:spacing w:line="240" w:lineRule="atLeast"/>
              <w:jc w:val="both"/>
              <w:rPr>
                <w:rFonts w:cs="Arial"/>
              </w:rPr>
            </w:pPr>
            <w:r w:rsidRPr="00E30642">
              <w:rPr>
                <w:rFonts w:cs="Arial"/>
                <w:b/>
                <w:bCs/>
              </w:rPr>
              <w:t>8</w:t>
            </w:r>
          </w:p>
        </w:tc>
        <w:tc>
          <w:tcPr>
            <w:tcW w:w="2072" w:type="dxa"/>
            <w:tcBorders>
              <w:top w:val="single" w:sz="6" w:space="0" w:color="auto"/>
              <w:left w:val="single" w:sz="6" w:space="0" w:color="auto"/>
              <w:bottom w:val="single" w:sz="6" w:space="0" w:color="auto"/>
              <w:right w:val="single" w:sz="6" w:space="0" w:color="auto"/>
            </w:tcBorders>
          </w:tcPr>
          <w:p w14:paraId="0DCDBB2A" w14:textId="77777777" w:rsidR="00CA23D0" w:rsidRPr="00E30642" w:rsidRDefault="00CA23D0" w:rsidP="00CA23D0">
            <w:pPr>
              <w:pStyle w:val="Texttabulky"/>
              <w:spacing w:line="240" w:lineRule="atLeast"/>
              <w:jc w:val="both"/>
              <w:rPr>
                <w:rFonts w:cs="Arial"/>
              </w:rPr>
            </w:pPr>
            <w:r w:rsidRPr="00E30642">
              <w:rPr>
                <w:rFonts w:cs="Arial"/>
              </w:rPr>
              <w:t>U cihelny</w:t>
            </w:r>
          </w:p>
        </w:tc>
        <w:tc>
          <w:tcPr>
            <w:tcW w:w="960" w:type="dxa"/>
            <w:tcBorders>
              <w:top w:val="single" w:sz="6" w:space="0" w:color="auto"/>
              <w:left w:val="single" w:sz="6" w:space="0" w:color="auto"/>
              <w:bottom w:val="single" w:sz="6" w:space="0" w:color="auto"/>
              <w:right w:val="single" w:sz="6" w:space="0" w:color="auto"/>
            </w:tcBorders>
          </w:tcPr>
          <w:p w14:paraId="2892033D" w14:textId="77777777" w:rsidR="00CA23D0" w:rsidRPr="00E30642" w:rsidRDefault="00CA23D0" w:rsidP="00CA23D0">
            <w:pPr>
              <w:pStyle w:val="Texttabulky"/>
              <w:spacing w:line="240" w:lineRule="atLeast"/>
              <w:jc w:val="both"/>
              <w:rPr>
                <w:rFonts w:cs="Arial"/>
              </w:rPr>
            </w:pPr>
            <w:r w:rsidRPr="00E30642">
              <w:rPr>
                <w:rFonts w:cs="Arial"/>
              </w:rPr>
              <w:t>70</w:t>
            </w:r>
          </w:p>
        </w:tc>
        <w:tc>
          <w:tcPr>
            <w:tcW w:w="885" w:type="dxa"/>
            <w:tcBorders>
              <w:top w:val="single" w:sz="6" w:space="0" w:color="auto"/>
              <w:left w:val="single" w:sz="6" w:space="0" w:color="auto"/>
              <w:bottom w:val="single" w:sz="6" w:space="0" w:color="auto"/>
              <w:right w:val="single" w:sz="6" w:space="0" w:color="auto"/>
            </w:tcBorders>
          </w:tcPr>
          <w:p w14:paraId="049311DB"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1920B81B" w14:textId="77777777" w:rsidR="00CA23D0" w:rsidRPr="00E30642" w:rsidRDefault="00CA23D0" w:rsidP="00CA23D0">
            <w:pPr>
              <w:pStyle w:val="Texttabulky"/>
              <w:spacing w:line="240" w:lineRule="atLeast"/>
              <w:jc w:val="both"/>
              <w:rPr>
                <w:rFonts w:cs="Arial"/>
              </w:rPr>
            </w:pPr>
            <w:r w:rsidRPr="00E30642">
              <w:rPr>
                <w:rFonts w:cs="Arial"/>
              </w:rPr>
              <w:t>35</w:t>
            </w:r>
          </w:p>
        </w:tc>
        <w:tc>
          <w:tcPr>
            <w:tcW w:w="844" w:type="dxa"/>
            <w:tcBorders>
              <w:top w:val="single" w:sz="6" w:space="0" w:color="auto"/>
              <w:left w:val="single" w:sz="6" w:space="0" w:color="auto"/>
              <w:bottom w:val="single" w:sz="6" w:space="0" w:color="auto"/>
              <w:right w:val="single" w:sz="6" w:space="0" w:color="auto"/>
            </w:tcBorders>
          </w:tcPr>
          <w:p w14:paraId="1743AA78"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19EF7C16" w14:textId="77777777" w:rsidR="00CA23D0" w:rsidRPr="00E30642" w:rsidRDefault="00CA23D0" w:rsidP="00CA23D0">
            <w:pPr>
              <w:pStyle w:val="Texttabulky"/>
              <w:spacing w:line="240" w:lineRule="atLeast"/>
              <w:jc w:val="both"/>
              <w:rPr>
                <w:rFonts w:cs="Arial"/>
              </w:rPr>
            </w:pPr>
            <w:r w:rsidRPr="00E30642">
              <w:rPr>
                <w:rFonts w:cs="Arial"/>
              </w:rPr>
              <w:t>85</w:t>
            </w:r>
          </w:p>
        </w:tc>
        <w:tc>
          <w:tcPr>
            <w:tcW w:w="960" w:type="dxa"/>
            <w:tcBorders>
              <w:top w:val="single" w:sz="6" w:space="0" w:color="auto"/>
              <w:left w:val="single" w:sz="6" w:space="0" w:color="auto"/>
              <w:bottom w:val="single" w:sz="6" w:space="0" w:color="auto"/>
              <w:right w:val="single" w:sz="6" w:space="0" w:color="auto"/>
            </w:tcBorders>
          </w:tcPr>
          <w:p w14:paraId="13781E34" w14:textId="77777777" w:rsidR="00CA23D0" w:rsidRPr="00E30642" w:rsidRDefault="00CA23D0" w:rsidP="00CA23D0">
            <w:pPr>
              <w:pStyle w:val="Texttabulky"/>
              <w:spacing w:line="240" w:lineRule="atLeast"/>
              <w:jc w:val="both"/>
              <w:rPr>
                <w:rFonts w:cs="Arial"/>
              </w:rPr>
            </w:pPr>
            <w:r w:rsidRPr="00E30642">
              <w:rPr>
                <w:rFonts w:cs="Arial"/>
              </w:rPr>
              <w:t>85</w:t>
            </w:r>
          </w:p>
        </w:tc>
      </w:tr>
      <w:tr w:rsidR="00CA23D0" w:rsidRPr="00E30642" w14:paraId="450A4202" w14:textId="77777777" w:rsidTr="00CA23D0">
        <w:tc>
          <w:tcPr>
            <w:tcW w:w="705" w:type="dxa"/>
            <w:tcBorders>
              <w:top w:val="single" w:sz="6" w:space="0" w:color="auto"/>
              <w:left w:val="single" w:sz="6" w:space="0" w:color="auto"/>
              <w:bottom w:val="single" w:sz="6" w:space="0" w:color="auto"/>
              <w:right w:val="single" w:sz="6" w:space="0" w:color="auto"/>
            </w:tcBorders>
          </w:tcPr>
          <w:p w14:paraId="56D88EC2" w14:textId="77777777" w:rsidR="00CA23D0" w:rsidRPr="00E30642" w:rsidRDefault="00CA23D0" w:rsidP="00CA23D0">
            <w:pPr>
              <w:pStyle w:val="Texttabulky"/>
              <w:spacing w:line="240" w:lineRule="atLeast"/>
              <w:jc w:val="both"/>
              <w:rPr>
                <w:rFonts w:cs="Arial"/>
              </w:rPr>
            </w:pPr>
            <w:r w:rsidRPr="00E30642">
              <w:rPr>
                <w:rFonts w:cs="Arial"/>
                <w:b/>
                <w:bCs/>
              </w:rPr>
              <w:t>9</w:t>
            </w:r>
          </w:p>
        </w:tc>
        <w:tc>
          <w:tcPr>
            <w:tcW w:w="2072" w:type="dxa"/>
            <w:tcBorders>
              <w:top w:val="single" w:sz="6" w:space="0" w:color="auto"/>
              <w:left w:val="single" w:sz="6" w:space="0" w:color="auto"/>
              <w:bottom w:val="single" w:sz="6" w:space="0" w:color="auto"/>
              <w:right w:val="single" w:sz="6" w:space="0" w:color="auto"/>
            </w:tcBorders>
          </w:tcPr>
          <w:p w14:paraId="4CE987A3" w14:textId="77777777" w:rsidR="00CA23D0" w:rsidRPr="00E30642" w:rsidRDefault="00CA23D0" w:rsidP="00CA23D0">
            <w:pPr>
              <w:pStyle w:val="Texttabulky"/>
              <w:spacing w:line="240" w:lineRule="atLeast"/>
              <w:jc w:val="both"/>
              <w:rPr>
                <w:rFonts w:cs="Arial"/>
              </w:rPr>
            </w:pPr>
            <w:r w:rsidRPr="00E30642">
              <w:rPr>
                <w:rFonts w:cs="Arial"/>
              </w:rPr>
              <w:t>Východní nádraží</w:t>
            </w:r>
          </w:p>
        </w:tc>
        <w:tc>
          <w:tcPr>
            <w:tcW w:w="960" w:type="dxa"/>
            <w:tcBorders>
              <w:top w:val="single" w:sz="6" w:space="0" w:color="auto"/>
              <w:left w:val="single" w:sz="6" w:space="0" w:color="auto"/>
              <w:bottom w:val="single" w:sz="6" w:space="0" w:color="auto"/>
              <w:right w:val="single" w:sz="6" w:space="0" w:color="auto"/>
            </w:tcBorders>
          </w:tcPr>
          <w:p w14:paraId="36055CEB" w14:textId="77777777" w:rsidR="00CA23D0" w:rsidRPr="00E30642" w:rsidRDefault="00CA23D0" w:rsidP="00CA23D0">
            <w:pPr>
              <w:pStyle w:val="Texttabulky"/>
              <w:spacing w:line="240" w:lineRule="atLeast"/>
              <w:jc w:val="both"/>
              <w:rPr>
                <w:rFonts w:cs="Arial"/>
              </w:rPr>
            </w:pPr>
            <w:r w:rsidRPr="00E30642">
              <w:rPr>
                <w:rFonts w:cs="Arial"/>
              </w:rPr>
              <w:t>34</w:t>
            </w:r>
          </w:p>
        </w:tc>
        <w:tc>
          <w:tcPr>
            <w:tcW w:w="885" w:type="dxa"/>
            <w:tcBorders>
              <w:top w:val="single" w:sz="6" w:space="0" w:color="auto"/>
              <w:left w:val="single" w:sz="6" w:space="0" w:color="auto"/>
              <w:bottom w:val="single" w:sz="6" w:space="0" w:color="auto"/>
              <w:right w:val="single" w:sz="6" w:space="0" w:color="auto"/>
            </w:tcBorders>
          </w:tcPr>
          <w:p w14:paraId="06CA8202"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21EA4A04"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34263347"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3889EAA2" w14:textId="77777777" w:rsidR="00CA23D0" w:rsidRPr="00E30642" w:rsidRDefault="00CA23D0" w:rsidP="00CA23D0">
            <w:pPr>
              <w:pStyle w:val="Texttabulky"/>
              <w:spacing w:line="240" w:lineRule="atLeast"/>
              <w:jc w:val="both"/>
              <w:rPr>
                <w:rFonts w:cs="Arial"/>
              </w:rPr>
            </w:pPr>
            <w:r w:rsidRPr="00E30642">
              <w:rPr>
                <w:rFonts w:cs="Arial"/>
              </w:rPr>
              <w:t>30</w:t>
            </w:r>
          </w:p>
        </w:tc>
        <w:tc>
          <w:tcPr>
            <w:tcW w:w="960" w:type="dxa"/>
            <w:tcBorders>
              <w:top w:val="single" w:sz="6" w:space="0" w:color="auto"/>
              <w:left w:val="single" w:sz="6" w:space="0" w:color="auto"/>
              <w:bottom w:val="single" w:sz="6" w:space="0" w:color="auto"/>
              <w:right w:val="single" w:sz="6" w:space="0" w:color="auto"/>
            </w:tcBorders>
          </w:tcPr>
          <w:p w14:paraId="1DFB1967" w14:textId="77777777" w:rsidR="00CA23D0" w:rsidRPr="00E30642" w:rsidRDefault="00CA23D0" w:rsidP="00CA23D0">
            <w:pPr>
              <w:pStyle w:val="Texttabulky"/>
              <w:spacing w:line="240" w:lineRule="atLeast"/>
              <w:jc w:val="both"/>
              <w:rPr>
                <w:rFonts w:cs="Arial"/>
              </w:rPr>
            </w:pPr>
            <w:r w:rsidRPr="00E30642">
              <w:rPr>
                <w:rFonts w:cs="Arial"/>
              </w:rPr>
              <w:t>30</w:t>
            </w:r>
          </w:p>
        </w:tc>
      </w:tr>
      <w:tr w:rsidR="00CA23D0" w:rsidRPr="00E30642" w14:paraId="4709F42D" w14:textId="77777777" w:rsidTr="00CA23D0">
        <w:tc>
          <w:tcPr>
            <w:tcW w:w="705" w:type="dxa"/>
            <w:tcBorders>
              <w:top w:val="single" w:sz="6" w:space="0" w:color="auto"/>
              <w:left w:val="single" w:sz="6" w:space="0" w:color="auto"/>
              <w:bottom w:val="single" w:sz="6" w:space="0" w:color="auto"/>
              <w:right w:val="single" w:sz="6" w:space="0" w:color="auto"/>
            </w:tcBorders>
          </w:tcPr>
          <w:p w14:paraId="35932C68" w14:textId="77777777" w:rsidR="00CA23D0" w:rsidRPr="00E30642" w:rsidRDefault="00CA23D0" w:rsidP="00CA23D0">
            <w:pPr>
              <w:pStyle w:val="Texttabulky"/>
              <w:spacing w:line="240" w:lineRule="atLeast"/>
              <w:jc w:val="both"/>
              <w:rPr>
                <w:rFonts w:cs="Arial"/>
              </w:rPr>
            </w:pPr>
            <w:r w:rsidRPr="00E30642">
              <w:rPr>
                <w:rFonts w:cs="Arial"/>
                <w:b/>
                <w:bCs/>
              </w:rPr>
              <w:lastRenderedPageBreak/>
              <w:t>10</w:t>
            </w:r>
          </w:p>
        </w:tc>
        <w:tc>
          <w:tcPr>
            <w:tcW w:w="2072" w:type="dxa"/>
            <w:tcBorders>
              <w:top w:val="single" w:sz="6" w:space="0" w:color="auto"/>
              <w:left w:val="single" w:sz="6" w:space="0" w:color="auto"/>
              <w:bottom w:val="single" w:sz="6" w:space="0" w:color="auto"/>
              <w:right w:val="single" w:sz="6" w:space="0" w:color="auto"/>
            </w:tcBorders>
          </w:tcPr>
          <w:p w14:paraId="6A1B57E9" w14:textId="77777777" w:rsidR="00CA23D0" w:rsidRPr="00E30642" w:rsidRDefault="00CA23D0" w:rsidP="00CA23D0">
            <w:pPr>
              <w:pStyle w:val="Texttabulky"/>
              <w:spacing w:line="240" w:lineRule="atLeast"/>
              <w:jc w:val="both"/>
              <w:rPr>
                <w:rFonts w:cs="Arial"/>
              </w:rPr>
            </w:pPr>
            <w:r w:rsidRPr="00E30642">
              <w:rPr>
                <w:rFonts w:cs="Arial"/>
              </w:rPr>
              <w:t>Zámek</w:t>
            </w:r>
          </w:p>
        </w:tc>
        <w:tc>
          <w:tcPr>
            <w:tcW w:w="960" w:type="dxa"/>
            <w:tcBorders>
              <w:top w:val="single" w:sz="6" w:space="0" w:color="auto"/>
              <w:left w:val="single" w:sz="6" w:space="0" w:color="auto"/>
              <w:bottom w:val="single" w:sz="6" w:space="0" w:color="auto"/>
              <w:right w:val="single" w:sz="6" w:space="0" w:color="auto"/>
            </w:tcBorders>
          </w:tcPr>
          <w:p w14:paraId="36088672"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001AA679"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19712861"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2526E277"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5FCAAD2D"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7D62815E"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074D7CA7" w14:textId="77777777" w:rsidTr="00CA23D0">
        <w:tc>
          <w:tcPr>
            <w:tcW w:w="705" w:type="dxa"/>
            <w:tcBorders>
              <w:top w:val="single" w:sz="6" w:space="0" w:color="auto"/>
              <w:left w:val="single" w:sz="6" w:space="0" w:color="auto"/>
              <w:bottom w:val="single" w:sz="6" w:space="0" w:color="auto"/>
              <w:right w:val="single" w:sz="6" w:space="0" w:color="auto"/>
            </w:tcBorders>
          </w:tcPr>
          <w:p w14:paraId="63E93418" w14:textId="77777777" w:rsidR="00CA23D0" w:rsidRPr="00E30642" w:rsidRDefault="00CA23D0" w:rsidP="00CA23D0">
            <w:pPr>
              <w:pStyle w:val="Texttabulky"/>
              <w:spacing w:line="240" w:lineRule="atLeast"/>
              <w:jc w:val="both"/>
              <w:rPr>
                <w:rFonts w:cs="Arial"/>
              </w:rPr>
            </w:pPr>
            <w:r w:rsidRPr="00E30642">
              <w:rPr>
                <w:rFonts w:cs="Arial"/>
                <w:b/>
                <w:bCs/>
              </w:rPr>
              <w:t>11</w:t>
            </w:r>
          </w:p>
        </w:tc>
        <w:tc>
          <w:tcPr>
            <w:tcW w:w="2072" w:type="dxa"/>
            <w:tcBorders>
              <w:top w:val="single" w:sz="6" w:space="0" w:color="auto"/>
              <w:left w:val="single" w:sz="6" w:space="0" w:color="auto"/>
              <w:bottom w:val="single" w:sz="6" w:space="0" w:color="auto"/>
              <w:right w:val="single" w:sz="6" w:space="0" w:color="auto"/>
            </w:tcBorders>
          </w:tcPr>
          <w:p w14:paraId="04805D15" w14:textId="77777777" w:rsidR="00CA23D0" w:rsidRPr="00E30642" w:rsidRDefault="00CA23D0" w:rsidP="00CA23D0">
            <w:pPr>
              <w:pStyle w:val="Texttabulky"/>
              <w:spacing w:line="240" w:lineRule="atLeast"/>
              <w:jc w:val="both"/>
              <w:rPr>
                <w:rFonts w:cs="Arial"/>
              </w:rPr>
            </w:pPr>
            <w:r w:rsidRPr="00E30642">
              <w:rPr>
                <w:rFonts w:cs="Arial"/>
              </w:rPr>
              <w:t>U koupaliště</w:t>
            </w:r>
          </w:p>
        </w:tc>
        <w:tc>
          <w:tcPr>
            <w:tcW w:w="960" w:type="dxa"/>
            <w:tcBorders>
              <w:top w:val="single" w:sz="6" w:space="0" w:color="auto"/>
              <w:left w:val="single" w:sz="6" w:space="0" w:color="auto"/>
              <w:bottom w:val="single" w:sz="6" w:space="0" w:color="auto"/>
              <w:right w:val="single" w:sz="6" w:space="0" w:color="auto"/>
            </w:tcBorders>
          </w:tcPr>
          <w:p w14:paraId="4B7F925F" w14:textId="77777777" w:rsidR="00CA23D0" w:rsidRPr="00E30642" w:rsidRDefault="00CA23D0" w:rsidP="00CA23D0">
            <w:pPr>
              <w:pStyle w:val="Texttabulky"/>
              <w:spacing w:line="240" w:lineRule="atLeast"/>
              <w:jc w:val="both"/>
              <w:rPr>
                <w:rFonts w:cs="Arial"/>
              </w:rPr>
            </w:pPr>
            <w:r w:rsidRPr="00E30642">
              <w:rPr>
                <w:rFonts w:cs="Arial"/>
              </w:rPr>
              <w:t>77</w:t>
            </w:r>
          </w:p>
        </w:tc>
        <w:tc>
          <w:tcPr>
            <w:tcW w:w="885" w:type="dxa"/>
            <w:tcBorders>
              <w:top w:val="single" w:sz="6" w:space="0" w:color="auto"/>
              <w:left w:val="single" w:sz="6" w:space="0" w:color="auto"/>
              <w:bottom w:val="single" w:sz="6" w:space="0" w:color="auto"/>
              <w:right w:val="single" w:sz="6" w:space="0" w:color="auto"/>
            </w:tcBorders>
          </w:tcPr>
          <w:p w14:paraId="781F12A3" w14:textId="77777777" w:rsidR="00CA23D0" w:rsidRPr="00E30642" w:rsidRDefault="00CA23D0" w:rsidP="00CA23D0">
            <w:pPr>
              <w:pStyle w:val="Texttabulky"/>
              <w:spacing w:line="240" w:lineRule="atLeast"/>
              <w:jc w:val="both"/>
              <w:rPr>
                <w:rFonts w:cs="Arial"/>
              </w:rPr>
            </w:pPr>
            <w:r w:rsidRPr="00E30642">
              <w:rPr>
                <w:rFonts w:cs="Arial"/>
              </w:rPr>
              <w:t>25</w:t>
            </w:r>
          </w:p>
        </w:tc>
        <w:tc>
          <w:tcPr>
            <w:tcW w:w="855" w:type="dxa"/>
            <w:tcBorders>
              <w:top w:val="single" w:sz="6" w:space="0" w:color="auto"/>
              <w:left w:val="single" w:sz="6" w:space="0" w:color="auto"/>
              <w:bottom w:val="single" w:sz="6" w:space="0" w:color="auto"/>
              <w:right w:val="single" w:sz="6" w:space="0" w:color="auto"/>
            </w:tcBorders>
          </w:tcPr>
          <w:p w14:paraId="5B1AE608"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31F7B39F"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06B2B820" w14:textId="77777777" w:rsidR="00CA23D0" w:rsidRPr="00E30642" w:rsidRDefault="00CA23D0" w:rsidP="00CA23D0">
            <w:pPr>
              <w:pStyle w:val="Texttabulky"/>
              <w:spacing w:line="240" w:lineRule="atLeast"/>
              <w:jc w:val="both"/>
              <w:rPr>
                <w:rFonts w:cs="Arial"/>
              </w:rPr>
            </w:pPr>
            <w:r w:rsidRPr="00E30642">
              <w:rPr>
                <w:rFonts w:cs="Arial"/>
              </w:rPr>
              <w:t>75</w:t>
            </w:r>
          </w:p>
        </w:tc>
        <w:tc>
          <w:tcPr>
            <w:tcW w:w="960" w:type="dxa"/>
            <w:tcBorders>
              <w:top w:val="single" w:sz="6" w:space="0" w:color="auto"/>
              <w:left w:val="single" w:sz="6" w:space="0" w:color="auto"/>
              <w:bottom w:val="single" w:sz="6" w:space="0" w:color="auto"/>
              <w:right w:val="single" w:sz="6" w:space="0" w:color="auto"/>
            </w:tcBorders>
          </w:tcPr>
          <w:p w14:paraId="114E638B" w14:textId="77777777" w:rsidR="00CA23D0" w:rsidRPr="00E30642" w:rsidRDefault="00CA23D0" w:rsidP="00CA23D0">
            <w:pPr>
              <w:pStyle w:val="Texttabulky"/>
              <w:spacing w:line="240" w:lineRule="atLeast"/>
              <w:jc w:val="both"/>
              <w:rPr>
                <w:rFonts w:cs="Arial"/>
              </w:rPr>
            </w:pPr>
            <w:r w:rsidRPr="00E30642">
              <w:rPr>
                <w:rFonts w:cs="Arial"/>
              </w:rPr>
              <w:t>75</w:t>
            </w:r>
          </w:p>
        </w:tc>
      </w:tr>
      <w:tr w:rsidR="00CA23D0" w:rsidRPr="00E30642" w14:paraId="0B2E6986" w14:textId="77777777" w:rsidTr="00CA23D0">
        <w:tc>
          <w:tcPr>
            <w:tcW w:w="705" w:type="dxa"/>
            <w:tcBorders>
              <w:top w:val="single" w:sz="6" w:space="0" w:color="auto"/>
              <w:left w:val="single" w:sz="6" w:space="0" w:color="auto"/>
              <w:bottom w:val="single" w:sz="6" w:space="0" w:color="auto"/>
              <w:right w:val="single" w:sz="6" w:space="0" w:color="auto"/>
            </w:tcBorders>
          </w:tcPr>
          <w:p w14:paraId="42B3CC23" w14:textId="77777777" w:rsidR="00CA23D0" w:rsidRPr="00E30642" w:rsidRDefault="00CA23D0" w:rsidP="00CA23D0">
            <w:pPr>
              <w:pStyle w:val="Texttabulky"/>
              <w:spacing w:line="240" w:lineRule="atLeast"/>
              <w:jc w:val="both"/>
              <w:rPr>
                <w:rFonts w:cs="Arial"/>
              </w:rPr>
            </w:pPr>
            <w:r w:rsidRPr="00E30642">
              <w:rPr>
                <w:rFonts w:cs="Arial"/>
                <w:b/>
                <w:bCs/>
              </w:rPr>
              <w:t>12</w:t>
            </w:r>
          </w:p>
        </w:tc>
        <w:tc>
          <w:tcPr>
            <w:tcW w:w="2072" w:type="dxa"/>
            <w:tcBorders>
              <w:top w:val="single" w:sz="6" w:space="0" w:color="auto"/>
              <w:left w:val="single" w:sz="6" w:space="0" w:color="auto"/>
              <w:bottom w:val="single" w:sz="6" w:space="0" w:color="auto"/>
              <w:right w:val="single" w:sz="6" w:space="0" w:color="auto"/>
            </w:tcBorders>
          </w:tcPr>
          <w:p w14:paraId="06AB40C5" w14:textId="77777777" w:rsidR="00CA23D0" w:rsidRPr="00E30642" w:rsidRDefault="00CA23D0" w:rsidP="00CA23D0">
            <w:pPr>
              <w:pStyle w:val="Texttabulky"/>
              <w:spacing w:line="240" w:lineRule="atLeast"/>
              <w:jc w:val="both"/>
              <w:rPr>
                <w:rFonts w:cs="Arial"/>
              </w:rPr>
            </w:pPr>
            <w:r w:rsidRPr="00E30642">
              <w:rPr>
                <w:rFonts w:cs="Arial"/>
              </w:rPr>
              <w:t>Staré Město</w:t>
            </w:r>
          </w:p>
        </w:tc>
        <w:tc>
          <w:tcPr>
            <w:tcW w:w="960" w:type="dxa"/>
            <w:tcBorders>
              <w:top w:val="single" w:sz="6" w:space="0" w:color="auto"/>
              <w:left w:val="single" w:sz="6" w:space="0" w:color="auto"/>
              <w:bottom w:val="single" w:sz="6" w:space="0" w:color="auto"/>
              <w:right w:val="single" w:sz="6" w:space="0" w:color="auto"/>
            </w:tcBorders>
          </w:tcPr>
          <w:p w14:paraId="72E0882D" w14:textId="77777777" w:rsidR="00CA23D0" w:rsidRPr="00E30642" w:rsidRDefault="00CA23D0" w:rsidP="00CA23D0">
            <w:pPr>
              <w:pStyle w:val="Texttabulky"/>
              <w:spacing w:line="240" w:lineRule="atLeast"/>
              <w:jc w:val="both"/>
              <w:rPr>
                <w:rFonts w:cs="Arial"/>
              </w:rPr>
            </w:pPr>
            <w:r w:rsidRPr="00E30642">
              <w:rPr>
                <w:rFonts w:cs="Arial"/>
              </w:rPr>
              <w:t>4 628</w:t>
            </w:r>
          </w:p>
        </w:tc>
        <w:tc>
          <w:tcPr>
            <w:tcW w:w="885" w:type="dxa"/>
            <w:tcBorders>
              <w:top w:val="single" w:sz="6" w:space="0" w:color="auto"/>
              <w:left w:val="single" w:sz="6" w:space="0" w:color="auto"/>
              <w:bottom w:val="single" w:sz="6" w:space="0" w:color="auto"/>
              <w:right w:val="single" w:sz="6" w:space="0" w:color="auto"/>
            </w:tcBorders>
          </w:tcPr>
          <w:p w14:paraId="2AD5128C"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4B35436D" w14:textId="77777777" w:rsidR="00CA23D0" w:rsidRPr="00E30642" w:rsidRDefault="00CA23D0" w:rsidP="00CA23D0">
            <w:pPr>
              <w:pStyle w:val="Texttabulky"/>
              <w:spacing w:line="240" w:lineRule="atLeast"/>
              <w:jc w:val="both"/>
              <w:rPr>
                <w:rFonts w:cs="Arial"/>
              </w:rPr>
            </w:pPr>
            <w:r w:rsidRPr="00E30642">
              <w:rPr>
                <w:rFonts w:cs="Arial"/>
              </w:rPr>
              <w:t>360</w:t>
            </w:r>
          </w:p>
        </w:tc>
        <w:tc>
          <w:tcPr>
            <w:tcW w:w="844" w:type="dxa"/>
            <w:tcBorders>
              <w:top w:val="single" w:sz="6" w:space="0" w:color="auto"/>
              <w:left w:val="single" w:sz="6" w:space="0" w:color="auto"/>
              <w:bottom w:val="single" w:sz="6" w:space="0" w:color="auto"/>
              <w:right w:val="single" w:sz="6" w:space="0" w:color="auto"/>
            </w:tcBorders>
          </w:tcPr>
          <w:p w14:paraId="556879C6" w14:textId="77777777" w:rsidR="00CA23D0" w:rsidRPr="00E30642" w:rsidRDefault="00CA23D0" w:rsidP="00CA23D0">
            <w:pPr>
              <w:pStyle w:val="Texttabulky"/>
              <w:spacing w:line="240" w:lineRule="atLeast"/>
              <w:jc w:val="both"/>
              <w:rPr>
                <w:rFonts w:cs="Arial"/>
              </w:rPr>
            </w:pPr>
            <w:r w:rsidRPr="00E30642">
              <w:rPr>
                <w:rFonts w:cs="Arial"/>
              </w:rPr>
              <w:t>355</w:t>
            </w:r>
          </w:p>
        </w:tc>
        <w:tc>
          <w:tcPr>
            <w:tcW w:w="960" w:type="dxa"/>
            <w:tcBorders>
              <w:top w:val="single" w:sz="6" w:space="0" w:color="auto"/>
              <w:left w:val="single" w:sz="6" w:space="0" w:color="auto"/>
              <w:bottom w:val="single" w:sz="6" w:space="0" w:color="auto"/>
              <w:right w:val="single" w:sz="6" w:space="0" w:color="auto"/>
            </w:tcBorders>
          </w:tcPr>
          <w:p w14:paraId="24147E38" w14:textId="77777777" w:rsidR="00CA23D0" w:rsidRPr="00E30642" w:rsidRDefault="00CA23D0" w:rsidP="00CA23D0">
            <w:pPr>
              <w:pStyle w:val="Texttabulky"/>
              <w:spacing w:line="240" w:lineRule="atLeast"/>
              <w:jc w:val="both"/>
              <w:rPr>
                <w:rFonts w:cs="Arial"/>
              </w:rPr>
            </w:pPr>
            <w:r w:rsidRPr="00E30642">
              <w:rPr>
                <w:rFonts w:cs="Arial"/>
              </w:rPr>
              <w:t>4 760</w:t>
            </w:r>
          </w:p>
        </w:tc>
        <w:tc>
          <w:tcPr>
            <w:tcW w:w="960" w:type="dxa"/>
            <w:tcBorders>
              <w:top w:val="single" w:sz="6" w:space="0" w:color="auto"/>
              <w:left w:val="single" w:sz="6" w:space="0" w:color="auto"/>
              <w:bottom w:val="single" w:sz="6" w:space="0" w:color="auto"/>
              <w:right w:val="single" w:sz="6" w:space="0" w:color="auto"/>
            </w:tcBorders>
          </w:tcPr>
          <w:p w14:paraId="413AE34A" w14:textId="77777777" w:rsidR="00CA23D0" w:rsidRPr="00E30642" w:rsidRDefault="00CA23D0" w:rsidP="00CA23D0">
            <w:pPr>
              <w:pStyle w:val="Texttabulky"/>
              <w:spacing w:line="240" w:lineRule="atLeast"/>
              <w:jc w:val="both"/>
              <w:rPr>
                <w:rFonts w:cs="Arial"/>
              </w:rPr>
            </w:pPr>
            <w:r w:rsidRPr="00E30642">
              <w:rPr>
                <w:rFonts w:cs="Arial"/>
              </w:rPr>
              <w:t>5 115</w:t>
            </w:r>
          </w:p>
        </w:tc>
      </w:tr>
      <w:tr w:rsidR="00CA23D0" w:rsidRPr="00E30642" w14:paraId="7EAAFD6A" w14:textId="77777777" w:rsidTr="00CA23D0">
        <w:tc>
          <w:tcPr>
            <w:tcW w:w="705" w:type="dxa"/>
            <w:tcBorders>
              <w:top w:val="single" w:sz="6" w:space="0" w:color="auto"/>
              <w:left w:val="single" w:sz="6" w:space="0" w:color="auto"/>
              <w:bottom w:val="single" w:sz="6" w:space="0" w:color="auto"/>
              <w:right w:val="single" w:sz="6" w:space="0" w:color="auto"/>
            </w:tcBorders>
          </w:tcPr>
          <w:p w14:paraId="0E92F2C7" w14:textId="77777777" w:rsidR="00CA23D0" w:rsidRPr="00E30642" w:rsidRDefault="00CA23D0" w:rsidP="00CA23D0">
            <w:pPr>
              <w:pStyle w:val="Texttabulky"/>
              <w:spacing w:line="240" w:lineRule="atLeast"/>
              <w:jc w:val="both"/>
              <w:rPr>
                <w:rFonts w:cs="Arial"/>
              </w:rPr>
            </w:pPr>
            <w:r w:rsidRPr="00E30642">
              <w:rPr>
                <w:rFonts w:cs="Arial"/>
                <w:b/>
                <w:bCs/>
              </w:rPr>
              <w:t>13</w:t>
            </w:r>
          </w:p>
        </w:tc>
        <w:tc>
          <w:tcPr>
            <w:tcW w:w="2072" w:type="dxa"/>
            <w:tcBorders>
              <w:top w:val="single" w:sz="6" w:space="0" w:color="auto"/>
              <w:left w:val="single" w:sz="6" w:space="0" w:color="auto"/>
              <w:bottom w:val="single" w:sz="6" w:space="0" w:color="auto"/>
              <w:right w:val="single" w:sz="6" w:space="0" w:color="auto"/>
            </w:tcBorders>
          </w:tcPr>
          <w:p w14:paraId="36787F81" w14:textId="77777777" w:rsidR="00CA23D0" w:rsidRPr="00E30642" w:rsidRDefault="00CA23D0" w:rsidP="00CA23D0">
            <w:pPr>
              <w:pStyle w:val="Texttabulky"/>
              <w:spacing w:line="240" w:lineRule="atLeast"/>
              <w:jc w:val="both"/>
              <w:rPr>
                <w:rFonts w:cs="Arial"/>
              </w:rPr>
            </w:pPr>
            <w:r w:rsidRPr="00E30642">
              <w:rPr>
                <w:rFonts w:cs="Arial"/>
              </w:rPr>
              <w:t>U Ploučnice</w:t>
            </w:r>
          </w:p>
        </w:tc>
        <w:tc>
          <w:tcPr>
            <w:tcW w:w="960" w:type="dxa"/>
            <w:tcBorders>
              <w:top w:val="single" w:sz="6" w:space="0" w:color="auto"/>
              <w:left w:val="single" w:sz="6" w:space="0" w:color="auto"/>
              <w:bottom w:val="single" w:sz="6" w:space="0" w:color="auto"/>
              <w:right w:val="single" w:sz="6" w:space="0" w:color="auto"/>
            </w:tcBorders>
          </w:tcPr>
          <w:p w14:paraId="47C04F14" w14:textId="77777777" w:rsidR="00CA23D0" w:rsidRPr="00E30642" w:rsidRDefault="00CA23D0" w:rsidP="00CA23D0">
            <w:pPr>
              <w:pStyle w:val="Texttabulky"/>
              <w:spacing w:line="240" w:lineRule="atLeast"/>
              <w:jc w:val="both"/>
              <w:rPr>
                <w:rFonts w:cs="Arial"/>
              </w:rPr>
            </w:pPr>
            <w:r w:rsidRPr="00E30642">
              <w:rPr>
                <w:rFonts w:cs="Arial"/>
              </w:rPr>
              <w:t>121</w:t>
            </w:r>
          </w:p>
        </w:tc>
        <w:tc>
          <w:tcPr>
            <w:tcW w:w="885" w:type="dxa"/>
            <w:tcBorders>
              <w:top w:val="single" w:sz="6" w:space="0" w:color="auto"/>
              <w:left w:val="single" w:sz="6" w:space="0" w:color="auto"/>
              <w:bottom w:val="single" w:sz="6" w:space="0" w:color="auto"/>
              <w:right w:val="single" w:sz="6" w:space="0" w:color="auto"/>
            </w:tcBorders>
          </w:tcPr>
          <w:p w14:paraId="37A69C97"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0DD21D08"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50B07D05"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1DB8FCBD" w14:textId="77777777" w:rsidR="00CA23D0" w:rsidRPr="00E30642" w:rsidRDefault="00CA23D0" w:rsidP="00CA23D0">
            <w:pPr>
              <w:pStyle w:val="Texttabulky"/>
              <w:spacing w:line="240" w:lineRule="atLeast"/>
              <w:jc w:val="both"/>
              <w:rPr>
                <w:rFonts w:cs="Arial"/>
              </w:rPr>
            </w:pPr>
            <w:r w:rsidRPr="00E30642">
              <w:rPr>
                <w:rFonts w:cs="Arial"/>
              </w:rPr>
              <w:t>100</w:t>
            </w:r>
          </w:p>
        </w:tc>
        <w:tc>
          <w:tcPr>
            <w:tcW w:w="960" w:type="dxa"/>
            <w:tcBorders>
              <w:top w:val="single" w:sz="6" w:space="0" w:color="auto"/>
              <w:left w:val="single" w:sz="6" w:space="0" w:color="auto"/>
              <w:bottom w:val="single" w:sz="6" w:space="0" w:color="auto"/>
              <w:right w:val="single" w:sz="6" w:space="0" w:color="auto"/>
            </w:tcBorders>
          </w:tcPr>
          <w:p w14:paraId="5CC4A2EB" w14:textId="77777777" w:rsidR="00CA23D0" w:rsidRPr="00E30642" w:rsidRDefault="00CA23D0" w:rsidP="00CA23D0">
            <w:pPr>
              <w:pStyle w:val="Texttabulky"/>
              <w:spacing w:line="240" w:lineRule="atLeast"/>
              <w:jc w:val="both"/>
              <w:rPr>
                <w:rFonts w:cs="Arial"/>
              </w:rPr>
            </w:pPr>
            <w:r w:rsidRPr="00E30642">
              <w:rPr>
                <w:rFonts w:cs="Arial"/>
              </w:rPr>
              <w:t>100</w:t>
            </w:r>
          </w:p>
        </w:tc>
      </w:tr>
      <w:tr w:rsidR="00CA23D0" w:rsidRPr="00E30642" w14:paraId="3CA7F635" w14:textId="77777777" w:rsidTr="00CA23D0">
        <w:tc>
          <w:tcPr>
            <w:tcW w:w="705" w:type="dxa"/>
            <w:tcBorders>
              <w:top w:val="single" w:sz="6" w:space="0" w:color="auto"/>
              <w:left w:val="single" w:sz="6" w:space="0" w:color="auto"/>
              <w:bottom w:val="single" w:sz="6" w:space="0" w:color="auto"/>
              <w:right w:val="single" w:sz="6" w:space="0" w:color="auto"/>
            </w:tcBorders>
          </w:tcPr>
          <w:p w14:paraId="00C8C8DE" w14:textId="77777777" w:rsidR="00CA23D0" w:rsidRPr="00E30642" w:rsidRDefault="00CA23D0" w:rsidP="00CA23D0">
            <w:pPr>
              <w:pStyle w:val="Texttabulky"/>
              <w:spacing w:line="240" w:lineRule="atLeast"/>
              <w:jc w:val="both"/>
              <w:rPr>
                <w:rFonts w:cs="Arial"/>
              </w:rPr>
            </w:pPr>
            <w:r w:rsidRPr="00E30642">
              <w:rPr>
                <w:rFonts w:cs="Arial"/>
                <w:b/>
                <w:bCs/>
              </w:rPr>
              <w:t>14</w:t>
            </w:r>
          </w:p>
        </w:tc>
        <w:tc>
          <w:tcPr>
            <w:tcW w:w="2072" w:type="dxa"/>
            <w:tcBorders>
              <w:top w:val="single" w:sz="6" w:space="0" w:color="auto"/>
              <w:left w:val="single" w:sz="6" w:space="0" w:color="auto"/>
              <w:bottom w:val="single" w:sz="6" w:space="0" w:color="auto"/>
              <w:right w:val="single" w:sz="6" w:space="0" w:color="auto"/>
            </w:tcBorders>
          </w:tcPr>
          <w:p w14:paraId="31CE9BC8" w14:textId="77777777" w:rsidR="00CA23D0" w:rsidRPr="00E30642" w:rsidRDefault="00CA23D0" w:rsidP="00CA23D0">
            <w:pPr>
              <w:pStyle w:val="Texttabulky"/>
              <w:spacing w:line="240" w:lineRule="atLeast"/>
              <w:jc w:val="both"/>
              <w:rPr>
                <w:rFonts w:cs="Arial"/>
              </w:rPr>
            </w:pPr>
            <w:r w:rsidRPr="00E30642">
              <w:rPr>
                <w:rFonts w:cs="Arial"/>
              </w:rPr>
              <w:t>Chlumská stráň</w:t>
            </w:r>
          </w:p>
        </w:tc>
        <w:tc>
          <w:tcPr>
            <w:tcW w:w="960" w:type="dxa"/>
            <w:tcBorders>
              <w:top w:val="single" w:sz="6" w:space="0" w:color="auto"/>
              <w:left w:val="single" w:sz="6" w:space="0" w:color="auto"/>
              <w:bottom w:val="single" w:sz="6" w:space="0" w:color="auto"/>
              <w:right w:val="single" w:sz="6" w:space="0" w:color="auto"/>
            </w:tcBorders>
          </w:tcPr>
          <w:p w14:paraId="5E3B04CC" w14:textId="77777777" w:rsidR="00CA23D0" w:rsidRPr="00E30642" w:rsidRDefault="00CA23D0" w:rsidP="00CA23D0">
            <w:pPr>
              <w:pStyle w:val="Texttabulky"/>
              <w:spacing w:line="240" w:lineRule="atLeast"/>
              <w:jc w:val="both"/>
              <w:rPr>
                <w:rFonts w:cs="Arial"/>
              </w:rPr>
            </w:pPr>
            <w:r w:rsidRPr="00E30642">
              <w:rPr>
                <w:rFonts w:cs="Arial"/>
              </w:rPr>
              <w:t>27</w:t>
            </w:r>
          </w:p>
        </w:tc>
        <w:tc>
          <w:tcPr>
            <w:tcW w:w="885" w:type="dxa"/>
            <w:tcBorders>
              <w:top w:val="single" w:sz="6" w:space="0" w:color="auto"/>
              <w:left w:val="single" w:sz="6" w:space="0" w:color="auto"/>
              <w:bottom w:val="single" w:sz="6" w:space="0" w:color="auto"/>
              <w:right w:val="single" w:sz="6" w:space="0" w:color="auto"/>
            </w:tcBorders>
          </w:tcPr>
          <w:p w14:paraId="1933F3D8"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791E6CA6"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1F3B0B93"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3737D634" w14:textId="77777777" w:rsidR="00CA23D0" w:rsidRPr="00E30642" w:rsidRDefault="00CA23D0" w:rsidP="00CA23D0">
            <w:pPr>
              <w:pStyle w:val="Texttabulky"/>
              <w:spacing w:line="240" w:lineRule="atLeast"/>
              <w:jc w:val="both"/>
              <w:rPr>
                <w:rFonts w:cs="Arial"/>
              </w:rPr>
            </w:pPr>
            <w:r w:rsidRPr="00E30642">
              <w:rPr>
                <w:rFonts w:cs="Arial"/>
              </w:rPr>
              <w:t>20</w:t>
            </w:r>
          </w:p>
        </w:tc>
        <w:tc>
          <w:tcPr>
            <w:tcW w:w="960" w:type="dxa"/>
            <w:tcBorders>
              <w:top w:val="single" w:sz="6" w:space="0" w:color="auto"/>
              <w:left w:val="single" w:sz="6" w:space="0" w:color="auto"/>
              <w:bottom w:val="single" w:sz="6" w:space="0" w:color="auto"/>
              <w:right w:val="single" w:sz="6" w:space="0" w:color="auto"/>
            </w:tcBorders>
          </w:tcPr>
          <w:p w14:paraId="74214D86" w14:textId="77777777" w:rsidR="00CA23D0" w:rsidRPr="00E30642" w:rsidRDefault="00CA23D0" w:rsidP="00CA23D0">
            <w:pPr>
              <w:pStyle w:val="Texttabulky"/>
              <w:spacing w:line="240" w:lineRule="atLeast"/>
              <w:jc w:val="both"/>
              <w:rPr>
                <w:rFonts w:cs="Arial"/>
              </w:rPr>
            </w:pPr>
            <w:r w:rsidRPr="00E30642">
              <w:rPr>
                <w:rFonts w:cs="Arial"/>
              </w:rPr>
              <w:t>20</w:t>
            </w:r>
          </w:p>
        </w:tc>
      </w:tr>
      <w:tr w:rsidR="00CA23D0" w:rsidRPr="00E30642" w14:paraId="40FA1BCC" w14:textId="77777777" w:rsidTr="00CA23D0">
        <w:tc>
          <w:tcPr>
            <w:tcW w:w="705" w:type="dxa"/>
            <w:tcBorders>
              <w:top w:val="single" w:sz="6" w:space="0" w:color="auto"/>
              <w:left w:val="single" w:sz="6" w:space="0" w:color="auto"/>
              <w:bottom w:val="single" w:sz="6" w:space="0" w:color="auto"/>
              <w:right w:val="single" w:sz="6" w:space="0" w:color="auto"/>
            </w:tcBorders>
          </w:tcPr>
          <w:p w14:paraId="129D11B8" w14:textId="77777777" w:rsidR="00CA23D0" w:rsidRPr="00E30642" w:rsidRDefault="00CA23D0" w:rsidP="00CA23D0">
            <w:pPr>
              <w:pStyle w:val="Texttabulky"/>
              <w:spacing w:line="240" w:lineRule="atLeast"/>
              <w:jc w:val="both"/>
              <w:rPr>
                <w:rFonts w:cs="Arial"/>
              </w:rPr>
            </w:pPr>
            <w:r w:rsidRPr="00E30642">
              <w:rPr>
                <w:rFonts w:cs="Arial"/>
                <w:b/>
                <w:bCs/>
              </w:rPr>
              <w:t>15</w:t>
            </w:r>
          </w:p>
        </w:tc>
        <w:tc>
          <w:tcPr>
            <w:tcW w:w="2072" w:type="dxa"/>
            <w:tcBorders>
              <w:top w:val="single" w:sz="6" w:space="0" w:color="auto"/>
              <w:left w:val="single" w:sz="6" w:space="0" w:color="auto"/>
              <w:bottom w:val="single" w:sz="6" w:space="0" w:color="auto"/>
              <w:right w:val="single" w:sz="6" w:space="0" w:color="auto"/>
            </w:tcBorders>
          </w:tcPr>
          <w:p w14:paraId="2EBD77BE" w14:textId="77777777" w:rsidR="00CA23D0" w:rsidRPr="00E30642" w:rsidRDefault="00CA23D0" w:rsidP="00CA23D0">
            <w:pPr>
              <w:pStyle w:val="Texttabulky"/>
              <w:spacing w:line="240" w:lineRule="atLeast"/>
              <w:jc w:val="both"/>
              <w:rPr>
                <w:rFonts w:cs="Arial"/>
              </w:rPr>
            </w:pPr>
            <w:r w:rsidRPr="00E30642">
              <w:rPr>
                <w:rFonts w:cs="Arial"/>
              </w:rPr>
              <w:t>Pod Chlumem</w:t>
            </w:r>
          </w:p>
        </w:tc>
        <w:tc>
          <w:tcPr>
            <w:tcW w:w="960" w:type="dxa"/>
            <w:tcBorders>
              <w:top w:val="single" w:sz="6" w:space="0" w:color="auto"/>
              <w:left w:val="single" w:sz="6" w:space="0" w:color="auto"/>
              <w:bottom w:val="single" w:sz="6" w:space="0" w:color="auto"/>
              <w:right w:val="single" w:sz="6" w:space="0" w:color="auto"/>
            </w:tcBorders>
          </w:tcPr>
          <w:p w14:paraId="35A77AD5" w14:textId="77777777" w:rsidR="00CA23D0" w:rsidRPr="00E30642" w:rsidRDefault="00CA23D0" w:rsidP="00CA23D0">
            <w:pPr>
              <w:pStyle w:val="Texttabulky"/>
              <w:spacing w:line="240" w:lineRule="atLeast"/>
              <w:jc w:val="both"/>
              <w:rPr>
                <w:rFonts w:cs="Arial"/>
              </w:rPr>
            </w:pPr>
            <w:r w:rsidRPr="00E30642">
              <w:rPr>
                <w:rFonts w:cs="Arial"/>
              </w:rPr>
              <w:t>176</w:t>
            </w:r>
          </w:p>
        </w:tc>
        <w:tc>
          <w:tcPr>
            <w:tcW w:w="885" w:type="dxa"/>
            <w:tcBorders>
              <w:top w:val="single" w:sz="6" w:space="0" w:color="auto"/>
              <w:left w:val="single" w:sz="6" w:space="0" w:color="auto"/>
              <w:bottom w:val="single" w:sz="6" w:space="0" w:color="auto"/>
              <w:right w:val="single" w:sz="6" w:space="0" w:color="auto"/>
            </w:tcBorders>
          </w:tcPr>
          <w:p w14:paraId="752009CE"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6925082A"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4CB7157D"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26C03B45" w14:textId="77777777" w:rsidR="00CA23D0" w:rsidRPr="00E30642" w:rsidRDefault="00CA23D0" w:rsidP="00CA23D0">
            <w:pPr>
              <w:pStyle w:val="Texttabulky"/>
              <w:spacing w:line="240" w:lineRule="atLeast"/>
              <w:jc w:val="both"/>
              <w:rPr>
                <w:rFonts w:cs="Arial"/>
              </w:rPr>
            </w:pPr>
            <w:r w:rsidRPr="00E30642">
              <w:rPr>
                <w:rFonts w:cs="Arial"/>
              </w:rPr>
              <w:t>150</w:t>
            </w:r>
          </w:p>
        </w:tc>
        <w:tc>
          <w:tcPr>
            <w:tcW w:w="960" w:type="dxa"/>
            <w:tcBorders>
              <w:top w:val="single" w:sz="6" w:space="0" w:color="auto"/>
              <w:left w:val="single" w:sz="6" w:space="0" w:color="auto"/>
              <w:bottom w:val="single" w:sz="6" w:space="0" w:color="auto"/>
              <w:right w:val="single" w:sz="6" w:space="0" w:color="auto"/>
            </w:tcBorders>
          </w:tcPr>
          <w:p w14:paraId="37AE9E42"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606552BA" w14:textId="77777777" w:rsidTr="00CA23D0">
        <w:tc>
          <w:tcPr>
            <w:tcW w:w="705" w:type="dxa"/>
            <w:tcBorders>
              <w:top w:val="single" w:sz="6" w:space="0" w:color="auto"/>
              <w:left w:val="single" w:sz="6" w:space="0" w:color="auto"/>
              <w:bottom w:val="single" w:sz="6" w:space="0" w:color="auto"/>
              <w:right w:val="single" w:sz="6" w:space="0" w:color="auto"/>
            </w:tcBorders>
          </w:tcPr>
          <w:p w14:paraId="5609486F" w14:textId="77777777" w:rsidR="00CA23D0" w:rsidRPr="00E30642" w:rsidRDefault="00CA23D0" w:rsidP="00CA23D0">
            <w:pPr>
              <w:pStyle w:val="Texttabulky"/>
              <w:spacing w:line="240" w:lineRule="atLeast"/>
              <w:jc w:val="both"/>
              <w:rPr>
                <w:rFonts w:cs="Arial"/>
              </w:rPr>
            </w:pPr>
            <w:r w:rsidRPr="00E30642">
              <w:rPr>
                <w:rFonts w:cs="Arial"/>
                <w:b/>
                <w:bCs/>
              </w:rPr>
              <w:t>16</w:t>
            </w:r>
          </w:p>
        </w:tc>
        <w:tc>
          <w:tcPr>
            <w:tcW w:w="2072" w:type="dxa"/>
            <w:tcBorders>
              <w:top w:val="single" w:sz="6" w:space="0" w:color="auto"/>
              <w:left w:val="single" w:sz="6" w:space="0" w:color="auto"/>
              <w:bottom w:val="single" w:sz="6" w:space="0" w:color="auto"/>
              <w:right w:val="single" w:sz="6" w:space="0" w:color="auto"/>
            </w:tcBorders>
          </w:tcPr>
          <w:p w14:paraId="3D2CB6AC" w14:textId="77777777" w:rsidR="00CA23D0" w:rsidRPr="00E30642" w:rsidRDefault="00CA23D0" w:rsidP="00CA23D0">
            <w:pPr>
              <w:pStyle w:val="Texttabulky"/>
              <w:spacing w:line="240" w:lineRule="atLeast"/>
              <w:jc w:val="both"/>
              <w:rPr>
                <w:rFonts w:cs="Arial"/>
              </w:rPr>
            </w:pPr>
            <w:r w:rsidRPr="00E30642">
              <w:rPr>
                <w:rFonts w:cs="Arial"/>
              </w:rPr>
              <w:t>Vilsnice</w:t>
            </w:r>
          </w:p>
        </w:tc>
        <w:tc>
          <w:tcPr>
            <w:tcW w:w="960" w:type="dxa"/>
            <w:tcBorders>
              <w:top w:val="single" w:sz="6" w:space="0" w:color="auto"/>
              <w:left w:val="single" w:sz="6" w:space="0" w:color="auto"/>
              <w:bottom w:val="single" w:sz="6" w:space="0" w:color="auto"/>
              <w:right w:val="single" w:sz="6" w:space="0" w:color="auto"/>
            </w:tcBorders>
          </w:tcPr>
          <w:p w14:paraId="7768B0FC" w14:textId="77777777" w:rsidR="00CA23D0" w:rsidRPr="00E30642" w:rsidRDefault="00CA23D0" w:rsidP="00CA23D0">
            <w:pPr>
              <w:pStyle w:val="Texttabulky"/>
              <w:spacing w:line="240" w:lineRule="atLeast"/>
              <w:jc w:val="both"/>
              <w:rPr>
                <w:rFonts w:cs="Arial"/>
              </w:rPr>
            </w:pPr>
            <w:r w:rsidRPr="00E30642">
              <w:rPr>
                <w:rFonts w:cs="Arial"/>
              </w:rPr>
              <w:t>610</w:t>
            </w:r>
          </w:p>
        </w:tc>
        <w:tc>
          <w:tcPr>
            <w:tcW w:w="885" w:type="dxa"/>
            <w:tcBorders>
              <w:top w:val="single" w:sz="6" w:space="0" w:color="auto"/>
              <w:left w:val="single" w:sz="6" w:space="0" w:color="auto"/>
              <w:bottom w:val="single" w:sz="6" w:space="0" w:color="auto"/>
              <w:right w:val="single" w:sz="6" w:space="0" w:color="auto"/>
            </w:tcBorders>
          </w:tcPr>
          <w:p w14:paraId="065A9ED9"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5D8CA281"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77430720"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617555C7" w14:textId="77777777" w:rsidR="00CA23D0" w:rsidRPr="00E30642" w:rsidRDefault="00CA23D0" w:rsidP="00CA23D0">
            <w:pPr>
              <w:pStyle w:val="Texttabulky"/>
              <w:spacing w:line="240" w:lineRule="atLeast"/>
              <w:jc w:val="both"/>
              <w:rPr>
                <w:rFonts w:cs="Arial"/>
              </w:rPr>
            </w:pPr>
            <w:r w:rsidRPr="00E30642">
              <w:rPr>
                <w:rFonts w:cs="Arial"/>
              </w:rPr>
              <w:t>600</w:t>
            </w:r>
          </w:p>
        </w:tc>
        <w:tc>
          <w:tcPr>
            <w:tcW w:w="960" w:type="dxa"/>
            <w:tcBorders>
              <w:top w:val="single" w:sz="6" w:space="0" w:color="auto"/>
              <w:left w:val="single" w:sz="6" w:space="0" w:color="auto"/>
              <w:bottom w:val="single" w:sz="6" w:space="0" w:color="auto"/>
              <w:right w:val="single" w:sz="6" w:space="0" w:color="auto"/>
            </w:tcBorders>
          </w:tcPr>
          <w:p w14:paraId="6D689692" w14:textId="77777777" w:rsidR="00CA23D0" w:rsidRPr="00E30642" w:rsidRDefault="00CA23D0" w:rsidP="00CA23D0">
            <w:pPr>
              <w:pStyle w:val="Texttabulky"/>
              <w:spacing w:line="240" w:lineRule="atLeast"/>
              <w:jc w:val="both"/>
              <w:rPr>
                <w:rFonts w:cs="Arial"/>
              </w:rPr>
            </w:pPr>
            <w:r w:rsidRPr="00E30642">
              <w:rPr>
                <w:rFonts w:cs="Arial"/>
              </w:rPr>
              <w:t>600</w:t>
            </w:r>
          </w:p>
        </w:tc>
      </w:tr>
      <w:tr w:rsidR="00CA23D0" w:rsidRPr="00E30642" w14:paraId="5FF2428E" w14:textId="77777777" w:rsidTr="00CA23D0">
        <w:tc>
          <w:tcPr>
            <w:tcW w:w="705" w:type="dxa"/>
            <w:tcBorders>
              <w:top w:val="single" w:sz="6" w:space="0" w:color="auto"/>
              <w:left w:val="single" w:sz="6" w:space="0" w:color="auto"/>
              <w:bottom w:val="single" w:sz="6" w:space="0" w:color="auto"/>
              <w:right w:val="single" w:sz="6" w:space="0" w:color="auto"/>
            </w:tcBorders>
          </w:tcPr>
          <w:p w14:paraId="2A2394CB" w14:textId="77777777" w:rsidR="00CA23D0" w:rsidRPr="00E30642" w:rsidRDefault="00CA23D0" w:rsidP="00CA23D0">
            <w:pPr>
              <w:pStyle w:val="Texttabulky"/>
              <w:spacing w:line="240" w:lineRule="atLeast"/>
              <w:jc w:val="both"/>
              <w:rPr>
                <w:rFonts w:cs="Arial"/>
              </w:rPr>
            </w:pPr>
            <w:r w:rsidRPr="00E30642">
              <w:rPr>
                <w:rFonts w:cs="Arial"/>
                <w:b/>
                <w:bCs/>
              </w:rPr>
              <w:t>17</w:t>
            </w:r>
          </w:p>
        </w:tc>
        <w:tc>
          <w:tcPr>
            <w:tcW w:w="2072" w:type="dxa"/>
            <w:tcBorders>
              <w:top w:val="single" w:sz="6" w:space="0" w:color="auto"/>
              <w:left w:val="single" w:sz="6" w:space="0" w:color="auto"/>
              <w:bottom w:val="single" w:sz="6" w:space="0" w:color="auto"/>
              <w:right w:val="single" w:sz="6" w:space="0" w:color="auto"/>
            </w:tcBorders>
          </w:tcPr>
          <w:p w14:paraId="321006D0" w14:textId="77777777" w:rsidR="00CA23D0" w:rsidRPr="00E30642" w:rsidRDefault="00CA23D0" w:rsidP="00CA23D0">
            <w:pPr>
              <w:pStyle w:val="Texttabulky"/>
              <w:spacing w:line="240" w:lineRule="atLeast"/>
              <w:jc w:val="both"/>
              <w:rPr>
                <w:rFonts w:cs="Arial"/>
              </w:rPr>
            </w:pPr>
            <w:r w:rsidRPr="00E30642">
              <w:rPr>
                <w:rFonts w:cs="Arial"/>
              </w:rPr>
              <w:t>Chrochvice</w:t>
            </w:r>
          </w:p>
        </w:tc>
        <w:tc>
          <w:tcPr>
            <w:tcW w:w="960" w:type="dxa"/>
            <w:tcBorders>
              <w:top w:val="single" w:sz="6" w:space="0" w:color="auto"/>
              <w:left w:val="single" w:sz="6" w:space="0" w:color="auto"/>
              <w:bottom w:val="single" w:sz="6" w:space="0" w:color="auto"/>
              <w:right w:val="single" w:sz="6" w:space="0" w:color="auto"/>
            </w:tcBorders>
          </w:tcPr>
          <w:p w14:paraId="2BE235F3" w14:textId="77777777" w:rsidR="00CA23D0" w:rsidRPr="00E30642" w:rsidRDefault="00CA23D0" w:rsidP="00CA23D0">
            <w:pPr>
              <w:pStyle w:val="Texttabulky"/>
              <w:spacing w:line="240" w:lineRule="atLeast"/>
              <w:jc w:val="both"/>
              <w:rPr>
                <w:rFonts w:cs="Arial"/>
              </w:rPr>
            </w:pPr>
            <w:r w:rsidRPr="00E30642">
              <w:rPr>
                <w:rFonts w:cs="Arial"/>
              </w:rPr>
              <w:t>1 349</w:t>
            </w:r>
          </w:p>
        </w:tc>
        <w:tc>
          <w:tcPr>
            <w:tcW w:w="885" w:type="dxa"/>
            <w:tcBorders>
              <w:top w:val="single" w:sz="6" w:space="0" w:color="auto"/>
              <w:left w:val="single" w:sz="6" w:space="0" w:color="auto"/>
              <w:bottom w:val="single" w:sz="6" w:space="0" w:color="auto"/>
              <w:right w:val="single" w:sz="6" w:space="0" w:color="auto"/>
            </w:tcBorders>
          </w:tcPr>
          <w:p w14:paraId="203C83B2" w14:textId="77777777" w:rsidR="00CA23D0" w:rsidRPr="00E30642" w:rsidRDefault="00CA23D0" w:rsidP="00CA23D0">
            <w:pPr>
              <w:pStyle w:val="Texttabulky"/>
              <w:spacing w:line="240" w:lineRule="atLeast"/>
              <w:jc w:val="both"/>
              <w:rPr>
                <w:rFonts w:cs="Arial"/>
              </w:rPr>
            </w:pPr>
            <w:r w:rsidRPr="00E30642">
              <w:rPr>
                <w:rFonts w:cs="Arial"/>
              </w:rPr>
              <w:t>65</w:t>
            </w:r>
          </w:p>
        </w:tc>
        <w:tc>
          <w:tcPr>
            <w:tcW w:w="855" w:type="dxa"/>
            <w:tcBorders>
              <w:top w:val="single" w:sz="6" w:space="0" w:color="auto"/>
              <w:left w:val="single" w:sz="6" w:space="0" w:color="auto"/>
              <w:bottom w:val="single" w:sz="6" w:space="0" w:color="auto"/>
              <w:right w:val="single" w:sz="6" w:space="0" w:color="auto"/>
            </w:tcBorders>
          </w:tcPr>
          <w:p w14:paraId="4C950407" w14:textId="77777777" w:rsidR="00CA23D0" w:rsidRPr="00E30642" w:rsidRDefault="00CA23D0" w:rsidP="00CA23D0">
            <w:pPr>
              <w:pStyle w:val="Texttabulky"/>
              <w:spacing w:line="240" w:lineRule="atLeast"/>
              <w:jc w:val="both"/>
              <w:rPr>
                <w:rFonts w:cs="Arial"/>
              </w:rPr>
            </w:pPr>
            <w:r w:rsidRPr="00E30642">
              <w:rPr>
                <w:rFonts w:cs="Arial"/>
              </w:rPr>
              <w:t>45</w:t>
            </w:r>
          </w:p>
        </w:tc>
        <w:tc>
          <w:tcPr>
            <w:tcW w:w="844" w:type="dxa"/>
            <w:tcBorders>
              <w:top w:val="single" w:sz="6" w:space="0" w:color="auto"/>
              <w:left w:val="single" w:sz="6" w:space="0" w:color="auto"/>
              <w:bottom w:val="single" w:sz="6" w:space="0" w:color="auto"/>
              <w:right w:val="single" w:sz="6" w:space="0" w:color="auto"/>
            </w:tcBorders>
          </w:tcPr>
          <w:p w14:paraId="0BC85B82" w14:textId="77777777" w:rsidR="00CA23D0" w:rsidRPr="00E30642" w:rsidRDefault="00CA23D0" w:rsidP="00CA23D0">
            <w:pPr>
              <w:pStyle w:val="Texttabulky"/>
              <w:spacing w:line="240" w:lineRule="atLeast"/>
              <w:jc w:val="both"/>
              <w:rPr>
                <w:rFonts w:cs="Arial"/>
              </w:rPr>
            </w:pPr>
            <w:r w:rsidRPr="00E30642">
              <w:rPr>
                <w:rFonts w:cs="Arial"/>
              </w:rPr>
              <w:t>220</w:t>
            </w:r>
          </w:p>
        </w:tc>
        <w:tc>
          <w:tcPr>
            <w:tcW w:w="960" w:type="dxa"/>
            <w:tcBorders>
              <w:top w:val="single" w:sz="6" w:space="0" w:color="auto"/>
              <w:left w:val="single" w:sz="6" w:space="0" w:color="auto"/>
              <w:bottom w:val="single" w:sz="6" w:space="0" w:color="auto"/>
              <w:right w:val="single" w:sz="6" w:space="0" w:color="auto"/>
            </w:tcBorders>
          </w:tcPr>
          <w:p w14:paraId="206B5156" w14:textId="77777777" w:rsidR="00CA23D0" w:rsidRPr="00E30642" w:rsidRDefault="00CA23D0" w:rsidP="00CA23D0">
            <w:pPr>
              <w:pStyle w:val="Texttabulky"/>
              <w:spacing w:line="240" w:lineRule="atLeast"/>
              <w:jc w:val="both"/>
              <w:rPr>
                <w:rFonts w:cs="Arial"/>
              </w:rPr>
            </w:pPr>
            <w:r w:rsidRPr="00E30642">
              <w:rPr>
                <w:rFonts w:cs="Arial"/>
              </w:rPr>
              <w:t>1 360</w:t>
            </w:r>
          </w:p>
        </w:tc>
        <w:tc>
          <w:tcPr>
            <w:tcW w:w="960" w:type="dxa"/>
            <w:tcBorders>
              <w:top w:val="single" w:sz="6" w:space="0" w:color="auto"/>
              <w:left w:val="single" w:sz="6" w:space="0" w:color="auto"/>
              <w:bottom w:val="single" w:sz="6" w:space="0" w:color="auto"/>
              <w:right w:val="single" w:sz="6" w:space="0" w:color="auto"/>
            </w:tcBorders>
          </w:tcPr>
          <w:p w14:paraId="501C122E" w14:textId="77777777" w:rsidR="00CA23D0" w:rsidRPr="00E30642" w:rsidRDefault="00CA23D0" w:rsidP="00CA23D0">
            <w:pPr>
              <w:pStyle w:val="Texttabulky"/>
              <w:spacing w:line="240" w:lineRule="atLeast"/>
              <w:jc w:val="both"/>
              <w:rPr>
                <w:rFonts w:cs="Arial"/>
              </w:rPr>
            </w:pPr>
            <w:r w:rsidRPr="00E30642">
              <w:rPr>
                <w:rFonts w:cs="Arial"/>
              </w:rPr>
              <w:t>1 580</w:t>
            </w:r>
          </w:p>
        </w:tc>
      </w:tr>
      <w:tr w:rsidR="00CA23D0" w:rsidRPr="00E30642" w14:paraId="5E1F565E" w14:textId="77777777" w:rsidTr="00CA23D0">
        <w:tc>
          <w:tcPr>
            <w:tcW w:w="705" w:type="dxa"/>
            <w:tcBorders>
              <w:top w:val="single" w:sz="6" w:space="0" w:color="auto"/>
              <w:left w:val="single" w:sz="6" w:space="0" w:color="auto"/>
              <w:bottom w:val="single" w:sz="6" w:space="0" w:color="auto"/>
              <w:right w:val="single" w:sz="6" w:space="0" w:color="auto"/>
            </w:tcBorders>
          </w:tcPr>
          <w:p w14:paraId="6BF0253D" w14:textId="77777777" w:rsidR="00CA23D0" w:rsidRPr="00E30642" w:rsidRDefault="00CA23D0" w:rsidP="00CA23D0">
            <w:pPr>
              <w:pStyle w:val="Texttabulky"/>
              <w:spacing w:line="240" w:lineRule="atLeast"/>
              <w:jc w:val="both"/>
              <w:rPr>
                <w:rFonts w:cs="Arial"/>
              </w:rPr>
            </w:pPr>
            <w:r w:rsidRPr="00E30642">
              <w:rPr>
                <w:rFonts w:cs="Arial"/>
                <w:b/>
                <w:bCs/>
              </w:rPr>
              <w:t>18</w:t>
            </w:r>
          </w:p>
        </w:tc>
        <w:tc>
          <w:tcPr>
            <w:tcW w:w="2072" w:type="dxa"/>
            <w:tcBorders>
              <w:top w:val="single" w:sz="6" w:space="0" w:color="auto"/>
              <w:left w:val="single" w:sz="6" w:space="0" w:color="auto"/>
              <w:bottom w:val="single" w:sz="6" w:space="0" w:color="auto"/>
              <w:right w:val="single" w:sz="6" w:space="0" w:color="auto"/>
            </w:tcBorders>
          </w:tcPr>
          <w:p w14:paraId="76D18553" w14:textId="77777777" w:rsidR="00CA23D0" w:rsidRPr="00E30642" w:rsidRDefault="00CA23D0" w:rsidP="00CA23D0">
            <w:pPr>
              <w:pStyle w:val="Texttabulky"/>
              <w:spacing w:line="240" w:lineRule="atLeast"/>
              <w:jc w:val="both"/>
              <w:rPr>
                <w:rFonts w:cs="Arial"/>
              </w:rPr>
            </w:pPr>
            <w:r w:rsidRPr="00E30642">
              <w:rPr>
                <w:rFonts w:cs="Arial"/>
              </w:rPr>
              <w:t>Rozbělesy</w:t>
            </w:r>
          </w:p>
        </w:tc>
        <w:tc>
          <w:tcPr>
            <w:tcW w:w="960" w:type="dxa"/>
            <w:tcBorders>
              <w:top w:val="single" w:sz="6" w:space="0" w:color="auto"/>
              <w:left w:val="single" w:sz="6" w:space="0" w:color="auto"/>
              <w:bottom w:val="single" w:sz="6" w:space="0" w:color="auto"/>
              <w:right w:val="single" w:sz="6" w:space="0" w:color="auto"/>
            </w:tcBorders>
          </w:tcPr>
          <w:p w14:paraId="5EF4BE35" w14:textId="77777777" w:rsidR="00CA23D0" w:rsidRPr="00E30642" w:rsidRDefault="00CA23D0" w:rsidP="00CA23D0">
            <w:pPr>
              <w:pStyle w:val="Texttabulky"/>
              <w:spacing w:line="240" w:lineRule="atLeast"/>
              <w:jc w:val="both"/>
              <w:rPr>
                <w:rFonts w:cs="Arial"/>
              </w:rPr>
            </w:pPr>
            <w:r w:rsidRPr="00E30642">
              <w:rPr>
                <w:rFonts w:cs="Arial"/>
              </w:rPr>
              <w:t>569</w:t>
            </w:r>
          </w:p>
        </w:tc>
        <w:tc>
          <w:tcPr>
            <w:tcW w:w="885" w:type="dxa"/>
            <w:tcBorders>
              <w:top w:val="single" w:sz="6" w:space="0" w:color="auto"/>
              <w:left w:val="single" w:sz="6" w:space="0" w:color="auto"/>
              <w:bottom w:val="single" w:sz="6" w:space="0" w:color="auto"/>
              <w:right w:val="single" w:sz="6" w:space="0" w:color="auto"/>
            </w:tcBorders>
          </w:tcPr>
          <w:p w14:paraId="6E31D73C"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091B0CCA"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6DC65BC0"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6DBAC1B1" w14:textId="77777777" w:rsidR="00CA23D0" w:rsidRPr="00E30642" w:rsidRDefault="00CA23D0" w:rsidP="00CA23D0">
            <w:pPr>
              <w:pStyle w:val="Texttabulky"/>
              <w:spacing w:line="240" w:lineRule="atLeast"/>
              <w:jc w:val="both"/>
              <w:rPr>
                <w:rFonts w:cs="Arial"/>
              </w:rPr>
            </w:pPr>
            <w:r w:rsidRPr="00E30642">
              <w:rPr>
                <w:rFonts w:cs="Arial"/>
              </w:rPr>
              <w:t>500</w:t>
            </w:r>
          </w:p>
        </w:tc>
        <w:tc>
          <w:tcPr>
            <w:tcW w:w="960" w:type="dxa"/>
            <w:tcBorders>
              <w:top w:val="single" w:sz="6" w:space="0" w:color="auto"/>
              <w:left w:val="single" w:sz="6" w:space="0" w:color="auto"/>
              <w:bottom w:val="single" w:sz="6" w:space="0" w:color="auto"/>
              <w:right w:val="single" w:sz="6" w:space="0" w:color="auto"/>
            </w:tcBorders>
          </w:tcPr>
          <w:p w14:paraId="30A5A7B3" w14:textId="77777777" w:rsidR="00CA23D0" w:rsidRPr="00E30642" w:rsidRDefault="00CA23D0" w:rsidP="00CA23D0">
            <w:pPr>
              <w:pStyle w:val="Texttabulky"/>
              <w:spacing w:line="240" w:lineRule="atLeast"/>
              <w:jc w:val="both"/>
              <w:rPr>
                <w:rFonts w:cs="Arial"/>
              </w:rPr>
            </w:pPr>
            <w:r w:rsidRPr="00E30642">
              <w:rPr>
                <w:rFonts w:cs="Arial"/>
              </w:rPr>
              <w:t>500</w:t>
            </w:r>
          </w:p>
        </w:tc>
      </w:tr>
      <w:tr w:rsidR="00CA23D0" w:rsidRPr="00E30642" w14:paraId="088AD2B9" w14:textId="77777777" w:rsidTr="00CA23D0">
        <w:tc>
          <w:tcPr>
            <w:tcW w:w="705" w:type="dxa"/>
            <w:tcBorders>
              <w:top w:val="single" w:sz="6" w:space="0" w:color="auto"/>
              <w:left w:val="single" w:sz="6" w:space="0" w:color="auto"/>
              <w:bottom w:val="single" w:sz="6" w:space="0" w:color="auto"/>
              <w:right w:val="single" w:sz="6" w:space="0" w:color="auto"/>
            </w:tcBorders>
          </w:tcPr>
          <w:p w14:paraId="734133E7" w14:textId="77777777" w:rsidR="00CA23D0" w:rsidRPr="00E30642" w:rsidRDefault="00CA23D0" w:rsidP="00CA23D0">
            <w:pPr>
              <w:pStyle w:val="Texttabulky"/>
              <w:spacing w:line="240" w:lineRule="atLeast"/>
              <w:jc w:val="both"/>
              <w:rPr>
                <w:rFonts w:cs="Arial"/>
              </w:rPr>
            </w:pPr>
            <w:r w:rsidRPr="00E30642">
              <w:rPr>
                <w:rFonts w:cs="Arial"/>
                <w:b/>
                <w:bCs/>
              </w:rPr>
              <w:t>19</w:t>
            </w:r>
          </w:p>
        </w:tc>
        <w:tc>
          <w:tcPr>
            <w:tcW w:w="2072" w:type="dxa"/>
            <w:tcBorders>
              <w:top w:val="single" w:sz="6" w:space="0" w:color="auto"/>
              <w:left w:val="single" w:sz="6" w:space="0" w:color="auto"/>
              <w:bottom w:val="single" w:sz="6" w:space="0" w:color="auto"/>
              <w:right w:val="single" w:sz="6" w:space="0" w:color="auto"/>
            </w:tcBorders>
          </w:tcPr>
          <w:p w14:paraId="27712A5E" w14:textId="77777777" w:rsidR="00CA23D0" w:rsidRPr="00E30642" w:rsidRDefault="00CA23D0" w:rsidP="00CA23D0">
            <w:pPr>
              <w:pStyle w:val="Texttabulky"/>
              <w:spacing w:line="240" w:lineRule="atLeast"/>
              <w:jc w:val="both"/>
              <w:rPr>
                <w:rFonts w:cs="Arial"/>
              </w:rPr>
            </w:pPr>
            <w:r w:rsidRPr="00E30642">
              <w:rPr>
                <w:rFonts w:cs="Arial"/>
              </w:rPr>
              <w:t>Hlavní nádraží</w:t>
            </w:r>
          </w:p>
        </w:tc>
        <w:tc>
          <w:tcPr>
            <w:tcW w:w="960" w:type="dxa"/>
            <w:tcBorders>
              <w:top w:val="single" w:sz="6" w:space="0" w:color="auto"/>
              <w:left w:val="single" w:sz="6" w:space="0" w:color="auto"/>
              <w:bottom w:val="single" w:sz="6" w:space="0" w:color="auto"/>
              <w:right w:val="single" w:sz="6" w:space="0" w:color="auto"/>
            </w:tcBorders>
          </w:tcPr>
          <w:p w14:paraId="3B731EF5" w14:textId="77777777" w:rsidR="00CA23D0" w:rsidRPr="00E30642" w:rsidRDefault="00CA23D0" w:rsidP="00CA23D0">
            <w:pPr>
              <w:pStyle w:val="Texttabulky"/>
              <w:spacing w:line="240" w:lineRule="atLeast"/>
              <w:jc w:val="both"/>
              <w:rPr>
                <w:rFonts w:cs="Arial"/>
              </w:rPr>
            </w:pPr>
            <w:r w:rsidRPr="00E30642">
              <w:rPr>
                <w:rFonts w:cs="Arial"/>
              </w:rPr>
              <w:t>152</w:t>
            </w:r>
          </w:p>
        </w:tc>
        <w:tc>
          <w:tcPr>
            <w:tcW w:w="885" w:type="dxa"/>
            <w:tcBorders>
              <w:top w:val="single" w:sz="6" w:space="0" w:color="auto"/>
              <w:left w:val="single" w:sz="6" w:space="0" w:color="auto"/>
              <w:bottom w:val="single" w:sz="6" w:space="0" w:color="auto"/>
              <w:right w:val="single" w:sz="6" w:space="0" w:color="auto"/>
            </w:tcBorders>
          </w:tcPr>
          <w:p w14:paraId="4A77696E"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6214854A"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484A4A0A"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65073986" w14:textId="77777777" w:rsidR="00CA23D0" w:rsidRPr="00E30642" w:rsidRDefault="00CA23D0" w:rsidP="00CA23D0">
            <w:pPr>
              <w:pStyle w:val="Texttabulky"/>
              <w:spacing w:line="240" w:lineRule="atLeast"/>
              <w:jc w:val="both"/>
              <w:rPr>
                <w:rFonts w:cs="Arial"/>
              </w:rPr>
            </w:pPr>
            <w:r w:rsidRPr="00E30642">
              <w:rPr>
                <w:rFonts w:cs="Arial"/>
              </w:rPr>
              <w:t>150</w:t>
            </w:r>
          </w:p>
        </w:tc>
        <w:tc>
          <w:tcPr>
            <w:tcW w:w="960" w:type="dxa"/>
            <w:tcBorders>
              <w:top w:val="single" w:sz="6" w:space="0" w:color="auto"/>
              <w:left w:val="single" w:sz="6" w:space="0" w:color="auto"/>
              <w:bottom w:val="single" w:sz="6" w:space="0" w:color="auto"/>
              <w:right w:val="single" w:sz="6" w:space="0" w:color="auto"/>
            </w:tcBorders>
          </w:tcPr>
          <w:p w14:paraId="6136A5FD"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577DCBD4" w14:textId="77777777" w:rsidTr="00CA23D0">
        <w:tc>
          <w:tcPr>
            <w:tcW w:w="705" w:type="dxa"/>
            <w:tcBorders>
              <w:top w:val="single" w:sz="6" w:space="0" w:color="auto"/>
              <w:left w:val="single" w:sz="6" w:space="0" w:color="auto"/>
              <w:bottom w:val="single" w:sz="6" w:space="0" w:color="auto"/>
              <w:right w:val="single" w:sz="6" w:space="0" w:color="auto"/>
            </w:tcBorders>
          </w:tcPr>
          <w:p w14:paraId="50C2C7B1" w14:textId="77777777" w:rsidR="00CA23D0" w:rsidRPr="00E30642" w:rsidRDefault="00CA23D0" w:rsidP="00CA23D0">
            <w:pPr>
              <w:pStyle w:val="Texttabulky"/>
              <w:spacing w:line="240" w:lineRule="atLeast"/>
              <w:jc w:val="both"/>
              <w:rPr>
                <w:rFonts w:cs="Arial"/>
              </w:rPr>
            </w:pPr>
            <w:r w:rsidRPr="00E30642">
              <w:rPr>
                <w:rFonts w:cs="Arial"/>
                <w:b/>
                <w:bCs/>
              </w:rPr>
              <w:t>20</w:t>
            </w:r>
          </w:p>
        </w:tc>
        <w:tc>
          <w:tcPr>
            <w:tcW w:w="2072" w:type="dxa"/>
            <w:tcBorders>
              <w:top w:val="single" w:sz="6" w:space="0" w:color="auto"/>
              <w:left w:val="single" w:sz="6" w:space="0" w:color="auto"/>
              <w:bottom w:val="single" w:sz="6" w:space="0" w:color="auto"/>
              <w:right w:val="single" w:sz="6" w:space="0" w:color="auto"/>
            </w:tcBorders>
          </w:tcPr>
          <w:p w14:paraId="5B73ABE3" w14:textId="77777777" w:rsidR="00CA23D0" w:rsidRPr="00E30642" w:rsidRDefault="00CA23D0" w:rsidP="00CA23D0">
            <w:pPr>
              <w:pStyle w:val="Texttabulky"/>
              <w:spacing w:line="240" w:lineRule="atLeast"/>
              <w:jc w:val="both"/>
              <w:rPr>
                <w:rFonts w:cs="Arial"/>
              </w:rPr>
            </w:pPr>
            <w:r w:rsidRPr="00E30642">
              <w:rPr>
                <w:rFonts w:cs="Arial"/>
              </w:rPr>
              <w:t>Želenice</w:t>
            </w:r>
          </w:p>
        </w:tc>
        <w:tc>
          <w:tcPr>
            <w:tcW w:w="960" w:type="dxa"/>
            <w:tcBorders>
              <w:top w:val="single" w:sz="6" w:space="0" w:color="auto"/>
              <w:left w:val="single" w:sz="6" w:space="0" w:color="auto"/>
              <w:bottom w:val="single" w:sz="6" w:space="0" w:color="auto"/>
              <w:right w:val="single" w:sz="6" w:space="0" w:color="auto"/>
            </w:tcBorders>
          </w:tcPr>
          <w:p w14:paraId="7F961474" w14:textId="77777777" w:rsidR="00CA23D0" w:rsidRPr="00E30642" w:rsidRDefault="00CA23D0" w:rsidP="00CA23D0">
            <w:pPr>
              <w:pStyle w:val="Texttabulky"/>
              <w:spacing w:line="240" w:lineRule="atLeast"/>
              <w:jc w:val="both"/>
              <w:rPr>
                <w:rFonts w:cs="Arial"/>
              </w:rPr>
            </w:pPr>
            <w:r w:rsidRPr="00E30642">
              <w:rPr>
                <w:rFonts w:cs="Arial"/>
              </w:rPr>
              <w:t>5 566</w:t>
            </w:r>
          </w:p>
        </w:tc>
        <w:tc>
          <w:tcPr>
            <w:tcW w:w="885" w:type="dxa"/>
            <w:tcBorders>
              <w:top w:val="single" w:sz="6" w:space="0" w:color="auto"/>
              <w:left w:val="single" w:sz="6" w:space="0" w:color="auto"/>
              <w:bottom w:val="single" w:sz="6" w:space="0" w:color="auto"/>
              <w:right w:val="single" w:sz="6" w:space="0" w:color="auto"/>
            </w:tcBorders>
          </w:tcPr>
          <w:p w14:paraId="3B9BA30C" w14:textId="77777777" w:rsidR="00CA23D0" w:rsidRPr="00E30642" w:rsidRDefault="00CA23D0" w:rsidP="00CA23D0">
            <w:pPr>
              <w:pStyle w:val="Texttabulky"/>
              <w:spacing w:line="240" w:lineRule="atLeast"/>
              <w:jc w:val="both"/>
              <w:rPr>
                <w:rFonts w:cs="Arial"/>
              </w:rPr>
            </w:pPr>
            <w:r w:rsidRPr="00E30642">
              <w:rPr>
                <w:rFonts w:cs="Arial"/>
              </w:rPr>
              <w:t>310</w:t>
            </w:r>
          </w:p>
        </w:tc>
        <w:tc>
          <w:tcPr>
            <w:tcW w:w="855" w:type="dxa"/>
            <w:tcBorders>
              <w:top w:val="single" w:sz="6" w:space="0" w:color="auto"/>
              <w:left w:val="single" w:sz="6" w:space="0" w:color="auto"/>
              <w:bottom w:val="single" w:sz="6" w:space="0" w:color="auto"/>
              <w:right w:val="single" w:sz="6" w:space="0" w:color="auto"/>
            </w:tcBorders>
          </w:tcPr>
          <w:p w14:paraId="5CCAD568" w14:textId="77777777" w:rsidR="00CA23D0" w:rsidRPr="00E30642" w:rsidRDefault="00CA23D0" w:rsidP="00CA23D0">
            <w:pPr>
              <w:pStyle w:val="Texttabulky"/>
              <w:spacing w:line="240" w:lineRule="atLeast"/>
              <w:jc w:val="both"/>
              <w:rPr>
                <w:rFonts w:cs="Arial"/>
              </w:rPr>
            </w:pPr>
            <w:r w:rsidRPr="00E30642">
              <w:rPr>
                <w:rFonts w:cs="Arial"/>
              </w:rPr>
              <w:t>105</w:t>
            </w:r>
          </w:p>
        </w:tc>
        <w:tc>
          <w:tcPr>
            <w:tcW w:w="844" w:type="dxa"/>
            <w:tcBorders>
              <w:top w:val="single" w:sz="6" w:space="0" w:color="auto"/>
              <w:left w:val="single" w:sz="6" w:space="0" w:color="auto"/>
              <w:bottom w:val="single" w:sz="6" w:space="0" w:color="auto"/>
              <w:right w:val="single" w:sz="6" w:space="0" w:color="auto"/>
            </w:tcBorders>
          </w:tcPr>
          <w:p w14:paraId="6C69CCA6"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31DCDC4A" w14:textId="77777777" w:rsidR="00CA23D0" w:rsidRPr="00E30642" w:rsidRDefault="00CA23D0" w:rsidP="00CA23D0">
            <w:pPr>
              <w:pStyle w:val="Texttabulky"/>
              <w:spacing w:line="240" w:lineRule="atLeast"/>
              <w:jc w:val="both"/>
              <w:rPr>
                <w:rFonts w:cs="Arial"/>
              </w:rPr>
            </w:pPr>
            <w:r w:rsidRPr="00E30642">
              <w:rPr>
                <w:rFonts w:cs="Arial"/>
              </w:rPr>
              <w:t>5 715</w:t>
            </w:r>
          </w:p>
        </w:tc>
        <w:tc>
          <w:tcPr>
            <w:tcW w:w="960" w:type="dxa"/>
            <w:tcBorders>
              <w:top w:val="single" w:sz="6" w:space="0" w:color="auto"/>
              <w:left w:val="single" w:sz="6" w:space="0" w:color="auto"/>
              <w:bottom w:val="single" w:sz="6" w:space="0" w:color="auto"/>
              <w:right w:val="single" w:sz="6" w:space="0" w:color="auto"/>
            </w:tcBorders>
          </w:tcPr>
          <w:p w14:paraId="00FBD096" w14:textId="77777777" w:rsidR="00CA23D0" w:rsidRPr="00E30642" w:rsidRDefault="00CA23D0" w:rsidP="00CA23D0">
            <w:pPr>
              <w:pStyle w:val="Texttabulky"/>
              <w:spacing w:line="240" w:lineRule="atLeast"/>
              <w:jc w:val="both"/>
              <w:rPr>
                <w:rFonts w:cs="Arial"/>
              </w:rPr>
            </w:pPr>
            <w:r w:rsidRPr="00E30642">
              <w:rPr>
                <w:rFonts w:cs="Arial"/>
              </w:rPr>
              <w:t>5 715</w:t>
            </w:r>
          </w:p>
        </w:tc>
      </w:tr>
      <w:tr w:rsidR="00CA23D0" w:rsidRPr="00E30642" w14:paraId="312C73F5" w14:textId="77777777" w:rsidTr="00CA23D0">
        <w:tc>
          <w:tcPr>
            <w:tcW w:w="705" w:type="dxa"/>
            <w:tcBorders>
              <w:top w:val="single" w:sz="6" w:space="0" w:color="auto"/>
              <w:left w:val="single" w:sz="6" w:space="0" w:color="auto"/>
              <w:bottom w:val="single" w:sz="6" w:space="0" w:color="auto"/>
              <w:right w:val="single" w:sz="6" w:space="0" w:color="auto"/>
            </w:tcBorders>
          </w:tcPr>
          <w:p w14:paraId="10016CD8" w14:textId="77777777" w:rsidR="00CA23D0" w:rsidRPr="00E30642" w:rsidRDefault="00CA23D0" w:rsidP="00CA23D0">
            <w:pPr>
              <w:pStyle w:val="Texttabulky"/>
              <w:spacing w:line="240" w:lineRule="atLeast"/>
              <w:jc w:val="both"/>
              <w:rPr>
                <w:rFonts w:cs="Arial"/>
              </w:rPr>
            </w:pPr>
            <w:r w:rsidRPr="00E30642">
              <w:rPr>
                <w:rFonts w:cs="Arial"/>
                <w:b/>
                <w:bCs/>
              </w:rPr>
              <w:t>21</w:t>
            </w:r>
          </w:p>
        </w:tc>
        <w:tc>
          <w:tcPr>
            <w:tcW w:w="2072" w:type="dxa"/>
            <w:tcBorders>
              <w:top w:val="single" w:sz="6" w:space="0" w:color="auto"/>
              <w:left w:val="single" w:sz="6" w:space="0" w:color="auto"/>
              <w:bottom w:val="single" w:sz="6" w:space="0" w:color="auto"/>
              <w:right w:val="single" w:sz="6" w:space="0" w:color="auto"/>
            </w:tcBorders>
          </w:tcPr>
          <w:p w14:paraId="21B95DD5" w14:textId="77777777" w:rsidR="00CA23D0" w:rsidRPr="00E30642" w:rsidRDefault="00CA23D0" w:rsidP="00CA23D0">
            <w:pPr>
              <w:pStyle w:val="Texttabulky"/>
              <w:spacing w:line="240" w:lineRule="atLeast"/>
              <w:jc w:val="both"/>
              <w:rPr>
                <w:rFonts w:cs="Arial"/>
              </w:rPr>
            </w:pPr>
            <w:r w:rsidRPr="00E30642">
              <w:rPr>
                <w:rFonts w:cs="Arial"/>
              </w:rPr>
              <w:t>Popovice</w:t>
            </w:r>
          </w:p>
        </w:tc>
        <w:tc>
          <w:tcPr>
            <w:tcW w:w="960" w:type="dxa"/>
            <w:tcBorders>
              <w:top w:val="single" w:sz="6" w:space="0" w:color="auto"/>
              <w:left w:val="single" w:sz="6" w:space="0" w:color="auto"/>
              <w:bottom w:val="single" w:sz="6" w:space="0" w:color="auto"/>
              <w:right w:val="single" w:sz="6" w:space="0" w:color="auto"/>
            </w:tcBorders>
          </w:tcPr>
          <w:p w14:paraId="5F51732B" w14:textId="77777777" w:rsidR="00CA23D0" w:rsidRPr="00E30642" w:rsidRDefault="00CA23D0" w:rsidP="00CA23D0">
            <w:pPr>
              <w:pStyle w:val="Texttabulky"/>
              <w:spacing w:line="240" w:lineRule="atLeast"/>
              <w:jc w:val="both"/>
              <w:rPr>
                <w:rFonts w:cs="Arial"/>
              </w:rPr>
            </w:pPr>
            <w:r w:rsidRPr="00E30642">
              <w:rPr>
                <w:rFonts w:cs="Arial"/>
              </w:rPr>
              <w:t>707</w:t>
            </w:r>
          </w:p>
        </w:tc>
        <w:tc>
          <w:tcPr>
            <w:tcW w:w="885" w:type="dxa"/>
            <w:tcBorders>
              <w:top w:val="single" w:sz="6" w:space="0" w:color="auto"/>
              <w:left w:val="single" w:sz="6" w:space="0" w:color="auto"/>
              <w:bottom w:val="single" w:sz="6" w:space="0" w:color="auto"/>
              <w:right w:val="single" w:sz="6" w:space="0" w:color="auto"/>
            </w:tcBorders>
          </w:tcPr>
          <w:p w14:paraId="52BC1AB4" w14:textId="77777777" w:rsidR="00CA23D0" w:rsidRPr="00E30642" w:rsidRDefault="00CA23D0" w:rsidP="00CA23D0">
            <w:pPr>
              <w:pStyle w:val="Texttabulky"/>
              <w:spacing w:line="240" w:lineRule="atLeast"/>
              <w:jc w:val="both"/>
              <w:rPr>
                <w:rFonts w:cs="Arial"/>
              </w:rPr>
            </w:pPr>
            <w:r w:rsidRPr="00E30642">
              <w:rPr>
                <w:rFonts w:cs="Arial"/>
              </w:rPr>
              <w:t>75</w:t>
            </w:r>
          </w:p>
        </w:tc>
        <w:tc>
          <w:tcPr>
            <w:tcW w:w="855" w:type="dxa"/>
            <w:tcBorders>
              <w:top w:val="single" w:sz="6" w:space="0" w:color="auto"/>
              <w:left w:val="single" w:sz="6" w:space="0" w:color="auto"/>
              <w:bottom w:val="single" w:sz="6" w:space="0" w:color="auto"/>
              <w:right w:val="single" w:sz="6" w:space="0" w:color="auto"/>
            </w:tcBorders>
          </w:tcPr>
          <w:p w14:paraId="15593C51"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1B6BA97F" w14:textId="77777777" w:rsidR="00CA23D0" w:rsidRPr="00E30642" w:rsidRDefault="00CA23D0" w:rsidP="00CA23D0">
            <w:pPr>
              <w:pStyle w:val="Texttabulky"/>
              <w:spacing w:line="240" w:lineRule="atLeast"/>
              <w:jc w:val="both"/>
              <w:rPr>
                <w:rFonts w:cs="Arial"/>
              </w:rPr>
            </w:pPr>
            <w:r w:rsidRPr="00E30642">
              <w:rPr>
                <w:rFonts w:cs="Arial"/>
              </w:rPr>
              <w:t>125</w:t>
            </w:r>
          </w:p>
        </w:tc>
        <w:tc>
          <w:tcPr>
            <w:tcW w:w="960" w:type="dxa"/>
            <w:tcBorders>
              <w:top w:val="single" w:sz="6" w:space="0" w:color="auto"/>
              <w:left w:val="single" w:sz="6" w:space="0" w:color="auto"/>
              <w:bottom w:val="single" w:sz="6" w:space="0" w:color="auto"/>
              <w:right w:val="single" w:sz="6" w:space="0" w:color="auto"/>
            </w:tcBorders>
          </w:tcPr>
          <w:p w14:paraId="0C523E36" w14:textId="77777777" w:rsidR="00CA23D0" w:rsidRPr="00E30642" w:rsidRDefault="00CA23D0" w:rsidP="00CA23D0">
            <w:pPr>
              <w:pStyle w:val="Texttabulky"/>
              <w:spacing w:line="240" w:lineRule="atLeast"/>
              <w:jc w:val="both"/>
              <w:rPr>
                <w:rFonts w:cs="Arial"/>
              </w:rPr>
            </w:pPr>
            <w:r w:rsidRPr="00E30642">
              <w:rPr>
                <w:rFonts w:cs="Arial"/>
              </w:rPr>
              <w:t>725</w:t>
            </w:r>
          </w:p>
        </w:tc>
        <w:tc>
          <w:tcPr>
            <w:tcW w:w="960" w:type="dxa"/>
            <w:tcBorders>
              <w:top w:val="single" w:sz="6" w:space="0" w:color="auto"/>
              <w:left w:val="single" w:sz="6" w:space="0" w:color="auto"/>
              <w:bottom w:val="single" w:sz="6" w:space="0" w:color="auto"/>
              <w:right w:val="single" w:sz="6" w:space="0" w:color="auto"/>
            </w:tcBorders>
          </w:tcPr>
          <w:p w14:paraId="4A29659F" w14:textId="77777777" w:rsidR="00CA23D0" w:rsidRPr="00E30642" w:rsidRDefault="00CA23D0" w:rsidP="00CA23D0">
            <w:pPr>
              <w:pStyle w:val="Texttabulky"/>
              <w:spacing w:line="240" w:lineRule="atLeast"/>
              <w:jc w:val="both"/>
              <w:rPr>
                <w:rFonts w:cs="Arial"/>
              </w:rPr>
            </w:pPr>
            <w:r w:rsidRPr="00E30642">
              <w:rPr>
                <w:rFonts w:cs="Arial"/>
              </w:rPr>
              <w:t>850</w:t>
            </w:r>
          </w:p>
        </w:tc>
      </w:tr>
      <w:tr w:rsidR="00CA23D0" w:rsidRPr="00E30642" w14:paraId="1F516D26" w14:textId="77777777" w:rsidTr="00CA23D0">
        <w:tc>
          <w:tcPr>
            <w:tcW w:w="705" w:type="dxa"/>
            <w:tcBorders>
              <w:top w:val="single" w:sz="6" w:space="0" w:color="auto"/>
              <w:left w:val="single" w:sz="6" w:space="0" w:color="auto"/>
              <w:bottom w:val="single" w:sz="6" w:space="0" w:color="auto"/>
              <w:right w:val="single" w:sz="6" w:space="0" w:color="auto"/>
            </w:tcBorders>
          </w:tcPr>
          <w:p w14:paraId="116946C3" w14:textId="77777777" w:rsidR="00CA23D0" w:rsidRPr="00E30642" w:rsidRDefault="00CA23D0" w:rsidP="00CA23D0">
            <w:pPr>
              <w:pStyle w:val="Texttabulky"/>
              <w:spacing w:line="240" w:lineRule="atLeast"/>
              <w:jc w:val="both"/>
              <w:rPr>
                <w:rFonts w:cs="Arial"/>
              </w:rPr>
            </w:pPr>
            <w:r w:rsidRPr="00E30642">
              <w:rPr>
                <w:rFonts w:cs="Arial"/>
                <w:b/>
                <w:bCs/>
              </w:rPr>
              <w:t>22</w:t>
            </w:r>
          </w:p>
        </w:tc>
        <w:tc>
          <w:tcPr>
            <w:tcW w:w="2072" w:type="dxa"/>
            <w:tcBorders>
              <w:top w:val="single" w:sz="6" w:space="0" w:color="auto"/>
              <w:left w:val="single" w:sz="6" w:space="0" w:color="auto"/>
              <w:bottom w:val="single" w:sz="6" w:space="0" w:color="auto"/>
              <w:right w:val="single" w:sz="6" w:space="0" w:color="auto"/>
            </w:tcBorders>
          </w:tcPr>
          <w:p w14:paraId="0ECC68A1" w14:textId="77777777" w:rsidR="00CA23D0" w:rsidRPr="00E30642" w:rsidRDefault="00CA23D0" w:rsidP="00CA23D0">
            <w:pPr>
              <w:pStyle w:val="Texttabulky"/>
              <w:spacing w:line="240" w:lineRule="atLeast"/>
              <w:jc w:val="both"/>
              <w:rPr>
                <w:rFonts w:cs="Arial"/>
              </w:rPr>
            </w:pPr>
            <w:r w:rsidRPr="00E30642">
              <w:rPr>
                <w:rFonts w:cs="Arial"/>
              </w:rPr>
              <w:t>Letná</w:t>
            </w:r>
          </w:p>
        </w:tc>
        <w:tc>
          <w:tcPr>
            <w:tcW w:w="960" w:type="dxa"/>
            <w:tcBorders>
              <w:top w:val="single" w:sz="6" w:space="0" w:color="auto"/>
              <w:left w:val="single" w:sz="6" w:space="0" w:color="auto"/>
              <w:bottom w:val="single" w:sz="6" w:space="0" w:color="auto"/>
              <w:right w:val="single" w:sz="6" w:space="0" w:color="auto"/>
            </w:tcBorders>
          </w:tcPr>
          <w:p w14:paraId="52D6AE65" w14:textId="77777777" w:rsidR="00CA23D0" w:rsidRPr="00E30642" w:rsidRDefault="00CA23D0" w:rsidP="00CA23D0">
            <w:pPr>
              <w:pStyle w:val="Texttabulky"/>
              <w:spacing w:line="240" w:lineRule="atLeast"/>
              <w:jc w:val="both"/>
              <w:rPr>
                <w:rFonts w:cs="Arial"/>
              </w:rPr>
            </w:pPr>
            <w:r w:rsidRPr="00E30642">
              <w:rPr>
                <w:rFonts w:cs="Arial"/>
              </w:rPr>
              <w:t>3 510</w:t>
            </w:r>
          </w:p>
        </w:tc>
        <w:tc>
          <w:tcPr>
            <w:tcW w:w="885" w:type="dxa"/>
            <w:tcBorders>
              <w:top w:val="single" w:sz="6" w:space="0" w:color="auto"/>
              <w:left w:val="single" w:sz="6" w:space="0" w:color="auto"/>
              <w:bottom w:val="single" w:sz="6" w:space="0" w:color="auto"/>
              <w:right w:val="single" w:sz="6" w:space="0" w:color="auto"/>
            </w:tcBorders>
          </w:tcPr>
          <w:p w14:paraId="10ED4497" w14:textId="77777777" w:rsidR="00CA23D0" w:rsidRPr="00E30642" w:rsidRDefault="00CA23D0" w:rsidP="00CA23D0">
            <w:pPr>
              <w:pStyle w:val="Texttabulky"/>
              <w:spacing w:line="240" w:lineRule="atLeast"/>
              <w:jc w:val="both"/>
              <w:rPr>
                <w:rFonts w:cs="Arial"/>
              </w:rPr>
            </w:pPr>
            <w:r w:rsidRPr="00E30642">
              <w:rPr>
                <w:rFonts w:cs="Arial"/>
              </w:rPr>
              <w:t>290</w:t>
            </w:r>
          </w:p>
        </w:tc>
        <w:tc>
          <w:tcPr>
            <w:tcW w:w="855" w:type="dxa"/>
            <w:tcBorders>
              <w:top w:val="single" w:sz="6" w:space="0" w:color="auto"/>
              <w:left w:val="single" w:sz="6" w:space="0" w:color="auto"/>
              <w:bottom w:val="single" w:sz="6" w:space="0" w:color="auto"/>
              <w:right w:val="single" w:sz="6" w:space="0" w:color="auto"/>
            </w:tcBorders>
          </w:tcPr>
          <w:p w14:paraId="796D1DE8" w14:textId="77777777" w:rsidR="00CA23D0" w:rsidRPr="00E30642" w:rsidRDefault="00CA23D0" w:rsidP="00CA23D0">
            <w:pPr>
              <w:pStyle w:val="Texttabulky"/>
              <w:spacing w:line="240" w:lineRule="atLeast"/>
              <w:jc w:val="both"/>
              <w:rPr>
                <w:rFonts w:cs="Arial"/>
              </w:rPr>
            </w:pPr>
            <w:r w:rsidRPr="00E30642">
              <w:rPr>
                <w:rFonts w:cs="Arial"/>
              </w:rPr>
              <w:t>620</w:t>
            </w:r>
          </w:p>
        </w:tc>
        <w:tc>
          <w:tcPr>
            <w:tcW w:w="844" w:type="dxa"/>
            <w:tcBorders>
              <w:top w:val="single" w:sz="6" w:space="0" w:color="auto"/>
              <w:left w:val="single" w:sz="6" w:space="0" w:color="auto"/>
              <w:bottom w:val="single" w:sz="6" w:space="0" w:color="auto"/>
              <w:right w:val="single" w:sz="6" w:space="0" w:color="auto"/>
            </w:tcBorders>
          </w:tcPr>
          <w:p w14:paraId="6A21514D" w14:textId="77777777" w:rsidR="00CA23D0" w:rsidRPr="00E30642" w:rsidRDefault="00CA23D0" w:rsidP="00CA23D0">
            <w:pPr>
              <w:pStyle w:val="Texttabulky"/>
              <w:spacing w:line="240" w:lineRule="atLeast"/>
              <w:jc w:val="both"/>
              <w:rPr>
                <w:rFonts w:cs="Arial"/>
              </w:rPr>
            </w:pPr>
            <w:r w:rsidRPr="00E30642">
              <w:rPr>
                <w:rFonts w:cs="Arial"/>
              </w:rPr>
              <w:t>75</w:t>
            </w:r>
          </w:p>
        </w:tc>
        <w:tc>
          <w:tcPr>
            <w:tcW w:w="960" w:type="dxa"/>
            <w:tcBorders>
              <w:top w:val="single" w:sz="6" w:space="0" w:color="auto"/>
              <w:left w:val="single" w:sz="6" w:space="0" w:color="auto"/>
              <w:bottom w:val="single" w:sz="6" w:space="0" w:color="auto"/>
              <w:right w:val="single" w:sz="6" w:space="0" w:color="auto"/>
            </w:tcBorders>
          </w:tcPr>
          <w:p w14:paraId="1B38F947" w14:textId="77777777" w:rsidR="00CA23D0" w:rsidRPr="00E30642" w:rsidRDefault="00CA23D0" w:rsidP="00CA23D0">
            <w:pPr>
              <w:pStyle w:val="Texttabulky"/>
              <w:spacing w:line="240" w:lineRule="atLeast"/>
              <w:jc w:val="both"/>
              <w:rPr>
                <w:rFonts w:cs="Arial"/>
              </w:rPr>
            </w:pPr>
            <w:r w:rsidRPr="00E30642">
              <w:rPr>
                <w:rFonts w:cs="Arial"/>
              </w:rPr>
              <w:t>4 310</w:t>
            </w:r>
          </w:p>
        </w:tc>
        <w:tc>
          <w:tcPr>
            <w:tcW w:w="960" w:type="dxa"/>
            <w:tcBorders>
              <w:top w:val="single" w:sz="6" w:space="0" w:color="auto"/>
              <w:left w:val="single" w:sz="6" w:space="0" w:color="auto"/>
              <w:bottom w:val="single" w:sz="6" w:space="0" w:color="auto"/>
              <w:right w:val="single" w:sz="6" w:space="0" w:color="auto"/>
            </w:tcBorders>
          </w:tcPr>
          <w:p w14:paraId="73BFC765" w14:textId="77777777" w:rsidR="00CA23D0" w:rsidRPr="00E30642" w:rsidRDefault="00CA23D0" w:rsidP="00CA23D0">
            <w:pPr>
              <w:pStyle w:val="Texttabulky"/>
              <w:spacing w:line="240" w:lineRule="atLeast"/>
              <w:jc w:val="both"/>
              <w:rPr>
                <w:rFonts w:cs="Arial"/>
              </w:rPr>
            </w:pPr>
            <w:r w:rsidRPr="00E30642">
              <w:rPr>
                <w:rFonts w:cs="Arial"/>
              </w:rPr>
              <w:t>4 385</w:t>
            </w:r>
          </w:p>
        </w:tc>
      </w:tr>
      <w:tr w:rsidR="00CA23D0" w:rsidRPr="00E30642" w14:paraId="2581BE69" w14:textId="77777777" w:rsidTr="00CA23D0">
        <w:tc>
          <w:tcPr>
            <w:tcW w:w="705" w:type="dxa"/>
            <w:tcBorders>
              <w:top w:val="single" w:sz="6" w:space="0" w:color="auto"/>
              <w:left w:val="single" w:sz="6" w:space="0" w:color="auto"/>
              <w:bottom w:val="single" w:sz="6" w:space="0" w:color="auto"/>
              <w:right w:val="single" w:sz="6" w:space="0" w:color="auto"/>
            </w:tcBorders>
          </w:tcPr>
          <w:p w14:paraId="11D4FD3C" w14:textId="77777777" w:rsidR="00CA23D0" w:rsidRPr="00E30642" w:rsidRDefault="00CA23D0" w:rsidP="00CA23D0">
            <w:pPr>
              <w:pStyle w:val="Texttabulky"/>
              <w:spacing w:line="240" w:lineRule="atLeast"/>
              <w:jc w:val="both"/>
              <w:rPr>
                <w:rFonts w:cs="Arial"/>
              </w:rPr>
            </w:pPr>
            <w:r w:rsidRPr="00E30642">
              <w:rPr>
                <w:rFonts w:cs="Arial"/>
                <w:b/>
                <w:bCs/>
              </w:rPr>
              <w:t>23</w:t>
            </w:r>
          </w:p>
        </w:tc>
        <w:tc>
          <w:tcPr>
            <w:tcW w:w="2072" w:type="dxa"/>
            <w:tcBorders>
              <w:top w:val="single" w:sz="6" w:space="0" w:color="auto"/>
              <w:left w:val="single" w:sz="6" w:space="0" w:color="auto"/>
              <w:bottom w:val="single" w:sz="6" w:space="0" w:color="auto"/>
              <w:right w:val="single" w:sz="6" w:space="0" w:color="auto"/>
            </w:tcBorders>
          </w:tcPr>
          <w:p w14:paraId="3303A3A4" w14:textId="77777777" w:rsidR="00CA23D0" w:rsidRPr="00E30642" w:rsidRDefault="00CA23D0" w:rsidP="00CA23D0">
            <w:pPr>
              <w:pStyle w:val="Texttabulky"/>
              <w:spacing w:line="240" w:lineRule="atLeast"/>
              <w:jc w:val="both"/>
              <w:rPr>
                <w:rFonts w:cs="Arial"/>
              </w:rPr>
            </w:pPr>
            <w:r w:rsidRPr="00E30642">
              <w:rPr>
                <w:rFonts w:cs="Arial"/>
              </w:rPr>
              <w:t>Podmokly</w:t>
            </w:r>
          </w:p>
        </w:tc>
        <w:tc>
          <w:tcPr>
            <w:tcW w:w="960" w:type="dxa"/>
            <w:tcBorders>
              <w:top w:val="single" w:sz="6" w:space="0" w:color="auto"/>
              <w:left w:val="single" w:sz="6" w:space="0" w:color="auto"/>
              <w:bottom w:val="single" w:sz="6" w:space="0" w:color="auto"/>
              <w:right w:val="single" w:sz="6" w:space="0" w:color="auto"/>
            </w:tcBorders>
          </w:tcPr>
          <w:p w14:paraId="2DA990F0" w14:textId="77777777" w:rsidR="00CA23D0" w:rsidRPr="00E30642" w:rsidRDefault="00CA23D0" w:rsidP="00CA23D0">
            <w:pPr>
              <w:pStyle w:val="Texttabulky"/>
              <w:spacing w:line="240" w:lineRule="atLeast"/>
              <w:jc w:val="both"/>
              <w:rPr>
                <w:rFonts w:cs="Arial"/>
              </w:rPr>
            </w:pPr>
            <w:r w:rsidRPr="00E30642">
              <w:rPr>
                <w:rFonts w:cs="Arial"/>
              </w:rPr>
              <w:t>4 957</w:t>
            </w:r>
          </w:p>
        </w:tc>
        <w:tc>
          <w:tcPr>
            <w:tcW w:w="885" w:type="dxa"/>
            <w:tcBorders>
              <w:top w:val="single" w:sz="6" w:space="0" w:color="auto"/>
              <w:left w:val="single" w:sz="6" w:space="0" w:color="auto"/>
              <w:bottom w:val="single" w:sz="6" w:space="0" w:color="auto"/>
              <w:right w:val="single" w:sz="6" w:space="0" w:color="auto"/>
            </w:tcBorders>
          </w:tcPr>
          <w:p w14:paraId="5D2A102B" w14:textId="77777777" w:rsidR="00CA23D0" w:rsidRPr="00E30642" w:rsidRDefault="00CA23D0" w:rsidP="00CA23D0">
            <w:pPr>
              <w:pStyle w:val="Texttabulky"/>
              <w:spacing w:line="240" w:lineRule="atLeast"/>
              <w:jc w:val="both"/>
              <w:rPr>
                <w:rFonts w:cs="Arial"/>
              </w:rPr>
            </w:pPr>
            <w:r w:rsidRPr="00E30642">
              <w:rPr>
                <w:rFonts w:cs="Arial"/>
              </w:rPr>
              <w:t>115</w:t>
            </w:r>
          </w:p>
        </w:tc>
        <w:tc>
          <w:tcPr>
            <w:tcW w:w="855" w:type="dxa"/>
            <w:tcBorders>
              <w:top w:val="single" w:sz="6" w:space="0" w:color="auto"/>
              <w:left w:val="single" w:sz="6" w:space="0" w:color="auto"/>
              <w:bottom w:val="single" w:sz="6" w:space="0" w:color="auto"/>
              <w:right w:val="single" w:sz="6" w:space="0" w:color="auto"/>
            </w:tcBorders>
          </w:tcPr>
          <w:p w14:paraId="31BB1850" w14:textId="77777777" w:rsidR="00CA23D0" w:rsidRPr="00E30642" w:rsidRDefault="00CA23D0" w:rsidP="00CA23D0">
            <w:pPr>
              <w:pStyle w:val="Texttabulky"/>
              <w:spacing w:line="240" w:lineRule="atLeast"/>
              <w:jc w:val="both"/>
              <w:rPr>
                <w:rFonts w:cs="Arial"/>
              </w:rPr>
            </w:pPr>
            <w:r w:rsidRPr="00E30642">
              <w:rPr>
                <w:rFonts w:cs="Arial"/>
              </w:rPr>
              <w:t>200</w:t>
            </w:r>
          </w:p>
        </w:tc>
        <w:tc>
          <w:tcPr>
            <w:tcW w:w="844" w:type="dxa"/>
            <w:tcBorders>
              <w:top w:val="single" w:sz="6" w:space="0" w:color="auto"/>
              <w:left w:val="single" w:sz="6" w:space="0" w:color="auto"/>
              <w:bottom w:val="single" w:sz="6" w:space="0" w:color="auto"/>
              <w:right w:val="single" w:sz="6" w:space="0" w:color="auto"/>
            </w:tcBorders>
          </w:tcPr>
          <w:p w14:paraId="71A094F8" w14:textId="77777777" w:rsidR="00CA23D0" w:rsidRPr="00E30642" w:rsidRDefault="00CA23D0" w:rsidP="00CA23D0">
            <w:pPr>
              <w:pStyle w:val="Texttabulky"/>
              <w:spacing w:line="240" w:lineRule="atLeast"/>
              <w:jc w:val="both"/>
              <w:rPr>
                <w:rFonts w:cs="Arial"/>
              </w:rPr>
            </w:pPr>
            <w:r w:rsidRPr="00E30642">
              <w:rPr>
                <w:rFonts w:cs="Arial"/>
              </w:rPr>
              <w:t>285</w:t>
            </w:r>
          </w:p>
        </w:tc>
        <w:tc>
          <w:tcPr>
            <w:tcW w:w="960" w:type="dxa"/>
            <w:tcBorders>
              <w:top w:val="single" w:sz="6" w:space="0" w:color="auto"/>
              <w:left w:val="single" w:sz="6" w:space="0" w:color="auto"/>
              <w:bottom w:val="single" w:sz="6" w:space="0" w:color="auto"/>
              <w:right w:val="single" w:sz="6" w:space="0" w:color="auto"/>
            </w:tcBorders>
          </w:tcPr>
          <w:p w14:paraId="387FDB1D" w14:textId="77777777" w:rsidR="00CA23D0" w:rsidRPr="00E30642" w:rsidRDefault="00CA23D0" w:rsidP="00CA23D0">
            <w:pPr>
              <w:pStyle w:val="Texttabulky"/>
              <w:spacing w:line="240" w:lineRule="atLeast"/>
              <w:jc w:val="both"/>
              <w:rPr>
                <w:rFonts w:cs="Arial"/>
              </w:rPr>
            </w:pPr>
            <w:r w:rsidRPr="00E30642">
              <w:rPr>
                <w:rFonts w:cs="Arial"/>
              </w:rPr>
              <w:t>5 015</w:t>
            </w:r>
          </w:p>
        </w:tc>
        <w:tc>
          <w:tcPr>
            <w:tcW w:w="960" w:type="dxa"/>
            <w:tcBorders>
              <w:top w:val="single" w:sz="6" w:space="0" w:color="auto"/>
              <w:left w:val="single" w:sz="6" w:space="0" w:color="auto"/>
              <w:bottom w:val="single" w:sz="6" w:space="0" w:color="auto"/>
              <w:right w:val="single" w:sz="6" w:space="0" w:color="auto"/>
            </w:tcBorders>
          </w:tcPr>
          <w:p w14:paraId="1C05CC77" w14:textId="77777777" w:rsidR="00CA23D0" w:rsidRPr="00E30642" w:rsidRDefault="00CA23D0" w:rsidP="00CA23D0">
            <w:pPr>
              <w:pStyle w:val="Texttabulky"/>
              <w:spacing w:line="240" w:lineRule="atLeast"/>
              <w:jc w:val="both"/>
              <w:rPr>
                <w:rFonts w:cs="Arial"/>
              </w:rPr>
            </w:pPr>
            <w:r w:rsidRPr="00E30642">
              <w:rPr>
                <w:rFonts w:cs="Arial"/>
              </w:rPr>
              <w:t>5 300</w:t>
            </w:r>
          </w:p>
        </w:tc>
      </w:tr>
      <w:tr w:rsidR="00CA23D0" w:rsidRPr="00E30642" w14:paraId="60C15E5E" w14:textId="77777777" w:rsidTr="00CA23D0">
        <w:tc>
          <w:tcPr>
            <w:tcW w:w="705" w:type="dxa"/>
            <w:tcBorders>
              <w:top w:val="single" w:sz="6" w:space="0" w:color="auto"/>
              <w:left w:val="single" w:sz="6" w:space="0" w:color="auto"/>
              <w:bottom w:val="single" w:sz="6" w:space="0" w:color="auto"/>
              <w:right w:val="single" w:sz="6" w:space="0" w:color="auto"/>
            </w:tcBorders>
          </w:tcPr>
          <w:p w14:paraId="7D727910" w14:textId="77777777" w:rsidR="00CA23D0" w:rsidRPr="00E30642" w:rsidRDefault="00CA23D0" w:rsidP="00CA23D0">
            <w:pPr>
              <w:pStyle w:val="Texttabulky"/>
              <w:spacing w:line="240" w:lineRule="atLeast"/>
              <w:jc w:val="both"/>
              <w:rPr>
                <w:rFonts w:cs="Arial"/>
              </w:rPr>
            </w:pPr>
            <w:r w:rsidRPr="00E30642">
              <w:rPr>
                <w:rFonts w:cs="Arial"/>
                <w:b/>
                <w:bCs/>
              </w:rPr>
              <w:t>24</w:t>
            </w:r>
          </w:p>
        </w:tc>
        <w:tc>
          <w:tcPr>
            <w:tcW w:w="2072" w:type="dxa"/>
            <w:tcBorders>
              <w:top w:val="single" w:sz="6" w:space="0" w:color="auto"/>
              <w:left w:val="single" w:sz="6" w:space="0" w:color="auto"/>
              <w:bottom w:val="single" w:sz="6" w:space="0" w:color="auto"/>
              <w:right w:val="single" w:sz="6" w:space="0" w:color="auto"/>
            </w:tcBorders>
          </w:tcPr>
          <w:p w14:paraId="2B9B607C" w14:textId="77777777" w:rsidR="00CA23D0" w:rsidRPr="00E30642" w:rsidRDefault="00CA23D0" w:rsidP="00CA23D0">
            <w:pPr>
              <w:pStyle w:val="Texttabulky"/>
              <w:spacing w:line="240" w:lineRule="atLeast"/>
              <w:jc w:val="both"/>
              <w:rPr>
                <w:rFonts w:cs="Arial"/>
              </w:rPr>
            </w:pPr>
            <w:r w:rsidRPr="00E30642">
              <w:rPr>
                <w:rFonts w:cs="Arial"/>
              </w:rPr>
              <w:t>U stadiónu</w:t>
            </w:r>
          </w:p>
        </w:tc>
        <w:tc>
          <w:tcPr>
            <w:tcW w:w="960" w:type="dxa"/>
            <w:tcBorders>
              <w:top w:val="single" w:sz="6" w:space="0" w:color="auto"/>
              <w:left w:val="single" w:sz="6" w:space="0" w:color="auto"/>
              <w:bottom w:val="single" w:sz="6" w:space="0" w:color="auto"/>
              <w:right w:val="single" w:sz="6" w:space="0" w:color="auto"/>
            </w:tcBorders>
          </w:tcPr>
          <w:p w14:paraId="02D150B0" w14:textId="77777777" w:rsidR="00CA23D0" w:rsidRPr="00E30642" w:rsidRDefault="00CA23D0" w:rsidP="00CA23D0">
            <w:pPr>
              <w:pStyle w:val="Texttabulky"/>
              <w:spacing w:line="240" w:lineRule="atLeast"/>
              <w:jc w:val="both"/>
              <w:rPr>
                <w:rFonts w:cs="Arial"/>
              </w:rPr>
            </w:pPr>
            <w:r w:rsidRPr="00E30642">
              <w:rPr>
                <w:rFonts w:cs="Arial"/>
              </w:rPr>
              <w:t>8</w:t>
            </w:r>
          </w:p>
        </w:tc>
        <w:tc>
          <w:tcPr>
            <w:tcW w:w="885" w:type="dxa"/>
            <w:tcBorders>
              <w:top w:val="single" w:sz="6" w:space="0" w:color="auto"/>
              <w:left w:val="single" w:sz="6" w:space="0" w:color="auto"/>
              <w:bottom w:val="single" w:sz="6" w:space="0" w:color="auto"/>
              <w:right w:val="single" w:sz="6" w:space="0" w:color="auto"/>
            </w:tcBorders>
          </w:tcPr>
          <w:p w14:paraId="33112909"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3460017C"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6225B9E7"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5C59B42C" w14:textId="77777777" w:rsidR="00CA23D0" w:rsidRPr="00E30642" w:rsidRDefault="00CA23D0" w:rsidP="00CA23D0">
            <w:pPr>
              <w:pStyle w:val="Texttabulky"/>
              <w:spacing w:line="240" w:lineRule="atLeast"/>
              <w:jc w:val="both"/>
              <w:rPr>
                <w:rFonts w:cs="Arial"/>
              </w:rPr>
            </w:pPr>
            <w:r w:rsidRPr="00E30642">
              <w:rPr>
                <w:rFonts w:cs="Arial"/>
              </w:rPr>
              <w:t>10</w:t>
            </w:r>
          </w:p>
        </w:tc>
        <w:tc>
          <w:tcPr>
            <w:tcW w:w="960" w:type="dxa"/>
            <w:tcBorders>
              <w:top w:val="single" w:sz="6" w:space="0" w:color="auto"/>
              <w:left w:val="single" w:sz="6" w:space="0" w:color="auto"/>
              <w:bottom w:val="single" w:sz="6" w:space="0" w:color="auto"/>
              <w:right w:val="single" w:sz="6" w:space="0" w:color="auto"/>
            </w:tcBorders>
          </w:tcPr>
          <w:p w14:paraId="7861F358" w14:textId="77777777" w:rsidR="00CA23D0" w:rsidRPr="00E30642" w:rsidRDefault="00CA23D0" w:rsidP="00CA23D0">
            <w:pPr>
              <w:pStyle w:val="Texttabulky"/>
              <w:spacing w:line="240" w:lineRule="atLeast"/>
              <w:jc w:val="both"/>
              <w:rPr>
                <w:rFonts w:cs="Arial"/>
              </w:rPr>
            </w:pPr>
            <w:r w:rsidRPr="00E30642">
              <w:rPr>
                <w:rFonts w:cs="Arial"/>
              </w:rPr>
              <w:t>10</w:t>
            </w:r>
          </w:p>
        </w:tc>
      </w:tr>
      <w:tr w:rsidR="00CA23D0" w:rsidRPr="00E30642" w14:paraId="21C67E34" w14:textId="77777777" w:rsidTr="00CA23D0">
        <w:tc>
          <w:tcPr>
            <w:tcW w:w="705" w:type="dxa"/>
            <w:tcBorders>
              <w:top w:val="single" w:sz="6" w:space="0" w:color="auto"/>
              <w:left w:val="single" w:sz="6" w:space="0" w:color="auto"/>
              <w:bottom w:val="single" w:sz="6" w:space="0" w:color="auto"/>
              <w:right w:val="single" w:sz="6" w:space="0" w:color="auto"/>
            </w:tcBorders>
          </w:tcPr>
          <w:p w14:paraId="754E2F76" w14:textId="77777777" w:rsidR="00CA23D0" w:rsidRPr="00E30642" w:rsidRDefault="00CA23D0" w:rsidP="00CA23D0">
            <w:pPr>
              <w:pStyle w:val="Texttabulky"/>
              <w:spacing w:line="240" w:lineRule="atLeast"/>
              <w:jc w:val="both"/>
              <w:rPr>
                <w:rFonts w:cs="Arial"/>
              </w:rPr>
            </w:pPr>
            <w:r w:rsidRPr="00E30642">
              <w:rPr>
                <w:rFonts w:cs="Arial"/>
                <w:b/>
                <w:bCs/>
              </w:rPr>
              <w:t>25</w:t>
            </w:r>
          </w:p>
        </w:tc>
        <w:tc>
          <w:tcPr>
            <w:tcW w:w="2072" w:type="dxa"/>
            <w:tcBorders>
              <w:top w:val="single" w:sz="6" w:space="0" w:color="auto"/>
              <w:left w:val="single" w:sz="6" w:space="0" w:color="auto"/>
              <w:bottom w:val="single" w:sz="6" w:space="0" w:color="auto"/>
              <w:right w:val="single" w:sz="6" w:space="0" w:color="auto"/>
            </w:tcBorders>
          </w:tcPr>
          <w:p w14:paraId="537FB09C" w14:textId="77777777" w:rsidR="00CA23D0" w:rsidRPr="00E30642" w:rsidRDefault="00CA23D0" w:rsidP="00CA23D0">
            <w:pPr>
              <w:pStyle w:val="Texttabulky"/>
              <w:spacing w:line="240" w:lineRule="atLeast"/>
              <w:jc w:val="both"/>
              <w:rPr>
                <w:rFonts w:cs="Arial"/>
              </w:rPr>
            </w:pPr>
            <w:r w:rsidRPr="00E30642">
              <w:rPr>
                <w:rFonts w:cs="Arial"/>
              </w:rPr>
              <w:t>Červený vrch</w:t>
            </w:r>
          </w:p>
        </w:tc>
        <w:tc>
          <w:tcPr>
            <w:tcW w:w="960" w:type="dxa"/>
            <w:tcBorders>
              <w:top w:val="single" w:sz="6" w:space="0" w:color="auto"/>
              <w:left w:val="single" w:sz="6" w:space="0" w:color="auto"/>
              <w:bottom w:val="single" w:sz="6" w:space="0" w:color="auto"/>
              <w:right w:val="single" w:sz="6" w:space="0" w:color="auto"/>
            </w:tcBorders>
          </w:tcPr>
          <w:p w14:paraId="64A73C7E" w14:textId="77777777" w:rsidR="00CA23D0" w:rsidRPr="00E30642" w:rsidRDefault="00CA23D0" w:rsidP="00CA23D0">
            <w:pPr>
              <w:pStyle w:val="Texttabulky"/>
              <w:spacing w:line="240" w:lineRule="atLeast"/>
              <w:jc w:val="both"/>
              <w:rPr>
                <w:rFonts w:cs="Arial"/>
              </w:rPr>
            </w:pPr>
            <w:r w:rsidRPr="00E30642">
              <w:rPr>
                <w:rFonts w:cs="Arial"/>
              </w:rPr>
              <w:t>477</w:t>
            </w:r>
          </w:p>
        </w:tc>
        <w:tc>
          <w:tcPr>
            <w:tcW w:w="885" w:type="dxa"/>
            <w:tcBorders>
              <w:top w:val="single" w:sz="6" w:space="0" w:color="auto"/>
              <w:left w:val="single" w:sz="6" w:space="0" w:color="auto"/>
              <w:bottom w:val="single" w:sz="6" w:space="0" w:color="auto"/>
              <w:right w:val="single" w:sz="6" w:space="0" w:color="auto"/>
            </w:tcBorders>
          </w:tcPr>
          <w:p w14:paraId="7EC89638"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7037EA7C"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2C2B98E6"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1F958127" w14:textId="77777777" w:rsidR="00CA23D0" w:rsidRPr="00E30642" w:rsidRDefault="00CA23D0" w:rsidP="00CA23D0">
            <w:pPr>
              <w:pStyle w:val="Texttabulky"/>
              <w:spacing w:line="240" w:lineRule="atLeast"/>
              <w:jc w:val="both"/>
              <w:rPr>
                <w:rFonts w:cs="Arial"/>
              </w:rPr>
            </w:pPr>
            <w:r w:rsidRPr="00E30642">
              <w:rPr>
                <w:rFonts w:cs="Arial"/>
              </w:rPr>
              <w:t>450</w:t>
            </w:r>
          </w:p>
        </w:tc>
        <w:tc>
          <w:tcPr>
            <w:tcW w:w="960" w:type="dxa"/>
            <w:tcBorders>
              <w:top w:val="single" w:sz="6" w:space="0" w:color="auto"/>
              <w:left w:val="single" w:sz="6" w:space="0" w:color="auto"/>
              <w:bottom w:val="single" w:sz="6" w:space="0" w:color="auto"/>
              <w:right w:val="single" w:sz="6" w:space="0" w:color="auto"/>
            </w:tcBorders>
          </w:tcPr>
          <w:p w14:paraId="45888797" w14:textId="77777777" w:rsidR="00CA23D0" w:rsidRPr="00E30642" w:rsidRDefault="00CA23D0" w:rsidP="00CA23D0">
            <w:pPr>
              <w:pStyle w:val="Texttabulky"/>
              <w:spacing w:line="240" w:lineRule="atLeast"/>
              <w:jc w:val="both"/>
              <w:rPr>
                <w:rFonts w:cs="Arial"/>
              </w:rPr>
            </w:pPr>
            <w:r w:rsidRPr="00E30642">
              <w:rPr>
                <w:rFonts w:cs="Arial"/>
              </w:rPr>
              <w:t>450</w:t>
            </w:r>
          </w:p>
        </w:tc>
      </w:tr>
      <w:tr w:rsidR="00CA23D0" w:rsidRPr="00E30642" w14:paraId="2FB96D20" w14:textId="77777777" w:rsidTr="00CA23D0">
        <w:tc>
          <w:tcPr>
            <w:tcW w:w="705" w:type="dxa"/>
            <w:tcBorders>
              <w:top w:val="single" w:sz="6" w:space="0" w:color="auto"/>
              <w:left w:val="single" w:sz="6" w:space="0" w:color="auto"/>
              <w:bottom w:val="single" w:sz="6" w:space="0" w:color="auto"/>
              <w:right w:val="single" w:sz="6" w:space="0" w:color="auto"/>
            </w:tcBorders>
          </w:tcPr>
          <w:p w14:paraId="56E45C44" w14:textId="77777777" w:rsidR="00CA23D0" w:rsidRPr="00E30642" w:rsidRDefault="00CA23D0" w:rsidP="00CA23D0">
            <w:pPr>
              <w:pStyle w:val="Texttabulky"/>
              <w:spacing w:line="240" w:lineRule="atLeast"/>
              <w:jc w:val="both"/>
              <w:rPr>
                <w:rFonts w:cs="Arial"/>
              </w:rPr>
            </w:pPr>
            <w:r w:rsidRPr="00E30642">
              <w:rPr>
                <w:rFonts w:cs="Arial"/>
                <w:b/>
                <w:bCs/>
              </w:rPr>
              <w:t>26</w:t>
            </w:r>
          </w:p>
        </w:tc>
        <w:tc>
          <w:tcPr>
            <w:tcW w:w="2072" w:type="dxa"/>
            <w:tcBorders>
              <w:top w:val="single" w:sz="6" w:space="0" w:color="auto"/>
              <w:left w:val="single" w:sz="6" w:space="0" w:color="auto"/>
              <w:bottom w:val="single" w:sz="6" w:space="0" w:color="auto"/>
              <w:right w:val="single" w:sz="6" w:space="0" w:color="auto"/>
            </w:tcBorders>
          </w:tcPr>
          <w:p w14:paraId="11B49292" w14:textId="77777777" w:rsidR="00CA23D0" w:rsidRPr="00E30642" w:rsidRDefault="00CA23D0" w:rsidP="00CA23D0">
            <w:pPr>
              <w:pStyle w:val="Texttabulky"/>
              <w:spacing w:line="240" w:lineRule="atLeast"/>
              <w:jc w:val="both"/>
              <w:rPr>
                <w:rFonts w:cs="Arial"/>
              </w:rPr>
            </w:pPr>
            <w:r w:rsidRPr="00E30642">
              <w:rPr>
                <w:rFonts w:cs="Arial"/>
              </w:rPr>
              <w:t>Pastýřská stěna</w:t>
            </w:r>
          </w:p>
        </w:tc>
        <w:tc>
          <w:tcPr>
            <w:tcW w:w="960" w:type="dxa"/>
            <w:tcBorders>
              <w:top w:val="single" w:sz="6" w:space="0" w:color="auto"/>
              <w:left w:val="single" w:sz="6" w:space="0" w:color="auto"/>
              <w:bottom w:val="single" w:sz="6" w:space="0" w:color="auto"/>
              <w:right w:val="single" w:sz="6" w:space="0" w:color="auto"/>
            </w:tcBorders>
          </w:tcPr>
          <w:p w14:paraId="576793CD" w14:textId="77777777" w:rsidR="00CA23D0" w:rsidRPr="00E30642" w:rsidRDefault="00CA23D0" w:rsidP="00CA23D0">
            <w:pPr>
              <w:pStyle w:val="Texttabulky"/>
              <w:spacing w:line="240" w:lineRule="atLeast"/>
              <w:jc w:val="both"/>
              <w:rPr>
                <w:rFonts w:cs="Arial"/>
              </w:rPr>
            </w:pPr>
            <w:r w:rsidRPr="00E30642">
              <w:rPr>
                <w:rFonts w:cs="Arial"/>
              </w:rPr>
              <w:t>1</w:t>
            </w:r>
          </w:p>
        </w:tc>
        <w:tc>
          <w:tcPr>
            <w:tcW w:w="885" w:type="dxa"/>
            <w:tcBorders>
              <w:top w:val="single" w:sz="6" w:space="0" w:color="auto"/>
              <w:left w:val="single" w:sz="6" w:space="0" w:color="auto"/>
              <w:bottom w:val="single" w:sz="6" w:space="0" w:color="auto"/>
              <w:right w:val="single" w:sz="6" w:space="0" w:color="auto"/>
            </w:tcBorders>
          </w:tcPr>
          <w:p w14:paraId="3B9DF21F"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355E5027"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7E35A72E"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6B5B86B2" w14:textId="77777777" w:rsidR="00CA23D0" w:rsidRPr="00E30642" w:rsidRDefault="00CA23D0" w:rsidP="00CA23D0">
            <w:pPr>
              <w:pStyle w:val="Texttabulky"/>
              <w:spacing w:line="240" w:lineRule="atLeast"/>
              <w:jc w:val="both"/>
              <w:rPr>
                <w:rFonts w:cs="Arial"/>
              </w:rPr>
            </w:pPr>
            <w:r w:rsidRPr="00E30642">
              <w:rPr>
                <w:rFonts w:cs="Arial"/>
              </w:rPr>
              <w:t>5</w:t>
            </w:r>
          </w:p>
        </w:tc>
        <w:tc>
          <w:tcPr>
            <w:tcW w:w="960" w:type="dxa"/>
            <w:tcBorders>
              <w:top w:val="single" w:sz="6" w:space="0" w:color="auto"/>
              <w:left w:val="single" w:sz="6" w:space="0" w:color="auto"/>
              <w:bottom w:val="single" w:sz="6" w:space="0" w:color="auto"/>
              <w:right w:val="single" w:sz="6" w:space="0" w:color="auto"/>
            </w:tcBorders>
          </w:tcPr>
          <w:p w14:paraId="314B4597" w14:textId="77777777" w:rsidR="00CA23D0" w:rsidRPr="00E30642" w:rsidRDefault="00CA23D0" w:rsidP="00CA23D0">
            <w:pPr>
              <w:pStyle w:val="Texttabulky"/>
              <w:spacing w:line="240" w:lineRule="atLeast"/>
              <w:jc w:val="both"/>
              <w:rPr>
                <w:rFonts w:cs="Arial"/>
              </w:rPr>
            </w:pPr>
            <w:r w:rsidRPr="00E30642">
              <w:rPr>
                <w:rFonts w:cs="Arial"/>
              </w:rPr>
              <w:t>5</w:t>
            </w:r>
          </w:p>
        </w:tc>
      </w:tr>
      <w:tr w:rsidR="00CA23D0" w:rsidRPr="00E30642" w14:paraId="4022EC8F" w14:textId="77777777" w:rsidTr="00CA23D0">
        <w:tc>
          <w:tcPr>
            <w:tcW w:w="705" w:type="dxa"/>
            <w:tcBorders>
              <w:top w:val="single" w:sz="6" w:space="0" w:color="auto"/>
              <w:left w:val="single" w:sz="6" w:space="0" w:color="auto"/>
              <w:bottom w:val="single" w:sz="6" w:space="0" w:color="auto"/>
              <w:right w:val="single" w:sz="6" w:space="0" w:color="auto"/>
            </w:tcBorders>
          </w:tcPr>
          <w:p w14:paraId="779C3219" w14:textId="77777777" w:rsidR="00CA23D0" w:rsidRPr="00E30642" w:rsidRDefault="00CA23D0" w:rsidP="00CA23D0">
            <w:pPr>
              <w:pStyle w:val="Texttabulky"/>
              <w:spacing w:line="240" w:lineRule="atLeast"/>
              <w:jc w:val="both"/>
              <w:rPr>
                <w:rFonts w:cs="Arial"/>
              </w:rPr>
            </w:pPr>
            <w:r w:rsidRPr="00E30642">
              <w:rPr>
                <w:rFonts w:cs="Arial"/>
                <w:b/>
                <w:bCs/>
              </w:rPr>
              <w:t>27</w:t>
            </w:r>
          </w:p>
        </w:tc>
        <w:tc>
          <w:tcPr>
            <w:tcW w:w="2072" w:type="dxa"/>
            <w:tcBorders>
              <w:top w:val="single" w:sz="6" w:space="0" w:color="auto"/>
              <w:left w:val="single" w:sz="6" w:space="0" w:color="auto"/>
              <w:bottom w:val="single" w:sz="6" w:space="0" w:color="auto"/>
              <w:right w:val="single" w:sz="6" w:space="0" w:color="auto"/>
            </w:tcBorders>
          </w:tcPr>
          <w:p w14:paraId="3E3AE23E" w14:textId="77777777" w:rsidR="00CA23D0" w:rsidRPr="00E30642" w:rsidRDefault="00CA23D0" w:rsidP="00CA23D0">
            <w:pPr>
              <w:pStyle w:val="Texttabulky"/>
              <w:spacing w:line="240" w:lineRule="atLeast"/>
              <w:jc w:val="both"/>
              <w:rPr>
                <w:rFonts w:cs="Arial"/>
              </w:rPr>
            </w:pPr>
            <w:r w:rsidRPr="00E30642">
              <w:rPr>
                <w:rFonts w:cs="Arial"/>
              </w:rPr>
              <w:t>Přípeř</w:t>
            </w:r>
          </w:p>
        </w:tc>
        <w:tc>
          <w:tcPr>
            <w:tcW w:w="960" w:type="dxa"/>
            <w:tcBorders>
              <w:top w:val="single" w:sz="6" w:space="0" w:color="auto"/>
              <w:left w:val="single" w:sz="6" w:space="0" w:color="auto"/>
              <w:bottom w:val="single" w:sz="6" w:space="0" w:color="auto"/>
              <w:right w:val="single" w:sz="6" w:space="0" w:color="auto"/>
            </w:tcBorders>
          </w:tcPr>
          <w:p w14:paraId="7406336C" w14:textId="77777777" w:rsidR="00CA23D0" w:rsidRPr="00E30642" w:rsidRDefault="00CA23D0" w:rsidP="00CA23D0">
            <w:pPr>
              <w:pStyle w:val="Texttabulky"/>
              <w:spacing w:line="240" w:lineRule="atLeast"/>
              <w:jc w:val="both"/>
              <w:rPr>
                <w:rFonts w:cs="Arial"/>
              </w:rPr>
            </w:pPr>
            <w:r w:rsidRPr="00E30642">
              <w:rPr>
                <w:rFonts w:cs="Arial"/>
              </w:rPr>
              <w:t>136</w:t>
            </w:r>
          </w:p>
        </w:tc>
        <w:tc>
          <w:tcPr>
            <w:tcW w:w="885" w:type="dxa"/>
            <w:tcBorders>
              <w:top w:val="single" w:sz="6" w:space="0" w:color="auto"/>
              <w:left w:val="single" w:sz="6" w:space="0" w:color="auto"/>
              <w:bottom w:val="single" w:sz="6" w:space="0" w:color="auto"/>
              <w:right w:val="single" w:sz="6" w:space="0" w:color="auto"/>
            </w:tcBorders>
          </w:tcPr>
          <w:p w14:paraId="2CEF9A57"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7F00C8DA"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5C265DD0"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46E9CFE6" w14:textId="77777777" w:rsidR="00CA23D0" w:rsidRPr="00E30642" w:rsidRDefault="00CA23D0" w:rsidP="00CA23D0">
            <w:pPr>
              <w:pStyle w:val="Texttabulky"/>
              <w:spacing w:line="240" w:lineRule="atLeast"/>
              <w:jc w:val="both"/>
              <w:rPr>
                <w:rFonts w:cs="Arial"/>
              </w:rPr>
            </w:pPr>
            <w:r w:rsidRPr="00E30642">
              <w:rPr>
                <w:rFonts w:cs="Arial"/>
              </w:rPr>
              <w:t>100</w:t>
            </w:r>
          </w:p>
        </w:tc>
        <w:tc>
          <w:tcPr>
            <w:tcW w:w="960" w:type="dxa"/>
            <w:tcBorders>
              <w:top w:val="single" w:sz="6" w:space="0" w:color="auto"/>
              <w:left w:val="single" w:sz="6" w:space="0" w:color="auto"/>
              <w:bottom w:val="single" w:sz="6" w:space="0" w:color="auto"/>
              <w:right w:val="single" w:sz="6" w:space="0" w:color="auto"/>
            </w:tcBorders>
          </w:tcPr>
          <w:p w14:paraId="12D99482" w14:textId="77777777" w:rsidR="00CA23D0" w:rsidRPr="00E30642" w:rsidRDefault="00CA23D0" w:rsidP="00CA23D0">
            <w:pPr>
              <w:pStyle w:val="Texttabulky"/>
              <w:spacing w:line="240" w:lineRule="atLeast"/>
              <w:jc w:val="both"/>
              <w:rPr>
                <w:rFonts w:cs="Arial"/>
              </w:rPr>
            </w:pPr>
            <w:r w:rsidRPr="00E30642">
              <w:rPr>
                <w:rFonts w:cs="Arial"/>
              </w:rPr>
              <w:t>100</w:t>
            </w:r>
          </w:p>
        </w:tc>
      </w:tr>
      <w:tr w:rsidR="00CA23D0" w:rsidRPr="00E30642" w14:paraId="4BA3F753" w14:textId="77777777" w:rsidTr="00CA23D0">
        <w:tc>
          <w:tcPr>
            <w:tcW w:w="705" w:type="dxa"/>
            <w:tcBorders>
              <w:top w:val="single" w:sz="6" w:space="0" w:color="auto"/>
              <w:left w:val="single" w:sz="6" w:space="0" w:color="auto"/>
              <w:bottom w:val="single" w:sz="6" w:space="0" w:color="auto"/>
              <w:right w:val="single" w:sz="6" w:space="0" w:color="auto"/>
            </w:tcBorders>
          </w:tcPr>
          <w:p w14:paraId="16D9FFAC" w14:textId="77777777" w:rsidR="00CA23D0" w:rsidRPr="00E30642" w:rsidRDefault="00CA23D0" w:rsidP="00CA23D0">
            <w:pPr>
              <w:pStyle w:val="Texttabulky"/>
              <w:spacing w:line="240" w:lineRule="atLeast"/>
              <w:jc w:val="both"/>
              <w:rPr>
                <w:rFonts w:cs="Arial"/>
              </w:rPr>
            </w:pPr>
            <w:r w:rsidRPr="00E30642">
              <w:rPr>
                <w:rFonts w:cs="Arial"/>
                <w:b/>
                <w:bCs/>
              </w:rPr>
              <w:t>28</w:t>
            </w:r>
          </w:p>
        </w:tc>
        <w:tc>
          <w:tcPr>
            <w:tcW w:w="2072" w:type="dxa"/>
            <w:tcBorders>
              <w:top w:val="single" w:sz="6" w:space="0" w:color="auto"/>
              <w:left w:val="single" w:sz="6" w:space="0" w:color="auto"/>
              <w:bottom w:val="single" w:sz="6" w:space="0" w:color="auto"/>
              <w:right w:val="single" w:sz="6" w:space="0" w:color="auto"/>
            </w:tcBorders>
          </w:tcPr>
          <w:p w14:paraId="4432152B" w14:textId="77777777" w:rsidR="00CA23D0" w:rsidRPr="00E30642" w:rsidRDefault="00CA23D0" w:rsidP="00CA23D0">
            <w:pPr>
              <w:pStyle w:val="Texttabulky"/>
              <w:spacing w:line="240" w:lineRule="atLeast"/>
              <w:jc w:val="both"/>
              <w:rPr>
                <w:rFonts w:cs="Arial"/>
              </w:rPr>
            </w:pPr>
            <w:r w:rsidRPr="00E30642">
              <w:rPr>
                <w:rFonts w:cs="Arial"/>
              </w:rPr>
              <w:t>Jalůvčí</w:t>
            </w:r>
          </w:p>
        </w:tc>
        <w:tc>
          <w:tcPr>
            <w:tcW w:w="960" w:type="dxa"/>
            <w:tcBorders>
              <w:top w:val="single" w:sz="6" w:space="0" w:color="auto"/>
              <w:left w:val="single" w:sz="6" w:space="0" w:color="auto"/>
              <w:bottom w:val="single" w:sz="6" w:space="0" w:color="auto"/>
              <w:right w:val="single" w:sz="6" w:space="0" w:color="auto"/>
            </w:tcBorders>
          </w:tcPr>
          <w:p w14:paraId="5062E87D" w14:textId="77777777" w:rsidR="00CA23D0" w:rsidRPr="00E30642" w:rsidRDefault="00CA23D0" w:rsidP="00CA23D0">
            <w:pPr>
              <w:pStyle w:val="Texttabulky"/>
              <w:spacing w:line="240" w:lineRule="atLeast"/>
              <w:jc w:val="both"/>
              <w:rPr>
                <w:rFonts w:cs="Arial"/>
              </w:rPr>
            </w:pPr>
            <w:r w:rsidRPr="00E30642">
              <w:rPr>
                <w:rFonts w:cs="Arial"/>
              </w:rPr>
              <w:t>460</w:t>
            </w:r>
          </w:p>
        </w:tc>
        <w:tc>
          <w:tcPr>
            <w:tcW w:w="885" w:type="dxa"/>
            <w:tcBorders>
              <w:top w:val="single" w:sz="6" w:space="0" w:color="auto"/>
              <w:left w:val="single" w:sz="6" w:space="0" w:color="auto"/>
              <w:bottom w:val="single" w:sz="6" w:space="0" w:color="auto"/>
              <w:right w:val="single" w:sz="6" w:space="0" w:color="auto"/>
            </w:tcBorders>
          </w:tcPr>
          <w:p w14:paraId="7D7DE364" w14:textId="77777777" w:rsidR="00CA23D0" w:rsidRPr="00E30642" w:rsidRDefault="00CA23D0" w:rsidP="00CA23D0">
            <w:pPr>
              <w:pStyle w:val="Texttabulky"/>
              <w:spacing w:line="240" w:lineRule="atLeast"/>
              <w:jc w:val="both"/>
              <w:rPr>
                <w:rFonts w:cs="Arial"/>
              </w:rPr>
            </w:pPr>
            <w:r w:rsidRPr="00E30642">
              <w:rPr>
                <w:rFonts w:cs="Arial"/>
              </w:rPr>
              <w:t>70</w:t>
            </w:r>
          </w:p>
        </w:tc>
        <w:tc>
          <w:tcPr>
            <w:tcW w:w="855" w:type="dxa"/>
            <w:tcBorders>
              <w:top w:val="single" w:sz="6" w:space="0" w:color="auto"/>
              <w:left w:val="single" w:sz="6" w:space="0" w:color="auto"/>
              <w:bottom w:val="single" w:sz="6" w:space="0" w:color="auto"/>
              <w:right w:val="single" w:sz="6" w:space="0" w:color="auto"/>
            </w:tcBorders>
          </w:tcPr>
          <w:p w14:paraId="61896751"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6F4D6F28"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08AE3E7B" w14:textId="77777777" w:rsidR="00CA23D0" w:rsidRPr="00E30642" w:rsidRDefault="00CA23D0" w:rsidP="00CA23D0">
            <w:pPr>
              <w:pStyle w:val="Texttabulky"/>
              <w:spacing w:line="240" w:lineRule="atLeast"/>
              <w:jc w:val="both"/>
              <w:rPr>
                <w:rFonts w:cs="Arial"/>
              </w:rPr>
            </w:pPr>
            <w:r w:rsidRPr="00E30642">
              <w:rPr>
                <w:rFonts w:cs="Arial"/>
              </w:rPr>
              <w:t>470</w:t>
            </w:r>
          </w:p>
        </w:tc>
        <w:tc>
          <w:tcPr>
            <w:tcW w:w="960" w:type="dxa"/>
            <w:tcBorders>
              <w:top w:val="single" w:sz="6" w:space="0" w:color="auto"/>
              <w:left w:val="single" w:sz="6" w:space="0" w:color="auto"/>
              <w:bottom w:val="single" w:sz="6" w:space="0" w:color="auto"/>
              <w:right w:val="single" w:sz="6" w:space="0" w:color="auto"/>
            </w:tcBorders>
          </w:tcPr>
          <w:p w14:paraId="1F9FAC5C" w14:textId="77777777" w:rsidR="00CA23D0" w:rsidRPr="00E30642" w:rsidRDefault="00CA23D0" w:rsidP="00CA23D0">
            <w:pPr>
              <w:pStyle w:val="Texttabulky"/>
              <w:spacing w:line="240" w:lineRule="atLeast"/>
              <w:jc w:val="both"/>
              <w:rPr>
                <w:rFonts w:cs="Arial"/>
              </w:rPr>
            </w:pPr>
            <w:r w:rsidRPr="00E30642">
              <w:rPr>
                <w:rFonts w:cs="Arial"/>
              </w:rPr>
              <w:t>470</w:t>
            </w:r>
          </w:p>
        </w:tc>
      </w:tr>
      <w:tr w:rsidR="00CA23D0" w:rsidRPr="00E30642" w14:paraId="5996F433" w14:textId="77777777" w:rsidTr="00CA23D0">
        <w:tc>
          <w:tcPr>
            <w:tcW w:w="705" w:type="dxa"/>
            <w:tcBorders>
              <w:top w:val="single" w:sz="6" w:space="0" w:color="auto"/>
              <w:left w:val="single" w:sz="6" w:space="0" w:color="auto"/>
              <w:bottom w:val="single" w:sz="6" w:space="0" w:color="auto"/>
              <w:right w:val="single" w:sz="6" w:space="0" w:color="auto"/>
            </w:tcBorders>
          </w:tcPr>
          <w:p w14:paraId="6C5403F1" w14:textId="77777777" w:rsidR="00CA23D0" w:rsidRPr="00E30642" w:rsidRDefault="00CA23D0" w:rsidP="00CA23D0">
            <w:pPr>
              <w:pStyle w:val="Texttabulky"/>
              <w:spacing w:line="240" w:lineRule="atLeast"/>
              <w:jc w:val="both"/>
              <w:rPr>
                <w:rFonts w:cs="Arial"/>
              </w:rPr>
            </w:pPr>
            <w:r w:rsidRPr="00E30642">
              <w:rPr>
                <w:rFonts w:cs="Arial"/>
                <w:b/>
                <w:bCs/>
              </w:rPr>
              <w:t>29</w:t>
            </w:r>
          </w:p>
        </w:tc>
        <w:tc>
          <w:tcPr>
            <w:tcW w:w="2072" w:type="dxa"/>
            <w:tcBorders>
              <w:top w:val="single" w:sz="6" w:space="0" w:color="auto"/>
              <w:left w:val="single" w:sz="6" w:space="0" w:color="auto"/>
              <w:bottom w:val="single" w:sz="6" w:space="0" w:color="auto"/>
              <w:right w:val="single" w:sz="6" w:space="0" w:color="auto"/>
            </w:tcBorders>
          </w:tcPr>
          <w:p w14:paraId="6E2817C1" w14:textId="77777777" w:rsidR="00CA23D0" w:rsidRPr="00E30642" w:rsidRDefault="00CA23D0" w:rsidP="00CA23D0">
            <w:pPr>
              <w:pStyle w:val="Texttabulky"/>
              <w:spacing w:line="240" w:lineRule="atLeast"/>
              <w:jc w:val="both"/>
              <w:rPr>
                <w:rFonts w:cs="Arial"/>
              </w:rPr>
            </w:pPr>
            <w:r w:rsidRPr="00E30642">
              <w:rPr>
                <w:rFonts w:cs="Arial"/>
              </w:rPr>
              <w:t>Žlíbek</w:t>
            </w:r>
          </w:p>
        </w:tc>
        <w:tc>
          <w:tcPr>
            <w:tcW w:w="960" w:type="dxa"/>
            <w:tcBorders>
              <w:top w:val="single" w:sz="6" w:space="0" w:color="auto"/>
              <w:left w:val="single" w:sz="6" w:space="0" w:color="auto"/>
              <w:bottom w:val="single" w:sz="6" w:space="0" w:color="auto"/>
              <w:right w:val="single" w:sz="6" w:space="0" w:color="auto"/>
            </w:tcBorders>
          </w:tcPr>
          <w:p w14:paraId="132433D6" w14:textId="77777777" w:rsidR="00CA23D0" w:rsidRPr="00E30642" w:rsidRDefault="00CA23D0" w:rsidP="00CA23D0">
            <w:pPr>
              <w:pStyle w:val="Texttabulky"/>
              <w:spacing w:line="240" w:lineRule="atLeast"/>
              <w:jc w:val="both"/>
              <w:rPr>
                <w:rFonts w:cs="Arial"/>
              </w:rPr>
            </w:pPr>
            <w:r w:rsidRPr="00E30642">
              <w:rPr>
                <w:rFonts w:cs="Arial"/>
              </w:rPr>
              <w:t>391</w:t>
            </w:r>
          </w:p>
        </w:tc>
        <w:tc>
          <w:tcPr>
            <w:tcW w:w="885" w:type="dxa"/>
            <w:tcBorders>
              <w:top w:val="single" w:sz="6" w:space="0" w:color="auto"/>
              <w:left w:val="single" w:sz="6" w:space="0" w:color="auto"/>
              <w:bottom w:val="single" w:sz="6" w:space="0" w:color="auto"/>
              <w:right w:val="single" w:sz="6" w:space="0" w:color="auto"/>
            </w:tcBorders>
          </w:tcPr>
          <w:p w14:paraId="6EE561CB" w14:textId="77777777" w:rsidR="00CA23D0" w:rsidRPr="00E30642" w:rsidRDefault="00CA23D0" w:rsidP="00CA23D0">
            <w:pPr>
              <w:pStyle w:val="Texttabulky"/>
              <w:spacing w:line="240" w:lineRule="atLeast"/>
              <w:jc w:val="both"/>
              <w:rPr>
                <w:rFonts w:cs="Arial"/>
              </w:rPr>
            </w:pPr>
            <w:r w:rsidRPr="00E30642">
              <w:rPr>
                <w:rFonts w:cs="Arial"/>
              </w:rPr>
              <w:t>285</w:t>
            </w:r>
          </w:p>
        </w:tc>
        <w:tc>
          <w:tcPr>
            <w:tcW w:w="855" w:type="dxa"/>
            <w:tcBorders>
              <w:top w:val="single" w:sz="6" w:space="0" w:color="auto"/>
              <w:left w:val="single" w:sz="6" w:space="0" w:color="auto"/>
              <w:bottom w:val="single" w:sz="6" w:space="0" w:color="auto"/>
              <w:right w:val="single" w:sz="6" w:space="0" w:color="auto"/>
            </w:tcBorders>
          </w:tcPr>
          <w:p w14:paraId="70E5ACC4"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3621DD81"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4C3B72E8" w14:textId="77777777" w:rsidR="00CA23D0" w:rsidRPr="00E30642" w:rsidRDefault="00CA23D0" w:rsidP="00CA23D0">
            <w:pPr>
              <w:pStyle w:val="Texttabulky"/>
              <w:spacing w:line="240" w:lineRule="atLeast"/>
              <w:jc w:val="both"/>
              <w:rPr>
                <w:rFonts w:cs="Arial"/>
              </w:rPr>
            </w:pPr>
            <w:r w:rsidRPr="00E30642">
              <w:rPr>
                <w:rFonts w:cs="Arial"/>
              </w:rPr>
              <w:t>635</w:t>
            </w:r>
          </w:p>
        </w:tc>
        <w:tc>
          <w:tcPr>
            <w:tcW w:w="960" w:type="dxa"/>
            <w:tcBorders>
              <w:top w:val="single" w:sz="6" w:space="0" w:color="auto"/>
              <w:left w:val="single" w:sz="6" w:space="0" w:color="auto"/>
              <w:bottom w:val="single" w:sz="6" w:space="0" w:color="auto"/>
              <w:right w:val="single" w:sz="6" w:space="0" w:color="auto"/>
            </w:tcBorders>
          </w:tcPr>
          <w:p w14:paraId="1FB40E57" w14:textId="77777777" w:rsidR="00CA23D0" w:rsidRPr="00E30642" w:rsidRDefault="00CA23D0" w:rsidP="00CA23D0">
            <w:pPr>
              <w:pStyle w:val="Texttabulky"/>
              <w:spacing w:line="240" w:lineRule="atLeast"/>
              <w:jc w:val="both"/>
              <w:rPr>
                <w:rFonts w:cs="Arial"/>
              </w:rPr>
            </w:pPr>
            <w:r w:rsidRPr="00E30642">
              <w:rPr>
                <w:rFonts w:cs="Arial"/>
              </w:rPr>
              <w:t>635</w:t>
            </w:r>
          </w:p>
        </w:tc>
      </w:tr>
      <w:tr w:rsidR="00CA23D0" w:rsidRPr="00E30642" w14:paraId="723DE80F" w14:textId="77777777" w:rsidTr="00CA23D0">
        <w:tc>
          <w:tcPr>
            <w:tcW w:w="705" w:type="dxa"/>
            <w:tcBorders>
              <w:top w:val="single" w:sz="6" w:space="0" w:color="auto"/>
              <w:left w:val="single" w:sz="6" w:space="0" w:color="auto"/>
              <w:bottom w:val="single" w:sz="6" w:space="0" w:color="auto"/>
              <w:right w:val="single" w:sz="6" w:space="0" w:color="auto"/>
            </w:tcBorders>
          </w:tcPr>
          <w:p w14:paraId="0F232524" w14:textId="77777777" w:rsidR="00CA23D0" w:rsidRPr="00E30642" w:rsidRDefault="00CA23D0" w:rsidP="00CA23D0">
            <w:pPr>
              <w:pStyle w:val="Texttabulky"/>
              <w:spacing w:line="240" w:lineRule="atLeast"/>
              <w:jc w:val="both"/>
              <w:rPr>
                <w:rFonts w:cs="Arial"/>
              </w:rPr>
            </w:pPr>
            <w:r w:rsidRPr="00E30642">
              <w:rPr>
                <w:rFonts w:cs="Arial"/>
                <w:b/>
                <w:bCs/>
              </w:rPr>
              <w:t>30</w:t>
            </w:r>
          </w:p>
        </w:tc>
        <w:tc>
          <w:tcPr>
            <w:tcW w:w="2072" w:type="dxa"/>
            <w:tcBorders>
              <w:top w:val="single" w:sz="6" w:space="0" w:color="auto"/>
              <w:left w:val="single" w:sz="6" w:space="0" w:color="auto"/>
              <w:bottom w:val="single" w:sz="6" w:space="0" w:color="auto"/>
              <w:right w:val="single" w:sz="6" w:space="0" w:color="auto"/>
            </w:tcBorders>
          </w:tcPr>
          <w:p w14:paraId="52549D09" w14:textId="77777777" w:rsidR="00CA23D0" w:rsidRPr="00E30642" w:rsidRDefault="00CA23D0" w:rsidP="00CA23D0">
            <w:pPr>
              <w:pStyle w:val="Texttabulky"/>
              <w:spacing w:line="240" w:lineRule="atLeast"/>
              <w:jc w:val="both"/>
              <w:rPr>
                <w:rFonts w:cs="Arial"/>
              </w:rPr>
            </w:pPr>
            <w:r w:rsidRPr="00E30642">
              <w:rPr>
                <w:rFonts w:cs="Arial"/>
              </w:rPr>
              <w:t>Dolní Oldřichov</w:t>
            </w:r>
          </w:p>
        </w:tc>
        <w:tc>
          <w:tcPr>
            <w:tcW w:w="960" w:type="dxa"/>
            <w:tcBorders>
              <w:top w:val="single" w:sz="6" w:space="0" w:color="auto"/>
              <w:left w:val="single" w:sz="6" w:space="0" w:color="auto"/>
              <w:bottom w:val="single" w:sz="6" w:space="0" w:color="auto"/>
              <w:right w:val="single" w:sz="6" w:space="0" w:color="auto"/>
            </w:tcBorders>
          </w:tcPr>
          <w:p w14:paraId="13193CA3" w14:textId="77777777" w:rsidR="00CA23D0" w:rsidRPr="00E30642" w:rsidRDefault="00CA23D0" w:rsidP="00CA23D0">
            <w:pPr>
              <w:pStyle w:val="Texttabulky"/>
              <w:spacing w:line="240" w:lineRule="atLeast"/>
              <w:jc w:val="both"/>
              <w:rPr>
                <w:rFonts w:cs="Arial"/>
              </w:rPr>
            </w:pPr>
            <w:r w:rsidRPr="00E30642">
              <w:rPr>
                <w:rFonts w:cs="Arial"/>
              </w:rPr>
              <w:t>645</w:t>
            </w:r>
          </w:p>
        </w:tc>
        <w:tc>
          <w:tcPr>
            <w:tcW w:w="885" w:type="dxa"/>
            <w:tcBorders>
              <w:top w:val="single" w:sz="6" w:space="0" w:color="auto"/>
              <w:left w:val="single" w:sz="6" w:space="0" w:color="auto"/>
              <w:bottom w:val="single" w:sz="6" w:space="0" w:color="auto"/>
              <w:right w:val="single" w:sz="6" w:space="0" w:color="auto"/>
            </w:tcBorders>
          </w:tcPr>
          <w:p w14:paraId="4A37EEF0"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5ED65017"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5ECB7991"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3F038924" w14:textId="77777777" w:rsidR="00CA23D0" w:rsidRPr="00E30642" w:rsidRDefault="00CA23D0" w:rsidP="00CA23D0">
            <w:pPr>
              <w:pStyle w:val="Texttabulky"/>
              <w:spacing w:line="240" w:lineRule="atLeast"/>
              <w:jc w:val="both"/>
              <w:rPr>
                <w:rFonts w:cs="Arial"/>
              </w:rPr>
            </w:pPr>
            <w:r w:rsidRPr="00E30642">
              <w:rPr>
                <w:rFonts w:cs="Arial"/>
              </w:rPr>
              <w:t>600</w:t>
            </w:r>
          </w:p>
        </w:tc>
        <w:tc>
          <w:tcPr>
            <w:tcW w:w="960" w:type="dxa"/>
            <w:tcBorders>
              <w:top w:val="single" w:sz="6" w:space="0" w:color="auto"/>
              <w:left w:val="single" w:sz="6" w:space="0" w:color="auto"/>
              <w:bottom w:val="single" w:sz="6" w:space="0" w:color="auto"/>
              <w:right w:val="single" w:sz="6" w:space="0" w:color="auto"/>
            </w:tcBorders>
          </w:tcPr>
          <w:p w14:paraId="05B0FF47" w14:textId="77777777" w:rsidR="00CA23D0" w:rsidRPr="00E30642" w:rsidRDefault="00CA23D0" w:rsidP="00CA23D0">
            <w:pPr>
              <w:pStyle w:val="Texttabulky"/>
              <w:spacing w:line="240" w:lineRule="atLeast"/>
              <w:jc w:val="both"/>
              <w:rPr>
                <w:rFonts w:cs="Arial"/>
              </w:rPr>
            </w:pPr>
            <w:r w:rsidRPr="00E30642">
              <w:rPr>
                <w:rFonts w:cs="Arial"/>
              </w:rPr>
              <w:t>600</w:t>
            </w:r>
          </w:p>
        </w:tc>
      </w:tr>
      <w:tr w:rsidR="00CA23D0" w:rsidRPr="00E30642" w14:paraId="561E15C4" w14:textId="77777777" w:rsidTr="00CA23D0">
        <w:tc>
          <w:tcPr>
            <w:tcW w:w="705" w:type="dxa"/>
            <w:tcBorders>
              <w:top w:val="single" w:sz="6" w:space="0" w:color="auto"/>
              <w:left w:val="single" w:sz="6" w:space="0" w:color="auto"/>
              <w:bottom w:val="single" w:sz="6" w:space="0" w:color="auto"/>
              <w:right w:val="single" w:sz="6" w:space="0" w:color="auto"/>
            </w:tcBorders>
          </w:tcPr>
          <w:p w14:paraId="4BFC7A2A" w14:textId="77777777" w:rsidR="00CA23D0" w:rsidRPr="00E30642" w:rsidRDefault="00CA23D0" w:rsidP="00CA23D0">
            <w:pPr>
              <w:pStyle w:val="Texttabulky"/>
              <w:spacing w:line="240" w:lineRule="atLeast"/>
              <w:jc w:val="both"/>
              <w:rPr>
                <w:rFonts w:cs="Arial"/>
              </w:rPr>
            </w:pPr>
            <w:r w:rsidRPr="00E30642">
              <w:rPr>
                <w:rFonts w:cs="Arial"/>
                <w:b/>
                <w:bCs/>
              </w:rPr>
              <w:t>31</w:t>
            </w:r>
          </w:p>
        </w:tc>
        <w:tc>
          <w:tcPr>
            <w:tcW w:w="2072" w:type="dxa"/>
            <w:tcBorders>
              <w:top w:val="single" w:sz="6" w:space="0" w:color="auto"/>
              <w:left w:val="single" w:sz="6" w:space="0" w:color="auto"/>
              <w:bottom w:val="single" w:sz="6" w:space="0" w:color="auto"/>
              <w:right w:val="single" w:sz="6" w:space="0" w:color="auto"/>
            </w:tcBorders>
          </w:tcPr>
          <w:p w14:paraId="2FE77AB2" w14:textId="77777777" w:rsidR="00CA23D0" w:rsidRPr="00E30642" w:rsidRDefault="00CA23D0" w:rsidP="00CA23D0">
            <w:pPr>
              <w:pStyle w:val="Texttabulky"/>
              <w:spacing w:line="240" w:lineRule="atLeast"/>
              <w:jc w:val="both"/>
              <w:rPr>
                <w:rFonts w:cs="Arial"/>
              </w:rPr>
            </w:pPr>
            <w:r w:rsidRPr="00E30642">
              <w:rPr>
                <w:rFonts w:cs="Arial"/>
              </w:rPr>
              <w:t>Horní Oldřichov</w:t>
            </w:r>
          </w:p>
        </w:tc>
        <w:tc>
          <w:tcPr>
            <w:tcW w:w="960" w:type="dxa"/>
            <w:tcBorders>
              <w:top w:val="single" w:sz="6" w:space="0" w:color="auto"/>
              <w:left w:val="single" w:sz="6" w:space="0" w:color="auto"/>
              <w:bottom w:val="single" w:sz="6" w:space="0" w:color="auto"/>
              <w:right w:val="single" w:sz="6" w:space="0" w:color="auto"/>
            </w:tcBorders>
          </w:tcPr>
          <w:p w14:paraId="5E5AC58B" w14:textId="77777777" w:rsidR="00CA23D0" w:rsidRPr="00E30642" w:rsidRDefault="00CA23D0" w:rsidP="00CA23D0">
            <w:pPr>
              <w:pStyle w:val="Texttabulky"/>
              <w:spacing w:line="240" w:lineRule="atLeast"/>
              <w:jc w:val="both"/>
              <w:rPr>
                <w:rFonts w:cs="Arial"/>
              </w:rPr>
            </w:pPr>
            <w:r w:rsidRPr="00E30642">
              <w:rPr>
                <w:rFonts w:cs="Arial"/>
              </w:rPr>
              <w:t>360</w:t>
            </w:r>
          </w:p>
        </w:tc>
        <w:tc>
          <w:tcPr>
            <w:tcW w:w="885" w:type="dxa"/>
            <w:tcBorders>
              <w:top w:val="single" w:sz="6" w:space="0" w:color="auto"/>
              <w:left w:val="single" w:sz="6" w:space="0" w:color="auto"/>
              <w:bottom w:val="single" w:sz="6" w:space="0" w:color="auto"/>
              <w:right w:val="single" w:sz="6" w:space="0" w:color="auto"/>
            </w:tcBorders>
          </w:tcPr>
          <w:p w14:paraId="5B595F41"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0EA820D3"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62FFFAD1" w14:textId="77777777" w:rsidR="00CA23D0" w:rsidRPr="00E30642" w:rsidRDefault="00CA23D0" w:rsidP="00CA23D0">
            <w:pPr>
              <w:pStyle w:val="Texttabulky"/>
              <w:spacing w:line="240" w:lineRule="atLeast"/>
              <w:jc w:val="both"/>
              <w:rPr>
                <w:rFonts w:cs="Arial"/>
              </w:rPr>
            </w:pPr>
            <w:r w:rsidRPr="00E30642">
              <w:rPr>
                <w:rFonts w:cs="Arial"/>
              </w:rPr>
              <w:t>15</w:t>
            </w:r>
          </w:p>
        </w:tc>
        <w:tc>
          <w:tcPr>
            <w:tcW w:w="960" w:type="dxa"/>
            <w:tcBorders>
              <w:top w:val="single" w:sz="6" w:space="0" w:color="auto"/>
              <w:left w:val="single" w:sz="6" w:space="0" w:color="auto"/>
              <w:bottom w:val="single" w:sz="6" w:space="0" w:color="auto"/>
              <w:right w:val="single" w:sz="6" w:space="0" w:color="auto"/>
            </w:tcBorders>
          </w:tcPr>
          <w:p w14:paraId="11461EA9" w14:textId="77777777" w:rsidR="00CA23D0" w:rsidRPr="00E30642" w:rsidRDefault="00CA23D0" w:rsidP="00CA23D0">
            <w:pPr>
              <w:pStyle w:val="Texttabulky"/>
              <w:spacing w:line="240" w:lineRule="atLeast"/>
              <w:jc w:val="both"/>
              <w:rPr>
                <w:rFonts w:cs="Arial"/>
              </w:rPr>
            </w:pPr>
            <w:r w:rsidRPr="00E30642">
              <w:rPr>
                <w:rFonts w:cs="Arial"/>
              </w:rPr>
              <w:t>300</w:t>
            </w:r>
          </w:p>
        </w:tc>
        <w:tc>
          <w:tcPr>
            <w:tcW w:w="960" w:type="dxa"/>
            <w:tcBorders>
              <w:top w:val="single" w:sz="6" w:space="0" w:color="auto"/>
              <w:left w:val="single" w:sz="6" w:space="0" w:color="auto"/>
              <w:bottom w:val="single" w:sz="6" w:space="0" w:color="auto"/>
              <w:right w:val="single" w:sz="6" w:space="0" w:color="auto"/>
            </w:tcBorders>
          </w:tcPr>
          <w:p w14:paraId="4A13011A" w14:textId="77777777" w:rsidR="00CA23D0" w:rsidRPr="00E30642" w:rsidRDefault="00CA23D0" w:rsidP="00CA23D0">
            <w:pPr>
              <w:pStyle w:val="Texttabulky"/>
              <w:spacing w:line="240" w:lineRule="atLeast"/>
              <w:jc w:val="both"/>
              <w:rPr>
                <w:rFonts w:cs="Arial"/>
              </w:rPr>
            </w:pPr>
            <w:r w:rsidRPr="00E30642">
              <w:rPr>
                <w:rFonts w:cs="Arial"/>
              </w:rPr>
              <w:t>315</w:t>
            </w:r>
          </w:p>
        </w:tc>
      </w:tr>
      <w:tr w:rsidR="00CA23D0" w:rsidRPr="00E30642" w14:paraId="1ACDFEF6" w14:textId="77777777" w:rsidTr="00CA23D0">
        <w:tc>
          <w:tcPr>
            <w:tcW w:w="705" w:type="dxa"/>
            <w:tcBorders>
              <w:top w:val="single" w:sz="6" w:space="0" w:color="auto"/>
              <w:left w:val="single" w:sz="6" w:space="0" w:color="auto"/>
              <w:bottom w:val="single" w:sz="6" w:space="0" w:color="auto"/>
              <w:right w:val="single" w:sz="6" w:space="0" w:color="auto"/>
            </w:tcBorders>
          </w:tcPr>
          <w:p w14:paraId="5B35D971" w14:textId="77777777" w:rsidR="00CA23D0" w:rsidRPr="00E30642" w:rsidRDefault="00CA23D0" w:rsidP="00CA23D0">
            <w:pPr>
              <w:pStyle w:val="Texttabulky"/>
              <w:spacing w:line="240" w:lineRule="atLeast"/>
              <w:jc w:val="both"/>
              <w:rPr>
                <w:rFonts w:cs="Arial"/>
              </w:rPr>
            </w:pPr>
            <w:r w:rsidRPr="00E30642">
              <w:rPr>
                <w:rFonts w:cs="Arial"/>
                <w:b/>
                <w:bCs/>
              </w:rPr>
              <w:t>32</w:t>
            </w:r>
          </w:p>
        </w:tc>
        <w:tc>
          <w:tcPr>
            <w:tcW w:w="2072" w:type="dxa"/>
            <w:tcBorders>
              <w:top w:val="single" w:sz="6" w:space="0" w:color="auto"/>
              <w:left w:val="single" w:sz="6" w:space="0" w:color="auto"/>
              <w:bottom w:val="single" w:sz="6" w:space="0" w:color="auto"/>
              <w:right w:val="single" w:sz="6" w:space="0" w:color="auto"/>
            </w:tcBorders>
          </w:tcPr>
          <w:p w14:paraId="3BE3AAB4" w14:textId="77777777" w:rsidR="00CA23D0" w:rsidRPr="00E30642" w:rsidRDefault="00CA23D0" w:rsidP="00CA23D0">
            <w:pPr>
              <w:pStyle w:val="Texttabulky"/>
              <w:spacing w:line="240" w:lineRule="atLeast"/>
              <w:jc w:val="both"/>
              <w:rPr>
                <w:rFonts w:cs="Arial"/>
              </w:rPr>
            </w:pPr>
            <w:r w:rsidRPr="00E30642">
              <w:rPr>
                <w:rFonts w:cs="Arial"/>
              </w:rPr>
              <w:t>Bynov</w:t>
            </w:r>
          </w:p>
        </w:tc>
        <w:tc>
          <w:tcPr>
            <w:tcW w:w="960" w:type="dxa"/>
            <w:tcBorders>
              <w:top w:val="single" w:sz="6" w:space="0" w:color="auto"/>
              <w:left w:val="single" w:sz="6" w:space="0" w:color="auto"/>
              <w:bottom w:val="single" w:sz="6" w:space="0" w:color="auto"/>
              <w:right w:val="single" w:sz="6" w:space="0" w:color="auto"/>
            </w:tcBorders>
          </w:tcPr>
          <w:p w14:paraId="28188F63" w14:textId="77777777" w:rsidR="00CA23D0" w:rsidRPr="00E30642" w:rsidRDefault="00CA23D0" w:rsidP="00CA23D0">
            <w:pPr>
              <w:pStyle w:val="Texttabulky"/>
              <w:spacing w:line="240" w:lineRule="atLeast"/>
              <w:jc w:val="both"/>
              <w:rPr>
                <w:rFonts w:cs="Arial"/>
              </w:rPr>
            </w:pPr>
            <w:r w:rsidRPr="00E30642">
              <w:rPr>
                <w:rFonts w:cs="Arial"/>
              </w:rPr>
              <w:t>4 897</w:t>
            </w:r>
          </w:p>
        </w:tc>
        <w:tc>
          <w:tcPr>
            <w:tcW w:w="885" w:type="dxa"/>
            <w:tcBorders>
              <w:top w:val="single" w:sz="6" w:space="0" w:color="auto"/>
              <w:left w:val="single" w:sz="6" w:space="0" w:color="auto"/>
              <w:bottom w:val="single" w:sz="6" w:space="0" w:color="auto"/>
              <w:right w:val="single" w:sz="6" w:space="0" w:color="auto"/>
            </w:tcBorders>
          </w:tcPr>
          <w:p w14:paraId="51419431"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5BDF03BA"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159ECDF1"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084F4216" w14:textId="77777777" w:rsidR="00CA23D0" w:rsidRPr="00E30642" w:rsidRDefault="00CA23D0" w:rsidP="00CA23D0">
            <w:pPr>
              <w:pStyle w:val="Texttabulky"/>
              <w:spacing w:line="240" w:lineRule="atLeast"/>
              <w:jc w:val="both"/>
              <w:rPr>
                <w:rFonts w:cs="Arial"/>
              </w:rPr>
            </w:pPr>
            <w:r w:rsidRPr="00E30642">
              <w:rPr>
                <w:rFonts w:cs="Arial"/>
              </w:rPr>
              <w:t>4 700</w:t>
            </w:r>
          </w:p>
        </w:tc>
        <w:tc>
          <w:tcPr>
            <w:tcW w:w="960" w:type="dxa"/>
            <w:tcBorders>
              <w:top w:val="single" w:sz="6" w:space="0" w:color="auto"/>
              <w:left w:val="single" w:sz="6" w:space="0" w:color="auto"/>
              <w:bottom w:val="single" w:sz="6" w:space="0" w:color="auto"/>
              <w:right w:val="single" w:sz="6" w:space="0" w:color="auto"/>
            </w:tcBorders>
          </w:tcPr>
          <w:p w14:paraId="63A70DEC" w14:textId="77777777" w:rsidR="00CA23D0" w:rsidRPr="00E30642" w:rsidRDefault="00CA23D0" w:rsidP="00CA23D0">
            <w:pPr>
              <w:pStyle w:val="Texttabulky"/>
              <w:spacing w:line="240" w:lineRule="atLeast"/>
              <w:jc w:val="both"/>
              <w:rPr>
                <w:rFonts w:cs="Arial"/>
              </w:rPr>
            </w:pPr>
            <w:r w:rsidRPr="00E30642">
              <w:rPr>
                <w:rFonts w:cs="Arial"/>
              </w:rPr>
              <w:t>4 700</w:t>
            </w:r>
          </w:p>
        </w:tc>
      </w:tr>
      <w:tr w:rsidR="00CA23D0" w:rsidRPr="00E30642" w14:paraId="21B2BC8E" w14:textId="77777777" w:rsidTr="00CA23D0">
        <w:tc>
          <w:tcPr>
            <w:tcW w:w="705" w:type="dxa"/>
            <w:tcBorders>
              <w:top w:val="single" w:sz="6" w:space="0" w:color="auto"/>
              <w:left w:val="single" w:sz="6" w:space="0" w:color="auto"/>
              <w:bottom w:val="single" w:sz="6" w:space="0" w:color="auto"/>
              <w:right w:val="single" w:sz="6" w:space="0" w:color="auto"/>
            </w:tcBorders>
          </w:tcPr>
          <w:p w14:paraId="6BBAF03E" w14:textId="77777777" w:rsidR="00CA23D0" w:rsidRPr="00E30642" w:rsidRDefault="00CA23D0" w:rsidP="00CA23D0">
            <w:pPr>
              <w:pStyle w:val="Texttabulky"/>
              <w:spacing w:line="240" w:lineRule="atLeast"/>
              <w:jc w:val="both"/>
              <w:rPr>
                <w:rFonts w:cs="Arial"/>
              </w:rPr>
            </w:pPr>
            <w:r w:rsidRPr="00E30642">
              <w:rPr>
                <w:rFonts w:cs="Arial"/>
                <w:b/>
                <w:bCs/>
              </w:rPr>
              <w:t>33</w:t>
            </w:r>
          </w:p>
        </w:tc>
        <w:tc>
          <w:tcPr>
            <w:tcW w:w="2072" w:type="dxa"/>
            <w:tcBorders>
              <w:top w:val="single" w:sz="6" w:space="0" w:color="auto"/>
              <w:left w:val="single" w:sz="6" w:space="0" w:color="auto"/>
              <w:bottom w:val="single" w:sz="6" w:space="0" w:color="auto"/>
              <w:right w:val="single" w:sz="6" w:space="0" w:color="auto"/>
            </w:tcBorders>
          </w:tcPr>
          <w:p w14:paraId="7D9F624C" w14:textId="77777777" w:rsidR="00CA23D0" w:rsidRPr="00E30642" w:rsidRDefault="00CA23D0" w:rsidP="00CA23D0">
            <w:pPr>
              <w:pStyle w:val="Texttabulky"/>
              <w:spacing w:line="240" w:lineRule="atLeast"/>
              <w:jc w:val="both"/>
              <w:rPr>
                <w:rFonts w:cs="Arial"/>
              </w:rPr>
            </w:pPr>
            <w:r w:rsidRPr="00E30642">
              <w:rPr>
                <w:rFonts w:cs="Arial"/>
              </w:rPr>
              <w:t>Bělá</w:t>
            </w:r>
          </w:p>
        </w:tc>
        <w:tc>
          <w:tcPr>
            <w:tcW w:w="960" w:type="dxa"/>
            <w:tcBorders>
              <w:top w:val="single" w:sz="6" w:space="0" w:color="auto"/>
              <w:left w:val="single" w:sz="6" w:space="0" w:color="auto"/>
              <w:bottom w:val="single" w:sz="6" w:space="0" w:color="auto"/>
              <w:right w:val="single" w:sz="6" w:space="0" w:color="auto"/>
            </w:tcBorders>
          </w:tcPr>
          <w:p w14:paraId="668AED7A" w14:textId="77777777" w:rsidR="00CA23D0" w:rsidRPr="00E30642" w:rsidRDefault="00CA23D0" w:rsidP="00CA23D0">
            <w:pPr>
              <w:pStyle w:val="Texttabulky"/>
              <w:spacing w:line="240" w:lineRule="atLeast"/>
              <w:jc w:val="both"/>
              <w:rPr>
                <w:rFonts w:cs="Arial"/>
              </w:rPr>
            </w:pPr>
            <w:r w:rsidRPr="00E30642">
              <w:rPr>
                <w:rFonts w:cs="Arial"/>
              </w:rPr>
              <w:t>1 182</w:t>
            </w:r>
          </w:p>
        </w:tc>
        <w:tc>
          <w:tcPr>
            <w:tcW w:w="885" w:type="dxa"/>
            <w:tcBorders>
              <w:top w:val="single" w:sz="6" w:space="0" w:color="auto"/>
              <w:left w:val="single" w:sz="6" w:space="0" w:color="auto"/>
              <w:bottom w:val="single" w:sz="6" w:space="0" w:color="auto"/>
              <w:right w:val="single" w:sz="6" w:space="0" w:color="auto"/>
            </w:tcBorders>
          </w:tcPr>
          <w:p w14:paraId="7AC54280"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7C9518E4" w14:textId="77777777" w:rsidR="00CA23D0" w:rsidRPr="00E30642" w:rsidRDefault="00CA23D0" w:rsidP="00CA23D0">
            <w:pPr>
              <w:pStyle w:val="Texttabulky"/>
              <w:spacing w:line="240" w:lineRule="atLeast"/>
              <w:jc w:val="both"/>
              <w:rPr>
                <w:rFonts w:cs="Arial"/>
              </w:rPr>
            </w:pPr>
            <w:r w:rsidRPr="00E30642">
              <w:rPr>
                <w:rFonts w:cs="Arial"/>
              </w:rPr>
              <w:t>150</w:t>
            </w:r>
          </w:p>
        </w:tc>
        <w:tc>
          <w:tcPr>
            <w:tcW w:w="844" w:type="dxa"/>
            <w:tcBorders>
              <w:top w:val="single" w:sz="6" w:space="0" w:color="auto"/>
              <w:left w:val="single" w:sz="6" w:space="0" w:color="auto"/>
              <w:bottom w:val="single" w:sz="6" w:space="0" w:color="auto"/>
              <w:right w:val="single" w:sz="6" w:space="0" w:color="auto"/>
            </w:tcBorders>
          </w:tcPr>
          <w:p w14:paraId="7EE8CE59"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44411F59" w14:textId="77777777" w:rsidR="00CA23D0" w:rsidRPr="00E30642" w:rsidRDefault="00CA23D0" w:rsidP="00CA23D0">
            <w:pPr>
              <w:pStyle w:val="Texttabulky"/>
              <w:spacing w:line="240" w:lineRule="atLeast"/>
              <w:jc w:val="both"/>
              <w:rPr>
                <w:rFonts w:cs="Arial"/>
              </w:rPr>
            </w:pPr>
            <w:r w:rsidRPr="00E30642">
              <w:rPr>
                <w:rFonts w:cs="Arial"/>
              </w:rPr>
              <w:t>1 250</w:t>
            </w:r>
          </w:p>
        </w:tc>
        <w:tc>
          <w:tcPr>
            <w:tcW w:w="960" w:type="dxa"/>
            <w:tcBorders>
              <w:top w:val="single" w:sz="6" w:space="0" w:color="auto"/>
              <w:left w:val="single" w:sz="6" w:space="0" w:color="auto"/>
              <w:bottom w:val="single" w:sz="6" w:space="0" w:color="auto"/>
              <w:right w:val="single" w:sz="6" w:space="0" w:color="auto"/>
            </w:tcBorders>
          </w:tcPr>
          <w:p w14:paraId="115C6C48" w14:textId="77777777" w:rsidR="00CA23D0" w:rsidRPr="00E30642" w:rsidRDefault="00CA23D0" w:rsidP="00CA23D0">
            <w:pPr>
              <w:pStyle w:val="Texttabulky"/>
              <w:spacing w:line="240" w:lineRule="atLeast"/>
              <w:jc w:val="both"/>
              <w:rPr>
                <w:rFonts w:cs="Arial"/>
              </w:rPr>
            </w:pPr>
            <w:r w:rsidRPr="00E30642">
              <w:rPr>
                <w:rFonts w:cs="Arial"/>
              </w:rPr>
              <w:t>1 250</w:t>
            </w:r>
          </w:p>
        </w:tc>
      </w:tr>
      <w:tr w:rsidR="00CA23D0" w:rsidRPr="00E30642" w14:paraId="7C902F43" w14:textId="77777777" w:rsidTr="00CA23D0">
        <w:tc>
          <w:tcPr>
            <w:tcW w:w="705" w:type="dxa"/>
            <w:tcBorders>
              <w:top w:val="single" w:sz="6" w:space="0" w:color="auto"/>
              <w:left w:val="single" w:sz="6" w:space="0" w:color="auto"/>
              <w:bottom w:val="single" w:sz="6" w:space="0" w:color="auto"/>
              <w:right w:val="single" w:sz="6" w:space="0" w:color="auto"/>
            </w:tcBorders>
          </w:tcPr>
          <w:p w14:paraId="60F8687A" w14:textId="77777777" w:rsidR="00CA23D0" w:rsidRPr="00E30642" w:rsidRDefault="00CA23D0" w:rsidP="00CA23D0">
            <w:pPr>
              <w:pStyle w:val="Texttabulky"/>
              <w:spacing w:line="240" w:lineRule="atLeast"/>
              <w:jc w:val="both"/>
              <w:rPr>
                <w:rFonts w:cs="Arial"/>
              </w:rPr>
            </w:pPr>
            <w:r w:rsidRPr="00E30642">
              <w:rPr>
                <w:rFonts w:cs="Arial"/>
                <w:b/>
                <w:bCs/>
              </w:rPr>
              <w:t>34</w:t>
            </w:r>
          </w:p>
        </w:tc>
        <w:tc>
          <w:tcPr>
            <w:tcW w:w="2072" w:type="dxa"/>
            <w:tcBorders>
              <w:top w:val="single" w:sz="6" w:space="0" w:color="auto"/>
              <w:left w:val="single" w:sz="6" w:space="0" w:color="auto"/>
              <w:bottom w:val="single" w:sz="6" w:space="0" w:color="auto"/>
              <w:right w:val="single" w:sz="6" w:space="0" w:color="auto"/>
            </w:tcBorders>
          </w:tcPr>
          <w:p w14:paraId="34CD08CE" w14:textId="77777777" w:rsidR="00CA23D0" w:rsidRPr="00E30642" w:rsidRDefault="00CA23D0" w:rsidP="00CA23D0">
            <w:pPr>
              <w:pStyle w:val="Texttabulky"/>
              <w:spacing w:line="240" w:lineRule="atLeast"/>
              <w:jc w:val="both"/>
              <w:rPr>
                <w:rFonts w:cs="Arial"/>
              </w:rPr>
            </w:pPr>
            <w:r w:rsidRPr="00E30642">
              <w:rPr>
                <w:rFonts w:cs="Arial"/>
              </w:rPr>
              <w:t>Kristin Hrádek</w:t>
            </w:r>
          </w:p>
        </w:tc>
        <w:tc>
          <w:tcPr>
            <w:tcW w:w="960" w:type="dxa"/>
            <w:tcBorders>
              <w:top w:val="single" w:sz="6" w:space="0" w:color="auto"/>
              <w:left w:val="single" w:sz="6" w:space="0" w:color="auto"/>
              <w:bottom w:val="single" w:sz="6" w:space="0" w:color="auto"/>
              <w:right w:val="single" w:sz="6" w:space="0" w:color="auto"/>
            </w:tcBorders>
          </w:tcPr>
          <w:p w14:paraId="38D7A3AC"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43AED959"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25D4F956"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766E0F16"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7745BDB1"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498B357F"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0A703090" w14:textId="77777777" w:rsidTr="00CA23D0">
        <w:tc>
          <w:tcPr>
            <w:tcW w:w="705" w:type="dxa"/>
            <w:tcBorders>
              <w:top w:val="single" w:sz="6" w:space="0" w:color="auto"/>
              <w:left w:val="single" w:sz="6" w:space="0" w:color="auto"/>
              <w:bottom w:val="single" w:sz="6" w:space="0" w:color="auto"/>
              <w:right w:val="single" w:sz="6" w:space="0" w:color="auto"/>
            </w:tcBorders>
          </w:tcPr>
          <w:p w14:paraId="42720D48" w14:textId="77777777" w:rsidR="00CA23D0" w:rsidRPr="00E30642" w:rsidRDefault="00CA23D0" w:rsidP="00CA23D0">
            <w:pPr>
              <w:pStyle w:val="Texttabulky"/>
              <w:spacing w:line="240" w:lineRule="atLeast"/>
              <w:jc w:val="both"/>
              <w:rPr>
                <w:rFonts w:cs="Arial"/>
              </w:rPr>
            </w:pPr>
            <w:r w:rsidRPr="00E30642">
              <w:rPr>
                <w:rFonts w:cs="Arial"/>
                <w:b/>
                <w:bCs/>
              </w:rPr>
              <w:t>35</w:t>
            </w:r>
          </w:p>
        </w:tc>
        <w:tc>
          <w:tcPr>
            <w:tcW w:w="2072" w:type="dxa"/>
            <w:tcBorders>
              <w:top w:val="single" w:sz="6" w:space="0" w:color="auto"/>
              <w:left w:val="single" w:sz="6" w:space="0" w:color="auto"/>
              <w:bottom w:val="single" w:sz="6" w:space="0" w:color="auto"/>
              <w:right w:val="single" w:sz="6" w:space="0" w:color="auto"/>
            </w:tcBorders>
          </w:tcPr>
          <w:p w14:paraId="2C746B62" w14:textId="77777777" w:rsidR="00CA23D0" w:rsidRPr="00E30642" w:rsidRDefault="00CA23D0" w:rsidP="00CA23D0">
            <w:pPr>
              <w:pStyle w:val="Texttabulky"/>
              <w:spacing w:line="240" w:lineRule="atLeast"/>
              <w:jc w:val="both"/>
              <w:rPr>
                <w:rFonts w:cs="Arial"/>
              </w:rPr>
            </w:pPr>
            <w:r w:rsidRPr="00E30642">
              <w:rPr>
                <w:rFonts w:cs="Arial"/>
              </w:rPr>
              <w:t>Havraní vrch</w:t>
            </w:r>
          </w:p>
        </w:tc>
        <w:tc>
          <w:tcPr>
            <w:tcW w:w="960" w:type="dxa"/>
            <w:tcBorders>
              <w:top w:val="single" w:sz="6" w:space="0" w:color="auto"/>
              <w:left w:val="single" w:sz="6" w:space="0" w:color="auto"/>
              <w:bottom w:val="single" w:sz="6" w:space="0" w:color="auto"/>
              <w:right w:val="single" w:sz="6" w:space="0" w:color="auto"/>
            </w:tcBorders>
          </w:tcPr>
          <w:p w14:paraId="09485B7B"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37EA3F19"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30836B83"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3CC05ABB"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3A657F1E"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62CA6ACD"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0D07DEF9" w14:textId="77777777" w:rsidTr="00CA23D0">
        <w:tc>
          <w:tcPr>
            <w:tcW w:w="705" w:type="dxa"/>
            <w:tcBorders>
              <w:top w:val="single" w:sz="6" w:space="0" w:color="auto"/>
              <w:left w:val="single" w:sz="6" w:space="0" w:color="auto"/>
              <w:bottom w:val="single" w:sz="6" w:space="0" w:color="auto"/>
              <w:right w:val="single" w:sz="6" w:space="0" w:color="auto"/>
            </w:tcBorders>
          </w:tcPr>
          <w:p w14:paraId="0D03C1FB" w14:textId="77777777" w:rsidR="00CA23D0" w:rsidRPr="00E30642" w:rsidRDefault="00CA23D0" w:rsidP="00CA23D0">
            <w:pPr>
              <w:pStyle w:val="Texttabulky"/>
              <w:spacing w:line="240" w:lineRule="atLeast"/>
              <w:jc w:val="both"/>
              <w:rPr>
                <w:rFonts w:cs="Arial"/>
              </w:rPr>
            </w:pPr>
            <w:r w:rsidRPr="00E30642">
              <w:rPr>
                <w:rFonts w:cs="Arial"/>
                <w:b/>
                <w:bCs/>
              </w:rPr>
              <w:t>36</w:t>
            </w:r>
          </w:p>
        </w:tc>
        <w:tc>
          <w:tcPr>
            <w:tcW w:w="2072" w:type="dxa"/>
            <w:tcBorders>
              <w:top w:val="single" w:sz="6" w:space="0" w:color="auto"/>
              <w:left w:val="single" w:sz="6" w:space="0" w:color="auto"/>
              <w:bottom w:val="single" w:sz="6" w:space="0" w:color="auto"/>
              <w:right w:val="single" w:sz="6" w:space="0" w:color="auto"/>
            </w:tcBorders>
          </w:tcPr>
          <w:p w14:paraId="64358077" w14:textId="77777777" w:rsidR="00CA23D0" w:rsidRPr="00E30642" w:rsidRDefault="00CA23D0" w:rsidP="00CA23D0">
            <w:pPr>
              <w:pStyle w:val="Texttabulky"/>
              <w:spacing w:line="240" w:lineRule="atLeast"/>
              <w:jc w:val="both"/>
              <w:rPr>
                <w:rFonts w:cs="Arial"/>
              </w:rPr>
            </w:pPr>
            <w:r w:rsidRPr="00E30642">
              <w:rPr>
                <w:rFonts w:cs="Arial"/>
              </w:rPr>
              <w:t>Maxičky</w:t>
            </w:r>
          </w:p>
        </w:tc>
        <w:tc>
          <w:tcPr>
            <w:tcW w:w="960" w:type="dxa"/>
            <w:tcBorders>
              <w:top w:val="single" w:sz="6" w:space="0" w:color="auto"/>
              <w:left w:val="single" w:sz="6" w:space="0" w:color="auto"/>
              <w:bottom w:val="single" w:sz="6" w:space="0" w:color="auto"/>
              <w:right w:val="single" w:sz="6" w:space="0" w:color="auto"/>
            </w:tcBorders>
          </w:tcPr>
          <w:p w14:paraId="738E3D9A" w14:textId="77777777" w:rsidR="00CA23D0" w:rsidRPr="00E30642" w:rsidRDefault="00CA23D0" w:rsidP="00CA23D0">
            <w:pPr>
              <w:pStyle w:val="Texttabulky"/>
              <w:spacing w:line="240" w:lineRule="atLeast"/>
              <w:jc w:val="both"/>
              <w:rPr>
                <w:rFonts w:cs="Arial"/>
              </w:rPr>
            </w:pPr>
            <w:r w:rsidRPr="00E30642">
              <w:rPr>
                <w:rFonts w:cs="Arial"/>
              </w:rPr>
              <w:t>59</w:t>
            </w:r>
          </w:p>
        </w:tc>
        <w:tc>
          <w:tcPr>
            <w:tcW w:w="885" w:type="dxa"/>
            <w:tcBorders>
              <w:top w:val="single" w:sz="6" w:space="0" w:color="auto"/>
              <w:left w:val="single" w:sz="6" w:space="0" w:color="auto"/>
              <w:bottom w:val="single" w:sz="6" w:space="0" w:color="auto"/>
              <w:right w:val="single" w:sz="6" w:space="0" w:color="auto"/>
            </w:tcBorders>
          </w:tcPr>
          <w:p w14:paraId="32DE3E1F" w14:textId="77777777" w:rsidR="00CA23D0" w:rsidRPr="00E30642" w:rsidRDefault="00CA23D0" w:rsidP="00CA23D0">
            <w:pPr>
              <w:pStyle w:val="Texttabulky"/>
              <w:spacing w:line="240" w:lineRule="atLeast"/>
              <w:jc w:val="both"/>
              <w:rPr>
                <w:rFonts w:cs="Arial"/>
              </w:rPr>
            </w:pPr>
            <w:r w:rsidRPr="00E30642">
              <w:rPr>
                <w:rFonts w:cs="Arial"/>
              </w:rPr>
              <w:t>15</w:t>
            </w:r>
          </w:p>
        </w:tc>
        <w:tc>
          <w:tcPr>
            <w:tcW w:w="855" w:type="dxa"/>
            <w:tcBorders>
              <w:top w:val="single" w:sz="6" w:space="0" w:color="auto"/>
              <w:left w:val="single" w:sz="6" w:space="0" w:color="auto"/>
              <w:bottom w:val="single" w:sz="6" w:space="0" w:color="auto"/>
              <w:right w:val="single" w:sz="6" w:space="0" w:color="auto"/>
            </w:tcBorders>
          </w:tcPr>
          <w:p w14:paraId="13020ACC"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5064FE4A" w14:textId="77777777" w:rsidR="00CA23D0" w:rsidRPr="00E30642" w:rsidRDefault="00CA23D0" w:rsidP="00CA23D0">
            <w:pPr>
              <w:pStyle w:val="Texttabulky"/>
              <w:spacing w:line="240" w:lineRule="atLeast"/>
              <w:jc w:val="both"/>
              <w:rPr>
                <w:rFonts w:cs="Arial"/>
              </w:rPr>
            </w:pPr>
            <w:r w:rsidRPr="00E30642">
              <w:rPr>
                <w:rFonts w:cs="Arial"/>
              </w:rPr>
              <w:t>65</w:t>
            </w:r>
          </w:p>
        </w:tc>
        <w:tc>
          <w:tcPr>
            <w:tcW w:w="960" w:type="dxa"/>
            <w:tcBorders>
              <w:top w:val="single" w:sz="6" w:space="0" w:color="auto"/>
              <w:left w:val="single" w:sz="6" w:space="0" w:color="auto"/>
              <w:bottom w:val="single" w:sz="6" w:space="0" w:color="auto"/>
              <w:right w:val="single" w:sz="6" w:space="0" w:color="auto"/>
            </w:tcBorders>
          </w:tcPr>
          <w:p w14:paraId="4D7C2FFA" w14:textId="77777777" w:rsidR="00CA23D0" w:rsidRPr="00E30642" w:rsidRDefault="00CA23D0" w:rsidP="00CA23D0">
            <w:pPr>
              <w:pStyle w:val="Texttabulky"/>
              <w:spacing w:line="240" w:lineRule="atLeast"/>
              <w:jc w:val="both"/>
              <w:rPr>
                <w:rFonts w:cs="Arial"/>
              </w:rPr>
            </w:pPr>
            <w:r w:rsidRPr="00E30642">
              <w:rPr>
                <w:rFonts w:cs="Arial"/>
              </w:rPr>
              <w:t>65</w:t>
            </w:r>
          </w:p>
        </w:tc>
        <w:tc>
          <w:tcPr>
            <w:tcW w:w="960" w:type="dxa"/>
            <w:tcBorders>
              <w:top w:val="single" w:sz="6" w:space="0" w:color="auto"/>
              <w:left w:val="single" w:sz="6" w:space="0" w:color="auto"/>
              <w:bottom w:val="single" w:sz="6" w:space="0" w:color="auto"/>
              <w:right w:val="single" w:sz="6" w:space="0" w:color="auto"/>
            </w:tcBorders>
          </w:tcPr>
          <w:p w14:paraId="30497485" w14:textId="77777777" w:rsidR="00CA23D0" w:rsidRPr="00E30642" w:rsidRDefault="00CA23D0" w:rsidP="00CA23D0">
            <w:pPr>
              <w:pStyle w:val="Texttabulky"/>
              <w:spacing w:line="240" w:lineRule="atLeast"/>
              <w:jc w:val="both"/>
              <w:rPr>
                <w:rFonts w:cs="Arial"/>
              </w:rPr>
            </w:pPr>
            <w:r w:rsidRPr="00E30642">
              <w:rPr>
                <w:rFonts w:cs="Arial"/>
              </w:rPr>
              <w:t>130</w:t>
            </w:r>
          </w:p>
        </w:tc>
      </w:tr>
      <w:tr w:rsidR="00CA23D0" w:rsidRPr="00E30642" w14:paraId="16720CD1" w14:textId="77777777" w:rsidTr="00CA23D0">
        <w:tc>
          <w:tcPr>
            <w:tcW w:w="705" w:type="dxa"/>
            <w:tcBorders>
              <w:top w:val="single" w:sz="6" w:space="0" w:color="auto"/>
              <w:left w:val="single" w:sz="6" w:space="0" w:color="auto"/>
              <w:bottom w:val="single" w:sz="6" w:space="0" w:color="auto"/>
              <w:right w:val="single" w:sz="6" w:space="0" w:color="auto"/>
            </w:tcBorders>
          </w:tcPr>
          <w:p w14:paraId="0201A2F8" w14:textId="77777777" w:rsidR="00CA23D0" w:rsidRPr="00E30642" w:rsidRDefault="00CA23D0" w:rsidP="00CA23D0">
            <w:pPr>
              <w:pStyle w:val="Texttabulky"/>
              <w:spacing w:line="240" w:lineRule="atLeast"/>
              <w:jc w:val="both"/>
              <w:rPr>
                <w:rFonts w:cs="Arial"/>
              </w:rPr>
            </w:pPr>
            <w:r w:rsidRPr="00E30642">
              <w:rPr>
                <w:rFonts w:cs="Arial"/>
                <w:b/>
                <w:bCs/>
              </w:rPr>
              <w:t>37</w:t>
            </w:r>
          </w:p>
        </w:tc>
        <w:tc>
          <w:tcPr>
            <w:tcW w:w="2072" w:type="dxa"/>
            <w:tcBorders>
              <w:top w:val="single" w:sz="6" w:space="0" w:color="auto"/>
              <w:left w:val="single" w:sz="6" w:space="0" w:color="auto"/>
              <w:bottom w:val="single" w:sz="6" w:space="0" w:color="auto"/>
              <w:right w:val="single" w:sz="6" w:space="0" w:color="auto"/>
            </w:tcBorders>
          </w:tcPr>
          <w:p w14:paraId="13D5B387" w14:textId="77777777" w:rsidR="00CA23D0" w:rsidRPr="00E30642" w:rsidRDefault="00CA23D0" w:rsidP="00CA23D0">
            <w:pPr>
              <w:pStyle w:val="Texttabulky"/>
              <w:spacing w:line="240" w:lineRule="atLeast"/>
              <w:jc w:val="both"/>
              <w:rPr>
                <w:rFonts w:cs="Arial"/>
              </w:rPr>
            </w:pPr>
            <w:r w:rsidRPr="00E30642">
              <w:rPr>
                <w:rFonts w:cs="Arial"/>
              </w:rPr>
              <w:t>Telefonka</w:t>
            </w:r>
          </w:p>
        </w:tc>
        <w:tc>
          <w:tcPr>
            <w:tcW w:w="960" w:type="dxa"/>
            <w:tcBorders>
              <w:top w:val="single" w:sz="6" w:space="0" w:color="auto"/>
              <w:left w:val="single" w:sz="6" w:space="0" w:color="auto"/>
              <w:bottom w:val="single" w:sz="6" w:space="0" w:color="auto"/>
              <w:right w:val="single" w:sz="6" w:space="0" w:color="auto"/>
            </w:tcBorders>
          </w:tcPr>
          <w:p w14:paraId="0854F4B3"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3E3C396A"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27736ECD"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126E7967"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33343079"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74345371"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71C30C75" w14:textId="77777777" w:rsidTr="00CA23D0">
        <w:tc>
          <w:tcPr>
            <w:tcW w:w="705" w:type="dxa"/>
            <w:tcBorders>
              <w:top w:val="single" w:sz="6" w:space="0" w:color="auto"/>
              <w:left w:val="single" w:sz="6" w:space="0" w:color="auto"/>
              <w:bottom w:val="single" w:sz="6" w:space="0" w:color="auto"/>
              <w:right w:val="single" w:sz="6" w:space="0" w:color="auto"/>
            </w:tcBorders>
          </w:tcPr>
          <w:p w14:paraId="30625DA8" w14:textId="77777777" w:rsidR="00CA23D0" w:rsidRPr="00E30642" w:rsidRDefault="00CA23D0" w:rsidP="00CA23D0">
            <w:pPr>
              <w:pStyle w:val="Texttabulky"/>
              <w:spacing w:line="240" w:lineRule="atLeast"/>
              <w:jc w:val="both"/>
              <w:rPr>
                <w:rFonts w:cs="Arial"/>
              </w:rPr>
            </w:pPr>
            <w:r w:rsidRPr="00E30642">
              <w:rPr>
                <w:rFonts w:cs="Arial"/>
                <w:b/>
                <w:bCs/>
              </w:rPr>
              <w:t>38</w:t>
            </w:r>
          </w:p>
        </w:tc>
        <w:tc>
          <w:tcPr>
            <w:tcW w:w="2072" w:type="dxa"/>
            <w:tcBorders>
              <w:top w:val="single" w:sz="6" w:space="0" w:color="auto"/>
              <w:left w:val="single" w:sz="6" w:space="0" w:color="auto"/>
              <w:bottom w:val="single" w:sz="6" w:space="0" w:color="auto"/>
              <w:right w:val="single" w:sz="6" w:space="0" w:color="auto"/>
            </w:tcBorders>
          </w:tcPr>
          <w:p w14:paraId="48AFC48E" w14:textId="77777777" w:rsidR="00CA23D0" w:rsidRPr="00E30642" w:rsidRDefault="00CA23D0" w:rsidP="00CA23D0">
            <w:pPr>
              <w:pStyle w:val="Texttabulky"/>
              <w:spacing w:line="240" w:lineRule="atLeast"/>
              <w:jc w:val="both"/>
              <w:rPr>
                <w:rFonts w:cs="Arial"/>
              </w:rPr>
            </w:pPr>
            <w:r w:rsidRPr="00E30642">
              <w:rPr>
                <w:rFonts w:cs="Arial"/>
              </w:rPr>
              <w:t>Přípeřské polesí</w:t>
            </w:r>
          </w:p>
        </w:tc>
        <w:tc>
          <w:tcPr>
            <w:tcW w:w="960" w:type="dxa"/>
            <w:tcBorders>
              <w:top w:val="single" w:sz="6" w:space="0" w:color="auto"/>
              <w:left w:val="single" w:sz="6" w:space="0" w:color="auto"/>
              <w:bottom w:val="single" w:sz="6" w:space="0" w:color="auto"/>
              <w:right w:val="single" w:sz="6" w:space="0" w:color="auto"/>
            </w:tcBorders>
          </w:tcPr>
          <w:p w14:paraId="1A146337"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1B2EF07A"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72CC3456"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1F00B40A"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7907B394"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37812DB3"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048BA5C3" w14:textId="77777777" w:rsidTr="00CA23D0">
        <w:tc>
          <w:tcPr>
            <w:tcW w:w="705" w:type="dxa"/>
            <w:tcBorders>
              <w:top w:val="single" w:sz="6" w:space="0" w:color="auto"/>
              <w:left w:val="single" w:sz="6" w:space="0" w:color="auto"/>
              <w:bottom w:val="single" w:sz="6" w:space="0" w:color="auto"/>
              <w:right w:val="single" w:sz="6" w:space="0" w:color="auto"/>
            </w:tcBorders>
          </w:tcPr>
          <w:p w14:paraId="62C1DBF0" w14:textId="77777777" w:rsidR="00CA23D0" w:rsidRPr="00E30642" w:rsidRDefault="00CA23D0" w:rsidP="00CA23D0">
            <w:pPr>
              <w:pStyle w:val="Texttabulky"/>
              <w:spacing w:line="240" w:lineRule="atLeast"/>
              <w:jc w:val="both"/>
              <w:rPr>
                <w:rFonts w:cs="Arial"/>
              </w:rPr>
            </w:pPr>
            <w:r w:rsidRPr="00E30642">
              <w:rPr>
                <w:rFonts w:cs="Arial"/>
                <w:b/>
                <w:bCs/>
              </w:rPr>
              <w:t>39</w:t>
            </w:r>
          </w:p>
        </w:tc>
        <w:tc>
          <w:tcPr>
            <w:tcW w:w="2072" w:type="dxa"/>
            <w:tcBorders>
              <w:top w:val="single" w:sz="6" w:space="0" w:color="auto"/>
              <w:left w:val="single" w:sz="6" w:space="0" w:color="auto"/>
              <w:bottom w:val="single" w:sz="6" w:space="0" w:color="auto"/>
              <w:right w:val="single" w:sz="6" w:space="0" w:color="auto"/>
            </w:tcBorders>
          </w:tcPr>
          <w:p w14:paraId="421F74B5" w14:textId="77777777" w:rsidR="00CA23D0" w:rsidRPr="00E30642" w:rsidRDefault="00CA23D0" w:rsidP="00CA23D0">
            <w:pPr>
              <w:pStyle w:val="Texttabulky"/>
              <w:spacing w:line="240" w:lineRule="atLeast"/>
              <w:jc w:val="both"/>
              <w:rPr>
                <w:rFonts w:cs="Arial"/>
              </w:rPr>
            </w:pPr>
            <w:r w:rsidRPr="00E30642">
              <w:rPr>
                <w:rFonts w:cs="Arial"/>
              </w:rPr>
              <w:t>Prostřední Žleb</w:t>
            </w:r>
          </w:p>
        </w:tc>
        <w:tc>
          <w:tcPr>
            <w:tcW w:w="960" w:type="dxa"/>
            <w:tcBorders>
              <w:top w:val="single" w:sz="6" w:space="0" w:color="auto"/>
              <w:left w:val="single" w:sz="6" w:space="0" w:color="auto"/>
              <w:bottom w:val="single" w:sz="6" w:space="0" w:color="auto"/>
              <w:right w:val="single" w:sz="6" w:space="0" w:color="auto"/>
            </w:tcBorders>
          </w:tcPr>
          <w:p w14:paraId="4BCD1A85" w14:textId="77777777" w:rsidR="00CA23D0" w:rsidRPr="00E30642" w:rsidRDefault="00CA23D0" w:rsidP="00CA23D0">
            <w:pPr>
              <w:pStyle w:val="Texttabulky"/>
              <w:spacing w:line="240" w:lineRule="atLeast"/>
              <w:jc w:val="both"/>
              <w:rPr>
                <w:rFonts w:cs="Arial"/>
              </w:rPr>
            </w:pPr>
            <w:r w:rsidRPr="00E30642">
              <w:rPr>
                <w:rFonts w:cs="Arial"/>
              </w:rPr>
              <w:t>238</w:t>
            </w:r>
          </w:p>
        </w:tc>
        <w:tc>
          <w:tcPr>
            <w:tcW w:w="885" w:type="dxa"/>
            <w:tcBorders>
              <w:top w:val="single" w:sz="6" w:space="0" w:color="auto"/>
              <w:left w:val="single" w:sz="6" w:space="0" w:color="auto"/>
              <w:bottom w:val="single" w:sz="6" w:space="0" w:color="auto"/>
              <w:right w:val="single" w:sz="6" w:space="0" w:color="auto"/>
            </w:tcBorders>
          </w:tcPr>
          <w:p w14:paraId="167F4732"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2BDB0BB4"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0D5CB742" w14:textId="77777777" w:rsidR="00CA23D0" w:rsidRPr="00E30642" w:rsidRDefault="00CA23D0" w:rsidP="00CA23D0">
            <w:pPr>
              <w:pStyle w:val="Texttabulky"/>
              <w:spacing w:line="240" w:lineRule="atLeast"/>
              <w:jc w:val="both"/>
              <w:rPr>
                <w:rFonts w:cs="Arial"/>
              </w:rPr>
            </w:pPr>
            <w:r w:rsidRPr="00E30642">
              <w:rPr>
                <w:rFonts w:cs="Arial"/>
              </w:rPr>
              <w:t>30</w:t>
            </w:r>
          </w:p>
        </w:tc>
        <w:tc>
          <w:tcPr>
            <w:tcW w:w="960" w:type="dxa"/>
            <w:tcBorders>
              <w:top w:val="single" w:sz="6" w:space="0" w:color="auto"/>
              <w:left w:val="single" w:sz="6" w:space="0" w:color="auto"/>
              <w:bottom w:val="single" w:sz="6" w:space="0" w:color="auto"/>
              <w:right w:val="single" w:sz="6" w:space="0" w:color="auto"/>
            </w:tcBorders>
          </w:tcPr>
          <w:p w14:paraId="38EF21AA" w14:textId="77777777" w:rsidR="00CA23D0" w:rsidRPr="00E30642" w:rsidRDefault="00CA23D0" w:rsidP="00CA23D0">
            <w:pPr>
              <w:pStyle w:val="Texttabulky"/>
              <w:spacing w:line="240" w:lineRule="atLeast"/>
              <w:jc w:val="both"/>
              <w:rPr>
                <w:rFonts w:cs="Arial"/>
              </w:rPr>
            </w:pPr>
            <w:r w:rsidRPr="00E30642">
              <w:rPr>
                <w:rFonts w:cs="Arial"/>
              </w:rPr>
              <w:t>200</w:t>
            </w:r>
          </w:p>
        </w:tc>
        <w:tc>
          <w:tcPr>
            <w:tcW w:w="960" w:type="dxa"/>
            <w:tcBorders>
              <w:top w:val="single" w:sz="6" w:space="0" w:color="auto"/>
              <w:left w:val="single" w:sz="6" w:space="0" w:color="auto"/>
              <w:bottom w:val="single" w:sz="6" w:space="0" w:color="auto"/>
              <w:right w:val="single" w:sz="6" w:space="0" w:color="auto"/>
            </w:tcBorders>
          </w:tcPr>
          <w:p w14:paraId="48EB438F" w14:textId="77777777" w:rsidR="00CA23D0" w:rsidRPr="00E30642" w:rsidRDefault="00CA23D0" w:rsidP="00CA23D0">
            <w:pPr>
              <w:pStyle w:val="Texttabulky"/>
              <w:spacing w:line="240" w:lineRule="atLeast"/>
              <w:jc w:val="both"/>
              <w:rPr>
                <w:rFonts w:cs="Arial"/>
              </w:rPr>
            </w:pPr>
            <w:r w:rsidRPr="00E30642">
              <w:rPr>
                <w:rFonts w:cs="Arial"/>
              </w:rPr>
              <w:t>230</w:t>
            </w:r>
          </w:p>
        </w:tc>
      </w:tr>
      <w:tr w:rsidR="00CA23D0" w:rsidRPr="00E30642" w14:paraId="647042A0" w14:textId="77777777" w:rsidTr="00CA23D0">
        <w:tc>
          <w:tcPr>
            <w:tcW w:w="705" w:type="dxa"/>
            <w:tcBorders>
              <w:top w:val="single" w:sz="6" w:space="0" w:color="auto"/>
              <w:left w:val="single" w:sz="6" w:space="0" w:color="auto"/>
              <w:bottom w:val="single" w:sz="6" w:space="0" w:color="auto"/>
              <w:right w:val="single" w:sz="6" w:space="0" w:color="auto"/>
            </w:tcBorders>
          </w:tcPr>
          <w:p w14:paraId="7C62D106" w14:textId="77777777" w:rsidR="00CA23D0" w:rsidRPr="00E30642" w:rsidRDefault="00CA23D0" w:rsidP="00CA23D0">
            <w:pPr>
              <w:pStyle w:val="Texttabulky"/>
              <w:spacing w:line="240" w:lineRule="atLeast"/>
              <w:jc w:val="both"/>
              <w:rPr>
                <w:rFonts w:cs="Arial"/>
              </w:rPr>
            </w:pPr>
            <w:r w:rsidRPr="00E30642">
              <w:rPr>
                <w:rFonts w:cs="Arial"/>
                <w:b/>
                <w:bCs/>
              </w:rPr>
              <w:t>40</w:t>
            </w:r>
          </w:p>
        </w:tc>
        <w:tc>
          <w:tcPr>
            <w:tcW w:w="2072" w:type="dxa"/>
            <w:tcBorders>
              <w:top w:val="single" w:sz="6" w:space="0" w:color="auto"/>
              <w:left w:val="single" w:sz="6" w:space="0" w:color="auto"/>
              <w:bottom w:val="single" w:sz="6" w:space="0" w:color="auto"/>
              <w:right w:val="single" w:sz="6" w:space="0" w:color="auto"/>
            </w:tcBorders>
          </w:tcPr>
          <w:p w14:paraId="75F9D34E" w14:textId="77777777" w:rsidR="00CA23D0" w:rsidRPr="00E30642" w:rsidRDefault="00CA23D0" w:rsidP="00CA23D0">
            <w:pPr>
              <w:pStyle w:val="Texttabulky"/>
              <w:spacing w:line="240" w:lineRule="atLeast"/>
              <w:jc w:val="both"/>
              <w:rPr>
                <w:rFonts w:cs="Arial"/>
              </w:rPr>
            </w:pPr>
            <w:r w:rsidRPr="00E30642">
              <w:rPr>
                <w:rFonts w:cs="Arial"/>
              </w:rPr>
              <w:t>Loubí</w:t>
            </w:r>
          </w:p>
        </w:tc>
        <w:tc>
          <w:tcPr>
            <w:tcW w:w="960" w:type="dxa"/>
            <w:tcBorders>
              <w:top w:val="single" w:sz="6" w:space="0" w:color="auto"/>
              <w:left w:val="single" w:sz="6" w:space="0" w:color="auto"/>
              <w:bottom w:val="single" w:sz="6" w:space="0" w:color="auto"/>
              <w:right w:val="single" w:sz="6" w:space="0" w:color="auto"/>
            </w:tcBorders>
          </w:tcPr>
          <w:p w14:paraId="0C2C488E" w14:textId="77777777" w:rsidR="00CA23D0" w:rsidRPr="00E30642" w:rsidRDefault="00CA23D0" w:rsidP="00CA23D0">
            <w:pPr>
              <w:pStyle w:val="Texttabulky"/>
              <w:spacing w:line="240" w:lineRule="atLeast"/>
              <w:jc w:val="both"/>
              <w:rPr>
                <w:rFonts w:cs="Arial"/>
              </w:rPr>
            </w:pPr>
            <w:r w:rsidRPr="00E30642">
              <w:rPr>
                <w:rFonts w:cs="Arial"/>
              </w:rPr>
              <w:t>214</w:t>
            </w:r>
          </w:p>
        </w:tc>
        <w:tc>
          <w:tcPr>
            <w:tcW w:w="885" w:type="dxa"/>
            <w:tcBorders>
              <w:top w:val="single" w:sz="6" w:space="0" w:color="auto"/>
              <w:left w:val="single" w:sz="6" w:space="0" w:color="auto"/>
              <w:bottom w:val="single" w:sz="6" w:space="0" w:color="auto"/>
              <w:right w:val="single" w:sz="6" w:space="0" w:color="auto"/>
            </w:tcBorders>
          </w:tcPr>
          <w:p w14:paraId="19E834BF"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7C3C4FF6"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30D482A2"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63A45AD7" w14:textId="77777777" w:rsidR="00CA23D0" w:rsidRPr="00E30642" w:rsidRDefault="00CA23D0" w:rsidP="00CA23D0">
            <w:pPr>
              <w:pStyle w:val="Texttabulky"/>
              <w:spacing w:line="240" w:lineRule="atLeast"/>
              <w:jc w:val="both"/>
              <w:rPr>
                <w:rFonts w:cs="Arial"/>
              </w:rPr>
            </w:pPr>
            <w:r w:rsidRPr="00E30642">
              <w:rPr>
                <w:rFonts w:cs="Arial"/>
              </w:rPr>
              <w:t>200</w:t>
            </w:r>
          </w:p>
        </w:tc>
        <w:tc>
          <w:tcPr>
            <w:tcW w:w="960" w:type="dxa"/>
            <w:tcBorders>
              <w:top w:val="single" w:sz="6" w:space="0" w:color="auto"/>
              <w:left w:val="single" w:sz="6" w:space="0" w:color="auto"/>
              <w:bottom w:val="single" w:sz="6" w:space="0" w:color="auto"/>
              <w:right w:val="single" w:sz="6" w:space="0" w:color="auto"/>
            </w:tcBorders>
          </w:tcPr>
          <w:p w14:paraId="333DC9B7"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28BCDBE2" w14:textId="77777777" w:rsidTr="00CA23D0">
        <w:tc>
          <w:tcPr>
            <w:tcW w:w="705" w:type="dxa"/>
            <w:tcBorders>
              <w:top w:val="single" w:sz="6" w:space="0" w:color="auto"/>
              <w:left w:val="single" w:sz="6" w:space="0" w:color="auto"/>
              <w:bottom w:val="single" w:sz="6" w:space="0" w:color="auto"/>
              <w:right w:val="single" w:sz="6" w:space="0" w:color="auto"/>
            </w:tcBorders>
          </w:tcPr>
          <w:p w14:paraId="41B8E977" w14:textId="77777777" w:rsidR="00CA23D0" w:rsidRPr="00E30642" w:rsidRDefault="00CA23D0" w:rsidP="00CA23D0">
            <w:pPr>
              <w:pStyle w:val="Texttabulky"/>
              <w:spacing w:line="240" w:lineRule="atLeast"/>
              <w:jc w:val="both"/>
              <w:rPr>
                <w:rFonts w:cs="Arial"/>
              </w:rPr>
            </w:pPr>
            <w:r w:rsidRPr="00E30642">
              <w:rPr>
                <w:rFonts w:cs="Arial"/>
                <w:b/>
                <w:bCs/>
              </w:rPr>
              <w:t>41</w:t>
            </w:r>
          </w:p>
        </w:tc>
        <w:tc>
          <w:tcPr>
            <w:tcW w:w="2072" w:type="dxa"/>
            <w:tcBorders>
              <w:top w:val="single" w:sz="6" w:space="0" w:color="auto"/>
              <w:left w:val="single" w:sz="6" w:space="0" w:color="auto"/>
              <w:bottom w:val="single" w:sz="6" w:space="0" w:color="auto"/>
              <w:right w:val="single" w:sz="6" w:space="0" w:color="auto"/>
            </w:tcBorders>
          </w:tcPr>
          <w:p w14:paraId="6DE13EF0" w14:textId="77777777" w:rsidR="00CA23D0" w:rsidRPr="00E30642" w:rsidRDefault="00CA23D0" w:rsidP="00CA23D0">
            <w:pPr>
              <w:pStyle w:val="Texttabulky"/>
              <w:spacing w:line="240" w:lineRule="atLeast"/>
              <w:jc w:val="both"/>
              <w:rPr>
                <w:rFonts w:cs="Arial"/>
              </w:rPr>
            </w:pPr>
            <w:r w:rsidRPr="00E30642">
              <w:rPr>
                <w:rFonts w:cs="Arial"/>
              </w:rPr>
              <w:t>Chmelník</w:t>
            </w:r>
          </w:p>
        </w:tc>
        <w:tc>
          <w:tcPr>
            <w:tcW w:w="960" w:type="dxa"/>
            <w:tcBorders>
              <w:top w:val="single" w:sz="6" w:space="0" w:color="auto"/>
              <w:left w:val="single" w:sz="6" w:space="0" w:color="auto"/>
              <w:bottom w:val="single" w:sz="6" w:space="0" w:color="auto"/>
              <w:right w:val="single" w:sz="6" w:space="0" w:color="auto"/>
            </w:tcBorders>
          </w:tcPr>
          <w:p w14:paraId="75386CAE"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10AE33D8"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060796DA"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6C32D134" w14:textId="77777777" w:rsidR="00CA23D0" w:rsidRPr="00E30642" w:rsidRDefault="00CA23D0" w:rsidP="00CA23D0">
            <w:pPr>
              <w:pStyle w:val="Texttabulky"/>
              <w:spacing w:line="240" w:lineRule="atLeast"/>
              <w:jc w:val="both"/>
              <w:rPr>
                <w:rFonts w:cs="Arial"/>
              </w:rPr>
            </w:pPr>
            <w:r w:rsidRPr="00E30642">
              <w:rPr>
                <w:rFonts w:cs="Arial"/>
              </w:rPr>
              <w:t>150</w:t>
            </w:r>
          </w:p>
        </w:tc>
        <w:tc>
          <w:tcPr>
            <w:tcW w:w="960" w:type="dxa"/>
            <w:tcBorders>
              <w:top w:val="single" w:sz="6" w:space="0" w:color="auto"/>
              <w:left w:val="single" w:sz="6" w:space="0" w:color="auto"/>
              <w:bottom w:val="single" w:sz="6" w:space="0" w:color="auto"/>
              <w:right w:val="single" w:sz="6" w:space="0" w:color="auto"/>
            </w:tcBorders>
          </w:tcPr>
          <w:p w14:paraId="7490B7F1"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6EED82B9"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44EE9F9D" w14:textId="77777777" w:rsidTr="00CA23D0">
        <w:tc>
          <w:tcPr>
            <w:tcW w:w="705" w:type="dxa"/>
            <w:tcBorders>
              <w:top w:val="single" w:sz="6" w:space="0" w:color="auto"/>
              <w:left w:val="single" w:sz="6" w:space="0" w:color="auto"/>
              <w:bottom w:val="single" w:sz="6" w:space="0" w:color="auto"/>
              <w:right w:val="single" w:sz="6" w:space="0" w:color="auto"/>
            </w:tcBorders>
          </w:tcPr>
          <w:p w14:paraId="704C3D7F" w14:textId="77777777" w:rsidR="00CA23D0" w:rsidRPr="00E30642" w:rsidRDefault="00CA23D0" w:rsidP="00CA23D0">
            <w:pPr>
              <w:pStyle w:val="Texttabulky"/>
              <w:spacing w:line="240" w:lineRule="atLeast"/>
              <w:jc w:val="both"/>
              <w:rPr>
                <w:rFonts w:cs="Arial"/>
              </w:rPr>
            </w:pPr>
            <w:r w:rsidRPr="00E30642">
              <w:rPr>
                <w:rFonts w:cs="Arial"/>
                <w:b/>
                <w:bCs/>
              </w:rPr>
              <w:t>42</w:t>
            </w:r>
          </w:p>
        </w:tc>
        <w:tc>
          <w:tcPr>
            <w:tcW w:w="2072" w:type="dxa"/>
            <w:tcBorders>
              <w:top w:val="single" w:sz="6" w:space="0" w:color="auto"/>
              <w:left w:val="single" w:sz="6" w:space="0" w:color="auto"/>
              <w:bottom w:val="single" w:sz="6" w:space="0" w:color="auto"/>
              <w:right w:val="single" w:sz="6" w:space="0" w:color="auto"/>
            </w:tcBorders>
          </w:tcPr>
          <w:p w14:paraId="37E02D85" w14:textId="77777777" w:rsidR="00CA23D0" w:rsidRPr="00E30642" w:rsidRDefault="00CA23D0" w:rsidP="00CA23D0">
            <w:pPr>
              <w:pStyle w:val="Texttabulky"/>
              <w:spacing w:line="240" w:lineRule="atLeast"/>
              <w:jc w:val="both"/>
              <w:rPr>
                <w:rFonts w:cs="Arial"/>
              </w:rPr>
            </w:pPr>
            <w:r w:rsidRPr="00E30642">
              <w:rPr>
                <w:rFonts w:cs="Arial"/>
              </w:rPr>
              <w:t>Krásný Studenec</w:t>
            </w:r>
          </w:p>
        </w:tc>
        <w:tc>
          <w:tcPr>
            <w:tcW w:w="960" w:type="dxa"/>
            <w:tcBorders>
              <w:top w:val="single" w:sz="6" w:space="0" w:color="auto"/>
              <w:left w:val="single" w:sz="6" w:space="0" w:color="auto"/>
              <w:bottom w:val="single" w:sz="6" w:space="0" w:color="auto"/>
              <w:right w:val="single" w:sz="6" w:space="0" w:color="auto"/>
            </w:tcBorders>
          </w:tcPr>
          <w:p w14:paraId="2E3F0EE0" w14:textId="77777777" w:rsidR="00CA23D0" w:rsidRPr="00E30642" w:rsidRDefault="00CA23D0" w:rsidP="00CA23D0">
            <w:pPr>
              <w:pStyle w:val="Texttabulky"/>
              <w:spacing w:line="240" w:lineRule="atLeast"/>
              <w:jc w:val="both"/>
              <w:rPr>
                <w:rFonts w:cs="Arial"/>
              </w:rPr>
            </w:pPr>
            <w:r w:rsidRPr="00E30642">
              <w:rPr>
                <w:rFonts w:cs="Arial"/>
              </w:rPr>
              <w:t>401</w:t>
            </w:r>
          </w:p>
        </w:tc>
        <w:tc>
          <w:tcPr>
            <w:tcW w:w="885" w:type="dxa"/>
            <w:tcBorders>
              <w:top w:val="single" w:sz="6" w:space="0" w:color="auto"/>
              <w:left w:val="single" w:sz="6" w:space="0" w:color="auto"/>
              <w:bottom w:val="single" w:sz="6" w:space="0" w:color="auto"/>
              <w:right w:val="single" w:sz="6" w:space="0" w:color="auto"/>
            </w:tcBorders>
          </w:tcPr>
          <w:p w14:paraId="442A6CC2"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2A9B2FF6"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1E8BAFE9" w14:textId="77777777" w:rsidR="00CA23D0" w:rsidRPr="00E30642" w:rsidRDefault="00CA23D0" w:rsidP="00CA23D0">
            <w:pPr>
              <w:pStyle w:val="Texttabulky"/>
              <w:spacing w:line="240" w:lineRule="atLeast"/>
              <w:jc w:val="both"/>
              <w:rPr>
                <w:rFonts w:cs="Arial"/>
              </w:rPr>
            </w:pPr>
            <w:r w:rsidRPr="00E30642">
              <w:rPr>
                <w:rFonts w:cs="Arial"/>
              </w:rPr>
              <w:t>180</w:t>
            </w:r>
          </w:p>
        </w:tc>
        <w:tc>
          <w:tcPr>
            <w:tcW w:w="960" w:type="dxa"/>
            <w:tcBorders>
              <w:top w:val="single" w:sz="6" w:space="0" w:color="auto"/>
              <w:left w:val="single" w:sz="6" w:space="0" w:color="auto"/>
              <w:bottom w:val="single" w:sz="6" w:space="0" w:color="auto"/>
              <w:right w:val="single" w:sz="6" w:space="0" w:color="auto"/>
            </w:tcBorders>
          </w:tcPr>
          <w:p w14:paraId="6FE83251" w14:textId="77777777" w:rsidR="00CA23D0" w:rsidRPr="00E30642" w:rsidRDefault="00CA23D0" w:rsidP="00CA23D0">
            <w:pPr>
              <w:pStyle w:val="Texttabulky"/>
              <w:spacing w:line="240" w:lineRule="atLeast"/>
              <w:jc w:val="both"/>
              <w:rPr>
                <w:rFonts w:cs="Arial"/>
              </w:rPr>
            </w:pPr>
            <w:r w:rsidRPr="00E30642">
              <w:rPr>
                <w:rFonts w:cs="Arial"/>
              </w:rPr>
              <w:t>350</w:t>
            </w:r>
          </w:p>
        </w:tc>
        <w:tc>
          <w:tcPr>
            <w:tcW w:w="960" w:type="dxa"/>
            <w:tcBorders>
              <w:top w:val="single" w:sz="6" w:space="0" w:color="auto"/>
              <w:left w:val="single" w:sz="6" w:space="0" w:color="auto"/>
              <w:bottom w:val="single" w:sz="6" w:space="0" w:color="auto"/>
              <w:right w:val="single" w:sz="6" w:space="0" w:color="auto"/>
            </w:tcBorders>
          </w:tcPr>
          <w:p w14:paraId="39DF41DD" w14:textId="77777777" w:rsidR="00CA23D0" w:rsidRPr="00E30642" w:rsidRDefault="00CA23D0" w:rsidP="00CA23D0">
            <w:pPr>
              <w:pStyle w:val="Texttabulky"/>
              <w:spacing w:line="240" w:lineRule="atLeast"/>
              <w:jc w:val="both"/>
              <w:rPr>
                <w:rFonts w:cs="Arial"/>
              </w:rPr>
            </w:pPr>
            <w:r w:rsidRPr="00E30642">
              <w:rPr>
                <w:rFonts w:cs="Arial"/>
              </w:rPr>
              <w:t>530</w:t>
            </w:r>
          </w:p>
        </w:tc>
      </w:tr>
      <w:tr w:rsidR="00CA23D0" w:rsidRPr="00E30642" w14:paraId="6A0261BF" w14:textId="77777777" w:rsidTr="00CA23D0">
        <w:tc>
          <w:tcPr>
            <w:tcW w:w="705" w:type="dxa"/>
            <w:tcBorders>
              <w:top w:val="single" w:sz="6" w:space="0" w:color="auto"/>
              <w:left w:val="single" w:sz="6" w:space="0" w:color="auto"/>
              <w:bottom w:val="single" w:sz="6" w:space="0" w:color="auto"/>
              <w:right w:val="single" w:sz="6" w:space="0" w:color="auto"/>
            </w:tcBorders>
          </w:tcPr>
          <w:p w14:paraId="116E2C32" w14:textId="77777777" w:rsidR="00CA23D0" w:rsidRPr="00E30642" w:rsidRDefault="00CA23D0" w:rsidP="00CA23D0">
            <w:pPr>
              <w:pStyle w:val="Texttabulky"/>
              <w:spacing w:line="240" w:lineRule="atLeast"/>
              <w:jc w:val="both"/>
              <w:rPr>
                <w:rFonts w:cs="Arial"/>
              </w:rPr>
            </w:pPr>
            <w:r w:rsidRPr="00E30642">
              <w:rPr>
                <w:rFonts w:cs="Arial"/>
                <w:b/>
                <w:bCs/>
              </w:rPr>
              <w:lastRenderedPageBreak/>
              <w:t>43</w:t>
            </w:r>
          </w:p>
        </w:tc>
        <w:tc>
          <w:tcPr>
            <w:tcW w:w="2072" w:type="dxa"/>
            <w:tcBorders>
              <w:top w:val="single" w:sz="6" w:space="0" w:color="auto"/>
              <w:left w:val="single" w:sz="6" w:space="0" w:color="auto"/>
              <w:bottom w:val="single" w:sz="6" w:space="0" w:color="auto"/>
              <w:right w:val="single" w:sz="6" w:space="0" w:color="auto"/>
            </w:tcBorders>
          </w:tcPr>
          <w:p w14:paraId="4AA22BB1" w14:textId="77777777" w:rsidR="00CA23D0" w:rsidRPr="00E30642" w:rsidRDefault="00CA23D0" w:rsidP="00CA23D0">
            <w:pPr>
              <w:pStyle w:val="Texttabulky"/>
              <w:spacing w:line="240" w:lineRule="atLeast"/>
              <w:jc w:val="both"/>
              <w:rPr>
                <w:rFonts w:cs="Arial"/>
              </w:rPr>
            </w:pPr>
            <w:r w:rsidRPr="00E30642">
              <w:rPr>
                <w:rFonts w:cs="Arial"/>
              </w:rPr>
              <w:t>Nad Dolním Žlebem</w:t>
            </w:r>
          </w:p>
        </w:tc>
        <w:tc>
          <w:tcPr>
            <w:tcW w:w="960" w:type="dxa"/>
            <w:tcBorders>
              <w:top w:val="single" w:sz="6" w:space="0" w:color="auto"/>
              <w:left w:val="single" w:sz="6" w:space="0" w:color="auto"/>
              <w:bottom w:val="single" w:sz="6" w:space="0" w:color="auto"/>
              <w:right w:val="single" w:sz="6" w:space="0" w:color="auto"/>
            </w:tcBorders>
          </w:tcPr>
          <w:p w14:paraId="4A73019D"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3911B57C"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776C1A87"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0942AE00"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5E19DA57"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20DA191E"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2EDBA356" w14:textId="77777777" w:rsidTr="00CA23D0">
        <w:tc>
          <w:tcPr>
            <w:tcW w:w="705" w:type="dxa"/>
            <w:tcBorders>
              <w:top w:val="single" w:sz="6" w:space="0" w:color="auto"/>
              <w:left w:val="single" w:sz="6" w:space="0" w:color="auto"/>
              <w:bottom w:val="single" w:sz="6" w:space="0" w:color="auto"/>
              <w:right w:val="single" w:sz="6" w:space="0" w:color="auto"/>
            </w:tcBorders>
          </w:tcPr>
          <w:p w14:paraId="786CD205" w14:textId="77777777" w:rsidR="00CA23D0" w:rsidRPr="00E30642" w:rsidRDefault="00CA23D0" w:rsidP="00CA23D0">
            <w:pPr>
              <w:pStyle w:val="Texttabulky"/>
              <w:spacing w:line="240" w:lineRule="atLeast"/>
              <w:jc w:val="both"/>
              <w:rPr>
                <w:rFonts w:cs="Arial"/>
              </w:rPr>
            </w:pPr>
            <w:r w:rsidRPr="00E30642">
              <w:rPr>
                <w:rFonts w:cs="Arial"/>
                <w:b/>
                <w:bCs/>
              </w:rPr>
              <w:t>44</w:t>
            </w:r>
          </w:p>
        </w:tc>
        <w:tc>
          <w:tcPr>
            <w:tcW w:w="2072" w:type="dxa"/>
            <w:tcBorders>
              <w:top w:val="single" w:sz="6" w:space="0" w:color="auto"/>
              <w:left w:val="single" w:sz="6" w:space="0" w:color="auto"/>
              <w:bottom w:val="single" w:sz="6" w:space="0" w:color="auto"/>
              <w:right w:val="single" w:sz="6" w:space="0" w:color="auto"/>
            </w:tcBorders>
          </w:tcPr>
          <w:p w14:paraId="01C210C4" w14:textId="77777777" w:rsidR="00CA23D0" w:rsidRPr="00E30642" w:rsidRDefault="00CA23D0" w:rsidP="00CA23D0">
            <w:pPr>
              <w:pStyle w:val="Texttabulky"/>
              <w:spacing w:line="240" w:lineRule="atLeast"/>
              <w:jc w:val="both"/>
              <w:rPr>
                <w:rFonts w:cs="Arial"/>
              </w:rPr>
            </w:pPr>
            <w:r w:rsidRPr="00E30642">
              <w:rPr>
                <w:rFonts w:cs="Arial"/>
              </w:rPr>
              <w:t>Dolní Žleb</w:t>
            </w:r>
          </w:p>
        </w:tc>
        <w:tc>
          <w:tcPr>
            <w:tcW w:w="960" w:type="dxa"/>
            <w:tcBorders>
              <w:top w:val="single" w:sz="6" w:space="0" w:color="auto"/>
              <w:left w:val="single" w:sz="6" w:space="0" w:color="auto"/>
              <w:bottom w:val="single" w:sz="6" w:space="0" w:color="auto"/>
              <w:right w:val="single" w:sz="6" w:space="0" w:color="auto"/>
            </w:tcBorders>
          </w:tcPr>
          <w:p w14:paraId="0D09E7ED" w14:textId="77777777" w:rsidR="00CA23D0" w:rsidRPr="00E30642" w:rsidRDefault="00CA23D0" w:rsidP="00CA23D0">
            <w:pPr>
              <w:pStyle w:val="Texttabulky"/>
              <w:spacing w:line="240" w:lineRule="atLeast"/>
              <w:jc w:val="both"/>
              <w:rPr>
                <w:rFonts w:cs="Arial"/>
              </w:rPr>
            </w:pPr>
            <w:r w:rsidRPr="00E30642">
              <w:rPr>
                <w:rFonts w:cs="Arial"/>
              </w:rPr>
              <w:t>120</w:t>
            </w:r>
          </w:p>
        </w:tc>
        <w:tc>
          <w:tcPr>
            <w:tcW w:w="885" w:type="dxa"/>
            <w:tcBorders>
              <w:top w:val="single" w:sz="6" w:space="0" w:color="auto"/>
              <w:left w:val="single" w:sz="6" w:space="0" w:color="auto"/>
              <w:bottom w:val="single" w:sz="6" w:space="0" w:color="auto"/>
              <w:right w:val="single" w:sz="6" w:space="0" w:color="auto"/>
            </w:tcBorders>
          </w:tcPr>
          <w:p w14:paraId="501335D5"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0C0508D6"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3830A37A" w14:textId="77777777" w:rsidR="00CA23D0" w:rsidRPr="00E30642" w:rsidRDefault="00CA23D0" w:rsidP="00CA23D0">
            <w:pPr>
              <w:pStyle w:val="Texttabulky"/>
              <w:spacing w:line="240" w:lineRule="atLeast"/>
              <w:jc w:val="both"/>
              <w:rPr>
                <w:rFonts w:cs="Arial"/>
              </w:rPr>
            </w:pPr>
            <w:r w:rsidRPr="00E30642">
              <w:rPr>
                <w:rFonts w:cs="Arial"/>
              </w:rPr>
              <w:t>100</w:t>
            </w:r>
          </w:p>
        </w:tc>
        <w:tc>
          <w:tcPr>
            <w:tcW w:w="960" w:type="dxa"/>
            <w:tcBorders>
              <w:top w:val="single" w:sz="6" w:space="0" w:color="auto"/>
              <w:left w:val="single" w:sz="6" w:space="0" w:color="auto"/>
              <w:bottom w:val="single" w:sz="6" w:space="0" w:color="auto"/>
              <w:right w:val="single" w:sz="6" w:space="0" w:color="auto"/>
            </w:tcBorders>
          </w:tcPr>
          <w:p w14:paraId="3CFC5FD4" w14:textId="77777777" w:rsidR="00CA23D0" w:rsidRPr="00E30642" w:rsidRDefault="00CA23D0" w:rsidP="00CA23D0">
            <w:pPr>
              <w:pStyle w:val="Texttabulky"/>
              <w:spacing w:line="240" w:lineRule="atLeast"/>
              <w:jc w:val="both"/>
              <w:rPr>
                <w:rFonts w:cs="Arial"/>
              </w:rPr>
            </w:pPr>
            <w:r w:rsidRPr="00E30642">
              <w:rPr>
                <w:rFonts w:cs="Arial"/>
              </w:rPr>
              <w:t>100</w:t>
            </w:r>
          </w:p>
        </w:tc>
        <w:tc>
          <w:tcPr>
            <w:tcW w:w="960" w:type="dxa"/>
            <w:tcBorders>
              <w:top w:val="single" w:sz="6" w:space="0" w:color="auto"/>
              <w:left w:val="single" w:sz="6" w:space="0" w:color="auto"/>
              <w:bottom w:val="single" w:sz="6" w:space="0" w:color="auto"/>
              <w:right w:val="single" w:sz="6" w:space="0" w:color="auto"/>
            </w:tcBorders>
          </w:tcPr>
          <w:p w14:paraId="38F5200F"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541B709B" w14:textId="77777777" w:rsidTr="00CA23D0">
        <w:tc>
          <w:tcPr>
            <w:tcW w:w="705" w:type="dxa"/>
            <w:tcBorders>
              <w:top w:val="single" w:sz="6" w:space="0" w:color="auto"/>
              <w:left w:val="single" w:sz="6" w:space="0" w:color="auto"/>
              <w:bottom w:val="single" w:sz="6" w:space="0" w:color="auto"/>
              <w:right w:val="single" w:sz="6" w:space="0" w:color="auto"/>
            </w:tcBorders>
          </w:tcPr>
          <w:p w14:paraId="3B15E373" w14:textId="77777777" w:rsidR="00CA23D0" w:rsidRPr="00E30642" w:rsidRDefault="00CA23D0" w:rsidP="00CA23D0">
            <w:pPr>
              <w:pStyle w:val="Texttabulky"/>
              <w:spacing w:line="240" w:lineRule="atLeast"/>
              <w:jc w:val="both"/>
              <w:rPr>
                <w:rFonts w:cs="Arial"/>
              </w:rPr>
            </w:pPr>
            <w:r w:rsidRPr="00E30642">
              <w:rPr>
                <w:rFonts w:cs="Arial"/>
                <w:b/>
                <w:bCs/>
              </w:rPr>
              <w:t>47</w:t>
            </w:r>
          </w:p>
        </w:tc>
        <w:tc>
          <w:tcPr>
            <w:tcW w:w="2072" w:type="dxa"/>
            <w:tcBorders>
              <w:top w:val="single" w:sz="6" w:space="0" w:color="auto"/>
              <w:left w:val="single" w:sz="6" w:space="0" w:color="auto"/>
              <w:bottom w:val="single" w:sz="6" w:space="0" w:color="auto"/>
              <w:right w:val="single" w:sz="6" w:space="0" w:color="auto"/>
            </w:tcBorders>
          </w:tcPr>
          <w:p w14:paraId="51C37803" w14:textId="77777777" w:rsidR="00CA23D0" w:rsidRPr="00E30642" w:rsidRDefault="00CA23D0" w:rsidP="00CA23D0">
            <w:pPr>
              <w:pStyle w:val="Texttabulky"/>
              <w:spacing w:line="240" w:lineRule="atLeast"/>
              <w:jc w:val="both"/>
              <w:rPr>
                <w:rFonts w:cs="Arial"/>
              </w:rPr>
            </w:pPr>
            <w:r w:rsidRPr="00E30642">
              <w:rPr>
                <w:rFonts w:cs="Arial"/>
              </w:rPr>
              <w:t>Folknáře</w:t>
            </w:r>
          </w:p>
        </w:tc>
        <w:tc>
          <w:tcPr>
            <w:tcW w:w="960" w:type="dxa"/>
            <w:tcBorders>
              <w:top w:val="single" w:sz="6" w:space="0" w:color="auto"/>
              <w:left w:val="single" w:sz="6" w:space="0" w:color="auto"/>
              <w:bottom w:val="single" w:sz="6" w:space="0" w:color="auto"/>
              <w:right w:val="single" w:sz="6" w:space="0" w:color="auto"/>
            </w:tcBorders>
          </w:tcPr>
          <w:p w14:paraId="52DFDEA2" w14:textId="77777777" w:rsidR="00CA23D0" w:rsidRPr="00E30642" w:rsidRDefault="00CA23D0" w:rsidP="00CA23D0">
            <w:pPr>
              <w:pStyle w:val="Texttabulky"/>
              <w:spacing w:line="240" w:lineRule="atLeast"/>
              <w:jc w:val="both"/>
              <w:rPr>
                <w:rFonts w:cs="Arial"/>
              </w:rPr>
            </w:pPr>
            <w:r w:rsidRPr="00E30642">
              <w:rPr>
                <w:rFonts w:cs="Arial"/>
              </w:rPr>
              <w:t>214</w:t>
            </w:r>
          </w:p>
        </w:tc>
        <w:tc>
          <w:tcPr>
            <w:tcW w:w="885" w:type="dxa"/>
            <w:tcBorders>
              <w:top w:val="single" w:sz="6" w:space="0" w:color="auto"/>
              <w:left w:val="single" w:sz="6" w:space="0" w:color="auto"/>
              <w:bottom w:val="single" w:sz="6" w:space="0" w:color="auto"/>
              <w:right w:val="single" w:sz="6" w:space="0" w:color="auto"/>
            </w:tcBorders>
          </w:tcPr>
          <w:p w14:paraId="716CDAFE"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781A42EC" w14:textId="77777777" w:rsidR="00CA23D0" w:rsidRPr="00E30642" w:rsidRDefault="00CA23D0" w:rsidP="00CA23D0">
            <w:pPr>
              <w:pStyle w:val="Texttabulky"/>
              <w:spacing w:line="240" w:lineRule="atLeast"/>
              <w:jc w:val="both"/>
              <w:rPr>
                <w:rFonts w:cs="Arial"/>
              </w:rPr>
            </w:pPr>
            <w:r w:rsidRPr="00E30642">
              <w:rPr>
                <w:rFonts w:cs="Arial"/>
              </w:rPr>
              <w:t>150</w:t>
            </w:r>
          </w:p>
        </w:tc>
        <w:tc>
          <w:tcPr>
            <w:tcW w:w="844" w:type="dxa"/>
            <w:tcBorders>
              <w:top w:val="single" w:sz="6" w:space="0" w:color="auto"/>
              <w:left w:val="single" w:sz="6" w:space="0" w:color="auto"/>
              <w:bottom w:val="single" w:sz="6" w:space="0" w:color="auto"/>
              <w:right w:val="single" w:sz="6" w:space="0" w:color="auto"/>
            </w:tcBorders>
          </w:tcPr>
          <w:p w14:paraId="2286534B" w14:textId="77777777" w:rsidR="00CA23D0" w:rsidRPr="00E30642" w:rsidRDefault="00CA23D0" w:rsidP="00CA23D0">
            <w:pPr>
              <w:pStyle w:val="Texttabulky"/>
              <w:spacing w:line="240" w:lineRule="atLeast"/>
              <w:jc w:val="both"/>
              <w:rPr>
                <w:rFonts w:cs="Arial"/>
              </w:rPr>
            </w:pPr>
            <w:r w:rsidRPr="00E30642">
              <w:rPr>
                <w:rFonts w:cs="Arial"/>
              </w:rPr>
              <w:t>350</w:t>
            </w:r>
          </w:p>
        </w:tc>
        <w:tc>
          <w:tcPr>
            <w:tcW w:w="960" w:type="dxa"/>
            <w:tcBorders>
              <w:top w:val="single" w:sz="6" w:space="0" w:color="auto"/>
              <w:left w:val="single" w:sz="6" w:space="0" w:color="auto"/>
              <w:bottom w:val="single" w:sz="6" w:space="0" w:color="auto"/>
              <w:right w:val="single" w:sz="6" w:space="0" w:color="auto"/>
            </w:tcBorders>
          </w:tcPr>
          <w:p w14:paraId="16362BF5" w14:textId="77777777" w:rsidR="00CA23D0" w:rsidRPr="00E30642" w:rsidRDefault="00CA23D0" w:rsidP="00CA23D0">
            <w:pPr>
              <w:pStyle w:val="Texttabulky"/>
              <w:spacing w:line="240" w:lineRule="atLeast"/>
              <w:jc w:val="both"/>
              <w:rPr>
                <w:rFonts w:cs="Arial"/>
              </w:rPr>
            </w:pPr>
            <w:r w:rsidRPr="00E30642">
              <w:rPr>
                <w:rFonts w:cs="Arial"/>
              </w:rPr>
              <w:t>350</w:t>
            </w:r>
          </w:p>
        </w:tc>
        <w:tc>
          <w:tcPr>
            <w:tcW w:w="960" w:type="dxa"/>
            <w:tcBorders>
              <w:top w:val="single" w:sz="6" w:space="0" w:color="auto"/>
              <w:left w:val="single" w:sz="6" w:space="0" w:color="auto"/>
              <w:bottom w:val="single" w:sz="6" w:space="0" w:color="auto"/>
              <w:right w:val="single" w:sz="6" w:space="0" w:color="auto"/>
            </w:tcBorders>
          </w:tcPr>
          <w:p w14:paraId="374102F6" w14:textId="77777777" w:rsidR="00CA23D0" w:rsidRPr="00E30642" w:rsidRDefault="00CA23D0" w:rsidP="00CA23D0">
            <w:pPr>
              <w:pStyle w:val="Texttabulky"/>
              <w:spacing w:line="240" w:lineRule="atLeast"/>
              <w:jc w:val="both"/>
              <w:rPr>
                <w:rFonts w:cs="Arial"/>
              </w:rPr>
            </w:pPr>
            <w:r w:rsidRPr="00E30642">
              <w:rPr>
                <w:rFonts w:cs="Arial"/>
              </w:rPr>
              <w:t>700</w:t>
            </w:r>
          </w:p>
        </w:tc>
      </w:tr>
      <w:tr w:rsidR="00CA23D0" w:rsidRPr="00E30642" w14:paraId="7DE4AFD3" w14:textId="77777777" w:rsidTr="00CA23D0">
        <w:tc>
          <w:tcPr>
            <w:tcW w:w="705" w:type="dxa"/>
            <w:tcBorders>
              <w:top w:val="single" w:sz="6" w:space="0" w:color="auto"/>
              <w:left w:val="single" w:sz="6" w:space="0" w:color="auto"/>
              <w:bottom w:val="single" w:sz="6" w:space="0" w:color="auto"/>
              <w:right w:val="single" w:sz="6" w:space="0" w:color="auto"/>
            </w:tcBorders>
          </w:tcPr>
          <w:p w14:paraId="3BBBD0F6" w14:textId="77777777" w:rsidR="00CA23D0" w:rsidRPr="00E30642" w:rsidRDefault="00CA23D0" w:rsidP="00CA23D0">
            <w:pPr>
              <w:pStyle w:val="Texttabulky"/>
              <w:spacing w:line="240" w:lineRule="atLeast"/>
              <w:jc w:val="both"/>
              <w:rPr>
                <w:rFonts w:cs="Arial"/>
              </w:rPr>
            </w:pPr>
            <w:r w:rsidRPr="00E30642">
              <w:rPr>
                <w:rFonts w:cs="Arial"/>
                <w:b/>
                <w:bCs/>
              </w:rPr>
              <w:t>48</w:t>
            </w:r>
          </w:p>
        </w:tc>
        <w:tc>
          <w:tcPr>
            <w:tcW w:w="2072" w:type="dxa"/>
            <w:tcBorders>
              <w:top w:val="single" w:sz="6" w:space="0" w:color="auto"/>
              <w:left w:val="single" w:sz="6" w:space="0" w:color="auto"/>
              <w:bottom w:val="single" w:sz="6" w:space="0" w:color="auto"/>
              <w:right w:val="single" w:sz="6" w:space="0" w:color="auto"/>
            </w:tcBorders>
          </w:tcPr>
          <w:p w14:paraId="2F4C415D" w14:textId="77777777" w:rsidR="00CA23D0" w:rsidRPr="00E30642" w:rsidRDefault="00CA23D0" w:rsidP="00CA23D0">
            <w:pPr>
              <w:pStyle w:val="Texttabulky"/>
              <w:spacing w:line="240" w:lineRule="atLeast"/>
              <w:jc w:val="both"/>
              <w:rPr>
                <w:rFonts w:cs="Arial"/>
              </w:rPr>
            </w:pPr>
            <w:r w:rsidRPr="00E30642">
              <w:rPr>
                <w:rFonts w:cs="Arial"/>
              </w:rPr>
              <w:t>Březiny</w:t>
            </w:r>
          </w:p>
        </w:tc>
        <w:tc>
          <w:tcPr>
            <w:tcW w:w="960" w:type="dxa"/>
            <w:tcBorders>
              <w:top w:val="single" w:sz="6" w:space="0" w:color="auto"/>
              <w:left w:val="single" w:sz="6" w:space="0" w:color="auto"/>
              <w:bottom w:val="single" w:sz="6" w:space="0" w:color="auto"/>
              <w:right w:val="single" w:sz="6" w:space="0" w:color="auto"/>
            </w:tcBorders>
          </w:tcPr>
          <w:p w14:paraId="1B745804" w14:textId="77777777" w:rsidR="00CA23D0" w:rsidRPr="00E30642" w:rsidRDefault="00CA23D0" w:rsidP="00CA23D0">
            <w:pPr>
              <w:pStyle w:val="Texttabulky"/>
              <w:spacing w:line="240" w:lineRule="atLeast"/>
              <w:jc w:val="both"/>
              <w:rPr>
                <w:rFonts w:cs="Arial"/>
              </w:rPr>
            </w:pPr>
            <w:r w:rsidRPr="00E30642">
              <w:rPr>
                <w:rFonts w:cs="Arial"/>
              </w:rPr>
              <w:t>2 224</w:t>
            </w:r>
          </w:p>
        </w:tc>
        <w:tc>
          <w:tcPr>
            <w:tcW w:w="885" w:type="dxa"/>
            <w:tcBorders>
              <w:top w:val="single" w:sz="6" w:space="0" w:color="auto"/>
              <w:left w:val="single" w:sz="6" w:space="0" w:color="auto"/>
              <w:bottom w:val="single" w:sz="6" w:space="0" w:color="auto"/>
              <w:right w:val="single" w:sz="6" w:space="0" w:color="auto"/>
            </w:tcBorders>
          </w:tcPr>
          <w:p w14:paraId="59615304"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05BA97D3"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625F252F" w14:textId="77777777" w:rsidR="00CA23D0" w:rsidRPr="00E30642" w:rsidRDefault="00CA23D0" w:rsidP="00CA23D0">
            <w:pPr>
              <w:pStyle w:val="Texttabulky"/>
              <w:spacing w:line="240" w:lineRule="atLeast"/>
              <w:jc w:val="both"/>
              <w:rPr>
                <w:rFonts w:cs="Arial"/>
              </w:rPr>
            </w:pPr>
            <w:r w:rsidRPr="00E30642">
              <w:rPr>
                <w:rFonts w:cs="Arial"/>
              </w:rPr>
              <w:t>235</w:t>
            </w:r>
          </w:p>
        </w:tc>
        <w:tc>
          <w:tcPr>
            <w:tcW w:w="960" w:type="dxa"/>
            <w:tcBorders>
              <w:top w:val="single" w:sz="6" w:space="0" w:color="auto"/>
              <w:left w:val="single" w:sz="6" w:space="0" w:color="auto"/>
              <w:bottom w:val="single" w:sz="6" w:space="0" w:color="auto"/>
              <w:right w:val="single" w:sz="6" w:space="0" w:color="auto"/>
            </w:tcBorders>
          </w:tcPr>
          <w:p w14:paraId="77226A5E" w14:textId="77777777" w:rsidR="00CA23D0" w:rsidRPr="00E30642" w:rsidRDefault="00CA23D0" w:rsidP="00CA23D0">
            <w:pPr>
              <w:pStyle w:val="Texttabulky"/>
              <w:spacing w:line="240" w:lineRule="atLeast"/>
              <w:jc w:val="both"/>
              <w:rPr>
                <w:rFonts w:cs="Arial"/>
              </w:rPr>
            </w:pPr>
            <w:r w:rsidRPr="00E30642">
              <w:rPr>
                <w:rFonts w:cs="Arial"/>
              </w:rPr>
              <w:t>2 000</w:t>
            </w:r>
          </w:p>
        </w:tc>
        <w:tc>
          <w:tcPr>
            <w:tcW w:w="960" w:type="dxa"/>
            <w:tcBorders>
              <w:top w:val="single" w:sz="6" w:space="0" w:color="auto"/>
              <w:left w:val="single" w:sz="6" w:space="0" w:color="auto"/>
              <w:bottom w:val="single" w:sz="6" w:space="0" w:color="auto"/>
              <w:right w:val="single" w:sz="6" w:space="0" w:color="auto"/>
            </w:tcBorders>
          </w:tcPr>
          <w:p w14:paraId="7E57805F" w14:textId="77777777" w:rsidR="00CA23D0" w:rsidRPr="00E30642" w:rsidRDefault="00CA23D0" w:rsidP="00CA23D0">
            <w:pPr>
              <w:pStyle w:val="Texttabulky"/>
              <w:spacing w:line="240" w:lineRule="atLeast"/>
              <w:jc w:val="both"/>
              <w:rPr>
                <w:rFonts w:cs="Arial"/>
              </w:rPr>
            </w:pPr>
            <w:r w:rsidRPr="00E30642">
              <w:rPr>
                <w:rFonts w:cs="Arial"/>
              </w:rPr>
              <w:t>2 235</w:t>
            </w:r>
          </w:p>
        </w:tc>
      </w:tr>
      <w:tr w:rsidR="00CA23D0" w:rsidRPr="00E30642" w14:paraId="26B752FC" w14:textId="77777777" w:rsidTr="00CA23D0">
        <w:tc>
          <w:tcPr>
            <w:tcW w:w="705" w:type="dxa"/>
            <w:tcBorders>
              <w:top w:val="single" w:sz="6" w:space="0" w:color="auto"/>
              <w:left w:val="single" w:sz="6" w:space="0" w:color="auto"/>
              <w:bottom w:val="single" w:sz="6" w:space="0" w:color="auto"/>
              <w:right w:val="single" w:sz="6" w:space="0" w:color="auto"/>
            </w:tcBorders>
          </w:tcPr>
          <w:p w14:paraId="493A2079" w14:textId="77777777" w:rsidR="00CA23D0" w:rsidRPr="00E30642" w:rsidRDefault="00CA23D0" w:rsidP="00CA23D0">
            <w:pPr>
              <w:pStyle w:val="Texttabulky"/>
              <w:spacing w:line="240" w:lineRule="atLeast"/>
              <w:jc w:val="both"/>
              <w:rPr>
                <w:rFonts w:cs="Arial"/>
              </w:rPr>
            </w:pPr>
            <w:r w:rsidRPr="00E30642">
              <w:rPr>
                <w:rFonts w:cs="Arial"/>
                <w:b/>
                <w:bCs/>
              </w:rPr>
              <w:t>49</w:t>
            </w:r>
          </w:p>
        </w:tc>
        <w:tc>
          <w:tcPr>
            <w:tcW w:w="2072" w:type="dxa"/>
            <w:tcBorders>
              <w:top w:val="single" w:sz="6" w:space="0" w:color="auto"/>
              <w:left w:val="single" w:sz="6" w:space="0" w:color="auto"/>
              <w:bottom w:val="single" w:sz="6" w:space="0" w:color="auto"/>
              <w:right w:val="single" w:sz="6" w:space="0" w:color="auto"/>
            </w:tcBorders>
          </w:tcPr>
          <w:p w14:paraId="55FC8E4F" w14:textId="77777777" w:rsidR="00CA23D0" w:rsidRPr="00E30642" w:rsidRDefault="00CA23D0" w:rsidP="00CA23D0">
            <w:pPr>
              <w:pStyle w:val="Texttabulky"/>
              <w:spacing w:line="240" w:lineRule="atLeast"/>
              <w:jc w:val="both"/>
              <w:rPr>
                <w:rFonts w:cs="Arial"/>
              </w:rPr>
            </w:pPr>
            <w:r w:rsidRPr="00E30642">
              <w:rPr>
                <w:rFonts w:cs="Arial"/>
              </w:rPr>
              <w:t>Chlum</w:t>
            </w:r>
          </w:p>
        </w:tc>
        <w:tc>
          <w:tcPr>
            <w:tcW w:w="960" w:type="dxa"/>
            <w:tcBorders>
              <w:top w:val="single" w:sz="6" w:space="0" w:color="auto"/>
              <w:left w:val="single" w:sz="6" w:space="0" w:color="auto"/>
              <w:bottom w:val="single" w:sz="6" w:space="0" w:color="auto"/>
              <w:right w:val="single" w:sz="6" w:space="0" w:color="auto"/>
            </w:tcBorders>
          </w:tcPr>
          <w:p w14:paraId="54EC4A0F" w14:textId="77777777" w:rsidR="00CA23D0" w:rsidRPr="00E30642" w:rsidRDefault="00CA23D0" w:rsidP="00CA23D0">
            <w:pPr>
              <w:pStyle w:val="Texttabulky"/>
              <w:spacing w:line="240" w:lineRule="atLeast"/>
              <w:jc w:val="both"/>
              <w:rPr>
                <w:rFonts w:cs="Arial"/>
              </w:rPr>
            </w:pPr>
            <w:r w:rsidRPr="00E30642">
              <w:rPr>
                <w:rFonts w:cs="Arial"/>
              </w:rPr>
              <w:t>303</w:t>
            </w:r>
          </w:p>
        </w:tc>
        <w:tc>
          <w:tcPr>
            <w:tcW w:w="885" w:type="dxa"/>
            <w:tcBorders>
              <w:top w:val="single" w:sz="6" w:space="0" w:color="auto"/>
              <w:left w:val="single" w:sz="6" w:space="0" w:color="auto"/>
              <w:bottom w:val="single" w:sz="6" w:space="0" w:color="auto"/>
              <w:right w:val="single" w:sz="6" w:space="0" w:color="auto"/>
            </w:tcBorders>
          </w:tcPr>
          <w:p w14:paraId="07E207BB"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054F4217"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4CA725D3"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4362F5B4" w14:textId="77777777" w:rsidR="00CA23D0" w:rsidRPr="00E30642" w:rsidRDefault="00CA23D0" w:rsidP="00CA23D0">
            <w:pPr>
              <w:pStyle w:val="Texttabulky"/>
              <w:spacing w:line="240" w:lineRule="atLeast"/>
              <w:jc w:val="both"/>
              <w:rPr>
                <w:rFonts w:cs="Arial"/>
              </w:rPr>
            </w:pPr>
            <w:r w:rsidRPr="00E30642">
              <w:rPr>
                <w:rFonts w:cs="Arial"/>
              </w:rPr>
              <w:t>300</w:t>
            </w:r>
          </w:p>
        </w:tc>
        <w:tc>
          <w:tcPr>
            <w:tcW w:w="960" w:type="dxa"/>
            <w:tcBorders>
              <w:top w:val="single" w:sz="6" w:space="0" w:color="auto"/>
              <w:left w:val="single" w:sz="6" w:space="0" w:color="auto"/>
              <w:bottom w:val="single" w:sz="6" w:space="0" w:color="auto"/>
              <w:right w:val="single" w:sz="6" w:space="0" w:color="auto"/>
            </w:tcBorders>
          </w:tcPr>
          <w:p w14:paraId="4678E35D"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14329348" w14:textId="77777777" w:rsidTr="00CA23D0">
        <w:tc>
          <w:tcPr>
            <w:tcW w:w="705" w:type="dxa"/>
            <w:tcBorders>
              <w:top w:val="single" w:sz="6" w:space="0" w:color="auto"/>
              <w:left w:val="single" w:sz="6" w:space="0" w:color="auto"/>
              <w:bottom w:val="single" w:sz="6" w:space="0" w:color="auto"/>
              <w:right w:val="single" w:sz="6" w:space="0" w:color="auto"/>
            </w:tcBorders>
          </w:tcPr>
          <w:p w14:paraId="61F74C1C" w14:textId="77777777" w:rsidR="00CA23D0" w:rsidRPr="00E30642" w:rsidRDefault="00CA23D0" w:rsidP="00CA23D0">
            <w:pPr>
              <w:pStyle w:val="Texttabulky"/>
              <w:spacing w:line="240" w:lineRule="atLeast"/>
              <w:jc w:val="both"/>
              <w:rPr>
                <w:rFonts w:cs="Arial"/>
              </w:rPr>
            </w:pPr>
            <w:r w:rsidRPr="00E30642">
              <w:rPr>
                <w:rFonts w:cs="Arial"/>
                <w:b/>
                <w:bCs/>
              </w:rPr>
              <w:t>51</w:t>
            </w:r>
          </w:p>
        </w:tc>
        <w:tc>
          <w:tcPr>
            <w:tcW w:w="2072" w:type="dxa"/>
            <w:tcBorders>
              <w:top w:val="single" w:sz="6" w:space="0" w:color="auto"/>
              <w:left w:val="single" w:sz="6" w:space="0" w:color="auto"/>
              <w:bottom w:val="single" w:sz="6" w:space="0" w:color="auto"/>
              <w:right w:val="single" w:sz="6" w:space="0" w:color="auto"/>
            </w:tcBorders>
          </w:tcPr>
          <w:p w14:paraId="672FC1B6" w14:textId="77777777" w:rsidR="00CA23D0" w:rsidRPr="00E30642" w:rsidRDefault="00CA23D0" w:rsidP="00CA23D0">
            <w:pPr>
              <w:pStyle w:val="Texttabulky"/>
              <w:spacing w:line="240" w:lineRule="atLeast"/>
              <w:jc w:val="both"/>
              <w:rPr>
                <w:rFonts w:cs="Arial"/>
              </w:rPr>
            </w:pPr>
            <w:r w:rsidRPr="00E30642">
              <w:rPr>
                <w:rFonts w:cs="Arial"/>
              </w:rPr>
              <w:t>Křešice</w:t>
            </w:r>
          </w:p>
        </w:tc>
        <w:tc>
          <w:tcPr>
            <w:tcW w:w="960" w:type="dxa"/>
            <w:tcBorders>
              <w:top w:val="single" w:sz="6" w:space="0" w:color="auto"/>
              <w:left w:val="single" w:sz="6" w:space="0" w:color="auto"/>
              <w:bottom w:val="single" w:sz="6" w:space="0" w:color="auto"/>
              <w:right w:val="single" w:sz="6" w:space="0" w:color="auto"/>
            </w:tcBorders>
          </w:tcPr>
          <w:p w14:paraId="2E274068" w14:textId="77777777" w:rsidR="00CA23D0" w:rsidRPr="00E30642" w:rsidRDefault="00CA23D0" w:rsidP="00CA23D0">
            <w:pPr>
              <w:pStyle w:val="Texttabulky"/>
              <w:spacing w:line="240" w:lineRule="atLeast"/>
              <w:jc w:val="both"/>
              <w:rPr>
                <w:rFonts w:cs="Arial"/>
              </w:rPr>
            </w:pPr>
            <w:r w:rsidRPr="00E30642">
              <w:rPr>
                <w:rFonts w:cs="Arial"/>
              </w:rPr>
              <w:t>726</w:t>
            </w:r>
          </w:p>
        </w:tc>
        <w:tc>
          <w:tcPr>
            <w:tcW w:w="885" w:type="dxa"/>
            <w:tcBorders>
              <w:top w:val="single" w:sz="6" w:space="0" w:color="auto"/>
              <w:left w:val="single" w:sz="6" w:space="0" w:color="auto"/>
              <w:bottom w:val="single" w:sz="6" w:space="0" w:color="auto"/>
              <w:right w:val="single" w:sz="6" w:space="0" w:color="auto"/>
            </w:tcBorders>
          </w:tcPr>
          <w:p w14:paraId="32DE8EBA"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1F165136"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36363DB7" w14:textId="77777777" w:rsidR="00CA23D0" w:rsidRPr="00E30642" w:rsidRDefault="00CA23D0" w:rsidP="00CA23D0">
            <w:pPr>
              <w:pStyle w:val="Texttabulky"/>
              <w:spacing w:line="240" w:lineRule="atLeast"/>
              <w:jc w:val="both"/>
              <w:rPr>
                <w:rFonts w:cs="Arial"/>
              </w:rPr>
            </w:pPr>
            <w:r w:rsidRPr="00E30642">
              <w:rPr>
                <w:rFonts w:cs="Arial"/>
              </w:rPr>
              <w:t>375</w:t>
            </w:r>
          </w:p>
        </w:tc>
        <w:tc>
          <w:tcPr>
            <w:tcW w:w="960" w:type="dxa"/>
            <w:tcBorders>
              <w:top w:val="single" w:sz="6" w:space="0" w:color="auto"/>
              <w:left w:val="single" w:sz="6" w:space="0" w:color="auto"/>
              <w:bottom w:val="single" w:sz="6" w:space="0" w:color="auto"/>
              <w:right w:val="single" w:sz="6" w:space="0" w:color="auto"/>
            </w:tcBorders>
          </w:tcPr>
          <w:p w14:paraId="59EA58B1" w14:textId="77777777" w:rsidR="00CA23D0" w:rsidRPr="00E30642" w:rsidRDefault="00CA23D0" w:rsidP="00CA23D0">
            <w:pPr>
              <w:pStyle w:val="Texttabulky"/>
              <w:spacing w:line="240" w:lineRule="atLeast"/>
              <w:jc w:val="both"/>
              <w:rPr>
                <w:rFonts w:cs="Arial"/>
              </w:rPr>
            </w:pPr>
            <w:r w:rsidRPr="00E30642">
              <w:rPr>
                <w:rFonts w:cs="Arial"/>
              </w:rPr>
              <w:t>700</w:t>
            </w:r>
          </w:p>
        </w:tc>
        <w:tc>
          <w:tcPr>
            <w:tcW w:w="960" w:type="dxa"/>
            <w:tcBorders>
              <w:top w:val="single" w:sz="6" w:space="0" w:color="auto"/>
              <w:left w:val="single" w:sz="6" w:space="0" w:color="auto"/>
              <w:bottom w:val="single" w:sz="6" w:space="0" w:color="auto"/>
              <w:right w:val="single" w:sz="6" w:space="0" w:color="auto"/>
            </w:tcBorders>
          </w:tcPr>
          <w:p w14:paraId="0E595585" w14:textId="77777777" w:rsidR="00CA23D0" w:rsidRPr="00E30642" w:rsidRDefault="00CA23D0" w:rsidP="00CA23D0">
            <w:pPr>
              <w:pStyle w:val="Texttabulky"/>
              <w:spacing w:line="240" w:lineRule="atLeast"/>
              <w:jc w:val="both"/>
              <w:rPr>
                <w:rFonts w:cs="Arial"/>
              </w:rPr>
            </w:pPr>
            <w:r w:rsidRPr="00E30642">
              <w:rPr>
                <w:rFonts w:cs="Arial"/>
              </w:rPr>
              <w:t>1 075</w:t>
            </w:r>
          </w:p>
        </w:tc>
      </w:tr>
      <w:tr w:rsidR="00CA23D0" w:rsidRPr="00E30642" w14:paraId="3E62328B" w14:textId="77777777" w:rsidTr="00CA23D0">
        <w:tc>
          <w:tcPr>
            <w:tcW w:w="705" w:type="dxa"/>
            <w:tcBorders>
              <w:top w:val="single" w:sz="6" w:space="0" w:color="auto"/>
              <w:left w:val="single" w:sz="6" w:space="0" w:color="auto"/>
              <w:bottom w:val="single" w:sz="6" w:space="0" w:color="auto"/>
              <w:right w:val="single" w:sz="6" w:space="0" w:color="auto"/>
            </w:tcBorders>
          </w:tcPr>
          <w:p w14:paraId="7348DAF7" w14:textId="77777777" w:rsidR="00CA23D0" w:rsidRPr="00E30642" w:rsidRDefault="00CA23D0" w:rsidP="00CA23D0">
            <w:pPr>
              <w:pStyle w:val="Texttabulky"/>
              <w:spacing w:line="240" w:lineRule="atLeast"/>
              <w:jc w:val="both"/>
              <w:rPr>
                <w:rFonts w:cs="Arial"/>
              </w:rPr>
            </w:pPr>
            <w:r w:rsidRPr="00E30642">
              <w:rPr>
                <w:rFonts w:cs="Arial"/>
                <w:b/>
                <w:bCs/>
              </w:rPr>
              <w:t>52</w:t>
            </w:r>
          </w:p>
        </w:tc>
        <w:tc>
          <w:tcPr>
            <w:tcW w:w="2072" w:type="dxa"/>
            <w:tcBorders>
              <w:top w:val="single" w:sz="6" w:space="0" w:color="auto"/>
              <w:left w:val="single" w:sz="6" w:space="0" w:color="auto"/>
              <w:bottom w:val="single" w:sz="6" w:space="0" w:color="auto"/>
              <w:right w:val="single" w:sz="6" w:space="0" w:color="auto"/>
            </w:tcBorders>
          </w:tcPr>
          <w:p w14:paraId="4D051D35" w14:textId="77777777" w:rsidR="00CA23D0" w:rsidRPr="00E30642" w:rsidRDefault="00CA23D0" w:rsidP="00CA23D0">
            <w:pPr>
              <w:pStyle w:val="Texttabulky"/>
              <w:spacing w:line="240" w:lineRule="atLeast"/>
              <w:jc w:val="both"/>
              <w:rPr>
                <w:rFonts w:cs="Arial"/>
              </w:rPr>
            </w:pPr>
            <w:r w:rsidRPr="00E30642">
              <w:rPr>
                <w:rFonts w:cs="Arial"/>
              </w:rPr>
              <w:t>Boletice nad Labem</w:t>
            </w:r>
          </w:p>
        </w:tc>
        <w:tc>
          <w:tcPr>
            <w:tcW w:w="960" w:type="dxa"/>
            <w:tcBorders>
              <w:top w:val="single" w:sz="6" w:space="0" w:color="auto"/>
              <w:left w:val="single" w:sz="6" w:space="0" w:color="auto"/>
              <w:bottom w:val="single" w:sz="6" w:space="0" w:color="auto"/>
              <w:right w:val="single" w:sz="6" w:space="0" w:color="auto"/>
            </w:tcBorders>
          </w:tcPr>
          <w:p w14:paraId="583E4E3F" w14:textId="77777777" w:rsidR="00CA23D0" w:rsidRPr="00E30642" w:rsidRDefault="00CA23D0" w:rsidP="00CA23D0">
            <w:pPr>
              <w:pStyle w:val="Texttabulky"/>
              <w:spacing w:line="240" w:lineRule="atLeast"/>
              <w:jc w:val="both"/>
              <w:rPr>
                <w:rFonts w:cs="Arial"/>
              </w:rPr>
            </w:pPr>
            <w:r w:rsidRPr="00E30642">
              <w:rPr>
                <w:rFonts w:cs="Arial"/>
              </w:rPr>
              <w:t>5 238</w:t>
            </w:r>
          </w:p>
        </w:tc>
        <w:tc>
          <w:tcPr>
            <w:tcW w:w="885" w:type="dxa"/>
            <w:tcBorders>
              <w:top w:val="single" w:sz="6" w:space="0" w:color="auto"/>
              <w:left w:val="single" w:sz="6" w:space="0" w:color="auto"/>
              <w:bottom w:val="single" w:sz="6" w:space="0" w:color="auto"/>
              <w:right w:val="single" w:sz="6" w:space="0" w:color="auto"/>
            </w:tcBorders>
          </w:tcPr>
          <w:p w14:paraId="694CB87A" w14:textId="77777777" w:rsidR="00CA23D0" w:rsidRPr="00E30642" w:rsidRDefault="00CA23D0" w:rsidP="00CA23D0">
            <w:pPr>
              <w:pStyle w:val="Texttabulky"/>
              <w:spacing w:line="240" w:lineRule="atLeast"/>
              <w:jc w:val="both"/>
              <w:rPr>
                <w:rFonts w:cs="Arial"/>
              </w:rPr>
            </w:pPr>
            <w:r w:rsidRPr="00E30642">
              <w:rPr>
                <w:rFonts w:cs="Arial"/>
              </w:rPr>
              <w:t>330</w:t>
            </w:r>
          </w:p>
        </w:tc>
        <w:tc>
          <w:tcPr>
            <w:tcW w:w="855" w:type="dxa"/>
            <w:tcBorders>
              <w:top w:val="single" w:sz="6" w:space="0" w:color="auto"/>
              <w:left w:val="single" w:sz="6" w:space="0" w:color="auto"/>
              <w:bottom w:val="single" w:sz="6" w:space="0" w:color="auto"/>
              <w:right w:val="single" w:sz="6" w:space="0" w:color="auto"/>
            </w:tcBorders>
          </w:tcPr>
          <w:p w14:paraId="3F4E083F" w14:textId="77777777" w:rsidR="00CA23D0" w:rsidRPr="00E30642" w:rsidRDefault="00CA23D0" w:rsidP="00CA23D0">
            <w:pPr>
              <w:pStyle w:val="Texttabulky"/>
              <w:spacing w:line="240" w:lineRule="atLeast"/>
              <w:jc w:val="both"/>
              <w:rPr>
                <w:rFonts w:cs="Arial"/>
              </w:rPr>
            </w:pPr>
            <w:r w:rsidRPr="00E30642">
              <w:rPr>
                <w:rFonts w:cs="Arial"/>
              </w:rPr>
              <w:t>70</w:t>
            </w:r>
          </w:p>
        </w:tc>
        <w:tc>
          <w:tcPr>
            <w:tcW w:w="844" w:type="dxa"/>
            <w:tcBorders>
              <w:top w:val="single" w:sz="6" w:space="0" w:color="auto"/>
              <w:left w:val="single" w:sz="6" w:space="0" w:color="auto"/>
              <w:bottom w:val="single" w:sz="6" w:space="0" w:color="auto"/>
              <w:right w:val="single" w:sz="6" w:space="0" w:color="auto"/>
            </w:tcBorders>
          </w:tcPr>
          <w:p w14:paraId="2F9F3041" w14:textId="77777777" w:rsidR="00CA23D0" w:rsidRPr="00E30642" w:rsidRDefault="00CA23D0" w:rsidP="00CA23D0">
            <w:pPr>
              <w:pStyle w:val="Texttabulky"/>
              <w:spacing w:line="240" w:lineRule="atLeast"/>
              <w:jc w:val="both"/>
              <w:rPr>
                <w:rFonts w:cs="Arial"/>
              </w:rPr>
            </w:pPr>
            <w:r w:rsidRPr="00E30642">
              <w:rPr>
                <w:rFonts w:cs="Arial"/>
              </w:rPr>
              <w:t>165</w:t>
            </w:r>
          </w:p>
        </w:tc>
        <w:tc>
          <w:tcPr>
            <w:tcW w:w="960" w:type="dxa"/>
            <w:tcBorders>
              <w:top w:val="single" w:sz="6" w:space="0" w:color="auto"/>
              <w:left w:val="single" w:sz="6" w:space="0" w:color="auto"/>
              <w:bottom w:val="single" w:sz="6" w:space="0" w:color="auto"/>
              <w:right w:val="single" w:sz="6" w:space="0" w:color="auto"/>
            </w:tcBorders>
          </w:tcPr>
          <w:p w14:paraId="090AFF83" w14:textId="77777777" w:rsidR="00CA23D0" w:rsidRPr="00E30642" w:rsidRDefault="00CA23D0" w:rsidP="00CA23D0">
            <w:pPr>
              <w:pStyle w:val="Texttabulky"/>
              <w:spacing w:line="240" w:lineRule="atLeast"/>
              <w:jc w:val="both"/>
              <w:rPr>
                <w:rFonts w:cs="Arial"/>
              </w:rPr>
            </w:pPr>
            <w:r w:rsidRPr="00E30642">
              <w:rPr>
                <w:rFonts w:cs="Arial"/>
              </w:rPr>
              <w:t>5 400</w:t>
            </w:r>
          </w:p>
        </w:tc>
        <w:tc>
          <w:tcPr>
            <w:tcW w:w="960" w:type="dxa"/>
            <w:tcBorders>
              <w:top w:val="single" w:sz="6" w:space="0" w:color="auto"/>
              <w:left w:val="single" w:sz="6" w:space="0" w:color="auto"/>
              <w:bottom w:val="single" w:sz="6" w:space="0" w:color="auto"/>
              <w:right w:val="single" w:sz="6" w:space="0" w:color="auto"/>
            </w:tcBorders>
          </w:tcPr>
          <w:p w14:paraId="05F90C86" w14:textId="77777777" w:rsidR="00CA23D0" w:rsidRPr="00E30642" w:rsidRDefault="00CA23D0" w:rsidP="00CA23D0">
            <w:pPr>
              <w:pStyle w:val="Texttabulky"/>
              <w:spacing w:line="240" w:lineRule="atLeast"/>
              <w:jc w:val="both"/>
              <w:rPr>
                <w:rFonts w:cs="Arial"/>
              </w:rPr>
            </w:pPr>
            <w:r w:rsidRPr="00E30642">
              <w:rPr>
                <w:rFonts w:cs="Arial"/>
              </w:rPr>
              <w:t>5 565</w:t>
            </w:r>
          </w:p>
        </w:tc>
      </w:tr>
      <w:tr w:rsidR="00CA23D0" w:rsidRPr="00E30642" w14:paraId="6213177C" w14:textId="77777777" w:rsidTr="00CA23D0">
        <w:tc>
          <w:tcPr>
            <w:tcW w:w="705" w:type="dxa"/>
            <w:tcBorders>
              <w:top w:val="single" w:sz="6" w:space="0" w:color="auto"/>
              <w:left w:val="single" w:sz="6" w:space="0" w:color="auto"/>
              <w:bottom w:val="single" w:sz="6" w:space="0" w:color="auto"/>
              <w:right w:val="single" w:sz="6" w:space="0" w:color="auto"/>
            </w:tcBorders>
          </w:tcPr>
          <w:p w14:paraId="5839CB5F" w14:textId="77777777" w:rsidR="00CA23D0" w:rsidRPr="00E30642" w:rsidRDefault="00CA23D0" w:rsidP="00CA23D0">
            <w:pPr>
              <w:pStyle w:val="Texttabulky"/>
              <w:spacing w:line="240" w:lineRule="atLeast"/>
              <w:jc w:val="both"/>
              <w:rPr>
                <w:rFonts w:cs="Arial"/>
              </w:rPr>
            </w:pPr>
            <w:r w:rsidRPr="00E30642">
              <w:rPr>
                <w:rFonts w:cs="Arial"/>
                <w:b/>
                <w:bCs/>
              </w:rPr>
              <w:t>53</w:t>
            </w:r>
          </w:p>
        </w:tc>
        <w:tc>
          <w:tcPr>
            <w:tcW w:w="2072" w:type="dxa"/>
            <w:tcBorders>
              <w:top w:val="single" w:sz="6" w:space="0" w:color="auto"/>
              <w:left w:val="single" w:sz="6" w:space="0" w:color="auto"/>
              <w:bottom w:val="single" w:sz="6" w:space="0" w:color="auto"/>
              <w:right w:val="single" w:sz="6" w:space="0" w:color="auto"/>
            </w:tcBorders>
          </w:tcPr>
          <w:p w14:paraId="3C3BE34A" w14:textId="77777777" w:rsidR="00CA23D0" w:rsidRPr="00E30642" w:rsidRDefault="00CA23D0" w:rsidP="00CA23D0">
            <w:pPr>
              <w:pStyle w:val="Texttabulky"/>
              <w:spacing w:line="240" w:lineRule="atLeast"/>
              <w:jc w:val="both"/>
              <w:rPr>
                <w:rFonts w:cs="Arial"/>
              </w:rPr>
            </w:pPr>
            <w:r w:rsidRPr="00E30642">
              <w:rPr>
                <w:rFonts w:cs="Arial"/>
              </w:rPr>
              <w:t>Velká Veleň</w:t>
            </w:r>
          </w:p>
        </w:tc>
        <w:tc>
          <w:tcPr>
            <w:tcW w:w="960" w:type="dxa"/>
            <w:tcBorders>
              <w:top w:val="single" w:sz="6" w:space="0" w:color="auto"/>
              <w:left w:val="single" w:sz="6" w:space="0" w:color="auto"/>
              <w:bottom w:val="single" w:sz="6" w:space="0" w:color="auto"/>
              <w:right w:val="single" w:sz="6" w:space="0" w:color="auto"/>
            </w:tcBorders>
          </w:tcPr>
          <w:p w14:paraId="608B5750" w14:textId="77777777" w:rsidR="00CA23D0" w:rsidRPr="00E30642" w:rsidRDefault="00CA23D0" w:rsidP="00CA23D0">
            <w:pPr>
              <w:pStyle w:val="Texttabulky"/>
              <w:spacing w:line="240" w:lineRule="atLeast"/>
              <w:jc w:val="both"/>
              <w:rPr>
                <w:rFonts w:cs="Arial"/>
              </w:rPr>
            </w:pPr>
            <w:r w:rsidRPr="00E30642">
              <w:rPr>
                <w:rFonts w:cs="Arial"/>
              </w:rPr>
              <w:t>31</w:t>
            </w:r>
          </w:p>
        </w:tc>
        <w:tc>
          <w:tcPr>
            <w:tcW w:w="885" w:type="dxa"/>
            <w:tcBorders>
              <w:top w:val="single" w:sz="6" w:space="0" w:color="auto"/>
              <w:left w:val="single" w:sz="6" w:space="0" w:color="auto"/>
              <w:bottom w:val="single" w:sz="6" w:space="0" w:color="auto"/>
              <w:right w:val="single" w:sz="6" w:space="0" w:color="auto"/>
            </w:tcBorders>
          </w:tcPr>
          <w:p w14:paraId="5CA17233"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38A6FC13"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79212DCE"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08E72DED" w14:textId="77777777" w:rsidR="00CA23D0" w:rsidRPr="00E30642" w:rsidRDefault="00CA23D0" w:rsidP="00CA23D0">
            <w:pPr>
              <w:pStyle w:val="Texttabulky"/>
              <w:spacing w:line="240" w:lineRule="atLeast"/>
              <w:jc w:val="both"/>
              <w:rPr>
                <w:rFonts w:cs="Arial"/>
              </w:rPr>
            </w:pPr>
            <w:r w:rsidRPr="00E30642">
              <w:rPr>
                <w:rFonts w:cs="Arial"/>
              </w:rPr>
              <w:t>25</w:t>
            </w:r>
          </w:p>
        </w:tc>
        <w:tc>
          <w:tcPr>
            <w:tcW w:w="960" w:type="dxa"/>
            <w:tcBorders>
              <w:top w:val="single" w:sz="6" w:space="0" w:color="auto"/>
              <w:left w:val="single" w:sz="6" w:space="0" w:color="auto"/>
              <w:bottom w:val="single" w:sz="6" w:space="0" w:color="auto"/>
              <w:right w:val="single" w:sz="6" w:space="0" w:color="auto"/>
            </w:tcBorders>
          </w:tcPr>
          <w:p w14:paraId="27D99AC4" w14:textId="77777777" w:rsidR="00CA23D0" w:rsidRPr="00E30642" w:rsidRDefault="00CA23D0" w:rsidP="00CA23D0">
            <w:pPr>
              <w:pStyle w:val="Texttabulky"/>
              <w:spacing w:line="240" w:lineRule="atLeast"/>
              <w:jc w:val="both"/>
              <w:rPr>
                <w:rFonts w:cs="Arial"/>
              </w:rPr>
            </w:pPr>
            <w:r w:rsidRPr="00E30642">
              <w:rPr>
                <w:rFonts w:cs="Arial"/>
              </w:rPr>
              <w:t>25</w:t>
            </w:r>
          </w:p>
        </w:tc>
      </w:tr>
      <w:tr w:rsidR="00CA23D0" w:rsidRPr="00E30642" w14:paraId="78AD48D5" w14:textId="77777777" w:rsidTr="00CA23D0">
        <w:tc>
          <w:tcPr>
            <w:tcW w:w="705" w:type="dxa"/>
            <w:tcBorders>
              <w:top w:val="single" w:sz="6" w:space="0" w:color="auto"/>
              <w:left w:val="single" w:sz="6" w:space="0" w:color="auto"/>
              <w:bottom w:val="single" w:sz="6" w:space="0" w:color="auto"/>
              <w:right w:val="single" w:sz="6" w:space="0" w:color="auto"/>
            </w:tcBorders>
          </w:tcPr>
          <w:p w14:paraId="1178D86D" w14:textId="77777777" w:rsidR="00CA23D0" w:rsidRPr="00E30642" w:rsidRDefault="00CA23D0" w:rsidP="00CA23D0">
            <w:pPr>
              <w:pStyle w:val="Texttabulky"/>
              <w:spacing w:line="240" w:lineRule="atLeast"/>
              <w:jc w:val="both"/>
              <w:rPr>
                <w:rFonts w:cs="Arial"/>
              </w:rPr>
            </w:pPr>
            <w:r w:rsidRPr="00E30642">
              <w:rPr>
                <w:rFonts w:cs="Arial"/>
                <w:b/>
                <w:bCs/>
              </w:rPr>
              <w:t>54</w:t>
            </w:r>
          </w:p>
        </w:tc>
        <w:tc>
          <w:tcPr>
            <w:tcW w:w="2072" w:type="dxa"/>
            <w:tcBorders>
              <w:top w:val="single" w:sz="6" w:space="0" w:color="auto"/>
              <w:left w:val="single" w:sz="6" w:space="0" w:color="auto"/>
              <w:bottom w:val="single" w:sz="6" w:space="0" w:color="auto"/>
              <w:right w:val="single" w:sz="6" w:space="0" w:color="auto"/>
            </w:tcBorders>
          </w:tcPr>
          <w:p w14:paraId="6413820C" w14:textId="77777777" w:rsidR="00CA23D0" w:rsidRPr="00E30642" w:rsidRDefault="00CA23D0" w:rsidP="00CA23D0">
            <w:pPr>
              <w:pStyle w:val="Texttabulky"/>
              <w:spacing w:line="240" w:lineRule="atLeast"/>
              <w:jc w:val="both"/>
              <w:rPr>
                <w:rFonts w:cs="Arial"/>
              </w:rPr>
            </w:pPr>
            <w:r w:rsidRPr="00E30642">
              <w:rPr>
                <w:rFonts w:cs="Arial"/>
              </w:rPr>
              <w:t>Lesná</w:t>
            </w:r>
          </w:p>
        </w:tc>
        <w:tc>
          <w:tcPr>
            <w:tcW w:w="960" w:type="dxa"/>
            <w:tcBorders>
              <w:top w:val="single" w:sz="6" w:space="0" w:color="auto"/>
              <w:left w:val="single" w:sz="6" w:space="0" w:color="auto"/>
              <w:bottom w:val="single" w:sz="6" w:space="0" w:color="auto"/>
              <w:right w:val="single" w:sz="6" w:space="0" w:color="auto"/>
            </w:tcBorders>
          </w:tcPr>
          <w:p w14:paraId="5B70E5E4" w14:textId="77777777" w:rsidR="00CA23D0" w:rsidRPr="00E30642" w:rsidRDefault="00CA23D0" w:rsidP="00CA23D0">
            <w:pPr>
              <w:pStyle w:val="Texttabulky"/>
              <w:spacing w:line="240" w:lineRule="atLeast"/>
              <w:jc w:val="both"/>
              <w:rPr>
                <w:rFonts w:cs="Arial"/>
              </w:rPr>
            </w:pPr>
            <w:r w:rsidRPr="00E30642">
              <w:rPr>
                <w:rFonts w:cs="Arial"/>
              </w:rPr>
              <w:t>153</w:t>
            </w:r>
          </w:p>
        </w:tc>
        <w:tc>
          <w:tcPr>
            <w:tcW w:w="885" w:type="dxa"/>
            <w:tcBorders>
              <w:top w:val="single" w:sz="6" w:space="0" w:color="auto"/>
              <w:left w:val="single" w:sz="6" w:space="0" w:color="auto"/>
              <w:bottom w:val="single" w:sz="6" w:space="0" w:color="auto"/>
              <w:right w:val="single" w:sz="6" w:space="0" w:color="auto"/>
            </w:tcBorders>
          </w:tcPr>
          <w:p w14:paraId="15304C60" w14:textId="77777777" w:rsidR="00CA23D0" w:rsidRPr="00E30642" w:rsidRDefault="00CA23D0" w:rsidP="00CA23D0">
            <w:pPr>
              <w:pStyle w:val="Texttabulky"/>
              <w:spacing w:line="240" w:lineRule="atLeast"/>
              <w:jc w:val="both"/>
              <w:rPr>
                <w:rFonts w:cs="Arial"/>
              </w:rPr>
            </w:pPr>
            <w:r w:rsidRPr="00E30642">
              <w:rPr>
                <w:rFonts w:cs="Arial"/>
              </w:rPr>
              <w:t>45</w:t>
            </w:r>
          </w:p>
        </w:tc>
        <w:tc>
          <w:tcPr>
            <w:tcW w:w="855" w:type="dxa"/>
            <w:tcBorders>
              <w:top w:val="single" w:sz="6" w:space="0" w:color="auto"/>
              <w:left w:val="single" w:sz="6" w:space="0" w:color="auto"/>
              <w:bottom w:val="single" w:sz="6" w:space="0" w:color="auto"/>
              <w:right w:val="single" w:sz="6" w:space="0" w:color="auto"/>
            </w:tcBorders>
          </w:tcPr>
          <w:p w14:paraId="78EEAB9B"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773A4401"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114FCD62" w14:textId="77777777" w:rsidR="00CA23D0" w:rsidRPr="00E30642" w:rsidRDefault="00CA23D0" w:rsidP="00CA23D0">
            <w:pPr>
              <w:pStyle w:val="Texttabulky"/>
              <w:spacing w:line="240" w:lineRule="atLeast"/>
              <w:jc w:val="both"/>
              <w:rPr>
                <w:rFonts w:cs="Arial"/>
              </w:rPr>
            </w:pPr>
            <w:r w:rsidRPr="00E30642">
              <w:rPr>
                <w:rFonts w:cs="Arial"/>
              </w:rPr>
              <w:t>185</w:t>
            </w:r>
          </w:p>
        </w:tc>
        <w:tc>
          <w:tcPr>
            <w:tcW w:w="960" w:type="dxa"/>
            <w:tcBorders>
              <w:top w:val="single" w:sz="6" w:space="0" w:color="auto"/>
              <w:left w:val="single" w:sz="6" w:space="0" w:color="auto"/>
              <w:bottom w:val="single" w:sz="6" w:space="0" w:color="auto"/>
              <w:right w:val="single" w:sz="6" w:space="0" w:color="auto"/>
            </w:tcBorders>
          </w:tcPr>
          <w:p w14:paraId="3D86D52F" w14:textId="77777777" w:rsidR="00CA23D0" w:rsidRPr="00E30642" w:rsidRDefault="00CA23D0" w:rsidP="00CA23D0">
            <w:pPr>
              <w:pStyle w:val="Texttabulky"/>
              <w:spacing w:line="240" w:lineRule="atLeast"/>
              <w:jc w:val="both"/>
              <w:rPr>
                <w:rFonts w:cs="Arial"/>
              </w:rPr>
            </w:pPr>
            <w:r w:rsidRPr="00E30642">
              <w:rPr>
                <w:rFonts w:cs="Arial"/>
              </w:rPr>
              <w:t>185</w:t>
            </w:r>
          </w:p>
        </w:tc>
      </w:tr>
      <w:tr w:rsidR="00CA23D0" w:rsidRPr="00E30642" w14:paraId="4EEEDBCD" w14:textId="77777777" w:rsidTr="00CA23D0">
        <w:tc>
          <w:tcPr>
            <w:tcW w:w="705" w:type="dxa"/>
            <w:tcBorders>
              <w:top w:val="single" w:sz="6" w:space="0" w:color="auto"/>
              <w:left w:val="single" w:sz="6" w:space="0" w:color="auto"/>
              <w:bottom w:val="single" w:sz="6" w:space="0" w:color="auto"/>
              <w:right w:val="single" w:sz="6" w:space="0" w:color="auto"/>
            </w:tcBorders>
          </w:tcPr>
          <w:p w14:paraId="2AD00EA3" w14:textId="77777777" w:rsidR="00CA23D0" w:rsidRPr="00E30642" w:rsidRDefault="00CA23D0" w:rsidP="00CA23D0">
            <w:pPr>
              <w:pStyle w:val="Texttabulky"/>
              <w:spacing w:line="240" w:lineRule="atLeast"/>
              <w:jc w:val="both"/>
              <w:rPr>
                <w:rFonts w:cs="Arial"/>
              </w:rPr>
            </w:pPr>
            <w:r w:rsidRPr="00E30642">
              <w:rPr>
                <w:rFonts w:cs="Arial"/>
                <w:b/>
                <w:bCs/>
              </w:rPr>
              <w:t>55</w:t>
            </w:r>
          </w:p>
        </w:tc>
        <w:tc>
          <w:tcPr>
            <w:tcW w:w="2072" w:type="dxa"/>
            <w:tcBorders>
              <w:top w:val="single" w:sz="6" w:space="0" w:color="auto"/>
              <w:left w:val="single" w:sz="6" w:space="0" w:color="auto"/>
              <w:bottom w:val="single" w:sz="6" w:space="0" w:color="auto"/>
              <w:right w:val="single" w:sz="6" w:space="0" w:color="auto"/>
            </w:tcBorders>
          </w:tcPr>
          <w:p w14:paraId="0ACE556A" w14:textId="77777777" w:rsidR="00CA23D0" w:rsidRPr="00E30642" w:rsidRDefault="00CA23D0" w:rsidP="00CA23D0">
            <w:pPr>
              <w:pStyle w:val="Texttabulky"/>
              <w:spacing w:line="240" w:lineRule="atLeast"/>
              <w:jc w:val="both"/>
              <w:rPr>
                <w:rFonts w:cs="Arial"/>
              </w:rPr>
            </w:pPr>
            <w:r w:rsidRPr="00E30642">
              <w:rPr>
                <w:rFonts w:cs="Arial"/>
              </w:rPr>
              <w:t>Lesní Mlýn</w:t>
            </w:r>
          </w:p>
        </w:tc>
        <w:tc>
          <w:tcPr>
            <w:tcW w:w="960" w:type="dxa"/>
            <w:tcBorders>
              <w:top w:val="single" w:sz="6" w:space="0" w:color="auto"/>
              <w:left w:val="single" w:sz="6" w:space="0" w:color="auto"/>
              <w:bottom w:val="single" w:sz="6" w:space="0" w:color="auto"/>
              <w:right w:val="single" w:sz="6" w:space="0" w:color="auto"/>
            </w:tcBorders>
          </w:tcPr>
          <w:p w14:paraId="28AF80F3" w14:textId="77777777" w:rsidR="00CA23D0" w:rsidRPr="00E30642" w:rsidRDefault="00CA23D0" w:rsidP="00CA23D0">
            <w:pPr>
              <w:pStyle w:val="Texttabulky"/>
              <w:spacing w:line="240" w:lineRule="atLeast"/>
              <w:jc w:val="both"/>
              <w:rPr>
                <w:rFonts w:cs="Arial"/>
              </w:rPr>
            </w:pPr>
            <w:r w:rsidRPr="00E30642">
              <w:rPr>
                <w:rFonts w:cs="Arial"/>
              </w:rPr>
              <w:t>9</w:t>
            </w:r>
          </w:p>
        </w:tc>
        <w:tc>
          <w:tcPr>
            <w:tcW w:w="885" w:type="dxa"/>
            <w:tcBorders>
              <w:top w:val="single" w:sz="6" w:space="0" w:color="auto"/>
              <w:left w:val="single" w:sz="6" w:space="0" w:color="auto"/>
              <w:bottom w:val="single" w:sz="6" w:space="0" w:color="auto"/>
              <w:right w:val="single" w:sz="6" w:space="0" w:color="auto"/>
            </w:tcBorders>
          </w:tcPr>
          <w:p w14:paraId="6FF2C204"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4F0A0831"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4EE919A4"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5F897A40" w14:textId="77777777" w:rsidR="00CA23D0" w:rsidRPr="00E30642" w:rsidRDefault="00CA23D0" w:rsidP="00CA23D0">
            <w:pPr>
              <w:pStyle w:val="Texttabulky"/>
              <w:spacing w:line="240" w:lineRule="atLeast"/>
              <w:jc w:val="both"/>
              <w:rPr>
                <w:rFonts w:cs="Arial"/>
              </w:rPr>
            </w:pPr>
            <w:r w:rsidRPr="00E30642">
              <w:rPr>
                <w:rFonts w:cs="Arial"/>
              </w:rPr>
              <w:t>5</w:t>
            </w:r>
          </w:p>
        </w:tc>
        <w:tc>
          <w:tcPr>
            <w:tcW w:w="960" w:type="dxa"/>
            <w:tcBorders>
              <w:top w:val="single" w:sz="6" w:space="0" w:color="auto"/>
              <w:left w:val="single" w:sz="6" w:space="0" w:color="auto"/>
              <w:bottom w:val="single" w:sz="6" w:space="0" w:color="auto"/>
              <w:right w:val="single" w:sz="6" w:space="0" w:color="auto"/>
            </w:tcBorders>
          </w:tcPr>
          <w:p w14:paraId="3823C2A4" w14:textId="77777777" w:rsidR="00CA23D0" w:rsidRPr="00E30642" w:rsidRDefault="00CA23D0" w:rsidP="00CA23D0">
            <w:pPr>
              <w:pStyle w:val="Texttabulky"/>
              <w:spacing w:line="240" w:lineRule="atLeast"/>
              <w:jc w:val="both"/>
              <w:rPr>
                <w:rFonts w:cs="Arial"/>
              </w:rPr>
            </w:pPr>
            <w:r w:rsidRPr="00E30642">
              <w:rPr>
                <w:rFonts w:cs="Arial"/>
              </w:rPr>
              <w:t>5</w:t>
            </w:r>
          </w:p>
        </w:tc>
      </w:tr>
      <w:tr w:rsidR="00CA23D0" w:rsidRPr="00E30642" w14:paraId="3463869B" w14:textId="77777777" w:rsidTr="00CA23D0">
        <w:tc>
          <w:tcPr>
            <w:tcW w:w="705" w:type="dxa"/>
            <w:tcBorders>
              <w:top w:val="single" w:sz="6" w:space="0" w:color="auto"/>
              <w:left w:val="single" w:sz="6" w:space="0" w:color="auto"/>
              <w:bottom w:val="single" w:sz="6" w:space="0" w:color="auto"/>
              <w:right w:val="single" w:sz="6" w:space="0" w:color="auto"/>
            </w:tcBorders>
          </w:tcPr>
          <w:p w14:paraId="3C733997" w14:textId="77777777" w:rsidR="00CA23D0" w:rsidRPr="00E30642" w:rsidRDefault="00CA23D0" w:rsidP="00CA23D0">
            <w:pPr>
              <w:pStyle w:val="Texttabulky"/>
              <w:spacing w:line="240" w:lineRule="atLeast"/>
              <w:jc w:val="both"/>
              <w:rPr>
                <w:rFonts w:cs="Arial"/>
              </w:rPr>
            </w:pPr>
            <w:r w:rsidRPr="00E30642">
              <w:rPr>
                <w:rFonts w:cs="Arial"/>
                <w:b/>
                <w:bCs/>
              </w:rPr>
              <w:t>56</w:t>
            </w:r>
          </w:p>
        </w:tc>
        <w:tc>
          <w:tcPr>
            <w:tcW w:w="2072" w:type="dxa"/>
            <w:tcBorders>
              <w:top w:val="single" w:sz="6" w:space="0" w:color="auto"/>
              <w:left w:val="single" w:sz="6" w:space="0" w:color="auto"/>
              <w:bottom w:val="single" w:sz="6" w:space="0" w:color="auto"/>
              <w:right w:val="single" w:sz="6" w:space="0" w:color="auto"/>
            </w:tcBorders>
          </w:tcPr>
          <w:p w14:paraId="2B7521D6" w14:textId="77777777" w:rsidR="00CA23D0" w:rsidRPr="00E30642" w:rsidRDefault="00CA23D0" w:rsidP="00CA23D0">
            <w:pPr>
              <w:pStyle w:val="Texttabulky"/>
              <w:spacing w:line="240" w:lineRule="atLeast"/>
              <w:jc w:val="both"/>
              <w:rPr>
                <w:rFonts w:cs="Arial"/>
              </w:rPr>
            </w:pPr>
            <w:r w:rsidRPr="00E30642">
              <w:rPr>
                <w:rFonts w:cs="Arial"/>
              </w:rPr>
              <w:t>Hoštice</w:t>
            </w:r>
          </w:p>
        </w:tc>
        <w:tc>
          <w:tcPr>
            <w:tcW w:w="960" w:type="dxa"/>
            <w:tcBorders>
              <w:top w:val="single" w:sz="6" w:space="0" w:color="auto"/>
              <w:left w:val="single" w:sz="6" w:space="0" w:color="auto"/>
              <w:bottom w:val="single" w:sz="6" w:space="0" w:color="auto"/>
              <w:right w:val="single" w:sz="6" w:space="0" w:color="auto"/>
            </w:tcBorders>
          </w:tcPr>
          <w:p w14:paraId="479FC943" w14:textId="77777777" w:rsidR="00CA23D0" w:rsidRPr="00E30642" w:rsidRDefault="00CA23D0" w:rsidP="00CA23D0">
            <w:pPr>
              <w:pStyle w:val="Texttabulky"/>
              <w:spacing w:line="240" w:lineRule="atLeast"/>
              <w:jc w:val="both"/>
              <w:rPr>
                <w:rFonts w:cs="Arial"/>
              </w:rPr>
            </w:pPr>
            <w:r w:rsidRPr="00E30642">
              <w:rPr>
                <w:rFonts w:cs="Arial"/>
              </w:rPr>
              <w:t>15</w:t>
            </w:r>
          </w:p>
        </w:tc>
        <w:tc>
          <w:tcPr>
            <w:tcW w:w="885" w:type="dxa"/>
            <w:tcBorders>
              <w:top w:val="single" w:sz="6" w:space="0" w:color="auto"/>
              <w:left w:val="single" w:sz="6" w:space="0" w:color="auto"/>
              <w:bottom w:val="single" w:sz="6" w:space="0" w:color="auto"/>
              <w:right w:val="single" w:sz="6" w:space="0" w:color="auto"/>
            </w:tcBorders>
          </w:tcPr>
          <w:p w14:paraId="57F8E3DC"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024A4492"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763539C0"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72F57B1A" w14:textId="77777777" w:rsidR="00CA23D0" w:rsidRPr="00E30642" w:rsidRDefault="00CA23D0" w:rsidP="00CA23D0">
            <w:pPr>
              <w:pStyle w:val="Texttabulky"/>
              <w:spacing w:line="240" w:lineRule="atLeast"/>
              <w:jc w:val="both"/>
              <w:rPr>
                <w:rFonts w:cs="Arial"/>
              </w:rPr>
            </w:pPr>
            <w:r w:rsidRPr="00E30642">
              <w:rPr>
                <w:rFonts w:cs="Arial"/>
              </w:rPr>
              <w:t>10</w:t>
            </w:r>
          </w:p>
        </w:tc>
        <w:tc>
          <w:tcPr>
            <w:tcW w:w="960" w:type="dxa"/>
            <w:tcBorders>
              <w:top w:val="single" w:sz="6" w:space="0" w:color="auto"/>
              <w:left w:val="single" w:sz="6" w:space="0" w:color="auto"/>
              <w:bottom w:val="single" w:sz="6" w:space="0" w:color="auto"/>
              <w:right w:val="single" w:sz="6" w:space="0" w:color="auto"/>
            </w:tcBorders>
          </w:tcPr>
          <w:p w14:paraId="4E808B0E" w14:textId="77777777" w:rsidR="00CA23D0" w:rsidRPr="00E30642" w:rsidRDefault="00CA23D0" w:rsidP="00CA23D0">
            <w:pPr>
              <w:pStyle w:val="Texttabulky"/>
              <w:spacing w:line="240" w:lineRule="atLeast"/>
              <w:jc w:val="both"/>
              <w:rPr>
                <w:rFonts w:cs="Arial"/>
              </w:rPr>
            </w:pPr>
            <w:r w:rsidRPr="00E30642">
              <w:rPr>
                <w:rFonts w:cs="Arial"/>
              </w:rPr>
              <w:t>10</w:t>
            </w:r>
          </w:p>
        </w:tc>
      </w:tr>
      <w:tr w:rsidR="00CA23D0" w:rsidRPr="00E30642" w14:paraId="19D1C105" w14:textId="77777777" w:rsidTr="00CA23D0">
        <w:tc>
          <w:tcPr>
            <w:tcW w:w="705" w:type="dxa"/>
            <w:tcBorders>
              <w:top w:val="single" w:sz="6" w:space="0" w:color="auto"/>
              <w:left w:val="single" w:sz="6" w:space="0" w:color="auto"/>
              <w:bottom w:val="single" w:sz="6" w:space="0" w:color="auto"/>
              <w:right w:val="single" w:sz="6" w:space="0" w:color="auto"/>
            </w:tcBorders>
          </w:tcPr>
          <w:p w14:paraId="692FBF13" w14:textId="77777777" w:rsidR="00CA23D0" w:rsidRPr="00E30642" w:rsidRDefault="00CA23D0" w:rsidP="00CA23D0">
            <w:pPr>
              <w:pStyle w:val="Texttabulky"/>
              <w:spacing w:line="240" w:lineRule="atLeast"/>
              <w:jc w:val="both"/>
              <w:rPr>
                <w:rFonts w:cs="Arial"/>
              </w:rPr>
            </w:pPr>
            <w:r w:rsidRPr="00E30642">
              <w:rPr>
                <w:rFonts w:cs="Arial"/>
                <w:b/>
                <w:bCs/>
              </w:rPr>
              <w:t>57</w:t>
            </w:r>
          </w:p>
        </w:tc>
        <w:tc>
          <w:tcPr>
            <w:tcW w:w="2072" w:type="dxa"/>
            <w:tcBorders>
              <w:top w:val="single" w:sz="6" w:space="0" w:color="auto"/>
              <w:left w:val="single" w:sz="6" w:space="0" w:color="auto"/>
              <w:bottom w:val="single" w:sz="6" w:space="0" w:color="auto"/>
              <w:right w:val="single" w:sz="6" w:space="0" w:color="auto"/>
            </w:tcBorders>
          </w:tcPr>
          <w:p w14:paraId="67C222C7" w14:textId="77777777" w:rsidR="00CA23D0" w:rsidRPr="00E30642" w:rsidRDefault="00CA23D0" w:rsidP="00CA23D0">
            <w:pPr>
              <w:pStyle w:val="Texttabulky"/>
              <w:spacing w:line="240" w:lineRule="atLeast"/>
              <w:jc w:val="both"/>
              <w:rPr>
                <w:rFonts w:cs="Arial"/>
              </w:rPr>
            </w:pPr>
            <w:r w:rsidRPr="00E30642">
              <w:rPr>
                <w:rFonts w:cs="Arial"/>
              </w:rPr>
              <w:t>Nebočady</w:t>
            </w:r>
          </w:p>
        </w:tc>
        <w:tc>
          <w:tcPr>
            <w:tcW w:w="960" w:type="dxa"/>
            <w:tcBorders>
              <w:top w:val="single" w:sz="6" w:space="0" w:color="auto"/>
              <w:left w:val="single" w:sz="6" w:space="0" w:color="auto"/>
              <w:bottom w:val="single" w:sz="6" w:space="0" w:color="auto"/>
              <w:right w:val="single" w:sz="6" w:space="0" w:color="auto"/>
            </w:tcBorders>
          </w:tcPr>
          <w:p w14:paraId="1DBD1532" w14:textId="77777777" w:rsidR="00CA23D0" w:rsidRPr="00E30642" w:rsidRDefault="00CA23D0" w:rsidP="00CA23D0">
            <w:pPr>
              <w:pStyle w:val="Texttabulky"/>
              <w:spacing w:line="240" w:lineRule="atLeast"/>
              <w:jc w:val="both"/>
              <w:rPr>
                <w:rFonts w:cs="Arial"/>
              </w:rPr>
            </w:pPr>
            <w:r w:rsidRPr="00E30642">
              <w:rPr>
                <w:rFonts w:cs="Arial"/>
              </w:rPr>
              <w:t>363</w:t>
            </w:r>
          </w:p>
        </w:tc>
        <w:tc>
          <w:tcPr>
            <w:tcW w:w="885" w:type="dxa"/>
            <w:tcBorders>
              <w:top w:val="single" w:sz="6" w:space="0" w:color="auto"/>
              <w:left w:val="single" w:sz="6" w:space="0" w:color="auto"/>
              <w:bottom w:val="single" w:sz="6" w:space="0" w:color="auto"/>
              <w:right w:val="single" w:sz="6" w:space="0" w:color="auto"/>
            </w:tcBorders>
          </w:tcPr>
          <w:p w14:paraId="79E2DE07"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0F6C9B99"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5499E32B" w14:textId="77777777" w:rsidR="00CA23D0" w:rsidRPr="00E30642" w:rsidRDefault="00CA23D0" w:rsidP="00CA23D0">
            <w:pPr>
              <w:pStyle w:val="Texttabulky"/>
              <w:spacing w:line="240" w:lineRule="atLeast"/>
              <w:jc w:val="both"/>
              <w:rPr>
                <w:rFonts w:cs="Arial"/>
              </w:rPr>
            </w:pPr>
            <w:r w:rsidRPr="00E30642">
              <w:rPr>
                <w:rFonts w:cs="Arial"/>
              </w:rPr>
              <w:t>120</w:t>
            </w:r>
          </w:p>
        </w:tc>
        <w:tc>
          <w:tcPr>
            <w:tcW w:w="960" w:type="dxa"/>
            <w:tcBorders>
              <w:top w:val="single" w:sz="6" w:space="0" w:color="auto"/>
              <w:left w:val="single" w:sz="6" w:space="0" w:color="auto"/>
              <w:bottom w:val="single" w:sz="6" w:space="0" w:color="auto"/>
              <w:right w:val="single" w:sz="6" w:space="0" w:color="auto"/>
            </w:tcBorders>
          </w:tcPr>
          <w:p w14:paraId="2EACD75E" w14:textId="77777777" w:rsidR="00CA23D0" w:rsidRPr="00E30642" w:rsidRDefault="00CA23D0" w:rsidP="00CA23D0">
            <w:pPr>
              <w:pStyle w:val="Texttabulky"/>
              <w:spacing w:line="240" w:lineRule="atLeast"/>
              <w:jc w:val="both"/>
              <w:rPr>
                <w:rFonts w:cs="Arial"/>
              </w:rPr>
            </w:pPr>
            <w:r w:rsidRPr="00E30642">
              <w:rPr>
                <w:rFonts w:cs="Arial"/>
              </w:rPr>
              <w:t>350</w:t>
            </w:r>
          </w:p>
        </w:tc>
        <w:tc>
          <w:tcPr>
            <w:tcW w:w="960" w:type="dxa"/>
            <w:tcBorders>
              <w:top w:val="single" w:sz="6" w:space="0" w:color="auto"/>
              <w:left w:val="single" w:sz="6" w:space="0" w:color="auto"/>
              <w:bottom w:val="single" w:sz="6" w:space="0" w:color="auto"/>
              <w:right w:val="single" w:sz="6" w:space="0" w:color="auto"/>
            </w:tcBorders>
          </w:tcPr>
          <w:p w14:paraId="37CEF675" w14:textId="77777777" w:rsidR="00CA23D0" w:rsidRPr="00E30642" w:rsidRDefault="00CA23D0" w:rsidP="00CA23D0">
            <w:pPr>
              <w:pStyle w:val="Texttabulky"/>
              <w:spacing w:line="240" w:lineRule="atLeast"/>
              <w:jc w:val="both"/>
              <w:rPr>
                <w:rFonts w:cs="Arial"/>
              </w:rPr>
            </w:pPr>
            <w:r w:rsidRPr="00E30642">
              <w:rPr>
                <w:rFonts w:cs="Arial"/>
              </w:rPr>
              <w:t>470</w:t>
            </w:r>
          </w:p>
        </w:tc>
      </w:tr>
      <w:tr w:rsidR="00CA23D0" w:rsidRPr="00E30642" w14:paraId="10CF6394" w14:textId="77777777" w:rsidTr="00CA23D0">
        <w:tc>
          <w:tcPr>
            <w:tcW w:w="705" w:type="dxa"/>
            <w:tcBorders>
              <w:top w:val="single" w:sz="6" w:space="0" w:color="auto"/>
              <w:left w:val="single" w:sz="6" w:space="0" w:color="auto"/>
              <w:bottom w:val="single" w:sz="6" w:space="0" w:color="auto"/>
              <w:right w:val="single" w:sz="6" w:space="0" w:color="auto"/>
            </w:tcBorders>
          </w:tcPr>
          <w:p w14:paraId="1EE6A07B" w14:textId="77777777" w:rsidR="00CA23D0" w:rsidRPr="00E30642" w:rsidRDefault="00CA23D0" w:rsidP="00CA23D0">
            <w:pPr>
              <w:pStyle w:val="Texttabulky"/>
              <w:spacing w:line="240" w:lineRule="atLeast"/>
              <w:jc w:val="both"/>
              <w:rPr>
                <w:rFonts w:cs="Arial"/>
              </w:rPr>
            </w:pPr>
            <w:r w:rsidRPr="00E30642">
              <w:rPr>
                <w:rFonts w:cs="Arial"/>
                <w:b/>
                <w:bCs/>
              </w:rPr>
              <w:t>58</w:t>
            </w:r>
          </w:p>
        </w:tc>
        <w:tc>
          <w:tcPr>
            <w:tcW w:w="2072" w:type="dxa"/>
            <w:tcBorders>
              <w:top w:val="single" w:sz="6" w:space="0" w:color="auto"/>
              <w:left w:val="single" w:sz="6" w:space="0" w:color="auto"/>
              <w:bottom w:val="single" w:sz="6" w:space="0" w:color="auto"/>
              <w:right w:val="single" w:sz="6" w:space="0" w:color="auto"/>
            </w:tcBorders>
          </w:tcPr>
          <w:p w14:paraId="10A742FD" w14:textId="77777777" w:rsidR="00CA23D0" w:rsidRPr="00E30642" w:rsidRDefault="00CA23D0" w:rsidP="00CA23D0">
            <w:pPr>
              <w:pStyle w:val="Texttabulky"/>
              <w:spacing w:line="240" w:lineRule="atLeast"/>
              <w:jc w:val="both"/>
              <w:rPr>
                <w:rFonts w:cs="Arial"/>
              </w:rPr>
            </w:pPr>
            <w:r w:rsidRPr="00E30642">
              <w:rPr>
                <w:rFonts w:cs="Arial"/>
              </w:rPr>
              <w:t>Jakuby</w:t>
            </w:r>
          </w:p>
        </w:tc>
        <w:tc>
          <w:tcPr>
            <w:tcW w:w="960" w:type="dxa"/>
            <w:tcBorders>
              <w:top w:val="single" w:sz="6" w:space="0" w:color="auto"/>
              <w:left w:val="single" w:sz="6" w:space="0" w:color="auto"/>
              <w:bottom w:val="single" w:sz="6" w:space="0" w:color="auto"/>
              <w:right w:val="single" w:sz="6" w:space="0" w:color="auto"/>
            </w:tcBorders>
          </w:tcPr>
          <w:p w14:paraId="7BC18F24" w14:textId="77777777" w:rsidR="00CA23D0" w:rsidRPr="00E30642" w:rsidRDefault="00CA23D0" w:rsidP="00CA23D0">
            <w:pPr>
              <w:pStyle w:val="Texttabulky"/>
              <w:spacing w:line="240" w:lineRule="atLeast"/>
              <w:jc w:val="both"/>
              <w:rPr>
                <w:rFonts w:cs="Arial"/>
              </w:rPr>
            </w:pPr>
            <w:r w:rsidRPr="00E30642">
              <w:rPr>
                <w:rFonts w:cs="Arial"/>
              </w:rPr>
              <w:t>28</w:t>
            </w:r>
          </w:p>
        </w:tc>
        <w:tc>
          <w:tcPr>
            <w:tcW w:w="885" w:type="dxa"/>
            <w:tcBorders>
              <w:top w:val="single" w:sz="6" w:space="0" w:color="auto"/>
              <w:left w:val="single" w:sz="6" w:space="0" w:color="auto"/>
              <w:bottom w:val="single" w:sz="6" w:space="0" w:color="auto"/>
              <w:right w:val="single" w:sz="6" w:space="0" w:color="auto"/>
            </w:tcBorders>
          </w:tcPr>
          <w:p w14:paraId="4B9D50DD"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6D3400A1"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7F09123A"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1A0D3116" w14:textId="77777777" w:rsidR="00CA23D0" w:rsidRPr="00E30642" w:rsidRDefault="00CA23D0" w:rsidP="00CA23D0">
            <w:pPr>
              <w:pStyle w:val="Texttabulky"/>
              <w:spacing w:line="240" w:lineRule="atLeast"/>
              <w:jc w:val="both"/>
              <w:rPr>
                <w:rFonts w:cs="Arial"/>
              </w:rPr>
            </w:pPr>
            <w:r w:rsidRPr="00E30642">
              <w:rPr>
                <w:rFonts w:cs="Arial"/>
              </w:rPr>
              <w:t>20</w:t>
            </w:r>
          </w:p>
        </w:tc>
        <w:tc>
          <w:tcPr>
            <w:tcW w:w="960" w:type="dxa"/>
            <w:tcBorders>
              <w:top w:val="single" w:sz="6" w:space="0" w:color="auto"/>
              <w:left w:val="single" w:sz="6" w:space="0" w:color="auto"/>
              <w:bottom w:val="single" w:sz="6" w:space="0" w:color="auto"/>
              <w:right w:val="single" w:sz="6" w:space="0" w:color="auto"/>
            </w:tcBorders>
          </w:tcPr>
          <w:p w14:paraId="0720CFC5" w14:textId="77777777" w:rsidR="00CA23D0" w:rsidRPr="00E30642" w:rsidRDefault="00CA23D0" w:rsidP="00CA23D0">
            <w:pPr>
              <w:pStyle w:val="Texttabulky"/>
              <w:spacing w:line="240" w:lineRule="atLeast"/>
              <w:jc w:val="both"/>
              <w:rPr>
                <w:rFonts w:cs="Arial"/>
              </w:rPr>
            </w:pPr>
            <w:r w:rsidRPr="00E30642">
              <w:rPr>
                <w:rFonts w:cs="Arial"/>
              </w:rPr>
              <w:t>20</w:t>
            </w:r>
          </w:p>
        </w:tc>
      </w:tr>
      <w:tr w:rsidR="00CA23D0" w:rsidRPr="00E30642" w14:paraId="5A8CAC87" w14:textId="77777777" w:rsidTr="00CA23D0">
        <w:tc>
          <w:tcPr>
            <w:tcW w:w="705" w:type="dxa"/>
            <w:tcBorders>
              <w:top w:val="single" w:sz="6" w:space="0" w:color="auto"/>
              <w:left w:val="single" w:sz="6" w:space="0" w:color="auto"/>
              <w:bottom w:val="single" w:sz="6" w:space="0" w:color="auto"/>
              <w:right w:val="single" w:sz="6" w:space="0" w:color="auto"/>
            </w:tcBorders>
          </w:tcPr>
          <w:p w14:paraId="7F2BE247" w14:textId="77777777" w:rsidR="00CA23D0" w:rsidRPr="00E30642" w:rsidRDefault="00CA23D0" w:rsidP="00CA23D0">
            <w:pPr>
              <w:pStyle w:val="Texttabulky"/>
              <w:spacing w:line="240" w:lineRule="atLeast"/>
              <w:jc w:val="both"/>
              <w:rPr>
                <w:rFonts w:cs="Arial"/>
              </w:rPr>
            </w:pPr>
            <w:r w:rsidRPr="00E30642">
              <w:rPr>
                <w:rFonts w:cs="Arial"/>
                <w:b/>
                <w:bCs/>
              </w:rPr>
              <w:t>64</w:t>
            </w:r>
          </w:p>
        </w:tc>
        <w:tc>
          <w:tcPr>
            <w:tcW w:w="2072" w:type="dxa"/>
            <w:tcBorders>
              <w:top w:val="single" w:sz="6" w:space="0" w:color="auto"/>
              <w:left w:val="single" w:sz="6" w:space="0" w:color="auto"/>
              <w:bottom w:val="single" w:sz="6" w:space="0" w:color="auto"/>
              <w:right w:val="single" w:sz="6" w:space="0" w:color="auto"/>
            </w:tcBorders>
          </w:tcPr>
          <w:p w14:paraId="5194C2DD" w14:textId="77777777" w:rsidR="00CA23D0" w:rsidRPr="00E30642" w:rsidRDefault="00CA23D0" w:rsidP="00CA23D0">
            <w:pPr>
              <w:pStyle w:val="Texttabulky"/>
              <w:spacing w:line="240" w:lineRule="atLeast"/>
              <w:jc w:val="both"/>
              <w:rPr>
                <w:rFonts w:cs="Arial"/>
              </w:rPr>
            </w:pPr>
            <w:r w:rsidRPr="00E30642">
              <w:rPr>
                <w:rFonts w:cs="Arial"/>
              </w:rPr>
              <w:t>Nová Ves</w:t>
            </w:r>
          </w:p>
        </w:tc>
        <w:tc>
          <w:tcPr>
            <w:tcW w:w="960" w:type="dxa"/>
            <w:tcBorders>
              <w:top w:val="single" w:sz="6" w:space="0" w:color="auto"/>
              <w:left w:val="single" w:sz="6" w:space="0" w:color="auto"/>
              <w:bottom w:val="single" w:sz="6" w:space="0" w:color="auto"/>
              <w:right w:val="single" w:sz="6" w:space="0" w:color="auto"/>
            </w:tcBorders>
          </w:tcPr>
          <w:p w14:paraId="530488E7" w14:textId="77777777" w:rsidR="00CA23D0" w:rsidRPr="00E30642" w:rsidRDefault="00CA23D0" w:rsidP="00CA23D0">
            <w:pPr>
              <w:pStyle w:val="Texttabulky"/>
              <w:spacing w:line="240" w:lineRule="atLeast"/>
              <w:jc w:val="both"/>
              <w:rPr>
                <w:rFonts w:cs="Arial"/>
              </w:rPr>
            </w:pPr>
            <w:r w:rsidRPr="00E30642">
              <w:rPr>
                <w:rFonts w:cs="Arial"/>
              </w:rPr>
              <w:t>209</w:t>
            </w:r>
          </w:p>
        </w:tc>
        <w:tc>
          <w:tcPr>
            <w:tcW w:w="885" w:type="dxa"/>
            <w:tcBorders>
              <w:top w:val="single" w:sz="6" w:space="0" w:color="auto"/>
              <w:left w:val="single" w:sz="6" w:space="0" w:color="auto"/>
              <w:bottom w:val="single" w:sz="6" w:space="0" w:color="auto"/>
              <w:right w:val="single" w:sz="6" w:space="0" w:color="auto"/>
            </w:tcBorders>
          </w:tcPr>
          <w:p w14:paraId="7004DFFB"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061186C4"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696BB3F0" w14:textId="77777777" w:rsidR="00CA23D0" w:rsidRPr="00E30642" w:rsidRDefault="00CA23D0" w:rsidP="00CA23D0">
            <w:pPr>
              <w:pStyle w:val="Texttabulky"/>
              <w:spacing w:line="240" w:lineRule="atLeast"/>
              <w:jc w:val="both"/>
              <w:rPr>
                <w:rFonts w:cs="Arial"/>
              </w:rPr>
            </w:pPr>
            <w:r w:rsidRPr="00E30642">
              <w:rPr>
                <w:rFonts w:cs="Arial"/>
              </w:rPr>
              <w:t>240</w:t>
            </w:r>
          </w:p>
        </w:tc>
        <w:tc>
          <w:tcPr>
            <w:tcW w:w="960" w:type="dxa"/>
            <w:tcBorders>
              <w:top w:val="single" w:sz="6" w:space="0" w:color="auto"/>
              <w:left w:val="single" w:sz="6" w:space="0" w:color="auto"/>
              <w:bottom w:val="single" w:sz="6" w:space="0" w:color="auto"/>
              <w:right w:val="single" w:sz="6" w:space="0" w:color="auto"/>
            </w:tcBorders>
          </w:tcPr>
          <w:p w14:paraId="63E2FADE" w14:textId="77777777" w:rsidR="00CA23D0" w:rsidRPr="00E30642" w:rsidRDefault="00CA23D0" w:rsidP="00CA23D0">
            <w:pPr>
              <w:pStyle w:val="Texttabulky"/>
              <w:spacing w:line="240" w:lineRule="atLeast"/>
              <w:jc w:val="both"/>
              <w:rPr>
                <w:rFonts w:cs="Arial"/>
              </w:rPr>
            </w:pPr>
            <w:r w:rsidRPr="00E30642">
              <w:rPr>
                <w:rFonts w:cs="Arial"/>
              </w:rPr>
              <w:t>200</w:t>
            </w:r>
          </w:p>
        </w:tc>
        <w:tc>
          <w:tcPr>
            <w:tcW w:w="960" w:type="dxa"/>
            <w:tcBorders>
              <w:top w:val="single" w:sz="6" w:space="0" w:color="auto"/>
              <w:left w:val="single" w:sz="6" w:space="0" w:color="auto"/>
              <w:bottom w:val="single" w:sz="6" w:space="0" w:color="auto"/>
              <w:right w:val="single" w:sz="6" w:space="0" w:color="auto"/>
            </w:tcBorders>
          </w:tcPr>
          <w:p w14:paraId="15BEFA15" w14:textId="77777777" w:rsidR="00CA23D0" w:rsidRPr="00E30642" w:rsidRDefault="00CA23D0" w:rsidP="00CA23D0">
            <w:pPr>
              <w:pStyle w:val="Texttabulky"/>
              <w:spacing w:line="240" w:lineRule="atLeast"/>
              <w:jc w:val="both"/>
              <w:rPr>
                <w:rFonts w:cs="Arial"/>
              </w:rPr>
            </w:pPr>
            <w:r w:rsidRPr="00E30642">
              <w:rPr>
                <w:rFonts w:cs="Arial"/>
              </w:rPr>
              <w:t>440</w:t>
            </w:r>
          </w:p>
        </w:tc>
      </w:tr>
      <w:tr w:rsidR="00CA23D0" w:rsidRPr="00E30642" w14:paraId="451F15E4" w14:textId="77777777" w:rsidTr="00CA23D0">
        <w:tc>
          <w:tcPr>
            <w:tcW w:w="705" w:type="dxa"/>
            <w:tcBorders>
              <w:top w:val="single" w:sz="6" w:space="0" w:color="auto"/>
              <w:left w:val="single" w:sz="6" w:space="0" w:color="auto"/>
              <w:bottom w:val="single" w:sz="6" w:space="0" w:color="auto"/>
              <w:right w:val="single" w:sz="6" w:space="0" w:color="auto"/>
            </w:tcBorders>
          </w:tcPr>
          <w:p w14:paraId="61C39A06" w14:textId="77777777" w:rsidR="00CA23D0" w:rsidRPr="00E30642" w:rsidRDefault="00CA23D0" w:rsidP="00CA23D0">
            <w:pPr>
              <w:pStyle w:val="Texttabulky"/>
              <w:spacing w:line="240" w:lineRule="atLeast"/>
              <w:jc w:val="both"/>
              <w:rPr>
                <w:rFonts w:cs="Arial"/>
              </w:rPr>
            </w:pPr>
            <w:r w:rsidRPr="00E30642">
              <w:rPr>
                <w:rFonts w:cs="Arial"/>
                <w:b/>
                <w:bCs/>
              </w:rPr>
              <w:t>65</w:t>
            </w:r>
          </w:p>
        </w:tc>
        <w:tc>
          <w:tcPr>
            <w:tcW w:w="2072" w:type="dxa"/>
            <w:tcBorders>
              <w:top w:val="single" w:sz="6" w:space="0" w:color="auto"/>
              <w:left w:val="single" w:sz="6" w:space="0" w:color="auto"/>
              <w:bottom w:val="single" w:sz="6" w:space="0" w:color="auto"/>
              <w:right w:val="single" w:sz="6" w:space="0" w:color="auto"/>
            </w:tcBorders>
          </w:tcPr>
          <w:p w14:paraId="27F8AFFF" w14:textId="77777777" w:rsidR="00CA23D0" w:rsidRPr="00E30642" w:rsidRDefault="00CA23D0" w:rsidP="00CA23D0">
            <w:pPr>
              <w:pStyle w:val="Texttabulky"/>
              <w:spacing w:line="240" w:lineRule="atLeast"/>
              <w:jc w:val="both"/>
              <w:rPr>
                <w:rFonts w:cs="Arial"/>
              </w:rPr>
            </w:pPr>
            <w:r w:rsidRPr="00E30642">
              <w:rPr>
                <w:rFonts w:cs="Arial"/>
              </w:rPr>
              <w:t>Horní Žleb</w:t>
            </w:r>
          </w:p>
        </w:tc>
        <w:tc>
          <w:tcPr>
            <w:tcW w:w="960" w:type="dxa"/>
            <w:tcBorders>
              <w:top w:val="single" w:sz="6" w:space="0" w:color="auto"/>
              <w:left w:val="single" w:sz="6" w:space="0" w:color="auto"/>
              <w:bottom w:val="single" w:sz="6" w:space="0" w:color="auto"/>
              <w:right w:val="single" w:sz="6" w:space="0" w:color="auto"/>
            </w:tcBorders>
          </w:tcPr>
          <w:p w14:paraId="0A849EFC" w14:textId="77777777" w:rsidR="00CA23D0" w:rsidRPr="00E30642" w:rsidRDefault="00CA23D0" w:rsidP="00CA23D0">
            <w:pPr>
              <w:pStyle w:val="Texttabulky"/>
              <w:spacing w:line="240" w:lineRule="atLeast"/>
              <w:jc w:val="both"/>
              <w:rPr>
                <w:rFonts w:cs="Arial"/>
              </w:rPr>
            </w:pPr>
            <w:r w:rsidRPr="00E30642">
              <w:rPr>
                <w:rFonts w:cs="Arial"/>
              </w:rPr>
              <w:t>375</w:t>
            </w:r>
          </w:p>
        </w:tc>
        <w:tc>
          <w:tcPr>
            <w:tcW w:w="885" w:type="dxa"/>
            <w:tcBorders>
              <w:top w:val="single" w:sz="6" w:space="0" w:color="auto"/>
              <w:left w:val="single" w:sz="6" w:space="0" w:color="auto"/>
              <w:bottom w:val="single" w:sz="6" w:space="0" w:color="auto"/>
              <w:right w:val="single" w:sz="6" w:space="0" w:color="auto"/>
            </w:tcBorders>
          </w:tcPr>
          <w:p w14:paraId="1CD3D8C1"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062F283A"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5A26F0D1"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22F16129" w14:textId="77777777" w:rsidR="00CA23D0" w:rsidRPr="00E30642" w:rsidRDefault="00CA23D0" w:rsidP="00CA23D0">
            <w:pPr>
              <w:pStyle w:val="Texttabulky"/>
              <w:spacing w:line="240" w:lineRule="atLeast"/>
              <w:jc w:val="both"/>
              <w:rPr>
                <w:rFonts w:cs="Arial"/>
              </w:rPr>
            </w:pPr>
            <w:r w:rsidRPr="00E30642">
              <w:rPr>
                <w:rFonts w:cs="Arial"/>
              </w:rPr>
              <w:t>350</w:t>
            </w:r>
          </w:p>
        </w:tc>
        <w:tc>
          <w:tcPr>
            <w:tcW w:w="960" w:type="dxa"/>
            <w:tcBorders>
              <w:top w:val="single" w:sz="6" w:space="0" w:color="auto"/>
              <w:left w:val="single" w:sz="6" w:space="0" w:color="auto"/>
              <w:bottom w:val="single" w:sz="6" w:space="0" w:color="auto"/>
              <w:right w:val="single" w:sz="6" w:space="0" w:color="auto"/>
            </w:tcBorders>
          </w:tcPr>
          <w:p w14:paraId="21293691" w14:textId="77777777" w:rsidR="00CA23D0" w:rsidRPr="00E30642" w:rsidRDefault="00CA23D0" w:rsidP="00CA23D0">
            <w:pPr>
              <w:pStyle w:val="Texttabulky"/>
              <w:spacing w:line="240" w:lineRule="atLeast"/>
              <w:jc w:val="both"/>
              <w:rPr>
                <w:rFonts w:cs="Arial"/>
              </w:rPr>
            </w:pPr>
            <w:r w:rsidRPr="00E30642">
              <w:rPr>
                <w:rFonts w:cs="Arial"/>
              </w:rPr>
              <w:t>350</w:t>
            </w:r>
          </w:p>
        </w:tc>
      </w:tr>
      <w:tr w:rsidR="00CA23D0" w:rsidRPr="00E30642" w14:paraId="6BAA190A" w14:textId="77777777" w:rsidTr="00CA23D0">
        <w:tc>
          <w:tcPr>
            <w:tcW w:w="705" w:type="dxa"/>
            <w:tcBorders>
              <w:top w:val="single" w:sz="6" w:space="0" w:color="auto"/>
              <w:left w:val="single" w:sz="6" w:space="0" w:color="auto"/>
              <w:bottom w:val="single" w:sz="6" w:space="0" w:color="auto"/>
              <w:right w:val="single" w:sz="6" w:space="0" w:color="auto"/>
            </w:tcBorders>
          </w:tcPr>
          <w:p w14:paraId="5497B507" w14:textId="77777777" w:rsidR="00CA23D0" w:rsidRPr="00E30642" w:rsidRDefault="00CA23D0" w:rsidP="00CA23D0">
            <w:pPr>
              <w:pStyle w:val="Texttabulky"/>
              <w:spacing w:line="240" w:lineRule="atLeast"/>
              <w:jc w:val="both"/>
              <w:rPr>
                <w:rFonts w:cs="Arial"/>
              </w:rPr>
            </w:pPr>
            <w:r w:rsidRPr="00E30642">
              <w:rPr>
                <w:rFonts w:cs="Arial"/>
                <w:b/>
                <w:bCs/>
              </w:rPr>
              <w:t>66</w:t>
            </w:r>
          </w:p>
        </w:tc>
        <w:tc>
          <w:tcPr>
            <w:tcW w:w="2072" w:type="dxa"/>
            <w:tcBorders>
              <w:top w:val="single" w:sz="6" w:space="0" w:color="auto"/>
              <w:left w:val="single" w:sz="6" w:space="0" w:color="auto"/>
              <w:bottom w:val="single" w:sz="6" w:space="0" w:color="auto"/>
              <w:right w:val="single" w:sz="6" w:space="0" w:color="auto"/>
            </w:tcBorders>
          </w:tcPr>
          <w:p w14:paraId="5B08A848" w14:textId="77777777" w:rsidR="00CA23D0" w:rsidRPr="00E30642" w:rsidRDefault="00CA23D0" w:rsidP="00CA23D0">
            <w:pPr>
              <w:pStyle w:val="Texttabulky"/>
              <w:spacing w:line="240" w:lineRule="atLeast"/>
              <w:jc w:val="both"/>
              <w:rPr>
                <w:rFonts w:cs="Arial"/>
              </w:rPr>
            </w:pPr>
            <w:r w:rsidRPr="00E30642">
              <w:rPr>
                <w:rFonts w:cs="Arial"/>
              </w:rPr>
              <w:t>Průmyslový obvod Křešice</w:t>
            </w:r>
          </w:p>
        </w:tc>
        <w:tc>
          <w:tcPr>
            <w:tcW w:w="960" w:type="dxa"/>
            <w:tcBorders>
              <w:top w:val="single" w:sz="6" w:space="0" w:color="auto"/>
              <w:left w:val="single" w:sz="6" w:space="0" w:color="auto"/>
              <w:bottom w:val="single" w:sz="6" w:space="0" w:color="auto"/>
              <w:right w:val="single" w:sz="6" w:space="0" w:color="auto"/>
            </w:tcBorders>
          </w:tcPr>
          <w:p w14:paraId="762CAAB8" w14:textId="77777777" w:rsidR="00CA23D0" w:rsidRPr="00E30642" w:rsidRDefault="00CA23D0" w:rsidP="00CA23D0">
            <w:pPr>
              <w:pStyle w:val="Texttabulky"/>
              <w:spacing w:line="240" w:lineRule="atLeast"/>
              <w:jc w:val="both"/>
              <w:rPr>
                <w:rFonts w:cs="Arial"/>
              </w:rPr>
            </w:pPr>
            <w:r w:rsidRPr="00E30642">
              <w:rPr>
                <w:rFonts w:cs="Arial"/>
              </w:rPr>
              <w:t>95</w:t>
            </w:r>
          </w:p>
        </w:tc>
        <w:tc>
          <w:tcPr>
            <w:tcW w:w="885" w:type="dxa"/>
            <w:tcBorders>
              <w:top w:val="single" w:sz="6" w:space="0" w:color="auto"/>
              <w:left w:val="single" w:sz="6" w:space="0" w:color="auto"/>
              <w:bottom w:val="single" w:sz="6" w:space="0" w:color="auto"/>
              <w:right w:val="single" w:sz="6" w:space="0" w:color="auto"/>
            </w:tcBorders>
          </w:tcPr>
          <w:p w14:paraId="2A9E4982"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1576D306"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0A8A5C02"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78F86F7F" w14:textId="77777777" w:rsidR="00CA23D0" w:rsidRPr="00E30642" w:rsidRDefault="00CA23D0" w:rsidP="00CA23D0">
            <w:pPr>
              <w:pStyle w:val="Texttabulky"/>
              <w:spacing w:line="240" w:lineRule="atLeast"/>
              <w:jc w:val="both"/>
              <w:rPr>
                <w:rFonts w:cs="Arial"/>
              </w:rPr>
            </w:pPr>
            <w:r w:rsidRPr="00E30642">
              <w:rPr>
                <w:rFonts w:cs="Arial"/>
              </w:rPr>
              <w:t>80</w:t>
            </w:r>
          </w:p>
        </w:tc>
        <w:tc>
          <w:tcPr>
            <w:tcW w:w="960" w:type="dxa"/>
            <w:tcBorders>
              <w:top w:val="single" w:sz="6" w:space="0" w:color="auto"/>
              <w:left w:val="single" w:sz="6" w:space="0" w:color="auto"/>
              <w:bottom w:val="single" w:sz="6" w:space="0" w:color="auto"/>
              <w:right w:val="single" w:sz="6" w:space="0" w:color="auto"/>
            </w:tcBorders>
          </w:tcPr>
          <w:p w14:paraId="6DDA52DF" w14:textId="77777777" w:rsidR="00CA23D0" w:rsidRPr="00E30642" w:rsidRDefault="00CA23D0" w:rsidP="00CA23D0">
            <w:pPr>
              <w:pStyle w:val="Texttabulky"/>
              <w:spacing w:line="240" w:lineRule="atLeast"/>
              <w:jc w:val="both"/>
              <w:rPr>
                <w:rFonts w:cs="Arial"/>
              </w:rPr>
            </w:pPr>
            <w:r w:rsidRPr="00E30642">
              <w:rPr>
                <w:rFonts w:cs="Arial"/>
              </w:rPr>
              <w:t>80</w:t>
            </w:r>
          </w:p>
        </w:tc>
      </w:tr>
      <w:tr w:rsidR="00CA23D0" w:rsidRPr="00E30642" w14:paraId="025EB5C5" w14:textId="77777777" w:rsidTr="00CA23D0">
        <w:tc>
          <w:tcPr>
            <w:tcW w:w="705" w:type="dxa"/>
            <w:tcBorders>
              <w:top w:val="single" w:sz="6" w:space="0" w:color="auto"/>
              <w:left w:val="single" w:sz="6" w:space="0" w:color="auto"/>
              <w:bottom w:val="single" w:sz="6" w:space="0" w:color="auto"/>
              <w:right w:val="single" w:sz="6" w:space="0" w:color="auto"/>
            </w:tcBorders>
          </w:tcPr>
          <w:p w14:paraId="778F815A" w14:textId="77777777" w:rsidR="00CA23D0" w:rsidRPr="00E30642" w:rsidRDefault="00CA23D0" w:rsidP="00CA23D0">
            <w:pPr>
              <w:pStyle w:val="Texttabulky"/>
              <w:spacing w:line="240" w:lineRule="atLeast"/>
              <w:jc w:val="both"/>
              <w:rPr>
                <w:rFonts w:cs="Arial"/>
              </w:rPr>
            </w:pPr>
            <w:r w:rsidRPr="00E30642">
              <w:rPr>
                <w:rFonts w:cs="Arial"/>
                <w:b/>
                <w:bCs/>
              </w:rPr>
              <w:t>67</w:t>
            </w:r>
          </w:p>
        </w:tc>
        <w:tc>
          <w:tcPr>
            <w:tcW w:w="2072" w:type="dxa"/>
            <w:tcBorders>
              <w:top w:val="single" w:sz="6" w:space="0" w:color="auto"/>
              <w:left w:val="single" w:sz="6" w:space="0" w:color="auto"/>
              <w:bottom w:val="single" w:sz="6" w:space="0" w:color="auto"/>
              <w:right w:val="single" w:sz="6" w:space="0" w:color="auto"/>
            </w:tcBorders>
          </w:tcPr>
          <w:p w14:paraId="5762491D" w14:textId="77777777" w:rsidR="00CA23D0" w:rsidRPr="00E30642" w:rsidRDefault="00CA23D0" w:rsidP="00CA23D0">
            <w:pPr>
              <w:pStyle w:val="Texttabulky"/>
              <w:spacing w:line="240" w:lineRule="atLeast"/>
              <w:jc w:val="both"/>
              <w:rPr>
                <w:rFonts w:cs="Arial"/>
              </w:rPr>
            </w:pPr>
            <w:r w:rsidRPr="00E30642">
              <w:rPr>
                <w:rFonts w:cs="Arial"/>
              </w:rPr>
              <w:t>Labská niva</w:t>
            </w:r>
          </w:p>
        </w:tc>
        <w:tc>
          <w:tcPr>
            <w:tcW w:w="960" w:type="dxa"/>
            <w:tcBorders>
              <w:top w:val="single" w:sz="6" w:space="0" w:color="auto"/>
              <w:left w:val="single" w:sz="6" w:space="0" w:color="auto"/>
              <w:bottom w:val="single" w:sz="6" w:space="0" w:color="auto"/>
              <w:right w:val="single" w:sz="6" w:space="0" w:color="auto"/>
            </w:tcBorders>
          </w:tcPr>
          <w:p w14:paraId="709BBB45"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216C28D3"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4D66E9B6"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0020DAC4"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0775370C"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36CD706C"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00CA91C1" w14:textId="77777777" w:rsidTr="00CA23D0">
        <w:tc>
          <w:tcPr>
            <w:tcW w:w="705" w:type="dxa"/>
            <w:tcBorders>
              <w:top w:val="single" w:sz="6" w:space="0" w:color="auto"/>
              <w:left w:val="single" w:sz="6" w:space="0" w:color="auto"/>
              <w:bottom w:val="single" w:sz="6" w:space="0" w:color="auto"/>
              <w:right w:val="single" w:sz="6" w:space="0" w:color="auto"/>
            </w:tcBorders>
          </w:tcPr>
          <w:p w14:paraId="06700942" w14:textId="77777777" w:rsidR="00CA23D0" w:rsidRPr="00E30642" w:rsidRDefault="00CA23D0" w:rsidP="00CA23D0">
            <w:pPr>
              <w:pStyle w:val="Texttabulky"/>
              <w:spacing w:line="240" w:lineRule="atLeast"/>
              <w:jc w:val="both"/>
              <w:rPr>
                <w:rFonts w:cs="Arial"/>
              </w:rPr>
            </w:pPr>
            <w:r w:rsidRPr="00E30642">
              <w:rPr>
                <w:rFonts w:cs="Arial"/>
                <w:b/>
                <w:bCs/>
              </w:rPr>
              <w:t>68</w:t>
            </w:r>
          </w:p>
        </w:tc>
        <w:tc>
          <w:tcPr>
            <w:tcW w:w="2072" w:type="dxa"/>
            <w:tcBorders>
              <w:top w:val="single" w:sz="6" w:space="0" w:color="auto"/>
              <w:left w:val="single" w:sz="6" w:space="0" w:color="auto"/>
              <w:bottom w:val="single" w:sz="6" w:space="0" w:color="auto"/>
              <w:right w:val="single" w:sz="6" w:space="0" w:color="auto"/>
            </w:tcBorders>
          </w:tcPr>
          <w:p w14:paraId="131FCF6C" w14:textId="77777777" w:rsidR="00CA23D0" w:rsidRPr="00E30642" w:rsidRDefault="00CA23D0" w:rsidP="00CA23D0">
            <w:pPr>
              <w:pStyle w:val="Texttabulky"/>
              <w:spacing w:line="240" w:lineRule="atLeast"/>
              <w:jc w:val="both"/>
              <w:rPr>
                <w:rFonts w:cs="Arial"/>
              </w:rPr>
            </w:pPr>
            <w:r w:rsidRPr="00E30642">
              <w:rPr>
                <w:rFonts w:cs="Arial"/>
              </w:rPr>
              <w:t>Průmyslový obvod Boletice</w:t>
            </w:r>
          </w:p>
        </w:tc>
        <w:tc>
          <w:tcPr>
            <w:tcW w:w="960" w:type="dxa"/>
            <w:tcBorders>
              <w:top w:val="single" w:sz="6" w:space="0" w:color="auto"/>
              <w:left w:val="single" w:sz="6" w:space="0" w:color="auto"/>
              <w:bottom w:val="single" w:sz="6" w:space="0" w:color="auto"/>
              <w:right w:val="single" w:sz="6" w:space="0" w:color="auto"/>
            </w:tcBorders>
          </w:tcPr>
          <w:p w14:paraId="46650D4F" w14:textId="77777777" w:rsidR="00CA23D0" w:rsidRPr="00E30642" w:rsidRDefault="00CA23D0" w:rsidP="00CA23D0">
            <w:pPr>
              <w:pStyle w:val="Texttabulky"/>
              <w:spacing w:line="240" w:lineRule="atLeast"/>
              <w:jc w:val="both"/>
              <w:rPr>
                <w:rFonts w:cs="Arial"/>
              </w:rPr>
            </w:pPr>
            <w:r w:rsidRPr="00E30642">
              <w:rPr>
                <w:rFonts w:cs="Arial"/>
              </w:rPr>
              <w:t>0</w:t>
            </w:r>
          </w:p>
        </w:tc>
        <w:tc>
          <w:tcPr>
            <w:tcW w:w="885" w:type="dxa"/>
            <w:tcBorders>
              <w:top w:val="single" w:sz="6" w:space="0" w:color="auto"/>
              <w:left w:val="single" w:sz="6" w:space="0" w:color="auto"/>
              <w:bottom w:val="single" w:sz="6" w:space="0" w:color="auto"/>
              <w:right w:val="single" w:sz="6" w:space="0" w:color="auto"/>
            </w:tcBorders>
          </w:tcPr>
          <w:p w14:paraId="2DBC6B4D"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306D31CE" w14:textId="77777777" w:rsidR="00CA23D0" w:rsidRPr="00E30642" w:rsidRDefault="00CA23D0" w:rsidP="00CA23D0">
            <w:pPr>
              <w:pStyle w:val="Zkladntext"/>
              <w:jc w:val="both"/>
              <w:rPr>
                <w:rFonts w:ascii="Arial" w:hAnsi="Arial" w:cs="Arial"/>
              </w:rPr>
            </w:pPr>
          </w:p>
        </w:tc>
        <w:tc>
          <w:tcPr>
            <w:tcW w:w="844" w:type="dxa"/>
            <w:tcBorders>
              <w:top w:val="single" w:sz="6" w:space="0" w:color="auto"/>
              <w:left w:val="single" w:sz="6" w:space="0" w:color="auto"/>
              <w:bottom w:val="single" w:sz="6" w:space="0" w:color="auto"/>
              <w:right w:val="single" w:sz="6" w:space="0" w:color="auto"/>
            </w:tcBorders>
          </w:tcPr>
          <w:p w14:paraId="681C7497" w14:textId="77777777" w:rsidR="00CA23D0" w:rsidRPr="00E30642" w:rsidRDefault="00CA23D0" w:rsidP="00CA23D0">
            <w:pPr>
              <w:pStyle w:val="Zkladntext"/>
              <w:jc w:val="both"/>
              <w:rPr>
                <w:rFonts w:ascii="Arial" w:hAnsi="Arial" w:cs="Arial"/>
              </w:rPr>
            </w:pPr>
          </w:p>
        </w:tc>
        <w:tc>
          <w:tcPr>
            <w:tcW w:w="960" w:type="dxa"/>
            <w:tcBorders>
              <w:top w:val="single" w:sz="6" w:space="0" w:color="auto"/>
              <w:left w:val="single" w:sz="6" w:space="0" w:color="auto"/>
              <w:bottom w:val="single" w:sz="6" w:space="0" w:color="auto"/>
              <w:right w:val="single" w:sz="6" w:space="0" w:color="auto"/>
            </w:tcBorders>
          </w:tcPr>
          <w:p w14:paraId="26B1AD02" w14:textId="77777777" w:rsidR="00CA23D0" w:rsidRPr="00E30642" w:rsidRDefault="00CA23D0" w:rsidP="00CA23D0">
            <w:pPr>
              <w:pStyle w:val="Texttabulky"/>
              <w:spacing w:line="240" w:lineRule="atLeast"/>
              <w:jc w:val="both"/>
              <w:rPr>
                <w:rFonts w:cs="Arial"/>
              </w:rPr>
            </w:pPr>
            <w:r w:rsidRPr="00E30642">
              <w:rPr>
                <w:rFonts w:cs="Arial"/>
              </w:rPr>
              <w:t>0</w:t>
            </w:r>
          </w:p>
        </w:tc>
        <w:tc>
          <w:tcPr>
            <w:tcW w:w="960" w:type="dxa"/>
            <w:tcBorders>
              <w:top w:val="single" w:sz="6" w:space="0" w:color="auto"/>
              <w:left w:val="single" w:sz="6" w:space="0" w:color="auto"/>
              <w:bottom w:val="single" w:sz="6" w:space="0" w:color="auto"/>
              <w:right w:val="single" w:sz="6" w:space="0" w:color="auto"/>
            </w:tcBorders>
          </w:tcPr>
          <w:p w14:paraId="0946EBA3"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2044D6FB" w14:textId="77777777" w:rsidTr="00CA23D0">
        <w:tc>
          <w:tcPr>
            <w:tcW w:w="2777" w:type="dxa"/>
            <w:gridSpan w:val="2"/>
            <w:tcBorders>
              <w:top w:val="single" w:sz="6" w:space="0" w:color="auto"/>
              <w:left w:val="single" w:sz="6" w:space="0" w:color="auto"/>
              <w:bottom w:val="single" w:sz="6" w:space="0" w:color="auto"/>
              <w:right w:val="single" w:sz="6" w:space="0" w:color="auto"/>
            </w:tcBorders>
          </w:tcPr>
          <w:p w14:paraId="76463BCD"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rPr>
              <w:t xml:space="preserve">             Město      c e l k e m</w:t>
            </w:r>
          </w:p>
        </w:tc>
        <w:tc>
          <w:tcPr>
            <w:tcW w:w="960" w:type="dxa"/>
            <w:tcBorders>
              <w:top w:val="single" w:sz="6" w:space="0" w:color="auto"/>
              <w:left w:val="single" w:sz="6" w:space="0" w:color="auto"/>
              <w:bottom w:val="single" w:sz="6" w:space="0" w:color="auto"/>
              <w:right w:val="single" w:sz="6" w:space="0" w:color="auto"/>
            </w:tcBorders>
          </w:tcPr>
          <w:p w14:paraId="7F712B7E" w14:textId="77777777" w:rsidR="00CA23D0" w:rsidRPr="00E30642" w:rsidRDefault="00CA23D0" w:rsidP="00CA23D0">
            <w:pPr>
              <w:pStyle w:val="Texttabulky"/>
              <w:spacing w:line="240" w:lineRule="atLeast"/>
              <w:jc w:val="both"/>
              <w:rPr>
                <w:rFonts w:cs="Arial"/>
              </w:rPr>
            </w:pPr>
            <w:r w:rsidRPr="00E30642">
              <w:rPr>
                <w:rFonts w:cs="Arial"/>
                <w:b/>
                <w:bCs/>
              </w:rPr>
              <w:t>53 899</w:t>
            </w:r>
          </w:p>
        </w:tc>
        <w:tc>
          <w:tcPr>
            <w:tcW w:w="885" w:type="dxa"/>
            <w:tcBorders>
              <w:top w:val="single" w:sz="6" w:space="0" w:color="auto"/>
              <w:left w:val="single" w:sz="6" w:space="0" w:color="auto"/>
              <w:bottom w:val="single" w:sz="6" w:space="0" w:color="auto"/>
              <w:right w:val="single" w:sz="6" w:space="0" w:color="auto"/>
            </w:tcBorders>
          </w:tcPr>
          <w:p w14:paraId="339E8E77" w14:textId="77777777" w:rsidR="00CA23D0" w:rsidRPr="00E30642" w:rsidRDefault="00CA23D0" w:rsidP="00CA23D0">
            <w:pPr>
              <w:pStyle w:val="Texttabulky"/>
              <w:spacing w:line="240" w:lineRule="atLeast"/>
              <w:jc w:val="both"/>
              <w:rPr>
                <w:rFonts w:cs="Arial"/>
              </w:rPr>
            </w:pPr>
            <w:r w:rsidRPr="00E30642">
              <w:rPr>
                <w:rFonts w:cs="Arial"/>
                <w:b/>
                <w:bCs/>
              </w:rPr>
              <w:t>2 240</w:t>
            </w:r>
          </w:p>
        </w:tc>
        <w:tc>
          <w:tcPr>
            <w:tcW w:w="855" w:type="dxa"/>
            <w:tcBorders>
              <w:top w:val="single" w:sz="6" w:space="0" w:color="auto"/>
              <w:left w:val="single" w:sz="6" w:space="0" w:color="auto"/>
              <w:bottom w:val="single" w:sz="6" w:space="0" w:color="auto"/>
              <w:right w:val="single" w:sz="6" w:space="0" w:color="auto"/>
            </w:tcBorders>
          </w:tcPr>
          <w:p w14:paraId="64CC3149" w14:textId="77777777" w:rsidR="00CA23D0" w:rsidRPr="00E30642" w:rsidRDefault="00CA23D0" w:rsidP="00CA23D0">
            <w:pPr>
              <w:pStyle w:val="Texttabulky"/>
              <w:spacing w:line="240" w:lineRule="atLeast"/>
              <w:jc w:val="both"/>
              <w:rPr>
                <w:rFonts w:cs="Arial"/>
              </w:rPr>
            </w:pPr>
            <w:r w:rsidRPr="00E30642">
              <w:rPr>
                <w:rFonts w:cs="Arial"/>
                <w:b/>
                <w:bCs/>
              </w:rPr>
              <w:t>2 030</w:t>
            </w:r>
          </w:p>
        </w:tc>
        <w:tc>
          <w:tcPr>
            <w:tcW w:w="844" w:type="dxa"/>
            <w:tcBorders>
              <w:top w:val="single" w:sz="6" w:space="0" w:color="auto"/>
              <w:left w:val="single" w:sz="6" w:space="0" w:color="auto"/>
              <w:bottom w:val="single" w:sz="6" w:space="0" w:color="auto"/>
              <w:right w:val="single" w:sz="6" w:space="0" w:color="auto"/>
            </w:tcBorders>
          </w:tcPr>
          <w:p w14:paraId="088BB75B" w14:textId="77777777" w:rsidR="00CA23D0" w:rsidRPr="00E30642" w:rsidRDefault="00CA23D0" w:rsidP="00CA23D0">
            <w:pPr>
              <w:pStyle w:val="Texttabulky"/>
              <w:spacing w:line="240" w:lineRule="atLeast"/>
              <w:jc w:val="both"/>
              <w:rPr>
                <w:rFonts w:cs="Arial"/>
              </w:rPr>
            </w:pPr>
            <w:r w:rsidRPr="00E30642">
              <w:rPr>
                <w:rFonts w:cs="Arial"/>
                <w:b/>
                <w:bCs/>
              </w:rPr>
              <w:t>3 415</w:t>
            </w:r>
          </w:p>
        </w:tc>
        <w:tc>
          <w:tcPr>
            <w:tcW w:w="960" w:type="dxa"/>
            <w:tcBorders>
              <w:top w:val="single" w:sz="6" w:space="0" w:color="auto"/>
              <w:left w:val="single" w:sz="6" w:space="0" w:color="auto"/>
              <w:bottom w:val="single" w:sz="6" w:space="0" w:color="auto"/>
              <w:right w:val="single" w:sz="6" w:space="0" w:color="auto"/>
            </w:tcBorders>
          </w:tcPr>
          <w:p w14:paraId="7305DEDE" w14:textId="77777777" w:rsidR="00CA23D0" w:rsidRPr="00E30642" w:rsidRDefault="00CA23D0" w:rsidP="00CA23D0">
            <w:pPr>
              <w:pStyle w:val="Texttabulky"/>
              <w:spacing w:line="240" w:lineRule="atLeast"/>
              <w:jc w:val="both"/>
              <w:rPr>
                <w:rFonts w:cs="Arial"/>
              </w:rPr>
            </w:pPr>
            <w:r w:rsidRPr="00E30642">
              <w:rPr>
                <w:rFonts w:cs="Arial"/>
                <w:b/>
                <w:bCs/>
              </w:rPr>
              <w:t>55 225</w:t>
            </w:r>
          </w:p>
        </w:tc>
        <w:tc>
          <w:tcPr>
            <w:tcW w:w="960" w:type="dxa"/>
            <w:tcBorders>
              <w:top w:val="single" w:sz="6" w:space="0" w:color="auto"/>
              <w:left w:val="single" w:sz="6" w:space="0" w:color="auto"/>
              <w:bottom w:val="single" w:sz="6" w:space="0" w:color="auto"/>
              <w:right w:val="single" w:sz="6" w:space="0" w:color="auto"/>
            </w:tcBorders>
          </w:tcPr>
          <w:p w14:paraId="4343EF6C" w14:textId="77777777" w:rsidR="00CA23D0" w:rsidRPr="00E30642" w:rsidRDefault="00CA23D0" w:rsidP="00CA23D0">
            <w:pPr>
              <w:pStyle w:val="Texttabulky"/>
              <w:spacing w:line="240" w:lineRule="atLeast"/>
              <w:jc w:val="both"/>
              <w:rPr>
                <w:rFonts w:cs="Arial"/>
              </w:rPr>
            </w:pPr>
            <w:r w:rsidRPr="00E30642">
              <w:rPr>
                <w:rFonts w:cs="Arial"/>
                <w:b/>
                <w:bCs/>
              </w:rPr>
              <w:t>58 640</w:t>
            </w:r>
          </w:p>
        </w:tc>
      </w:tr>
    </w:tbl>
    <w:p w14:paraId="0BF81F5F" w14:textId="77777777" w:rsidR="00CA23D0" w:rsidRPr="00E30642" w:rsidRDefault="00CA23D0" w:rsidP="00CA23D0">
      <w:pPr>
        <w:autoSpaceDE w:val="0"/>
        <w:autoSpaceDN w:val="0"/>
        <w:adjustRightInd w:val="0"/>
        <w:jc w:val="both"/>
        <w:rPr>
          <w:rFonts w:ascii="Arial" w:hAnsi="Arial" w:cs="Arial"/>
          <w:sz w:val="20"/>
        </w:rPr>
      </w:pPr>
    </w:p>
    <w:p w14:paraId="48D83E3A" w14:textId="77777777" w:rsidR="00CA23D0" w:rsidRPr="00E30642" w:rsidRDefault="00CA23D0" w:rsidP="00CA23D0">
      <w:pPr>
        <w:pStyle w:val="Zkladntext"/>
        <w:spacing w:line="240" w:lineRule="atLeast"/>
        <w:jc w:val="both"/>
        <w:rPr>
          <w:rFonts w:ascii="Arial" w:hAnsi="Arial" w:cs="Arial"/>
        </w:rPr>
      </w:pPr>
    </w:p>
    <w:p w14:paraId="2AD8122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Promítnutí bytové výstavby do vývoje obyvatel je časově specifikováno do dvou základních období - návrhu, který se člení na realizace končící se závěrem tisíciletí a realizace dokončené s  konce návrhového období. Druhou část modelu rozložení obyvatel tvoří výhledové plochy pro bytovou výstavbu s  možností realizace po uplynutí návrhového období.</w:t>
      </w:r>
    </w:p>
    <w:p w14:paraId="3E3E6A1E" w14:textId="77777777" w:rsidR="00CA23D0" w:rsidRDefault="00CA23D0" w:rsidP="00CA23D0">
      <w:pPr>
        <w:pStyle w:val="Zkladntext"/>
        <w:spacing w:before="120" w:after="0" w:line="288" w:lineRule="auto"/>
        <w:ind w:firstLine="709"/>
        <w:jc w:val="both"/>
        <w:rPr>
          <w:rFonts w:ascii="Arial" w:hAnsi="Arial" w:cs="Arial"/>
          <w:sz w:val="22"/>
          <w:szCs w:val="22"/>
        </w:rPr>
      </w:pPr>
    </w:p>
    <w:p w14:paraId="7B79E0F4" w14:textId="77777777" w:rsidR="00D3579D" w:rsidRDefault="00D3579D" w:rsidP="00CA23D0">
      <w:pPr>
        <w:pStyle w:val="Zkladntext"/>
        <w:spacing w:before="120" w:after="0" w:line="288" w:lineRule="auto"/>
        <w:ind w:firstLine="709"/>
        <w:jc w:val="both"/>
        <w:rPr>
          <w:rFonts w:ascii="Arial" w:hAnsi="Arial" w:cs="Arial"/>
          <w:sz w:val="22"/>
          <w:szCs w:val="22"/>
        </w:rPr>
      </w:pPr>
    </w:p>
    <w:p w14:paraId="0DB7EB9A" w14:textId="77777777" w:rsidR="00D3579D" w:rsidRDefault="00D3579D" w:rsidP="00CA23D0">
      <w:pPr>
        <w:pStyle w:val="Zkladntext"/>
        <w:spacing w:before="120" w:after="0" w:line="288" w:lineRule="auto"/>
        <w:ind w:firstLine="709"/>
        <w:jc w:val="both"/>
        <w:rPr>
          <w:rFonts w:ascii="Arial" w:hAnsi="Arial" w:cs="Arial"/>
          <w:sz w:val="22"/>
          <w:szCs w:val="22"/>
        </w:rPr>
      </w:pPr>
    </w:p>
    <w:p w14:paraId="63D62944" w14:textId="77777777" w:rsidR="00D3579D" w:rsidRDefault="00D3579D" w:rsidP="00CA23D0">
      <w:pPr>
        <w:pStyle w:val="Zkladntext"/>
        <w:spacing w:before="120" w:after="0" w:line="288" w:lineRule="auto"/>
        <w:ind w:firstLine="709"/>
        <w:jc w:val="both"/>
        <w:rPr>
          <w:rFonts w:ascii="Arial" w:hAnsi="Arial" w:cs="Arial"/>
          <w:sz w:val="22"/>
          <w:szCs w:val="22"/>
        </w:rPr>
      </w:pPr>
    </w:p>
    <w:p w14:paraId="29FA09FE" w14:textId="77777777" w:rsidR="00D3579D" w:rsidRDefault="00D3579D" w:rsidP="00CA23D0">
      <w:pPr>
        <w:pStyle w:val="Zkladntext"/>
        <w:spacing w:before="120" w:after="0" w:line="288" w:lineRule="auto"/>
        <w:ind w:firstLine="709"/>
        <w:jc w:val="both"/>
        <w:rPr>
          <w:rFonts w:ascii="Arial" w:hAnsi="Arial" w:cs="Arial"/>
          <w:sz w:val="22"/>
          <w:szCs w:val="22"/>
        </w:rPr>
      </w:pPr>
    </w:p>
    <w:p w14:paraId="785E2B83" w14:textId="77777777" w:rsidR="00D3579D" w:rsidRDefault="00D3579D" w:rsidP="00CA23D0">
      <w:pPr>
        <w:pStyle w:val="Zkladntext"/>
        <w:spacing w:before="120" w:after="0" w:line="288" w:lineRule="auto"/>
        <w:ind w:firstLine="709"/>
        <w:jc w:val="both"/>
        <w:rPr>
          <w:rFonts w:ascii="Arial" w:hAnsi="Arial" w:cs="Arial"/>
          <w:sz w:val="22"/>
          <w:szCs w:val="22"/>
        </w:rPr>
      </w:pPr>
    </w:p>
    <w:p w14:paraId="4FB8436A" w14:textId="77777777" w:rsidR="00D3579D" w:rsidRDefault="00D3579D" w:rsidP="00CA23D0">
      <w:pPr>
        <w:pStyle w:val="Zkladntext"/>
        <w:spacing w:before="120" w:after="0" w:line="288" w:lineRule="auto"/>
        <w:ind w:firstLine="709"/>
        <w:jc w:val="both"/>
        <w:rPr>
          <w:rFonts w:ascii="Arial" w:hAnsi="Arial" w:cs="Arial"/>
          <w:sz w:val="22"/>
          <w:szCs w:val="22"/>
        </w:rPr>
      </w:pPr>
    </w:p>
    <w:p w14:paraId="6AFF190A" w14:textId="77777777" w:rsidR="00D3579D" w:rsidRDefault="00D3579D" w:rsidP="00CA23D0">
      <w:pPr>
        <w:pStyle w:val="Zkladntext"/>
        <w:spacing w:before="120" w:after="0" w:line="288" w:lineRule="auto"/>
        <w:ind w:firstLine="709"/>
        <w:jc w:val="both"/>
        <w:rPr>
          <w:rFonts w:ascii="Arial" w:hAnsi="Arial" w:cs="Arial"/>
          <w:sz w:val="22"/>
          <w:szCs w:val="22"/>
        </w:rPr>
      </w:pPr>
    </w:p>
    <w:p w14:paraId="5770852D" w14:textId="77777777" w:rsidR="00D3579D" w:rsidRDefault="00D3579D" w:rsidP="00CA23D0">
      <w:pPr>
        <w:pStyle w:val="Zkladntext"/>
        <w:spacing w:before="120" w:after="0" w:line="288" w:lineRule="auto"/>
        <w:ind w:firstLine="709"/>
        <w:jc w:val="both"/>
        <w:rPr>
          <w:rFonts w:ascii="Arial" w:hAnsi="Arial" w:cs="Arial"/>
          <w:sz w:val="22"/>
          <w:szCs w:val="22"/>
        </w:rPr>
      </w:pPr>
    </w:p>
    <w:p w14:paraId="12B1E299" w14:textId="77777777" w:rsidR="00D3579D" w:rsidRDefault="00D3579D" w:rsidP="00CA23D0">
      <w:pPr>
        <w:pStyle w:val="Zkladntext"/>
        <w:spacing w:before="120" w:after="0" w:line="288" w:lineRule="auto"/>
        <w:ind w:firstLine="709"/>
        <w:jc w:val="both"/>
        <w:rPr>
          <w:rFonts w:ascii="Arial" w:hAnsi="Arial" w:cs="Arial"/>
          <w:sz w:val="22"/>
          <w:szCs w:val="22"/>
        </w:rPr>
      </w:pPr>
    </w:p>
    <w:p w14:paraId="4D4EB37D" w14:textId="77777777" w:rsidR="00D3579D" w:rsidRPr="00E30642" w:rsidRDefault="00D3579D" w:rsidP="00CA23D0">
      <w:pPr>
        <w:pStyle w:val="Zkladntext"/>
        <w:spacing w:before="120" w:after="0" w:line="288" w:lineRule="auto"/>
        <w:ind w:firstLine="709"/>
        <w:jc w:val="both"/>
        <w:rPr>
          <w:rFonts w:ascii="Arial" w:hAnsi="Arial" w:cs="Arial"/>
          <w:sz w:val="22"/>
          <w:szCs w:val="22"/>
        </w:rPr>
      </w:pPr>
    </w:p>
    <w:p w14:paraId="5F48AD2E"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rPr>
        <w:t xml:space="preserve"> </w:t>
      </w:r>
      <w:r w:rsidRPr="00E30642">
        <w:rPr>
          <w:rFonts w:ascii="Arial" w:hAnsi="Arial" w:cs="Arial"/>
          <w:b/>
          <w:bCs/>
          <w:caps/>
        </w:rPr>
        <w:t xml:space="preserve">uspořádaný soubor urbanistických obvodů podle počtu obyvatel </w:t>
      </w:r>
    </w:p>
    <w:p w14:paraId="0228B7B3" w14:textId="77777777" w:rsidR="00CA23D0" w:rsidRPr="00E30642" w:rsidRDefault="00CA23D0" w:rsidP="00CA23D0">
      <w:pPr>
        <w:pStyle w:val="Zkladntext"/>
        <w:spacing w:line="240" w:lineRule="atLeast"/>
        <w:jc w:val="both"/>
        <w:rPr>
          <w:rFonts w:ascii="Arial" w:hAnsi="Arial" w:cs="Arial"/>
        </w:rPr>
      </w:pPr>
    </w:p>
    <w:tbl>
      <w:tblPr>
        <w:tblW w:w="0" w:type="auto"/>
        <w:jc w:val="center"/>
        <w:tblLayout w:type="fixed"/>
        <w:tblCellMar>
          <w:left w:w="30" w:type="dxa"/>
          <w:right w:w="30" w:type="dxa"/>
        </w:tblCellMar>
        <w:tblLook w:val="0000" w:firstRow="0" w:lastRow="0" w:firstColumn="0" w:lastColumn="0" w:noHBand="0" w:noVBand="0"/>
      </w:tblPr>
      <w:tblGrid>
        <w:gridCol w:w="627"/>
        <w:gridCol w:w="1963"/>
        <w:gridCol w:w="940"/>
        <w:gridCol w:w="855"/>
        <w:gridCol w:w="840"/>
        <w:gridCol w:w="857"/>
        <w:gridCol w:w="1005"/>
        <w:gridCol w:w="979"/>
      </w:tblGrid>
      <w:tr w:rsidR="00CA23D0" w:rsidRPr="00E30642" w14:paraId="3B31624B" w14:textId="77777777" w:rsidTr="00CA23D0">
        <w:trPr>
          <w:jc w:val="center"/>
        </w:trPr>
        <w:tc>
          <w:tcPr>
            <w:tcW w:w="627" w:type="dxa"/>
            <w:vMerge w:val="restart"/>
            <w:tcBorders>
              <w:top w:val="single" w:sz="6" w:space="0" w:color="auto"/>
              <w:left w:val="single" w:sz="6" w:space="0" w:color="auto"/>
              <w:right w:val="single" w:sz="6" w:space="0" w:color="auto"/>
            </w:tcBorders>
          </w:tcPr>
          <w:p w14:paraId="6F1BF669" w14:textId="77777777" w:rsidR="00CA23D0" w:rsidRPr="00E30642" w:rsidRDefault="00CA23D0" w:rsidP="00CA23D0">
            <w:pPr>
              <w:pStyle w:val="Texttabulky"/>
              <w:spacing w:line="240" w:lineRule="atLeast"/>
              <w:jc w:val="both"/>
              <w:rPr>
                <w:rFonts w:cs="Arial"/>
              </w:rPr>
            </w:pPr>
            <w:r w:rsidRPr="00E30642">
              <w:rPr>
                <w:rFonts w:cs="Arial"/>
                <w:b/>
                <w:bCs/>
              </w:rPr>
              <w:t>Poř. č. UO</w:t>
            </w:r>
          </w:p>
        </w:tc>
        <w:tc>
          <w:tcPr>
            <w:tcW w:w="1963" w:type="dxa"/>
            <w:vMerge w:val="restart"/>
            <w:tcBorders>
              <w:top w:val="single" w:sz="6" w:space="0" w:color="auto"/>
              <w:left w:val="single" w:sz="6" w:space="0" w:color="auto"/>
              <w:right w:val="single" w:sz="6" w:space="0" w:color="auto"/>
            </w:tcBorders>
          </w:tcPr>
          <w:p w14:paraId="1EC916AE" w14:textId="77777777" w:rsidR="00CA23D0" w:rsidRPr="00E30642" w:rsidRDefault="00CA23D0" w:rsidP="00CA23D0">
            <w:pPr>
              <w:pStyle w:val="Zkladntext"/>
              <w:spacing w:line="240" w:lineRule="atLeast"/>
              <w:jc w:val="both"/>
              <w:rPr>
                <w:rFonts w:ascii="Arial" w:hAnsi="Arial" w:cs="Arial"/>
              </w:rPr>
            </w:pPr>
          </w:p>
          <w:p w14:paraId="2377D76C" w14:textId="77777777" w:rsidR="00CA23D0" w:rsidRPr="00E30642" w:rsidRDefault="00CA23D0" w:rsidP="00CA23D0">
            <w:pPr>
              <w:pStyle w:val="Texttabulky"/>
              <w:spacing w:line="240" w:lineRule="atLeast"/>
              <w:jc w:val="both"/>
              <w:rPr>
                <w:rFonts w:cs="Arial"/>
              </w:rPr>
            </w:pPr>
            <w:r w:rsidRPr="00E30642">
              <w:rPr>
                <w:rFonts w:cs="Arial"/>
                <w:b/>
                <w:bCs/>
              </w:rPr>
              <w:t>urbanistický obvod</w:t>
            </w:r>
          </w:p>
        </w:tc>
        <w:tc>
          <w:tcPr>
            <w:tcW w:w="940" w:type="dxa"/>
            <w:vMerge w:val="restart"/>
            <w:tcBorders>
              <w:top w:val="single" w:sz="6" w:space="0" w:color="auto"/>
              <w:left w:val="single" w:sz="6" w:space="0" w:color="auto"/>
              <w:right w:val="single" w:sz="6" w:space="0" w:color="auto"/>
            </w:tcBorders>
          </w:tcPr>
          <w:p w14:paraId="47900547" w14:textId="77777777" w:rsidR="00CA23D0" w:rsidRPr="00E30642" w:rsidRDefault="00CA23D0" w:rsidP="00CA23D0">
            <w:pPr>
              <w:pStyle w:val="Zkladntext"/>
              <w:spacing w:line="240" w:lineRule="atLeast"/>
              <w:jc w:val="both"/>
              <w:rPr>
                <w:rFonts w:ascii="Arial" w:hAnsi="Arial" w:cs="Arial"/>
              </w:rPr>
            </w:pPr>
          </w:p>
          <w:p w14:paraId="7B2753B9" w14:textId="77777777" w:rsidR="00CA23D0" w:rsidRPr="00E30642" w:rsidRDefault="00CA23D0" w:rsidP="00CA23D0">
            <w:pPr>
              <w:pStyle w:val="Texttabulky"/>
              <w:spacing w:line="240" w:lineRule="atLeast"/>
              <w:jc w:val="both"/>
              <w:rPr>
                <w:rFonts w:cs="Arial"/>
              </w:rPr>
            </w:pPr>
            <w:r w:rsidRPr="00E30642">
              <w:rPr>
                <w:rFonts w:cs="Arial"/>
                <w:b/>
                <w:bCs/>
              </w:rPr>
              <w:t>OB 1991</w:t>
            </w:r>
          </w:p>
        </w:tc>
        <w:tc>
          <w:tcPr>
            <w:tcW w:w="2552" w:type="dxa"/>
            <w:gridSpan w:val="3"/>
            <w:tcBorders>
              <w:top w:val="single" w:sz="6" w:space="0" w:color="auto"/>
              <w:left w:val="single" w:sz="6" w:space="0" w:color="auto"/>
              <w:bottom w:val="single" w:sz="6" w:space="0" w:color="auto"/>
              <w:right w:val="single" w:sz="6" w:space="0" w:color="auto"/>
            </w:tcBorders>
          </w:tcPr>
          <w:p w14:paraId="2EC3E5BB" w14:textId="77777777" w:rsidR="00CA23D0" w:rsidRPr="00E30642" w:rsidRDefault="00CA23D0" w:rsidP="00CA23D0">
            <w:pPr>
              <w:pStyle w:val="Zkladntext"/>
              <w:jc w:val="both"/>
              <w:rPr>
                <w:rFonts w:ascii="Arial" w:hAnsi="Arial" w:cs="Arial"/>
                <w:sz w:val="18"/>
              </w:rPr>
            </w:pPr>
            <w:r w:rsidRPr="00E30642">
              <w:rPr>
                <w:rFonts w:ascii="Arial" w:hAnsi="Arial" w:cs="Arial"/>
                <w:b/>
                <w:bCs/>
                <w:sz w:val="18"/>
              </w:rPr>
              <w:t>obyv. –nové obytné plochy</w:t>
            </w:r>
          </w:p>
        </w:tc>
        <w:tc>
          <w:tcPr>
            <w:tcW w:w="1984" w:type="dxa"/>
            <w:gridSpan w:val="2"/>
            <w:tcBorders>
              <w:top w:val="single" w:sz="6" w:space="0" w:color="auto"/>
              <w:left w:val="single" w:sz="6" w:space="0" w:color="auto"/>
              <w:bottom w:val="single" w:sz="6" w:space="0" w:color="auto"/>
              <w:right w:val="single" w:sz="6" w:space="0" w:color="auto"/>
            </w:tcBorders>
          </w:tcPr>
          <w:p w14:paraId="2C5104C9" w14:textId="77777777" w:rsidR="00CA23D0" w:rsidRPr="00E30642" w:rsidRDefault="00CA23D0" w:rsidP="00CA23D0">
            <w:pPr>
              <w:pStyle w:val="Zkladntext"/>
              <w:jc w:val="both"/>
              <w:rPr>
                <w:rFonts w:ascii="Arial" w:hAnsi="Arial" w:cs="Arial"/>
                <w:sz w:val="18"/>
              </w:rPr>
            </w:pPr>
            <w:r w:rsidRPr="00E30642">
              <w:rPr>
                <w:rFonts w:ascii="Arial" w:hAnsi="Arial" w:cs="Arial"/>
                <w:b/>
                <w:bCs/>
                <w:sz w:val="18"/>
              </w:rPr>
              <w:t>počet bydlících osob</w:t>
            </w:r>
          </w:p>
        </w:tc>
      </w:tr>
      <w:tr w:rsidR="00CA23D0" w:rsidRPr="00E30642" w14:paraId="7C477D10" w14:textId="77777777" w:rsidTr="00CA23D0">
        <w:trPr>
          <w:jc w:val="center"/>
        </w:trPr>
        <w:tc>
          <w:tcPr>
            <w:tcW w:w="627" w:type="dxa"/>
            <w:vMerge/>
            <w:tcBorders>
              <w:left w:val="single" w:sz="6" w:space="0" w:color="auto"/>
              <w:bottom w:val="single" w:sz="6" w:space="0" w:color="auto"/>
              <w:right w:val="single" w:sz="6" w:space="0" w:color="auto"/>
            </w:tcBorders>
          </w:tcPr>
          <w:p w14:paraId="7094B7D3" w14:textId="77777777" w:rsidR="00CA23D0" w:rsidRPr="00E30642" w:rsidRDefault="00CA23D0" w:rsidP="00CA23D0">
            <w:pPr>
              <w:pStyle w:val="Zkladntext"/>
              <w:jc w:val="both"/>
              <w:rPr>
                <w:rFonts w:ascii="Arial" w:hAnsi="Arial" w:cs="Arial"/>
              </w:rPr>
            </w:pPr>
          </w:p>
        </w:tc>
        <w:tc>
          <w:tcPr>
            <w:tcW w:w="1963" w:type="dxa"/>
            <w:vMerge/>
            <w:tcBorders>
              <w:left w:val="single" w:sz="6" w:space="0" w:color="auto"/>
              <w:bottom w:val="single" w:sz="6" w:space="0" w:color="auto"/>
              <w:right w:val="single" w:sz="6" w:space="0" w:color="auto"/>
            </w:tcBorders>
          </w:tcPr>
          <w:p w14:paraId="145D1F07" w14:textId="77777777" w:rsidR="00CA23D0" w:rsidRPr="00E30642" w:rsidRDefault="00CA23D0" w:rsidP="00CA23D0">
            <w:pPr>
              <w:pStyle w:val="Zkladntext"/>
              <w:jc w:val="both"/>
              <w:rPr>
                <w:rFonts w:ascii="Arial" w:hAnsi="Arial" w:cs="Arial"/>
              </w:rPr>
            </w:pPr>
          </w:p>
        </w:tc>
        <w:tc>
          <w:tcPr>
            <w:tcW w:w="940" w:type="dxa"/>
            <w:vMerge/>
            <w:tcBorders>
              <w:left w:val="single" w:sz="6" w:space="0" w:color="auto"/>
              <w:bottom w:val="single" w:sz="6" w:space="0" w:color="auto"/>
              <w:right w:val="single" w:sz="6" w:space="0" w:color="auto"/>
            </w:tcBorders>
          </w:tcPr>
          <w:p w14:paraId="537C0F4E"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59641347" w14:textId="77777777" w:rsidR="00CA23D0" w:rsidRPr="00E30642" w:rsidRDefault="00CA23D0" w:rsidP="00CA23D0">
            <w:pPr>
              <w:pStyle w:val="Texttabulky"/>
              <w:spacing w:line="240" w:lineRule="atLeast"/>
              <w:jc w:val="both"/>
              <w:rPr>
                <w:rFonts w:cs="Arial"/>
              </w:rPr>
            </w:pPr>
            <w:r w:rsidRPr="00E30642">
              <w:rPr>
                <w:rFonts w:cs="Arial"/>
                <w:b/>
                <w:bCs/>
              </w:rPr>
              <w:t>OB návrh I</w:t>
            </w:r>
          </w:p>
        </w:tc>
        <w:tc>
          <w:tcPr>
            <w:tcW w:w="840" w:type="dxa"/>
            <w:tcBorders>
              <w:top w:val="single" w:sz="6" w:space="0" w:color="auto"/>
              <w:left w:val="single" w:sz="6" w:space="0" w:color="auto"/>
              <w:bottom w:val="single" w:sz="6" w:space="0" w:color="auto"/>
              <w:right w:val="single" w:sz="6" w:space="0" w:color="auto"/>
            </w:tcBorders>
          </w:tcPr>
          <w:p w14:paraId="6F4472DE" w14:textId="77777777" w:rsidR="00CA23D0" w:rsidRPr="00E30642" w:rsidRDefault="00CA23D0" w:rsidP="00CA23D0">
            <w:pPr>
              <w:pStyle w:val="Texttabulky"/>
              <w:spacing w:line="240" w:lineRule="atLeast"/>
              <w:jc w:val="both"/>
              <w:rPr>
                <w:rFonts w:cs="Arial"/>
              </w:rPr>
            </w:pPr>
            <w:r w:rsidRPr="00E30642">
              <w:rPr>
                <w:rFonts w:cs="Arial"/>
                <w:b/>
                <w:bCs/>
              </w:rPr>
              <w:t>OB návrh II</w:t>
            </w:r>
          </w:p>
        </w:tc>
        <w:tc>
          <w:tcPr>
            <w:tcW w:w="857" w:type="dxa"/>
            <w:tcBorders>
              <w:top w:val="single" w:sz="6" w:space="0" w:color="auto"/>
              <w:left w:val="single" w:sz="6" w:space="0" w:color="auto"/>
              <w:bottom w:val="single" w:sz="6" w:space="0" w:color="auto"/>
              <w:right w:val="single" w:sz="6" w:space="0" w:color="auto"/>
            </w:tcBorders>
          </w:tcPr>
          <w:p w14:paraId="2FF793F4" w14:textId="77777777" w:rsidR="00CA23D0" w:rsidRPr="00E30642" w:rsidRDefault="00CA23D0" w:rsidP="00CA23D0">
            <w:pPr>
              <w:pStyle w:val="Texttabulky"/>
              <w:spacing w:line="240" w:lineRule="atLeast"/>
              <w:jc w:val="both"/>
              <w:rPr>
                <w:rFonts w:cs="Arial"/>
              </w:rPr>
            </w:pPr>
            <w:r w:rsidRPr="00E30642">
              <w:rPr>
                <w:rFonts w:cs="Arial"/>
                <w:b/>
                <w:bCs/>
              </w:rPr>
              <w:t>OB rezerva</w:t>
            </w:r>
          </w:p>
        </w:tc>
        <w:tc>
          <w:tcPr>
            <w:tcW w:w="1005" w:type="dxa"/>
            <w:tcBorders>
              <w:top w:val="single" w:sz="6" w:space="0" w:color="auto"/>
              <w:left w:val="single" w:sz="6" w:space="0" w:color="auto"/>
              <w:bottom w:val="single" w:sz="6" w:space="0" w:color="auto"/>
              <w:right w:val="single" w:sz="6" w:space="0" w:color="auto"/>
            </w:tcBorders>
          </w:tcPr>
          <w:p w14:paraId="47F3C14C" w14:textId="77777777" w:rsidR="00CA23D0" w:rsidRPr="00E30642" w:rsidRDefault="00CA23D0" w:rsidP="00CA23D0">
            <w:pPr>
              <w:pStyle w:val="Texttabulky"/>
              <w:spacing w:line="240" w:lineRule="atLeast"/>
              <w:jc w:val="both"/>
              <w:rPr>
                <w:rFonts w:cs="Arial"/>
              </w:rPr>
            </w:pPr>
            <w:r w:rsidRPr="00E30642">
              <w:rPr>
                <w:rFonts w:cs="Arial"/>
                <w:b/>
                <w:bCs/>
              </w:rPr>
              <w:t>návrh</w:t>
            </w:r>
          </w:p>
        </w:tc>
        <w:tc>
          <w:tcPr>
            <w:tcW w:w="979" w:type="dxa"/>
            <w:tcBorders>
              <w:top w:val="single" w:sz="6" w:space="0" w:color="auto"/>
              <w:left w:val="single" w:sz="6" w:space="0" w:color="auto"/>
              <w:bottom w:val="single" w:sz="6" w:space="0" w:color="auto"/>
              <w:right w:val="single" w:sz="6" w:space="0" w:color="auto"/>
            </w:tcBorders>
          </w:tcPr>
          <w:p w14:paraId="6D4B494A" w14:textId="77777777" w:rsidR="00CA23D0" w:rsidRPr="00E30642" w:rsidRDefault="00CA23D0" w:rsidP="00CA23D0">
            <w:pPr>
              <w:pStyle w:val="Texttabulky"/>
              <w:spacing w:line="240" w:lineRule="atLeast"/>
              <w:jc w:val="both"/>
              <w:rPr>
                <w:rFonts w:cs="Arial"/>
              </w:rPr>
            </w:pPr>
            <w:r w:rsidRPr="00E30642">
              <w:rPr>
                <w:rFonts w:cs="Arial"/>
                <w:b/>
                <w:bCs/>
              </w:rPr>
              <w:t>návrh + rez.</w:t>
            </w:r>
          </w:p>
        </w:tc>
      </w:tr>
      <w:tr w:rsidR="00CA23D0" w:rsidRPr="00E30642" w14:paraId="79CD58AF"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5D95BF47" w14:textId="77777777" w:rsidR="00CA23D0" w:rsidRPr="00E30642" w:rsidRDefault="00CA23D0" w:rsidP="00CA23D0">
            <w:pPr>
              <w:pStyle w:val="Texttabulky"/>
              <w:spacing w:line="240" w:lineRule="atLeast"/>
              <w:jc w:val="both"/>
              <w:rPr>
                <w:rFonts w:cs="Arial"/>
              </w:rPr>
            </w:pPr>
            <w:r w:rsidRPr="00E30642">
              <w:rPr>
                <w:rFonts w:cs="Arial"/>
                <w:b/>
                <w:bCs/>
              </w:rPr>
              <w:t>20</w:t>
            </w:r>
          </w:p>
        </w:tc>
        <w:tc>
          <w:tcPr>
            <w:tcW w:w="1963" w:type="dxa"/>
            <w:tcBorders>
              <w:top w:val="single" w:sz="6" w:space="0" w:color="auto"/>
              <w:left w:val="single" w:sz="6" w:space="0" w:color="auto"/>
              <w:bottom w:val="single" w:sz="6" w:space="0" w:color="auto"/>
              <w:right w:val="single" w:sz="6" w:space="0" w:color="auto"/>
            </w:tcBorders>
          </w:tcPr>
          <w:p w14:paraId="54D7F95B" w14:textId="77777777" w:rsidR="00CA23D0" w:rsidRPr="00E30642" w:rsidRDefault="00CA23D0" w:rsidP="00CA23D0">
            <w:pPr>
              <w:pStyle w:val="Texttabulky"/>
              <w:spacing w:line="240" w:lineRule="atLeast"/>
              <w:jc w:val="both"/>
              <w:rPr>
                <w:rFonts w:cs="Arial"/>
              </w:rPr>
            </w:pPr>
            <w:r w:rsidRPr="00E30642">
              <w:rPr>
                <w:rFonts w:cs="Arial"/>
                <w:b/>
                <w:bCs/>
              </w:rPr>
              <w:t>Želenice</w:t>
            </w:r>
          </w:p>
        </w:tc>
        <w:tc>
          <w:tcPr>
            <w:tcW w:w="940" w:type="dxa"/>
            <w:tcBorders>
              <w:top w:val="single" w:sz="6" w:space="0" w:color="auto"/>
              <w:left w:val="single" w:sz="6" w:space="0" w:color="auto"/>
              <w:bottom w:val="single" w:sz="6" w:space="0" w:color="auto"/>
              <w:right w:val="single" w:sz="6" w:space="0" w:color="auto"/>
            </w:tcBorders>
          </w:tcPr>
          <w:p w14:paraId="7C860DD8" w14:textId="77777777" w:rsidR="00CA23D0" w:rsidRPr="00E30642" w:rsidRDefault="00CA23D0" w:rsidP="00CA23D0">
            <w:pPr>
              <w:pStyle w:val="Texttabulky"/>
              <w:spacing w:line="240" w:lineRule="atLeast"/>
              <w:jc w:val="both"/>
              <w:rPr>
                <w:rFonts w:cs="Arial"/>
              </w:rPr>
            </w:pPr>
            <w:r w:rsidRPr="00E30642">
              <w:rPr>
                <w:rFonts w:cs="Arial"/>
                <w:b/>
                <w:bCs/>
              </w:rPr>
              <w:t>5 566</w:t>
            </w:r>
          </w:p>
        </w:tc>
        <w:tc>
          <w:tcPr>
            <w:tcW w:w="855" w:type="dxa"/>
            <w:tcBorders>
              <w:top w:val="single" w:sz="6" w:space="0" w:color="auto"/>
              <w:left w:val="single" w:sz="6" w:space="0" w:color="auto"/>
              <w:bottom w:val="single" w:sz="6" w:space="0" w:color="auto"/>
              <w:right w:val="single" w:sz="6" w:space="0" w:color="auto"/>
            </w:tcBorders>
          </w:tcPr>
          <w:p w14:paraId="3DCE05FD" w14:textId="77777777" w:rsidR="00CA23D0" w:rsidRPr="00E30642" w:rsidRDefault="00CA23D0" w:rsidP="00CA23D0">
            <w:pPr>
              <w:pStyle w:val="Texttabulky"/>
              <w:spacing w:line="240" w:lineRule="atLeast"/>
              <w:jc w:val="both"/>
              <w:rPr>
                <w:rFonts w:cs="Arial"/>
              </w:rPr>
            </w:pPr>
            <w:r w:rsidRPr="00E30642">
              <w:rPr>
                <w:rFonts w:cs="Arial"/>
                <w:b/>
                <w:bCs/>
              </w:rPr>
              <w:t>310</w:t>
            </w:r>
          </w:p>
        </w:tc>
        <w:tc>
          <w:tcPr>
            <w:tcW w:w="840" w:type="dxa"/>
            <w:tcBorders>
              <w:top w:val="single" w:sz="6" w:space="0" w:color="auto"/>
              <w:left w:val="single" w:sz="6" w:space="0" w:color="auto"/>
              <w:bottom w:val="single" w:sz="6" w:space="0" w:color="auto"/>
              <w:right w:val="single" w:sz="6" w:space="0" w:color="auto"/>
            </w:tcBorders>
          </w:tcPr>
          <w:p w14:paraId="23C891C1" w14:textId="77777777" w:rsidR="00CA23D0" w:rsidRPr="00E30642" w:rsidRDefault="00CA23D0" w:rsidP="00CA23D0">
            <w:pPr>
              <w:pStyle w:val="Texttabulky"/>
              <w:spacing w:line="240" w:lineRule="atLeast"/>
              <w:jc w:val="both"/>
              <w:rPr>
                <w:rFonts w:cs="Arial"/>
              </w:rPr>
            </w:pPr>
            <w:r w:rsidRPr="00E30642">
              <w:rPr>
                <w:rFonts w:cs="Arial"/>
                <w:b/>
                <w:bCs/>
              </w:rPr>
              <w:t>105</w:t>
            </w:r>
          </w:p>
        </w:tc>
        <w:tc>
          <w:tcPr>
            <w:tcW w:w="857" w:type="dxa"/>
            <w:tcBorders>
              <w:top w:val="single" w:sz="6" w:space="0" w:color="auto"/>
              <w:left w:val="single" w:sz="6" w:space="0" w:color="auto"/>
              <w:bottom w:val="single" w:sz="6" w:space="0" w:color="auto"/>
              <w:right w:val="single" w:sz="6" w:space="0" w:color="auto"/>
            </w:tcBorders>
          </w:tcPr>
          <w:p w14:paraId="608C6098"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04628C00" w14:textId="77777777" w:rsidR="00CA23D0" w:rsidRPr="00E30642" w:rsidRDefault="00CA23D0" w:rsidP="00CA23D0">
            <w:pPr>
              <w:pStyle w:val="Texttabulky"/>
              <w:spacing w:line="240" w:lineRule="atLeast"/>
              <w:jc w:val="both"/>
              <w:rPr>
                <w:rFonts w:cs="Arial"/>
              </w:rPr>
            </w:pPr>
            <w:r w:rsidRPr="00E30642">
              <w:rPr>
                <w:rFonts w:cs="Arial"/>
                <w:b/>
                <w:bCs/>
              </w:rPr>
              <w:t>5 715</w:t>
            </w:r>
          </w:p>
        </w:tc>
        <w:tc>
          <w:tcPr>
            <w:tcW w:w="979" w:type="dxa"/>
            <w:tcBorders>
              <w:top w:val="single" w:sz="6" w:space="0" w:color="auto"/>
              <w:left w:val="single" w:sz="6" w:space="0" w:color="auto"/>
              <w:bottom w:val="single" w:sz="6" w:space="0" w:color="auto"/>
              <w:right w:val="single" w:sz="6" w:space="0" w:color="auto"/>
            </w:tcBorders>
          </w:tcPr>
          <w:p w14:paraId="53A19B3D" w14:textId="77777777" w:rsidR="00CA23D0" w:rsidRPr="00E30642" w:rsidRDefault="00CA23D0" w:rsidP="00CA23D0">
            <w:pPr>
              <w:pStyle w:val="Texttabulky"/>
              <w:spacing w:line="240" w:lineRule="atLeast"/>
              <w:jc w:val="both"/>
              <w:rPr>
                <w:rFonts w:cs="Arial"/>
              </w:rPr>
            </w:pPr>
            <w:r w:rsidRPr="00E30642">
              <w:rPr>
                <w:rFonts w:cs="Arial"/>
                <w:b/>
                <w:bCs/>
              </w:rPr>
              <w:t>5 715</w:t>
            </w:r>
          </w:p>
        </w:tc>
      </w:tr>
      <w:tr w:rsidR="00CA23D0" w:rsidRPr="00E30642" w14:paraId="0C2AA16F"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55D0367F" w14:textId="77777777" w:rsidR="00CA23D0" w:rsidRPr="00E30642" w:rsidRDefault="00CA23D0" w:rsidP="00CA23D0">
            <w:pPr>
              <w:pStyle w:val="Texttabulky"/>
              <w:spacing w:line="240" w:lineRule="atLeast"/>
              <w:jc w:val="both"/>
              <w:rPr>
                <w:rFonts w:cs="Arial"/>
              </w:rPr>
            </w:pPr>
            <w:r w:rsidRPr="00E30642">
              <w:rPr>
                <w:rFonts w:cs="Arial"/>
                <w:b/>
                <w:bCs/>
              </w:rPr>
              <w:t>1</w:t>
            </w:r>
          </w:p>
        </w:tc>
        <w:tc>
          <w:tcPr>
            <w:tcW w:w="1963" w:type="dxa"/>
            <w:tcBorders>
              <w:top w:val="single" w:sz="6" w:space="0" w:color="auto"/>
              <w:left w:val="single" w:sz="6" w:space="0" w:color="auto"/>
              <w:bottom w:val="single" w:sz="6" w:space="0" w:color="auto"/>
              <w:right w:val="single" w:sz="6" w:space="0" w:color="auto"/>
            </w:tcBorders>
          </w:tcPr>
          <w:p w14:paraId="2FC788F8" w14:textId="77777777" w:rsidR="00CA23D0" w:rsidRPr="00E30642" w:rsidRDefault="00CA23D0" w:rsidP="00CA23D0">
            <w:pPr>
              <w:pStyle w:val="Texttabulky"/>
              <w:spacing w:line="240" w:lineRule="atLeast"/>
              <w:jc w:val="both"/>
              <w:rPr>
                <w:rFonts w:cs="Arial"/>
              </w:rPr>
            </w:pPr>
            <w:r w:rsidRPr="00E30642">
              <w:rPr>
                <w:rFonts w:cs="Arial"/>
                <w:b/>
                <w:bCs/>
              </w:rPr>
              <w:t>Děčín-střed</w:t>
            </w:r>
          </w:p>
        </w:tc>
        <w:tc>
          <w:tcPr>
            <w:tcW w:w="940" w:type="dxa"/>
            <w:tcBorders>
              <w:top w:val="single" w:sz="6" w:space="0" w:color="auto"/>
              <w:left w:val="single" w:sz="6" w:space="0" w:color="auto"/>
              <w:bottom w:val="single" w:sz="6" w:space="0" w:color="auto"/>
              <w:right w:val="single" w:sz="6" w:space="0" w:color="auto"/>
            </w:tcBorders>
          </w:tcPr>
          <w:p w14:paraId="14DE5BFA" w14:textId="77777777" w:rsidR="00CA23D0" w:rsidRPr="00E30642" w:rsidRDefault="00CA23D0" w:rsidP="00CA23D0">
            <w:pPr>
              <w:pStyle w:val="Texttabulky"/>
              <w:spacing w:line="240" w:lineRule="atLeast"/>
              <w:jc w:val="both"/>
              <w:rPr>
                <w:rFonts w:cs="Arial"/>
              </w:rPr>
            </w:pPr>
            <w:r w:rsidRPr="00E30642">
              <w:rPr>
                <w:rFonts w:cs="Arial"/>
                <w:b/>
                <w:bCs/>
              </w:rPr>
              <w:t>5 443</w:t>
            </w:r>
          </w:p>
        </w:tc>
        <w:tc>
          <w:tcPr>
            <w:tcW w:w="855" w:type="dxa"/>
            <w:tcBorders>
              <w:top w:val="single" w:sz="6" w:space="0" w:color="auto"/>
              <w:left w:val="single" w:sz="6" w:space="0" w:color="auto"/>
              <w:bottom w:val="single" w:sz="6" w:space="0" w:color="auto"/>
              <w:right w:val="single" w:sz="6" w:space="0" w:color="auto"/>
            </w:tcBorders>
          </w:tcPr>
          <w:p w14:paraId="317B3D0B" w14:textId="77777777" w:rsidR="00CA23D0" w:rsidRPr="00E30642" w:rsidRDefault="00CA23D0" w:rsidP="00CA23D0">
            <w:pPr>
              <w:pStyle w:val="Texttabulky"/>
              <w:spacing w:line="240" w:lineRule="atLeast"/>
              <w:jc w:val="both"/>
              <w:rPr>
                <w:rFonts w:cs="Arial"/>
              </w:rPr>
            </w:pPr>
            <w:r w:rsidRPr="00E30642">
              <w:rPr>
                <w:rFonts w:cs="Arial"/>
                <w:b/>
                <w:bCs/>
              </w:rPr>
              <w:t>260</w:t>
            </w:r>
          </w:p>
        </w:tc>
        <w:tc>
          <w:tcPr>
            <w:tcW w:w="840" w:type="dxa"/>
            <w:tcBorders>
              <w:top w:val="single" w:sz="6" w:space="0" w:color="auto"/>
              <w:left w:val="single" w:sz="6" w:space="0" w:color="auto"/>
              <w:bottom w:val="single" w:sz="6" w:space="0" w:color="auto"/>
              <w:right w:val="single" w:sz="6" w:space="0" w:color="auto"/>
            </w:tcBorders>
          </w:tcPr>
          <w:p w14:paraId="5FE1A3D0" w14:textId="77777777" w:rsidR="00CA23D0" w:rsidRPr="00E30642" w:rsidRDefault="00CA23D0" w:rsidP="00CA23D0">
            <w:pPr>
              <w:pStyle w:val="Texttabulky"/>
              <w:spacing w:line="240" w:lineRule="atLeast"/>
              <w:jc w:val="both"/>
              <w:rPr>
                <w:rFonts w:cs="Arial"/>
              </w:rPr>
            </w:pPr>
            <w:r w:rsidRPr="00E30642">
              <w:rPr>
                <w:rFonts w:cs="Arial"/>
                <w:b/>
                <w:bCs/>
              </w:rPr>
              <w:t>135</w:t>
            </w:r>
          </w:p>
        </w:tc>
        <w:tc>
          <w:tcPr>
            <w:tcW w:w="857" w:type="dxa"/>
            <w:tcBorders>
              <w:top w:val="single" w:sz="6" w:space="0" w:color="auto"/>
              <w:left w:val="single" w:sz="6" w:space="0" w:color="auto"/>
              <w:bottom w:val="single" w:sz="6" w:space="0" w:color="auto"/>
              <w:right w:val="single" w:sz="6" w:space="0" w:color="auto"/>
            </w:tcBorders>
          </w:tcPr>
          <w:p w14:paraId="6E565414" w14:textId="77777777" w:rsidR="00CA23D0" w:rsidRPr="00E30642" w:rsidRDefault="00CA23D0" w:rsidP="00CA23D0">
            <w:pPr>
              <w:pStyle w:val="Texttabulky"/>
              <w:spacing w:line="240" w:lineRule="atLeast"/>
              <w:jc w:val="both"/>
              <w:rPr>
                <w:rFonts w:cs="Arial"/>
              </w:rPr>
            </w:pPr>
            <w:r w:rsidRPr="00E30642">
              <w:rPr>
                <w:rFonts w:cs="Arial"/>
                <w:b/>
                <w:bCs/>
              </w:rPr>
              <w:t>120</w:t>
            </w:r>
          </w:p>
        </w:tc>
        <w:tc>
          <w:tcPr>
            <w:tcW w:w="1005" w:type="dxa"/>
            <w:tcBorders>
              <w:top w:val="single" w:sz="6" w:space="0" w:color="auto"/>
              <w:left w:val="single" w:sz="6" w:space="0" w:color="auto"/>
              <w:bottom w:val="single" w:sz="6" w:space="0" w:color="auto"/>
              <w:right w:val="single" w:sz="6" w:space="0" w:color="auto"/>
            </w:tcBorders>
          </w:tcPr>
          <w:p w14:paraId="00E4643A" w14:textId="77777777" w:rsidR="00CA23D0" w:rsidRPr="00E30642" w:rsidRDefault="00CA23D0" w:rsidP="00CA23D0">
            <w:pPr>
              <w:pStyle w:val="Texttabulky"/>
              <w:spacing w:line="240" w:lineRule="atLeast"/>
              <w:jc w:val="both"/>
              <w:rPr>
                <w:rFonts w:cs="Arial"/>
              </w:rPr>
            </w:pPr>
            <w:r w:rsidRPr="00E30642">
              <w:rPr>
                <w:rFonts w:cs="Arial"/>
                <w:b/>
                <w:bCs/>
              </w:rPr>
              <w:t>5 695</w:t>
            </w:r>
          </w:p>
        </w:tc>
        <w:tc>
          <w:tcPr>
            <w:tcW w:w="979" w:type="dxa"/>
            <w:tcBorders>
              <w:top w:val="single" w:sz="6" w:space="0" w:color="auto"/>
              <w:left w:val="single" w:sz="6" w:space="0" w:color="auto"/>
              <w:bottom w:val="single" w:sz="6" w:space="0" w:color="auto"/>
              <w:right w:val="single" w:sz="6" w:space="0" w:color="auto"/>
            </w:tcBorders>
          </w:tcPr>
          <w:p w14:paraId="54E5BA58" w14:textId="77777777" w:rsidR="00CA23D0" w:rsidRPr="00E30642" w:rsidRDefault="00CA23D0" w:rsidP="00CA23D0">
            <w:pPr>
              <w:pStyle w:val="Texttabulky"/>
              <w:spacing w:line="240" w:lineRule="atLeast"/>
              <w:jc w:val="both"/>
              <w:rPr>
                <w:rFonts w:cs="Arial"/>
              </w:rPr>
            </w:pPr>
            <w:r w:rsidRPr="00E30642">
              <w:rPr>
                <w:rFonts w:cs="Arial"/>
                <w:b/>
                <w:bCs/>
              </w:rPr>
              <w:t>5 815</w:t>
            </w:r>
          </w:p>
        </w:tc>
      </w:tr>
      <w:tr w:rsidR="00CA23D0" w:rsidRPr="00E30642" w14:paraId="207E8F7A"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5A7FC7A2" w14:textId="77777777" w:rsidR="00CA23D0" w:rsidRPr="00E30642" w:rsidRDefault="00CA23D0" w:rsidP="00CA23D0">
            <w:pPr>
              <w:pStyle w:val="Texttabulky"/>
              <w:spacing w:line="240" w:lineRule="atLeast"/>
              <w:jc w:val="both"/>
              <w:rPr>
                <w:rFonts w:cs="Arial"/>
              </w:rPr>
            </w:pPr>
            <w:r w:rsidRPr="00E30642">
              <w:rPr>
                <w:rFonts w:cs="Arial"/>
                <w:b/>
                <w:bCs/>
              </w:rPr>
              <w:t>52</w:t>
            </w:r>
          </w:p>
        </w:tc>
        <w:tc>
          <w:tcPr>
            <w:tcW w:w="1963" w:type="dxa"/>
            <w:tcBorders>
              <w:top w:val="single" w:sz="6" w:space="0" w:color="auto"/>
              <w:left w:val="single" w:sz="6" w:space="0" w:color="auto"/>
              <w:bottom w:val="single" w:sz="6" w:space="0" w:color="auto"/>
              <w:right w:val="single" w:sz="6" w:space="0" w:color="auto"/>
            </w:tcBorders>
          </w:tcPr>
          <w:p w14:paraId="731A8769" w14:textId="77777777" w:rsidR="00CA23D0" w:rsidRPr="00E30642" w:rsidRDefault="00CA23D0" w:rsidP="00CA23D0">
            <w:pPr>
              <w:pStyle w:val="Texttabulky"/>
              <w:spacing w:line="240" w:lineRule="atLeast"/>
              <w:jc w:val="both"/>
              <w:rPr>
                <w:rFonts w:cs="Arial"/>
              </w:rPr>
            </w:pPr>
            <w:r w:rsidRPr="00E30642">
              <w:rPr>
                <w:rFonts w:cs="Arial"/>
                <w:b/>
                <w:bCs/>
              </w:rPr>
              <w:t>Boletice nad Labem</w:t>
            </w:r>
          </w:p>
        </w:tc>
        <w:tc>
          <w:tcPr>
            <w:tcW w:w="940" w:type="dxa"/>
            <w:tcBorders>
              <w:top w:val="single" w:sz="6" w:space="0" w:color="auto"/>
              <w:left w:val="single" w:sz="6" w:space="0" w:color="auto"/>
              <w:bottom w:val="single" w:sz="6" w:space="0" w:color="auto"/>
              <w:right w:val="single" w:sz="6" w:space="0" w:color="auto"/>
            </w:tcBorders>
          </w:tcPr>
          <w:p w14:paraId="5BC9C71F" w14:textId="77777777" w:rsidR="00CA23D0" w:rsidRPr="00E30642" w:rsidRDefault="00CA23D0" w:rsidP="00CA23D0">
            <w:pPr>
              <w:pStyle w:val="Texttabulky"/>
              <w:spacing w:line="240" w:lineRule="atLeast"/>
              <w:jc w:val="both"/>
              <w:rPr>
                <w:rFonts w:cs="Arial"/>
              </w:rPr>
            </w:pPr>
            <w:r w:rsidRPr="00E30642">
              <w:rPr>
                <w:rFonts w:cs="Arial"/>
                <w:b/>
                <w:bCs/>
              </w:rPr>
              <w:t>5 238</w:t>
            </w:r>
          </w:p>
        </w:tc>
        <w:tc>
          <w:tcPr>
            <w:tcW w:w="855" w:type="dxa"/>
            <w:tcBorders>
              <w:top w:val="single" w:sz="6" w:space="0" w:color="auto"/>
              <w:left w:val="single" w:sz="6" w:space="0" w:color="auto"/>
              <w:bottom w:val="single" w:sz="6" w:space="0" w:color="auto"/>
              <w:right w:val="single" w:sz="6" w:space="0" w:color="auto"/>
            </w:tcBorders>
          </w:tcPr>
          <w:p w14:paraId="66E8D364" w14:textId="77777777" w:rsidR="00CA23D0" w:rsidRPr="00E30642" w:rsidRDefault="00CA23D0" w:rsidP="00CA23D0">
            <w:pPr>
              <w:pStyle w:val="Texttabulky"/>
              <w:spacing w:line="240" w:lineRule="atLeast"/>
              <w:jc w:val="both"/>
              <w:rPr>
                <w:rFonts w:cs="Arial"/>
              </w:rPr>
            </w:pPr>
            <w:r w:rsidRPr="00E30642">
              <w:rPr>
                <w:rFonts w:cs="Arial"/>
                <w:b/>
                <w:bCs/>
              </w:rPr>
              <w:t>330</w:t>
            </w:r>
          </w:p>
        </w:tc>
        <w:tc>
          <w:tcPr>
            <w:tcW w:w="840" w:type="dxa"/>
            <w:tcBorders>
              <w:top w:val="single" w:sz="6" w:space="0" w:color="auto"/>
              <w:left w:val="single" w:sz="6" w:space="0" w:color="auto"/>
              <w:bottom w:val="single" w:sz="6" w:space="0" w:color="auto"/>
              <w:right w:val="single" w:sz="6" w:space="0" w:color="auto"/>
            </w:tcBorders>
          </w:tcPr>
          <w:p w14:paraId="0D028916" w14:textId="77777777" w:rsidR="00CA23D0" w:rsidRPr="00E30642" w:rsidRDefault="00CA23D0" w:rsidP="00CA23D0">
            <w:pPr>
              <w:pStyle w:val="Texttabulky"/>
              <w:spacing w:line="240" w:lineRule="atLeast"/>
              <w:jc w:val="both"/>
              <w:rPr>
                <w:rFonts w:cs="Arial"/>
              </w:rPr>
            </w:pPr>
            <w:r w:rsidRPr="00E30642">
              <w:rPr>
                <w:rFonts w:cs="Arial"/>
                <w:b/>
                <w:bCs/>
              </w:rPr>
              <w:t>70</w:t>
            </w:r>
          </w:p>
        </w:tc>
        <w:tc>
          <w:tcPr>
            <w:tcW w:w="857" w:type="dxa"/>
            <w:tcBorders>
              <w:top w:val="single" w:sz="6" w:space="0" w:color="auto"/>
              <w:left w:val="single" w:sz="6" w:space="0" w:color="auto"/>
              <w:bottom w:val="single" w:sz="6" w:space="0" w:color="auto"/>
              <w:right w:val="single" w:sz="6" w:space="0" w:color="auto"/>
            </w:tcBorders>
          </w:tcPr>
          <w:p w14:paraId="3551B7BB" w14:textId="77777777" w:rsidR="00CA23D0" w:rsidRPr="00E30642" w:rsidRDefault="00CA23D0" w:rsidP="00CA23D0">
            <w:pPr>
              <w:pStyle w:val="Texttabulky"/>
              <w:spacing w:line="240" w:lineRule="atLeast"/>
              <w:jc w:val="both"/>
              <w:rPr>
                <w:rFonts w:cs="Arial"/>
              </w:rPr>
            </w:pPr>
            <w:r w:rsidRPr="00E30642">
              <w:rPr>
                <w:rFonts w:cs="Arial"/>
                <w:b/>
                <w:bCs/>
              </w:rPr>
              <w:t>165</w:t>
            </w:r>
          </w:p>
        </w:tc>
        <w:tc>
          <w:tcPr>
            <w:tcW w:w="1005" w:type="dxa"/>
            <w:tcBorders>
              <w:top w:val="single" w:sz="6" w:space="0" w:color="auto"/>
              <w:left w:val="single" w:sz="6" w:space="0" w:color="auto"/>
              <w:bottom w:val="single" w:sz="6" w:space="0" w:color="auto"/>
              <w:right w:val="single" w:sz="6" w:space="0" w:color="auto"/>
            </w:tcBorders>
          </w:tcPr>
          <w:p w14:paraId="1B025741" w14:textId="77777777" w:rsidR="00CA23D0" w:rsidRPr="00E30642" w:rsidRDefault="00CA23D0" w:rsidP="00CA23D0">
            <w:pPr>
              <w:pStyle w:val="Texttabulky"/>
              <w:spacing w:line="240" w:lineRule="atLeast"/>
              <w:jc w:val="both"/>
              <w:rPr>
                <w:rFonts w:cs="Arial"/>
              </w:rPr>
            </w:pPr>
            <w:r w:rsidRPr="00E30642">
              <w:rPr>
                <w:rFonts w:cs="Arial"/>
                <w:b/>
                <w:bCs/>
              </w:rPr>
              <w:t>5 400</w:t>
            </w:r>
          </w:p>
        </w:tc>
        <w:tc>
          <w:tcPr>
            <w:tcW w:w="979" w:type="dxa"/>
            <w:tcBorders>
              <w:top w:val="single" w:sz="6" w:space="0" w:color="auto"/>
              <w:left w:val="single" w:sz="6" w:space="0" w:color="auto"/>
              <w:bottom w:val="single" w:sz="6" w:space="0" w:color="auto"/>
              <w:right w:val="single" w:sz="6" w:space="0" w:color="auto"/>
            </w:tcBorders>
          </w:tcPr>
          <w:p w14:paraId="43DA15AE" w14:textId="77777777" w:rsidR="00CA23D0" w:rsidRPr="00E30642" w:rsidRDefault="00CA23D0" w:rsidP="00CA23D0">
            <w:pPr>
              <w:pStyle w:val="Texttabulky"/>
              <w:spacing w:line="240" w:lineRule="atLeast"/>
              <w:jc w:val="both"/>
              <w:rPr>
                <w:rFonts w:cs="Arial"/>
              </w:rPr>
            </w:pPr>
            <w:r w:rsidRPr="00E30642">
              <w:rPr>
                <w:rFonts w:cs="Arial"/>
                <w:b/>
                <w:bCs/>
              </w:rPr>
              <w:t>5 565</w:t>
            </w:r>
          </w:p>
        </w:tc>
      </w:tr>
      <w:tr w:rsidR="00CA23D0" w:rsidRPr="00E30642" w14:paraId="62E375ED"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3252F7F0" w14:textId="77777777" w:rsidR="00CA23D0" w:rsidRPr="00E30642" w:rsidRDefault="00CA23D0" w:rsidP="00CA23D0">
            <w:pPr>
              <w:pStyle w:val="Texttabulky"/>
              <w:spacing w:line="240" w:lineRule="atLeast"/>
              <w:jc w:val="both"/>
              <w:rPr>
                <w:rFonts w:cs="Arial"/>
              </w:rPr>
            </w:pPr>
            <w:r w:rsidRPr="00E30642">
              <w:rPr>
                <w:rFonts w:cs="Arial"/>
                <w:b/>
                <w:bCs/>
              </w:rPr>
              <w:t>23</w:t>
            </w:r>
          </w:p>
        </w:tc>
        <w:tc>
          <w:tcPr>
            <w:tcW w:w="1963" w:type="dxa"/>
            <w:tcBorders>
              <w:top w:val="single" w:sz="6" w:space="0" w:color="auto"/>
              <w:left w:val="single" w:sz="6" w:space="0" w:color="auto"/>
              <w:bottom w:val="single" w:sz="6" w:space="0" w:color="auto"/>
              <w:right w:val="single" w:sz="6" w:space="0" w:color="auto"/>
            </w:tcBorders>
          </w:tcPr>
          <w:p w14:paraId="33FE8A01" w14:textId="77777777" w:rsidR="00CA23D0" w:rsidRPr="00E30642" w:rsidRDefault="00CA23D0" w:rsidP="00CA23D0">
            <w:pPr>
              <w:pStyle w:val="Texttabulky"/>
              <w:spacing w:line="240" w:lineRule="atLeast"/>
              <w:jc w:val="both"/>
              <w:rPr>
                <w:rFonts w:cs="Arial"/>
              </w:rPr>
            </w:pPr>
            <w:r w:rsidRPr="00E30642">
              <w:rPr>
                <w:rFonts w:cs="Arial"/>
                <w:b/>
                <w:bCs/>
              </w:rPr>
              <w:t>Podmokly</w:t>
            </w:r>
          </w:p>
        </w:tc>
        <w:tc>
          <w:tcPr>
            <w:tcW w:w="940" w:type="dxa"/>
            <w:tcBorders>
              <w:top w:val="single" w:sz="6" w:space="0" w:color="auto"/>
              <w:left w:val="single" w:sz="6" w:space="0" w:color="auto"/>
              <w:bottom w:val="single" w:sz="6" w:space="0" w:color="auto"/>
              <w:right w:val="single" w:sz="6" w:space="0" w:color="auto"/>
            </w:tcBorders>
          </w:tcPr>
          <w:p w14:paraId="47011DB5" w14:textId="77777777" w:rsidR="00CA23D0" w:rsidRPr="00E30642" w:rsidRDefault="00CA23D0" w:rsidP="00CA23D0">
            <w:pPr>
              <w:pStyle w:val="Texttabulky"/>
              <w:spacing w:line="240" w:lineRule="atLeast"/>
              <w:jc w:val="both"/>
              <w:rPr>
                <w:rFonts w:cs="Arial"/>
              </w:rPr>
            </w:pPr>
            <w:r w:rsidRPr="00E30642">
              <w:rPr>
                <w:rFonts w:cs="Arial"/>
                <w:b/>
                <w:bCs/>
              </w:rPr>
              <w:t>4 957</w:t>
            </w:r>
          </w:p>
        </w:tc>
        <w:tc>
          <w:tcPr>
            <w:tcW w:w="855" w:type="dxa"/>
            <w:tcBorders>
              <w:top w:val="single" w:sz="6" w:space="0" w:color="auto"/>
              <w:left w:val="single" w:sz="6" w:space="0" w:color="auto"/>
              <w:bottom w:val="single" w:sz="6" w:space="0" w:color="auto"/>
              <w:right w:val="single" w:sz="6" w:space="0" w:color="auto"/>
            </w:tcBorders>
          </w:tcPr>
          <w:p w14:paraId="10DD7E53" w14:textId="77777777" w:rsidR="00CA23D0" w:rsidRPr="00E30642" w:rsidRDefault="00CA23D0" w:rsidP="00CA23D0">
            <w:pPr>
              <w:pStyle w:val="Texttabulky"/>
              <w:spacing w:line="240" w:lineRule="atLeast"/>
              <w:jc w:val="both"/>
              <w:rPr>
                <w:rFonts w:cs="Arial"/>
              </w:rPr>
            </w:pPr>
            <w:r w:rsidRPr="00E30642">
              <w:rPr>
                <w:rFonts w:cs="Arial"/>
                <w:b/>
                <w:bCs/>
              </w:rPr>
              <w:t>115</w:t>
            </w:r>
          </w:p>
        </w:tc>
        <w:tc>
          <w:tcPr>
            <w:tcW w:w="840" w:type="dxa"/>
            <w:tcBorders>
              <w:top w:val="single" w:sz="6" w:space="0" w:color="auto"/>
              <w:left w:val="single" w:sz="6" w:space="0" w:color="auto"/>
              <w:bottom w:val="single" w:sz="6" w:space="0" w:color="auto"/>
              <w:right w:val="single" w:sz="6" w:space="0" w:color="auto"/>
            </w:tcBorders>
          </w:tcPr>
          <w:p w14:paraId="1C43FA44" w14:textId="77777777" w:rsidR="00CA23D0" w:rsidRPr="00E30642" w:rsidRDefault="00CA23D0" w:rsidP="00CA23D0">
            <w:pPr>
              <w:pStyle w:val="Texttabulky"/>
              <w:spacing w:line="240" w:lineRule="atLeast"/>
              <w:jc w:val="both"/>
              <w:rPr>
                <w:rFonts w:cs="Arial"/>
              </w:rPr>
            </w:pPr>
            <w:r w:rsidRPr="00E30642">
              <w:rPr>
                <w:rFonts w:cs="Arial"/>
                <w:b/>
                <w:bCs/>
              </w:rPr>
              <w:t>200</w:t>
            </w:r>
          </w:p>
        </w:tc>
        <w:tc>
          <w:tcPr>
            <w:tcW w:w="857" w:type="dxa"/>
            <w:tcBorders>
              <w:top w:val="single" w:sz="6" w:space="0" w:color="auto"/>
              <w:left w:val="single" w:sz="6" w:space="0" w:color="auto"/>
              <w:bottom w:val="single" w:sz="6" w:space="0" w:color="auto"/>
              <w:right w:val="single" w:sz="6" w:space="0" w:color="auto"/>
            </w:tcBorders>
          </w:tcPr>
          <w:p w14:paraId="76E4BA72" w14:textId="77777777" w:rsidR="00CA23D0" w:rsidRPr="00E30642" w:rsidRDefault="00CA23D0" w:rsidP="00CA23D0">
            <w:pPr>
              <w:pStyle w:val="Texttabulky"/>
              <w:spacing w:line="240" w:lineRule="atLeast"/>
              <w:jc w:val="both"/>
              <w:rPr>
                <w:rFonts w:cs="Arial"/>
              </w:rPr>
            </w:pPr>
            <w:r w:rsidRPr="00E30642">
              <w:rPr>
                <w:rFonts w:cs="Arial"/>
                <w:b/>
                <w:bCs/>
              </w:rPr>
              <w:t>285</w:t>
            </w:r>
          </w:p>
        </w:tc>
        <w:tc>
          <w:tcPr>
            <w:tcW w:w="1005" w:type="dxa"/>
            <w:tcBorders>
              <w:top w:val="single" w:sz="6" w:space="0" w:color="auto"/>
              <w:left w:val="single" w:sz="6" w:space="0" w:color="auto"/>
              <w:bottom w:val="single" w:sz="6" w:space="0" w:color="auto"/>
              <w:right w:val="single" w:sz="6" w:space="0" w:color="auto"/>
            </w:tcBorders>
          </w:tcPr>
          <w:p w14:paraId="3FD1AD03" w14:textId="77777777" w:rsidR="00CA23D0" w:rsidRPr="00E30642" w:rsidRDefault="00CA23D0" w:rsidP="00CA23D0">
            <w:pPr>
              <w:pStyle w:val="Texttabulky"/>
              <w:spacing w:line="240" w:lineRule="atLeast"/>
              <w:jc w:val="both"/>
              <w:rPr>
                <w:rFonts w:cs="Arial"/>
              </w:rPr>
            </w:pPr>
            <w:r w:rsidRPr="00E30642">
              <w:rPr>
                <w:rFonts w:cs="Arial"/>
                <w:b/>
                <w:bCs/>
              </w:rPr>
              <w:t>5 015</w:t>
            </w:r>
          </w:p>
        </w:tc>
        <w:tc>
          <w:tcPr>
            <w:tcW w:w="979" w:type="dxa"/>
            <w:tcBorders>
              <w:top w:val="single" w:sz="6" w:space="0" w:color="auto"/>
              <w:left w:val="single" w:sz="6" w:space="0" w:color="auto"/>
              <w:bottom w:val="single" w:sz="6" w:space="0" w:color="auto"/>
              <w:right w:val="single" w:sz="6" w:space="0" w:color="auto"/>
            </w:tcBorders>
          </w:tcPr>
          <w:p w14:paraId="69E720D5" w14:textId="77777777" w:rsidR="00CA23D0" w:rsidRPr="00E30642" w:rsidRDefault="00CA23D0" w:rsidP="00CA23D0">
            <w:pPr>
              <w:pStyle w:val="Texttabulky"/>
              <w:spacing w:line="240" w:lineRule="atLeast"/>
              <w:jc w:val="both"/>
              <w:rPr>
                <w:rFonts w:cs="Arial"/>
              </w:rPr>
            </w:pPr>
            <w:r w:rsidRPr="00E30642">
              <w:rPr>
                <w:rFonts w:cs="Arial"/>
                <w:b/>
                <w:bCs/>
              </w:rPr>
              <w:t>5 300</w:t>
            </w:r>
          </w:p>
        </w:tc>
      </w:tr>
      <w:tr w:rsidR="00CA23D0" w:rsidRPr="00E30642" w14:paraId="731F1F09"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4B2FEA2D" w14:textId="77777777" w:rsidR="00CA23D0" w:rsidRPr="00E30642" w:rsidRDefault="00CA23D0" w:rsidP="00CA23D0">
            <w:pPr>
              <w:pStyle w:val="Texttabulky"/>
              <w:spacing w:line="240" w:lineRule="atLeast"/>
              <w:jc w:val="both"/>
              <w:rPr>
                <w:rFonts w:cs="Arial"/>
              </w:rPr>
            </w:pPr>
            <w:r w:rsidRPr="00E30642">
              <w:rPr>
                <w:rFonts w:cs="Arial"/>
                <w:b/>
                <w:bCs/>
              </w:rPr>
              <w:t>32</w:t>
            </w:r>
          </w:p>
        </w:tc>
        <w:tc>
          <w:tcPr>
            <w:tcW w:w="1963" w:type="dxa"/>
            <w:tcBorders>
              <w:top w:val="single" w:sz="6" w:space="0" w:color="auto"/>
              <w:left w:val="single" w:sz="6" w:space="0" w:color="auto"/>
              <w:bottom w:val="single" w:sz="6" w:space="0" w:color="auto"/>
              <w:right w:val="single" w:sz="6" w:space="0" w:color="auto"/>
            </w:tcBorders>
          </w:tcPr>
          <w:p w14:paraId="08379B77" w14:textId="77777777" w:rsidR="00CA23D0" w:rsidRPr="00E30642" w:rsidRDefault="00CA23D0" w:rsidP="00CA23D0">
            <w:pPr>
              <w:pStyle w:val="Texttabulky"/>
              <w:spacing w:line="240" w:lineRule="atLeast"/>
              <w:jc w:val="both"/>
              <w:rPr>
                <w:rFonts w:cs="Arial"/>
              </w:rPr>
            </w:pPr>
            <w:r w:rsidRPr="00E30642">
              <w:rPr>
                <w:rFonts w:cs="Arial"/>
                <w:b/>
                <w:bCs/>
              </w:rPr>
              <w:t>Bynov</w:t>
            </w:r>
          </w:p>
        </w:tc>
        <w:tc>
          <w:tcPr>
            <w:tcW w:w="940" w:type="dxa"/>
            <w:tcBorders>
              <w:top w:val="single" w:sz="6" w:space="0" w:color="auto"/>
              <w:left w:val="single" w:sz="6" w:space="0" w:color="auto"/>
              <w:bottom w:val="single" w:sz="6" w:space="0" w:color="auto"/>
              <w:right w:val="single" w:sz="6" w:space="0" w:color="auto"/>
            </w:tcBorders>
          </w:tcPr>
          <w:p w14:paraId="5853D2E9" w14:textId="77777777" w:rsidR="00CA23D0" w:rsidRPr="00E30642" w:rsidRDefault="00CA23D0" w:rsidP="00CA23D0">
            <w:pPr>
              <w:pStyle w:val="Texttabulky"/>
              <w:spacing w:line="240" w:lineRule="atLeast"/>
              <w:jc w:val="both"/>
              <w:rPr>
                <w:rFonts w:cs="Arial"/>
              </w:rPr>
            </w:pPr>
            <w:r w:rsidRPr="00E30642">
              <w:rPr>
                <w:rFonts w:cs="Arial"/>
                <w:b/>
                <w:bCs/>
              </w:rPr>
              <w:t>4 897</w:t>
            </w:r>
          </w:p>
        </w:tc>
        <w:tc>
          <w:tcPr>
            <w:tcW w:w="855" w:type="dxa"/>
            <w:tcBorders>
              <w:top w:val="single" w:sz="6" w:space="0" w:color="auto"/>
              <w:left w:val="single" w:sz="6" w:space="0" w:color="auto"/>
              <w:bottom w:val="single" w:sz="6" w:space="0" w:color="auto"/>
              <w:right w:val="single" w:sz="6" w:space="0" w:color="auto"/>
            </w:tcBorders>
          </w:tcPr>
          <w:p w14:paraId="22CF14B4"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7D5A11FB"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0370CD2A"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197B64DB" w14:textId="77777777" w:rsidR="00CA23D0" w:rsidRPr="00E30642" w:rsidRDefault="00CA23D0" w:rsidP="00CA23D0">
            <w:pPr>
              <w:pStyle w:val="Texttabulky"/>
              <w:spacing w:line="240" w:lineRule="atLeast"/>
              <w:jc w:val="both"/>
              <w:rPr>
                <w:rFonts w:cs="Arial"/>
              </w:rPr>
            </w:pPr>
            <w:r w:rsidRPr="00E30642">
              <w:rPr>
                <w:rFonts w:cs="Arial"/>
                <w:b/>
                <w:bCs/>
              </w:rPr>
              <w:t>4 700</w:t>
            </w:r>
          </w:p>
        </w:tc>
        <w:tc>
          <w:tcPr>
            <w:tcW w:w="979" w:type="dxa"/>
            <w:tcBorders>
              <w:top w:val="single" w:sz="6" w:space="0" w:color="auto"/>
              <w:left w:val="single" w:sz="6" w:space="0" w:color="auto"/>
              <w:bottom w:val="single" w:sz="6" w:space="0" w:color="auto"/>
              <w:right w:val="single" w:sz="6" w:space="0" w:color="auto"/>
            </w:tcBorders>
          </w:tcPr>
          <w:p w14:paraId="2DD8D98F" w14:textId="77777777" w:rsidR="00CA23D0" w:rsidRPr="00E30642" w:rsidRDefault="00CA23D0" w:rsidP="00CA23D0">
            <w:pPr>
              <w:pStyle w:val="Texttabulky"/>
              <w:spacing w:line="240" w:lineRule="atLeast"/>
              <w:jc w:val="both"/>
              <w:rPr>
                <w:rFonts w:cs="Arial"/>
              </w:rPr>
            </w:pPr>
            <w:r w:rsidRPr="00E30642">
              <w:rPr>
                <w:rFonts w:cs="Arial"/>
                <w:b/>
                <w:bCs/>
              </w:rPr>
              <w:t>4 700</w:t>
            </w:r>
          </w:p>
        </w:tc>
      </w:tr>
      <w:tr w:rsidR="00CA23D0" w:rsidRPr="00E30642" w14:paraId="65F820F0"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BF67F2E" w14:textId="77777777" w:rsidR="00CA23D0" w:rsidRPr="00E30642" w:rsidRDefault="00CA23D0" w:rsidP="00CA23D0">
            <w:pPr>
              <w:pStyle w:val="Texttabulky"/>
              <w:spacing w:line="240" w:lineRule="atLeast"/>
              <w:jc w:val="both"/>
              <w:rPr>
                <w:rFonts w:cs="Arial"/>
              </w:rPr>
            </w:pPr>
            <w:r w:rsidRPr="00E30642">
              <w:rPr>
                <w:rFonts w:cs="Arial"/>
                <w:b/>
                <w:bCs/>
              </w:rPr>
              <w:t>12</w:t>
            </w:r>
          </w:p>
        </w:tc>
        <w:tc>
          <w:tcPr>
            <w:tcW w:w="1963" w:type="dxa"/>
            <w:tcBorders>
              <w:top w:val="single" w:sz="6" w:space="0" w:color="auto"/>
              <w:left w:val="single" w:sz="6" w:space="0" w:color="auto"/>
              <w:bottom w:val="single" w:sz="6" w:space="0" w:color="auto"/>
              <w:right w:val="single" w:sz="6" w:space="0" w:color="auto"/>
            </w:tcBorders>
          </w:tcPr>
          <w:p w14:paraId="0A79B233" w14:textId="77777777" w:rsidR="00CA23D0" w:rsidRPr="00E30642" w:rsidRDefault="00CA23D0" w:rsidP="00CA23D0">
            <w:pPr>
              <w:pStyle w:val="Texttabulky"/>
              <w:spacing w:line="240" w:lineRule="atLeast"/>
              <w:jc w:val="both"/>
              <w:rPr>
                <w:rFonts w:cs="Arial"/>
              </w:rPr>
            </w:pPr>
            <w:r w:rsidRPr="00E30642">
              <w:rPr>
                <w:rFonts w:cs="Arial"/>
                <w:b/>
                <w:bCs/>
              </w:rPr>
              <w:t>Staré Město</w:t>
            </w:r>
          </w:p>
        </w:tc>
        <w:tc>
          <w:tcPr>
            <w:tcW w:w="940" w:type="dxa"/>
            <w:tcBorders>
              <w:top w:val="single" w:sz="6" w:space="0" w:color="auto"/>
              <w:left w:val="single" w:sz="6" w:space="0" w:color="auto"/>
              <w:bottom w:val="single" w:sz="6" w:space="0" w:color="auto"/>
              <w:right w:val="single" w:sz="6" w:space="0" w:color="auto"/>
            </w:tcBorders>
          </w:tcPr>
          <w:p w14:paraId="79B601A0" w14:textId="77777777" w:rsidR="00CA23D0" w:rsidRPr="00E30642" w:rsidRDefault="00CA23D0" w:rsidP="00CA23D0">
            <w:pPr>
              <w:pStyle w:val="Texttabulky"/>
              <w:spacing w:line="240" w:lineRule="atLeast"/>
              <w:jc w:val="both"/>
              <w:rPr>
                <w:rFonts w:cs="Arial"/>
              </w:rPr>
            </w:pPr>
            <w:r w:rsidRPr="00E30642">
              <w:rPr>
                <w:rFonts w:cs="Arial"/>
                <w:b/>
                <w:bCs/>
              </w:rPr>
              <w:t>4 628</w:t>
            </w:r>
          </w:p>
        </w:tc>
        <w:tc>
          <w:tcPr>
            <w:tcW w:w="855" w:type="dxa"/>
            <w:tcBorders>
              <w:top w:val="single" w:sz="6" w:space="0" w:color="auto"/>
              <w:left w:val="single" w:sz="6" w:space="0" w:color="auto"/>
              <w:bottom w:val="single" w:sz="6" w:space="0" w:color="auto"/>
              <w:right w:val="single" w:sz="6" w:space="0" w:color="auto"/>
            </w:tcBorders>
          </w:tcPr>
          <w:p w14:paraId="566952AE"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2195CB48" w14:textId="77777777" w:rsidR="00CA23D0" w:rsidRPr="00E30642" w:rsidRDefault="00CA23D0" w:rsidP="00CA23D0">
            <w:pPr>
              <w:pStyle w:val="Texttabulky"/>
              <w:spacing w:line="240" w:lineRule="atLeast"/>
              <w:jc w:val="both"/>
              <w:rPr>
                <w:rFonts w:cs="Arial"/>
              </w:rPr>
            </w:pPr>
            <w:r w:rsidRPr="00E30642">
              <w:rPr>
                <w:rFonts w:cs="Arial"/>
                <w:b/>
                <w:bCs/>
              </w:rPr>
              <w:t>360</w:t>
            </w:r>
          </w:p>
        </w:tc>
        <w:tc>
          <w:tcPr>
            <w:tcW w:w="857" w:type="dxa"/>
            <w:tcBorders>
              <w:top w:val="single" w:sz="6" w:space="0" w:color="auto"/>
              <w:left w:val="single" w:sz="6" w:space="0" w:color="auto"/>
              <w:bottom w:val="single" w:sz="6" w:space="0" w:color="auto"/>
              <w:right w:val="single" w:sz="6" w:space="0" w:color="auto"/>
            </w:tcBorders>
          </w:tcPr>
          <w:p w14:paraId="0AA45C7B" w14:textId="77777777" w:rsidR="00CA23D0" w:rsidRPr="00E30642" w:rsidRDefault="00CA23D0" w:rsidP="00CA23D0">
            <w:pPr>
              <w:pStyle w:val="Texttabulky"/>
              <w:spacing w:line="240" w:lineRule="atLeast"/>
              <w:jc w:val="both"/>
              <w:rPr>
                <w:rFonts w:cs="Arial"/>
              </w:rPr>
            </w:pPr>
            <w:r w:rsidRPr="00E30642">
              <w:rPr>
                <w:rFonts w:cs="Arial"/>
                <w:b/>
                <w:bCs/>
              </w:rPr>
              <w:t>355</w:t>
            </w:r>
          </w:p>
        </w:tc>
        <w:tc>
          <w:tcPr>
            <w:tcW w:w="1005" w:type="dxa"/>
            <w:tcBorders>
              <w:top w:val="single" w:sz="6" w:space="0" w:color="auto"/>
              <w:left w:val="single" w:sz="6" w:space="0" w:color="auto"/>
              <w:bottom w:val="single" w:sz="6" w:space="0" w:color="auto"/>
              <w:right w:val="single" w:sz="6" w:space="0" w:color="auto"/>
            </w:tcBorders>
          </w:tcPr>
          <w:p w14:paraId="5E7C8D8F" w14:textId="77777777" w:rsidR="00CA23D0" w:rsidRPr="00E30642" w:rsidRDefault="00CA23D0" w:rsidP="00CA23D0">
            <w:pPr>
              <w:pStyle w:val="Texttabulky"/>
              <w:spacing w:line="240" w:lineRule="atLeast"/>
              <w:jc w:val="both"/>
              <w:rPr>
                <w:rFonts w:cs="Arial"/>
              </w:rPr>
            </w:pPr>
            <w:r w:rsidRPr="00E30642">
              <w:rPr>
                <w:rFonts w:cs="Arial"/>
                <w:b/>
                <w:bCs/>
              </w:rPr>
              <w:t>4 760</w:t>
            </w:r>
          </w:p>
        </w:tc>
        <w:tc>
          <w:tcPr>
            <w:tcW w:w="979" w:type="dxa"/>
            <w:tcBorders>
              <w:top w:val="single" w:sz="6" w:space="0" w:color="auto"/>
              <w:left w:val="single" w:sz="6" w:space="0" w:color="auto"/>
              <w:bottom w:val="single" w:sz="6" w:space="0" w:color="auto"/>
              <w:right w:val="single" w:sz="6" w:space="0" w:color="auto"/>
            </w:tcBorders>
          </w:tcPr>
          <w:p w14:paraId="6B4F8D99" w14:textId="77777777" w:rsidR="00CA23D0" w:rsidRPr="00E30642" w:rsidRDefault="00CA23D0" w:rsidP="00CA23D0">
            <w:pPr>
              <w:pStyle w:val="Texttabulky"/>
              <w:spacing w:line="240" w:lineRule="atLeast"/>
              <w:jc w:val="both"/>
              <w:rPr>
                <w:rFonts w:cs="Arial"/>
              </w:rPr>
            </w:pPr>
            <w:r w:rsidRPr="00E30642">
              <w:rPr>
                <w:rFonts w:cs="Arial"/>
                <w:b/>
                <w:bCs/>
              </w:rPr>
              <w:t>5 115</w:t>
            </w:r>
          </w:p>
        </w:tc>
      </w:tr>
      <w:tr w:rsidR="00CA23D0" w:rsidRPr="00E30642" w14:paraId="719C63C9"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7B1488DA" w14:textId="77777777" w:rsidR="00CA23D0" w:rsidRPr="00E30642" w:rsidRDefault="00CA23D0" w:rsidP="00CA23D0">
            <w:pPr>
              <w:pStyle w:val="Texttabulky"/>
              <w:spacing w:line="240" w:lineRule="atLeast"/>
              <w:jc w:val="both"/>
              <w:rPr>
                <w:rFonts w:cs="Arial"/>
              </w:rPr>
            </w:pPr>
            <w:r w:rsidRPr="00E30642">
              <w:rPr>
                <w:rFonts w:cs="Arial"/>
                <w:b/>
                <w:bCs/>
              </w:rPr>
              <w:t>22</w:t>
            </w:r>
          </w:p>
        </w:tc>
        <w:tc>
          <w:tcPr>
            <w:tcW w:w="1963" w:type="dxa"/>
            <w:tcBorders>
              <w:top w:val="single" w:sz="6" w:space="0" w:color="auto"/>
              <w:left w:val="single" w:sz="6" w:space="0" w:color="auto"/>
              <w:bottom w:val="single" w:sz="6" w:space="0" w:color="auto"/>
              <w:right w:val="single" w:sz="6" w:space="0" w:color="auto"/>
            </w:tcBorders>
          </w:tcPr>
          <w:p w14:paraId="5DD30216" w14:textId="77777777" w:rsidR="00CA23D0" w:rsidRPr="00E30642" w:rsidRDefault="00CA23D0" w:rsidP="00CA23D0">
            <w:pPr>
              <w:pStyle w:val="Texttabulky"/>
              <w:spacing w:line="240" w:lineRule="atLeast"/>
              <w:jc w:val="both"/>
              <w:rPr>
                <w:rFonts w:cs="Arial"/>
              </w:rPr>
            </w:pPr>
            <w:r w:rsidRPr="00E30642">
              <w:rPr>
                <w:rFonts w:cs="Arial"/>
                <w:b/>
                <w:bCs/>
              </w:rPr>
              <w:t>Letná</w:t>
            </w:r>
          </w:p>
        </w:tc>
        <w:tc>
          <w:tcPr>
            <w:tcW w:w="940" w:type="dxa"/>
            <w:tcBorders>
              <w:top w:val="single" w:sz="6" w:space="0" w:color="auto"/>
              <w:left w:val="single" w:sz="6" w:space="0" w:color="auto"/>
              <w:bottom w:val="single" w:sz="6" w:space="0" w:color="auto"/>
              <w:right w:val="single" w:sz="6" w:space="0" w:color="auto"/>
            </w:tcBorders>
          </w:tcPr>
          <w:p w14:paraId="0303FF9B" w14:textId="77777777" w:rsidR="00CA23D0" w:rsidRPr="00E30642" w:rsidRDefault="00CA23D0" w:rsidP="00CA23D0">
            <w:pPr>
              <w:pStyle w:val="Texttabulky"/>
              <w:spacing w:line="240" w:lineRule="atLeast"/>
              <w:jc w:val="both"/>
              <w:rPr>
                <w:rFonts w:cs="Arial"/>
              </w:rPr>
            </w:pPr>
            <w:r w:rsidRPr="00E30642">
              <w:rPr>
                <w:rFonts w:cs="Arial"/>
                <w:b/>
                <w:bCs/>
              </w:rPr>
              <w:t>3 510</w:t>
            </w:r>
          </w:p>
        </w:tc>
        <w:tc>
          <w:tcPr>
            <w:tcW w:w="855" w:type="dxa"/>
            <w:tcBorders>
              <w:top w:val="single" w:sz="6" w:space="0" w:color="auto"/>
              <w:left w:val="single" w:sz="6" w:space="0" w:color="auto"/>
              <w:bottom w:val="single" w:sz="6" w:space="0" w:color="auto"/>
              <w:right w:val="single" w:sz="6" w:space="0" w:color="auto"/>
            </w:tcBorders>
          </w:tcPr>
          <w:p w14:paraId="4B718937" w14:textId="77777777" w:rsidR="00CA23D0" w:rsidRPr="00E30642" w:rsidRDefault="00CA23D0" w:rsidP="00CA23D0">
            <w:pPr>
              <w:pStyle w:val="Texttabulky"/>
              <w:spacing w:line="240" w:lineRule="atLeast"/>
              <w:jc w:val="both"/>
              <w:rPr>
                <w:rFonts w:cs="Arial"/>
              </w:rPr>
            </w:pPr>
            <w:r w:rsidRPr="00E30642">
              <w:rPr>
                <w:rFonts w:cs="Arial"/>
                <w:b/>
                <w:bCs/>
              </w:rPr>
              <w:t>290</w:t>
            </w:r>
          </w:p>
        </w:tc>
        <w:tc>
          <w:tcPr>
            <w:tcW w:w="840" w:type="dxa"/>
            <w:tcBorders>
              <w:top w:val="single" w:sz="6" w:space="0" w:color="auto"/>
              <w:left w:val="single" w:sz="6" w:space="0" w:color="auto"/>
              <w:bottom w:val="single" w:sz="6" w:space="0" w:color="auto"/>
              <w:right w:val="single" w:sz="6" w:space="0" w:color="auto"/>
            </w:tcBorders>
          </w:tcPr>
          <w:p w14:paraId="5DA9EDC1" w14:textId="77777777" w:rsidR="00CA23D0" w:rsidRPr="00E30642" w:rsidRDefault="00CA23D0" w:rsidP="00CA23D0">
            <w:pPr>
              <w:pStyle w:val="Texttabulky"/>
              <w:spacing w:line="240" w:lineRule="atLeast"/>
              <w:jc w:val="both"/>
              <w:rPr>
                <w:rFonts w:cs="Arial"/>
              </w:rPr>
            </w:pPr>
            <w:r w:rsidRPr="00E30642">
              <w:rPr>
                <w:rFonts w:cs="Arial"/>
                <w:b/>
                <w:bCs/>
              </w:rPr>
              <w:t>620</w:t>
            </w:r>
          </w:p>
        </w:tc>
        <w:tc>
          <w:tcPr>
            <w:tcW w:w="857" w:type="dxa"/>
            <w:tcBorders>
              <w:top w:val="single" w:sz="6" w:space="0" w:color="auto"/>
              <w:left w:val="single" w:sz="6" w:space="0" w:color="auto"/>
              <w:bottom w:val="single" w:sz="6" w:space="0" w:color="auto"/>
              <w:right w:val="single" w:sz="6" w:space="0" w:color="auto"/>
            </w:tcBorders>
          </w:tcPr>
          <w:p w14:paraId="5B12EFBC" w14:textId="77777777" w:rsidR="00CA23D0" w:rsidRPr="00E30642" w:rsidRDefault="00CA23D0" w:rsidP="00CA23D0">
            <w:pPr>
              <w:pStyle w:val="Texttabulky"/>
              <w:spacing w:line="240" w:lineRule="atLeast"/>
              <w:jc w:val="both"/>
              <w:rPr>
                <w:rFonts w:cs="Arial"/>
              </w:rPr>
            </w:pPr>
            <w:r w:rsidRPr="00E30642">
              <w:rPr>
                <w:rFonts w:cs="Arial"/>
                <w:b/>
                <w:bCs/>
              </w:rPr>
              <w:t>75</w:t>
            </w:r>
          </w:p>
        </w:tc>
        <w:tc>
          <w:tcPr>
            <w:tcW w:w="1005" w:type="dxa"/>
            <w:tcBorders>
              <w:top w:val="single" w:sz="6" w:space="0" w:color="auto"/>
              <w:left w:val="single" w:sz="6" w:space="0" w:color="auto"/>
              <w:bottom w:val="single" w:sz="6" w:space="0" w:color="auto"/>
              <w:right w:val="single" w:sz="6" w:space="0" w:color="auto"/>
            </w:tcBorders>
          </w:tcPr>
          <w:p w14:paraId="0083EB59" w14:textId="77777777" w:rsidR="00CA23D0" w:rsidRPr="00E30642" w:rsidRDefault="00CA23D0" w:rsidP="00CA23D0">
            <w:pPr>
              <w:pStyle w:val="Texttabulky"/>
              <w:spacing w:line="240" w:lineRule="atLeast"/>
              <w:jc w:val="both"/>
              <w:rPr>
                <w:rFonts w:cs="Arial"/>
              </w:rPr>
            </w:pPr>
            <w:r w:rsidRPr="00E30642">
              <w:rPr>
                <w:rFonts w:cs="Arial"/>
                <w:b/>
                <w:bCs/>
              </w:rPr>
              <w:t>4 310</w:t>
            </w:r>
          </w:p>
        </w:tc>
        <w:tc>
          <w:tcPr>
            <w:tcW w:w="979" w:type="dxa"/>
            <w:tcBorders>
              <w:top w:val="single" w:sz="6" w:space="0" w:color="auto"/>
              <w:left w:val="single" w:sz="6" w:space="0" w:color="auto"/>
              <w:bottom w:val="single" w:sz="6" w:space="0" w:color="auto"/>
              <w:right w:val="single" w:sz="6" w:space="0" w:color="auto"/>
            </w:tcBorders>
          </w:tcPr>
          <w:p w14:paraId="5FE865F5" w14:textId="77777777" w:rsidR="00CA23D0" w:rsidRPr="00E30642" w:rsidRDefault="00CA23D0" w:rsidP="00CA23D0">
            <w:pPr>
              <w:pStyle w:val="Texttabulky"/>
              <w:spacing w:line="240" w:lineRule="atLeast"/>
              <w:jc w:val="both"/>
              <w:rPr>
                <w:rFonts w:cs="Arial"/>
              </w:rPr>
            </w:pPr>
            <w:r w:rsidRPr="00E30642">
              <w:rPr>
                <w:rFonts w:cs="Arial"/>
                <w:b/>
                <w:bCs/>
              </w:rPr>
              <w:t>4 385</w:t>
            </w:r>
          </w:p>
        </w:tc>
      </w:tr>
      <w:tr w:rsidR="00CA23D0" w:rsidRPr="00E30642" w14:paraId="2E874F77"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17ACFE06" w14:textId="77777777" w:rsidR="00CA23D0" w:rsidRPr="00E30642" w:rsidRDefault="00CA23D0" w:rsidP="00CA23D0">
            <w:pPr>
              <w:pStyle w:val="Texttabulky"/>
              <w:spacing w:line="240" w:lineRule="atLeast"/>
              <w:jc w:val="both"/>
              <w:rPr>
                <w:rFonts w:cs="Arial"/>
              </w:rPr>
            </w:pPr>
            <w:r w:rsidRPr="00E30642">
              <w:rPr>
                <w:rFonts w:cs="Arial"/>
                <w:b/>
                <w:bCs/>
              </w:rPr>
              <w:t>5</w:t>
            </w:r>
          </w:p>
        </w:tc>
        <w:tc>
          <w:tcPr>
            <w:tcW w:w="1963" w:type="dxa"/>
            <w:tcBorders>
              <w:top w:val="single" w:sz="6" w:space="0" w:color="auto"/>
              <w:left w:val="single" w:sz="6" w:space="0" w:color="auto"/>
              <w:bottom w:val="single" w:sz="6" w:space="0" w:color="auto"/>
              <w:right w:val="single" w:sz="6" w:space="0" w:color="auto"/>
            </w:tcBorders>
          </w:tcPr>
          <w:p w14:paraId="6299E426" w14:textId="77777777" w:rsidR="00CA23D0" w:rsidRPr="00E30642" w:rsidRDefault="00CA23D0" w:rsidP="00CA23D0">
            <w:pPr>
              <w:pStyle w:val="Texttabulky"/>
              <w:spacing w:line="240" w:lineRule="atLeast"/>
              <w:jc w:val="both"/>
              <w:rPr>
                <w:rFonts w:cs="Arial"/>
              </w:rPr>
            </w:pPr>
            <w:r w:rsidRPr="00E30642">
              <w:rPr>
                <w:rFonts w:cs="Arial"/>
                <w:b/>
                <w:bCs/>
              </w:rPr>
              <w:t>Kamenická</w:t>
            </w:r>
          </w:p>
        </w:tc>
        <w:tc>
          <w:tcPr>
            <w:tcW w:w="940" w:type="dxa"/>
            <w:tcBorders>
              <w:top w:val="single" w:sz="6" w:space="0" w:color="auto"/>
              <w:left w:val="single" w:sz="6" w:space="0" w:color="auto"/>
              <w:bottom w:val="single" w:sz="6" w:space="0" w:color="auto"/>
              <w:right w:val="single" w:sz="6" w:space="0" w:color="auto"/>
            </w:tcBorders>
          </w:tcPr>
          <w:p w14:paraId="44D279F2" w14:textId="77777777" w:rsidR="00CA23D0" w:rsidRPr="00E30642" w:rsidRDefault="00CA23D0" w:rsidP="00CA23D0">
            <w:pPr>
              <w:pStyle w:val="Texttabulky"/>
              <w:spacing w:line="240" w:lineRule="atLeast"/>
              <w:jc w:val="both"/>
              <w:rPr>
                <w:rFonts w:cs="Arial"/>
              </w:rPr>
            </w:pPr>
            <w:r w:rsidRPr="00E30642">
              <w:rPr>
                <w:rFonts w:cs="Arial"/>
                <w:b/>
                <w:bCs/>
              </w:rPr>
              <w:t>3 215</w:t>
            </w:r>
          </w:p>
        </w:tc>
        <w:tc>
          <w:tcPr>
            <w:tcW w:w="855" w:type="dxa"/>
            <w:tcBorders>
              <w:top w:val="single" w:sz="6" w:space="0" w:color="auto"/>
              <w:left w:val="single" w:sz="6" w:space="0" w:color="auto"/>
              <w:bottom w:val="single" w:sz="6" w:space="0" w:color="auto"/>
              <w:right w:val="single" w:sz="6" w:space="0" w:color="auto"/>
            </w:tcBorders>
          </w:tcPr>
          <w:p w14:paraId="599D0138"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7744A60B"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1FA2F8FF" w14:textId="77777777" w:rsidR="00CA23D0" w:rsidRPr="00E30642" w:rsidRDefault="00CA23D0" w:rsidP="00CA23D0">
            <w:pPr>
              <w:pStyle w:val="Texttabulky"/>
              <w:spacing w:line="240" w:lineRule="atLeast"/>
              <w:jc w:val="both"/>
              <w:rPr>
                <w:rFonts w:cs="Arial"/>
              </w:rPr>
            </w:pPr>
            <w:r w:rsidRPr="00E30642">
              <w:rPr>
                <w:rFonts w:cs="Arial"/>
                <w:b/>
                <w:bCs/>
              </w:rPr>
              <w:t>210</w:t>
            </w:r>
          </w:p>
        </w:tc>
        <w:tc>
          <w:tcPr>
            <w:tcW w:w="1005" w:type="dxa"/>
            <w:tcBorders>
              <w:top w:val="single" w:sz="6" w:space="0" w:color="auto"/>
              <w:left w:val="single" w:sz="6" w:space="0" w:color="auto"/>
              <w:bottom w:val="single" w:sz="6" w:space="0" w:color="auto"/>
              <w:right w:val="single" w:sz="6" w:space="0" w:color="auto"/>
            </w:tcBorders>
          </w:tcPr>
          <w:p w14:paraId="4A3711FF" w14:textId="77777777" w:rsidR="00CA23D0" w:rsidRPr="00E30642" w:rsidRDefault="00CA23D0" w:rsidP="00CA23D0">
            <w:pPr>
              <w:pStyle w:val="Texttabulky"/>
              <w:spacing w:line="240" w:lineRule="atLeast"/>
              <w:jc w:val="both"/>
              <w:rPr>
                <w:rFonts w:cs="Arial"/>
              </w:rPr>
            </w:pPr>
            <w:r w:rsidRPr="00E30642">
              <w:rPr>
                <w:rFonts w:cs="Arial"/>
                <w:b/>
                <w:bCs/>
              </w:rPr>
              <w:t>3 000</w:t>
            </w:r>
          </w:p>
        </w:tc>
        <w:tc>
          <w:tcPr>
            <w:tcW w:w="979" w:type="dxa"/>
            <w:tcBorders>
              <w:top w:val="single" w:sz="6" w:space="0" w:color="auto"/>
              <w:left w:val="single" w:sz="6" w:space="0" w:color="auto"/>
              <w:bottom w:val="single" w:sz="6" w:space="0" w:color="auto"/>
              <w:right w:val="single" w:sz="6" w:space="0" w:color="auto"/>
            </w:tcBorders>
          </w:tcPr>
          <w:p w14:paraId="3DBA48CA" w14:textId="77777777" w:rsidR="00CA23D0" w:rsidRPr="00E30642" w:rsidRDefault="00CA23D0" w:rsidP="00CA23D0">
            <w:pPr>
              <w:pStyle w:val="Texttabulky"/>
              <w:spacing w:line="240" w:lineRule="atLeast"/>
              <w:jc w:val="both"/>
              <w:rPr>
                <w:rFonts w:cs="Arial"/>
              </w:rPr>
            </w:pPr>
            <w:r w:rsidRPr="00E30642">
              <w:rPr>
                <w:rFonts w:cs="Arial"/>
                <w:b/>
                <w:bCs/>
              </w:rPr>
              <w:t>3 210</w:t>
            </w:r>
          </w:p>
        </w:tc>
      </w:tr>
      <w:tr w:rsidR="00CA23D0" w:rsidRPr="00E30642" w14:paraId="4C208F8B"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18005928" w14:textId="77777777" w:rsidR="00CA23D0" w:rsidRPr="00E30642" w:rsidRDefault="00CA23D0" w:rsidP="00CA23D0">
            <w:pPr>
              <w:pStyle w:val="Texttabulky"/>
              <w:spacing w:line="240" w:lineRule="atLeast"/>
              <w:jc w:val="both"/>
              <w:rPr>
                <w:rFonts w:cs="Arial"/>
              </w:rPr>
            </w:pPr>
            <w:r w:rsidRPr="00E30642">
              <w:rPr>
                <w:rFonts w:cs="Arial"/>
                <w:b/>
                <w:bCs/>
              </w:rPr>
              <w:t>6</w:t>
            </w:r>
          </w:p>
        </w:tc>
        <w:tc>
          <w:tcPr>
            <w:tcW w:w="1963" w:type="dxa"/>
            <w:tcBorders>
              <w:top w:val="single" w:sz="6" w:space="0" w:color="auto"/>
              <w:left w:val="single" w:sz="6" w:space="0" w:color="auto"/>
              <w:bottom w:val="single" w:sz="6" w:space="0" w:color="auto"/>
              <w:right w:val="single" w:sz="6" w:space="0" w:color="auto"/>
            </w:tcBorders>
          </w:tcPr>
          <w:p w14:paraId="60690D99" w14:textId="77777777" w:rsidR="00CA23D0" w:rsidRPr="00E30642" w:rsidRDefault="00CA23D0" w:rsidP="00CA23D0">
            <w:pPr>
              <w:pStyle w:val="Texttabulky"/>
              <w:spacing w:line="240" w:lineRule="atLeast"/>
              <w:jc w:val="both"/>
              <w:rPr>
                <w:rFonts w:cs="Arial"/>
              </w:rPr>
            </w:pPr>
            <w:r w:rsidRPr="00E30642">
              <w:rPr>
                <w:rFonts w:cs="Arial"/>
                <w:b/>
                <w:bCs/>
              </w:rPr>
              <w:t>U nemocnice</w:t>
            </w:r>
          </w:p>
        </w:tc>
        <w:tc>
          <w:tcPr>
            <w:tcW w:w="940" w:type="dxa"/>
            <w:tcBorders>
              <w:top w:val="single" w:sz="6" w:space="0" w:color="auto"/>
              <w:left w:val="single" w:sz="6" w:space="0" w:color="auto"/>
              <w:bottom w:val="single" w:sz="6" w:space="0" w:color="auto"/>
              <w:right w:val="single" w:sz="6" w:space="0" w:color="auto"/>
            </w:tcBorders>
          </w:tcPr>
          <w:p w14:paraId="393B9E05" w14:textId="77777777" w:rsidR="00CA23D0" w:rsidRPr="00E30642" w:rsidRDefault="00CA23D0" w:rsidP="00CA23D0">
            <w:pPr>
              <w:pStyle w:val="Texttabulky"/>
              <w:spacing w:line="240" w:lineRule="atLeast"/>
              <w:jc w:val="both"/>
              <w:rPr>
                <w:rFonts w:cs="Arial"/>
              </w:rPr>
            </w:pPr>
            <w:r w:rsidRPr="00E30642">
              <w:rPr>
                <w:rFonts w:cs="Arial"/>
                <w:b/>
                <w:bCs/>
              </w:rPr>
              <w:t>3 106</w:t>
            </w:r>
          </w:p>
        </w:tc>
        <w:tc>
          <w:tcPr>
            <w:tcW w:w="855" w:type="dxa"/>
            <w:tcBorders>
              <w:top w:val="single" w:sz="6" w:space="0" w:color="auto"/>
              <w:left w:val="single" w:sz="6" w:space="0" w:color="auto"/>
              <w:bottom w:val="single" w:sz="6" w:space="0" w:color="auto"/>
              <w:right w:val="single" w:sz="6" w:space="0" w:color="auto"/>
            </w:tcBorders>
          </w:tcPr>
          <w:p w14:paraId="3F29EDD3"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4695807C"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706EDDCD"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683FE99F" w14:textId="77777777" w:rsidR="00CA23D0" w:rsidRPr="00E30642" w:rsidRDefault="00CA23D0" w:rsidP="00CA23D0">
            <w:pPr>
              <w:pStyle w:val="Texttabulky"/>
              <w:spacing w:line="240" w:lineRule="atLeast"/>
              <w:jc w:val="both"/>
              <w:rPr>
                <w:rFonts w:cs="Arial"/>
              </w:rPr>
            </w:pPr>
            <w:r w:rsidRPr="00E30642">
              <w:rPr>
                <w:rFonts w:cs="Arial"/>
                <w:b/>
                <w:bCs/>
              </w:rPr>
              <w:t>3 000</w:t>
            </w:r>
          </w:p>
        </w:tc>
        <w:tc>
          <w:tcPr>
            <w:tcW w:w="979" w:type="dxa"/>
            <w:tcBorders>
              <w:top w:val="single" w:sz="6" w:space="0" w:color="auto"/>
              <w:left w:val="single" w:sz="6" w:space="0" w:color="auto"/>
              <w:bottom w:val="single" w:sz="6" w:space="0" w:color="auto"/>
              <w:right w:val="single" w:sz="6" w:space="0" w:color="auto"/>
            </w:tcBorders>
          </w:tcPr>
          <w:p w14:paraId="76F2652E" w14:textId="77777777" w:rsidR="00CA23D0" w:rsidRPr="00E30642" w:rsidRDefault="00CA23D0" w:rsidP="00CA23D0">
            <w:pPr>
              <w:pStyle w:val="Texttabulky"/>
              <w:spacing w:line="240" w:lineRule="atLeast"/>
              <w:jc w:val="both"/>
              <w:rPr>
                <w:rFonts w:cs="Arial"/>
              </w:rPr>
            </w:pPr>
            <w:r w:rsidRPr="00E30642">
              <w:rPr>
                <w:rFonts w:cs="Arial"/>
                <w:b/>
                <w:bCs/>
              </w:rPr>
              <w:t>3 000</w:t>
            </w:r>
          </w:p>
        </w:tc>
      </w:tr>
      <w:tr w:rsidR="00CA23D0" w:rsidRPr="00E30642" w14:paraId="3EBDA207"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182FAED3" w14:textId="77777777" w:rsidR="00CA23D0" w:rsidRPr="00E30642" w:rsidRDefault="00CA23D0" w:rsidP="00CA23D0">
            <w:pPr>
              <w:pStyle w:val="Texttabulky"/>
              <w:spacing w:line="240" w:lineRule="atLeast"/>
              <w:jc w:val="both"/>
              <w:rPr>
                <w:rFonts w:cs="Arial"/>
              </w:rPr>
            </w:pPr>
            <w:r w:rsidRPr="00E30642">
              <w:rPr>
                <w:rFonts w:cs="Arial"/>
                <w:b/>
                <w:bCs/>
              </w:rPr>
              <w:t>48</w:t>
            </w:r>
          </w:p>
        </w:tc>
        <w:tc>
          <w:tcPr>
            <w:tcW w:w="1963" w:type="dxa"/>
            <w:tcBorders>
              <w:top w:val="single" w:sz="6" w:space="0" w:color="auto"/>
              <w:left w:val="single" w:sz="6" w:space="0" w:color="auto"/>
              <w:bottom w:val="single" w:sz="6" w:space="0" w:color="auto"/>
              <w:right w:val="single" w:sz="6" w:space="0" w:color="auto"/>
            </w:tcBorders>
          </w:tcPr>
          <w:p w14:paraId="78529AA2" w14:textId="77777777" w:rsidR="00CA23D0" w:rsidRPr="00E30642" w:rsidRDefault="00CA23D0" w:rsidP="00CA23D0">
            <w:pPr>
              <w:pStyle w:val="Texttabulky"/>
              <w:spacing w:line="240" w:lineRule="atLeast"/>
              <w:jc w:val="both"/>
              <w:rPr>
                <w:rFonts w:cs="Arial"/>
              </w:rPr>
            </w:pPr>
            <w:r w:rsidRPr="00E30642">
              <w:rPr>
                <w:rFonts w:cs="Arial"/>
                <w:b/>
                <w:bCs/>
              </w:rPr>
              <w:t>Březiny</w:t>
            </w:r>
          </w:p>
        </w:tc>
        <w:tc>
          <w:tcPr>
            <w:tcW w:w="940" w:type="dxa"/>
            <w:tcBorders>
              <w:top w:val="single" w:sz="6" w:space="0" w:color="auto"/>
              <w:left w:val="single" w:sz="6" w:space="0" w:color="auto"/>
              <w:bottom w:val="single" w:sz="6" w:space="0" w:color="auto"/>
              <w:right w:val="single" w:sz="6" w:space="0" w:color="auto"/>
            </w:tcBorders>
          </w:tcPr>
          <w:p w14:paraId="14032BB8" w14:textId="77777777" w:rsidR="00CA23D0" w:rsidRPr="00E30642" w:rsidRDefault="00CA23D0" w:rsidP="00CA23D0">
            <w:pPr>
              <w:pStyle w:val="Texttabulky"/>
              <w:spacing w:line="240" w:lineRule="atLeast"/>
              <w:jc w:val="both"/>
              <w:rPr>
                <w:rFonts w:cs="Arial"/>
              </w:rPr>
            </w:pPr>
            <w:r w:rsidRPr="00E30642">
              <w:rPr>
                <w:rFonts w:cs="Arial"/>
                <w:b/>
                <w:bCs/>
              </w:rPr>
              <w:t>2 224</w:t>
            </w:r>
          </w:p>
        </w:tc>
        <w:tc>
          <w:tcPr>
            <w:tcW w:w="855" w:type="dxa"/>
            <w:tcBorders>
              <w:top w:val="single" w:sz="6" w:space="0" w:color="auto"/>
              <w:left w:val="single" w:sz="6" w:space="0" w:color="auto"/>
              <w:bottom w:val="single" w:sz="6" w:space="0" w:color="auto"/>
              <w:right w:val="single" w:sz="6" w:space="0" w:color="auto"/>
            </w:tcBorders>
          </w:tcPr>
          <w:p w14:paraId="58B0F6DA"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17FAEE34"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1090EEAD" w14:textId="77777777" w:rsidR="00CA23D0" w:rsidRPr="00E30642" w:rsidRDefault="00CA23D0" w:rsidP="00CA23D0">
            <w:pPr>
              <w:pStyle w:val="Texttabulky"/>
              <w:spacing w:line="240" w:lineRule="atLeast"/>
              <w:jc w:val="both"/>
              <w:rPr>
                <w:rFonts w:cs="Arial"/>
              </w:rPr>
            </w:pPr>
            <w:r w:rsidRPr="00E30642">
              <w:rPr>
                <w:rFonts w:cs="Arial"/>
                <w:b/>
                <w:bCs/>
              </w:rPr>
              <w:t>235</w:t>
            </w:r>
          </w:p>
        </w:tc>
        <w:tc>
          <w:tcPr>
            <w:tcW w:w="1005" w:type="dxa"/>
            <w:tcBorders>
              <w:top w:val="single" w:sz="6" w:space="0" w:color="auto"/>
              <w:left w:val="single" w:sz="6" w:space="0" w:color="auto"/>
              <w:bottom w:val="single" w:sz="6" w:space="0" w:color="auto"/>
              <w:right w:val="single" w:sz="6" w:space="0" w:color="auto"/>
            </w:tcBorders>
          </w:tcPr>
          <w:p w14:paraId="232115A7" w14:textId="77777777" w:rsidR="00CA23D0" w:rsidRPr="00E30642" w:rsidRDefault="00CA23D0" w:rsidP="00CA23D0">
            <w:pPr>
              <w:pStyle w:val="Texttabulky"/>
              <w:spacing w:line="240" w:lineRule="atLeast"/>
              <w:jc w:val="both"/>
              <w:rPr>
                <w:rFonts w:cs="Arial"/>
              </w:rPr>
            </w:pPr>
            <w:r w:rsidRPr="00E30642">
              <w:rPr>
                <w:rFonts w:cs="Arial"/>
                <w:b/>
                <w:bCs/>
              </w:rPr>
              <w:t>2 000</w:t>
            </w:r>
          </w:p>
        </w:tc>
        <w:tc>
          <w:tcPr>
            <w:tcW w:w="979" w:type="dxa"/>
            <w:tcBorders>
              <w:top w:val="single" w:sz="6" w:space="0" w:color="auto"/>
              <w:left w:val="single" w:sz="6" w:space="0" w:color="auto"/>
              <w:bottom w:val="single" w:sz="6" w:space="0" w:color="auto"/>
              <w:right w:val="single" w:sz="6" w:space="0" w:color="auto"/>
            </w:tcBorders>
          </w:tcPr>
          <w:p w14:paraId="474860FD" w14:textId="77777777" w:rsidR="00CA23D0" w:rsidRPr="00E30642" w:rsidRDefault="00CA23D0" w:rsidP="00CA23D0">
            <w:pPr>
              <w:pStyle w:val="Texttabulky"/>
              <w:spacing w:line="240" w:lineRule="atLeast"/>
              <w:jc w:val="both"/>
              <w:rPr>
                <w:rFonts w:cs="Arial"/>
              </w:rPr>
            </w:pPr>
            <w:r w:rsidRPr="00E30642">
              <w:rPr>
                <w:rFonts w:cs="Arial"/>
                <w:b/>
                <w:bCs/>
              </w:rPr>
              <w:t>2 235</w:t>
            </w:r>
          </w:p>
        </w:tc>
      </w:tr>
      <w:tr w:rsidR="00CA23D0" w:rsidRPr="00E30642" w14:paraId="4A71EA7E"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BFDB166" w14:textId="77777777" w:rsidR="00CA23D0" w:rsidRPr="00E30642" w:rsidRDefault="00CA23D0" w:rsidP="00CA23D0">
            <w:pPr>
              <w:pStyle w:val="Texttabulky"/>
              <w:spacing w:line="240" w:lineRule="atLeast"/>
              <w:jc w:val="both"/>
              <w:rPr>
                <w:rFonts w:cs="Arial"/>
              </w:rPr>
            </w:pPr>
            <w:r w:rsidRPr="00E30642">
              <w:rPr>
                <w:rFonts w:cs="Arial"/>
                <w:b/>
                <w:bCs/>
              </w:rPr>
              <w:t>17</w:t>
            </w:r>
          </w:p>
        </w:tc>
        <w:tc>
          <w:tcPr>
            <w:tcW w:w="1963" w:type="dxa"/>
            <w:tcBorders>
              <w:top w:val="single" w:sz="6" w:space="0" w:color="auto"/>
              <w:left w:val="single" w:sz="6" w:space="0" w:color="auto"/>
              <w:bottom w:val="single" w:sz="6" w:space="0" w:color="auto"/>
              <w:right w:val="single" w:sz="6" w:space="0" w:color="auto"/>
            </w:tcBorders>
          </w:tcPr>
          <w:p w14:paraId="1E8B5B24" w14:textId="77777777" w:rsidR="00CA23D0" w:rsidRPr="00E30642" w:rsidRDefault="00CA23D0" w:rsidP="00CA23D0">
            <w:pPr>
              <w:pStyle w:val="Texttabulky"/>
              <w:spacing w:line="240" w:lineRule="atLeast"/>
              <w:jc w:val="both"/>
              <w:rPr>
                <w:rFonts w:cs="Arial"/>
              </w:rPr>
            </w:pPr>
            <w:r w:rsidRPr="00E30642">
              <w:rPr>
                <w:rFonts w:cs="Arial"/>
                <w:b/>
                <w:bCs/>
              </w:rPr>
              <w:t>Chrochvice</w:t>
            </w:r>
          </w:p>
        </w:tc>
        <w:tc>
          <w:tcPr>
            <w:tcW w:w="940" w:type="dxa"/>
            <w:tcBorders>
              <w:top w:val="single" w:sz="6" w:space="0" w:color="auto"/>
              <w:left w:val="single" w:sz="6" w:space="0" w:color="auto"/>
              <w:bottom w:val="single" w:sz="6" w:space="0" w:color="auto"/>
              <w:right w:val="single" w:sz="6" w:space="0" w:color="auto"/>
            </w:tcBorders>
          </w:tcPr>
          <w:p w14:paraId="633439AF" w14:textId="77777777" w:rsidR="00CA23D0" w:rsidRPr="00E30642" w:rsidRDefault="00CA23D0" w:rsidP="00CA23D0">
            <w:pPr>
              <w:pStyle w:val="Texttabulky"/>
              <w:spacing w:line="240" w:lineRule="atLeast"/>
              <w:jc w:val="both"/>
              <w:rPr>
                <w:rFonts w:cs="Arial"/>
              </w:rPr>
            </w:pPr>
            <w:r w:rsidRPr="00E30642">
              <w:rPr>
                <w:rFonts w:cs="Arial"/>
                <w:b/>
                <w:bCs/>
              </w:rPr>
              <w:t>1 349</w:t>
            </w:r>
          </w:p>
        </w:tc>
        <w:tc>
          <w:tcPr>
            <w:tcW w:w="855" w:type="dxa"/>
            <w:tcBorders>
              <w:top w:val="single" w:sz="6" w:space="0" w:color="auto"/>
              <w:left w:val="single" w:sz="6" w:space="0" w:color="auto"/>
              <w:bottom w:val="single" w:sz="6" w:space="0" w:color="auto"/>
              <w:right w:val="single" w:sz="6" w:space="0" w:color="auto"/>
            </w:tcBorders>
          </w:tcPr>
          <w:p w14:paraId="6595E4F5" w14:textId="77777777" w:rsidR="00CA23D0" w:rsidRPr="00E30642" w:rsidRDefault="00CA23D0" w:rsidP="00CA23D0">
            <w:pPr>
              <w:pStyle w:val="Texttabulky"/>
              <w:spacing w:line="240" w:lineRule="atLeast"/>
              <w:jc w:val="both"/>
              <w:rPr>
                <w:rFonts w:cs="Arial"/>
              </w:rPr>
            </w:pPr>
            <w:r w:rsidRPr="00E30642">
              <w:rPr>
                <w:rFonts w:cs="Arial"/>
                <w:b/>
                <w:bCs/>
              </w:rPr>
              <w:t>65</w:t>
            </w:r>
          </w:p>
        </w:tc>
        <w:tc>
          <w:tcPr>
            <w:tcW w:w="840" w:type="dxa"/>
            <w:tcBorders>
              <w:top w:val="single" w:sz="6" w:space="0" w:color="auto"/>
              <w:left w:val="single" w:sz="6" w:space="0" w:color="auto"/>
              <w:bottom w:val="single" w:sz="6" w:space="0" w:color="auto"/>
              <w:right w:val="single" w:sz="6" w:space="0" w:color="auto"/>
            </w:tcBorders>
          </w:tcPr>
          <w:p w14:paraId="427D8AE8" w14:textId="77777777" w:rsidR="00CA23D0" w:rsidRPr="00E30642" w:rsidRDefault="00CA23D0" w:rsidP="00CA23D0">
            <w:pPr>
              <w:pStyle w:val="Texttabulky"/>
              <w:spacing w:line="240" w:lineRule="atLeast"/>
              <w:jc w:val="both"/>
              <w:rPr>
                <w:rFonts w:cs="Arial"/>
              </w:rPr>
            </w:pPr>
            <w:r w:rsidRPr="00E30642">
              <w:rPr>
                <w:rFonts w:cs="Arial"/>
                <w:b/>
                <w:bCs/>
              </w:rPr>
              <w:t>45</w:t>
            </w:r>
          </w:p>
        </w:tc>
        <w:tc>
          <w:tcPr>
            <w:tcW w:w="857" w:type="dxa"/>
            <w:tcBorders>
              <w:top w:val="single" w:sz="6" w:space="0" w:color="auto"/>
              <w:left w:val="single" w:sz="6" w:space="0" w:color="auto"/>
              <w:bottom w:val="single" w:sz="6" w:space="0" w:color="auto"/>
              <w:right w:val="single" w:sz="6" w:space="0" w:color="auto"/>
            </w:tcBorders>
          </w:tcPr>
          <w:p w14:paraId="6546C271" w14:textId="77777777" w:rsidR="00CA23D0" w:rsidRPr="00E30642" w:rsidRDefault="00CA23D0" w:rsidP="00CA23D0">
            <w:pPr>
              <w:pStyle w:val="Texttabulky"/>
              <w:spacing w:line="240" w:lineRule="atLeast"/>
              <w:jc w:val="both"/>
              <w:rPr>
                <w:rFonts w:cs="Arial"/>
              </w:rPr>
            </w:pPr>
            <w:r w:rsidRPr="00E30642">
              <w:rPr>
                <w:rFonts w:cs="Arial"/>
                <w:b/>
                <w:bCs/>
              </w:rPr>
              <w:t>220</w:t>
            </w:r>
          </w:p>
        </w:tc>
        <w:tc>
          <w:tcPr>
            <w:tcW w:w="1005" w:type="dxa"/>
            <w:tcBorders>
              <w:top w:val="single" w:sz="6" w:space="0" w:color="auto"/>
              <w:left w:val="single" w:sz="6" w:space="0" w:color="auto"/>
              <w:bottom w:val="single" w:sz="6" w:space="0" w:color="auto"/>
              <w:right w:val="single" w:sz="6" w:space="0" w:color="auto"/>
            </w:tcBorders>
          </w:tcPr>
          <w:p w14:paraId="669E52EC" w14:textId="77777777" w:rsidR="00CA23D0" w:rsidRPr="00E30642" w:rsidRDefault="00CA23D0" w:rsidP="00CA23D0">
            <w:pPr>
              <w:pStyle w:val="Texttabulky"/>
              <w:spacing w:line="240" w:lineRule="atLeast"/>
              <w:jc w:val="both"/>
              <w:rPr>
                <w:rFonts w:cs="Arial"/>
              </w:rPr>
            </w:pPr>
            <w:r w:rsidRPr="00E30642">
              <w:rPr>
                <w:rFonts w:cs="Arial"/>
                <w:b/>
                <w:bCs/>
              </w:rPr>
              <w:t>1 360</w:t>
            </w:r>
          </w:p>
        </w:tc>
        <w:tc>
          <w:tcPr>
            <w:tcW w:w="979" w:type="dxa"/>
            <w:tcBorders>
              <w:top w:val="single" w:sz="6" w:space="0" w:color="auto"/>
              <w:left w:val="single" w:sz="6" w:space="0" w:color="auto"/>
              <w:bottom w:val="single" w:sz="6" w:space="0" w:color="auto"/>
              <w:right w:val="single" w:sz="6" w:space="0" w:color="auto"/>
            </w:tcBorders>
          </w:tcPr>
          <w:p w14:paraId="62E01AD3" w14:textId="77777777" w:rsidR="00CA23D0" w:rsidRPr="00E30642" w:rsidRDefault="00CA23D0" w:rsidP="00CA23D0">
            <w:pPr>
              <w:pStyle w:val="Texttabulky"/>
              <w:spacing w:line="240" w:lineRule="atLeast"/>
              <w:jc w:val="both"/>
              <w:rPr>
                <w:rFonts w:cs="Arial"/>
              </w:rPr>
            </w:pPr>
            <w:r w:rsidRPr="00E30642">
              <w:rPr>
                <w:rFonts w:cs="Arial"/>
                <w:b/>
                <w:bCs/>
              </w:rPr>
              <w:t>1 580</w:t>
            </w:r>
          </w:p>
        </w:tc>
      </w:tr>
      <w:tr w:rsidR="00CA23D0" w:rsidRPr="00E30642" w14:paraId="31837B92"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F3DB573" w14:textId="77777777" w:rsidR="00CA23D0" w:rsidRPr="00E30642" w:rsidRDefault="00CA23D0" w:rsidP="00CA23D0">
            <w:pPr>
              <w:pStyle w:val="Texttabulky"/>
              <w:spacing w:line="240" w:lineRule="atLeast"/>
              <w:jc w:val="both"/>
              <w:rPr>
                <w:rFonts w:cs="Arial"/>
              </w:rPr>
            </w:pPr>
            <w:r w:rsidRPr="00E30642">
              <w:rPr>
                <w:rFonts w:cs="Arial"/>
                <w:b/>
                <w:bCs/>
              </w:rPr>
              <w:t>33</w:t>
            </w:r>
          </w:p>
        </w:tc>
        <w:tc>
          <w:tcPr>
            <w:tcW w:w="1963" w:type="dxa"/>
            <w:tcBorders>
              <w:top w:val="single" w:sz="6" w:space="0" w:color="auto"/>
              <w:left w:val="single" w:sz="6" w:space="0" w:color="auto"/>
              <w:bottom w:val="single" w:sz="6" w:space="0" w:color="auto"/>
              <w:right w:val="single" w:sz="6" w:space="0" w:color="auto"/>
            </w:tcBorders>
          </w:tcPr>
          <w:p w14:paraId="4D66AFCE" w14:textId="77777777" w:rsidR="00CA23D0" w:rsidRPr="00E30642" w:rsidRDefault="00CA23D0" w:rsidP="00CA23D0">
            <w:pPr>
              <w:pStyle w:val="Texttabulky"/>
              <w:spacing w:line="240" w:lineRule="atLeast"/>
              <w:jc w:val="both"/>
              <w:rPr>
                <w:rFonts w:cs="Arial"/>
              </w:rPr>
            </w:pPr>
            <w:r w:rsidRPr="00E30642">
              <w:rPr>
                <w:rFonts w:cs="Arial"/>
                <w:b/>
                <w:bCs/>
              </w:rPr>
              <w:t>Bělá</w:t>
            </w:r>
          </w:p>
        </w:tc>
        <w:tc>
          <w:tcPr>
            <w:tcW w:w="940" w:type="dxa"/>
            <w:tcBorders>
              <w:top w:val="single" w:sz="6" w:space="0" w:color="auto"/>
              <w:left w:val="single" w:sz="6" w:space="0" w:color="auto"/>
              <w:bottom w:val="single" w:sz="6" w:space="0" w:color="auto"/>
              <w:right w:val="single" w:sz="6" w:space="0" w:color="auto"/>
            </w:tcBorders>
          </w:tcPr>
          <w:p w14:paraId="7773400F" w14:textId="77777777" w:rsidR="00CA23D0" w:rsidRPr="00E30642" w:rsidRDefault="00CA23D0" w:rsidP="00CA23D0">
            <w:pPr>
              <w:pStyle w:val="Texttabulky"/>
              <w:spacing w:line="240" w:lineRule="atLeast"/>
              <w:jc w:val="both"/>
              <w:rPr>
                <w:rFonts w:cs="Arial"/>
              </w:rPr>
            </w:pPr>
            <w:r w:rsidRPr="00E30642">
              <w:rPr>
                <w:rFonts w:cs="Arial"/>
                <w:b/>
                <w:bCs/>
              </w:rPr>
              <w:t>1 182</w:t>
            </w:r>
          </w:p>
        </w:tc>
        <w:tc>
          <w:tcPr>
            <w:tcW w:w="855" w:type="dxa"/>
            <w:tcBorders>
              <w:top w:val="single" w:sz="6" w:space="0" w:color="auto"/>
              <w:left w:val="single" w:sz="6" w:space="0" w:color="auto"/>
              <w:bottom w:val="single" w:sz="6" w:space="0" w:color="auto"/>
              <w:right w:val="single" w:sz="6" w:space="0" w:color="auto"/>
            </w:tcBorders>
          </w:tcPr>
          <w:p w14:paraId="1B6D7191"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50AA93BA" w14:textId="77777777" w:rsidR="00CA23D0" w:rsidRPr="00E30642" w:rsidRDefault="00CA23D0" w:rsidP="00CA23D0">
            <w:pPr>
              <w:pStyle w:val="Texttabulky"/>
              <w:spacing w:line="240" w:lineRule="atLeast"/>
              <w:jc w:val="both"/>
              <w:rPr>
                <w:rFonts w:cs="Arial"/>
              </w:rPr>
            </w:pPr>
            <w:r w:rsidRPr="00E30642">
              <w:rPr>
                <w:rFonts w:cs="Arial"/>
                <w:b/>
                <w:bCs/>
              </w:rPr>
              <w:t>150</w:t>
            </w:r>
          </w:p>
        </w:tc>
        <w:tc>
          <w:tcPr>
            <w:tcW w:w="857" w:type="dxa"/>
            <w:tcBorders>
              <w:top w:val="single" w:sz="6" w:space="0" w:color="auto"/>
              <w:left w:val="single" w:sz="6" w:space="0" w:color="auto"/>
              <w:bottom w:val="single" w:sz="6" w:space="0" w:color="auto"/>
              <w:right w:val="single" w:sz="6" w:space="0" w:color="auto"/>
            </w:tcBorders>
          </w:tcPr>
          <w:p w14:paraId="3AF22E6C"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77EBB5A1" w14:textId="77777777" w:rsidR="00CA23D0" w:rsidRPr="00E30642" w:rsidRDefault="00CA23D0" w:rsidP="00CA23D0">
            <w:pPr>
              <w:pStyle w:val="Texttabulky"/>
              <w:spacing w:line="240" w:lineRule="atLeast"/>
              <w:jc w:val="both"/>
              <w:rPr>
                <w:rFonts w:cs="Arial"/>
              </w:rPr>
            </w:pPr>
            <w:r w:rsidRPr="00E30642">
              <w:rPr>
                <w:rFonts w:cs="Arial"/>
                <w:b/>
                <w:bCs/>
              </w:rPr>
              <w:t>1 250</w:t>
            </w:r>
          </w:p>
        </w:tc>
        <w:tc>
          <w:tcPr>
            <w:tcW w:w="979" w:type="dxa"/>
            <w:tcBorders>
              <w:top w:val="single" w:sz="6" w:space="0" w:color="auto"/>
              <w:left w:val="single" w:sz="6" w:space="0" w:color="auto"/>
              <w:bottom w:val="single" w:sz="6" w:space="0" w:color="auto"/>
              <w:right w:val="single" w:sz="6" w:space="0" w:color="auto"/>
            </w:tcBorders>
          </w:tcPr>
          <w:p w14:paraId="28A3DDDF" w14:textId="77777777" w:rsidR="00CA23D0" w:rsidRPr="00E30642" w:rsidRDefault="00CA23D0" w:rsidP="00CA23D0">
            <w:pPr>
              <w:pStyle w:val="Texttabulky"/>
              <w:spacing w:line="240" w:lineRule="atLeast"/>
              <w:jc w:val="both"/>
              <w:rPr>
                <w:rFonts w:cs="Arial"/>
              </w:rPr>
            </w:pPr>
            <w:r w:rsidRPr="00E30642">
              <w:rPr>
                <w:rFonts w:cs="Arial"/>
                <w:b/>
                <w:bCs/>
              </w:rPr>
              <w:t>1 250</w:t>
            </w:r>
          </w:p>
        </w:tc>
      </w:tr>
      <w:tr w:rsidR="00CA23D0" w:rsidRPr="00E30642" w14:paraId="4FF3241F"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1C28556D" w14:textId="77777777" w:rsidR="00CA23D0" w:rsidRPr="00E30642" w:rsidRDefault="00CA23D0" w:rsidP="00CA23D0">
            <w:pPr>
              <w:pStyle w:val="Texttabulky"/>
              <w:spacing w:line="240" w:lineRule="atLeast"/>
              <w:jc w:val="both"/>
              <w:rPr>
                <w:rFonts w:cs="Arial"/>
              </w:rPr>
            </w:pPr>
            <w:r w:rsidRPr="00E30642">
              <w:rPr>
                <w:rFonts w:cs="Arial"/>
                <w:b/>
                <w:bCs/>
              </w:rPr>
              <w:t>51</w:t>
            </w:r>
          </w:p>
        </w:tc>
        <w:tc>
          <w:tcPr>
            <w:tcW w:w="1963" w:type="dxa"/>
            <w:tcBorders>
              <w:top w:val="single" w:sz="6" w:space="0" w:color="auto"/>
              <w:left w:val="single" w:sz="6" w:space="0" w:color="auto"/>
              <w:bottom w:val="single" w:sz="6" w:space="0" w:color="auto"/>
              <w:right w:val="single" w:sz="6" w:space="0" w:color="auto"/>
            </w:tcBorders>
          </w:tcPr>
          <w:p w14:paraId="5261F1B7" w14:textId="77777777" w:rsidR="00CA23D0" w:rsidRPr="00E30642" w:rsidRDefault="00CA23D0" w:rsidP="00CA23D0">
            <w:pPr>
              <w:pStyle w:val="Texttabulky"/>
              <w:spacing w:line="240" w:lineRule="atLeast"/>
              <w:jc w:val="both"/>
              <w:rPr>
                <w:rFonts w:cs="Arial"/>
              </w:rPr>
            </w:pPr>
            <w:r w:rsidRPr="00E30642">
              <w:rPr>
                <w:rFonts w:cs="Arial"/>
                <w:b/>
                <w:bCs/>
              </w:rPr>
              <w:t>Křešice</w:t>
            </w:r>
          </w:p>
        </w:tc>
        <w:tc>
          <w:tcPr>
            <w:tcW w:w="940" w:type="dxa"/>
            <w:tcBorders>
              <w:top w:val="single" w:sz="6" w:space="0" w:color="auto"/>
              <w:left w:val="single" w:sz="6" w:space="0" w:color="auto"/>
              <w:bottom w:val="single" w:sz="6" w:space="0" w:color="auto"/>
              <w:right w:val="single" w:sz="6" w:space="0" w:color="auto"/>
            </w:tcBorders>
          </w:tcPr>
          <w:p w14:paraId="1282DF63" w14:textId="77777777" w:rsidR="00CA23D0" w:rsidRPr="00E30642" w:rsidRDefault="00CA23D0" w:rsidP="00CA23D0">
            <w:pPr>
              <w:pStyle w:val="Texttabulky"/>
              <w:spacing w:line="240" w:lineRule="atLeast"/>
              <w:jc w:val="both"/>
              <w:rPr>
                <w:rFonts w:cs="Arial"/>
              </w:rPr>
            </w:pPr>
            <w:r w:rsidRPr="00E30642">
              <w:rPr>
                <w:rFonts w:cs="Arial"/>
                <w:b/>
                <w:bCs/>
              </w:rPr>
              <w:t>726</w:t>
            </w:r>
          </w:p>
        </w:tc>
        <w:tc>
          <w:tcPr>
            <w:tcW w:w="855" w:type="dxa"/>
            <w:tcBorders>
              <w:top w:val="single" w:sz="6" w:space="0" w:color="auto"/>
              <w:left w:val="single" w:sz="6" w:space="0" w:color="auto"/>
              <w:bottom w:val="single" w:sz="6" w:space="0" w:color="auto"/>
              <w:right w:val="single" w:sz="6" w:space="0" w:color="auto"/>
            </w:tcBorders>
          </w:tcPr>
          <w:p w14:paraId="41C08DA4"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13069AA8"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7F67DCD8" w14:textId="77777777" w:rsidR="00CA23D0" w:rsidRPr="00E30642" w:rsidRDefault="00CA23D0" w:rsidP="00CA23D0">
            <w:pPr>
              <w:pStyle w:val="Texttabulky"/>
              <w:spacing w:line="240" w:lineRule="atLeast"/>
              <w:jc w:val="both"/>
              <w:rPr>
                <w:rFonts w:cs="Arial"/>
              </w:rPr>
            </w:pPr>
            <w:r w:rsidRPr="00E30642">
              <w:rPr>
                <w:rFonts w:cs="Arial"/>
                <w:b/>
                <w:bCs/>
              </w:rPr>
              <w:t>375</w:t>
            </w:r>
          </w:p>
        </w:tc>
        <w:tc>
          <w:tcPr>
            <w:tcW w:w="1005" w:type="dxa"/>
            <w:tcBorders>
              <w:top w:val="single" w:sz="6" w:space="0" w:color="auto"/>
              <w:left w:val="single" w:sz="6" w:space="0" w:color="auto"/>
              <w:bottom w:val="single" w:sz="6" w:space="0" w:color="auto"/>
              <w:right w:val="single" w:sz="6" w:space="0" w:color="auto"/>
            </w:tcBorders>
          </w:tcPr>
          <w:p w14:paraId="4E90450D" w14:textId="77777777" w:rsidR="00CA23D0" w:rsidRPr="00E30642" w:rsidRDefault="00CA23D0" w:rsidP="00CA23D0">
            <w:pPr>
              <w:pStyle w:val="Texttabulky"/>
              <w:spacing w:line="240" w:lineRule="atLeast"/>
              <w:jc w:val="both"/>
              <w:rPr>
                <w:rFonts w:cs="Arial"/>
              </w:rPr>
            </w:pPr>
            <w:r w:rsidRPr="00E30642">
              <w:rPr>
                <w:rFonts w:cs="Arial"/>
                <w:b/>
                <w:bCs/>
              </w:rPr>
              <w:t>700</w:t>
            </w:r>
          </w:p>
        </w:tc>
        <w:tc>
          <w:tcPr>
            <w:tcW w:w="979" w:type="dxa"/>
            <w:tcBorders>
              <w:top w:val="single" w:sz="6" w:space="0" w:color="auto"/>
              <w:left w:val="single" w:sz="6" w:space="0" w:color="auto"/>
              <w:bottom w:val="single" w:sz="6" w:space="0" w:color="auto"/>
              <w:right w:val="single" w:sz="6" w:space="0" w:color="auto"/>
            </w:tcBorders>
          </w:tcPr>
          <w:p w14:paraId="0FB5E3DC" w14:textId="77777777" w:rsidR="00CA23D0" w:rsidRPr="00E30642" w:rsidRDefault="00CA23D0" w:rsidP="00CA23D0">
            <w:pPr>
              <w:pStyle w:val="Texttabulky"/>
              <w:spacing w:line="240" w:lineRule="atLeast"/>
              <w:jc w:val="both"/>
              <w:rPr>
                <w:rFonts w:cs="Arial"/>
              </w:rPr>
            </w:pPr>
            <w:r w:rsidRPr="00E30642">
              <w:rPr>
                <w:rFonts w:cs="Arial"/>
                <w:b/>
                <w:bCs/>
              </w:rPr>
              <w:t>1 075</w:t>
            </w:r>
          </w:p>
        </w:tc>
      </w:tr>
      <w:tr w:rsidR="00CA23D0" w:rsidRPr="00E30642" w14:paraId="49E40F6A"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3DBD91C1" w14:textId="77777777" w:rsidR="00CA23D0" w:rsidRPr="00E30642" w:rsidRDefault="00CA23D0" w:rsidP="00CA23D0">
            <w:pPr>
              <w:pStyle w:val="Texttabulky"/>
              <w:spacing w:line="240" w:lineRule="atLeast"/>
              <w:jc w:val="both"/>
              <w:rPr>
                <w:rFonts w:cs="Arial"/>
              </w:rPr>
            </w:pPr>
            <w:r w:rsidRPr="00E30642">
              <w:rPr>
                <w:rFonts w:cs="Arial"/>
                <w:b/>
                <w:bCs/>
              </w:rPr>
              <w:t>21</w:t>
            </w:r>
          </w:p>
        </w:tc>
        <w:tc>
          <w:tcPr>
            <w:tcW w:w="1963" w:type="dxa"/>
            <w:tcBorders>
              <w:top w:val="single" w:sz="6" w:space="0" w:color="auto"/>
              <w:left w:val="single" w:sz="6" w:space="0" w:color="auto"/>
              <w:bottom w:val="single" w:sz="6" w:space="0" w:color="auto"/>
              <w:right w:val="single" w:sz="6" w:space="0" w:color="auto"/>
            </w:tcBorders>
          </w:tcPr>
          <w:p w14:paraId="2C8D6072" w14:textId="77777777" w:rsidR="00CA23D0" w:rsidRPr="00E30642" w:rsidRDefault="00CA23D0" w:rsidP="00CA23D0">
            <w:pPr>
              <w:pStyle w:val="Texttabulky"/>
              <w:spacing w:line="240" w:lineRule="atLeast"/>
              <w:jc w:val="both"/>
              <w:rPr>
                <w:rFonts w:cs="Arial"/>
              </w:rPr>
            </w:pPr>
            <w:r w:rsidRPr="00E30642">
              <w:rPr>
                <w:rFonts w:cs="Arial"/>
              </w:rPr>
              <w:t>Popovice</w:t>
            </w:r>
          </w:p>
        </w:tc>
        <w:tc>
          <w:tcPr>
            <w:tcW w:w="940" w:type="dxa"/>
            <w:tcBorders>
              <w:top w:val="single" w:sz="6" w:space="0" w:color="auto"/>
              <w:left w:val="single" w:sz="6" w:space="0" w:color="auto"/>
              <w:bottom w:val="single" w:sz="6" w:space="0" w:color="auto"/>
              <w:right w:val="single" w:sz="6" w:space="0" w:color="auto"/>
            </w:tcBorders>
          </w:tcPr>
          <w:p w14:paraId="46B9CC42" w14:textId="77777777" w:rsidR="00CA23D0" w:rsidRPr="00E30642" w:rsidRDefault="00CA23D0" w:rsidP="00CA23D0">
            <w:pPr>
              <w:pStyle w:val="Texttabulky"/>
              <w:spacing w:line="240" w:lineRule="atLeast"/>
              <w:jc w:val="both"/>
              <w:rPr>
                <w:rFonts w:cs="Arial"/>
              </w:rPr>
            </w:pPr>
            <w:r w:rsidRPr="00E30642">
              <w:rPr>
                <w:rFonts w:cs="Arial"/>
              </w:rPr>
              <w:t>707</w:t>
            </w:r>
          </w:p>
        </w:tc>
        <w:tc>
          <w:tcPr>
            <w:tcW w:w="855" w:type="dxa"/>
            <w:tcBorders>
              <w:top w:val="single" w:sz="6" w:space="0" w:color="auto"/>
              <w:left w:val="single" w:sz="6" w:space="0" w:color="auto"/>
              <w:bottom w:val="single" w:sz="6" w:space="0" w:color="auto"/>
              <w:right w:val="single" w:sz="6" w:space="0" w:color="auto"/>
            </w:tcBorders>
          </w:tcPr>
          <w:p w14:paraId="60DDC775" w14:textId="77777777" w:rsidR="00CA23D0" w:rsidRPr="00E30642" w:rsidRDefault="00CA23D0" w:rsidP="00CA23D0">
            <w:pPr>
              <w:pStyle w:val="Texttabulky"/>
              <w:spacing w:line="240" w:lineRule="atLeast"/>
              <w:jc w:val="both"/>
              <w:rPr>
                <w:rFonts w:cs="Arial"/>
              </w:rPr>
            </w:pPr>
            <w:r w:rsidRPr="00E30642">
              <w:rPr>
                <w:rFonts w:cs="Arial"/>
              </w:rPr>
              <w:t>75</w:t>
            </w:r>
          </w:p>
        </w:tc>
        <w:tc>
          <w:tcPr>
            <w:tcW w:w="840" w:type="dxa"/>
            <w:tcBorders>
              <w:top w:val="single" w:sz="6" w:space="0" w:color="auto"/>
              <w:left w:val="single" w:sz="6" w:space="0" w:color="auto"/>
              <w:bottom w:val="single" w:sz="6" w:space="0" w:color="auto"/>
              <w:right w:val="single" w:sz="6" w:space="0" w:color="auto"/>
            </w:tcBorders>
          </w:tcPr>
          <w:p w14:paraId="3739B849"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3C5F87C2" w14:textId="77777777" w:rsidR="00CA23D0" w:rsidRPr="00E30642" w:rsidRDefault="00CA23D0" w:rsidP="00CA23D0">
            <w:pPr>
              <w:pStyle w:val="Texttabulky"/>
              <w:spacing w:line="240" w:lineRule="atLeast"/>
              <w:jc w:val="both"/>
              <w:rPr>
                <w:rFonts w:cs="Arial"/>
              </w:rPr>
            </w:pPr>
            <w:r w:rsidRPr="00E30642">
              <w:rPr>
                <w:rFonts w:cs="Arial"/>
              </w:rPr>
              <w:t>125</w:t>
            </w:r>
          </w:p>
        </w:tc>
        <w:tc>
          <w:tcPr>
            <w:tcW w:w="1005" w:type="dxa"/>
            <w:tcBorders>
              <w:top w:val="single" w:sz="6" w:space="0" w:color="auto"/>
              <w:left w:val="single" w:sz="6" w:space="0" w:color="auto"/>
              <w:bottom w:val="single" w:sz="6" w:space="0" w:color="auto"/>
              <w:right w:val="single" w:sz="6" w:space="0" w:color="auto"/>
            </w:tcBorders>
          </w:tcPr>
          <w:p w14:paraId="37E80301" w14:textId="77777777" w:rsidR="00CA23D0" w:rsidRPr="00E30642" w:rsidRDefault="00CA23D0" w:rsidP="00CA23D0">
            <w:pPr>
              <w:pStyle w:val="Texttabulky"/>
              <w:spacing w:line="240" w:lineRule="atLeast"/>
              <w:jc w:val="both"/>
              <w:rPr>
                <w:rFonts w:cs="Arial"/>
              </w:rPr>
            </w:pPr>
            <w:r w:rsidRPr="00E30642">
              <w:rPr>
                <w:rFonts w:cs="Arial"/>
              </w:rPr>
              <w:t>725</w:t>
            </w:r>
          </w:p>
        </w:tc>
        <w:tc>
          <w:tcPr>
            <w:tcW w:w="979" w:type="dxa"/>
            <w:tcBorders>
              <w:top w:val="single" w:sz="6" w:space="0" w:color="auto"/>
              <w:left w:val="single" w:sz="6" w:space="0" w:color="auto"/>
              <w:bottom w:val="single" w:sz="6" w:space="0" w:color="auto"/>
              <w:right w:val="single" w:sz="6" w:space="0" w:color="auto"/>
            </w:tcBorders>
          </w:tcPr>
          <w:p w14:paraId="5AC81BEC" w14:textId="77777777" w:rsidR="00CA23D0" w:rsidRPr="00E30642" w:rsidRDefault="00CA23D0" w:rsidP="00CA23D0">
            <w:pPr>
              <w:pStyle w:val="Texttabulky"/>
              <w:spacing w:line="240" w:lineRule="atLeast"/>
              <w:jc w:val="both"/>
              <w:rPr>
                <w:rFonts w:cs="Arial"/>
              </w:rPr>
            </w:pPr>
            <w:r w:rsidRPr="00E30642">
              <w:rPr>
                <w:rFonts w:cs="Arial"/>
              </w:rPr>
              <w:t>850</w:t>
            </w:r>
          </w:p>
        </w:tc>
      </w:tr>
      <w:tr w:rsidR="00CA23D0" w:rsidRPr="00E30642" w14:paraId="1F43D24C"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4D3037D0" w14:textId="77777777" w:rsidR="00CA23D0" w:rsidRPr="00E30642" w:rsidRDefault="00CA23D0" w:rsidP="00CA23D0">
            <w:pPr>
              <w:pStyle w:val="Texttabulky"/>
              <w:spacing w:line="240" w:lineRule="atLeast"/>
              <w:jc w:val="both"/>
              <w:rPr>
                <w:rFonts w:cs="Arial"/>
              </w:rPr>
            </w:pPr>
            <w:r w:rsidRPr="00E30642">
              <w:rPr>
                <w:rFonts w:cs="Arial"/>
                <w:b/>
                <w:bCs/>
              </w:rPr>
              <w:t>30</w:t>
            </w:r>
          </w:p>
        </w:tc>
        <w:tc>
          <w:tcPr>
            <w:tcW w:w="1963" w:type="dxa"/>
            <w:tcBorders>
              <w:top w:val="single" w:sz="6" w:space="0" w:color="auto"/>
              <w:left w:val="single" w:sz="6" w:space="0" w:color="auto"/>
              <w:bottom w:val="single" w:sz="6" w:space="0" w:color="auto"/>
              <w:right w:val="single" w:sz="6" w:space="0" w:color="auto"/>
            </w:tcBorders>
          </w:tcPr>
          <w:p w14:paraId="4DDA0C64" w14:textId="77777777" w:rsidR="00CA23D0" w:rsidRPr="00E30642" w:rsidRDefault="00CA23D0" w:rsidP="00CA23D0">
            <w:pPr>
              <w:pStyle w:val="Texttabulky"/>
              <w:spacing w:line="240" w:lineRule="atLeast"/>
              <w:jc w:val="both"/>
              <w:rPr>
                <w:rFonts w:cs="Arial"/>
              </w:rPr>
            </w:pPr>
            <w:r w:rsidRPr="00E30642">
              <w:rPr>
                <w:rFonts w:cs="Arial"/>
              </w:rPr>
              <w:t>Dolní Oldřichov</w:t>
            </w:r>
          </w:p>
        </w:tc>
        <w:tc>
          <w:tcPr>
            <w:tcW w:w="940" w:type="dxa"/>
            <w:tcBorders>
              <w:top w:val="single" w:sz="6" w:space="0" w:color="auto"/>
              <w:left w:val="single" w:sz="6" w:space="0" w:color="auto"/>
              <w:bottom w:val="single" w:sz="6" w:space="0" w:color="auto"/>
              <w:right w:val="single" w:sz="6" w:space="0" w:color="auto"/>
            </w:tcBorders>
          </w:tcPr>
          <w:p w14:paraId="411A2C66" w14:textId="77777777" w:rsidR="00CA23D0" w:rsidRPr="00E30642" w:rsidRDefault="00CA23D0" w:rsidP="00CA23D0">
            <w:pPr>
              <w:pStyle w:val="Texttabulky"/>
              <w:spacing w:line="240" w:lineRule="atLeast"/>
              <w:jc w:val="both"/>
              <w:rPr>
                <w:rFonts w:cs="Arial"/>
              </w:rPr>
            </w:pPr>
            <w:r w:rsidRPr="00E30642">
              <w:rPr>
                <w:rFonts w:cs="Arial"/>
              </w:rPr>
              <w:t>645</w:t>
            </w:r>
          </w:p>
        </w:tc>
        <w:tc>
          <w:tcPr>
            <w:tcW w:w="855" w:type="dxa"/>
            <w:tcBorders>
              <w:top w:val="single" w:sz="6" w:space="0" w:color="auto"/>
              <w:left w:val="single" w:sz="6" w:space="0" w:color="auto"/>
              <w:bottom w:val="single" w:sz="6" w:space="0" w:color="auto"/>
              <w:right w:val="single" w:sz="6" w:space="0" w:color="auto"/>
            </w:tcBorders>
          </w:tcPr>
          <w:p w14:paraId="24261741"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6456D60D"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725EAED3"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3565C964" w14:textId="77777777" w:rsidR="00CA23D0" w:rsidRPr="00E30642" w:rsidRDefault="00CA23D0" w:rsidP="00CA23D0">
            <w:pPr>
              <w:pStyle w:val="Texttabulky"/>
              <w:spacing w:line="240" w:lineRule="atLeast"/>
              <w:jc w:val="both"/>
              <w:rPr>
                <w:rFonts w:cs="Arial"/>
              </w:rPr>
            </w:pPr>
            <w:r w:rsidRPr="00E30642">
              <w:rPr>
                <w:rFonts w:cs="Arial"/>
              </w:rPr>
              <w:t>600</w:t>
            </w:r>
          </w:p>
        </w:tc>
        <w:tc>
          <w:tcPr>
            <w:tcW w:w="979" w:type="dxa"/>
            <w:tcBorders>
              <w:top w:val="single" w:sz="6" w:space="0" w:color="auto"/>
              <w:left w:val="single" w:sz="6" w:space="0" w:color="auto"/>
              <w:bottom w:val="single" w:sz="6" w:space="0" w:color="auto"/>
              <w:right w:val="single" w:sz="6" w:space="0" w:color="auto"/>
            </w:tcBorders>
          </w:tcPr>
          <w:p w14:paraId="1CEBDB2B" w14:textId="77777777" w:rsidR="00CA23D0" w:rsidRPr="00E30642" w:rsidRDefault="00CA23D0" w:rsidP="00CA23D0">
            <w:pPr>
              <w:pStyle w:val="Texttabulky"/>
              <w:spacing w:line="240" w:lineRule="atLeast"/>
              <w:jc w:val="both"/>
              <w:rPr>
                <w:rFonts w:cs="Arial"/>
              </w:rPr>
            </w:pPr>
            <w:r w:rsidRPr="00E30642">
              <w:rPr>
                <w:rFonts w:cs="Arial"/>
              </w:rPr>
              <w:t>600</w:t>
            </w:r>
          </w:p>
        </w:tc>
      </w:tr>
      <w:tr w:rsidR="00CA23D0" w:rsidRPr="00E30642" w14:paraId="78F4E057"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7E760A4" w14:textId="77777777" w:rsidR="00CA23D0" w:rsidRPr="00E30642" w:rsidRDefault="00CA23D0" w:rsidP="00CA23D0">
            <w:pPr>
              <w:pStyle w:val="Texttabulky"/>
              <w:spacing w:line="240" w:lineRule="atLeast"/>
              <w:jc w:val="both"/>
              <w:rPr>
                <w:rFonts w:cs="Arial"/>
              </w:rPr>
            </w:pPr>
            <w:r w:rsidRPr="00E30642">
              <w:rPr>
                <w:rFonts w:cs="Arial"/>
                <w:b/>
                <w:bCs/>
              </w:rPr>
              <w:t>16</w:t>
            </w:r>
          </w:p>
        </w:tc>
        <w:tc>
          <w:tcPr>
            <w:tcW w:w="1963" w:type="dxa"/>
            <w:tcBorders>
              <w:top w:val="single" w:sz="6" w:space="0" w:color="auto"/>
              <w:left w:val="single" w:sz="6" w:space="0" w:color="auto"/>
              <w:bottom w:val="single" w:sz="6" w:space="0" w:color="auto"/>
              <w:right w:val="single" w:sz="6" w:space="0" w:color="auto"/>
            </w:tcBorders>
          </w:tcPr>
          <w:p w14:paraId="52731B70" w14:textId="77777777" w:rsidR="00CA23D0" w:rsidRPr="00E30642" w:rsidRDefault="00CA23D0" w:rsidP="00CA23D0">
            <w:pPr>
              <w:pStyle w:val="Texttabulky"/>
              <w:spacing w:line="240" w:lineRule="atLeast"/>
              <w:jc w:val="both"/>
              <w:rPr>
                <w:rFonts w:cs="Arial"/>
              </w:rPr>
            </w:pPr>
            <w:r w:rsidRPr="00E30642">
              <w:rPr>
                <w:rFonts w:cs="Arial"/>
              </w:rPr>
              <w:t>Vilsnice</w:t>
            </w:r>
          </w:p>
        </w:tc>
        <w:tc>
          <w:tcPr>
            <w:tcW w:w="940" w:type="dxa"/>
            <w:tcBorders>
              <w:top w:val="single" w:sz="6" w:space="0" w:color="auto"/>
              <w:left w:val="single" w:sz="6" w:space="0" w:color="auto"/>
              <w:bottom w:val="single" w:sz="6" w:space="0" w:color="auto"/>
              <w:right w:val="single" w:sz="6" w:space="0" w:color="auto"/>
            </w:tcBorders>
          </w:tcPr>
          <w:p w14:paraId="24F089CE" w14:textId="77777777" w:rsidR="00CA23D0" w:rsidRPr="00E30642" w:rsidRDefault="00CA23D0" w:rsidP="00CA23D0">
            <w:pPr>
              <w:pStyle w:val="Texttabulky"/>
              <w:spacing w:line="240" w:lineRule="atLeast"/>
              <w:jc w:val="both"/>
              <w:rPr>
                <w:rFonts w:cs="Arial"/>
              </w:rPr>
            </w:pPr>
            <w:r w:rsidRPr="00E30642">
              <w:rPr>
                <w:rFonts w:cs="Arial"/>
              </w:rPr>
              <w:t>610</w:t>
            </w:r>
          </w:p>
        </w:tc>
        <w:tc>
          <w:tcPr>
            <w:tcW w:w="855" w:type="dxa"/>
            <w:tcBorders>
              <w:top w:val="single" w:sz="6" w:space="0" w:color="auto"/>
              <w:left w:val="single" w:sz="6" w:space="0" w:color="auto"/>
              <w:bottom w:val="single" w:sz="6" w:space="0" w:color="auto"/>
              <w:right w:val="single" w:sz="6" w:space="0" w:color="auto"/>
            </w:tcBorders>
          </w:tcPr>
          <w:p w14:paraId="3AE36FD0"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42455F72"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7A6B6CEE"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063EE279" w14:textId="77777777" w:rsidR="00CA23D0" w:rsidRPr="00E30642" w:rsidRDefault="00CA23D0" w:rsidP="00CA23D0">
            <w:pPr>
              <w:pStyle w:val="Texttabulky"/>
              <w:spacing w:line="240" w:lineRule="atLeast"/>
              <w:jc w:val="both"/>
              <w:rPr>
                <w:rFonts w:cs="Arial"/>
              </w:rPr>
            </w:pPr>
            <w:r w:rsidRPr="00E30642">
              <w:rPr>
                <w:rFonts w:cs="Arial"/>
              </w:rPr>
              <w:t>600</w:t>
            </w:r>
          </w:p>
        </w:tc>
        <w:tc>
          <w:tcPr>
            <w:tcW w:w="979" w:type="dxa"/>
            <w:tcBorders>
              <w:top w:val="single" w:sz="6" w:space="0" w:color="auto"/>
              <w:left w:val="single" w:sz="6" w:space="0" w:color="auto"/>
              <w:bottom w:val="single" w:sz="6" w:space="0" w:color="auto"/>
              <w:right w:val="single" w:sz="6" w:space="0" w:color="auto"/>
            </w:tcBorders>
          </w:tcPr>
          <w:p w14:paraId="3582E0BF" w14:textId="77777777" w:rsidR="00CA23D0" w:rsidRPr="00E30642" w:rsidRDefault="00CA23D0" w:rsidP="00CA23D0">
            <w:pPr>
              <w:pStyle w:val="Texttabulky"/>
              <w:spacing w:line="240" w:lineRule="atLeast"/>
              <w:jc w:val="both"/>
              <w:rPr>
                <w:rFonts w:cs="Arial"/>
              </w:rPr>
            </w:pPr>
            <w:r w:rsidRPr="00E30642">
              <w:rPr>
                <w:rFonts w:cs="Arial"/>
              </w:rPr>
              <w:t>600</w:t>
            </w:r>
          </w:p>
        </w:tc>
      </w:tr>
      <w:tr w:rsidR="00CA23D0" w:rsidRPr="00E30642" w14:paraId="6D328BA7"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654F6B74" w14:textId="77777777" w:rsidR="00CA23D0" w:rsidRPr="00E30642" w:rsidRDefault="00CA23D0" w:rsidP="00CA23D0">
            <w:pPr>
              <w:pStyle w:val="Texttabulky"/>
              <w:spacing w:line="240" w:lineRule="atLeast"/>
              <w:jc w:val="both"/>
              <w:rPr>
                <w:rFonts w:cs="Arial"/>
              </w:rPr>
            </w:pPr>
            <w:r w:rsidRPr="00E30642">
              <w:rPr>
                <w:rFonts w:cs="Arial"/>
                <w:b/>
                <w:bCs/>
              </w:rPr>
              <w:t>18</w:t>
            </w:r>
          </w:p>
        </w:tc>
        <w:tc>
          <w:tcPr>
            <w:tcW w:w="1963" w:type="dxa"/>
            <w:tcBorders>
              <w:top w:val="single" w:sz="6" w:space="0" w:color="auto"/>
              <w:left w:val="single" w:sz="6" w:space="0" w:color="auto"/>
              <w:bottom w:val="single" w:sz="6" w:space="0" w:color="auto"/>
              <w:right w:val="single" w:sz="6" w:space="0" w:color="auto"/>
            </w:tcBorders>
          </w:tcPr>
          <w:p w14:paraId="32DA391A" w14:textId="77777777" w:rsidR="00CA23D0" w:rsidRPr="00E30642" w:rsidRDefault="00CA23D0" w:rsidP="00CA23D0">
            <w:pPr>
              <w:pStyle w:val="Texttabulky"/>
              <w:spacing w:line="240" w:lineRule="atLeast"/>
              <w:jc w:val="both"/>
              <w:rPr>
                <w:rFonts w:cs="Arial"/>
              </w:rPr>
            </w:pPr>
            <w:r w:rsidRPr="00E30642">
              <w:rPr>
                <w:rFonts w:cs="Arial"/>
              </w:rPr>
              <w:t>Rozbělesy</w:t>
            </w:r>
          </w:p>
        </w:tc>
        <w:tc>
          <w:tcPr>
            <w:tcW w:w="940" w:type="dxa"/>
            <w:tcBorders>
              <w:top w:val="single" w:sz="6" w:space="0" w:color="auto"/>
              <w:left w:val="single" w:sz="6" w:space="0" w:color="auto"/>
              <w:bottom w:val="single" w:sz="6" w:space="0" w:color="auto"/>
              <w:right w:val="single" w:sz="6" w:space="0" w:color="auto"/>
            </w:tcBorders>
          </w:tcPr>
          <w:p w14:paraId="78CD6CDD" w14:textId="77777777" w:rsidR="00CA23D0" w:rsidRPr="00E30642" w:rsidRDefault="00CA23D0" w:rsidP="00CA23D0">
            <w:pPr>
              <w:pStyle w:val="Texttabulky"/>
              <w:spacing w:line="240" w:lineRule="atLeast"/>
              <w:jc w:val="both"/>
              <w:rPr>
                <w:rFonts w:cs="Arial"/>
              </w:rPr>
            </w:pPr>
            <w:r w:rsidRPr="00E30642">
              <w:rPr>
                <w:rFonts w:cs="Arial"/>
              </w:rPr>
              <w:t>569</w:t>
            </w:r>
          </w:p>
        </w:tc>
        <w:tc>
          <w:tcPr>
            <w:tcW w:w="855" w:type="dxa"/>
            <w:tcBorders>
              <w:top w:val="single" w:sz="6" w:space="0" w:color="auto"/>
              <w:left w:val="single" w:sz="6" w:space="0" w:color="auto"/>
              <w:bottom w:val="single" w:sz="6" w:space="0" w:color="auto"/>
              <w:right w:val="single" w:sz="6" w:space="0" w:color="auto"/>
            </w:tcBorders>
          </w:tcPr>
          <w:p w14:paraId="7BD652FE"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683ACC16"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32B464E6"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4D8F9D87" w14:textId="77777777" w:rsidR="00CA23D0" w:rsidRPr="00E30642" w:rsidRDefault="00CA23D0" w:rsidP="00CA23D0">
            <w:pPr>
              <w:pStyle w:val="Texttabulky"/>
              <w:spacing w:line="240" w:lineRule="atLeast"/>
              <w:jc w:val="both"/>
              <w:rPr>
                <w:rFonts w:cs="Arial"/>
              </w:rPr>
            </w:pPr>
            <w:r w:rsidRPr="00E30642">
              <w:rPr>
                <w:rFonts w:cs="Arial"/>
              </w:rPr>
              <w:t>500</w:t>
            </w:r>
          </w:p>
        </w:tc>
        <w:tc>
          <w:tcPr>
            <w:tcW w:w="979" w:type="dxa"/>
            <w:tcBorders>
              <w:top w:val="single" w:sz="6" w:space="0" w:color="auto"/>
              <w:left w:val="single" w:sz="6" w:space="0" w:color="auto"/>
              <w:bottom w:val="single" w:sz="6" w:space="0" w:color="auto"/>
              <w:right w:val="single" w:sz="6" w:space="0" w:color="auto"/>
            </w:tcBorders>
          </w:tcPr>
          <w:p w14:paraId="199B12F2" w14:textId="77777777" w:rsidR="00CA23D0" w:rsidRPr="00E30642" w:rsidRDefault="00CA23D0" w:rsidP="00CA23D0">
            <w:pPr>
              <w:pStyle w:val="Texttabulky"/>
              <w:spacing w:line="240" w:lineRule="atLeast"/>
              <w:jc w:val="both"/>
              <w:rPr>
                <w:rFonts w:cs="Arial"/>
              </w:rPr>
            </w:pPr>
            <w:r w:rsidRPr="00E30642">
              <w:rPr>
                <w:rFonts w:cs="Arial"/>
              </w:rPr>
              <w:t>500</w:t>
            </w:r>
          </w:p>
        </w:tc>
      </w:tr>
      <w:tr w:rsidR="00CA23D0" w:rsidRPr="00E30642" w14:paraId="5696FC8F"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47247948" w14:textId="77777777" w:rsidR="00CA23D0" w:rsidRPr="00E30642" w:rsidRDefault="00CA23D0" w:rsidP="00CA23D0">
            <w:pPr>
              <w:pStyle w:val="Texttabulky"/>
              <w:spacing w:line="240" w:lineRule="atLeast"/>
              <w:jc w:val="both"/>
              <w:rPr>
                <w:rFonts w:cs="Arial"/>
              </w:rPr>
            </w:pPr>
            <w:r w:rsidRPr="00E30642">
              <w:rPr>
                <w:rFonts w:cs="Arial"/>
                <w:b/>
                <w:bCs/>
              </w:rPr>
              <w:t>25</w:t>
            </w:r>
          </w:p>
        </w:tc>
        <w:tc>
          <w:tcPr>
            <w:tcW w:w="1963" w:type="dxa"/>
            <w:tcBorders>
              <w:top w:val="single" w:sz="6" w:space="0" w:color="auto"/>
              <w:left w:val="single" w:sz="6" w:space="0" w:color="auto"/>
              <w:bottom w:val="single" w:sz="6" w:space="0" w:color="auto"/>
              <w:right w:val="single" w:sz="6" w:space="0" w:color="auto"/>
            </w:tcBorders>
          </w:tcPr>
          <w:p w14:paraId="5D4DA37C" w14:textId="77777777" w:rsidR="00CA23D0" w:rsidRPr="00E30642" w:rsidRDefault="00CA23D0" w:rsidP="00CA23D0">
            <w:pPr>
              <w:pStyle w:val="Texttabulky"/>
              <w:spacing w:line="240" w:lineRule="atLeast"/>
              <w:jc w:val="both"/>
              <w:rPr>
                <w:rFonts w:cs="Arial"/>
              </w:rPr>
            </w:pPr>
            <w:r w:rsidRPr="00E30642">
              <w:rPr>
                <w:rFonts w:cs="Arial"/>
              </w:rPr>
              <w:t>Červený vrch</w:t>
            </w:r>
          </w:p>
        </w:tc>
        <w:tc>
          <w:tcPr>
            <w:tcW w:w="940" w:type="dxa"/>
            <w:tcBorders>
              <w:top w:val="single" w:sz="6" w:space="0" w:color="auto"/>
              <w:left w:val="single" w:sz="6" w:space="0" w:color="auto"/>
              <w:bottom w:val="single" w:sz="6" w:space="0" w:color="auto"/>
              <w:right w:val="single" w:sz="6" w:space="0" w:color="auto"/>
            </w:tcBorders>
          </w:tcPr>
          <w:p w14:paraId="0685AE35" w14:textId="77777777" w:rsidR="00CA23D0" w:rsidRPr="00E30642" w:rsidRDefault="00CA23D0" w:rsidP="00CA23D0">
            <w:pPr>
              <w:pStyle w:val="Texttabulky"/>
              <w:spacing w:line="240" w:lineRule="atLeast"/>
              <w:jc w:val="both"/>
              <w:rPr>
                <w:rFonts w:cs="Arial"/>
              </w:rPr>
            </w:pPr>
            <w:r w:rsidRPr="00E30642">
              <w:rPr>
                <w:rFonts w:cs="Arial"/>
              </w:rPr>
              <w:t>477</w:t>
            </w:r>
          </w:p>
        </w:tc>
        <w:tc>
          <w:tcPr>
            <w:tcW w:w="855" w:type="dxa"/>
            <w:tcBorders>
              <w:top w:val="single" w:sz="6" w:space="0" w:color="auto"/>
              <w:left w:val="single" w:sz="6" w:space="0" w:color="auto"/>
              <w:bottom w:val="single" w:sz="6" w:space="0" w:color="auto"/>
              <w:right w:val="single" w:sz="6" w:space="0" w:color="auto"/>
            </w:tcBorders>
          </w:tcPr>
          <w:p w14:paraId="5178D8C8"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24214CF8"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2C92978B"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0ECC73FC" w14:textId="77777777" w:rsidR="00CA23D0" w:rsidRPr="00E30642" w:rsidRDefault="00CA23D0" w:rsidP="00CA23D0">
            <w:pPr>
              <w:pStyle w:val="Texttabulky"/>
              <w:spacing w:line="240" w:lineRule="atLeast"/>
              <w:jc w:val="both"/>
              <w:rPr>
                <w:rFonts w:cs="Arial"/>
              </w:rPr>
            </w:pPr>
            <w:r w:rsidRPr="00E30642">
              <w:rPr>
                <w:rFonts w:cs="Arial"/>
              </w:rPr>
              <w:t>450</w:t>
            </w:r>
          </w:p>
        </w:tc>
        <w:tc>
          <w:tcPr>
            <w:tcW w:w="979" w:type="dxa"/>
            <w:tcBorders>
              <w:top w:val="single" w:sz="6" w:space="0" w:color="auto"/>
              <w:left w:val="single" w:sz="6" w:space="0" w:color="auto"/>
              <w:bottom w:val="single" w:sz="6" w:space="0" w:color="auto"/>
              <w:right w:val="single" w:sz="6" w:space="0" w:color="auto"/>
            </w:tcBorders>
          </w:tcPr>
          <w:p w14:paraId="548A3EC5" w14:textId="77777777" w:rsidR="00CA23D0" w:rsidRPr="00E30642" w:rsidRDefault="00CA23D0" w:rsidP="00CA23D0">
            <w:pPr>
              <w:pStyle w:val="Texttabulky"/>
              <w:spacing w:line="240" w:lineRule="atLeast"/>
              <w:jc w:val="both"/>
              <w:rPr>
                <w:rFonts w:cs="Arial"/>
              </w:rPr>
            </w:pPr>
            <w:r w:rsidRPr="00E30642">
              <w:rPr>
                <w:rFonts w:cs="Arial"/>
              </w:rPr>
              <w:t>450</w:t>
            </w:r>
          </w:p>
        </w:tc>
      </w:tr>
      <w:tr w:rsidR="00CA23D0" w:rsidRPr="00E30642" w14:paraId="5DF167AB"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7963D07D" w14:textId="77777777" w:rsidR="00CA23D0" w:rsidRPr="00E30642" w:rsidRDefault="00CA23D0" w:rsidP="00CA23D0">
            <w:pPr>
              <w:pStyle w:val="Texttabulky"/>
              <w:spacing w:line="240" w:lineRule="atLeast"/>
              <w:jc w:val="both"/>
              <w:rPr>
                <w:rFonts w:cs="Arial"/>
              </w:rPr>
            </w:pPr>
            <w:r w:rsidRPr="00E30642">
              <w:rPr>
                <w:rFonts w:cs="Arial"/>
                <w:b/>
                <w:bCs/>
              </w:rPr>
              <w:t>28</w:t>
            </w:r>
          </w:p>
        </w:tc>
        <w:tc>
          <w:tcPr>
            <w:tcW w:w="1963" w:type="dxa"/>
            <w:tcBorders>
              <w:top w:val="single" w:sz="6" w:space="0" w:color="auto"/>
              <w:left w:val="single" w:sz="6" w:space="0" w:color="auto"/>
              <w:bottom w:val="single" w:sz="6" w:space="0" w:color="auto"/>
              <w:right w:val="single" w:sz="6" w:space="0" w:color="auto"/>
            </w:tcBorders>
          </w:tcPr>
          <w:p w14:paraId="054243C0" w14:textId="77777777" w:rsidR="00CA23D0" w:rsidRPr="00E30642" w:rsidRDefault="00CA23D0" w:rsidP="00CA23D0">
            <w:pPr>
              <w:pStyle w:val="Texttabulky"/>
              <w:spacing w:line="240" w:lineRule="atLeast"/>
              <w:jc w:val="both"/>
              <w:rPr>
                <w:rFonts w:cs="Arial"/>
              </w:rPr>
            </w:pPr>
            <w:r w:rsidRPr="00E30642">
              <w:rPr>
                <w:rFonts w:cs="Arial"/>
              </w:rPr>
              <w:t>Jalůvčí</w:t>
            </w:r>
          </w:p>
        </w:tc>
        <w:tc>
          <w:tcPr>
            <w:tcW w:w="940" w:type="dxa"/>
            <w:tcBorders>
              <w:top w:val="single" w:sz="6" w:space="0" w:color="auto"/>
              <w:left w:val="single" w:sz="6" w:space="0" w:color="auto"/>
              <w:bottom w:val="single" w:sz="6" w:space="0" w:color="auto"/>
              <w:right w:val="single" w:sz="6" w:space="0" w:color="auto"/>
            </w:tcBorders>
          </w:tcPr>
          <w:p w14:paraId="5A2DC56F" w14:textId="77777777" w:rsidR="00CA23D0" w:rsidRPr="00E30642" w:rsidRDefault="00CA23D0" w:rsidP="00CA23D0">
            <w:pPr>
              <w:pStyle w:val="Texttabulky"/>
              <w:spacing w:line="240" w:lineRule="atLeast"/>
              <w:jc w:val="both"/>
              <w:rPr>
                <w:rFonts w:cs="Arial"/>
              </w:rPr>
            </w:pPr>
            <w:r w:rsidRPr="00E30642">
              <w:rPr>
                <w:rFonts w:cs="Arial"/>
              </w:rPr>
              <w:t>460</w:t>
            </w:r>
          </w:p>
        </w:tc>
        <w:tc>
          <w:tcPr>
            <w:tcW w:w="855" w:type="dxa"/>
            <w:tcBorders>
              <w:top w:val="single" w:sz="6" w:space="0" w:color="auto"/>
              <w:left w:val="single" w:sz="6" w:space="0" w:color="auto"/>
              <w:bottom w:val="single" w:sz="6" w:space="0" w:color="auto"/>
              <w:right w:val="single" w:sz="6" w:space="0" w:color="auto"/>
            </w:tcBorders>
          </w:tcPr>
          <w:p w14:paraId="28FC255E" w14:textId="77777777" w:rsidR="00CA23D0" w:rsidRPr="00E30642" w:rsidRDefault="00CA23D0" w:rsidP="00CA23D0">
            <w:pPr>
              <w:pStyle w:val="Texttabulky"/>
              <w:spacing w:line="240" w:lineRule="atLeast"/>
              <w:jc w:val="both"/>
              <w:rPr>
                <w:rFonts w:cs="Arial"/>
              </w:rPr>
            </w:pPr>
            <w:r w:rsidRPr="00E30642">
              <w:rPr>
                <w:rFonts w:cs="Arial"/>
              </w:rPr>
              <w:t>70</w:t>
            </w:r>
          </w:p>
        </w:tc>
        <w:tc>
          <w:tcPr>
            <w:tcW w:w="840" w:type="dxa"/>
            <w:tcBorders>
              <w:top w:val="single" w:sz="6" w:space="0" w:color="auto"/>
              <w:left w:val="single" w:sz="6" w:space="0" w:color="auto"/>
              <w:bottom w:val="single" w:sz="6" w:space="0" w:color="auto"/>
              <w:right w:val="single" w:sz="6" w:space="0" w:color="auto"/>
            </w:tcBorders>
          </w:tcPr>
          <w:p w14:paraId="6C324C28"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60A07F88"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08497EEB" w14:textId="77777777" w:rsidR="00CA23D0" w:rsidRPr="00E30642" w:rsidRDefault="00CA23D0" w:rsidP="00CA23D0">
            <w:pPr>
              <w:pStyle w:val="Texttabulky"/>
              <w:spacing w:line="240" w:lineRule="atLeast"/>
              <w:jc w:val="both"/>
              <w:rPr>
                <w:rFonts w:cs="Arial"/>
              </w:rPr>
            </w:pPr>
            <w:r w:rsidRPr="00E30642">
              <w:rPr>
                <w:rFonts w:cs="Arial"/>
              </w:rPr>
              <w:t>470</w:t>
            </w:r>
          </w:p>
        </w:tc>
        <w:tc>
          <w:tcPr>
            <w:tcW w:w="979" w:type="dxa"/>
            <w:tcBorders>
              <w:top w:val="single" w:sz="6" w:space="0" w:color="auto"/>
              <w:left w:val="single" w:sz="6" w:space="0" w:color="auto"/>
              <w:bottom w:val="single" w:sz="6" w:space="0" w:color="auto"/>
              <w:right w:val="single" w:sz="6" w:space="0" w:color="auto"/>
            </w:tcBorders>
          </w:tcPr>
          <w:p w14:paraId="0696B02D" w14:textId="77777777" w:rsidR="00CA23D0" w:rsidRPr="00E30642" w:rsidRDefault="00CA23D0" w:rsidP="00CA23D0">
            <w:pPr>
              <w:pStyle w:val="Texttabulky"/>
              <w:spacing w:line="240" w:lineRule="atLeast"/>
              <w:jc w:val="both"/>
              <w:rPr>
                <w:rFonts w:cs="Arial"/>
              </w:rPr>
            </w:pPr>
            <w:r w:rsidRPr="00E30642">
              <w:rPr>
                <w:rFonts w:cs="Arial"/>
              </w:rPr>
              <w:t>470</w:t>
            </w:r>
          </w:p>
        </w:tc>
      </w:tr>
      <w:tr w:rsidR="00CA23D0" w:rsidRPr="00E30642" w14:paraId="4C3ED3F0"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1122E33D" w14:textId="77777777" w:rsidR="00CA23D0" w:rsidRPr="00E30642" w:rsidRDefault="00CA23D0" w:rsidP="00CA23D0">
            <w:pPr>
              <w:pStyle w:val="Texttabulky"/>
              <w:spacing w:line="240" w:lineRule="atLeast"/>
              <w:jc w:val="both"/>
              <w:rPr>
                <w:rFonts w:cs="Arial"/>
              </w:rPr>
            </w:pPr>
            <w:r w:rsidRPr="00E30642">
              <w:rPr>
                <w:rFonts w:cs="Arial"/>
                <w:b/>
                <w:bCs/>
              </w:rPr>
              <w:t>42</w:t>
            </w:r>
          </w:p>
        </w:tc>
        <w:tc>
          <w:tcPr>
            <w:tcW w:w="1963" w:type="dxa"/>
            <w:tcBorders>
              <w:top w:val="single" w:sz="6" w:space="0" w:color="auto"/>
              <w:left w:val="single" w:sz="6" w:space="0" w:color="auto"/>
              <w:bottom w:val="single" w:sz="6" w:space="0" w:color="auto"/>
              <w:right w:val="single" w:sz="6" w:space="0" w:color="auto"/>
            </w:tcBorders>
          </w:tcPr>
          <w:p w14:paraId="02746605" w14:textId="77777777" w:rsidR="00CA23D0" w:rsidRPr="00E30642" w:rsidRDefault="00CA23D0" w:rsidP="00CA23D0">
            <w:pPr>
              <w:pStyle w:val="Texttabulky"/>
              <w:spacing w:line="240" w:lineRule="atLeast"/>
              <w:jc w:val="both"/>
              <w:rPr>
                <w:rFonts w:cs="Arial"/>
              </w:rPr>
            </w:pPr>
            <w:r w:rsidRPr="00E30642">
              <w:rPr>
                <w:rFonts w:cs="Arial"/>
              </w:rPr>
              <w:t>Krásný Studenec</w:t>
            </w:r>
          </w:p>
        </w:tc>
        <w:tc>
          <w:tcPr>
            <w:tcW w:w="940" w:type="dxa"/>
            <w:tcBorders>
              <w:top w:val="single" w:sz="6" w:space="0" w:color="auto"/>
              <w:left w:val="single" w:sz="6" w:space="0" w:color="auto"/>
              <w:bottom w:val="single" w:sz="6" w:space="0" w:color="auto"/>
              <w:right w:val="single" w:sz="6" w:space="0" w:color="auto"/>
            </w:tcBorders>
          </w:tcPr>
          <w:p w14:paraId="467A6C89" w14:textId="77777777" w:rsidR="00CA23D0" w:rsidRPr="00E30642" w:rsidRDefault="00CA23D0" w:rsidP="00CA23D0">
            <w:pPr>
              <w:pStyle w:val="Texttabulky"/>
              <w:spacing w:line="240" w:lineRule="atLeast"/>
              <w:jc w:val="both"/>
              <w:rPr>
                <w:rFonts w:cs="Arial"/>
              </w:rPr>
            </w:pPr>
            <w:r w:rsidRPr="00E30642">
              <w:rPr>
                <w:rFonts w:cs="Arial"/>
              </w:rPr>
              <w:t>401</w:t>
            </w:r>
          </w:p>
        </w:tc>
        <w:tc>
          <w:tcPr>
            <w:tcW w:w="855" w:type="dxa"/>
            <w:tcBorders>
              <w:top w:val="single" w:sz="6" w:space="0" w:color="auto"/>
              <w:left w:val="single" w:sz="6" w:space="0" w:color="auto"/>
              <w:bottom w:val="single" w:sz="6" w:space="0" w:color="auto"/>
              <w:right w:val="single" w:sz="6" w:space="0" w:color="auto"/>
            </w:tcBorders>
          </w:tcPr>
          <w:p w14:paraId="61A2AFBE"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393CF30D"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72450A31" w14:textId="77777777" w:rsidR="00CA23D0" w:rsidRPr="00E30642" w:rsidRDefault="00CA23D0" w:rsidP="00CA23D0">
            <w:pPr>
              <w:pStyle w:val="Texttabulky"/>
              <w:spacing w:line="240" w:lineRule="atLeast"/>
              <w:jc w:val="both"/>
              <w:rPr>
                <w:rFonts w:cs="Arial"/>
              </w:rPr>
            </w:pPr>
            <w:r w:rsidRPr="00E30642">
              <w:rPr>
                <w:rFonts w:cs="Arial"/>
              </w:rPr>
              <w:t>180</w:t>
            </w:r>
          </w:p>
        </w:tc>
        <w:tc>
          <w:tcPr>
            <w:tcW w:w="1005" w:type="dxa"/>
            <w:tcBorders>
              <w:top w:val="single" w:sz="6" w:space="0" w:color="auto"/>
              <w:left w:val="single" w:sz="6" w:space="0" w:color="auto"/>
              <w:bottom w:val="single" w:sz="6" w:space="0" w:color="auto"/>
              <w:right w:val="single" w:sz="6" w:space="0" w:color="auto"/>
            </w:tcBorders>
          </w:tcPr>
          <w:p w14:paraId="5DA4FD26" w14:textId="77777777" w:rsidR="00CA23D0" w:rsidRPr="00E30642" w:rsidRDefault="00CA23D0" w:rsidP="00CA23D0">
            <w:pPr>
              <w:pStyle w:val="Texttabulky"/>
              <w:spacing w:line="240" w:lineRule="atLeast"/>
              <w:jc w:val="both"/>
              <w:rPr>
                <w:rFonts w:cs="Arial"/>
              </w:rPr>
            </w:pPr>
            <w:r w:rsidRPr="00E30642">
              <w:rPr>
                <w:rFonts w:cs="Arial"/>
              </w:rPr>
              <w:t>350</w:t>
            </w:r>
          </w:p>
        </w:tc>
        <w:tc>
          <w:tcPr>
            <w:tcW w:w="979" w:type="dxa"/>
            <w:tcBorders>
              <w:top w:val="single" w:sz="6" w:space="0" w:color="auto"/>
              <w:left w:val="single" w:sz="6" w:space="0" w:color="auto"/>
              <w:bottom w:val="single" w:sz="6" w:space="0" w:color="auto"/>
              <w:right w:val="single" w:sz="6" w:space="0" w:color="auto"/>
            </w:tcBorders>
          </w:tcPr>
          <w:p w14:paraId="1D9084AE" w14:textId="77777777" w:rsidR="00CA23D0" w:rsidRPr="00E30642" w:rsidRDefault="00CA23D0" w:rsidP="00CA23D0">
            <w:pPr>
              <w:pStyle w:val="Texttabulky"/>
              <w:spacing w:line="240" w:lineRule="atLeast"/>
              <w:jc w:val="both"/>
              <w:rPr>
                <w:rFonts w:cs="Arial"/>
              </w:rPr>
            </w:pPr>
            <w:r w:rsidRPr="00E30642">
              <w:rPr>
                <w:rFonts w:cs="Arial"/>
              </w:rPr>
              <w:t>530</w:t>
            </w:r>
          </w:p>
        </w:tc>
      </w:tr>
      <w:tr w:rsidR="00CA23D0" w:rsidRPr="00E30642" w14:paraId="158028D4"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21557807" w14:textId="77777777" w:rsidR="00CA23D0" w:rsidRPr="00E30642" w:rsidRDefault="00CA23D0" w:rsidP="00CA23D0">
            <w:pPr>
              <w:pStyle w:val="Texttabulky"/>
              <w:spacing w:line="240" w:lineRule="atLeast"/>
              <w:jc w:val="both"/>
              <w:rPr>
                <w:rFonts w:cs="Arial"/>
              </w:rPr>
            </w:pPr>
            <w:r w:rsidRPr="00E30642">
              <w:rPr>
                <w:rFonts w:cs="Arial"/>
                <w:b/>
                <w:bCs/>
              </w:rPr>
              <w:t>29</w:t>
            </w:r>
          </w:p>
        </w:tc>
        <w:tc>
          <w:tcPr>
            <w:tcW w:w="1963" w:type="dxa"/>
            <w:tcBorders>
              <w:top w:val="single" w:sz="6" w:space="0" w:color="auto"/>
              <w:left w:val="single" w:sz="6" w:space="0" w:color="auto"/>
              <w:bottom w:val="single" w:sz="6" w:space="0" w:color="auto"/>
              <w:right w:val="single" w:sz="6" w:space="0" w:color="auto"/>
            </w:tcBorders>
          </w:tcPr>
          <w:p w14:paraId="66EA7636" w14:textId="77777777" w:rsidR="00CA23D0" w:rsidRPr="00E30642" w:rsidRDefault="00CA23D0" w:rsidP="00CA23D0">
            <w:pPr>
              <w:pStyle w:val="Texttabulky"/>
              <w:spacing w:line="240" w:lineRule="atLeast"/>
              <w:jc w:val="both"/>
              <w:rPr>
                <w:rFonts w:cs="Arial"/>
              </w:rPr>
            </w:pPr>
            <w:r w:rsidRPr="00E30642">
              <w:rPr>
                <w:rFonts w:cs="Arial"/>
              </w:rPr>
              <w:t>Žlíbek</w:t>
            </w:r>
          </w:p>
        </w:tc>
        <w:tc>
          <w:tcPr>
            <w:tcW w:w="940" w:type="dxa"/>
            <w:tcBorders>
              <w:top w:val="single" w:sz="6" w:space="0" w:color="auto"/>
              <w:left w:val="single" w:sz="6" w:space="0" w:color="auto"/>
              <w:bottom w:val="single" w:sz="6" w:space="0" w:color="auto"/>
              <w:right w:val="single" w:sz="6" w:space="0" w:color="auto"/>
            </w:tcBorders>
          </w:tcPr>
          <w:p w14:paraId="4BC5F55F" w14:textId="77777777" w:rsidR="00CA23D0" w:rsidRPr="00E30642" w:rsidRDefault="00CA23D0" w:rsidP="00CA23D0">
            <w:pPr>
              <w:pStyle w:val="Texttabulky"/>
              <w:spacing w:line="240" w:lineRule="atLeast"/>
              <w:jc w:val="both"/>
              <w:rPr>
                <w:rFonts w:cs="Arial"/>
              </w:rPr>
            </w:pPr>
            <w:r w:rsidRPr="00E30642">
              <w:rPr>
                <w:rFonts w:cs="Arial"/>
              </w:rPr>
              <w:t>391</w:t>
            </w:r>
          </w:p>
        </w:tc>
        <w:tc>
          <w:tcPr>
            <w:tcW w:w="855" w:type="dxa"/>
            <w:tcBorders>
              <w:top w:val="single" w:sz="6" w:space="0" w:color="auto"/>
              <w:left w:val="single" w:sz="6" w:space="0" w:color="auto"/>
              <w:bottom w:val="single" w:sz="6" w:space="0" w:color="auto"/>
              <w:right w:val="single" w:sz="6" w:space="0" w:color="auto"/>
            </w:tcBorders>
          </w:tcPr>
          <w:p w14:paraId="04630BBE" w14:textId="77777777" w:rsidR="00CA23D0" w:rsidRPr="00E30642" w:rsidRDefault="00CA23D0" w:rsidP="00CA23D0">
            <w:pPr>
              <w:pStyle w:val="Texttabulky"/>
              <w:spacing w:line="240" w:lineRule="atLeast"/>
              <w:jc w:val="both"/>
              <w:rPr>
                <w:rFonts w:cs="Arial"/>
              </w:rPr>
            </w:pPr>
            <w:r w:rsidRPr="00E30642">
              <w:rPr>
                <w:rFonts w:cs="Arial"/>
              </w:rPr>
              <w:t>285</w:t>
            </w:r>
          </w:p>
        </w:tc>
        <w:tc>
          <w:tcPr>
            <w:tcW w:w="840" w:type="dxa"/>
            <w:tcBorders>
              <w:top w:val="single" w:sz="6" w:space="0" w:color="auto"/>
              <w:left w:val="single" w:sz="6" w:space="0" w:color="auto"/>
              <w:bottom w:val="single" w:sz="6" w:space="0" w:color="auto"/>
              <w:right w:val="single" w:sz="6" w:space="0" w:color="auto"/>
            </w:tcBorders>
          </w:tcPr>
          <w:p w14:paraId="66C61D69"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5963377C"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4E5470EE" w14:textId="77777777" w:rsidR="00CA23D0" w:rsidRPr="00E30642" w:rsidRDefault="00CA23D0" w:rsidP="00CA23D0">
            <w:pPr>
              <w:pStyle w:val="Texttabulky"/>
              <w:spacing w:line="240" w:lineRule="atLeast"/>
              <w:jc w:val="both"/>
              <w:rPr>
                <w:rFonts w:cs="Arial"/>
              </w:rPr>
            </w:pPr>
            <w:r w:rsidRPr="00E30642">
              <w:rPr>
                <w:rFonts w:cs="Arial"/>
              </w:rPr>
              <w:t>635</w:t>
            </w:r>
          </w:p>
        </w:tc>
        <w:tc>
          <w:tcPr>
            <w:tcW w:w="979" w:type="dxa"/>
            <w:tcBorders>
              <w:top w:val="single" w:sz="6" w:space="0" w:color="auto"/>
              <w:left w:val="single" w:sz="6" w:space="0" w:color="auto"/>
              <w:bottom w:val="single" w:sz="6" w:space="0" w:color="auto"/>
              <w:right w:val="single" w:sz="6" w:space="0" w:color="auto"/>
            </w:tcBorders>
          </w:tcPr>
          <w:p w14:paraId="187D2EFC" w14:textId="77777777" w:rsidR="00CA23D0" w:rsidRPr="00E30642" w:rsidRDefault="00CA23D0" w:rsidP="00CA23D0">
            <w:pPr>
              <w:pStyle w:val="Texttabulky"/>
              <w:spacing w:line="240" w:lineRule="atLeast"/>
              <w:jc w:val="both"/>
              <w:rPr>
                <w:rFonts w:cs="Arial"/>
              </w:rPr>
            </w:pPr>
            <w:r w:rsidRPr="00E30642">
              <w:rPr>
                <w:rFonts w:cs="Arial"/>
              </w:rPr>
              <w:t>635</w:t>
            </w:r>
          </w:p>
        </w:tc>
      </w:tr>
      <w:tr w:rsidR="00CA23D0" w:rsidRPr="00E30642" w14:paraId="5CD0A74C"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70AB1817" w14:textId="77777777" w:rsidR="00CA23D0" w:rsidRPr="00E30642" w:rsidRDefault="00CA23D0" w:rsidP="00CA23D0">
            <w:pPr>
              <w:pStyle w:val="Texttabulky"/>
              <w:spacing w:line="240" w:lineRule="atLeast"/>
              <w:jc w:val="both"/>
              <w:rPr>
                <w:rFonts w:cs="Arial"/>
              </w:rPr>
            </w:pPr>
            <w:r w:rsidRPr="00E30642">
              <w:rPr>
                <w:rFonts w:cs="Arial"/>
                <w:b/>
                <w:bCs/>
              </w:rPr>
              <w:t>65</w:t>
            </w:r>
          </w:p>
        </w:tc>
        <w:tc>
          <w:tcPr>
            <w:tcW w:w="1963" w:type="dxa"/>
            <w:tcBorders>
              <w:top w:val="single" w:sz="6" w:space="0" w:color="auto"/>
              <w:left w:val="single" w:sz="6" w:space="0" w:color="auto"/>
              <w:bottom w:val="single" w:sz="6" w:space="0" w:color="auto"/>
              <w:right w:val="single" w:sz="6" w:space="0" w:color="auto"/>
            </w:tcBorders>
          </w:tcPr>
          <w:p w14:paraId="6EC82AB5" w14:textId="77777777" w:rsidR="00CA23D0" w:rsidRPr="00E30642" w:rsidRDefault="00CA23D0" w:rsidP="00CA23D0">
            <w:pPr>
              <w:pStyle w:val="Texttabulky"/>
              <w:spacing w:line="240" w:lineRule="atLeast"/>
              <w:jc w:val="both"/>
              <w:rPr>
                <w:rFonts w:cs="Arial"/>
              </w:rPr>
            </w:pPr>
            <w:r w:rsidRPr="00E30642">
              <w:rPr>
                <w:rFonts w:cs="Arial"/>
              </w:rPr>
              <w:t>Horní Žleb</w:t>
            </w:r>
          </w:p>
        </w:tc>
        <w:tc>
          <w:tcPr>
            <w:tcW w:w="940" w:type="dxa"/>
            <w:tcBorders>
              <w:top w:val="single" w:sz="6" w:space="0" w:color="auto"/>
              <w:left w:val="single" w:sz="6" w:space="0" w:color="auto"/>
              <w:bottom w:val="single" w:sz="6" w:space="0" w:color="auto"/>
              <w:right w:val="single" w:sz="6" w:space="0" w:color="auto"/>
            </w:tcBorders>
          </w:tcPr>
          <w:p w14:paraId="101B4171" w14:textId="77777777" w:rsidR="00CA23D0" w:rsidRPr="00E30642" w:rsidRDefault="00CA23D0" w:rsidP="00CA23D0">
            <w:pPr>
              <w:pStyle w:val="Texttabulky"/>
              <w:spacing w:line="240" w:lineRule="atLeast"/>
              <w:jc w:val="both"/>
              <w:rPr>
                <w:rFonts w:cs="Arial"/>
              </w:rPr>
            </w:pPr>
            <w:r w:rsidRPr="00E30642">
              <w:rPr>
                <w:rFonts w:cs="Arial"/>
              </w:rPr>
              <w:t>375</w:t>
            </w:r>
          </w:p>
        </w:tc>
        <w:tc>
          <w:tcPr>
            <w:tcW w:w="855" w:type="dxa"/>
            <w:tcBorders>
              <w:top w:val="single" w:sz="6" w:space="0" w:color="auto"/>
              <w:left w:val="single" w:sz="6" w:space="0" w:color="auto"/>
              <w:bottom w:val="single" w:sz="6" w:space="0" w:color="auto"/>
              <w:right w:val="single" w:sz="6" w:space="0" w:color="auto"/>
            </w:tcBorders>
          </w:tcPr>
          <w:p w14:paraId="00AA3DE2"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1E14B290"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1B12FF47"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42D81847" w14:textId="77777777" w:rsidR="00CA23D0" w:rsidRPr="00E30642" w:rsidRDefault="00CA23D0" w:rsidP="00CA23D0">
            <w:pPr>
              <w:pStyle w:val="Texttabulky"/>
              <w:spacing w:line="240" w:lineRule="atLeast"/>
              <w:jc w:val="both"/>
              <w:rPr>
                <w:rFonts w:cs="Arial"/>
              </w:rPr>
            </w:pPr>
            <w:r w:rsidRPr="00E30642">
              <w:rPr>
                <w:rFonts w:cs="Arial"/>
              </w:rPr>
              <w:t>350</w:t>
            </w:r>
          </w:p>
        </w:tc>
        <w:tc>
          <w:tcPr>
            <w:tcW w:w="979" w:type="dxa"/>
            <w:tcBorders>
              <w:top w:val="single" w:sz="6" w:space="0" w:color="auto"/>
              <w:left w:val="single" w:sz="6" w:space="0" w:color="auto"/>
              <w:bottom w:val="single" w:sz="6" w:space="0" w:color="auto"/>
              <w:right w:val="single" w:sz="6" w:space="0" w:color="auto"/>
            </w:tcBorders>
          </w:tcPr>
          <w:p w14:paraId="772836F1" w14:textId="77777777" w:rsidR="00CA23D0" w:rsidRPr="00E30642" w:rsidRDefault="00CA23D0" w:rsidP="00CA23D0">
            <w:pPr>
              <w:pStyle w:val="Texttabulky"/>
              <w:spacing w:line="240" w:lineRule="atLeast"/>
              <w:jc w:val="both"/>
              <w:rPr>
                <w:rFonts w:cs="Arial"/>
              </w:rPr>
            </w:pPr>
            <w:r w:rsidRPr="00E30642">
              <w:rPr>
                <w:rFonts w:cs="Arial"/>
              </w:rPr>
              <w:t>350</w:t>
            </w:r>
          </w:p>
        </w:tc>
      </w:tr>
      <w:tr w:rsidR="00CA23D0" w:rsidRPr="00E30642" w14:paraId="3DE73798"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4BAEF03E" w14:textId="77777777" w:rsidR="00CA23D0" w:rsidRPr="00E30642" w:rsidRDefault="00CA23D0" w:rsidP="00CA23D0">
            <w:pPr>
              <w:pStyle w:val="Texttabulky"/>
              <w:spacing w:line="240" w:lineRule="atLeast"/>
              <w:jc w:val="both"/>
              <w:rPr>
                <w:rFonts w:cs="Arial"/>
              </w:rPr>
            </w:pPr>
            <w:r w:rsidRPr="00E30642">
              <w:rPr>
                <w:rFonts w:cs="Arial"/>
                <w:b/>
                <w:bCs/>
              </w:rPr>
              <w:t>57</w:t>
            </w:r>
          </w:p>
        </w:tc>
        <w:tc>
          <w:tcPr>
            <w:tcW w:w="1963" w:type="dxa"/>
            <w:tcBorders>
              <w:top w:val="single" w:sz="6" w:space="0" w:color="auto"/>
              <w:left w:val="single" w:sz="6" w:space="0" w:color="auto"/>
              <w:bottom w:val="single" w:sz="6" w:space="0" w:color="auto"/>
              <w:right w:val="single" w:sz="6" w:space="0" w:color="auto"/>
            </w:tcBorders>
          </w:tcPr>
          <w:p w14:paraId="11434801" w14:textId="77777777" w:rsidR="00CA23D0" w:rsidRPr="00E30642" w:rsidRDefault="00CA23D0" w:rsidP="00CA23D0">
            <w:pPr>
              <w:pStyle w:val="Texttabulky"/>
              <w:spacing w:line="240" w:lineRule="atLeast"/>
              <w:jc w:val="both"/>
              <w:rPr>
                <w:rFonts w:cs="Arial"/>
              </w:rPr>
            </w:pPr>
            <w:r w:rsidRPr="00E30642">
              <w:rPr>
                <w:rFonts w:cs="Arial"/>
              </w:rPr>
              <w:t>Nebočady</w:t>
            </w:r>
          </w:p>
        </w:tc>
        <w:tc>
          <w:tcPr>
            <w:tcW w:w="940" w:type="dxa"/>
            <w:tcBorders>
              <w:top w:val="single" w:sz="6" w:space="0" w:color="auto"/>
              <w:left w:val="single" w:sz="6" w:space="0" w:color="auto"/>
              <w:bottom w:val="single" w:sz="6" w:space="0" w:color="auto"/>
              <w:right w:val="single" w:sz="6" w:space="0" w:color="auto"/>
            </w:tcBorders>
          </w:tcPr>
          <w:p w14:paraId="5D2DFACB" w14:textId="77777777" w:rsidR="00CA23D0" w:rsidRPr="00E30642" w:rsidRDefault="00CA23D0" w:rsidP="00CA23D0">
            <w:pPr>
              <w:pStyle w:val="Texttabulky"/>
              <w:spacing w:line="240" w:lineRule="atLeast"/>
              <w:jc w:val="both"/>
              <w:rPr>
                <w:rFonts w:cs="Arial"/>
              </w:rPr>
            </w:pPr>
            <w:r w:rsidRPr="00E30642">
              <w:rPr>
                <w:rFonts w:cs="Arial"/>
              </w:rPr>
              <w:t>363</w:t>
            </w:r>
          </w:p>
        </w:tc>
        <w:tc>
          <w:tcPr>
            <w:tcW w:w="855" w:type="dxa"/>
            <w:tcBorders>
              <w:top w:val="single" w:sz="6" w:space="0" w:color="auto"/>
              <w:left w:val="single" w:sz="6" w:space="0" w:color="auto"/>
              <w:bottom w:val="single" w:sz="6" w:space="0" w:color="auto"/>
              <w:right w:val="single" w:sz="6" w:space="0" w:color="auto"/>
            </w:tcBorders>
          </w:tcPr>
          <w:p w14:paraId="47FB32EF"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0ADDD7F7"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7BB2C9BC" w14:textId="77777777" w:rsidR="00CA23D0" w:rsidRPr="00E30642" w:rsidRDefault="00CA23D0" w:rsidP="00CA23D0">
            <w:pPr>
              <w:pStyle w:val="Texttabulky"/>
              <w:spacing w:line="240" w:lineRule="atLeast"/>
              <w:jc w:val="both"/>
              <w:rPr>
                <w:rFonts w:cs="Arial"/>
              </w:rPr>
            </w:pPr>
            <w:r w:rsidRPr="00E30642">
              <w:rPr>
                <w:rFonts w:cs="Arial"/>
              </w:rPr>
              <w:t>120</w:t>
            </w:r>
          </w:p>
        </w:tc>
        <w:tc>
          <w:tcPr>
            <w:tcW w:w="1005" w:type="dxa"/>
            <w:tcBorders>
              <w:top w:val="single" w:sz="6" w:space="0" w:color="auto"/>
              <w:left w:val="single" w:sz="6" w:space="0" w:color="auto"/>
              <w:bottom w:val="single" w:sz="6" w:space="0" w:color="auto"/>
              <w:right w:val="single" w:sz="6" w:space="0" w:color="auto"/>
            </w:tcBorders>
          </w:tcPr>
          <w:p w14:paraId="14F23B8B" w14:textId="77777777" w:rsidR="00CA23D0" w:rsidRPr="00E30642" w:rsidRDefault="00CA23D0" w:rsidP="00CA23D0">
            <w:pPr>
              <w:pStyle w:val="Texttabulky"/>
              <w:spacing w:line="240" w:lineRule="atLeast"/>
              <w:jc w:val="both"/>
              <w:rPr>
                <w:rFonts w:cs="Arial"/>
              </w:rPr>
            </w:pPr>
            <w:r w:rsidRPr="00E30642">
              <w:rPr>
                <w:rFonts w:cs="Arial"/>
              </w:rPr>
              <w:t>350</w:t>
            </w:r>
          </w:p>
        </w:tc>
        <w:tc>
          <w:tcPr>
            <w:tcW w:w="979" w:type="dxa"/>
            <w:tcBorders>
              <w:top w:val="single" w:sz="6" w:space="0" w:color="auto"/>
              <w:left w:val="single" w:sz="6" w:space="0" w:color="auto"/>
              <w:bottom w:val="single" w:sz="6" w:space="0" w:color="auto"/>
              <w:right w:val="single" w:sz="6" w:space="0" w:color="auto"/>
            </w:tcBorders>
          </w:tcPr>
          <w:p w14:paraId="2BE2FBEB" w14:textId="77777777" w:rsidR="00CA23D0" w:rsidRPr="00E30642" w:rsidRDefault="00CA23D0" w:rsidP="00CA23D0">
            <w:pPr>
              <w:pStyle w:val="Texttabulky"/>
              <w:spacing w:line="240" w:lineRule="atLeast"/>
              <w:jc w:val="both"/>
              <w:rPr>
                <w:rFonts w:cs="Arial"/>
              </w:rPr>
            </w:pPr>
            <w:r w:rsidRPr="00E30642">
              <w:rPr>
                <w:rFonts w:cs="Arial"/>
              </w:rPr>
              <w:t>470</w:t>
            </w:r>
          </w:p>
        </w:tc>
      </w:tr>
      <w:tr w:rsidR="00CA23D0" w:rsidRPr="00E30642" w14:paraId="0E8A3494"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6A4C9829" w14:textId="77777777" w:rsidR="00CA23D0" w:rsidRPr="00E30642" w:rsidRDefault="00CA23D0" w:rsidP="00CA23D0">
            <w:pPr>
              <w:pStyle w:val="Texttabulky"/>
              <w:spacing w:line="240" w:lineRule="atLeast"/>
              <w:jc w:val="both"/>
              <w:rPr>
                <w:rFonts w:cs="Arial"/>
              </w:rPr>
            </w:pPr>
            <w:r w:rsidRPr="00E30642">
              <w:rPr>
                <w:rFonts w:cs="Arial"/>
                <w:b/>
                <w:bCs/>
              </w:rPr>
              <w:t>31</w:t>
            </w:r>
          </w:p>
        </w:tc>
        <w:tc>
          <w:tcPr>
            <w:tcW w:w="1963" w:type="dxa"/>
            <w:tcBorders>
              <w:top w:val="single" w:sz="6" w:space="0" w:color="auto"/>
              <w:left w:val="single" w:sz="6" w:space="0" w:color="auto"/>
              <w:bottom w:val="single" w:sz="6" w:space="0" w:color="auto"/>
              <w:right w:val="single" w:sz="6" w:space="0" w:color="auto"/>
            </w:tcBorders>
          </w:tcPr>
          <w:p w14:paraId="177643D9" w14:textId="77777777" w:rsidR="00CA23D0" w:rsidRPr="00E30642" w:rsidRDefault="00CA23D0" w:rsidP="00CA23D0">
            <w:pPr>
              <w:pStyle w:val="Texttabulky"/>
              <w:spacing w:line="240" w:lineRule="atLeast"/>
              <w:jc w:val="both"/>
              <w:rPr>
                <w:rFonts w:cs="Arial"/>
              </w:rPr>
            </w:pPr>
            <w:r w:rsidRPr="00E30642">
              <w:rPr>
                <w:rFonts w:cs="Arial"/>
              </w:rPr>
              <w:t>Horní Oldřichov</w:t>
            </w:r>
          </w:p>
        </w:tc>
        <w:tc>
          <w:tcPr>
            <w:tcW w:w="940" w:type="dxa"/>
            <w:tcBorders>
              <w:top w:val="single" w:sz="6" w:space="0" w:color="auto"/>
              <w:left w:val="single" w:sz="6" w:space="0" w:color="auto"/>
              <w:bottom w:val="single" w:sz="6" w:space="0" w:color="auto"/>
              <w:right w:val="single" w:sz="6" w:space="0" w:color="auto"/>
            </w:tcBorders>
          </w:tcPr>
          <w:p w14:paraId="2F15A557" w14:textId="77777777" w:rsidR="00CA23D0" w:rsidRPr="00E30642" w:rsidRDefault="00CA23D0" w:rsidP="00CA23D0">
            <w:pPr>
              <w:pStyle w:val="Texttabulky"/>
              <w:spacing w:line="240" w:lineRule="atLeast"/>
              <w:jc w:val="both"/>
              <w:rPr>
                <w:rFonts w:cs="Arial"/>
              </w:rPr>
            </w:pPr>
            <w:r w:rsidRPr="00E30642">
              <w:rPr>
                <w:rFonts w:cs="Arial"/>
              </w:rPr>
              <w:t>360</w:t>
            </w:r>
          </w:p>
        </w:tc>
        <w:tc>
          <w:tcPr>
            <w:tcW w:w="855" w:type="dxa"/>
            <w:tcBorders>
              <w:top w:val="single" w:sz="6" w:space="0" w:color="auto"/>
              <w:left w:val="single" w:sz="6" w:space="0" w:color="auto"/>
              <w:bottom w:val="single" w:sz="6" w:space="0" w:color="auto"/>
              <w:right w:val="single" w:sz="6" w:space="0" w:color="auto"/>
            </w:tcBorders>
          </w:tcPr>
          <w:p w14:paraId="6C74B559"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545E00C1"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354FDBD5" w14:textId="77777777" w:rsidR="00CA23D0" w:rsidRPr="00E30642" w:rsidRDefault="00CA23D0" w:rsidP="00CA23D0">
            <w:pPr>
              <w:pStyle w:val="Texttabulky"/>
              <w:spacing w:line="240" w:lineRule="atLeast"/>
              <w:jc w:val="both"/>
              <w:rPr>
                <w:rFonts w:cs="Arial"/>
              </w:rPr>
            </w:pPr>
            <w:r w:rsidRPr="00E30642">
              <w:rPr>
                <w:rFonts w:cs="Arial"/>
              </w:rPr>
              <w:t>15</w:t>
            </w:r>
          </w:p>
        </w:tc>
        <w:tc>
          <w:tcPr>
            <w:tcW w:w="1005" w:type="dxa"/>
            <w:tcBorders>
              <w:top w:val="single" w:sz="6" w:space="0" w:color="auto"/>
              <w:left w:val="single" w:sz="6" w:space="0" w:color="auto"/>
              <w:bottom w:val="single" w:sz="6" w:space="0" w:color="auto"/>
              <w:right w:val="single" w:sz="6" w:space="0" w:color="auto"/>
            </w:tcBorders>
          </w:tcPr>
          <w:p w14:paraId="53B14D8C" w14:textId="77777777" w:rsidR="00CA23D0" w:rsidRPr="00E30642" w:rsidRDefault="00CA23D0" w:rsidP="00CA23D0">
            <w:pPr>
              <w:pStyle w:val="Texttabulky"/>
              <w:spacing w:line="240" w:lineRule="atLeast"/>
              <w:jc w:val="both"/>
              <w:rPr>
                <w:rFonts w:cs="Arial"/>
              </w:rPr>
            </w:pPr>
            <w:r w:rsidRPr="00E30642">
              <w:rPr>
                <w:rFonts w:cs="Arial"/>
              </w:rPr>
              <w:t>300</w:t>
            </w:r>
          </w:p>
        </w:tc>
        <w:tc>
          <w:tcPr>
            <w:tcW w:w="979" w:type="dxa"/>
            <w:tcBorders>
              <w:top w:val="single" w:sz="6" w:space="0" w:color="auto"/>
              <w:left w:val="single" w:sz="6" w:space="0" w:color="auto"/>
              <w:bottom w:val="single" w:sz="6" w:space="0" w:color="auto"/>
              <w:right w:val="single" w:sz="6" w:space="0" w:color="auto"/>
            </w:tcBorders>
          </w:tcPr>
          <w:p w14:paraId="53F8E586" w14:textId="77777777" w:rsidR="00CA23D0" w:rsidRPr="00E30642" w:rsidRDefault="00CA23D0" w:rsidP="00CA23D0">
            <w:pPr>
              <w:pStyle w:val="Texttabulky"/>
              <w:spacing w:line="240" w:lineRule="atLeast"/>
              <w:jc w:val="both"/>
              <w:rPr>
                <w:rFonts w:cs="Arial"/>
              </w:rPr>
            </w:pPr>
            <w:r w:rsidRPr="00E30642">
              <w:rPr>
                <w:rFonts w:cs="Arial"/>
              </w:rPr>
              <w:t>315</w:t>
            </w:r>
          </w:p>
        </w:tc>
      </w:tr>
      <w:tr w:rsidR="00CA23D0" w:rsidRPr="00E30642" w14:paraId="1E8DF5FE"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670FBEA5" w14:textId="77777777" w:rsidR="00CA23D0" w:rsidRPr="00E30642" w:rsidRDefault="00CA23D0" w:rsidP="00CA23D0">
            <w:pPr>
              <w:pStyle w:val="Texttabulky"/>
              <w:spacing w:line="240" w:lineRule="atLeast"/>
              <w:jc w:val="both"/>
              <w:rPr>
                <w:rFonts w:cs="Arial"/>
              </w:rPr>
            </w:pPr>
            <w:r w:rsidRPr="00E30642">
              <w:rPr>
                <w:rFonts w:cs="Arial"/>
                <w:b/>
                <w:bCs/>
              </w:rPr>
              <w:t>49</w:t>
            </w:r>
          </w:p>
        </w:tc>
        <w:tc>
          <w:tcPr>
            <w:tcW w:w="1963" w:type="dxa"/>
            <w:tcBorders>
              <w:top w:val="single" w:sz="6" w:space="0" w:color="auto"/>
              <w:left w:val="single" w:sz="6" w:space="0" w:color="auto"/>
              <w:bottom w:val="single" w:sz="6" w:space="0" w:color="auto"/>
              <w:right w:val="single" w:sz="6" w:space="0" w:color="auto"/>
            </w:tcBorders>
          </w:tcPr>
          <w:p w14:paraId="6211B893" w14:textId="77777777" w:rsidR="00CA23D0" w:rsidRPr="00E30642" w:rsidRDefault="00CA23D0" w:rsidP="00CA23D0">
            <w:pPr>
              <w:pStyle w:val="Texttabulky"/>
              <w:spacing w:line="240" w:lineRule="atLeast"/>
              <w:jc w:val="both"/>
              <w:rPr>
                <w:rFonts w:cs="Arial"/>
              </w:rPr>
            </w:pPr>
            <w:r w:rsidRPr="00E30642">
              <w:rPr>
                <w:rFonts w:cs="Arial"/>
              </w:rPr>
              <w:t>Chlum</w:t>
            </w:r>
          </w:p>
        </w:tc>
        <w:tc>
          <w:tcPr>
            <w:tcW w:w="940" w:type="dxa"/>
            <w:tcBorders>
              <w:top w:val="single" w:sz="6" w:space="0" w:color="auto"/>
              <w:left w:val="single" w:sz="6" w:space="0" w:color="auto"/>
              <w:bottom w:val="single" w:sz="6" w:space="0" w:color="auto"/>
              <w:right w:val="single" w:sz="6" w:space="0" w:color="auto"/>
            </w:tcBorders>
          </w:tcPr>
          <w:p w14:paraId="5CE2CA2C" w14:textId="77777777" w:rsidR="00CA23D0" w:rsidRPr="00E30642" w:rsidRDefault="00CA23D0" w:rsidP="00CA23D0">
            <w:pPr>
              <w:pStyle w:val="Texttabulky"/>
              <w:spacing w:line="240" w:lineRule="atLeast"/>
              <w:jc w:val="both"/>
              <w:rPr>
                <w:rFonts w:cs="Arial"/>
              </w:rPr>
            </w:pPr>
            <w:r w:rsidRPr="00E30642">
              <w:rPr>
                <w:rFonts w:cs="Arial"/>
              </w:rPr>
              <w:t>303</w:t>
            </w:r>
          </w:p>
        </w:tc>
        <w:tc>
          <w:tcPr>
            <w:tcW w:w="855" w:type="dxa"/>
            <w:tcBorders>
              <w:top w:val="single" w:sz="6" w:space="0" w:color="auto"/>
              <w:left w:val="single" w:sz="6" w:space="0" w:color="auto"/>
              <w:bottom w:val="single" w:sz="6" w:space="0" w:color="auto"/>
              <w:right w:val="single" w:sz="6" w:space="0" w:color="auto"/>
            </w:tcBorders>
          </w:tcPr>
          <w:p w14:paraId="0372F3F9"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6C063FD7"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46CC17A3"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1EB39DDC" w14:textId="77777777" w:rsidR="00CA23D0" w:rsidRPr="00E30642" w:rsidRDefault="00CA23D0" w:rsidP="00CA23D0">
            <w:pPr>
              <w:pStyle w:val="Texttabulky"/>
              <w:spacing w:line="240" w:lineRule="atLeast"/>
              <w:jc w:val="both"/>
              <w:rPr>
                <w:rFonts w:cs="Arial"/>
              </w:rPr>
            </w:pPr>
            <w:r w:rsidRPr="00E30642">
              <w:rPr>
                <w:rFonts w:cs="Arial"/>
              </w:rPr>
              <w:t>300</w:t>
            </w:r>
          </w:p>
        </w:tc>
        <w:tc>
          <w:tcPr>
            <w:tcW w:w="979" w:type="dxa"/>
            <w:tcBorders>
              <w:top w:val="single" w:sz="6" w:space="0" w:color="auto"/>
              <w:left w:val="single" w:sz="6" w:space="0" w:color="auto"/>
              <w:bottom w:val="single" w:sz="6" w:space="0" w:color="auto"/>
              <w:right w:val="single" w:sz="6" w:space="0" w:color="auto"/>
            </w:tcBorders>
          </w:tcPr>
          <w:p w14:paraId="6BBBCBFF" w14:textId="77777777" w:rsidR="00CA23D0" w:rsidRPr="00E30642" w:rsidRDefault="00CA23D0" w:rsidP="00CA23D0">
            <w:pPr>
              <w:pStyle w:val="Texttabulky"/>
              <w:spacing w:line="240" w:lineRule="atLeast"/>
              <w:jc w:val="both"/>
              <w:rPr>
                <w:rFonts w:cs="Arial"/>
              </w:rPr>
            </w:pPr>
            <w:r w:rsidRPr="00E30642">
              <w:rPr>
                <w:rFonts w:cs="Arial"/>
              </w:rPr>
              <w:t>300</w:t>
            </w:r>
          </w:p>
        </w:tc>
      </w:tr>
      <w:tr w:rsidR="00CA23D0" w:rsidRPr="00E30642" w14:paraId="717B03E2"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4722CA98" w14:textId="77777777" w:rsidR="00CA23D0" w:rsidRPr="00E30642" w:rsidRDefault="00CA23D0" w:rsidP="00CA23D0">
            <w:pPr>
              <w:pStyle w:val="Texttabulky"/>
              <w:spacing w:line="240" w:lineRule="atLeast"/>
              <w:jc w:val="both"/>
              <w:rPr>
                <w:rFonts w:cs="Arial"/>
              </w:rPr>
            </w:pPr>
            <w:r w:rsidRPr="00E30642">
              <w:rPr>
                <w:rFonts w:cs="Arial"/>
                <w:b/>
                <w:bCs/>
              </w:rPr>
              <w:t>39</w:t>
            </w:r>
          </w:p>
        </w:tc>
        <w:tc>
          <w:tcPr>
            <w:tcW w:w="1963" w:type="dxa"/>
            <w:tcBorders>
              <w:top w:val="single" w:sz="6" w:space="0" w:color="auto"/>
              <w:left w:val="single" w:sz="6" w:space="0" w:color="auto"/>
              <w:bottom w:val="single" w:sz="6" w:space="0" w:color="auto"/>
              <w:right w:val="single" w:sz="6" w:space="0" w:color="auto"/>
            </w:tcBorders>
          </w:tcPr>
          <w:p w14:paraId="1CC30156" w14:textId="77777777" w:rsidR="00CA23D0" w:rsidRPr="00E30642" w:rsidRDefault="00CA23D0" w:rsidP="00CA23D0">
            <w:pPr>
              <w:pStyle w:val="Texttabulky"/>
              <w:spacing w:line="240" w:lineRule="atLeast"/>
              <w:jc w:val="both"/>
              <w:rPr>
                <w:rFonts w:cs="Arial"/>
              </w:rPr>
            </w:pPr>
            <w:r w:rsidRPr="00E30642">
              <w:rPr>
                <w:rFonts w:cs="Arial"/>
              </w:rPr>
              <w:t>Prostřední Žleb</w:t>
            </w:r>
          </w:p>
        </w:tc>
        <w:tc>
          <w:tcPr>
            <w:tcW w:w="940" w:type="dxa"/>
            <w:tcBorders>
              <w:top w:val="single" w:sz="6" w:space="0" w:color="auto"/>
              <w:left w:val="single" w:sz="6" w:space="0" w:color="auto"/>
              <w:bottom w:val="single" w:sz="6" w:space="0" w:color="auto"/>
              <w:right w:val="single" w:sz="6" w:space="0" w:color="auto"/>
            </w:tcBorders>
          </w:tcPr>
          <w:p w14:paraId="00170B1A" w14:textId="77777777" w:rsidR="00CA23D0" w:rsidRPr="00E30642" w:rsidRDefault="00CA23D0" w:rsidP="00CA23D0">
            <w:pPr>
              <w:pStyle w:val="Texttabulky"/>
              <w:spacing w:line="240" w:lineRule="atLeast"/>
              <w:jc w:val="both"/>
              <w:rPr>
                <w:rFonts w:cs="Arial"/>
              </w:rPr>
            </w:pPr>
            <w:r w:rsidRPr="00E30642">
              <w:rPr>
                <w:rFonts w:cs="Arial"/>
              </w:rPr>
              <w:t>238</w:t>
            </w:r>
          </w:p>
        </w:tc>
        <w:tc>
          <w:tcPr>
            <w:tcW w:w="855" w:type="dxa"/>
            <w:tcBorders>
              <w:top w:val="single" w:sz="6" w:space="0" w:color="auto"/>
              <w:left w:val="single" w:sz="6" w:space="0" w:color="auto"/>
              <w:bottom w:val="single" w:sz="6" w:space="0" w:color="auto"/>
              <w:right w:val="single" w:sz="6" w:space="0" w:color="auto"/>
            </w:tcBorders>
          </w:tcPr>
          <w:p w14:paraId="0F11832B"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2DE1CE3B"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4AB18B1D" w14:textId="77777777" w:rsidR="00CA23D0" w:rsidRPr="00E30642" w:rsidRDefault="00CA23D0" w:rsidP="00CA23D0">
            <w:pPr>
              <w:pStyle w:val="Texttabulky"/>
              <w:spacing w:line="240" w:lineRule="atLeast"/>
              <w:jc w:val="both"/>
              <w:rPr>
                <w:rFonts w:cs="Arial"/>
              </w:rPr>
            </w:pPr>
            <w:r w:rsidRPr="00E30642">
              <w:rPr>
                <w:rFonts w:cs="Arial"/>
              </w:rPr>
              <w:t>30</w:t>
            </w:r>
          </w:p>
        </w:tc>
        <w:tc>
          <w:tcPr>
            <w:tcW w:w="1005" w:type="dxa"/>
            <w:tcBorders>
              <w:top w:val="single" w:sz="6" w:space="0" w:color="auto"/>
              <w:left w:val="single" w:sz="6" w:space="0" w:color="auto"/>
              <w:bottom w:val="single" w:sz="6" w:space="0" w:color="auto"/>
              <w:right w:val="single" w:sz="6" w:space="0" w:color="auto"/>
            </w:tcBorders>
          </w:tcPr>
          <w:p w14:paraId="1832AB75" w14:textId="77777777" w:rsidR="00CA23D0" w:rsidRPr="00E30642" w:rsidRDefault="00CA23D0" w:rsidP="00CA23D0">
            <w:pPr>
              <w:pStyle w:val="Texttabulky"/>
              <w:spacing w:line="240" w:lineRule="atLeast"/>
              <w:jc w:val="both"/>
              <w:rPr>
                <w:rFonts w:cs="Arial"/>
              </w:rPr>
            </w:pPr>
            <w:r w:rsidRPr="00E30642">
              <w:rPr>
                <w:rFonts w:cs="Arial"/>
              </w:rPr>
              <w:t>200</w:t>
            </w:r>
          </w:p>
        </w:tc>
        <w:tc>
          <w:tcPr>
            <w:tcW w:w="979" w:type="dxa"/>
            <w:tcBorders>
              <w:top w:val="single" w:sz="6" w:space="0" w:color="auto"/>
              <w:left w:val="single" w:sz="6" w:space="0" w:color="auto"/>
              <w:bottom w:val="single" w:sz="6" w:space="0" w:color="auto"/>
              <w:right w:val="single" w:sz="6" w:space="0" w:color="auto"/>
            </w:tcBorders>
          </w:tcPr>
          <w:p w14:paraId="6AE86BC3" w14:textId="77777777" w:rsidR="00CA23D0" w:rsidRPr="00E30642" w:rsidRDefault="00CA23D0" w:rsidP="00CA23D0">
            <w:pPr>
              <w:pStyle w:val="Texttabulky"/>
              <w:spacing w:line="240" w:lineRule="atLeast"/>
              <w:jc w:val="both"/>
              <w:rPr>
                <w:rFonts w:cs="Arial"/>
              </w:rPr>
            </w:pPr>
            <w:r w:rsidRPr="00E30642">
              <w:rPr>
                <w:rFonts w:cs="Arial"/>
              </w:rPr>
              <w:t>230</w:t>
            </w:r>
          </w:p>
        </w:tc>
      </w:tr>
      <w:tr w:rsidR="00CA23D0" w:rsidRPr="00E30642" w14:paraId="05AD0E0E"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1750F29C" w14:textId="77777777" w:rsidR="00CA23D0" w:rsidRPr="00E30642" w:rsidRDefault="00CA23D0" w:rsidP="00CA23D0">
            <w:pPr>
              <w:pStyle w:val="Texttabulky"/>
              <w:spacing w:line="240" w:lineRule="atLeast"/>
              <w:jc w:val="both"/>
              <w:rPr>
                <w:rFonts w:cs="Arial"/>
              </w:rPr>
            </w:pPr>
            <w:r w:rsidRPr="00E30642">
              <w:rPr>
                <w:rFonts w:cs="Arial"/>
                <w:b/>
                <w:bCs/>
              </w:rPr>
              <w:lastRenderedPageBreak/>
              <w:t>40</w:t>
            </w:r>
          </w:p>
        </w:tc>
        <w:tc>
          <w:tcPr>
            <w:tcW w:w="1963" w:type="dxa"/>
            <w:tcBorders>
              <w:top w:val="single" w:sz="6" w:space="0" w:color="auto"/>
              <w:left w:val="single" w:sz="6" w:space="0" w:color="auto"/>
              <w:bottom w:val="single" w:sz="6" w:space="0" w:color="auto"/>
              <w:right w:val="single" w:sz="6" w:space="0" w:color="auto"/>
            </w:tcBorders>
          </w:tcPr>
          <w:p w14:paraId="177807BE" w14:textId="77777777" w:rsidR="00CA23D0" w:rsidRPr="00E30642" w:rsidRDefault="00CA23D0" w:rsidP="00CA23D0">
            <w:pPr>
              <w:pStyle w:val="Texttabulky"/>
              <w:spacing w:line="240" w:lineRule="atLeast"/>
              <w:jc w:val="both"/>
              <w:rPr>
                <w:rFonts w:cs="Arial"/>
              </w:rPr>
            </w:pPr>
            <w:r w:rsidRPr="00E30642">
              <w:rPr>
                <w:rFonts w:cs="Arial"/>
              </w:rPr>
              <w:t>Loubí</w:t>
            </w:r>
          </w:p>
        </w:tc>
        <w:tc>
          <w:tcPr>
            <w:tcW w:w="940" w:type="dxa"/>
            <w:tcBorders>
              <w:top w:val="single" w:sz="6" w:space="0" w:color="auto"/>
              <w:left w:val="single" w:sz="6" w:space="0" w:color="auto"/>
              <w:bottom w:val="single" w:sz="6" w:space="0" w:color="auto"/>
              <w:right w:val="single" w:sz="6" w:space="0" w:color="auto"/>
            </w:tcBorders>
          </w:tcPr>
          <w:p w14:paraId="72CDB8EC" w14:textId="77777777" w:rsidR="00CA23D0" w:rsidRPr="00E30642" w:rsidRDefault="00CA23D0" w:rsidP="00CA23D0">
            <w:pPr>
              <w:pStyle w:val="Texttabulky"/>
              <w:spacing w:line="240" w:lineRule="atLeast"/>
              <w:jc w:val="both"/>
              <w:rPr>
                <w:rFonts w:cs="Arial"/>
              </w:rPr>
            </w:pPr>
            <w:r w:rsidRPr="00E30642">
              <w:rPr>
                <w:rFonts w:cs="Arial"/>
              </w:rPr>
              <w:t>214</w:t>
            </w:r>
          </w:p>
        </w:tc>
        <w:tc>
          <w:tcPr>
            <w:tcW w:w="855" w:type="dxa"/>
            <w:tcBorders>
              <w:top w:val="single" w:sz="6" w:space="0" w:color="auto"/>
              <w:left w:val="single" w:sz="6" w:space="0" w:color="auto"/>
              <w:bottom w:val="single" w:sz="6" w:space="0" w:color="auto"/>
              <w:right w:val="single" w:sz="6" w:space="0" w:color="auto"/>
            </w:tcBorders>
          </w:tcPr>
          <w:p w14:paraId="593C18B7"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718CFC5E"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48BAA4D3"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3B52041A" w14:textId="77777777" w:rsidR="00CA23D0" w:rsidRPr="00E30642" w:rsidRDefault="00CA23D0" w:rsidP="00CA23D0">
            <w:pPr>
              <w:pStyle w:val="Texttabulky"/>
              <w:spacing w:line="240" w:lineRule="atLeast"/>
              <w:jc w:val="both"/>
              <w:rPr>
                <w:rFonts w:cs="Arial"/>
              </w:rPr>
            </w:pPr>
            <w:r w:rsidRPr="00E30642">
              <w:rPr>
                <w:rFonts w:cs="Arial"/>
              </w:rPr>
              <w:t>200</w:t>
            </w:r>
          </w:p>
        </w:tc>
        <w:tc>
          <w:tcPr>
            <w:tcW w:w="979" w:type="dxa"/>
            <w:tcBorders>
              <w:top w:val="single" w:sz="6" w:space="0" w:color="auto"/>
              <w:left w:val="single" w:sz="6" w:space="0" w:color="auto"/>
              <w:bottom w:val="single" w:sz="6" w:space="0" w:color="auto"/>
              <w:right w:val="single" w:sz="6" w:space="0" w:color="auto"/>
            </w:tcBorders>
          </w:tcPr>
          <w:p w14:paraId="54741DEE"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4B288807"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5B00D35A" w14:textId="77777777" w:rsidR="00CA23D0" w:rsidRPr="00E30642" w:rsidRDefault="00CA23D0" w:rsidP="00CA23D0">
            <w:pPr>
              <w:pStyle w:val="Texttabulky"/>
              <w:spacing w:line="240" w:lineRule="atLeast"/>
              <w:jc w:val="both"/>
              <w:rPr>
                <w:rFonts w:cs="Arial"/>
              </w:rPr>
            </w:pPr>
            <w:r w:rsidRPr="00E30642">
              <w:rPr>
                <w:rFonts w:cs="Arial"/>
                <w:b/>
                <w:bCs/>
              </w:rPr>
              <w:t>47</w:t>
            </w:r>
          </w:p>
        </w:tc>
        <w:tc>
          <w:tcPr>
            <w:tcW w:w="1963" w:type="dxa"/>
            <w:tcBorders>
              <w:top w:val="single" w:sz="6" w:space="0" w:color="auto"/>
              <w:left w:val="single" w:sz="6" w:space="0" w:color="auto"/>
              <w:bottom w:val="single" w:sz="6" w:space="0" w:color="auto"/>
              <w:right w:val="single" w:sz="6" w:space="0" w:color="auto"/>
            </w:tcBorders>
          </w:tcPr>
          <w:p w14:paraId="49B8FA3D" w14:textId="77777777" w:rsidR="00CA23D0" w:rsidRPr="00E30642" w:rsidRDefault="00CA23D0" w:rsidP="00CA23D0">
            <w:pPr>
              <w:pStyle w:val="Texttabulky"/>
              <w:spacing w:line="240" w:lineRule="atLeast"/>
              <w:jc w:val="both"/>
              <w:rPr>
                <w:rFonts w:cs="Arial"/>
              </w:rPr>
            </w:pPr>
            <w:r w:rsidRPr="00E30642">
              <w:rPr>
                <w:rFonts w:cs="Arial"/>
              </w:rPr>
              <w:t>Folknáře</w:t>
            </w:r>
          </w:p>
        </w:tc>
        <w:tc>
          <w:tcPr>
            <w:tcW w:w="940" w:type="dxa"/>
            <w:tcBorders>
              <w:top w:val="single" w:sz="6" w:space="0" w:color="auto"/>
              <w:left w:val="single" w:sz="6" w:space="0" w:color="auto"/>
              <w:bottom w:val="single" w:sz="6" w:space="0" w:color="auto"/>
              <w:right w:val="single" w:sz="6" w:space="0" w:color="auto"/>
            </w:tcBorders>
          </w:tcPr>
          <w:p w14:paraId="5864C821" w14:textId="77777777" w:rsidR="00CA23D0" w:rsidRPr="00E30642" w:rsidRDefault="00CA23D0" w:rsidP="00CA23D0">
            <w:pPr>
              <w:pStyle w:val="Texttabulky"/>
              <w:spacing w:line="240" w:lineRule="atLeast"/>
              <w:jc w:val="both"/>
              <w:rPr>
                <w:rFonts w:cs="Arial"/>
              </w:rPr>
            </w:pPr>
            <w:r w:rsidRPr="00E30642">
              <w:rPr>
                <w:rFonts w:cs="Arial"/>
              </w:rPr>
              <w:t>214</w:t>
            </w:r>
          </w:p>
        </w:tc>
        <w:tc>
          <w:tcPr>
            <w:tcW w:w="855" w:type="dxa"/>
            <w:tcBorders>
              <w:top w:val="single" w:sz="6" w:space="0" w:color="auto"/>
              <w:left w:val="single" w:sz="6" w:space="0" w:color="auto"/>
              <w:bottom w:val="single" w:sz="6" w:space="0" w:color="auto"/>
              <w:right w:val="single" w:sz="6" w:space="0" w:color="auto"/>
            </w:tcBorders>
          </w:tcPr>
          <w:p w14:paraId="2D5E8F41"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1FAA6E5B" w14:textId="77777777" w:rsidR="00CA23D0" w:rsidRPr="00E30642" w:rsidRDefault="00CA23D0" w:rsidP="00CA23D0">
            <w:pPr>
              <w:pStyle w:val="Texttabulky"/>
              <w:spacing w:line="240" w:lineRule="atLeast"/>
              <w:jc w:val="both"/>
              <w:rPr>
                <w:rFonts w:cs="Arial"/>
              </w:rPr>
            </w:pPr>
            <w:r w:rsidRPr="00E30642">
              <w:rPr>
                <w:rFonts w:cs="Arial"/>
              </w:rPr>
              <w:t>150</w:t>
            </w:r>
          </w:p>
        </w:tc>
        <w:tc>
          <w:tcPr>
            <w:tcW w:w="857" w:type="dxa"/>
            <w:tcBorders>
              <w:top w:val="single" w:sz="6" w:space="0" w:color="auto"/>
              <w:left w:val="single" w:sz="6" w:space="0" w:color="auto"/>
              <w:bottom w:val="single" w:sz="6" w:space="0" w:color="auto"/>
              <w:right w:val="single" w:sz="6" w:space="0" w:color="auto"/>
            </w:tcBorders>
          </w:tcPr>
          <w:p w14:paraId="6858664F" w14:textId="77777777" w:rsidR="00CA23D0" w:rsidRPr="00E30642" w:rsidRDefault="00CA23D0" w:rsidP="00CA23D0">
            <w:pPr>
              <w:pStyle w:val="Texttabulky"/>
              <w:spacing w:line="240" w:lineRule="atLeast"/>
              <w:jc w:val="both"/>
              <w:rPr>
                <w:rFonts w:cs="Arial"/>
              </w:rPr>
            </w:pPr>
            <w:r w:rsidRPr="00E30642">
              <w:rPr>
                <w:rFonts w:cs="Arial"/>
              </w:rPr>
              <w:t>350</w:t>
            </w:r>
          </w:p>
        </w:tc>
        <w:tc>
          <w:tcPr>
            <w:tcW w:w="1005" w:type="dxa"/>
            <w:tcBorders>
              <w:top w:val="single" w:sz="6" w:space="0" w:color="auto"/>
              <w:left w:val="single" w:sz="6" w:space="0" w:color="auto"/>
              <w:bottom w:val="single" w:sz="6" w:space="0" w:color="auto"/>
              <w:right w:val="single" w:sz="6" w:space="0" w:color="auto"/>
            </w:tcBorders>
          </w:tcPr>
          <w:p w14:paraId="2259C8F5" w14:textId="77777777" w:rsidR="00CA23D0" w:rsidRPr="00E30642" w:rsidRDefault="00CA23D0" w:rsidP="00CA23D0">
            <w:pPr>
              <w:pStyle w:val="Texttabulky"/>
              <w:spacing w:line="240" w:lineRule="atLeast"/>
              <w:jc w:val="both"/>
              <w:rPr>
                <w:rFonts w:cs="Arial"/>
              </w:rPr>
            </w:pPr>
            <w:r w:rsidRPr="00E30642">
              <w:rPr>
                <w:rFonts w:cs="Arial"/>
              </w:rPr>
              <w:t>350</w:t>
            </w:r>
          </w:p>
        </w:tc>
        <w:tc>
          <w:tcPr>
            <w:tcW w:w="979" w:type="dxa"/>
            <w:tcBorders>
              <w:top w:val="single" w:sz="6" w:space="0" w:color="auto"/>
              <w:left w:val="single" w:sz="6" w:space="0" w:color="auto"/>
              <w:bottom w:val="single" w:sz="6" w:space="0" w:color="auto"/>
              <w:right w:val="single" w:sz="6" w:space="0" w:color="auto"/>
            </w:tcBorders>
          </w:tcPr>
          <w:p w14:paraId="697F13D3" w14:textId="77777777" w:rsidR="00CA23D0" w:rsidRPr="00E30642" w:rsidRDefault="00CA23D0" w:rsidP="00CA23D0">
            <w:pPr>
              <w:pStyle w:val="Texttabulky"/>
              <w:spacing w:line="240" w:lineRule="atLeast"/>
              <w:jc w:val="both"/>
              <w:rPr>
                <w:rFonts w:cs="Arial"/>
              </w:rPr>
            </w:pPr>
            <w:r w:rsidRPr="00E30642">
              <w:rPr>
                <w:rFonts w:cs="Arial"/>
              </w:rPr>
              <w:t>700</w:t>
            </w:r>
          </w:p>
        </w:tc>
      </w:tr>
      <w:tr w:rsidR="00CA23D0" w:rsidRPr="00E30642" w14:paraId="6B5EF163"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6CF7507A" w14:textId="77777777" w:rsidR="00CA23D0" w:rsidRPr="00E30642" w:rsidRDefault="00CA23D0" w:rsidP="00CA23D0">
            <w:pPr>
              <w:pStyle w:val="Texttabulky"/>
              <w:spacing w:line="240" w:lineRule="atLeast"/>
              <w:jc w:val="both"/>
              <w:rPr>
                <w:rFonts w:cs="Arial"/>
              </w:rPr>
            </w:pPr>
            <w:r w:rsidRPr="00E30642">
              <w:rPr>
                <w:rFonts w:cs="Arial"/>
                <w:b/>
                <w:bCs/>
              </w:rPr>
              <w:t>64</w:t>
            </w:r>
          </w:p>
        </w:tc>
        <w:tc>
          <w:tcPr>
            <w:tcW w:w="1963" w:type="dxa"/>
            <w:tcBorders>
              <w:top w:val="single" w:sz="6" w:space="0" w:color="auto"/>
              <w:left w:val="single" w:sz="6" w:space="0" w:color="auto"/>
              <w:bottom w:val="single" w:sz="6" w:space="0" w:color="auto"/>
              <w:right w:val="single" w:sz="6" w:space="0" w:color="auto"/>
            </w:tcBorders>
          </w:tcPr>
          <w:p w14:paraId="66D753A6" w14:textId="77777777" w:rsidR="00CA23D0" w:rsidRPr="00E30642" w:rsidRDefault="00CA23D0" w:rsidP="00CA23D0">
            <w:pPr>
              <w:pStyle w:val="Texttabulky"/>
              <w:spacing w:line="240" w:lineRule="atLeast"/>
              <w:jc w:val="both"/>
              <w:rPr>
                <w:rFonts w:cs="Arial"/>
              </w:rPr>
            </w:pPr>
            <w:r w:rsidRPr="00E30642">
              <w:rPr>
                <w:rFonts w:cs="Arial"/>
              </w:rPr>
              <w:t>Nová Ves</w:t>
            </w:r>
          </w:p>
        </w:tc>
        <w:tc>
          <w:tcPr>
            <w:tcW w:w="940" w:type="dxa"/>
            <w:tcBorders>
              <w:top w:val="single" w:sz="6" w:space="0" w:color="auto"/>
              <w:left w:val="single" w:sz="6" w:space="0" w:color="auto"/>
              <w:bottom w:val="single" w:sz="6" w:space="0" w:color="auto"/>
              <w:right w:val="single" w:sz="6" w:space="0" w:color="auto"/>
            </w:tcBorders>
          </w:tcPr>
          <w:p w14:paraId="6DB106E8" w14:textId="77777777" w:rsidR="00CA23D0" w:rsidRPr="00E30642" w:rsidRDefault="00CA23D0" w:rsidP="00CA23D0">
            <w:pPr>
              <w:pStyle w:val="Texttabulky"/>
              <w:spacing w:line="240" w:lineRule="atLeast"/>
              <w:jc w:val="both"/>
              <w:rPr>
                <w:rFonts w:cs="Arial"/>
              </w:rPr>
            </w:pPr>
            <w:r w:rsidRPr="00E30642">
              <w:rPr>
                <w:rFonts w:cs="Arial"/>
              </w:rPr>
              <w:t>209</w:t>
            </w:r>
          </w:p>
        </w:tc>
        <w:tc>
          <w:tcPr>
            <w:tcW w:w="855" w:type="dxa"/>
            <w:tcBorders>
              <w:top w:val="single" w:sz="6" w:space="0" w:color="auto"/>
              <w:left w:val="single" w:sz="6" w:space="0" w:color="auto"/>
              <w:bottom w:val="single" w:sz="6" w:space="0" w:color="auto"/>
              <w:right w:val="single" w:sz="6" w:space="0" w:color="auto"/>
            </w:tcBorders>
          </w:tcPr>
          <w:p w14:paraId="3B62D8EF"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5A291CF8"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76492F41" w14:textId="77777777" w:rsidR="00CA23D0" w:rsidRPr="00E30642" w:rsidRDefault="00CA23D0" w:rsidP="00CA23D0">
            <w:pPr>
              <w:pStyle w:val="Texttabulky"/>
              <w:spacing w:line="240" w:lineRule="atLeast"/>
              <w:jc w:val="both"/>
              <w:rPr>
                <w:rFonts w:cs="Arial"/>
              </w:rPr>
            </w:pPr>
            <w:r w:rsidRPr="00E30642">
              <w:rPr>
                <w:rFonts w:cs="Arial"/>
              </w:rPr>
              <w:t>240</w:t>
            </w:r>
          </w:p>
        </w:tc>
        <w:tc>
          <w:tcPr>
            <w:tcW w:w="1005" w:type="dxa"/>
            <w:tcBorders>
              <w:top w:val="single" w:sz="6" w:space="0" w:color="auto"/>
              <w:left w:val="single" w:sz="6" w:space="0" w:color="auto"/>
              <w:bottom w:val="single" w:sz="6" w:space="0" w:color="auto"/>
              <w:right w:val="single" w:sz="6" w:space="0" w:color="auto"/>
            </w:tcBorders>
          </w:tcPr>
          <w:p w14:paraId="70A6D6A8" w14:textId="77777777" w:rsidR="00CA23D0" w:rsidRPr="00E30642" w:rsidRDefault="00CA23D0" w:rsidP="00CA23D0">
            <w:pPr>
              <w:pStyle w:val="Texttabulky"/>
              <w:spacing w:line="240" w:lineRule="atLeast"/>
              <w:jc w:val="both"/>
              <w:rPr>
                <w:rFonts w:cs="Arial"/>
              </w:rPr>
            </w:pPr>
            <w:r w:rsidRPr="00E30642">
              <w:rPr>
                <w:rFonts w:cs="Arial"/>
              </w:rPr>
              <w:t>200</w:t>
            </w:r>
          </w:p>
        </w:tc>
        <w:tc>
          <w:tcPr>
            <w:tcW w:w="979" w:type="dxa"/>
            <w:tcBorders>
              <w:top w:val="single" w:sz="6" w:space="0" w:color="auto"/>
              <w:left w:val="single" w:sz="6" w:space="0" w:color="auto"/>
              <w:bottom w:val="single" w:sz="6" w:space="0" w:color="auto"/>
              <w:right w:val="single" w:sz="6" w:space="0" w:color="auto"/>
            </w:tcBorders>
          </w:tcPr>
          <w:p w14:paraId="4B85E996" w14:textId="77777777" w:rsidR="00CA23D0" w:rsidRPr="00E30642" w:rsidRDefault="00CA23D0" w:rsidP="00CA23D0">
            <w:pPr>
              <w:pStyle w:val="Texttabulky"/>
              <w:spacing w:line="240" w:lineRule="atLeast"/>
              <w:jc w:val="both"/>
              <w:rPr>
                <w:rFonts w:cs="Arial"/>
              </w:rPr>
            </w:pPr>
            <w:r w:rsidRPr="00E30642">
              <w:rPr>
                <w:rFonts w:cs="Arial"/>
              </w:rPr>
              <w:t>440</w:t>
            </w:r>
          </w:p>
        </w:tc>
      </w:tr>
      <w:tr w:rsidR="00CA23D0" w:rsidRPr="00E30642" w14:paraId="49ECE0C9"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345F5143" w14:textId="77777777" w:rsidR="00CA23D0" w:rsidRPr="00E30642" w:rsidRDefault="00CA23D0" w:rsidP="00CA23D0">
            <w:pPr>
              <w:pStyle w:val="Texttabulky"/>
              <w:spacing w:line="240" w:lineRule="atLeast"/>
              <w:jc w:val="both"/>
              <w:rPr>
                <w:rFonts w:cs="Arial"/>
              </w:rPr>
            </w:pPr>
            <w:r w:rsidRPr="00E30642">
              <w:rPr>
                <w:rFonts w:cs="Arial"/>
                <w:b/>
                <w:bCs/>
              </w:rPr>
              <w:t>15</w:t>
            </w:r>
          </w:p>
        </w:tc>
        <w:tc>
          <w:tcPr>
            <w:tcW w:w="1963" w:type="dxa"/>
            <w:tcBorders>
              <w:top w:val="single" w:sz="6" w:space="0" w:color="auto"/>
              <w:left w:val="single" w:sz="6" w:space="0" w:color="auto"/>
              <w:bottom w:val="single" w:sz="6" w:space="0" w:color="auto"/>
              <w:right w:val="single" w:sz="6" w:space="0" w:color="auto"/>
            </w:tcBorders>
          </w:tcPr>
          <w:p w14:paraId="47BD3934" w14:textId="77777777" w:rsidR="00CA23D0" w:rsidRPr="00E30642" w:rsidRDefault="00CA23D0" w:rsidP="00CA23D0">
            <w:pPr>
              <w:pStyle w:val="Texttabulky"/>
              <w:spacing w:line="240" w:lineRule="atLeast"/>
              <w:jc w:val="both"/>
              <w:rPr>
                <w:rFonts w:cs="Arial"/>
              </w:rPr>
            </w:pPr>
            <w:r w:rsidRPr="00E30642">
              <w:rPr>
                <w:rFonts w:cs="Arial"/>
              </w:rPr>
              <w:t>Pod Chlumem</w:t>
            </w:r>
          </w:p>
        </w:tc>
        <w:tc>
          <w:tcPr>
            <w:tcW w:w="940" w:type="dxa"/>
            <w:tcBorders>
              <w:top w:val="single" w:sz="6" w:space="0" w:color="auto"/>
              <w:left w:val="single" w:sz="6" w:space="0" w:color="auto"/>
              <w:bottom w:val="single" w:sz="6" w:space="0" w:color="auto"/>
              <w:right w:val="single" w:sz="6" w:space="0" w:color="auto"/>
            </w:tcBorders>
          </w:tcPr>
          <w:p w14:paraId="41484CC4" w14:textId="77777777" w:rsidR="00CA23D0" w:rsidRPr="00E30642" w:rsidRDefault="00CA23D0" w:rsidP="00CA23D0">
            <w:pPr>
              <w:pStyle w:val="Texttabulky"/>
              <w:spacing w:line="240" w:lineRule="atLeast"/>
              <w:jc w:val="both"/>
              <w:rPr>
                <w:rFonts w:cs="Arial"/>
              </w:rPr>
            </w:pPr>
            <w:r w:rsidRPr="00E30642">
              <w:rPr>
                <w:rFonts w:cs="Arial"/>
              </w:rPr>
              <w:t>176</w:t>
            </w:r>
          </w:p>
        </w:tc>
        <w:tc>
          <w:tcPr>
            <w:tcW w:w="855" w:type="dxa"/>
            <w:tcBorders>
              <w:top w:val="single" w:sz="6" w:space="0" w:color="auto"/>
              <w:left w:val="single" w:sz="6" w:space="0" w:color="auto"/>
              <w:bottom w:val="single" w:sz="6" w:space="0" w:color="auto"/>
              <w:right w:val="single" w:sz="6" w:space="0" w:color="auto"/>
            </w:tcBorders>
          </w:tcPr>
          <w:p w14:paraId="0DB5E2FB"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15D1809E"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213FE12D"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2AAE4288" w14:textId="77777777" w:rsidR="00CA23D0" w:rsidRPr="00E30642" w:rsidRDefault="00CA23D0" w:rsidP="00CA23D0">
            <w:pPr>
              <w:pStyle w:val="Texttabulky"/>
              <w:spacing w:line="240" w:lineRule="atLeast"/>
              <w:jc w:val="both"/>
              <w:rPr>
                <w:rFonts w:cs="Arial"/>
              </w:rPr>
            </w:pPr>
            <w:r w:rsidRPr="00E30642">
              <w:rPr>
                <w:rFonts w:cs="Arial"/>
              </w:rPr>
              <w:t>150</w:t>
            </w:r>
          </w:p>
        </w:tc>
        <w:tc>
          <w:tcPr>
            <w:tcW w:w="979" w:type="dxa"/>
            <w:tcBorders>
              <w:top w:val="single" w:sz="6" w:space="0" w:color="auto"/>
              <w:left w:val="single" w:sz="6" w:space="0" w:color="auto"/>
              <w:bottom w:val="single" w:sz="6" w:space="0" w:color="auto"/>
              <w:right w:val="single" w:sz="6" w:space="0" w:color="auto"/>
            </w:tcBorders>
          </w:tcPr>
          <w:p w14:paraId="7A3B244F"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1A172F13"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1F78630D" w14:textId="77777777" w:rsidR="00CA23D0" w:rsidRPr="00E30642" w:rsidRDefault="00CA23D0" w:rsidP="00CA23D0">
            <w:pPr>
              <w:pStyle w:val="Texttabulky"/>
              <w:spacing w:line="240" w:lineRule="atLeast"/>
              <w:jc w:val="both"/>
              <w:rPr>
                <w:rFonts w:cs="Arial"/>
              </w:rPr>
            </w:pPr>
            <w:r w:rsidRPr="00E30642">
              <w:rPr>
                <w:rFonts w:cs="Arial"/>
                <w:b/>
                <w:bCs/>
              </w:rPr>
              <w:t>54</w:t>
            </w:r>
          </w:p>
        </w:tc>
        <w:tc>
          <w:tcPr>
            <w:tcW w:w="1963" w:type="dxa"/>
            <w:tcBorders>
              <w:top w:val="single" w:sz="6" w:space="0" w:color="auto"/>
              <w:left w:val="single" w:sz="6" w:space="0" w:color="auto"/>
              <w:bottom w:val="single" w:sz="6" w:space="0" w:color="auto"/>
              <w:right w:val="single" w:sz="6" w:space="0" w:color="auto"/>
            </w:tcBorders>
          </w:tcPr>
          <w:p w14:paraId="687CB001" w14:textId="77777777" w:rsidR="00CA23D0" w:rsidRPr="00E30642" w:rsidRDefault="00CA23D0" w:rsidP="00CA23D0">
            <w:pPr>
              <w:pStyle w:val="Texttabulky"/>
              <w:spacing w:line="240" w:lineRule="atLeast"/>
              <w:jc w:val="both"/>
              <w:rPr>
                <w:rFonts w:cs="Arial"/>
              </w:rPr>
            </w:pPr>
            <w:r w:rsidRPr="00E30642">
              <w:rPr>
                <w:rFonts w:cs="Arial"/>
              </w:rPr>
              <w:t>Lesná</w:t>
            </w:r>
          </w:p>
        </w:tc>
        <w:tc>
          <w:tcPr>
            <w:tcW w:w="940" w:type="dxa"/>
            <w:tcBorders>
              <w:top w:val="single" w:sz="6" w:space="0" w:color="auto"/>
              <w:left w:val="single" w:sz="6" w:space="0" w:color="auto"/>
              <w:bottom w:val="single" w:sz="6" w:space="0" w:color="auto"/>
              <w:right w:val="single" w:sz="6" w:space="0" w:color="auto"/>
            </w:tcBorders>
          </w:tcPr>
          <w:p w14:paraId="1278FEBE" w14:textId="77777777" w:rsidR="00CA23D0" w:rsidRPr="00E30642" w:rsidRDefault="00CA23D0" w:rsidP="00CA23D0">
            <w:pPr>
              <w:pStyle w:val="Texttabulky"/>
              <w:spacing w:line="240" w:lineRule="atLeast"/>
              <w:jc w:val="both"/>
              <w:rPr>
                <w:rFonts w:cs="Arial"/>
              </w:rPr>
            </w:pPr>
            <w:r w:rsidRPr="00E30642">
              <w:rPr>
                <w:rFonts w:cs="Arial"/>
              </w:rPr>
              <w:t>153</w:t>
            </w:r>
          </w:p>
        </w:tc>
        <w:tc>
          <w:tcPr>
            <w:tcW w:w="855" w:type="dxa"/>
            <w:tcBorders>
              <w:top w:val="single" w:sz="6" w:space="0" w:color="auto"/>
              <w:left w:val="single" w:sz="6" w:space="0" w:color="auto"/>
              <w:bottom w:val="single" w:sz="6" w:space="0" w:color="auto"/>
              <w:right w:val="single" w:sz="6" w:space="0" w:color="auto"/>
            </w:tcBorders>
          </w:tcPr>
          <w:p w14:paraId="46D17379" w14:textId="77777777" w:rsidR="00CA23D0" w:rsidRPr="00E30642" w:rsidRDefault="00CA23D0" w:rsidP="00CA23D0">
            <w:pPr>
              <w:pStyle w:val="Texttabulky"/>
              <w:spacing w:line="240" w:lineRule="atLeast"/>
              <w:jc w:val="both"/>
              <w:rPr>
                <w:rFonts w:cs="Arial"/>
              </w:rPr>
            </w:pPr>
            <w:r w:rsidRPr="00E30642">
              <w:rPr>
                <w:rFonts w:cs="Arial"/>
              </w:rPr>
              <w:t>45</w:t>
            </w:r>
          </w:p>
        </w:tc>
        <w:tc>
          <w:tcPr>
            <w:tcW w:w="840" w:type="dxa"/>
            <w:tcBorders>
              <w:top w:val="single" w:sz="6" w:space="0" w:color="auto"/>
              <w:left w:val="single" w:sz="6" w:space="0" w:color="auto"/>
              <w:bottom w:val="single" w:sz="6" w:space="0" w:color="auto"/>
              <w:right w:val="single" w:sz="6" w:space="0" w:color="auto"/>
            </w:tcBorders>
          </w:tcPr>
          <w:p w14:paraId="6C47C87D"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18E353F5"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64188AE2" w14:textId="77777777" w:rsidR="00CA23D0" w:rsidRPr="00E30642" w:rsidRDefault="00CA23D0" w:rsidP="00CA23D0">
            <w:pPr>
              <w:pStyle w:val="Texttabulky"/>
              <w:spacing w:line="240" w:lineRule="atLeast"/>
              <w:jc w:val="both"/>
              <w:rPr>
                <w:rFonts w:cs="Arial"/>
              </w:rPr>
            </w:pPr>
            <w:r w:rsidRPr="00E30642">
              <w:rPr>
                <w:rFonts w:cs="Arial"/>
              </w:rPr>
              <w:t>185</w:t>
            </w:r>
          </w:p>
        </w:tc>
        <w:tc>
          <w:tcPr>
            <w:tcW w:w="979" w:type="dxa"/>
            <w:tcBorders>
              <w:top w:val="single" w:sz="6" w:space="0" w:color="auto"/>
              <w:left w:val="single" w:sz="6" w:space="0" w:color="auto"/>
              <w:bottom w:val="single" w:sz="6" w:space="0" w:color="auto"/>
              <w:right w:val="single" w:sz="6" w:space="0" w:color="auto"/>
            </w:tcBorders>
          </w:tcPr>
          <w:p w14:paraId="1C94F8BD" w14:textId="77777777" w:rsidR="00CA23D0" w:rsidRPr="00E30642" w:rsidRDefault="00CA23D0" w:rsidP="00CA23D0">
            <w:pPr>
              <w:pStyle w:val="Texttabulky"/>
              <w:spacing w:line="240" w:lineRule="atLeast"/>
              <w:jc w:val="both"/>
              <w:rPr>
                <w:rFonts w:cs="Arial"/>
              </w:rPr>
            </w:pPr>
            <w:r w:rsidRPr="00E30642">
              <w:rPr>
                <w:rFonts w:cs="Arial"/>
              </w:rPr>
              <w:t>185</w:t>
            </w:r>
          </w:p>
        </w:tc>
      </w:tr>
      <w:tr w:rsidR="00CA23D0" w:rsidRPr="00E30642" w14:paraId="7E185734"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675992A" w14:textId="77777777" w:rsidR="00CA23D0" w:rsidRPr="00E30642" w:rsidRDefault="00CA23D0" w:rsidP="00CA23D0">
            <w:pPr>
              <w:pStyle w:val="Texttabulky"/>
              <w:spacing w:line="240" w:lineRule="atLeast"/>
              <w:jc w:val="both"/>
              <w:rPr>
                <w:rFonts w:cs="Arial"/>
              </w:rPr>
            </w:pPr>
            <w:r w:rsidRPr="00E30642">
              <w:rPr>
                <w:rFonts w:cs="Arial"/>
                <w:b/>
                <w:bCs/>
              </w:rPr>
              <w:t>19</w:t>
            </w:r>
          </w:p>
        </w:tc>
        <w:tc>
          <w:tcPr>
            <w:tcW w:w="1963" w:type="dxa"/>
            <w:tcBorders>
              <w:top w:val="single" w:sz="6" w:space="0" w:color="auto"/>
              <w:left w:val="single" w:sz="6" w:space="0" w:color="auto"/>
              <w:bottom w:val="single" w:sz="6" w:space="0" w:color="auto"/>
              <w:right w:val="single" w:sz="6" w:space="0" w:color="auto"/>
            </w:tcBorders>
          </w:tcPr>
          <w:p w14:paraId="688188A4" w14:textId="77777777" w:rsidR="00CA23D0" w:rsidRPr="00E30642" w:rsidRDefault="00CA23D0" w:rsidP="00CA23D0">
            <w:pPr>
              <w:pStyle w:val="Texttabulky"/>
              <w:spacing w:line="240" w:lineRule="atLeast"/>
              <w:jc w:val="both"/>
              <w:rPr>
                <w:rFonts w:cs="Arial"/>
              </w:rPr>
            </w:pPr>
            <w:r w:rsidRPr="00E30642">
              <w:rPr>
                <w:rFonts w:cs="Arial"/>
              </w:rPr>
              <w:t>Hlavní nádraží</w:t>
            </w:r>
          </w:p>
        </w:tc>
        <w:tc>
          <w:tcPr>
            <w:tcW w:w="940" w:type="dxa"/>
            <w:tcBorders>
              <w:top w:val="single" w:sz="6" w:space="0" w:color="auto"/>
              <w:left w:val="single" w:sz="6" w:space="0" w:color="auto"/>
              <w:bottom w:val="single" w:sz="6" w:space="0" w:color="auto"/>
              <w:right w:val="single" w:sz="6" w:space="0" w:color="auto"/>
            </w:tcBorders>
          </w:tcPr>
          <w:p w14:paraId="4C63F81C" w14:textId="77777777" w:rsidR="00CA23D0" w:rsidRPr="00E30642" w:rsidRDefault="00CA23D0" w:rsidP="00CA23D0">
            <w:pPr>
              <w:pStyle w:val="Texttabulky"/>
              <w:spacing w:line="240" w:lineRule="atLeast"/>
              <w:jc w:val="both"/>
              <w:rPr>
                <w:rFonts w:cs="Arial"/>
              </w:rPr>
            </w:pPr>
            <w:r w:rsidRPr="00E30642">
              <w:rPr>
                <w:rFonts w:cs="Arial"/>
              </w:rPr>
              <w:t>152</w:t>
            </w:r>
          </w:p>
        </w:tc>
        <w:tc>
          <w:tcPr>
            <w:tcW w:w="855" w:type="dxa"/>
            <w:tcBorders>
              <w:top w:val="single" w:sz="6" w:space="0" w:color="auto"/>
              <w:left w:val="single" w:sz="6" w:space="0" w:color="auto"/>
              <w:bottom w:val="single" w:sz="6" w:space="0" w:color="auto"/>
              <w:right w:val="single" w:sz="6" w:space="0" w:color="auto"/>
            </w:tcBorders>
          </w:tcPr>
          <w:p w14:paraId="32321FAB"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47F5A043"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35120C92"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10791BE7" w14:textId="77777777" w:rsidR="00CA23D0" w:rsidRPr="00E30642" w:rsidRDefault="00CA23D0" w:rsidP="00CA23D0">
            <w:pPr>
              <w:pStyle w:val="Texttabulky"/>
              <w:spacing w:line="240" w:lineRule="atLeast"/>
              <w:jc w:val="both"/>
              <w:rPr>
                <w:rFonts w:cs="Arial"/>
              </w:rPr>
            </w:pPr>
            <w:r w:rsidRPr="00E30642">
              <w:rPr>
                <w:rFonts w:cs="Arial"/>
              </w:rPr>
              <w:t>150</w:t>
            </w:r>
          </w:p>
        </w:tc>
        <w:tc>
          <w:tcPr>
            <w:tcW w:w="979" w:type="dxa"/>
            <w:tcBorders>
              <w:top w:val="single" w:sz="6" w:space="0" w:color="auto"/>
              <w:left w:val="single" w:sz="6" w:space="0" w:color="auto"/>
              <w:bottom w:val="single" w:sz="6" w:space="0" w:color="auto"/>
              <w:right w:val="single" w:sz="6" w:space="0" w:color="auto"/>
            </w:tcBorders>
          </w:tcPr>
          <w:p w14:paraId="11301EC0"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0B296003"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6D67395" w14:textId="77777777" w:rsidR="00CA23D0" w:rsidRPr="00E30642" w:rsidRDefault="00CA23D0" w:rsidP="00CA23D0">
            <w:pPr>
              <w:pStyle w:val="Texttabulky"/>
              <w:spacing w:line="240" w:lineRule="atLeast"/>
              <w:jc w:val="both"/>
              <w:rPr>
                <w:rFonts w:cs="Arial"/>
              </w:rPr>
            </w:pPr>
            <w:r w:rsidRPr="00E30642">
              <w:rPr>
                <w:rFonts w:cs="Arial"/>
                <w:b/>
                <w:bCs/>
              </w:rPr>
              <w:t>27</w:t>
            </w:r>
          </w:p>
        </w:tc>
        <w:tc>
          <w:tcPr>
            <w:tcW w:w="1963" w:type="dxa"/>
            <w:tcBorders>
              <w:top w:val="single" w:sz="6" w:space="0" w:color="auto"/>
              <w:left w:val="single" w:sz="6" w:space="0" w:color="auto"/>
              <w:bottom w:val="single" w:sz="6" w:space="0" w:color="auto"/>
              <w:right w:val="single" w:sz="6" w:space="0" w:color="auto"/>
            </w:tcBorders>
          </w:tcPr>
          <w:p w14:paraId="6C1CE12F" w14:textId="77777777" w:rsidR="00CA23D0" w:rsidRPr="00E30642" w:rsidRDefault="00CA23D0" w:rsidP="00CA23D0">
            <w:pPr>
              <w:pStyle w:val="Texttabulky"/>
              <w:spacing w:line="240" w:lineRule="atLeast"/>
              <w:jc w:val="both"/>
              <w:rPr>
                <w:rFonts w:cs="Arial"/>
              </w:rPr>
            </w:pPr>
            <w:r w:rsidRPr="00E30642">
              <w:rPr>
                <w:rFonts w:cs="Arial"/>
              </w:rPr>
              <w:t>Přípeř</w:t>
            </w:r>
          </w:p>
        </w:tc>
        <w:tc>
          <w:tcPr>
            <w:tcW w:w="940" w:type="dxa"/>
            <w:tcBorders>
              <w:top w:val="single" w:sz="6" w:space="0" w:color="auto"/>
              <w:left w:val="single" w:sz="6" w:space="0" w:color="auto"/>
              <w:bottom w:val="single" w:sz="6" w:space="0" w:color="auto"/>
              <w:right w:val="single" w:sz="6" w:space="0" w:color="auto"/>
            </w:tcBorders>
          </w:tcPr>
          <w:p w14:paraId="2AF7C1E9" w14:textId="77777777" w:rsidR="00CA23D0" w:rsidRPr="00E30642" w:rsidRDefault="00CA23D0" w:rsidP="00CA23D0">
            <w:pPr>
              <w:pStyle w:val="Texttabulky"/>
              <w:spacing w:line="240" w:lineRule="atLeast"/>
              <w:jc w:val="both"/>
              <w:rPr>
                <w:rFonts w:cs="Arial"/>
              </w:rPr>
            </w:pPr>
            <w:r w:rsidRPr="00E30642">
              <w:rPr>
                <w:rFonts w:cs="Arial"/>
              </w:rPr>
              <w:t>136</w:t>
            </w:r>
          </w:p>
        </w:tc>
        <w:tc>
          <w:tcPr>
            <w:tcW w:w="855" w:type="dxa"/>
            <w:tcBorders>
              <w:top w:val="single" w:sz="6" w:space="0" w:color="auto"/>
              <w:left w:val="single" w:sz="6" w:space="0" w:color="auto"/>
              <w:bottom w:val="single" w:sz="6" w:space="0" w:color="auto"/>
              <w:right w:val="single" w:sz="6" w:space="0" w:color="auto"/>
            </w:tcBorders>
          </w:tcPr>
          <w:p w14:paraId="7DD6C89B"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33DACEA8"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6C36CFAE"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0DCA3F73" w14:textId="77777777" w:rsidR="00CA23D0" w:rsidRPr="00E30642" w:rsidRDefault="00CA23D0" w:rsidP="00CA23D0">
            <w:pPr>
              <w:pStyle w:val="Texttabulky"/>
              <w:spacing w:line="240" w:lineRule="atLeast"/>
              <w:jc w:val="both"/>
              <w:rPr>
                <w:rFonts w:cs="Arial"/>
              </w:rPr>
            </w:pPr>
            <w:r w:rsidRPr="00E30642">
              <w:rPr>
                <w:rFonts w:cs="Arial"/>
              </w:rPr>
              <w:t>100</w:t>
            </w:r>
          </w:p>
        </w:tc>
        <w:tc>
          <w:tcPr>
            <w:tcW w:w="979" w:type="dxa"/>
            <w:tcBorders>
              <w:top w:val="single" w:sz="6" w:space="0" w:color="auto"/>
              <w:left w:val="single" w:sz="6" w:space="0" w:color="auto"/>
              <w:bottom w:val="single" w:sz="6" w:space="0" w:color="auto"/>
              <w:right w:val="single" w:sz="6" w:space="0" w:color="auto"/>
            </w:tcBorders>
          </w:tcPr>
          <w:p w14:paraId="22F0CE5C" w14:textId="77777777" w:rsidR="00CA23D0" w:rsidRPr="00E30642" w:rsidRDefault="00CA23D0" w:rsidP="00CA23D0">
            <w:pPr>
              <w:pStyle w:val="Texttabulky"/>
              <w:spacing w:line="240" w:lineRule="atLeast"/>
              <w:jc w:val="both"/>
              <w:rPr>
                <w:rFonts w:cs="Arial"/>
              </w:rPr>
            </w:pPr>
            <w:r w:rsidRPr="00E30642">
              <w:rPr>
                <w:rFonts w:cs="Arial"/>
              </w:rPr>
              <w:t>100</w:t>
            </w:r>
          </w:p>
        </w:tc>
      </w:tr>
      <w:tr w:rsidR="00CA23D0" w:rsidRPr="00E30642" w14:paraId="2027262E"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4D551C98" w14:textId="77777777" w:rsidR="00CA23D0" w:rsidRPr="00E30642" w:rsidRDefault="00CA23D0" w:rsidP="00CA23D0">
            <w:pPr>
              <w:pStyle w:val="Texttabulky"/>
              <w:spacing w:line="240" w:lineRule="atLeast"/>
              <w:jc w:val="both"/>
              <w:rPr>
                <w:rFonts w:cs="Arial"/>
              </w:rPr>
            </w:pPr>
            <w:r w:rsidRPr="00E30642">
              <w:rPr>
                <w:rFonts w:cs="Arial"/>
                <w:b/>
                <w:bCs/>
              </w:rPr>
              <w:t>13</w:t>
            </w:r>
          </w:p>
        </w:tc>
        <w:tc>
          <w:tcPr>
            <w:tcW w:w="1963" w:type="dxa"/>
            <w:tcBorders>
              <w:top w:val="single" w:sz="6" w:space="0" w:color="auto"/>
              <w:left w:val="single" w:sz="6" w:space="0" w:color="auto"/>
              <w:bottom w:val="single" w:sz="6" w:space="0" w:color="auto"/>
              <w:right w:val="single" w:sz="6" w:space="0" w:color="auto"/>
            </w:tcBorders>
          </w:tcPr>
          <w:p w14:paraId="5536D453" w14:textId="77777777" w:rsidR="00CA23D0" w:rsidRPr="00E30642" w:rsidRDefault="00CA23D0" w:rsidP="00CA23D0">
            <w:pPr>
              <w:pStyle w:val="Texttabulky"/>
              <w:spacing w:line="240" w:lineRule="atLeast"/>
              <w:jc w:val="both"/>
              <w:rPr>
                <w:rFonts w:cs="Arial"/>
              </w:rPr>
            </w:pPr>
            <w:r w:rsidRPr="00E30642">
              <w:rPr>
                <w:rFonts w:cs="Arial"/>
              </w:rPr>
              <w:t>U Ploučnice</w:t>
            </w:r>
          </w:p>
        </w:tc>
        <w:tc>
          <w:tcPr>
            <w:tcW w:w="940" w:type="dxa"/>
            <w:tcBorders>
              <w:top w:val="single" w:sz="6" w:space="0" w:color="auto"/>
              <w:left w:val="single" w:sz="6" w:space="0" w:color="auto"/>
              <w:bottom w:val="single" w:sz="6" w:space="0" w:color="auto"/>
              <w:right w:val="single" w:sz="6" w:space="0" w:color="auto"/>
            </w:tcBorders>
          </w:tcPr>
          <w:p w14:paraId="337C5D94" w14:textId="77777777" w:rsidR="00CA23D0" w:rsidRPr="00E30642" w:rsidRDefault="00CA23D0" w:rsidP="00CA23D0">
            <w:pPr>
              <w:pStyle w:val="Texttabulky"/>
              <w:spacing w:line="240" w:lineRule="atLeast"/>
              <w:jc w:val="both"/>
              <w:rPr>
                <w:rFonts w:cs="Arial"/>
              </w:rPr>
            </w:pPr>
            <w:r w:rsidRPr="00E30642">
              <w:rPr>
                <w:rFonts w:cs="Arial"/>
              </w:rPr>
              <w:t>121</w:t>
            </w:r>
          </w:p>
        </w:tc>
        <w:tc>
          <w:tcPr>
            <w:tcW w:w="855" w:type="dxa"/>
            <w:tcBorders>
              <w:top w:val="single" w:sz="6" w:space="0" w:color="auto"/>
              <w:left w:val="single" w:sz="6" w:space="0" w:color="auto"/>
              <w:bottom w:val="single" w:sz="6" w:space="0" w:color="auto"/>
              <w:right w:val="single" w:sz="6" w:space="0" w:color="auto"/>
            </w:tcBorders>
          </w:tcPr>
          <w:p w14:paraId="451EC00C"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47BA5890"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52E45BBC"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1DA029D2" w14:textId="77777777" w:rsidR="00CA23D0" w:rsidRPr="00E30642" w:rsidRDefault="00CA23D0" w:rsidP="00CA23D0">
            <w:pPr>
              <w:pStyle w:val="Texttabulky"/>
              <w:spacing w:line="240" w:lineRule="atLeast"/>
              <w:jc w:val="both"/>
              <w:rPr>
                <w:rFonts w:cs="Arial"/>
              </w:rPr>
            </w:pPr>
            <w:r w:rsidRPr="00E30642">
              <w:rPr>
                <w:rFonts w:cs="Arial"/>
              </w:rPr>
              <w:t>100</w:t>
            </w:r>
          </w:p>
        </w:tc>
        <w:tc>
          <w:tcPr>
            <w:tcW w:w="979" w:type="dxa"/>
            <w:tcBorders>
              <w:top w:val="single" w:sz="6" w:space="0" w:color="auto"/>
              <w:left w:val="single" w:sz="6" w:space="0" w:color="auto"/>
              <w:bottom w:val="single" w:sz="6" w:space="0" w:color="auto"/>
              <w:right w:val="single" w:sz="6" w:space="0" w:color="auto"/>
            </w:tcBorders>
          </w:tcPr>
          <w:p w14:paraId="24710DB2" w14:textId="77777777" w:rsidR="00CA23D0" w:rsidRPr="00E30642" w:rsidRDefault="00CA23D0" w:rsidP="00CA23D0">
            <w:pPr>
              <w:pStyle w:val="Texttabulky"/>
              <w:spacing w:line="240" w:lineRule="atLeast"/>
              <w:jc w:val="both"/>
              <w:rPr>
                <w:rFonts w:cs="Arial"/>
              </w:rPr>
            </w:pPr>
            <w:r w:rsidRPr="00E30642">
              <w:rPr>
                <w:rFonts w:cs="Arial"/>
              </w:rPr>
              <w:t>100</w:t>
            </w:r>
          </w:p>
        </w:tc>
      </w:tr>
      <w:tr w:rsidR="00CA23D0" w:rsidRPr="00E30642" w14:paraId="6B19B5B7"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18F07540" w14:textId="77777777" w:rsidR="00CA23D0" w:rsidRPr="00E30642" w:rsidRDefault="00CA23D0" w:rsidP="00CA23D0">
            <w:pPr>
              <w:pStyle w:val="Texttabulky"/>
              <w:spacing w:line="240" w:lineRule="atLeast"/>
              <w:jc w:val="both"/>
              <w:rPr>
                <w:rFonts w:cs="Arial"/>
              </w:rPr>
            </w:pPr>
            <w:r w:rsidRPr="00E30642">
              <w:rPr>
                <w:rFonts w:cs="Arial"/>
                <w:b/>
                <w:bCs/>
              </w:rPr>
              <w:t>44</w:t>
            </w:r>
          </w:p>
        </w:tc>
        <w:tc>
          <w:tcPr>
            <w:tcW w:w="1963" w:type="dxa"/>
            <w:tcBorders>
              <w:top w:val="single" w:sz="6" w:space="0" w:color="auto"/>
              <w:left w:val="single" w:sz="6" w:space="0" w:color="auto"/>
              <w:bottom w:val="single" w:sz="6" w:space="0" w:color="auto"/>
              <w:right w:val="single" w:sz="6" w:space="0" w:color="auto"/>
            </w:tcBorders>
          </w:tcPr>
          <w:p w14:paraId="5BCED71D" w14:textId="77777777" w:rsidR="00CA23D0" w:rsidRPr="00E30642" w:rsidRDefault="00CA23D0" w:rsidP="00CA23D0">
            <w:pPr>
              <w:pStyle w:val="Texttabulky"/>
              <w:spacing w:line="240" w:lineRule="atLeast"/>
              <w:jc w:val="both"/>
              <w:rPr>
                <w:rFonts w:cs="Arial"/>
              </w:rPr>
            </w:pPr>
            <w:r w:rsidRPr="00E30642">
              <w:rPr>
                <w:rFonts w:cs="Arial"/>
              </w:rPr>
              <w:t>Dolní Žleb</w:t>
            </w:r>
          </w:p>
        </w:tc>
        <w:tc>
          <w:tcPr>
            <w:tcW w:w="940" w:type="dxa"/>
            <w:tcBorders>
              <w:top w:val="single" w:sz="6" w:space="0" w:color="auto"/>
              <w:left w:val="single" w:sz="6" w:space="0" w:color="auto"/>
              <w:bottom w:val="single" w:sz="6" w:space="0" w:color="auto"/>
              <w:right w:val="single" w:sz="6" w:space="0" w:color="auto"/>
            </w:tcBorders>
          </w:tcPr>
          <w:p w14:paraId="291F5C96" w14:textId="77777777" w:rsidR="00CA23D0" w:rsidRPr="00E30642" w:rsidRDefault="00CA23D0" w:rsidP="00CA23D0">
            <w:pPr>
              <w:pStyle w:val="Texttabulky"/>
              <w:spacing w:line="240" w:lineRule="atLeast"/>
              <w:jc w:val="both"/>
              <w:rPr>
                <w:rFonts w:cs="Arial"/>
              </w:rPr>
            </w:pPr>
            <w:r w:rsidRPr="00E30642">
              <w:rPr>
                <w:rFonts w:cs="Arial"/>
              </w:rPr>
              <w:t>120</w:t>
            </w:r>
          </w:p>
        </w:tc>
        <w:tc>
          <w:tcPr>
            <w:tcW w:w="855" w:type="dxa"/>
            <w:tcBorders>
              <w:top w:val="single" w:sz="6" w:space="0" w:color="auto"/>
              <w:left w:val="single" w:sz="6" w:space="0" w:color="auto"/>
              <w:bottom w:val="single" w:sz="6" w:space="0" w:color="auto"/>
              <w:right w:val="single" w:sz="6" w:space="0" w:color="auto"/>
            </w:tcBorders>
          </w:tcPr>
          <w:p w14:paraId="332FB34B"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47FE250E"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7BE057A2" w14:textId="77777777" w:rsidR="00CA23D0" w:rsidRPr="00E30642" w:rsidRDefault="00CA23D0" w:rsidP="00CA23D0">
            <w:pPr>
              <w:pStyle w:val="Texttabulky"/>
              <w:spacing w:line="240" w:lineRule="atLeast"/>
              <w:jc w:val="both"/>
              <w:rPr>
                <w:rFonts w:cs="Arial"/>
              </w:rPr>
            </w:pPr>
            <w:r w:rsidRPr="00E30642">
              <w:rPr>
                <w:rFonts w:cs="Arial"/>
              </w:rPr>
              <w:t>100</w:t>
            </w:r>
          </w:p>
        </w:tc>
        <w:tc>
          <w:tcPr>
            <w:tcW w:w="1005" w:type="dxa"/>
            <w:tcBorders>
              <w:top w:val="single" w:sz="6" w:space="0" w:color="auto"/>
              <w:left w:val="single" w:sz="6" w:space="0" w:color="auto"/>
              <w:bottom w:val="single" w:sz="6" w:space="0" w:color="auto"/>
              <w:right w:val="single" w:sz="6" w:space="0" w:color="auto"/>
            </w:tcBorders>
          </w:tcPr>
          <w:p w14:paraId="688EE1FA" w14:textId="77777777" w:rsidR="00CA23D0" w:rsidRPr="00E30642" w:rsidRDefault="00CA23D0" w:rsidP="00CA23D0">
            <w:pPr>
              <w:pStyle w:val="Texttabulky"/>
              <w:spacing w:line="240" w:lineRule="atLeast"/>
              <w:jc w:val="both"/>
              <w:rPr>
                <w:rFonts w:cs="Arial"/>
              </w:rPr>
            </w:pPr>
            <w:r w:rsidRPr="00E30642">
              <w:rPr>
                <w:rFonts w:cs="Arial"/>
              </w:rPr>
              <w:t>100</w:t>
            </w:r>
          </w:p>
        </w:tc>
        <w:tc>
          <w:tcPr>
            <w:tcW w:w="979" w:type="dxa"/>
            <w:tcBorders>
              <w:top w:val="single" w:sz="6" w:space="0" w:color="auto"/>
              <w:left w:val="single" w:sz="6" w:space="0" w:color="auto"/>
              <w:bottom w:val="single" w:sz="6" w:space="0" w:color="auto"/>
              <w:right w:val="single" w:sz="6" w:space="0" w:color="auto"/>
            </w:tcBorders>
          </w:tcPr>
          <w:p w14:paraId="4C802509" w14:textId="77777777" w:rsidR="00CA23D0" w:rsidRPr="00E30642" w:rsidRDefault="00CA23D0" w:rsidP="00CA23D0">
            <w:pPr>
              <w:pStyle w:val="Texttabulky"/>
              <w:spacing w:line="240" w:lineRule="atLeast"/>
              <w:jc w:val="both"/>
              <w:rPr>
                <w:rFonts w:cs="Arial"/>
              </w:rPr>
            </w:pPr>
            <w:r w:rsidRPr="00E30642">
              <w:rPr>
                <w:rFonts w:cs="Arial"/>
              </w:rPr>
              <w:t>200</w:t>
            </w:r>
          </w:p>
        </w:tc>
      </w:tr>
      <w:tr w:rsidR="00CA23D0" w:rsidRPr="00E30642" w14:paraId="3562E0E2"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545D1974" w14:textId="77777777" w:rsidR="00CA23D0" w:rsidRPr="00E30642" w:rsidRDefault="00CA23D0" w:rsidP="00CA23D0">
            <w:pPr>
              <w:pStyle w:val="Texttabulky"/>
              <w:spacing w:line="240" w:lineRule="atLeast"/>
              <w:jc w:val="both"/>
              <w:rPr>
                <w:rFonts w:cs="Arial"/>
              </w:rPr>
            </w:pPr>
            <w:r w:rsidRPr="00E30642">
              <w:rPr>
                <w:rFonts w:cs="Arial"/>
                <w:b/>
                <w:bCs/>
              </w:rPr>
              <w:t>66</w:t>
            </w:r>
          </w:p>
        </w:tc>
        <w:tc>
          <w:tcPr>
            <w:tcW w:w="1963" w:type="dxa"/>
            <w:tcBorders>
              <w:top w:val="single" w:sz="6" w:space="0" w:color="auto"/>
              <w:left w:val="single" w:sz="6" w:space="0" w:color="auto"/>
              <w:bottom w:val="single" w:sz="6" w:space="0" w:color="auto"/>
              <w:right w:val="single" w:sz="6" w:space="0" w:color="auto"/>
            </w:tcBorders>
          </w:tcPr>
          <w:p w14:paraId="12A6473E" w14:textId="77777777" w:rsidR="00CA23D0" w:rsidRPr="00E30642" w:rsidRDefault="00CA23D0" w:rsidP="00CA23D0">
            <w:pPr>
              <w:pStyle w:val="Texttabulky"/>
              <w:spacing w:line="240" w:lineRule="atLeast"/>
              <w:jc w:val="both"/>
              <w:rPr>
                <w:rFonts w:cs="Arial"/>
              </w:rPr>
            </w:pPr>
            <w:r w:rsidRPr="00E30642">
              <w:rPr>
                <w:rFonts w:cs="Arial"/>
              </w:rPr>
              <w:t>Průmyslový obvod Křešice</w:t>
            </w:r>
          </w:p>
        </w:tc>
        <w:tc>
          <w:tcPr>
            <w:tcW w:w="940" w:type="dxa"/>
            <w:tcBorders>
              <w:top w:val="single" w:sz="6" w:space="0" w:color="auto"/>
              <w:left w:val="single" w:sz="6" w:space="0" w:color="auto"/>
              <w:bottom w:val="single" w:sz="6" w:space="0" w:color="auto"/>
              <w:right w:val="single" w:sz="6" w:space="0" w:color="auto"/>
            </w:tcBorders>
          </w:tcPr>
          <w:p w14:paraId="1007CFAC" w14:textId="77777777" w:rsidR="00CA23D0" w:rsidRPr="00E30642" w:rsidRDefault="00CA23D0" w:rsidP="00CA23D0">
            <w:pPr>
              <w:pStyle w:val="Texttabulky"/>
              <w:spacing w:line="240" w:lineRule="atLeast"/>
              <w:jc w:val="both"/>
              <w:rPr>
                <w:rFonts w:cs="Arial"/>
              </w:rPr>
            </w:pPr>
            <w:r w:rsidRPr="00E30642">
              <w:rPr>
                <w:rFonts w:cs="Arial"/>
              </w:rPr>
              <w:t>95</w:t>
            </w:r>
          </w:p>
        </w:tc>
        <w:tc>
          <w:tcPr>
            <w:tcW w:w="855" w:type="dxa"/>
            <w:tcBorders>
              <w:top w:val="single" w:sz="6" w:space="0" w:color="auto"/>
              <w:left w:val="single" w:sz="6" w:space="0" w:color="auto"/>
              <w:bottom w:val="single" w:sz="6" w:space="0" w:color="auto"/>
              <w:right w:val="single" w:sz="6" w:space="0" w:color="auto"/>
            </w:tcBorders>
          </w:tcPr>
          <w:p w14:paraId="16B6AB2A"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78D12E24"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0BE40AA6"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4679479D" w14:textId="77777777" w:rsidR="00CA23D0" w:rsidRPr="00E30642" w:rsidRDefault="00CA23D0" w:rsidP="00CA23D0">
            <w:pPr>
              <w:pStyle w:val="Texttabulky"/>
              <w:spacing w:line="240" w:lineRule="atLeast"/>
              <w:jc w:val="both"/>
              <w:rPr>
                <w:rFonts w:cs="Arial"/>
              </w:rPr>
            </w:pPr>
            <w:r w:rsidRPr="00E30642">
              <w:rPr>
                <w:rFonts w:cs="Arial"/>
              </w:rPr>
              <w:t>80</w:t>
            </w:r>
          </w:p>
        </w:tc>
        <w:tc>
          <w:tcPr>
            <w:tcW w:w="979" w:type="dxa"/>
            <w:tcBorders>
              <w:top w:val="single" w:sz="6" w:space="0" w:color="auto"/>
              <w:left w:val="single" w:sz="6" w:space="0" w:color="auto"/>
              <w:bottom w:val="single" w:sz="6" w:space="0" w:color="auto"/>
              <w:right w:val="single" w:sz="6" w:space="0" w:color="auto"/>
            </w:tcBorders>
          </w:tcPr>
          <w:p w14:paraId="35BD2C8D" w14:textId="77777777" w:rsidR="00CA23D0" w:rsidRPr="00E30642" w:rsidRDefault="00CA23D0" w:rsidP="00CA23D0">
            <w:pPr>
              <w:pStyle w:val="Texttabulky"/>
              <w:spacing w:line="240" w:lineRule="atLeast"/>
              <w:jc w:val="both"/>
              <w:rPr>
                <w:rFonts w:cs="Arial"/>
              </w:rPr>
            </w:pPr>
            <w:r w:rsidRPr="00E30642">
              <w:rPr>
                <w:rFonts w:cs="Arial"/>
              </w:rPr>
              <w:t>80</w:t>
            </w:r>
          </w:p>
        </w:tc>
      </w:tr>
      <w:tr w:rsidR="00CA23D0" w:rsidRPr="00E30642" w14:paraId="05AE0AC5"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2D5A18C4" w14:textId="77777777" w:rsidR="00CA23D0" w:rsidRPr="00E30642" w:rsidRDefault="00CA23D0" w:rsidP="00CA23D0">
            <w:pPr>
              <w:pStyle w:val="Texttabulky"/>
              <w:spacing w:line="240" w:lineRule="atLeast"/>
              <w:jc w:val="both"/>
              <w:rPr>
                <w:rFonts w:cs="Arial"/>
              </w:rPr>
            </w:pPr>
            <w:r w:rsidRPr="00E30642">
              <w:rPr>
                <w:rFonts w:cs="Arial"/>
                <w:b/>
                <w:bCs/>
              </w:rPr>
              <w:t>11</w:t>
            </w:r>
          </w:p>
        </w:tc>
        <w:tc>
          <w:tcPr>
            <w:tcW w:w="1963" w:type="dxa"/>
            <w:tcBorders>
              <w:top w:val="single" w:sz="6" w:space="0" w:color="auto"/>
              <w:left w:val="single" w:sz="6" w:space="0" w:color="auto"/>
              <w:bottom w:val="single" w:sz="6" w:space="0" w:color="auto"/>
              <w:right w:val="single" w:sz="6" w:space="0" w:color="auto"/>
            </w:tcBorders>
          </w:tcPr>
          <w:p w14:paraId="7474E8CC" w14:textId="77777777" w:rsidR="00CA23D0" w:rsidRPr="00E30642" w:rsidRDefault="00CA23D0" w:rsidP="00CA23D0">
            <w:pPr>
              <w:pStyle w:val="Texttabulky"/>
              <w:spacing w:line="240" w:lineRule="atLeast"/>
              <w:jc w:val="both"/>
              <w:rPr>
                <w:rFonts w:cs="Arial"/>
              </w:rPr>
            </w:pPr>
            <w:r w:rsidRPr="00E30642">
              <w:rPr>
                <w:rFonts w:cs="Arial"/>
              </w:rPr>
              <w:t>U koupaliště</w:t>
            </w:r>
          </w:p>
        </w:tc>
        <w:tc>
          <w:tcPr>
            <w:tcW w:w="940" w:type="dxa"/>
            <w:tcBorders>
              <w:top w:val="single" w:sz="6" w:space="0" w:color="auto"/>
              <w:left w:val="single" w:sz="6" w:space="0" w:color="auto"/>
              <w:bottom w:val="single" w:sz="6" w:space="0" w:color="auto"/>
              <w:right w:val="single" w:sz="6" w:space="0" w:color="auto"/>
            </w:tcBorders>
          </w:tcPr>
          <w:p w14:paraId="4413D2E5" w14:textId="77777777" w:rsidR="00CA23D0" w:rsidRPr="00E30642" w:rsidRDefault="00CA23D0" w:rsidP="00CA23D0">
            <w:pPr>
              <w:pStyle w:val="Texttabulky"/>
              <w:spacing w:line="240" w:lineRule="atLeast"/>
              <w:jc w:val="both"/>
              <w:rPr>
                <w:rFonts w:cs="Arial"/>
              </w:rPr>
            </w:pPr>
            <w:r w:rsidRPr="00E30642">
              <w:rPr>
                <w:rFonts w:cs="Arial"/>
              </w:rPr>
              <w:t>77</w:t>
            </w:r>
          </w:p>
        </w:tc>
        <w:tc>
          <w:tcPr>
            <w:tcW w:w="855" w:type="dxa"/>
            <w:tcBorders>
              <w:top w:val="single" w:sz="6" w:space="0" w:color="auto"/>
              <w:left w:val="single" w:sz="6" w:space="0" w:color="auto"/>
              <w:bottom w:val="single" w:sz="6" w:space="0" w:color="auto"/>
              <w:right w:val="single" w:sz="6" w:space="0" w:color="auto"/>
            </w:tcBorders>
          </w:tcPr>
          <w:p w14:paraId="478E6D8A" w14:textId="77777777" w:rsidR="00CA23D0" w:rsidRPr="00E30642" w:rsidRDefault="00CA23D0" w:rsidP="00CA23D0">
            <w:pPr>
              <w:pStyle w:val="Texttabulky"/>
              <w:spacing w:line="240" w:lineRule="atLeast"/>
              <w:jc w:val="both"/>
              <w:rPr>
                <w:rFonts w:cs="Arial"/>
              </w:rPr>
            </w:pPr>
            <w:r w:rsidRPr="00E30642">
              <w:rPr>
                <w:rFonts w:cs="Arial"/>
              </w:rPr>
              <w:t>25</w:t>
            </w:r>
          </w:p>
        </w:tc>
        <w:tc>
          <w:tcPr>
            <w:tcW w:w="840" w:type="dxa"/>
            <w:tcBorders>
              <w:top w:val="single" w:sz="6" w:space="0" w:color="auto"/>
              <w:left w:val="single" w:sz="6" w:space="0" w:color="auto"/>
              <w:bottom w:val="single" w:sz="6" w:space="0" w:color="auto"/>
              <w:right w:val="single" w:sz="6" w:space="0" w:color="auto"/>
            </w:tcBorders>
          </w:tcPr>
          <w:p w14:paraId="3E0D1283"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168BFB17"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132C707C" w14:textId="77777777" w:rsidR="00CA23D0" w:rsidRPr="00E30642" w:rsidRDefault="00CA23D0" w:rsidP="00CA23D0">
            <w:pPr>
              <w:pStyle w:val="Texttabulky"/>
              <w:spacing w:line="240" w:lineRule="atLeast"/>
              <w:jc w:val="both"/>
              <w:rPr>
                <w:rFonts w:cs="Arial"/>
              </w:rPr>
            </w:pPr>
            <w:r w:rsidRPr="00E30642">
              <w:rPr>
                <w:rFonts w:cs="Arial"/>
              </w:rPr>
              <w:t>75</w:t>
            </w:r>
          </w:p>
        </w:tc>
        <w:tc>
          <w:tcPr>
            <w:tcW w:w="979" w:type="dxa"/>
            <w:tcBorders>
              <w:top w:val="single" w:sz="6" w:space="0" w:color="auto"/>
              <w:left w:val="single" w:sz="6" w:space="0" w:color="auto"/>
              <w:bottom w:val="single" w:sz="6" w:space="0" w:color="auto"/>
              <w:right w:val="single" w:sz="6" w:space="0" w:color="auto"/>
            </w:tcBorders>
          </w:tcPr>
          <w:p w14:paraId="2AE3F155" w14:textId="77777777" w:rsidR="00CA23D0" w:rsidRPr="00E30642" w:rsidRDefault="00CA23D0" w:rsidP="00CA23D0">
            <w:pPr>
              <w:pStyle w:val="Texttabulky"/>
              <w:spacing w:line="240" w:lineRule="atLeast"/>
              <w:jc w:val="both"/>
              <w:rPr>
                <w:rFonts w:cs="Arial"/>
              </w:rPr>
            </w:pPr>
            <w:r w:rsidRPr="00E30642">
              <w:rPr>
                <w:rFonts w:cs="Arial"/>
              </w:rPr>
              <w:t>75</w:t>
            </w:r>
          </w:p>
        </w:tc>
      </w:tr>
      <w:tr w:rsidR="00CA23D0" w:rsidRPr="00E30642" w14:paraId="655ABDA9"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0DFE696" w14:textId="77777777" w:rsidR="00CA23D0" w:rsidRPr="00E30642" w:rsidRDefault="00CA23D0" w:rsidP="00CA23D0">
            <w:pPr>
              <w:pStyle w:val="Texttabulky"/>
              <w:spacing w:line="240" w:lineRule="atLeast"/>
              <w:jc w:val="both"/>
              <w:rPr>
                <w:rFonts w:cs="Arial"/>
              </w:rPr>
            </w:pPr>
            <w:r w:rsidRPr="00E30642">
              <w:rPr>
                <w:rFonts w:cs="Arial"/>
                <w:b/>
                <w:bCs/>
              </w:rPr>
              <w:t>8</w:t>
            </w:r>
          </w:p>
        </w:tc>
        <w:tc>
          <w:tcPr>
            <w:tcW w:w="1963" w:type="dxa"/>
            <w:tcBorders>
              <w:top w:val="single" w:sz="6" w:space="0" w:color="auto"/>
              <w:left w:val="single" w:sz="6" w:space="0" w:color="auto"/>
              <w:bottom w:val="single" w:sz="6" w:space="0" w:color="auto"/>
              <w:right w:val="single" w:sz="6" w:space="0" w:color="auto"/>
            </w:tcBorders>
          </w:tcPr>
          <w:p w14:paraId="289DB2C1" w14:textId="77777777" w:rsidR="00CA23D0" w:rsidRPr="00E30642" w:rsidRDefault="00CA23D0" w:rsidP="00CA23D0">
            <w:pPr>
              <w:pStyle w:val="Texttabulky"/>
              <w:spacing w:line="240" w:lineRule="atLeast"/>
              <w:jc w:val="both"/>
              <w:rPr>
                <w:rFonts w:cs="Arial"/>
              </w:rPr>
            </w:pPr>
            <w:r w:rsidRPr="00E30642">
              <w:rPr>
                <w:rFonts w:cs="Arial"/>
              </w:rPr>
              <w:t>U cihelny</w:t>
            </w:r>
          </w:p>
        </w:tc>
        <w:tc>
          <w:tcPr>
            <w:tcW w:w="940" w:type="dxa"/>
            <w:tcBorders>
              <w:top w:val="single" w:sz="6" w:space="0" w:color="auto"/>
              <w:left w:val="single" w:sz="6" w:space="0" w:color="auto"/>
              <w:bottom w:val="single" w:sz="6" w:space="0" w:color="auto"/>
              <w:right w:val="single" w:sz="6" w:space="0" w:color="auto"/>
            </w:tcBorders>
          </w:tcPr>
          <w:p w14:paraId="44DF5AAD" w14:textId="77777777" w:rsidR="00CA23D0" w:rsidRPr="00E30642" w:rsidRDefault="00CA23D0" w:rsidP="00CA23D0">
            <w:pPr>
              <w:pStyle w:val="Texttabulky"/>
              <w:spacing w:line="240" w:lineRule="atLeast"/>
              <w:jc w:val="both"/>
              <w:rPr>
                <w:rFonts w:cs="Arial"/>
              </w:rPr>
            </w:pPr>
            <w:r w:rsidRPr="00E30642">
              <w:rPr>
                <w:rFonts w:cs="Arial"/>
              </w:rPr>
              <w:t>70</w:t>
            </w:r>
          </w:p>
        </w:tc>
        <w:tc>
          <w:tcPr>
            <w:tcW w:w="855" w:type="dxa"/>
            <w:tcBorders>
              <w:top w:val="single" w:sz="6" w:space="0" w:color="auto"/>
              <w:left w:val="single" w:sz="6" w:space="0" w:color="auto"/>
              <w:bottom w:val="single" w:sz="6" w:space="0" w:color="auto"/>
              <w:right w:val="single" w:sz="6" w:space="0" w:color="auto"/>
            </w:tcBorders>
          </w:tcPr>
          <w:p w14:paraId="47A6658B"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55925A9D" w14:textId="77777777" w:rsidR="00CA23D0" w:rsidRPr="00E30642" w:rsidRDefault="00CA23D0" w:rsidP="00CA23D0">
            <w:pPr>
              <w:pStyle w:val="Texttabulky"/>
              <w:spacing w:line="240" w:lineRule="atLeast"/>
              <w:jc w:val="both"/>
              <w:rPr>
                <w:rFonts w:cs="Arial"/>
              </w:rPr>
            </w:pPr>
            <w:r w:rsidRPr="00E30642">
              <w:rPr>
                <w:rFonts w:cs="Arial"/>
              </w:rPr>
              <w:t>35</w:t>
            </w:r>
          </w:p>
        </w:tc>
        <w:tc>
          <w:tcPr>
            <w:tcW w:w="857" w:type="dxa"/>
            <w:tcBorders>
              <w:top w:val="single" w:sz="6" w:space="0" w:color="auto"/>
              <w:left w:val="single" w:sz="6" w:space="0" w:color="auto"/>
              <w:bottom w:val="single" w:sz="6" w:space="0" w:color="auto"/>
              <w:right w:val="single" w:sz="6" w:space="0" w:color="auto"/>
            </w:tcBorders>
          </w:tcPr>
          <w:p w14:paraId="6AAB200F"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41F9D649" w14:textId="77777777" w:rsidR="00CA23D0" w:rsidRPr="00E30642" w:rsidRDefault="00CA23D0" w:rsidP="00CA23D0">
            <w:pPr>
              <w:pStyle w:val="Texttabulky"/>
              <w:spacing w:line="240" w:lineRule="atLeast"/>
              <w:jc w:val="both"/>
              <w:rPr>
                <w:rFonts w:cs="Arial"/>
              </w:rPr>
            </w:pPr>
            <w:r w:rsidRPr="00E30642">
              <w:rPr>
                <w:rFonts w:cs="Arial"/>
              </w:rPr>
              <w:t>85</w:t>
            </w:r>
          </w:p>
        </w:tc>
        <w:tc>
          <w:tcPr>
            <w:tcW w:w="979" w:type="dxa"/>
            <w:tcBorders>
              <w:top w:val="single" w:sz="6" w:space="0" w:color="auto"/>
              <w:left w:val="single" w:sz="6" w:space="0" w:color="auto"/>
              <w:bottom w:val="single" w:sz="6" w:space="0" w:color="auto"/>
              <w:right w:val="single" w:sz="6" w:space="0" w:color="auto"/>
            </w:tcBorders>
          </w:tcPr>
          <w:p w14:paraId="289E8B82" w14:textId="77777777" w:rsidR="00CA23D0" w:rsidRPr="00E30642" w:rsidRDefault="00CA23D0" w:rsidP="00CA23D0">
            <w:pPr>
              <w:pStyle w:val="Texttabulky"/>
              <w:spacing w:line="240" w:lineRule="atLeast"/>
              <w:jc w:val="both"/>
              <w:rPr>
                <w:rFonts w:cs="Arial"/>
              </w:rPr>
            </w:pPr>
            <w:r w:rsidRPr="00E30642">
              <w:rPr>
                <w:rFonts w:cs="Arial"/>
              </w:rPr>
              <w:t>85</w:t>
            </w:r>
          </w:p>
        </w:tc>
      </w:tr>
      <w:tr w:rsidR="00CA23D0" w:rsidRPr="00E30642" w14:paraId="1EA95515"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652AE884" w14:textId="77777777" w:rsidR="00CA23D0" w:rsidRPr="00E30642" w:rsidRDefault="00CA23D0" w:rsidP="00CA23D0">
            <w:pPr>
              <w:pStyle w:val="Texttabulky"/>
              <w:spacing w:line="240" w:lineRule="atLeast"/>
              <w:jc w:val="both"/>
              <w:rPr>
                <w:rFonts w:cs="Arial"/>
              </w:rPr>
            </w:pPr>
            <w:r w:rsidRPr="00E30642">
              <w:rPr>
                <w:rFonts w:cs="Arial"/>
                <w:b/>
                <w:bCs/>
              </w:rPr>
              <w:t>36</w:t>
            </w:r>
          </w:p>
        </w:tc>
        <w:tc>
          <w:tcPr>
            <w:tcW w:w="1963" w:type="dxa"/>
            <w:tcBorders>
              <w:top w:val="single" w:sz="6" w:space="0" w:color="auto"/>
              <w:left w:val="single" w:sz="6" w:space="0" w:color="auto"/>
              <w:bottom w:val="single" w:sz="6" w:space="0" w:color="auto"/>
              <w:right w:val="single" w:sz="6" w:space="0" w:color="auto"/>
            </w:tcBorders>
          </w:tcPr>
          <w:p w14:paraId="3A26EDEA" w14:textId="77777777" w:rsidR="00CA23D0" w:rsidRPr="00E30642" w:rsidRDefault="00CA23D0" w:rsidP="00CA23D0">
            <w:pPr>
              <w:pStyle w:val="Texttabulky"/>
              <w:spacing w:line="240" w:lineRule="atLeast"/>
              <w:jc w:val="both"/>
              <w:rPr>
                <w:rFonts w:cs="Arial"/>
              </w:rPr>
            </w:pPr>
            <w:r w:rsidRPr="00E30642">
              <w:rPr>
                <w:rFonts w:cs="Arial"/>
              </w:rPr>
              <w:t>Maxičky</w:t>
            </w:r>
          </w:p>
        </w:tc>
        <w:tc>
          <w:tcPr>
            <w:tcW w:w="940" w:type="dxa"/>
            <w:tcBorders>
              <w:top w:val="single" w:sz="6" w:space="0" w:color="auto"/>
              <w:left w:val="single" w:sz="6" w:space="0" w:color="auto"/>
              <w:bottom w:val="single" w:sz="6" w:space="0" w:color="auto"/>
              <w:right w:val="single" w:sz="6" w:space="0" w:color="auto"/>
            </w:tcBorders>
          </w:tcPr>
          <w:p w14:paraId="0281FB4F" w14:textId="77777777" w:rsidR="00CA23D0" w:rsidRPr="00E30642" w:rsidRDefault="00CA23D0" w:rsidP="00CA23D0">
            <w:pPr>
              <w:pStyle w:val="Texttabulky"/>
              <w:spacing w:line="240" w:lineRule="atLeast"/>
              <w:jc w:val="both"/>
              <w:rPr>
                <w:rFonts w:cs="Arial"/>
              </w:rPr>
            </w:pPr>
            <w:r w:rsidRPr="00E30642">
              <w:rPr>
                <w:rFonts w:cs="Arial"/>
              </w:rPr>
              <w:t>59</w:t>
            </w:r>
          </w:p>
        </w:tc>
        <w:tc>
          <w:tcPr>
            <w:tcW w:w="855" w:type="dxa"/>
            <w:tcBorders>
              <w:top w:val="single" w:sz="6" w:space="0" w:color="auto"/>
              <w:left w:val="single" w:sz="6" w:space="0" w:color="auto"/>
              <w:bottom w:val="single" w:sz="6" w:space="0" w:color="auto"/>
              <w:right w:val="single" w:sz="6" w:space="0" w:color="auto"/>
            </w:tcBorders>
          </w:tcPr>
          <w:p w14:paraId="4F92BC3F" w14:textId="77777777" w:rsidR="00CA23D0" w:rsidRPr="00E30642" w:rsidRDefault="00CA23D0" w:rsidP="00CA23D0">
            <w:pPr>
              <w:pStyle w:val="Texttabulky"/>
              <w:spacing w:line="240" w:lineRule="atLeast"/>
              <w:jc w:val="both"/>
              <w:rPr>
                <w:rFonts w:cs="Arial"/>
              </w:rPr>
            </w:pPr>
            <w:r w:rsidRPr="00E30642">
              <w:rPr>
                <w:rFonts w:cs="Arial"/>
              </w:rPr>
              <w:t>15</w:t>
            </w:r>
          </w:p>
        </w:tc>
        <w:tc>
          <w:tcPr>
            <w:tcW w:w="840" w:type="dxa"/>
            <w:tcBorders>
              <w:top w:val="single" w:sz="6" w:space="0" w:color="auto"/>
              <w:left w:val="single" w:sz="6" w:space="0" w:color="auto"/>
              <w:bottom w:val="single" w:sz="6" w:space="0" w:color="auto"/>
              <w:right w:val="single" w:sz="6" w:space="0" w:color="auto"/>
            </w:tcBorders>
          </w:tcPr>
          <w:p w14:paraId="4B4C9FB8"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559836BA" w14:textId="77777777" w:rsidR="00CA23D0" w:rsidRPr="00E30642" w:rsidRDefault="00CA23D0" w:rsidP="00CA23D0">
            <w:pPr>
              <w:pStyle w:val="Texttabulky"/>
              <w:spacing w:line="240" w:lineRule="atLeast"/>
              <w:jc w:val="both"/>
              <w:rPr>
                <w:rFonts w:cs="Arial"/>
              </w:rPr>
            </w:pPr>
            <w:r w:rsidRPr="00E30642">
              <w:rPr>
                <w:rFonts w:cs="Arial"/>
              </w:rPr>
              <w:t>65</w:t>
            </w:r>
          </w:p>
        </w:tc>
        <w:tc>
          <w:tcPr>
            <w:tcW w:w="1005" w:type="dxa"/>
            <w:tcBorders>
              <w:top w:val="single" w:sz="6" w:space="0" w:color="auto"/>
              <w:left w:val="single" w:sz="6" w:space="0" w:color="auto"/>
              <w:bottom w:val="single" w:sz="6" w:space="0" w:color="auto"/>
              <w:right w:val="single" w:sz="6" w:space="0" w:color="auto"/>
            </w:tcBorders>
          </w:tcPr>
          <w:p w14:paraId="4B785217" w14:textId="77777777" w:rsidR="00CA23D0" w:rsidRPr="00E30642" w:rsidRDefault="00CA23D0" w:rsidP="00CA23D0">
            <w:pPr>
              <w:pStyle w:val="Texttabulky"/>
              <w:spacing w:line="240" w:lineRule="atLeast"/>
              <w:jc w:val="both"/>
              <w:rPr>
                <w:rFonts w:cs="Arial"/>
              </w:rPr>
            </w:pPr>
            <w:r w:rsidRPr="00E30642">
              <w:rPr>
                <w:rFonts w:cs="Arial"/>
              </w:rPr>
              <w:t>65</w:t>
            </w:r>
          </w:p>
        </w:tc>
        <w:tc>
          <w:tcPr>
            <w:tcW w:w="979" w:type="dxa"/>
            <w:tcBorders>
              <w:top w:val="single" w:sz="6" w:space="0" w:color="auto"/>
              <w:left w:val="single" w:sz="6" w:space="0" w:color="auto"/>
              <w:bottom w:val="single" w:sz="6" w:space="0" w:color="auto"/>
              <w:right w:val="single" w:sz="6" w:space="0" w:color="auto"/>
            </w:tcBorders>
          </w:tcPr>
          <w:p w14:paraId="61F211FF" w14:textId="77777777" w:rsidR="00CA23D0" w:rsidRPr="00E30642" w:rsidRDefault="00CA23D0" w:rsidP="00CA23D0">
            <w:pPr>
              <w:pStyle w:val="Texttabulky"/>
              <w:spacing w:line="240" w:lineRule="atLeast"/>
              <w:jc w:val="both"/>
              <w:rPr>
                <w:rFonts w:cs="Arial"/>
              </w:rPr>
            </w:pPr>
            <w:r w:rsidRPr="00E30642">
              <w:rPr>
                <w:rFonts w:cs="Arial"/>
              </w:rPr>
              <w:t>130</w:t>
            </w:r>
          </w:p>
        </w:tc>
      </w:tr>
      <w:tr w:rsidR="00CA23D0" w:rsidRPr="00E30642" w14:paraId="2C746300"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6131BA41" w14:textId="77777777" w:rsidR="00CA23D0" w:rsidRPr="00E30642" w:rsidRDefault="00CA23D0" w:rsidP="00CA23D0">
            <w:pPr>
              <w:pStyle w:val="Texttabulky"/>
              <w:spacing w:line="240" w:lineRule="atLeast"/>
              <w:jc w:val="both"/>
              <w:rPr>
                <w:rFonts w:cs="Arial"/>
              </w:rPr>
            </w:pPr>
            <w:r w:rsidRPr="00E30642">
              <w:rPr>
                <w:rFonts w:cs="Arial"/>
                <w:b/>
                <w:bCs/>
              </w:rPr>
              <w:t>9</w:t>
            </w:r>
          </w:p>
        </w:tc>
        <w:tc>
          <w:tcPr>
            <w:tcW w:w="1963" w:type="dxa"/>
            <w:tcBorders>
              <w:top w:val="single" w:sz="6" w:space="0" w:color="auto"/>
              <w:left w:val="single" w:sz="6" w:space="0" w:color="auto"/>
              <w:bottom w:val="single" w:sz="6" w:space="0" w:color="auto"/>
              <w:right w:val="single" w:sz="6" w:space="0" w:color="auto"/>
            </w:tcBorders>
          </w:tcPr>
          <w:p w14:paraId="4BC32F39" w14:textId="77777777" w:rsidR="00CA23D0" w:rsidRPr="00E30642" w:rsidRDefault="00CA23D0" w:rsidP="00CA23D0">
            <w:pPr>
              <w:pStyle w:val="Texttabulky"/>
              <w:spacing w:line="240" w:lineRule="atLeast"/>
              <w:jc w:val="both"/>
              <w:rPr>
                <w:rFonts w:cs="Arial"/>
              </w:rPr>
            </w:pPr>
            <w:r w:rsidRPr="00E30642">
              <w:rPr>
                <w:rFonts w:cs="Arial"/>
              </w:rPr>
              <w:t>Východní nádraží</w:t>
            </w:r>
          </w:p>
        </w:tc>
        <w:tc>
          <w:tcPr>
            <w:tcW w:w="940" w:type="dxa"/>
            <w:tcBorders>
              <w:top w:val="single" w:sz="6" w:space="0" w:color="auto"/>
              <w:left w:val="single" w:sz="6" w:space="0" w:color="auto"/>
              <w:bottom w:val="single" w:sz="6" w:space="0" w:color="auto"/>
              <w:right w:val="single" w:sz="6" w:space="0" w:color="auto"/>
            </w:tcBorders>
          </w:tcPr>
          <w:p w14:paraId="19F76EDB" w14:textId="77777777" w:rsidR="00CA23D0" w:rsidRPr="00E30642" w:rsidRDefault="00CA23D0" w:rsidP="00CA23D0">
            <w:pPr>
              <w:pStyle w:val="Texttabulky"/>
              <w:spacing w:line="240" w:lineRule="atLeast"/>
              <w:jc w:val="both"/>
              <w:rPr>
                <w:rFonts w:cs="Arial"/>
              </w:rPr>
            </w:pPr>
            <w:r w:rsidRPr="00E30642">
              <w:rPr>
                <w:rFonts w:cs="Arial"/>
              </w:rPr>
              <w:t>34</w:t>
            </w:r>
          </w:p>
        </w:tc>
        <w:tc>
          <w:tcPr>
            <w:tcW w:w="855" w:type="dxa"/>
            <w:tcBorders>
              <w:top w:val="single" w:sz="6" w:space="0" w:color="auto"/>
              <w:left w:val="single" w:sz="6" w:space="0" w:color="auto"/>
              <w:bottom w:val="single" w:sz="6" w:space="0" w:color="auto"/>
              <w:right w:val="single" w:sz="6" w:space="0" w:color="auto"/>
            </w:tcBorders>
          </w:tcPr>
          <w:p w14:paraId="44649688"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61EFCA7A"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473799D0"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3B14A531" w14:textId="77777777" w:rsidR="00CA23D0" w:rsidRPr="00E30642" w:rsidRDefault="00CA23D0" w:rsidP="00CA23D0">
            <w:pPr>
              <w:pStyle w:val="Texttabulky"/>
              <w:spacing w:line="240" w:lineRule="atLeast"/>
              <w:jc w:val="both"/>
              <w:rPr>
                <w:rFonts w:cs="Arial"/>
              </w:rPr>
            </w:pPr>
            <w:r w:rsidRPr="00E30642">
              <w:rPr>
                <w:rFonts w:cs="Arial"/>
              </w:rPr>
              <w:t>30</w:t>
            </w:r>
          </w:p>
        </w:tc>
        <w:tc>
          <w:tcPr>
            <w:tcW w:w="979" w:type="dxa"/>
            <w:tcBorders>
              <w:top w:val="single" w:sz="6" w:space="0" w:color="auto"/>
              <w:left w:val="single" w:sz="6" w:space="0" w:color="auto"/>
              <w:bottom w:val="single" w:sz="6" w:space="0" w:color="auto"/>
              <w:right w:val="single" w:sz="6" w:space="0" w:color="auto"/>
            </w:tcBorders>
          </w:tcPr>
          <w:p w14:paraId="22122078" w14:textId="77777777" w:rsidR="00CA23D0" w:rsidRPr="00E30642" w:rsidRDefault="00CA23D0" w:rsidP="00CA23D0">
            <w:pPr>
              <w:pStyle w:val="Texttabulky"/>
              <w:spacing w:line="240" w:lineRule="atLeast"/>
              <w:jc w:val="both"/>
              <w:rPr>
                <w:rFonts w:cs="Arial"/>
              </w:rPr>
            </w:pPr>
            <w:r w:rsidRPr="00E30642">
              <w:rPr>
                <w:rFonts w:cs="Arial"/>
              </w:rPr>
              <w:t>30</w:t>
            </w:r>
          </w:p>
        </w:tc>
      </w:tr>
      <w:tr w:rsidR="00CA23D0" w:rsidRPr="00E30642" w14:paraId="57CA80D0"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806D4D0" w14:textId="77777777" w:rsidR="00CA23D0" w:rsidRPr="00E30642" w:rsidRDefault="00CA23D0" w:rsidP="00CA23D0">
            <w:pPr>
              <w:pStyle w:val="Texttabulky"/>
              <w:spacing w:line="240" w:lineRule="atLeast"/>
              <w:jc w:val="both"/>
              <w:rPr>
                <w:rFonts w:cs="Arial"/>
              </w:rPr>
            </w:pPr>
            <w:r w:rsidRPr="00E30642">
              <w:rPr>
                <w:rFonts w:cs="Arial"/>
                <w:b/>
                <w:bCs/>
              </w:rPr>
              <w:t>53</w:t>
            </w:r>
          </w:p>
        </w:tc>
        <w:tc>
          <w:tcPr>
            <w:tcW w:w="1963" w:type="dxa"/>
            <w:tcBorders>
              <w:top w:val="single" w:sz="6" w:space="0" w:color="auto"/>
              <w:left w:val="single" w:sz="6" w:space="0" w:color="auto"/>
              <w:bottom w:val="single" w:sz="6" w:space="0" w:color="auto"/>
              <w:right w:val="single" w:sz="6" w:space="0" w:color="auto"/>
            </w:tcBorders>
          </w:tcPr>
          <w:p w14:paraId="091EF2ED" w14:textId="77777777" w:rsidR="00CA23D0" w:rsidRPr="00E30642" w:rsidRDefault="00CA23D0" w:rsidP="00CA23D0">
            <w:pPr>
              <w:pStyle w:val="Texttabulky"/>
              <w:spacing w:line="240" w:lineRule="atLeast"/>
              <w:jc w:val="both"/>
              <w:rPr>
                <w:rFonts w:cs="Arial"/>
              </w:rPr>
            </w:pPr>
            <w:r w:rsidRPr="00E30642">
              <w:rPr>
                <w:rFonts w:cs="Arial"/>
              </w:rPr>
              <w:t>Velká Veleň</w:t>
            </w:r>
          </w:p>
        </w:tc>
        <w:tc>
          <w:tcPr>
            <w:tcW w:w="940" w:type="dxa"/>
            <w:tcBorders>
              <w:top w:val="single" w:sz="6" w:space="0" w:color="auto"/>
              <w:left w:val="single" w:sz="6" w:space="0" w:color="auto"/>
              <w:bottom w:val="single" w:sz="6" w:space="0" w:color="auto"/>
              <w:right w:val="single" w:sz="6" w:space="0" w:color="auto"/>
            </w:tcBorders>
          </w:tcPr>
          <w:p w14:paraId="035A2CE4" w14:textId="77777777" w:rsidR="00CA23D0" w:rsidRPr="00E30642" w:rsidRDefault="00CA23D0" w:rsidP="00CA23D0">
            <w:pPr>
              <w:pStyle w:val="Texttabulky"/>
              <w:spacing w:line="240" w:lineRule="atLeast"/>
              <w:jc w:val="both"/>
              <w:rPr>
                <w:rFonts w:cs="Arial"/>
              </w:rPr>
            </w:pPr>
            <w:r w:rsidRPr="00E30642">
              <w:rPr>
                <w:rFonts w:cs="Arial"/>
              </w:rPr>
              <w:t>31</w:t>
            </w:r>
          </w:p>
        </w:tc>
        <w:tc>
          <w:tcPr>
            <w:tcW w:w="855" w:type="dxa"/>
            <w:tcBorders>
              <w:top w:val="single" w:sz="6" w:space="0" w:color="auto"/>
              <w:left w:val="single" w:sz="6" w:space="0" w:color="auto"/>
              <w:bottom w:val="single" w:sz="6" w:space="0" w:color="auto"/>
              <w:right w:val="single" w:sz="6" w:space="0" w:color="auto"/>
            </w:tcBorders>
          </w:tcPr>
          <w:p w14:paraId="3578E28C"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7997E5C7"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53570A17"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4D2AE581" w14:textId="77777777" w:rsidR="00CA23D0" w:rsidRPr="00E30642" w:rsidRDefault="00CA23D0" w:rsidP="00CA23D0">
            <w:pPr>
              <w:pStyle w:val="Texttabulky"/>
              <w:spacing w:line="240" w:lineRule="atLeast"/>
              <w:jc w:val="both"/>
              <w:rPr>
                <w:rFonts w:cs="Arial"/>
              </w:rPr>
            </w:pPr>
            <w:r w:rsidRPr="00E30642">
              <w:rPr>
                <w:rFonts w:cs="Arial"/>
              </w:rPr>
              <w:t>25</w:t>
            </w:r>
          </w:p>
        </w:tc>
        <w:tc>
          <w:tcPr>
            <w:tcW w:w="979" w:type="dxa"/>
            <w:tcBorders>
              <w:top w:val="single" w:sz="6" w:space="0" w:color="auto"/>
              <w:left w:val="single" w:sz="6" w:space="0" w:color="auto"/>
              <w:bottom w:val="single" w:sz="6" w:space="0" w:color="auto"/>
              <w:right w:val="single" w:sz="6" w:space="0" w:color="auto"/>
            </w:tcBorders>
          </w:tcPr>
          <w:p w14:paraId="01B354D8" w14:textId="77777777" w:rsidR="00CA23D0" w:rsidRPr="00E30642" w:rsidRDefault="00CA23D0" w:rsidP="00CA23D0">
            <w:pPr>
              <w:pStyle w:val="Texttabulky"/>
              <w:spacing w:line="240" w:lineRule="atLeast"/>
              <w:jc w:val="both"/>
              <w:rPr>
                <w:rFonts w:cs="Arial"/>
              </w:rPr>
            </w:pPr>
            <w:r w:rsidRPr="00E30642">
              <w:rPr>
                <w:rFonts w:cs="Arial"/>
              </w:rPr>
              <w:t>25</w:t>
            </w:r>
          </w:p>
        </w:tc>
      </w:tr>
      <w:tr w:rsidR="00CA23D0" w:rsidRPr="00E30642" w14:paraId="58510A1D"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EBC9B10" w14:textId="77777777" w:rsidR="00CA23D0" w:rsidRPr="00E30642" w:rsidRDefault="00CA23D0" w:rsidP="00CA23D0">
            <w:pPr>
              <w:pStyle w:val="Texttabulky"/>
              <w:spacing w:line="240" w:lineRule="atLeast"/>
              <w:jc w:val="both"/>
              <w:rPr>
                <w:rFonts w:cs="Arial"/>
              </w:rPr>
            </w:pPr>
            <w:r w:rsidRPr="00E30642">
              <w:rPr>
                <w:rFonts w:cs="Arial"/>
                <w:b/>
                <w:bCs/>
              </w:rPr>
              <w:t>58</w:t>
            </w:r>
          </w:p>
        </w:tc>
        <w:tc>
          <w:tcPr>
            <w:tcW w:w="1963" w:type="dxa"/>
            <w:tcBorders>
              <w:top w:val="single" w:sz="6" w:space="0" w:color="auto"/>
              <w:left w:val="single" w:sz="6" w:space="0" w:color="auto"/>
              <w:bottom w:val="single" w:sz="6" w:space="0" w:color="auto"/>
              <w:right w:val="single" w:sz="6" w:space="0" w:color="auto"/>
            </w:tcBorders>
          </w:tcPr>
          <w:p w14:paraId="749563B7" w14:textId="77777777" w:rsidR="00CA23D0" w:rsidRPr="00E30642" w:rsidRDefault="00CA23D0" w:rsidP="00CA23D0">
            <w:pPr>
              <w:pStyle w:val="Texttabulky"/>
              <w:spacing w:line="240" w:lineRule="atLeast"/>
              <w:jc w:val="both"/>
              <w:rPr>
                <w:rFonts w:cs="Arial"/>
              </w:rPr>
            </w:pPr>
            <w:r w:rsidRPr="00E30642">
              <w:rPr>
                <w:rFonts w:cs="Arial"/>
              </w:rPr>
              <w:t>Jakuby</w:t>
            </w:r>
          </w:p>
        </w:tc>
        <w:tc>
          <w:tcPr>
            <w:tcW w:w="940" w:type="dxa"/>
            <w:tcBorders>
              <w:top w:val="single" w:sz="6" w:space="0" w:color="auto"/>
              <w:left w:val="single" w:sz="6" w:space="0" w:color="auto"/>
              <w:bottom w:val="single" w:sz="6" w:space="0" w:color="auto"/>
              <w:right w:val="single" w:sz="6" w:space="0" w:color="auto"/>
            </w:tcBorders>
          </w:tcPr>
          <w:p w14:paraId="221F5872" w14:textId="77777777" w:rsidR="00CA23D0" w:rsidRPr="00E30642" w:rsidRDefault="00CA23D0" w:rsidP="00CA23D0">
            <w:pPr>
              <w:pStyle w:val="Texttabulky"/>
              <w:spacing w:line="240" w:lineRule="atLeast"/>
              <w:jc w:val="both"/>
              <w:rPr>
                <w:rFonts w:cs="Arial"/>
              </w:rPr>
            </w:pPr>
            <w:r w:rsidRPr="00E30642">
              <w:rPr>
                <w:rFonts w:cs="Arial"/>
              </w:rPr>
              <w:t>28</w:t>
            </w:r>
          </w:p>
        </w:tc>
        <w:tc>
          <w:tcPr>
            <w:tcW w:w="855" w:type="dxa"/>
            <w:tcBorders>
              <w:top w:val="single" w:sz="6" w:space="0" w:color="auto"/>
              <w:left w:val="single" w:sz="6" w:space="0" w:color="auto"/>
              <w:bottom w:val="single" w:sz="6" w:space="0" w:color="auto"/>
              <w:right w:val="single" w:sz="6" w:space="0" w:color="auto"/>
            </w:tcBorders>
          </w:tcPr>
          <w:p w14:paraId="2790D5B9"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7A63D88B"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6377517E"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737E387F" w14:textId="77777777" w:rsidR="00CA23D0" w:rsidRPr="00E30642" w:rsidRDefault="00CA23D0" w:rsidP="00CA23D0">
            <w:pPr>
              <w:pStyle w:val="Texttabulky"/>
              <w:spacing w:line="240" w:lineRule="atLeast"/>
              <w:jc w:val="both"/>
              <w:rPr>
                <w:rFonts w:cs="Arial"/>
              </w:rPr>
            </w:pPr>
            <w:r w:rsidRPr="00E30642">
              <w:rPr>
                <w:rFonts w:cs="Arial"/>
              </w:rPr>
              <w:t>20</w:t>
            </w:r>
          </w:p>
        </w:tc>
        <w:tc>
          <w:tcPr>
            <w:tcW w:w="979" w:type="dxa"/>
            <w:tcBorders>
              <w:top w:val="single" w:sz="6" w:space="0" w:color="auto"/>
              <w:left w:val="single" w:sz="6" w:space="0" w:color="auto"/>
              <w:bottom w:val="single" w:sz="6" w:space="0" w:color="auto"/>
              <w:right w:val="single" w:sz="6" w:space="0" w:color="auto"/>
            </w:tcBorders>
          </w:tcPr>
          <w:p w14:paraId="4C4A454A" w14:textId="77777777" w:rsidR="00CA23D0" w:rsidRPr="00E30642" w:rsidRDefault="00CA23D0" w:rsidP="00CA23D0">
            <w:pPr>
              <w:pStyle w:val="Texttabulky"/>
              <w:spacing w:line="240" w:lineRule="atLeast"/>
              <w:jc w:val="both"/>
              <w:rPr>
                <w:rFonts w:cs="Arial"/>
              </w:rPr>
            </w:pPr>
            <w:r w:rsidRPr="00E30642">
              <w:rPr>
                <w:rFonts w:cs="Arial"/>
              </w:rPr>
              <w:t>20</w:t>
            </w:r>
          </w:p>
        </w:tc>
      </w:tr>
      <w:tr w:rsidR="00CA23D0" w:rsidRPr="00E30642" w14:paraId="13D4E326"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37FDD965" w14:textId="77777777" w:rsidR="00CA23D0" w:rsidRPr="00E30642" w:rsidRDefault="00CA23D0" w:rsidP="00CA23D0">
            <w:pPr>
              <w:pStyle w:val="Texttabulky"/>
              <w:spacing w:line="240" w:lineRule="atLeast"/>
              <w:jc w:val="both"/>
              <w:rPr>
                <w:rFonts w:cs="Arial"/>
              </w:rPr>
            </w:pPr>
            <w:r w:rsidRPr="00E30642">
              <w:rPr>
                <w:rFonts w:cs="Arial"/>
                <w:b/>
                <w:bCs/>
              </w:rPr>
              <w:t>14</w:t>
            </w:r>
          </w:p>
        </w:tc>
        <w:tc>
          <w:tcPr>
            <w:tcW w:w="1963" w:type="dxa"/>
            <w:tcBorders>
              <w:top w:val="single" w:sz="6" w:space="0" w:color="auto"/>
              <w:left w:val="single" w:sz="6" w:space="0" w:color="auto"/>
              <w:bottom w:val="single" w:sz="6" w:space="0" w:color="auto"/>
              <w:right w:val="single" w:sz="6" w:space="0" w:color="auto"/>
            </w:tcBorders>
          </w:tcPr>
          <w:p w14:paraId="2089CFE2" w14:textId="77777777" w:rsidR="00CA23D0" w:rsidRPr="00E30642" w:rsidRDefault="00CA23D0" w:rsidP="00CA23D0">
            <w:pPr>
              <w:pStyle w:val="Texttabulky"/>
              <w:spacing w:line="240" w:lineRule="atLeast"/>
              <w:jc w:val="both"/>
              <w:rPr>
                <w:rFonts w:cs="Arial"/>
              </w:rPr>
            </w:pPr>
            <w:r w:rsidRPr="00E30642">
              <w:rPr>
                <w:rFonts w:cs="Arial"/>
              </w:rPr>
              <w:t>Chlumská stráň</w:t>
            </w:r>
          </w:p>
        </w:tc>
        <w:tc>
          <w:tcPr>
            <w:tcW w:w="940" w:type="dxa"/>
            <w:tcBorders>
              <w:top w:val="single" w:sz="6" w:space="0" w:color="auto"/>
              <w:left w:val="single" w:sz="6" w:space="0" w:color="auto"/>
              <w:bottom w:val="single" w:sz="6" w:space="0" w:color="auto"/>
              <w:right w:val="single" w:sz="6" w:space="0" w:color="auto"/>
            </w:tcBorders>
          </w:tcPr>
          <w:p w14:paraId="61F8E2EC" w14:textId="77777777" w:rsidR="00CA23D0" w:rsidRPr="00E30642" w:rsidRDefault="00CA23D0" w:rsidP="00CA23D0">
            <w:pPr>
              <w:pStyle w:val="Texttabulky"/>
              <w:spacing w:line="240" w:lineRule="atLeast"/>
              <w:jc w:val="both"/>
              <w:rPr>
                <w:rFonts w:cs="Arial"/>
              </w:rPr>
            </w:pPr>
            <w:r w:rsidRPr="00E30642">
              <w:rPr>
                <w:rFonts w:cs="Arial"/>
              </w:rPr>
              <w:t>27</w:t>
            </w:r>
          </w:p>
        </w:tc>
        <w:tc>
          <w:tcPr>
            <w:tcW w:w="855" w:type="dxa"/>
            <w:tcBorders>
              <w:top w:val="single" w:sz="6" w:space="0" w:color="auto"/>
              <w:left w:val="single" w:sz="6" w:space="0" w:color="auto"/>
              <w:bottom w:val="single" w:sz="6" w:space="0" w:color="auto"/>
              <w:right w:val="single" w:sz="6" w:space="0" w:color="auto"/>
            </w:tcBorders>
          </w:tcPr>
          <w:p w14:paraId="24265F10"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6F19AECB"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4753949C"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6C79100B" w14:textId="77777777" w:rsidR="00CA23D0" w:rsidRPr="00E30642" w:rsidRDefault="00CA23D0" w:rsidP="00CA23D0">
            <w:pPr>
              <w:pStyle w:val="Texttabulky"/>
              <w:spacing w:line="240" w:lineRule="atLeast"/>
              <w:jc w:val="both"/>
              <w:rPr>
                <w:rFonts w:cs="Arial"/>
              </w:rPr>
            </w:pPr>
            <w:r w:rsidRPr="00E30642">
              <w:rPr>
                <w:rFonts w:cs="Arial"/>
              </w:rPr>
              <w:t>20</w:t>
            </w:r>
          </w:p>
        </w:tc>
        <w:tc>
          <w:tcPr>
            <w:tcW w:w="979" w:type="dxa"/>
            <w:tcBorders>
              <w:top w:val="single" w:sz="6" w:space="0" w:color="auto"/>
              <w:left w:val="single" w:sz="6" w:space="0" w:color="auto"/>
              <w:bottom w:val="single" w:sz="6" w:space="0" w:color="auto"/>
              <w:right w:val="single" w:sz="6" w:space="0" w:color="auto"/>
            </w:tcBorders>
          </w:tcPr>
          <w:p w14:paraId="7B695AFF" w14:textId="77777777" w:rsidR="00CA23D0" w:rsidRPr="00E30642" w:rsidRDefault="00CA23D0" w:rsidP="00CA23D0">
            <w:pPr>
              <w:pStyle w:val="Texttabulky"/>
              <w:spacing w:line="240" w:lineRule="atLeast"/>
              <w:jc w:val="both"/>
              <w:rPr>
                <w:rFonts w:cs="Arial"/>
              </w:rPr>
            </w:pPr>
            <w:r w:rsidRPr="00E30642">
              <w:rPr>
                <w:rFonts w:cs="Arial"/>
              </w:rPr>
              <w:t>20</w:t>
            </w:r>
          </w:p>
        </w:tc>
      </w:tr>
      <w:tr w:rsidR="00CA23D0" w:rsidRPr="00E30642" w14:paraId="142DE43B"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691ADBAE" w14:textId="77777777" w:rsidR="00CA23D0" w:rsidRPr="00E30642" w:rsidRDefault="00CA23D0" w:rsidP="00CA23D0">
            <w:pPr>
              <w:pStyle w:val="Texttabulky"/>
              <w:spacing w:line="240" w:lineRule="atLeast"/>
              <w:jc w:val="both"/>
              <w:rPr>
                <w:rFonts w:cs="Arial"/>
              </w:rPr>
            </w:pPr>
            <w:r w:rsidRPr="00E30642">
              <w:rPr>
                <w:rFonts w:cs="Arial"/>
                <w:b/>
                <w:bCs/>
              </w:rPr>
              <w:t>56</w:t>
            </w:r>
          </w:p>
        </w:tc>
        <w:tc>
          <w:tcPr>
            <w:tcW w:w="1963" w:type="dxa"/>
            <w:tcBorders>
              <w:top w:val="single" w:sz="6" w:space="0" w:color="auto"/>
              <w:left w:val="single" w:sz="6" w:space="0" w:color="auto"/>
              <w:bottom w:val="single" w:sz="6" w:space="0" w:color="auto"/>
              <w:right w:val="single" w:sz="6" w:space="0" w:color="auto"/>
            </w:tcBorders>
          </w:tcPr>
          <w:p w14:paraId="466A88DD" w14:textId="77777777" w:rsidR="00CA23D0" w:rsidRPr="00E30642" w:rsidRDefault="00CA23D0" w:rsidP="00CA23D0">
            <w:pPr>
              <w:pStyle w:val="Texttabulky"/>
              <w:spacing w:line="240" w:lineRule="atLeast"/>
              <w:jc w:val="both"/>
              <w:rPr>
                <w:rFonts w:cs="Arial"/>
              </w:rPr>
            </w:pPr>
            <w:r w:rsidRPr="00E30642">
              <w:rPr>
                <w:rFonts w:cs="Arial"/>
              </w:rPr>
              <w:t>Hoštice</w:t>
            </w:r>
          </w:p>
        </w:tc>
        <w:tc>
          <w:tcPr>
            <w:tcW w:w="940" w:type="dxa"/>
            <w:tcBorders>
              <w:top w:val="single" w:sz="6" w:space="0" w:color="auto"/>
              <w:left w:val="single" w:sz="6" w:space="0" w:color="auto"/>
              <w:bottom w:val="single" w:sz="6" w:space="0" w:color="auto"/>
              <w:right w:val="single" w:sz="6" w:space="0" w:color="auto"/>
            </w:tcBorders>
          </w:tcPr>
          <w:p w14:paraId="00115A49" w14:textId="77777777" w:rsidR="00CA23D0" w:rsidRPr="00E30642" w:rsidRDefault="00CA23D0" w:rsidP="00CA23D0">
            <w:pPr>
              <w:pStyle w:val="Texttabulky"/>
              <w:spacing w:line="240" w:lineRule="atLeast"/>
              <w:jc w:val="both"/>
              <w:rPr>
                <w:rFonts w:cs="Arial"/>
              </w:rPr>
            </w:pPr>
            <w:r w:rsidRPr="00E30642">
              <w:rPr>
                <w:rFonts w:cs="Arial"/>
              </w:rPr>
              <w:t>15</w:t>
            </w:r>
          </w:p>
        </w:tc>
        <w:tc>
          <w:tcPr>
            <w:tcW w:w="855" w:type="dxa"/>
            <w:tcBorders>
              <w:top w:val="single" w:sz="6" w:space="0" w:color="auto"/>
              <w:left w:val="single" w:sz="6" w:space="0" w:color="auto"/>
              <w:bottom w:val="single" w:sz="6" w:space="0" w:color="auto"/>
              <w:right w:val="single" w:sz="6" w:space="0" w:color="auto"/>
            </w:tcBorders>
          </w:tcPr>
          <w:p w14:paraId="34C14763"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75DC6287"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22BCBA0C"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3D3A3281" w14:textId="77777777" w:rsidR="00CA23D0" w:rsidRPr="00E30642" w:rsidRDefault="00CA23D0" w:rsidP="00CA23D0">
            <w:pPr>
              <w:pStyle w:val="Texttabulky"/>
              <w:spacing w:line="240" w:lineRule="atLeast"/>
              <w:jc w:val="both"/>
              <w:rPr>
                <w:rFonts w:cs="Arial"/>
              </w:rPr>
            </w:pPr>
            <w:r w:rsidRPr="00E30642">
              <w:rPr>
                <w:rFonts w:cs="Arial"/>
              </w:rPr>
              <w:t>10</w:t>
            </w:r>
          </w:p>
        </w:tc>
        <w:tc>
          <w:tcPr>
            <w:tcW w:w="979" w:type="dxa"/>
            <w:tcBorders>
              <w:top w:val="single" w:sz="6" w:space="0" w:color="auto"/>
              <w:left w:val="single" w:sz="6" w:space="0" w:color="auto"/>
              <w:bottom w:val="single" w:sz="6" w:space="0" w:color="auto"/>
              <w:right w:val="single" w:sz="6" w:space="0" w:color="auto"/>
            </w:tcBorders>
          </w:tcPr>
          <w:p w14:paraId="7CB05806" w14:textId="77777777" w:rsidR="00CA23D0" w:rsidRPr="00E30642" w:rsidRDefault="00CA23D0" w:rsidP="00CA23D0">
            <w:pPr>
              <w:pStyle w:val="Texttabulky"/>
              <w:spacing w:line="240" w:lineRule="atLeast"/>
              <w:jc w:val="both"/>
              <w:rPr>
                <w:rFonts w:cs="Arial"/>
              </w:rPr>
            </w:pPr>
            <w:r w:rsidRPr="00E30642">
              <w:rPr>
                <w:rFonts w:cs="Arial"/>
              </w:rPr>
              <w:t>10</w:t>
            </w:r>
          </w:p>
        </w:tc>
      </w:tr>
      <w:tr w:rsidR="00CA23D0" w:rsidRPr="00E30642" w14:paraId="3BFF9050"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3F995D43" w14:textId="77777777" w:rsidR="00CA23D0" w:rsidRPr="00E30642" w:rsidRDefault="00CA23D0" w:rsidP="00CA23D0">
            <w:pPr>
              <w:pStyle w:val="Texttabulky"/>
              <w:spacing w:line="240" w:lineRule="atLeast"/>
              <w:jc w:val="both"/>
              <w:rPr>
                <w:rFonts w:cs="Arial"/>
              </w:rPr>
            </w:pPr>
            <w:r w:rsidRPr="00E30642">
              <w:rPr>
                <w:rFonts w:cs="Arial"/>
                <w:b/>
                <w:bCs/>
              </w:rPr>
              <w:t>7</w:t>
            </w:r>
          </w:p>
        </w:tc>
        <w:tc>
          <w:tcPr>
            <w:tcW w:w="1963" w:type="dxa"/>
            <w:tcBorders>
              <w:top w:val="single" w:sz="6" w:space="0" w:color="auto"/>
              <w:left w:val="single" w:sz="6" w:space="0" w:color="auto"/>
              <w:bottom w:val="single" w:sz="6" w:space="0" w:color="auto"/>
              <w:right w:val="single" w:sz="6" w:space="0" w:color="auto"/>
            </w:tcBorders>
          </w:tcPr>
          <w:p w14:paraId="799BA529" w14:textId="77777777" w:rsidR="00CA23D0" w:rsidRPr="00E30642" w:rsidRDefault="00CA23D0" w:rsidP="00CA23D0">
            <w:pPr>
              <w:pStyle w:val="Texttabulky"/>
              <w:spacing w:line="240" w:lineRule="atLeast"/>
              <w:jc w:val="both"/>
              <w:rPr>
                <w:rFonts w:cs="Arial"/>
              </w:rPr>
            </w:pPr>
            <w:r w:rsidRPr="00E30642">
              <w:rPr>
                <w:rFonts w:cs="Arial"/>
              </w:rPr>
              <w:t>Nad Slovankou</w:t>
            </w:r>
          </w:p>
        </w:tc>
        <w:tc>
          <w:tcPr>
            <w:tcW w:w="940" w:type="dxa"/>
            <w:tcBorders>
              <w:top w:val="single" w:sz="6" w:space="0" w:color="auto"/>
              <w:left w:val="single" w:sz="6" w:space="0" w:color="auto"/>
              <w:bottom w:val="single" w:sz="6" w:space="0" w:color="auto"/>
              <w:right w:val="single" w:sz="6" w:space="0" w:color="auto"/>
            </w:tcBorders>
          </w:tcPr>
          <w:p w14:paraId="631BFD38" w14:textId="77777777" w:rsidR="00CA23D0" w:rsidRPr="00E30642" w:rsidRDefault="00CA23D0" w:rsidP="00CA23D0">
            <w:pPr>
              <w:pStyle w:val="Texttabulky"/>
              <w:spacing w:line="240" w:lineRule="atLeast"/>
              <w:jc w:val="both"/>
              <w:rPr>
                <w:rFonts w:cs="Arial"/>
              </w:rPr>
            </w:pPr>
            <w:r w:rsidRPr="00E30642">
              <w:rPr>
                <w:rFonts w:cs="Arial"/>
              </w:rPr>
              <w:t>10</w:t>
            </w:r>
          </w:p>
        </w:tc>
        <w:tc>
          <w:tcPr>
            <w:tcW w:w="855" w:type="dxa"/>
            <w:tcBorders>
              <w:top w:val="single" w:sz="6" w:space="0" w:color="auto"/>
              <w:left w:val="single" w:sz="6" w:space="0" w:color="auto"/>
              <w:bottom w:val="single" w:sz="6" w:space="0" w:color="auto"/>
              <w:right w:val="single" w:sz="6" w:space="0" w:color="auto"/>
            </w:tcBorders>
          </w:tcPr>
          <w:p w14:paraId="43CE39C4"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598AE7AC" w14:textId="77777777" w:rsidR="00CA23D0" w:rsidRPr="00E30642" w:rsidRDefault="00CA23D0" w:rsidP="00CA23D0">
            <w:pPr>
              <w:pStyle w:val="Texttabulky"/>
              <w:spacing w:line="240" w:lineRule="atLeast"/>
              <w:jc w:val="both"/>
              <w:rPr>
                <w:rFonts w:cs="Arial"/>
              </w:rPr>
            </w:pPr>
            <w:r w:rsidRPr="00E30642">
              <w:rPr>
                <w:rFonts w:cs="Arial"/>
              </w:rPr>
              <w:t>160</w:t>
            </w:r>
          </w:p>
        </w:tc>
        <w:tc>
          <w:tcPr>
            <w:tcW w:w="857" w:type="dxa"/>
            <w:tcBorders>
              <w:top w:val="single" w:sz="6" w:space="0" w:color="auto"/>
              <w:left w:val="single" w:sz="6" w:space="0" w:color="auto"/>
              <w:bottom w:val="single" w:sz="6" w:space="0" w:color="auto"/>
              <w:right w:val="single" w:sz="6" w:space="0" w:color="auto"/>
            </w:tcBorders>
          </w:tcPr>
          <w:p w14:paraId="40E698A9"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697B69CD" w14:textId="77777777" w:rsidR="00CA23D0" w:rsidRPr="00E30642" w:rsidRDefault="00CA23D0" w:rsidP="00CA23D0">
            <w:pPr>
              <w:pStyle w:val="Texttabulky"/>
              <w:spacing w:line="240" w:lineRule="atLeast"/>
              <w:jc w:val="both"/>
              <w:rPr>
                <w:rFonts w:cs="Arial"/>
              </w:rPr>
            </w:pPr>
            <w:r w:rsidRPr="00E30642">
              <w:rPr>
                <w:rFonts w:cs="Arial"/>
              </w:rPr>
              <w:t>170</w:t>
            </w:r>
          </w:p>
        </w:tc>
        <w:tc>
          <w:tcPr>
            <w:tcW w:w="979" w:type="dxa"/>
            <w:tcBorders>
              <w:top w:val="single" w:sz="6" w:space="0" w:color="auto"/>
              <w:left w:val="single" w:sz="6" w:space="0" w:color="auto"/>
              <w:bottom w:val="single" w:sz="6" w:space="0" w:color="auto"/>
              <w:right w:val="single" w:sz="6" w:space="0" w:color="auto"/>
            </w:tcBorders>
          </w:tcPr>
          <w:p w14:paraId="3E96D895" w14:textId="77777777" w:rsidR="00CA23D0" w:rsidRPr="00E30642" w:rsidRDefault="00CA23D0" w:rsidP="00CA23D0">
            <w:pPr>
              <w:pStyle w:val="Texttabulky"/>
              <w:spacing w:line="240" w:lineRule="atLeast"/>
              <w:jc w:val="both"/>
              <w:rPr>
                <w:rFonts w:cs="Arial"/>
              </w:rPr>
            </w:pPr>
            <w:r w:rsidRPr="00E30642">
              <w:rPr>
                <w:rFonts w:cs="Arial"/>
              </w:rPr>
              <w:t>170</w:t>
            </w:r>
          </w:p>
        </w:tc>
      </w:tr>
      <w:tr w:rsidR="00CA23D0" w:rsidRPr="00E30642" w14:paraId="2D91C865"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56503224" w14:textId="77777777" w:rsidR="00CA23D0" w:rsidRPr="00E30642" w:rsidRDefault="00CA23D0" w:rsidP="00CA23D0">
            <w:pPr>
              <w:pStyle w:val="Texttabulky"/>
              <w:spacing w:line="240" w:lineRule="atLeast"/>
              <w:jc w:val="both"/>
              <w:rPr>
                <w:rFonts w:cs="Arial"/>
              </w:rPr>
            </w:pPr>
            <w:r w:rsidRPr="00E30642">
              <w:rPr>
                <w:rFonts w:cs="Arial"/>
                <w:b/>
                <w:bCs/>
              </w:rPr>
              <w:t>55</w:t>
            </w:r>
          </w:p>
        </w:tc>
        <w:tc>
          <w:tcPr>
            <w:tcW w:w="1963" w:type="dxa"/>
            <w:tcBorders>
              <w:top w:val="single" w:sz="6" w:space="0" w:color="auto"/>
              <w:left w:val="single" w:sz="6" w:space="0" w:color="auto"/>
              <w:bottom w:val="single" w:sz="6" w:space="0" w:color="auto"/>
              <w:right w:val="single" w:sz="6" w:space="0" w:color="auto"/>
            </w:tcBorders>
          </w:tcPr>
          <w:p w14:paraId="5DA06A30" w14:textId="77777777" w:rsidR="00CA23D0" w:rsidRPr="00E30642" w:rsidRDefault="00CA23D0" w:rsidP="00CA23D0">
            <w:pPr>
              <w:pStyle w:val="Texttabulky"/>
              <w:spacing w:line="240" w:lineRule="atLeast"/>
              <w:jc w:val="both"/>
              <w:rPr>
                <w:rFonts w:cs="Arial"/>
              </w:rPr>
            </w:pPr>
            <w:r w:rsidRPr="00E30642">
              <w:rPr>
                <w:rFonts w:cs="Arial"/>
              </w:rPr>
              <w:t>Lesní Mlýn</w:t>
            </w:r>
          </w:p>
        </w:tc>
        <w:tc>
          <w:tcPr>
            <w:tcW w:w="940" w:type="dxa"/>
            <w:tcBorders>
              <w:top w:val="single" w:sz="6" w:space="0" w:color="auto"/>
              <w:left w:val="single" w:sz="6" w:space="0" w:color="auto"/>
              <w:bottom w:val="single" w:sz="6" w:space="0" w:color="auto"/>
              <w:right w:val="single" w:sz="6" w:space="0" w:color="auto"/>
            </w:tcBorders>
          </w:tcPr>
          <w:p w14:paraId="6E16AED8" w14:textId="77777777" w:rsidR="00CA23D0" w:rsidRPr="00E30642" w:rsidRDefault="00CA23D0" w:rsidP="00CA23D0">
            <w:pPr>
              <w:pStyle w:val="Texttabulky"/>
              <w:spacing w:line="240" w:lineRule="atLeast"/>
              <w:jc w:val="both"/>
              <w:rPr>
                <w:rFonts w:cs="Arial"/>
              </w:rPr>
            </w:pPr>
            <w:r w:rsidRPr="00E30642">
              <w:rPr>
                <w:rFonts w:cs="Arial"/>
              </w:rPr>
              <w:t>9</w:t>
            </w:r>
          </w:p>
        </w:tc>
        <w:tc>
          <w:tcPr>
            <w:tcW w:w="855" w:type="dxa"/>
            <w:tcBorders>
              <w:top w:val="single" w:sz="6" w:space="0" w:color="auto"/>
              <w:left w:val="single" w:sz="6" w:space="0" w:color="auto"/>
              <w:bottom w:val="single" w:sz="6" w:space="0" w:color="auto"/>
              <w:right w:val="single" w:sz="6" w:space="0" w:color="auto"/>
            </w:tcBorders>
          </w:tcPr>
          <w:p w14:paraId="773E7486"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320933CA"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261490A5"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7DFDCF9F" w14:textId="77777777" w:rsidR="00CA23D0" w:rsidRPr="00E30642" w:rsidRDefault="00CA23D0" w:rsidP="00CA23D0">
            <w:pPr>
              <w:pStyle w:val="Texttabulky"/>
              <w:spacing w:line="240" w:lineRule="atLeast"/>
              <w:jc w:val="both"/>
              <w:rPr>
                <w:rFonts w:cs="Arial"/>
              </w:rPr>
            </w:pPr>
            <w:r w:rsidRPr="00E30642">
              <w:rPr>
                <w:rFonts w:cs="Arial"/>
              </w:rPr>
              <w:t>5</w:t>
            </w:r>
          </w:p>
        </w:tc>
        <w:tc>
          <w:tcPr>
            <w:tcW w:w="979" w:type="dxa"/>
            <w:tcBorders>
              <w:top w:val="single" w:sz="6" w:space="0" w:color="auto"/>
              <w:left w:val="single" w:sz="6" w:space="0" w:color="auto"/>
              <w:bottom w:val="single" w:sz="6" w:space="0" w:color="auto"/>
              <w:right w:val="single" w:sz="6" w:space="0" w:color="auto"/>
            </w:tcBorders>
          </w:tcPr>
          <w:p w14:paraId="0D13041F" w14:textId="77777777" w:rsidR="00CA23D0" w:rsidRPr="00E30642" w:rsidRDefault="00CA23D0" w:rsidP="00CA23D0">
            <w:pPr>
              <w:pStyle w:val="Texttabulky"/>
              <w:spacing w:line="240" w:lineRule="atLeast"/>
              <w:jc w:val="both"/>
              <w:rPr>
                <w:rFonts w:cs="Arial"/>
              </w:rPr>
            </w:pPr>
            <w:r w:rsidRPr="00E30642">
              <w:rPr>
                <w:rFonts w:cs="Arial"/>
              </w:rPr>
              <w:t>5</w:t>
            </w:r>
          </w:p>
        </w:tc>
      </w:tr>
      <w:tr w:rsidR="00CA23D0" w:rsidRPr="00E30642" w14:paraId="559308C1"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4CC187D5" w14:textId="77777777" w:rsidR="00CA23D0" w:rsidRPr="00E30642" w:rsidRDefault="00CA23D0" w:rsidP="00CA23D0">
            <w:pPr>
              <w:pStyle w:val="Texttabulky"/>
              <w:spacing w:line="240" w:lineRule="atLeast"/>
              <w:jc w:val="both"/>
              <w:rPr>
                <w:rFonts w:cs="Arial"/>
              </w:rPr>
            </w:pPr>
            <w:r w:rsidRPr="00E30642">
              <w:rPr>
                <w:rFonts w:cs="Arial"/>
                <w:b/>
                <w:bCs/>
              </w:rPr>
              <w:t>24</w:t>
            </w:r>
          </w:p>
        </w:tc>
        <w:tc>
          <w:tcPr>
            <w:tcW w:w="1963" w:type="dxa"/>
            <w:tcBorders>
              <w:top w:val="single" w:sz="6" w:space="0" w:color="auto"/>
              <w:left w:val="single" w:sz="6" w:space="0" w:color="auto"/>
              <w:bottom w:val="single" w:sz="6" w:space="0" w:color="auto"/>
              <w:right w:val="single" w:sz="6" w:space="0" w:color="auto"/>
            </w:tcBorders>
          </w:tcPr>
          <w:p w14:paraId="3784D89C" w14:textId="77777777" w:rsidR="00CA23D0" w:rsidRPr="00E30642" w:rsidRDefault="00CA23D0" w:rsidP="00CA23D0">
            <w:pPr>
              <w:pStyle w:val="Texttabulky"/>
              <w:spacing w:line="240" w:lineRule="atLeast"/>
              <w:jc w:val="both"/>
              <w:rPr>
                <w:rFonts w:cs="Arial"/>
              </w:rPr>
            </w:pPr>
            <w:r w:rsidRPr="00E30642">
              <w:rPr>
                <w:rFonts w:cs="Arial"/>
              </w:rPr>
              <w:t>U stadiónu</w:t>
            </w:r>
          </w:p>
        </w:tc>
        <w:tc>
          <w:tcPr>
            <w:tcW w:w="940" w:type="dxa"/>
            <w:tcBorders>
              <w:top w:val="single" w:sz="6" w:space="0" w:color="auto"/>
              <w:left w:val="single" w:sz="6" w:space="0" w:color="auto"/>
              <w:bottom w:val="single" w:sz="6" w:space="0" w:color="auto"/>
              <w:right w:val="single" w:sz="6" w:space="0" w:color="auto"/>
            </w:tcBorders>
          </w:tcPr>
          <w:p w14:paraId="7E76B787" w14:textId="77777777" w:rsidR="00CA23D0" w:rsidRPr="00E30642" w:rsidRDefault="00CA23D0" w:rsidP="00CA23D0">
            <w:pPr>
              <w:pStyle w:val="Texttabulky"/>
              <w:spacing w:line="240" w:lineRule="atLeast"/>
              <w:jc w:val="both"/>
              <w:rPr>
                <w:rFonts w:cs="Arial"/>
              </w:rPr>
            </w:pPr>
            <w:r w:rsidRPr="00E30642">
              <w:rPr>
                <w:rFonts w:cs="Arial"/>
              </w:rPr>
              <w:t>8</w:t>
            </w:r>
          </w:p>
        </w:tc>
        <w:tc>
          <w:tcPr>
            <w:tcW w:w="855" w:type="dxa"/>
            <w:tcBorders>
              <w:top w:val="single" w:sz="6" w:space="0" w:color="auto"/>
              <w:left w:val="single" w:sz="6" w:space="0" w:color="auto"/>
              <w:bottom w:val="single" w:sz="6" w:space="0" w:color="auto"/>
              <w:right w:val="single" w:sz="6" w:space="0" w:color="auto"/>
            </w:tcBorders>
          </w:tcPr>
          <w:p w14:paraId="2B6BB499"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5DFC237A"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2CE9ED9E"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254D8843" w14:textId="77777777" w:rsidR="00CA23D0" w:rsidRPr="00E30642" w:rsidRDefault="00CA23D0" w:rsidP="00CA23D0">
            <w:pPr>
              <w:pStyle w:val="Texttabulky"/>
              <w:spacing w:line="240" w:lineRule="atLeast"/>
              <w:jc w:val="both"/>
              <w:rPr>
                <w:rFonts w:cs="Arial"/>
              </w:rPr>
            </w:pPr>
            <w:r w:rsidRPr="00E30642">
              <w:rPr>
                <w:rFonts w:cs="Arial"/>
              </w:rPr>
              <w:t>10</w:t>
            </w:r>
          </w:p>
        </w:tc>
        <w:tc>
          <w:tcPr>
            <w:tcW w:w="979" w:type="dxa"/>
            <w:tcBorders>
              <w:top w:val="single" w:sz="6" w:space="0" w:color="auto"/>
              <w:left w:val="single" w:sz="6" w:space="0" w:color="auto"/>
              <w:bottom w:val="single" w:sz="6" w:space="0" w:color="auto"/>
              <w:right w:val="single" w:sz="6" w:space="0" w:color="auto"/>
            </w:tcBorders>
          </w:tcPr>
          <w:p w14:paraId="2A713F38" w14:textId="77777777" w:rsidR="00CA23D0" w:rsidRPr="00E30642" w:rsidRDefault="00CA23D0" w:rsidP="00CA23D0">
            <w:pPr>
              <w:pStyle w:val="Texttabulky"/>
              <w:spacing w:line="240" w:lineRule="atLeast"/>
              <w:jc w:val="both"/>
              <w:rPr>
                <w:rFonts w:cs="Arial"/>
              </w:rPr>
            </w:pPr>
            <w:r w:rsidRPr="00E30642">
              <w:rPr>
                <w:rFonts w:cs="Arial"/>
              </w:rPr>
              <w:t>10</w:t>
            </w:r>
          </w:p>
        </w:tc>
      </w:tr>
      <w:tr w:rsidR="00CA23D0" w:rsidRPr="00E30642" w14:paraId="5E4E7788"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4C3C3E9" w14:textId="77777777" w:rsidR="00CA23D0" w:rsidRPr="00E30642" w:rsidRDefault="00CA23D0" w:rsidP="00CA23D0">
            <w:pPr>
              <w:pStyle w:val="Texttabulky"/>
              <w:spacing w:line="240" w:lineRule="atLeast"/>
              <w:jc w:val="both"/>
              <w:rPr>
                <w:rFonts w:cs="Arial"/>
              </w:rPr>
            </w:pPr>
            <w:r w:rsidRPr="00E30642">
              <w:rPr>
                <w:rFonts w:cs="Arial"/>
                <w:b/>
                <w:bCs/>
              </w:rPr>
              <w:t>26</w:t>
            </w:r>
          </w:p>
        </w:tc>
        <w:tc>
          <w:tcPr>
            <w:tcW w:w="1963" w:type="dxa"/>
            <w:tcBorders>
              <w:top w:val="single" w:sz="6" w:space="0" w:color="auto"/>
              <w:left w:val="single" w:sz="6" w:space="0" w:color="auto"/>
              <w:bottom w:val="single" w:sz="6" w:space="0" w:color="auto"/>
              <w:right w:val="single" w:sz="6" w:space="0" w:color="auto"/>
            </w:tcBorders>
          </w:tcPr>
          <w:p w14:paraId="653F756B" w14:textId="77777777" w:rsidR="00CA23D0" w:rsidRPr="00E30642" w:rsidRDefault="00CA23D0" w:rsidP="00CA23D0">
            <w:pPr>
              <w:pStyle w:val="Texttabulky"/>
              <w:spacing w:line="240" w:lineRule="atLeast"/>
              <w:jc w:val="both"/>
              <w:rPr>
                <w:rFonts w:cs="Arial"/>
              </w:rPr>
            </w:pPr>
            <w:r w:rsidRPr="00E30642">
              <w:rPr>
                <w:rFonts w:cs="Arial"/>
              </w:rPr>
              <w:t>Pastýřská stěna</w:t>
            </w:r>
          </w:p>
        </w:tc>
        <w:tc>
          <w:tcPr>
            <w:tcW w:w="940" w:type="dxa"/>
            <w:tcBorders>
              <w:top w:val="single" w:sz="6" w:space="0" w:color="auto"/>
              <w:left w:val="single" w:sz="6" w:space="0" w:color="auto"/>
              <w:bottom w:val="single" w:sz="6" w:space="0" w:color="auto"/>
              <w:right w:val="single" w:sz="6" w:space="0" w:color="auto"/>
            </w:tcBorders>
          </w:tcPr>
          <w:p w14:paraId="4E88776A" w14:textId="77777777" w:rsidR="00CA23D0" w:rsidRPr="00E30642" w:rsidRDefault="00CA23D0" w:rsidP="00CA23D0">
            <w:pPr>
              <w:pStyle w:val="Texttabulky"/>
              <w:spacing w:line="240" w:lineRule="atLeast"/>
              <w:jc w:val="both"/>
              <w:rPr>
                <w:rFonts w:cs="Arial"/>
              </w:rPr>
            </w:pPr>
            <w:r w:rsidRPr="00E30642">
              <w:rPr>
                <w:rFonts w:cs="Arial"/>
              </w:rPr>
              <w:t>1</w:t>
            </w:r>
          </w:p>
        </w:tc>
        <w:tc>
          <w:tcPr>
            <w:tcW w:w="855" w:type="dxa"/>
            <w:tcBorders>
              <w:top w:val="single" w:sz="6" w:space="0" w:color="auto"/>
              <w:left w:val="single" w:sz="6" w:space="0" w:color="auto"/>
              <w:bottom w:val="single" w:sz="6" w:space="0" w:color="auto"/>
              <w:right w:val="single" w:sz="6" w:space="0" w:color="auto"/>
            </w:tcBorders>
          </w:tcPr>
          <w:p w14:paraId="645A0CC6"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6DA8FE04"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0725C37C"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4EC93267" w14:textId="77777777" w:rsidR="00CA23D0" w:rsidRPr="00E30642" w:rsidRDefault="00CA23D0" w:rsidP="00CA23D0">
            <w:pPr>
              <w:pStyle w:val="Texttabulky"/>
              <w:spacing w:line="240" w:lineRule="atLeast"/>
              <w:jc w:val="both"/>
              <w:rPr>
                <w:rFonts w:cs="Arial"/>
              </w:rPr>
            </w:pPr>
            <w:r w:rsidRPr="00E30642">
              <w:rPr>
                <w:rFonts w:cs="Arial"/>
              </w:rPr>
              <w:t>5</w:t>
            </w:r>
          </w:p>
        </w:tc>
        <w:tc>
          <w:tcPr>
            <w:tcW w:w="979" w:type="dxa"/>
            <w:tcBorders>
              <w:top w:val="single" w:sz="6" w:space="0" w:color="auto"/>
              <w:left w:val="single" w:sz="6" w:space="0" w:color="auto"/>
              <w:bottom w:val="single" w:sz="6" w:space="0" w:color="auto"/>
              <w:right w:val="single" w:sz="6" w:space="0" w:color="auto"/>
            </w:tcBorders>
          </w:tcPr>
          <w:p w14:paraId="179F88C4" w14:textId="77777777" w:rsidR="00CA23D0" w:rsidRPr="00E30642" w:rsidRDefault="00CA23D0" w:rsidP="00CA23D0">
            <w:pPr>
              <w:pStyle w:val="Texttabulky"/>
              <w:spacing w:line="240" w:lineRule="atLeast"/>
              <w:jc w:val="both"/>
              <w:rPr>
                <w:rFonts w:cs="Arial"/>
              </w:rPr>
            </w:pPr>
            <w:r w:rsidRPr="00E30642">
              <w:rPr>
                <w:rFonts w:cs="Arial"/>
              </w:rPr>
              <w:t>5</w:t>
            </w:r>
          </w:p>
        </w:tc>
      </w:tr>
      <w:tr w:rsidR="00CA23D0" w:rsidRPr="00E30642" w14:paraId="4B8D7818"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34C7C52" w14:textId="77777777" w:rsidR="00CA23D0" w:rsidRPr="00E30642" w:rsidRDefault="00CA23D0" w:rsidP="00CA23D0">
            <w:pPr>
              <w:pStyle w:val="Texttabulky"/>
              <w:spacing w:line="240" w:lineRule="atLeast"/>
              <w:jc w:val="both"/>
              <w:rPr>
                <w:rFonts w:cs="Arial"/>
              </w:rPr>
            </w:pPr>
            <w:r w:rsidRPr="00E30642">
              <w:rPr>
                <w:rFonts w:cs="Arial"/>
                <w:b/>
                <w:bCs/>
              </w:rPr>
              <w:t>2</w:t>
            </w:r>
          </w:p>
        </w:tc>
        <w:tc>
          <w:tcPr>
            <w:tcW w:w="1963" w:type="dxa"/>
            <w:tcBorders>
              <w:top w:val="single" w:sz="6" w:space="0" w:color="auto"/>
              <w:left w:val="single" w:sz="6" w:space="0" w:color="auto"/>
              <w:bottom w:val="single" w:sz="6" w:space="0" w:color="auto"/>
              <w:right w:val="single" w:sz="6" w:space="0" w:color="auto"/>
            </w:tcBorders>
          </w:tcPr>
          <w:p w14:paraId="2849F616" w14:textId="77777777" w:rsidR="00CA23D0" w:rsidRPr="00E30642" w:rsidRDefault="00CA23D0" w:rsidP="00CA23D0">
            <w:pPr>
              <w:pStyle w:val="Texttabulky"/>
              <w:spacing w:line="240" w:lineRule="atLeast"/>
              <w:jc w:val="both"/>
              <w:rPr>
                <w:rFonts w:cs="Arial"/>
              </w:rPr>
            </w:pPr>
            <w:r w:rsidRPr="00E30642">
              <w:rPr>
                <w:rFonts w:cs="Arial"/>
              </w:rPr>
              <w:t>Přístav</w:t>
            </w:r>
          </w:p>
        </w:tc>
        <w:tc>
          <w:tcPr>
            <w:tcW w:w="940" w:type="dxa"/>
            <w:tcBorders>
              <w:top w:val="single" w:sz="6" w:space="0" w:color="auto"/>
              <w:left w:val="single" w:sz="6" w:space="0" w:color="auto"/>
              <w:bottom w:val="single" w:sz="6" w:space="0" w:color="auto"/>
              <w:right w:val="single" w:sz="6" w:space="0" w:color="auto"/>
            </w:tcBorders>
          </w:tcPr>
          <w:p w14:paraId="3872687C"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181F3A43"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010ACE52"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1699D930"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272DBF29" w14:textId="77777777" w:rsidR="00CA23D0" w:rsidRPr="00E30642" w:rsidRDefault="00CA23D0" w:rsidP="00CA23D0">
            <w:pPr>
              <w:pStyle w:val="Texttabulky"/>
              <w:spacing w:line="240" w:lineRule="atLeast"/>
              <w:jc w:val="both"/>
              <w:rPr>
                <w:rFonts w:cs="Arial"/>
              </w:rPr>
            </w:pPr>
            <w:r w:rsidRPr="00E30642">
              <w:rPr>
                <w:rFonts w:cs="Arial"/>
              </w:rPr>
              <w:t>0</w:t>
            </w:r>
          </w:p>
        </w:tc>
        <w:tc>
          <w:tcPr>
            <w:tcW w:w="979" w:type="dxa"/>
            <w:tcBorders>
              <w:top w:val="single" w:sz="6" w:space="0" w:color="auto"/>
              <w:left w:val="single" w:sz="6" w:space="0" w:color="auto"/>
              <w:bottom w:val="single" w:sz="6" w:space="0" w:color="auto"/>
              <w:right w:val="single" w:sz="6" w:space="0" w:color="auto"/>
            </w:tcBorders>
          </w:tcPr>
          <w:p w14:paraId="210B5A21"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3350345D"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D451996" w14:textId="77777777" w:rsidR="00CA23D0" w:rsidRPr="00E30642" w:rsidRDefault="00CA23D0" w:rsidP="00CA23D0">
            <w:pPr>
              <w:pStyle w:val="Texttabulky"/>
              <w:spacing w:line="240" w:lineRule="atLeast"/>
              <w:jc w:val="both"/>
              <w:rPr>
                <w:rFonts w:cs="Arial"/>
              </w:rPr>
            </w:pPr>
            <w:r w:rsidRPr="00E30642">
              <w:rPr>
                <w:rFonts w:cs="Arial"/>
                <w:b/>
                <w:bCs/>
              </w:rPr>
              <w:t>3</w:t>
            </w:r>
          </w:p>
        </w:tc>
        <w:tc>
          <w:tcPr>
            <w:tcW w:w="1963" w:type="dxa"/>
            <w:tcBorders>
              <w:top w:val="single" w:sz="6" w:space="0" w:color="auto"/>
              <w:left w:val="single" w:sz="6" w:space="0" w:color="auto"/>
              <w:bottom w:val="single" w:sz="6" w:space="0" w:color="auto"/>
              <w:right w:val="single" w:sz="6" w:space="0" w:color="auto"/>
            </w:tcBorders>
          </w:tcPr>
          <w:p w14:paraId="2EF337A8" w14:textId="77777777" w:rsidR="00CA23D0" w:rsidRPr="00E30642" w:rsidRDefault="00CA23D0" w:rsidP="00CA23D0">
            <w:pPr>
              <w:pStyle w:val="Texttabulky"/>
              <w:spacing w:line="240" w:lineRule="atLeast"/>
              <w:jc w:val="both"/>
              <w:rPr>
                <w:rFonts w:cs="Arial"/>
              </w:rPr>
            </w:pPr>
            <w:r w:rsidRPr="00E30642">
              <w:rPr>
                <w:rFonts w:cs="Arial"/>
              </w:rPr>
              <w:t>Děčínská výšina</w:t>
            </w:r>
          </w:p>
        </w:tc>
        <w:tc>
          <w:tcPr>
            <w:tcW w:w="940" w:type="dxa"/>
            <w:tcBorders>
              <w:top w:val="single" w:sz="6" w:space="0" w:color="auto"/>
              <w:left w:val="single" w:sz="6" w:space="0" w:color="auto"/>
              <w:bottom w:val="single" w:sz="6" w:space="0" w:color="auto"/>
              <w:right w:val="single" w:sz="6" w:space="0" w:color="auto"/>
            </w:tcBorders>
          </w:tcPr>
          <w:p w14:paraId="43AAE94B"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0EC4C41B"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2DA3FBD4"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0700BA74"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41FD9DBA" w14:textId="77777777" w:rsidR="00CA23D0" w:rsidRPr="00E30642" w:rsidRDefault="00CA23D0" w:rsidP="00CA23D0">
            <w:pPr>
              <w:pStyle w:val="Texttabulky"/>
              <w:spacing w:line="240" w:lineRule="atLeast"/>
              <w:jc w:val="both"/>
              <w:rPr>
                <w:rFonts w:cs="Arial"/>
              </w:rPr>
            </w:pPr>
            <w:r w:rsidRPr="00E30642">
              <w:rPr>
                <w:rFonts w:cs="Arial"/>
              </w:rPr>
              <w:t>0</w:t>
            </w:r>
          </w:p>
        </w:tc>
        <w:tc>
          <w:tcPr>
            <w:tcW w:w="979" w:type="dxa"/>
            <w:tcBorders>
              <w:top w:val="single" w:sz="6" w:space="0" w:color="auto"/>
              <w:left w:val="single" w:sz="6" w:space="0" w:color="auto"/>
              <w:bottom w:val="single" w:sz="6" w:space="0" w:color="auto"/>
              <w:right w:val="single" w:sz="6" w:space="0" w:color="auto"/>
            </w:tcBorders>
          </w:tcPr>
          <w:p w14:paraId="3998BB24"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2658D0AE"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26F596EC" w14:textId="77777777" w:rsidR="00CA23D0" w:rsidRPr="00E30642" w:rsidRDefault="00CA23D0" w:rsidP="00CA23D0">
            <w:pPr>
              <w:pStyle w:val="Texttabulky"/>
              <w:spacing w:line="240" w:lineRule="atLeast"/>
              <w:jc w:val="both"/>
              <w:rPr>
                <w:rFonts w:cs="Arial"/>
              </w:rPr>
            </w:pPr>
            <w:r w:rsidRPr="00E30642">
              <w:rPr>
                <w:rFonts w:cs="Arial"/>
                <w:b/>
                <w:bCs/>
              </w:rPr>
              <w:t>4</w:t>
            </w:r>
          </w:p>
        </w:tc>
        <w:tc>
          <w:tcPr>
            <w:tcW w:w="1963" w:type="dxa"/>
            <w:tcBorders>
              <w:top w:val="single" w:sz="6" w:space="0" w:color="auto"/>
              <w:left w:val="single" w:sz="6" w:space="0" w:color="auto"/>
              <w:bottom w:val="single" w:sz="6" w:space="0" w:color="auto"/>
              <w:right w:val="single" w:sz="6" w:space="0" w:color="auto"/>
            </w:tcBorders>
          </w:tcPr>
          <w:p w14:paraId="36ABABFC" w14:textId="77777777" w:rsidR="00CA23D0" w:rsidRPr="00E30642" w:rsidRDefault="00CA23D0" w:rsidP="00CA23D0">
            <w:pPr>
              <w:pStyle w:val="Texttabulky"/>
              <w:spacing w:line="240" w:lineRule="atLeast"/>
              <w:jc w:val="both"/>
              <w:rPr>
                <w:rFonts w:cs="Arial"/>
              </w:rPr>
            </w:pPr>
            <w:r w:rsidRPr="00E30642">
              <w:rPr>
                <w:rFonts w:cs="Arial"/>
              </w:rPr>
              <w:t>Nemocnice</w:t>
            </w:r>
          </w:p>
        </w:tc>
        <w:tc>
          <w:tcPr>
            <w:tcW w:w="940" w:type="dxa"/>
            <w:tcBorders>
              <w:top w:val="single" w:sz="6" w:space="0" w:color="auto"/>
              <w:left w:val="single" w:sz="6" w:space="0" w:color="auto"/>
              <w:bottom w:val="single" w:sz="6" w:space="0" w:color="auto"/>
              <w:right w:val="single" w:sz="6" w:space="0" w:color="auto"/>
            </w:tcBorders>
          </w:tcPr>
          <w:p w14:paraId="72F1AAA0"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3C2BB24A" w14:textId="77777777" w:rsidR="00CA23D0" w:rsidRPr="00E30642" w:rsidRDefault="00CA23D0" w:rsidP="00CA23D0">
            <w:pPr>
              <w:pStyle w:val="Texttabulky"/>
              <w:spacing w:line="240" w:lineRule="atLeast"/>
              <w:jc w:val="both"/>
              <w:rPr>
                <w:rFonts w:cs="Arial"/>
              </w:rPr>
            </w:pPr>
            <w:r w:rsidRPr="00E30642">
              <w:rPr>
                <w:rFonts w:cs="Arial"/>
              </w:rPr>
              <w:t>355</w:t>
            </w:r>
          </w:p>
        </w:tc>
        <w:tc>
          <w:tcPr>
            <w:tcW w:w="840" w:type="dxa"/>
            <w:tcBorders>
              <w:top w:val="single" w:sz="6" w:space="0" w:color="auto"/>
              <w:left w:val="single" w:sz="6" w:space="0" w:color="auto"/>
              <w:bottom w:val="single" w:sz="6" w:space="0" w:color="auto"/>
              <w:right w:val="single" w:sz="6" w:space="0" w:color="auto"/>
            </w:tcBorders>
          </w:tcPr>
          <w:p w14:paraId="73638597"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4C08E159"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0BB9F7F7" w14:textId="77777777" w:rsidR="00CA23D0" w:rsidRPr="00E30642" w:rsidRDefault="00CA23D0" w:rsidP="00CA23D0">
            <w:pPr>
              <w:pStyle w:val="Texttabulky"/>
              <w:spacing w:line="240" w:lineRule="atLeast"/>
              <w:jc w:val="both"/>
              <w:rPr>
                <w:rFonts w:cs="Arial"/>
              </w:rPr>
            </w:pPr>
            <w:r w:rsidRPr="00E30642">
              <w:rPr>
                <w:rFonts w:cs="Arial"/>
              </w:rPr>
              <w:t>355</w:t>
            </w:r>
          </w:p>
        </w:tc>
        <w:tc>
          <w:tcPr>
            <w:tcW w:w="979" w:type="dxa"/>
            <w:tcBorders>
              <w:top w:val="single" w:sz="6" w:space="0" w:color="auto"/>
              <w:left w:val="single" w:sz="6" w:space="0" w:color="auto"/>
              <w:bottom w:val="single" w:sz="6" w:space="0" w:color="auto"/>
              <w:right w:val="single" w:sz="6" w:space="0" w:color="auto"/>
            </w:tcBorders>
          </w:tcPr>
          <w:p w14:paraId="786A7008" w14:textId="77777777" w:rsidR="00CA23D0" w:rsidRPr="00E30642" w:rsidRDefault="00CA23D0" w:rsidP="00CA23D0">
            <w:pPr>
              <w:pStyle w:val="Texttabulky"/>
              <w:spacing w:line="240" w:lineRule="atLeast"/>
              <w:jc w:val="both"/>
              <w:rPr>
                <w:rFonts w:cs="Arial"/>
              </w:rPr>
            </w:pPr>
            <w:r w:rsidRPr="00E30642">
              <w:rPr>
                <w:rFonts w:cs="Arial"/>
              </w:rPr>
              <w:t>355</w:t>
            </w:r>
          </w:p>
        </w:tc>
      </w:tr>
      <w:tr w:rsidR="00CA23D0" w:rsidRPr="00E30642" w14:paraId="24BB2211"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384A5ABC" w14:textId="77777777" w:rsidR="00CA23D0" w:rsidRPr="00E30642" w:rsidRDefault="00CA23D0" w:rsidP="00CA23D0">
            <w:pPr>
              <w:pStyle w:val="Texttabulky"/>
              <w:spacing w:line="240" w:lineRule="atLeast"/>
              <w:jc w:val="both"/>
              <w:rPr>
                <w:rFonts w:cs="Arial"/>
              </w:rPr>
            </w:pPr>
            <w:r w:rsidRPr="00E30642">
              <w:rPr>
                <w:rFonts w:cs="Arial"/>
                <w:b/>
                <w:bCs/>
              </w:rPr>
              <w:t>10</w:t>
            </w:r>
          </w:p>
        </w:tc>
        <w:tc>
          <w:tcPr>
            <w:tcW w:w="1963" w:type="dxa"/>
            <w:tcBorders>
              <w:top w:val="single" w:sz="6" w:space="0" w:color="auto"/>
              <w:left w:val="single" w:sz="6" w:space="0" w:color="auto"/>
              <w:bottom w:val="single" w:sz="6" w:space="0" w:color="auto"/>
              <w:right w:val="single" w:sz="6" w:space="0" w:color="auto"/>
            </w:tcBorders>
          </w:tcPr>
          <w:p w14:paraId="1787A8A1" w14:textId="77777777" w:rsidR="00CA23D0" w:rsidRPr="00E30642" w:rsidRDefault="00CA23D0" w:rsidP="00CA23D0">
            <w:pPr>
              <w:pStyle w:val="Texttabulky"/>
              <w:spacing w:line="240" w:lineRule="atLeast"/>
              <w:jc w:val="both"/>
              <w:rPr>
                <w:rFonts w:cs="Arial"/>
              </w:rPr>
            </w:pPr>
            <w:r w:rsidRPr="00E30642">
              <w:rPr>
                <w:rFonts w:cs="Arial"/>
              </w:rPr>
              <w:t>Zámek</w:t>
            </w:r>
          </w:p>
        </w:tc>
        <w:tc>
          <w:tcPr>
            <w:tcW w:w="940" w:type="dxa"/>
            <w:tcBorders>
              <w:top w:val="single" w:sz="6" w:space="0" w:color="auto"/>
              <w:left w:val="single" w:sz="6" w:space="0" w:color="auto"/>
              <w:bottom w:val="single" w:sz="6" w:space="0" w:color="auto"/>
              <w:right w:val="single" w:sz="6" w:space="0" w:color="auto"/>
            </w:tcBorders>
          </w:tcPr>
          <w:p w14:paraId="4A5CE328"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688357FC"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11D35250"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730992E3"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515507C6" w14:textId="77777777" w:rsidR="00CA23D0" w:rsidRPr="00E30642" w:rsidRDefault="00CA23D0" w:rsidP="00CA23D0">
            <w:pPr>
              <w:pStyle w:val="Texttabulky"/>
              <w:spacing w:line="240" w:lineRule="atLeast"/>
              <w:jc w:val="both"/>
              <w:rPr>
                <w:rFonts w:cs="Arial"/>
              </w:rPr>
            </w:pPr>
            <w:r w:rsidRPr="00E30642">
              <w:rPr>
                <w:rFonts w:cs="Arial"/>
              </w:rPr>
              <w:t>0</w:t>
            </w:r>
          </w:p>
        </w:tc>
        <w:tc>
          <w:tcPr>
            <w:tcW w:w="979" w:type="dxa"/>
            <w:tcBorders>
              <w:top w:val="single" w:sz="6" w:space="0" w:color="auto"/>
              <w:left w:val="single" w:sz="6" w:space="0" w:color="auto"/>
              <w:bottom w:val="single" w:sz="6" w:space="0" w:color="auto"/>
              <w:right w:val="single" w:sz="6" w:space="0" w:color="auto"/>
            </w:tcBorders>
          </w:tcPr>
          <w:p w14:paraId="461813C4"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5C6B12E2"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3A16B42D" w14:textId="77777777" w:rsidR="00CA23D0" w:rsidRPr="00E30642" w:rsidRDefault="00CA23D0" w:rsidP="00CA23D0">
            <w:pPr>
              <w:pStyle w:val="Texttabulky"/>
              <w:spacing w:line="240" w:lineRule="atLeast"/>
              <w:jc w:val="both"/>
              <w:rPr>
                <w:rFonts w:cs="Arial"/>
              </w:rPr>
            </w:pPr>
            <w:r w:rsidRPr="00E30642">
              <w:rPr>
                <w:rFonts w:cs="Arial"/>
                <w:b/>
                <w:bCs/>
              </w:rPr>
              <w:t>34</w:t>
            </w:r>
          </w:p>
        </w:tc>
        <w:tc>
          <w:tcPr>
            <w:tcW w:w="1963" w:type="dxa"/>
            <w:tcBorders>
              <w:top w:val="single" w:sz="6" w:space="0" w:color="auto"/>
              <w:left w:val="single" w:sz="6" w:space="0" w:color="auto"/>
              <w:bottom w:val="single" w:sz="6" w:space="0" w:color="auto"/>
              <w:right w:val="single" w:sz="6" w:space="0" w:color="auto"/>
            </w:tcBorders>
          </w:tcPr>
          <w:p w14:paraId="140AFF90" w14:textId="77777777" w:rsidR="00CA23D0" w:rsidRPr="00E30642" w:rsidRDefault="00CA23D0" w:rsidP="00CA23D0">
            <w:pPr>
              <w:pStyle w:val="Texttabulky"/>
              <w:spacing w:line="240" w:lineRule="atLeast"/>
              <w:jc w:val="both"/>
              <w:rPr>
                <w:rFonts w:cs="Arial"/>
              </w:rPr>
            </w:pPr>
            <w:r w:rsidRPr="00E30642">
              <w:rPr>
                <w:rFonts w:cs="Arial"/>
              </w:rPr>
              <w:t>Kristin Hrádek</w:t>
            </w:r>
          </w:p>
        </w:tc>
        <w:tc>
          <w:tcPr>
            <w:tcW w:w="940" w:type="dxa"/>
            <w:tcBorders>
              <w:top w:val="single" w:sz="6" w:space="0" w:color="auto"/>
              <w:left w:val="single" w:sz="6" w:space="0" w:color="auto"/>
              <w:bottom w:val="single" w:sz="6" w:space="0" w:color="auto"/>
              <w:right w:val="single" w:sz="6" w:space="0" w:color="auto"/>
            </w:tcBorders>
          </w:tcPr>
          <w:p w14:paraId="04FAE94B"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28D49BA5"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7F63C1A9"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31095D7E" w14:textId="77777777" w:rsidR="00CA23D0" w:rsidRPr="00E30642" w:rsidRDefault="00CA23D0" w:rsidP="00CA23D0">
            <w:pPr>
              <w:pStyle w:val="Texttabulky"/>
              <w:spacing w:line="240" w:lineRule="atLeast"/>
              <w:jc w:val="both"/>
              <w:rPr>
                <w:rFonts w:cs="Arial"/>
              </w:rPr>
            </w:pPr>
            <w:r w:rsidRPr="00E30642">
              <w:rPr>
                <w:rFonts w:cs="Arial"/>
              </w:rPr>
              <w:t>0</w:t>
            </w:r>
          </w:p>
        </w:tc>
        <w:tc>
          <w:tcPr>
            <w:tcW w:w="1005" w:type="dxa"/>
            <w:tcBorders>
              <w:top w:val="single" w:sz="6" w:space="0" w:color="auto"/>
              <w:left w:val="single" w:sz="6" w:space="0" w:color="auto"/>
              <w:bottom w:val="single" w:sz="6" w:space="0" w:color="auto"/>
              <w:right w:val="single" w:sz="6" w:space="0" w:color="auto"/>
            </w:tcBorders>
          </w:tcPr>
          <w:p w14:paraId="4F54703B" w14:textId="77777777" w:rsidR="00CA23D0" w:rsidRPr="00E30642" w:rsidRDefault="00CA23D0" w:rsidP="00CA23D0">
            <w:pPr>
              <w:pStyle w:val="Texttabulky"/>
              <w:spacing w:line="240" w:lineRule="atLeast"/>
              <w:jc w:val="both"/>
              <w:rPr>
                <w:rFonts w:cs="Arial"/>
              </w:rPr>
            </w:pPr>
            <w:r w:rsidRPr="00E30642">
              <w:rPr>
                <w:rFonts w:cs="Arial"/>
              </w:rPr>
              <w:t>0</w:t>
            </w:r>
          </w:p>
        </w:tc>
        <w:tc>
          <w:tcPr>
            <w:tcW w:w="979" w:type="dxa"/>
            <w:tcBorders>
              <w:top w:val="single" w:sz="6" w:space="0" w:color="auto"/>
              <w:left w:val="single" w:sz="6" w:space="0" w:color="auto"/>
              <w:bottom w:val="single" w:sz="6" w:space="0" w:color="auto"/>
              <w:right w:val="single" w:sz="6" w:space="0" w:color="auto"/>
            </w:tcBorders>
          </w:tcPr>
          <w:p w14:paraId="75626FE1"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6CC29772"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12C04398" w14:textId="77777777" w:rsidR="00CA23D0" w:rsidRPr="00E30642" w:rsidRDefault="00CA23D0" w:rsidP="00CA23D0">
            <w:pPr>
              <w:pStyle w:val="Texttabulky"/>
              <w:spacing w:line="240" w:lineRule="atLeast"/>
              <w:jc w:val="both"/>
              <w:rPr>
                <w:rFonts w:cs="Arial"/>
              </w:rPr>
            </w:pPr>
            <w:r w:rsidRPr="00E30642">
              <w:rPr>
                <w:rFonts w:cs="Arial"/>
                <w:b/>
                <w:bCs/>
              </w:rPr>
              <w:t>35</w:t>
            </w:r>
          </w:p>
        </w:tc>
        <w:tc>
          <w:tcPr>
            <w:tcW w:w="1963" w:type="dxa"/>
            <w:tcBorders>
              <w:top w:val="single" w:sz="6" w:space="0" w:color="auto"/>
              <w:left w:val="single" w:sz="6" w:space="0" w:color="auto"/>
              <w:bottom w:val="single" w:sz="6" w:space="0" w:color="auto"/>
              <w:right w:val="single" w:sz="6" w:space="0" w:color="auto"/>
            </w:tcBorders>
          </w:tcPr>
          <w:p w14:paraId="74EDC960" w14:textId="77777777" w:rsidR="00CA23D0" w:rsidRPr="00E30642" w:rsidRDefault="00CA23D0" w:rsidP="00CA23D0">
            <w:pPr>
              <w:pStyle w:val="Texttabulky"/>
              <w:spacing w:line="240" w:lineRule="atLeast"/>
              <w:jc w:val="both"/>
              <w:rPr>
                <w:rFonts w:cs="Arial"/>
              </w:rPr>
            </w:pPr>
            <w:r w:rsidRPr="00E30642">
              <w:rPr>
                <w:rFonts w:cs="Arial"/>
              </w:rPr>
              <w:t>Havraní vrch</w:t>
            </w:r>
          </w:p>
        </w:tc>
        <w:tc>
          <w:tcPr>
            <w:tcW w:w="940" w:type="dxa"/>
            <w:tcBorders>
              <w:top w:val="single" w:sz="6" w:space="0" w:color="auto"/>
              <w:left w:val="single" w:sz="6" w:space="0" w:color="auto"/>
              <w:bottom w:val="single" w:sz="6" w:space="0" w:color="auto"/>
              <w:right w:val="single" w:sz="6" w:space="0" w:color="auto"/>
            </w:tcBorders>
          </w:tcPr>
          <w:p w14:paraId="615359B0"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55A4B1D8"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2A477D71"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13A426F4" w14:textId="77777777" w:rsidR="00CA23D0" w:rsidRPr="00E30642" w:rsidRDefault="00CA23D0" w:rsidP="00CA23D0">
            <w:pPr>
              <w:pStyle w:val="Texttabulky"/>
              <w:spacing w:line="240" w:lineRule="atLeast"/>
              <w:jc w:val="both"/>
              <w:rPr>
                <w:rFonts w:cs="Arial"/>
              </w:rPr>
            </w:pPr>
            <w:r w:rsidRPr="00E30642">
              <w:rPr>
                <w:rFonts w:cs="Arial"/>
              </w:rPr>
              <w:t>0</w:t>
            </w:r>
          </w:p>
        </w:tc>
        <w:tc>
          <w:tcPr>
            <w:tcW w:w="1005" w:type="dxa"/>
            <w:tcBorders>
              <w:top w:val="single" w:sz="6" w:space="0" w:color="auto"/>
              <w:left w:val="single" w:sz="6" w:space="0" w:color="auto"/>
              <w:bottom w:val="single" w:sz="6" w:space="0" w:color="auto"/>
              <w:right w:val="single" w:sz="6" w:space="0" w:color="auto"/>
            </w:tcBorders>
          </w:tcPr>
          <w:p w14:paraId="1B771C62" w14:textId="77777777" w:rsidR="00CA23D0" w:rsidRPr="00E30642" w:rsidRDefault="00CA23D0" w:rsidP="00CA23D0">
            <w:pPr>
              <w:pStyle w:val="Texttabulky"/>
              <w:spacing w:line="240" w:lineRule="atLeast"/>
              <w:jc w:val="both"/>
              <w:rPr>
                <w:rFonts w:cs="Arial"/>
              </w:rPr>
            </w:pPr>
            <w:r w:rsidRPr="00E30642">
              <w:rPr>
                <w:rFonts w:cs="Arial"/>
              </w:rPr>
              <w:t>0</w:t>
            </w:r>
          </w:p>
        </w:tc>
        <w:tc>
          <w:tcPr>
            <w:tcW w:w="979" w:type="dxa"/>
            <w:tcBorders>
              <w:top w:val="single" w:sz="6" w:space="0" w:color="auto"/>
              <w:left w:val="single" w:sz="6" w:space="0" w:color="auto"/>
              <w:bottom w:val="single" w:sz="6" w:space="0" w:color="auto"/>
              <w:right w:val="single" w:sz="6" w:space="0" w:color="auto"/>
            </w:tcBorders>
          </w:tcPr>
          <w:p w14:paraId="4388A8DA"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34176B1D"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038F1F8" w14:textId="77777777" w:rsidR="00CA23D0" w:rsidRPr="00E30642" w:rsidRDefault="00CA23D0" w:rsidP="00CA23D0">
            <w:pPr>
              <w:pStyle w:val="Texttabulky"/>
              <w:spacing w:line="240" w:lineRule="atLeast"/>
              <w:jc w:val="both"/>
              <w:rPr>
                <w:rFonts w:cs="Arial"/>
              </w:rPr>
            </w:pPr>
            <w:r w:rsidRPr="00E30642">
              <w:rPr>
                <w:rFonts w:cs="Arial"/>
                <w:b/>
                <w:bCs/>
              </w:rPr>
              <w:t>37</w:t>
            </w:r>
          </w:p>
        </w:tc>
        <w:tc>
          <w:tcPr>
            <w:tcW w:w="1963" w:type="dxa"/>
            <w:tcBorders>
              <w:top w:val="single" w:sz="6" w:space="0" w:color="auto"/>
              <w:left w:val="single" w:sz="6" w:space="0" w:color="auto"/>
              <w:bottom w:val="single" w:sz="6" w:space="0" w:color="auto"/>
              <w:right w:val="single" w:sz="6" w:space="0" w:color="auto"/>
            </w:tcBorders>
          </w:tcPr>
          <w:p w14:paraId="23A76CD2" w14:textId="77777777" w:rsidR="00CA23D0" w:rsidRPr="00E30642" w:rsidRDefault="00CA23D0" w:rsidP="00CA23D0">
            <w:pPr>
              <w:pStyle w:val="Texttabulky"/>
              <w:spacing w:line="240" w:lineRule="atLeast"/>
              <w:jc w:val="both"/>
              <w:rPr>
                <w:rFonts w:cs="Arial"/>
              </w:rPr>
            </w:pPr>
            <w:r w:rsidRPr="00E30642">
              <w:rPr>
                <w:rFonts w:cs="Arial"/>
              </w:rPr>
              <w:t>Telefonka</w:t>
            </w:r>
          </w:p>
        </w:tc>
        <w:tc>
          <w:tcPr>
            <w:tcW w:w="940" w:type="dxa"/>
            <w:tcBorders>
              <w:top w:val="single" w:sz="6" w:space="0" w:color="auto"/>
              <w:left w:val="single" w:sz="6" w:space="0" w:color="auto"/>
              <w:bottom w:val="single" w:sz="6" w:space="0" w:color="auto"/>
              <w:right w:val="single" w:sz="6" w:space="0" w:color="auto"/>
            </w:tcBorders>
          </w:tcPr>
          <w:p w14:paraId="690670D5"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37237A9D"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6723ADB4"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5ECBB5F8" w14:textId="77777777" w:rsidR="00CA23D0" w:rsidRPr="00E30642" w:rsidRDefault="00CA23D0" w:rsidP="00CA23D0">
            <w:pPr>
              <w:pStyle w:val="Texttabulky"/>
              <w:spacing w:line="240" w:lineRule="atLeast"/>
              <w:jc w:val="both"/>
              <w:rPr>
                <w:rFonts w:cs="Arial"/>
              </w:rPr>
            </w:pPr>
            <w:r w:rsidRPr="00E30642">
              <w:rPr>
                <w:rFonts w:cs="Arial"/>
              </w:rPr>
              <w:t>0</w:t>
            </w:r>
          </w:p>
        </w:tc>
        <w:tc>
          <w:tcPr>
            <w:tcW w:w="1005" w:type="dxa"/>
            <w:tcBorders>
              <w:top w:val="single" w:sz="6" w:space="0" w:color="auto"/>
              <w:left w:val="single" w:sz="6" w:space="0" w:color="auto"/>
              <w:bottom w:val="single" w:sz="6" w:space="0" w:color="auto"/>
              <w:right w:val="single" w:sz="6" w:space="0" w:color="auto"/>
            </w:tcBorders>
          </w:tcPr>
          <w:p w14:paraId="4810D44B" w14:textId="77777777" w:rsidR="00CA23D0" w:rsidRPr="00E30642" w:rsidRDefault="00CA23D0" w:rsidP="00CA23D0">
            <w:pPr>
              <w:pStyle w:val="Texttabulky"/>
              <w:spacing w:line="240" w:lineRule="atLeast"/>
              <w:jc w:val="both"/>
              <w:rPr>
                <w:rFonts w:cs="Arial"/>
              </w:rPr>
            </w:pPr>
            <w:r w:rsidRPr="00E30642">
              <w:rPr>
                <w:rFonts w:cs="Arial"/>
              </w:rPr>
              <w:t>0</w:t>
            </w:r>
          </w:p>
        </w:tc>
        <w:tc>
          <w:tcPr>
            <w:tcW w:w="979" w:type="dxa"/>
            <w:tcBorders>
              <w:top w:val="single" w:sz="6" w:space="0" w:color="auto"/>
              <w:left w:val="single" w:sz="6" w:space="0" w:color="auto"/>
              <w:bottom w:val="single" w:sz="6" w:space="0" w:color="auto"/>
              <w:right w:val="single" w:sz="6" w:space="0" w:color="auto"/>
            </w:tcBorders>
          </w:tcPr>
          <w:p w14:paraId="48AD1BFC"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1B90B87A"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17505D7" w14:textId="77777777" w:rsidR="00CA23D0" w:rsidRPr="00E30642" w:rsidRDefault="00CA23D0" w:rsidP="00CA23D0">
            <w:pPr>
              <w:pStyle w:val="Texttabulky"/>
              <w:spacing w:line="240" w:lineRule="atLeast"/>
              <w:jc w:val="both"/>
              <w:rPr>
                <w:rFonts w:cs="Arial"/>
              </w:rPr>
            </w:pPr>
            <w:r w:rsidRPr="00E30642">
              <w:rPr>
                <w:rFonts w:cs="Arial"/>
                <w:b/>
                <w:bCs/>
              </w:rPr>
              <w:t>38</w:t>
            </w:r>
          </w:p>
        </w:tc>
        <w:tc>
          <w:tcPr>
            <w:tcW w:w="1963" w:type="dxa"/>
            <w:tcBorders>
              <w:top w:val="single" w:sz="6" w:space="0" w:color="auto"/>
              <w:left w:val="single" w:sz="6" w:space="0" w:color="auto"/>
              <w:bottom w:val="single" w:sz="6" w:space="0" w:color="auto"/>
              <w:right w:val="single" w:sz="6" w:space="0" w:color="auto"/>
            </w:tcBorders>
          </w:tcPr>
          <w:p w14:paraId="016DB578" w14:textId="77777777" w:rsidR="00CA23D0" w:rsidRPr="00E30642" w:rsidRDefault="00CA23D0" w:rsidP="00CA23D0">
            <w:pPr>
              <w:pStyle w:val="Texttabulky"/>
              <w:spacing w:line="240" w:lineRule="atLeast"/>
              <w:jc w:val="both"/>
              <w:rPr>
                <w:rFonts w:cs="Arial"/>
              </w:rPr>
            </w:pPr>
            <w:r w:rsidRPr="00E30642">
              <w:rPr>
                <w:rFonts w:cs="Arial"/>
              </w:rPr>
              <w:t>Přípeřské polesí</w:t>
            </w:r>
          </w:p>
        </w:tc>
        <w:tc>
          <w:tcPr>
            <w:tcW w:w="940" w:type="dxa"/>
            <w:tcBorders>
              <w:top w:val="single" w:sz="6" w:space="0" w:color="auto"/>
              <w:left w:val="single" w:sz="6" w:space="0" w:color="auto"/>
              <w:bottom w:val="single" w:sz="6" w:space="0" w:color="auto"/>
              <w:right w:val="single" w:sz="6" w:space="0" w:color="auto"/>
            </w:tcBorders>
          </w:tcPr>
          <w:p w14:paraId="68D75E16"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29415EC0"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4BDCB46E"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6D02C124" w14:textId="77777777" w:rsidR="00CA23D0" w:rsidRPr="00E30642" w:rsidRDefault="00CA23D0" w:rsidP="00CA23D0">
            <w:pPr>
              <w:pStyle w:val="Texttabulky"/>
              <w:spacing w:line="240" w:lineRule="atLeast"/>
              <w:jc w:val="both"/>
              <w:rPr>
                <w:rFonts w:cs="Arial"/>
              </w:rPr>
            </w:pPr>
            <w:r w:rsidRPr="00E30642">
              <w:rPr>
                <w:rFonts w:cs="Arial"/>
              </w:rPr>
              <w:t>0</w:t>
            </w:r>
          </w:p>
        </w:tc>
        <w:tc>
          <w:tcPr>
            <w:tcW w:w="1005" w:type="dxa"/>
            <w:tcBorders>
              <w:top w:val="single" w:sz="6" w:space="0" w:color="auto"/>
              <w:left w:val="single" w:sz="6" w:space="0" w:color="auto"/>
              <w:bottom w:val="single" w:sz="6" w:space="0" w:color="auto"/>
              <w:right w:val="single" w:sz="6" w:space="0" w:color="auto"/>
            </w:tcBorders>
          </w:tcPr>
          <w:p w14:paraId="1DB87279" w14:textId="77777777" w:rsidR="00CA23D0" w:rsidRPr="00E30642" w:rsidRDefault="00CA23D0" w:rsidP="00CA23D0">
            <w:pPr>
              <w:pStyle w:val="Texttabulky"/>
              <w:spacing w:line="240" w:lineRule="atLeast"/>
              <w:jc w:val="both"/>
              <w:rPr>
                <w:rFonts w:cs="Arial"/>
              </w:rPr>
            </w:pPr>
            <w:r w:rsidRPr="00E30642">
              <w:rPr>
                <w:rFonts w:cs="Arial"/>
              </w:rPr>
              <w:t>0</w:t>
            </w:r>
          </w:p>
        </w:tc>
        <w:tc>
          <w:tcPr>
            <w:tcW w:w="979" w:type="dxa"/>
            <w:tcBorders>
              <w:top w:val="single" w:sz="6" w:space="0" w:color="auto"/>
              <w:left w:val="single" w:sz="6" w:space="0" w:color="auto"/>
              <w:bottom w:val="single" w:sz="6" w:space="0" w:color="auto"/>
              <w:right w:val="single" w:sz="6" w:space="0" w:color="auto"/>
            </w:tcBorders>
          </w:tcPr>
          <w:p w14:paraId="480C511E"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301DB9D1"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1A01EC3A" w14:textId="77777777" w:rsidR="00CA23D0" w:rsidRPr="00E30642" w:rsidRDefault="00CA23D0" w:rsidP="00CA23D0">
            <w:pPr>
              <w:pStyle w:val="Texttabulky"/>
              <w:spacing w:line="240" w:lineRule="atLeast"/>
              <w:jc w:val="both"/>
              <w:rPr>
                <w:rFonts w:cs="Arial"/>
              </w:rPr>
            </w:pPr>
            <w:r w:rsidRPr="00E30642">
              <w:rPr>
                <w:rFonts w:cs="Arial"/>
                <w:b/>
                <w:bCs/>
              </w:rPr>
              <w:t>41</w:t>
            </w:r>
          </w:p>
        </w:tc>
        <w:tc>
          <w:tcPr>
            <w:tcW w:w="1963" w:type="dxa"/>
            <w:tcBorders>
              <w:top w:val="single" w:sz="6" w:space="0" w:color="auto"/>
              <w:left w:val="single" w:sz="6" w:space="0" w:color="auto"/>
              <w:bottom w:val="single" w:sz="6" w:space="0" w:color="auto"/>
              <w:right w:val="single" w:sz="6" w:space="0" w:color="auto"/>
            </w:tcBorders>
          </w:tcPr>
          <w:p w14:paraId="56D0209F" w14:textId="77777777" w:rsidR="00CA23D0" w:rsidRPr="00E30642" w:rsidRDefault="00CA23D0" w:rsidP="00CA23D0">
            <w:pPr>
              <w:pStyle w:val="Texttabulky"/>
              <w:spacing w:line="240" w:lineRule="atLeast"/>
              <w:jc w:val="both"/>
              <w:rPr>
                <w:rFonts w:cs="Arial"/>
              </w:rPr>
            </w:pPr>
            <w:r w:rsidRPr="00E30642">
              <w:rPr>
                <w:rFonts w:cs="Arial"/>
              </w:rPr>
              <w:t>Chmelník</w:t>
            </w:r>
          </w:p>
        </w:tc>
        <w:tc>
          <w:tcPr>
            <w:tcW w:w="940" w:type="dxa"/>
            <w:tcBorders>
              <w:top w:val="single" w:sz="6" w:space="0" w:color="auto"/>
              <w:left w:val="single" w:sz="6" w:space="0" w:color="auto"/>
              <w:bottom w:val="single" w:sz="6" w:space="0" w:color="auto"/>
              <w:right w:val="single" w:sz="6" w:space="0" w:color="auto"/>
            </w:tcBorders>
          </w:tcPr>
          <w:p w14:paraId="09804C68"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19FFE0B0"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085B8E8A"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3B780C5D" w14:textId="77777777" w:rsidR="00CA23D0" w:rsidRPr="00E30642" w:rsidRDefault="00CA23D0" w:rsidP="00CA23D0">
            <w:pPr>
              <w:pStyle w:val="Texttabulky"/>
              <w:spacing w:line="240" w:lineRule="atLeast"/>
              <w:jc w:val="both"/>
              <w:rPr>
                <w:rFonts w:cs="Arial"/>
              </w:rPr>
            </w:pPr>
            <w:r w:rsidRPr="00E30642">
              <w:rPr>
                <w:rFonts w:cs="Arial"/>
              </w:rPr>
              <w:t>150</w:t>
            </w:r>
          </w:p>
        </w:tc>
        <w:tc>
          <w:tcPr>
            <w:tcW w:w="1005" w:type="dxa"/>
            <w:tcBorders>
              <w:top w:val="single" w:sz="6" w:space="0" w:color="auto"/>
              <w:left w:val="single" w:sz="6" w:space="0" w:color="auto"/>
              <w:bottom w:val="single" w:sz="6" w:space="0" w:color="auto"/>
              <w:right w:val="single" w:sz="6" w:space="0" w:color="auto"/>
            </w:tcBorders>
          </w:tcPr>
          <w:p w14:paraId="077F2986" w14:textId="77777777" w:rsidR="00CA23D0" w:rsidRPr="00E30642" w:rsidRDefault="00CA23D0" w:rsidP="00CA23D0">
            <w:pPr>
              <w:pStyle w:val="Texttabulky"/>
              <w:spacing w:line="240" w:lineRule="atLeast"/>
              <w:jc w:val="both"/>
              <w:rPr>
                <w:rFonts w:cs="Arial"/>
              </w:rPr>
            </w:pPr>
            <w:r w:rsidRPr="00E30642">
              <w:rPr>
                <w:rFonts w:cs="Arial"/>
              </w:rPr>
              <w:t>0</w:t>
            </w:r>
          </w:p>
        </w:tc>
        <w:tc>
          <w:tcPr>
            <w:tcW w:w="979" w:type="dxa"/>
            <w:tcBorders>
              <w:top w:val="single" w:sz="6" w:space="0" w:color="auto"/>
              <w:left w:val="single" w:sz="6" w:space="0" w:color="auto"/>
              <w:bottom w:val="single" w:sz="6" w:space="0" w:color="auto"/>
              <w:right w:val="single" w:sz="6" w:space="0" w:color="auto"/>
            </w:tcBorders>
          </w:tcPr>
          <w:p w14:paraId="3468B613"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53A26821"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7F6E4244" w14:textId="77777777" w:rsidR="00CA23D0" w:rsidRPr="00E30642" w:rsidRDefault="00CA23D0" w:rsidP="00CA23D0">
            <w:pPr>
              <w:pStyle w:val="Texttabulky"/>
              <w:spacing w:line="240" w:lineRule="atLeast"/>
              <w:jc w:val="both"/>
              <w:rPr>
                <w:rFonts w:cs="Arial"/>
              </w:rPr>
            </w:pPr>
            <w:r w:rsidRPr="00E30642">
              <w:rPr>
                <w:rFonts w:cs="Arial"/>
                <w:b/>
                <w:bCs/>
              </w:rPr>
              <w:t>43</w:t>
            </w:r>
          </w:p>
        </w:tc>
        <w:tc>
          <w:tcPr>
            <w:tcW w:w="1963" w:type="dxa"/>
            <w:tcBorders>
              <w:top w:val="single" w:sz="6" w:space="0" w:color="auto"/>
              <w:left w:val="single" w:sz="6" w:space="0" w:color="auto"/>
              <w:bottom w:val="single" w:sz="6" w:space="0" w:color="auto"/>
              <w:right w:val="single" w:sz="6" w:space="0" w:color="auto"/>
            </w:tcBorders>
          </w:tcPr>
          <w:p w14:paraId="43F12583" w14:textId="77777777" w:rsidR="00CA23D0" w:rsidRPr="00E30642" w:rsidRDefault="00CA23D0" w:rsidP="00CA23D0">
            <w:pPr>
              <w:pStyle w:val="Texttabulky"/>
              <w:spacing w:line="240" w:lineRule="atLeast"/>
              <w:jc w:val="both"/>
              <w:rPr>
                <w:rFonts w:cs="Arial"/>
              </w:rPr>
            </w:pPr>
            <w:r w:rsidRPr="00E30642">
              <w:rPr>
                <w:rFonts w:cs="Arial"/>
              </w:rPr>
              <w:t>Nad Dolním Žlebem</w:t>
            </w:r>
          </w:p>
        </w:tc>
        <w:tc>
          <w:tcPr>
            <w:tcW w:w="940" w:type="dxa"/>
            <w:tcBorders>
              <w:top w:val="single" w:sz="6" w:space="0" w:color="auto"/>
              <w:left w:val="single" w:sz="6" w:space="0" w:color="auto"/>
              <w:bottom w:val="single" w:sz="6" w:space="0" w:color="auto"/>
              <w:right w:val="single" w:sz="6" w:space="0" w:color="auto"/>
            </w:tcBorders>
          </w:tcPr>
          <w:p w14:paraId="1538E158"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42299CC6"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51702D6C"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578B6BBD" w14:textId="77777777" w:rsidR="00CA23D0" w:rsidRPr="00E30642" w:rsidRDefault="00CA23D0" w:rsidP="00CA23D0">
            <w:pPr>
              <w:pStyle w:val="Texttabulky"/>
              <w:spacing w:line="240" w:lineRule="atLeast"/>
              <w:jc w:val="both"/>
              <w:rPr>
                <w:rFonts w:cs="Arial"/>
              </w:rPr>
            </w:pPr>
            <w:r w:rsidRPr="00E30642">
              <w:rPr>
                <w:rFonts w:cs="Arial"/>
              </w:rPr>
              <w:t>0</w:t>
            </w:r>
          </w:p>
        </w:tc>
        <w:tc>
          <w:tcPr>
            <w:tcW w:w="1005" w:type="dxa"/>
            <w:tcBorders>
              <w:top w:val="single" w:sz="6" w:space="0" w:color="auto"/>
              <w:left w:val="single" w:sz="6" w:space="0" w:color="auto"/>
              <w:bottom w:val="single" w:sz="6" w:space="0" w:color="auto"/>
              <w:right w:val="single" w:sz="6" w:space="0" w:color="auto"/>
            </w:tcBorders>
          </w:tcPr>
          <w:p w14:paraId="1AB113E5" w14:textId="77777777" w:rsidR="00CA23D0" w:rsidRPr="00E30642" w:rsidRDefault="00CA23D0" w:rsidP="00CA23D0">
            <w:pPr>
              <w:pStyle w:val="Texttabulky"/>
              <w:spacing w:line="240" w:lineRule="atLeast"/>
              <w:jc w:val="both"/>
              <w:rPr>
                <w:rFonts w:cs="Arial"/>
              </w:rPr>
            </w:pPr>
            <w:r w:rsidRPr="00E30642">
              <w:rPr>
                <w:rFonts w:cs="Arial"/>
              </w:rPr>
              <w:t>0</w:t>
            </w:r>
          </w:p>
        </w:tc>
        <w:tc>
          <w:tcPr>
            <w:tcW w:w="979" w:type="dxa"/>
            <w:tcBorders>
              <w:top w:val="single" w:sz="6" w:space="0" w:color="auto"/>
              <w:left w:val="single" w:sz="6" w:space="0" w:color="auto"/>
              <w:bottom w:val="single" w:sz="6" w:space="0" w:color="auto"/>
              <w:right w:val="single" w:sz="6" w:space="0" w:color="auto"/>
            </w:tcBorders>
          </w:tcPr>
          <w:p w14:paraId="1654F0B1"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0E239063"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18818BD0" w14:textId="77777777" w:rsidR="00CA23D0" w:rsidRPr="00E30642" w:rsidRDefault="00CA23D0" w:rsidP="00CA23D0">
            <w:pPr>
              <w:pStyle w:val="Texttabulky"/>
              <w:spacing w:line="240" w:lineRule="atLeast"/>
              <w:jc w:val="both"/>
              <w:rPr>
                <w:rFonts w:cs="Arial"/>
              </w:rPr>
            </w:pPr>
            <w:r w:rsidRPr="00E30642">
              <w:rPr>
                <w:rFonts w:cs="Arial"/>
                <w:b/>
                <w:bCs/>
              </w:rPr>
              <w:t>67</w:t>
            </w:r>
          </w:p>
        </w:tc>
        <w:tc>
          <w:tcPr>
            <w:tcW w:w="1963" w:type="dxa"/>
            <w:tcBorders>
              <w:top w:val="single" w:sz="6" w:space="0" w:color="auto"/>
              <w:left w:val="single" w:sz="6" w:space="0" w:color="auto"/>
              <w:bottom w:val="single" w:sz="6" w:space="0" w:color="auto"/>
              <w:right w:val="single" w:sz="6" w:space="0" w:color="auto"/>
            </w:tcBorders>
          </w:tcPr>
          <w:p w14:paraId="3CDD6B87" w14:textId="77777777" w:rsidR="00CA23D0" w:rsidRPr="00E30642" w:rsidRDefault="00CA23D0" w:rsidP="00CA23D0">
            <w:pPr>
              <w:pStyle w:val="Texttabulky"/>
              <w:spacing w:line="240" w:lineRule="atLeast"/>
              <w:jc w:val="both"/>
              <w:rPr>
                <w:rFonts w:cs="Arial"/>
              </w:rPr>
            </w:pPr>
            <w:r w:rsidRPr="00E30642">
              <w:rPr>
                <w:rFonts w:cs="Arial"/>
              </w:rPr>
              <w:t>Labská niva</w:t>
            </w:r>
          </w:p>
        </w:tc>
        <w:tc>
          <w:tcPr>
            <w:tcW w:w="940" w:type="dxa"/>
            <w:tcBorders>
              <w:top w:val="single" w:sz="6" w:space="0" w:color="auto"/>
              <w:left w:val="single" w:sz="6" w:space="0" w:color="auto"/>
              <w:bottom w:val="single" w:sz="6" w:space="0" w:color="auto"/>
              <w:right w:val="single" w:sz="6" w:space="0" w:color="auto"/>
            </w:tcBorders>
          </w:tcPr>
          <w:p w14:paraId="1572E007"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7309390B"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43DE464B"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413B8948"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240E676C" w14:textId="77777777" w:rsidR="00CA23D0" w:rsidRPr="00E30642" w:rsidRDefault="00CA23D0" w:rsidP="00CA23D0">
            <w:pPr>
              <w:pStyle w:val="Texttabulky"/>
              <w:spacing w:line="240" w:lineRule="atLeast"/>
              <w:jc w:val="both"/>
              <w:rPr>
                <w:rFonts w:cs="Arial"/>
              </w:rPr>
            </w:pPr>
            <w:r w:rsidRPr="00E30642">
              <w:rPr>
                <w:rFonts w:cs="Arial"/>
              </w:rPr>
              <w:t>0</w:t>
            </w:r>
          </w:p>
        </w:tc>
        <w:tc>
          <w:tcPr>
            <w:tcW w:w="979" w:type="dxa"/>
            <w:tcBorders>
              <w:top w:val="single" w:sz="6" w:space="0" w:color="auto"/>
              <w:left w:val="single" w:sz="6" w:space="0" w:color="auto"/>
              <w:bottom w:val="single" w:sz="6" w:space="0" w:color="auto"/>
              <w:right w:val="single" w:sz="6" w:space="0" w:color="auto"/>
            </w:tcBorders>
          </w:tcPr>
          <w:p w14:paraId="57A27306"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3A78E57A" w14:textId="77777777" w:rsidTr="00CA23D0">
        <w:trPr>
          <w:jc w:val="center"/>
        </w:trPr>
        <w:tc>
          <w:tcPr>
            <w:tcW w:w="627" w:type="dxa"/>
            <w:tcBorders>
              <w:top w:val="single" w:sz="6" w:space="0" w:color="auto"/>
              <w:left w:val="single" w:sz="6" w:space="0" w:color="auto"/>
              <w:bottom w:val="single" w:sz="6" w:space="0" w:color="auto"/>
              <w:right w:val="single" w:sz="6" w:space="0" w:color="auto"/>
            </w:tcBorders>
          </w:tcPr>
          <w:p w14:paraId="0566EC54" w14:textId="77777777" w:rsidR="00CA23D0" w:rsidRPr="00E30642" w:rsidRDefault="00CA23D0" w:rsidP="00CA23D0">
            <w:pPr>
              <w:pStyle w:val="Texttabulky"/>
              <w:spacing w:line="240" w:lineRule="atLeast"/>
              <w:jc w:val="both"/>
              <w:rPr>
                <w:rFonts w:cs="Arial"/>
              </w:rPr>
            </w:pPr>
            <w:r w:rsidRPr="00E30642">
              <w:rPr>
                <w:rFonts w:cs="Arial"/>
                <w:b/>
                <w:bCs/>
              </w:rPr>
              <w:lastRenderedPageBreak/>
              <w:t>68</w:t>
            </w:r>
          </w:p>
        </w:tc>
        <w:tc>
          <w:tcPr>
            <w:tcW w:w="1963" w:type="dxa"/>
            <w:tcBorders>
              <w:top w:val="single" w:sz="6" w:space="0" w:color="auto"/>
              <w:left w:val="single" w:sz="6" w:space="0" w:color="auto"/>
              <w:bottom w:val="single" w:sz="6" w:space="0" w:color="auto"/>
              <w:right w:val="single" w:sz="6" w:space="0" w:color="auto"/>
            </w:tcBorders>
          </w:tcPr>
          <w:p w14:paraId="5884F522" w14:textId="77777777" w:rsidR="00CA23D0" w:rsidRPr="00E30642" w:rsidRDefault="00CA23D0" w:rsidP="00CA23D0">
            <w:pPr>
              <w:pStyle w:val="Texttabulky"/>
              <w:spacing w:line="240" w:lineRule="atLeast"/>
              <w:jc w:val="both"/>
              <w:rPr>
                <w:rFonts w:cs="Arial"/>
              </w:rPr>
            </w:pPr>
            <w:r w:rsidRPr="00E30642">
              <w:rPr>
                <w:rFonts w:cs="Arial"/>
              </w:rPr>
              <w:t>Průmyslový obvod Boletice</w:t>
            </w:r>
          </w:p>
        </w:tc>
        <w:tc>
          <w:tcPr>
            <w:tcW w:w="940" w:type="dxa"/>
            <w:tcBorders>
              <w:top w:val="single" w:sz="6" w:space="0" w:color="auto"/>
              <w:left w:val="single" w:sz="6" w:space="0" w:color="auto"/>
              <w:bottom w:val="single" w:sz="6" w:space="0" w:color="auto"/>
              <w:right w:val="single" w:sz="6" w:space="0" w:color="auto"/>
            </w:tcBorders>
          </w:tcPr>
          <w:p w14:paraId="7FBCF00A" w14:textId="77777777" w:rsidR="00CA23D0" w:rsidRPr="00E30642" w:rsidRDefault="00CA23D0" w:rsidP="00CA23D0">
            <w:pPr>
              <w:pStyle w:val="Texttabulky"/>
              <w:spacing w:line="240" w:lineRule="atLeast"/>
              <w:jc w:val="both"/>
              <w:rPr>
                <w:rFonts w:cs="Arial"/>
              </w:rPr>
            </w:pPr>
            <w:r w:rsidRPr="00E30642">
              <w:rPr>
                <w:rFonts w:cs="Arial"/>
              </w:rPr>
              <w:t>0</w:t>
            </w:r>
          </w:p>
        </w:tc>
        <w:tc>
          <w:tcPr>
            <w:tcW w:w="855" w:type="dxa"/>
            <w:tcBorders>
              <w:top w:val="single" w:sz="6" w:space="0" w:color="auto"/>
              <w:left w:val="single" w:sz="6" w:space="0" w:color="auto"/>
              <w:bottom w:val="single" w:sz="6" w:space="0" w:color="auto"/>
              <w:right w:val="single" w:sz="6" w:space="0" w:color="auto"/>
            </w:tcBorders>
          </w:tcPr>
          <w:p w14:paraId="0E51B5E8" w14:textId="77777777" w:rsidR="00CA23D0" w:rsidRPr="00E30642" w:rsidRDefault="00CA23D0" w:rsidP="00CA23D0">
            <w:pPr>
              <w:pStyle w:val="Zkladntext"/>
              <w:jc w:val="both"/>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tcPr>
          <w:p w14:paraId="6FBC4BF0" w14:textId="77777777" w:rsidR="00CA23D0" w:rsidRPr="00E30642" w:rsidRDefault="00CA23D0" w:rsidP="00CA23D0">
            <w:pPr>
              <w:pStyle w:val="Zkladntext"/>
              <w:jc w:val="both"/>
              <w:rPr>
                <w:rFonts w:ascii="Arial" w:hAnsi="Arial" w:cs="Arial"/>
              </w:rPr>
            </w:pPr>
          </w:p>
        </w:tc>
        <w:tc>
          <w:tcPr>
            <w:tcW w:w="857" w:type="dxa"/>
            <w:tcBorders>
              <w:top w:val="single" w:sz="6" w:space="0" w:color="auto"/>
              <w:left w:val="single" w:sz="6" w:space="0" w:color="auto"/>
              <w:bottom w:val="single" w:sz="6" w:space="0" w:color="auto"/>
              <w:right w:val="single" w:sz="6" w:space="0" w:color="auto"/>
            </w:tcBorders>
          </w:tcPr>
          <w:p w14:paraId="25BA1B0B" w14:textId="77777777" w:rsidR="00CA23D0" w:rsidRPr="00E30642" w:rsidRDefault="00CA23D0" w:rsidP="00CA23D0">
            <w:pPr>
              <w:pStyle w:val="Zkladntext"/>
              <w:jc w:val="both"/>
              <w:rPr>
                <w:rFonts w:ascii="Arial" w:hAnsi="Arial" w:cs="Arial"/>
              </w:rPr>
            </w:pPr>
          </w:p>
        </w:tc>
        <w:tc>
          <w:tcPr>
            <w:tcW w:w="1005" w:type="dxa"/>
            <w:tcBorders>
              <w:top w:val="single" w:sz="6" w:space="0" w:color="auto"/>
              <w:left w:val="single" w:sz="6" w:space="0" w:color="auto"/>
              <w:bottom w:val="single" w:sz="6" w:space="0" w:color="auto"/>
              <w:right w:val="single" w:sz="6" w:space="0" w:color="auto"/>
            </w:tcBorders>
          </w:tcPr>
          <w:p w14:paraId="6FAC3B5A" w14:textId="77777777" w:rsidR="00CA23D0" w:rsidRPr="00E30642" w:rsidRDefault="00CA23D0" w:rsidP="00CA23D0">
            <w:pPr>
              <w:pStyle w:val="Texttabulky"/>
              <w:spacing w:line="240" w:lineRule="atLeast"/>
              <w:jc w:val="both"/>
              <w:rPr>
                <w:rFonts w:cs="Arial"/>
              </w:rPr>
            </w:pPr>
            <w:r w:rsidRPr="00E30642">
              <w:rPr>
                <w:rFonts w:cs="Arial"/>
              </w:rPr>
              <w:t>0</w:t>
            </w:r>
          </w:p>
        </w:tc>
        <w:tc>
          <w:tcPr>
            <w:tcW w:w="979" w:type="dxa"/>
            <w:tcBorders>
              <w:top w:val="single" w:sz="6" w:space="0" w:color="auto"/>
              <w:left w:val="single" w:sz="6" w:space="0" w:color="auto"/>
              <w:bottom w:val="single" w:sz="6" w:space="0" w:color="auto"/>
              <w:right w:val="single" w:sz="6" w:space="0" w:color="auto"/>
            </w:tcBorders>
          </w:tcPr>
          <w:p w14:paraId="3D6DDB0A" w14:textId="77777777" w:rsidR="00CA23D0" w:rsidRPr="00E30642" w:rsidRDefault="00CA23D0" w:rsidP="00CA23D0">
            <w:pPr>
              <w:pStyle w:val="Texttabulky"/>
              <w:spacing w:line="240" w:lineRule="atLeast"/>
              <w:jc w:val="both"/>
              <w:rPr>
                <w:rFonts w:cs="Arial"/>
              </w:rPr>
            </w:pPr>
            <w:r w:rsidRPr="00E30642">
              <w:rPr>
                <w:rFonts w:cs="Arial"/>
              </w:rPr>
              <w:t>0</w:t>
            </w:r>
          </w:p>
        </w:tc>
      </w:tr>
    </w:tbl>
    <w:p w14:paraId="4B0840CD" w14:textId="77777777" w:rsidR="00CA23D0" w:rsidRPr="00E30642" w:rsidRDefault="00CA23D0" w:rsidP="00CA23D0">
      <w:pPr>
        <w:autoSpaceDE w:val="0"/>
        <w:autoSpaceDN w:val="0"/>
        <w:adjustRightInd w:val="0"/>
        <w:jc w:val="both"/>
        <w:rPr>
          <w:rFonts w:ascii="Arial" w:hAnsi="Arial" w:cs="Arial"/>
          <w:sz w:val="20"/>
        </w:rPr>
      </w:pPr>
    </w:p>
    <w:p w14:paraId="16AADD4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Návrh rozvoje obytného území se výrazněji neprojeví. Mezi urbanistickými obvody města zůstanou nejlidnatějšími UO výše uvedené, změní se pouze jejich pořadí. Změny v rozložení obyvatel na území města charakterizovanou možným přírůstkem či úbytkem osob dokumentuje následující přehled:</w:t>
      </w:r>
    </w:p>
    <w:p w14:paraId="33F6C5DB"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p>
    <w:p w14:paraId="1D1121BA" w14:textId="77777777" w:rsidR="00CA23D0" w:rsidRPr="00E30642" w:rsidRDefault="00CA23D0" w:rsidP="00CA23D0">
      <w:pPr>
        <w:pStyle w:val="Zkladntext"/>
        <w:spacing w:line="240" w:lineRule="atLeast"/>
        <w:jc w:val="both"/>
        <w:rPr>
          <w:rFonts w:ascii="Arial" w:hAnsi="Arial" w:cs="Arial"/>
          <w:b/>
          <w:bCs/>
          <w:caps/>
        </w:rPr>
      </w:pPr>
      <w:r w:rsidRPr="00E30642">
        <w:rPr>
          <w:rFonts w:ascii="Arial" w:hAnsi="Arial" w:cs="Arial"/>
          <w:b/>
          <w:bCs/>
          <w:caps/>
        </w:rPr>
        <w:t>uspořádaný soubor urbanistických obvodů podle přírůstku obyvatel daného návrhem rozvoje obytného území v závěru návrhového období</w:t>
      </w:r>
    </w:p>
    <w:tbl>
      <w:tblPr>
        <w:tblW w:w="0" w:type="auto"/>
        <w:tblInd w:w="30" w:type="dxa"/>
        <w:tblLayout w:type="fixed"/>
        <w:tblCellMar>
          <w:left w:w="30" w:type="dxa"/>
          <w:right w:w="30" w:type="dxa"/>
        </w:tblCellMar>
        <w:tblLook w:val="0000" w:firstRow="0" w:lastRow="0" w:firstColumn="0" w:lastColumn="0" w:noHBand="0" w:noVBand="0"/>
      </w:tblPr>
      <w:tblGrid>
        <w:gridCol w:w="709"/>
        <w:gridCol w:w="2141"/>
        <w:gridCol w:w="1007"/>
        <w:gridCol w:w="1275"/>
        <w:gridCol w:w="1277"/>
        <w:gridCol w:w="992"/>
        <w:gridCol w:w="992"/>
      </w:tblGrid>
      <w:tr w:rsidR="00CA23D0" w:rsidRPr="00E30642" w14:paraId="589F093C" w14:textId="77777777" w:rsidTr="00CA23D0">
        <w:tc>
          <w:tcPr>
            <w:tcW w:w="709" w:type="dxa"/>
            <w:vMerge w:val="restart"/>
            <w:tcBorders>
              <w:top w:val="single" w:sz="6" w:space="0" w:color="auto"/>
              <w:left w:val="single" w:sz="6" w:space="0" w:color="auto"/>
              <w:right w:val="nil"/>
            </w:tcBorders>
          </w:tcPr>
          <w:p w14:paraId="354794C4" w14:textId="77777777" w:rsidR="00CA23D0" w:rsidRPr="00E30642" w:rsidRDefault="00CA23D0" w:rsidP="00CA23D0">
            <w:pPr>
              <w:pStyle w:val="Texttabulky"/>
              <w:spacing w:line="240" w:lineRule="atLeast"/>
              <w:jc w:val="both"/>
              <w:rPr>
                <w:rFonts w:cs="Arial"/>
              </w:rPr>
            </w:pPr>
            <w:r w:rsidRPr="00E30642">
              <w:rPr>
                <w:rFonts w:cs="Arial"/>
                <w:b/>
                <w:bCs/>
              </w:rPr>
              <w:t>poř. č. UO</w:t>
            </w:r>
          </w:p>
        </w:tc>
        <w:tc>
          <w:tcPr>
            <w:tcW w:w="2141" w:type="dxa"/>
            <w:vMerge w:val="restart"/>
            <w:tcBorders>
              <w:top w:val="single" w:sz="6" w:space="0" w:color="auto"/>
              <w:left w:val="single" w:sz="6" w:space="0" w:color="auto"/>
              <w:right w:val="single" w:sz="6" w:space="0" w:color="auto"/>
            </w:tcBorders>
          </w:tcPr>
          <w:p w14:paraId="162305E3" w14:textId="77777777" w:rsidR="00CA23D0" w:rsidRPr="00E30642" w:rsidRDefault="00CA23D0" w:rsidP="00CA23D0">
            <w:pPr>
              <w:pStyle w:val="Zkladntext"/>
              <w:spacing w:line="240" w:lineRule="atLeast"/>
              <w:jc w:val="both"/>
              <w:rPr>
                <w:rFonts w:ascii="Arial" w:hAnsi="Arial" w:cs="Arial"/>
              </w:rPr>
            </w:pPr>
          </w:p>
          <w:p w14:paraId="58A59168" w14:textId="77777777" w:rsidR="00CA23D0" w:rsidRPr="00E30642" w:rsidRDefault="00CA23D0" w:rsidP="00CA23D0">
            <w:pPr>
              <w:pStyle w:val="Texttabulky"/>
              <w:spacing w:line="240" w:lineRule="atLeast"/>
              <w:jc w:val="both"/>
              <w:rPr>
                <w:rFonts w:cs="Arial"/>
              </w:rPr>
            </w:pPr>
            <w:r w:rsidRPr="00E30642">
              <w:rPr>
                <w:rFonts w:cs="Arial"/>
                <w:b/>
                <w:bCs/>
              </w:rPr>
              <w:t>urbanistický obvod</w:t>
            </w:r>
          </w:p>
        </w:tc>
        <w:tc>
          <w:tcPr>
            <w:tcW w:w="1007" w:type="dxa"/>
            <w:vMerge w:val="restart"/>
            <w:tcBorders>
              <w:top w:val="single" w:sz="6" w:space="0" w:color="auto"/>
              <w:left w:val="single" w:sz="6" w:space="0" w:color="auto"/>
              <w:right w:val="single" w:sz="6" w:space="0" w:color="auto"/>
            </w:tcBorders>
          </w:tcPr>
          <w:p w14:paraId="62C8289B" w14:textId="77777777" w:rsidR="00CA23D0" w:rsidRPr="00E30642" w:rsidRDefault="00CA23D0" w:rsidP="00CA23D0">
            <w:pPr>
              <w:pStyle w:val="Zkladntext"/>
              <w:spacing w:line="240" w:lineRule="atLeast"/>
              <w:jc w:val="both"/>
              <w:rPr>
                <w:rFonts w:ascii="Arial" w:hAnsi="Arial" w:cs="Arial"/>
              </w:rPr>
            </w:pPr>
          </w:p>
          <w:p w14:paraId="33CABCBE" w14:textId="77777777" w:rsidR="00CA23D0" w:rsidRPr="00E30642" w:rsidRDefault="00CA23D0" w:rsidP="00CA23D0">
            <w:pPr>
              <w:pStyle w:val="Texttabulky"/>
              <w:spacing w:line="240" w:lineRule="atLeast"/>
              <w:jc w:val="both"/>
              <w:rPr>
                <w:rFonts w:cs="Arial"/>
              </w:rPr>
            </w:pPr>
            <w:r w:rsidRPr="00E30642">
              <w:rPr>
                <w:rFonts w:cs="Arial"/>
                <w:b/>
                <w:bCs/>
              </w:rPr>
              <w:t>OB91</w:t>
            </w:r>
          </w:p>
        </w:tc>
        <w:tc>
          <w:tcPr>
            <w:tcW w:w="2552" w:type="dxa"/>
            <w:gridSpan w:val="2"/>
            <w:tcBorders>
              <w:top w:val="single" w:sz="6" w:space="0" w:color="auto"/>
              <w:left w:val="single" w:sz="6" w:space="0" w:color="auto"/>
              <w:bottom w:val="single" w:sz="6" w:space="0" w:color="auto"/>
              <w:right w:val="single" w:sz="6" w:space="0" w:color="auto"/>
            </w:tcBorders>
          </w:tcPr>
          <w:p w14:paraId="03B79739" w14:textId="77777777" w:rsidR="00CA23D0" w:rsidRPr="00E30642" w:rsidRDefault="00CA23D0" w:rsidP="00CA23D0">
            <w:pPr>
              <w:pStyle w:val="Zkladntext"/>
              <w:jc w:val="both"/>
              <w:rPr>
                <w:rFonts w:ascii="Arial" w:hAnsi="Arial" w:cs="Arial"/>
                <w:sz w:val="18"/>
              </w:rPr>
            </w:pPr>
            <w:r w:rsidRPr="00E30642">
              <w:rPr>
                <w:rFonts w:ascii="Arial" w:hAnsi="Arial" w:cs="Arial"/>
                <w:b/>
                <w:bCs/>
                <w:sz w:val="18"/>
              </w:rPr>
              <w:t>počet bydlících osob</w:t>
            </w:r>
          </w:p>
        </w:tc>
        <w:tc>
          <w:tcPr>
            <w:tcW w:w="992" w:type="dxa"/>
            <w:tcBorders>
              <w:top w:val="single" w:sz="6" w:space="0" w:color="auto"/>
              <w:left w:val="nil"/>
              <w:bottom w:val="nil"/>
              <w:right w:val="single" w:sz="6" w:space="0" w:color="auto"/>
            </w:tcBorders>
          </w:tcPr>
          <w:p w14:paraId="35312326" w14:textId="77777777" w:rsidR="00CA23D0" w:rsidRPr="00E30642" w:rsidRDefault="00CA23D0" w:rsidP="00CA23D0">
            <w:pPr>
              <w:pStyle w:val="Texttabulky"/>
              <w:spacing w:line="240" w:lineRule="atLeast"/>
              <w:jc w:val="both"/>
              <w:rPr>
                <w:rFonts w:cs="Arial"/>
              </w:rPr>
            </w:pPr>
            <w:r w:rsidRPr="00E30642">
              <w:rPr>
                <w:rFonts w:cs="Arial"/>
                <w:b/>
                <w:bCs/>
              </w:rPr>
              <w:t>přírůstek osob podle návrhu</w:t>
            </w:r>
          </w:p>
        </w:tc>
        <w:tc>
          <w:tcPr>
            <w:tcW w:w="992" w:type="dxa"/>
            <w:tcBorders>
              <w:top w:val="single" w:sz="6" w:space="0" w:color="auto"/>
              <w:left w:val="single" w:sz="6" w:space="0" w:color="auto"/>
              <w:bottom w:val="nil"/>
              <w:right w:val="single" w:sz="6" w:space="0" w:color="auto"/>
            </w:tcBorders>
          </w:tcPr>
          <w:p w14:paraId="391E408C" w14:textId="77777777" w:rsidR="00CA23D0" w:rsidRPr="00E30642" w:rsidRDefault="00CA23D0" w:rsidP="00CA23D0">
            <w:pPr>
              <w:pStyle w:val="Texttabulky"/>
              <w:spacing w:line="240" w:lineRule="atLeast"/>
              <w:jc w:val="both"/>
              <w:rPr>
                <w:rFonts w:cs="Arial"/>
              </w:rPr>
            </w:pPr>
            <w:r w:rsidRPr="00E30642">
              <w:rPr>
                <w:rFonts w:cs="Arial"/>
                <w:b/>
                <w:bCs/>
              </w:rPr>
              <w:t>přírůstek osob podle návrhu+rez.</w:t>
            </w:r>
          </w:p>
        </w:tc>
      </w:tr>
      <w:tr w:rsidR="00CA23D0" w:rsidRPr="00E30642" w14:paraId="334379EF" w14:textId="77777777" w:rsidTr="00CA23D0">
        <w:trPr>
          <w:trHeight w:val="104"/>
        </w:trPr>
        <w:tc>
          <w:tcPr>
            <w:tcW w:w="709" w:type="dxa"/>
            <w:vMerge/>
            <w:tcBorders>
              <w:left w:val="single" w:sz="6" w:space="0" w:color="auto"/>
              <w:bottom w:val="single" w:sz="6" w:space="0" w:color="auto"/>
              <w:right w:val="nil"/>
            </w:tcBorders>
          </w:tcPr>
          <w:p w14:paraId="68321C7C" w14:textId="77777777" w:rsidR="00CA23D0" w:rsidRPr="00E30642" w:rsidRDefault="00CA23D0" w:rsidP="00CA23D0">
            <w:pPr>
              <w:pStyle w:val="Zkladntext"/>
              <w:jc w:val="both"/>
              <w:rPr>
                <w:rFonts w:ascii="Arial" w:hAnsi="Arial" w:cs="Arial"/>
              </w:rPr>
            </w:pPr>
          </w:p>
        </w:tc>
        <w:tc>
          <w:tcPr>
            <w:tcW w:w="2141" w:type="dxa"/>
            <w:vMerge/>
            <w:tcBorders>
              <w:left w:val="single" w:sz="6" w:space="0" w:color="auto"/>
              <w:bottom w:val="single" w:sz="6" w:space="0" w:color="auto"/>
              <w:right w:val="single" w:sz="6" w:space="0" w:color="auto"/>
            </w:tcBorders>
          </w:tcPr>
          <w:p w14:paraId="657BAB25" w14:textId="77777777" w:rsidR="00CA23D0" w:rsidRPr="00E30642" w:rsidRDefault="00CA23D0" w:rsidP="00CA23D0">
            <w:pPr>
              <w:pStyle w:val="Zkladntext"/>
              <w:jc w:val="both"/>
              <w:rPr>
                <w:rFonts w:ascii="Arial" w:hAnsi="Arial" w:cs="Arial"/>
              </w:rPr>
            </w:pPr>
          </w:p>
        </w:tc>
        <w:tc>
          <w:tcPr>
            <w:tcW w:w="1007" w:type="dxa"/>
            <w:vMerge/>
            <w:tcBorders>
              <w:left w:val="single" w:sz="6" w:space="0" w:color="auto"/>
              <w:bottom w:val="single" w:sz="6" w:space="0" w:color="auto"/>
              <w:right w:val="single" w:sz="6" w:space="0" w:color="auto"/>
            </w:tcBorders>
          </w:tcPr>
          <w:p w14:paraId="54618C12" w14:textId="77777777" w:rsidR="00CA23D0" w:rsidRPr="00E30642" w:rsidRDefault="00CA23D0" w:rsidP="00CA23D0">
            <w:pPr>
              <w:pStyle w:val="Zkladntext"/>
              <w:jc w:val="both"/>
              <w:rPr>
                <w:rFonts w:ascii="Arial" w:hAnsi="Arial" w:cs="Arial"/>
              </w:rPr>
            </w:pPr>
          </w:p>
        </w:tc>
        <w:tc>
          <w:tcPr>
            <w:tcW w:w="1275" w:type="dxa"/>
            <w:tcBorders>
              <w:top w:val="single" w:sz="6" w:space="0" w:color="auto"/>
              <w:left w:val="single" w:sz="6" w:space="0" w:color="auto"/>
              <w:bottom w:val="single" w:sz="6" w:space="0" w:color="auto"/>
              <w:right w:val="single" w:sz="6" w:space="0" w:color="auto"/>
            </w:tcBorders>
          </w:tcPr>
          <w:p w14:paraId="3D478261" w14:textId="77777777" w:rsidR="00CA23D0" w:rsidRPr="00E30642" w:rsidRDefault="00CA23D0" w:rsidP="00CA23D0">
            <w:pPr>
              <w:pStyle w:val="Texttabulky"/>
              <w:spacing w:line="240" w:lineRule="atLeast"/>
              <w:jc w:val="both"/>
              <w:rPr>
                <w:rFonts w:cs="Arial"/>
              </w:rPr>
            </w:pPr>
            <w:r w:rsidRPr="00E30642">
              <w:rPr>
                <w:rFonts w:cs="Arial"/>
                <w:b/>
                <w:bCs/>
              </w:rPr>
              <w:t>návrh</w:t>
            </w:r>
          </w:p>
        </w:tc>
        <w:tc>
          <w:tcPr>
            <w:tcW w:w="1277" w:type="dxa"/>
            <w:tcBorders>
              <w:top w:val="single" w:sz="6" w:space="0" w:color="auto"/>
              <w:left w:val="nil"/>
              <w:bottom w:val="single" w:sz="6" w:space="0" w:color="auto"/>
              <w:right w:val="single" w:sz="6" w:space="0" w:color="auto"/>
            </w:tcBorders>
          </w:tcPr>
          <w:p w14:paraId="7B619608" w14:textId="77777777" w:rsidR="00CA23D0" w:rsidRPr="00E30642" w:rsidRDefault="00CA23D0" w:rsidP="00CA23D0">
            <w:pPr>
              <w:pStyle w:val="Texttabulky"/>
              <w:spacing w:line="240" w:lineRule="atLeast"/>
              <w:jc w:val="both"/>
              <w:rPr>
                <w:rFonts w:cs="Arial"/>
              </w:rPr>
            </w:pPr>
            <w:r w:rsidRPr="00E30642">
              <w:rPr>
                <w:rFonts w:cs="Arial"/>
                <w:b/>
                <w:bCs/>
              </w:rPr>
              <w:t>návrh + rez.</w:t>
            </w:r>
          </w:p>
        </w:tc>
        <w:tc>
          <w:tcPr>
            <w:tcW w:w="992" w:type="dxa"/>
            <w:tcBorders>
              <w:top w:val="nil"/>
              <w:left w:val="single" w:sz="6" w:space="0" w:color="auto"/>
              <w:bottom w:val="single" w:sz="6" w:space="0" w:color="auto"/>
              <w:right w:val="single" w:sz="6" w:space="0" w:color="auto"/>
            </w:tcBorders>
          </w:tcPr>
          <w:p w14:paraId="69C5A618" w14:textId="77777777" w:rsidR="00CA23D0" w:rsidRPr="00E30642" w:rsidRDefault="00CA23D0" w:rsidP="00CA23D0">
            <w:pPr>
              <w:pStyle w:val="Zkladntext"/>
              <w:jc w:val="both"/>
              <w:rPr>
                <w:rFonts w:ascii="Arial" w:hAnsi="Arial" w:cs="Arial"/>
              </w:rPr>
            </w:pPr>
          </w:p>
        </w:tc>
        <w:tc>
          <w:tcPr>
            <w:tcW w:w="992" w:type="dxa"/>
            <w:tcBorders>
              <w:top w:val="nil"/>
              <w:left w:val="single" w:sz="6" w:space="0" w:color="auto"/>
              <w:bottom w:val="single" w:sz="6" w:space="0" w:color="auto"/>
              <w:right w:val="single" w:sz="6" w:space="0" w:color="auto"/>
            </w:tcBorders>
          </w:tcPr>
          <w:p w14:paraId="5E81C3DA" w14:textId="77777777" w:rsidR="00CA23D0" w:rsidRPr="00E30642" w:rsidRDefault="00CA23D0" w:rsidP="00CA23D0">
            <w:pPr>
              <w:pStyle w:val="Zkladntext"/>
              <w:jc w:val="both"/>
              <w:rPr>
                <w:rFonts w:ascii="Arial" w:hAnsi="Arial" w:cs="Arial"/>
              </w:rPr>
            </w:pPr>
          </w:p>
        </w:tc>
      </w:tr>
      <w:tr w:rsidR="00CA23D0" w:rsidRPr="00E30642" w14:paraId="0FFA676C" w14:textId="77777777" w:rsidTr="00CA23D0">
        <w:tc>
          <w:tcPr>
            <w:tcW w:w="709" w:type="dxa"/>
            <w:tcBorders>
              <w:top w:val="single" w:sz="6" w:space="0" w:color="auto"/>
              <w:left w:val="single" w:sz="6" w:space="0" w:color="auto"/>
              <w:bottom w:val="single" w:sz="6" w:space="0" w:color="auto"/>
              <w:right w:val="single" w:sz="6" w:space="0" w:color="auto"/>
            </w:tcBorders>
          </w:tcPr>
          <w:p w14:paraId="3EA98357" w14:textId="77777777" w:rsidR="00CA23D0" w:rsidRPr="00E30642" w:rsidRDefault="00CA23D0" w:rsidP="00CA23D0">
            <w:pPr>
              <w:pStyle w:val="Texttabulky"/>
              <w:spacing w:line="240" w:lineRule="atLeast"/>
              <w:jc w:val="both"/>
              <w:rPr>
                <w:rFonts w:cs="Arial"/>
              </w:rPr>
            </w:pPr>
            <w:r w:rsidRPr="00E30642">
              <w:rPr>
                <w:rFonts w:cs="Arial"/>
                <w:b/>
                <w:bCs/>
              </w:rPr>
              <w:t>22</w:t>
            </w:r>
          </w:p>
        </w:tc>
        <w:tc>
          <w:tcPr>
            <w:tcW w:w="2141" w:type="dxa"/>
            <w:tcBorders>
              <w:top w:val="single" w:sz="6" w:space="0" w:color="auto"/>
              <w:left w:val="single" w:sz="6" w:space="0" w:color="auto"/>
              <w:bottom w:val="single" w:sz="6" w:space="0" w:color="auto"/>
              <w:right w:val="single" w:sz="6" w:space="0" w:color="auto"/>
            </w:tcBorders>
          </w:tcPr>
          <w:p w14:paraId="08207F52" w14:textId="77777777" w:rsidR="00CA23D0" w:rsidRPr="00E30642" w:rsidRDefault="00CA23D0" w:rsidP="00CA23D0">
            <w:pPr>
              <w:pStyle w:val="Texttabulky"/>
              <w:spacing w:line="240" w:lineRule="atLeast"/>
              <w:jc w:val="both"/>
              <w:rPr>
                <w:rFonts w:cs="Arial"/>
              </w:rPr>
            </w:pPr>
            <w:r w:rsidRPr="00E30642">
              <w:rPr>
                <w:rFonts w:cs="Arial"/>
              </w:rPr>
              <w:t>Letná</w:t>
            </w:r>
          </w:p>
        </w:tc>
        <w:tc>
          <w:tcPr>
            <w:tcW w:w="1007" w:type="dxa"/>
            <w:tcBorders>
              <w:top w:val="single" w:sz="6" w:space="0" w:color="auto"/>
              <w:left w:val="single" w:sz="6" w:space="0" w:color="auto"/>
              <w:bottom w:val="single" w:sz="6" w:space="0" w:color="auto"/>
              <w:right w:val="single" w:sz="6" w:space="0" w:color="auto"/>
            </w:tcBorders>
          </w:tcPr>
          <w:p w14:paraId="61C110AE" w14:textId="77777777" w:rsidR="00CA23D0" w:rsidRPr="00E30642" w:rsidRDefault="00CA23D0" w:rsidP="00CA23D0">
            <w:pPr>
              <w:pStyle w:val="Texttabulky"/>
              <w:spacing w:line="240" w:lineRule="atLeast"/>
              <w:jc w:val="both"/>
              <w:rPr>
                <w:rFonts w:cs="Arial"/>
              </w:rPr>
            </w:pPr>
            <w:r w:rsidRPr="00E30642">
              <w:rPr>
                <w:rFonts w:cs="Arial"/>
              </w:rPr>
              <w:t>3 510</w:t>
            </w:r>
          </w:p>
        </w:tc>
        <w:tc>
          <w:tcPr>
            <w:tcW w:w="1275" w:type="dxa"/>
            <w:tcBorders>
              <w:top w:val="single" w:sz="6" w:space="0" w:color="auto"/>
              <w:left w:val="single" w:sz="6" w:space="0" w:color="auto"/>
              <w:bottom w:val="single" w:sz="6" w:space="0" w:color="auto"/>
              <w:right w:val="single" w:sz="6" w:space="0" w:color="auto"/>
            </w:tcBorders>
          </w:tcPr>
          <w:p w14:paraId="46A9BD46" w14:textId="77777777" w:rsidR="00CA23D0" w:rsidRPr="00E30642" w:rsidRDefault="00CA23D0" w:rsidP="00CA23D0">
            <w:pPr>
              <w:pStyle w:val="Texttabulky"/>
              <w:spacing w:line="240" w:lineRule="atLeast"/>
              <w:jc w:val="both"/>
              <w:rPr>
                <w:rFonts w:cs="Arial"/>
              </w:rPr>
            </w:pPr>
            <w:r w:rsidRPr="00E30642">
              <w:rPr>
                <w:rFonts w:cs="Arial"/>
              </w:rPr>
              <w:t>4 310</w:t>
            </w:r>
          </w:p>
        </w:tc>
        <w:tc>
          <w:tcPr>
            <w:tcW w:w="1277" w:type="dxa"/>
            <w:tcBorders>
              <w:top w:val="single" w:sz="6" w:space="0" w:color="auto"/>
              <w:left w:val="single" w:sz="6" w:space="0" w:color="auto"/>
              <w:bottom w:val="single" w:sz="6" w:space="0" w:color="auto"/>
              <w:right w:val="single" w:sz="6" w:space="0" w:color="auto"/>
            </w:tcBorders>
          </w:tcPr>
          <w:p w14:paraId="78CF0D01" w14:textId="77777777" w:rsidR="00CA23D0" w:rsidRPr="00E30642" w:rsidRDefault="00CA23D0" w:rsidP="00CA23D0">
            <w:pPr>
              <w:pStyle w:val="Texttabulky"/>
              <w:spacing w:line="240" w:lineRule="atLeast"/>
              <w:jc w:val="both"/>
              <w:rPr>
                <w:rFonts w:cs="Arial"/>
              </w:rPr>
            </w:pPr>
            <w:r w:rsidRPr="00E30642">
              <w:rPr>
                <w:rFonts w:cs="Arial"/>
              </w:rPr>
              <w:t>4 385</w:t>
            </w:r>
          </w:p>
        </w:tc>
        <w:tc>
          <w:tcPr>
            <w:tcW w:w="992" w:type="dxa"/>
            <w:tcBorders>
              <w:top w:val="single" w:sz="6" w:space="0" w:color="auto"/>
              <w:left w:val="single" w:sz="6" w:space="0" w:color="auto"/>
              <w:bottom w:val="single" w:sz="6" w:space="0" w:color="auto"/>
              <w:right w:val="single" w:sz="6" w:space="0" w:color="auto"/>
            </w:tcBorders>
          </w:tcPr>
          <w:p w14:paraId="3A32D2C1" w14:textId="77777777" w:rsidR="00CA23D0" w:rsidRPr="00E30642" w:rsidRDefault="00CA23D0" w:rsidP="00CA23D0">
            <w:pPr>
              <w:pStyle w:val="Texttabulky"/>
              <w:spacing w:line="240" w:lineRule="atLeast"/>
              <w:jc w:val="both"/>
              <w:rPr>
                <w:rFonts w:cs="Arial"/>
              </w:rPr>
            </w:pPr>
            <w:r w:rsidRPr="00E30642">
              <w:rPr>
                <w:rFonts w:cs="Arial"/>
              </w:rPr>
              <w:t>800</w:t>
            </w:r>
          </w:p>
        </w:tc>
        <w:tc>
          <w:tcPr>
            <w:tcW w:w="992" w:type="dxa"/>
            <w:tcBorders>
              <w:top w:val="single" w:sz="6" w:space="0" w:color="auto"/>
              <w:left w:val="single" w:sz="6" w:space="0" w:color="auto"/>
              <w:bottom w:val="single" w:sz="6" w:space="0" w:color="auto"/>
              <w:right w:val="single" w:sz="6" w:space="0" w:color="auto"/>
            </w:tcBorders>
          </w:tcPr>
          <w:p w14:paraId="4ACC0576" w14:textId="77777777" w:rsidR="00CA23D0" w:rsidRPr="00E30642" w:rsidRDefault="00CA23D0" w:rsidP="00CA23D0">
            <w:pPr>
              <w:pStyle w:val="Texttabulky"/>
              <w:spacing w:line="240" w:lineRule="atLeast"/>
              <w:jc w:val="both"/>
              <w:rPr>
                <w:rFonts w:cs="Arial"/>
              </w:rPr>
            </w:pPr>
            <w:r w:rsidRPr="00E30642">
              <w:rPr>
                <w:rFonts w:cs="Arial"/>
              </w:rPr>
              <w:t>875</w:t>
            </w:r>
          </w:p>
        </w:tc>
      </w:tr>
      <w:tr w:rsidR="00CA23D0" w:rsidRPr="00E30642" w14:paraId="78E34AA0" w14:textId="77777777" w:rsidTr="00CA23D0">
        <w:tc>
          <w:tcPr>
            <w:tcW w:w="709" w:type="dxa"/>
            <w:tcBorders>
              <w:top w:val="single" w:sz="6" w:space="0" w:color="auto"/>
              <w:left w:val="single" w:sz="6" w:space="0" w:color="auto"/>
              <w:bottom w:val="single" w:sz="6" w:space="0" w:color="auto"/>
              <w:right w:val="single" w:sz="6" w:space="0" w:color="auto"/>
            </w:tcBorders>
          </w:tcPr>
          <w:p w14:paraId="145E4EC3" w14:textId="77777777" w:rsidR="00CA23D0" w:rsidRPr="00E30642" w:rsidRDefault="00CA23D0" w:rsidP="00CA23D0">
            <w:pPr>
              <w:pStyle w:val="Texttabulky"/>
              <w:spacing w:line="240" w:lineRule="atLeast"/>
              <w:jc w:val="both"/>
              <w:rPr>
                <w:rFonts w:cs="Arial"/>
              </w:rPr>
            </w:pPr>
            <w:r w:rsidRPr="00E30642">
              <w:rPr>
                <w:rFonts w:cs="Arial"/>
                <w:b/>
                <w:bCs/>
              </w:rPr>
              <w:t>4</w:t>
            </w:r>
          </w:p>
        </w:tc>
        <w:tc>
          <w:tcPr>
            <w:tcW w:w="2141" w:type="dxa"/>
            <w:tcBorders>
              <w:top w:val="single" w:sz="6" w:space="0" w:color="auto"/>
              <w:left w:val="single" w:sz="6" w:space="0" w:color="auto"/>
              <w:bottom w:val="single" w:sz="6" w:space="0" w:color="auto"/>
              <w:right w:val="single" w:sz="6" w:space="0" w:color="auto"/>
            </w:tcBorders>
          </w:tcPr>
          <w:p w14:paraId="01004EFC" w14:textId="77777777" w:rsidR="00CA23D0" w:rsidRPr="00E30642" w:rsidRDefault="00CA23D0" w:rsidP="00CA23D0">
            <w:pPr>
              <w:pStyle w:val="Texttabulky"/>
              <w:spacing w:line="240" w:lineRule="atLeast"/>
              <w:jc w:val="both"/>
              <w:rPr>
                <w:rFonts w:cs="Arial"/>
              </w:rPr>
            </w:pPr>
            <w:r w:rsidRPr="00E30642">
              <w:rPr>
                <w:rFonts w:cs="Arial"/>
              </w:rPr>
              <w:t>Nemocnice</w:t>
            </w:r>
          </w:p>
        </w:tc>
        <w:tc>
          <w:tcPr>
            <w:tcW w:w="1007" w:type="dxa"/>
            <w:tcBorders>
              <w:top w:val="single" w:sz="6" w:space="0" w:color="auto"/>
              <w:left w:val="single" w:sz="6" w:space="0" w:color="auto"/>
              <w:bottom w:val="single" w:sz="6" w:space="0" w:color="auto"/>
              <w:right w:val="single" w:sz="6" w:space="0" w:color="auto"/>
            </w:tcBorders>
          </w:tcPr>
          <w:p w14:paraId="03E2B93F"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2BE952FF" w14:textId="77777777" w:rsidR="00CA23D0" w:rsidRPr="00E30642" w:rsidRDefault="00CA23D0" w:rsidP="00CA23D0">
            <w:pPr>
              <w:pStyle w:val="Texttabulky"/>
              <w:spacing w:line="240" w:lineRule="atLeast"/>
              <w:jc w:val="both"/>
              <w:rPr>
                <w:rFonts w:cs="Arial"/>
              </w:rPr>
            </w:pPr>
            <w:r w:rsidRPr="00E30642">
              <w:rPr>
                <w:rFonts w:cs="Arial"/>
              </w:rPr>
              <w:t>355</w:t>
            </w:r>
          </w:p>
        </w:tc>
        <w:tc>
          <w:tcPr>
            <w:tcW w:w="1277" w:type="dxa"/>
            <w:tcBorders>
              <w:top w:val="single" w:sz="6" w:space="0" w:color="auto"/>
              <w:left w:val="single" w:sz="6" w:space="0" w:color="auto"/>
              <w:bottom w:val="single" w:sz="6" w:space="0" w:color="auto"/>
              <w:right w:val="single" w:sz="6" w:space="0" w:color="auto"/>
            </w:tcBorders>
          </w:tcPr>
          <w:p w14:paraId="3121CCF3" w14:textId="77777777" w:rsidR="00CA23D0" w:rsidRPr="00E30642" w:rsidRDefault="00CA23D0" w:rsidP="00CA23D0">
            <w:pPr>
              <w:pStyle w:val="Texttabulky"/>
              <w:spacing w:line="240" w:lineRule="atLeast"/>
              <w:jc w:val="both"/>
              <w:rPr>
                <w:rFonts w:cs="Arial"/>
              </w:rPr>
            </w:pPr>
            <w:r w:rsidRPr="00E30642">
              <w:rPr>
                <w:rFonts w:cs="Arial"/>
              </w:rPr>
              <w:t>355</w:t>
            </w:r>
          </w:p>
        </w:tc>
        <w:tc>
          <w:tcPr>
            <w:tcW w:w="992" w:type="dxa"/>
            <w:tcBorders>
              <w:top w:val="single" w:sz="6" w:space="0" w:color="auto"/>
              <w:left w:val="single" w:sz="6" w:space="0" w:color="auto"/>
              <w:bottom w:val="single" w:sz="6" w:space="0" w:color="auto"/>
              <w:right w:val="single" w:sz="6" w:space="0" w:color="auto"/>
            </w:tcBorders>
          </w:tcPr>
          <w:p w14:paraId="78C04554" w14:textId="77777777" w:rsidR="00CA23D0" w:rsidRPr="00E30642" w:rsidRDefault="00CA23D0" w:rsidP="00CA23D0">
            <w:pPr>
              <w:pStyle w:val="Texttabulky"/>
              <w:spacing w:line="240" w:lineRule="atLeast"/>
              <w:jc w:val="both"/>
              <w:rPr>
                <w:rFonts w:cs="Arial"/>
              </w:rPr>
            </w:pPr>
            <w:r w:rsidRPr="00E30642">
              <w:rPr>
                <w:rFonts w:cs="Arial"/>
              </w:rPr>
              <w:t>355</w:t>
            </w:r>
          </w:p>
        </w:tc>
        <w:tc>
          <w:tcPr>
            <w:tcW w:w="992" w:type="dxa"/>
            <w:tcBorders>
              <w:top w:val="single" w:sz="6" w:space="0" w:color="auto"/>
              <w:left w:val="single" w:sz="6" w:space="0" w:color="auto"/>
              <w:bottom w:val="single" w:sz="6" w:space="0" w:color="auto"/>
              <w:right w:val="single" w:sz="6" w:space="0" w:color="auto"/>
            </w:tcBorders>
          </w:tcPr>
          <w:p w14:paraId="03308ECF" w14:textId="77777777" w:rsidR="00CA23D0" w:rsidRPr="00E30642" w:rsidRDefault="00CA23D0" w:rsidP="00CA23D0">
            <w:pPr>
              <w:pStyle w:val="Texttabulky"/>
              <w:spacing w:line="240" w:lineRule="atLeast"/>
              <w:jc w:val="both"/>
              <w:rPr>
                <w:rFonts w:cs="Arial"/>
              </w:rPr>
            </w:pPr>
            <w:r w:rsidRPr="00E30642">
              <w:rPr>
                <w:rFonts w:cs="Arial"/>
              </w:rPr>
              <w:t>355</w:t>
            </w:r>
          </w:p>
        </w:tc>
      </w:tr>
      <w:tr w:rsidR="00CA23D0" w:rsidRPr="00E30642" w14:paraId="7DE4EDB6" w14:textId="77777777" w:rsidTr="00CA23D0">
        <w:tc>
          <w:tcPr>
            <w:tcW w:w="709" w:type="dxa"/>
            <w:tcBorders>
              <w:top w:val="single" w:sz="6" w:space="0" w:color="auto"/>
              <w:left w:val="single" w:sz="6" w:space="0" w:color="auto"/>
              <w:bottom w:val="single" w:sz="6" w:space="0" w:color="auto"/>
              <w:right w:val="single" w:sz="6" w:space="0" w:color="auto"/>
            </w:tcBorders>
          </w:tcPr>
          <w:p w14:paraId="42B2DB81" w14:textId="77777777" w:rsidR="00CA23D0" w:rsidRPr="00E30642" w:rsidRDefault="00CA23D0" w:rsidP="00CA23D0">
            <w:pPr>
              <w:pStyle w:val="Texttabulky"/>
              <w:spacing w:line="240" w:lineRule="atLeast"/>
              <w:jc w:val="both"/>
              <w:rPr>
                <w:rFonts w:cs="Arial"/>
              </w:rPr>
            </w:pPr>
            <w:r w:rsidRPr="00E30642">
              <w:rPr>
                <w:rFonts w:cs="Arial"/>
                <w:b/>
                <w:bCs/>
              </w:rPr>
              <w:t>1</w:t>
            </w:r>
          </w:p>
        </w:tc>
        <w:tc>
          <w:tcPr>
            <w:tcW w:w="2141" w:type="dxa"/>
            <w:tcBorders>
              <w:top w:val="single" w:sz="6" w:space="0" w:color="auto"/>
              <w:left w:val="single" w:sz="6" w:space="0" w:color="auto"/>
              <w:bottom w:val="single" w:sz="6" w:space="0" w:color="auto"/>
              <w:right w:val="single" w:sz="6" w:space="0" w:color="auto"/>
            </w:tcBorders>
          </w:tcPr>
          <w:p w14:paraId="629BCCB0" w14:textId="77777777" w:rsidR="00CA23D0" w:rsidRPr="00E30642" w:rsidRDefault="00CA23D0" w:rsidP="00CA23D0">
            <w:pPr>
              <w:pStyle w:val="Texttabulky"/>
              <w:spacing w:line="240" w:lineRule="atLeast"/>
              <w:jc w:val="both"/>
              <w:rPr>
                <w:rFonts w:cs="Arial"/>
              </w:rPr>
            </w:pPr>
            <w:r w:rsidRPr="00E30642">
              <w:rPr>
                <w:rFonts w:cs="Arial"/>
              </w:rPr>
              <w:t>Děčín-střed</w:t>
            </w:r>
          </w:p>
        </w:tc>
        <w:tc>
          <w:tcPr>
            <w:tcW w:w="1007" w:type="dxa"/>
            <w:tcBorders>
              <w:top w:val="single" w:sz="6" w:space="0" w:color="auto"/>
              <w:left w:val="single" w:sz="6" w:space="0" w:color="auto"/>
              <w:bottom w:val="single" w:sz="6" w:space="0" w:color="auto"/>
              <w:right w:val="single" w:sz="6" w:space="0" w:color="auto"/>
            </w:tcBorders>
          </w:tcPr>
          <w:p w14:paraId="0E085A33" w14:textId="77777777" w:rsidR="00CA23D0" w:rsidRPr="00E30642" w:rsidRDefault="00CA23D0" w:rsidP="00CA23D0">
            <w:pPr>
              <w:pStyle w:val="Texttabulky"/>
              <w:spacing w:line="240" w:lineRule="atLeast"/>
              <w:jc w:val="both"/>
              <w:rPr>
                <w:rFonts w:cs="Arial"/>
              </w:rPr>
            </w:pPr>
            <w:r w:rsidRPr="00E30642">
              <w:rPr>
                <w:rFonts w:cs="Arial"/>
              </w:rPr>
              <w:t>5 443</w:t>
            </w:r>
          </w:p>
        </w:tc>
        <w:tc>
          <w:tcPr>
            <w:tcW w:w="1275" w:type="dxa"/>
            <w:tcBorders>
              <w:top w:val="single" w:sz="6" w:space="0" w:color="auto"/>
              <w:left w:val="single" w:sz="6" w:space="0" w:color="auto"/>
              <w:bottom w:val="single" w:sz="6" w:space="0" w:color="auto"/>
              <w:right w:val="single" w:sz="6" w:space="0" w:color="auto"/>
            </w:tcBorders>
          </w:tcPr>
          <w:p w14:paraId="71791D55" w14:textId="77777777" w:rsidR="00CA23D0" w:rsidRPr="00E30642" w:rsidRDefault="00CA23D0" w:rsidP="00CA23D0">
            <w:pPr>
              <w:pStyle w:val="Texttabulky"/>
              <w:spacing w:line="240" w:lineRule="atLeast"/>
              <w:jc w:val="both"/>
              <w:rPr>
                <w:rFonts w:cs="Arial"/>
              </w:rPr>
            </w:pPr>
            <w:r w:rsidRPr="00E30642">
              <w:rPr>
                <w:rFonts w:cs="Arial"/>
              </w:rPr>
              <w:t>5 695</w:t>
            </w:r>
          </w:p>
        </w:tc>
        <w:tc>
          <w:tcPr>
            <w:tcW w:w="1277" w:type="dxa"/>
            <w:tcBorders>
              <w:top w:val="single" w:sz="6" w:space="0" w:color="auto"/>
              <w:left w:val="single" w:sz="6" w:space="0" w:color="auto"/>
              <w:bottom w:val="single" w:sz="6" w:space="0" w:color="auto"/>
              <w:right w:val="single" w:sz="6" w:space="0" w:color="auto"/>
            </w:tcBorders>
          </w:tcPr>
          <w:p w14:paraId="4E6738AB" w14:textId="77777777" w:rsidR="00CA23D0" w:rsidRPr="00E30642" w:rsidRDefault="00CA23D0" w:rsidP="00CA23D0">
            <w:pPr>
              <w:pStyle w:val="Texttabulky"/>
              <w:spacing w:line="240" w:lineRule="atLeast"/>
              <w:jc w:val="both"/>
              <w:rPr>
                <w:rFonts w:cs="Arial"/>
              </w:rPr>
            </w:pPr>
            <w:r w:rsidRPr="00E30642">
              <w:rPr>
                <w:rFonts w:cs="Arial"/>
              </w:rPr>
              <w:t>5 815</w:t>
            </w:r>
          </w:p>
        </w:tc>
        <w:tc>
          <w:tcPr>
            <w:tcW w:w="992" w:type="dxa"/>
            <w:tcBorders>
              <w:top w:val="single" w:sz="6" w:space="0" w:color="auto"/>
              <w:left w:val="single" w:sz="6" w:space="0" w:color="auto"/>
              <w:bottom w:val="single" w:sz="6" w:space="0" w:color="auto"/>
              <w:right w:val="single" w:sz="6" w:space="0" w:color="auto"/>
            </w:tcBorders>
          </w:tcPr>
          <w:p w14:paraId="68F5DC73" w14:textId="77777777" w:rsidR="00CA23D0" w:rsidRPr="00E30642" w:rsidRDefault="00CA23D0" w:rsidP="00CA23D0">
            <w:pPr>
              <w:pStyle w:val="Texttabulky"/>
              <w:spacing w:line="240" w:lineRule="atLeast"/>
              <w:jc w:val="both"/>
              <w:rPr>
                <w:rFonts w:cs="Arial"/>
              </w:rPr>
            </w:pPr>
            <w:r w:rsidRPr="00E30642">
              <w:rPr>
                <w:rFonts w:cs="Arial"/>
              </w:rPr>
              <w:t>252</w:t>
            </w:r>
          </w:p>
        </w:tc>
        <w:tc>
          <w:tcPr>
            <w:tcW w:w="992" w:type="dxa"/>
            <w:tcBorders>
              <w:top w:val="single" w:sz="6" w:space="0" w:color="auto"/>
              <w:left w:val="single" w:sz="6" w:space="0" w:color="auto"/>
              <w:bottom w:val="single" w:sz="6" w:space="0" w:color="auto"/>
              <w:right w:val="single" w:sz="6" w:space="0" w:color="auto"/>
            </w:tcBorders>
          </w:tcPr>
          <w:p w14:paraId="3B1709EF" w14:textId="77777777" w:rsidR="00CA23D0" w:rsidRPr="00E30642" w:rsidRDefault="00CA23D0" w:rsidP="00CA23D0">
            <w:pPr>
              <w:pStyle w:val="Texttabulky"/>
              <w:spacing w:line="240" w:lineRule="atLeast"/>
              <w:jc w:val="both"/>
              <w:rPr>
                <w:rFonts w:cs="Arial"/>
              </w:rPr>
            </w:pPr>
            <w:r w:rsidRPr="00E30642">
              <w:rPr>
                <w:rFonts w:cs="Arial"/>
              </w:rPr>
              <w:t>372</w:t>
            </w:r>
          </w:p>
        </w:tc>
      </w:tr>
      <w:tr w:rsidR="00CA23D0" w:rsidRPr="00E30642" w14:paraId="33E797BF" w14:textId="77777777" w:rsidTr="00CA23D0">
        <w:tc>
          <w:tcPr>
            <w:tcW w:w="709" w:type="dxa"/>
            <w:tcBorders>
              <w:top w:val="single" w:sz="6" w:space="0" w:color="auto"/>
              <w:left w:val="single" w:sz="6" w:space="0" w:color="auto"/>
              <w:bottom w:val="single" w:sz="6" w:space="0" w:color="auto"/>
              <w:right w:val="single" w:sz="6" w:space="0" w:color="auto"/>
            </w:tcBorders>
          </w:tcPr>
          <w:p w14:paraId="528061CB" w14:textId="77777777" w:rsidR="00CA23D0" w:rsidRPr="00E30642" w:rsidRDefault="00CA23D0" w:rsidP="00CA23D0">
            <w:pPr>
              <w:pStyle w:val="Texttabulky"/>
              <w:spacing w:line="240" w:lineRule="atLeast"/>
              <w:jc w:val="both"/>
              <w:rPr>
                <w:rFonts w:cs="Arial"/>
              </w:rPr>
            </w:pPr>
            <w:r w:rsidRPr="00E30642">
              <w:rPr>
                <w:rFonts w:cs="Arial"/>
                <w:b/>
                <w:bCs/>
              </w:rPr>
              <w:t>29</w:t>
            </w:r>
          </w:p>
        </w:tc>
        <w:tc>
          <w:tcPr>
            <w:tcW w:w="2141" w:type="dxa"/>
            <w:tcBorders>
              <w:top w:val="single" w:sz="6" w:space="0" w:color="auto"/>
              <w:left w:val="single" w:sz="6" w:space="0" w:color="auto"/>
              <w:bottom w:val="single" w:sz="6" w:space="0" w:color="auto"/>
              <w:right w:val="single" w:sz="6" w:space="0" w:color="auto"/>
            </w:tcBorders>
          </w:tcPr>
          <w:p w14:paraId="22347A32" w14:textId="77777777" w:rsidR="00CA23D0" w:rsidRPr="00E30642" w:rsidRDefault="00CA23D0" w:rsidP="00CA23D0">
            <w:pPr>
              <w:pStyle w:val="Texttabulky"/>
              <w:spacing w:line="240" w:lineRule="atLeast"/>
              <w:jc w:val="both"/>
              <w:rPr>
                <w:rFonts w:cs="Arial"/>
              </w:rPr>
            </w:pPr>
            <w:r w:rsidRPr="00E30642">
              <w:rPr>
                <w:rFonts w:cs="Arial"/>
              </w:rPr>
              <w:t>Žlíbek</w:t>
            </w:r>
          </w:p>
        </w:tc>
        <w:tc>
          <w:tcPr>
            <w:tcW w:w="1007" w:type="dxa"/>
            <w:tcBorders>
              <w:top w:val="single" w:sz="6" w:space="0" w:color="auto"/>
              <w:left w:val="single" w:sz="6" w:space="0" w:color="auto"/>
              <w:bottom w:val="single" w:sz="6" w:space="0" w:color="auto"/>
              <w:right w:val="single" w:sz="6" w:space="0" w:color="auto"/>
            </w:tcBorders>
          </w:tcPr>
          <w:p w14:paraId="524094A6" w14:textId="77777777" w:rsidR="00CA23D0" w:rsidRPr="00E30642" w:rsidRDefault="00CA23D0" w:rsidP="00CA23D0">
            <w:pPr>
              <w:pStyle w:val="Texttabulky"/>
              <w:spacing w:line="240" w:lineRule="atLeast"/>
              <w:jc w:val="both"/>
              <w:rPr>
                <w:rFonts w:cs="Arial"/>
              </w:rPr>
            </w:pPr>
            <w:r w:rsidRPr="00E30642">
              <w:rPr>
                <w:rFonts w:cs="Arial"/>
              </w:rPr>
              <w:t>391</w:t>
            </w:r>
          </w:p>
        </w:tc>
        <w:tc>
          <w:tcPr>
            <w:tcW w:w="1275" w:type="dxa"/>
            <w:tcBorders>
              <w:top w:val="single" w:sz="6" w:space="0" w:color="auto"/>
              <w:left w:val="single" w:sz="6" w:space="0" w:color="auto"/>
              <w:bottom w:val="single" w:sz="6" w:space="0" w:color="auto"/>
              <w:right w:val="single" w:sz="6" w:space="0" w:color="auto"/>
            </w:tcBorders>
          </w:tcPr>
          <w:p w14:paraId="12937EE5" w14:textId="77777777" w:rsidR="00CA23D0" w:rsidRPr="00E30642" w:rsidRDefault="00CA23D0" w:rsidP="00CA23D0">
            <w:pPr>
              <w:pStyle w:val="Texttabulky"/>
              <w:spacing w:line="240" w:lineRule="atLeast"/>
              <w:jc w:val="both"/>
              <w:rPr>
                <w:rFonts w:cs="Arial"/>
              </w:rPr>
            </w:pPr>
            <w:r w:rsidRPr="00E30642">
              <w:rPr>
                <w:rFonts w:cs="Arial"/>
              </w:rPr>
              <w:t>635</w:t>
            </w:r>
          </w:p>
        </w:tc>
        <w:tc>
          <w:tcPr>
            <w:tcW w:w="1277" w:type="dxa"/>
            <w:tcBorders>
              <w:top w:val="single" w:sz="6" w:space="0" w:color="auto"/>
              <w:left w:val="single" w:sz="6" w:space="0" w:color="auto"/>
              <w:bottom w:val="single" w:sz="6" w:space="0" w:color="auto"/>
              <w:right w:val="single" w:sz="6" w:space="0" w:color="auto"/>
            </w:tcBorders>
          </w:tcPr>
          <w:p w14:paraId="3F77E1D2" w14:textId="77777777" w:rsidR="00CA23D0" w:rsidRPr="00E30642" w:rsidRDefault="00CA23D0" w:rsidP="00CA23D0">
            <w:pPr>
              <w:pStyle w:val="Texttabulky"/>
              <w:spacing w:line="240" w:lineRule="atLeast"/>
              <w:jc w:val="both"/>
              <w:rPr>
                <w:rFonts w:cs="Arial"/>
              </w:rPr>
            </w:pPr>
            <w:r w:rsidRPr="00E30642">
              <w:rPr>
                <w:rFonts w:cs="Arial"/>
              </w:rPr>
              <w:t>635</w:t>
            </w:r>
          </w:p>
        </w:tc>
        <w:tc>
          <w:tcPr>
            <w:tcW w:w="992" w:type="dxa"/>
            <w:tcBorders>
              <w:top w:val="single" w:sz="6" w:space="0" w:color="auto"/>
              <w:left w:val="single" w:sz="6" w:space="0" w:color="auto"/>
              <w:bottom w:val="single" w:sz="6" w:space="0" w:color="auto"/>
              <w:right w:val="single" w:sz="6" w:space="0" w:color="auto"/>
            </w:tcBorders>
          </w:tcPr>
          <w:p w14:paraId="751F0BD4" w14:textId="77777777" w:rsidR="00CA23D0" w:rsidRPr="00E30642" w:rsidRDefault="00CA23D0" w:rsidP="00CA23D0">
            <w:pPr>
              <w:pStyle w:val="Texttabulky"/>
              <w:spacing w:line="240" w:lineRule="atLeast"/>
              <w:jc w:val="both"/>
              <w:rPr>
                <w:rFonts w:cs="Arial"/>
              </w:rPr>
            </w:pPr>
            <w:r w:rsidRPr="00E30642">
              <w:rPr>
                <w:rFonts w:cs="Arial"/>
              </w:rPr>
              <w:t>244</w:t>
            </w:r>
          </w:p>
        </w:tc>
        <w:tc>
          <w:tcPr>
            <w:tcW w:w="992" w:type="dxa"/>
            <w:tcBorders>
              <w:top w:val="single" w:sz="6" w:space="0" w:color="auto"/>
              <w:left w:val="single" w:sz="6" w:space="0" w:color="auto"/>
              <w:bottom w:val="single" w:sz="6" w:space="0" w:color="auto"/>
              <w:right w:val="single" w:sz="6" w:space="0" w:color="auto"/>
            </w:tcBorders>
          </w:tcPr>
          <w:p w14:paraId="4315BC5A" w14:textId="77777777" w:rsidR="00CA23D0" w:rsidRPr="00E30642" w:rsidRDefault="00CA23D0" w:rsidP="00CA23D0">
            <w:pPr>
              <w:pStyle w:val="Texttabulky"/>
              <w:spacing w:line="240" w:lineRule="atLeast"/>
              <w:jc w:val="both"/>
              <w:rPr>
                <w:rFonts w:cs="Arial"/>
              </w:rPr>
            </w:pPr>
            <w:r w:rsidRPr="00E30642">
              <w:rPr>
                <w:rFonts w:cs="Arial"/>
              </w:rPr>
              <w:t>244</w:t>
            </w:r>
          </w:p>
        </w:tc>
      </w:tr>
      <w:tr w:rsidR="00CA23D0" w:rsidRPr="00E30642" w14:paraId="5CBF7FF2" w14:textId="77777777" w:rsidTr="00CA23D0">
        <w:tc>
          <w:tcPr>
            <w:tcW w:w="709" w:type="dxa"/>
            <w:tcBorders>
              <w:top w:val="single" w:sz="6" w:space="0" w:color="auto"/>
              <w:left w:val="single" w:sz="6" w:space="0" w:color="auto"/>
              <w:bottom w:val="single" w:sz="6" w:space="0" w:color="auto"/>
              <w:right w:val="single" w:sz="6" w:space="0" w:color="auto"/>
            </w:tcBorders>
          </w:tcPr>
          <w:p w14:paraId="56B54610" w14:textId="77777777" w:rsidR="00CA23D0" w:rsidRPr="00E30642" w:rsidRDefault="00CA23D0" w:rsidP="00CA23D0">
            <w:pPr>
              <w:pStyle w:val="Texttabulky"/>
              <w:spacing w:line="240" w:lineRule="atLeast"/>
              <w:jc w:val="both"/>
              <w:rPr>
                <w:rFonts w:cs="Arial"/>
              </w:rPr>
            </w:pPr>
            <w:r w:rsidRPr="00E30642">
              <w:rPr>
                <w:rFonts w:cs="Arial"/>
                <w:b/>
                <w:bCs/>
              </w:rPr>
              <w:t>52</w:t>
            </w:r>
          </w:p>
        </w:tc>
        <w:tc>
          <w:tcPr>
            <w:tcW w:w="2141" w:type="dxa"/>
            <w:tcBorders>
              <w:top w:val="single" w:sz="6" w:space="0" w:color="auto"/>
              <w:left w:val="single" w:sz="6" w:space="0" w:color="auto"/>
              <w:bottom w:val="single" w:sz="6" w:space="0" w:color="auto"/>
              <w:right w:val="single" w:sz="6" w:space="0" w:color="auto"/>
            </w:tcBorders>
          </w:tcPr>
          <w:p w14:paraId="034DBF30" w14:textId="77777777" w:rsidR="00CA23D0" w:rsidRPr="00E30642" w:rsidRDefault="00CA23D0" w:rsidP="00CA23D0">
            <w:pPr>
              <w:pStyle w:val="Texttabulky"/>
              <w:spacing w:line="240" w:lineRule="atLeast"/>
              <w:jc w:val="both"/>
              <w:rPr>
                <w:rFonts w:cs="Arial"/>
              </w:rPr>
            </w:pPr>
            <w:r w:rsidRPr="00E30642">
              <w:rPr>
                <w:rFonts w:cs="Arial"/>
              </w:rPr>
              <w:t>Boletice nad Labem</w:t>
            </w:r>
          </w:p>
        </w:tc>
        <w:tc>
          <w:tcPr>
            <w:tcW w:w="1007" w:type="dxa"/>
            <w:tcBorders>
              <w:top w:val="single" w:sz="6" w:space="0" w:color="auto"/>
              <w:left w:val="single" w:sz="6" w:space="0" w:color="auto"/>
              <w:bottom w:val="single" w:sz="6" w:space="0" w:color="auto"/>
              <w:right w:val="single" w:sz="6" w:space="0" w:color="auto"/>
            </w:tcBorders>
          </w:tcPr>
          <w:p w14:paraId="58AC5314" w14:textId="77777777" w:rsidR="00CA23D0" w:rsidRPr="00E30642" w:rsidRDefault="00CA23D0" w:rsidP="00CA23D0">
            <w:pPr>
              <w:pStyle w:val="Texttabulky"/>
              <w:spacing w:line="240" w:lineRule="atLeast"/>
              <w:jc w:val="both"/>
              <w:rPr>
                <w:rFonts w:cs="Arial"/>
              </w:rPr>
            </w:pPr>
            <w:r w:rsidRPr="00E30642">
              <w:rPr>
                <w:rFonts w:cs="Arial"/>
              </w:rPr>
              <w:t>5 238</w:t>
            </w:r>
          </w:p>
        </w:tc>
        <w:tc>
          <w:tcPr>
            <w:tcW w:w="1275" w:type="dxa"/>
            <w:tcBorders>
              <w:top w:val="single" w:sz="6" w:space="0" w:color="auto"/>
              <w:left w:val="single" w:sz="6" w:space="0" w:color="auto"/>
              <w:bottom w:val="single" w:sz="6" w:space="0" w:color="auto"/>
              <w:right w:val="single" w:sz="6" w:space="0" w:color="auto"/>
            </w:tcBorders>
          </w:tcPr>
          <w:p w14:paraId="65FBFA69" w14:textId="77777777" w:rsidR="00CA23D0" w:rsidRPr="00E30642" w:rsidRDefault="00CA23D0" w:rsidP="00CA23D0">
            <w:pPr>
              <w:pStyle w:val="Texttabulky"/>
              <w:spacing w:line="240" w:lineRule="atLeast"/>
              <w:jc w:val="both"/>
              <w:rPr>
                <w:rFonts w:cs="Arial"/>
              </w:rPr>
            </w:pPr>
            <w:r w:rsidRPr="00E30642">
              <w:rPr>
                <w:rFonts w:cs="Arial"/>
              </w:rPr>
              <w:t>5 400</w:t>
            </w:r>
          </w:p>
        </w:tc>
        <w:tc>
          <w:tcPr>
            <w:tcW w:w="1277" w:type="dxa"/>
            <w:tcBorders>
              <w:top w:val="single" w:sz="6" w:space="0" w:color="auto"/>
              <w:left w:val="single" w:sz="6" w:space="0" w:color="auto"/>
              <w:bottom w:val="single" w:sz="6" w:space="0" w:color="auto"/>
              <w:right w:val="single" w:sz="6" w:space="0" w:color="auto"/>
            </w:tcBorders>
          </w:tcPr>
          <w:p w14:paraId="0EC27E51" w14:textId="77777777" w:rsidR="00CA23D0" w:rsidRPr="00E30642" w:rsidRDefault="00CA23D0" w:rsidP="00CA23D0">
            <w:pPr>
              <w:pStyle w:val="Texttabulky"/>
              <w:spacing w:line="240" w:lineRule="atLeast"/>
              <w:jc w:val="both"/>
              <w:rPr>
                <w:rFonts w:cs="Arial"/>
              </w:rPr>
            </w:pPr>
            <w:r w:rsidRPr="00E30642">
              <w:rPr>
                <w:rFonts w:cs="Arial"/>
              </w:rPr>
              <w:t>5 565</w:t>
            </w:r>
          </w:p>
        </w:tc>
        <w:tc>
          <w:tcPr>
            <w:tcW w:w="992" w:type="dxa"/>
            <w:tcBorders>
              <w:top w:val="single" w:sz="6" w:space="0" w:color="auto"/>
              <w:left w:val="single" w:sz="6" w:space="0" w:color="auto"/>
              <w:bottom w:val="single" w:sz="6" w:space="0" w:color="auto"/>
              <w:right w:val="single" w:sz="6" w:space="0" w:color="auto"/>
            </w:tcBorders>
          </w:tcPr>
          <w:p w14:paraId="567499AE" w14:textId="77777777" w:rsidR="00CA23D0" w:rsidRPr="00E30642" w:rsidRDefault="00CA23D0" w:rsidP="00CA23D0">
            <w:pPr>
              <w:pStyle w:val="Texttabulky"/>
              <w:spacing w:line="240" w:lineRule="atLeast"/>
              <w:jc w:val="both"/>
              <w:rPr>
                <w:rFonts w:cs="Arial"/>
              </w:rPr>
            </w:pPr>
            <w:r w:rsidRPr="00E30642">
              <w:rPr>
                <w:rFonts w:cs="Arial"/>
              </w:rPr>
              <w:t>162</w:t>
            </w:r>
          </w:p>
        </w:tc>
        <w:tc>
          <w:tcPr>
            <w:tcW w:w="992" w:type="dxa"/>
            <w:tcBorders>
              <w:top w:val="single" w:sz="6" w:space="0" w:color="auto"/>
              <w:left w:val="single" w:sz="6" w:space="0" w:color="auto"/>
              <w:bottom w:val="single" w:sz="6" w:space="0" w:color="auto"/>
              <w:right w:val="single" w:sz="6" w:space="0" w:color="auto"/>
            </w:tcBorders>
          </w:tcPr>
          <w:p w14:paraId="52388126" w14:textId="77777777" w:rsidR="00CA23D0" w:rsidRPr="00E30642" w:rsidRDefault="00CA23D0" w:rsidP="00CA23D0">
            <w:pPr>
              <w:pStyle w:val="Texttabulky"/>
              <w:spacing w:line="240" w:lineRule="atLeast"/>
              <w:jc w:val="both"/>
              <w:rPr>
                <w:rFonts w:cs="Arial"/>
              </w:rPr>
            </w:pPr>
            <w:r w:rsidRPr="00E30642">
              <w:rPr>
                <w:rFonts w:cs="Arial"/>
              </w:rPr>
              <w:t>327</w:t>
            </w:r>
          </w:p>
        </w:tc>
      </w:tr>
      <w:tr w:rsidR="00CA23D0" w:rsidRPr="00E30642" w14:paraId="37EEF752" w14:textId="77777777" w:rsidTr="00CA23D0">
        <w:tc>
          <w:tcPr>
            <w:tcW w:w="709" w:type="dxa"/>
            <w:tcBorders>
              <w:top w:val="single" w:sz="6" w:space="0" w:color="auto"/>
              <w:left w:val="single" w:sz="6" w:space="0" w:color="auto"/>
              <w:bottom w:val="single" w:sz="6" w:space="0" w:color="auto"/>
              <w:right w:val="single" w:sz="6" w:space="0" w:color="auto"/>
            </w:tcBorders>
          </w:tcPr>
          <w:p w14:paraId="399C4B65" w14:textId="77777777" w:rsidR="00CA23D0" w:rsidRPr="00E30642" w:rsidRDefault="00CA23D0" w:rsidP="00CA23D0">
            <w:pPr>
              <w:pStyle w:val="Texttabulky"/>
              <w:spacing w:line="240" w:lineRule="atLeast"/>
              <w:jc w:val="both"/>
              <w:rPr>
                <w:rFonts w:cs="Arial"/>
              </w:rPr>
            </w:pPr>
            <w:r w:rsidRPr="00E30642">
              <w:rPr>
                <w:rFonts w:cs="Arial"/>
                <w:b/>
                <w:bCs/>
              </w:rPr>
              <w:t>7</w:t>
            </w:r>
          </w:p>
        </w:tc>
        <w:tc>
          <w:tcPr>
            <w:tcW w:w="2141" w:type="dxa"/>
            <w:tcBorders>
              <w:top w:val="single" w:sz="6" w:space="0" w:color="auto"/>
              <w:left w:val="single" w:sz="6" w:space="0" w:color="auto"/>
              <w:bottom w:val="single" w:sz="6" w:space="0" w:color="auto"/>
              <w:right w:val="single" w:sz="6" w:space="0" w:color="auto"/>
            </w:tcBorders>
          </w:tcPr>
          <w:p w14:paraId="3C052B6C" w14:textId="77777777" w:rsidR="00CA23D0" w:rsidRPr="00E30642" w:rsidRDefault="00CA23D0" w:rsidP="00CA23D0">
            <w:pPr>
              <w:pStyle w:val="Texttabulky"/>
              <w:spacing w:line="240" w:lineRule="atLeast"/>
              <w:jc w:val="both"/>
              <w:rPr>
                <w:rFonts w:cs="Arial"/>
              </w:rPr>
            </w:pPr>
            <w:r w:rsidRPr="00E30642">
              <w:rPr>
                <w:rFonts w:cs="Arial"/>
              </w:rPr>
              <w:t>Nad Slovankou</w:t>
            </w:r>
          </w:p>
        </w:tc>
        <w:tc>
          <w:tcPr>
            <w:tcW w:w="1007" w:type="dxa"/>
            <w:tcBorders>
              <w:top w:val="single" w:sz="6" w:space="0" w:color="auto"/>
              <w:left w:val="single" w:sz="6" w:space="0" w:color="auto"/>
              <w:bottom w:val="single" w:sz="6" w:space="0" w:color="auto"/>
              <w:right w:val="single" w:sz="6" w:space="0" w:color="auto"/>
            </w:tcBorders>
          </w:tcPr>
          <w:p w14:paraId="2D5F9DE2" w14:textId="77777777" w:rsidR="00CA23D0" w:rsidRPr="00E30642" w:rsidRDefault="00CA23D0" w:rsidP="00CA23D0">
            <w:pPr>
              <w:pStyle w:val="Texttabulky"/>
              <w:spacing w:line="240" w:lineRule="atLeast"/>
              <w:jc w:val="both"/>
              <w:rPr>
                <w:rFonts w:cs="Arial"/>
              </w:rPr>
            </w:pPr>
            <w:r w:rsidRPr="00E30642">
              <w:rPr>
                <w:rFonts w:cs="Arial"/>
              </w:rPr>
              <w:t>10</w:t>
            </w:r>
          </w:p>
        </w:tc>
        <w:tc>
          <w:tcPr>
            <w:tcW w:w="1275" w:type="dxa"/>
            <w:tcBorders>
              <w:top w:val="single" w:sz="6" w:space="0" w:color="auto"/>
              <w:left w:val="single" w:sz="6" w:space="0" w:color="auto"/>
              <w:bottom w:val="single" w:sz="6" w:space="0" w:color="auto"/>
              <w:right w:val="single" w:sz="6" w:space="0" w:color="auto"/>
            </w:tcBorders>
          </w:tcPr>
          <w:p w14:paraId="4838C42A" w14:textId="77777777" w:rsidR="00CA23D0" w:rsidRPr="00E30642" w:rsidRDefault="00CA23D0" w:rsidP="00CA23D0">
            <w:pPr>
              <w:pStyle w:val="Texttabulky"/>
              <w:spacing w:line="240" w:lineRule="atLeast"/>
              <w:jc w:val="both"/>
              <w:rPr>
                <w:rFonts w:cs="Arial"/>
              </w:rPr>
            </w:pPr>
            <w:r w:rsidRPr="00E30642">
              <w:rPr>
                <w:rFonts w:cs="Arial"/>
              </w:rPr>
              <w:t>170</w:t>
            </w:r>
          </w:p>
        </w:tc>
        <w:tc>
          <w:tcPr>
            <w:tcW w:w="1277" w:type="dxa"/>
            <w:tcBorders>
              <w:top w:val="single" w:sz="6" w:space="0" w:color="auto"/>
              <w:left w:val="single" w:sz="6" w:space="0" w:color="auto"/>
              <w:bottom w:val="single" w:sz="6" w:space="0" w:color="auto"/>
              <w:right w:val="single" w:sz="6" w:space="0" w:color="auto"/>
            </w:tcBorders>
          </w:tcPr>
          <w:p w14:paraId="44CA49A9" w14:textId="77777777" w:rsidR="00CA23D0" w:rsidRPr="00E30642" w:rsidRDefault="00CA23D0" w:rsidP="00CA23D0">
            <w:pPr>
              <w:pStyle w:val="Texttabulky"/>
              <w:spacing w:line="240" w:lineRule="atLeast"/>
              <w:jc w:val="both"/>
              <w:rPr>
                <w:rFonts w:cs="Arial"/>
              </w:rPr>
            </w:pPr>
            <w:r w:rsidRPr="00E30642">
              <w:rPr>
                <w:rFonts w:cs="Arial"/>
              </w:rPr>
              <w:t>170</w:t>
            </w:r>
          </w:p>
        </w:tc>
        <w:tc>
          <w:tcPr>
            <w:tcW w:w="992" w:type="dxa"/>
            <w:tcBorders>
              <w:top w:val="single" w:sz="6" w:space="0" w:color="auto"/>
              <w:left w:val="single" w:sz="6" w:space="0" w:color="auto"/>
              <w:bottom w:val="single" w:sz="6" w:space="0" w:color="auto"/>
              <w:right w:val="single" w:sz="6" w:space="0" w:color="auto"/>
            </w:tcBorders>
          </w:tcPr>
          <w:p w14:paraId="1F78C066" w14:textId="77777777" w:rsidR="00CA23D0" w:rsidRPr="00E30642" w:rsidRDefault="00CA23D0" w:rsidP="00CA23D0">
            <w:pPr>
              <w:pStyle w:val="Texttabulky"/>
              <w:spacing w:line="240" w:lineRule="atLeast"/>
              <w:jc w:val="both"/>
              <w:rPr>
                <w:rFonts w:cs="Arial"/>
              </w:rPr>
            </w:pPr>
            <w:r w:rsidRPr="00E30642">
              <w:rPr>
                <w:rFonts w:cs="Arial"/>
              </w:rPr>
              <w:t>160</w:t>
            </w:r>
          </w:p>
        </w:tc>
        <w:tc>
          <w:tcPr>
            <w:tcW w:w="992" w:type="dxa"/>
            <w:tcBorders>
              <w:top w:val="single" w:sz="6" w:space="0" w:color="auto"/>
              <w:left w:val="single" w:sz="6" w:space="0" w:color="auto"/>
              <w:bottom w:val="single" w:sz="6" w:space="0" w:color="auto"/>
              <w:right w:val="single" w:sz="6" w:space="0" w:color="auto"/>
            </w:tcBorders>
          </w:tcPr>
          <w:p w14:paraId="7679C106" w14:textId="77777777" w:rsidR="00CA23D0" w:rsidRPr="00E30642" w:rsidRDefault="00CA23D0" w:rsidP="00CA23D0">
            <w:pPr>
              <w:pStyle w:val="Texttabulky"/>
              <w:spacing w:line="240" w:lineRule="atLeast"/>
              <w:jc w:val="both"/>
              <w:rPr>
                <w:rFonts w:cs="Arial"/>
              </w:rPr>
            </w:pPr>
            <w:r w:rsidRPr="00E30642">
              <w:rPr>
                <w:rFonts w:cs="Arial"/>
              </w:rPr>
              <w:t>160</w:t>
            </w:r>
          </w:p>
        </w:tc>
      </w:tr>
      <w:tr w:rsidR="00CA23D0" w:rsidRPr="00E30642" w14:paraId="14FB6975" w14:textId="77777777" w:rsidTr="00CA23D0">
        <w:tc>
          <w:tcPr>
            <w:tcW w:w="709" w:type="dxa"/>
            <w:tcBorders>
              <w:top w:val="single" w:sz="6" w:space="0" w:color="auto"/>
              <w:left w:val="single" w:sz="6" w:space="0" w:color="auto"/>
              <w:bottom w:val="single" w:sz="6" w:space="0" w:color="auto"/>
              <w:right w:val="single" w:sz="6" w:space="0" w:color="auto"/>
            </w:tcBorders>
          </w:tcPr>
          <w:p w14:paraId="6592CD3E" w14:textId="77777777" w:rsidR="00CA23D0" w:rsidRPr="00E30642" w:rsidRDefault="00CA23D0" w:rsidP="00CA23D0">
            <w:pPr>
              <w:pStyle w:val="Texttabulky"/>
              <w:spacing w:line="240" w:lineRule="atLeast"/>
              <w:jc w:val="both"/>
              <w:rPr>
                <w:rFonts w:cs="Arial"/>
              </w:rPr>
            </w:pPr>
            <w:r w:rsidRPr="00E30642">
              <w:rPr>
                <w:rFonts w:cs="Arial"/>
                <w:b/>
                <w:bCs/>
              </w:rPr>
              <w:t>20</w:t>
            </w:r>
          </w:p>
        </w:tc>
        <w:tc>
          <w:tcPr>
            <w:tcW w:w="2141" w:type="dxa"/>
            <w:tcBorders>
              <w:top w:val="single" w:sz="6" w:space="0" w:color="auto"/>
              <w:left w:val="single" w:sz="6" w:space="0" w:color="auto"/>
              <w:bottom w:val="single" w:sz="6" w:space="0" w:color="auto"/>
              <w:right w:val="single" w:sz="6" w:space="0" w:color="auto"/>
            </w:tcBorders>
          </w:tcPr>
          <w:p w14:paraId="4BD8B62A" w14:textId="77777777" w:rsidR="00CA23D0" w:rsidRPr="00E30642" w:rsidRDefault="00CA23D0" w:rsidP="00CA23D0">
            <w:pPr>
              <w:pStyle w:val="Texttabulky"/>
              <w:spacing w:line="240" w:lineRule="atLeast"/>
              <w:jc w:val="both"/>
              <w:rPr>
                <w:rFonts w:cs="Arial"/>
              </w:rPr>
            </w:pPr>
            <w:r w:rsidRPr="00E30642">
              <w:rPr>
                <w:rFonts w:cs="Arial"/>
              </w:rPr>
              <w:t>Želenice</w:t>
            </w:r>
          </w:p>
        </w:tc>
        <w:tc>
          <w:tcPr>
            <w:tcW w:w="1007" w:type="dxa"/>
            <w:tcBorders>
              <w:top w:val="single" w:sz="6" w:space="0" w:color="auto"/>
              <w:left w:val="single" w:sz="6" w:space="0" w:color="auto"/>
              <w:bottom w:val="single" w:sz="6" w:space="0" w:color="auto"/>
              <w:right w:val="single" w:sz="6" w:space="0" w:color="auto"/>
            </w:tcBorders>
          </w:tcPr>
          <w:p w14:paraId="53D13FA6" w14:textId="77777777" w:rsidR="00CA23D0" w:rsidRPr="00E30642" w:rsidRDefault="00CA23D0" w:rsidP="00CA23D0">
            <w:pPr>
              <w:pStyle w:val="Texttabulky"/>
              <w:spacing w:line="240" w:lineRule="atLeast"/>
              <w:jc w:val="both"/>
              <w:rPr>
                <w:rFonts w:cs="Arial"/>
              </w:rPr>
            </w:pPr>
            <w:r w:rsidRPr="00E30642">
              <w:rPr>
                <w:rFonts w:cs="Arial"/>
              </w:rPr>
              <w:t>5 566</w:t>
            </w:r>
          </w:p>
        </w:tc>
        <w:tc>
          <w:tcPr>
            <w:tcW w:w="1275" w:type="dxa"/>
            <w:tcBorders>
              <w:top w:val="single" w:sz="6" w:space="0" w:color="auto"/>
              <w:left w:val="single" w:sz="6" w:space="0" w:color="auto"/>
              <w:bottom w:val="single" w:sz="6" w:space="0" w:color="auto"/>
              <w:right w:val="single" w:sz="6" w:space="0" w:color="auto"/>
            </w:tcBorders>
          </w:tcPr>
          <w:p w14:paraId="1D83ADB5" w14:textId="77777777" w:rsidR="00CA23D0" w:rsidRPr="00E30642" w:rsidRDefault="00CA23D0" w:rsidP="00CA23D0">
            <w:pPr>
              <w:pStyle w:val="Texttabulky"/>
              <w:spacing w:line="240" w:lineRule="atLeast"/>
              <w:jc w:val="both"/>
              <w:rPr>
                <w:rFonts w:cs="Arial"/>
              </w:rPr>
            </w:pPr>
            <w:r w:rsidRPr="00E30642">
              <w:rPr>
                <w:rFonts w:cs="Arial"/>
              </w:rPr>
              <w:t>5 715</w:t>
            </w:r>
          </w:p>
        </w:tc>
        <w:tc>
          <w:tcPr>
            <w:tcW w:w="1277" w:type="dxa"/>
            <w:tcBorders>
              <w:top w:val="single" w:sz="6" w:space="0" w:color="auto"/>
              <w:left w:val="single" w:sz="6" w:space="0" w:color="auto"/>
              <w:bottom w:val="single" w:sz="6" w:space="0" w:color="auto"/>
              <w:right w:val="single" w:sz="6" w:space="0" w:color="auto"/>
            </w:tcBorders>
          </w:tcPr>
          <w:p w14:paraId="5FABA988" w14:textId="77777777" w:rsidR="00CA23D0" w:rsidRPr="00E30642" w:rsidRDefault="00CA23D0" w:rsidP="00CA23D0">
            <w:pPr>
              <w:pStyle w:val="Texttabulky"/>
              <w:spacing w:line="240" w:lineRule="atLeast"/>
              <w:jc w:val="both"/>
              <w:rPr>
                <w:rFonts w:cs="Arial"/>
              </w:rPr>
            </w:pPr>
            <w:r w:rsidRPr="00E30642">
              <w:rPr>
                <w:rFonts w:cs="Arial"/>
              </w:rPr>
              <w:t>5 715</w:t>
            </w:r>
          </w:p>
        </w:tc>
        <w:tc>
          <w:tcPr>
            <w:tcW w:w="992" w:type="dxa"/>
            <w:tcBorders>
              <w:top w:val="single" w:sz="6" w:space="0" w:color="auto"/>
              <w:left w:val="single" w:sz="6" w:space="0" w:color="auto"/>
              <w:bottom w:val="single" w:sz="6" w:space="0" w:color="auto"/>
              <w:right w:val="single" w:sz="6" w:space="0" w:color="auto"/>
            </w:tcBorders>
          </w:tcPr>
          <w:p w14:paraId="5793A9C3" w14:textId="77777777" w:rsidR="00CA23D0" w:rsidRPr="00E30642" w:rsidRDefault="00CA23D0" w:rsidP="00CA23D0">
            <w:pPr>
              <w:pStyle w:val="Texttabulky"/>
              <w:spacing w:line="240" w:lineRule="atLeast"/>
              <w:jc w:val="both"/>
              <w:rPr>
                <w:rFonts w:cs="Arial"/>
              </w:rPr>
            </w:pPr>
            <w:r w:rsidRPr="00E30642">
              <w:rPr>
                <w:rFonts w:cs="Arial"/>
              </w:rPr>
              <w:t>149</w:t>
            </w:r>
          </w:p>
        </w:tc>
        <w:tc>
          <w:tcPr>
            <w:tcW w:w="992" w:type="dxa"/>
            <w:tcBorders>
              <w:top w:val="single" w:sz="6" w:space="0" w:color="auto"/>
              <w:left w:val="single" w:sz="6" w:space="0" w:color="auto"/>
              <w:bottom w:val="single" w:sz="6" w:space="0" w:color="auto"/>
              <w:right w:val="single" w:sz="6" w:space="0" w:color="auto"/>
            </w:tcBorders>
          </w:tcPr>
          <w:p w14:paraId="56E47222" w14:textId="77777777" w:rsidR="00CA23D0" w:rsidRPr="00E30642" w:rsidRDefault="00CA23D0" w:rsidP="00CA23D0">
            <w:pPr>
              <w:pStyle w:val="Texttabulky"/>
              <w:spacing w:line="240" w:lineRule="atLeast"/>
              <w:jc w:val="both"/>
              <w:rPr>
                <w:rFonts w:cs="Arial"/>
              </w:rPr>
            </w:pPr>
            <w:r w:rsidRPr="00E30642">
              <w:rPr>
                <w:rFonts w:cs="Arial"/>
              </w:rPr>
              <w:t>149</w:t>
            </w:r>
          </w:p>
        </w:tc>
      </w:tr>
      <w:tr w:rsidR="00CA23D0" w:rsidRPr="00E30642" w14:paraId="0A2CF989" w14:textId="77777777" w:rsidTr="00CA23D0">
        <w:tc>
          <w:tcPr>
            <w:tcW w:w="709" w:type="dxa"/>
            <w:tcBorders>
              <w:top w:val="single" w:sz="6" w:space="0" w:color="auto"/>
              <w:left w:val="single" w:sz="6" w:space="0" w:color="auto"/>
              <w:bottom w:val="single" w:sz="6" w:space="0" w:color="auto"/>
              <w:right w:val="single" w:sz="6" w:space="0" w:color="auto"/>
            </w:tcBorders>
          </w:tcPr>
          <w:p w14:paraId="0C095E96" w14:textId="77777777" w:rsidR="00CA23D0" w:rsidRPr="00E30642" w:rsidRDefault="00CA23D0" w:rsidP="00CA23D0">
            <w:pPr>
              <w:pStyle w:val="Texttabulky"/>
              <w:spacing w:line="240" w:lineRule="atLeast"/>
              <w:jc w:val="both"/>
              <w:rPr>
                <w:rFonts w:cs="Arial"/>
              </w:rPr>
            </w:pPr>
            <w:r w:rsidRPr="00E30642">
              <w:rPr>
                <w:rFonts w:cs="Arial"/>
                <w:b/>
                <w:bCs/>
              </w:rPr>
              <w:t>47</w:t>
            </w:r>
          </w:p>
        </w:tc>
        <w:tc>
          <w:tcPr>
            <w:tcW w:w="2141" w:type="dxa"/>
            <w:tcBorders>
              <w:top w:val="single" w:sz="6" w:space="0" w:color="auto"/>
              <w:left w:val="single" w:sz="6" w:space="0" w:color="auto"/>
              <w:bottom w:val="single" w:sz="6" w:space="0" w:color="auto"/>
              <w:right w:val="single" w:sz="6" w:space="0" w:color="auto"/>
            </w:tcBorders>
          </w:tcPr>
          <w:p w14:paraId="5E7E52FE" w14:textId="77777777" w:rsidR="00CA23D0" w:rsidRPr="00E30642" w:rsidRDefault="00CA23D0" w:rsidP="00CA23D0">
            <w:pPr>
              <w:pStyle w:val="Texttabulky"/>
              <w:spacing w:line="240" w:lineRule="atLeast"/>
              <w:jc w:val="both"/>
              <w:rPr>
                <w:rFonts w:cs="Arial"/>
              </w:rPr>
            </w:pPr>
            <w:r w:rsidRPr="00E30642">
              <w:rPr>
                <w:rFonts w:cs="Arial"/>
              </w:rPr>
              <w:t>Folknáře</w:t>
            </w:r>
          </w:p>
        </w:tc>
        <w:tc>
          <w:tcPr>
            <w:tcW w:w="1007" w:type="dxa"/>
            <w:tcBorders>
              <w:top w:val="single" w:sz="6" w:space="0" w:color="auto"/>
              <w:left w:val="single" w:sz="6" w:space="0" w:color="auto"/>
              <w:bottom w:val="single" w:sz="6" w:space="0" w:color="auto"/>
              <w:right w:val="single" w:sz="6" w:space="0" w:color="auto"/>
            </w:tcBorders>
          </w:tcPr>
          <w:p w14:paraId="2F42C473" w14:textId="77777777" w:rsidR="00CA23D0" w:rsidRPr="00E30642" w:rsidRDefault="00CA23D0" w:rsidP="00CA23D0">
            <w:pPr>
              <w:pStyle w:val="Texttabulky"/>
              <w:spacing w:line="240" w:lineRule="atLeast"/>
              <w:jc w:val="both"/>
              <w:rPr>
                <w:rFonts w:cs="Arial"/>
              </w:rPr>
            </w:pPr>
            <w:r w:rsidRPr="00E30642">
              <w:rPr>
                <w:rFonts w:cs="Arial"/>
              </w:rPr>
              <w:t>214</w:t>
            </w:r>
          </w:p>
        </w:tc>
        <w:tc>
          <w:tcPr>
            <w:tcW w:w="1275" w:type="dxa"/>
            <w:tcBorders>
              <w:top w:val="single" w:sz="6" w:space="0" w:color="auto"/>
              <w:left w:val="single" w:sz="6" w:space="0" w:color="auto"/>
              <w:bottom w:val="single" w:sz="6" w:space="0" w:color="auto"/>
              <w:right w:val="single" w:sz="6" w:space="0" w:color="auto"/>
            </w:tcBorders>
          </w:tcPr>
          <w:p w14:paraId="2F773204" w14:textId="77777777" w:rsidR="00CA23D0" w:rsidRPr="00E30642" w:rsidRDefault="00CA23D0" w:rsidP="00CA23D0">
            <w:pPr>
              <w:pStyle w:val="Texttabulky"/>
              <w:spacing w:line="240" w:lineRule="atLeast"/>
              <w:jc w:val="both"/>
              <w:rPr>
                <w:rFonts w:cs="Arial"/>
              </w:rPr>
            </w:pPr>
            <w:r w:rsidRPr="00E30642">
              <w:rPr>
                <w:rFonts w:cs="Arial"/>
              </w:rPr>
              <w:t>350</w:t>
            </w:r>
          </w:p>
        </w:tc>
        <w:tc>
          <w:tcPr>
            <w:tcW w:w="1277" w:type="dxa"/>
            <w:tcBorders>
              <w:top w:val="single" w:sz="6" w:space="0" w:color="auto"/>
              <w:left w:val="single" w:sz="6" w:space="0" w:color="auto"/>
              <w:bottom w:val="single" w:sz="6" w:space="0" w:color="auto"/>
              <w:right w:val="single" w:sz="6" w:space="0" w:color="auto"/>
            </w:tcBorders>
          </w:tcPr>
          <w:p w14:paraId="0AC68CD0" w14:textId="77777777" w:rsidR="00CA23D0" w:rsidRPr="00E30642" w:rsidRDefault="00CA23D0" w:rsidP="00CA23D0">
            <w:pPr>
              <w:pStyle w:val="Texttabulky"/>
              <w:spacing w:line="240" w:lineRule="atLeast"/>
              <w:jc w:val="both"/>
              <w:rPr>
                <w:rFonts w:cs="Arial"/>
              </w:rPr>
            </w:pPr>
            <w:r w:rsidRPr="00E30642">
              <w:rPr>
                <w:rFonts w:cs="Arial"/>
              </w:rPr>
              <w:t>700</w:t>
            </w:r>
          </w:p>
        </w:tc>
        <w:tc>
          <w:tcPr>
            <w:tcW w:w="992" w:type="dxa"/>
            <w:tcBorders>
              <w:top w:val="single" w:sz="6" w:space="0" w:color="auto"/>
              <w:left w:val="single" w:sz="6" w:space="0" w:color="auto"/>
              <w:bottom w:val="single" w:sz="6" w:space="0" w:color="auto"/>
              <w:right w:val="single" w:sz="6" w:space="0" w:color="auto"/>
            </w:tcBorders>
          </w:tcPr>
          <w:p w14:paraId="7E14B45E" w14:textId="77777777" w:rsidR="00CA23D0" w:rsidRPr="00E30642" w:rsidRDefault="00CA23D0" w:rsidP="00CA23D0">
            <w:pPr>
              <w:pStyle w:val="Texttabulky"/>
              <w:spacing w:line="240" w:lineRule="atLeast"/>
              <w:jc w:val="both"/>
              <w:rPr>
                <w:rFonts w:cs="Arial"/>
              </w:rPr>
            </w:pPr>
            <w:r w:rsidRPr="00E30642">
              <w:rPr>
                <w:rFonts w:cs="Arial"/>
              </w:rPr>
              <w:t>136</w:t>
            </w:r>
          </w:p>
        </w:tc>
        <w:tc>
          <w:tcPr>
            <w:tcW w:w="992" w:type="dxa"/>
            <w:tcBorders>
              <w:top w:val="single" w:sz="6" w:space="0" w:color="auto"/>
              <w:left w:val="single" w:sz="6" w:space="0" w:color="auto"/>
              <w:bottom w:val="single" w:sz="6" w:space="0" w:color="auto"/>
              <w:right w:val="single" w:sz="6" w:space="0" w:color="auto"/>
            </w:tcBorders>
          </w:tcPr>
          <w:p w14:paraId="7B586BD0" w14:textId="77777777" w:rsidR="00CA23D0" w:rsidRPr="00E30642" w:rsidRDefault="00CA23D0" w:rsidP="00CA23D0">
            <w:pPr>
              <w:pStyle w:val="Texttabulky"/>
              <w:spacing w:line="240" w:lineRule="atLeast"/>
              <w:jc w:val="both"/>
              <w:rPr>
                <w:rFonts w:cs="Arial"/>
              </w:rPr>
            </w:pPr>
            <w:r w:rsidRPr="00E30642">
              <w:rPr>
                <w:rFonts w:cs="Arial"/>
              </w:rPr>
              <w:t>486</w:t>
            </w:r>
          </w:p>
        </w:tc>
      </w:tr>
      <w:tr w:rsidR="00CA23D0" w:rsidRPr="00E30642" w14:paraId="3731211D" w14:textId="77777777" w:rsidTr="00CA23D0">
        <w:tc>
          <w:tcPr>
            <w:tcW w:w="709" w:type="dxa"/>
            <w:tcBorders>
              <w:top w:val="single" w:sz="6" w:space="0" w:color="auto"/>
              <w:left w:val="single" w:sz="6" w:space="0" w:color="auto"/>
              <w:bottom w:val="single" w:sz="6" w:space="0" w:color="auto"/>
              <w:right w:val="single" w:sz="6" w:space="0" w:color="auto"/>
            </w:tcBorders>
          </w:tcPr>
          <w:p w14:paraId="7A6DB0B1" w14:textId="77777777" w:rsidR="00CA23D0" w:rsidRPr="00E30642" w:rsidRDefault="00CA23D0" w:rsidP="00CA23D0">
            <w:pPr>
              <w:pStyle w:val="Texttabulky"/>
              <w:spacing w:line="240" w:lineRule="atLeast"/>
              <w:jc w:val="both"/>
              <w:rPr>
                <w:rFonts w:cs="Arial"/>
              </w:rPr>
            </w:pPr>
            <w:r w:rsidRPr="00E30642">
              <w:rPr>
                <w:rFonts w:cs="Arial"/>
                <w:b/>
                <w:bCs/>
              </w:rPr>
              <w:t>12</w:t>
            </w:r>
          </w:p>
        </w:tc>
        <w:tc>
          <w:tcPr>
            <w:tcW w:w="2141" w:type="dxa"/>
            <w:tcBorders>
              <w:top w:val="single" w:sz="6" w:space="0" w:color="auto"/>
              <w:left w:val="single" w:sz="6" w:space="0" w:color="auto"/>
              <w:bottom w:val="single" w:sz="6" w:space="0" w:color="auto"/>
              <w:right w:val="single" w:sz="6" w:space="0" w:color="auto"/>
            </w:tcBorders>
          </w:tcPr>
          <w:p w14:paraId="5D2071C8" w14:textId="77777777" w:rsidR="00CA23D0" w:rsidRPr="00E30642" w:rsidRDefault="00CA23D0" w:rsidP="00CA23D0">
            <w:pPr>
              <w:pStyle w:val="Texttabulky"/>
              <w:spacing w:line="240" w:lineRule="atLeast"/>
              <w:jc w:val="both"/>
              <w:rPr>
                <w:rFonts w:cs="Arial"/>
              </w:rPr>
            </w:pPr>
            <w:r w:rsidRPr="00E30642">
              <w:rPr>
                <w:rFonts w:cs="Arial"/>
              </w:rPr>
              <w:t>Staré Město</w:t>
            </w:r>
          </w:p>
        </w:tc>
        <w:tc>
          <w:tcPr>
            <w:tcW w:w="1007" w:type="dxa"/>
            <w:tcBorders>
              <w:top w:val="single" w:sz="6" w:space="0" w:color="auto"/>
              <w:left w:val="single" w:sz="6" w:space="0" w:color="auto"/>
              <w:bottom w:val="single" w:sz="6" w:space="0" w:color="auto"/>
              <w:right w:val="single" w:sz="6" w:space="0" w:color="auto"/>
            </w:tcBorders>
          </w:tcPr>
          <w:p w14:paraId="40B9ECAF" w14:textId="77777777" w:rsidR="00CA23D0" w:rsidRPr="00E30642" w:rsidRDefault="00CA23D0" w:rsidP="00CA23D0">
            <w:pPr>
              <w:pStyle w:val="Texttabulky"/>
              <w:spacing w:line="240" w:lineRule="atLeast"/>
              <w:jc w:val="both"/>
              <w:rPr>
                <w:rFonts w:cs="Arial"/>
              </w:rPr>
            </w:pPr>
            <w:r w:rsidRPr="00E30642">
              <w:rPr>
                <w:rFonts w:cs="Arial"/>
              </w:rPr>
              <w:t>4 628</w:t>
            </w:r>
          </w:p>
        </w:tc>
        <w:tc>
          <w:tcPr>
            <w:tcW w:w="1275" w:type="dxa"/>
            <w:tcBorders>
              <w:top w:val="single" w:sz="6" w:space="0" w:color="auto"/>
              <w:left w:val="single" w:sz="6" w:space="0" w:color="auto"/>
              <w:bottom w:val="single" w:sz="6" w:space="0" w:color="auto"/>
              <w:right w:val="single" w:sz="6" w:space="0" w:color="auto"/>
            </w:tcBorders>
          </w:tcPr>
          <w:p w14:paraId="37B9C60C" w14:textId="77777777" w:rsidR="00CA23D0" w:rsidRPr="00E30642" w:rsidRDefault="00CA23D0" w:rsidP="00CA23D0">
            <w:pPr>
              <w:pStyle w:val="Texttabulky"/>
              <w:spacing w:line="240" w:lineRule="atLeast"/>
              <w:jc w:val="both"/>
              <w:rPr>
                <w:rFonts w:cs="Arial"/>
              </w:rPr>
            </w:pPr>
            <w:r w:rsidRPr="00E30642">
              <w:rPr>
                <w:rFonts w:cs="Arial"/>
              </w:rPr>
              <w:t>4 760</w:t>
            </w:r>
          </w:p>
        </w:tc>
        <w:tc>
          <w:tcPr>
            <w:tcW w:w="1277" w:type="dxa"/>
            <w:tcBorders>
              <w:top w:val="single" w:sz="6" w:space="0" w:color="auto"/>
              <w:left w:val="single" w:sz="6" w:space="0" w:color="auto"/>
              <w:bottom w:val="single" w:sz="6" w:space="0" w:color="auto"/>
              <w:right w:val="single" w:sz="6" w:space="0" w:color="auto"/>
            </w:tcBorders>
          </w:tcPr>
          <w:p w14:paraId="6CEF9758" w14:textId="77777777" w:rsidR="00CA23D0" w:rsidRPr="00E30642" w:rsidRDefault="00CA23D0" w:rsidP="00CA23D0">
            <w:pPr>
              <w:pStyle w:val="Texttabulky"/>
              <w:spacing w:line="240" w:lineRule="atLeast"/>
              <w:jc w:val="both"/>
              <w:rPr>
                <w:rFonts w:cs="Arial"/>
              </w:rPr>
            </w:pPr>
            <w:r w:rsidRPr="00E30642">
              <w:rPr>
                <w:rFonts w:cs="Arial"/>
              </w:rPr>
              <w:t>5 115</w:t>
            </w:r>
          </w:p>
        </w:tc>
        <w:tc>
          <w:tcPr>
            <w:tcW w:w="992" w:type="dxa"/>
            <w:tcBorders>
              <w:top w:val="single" w:sz="6" w:space="0" w:color="auto"/>
              <w:left w:val="single" w:sz="6" w:space="0" w:color="auto"/>
              <w:bottom w:val="single" w:sz="6" w:space="0" w:color="auto"/>
              <w:right w:val="single" w:sz="6" w:space="0" w:color="auto"/>
            </w:tcBorders>
          </w:tcPr>
          <w:p w14:paraId="3E8DF4C5" w14:textId="77777777" w:rsidR="00CA23D0" w:rsidRPr="00E30642" w:rsidRDefault="00CA23D0" w:rsidP="00CA23D0">
            <w:pPr>
              <w:pStyle w:val="Texttabulky"/>
              <w:spacing w:line="240" w:lineRule="atLeast"/>
              <w:jc w:val="both"/>
              <w:rPr>
                <w:rFonts w:cs="Arial"/>
              </w:rPr>
            </w:pPr>
            <w:r w:rsidRPr="00E30642">
              <w:rPr>
                <w:rFonts w:cs="Arial"/>
              </w:rPr>
              <w:t>132</w:t>
            </w:r>
          </w:p>
        </w:tc>
        <w:tc>
          <w:tcPr>
            <w:tcW w:w="992" w:type="dxa"/>
            <w:tcBorders>
              <w:top w:val="single" w:sz="6" w:space="0" w:color="auto"/>
              <w:left w:val="single" w:sz="6" w:space="0" w:color="auto"/>
              <w:bottom w:val="single" w:sz="6" w:space="0" w:color="auto"/>
              <w:right w:val="single" w:sz="6" w:space="0" w:color="auto"/>
            </w:tcBorders>
          </w:tcPr>
          <w:p w14:paraId="66F3EF53" w14:textId="77777777" w:rsidR="00CA23D0" w:rsidRPr="00E30642" w:rsidRDefault="00CA23D0" w:rsidP="00CA23D0">
            <w:pPr>
              <w:pStyle w:val="Texttabulky"/>
              <w:spacing w:line="240" w:lineRule="atLeast"/>
              <w:jc w:val="both"/>
              <w:rPr>
                <w:rFonts w:cs="Arial"/>
              </w:rPr>
            </w:pPr>
            <w:r w:rsidRPr="00E30642">
              <w:rPr>
                <w:rFonts w:cs="Arial"/>
              </w:rPr>
              <w:t>487</w:t>
            </w:r>
          </w:p>
        </w:tc>
      </w:tr>
      <w:tr w:rsidR="00CA23D0" w:rsidRPr="00E30642" w14:paraId="26A7AF0D" w14:textId="77777777" w:rsidTr="00CA23D0">
        <w:tc>
          <w:tcPr>
            <w:tcW w:w="709" w:type="dxa"/>
            <w:tcBorders>
              <w:top w:val="single" w:sz="6" w:space="0" w:color="auto"/>
              <w:left w:val="single" w:sz="6" w:space="0" w:color="auto"/>
              <w:bottom w:val="single" w:sz="6" w:space="0" w:color="auto"/>
              <w:right w:val="single" w:sz="6" w:space="0" w:color="auto"/>
            </w:tcBorders>
          </w:tcPr>
          <w:p w14:paraId="72D026D4" w14:textId="77777777" w:rsidR="00CA23D0" w:rsidRPr="00E30642" w:rsidRDefault="00CA23D0" w:rsidP="00CA23D0">
            <w:pPr>
              <w:pStyle w:val="Texttabulky"/>
              <w:spacing w:line="240" w:lineRule="atLeast"/>
              <w:jc w:val="both"/>
              <w:rPr>
                <w:rFonts w:cs="Arial"/>
              </w:rPr>
            </w:pPr>
            <w:r w:rsidRPr="00E30642">
              <w:rPr>
                <w:rFonts w:cs="Arial"/>
                <w:b/>
                <w:bCs/>
              </w:rPr>
              <w:t>33</w:t>
            </w:r>
          </w:p>
        </w:tc>
        <w:tc>
          <w:tcPr>
            <w:tcW w:w="2141" w:type="dxa"/>
            <w:tcBorders>
              <w:top w:val="single" w:sz="6" w:space="0" w:color="auto"/>
              <w:left w:val="single" w:sz="6" w:space="0" w:color="auto"/>
              <w:bottom w:val="single" w:sz="6" w:space="0" w:color="auto"/>
              <w:right w:val="single" w:sz="6" w:space="0" w:color="auto"/>
            </w:tcBorders>
          </w:tcPr>
          <w:p w14:paraId="366E964A" w14:textId="77777777" w:rsidR="00CA23D0" w:rsidRPr="00E30642" w:rsidRDefault="00CA23D0" w:rsidP="00CA23D0">
            <w:pPr>
              <w:pStyle w:val="Texttabulky"/>
              <w:spacing w:line="240" w:lineRule="atLeast"/>
              <w:jc w:val="both"/>
              <w:rPr>
                <w:rFonts w:cs="Arial"/>
              </w:rPr>
            </w:pPr>
            <w:r w:rsidRPr="00E30642">
              <w:rPr>
                <w:rFonts w:cs="Arial"/>
              </w:rPr>
              <w:t>Bělá</w:t>
            </w:r>
          </w:p>
        </w:tc>
        <w:tc>
          <w:tcPr>
            <w:tcW w:w="1007" w:type="dxa"/>
            <w:tcBorders>
              <w:top w:val="single" w:sz="6" w:space="0" w:color="auto"/>
              <w:left w:val="single" w:sz="6" w:space="0" w:color="auto"/>
              <w:bottom w:val="single" w:sz="6" w:space="0" w:color="auto"/>
              <w:right w:val="single" w:sz="6" w:space="0" w:color="auto"/>
            </w:tcBorders>
          </w:tcPr>
          <w:p w14:paraId="4B8877B6" w14:textId="77777777" w:rsidR="00CA23D0" w:rsidRPr="00E30642" w:rsidRDefault="00CA23D0" w:rsidP="00CA23D0">
            <w:pPr>
              <w:pStyle w:val="Texttabulky"/>
              <w:spacing w:line="240" w:lineRule="atLeast"/>
              <w:jc w:val="both"/>
              <w:rPr>
                <w:rFonts w:cs="Arial"/>
              </w:rPr>
            </w:pPr>
            <w:r w:rsidRPr="00E30642">
              <w:rPr>
                <w:rFonts w:cs="Arial"/>
              </w:rPr>
              <w:t>1 182</w:t>
            </w:r>
          </w:p>
        </w:tc>
        <w:tc>
          <w:tcPr>
            <w:tcW w:w="1275" w:type="dxa"/>
            <w:tcBorders>
              <w:top w:val="single" w:sz="6" w:space="0" w:color="auto"/>
              <w:left w:val="single" w:sz="6" w:space="0" w:color="auto"/>
              <w:bottom w:val="single" w:sz="6" w:space="0" w:color="auto"/>
              <w:right w:val="single" w:sz="6" w:space="0" w:color="auto"/>
            </w:tcBorders>
          </w:tcPr>
          <w:p w14:paraId="4D65715C" w14:textId="77777777" w:rsidR="00CA23D0" w:rsidRPr="00E30642" w:rsidRDefault="00CA23D0" w:rsidP="00CA23D0">
            <w:pPr>
              <w:pStyle w:val="Texttabulky"/>
              <w:spacing w:line="240" w:lineRule="atLeast"/>
              <w:jc w:val="both"/>
              <w:rPr>
                <w:rFonts w:cs="Arial"/>
              </w:rPr>
            </w:pPr>
            <w:r w:rsidRPr="00E30642">
              <w:rPr>
                <w:rFonts w:cs="Arial"/>
              </w:rPr>
              <w:t>1 250</w:t>
            </w:r>
          </w:p>
        </w:tc>
        <w:tc>
          <w:tcPr>
            <w:tcW w:w="1277" w:type="dxa"/>
            <w:tcBorders>
              <w:top w:val="single" w:sz="6" w:space="0" w:color="auto"/>
              <w:left w:val="single" w:sz="6" w:space="0" w:color="auto"/>
              <w:bottom w:val="single" w:sz="6" w:space="0" w:color="auto"/>
              <w:right w:val="single" w:sz="6" w:space="0" w:color="auto"/>
            </w:tcBorders>
          </w:tcPr>
          <w:p w14:paraId="47BAB402" w14:textId="77777777" w:rsidR="00CA23D0" w:rsidRPr="00E30642" w:rsidRDefault="00CA23D0" w:rsidP="00CA23D0">
            <w:pPr>
              <w:pStyle w:val="Texttabulky"/>
              <w:spacing w:line="240" w:lineRule="atLeast"/>
              <w:jc w:val="both"/>
              <w:rPr>
                <w:rFonts w:cs="Arial"/>
              </w:rPr>
            </w:pPr>
            <w:r w:rsidRPr="00E30642">
              <w:rPr>
                <w:rFonts w:cs="Arial"/>
              </w:rPr>
              <w:t>1 250</w:t>
            </w:r>
          </w:p>
        </w:tc>
        <w:tc>
          <w:tcPr>
            <w:tcW w:w="992" w:type="dxa"/>
            <w:tcBorders>
              <w:top w:val="single" w:sz="6" w:space="0" w:color="auto"/>
              <w:left w:val="single" w:sz="6" w:space="0" w:color="auto"/>
              <w:bottom w:val="single" w:sz="6" w:space="0" w:color="auto"/>
              <w:right w:val="single" w:sz="6" w:space="0" w:color="auto"/>
            </w:tcBorders>
          </w:tcPr>
          <w:p w14:paraId="6098858B" w14:textId="77777777" w:rsidR="00CA23D0" w:rsidRPr="00E30642" w:rsidRDefault="00CA23D0" w:rsidP="00CA23D0">
            <w:pPr>
              <w:pStyle w:val="Texttabulky"/>
              <w:spacing w:line="240" w:lineRule="atLeast"/>
              <w:jc w:val="both"/>
              <w:rPr>
                <w:rFonts w:cs="Arial"/>
              </w:rPr>
            </w:pPr>
            <w:r w:rsidRPr="00E30642">
              <w:rPr>
                <w:rFonts w:cs="Arial"/>
              </w:rPr>
              <w:t>68</w:t>
            </w:r>
          </w:p>
        </w:tc>
        <w:tc>
          <w:tcPr>
            <w:tcW w:w="992" w:type="dxa"/>
            <w:tcBorders>
              <w:top w:val="single" w:sz="6" w:space="0" w:color="auto"/>
              <w:left w:val="single" w:sz="6" w:space="0" w:color="auto"/>
              <w:bottom w:val="single" w:sz="6" w:space="0" w:color="auto"/>
              <w:right w:val="single" w:sz="6" w:space="0" w:color="auto"/>
            </w:tcBorders>
          </w:tcPr>
          <w:p w14:paraId="56481703" w14:textId="77777777" w:rsidR="00CA23D0" w:rsidRPr="00E30642" w:rsidRDefault="00CA23D0" w:rsidP="00CA23D0">
            <w:pPr>
              <w:pStyle w:val="Texttabulky"/>
              <w:spacing w:line="240" w:lineRule="atLeast"/>
              <w:jc w:val="both"/>
              <w:rPr>
                <w:rFonts w:cs="Arial"/>
              </w:rPr>
            </w:pPr>
            <w:r w:rsidRPr="00E30642">
              <w:rPr>
                <w:rFonts w:cs="Arial"/>
              </w:rPr>
              <w:t>68</w:t>
            </w:r>
          </w:p>
        </w:tc>
      </w:tr>
      <w:tr w:rsidR="00CA23D0" w:rsidRPr="00E30642" w14:paraId="716377E5" w14:textId="77777777" w:rsidTr="00CA23D0">
        <w:tc>
          <w:tcPr>
            <w:tcW w:w="709" w:type="dxa"/>
            <w:tcBorders>
              <w:top w:val="single" w:sz="6" w:space="0" w:color="auto"/>
              <w:left w:val="single" w:sz="6" w:space="0" w:color="auto"/>
              <w:bottom w:val="single" w:sz="6" w:space="0" w:color="auto"/>
              <w:right w:val="single" w:sz="6" w:space="0" w:color="auto"/>
            </w:tcBorders>
          </w:tcPr>
          <w:p w14:paraId="09F33ADA" w14:textId="77777777" w:rsidR="00CA23D0" w:rsidRPr="00E30642" w:rsidRDefault="00CA23D0" w:rsidP="00CA23D0">
            <w:pPr>
              <w:pStyle w:val="Texttabulky"/>
              <w:spacing w:line="240" w:lineRule="atLeast"/>
              <w:jc w:val="both"/>
              <w:rPr>
                <w:rFonts w:cs="Arial"/>
              </w:rPr>
            </w:pPr>
            <w:r w:rsidRPr="00E30642">
              <w:rPr>
                <w:rFonts w:cs="Arial"/>
                <w:b/>
                <w:bCs/>
              </w:rPr>
              <w:t>23</w:t>
            </w:r>
          </w:p>
        </w:tc>
        <w:tc>
          <w:tcPr>
            <w:tcW w:w="2141" w:type="dxa"/>
            <w:tcBorders>
              <w:top w:val="single" w:sz="6" w:space="0" w:color="auto"/>
              <w:left w:val="single" w:sz="6" w:space="0" w:color="auto"/>
              <w:bottom w:val="single" w:sz="6" w:space="0" w:color="auto"/>
              <w:right w:val="single" w:sz="6" w:space="0" w:color="auto"/>
            </w:tcBorders>
          </w:tcPr>
          <w:p w14:paraId="5325685A" w14:textId="77777777" w:rsidR="00CA23D0" w:rsidRPr="00E30642" w:rsidRDefault="00CA23D0" w:rsidP="00CA23D0">
            <w:pPr>
              <w:pStyle w:val="Texttabulky"/>
              <w:spacing w:line="240" w:lineRule="atLeast"/>
              <w:jc w:val="both"/>
              <w:rPr>
                <w:rFonts w:cs="Arial"/>
              </w:rPr>
            </w:pPr>
            <w:r w:rsidRPr="00E30642">
              <w:rPr>
                <w:rFonts w:cs="Arial"/>
              </w:rPr>
              <w:t>Podmokly</w:t>
            </w:r>
          </w:p>
        </w:tc>
        <w:tc>
          <w:tcPr>
            <w:tcW w:w="1007" w:type="dxa"/>
            <w:tcBorders>
              <w:top w:val="single" w:sz="6" w:space="0" w:color="auto"/>
              <w:left w:val="single" w:sz="6" w:space="0" w:color="auto"/>
              <w:bottom w:val="single" w:sz="6" w:space="0" w:color="auto"/>
              <w:right w:val="single" w:sz="6" w:space="0" w:color="auto"/>
            </w:tcBorders>
          </w:tcPr>
          <w:p w14:paraId="5D213683" w14:textId="77777777" w:rsidR="00CA23D0" w:rsidRPr="00E30642" w:rsidRDefault="00CA23D0" w:rsidP="00CA23D0">
            <w:pPr>
              <w:pStyle w:val="Texttabulky"/>
              <w:spacing w:line="240" w:lineRule="atLeast"/>
              <w:jc w:val="both"/>
              <w:rPr>
                <w:rFonts w:cs="Arial"/>
              </w:rPr>
            </w:pPr>
            <w:r w:rsidRPr="00E30642">
              <w:rPr>
                <w:rFonts w:cs="Arial"/>
              </w:rPr>
              <w:t>4 957</w:t>
            </w:r>
          </w:p>
        </w:tc>
        <w:tc>
          <w:tcPr>
            <w:tcW w:w="1275" w:type="dxa"/>
            <w:tcBorders>
              <w:top w:val="single" w:sz="6" w:space="0" w:color="auto"/>
              <w:left w:val="single" w:sz="6" w:space="0" w:color="auto"/>
              <w:bottom w:val="single" w:sz="6" w:space="0" w:color="auto"/>
              <w:right w:val="single" w:sz="6" w:space="0" w:color="auto"/>
            </w:tcBorders>
          </w:tcPr>
          <w:p w14:paraId="5E35160E" w14:textId="77777777" w:rsidR="00CA23D0" w:rsidRPr="00E30642" w:rsidRDefault="00CA23D0" w:rsidP="00CA23D0">
            <w:pPr>
              <w:pStyle w:val="Texttabulky"/>
              <w:spacing w:line="240" w:lineRule="atLeast"/>
              <w:jc w:val="both"/>
              <w:rPr>
                <w:rFonts w:cs="Arial"/>
              </w:rPr>
            </w:pPr>
            <w:r w:rsidRPr="00E30642">
              <w:rPr>
                <w:rFonts w:cs="Arial"/>
              </w:rPr>
              <w:t>5 015</w:t>
            </w:r>
          </w:p>
        </w:tc>
        <w:tc>
          <w:tcPr>
            <w:tcW w:w="1277" w:type="dxa"/>
            <w:tcBorders>
              <w:top w:val="single" w:sz="6" w:space="0" w:color="auto"/>
              <w:left w:val="single" w:sz="6" w:space="0" w:color="auto"/>
              <w:bottom w:val="single" w:sz="6" w:space="0" w:color="auto"/>
              <w:right w:val="single" w:sz="6" w:space="0" w:color="auto"/>
            </w:tcBorders>
          </w:tcPr>
          <w:p w14:paraId="359C0874" w14:textId="77777777" w:rsidR="00CA23D0" w:rsidRPr="00E30642" w:rsidRDefault="00CA23D0" w:rsidP="00CA23D0">
            <w:pPr>
              <w:pStyle w:val="Texttabulky"/>
              <w:spacing w:line="240" w:lineRule="atLeast"/>
              <w:jc w:val="both"/>
              <w:rPr>
                <w:rFonts w:cs="Arial"/>
              </w:rPr>
            </w:pPr>
            <w:r w:rsidRPr="00E30642">
              <w:rPr>
                <w:rFonts w:cs="Arial"/>
              </w:rPr>
              <w:t>5 300</w:t>
            </w:r>
          </w:p>
        </w:tc>
        <w:tc>
          <w:tcPr>
            <w:tcW w:w="992" w:type="dxa"/>
            <w:tcBorders>
              <w:top w:val="single" w:sz="6" w:space="0" w:color="auto"/>
              <w:left w:val="single" w:sz="6" w:space="0" w:color="auto"/>
              <w:bottom w:val="single" w:sz="6" w:space="0" w:color="auto"/>
              <w:right w:val="single" w:sz="6" w:space="0" w:color="auto"/>
            </w:tcBorders>
          </w:tcPr>
          <w:p w14:paraId="3DFD1D29" w14:textId="77777777" w:rsidR="00CA23D0" w:rsidRPr="00E30642" w:rsidRDefault="00CA23D0" w:rsidP="00CA23D0">
            <w:pPr>
              <w:pStyle w:val="Texttabulky"/>
              <w:spacing w:line="240" w:lineRule="atLeast"/>
              <w:jc w:val="both"/>
              <w:rPr>
                <w:rFonts w:cs="Arial"/>
              </w:rPr>
            </w:pPr>
            <w:r w:rsidRPr="00E30642">
              <w:rPr>
                <w:rFonts w:cs="Arial"/>
              </w:rPr>
              <w:t>58</w:t>
            </w:r>
          </w:p>
        </w:tc>
        <w:tc>
          <w:tcPr>
            <w:tcW w:w="992" w:type="dxa"/>
            <w:tcBorders>
              <w:top w:val="single" w:sz="6" w:space="0" w:color="auto"/>
              <w:left w:val="single" w:sz="6" w:space="0" w:color="auto"/>
              <w:bottom w:val="single" w:sz="6" w:space="0" w:color="auto"/>
              <w:right w:val="single" w:sz="6" w:space="0" w:color="auto"/>
            </w:tcBorders>
          </w:tcPr>
          <w:p w14:paraId="325491A0" w14:textId="77777777" w:rsidR="00CA23D0" w:rsidRPr="00E30642" w:rsidRDefault="00CA23D0" w:rsidP="00CA23D0">
            <w:pPr>
              <w:pStyle w:val="Texttabulky"/>
              <w:spacing w:line="240" w:lineRule="atLeast"/>
              <w:jc w:val="both"/>
              <w:rPr>
                <w:rFonts w:cs="Arial"/>
              </w:rPr>
            </w:pPr>
            <w:r w:rsidRPr="00E30642">
              <w:rPr>
                <w:rFonts w:cs="Arial"/>
              </w:rPr>
              <w:t>343</w:t>
            </w:r>
          </w:p>
        </w:tc>
      </w:tr>
      <w:tr w:rsidR="00CA23D0" w:rsidRPr="00E30642" w14:paraId="687A6A61" w14:textId="77777777" w:rsidTr="00CA23D0">
        <w:tc>
          <w:tcPr>
            <w:tcW w:w="709" w:type="dxa"/>
            <w:tcBorders>
              <w:top w:val="single" w:sz="6" w:space="0" w:color="auto"/>
              <w:left w:val="single" w:sz="6" w:space="0" w:color="auto"/>
              <w:bottom w:val="single" w:sz="6" w:space="0" w:color="auto"/>
              <w:right w:val="single" w:sz="6" w:space="0" w:color="auto"/>
            </w:tcBorders>
          </w:tcPr>
          <w:p w14:paraId="0FFB850E" w14:textId="77777777" w:rsidR="00CA23D0" w:rsidRPr="00E30642" w:rsidRDefault="00CA23D0" w:rsidP="00CA23D0">
            <w:pPr>
              <w:pStyle w:val="Texttabulky"/>
              <w:spacing w:line="240" w:lineRule="atLeast"/>
              <w:jc w:val="both"/>
              <w:rPr>
                <w:rFonts w:cs="Arial"/>
              </w:rPr>
            </w:pPr>
            <w:r w:rsidRPr="00E30642">
              <w:rPr>
                <w:rFonts w:cs="Arial"/>
                <w:b/>
                <w:bCs/>
              </w:rPr>
              <w:t>54</w:t>
            </w:r>
          </w:p>
        </w:tc>
        <w:tc>
          <w:tcPr>
            <w:tcW w:w="2141" w:type="dxa"/>
            <w:tcBorders>
              <w:top w:val="single" w:sz="6" w:space="0" w:color="auto"/>
              <w:left w:val="single" w:sz="6" w:space="0" w:color="auto"/>
              <w:bottom w:val="single" w:sz="6" w:space="0" w:color="auto"/>
              <w:right w:val="single" w:sz="6" w:space="0" w:color="auto"/>
            </w:tcBorders>
          </w:tcPr>
          <w:p w14:paraId="3F2C1D1D" w14:textId="77777777" w:rsidR="00CA23D0" w:rsidRPr="00E30642" w:rsidRDefault="00CA23D0" w:rsidP="00CA23D0">
            <w:pPr>
              <w:pStyle w:val="Texttabulky"/>
              <w:spacing w:line="240" w:lineRule="atLeast"/>
              <w:jc w:val="both"/>
              <w:rPr>
                <w:rFonts w:cs="Arial"/>
              </w:rPr>
            </w:pPr>
            <w:r w:rsidRPr="00E30642">
              <w:rPr>
                <w:rFonts w:cs="Arial"/>
              </w:rPr>
              <w:t>Lesná</w:t>
            </w:r>
          </w:p>
        </w:tc>
        <w:tc>
          <w:tcPr>
            <w:tcW w:w="1007" w:type="dxa"/>
            <w:tcBorders>
              <w:top w:val="single" w:sz="6" w:space="0" w:color="auto"/>
              <w:left w:val="single" w:sz="6" w:space="0" w:color="auto"/>
              <w:bottom w:val="single" w:sz="6" w:space="0" w:color="auto"/>
              <w:right w:val="single" w:sz="6" w:space="0" w:color="auto"/>
            </w:tcBorders>
          </w:tcPr>
          <w:p w14:paraId="1A65AFC3" w14:textId="77777777" w:rsidR="00CA23D0" w:rsidRPr="00E30642" w:rsidRDefault="00CA23D0" w:rsidP="00CA23D0">
            <w:pPr>
              <w:pStyle w:val="Texttabulky"/>
              <w:spacing w:line="240" w:lineRule="atLeast"/>
              <w:jc w:val="both"/>
              <w:rPr>
                <w:rFonts w:cs="Arial"/>
              </w:rPr>
            </w:pPr>
            <w:r w:rsidRPr="00E30642">
              <w:rPr>
                <w:rFonts w:cs="Arial"/>
              </w:rPr>
              <w:t>153</w:t>
            </w:r>
          </w:p>
        </w:tc>
        <w:tc>
          <w:tcPr>
            <w:tcW w:w="1275" w:type="dxa"/>
            <w:tcBorders>
              <w:top w:val="single" w:sz="6" w:space="0" w:color="auto"/>
              <w:left w:val="single" w:sz="6" w:space="0" w:color="auto"/>
              <w:bottom w:val="single" w:sz="6" w:space="0" w:color="auto"/>
              <w:right w:val="single" w:sz="6" w:space="0" w:color="auto"/>
            </w:tcBorders>
          </w:tcPr>
          <w:p w14:paraId="4A149798" w14:textId="77777777" w:rsidR="00CA23D0" w:rsidRPr="00E30642" w:rsidRDefault="00CA23D0" w:rsidP="00CA23D0">
            <w:pPr>
              <w:pStyle w:val="Texttabulky"/>
              <w:spacing w:line="240" w:lineRule="atLeast"/>
              <w:jc w:val="both"/>
              <w:rPr>
                <w:rFonts w:cs="Arial"/>
              </w:rPr>
            </w:pPr>
            <w:r w:rsidRPr="00E30642">
              <w:rPr>
                <w:rFonts w:cs="Arial"/>
              </w:rPr>
              <w:t>185</w:t>
            </w:r>
          </w:p>
        </w:tc>
        <w:tc>
          <w:tcPr>
            <w:tcW w:w="1277" w:type="dxa"/>
            <w:tcBorders>
              <w:top w:val="single" w:sz="6" w:space="0" w:color="auto"/>
              <w:left w:val="single" w:sz="6" w:space="0" w:color="auto"/>
              <w:bottom w:val="single" w:sz="6" w:space="0" w:color="auto"/>
              <w:right w:val="single" w:sz="6" w:space="0" w:color="auto"/>
            </w:tcBorders>
          </w:tcPr>
          <w:p w14:paraId="13086E33" w14:textId="77777777" w:rsidR="00CA23D0" w:rsidRPr="00E30642" w:rsidRDefault="00CA23D0" w:rsidP="00CA23D0">
            <w:pPr>
              <w:pStyle w:val="Texttabulky"/>
              <w:spacing w:line="240" w:lineRule="atLeast"/>
              <w:jc w:val="both"/>
              <w:rPr>
                <w:rFonts w:cs="Arial"/>
              </w:rPr>
            </w:pPr>
            <w:r w:rsidRPr="00E30642">
              <w:rPr>
                <w:rFonts w:cs="Arial"/>
              </w:rPr>
              <w:t>185</w:t>
            </w:r>
          </w:p>
        </w:tc>
        <w:tc>
          <w:tcPr>
            <w:tcW w:w="992" w:type="dxa"/>
            <w:tcBorders>
              <w:top w:val="single" w:sz="6" w:space="0" w:color="auto"/>
              <w:left w:val="single" w:sz="6" w:space="0" w:color="auto"/>
              <w:bottom w:val="single" w:sz="6" w:space="0" w:color="auto"/>
              <w:right w:val="single" w:sz="6" w:space="0" w:color="auto"/>
            </w:tcBorders>
          </w:tcPr>
          <w:p w14:paraId="4578550C" w14:textId="77777777" w:rsidR="00CA23D0" w:rsidRPr="00E30642" w:rsidRDefault="00CA23D0" w:rsidP="00CA23D0">
            <w:pPr>
              <w:pStyle w:val="Texttabulky"/>
              <w:spacing w:line="240" w:lineRule="atLeast"/>
              <w:jc w:val="both"/>
              <w:rPr>
                <w:rFonts w:cs="Arial"/>
              </w:rPr>
            </w:pPr>
            <w:r w:rsidRPr="00E30642">
              <w:rPr>
                <w:rFonts w:cs="Arial"/>
              </w:rPr>
              <w:t>32</w:t>
            </w:r>
          </w:p>
        </w:tc>
        <w:tc>
          <w:tcPr>
            <w:tcW w:w="992" w:type="dxa"/>
            <w:tcBorders>
              <w:top w:val="single" w:sz="6" w:space="0" w:color="auto"/>
              <w:left w:val="single" w:sz="6" w:space="0" w:color="auto"/>
              <w:bottom w:val="single" w:sz="6" w:space="0" w:color="auto"/>
              <w:right w:val="single" w:sz="6" w:space="0" w:color="auto"/>
            </w:tcBorders>
          </w:tcPr>
          <w:p w14:paraId="346381E1" w14:textId="77777777" w:rsidR="00CA23D0" w:rsidRPr="00E30642" w:rsidRDefault="00CA23D0" w:rsidP="00CA23D0">
            <w:pPr>
              <w:pStyle w:val="Texttabulky"/>
              <w:spacing w:line="240" w:lineRule="atLeast"/>
              <w:jc w:val="both"/>
              <w:rPr>
                <w:rFonts w:cs="Arial"/>
              </w:rPr>
            </w:pPr>
            <w:r w:rsidRPr="00E30642">
              <w:rPr>
                <w:rFonts w:cs="Arial"/>
              </w:rPr>
              <w:t>32</w:t>
            </w:r>
          </w:p>
        </w:tc>
      </w:tr>
      <w:tr w:rsidR="00CA23D0" w:rsidRPr="00E30642" w14:paraId="7978EAD2" w14:textId="77777777" w:rsidTr="00CA23D0">
        <w:tc>
          <w:tcPr>
            <w:tcW w:w="709" w:type="dxa"/>
            <w:tcBorders>
              <w:top w:val="single" w:sz="6" w:space="0" w:color="auto"/>
              <w:left w:val="single" w:sz="6" w:space="0" w:color="auto"/>
              <w:bottom w:val="single" w:sz="6" w:space="0" w:color="auto"/>
              <w:right w:val="single" w:sz="6" w:space="0" w:color="auto"/>
            </w:tcBorders>
          </w:tcPr>
          <w:p w14:paraId="3B4FFCAE" w14:textId="77777777" w:rsidR="00CA23D0" w:rsidRPr="00E30642" w:rsidRDefault="00CA23D0" w:rsidP="00CA23D0">
            <w:pPr>
              <w:pStyle w:val="Texttabulky"/>
              <w:spacing w:line="240" w:lineRule="atLeast"/>
              <w:jc w:val="both"/>
              <w:rPr>
                <w:rFonts w:cs="Arial"/>
              </w:rPr>
            </w:pPr>
            <w:r w:rsidRPr="00E30642">
              <w:rPr>
                <w:rFonts w:cs="Arial"/>
                <w:b/>
                <w:bCs/>
              </w:rPr>
              <w:t>21</w:t>
            </w:r>
          </w:p>
        </w:tc>
        <w:tc>
          <w:tcPr>
            <w:tcW w:w="2141" w:type="dxa"/>
            <w:tcBorders>
              <w:top w:val="single" w:sz="6" w:space="0" w:color="auto"/>
              <w:left w:val="single" w:sz="6" w:space="0" w:color="auto"/>
              <w:bottom w:val="single" w:sz="6" w:space="0" w:color="auto"/>
              <w:right w:val="single" w:sz="6" w:space="0" w:color="auto"/>
            </w:tcBorders>
          </w:tcPr>
          <w:p w14:paraId="069D7934" w14:textId="77777777" w:rsidR="00CA23D0" w:rsidRPr="00E30642" w:rsidRDefault="00CA23D0" w:rsidP="00CA23D0">
            <w:pPr>
              <w:pStyle w:val="Texttabulky"/>
              <w:spacing w:line="240" w:lineRule="atLeast"/>
              <w:jc w:val="both"/>
              <w:rPr>
                <w:rFonts w:cs="Arial"/>
              </w:rPr>
            </w:pPr>
            <w:r w:rsidRPr="00E30642">
              <w:rPr>
                <w:rFonts w:cs="Arial"/>
              </w:rPr>
              <w:t>Popovice</w:t>
            </w:r>
          </w:p>
        </w:tc>
        <w:tc>
          <w:tcPr>
            <w:tcW w:w="1007" w:type="dxa"/>
            <w:tcBorders>
              <w:top w:val="single" w:sz="6" w:space="0" w:color="auto"/>
              <w:left w:val="single" w:sz="6" w:space="0" w:color="auto"/>
              <w:bottom w:val="single" w:sz="6" w:space="0" w:color="auto"/>
              <w:right w:val="single" w:sz="6" w:space="0" w:color="auto"/>
            </w:tcBorders>
          </w:tcPr>
          <w:p w14:paraId="623F7922" w14:textId="77777777" w:rsidR="00CA23D0" w:rsidRPr="00E30642" w:rsidRDefault="00CA23D0" w:rsidP="00CA23D0">
            <w:pPr>
              <w:pStyle w:val="Texttabulky"/>
              <w:spacing w:line="240" w:lineRule="atLeast"/>
              <w:jc w:val="both"/>
              <w:rPr>
                <w:rFonts w:cs="Arial"/>
              </w:rPr>
            </w:pPr>
            <w:r w:rsidRPr="00E30642">
              <w:rPr>
                <w:rFonts w:cs="Arial"/>
              </w:rPr>
              <w:t>707</w:t>
            </w:r>
          </w:p>
        </w:tc>
        <w:tc>
          <w:tcPr>
            <w:tcW w:w="1275" w:type="dxa"/>
            <w:tcBorders>
              <w:top w:val="single" w:sz="6" w:space="0" w:color="auto"/>
              <w:left w:val="single" w:sz="6" w:space="0" w:color="auto"/>
              <w:bottom w:val="single" w:sz="6" w:space="0" w:color="auto"/>
              <w:right w:val="single" w:sz="6" w:space="0" w:color="auto"/>
            </w:tcBorders>
          </w:tcPr>
          <w:p w14:paraId="381704DD" w14:textId="77777777" w:rsidR="00CA23D0" w:rsidRPr="00E30642" w:rsidRDefault="00CA23D0" w:rsidP="00CA23D0">
            <w:pPr>
              <w:pStyle w:val="Texttabulky"/>
              <w:spacing w:line="240" w:lineRule="atLeast"/>
              <w:jc w:val="both"/>
              <w:rPr>
                <w:rFonts w:cs="Arial"/>
              </w:rPr>
            </w:pPr>
            <w:r w:rsidRPr="00E30642">
              <w:rPr>
                <w:rFonts w:cs="Arial"/>
              </w:rPr>
              <w:t>725</w:t>
            </w:r>
          </w:p>
        </w:tc>
        <w:tc>
          <w:tcPr>
            <w:tcW w:w="1277" w:type="dxa"/>
            <w:tcBorders>
              <w:top w:val="single" w:sz="6" w:space="0" w:color="auto"/>
              <w:left w:val="single" w:sz="6" w:space="0" w:color="auto"/>
              <w:bottom w:val="single" w:sz="6" w:space="0" w:color="auto"/>
              <w:right w:val="single" w:sz="6" w:space="0" w:color="auto"/>
            </w:tcBorders>
          </w:tcPr>
          <w:p w14:paraId="66226142" w14:textId="77777777" w:rsidR="00CA23D0" w:rsidRPr="00E30642" w:rsidRDefault="00CA23D0" w:rsidP="00CA23D0">
            <w:pPr>
              <w:pStyle w:val="Texttabulky"/>
              <w:spacing w:line="240" w:lineRule="atLeast"/>
              <w:jc w:val="both"/>
              <w:rPr>
                <w:rFonts w:cs="Arial"/>
              </w:rPr>
            </w:pPr>
            <w:r w:rsidRPr="00E30642">
              <w:rPr>
                <w:rFonts w:cs="Arial"/>
              </w:rPr>
              <w:t>850</w:t>
            </w:r>
          </w:p>
        </w:tc>
        <w:tc>
          <w:tcPr>
            <w:tcW w:w="992" w:type="dxa"/>
            <w:tcBorders>
              <w:top w:val="single" w:sz="6" w:space="0" w:color="auto"/>
              <w:left w:val="single" w:sz="6" w:space="0" w:color="auto"/>
              <w:bottom w:val="single" w:sz="6" w:space="0" w:color="auto"/>
              <w:right w:val="single" w:sz="6" w:space="0" w:color="auto"/>
            </w:tcBorders>
          </w:tcPr>
          <w:p w14:paraId="4FFA0C0C" w14:textId="77777777" w:rsidR="00CA23D0" w:rsidRPr="00E30642" w:rsidRDefault="00CA23D0" w:rsidP="00CA23D0">
            <w:pPr>
              <w:pStyle w:val="Texttabulky"/>
              <w:spacing w:line="240" w:lineRule="atLeast"/>
              <w:jc w:val="both"/>
              <w:rPr>
                <w:rFonts w:cs="Arial"/>
              </w:rPr>
            </w:pPr>
            <w:r w:rsidRPr="00E30642">
              <w:rPr>
                <w:rFonts w:cs="Arial"/>
              </w:rPr>
              <w:t>18</w:t>
            </w:r>
          </w:p>
        </w:tc>
        <w:tc>
          <w:tcPr>
            <w:tcW w:w="992" w:type="dxa"/>
            <w:tcBorders>
              <w:top w:val="single" w:sz="6" w:space="0" w:color="auto"/>
              <w:left w:val="single" w:sz="6" w:space="0" w:color="auto"/>
              <w:bottom w:val="single" w:sz="6" w:space="0" w:color="auto"/>
              <w:right w:val="single" w:sz="6" w:space="0" w:color="auto"/>
            </w:tcBorders>
          </w:tcPr>
          <w:p w14:paraId="46AD17DA" w14:textId="77777777" w:rsidR="00CA23D0" w:rsidRPr="00E30642" w:rsidRDefault="00CA23D0" w:rsidP="00CA23D0">
            <w:pPr>
              <w:pStyle w:val="Texttabulky"/>
              <w:spacing w:line="240" w:lineRule="atLeast"/>
              <w:jc w:val="both"/>
              <w:rPr>
                <w:rFonts w:cs="Arial"/>
              </w:rPr>
            </w:pPr>
            <w:r w:rsidRPr="00E30642">
              <w:rPr>
                <w:rFonts w:cs="Arial"/>
              </w:rPr>
              <w:t>143</w:t>
            </w:r>
          </w:p>
        </w:tc>
      </w:tr>
      <w:tr w:rsidR="00CA23D0" w:rsidRPr="00E30642" w14:paraId="74A30547" w14:textId="77777777" w:rsidTr="00CA23D0">
        <w:tc>
          <w:tcPr>
            <w:tcW w:w="709" w:type="dxa"/>
            <w:tcBorders>
              <w:top w:val="single" w:sz="6" w:space="0" w:color="auto"/>
              <w:left w:val="single" w:sz="6" w:space="0" w:color="auto"/>
              <w:bottom w:val="single" w:sz="6" w:space="0" w:color="auto"/>
              <w:right w:val="single" w:sz="6" w:space="0" w:color="auto"/>
            </w:tcBorders>
          </w:tcPr>
          <w:p w14:paraId="2ED57852" w14:textId="77777777" w:rsidR="00CA23D0" w:rsidRPr="00E30642" w:rsidRDefault="00CA23D0" w:rsidP="00CA23D0">
            <w:pPr>
              <w:pStyle w:val="Texttabulky"/>
              <w:spacing w:line="240" w:lineRule="atLeast"/>
              <w:jc w:val="both"/>
              <w:rPr>
                <w:rFonts w:cs="Arial"/>
              </w:rPr>
            </w:pPr>
            <w:r w:rsidRPr="00E30642">
              <w:rPr>
                <w:rFonts w:cs="Arial"/>
                <w:b/>
                <w:bCs/>
              </w:rPr>
              <w:t>8</w:t>
            </w:r>
          </w:p>
        </w:tc>
        <w:tc>
          <w:tcPr>
            <w:tcW w:w="2141" w:type="dxa"/>
            <w:tcBorders>
              <w:top w:val="single" w:sz="6" w:space="0" w:color="auto"/>
              <w:left w:val="single" w:sz="6" w:space="0" w:color="auto"/>
              <w:bottom w:val="single" w:sz="6" w:space="0" w:color="auto"/>
              <w:right w:val="single" w:sz="6" w:space="0" w:color="auto"/>
            </w:tcBorders>
          </w:tcPr>
          <w:p w14:paraId="4E75A958" w14:textId="77777777" w:rsidR="00CA23D0" w:rsidRPr="00E30642" w:rsidRDefault="00CA23D0" w:rsidP="00CA23D0">
            <w:pPr>
              <w:pStyle w:val="Texttabulky"/>
              <w:spacing w:line="240" w:lineRule="atLeast"/>
              <w:jc w:val="both"/>
              <w:rPr>
                <w:rFonts w:cs="Arial"/>
              </w:rPr>
            </w:pPr>
            <w:r w:rsidRPr="00E30642">
              <w:rPr>
                <w:rFonts w:cs="Arial"/>
              </w:rPr>
              <w:t>U cihelny</w:t>
            </w:r>
          </w:p>
        </w:tc>
        <w:tc>
          <w:tcPr>
            <w:tcW w:w="1007" w:type="dxa"/>
            <w:tcBorders>
              <w:top w:val="single" w:sz="6" w:space="0" w:color="auto"/>
              <w:left w:val="single" w:sz="6" w:space="0" w:color="auto"/>
              <w:bottom w:val="single" w:sz="6" w:space="0" w:color="auto"/>
              <w:right w:val="single" w:sz="6" w:space="0" w:color="auto"/>
            </w:tcBorders>
          </w:tcPr>
          <w:p w14:paraId="12EE80B8" w14:textId="77777777" w:rsidR="00CA23D0" w:rsidRPr="00E30642" w:rsidRDefault="00CA23D0" w:rsidP="00CA23D0">
            <w:pPr>
              <w:pStyle w:val="Texttabulky"/>
              <w:spacing w:line="240" w:lineRule="atLeast"/>
              <w:jc w:val="both"/>
              <w:rPr>
                <w:rFonts w:cs="Arial"/>
              </w:rPr>
            </w:pPr>
            <w:r w:rsidRPr="00E30642">
              <w:rPr>
                <w:rFonts w:cs="Arial"/>
              </w:rPr>
              <w:t>70</w:t>
            </w:r>
          </w:p>
        </w:tc>
        <w:tc>
          <w:tcPr>
            <w:tcW w:w="1275" w:type="dxa"/>
            <w:tcBorders>
              <w:top w:val="single" w:sz="6" w:space="0" w:color="auto"/>
              <w:left w:val="single" w:sz="6" w:space="0" w:color="auto"/>
              <w:bottom w:val="single" w:sz="6" w:space="0" w:color="auto"/>
              <w:right w:val="single" w:sz="6" w:space="0" w:color="auto"/>
            </w:tcBorders>
          </w:tcPr>
          <w:p w14:paraId="62CCCDF6" w14:textId="77777777" w:rsidR="00CA23D0" w:rsidRPr="00E30642" w:rsidRDefault="00CA23D0" w:rsidP="00CA23D0">
            <w:pPr>
              <w:pStyle w:val="Texttabulky"/>
              <w:spacing w:line="240" w:lineRule="atLeast"/>
              <w:jc w:val="both"/>
              <w:rPr>
                <w:rFonts w:cs="Arial"/>
              </w:rPr>
            </w:pPr>
            <w:r w:rsidRPr="00E30642">
              <w:rPr>
                <w:rFonts w:cs="Arial"/>
              </w:rPr>
              <w:t>85</w:t>
            </w:r>
          </w:p>
        </w:tc>
        <w:tc>
          <w:tcPr>
            <w:tcW w:w="1277" w:type="dxa"/>
            <w:tcBorders>
              <w:top w:val="single" w:sz="6" w:space="0" w:color="auto"/>
              <w:left w:val="single" w:sz="6" w:space="0" w:color="auto"/>
              <w:bottom w:val="single" w:sz="6" w:space="0" w:color="auto"/>
              <w:right w:val="single" w:sz="6" w:space="0" w:color="auto"/>
            </w:tcBorders>
          </w:tcPr>
          <w:p w14:paraId="66063C45" w14:textId="77777777" w:rsidR="00CA23D0" w:rsidRPr="00E30642" w:rsidRDefault="00CA23D0" w:rsidP="00CA23D0">
            <w:pPr>
              <w:pStyle w:val="Texttabulky"/>
              <w:spacing w:line="240" w:lineRule="atLeast"/>
              <w:jc w:val="both"/>
              <w:rPr>
                <w:rFonts w:cs="Arial"/>
              </w:rPr>
            </w:pPr>
            <w:r w:rsidRPr="00E30642">
              <w:rPr>
                <w:rFonts w:cs="Arial"/>
              </w:rPr>
              <w:t>85</w:t>
            </w:r>
          </w:p>
        </w:tc>
        <w:tc>
          <w:tcPr>
            <w:tcW w:w="992" w:type="dxa"/>
            <w:tcBorders>
              <w:top w:val="single" w:sz="6" w:space="0" w:color="auto"/>
              <w:left w:val="single" w:sz="6" w:space="0" w:color="auto"/>
              <w:bottom w:val="single" w:sz="6" w:space="0" w:color="auto"/>
              <w:right w:val="single" w:sz="6" w:space="0" w:color="auto"/>
            </w:tcBorders>
          </w:tcPr>
          <w:p w14:paraId="1842FE1B" w14:textId="77777777" w:rsidR="00CA23D0" w:rsidRPr="00E30642" w:rsidRDefault="00CA23D0" w:rsidP="00CA23D0">
            <w:pPr>
              <w:pStyle w:val="Texttabulky"/>
              <w:spacing w:line="240" w:lineRule="atLeast"/>
              <w:jc w:val="both"/>
              <w:rPr>
                <w:rFonts w:cs="Arial"/>
              </w:rPr>
            </w:pPr>
            <w:r w:rsidRPr="00E30642">
              <w:rPr>
                <w:rFonts w:cs="Arial"/>
              </w:rPr>
              <w:t>15</w:t>
            </w:r>
          </w:p>
        </w:tc>
        <w:tc>
          <w:tcPr>
            <w:tcW w:w="992" w:type="dxa"/>
            <w:tcBorders>
              <w:top w:val="single" w:sz="6" w:space="0" w:color="auto"/>
              <w:left w:val="single" w:sz="6" w:space="0" w:color="auto"/>
              <w:bottom w:val="single" w:sz="6" w:space="0" w:color="auto"/>
              <w:right w:val="single" w:sz="6" w:space="0" w:color="auto"/>
            </w:tcBorders>
          </w:tcPr>
          <w:p w14:paraId="5D1B1FE2" w14:textId="77777777" w:rsidR="00CA23D0" w:rsidRPr="00E30642" w:rsidRDefault="00CA23D0" w:rsidP="00CA23D0">
            <w:pPr>
              <w:pStyle w:val="Texttabulky"/>
              <w:spacing w:line="240" w:lineRule="atLeast"/>
              <w:jc w:val="both"/>
              <w:rPr>
                <w:rFonts w:cs="Arial"/>
              </w:rPr>
            </w:pPr>
            <w:r w:rsidRPr="00E30642">
              <w:rPr>
                <w:rFonts w:cs="Arial"/>
              </w:rPr>
              <w:t>15</w:t>
            </w:r>
          </w:p>
        </w:tc>
      </w:tr>
      <w:tr w:rsidR="00CA23D0" w:rsidRPr="00E30642" w14:paraId="5B22CE17" w14:textId="77777777" w:rsidTr="00CA23D0">
        <w:tc>
          <w:tcPr>
            <w:tcW w:w="709" w:type="dxa"/>
            <w:tcBorders>
              <w:top w:val="single" w:sz="6" w:space="0" w:color="auto"/>
              <w:left w:val="single" w:sz="6" w:space="0" w:color="auto"/>
              <w:bottom w:val="single" w:sz="6" w:space="0" w:color="auto"/>
              <w:right w:val="single" w:sz="6" w:space="0" w:color="auto"/>
            </w:tcBorders>
          </w:tcPr>
          <w:p w14:paraId="2D0E6F61" w14:textId="77777777" w:rsidR="00CA23D0" w:rsidRPr="00E30642" w:rsidRDefault="00CA23D0" w:rsidP="00CA23D0">
            <w:pPr>
              <w:pStyle w:val="Texttabulky"/>
              <w:spacing w:line="240" w:lineRule="atLeast"/>
              <w:jc w:val="both"/>
              <w:rPr>
                <w:rFonts w:cs="Arial"/>
              </w:rPr>
            </w:pPr>
            <w:r w:rsidRPr="00E30642">
              <w:rPr>
                <w:rFonts w:cs="Arial"/>
                <w:b/>
                <w:bCs/>
              </w:rPr>
              <w:t>17</w:t>
            </w:r>
          </w:p>
        </w:tc>
        <w:tc>
          <w:tcPr>
            <w:tcW w:w="2141" w:type="dxa"/>
            <w:tcBorders>
              <w:top w:val="single" w:sz="6" w:space="0" w:color="auto"/>
              <w:left w:val="single" w:sz="6" w:space="0" w:color="auto"/>
              <w:bottom w:val="single" w:sz="6" w:space="0" w:color="auto"/>
              <w:right w:val="single" w:sz="6" w:space="0" w:color="auto"/>
            </w:tcBorders>
          </w:tcPr>
          <w:p w14:paraId="1DD39603" w14:textId="77777777" w:rsidR="00CA23D0" w:rsidRPr="00E30642" w:rsidRDefault="00CA23D0" w:rsidP="00CA23D0">
            <w:pPr>
              <w:pStyle w:val="Texttabulky"/>
              <w:spacing w:line="240" w:lineRule="atLeast"/>
              <w:jc w:val="both"/>
              <w:rPr>
                <w:rFonts w:cs="Arial"/>
              </w:rPr>
            </w:pPr>
            <w:r w:rsidRPr="00E30642">
              <w:rPr>
                <w:rFonts w:cs="Arial"/>
              </w:rPr>
              <w:t>Chrochvice</w:t>
            </w:r>
          </w:p>
        </w:tc>
        <w:tc>
          <w:tcPr>
            <w:tcW w:w="1007" w:type="dxa"/>
            <w:tcBorders>
              <w:top w:val="single" w:sz="6" w:space="0" w:color="auto"/>
              <w:left w:val="single" w:sz="6" w:space="0" w:color="auto"/>
              <w:bottom w:val="single" w:sz="6" w:space="0" w:color="auto"/>
              <w:right w:val="single" w:sz="6" w:space="0" w:color="auto"/>
            </w:tcBorders>
          </w:tcPr>
          <w:p w14:paraId="592EA64A" w14:textId="77777777" w:rsidR="00CA23D0" w:rsidRPr="00E30642" w:rsidRDefault="00CA23D0" w:rsidP="00CA23D0">
            <w:pPr>
              <w:pStyle w:val="Texttabulky"/>
              <w:spacing w:line="240" w:lineRule="atLeast"/>
              <w:jc w:val="both"/>
              <w:rPr>
                <w:rFonts w:cs="Arial"/>
              </w:rPr>
            </w:pPr>
            <w:r w:rsidRPr="00E30642">
              <w:rPr>
                <w:rFonts w:cs="Arial"/>
              </w:rPr>
              <w:t>1 349</w:t>
            </w:r>
          </w:p>
        </w:tc>
        <w:tc>
          <w:tcPr>
            <w:tcW w:w="1275" w:type="dxa"/>
            <w:tcBorders>
              <w:top w:val="single" w:sz="6" w:space="0" w:color="auto"/>
              <w:left w:val="single" w:sz="6" w:space="0" w:color="auto"/>
              <w:bottom w:val="single" w:sz="6" w:space="0" w:color="auto"/>
              <w:right w:val="single" w:sz="6" w:space="0" w:color="auto"/>
            </w:tcBorders>
          </w:tcPr>
          <w:p w14:paraId="6DAE3D5F" w14:textId="77777777" w:rsidR="00CA23D0" w:rsidRPr="00E30642" w:rsidRDefault="00CA23D0" w:rsidP="00CA23D0">
            <w:pPr>
              <w:pStyle w:val="Texttabulky"/>
              <w:spacing w:line="240" w:lineRule="atLeast"/>
              <w:jc w:val="both"/>
              <w:rPr>
                <w:rFonts w:cs="Arial"/>
              </w:rPr>
            </w:pPr>
            <w:r w:rsidRPr="00E30642">
              <w:rPr>
                <w:rFonts w:cs="Arial"/>
              </w:rPr>
              <w:t>1 360</w:t>
            </w:r>
          </w:p>
        </w:tc>
        <w:tc>
          <w:tcPr>
            <w:tcW w:w="1277" w:type="dxa"/>
            <w:tcBorders>
              <w:top w:val="single" w:sz="6" w:space="0" w:color="auto"/>
              <w:left w:val="single" w:sz="6" w:space="0" w:color="auto"/>
              <w:bottom w:val="single" w:sz="6" w:space="0" w:color="auto"/>
              <w:right w:val="single" w:sz="6" w:space="0" w:color="auto"/>
            </w:tcBorders>
          </w:tcPr>
          <w:p w14:paraId="50755335" w14:textId="77777777" w:rsidR="00CA23D0" w:rsidRPr="00E30642" w:rsidRDefault="00CA23D0" w:rsidP="00CA23D0">
            <w:pPr>
              <w:pStyle w:val="Texttabulky"/>
              <w:spacing w:line="240" w:lineRule="atLeast"/>
              <w:jc w:val="both"/>
              <w:rPr>
                <w:rFonts w:cs="Arial"/>
              </w:rPr>
            </w:pPr>
            <w:r w:rsidRPr="00E30642">
              <w:rPr>
                <w:rFonts w:cs="Arial"/>
              </w:rPr>
              <w:t>1 580</w:t>
            </w:r>
          </w:p>
        </w:tc>
        <w:tc>
          <w:tcPr>
            <w:tcW w:w="992" w:type="dxa"/>
            <w:tcBorders>
              <w:top w:val="single" w:sz="6" w:space="0" w:color="auto"/>
              <w:left w:val="single" w:sz="6" w:space="0" w:color="auto"/>
              <w:bottom w:val="single" w:sz="6" w:space="0" w:color="auto"/>
              <w:right w:val="single" w:sz="6" w:space="0" w:color="auto"/>
            </w:tcBorders>
          </w:tcPr>
          <w:p w14:paraId="4005EF19" w14:textId="77777777" w:rsidR="00CA23D0" w:rsidRPr="00E30642" w:rsidRDefault="00CA23D0" w:rsidP="00CA23D0">
            <w:pPr>
              <w:pStyle w:val="Texttabulky"/>
              <w:spacing w:line="240" w:lineRule="atLeast"/>
              <w:jc w:val="both"/>
              <w:rPr>
                <w:rFonts w:cs="Arial"/>
              </w:rPr>
            </w:pPr>
            <w:r w:rsidRPr="00E30642">
              <w:rPr>
                <w:rFonts w:cs="Arial"/>
              </w:rPr>
              <w:t>11</w:t>
            </w:r>
          </w:p>
        </w:tc>
        <w:tc>
          <w:tcPr>
            <w:tcW w:w="992" w:type="dxa"/>
            <w:tcBorders>
              <w:top w:val="single" w:sz="6" w:space="0" w:color="auto"/>
              <w:left w:val="single" w:sz="6" w:space="0" w:color="auto"/>
              <w:bottom w:val="single" w:sz="6" w:space="0" w:color="auto"/>
              <w:right w:val="single" w:sz="6" w:space="0" w:color="auto"/>
            </w:tcBorders>
          </w:tcPr>
          <w:p w14:paraId="3EB25990" w14:textId="77777777" w:rsidR="00CA23D0" w:rsidRPr="00E30642" w:rsidRDefault="00CA23D0" w:rsidP="00CA23D0">
            <w:pPr>
              <w:pStyle w:val="Texttabulky"/>
              <w:spacing w:line="240" w:lineRule="atLeast"/>
              <w:jc w:val="both"/>
              <w:rPr>
                <w:rFonts w:cs="Arial"/>
              </w:rPr>
            </w:pPr>
            <w:r w:rsidRPr="00E30642">
              <w:rPr>
                <w:rFonts w:cs="Arial"/>
              </w:rPr>
              <w:t>231</w:t>
            </w:r>
          </w:p>
        </w:tc>
      </w:tr>
      <w:tr w:rsidR="00CA23D0" w:rsidRPr="00E30642" w14:paraId="0A1A7697" w14:textId="77777777" w:rsidTr="00CA23D0">
        <w:tc>
          <w:tcPr>
            <w:tcW w:w="709" w:type="dxa"/>
            <w:tcBorders>
              <w:top w:val="single" w:sz="6" w:space="0" w:color="auto"/>
              <w:left w:val="single" w:sz="6" w:space="0" w:color="auto"/>
              <w:bottom w:val="single" w:sz="6" w:space="0" w:color="auto"/>
              <w:right w:val="single" w:sz="6" w:space="0" w:color="auto"/>
            </w:tcBorders>
          </w:tcPr>
          <w:p w14:paraId="61492DF5" w14:textId="77777777" w:rsidR="00CA23D0" w:rsidRPr="00E30642" w:rsidRDefault="00CA23D0" w:rsidP="00CA23D0">
            <w:pPr>
              <w:pStyle w:val="Texttabulky"/>
              <w:spacing w:line="240" w:lineRule="atLeast"/>
              <w:jc w:val="both"/>
              <w:rPr>
                <w:rFonts w:cs="Arial"/>
              </w:rPr>
            </w:pPr>
            <w:r w:rsidRPr="00E30642">
              <w:rPr>
                <w:rFonts w:cs="Arial"/>
                <w:b/>
                <w:bCs/>
              </w:rPr>
              <w:t>28</w:t>
            </w:r>
          </w:p>
        </w:tc>
        <w:tc>
          <w:tcPr>
            <w:tcW w:w="2141" w:type="dxa"/>
            <w:tcBorders>
              <w:top w:val="single" w:sz="6" w:space="0" w:color="auto"/>
              <w:left w:val="single" w:sz="6" w:space="0" w:color="auto"/>
              <w:bottom w:val="single" w:sz="6" w:space="0" w:color="auto"/>
              <w:right w:val="single" w:sz="6" w:space="0" w:color="auto"/>
            </w:tcBorders>
          </w:tcPr>
          <w:p w14:paraId="4F74F588" w14:textId="77777777" w:rsidR="00CA23D0" w:rsidRPr="00E30642" w:rsidRDefault="00CA23D0" w:rsidP="00CA23D0">
            <w:pPr>
              <w:pStyle w:val="Texttabulky"/>
              <w:spacing w:line="240" w:lineRule="atLeast"/>
              <w:jc w:val="both"/>
              <w:rPr>
                <w:rFonts w:cs="Arial"/>
              </w:rPr>
            </w:pPr>
            <w:r w:rsidRPr="00E30642">
              <w:rPr>
                <w:rFonts w:cs="Arial"/>
              </w:rPr>
              <w:t>Jalůvčí</w:t>
            </w:r>
          </w:p>
        </w:tc>
        <w:tc>
          <w:tcPr>
            <w:tcW w:w="1007" w:type="dxa"/>
            <w:tcBorders>
              <w:top w:val="single" w:sz="6" w:space="0" w:color="auto"/>
              <w:left w:val="single" w:sz="6" w:space="0" w:color="auto"/>
              <w:bottom w:val="single" w:sz="6" w:space="0" w:color="auto"/>
              <w:right w:val="single" w:sz="6" w:space="0" w:color="auto"/>
            </w:tcBorders>
          </w:tcPr>
          <w:p w14:paraId="54FC40F7" w14:textId="77777777" w:rsidR="00CA23D0" w:rsidRPr="00E30642" w:rsidRDefault="00CA23D0" w:rsidP="00CA23D0">
            <w:pPr>
              <w:pStyle w:val="Texttabulky"/>
              <w:spacing w:line="240" w:lineRule="atLeast"/>
              <w:jc w:val="both"/>
              <w:rPr>
                <w:rFonts w:cs="Arial"/>
              </w:rPr>
            </w:pPr>
            <w:r w:rsidRPr="00E30642">
              <w:rPr>
                <w:rFonts w:cs="Arial"/>
              </w:rPr>
              <w:t>460</w:t>
            </w:r>
          </w:p>
        </w:tc>
        <w:tc>
          <w:tcPr>
            <w:tcW w:w="1275" w:type="dxa"/>
            <w:tcBorders>
              <w:top w:val="single" w:sz="6" w:space="0" w:color="auto"/>
              <w:left w:val="single" w:sz="6" w:space="0" w:color="auto"/>
              <w:bottom w:val="single" w:sz="6" w:space="0" w:color="auto"/>
              <w:right w:val="single" w:sz="6" w:space="0" w:color="auto"/>
            </w:tcBorders>
          </w:tcPr>
          <w:p w14:paraId="6C552669" w14:textId="77777777" w:rsidR="00CA23D0" w:rsidRPr="00E30642" w:rsidRDefault="00CA23D0" w:rsidP="00CA23D0">
            <w:pPr>
              <w:pStyle w:val="Texttabulky"/>
              <w:spacing w:line="240" w:lineRule="atLeast"/>
              <w:jc w:val="both"/>
              <w:rPr>
                <w:rFonts w:cs="Arial"/>
              </w:rPr>
            </w:pPr>
            <w:r w:rsidRPr="00E30642">
              <w:rPr>
                <w:rFonts w:cs="Arial"/>
              </w:rPr>
              <w:t>470</w:t>
            </w:r>
          </w:p>
        </w:tc>
        <w:tc>
          <w:tcPr>
            <w:tcW w:w="1277" w:type="dxa"/>
            <w:tcBorders>
              <w:top w:val="single" w:sz="6" w:space="0" w:color="auto"/>
              <w:left w:val="single" w:sz="6" w:space="0" w:color="auto"/>
              <w:bottom w:val="single" w:sz="6" w:space="0" w:color="auto"/>
              <w:right w:val="single" w:sz="6" w:space="0" w:color="auto"/>
            </w:tcBorders>
          </w:tcPr>
          <w:p w14:paraId="19AF6C74" w14:textId="77777777" w:rsidR="00CA23D0" w:rsidRPr="00E30642" w:rsidRDefault="00CA23D0" w:rsidP="00CA23D0">
            <w:pPr>
              <w:pStyle w:val="Texttabulky"/>
              <w:spacing w:line="240" w:lineRule="atLeast"/>
              <w:jc w:val="both"/>
              <w:rPr>
                <w:rFonts w:cs="Arial"/>
              </w:rPr>
            </w:pPr>
            <w:r w:rsidRPr="00E30642">
              <w:rPr>
                <w:rFonts w:cs="Arial"/>
              </w:rPr>
              <w:t>470</w:t>
            </w:r>
          </w:p>
        </w:tc>
        <w:tc>
          <w:tcPr>
            <w:tcW w:w="992" w:type="dxa"/>
            <w:tcBorders>
              <w:top w:val="single" w:sz="6" w:space="0" w:color="auto"/>
              <w:left w:val="single" w:sz="6" w:space="0" w:color="auto"/>
              <w:bottom w:val="single" w:sz="6" w:space="0" w:color="auto"/>
              <w:right w:val="single" w:sz="6" w:space="0" w:color="auto"/>
            </w:tcBorders>
          </w:tcPr>
          <w:p w14:paraId="79E05D9A" w14:textId="77777777" w:rsidR="00CA23D0" w:rsidRPr="00E30642" w:rsidRDefault="00CA23D0" w:rsidP="00CA23D0">
            <w:pPr>
              <w:pStyle w:val="Texttabulky"/>
              <w:spacing w:line="240" w:lineRule="atLeast"/>
              <w:jc w:val="both"/>
              <w:rPr>
                <w:rFonts w:cs="Arial"/>
              </w:rPr>
            </w:pPr>
            <w:r w:rsidRPr="00E30642">
              <w:rPr>
                <w:rFonts w:cs="Arial"/>
              </w:rPr>
              <w:t>10</w:t>
            </w:r>
          </w:p>
        </w:tc>
        <w:tc>
          <w:tcPr>
            <w:tcW w:w="992" w:type="dxa"/>
            <w:tcBorders>
              <w:top w:val="single" w:sz="6" w:space="0" w:color="auto"/>
              <w:left w:val="single" w:sz="6" w:space="0" w:color="auto"/>
              <w:bottom w:val="single" w:sz="6" w:space="0" w:color="auto"/>
              <w:right w:val="single" w:sz="6" w:space="0" w:color="auto"/>
            </w:tcBorders>
          </w:tcPr>
          <w:p w14:paraId="2F73D761" w14:textId="77777777" w:rsidR="00CA23D0" w:rsidRPr="00E30642" w:rsidRDefault="00CA23D0" w:rsidP="00CA23D0">
            <w:pPr>
              <w:pStyle w:val="Texttabulky"/>
              <w:spacing w:line="240" w:lineRule="atLeast"/>
              <w:jc w:val="both"/>
              <w:rPr>
                <w:rFonts w:cs="Arial"/>
              </w:rPr>
            </w:pPr>
            <w:r w:rsidRPr="00E30642">
              <w:rPr>
                <w:rFonts w:cs="Arial"/>
              </w:rPr>
              <w:t>10</w:t>
            </w:r>
          </w:p>
        </w:tc>
      </w:tr>
      <w:tr w:rsidR="00CA23D0" w:rsidRPr="00E30642" w14:paraId="5FBF2B38" w14:textId="77777777" w:rsidTr="00CA23D0">
        <w:tc>
          <w:tcPr>
            <w:tcW w:w="709" w:type="dxa"/>
            <w:tcBorders>
              <w:top w:val="single" w:sz="6" w:space="0" w:color="auto"/>
              <w:left w:val="single" w:sz="6" w:space="0" w:color="auto"/>
              <w:bottom w:val="single" w:sz="6" w:space="0" w:color="auto"/>
              <w:right w:val="single" w:sz="6" w:space="0" w:color="auto"/>
            </w:tcBorders>
          </w:tcPr>
          <w:p w14:paraId="344423DF" w14:textId="77777777" w:rsidR="00CA23D0" w:rsidRPr="00E30642" w:rsidRDefault="00CA23D0" w:rsidP="00CA23D0">
            <w:pPr>
              <w:pStyle w:val="Texttabulky"/>
              <w:spacing w:line="240" w:lineRule="atLeast"/>
              <w:jc w:val="both"/>
              <w:rPr>
                <w:rFonts w:cs="Arial"/>
              </w:rPr>
            </w:pPr>
            <w:r w:rsidRPr="00E30642">
              <w:rPr>
                <w:rFonts w:cs="Arial"/>
                <w:b/>
                <w:bCs/>
              </w:rPr>
              <w:t>36</w:t>
            </w:r>
          </w:p>
        </w:tc>
        <w:tc>
          <w:tcPr>
            <w:tcW w:w="2141" w:type="dxa"/>
            <w:tcBorders>
              <w:top w:val="single" w:sz="6" w:space="0" w:color="auto"/>
              <w:left w:val="single" w:sz="6" w:space="0" w:color="auto"/>
              <w:bottom w:val="single" w:sz="6" w:space="0" w:color="auto"/>
              <w:right w:val="single" w:sz="6" w:space="0" w:color="auto"/>
            </w:tcBorders>
          </w:tcPr>
          <w:p w14:paraId="3520F183" w14:textId="77777777" w:rsidR="00CA23D0" w:rsidRPr="00E30642" w:rsidRDefault="00CA23D0" w:rsidP="00CA23D0">
            <w:pPr>
              <w:pStyle w:val="Texttabulky"/>
              <w:spacing w:line="240" w:lineRule="atLeast"/>
              <w:jc w:val="both"/>
              <w:rPr>
                <w:rFonts w:cs="Arial"/>
              </w:rPr>
            </w:pPr>
            <w:r w:rsidRPr="00E30642">
              <w:rPr>
                <w:rFonts w:cs="Arial"/>
              </w:rPr>
              <w:t>Maxičky</w:t>
            </w:r>
          </w:p>
        </w:tc>
        <w:tc>
          <w:tcPr>
            <w:tcW w:w="1007" w:type="dxa"/>
            <w:tcBorders>
              <w:top w:val="single" w:sz="6" w:space="0" w:color="auto"/>
              <w:left w:val="single" w:sz="6" w:space="0" w:color="auto"/>
              <w:bottom w:val="single" w:sz="6" w:space="0" w:color="auto"/>
              <w:right w:val="single" w:sz="6" w:space="0" w:color="auto"/>
            </w:tcBorders>
          </w:tcPr>
          <w:p w14:paraId="4BDDFDB7" w14:textId="77777777" w:rsidR="00CA23D0" w:rsidRPr="00E30642" w:rsidRDefault="00CA23D0" w:rsidP="00CA23D0">
            <w:pPr>
              <w:pStyle w:val="Texttabulky"/>
              <w:spacing w:line="240" w:lineRule="atLeast"/>
              <w:jc w:val="both"/>
              <w:rPr>
                <w:rFonts w:cs="Arial"/>
              </w:rPr>
            </w:pPr>
            <w:r w:rsidRPr="00E30642">
              <w:rPr>
                <w:rFonts w:cs="Arial"/>
              </w:rPr>
              <w:t>59</w:t>
            </w:r>
          </w:p>
        </w:tc>
        <w:tc>
          <w:tcPr>
            <w:tcW w:w="1275" w:type="dxa"/>
            <w:tcBorders>
              <w:top w:val="single" w:sz="6" w:space="0" w:color="auto"/>
              <w:left w:val="single" w:sz="6" w:space="0" w:color="auto"/>
              <w:bottom w:val="single" w:sz="6" w:space="0" w:color="auto"/>
              <w:right w:val="single" w:sz="6" w:space="0" w:color="auto"/>
            </w:tcBorders>
          </w:tcPr>
          <w:p w14:paraId="1E5B2821" w14:textId="77777777" w:rsidR="00CA23D0" w:rsidRPr="00E30642" w:rsidRDefault="00CA23D0" w:rsidP="00CA23D0">
            <w:pPr>
              <w:pStyle w:val="Texttabulky"/>
              <w:spacing w:line="240" w:lineRule="atLeast"/>
              <w:jc w:val="both"/>
              <w:rPr>
                <w:rFonts w:cs="Arial"/>
              </w:rPr>
            </w:pPr>
            <w:r w:rsidRPr="00E30642">
              <w:rPr>
                <w:rFonts w:cs="Arial"/>
              </w:rPr>
              <w:t>65</w:t>
            </w:r>
          </w:p>
        </w:tc>
        <w:tc>
          <w:tcPr>
            <w:tcW w:w="1277" w:type="dxa"/>
            <w:tcBorders>
              <w:top w:val="single" w:sz="6" w:space="0" w:color="auto"/>
              <w:left w:val="single" w:sz="6" w:space="0" w:color="auto"/>
              <w:bottom w:val="single" w:sz="6" w:space="0" w:color="auto"/>
              <w:right w:val="single" w:sz="6" w:space="0" w:color="auto"/>
            </w:tcBorders>
          </w:tcPr>
          <w:p w14:paraId="2A1F3AE1" w14:textId="77777777" w:rsidR="00CA23D0" w:rsidRPr="00E30642" w:rsidRDefault="00CA23D0" w:rsidP="00CA23D0">
            <w:pPr>
              <w:pStyle w:val="Texttabulky"/>
              <w:spacing w:line="240" w:lineRule="atLeast"/>
              <w:jc w:val="both"/>
              <w:rPr>
                <w:rFonts w:cs="Arial"/>
              </w:rPr>
            </w:pPr>
            <w:r w:rsidRPr="00E30642">
              <w:rPr>
                <w:rFonts w:cs="Arial"/>
              </w:rPr>
              <w:t>130</w:t>
            </w:r>
          </w:p>
        </w:tc>
        <w:tc>
          <w:tcPr>
            <w:tcW w:w="992" w:type="dxa"/>
            <w:tcBorders>
              <w:top w:val="single" w:sz="6" w:space="0" w:color="auto"/>
              <w:left w:val="single" w:sz="6" w:space="0" w:color="auto"/>
              <w:bottom w:val="single" w:sz="6" w:space="0" w:color="auto"/>
              <w:right w:val="single" w:sz="6" w:space="0" w:color="auto"/>
            </w:tcBorders>
          </w:tcPr>
          <w:p w14:paraId="0B2288C2" w14:textId="77777777" w:rsidR="00CA23D0" w:rsidRPr="00E30642" w:rsidRDefault="00CA23D0" w:rsidP="00CA23D0">
            <w:pPr>
              <w:pStyle w:val="Texttabulky"/>
              <w:spacing w:line="240" w:lineRule="atLeast"/>
              <w:jc w:val="both"/>
              <w:rPr>
                <w:rFonts w:cs="Arial"/>
              </w:rPr>
            </w:pPr>
            <w:r w:rsidRPr="00E30642">
              <w:rPr>
                <w:rFonts w:cs="Arial"/>
              </w:rPr>
              <w:t>6</w:t>
            </w:r>
          </w:p>
        </w:tc>
        <w:tc>
          <w:tcPr>
            <w:tcW w:w="992" w:type="dxa"/>
            <w:tcBorders>
              <w:top w:val="single" w:sz="6" w:space="0" w:color="auto"/>
              <w:left w:val="single" w:sz="6" w:space="0" w:color="auto"/>
              <w:bottom w:val="single" w:sz="6" w:space="0" w:color="auto"/>
              <w:right w:val="single" w:sz="6" w:space="0" w:color="auto"/>
            </w:tcBorders>
          </w:tcPr>
          <w:p w14:paraId="46E524BC" w14:textId="77777777" w:rsidR="00CA23D0" w:rsidRPr="00E30642" w:rsidRDefault="00CA23D0" w:rsidP="00CA23D0">
            <w:pPr>
              <w:pStyle w:val="Texttabulky"/>
              <w:spacing w:line="240" w:lineRule="atLeast"/>
              <w:jc w:val="both"/>
              <w:rPr>
                <w:rFonts w:cs="Arial"/>
              </w:rPr>
            </w:pPr>
            <w:r w:rsidRPr="00E30642">
              <w:rPr>
                <w:rFonts w:cs="Arial"/>
              </w:rPr>
              <w:t>71</w:t>
            </w:r>
          </w:p>
        </w:tc>
      </w:tr>
      <w:tr w:rsidR="00CA23D0" w:rsidRPr="00E30642" w14:paraId="69324636" w14:textId="77777777" w:rsidTr="00CA23D0">
        <w:tc>
          <w:tcPr>
            <w:tcW w:w="709" w:type="dxa"/>
            <w:tcBorders>
              <w:top w:val="single" w:sz="6" w:space="0" w:color="auto"/>
              <w:left w:val="single" w:sz="6" w:space="0" w:color="auto"/>
              <w:bottom w:val="single" w:sz="6" w:space="0" w:color="auto"/>
              <w:right w:val="single" w:sz="6" w:space="0" w:color="auto"/>
            </w:tcBorders>
          </w:tcPr>
          <w:p w14:paraId="43E9E4E7" w14:textId="77777777" w:rsidR="00CA23D0" w:rsidRPr="00E30642" w:rsidRDefault="00CA23D0" w:rsidP="00CA23D0">
            <w:pPr>
              <w:pStyle w:val="Texttabulky"/>
              <w:spacing w:line="240" w:lineRule="atLeast"/>
              <w:jc w:val="both"/>
              <w:rPr>
                <w:rFonts w:cs="Arial"/>
              </w:rPr>
            </w:pPr>
            <w:r w:rsidRPr="00E30642">
              <w:rPr>
                <w:rFonts w:cs="Arial"/>
                <w:b/>
                <w:bCs/>
              </w:rPr>
              <w:t>26</w:t>
            </w:r>
          </w:p>
        </w:tc>
        <w:tc>
          <w:tcPr>
            <w:tcW w:w="2141" w:type="dxa"/>
            <w:tcBorders>
              <w:top w:val="single" w:sz="6" w:space="0" w:color="auto"/>
              <w:left w:val="single" w:sz="6" w:space="0" w:color="auto"/>
              <w:bottom w:val="single" w:sz="6" w:space="0" w:color="auto"/>
              <w:right w:val="single" w:sz="6" w:space="0" w:color="auto"/>
            </w:tcBorders>
          </w:tcPr>
          <w:p w14:paraId="7EFF386C" w14:textId="77777777" w:rsidR="00CA23D0" w:rsidRPr="00E30642" w:rsidRDefault="00CA23D0" w:rsidP="00CA23D0">
            <w:pPr>
              <w:pStyle w:val="Texttabulky"/>
              <w:spacing w:line="240" w:lineRule="atLeast"/>
              <w:jc w:val="both"/>
              <w:rPr>
                <w:rFonts w:cs="Arial"/>
              </w:rPr>
            </w:pPr>
            <w:r w:rsidRPr="00E30642">
              <w:rPr>
                <w:rFonts w:cs="Arial"/>
              </w:rPr>
              <w:t>Pastýřská stěna</w:t>
            </w:r>
          </w:p>
        </w:tc>
        <w:tc>
          <w:tcPr>
            <w:tcW w:w="1007" w:type="dxa"/>
            <w:tcBorders>
              <w:top w:val="single" w:sz="6" w:space="0" w:color="auto"/>
              <w:left w:val="single" w:sz="6" w:space="0" w:color="auto"/>
              <w:bottom w:val="single" w:sz="6" w:space="0" w:color="auto"/>
              <w:right w:val="single" w:sz="6" w:space="0" w:color="auto"/>
            </w:tcBorders>
          </w:tcPr>
          <w:p w14:paraId="20248484" w14:textId="77777777" w:rsidR="00CA23D0" w:rsidRPr="00E30642" w:rsidRDefault="00CA23D0" w:rsidP="00CA23D0">
            <w:pPr>
              <w:pStyle w:val="Texttabulky"/>
              <w:spacing w:line="240" w:lineRule="atLeast"/>
              <w:jc w:val="both"/>
              <w:rPr>
                <w:rFonts w:cs="Arial"/>
              </w:rPr>
            </w:pPr>
            <w:r w:rsidRPr="00E30642">
              <w:rPr>
                <w:rFonts w:cs="Arial"/>
              </w:rPr>
              <w:t>1</w:t>
            </w:r>
          </w:p>
        </w:tc>
        <w:tc>
          <w:tcPr>
            <w:tcW w:w="1275" w:type="dxa"/>
            <w:tcBorders>
              <w:top w:val="single" w:sz="6" w:space="0" w:color="auto"/>
              <w:left w:val="single" w:sz="6" w:space="0" w:color="auto"/>
              <w:bottom w:val="single" w:sz="6" w:space="0" w:color="auto"/>
              <w:right w:val="single" w:sz="6" w:space="0" w:color="auto"/>
            </w:tcBorders>
          </w:tcPr>
          <w:p w14:paraId="33FC8A67" w14:textId="77777777" w:rsidR="00CA23D0" w:rsidRPr="00E30642" w:rsidRDefault="00CA23D0" w:rsidP="00CA23D0">
            <w:pPr>
              <w:pStyle w:val="Texttabulky"/>
              <w:spacing w:line="240" w:lineRule="atLeast"/>
              <w:jc w:val="both"/>
              <w:rPr>
                <w:rFonts w:cs="Arial"/>
              </w:rPr>
            </w:pPr>
            <w:r w:rsidRPr="00E30642">
              <w:rPr>
                <w:rFonts w:cs="Arial"/>
              </w:rPr>
              <w:t>5</w:t>
            </w:r>
          </w:p>
        </w:tc>
        <w:tc>
          <w:tcPr>
            <w:tcW w:w="1277" w:type="dxa"/>
            <w:tcBorders>
              <w:top w:val="single" w:sz="6" w:space="0" w:color="auto"/>
              <w:left w:val="single" w:sz="6" w:space="0" w:color="auto"/>
              <w:bottom w:val="single" w:sz="6" w:space="0" w:color="auto"/>
              <w:right w:val="single" w:sz="6" w:space="0" w:color="auto"/>
            </w:tcBorders>
          </w:tcPr>
          <w:p w14:paraId="7A567212" w14:textId="77777777" w:rsidR="00CA23D0" w:rsidRPr="00E30642" w:rsidRDefault="00CA23D0" w:rsidP="00CA23D0">
            <w:pPr>
              <w:pStyle w:val="Texttabulky"/>
              <w:spacing w:line="240" w:lineRule="atLeast"/>
              <w:jc w:val="both"/>
              <w:rPr>
                <w:rFonts w:cs="Arial"/>
              </w:rPr>
            </w:pPr>
            <w:r w:rsidRPr="00E30642">
              <w:rPr>
                <w:rFonts w:cs="Arial"/>
              </w:rPr>
              <w:t>5</w:t>
            </w:r>
          </w:p>
        </w:tc>
        <w:tc>
          <w:tcPr>
            <w:tcW w:w="992" w:type="dxa"/>
            <w:tcBorders>
              <w:top w:val="single" w:sz="6" w:space="0" w:color="auto"/>
              <w:left w:val="single" w:sz="6" w:space="0" w:color="auto"/>
              <w:bottom w:val="single" w:sz="6" w:space="0" w:color="auto"/>
              <w:right w:val="single" w:sz="6" w:space="0" w:color="auto"/>
            </w:tcBorders>
          </w:tcPr>
          <w:p w14:paraId="616328E1" w14:textId="77777777" w:rsidR="00CA23D0" w:rsidRPr="00E30642" w:rsidRDefault="00CA23D0" w:rsidP="00CA23D0">
            <w:pPr>
              <w:pStyle w:val="Texttabulky"/>
              <w:spacing w:line="240" w:lineRule="atLeast"/>
              <w:jc w:val="both"/>
              <w:rPr>
                <w:rFonts w:cs="Arial"/>
              </w:rPr>
            </w:pPr>
            <w:r w:rsidRPr="00E30642">
              <w:rPr>
                <w:rFonts w:cs="Arial"/>
              </w:rPr>
              <w:t>4</w:t>
            </w:r>
          </w:p>
        </w:tc>
        <w:tc>
          <w:tcPr>
            <w:tcW w:w="992" w:type="dxa"/>
            <w:tcBorders>
              <w:top w:val="single" w:sz="6" w:space="0" w:color="auto"/>
              <w:left w:val="single" w:sz="6" w:space="0" w:color="auto"/>
              <w:bottom w:val="single" w:sz="6" w:space="0" w:color="auto"/>
              <w:right w:val="single" w:sz="6" w:space="0" w:color="auto"/>
            </w:tcBorders>
          </w:tcPr>
          <w:p w14:paraId="342421D2" w14:textId="77777777" w:rsidR="00CA23D0" w:rsidRPr="00E30642" w:rsidRDefault="00CA23D0" w:rsidP="00CA23D0">
            <w:pPr>
              <w:pStyle w:val="Texttabulky"/>
              <w:spacing w:line="240" w:lineRule="atLeast"/>
              <w:jc w:val="both"/>
              <w:rPr>
                <w:rFonts w:cs="Arial"/>
              </w:rPr>
            </w:pPr>
            <w:r w:rsidRPr="00E30642">
              <w:rPr>
                <w:rFonts w:cs="Arial"/>
              </w:rPr>
              <w:t>4</w:t>
            </w:r>
          </w:p>
        </w:tc>
      </w:tr>
      <w:tr w:rsidR="00CA23D0" w:rsidRPr="00E30642" w14:paraId="41A9B5E2" w14:textId="77777777" w:rsidTr="00CA23D0">
        <w:tc>
          <w:tcPr>
            <w:tcW w:w="709" w:type="dxa"/>
            <w:tcBorders>
              <w:top w:val="single" w:sz="6" w:space="0" w:color="auto"/>
              <w:left w:val="single" w:sz="6" w:space="0" w:color="auto"/>
              <w:bottom w:val="single" w:sz="6" w:space="0" w:color="auto"/>
              <w:right w:val="single" w:sz="6" w:space="0" w:color="auto"/>
            </w:tcBorders>
          </w:tcPr>
          <w:p w14:paraId="48BC660D" w14:textId="77777777" w:rsidR="00CA23D0" w:rsidRPr="00E30642" w:rsidRDefault="00CA23D0" w:rsidP="00CA23D0">
            <w:pPr>
              <w:pStyle w:val="Texttabulky"/>
              <w:spacing w:line="240" w:lineRule="atLeast"/>
              <w:jc w:val="both"/>
              <w:rPr>
                <w:rFonts w:cs="Arial"/>
              </w:rPr>
            </w:pPr>
            <w:r w:rsidRPr="00E30642">
              <w:rPr>
                <w:rFonts w:cs="Arial"/>
                <w:b/>
                <w:bCs/>
              </w:rPr>
              <w:t>24</w:t>
            </w:r>
          </w:p>
        </w:tc>
        <w:tc>
          <w:tcPr>
            <w:tcW w:w="2141" w:type="dxa"/>
            <w:tcBorders>
              <w:top w:val="single" w:sz="6" w:space="0" w:color="auto"/>
              <w:left w:val="single" w:sz="6" w:space="0" w:color="auto"/>
              <w:bottom w:val="single" w:sz="6" w:space="0" w:color="auto"/>
              <w:right w:val="single" w:sz="6" w:space="0" w:color="auto"/>
            </w:tcBorders>
          </w:tcPr>
          <w:p w14:paraId="7EA3D1CB" w14:textId="77777777" w:rsidR="00CA23D0" w:rsidRPr="00E30642" w:rsidRDefault="00CA23D0" w:rsidP="00CA23D0">
            <w:pPr>
              <w:pStyle w:val="Texttabulky"/>
              <w:spacing w:line="240" w:lineRule="atLeast"/>
              <w:jc w:val="both"/>
              <w:rPr>
                <w:rFonts w:cs="Arial"/>
              </w:rPr>
            </w:pPr>
            <w:r w:rsidRPr="00E30642">
              <w:rPr>
                <w:rFonts w:cs="Arial"/>
              </w:rPr>
              <w:t>U stadiónu</w:t>
            </w:r>
          </w:p>
        </w:tc>
        <w:tc>
          <w:tcPr>
            <w:tcW w:w="1007" w:type="dxa"/>
            <w:tcBorders>
              <w:top w:val="single" w:sz="6" w:space="0" w:color="auto"/>
              <w:left w:val="single" w:sz="6" w:space="0" w:color="auto"/>
              <w:bottom w:val="single" w:sz="6" w:space="0" w:color="auto"/>
              <w:right w:val="single" w:sz="6" w:space="0" w:color="auto"/>
            </w:tcBorders>
          </w:tcPr>
          <w:p w14:paraId="6DB4471D" w14:textId="77777777" w:rsidR="00CA23D0" w:rsidRPr="00E30642" w:rsidRDefault="00CA23D0" w:rsidP="00CA23D0">
            <w:pPr>
              <w:pStyle w:val="Texttabulky"/>
              <w:spacing w:line="240" w:lineRule="atLeast"/>
              <w:jc w:val="both"/>
              <w:rPr>
                <w:rFonts w:cs="Arial"/>
              </w:rPr>
            </w:pPr>
            <w:r w:rsidRPr="00E30642">
              <w:rPr>
                <w:rFonts w:cs="Arial"/>
              </w:rPr>
              <w:t>8</w:t>
            </w:r>
          </w:p>
        </w:tc>
        <w:tc>
          <w:tcPr>
            <w:tcW w:w="1275" w:type="dxa"/>
            <w:tcBorders>
              <w:top w:val="single" w:sz="6" w:space="0" w:color="auto"/>
              <w:left w:val="single" w:sz="6" w:space="0" w:color="auto"/>
              <w:bottom w:val="single" w:sz="6" w:space="0" w:color="auto"/>
              <w:right w:val="single" w:sz="6" w:space="0" w:color="auto"/>
            </w:tcBorders>
          </w:tcPr>
          <w:p w14:paraId="381912CE" w14:textId="77777777" w:rsidR="00CA23D0" w:rsidRPr="00E30642" w:rsidRDefault="00CA23D0" w:rsidP="00CA23D0">
            <w:pPr>
              <w:pStyle w:val="Texttabulky"/>
              <w:spacing w:line="240" w:lineRule="atLeast"/>
              <w:jc w:val="both"/>
              <w:rPr>
                <w:rFonts w:cs="Arial"/>
              </w:rPr>
            </w:pPr>
            <w:r w:rsidRPr="00E30642">
              <w:rPr>
                <w:rFonts w:cs="Arial"/>
              </w:rPr>
              <w:t>10</w:t>
            </w:r>
          </w:p>
        </w:tc>
        <w:tc>
          <w:tcPr>
            <w:tcW w:w="1277" w:type="dxa"/>
            <w:tcBorders>
              <w:top w:val="single" w:sz="6" w:space="0" w:color="auto"/>
              <w:left w:val="single" w:sz="6" w:space="0" w:color="auto"/>
              <w:bottom w:val="single" w:sz="6" w:space="0" w:color="auto"/>
              <w:right w:val="single" w:sz="6" w:space="0" w:color="auto"/>
            </w:tcBorders>
          </w:tcPr>
          <w:p w14:paraId="34F338A3" w14:textId="77777777" w:rsidR="00CA23D0" w:rsidRPr="00E30642" w:rsidRDefault="00CA23D0" w:rsidP="00CA23D0">
            <w:pPr>
              <w:pStyle w:val="Texttabulky"/>
              <w:spacing w:line="240" w:lineRule="atLeast"/>
              <w:jc w:val="both"/>
              <w:rPr>
                <w:rFonts w:cs="Arial"/>
              </w:rPr>
            </w:pPr>
            <w:r w:rsidRPr="00E30642">
              <w:rPr>
                <w:rFonts w:cs="Arial"/>
              </w:rPr>
              <w:t>10</w:t>
            </w:r>
          </w:p>
        </w:tc>
        <w:tc>
          <w:tcPr>
            <w:tcW w:w="992" w:type="dxa"/>
            <w:tcBorders>
              <w:top w:val="single" w:sz="6" w:space="0" w:color="auto"/>
              <w:left w:val="single" w:sz="6" w:space="0" w:color="auto"/>
              <w:bottom w:val="single" w:sz="6" w:space="0" w:color="auto"/>
              <w:right w:val="single" w:sz="6" w:space="0" w:color="auto"/>
            </w:tcBorders>
          </w:tcPr>
          <w:p w14:paraId="71D089D9" w14:textId="77777777" w:rsidR="00CA23D0" w:rsidRPr="00E30642" w:rsidRDefault="00CA23D0" w:rsidP="00CA23D0">
            <w:pPr>
              <w:pStyle w:val="Texttabulky"/>
              <w:spacing w:line="240" w:lineRule="atLeast"/>
              <w:jc w:val="both"/>
              <w:rPr>
                <w:rFonts w:cs="Arial"/>
              </w:rPr>
            </w:pPr>
            <w:r w:rsidRPr="00E30642">
              <w:rPr>
                <w:rFonts w:cs="Arial"/>
              </w:rPr>
              <w:t>2</w:t>
            </w:r>
          </w:p>
        </w:tc>
        <w:tc>
          <w:tcPr>
            <w:tcW w:w="992" w:type="dxa"/>
            <w:tcBorders>
              <w:top w:val="single" w:sz="6" w:space="0" w:color="auto"/>
              <w:left w:val="single" w:sz="6" w:space="0" w:color="auto"/>
              <w:bottom w:val="single" w:sz="6" w:space="0" w:color="auto"/>
              <w:right w:val="single" w:sz="6" w:space="0" w:color="auto"/>
            </w:tcBorders>
          </w:tcPr>
          <w:p w14:paraId="6845325B" w14:textId="77777777" w:rsidR="00CA23D0" w:rsidRPr="00E30642" w:rsidRDefault="00CA23D0" w:rsidP="00CA23D0">
            <w:pPr>
              <w:pStyle w:val="Texttabulky"/>
              <w:spacing w:line="240" w:lineRule="atLeast"/>
              <w:jc w:val="both"/>
              <w:rPr>
                <w:rFonts w:cs="Arial"/>
              </w:rPr>
            </w:pPr>
            <w:r w:rsidRPr="00E30642">
              <w:rPr>
                <w:rFonts w:cs="Arial"/>
              </w:rPr>
              <w:t>2</w:t>
            </w:r>
          </w:p>
        </w:tc>
      </w:tr>
      <w:tr w:rsidR="00CA23D0" w:rsidRPr="00E30642" w14:paraId="471852A3" w14:textId="77777777" w:rsidTr="00CA23D0">
        <w:tc>
          <w:tcPr>
            <w:tcW w:w="709" w:type="dxa"/>
            <w:tcBorders>
              <w:top w:val="single" w:sz="6" w:space="0" w:color="auto"/>
              <w:left w:val="single" w:sz="6" w:space="0" w:color="auto"/>
              <w:bottom w:val="single" w:sz="6" w:space="0" w:color="auto"/>
              <w:right w:val="single" w:sz="6" w:space="0" w:color="auto"/>
            </w:tcBorders>
          </w:tcPr>
          <w:p w14:paraId="26B37D5D" w14:textId="77777777" w:rsidR="00CA23D0" w:rsidRPr="00E30642" w:rsidRDefault="00CA23D0" w:rsidP="00CA23D0">
            <w:pPr>
              <w:pStyle w:val="Texttabulky"/>
              <w:spacing w:line="240" w:lineRule="atLeast"/>
              <w:jc w:val="both"/>
              <w:rPr>
                <w:rFonts w:cs="Arial"/>
              </w:rPr>
            </w:pPr>
            <w:r w:rsidRPr="00E30642">
              <w:rPr>
                <w:rFonts w:cs="Arial"/>
                <w:b/>
                <w:bCs/>
              </w:rPr>
              <w:t>2</w:t>
            </w:r>
          </w:p>
        </w:tc>
        <w:tc>
          <w:tcPr>
            <w:tcW w:w="2141" w:type="dxa"/>
            <w:tcBorders>
              <w:top w:val="single" w:sz="6" w:space="0" w:color="auto"/>
              <w:left w:val="single" w:sz="6" w:space="0" w:color="auto"/>
              <w:bottom w:val="single" w:sz="6" w:space="0" w:color="auto"/>
              <w:right w:val="single" w:sz="6" w:space="0" w:color="auto"/>
            </w:tcBorders>
          </w:tcPr>
          <w:p w14:paraId="4EDD1F98" w14:textId="77777777" w:rsidR="00CA23D0" w:rsidRPr="00E30642" w:rsidRDefault="00CA23D0" w:rsidP="00CA23D0">
            <w:pPr>
              <w:pStyle w:val="Texttabulky"/>
              <w:spacing w:line="240" w:lineRule="atLeast"/>
              <w:jc w:val="both"/>
              <w:rPr>
                <w:rFonts w:cs="Arial"/>
              </w:rPr>
            </w:pPr>
            <w:r w:rsidRPr="00E30642">
              <w:rPr>
                <w:rFonts w:cs="Arial"/>
              </w:rPr>
              <w:t>Přístav</w:t>
            </w:r>
          </w:p>
        </w:tc>
        <w:tc>
          <w:tcPr>
            <w:tcW w:w="1007" w:type="dxa"/>
            <w:tcBorders>
              <w:top w:val="single" w:sz="6" w:space="0" w:color="auto"/>
              <w:left w:val="single" w:sz="6" w:space="0" w:color="auto"/>
              <w:bottom w:val="single" w:sz="6" w:space="0" w:color="auto"/>
              <w:right w:val="single" w:sz="6" w:space="0" w:color="auto"/>
            </w:tcBorders>
          </w:tcPr>
          <w:p w14:paraId="1411D6A6"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0B645C46"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7" w:type="dxa"/>
            <w:tcBorders>
              <w:top w:val="single" w:sz="6" w:space="0" w:color="auto"/>
              <w:left w:val="single" w:sz="6" w:space="0" w:color="auto"/>
              <w:bottom w:val="single" w:sz="6" w:space="0" w:color="auto"/>
              <w:right w:val="single" w:sz="6" w:space="0" w:color="auto"/>
            </w:tcBorders>
          </w:tcPr>
          <w:p w14:paraId="2434A539"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12B3539A"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049AF0E6"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264E3B1A" w14:textId="77777777" w:rsidTr="00CA23D0">
        <w:tc>
          <w:tcPr>
            <w:tcW w:w="709" w:type="dxa"/>
            <w:tcBorders>
              <w:top w:val="single" w:sz="6" w:space="0" w:color="auto"/>
              <w:left w:val="single" w:sz="6" w:space="0" w:color="auto"/>
              <w:bottom w:val="single" w:sz="6" w:space="0" w:color="auto"/>
              <w:right w:val="single" w:sz="6" w:space="0" w:color="auto"/>
            </w:tcBorders>
          </w:tcPr>
          <w:p w14:paraId="0B272211" w14:textId="77777777" w:rsidR="00CA23D0" w:rsidRPr="00E30642" w:rsidRDefault="00CA23D0" w:rsidP="00CA23D0">
            <w:pPr>
              <w:pStyle w:val="Texttabulky"/>
              <w:spacing w:line="240" w:lineRule="atLeast"/>
              <w:jc w:val="both"/>
              <w:rPr>
                <w:rFonts w:cs="Arial"/>
              </w:rPr>
            </w:pPr>
            <w:r w:rsidRPr="00E30642">
              <w:rPr>
                <w:rFonts w:cs="Arial"/>
                <w:b/>
                <w:bCs/>
              </w:rPr>
              <w:t>3</w:t>
            </w:r>
          </w:p>
        </w:tc>
        <w:tc>
          <w:tcPr>
            <w:tcW w:w="2141" w:type="dxa"/>
            <w:tcBorders>
              <w:top w:val="single" w:sz="6" w:space="0" w:color="auto"/>
              <w:left w:val="single" w:sz="6" w:space="0" w:color="auto"/>
              <w:bottom w:val="single" w:sz="6" w:space="0" w:color="auto"/>
              <w:right w:val="single" w:sz="6" w:space="0" w:color="auto"/>
            </w:tcBorders>
          </w:tcPr>
          <w:p w14:paraId="77529A66" w14:textId="77777777" w:rsidR="00CA23D0" w:rsidRPr="00E30642" w:rsidRDefault="00CA23D0" w:rsidP="00CA23D0">
            <w:pPr>
              <w:pStyle w:val="Texttabulky"/>
              <w:spacing w:line="240" w:lineRule="atLeast"/>
              <w:jc w:val="both"/>
              <w:rPr>
                <w:rFonts w:cs="Arial"/>
              </w:rPr>
            </w:pPr>
            <w:r w:rsidRPr="00E30642">
              <w:rPr>
                <w:rFonts w:cs="Arial"/>
              </w:rPr>
              <w:t>Děčínská výšina</w:t>
            </w:r>
          </w:p>
        </w:tc>
        <w:tc>
          <w:tcPr>
            <w:tcW w:w="1007" w:type="dxa"/>
            <w:tcBorders>
              <w:top w:val="single" w:sz="6" w:space="0" w:color="auto"/>
              <w:left w:val="single" w:sz="6" w:space="0" w:color="auto"/>
              <w:bottom w:val="single" w:sz="6" w:space="0" w:color="auto"/>
              <w:right w:val="single" w:sz="6" w:space="0" w:color="auto"/>
            </w:tcBorders>
          </w:tcPr>
          <w:p w14:paraId="36FA2C0C"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36789EE7"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7" w:type="dxa"/>
            <w:tcBorders>
              <w:top w:val="single" w:sz="6" w:space="0" w:color="auto"/>
              <w:left w:val="single" w:sz="6" w:space="0" w:color="auto"/>
              <w:bottom w:val="single" w:sz="6" w:space="0" w:color="auto"/>
              <w:right w:val="single" w:sz="6" w:space="0" w:color="auto"/>
            </w:tcBorders>
          </w:tcPr>
          <w:p w14:paraId="4C74D5E4"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393E5ABA"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282B75AD"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50FB8C13" w14:textId="77777777" w:rsidTr="00CA23D0">
        <w:tc>
          <w:tcPr>
            <w:tcW w:w="709" w:type="dxa"/>
            <w:tcBorders>
              <w:top w:val="single" w:sz="6" w:space="0" w:color="auto"/>
              <w:left w:val="single" w:sz="6" w:space="0" w:color="auto"/>
              <w:bottom w:val="single" w:sz="6" w:space="0" w:color="auto"/>
              <w:right w:val="single" w:sz="6" w:space="0" w:color="auto"/>
            </w:tcBorders>
          </w:tcPr>
          <w:p w14:paraId="223E1257" w14:textId="77777777" w:rsidR="00CA23D0" w:rsidRPr="00E30642" w:rsidRDefault="00CA23D0" w:rsidP="00CA23D0">
            <w:pPr>
              <w:pStyle w:val="Texttabulky"/>
              <w:spacing w:line="240" w:lineRule="atLeast"/>
              <w:jc w:val="both"/>
              <w:rPr>
                <w:rFonts w:cs="Arial"/>
              </w:rPr>
            </w:pPr>
            <w:r w:rsidRPr="00E30642">
              <w:rPr>
                <w:rFonts w:cs="Arial"/>
                <w:b/>
                <w:bCs/>
              </w:rPr>
              <w:t>10</w:t>
            </w:r>
          </w:p>
        </w:tc>
        <w:tc>
          <w:tcPr>
            <w:tcW w:w="2141" w:type="dxa"/>
            <w:tcBorders>
              <w:top w:val="single" w:sz="6" w:space="0" w:color="auto"/>
              <w:left w:val="single" w:sz="6" w:space="0" w:color="auto"/>
              <w:bottom w:val="single" w:sz="6" w:space="0" w:color="auto"/>
              <w:right w:val="single" w:sz="6" w:space="0" w:color="auto"/>
            </w:tcBorders>
          </w:tcPr>
          <w:p w14:paraId="4252486E" w14:textId="77777777" w:rsidR="00CA23D0" w:rsidRPr="00E30642" w:rsidRDefault="00CA23D0" w:rsidP="00CA23D0">
            <w:pPr>
              <w:pStyle w:val="Texttabulky"/>
              <w:spacing w:line="240" w:lineRule="atLeast"/>
              <w:jc w:val="both"/>
              <w:rPr>
                <w:rFonts w:cs="Arial"/>
              </w:rPr>
            </w:pPr>
            <w:r w:rsidRPr="00E30642">
              <w:rPr>
                <w:rFonts w:cs="Arial"/>
              </w:rPr>
              <w:t>Zámek</w:t>
            </w:r>
          </w:p>
        </w:tc>
        <w:tc>
          <w:tcPr>
            <w:tcW w:w="1007" w:type="dxa"/>
            <w:tcBorders>
              <w:top w:val="single" w:sz="6" w:space="0" w:color="auto"/>
              <w:left w:val="single" w:sz="6" w:space="0" w:color="auto"/>
              <w:bottom w:val="single" w:sz="6" w:space="0" w:color="auto"/>
              <w:right w:val="single" w:sz="6" w:space="0" w:color="auto"/>
            </w:tcBorders>
          </w:tcPr>
          <w:p w14:paraId="69B17FF8"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59874F65"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7" w:type="dxa"/>
            <w:tcBorders>
              <w:top w:val="single" w:sz="6" w:space="0" w:color="auto"/>
              <w:left w:val="single" w:sz="6" w:space="0" w:color="auto"/>
              <w:bottom w:val="single" w:sz="6" w:space="0" w:color="auto"/>
              <w:right w:val="single" w:sz="6" w:space="0" w:color="auto"/>
            </w:tcBorders>
          </w:tcPr>
          <w:p w14:paraId="36FDAAA9"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3C88EE7C"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6C31E3C2"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5E91914E" w14:textId="77777777" w:rsidTr="00CA23D0">
        <w:tc>
          <w:tcPr>
            <w:tcW w:w="709" w:type="dxa"/>
            <w:tcBorders>
              <w:top w:val="single" w:sz="6" w:space="0" w:color="auto"/>
              <w:left w:val="single" w:sz="6" w:space="0" w:color="auto"/>
              <w:bottom w:val="single" w:sz="6" w:space="0" w:color="auto"/>
              <w:right w:val="single" w:sz="6" w:space="0" w:color="auto"/>
            </w:tcBorders>
          </w:tcPr>
          <w:p w14:paraId="5D39A5D1" w14:textId="77777777" w:rsidR="00CA23D0" w:rsidRPr="00E30642" w:rsidRDefault="00CA23D0" w:rsidP="00CA23D0">
            <w:pPr>
              <w:pStyle w:val="Texttabulky"/>
              <w:spacing w:line="240" w:lineRule="atLeast"/>
              <w:jc w:val="both"/>
              <w:rPr>
                <w:rFonts w:cs="Arial"/>
              </w:rPr>
            </w:pPr>
            <w:r w:rsidRPr="00E30642">
              <w:rPr>
                <w:rFonts w:cs="Arial"/>
                <w:b/>
                <w:bCs/>
              </w:rPr>
              <w:lastRenderedPageBreak/>
              <w:t>34</w:t>
            </w:r>
          </w:p>
        </w:tc>
        <w:tc>
          <w:tcPr>
            <w:tcW w:w="2141" w:type="dxa"/>
            <w:tcBorders>
              <w:top w:val="single" w:sz="6" w:space="0" w:color="auto"/>
              <w:left w:val="single" w:sz="6" w:space="0" w:color="auto"/>
              <w:bottom w:val="single" w:sz="6" w:space="0" w:color="auto"/>
              <w:right w:val="single" w:sz="6" w:space="0" w:color="auto"/>
            </w:tcBorders>
          </w:tcPr>
          <w:p w14:paraId="079B38DE" w14:textId="77777777" w:rsidR="00CA23D0" w:rsidRPr="00E30642" w:rsidRDefault="00CA23D0" w:rsidP="00CA23D0">
            <w:pPr>
              <w:pStyle w:val="Texttabulky"/>
              <w:spacing w:line="240" w:lineRule="atLeast"/>
              <w:jc w:val="both"/>
              <w:rPr>
                <w:rFonts w:cs="Arial"/>
              </w:rPr>
            </w:pPr>
            <w:r w:rsidRPr="00E30642">
              <w:rPr>
                <w:rFonts w:cs="Arial"/>
              </w:rPr>
              <w:t>Kristin Hrádek</w:t>
            </w:r>
          </w:p>
        </w:tc>
        <w:tc>
          <w:tcPr>
            <w:tcW w:w="1007" w:type="dxa"/>
            <w:tcBorders>
              <w:top w:val="single" w:sz="6" w:space="0" w:color="auto"/>
              <w:left w:val="single" w:sz="6" w:space="0" w:color="auto"/>
              <w:bottom w:val="single" w:sz="6" w:space="0" w:color="auto"/>
              <w:right w:val="single" w:sz="6" w:space="0" w:color="auto"/>
            </w:tcBorders>
          </w:tcPr>
          <w:p w14:paraId="68E14C60"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263BF3C4"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7" w:type="dxa"/>
            <w:tcBorders>
              <w:top w:val="single" w:sz="6" w:space="0" w:color="auto"/>
              <w:left w:val="single" w:sz="6" w:space="0" w:color="auto"/>
              <w:bottom w:val="single" w:sz="6" w:space="0" w:color="auto"/>
              <w:right w:val="single" w:sz="6" w:space="0" w:color="auto"/>
            </w:tcBorders>
          </w:tcPr>
          <w:p w14:paraId="65036777"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4EA52216"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30198860"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0910C455" w14:textId="77777777" w:rsidTr="00CA23D0">
        <w:tc>
          <w:tcPr>
            <w:tcW w:w="709" w:type="dxa"/>
            <w:tcBorders>
              <w:top w:val="single" w:sz="6" w:space="0" w:color="auto"/>
              <w:left w:val="single" w:sz="6" w:space="0" w:color="auto"/>
              <w:bottom w:val="single" w:sz="6" w:space="0" w:color="auto"/>
              <w:right w:val="single" w:sz="6" w:space="0" w:color="auto"/>
            </w:tcBorders>
          </w:tcPr>
          <w:p w14:paraId="118053A7" w14:textId="77777777" w:rsidR="00CA23D0" w:rsidRPr="00E30642" w:rsidRDefault="00CA23D0" w:rsidP="00CA23D0">
            <w:pPr>
              <w:pStyle w:val="Texttabulky"/>
              <w:spacing w:line="240" w:lineRule="atLeast"/>
              <w:jc w:val="both"/>
              <w:rPr>
                <w:rFonts w:cs="Arial"/>
              </w:rPr>
            </w:pPr>
            <w:r w:rsidRPr="00E30642">
              <w:rPr>
                <w:rFonts w:cs="Arial"/>
                <w:b/>
                <w:bCs/>
              </w:rPr>
              <w:t>35</w:t>
            </w:r>
          </w:p>
        </w:tc>
        <w:tc>
          <w:tcPr>
            <w:tcW w:w="2141" w:type="dxa"/>
            <w:tcBorders>
              <w:top w:val="single" w:sz="6" w:space="0" w:color="auto"/>
              <w:left w:val="single" w:sz="6" w:space="0" w:color="auto"/>
              <w:bottom w:val="single" w:sz="6" w:space="0" w:color="auto"/>
              <w:right w:val="single" w:sz="6" w:space="0" w:color="auto"/>
            </w:tcBorders>
          </w:tcPr>
          <w:p w14:paraId="0315D9E1" w14:textId="77777777" w:rsidR="00CA23D0" w:rsidRPr="00E30642" w:rsidRDefault="00CA23D0" w:rsidP="00CA23D0">
            <w:pPr>
              <w:pStyle w:val="Texttabulky"/>
              <w:spacing w:line="240" w:lineRule="atLeast"/>
              <w:jc w:val="both"/>
              <w:rPr>
                <w:rFonts w:cs="Arial"/>
              </w:rPr>
            </w:pPr>
            <w:r w:rsidRPr="00E30642">
              <w:rPr>
                <w:rFonts w:cs="Arial"/>
              </w:rPr>
              <w:t>Havraní vrch</w:t>
            </w:r>
          </w:p>
        </w:tc>
        <w:tc>
          <w:tcPr>
            <w:tcW w:w="1007" w:type="dxa"/>
            <w:tcBorders>
              <w:top w:val="single" w:sz="6" w:space="0" w:color="auto"/>
              <w:left w:val="single" w:sz="6" w:space="0" w:color="auto"/>
              <w:bottom w:val="single" w:sz="6" w:space="0" w:color="auto"/>
              <w:right w:val="single" w:sz="6" w:space="0" w:color="auto"/>
            </w:tcBorders>
          </w:tcPr>
          <w:p w14:paraId="785446A8"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54278488"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7" w:type="dxa"/>
            <w:tcBorders>
              <w:top w:val="single" w:sz="6" w:space="0" w:color="auto"/>
              <w:left w:val="single" w:sz="6" w:space="0" w:color="auto"/>
              <w:bottom w:val="single" w:sz="6" w:space="0" w:color="auto"/>
              <w:right w:val="single" w:sz="6" w:space="0" w:color="auto"/>
            </w:tcBorders>
          </w:tcPr>
          <w:p w14:paraId="0B143CBC"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226ABE48"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74129CA8"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0DBF2308" w14:textId="77777777" w:rsidTr="00CA23D0">
        <w:tc>
          <w:tcPr>
            <w:tcW w:w="709" w:type="dxa"/>
            <w:tcBorders>
              <w:top w:val="single" w:sz="6" w:space="0" w:color="auto"/>
              <w:left w:val="single" w:sz="6" w:space="0" w:color="auto"/>
              <w:bottom w:val="single" w:sz="6" w:space="0" w:color="auto"/>
              <w:right w:val="single" w:sz="6" w:space="0" w:color="auto"/>
            </w:tcBorders>
          </w:tcPr>
          <w:p w14:paraId="6348A88C" w14:textId="77777777" w:rsidR="00CA23D0" w:rsidRPr="00E30642" w:rsidRDefault="00CA23D0" w:rsidP="00CA23D0">
            <w:pPr>
              <w:pStyle w:val="Texttabulky"/>
              <w:spacing w:line="240" w:lineRule="atLeast"/>
              <w:jc w:val="both"/>
              <w:rPr>
                <w:rFonts w:cs="Arial"/>
              </w:rPr>
            </w:pPr>
            <w:r w:rsidRPr="00E30642">
              <w:rPr>
                <w:rFonts w:cs="Arial"/>
                <w:b/>
                <w:bCs/>
              </w:rPr>
              <w:t>37</w:t>
            </w:r>
          </w:p>
        </w:tc>
        <w:tc>
          <w:tcPr>
            <w:tcW w:w="2141" w:type="dxa"/>
            <w:tcBorders>
              <w:top w:val="single" w:sz="6" w:space="0" w:color="auto"/>
              <w:left w:val="single" w:sz="6" w:space="0" w:color="auto"/>
              <w:bottom w:val="single" w:sz="6" w:space="0" w:color="auto"/>
              <w:right w:val="single" w:sz="6" w:space="0" w:color="auto"/>
            </w:tcBorders>
          </w:tcPr>
          <w:p w14:paraId="7577017C" w14:textId="77777777" w:rsidR="00CA23D0" w:rsidRPr="00E30642" w:rsidRDefault="00CA23D0" w:rsidP="00CA23D0">
            <w:pPr>
              <w:pStyle w:val="Texttabulky"/>
              <w:spacing w:line="240" w:lineRule="atLeast"/>
              <w:jc w:val="both"/>
              <w:rPr>
                <w:rFonts w:cs="Arial"/>
              </w:rPr>
            </w:pPr>
            <w:r w:rsidRPr="00E30642">
              <w:rPr>
                <w:rFonts w:cs="Arial"/>
              </w:rPr>
              <w:t>Telefonka</w:t>
            </w:r>
          </w:p>
        </w:tc>
        <w:tc>
          <w:tcPr>
            <w:tcW w:w="1007" w:type="dxa"/>
            <w:tcBorders>
              <w:top w:val="single" w:sz="6" w:space="0" w:color="auto"/>
              <w:left w:val="single" w:sz="6" w:space="0" w:color="auto"/>
              <w:bottom w:val="single" w:sz="6" w:space="0" w:color="auto"/>
              <w:right w:val="single" w:sz="6" w:space="0" w:color="auto"/>
            </w:tcBorders>
          </w:tcPr>
          <w:p w14:paraId="7180F133"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7AB214CE"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7" w:type="dxa"/>
            <w:tcBorders>
              <w:top w:val="single" w:sz="6" w:space="0" w:color="auto"/>
              <w:left w:val="single" w:sz="6" w:space="0" w:color="auto"/>
              <w:bottom w:val="single" w:sz="6" w:space="0" w:color="auto"/>
              <w:right w:val="single" w:sz="6" w:space="0" w:color="auto"/>
            </w:tcBorders>
          </w:tcPr>
          <w:p w14:paraId="1CD5169A"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35D0DDD9"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28DBA7BF"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28D9CCEF" w14:textId="77777777" w:rsidTr="00CA23D0">
        <w:tc>
          <w:tcPr>
            <w:tcW w:w="709" w:type="dxa"/>
            <w:tcBorders>
              <w:top w:val="single" w:sz="6" w:space="0" w:color="auto"/>
              <w:left w:val="single" w:sz="6" w:space="0" w:color="auto"/>
              <w:bottom w:val="single" w:sz="6" w:space="0" w:color="auto"/>
              <w:right w:val="single" w:sz="6" w:space="0" w:color="auto"/>
            </w:tcBorders>
          </w:tcPr>
          <w:p w14:paraId="78AF98CF" w14:textId="77777777" w:rsidR="00CA23D0" w:rsidRPr="00E30642" w:rsidRDefault="00CA23D0" w:rsidP="00CA23D0">
            <w:pPr>
              <w:pStyle w:val="Texttabulky"/>
              <w:spacing w:line="240" w:lineRule="atLeast"/>
              <w:jc w:val="both"/>
              <w:rPr>
                <w:rFonts w:cs="Arial"/>
              </w:rPr>
            </w:pPr>
            <w:r w:rsidRPr="00E30642">
              <w:rPr>
                <w:rFonts w:cs="Arial"/>
                <w:b/>
                <w:bCs/>
              </w:rPr>
              <w:t>38</w:t>
            </w:r>
          </w:p>
        </w:tc>
        <w:tc>
          <w:tcPr>
            <w:tcW w:w="2141" w:type="dxa"/>
            <w:tcBorders>
              <w:top w:val="single" w:sz="6" w:space="0" w:color="auto"/>
              <w:left w:val="single" w:sz="6" w:space="0" w:color="auto"/>
              <w:bottom w:val="single" w:sz="6" w:space="0" w:color="auto"/>
              <w:right w:val="single" w:sz="6" w:space="0" w:color="auto"/>
            </w:tcBorders>
          </w:tcPr>
          <w:p w14:paraId="0386322B" w14:textId="77777777" w:rsidR="00CA23D0" w:rsidRPr="00E30642" w:rsidRDefault="00CA23D0" w:rsidP="00CA23D0">
            <w:pPr>
              <w:pStyle w:val="Texttabulky"/>
              <w:spacing w:line="240" w:lineRule="atLeast"/>
              <w:jc w:val="both"/>
              <w:rPr>
                <w:rFonts w:cs="Arial"/>
              </w:rPr>
            </w:pPr>
            <w:r w:rsidRPr="00E30642">
              <w:rPr>
                <w:rFonts w:cs="Arial"/>
              </w:rPr>
              <w:t>Přípeřské polesí</w:t>
            </w:r>
          </w:p>
        </w:tc>
        <w:tc>
          <w:tcPr>
            <w:tcW w:w="1007" w:type="dxa"/>
            <w:tcBorders>
              <w:top w:val="single" w:sz="6" w:space="0" w:color="auto"/>
              <w:left w:val="single" w:sz="6" w:space="0" w:color="auto"/>
              <w:bottom w:val="single" w:sz="6" w:space="0" w:color="auto"/>
              <w:right w:val="single" w:sz="6" w:space="0" w:color="auto"/>
            </w:tcBorders>
          </w:tcPr>
          <w:p w14:paraId="4E3F3D90"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6B29A204"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7" w:type="dxa"/>
            <w:tcBorders>
              <w:top w:val="single" w:sz="6" w:space="0" w:color="auto"/>
              <w:left w:val="single" w:sz="6" w:space="0" w:color="auto"/>
              <w:bottom w:val="single" w:sz="6" w:space="0" w:color="auto"/>
              <w:right w:val="single" w:sz="6" w:space="0" w:color="auto"/>
            </w:tcBorders>
          </w:tcPr>
          <w:p w14:paraId="37395217"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2D0EFFB8"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3374F4A2"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25688D81" w14:textId="77777777" w:rsidTr="00CA23D0">
        <w:tc>
          <w:tcPr>
            <w:tcW w:w="709" w:type="dxa"/>
            <w:tcBorders>
              <w:top w:val="single" w:sz="6" w:space="0" w:color="auto"/>
              <w:left w:val="single" w:sz="6" w:space="0" w:color="auto"/>
              <w:bottom w:val="single" w:sz="6" w:space="0" w:color="auto"/>
              <w:right w:val="single" w:sz="6" w:space="0" w:color="auto"/>
            </w:tcBorders>
          </w:tcPr>
          <w:p w14:paraId="4697BDBF" w14:textId="77777777" w:rsidR="00CA23D0" w:rsidRPr="00E30642" w:rsidRDefault="00CA23D0" w:rsidP="00CA23D0">
            <w:pPr>
              <w:pStyle w:val="Texttabulky"/>
              <w:spacing w:line="240" w:lineRule="atLeast"/>
              <w:jc w:val="both"/>
              <w:rPr>
                <w:rFonts w:cs="Arial"/>
              </w:rPr>
            </w:pPr>
            <w:r w:rsidRPr="00E30642">
              <w:rPr>
                <w:rFonts w:cs="Arial"/>
                <w:b/>
                <w:bCs/>
              </w:rPr>
              <w:t>41</w:t>
            </w:r>
          </w:p>
        </w:tc>
        <w:tc>
          <w:tcPr>
            <w:tcW w:w="2141" w:type="dxa"/>
            <w:tcBorders>
              <w:top w:val="single" w:sz="6" w:space="0" w:color="auto"/>
              <w:left w:val="single" w:sz="6" w:space="0" w:color="auto"/>
              <w:bottom w:val="single" w:sz="6" w:space="0" w:color="auto"/>
              <w:right w:val="single" w:sz="6" w:space="0" w:color="auto"/>
            </w:tcBorders>
          </w:tcPr>
          <w:p w14:paraId="465728D2" w14:textId="77777777" w:rsidR="00CA23D0" w:rsidRPr="00E30642" w:rsidRDefault="00CA23D0" w:rsidP="00CA23D0">
            <w:pPr>
              <w:pStyle w:val="Texttabulky"/>
              <w:spacing w:line="240" w:lineRule="atLeast"/>
              <w:jc w:val="both"/>
              <w:rPr>
                <w:rFonts w:cs="Arial"/>
              </w:rPr>
            </w:pPr>
            <w:r w:rsidRPr="00E30642">
              <w:rPr>
                <w:rFonts w:cs="Arial"/>
              </w:rPr>
              <w:t>Chmelník</w:t>
            </w:r>
          </w:p>
        </w:tc>
        <w:tc>
          <w:tcPr>
            <w:tcW w:w="1007" w:type="dxa"/>
            <w:tcBorders>
              <w:top w:val="single" w:sz="6" w:space="0" w:color="auto"/>
              <w:left w:val="single" w:sz="6" w:space="0" w:color="auto"/>
              <w:bottom w:val="single" w:sz="6" w:space="0" w:color="auto"/>
              <w:right w:val="single" w:sz="6" w:space="0" w:color="auto"/>
            </w:tcBorders>
          </w:tcPr>
          <w:p w14:paraId="18C5D15D"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77FDA4CA"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7" w:type="dxa"/>
            <w:tcBorders>
              <w:top w:val="single" w:sz="6" w:space="0" w:color="auto"/>
              <w:left w:val="single" w:sz="6" w:space="0" w:color="auto"/>
              <w:bottom w:val="single" w:sz="6" w:space="0" w:color="auto"/>
              <w:right w:val="single" w:sz="6" w:space="0" w:color="auto"/>
            </w:tcBorders>
          </w:tcPr>
          <w:p w14:paraId="58A7C893" w14:textId="77777777" w:rsidR="00CA23D0" w:rsidRPr="00E30642" w:rsidRDefault="00CA23D0" w:rsidP="00CA23D0">
            <w:pPr>
              <w:pStyle w:val="Texttabulky"/>
              <w:spacing w:line="240" w:lineRule="atLeast"/>
              <w:jc w:val="both"/>
              <w:rPr>
                <w:rFonts w:cs="Arial"/>
              </w:rPr>
            </w:pPr>
            <w:r w:rsidRPr="00E30642">
              <w:rPr>
                <w:rFonts w:cs="Arial"/>
              </w:rPr>
              <w:t>150</w:t>
            </w:r>
          </w:p>
        </w:tc>
        <w:tc>
          <w:tcPr>
            <w:tcW w:w="992" w:type="dxa"/>
            <w:tcBorders>
              <w:top w:val="single" w:sz="6" w:space="0" w:color="auto"/>
              <w:left w:val="single" w:sz="6" w:space="0" w:color="auto"/>
              <w:bottom w:val="single" w:sz="6" w:space="0" w:color="auto"/>
              <w:right w:val="single" w:sz="6" w:space="0" w:color="auto"/>
            </w:tcBorders>
          </w:tcPr>
          <w:p w14:paraId="37C69E86"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59BC3C77"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0A5FDBC1" w14:textId="77777777" w:rsidTr="00CA23D0">
        <w:tc>
          <w:tcPr>
            <w:tcW w:w="709" w:type="dxa"/>
            <w:tcBorders>
              <w:top w:val="single" w:sz="6" w:space="0" w:color="auto"/>
              <w:left w:val="single" w:sz="6" w:space="0" w:color="auto"/>
              <w:bottom w:val="single" w:sz="6" w:space="0" w:color="auto"/>
              <w:right w:val="single" w:sz="6" w:space="0" w:color="auto"/>
            </w:tcBorders>
          </w:tcPr>
          <w:p w14:paraId="37095366" w14:textId="77777777" w:rsidR="00CA23D0" w:rsidRPr="00E30642" w:rsidRDefault="00CA23D0" w:rsidP="00CA23D0">
            <w:pPr>
              <w:pStyle w:val="Texttabulky"/>
              <w:spacing w:line="240" w:lineRule="atLeast"/>
              <w:jc w:val="both"/>
              <w:rPr>
                <w:rFonts w:cs="Arial"/>
              </w:rPr>
            </w:pPr>
            <w:r w:rsidRPr="00E30642">
              <w:rPr>
                <w:rFonts w:cs="Arial"/>
                <w:b/>
                <w:bCs/>
              </w:rPr>
              <w:t>43</w:t>
            </w:r>
          </w:p>
        </w:tc>
        <w:tc>
          <w:tcPr>
            <w:tcW w:w="2141" w:type="dxa"/>
            <w:tcBorders>
              <w:top w:val="single" w:sz="6" w:space="0" w:color="auto"/>
              <w:left w:val="single" w:sz="6" w:space="0" w:color="auto"/>
              <w:bottom w:val="single" w:sz="6" w:space="0" w:color="auto"/>
              <w:right w:val="single" w:sz="6" w:space="0" w:color="auto"/>
            </w:tcBorders>
          </w:tcPr>
          <w:p w14:paraId="7BD1391B" w14:textId="77777777" w:rsidR="00CA23D0" w:rsidRPr="00E30642" w:rsidRDefault="00CA23D0" w:rsidP="00CA23D0">
            <w:pPr>
              <w:pStyle w:val="Texttabulky"/>
              <w:spacing w:line="240" w:lineRule="atLeast"/>
              <w:jc w:val="both"/>
              <w:rPr>
                <w:rFonts w:cs="Arial"/>
              </w:rPr>
            </w:pPr>
            <w:r w:rsidRPr="00E30642">
              <w:rPr>
                <w:rFonts w:cs="Arial"/>
              </w:rPr>
              <w:t>Nad Dolním Žlebem</w:t>
            </w:r>
          </w:p>
        </w:tc>
        <w:tc>
          <w:tcPr>
            <w:tcW w:w="1007" w:type="dxa"/>
            <w:tcBorders>
              <w:top w:val="single" w:sz="6" w:space="0" w:color="auto"/>
              <w:left w:val="single" w:sz="6" w:space="0" w:color="auto"/>
              <w:bottom w:val="single" w:sz="6" w:space="0" w:color="auto"/>
              <w:right w:val="single" w:sz="6" w:space="0" w:color="auto"/>
            </w:tcBorders>
          </w:tcPr>
          <w:p w14:paraId="2488C4D6"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2DF3FB51"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7" w:type="dxa"/>
            <w:tcBorders>
              <w:top w:val="single" w:sz="6" w:space="0" w:color="auto"/>
              <w:left w:val="single" w:sz="6" w:space="0" w:color="auto"/>
              <w:bottom w:val="single" w:sz="6" w:space="0" w:color="auto"/>
              <w:right w:val="single" w:sz="6" w:space="0" w:color="auto"/>
            </w:tcBorders>
          </w:tcPr>
          <w:p w14:paraId="03FD2766"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21DD26C9"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3C259F5F"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559FFF6D" w14:textId="77777777" w:rsidTr="00CA23D0">
        <w:tc>
          <w:tcPr>
            <w:tcW w:w="709" w:type="dxa"/>
            <w:tcBorders>
              <w:top w:val="single" w:sz="6" w:space="0" w:color="auto"/>
              <w:left w:val="single" w:sz="6" w:space="0" w:color="auto"/>
              <w:bottom w:val="single" w:sz="6" w:space="0" w:color="auto"/>
              <w:right w:val="single" w:sz="6" w:space="0" w:color="auto"/>
            </w:tcBorders>
          </w:tcPr>
          <w:p w14:paraId="1A7E1F3B" w14:textId="77777777" w:rsidR="00CA23D0" w:rsidRPr="00E30642" w:rsidRDefault="00CA23D0" w:rsidP="00CA23D0">
            <w:pPr>
              <w:pStyle w:val="Texttabulky"/>
              <w:spacing w:line="240" w:lineRule="atLeast"/>
              <w:jc w:val="both"/>
              <w:rPr>
                <w:rFonts w:cs="Arial"/>
              </w:rPr>
            </w:pPr>
            <w:r w:rsidRPr="00E30642">
              <w:rPr>
                <w:rFonts w:cs="Arial"/>
                <w:b/>
                <w:bCs/>
              </w:rPr>
              <w:t>67</w:t>
            </w:r>
          </w:p>
        </w:tc>
        <w:tc>
          <w:tcPr>
            <w:tcW w:w="2141" w:type="dxa"/>
            <w:tcBorders>
              <w:top w:val="single" w:sz="6" w:space="0" w:color="auto"/>
              <w:left w:val="single" w:sz="6" w:space="0" w:color="auto"/>
              <w:bottom w:val="single" w:sz="6" w:space="0" w:color="auto"/>
              <w:right w:val="single" w:sz="6" w:space="0" w:color="auto"/>
            </w:tcBorders>
          </w:tcPr>
          <w:p w14:paraId="7380E309" w14:textId="77777777" w:rsidR="00CA23D0" w:rsidRPr="00E30642" w:rsidRDefault="00CA23D0" w:rsidP="00CA23D0">
            <w:pPr>
              <w:pStyle w:val="Texttabulky"/>
              <w:spacing w:line="240" w:lineRule="atLeast"/>
              <w:jc w:val="both"/>
              <w:rPr>
                <w:rFonts w:cs="Arial"/>
              </w:rPr>
            </w:pPr>
            <w:r w:rsidRPr="00E30642">
              <w:rPr>
                <w:rFonts w:cs="Arial"/>
              </w:rPr>
              <w:t>Labská niva</w:t>
            </w:r>
          </w:p>
        </w:tc>
        <w:tc>
          <w:tcPr>
            <w:tcW w:w="1007" w:type="dxa"/>
            <w:tcBorders>
              <w:top w:val="single" w:sz="6" w:space="0" w:color="auto"/>
              <w:left w:val="single" w:sz="6" w:space="0" w:color="auto"/>
              <w:bottom w:val="single" w:sz="6" w:space="0" w:color="auto"/>
              <w:right w:val="single" w:sz="6" w:space="0" w:color="auto"/>
            </w:tcBorders>
          </w:tcPr>
          <w:p w14:paraId="3292D0D9"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4562E2FB"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7" w:type="dxa"/>
            <w:tcBorders>
              <w:top w:val="single" w:sz="6" w:space="0" w:color="auto"/>
              <w:left w:val="single" w:sz="6" w:space="0" w:color="auto"/>
              <w:bottom w:val="single" w:sz="6" w:space="0" w:color="auto"/>
              <w:right w:val="single" w:sz="6" w:space="0" w:color="auto"/>
            </w:tcBorders>
          </w:tcPr>
          <w:p w14:paraId="7DAAA254"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162266FB"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40D56567"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63974DCB" w14:textId="77777777" w:rsidTr="00CA23D0">
        <w:tc>
          <w:tcPr>
            <w:tcW w:w="709" w:type="dxa"/>
            <w:tcBorders>
              <w:top w:val="single" w:sz="6" w:space="0" w:color="auto"/>
              <w:left w:val="single" w:sz="6" w:space="0" w:color="auto"/>
              <w:bottom w:val="single" w:sz="6" w:space="0" w:color="auto"/>
              <w:right w:val="single" w:sz="6" w:space="0" w:color="auto"/>
            </w:tcBorders>
          </w:tcPr>
          <w:p w14:paraId="7616DEB9" w14:textId="77777777" w:rsidR="00CA23D0" w:rsidRPr="00E30642" w:rsidRDefault="00CA23D0" w:rsidP="00CA23D0">
            <w:pPr>
              <w:pStyle w:val="Texttabulky"/>
              <w:spacing w:line="240" w:lineRule="atLeast"/>
              <w:jc w:val="both"/>
              <w:rPr>
                <w:rFonts w:cs="Arial"/>
              </w:rPr>
            </w:pPr>
            <w:r w:rsidRPr="00E30642">
              <w:rPr>
                <w:rFonts w:cs="Arial"/>
                <w:b/>
                <w:bCs/>
              </w:rPr>
              <w:t>68</w:t>
            </w:r>
          </w:p>
        </w:tc>
        <w:tc>
          <w:tcPr>
            <w:tcW w:w="2141" w:type="dxa"/>
            <w:tcBorders>
              <w:top w:val="single" w:sz="6" w:space="0" w:color="auto"/>
              <w:left w:val="single" w:sz="6" w:space="0" w:color="auto"/>
              <w:bottom w:val="single" w:sz="6" w:space="0" w:color="auto"/>
              <w:right w:val="single" w:sz="6" w:space="0" w:color="auto"/>
            </w:tcBorders>
          </w:tcPr>
          <w:p w14:paraId="666B4F26" w14:textId="77777777" w:rsidR="00CA23D0" w:rsidRPr="00E30642" w:rsidRDefault="00CA23D0" w:rsidP="00CA23D0">
            <w:pPr>
              <w:pStyle w:val="Texttabulky"/>
              <w:spacing w:line="240" w:lineRule="atLeast"/>
              <w:jc w:val="both"/>
              <w:rPr>
                <w:rFonts w:cs="Arial"/>
              </w:rPr>
            </w:pPr>
            <w:r w:rsidRPr="00E30642">
              <w:rPr>
                <w:rFonts w:cs="Arial"/>
              </w:rPr>
              <w:t>Průmyslový obvod Boletice</w:t>
            </w:r>
          </w:p>
        </w:tc>
        <w:tc>
          <w:tcPr>
            <w:tcW w:w="1007" w:type="dxa"/>
            <w:tcBorders>
              <w:top w:val="single" w:sz="6" w:space="0" w:color="auto"/>
              <w:left w:val="single" w:sz="6" w:space="0" w:color="auto"/>
              <w:bottom w:val="single" w:sz="6" w:space="0" w:color="auto"/>
              <w:right w:val="single" w:sz="6" w:space="0" w:color="auto"/>
            </w:tcBorders>
          </w:tcPr>
          <w:p w14:paraId="3DC84D08"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5" w:type="dxa"/>
            <w:tcBorders>
              <w:top w:val="single" w:sz="6" w:space="0" w:color="auto"/>
              <w:left w:val="single" w:sz="6" w:space="0" w:color="auto"/>
              <w:bottom w:val="single" w:sz="6" w:space="0" w:color="auto"/>
              <w:right w:val="single" w:sz="6" w:space="0" w:color="auto"/>
            </w:tcBorders>
          </w:tcPr>
          <w:p w14:paraId="483FF8C8" w14:textId="77777777" w:rsidR="00CA23D0" w:rsidRPr="00E30642" w:rsidRDefault="00CA23D0" w:rsidP="00CA23D0">
            <w:pPr>
              <w:pStyle w:val="Texttabulky"/>
              <w:spacing w:line="240" w:lineRule="atLeast"/>
              <w:jc w:val="both"/>
              <w:rPr>
                <w:rFonts w:cs="Arial"/>
              </w:rPr>
            </w:pPr>
            <w:r w:rsidRPr="00E30642">
              <w:rPr>
                <w:rFonts w:cs="Arial"/>
              </w:rPr>
              <w:t>0</w:t>
            </w:r>
          </w:p>
        </w:tc>
        <w:tc>
          <w:tcPr>
            <w:tcW w:w="1277" w:type="dxa"/>
            <w:tcBorders>
              <w:top w:val="single" w:sz="6" w:space="0" w:color="auto"/>
              <w:left w:val="single" w:sz="6" w:space="0" w:color="auto"/>
              <w:bottom w:val="single" w:sz="6" w:space="0" w:color="auto"/>
              <w:right w:val="single" w:sz="6" w:space="0" w:color="auto"/>
            </w:tcBorders>
          </w:tcPr>
          <w:p w14:paraId="5937F86E"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534283C1" w14:textId="77777777" w:rsidR="00CA23D0" w:rsidRPr="00E30642" w:rsidRDefault="00CA23D0" w:rsidP="00CA23D0">
            <w:pPr>
              <w:pStyle w:val="Texttabulky"/>
              <w:spacing w:line="240" w:lineRule="atLeast"/>
              <w:jc w:val="both"/>
              <w:rPr>
                <w:rFonts w:cs="Arial"/>
              </w:rPr>
            </w:pPr>
            <w:r w:rsidRPr="00E30642">
              <w:rPr>
                <w:rFonts w:cs="Arial"/>
              </w:rPr>
              <w:t>0</w:t>
            </w:r>
          </w:p>
        </w:tc>
        <w:tc>
          <w:tcPr>
            <w:tcW w:w="992" w:type="dxa"/>
            <w:tcBorders>
              <w:top w:val="single" w:sz="6" w:space="0" w:color="auto"/>
              <w:left w:val="single" w:sz="6" w:space="0" w:color="auto"/>
              <w:bottom w:val="single" w:sz="6" w:space="0" w:color="auto"/>
              <w:right w:val="single" w:sz="6" w:space="0" w:color="auto"/>
            </w:tcBorders>
          </w:tcPr>
          <w:p w14:paraId="39C55D41"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2B98C9B8" w14:textId="77777777" w:rsidTr="00CA23D0">
        <w:tc>
          <w:tcPr>
            <w:tcW w:w="709" w:type="dxa"/>
            <w:tcBorders>
              <w:top w:val="single" w:sz="6" w:space="0" w:color="auto"/>
              <w:left w:val="single" w:sz="6" w:space="0" w:color="auto"/>
              <w:bottom w:val="single" w:sz="6" w:space="0" w:color="auto"/>
              <w:right w:val="single" w:sz="6" w:space="0" w:color="auto"/>
            </w:tcBorders>
          </w:tcPr>
          <w:p w14:paraId="3E905404" w14:textId="77777777" w:rsidR="00CA23D0" w:rsidRPr="00E30642" w:rsidRDefault="00CA23D0" w:rsidP="00CA23D0">
            <w:pPr>
              <w:pStyle w:val="Texttabulky"/>
              <w:spacing w:line="240" w:lineRule="atLeast"/>
              <w:jc w:val="both"/>
              <w:rPr>
                <w:rFonts w:cs="Arial"/>
              </w:rPr>
            </w:pPr>
            <w:r w:rsidRPr="00E30642">
              <w:rPr>
                <w:rFonts w:cs="Arial"/>
                <w:b/>
                <w:bCs/>
              </w:rPr>
              <w:t>19</w:t>
            </w:r>
          </w:p>
        </w:tc>
        <w:tc>
          <w:tcPr>
            <w:tcW w:w="2141" w:type="dxa"/>
            <w:tcBorders>
              <w:top w:val="single" w:sz="6" w:space="0" w:color="auto"/>
              <w:left w:val="single" w:sz="6" w:space="0" w:color="auto"/>
              <w:bottom w:val="single" w:sz="6" w:space="0" w:color="auto"/>
              <w:right w:val="single" w:sz="6" w:space="0" w:color="auto"/>
            </w:tcBorders>
          </w:tcPr>
          <w:p w14:paraId="41F3ED2D" w14:textId="77777777" w:rsidR="00CA23D0" w:rsidRPr="00E30642" w:rsidRDefault="00CA23D0" w:rsidP="00CA23D0">
            <w:pPr>
              <w:pStyle w:val="Texttabulky"/>
              <w:spacing w:line="240" w:lineRule="atLeast"/>
              <w:jc w:val="both"/>
              <w:rPr>
                <w:rFonts w:cs="Arial"/>
              </w:rPr>
            </w:pPr>
            <w:r w:rsidRPr="00E30642">
              <w:rPr>
                <w:rFonts w:cs="Arial"/>
              </w:rPr>
              <w:t>Hlavní nádraží</w:t>
            </w:r>
          </w:p>
        </w:tc>
        <w:tc>
          <w:tcPr>
            <w:tcW w:w="1007" w:type="dxa"/>
            <w:tcBorders>
              <w:top w:val="single" w:sz="6" w:space="0" w:color="auto"/>
              <w:left w:val="single" w:sz="6" w:space="0" w:color="auto"/>
              <w:bottom w:val="single" w:sz="6" w:space="0" w:color="auto"/>
              <w:right w:val="single" w:sz="6" w:space="0" w:color="auto"/>
            </w:tcBorders>
          </w:tcPr>
          <w:p w14:paraId="45DEBB60" w14:textId="77777777" w:rsidR="00CA23D0" w:rsidRPr="00E30642" w:rsidRDefault="00CA23D0" w:rsidP="00CA23D0">
            <w:pPr>
              <w:pStyle w:val="Texttabulky"/>
              <w:spacing w:line="240" w:lineRule="atLeast"/>
              <w:jc w:val="both"/>
              <w:rPr>
                <w:rFonts w:cs="Arial"/>
              </w:rPr>
            </w:pPr>
            <w:r w:rsidRPr="00E30642">
              <w:rPr>
                <w:rFonts w:cs="Arial"/>
              </w:rPr>
              <w:t>152</w:t>
            </w:r>
          </w:p>
        </w:tc>
        <w:tc>
          <w:tcPr>
            <w:tcW w:w="1275" w:type="dxa"/>
            <w:tcBorders>
              <w:top w:val="single" w:sz="6" w:space="0" w:color="auto"/>
              <w:left w:val="single" w:sz="6" w:space="0" w:color="auto"/>
              <w:bottom w:val="single" w:sz="6" w:space="0" w:color="auto"/>
              <w:right w:val="single" w:sz="6" w:space="0" w:color="auto"/>
            </w:tcBorders>
          </w:tcPr>
          <w:p w14:paraId="0CC73E86" w14:textId="77777777" w:rsidR="00CA23D0" w:rsidRPr="00E30642" w:rsidRDefault="00CA23D0" w:rsidP="00CA23D0">
            <w:pPr>
              <w:pStyle w:val="Texttabulky"/>
              <w:spacing w:line="240" w:lineRule="atLeast"/>
              <w:jc w:val="both"/>
              <w:rPr>
                <w:rFonts w:cs="Arial"/>
              </w:rPr>
            </w:pPr>
            <w:r w:rsidRPr="00E30642">
              <w:rPr>
                <w:rFonts w:cs="Arial"/>
              </w:rPr>
              <w:t>150</w:t>
            </w:r>
          </w:p>
        </w:tc>
        <w:tc>
          <w:tcPr>
            <w:tcW w:w="1277" w:type="dxa"/>
            <w:tcBorders>
              <w:top w:val="single" w:sz="6" w:space="0" w:color="auto"/>
              <w:left w:val="single" w:sz="6" w:space="0" w:color="auto"/>
              <w:bottom w:val="single" w:sz="6" w:space="0" w:color="auto"/>
              <w:right w:val="single" w:sz="6" w:space="0" w:color="auto"/>
            </w:tcBorders>
          </w:tcPr>
          <w:p w14:paraId="52B65CB1" w14:textId="77777777" w:rsidR="00CA23D0" w:rsidRPr="00E30642" w:rsidRDefault="00CA23D0" w:rsidP="00CA23D0">
            <w:pPr>
              <w:pStyle w:val="Texttabulky"/>
              <w:spacing w:line="240" w:lineRule="atLeast"/>
              <w:jc w:val="both"/>
              <w:rPr>
                <w:rFonts w:cs="Arial"/>
              </w:rPr>
            </w:pPr>
            <w:r w:rsidRPr="00E30642">
              <w:rPr>
                <w:rFonts w:cs="Arial"/>
              </w:rPr>
              <w:t>150</w:t>
            </w:r>
          </w:p>
        </w:tc>
        <w:tc>
          <w:tcPr>
            <w:tcW w:w="992" w:type="dxa"/>
            <w:tcBorders>
              <w:top w:val="single" w:sz="6" w:space="0" w:color="auto"/>
              <w:left w:val="single" w:sz="6" w:space="0" w:color="auto"/>
              <w:bottom w:val="single" w:sz="6" w:space="0" w:color="auto"/>
              <w:right w:val="single" w:sz="6" w:space="0" w:color="auto"/>
            </w:tcBorders>
          </w:tcPr>
          <w:p w14:paraId="390ECD1D" w14:textId="77777777" w:rsidR="00CA23D0" w:rsidRPr="00E30642" w:rsidRDefault="00CA23D0" w:rsidP="00CA23D0">
            <w:pPr>
              <w:pStyle w:val="Texttabulky"/>
              <w:spacing w:line="240" w:lineRule="atLeast"/>
              <w:jc w:val="both"/>
              <w:rPr>
                <w:rFonts w:cs="Arial"/>
              </w:rPr>
            </w:pPr>
            <w:r w:rsidRPr="00E30642">
              <w:rPr>
                <w:rFonts w:cs="Arial"/>
              </w:rPr>
              <w:t>-2</w:t>
            </w:r>
          </w:p>
        </w:tc>
        <w:tc>
          <w:tcPr>
            <w:tcW w:w="992" w:type="dxa"/>
            <w:tcBorders>
              <w:top w:val="single" w:sz="6" w:space="0" w:color="auto"/>
              <w:left w:val="single" w:sz="6" w:space="0" w:color="auto"/>
              <w:bottom w:val="single" w:sz="6" w:space="0" w:color="auto"/>
              <w:right w:val="single" w:sz="6" w:space="0" w:color="auto"/>
            </w:tcBorders>
          </w:tcPr>
          <w:p w14:paraId="07DFB113" w14:textId="77777777" w:rsidR="00CA23D0" w:rsidRPr="00E30642" w:rsidRDefault="00CA23D0" w:rsidP="00CA23D0">
            <w:pPr>
              <w:pStyle w:val="Texttabulky"/>
              <w:spacing w:line="240" w:lineRule="atLeast"/>
              <w:jc w:val="both"/>
              <w:rPr>
                <w:rFonts w:cs="Arial"/>
              </w:rPr>
            </w:pPr>
            <w:r w:rsidRPr="00E30642">
              <w:rPr>
                <w:rFonts w:cs="Arial"/>
              </w:rPr>
              <w:t>-2</w:t>
            </w:r>
          </w:p>
        </w:tc>
      </w:tr>
      <w:tr w:rsidR="00CA23D0" w:rsidRPr="00E30642" w14:paraId="45178E0D" w14:textId="77777777" w:rsidTr="00CA23D0">
        <w:tc>
          <w:tcPr>
            <w:tcW w:w="709" w:type="dxa"/>
            <w:tcBorders>
              <w:top w:val="single" w:sz="6" w:space="0" w:color="auto"/>
              <w:left w:val="single" w:sz="6" w:space="0" w:color="auto"/>
              <w:bottom w:val="single" w:sz="6" w:space="0" w:color="auto"/>
              <w:right w:val="single" w:sz="6" w:space="0" w:color="auto"/>
            </w:tcBorders>
          </w:tcPr>
          <w:p w14:paraId="1F7F6AF1" w14:textId="77777777" w:rsidR="00CA23D0" w:rsidRPr="00E30642" w:rsidRDefault="00CA23D0" w:rsidP="00CA23D0">
            <w:pPr>
              <w:pStyle w:val="Texttabulky"/>
              <w:spacing w:line="240" w:lineRule="atLeast"/>
              <w:jc w:val="both"/>
              <w:rPr>
                <w:rFonts w:cs="Arial"/>
              </w:rPr>
            </w:pPr>
            <w:r w:rsidRPr="00E30642">
              <w:rPr>
                <w:rFonts w:cs="Arial"/>
                <w:b/>
                <w:bCs/>
              </w:rPr>
              <w:t>11</w:t>
            </w:r>
          </w:p>
        </w:tc>
        <w:tc>
          <w:tcPr>
            <w:tcW w:w="2141" w:type="dxa"/>
            <w:tcBorders>
              <w:top w:val="single" w:sz="6" w:space="0" w:color="auto"/>
              <w:left w:val="single" w:sz="6" w:space="0" w:color="auto"/>
              <w:bottom w:val="single" w:sz="6" w:space="0" w:color="auto"/>
              <w:right w:val="single" w:sz="6" w:space="0" w:color="auto"/>
            </w:tcBorders>
          </w:tcPr>
          <w:p w14:paraId="763663E2" w14:textId="77777777" w:rsidR="00CA23D0" w:rsidRPr="00E30642" w:rsidRDefault="00CA23D0" w:rsidP="00CA23D0">
            <w:pPr>
              <w:pStyle w:val="Texttabulky"/>
              <w:spacing w:line="240" w:lineRule="atLeast"/>
              <w:jc w:val="both"/>
              <w:rPr>
                <w:rFonts w:cs="Arial"/>
              </w:rPr>
            </w:pPr>
            <w:r w:rsidRPr="00E30642">
              <w:rPr>
                <w:rFonts w:cs="Arial"/>
              </w:rPr>
              <w:t>U koupaliště</w:t>
            </w:r>
          </w:p>
        </w:tc>
        <w:tc>
          <w:tcPr>
            <w:tcW w:w="1007" w:type="dxa"/>
            <w:tcBorders>
              <w:top w:val="single" w:sz="6" w:space="0" w:color="auto"/>
              <w:left w:val="single" w:sz="6" w:space="0" w:color="auto"/>
              <w:bottom w:val="single" w:sz="6" w:space="0" w:color="auto"/>
              <w:right w:val="single" w:sz="6" w:space="0" w:color="auto"/>
            </w:tcBorders>
          </w:tcPr>
          <w:p w14:paraId="1FA2C81E" w14:textId="77777777" w:rsidR="00CA23D0" w:rsidRPr="00E30642" w:rsidRDefault="00CA23D0" w:rsidP="00CA23D0">
            <w:pPr>
              <w:pStyle w:val="Texttabulky"/>
              <w:spacing w:line="240" w:lineRule="atLeast"/>
              <w:jc w:val="both"/>
              <w:rPr>
                <w:rFonts w:cs="Arial"/>
              </w:rPr>
            </w:pPr>
            <w:r w:rsidRPr="00E30642">
              <w:rPr>
                <w:rFonts w:cs="Arial"/>
              </w:rPr>
              <w:t>77</w:t>
            </w:r>
          </w:p>
        </w:tc>
        <w:tc>
          <w:tcPr>
            <w:tcW w:w="1275" w:type="dxa"/>
            <w:tcBorders>
              <w:top w:val="single" w:sz="6" w:space="0" w:color="auto"/>
              <w:left w:val="single" w:sz="6" w:space="0" w:color="auto"/>
              <w:bottom w:val="single" w:sz="6" w:space="0" w:color="auto"/>
              <w:right w:val="single" w:sz="6" w:space="0" w:color="auto"/>
            </w:tcBorders>
          </w:tcPr>
          <w:p w14:paraId="42E3F9D8" w14:textId="77777777" w:rsidR="00CA23D0" w:rsidRPr="00E30642" w:rsidRDefault="00CA23D0" w:rsidP="00CA23D0">
            <w:pPr>
              <w:pStyle w:val="Texttabulky"/>
              <w:spacing w:line="240" w:lineRule="atLeast"/>
              <w:jc w:val="both"/>
              <w:rPr>
                <w:rFonts w:cs="Arial"/>
              </w:rPr>
            </w:pPr>
            <w:r w:rsidRPr="00E30642">
              <w:rPr>
                <w:rFonts w:cs="Arial"/>
              </w:rPr>
              <w:t>75</w:t>
            </w:r>
          </w:p>
        </w:tc>
        <w:tc>
          <w:tcPr>
            <w:tcW w:w="1277" w:type="dxa"/>
            <w:tcBorders>
              <w:top w:val="single" w:sz="6" w:space="0" w:color="auto"/>
              <w:left w:val="single" w:sz="6" w:space="0" w:color="auto"/>
              <w:bottom w:val="single" w:sz="6" w:space="0" w:color="auto"/>
              <w:right w:val="single" w:sz="6" w:space="0" w:color="auto"/>
            </w:tcBorders>
          </w:tcPr>
          <w:p w14:paraId="3EF4B03B" w14:textId="77777777" w:rsidR="00CA23D0" w:rsidRPr="00E30642" w:rsidRDefault="00CA23D0" w:rsidP="00CA23D0">
            <w:pPr>
              <w:pStyle w:val="Texttabulky"/>
              <w:spacing w:line="240" w:lineRule="atLeast"/>
              <w:jc w:val="both"/>
              <w:rPr>
                <w:rFonts w:cs="Arial"/>
              </w:rPr>
            </w:pPr>
            <w:r w:rsidRPr="00E30642">
              <w:rPr>
                <w:rFonts w:cs="Arial"/>
              </w:rPr>
              <w:t>75</w:t>
            </w:r>
          </w:p>
        </w:tc>
        <w:tc>
          <w:tcPr>
            <w:tcW w:w="992" w:type="dxa"/>
            <w:tcBorders>
              <w:top w:val="single" w:sz="6" w:space="0" w:color="auto"/>
              <w:left w:val="single" w:sz="6" w:space="0" w:color="auto"/>
              <w:bottom w:val="single" w:sz="6" w:space="0" w:color="auto"/>
              <w:right w:val="single" w:sz="6" w:space="0" w:color="auto"/>
            </w:tcBorders>
          </w:tcPr>
          <w:p w14:paraId="4C199C54" w14:textId="77777777" w:rsidR="00CA23D0" w:rsidRPr="00E30642" w:rsidRDefault="00CA23D0" w:rsidP="00CA23D0">
            <w:pPr>
              <w:pStyle w:val="Texttabulky"/>
              <w:spacing w:line="240" w:lineRule="atLeast"/>
              <w:jc w:val="both"/>
              <w:rPr>
                <w:rFonts w:cs="Arial"/>
              </w:rPr>
            </w:pPr>
            <w:r w:rsidRPr="00E30642">
              <w:rPr>
                <w:rFonts w:cs="Arial"/>
              </w:rPr>
              <w:t>-2</w:t>
            </w:r>
          </w:p>
        </w:tc>
        <w:tc>
          <w:tcPr>
            <w:tcW w:w="992" w:type="dxa"/>
            <w:tcBorders>
              <w:top w:val="single" w:sz="6" w:space="0" w:color="auto"/>
              <w:left w:val="single" w:sz="6" w:space="0" w:color="auto"/>
              <w:bottom w:val="single" w:sz="6" w:space="0" w:color="auto"/>
              <w:right w:val="single" w:sz="6" w:space="0" w:color="auto"/>
            </w:tcBorders>
          </w:tcPr>
          <w:p w14:paraId="0D8F14A4" w14:textId="77777777" w:rsidR="00CA23D0" w:rsidRPr="00E30642" w:rsidRDefault="00CA23D0" w:rsidP="00CA23D0">
            <w:pPr>
              <w:pStyle w:val="Texttabulky"/>
              <w:spacing w:line="240" w:lineRule="atLeast"/>
              <w:jc w:val="both"/>
              <w:rPr>
                <w:rFonts w:cs="Arial"/>
              </w:rPr>
            </w:pPr>
            <w:r w:rsidRPr="00E30642">
              <w:rPr>
                <w:rFonts w:cs="Arial"/>
              </w:rPr>
              <w:t>-2</w:t>
            </w:r>
          </w:p>
        </w:tc>
      </w:tr>
      <w:tr w:rsidR="00CA23D0" w:rsidRPr="00E30642" w14:paraId="1791D004" w14:textId="77777777" w:rsidTr="00CA23D0">
        <w:tc>
          <w:tcPr>
            <w:tcW w:w="709" w:type="dxa"/>
            <w:tcBorders>
              <w:top w:val="single" w:sz="6" w:space="0" w:color="auto"/>
              <w:left w:val="single" w:sz="6" w:space="0" w:color="auto"/>
              <w:bottom w:val="single" w:sz="6" w:space="0" w:color="auto"/>
              <w:right w:val="single" w:sz="6" w:space="0" w:color="auto"/>
            </w:tcBorders>
          </w:tcPr>
          <w:p w14:paraId="33B16496" w14:textId="77777777" w:rsidR="00CA23D0" w:rsidRPr="00E30642" w:rsidRDefault="00CA23D0" w:rsidP="00CA23D0">
            <w:pPr>
              <w:pStyle w:val="Texttabulky"/>
              <w:spacing w:line="240" w:lineRule="atLeast"/>
              <w:jc w:val="both"/>
              <w:rPr>
                <w:rFonts w:cs="Arial"/>
              </w:rPr>
            </w:pPr>
            <w:r w:rsidRPr="00E30642">
              <w:rPr>
                <w:rFonts w:cs="Arial"/>
                <w:b/>
                <w:bCs/>
              </w:rPr>
              <w:t>49</w:t>
            </w:r>
          </w:p>
        </w:tc>
        <w:tc>
          <w:tcPr>
            <w:tcW w:w="2141" w:type="dxa"/>
            <w:tcBorders>
              <w:top w:val="single" w:sz="6" w:space="0" w:color="auto"/>
              <w:left w:val="single" w:sz="6" w:space="0" w:color="auto"/>
              <w:bottom w:val="single" w:sz="6" w:space="0" w:color="auto"/>
              <w:right w:val="single" w:sz="6" w:space="0" w:color="auto"/>
            </w:tcBorders>
          </w:tcPr>
          <w:p w14:paraId="376C9C7E" w14:textId="77777777" w:rsidR="00CA23D0" w:rsidRPr="00E30642" w:rsidRDefault="00CA23D0" w:rsidP="00CA23D0">
            <w:pPr>
              <w:pStyle w:val="Texttabulky"/>
              <w:spacing w:line="240" w:lineRule="atLeast"/>
              <w:jc w:val="both"/>
              <w:rPr>
                <w:rFonts w:cs="Arial"/>
              </w:rPr>
            </w:pPr>
            <w:r w:rsidRPr="00E30642">
              <w:rPr>
                <w:rFonts w:cs="Arial"/>
              </w:rPr>
              <w:t>Chlum</w:t>
            </w:r>
          </w:p>
        </w:tc>
        <w:tc>
          <w:tcPr>
            <w:tcW w:w="1007" w:type="dxa"/>
            <w:tcBorders>
              <w:top w:val="single" w:sz="6" w:space="0" w:color="auto"/>
              <w:left w:val="single" w:sz="6" w:space="0" w:color="auto"/>
              <w:bottom w:val="single" w:sz="6" w:space="0" w:color="auto"/>
              <w:right w:val="single" w:sz="6" w:space="0" w:color="auto"/>
            </w:tcBorders>
          </w:tcPr>
          <w:p w14:paraId="5CBC6AFC" w14:textId="77777777" w:rsidR="00CA23D0" w:rsidRPr="00E30642" w:rsidRDefault="00CA23D0" w:rsidP="00CA23D0">
            <w:pPr>
              <w:pStyle w:val="Texttabulky"/>
              <w:spacing w:line="240" w:lineRule="atLeast"/>
              <w:jc w:val="both"/>
              <w:rPr>
                <w:rFonts w:cs="Arial"/>
              </w:rPr>
            </w:pPr>
            <w:r w:rsidRPr="00E30642">
              <w:rPr>
                <w:rFonts w:cs="Arial"/>
              </w:rPr>
              <w:t>303</w:t>
            </w:r>
          </w:p>
        </w:tc>
        <w:tc>
          <w:tcPr>
            <w:tcW w:w="1275" w:type="dxa"/>
            <w:tcBorders>
              <w:top w:val="single" w:sz="6" w:space="0" w:color="auto"/>
              <w:left w:val="single" w:sz="6" w:space="0" w:color="auto"/>
              <w:bottom w:val="single" w:sz="6" w:space="0" w:color="auto"/>
              <w:right w:val="single" w:sz="6" w:space="0" w:color="auto"/>
            </w:tcBorders>
          </w:tcPr>
          <w:p w14:paraId="43611DE3" w14:textId="77777777" w:rsidR="00CA23D0" w:rsidRPr="00E30642" w:rsidRDefault="00CA23D0" w:rsidP="00CA23D0">
            <w:pPr>
              <w:pStyle w:val="Texttabulky"/>
              <w:spacing w:line="240" w:lineRule="atLeast"/>
              <w:jc w:val="both"/>
              <w:rPr>
                <w:rFonts w:cs="Arial"/>
              </w:rPr>
            </w:pPr>
            <w:r w:rsidRPr="00E30642">
              <w:rPr>
                <w:rFonts w:cs="Arial"/>
              </w:rPr>
              <w:t>300</w:t>
            </w:r>
          </w:p>
        </w:tc>
        <w:tc>
          <w:tcPr>
            <w:tcW w:w="1277" w:type="dxa"/>
            <w:tcBorders>
              <w:top w:val="single" w:sz="6" w:space="0" w:color="auto"/>
              <w:left w:val="single" w:sz="6" w:space="0" w:color="auto"/>
              <w:bottom w:val="single" w:sz="6" w:space="0" w:color="auto"/>
              <w:right w:val="single" w:sz="6" w:space="0" w:color="auto"/>
            </w:tcBorders>
          </w:tcPr>
          <w:p w14:paraId="7FC46D38" w14:textId="77777777" w:rsidR="00CA23D0" w:rsidRPr="00E30642" w:rsidRDefault="00CA23D0" w:rsidP="00CA23D0">
            <w:pPr>
              <w:pStyle w:val="Texttabulky"/>
              <w:spacing w:line="240" w:lineRule="atLeast"/>
              <w:jc w:val="both"/>
              <w:rPr>
                <w:rFonts w:cs="Arial"/>
              </w:rPr>
            </w:pPr>
            <w:r w:rsidRPr="00E30642">
              <w:rPr>
                <w:rFonts w:cs="Arial"/>
              </w:rPr>
              <w:t>300</w:t>
            </w:r>
          </w:p>
        </w:tc>
        <w:tc>
          <w:tcPr>
            <w:tcW w:w="992" w:type="dxa"/>
            <w:tcBorders>
              <w:top w:val="single" w:sz="6" w:space="0" w:color="auto"/>
              <w:left w:val="single" w:sz="6" w:space="0" w:color="auto"/>
              <w:bottom w:val="single" w:sz="6" w:space="0" w:color="auto"/>
              <w:right w:val="single" w:sz="6" w:space="0" w:color="auto"/>
            </w:tcBorders>
          </w:tcPr>
          <w:p w14:paraId="2D9F02CB" w14:textId="77777777" w:rsidR="00CA23D0" w:rsidRPr="00E30642" w:rsidRDefault="00CA23D0" w:rsidP="00CA23D0">
            <w:pPr>
              <w:pStyle w:val="Texttabulky"/>
              <w:spacing w:line="240" w:lineRule="atLeast"/>
              <w:jc w:val="both"/>
              <w:rPr>
                <w:rFonts w:cs="Arial"/>
              </w:rPr>
            </w:pPr>
            <w:r w:rsidRPr="00E30642">
              <w:rPr>
                <w:rFonts w:cs="Arial"/>
              </w:rPr>
              <w:t>-3</w:t>
            </w:r>
          </w:p>
        </w:tc>
        <w:tc>
          <w:tcPr>
            <w:tcW w:w="992" w:type="dxa"/>
            <w:tcBorders>
              <w:top w:val="single" w:sz="6" w:space="0" w:color="auto"/>
              <w:left w:val="single" w:sz="6" w:space="0" w:color="auto"/>
              <w:bottom w:val="single" w:sz="6" w:space="0" w:color="auto"/>
              <w:right w:val="single" w:sz="6" w:space="0" w:color="auto"/>
            </w:tcBorders>
          </w:tcPr>
          <w:p w14:paraId="483AEC8E" w14:textId="77777777" w:rsidR="00CA23D0" w:rsidRPr="00E30642" w:rsidRDefault="00CA23D0" w:rsidP="00CA23D0">
            <w:pPr>
              <w:pStyle w:val="Texttabulky"/>
              <w:spacing w:line="240" w:lineRule="atLeast"/>
              <w:jc w:val="both"/>
              <w:rPr>
                <w:rFonts w:cs="Arial"/>
              </w:rPr>
            </w:pPr>
            <w:r w:rsidRPr="00E30642">
              <w:rPr>
                <w:rFonts w:cs="Arial"/>
              </w:rPr>
              <w:t>-3</w:t>
            </w:r>
          </w:p>
        </w:tc>
      </w:tr>
      <w:tr w:rsidR="00CA23D0" w:rsidRPr="00E30642" w14:paraId="788B5029" w14:textId="77777777" w:rsidTr="00CA23D0">
        <w:tc>
          <w:tcPr>
            <w:tcW w:w="709" w:type="dxa"/>
            <w:tcBorders>
              <w:top w:val="single" w:sz="6" w:space="0" w:color="auto"/>
              <w:left w:val="single" w:sz="6" w:space="0" w:color="auto"/>
              <w:bottom w:val="single" w:sz="6" w:space="0" w:color="auto"/>
              <w:right w:val="single" w:sz="6" w:space="0" w:color="auto"/>
            </w:tcBorders>
          </w:tcPr>
          <w:p w14:paraId="4FE5E76B" w14:textId="77777777" w:rsidR="00CA23D0" w:rsidRPr="00E30642" w:rsidRDefault="00CA23D0" w:rsidP="00CA23D0">
            <w:pPr>
              <w:pStyle w:val="Texttabulky"/>
              <w:spacing w:line="240" w:lineRule="atLeast"/>
              <w:jc w:val="both"/>
              <w:rPr>
                <w:rFonts w:cs="Arial"/>
              </w:rPr>
            </w:pPr>
            <w:r w:rsidRPr="00E30642">
              <w:rPr>
                <w:rFonts w:cs="Arial"/>
                <w:b/>
                <w:bCs/>
              </w:rPr>
              <w:t>9</w:t>
            </w:r>
          </w:p>
        </w:tc>
        <w:tc>
          <w:tcPr>
            <w:tcW w:w="2141" w:type="dxa"/>
            <w:tcBorders>
              <w:top w:val="single" w:sz="6" w:space="0" w:color="auto"/>
              <w:left w:val="single" w:sz="6" w:space="0" w:color="auto"/>
              <w:bottom w:val="single" w:sz="6" w:space="0" w:color="auto"/>
              <w:right w:val="single" w:sz="6" w:space="0" w:color="auto"/>
            </w:tcBorders>
          </w:tcPr>
          <w:p w14:paraId="41EBD607" w14:textId="77777777" w:rsidR="00CA23D0" w:rsidRPr="00E30642" w:rsidRDefault="00CA23D0" w:rsidP="00CA23D0">
            <w:pPr>
              <w:pStyle w:val="Texttabulky"/>
              <w:spacing w:line="240" w:lineRule="atLeast"/>
              <w:jc w:val="both"/>
              <w:rPr>
                <w:rFonts w:cs="Arial"/>
              </w:rPr>
            </w:pPr>
            <w:r w:rsidRPr="00E30642">
              <w:rPr>
                <w:rFonts w:cs="Arial"/>
              </w:rPr>
              <w:t>Východní nádraží</w:t>
            </w:r>
          </w:p>
        </w:tc>
        <w:tc>
          <w:tcPr>
            <w:tcW w:w="1007" w:type="dxa"/>
            <w:tcBorders>
              <w:top w:val="single" w:sz="6" w:space="0" w:color="auto"/>
              <w:left w:val="single" w:sz="6" w:space="0" w:color="auto"/>
              <w:bottom w:val="single" w:sz="6" w:space="0" w:color="auto"/>
              <w:right w:val="single" w:sz="6" w:space="0" w:color="auto"/>
            </w:tcBorders>
          </w:tcPr>
          <w:p w14:paraId="0F7EA270" w14:textId="77777777" w:rsidR="00CA23D0" w:rsidRPr="00E30642" w:rsidRDefault="00CA23D0" w:rsidP="00CA23D0">
            <w:pPr>
              <w:pStyle w:val="Texttabulky"/>
              <w:spacing w:line="240" w:lineRule="atLeast"/>
              <w:jc w:val="both"/>
              <w:rPr>
                <w:rFonts w:cs="Arial"/>
              </w:rPr>
            </w:pPr>
            <w:r w:rsidRPr="00E30642">
              <w:rPr>
                <w:rFonts w:cs="Arial"/>
              </w:rPr>
              <w:t>34</w:t>
            </w:r>
          </w:p>
        </w:tc>
        <w:tc>
          <w:tcPr>
            <w:tcW w:w="1275" w:type="dxa"/>
            <w:tcBorders>
              <w:top w:val="single" w:sz="6" w:space="0" w:color="auto"/>
              <w:left w:val="single" w:sz="6" w:space="0" w:color="auto"/>
              <w:bottom w:val="single" w:sz="6" w:space="0" w:color="auto"/>
              <w:right w:val="single" w:sz="6" w:space="0" w:color="auto"/>
            </w:tcBorders>
          </w:tcPr>
          <w:p w14:paraId="082A58A4" w14:textId="77777777" w:rsidR="00CA23D0" w:rsidRPr="00E30642" w:rsidRDefault="00CA23D0" w:rsidP="00CA23D0">
            <w:pPr>
              <w:pStyle w:val="Texttabulky"/>
              <w:spacing w:line="240" w:lineRule="atLeast"/>
              <w:jc w:val="both"/>
              <w:rPr>
                <w:rFonts w:cs="Arial"/>
              </w:rPr>
            </w:pPr>
            <w:r w:rsidRPr="00E30642">
              <w:rPr>
                <w:rFonts w:cs="Arial"/>
              </w:rPr>
              <w:t>30</w:t>
            </w:r>
          </w:p>
        </w:tc>
        <w:tc>
          <w:tcPr>
            <w:tcW w:w="1277" w:type="dxa"/>
            <w:tcBorders>
              <w:top w:val="single" w:sz="6" w:space="0" w:color="auto"/>
              <w:left w:val="single" w:sz="6" w:space="0" w:color="auto"/>
              <w:bottom w:val="single" w:sz="6" w:space="0" w:color="auto"/>
              <w:right w:val="single" w:sz="6" w:space="0" w:color="auto"/>
            </w:tcBorders>
          </w:tcPr>
          <w:p w14:paraId="5B9736A9" w14:textId="77777777" w:rsidR="00CA23D0" w:rsidRPr="00E30642" w:rsidRDefault="00CA23D0" w:rsidP="00CA23D0">
            <w:pPr>
              <w:pStyle w:val="Texttabulky"/>
              <w:spacing w:line="240" w:lineRule="atLeast"/>
              <w:jc w:val="both"/>
              <w:rPr>
                <w:rFonts w:cs="Arial"/>
              </w:rPr>
            </w:pPr>
            <w:r w:rsidRPr="00E30642">
              <w:rPr>
                <w:rFonts w:cs="Arial"/>
              </w:rPr>
              <w:t>30</w:t>
            </w:r>
          </w:p>
        </w:tc>
        <w:tc>
          <w:tcPr>
            <w:tcW w:w="992" w:type="dxa"/>
            <w:tcBorders>
              <w:top w:val="single" w:sz="6" w:space="0" w:color="auto"/>
              <w:left w:val="single" w:sz="6" w:space="0" w:color="auto"/>
              <w:bottom w:val="single" w:sz="6" w:space="0" w:color="auto"/>
              <w:right w:val="single" w:sz="6" w:space="0" w:color="auto"/>
            </w:tcBorders>
          </w:tcPr>
          <w:p w14:paraId="5318DC3E" w14:textId="77777777" w:rsidR="00CA23D0" w:rsidRPr="00E30642" w:rsidRDefault="00CA23D0" w:rsidP="00CA23D0">
            <w:pPr>
              <w:pStyle w:val="Texttabulky"/>
              <w:spacing w:line="240" w:lineRule="atLeast"/>
              <w:jc w:val="both"/>
              <w:rPr>
                <w:rFonts w:cs="Arial"/>
              </w:rPr>
            </w:pPr>
            <w:r w:rsidRPr="00E30642">
              <w:rPr>
                <w:rFonts w:cs="Arial"/>
              </w:rPr>
              <w:t>-4</w:t>
            </w:r>
          </w:p>
        </w:tc>
        <w:tc>
          <w:tcPr>
            <w:tcW w:w="992" w:type="dxa"/>
            <w:tcBorders>
              <w:top w:val="single" w:sz="6" w:space="0" w:color="auto"/>
              <w:left w:val="single" w:sz="6" w:space="0" w:color="auto"/>
              <w:bottom w:val="single" w:sz="6" w:space="0" w:color="auto"/>
              <w:right w:val="single" w:sz="6" w:space="0" w:color="auto"/>
            </w:tcBorders>
          </w:tcPr>
          <w:p w14:paraId="7BC6111C" w14:textId="77777777" w:rsidR="00CA23D0" w:rsidRPr="00E30642" w:rsidRDefault="00CA23D0" w:rsidP="00CA23D0">
            <w:pPr>
              <w:pStyle w:val="Texttabulky"/>
              <w:spacing w:line="240" w:lineRule="atLeast"/>
              <w:jc w:val="both"/>
              <w:rPr>
                <w:rFonts w:cs="Arial"/>
              </w:rPr>
            </w:pPr>
            <w:r w:rsidRPr="00E30642">
              <w:rPr>
                <w:rFonts w:cs="Arial"/>
              </w:rPr>
              <w:t>-4</w:t>
            </w:r>
          </w:p>
        </w:tc>
      </w:tr>
      <w:tr w:rsidR="00CA23D0" w:rsidRPr="00E30642" w14:paraId="5536F5BB" w14:textId="77777777" w:rsidTr="00CA23D0">
        <w:tc>
          <w:tcPr>
            <w:tcW w:w="709" w:type="dxa"/>
            <w:tcBorders>
              <w:top w:val="single" w:sz="6" w:space="0" w:color="auto"/>
              <w:left w:val="single" w:sz="6" w:space="0" w:color="auto"/>
              <w:bottom w:val="single" w:sz="6" w:space="0" w:color="auto"/>
              <w:right w:val="single" w:sz="6" w:space="0" w:color="auto"/>
            </w:tcBorders>
          </w:tcPr>
          <w:p w14:paraId="138F31CE" w14:textId="77777777" w:rsidR="00CA23D0" w:rsidRPr="00E30642" w:rsidRDefault="00CA23D0" w:rsidP="00CA23D0">
            <w:pPr>
              <w:pStyle w:val="Texttabulky"/>
              <w:spacing w:line="240" w:lineRule="atLeast"/>
              <w:jc w:val="both"/>
              <w:rPr>
                <w:rFonts w:cs="Arial"/>
              </w:rPr>
            </w:pPr>
            <w:r w:rsidRPr="00E30642">
              <w:rPr>
                <w:rFonts w:cs="Arial"/>
                <w:b/>
                <w:bCs/>
              </w:rPr>
              <w:t>55</w:t>
            </w:r>
          </w:p>
        </w:tc>
        <w:tc>
          <w:tcPr>
            <w:tcW w:w="2141" w:type="dxa"/>
            <w:tcBorders>
              <w:top w:val="single" w:sz="6" w:space="0" w:color="auto"/>
              <w:left w:val="single" w:sz="6" w:space="0" w:color="auto"/>
              <w:bottom w:val="single" w:sz="6" w:space="0" w:color="auto"/>
              <w:right w:val="single" w:sz="6" w:space="0" w:color="auto"/>
            </w:tcBorders>
          </w:tcPr>
          <w:p w14:paraId="77765784" w14:textId="77777777" w:rsidR="00CA23D0" w:rsidRPr="00E30642" w:rsidRDefault="00CA23D0" w:rsidP="00CA23D0">
            <w:pPr>
              <w:pStyle w:val="Texttabulky"/>
              <w:spacing w:line="240" w:lineRule="atLeast"/>
              <w:jc w:val="both"/>
              <w:rPr>
                <w:rFonts w:cs="Arial"/>
              </w:rPr>
            </w:pPr>
            <w:r w:rsidRPr="00E30642">
              <w:rPr>
                <w:rFonts w:cs="Arial"/>
              </w:rPr>
              <w:t>Lesní Mlýn</w:t>
            </w:r>
          </w:p>
        </w:tc>
        <w:tc>
          <w:tcPr>
            <w:tcW w:w="1007" w:type="dxa"/>
            <w:tcBorders>
              <w:top w:val="single" w:sz="6" w:space="0" w:color="auto"/>
              <w:left w:val="single" w:sz="6" w:space="0" w:color="auto"/>
              <w:bottom w:val="single" w:sz="6" w:space="0" w:color="auto"/>
              <w:right w:val="single" w:sz="6" w:space="0" w:color="auto"/>
            </w:tcBorders>
          </w:tcPr>
          <w:p w14:paraId="12085F30" w14:textId="77777777" w:rsidR="00CA23D0" w:rsidRPr="00E30642" w:rsidRDefault="00CA23D0" w:rsidP="00CA23D0">
            <w:pPr>
              <w:pStyle w:val="Texttabulky"/>
              <w:spacing w:line="240" w:lineRule="atLeast"/>
              <w:jc w:val="both"/>
              <w:rPr>
                <w:rFonts w:cs="Arial"/>
              </w:rPr>
            </w:pPr>
            <w:r w:rsidRPr="00E30642">
              <w:rPr>
                <w:rFonts w:cs="Arial"/>
              </w:rPr>
              <w:t>9</w:t>
            </w:r>
          </w:p>
        </w:tc>
        <w:tc>
          <w:tcPr>
            <w:tcW w:w="1275" w:type="dxa"/>
            <w:tcBorders>
              <w:top w:val="single" w:sz="6" w:space="0" w:color="auto"/>
              <w:left w:val="single" w:sz="6" w:space="0" w:color="auto"/>
              <w:bottom w:val="single" w:sz="6" w:space="0" w:color="auto"/>
              <w:right w:val="single" w:sz="6" w:space="0" w:color="auto"/>
            </w:tcBorders>
          </w:tcPr>
          <w:p w14:paraId="66386E35" w14:textId="77777777" w:rsidR="00CA23D0" w:rsidRPr="00E30642" w:rsidRDefault="00CA23D0" w:rsidP="00CA23D0">
            <w:pPr>
              <w:pStyle w:val="Texttabulky"/>
              <w:spacing w:line="240" w:lineRule="atLeast"/>
              <w:jc w:val="both"/>
              <w:rPr>
                <w:rFonts w:cs="Arial"/>
              </w:rPr>
            </w:pPr>
            <w:r w:rsidRPr="00E30642">
              <w:rPr>
                <w:rFonts w:cs="Arial"/>
              </w:rPr>
              <w:t>5</w:t>
            </w:r>
          </w:p>
        </w:tc>
        <w:tc>
          <w:tcPr>
            <w:tcW w:w="1277" w:type="dxa"/>
            <w:tcBorders>
              <w:top w:val="single" w:sz="6" w:space="0" w:color="auto"/>
              <w:left w:val="single" w:sz="6" w:space="0" w:color="auto"/>
              <w:bottom w:val="single" w:sz="6" w:space="0" w:color="auto"/>
              <w:right w:val="single" w:sz="6" w:space="0" w:color="auto"/>
            </w:tcBorders>
          </w:tcPr>
          <w:p w14:paraId="1DE8C2D2" w14:textId="77777777" w:rsidR="00CA23D0" w:rsidRPr="00E30642" w:rsidRDefault="00CA23D0" w:rsidP="00CA23D0">
            <w:pPr>
              <w:pStyle w:val="Texttabulky"/>
              <w:spacing w:line="240" w:lineRule="atLeast"/>
              <w:jc w:val="both"/>
              <w:rPr>
                <w:rFonts w:cs="Arial"/>
              </w:rPr>
            </w:pPr>
            <w:r w:rsidRPr="00E30642">
              <w:rPr>
                <w:rFonts w:cs="Arial"/>
              </w:rPr>
              <w:t>5</w:t>
            </w:r>
          </w:p>
        </w:tc>
        <w:tc>
          <w:tcPr>
            <w:tcW w:w="992" w:type="dxa"/>
            <w:tcBorders>
              <w:top w:val="single" w:sz="6" w:space="0" w:color="auto"/>
              <w:left w:val="single" w:sz="6" w:space="0" w:color="auto"/>
              <w:bottom w:val="single" w:sz="6" w:space="0" w:color="auto"/>
              <w:right w:val="single" w:sz="6" w:space="0" w:color="auto"/>
            </w:tcBorders>
          </w:tcPr>
          <w:p w14:paraId="0586A46C" w14:textId="77777777" w:rsidR="00CA23D0" w:rsidRPr="00E30642" w:rsidRDefault="00CA23D0" w:rsidP="00CA23D0">
            <w:pPr>
              <w:pStyle w:val="Texttabulky"/>
              <w:spacing w:line="240" w:lineRule="atLeast"/>
              <w:jc w:val="both"/>
              <w:rPr>
                <w:rFonts w:cs="Arial"/>
              </w:rPr>
            </w:pPr>
            <w:r w:rsidRPr="00E30642">
              <w:rPr>
                <w:rFonts w:cs="Arial"/>
              </w:rPr>
              <w:t>-4</w:t>
            </w:r>
          </w:p>
        </w:tc>
        <w:tc>
          <w:tcPr>
            <w:tcW w:w="992" w:type="dxa"/>
            <w:tcBorders>
              <w:top w:val="single" w:sz="6" w:space="0" w:color="auto"/>
              <w:left w:val="single" w:sz="6" w:space="0" w:color="auto"/>
              <w:bottom w:val="single" w:sz="6" w:space="0" w:color="auto"/>
              <w:right w:val="single" w:sz="6" w:space="0" w:color="auto"/>
            </w:tcBorders>
          </w:tcPr>
          <w:p w14:paraId="195E6435" w14:textId="77777777" w:rsidR="00CA23D0" w:rsidRPr="00E30642" w:rsidRDefault="00CA23D0" w:rsidP="00CA23D0">
            <w:pPr>
              <w:pStyle w:val="Texttabulky"/>
              <w:spacing w:line="240" w:lineRule="atLeast"/>
              <w:jc w:val="both"/>
              <w:rPr>
                <w:rFonts w:cs="Arial"/>
              </w:rPr>
            </w:pPr>
            <w:r w:rsidRPr="00E30642">
              <w:rPr>
                <w:rFonts w:cs="Arial"/>
              </w:rPr>
              <w:t>-4</w:t>
            </w:r>
          </w:p>
        </w:tc>
      </w:tr>
      <w:tr w:rsidR="00CA23D0" w:rsidRPr="00E30642" w14:paraId="36FA121E" w14:textId="77777777" w:rsidTr="00CA23D0">
        <w:tc>
          <w:tcPr>
            <w:tcW w:w="709" w:type="dxa"/>
            <w:tcBorders>
              <w:top w:val="single" w:sz="6" w:space="0" w:color="auto"/>
              <w:left w:val="single" w:sz="6" w:space="0" w:color="auto"/>
              <w:bottom w:val="single" w:sz="6" w:space="0" w:color="auto"/>
              <w:right w:val="single" w:sz="6" w:space="0" w:color="auto"/>
            </w:tcBorders>
          </w:tcPr>
          <w:p w14:paraId="387DF4C7" w14:textId="77777777" w:rsidR="00CA23D0" w:rsidRPr="00E30642" w:rsidRDefault="00CA23D0" w:rsidP="00CA23D0">
            <w:pPr>
              <w:pStyle w:val="Texttabulky"/>
              <w:spacing w:line="240" w:lineRule="atLeast"/>
              <w:jc w:val="both"/>
              <w:rPr>
                <w:rFonts w:cs="Arial"/>
              </w:rPr>
            </w:pPr>
            <w:r w:rsidRPr="00E30642">
              <w:rPr>
                <w:rFonts w:cs="Arial"/>
                <w:b/>
                <w:bCs/>
              </w:rPr>
              <w:t>56</w:t>
            </w:r>
          </w:p>
        </w:tc>
        <w:tc>
          <w:tcPr>
            <w:tcW w:w="2141" w:type="dxa"/>
            <w:tcBorders>
              <w:top w:val="single" w:sz="6" w:space="0" w:color="auto"/>
              <w:left w:val="single" w:sz="6" w:space="0" w:color="auto"/>
              <w:bottom w:val="single" w:sz="6" w:space="0" w:color="auto"/>
              <w:right w:val="single" w:sz="6" w:space="0" w:color="auto"/>
            </w:tcBorders>
          </w:tcPr>
          <w:p w14:paraId="53245B12" w14:textId="77777777" w:rsidR="00CA23D0" w:rsidRPr="00E30642" w:rsidRDefault="00CA23D0" w:rsidP="00CA23D0">
            <w:pPr>
              <w:pStyle w:val="Texttabulky"/>
              <w:spacing w:line="240" w:lineRule="atLeast"/>
              <w:jc w:val="both"/>
              <w:rPr>
                <w:rFonts w:cs="Arial"/>
              </w:rPr>
            </w:pPr>
            <w:r w:rsidRPr="00E30642">
              <w:rPr>
                <w:rFonts w:cs="Arial"/>
              </w:rPr>
              <w:t>Hoštice</w:t>
            </w:r>
          </w:p>
        </w:tc>
        <w:tc>
          <w:tcPr>
            <w:tcW w:w="1007" w:type="dxa"/>
            <w:tcBorders>
              <w:top w:val="single" w:sz="6" w:space="0" w:color="auto"/>
              <w:left w:val="single" w:sz="6" w:space="0" w:color="auto"/>
              <w:bottom w:val="single" w:sz="6" w:space="0" w:color="auto"/>
              <w:right w:val="single" w:sz="6" w:space="0" w:color="auto"/>
            </w:tcBorders>
          </w:tcPr>
          <w:p w14:paraId="34C6A725" w14:textId="77777777" w:rsidR="00CA23D0" w:rsidRPr="00E30642" w:rsidRDefault="00CA23D0" w:rsidP="00CA23D0">
            <w:pPr>
              <w:pStyle w:val="Texttabulky"/>
              <w:spacing w:line="240" w:lineRule="atLeast"/>
              <w:jc w:val="both"/>
              <w:rPr>
                <w:rFonts w:cs="Arial"/>
              </w:rPr>
            </w:pPr>
            <w:r w:rsidRPr="00E30642">
              <w:rPr>
                <w:rFonts w:cs="Arial"/>
              </w:rPr>
              <w:t>15</w:t>
            </w:r>
          </w:p>
        </w:tc>
        <w:tc>
          <w:tcPr>
            <w:tcW w:w="1275" w:type="dxa"/>
            <w:tcBorders>
              <w:top w:val="single" w:sz="6" w:space="0" w:color="auto"/>
              <w:left w:val="single" w:sz="6" w:space="0" w:color="auto"/>
              <w:bottom w:val="single" w:sz="6" w:space="0" w:color="auto"/>
              <w:right w:val="single" w:sz="6" w:space="0" w:color="auto"/>
            </w:tcBorders>
          </w:tcPr>
          <w:p w14:paraId="4406F59B" w14:textId="77777777" w:rsidR="00CA23D0" w:rsidRPr="00E30642" w:rsidRDefault="00CA23D0" w:rsidP="00CA23D0">
            <w:pPr>
              <w:pStyle w:val="Texttabulky"/>
              <w:spacing w:line="240" w:lineRule="atLeast"/>
              <w:jc w:val="both"/>
              <w:rPr>
                <w:rFonts w:cs="Arial"/>
              </w:rPr>
            </w:pPr>
            <w:r w:rsidRPr="00E30642">
              <w:rPr>
                <w:rFonts w:cs="Arial"/>
              </w:rPr>
              <w:t>10</w:t>
            </w:r>
          </w:p>
        </w:tc>
        <w:tc>
          <w:tcPr>
            <w:tcW w:w="1277" w:type="dxa"/>
            <w:tcBorders>
              <w:top w:val="single" w:sz="6" w:space="0" w:color="auto"/>
              <w:left w:val="single" w:sz="6" w:space="0" w:color="auto"/>
              <w:bottom w:val="single" w:sz="6" w:space="0" w:color="auto"/>
              <w:right w:val="single" w:sz="6" w:space="0" w:color="auto"/>
            </w:tcBorders>
          </w:tcPr>
          <w:p w14:paraId="5A0919DE" w14:textId="77777777" w:rsidR="00CA23D0" w:rsidRPr="00E30642" w:rsidRDefault="00CA23D0" w:rsidP="00CA23D0">
            <w:pPr>
              <w:pStyle w:val="Texttabulky"/>
              <w:spacing w:line="240" w:lineRule="atLeast"/>
              <w:jc w:val="both"/>
              <w:rPr>
                <w:rFonts w:cs="Arial"/>
              </w:rPr>
            </w:pPr>
            <w:r w:rsidRPr="00E30642">
              <w:rPr>
                <w:rFonts w:cs="Arial"/>
              </w:rPr>
              <w:t>10</w:t>
            </w:r>
          </w:p>
        </w:tc>
        <w:tc>
          <w:tcPr>
            <w:tcW w:w="992" w:type="dxa"/>
            <w:tcBorders>
              <w:top w:val="single" w:sz="6" w:space="0" w:color="auto"/>
              <w:left w:val="single" w:sz="6" w:space="0" w:color="auto"/>
              <w:bottom w:val="single" w:sz="6" w:space="0" w:color="auto"/>
              <w:right w:val="single" w:sz="6" w:space="0" w:color="auto"/>
            </w:tcBorders>
          </w:tcPr>
          <w:p w14:paraId="2A323C55" w14:textId="77777777" w:rsidR="00CA23D0" w:rsidRPr="00E30642" w:rsidRDefault="00CA23D0" w:rsidP="00CA23D0">
            <w:pPr>
              <w:pStyle w:val="Texttabulky"/>
              <w:spacing w:line="240" w:lineRule="atLeast"/>
              <w:jc w:val="both"/>
              <w:rPr>
                <w:rFonts w:cs="Arial"/>
              </w:rPr>
            </w:pPr>
            <w:r w:rsidRPr="00E30642">
              <w:rPr>
                <w:rFonts w:cs="Arial"/>
              </w:rPr>
              <w:t>-5</w:t>
            </w:r>
          </w:p>
        </w:tc>
        <w:tc>
          <w:tcPr>
            <w:tcW w:w="992" w:type="dxa"/>
            <w:tcBorders>
              <w:top w:val="single" w:sz="6" w:space="0" w:color="auto"/>
              <w:left w:val="single" w:sz="6" w:space="0" w:color="auto"/>
              <w:bottom w:val="single" w:sz="6" w:space="0" w:color="auto"/>
              <w:right w:val="single" w:sz="6" w:space="0" w:color="auto"/>
            </w:tcBorders>
          </w:tcPr>
          <w:p w14:paraId="644144D2" w14:textId="77777777" w:rsidR="00CA23D0" w:rsidRPr="00E30642" w:rsidRDefault="00CA23D0" w:rsidP="00CA23D0">
            <w:pPr>
              <w:pStyle w:val="Texttabulky"/>
              <w:spacing w:line="240" w:lineRule="atLeast"/>
              <w:jc w:val="both"/>
              <w:rPr>
                <w:rFonts w:cs="Arial"/>
              </w:rPr>
            </w:pPr>
            <w:r w:rsidRPr="00E30642">
              <w:rPr>
                <w:rFonts w:cs="Arial"/>
              </w:rPr>
              <w:t>-5</w:t>
            </w:r>
          </w:p>
        </w:tc>
      </w:tr>
      <w:tr w:rsidR="00CA23D0" w:rsidRPr="00E30642" w14:paraId="50FD16D4" w14:textId="77777777" w:rsidTr="00CA23D0">
        <w:tc>
          <w:tcPr>
            <w:tcW w:w="709" w:type="dxa"/>
            <w:tcBorders>
              <w:top w:val="single" w:sz="6" w:space="0" w:color="auto"/>
              <w:left w:val="single" w:sz="6" w:space="0" w:color="auto"/>
              <w:bottom w:val="single" w:sz="6" w:space="0" w:color="auto"/>
              <w:right w:val="single" w:sz="6" w:space="0" w:color="auto"/>
            </w:tcBorders>
          </w:tcPr>
          <w:p w14:paraId="3295DCF8" w14:textId="77777777" w:rsidR="00CA23D0" w:rsidRPr="00E30642" w:rsidRDefault="00CA23D0" w:rsidP="00CA23D0">
            <w:pPr>
              <w:pStyle w:val="Texttabulky"/>
              <w:spacing w:line="240" w:lineRule="atLeast"/>
              <w:jc w:val="both"/>
              <w:rPr>
                <w:rFonts w:cs="Arial"/>
              </w:rPr>
            </w:pPr>
            <w:r w:rsidRPr="00E30642">
              <w:rPr>
                <w:rFonts w:cs="Arial"/>
                <w:b/>
                <w:bCs/>
              </w:rPr>
              <w:t>53</w:t>
            </w:r>
          </w:p>
        </w:tc>
        <w:tc>
          <w:tcPr>
            <w:tcW w:w="2141" w:type="dxa"/>
            <w:tcBorders>
              <w:top w:val="single" w:sz="6" w:space="0" w:color="auto"/>
              <w:left w:val="single" w:sz="6" w:space="0" w:color="auto"/>
              <w:bottom w:val="single" w:sz="6" w:space="0" w:color="auto"/>
              <w:right w:val="single" w:sz="6" w:space="0" w:color="auto"/>
            </w:tcBorders>
          </w:tcPr>
          <w:p w14:paraId="3A4AE84A" w14:textId="77777777" w:rsidR="00CA23D0" w:rsidRPr="00E30642" w:rsidRDefault="00CA23D0" w:rsidP="00CA23D0">
            <w:pPr>
              <w:pStyle w:val="Texttabulky"/>
              <w:spacing w:line="240" w:lineRule="atLeast"/>
              <w:jc w:val="both"/>
              <w:rPr>
                <w:rFonts w:cs="Arial"/>
              </w:rPr>
            </w:pPr>
            <w:r w:rsidRPr="00E30642">
              <w:rPr>
                <w:rFonts w:cs="Arial"/>
              </w:rPr>
              <w:t>Velká Veleň</w:t>
            </w:r>
          </w:p>
        </w:tc>
        <w:tc>
          <w:tcPr>
            <w:tcW w:w="1007" w:type="dxa"/>
            <w:tcBorders>
              <w:top w:val="single" w:sz="6" w:space="0" w:color="auto"/>
              <w:left w:val="single" w:sz="6" w:space="0" w:color="auto"/>
              <w:bottom w:val="single" w:sz="6" w:space="0" w:color="auto"/>
              <w:right w:val="single" w:sz="6" w:space="0" w:color="auto"/>
            </w:tcBorders>
          </w:tcPr>
          <w:p w14:paraId="66BE42AF" w14:textId="77777777" w:rsidR="00CA23D0" w:rsidRPr="00E30642" w:rsidRDefault="00CA23D0" w:rsidP="00CA23D0">
            <w:pPr>
              <w:pStyle w:val="Texttabulky"/>
              <w:spacing w:line="240" w:lineRule="atLeast"/>
              <w:jc w:val="both"/>
              <w:rPr>
                <w:rFonts w:cs="Arial"/>
              </w:rPr>
            </w:pPr>
            <w:r w:rsidRPr="00E30642">
              <w:rPr>
                <w:rFonts w:cs="Arial"/>
              </w:rPr>
              <w:t>31</w:t>
            </w:r>
          </w:p>
        </w:tc>
        <w:tc>
          <w:tcPr>
            <w:tcW w:w="1275" w:type="dxa"/>
            <w:tcBorders>
              <w:top w:val="single" w:sz="6" w:space="0" w:color="auto"/>
              <w:left w:val="single" w:sz="6" w:space="0" w:color="auto"/>
              <w:bottom w:val="single" w:sz="6" w:space="0" w:color="auto"/>
              <w:right w:val="single" w:sz="6" w:space="0" w:color="auto"/>
            </w:tcBorders>
          </w:tcPr>
          <w:p w14:paraId="2C1131AE" w14:textId="77777777" w:rsidR="00CA23D0" w:rsidRPr="00E30642" w:rsidRDefault="00CA23D0" w:rsidP="00CA23D0">
            <w:pPr>
              <w:pStyle w:val="Texttabulky"/>
              <w:spacing w:line="240" w:lineRule="atLeast"/>
              <w:jc w:val="both"/>
              <w:rPr>
                <w:rFonts w:cs="Arial"/>
              </w:rPr>
            </w:pPr>
            <w:r w:rsidRPr="00E30642">
              <w:rPr>
                <w:rFonts w:cs="Arial"/>
              </w:rPr>
              <w:t>25</w:t>
            </w:r>
          </w:p>
        </w:tc>
        <w:tc>
          <w:tcPr>
            <w:tcW w:w="1277" w:type="dxa"/>
            <w:tcBorders>
              <w:top w:val="single" w:sz="6" w:space="0" w:color="auto"/>
              <w:left w:val="single" w:sz="6" w:space="0" w:color="auto"/>
              <w:bottom w:val="single" w:sz="6" w:space="0" w:color="auto"/>
              <w:right w:val="single" w:sz="6" w:space="0" w:color="auto"/>
            </w:tcBorders>
          </w:tcPr>
          <w:p w14:paraId="2AABAE96" w14:textId="77777777" w:rsidR="00CA23D0" w:rsidRPr="00E30642" w:rsidRDefault="00CA23D0" w:rsidP="00CA23D0">
            <w:pPr>
              <w:pStyle w:val="Texttabulky"/>
              <w:spacing w:line="240" w:lineRule="atLeast"/>
              <w:jc w:val="both"/>
              <w:rPr>
                <w:rFonts w:cs="Arial"/>
              </w:rPr>
            </w:pPr>
            <w:r w:rsidRPr="00E30642">
              <w:rPr>
                <w:rFonts w:cs="Arial"/>
              </w:rPr>
              <w:t>25</w:t>
            </w:r>
          </w:p>
        </w:tc>
        <w:tc>
          <w:tcPr>
            <w:tcW w:w="992" w:type="dxa"/>
            <w:tcBorders>
              <w:top w:val="single" w:sz="6" w:space="0" w:color="auto"/>
              <w:left w:val="single" w:sz="6" w:space="0" w:color="auto"/>
              <w:bottom w:val="single" w:sz="6" w:space="0" w:color="auto"/>
              <w:right w:val="single" w:sz="6" w:space="0" w:color="auto"/>
            </w:tcBorders>
          </w:tcPr>
          <w:p w14:paraId="17558A2F" w14:textId="77777777" w:rsidR="00CA23D0" w:rsidRPr="00E30642" w:rsidRDefault="00CA23D0" w:rsidP="00CA23D0">
            <w:pPr>
              <w:pStyle w:val="Texttabulky"/>
              <w:spacing w:line="240" w:lineRule="atLeast"/>
              <w:jc w:val="both"/>
              <w:rPr>
                <w:rFonts w:cs="Arial"/>
              </w:rPr>
            </w:pPr>
            <w:r w:rsidRPr="00E30642">
              <w:rPr>
                <w:rFonts w:cs="Arial"/>
              </w:rPr>
              <w:t>-6</w:t>
            </w:r>
          </w:p>
        </w:tc>
        <w:tc>
          <w:tcPr>
            <w:tcW w:w="992" w:type="dxa"/>
            <w:tcBorders>
              <w:top w:val="single" w:sz="6" w:space="0" w:color="auto"/>
              <w:left w:val="single" w:sz="6" w:space="0" w:color="auto"/>
              <w:bottom w:val="single" w:sz="6" w:space="0" w:color="auto"/>
              <w:right w:val="single" w:sz="6" w:space="0" w:color="auto"/>
            </w:tcBorders>
          </w:tcPr>
          <w:p w14:paraId="47A2F0CF" w14:textId="77777777" w:rsidR="00CA23D0" w:rsidRPr="00E30642" w:rsidRDefault="00CA23D0" w:rsidP="00CA23D0">
            <w:pPr>
              <w:pStyle w:val="Texttabulky"/>
              <w:spacing w:line="240" w:lineRule="atLeast"/>
              <w:jc w:val="both"/>
              <w:rPr>
                <w:rFonts w:cs="Arial"/>
              </w:rPr>
            </w:pPr>
            <w:r w:rsidRPr="00E30642">
              <w:rPr>
                <w:rFonts w:cs="Arial"/>
              </w:rPr>
              <w:t>-6</w:t>
            </w:r>
          </w:p>
        </w:tc>
      </w:tr>
      <w:tr w:rsidR="00CA23D0" w:rsidRPr="00E30642" w14:paraId="381904B0" w14:textId="77777777" w:rsidTr="00CA23D0">
        <w:tc>
          <w:tcPr>
            <w:tcW w:w="709" w:type="dxa"/>
            <w:tcBorders>
              <w:top w:val="single" w:sz="6" w:space="0" w:color="auto"/>
              <w:left w:val="single" w:sz="6" w:space="0" w:color="auto"/>
              <w:bottom w:val="single" w:sz="6" w:space="0" w:color="auto"/>
              <w:right w:val="single" w:sz="6" w:space="0" w:color="auto"/>
            </w:tcBorders>
          </w:tcPr>
          <w:p w14:paraId="1861B6DC" w14:textId="77777777" w:rsidR="00CA23D0" w:rsidRPr="00E30642" w:rsidRDefault="00CA23D0" w:rsidP="00CA23D0">
            <w:pPr>
              <w:pStyle w:val="Texttabulky"/>
              <w:spacing w:line="240" w:lineRule="atLeast"/>
              <w:jc w:val="both"/>
              <w:rPr>
                <w:rFonts w:cs="Arial"/>
              </w:rPr>
            </w:pPr>
            <w:r w:rsidRPr="00E30642">
              <w:rPr>
                <w:rFonts w:cs="Arial"/>
                <w:b/>
                <w:bCs/>
              </w:rPr>
              <w:t>14</w:t>
            </w:r>
          </w:p>
        </w:tc>
        <w:tc>
          <w:tcPr>
            <w:tcW w:w="2141" w:type="dxa"/>
            <w:tcBorders>
              <w:top w:val="single" w:sz="6" w:space="0" w:color="auto"/>
              <w:left w:val="single" w:sz="6" w:space="0" w:color="auto"/>
              <w:bottom w:val="single" w:sz="6" w:space="0" w:color="auto"/>
              <w:right w:val="single" w:sz="6" w:space="0" w:color="auto"/>
            </w:tcBorders>
          </w:tcPr>
          <w:p w14:paraId="77B0C25A" w14:textId="77777777" w:rsidR="00CA23D0" w:rsidRPr="00E30642" w:rsidRDefault="00CA23D0" w:rsidP="00CA23D0">
            <w:pPr>
              <w:pStyle w:val="Texttabulky"/>
              <w:spacing w:line="240" w:lineRule="atLeast"/>
              <w:jc w:val="both"/>
              <w:rPr>
                <w:rFonts w:cs="Arial"/>
              </w:rPr>
            </w:pPr>
            <w:r w:rsidRPr="00E30642">
              <w:rPr>
                <w:rFonts w:cs="Arial"/>
              </w:rPr>
              <w:t>Chlumská stráň</w:t>
            </w:r>
          </w:p>
        </w:tc>
        <w:tc>
          <w:tcPr>
            <w:tcW w:w="1007" w:type="dxa"/>
            <w:tcBorders>
              <w:top w:val="single" w:sz="6" w:space="0" w:color="auto"/>
              <w:left w:val="single" w:sz="6" w:space="0" w:color="auto"/>
              <w:bottom w:val="single" w:sz="6" w:space="0" w:color="auto"/>
              <w:right w:val="single" w:sz="6" w:space="0" w:color="auto"/>
            </w:tcBorders>
          </w:tcPr>
          <w:p w14:paraId="531CEBE2" w14:textId="77777777" w:rsidR="00CA23D0" w:rsidRPr="00E30642" w:rsidRDefault="00CA23D0" w:rsidP="00CA23D0">
            <w:pPr>
              <w:pStyle w:val="Texttabulky"/>
              <w:spacing w:line="240" w:lineRule="atLeast"/>
              <w:jc w:val="both"/>
              <w:rPr>
                <w:rFonts w:cs="Arial"/>
              </w:rPr>
            </w:pPr>
            <w:r w:rsidRPr="00E30642">
              <w:rPr>
                <w:rFonts w:cs="Arial"/>
              </w:rPr>
              <w:t>27</w:t>
            </w:r>
          </w:p>
        </w:tc>
        <w:tc>
          <w:tcPr>
            <w:tcW w:w="1275" w:type="dxa"/>
            <w:tcBorders>
              <w:top w:val="single" w:sz="6" w:space="0" w:color="auto"/>
              <w:left w:val="single" w:sz="6" w:space="0" w:color="auto"/>
              <w:bottom w:val="single" w:sz="6" w:space="0" w:color="auto"/>
              <w:right w:val="single" w:sz="6" w:space="0" w:color="auto"/>
            </w:tcBorders>
          </w:tcPr>
          <w:p w14:paraId="17921A3D" w14:textId="77777777" w:rsidR="00CA23D0" w:rsidRPr="00E30642" w:rsidRDefault="00CA23D0" w:rsidP="00CA23D0">
            <w:pPr>
              <w:pStyle w:val="Texttabulky"/>
              <w:spacing w:line="240" w:lineRule="atLeast"/>
              <w:jc w:val="both"/>
              <w:rPr>
                <w:rFonts w:cs="Arial"/>
              </w:rPr>
            </w:pPr>
            <w:r w:rsidRPr="00E30642">
              <w:rPr>
                <w:rFonts w:cs="Arial"/>
              </w:rPr>
              <w:t>20</w:t>
            </w:r>
          </w:p>
        </w:tc>
        <w:tc>
          <w:tcPr>
            <w:tcW w:w="1277" w:type="dxa"/>
            <w:tcBorders>
              <w:top w:val="single" w:sz="6" w:space="0" w:color="auto"/>
              <w:left w:val="single" w:sz="6" w:space="0" w:color="auto"/>
              <w:bottom w:val="single" w:sz="6" w:space="0" w:color="auto"/>
              <w:right w:val="single" w:sz="6" w:space="0" w:color="auto"/>
            </w:tcBorders>
          </w:tcPr>
          <w:p w14:paraId="5B056788" w14:textId="77777777" w:rsidR="00CA23D0" w:rsidRPr="00E30642" w:rsidRDefault="00CA23D0" w:rsidP="00CA23D0">
            <w:pPr>
              <w:pStyle w:val="Texttabulky"/>
              <w:spacing w:line="240" w:lineRule="atLeast"/>
              <w:jc w:val="both"/>
              <w:rPr>
                <w:rFonts w:cs="Arial"/>
              </w:rPr>
            </w:pPr>
            <w:r w:rsidRPr="00E30642">
              <w:rPr>
                <w:rFonts w:cs="Arial"/>
              </w:rPr>
              <w:t>20</w:t>
            </w:r>
          </w:p>
        </w:tc>
        <w:tc>
          <w:tcPr>
            <w:tcW w:w="992" w:type="dxa"/>
            <w:tcBorders>
              <w:top w:val="single" w:sz="6" w:space="0" w:color="auto"/>
              <w:left w:val="single" w:sz="6" w:space="0" w:color="auto"/>
              <w:bottom w:val="single" w:sz="6" w:space="0" w:color="auto"/>
              <w:right w:val="single" w:sz="6" w:space="0" w:color="auto"/>
            </w:tcBorders>
          </w:tcPr>
          <w:p w14:paraId="7961B048" w14:textId="77777777" w:rsidR="00CA23D0" w:rsidRPr="00E30642" w:rsidRDefault="00CA23D0" w:rsidP="00CA23D0">
            <w:pPr>
              <w:pStyle w:val="Texttabulky"/>
              <w:spacing w:line="240" w:lineRule="atLeast"/>
              <w:jc w:val="both"/>
              <w:rPr>
                <w:rFonts w:cs="Arial"/>
              </w:rPr>
            </w:pPr>
            <w:r w:rsidRPr="00E30642">
              <w:rPr>
                <w:rFonts w:cs="Arial"/>
              </w:rPr>
              <w:t>-7</w:t>
            </w:r>
          </w:p>
        </w:tc>
        <w:tc>
          <w:tcPr>
            <w:tcW w:w="992" w:type="dxa"/>
            <w:tcBorders>
              <w:top w:val="single" w:sz="6" w:space="0" w:color="auto"/>
              <w:left w:val="single" w:sz="6" w:space="0" w:color="auto"/>
              <w:bottom w:val="single" w:sz="6" w:space="0" w:color="auto"/>
              <w:right w:val="single" w:sz="6" w:space="0" w:color="auto"/>
            </w:tcBorders>
          </w:tcPr>
          <w:p w14:paraId="33B4BF3B" w14:textId="77777777" w:rsidR="00CA23D0" w:rsidRPr="00E30642" w:rsidRDefault="00CA23D0" w:rsidP="00CA23D0">
            <w:pPr>
              <w:pStyle w:val="Texttabulky"/>
              <w:spacing w:line="240" w:lineRule="atLeast"/>
              <w:jc w:val="both"/>
              <w:rPr>
                <w:rFonts w:cs="Arial"/>
              </w:rPr>
            </w:pPr>
            <w:r w:rsidRPr="00E30642">
              <w:rPr>
                <w:rFonts w:cs="Arial"/>
              </w:rPr>
              <w:t>-7</w:t>
            </w:r>
          </w:p>
        </w:tc>
      </w:tr>
      <w:tr w:rsidR="00CA23D0" w:rsidRPr="00E30642" w14:paraId="19C9BE5F" w14:textId="77777777" w:rsidTr="00CA23D0">
        <w:tc>
          <w:tcPr>
            <w:tcW w:w="709" w:type="dxa"/>
            <w:tcBorders>
              <w:top w:val="single" w:sz="6" w:space="0" w:color="auto"/>
              <w:left w:val="single" w:sz="6" w:space="0" w:color="auto"/>
              <w:bottom w:val="single" w:sz="6" w:space="0" w:color="auto"/>
              <w:right w:val="single" w:sz="6" w:space="0" w:color="auto"/>
            </w:tcBorders>
          </w:tcPr>
          <w:p w14:paraId="32D5AE01" w14:textId="77777777" w:rsidR="00CA23D0" w:rsidRPr="00E30642" w:rsidRDefault="00CA23D0" w:rsidP="00CA23D0">
            <w:pPr>
              <w:pStyle w:val="Texttabulky"/>
              <w:spacing w:line="240" w:lineRule="atLeast"/>
              <w:jc w:val="both"/>
              <w:rPr>
                <w:rFonts w:cs="Arial"/>
              </w:rPr>
            </w:pPr>
            <w:r w:rsidRPr="00E30642">
              <w:rPr>
                <w:rFonts w:cs="Arial"/>
                <w:b/>
                <w:bCs/>
              </w:rPr>
              <w:t>58</w:t>
            </w:r>
          </w:p>
        </w:tc>
        <w:tc>
          <w:tcPr>
            <w:tcW w:w="2141" w:type="dxa"/>
            <w:tcBorders>
              <w:top w:val="single" w:sz="6" w:space="0" w:color="auto"/>
              <w:left w:val="single" w:sz="6" w:space="0" w:color="auto"/>
              <w:bottom w:val="single" w:sz="6" w:space="0" w:color="auto"/>
              <w:right w:val="single" w:sz="6" w:space="0" w:color="auto"/>
            </w:tcBorders>
          </w:tcPr>
          <w:p w14:paraId="4A811C94" w14:textId="77777777" w:rsidR="00CA23D0" w:rsidRPr="00E30642" w:rsidRDefault="00CA23D0" w:rsidP="00CA23D0">
            <w:pPr>
              <w:pStyle w:val="Texttabulky"/>
              <w:spacing w:line="240" w:lineRule="atLeast"/>
              <w:jc w:val="both"/>
              <w:rPr>
                <w:rFonts w:cs="Arial"/>
              </w:rPr>
            </w:pPr>
            <w:r w:rsidRPr="00E30642">
              <w:rPr>
                <w:rFonts w:cs="Arial"/>
              </w:rPr>
              <w:t>Jakuby</w:t>
            </w:r>
          </w:p>
        </w:tc>
        <w:tc>
          <w:tcPr>
            <w:tcW w:w="1007" w:type="dxa"/>
            <w:tcBorders>
              <w:top w:val="single" w:sz="6" w:space="0" w:color="auto"/>
              <w:left w:val="single" w:sz="6" w:space="0" w:color="auto"/>
              <w:bottom w:val="single" w:sz="6" w:space="0" w:color="auto"/>
              <w:right w:val="single" w:sz="6" w:space="0" w:color="auto"/>
            </w:tcBorders>
          </w:tcPr>
          <w:p w14:paraId="563226CA" w14:textId="77777777" w:rsidR="00CA23D0" w:rsidRPr="00E30642" w:rsidRDefault="00CA23D0" w:rsidP="00CA23D0">
            <w:pPr>
              <w:pStyle w:val="Texttabulky"/>
              <w:spacing w:line="240" w:lineRule="atLeast"/>
              <w:jc w:val="both"/>
              <w:rPr>
                <w:rFonts w:cs="Arial"/>
              </w:rPr>
            </w:pPr>
            <w:r w:rsidRPr="00E30642">
              <w:rPr>
                <w:rFonts w:cs="Arial"/>
              </w:rPr>
              <w:t>28</w:t>
            </w:r>
          </w:p>
        </w:tc>
        <w:tc>
          <w:tcPr>
            <w:tcW w:w="1275" w:type="dxa"/>
            <w:tcBorders>
              <w:top w:val="single" w:sz="6" w:space="0" w:color="auto"/>
              <w:left w:val="single" w:sz="6" w:space="0" w:color="auto"/>
              <w:bottom w:val="single" w:sz="6" w:space="0" w:color="auto"/>
              <w:right w:val="single" w:sz="6" w:space="0" w:color="auto"/>
            </w:tcBorders>
          </w:tcPr>
          <w:p w14:paraId="5D070918" w14:textId="77777777" w:rsidR="00CA23D0" w:rsidRPr="00E30642" w:rsidRDefault="00CA23D0" w:rsidP="00CA23D0">
            <w:pPr>
              <w:pStyle w:val="Texttabulky"/>
              <w:spacing w:line="240" w:lineRule="atLeast"/>
              <w:jc w:val="both"/>
              <w:rPr>
                <w:rFonts w:cs="Arial"/>
              </w:rPr>
            </w:pPr>
            <w:r w:rsidRPr="00E30642">
              <w:rPr>
                <w:rFonts w:cs="Arial"/>
              </w:rPr>
              <w:t>20</w:t>
            </w:r>
          </w:p>
        </w:tc>
        <w:tc>
          <w:tcPr>
            <w:tcW w:w="1277" w:type="dxa"/>
            <w:tcBorders>
              <w:top w:val="single" w:sz="6" w:space="0" w:color="auto"/>
              <w:left w:val="single" w:sz="6" w:space="0" w:color="auto"/>
              <w:bottom w:val="single" w:sz="6" w:space="0" w:color="auto"/>
              <w:right w:val="single" w:sz="6" w:space="0" w:color="auto"/>
            </w:tcBorders>
          </w:tcPr>
          <w:p w14:paraId="71F4C544" w14:textId="77777777" w:rsidR="00CA23D0" w:rsidRPr="00E30642" w:rsidRDefault="00CA23D0" w:rsidP="00CA23D0">
            <w:pPr>
              <w:pStyle w:val="Texttabulky"/>
              <w:spacing w:line="240" w:lineRule="atLeast"/>
              <w:jc w:val="both"/>
              <w:rPr>
                <w:rFonts w:cs="Arial"/>
              </w:rPr>
            </w:pPr>
            <w:r w:rsidRPr="00E30642">
              <w:rPr>
                <w:rFonts w:cs="Arial"/>
              </w:rPr>
              <w:t>20</w:t>
            </w:r>
          </w:p>
        </w:tc>
        <w:tc>
          <w:tcPr>
            <w:tcW w:w="992" w:type="dxa"/>
            <w:tcBorders>
              <w:top w:val="single" w:sz="6" w:space="0" w:color="auto"/>
              <w:left w:val="single" w:sz="6" w:space="0" w:color="auto"/>
              <w:bottom w:val="single" w:sz="6" w:space="0" w:color="auto"/>
              <w:right w:val="single" w:sz="6" w:space="0" w:color="auto"/>
            </w:tcBorders>
          </w:tcPr>
          <w:p w14:paraId="5640C2F4" w14:textId="77777777" w:rsidR="00CA23D0" w:rsidRPr="00E30642" w:rsidRDefault="00CA23D0" w:rsidP="00CA23D0">
            <w:pPr>
              <w:pStyle w:val="Texttabulky"/>
              <w:spacing w:line="240" w:lineRule="atLeast"/>
              <w:jc w:val="both"/>
              <w:rPr>
                <w:rFonts w:cs="Arial"/>
              </w:rPr>
            </w:pPr>
            <w:r w:rsidRPr="00E30642">
              <w:rPr>
                <w:rFonts w:cs="Arial"/>
              </w:rPr>
              <w:t>-8</w:t>
            </w:r>
          </w:p>
        </w:tc>
        <w:tc>
          <w:tcPr>
            <w:tcW w:w="992" w:type="dxa"/>
            <w:tcBorders>
              <w:top w:val="single" w:sz="6" w:space="0" w:color="auto"/>
              <w:left w:val="single" w:sz="6" w:space="0" w:color="auto"/>
              <w:bottom w:val="single" w:sz="6" w:space="0" w:color="auto"/>
              <w:right w:val="single" w:sz="6" w:space="0" w:color="auto"/>
            </w:tcBorders>
          </w:tcPr>
          <w:p w14:paraId="0D83F139" w14:textId="77777777" w:rsidR="00CA23D0" w:rsidRPr="00E30642" w:rsidRDefault="00CA23D0" w:rsidP="00CA23D0">
            <w:pPr>
              <w:pStyle w:val="Texttabulky"/>
              <w:spacing w:line="240" w:lineRule="atLeast"/>
              <w:jc w:val="both"/>
              <w:rPr>
                <w:rFonts w:cs="Arial"/>
              </w:rPr>
            </w:pPr>
            <w:r w:rsidRPr="00E30642">
              <w:rPr>
                <w:rFonts w:cs="Arial"/>
              </w:rPr>
              <w:t>-8</w:t>
            </w:r>
          </w:p>
        </w:tc>
      </w:tr>
      <w:tr w:rsidR="00CA23D0" w:rsidRPr="00E30642" w14:paraId="0F179B98" w14:textId="77777777" w:rsidTr="00CA23D0">
        <w:tc>
          <w:tcPr>
            <w:tcW w:w="709" w:type="dxa"/>
            <w:tcBorders>
              <w:top w:val="single" w:sz="6" w:space="0" w:color="auto"/>
              <w:left w:val="single" w:sz="6" w:space="0" w:color="auto"/>
              <w:bottom w:val="single" w:sz="6" w:space="0" w:color="auto"/>
              <w:right w:val="single" w:sz="6" w:space="0" w:color="auto"/>
            </w:tcBorders>
          </w:tcPr>
          <w:p w14:paraId="6B9911DC" w14:textId="77777777" w:rsidR="00CA23D0" w:rsidRPr="00E30642" w:rsidRDefault="00CA23D0" w:rsidP="00CA23D0">
            <w:pPr>
              <w:pStyle w:val="Texttabulky"/>
              <w:spacing w:line="240" w:lineRule="atLeast"/>
              <w:jc w:val="both"/>
              <w:rPr>
                <w:rFonts w:cs="Arial"/>
              </w:rPr>
            </w:pPr>
            <w:r w:rsidRPr="00E30642">
              <w:rPr>
                <w:rFonts w:cs="Arial"/>
                <w:b/>
                <w:bCs/>
              </w:rPr>
              <w:t>64</w:t>
            </w:r>
          </w:p>
        </w:tc>
        <w:tc>
          <w:tcPr>
            <w:tcW w:w="2141" w:type="dxa"/>
            <w:tcBorders>
              <w:top w:val="single" w:sz="6" w:space="0" w:color="auto"/>
              <w:left w:val="single" w:sz="6" w:space="0" w:color="auto"/>
              <w:bottom w:val="single" w:sz="6" w:space="0" w:color="auto"/>
              <w:right w:val="single" w:sz="6" w:space="0" w:color="auto"/>
            </w:tcBorders>
          </w:tcPr>
          <w:p w14:paraId="6A4F0C78" w14:textId="77777777" w:rsidR="00CA23D0" w:rsidRPr="00E30642" w:rsidRDefault="00CA23D0" w:rsidP="00CA23D0">
            <w:pPr>
              <w:pStyle w:val="Texttabulky"/>
              <w:spacing w:line="240" w:lineRule="atLeast"/>
              <w:jc w:val="both"/>
              <w:rPr>
                <w:rFonts w:cs="Arial"/>
              </w:rPr>
            </w:pPr>
            <w:r w:rsidRPr="00E30642">
              <w:rPr>
                <w:rFonts w:cs="Arial"/>
              </w:rPr>
              <w:t>Nová Ves</w:t>
            </w:r>
          </w:p>
        </w:tc>
        <w:tc>
          <w:tcPr>
            <w:tcW w:w="1007" w:type="dxa"/>
            <w:tcBorders>
              <w:top w:val="single" w:sz="6" w:space="0" w:color="auto"/>
              <w:left w:val="single" w:sz="6" w:space="0" w:color="auto"/>
              <w:bottom w:val="single" w:sz="6" w:space="0" w:color="auto"/>
              <w:right w:val="single" w:sz="6" w:space="0" w:color="auto"/>
            </w:tcBorders>
          </w:tcPr>
          <w:p w14:paraId="759E58FE" w14:textId="77777777" w:rsidR="00CA23D0" w:rsidRPr="00E30642" w:rsidRDefault="00CA23D0" w:rsidP="00CA23D0">
            <w:pPr>
              <w:pStyle w:val="Texttabulky"/>
              <w:spacing w:line="240" w:lineRule="atLeast"/>
              <w:jc w:val="both"/>
              <w:rPr>
                <w:rFonts w:cs="Arial"/>
              </w:rPr>
            </w:pPr>
            <w:r w:rsidRPr="00E30642">
              <w:rPr>
                <w:rFonts w:cs="Arial"/>
              </w:rPr>
              <w:t>209</w:t>
            </w:r>
          </w:p>
        </w:tc>
        <w:tc>
          <w:tcPr>
            <w:tcW w:w="1275" w:type="dxa"/>
            <w:tcBorders>
              <w:top w:val="single" w:sz="6" w:space="0" w:color="auto"/>
              <w:left w:val="single" w:sz="6" w:space="0" w:color="auto"/>
              <w:bottom w:val="single" w:sz="6" w:space="0" w:color="auto"/>
              <w:right w:val="single" w:sz="6" w:space="0" w:color="auto"/>
            </w:tcBorders>
          </w:tcPr>
          <w:p w14:paraId="56C8FCB6"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277" w:type="dxa"/>
            <w:tcBorders>
              <w:top w:val="single" w:sz="6" w:space="0" w:color="auto"/>
              <w:left w:val="single" w:sz="6" w:space="0" w:color="auto"/>
              <w:bottom w:val="single" w:sz="6" w:space="0" w:color="auto"/>
              <w:right w:val="single" w:sz="6" w:space="0" w:color="auto"/>
            </w:tcBorders>
          </w:tcPr>
          <w:p w14:paraId="7793B671" w14:textId="77777777" w:rsidR="00CA23D0" w:rsidRPr="00E30642" w:rsidRDefault="00CA23D0" w:rsidP="00CA23D0">
            <w:pPr>
              <w:pStyle w:val="Texttabulky"/>
              <w:spacing w:line="240" w:lineRule="atLeast"/>
              <w:jc w:val="both"/>
              <w:rPr>
                <w:rFonts w:cs="Arial"/>
              </w:rPr>
            </w:pPr>
            <w:r w:rsidRPr="00E30642">
              <w:rPr>
                <w:rFonts w:cs="Arial"/>
              </w:rPr>
              <w:t>440</w:t>
            </w:r>
          </w:p>
        </w:tc>
        <w:tc>
          <w:tcPr>
            <w:tcW w:w="992" w:type="dxa"/>
            <w:tcBorders>
              <w:top w:val="single" w:sz="6" w:space="0" w:color="auto"/>
              <w:left w:val="single" w:sz="6" w:space="0" w:color="auto"/>
              <w:bottom w:val="single" w:sz="6" w:space="0" w:color="auto"/>
              <w:right w:val="single" w:sz="6" w:space="0" w:color="auto"/>
            </w:tcBorders>
          </w:tcPr>
          <w:p w14:paraId="78CB1591" w14:textId="77777777" w:rsidR="00CA23D0" w:rsidRPr="00E30642" w:rsidRDefault="00CA23D0" w:rsidP="00CA23D0">
            <w:pPr>
              <w:pStyle w:val="Texttabulky"/>
              <w:spacing w:line="240" w:lineRule="atLeast"/>
              <w:jc w:val="both"/>
              <w:rPr>
                <w:rFonts w:cs="Arial"/>
              </w:rPr>
            </w:pPr>
            <w:r w:rsidRPr="00E30642">
              <w:rPr>
                <w:rFonts w:cs="Arial"/>
              </w:rPr>
              <w:t>-9</w:t>
            </w:r>
          </w:p>
        </w:tc>
        <w:tc>
          <w:tcPr>
            <w:tcW w:w="992" w:type="dxa"/>
            <w:tcBorders>
              <w:top w:val="single" w:sz="6" w:space="0" w:color="auto"/>
              <w:left w:val="single" w:sz="6" w:space="0" w:color="auto"/>
              <w:bottom w:val="single" w:sz="6" w:space="0" w:color="auto"/>
              <w:right w:val="single" w:sz="6" w:space="0" w:color="auto"/>
            </w:tcBorders>
          </w:tcPr>
          <w:p w14:paraId="22075A15" w14:textId="77777777" w:rsidR="00CA23D0" w:rsidRPr="00E30642" w:rsidRDefault="00CA23D0" w:rsidP="00CA23D0">
            <w:pPr>
              <w:pStyle w:val="Texttabulky"/>
              <w:spacing w:line="240" w:lineRule="atLeast"/>
              <w:jc w:val="both"/>
              <w:rPr>
                <w:rFonts w:cs="Arial"/>
              </w:rPr>
            </w:pPr>
            <w:r w:rsidRPr="00E30642">
              <w:rPr>
                <w:rFonts w:cs="Arial"/>
              </w:rPr>
              <w:t>231</w:t>
            </w:r>
          </w:p>
        </w:tc>
      </w:tr>
      <w:tr w:rsidR="00CA23D0" w:rsidRPr="00E30642" w14:paraId="5A7083ED" w14:textId="77777777" w:rsidTr="00CA23D0">
        <w:tc>
          <w:tcPr>
            <w:tcW w:w="709" w:type="dxa"/>
            <w:tcBorders>
              <w:top w:val="single" w:sz="6" w:space="0" w:color="auto"/>
              <w:left w:val="single" w:sz="6" w:space="0" w:color="auto"/>
              <w:bottom w:val="single" w:sz="6" w:space="0" w:color="auto"/>
              <w:right w:val="single" w:sz="6" w:space="0" w:color="auto"/>
            </w:tcBorders>
          </w:tcPr>
          <w:p w14:paraId="17B8C008" w14:textId="77777777" w:rsidR="00CA23D0" w:rsidRPr="00E30642" w:rsidRDefault="00CA23D0" w:rsidP="00CA23D0">
            <w:pPr>
              <w:pStyle w:val="Texttabulky"/>
              <w:spacing w:line="240" w:lineRule="atLeast"/>
              <w:jc w:val="both"/>
              <w:rPr>
                <w:rFonts w:cs="Arial"/>
              </w:rPr>
            </w:pPr>
            <w:r w:rsidRPr="00E30642">
              <w:rPr>
                <w:rFonts w:cs="Arial"/>
                <w:b/>
                <w:bCs/>
              </w:rPr>
              <w:t>16</w:t>
            </w:r>
          </w:p>
        </w:tc>
        <w:tc>
          <w:tcPr>
            <w:tcW w:w="2141" w:type="dxa"/>
            <w:tcBorders>
              <w:top w:val="single" w:sz="6" w:space="0" w:color="auto"/>
              <w:left w:val="single" w:sz="6" w:space="0" w:color="auto"/>
              <w:bottom w:val="single" w:sz="6" w:space="0" w:color="auto"/>
              <w:right w:val="single" w:sz="6" w:space="0" w:color="auto"/>
            </w:tcBorders>
          </w:tcPr>
          <w:p w14:paraId="25ABB405" w14:textId="77777777" w:rsidR="00CA23D0" w:rsidRPr="00E30642" w:rsidRDefault="00CA23D0" w:rsidP="00CA23D0">
            <w:pPr>
              <w:pStyle w:val="Texttabulky"/>
              <w:spacing w:line="240" w:lineRule="atLeast"/>
              <w:jc w:val="both"/>
              <w:rPr>
                <w:rFonts w:cs="Arial"/>
              </w:rPr>
            </w:pPr>
            <w:r w:rsidRPr="00E30642">
              <w:rPr>
                <w:rFonts w:cs="Arial"/>
              </w:rPr>
              <w:t>Vilsnice</w:t>
            </w:r>
          </w:p>
        </w:tc>
        <w:tc>
          <w:tcPr>
            <w:tcW w:w="1007" w:type="dxa"/>
            <w:tcBorders>
              <w:top w:val="single" w:sz="6" w:space="0" w:color="auto"/>
              <w:left w:val="single" w:sz="6" w:space="0" w:color="auto"/>
              <w:bottom w:val="single" w:sz="6" w:space="0" w:color="auto"/>
              <w:right w:val="single" w:sz="6" w:space="0" w:color="auto"/>
            </w:tcBorders>
          </w:tcPr>
          <w:p w14:paraId="4725F7BC" w14:textId="77777777" w:rsidR="00CA23D0" w:rsidRPr="00E30642" w:rsidRDefault="00CA23D0" w:rsidP="00CA23D0">
            <w:pPr>
              <w:pStyle w:val="Texttabulky"/>
              <w:spacing w:line="240" w:lineRule="atLeast"/>
              <w:jc w:val="both"/>
              <w:rPr>
                <w:rFonts w:cs="Arial"/>
              </w:rPr>
            </w:pPr>
            <w:r w:rsidRPr="00E30642">
              <w:rPr>
                <w:rFonts w:cs="Arial"/>
              </w:rPr>
              <w:t>610</w:t>
            </w:r>
          </w:p>
        </w:tc>
        <w:tc>
          <w:tcPr>
            <w:tcW w:w="1275" w:type="dxa"/>
            <w:tcBorders>
              <w:top w:val="single" w:sz="6" w:space="0" w:color="auto"/>
              <w:left w:val="single" w:sz="6" w:space="0" w:color="auto"/>
              <w:bottom w:val="single" w:sz="6" w:space="0" w:color="auto"/>
              <w:right w:val="single" w:sz="6" w:space="0" w:color="auto"/>
            </w:tcBorders>
          </w:tcPr>
          <w:p w14:paraId="169DD1EC" w14:textId="77777777" w:rsidR="00CA23D0" w:rsidRPr="00E30642" w:rsidRDefault="00CA23D0" w:rsidP="00CA23D0">
            <w:pPr>
              <w:pStyle w:val="Texttabulky"/>
              <w:spacing w:line="240" w:lineRule="atLeast"/>
              <w:jc w:val="both"/>
              <w:rPr>
                <w:rFonts w:cs="Arial"/>
              </w:rPr>
            </w:pPr>
            <w:r w:rsidRPr="00E30642">
              <w:rPr>
                <w:rFonts w:cs="Arial"/>
              </w:rPr>
              <w:t>600</w:t>
            </w:r>
          </w:p>
        </w:tc>
        <w:tc>
          <w:tcPr>
            <w:tcW w:w="1277" w:type="dxa"/>
            <w:tcBorders>
              <w:top w:val="single" w:sz="6" w:space="0" w:color="auto"/>
              <w:left w:val="single" w:sz="6" w:space="0" w:color="auto"/>
              <w:bottom w:val="single" w:sz="6" w:space="0" w:color="auto"/>
              <w:right w:val="single" w:sz="6" w:space="0" w:color="auto"/>
            </w:tcBorders>
          </w:tcPr>
          <w:p w14:paraId="3F8B106B" w14:textId="77777777" w:rsidR="00CA23D0" w:rsidRPr="00E30642" w:rsidRDefault="00CA23D0" w:rsidP="00CA23D0">
            <w:pPr>
              <w:pStyle w:val="Texttabulky"/>
              <w:spacing w:line="240" w:lineRule="atLeast"/>
              <w:jc w:val="both"/>
              <w:rPr>
                <w:rFonts w:cs="Arial"/>
              </w:rPr>
            </w:pPr>
            <w:r w:rsidRPr="00E30642">
              <w:rPr>
                <w:rFonts w:cs="Arial"/>
              </w:rPr>
              <w:t>600</w:t>
            </w:r>
          </w:p>
        </w:tc>
        <w:tc>
          <w:tcPr>
            <w:tcW w:w="992" w:type="dxa"/>
            <w:tcBorders>
              <w:top w:val="single" w:sz="6" w:space="0" w:color="auto"/>
              <w:left w:val="single" w:sz="6" w:space="0" w:color="auto"/>
              <w:bottom w:val="single" w:sz="6" w:space="0" w:color="auto"/>
              <w:right w:val="single" w:sz="6" w:space="0" w:color="auto"/>
            </w:tcBorders>
          </w:tcPr>
          <w:p w14:paraId="5501AFDD" w14:textId="77777777" w:rsidR="00CA23D0" w:rsidRPr="00E30642" w:rsidRDefault="00CA23D0" w:rsidP="00CA23D0">
            <w:pPr>
              <w:pStyle w:val="Texttabulky"/>
              <w:spacing w:line="240" w:lineRule="atLeast"/>
              <w:jc w:val="both"/>
              <w:rPr>
                <w:rFonts w:cs="Arial"/>
              </w:rPr>
            </w:pPr>
            <w:r w:rsidRPr="00E30642">
              <w:rPr>
                <w:rFonts w:cs="Arial"/>
              </w:rPr>
              <w:t>-10</w:t>
            </w:r>
          </w:p>
        </w:tc>
        <w:tc>
          <w:tcPr>
            <w:tcW w:w="992" w:type="dxa"/>
            <w:tcBorders>
              <w:top w:val="single" w:sz="6" w:space="0" w:color="auto"/>
              <w:left w:val="single" w:sz="6" w:space="0" w:color="auto"/>
              <w:bottom w:val="single" w:sz="6" w:space="0" w:color="auto"/>
              <w:right w:val="single" w:sz="6" w:space="0" w:color="auto"/>
            </w:tcBorders>
          </w:tcPr>
          <w:p w14:paraId="3CC486B4" w14:textId="77777777" w:rsidR="00CA23D0" w:rsidRPr="00E30642" w:rsidRDefault="00CA23D0" w:rsidP="00CA23D0">
            <w:pPr>
              <w:pStyle w:val="Texttabulky"/>
              <w:spacing w:line="240" w:lineRule="atLeast"/>
              <w:jc w:val="both"/>
              <w:rPr>
                <w:rFonts w:cs="Arial"/>
              </w:rPr>
            </w:pPr>
            <w:r w:rsidRPr="00E30642">
              <w:rPr>
                <w:rFonts w:cs="Arial"/>
              </w:rPr>
              <w:t>-10</w:t>
            </w:r>
          </w:p>
        </w:tc>
      </w:tr>
      <w:tr w:rsidR="00CA23D0" w:rsidRPr="00E30642" w14:paraId="17F5F709" w14:textId="77777777" w:rsidTr="00CA23D0">
        <w:tc>
          <w:tcPr>
            <w:tcW w:w="709" w:type="dxa"/>
            <w:tcBorders>
              <w:top w:val="single" w:sz="6" w:space="0" w:color="auto"/>
              <w:left w:val="single" w:sz="6" w:space="0" w:color="auto"/>
              <w:bottom w:val="single" w:sz="6" w:space="0" w:color="auto"/>
              <w:right w:val="single" w:sz="6" w:space="0" w:color="auto"/>
            </w:tcBorders>
          </w:tcPr>
          <w:p w14:paraId="29820174" w14:textId="77777777" w:rsidR="00CA23D0" w:rsidRPr="00E30642" w:rsidRDefault="00CA23D0" w:rsidP="00CA23D0">
            <w:pPr>
              <w:pStyle w:val="Texttabulky"/>
              <w:spacing w:line="240" w:lineRule="atLeast"/>
              <w:jc w:val="both"/>
              <w:rPr>
                <w:rFonts w:cs="Arial"/>
              </w:rPr>
            </w:pPr>
            <w:r w:rsidRPr="00E30642">
              <w:rPr>
                <w:rFonts w:cs="Arial"/>
                <w:b/>
                <w:bCs/>
              </w:rPr>
              <w:t>57</w:t>
            </w:r>
          </w:p>
        </w:tc>
        <w:tc>
          <w:tcPr>
            <w:tcW w:w="2141" w:type="dxa"/>
            <w:tcBorders>
              <w:top w:val="single" w:sz="6" w:space="0" w:color="auto"/>
              <w:left w:val="single" w:sz="6" w:space="0" w:color="auto"/>
              <w:bottom w:val="single" w:sz="6" w:space="0" w:color="auto"/>
              <w:right w:val="single" w:sz="6" w:space="0" w:color="auto"/>
            </w:tcBorders>
          </w:tcPr>
          <w:p w14:paraId="7B7E7742" w14:textId="77777777" w:rsidR="00CA23D0" w:rsidRPr="00E30642" w:rsidRDefault="00CA23D0" w:rsidP="00CA23D0">
            <w:pPr>
              <w:pStyle w:val="Texttabulky"/>
              <w:spacing w:line="240" w:lineRule="atLeast"/>
              <w:jc w:val="both"/>
              <w:rPr>
                <w:rFonts w:cs="Arial"/>
              </w:rPr>
            </w:pPr>
            <w:r w:rsidRPr="00E30642">
              <w:rPr>
                <w:rFonts w:cs="Arial"/>
              </w:rPr>
              <w:t>Nebočady</w:t>
            </w:r>
          </w:p>
        </w:tc>
        <w:tc>
          <w:tcPr>
            <w:tcW w:w="1007" w:type="dxa"/>
            <w:tcBorders>
              <w:top w:val="single" w:sz="6" w:space="0" w:color="auto"/>
              <w:left w:val="single" w:sz="6" w:space="0" w:color="auto"/>
              <w:bottom w:val="single" w:sz="6" w:space="0" w:color="auto"/>
              <w:right w:val="single" w:sz="6" w:space="0" w:color="auto"/>
            </w:tcBorders>
          </w:tcPr>
          <w:p w14:paraId="3DB2210D" w14:textId="77777777" w:rsidR="00CA23D0" w:rsidRPr="00E30642" w:rsidRDefault="00CA23D0" w:rsidP="00CA23D0">
            <w:pPr>
              <w:pStyle w:val="Texttabulky"/>
              <w:spacing w:line="240" w:lineRule="atLeast"/>
              <w:jc w:val="both"/>
              <w:rPr>
                <w:rFonts w:cs="Arial"/>
              </w:rPr>
            </w:pPr>
            <w:r w:rsidRPr="00E30642">
              <w:rPr>
                <w:rFonts w:cs="Arial"/>
              </w:rPr>
              <w:t>363</w:t>
            </w:r>
          </w:p>
        </w:tc>
        <w:tc>
          <w:tcPr>
            <w:tcW w:w="1275" w:type="dxa"/>
            <w:tcBorders>
              <w:top w:val="single" w:sz="6" w:space="0" w:color="auto"/>
              <w:left w:val="single" w:sz="6" w:space="0" w:color="auto"/>
              <w:bottom w:val="single" w:sz="6" w:space="0" w:color="auto"/>
              <w:right w:val="single" w:sz="6" w:space="0" w:color="auto"/>
            </w:tcBorders>
          </w:tcPr>
          <w:p w14:paraId="75AAD626" w14:textId="77777777" w:rsidR="00CA23D0" w:rsidRPr="00E30642" w:rsidRDefault="00CA23D0" w:rsidP="00CA23D0">
            <w:pPr>
              <w:pStyle w:val="Texttabulky"/>
              <w:spacing w:line="240" w:lineRule="atLeast"/>
              <w:jc w:val="both"/>
              <w:rPr>
                <w:rFonts w:cs="Arial"/>
              </w:rPr>
            </w:pPr>
            <w:r w:rsidRPr="00E30642">
              <w:rPr>
                <w:rFonts w:cs="Arial"/>
              </w:rPr>
              <w:t>350</w:t>
            </w:r>
          </w:p>
        </w:tc>
        <w:tc>
          <w:tcPr>
            <w:tcW w:w="1277" w:type="dxa"/>
            <w:tcBorders>
              <w:top w:val="single" w:sz="6" w:space="0" w:color="auto"/>
              <w:left w:val="single" w:sz="6" w:space="0" w:color="auto"/>
              <w:bottom w:val="single" w:sz="6" w:space="0" w:color="auto"/>
              <w:right w:val="single" w:sz="6" w:space="0" w:color="auto"/>
            </w:tcBorders>
          </w:tcPr>
          <w:p w14:paraId="35E65542" w14:textId="77777777" w:rsidR="00CA23D0" w:rsidRPr="00E30642" w:rsidRDefault="00CA23D0" w:rsidP="00CA23D0">
            <w:pPr>
              <w:pStyle w:val="Texttabulky"/>
              <w:spacing w:line="240" w:lineRule="atLeast"/>
              <w:jc w:val="both"/>
              <w:rPr>
                <w:rFonts w:cs="Arial"/>
              </w:rPr>
            </w:pPr>
            <w:r w:rsidRPr="00E30642">
              <w:rPr>
                <w:rFonts w:cs="Arial"/>
              </w:rPr>
              <w:t>470</w:t>
            </w:r>
          </w:p>
        </w:tc>
        <w:tc>
          <w:tcPr>
            <w:tcW w:w="992" w:type="dxa"/>
            <w:tcBorders>
              <w:top w:val="single" w:sz="6" w:space="0" w:color="auto"/>
              <w:left w:val="single" w:sz="6" w:space="0" w:color="auto"/>
              <w:bottom w:val="single" w:sz="6" w:space="0" w:color="auto"/>
              <w:right w:val="single" w:sz="6" w:space="0" w:color="auto"/>
            </w:tcBorders>
          </w:tcPr>
          <w:p w14:paraId="60619CB7" w14:textId="77777777" w:rsidR="00CA23D0" w:rsidRPr="00E30642" w:rsidRDefault="00CA23D0" w:rsidP="00CA23D0">
            <w:pPr>
              <w:pStyle w:val="Texttabulky"/>
              <w:spacing w:line="240" w:lineRule="atLeast"/>
              <w:jc w:val="both"/>
              <w:rPr>
                <w:rFonts w:cs="Arial"/>
              </w:rPr>
            </w:pPr>
            <w:r w:rsidRPr="00E30642">
              <w:rPr>
                <w:rFonts w:cs="Arial"/>
              </w:rPr>
              <w:t>-13</w:t>
            </w:r>
          </w:p>
        </w:tc>
        <w:tc>
          <w:tcPr>
            <w:tcW w:w="992" w:type="dxa"/>
            <w:tcBorders>
              <w:top w:val="single" w:sz="6" w:space="0" w:color="auto"/>
              <w:left w:val="single" w:sz="6" w:space="0" w:color="auto"/>
              <w:bottom w:val="single" w:sz="6" w:space="0" w:color="auto"/>
              <w:right w:val="single" w:sz="6" w:space="0" w:color="auto"/>
            </w:tcBorders>
          </w:tcPr>
          <w:p w14:paraId="1BC60D39" w14:textId="77777777" w:rsidR="00CA23D0" w:rsidRPr="00E30642" w:rsidRDefault="00CA23D0" w:rsidP="00CA23D0">
            <w:pPr>
              <w:pStyle w:val="Texttabulky"/>
              <w:spacing w:line="240" w:lineRule="atLeast"/>
              <w:jc w:val="both"/>
              <w:rPr>
                <w:rFonts w:cs="Arial"/>
              </w:rPr>
            </w:pPr>
            <w:r w:rsidRPr="00E30642">
              <w:rPr>
                <w:rFonts w:cs="Arial"/>
              </w:rPr>
              <w:t>107</w:t>
            </w:r>
          </w:p>
        </w:tc>
      </w:tr>
      <w:tr w:rsidR="00CA23D0" w:rsidRPr="00E30642" w14:paraId="77E81562" w14:textId="77777777" w:rsidTr="00CA23D0">
        <w:tc>
          <w:tcPr>
            <w:tcW w:w="709" w:type="dxa"/>
            <w:tcBorders>
              <w:top w:val="single" w:sz="6" w:space="0" w:color="auto"/>
              <w:left w:val="single" w:sz="6" w:space="0" w:color="auto"/>
              <w:bottom w:val="single" w:sz="6" w:space="0" w:color="auto"/>
              <w:right w:val="single" w:sz="6" w:space="0" w:color="auto"/>
            </w:tcBorders>
          </w:tcPr>
          <w:p w14:paraId="5212D801" w14:textId="77777777" w:rsidR="00CA23D0" w:rsidRPr="00E30642" w:rsidRDefault="00CA23D0" w:rsidP="00CA23D0">
            <w:pPr>
              <w:pStyle w:val="Texttabulky"/>
              <w:spacing w:line="240" w:lineRule="atLeast"/>
              <w:jc w:val="both"/>
              <w:rPr>
                <w:rFonts w:cs="Arial"/>
              </w:rPr>
            </w:pPr>
            <w:r w:rsidRPr="00E30642">
              <w:rPr>
                <w:rFonts w:cs="Arial"/>
                <w:b/>
                <w:bCs/>
              </w:rPr>
              <w:t>40</w:t>
            </w:r>
          </w:p>
        </w:tc>
        <w:tc>
          <w:tcPr>
            <w:tcW w:w="2141" w:type="dxa"/>
            <w:tcBorders>
              <w:top w:val="single" w:sz="6" w:space="0" w:color="auto"/>
              <w:left w:val="single" w:sz="6" w:space="0" w:color="auto"/>
              <w:bottom w:val="single" w:sz="6" w:space="0" w:color="auto"/>
              <w:right w:val="single" w:sz="6" w:space="0" w:color="auto"/>
            </w:tcBorders>
          </w:tcPr>
          <w:p w14:paraId="37F57FFF" w14:textId="77777777" w:rsidR="00CA23D0" w:rsidRPr="00E30642" w:rsidRDefault="00CA23D0" w:rsidP="00CA23D0">
            <w:pPr>
              <w:pStyle w:val="Texttabulky"/>
              <w:spacing w:line="240" w:lineRule="atLeast"/>
              <w:jc w:val="both"/>
              <w:rPr>
                <w:rFonts w:cs="Arial"/>
              </w:rPr>
            </w:pPr>
            <w:r w:rsidRPr="00E30642">
              <w:rPr>
                <w:rFonts w:cs="Arial"/>
              </w:rPr>
              <w:t>Loubí</w:t>
            </w:r>
          </w:p>
        </w:tc>
        <w:tc>
          <w:tcPr>
            <w:tcW w:w="1007" w:type="dxa"/>
            <w:tcBorders>
              <w:top w:val="single" w:sz="6" w:space="0" w:color="auto"/>
              <w:left w:val="single" w:sz="6" w:space="0" w:color="auto"/>
              <w:bottom w:val="single" w:sz="6" w:space="0" w:color="auto"/>
              <w:right w:val="single" w:sz="6" w:space="0" w:color="auto"/>
            </w:tcBorders>
          </w:tcPr>
          <w:p w14:paraId="603C271C" w14:textId="77777777" w:rsidR="00CA23D0" w:rsidRPr="00E30642" w:rsidRDefault="00CA23D0" w:rsidP="00CA23D0">
            <w:pPr>
              <w:pStyle w:val="Texttabulky"/>
              <w:spacing w:line="240" w:lineRule="atLeast"/>
              <w:jc w:val="both"/>
              <w:rPr>
                <w:rFonts w:cs="Arial"/>
              </w:rPr>
            </w:pPr>
            <w:r w:rsidRPr="00E30642">
              <w:rPr>
                <w:rFonts w:cs="Arial"/>
              </w:rPr>
              <w:t>214</w:t>
            </w:r>
          </w:p>
        </w:tc>
        <w:tc>
          <w:tcPr>
            <w:tcW w:w="1275" w:type="dxa"/>
            <w:tcBorders>
              <w:top w:val="single" w:sz="6" w:space="0" w:color="auto"/>
              <w:left w:val="single" w:sz="6" w:space="0" w:color="auto"/>
              <w:bottom w:val="single" w:sz="6" w:space="0" w:color="auto"/>
              <w:right w:val="single" w:sz="6" w:space="0" w:color="auto"/>
            </w:tcBorders>
          </w:tcPr>
          <w:p w14:paraId="7EB55654"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277" w:type="dxa"/>
            <w:tcBorders>
              <w:top w:val="single" w:sz="6" w:space="0" w:color="auto"/>
              <w:left w:val="single" w:sz="6" w:space="0" w:color="auto"/>
              <w:bottom w:val="single" w:sz="6" w:space="0" w:color="auto"/>
              <w:right w:val="single" w:sz="6" w:space="0" w:color="auto"/>
            </w:tcBorders>
          </w:tcPr>
          <w:p w14:paraId="0DBDC9B5" w14:textId="77777777" w:rsidR="00CA23D0" w:rsidRPr="00E30642" w:rsidRDefault="00CA23D0" w:rsidP="00CA23D0">
            <w:pPr>
              <w:pStyle w:val="Texttabulky"/>
              <w:spacing w:line="240" w:lineRule="atLeast"/>
              <w:jc w:val="both"/>
              <w:rPr>
                <w:rFonts w:cs="Arial"/>
              </w:rPr>
            </w:pPr>
            <w:r w:rsidRPr="00E30642">
              <w:rPr>
                <w:rFonts w:cs="Arial"/>
              </w:rPr>
              <w:t>200</w:t>
            </w:r>
          </w:p>
        </w:tc>
        <w:tc>
          <w:tcPr>
            <w:tcW w:w="992" w:type="dxa"/>
            <w:tcBorders>
              <w:top w:val="single" w:sz="6" w:space="0" w:color="auto"/>
              <w:left w:val="single" w:sz="6" w:space="0" w:color="auto"/>
              <w:bottom w:val="single" w:sz="6" w:space="0" w:color="auto"/>
              <w:right w:val="single" w:sz="6" w:space="0" w:color="auto"/>
            </w:tcBorders>
          </w:tcPr>
          <w:p w14:paraId="44EFDB87" w14:textId="77777777" w:rsidR="00CA23D0" w:rsidRPr="00E30642" w:rsidRDefault="00CA23D0" w:rsidP="00CA23D0">
            <w:pPr>
              <w:pStyle w:val="Texttabulky"/>
              <w:spacing w:line="240" w:lineRule="atLeast"/>
              <w:jc w:val="both"/>
              <w:rPr>
                <w:rFonts w:cs="Arial"/>
              </w:rPr>
            </w:pPr>
            <w:r w:rsidRPr="00E30642">
              <w:rPr>
                <w:rFonts w:cs="Arial"/>
              </w:rPr>
              <w:t>-14</w:t>
            </w:r>
          </w:p>
        </w:tc>
        <w:tc>
          <w:tcPr>
            <w:tcW w:w="992" w:type="dxa"/>
            <w:tcBorders>
              <w:top w:val="single" w:sz="6" w:space="0" w:color="auto"/>
              <w:left w:val="single" w:sz="6" w:space="0" w:color="auto"/>
              <w:bottom w:val="single" w:sz="6" w:space="0" w:color="auto"/>
              <w:right w:val="single" w:sz="6" w:space="0" w:color="auto"/>
            </w:tcBorders>
          </w:tcPr>
          <w:p w14:paraId="40C59B6A" w14:textId="77777777" w:rsidR="00CA23D0" w:rsidRPr="00E30642" w:rsidRDefault="00CA23D0" w:rsidP="00CA23D0">
            <w:pPr>
              <w:pStyle w:val="Texttabulky"/>
              <w:spacing w:line="240" w:lineRule="atLeast"/>
              <w:jc w:val="both"/>
              <w:rPr>
                <w:rFonts w:cs="Arial"/>
              </w:rPr>
            </w:pPr>
            <w:r w:rsidRPr="00E30642">
              <w:rPr>
                <w:rFonts w:cs="Arial"/>
              </w:rPr>
              <w:t>-14</w:t>
            </w:r>
          </w:p>
        </w:tc>
      </w:tr>
      <w:tr w:rsidR="00CA23D0" w:rsidRPr="00E30642" w14:paraId="1A21282E" w14:textId="77777777" w:rsidTr="00CA23D0">
        <w:tc>
          <w:tcPr>
            <w:tcW w:w="709" w:type="dxa"/>
            <w:tcBorders>
              <w:top w:val="single" w:sz="6" w:space="0" w:color="auto"/>
              <w:left w:val="single" w:sz="6" w:space="0" w:color="auto"/>
              <w:bottom w:val="single" w:sz="6" w:space="0" w:color="auto"/>
              <w:right w:val="single" w:sz="6" w:space="0" w:color="auto"/>
            </w:tcBorders>
          </w:tcPr>
          <w:p w14:paraId="1D8955AD" w14:textId="77777777" w:rsidR="00CA23D0" w:rsidRPr="00E30642" w:rsidRDefault="00CA23D0" w:rsidP="00CA23D0">
            <w:pPr>
              <w:pStyle w:val="Texttabulky"/>
              <w:spacing w:line="240" w:lineRule="atLeast"/>
              <w:jc w:val="both"/>
              <w:rPr>
                <w:rFonts w:cs="Arial"/>
              </w:rPr>
            </w:pPr>
            <w:r w:rsidRPr="00E30642">
              <w:rPr>
                <w:rFonts w:cs="Arial"/>
                <w:b/>
                <w:bCs/>
              </w:rPr>
              <w:t>66</w:t>
            </w:r>
          </w:p>
        </w:tc>
        <w:tc>
          <w:tcPr>
            <w:tcW w:w="2141" w:type="dxa"/>
            <w:tcBorders>
              <w:top w:val="single" w:sz="6" w:space="0" w:color="auto"/>
              <w:left w:val="single" w:sz="6" w:space="0" w:color="auto"/>
              <w:bottom w:val="single" w:sz="6" w:space="0" w:color="auto"/>
              <w:right w:val="single" w:sz="6" w:space="0" w:color="auto"/>
            </w:tcBorders>
          </w:tcPr>
          <w:p w14:paraId="38A8981A" w14:textId="77777777" w:rsidR="00CA23D0" w:rsidRPr="00E30642" w:rsidRDefault="00CA23D0" w:rsidP="00CA23D0">
            <w:pPr>
              <w:pStyle w:val="Texttabulky"/>
              <w:spacing w:line="240" w:lineRule="atLeast"/>
              <w:jc w:val="both"/>
              <w:rPr>
                <w:rFonts w:cs="Arial"/>
              </w:rPr>
            </w:pPr>
            <w:r w:rsidRPr="00E30642">
              <w:rPr>
                <w:rFonts w:cs="Arial"/>
              </w:rPr>
              <w:t>Průmyslový obvod Křešice</w:t>
            </w:r>
          </w:p>
        </w:tc>
        <w:tc>
          <w:tcPr>
            <w:tcW w:w="1007" w:type="dxa"/>
            <w:tcBorders>
              <w:top w:val="single" w:sz="6" w:space="0" w:color="auto"/>
              <w:left w:val="single" w:sz="6" w:space="0" w:color="auto"/>
              <w:bottom w:val="single" w:sz="6" w:space="0" w:color="auto"/>
              <w:right w:val="single" w:sz="6" w:space="0" w:color="auto"/>
            </w:tcBorders>
          </w:tcPr>
          <w:p w14:paraId="36DFF783" w14:textId="77777777" w:rsidR="00CA23D0" w:rsidRPr="00E30642" w:rsidRDefault="00CA23D0" w:rsidP="00CA23D0">
            <w:pPr>
              <w:pStyle w:val="Texttabulky"/>
              <w:spacing w:line="240" w:lineRule="atLeast"/>
              <w:jc w:val="both"/>
              <w:rPr>
                <w:rFonts w:cs="Arial"/>
              </w:rPr>
            </w:pPr>
            <w:r w:rsidRPr="00E30642">
              <w:rPr>
                <w:rFonts w:cs="Arial"/>
              </w:rPr>
              <w:t>95</w:t>
            </w:r>
          </w:p>
        </w:tc>
        <w:tc>
          <w:tcPr>
            <w:tcW w:w="1275" w:type="dxa"/>
            <w:tcBorders>
              <w:top w:val="single" w:sz="6" w:space="0" w:color="auto"/>
              <w:left w:val="single" w:sz="6" w:space="0" w:color="auto"/>
              <w:bottom w:val="single" w:sz="6" w:space="0" w:color="auto"/>
              <w:right w:val="single" w:sz="6" w:space="0" w:color="auto"/>
            </w:tcBorders>
          </w:tcPr>
          <w:p w14:paraId="49271CCE" w14:textId="77777777" w:rsidR="00CA23D0" w:rsidRPr="00E30642" w:rsidRDefault="00CA23D0" w:rsidP="00CA23D0">
            <w:pPr>
              <w:pStyle w:val="Texttabulky"/>
              <w:spacing w:line="240" w:lineRule="atLeast"/>
              <w:jc w:val="both"/>
              <w:rPr>
                <w:rFonts w:cs="Arial"/>
              </w:rPr>
            </w:pPr>
            <w:r w:rsidRPr="00E30642">
              <w:rPr>
                <w:rFonts w:cs="Arial"/>
              </w:rPr>
              <w:t>80</w:t>
            </w:r>
          </w:p>
        </w:tc>
        <w:tc>
          <w:tcPr>
            <w:tcW w:w="1277" w:type="dxa"/>
            <w:tcBorders>
              <w:top w:val="single" w:sz="6" w:space="0" w:color="auto"/>
              <w:left w:val="single" w:sz="6" w:space="0" w:color="auto"/>
              <w:bottom w:val="single" w:sz="6" w:space="0" w:color="auto"/>
              <w:right w:val="single" w:sz="6" w:space="0" w:color="auto"/>
            </w:tcBorders>
          </w:tcPr>
          <w:p w14:paraId="7C88D7DC" w14:textId="77777777" w:rsidR="00CA23D0" w:rsidRPr="00E30642" w:rsidRDefault="00CA23D0" w:rsidP="00CA23D0">
            <w:pPr>
              <w:pStyle w:val="Texttabulky"/>
              <w:spacing w:line="240" w:lineRule="atLeast"/>
              <w:jc w:val="both"/>
              <w:rPr>
                <w:rFonts w:cs="Arial"/>
              </w:rPr>
            </w:pPr>
            <w:r w:rsidRPr="00E30642">
              <w:rPr>
                <w:rFonts w:cs="Arial"/>
              </w:rPr>
              <w:t>80</w:t>
            </w:r>
          </w:p>
        </w:tc>
        <w:tc>
          <w:tcPr>
            <w:tcW w:w="992" w:type="dxa"/>
            <w:tcBorders>
              <w:top w:val="single" w:sz="6" w:space="0" w:color="auto"/>
              <w:left w:val="single" w:sz="6" w:space="0" w:color="auto"/>
              <w:bottom w:val="single" w:sz="6" w:space="0" w:color="auto"/>
              <w:right w:val="single" w:sz="6" w:space="0" w:color="auto"/>
            </w:tcBorders>
          </w:tcPr>
          <w:p w14:paraId="28CE08A3" w14:textId="77777777" w:rsidR="00CA23D0" w:rsidRPr="00E30642" w:rsidRDefault="00CA23D0" w:rsidP="00CA23D0">
            <w:pPr>
              <w:pStyle w:val="Texttabulky"/>
              <w:spacing w:line="240" w:lineRule="atLeast"/>
              <w:jc w:val="both"/>
              <w:rPr>
                <w:rFonts w:cs="Arial"/>
              </w:rPr>
            </w:pPr>
            <w:r w:rsidRPr="00E30642">
              <w:rPr>
                <w:rFonts w:cs="Arial"/>
              </w:rPr>
              <w:t>-15</w:t>
            </w:r>
          </w:p>
        </w:tc>
        <w:tc>
          <w:tcPr>
            <w:tcW w:w="992" w:type="dxa"/>
            <w:tcBorders>
              <w:top w:val="single" w:sz="6" w:space="0" w:color="auto"/>
              <w:left w:val="single" w:sz="6" w:space="0" w:color="auto"/>
              <w:bottom w:val="single" w:sz="6" w:space="0" w:color="auto"/>
              <w:right w:val="single" w:sz="6" w:space="0" w:color="auto"/>
            </w:tcBorders>
          </w:tcPr>
          <w:p w14:paraId="032E167B" w14:textId="77777777" w:rsidR="00CA23D0" w:rsidRPr="00E30642" w:rsidRDefault="00CA23D0" w:rsidP="00CA23D0">
            <w:pPr>
              <w:pStyle w:val="Texttabulky"/>
              <w:spacing w:line="240" w:lineRule="atLeast"/>
              <w:jc w:val="both"/>
              <w:rPr>
                <w:rFonts w:cs="Arial"/>
              </w:rPr>
            </w:pPr>
            <w:r w:rsidRPr="00E30642">
              <w:rPr>
                <w:rFonts w:cs="Arial"/>
              </w:rPr>
              <w:t>-15</w:t>
            </w:r>
          </w:p>
        </w:tc>
      </w:tr>
      <w:tr w:rsidR="00CA23D0" w:rsidRPr="00E30642" w14:paraId="3DFA11FF" w14:textId="77777777" w:rsidTr="00CA23D0">
        <w:tc>
          <w:tcPr>
            <w:tcW w:w="709" w:type="dxa"/>
            <w:tcBorders>
              <w:top w:val="single" w:sz="6" w:space="0" w:color="auto"/>
              <w:left w:val="single" w:sz="6" w:space="0" w:color="auto"/>
              <w:bottom w:val="single" w:sz="6" w:space="0" w:color="auto"/>
              <w:right w:val="single" w:sz="6" w:space="0" w:color="auto"/>
            </w:tcBorders>
          </w:tcPr>
          <w:p w14:paraId="050F28BC" w14:textId="77777777" w:rsidR="00CA23D0" w:rsidRPr="00E30642" w:rsidRDefault="00CA23D0" w:rsidP="00CA23D0">
            <w:pPr>
              <w:pStyle w:val="Texttabulky"/>
              <w:spacing w:line="240" w:lineRule="atLeast"/>
              <w:jc w:val="both"/>
              <w:rPr>
                <w:rFonts w:cs="Arial"/>
              </w:rPr>
            </w:pPr>
            <w:r w:rsidRPr="00E30642">
              <w:rPr>
                <w:rFonts w:cs="Arial"/>
                <w:b/>
                <w:bCs/>
              </w:rPr>
              <w:t>44</w:t>
            </w:r>
          </w:p>
        </w:tc>
        <w:tc>
          <w:tcPr>
            <w:tcW w:w="2141" w:type="dxa"/>
            <w:tcBorders>
              <w:top w:val="single" w:sz="6" w:space="0" w:color="auto"/>
              <w:left w:val="single" w:sz="6" w:space="0" w:color="auto"/>
              <w:bottom w:val="single" w:sz="6" w:space="0" w:color="auto"/>
              <w:right w:val="single" w:sz="6" w:space="0" w:color="auto"/>
            </w:tcBorders>
          </w:tcPr>
          <w:p w14:paraId="319A6B5F" w14:textId="77777777" w:rsidR="00CA23D0" w:rsidRPr="00E30642" w:rsidRDefault="00CA23D0" w:rsidP="00CA23D0">
            <w:pPr>
              <w:pStyle w:val="Texttabulky"/>
              <w:spacing w:line="240" w:lineRule="atLeast"/>
              <w:jc w:val="both"/>
              <w:rPr>
                <w:rFonts w:cs="Arial"/>
              </w:rPr>
            </w:pPr>
            <w:r w:rsidRPr="00E30642">
              <w:rPr>
                <w:rFonts w:cs="Arial"/>
              </w:rPr>
              <w:t>Dolní Žleb</w:t>
            </w:r>
          </w:p>
        </w:tc>
        <w:tc>
          <w:tcPr>
            <w:tcW w:w="1007" w:type="dxa"/>
            <w:tcBorders>
              <w:top w:val="single" w:sz="6" w:space="0" w:color="auto"/>
              <w:left w:val="single" w:sz="6" w:space="0" w:color="auto"/>
              <w:bottom w:val="single" w:sz="6" w:space="0" w:color="auto"/>
              <w:right w:val="single" w:sz="6" w:space="0" w:color="auto"/>
            </w:tcBorders>
          </w:tcPr>
          <w:p w14:paraId="0C15E266" w14:textId="77777777" w:rsidR="00CA23D0" w:rsidRPr="00E30642" w:rsidRDefault="00CA23D0" w:rsidP="00CA23D0">
            <w:pPr>
              <w:pStyle w:val="Texttabulky"/>
              <w:spacing w:line="240" w:lineRule="atLeast"/>
              <w:jc w:val="both"/>
              <w:rPr>
                <w:rFonts w:cs="Arial"/>
              </w:rPr>
            </w:pPr>
            <w:r w:rsidRPr="00E30642">
              <w:rPr>
                <w:rFonts w:cs="Arial"/>
              </w:rPr>
              <w:t>120</w:t>
            </w:r>
          </w:p>
        </w:tc>
        <w:tc>
          <w:tcPr>
            <w:tcW w:w="1275" w:type="dxa"/>
            <w:tcBorders>
              <w:top w:val="single" w:sz="6" w:space="0" w:color="auto"/>
              <w:left w:val="single" w:sz="6" w:space="0" w:color="auto"/>
              <w:bottom w:val="single" w:sz="6" w:space="0" w:color="auto"/>
              <w:right w:val="single" w:sz="6" w:space="0" w:color="auto"/>
            </w:tcBorders>
          </w:tcPr>
          <w:p w14:paraId="3E9B1016" w14:textId="77777777" w:rsidR="00CA23D0" w:rsidRPr="00E30642" w:rsidRDefault="00CA23D0" w:rsidP="00CA23D0">
            <w:pPr>
              <w:pStyle w:val="Texttabulky"/>
              <w:spacing w:line="240" w:lineRule="atLeast"/>
              <w:jc w:val="both"/>
              <w:rPr>
                <w:rFonts w:cs="Arial"/>
              </w:rPr>
            </w:pPr>
            <w:r w:rsidRPr="00E30642">
              <w:rPr>
                <w:rFonts w:cs="Arial"/>
              </w:rPr>
              <w:t>100</w:t>
            </w:r>
          </w:p>
        </w:tc>
        <w:tc>
          <w:tcPr>
            <w:tcW w:w="1277" w:type="dxa"/>
            <w:tcBorders>
              <w:top w:val="single" w:sz="6" w:space="0" w:color="auto"/>
              <w:left w:val="single" w:sz="6" w:space="0" w:color="auto"/>
              <w:bottom w:val="single" w:sz="6" w:space="0" w:color="auto"/>
              <w:right w:val="single" w:sz="6" w:space="0" w:color="auto"/>
            </w:tcBorders>
          </w:tcPr>
          <w:p w14:paraId="5DC4FC33" w14:textId="77777777" w:rsidR="00CA23D0" w:rsidRPr="00E30642" w:rsidRDefault="00CA23D0" w:rsidP="00CA23D0">
            <w:pPr>
              <w:pStyle w:val="Texttabulky"/>
              <w:spacing w:line="240" w:lineRule="atLeast"/>
              <w:jc w:val="both"/>
              <w:rPr>
                <w:rFonts w:cs="Arial"/>
              </w:rPr>
            </w:pPr>
            <w:r w:rsidRPr="00E30642">
              <w:rPr>
                <w:rFonts w:cs="Arial"/>
              </w:rPr>
              <w:t>200</w:t>
            </w:r>
          </w:p>
        </w:tc>
        <w:tc>
          <w:tcPr>
            <w:tcW w:w="992" w:type="dxa"/>
            <w:tcBorders>
              <w:top w:val="single" w:sz="6" w:space="0" w:color="auto"/>
              <w:left w:val="single" w:sz="6" w:space="0" w:color="auto"/>
              <w:bottom w:val="single" w:sz="6" w:space="0" w:color="auto"/>
              <w:right w:val="single" w:sz="6" w:space="0" w:color="auto"/>
            </w:tcBorders>
          </w:tcPr>
          <w:p w14:paraId="690C130E" w14:textId="77777777" w:rsidR="00CA23D0" w:rsidRPr="00E30642" w:rsidRDefault="00CA23D0" w:rsidP="00CA23D0">
            <w:pPr>
              <w:pStyle w:val="Texttabulky"/>
              <w:spacing w:line="240" w:lineRule="atLeast"/>
              <w:jc w:val="both"/>
              <w:rPr>
                <w:rFonts w:cs="Arial"/>
              </w:rPr>
            </w:pPr>
            <w:r w:rsidRPr="00E30642">
              <w:rPr>
                <w:rFonts w:cs="Arial"/>
              </w:rPr>
              <w:t>-20</w:t>
            </w:r>
          </w:p>
        </w:tc>
        <w:tc>
          <w:tcPr>
            <w:tcW w:w="992" w:type="dxa"/>
            <w:tcBorders>
              <w:top w:val="single" w:sz="6" w:space="0" w:color="auto"/>
              <w:left w:val="single" w:sz="6" w:space="0" w:color="auto"/>
              <w:bottom w:val="single" w:sz="6" w:space="0" w:color="auto"/>
              <w:right w:val="single" w:sz="6" w:space="0" w:color="auto"/>
            </w:tcBorders>
          </w:tcPr>
          <w:p w14:paraId="0F43FAD2" w14:textId="77777777" w:rsidR="00CA23D0" w:rsidRPr="00E30642" w:rsidRDefault="00CA23D0" w:rsidP="00CA23D0">
            <w:pPr>
              <w:pStyle w:val="Texttabulky"/>
              <w:spacing w:line="240" w:lineRule="atLeast"/>
              <w:jc w:val="both"/>
              <w:rPr>
                <w:rFonts w:cs="Arial"/>
              </w:rPr>
            </w:pPr>
            <w:r w:rsidRPr="00E30642">
              <w:rPr>
                <w:rFonts w:cs="Arial"/>
              </w:rPr>
              <w:t>80</w:t>
            </w:r>
          </w:p>
        </w:tc>
      </w:tr>
      <w:tr w:rsidR="00CA23D0" w:rsidRPr="00E30642" w14:paraId="7D81F9F9" w14:textId="77777777" w:rsidTr="00CA23D0">
        <w:tc>
          <w:tcPr>
            <w:tcW w:w="709" w:type="dxa"/>
            <w:tcBorders>
              <w:top w:val="single" w:sz="6" w:space="0" w:color="auto"/>
              <w:left w:val="single" w:sz="6" w:space="0" w:color="auto"/>
              <w:bottom w:val="single" w:sz="6" w:space="0" w:color="auto"/>
              <w:right w:val="single" w:sz="6" w:space="0" w:color="auto"/>
            </w:tcBorders>
          </w:tcPr>
          <w:p w14:paraId="3D9136F5" w14:textId="77777777" w:rsidR="00CA23D0" w:rsidRPr="00E30642" w:rsidRDefault="00CA23D0" w:rsidP="00CA23D0">
            <w:pPr>
              <w:pStyle w:val="Texttabulky"/>
              <w:spacing w:line="240" w:lineRule="atLeast"/>
              <w:jc w:val="both"/>
              <w:rPr>
                <w:rFonts w:cs="Arial"/>
              </w:rPr>
            </w:pPr>
            <w:r w:rsidRPr="00E30642">
              <w:rPr>
                <w:rFonts w:cs="Arial"/>
                <w:b/>
                <w:bCs/>
              </w:rPr>
              <w:t>13</w:t>
            </w:r>
          </w:p>
        </w:tc>
        <w:tc>
          <w:tcPr>
            <w:tcW w:w="2141" w:type="dxa"/>
            <w:tcBorders>
              <w:top w:val="single" w:sz="6" w:space="0" w:color="auto"/>
              <w:left w:val="single" w:sz="6" w:space="0" w:color="auto"/>
              <w:bottom w:val="single" w:sz="6" w:space="0" w:color="auto"/>
              <w:right w:val="single" w:sz="6" w:space="0" w:color="auto"/>
            </w:tcBorders>
          </w:tcPr>
          <w:p w14:paraId="06F62E3F" w14:textId="77777777" w:rsidR="00CA23D0" w:rsidRPr="00E30642" w:rsidRDefault="00CA23D0" w:rsidP="00CA23D0">
            <w:pPr>
              <w:pStyle w:val="Texttabulky"/>
              <w:spacing w:line="240" w:lineRule="atLeast"/>
              <w:jc w:val="both"/>
              <w:rPr>
                <w:rFonts w:cs="Arial"/>
              </w:rPr>
            </w:pPr>
            <w:r w:rsidRPr="00E30642">
              <w:rPr>
                <w:rFonts w:cs="Arial"/>
              </w:rPr>
              <w:t>U Ploučnice</w:t>
            </w:r>
          </w:p>
        </w:tc>
        <w:tc>
          <w:tcPr>
            <w:tcW w:w="1007" w:type="dxa"/>
            <w:tcBorders>
              <w:top w:val="single" w:sz="6" w:space="0" w:color="auto"/>
              <w:left w:val="single" w:sz="6" w:space="0" w:color="auto"/>
              <w:bottom w:val="single" w:sz="6" w:space="0" w:color="auto"/>
              <w:right w:val="single" w:sz="6" w:space="0" w:color="auto"/>
            </w:tcBorders>
          </w:tcPr>
          <w:p w14:paraId="2D58E72D" w14:textId="77777777" w:rsidR="00CA23D0" w:rsidRPr="00E30642" w:rsidRDefault="00CA23D0" w:rsidP="00CA23D0">
            <w:pPr>
              <w:pStyle w:val="Texttabulky"/>
              <w:spacing w:line="240" w:lineRule="atLeast"/>
              <w:jc w:val="both"/>
              <w:rPr>
                <w:rFonts w:cs="Arial"/>
              </w:rPr>
            </w:pPr>
            <w:r w:rsidRPr="00E30642">
              <w:rPr>
                <w:rFonts w:cs="Arial"/>
              </w:rPr>
              <w:t>121</w:t>
            </w:r>
          </w:p>
        </w:tc>
        <w:tc>
          <w:tcPr>
            <w:tcW w:w="1275" w:type="dxa"/>
            <w:tcBorders>
              <w:top w:val="single" w:sz="6" w:space="0" w:color="auto"/>
              <w:left w:val="single" w:sz="6" w:space="0" w:color="auto"/>
              <w:bottom w:val="single" w:sz="6" w:space="0" w:color="auto"/>
              <w:right w:val="single" w:sz="6" w:space="0" w:color="auto"/>
            </w:tcBorders>
          </w:tcPr>
          <w:p w14:paraId="46A97D58" w14:textId="77777777" w:rsidR="00CA23D0" w:rsidRPr="00E30642" w:rsidRDefault="00CA23D0" w:rsidP="00CA23D0">
            <w:pPr>
              <w:pStyle w:val="Texttabulky"/>
              <w:spacing w:line="240" w:lineRule="atLeast"/>
              <w:jc w:val="both"/>
              <w:rPr>
                <w:rFonts w:cs="Arial"/>
              </w:rPr>
            </w:pPr>
            <w:r w:rsidRPr="00E30642">
              <w:rPr>
                <w:rFonts w:cs="Arial"/>
              </w:rPr>
              <w:t>100</w:t>
            </w:r>
          </w:p>
        </w:tc>
        <w:tc>
          <w:tcPr>
            <w:tcW w:w="1277" w:type="dxa"/>
            <w:tcBorders>
              <w:top w:val="single" w:sz="6" w:space="0" w:color="auto"/>
              <w:left w:val="single" w:sz="6" w:space="0" w:color="auto"/>
              <w:bottom w:val="single" w:sz="6" w:space="0" w:color="auto"/>
              <w:right w:val="single" w:sz="6" w:space="0" w:color="auto"/>
            </w:tcBorders>
          </w:tcPr>
          <w:p w14:paraId="6F3A6432" w14:textId="77777777" w:rsidR="00CA23D0" w:rsidRPr="00E30642" w:rsidRDefault="00CA23D0" w:rsidP="00CA23D0">
            <w:pPr>
              <w:pStyle w:val="Texttabulky"/>
              <w:spacing w:line="240" w:lineRule="atLeast"/>
              <w:jc w:val="both"/>
              <w:rPr>
                <w:rFonts w:cs="Arial"/>
              </w:rPr>
            </w:pPr>
            <w:r w:rsidRPr="00E30642">
              <w:rPr>
                <w:rFonts w:cs="Arial"/>
              </w:rPr>
              <w:t>100</w:t>
            </w:r>
          </w:p>
        </w:tc>
        <w:tc>
          <w:tcPr>
            <w:tcW w:w="992" w:type="dxa"/>
            <w:tcBorders>
              <w:top w:val="single" w:sz="6" w:space="0" w:color="auto"/>
              <w:left w:val="single" w:sz="6" w:space="0" w:color="auto"/>
              <w:bottom w:val="single" w:sz="6" w:space="0" w:color="auto"/>
              <w:right w:val="single" w:sz="6" w:space="0" w:color="auto"/>
            </w:tcBorders>
          </w:tcPr>
          <w:p w14:paraId="2E22BA17" w14:textId="77777777" w:rsidR="00CA23D0" w:rsidRPr="00E30642" w:rsidRDefault="00CA23D0" w:rsidP="00CA23D0">
            <w:pPr>
              <w:pStyle w:val="Texttabulky"/>
              <w:spacing w:line="240" w:lineRule="atLeast"/>
              <w:jc w:val="both"/>
              <w:rPr>
                <w:rFonts w:cs="Arial"/>
              </w:rPr>
            </w:pPr>
            <w:r w:rsidRPr="00E30642">
              <w:rPr>
                <w:rFonts w:cs="Arial"/>
              </w:rPr>
              <w:t>-21</w:t>
            </w:r>
          </w:p>
        </w:tc>
        <w:tc>
          <w:tcPr>
            <w:tcW w:w="992" w:type="dxa"/>
            <w:tcBorders>
              <w:top w:val="single" w:sz="6" w:space="0" w:color="auto"/>
              <w:left w:val="single" w:sz="6" w:space="0" w:color="auto"/>
              <w:bottom w:val="single" w:sz="6" w:space="0" w:color="auto"/>
              <w:right w:val="single" w:sz="6" w:space="0" w:color="auto"/>
            </w:tcBorders>
          </w:tcPr>
          <w:p w14:paraId="0549DBCD" w14:textId="77777777" w:rsidR="00CA23D0" w:rsidRPr="00E30642" w:rsidRDefault="00CA23D0" w:rsidP="00CA23D0">
            <w:pPr>
              <w:pStyle w:val="Texttabulky"/>
              <w:spacing w:line="240" w:lineRule="atLeast"/>
              <w:jc w:val="both"/>
              <w:rPr>
                <w:rFonts w:cs="Arial"/>
              </w:rPr>
            </w:pPr>
            <w:r w:rsidRPr="00E30642">
              <w:rPr>
                <w:rFonts w:cs="Arial"/>
              </w:rPr>
              <w:t>-21</w:t>
            </w:r>
          </w:p>
        </w:tc>
      </w:tr>
      <w:tr w:rsidR="00CA23D0" w:rsidRPr="00E30642" w14:paraId="3AC4F6F0" w14:textId="77777777" w:rsidTr="00CA23D0">
        <w:tc>
          <w:tcPr>
            <w:tcW w:w="709" w:type="dxa"/>
            <w:tcBorders>
              <w:top w:val="single" w:sz="6" w:space="0" w:color="auto"/>
              <w:left w:val="single" w:sz="6" w:space="0" w:color="auto"/>
              <w:bottom w:val="single" w:sz="6" w:space="0" w:color="auto"/>
              <w:right w:val="single" w:sz="6" w:space="0" w:color="auto"/>
            </w:tcBorders>
          </w:tcPr>
          <w:p w14:paraId="7E5FAFA0" w14:textId="77777777" w:rsidR="00CA23D0" w:rsidRPr="00E30642" w:rsidRDefault="00CA23D0" w:rsidP="00CA23D0">
            <w:pPr>
              <w:pStyle w:val="Texttabulky"/>
              <w:spacing w:line="240" w:lineRule="atLeast"/>
              <w:jc w:val="both"/>
              <w:rPr>
                <w:rFonts w:cs="Arial"/>
              </w:rPr>
            </w:pPr>
            <w:r w:rsidRPr="00E30642">
              <w:rPr>
                <w:rFonts w:cs="Arial"/>
                <w:b/>
                <w:bCs/>
              </w:rPr>
              <w:t>65</w:t>
            </w:r>
          </w:p>
        </w:tc>
        <w:tc>
          <w:tcPr>
            <w:tcW w:w="2141" w:type="dxa"/>
            <w:tcBorders>
              <w:top w:val="single" w:sz="6" w:space="0" w:color="auto"/>
              <w:left w:val="single" w:sz="6" w:space="0" w:color="auto"/>
              <w:bottom w:val="single" w:sz="6" w:space="0" w:color="auto"/>
              <w:right w:val="single" w:sz="6" w:space="0" w:color="auto"/>
            </w:tcBorders>
          </w:tcPr>
          <w:p w14:paraId="37E19C2A" w14:textId="77777777" w:rsidR="00CA23D0" w:rsidRPr="00E30642" w:rsidRDefault="00CA23D0" w:rsidP="00CA23D0">
            <w:pPr>
              <w:pStyle w:val="Texttabulky"/>
              <w:spacing w:line="240" w:lineRule="atLeast"/>
              <w:jc w:val="both"/>
              <w:rPr>
                <w:rFonts w:cs="Arial"/>
              </w:rPr>
            </w:pPr>
            <w:r w:rsidRPr="00E30642">
              <w:rPr>
                <w:rFonts w:cs="Arial"/>
              </w:rPr>
              <w:t>Horní Žleb</w:t>
            </w:r>
          </w:p>
        </w:tc>
        <w:tc>
          <w:tcPr>
            <w:tcW w:w="1007" w:type="dxa"/>
            <w:tcBorders>
              <w:top w:val="single" w:sz="6" w:space="0" w:color="auto"/>
              <w:left w:val="single" w:sz="6" w:space="0" w:color="auto"/>
              <w:bottom w:val="single" w:sz="6" w:space="0" w:color="auto"/>
              <w:right w:val="single" w:sz="6" w:space="0" w:color="auto"/>
            </w:tcBorders>
          </w:tcPr>
          <w:p w14:paraId="6530C7A7" w14:textId="77777777" w:rsidR="00CA23D0" w:rsidRPr="00E30642" w:rsidRDefault="00CA23D0" w:rsidP="00CA23D0">
            <w:pPr>
              <w:pStyle w:val="Texttabulky"/>
              <w:spacing w:line="240" w:lineRule="atLeast"/>
              <w:jc w:val="both"/>
              <w:rPr>
                <w:rFonts w:cs="Arial"/>
              </w:rPr>
            </w:pPr>
            <w:r w:rsidRPr="00E30642">
              <w:rPr>
                <w:rFonts w:cs="Arial"/>
              </w:rPr>
              <w:t>375</w:t>
            </w:r>
          </w:p>
        </w:tc>
        <w:tc>
          <w:tcPr>
            <w:tcW w:w="1275" w:type="dxa"/>
            <w:tcBorders>
              <w:top w:val="single" w:sz="6" w:space="0" w:color="auto"/>
              <w:left w:val="single" w:sz="6" w:space="0" w:color="auto"/>
              <w:bottom w:val="single" w:sz="6" w:space="0" w:color="auto"/>
              <w:right w:val="single" w:sz="6" w:space="0" w:color="auto"/>
            </w:tcBorders>
          </w:tcPr>
          <w:p w14:paraId="1B684E0D" w14:textId="77777777" w:rsidR="00CA23D0" w:rsidRPr="00E30642" w:rsidRDefault="00CA23D0" w:rsidP="00CA23D0">
            <w:pPr>
              <w:pStyle w:val="Texttabulky"/>
              <w:spacing w:line="240" w:lineRule="atLeast"/>
              <w:jc w:val="both"/>
              <w:rPr>
                <w:rFonts w:cs="Arial"/>
              </w:rPr>
            </w:pPr>
            <w:r w:rsidRPr="00E30642">
              <w:rPr>
                <w:rFonts w:cs="Arial"/>
              </w:rPr>
              <w:t>350</w:t>
            </w:r>
          </w:p>
        </w:tc>
        <w:tc>
          <w:tcPr>
            <w:tcW w:w="1277" w:type="dxa"/>
            <w:tcBorders>
              <w:top w:val="single" w:sz="6" w:space="0" w:color="auto"/>
              <w:left w:val="single" w:sz="6" w:space="0" w:color="auto"/>
              <w:bottom w:val="single" w:sz="6" w:space="0" w:color="auto"/>
              <w:right w:val="single" w:sz="6" w:space="0" w:color="auto"/>
            </w:tcBorders>
          </w:tcPr>
          <w:p w14:paraId="0B871048" w14:textId="77777777" w:rsidR="00CA23D0" w:rsidRPr="00E30642" w:rsidRDefault="00CA23D0" w:rsidP="00CA23D0">
            <w:pPr>
              <w:pStyle w:val="Texttabulky"/>
              <w:spacing w:line="240" w:lineRule="atLeast"/>
              <w:jc w:val="both"/>
              <w:rPr>
                <w:rFonts w:cs="Arial"/>
              </w:rPr>
            </w:pPr>
            <w:r w:rsidRPr="00E30642">
              <w:rPr>
                <w:rFonts w:cs="Arial"/>
              </w:rPr>
              <w:t>350</w:t>
            </w:r>
          </w:p>
        </w:tc>
        <w:tc>
          <w:tcPr>
            <w:tcW w:w="992" w:type="dxa"/>
            <w:tcBorders>
              <w:top w:val="single" w:sz="6" w:space="0" w:color="auto"/>
              <w:left w:val="single" w:sz="6" w:space="0" w:color="auto"/>
              <w:bottom w:val="single" w:sz="6" w:space="0" w:color="auto"/>
              <w:right w:val="single" w:sz="6" w:space="0" w:color="auto"/>
            </w:tcBorders>
          </w:tcPr>
          <w:p w14:paraId="57885F8A" w14:textId="77777777" w:rsidR="00CA23D0" w:rsidRPr="00E30642" w:rsidRDefault="00CA23D0" w:rsidP="00CA23D0">
            <w:pPr>
              <w:pStyle w:val="Texttabulky"/>
              <w:spacing w:line="240" w:lineRule="atLeast"/>
              <w:jc w:val="both"/>
              <w:rPr>
                <w:rFonts w:cs="Arial"/>
              </w:rPr>
            </w:pPr>
            <w:r w:rsidRPr="00E30642">
              <w:rPr>
                <w:rFonts w:cs="Arial"/>
              </w:rPr>
              <w:t>-25</w:t>
            </w:r>
          </w:p>
        </w:tc>
        <w:tc>
          <w:tcPr>
            <w:tcW w:w="992" w:type="dxa"/>
            <w:tcBorders>
              <w:top w:val="single" w:sz="6" w:space="0" w:color="auto"/>
              <w:left w:val="single" w:sz="6" w:space="0" w:color="auto"/>
              <w:bottom w:val="single" w:sz="6" w:space="0" w:color="auto"/>
              <w:right w:val="single" w:sz="6" w:space="0" w:color="auto"/>
            </w:tcBorders>
          </w:tcPr>
          <w:p w14:paraId="25C6129E" w14:textId="77777777" w:rsidR="00CA23D0" w:rsidRPr="00E30642" w:rsidRDefault="00CA23D0" w:rsidP="00CA23D0">
            <w:pPr>
              <w:pStyle w:val="Texttabulky"/>
              <w:spacing w:line="240" w:lineRule="atLeast"/>
              <w:jc w:val="both"/>
              <w:rPr>
                <w:rFonts w:cs="Arial"/>
              </w:rPr>
            </w:pPr>
            <w:r w:rsidRPr="00E30642">
              <w:rPr>
                <w:rFonts w:cs="Arial"/>
              </w:rPr>
              <w:t>-25</w:t>
            </w:r>
          </w:p>
        </w:tc>
      </w:tr>
      <w:tr w:rsidR="00CA23D0" w:rsidRPr="00E30642" w14:paraId="2461C07E" w14:textId="77777777" w:rsidTr="00CA23D0">
        <w:tc>
          <w:tcPr>
            <w:tcW w:w="709" w:type="dxa"/>
            <w:tcBorders>
              <w:top w:val="single" w:sz="6" w:space="0" w:color="auto"/>
              <w:left w:val="single" w:sz="6" w:space="0" w:color="auto"/>
              <w:bottom w:val="single" w:sz="6" w:space="0" w:color="auto"/>
              <w:right w:val="single" w:sz="6" w:space="0" w:color="auto"/>
            </w:tcBorders>
          </w:tcPr>
          <w:p w14:paraId="3142303A" w14:textId="77777777" w:rsidR="00CA23D0" w:rsidRPr="00E30642" w:rsidRDefault="00CA23D0" w:rsidP="00CA23D0">
            <w:pPr>
              <w:pStyle w:val="Texttabulky"/>
              <w:spacing w:line="240" w:lineRule="atLeast"/>
              <w:jc w:val="both"/>
              <w:rPr>
                <w:rFonts w:cs="Arial"/>
              </w:rPr>
            </w:pPr>
            <w:r w:rsidRPr="00E30642">
              <w:rPr>
                <w:rFonts w:cs="Arial"/>
                <w:b/>
                <w:bCs/>
              </w:rPr>
              <w:t>51</w:t>
            </w:r>
          </w:p>
        </w:tc>
        <w:tc>
          <w:tcPr>
            <w:tcW w:w="2141" w:type="dxa"/>
            <w:tcBorders>
              <w:top w:val="single" w:sz="6" w:space="0" w:color="auto"/>
              <w:left w:val="single" w:sz="6" w:space="0" w:color="auto"/>
              <w:bottom w:val="single" w:sz="6" w:space="0" w:color="auto"/>
              <w:right w:val="single" w:sz="6" w:space="0" w:color="auto"/>
            </w:tcBorders>
          </w:tcPr>
          <w:p w14:paraId="5340EF25" w14:textId="77777777" w:rsidR="00CA23D0" w:rsidRPr="00E30642" w:rsidRDefault="00CA23D0" w:rsidP="00CA23D0">
            <w:pPr>
              <w:pStyle w:val="Texttabulky"/>
              <w:spacing w:line="240" w:lineRule="atLeast"/>
              <w:jc w:val="both"/>
              <w:rPr>
                <w:rFonts w:cs="Arial"/>
              </w:rPr>
            </w:pPr>
            <w:r w:rsidRPr="00E30642">
              <w:rPr>
                <w:rFonts w:cs="Arial"/>
              </w:rPr>
              <w:t>Křešice</w:t>
            </w:r>
          </w:p>
        </w:tc>
        <w:tc>
          <w:tcPr>
            <w:tcW w:w="1007" w:type="dxa"/>
            <w:tcBorders>
              <w:top w:val="single" w:sz="6" w:space="0" w:color="auto"/>
              <w:left w:val="single" w:sz="6" w:space="0" w:color="auto"/>
              <w:bottom w:val="single" w:sz="6" w:space="0" w:color="auto"/>
              <w:right w:val="single" w:sz="6" w:space="0" w:color="auto"/>
            </w:tcBorders>
          </w:tcPr>
          <w:p w14:paraId="7D23429E" w14:textId="77777777" w:rsidR="00CA23D0" w:rsidRPr="00E30642" w:rsidRDefault="00CA23D0" w:rsidP="00CA23D0">
            <w:pPr>
              <w:pStyle w:val="Texttabulky"/>
              <w:spacing w:line="240" w:lineRule="atLeast"/>
              <w:jc w:val="both"/>
              <w:rPr>
                <w:rFonts w:cs="Arial"/>
              </w:rPr>
            </w:pPr>
            <w:r w:rsidRPr="00E30642">
              <w:rPr>
                <w:rFonts w:cs="Arial"/>
              </w:rPr>
              <w:t>726</w:t>
            </w:r>
          </w:p>
        </w:tc>
        <w:tc>
          <w:tcPr>
            <w:tcW w:w="1275" w:type="dxa"/>
            <w:tcBorders>
              <w:top w:val="single" w:sz="6" w:space="0" w:color="auto"/>
              <w:left w:val="single" w:sz="6" w:space="0" w:color="auto"/>
              <w:bottom w:val="single" w:sz="6" w:space="0" w:color="auto"/>
              <w:right w:val="single" w:sz="6" w:space="0" w:color="auto"/>
            </w:tcBorders>
          </w:tcPr>
          <w:p w14:paraId="4CBFA1FB" w14:textId="77777777" w:rsidR="00CA23D0" w:rsidRPr="00E30642" w:rsidRDefault="00CA23D0" w:rsidP="00CA23D0">
            <w:pPr>
              <w:pStyle w:val="Texttabulky"/>
              <w:spacing w:line="240" w:lineRule="atLeast"/>
              <w:jc w:val="both"/>
              <w:rPr>
                <w:rFonts w:cs="Arial"/>
              </w:rPr>
            </w:pPr>
            <w:r w:rsidRPr="00E30642">
              <w:rPr>
                <w:rFonts w:cs="Arial"/>
              </w:rPr>
              <w:t>700</w:t>
            </w:r>
          </w:p>
        </w:tc>
        <w:tc>
          <w:tcPr>
            <w:tcW w:w="1277" w:type="dxa"/>
            <w:tcBorders>
              <w:top w:val="single" w:sz="6" w:space="0" w:color="auto"/>
              <w:left w:val="single" w:sz="6" w:space="0" w:color="auto"/>
              <w:bottom w:val="single" w:sz="6" w:space="0" w:color="auto"/>
              <w:right w:val="single" w:sz="6" w:space="0" w:color="auto"/>
            </w:tcBorders>
          </w:tcPr>
          <w:p w14:paraId="6EB5FA50" w14:textId="77777777" w:rsidR="00CA23D0" w:rsidRPr="00E30642" w:rsidRDefault="00CA23D0" w:rsidP="00CA23D0">
            <w:pPr>
              <w:pStyle w:val="Texttabulky"/>
              <w:spacing w:line="240" w:lineRule="atLeast"/>
              <w:jc w:val="both"/>
              <w:rPr>
                <w:rFonts w:cs="Arial"/>
              </w:rPr>
            </w:pPr>
            <w:r w:rsidRPr="00E30642">
              <w:rPr>
                <w:rFonts w:cs="Arial"/>
              </w:rPr>
              <w:t>1 075</w:t>
            </w:r>
          </w:p>
        </w:tc>
        <w:tc>
          <w:tcPr>
            <w:tcW w:w="992" w:type="dxa"/>
            <w:tcBorders>
              <w:top w:val="single" w:sz="6" w:space="0" w:color="auto"/>
              <w:left w:val="single" w:sz="6" w:space="0" w:color="auto"/>
              <w:bottom w:val="single" w:sz="6" w:space="0" w:color="auto"/>
              <w:right w:val="single" w:sz="6" w:space="0" w:color="auto"/>
            </w:tcBorders>
          </w:tcPr>
          <w:p w14:paraId="5650D0FD" w14:textId="77777777" w:rsidR="00CA23D0" w:rsidRPr="00E30642" w:rsidRDefault="00CA23D0" w:rsidP="00CA23D0">
            <w:pPr>
              <w:pStyle w:val="Texttabulky"/>
              <w:spacing w:line="240" w:lineRule="atLeast"/>
              <w:jc w:val="both"/>
              <w:rPr>
                <w:rFonts w:cs="Arial"/>
              </w:rPr>
            </w:pPr>
            <w:r w:rsidRPr="00E30642">
              <w:rPr>
                <w:rFonts w:cs="Arial"/>
              </w:rPr>
              <w:t>-26</w:t>
            </w:r>
          </w:p>
        </w:tc>
        <w:tc>
          <w:tcPr>
            <w:tcW w:w="992" w:type="dxa"/>
            <w:tcBorders>
              <w:top w:val="single" w:sz="6" w:space="0" w:color="auto"/>
              <w:left w:val="single" w:sz="6" w:space="0" w:color="auto"/>
              <w:bottom w:val="single" w:sz="6" w:space="0" w:color="auto"/>
              <w:right w:val="single" w:sz="6" w:space="0" w:color="auto"/>
            </w:tcBorders>
          </w:tcPr>
          <w:p w14:paraId="756E528C" w14:textId="77777777" w:rsidR="00CA23D0" w:rsidRPr="00E30642" w:rsidRDefault="00CA23D0" w:rsidP="00CA23D0">
            <w:pPr>
              <w:pStyle w:val="Texttabulky"/>
              <w:spacing w:line="240" w:lineRule="atLeast"/>
              <w:jc w:val="both"/>
              <w:rPr>
                <w:rFonts w:cs="Arial"/>
              </w:rPr>
            </w:pPr>
            <w:r w:rsidRPr="00E30642">
              <w:rPr>
                <w:rFonts w:cs="Arial"/>
              </w:rPr>
              <w:t>349</w:t>
            </w:r>
          </w:p>
        </w:tc>
      </w:tr>
      <w:tr w:rsidR="00CA23D0" w:rsidRPr="00E30642" w14:paraId="0859CBAB" w14:textId="77777777" w:rsidTr="00CA23D0">
        <w:tc>
          <w:tcPr>
            <w:tcW w:w="709" w:type="dxa"/>
            <w:tcBorders>
              <w:top w:val="single" w:sz="6" w:space="0" w:color="auto"/>
              <w:left w:val="single" w:sz="6" w:space="0" w:color="auto"/>
              <w:bottom w:val="single" w:sz="6" w:space="0" w:color="auto"/>
              <w:right w:val="single" w:sz="6" w:space="0" w:color="auto"/>
            </w:tcBorders>
          </w:tcPr>
          <w:p w14:paraId="55227086" w14:textId="77777777" w:rsidR="00CA23D0" w:rsidRPr="00E30642" w:rsidRDefault="00CA23D0" w:rsidP="00CA23D0">
            <w:pPr>
              <w:pStyle w:val="Texttabulky"/>
              <w:spacing w:line="240" w:lineRule="atLeast"/>
              <w:jc w:val="both"/>
              <w:rPr>
                <w:rFonts w:cs="Arial"/>
              </w:rPr>
            </w:pPr>
            <w:r w:rsidRPr="00E30642">
              <w:rPr>
                <w:rFonts w:cs="Arial"/>
                <w:b/>
                <w:bCs/>
              </w:rPr>
              <w:t>15</w:t>
            </w:r>
          </w:p>
        </w:tc>
        <w:tc>
          <w:tcPr>
            <w:tcW w:w="2141" w:type="dxa"/>
            <w:tcBorders>
              <w:top w:val="single" w:sz="6" w:space="0" w:color="auto"/>
              <w:left w:val="single" w:sz="6" w:space="0" w:color="auto"/>
              <w:bottom w:val="single" w:sz="6" w:space="0" w:color="auto"/>
              <w:right w:val="single" w:sz="6" w:space="0" w:color="auto"/>
            </w:tcBorders>
          </w:tcPr>
          <w:p w14:paraId="25439AD9" w14:textId="77777777" w:rsidR="00CA23D0" w:rsidRPr="00E30642" w:rsidRDefault="00CA23D0" w:rsidP="00CA23D0">
            <w:pPr>
              <w:pStyle w:val="Texttabulky"/>
              <w:spacing w:line="240" w:lineRule="atLeast"/>
              <w:jc w:val="both"/>
              <w:rPr>
                <w:rFonts w:cs="Arial"/>
              </w:rPr>
            </w:pPr>
            <w:r w:rsidRPr="00E30642">
              <w:rPr>
                <w:rFonts w:cs="Arial"/>
              </w:rPr>
              <w:t>Pod Chlumem</w:t>
            </w:r>
          </w:p>
        </w:tc>
        <w:tc>
          <w:tcPr>
            <w:tcW w:w="1007" w:type="dxa"/>
            <w:tcBorders>
              <w:top w:val="single" w:sz="6" w:space="0" w:color="auto"/>
              <w:left w:val="single" w:sz="6" w:space="0" w:color="auto"/>
              <w:bottom w:val="single" w:sz="6" w:space="0" w:color="auto"/>
              <w:right w:val="single" w:sz="6" w:space="0" w:color="auto"/>
            </w:tcBorders>
          </w:tcPr>
          <w:p w14:paraId="2D984C54" w14:textId="77777777" w:rsidR="00CA23D0" w:rsidRPr="00E30642" w:rsidRDefault="00CA23D0" w:rsidP="00CA23D0">
            <w:pPr>
              <w:pStyle w:val="Texttabulky"/>
              <w:spacing w:line="240" w:lineRule="atLeast"/>
              <w:jc w:val="both"/>
              <w:rPr>
                <w:rFonts w:cs="Arial"/>
              </w:rPr>
            </w:pPr>
            <w:r w:rsidRPr="00E30642">
              <w:rPr>
                <w:rFonts w:cs="Arial"/>
              </w:rPr>
              <w:t>176</w:t>
            </w:r>
          </w:p>
        </w:tc>
        <w:tc>
          <w:tcPr>
            <w:tcW w:w="1275" w:type="dxa"/>
            <w:tcBorders>
              <w:top w:val="single" w:sz="6" w:space="0" w:color="auto"/>
              <w:left w:val="single" w:sz="6" w:space="0" w:color="auto"/>
              <w:bottom w:val="single" w:sz="6" w:space="0" w:color="auto"/>
              <w:right w:val="single" w:sz="6" w:space="0" w:color="auto"/>
            </w:tcBorders>
          </w:tcPr>
          <w:p w14:paraId="46B4EFA8" w14:textId="77777777" w:rsidR="00CA23D0" w:rsidRPr="00E30642" w:rsidRDefault="00CA23D0" w:rsidP="00CA23D0">
            <w:pPr>
              <w:pStyle w:val="Texttabulky"/>
              <w:spacing w:line="240" w:lineRule="atLeast"/>
              <w:jc w:val="both"/>
              <w:rPr>
                <w:rFonts w:cs="Arial"/>
              </w:rPr>
            </w:pPr>
            <w:r w:rsidRPr="00E30642">
              <w:rPr>
                <w:rFonts w:cs="Arial"/>
              </w:rPr>
              <w:t>150</w:t>
            </w:r>
          </w:p>
        </w:tc>
        <w:tc>
          <w:tcPr>
            <w:tcW w:w="1277" w:type="dxa"/>
            <w:tcBorders>
              <w:top w:val="single" w:sz="6" w:space="0" w:color="auto"/>
              <w:left w:val="single" w:sz="6" w:space="0" w:color="auto"/>
              <w:bottom w:val="single" w:sz="6" w:space="0" w:color="auto"/>
              <w:right w:val="single" w:sz="6" w:space="0" w:color="auto"/>
            </w:tcBorders>
          </w:tcPr>
          <w:p w14:paraId="265AE244" w14:textId="77777777" w:rsidR="00CA23D0" w:rsidRPr="00E30642" w:rsidRDefault="00CA23D0" w:rsidP="00CA23D0">
            <w:pPr>
              <w:pStyle w:val="Texttabulky"/>
              <w:spacing w:line="240" w:lineRule="atLeast"/>
              <w:jc w:val="both"/>
              <w:rPr>
                <w:rFonts w:cs="Arial"/>
              </w:rPr>
            </w:pPr>
            <w:r w:rsidRPr="00E30642">
              <w:rPr>
                <w:rFonts w:cs="Arial"/>
              </w:rPr>
              <w:t>150</w:t>
            </w:r>
          </w:p>
        </w:tc>
        <w:tc>
          <w:tcPr>
            <w:tcW w:w="992" w:type="dxa"/>
            <w:tcBorders>
              <w:top w:val="single" w:sz="6" w:space="0" w:color="auto"/>
              <w:left w:val="single" w:sz="6" w:space="0" w:color="auto"/>
              <w:bottom w:val="single" w:sz="6" w:space="0" w:color="auto"/>
              <w:right w:val="single" w:sz="6" w:space="0" w:color="auto"/>
            </w:tcBorders>
          </w:tcPr>
          <w:p w14:paraId="07A70334" w14:textId="77777777" w:rsidR="00CA23D0" w:rsidRPr="00E30642" w:rsidRDefault="00CA23D0" w:rsidP="00CA23D0">
            <w:pPr>
              <w:pStyle w:val="Texttabulky"/>
              <w:spacing w:line="240" w:lineRule="atLeast"/>
              <w:jc w:val="both"/>
              <w:rPr>
                <w:rFonts w:cs="Arial"/>
              </w:rPr>
            </w:pPr>
            <w:r w:rsidRPr="00E30642">
              <w:rPr>
                <w:rFonts w:cs="Arial"/>
              </w:rPr>
              <w:t>-26</w:t>
            </w:r>
          </w:p>
        </w:tc>
        <w:tc>
          <w:tcPr>
            <w:tcW w:w="992" w:type="dxa"/>
            <w:tcBorders>
              <w:top w:val="single" w:sz="6" w:space="0" w:color="auto"/>
              <w:left w:val="single" w:sz="6" w:space="0" w:color="auto"/>
              <w:bottom w:val="single" w:sz="6" w:space="0" w:color="auto"/>
              <w:right w:val="single" w:sz="6" w:space="0" w:color="auto"/>
            </w:tcBorders>
          </w:tcPr>
          <w:p w14:paraId="2D3293B8" w14:textId="77777777" w:rsidR="00CA23D0" w:rsidRPr="00E30642" w:rsidRDefault="00CA23D0" w:rsidP="00CA23D0">
            <w:pPr>
              <w:pStyle w:val="Texttabulky"/>
              <w:spacing w:line="240" w:lineRule="atLeast"/>
              <w:jc w:val="both"/>
              <w:rPr>
                <w:rFonts w:cs="Arial"/>
              </w:rPr>
            </w:pPr>
            <w:r w:rsidRPr="00E30642">
              <w:rPr>
                <w:rFonts w:cs="Arial"/>
              </w:rPr>
              <w:t>-26</w:t>
            </w:r>
          </w:p>
        </w:tc>
      </w:tr>
      <w:tr w:rsidR="00CA23D0" w:rsidRPr="00E30642" w14:paraId="2DE6EE3E" w14:textId="77777777" w:rsidTr="00CA23D0">
        <w:tc>
          <w:tcPr>
            <w:tcW w:w="709" w:type="dxa"/>
            <w:tcBorders>
              <w:top w:val="single" w:sz="6" w:space="0" w:color="auto"/>
              <w:left w:val="single" w:sz="6" w:space="0" w:color="auto"/>
              <w:bottom w:val="single" w:sz="6" w:space="0" w:color="auto"/>
              <w:right w:val="single" w:sz="6" w:space="0" w:color="auto"/>
            </w:tcBorders>
          </w:tcPr>
          <w:p w14:paraId="77E72015" w14:textId="77777777" w:rsidR="00CA23D0" w:rsidRPr="00E30642" w:rsidRDefault="00CA23D0" w:rsidP="00CA23D0">
            <w:pPr>
              <w:pStyle w:val="Texttabulky"/>
              <w:spacing w:line="240" w:lineRule="atLeast"/>
              <w:jc w:val="both"/>
              <w:rPr>
                <w:rFonts w:cs="Arial"/>
              </w:rPr>
            </w:pPr>
            <w:r w:rsidRPr="00E30642">
              <w:rPr>
                <w:rFonts w:cs="Arial"/>
                <w:b/>
                <w:bCs/>
              </w:rPr>
              <w:t>25</w:t>
            </w:r>
          </w:p>
        </w:tc>
        <w:tc>
          <w:tcPr>
            <w:tcW w:w="2141" w:type="dxa"/>
            <w:tcBorders>
              <w:top w:val="single" w:sz="6" w:space="0" w:color="auto"/>
              <w:left w:val="single" w:sz="6" w:space="0" w:color="auto"/>
              <w:bottom w:val="single" w:sz="6" w:space="0" w:color="auto"/>
              <w:right w:val="single" w:sz="6" w:space="0" w:color="auto"/>
            </w:tcBorders>
          </w:tcPr>
          <w:p w14:paraId="78C6B1F9" w14:textId="77777777" w:rsidR="00CA23D0" w:rsidRPr="00E30642" w:rsidRDefault="00CA23D0" w:rsidP="00CA23D0">
            <w:pPr>
              <w:pStyle w:val="Texttabulky"/>
              <w:spacing w:line="240" w:lineRule="atLeast"/>
              <w:jc w:val="both"/>
              <w:rPr>
                <w:rFonts w:cs="Arial"/>
              </w:rPr>
            </w:pPr>
            <w:r w:rsidRPr="00E30642">
              <w:rPr>
                <w:rFonts w:cs="Arial"/>
              </w:rPr>
              <w:t>Červený vrch</w:t>
            </w:r>
          </w:p>
        </w:tc>
        <w:tc>
          <w:tcPr>
            <w:tcW w:w="1007" w:type="dxa"/>
            <w:tcBorders>
              <w:top w:val="single" w:sz="6" w:space="0" w:color="auto"/>
              <w:left w:val="single" w:sz="6" w:space="0" w:color="auto"/>
              <w:bottom w:val="single" w:sz="6" w:space="0" w:color="auto"/>
              <w:right w:val="single" w:sz="6" w:space="0" w:color="auto"/>
            </w:tcBorders>
          </w:tcPr>
          <w:p w14:paraId="79A69078" w14:textId="77777777" w:rsidR="00CA23D0" w:rsidRPr="00E30642" w:rsidRDefault="00CA23D0" w:rsidP="00CA23D0">
            <w:pPr>
              <w:pStyle w:val="Texttabulky"/>
              <w:spacing w:line="240" w:lineRule="atLeast"/>
              <w:jc w:val="both"/>
              <w:rPr>
                <w:rFonts w:cs="Arial"/>
              </w:rPr>
            </w:pPr>
            <w:r w:rsidRPr="00E30642">
              <w:rPr>
                <w:rFonts w:cs="Arial"/>
              </w:rPr>
              <w:t>477</w:t>
            </w:r>
          </w:p>
        </w:tc>
        <w:tc>
          <w:tcPr>
            <w:tcW w:w="1275" w:type="dxa"/>
            <w:tcBorders>
              <w:top w:val="single" w:sz="6" w:space="0" w:color="auto"/>
              <w:left w:val="single" w:sz="6" w:space="0" w:color="auto"/>
              <w:bottom w:val="single" w:sz="6" w:space="0" w:color="auto"/>
              <w:right w:val="single" w:sz="6" w:space="0" w:color="auto"/>
            </w:tcBorders>
          </w:tcPr>
          <w:p w14:paraId="060144E8" w14:textId="77777777" w:rsidR="00CA23D0" w:rsidRPr="00E30642" w:rsidRDefault="00CA23D0" w:rsidP="00CA23D0">
            <w:pPr>
              <w:pStyle w:val="Texttabulky"/>
              <w:spacing w:line="240" w:lineRule="atLeast"/>
              <w:jc w:val="both"/>
              <w:rPr>
                <w:rFonts w:cs="Arial"/>
              </w:rPr>
            </w:pPr>
            <w:r w:rsidRPr="00E30642">
              <w:rPr>
                <w:rFonts w:cs="Arial"/>
              </w:rPr>
              <w:t>450</w:t>
            </w:r>
          </w:p>
        </w:tc>
        <w:tc>
          <w:tcPr>
            <w:tcW w:w="1277" w:type="dxa"/>
            <w:tcBorders>
              <w:top w:val="single" w:sz="6" w:space="0" w:color="auto"/>
              <w:left w:val="single" w:sz="6" w:space="0" w:color="auto"/>
              <w:bottom w:val="single" w:sz="6" w:space="0" w:color="auto"/>
              <w:right w:val="single" w:sz="6" w:space="0" w:color="auto"/>
            </w:tcBorders>
          </w:tcPr>
          <w:p w14:paraId="79BD2EC0" w14:textId="77777777" w:rsidR="00CA23D0" w:rsidRPr="00E30642" w:rsidRDefault="00CA23D0" w:rsidP="00CA23D0">
            <w:pPr>
              <w:pStyle w:val="Texttabulky"/>
              <w:spacing w:line="240" w:lineRule="atLeast"/>
              <w:jc w:val="both"/>
              <w:rPr>
                <w:rFonts w:cs="Arial"/>
              </w:rPr>
            </w:pPr>
            <w:r w:rsidRPr="00E30642">
              <w:rPr>
                <w:rFonts w:cs="Arial"/>
              </w:rPr>
              <w:t>450</w:t>
            </w:r>
          </w:p>
        </w:tc>
        <w:tc>
          <w:tcPr>
            <w:tcW w:w="992" w:type="dxa"/>
            <w:tcBorders>
              <w:top w:val="single" w:sz="6" w:space="0" w:color="auto"/>
              <w:left w:val="single" w:sz="6" w:space="0" w:color="auto"/>
              <w:bottom w:val="single" w:sz="6" w:space="0" w:color="auto"/>
              <w:right w:val="single" w:sz="6" w:space="0" w:color="auto"/>
            </w:tcBorders>
          </w:tcPr>
          <w:p w14:paraId="69B77DF9" w14:textId="77777777" w:rsidR="00CA23D0" w:rsidRPr="00E30642" w:rsidRDefault="00CA23D0" w:rsidP="00CA23D0">
            <w:pPr>
              <w:pStyle w:val="Texttabulky"/>
              <w:spacing w:line="240" w:lineRule="atLeast"/>
              <w:jc w:val="both"/>
              <w:rPr>
                <w:rFonts w:cs="Arial"/>
              </w:rPr>
            </w:pPr>
            <w:r w:rsidRPr="00E30642">
              <w:rPr>
                <w:rFonts w:cs="Arial"/>
              </w:rPr>
              <w:t>-27</w:t>
            </w:r>
          </w:p>
        </w:tc>
        <w:tc>
          <w:tcPr>
            <w:tcW w:w="992" w:type="dxa"/>
            <w:tcBorders>
              <w:top w:val="single" w:sz="6" w:space="0" w:color="auto"/>
              <w:left w:val="single" w:sz="6" w:space="0" w:color="auto"/>
              <w:bottom w:val="single" w:sz="6" w:space="0" w:color="auto"/>
              <w:right w:val="single" w:sz="6" w:space="0" w:color="auto"/>
            </w:tcBorders>
          </w:tcPr>
          <w:p w14:paraId="3F68ADF9" w14:textId="77777777" w:rsidR="00CA23D0" w:rsidRPr="00E30642" w:rsidRDefault="00CA23D0" w:rsidP="00CA23D0">
            <w:pPr>
              <w:pStyle w:val="Texttabulky"/>
              <w:spacing w:line="240" w:lineRule="atLeast"/>
              <w:jc w:val="both"/>
              <w:rPr>
                <w:rFonts w:cs="Arial"/>
              </w:rPr>
            </w:pPr>
            <w:r w:rsidRPr="00E30642">
              <w:rPr>
                <w:rFonts w:cs="Arial"/>
              </w:rPr>
              <w:t>-27</w:t>
            </w:r>
          </w:p>
        </w:tc>
      </w:tr>
      <w:tr w:rsidR="00CA23D0" w:rsidRPr="00E30642" w14:paraId="40D623EC" w14:textId="77777777" w:rsidTr="00CA23D0">
        <w:tc>
          <w:tcPr>
            <w:tcW w:w="709" w:type="dxa"/>
            <w:tcBorders>
              <w:top w:val="single" w:sz="6" w:space="0" w:color="auto"/>
              <w:left w:val="single" w:sz="6" w:space="0" w:color="auto"/>
              <w:bottom w:val="single" w:sz="6" w:space="0" w:color="auto"/>
              <w:right w:val="single" w:sz="6" w:space="0" w:color="auto"/>
            </w:tcBorders>
          </w:tcPr>
          <w:p w14:paraId="0F4E90A0" w14:textId="77777777" w:rsidR="00CA23D0" w:rsidRPr="00E30642" w:rsidRDefault="00CA23D0" w:rsidP="00CA23D0">
            <w:pPr>
              <w:pStyle w:val="Texttabulky"/>
              <w:spacing w:line="240" w:lineRule="atLeast"/>
              <w:jc w:val="both"/>
              <w:rPr>
                <w:rFonts w:cs="Arial"/>
              </w:rPr>
            </w:pPr>
            <w:r w:rsidRPr="00E30642">
              <w:rPr>
                <w:rFonts w:cs="Arial"/>
                <w:b/>
                <w:bCs/>
              </w:rPr>
              <w:t>27</w:t>
            </w:r>
          </w:p>
        </w:tc>
        <w:tc>
          <w:tcPr>
            <w:tcW w:w="2141" w:type="dxa"/>
            <w:tcBorders>
              <w:top w:val="single" w:sz="6" w:space="0" w:color="auto"/>
              <w:left w:val="single" w:sz="6" w:space="0" w:color="auto"/>
              <w:bottom w:val="single" w:sz="6" w:space="0" w:color="auto"/>
              <w:right w:val="single" w:sz="6" w:space="0" w:color="auto"/>
            </w:tcBorders>
          </w:tcPr>
          <w:p w14:paraId="540F0445" w14:textId="77777777" w:rsidR="00CA23D0" w:rsidRPr="00E30642" w:rsidRDefault="00CA23D0" w:rsidP="00CA23D0">
            <w:pPr>
              <w:pStyle w:val="Texttabulky"/>
              <w:spacing w:line="240" w:lineRule="atLeast"/>
              <w:jc w:val="both"/>
              <w:rPr>
                <w:rFonts w:cs="Arial"/>
              </w:rPr>
            </w:pPr>
            <w:r w:rsidRPr="00E30642">
              <w:rPr>
                <w:rFonts w:cs="Arial"/>
              </w:rPr>
              <w:t>Přípeř</w:t>
            </w:r>
          </w:p>
        </w:tc>
        <w:tc>
          <w:tcPr>
            <w:tcW w:w="1007" w:type="dxa"/>
            <w:tcBorders>
              <w:top w:val="single" w:sz="6" w:space="0" w:color="auto"/>
              <w:left w:val="single" w:sz="6" w:space="0" w:color="auto"/>
              <w:bottom w:val="single" w:sz="6" w:space="0" w:color="auto"/>
              <w:right w:val="single" w:sz="6" w:space="0" w:color="auto"/>
            </w:tcBorders>
          </w:tcPr>
          <w:p w14:paraId="5F23A31B" w14:textId="77777777" w:rsidR="00CA23D0" w:rsidRPr="00E30642" w:rsidRDefault="00CA23D0" w:rsidP="00CA23D0">
            <w:pPr>
              <w:pStyle w:val="Texttabulky"/>
              <w:spacing w:line="240" w:lineRule="atLeast"/>
              <w:jc w:val="both"/>
              <w:rPr>
                <w:rFonts w:cs="Arial"/>
              </w:rPr>
            </w:pPr>
            <w:r w:rsidRPr="00E30642">
              <w:rPr>
                <w:rFonts w:cs="Arial"/>
              </w:rPr>
              <w:t>136</w:t>
            </w:r>
          </w:p>
        </w:tc>
        <w:tc>
          <w:tcPr>
            <w:tcW w:w="1275" w:type="dxa"/>
            <w:tcBorders>
              <w:top w:val="single" w:sz="6" w:space="0" w:color="auto"/>
              <w:left w:val="single" w:sz="6" w:space="0" w:color="auto"/>
              <w:bottom w:val="single" w:sz="6" w:space="0" w:color="auto"/>
              <w:right w:val="single" w:sz="6" w:space="0" w:color="auto"/>
            </w:tcBorders>
          </w:tcPr>
          <w:p w14:paraId="75352D0E" w14:textId="77777777" w:rsidR="00CA23D0" w:rsidRPr="00E30642" w:rsidRDefault="00CA23D0" w:rsidP="00CA23D0">
            <w:pPr>
              <w:pStyle w:val="Texttabulky"/>
              <w:spacing w:line="240" w:lineRule="atLeast"/>
              <w:jc w:val="both"/>
              <w:rPr>
                <w:rFonts w:cs="Arial"/>
              </w:rPr>
            </w:pPr>
            <w:r w:rsidRPr="00E30642">
              <w:rPr>
                <w:rFonts w:cs="Arial"/>
              </w:rPr>
              <w:t>100</w:t>
            </w:r>
          </w:p>
        </w:tc>
        <w:tc>
          <w:tcPr>
            <w:tcW w:w="1277" w:type="dxa"/>
            <w:tcBorders>
              <w:top w:val="single" w:sz="6" w:space="0" w:color="auto"/>
              <w:left w:val="single" w:sz="6" w:space="0" w:color="auto"/>
              <w:bottom w:val="single" w:sz="6" w:space="0" w:color="auto"/>
              <w:right w:val="single" w:sz="6" w:space="0" w:color="auto"/>
            </w:tcBorders>
          </w:tcPr>
          <w:p w14:paraId="140E61A8" w14:textId="77777777" w:rsidR="00CA23D0" w:rsidRPr="00E30642" w:rsidRDefault="00CA23D0" w:rsidP="00CA23D0">
            <w:pPr>
              <w:pStyle w:val="Texttabulky"/>
              <w:spacing w:line="240" w:lineRule="atLeast"/>
              <w:jc w:val="both"/>
              <w:rPr>
                <w:rFonts w:cs="Arial"/>
              </w:rPr>
            </w:pPr>
            <w:r w:rsidRPr="00E30642">
              <w:rPr>
                <w:rFonts w:cs="Arial"/>
              </w:rPr>
              <w:t>100</w:t>
            </w:r>
          </w:p>
        </w:tc>
        <w:tc>
          <w:tcPr>
            <w:tcW w:w="992" w:type="dxa"/>
            <w:tcBorders>
              <w:top w:val="single" w:sz="6" w:space="0" w:color="auto"/>
              <w:left w:val="single" w:sz="6" w:space="0" w:color="auto"/>
              <w:bottom w:val="single" w:sz="6" w:space="0" w:color="auto"/>
              <w:right w:val="single" w:sz="6" w:space="0" w:color="auto"/>
            </w:tcBorders>
          </w:tcPr>
          <w:p w14:paraId="06C52F58" w14:textId="77777777" w:rsidR="00CA23D0" w:rsidRPr="00E30642" w:rsidRDefault="00CA23D0" w:rsidP="00CA23D0">
            <w:pPr>
              <w:pStyle w:val="Texttabulky"/>
              <w:spacing w:line="240" w:lineRule="atLeast"/>
              <w:jc w:val="both"/>
              <w:rPr>
                <w:rFonts w:cs="Arial"/>
              </w:rPr>
            </w:pPr>
            <w:r w:rsidRPr="00E30642">
              <w:rPr>
                <w:rFonts w:cs="Arial"/>
              </w:rPr>
              <w:t>-36</w:t>
            </w:r>
          </w:p>
        </w:tc>
        <w:tc>
          <w:tcPr>
            <w:tcW w:w="992" w:type="dxa"/>
            <w:tcBorders>
              <w:top w:val="single" w:sz="6" w:space="0" w:color="auto"/>
              <w:left w:val="single" w:sz="6" w:space="0" w:color="auto"/>
              <w:bottom w:val="single" w:sz="6" w:space="0" w:color="auto"/>
              <w:right w:val="single" w:sz="6" w:space="0" w:color="auto"/>
            </w:tcBorders>
          </w:tcPr>
          <w:p w14:paraId="55B5F71E" w14:textId="77777777" w:rsidR="00CA23D0" w:rsidRPr="00E30642" w:rsidRDefault="00CA23D0" w:rsidP="00CA23D0">
            <w:pPr>
              <w:pStyle w:val="Texttabulky"/>
              <w:spacing w:line="240" w:lineRule="atLeast"/>
              <w:jc w:val="both"/>
              <w:rPr>
                <w:rFonts w:cs="Arial"/>
              </w:rPr>
            </w:pPr>
            <w:r w:rsidRPr="00E30642">
              <w:rPr>
                <w:rFonts w:cs="Arial"/>
              </w:rPr>
              <w:t>-36</w:t>
            </w:r>
          </w:p>
        </w:tc>
      </w:tr>
      <w:tr w:rsidR="00CA23D0" w:rsidRPr="00E30642" w14:paraId="6BD1CD86" w14:textId="77777777" w:rsidTr="00CA23D0">
        <w:tc>
          <w:tcPr>
            <w:tcW w:w="709" w:type="dxa"/>
            <w:tcBorders>
              <w:top w:val="single" w:sz="6" w:space="0" w:color="auto"/>
              <w:left w:val="single" w:sz="6" w:space="0" w:color="auto"/>
              <w:bottom w:val="single" w:sz="6" w:space="0" w:color="auto"/>
              <w:right w:val="single" w:sz="6" w:space="0" w:color="auto"/>
            </w:tcBorders>
          </w:tcPr>
          <w:p w14:paraId="722CEF65" w14:textId="77777777" w:rsidR="00CA23D0" w:rsidRPr="00E30642" w:rsidRDefault="00CA23D0" w:rsidP="00CA23D0">
            <w:pPr>
              <w:pStyle w:val="Texttabulky"/>
              <w:spacing w:line="240" w:lineRule="atLeast"/>
              <w:jc w:val="both"/>
              <w:rPr>
                <w:rFonts w:cs="Arial"/>
              </w:rPr>
            </w:pPr>
            <w:r w:rsidRPr="00E30642">
              <w:rPr>
                <w:rFonts w:cs="Arial"/>
                <w:b/>
                <w:bCs/>
              </w:rPr>
              <w:t>39</w:t>
            </w:r>
          </w:p>
        </w:tc>
        <w:tc>
          <w:tcPr>
            <w:tcW w:w="2141" w:type="dxa"/>
            <w:tcBorders>
              <w:top w:val="single" w:sz="6" w:space="0" w:color="auto"/>
              <w:left w:val="single" w:sz="6" w:space="0" w:color="auto"/>
              <w:bottom w:val="single" w:sz="6" w:space="0" w:color="auto"/>
              <w:right w:val="single" w:sz="6" w:space="0" w:color="auto"/>
            </w:tcBorders>
          </w:tcPr>
          <w:p w14:paraId="40E8EDA7" w14:textId="77777777" w:rsidR="00CA23D0" w:rsidRPr="00E30642" w:rsidRDefault="00CA23D0" w:rsidP="00CA23D0">
            <w:pPr>
              <w:pStyle w:val="Texttabulky"/>
              <w:spacing w:line="240" w:lineRule="atLeast"/>
              <w:jc w:val="both"/>
              <w:rPr>
                <w:rFonts w:cs="Arial"/>
              </w:rPr>
            </w:pPr>
            <w:r w:rsidRPr="00E30642">
              <w:rPr>
                <w:rFonts w:cs="Arial"/>
              </w:rPr>
              <w:t>Prostřední Žleb</w:t>
            </w:r>
          </w:p>
        </w:tc>
        <w:tc>
          <w:tcPr>
            <w:tcW w:w="1007" w:type="dxa"/>
            <w:tcBorders>
              <w:top w:val="single" w:sz="6" w:space="0" w:color="auto"/>
              <w:left w:val="single" w:sz="6" w:space="0" w:color="auto"/>
              <w:bottom w:val="single" w:sz="6" w:space="0" w:color="auto"/>
              <w:right w:val="single" w:sz="6" w:space="0" w:color="auto"/>
            </w:tcBorders>
          </w:tcPr>
          <w:p w14:paraId="42F1F22A" w14:textId="77777777" w:rsidR="00CA23D0" w:rsidRPr="00E30642" w:rsidRDefault="00CA23D0" w:rsidP="00CA23D0">
            <w:pPr>
              <w:pStyle w:val="Texttabulky"/>
              <w:spacing w:line="240" w:lineRule="atLeast"/>
              <w:jc w:val="both"/>
              <w:rPr>
                <w:rFonts w:cs="Arial"/>
              </w:rPr>
            </w:pPr>
            <w:r w:rsidRPr="00E30642">
              <w:rPr>
                <w:rFonts w:cs="Arial"/>
              </w:rPr>
              <w:t>238</w:t>
            </w:r>
          </w:p>
        </w:tc>
        <w:tc>
          <w:tcPr>
            <w:tcW w:w="1275" w:type="dxa"/>
            <w:tcBorders>
              <w:top w:val="single" w:sz="6" w:space="0" w:color="auto"/>
              <w:left w:val="single" w:sz="6" w:space="0" w:color="auto"/>
              <w:bottom w:val="single" w:sz="6" w:space="0" w:color="auto"/>
              <w:right w:val="single" w:sz="6" w:space="0" w:color="auto"/>
            </w:tcBorders>
          </w:tcPr>
          <w:p w14:paraId="56E40E92" w14:textId="77777777" w:rsidR="00CA23D0" w:rsidRPr="00E30642" w:rsidRDefault="00CA23D0" w:rsidP="00CA23D0">
            <w:pPr>
              <w:pStyle w:val="Texttabulky"/>
              <w:spacing w:line="240" w:lineRule="atLeast"/>
              <w:jc w:val="both"/>
              <w:rPr>
                <w:rFonts w:cs="Arial"/>
              </w:rPr>
            </w:pPr>
            <w:r w:rsidRPr="00E30642">
              <w:rPr>
                <w:rFonts w:cs="Arial"/>
              </w:rPr>
              <w:t>200</w:t>
            </w:r>
          </w:p>
        </w:tc>
        <w:tc>
          <w:tcPr>
            <w:tcW w:w="1277" w:type="dxa"/>
            <w:tcBorders>
              <w:top w:val="single" w:sz="6" w:space="0" w:color="auto"/>
              <w:left w:val="single" w:sz="6" w:space="0" w:color="auto"/>
              <w:bottom w:val="single" w:sz="6" w:space="0" w:color="auto"/>
              <w:right w:val="single" w:sz="6" w:space="0" w:color="auto"/>
            </w:tcBorders>
          </w:tcPr>
          <w:p w14:paraId="060FE4AA" w14:textId="77777777" w:rsidR="00CA23D0" w:rsidRPr="00E30642" w:rsidRDefault="00CA23D0" w:rsidP="00CA23D0">
            <w:pPr>
              <w:pStyle w:val="Texttabulky"/>
              <w:spacing w:line="240" w:lineRule="atLeast"/>
              <w:jc w:val="both"/>
              <w:rPr>
                <w:rFonts w:cs="Arial"/>
              </w:rPr>
            </w:pPr>
            <w:r w:rsidRPr="00E30642">
              <w:rPr>
                <w:rFonts w:cs="Arial"/>
              </w:rPr>
              <w:t>230</w:t>
            </w:r>
          </w:p>
        </w:tc>
        <w:tc>
          <w:tcPr>
            <w:tcW w:w="992" w:type="dxa"/>
            <w:tcBorders>
              <w:top w:val="single" w:sz="6" w:space="0" w:color="auto"/>
              <w:left w:val="single" w:sz="6" w:space="0" w:color="auto"/>
              <w:bottom w:val="single" w:sz="6" w:space="0" w:color="auto"/>
              <w:right w:val="single" w:sz="6" w:space="0" w:color="auto"/>
            </w:tcBorders>
          </w:tcPr>
          <w:p w14:paraId="2AC3F745" w14:textId="77777777" w:rsidR="00CA23D0" w:rsidRPr="00E30642" w:rsidRDefault="00CA23D0" w:rsidP="00CA23D0">
            <w:pPr>
              <w:pStyle w:val="Texttabulky"/>
              <w:spacing w:line="240" w:lineRule="atLeast"/>
              <w:jc w:val="both"/>
              <w:rPr>
                <w:rFonts w:cs="Arial"/>
              </w:rPr>
            </w:pPr>
            <w:r w:rsidRPr="00E30642">
              <w:rPr>
                <w:rFonts w:cs="Arial"/>
              </w:rPr>
              <w:t>-38</w:t>
            </w:r>
          </w:p>
        </w:tc>
        <w:tc>
          <w:tcPr>
            <w:tcW w:w="992" w:type="dxa"/>
            <w:tcBorders>
              <w:top w:val="single" w:sz="6" w:space="0" w:color="auto"/>
              <w:left w:val="single" w:sz="6" w:space="0" w:color="auto"/>
              <w:bottom w:val="single" w:sz="6" w:space="0" w:color="auto"/>
              <w:right w:val="single" w:sz="6" w:space="0" w:color="auto"/>
            </w:tcBorders>
          </w:tcPr>
          <w:p w14:paraId="3AF1DDAB" w14:textId="77777777" w:rsidR="00CA23D0" w:rsidRPr="00E30642" w:rsidRDefault="00CA23D0" w:rsidP="00CA23D0">
            <w:pPr>
              <w:pStyle w:val="Texttabulky"/>
              <w:spacing w:line="240" w:lineRule="atLeast"/>
              <w:jc w:val="both"/>
              <w:rPr>
                <w:rFonts w:cs="Arial"/>
              </w:rPr>
            </w:pPr>
            <w:r w:rsidRPr="00E30642">
              <w:rPr>
                <w:rFonts w:cs="Arial"/>
              </w:rPr>
              <w:t>-8</w:t>
            </w:r>
          </w:p>
        </w:tc>
      </w:tr>
      <w:tr w:rsidR="00CA23D0" w:rsidRPr="00E30642" w14:paraId="79A185B0" w14:textId="77777777" w:rsidTr="00CA23D0">
        <w:tc>
          <w:tcPr>
            <w:tcW w:w="709" w:type="dxa"/>
            <w:tcBorders>
              <w:top w:val="single" w:sz="6" w:space="0" w:color="auto"/>
              <w:left w:val="single" w:sz="6" w:space="0" w:color="auto"/>
              <w:bottom w:val="single" w:sz="6" w:space="0" w:color="auto"/>
              <w:right w:val="single" w:sz="6" w:space="0" w:color="auto"/>
            </w:tcBorders>
          </w:tcPr>
          <w:p w14:paraId="6AC676CD" w14:textId="77777777" w:rsidR="00CA23D0" w:rsidRPr="00E30642" w:rsidRDefault="00CA23D0" w:rsidP="00CA23D0">
            <w:pPr>
              <w:pStyle w:val="Texttabulky"/>
              <w:spacing w:line="240" w:lineRule="atLeast"/>
              <w:jc w:val="both"/>
              <w:rPr>
                <w:rFonts w:cs="Arial"/>
              </w:rPr>
            </w:pPr>
            <w:r w:rsidRPr="00E30642">
              <w:rPr>
                <w:rFonts w:cs="Arial"/>
                <w:b/>
                <w:bCs/>
              </w:rPr>
              <w:t>30</w:t>
            </w:r>
          </w:p>
        </w:tc>
        <w:tc>
          <w:tcPr>
            <w:tcW w:w="2141" w:type="dxa"/>
            <w:tcBorders>
              <w:top w:val="single" w:sz="6" w:space="0" w:color="auto"/>
              <w:left w:val="single" w:sz="6" w:space="0" w:color="auto"/>
              <w:bottom w:val="single" w:sz="6" w:space="0" w:color="auto"/>
              <w:right w:val="single" w:sz="6" w:space="0" w:color="auto"/>
            </w:tcBorders>
          </w:tcPr>
          <w:p w14:paraId="5AC890AE" w14:textId="77777777" w:rsidR="00CA23D0" w:rsidRPr="00E30642" w:rsidRDefault="00CA23D0" w:rsidP="00CA23D0">
            <w:pPr>
              <w:pStyle w:val="Texttabulky"/>
              <w:spacing w:line="240" w:lineRule="atLeast"/>
              <w:jc w:val="both"/>
              <w:rPr>
                <w:rFonts w:cs="Arial"/>
              </w:rPr>
            </w:pPr>
            <w:r w:rsidRPr="00E30642">
              <w:rPr>
                <w:rFonts w:cs="Arial"/>
              </w:rPr>
              <w:t>Dolní Oldřichov</w:t>
            </w:r>
          </w:p>
        </w:tc>
        <w:tc>
          <w:tcPr>
            <w:tcW w:w="1007" w:type="dxa"/>
            <w:tcBorders>
              <w:top w:val="single" w:sz="6" w:space="0" w:color="auto"/>
              <w:left w:val="single" w:sz="6" w:space="0" w:color="auto"/>
              <w:bottom w:val="single" w:sz="6" w:space="0" w:color="auto"/>
              <w:right w:val="single" w:sz="6" w:space="0" w:color="auto"/>
            </w:tcBorders>
          </w:tcPr>
          <w:p w14:paraId="5B6346F0" w14:textId="77777777" w:rsidR="00CA23D0" w:rsidRPr="00E30642" w:rsidRDefault="00CA23D0" w:rsidP="00CA23D0">
            <w:pPr>
              <w:pStyle w:val="Texttabulky"/>
              <w:spacing w:line="240" w:lineRule="atLeast"/>
              <w:jc w:val="both"/>
              <w:rPr>
                <w:rFonts w:cs="Arial"/>
              </w:rPr>
            </w:pPr>
            <w:r w:rsidRPr="00E30642">
              <w:rPr>
                <w:rFonts w:cs="Arial"/>
              </w:rPr>
              <w:t>645</w:t>
            </w:r>
          </w:p>
        </w:tc>
        <w:tc>
          <w:tcPr>
            <w:tcW w:w="1275" w:type="dxa"/>
            <w:tcBorders>
              <w:top w:val="single" w:sz="6" w:space="0" w:color="auto"/>
              <w:left w:val="single" w:sz="6" w:space="0" w:color="auto"/>
              <w:bottom w:val="single" w:sz="6" w:space="0" w:color="auto"/>
              <w:right w:val="single" w:sz="6" w:space="0" w:color="auto"/>
            </w:tcBorders>
          </w:tcPr>
          <w:p w14:paraId="0AA55C54" w14:textId="77777777" w:rsidR="00CA23D0" w:rsidRPr="00E30642" w:rsidRDefault="00CA23D0" w:rsidP="00CA23D0">
            <w:pPr>
              <w:pStyle w:val="Texttabulky"/>
              <w:spacing w:line="240" w:lineRule="atLeast"/>
              <w:jc w:val="both"/>
              <w:rPr>
                <w:rFonts w:cs="Arial"/>
              </w:rPr>
            </w:pPr>
            <w:r w:rsidRPr="00E30642">
              <w:rPr>
                <w:rFonts w:cs="Arial"/>
              </w:rPr>
              <w:t>600</w:t>
            </w:r>
          </w:p>
        </w:tc>
        <w:tc>
          <w:tcPr>
            <w:tcW w:w="1277" w:type="dxa"/>
            <w:tcBorders>
              <w:top w:val="single" w:sz="6" w:space="0" w:color="auto"/>
              <w:left w:val="single" w:sz="6" w:space="0" w:color="auto"/>
              <w:bottom w:val="single" w:sz="6" w:space="0" w:color="auto"/>
              <w:right w:val="single" w:sz="6" w:space="0" w:color="auto"/>
            </w:tcBorders>
          </w:tcPr>
          <w:p w14:paraId="04D3AEA7" w14:textId="77777777" w:rsidR="00CA23D0" w:rsidRPr="00E30642" w:rsidRDefault="00CA23D0" w:rsidP="00CA23D0">
            <w:pPr>
              <w:pStyle w:val="Texttabulky"/>
              <w:spacing w:line="240" w:lineRule="atLeast"/>
              <w:jc w:val="both"/>
              <w:rPr>
                <w:rFonts w:cs="Arial"/>
              </w:rPr>
            </w:pPr>
            <w:r w:rsidRPr="00E30642">
              <w:rPr>
                <w:rFonts w:cs="Arial"/>
              </w:rPr>
              <w:t>600</w:t>
            </w:r>
          </w:p>
        </w:tc>
        <w:tc>
          <w:tcPr>
            <w:tcW w:w="992" w:type="dxa"/>
            <w:tcBorders>
              <w:top w:val="single" w:sz="6" w:space="0" w:color="auto"/>
              <w:left w:val="single" w:sz="6" w:space="0" w:color="auto"/>
              <w:bottom w:val="single" w:sz="6" w:space="0" w:color="auto"/>
              <w:right w:val="single" w:sz="6" w:space="0" w:color="auto"/>
            </w:tcBorders>
          </w:tcPr>
          <w:p w14:paraId="47DFEF9E" w14:textId="77777777" w:rsidR="00CA23D0" w:rsidRPr="00E30642" w:rsidRDefault="00CA23D0" w:rsidP="00CA23D0">
            <w:pPr>
              <w:pStyle w:val="Texttabulky"/>
              <w:spacing w:line="240" w:lineRule="atLeast"/>
              <w:jc w:val="both"/>
              <w:rPr>
                <w:rFonts w:cs="Arial"/>
              </w:rPr>
            </w:pPr>
            <w:r w:rsidRPr="00E30642">
              <w:rPr>
                <w:rFonts w:cs="Arial"/>
              </w:rPr>
              <w:t>-45</w:t>
            </w:r>
          </w:p>
        </w:tc>
        <w:tc>
          <w:tcPr>
            <w:tcW w:w="992" w:type="dxa"/>
            <w:tcBorders>
              <w:top w:val="single" w:sz="6" w:space="0" w:color="auto"/>
              <w:left w:val="single" w:sz="6" w:space="0" w:color="auto"/>
              <w:bottom w:val="single" w:sz="6" w:space="0" w:color="auto"/>
              <w:right w:val="single" w:sz="6" w:space="0" w:color="auto"/>
            </w:tcBorders>
          </w:tcPr>
          <w:p w14:paraId="74F86E04" w14:textId="77777777" w:rsidR="00CA23D0" w:rsidRPr="00E30642" w:rsidRDefault="00CA23D0" w:rsidP="00CA23D0">
            <w:pPr>
              <w:pStyle w:val="Texttabulky"/>
              <w:spacing w:line="240" w:lineRule="atLeast"/>
              <w:jc w:val="both"/>
              <w:rPr>
                <w:rFonts w:cs="Arial"/>
              </w:rPr>
            </w:pPr>
            <w:r w:rsidRPr="00E30642">
              <w:rPr>
                <w:rFonts w:cs="Arial"/>
              </w:rPr>
              <w:t>-45</w:t>
            </w:r>
          </w:p>
        </w:tc>
      </w:tr>
      <w:tr w:rsidR="00CA23D0" w:rsidRPr="00E30642" w14:paraId="7034941E" w14:textId="77777777" w:rsidTr="00CA23D0">
        <w:tc>
          <w:tcPr>
            <w:tcW w:w="709" w:type="dxa"/>
            <w:tcBorders>
              <w:top w:val="single" w:sz="6" w:space="0" w:color="auto"/>
              <w:left w:val="single" w:sz="6" w:space="0" w:color="auto"/>
              <w:bottom w:val="single" w:sz="6" w:space="0" w:color="auto"/>
              <w:right w:val="single" w:sz="6" w:space="0" w:color="auto"/>
            </w:tcBorders>
          </w:tcPr>
          <w:p w14:paraId="4492A30E" w14:textId="77777777" w:rsidR="00CA23D0" w:rsidRPr="00E30642" w:rsidRDefault="00CA23D0" w:rsidP="00CA23D0">
            <w:pPr>
              <w:pStyle w:val="Texttabulky"/>
              <w:spacing w:line="240" w:lineRule="atLeast"/>
              <w:jc w:val="both"/>
              <w:rPr>
                <w:rFonts w:cs="Arial"/>
              </w:rPr>
            </w:pPr>
            <w:r w:rsidRPr="00E30642">
              <w:rPr>
                <w:rFonts w:cs="Arial"/>
                <w:b/>
                <w:bCs/>
              </w:rPr>
              <w:t>42</w:t>
            </w:r>
          </w:p>
        </w:tc>
        <w:tc>
          <w:tcPr>
            <w:tcW w:w="2141" w:type="dxa"/>
            <w:tcBorders>
              <w:top w:val="single" w:sz="6" w:space="0" w:color="auto"/>
              <w:left w:val="single" w:sz="6" w:space="0" w:color="auto"/>
              <w:bottom w:val="single" w:sz="6" w:space="0" w:color="auto"/>
              <w:right w:val="single" w:sz="6" w:space="0" w:color="auto"/>
            </w:tcBorders>
          </w:tcPr>
          <w:p w14:paraId="48861C23" w14:textId="77777777" w:rsidR="00CA23D0" w:rsidRPr="00E30642" w:rsidRDefault="00CA23D0" w:rsidP="00CA23D0">
            <w:pPr>
              <w:pStyle w:val="Texttabulky"/>
              <w:spacing w:line="240" w:lineRule="atLeast"/>
              <w:jc w:val="both"/>
              <w:rPr>
                <w:rFonts w:cs="Arial"/>
              </w:rPr>
            </w:pPr>
            <w:r w:rsidRPr="00E30642">
              <w:rPr>
                <w:rFonts w:cs="Arial"/>
              </w:rPr>
              <w:t>Krásný Studenec</w:t>
            </w:r>
          </w:p>
        </w:tc>
        <w:tc>
          <w:tcPr>
            <w:tcW w:w="1007" w:type="dxa"/>
            <w:tcBorders>
              <w:top w:val="single" w:sz="6" w:space="0" w:color="auto"/>
              <w:left w:val="single" w:sz="6" w:space="0" w:color="auto"/>
              <w:bottom w:val="single" w:sz="6" w:space="0" w:color="auto"/>
              <w:right w:val="single" w:sz="6" w:space="0" w:color="auto"/>
            </w:tcBorders>
          </w:tcPr>
          <w:p w14:paraId="5BF25290" w14:textId="77777777" w:rsidR="00CA23D0" w:rsidRPr="00E30642" w:rsidRDefault="00CA23D0" w:rsidP="00CA23D0">
            <w:pPr>
              <w:pStyle w:val="Texttabulky"/>
              <w:spacing w:line="240" w:lineRule="atLeast"/>
              <w:jc w:val="both"/>
              <w:rPr>
                <w:rFonts w:cs="Arial"/>
              </w:rPr>
            </w:pPr>
            <w:r w:rsidRPr="00E30642">
              <w:rPr>
                <w:rFonts w:cs="Arial"/>
              </w:rPr>
              <w:t>401</w:t>
            </w:r>
          </w:p>
        </w:tc>
        <w:tc>
          <w:tcPr>
            <w:tcW w:w="1275" w:type="dxa"/>
            <w:tcBorders>
              <w:top w:val="single" w:sz="6" w:space="0" w:color="auto"/>
              <w:left w:val="single" w:sz="6" w:space="0" w:color="auto"/>
              <w:bottom w:val="single" w:sz="6" w:space="0" w:color="auto"/>
              <w:right w:val="single" w:sz="6" w:space="0" w:color="auto"/>
            </w:tcBorders>
          </w:tcPr>
          <w:p w14:paraId="7A565512" w14:textId="77777777" w:rsidR="00CA23D0" w:rsidRPr="00E30642" w:rsidRDefault="00CA23D0" w:rsidP="00CA23D0">
            <w:pPr>
              <w:pStyle w:val="Texttabulky"/>
              <w:spacing w:line="240" w:lineRule="atLeast"/>
              <w:jc w:val="both"/>
              <w:rPr>
                <w:rFonts w:cs="Arial"/>
              </w:rPr>
            </w:pPr>
            <w:r w:rsidRPr="00E30642">
              <w:rPr>
                <w:rFonts w:cs="Arial"/>
              </w:rPr>
              <w:t>350</w:t>
            </w:r>
          </w:p>
        </w:tc>
        <w:tc>
          <w:tcPr>
            <w:tcW w:w="1277" w:type="dxa"/>
            <w:tcBorders>
              <w:top w:val="single" w:sz="6" w:space="0" w:color="auto"/>
              <w:left w:val="single" w:sz="6" w:space="0" w:color="auto"/>
              <w:bottom w:val="single" w:sz="6" w:space="0" w:color="auto"/>
              <w:right w:val="single" w:sz="6" w:space="0" w:color="auto"/>
            </w:tcBorders>
          </w:tcPr>
          <w:p w14:paraId="5D0A8FEB" w14:textId="77777777" w:rsidR="00CA23D0" w:rsidRPr="00E30642" w:rsidRDefault="00CA23D0" w:rsidP="00CA23D0">
            <w:pPr>
              <w:pStyle w:val="Texttabulky"/>
              <w:spacing w:line="240" w:lineRule="atLeast"/>
              <w:jc w:val="both"/>
              <w:rPr>
                <w:rFonts w:cs="Arial"/>
              </w:rPr>
            </w:pPr>
            <w:r w:rsidRPr="00E30642">
              <w:rPr>
                <w:rFonts w:cs="Arial"/>
              </w:rPr>
              <w:t>530</w:t>
            </w:r>
          </w:p>
        </w:tc>
        <w:tc>
          <w:tcPr>
            <w:tcW w:w="992" w:type="dxa"/>
            <w:tcBorders>
              <w:top w:val="single" w:sz="6" w:space="0" w:color="auto"/>
              <w:left w:val="single" w:sz="6" w:space="0" w:color="auto"/>
              <w:bottom w:val="single" w:sz="6" w:space="0" w:color="auto"/>
              <w:right w:val="single" w:sz="6" w:space="0" w:color="auto"/>
            </w:tcBorders>
          </w:tcPr>
          <w:p w14:paraId="7940184A" w14:textId="77777777" w:rsidR="00CA23D0" w:rsidRPr="00E30642" w:rsidRDefault="00CA23D0" w:rsidP="00CA23D0">
            <w:pPr>
              <w:pStyle w:val="Texttabulky"/>
              <w:spacing w:line="240" w:lineRule="atLeast"/>
              <w:jc w:val="both"/>
              <w:rPr>
                <w:rFonts w:cs="Arial"/>
              </w:rPr>
            </w:pPr>
            <w:r w:rsidRPr="00E30642">
              <w:rPr>
                <w:rFonts w:cs="Arial"/>
              </w:rPr>
              <w:t>-51</w:t>
            </w:r>
          </w:p>
        </w:tc>
        <w:tc>
          <w:tcPr>
            <w:tcW w:w="992" w:type="dxa"/>
            <w:tcBorders>
              <w:top w:val="single" w:sz="6" w:space="0" w:color="auto"/>
              <w:left w:val="single" w:sz="6" w:space="0" w:color="auto"/>
              <w:bottom w:val="single" w:sz="6" w:space="0" w:color="auto"/>
              <w:right w:val="single" w:sz="6" w:space="0" w:color="auto"/>
            </w:tcBorders>
          </w:tcPr>
          <w:p w14:paraId="2AF0BAA2" w14:textId="77777777" w:rsidR="00CA23D0" w:rsidRPr="00E30642" w:rsidRDefault="00CA23D0" w:rsidP="00CA23D0">
            <w:pPr>
              <w:pStyle w:val="Texttabulky"/>
              <w:spacing w:line="240" w:lineRule="atLeast"/>
              <w:jc w:val="both"/>
              <w:rPr>
                <w:rFonts w:cs="Arial"/>
              </w:rPr>
            </w:pPr>
            <w:r w:rsidRPr="00E30642">
              <w:rPr>
                <w:rFonts w:cs="Arial"/>
              </w:rPr>
              <w:t>129</w:t>
            </w:r>
          </w:p>
        </w:tc>
      </w:tr>
      <w:tr w:rsidR="00CA23D0" w:rsidRPr="00E30642" w14:paraId="2A0B38D6" w14:textId="77777777" w:rsidTr="00CA23D0">
        <w:tc>
          <w:tcPr>
            <w:tcW w:w="709" w:type="dxa"/>
            <w:tcBorders>
              <w:top w:val="single" w:sz="6" w:space="0" w:color="auto"/>
              <w:left w:val="single" w:sz="6" w:space="0" w:color="auto"/>
              <w:bottom w:val="single" w:sz="6" w:space="0" w:color="auto"/>
              <w:right w:val="single" w:sz="6" w:space="0" w:color="auto"/>
            </w:tcBorders>
          </w:tcPr>
          <w:p w14:paraId="2C2336BD" w14:textId="77777777" w:rsidR="00CA23D0" w:rsidRPr="00E30642" w:rsidRDefault="00CA23D0" w:rsidP="00CA23D0">
            <w:pPr>
              <w:pStyle w:val="Texttabulky"/>
              <w:spacing w:line="240" w:lineRule="atLeast"/>
              <w:jc w:val="both"/>
              <w:rPr>
                <w:rFonts w:cs="Arial"/>
              </w:rPr>
            </w:pPr>
            <w:r w:rsidRPr="00E30642">
              <w:rPr>
                <w:rFonts w:cs="Arial"/>
                <w:b/>
                <w:bCs/>
              </w:rPr>
              <w:t>31</w:t>
            </w:r>
          </w:p>
        </w:tc>
        <w:tc>
          <w:tcPr>
            <w:tcW w:w="2141" w:type="dxa"/>
            <w:tcBorders>
              <w:top w:val="single" w:sz="6" w:space="0" w:color="auto"/>
              <w:left w:val="single" w:sz="6" w:space="0" w:color="auto"/>
              <w:bottom w:val="single" w:sz="6" w:space="0" w:color="auto"/>
              <w:right w:val="single" w:sz="6" w:space="0" w:color="auto"/>
            </w:tcBorders>
          </w:tcPr>
          <w:p w14:paraId="5DF7C39B" w14:textId="77777777" w:rsidR="00CA23D0" w:rsidRPr="00E30642" w:rsidRDefault="00CA23D0" w:rsidP="00CA23D0">
            <w:pPr>
              <w:pStyle w:val="Texttabulky"/>
              <w:spacing w:line="240" w:lineRule="atLeast"/>
              <w:jc w:val="both"/>
              <w:rPr>
                <w:rFonts w:cs="Arial"/>
              </w:rPr>
            </w:pPr>
            <w:r w:rsidRPr="00E30642">
              <w:rPr>
                <w:rFonts w:cs="Arial"/>
              </w:rPr>
              <w:t>Horní Oldřichov</w:t>
            </w:r>
          </w:p>
        </w:tc>
        <w:tc>
          <w:tcPr>
            <w:tcW w:w="1007" w:type="dxa"/>
            <w:tcBorders>
              <w:top w:val="single" w:sz="6" w:space="0" w:color="auto"/>
              <w:left w:val="single" w:sz="6" w:space="0" w:color="auto"/>
              <w:bottom w:val="single" w:sz="6" w:space="0" w:color="auto"/>
              <w:right w:val="single" w:sz="6" w:space="0" w:color="auto"/>
            </w:tcBorders>
          </w:tcPr>
          <w:p w14:paraId="0517EE13" w14:textId="77777777" w:rsidR="00CA23D0" w:rsidRPr="00E30642" w:rsidRDefault="00CA23D0" w:rsidP="00CA23D0">
            <w:pPr>
              <w:pStyle w:val="Texttabulky"/>
              <w:spacing w:line="240" w:lineRule="atLeast"/>
              <w:jc w:val="both"/>
              <w:rPr>
                <w:rFonts w:cs="Arial"/>
              </w:rPr>
            </w:pPr>
            <w:r w:rsidRPr="00E30642">
              <w:rPr>
                <w:rFonts w:cs="Arial"/>
              </w:rPr>
              <w:t>360</w:t>
            </w:r>
          </w:p>
        </w:tc>
        <w:tc>
          <w:tcPr>
            <w:tcW w:w="1275" w:type="dxa"/>
            <w:tcBorders>
              <w:top w:val="single" w:sz="6" w:space="0" w:color="auto"/>
              <w:left w:val="single" w:sz="6" w:space="0" w:color="auto"/>
              <w:bottom w:val="single" w:sz="6" w:space="0" w:color="auto"/>
              <w:right w:val="single" w:sz="6" w:space="0" w:color="auto"/>
            </w:tcBorders>
          </w:tcPr>
          <w:p w14:paraId="0214FD70" w14:textId="77777777" w:rsidR="00CA23D0" w:rsidRPr="00E30642" w:rsidRDefault="00CA23D0" w:rsidP="00CA23D0">
            <w:pPr>
              <w:pStyle w:val="Texttabulky"/>
              <w:spacing w:line="240" w:lineRule="atLeast"/>
              <w:jc w:val="both"/>
              <w:rPr>
                <w:rFonts w:cs="Arial"/>
              </w:rPr>
            </w:pPr>
            <w:r w:rsidRPr="00E30642">
              <w:rPr>
                <w:rFonts w:cs="Arial"/>
              </w:rPr>
              <w:t>300</w:t>
            </w:r>
          </w:p>
        </w:tc>
        <w:tc>
          <w:tcPr>
            <w:tcW w:w="1277" w:type="dxa"/>
            <w:tcBorders>
              <w:top w:val="single" w:sz="6" w:space="0" w:color="auto"/>
              <w:left w:val="single" w:sz="6" w:space="0" w:color="auto"/>
              <w:bottom w:val="single" w:sz="6" w:space="0" w:color="auto"/>
              <w:right w:val="single" w:sz="6" w:space="0" w:color="auto"/>
            </w:tcBorders>
          </w:tcPr>
          <w:p w14:paraId="7A4B5D71" w14:textId="77777777" w:rsidR="00CA23D0" w:rsidRPr="00E30642" w:rsidRDefault="00CA23D0" w:rsidP="00CA23D0">
            <w:pPr>
              <w:pStyle w:val="Texttabulky"/>
              <w:spacing w:line="240" w:lineRule="atLeast"/>
              <w:jc w:val="both"/>
              <w:rPr>
                <w:rFonts w:cs="Arial"/>
              </w:rPr>
            </w:pPr>
            <w:r w:rsidRPr="00E30642">
              <w:rPr>
                <w:rFonts w:cs="Arial"/>
              </w:rPr>
              <w:t>315</w:t>
            </w:r>
          </w:p>
        </w:tc>
        <w:tc>
          <w:tcPr>
            <w:tcW w:w="992" w:type="dxa"/>
            <w:tcBorders>
              <w:top w:val="single" w:sz="6" w:space="0" w:color="auto"/>
              <w:left w:val="single" w:sz="6" w:space="0" w:color="auto"/>
              <w:bottom w:val="single" w:sz="6" w:space="0" w:color="auto"/>
              <w:right w:val="single" w:sz="6" w:space="0" w:color="auto"/>
            </w:tcBorders>
          </w:tcPr>
          <w:p w14:paraId="384CBB41" w14:textId="77777777" w:rsidR="00CA23D0" w:rsidRPr="00E30642" w:rsidRDefault="00CA23D0" w:rsidP="00CA23D0">
            <w:pPr>
              <w:pStyle w:val="Texttabulky"/>
              <w:spacing w:line="240" w:lineRule="atLeast"/>
              <w:jc w:val="both"/>
              <w:rPr>
                <w:rFonts w:cs="Arial"/>
              </w:rPr>
            </w:pPr>
            <w:r w:rsidRPr="00E30642">
              <w:rPr>
                <w:rFonts w:cs="Arial"/>
              </w:rPr>
              <w:t>-60</w:t>
            </w:r>
          </w:p>
        </w:tc>
        <w:tc>
          <w:tcPr>
            <w:tcW w:w="992" w:type="dxa"/>
            <w:tcBorders>
              <w:top w:val="single" w:sz="6" w:space="0" w:color="auto"/>
              <w:left w:val="single" w:sz="6" w:space="0" w:color="auto"/>
              <w:bottom w:val="single" w:sz="6" w:space="0" w:color="auto"/>
              <w:right w:val="single" w:sz="6" w:space="0" w:color="auto"/>
            </w:tcBorders>
          </w:tcPr>
          <w:p w14:paraId="72B8791D" w14:textId="77777777" w:rsidR="00CA23D0" w:rsidRPr="00E30642" w:rsidRDefault="00CA23D0" w:rsidP="00CA23D0">
            <w:pPr>
              <w:pStyle w:val="Texttabulky"/>
              <w:spacing w:line="240" w:lineRule="atLeast"/>
              <w:jc w:val="both"/>
              <w:rPr>
                <w:rFonts w:cs="Arial"/>
              </w:rPr>
            </w:pPr>
            <w:r w:rsidRPr="00E30642">
              <w:rPr>
                <w:rFonts w:cs="Arial"/>
              </w:rPr>
              <w:t>-45</w:t>
            </w:r>
          </w:p>
        </w:tc>
      </w:tr>
      <w:tr w:rsidR="00CA23D0" w:rsidRPr="00E30642" w14:paraId="4534C5B2" w14:textId="77777777" w:rsidTr="00CA23D0">
        <w:tc>
          <w:tcPr>
            <w:tcW w:w="709" w:type="dxa"/>
            <w:tcBorders>
              <w:top w:val="single" w:sz="6" w:space="0" w:color="auto"/>
              <w:left w:val="single" w:sz="6" w:space="0" w:color="auto"/>
              <w:bottom w:val="single" w:sz="6" w:space="0" w:color="auto"/>
              <w:right w:val="single" w:sz="6" w:space="0" w:color="auto"/>
            </w:tcBorders>
          </w:tcPr>
          <w:p w14:paraId="0B90216B" w14:textId="77777777" w:rsidR="00CA23D0" w:rsidRPr="00E30642" w:rsidRDefault="00CA23D0" w:rsidP="00CA23D0">
            <w:pPr>
              <w:pStyle w:val="Texttabulky"/>
              <w:spacing w:line="240" w:lineRule="atLeast"/>
              <w:jc w:val="both"/>
              <w:rPr>
                <w:rFonts w:cs="Arial"/>
              </w:rPr>
            </w:pPr>
            <w:r w:rsidRPr="00E30642">
              <w:rPr>
                <w:rFonts w:cs="Arial"/>
                <w:b/>
                <w:bCs/>
              </w:rPr>
              <w:lastRenderedPageBreak/>
              <w:t>18</w:t>
            </w:r>
          </w:p>
        </w:tc>
        <w:tc>
          <w:tcPr>
            <w:tcW w:w="2141" w:type="dxa"/>
            <w:tcBorders>
              <w:top w:val="single" w:sz="6" w:space="0" w:color="auto"/>
              <w:left w:val="single" w:sz="6" w:space="0" w:color="auto"/>
              <w:bottom w:val="single" w:sz="6" w:space="0" w:color="auto"/>
              <w:right w:val="single" w:sz="6" w:space="0" w:color="auto"/>
            </w:tcBorders>
          </w:tcPr>
          <w:p w14:paraId="335EB7C6" w14:textId="77777777" w:rsidR="00CA23D0" w:rsidRPr="00E30642" w:rsidRDefault="00CA23D0" w:rsidP="00CA23D0">
            <w:pPr>
              <w:pStyle w:val="Texttabulky"/>
              <w:spacing w:line="240" w:lineRule="atLeast"/>
              <w:jc w:val="both"/>
              <w:rPr>
                <w:rFonts w:cs="Arial"/>
              </w:rPr>
            </w:pPr>
            <w:r w:rsidRPr="00E30642">
              <w:rPr>
                <w:rFonts w:cs="Arial"/>
              </w:rPr>
              <w:t>Rozbělesy</w:t>
            </w:r>
          </w:p>
        </w:tc>
        <w:tc>
          <w:tcPr>
            <w:tcW w:w="1007" w:type="dxa"/>
            <w:tcBorders>
              <w:top w:val="single" w:sz="6" w:space="0" w:color="auto"/>
              <w:left w:val="single" w:sz="6" w:space="0" w:color="auto"/>
              <w:bottom w:val="single" w:sz="6" w:space="0" w:color="auto"/>
              <w:right w:val="single" w:sz="6" w:space="0" w:color="auto"/>
            </w:tcBorders>
          </w:tcPr>
          <w:p w14:paraId="53BCFFB8" w14:textId="77777777" w:rsidR="00CA23D0" w:rsidRPr="00E30642" w:rsidRDefault="00CA23D0" w:rsidP="00CA23D0">
            <w:pPr>
              <w:pStyle w:val="Texttabulky"/>
              <w:spacing w:line="240" w:lineRule="atLeast"/>
              <w:jc w:val="both"/>
              <w:rPr>
                <w:rFonts w:cs="Arial"/>
              </w:rPr>
            </w:pPr>
            <w:r w:rsidRPr="00E30642">
              <w:rPr>
                <w:rFonts w:cs="Arial"/>
              </w:rPr>
              <w:t>569</w:t>
            </w:r>
          </w:p>
        </w:tc>
        <w:tc>
          <w:tcPr>
            <w:tcW w:w="1275" w:type="dxa"/>
            <w:tcBorders>
              <w:top w:val="single" w:sz="6" w:space="0" w:color="auto"/>
              <w:left w:val="single" w:sz="6" w:space="0" w:color="auto"/>
              <w:bottom w:val="single" w:sz="6" w:space="0" w:color="auto"/>
              <w:right w:val="single" w:sz="6" w:space="0" w:color="auto"/>
            </w:tcBorders>
          </w:tcPr>
          <w:p w14:paraId="14AB190D" w14:textId="77777777" w:rsidR="00CA23D0" w:rsidRPr="00E30642" w:rsidRDefault="00CA23D0" w:rsidP="00CA23D0">
            <w:pPr>
              <w:pStyle w:val="Texttabulky"/>
              <w:spacing w:line="240" w:lineRule="atLeast"/>
              <w:jc w:val="both"/>
              <w:rPr>
                <w:rFonts w:cs="Arial"/>
              </w:rPr>
            </w:pPr>
            <w:r w:rsidRPr="00E30642">
              <w:rPr>
                <w:rFonts w:cs="Arial"/>
              </w:rPr>
              <w:t>500</w:t>
            </w:r>
          </w:p>
        </w:tc>
        <w:tc>
          <w:tcPr>
            <w:tcW w:w="1277" w:type="dxa"/>
            <w:tcBorders>
              <w:top w:val="single" w:sz="6" w:space="0" w:color="auto"/>
              <w:left w:val="single" w:sz="6" w:space="0" w:color="auto"/>
              <w:bottom w:val="single" w:sz="6" w:space="0" w:color="auto"/>
              <w:right w:val="single" w:sz="6" w:space="0" w:color="auto"/>
            </w:tcBorders>
          </w:tcPr>
          <w:p w14:paraId="02ECCE16" w14:textId="77777777" w:rsidR="00CA23D0" w:rsidRPr="00E30642" w:rsidRDefault="00CA23D0" w:rsidP="00CA23D0">
            <w:pPr>
              <w:pStyle w:val="Texttabulky"/>
              <w:spacing w:line="240" w:lineRule="atLeast"/>
              <w:jc w:val="both"/>
              <w:rPr>
                <w:rFonts w:cs="Arial"/>
              </w:rPr>
            </w:pPr>
            <w:r w:rsidRPr="00E30642">
              <w:rPr>
                <w:rFonts w:cs="Arial"/>
              </w:rPr>
              <w:t>500</w:t>
            </w:r>
          </w:p>
        </w:tc>
        <w:tc>
          <w:tcPr>
            <w:tcW w:w="992" w:type="dxa"/>
            <w:tcBorders>
              <w:top w:val="single" w:sz="6" w:space="0" w:color="auto"/>
              <w:left w:val="single" w:sz="6" w:space="0" w:color="auto"/>
              <w:bottom w:val="single" w:sz="6" w:space="0" w:color="auto"/>
              <w:right w:val="single" w:sz="6" w:space="0" w:color="auto"/>
            </w:tcBorders>
          </w:tcPr>
          <w:p w14:paraId="51AAC49C" w14:textId="77777777" w:rsidR="00CA23D0" w:rsidRPr="00E30642" w:rsidRDefault="00CA23D0" w:rsidP="00CA23D0">
            <w:pPr>
              <w:pStyle w:val="Texttabulky"/>
              <w:spacing w:line="240" w:lineRule="atLeast"/>
              <w:jc w:val="both"/>
              <w:rPr>
                <w:rFonts w:cs="Arial"/>
              </w:rPr>
            </w:pPr>
            <w:r w:rsidRPr="00E30642">
              <w:rPr>
                <w:rFonts w:cs="Arial"/>
              </w:rPr>
              <w:t>-69</w:t>
            </w:r>
          </w:p>
        </w:tc>
        <w:tc>
          <w:tcPr>
            <w:tcW w:w="992" w:type="dxa"/>
            <w:tcBorders>
              <w:top w:val="single" w:sz="6" w:space="0" w:color="auto"/>
              <w:left w:val="single" w:sz="6" w:space="0" w:color="auto"/>
              <w:bottom w:val="single" w:sz="6" w:space="0" w:color="auto"/>
              <w:right w:val="single" w:sz="6" w:space="0" w:color="auto"/>
            </w:tcBorders>
          </w:tcPr>
          <w:p w14:paraId="1F456B5E" w14:textId="77777777" w:rsidR="00CA23D0" w:rsidRPr="00E30642" w:rsidRDefault="00CA23D0" w:rsidP="00CA23D0">
            <w:pPr>
              <w:pStyle w:val="Texttabulky"/>
              <w:spacing w:line="240" w:lineRule="atLeast"/>
              <w:jc w:val="both"/>
              <w:rPr>
                <w:rFonts w:cs="Arial"/>
              </w:rPr>
            </w:pPr>
            <w:r w:rsidRPr="00E30642">
              <w:rPr>
                <w:rFonts w:cs="Arial"/>
              </w:rPr>
              <w:t>-69</w:t>
            </w:r>
          </w:p>
        </w:tc>
      </w:tr>
      <w:tr w:rsidR="00CA23D0" w:rsidRPr="00E30642" w14:paraId="4EDC1A9B" w14:textId="77777777" w:rsidTr="00CA23D0">
        <w:tc>
          <w:tcPr>
            <w:tcW w:w="709" w:type="dxa"/>
            <w:tcBorders>
              <w:top w:val="single" w:sz="6" w:space="0" w:color="auto"/>
              <w:left w:val="single" w:sz="6" w:space="0" w:color="auto"/>
              <w:bottom w:val="single" w:sz="6" w:space="0" w:color="auto"/>
              <w:right w:val="single" w:sz="6" w:space="0" w:color="auto"/>
            </w:tcBorders>
          </w:tcPr>
          <w:p w14:paraId="1491219F" w14:textId="77777777" w:rsidR="00CA23D0" w:rsidRPr="00E30642" w:rsidRDefault="00CA23D0" w:rsidP="00CA23D0">
            <w:pPr>
              <w:pStyle w:val="Texttabulky"/>
              <w:spacing w:line="240" w:lineRule="atLeast"/>
              <w:jc w:val="both"/>
              <w:rPr>
                <w:rFonts w:cs="Arial"/>
              </w:rPr>
            </w:pPr>
            <w:r w:rsidRPr="00E30642">
              <w:rPr>
                <w:rFonts w:cs="Arial"/>
                <w:b/>
                <w:bCs/>
              </w:rPr>
              <w:t>6</w:t>
            </w:r>
          </w:p>
        </w:tc>
        <w:tc>
          <w:tcPr>
            <w:tcW w:w="2141" w:type="dxa"/>
            <w:tcBorders>
              <w:top w:val="single" w:sz="6" w:space="0" w:color="auto"/>
              <w:left w:val="single" w:sz="6" w:space="0" w:color="auto"/>
              <w:bottom w:val="single" w:sz="6" w:space="0" w:color="auto"/>
              <w:right w:val="single" w:sz="6" w:space="0" w:color="auto"/>
            </w:tcBorders>
          </w:tcPr>
          <w:p w14:paraId="1EC39014" w14:textId="77777777" w:rsidR="00CA23D0" w:rsidRPr="00E30642" w:rsidRDefault="00CA23D0" w:rsidP="00CA23D0">
            <w:pPr>
              <w:pStyle w:val="Texttabulky"/>
              <w:spacing w:line="240" w:lineRule="atLeast"/>
              <w:jc w:val="both"/>
              <w:rPr>
                <w:rFonts w:cs="Arial"/>
              </w:rPr>
            </w:pPr>
            <w:r w:rsidRPr="00E30642">
              <w:rPr>
                <w:rFonts w:cs="Arial"/>
              </w:rPr>
              <w:t>U nemocnice</w:t>
            </w:r>
          </w:p>
        </w:tc>
        <w:tc>
          <w:tcPr>
            <w:tcW w:w="1007" w:type="dxa"/>
            <w:tcBorders>
              <w:top w:val="single" w:sz="6" w:space="0" w:color="auto"/>
              <w:left w:val="single" w:sz="6" w:space="0" w:color="auto"/>
              <w:bottom w:val="single" w:sz="6" w:space="0" w:color="auto"/>
              <w:right w:val="single" w:sz="6" w:space="0" w:color="auto"/>
            </w:tcBorders>
          </w:tcPr>
          <w:p w14:paraId="4F7B1566" w14:textId="77777777" w:rsidR="00CA23D0" w:rsidRPr="00E30642" w:rsidRDefault="00CA23D0" w:rsidP="00CA23D0">
            <w:pPr>
              <w:pStyle w:val="Texttabulky"/>
              <w:spacing w:line="240" w:lineRule="atLeast"/>
              <w:jc w:val="both"/>
              <w:rPr>
                <w:rFonts w:cs="Arial"/>
              </w:rPr>
            </w:pPr>
            <w:r w:rsidRPr="00E30642">
              <w:rPr>
                <w:rFonts w:cs="Arial"/>
              </w:rPr>
              <w:t>3 106</w:t>
            </w:r>
          </w:p>
        </w:tc>
        <w:tc>
          <w:tcPr>
            <w:tcW w:w="1275" w:type="dxa"/>
            <w:tcBorders>
              <w:top w:val="single" w:sz="6" w:space="0" w:color="auto"/>
              <w:left w:val="single" w:sz="6" w:space="0" w:color="auto"/>
              <w:bottom w:val="single" w:sz="6" w:space="0" w:color="auto"/>
              <w:right w:val="single" w:sz="6" w:space="0" w:color="auto"/>
            </w:tcBorders>
          </w:tcPr>
          <w:p w14:paraId="3FF0C47E" w14:textId="77777777" w:rsidR="00CA23D0" w:rsidRPr="00E30642" w:rsidRDefault="00CA23D0" w:rsidP="00CA23D0">
            <w:pPr>
              <w:pStyle w:val="Texttabulky"/>
              <w:spacing w:line="240" w:lineRule="atLeast"/>
              <w:jc w:val="both"/>
              <w:rPr>
                <w:rFonts w:cs="Arial"/>
              </w:rPr>
            </w:pPr>
            <w:r w:rsidRPr="00E30642">
              <w:rPr>
                <w:rFonts w:cs="Arial"/>
              </w:rPr>
              <w:t>3 000</w:t>
            </w:r>
          </w:p>
        </w:tc>
        <w:tc>
          <w:tcPr>
            <w:tcW w:w="1277" w:type="dxa"/>
            <w:tcBorders>
              <w:top w:val="single" w:sz="6" w:space="0" w:color="auto"/>
              <w:left w:val="single" w:sz="6" w:space="0" w:color="auto"/>
              <w:bottom w:val="single" w:sz="6" w:space="0" w:color="auto"/>
              <w:right w:val="single" w:sz="6" w:space="0" w:color="auto"/>
            </w:tcBorders>
          </w:tcPr>
          <w:p w14:paraId="12AEF8D5" w14:textId="77777777" w:rsidR="00CA23D0" w:rsidRPr="00E30642" w:rsidRDefault="00CA23D0" w:rsidP="00CA23D0">
            <w:pPr>
              <w:pStyle w:val="Texttabulky"/>
              <w:spacing w:line="240" w:lineRule="atLeast"/>
              <w:jc w:val="both"/>
              <w:rPr>
                <w:rFonts w:cs="Arial"/>
              </w:rPr>
            </w:pPr>
            <w:r w:rsidRPr="00E30642">
              <w:rPr>
                <w:rFonts w:cs="Arial"/>
              </w:rPr>
              <w:t>3 000</w:t>
            </w:r>
          </w:p>
        </w:tc>
        <w:tc>
          <w:tcPr>
            <w:tcW w:w="992" w:type="dxa"/>
            <w:tcBorders>
              <w:top w:val="single" w:sz="6" w:space="0" w:color="auto"/>
              <w:left w:val="single" w:sz="6" w:space="0" w:color="auto"/>
              <w:bottom w:val="single" w:sz="6" w:space="0" w:color="auto"/>
              <w:right w:val="single" w:sz="6" w:space="0" w:color="auto"/>
            </w:tcBorders>
          </w:tcPr>
          <w:p w14:paraId="5D8CBBCC" w14:textId="77777777" w:rsidR="00CA23D0" w:rsidRPr="00E30642" w:rsidRDefault="00CA23D0" w:rsidP="00CA23D0">
            <w:pPr>
              <w:pStyle w:val="Texttabulky"/>
              <w:spacing w:line="240" w:lineRule="atLeast"/>
              <w:jc w:val="both"/>
              <w:rPr>
                <w:rFonts w:cs="Arial"/>
              </w:rPr>
            </w:pPr>
            <w:r w:rsidRPr="00E30642">
              <w:rPr>
                <w:rFonts w:cs="Arial"/>
              </w:rPr>
              <w:t>-106</w:t>
            </w:r>
          </w:p>
        </w:tc>
        <w:tc>
          <w:tcPr>
            <w:tcW w:w="992" w:type="dxa"/>
            <w:tcBorders>
              <w:top w:val="single" w:sz="6" w:space="0" w:color="auto"/>
              <w:left w:val="single" w:sz="6" w:space="0" w:color="auto"/>
              <w:bottom w:val="single" w:sz="6" w:space="0" w:color="auto"/>
              <w:right w:val="single" w:sz="6" w:space="0" w:color="auto"/>
            </w:tcBorders>
          </w:tcPr>
          <w:p w14:paraId="7B0D78B1" w14:textId="77777777" w:rsidR="00CA23D0" w:rsidRPr="00E30642" w:rsidRDefault="00CA23D0" w:rsidP="00CA23D0">
            <w:pPr>
              <w:pStyle w:val="Texttabulky"/>
              <w:spacing w:line="240" w:lineRule="atLeast"/>
              <w:jc w:val="both"/>
              <w:rPr>
                <w:rFonts w:cs="Arial"/>
              </w:rPr>
            </w:pPr>
            <w:r w:rsidRPr="00E30642">
              <w:rPr>
                <w:rFonts w:cs="Arial"/>
              </w:rPr>
              <w:t>-106</w:t>
            </w:r>
          </w:p>
        </w:tc>
      </w:tr>
      <w:tr w:rsidR="00CA23D0" w:rsidRPr="00E30642" w14:paraId="630D50CD" w14:textId="77777777" w:rsidTr="00CA23D0">
        <w:tc>
          <w:tcPr>
            <w:tcW w:w="709" w:type="dxa"/>
            <w:tcBorders>
              <w:top w:val="single" w:sz="6" w:space="0" w:color="auto"/>
              <w:left w:val="single" w:sz="6" w:space="0" w:color="auto"/>
              <w:bottom w:val="single" w:sz="6" w:space="0" w:color="auto"/>
              <w:right w:val="single" w:sz="6" w:space="0" w:color="auto"/>
            </w:tcBorders>
          </w:tcPr>
          <w:p w14:paraId="6CF59355" w14:textId="77777777" w:rsidR="00CA23D0" w:rsidRPr="00E30642" w:rsidRDefault="00CA23D0" w:rsidP="00CA23D0">
            <w:pPr>
              <w:pStyle w:val="Texttabulky"/>
              <w:spacing w:line="240" w:lineRule="atLeast"/>
              <w:jc w:val="both"/>
              <w:rPr>
                <w:rFonts w:cs="Arial"/>
              </w:rPr>
            </w:pPr>
            <w:r w:rsidRPr="00E30642">
              <w:rPr>
                <w:rFonts w:cs="Arial"/>
                <w:b/>
                <w:bCs/>
              </w:rPr>
              <w:t>32</w:t>
            </w:r>
          </w:p>
        </w:tc>
        <w:tc>
          <w:tcPr>
            <w:tcW w:w="2141" w:type="dxa"/>
            <w:tcBorders>
              <w:top w:val="single" w:sz="6" w:space="0" w:color="auto"/>
              <w:left w:val="single" w:sz="6" w:space="0" w:color="auto"/>
              <w:bottom w:val="single" w:sz="6" w:space="0" w:color="auto"/>
              <w:right w:val="single" w:sz="6" w:space="0" w:color="auto"/>
            </w:tcBorders>
          </w:tcPr>
          <w:p w14:paraId="24221AB8" w14:textId="77777777" w:rsidR="00CA23D0" w:rsidRPr="00E30642" w:rsidRDefault="00CA23D0" w:rsidP="00CA23D0">
            <w:pPr>
              <w:pStyle w:val="Texttabulky"/>
              <w:spacing w:line="240" w:lineRule="atLeast"/>
              <w:jc w:val="both"/>
              <w:rPr>
                <w:rFonts w:cs="Arial"/>
              </w:rPr>
            </w:pPr>
            <w:r w:rsidRPr="00E30642">
              <w:rPr>
                <w:rFonts w:cs="Arial"/>
              </w:rPr>
              <w:t>Bynov</w:t>
            </w:r>
          </w:p>
        </w:tc>
        <w:tc>
          <w:tcPr>
            <w:tcW w:w="1007" w:type="dxa"/>
            <w:tcBorders>
              <w:top w:val="single" w:sz="6" w:space="0" w:color="auto"/>
              <w:left w:val="single" w:sz="6" w:space="0" w:color="auto"/>
              <w:bottom w:val="single" w:sz="6" w:space="0" w:color="auto"/>
              <w:right w:val="single" w:sz="6" w:space="0" w:color="auto"/>
            </w:tcBorders>
          </w:tcPr>
          <w:p w14:paraId="4B67BB9E" w14:textId="77777777" w:rsidR="00CA23D0" w:rsidRPr="00E30642" w:rsidRDefault="00CA23D0" w:rsidP="00CA23D0">
            <w:pPr>
              <w:pStyle w:val="Texttabulky"/>
              <w:spacing w:line="240" w:lineRule="atLeast"/>
              <w:jc w:val="both"/>
              <w:rPr>
                <w:rFonts w:cs="Arial"/>
              </w:rPr>
            </w:pPr>
            <w:r w:rsidRPr="00E30642">
              <w:rPr>
                <w:rFonts w:cs="Arial"/>
              </w:rPr>
              <w:t>4 897</w:t>
            </w:r>
          </w:p>
        </w:tc>
        <w:tc>
          <w:tcPr>
            <w:tcW w:w="1275" w:type="dxa"/>
            <w:tcBorders>
              <w:top w:val="single" w:sz="6" w:space="0" w:color="auto"/>
              <w:left w:val="single" w:sz="6" w:space="0" w:color="auto"/>
              <w:bottom w:val="single" w:sz="6" w:space="0" w:color="auto"/>
              <w:right w:val="single" w:sz="6" w:space="0" w:color="auto"/>
            </w:tcBorders>
          </w:tcPr>
          <w:p w14:paraId="65956DC5" w14:textId="77777777" w:rsidR="00CA23D0" w:rsidRPr="00E30642" w:rsidRDefault="00CA23D0" w:rsidP="00CA23D0">
            <w:pPr>
              <w:pStyle w:val="Texttabulky"/>
              <w:spacing w:line="240" w:lineRule="atLeast"/>
              <w:jc w:val="both"/>
              <w:rPr>
                <w:rFonts w:cs="Arial"/>
              </w:rPr>
            </w:pPr>
            <w:r w:rsidRPr="00E30642">
              <w:rPr>
                <w:rFonts w:cs="Arial"/>
              </w:rPr>
              <w:t>4 700</w:t>
            </w:r>
          </w:p>
        </w:tc>
        <w:tc>
          <w:tcPr>
            <w:tcW w:w="1277" w:type="dxa"/>
            <w:tcBorders>
              <w:top w:val="single" w:sz="6" w:space="0" w:color="auto"/>
              <w:left w:val="single" w:sz="6" w:space="0" w:color="auto"/>
              <w:bottom w:val="single" w:sz="6" w:space="0" w:color="auto"/>
              <w:right w:val="single" w:sz="6" w:space="0" w:color="auto"/>
            </w:tcBorders>
          </w:tcPr>
          <w:p w14:paraId="30A10272" w14:textId="77777777" w:rsidR="00CA23D0" w:rsidRPr="00E30642" w:rsidRDefault="00CA23D0" w:rsidP="00CA23D0">
            <w:pPr>
              <w:pStyle w:val="Texttabulky"/>
              <w:spacing w:line="240" w:lineRule="atLeast"/>
              <w:jc w:val="both"/>
              <w:rPr>
                <w:rFonts w:cs="Arial"/>
              </w:rPr>
            </w:pPr>
            <w:r w:rsidRPr="00E30642">
              <w:rPr>
                <w:rFonts w:cs="Arial"/>
              </w:rPr>
              <w:t>4 700</w:t>
            </w:r>
          </w:p>
        </w:tc>
        <w:tc>
          <w:tcPr>
            <w:tcW w:w="992" w:type="dxa"/>
            <w:tcBorders>
              <w:top w:val="single" w:sz="6" w:space="0" w:color="auto"/>
              <w:left w:val="single" w:sz="6" w:space="0" w:color="auto"/>
              <w:bottom w:val="single" w:sz="6" w:space="0" w:color="auto"/>
              <w:right w:val="single" w:sz="6" w:space="0" w:color="auto"/>
            </w:tcBorders>
          </w:tcPr>
          <w:p w14:paraId="2BE7AE20" w14:textId="77777777" w:rsidR="00CA23D0" w:rsidRPr="00E30642" w:rsidRDefault="00CA23D0" w:rsidP="00CA23D0">
            <w:pPr>
              <w:pStyle w:val="Texttabulky"/>
              <w:spacing w:line="240" w:lineRule="atLeast"/>
              <w:jc w:val="both"/>
              <w:rPr>
                <w:rFonts w:cs="Arial"/>
              </w:rPr>
            </w:pPr>
            <w:r w:rsidRPr="00E30642">
              <w:rPr>
                <w:rFonts w:cs="Arial"/>
              </w:rPr>
              <w:t>-197</w:t>
            </w:r>
          </w:p>
        </w:tc>
        <w:tc>
          <w:tcPr>
            <w:tcW w:w="992" w:type="dxa"/>
            <w:tcBorders>
              <w:top w:val="single" w:sz="6" w:space="0" w:color="auto"/>
              <w:left w:val="single" w:sz="6" w:space="0" w:color="auto"/>
              <w:bottom w:val="single" w:sz="6" w:space="0" w:color="auto"/>
              <w:right w:val="single" w:sz="6" w:space="0" w:color="auto"/>
            </w:tcBorders>
          </w:tcPr>
          <w:p w14:paraId="720FCBE0" w14:textId="77777777" w:rsidR="00CA23D0" w:rsidRPr="00E30642" w:rsidRDefault="00CA23D0" w:rsidP="00CA23D0">
            <w:pPr>
              <w:pStyle w:val="Texttabulky"/>
              <w:spacing w:line="240" w:lineRule="atLeast"/>
              <w:jc w:val="both"/>
              <w:rPr>
                <w:rFonts w:cs="Arial"/>
              </w:rPr>
            </w:pPr>
            <w:r w:rsidRPr="00E30642">
              <w:rPr>
                <w:rFonts w:cs="Arial"/>
              </w:rPr>
              <w:t>-197</w:t>
            </w:r>
          </w:p>
        </w:tc>
      </w:tr>
      <w:tr w:rsidR="00CA23D0" w:rsidRPr="00E30642" w14:paraId="44115CD1" w14:textId="77777777" w:rsidTr="00CA23D0">
        <w:tc>
          <w:tcPr>
            <w:tcW w:w="709" w:type="dxa"/>
            <w:tcBorders>
              <w:top w:val="single" w:sz="6" w:space="0" w:color="auto"/>
              <w:left w:val="single" w:sz="6" w:space="0" w:color="auto"/>
              <w:bottom w:val="single" w:sz="6" w:space="0" w:color="auto"/>
              <w:right w:val="single" w:sz="6" w:space="0" w:color="auto"/>
            </w:tcBorders>
          </w:tcPr>
          <w:p w14:paraId="10E1AF34" w14:textId="77777777" w:rsidR="00CA23D0" w:rsidRPr="00E30642" w:rsidRDefault="00CA23D0" w:rsidP="00CA23D0">
            <w:pPr>
              <w:pStyle w:val="Texttabulky"/>
              <w:spacing w:line="240" w:lineRule="atLeast"/>
              <w:jc w:val="both"/>
              <w:rPr>
                <w:rFonts w:cs="Arial"/>
              </w:rPr>
            </w:pPr>
            <w:r w:rsidRPr="00E30642">
              <w:rPr>
                <w:rFonts w:cs="Arial"/>
                <w:b/>
                <w:bCs/>
              </w:rPr>
              <w:t>5</w:t>
            </w:r>
          </w:p>
        </w:tc>
        <w:tc>
          <w:tcPr>
            <w:tcW w:w="2141" w:type="dxa"/>
            <w:tcBorders>
              <w:top w:val="single" w:sz="6" w:space="0" w:color="auto"/>
              <w:left w:val="single" w:sz="6" w:space="0" w:color="auto"/>
              <w:bottom w:val="single" w:sz="6" w:space="0" w:color="auto"/>
              <w:right w:val="single" w:sz="6" w:space="0" w:color="auto"/>
            </w:tcBorders>
          </w:tcPr>
          <w:p w14:paraId="3D0B127E" w14:textId="77777777" w:rsidR="00CA23D0" w:rsidRPr="00E30642" w:rsidRDefault="00CA23D0" w:rsidP="00CA23D0">
            <w:pPr>
              <w:pStyle w:val="Texttabulky"/>
              <w:spacing w:line="240" w:lineRule="atLeast"/>
              <w:jc w:val="both"/>
              <w:rPr>
                <w:rFonts w:cs="Arial"/>
              </w:rPr>
            </w:pPr>
            <w:r w:rsidRPr="00E30642">
              <w:rPr>
                <w:rFonts w:cs="Arial"/>
              </w:rPr>
              <w:t>Kamenická</w:t>
            </w:r>
          </w:p>
        </w:tc>
        <w:tc>
          <w:tcPr>
            <w:tcW w:w="1007" w:type="dxa"/>
            <w:tcBorders>
              <w:top w:val="single" w:sz="6" w:space="0" w:color="auto"/>
              <w:left w:val="single" w:sz="6" w:space="0" w:color="auto"/>
              <w:bottom w:val="single" w:sz="6" w:space="0" w:color="auto"/>
              <w:right w:val="single" w:sz="6" w:space="0" w:color="auto"/>
            </w:tcBorders>
          </w:tcPr>
          <w:p w14:paraId="6CD132E1" w14:textId="77777777" w:rsidR="00CA23D0" w:rsidRPr="00E30642" w:rsidRDefault="00CA23D0" w:rsidP="00CA23D0">
            <w:pPr>
              <w:pStyle w:val="Texttabulky"/>
              <w:spacing w:line="240" w:lineRule="atLeast"/>
              <w:jc w:val="both"/>
              <w:rPr>
                <w:rFonts w:cs="Arial"/>
              </w:rPr>
            </w:pPr>
            <w:r w:rsidRPr="00E30642">
              <w:rPr>
                <w:rFonts w:cs="Arial"/>
              </w:rPr>
              <w:t>3 215</w:t>
            </w:r>
          </w:p>
        </w:tc>
        <w:tc>
          <w:tcPr>
            <w:tcW w:w="1275" w:type="dxa"/>
            <w:tcBorders>
              <w:top w:val="single" w:sz="6" w:space="0" w:color="auto"/>
              <w:left w:val="single" w:sz="6" w:space="0" w:color="auto"/>
              <w:bottom w:val="single" w:sz="6" w:space="0" w:color="auto"/>
              <w:right w:val="single" w:sz="6" w:space="0" w:color="auto"/>
            </w:tcBorders>
          </w:tcPr>
          <w:p w14:paraId="3099CA0A" w14:textId="77777777" w:rsidR="00CA23D0" w:rsidRPr="00E30642" w:rsidRDefault="00CA23D0" w:rsidP="00CA23D0">
            <w:pPr>
              <w:pStyle w:val="Texttabulky"/>
              <w:spacing w:line="240" w:lineRule="atLeast"/>
              <w:jc w:val="both"/>
              <w:rPr>
                <w:rFonts w:cs="Arial"/>
              </w:rPr>
            </w:pPr>
            <w:r w:rsidRPr="00E30642">
              <w:rPr>
                <w:rFonts w:cs="Arial"/>
              </w:rPr>
              <w:t>3 000</w:t>
            </w:r>
          </w:p>
        </w:tc>
        <w:tc>
          <w:tcPr>
            <w:tcW w:w="1277" w:type="dxa"/>
            <w:tcBorders>
              <w:top w:val="single" w:sz="6" w:space="0" w:color="auto"/>
              <w:left w:val="single" w:sz="6" w:space="0" w:color="auto"/>
              <w:bottom w:val="single" w:sz="6" w:space="0" w:color="auto"/>
              <w:right w:val="single" w:sz="6" w:space="0" w:color="auto"/>
            </w:tcBorders>
          </w:tcPr>
          <w:p w14:paraId="16E8B57B" w14:textId="77777777" w:rsidR="00CA23D0" w:rsidRPr="00E30642" w:rsidRDefault="00CA23D0" w:rsidP="00CA23D0">
            <w:pPr>
              <w:pStyle w:val="Texttabulky"/>
              <w:spacing w:line="240" w:lineRule="atLeast"/>
              <w:jc w:val="both"/>
              <w:rPr>
                <w:rFonts w:cs="Arial"/>
              </w:rPr>
            </w:pPr>
            <w:r w:rsidRPr="00E30642">
              <w:rPr>
                <w:rFonts w:cs="Arial"/>
              </w:rPr>
              <w:t>3 210</w:t>
            </w:r>
          </w:p>
        </w:tc>
        <w:tc>
          <w:tcPr>
            <w:tcW w:w="992" w:type="dxa"/>
            <w:tcBorders>
              <w:top w:val="single" w:sz="6" w:space="0" w:color="auto"/>
              <w:left w:val="single" w:sz="6" w:space="0" w:color="auto"/>
              <w:bottom w:val="single" w:sz="6" w:space="0" w:color="auto"/>
              <w:right w:val="single" w:sz="6" w:space="0" w:color="auto"/>
            </w:tcBorders>
          </w:tcPr>
          <w:p w14:paraId="7886ECF9" w14:textId="77777777" w:rsidR="00CA23D0" w:rsidRPr="00E30642" w:rsidRDefault="00CA23D0" w:rsidP="00CA23D0">
            <w:pPr>
              <w:pStyle w:val="Texttabulky"/>
              <w:spacing w:line="240" w:lineRule="atLeast"/>
              <w:jc w:val="both"/>
              <w:rPr>
                <w:rFonts w:cs="Arial"/>
              </w:rPr>
            </w:pPr>
            <w:r w:rsidRPr="00E30642">
              <w:rPr>
                <w:rFonts w:cs="Arial"/>
              </w:rPr>
              <w:t>-215</w:t>
            </w:r>
          </w:p>
        </w:tc>
        <w:tc>
          <w:tcPr>
            <w:tcW w:w="992" w:type="dxa"/>
            <w:tcBorders>
              <w:top w:val="single" w:sz="6" w:space="0" w:color="auto"/>
              <w:left w:val="single" w:sz="6" w:space="0" w:color="auto"/>
              <w:bottom w:val="single" w:sz="6" w:space="0" w:color="auto"/>
              <w:right w:val="single" w:sz="6" w:space="0" w:color="auto"/>
            </w:tcBorders>
          </w:tcPr>
          <w:p w14:paraId="6B3DFC9F" w14:textId="77777777" w:rsidR="00CA23D0" w:rsidRPr="00E30642" w:rsidRDefault="00CA23D0" w:rsidP="00CA23D0">
            <w:pPr>
              <w:pStyle w:val="Texttabulky"/>
              <w:spacing w:line="240" w:lineRule="atLeast"/>
              <w:jc w:val="both"/>
              <w:rPr>
                <w:rFonts w:cs="Arial"/>
              </w:rPr>
            </w:pPr>
            <w:r w:rsidRPr="00E30642">
              <w:rPr>
                <w:rFonts w:cs="Arial"/>
              </w:rPr>
              <w:t>-5</w:t>
            </w:r>
          </w:p>
        </w:tc>
      </w:tr>
      <w:tr w:rsidR="00CA23D0" w:rsidRPr="00E30642" w14:paraId="7E42578B" w14:textId="77777777" w:rsidTr="00CA23D0">
        <w:tc>
          <w:tcPr>
            <w:tcW w:w="709" w:type="dxa"/>
            <w:tcBorders>
              <w:top w:val="single" w:sz="6" w:space="0" w:color="auto"/>
              <w:left w:val="single" w:sz="6" w:space="0" w:color="auto"/>
              <w:bottom w:val="single" w:sz="6" w:space="0" w:color="auto"/>
              <w:right w:val="single" w:sz="6" w:space="0" w:color="auto"/>
            </w:tcBorders>
          </w:tcPr>
          <w:p w14:paraId="69229DE8" w14:textId="77777777" w:rsidR="00CA23D0" w:rsidRPr="00E30642" w:rsidRDefault="00CA23D0" w:rsidP="00CA23D0">
            <w:pPr>
              <w:pStyle w:val="Texttabulky"/>
              <w:spacing w:line="240" w:lineRule="atLeast"/>
              <w:jc w:val="both"/>
              <w:rPr>
                <w:rFonts w:cs="Arial"/>
              </w:rPr>
            </w:pPr>
            <w:r w:rsidRPr="00E30642">
              <w:rPr>
                <w:rFonts w:cs="Arial"/>
                <w:b/>
                <w:bCs/>
              </w:rPr>
              <w:t>48</w:t>
            </w:r>
          </w:p>
        </w:tc>
        <w:tc>
          <w:tcPr>
            <w:tcW w:w="2141" w:type="dxa"/>
            <w:tcBorders>
              <w:top w:val="single" w:sz="6" w:space="0" w:color="auto"/>
              <w:left w:val="single" w:sz="6" w:space="0" w:color="auto"/>
              <w:bottom w:val="single" w:sz="6" w:space="0" w:color="auto"/>
              <w:right w:val="single" w:sz="6" w:space="0" w:color="auto"/>
            </w:tcBorders>
          </w:tcPr>
          <w:p w14:paraId="7010C145" w14:textId="77777777" w:rsidR="00CA23D0" w:rsidRPr="00E30642" w:rsidRDefault="00CA23D0" w:rsidP="00CA23D0">
            <w:pPr>
              <w:pStyle w:val="Texttabulky"/>
              <w:spacing w:line="240" w:lineRule="atLeast"/>
              <w:jc w:val="both"/>
              <w:rPr>
                <w:rFonts w:cs="Arial"/>
              </w:rPr>
            </w:pPr>
            <w:r w:rsidRPr="00E30642">
              <w:rPr>
                <w:rFonts w:cs="Arial"/>
              </w:rPr>
              <w:t>Březiny</w:t>
            </w:r>
          </w:p>
        </w:tc>
        <w:tc>
          <w:tcPr>
            <w:tcW w:w="1007" w:type="dxa"/>
            <w:tcBorders>
              <w:top w:val="single" w:sz="6" w:space="0" w:color="auto"/>
              <w:left w:val="single" w:sz="6" w:space="0" w:color="auto"/>
              <w:bottom w:val="single" w:sz="6" w:space="0" w:color="auto"/>
              <w:right w:val="single" w:sz="6" w:space="0" w:color="auto"/>
            </w:tcBorders>
          </w:tcPr>
          <w:p w14:paraId="4DD354CC" w14:textId="77777777" w:rsidR="00CA23D0" w:rsidRPr="00E30642" w:rsidRDefault="00CA23D0" w:rsidP="00CA23D0">
            <w:pPr>
              <w:pStyle w:val="Texttabulky"/>
              <w:spacing w:line="240" w:lineRule="atLeast"/>
              <w:jc w:val="both"/>
              <w:rPr>
                <w:rFonts w:cs="Arial"/>
              </w:rPr>
            </w:pPr>
            <w:r w:rsidRPr="00E30642">
              <w:rPr>
                <w:rFonts w:cs="Arial"/>
              </w:rPr>
              <w:t>2 224</w:t>
            </w:r>
          </w:p>
        </w:tc>
        <w:tc>
          <w:tcPr>
            <w:tcW w:w="1275" w:type="dxa"/>
            <w:tcBorders>
              <w:top w:val="single" w:sz="6" w:space="0" w:color="auto"/>
              <w:left w:val="single" w:sz="6" w:space="0" w:color="auto"/>
              <w:bottom w:val="single" w:sz="6" w:space="0" w:color="auto"/>
              <w:right w:val="single" w:sz="6" w:space="0" w:color="auto"/>
            </w:tcBorders>
          </w:tcPr>
          <w:p w14:paraId="3F690321" w14:textId="77777777" w:rsidR="00CA23D0" w:rsidRPr="00E30642" w:rsidRDefault="00CA23D0" w:rsidP="00CA23D0">
            <w:pPr>
              <w:pStyle w:val="Texttabulky"/>
              <w:spacing w:line="240" w:lineRule="atLeast"/>
              <w:jc w:val="both"/>
              <w:rPr>
                <w:rFonts w:cs="Arial"/>
              </w:rPr>
            </w:pPr>
            <w:r w:rsidRPr="00E30642">
              <w:rPr>
                <w:rFonts w:cs="Arial"/>
              </w:rPr>
              <w:t>2 000</w:t>
            </w:r>
          </w:p>
        </w:tc>
        <w:tc>
          <w:tcPr>
            <w:tcW w:w="1277" w:type="dxa"/>
            <w:tcBorders>
              <w:top w:val="single" w:sz="6" w:space="0" w:color="auto"/>
              <w:left w:val="single" w:sz="6" w:space="0" w:color="auto"/>
              <w:bottom w:val="single" w:sz="6" w:space="0" w:color="auto"/>
              <w:right w:val="single" w:sz="6" w:space="0" w:color="auto"/>
            </w:tcBorders>
          </w:tcPr>
          <w:p w14:paraId="3AA9EDD8" w14:textId="77777777" w:rsidR="00CA23D0" w:rsidRPr="00E30642" w:rsidRDefault="00CA23D0" w:rsidP="00CA23D0">
            <w:pPr>
              <w:pStyle w:val="Texttabulky"/>
              <w:spacing w:line="240" w:lineRule="atLeast"/>
              <w:jc w:val="both"/>
              <w:rPr>
                <w:rFonts w:cs="Arial"/>
              </w:rPr>
            </w:pPr>
            <w:r w:rsidRPr="00E30642">
              <w:rPr>
                <w:rFonts w:cs="Arial"/>
              </w:rPr>
              <w:t>2 235</w:t>
            </w:r>
          </w:p>
        </w:tc>
        <w:tc>
          <w:tcPr>
            <w:tcW w:w="992" w:type="dxa"/>
            <w:tcBorders>
              <w:top w:val="single" w:sz="6" w:space="0" w:color="auto"/>
              <w:left w:val="single" w:sz="6" w:space="0" w:color="auto"/>
              <w:bottom w:val="single" w:sz="6" w:space="0" w:color="auto"/>
              <w:right w:val="single" w:sz="6" w:space="0" w:color="auto"/>
            </w:tcBorders>
          </w:tcPr>
          <w:p w14:paraId="24163DAE" w14:textId="77777777" w:rsidR="00CA23D0" w:rsidRPr="00E30642" w:rsidRDefault="00CA23D0" w:rsidP="00CA23D0">
            <w:pPr>
              <w:pStyle w:val="Texttabulky"/>
              <w:spacing w:line="240" w:lineRule="atLeast"/>
              <w:jc w:val="both"/>
              <w:rPr>
                <w:rFonts w:cs="Arial"/>
              </w:rPr>
            </w:pPr>
            <w:r w:rsidRPr="00E30642">
              <w:rPr>
                <w:rFonts w:cs="Arial"/>
              </w:rPr>
              <w:t>-224</w:t>
            </w:r>
          </w:p>
        </w:tc>
        <w:tc>
          <w:tcPr>
            <w:tcW w:w="992" w:type="dxa"/>
            <w:tcBorders>
              <w:top w:val="single" w:sz="6" w:space="0" w:color="auto"/>
              <w:left w:val="single" w:sz="6" w:space="0" w:color="auto"/>
              <w:bottom w:val="single" w:sz="6" w:space="0" w:color="auto"/>
              <w:right w:val="single" w:sz="6" w:space="0" w:color="auto"/>
            </w:tcBorders>
          </w:tcPr>
          <w:p w14:paraId="0448F742" w14:textId="77777777" w:rsidR="00CA23D0" w:rsidRPr="00E30642" w:rsidRDefault="00CA23D0" w:rsidP="00CA23D0">
            <w:pPr>
              <w:pStyle w:val="Texttabulky"/>
              <w:spacing w:line="240" w:lineRule="atLeast"/>
              <w:jc w:val="both"/>
              <w:rPr>
                <w:rFonts w:cs="Arial"/>
              </w:rPr>
            </w:pPr>
            <w:r w:rsidRPr="00E30642">
              <w:rPr>
                <w:rFonts w:cs="Arial"/>
              </w:rPr>
              <w:t>11</w:t>
            </w:r>
          </w:p>
        </w:tc>
      </w:tr>
    </w:tbl>
    <w:p w14:paraId="52257504" w14:textId="77777777" w:rsidR="00CA23D0" w:rsidRPr="00E30642" w:rsidRDefault="00CA23D0" w:rsidP="00CA23D0">
      <w:pPr>
        <w:autoSpaceDE w:val="0"/>
        <w:autoSpaceDN w:val="0"/>
        <w:adjustRightInd w:val="0"/>
        <w:jc w:val="both"/>
        <w:rPr>
          <w:rFonts w:ascii="Arial" w:hAnsi="Arial" w:cs="Arial"/>
          <w:sz w:val="20"/>
        </w:rPr>
      </w:pPr>
    </w:p>
    <w:p w14:paraId="02070EA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  tohoto přehledu je v podstatě zřejmý základní koncepční záměr stanovený pro rozvoj obytných ploch, kde důraz je kladen na doplnění a navazování na obytné plochy stávající a to hlavně v centrální části. Nejvyšší přírůstky bydlících jsou očekávány v nynějších z  hlediska lidnatosti dominantních prostorech města nebo na územích na tyto prostory bezprostředně navazujících. Úbytek bydlících osob bude pravděpodobný v klasických obytných souborech realizovaných v minulých desetiletích (70. a 80. léta) Zde zasáhnou důsledky stárnutí populace těchto území a snižování tzv. obložnosti bytů.</w:t>
      </w:r>
    </w:p>
    <w:p w14:paraId="63CA856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p>
    <w:p w14:paraId="6B6C5446" w14:textId="77777777" w:rsidR="00CA23D0" w:rsidRPr="00E30642" w:rsidRDefault="00CA23D0" w:rsidP="00CA23D0">
      <w:pPr>
        <w:pStyle w:val="podnadpis2"/>
        <w:spacing w:line="240" w:lineRule="atLeast"/>
        <w:jc w:val="both"/>
        <w:rPr>
          <w:rFonts w:cs="Arial"/>
        </w:rPr>
      </w:pPr>
      <w:r w:rsidRPr="00E30642">
        <w:rPr>
          <w:rFonts w:cs="Arial"/>
        </w:rPr>
        <w:t>Ekonomická aktivita, zaměstnanost</w:t>
      </w:r>
    </w:p>
    <w:p w14:paraId="35E9F77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Poslední podrobné charakteristiky o ekonomické struktuře obyvatel pocházejí z roku 1991, z posledního sčítání obyvatel. Časový odstup a hlavně léta 1991-1999, která jsou obdobím významných ekonomických změn způsobují omezené využití dat ze sčítání pro úvahu o dalším vývoji hlavně její konkrétnější kvantifikace. To je jeden z  důvodů, že je nutné se omezit na verbální popis možného vývoje v této oblasti, který momentálně nelze podpořit příslušným numerickým doprovodem.</w:t>
      </w:r>
    </w:p>
    <w:p w14:paraId="6BC6872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Počet ekonomicky aktivních osob se v návrhovém období bude pohybovat na polovině úhrnu bydlících osob a to i přes skutečnost, že populace města bude v tomto období stárnout, což se projeví zvyšováním podílu osob "důchodového" věku. Počet ekonomicky aktivních se v závěru návrhového období bude pohybovat v rozmezí 26 - 28 tisíc osob.</w:t>
      </w:r>
    </w:p>
    <w:p w14:paraId="3A3D0DC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K  roku 1991 pří sčítání obyvatel bylo možno z  poskytnutých dat vypočítat okamžitý stav počtu pracovních míst, avšak ve vymezení města k 3. 3. 1991 tj. včetně dnešních obcí Kámen, Ludvíkovice a Těchlovice. K  tomuto datu bylo v Děčíně celkem 34,5 tisíce pracovních míst, což je o 4,6 tisíc více než tehdejší počet ekonomicky aktivních, bydlících ve městě. Území okresu Děčín v současnosti je popředí mezi ostatními svojí mírou nezaměstnanosti, která se pohybuje na 13,3%. Chod změn tohoto ukazatele podle obcí je značně proměnlivý a prognózy na tomto stupni podrobnosti by byly značně velkou spekulací. Je však zřejmé, že hodnoty míry nezaměstnanosti budou zcela určitě nižší než průměr za celý okres. Je dále jasné, že počet pracovních míst bude nižší než hodnota zjištěná v roce 1991. Navíc k  obdobným srovnatelným počtům již asi vzhledem ke změněným podmínkám nedojde. </w:t>
      </w:r>
    </w:p>
    <w:p w14:paraId="5347A23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Jako odborný odhad lze přijmout tezi, že počet pracovních míst bude okolo hodnoty v rozmezí 25 - 30 tisíc.</w:t>
      </w:r>
    </w:p>
    <w:p w14:paraId="7E2777B6" w14:textId="77777777" w:rsidR="00CA23D0"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Obdobně jako nyní, bude město Děčín cílem uspokojení ekonomické činnosti pro velkou část okresu, hlavně jeho jižní část, která byla značně postižena úbytkem počtu pracovních míst Proto lze očekávat i nadále značnou intenzitu pohybu za prací mezi Děčínem a jeho zázemím i přesto, že náklady s tím spojené jsou již dnes vysoké.</w:t>
      </w:r>
    </w:p>
    <w:p w14:paraId="4B288FDB" w14:textId="77777777" w:rsidR="00CA23D0" w:rsidRPr="00E30642" w:rsidRDefault="00CA23D0" w:rsidP="00CA23D0">
      <w:pPr>
        <w:pStyle w:val="podnadpis2"/>
        <w:spacing w:line="240" w:lineRule="atLeast"/>
        <w:jc w:val="both"/>
        <w:rPr>
          <w:rFonts w:cs="Arial"/>
        </w:rPr>
      </w:pPr>
      <w:r w:rsidRPr="00E30642">
        <w:rPr>
          <w:rFonts w:cs="Arial"/>
        </w:rPr>
        <w:lastRenderedPageBreak/>
        <w:t>Demografický vývoj podle sektorů města</w:t>
      </w:r>
    </w:p>
    <w:p w14:paraId="6E239F7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Pro potřeby dílčích bilancí bylo území města rozčleněno na 9 sektorů, kde základní skladební jednotkou je urbanistický obvod. Tyto urbanistické obvody jsou podle řady dílčích kritérií zařazeny do sektorů.</w:t>
      </w:r>
    </w:p>
    <w:p w14:paraId="67A8BEEA" w14:textId="77777777" w:rsidR="00CA23D0" w:rsidRPr="00E30642" w:rsidRDefault="00CA23D0" w:rsidP="00CA23D0">
      <w:pPr>
        <w:pStyle w:val="Zkladntext"/>
        <w:spacing w:line="240" w:lineRule="atLeast"/>
        <w:jc w:val="both"/>
        <w:rPr>
          <w:rFonts w:ascii="Arial" w:hAnsi="Arial" w:cs="Arial"/>
        </w:rPr>
      </w:pPr>
    </w:p>
    <w:p w14:paraId="4FB1036E"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Sektor I - Centrum</w:t>
      </w:r>
    </w:p>
    <w:p w14:paraId="54DD666E"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Již z  názvu sektoru je zřejmé, že jde o seskupení urbanistických obvodů města, zahrnující jeho centrum a to na obou březích řeky Labe. Podíl obyvatel tohoto sektoru v roce 1991 tvořil více než pětinu celkového počtu. Tento podíl se v návrhovém období výrazněji nezmění (zvýšení o cca 2%). Za předpokladu plné realizace rozšíření obytného území, které bude v tomto sektoru uskutečněno formou bytů v bytových domech, se počet bydlících zvýší z hlediska absolutních hodnot o necelý jeden tisíc osob. Ve srovnání s trendy v jiných velikostně srovnatelných městech je třeba považovat kladný vývoj počtu obyvatel v jeho centrální části za jev příznivý a také z  mnoha důvodů žádoucí.</w:t>
      </w:r>
    </w:p>
    <w:p w14:paraId="4CAF7123" w14:textId="77777777" w:rsidR="00CA23D0" w:rsidRPr="00E30642" w:rsidRDefault="00CA23D0" w:rsidP="00CA23D0">
      <w:pPr>
        <w:pStyle w:val="Zkladntext"/>
        <w:spacing w:after="0" w:line="48" w:lineRule="auto"/>
        <w:ind w:firstLine="709"/>
        <w:jc w:val="both"/>
        <w:rPr>
          <w:rFonts w:ascii="Arial" w:hAnsi="Arial" w:cs="Arial"/>
          <w:sz w:val="22"/>
          <w:szCs w:val="22"/>
        </w:rPr>
      </w:pPr>
      <w:r w:rsidRPr="00E30642">
        <w:rPr>
          <w:rFonts w:ascii="Arial" w:hAnsi="Arial" w:cs="Arial"/>
          <w:sz w:val="22"/>
          <w:szCs w:val="22"/>
        </w:rPr>
        <w:br w:type="page"/>
      </w:r>
    </w:p>
    <w:tbl>
      <w:tblPr>
        <w:tblW w:w="0" w:type="auto"/>
        <w:tblInd w:w="30" w:type="dxa"/>
        <w:tblLayout w:type="fixed"/>
        <w:tblCellMar>
          <w:left w:w="30" w:type="dxa"/>
          <w:right w:w="30" w:type="dxa"/>
        </w:tblCellMar>
        <w:tblLook w:val="0000" w:firstRow="0" w:lastRow="0" w:firstColumn="0" w:lastColumn="0" w:noHBand="0" w:noVBand="0"/>
      </w:tblPr>
      <w:tblGrid>
        <w:gridCol w:w="474"/>
        <w:gridCol w:w="504"/>
        <w:gridCol w:w="1854"/>
        <w:gridCol w:w="661"/>
        <w:gridCol w:w="612"/>
        <w:gridCol w:w="615"/>
        <w:gridCol w:w="675"/>
        <w:gridCol w:w="855"/>
        <w:gridCol w:w="645"/>
        <w:gridCol w:w="709"/>
        <w:gridCol w:w="880"/>
      </w:tblGrid>
      <w:tr w:rsidR="00CA23D0" w:rsidRPr="00E30642" w14:paraId="02F090E8" w14:textId="77777777" w:rsidTr="00CA23D0">
        <w:tc>
          <w:tcPr>
            <w:tcW w:w="474" w:type="dxa"/>
            <w:vMerge w:val="restart"/>
            <w:tcBorders>
              <w:top w:val="single" w:sz="6" w:space="0" w:color="auto"/>
              <w:left w:val="single" w:sz="6" w:space="0" w:color="auto"/>
              <w:right w:val="single" w:sz="6" w:space="0" w:color="auto"/>
            </w:tcBorders>
          </w:tcPr>
          <w:p w14:paraId="01942A21" w14:textId="77777777" w:rsidR="00CA23D0" w:rsidRPr="00E30642" w:rsidRDefault="00CA23D0" w:rsidP="00CA23D0">
            <w:pPr>
              <w:pStyle w:val="Texttabulky"/>
              <w:jc w:val="both"/>
              <w:rPr>
                <w:rFonts w:cs="Arial"/>
              </w:rPr>
            </w:pPr>
            <w:r w:rsidRPr="00E30642">
              <w:rPr>
                <w:rFonts w:cs="Arial"/>
              </w:rPr>
              <w:lastRenderedPageBreak/>
              <w:br w:type="page"/>
            </w:r>
            <w:r w:rsidRPr="00E30642">
              <w:rPr>
                <w:rFonts w:cs="Arial"/>
                <w:b/>
                <w:bCs/>
              </w:rPr>
              <w:t>pořad.   číslo UO</w:t>
            </w:r>
          </w:p>
        </w:tc>
        <w:tc>
          <w:tcPr>
            <w:tcW w:w="504" w:type="dxa"/>
            <w:vMerge w:val="restart"/>
            <w:tcBorders>
              <w:top w:val="single" w:sz="6" w:space="0" w:color="auto"/>
              <w:left w:val="single" w:sz="6" w:space="0" w:color="auto"/>
              <w:right w:val="single" w:sz="6" w:space="0" w:color="auto"/>
            </w:tcBorders>
          </w:tcPr>
          <w:p w14:paraId="2C20E25F" w14:textId="77777777" w:rsidR="00CA23D0" w:rsidRPr="00E30642" w:rsidRDefault="00CA23D0" w:rsidP="00CA23D0">
            <w:pPr>
              <w:pStyle w:val="Texttabulky"/>
              <w:jc w:val="both"/>
              <w:rPr>
                <w:rFonts w:cs="Arial"/>
              </w:rPr>
            </w:pPr>
            <w:r w:rsidRPr="00E30642">
              <w:rPr>
                <w:rFonts w:cs="Arial"/>
                <w:b/>
                <w:bCs/>
              </w:rPr>
              <w:t>char. UO</w:t>
            </w:r>
          </w:p>
        </w:tc>
        <w:tc>
          <w:tcPr>
            <w:tcW w:w="1854" w:type="dxa"/>
            <w:vMerge w:val="restart"/>
            <w:tcBorders>
              <w:top w:val="single" w:sz="6" w:space="0" w:color="auto"/>
              <w:left w:val="single" w:sz="6" w:space="0" w:color="auto"/>
              <w:right w:val="single" w:sz="6" w:space="0" w:color="auto"/>
            </w:tcBorders>
          </w:tcPr>
          <w:p w14:paraId="04991AB4" w14:textId="77777777" w:rsidR="00CA23D0" w:rsidRPr="00E30642" w:rsidRDefault="00CA23D0" w:rsidP="00CA23D0">
            <w:pPr>
              <w:pStyle w:val="Texttabulky"/>
              <w:jc w:val="both"/>
              <w:rPr>
                <w:rFonts w:cs="Arial"/>
              </w:rPr>
            </w:pPr>
            <w:r w:rsidRPr="00E30642">
              <w:rPr>
                <w:rFonts w:cs="Arial"/>
                <w:b/>
                <w:bCs/>
              </w:rPr>
              <w:t>Název urbanistického obvodu</w:t>
            </w:r>
          </w:p>
        </w:tc>
        <w:tc>
          <w:tcPr>
            <w:tcW w:w="661" w:type="dxa"/>
            <w:vMerge w:val="restart"/>
            <w:tcBorders>
              <w:top w:val="single" w:sz="6" w:space="0" w:color="auto"/>
              <w:left w:val="single" w:sz="6" w:space="0" w:color="auto"/>
              <w:right w:val="single" w:sz="6" w:space="0" w:color="auto"/>
            </w:tcBorders>
          </w:tcPr>
          <w:p w14:paraId="00A20F3F" w14:textId="77777777" w:rsidR="00CA23D0" w:rsidRPr="00E30642" w:rsidRDefault="00CA23D0" w:rsidP="00CA23D0">
            <w:pPr>
              <w:pStyle w:val="Texttabulky"/>
              <w:jc w:val="both"/>
              <w:rPr>
                <w:rFonts w:cs="Arial"/>
              </w:rPr>
            </w:pPr>
            <w:r w:rsidRPr="00E30642">
              <w:rPr>
                <w:rFonts w:cs="Arial"/>
                <w:b/>
                <w:bCs/>
              </w:rPr>
              <w:t>OB91</w:t>
            </w:r>
          </w:p>
        </w:tc>
        <w:tc>
          <w:tcPr>
            <w:tcW w:w="1902" w:type="dxa"/>
            <w:gridSpan w:val="3"/>
            <w:tcBorders>
              <w:top w:val="single" w:sz="6" w:space="0" w:color="auto"/>
              <w:left w:val="single" w:sz="6" w:space="0" w:color="auto"/>
              <w:bottom w:val="single" w:sz="6" w:space="0" w:color="auto"/>
              <w:right w:val="single" w:sz="6" w:space="0" w:color="auto"/>
            </w:tcBorders>
          </w:tcPr>
          <w:p w14:paraId="642FA748"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nové obytné plochy</w:t>
            </w:r>
          </w:p>
        </w:tc>
        <w:tc>
          <w:tcPr>
            <w:tcW w:w="1500" w:type="dxa"/>
            <w:gridSpan w:val="2"/>
            <w:tcBorders>
              <w:top w:val="single" w:sz="6" w:space="0" w:color="auto"/>
              <w:left w:val="single" w:sz="6" w:space="0" w:color="auto"/>
              <w:bottom w:val="single" w:sz="6" w:space="0" w:color="auto"/>
              <w:right w:val="single" w:sz="6" w:space="0" w:color="auto"/>
            </w:tcBorders>
          </w:tcPr>
          <w:p w14:paraId="133170FB"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počet bydlících osob</w:t>
            </w:r>
          </w:p>
        </w:tc>
        <w:tc>
          <w:tcPr>
            <w:tcW w:w="709" w:type="dxa"/>
            <w:vMerge w:val="restart"/>
            <w:tcBorders>
              <w:top w:val="single" w:sz="6" w:space="0" w:color="auto"/>
              <w:left w:val="single" w:sz="6" w:space="0" w:color="auto"/>
              <w:right w:val="single" w:sz="6" w:space="0" w:color="auto"/>
            </w:tcBorders>
          </w:tcPr>
          <w:p w14:paraId="6AC7FF29" w14:textId="77777777" w:rsidR="00CA23D0" w:rsidRPr="00E30642" w:rsidRDefault="00CA23D0" w:rsidP="00CA23D0">
            <w:pPr>
              <w:pStyle w:val="Texttabulky"/>
              <w:jc w:val="both"/>
              <w:rPr>
                <w:rFonts w:cs="Arial"/>
              </w:rPr>
            </w:pPr>
            <w:r w:rsidRPr="00E30642">
              <w:rPr>
                <w:rFonts w:cs="Arial"/>
                <w:b/>
                <w:bCs/>
              </w:rPr>
              <w:t xml:space="preserve">OB přírůstek návrh </w:t>
            </w:r>
          </w:p>
        </w:tc>
        <w:tc>
          <w:tcPr>
            <w:tcW w:w="880" w:type="dxa"/>
            <w:vMerge w:val="restart"/>
            <w:tcBorders>
              <w:top w:val="single" w:sz="6" w:space="0" w:color="auto"/>
              <w:left w:val="single" w:sz="6" w:space="0" w:color="auto"/>
              <w:right w:val="single" w:sz="6" w:space="0" w:color="auto"/>
            </w:tcBorders>
          </w:tcPr>
          <w:p w14:paraId="1594A7A8" w14:textId="77777777" w:rsidR="00CA23D0" w:rsidRPr="00E30642" w:rsidRDefault="00CA23D0" w:rsidP="00CA23D0">
            <w:pPr>
              <w:pStyle w:val="Texttabulky"/>
              <w:jc w:val="both"/>
              <w:rPr>
                <w:rFonts w:cs="Arial"/>
              </w:rPr>
            </w:pPr>
            <w:r w:rsidRPr="00E30642">
              <w:rPr>
                <w:rFonts w:cs="Arial"/>
                <w:b/>
                <w:bCs/>
              </w:rPr>
              <w:t>OB  přírůstek návrh +rez.</w:t>
            </w:r>
          </w:p>
        </w:tc>
      </w:tr>
      <w:tr w:rsidR="00CA23D0" w:rsidRPr="00E30642" w14:paraId="3368A3DB" w14:textId="77777777" w:rsidTr="00CA23D0">
        <w:tc>
          <w:tcPr>
            <w:tcW w:w="474" w:type="dxa"/>
            <w:vMerge/>
            <w:tcBorders>
              <w:left w:val="single" w:sz="6" w:space="0" w:color="auto"/>
              <w:bottom w:val="single" w:sz="6" w:space="0" w:color="auto"/>
              <w:right w:val="single" w:sz="6" w:space="0" w:color="auto"/>
            </w:tcBorders>
          </w:tcPr>
          <w:p w14:paraId="61F3C296" w14:textId="77777777" w:rsidR="00CA23D0" w:rsidRPr="00E30642" w:rsidRDefault="00CA23D0" w:rsidP="00CA23D0">
            <w:pPr>
              <w:pStyle w:val="Texttabulky"/>
              <w:spacing w:line="240" w:lineRule="atLeast"/>
              <w:jc w:val="both"/>
              <w:rPr>
                <w:rFonts w:cs="Arial"/>
                <w:strike/>
              </w:rPr>
            </w:pPr>
          </w:p>
        </w:tc>
        <w:tc>
          <w:tcPr>
            <w:tcW w:w="504" w:type="dxa"/>
            <w:vMerge/>
            <w:tcBorders>
              <w:left w:val="single" w:sz="6" w:space="0" w:color="auto"/>
              <w:bottom w:val="single" w:sz="6" w:space="0" w:color="auto"/>
              <w:right w:val="single" w:sz="6" w:space="0" w:color="auto"/>
            </w:tcBorders>
          </w:tcPr>
          <w:p w14:paraId="5F7CD813" w14:textId="77777777" w:rsidR="00CA23D0" w:rsidRPr="00E30642" w:rsidRDefault="00CA23D0" w:rsidP="00CA23D0">
            <w:pPr>
              <w:pStyle w:val="Zkladntext"/>
              <w:spacing w:line="240" w:lineRule="atLeast"/>
              <w:jc w:val="both"/>
              <w:rPr>
                <w:rFonts w:ascii="Arial" w:hAnsi="Arial" w:cs="Arial"/>
              </w:rPr>
            </w:pPr>
          </w:p>
        </w:tc>
        <w:tc>
          <w:tcPr>
            <w:tcW w:w="1854" w:type="dxa"/>
            <w:vMerge/>
            <w:tcBorders>
              <w:left w:val="single" w:sz="6" w:space="0" w:color="auto"/>
              <w:bottom w:val="single" w:sz="6" w:space="0" w:color="auto"/>
              <w:right w:val="single" w:sz="6" w:space="0" w:color="auto"/>
            </w:tcBorders>
          </w:tcPr>
          <w:p w14:paraId="537A2ABE" w14:textId="77777777" w:rsidR="00CA23D0" w:rsidRPr="00E30642" w:rsidRDefault="00CA23D0" w:rsidP="00CA23D0">
            <w:pPr>
              <w:pStyle w:val="Zkladntext"/>
              <w:spacing w:line="240" w:lineRule="atLeast"/>
              <w:jc w:val="both"/>
              <w:rPr>
                <w:rFonts w:ascii="Arial" w:hAnsi="Arial" w:cs="Arial"/>
              </w:rPr>
            </w:pPr>
          </w:p>
        </w:tc>
        <w:tc>
          <w:tcPr>
            <w:tcW w:w="661" w:type="dxa"/>
            <w:vMerge/>
            <w:tcBorders>
              <w:left w:val="single" w:sz="6" w:space="0" w:color="auto"/>
              <w:bottom w:val="single" w:sz="6" w:space="0" w:color="auto"/>
              <w:right w:val="single" w:sz="6" w:space="0" w:color="auto"/>
            </w:tcBorders>
          </w:tcPr>
          <w:p w14:paraId="10C68CB3" w14:textId="77777777" w:rsidR="00CA23D0" w:rsidRPr="00E30642" w:rsidRDefault="00CA23D0" w:rsidP="00CA23D0">
            <w:pPr>
              <w:pStyle w:val="Zkladntext"/>
              <w:spacing w:line="240" w:lineRule="atLeast"/>
              <w:jc w:val="both"/>
              <w:rPr>
                <w:rFonts w:ascii="Arial" w:hAnsi="Arial" w:cs="Arial"/>
              </w:rPr>
            </w:pPr>
          </w:p>
        </w:tc>
        <w:tc>
          <w:tcPr>
            <w:tcW w:w="612" w:type="dxa"/>
            <w:tcBorders>
              <w:top w:val="single" w:sz="6" w:space="0" w:color="auto"/>
              <w:left w:val="single" w:sz="6" w:space="0" w:color="auto"/>
              <w:bottom w:val="single" w:sz="6" w:space="0" w:color="auto"/>
              <w:right w:val="single" w:sz="6" w:space="0" w:color="auto"/>
            </w:tcBorders>
          </w:tcPr>
          <w:p w14:paraId="2C10620E" w14:textId="77777777" w:rsidR="00CA23D0" w:rsidRPr="00E30642" w:rsidRDefault="00CA23D0" w:rsidP="00CA23D0">
            <w:pPr>
              <w:pStyle w:val="Texttabulky"/>
              <w:spacing w:line="240" w:lineRule="atLeast"/>
              <w:jc w:val="both"/>
              <w:rPr>
                <w:rFonts w:cs="Arial"/>
              </w:rPr>
            </w:pPr>
            <w:r w:rsidRPr="00E30642">
              <w:rPr>
                <w:rFonts w:cs="Arial"/>
                <w:b/>
                <w:bCs/>
              </w:rPr>
              <w:t>OB návrh I</w:t>
            </w:r>
          </w:p>
        </w:tc>
        <w:tc>
          <w:tcPr>
            <w:tcW w:w="615" w:type="dxa"/>
            <w:tcBorders>
              <w:top w:val="single" w:sz="6" w:space="0" w:color="auto"/>
              <w:left w:val="single" w:sz="6" w:space="0" w:color="auto"/>
              <w:bottom w:val="single" w:sz="6" w:space="0" w:color="auto"/>
              <w:right w:val="single" w:sz="6" w:space="0" w:color="auto"/>
            </w:tcBorders>
          </w:tcPr>
          <w:p w14:paraId="0B8E8151" w14:textId="77777777" w:rsidR="00CA23D0" w:rsidRPr="00E30642" w:rsidRDefault="00CA23D0" w:rsidP="00CA23D0">
            <w:pPr>
              <w:pStyle w:val="Texttabulky"/>
              <w:spacing w:line="240" w:lineRule="atLeast"/>
              <w:jc w:val="both"/>
              <w:rPr>
                <w:rFonts w:cs="Arial"/>
              </w:rPr>
            </w:pPr>
            <w:r w:rsidRPr="00E30642">
              <w:rPr>
                <w:rFonts w:cs="Arial"/>
                <w:b/>
                <w:bCs/>
              </w:rPr>
              <w:t>OB návrh II</w:t>
            </w:r>
          </w:p>
        </w:tc>
        <w:tc>
          <w:tcPr>
            <w:tcW w:w="675" w:type="dxa"/>
            <w:tcBorders>
              <w:top w:val="single" w:sz="6" w:space="0" w:color="auto"/>
              <w:left w:val="single" w:sz="6" w:space="0" w:color="auto"/>
              <w:bottom w:val="single" w:sz="6" w:space="0" w:color="auto"/>
              <w:right w:val="single" w:sz="6" w:space="0" w:color="auto"/>
            </w:tcBorders>
          </w:tcPr>
          <w:p w14:paraId="7503A5D0" w14:textId="77777777" w:rsidR="00CA23D0" w:rsidRPr="00E30642" w:rsidRDefault="00CA23D0" w:rsidP="00CA23D0">
            <w:pPr>
              <w:pStyle w:val="Texttabulky"/>
              <w:spacing w:line="240" w:lineRule="atLeast"/>
              <w:jc w:val="both"/>
              <w:rPr>
                <w:rFonts w:cs="Arial"/>
              </w:rPr>
            </w:pPr>
            <w:r w:rsidRPr="00E30642">
              <w:rPr>
                <w:rFonts w:cs="Arial"/>
                <w:b/>
                <w:bCs/>
              </w:rPr>
              <w:t>OB rezerva</w:t>
            </w:r>
          </w:p>
        </w:tc>
        <w:tc>
          <w:tcPr>
            <w:tcW w:w="855" w:type="dxa"/>
            <w:tcBorders>
              <w:top w:val="single" w:sz="6" w:space="0" w:color="auto"/>
              <w:left w:val="single" w:sz="6" w:space="0" w:color="auto"/>
              <w:bottom w:val="single" w:sz="6" w:space="0" w:color="auto"/>
              <w:right w:val="single" w:sz="6" w:space="0" w:color="auto"/>
            </w:tcBorders>
          </w:tcPr>
          <w:p w14:paraId="27FD0EE8" w14:textId="77777777" w:rsidR="00CA23D0" w:rsidRPr="00E30642" w:rsidRDefault="00CA23D0" w:rsidP="00CA23D0">
            <w:pPr>
              <w:pStyle w:val="Texttabulky"/>
              <w:spacing w:line="240" w:lineRule="atLeast"/>
              <w:jc w:val="both"/>
              <w:rPr>
                <w:rFonts w:cs="Arial"/>
              </w:rPr>
            </w:pPr>
            <w:r w:rsidRPr="00E30642">
              <w:rPr>
                <w:rFonts w:cs="Arial"/>
                <w:b/>
                <w:bCs/>
              </w:rPr>
              <w:t>návrh</w:t>
            </w:r>
          </w:p>
        </w:tc>
        <w:tc>
          <w:tcPr>
            <w:tcW w:w="645" w:type="dxa"/>
            <w:tcBorders>
              <w:top w:val="single" w:sz="6" w:space="0" w:color="auto"/>
              <w:left w:val="single" w:sz="6" w:space="0" w:color="auto"/>
              <w:bottom w:val="single" w:sz="6" w:space="0" w:color="auto"/>
              <w:right w:val="single" w:sz="6" w:space="0" w:color="auto"/>
            </w:tcBorders>
          </w:tcPr>
          <w:p w14:paraId="323194F4" w14:textId="77777777" w:rsidR="00CA23D0" w:rsidRPr="00E30642" w:rsidRDefault="00CA23D0" w:rsidP="00CA23D0">
            <w:pPr>
              <w:pStyle w:val="Texttabulky"/>
              <w:spacing w:line="240" w:lineRule="atLeast"/>
              <w:jc w:val="both"/>
              <w:rPr>
                <w:rFonts w:cs="Arial"/>
              </w:rPr>
            </w:pPr>
            <w:r w:rsidRPr="00E30642">
              <w:rPr>
                <w:rFonts w:cs="Arial"/>
                <w:b/>
                <w:bCs/>
              </w:rPr>
              <w:t>návrh + rez.</w:t>
            </w:r>
          </w:p>
        </w:tc>
        <w:tc>
          <w:tcPr>
            <w:tcW w:w="709" w:type="dxa"/>
            <w:vMerge/>
            <w:tcBorders>
              <w:left w:val="single" w:sz="6" w:space="0" w:color="auto"/>
              <w:bottom w:val="single" w:sz="6" w:space="0" w:color="auto"/>
              <w:right w:val="single" w:sz="6" w:space="0" w:color="auto"/>
            </w:tcBorders>
          </w:tcPr>
          <w:p w14:paraId="332C10BC" w14:textId="77777777" w:rsidR="00CA23D0" w:rsidRPr="00E30642" w:rsidRDefault="00CA23D0" w:rsidP="00CA23D0">
            <w:pPr>
              <w:pStyle w:val="Zkladntext"/>
              <w:spacing w:line="240" w:lineRule="atLeast"/>
              <w:jc w:val="both"/>
              <w:rPr>
                <w:rFonts w:ascii="Arial" w:hAnsi="Arial" w:cs="Arial"/>
              </w:rPr>
            </w:pPr>
          </w:p>
        </w:tc>
        <w:tc>
          <w:tcPr>
            <w:tcW w:w="880" w:type="dxa"/>
            <w:vMerge/>
            <w:tcBorders>
              <w:left w:val="single" w:sz="6" w:space="0" w:color="auto"/>
              <w:bottom w:val="nil"/>
              <w:right w:val="single" w:sz="6" w:space="0" w:color="auto"/>
            </w:tcBorders>
          </w:tcPr>
          <w:p w14:paraId="3C8AC9B3" w14:textId="77777777" w:rsidR="00CA23D0" w:rsidRPr="00E30642" w:rsidRDefault="00CA23D0" w:rsidP="00CA23D0">
            <w:pPr>
              <w:pStyle w:val="Zkladntext"/>
              <w:spacing w:line="240" w:lineRule="atLeast"/>
              <w:jc w:val="both"/>
              <w:rPr>
                <w:rFonts w:ascii="Arial" w:hAnsi="Arial" w:cs="Arial"/>
              </w:rPr>
            </w:pPr>
          </w:p>
        </w:tc>
      </w:tr>
      <w:tr w:rsidR="00CA23D0" w:rsidRPr="00E30642" w14:paraId="0E1581C9" w14:textId="77777777" w:rsidTr="00CA23D0">
        <w:tc>
          <w:tcPr>
            <w:tcW w:w="474" w:type="dxa"/>
            <w:tcBorders>
              <w:top w:val="single" w:sz="6" w:space="0" w:color="auto"/>
              <w:left w:val="single" w:sz="6" w:space="0" w:color="auto"/>
              <w:bottom w:val="single" w:sz="6" w:space="0" w:color="auto"/>
              <w:right w:val="single" w:sz="6" w:space="0" w:color="auto"/>
            </w:tcBorders>
          </w:tcPr>
          <w:p w14:paraId="5062DB81" w14:textId="77777777" w:rsidR="00CA23D0" w:rsidRPr="00E30642" w:rsidRDefault="00CA23D0" w:rsidP="00CA23D0">
            <w:pPr>
              <w:pStyle w:val="Texttabulky"/>
              <w:spacing w:line="240" w:lineRule="atLeast"/>
              <w:jc w:val="both"/>
              <w:rPr>
                <w:rFonts w:cs="Arial"/>
              </w:rPr>
            </w:pPr>
            <w:r w:rsidRPr="00E30642">
              <w:rPr>
                <w:rFonts w:cs="Arial"/>
              </w:rPr>
              <w:t>1</w:t>
            </w:r>
          </w:p>
        </w:tc>
        <w:tc>
          <w:tcPr>
            <w:tcW w:w="504" w:type="dxa"/>
            <w:tcBorders>
              <w:top w:val="single" w:sz="6" w:space="0" w:color="auto"/>
              <w:left w:val="single" w:sz="6" w:space="0" w:color="auto"/>
              <w:bottom w:val="single" w:sz="6" w:space="0" w:color="auto"/>
              <w:right w:val="single" w:sz="6" w:space="0" w:color="auto"/>
            </w:tcBorders>
          </w:tcPr>
          <w:p w14:paraId="7B8BC09F" w14:textId="77777777" w:rsidR="00CA23D0" w:rsidRPr="00E30642" w:rsidRDefault="00CA23D0" w:rsidP="00CA23D0">
            <w:pPr>
              <w:pStyle w:val="Texttabulky"/>
              <w:spacing w:line="240" w:lineRule="atLeast"/>
              <w:jc w:val="both"/>
              <w:rPr>
                <w:rFonts w:cs="Arial"/>
              </w:rPr>
            </w:pPr>
            <w:r w:rsidRPr="00E30642">
              <w:rPr>
                <w:rFonts w:cs="Arial"/>
              </w:rPr>
              <w:t>O</w:t>
            </w:r>
          </w:p>
        </w:tc>
        <w:tc>
          <w:tcPr>
            <w:tcW w:w="1854" w:type="dxa"/>
            <w:tcBorders>
              <w:top w:val="single" w:sz="6" w:space="0" w:color="auto"/>
              <w:left w:val="single" w:sz="6" w:space="0" w:color="auto"/>
              <w:bottom w:val="single" w:sz="6" w:space="0" w:color="auto"/>
              <w:right w:val="single" w:sz="6" w:space="0" w:color="auto"/>
            </w:tcBorders>
          </w:tcPr>
          <w:p w14:paraId="3B698F05" w14:textId="77777777" w:rsidR="00CA23D0" w:rsidRPr="00E30642" w:rsidRDefault="00CA23D0" w:rsidP="00CA23D0">
            <w:pPr>
              <w:pStyle w:val="Texttabulky"/>
              <w:spacing w:line="240" w:lineRule="atLeast"/>
              <w:jc w:val="both"/>
              <w:rPr>
                <w:rFonts w:cs="Arial"/>
              </w:rPr>
            </w:pPr>
            <w:r w:rsidRPr="00E30642">
              <w:rPr>
                <w:rFonts w:cs="Arial"/>
              </w:rPr>
              <w:t>Děčín-střed</w:t>
            </w:r>
          </w:p>
        </w:tc>
        <w:tc>
          <w:tcPr>
            <w:tcW w:w="661" w:type="dxa"/>
            <w:tcBorders>
              <w:top w:val="single" w:sz="6" w:space="0" w:color="auto"/>
              <w:left w:val="single" w:sz="6" w:space="0" w:color="auto"/>
              <w:bottom w:val="single" w:sz="6" w:space="0" w:color="auto"/>
              <w:right w:val="single" w:sz="6" w:space="0" w:color="auto"/>
            </w:tcBorders>
          </w:tcPr>
          <w:p w14:paraId="5BA08503" w14:textId="77777777" w:rsidR="00CA23D0" w:rsidRPr="00E30642" w:rsidRDefault="00CA23D0" w:rsidP="00CA23D0">
            <w:pPr>
              <w:pStyle w:val="Texttabulky"/>
              <w:spacing w:line="240" w:lineRule="atLeast"/>
              <w:jc w:val="both"/>
              <w:rPr>
                <w:rFonts w:cs="Arial"/>
              </w:rPr>
            </w:pPr>
            <w:r w:rsidRPr="00E30642">
              <w:rPr>
                <w:rFonts w:cs="Arial"/>
              </w:rPr>
              <w:t>5 443</w:t>
            </w:r>
          </w:p>
        </w:tc>
        <w:tc>
          <w:tcPr>
            <w:tcW w:w="612" w:type="dxa"/>
            <w:tcBorders>
              <w:top w:val="single" w:sz="6" w:space="0" w:color="auto"/>
              <w:left w:val="single" w:sz="6" w:space="0" w:color="auto"/>
              <w:bottom w:val="single" w:sz="6" w:space="0" w:color="auto"/>
              <w:right w:val="single" w:sz="6" w:space="0" w:color="auto"/>
            </w:tcBorders>
          </w:tcPr>
          <w:p w14:paraId="381BA7E5" w14:textId="77777777" w:rsidR="00CA23D0" w:rsidRPr="00E30642" w:rsidRDefault="00CA23D0" w:rsidP="00CA23D0">
            <w:pPr>
              <w:pStyle w:val="Texttabulky"/>
              <w:spacing w:line="240" w:lineRule="atLeast"/>
              <w:jc w:val="both"/>
              <w:rPr>
                <w:rFonts w:cs="Arial"/>
              </w:rPr>
            </w:pPr>
            <w:r w:rsidRPr="00E30642">
              <w:rPr>
                <w:rFonts w:cs="Arial"/>
              </w:rPr>
              <w:t>260</w:t>
            </w:r>
          </w:p>
        </w:tc>
        <w:tc>
          <w:tcPr>
            <w:tcW w:w="615" w:type="dxa"/>
            <w:tcBorders>
              <w:top w:val="single" w:sz="6" w:space="0" w:color="auto"/>
              <w:left w:val="single" w:sz="6" w:space="0" w:color="auto"/>
              <w:bottom w:val="single" w:sz="6" w:space="0" w:color="auto"/>
              <w:right w:val="single" w:sz="6" w:space="0" w:color="auto"/>
            </w:tcBorders>
          </w:tcPr>
          <w:p w14:paraId="1804D3EF" w14:textId="77777777" w:rsidR="00CA23D0" w:rsidRPr="00E30642" w:rsidRDefault="00CA23D0" w:rsidP="00CA23D0">
            <w:pPr>
              <w:pStyle w:val="Texttabulky"/>
              <w:spacing w:line="240" w:lineRule="atLeast"/>
              <w:jc w:val="both"/>
              <w:rPr>
                <w:rFonts w:cs="Arial"/>
              </w:rPr>
            </w:pPr>
            <w:r w:rsidRPr="00E30642">
              <w:rPr>
                <w:rFonts w:cs="Arial"/>
              </w:rPr>
              <w:t>135</w:t>
            </w:r>
          </w:p>
        </w:tc>
        <w:tc>
          <w:tcPr>
            <w:tcW w:w="675" w:type="dxa"/>
            <w:tcBorders>
              <w:top w:val="single" w:sz="6" w:space="0" w:color="auto"/>
              <w:left w:val="single" w:sz="6" w:space="0" w:color="auto"/>
              <w:bottom w:val="single" w:sz="6" w:space="0" w:color="auto"/>
              <w:right w:val="single" w:sz="6" w:space="0" w:color="auto"/>
            </w:tcBorders>
          </w:tcPr>
          <w:p w14:paraId="0C434634" w14:textId="77777777" w:rsidR="00CA23D0" w:rsidRPr="00E30642" w:rsidRDefault="00CA23D0" w:rsidP="00CA23D0">
            <w:pPr>
              <w:pStyle w:val="Texttabulky"/>
              <w:spacing w:line="240" w:lineRule="atLeast"/>
              <w:jc w:val="both"/>
              <w:rPr>
                <w:rFonts w:cs="Arial"/>
              </w:rPr>
            </w:pPr>
            <w:r w:rsidRPr="00E30642">
              <w:rPr>
                <w:rFonts w:cs="Arial"/>
              </w:rPr>
              <w:t>120</w:t>
            </w:r>
          </w:p>
        </w:tc>
        <w:tc>
          <w:tcPr>
            <w:tcW w:w="855" w:type="dxa"/>
            <w:tcBorders>
              <w:top w:val="single" w:sz="6" w:space="0" w:color="auto"/>
              <w:left w:val="single" w:sz="6" w:space="0" w:color="auto"/>
              <w:bottom w:val="single" w:sz="6" w:space="0" w:color="auto"/>
              <w:right w:val="single" w:sz="6" w:space="0" w:color="auto"/>
            </w:tcBorders>
          </w:tcPr>
          <w:p w14:paraId="0BE8EC38" w14:textId="77777777" w:rsidR="00CA23D0" w:rsidRPr="00E30642" w:rsidRDefault="00CA23D0" w:rsidP="00CA23D0">
            <w:pPr>
              <w:pStyle w:val="Texttabulky"/>
              <w:spacing w:line="240" w:lineRule="atLeast"/>
              <w:jc w:val="both"/>
              <w:rPr>
                <w:rFonts w:cs="Arial"/>
              </w:rPr>
            </w:pPr>
            <w:r w:rsidRPr="00E30642">
              <w:rPr>
                <w:rFonts w:cs="Arial"/>
              </w:rPr>
              <w:t>5 695</w:t>
            </w:r>
          </w:p>
        </w:tc>
        <w:tc>
          <w:tcPr>
            <w:tcW w:w="645" w:type="dxa"/>
            <w:tcBorders>
              <w:top w:val="single" w:sz="6" w:space="0" w:color="auto"/>
              <w:left w:val="single" w:sz="6" w:space="0" w:color="auto"/>
              <w:bottom w:val="single" w:sz="6" w:space="0" w:color="auto"/>
              <w:right w:val="single" w:sz="6" w:space="0" w:color="auto"/>
            </w:tcBorders>
          </w:tcPr>
          <w:p w14:paraId="01BAE415" w14:textId="77777777" w:rsidR="00CA23D0" w:rsidRPr="00E30642" w:rsidRDefault="00CA23D0" w:rsidP="00CA23D0">
            <w:pPr>
              <w:pStyle w:val="Texttabulky"/>
              <w:spacing w:line="240" w:lineRule="atLeast"/>
              <w:jc w:val="both"/>
              <w:rPr>
                <w:rFonts w:cs="Arial"/>
              </w:rPr>
            </w:pPr>
            <w:r w:rsidRPr="00E30642">
              <w:rPr>
                <w:rFonts w:cs="Arial"/>
              </w:rPr>
              <w:t>5 815</w:t>
            </w:r>
          </w:p>
        </w:tc>
        <w:tc>
          <w:tcPr>
            <w:tcW w:w="709" w:type="dxa"/>
            <w:tcBorders>
              <w:top w:val="single" w:sz="6" w:space="0" w:color="auto"/>
              <w:left w:val="single" w:sz="6" w:space="0" w:color="auto"/>
              <w:bottom w:val="single" w:sz="6" w:space="0" w:color="auto"/>
              <w:right w:val="single" w:sz="6" w:space="0" w:color="auto"/>
            </w:tcBorders>
          </w:tcPr>
          <w:p w14:paraId="79CCB4E5" w14:textId="77777777" w:rsidR="00CA23D0" w:rsidRPr="00E30642" w:rsidRDefault="00CA23D0" w:rsidP="00CA23D0">
            <w:pPr>
              <w:pStyle w:val="Texttabulky"/>
              <w:spacing w:line="240" w:lineRule="atLeast"/>
              <w:jc w:val="both"/>
              <w:rPr>
                <w:rFonts w:cs="Arial"/>
              </w:rPr>
            </w:pPr>
            <w:r w:rsidRPr="00E30642">
              <w:rPr>
                <w:rFonts w:cs="Arial"/>
              </w:rPr>
              <w:t>252</w:t>
            </w:r>
          </w:p>
        </w:tc>
        <w:tc>
          <w:tcPr>
            <w:tcW w:w="880" w:type="dxa"/>
            <w:tcBorders>
              <w:top w:val="single" w:sz="6" w:space="0" w:color="auto"/>
              <w:left w:val="single" w:sz="6" w:space="0" w:color="auto"/>
              <w:bottom w:val="single" w:sz="6" w:space="0" w:color="auto"/>
              <w:right w:val="single" w:sz="6" w:space="0" w:color="auto"/>
            </w:tcBorders>
          </w:tcPr>
          <w:p w14:paraId="3D44A909" w14:textId="77777777" w:rsidR="00CA23D0" w:rsidRPr="00E30642" w:rsidRDefault="00CA23D0" w:rsidP="00CA23D0">
            <w:pPr>
              <w:pStyle w:val="Texttabulky"/>
              <w:spacing w:line="240" w:lineRule="atLeast"/>
              <w:jc w:val="both"/>
              <w:rPr>
                <w:rFonts w:cs="Arial"/>
              </w:rPr>
            </w:pPr>
            <w:r w:rsidRPr="00E30642">
              <w:rPr>
                <w:rFonts w:cs="Arial"/>
              </w:rPr>
              <w:t>372</w:t>
            </w:r>
          </w:p>
        </w:tc>
      </w:tr>
      <w:tr w:rsidR="00CA23D0" w:rsidRPr="00E30642" w14:paraId="3978B06B" w14:textId="77777777" w:rsidTr="00CA23D0">
        <w:tc>
          <w:tcPr>
            <w:tcW w:w="474" w:type="dxa"/>
            <w:tcBorders>
              <w:top w:val="single" w:sz="6" w:space="0" w:color="auto"/>
              <w:left w:val="single" w:sz="6" w:space="0" w:color="auto"/>
              <w:bottom w:val="single" w:sz="6" w:space="0" w:color="auto"/>
              <w:right w:val="single" w:sz="6" w:space="0" w:color="auto"/>
            </w:tcBorders>
          </w:tcPr>
          <w:p w14:paraId="6A20A261" w14:textId="77777777" w:rsidR="00CA23D0" w:rsidRPr="00E30642" w:rsidRDefault="00CA23D0" w:rsidP="00CA23D0">
            <w:pPr>
              <w:pStyle w:val="Texttabulky"/>
              <w:spacing w:line="240" w:lineRule="atLeast"/>
              <w:jc w:val="both"/>
              <w:rPr>
                <w:rFonts w:cs="Arial"/>
              </w:rPr>
            </w:pPr>
            <w:r w:rsidRPr="00E30642">
              <w:rPr>
                <w:rFonts w:cs="Arial"/>
              </w:rPr>
              <w:t>10</w:t>
            </w:r>
          </w:p>
        </w:tc>
        <w:tc>
          <w:tcPr>
            <w:tcW w:w="504" w:type="dxa"/>
            <w:tcBorders>
              <w:top w:val="single" w:sz="6" w:space="0" w:color="auto"/>
              <w:left w:val="single" w:sz="6" w:space="0" w:color="auto"/>
              <w:bottom w:val="single" w:sz="6" w:space="0" w:color="auto"/>
              <w:right w:val="single" w:sz="6" w:space="0" w:color="auto"/>
            </w:tcBorders>
          </w:tcPr>
          <w:p w14:paraId="01026372" w14:textId="77777777" w:rsidR="00CA23D0" w:rsidRPr="00E30642" w:rsidRDefault="00CA23D0" w:rsidP="00CA23D0">
            <w:pPr>
              <w:pStyle w:val="Texttabulky"/>
              <w:spacing w:line="240" w:lineRule="atLeast"/>
              <w:jc w:val="both"/>
              <w:rPr>
                <w:rFonts w:cs="Arial"/>
              </w:rPr>
            </w:pPr>
            <w:r w:rsidRPr="00E30642">
              <w:rPr>
                <w:rFonts w:cs="Arial"/>
              </w:rPr>
              <w:t>V</w:t>
            </w:r>
          </w:p>
        </w:tc>
        <w:tc>
          <w:tcPr>
            <w:tcW w:w="1854" w:type="dxa"/>
            <w:tcBorders>
              <w:top w:val="single" w:sz="6" w:space="0" w:color="auto"/>
              <w:left w:val="single" w:sz="6" w:space="0" w:color="auto"/>
              <w:bottom w:val="single" w:sz="6" w:space="0" w:color="auto"/>
              <w:right w:val="single" w:sz="6" w:space="0" w:color="auto"/>
            </w:tcBorders>
          </w:tcPr>
          <w:p w14:paraId="53ADB7B9" w14:textId="77777777" w:rsidR="00CA23D0" w:rsidRPr="00E30642" w:rsidRDefault="00CA23D0" w:rsidP="00CA23D0">
            <w:pPr>
              <w:pStyle w:val="Texttabulky"/>
              <w:spacing w:line="240" w:lineRule="atLeast"/>
              <w:jc w:val="both"/>
              <w:rPr>
                <w:rFonts w:cs="Arial"/>
              </w:rPr>
            </w:pPr>
            <w:r w:rsidRPr="00E30642">
              <w:rPr>
                <w:rFonts w:cs="Arial"/>
              </w:rPr>
              <w:t>Zámek</w:t>
            </w:r>
          </w:p>
        </w:tc>
        <w:tc>
          <w:tcPr>
            <w:tcW w:w="661" w:type="dxa"/>
            <w:tcBorders>
              <w:top w:val="single" w:sz="6" w:space="0" w:color="auto"/>
              <w:left w:val="single" w:sz="6" w:space="0" w:color="auto"/>
              <w:bottom w:val="single" w:sz="6" w:space="0" w:color="auto"/>
              <w:right w:val="single" w:sz="6" w:space="0" w:color="auto"/>
            </w:tcBorders>
          </w:tcPr>
          <w:p w14:paraId="4A6E0D99" w14:textId="77777777" w:rsidR="00CA23D0" w:rsidRPr="00E30642" w:rsidRDefault="00CA23D0" w:rsidP="00CA23D0">
            <w:pPr>
              <w:pStyle w:val="Texttabulky"/>
              <w:spacing w:line="240" w:lineRule="atLeast"/>
              <w:jc w:val="both"/>
              <w:rPr>
                <w:rFonts w:cs="Arial"/>
              </w:rPr>
            </w:pPr>
            <w:r w:rsidRPr="00E30642">
              <w:rPr>
                <w:rFonts w:cs="Arial"/>
              </w:rPr>
              <w:t>0</w:t>
            </w:r>
          </w:p>
        </w:tc>
        <w:tc>
          <w:tcPr>
            <w:tcW w:w="612" w:type="dxa"/>
            <w:tcBorders>
              <w:top w:val="single" w:sz="6" w:space="0" w:color="auto"/>
              <w:left w:val="single" w:sz="6" w:space="0" w:color="auto"/>
              <w:bottom w:val="single" w:sz="6" w:space="0" w:color="auto"/>
              <w:right w:val="single" w:sz="6" w:space="0" w:color="auto"/>
            </w:tcBorders>
          </w:tcPr>
          <w:p w14:paraId="7B0C8045" w14:textId="77777777" w:rsidR="00CA23D0" w:rsidRPr="00E30642" w:rsidRDefault="00CA23D0" w:rsidP="00CA23D0">
            <w:pPr>
              <w:pStyle w:val="Zkladntext"/>
              <w:jc w:val="both"/>
              <w:rPr>
                <w:rFonts w:ascii="Arial" w:hAnsi="Arial" w:cs="Arial"/>
              </w:rPr>
            </w:pPr>
          </w:p>
        </w:tc>
        <w:tc>
          <w:tcPr>
            <w:tcW w:w="615" w:type="dxa"/>
            <w:tcBorders>
              <w:top w:val="single" w:sz="6" w:space="0" w:color="auto"/>
              <w:left w:val="single" w:sz="6" w:space="0" w:color="auto"/>
              <w:bottom w:val="single" w:sz="6" w:space="0" w:color="auto"/>
              <w:right w:val="single" w:sz="6" w:space="0" w:color="auto"/>
            </w:tcBorders>
          </w:tcPr>
          <w:p w14:paraId="29A1C12B" w14:textId="77777777" w:rsidR="00CA23D0" w:rsidRPr="00E30642" w:rsidRDefault="00CA23D0" w:rsidP="00CA23D0">
            <w:pPr>
              <w:pStyle w:val="Zkladntext"/>
              <w:jc w:val="both"/>
              <w:rPr>
                <w:rFonts w:ascii="Arial" w:hAnsi="Arial" w:cs="Arial"/>
              </w:rPr>
            </w:pPr>
          </w:p>
        </w:tc>
        <w:tc>
          <w:tcPr>
            <w:tcW w:w="675" w:type="dxa"/>
            <w:tcBorders>
              <w:top w:val="single" w:sz="6" w:space="0" w:color="auto"/>
              <w:left w:val="single" w:sz="6" w:space="0" w:color="auto"/>
              <w:bottom w:val="single" w:sz="6" w:space="0" w:color="auto"/>
              <w:right w:val="single" w:sz="6" w:space="0" w:color="auto"/>
            </w:tcBorders>
          </w:tcPr>
          <w:p w14:paraId="3D7C49E4"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642B7D4D" w14:textId="77777777" w:rsidR="00CA23D0" w:rsidRPr="00E30642" w:rsidRDefault="00CA23D0" w:rsidP="00CA23D0">
            <w:pPr>
              <w:pStyle w:val="Texttabulky"/>
              <w:spacing w:line="240" w:lineRule="atLeast"/>
              <w:jc w:val="both"/>
              <w:rPr>
                <w:rFonts w:cs="Arial"/>
              </w:rPr>
            </w:pPr>
            <w:r w:rsidRPr="00E30642">
              <w:rPr>
                <w:rFonts w:cs="Arial"/>
              </w:rPr>
              <w:t>0</w:t>
            </w:r>
          </w:p>
        </w:tc>
        <w:tc>
          <w:tcPr>
            <w:tcW w:w="645" w:type="dxa"/>
            <w:tcBorders>
              <w:top w:val="single" w:sz="6" w:space="0" w:color="auto"/>
              <w:left w:val="single" w:sz="6" w:space="0" w:color="auto"/>
              <w:bottom w:val="single" w:sz="6" w:space="0" w:color="auto"/>
              <w:right w:val="single" w:sz="6" w:space="0" w:color="auto"/>
            </w:tcBorders>
          </w:tcPr>
          <w:p w14:paraId="7372EC21" w14:textId="77777777" w:rsidR="00CA23D0" w:rsidRPr="00E30642" w:rsidRDefault="00CA23D0" w:rsidP="00CA23D0">
            <w:pPr>
              <w:pStyle w:val="Texttabulky"/>
              <w:spacing w:line="240" w:lineRule="atLeast"/>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1AD9A32E" w14:textId="77777777" w:rsidR="00CA23D0" w:rsidRPr="00E30642" w:rsidRDefault="00CA23D0" w:rsidP="00CA23D0">
            <w:pPr>
              <w:pStyle w:val="Texttabulky"/>
              <w:spacing w:line="240" w:lineRule="atLeast"/>
              <w:jc w:val="both"/>
              <w:rPr>
                <w:rFonts w:cs="Arial"/>
              </w:rPr>
            </w:pPr>
            <w:r w:rsidRPr="00E30642">
              <w:rPr>
                <w:rFonts w:cs="Arial"/>
              </w:rPr>
              <w:t>0</w:t>
            </w:r>
          </w:p>
        </w:tc>
        <w:tc>
          <w:tcPr>
            <w:tcW w:w="880" w:type="dxa"/>
            <w:tcBorders>
              <w:top w:val="single" w:sz="6" w:space="0" w:color="auto"/>
              <w:left w:val="single" w:sz="6" w:space="0" w:color="auto"/>
              <w:bottom w:val="single" w:sz="6" w:space="0" w:color="auto"/>
              <w:right w:val="single" w:sz="6" w:space="0" w:color="auto"/>
            </w:tcBorders>
          </w:tcPr>
          <w:p w14:paraId="2A55D27C" w14:textId="77777777" w:rsidR="00CA23D0" w:rsidRPr="00E30642" w:rsidRDefault="00CA23D0" w:rsidP="00CA23D0">
            <w:pPr>
              <w:pStyle w:val="Texttabulky"/>
              <w:spacing w:line="240" w:lineRule="atLeast"/>
              <w:jc w:val="both"/>
              <w:rPr>
                <w:rFonts w:cs="Arial"/>
              </w:rPr>
            </w:pPr>
            <w:r w:rsidRPr="00E30642">
              <w:rPr>
                <w:rFonts w:cs="Arial"/>
              </w:rPr>
              <w:t>0</w:t>
            </w:r>
          </w:p>
        </w:tc>
      </w:tr>
      <w:tr w:rsidR="00CA23D0" w:rsidRPr="00E30642" w14:paraId="19AF0BA2" w14:textId="77777777" w:rsidTr="00CA23D0">
        <w:tc>
          <w:tcPr>
            <w:tcW w:w="474" w:type="dxa"/>
            <w:tcBorders>
              <w:top w:val="single" w:sz="6" w:space="0" w:color="auto"/>
              <w:left w:val="single" w:sz="6" w:space="0" w:color="auto"/>
              <w:bottom w:val="single" w:sz="6" w:space="0" w:color="auto"/>
              <w:right w:val="single" w:sz="6" w:space="0" w:color="auto"/>
            </w:tcBorders>
          </w:tcPr>
          <w:p w14:paraId="6614DCC0" w14:textId="77777777" w:rsidR="00CA23D0" w:rsidRPr="00E30642" w:rsidRDefault="00CA23D0" w:rsidP="00CA23D0">
            <w:pPr>
              <w:pStyle w:val="Texttabulky"/>
              <w:spacing w:line="240" w:lineRule="atLeast"/>
              <w:jc w:val="both"/>
              <w:rPr>
                <w:rFonts w:cs="Arial"/>
              </w:rPr>
            </w:pPr>
            <w:r w:rsidRPr="00E30642">
              <w:rPr>
                <w:rFonts w:cs="Arial"/>
              </w:rPr>
              <w:t>11</w:t>
            </w:r>
          </w:p>
        </w:tc>
        <w:tc>
          <w:tcPr>
            <w:tcW w:w="504" w:type="dxa"/>
            <w:tcBorders>
              <w:top w:val="single" w:sz="6" w:space="0" w:color="auto"/>
              <w:left w:val="single" w:sz="6" w:space="0" w:color="auto"/>
              <w:bottom w:val="single" w:sz="6" w:space="0" w:color="auto"/>
              <w:right w:val="single" w:sz="6" w:space="0" w:color="auto"/>
            </w:tcBorders>
          </w:tcPr>
          <w:p w14:paraId="49659076" w14:textId="77777777" w:rsidR="00CA23D0" w:rsidRPr="00E30642" w:rsidRDefault="00CA23D0" w:rsidP="00CA23D0">
            <w:pPr>
              <w:pStyle w:val="Texttabulky"/>
              <w:spacing w:line="240" w:lineRule="atLeast"/>
              <w:jc w:val="both"/>
              <w:rPr>
                <w:rFonts w:cs="Arial"/>
              </w:rPr>
            </w:pPr>
            <w:r w:rsidRPr="00E30642">
              <w:rPr>
                <w:rFonts w:cs="Arial"/>
              </w:rPr>
              <w:t>V</w:t>
            </w:r>
          </w:p>
        </w:tc>
        <w:tc>
          <w:tcPr>
            <w:tcW w:w="1854" w:type="dxa"/>
            <w:tcBorders>
              <w:top w:val="single" w:sz="6" w:space="0" w:color="auto"/>
              <w:left w:val="single" w:sz="6" w:space="0" w:color="auto"/>
              <w:bottom w:val="single" w:sz="6" w:space="0" w:color="auto"/>
              <w:right w:val="single" w:sz="6" w:space="0" w:color="auto"/>
            </w:tcBorders>
          </w:tcPr>
          <w:p w14:paraId="5863C91F" w14:textId="77777777" w:rsidR="00CA23D0" w:rsidRPr="00E30642" w:rsidRDefault="00CA23D0" w:rsidP="00CA23D0">
            <w:pPr>
              <w:pStyle w:val="Texttabulky"/>
              <w:spacing w:line="240" w:lineRule="atLeast"/>
              <w:jc w:val="both"/>
              <w:rPr>
                <w:rFonts w:cs="Arial"/>
              </w:rPr>
            </w:pPr>
            <w:r w:rsidRPr="00E30642">
              <w:rPr>
                <w:rFonts w:cs="Arial"/>
              </w:rPr>
              <w:t>U koupaliště</w:t>
            </w:r>
          </w:p>
        </w:tc>
        <w:tc>
          <w:tcPr>
            <w:tcW w:w="661" w:type="dxa"/>
            <w:tcBorders>
              <w:top w:val="single" w:sz="6" w:space="0" w:color="auto"/>
              <w:left w:val="single" w:sz="6" w:space="0" w:color="auto"/>
              <w:bottom w:val="single" w:sz="6" w:space="0" w:color="auto"/>
              <w:right w:val="single" w:sz="6" w:space="0" w:color="auto"/>
            </w:tcBorders>
          </w:tcPr>
          <w:p w14:paraId="07278454" w14:textId="77777777" w:rsidR="00CA23D0" w:rsidRPr="00E30642" w:rsidRDefault="00CA23D0" w:rsidP="00CA23D0">
            <w:pPr>
              <w:pStyle w:val="Texttabulky"/>
              <w:spacing w:line="240" w:lineRule="atLeast"/>
              <w:jc w:val="both"/>
              <w:rPr>
                <w:rFonts w:cs="Arial"/>
              </w:rPr>
            </w:pPr>
            <w:r w:rsidRPr="00E30642">
              <w:rPr>
                <w:rFonts w:cs="Arial"/>
              </w:rPr>
              <w:t>77</w:t>
            </w:r>
          </w:p>
        </w:tc>
        <w:tc>
          <w:tcPr>
            <w:tcW w:w="612" w:type="dxa"/>
            <w:tcBorders>
              <w:top w:val="single" w:sz="6" w:space="0" w:color="auto"/>
              <w:left w:val="single" w:sz="6" w:space="0" w:color="auto"/>
              <w:bottom w:val="single" w:sz="6" w:space="0" w:color="auto"/>
              <w:right w:val="single" w:sz="6" w:space="0" w:color="auto"/>
            </w:tcBorders>
          </w:tcPr>
          <w:p w14:paraId="120C4ABB" w14:textId="77777777" w:rsidR="00CA23D0" w:rsidRPr="00E30642" w:rsidRDefault="00CA23D0" w:rsidP="00CA23D0">
            <w:pPr>
              <w:pStyle w:val="Texttabulky"/>
              <w:spacing w:line="240" w:lineRule="atLeast"/>
              <w:jc w:val="both"/>
              <w:rPr>
                <w:rFonts w:cs="Arial"/>
              </w:rPr>
            </w:pPr>
            <w:r w:rsidRPr="00E30642">
              <w:rPr>
                <w:rFonts w:cs="Arial"/>
              </w:rPr>
              <w:t>25</w:t>
            </w:r>
          </w:p>
        </w:tc>
        <w:tc>
          <w:tcPr>
            <w:tcW w:w="615" w:type="dxa"/>
            <w:tcBorders>
              <w:top w:val="single" w:sz="6" w:space="0" w:color="auto"/>
              <w:left w:val="single" w:sz="6" w:space="0" w:color="auto"/>
              <w:bottom w:val="single" w:sz="6" w:space="0" w:color="auto"/>
              <w:right w:val="single" w:sz="6" w:space="0" w:color="auto"/>
            </w:tcBorders>
          </w:tcPr>
          <w:p w14:paraId="7C9BB4F5" w14:textId="77777777" w:rsidR="00CA23D0" w:rsidRPr="00E30642" w:rsidRDefault="00CA23D0" w:rsidP="00CA23D0">
            <w:pPr>
              <w:pStyle w:val="Zkladntext"/>
              <w:jc w:val="both"/>
              <w:rPr>
                <w:rFonts w:ascii="Arial" w:hAnsi="Arial" w:cs="Arial"/>
              </w:rPr>
            </w:pPr>
          </w:p>
        </w:tc>
        <w:tc>
          <w:tcPr>
            <w:tcW w:w="675" w:type="dxa"/>
            <w:tcBorders>
              <w:top w:val="single" w:sz="6" w:space="0" w:color="auto"/>
              <w:left w:val="single" w:sz="6" w:space="0" w:color="auto"/>
              <w:bottom w:val="single" w:sz="6" w:space="0" w:color="auto"/>
              <w:right w:val="single" w:sz="6" w:space="0" w:color="auto"/>
            </w:tcBorders>
          </w:tcPr>
          <w:p w14:paraId="7C7A10B7"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71E0241B" w14:textId="77777777" w:rsidR="00CA23D0" w:rsidRPr="00E30642" w:rsidRDefault="00CA23D0" w:rsidP="00CA23D0">
            <w:pPr>
              <w:pStyle w:val="Texttabulky"/>
              <w:spacing w:line="240" w:lineRule="atLeast"/>
              <w:jc w:val="both"/>
              <w:rPr>
                <w:rFonts w:cs="Arial"/>
              </w:rPr>
            </w:pPr>
            <w:r w:rsidRPr="00E30642">
              <w:rPr>
                <w:rFonts w:cs="Arial"/>
              </w:rPr>
              <w:t>75</w:t>
            </w:r>
          </w:p>
        </w:tc>
        <w:tc>
          <w:tcPr>
            <w:tcW w:w="645" w:type="dxa"/>
            <w:tcBorders>
              <w:top w:val="single" w:sz="6" w:space="0" w:color="auto"/>
              <w:left w:val="single" w:sz="6" w:space="0" w:color="auto"/>
              <w:bottom w:val="single" w:sz="6" w:space="0" w:color="auto"/>
              <w:right w:val="single" w:sz="6" w:space="0" w:color="auto"/>
            </w:tcBorders>
          </w:tcPr>
          <w:p w14:paraId="3ED601BE" w14:textId="77777777" w:rsidR="00CA23D0" w:rsidRPr="00E30642" w:rsidRDefault="00CA23D0" w:rsidP="00CA23D0">
            <w:pPr>
              <w:pStyle w:val="Texttabulky"/>
              <w:spacing w:line="240" w:lineRule="atLeast"/>
              <w:jc w:val="both"/>
              <w:rPr>
                <w:rFonts w:cs="Arial"/>
              </w:rPr>
            </w:pPr>
            <w:r w:rsidRPr="00E30642">
              <w:rPr>
                <w:rFonts w:cs="Arial"/>
              </w:rPr>
              <w:t>75</w:t>
            </w:r>
          </w:p>
        </w:tc>
        <w:tc>
          <w:tcPr>
            <w:tcW w:w="709" w:type="dxa"/>
            <w:tcBorders>
              <w:top w:val="single" w:sz="6" w:space="0" w:color="auto"/>
              <w:left w:val="single" w:sz="6" w:space="0" w:color="auto"/>
              <w:bottom w:val="single" w:sz="6" w:space="0" w:color="auto"/>
              <w:right w:val="single" w:sz="6" w:space="0" w:color="auto"/>
            </w:tcBorders>
          </w:tcPr>
          <w:p w14:paraId="330D9916" w14:textId="77777777" w:rsidR="00CA23D0" w:rsidRPr="00E30642" w:rsidRDefault="00CA23D0" w:rsidP="00CA23D0">
            <w:pPr>
              <w:pStyle w:val="Texttabulky"/>
              <w:spacing w:line="240" w:lineRule="atLeast"/>
              <w:jc w:val="both"/>
              <w:rPr>
                <w:rFonts w:cs="Arial"/>
              </w:rPr>
            </w:pPr>
            <w:r w:rsidRPr="00E30642">
              <w:rPr>
                <w:rFonts w:cs="Arial"/>
              </w:rPr>
              <w:t>-2</w:t>
            </w:r>
          </w:p>
        </w:tc>
        <w:tc>
          <w:tcPr>
            <w:tcW w:w="880" w:type="dxa"/>
            <w:tcBorders>
              <w:top w:val="single" w:sz="6" w:space="0" w:color="auto"/>
              <w:left w:val="single" w:sz="6" w:space="0" w:color="auto"/>
              <w:bottom w:val="single" w:sz="6" w:space="0" w:color="auto"/>
              <w:right w:val="single" w:sz="6" w:space="0" w:color="auto"/>
            </w:tcBorders>
          </w:tcPr>
          <w:p w14:paraId="2BB6AA46" w14:textId="77777777" w:rsidR="00CA23D0" w:rsidRPr="00E30642" w:rsidRDefault="00CA23D0" w:rsidP="00CA23D0">
            <w:pPr>
              <w:pStyle w:val="Texttabulky"/>
              <w:spacing w:line="240" w:lineRule="atLeast"/>
              <w:jc w:val="both"/>
              <w:rPr>
                <w:rFonts w:cs="Arial"/>
              </w:rPr>
            </w:pPr>
            <w:r w:rsidRPr="00E30642">
              <w:rPr>
                <w:rFonts w:cs="Arial"/>
              </w:rPr>
              <w:t>-2</w:t>
            </w:r>
          </w:p>
        </w:tc>
      </w:tr>
      <w:tr w:rsidR="00CA23D0" w:rsidRPr="00E30642" w14:paraId="535ACA33" w14:textId="77777777" w:rsidTr="00CA23D0">
        <w:tc>
          <w:tcPr>
            <w:tcW w:w="474" w:type="dxa"/>
            <w:tcBorders>
              <w:top w:val="single" w:sz="6" w:space="0" w:color="auto"/>
              <w:left w:val="single" w:sz="6" w:space="0" w:color="auto"/>
              <w:bottom w:val="single" w:sz="6" w:space="0" w:color="auto"/>
              <w:right w:val="single" w:sz="6" w:space="0" w:color="auto"/>
            </w:tcBorders>
          </w:tcPr>
          <w:p w14:paraId="6B5E1546" w14:textId="77777777" w:rsidR="00CA23D0" w:rsidRPr="00E30642" w:rsidRDefault="00CA23D0" w:rsidP="00CA23D0">
            <w:pPr>
              <w:pStyle w:val="Texttabulky"/>
              <w:spacing w:line="240" w:lineRule="atLeast"/>
              <w:jc w:val="both"/>
              <w:rPr>
                <w:rFonts w:cs="Arial"/>
              </w:rPr>
            </w:pPr>
            <w:r w:rsidRPr="00E30642">
              <w:rPr>
                <w:rFonts w:cs="Arial"/>
              </w:rPr>
              <w:t>23</w:t>
            </w:r>
          </w:p>
        </w:tc>
        <w:tc>
          <w:tcPr>
            <w:tcW w:w="504" w:type="dxa"/>
            <w:tcBorders>
              <w:top w:val="single" w:sz="6" w:space="0" w:color="auto"/>
              <w:left w:val="single" w:sz="6" w:space="0" w:color="auto"/>
              <w:bottom w:val="single" w:sz="6" w:space="0" w:color="auto"/>
              <w:right w:val="single" w:sz="6" w:space="0" w:color="auto"/>
            </w:tcBorders>
          </w:tcPr>
          <w:p w14:paraId="13630CF4" w14:textId="77777777" w:rsidR="00CA23D0" w:rsidRPr="00E30642" w:rsidRDefault="00CA23D0" w:rsidP="00CA23D0">
            <w:pPr>
              <w:pStyle w:val="Texttabulky"/>
              <w:spacing w:line="240" w:lineRule="atLeast"/>
              <w:jc w:val="both"/>
              <w:rPr>
                <w:rFonts w:cs="Arial"/>
              </w:rPr>
            </w:pPr>
            <w:r w:rsidRPr="00E30642">
              <w:rPr>
                <w:rFonts w:cs="Arial"/>
              </w:rPr>
              <w:t>O</w:t>
            </w:r>
          </w:p>
        </w:tc>
        <w:tc>
          <w:tcPr>
            <w:tcW w:w="1854" w:type="dxa"/>
            <w:tcBorders>
              <w:top w:val="single" w:sz="6" w:space="0" w:color="auto"/>
              <w:left w:val="single" w:sz="6" w:space="0" w:color="auto"/>
              <w:bottom w:val="single" w:sz="6" w:space="0" w:color="auto"/>
              <w:right w:val="single" w:sz="6" w:space="0" w:color="auto"/>
            </w:tcBorders>
          </w:tcPr>
          <w:p w14:paraId="59F49D1E" w14:textId="77777777" w:rsidR="00CA23D0" w:rsidRPr="00E30642" w:rsidRDefault="00CA23D0" w:rsidP="00CA23D0">
            <w:pPr>
              <w:pStyle w:val="Texttabulky"/>
              <w:spacing w:line="240" w:lineRule="atLeast"/>
              <w:jc w:val="both"/>
              <w:rPr>
                <w:rFonts w:cs="Arial"/>
              </w:rPr>
            </w:pPr>
            <w:r w:rsidRPr="00E30642">
              <w:rPr>
                <w:rFonts w:cs="Arial"/>
              </w:rPr>
              <w:t>Podmokly</w:t>
            </w:r>
          </w:p>
        </w:tc>
        <w:tc>
          <w:tcPr>
            <w:tcW w:w="661" w:type="dxa"/>
            <w:tcBorders>
              <w:top w:val="single" w:sz="6" w:space="0" w:color="auto"/>
              <w:left w:val="single" w:sz="6" w:space="0" w:color="auto"/>
              <w:bottom w:val="single" w:sz="6" w:space="0" w:color="auto"/>
              <w:right w:val="single" w:sz="6" w:space="0" w:color="auto"/>
            </w:tcBorders>
          </w:tcPr>
          <w:p w14:paraId="183C75BF" w14:textId="77777777" w:rsidR="00CA23D0" w:rsidRPr="00E30642" w:rsidRDefault="00CA23D0" w:rsidP="00CA23D0">
            <w:pPr>
              <w:pStyle w:val="Texttabulky"/>
              <w:spacing w:line="240" w:lineRule="atLeast"/>
              <w:jc w:val="both"/>
              <w:rPr>
                <w:rFonts w:cs="Arial"/>
              </w:rPr>
            </w:pPr>
            <w:r w:rsidRPr="00E30642">
              <w:rPr>
                <w:rFonts w:cs="Arial"/>
              </w:rPr>
              <w:t>4 957</w:t>
            </w:r>
          </w:p>
        </w:tc>
        <w:tc>
          <w:tcPr>
            <w:tcW w:w="612" w:type="dxa"/>
            <w:tcBorders>
              <w:top w:val="single" w:sz="6" w:space="0" w:color="auto"/>
              <w:left w:val="single" w:sz="6" w:space="0" w:color="auto"/>
              <w:bottom w:val="single" w:sz="6" w:space="0" w:color="auto"/>
              <w:right w:val="single" w:sz="6" w:space="0" w:color="auto"/>
            </w:tcBorders>
          </w:tcPr>
          <w:p w14:paraId="627DDECD" w14:textId="77777777" w:rsidR="00CA23D0" w:rsidRPr="00E30642" w:rsidRDefault="00CA23D0" w:rsidP="00CA23D0">
            <w:pPr>
              <w:pStyle w:val="Texttabulky"/>
              <w:spacing w:line="240" w:lineRule="atLeast"/>
              <w:jc w:val="both"/>
              <w:rPr>
                <w:rFonts w:cs="Arial"/>
              </w:rPr>
            </w:pPr>
            <w:r w:rsidRPr="00E30642">
              <w:rPr>
                <w:rFonts w:cs="Arial"/>
              </w:rPr>
              <w:t>115</w:t>
            </w:r>
          </w:p>
        </w:tc>
        <w:tc>
          <w:tcPr>
            <w:tcW w:w="615" w:type="dxa"/>
            <w:tcBorders>
              <w:top w:val="single" w:sz="6" w:space="0" w:color="auto"/>
              <w:left w:val="single" w:sz="6" w:space="0" w:color="auto"/>
              <w:bottom w:val="single" w:sz="6" w:space="0" w:color="auto"/>
              <w:right w:val="single" w:sz="6" w:space="0" w:color="auto"/>
            </w:tcBorders>
          </w:tcPr>
          <w:p w14:paraId="11D94414" w14:textId="77777777" w:rsidR="00CA23D0" w:rsidRPr="00E30642" w:rsidRDefault="00CA23D0" w:rsidP="00CA23D0">
            <w:pPr>
              <w:pStyle w:val="Texttabulky"/>
              <w:spacing w:line="240" w:lineRule="atLeast"/>
              <w:jc w:val="both"/>
              <w:rPr>
                <w:rFonts w:cs="Arial"/>
              </w:rPr>
            </w:pPr>
            <w:r w:rsidRPr="00E30642">
              <w:rPr>
                <w:rFonts w:cs="Arial"/>
              </w:rPr>
              <w:t>200</w:t>
            </w:r>
          </w:p>
        </w:tc>
        <w:tc>
          <w:tcPr>
            <w:tcW w:w="675" w:type="dxa"/>
            <w:tcBorders>
              <w:top w:val="single" w:sz="6" w:space="0" w:color="auto"/>
              <w:left w:val="single" w:sz="6" w:space="0" w:color="auto"/>
              <w:bottom w:val="single" w:sz="6" w:space="0" w:color="auto"/>
              <w:right w:val="single" w:sz="6" w:space="0" w:color="auto"/>
            </w:tcBorders>
          </w:tcPr>
          <w:p w14:paraId="5715726E" w14:textId="77777777" w:rsidR="00CA23D0" w:rsidRPr="00E30642" w:rsidRDefault="00CA23D0" w:rsidP="00CA23D0">
            <w:pPr>
              <w:pStyle w:val="Texttabulky"/>
              <w:spacing w:line="240" w:lineRule="atLeast"/>
              <w:jc w:val="both"/>
              <w:rPr>
                <w:rFonts w:cs="Arial"/>
              </w:rPr>
            </w:pPr>
            <w:r w:rsidRPr="00E30642">
              <w:rPr>
                <w:rFonts w:cs="Arial"/>
              </w:rPr>
              <w:t>285</w:t>
            </w:r>
          </w:p>
        </w:tc>
        <w:tc>
          <w:tcPr>
            <w:tcW w:w="855" w:type="dxa"/>
            <w:tcBorders>
              <w:top w:val="single" w:sz="6" w:space="0" w:color="auto"/>
              <w:left w:val="single" w:sz="6" w:space="0" w:color="auto"/>
              <w:bottom w:val="single" w:sz="6" w:space="0" w:color="auto"/>
              <w:right w:val="single" w:sz="6" w:space="0" w:color="auto"/>
            </w:tcBorders>
          </w:tcPr>
          <w:p w14:paraId="6CD3C485" w14:textId="77777777" w:rsidR="00CA23D0" w:rsidRPr="00E30642" w:rsidRDefault="00CA23D0" w:rsidP="00CA23D0">
            <w:pPr>
              <w:pStyle w:val="Texttabulky"/>
              <w:spacing w:line="240" w:lineRule="atLeast"/>
              <w:jc w:val="both"/>
              <w:rPr>
                <w:rFonts w:cs="Arial"/>
              </w:rPr>
            </w:pPr>
            <w:r w:rsidRPr="00E30642">
              <w:rPr>
                <w:rFonts w:cs="Arial"/>
              </w:rPr>
              <w:t>5 015</w:t>
            </w:r>
          </w:p>
        </w:tc>
        <w:tc>
          <w:tcPr>
            <w:tcW w:w="645" w:type="dxa"/>
            <w:tcBorders>
              <w:top w:val="single" w:sz="6" w:space="0" w:color="auto"/>
              <w:left w:val="single" w:sz="6" w:space="0" w:color="auto"/>
              <w:bottom w:val="single" w:sz="6" w:space="0" w:color="auto"/>
              <w:right w:val="single" w:sz="6" w:space="0" w:color="auto"/>
            </w:tcBorders>
          </w:tcPr>
          <w:p w14:paraId="13270500" w14:textId="77777777" w:rsidR="00CA23D0" w:rsidRPr="00E30642" w:rsidRDefault="00CA23D0" w:rsidP="00CA23D0">
            <w:pPr>
              <w:pStyle w:val="Texttabulky"/>
              <w:spacing w:line="240" w:lineRule="atLeast"/>
              <w:jc w:val="both"/>
              <w:rPr>
                <w:rFonts w:cs="Arial"/>
              </w:rPr>
            </w:pPr>
            <w:r w:rsidRPr="00E30642">
              <w:rPr>
                <w:rFonts w:cs="Arial"/>
              </w:rPr>
              <w:t>5 300</w:t>
            </w:r>
          </w:p>
        </w:tc>
        <w:tc>
          <w:tcPr>
            <w:tcW w:w="709" w:type="dxa"/>
            <w:tcBorders>
              <w:top w:val="single" w:sz="6" w:space="0" w:color="auto"/>
              <w:left w:val="single" w:sz="6" w:space="0" w:color="auto"/>
              <w:bottom w:val="single" w:sz="6" w:space="0" w:color="auto"/>
              <w:right w:val="single" w:sz="6" w:space="0" w:color="auto"/>
            </w:tcBorders>
          </w:tcPr>
          <w:p w14:paraId="5AF78D04" w14:textId="77777777" w:rsidR="00CA23D0" w:rsidRPr="00E30642" w:rsidRDefault="00CA23D0" w:rsidP="00CA23D0">
            <w:pPr>
              <w:pStyle w:val="Texttabulky"/>
              <w:spacing w:line="240" w:lineRule="atLeast"/>
              <w:jc w:val="both"/>
              <w:rPr>
                <w:rFonts w:cs="Arial"/>
              </w:rPr>
            </w:pPr>
            <w:r w:rsidRPr="00E30642">
              <w:rPr>
                <w:rFonts w:cs="Arial"/>
              </w:rPr>
              <w:t>58</w:t>
            </w:r>
          </w:p>
        </w:tc>
        <w:tc>
          <w:tcPr>
            <w:tcW w:w="880" w:type="dxa"/>
            <w:tcBorders>
              <w:top w:val="single" w:sz="6" w:space="0" w:color="auto"/>
              <w:left w:val="single" w:sz="6" w:space="0" w:color="auto"/>
              <w:bottom w:val="single" w:sz="6" w:space="0" w:color="auto"/>
              <w:right w:val="single" w:sz="6" w:space="0" w:color="auto"/>
            </w:tcBorders>
          </w:tcPr>
          <w:p w14:paraId="65E9BF3F" w14:textId="77777777" w:rsidR="00CA23D0" w:rsidRPr="00E30642" w:rsidRDefault="00CA23D0" w:rsidP="00CA23D0">
            <w:pPr>
              <w:pStyle w:val="Texttabulky"/>
              <w:spacing w:line="240" w:lineRule="atLeast"/>
              <w:jc w:val="both"/>
              <w:rPr>
                <w:rFonts w:cs="Arial"/>
              </w:rPr>
            </w:pPr>
            <w:r w:rsidRPr="00E30642">
              <w:rPr>
                <w:rFonts w:cs="Arial"/>
              </w:rPr>
              <w:t>343</w:t>
            </w:r>
          </w:p>
        </w:tc>
      </w:tr>
      <w:tr w:rsidR="00CA23D0" w:rsidRPr="00E30642" w14:paraId="37C81F18" w14:textId="77777777" w:rsidTr="00CA23D0">
        <w:tc>
          <w:tcPr>
            <w:tcW w:w="474" w:type="dxa"/>
            <w:tcBorders>
              <w:top w:val="single" w:sz="6" w:space="0" w:color="auto"/>
              <w:left w:val="single" w:sz="6" w:space="0" w:color="auto"/>
              <w:bottom w:val="single" w:sz="6" w:space="0" w:color="auto"/>
              <w:right w:val="single" w:sz="6" w:space="0" w:color="auto"/>
            </w:tcBorders>
          </w:tcPr>
          <w:p w14:paraId="5D0BD919" w14:textId="77777777" w:rsidR="00CA23D0" w:rsidRPr="00E30642" w:rsidRDefault="00CA23D0" w:rsidP="00CA23D0">
            <w:pPr>
              <w:pStyle w:val="Texttabulky"/>
              <w:spacing w:line="240" w:lineRule="atLeast"/>
              <w:jc w:val="both"/>
              <w:rPr>
                <w:rFonts w:cs="Arial"/>
              </w:rPr>
            </w:pPr>
            <w:r w:rsidRPr="00E30642">
              <w:rPr>
                <w:rFonts w:cs="Arial"/>
              </w:rPr>
              <w:t>24</w:t>
            </w:r>
          </w:p>
        </w:tc>
        <w:tc>
          <w:tcPr>
            <w:tcW w:w="504" w:type="dxa"/>
            <w:tcBorders>
              <w:top w:val="single" w:sz="6" w:space="0" w:color="auto"/>
              <w:left w:val="single" w:sz="6" w:space="0" w:color="auto"/>
              <w:bottom w:val="single" w:sz="6" w:space="0" w:color="auto"/>
              <w:right w:val="single" w:sz="6" w:space="0" w:color="auto"/>
            </w:tcBorders>
          </w:tcPr>
          <w:p w14:paraId="2A94745E" w14:textId="77777777" w:rsidR="00CA23D0" w:rsidRPr="00E30642" w:rsidRDefault="00CA23D0" w:rsidP="00CA23D0">
            <w:pPr>
              <w:pStyle w:val="Texttabulky"/>
              <w:spacing w:line="240" w:lineRule="atLeast"/>
              <w:jc w:val="both"/>
              <w:rPr>
                <w:rFonts w:cs="Arial"/>
              </w:rPr>
            </w:pPr>
            <w:r w:rsidRPr="00E30642">
              <w:rPr>
                <w:rFonts w:cs="Arial"/>
              </w:rPr>
              <w:t>V</w:t>
            </w:r>
          </w:p>
        </w:tc>
        <w:tc>
          <w:tcPr>
            <w:tcW w:w="1854" w:type="dxa"/>
            <w:tcBorders>
              <w:top w:val="single" w:sz="6" w:space="0" w:color="auto"/>
              <w:left w:val="single" w:sz="6" w:space="0" w:color="auto"/>
              <w:bottom w:val="single" w:sz="6" w:space="0" w:color="auto"/>
              <w:right w:val="single" w:sz="6" w:space="0" w:color="auto"/>
            </w:tcBorders>
          </w:tcPr>
          <w:p w14:paraId="1C40FD49" w14:textId="77777777" w:rsidR="00CA23D0" w:rsidRPr="00E30642" w:rsidRDefault="00CA23D0" w:rsidP="00CA23D0">
            <w:pPr>
              <w:pStyle w:val="Texttabulky"/>
              <w:spacing w:line="240" w:lineRule="atLeast"/>
              <w:jc w:val="both"/>
              <w:rPr>
                <w:rFonts w:cs="Arial"/>
              </w:rPr>
            </w:pPr>
            <w:r w:rsidRPr="00E30642">
              <w:rPr>
                <w:rFonts w:cs="Arial"/>
              </w:rPr>
              <w:t>U stadiónu</w:t>
            </w:r>
          </w:p>
        </w:tc>
        <w:tc>
          <w:tcPr>
            <w:tcW w:w="661" w:type="dxa"/>
            <w:tcBorders>
              <w:top w:val="single" w:sz="6" w:space="0" w:color="auto"/>
              <w:left w:val="single" w:sz="6" w:space="0" w:color="auto"/>
              <w:bottom w:val="single" w:sz="6" w:space="0" w:color="auto"/>
              <w:right w:val="single" w:sz="6" w:space="0" w:color="auto"/>
            </w:tcBorders>
          </w:tcPr>
          <w:p w14:paraId="0441A9C6" w14:textId="77777777" w:rsidR="00CA23D0" w:rsidRPr="00E30642" w:rsidRDefault="00CA23D0" w:rsidP="00CA23D0">
            <w:pPr>
              <w:pStyle w:val="Texttabulky"/>
              <w:spacing w:line="240" w:lineRule="atLeast"/>
              <w:jc w:val="both"/>
              <w:rPr>
                <w:rFonts w:cs="Arial"/>
              </w:rPr>
            </w:pPr>
            <w:r w:rsidRPr="00E30642">
              <w:rPr>
                <w:rFonts w:cs="Arial"/>
              </w:rPr>
              <w:t>8</w:t>
            </w:r>
          </w:p>
        </w:tc>
        <w:tc>
          <w:tcPr>
            <w:tcW w:w="612" w:type="dxa"/>
            <w:tcBorders>
              <w:top w:val="single" w:sz="6" w:space="0" w:color="auto"/>
              <w:left w:val="single" w:sz="6" w:space="0" w:color="auto"/>
              <w:bottom w:val="single" w:sz="6" w:space="0" w:color="auto"/>
              <w:right w:val="single" w:sz="6" w:space="0" w:color="auto"/>
            </w:tcBorders>
          </w:tcPr>
          <w:p w14:paraId="661AB2A5" w14:textId="77777777" w:rsidR="00CA23D0" w:rsidRPr="00E30642" w:rsidRDefault="00CA23D0" w:rsidP="00CA23D0">
            <w:pPr>
              <w:pStyle w:val="Zkladntext"/>
              <w:jc w:val="both"/>
              <w:rPr>
                <w:rFonts w:ascii="Arial" w:hAnsi="Arial" w:cs="Arial"/>
              </w:rPr>
            </w:pPr>
          </w:p>
        </w:tc>
        <w:tc>
          <w:tcPr>
            <w:tcW w:w="615" w:type="dxa"/>
            <w:tcBorders>
              <w:top w:val="single" w:sz="6" w:space="0" w:color="auto"/>
              <w:left w:val="single" w:sz="6" w:space="0" w:color="auto"/>
              <w:bottom w:val="single" w:sz="6" w:space="0" w:color="auto"/>
              <w:right w:val="single" w:sz="6" w:space="0" w:color="auto"/>
            </w:tcBorders>
          </w:tcPr>
          <w:p w14:paraId="29445A1B" w14:textId="77777777" w:rsidR="00CA23D0" w:rsidRPr="00E30642" w:rsidRDefault="00CA23D0" w:rsidP="00CA23D0">
            <w:pPr>
              <w:pStyle w:val="Zkladntext"/>
              <w:jc w:val="both"/>
              <w:rPr>
                <w:rFonts w:ascii="Arial" w:hAnsi="Arial" w:cs="Arial"/>
              </w:rPr>
            </w:pPr>
          </w:p>
        </w:tc>
        <w:tc>
          <w:tcPr>
            <w:tcW w:w="675" w:type="dxa"/>
            <w:tcBorders>
              <w:top w:val="single" w:sz="6" w:space="0" w:color="auto"/>
              <w:left w:val="single" w:sz="6" w:space="0" w:color="auto"/>
              <w:bottom w:val="single" w:sz="6" w:space="0" w:color="auto"/>
              <w:right w:val="single" w:sz="6" w:space="0" w:color="auto"/>
            </w:tcBorders>
          </w:tcPr>
          <w:p w14:paraId="3E418271"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72361193" w14:textId="77777777" w:rsidR="00CA23D0" w:rsidRPr="00E30642" w:rsidRDefault="00CA23D0" w:rsidP="00CA23D0">
            <w:pPr>
              <w:pStyle w:val="Texttabulky"/>
              <w:spacing w:line="240" w:lineRule="atLeast"/>
              <w:jc w:val="both"/>
              <w:rPr>
                <w:rFonts w:cs="Arial"/>
              </w:rPr>
            </w:pPr>
            <w:r w:rsidRPr="00E30642">
              <w:rPr>
                <w:rFonts w:cs="Arial"/>
              </w:rPr>
              <w:t>10</w:t>
            </w:r>
          </w:p>
        </w:tc>
        <w:tc>
          <w:tcPr>
            <w:tcW w:w="645" w:type="dxa"/>
            <w:tcBorders>
              <w:top w:val="single" w:sz="6" w:space="0" w:color="auto"/>
              <w:left w:val="single" w:sz="6" w:space="0" w:color="auto"/>
              <w:bottom w:val="single" w:sz="6" w:space="0" w:color="auto"/>
              <w:right w:val="single" w:sz="6" w:space="0" w:color="auto"/>
            </w:tcBorders>
          </w:tcPr>
          <w:p w14:paraId="1F4D1D28" w14:textId="77777777" w:rsidR="00CA23D0" w:rsidRPr="00E30642" w:rsidRDefault="00CA23D0" w:rsidP="00CA23D0">
            <w:pPr>
              <w:pStyle w:val="Texttabulky"/>
              <w:spacing w:line="240" w:lineRule="atLeast"/>
              <w:jc w:val="both"/>
              <w:rPr>
                <w:rFonts w:cs="Arial"/>
              </w:rPr>
            </w:pPr>
            <w:r w:rsidRPr="00E30642">
              <w:rPr>
                <w:rFonts w:cs="Arial"/>
              </w:rPr>
              <w:t>10</w:t>
            </w:r>
          </w:p>
        </w:tc>
        <w:tc>
          <w:tcPr>
            <w:tcW w:w="709" w:type="dxa"/>
            <w:tcBorders>
              <w:top w:val="single" w:sz="6" w:space="0" w:color="auto"/>
              <w:left w:val="single" w:sz="6" w:space="0" w:color="auto"/>
              <w:bottom w:val="single" w:sz="6" w:space="0" w:color="auto"/>
              <w:right w:val="single" w:sz="6" w:space="0" w:color="auto"/>
            </w:tcBorders>
          </w:tcPr>
          <w:p w14:paraId="6C64389B" w14:textId="77777777" w:rsidR="00CA23D0" w:rsidRPr="00E30642" w:rsidRDefault="00CA23D0" w:rsidP="00CA23D0">
            <w:pPr>
              <w:pStyle w:val="Texttabulky"/>
              <w:spacing w:line="240" w:lineRule="atLeast"/>
              <w:jc w:val="both"/>
              <w:rPr>
                <w:rFonts w:cs="Arial"/>
              </w:rPr>
            </w:pPr>
            <w:r w:rsidRPr="00E30642">
              <w:rPr>
                <w:rFonts w:cs="Arial"/>
              </w:rPr>
              <w:t>2</w:t>
            </w:r>
          </w:p>
        </w:tc>
        <w:tc>
          <w:tcPr>
            <w:tcW w:w="880" w:type="dxa"/>
            <w:tcBorders>
              <w:top w:val="single" w:sz="6" w:space="0" w:color="auto"/>
              <w:left w:val="single" w:sz="6" w:space="0" w:color="auto"/>
              <w:bottom w:val="single" w:sz="6" w:space="0" w:color="auto"/>
              <w:right w:val="single" w:sz="6" w:space="0" w:color="auto"/>
            </w:tcBorders>
          </w:tcPr>
          <w:p w14:paraId="5BDC9189" w14:textId="77777777" w:rsidR="00CA23D0" w:rsidRPr="00E30642" w:rsidRDefault="00CA23D0" w:rsidP="00CA23D0">
            <w:pPr>
              <w:pStyle w:val="Texttabulky"/>
              <w:spacing w:line="240" w:lineRule="atLeast"/>
              <w:jc w:val="both"/>
              <w:rPr>
                <w:rFonts w:cs="Arial"/>
              </w:rPr>
            </w:pPr>
            <w:r w:rsidRPr="00E30642">
              <w:rPr>
                <w:rFonts w:cs="Arial"/>
              </w:rPr>
              <w:t>2</w:t>
            </w:r>
          </w:p>
        </w:tc>
      </w:tr>
      <w:tr w:rsidR="00CA23D0" w:rsidRPr="00E30642" w14:paraId="543AD44B" w14:textId="77777777" w:rsidTr="00CA23D0">
        <w:tc>
          <w:tcPr>
            <w:tcW w:w="474" w:type="dxa"/>
            <w:tcBorders>
              <w:top w:val="single" w:sz="6" w:space="0" w:color="auto"/>
              <w:left w:val="single" w:sz="6" w:space="0" w:color="auto"/>
              <w:bottom w:val="single" w:sz="6" w:space="0" w:color="auto"/>
              <w:right w:val="single" w:sz="6" w:space="0" w:color="auto"/>
            </w:tcBorders>
          </w:tcPr>
          <w:p w14:paraId="135DABE5" w14:textId="77777777" w:rsidR="00CA23D0" w:rsidRPr="00E30642" w:rsidRDefault="00CA23D0" w:rsidP="00CA23D0">
            <w:pPr>
              <w:pStyle w:val="Texttabulky"/>
              <w:spacing w:line="240" w:lineRule="atLeast"/>
              <w:jc w:val="both"/>
              <w:rPr>
                <w:rFonts w:cs="Arial"/>
              </w:rPr>
            </w:pPr>
            <w:r w:rsidRPr="00E30642">
              <w:rPr>
                <w:rFonts w:cs="Arial"/>
              </w:rPr>
              <w:t>25</w:t>
            </w:r>
          </w:p>
        </w:tc>
        <w:tc>
          <w:tcPr>
            <w:tcW w:w="504" w:type="dxa"/>
            <w:tcBorders>
              <w:top w:val="single" w:sz="6" w:space="0" w:color="auto"/>
              <w:left w:val="single" w:sz="6" w:space="0" w:color="auto"/>
              <w:bottom w:val="single" w:sz="6" w:space="0" w:color="auto"/>
              <w:right w:val="single" w:sz="6" w:space="0" w:color="auto"/>
            </w:tcBorders>
          </w:tcPr>
          <w:p w14:paraId="0B98314F" w14:textId="77777777" w:rsidR="00CA23D0" w:rsidRPr="00E30642" w:rsidRDefault="00CA23D0" w:rsidP="00CA23D0">
            <w:pPr>
              <w:pStyle w:val="Texttabulky"/>
              <w:spacing w:line="240" w:lineRule="atLeast"/>
              <w:jc w:val="both"/>
              <w:rPr>
                <w:rFonts w:cs="Arial"/>
              </w:rPr>
            </w:pPr>
            <w:r w:rsidRPr="00E30642">
              <w:rPr>
                <w:rFonts w:cs="Arial"/>
              </w:rPr>
              <w:t>O</w:t>
            </w:r>
          </w:p>
        </w:tc>
        <w:tc>
          <w:tcPr>
            <w:tcW w:w="1854" w:type="dxa"/>
            <w:tcBorders>
              <w:top w:val="single" w:sz="6" w:space="0" w:color="auto"/>
              <w:left w:val="single" w:sz="6" w:space="0" w:color="auto"/>
              <w:bottom w:val="single" w:sz="6" w:space="0" w:color="auto"/>
              <w:right w:val="single" w:sz="6" w:space="0" w:color="auto"/>
            </w:tcBorders>
          </w:tcPr>
          <w:p w14:paraId="68A85141" w14:textId="77777777" w:rsidR="00CA23D0" w:rsidRPr="00E30642" w:rsidRDefault="00CA23D0" w:rsidP="00CA23D0">
            <w:pPr>
              <w:pStyle w:val="Texttabulky"/>
              <w:spacing w:line="240" w:lineRule="atLeast"/>
              <w:jc w:val="both"/>
              <w:rPr>
                <w:rFonts w:cs="Arial"/>
              </w:rPr>
            </w:pPr>
            <w:r w:rsidRPr="00E30642">
              <w:rPr>
                <w:rFonts w:cs="Arial"/>
              </w:rPr>
              <w:t>Červený vrch</w:t>
            </w:r>
          </w:p>
        </w:tc>
        <w:tc>
          <w:tcPr>
            <w:tcW w:w="661" w:type="dxa"/>
            <w:tcBorders>
              <w:top w:val="single" w:sz="6" w:space="0" w:color="auto"/>
              <w:left w:val="single" w:sz="6" w:space="0" w:color="auto"/>
              <w:bottom w:val="single" w:sz="6" w:space="0" w:color="auto"/>
              <w:right w:val="single" w:sz="6" w:space="0" w:color="auto"/>
            </w:tcBorders>
          </w:tcPr>
          <w:p w14:paraId="1C42153D" w14:textId="77777777" w:rsidR="00CA23D0" w:rsidRPr="00E30642" w:rsidRDefault="00CA23D0" w:rsidP="00CA23D0">
            <w:pPr>
              <w:pStyle w:val="Texttabulky"/>
              <w:spacing w:line="240" w:lineRule="atLeast"/>
              <w:jc w:val="both"/>
              <w:rPr>
                <w:rFonts w:cs="Arial"/>
              </w:rPr>
            </w:pPr>
            <w:r w:rsidRPr="00E30642">
              <w:rPr>
                <w:rFonts w:cs="Arial"/>
              </w:rPr>
              <w:t>477</w:t>
            </w:r>
          </w:p>
        </w:tc>
        <w:tc>
          <w:tcPr>
            <w:tcW w:w="612" w:type="dxa"/>
            <w:tcBorders>
              <w:top w:val="single" w:sz="6" w:space="0" w:color="auto"/>
              <w:left w:val="single" w:sz="6" w:space="0" w:color="auto"/>
              <w:bottom w:val="single" w:sz="6" w:space="0" w:color="auto"/>
              <w:right w:val="single" w:sz="6" w:space="0" w:color="auto"/>
            </w:tcBorders>
          </w:tcPr>
          <w:p w14:paraId="2E358AD8" w14:textId="77777777" w:rsidR="00CA23D0" w:rsidRPr="00E30642" w:rsidRDefault="00CA23D0" w:rsidP="00CA23D0">
            <w:pPr>
              <w:pStyle w:val="Zkladntext"/>
              <w:jc w:val="both"/>
              <w:rPr>
                <w:rFonts w:ascii="Arial" w:hAnsi="Arial" w:cs="Arial"/>
              </w:rPr>
            </w:pPr>
          </w:p>
        </w:tc>
        <w:tc>
          <w:tcPr>
            <w:tcW w:w="615" w:type="dxa"/>
            <w:tcBorders>
              <w:top w:val="single" w:sz="6" w:space="0" w:color="auto"/>
              <w:left w:val="single" w:sz="6" w:space="0" w:color="auto"/>
              <w:bottom w:val="single" w:sz="6" w:space="0" w:color="auto"/>
              <w:right w:val="single" w:sz="6" w:space="0" w:color="auto"/>
            </w:tcBorders>
          </w:tcPr>
          <w:p w14:paraId="571C5776" w14:textId="77777777" w:rsidR="00CA23D0" w:rsidRPr="00E30642" w:rsidRDefault="00CA23D0" w:rsidP="00CA23D0">
            <w:pPr>
              <w:pStyle w:val="Zkladntext"/>
              <w:jc w:val="both"/>
              <w:rPr>
                <w:rFonts w:ascii="Arial" w:hAnsi="Arial" w:cs="Arial"/>
              </w:rPr>
            </w:pPr>
          </w:p>
        </w:tc>
        <w:tc>
          <w:tcPr>
            <w:tcW w:w="675" w:type="dxa"/>
            <w:tcBorders>
              <w:top w:val="single" w:sz="6" w:space="0" w:color="auto"/>
              <w:left w:val="single" w:sz="6" w:space="0" w:color="auto"/>
              <w:bottom w:val="single" w:sz="6" w:space="0" w:color="auto"/>
              <w:right w:val="single" w:sz="6" w:space="0" w:color="auto"/>
            </w:tcBorders>
          </w:tcPr>
          <w:p w14:paraId="75541F48"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3741100F" w14:textId="77777777" w:rsidR="00CA23D0" w:rsidRPr="00E30642" w:rsidRDefault="00CA23D0" w:rsidP="00CA23D0">
            <w:pPr>
              <w:pStyle w:val="Texttabulky"/>
              <w:spacing w:line="240" w:lineRule="atLeast"/>
              <w:jc w:val="both"/>
              <w:rPr>
                <w:rFonts w:cs="Arial"/>
              </w:rPr>
            </w:pPr>
            <w:r w:rsidRPr="00E30642">
              <w:rPr>
                <w:rFonts w:cs="Arial"/>
              </w:rPr>
              <w:t>450</w:t>
            </w:r>
          </w:p>
        </w:tc>
        <w:tc>
          <w:tcPr>
            <w:tcW w:w="645" w:type="dxa"/>
            <w:tcBorders>
              <w:top w:val="single" w:sz="6" w:space="0" w:color="auto"/>
              <w:left w:val="single" w:sz="6" w:space="0" w:color="auto"/>
              <w:bottom w:val="single" w:sz="6" w:space="0" w:color="auto"/>
              <w:right w:val="single" w:sz="6" w:space="0" w:color="auto"/>
            </w:tcBorders>
          </w:tcPr>
          <w:p w14:paraId="5611CF83" w14:textId="77777777" w:rsidR="00CA23D0" w:rsidRPr="00E30642" w:rsidRDefault="00CA23D0" w:rsidP="00CA23D0">
            <w:pPr>
              <w:pStyle w:val="Texttabulky"/>
              <w:spacing w:line="240" w:lineRule="atLeast"/>
              <w:jc w:val="both"/>
              <w:rPr>
                <w:rFonts w:cs="Arial"/>
              </w:rPr>
            </w:pPr>
            <w:r w:rsidRPr="00E30642">
              <w:rPr>
                <w:rFonts w:cs="Arial"/>
              </w:rPr>
              <w:t>450</w:t>
            </w:r>
          </w:p>
        </w:tc>
        <w:tc>
          <w:tcPr>
            <w:tcW w:w="709" w:type="dxa"/>
            <w:tcBorders>
              <w:top w:val="single" w:sz="6" w:space="0" w:color="auto"/>
              <w:left w:val="single" w:sz="6" w:space="0" w:color="auto"/>
              <w:bottom w:val="single" w:sz="6" w:space="0" w:color="auto"/>
              <w:right w:val="single" w:sz="6" w:space="0" w:color="auto"/>
            </w:tcBorders>
          </w:tcPr>
          <w:p w14:paraId="0452BA0C" w14:textId="77777777" w:rsidR="00CA23D0" w:rsidRPr="00E30642" w:rsidRDefault="00CA23D0" w:rsidP="00CA23D0">
            <w:pPr>
              <w:pStyle w:val="Texttabulky"/>
              <w:spacing w:line="240" w:lineRule="atLeast"/>
              <w:jc w:val="both"/>
              <w:rPr>
                <w:rFonts w:cs="Arial"/>
              </w:rPr>
            </w:pPr>
            <w:r w:rsidRPr="00E30642">
              <w:rPr>
                <w:rFonts w:cs="Arial"/>
              </w:rPr>
              <w:t>-27</w:t>
            </w:r>
          </w:p>
        </w:tc>
        <w:tc>
          <w:tcPr>
            <w:tcW w:w="880" w:type="dxa"/>
            <w:tcBorders>
              <w:top w:val="single" w:sz="6" w:space="0" w:color="auto"/>
              <w:left w:val="single" w:sz="6" w:space="0" w:color="auto"/>
              <w:bottom w:val="single" w:sz="6" w:space="0" w:color="auto"/>
              <w:right w:val="single" w:sz="6" w:space="0" w:color="auto"/>
            </w:tcBorders>
          </w:tcPr>
          <w:p w14:paraId="74B80F96" w14:textId="77777777" w:rsidR="00CA23D0" w:rsidRPr="00E30642" w:rsidRDefault="00CA23D0" w:rsidP="00CA23D0">
            <w:pPr>
              <w:pStyle w:val="Texttabulky"/>
              <w:spacing w:line="240" w:lineRule="atLeast"/>
              <w:jc w:val="both"/>
              <w:rPr>
                <w:rFonts w:cs="Arial"/>
              </w:rPr>
            </w:pPr>
            <w:r w:rsidRPr="00E30642">
              <w:rPr>
                <w:rFonts w:cs="Arial"/>
              </w:rPr>
              <w:t>-27</w:t>
            </w:r>
          </w:p>
        </w:tc>
      </w:tr>
      <w:tr w:rsidR="00CA23D0" w:rsidRPr="00E30642" w14:paraId="0F708728" w14:textId="77777777" w:rsidTr="00CA23D0">
        <w:tc>
          <w:tcPr>
            <w:tcW w:w="474" w:type="dxa"/>
            <w:tcBorders>
              <w:top w:val="single" w:sz="6" w:space="0" w:color="auto"/>
              <w:left w:val="single" w:sz="6" w:space="0" w:color="auto"/>
              <w:bottom w:val="single" w:sz="6" w:space="0" w:color="auto"/>
              <w:right w:val="single" w:sz="6" w:space="0" w:color="auto"/>
            </w:tcBorders>
          </w:tcPr>
          <w:p w14:paraId="6FEF232D" w14:textId="77777777" w:rsidR="00CA23D0" w:rsidRPr="00E30642" w:rsidRDefault="00CA23D0" w:rsidP="00CA23D0">
            <w:pPr>
              <w:pStyle w:val="Texttabulky"/>
              <w:spacing w:line="240" w:lineRule="atLeast"/>
              <w:jc w:val="both"/>
              <w:rPr>
                <w:rFonts w:cs="Arial"/>
              </w:rPr>
            </w:pPr>
            <w:r w:rsidRPr="00E30642">
              <w:rPr>
                <w:rFonts w:cs="Arial"/>
              </w:rPr>
              <w:t>26</w:t>
            </w:r>
          </w:p>
        </w:tc>
        <w:tc>
          <w:tcPr>
            <w:tcW w:w="504" w:type="dxa"/>
            <w:tcBorders>
              <w:top w:val="single" w:sz="6" w:space="0" w:color="auto"/>
              <w:left w:val="single" w:sz="6" w:space="0" w:color="auto"/>
              <w:bottom w:val="single" w:sz="6" w:space="0" w:color="auto"/>
              <w:right w:val="single" w:sz="6" w:space="0" w:color="auto"/>
            </w:tcBorders>
          </w:tcPr>
          <w:p w14:paraId="44255EB2" w14:textId="77777777" w:rsidR="00CA23D0" w:rsidRPr="00E30642" w:rsidRDefault="00CA23D0" w:rsidP="00CA23D0">
            <w:pPr>
              <w:pStyle w:val="Texttabulky"/>
              <w:spacing w:line="240" w:lineRule="atLeast"/>
              <w:jc w:val="both"/>
              <w:rPr>
                <w:rFonts w:cs="Arial"/>
              </w:rPr>
            </w:pPr>
            <w:r w:rsidRPr="00E30642">
              <w:rPr>
                <w:rFonts w:cs="Arial"/>
              </w:rPr>
              <w:t>R</w:t>
            </w:r>
          </w:p>
        </w:tc>
        <w:tc>
          <w:tcPr>
            <w:tcW w:w="1854" w:type="dxa"/>
            <w:tcBorders>
              <w:top w:val="single" w:sz="6" w:space="0" w:color="auto"/>
              <w:left w:val="single" w:sz="6" w:space="0" w:color="auto"/>
              <w:bottom w:val="single" w:sz="6" w:space="0" w:color="auto"/>
              <w:right w:val="single" w:sz="6" w:space="0" w:color="auto"/>
            </w:tcBorders>
          </w:tcPr>
          <w:p w14:paraId="68AEBB7D" w14:textId="77777777" w:rsidR="00CA23D0" w:rsidRPr="00E30642" w:rsidRDefault="00CA23D0" w:rsidP="00CA23D0">
            <w:pPr>
              <w:pStyle w:val="Texttabulky"/>
              <w:spacing w:line="240" w:lineRule="atLeast"/>
              <w:jc w:val="both"/>
              <w:rPr>
                <w:rFonts w:cs="Arial"/>
              </w:rPr>
            </w:pPr>
            <w:r w:rsidRPr="00E30642">
              <w:rPr>
                <w:rFonts w:cs="Arial"/>
              </w:rPr>
              <w:t>Pastýřská stěna</w:t>
            </w:r>
          </w:p>
        </w:tc>
        <w:tc>
          <w:tcPr>
            <w:tcW w:w="661" w:type="dxa"/>
            <w:tcBorders>
              <w:top w:val="single" w:sz="6" w:space="0" w:color="auto"/>
              <w:left w:val="single" w:sz="6" w:space="0" w:color="auto"/>
              <w:bottom w:val="single" w:sz="6" w:space="0" w:color="auto"/>
              <w:right w:val="single" w:sz="6" w:space="0" w:color="auto"/>
            </w:tcBorders>
          </w:tcPr>
          <w:p w14:paraId="125B88AC" w14:textId="77777777" w:rsidR="00CA23D0" w:rsidRPr="00E30642" w:rsidRDefault="00CA23D0" w:rsidP="00CA23D0">
            <w:pPr>
              <w:pStyle w:val="Texttabulky"/>
              <w:spacing w:line="240" w:lineRule="atLeast"/>
              <w:jc w:val="both"/>
              <w:rPr>
                <w:rFonts w:cs="Arial"/>
              </w:rPr>
            </w:pPr>
            <w:r w:rsidRPr="00E30642">
              <w:rPr>
                <w:rFonts w:cs="Arial"/>
              </w:rPr>
              <w:t>1</w:t>
            </w:r>
          </w:p>
        </w:tc>
        <w:tc>
          <w:tcPr>
            <w:tcW w:w="612" w:type="dxa"/>
            <w:tcBorders>
              <w:top w:val="single" w:sz="6" w:space="0" w:color="auto"/>
              <w:left w:val="single" w:sz="6" w:space="0" w:color="auto"/>
              <w:bottom w:val="single" w:sz="6" w:space="0" w:color="auto"/>
              <w:right w:val="single" w:sz="6" w:space="0" w:color="auto"/>
            </w:tcBorders>
          </w:tcPr>
          <w:p w14:paraId="5C96F54A" w14:textId="77777777" w:rsidR="00CA23D0" w:rsidRPr="00E30642" w:rsidRDefault="00CA23D0" w:rsidP="00CA23D0">
            <w:pPr>
              <w:pStyle w:val="Zkladntext"/>
              <w:jc w:val="both"/>
              <w:rPr>
                <w:rFonts w:ascii="Arial" w:hAnsi="Arial" w:cs="Arial"/>
              </w:rPr>
            </w:pPr>
          </w:p>
        </w:tc>
        <w:tc>
          <w:tcPr>
            <w:tcW w:w="615" w:type="dxa"/>
            <w:tcBorders>
              <w:top w:val="single" w:sz="6" w:space="0" w:color="auto"/>
              <w:left w:val="single" w:sz="6" w:space="0" w:color="auto"/>
              <w:bottom w:val="single" w:sz="6" w:space="0" w:color="auto"/>
              <w:right w:val="single" w:sz="6" w:space="0" w:color="auto"/>
            </w:tcBorders>
          </w:tcPr>
          <w:p w14:paraId="264D0AAD" w14:textId="77777777" w:rsidR="00CA23D0" w:rsidRPr="00E30642" w:rsidRDefault="00CA23D0" w:rsidP="00CA23D0">
            <w:pPr>
              <w:pStyle w:val="Zkladntext"/>
              <w:jc w:val="both"/>
              <w:rPr>
                <w:rFonts w:ascii="Arial" w:hAnsi="Arial" w:cs="Arial"/>
              </w:rPr>
            </w:pPr>
          </w:p>
        </w:tc>
        <w:tc>
          <w:tcPr>
            <w:tcW w:w="675" w:type="dxa"/>
            <w:tcBorders>
              <w:top w:val="single" w:sz="6" w:space="0" w:color="auto"/>
              <w:left w:val="single" w:sz="6" w:space="0" w:color="auto"/>
              <w:bottom w:val="single" w:sz="6" w:space="0" w:color="auto"/>
              <w:right w:val="single" w:sz="6" w:space="0" w:color="auto"/>
            </w:tcBorders>
          </w:tcPr>
          <w:p w14:paraId="749F4CCF" w14:textId="77777777" w:rsidR="00CA23D0" w:rsidRPr="00E30642" w:rsidRDefault="00CA23D0" w:rsidP="00CA23D0">
            <w:pPr>
              <w:pStyle w:val="Zkladntext"/>
              <w:jc w:val="both"/>
              <w:rPr>
                <w:rFonts w:ascii="Arial" w:hAnsi="Arial" w:cs="Arial"/>
              </w:rPr>
            </w:pPr>
          </w:p>
        </w:tc>
        <w:tc>
          <w:tcPr>
            <w:tcW w:w="855" w:type="dxa"/>
            <w:tcBorders>
              <w:top w:val="single" w:sz="6" w:space="0" w:color="auto"/>
              <w:left w:val="single" w:sz="6" w:space="0" w:color="auto"/>
              <w:bottom w:val="single" w:sz="6" w:space="0" w:color="auto"/>
              <w:right w:val="single" w:sz="6" w:space="0" w:color="auto"/>
            </w:tcBorders>
          </w:tcPr>
          <w:p w14:paraId="1E52A9B9" w14:textId="77777777" w:rsidR="00CA23D0" w:rsidRPr="00E30642" w:rsidRDefault="00CA23D0" w:rsidP="00CA23D0">
            <w:pPr>
              <w:pStyle w:val="Texttabulky"/>
              <w:spacing w:line="240" w:lineRule="atLeast"/>
              <w:jc w:val="both"/>
              <w:rPr>
                <w:rFonts w:cs="Arial"/>
              </w:rPr>
            </w:pPr>
            <w:r w:rsidRPr="00E30642">
              <w:rPr>
                <w:rFonts w:cs="Arial"/>
              </w:rPr>
              <w:t>5</w:t>
            </w:r>
          </w:p>
        </w:tc>
        <w:tc>
          <w:tcPr>
            <w:tcW w:w="645" w:type="dxa"/>
            <w:tcBorders>
              <w:top w:val="single" w:sz="6" w:space="0" w:color="auto"/>
              <w:left w:val="single" w:sz="6" w:space="0" w:color="auto"/>
              <w:bottom w:val="single" w:sz="6" w:space="0" w:color="auto"/>
              <w:right w:val="single" w:sz="6" w:space="0" w:color="auto"/>
            </w:tcBorders>
          </w:tcPr>
          <w:p w14:paraId="6445CFE2" w14:textId="77777777" w:rsidR="00CA23D0" w:rsidRPr="00E30642" w:rsidRDefault="00CA23D0" w:rsidP="00CA23D0">
            <w:pPr>
              <w:pStyle w:val="Texttabulky"/>
              <w:spacing w:line="240" w:lineRule="atLeast"/>
              <w:jc w:val="both"/>
              <w:rPr>
                <w:rFonts w:cs="Arial"/>
              </w:rPr>
            </w:pPr>
            <w:r w:rsidRPr="00E30642">
              <w:rPr>
                <w:rFonts w:cs="Arial"/>
              </w:rPr>
              <w:t>5</w:t>
            </w:r>
          </w:p>
        </w:tc>
        <w:tc>
          <w:tcPr>
            <w:tcW w:w="709" w:type="dxa"/>
            <w:tcBorders>
              <w:top w:val="single" w:sz="6" w:space="0" w:color="auto"/>
              <w:left w:val="single" w:sz="6" w:space="0" w:color="auto"/>
              <w:bottom w:val="single" w:sz="6" w:space="0" w:color="auto"/>
              <w:right w:val="single" w:sz="6" w:space="0" w:color="auto"/>
            </w:tcBorders>
          </w:tcPr>
          <w:p w14:paraId="6544FB59" w14:textId="77777777" w:rsidR="00CA23D0" w:rsidRPr="00E30642" w:rsidRDefault="00CA23D0" w:rsidP="00CA23D0">
            <w:pPr>
              <w:pStyle w:val="Texttabulky"/>
              <w:spacing w:line="240" w:lineRule="atLeast"/>
              <w:jc w:val="both"/>
              <w:rPr>
                <w:rFonts w:cs="Arial"/>
              </w:rPr>
            </w:pPr>
            <w:r w:rsidRPr="00E30642">
              <w:rPr>
                <w:rFonts w:cs="Arial"/>
              </w:rPr>
              <w:t>4</w:t>
            </w:r>
          </w:p>
        </w:tc>
        <w:tc>
          <w:tcPr>
            <w:tcW w:w="880" w:type="dxa"/>
            <w:tcBorders>
              <w:top w:val="single" w:sz="6" w:space="0" w:color="auto"/>
              <w:left w:val="single" w:sz="6" w:space="0" w:color="auto"/>
              <w:bottom w:val="single" w:sz="6" w:space="0" w:color="auto"/>
              <w:right w:val="single" w:sz="6" w:space="0" w:color="auto"/>
            </w:tcBorders>
          </w:tcPr>
          <w:p w14:paraId="226B74E7" w14:textId="77777777" w:rsidR="00CA23D0" w:rsidRPr="00E30642" w:rsidRDefault="00CA23D0" w:rsidP="00CA23D0">
            <w:pPr>
              <w:pStyle w:val="Texttabulky"/>
              <w:spacing w:line="240" w:lineRule="atLeast"/>
              <w:jc w:val="both"/>
              <w:rPr>
                <w:rFonts w:cs="Arial"/>
              </w:rPr>
            </w:pPr>
            <w:r w:rsidRPr="00E30642">
              <w:rPr>
                <w:rFonts w:cs="Arial"/>
              </w:rPr>
              <w:t>4</w:t>
            </w:r>
          </w:p>
        </w:tc>
      </w:tr>
      <w:tr w:rsidR="00CA23D0" w:rsidRPr="00E30642" w14:paraId="70DAD518" w14:textId="77777777" w:rsidTr="00CA23D0">
        <w:tc>
          <w:tcPr>
            <w:tcW w:w="474" w:type="dxa"/>
            <w:tcBorders>
              <w:top w:val="single" w:sz="6" w:space="0" w:color="auto"/>
              <w:left w:val="single" w:sz="6" w:space="0" w:color="auto"/>
              <w:bottom w:val="single" w:sz="6" w:space="0" w:color="auto"/>
              <w:right w:val="single" w:sz="6" w:space="0" w:color="auto"/>
            </w:tcBorders>
          </w:tcPr>
          <w:p w14:paraId="6AFDB6B6" w14:textId="77777777" w:rsidR="00CA23D0" w:rsidRPr="00E30642" w:rsidRDefault="00CA23D0" w:rsidP="00CA23D0">
            <w:pPr>
              <w:pStyle w:val="Zkladntext"/>
              <w:jc w:val="both"/>
              <w:rPr>
                <w:rFonts w:ascii="Arial" w:hAnsi="Arial" w:cs="Arial"/>
              </w:rPr>
            </w:pPr>
          </w:p>
        </w:tc>
        <w:tc>
          <w:tcPr>
            <w:tcW w:w="504" w:type="dxa"/>
            <w:tcBorders>
              <w:top w:val="single" w:sz="6" w:space="0" w:color="auto"/>
              <w:left w:val="single" w:sz="6" w:space="0" w:color="auto"/>
              <w:bottom w:val="single" w:sz="6" w:space="0" w:color="auto"/>
              <w:right w:val="single" w:sz="6" w:space="0" w:color="auto"/>
            </w:tcBorders>
          </w:tcPr>
          <w:p w14:paraId="22575244" w14:textId="77777777" w:rsidR="00CA23D0" w:rsidRPr="00E30642" w:rsidRDefault="00CA23D0" w:rsidP="00CA23D0">
            <w:pPr>
              <w:pStyle w:val="Zkladntext"/>
              <w:jc w:val="both"/>
              <w:rPr>
                <w:rFonts w:ascii="Arial" w:hAnsi="Arial" w:cs="Arial"/>
              </w:rPr>
            </w:pPr>
          </w:p>
        </w:tc>
        <w:tc>
          <w:tcPr>
            <w:tcW w:w="1854" w:type="dxa"/>
            <w:tcBorders>
              <w:top w:val="single" w:sz="6" w:space="0" w:color="auto"/>
              <w:left w:val="single" w:sz="6" w:space="0" w:color="auto"/>
              <w:bottom w:val="single" w:sz="6" w:space="0" w:color="auto"/>
              <w:right w:val="single" w:sz="6" w:space="0" w:color="auto"/>
            </w:tcBorders>
          </w:tcPr>
          <w:p w14:paraId="0AFBAEC8" w14:textId="77777777" w:rsidR="00CA23D0" w:rsidRPr="00E30642" w:rsidRDefault="00CA23D0" w:rsidP="00CA23D0">
            <w:pPr>
              <w:pStyle w:val="Texttabulky"/>
              <w:spacing w:line="240" w:lineRule="atLeast"/>
              <w:jc w:val="both"/>
              <w:rPr>
                <w:rFonts w:cs="Arial"/>
              </w:rPr>
            </w:pPr>
            <w:r w:rsidRPr="00E30642">
              <w:rPr>
                <w:rFonts w:cs="Arial"/>
                <w:b/>
                <w:bCs/>
              </w:rPr>
              <w:t>sektor I</w:t>
            </w:r>
          </w:p>
        </w:tc>
        <w:tc>
          <w:tcPr>
            <w:tcW w:w="661" w:type="dxa"/>
            <w:tcBorders>
              <w:top w:val="single" w:sz="6" w:space="0" w:color="auto"/>
              <w:left w:val="single" w:sz="6" w:space="0" w:color="auto"/>
              <w:bottom w:val="single" w:sz="6" w:space="0" w:color="auto"/>
              <w:right w:val="single" w:sz="6" w:space="0" w:color="auto"/>
            </w:tcBorders>
          </w:tcPr>
          <w:p w14:paraId="746CEB58" w14:textId="77777777" w:rsidR="00CA23D0" w:rsidRPr="00E30642" w:rsidRDefault="00CA23D0" w:rsidP="00CA23D0">
            <w:pPr>
              <w:pStyle w:val="Texttabulky"/>
              <w:spacing w:line="240" w:lineRule="atLeast"/>
              <w:jc w:val="both"/>
              <w:rPr>
                <w:rFonts w:cs="Arial"/>
              </w:rPr>
            </w:pPr>
            <w:r w:rsidRPr="00E30642">
              <w:rPr>
                <w:rFonts w:cs="Arial"/>
                <w:b/>
                <w:bCs/>
              </w:rPr>
              <w:t>10 963</w:t>
            </w:r>
          </w:p>
        </w:tc>
        <w:tc>
          <w:tcPr>
            <w:tcW w:w="612" w:type="dxa"/>
            <w:tcBorders>
              <w:top w:val="single" w:sz="6" w:space="0" w:color="auto"/>
              <w:left w:val="single" w:sz="6" w:space="0" w:color="auto"/>
              <w:bottom w:val="single" w:sz="6" w:space="0" w:color="auto"/>
              <w:right w:val="single" w:sz="6" w:space="0" w:color="auto"/>
            </w:tcBorders>
          </w:tcPr>
          <w:p w14:paraId="118D941F" w14:textId="77777777" w:rsidR="00CA23D0" w:rsidRPr="00E30642" w:rsidRDefault="00CA23D0" w:rsidP="00CA23D0">
            <w:pPr>
              <w:pStyle w:val="Texttabulky"/>
              <w:spacing w:line="240" w:lineRule="atLeast"/>
              <w:jc w:val="both"/>
              <w:rPr>
                <w:rFonts w:cs="Arial"/>
              </w:rPr>
            </w:pPr>
            <w:r w:rsidRPr="00E30642">
              <w:rPr>
                <w:rFonts w:cs="Arial"/>
                <w:b/>
                <w:bCs/>
              </w:rPr>
              <w:t>400</w:t>
            </w:r>
          </w:p>
        </w:tc>
        <w:tc>
          <w:tcPr>
            <w:tcW w:w="615" w:type="dxa"/>
            <w:tcBorders>
              <w:top w:val="single" w:sz="6" w:space="0" w:color="auto"/>
              <w:left w:val="single" w:sz="6" w:space="0" w:color="auto"/>
              <w:bottom w:val="single" w:sz="6" w:space="0" w:color="auto"/>
              <w:right w:val="single" w:sz="6" w:space="0" w:color="auto"/>
            </w:tcBorders>
          </w:tcPr>
          <w:p w14:paraId="7F781431" w14:textId="77777777" w:rsidR="00CA23D0" w:rsidRPr="00E30642" w:rsidRDefault="00CA23D0" w:rsidP="00CA23D0">
            <w:pPr>
              <w:pStyle w:val="Texttabulky"/>
              <w:spacing w:line="240" w:lineRule="atLeast"/>
              <w:jc w:val="both"/>
              <w:rPr>
                <w:rFonts w:cs="Arial"/>
              </w:rPr>
            </w:pPr>
            <w:r w:rsidRPr="00E30642">
              <w:rPr>
                <w:rFonts w:cs="Arial"/>
                <w:b/>
                <w:bCs/>
              </w:rPr>
              <w:t>335</w:t>
            </w:r>
          </w:p>
        </w:tc>
        <w:tc>
          <w:tcPr>
            <w:tcW w:w="675" w:type="dxa"/>
            <w:tcBorders>
              <w:top w:val="single" w:sz="6" w:space="0" w:color="auto"/>
              <w:left w:val="single" w:sz="6" w:space="0" w:color="auto"/>
              <w:bottom w:val="single" w:sz="6" w:space="0" w:color="auto"/>
              <w:right w:val="single" w:sz="6" w:space="0" w:color="auto"/>
            </w:tcBorders>
          </w:tcPr>
          <w:p w14:paraId="3CAB9F13" w14:textId="77777777" w:rsidR="00CA23D0" w:rsidRPr="00E30642" w:rsidRDefault="00CA23D0" w:rsidP="00CA23D0">
            <w:pPr>
              <w:pStyle w:val="Texttabulky"/>
              <w:spacing w:line="240" w:lineRule="atLeast"/>
              <w:jc w:val="both"/>
              <w:rPr>
                <w:rFonts w:cs="Arial"/>
              </w:rPr>
            </w:pPr>
            <w:r w:rsidRPr="00E30642">
              <w:rPr>
                <w:rFonts w:cs="Arial"/>
                <w:b/>
                <w:bCs/>
              </w:rPr>
              <w:t>405</w:t>
            </w:r>
          </w:p>
        </w:tc>
        <w:tc>
          <w:tcPr>
            <w:tcW w:w="855" w:type="dxa"/>
            <w:tcBorders>
              <w:top w:val="single" w:sz="6" w:space="0" w:color="auto"/>
              <w:left w:val="single" w:sz="6" w:space="0" w:color="auto"/>
              <w:bottom w:val="single" w:sz="6" w:space="0" w:color="auto"/>
              <w:right w:val="single" w:sz="6" w:space="0" w:color="auto"/>
            </w:tcBorders>
          </w:tcPr>
          <w:p w14:paraId="1F027EBC" w14:textId="77777777" w:rsidR="00CA23D0" w:rsidRPr="00E30642" w:rsidRDefault="00CA23D0" w:rsidP="00CA23D0">
            <w:pPr>
              <w:pStyle w:val="Texttabulky"/>
              <w:spacing w:line="240" w:lineRule="atLeast"/>
              <w:jc w:val="both"/>
              <w:rPr>
                <w:rFonts w:cs="Arial"/>
              </w:rPr>
            </w:pPr>
            <w:r w:rsidRPr="00E30642">
              <w:rPr>
                <w:rFonts w:cs="Arial"/>
                <w:b/>
                <w:bCs/>
              </w:rPr>
              <w:t>11 250</w:t>
            </w:r>
          </w:p>
        </w:tc>
        <w:tc>
          <w:tcPr>
            <w:tcW w:w="645" w:type="dxa"/>
            <w:tcBorders>
              <w:top w:val="single" w:sz="6" w:space="0" w:color="auto"/>
              <w:left w:val="single" w:sz="6" w:space="0" w:color="auto"/>
              <w:bottom w:val="single" w:sz="6" w:space="0" w:color="auto"/>
              <w:right w:val="single" w:sz="6" w:space="0" w:color="auto"/>
            </w:tcBorders>
          </w:tcPr>
          <w:p w14:paraId="3DC4BC2D" w14:textId="77777777" w:rsidR="00CA23D0" w:rsidRPr="00E30642" w:rsidRDefault="00CA23D0" w:rsidP="00CA23D0">
            <w:pPr>
              <w:pStyle w:val="Texttabulky"/>
              <w:spacing w:line="240" w:lineRule="atLeast"/>
              <w:jc w:val="both"/>
              <w:rPr>
                <w:rFonts w:cs="Arial"/>
              </w:rPr>
            </w:pPr>
            <w:r w:rsidRPr="00E30642">
              <w:rPr>
                <w:rFonts w:cs="Arial"/>
                <w:b/>
                <w:bCs/>
              </w:rPr>
              <w:t>11 655</w:t>
            </w:r>
          </w:p>
        </w:tc>
        <w:tc>
          <w:tcPr>
            <w:tcW w:w="709" w:type="dxa"/>
            <w:tcBorders>
              <w:top w:val="single" w:sz="6" w:space="0" w:color="auto"/>
              <w:left w:val="single" w:sz="6" w:space="0" w:color="auto"/>
              <w:bottom w:val="single" w:sz="6" w:space="0" w:color="auto"/>
              <w:right w:val="single" w:sz="6" w:space="0" w:color="auto"/>
            </w:tcBorders>
          </w:tcPr>
          <w:p w14:paraId="3F73E7EF" w14:textId="77777777" w:rsidR="00CA23D0" w:rsidRPr="00E30642" w:rsidRDefault="00CA23D0" w:rsidP="00CA23D0">
            <w:pPr>
              <w:pStyle w:val="Texttabulky"/>
              <w:spacing w:line="240" w:lineRule="atLeast"/>
              <w:jc w:val="both"/>
              <w:rPr>
                <w:rFonts w:cs="Arial"/>
              </w:rPr>
            </w:pPr>
            <w:r w:rsidRPr="00E30642">
              <w:rPr>
                <w:rFonts w:cs="Arial"/>
                <w:b/>
                <w:bCs/>
              </w:rPr>
              <w:t>287</w:t>
            </w:r>
          </w:p>
        </w:tc>
        <w:tc>
          <w:tcPr>
            <w:tcW w:w="880" w:type="dxa"/>
            <w:tcBorders>
              <w:top w:val="single" w:sz="6" w:space="0" w:color="auto"/>
              <w:left w:val="single" w:sz="6" w:space="0" w:color="auto"/>
              <w:bottom w:val="single" w:sz="6" w:space="0" w:color="auto"/>
              <w:right w:val="single" w:sz="6" w:space="0" w:color="auto"/>
            </w:tcBorders>
          </w:tcPr>
          <w:p w14:paraId="5C9590A4" w14:textId="77777777" w:rsidR="00CA23D0" w:rsidRPr="00E30642" w:rsidRDefault="00CA23D0" w:rsidP="00CA23D0">
            <w:pPr>
              <w:pStyle w:val="Texttabulky"/>
              <w:spacing w:line="240" w:lineRule="atLeast"/>
              <w:jc w:val="both"/>
              <w:rPr>
                <w:rFonts w:cs="Arial"/>
              </w:rPr>
            </w:pPr>
            <w:r w:rsidRPr="00E30642">
              <w:rPr>
                <w:rFonts w:cs="Arial"/>
                <w:b/>
                <w:bCs/>
              </w:rPr>
              <w:t>692</w:t>
            </w:r>
          </w:p>
        </w:tc>
      </w:tr>
    </w:tbl>
    <w:p w14:paraId="162DDAAE" w14:textId="77777777" w:rsidR="00CA23D0" w:rsidRPr="00E30642" w:rsidRDefault="00CA23D0" w:rsidP="00CA23D0">
      <w:pPr>
        <w:pStyle w:val="Zkladntext"/>
        <w:spacing w:line="240" w:lineRule="atLeast"/>
        <w:jc w:val="both"/>
        <w:rPr>
          <w:rFonts w:ascii="Arial" w:hAnsi="Arial" w:cs="Arial"/>
          <w:i/>
        </w:rPr>
      </w:pPr>
    </w:p>
    <w:p w14:paraId="782AFA7B"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Sektor II - Letná, Želenice</w:t>
      </w:r>
    </w:p>
    <w:tbl>
      <w:tblPr>
        <w:tblpPr w:leftFromText="141" w:rightFromText="141" w:vertAnchor="text" w:horzAnchor="margin" w:tblpY="3188"/>
        <w:tblW w:w="0" w:type="auto"/>
        <w:tblLayout w:type="fixed"/>
        <w:tblCellMar>
          <w:left w:w="30" w:type="dxa"/>
          <w:right w:w="30" w:type="dxa"/>
        </w:tblCellMar>
        <w:tblLook w:val="0000" w:firstRow="0" w:lastRow="0" w:firstColumn="0" w:lastColumn="0" w:noHBand="0" w:noVBand="0"/>
      </w:tblPr>
      <w:tblGrid>
        <w:gridCol w:w="525"/>
        <w:gridCol w:w="558"/>
        <w:gridCol w:w="1904"/>
        <w:gridCol w:w="732"/>
        <w:gridCol w:w="678"/>
        <w:gridCol w:w="681"/>
        <w:gridCol w:w="748"/>
        <w:gridCol w:w="947"/>
        <w:gridCol w:w="714"/>
        <w:gridCol w:w="785"/>
        <w:gridCol w:w="942"/>
      </w:tblGrid>
      <w:tr w:rsidR="00CA23D0" w:rsidRPr="00E30642" w14:paraId="350CC7DF" w14:textId="77777777" w:rsidTr="00CA23D0">
        <w:trPr>
          <w:trHeight w:val="677"/>
        </w:trPr>
        <w:tc>
          <w:tcPr>
            <w:tcW w:w="525" w:type="dxa"/>
            <w:vMerge w:val="restart"/>
            <w:tcBorders>
              <w:top w:val="single" w:sz="6" w:space="0" w:color="auto"/>
              <w:left w:val="single" w:sz="6" w:space="0" w:color="auto"/>
              <w:right w:val="single" w:sz="6" w:space="0" w:color="auto"/>
            </w:tcBorders>
          </w:tcPr>
          <w:p w14:paraId="23D84682" w14:textId="77777777" w:rsidR="00CA23D0" w:rsidRPr="00E30642" w:rsidRDefault="00CA23D0" w:rsidP="00CA23D0">
            <w:pPr>
              <w:pStyle w:val="Texttabulky"/>
              <w:jc w:val="both"/>
              <w:rPr>
                <w:rFonts w:cs="Arial"/>
                <w:i/>
              </w:rPr>
            </w:pPr>
            <w:r w:rsidRPr="00E30642">
              <w:rPr>
                <w:rFonts w:cs="Arial"/>
                <w:b/>
                <w:bCs/>
                <w:i/>
              </w:rPr>
              <w:t>poř.č.UO</w:t>
            </w:r>
          </w:p>
        </w:tc>
        <w:tc>
          <w:tcPr>
            <w:tcW w:w="558" w:type="dxa"/>
            <w:vMerge w:val="restart"/>
            <w:tcBorders>
              <w:top w:val="single" w:sz="6" w:space="0" w:color="auto"/>
              <w:left w:val="single" w:sz="6" w:space="0" w:color="auto"/>
              <w:right w:val="single" w:sz="6" w:space="0" w:color="auto"/>
            </w:tcBorders>
          </w:tcPr>
          <w:p w14:paraId="3B15AC96" w14:textId="77777777" w:rsidR="00CA23D0" w:rsidRPr="00E30642" w:rsidRDefault="00CA23D0" w:rsidP="00CA23D0">
            <w:pPr>
              <w:pStyle w:val="Texttabulky"/>
              <w:jc w:val="both"/>
              <w:rPr>
                <w:rFonts w:cs="Arial"/>
                <w:i/>
              </w:rPr>
            </w:pPr>
            <w:r w:rsidRPr="00E30642">
              <w:rPr>
                <w:rFonts w:cs="Arial"/>
                <w:b/>
                <w:bCs/>
                <w:i/>
              </w:rPr>
              <w:t>char. UO</w:t>
            </w:r>
          </w:p>
        </w:tc>
        <w:tc>
          <w:tcPr>
            <w:tcW w:w="1904" w:type="dxa"/>
            <w:vMerge w:val="restart"/>
            <w:tcBorders>
              <w:top w:val="single" w:sz="6" w:space="0" w:color="auto"/>
              <w:left w:val="single" w:sz="6" w:space="0" w:color="auto"/>
              <w:right w:val="single" w:sz="6" w:space="0" w:color="auto"/>
            </w:tcBorders>
          </w:tcPr>
          <w:p w14:paraId="498ADBA5" w14:textId="77777777" w:rsidR="00CA23D0" w:rsidRPr="00E30642" w:rsidRDefault="00CA23D0" w:rsidP="00CA23D0">
            <w:pPr>
              <w:pStyle w:val="Texttabulky"/>
              <w:jc w:val="both"/>
              <w:rPr>
                <w:rFonts w:cs="Arial"/>
                <w:i/>
              </w:rPr>
            </w:pPr>
            <w:r w:rsidRPr="00E30642">
              <w:rPr>
                <w:rFonts w:cs="Arial"/>
                <w:b/>
                <w:bCs/>
                <w:i/>
              </w:rPr>
              <w:t>název urbanistického obvodu</w:t>
            </w:r>
          </w:p>
        </w:tc>
        <w:tc>
          <w:tcPr>
            <w:tcW w:w="732" w:type="dxa"/>
            <w:vMerge w:val="restart"/>
            <w:tcBorders>
              <w:top w:val="single" w:sz="6" w:space="0" w:color="auto"/>
              <w:left w:val="single" w:sz="6" w:space="0" w:color="auto"/>
              <w:right w:val="single" w:sz="6" w:space="0" w:color="auto"/>
            </w:tcBorders>
          </w:tcPr>
          <w:p w14:paraId="6F192B05" w14:textId="77777777" w:rsidR="00CA23D0" w:rsidRPr="00E30642" w:rsidRDefault="00CA23D0" w:rsidP="00CA23D0">
            <w:pPr>
              <w:pStyle w:val="Texttabulky"/>
              <w:jc w:val="both"/>
              <w:rPr>
                <w:rFonts w:cs="Arial"/>
                <w:i/>
              </w:rPr>
            </w:pPr>
            <w:r w:rsidRPr="00E30642">
              <w:rPr>
                <w:rFonts w:cs="Arial"/>
                <w:b/>
                <w:bCs/>
                <w:i/>
              </w:rPr>
              <w:t>OB91</w:t>
            </w:r>
          </w:p>
        </w:tc>
        <w:tc>
          <w:tcPr>
            <w:tcW w:w="2107" w:type="dxa"/>
            <w:gridSpan w:val="3"/>
            <w:tcBorders>
              <w:top w:val="single" w:sz="6" w:space="0" w:color="auto"/>
              <w:left w:val="single" w:sz="6" w:space="0" w:color="auto"/>
              <w:bottom w:val="single" w:sz="6" w:space="0" w:color="auto"/>
              <w:right w:val="single" w:sz="6" w:space="0" w:color="auto"/>
            </w:tcBorders>
          </w:tcPr>
          <w:p w14:paraId="3394561A" w14:textId="77777777" w:rsidR="00CA23D0" w:rsidRPr="00E30642" w:rsidRDefault="00CA23D0" w:rsidP="00CA23D0">
            <w:pPr>
              <w:pStyle w:val="Zkladntext"/>
              <w:jc w:val="both"/>
              <w:rPr>
                <w:rFonts w:ascii="Arial" w:hAnsi="Arial" w:cs="Arial"/>
                <w:i/>
                <w:sz w:val="16"/>
              </w:rPr>
            </w:pPr>
            <w:r w:rsidRPr="00E30642">
              <w:rPr>
                <w:rFonts w:ascii="Arial" w:hAnsi="Arial" w:cs="Arial"/>
                <w:b/>
                <w:bCs/>
                <w:i/>
                <w:sz w:val="16"/>
              </w:rPr>
              <w:t>nové obytné plochy</w:t>
            </w:r>
          </w:p>
        </w:tc>
        <w:tc>
          <w:tcPr>
            <w:tcW w:w="1661" w:type="dxa"/>
            <w:gridSpan w:val="2"/>
            <w:tcBorders>
              <w:top w:val="single" w:sz="6" w:space="0" w:color="auto"/>
              <w:left w:val="single" w:sz="6" w:space="0" w:color="auto"/>
              <w:bottom w:val="single" w:sz="6" w:space="0" w:color="auto"/>
              <w:right w:val="single" w:sz="6" w:space="0" w:color="auto"/>
            </w:tcBorders>
          </w:tcPr>
          <w:p w14:paraId="5CB803E0" w14:textId="77777777" w:rsidR="00CA23D0" w:rsidRPr="00E30642" w:rsidRDefault="00CA23D0" w:rsidP="00CA23D0">
            <w:pPr>
              <w:pStyle w:val="Zkladntext"/>
              <w:jc w:val="both"/>
              <w:rPr>
                <w:rFonts w:ascii="Arial" w:hAnsi="Arial" w:cs="Arial"/>
                <w:i/>
                <w:sz w:val="16"/>
              </w:rPr>
            </w:pPr>
            <w:r w:rsidRPr="00E30642">
              <w:rPr>
                <w:rFonts w:ascii="Arial" w:hAnsi="Arial" w:cs="Arial"/>
                <w:b/>
                <w:bCs/>
                <w:i/>
                <w:sz w:val="16"/>
              </w:rPr>
              <w:t>počet bydlících osob</w:t>
            </w:r>
          </w:p>
        </w:tc>
        <w:tc>
          <w:tcPr>
            <w:tcW w:w="785" w:type="dxa"/>
            <w:vMerge w:val="restart"/>
            <w:tcBorders>
              <w:top w:val="single" w:sz="6" w:space="0" w:color="auto"/>
              <w:left w:val="single" w:sz="6" w:space="0" w:color="auto"/>
              <w:right w:val="single" w:sz="6" w:space="0" w:color="auto"/>
            </w:tcBorders>
          </w:tcPr>
          <w:p w14:paraId="1A799FD0" w14:textId="77777777" w:rsidR="00CA23D0" w:rsidRPr="00E30642" w:rsidRDefault="00CA23D0" w:rsidP="00CA23D0">
            <w:pPr>
              <w:pStyle w:val="Texttabulky"/>
              <w:jc w:val="both"/>
              <w:rPr>
                <w:rFonts w:cs="Arial"/>
                <w:i/>
              </w:rPr>
            </w:pPr>
            <w:r w:rsidRPr="00E30642">
              <w:rPr>
                <w:rFonts w:cs="Arial"/>
                <w:b/>
                <w:bCs/>
                <w:i/>
              </w:rPr>
              <w:t xml:space="preserve">OB přírůstek návrh </w:t>
            </w:r>
          </w:p>
        </w:tc>
        <w:tc>
          <w:tcPr>
            <w:tcW w:w="942" w:type="dxa"/>
            <w:vMerge w:val="restart"/>
            <w:tcBorders>
              <w:top w:val="single" w:sz="6" w:space="0" w:color="auto"/>
              <w:left w:val="single" w:sz="6" w:space="0" w:color="auto"/>
              <w:right w:val="single" w:sz="6" w:space="0" w:color="auto"/>
            </w:tcBorders>
          </w:tcPr>
          <w:p w14:paraId="46F4B692" w14:textId="77777777" w:rsidR="00CA23D0" w:rsidRPr="00E30642" w:rsidRDefault="00CA23D0" w:rsidP="00CA23D0">
            <w:pPr>
              <w:pStyle w:val="Texttabulky"/>
              <w:jc w:val="both"/>
              <w:rPr>
                <w:rFonts w:cs="Arial"/>
                <w:i/>
              </w:rPr>
            </w:pPr>
            <w:r w:rsidRPr="00E30642">
              <w:rPr>
                <w:rFonts w:cs="Arial"/>
                <w:b/>
                <w:bCs/>
                <w:i/>
              </w:rPr>
              <w:t>OB přírůstek návrh +rez.</w:t>
            </w:r>
          </w:p>
        </w:tc>
      </w:tr>
      <w:tr w:rsidR="00CA23D0" w:rsidRPr="00E30642" w14:paraId="6CCF7F43" w14:textId="77777777" w:rsidTr="00CA23D0">
        <w:trPr>
          <w:trHeight w:val="677"/>
        </w:trPr>
        <w:tc>
          <w:tcPr>
            <w:tcW w:w="525" w:type="dxa"/>
            <w:vMerge/>
            <w:tcBorders>
              <w:left w:val="single" w:sz="6" w:space="0" w:color="auto"/>
              <w:bottom w:val="single" w:sz="6" w:space="0" w:color="auto"/>
              <w:right w:val="single" w:sz="6" w:space="0" w:color="auto"/>
            </w:tcBorders>
          </w:tcPr>
          <w:p w14:paraId="465C7EC4" w14:textId="77777777" w:rsidR="00CA23D0" w:rsidRPr="00E30642" w:rsidRDefault="00CA23D0" w:rsidP="00CA23D0">
            <w:pPr>
              <w:pStyle w:val="Zkladntext"/>
              <w:spacing w:line="240" w:lineRule="atLeast"/>
              <w:jc w:val="both"/>
              <w:rPr>
                <w:rFonts w:ascii="Arial" w:hAnsi="Arial" w:cs="Arial"/>
                <w:i/>
              </w:rPr>
            </w:pPr>
          </w:p>
        </w:tc>
        <w:tc>
          <w:tcPr>
            <w:tcW w:w="558" w:type="dxa"/>
            <w:vMerge/>
            <w:tcBorders>
              <w:left w:val="single" w:sz="6" w:space="0" w:color="auto"/>
              <w:bottom w:val="single" w:sz="6" w:space="0" w:color="auto"/>
              <w:right w:val="single" w:sz="6" w:space="0" w:color="auto"/>
            </w:tcBorders>
          </w:tcPr>
          <w:p w14:paraId="65780D5A" w14:textId="77777777" w:rsidR="00CA23D0" w:rsidRPr="00E30642" w:rsidRDefault="00CA23D0" w:rsidP="00CA23D0">
            <w:pPr>
              <w:pStyle w:val="Zkladntext"/>
              <w:spacing w:line="240" w:lineRule="atLeast"/>
              <w:jc w:val="both"/>
              <w:rPr>
                <w:rFonts w:ascii="Arial" w:hAnsi="Arial" w:cs="Arial"/>
                <w:i/>
              </w:rPr>
            </w:pPr>
          </w:p>
        </w:tc>
        <w:tc>
          <w:tcPr>
            <w:tcW w:w="1904" w:type="dxa"/>
            <w:vMerge/>
            <w:tcBorders>
              <w:left w:val="single" w:sz="6" w:space="0" w:color="auto"/>
              <w:bottom w:val="single" w:sz="6" w:space="0" w:color="auto"/>
              <w:right w:val="single" w:sz="6" w:space="0" w:color="auto"/>
            </w:tcBorders>
          </w:tcPr>
          <w:p w14:paraId="49A521F7" w14:textId="77777777" w:rsidR="00CA23D0" w:rsidRPr="00E30642" w:rsidRDefault="00CA23D0" w:rsidP="00CA23D0">
            <w:pPr>
              <w:pStyle w:val="Zkladntext"/>
              <w:spacing w:line="240" w:lineRule="atLeast"/>
              <w:jc w:val="both"/>
              <w:rPr>
                <w:rFonts w:ascii="Arial" w:hAnsi="Arial" w:cs="Arial"/>
                <w:i/>
              </w:rPr>
            </w:pPr>
          </w:p>
        </w:tc>
        <w:tc>
          <w:tcPr>
            <w:tcW w:w="732" w:type="dxa"/>
            <w:vMerge/>
            <w:tcBorders>
              <w:left w:val="single" w:sz="6" w:space="0" w:color="auto"/>
              <w:bottom w:val="single" w:sz="6" w:space="0" w:color="auto"/>
              <w:right w:val="single" w:sz="6" w:space="0" w:color="auto"/>
            </w:tcBorders>
          </w:tcPr>
          <w:p w14:paraId="5F14ECA0" w14:textId="77777777" w:rsidR="00CA23D0" w:rsidRPr="00E30642" w:rsidRDefault="00CA23D0" w:rsidP="00CA23D0">
            <w:pPr>
              <w:pStyle w:val="Zkladntext"/>
              <w:spacing w:line="240" w:lineRule="atLeast"/>
              <w:jc w:val="both"/>
              <w:rPr>
                <w:rFonts w:ascii="Arial" w:hAnsi="Arial" w:cs="Arial"/>
                <w:i/>
              </w:rPr>
            </w:pPr>
          </w:p>
        </w:tc>
        <w:tc>
          <w:tcPr>
            <w:tcW w:w="678" w:type="dxa"/>
            <w:tcBorders>
              <w:top w:val="single" w:sz="6" w:space="0" w:color="auto"/>
              <w:left w:val="single" w:sz="6" w:space="0" w:color="auto"/>
              <w:bottom w:val="single" w:sz="6" w:space="0" w:color="auto"/>
              <w:right w:val="single" w:sz="6" w:space="0" w:color="auto"/>
            </w:tcBorders>
          </w:tcPr>
          <w:p w14:paraId="40C6A58B" w14:textId="77777777" w:rsidR="00CA23D0" w:rsidRPr="00E30642" w:rsidRDefault="00CA23D0" w:rsidP="00CA23D0">
            <w:pPr>
              <w:pStyle w:val="Texttabulky"/>
              <w:spacing w:line="240" w:lineRule="atLeast"/>
              <w:jc w:val="both"/>
              <w:rPr>
                <w:rFonts w:cs="Arial"/>
                <w:i/>
              </w:rPr>
            </w:pPr>
            <w:r w:rsidRPr="00E30642">
              <w:rPr>
                <w:rFonts w:cs="Arial"/>
                <w:b/>
                <w:bCs/>
                <w:i/>
              </w:rPr>
              <w:t>OB návrh I</w:t>
            </w:r>
          </w:p>
        </w:tc>
        <w:tc>
          <w:tcPr>
            <w:tcW w:w="681" w:type="dxa"/>
            <w:tcBorders>
              <w:top w:val="single" w:sz="6" w:space="0" w:color="auto"/>
              <w:left w:val="single" w:sz="6" w:space="0" w:color="auto"/>
              <w:bottom w:val="single" w:sz="6" w:space="0" w:color="auto"/>
              <w:right w:val="single" w:sz="6" w:space="0" w:color="auto"/>
            </w:tcBorders>
          </w:tcPr>
          <w:p w14:paraId="1FC9A329" w14:textId="77777777" w:rsidR="00CA23D0" w:rsidRPr="00E30642" w:rsidRDefault="00CA23D0" w:rsidP="00CA23D0">
            <w:pPr>
              <w:pStyle w:val="Texttabulky"/>
              <w:spacing w:line="240" w:lineRule="atLeast"/>
              <w:jc w:val="both"/>
              <w:rPr>
                <w:rFonts w:cs="Arial"/>
                <w:i/>
              </w:rPr>
            </w:pPr>
            <w:r w:rsidRPr="00E30642">
              <w:rPr>
                <w:rFonts w:cs="Arial"/>
                <w:b/>
                <w:bCs/>
                <w:i/>
              </w:rPr>
              <w:t>OB návrh II</w:t>
            </w:r>
          </w:p>
        </w:tc>
        <w:tc>
          <w:tcPr>
            <w:tcW w:w="748" w:type="dxa"/>
            <w:tcBorders>
              <w:top w:val="single" w:sz="6" w:space="0" w:color="auto"/>
              <w:left w:val="single" w:sz="6" w:space="0" w:color="auto"/>
              <w:bottom w:val="single" w:sz="6" w:space="0" w:color="auto"/>
              <w:right w:val="single" w:sz="6" w:space="0" w:color="auto"/>
            </w:tcBorders>
          </w:tcPr>
          <w:p w14:paraId="15851152" w14:textId="77777777" w:rsidR="00CA23D0" w:rsidRPr="00E30642" w:rsidRDefault="00CA23D0" w:rsidP="00CA23D0">
            <w:pPr>
              <w:pStyle w:val="Texttabulky"/>
              <w:spacing w:line="240" w:lineRule="atLeast"/>
              <w:jc w:val="both"/>
              <w:rPr>
                <w:rFonts w:cs="Arial"/>
                <w:i/>
              </w:rPr>
            </w:pPr>
            <w:r w:rsidRPr="00E30642">
              <w:rPr>
                <w:rFonts w:cs="Arial"/>
                <w:b/>
                <w:bCs/>
                <w:i/>
              </w:rPr>
              <w:t>OB rezerva</w:t>
            </w:r>
          </w:p>
        </w:tc>
        <w:tc>
          <w:tcPr>
            <w:tcW w:w="947" w:type="dxa"/>
            <w:tcBorders>
              <w:top w:val="single" w:sz="6" w:space="0" w:color="auto"/>
              <w:left w:val="single" w:sz="6" w:space="0" w:color="auto"/>
              <w:bottom w:val="single" w:sz="6" w:space="0" w:color="auto"/>
              <w:right w:val="single" w:sz="6" w:space="0" w:color="auto"/>
            </w:tcBorders>
          </w:tcPr>
          <w:p w14:paraId="2CF63DD3" w14:textId="77777777" w:rsidR="00CA23D0" w:rsidRPr="00E30642" w:rsidRDefault="00CA23D0" w:rsidP="00CA23D0">
            <w:pPr>
              <w:pStyle w:val="Texttabulky"/>
              <w:spacing w:line="240" w:lineRule="atLeast"/>
              <w:jc w:val="both"/>
              <w:rPr>
                <w:rFonts w:cs="Arial"/>
                <w:i/>
              </w:rPr>
            </w:pPr>
            <w:r w:rsidRPr="00E30642">
              <w:rPr>
                <w:rFonts w:cs="Arial"/>
                <w:b/>
                <w:bCs/>
                <w:i/>
              </w:rPr>
              <w:t>návrh</w:t>
            </w:r>
          </w:p>
        </w:tc>
        <w:tc>
          <w:tcPr>
            <w:tcW w:w="714" w:type="dxa"/>
            <w:tcBorders>
              <w:top w:val="single" w:sz="6" w:space="0" w:color="auto"/>
              <w:left w:val="single" w:sz="6" w:space="0" w:color="auto"/>
              <w:bottom w:val="single" w:sz="6" w:space="0" w:color="auto"/>
              <w:right w:val="single" w:sz="6" w:space="0" w:color="auto"/>
            </w:tcBorders>
          </w:tcPr>
          <w:p w14:paraId="7DAE829E" w14:textId="77777777" w:rsidR="00CA23D0" w:rsidRPr="00E30642" w:rsidRDefault="00CA23D0" w:rsidP="00CA23D0">
            <w:pPr>
              <w:pStyle w:val="Texttabulky"/>
              <w:spacing w:line="240" w:lineRule="atLeast"/>
              <w:jc w:val="both"/>
              <w:rPr>
                <w:rFonts w:cs="Arial"/>
                <w:i/>
              </w:rPr>
            </w:pPr>
            <w:r w:rsidRPr="00E30642">
              <w:rPr>
                <w:rFonts w:cs="Arial"/>
                <w:b/>
                <w:bCs/>
                <w:i/>
              </w:rPr>
              <w:t>návrh + rez.</w:t>
            </w:r>
          </w:p>
        </w:tc>
        <w:tc>
          <w:tcPr>
            <w:tcW w:w="785" w:type="dxa"/>
            <w:vMerge/>
            <w:tcBorders>
              <w:left w:val="single" w:sz="6" w:space="0" w:color="auto"/>
              <w:bottom w:val="single" w:sz="6" w:space="0" w:color="auto"/>
              <w:right w:val="single" w:sz="6" w:space="0" w:color="auto"/>
            </w:tcBorders>
          </w:tcPr>
          <w:p w14:paraId="2AD5E5BB" w14:textId="77777777" w:rsidR="00CA23D0" w:rsidRPr="00E30642" w:rsidRDefault="00CA23D0" w:rsidP="00CA23D0">
            <w:pPr>
              <w:pStyle w:val="Zkladntext"/>
              <w:spacing w:line="240" w:lineRule="atLeast"/>
              <w:jc w:val="both"/>
              <w:rPr>
                <w:rFonts w:ascii="Arial" w:hAnsi="Arial" w:cs="Arial"/>
                <w:i/>
              </w:rPr>
            </w:pPr>
          </w:p>
        </w:tc>
        <w:tc>
          <w:tcPr>
            <w:tcW w:w="942" w:type="dxa"/>
            <w:vMerge/>
            <w:tcBorders>
              <w:left w:val="single" w:sz="6" w:space="0" w:color="auto"/>
              <w:bottom w:val="single" w:sz="6" w:space="0" w:color="auto"/>
              <w:right w:val="single" w:sz="6" w:space="0" w:color="auto"/>
            </w:tcBorders>
          </w:tcPr>
          <w:p w14:paraId="6ADAF3FF" w14:textId="77777777" w:rsidR="00CA23D0" w:rsidRPr="00E30642" w:rsidRDefault="00CA23D0" w:rsidP="00CA23D0">
            <w:pPr>
              <w:pStyle w:val="Zkladntext"/>
              <w:spacing w:line="240" w:lineRule="atLeast"/>
              <w:jc w:val="both"/>
              <w:rPr>
                <w:rFonts w:ascii="Arial" w:hAnsi="Arial" w:cs="Arial"/>
                <w:i/>
              </w:rPr>
            </w:pPr>
          </w:p>
        </w:tc>
      </w:tr>
      <w:tr w:rsidR="00CA23D0" w:rsidRPr="00E30642" w14:paraId="4BB4CF7B" w14:textId="77777777" w:rsidTr="00CA23D0">
        <w:trPr>
          <w:trHeight w:val="233"/>
        </w:trPr>
        <w:tc>
          <w:tcPr>
            <w:tcW w:w="525" w:type="dxa"/>
            <w:tcBorders>
              <w:top w:val="single" w:sz="6" w:space="0" w:color="auto"/>
              <w:left w:val="single" w:sz="6" w:space="0" w:color="auto"/>
              <w:bottom w:val="single" w:sz="6" w:space="0" w:color="auto"/>
              <w:right w:val="single" w:sz="6" w:space="0" w:color="auto"/>
            </w:tcBorders>
          </w:tcPr>
          <w:p w14:paraId="6F521078" w14:textId="77777777" w:rsidR="00CA23D0" w:rsidRPr="00E30642" w:rsidRDefault="00CA23D0" w:rsidP="00CA23D0">
            <w:pPr>
              <w:pStyle w:val="Texttabulky"/>
              <w:spacing w:line="240" w:lineRule="atLeast"/>
              <w:jc w:val="both"/>
              <w:rPr>
                <w:rFonts w:cs="Arial"/>
                <w:i/>
              </w:rPr>
            </w:pPr>
            <w:r w:rsidRPr="00E30642">
              <w:rPr>
                <w:rFonts w:cs="Arial"/>
                <w:i/>
              </w:rPr>
              <w:t>18</w:t>
            </w:r>
          </w:p>
        </w:tc>
        <w:tc>
          <w:tcPr>
            <w:tcW w:w="558" w:type="dxa"/>
            <w:tcBorders>
              <w:top w:val="single" w:sz="6" w:space="0" w:color="auto"/>
              <w:left w:val="single" w:sz="6" w:space="0" w:color="auto"/>
              <w:bottom w:val="single" w:sz="6" w:space="0" w:color="auto"/>
              <w:right w:val="single" w:sz="6" w:space="0" w:color="auto"/>
            </w:tcBorders>
          </w:tcPr>
          <w:p w14:paraId="3A4EB16C" w14:textId="77777777" w:rsidR="00CA23D0" w:rsidRPr="00E30642" w:rsidRDefault="00CA23D0" w:rsidP="00CA23D0">
            <w:pPr>
              <w:pStyle w:val="Texttabulky"/>
              <w:spacing w:line="240" w:lineRule="atLeast"/>
              <w:jc w:val="both"/>
              <w:rPr>
                <w:rFonts w:cs="Arial"/>
                <w:i/>
              </w:rPr>
            </w:pPr>
            <w:r w:rsidRPr="00E30642">
              <w:rPr>
                <w:rFonts w:cs="Arial"/>
                <w:i/>
              </w:rPr>
              <w:t>P</w:t>
            </w:r>
          </w:p>
        </w:tc>
        <w:tc>
          <w:tcPr>
            <w:tcW w:w="1904" w:type="dxa"/>
            <w:tcBorders>
              <w:top w:val="single" w:sz="6" w:space="0" w:color="auto"/>
              <w:left w:val="single" w:sz="6" w:space="0" w:color="auto"/>
              <w:bottom w:val="single" w:sz="6" w:space="0" w:color="auto"/>
              <w:right w:val="single" w:sz="6" w:space="0" w:color="auto"/>
            </w:tcBorders>
          </w:tcPr>
          <w:p w14:paraId="77F95060" w14:textId="77777777" w:rsidR="00CA23D0" w:rsidRPr="00E30642" w:rsidRDefault="00CA23D0" w:rsidP="00CA23D0">
            <w:pPr>
              <w:pStyle w:val="Texttabulky"/>
              <w:spacing w:line="240" w:lineRule="atLeast"/>
              <w:jc w:val="both"/>
              <w:rPr>
                <w:rFonts w:cs="Arial"/>
                <w:i/>
              </w:rPr>
            </w:pPr>
            <w:r w:rsidRPr="00E30642">
              <w:rPr>
                <w:rFonts w:cs="Arial"/>
                <w:i/>
              </w:rPr>
              <w:t>Rozbělesy</w:t>
            </w:r>
          </w:p>
        </w:tc>
        <w:tc>
          <w:tcPr>
            <w:tcW w:w="732" w:type="dxa"/>
            <w:tcBorders>
              <w:top w:val="single" w:sz="6" w:space="0" w:color="auto"/>
              <w:left w:val="single" w:sz="6" w:space="0" w:color="auto"/>
              <w:bottom w:val="single" w:sz="6" w:space="0" w:color="auto"/>
              <w:right w:val="single" w:sz="6" w:space="0" w:color="auto"/>
            </w:tcBorders>
          </w:tcPr>
          <w:p w14:paraId="328D7267" w14:textId="77777777" w:rsidR="00CA23D0" w:rsidRPr="00E30642" w:rsidRDefault="00CA23D0" w:rsidP="00CA23D0">
            <w:pPr>
              <w:pStyle w:val="Texttabulky"/>
              <w:spacing w:line="240" w:lineRule="atLeast"/>
              <w:jc w:val="both"/>
              <w:rPr>
                <w:rFonts w:cs="Arial"/>
                <w:i/>
              </w:rPr>
            </w:pPr>
            <w:r w:rsidRPr="00E30642">
              <w:rPr>
                <w:rFonts w:cs="Arial"/>
                <w:i/>
              </w:rPr>
              <w:t>569</w:t>
            </w:r>
          </w:p>
        </w:tc>
        <w:tc>
          <w:tcPr>
            <w:tcW w:w="678" w:type="dxa"/>
            <w:tcBorders>
              <w:top w:val="single" w:sz="6" w:space="0" w:color="auto"/>
              <w:left w:val="single" w:sz="6" w:space="0" w:color="auto"/>
              <w:bottom w:val="single" w:sz="6" w:space="0" w:color="auto"/>
              <w:right w:val="single" w:sz="6" w:space="0" w:color="auto"/>
            </w:tcBorders>
          </w:tcPr>
          <w:p w14:paraId="776AB940" w14:textId="77777777" w:rsidR="00CA23D0" w:rsidRPr="00E30642" w:rsidRDefault="00CA23D0" w:rsidP="00CA23D0">
            <w:pPr>
              <w:pStyle w:val="Zkladntext"/>
              <w:jc w:val="both"/>
              <w:rPr>
                <w:rFonts w:ascii="Arial" w:hAnsi="Arial" w:cs="Arial"/>
                <w:i/>
              </w:rPr>
            </w:pPr>
          </w:p>
        </w:tc>
        <w:tc>
          <w:tcPr>
            <w:tcW w:w="681" w:type="dxa"/>
            <w:tcBorders>
              <w:top w:val="single" w:sz="6" w:space="0" w:color="auto"/>
              <w:left w:val="single" w:sz="6" w:space="0" w:color="auto"/>
              <w:bottom w:val="single" w:sz="6" w:space="0" w:color="auto"/>
              <w:right w:val="single" w:sz="6" w:space="0" w:color="auto"/>
            </w:tcBorders>
          </w:tcPr>
          <w:p w14:paraId="5451B24D" w14:textId="77777777" w:rsidR="00CA23D0" w:rsidRPr="00E30642" w:rsidRDefault="00CA23D0" w:rsidP="00CA23D0">
            <w:pPr>
              <w:pStyle w:val="Zkladntext"/>
              <w:jc w:val="both"/>
              <w:rPr>
                <w:rFonts w:ascii="Arial" w:hAnsi="Arial" w:cs="Arial"/>
                <w:i/>
              </w:rPr>
            </w:pPr>
          </w:p>
        </w:tc>
        <w:tc>
          <w:tcPr>
            <w:tcW w:w="748" w:type="dxa"/>
            <w:tcBorders>
              <w:top w:val="single" w:sz="6" w:space="0" w:color="auto"/>
              <w:left w:val="single" w:sz="6" w:space="0" w:color="auto"/>
              <w:bottom w:val="single" w:sz="6" w:space="0" w:color="auto"/>
              <w:right w:val="single" w:sz="6" w:space="0" w:color="auto"/>
            </w:tcBorders>
          </w:tcPr>
          <w:p w14:paraId="5D321D18" w14:textId="77777777" w:rsidR="00CA23D0" w:rsidRPr="00E30642" w:rsidRDefault="00CA23D0" w:rsidP="00CA23D0">
            <w:pPr>
              <w:pStyle w:val="Zkladntext"/>
              <w:jc w:val="both"/>
              <w:rPr>
                <w:rFonts w:ascii="Arial" w:hAnsi="Arial" w:cs="Arial"/>
                <w:i/>
              </w:rPr>
            </w:pPr>
          </w:p>
        </w:tc>
        <w:tc>
          <w:tcPr>
            <w:tcW w:w="947" w:type="dxa"/>
            <w:tcBorders>
              <w:top w:val="single" w:sz="6" w:space="0" w:color="auto"/>
              <w:left w:val="single" w:sz="6" w:space="0" w:color="auto"/>
              <w:bottom w:val="single" w:sz="6" w:space="0" w:color="auto"/>
              <w:right w:val="single" w:sz="6" w:space="0" w:color="auto"/>
            </w:tcBorders>
          </w:tcPr>
          <w:p w14:paraId="66931BDA" w14:textId="77777777" w:rsidR="00CA23D0" w:rsidRPr="00E30642" w:rsidRDefault="00CA23D0" w:rsidP="00CA23D0">
            <w:pPr>
              <w:pStyle w:val="Texttabulky"/>
              <w:spacing w:line="240" w:lineRule="atLeast"/>
              <w:jc w:val="both"/>
              <w:rPr>
                <w:rFonts w:cs="Arial"/>
                <w:i/>
              </w:rPr>
            </w:pPr>
            <w:r w:rsidRPr="00E30642">
              <w:rPr>
                <w:rFonts w:cs="Arial"/>
                <w:i/>
              </w:rPr>
              <w:t>500</w:t>
            </w:r>
          </w:p>
        </w:tc>
        <w:tc>
          <w:tcPr>
            <w:tcW w:w="714" w:type="dxa"/>
            <w:tcBorders>
              <w:top w:val="single" w:sz="6" w:space="0" w:color="auto"/>
              <w:left w:val="single" w:sz="6" w:space="0" w:color="auto"/>
              <w:bottom w:val="single" w:sz="6" w:space="0" w:color="auto"/>
              <w:right w:val="single" w:sz="6" w:space="0" w:color="auto"/>
            </w:tcBorders>
          </w:tcPr>
          <w:p w14:paraId="34A056E2" w14:textId="77777777" w:rsidR="00CA23D0" w:rsidRPr="00E30642" w:rsidRDefault="00CA23D0" w:rsidP="00CA23D0">
            <w:pPr>
              <w:pStyle w:val="Texttabulky"/>
              <w:spacing w:line="240" w:lineRule="atLeast"/>
              <w:jc w:val="both"/>
              <w:rPr>
                <w:rFonts w:cs="Arial"/>
                <w:i/>
              </w:rPr>
            </w:pPr>
            <w:r w:rsidRPr="00E30642">
              <w:rPr>
                <w:rFonts w:cs="Arial"/>
                <w:i/>
              </w:rPr>
              <w:t>500</w:t>
            </w:r>
          </w:p>
        </w:tc>
        <w:tc>
          <w:tcPr>
            <w:tcW w:w="785" w:type="dxa"/>
            <w:tcBorders>
              <w:top w:val="single" w:sz="6" w:space="0" w:color="auto"/>
              <w:left w:val="single" w:sz="6" w:space="0" w:color="auto"/>
              <w:bottom w:val="single" w:sz="6" w:space="0" w:color="auto"/>
              <w:right w:val="single" w:sz="6" w:space="0" w:color="auto"/>
            </w:tcBorders>
          </w:tcPr>
          <w:p w14:paraId="0631EA08" w14:textId="77777777" w:rsidR="00CA23D0" w:rsidRPr="00E30642" w:rsidRDefault="00CA23D0" w:rsidP="00CA23D0">
            <w:pPr>
              <w:pStyle w:val="Texttabulky"/>
              <w:spacing w:line="240" w:lineRule="atLeast"/>
              <w:jc w:val="both"/>
              <w:rPr>
                <w:rFonts w:cs="Arial"/>
                <w:i/>
              </w:rPr>
            </w:pPr>
            <w:r w:rsidRPr="00E30642">
              <w:rPr>
                <w:rFonts w:cs="Arial"/>
                <w:i/>
              </w:rPr>
              <w:t>-69</w:t>
            </w:r>
          </w:p>
        </w:tc>
        <w:tc>
          <w:tcPr>
            <w:tcW w:w="942" w:type="dxa"/>
            <w:tcBorders>
              <w:top w:val="single" w:sz="6" w:space="0" w:color="auto"/>
              <w:left w:val="single" w:sz="6" w:space="0" w:color="auto"/>
              <w:bottom w:val="single" w:sz="6" w:space="0" w:color="auto"/>
              <w:right w:val="single" w:sz="6" w:space="0" w:color="auto"/>
            </w:tcBorders>
          </w:tcPr>
          <w:p w14:paraId="43EBE4C9" w14:textId="77777777" w:rsidR="00CA23D0" w:rsidRPr="00E30642" w:rsidRDefault="00CA23D0" w:rsidP="00CA23D0">
            <w:pPr>
              <w:pStyle w:val="Texttabulky"/>
              <w:spacing w:line="240" w:lineRule="atLeast"/>
              <w:jc w:val="both"/>
              <w:rPr>
                <w:rFonts w:cs="Arial"/>
                <w:i/>
              </w:rPr>
            </w:pPr>
            <w:r w:rsidRPr="00E30642">
              <w:rPr>
                <w:rFonts w:cs="Arial"/>
                <w:i/>
              </w:rPr>
              <w:t>-69</w:t>
            </w:r>
          </w:p>
        </w:tc>
      </w:tr>
      <w:tr w:rsidR="00CA23D0" w:rsidRPr="00E30642" w14:paraId="5E3C26FE" w14:textId="77777777" w:rsidTr="00CA23D0">
        <w:trPr>
          <w:trHeight w:val="222"/>
        </w:trPr>
        <w:tc>
          <w:tcPr>
            <w:tcW w:w="525" w:type="dxa"/>
            <w:tcBorders>
              <w:top w:val="single" w:sz="6" w:space="0" w:color="auto"/>
              <w:left w:val="single" w:sz="6" w:space="0" w:color="auto"/>
              <w:bottom w:val="single" w:sz="6" w:space="0" w:color="auto"/>
              <w:right w:val="single" w:sz="6" w:space="0" w:color="auto"/>
            </w:tcBorders>
          </w:tcPr>
          <w:p w14:paraId="72888111" w14:textId="77777777" w:rsidR="00CA23D0" w:rsidRPr="00E30642" w:rsidRDefault="00CA23D0" w:rsidP="00CA23D0">
            <w:pPr>
              <w:pStyle w:val="Texttabulky"/>
              <w:spacing w:line="240" w:lineRule="atLeast"/>
              <w:jc w:val="both"/>
              <w:rPr>
                <w:rFonts w:cs="Arial"/>
                <w:i/>
              </w:rPr>
            </w:pPr>
            <w:r w:rsidRPr="00E30642">
              <w:rPr>
                <w:rFonts w:cs="Arial"/>
                <w:i/>
              </w:rPr>
              <w:t>19</w:t>
            </w:r>
          </w:p>
        </w:tc>
        <w:tc>
          <w:tcPr>
            <w:tcW w:w="558" w:type="dxa"/>
            <w:tcBorders>
              <w:top w:val="single" w:sz="6" w:space="0" w:color="auto"/>
              <w:left w:val="single" w:sz="6" w:space="0" w:color="auto"/>
              <w:bottom w:val="single" w:sz="6" w:space="0" w:color="auto"/>
              <w:right w:val="single" w:sz="6" w:space="0" w:color="auto"/>
            </w:tcBorders>
          </w:tcPr>
          <w:p w14:paraId="79CC4BC7" w14:textId="77777777" w:rsidR="00CA23D0" w:rsidRPr="00E30642" w:rsidRDefault="00CA23D0" w:rsidP="00CA23D0">
            <w:pPr>
              <w:pStyle w:val="Texttabulky"/>
              <w:spacing w:line="240" w:lineRule="atLeast"/>
              <w:jc w:val="both"/>
              <w:rPr>
                <w:rFonts w:cs="Arial"/>
                <w:i/>
              </w:rPr>
            </w:pPr>
            <w:r w:rsidRPr="00E30642">
              <w:rPr>
                <w:rFonts w:cs="Arial"/>
                <w:i/>
              </w:rPr>
              <w:t>D</w:t>
            </w:r>
          </w:p>
        </w:tc>
        <w:tc>
          <w:tcPr>
            <w:tcW w:w="1904" w:type="dxa"/>
            <w:tcBorders>
              <w:top w:val="single" w:sz="6" w:space="0" w:color="auto"/>
              <w:left w:val="single" w:sz="6" w:space="0" w:color="auto"/>
              <w:bottom w:val="single" w:sz="6" w:space="0" w:color="auto"/>
              <w:right w:val="single" w:sz="6" w:space="0" w:color="auto"/>
            </w:tcBorders>
          </w:tcPr>
          <w:p w14:paraId="2D8412FF" w14:textId="77777777" w:rsidR="00CA23D0" w:rsidRPr="00E30642" w:rsidRDefault="00CA23D0" w:rsidP="00CA23D0">
            <w:pPr>
              <w:pStyle w:val="Texttabulky"/>
              <w:spacing w:line="240" w:lineRule="atLeast"/>
              <w:jc w:val="both"/>
              <w:rPr>
                <w:rFonts w:cs="Arial"/>
                <w:i/>
              </w:rPr>
            </w:pPr>
            <w:r w:rsidRPr="00E30642">
              <w:rPr>
                <w:rFonts w:cs="Arial"/>
                <w:i/>
              </w:rPr>
              <w:t>Hlavní nádraží</w:t>
            </w:r>
          </w:p>
        </w:tc>
        <w:tc>
          <w:tcPr>
            <w:tcW w:w="732" w:type="dxa"/>
            <w:tcBorders>
              <w:top w:val="single" w:sz="6" w:space="0" w:color="auto"/>
              <w:left w:val="single" w:sz="6" w:space="0" w:color="auto"/>
              <w:bottom w:val="single" w:sz="6" w:space="0" w:color="auto"/>
              <w:right w:val="single" w:sz="6" w:space="0" w:color="auto"/>
            </w:tcBorders>
          </w:tcPr>
          <w:p w14:paraId="3ED9844C" w14:textId="77777777" w:rsidR="00CA23D0" w:rsidRPr="00E30642" w:rsidRDefault="00CA23D0" w:rsidP="00CA23D0">
            <w:pPr>
              <w:pStyle w:val="Texttabulky"/>
              <w:spacing w:line="240" w:lineRule="atLeast"/>
              <w:jc w:val="both"/>
              <w:rPr>
                <w:rFonts w:cs="Arial"/>
                <w:i/>
              </w:rPr>
            </w:pPr>
            <w:r w:rsidRPr="00E30642">
              <w:rPr>
                <w:rFonts w:cs="Arial"/>
                <w:i/>
              </w:rPr>
              <w:t>152</w:t>
            </w:r>
          </w:p>
        </w:tc>
        <w:tc>
          <w:tcPr>
            <w:tcW w:w="678" w:type="dxa"/>
            <w:tcBorders>
              <w:top w:val="single" w:sz="6" w:space="0" w:color="auto"/>
              <w:left w:val="single" w:sz="6" w:space="0" w:color="auto"/>
              <w:bottom w:val="single" w:sz="6" w:space="0" w:color="auto"/>
              <w:right w:val="single" w:sz="6" w:space="0" w:color="auto"/>
            </w:tcBorders>
          </w:tcPr>
          <w:p w14:paraId="39B53246" w14:textId="77777777" w:rsidR="00CA23D0" w:rsidRPr="00E30642" w:rsidRDefault="00CA23D0" w:rsidP="00CA23D0">
            <w:pPr>
              <w:pStyle w:val="Zkladntext"/>
              <w:jc w:val="both"/>
              <w:rPr>
                <w:rFonts w:ascii="Arial" w:hAnsi="Arial" w:cs="Arial"/>
                <w:i/>
              </w:rPr>
            </w:pPr>
          </w:p>
        </w:tc>
        <w:tc>
          <w:tcPr>
            <w:tcW w:w="681" w:type="dxa"/>
            <w:tcBorders>
              <w:top w:val="single" w:sz="6" w:space="0" w:color="auto"/>
              <w:left w:val="single" w:sz="6" w:space="0" w:color="auto"/>
              <w:bottom w:val="single" w:sz="6" w:space="0" w:color="auto"/>
              <w:right w:val="single" w:sz="6" w:space="0" w:color="auto"/>
            </w:tcBorders>
          </w:tcPr>
          <w:p w14:paraId="77567906" w14:textId="77777777" w:rsidR="00CA23D0" w:rsidRPr="00E30642" w:rsidRDefault="00CA23D0" w:rsidP="00CA23D0">
            <w:pPr>
              <w:pStyle w:val="Zkladntext"/>
              <w:jc w:val="both"/>
              <w:rPr>
                <w:rFonts w:ascii="Arial" w:hAnsi="Arial" w:cs="Arial"/>
                <w:i/>
              </w:rPr>
            </w:pPr>
          </w:p>
        </w:tc>
        <w:tc>
          <w:tcPr>
            <w:tcW w:w="748" w:type="dxa"/>
            <w:tcBorders>
              <w:top w:val="single" w:sz="6" w:space="0" w:color="auto"/>
              <w:left w:val="single" w:sz="6" w:space="0" w:color="auto"/>
              <w:bottom w:val="single" w:sz="6" w:space="0" w:color="auto"/>
              <w:right w:val="single" w:sz="6" w:space="0" w:color="auto"/>
            </w:tcBorders>
          </w:tcPr>
          <w:p w14:paraId="4B6DD3F7" w14:textId="77777777" w:rsidR="00CA23D0" w:rsidRPr="00E30642" w:rsidRDefault="00CA23D0" w:rsidP="00CA23D0">
            <w:pPr>
              <w:pStyle w:val="Zkladntext"/>
              <w:jc w:val="both"/>
              <w:rPr>
                <w:rFonts w:ascii="Arial" w:hAnsi="Arial" w:cs="Arial"/>
                <w:i/>
              </w:rPr>
            </w:pPr>
          </w:p>
        </w:tc>
        <w:tc>
          <w:tcPr>
            <w:tcW w:w="947" w:type="dxa"/>
            <w:tcBorders>
              <w:top w:val="single" w:sz="6" w:space="0" w:color="auto"/>
              <w:left w:val="single" w:sz="6" w:space="0" w:color="auto"/>
              <w:bottom w:val="single" w:sz="6" w:space="0" w:color="auto"/>
              <w:right w:val="single" w:sz="6" w:space="0" w:color="auto"/>
            </w:tcBorders>
          </w:tcPr>
          <w:p w14:paraId="4F697D13" w14:textId="77777777" w:rsidR="00CA23D0" w:rsidRPr="00E30642" w:rsidRDefault="00CA23D0" w:rsidP="00CA23D0">
            <w:pPr>
              <w:pStyle w:val="Texttabulky"/>
              <w:spacing w:line="240" w:lineRule="atLeast"/>
              <w:jc w:val="both"/>
              <w:rPr>
                <w:rFonts w:cs="Arial"/>
                <w:i/>
              </w:rPr>
            </w:pPr>
            <w:r w:rsidRPr="00E30642">
              <w:rPr>
                <w:rFonts w:cs="Arial"/>
                <w:i/>
              </w:rPr>
              <w:t>150</w:t>
            </w:r>
          </w:p>
        </w:tc>
        <w:tc>
          <w:tcPr>
            <w:tcW w:w="714" w:type="dxa"/>
            <w:tcBorders>
              <w:top w:val="single" w:sz="6" w:space="0" w:color="auto"/>
              <w:left w:val="single" w:sz="6" w:space="0" w:color="auto"/>
              <w:bottom w:val="single" w:sz="6" w:space="0" w:color="auto"/>
              <w:right w:val="single" w:sz="6" w:space="0" w:color="auto"/>
            </w:tcBorders>
          </w:tcPr>
          <w:p w14:paraId="1CF033A5" w14:textId="77777777" w:rsidR="00CA23D0" w:rsidRPr="00E30642" w:rsidRDefault="00CA23D0" w:rsidP="00CA23D0">
            <w:pPr>
              <w:pStyle w:val="Texttabulky"/>
              <w:spacing w:line="240" w:lineRule="atLeast"/>
              <w:jc w:val="both"/>
              <w:rPr>
                <w:rFonts w:cs="Arial"/>
                <w:i/>
              </w:rPr>
            </w:pPr>
            <w:r w:rsidRPr="00E30642">
              <w:rPr>
                <w:rFonts w:cs="Arial"/>
                <w:i/>
              </w:rPr>
              <w:t>150</w:t>
            </w:r>
          </w:p>
        </w:tc>
        <w:tc>
          <w:tcPr>
            <w:tcW w:w="785" w:type="dxa"/>
            <w:tcBorders>
              <w:top w:val="single" w:sz="6" w:space="0" w:color="auto"/>
              <w:left w:val="single" w:sz="6" w:space="0" w:color="auto"/>
              <w:bottom w:val="single" w:sz="6" w:space="0" w:color="auto"/>
              <w:right w:val="single" w:sz="6" w:space="0" w:color="auto"/>
            </w:tcBorders>
          </w:tcPr>
          <w:p w14:paraId="45FA1071" w14:textId="77777777" w:rsidR="00CA23D0" w:rsidRPr="00E30642" w:rsidRDefault="00CA23D0" w:rsidP="00CA23D0">
            <w:pPr>
              <w:pStyle w:val="Texttabulky"/>
              <w:spacing w:line="240" w:lineRule="atLeast"/>
              <w:jc w:val="both"/>
              <w:rPr>
                <w:rFonts w:cs="Arial"/>
                <w:i/>
              </w:rPr>
            </w:pPr>
            <w:r w:rsidRPr="00E30642">
              <w:rPr>
                <w:rFonts w:cs="Arial"/>
                <w:i/>
              </w:rPr>
              <w:t>-2</w:t>
            </w:r>
          </w:p>
        </w:tc>
        <w:tc>
          <w:tcPr>
            <w:tcW w:w="942" w:type="dxa"/>
            <w:tcBorders>
              <w:top w:val="single" w:sz="6" w:space="0" w:color="auto"/>
              <w:left w:val="single" w:sz="6" w:space="0" w:color="auto"/>
              <w:bottom w:val="single" w:sz="6" w:space="0" w:color="auto"/>
              <w:right w:val="single" w:sz="6" w:space="0" w:color="auto"/>
            </w:tcBorders>
          </w:tcPr>
          <w:p w14:paraId="25558E2D" w14:textId="77777777" w:rsidR="00CA23D0" w:rsidRPr="00E30642" w:rsidRDefault="00CA23D0" w:rsidP="00CA23D0">
            <w:pPr>
              <w:pStyle w:val="Texttabulky"/>
              <w:spacing w:line="240" w:lineRule="atLeast"/>
              <w:jc w:val="both"/>
              <w:rPr>
                <w:rFonts w:cs="Arial"/>
                <w:i/>
              </w:rPr>
            </w:pPr>
            <w:r w:rsidRPr="00E30642">
              <w:rPr>
                <w:rFonts w:cs="Arial"/>
                <w:i/>
              </w:rPr>
              <w:t>-2</w:t>
            </w:r>
          </w:p>
        </w:tc>
      </w:tr>
      <w:tr w:rsidR="00CA23D0" w:rsidRPr="00E30642" w14:paraId="00446256" w14:textId="77777777" w:rsidTr="00CA23D0">
        <w:trPr>
          <w:trHeight w:val="222"/>
        </w:trPr>
        <w:tc>
          <w:tcPr>
            <w:tcW w:w="525" w:type="dxa"/>
            <w:tcBorders>
              <w:top w:val="single" w:sz="6" w:space="0" w:color="auto"/>
              <w:left w:val="single" w:sz="6" w:space="0" w:color="auto"/>
              <w:bottom w:val="single" w:sz="6" w:space="0" w:color="auto"/>
              <w:right w:val="single" w:sz="6" w:space="0" w:color="auto"/>
            </w:tcBorders>
          </w:tcPr>
          <w:p w14:paraId="44B0C586" w14:textId="77777777" w:rsidR="00CA23D0" w:rsidRPr="00E30642" w:rsidRDefault="00CA23D0" w:rsidP="00CA23D0">
            <w:pPr>
              <w:pStyle w:val="Texttabulky"/>
              <w:spacing w:line="240" w:lineRule="atLeast"/>
              <w:jc w:val="both"/>
              <w:rPr>
                <w:rFonts w:cs="Arial"/>
                <w:i/>
              </w:rPr>
            </w:pPr>
            <w:r w:rsidRPr="00E30642">
              <w:rPr>
                <w:rFonts w:cs="Arial"/>
                <w:i/>
              </w:rPr>
              <w:t>20</w:t>
            </w:r>
          </w:p>
        </w:tc>
        <w:tc>
          <w:tcPr>
            <w:tcW w:w="558" w:type="dxa"/>
            <w:tcBorders>
              <w:top w:val="single" w:sz="6" w:space="0" w:color="auto"/>
              <w:left w:val="single" w:sz="6" w:space="0" w:color="auto"/>
              <w:bottom w:val="single" w:sz="6" w:space="0" w:color="auto"/>
              <w:right w:val="single" w:sz="6" w:space="0" w:color="auto"/>
            </w:tcBorders>
          </w:tcPr>
          <w:p w14:paraId="4C968B0F" w14:textId="77777777" w:rsidR="00CA23D0" w:rsidRPr="00E30642" w:rsidRDefault="00CA23D0" w:rsidP="00CA23D0">
            <w:pPr>
              <w:pStyle w:val="Texttabulky"/>
              <w:spacing w:line="240" w:lineRule="atLeast"/>
              <w:jc w:val="both"/>
              <w:rPr>
                <w:rFonts w:cs="Arial"/>
                <w:i/>
              </w:rPr>
            </w:pPr>
            <w:r w:rsidRPr="00E30642">
              <w:rPr>
                <w:rFonts w:cs="Arial"/>
                <w:i/>
              </w:rPr>
              <w:t>O</w:t>
            </w:r>
          </w:p>
        </w:tc>
        <w:tc>
          <w:tcPr>
            <w:tcW w:w="1904" w:type="dxa"/>
            <w:tcBorders>
              <w:top w:val="single" w:sz="6" w:space="0" w:color="auto"/>
              <w:left w:val="single" w:sz="6" w:space="0" w:color="auto"/>
              <w:bottom w:val="single" w:sz="6" w:space="0" w:color="auto"/>
              <w:right w:val="single" w:sz="6" w:space="0" w:color="auto"/>
            </w:tcBorders>
          </w:tcPr>
          <w:p w14:paraId="46618F12" w14:textId="77777777" w:rsidR="00CA23D0" w:rsidRPr="00E30642" w:rsidRDefault="00CA23D0" w:rsidP="00CA23D0">
            <w:pPr>
              <w:pStyle w:val="Texttabulky"/>
              <w:spacing w:line="240" w:lineRule="atLeast"/>
              <w:jc w:val="both"/>
              <w:rPr>
                <w:rFonts w:cs="Arial"/>
                <w:i/>
              </w:rPr>
            </w:pPr>
            <w:r w:rsidRPr="00E30642">
              <w:rPr>
                <w:rFonts w:cs="Arial"/>
                <w:i/>
              </w:rPr>
              <w:t>Želenice</w:t>
            </w:r>
          </w:p>
        </w:tc>
        <w:tc>
          <w:tcPr>
            <w:tcW w:w="732" w:type="dxa"/>
            <w:tcBorders>
              <w:top w:val="single" w:sz="6" w:space="0" w:color="auto"/>
              <w:left w:val="single" w:sz="6" w:space="0" w:color="auto"/>
              <w:bottom w:val="single" w:sz="6" w:space="0" w:color="auto"/>
              <w:right w:val="single" w:sz="6" w:space="0" w:color="auto"/>
            </w:tcBorders>
          </w:tcPr>
          <w:p w14:paraId="27BA9077" w14:textId="77777777" w:rsidR="00CA23D0" w:rsidRPr="00E30642" w:rsidRDefault="00CA23D0" w:rsidP="00CA23D0">
            <w:pPr>
              <w:pStyle w:val="Texttabulky"/>
              <w:spacing w:line="240" w:lineRule="atLeast"/>
              <w:jc w:val="both"/>
              <w:rPr>
                <w:rFonts w:cs="Arial"/>
                <w:i/>
              </w:rPr>
            </w:pPr>
            <w:r w:rsidRPr="00E30642">
              <w:rPr>
                <w:rFonts w:cs="Arial"/>
                <w:i/>
              </w:rPr>
              <w:t>5 566</w:t>
            </w:r>
          </w:p>
        </w:tc>
        <w:tc>
          <w:tcPr>
            <w:tcW w:w="678" w:type="dxa"/>
            <w:tcBorders>
              <w:top w:val="single" w:sz="6" w:space="0" w:color="auto"/>
              <w:left w:val="single" w:sz="6" w:space="0" w:color="auto"/>
              <w:bottom w:val="single" w:sz="6" w:space="0" w:color="auto"/>
              <w:right w:val="single" w:sz="6" w:space="0" w:color="auto"/>
            </w:tcBorders>
          </w:tcPr>
          <w:p w14:paraId="3B44E06D" w14:textId="77777777" w:rsidR="00CA23D0" w:rsidRPr="00E30642" w:rsidRDefault="00CA23D0" w:rsidP="00CA23D0">
            <w:pPr>
              <w:pStyle w:val="Texttabulky"/>
              <w:spacing w:line="240" w:lineRule="atLeast"/>
              <w:jc w:val="both"/>
              <w:rPr>
                <w:rFonts w:cs="Arial"/>
                <w:i/>
              </w:rPr>
            </w:pPr>
            <w:r w:rsidRPr="00E30642">
              <w:rPr>
                <w:rFonts w:cs="Arial"/>
                <w:i/>
              </w:rPr>
              <w:t>310</w:t>
            </w:r>
          </w:p>
        </w:tc>
        <w:tc>
          <w:tcPr>
            <w:tcW w:w="681" w:type="dxa"/>
            <w:tcBorders>
              <w:top w:val="single" w:sz="6" w:space="0" w:color="auto"/>
              <w:left w:val="single" w:sz="6" w:space="0" w:color="auto"/>
              <w:bottom w:val="single" w:sz="6" w:space="0" w:color="auto"/>
              <w:right w:val="single" w:sz="6" w:space="0" w:color="auto"/>
            </w:tcBorders>
          </w:tcPr>
          <w:p w14:paraId="5C627C1B" w14:textId="77777777" w:rsidR="00CA23D0" w:rsidRPr="00E30642" w:rsidRDefault="00CA23D0" w:rsidP="00CA23D0">
            <w:pPr>
              <w:pStyle w:val="Texttabulky"/>
              <w:spacing w:line="240" w:lineRule="atLeast"/>
              <w:jc w:val="both"/>
              <w:rPr>
                <w:rFonts w:cs="Arial"/>
                <w:i/>
              </w:rPr>
            </w:pPr>
            <w:r w:rsidRPr="00E30642">
              <w:rPr>
                <w:rFonts w:cs="Arial"/>
                <w:i/>
              </w:rPr>
              <w:t>105</w:t>
            </w:r>
          </w:p>
        </w:tc>
        <w:tc>
          <w:tcPr>
            <w:tcW w:w="748" w:type="dxa"/>
            <w:tcBorders>
              <w:top w:val="single" w:sz="6" w:space="0" w:color="auto"/>
              <w:left w:val="single" w:sz="6" w:space="0" w:color="auto"/>
              <w:bottom w:val="single" w:sz="6" w:space="0" w:color="auto"/>
              <w:right w:val="single" w:sz="6" w:space="0" w:color="auto"/>
            </w:tcBorders>
          </w:tcPr>
          <w:p w14:paraId="493FEEBA" w14:textId="77777777" w:rsidR="00CA23D0" w:rsidRPr="00E30642" w:rsidRDefault="00CA23D0" w:rsidP="00CA23D0">
            <w:pPr>
              <w:pStyle w:val="Zkladntext"/>
              <w:jc w:val="both"/>
              <w:rPr>
                <w:rFonts w:ascii="Arial" w:hAnsi="Arial" w:cs="Arial"/>
                <w:i/>
              </w:rPr>
            </w:pPr>
          </w:p>
        </w:tc>
        <w:tc>
          <w:tcPr>
            <w:tcW w:w="947" w:type="dxa"/>
            <w:tcBorders>
              <w:top w:val="single" w:sz="6" w:space="0" w:color="auto"/>
              <w:left w:val="single" w:sz="6" w:space="0" w:color="auto"/>
              <w:bottom w:val="single" w:sz="6" w:space="0" w:color="auto"/>
              <w:right w:val="single" w:sz="6" w:space="0" w:color="auto"/>
            </w:tcBorders>
          </w:tcPr>
          <w:p w14:paraId="34B62405" w14:textId="77777777" w:rsidR="00CA23D0" w:rsidRPr="00E30642" w:rsidRDefault="00CA23D0" w:rsidP="00CA23D0">
            <w:pPr>
              <w:pStyle w:val="Texttabulky"/>
              <w:spacing w:line="240" w:lineRule="atLeast"/>
              <w:jc w:val="both"/>
              <w:rPr>
                <w:rFonts w:cs="Arial"/>
                <w:i/>
              </w:rPr>
            </w:pPr>
            <w:r w:rsidRPr="00E30642">
              <w:rPr>
                <w:rFonts w:cs="Arial"/>
                <w:i/>
              </w:rPr>
              <w:t>5 715</w:t>
            </w:r>
          </w:p>
        </w:tc>
        <w:tc>
          <w:tcPr>
            <w:tcW w:w="714" w:type="dxa"/>
            <w:tcBorders>
              <w:top w:val="single" w:sz="6" w:space="0" w:color="auto"/>
              <w:left w:val="single" w:sz="6" w:space="0" w:color="auto"/>
              <w:bottom w:val="single" w:sz="6" w:space="0" w:color="auto"/>
              <w:right w:val="single" w:sz="6" w:space="0" w:color="auto"/>
            </w:tcBorders>
          </w:tcPr>
          <w:p w14:paraId="4A90B479" w14:textId="77777777" w:rsidR="00CA23D0" w:rsidRPr="00E30642" w:rsidRDefault="00CA23D0" w:rsidP="00CA23D0">
            <w:pPr>
              <w:pStyle w:val="Texttabulky"/>
              <w:spacing w:line="240" w:lineRule="atLeast"/>
              <w:jc w:val="both"/>
              <w:rPr>
                <w:rFonts w:cs="Arial"/>
                <w:i/>
              </w:rPr>
            </w:pPr>
            <w:r w:rsidRPr="00E30642">
              <w:rPr>
                <w:rFonts w:cs="Arial"/>
                <w:i/>
              </w:rPr>
              <w:t>5 715</w:t>
            </w:r>
          </w:p>
        </w:tc>
        <w:tc>
          <w:tcPr>
            <w:tcW w:w="785" w:type="dxa"/>
            <w:tcBorders>
              <w:top w:val="single" w:sz="6" w:space="0" w:color="auto"/>
              <w:left w:val="single" w:sz="6" w:space="0" w:color="auto"/>
              <w:bottom w:val="single" w:sz="6" w:space="0" w:color="auto"/>
              <w:right w:val="single" w:sz="6" w:space="0" w:color="auto"/>
            </w:tcBorders>
          </w:tcPr>
          <w:p w14:paraId="2C686BF0" w14:textId="77777777" w:rsidR="00CA23D0" w:rsidRPr="00E30642" w:rsidRDefault="00CA23D0" w:rsidP="00CA23D0">
            <w:pPr>
              <w:pStyle w:val="Texttabulky"/>
              <w:spacing w:line="240" w:lineRule="atLeast"/>
              <w:jc w:val="both"/>
              <w:rPr>
                <w:rFonts w:cs="Arial"/>
                <w:i/>
              </w:rPr>
            </w:pPr>
            <w:r w:rsidRPr="00E30642">
              <w:rPr>
                <w:rFonts w:cs="Arial"/>
                <w:i/>
              </w:rPr>
              <w:t>149</w:t>
            </w:r>
          </w:p>
        </w:tc>
        <w:tc>
          <w:tcPr>
            <w:tcW w:w="942" w:type="dxa"/>
            <w:tcBorders>
              <w:top w:val="single" w:sz="6" w:space="0" w:color="auto"/>
              <w:left w:val="single" w:sz="6" w:space="0" w:color="auto"/>
              <w:bottom w:val="single" w:sz="6" w:space="0" w:color="auto"/>
              <w:right w:val="single" w:sz="6" w:space="0" w:color="auto"/>
            </w:tcBorders>
          </w:tcPr>
          <w:p w14:paraId="3D0191D5" w14:textId="77777777" w:rsidR="00CA23D0" w:rsidRPr="00E30642" w:rsidRDefault="00CA23D0" w:rsidP="00CA23D0">
            <w:pPr>
              <w:pStyle w:val="Texttabulky"/>
              <w:spacing w:line="240" w:lineRule="atLeast"/>
              <w:jc w:val="both"/>
              <w:rPr>
                <w:rFonts w:cs="Arial"/>
                <w:i/>
              </w:rPr>
            </w:pPr>
            <w:r w:rsidRPr="00E30642">
              <w:rPr>
                <w:rFonts w:cs="Arial"/>
                <w:i/>
              </w:rPr>
              <w:t>149</w:t>
            </w:r>
          </w:p>
        </w:tc>
      </w:tr>
      <w:tr w:rsidR="00CA23D0" w:rsidRPr="00E30642" w14:paraId="365F3A64" w14:textId="77777777" w:rsidTr="00CA23D0">
        <w:trPr>
          <w:trHeight w:val="233"/>
        </w:trPr>
        <w:tc>
          <w:tcPr>
            <w:tcW w:w="525" w:type="dxa"/>
            <w:tcBorders>
              <w:top w:val="single" w:sz="6" w:space="0" w:color="auto"/>
              <w:left w:val="single" w:sz="6" w:space="0" w:color="auto"/>
              <w:bottom w:val="single" w:sz="6" w:space="0" w:color="auto"/>
              <w:right w:val="single" w:sz="6" w:space="0" w:color="auto"/>
            </w:tcBorders>
          </w:tcPr>
          <w:p w14:paraId="5A7D3B6E" w14:textId="77777777" w:rsidR="00CA23D0" w:rsidRPr="00E30642" w:rsidRDefault="00CA23D0" w:rsidP="00CA23D0">
            <w:pPr>
              <w:pStyle w:val="Texttabulky"/>
              <w:spacing w:line="240" w:lineRule="atLeast"/>
              <w:jc w:val="both"/>
              <w:rPr>
                <w:rFonts w:cs="Arial"/>
                <w:i/>
              </w:rPr>
            </w:pPr>
            <w:r w:rsidRPr="00E30642">
              <w:rPr>
                <w:rFonts w:cs="Arial"/>
                <w:i/>
              </w:rPr>
              <w:t>21</w:t>
            </w:r>
          </w:p>
        </w:tc>
        <w:tc>
          <w:tcPr>
            <w:tcW w:w="558" w:type="dxa"/>
            <w:tcBorders>
              <w:top w:val="single" w:sz="6" w:space="0" w:color="auto"/>
              <w:left w:val="single" w:sz="6" w:space="0" w:color="auto"/>
              <w:bottom w:val="single" w:sz="6" w:space="0" w:color="auto"/>
              <w:right w:val="single" w:sz="6" w:space="0" w:color="auto"/>
            </w:tcBorders>
          </w:tcPr>
          <w:p w14:paraId="115DE207" w14:textId="77777777" w:rsidR="00CA23D0" w:rsidRPr="00E30642" w:rsidRDefault="00CA23D0" w:rsidP="00CA23D0">
            <w:pPr>
              <w:pStyle w:val="Texttabulky"/>
              <w:spacing w:line="240" w:lineRule="atLeast"/>
              <w:jc w:val="both"/>
              <w:rPr>
                <w:rFonts w:cs="Arial"/>
                <w:i/>
              </w:rPr>
            </w:pPr>
            <w:r w:rsidRPr="00E30642">
              <w:rPr>
                <w:rFonts w:cs="Arial"/>
                <w:i/>
              </w:rPr>
              <w:t>O</w:t>
            </w:r>
          </w:p>
        </w:tc>
        <w:tc>
          <w:tcPr>
            <w:tcW w:w="1904" w:type="dxa"/>
            <w:tcBorders>
              <w:top w:val="single" w:sz="6" w:space="0" w:color="auto"/>
              <w:left w:val="single" w:sz="6" w:space="0" w:color="auto"/>
              <w:bottom w:val="single" w:sz="6" w:space="0" w:color="auto"/>
              <w:right w:val="single" w:sz="6" w:space="0" w:color="auto"/>
            </w:tcBorders>
          </w:tcPr>
          <w:p w14:paraId="59B4DA18" w14:textId="77777777" w:rsidR="00CA23D0" w:rsidRPr="00E30642" w:rsidRDefault="00CA23D0" w:rsidP="00CA23D0">
            <w:pPr>
              <w:pStyle w:val="Texttabulky"/>
              <w:spacing w:line="240" w:lineRule="atLeast"/>
              <w:jc w:val="both"/>
              <w:rPr>
                <w:rFonts w:cs="Arial"/>
                <w:i/>
              </w:rPr>
            </w:pPr>
            <w:r w:rsidRPr="00E30642">
              <w:rPr>
                <w:rFonts w:cs="Arial"/>
                <w:i/>
              </w:rPr>
              <w:t>Popovice</w:t>
            </w:r>
          </w:p>
        </w:tc>
        <w:tc>
          <w:tcPr>
            <w:tcW w:w="732" w:type="dxa"/>
            <w:tcBorders>
              <w:top w:val="single" w:sz="6" w:space="0" w:color="auto"/>
              <w:left w:val="single" w:sz="6" w:space="0" w:color="auto"/>
              <w:bottom w:val="single" w:sz="6" w:space="0" w:color="auto"/>
              <w:right w:val="single" w:sz="6" w:space="0" w:color="auto"/>
            </w:tcBorders>
          </w:tcPr>
          <w:p w14:paraId="0A1FA35D" w14:textId="77777777" w:rsidR="00CA23D0" w:rsidRPr="00E30642" w:rsidRDefault="00CA23D0" w:rsidP="00CA23D0">
            <w:pPr>
              <w:pStyle w:val="Texttabulky"/>
              <w:spacing w:line="240" w:lineRule="atLeast"/>
              <w:jc w:val="both"/>
              <w:rPr>
                <w:rFonts w:cs="Arial"/>
                <w:i/>
              </w:rPr>
            </w:pPr>
            <w:r w:rsidRPr="00E30642">
              <w:rPr>
                <w:rFonts w:cs="Arial"/>
                <w:i/>
              </w:rPr>
              <w:t>707</w:t>
            </w:r>
          </w:p>
        </w:tc>
        <w:tc>
          <w:tcPr>
            <w:tcW w:w="678" w:type="dxa"/>
            <w:tcBorders>
              <w:top w:val="single" w:sz="6" w:space="0" w:color="auto"/>
              <w:left w:val="single" w:sz="6" w:space="0" w:color="auto"/>
              <w:bottom w:val="single" w:sz="6" w:space="0" w:color="auto"/>
              <w:right w:val="single" w:sz="6" w:space="0" w:color="auto"/>
            </w:tcBorders>
          </w:tcPr>
          <w:p w14:paraId="7ACAD5B0" w14:textId="77777777" w:rsidR="00CA23D0" w:rsidRPr="00E30642" w:rsidRDefault="00CA23D0" w:rsidP="00CA23D0">
            <w:pPr>
              <w:pStyle w:val="Texttabulky"/>
              <w:spacing w:line="240" w:lineRule="atLeast"/>
              <w:jc w:val="both"/>
              <w:rPr>
                <w:rFonts w:cs="Arial"/>
                <w:i/>
              </w:rPr>
            </w:pPr>
            <w:r w:rsidRPr="00E30642">
              <w:rPr>
                <w:rFonts w:cs="Arial"/>
                <w:i/>
              </w:rPr>
              <w:t>75</w:t>
            </w:r>
          </w:p>
        </w:tc>
        <w:tc>
          <w:tcPr>
            <w:tcW w:w="681" w:type="dxa"/>
            <w:tcBorders>
              <w:top w:val="single" w:sz="6" w:space="0" w:color="auto"/>
              <w:left w:val="single" w:sz="6" w:space="0" w:color="auto"/>
              <w:bottom w:val="single" w:sz="6" w:space="0" w:color="auto"/>
              <w:right w:val="single" w:sz="6" w:space="0" w:color="auto"/>
            </w:tcBorders>
          </w:tcPr>
          <w:p w14:paraId="5274B5E6" w14:textId="77777777" w:rsidR="00CA23D0" w:rsidRPr="00E30642" w:rsidRDefault="00CA23D0" w:rsidP="00CA23D0">
            <w:pPr>
              <w:pStyle w:val="Zkladntext"/>
              <w:jc w:val="both"/>
              <w:rPr>
                <w:rFonts w:ascii="Arial" w:hAnsi="Arial" w:cs="Arial"/>
                <w:i/>
              </w:rPr>
            </w:pPr>
          </w:p>
        </w:tc>
        <w:tc>
          <w:tcPr>
            <w:tcW w:w="748" w:type="dxa"/>
            <w:tcBorders>
              <w:top w:val="single" w:sz="6" w:space="0" w:color="auto"/>
              <w:left w:val="single" w:sz="6" w:space="0" w:color="auto"/>
              <w:bottom w:val="single" w:sz="6" w:space="0" w:color="auto"/>
              <w:right w:val="single" w:sz="6" w:space="0" w:color="auto"/>
            </w:tcBorders>
          </w:tcPr>
          <w:p w14:paraId="62732739" w14:textId="77777777" w:rsidR="00CA23D0" w:rsidRPr="00E30642" w:rsidRDefault="00CA23D0" w:rsidP="00CA23D0">
            <w:pPr>
              <w:pStyle w:val="Texttabulky"/>
              <w:spacing w:line="240" w:lineRule="atLeast"/>
              <w:jc w:val="both"/>
              <w:rPr>
                <w:rFonts w:cs="Arial"/>
                <w:i/>
              </w:rPr>
            </w:pPr>
            <w:r w:rsidRPr="00E30642">
              <w:rPr>
                <w:rFonts w:cs="Arial"/>
                <w:i/>
              </w:rPr>
              <w:t>125</w:t>
            </w:r>
          </w:p>
        </w:tc>
        <w:tc>
          <w:tcPr>
            <w:tcW w:w="947" w:type="dxa"/>
            <w:tcBorders>
              <w:top w:val="single" w:sz="6" w:space="0" w:color="auto"/>
              <w:left w:val="single" w:sz="6" w:space="0" w:color="auto"/>
              <w:bottom w:val="single" w:sz="6" w:space="0" w:color="auto"/>
              <w:right w:val="single" w:sz="6" w:space="0" w:color="auto"/>
            </w:tcBorders>
          </w:tcPr>
          <w:p w14:paraId="76B49A68" w14:textId="77777777" w:rsidR="00CA23D0" w:rsidRPr="00E30642" w:rsidRDefault="00CA23D0" w:rsidP="00CA23D0">
            <w:pPr>
              <w:pStyle w:val="Texttabulky"/>
              <w:spacing w:line="240" w:lineRule="atLeast"/>
              <w:jc w:val="both"/>
              <w:rPr>
                <w:rFonts w:cs="Arial"/>
                <w:i/>
              </w:rPr>
            </w:pPr>
            <w:r w:rsidRPr="00E30642">
              <w:rPr>
                <w:rFonts w:cs="Arial"/>
                <w:i/>
              </w:rPr>
              <w:t>725</w:t>
            </w:r>
          </w:p>
        </w:tc>
        <w:tc>
          <w:tcPr>
            <w:tcW w:w="714" w:type="dxa"/>
            <w:tcBorders>
              <w:top w:val="single" w:sz="6" w:space="0" w:color="auto"/>
              <w:left w:val="single" w:sz="6" w:space="0" w:color="auto"/>
              <w:bottom w:val="single" w:sz="6" w:space="0" w:color="auto"/>
              <w:right w:val="single" w:sz="6" w:space="0" w:color="auto"/>
            </w:tcBorders>
          </w:tcPr>
          <w:p w14:paraId="09948CC8" w14:textId="77777777" w:rsidR="00CA23D0" w:rsidRPr="00E30642" w:rsidRDefault="00CA23D0" w:rsidP="00CA23D0">
            <w:pPr>
              <w:pStyle w:val="Texttabulky"/>
              <w:spacing w:line="240" w:lineRule="atLeast"/>
              <w:jc w:val="both"/>
              <w:rPr>
                <w:rFonts w:cs="Arial"/>
                <w:i/>
              </w:rPr>
            </w:pPr>
            <w:r w:rsidRPr="00E30642">
              <w:rPr>
                <w:rFonts w:cs="Arial"/>
                <w:i/>
              </w:rPr>
              <w:t>850</w:t>
            </w:r>
          </w:p>
        </w:tc>
        <w:tc>
          <w:tcPr>
            <w:tcW w:w="785" w:type="dxa"/>
            <w:tcBorders>
              <w:top w:val="single" w:sz="6" w:space="0" w:color="auto"/>
              <w:left w:val="single" w:sz="6" w:space="0" w:color="auto"/>
              <w:bottom w:val="single" w:sz="6" w:space="0" w:color="auto"/>
              <w:right w:val="single" w:sz="6" w:space="0" w:color="auto"/>
            </w:tcBorders>
          </w:tcPr>
          <w:p w14:paraId="22E99805" w14:textId="77777777" w:rsidR="00CA23D0" w:rsidRPr="00E30642" w:rsidRDefault="00CA23D0" w:rsidP="00CA23D0">
            <w:pPr>
              <w:pStyle w:val="Texttabulky"/>
              <w:spacing w:line="240" w:lineRule="atLeast"/>
              <w:jc w:val="both"/>
              <w:rPr>
                <w:rFonts w:cs="Arial"/>
                <w:i/>
              </w:rPr>
            </w:pPr>
            <w:r w:rsidRPr="00E30642">
              <w:rPr>
                <w:rFonts w:cs="Arial"/>
                <w:i/>
              </w:rPr>
              <w:t>18</w:t>
            </w:r>
          </w:p>
        </w:tc>
        <w:tc>
          <w:tcPr>
            <w:tcW w:w="942" w:type="dxa"/>
            <w:tcBorders>
              <w:top w:val="single" w:sz="6" w:space="0" w:color="auto"/>
              <w:left w:val="single" w:sz="6" w:space="0" w:color="auto"/>
              <w:bottom w:val="single" w:sz="6" w:space="0" w:color="auto"/>
              <w:right w:val="single" w:sz="6" w:space="0" w:color="auto"/>
            </w:tcBorders>
          </w:tcPr>
          <w:p w14:paraId="7679B69A" w14:textId="77777777" w:rsidR="00CA23D0" w:rsidRPr="00E30642" w:rsidRDefault="00CA23D0" w:rsidP="00CA23D0">
            <w:pPr>
              <w:pStyle w:val="Texttabulky"/>
              <w:spacing w:line="240" w:lineRule="atLeast"/>
              <w:jc w:val="both"/>
              <w:rPr>
                <w:rFonts w:cs="Arial"/>
                <w:i/>
              </w:rPr>
            </w:pPr>
            <w:r w:rsidRPr="00E30642">
              <w:rPr>
                <w:rFonts w:cs="Arial"/>
                <w:i/>
              </w:rPr>
              <w:t>143</w:t>
            </w:r>
          </w:p>
        </w:tc>
      </w:tr>
      <w:tr w:rsidR="00CA23D0" w:rsidRPr="00E30642" w14:paraId="7284E733" w14:textId="77777777" w:rsidTr="00CA23D0">
        <w:trPr>
          <w:trHeight w:val="222"/>
        </w:trPr>
        <w:tc>
          <w:tcPr>
            <w:tcW w:w="525" w:type="dxa"/>
            <w:tcBorders>
              <w:top w:val="single" w:sz="6" w:space="0" w:color="auto"/>
              <w:left w:val="single" w:sz="6" w:space="0" w:color="auto"/>
              <w:bottom w:val="single" w:sz="6" w:space="0" w:color="auto"/>
              <w:right w:val="single" w:sz="6" w:space="0" w:color="auto"/>
            </w:tcBorders>
          </w:tcPr>
          <w:p w14:paraId="7E4FDF52" w14:textId="77777777" w:rsidR="00CA23D0" w:rsidRPr="00E30642" w:rsidRDefault="00CA23D0" w:rsidP="00CA23D0">
            <w:pPr>
              <w:pStyle w:val="Texttabulky"/>
              <w:spacing w:line="240" w:lineRule="atLeast"/>
              <w:jc w:val="both"/>
              <w:rPr>
                <w:rFonts w:cs="Arial"/>
                <w:i/>
              </w:rPr>
            </w:pPr>
            <w:r w:rsidRPr="00E30642">
              <w:rPr>
                <w:rFonts w:cs="Arial"/>
                <w:i/>
              </w:rPr>
              <w:t>22</w:t>
            </w:r>
          </w:p>
        </w:tc>
        <w:tc>
          <w:tcPr>
            <w:tcW w:w="558" w:type="dxa"/>
            <w:tcBorders>
              <w:top w:val="single" w:sz="6" w:space="0" w:color="auto"/>
              <w:left w:val="single" w:sz="6" w:space="0" w:color="auto"/>
              <w:bottom w:val="single" w:sz="6" w:space="0" w:color="auto"/>
              <w:right w:val="single" w:sz="6" w:space="0" w:color="auto"/>
            </w:tcBorders>
          </w:tcPr>
          <w:p w14:paraId="59375A8D" w14:textId="77777777" w:rsidR="00CA23D0" w:rsidRPr="00E30642" w:rsidRDefault="00CA23D0" w:rsidP="00CA23D0">
            <w:pPr>
              <w:pStyle w:val="Texttabulky"/>
              <w:spacing w:line="240" w:lineRule="atLeast"/>
              <w:jc w:val="both"/>
              <w:rPr>
                <w:rFonts w:cs="Arial"/>
                <w:i/>
              </w:rPr>
            </w:pPr>
            <w:r w:rsidRPr="00E30642">
              <w:rPr>
                <w:rFonts w:cs="Arial"/>
                <w:i/>
              </w:rPr>
              <w:t>O</w:t>
            </w:r>
          </w:p>
        </w:tc>
        <w:tc>
          <w:tcPr>
            <w:tcW w:w="1904" w:type="dxa"/>
            <w:tcBorders>
              <w:top w:val="single" w:sz="6" w:space="0" w:color="auto"/>
              <w:left w:val="single" w:sz="6" w:space="0" w:color="auto"/>
              <w:bottom w:val="single" w:sz="6" w:space="0" w:color="auto"/>
              <w:right w:val="single" w:sz="6" w:space="0" w:color="auto"/>
            </w:tcBorders>
          </w:tcPr>
          <w:p w14:paraId="3B99C68A" w14:textId="77777777" w:rsidR="00CA23D0" w:rsidRPr="00E30642" w:rsidRDefault="00CA23D0" w:rsidP="00CA23D0">
            <w:pPr>
              <w:pStyle w:val="Texttabulky"/>
              <w:spacing w:line="240" w:lineRule="atLeast"/>
              <w:jc w:val="both"/>
              <w:rPr>
                <w:rFonts w:cs="Arial"/>
                <w:i/>
              </w:rPr>
            </w:pPr>
            <w:r w:rsidRPr="00E30642">
              <w:rPr>
                <w:rFonts w:cs="Arial"/>
                <w:i/>
              </w:rPr>
              <w:t>Letná</w:t>
            </w:r>
          </w:p>
        </w:tc>
        <w:tc>
          <w:tcPr>
            <w:tcW w:w="732" w:type="dxa"/>
            <w:tcBorders>
              <w:top w:val="single" w:sz="6" w:space="0" w:color="auto"/>
              <w:left w:val="single" w:sz="6" w:space="0" w:color="auto"/>
              <w:bottom w:val="single" w:sz="6" w:space="0" w:color="auto"/>
              <w:right w:val="single" w:sz="6" w:space="0" w:color="auto"/>
            </w:tcBorders>
          </w:tcPr>
          <w:p w14:paraId="15626484" w14:textId="77777777" w:rsidR="00CA23D0" w:rsidRPr="00E30642" w:rsidRDefault="00CA23D0" w:rsidP="00CA23D0">
            <w:pPr>
              <w:pStyle w:val="Texttabulky"/>
              <w:spacing w:line="240" w:lineRule="atLeast"/>
              <w:jc w:val="both"/>
              <w:rPr>
                <w:rFonts w:cs="Arial"/>
                <w:i/>
              </w:rPr>
            </w:pPr>
            <w:r w:rsidRPr="00E30642">
              <w:rPr>
                <w:rFonts w:cs="Arial"/>
                <w:i/>
              </w:rPr>
              <w:t>3 510</w:t>
            </w:r>
          </w:p>
        </w:tc>
        <w:tc>
          <w:tcPr>
            <w:tcW w:w="678" w:type="dxa"/>
            <w:tcBorders>
              <w:top w:val="single" w:sz="6" w:space="0" w:color="auto"/>
              <w:left w:val="single" w:sz="6" w:space="0" w:color="auto"/>
              <w:bottom w:val="single" w:sz="6" w:space="0" w:color="auto"/>
              <w:right w:val="single" w:sz="6" w:space="0" w:color="auto"/>
            </w:tcBorders>
          </w:tcPr>
          <w:p w14:paraId="7AB6E142" w14:textId="77777777" w:rsidR="00CA23D0" w:rsidRPr="00E30642" w:rsidRDefault="00CA23D0" w:rsidP="00CA23D0">
            <w:pPr>
              <w:pStyle w:val="Texttabulky"/>
              <w:spacing w:line="240" w:lineRule="atLeast"/>
              <w:jc w:val="both"/>
              <w:rPr>
                <w:rFonts w:cs="Arial"/>
                <w:i/>
              </w:rPr>
            </w:pPr>
            <w:r w:rsidRPr="00E30642">
              <w:rPr>
                <w:rFonts w:cs="Arial"/>
                <w:i/>
              </w:rPr>
              <w:t>290</w:t>
            </w:r>
          </w:p>
        </w:tc>
        <w:tc>
          <w:tcPr>
            <w:tcW w:w="681" w:type="dxa"/>
            <w:tcBorders>
              <w:top w:val="single" w:sz="6" w:space="0" w:color="auto"/>
              <w:left w:val="single" w:sz="6" w:space="0" w:color="auto"/>
              <w:bottom w:val="single" w:sz="6" w:space="0" w:color="auto"/>
              <w:right w:val="single" w:sz="6" w:space="0" w:color="auto"/>
            </w:tcBorders>
          </w:tcPr>
          <w:p w14:paraId="54ECA1DA" w14:textId="77777777" w:rsidR="00CA23D0" w:rsidRPr="00E30642" w:rsidRDefault="00CA23D0" w:rsidP="00CA23D0">
            <w:pPr>
              <w:pStyle w:val="Texttabulky"/>
              <w:spacing w:line="240" w:lineRule="atLeast"/>
              <w:jc w:val="both"/>
              <w:rPr>
                <w:rFonts w:cs="Arial"/>
                <w:i/>
              </w:rPr>
            </w:pPr>
            <w:r w:rsidRPr="00E30642">
              <w:rPr>
                <w:rFonts w:cs="Arial"/>
                <w:i/>
              </w:rPr>
              <w:t>620</w:t>
            </w:r>
          </w:p>
        </w:tc>
        <w:tc>
          <w:tcPr>
            <w:tcW w:w="748" w:type="dxa"/>
            <w:tcBorders>
              <w:top w:val="single" w:sz="6" w:space="0" w:color="auto"/>
              <w:left w:val="single" w:sz="6" w:space="0" w:color="auto"/>
              <w:bottom w:val="single" w:sz="6" w:space="0" w:color="auto"/>
              <w:right w:val="single" w:sz="6" w:space="0" w:color="auto"/>
            </w:tcBorders>
          </w:tcPr>
          <w:p w14:paraId="150A1239" w14:textId="77777777" w:rsidR="00CA23D0" w:rsidRPr="00E30642" w:rsidRDefault="00CA23D0" w:rsidP="00CA23D0">
            <w:pPr>
              <w:pStyle w:val="Texttabulky"/>
              <w:spacing w:line="240" w:lineRule="atLeast"/>
              <w:jc w:val="both"/>
              <w:rPr>
                <w:rFonts w:cs="Arial"/>
                <w:i/>
              </w:rPr>
            </w:pPr>
            <w:r w:rsidRPr="00E30642">
              <w:rPr>
                <w:rFonts w:cs="Arial"/>
                <w:i/>
              </w:rPr>
              <w:t>75</w:t>
            </w:r>
          </w:p>
        </w:tc>
        <w:tc>
          <w:tcPr>
            <w:tcW w:w="947" w:type="dxa"/>
            <w:tcBorders>
              <w:top w:val="single" w:sz="6" w:space="0" w:color="auto"/>
              <w:left w:val="single" w:sz="6" w:space="0" w:color="auto"/>
              <w:bottom w:val="single" w:sz="6" w:space="0" w:color="auto"/>
              <w:right w:val="single" w:sz="6" w:space="0" w:color="auto"/>
            </w:tcBorders>
          </w:tcPr>
          <w:p w14:paraId="3E69C902" w14:textId="77777777" w:rsidR="00CA23D0" w:rsidRPr="00E30642" w:rsidRDefault="00CA23D0" w:rsidP="00CA23D0">
            <w:pPr>
              <w:pStyle w:val="Texttabulky"/>
              <w:spacing w:line="240" w:lineRule="atLeast"/>
              <w:jc w:val="both"/>
              <w:rPr>
                <w:rFonts w:cs="Arial"/>
                <w:i/>
              </w:rPr>
            </w:pPr>
            <w:r w:rsidRPr="00E30642">
              <w:rPr>
                <w:rFonts w:cs="Arial"/>
                <w:i/>
              </w:rPr>
              <w:t>4 310</w:t>
            </w:r>
          </w:p>
        </w:tc>
        <w:tc>
          <w:tcPr>
            <w:tcW w:w="714" w:type="dxa"/>
            <w:tcBorders>
              <w:top w:val="single" w:sz="6" w:space="0" w:color="auto"/>
              <w:left w:val="single" w:sz="6" w:space="0" w:color="auto"/>
              <w:bottom w:val="single" w:sz="6" w:space="0" w:color="auto"/>
              <w:right w:val="single" w:sz="6" w:space="0" w:color="auto"/>
            </w:tcBorders>
          </w:tcPr>
          <w:p w14:paraId="7B512352" w14:textId="77777777" w:rsidR="00CA23D0" w:rsidRPr="00E30642" w:rsidRDefault="00CA23D0" w:rsidP="00CA23D0">
            <w:pPr>
              <w:pStyle w:val="Texttabulky"/>
              <w:spacing w:line="240" w:lineRule="atLeast"/>
              <w:jc w:val="both"/>
              <w:rPr>
                <w:rFonts w:cs="Arial"/>
                <w:i/>
              </w:rPr>
            </w:pPr>
            <w:r w:rsidRPr="00E30642">
              <w:rPr>
                <w:rFonts w:cs="Arial"/>
                <w:i/>
              </w:rPr>
              <w:t>4 385</w:t>
            </w:r>
          </w:p>
        </w:tc>
        <w:tc>
          <w:tcPr>
            <w:tcW w:w="785" w:type="dxa"/>
            <w:tcBorders>
              <w:top w:val="single" w:sz="6" w:space="0" w:color="auto"/>
              <w:left w:val="single" w:sz="6" w:space="0" w:color="auto"/>
              <w:bottom w:val="single" w:sz="6" w:space="0" w:color="auto"/>
              <w:right w:val="single" w:sz="6" w:space="0" w:color="auto"/>
            </w:tcBorders>
          </w:tcPr>
          <w:p w14:paraId="72C4F992" w14:textId="77777777" w:rsidR="00CA23D0" w:rsidRPr="00E30642" w:rsidRDefault="00CA23D0" w:rsidP="00CA23D0">
            <w:pPr>
              <w:pStyle w:val="Texttabulky"/>
              <w:spacing w:line="240" w:lineRule="atLeast"/>
              <w:jc w:val="both"/>
              <w:rPr>
                <w:rFonts w:cs="Arial"/>
                <w:i/>
              </w:rPr>
            </w:pPr>
            <w:r w:rsidRPr="00E30642">
              <w:rPr>
                <w:rFonts w:cs="Arial"/>
                <w:i/>
              </w:rPr>
              <w:t>800</w:t>
            </w:r>
          </w:p>
        </w:tc>
        <w:tc>
          <w:tcPr>
            <w:tcW w:w="942" w:type="dxa"/>
            <w:tcBorders>
              <w:top w:val="single" w:sz="6" w:space="0" w:color="auto"/>
              <w:left w:val="single" w:sz="6" w:space="0" w:color="auto"/>
              <w:bottom w:val="single" w:sz="6" w:space="0" w:color="auto"/>
              <w:right w:val="single" w:sz="6" w:space="0" w:color="auto"/>
            </w:tcBorders>
          </w:tcPr>
          <w:p w14:paraId="09A74EC1" w14:textId="77777777" w:rsidR="00CA23D0" w:rsidRPr="00E30642" w:rsidRDefault="00CA23D0" w:rsidP="00CA23D0">
            <w:pPr>
              <w:pStyle w:val="Texttabulky"/>
              <w:spacing w:line="240" w:lineRule="atLeast"/>
              <w:jc w:val="both"/>
              <w:rPr>
                <w:rFonts w:cs="Arial"/>
                <w:i/>
              </w:rPr>
            </w:pPr>
            <w:r w:rsidRPr="00E30642">
              <w:rPr>
                <w:rFonts w:cs="Arial"/>
                <w:i/>
              </w:rPr>
              <w:t>875</w:t>
            </w:r>
          </w:p>
        </w:tc>
      </w:tr>
      <w:tr w:rsidR="00CA23D0" w:rsidRPr="00E30642" w14:paraId="4E7E9D52" w14:textId="77777777" w:rsidTr="00CA23D0">
        <w:trPr>
          <w:trHeight w:val="233"/>
        </w:trPr>
        <w:tc>
          <w:tcPr>
            <w:tcW w:w="525" w:type="dxa"/>
            <w:tcBorders>
              <w:top w:val="single" w:sz="6" w:space="0" w:color="auto"/>
              <w:left w:val="single" w:sz="6" w:space="0" w:color="auto"/>
              <w:bottom w:val="single" w:sz="6" w:space="0" w:color="auto"/>
              <w:right w:val="single" w:sz="6" w:space="0" w:color="auto"/>
            </w:tcBorders>
          </w:tcPr>
          <w:p w14:paraId="6FA68C5B" w14:textId="77777777" w:rsidR="00CA23D0" w:rsidRPr="00E30642" w:rsidRDefault="00CA23D0" w:rsidP="00CA23D0">
            <w:pPr>
              <w:pStyle w:val="Zkladntext"/>
              <w:jc w:val="both"/>
              <w:rPr>
                <w:rFonts w:ascii="Arial" w:hAnsi="Arial" w:cs="Arial"/>
                <w:i/>
              </w:rPr>
            </w:pPr>
          </w:p>
        </w:tc>
        <w:tc>
          <w:tcPr>
            <w:tcW w:w="558" w:type="dxa"/>
            <w:tcBorders>
              <w:top w:val="single" w:sz="6" w:space="0" w:color="auto"/>
              <w:left w:val="single" w:sz="6" w:space="0" w:color="auto"/>
              <w:bottom w:val="single" w:sz="6" w:space="0" w:color="auto"/>
              <w:right w:val="single" w:sz="6" w:space="0" w:color="auto"/>
            </w:tcBorders>
          </w:tcPr>
          <w:p w14:paraId="63637093" w14:textId="77777777" w:rsidR="00CA23D0" w:rsidRPr="00E30642" w:rsidRDefault="00CA23D0" w:rsidP="00CA23D0">
            <w:pPr>
              <w:pStyle w:val="Zkladntext"/>
              <w:jc w:val="both"/>
              <w:rPr>
                <w:rFonts w:ascii="Arial" w:hAnsi="Arial" w:cs="Arial"/>
                <w:i/>
              </w:rPr>
            </w:pPr>
          </w:p>
        </w:tc>
        <w:tc>
          <w:tcPr>
            <w:tcW w:w="1904" w:type="dxa"/>
            <w:tcBorders>
              <w:top w:val="single" w:sz="6" w:space="0" w:color="auto"/>
              <w:left w:val="single" w:sz="6" w:space="0" w:color="auto"/>
              <w:bottom w:val="single" w:sz="6" w:space="0" w:color="auto"/>
              <w:right w:val="single" w:sz="6" w:space="0" w:color="auto"/>
            </w:tcBorders>
          </w:tcPr>
          <w:p w14:paraId="78E2986E" w14:textId="77777777" w:rsidR="00CA23D0" w:rsidRPr="00E30642" w:rsidRDefault="00CA23D0" w:rsidP="00CA23D0">
            <w:pPr>
              <w:pStyle w:val="Texttabulky"/>
              <w:spacing w:line="240" w:lineRule="atLeast"/>
              <w:jc w:val="both"/>
              <w:rPr>
                <w:rFonts w:cs="Arial"/>
                <w:i/>
              </w:rPr>
            </w:pPr>
            <w:r w:rsidRPr="00E30642">
              <w:rPr>
                <w:rFonts w:cs="Arial"/>
                <w:b/>
                <w:bCs/>
                <w:i/>
              </w:rPr>
              <w:t>sektor II</w:t>
            </w:r>
          </w:p>
        </w:tc>
        <w:tc>
          <w:tcPr>
            <w:tcW w:w="732" w:type="dxa"/>
            <w:tcBorders>
              <w:top w:val="single" w:sz="6" w:space="0" w:color="auto"/>
              <w:left w:val="single" w:sz="6" w:space="0" w:color="auto"/>
              <w:bottom w:val="single" w:sz="6" w:space="0" w:color="auto"/>
              <w:right w:val="single" w:sz="6" w:space="0" w:color="auto"/>
            </w:tcBorders>
          </w:tcPr>
          <w:p w14:paraId="27FEBCC8" w14:textId="77777777" w:rsidR="00CA23D0" w:rsidRPr="00E30642" w:rsidRDefault="00CA23D0" w:rsidP="00CA23D0">
            <w:pPr>
              <w:pStyle w:val="Texttabulky"/>
              <w:spacing w:line="240" w:lineRule="atLeast"/>
              <w:jc w:val="both"/>
              <w:rPr>
                <w:rFonts w:cs="Arial"/>
                <w:i/>
              </w:rPr>
            </w:pPr>
            <w:r w:rsidRPr="00E30642">
              <w:rPr>
                <w:rFonts w:cs="Arial"/>
                <w:b/>
                <w:bCs/>
                <w:i/>
              </w:rPr>
              <w:t>10 504</w:t>
            </w:r>
          </w:p>
        </w:tc>
        <w:tc>
          <w:tcPr>
            <w:tcW w:w="678" w:type="dxa"/>
            <w:tcBorders>
              <w:top w:val="single" w:sz="6" w:space="0" w:color="auto"/>
              <w:left w:val="single" w:sz="6" w:space="0" w:color="auto"/>
              <w:bottom w:val="single" w:sz="6" w:space="0" w:color="auto"/>
              <w:right w:val="single" w:sz="6" w:space="0" w:color="auto"/>
            </w:tcBorders>
          </w:tcPr>
          <w:p w14:paraId="729D1234" w14:textId="77777777" w:rsidR="00CA23D0" w:rsidRPr="00E30642" w:rsidRDefault="00CA23D0" w:rsidP="00CA23D0">
            <w:pPr>
              <w:pStyle w:val="Texttabulky"/>
              <w:spacing w:line="240" w:lineRule="atLeast"/>
              <w:jc w:val="both"/>
              <w:rPr>
                <w:rFonts w:cs="Arial"/>
                <w:i/>
              </w:rPr>
            </w:pPr>
            <w:r w:rsidRPr="00E30642">
              <w:rPr>
                <w:rFonts w:cs="Arial"/>
                <w:b/>
                <w:bCs/>
                <w:i/>
              </w:rPr>
              <w:t>675</w:t>
            </w:r>
          </w:p>
        </w:tc>
        <w:tc>
          <w:tcPr>
            <w:tcW w:w="681" w:type="dxa"/>
            <w:tcBorders>
              <w:top w:val="single" w:sz="6" w:space="0" w:color="auto"/>
              <w:left w:val="single" w:sz="6" w:space="0" w:color="auto"/>
              <w:bottom w:val="single" w:sz="6" w:space="0" w:color="auto"/>
              <w:right w:val="single" w:sz="6" w:space="0" w:color="auto"/>
            </w:tcBorders>
          </w:tcPr>
          <w:p w14:paraId="0ED05505" w14:textId="77777777" w:rsidR="00CA23D0" w:rsidRPr="00E30642" w:rsidRDefault="00CA23D0" w:rsidP="00CA23D0">
            <w:pPr>
              <w:pStyle w:val="Texttabulky"/>
              <w:spacing w:line="240" w:lineRule="atLeast"/>
              <w:jc w:val="both"/>
              <w:rPr>
                <w:rFonts w:cs="Arial"/>
                <w:i/>
              </w:rPr>
            </w:pPr>
            <w:r w:rsidRPr="00E30642">
              <w:rPr>
                <w:rFonts w:cs="Arial"/>
                <w:b/>
                <w:bCs/>
                <w:i/>
              </w:rPr>
              <w:t>725</w:t>
            </w:r>
          </w:p>
        </w:tc>
        <w:tc>
          <w:tcPr>
            <w:tcW w:w="748" w:type="dxa"/>
            <w:tcBorders>
              <w:top w:val="single" w:sz="6" w:space="0" w:color="auto"/>
              <w:left w:val="single" w:sz="6" w:space="0" w:color="auto"/>
              <w:bottom w:val="single" w:sz="6" w:space="0" w:color="auto"/>
              <w:right w:val="single" w:sz="6" w:space="0" w:color="auto"/>
            </w:tcBorders>
          </w:tcPr>
          <w:p w14:paraId="695A6BAB" w14:textId="77777777" w:rsidR="00CA23D0" w:rsidRPr="00E30642" w:rsidRDefault="00CA23D0" w:rsidP="00CA23D0">
            <w:pPr>
              <w:pStyle w:val="Texttabulky"/>
              <w:spacing w:line="240" w:lineRule="atLeast"/>
              <w:jc w:val="both"/>
              <w:rPr>
                <w:rFonts w:cs="Arial"/>
                <w:i/>
              </w:rPr>
            </w:pPr>
            <w:r w:rsidRPr="00E30642">
              <w:rPr>
                <w:rFonts w:cs="Arial"/>
                <w:b/>
                <w:bCs/>
                <w:i/>
              </w:rPr>
              <w:t>200</w:t>
            </w:r>
          </w:p>
        </w:tc>
        <w:tc>
          <w:tcPr>
            <w:tcW w:w="947" w:type="dxa"/>
            <w:tcBorders>
              <w:top w:val="single" w:sz="6" w:space="0" w:color="auto"/>
              <w:left w:val="single" w:sz="6" w:space="0" w:color="auto"/>
              <w:bottom w:val="single" w:sz="6" w:space="0" w:color="auto"/>
              <w:right w:val="single" w:sz="6" w:space="0" w:color="auto"/>
            </w:tcBorders>
          </w:tcPr>
          <w:p w14:paraId="4CE16A91" w14:textId="77777777" w:rsidR="00CA23D0" w:rsidRPr="00E30642" w:rsidRDefault="00CA23D0" w:rsidP="00CA23D0">
            <w:pPr>
              <w:pStyle w:val="Texttabulky"/>
              <w:spacing w:line="240" w:lineRule="atLeast"/>
              <w:jc w:val="both"/>
              <w:rPr>
                <w:rFonts w:cs="Arial"/>
                <w:i/>
              </w:rPr>
            </w:pPr>
            <w:r w:rsidRPr="00E30642">
              <w:rPr>
                <w:rFonts w:cs="Arial"/>
                <w:b/>
                <w:bCs/>
                <w:i/>
              </w:rPr>
              <w:t>11 400</w:t>
            </w:r>
          </w:p>
        </w:tc>
        <w:tc>
          <w:tcPr>
            <w:tcW w:w="714" w:type="dxa"/>
            <w:tcBorders>
              <w:top w:val="single" w:sz="6" w:space="0" w:color="auto"/>
              <w:left w:val="single" w:sz="6" w:space="0" w:color="auto"/>
              <w:bottom w:val="single" w:sz="6" w:space="0" w:color="auto"/>
              <w:right w:val="single" w:sz="6" w:space="0" w:color="auto"/>
            </w:tcBorders>
          </w:tcPr>
          <w:p w14:paraId="7EC228A5" w14:textId="77777777" w:rsidR="00CA23D0" w:rsidRPr="00E30642" w:rsidRDefault="00CA23D0" w:rsidP="00CA23D0">
            <w:pPr>
              <w:pStyle w:val="Texttabulky"/>
              <w:spacing w:line="240" w:lineRule="atLeast"/>
              <w:jc w:val="both"/>
              <w:rPr>
                <w:rFonts w:cs="Arial"/>
                <w:i/>
              </w:rPr>
            </w:pPr>
            <w:r w:rsidRPr="00E30642">
              <w:rPr>
                <w:rFonts w:cs="Arial"/>
                <w:b/>
                <w:bCs/>
                <w:i/>
              </w:rPr>
              <w:t>11 600</w:t>
            </w:r>
          </w:p>
        </w:tc>
        <w:tc>
          <w:tcPr>
            <w:tcW w:w="785" w:type="dxa"/>
            <w:tcBorders>
              <w:top w:val="single" w:sz="6" w:space="0" w:color="auto"/>
              <w:left w:val="single" w:sz="6" w:space="0" w:color="auto"/>
              <w:bottom w:val="single" w:sz="6" w:space="0" w:color="auto"/>
              <w:right w:val="single" w:sz="6" w:space="0" w:color="auto"/>
            </w:tcBorders>
          </w:tcPr>
          <w:p w14:paraId="799E3853" w14:textId="77777777" w:rsidR="00CA23D0" w:rsidRPr="00E30642" w:rsidRDefault="00CA23D0" w:rsidP="00CA23D0">
            <w:pPr>
              <w:pStyle w:val="Texttabulky"/>
              <w:spacing w:line="240" w:lineRule="atLeast"/>
              <w:jc w:val="both"/>
              <w:rPr>
                <w:rFonts w:cs="Arial"/>
                <w:i/>
              </w:rPr>
            </w:pPr>
            <w:r w:rsidRPr="00E30642">
              <w:rPr>
                <w:rFonts w:cs="Arial"/>
                <w:b/>
                <w:bCs/>
                <w:i/>
              </w:rPr>
              <w:t>896</w:t>
            </w:r>
          </w:p>
        </w:tc>
        <w:tc>
          <w:tcPr>
            <w:tcW w:w="942" w:type="dxa"/>
            <w:tcBorders>
              <w:top w:val="single" w:sz="6" w:space="0" w:color="auto"/>
              <w:left w:val="single" w:sz="6" w:space="0" w:color="auto"/>
              <w:bottom w:val="single" w:sz="6" w:space="0" w:color="auto"/>
              <w:right w:val="single" w:sz="6" w:space="0" w:color="auto"/>
            </w:tcBorders>
          </w:tcPr>
          <w:p w14:paraId="45E3C80E" w14:textId="77777777" w:rsidR="00CA23D0" w:rsidRPr="00E30642" w:rsidRDefault="00CA23D0" w:rsidP="00CA23D0">
            <w:pPr>
              <w:pStyle w:val="Texttabulky"/>
              <w:spacing w:line="240" w:lineRule="atLeast"/>
              <w:jc w:val="both"/>
              <w:rPr>
                <w:rFonts w:cs="Arial"/>
                <w:i/>
              </w:rPr>
            </w:pPr>
            <w:r w:rsidRPr="00E30642">
              <w:rPr>
                <w:rFonts w:cs="Arial"/>
                <w:b/>
                <w:bCs/>
                <w:i/>
              </w:rPr>
              <w:t>1 096</w:t>
            </w:r>
          </w:p>
        </w:tc>
      </w:tr>
    </w:tbl>
    <w:p w14:paraId="6A6643A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Tento sektor je charakteristický existencí dvou v celoměstském kontextu výrazných funkčních pólů - obytného na jedné straně a dopravně výrobního na straně druhé. Obytné území je dáno urbanistickými obvody Želenice. Popovice a Letná. V návrhovém období je do tohoto prostoru navrženo objemem hlavní rozvojové území obytné funkce města. Zde je přepokládána realizace formou rodinných domů, která by měla být vylepšením a jistou protiváhou obytnému panelovému sídlišti v Želenicích. Těžiště rozvoje obytného území se předpokládá v oblasti Letné, kde by měl být zaznamenán v rámci absolutně nejvyšší růst počtu bydlících. Protipólem v tomto sektoru bude vývoj počtu obyvatel v UO Rozbělesy a Hlavní nádraží. V těchto urbanistických obvodech je uvažováno s růstem jiných funkcí a obytné území by mělo být v tomto prostoru omezováno.</w:t>
      </w:r>
    </w:p>
    <w:p w14:paraId="703D6674" w14:textId="77777777" w:rsidR="00D3579D" w:rsidRDefault="00D3579D" w:rsidP="00CA23D0">
      <w:pPr>
        <w:pStyle w:val="Zkladntext"/>
        <w:spacing w:line="240" w:lineRule="atLeast"/>
        <w:jc w:val="both"/>
        <w:rPr>
          <w:rFonts w:ascii="Arial" w:hAnsi="Arial" w:cs="Arial"/>
          <w:b/>
          <w:bCs/>
          <w:caps/>
        </w:rPr>
      </w:pPr>
    </w:p>
    <w:p w14:paraId="7E9070B7" w14:textId="77777777" w:rsidR="004D3621" w:rsidRDefault="004D3621" w:rsidP="00CA23D0">
      <w:pPr>
        <w:pStyle w:val="Zkladntext"/>
        <w:spacing w:line="240" w:lineRule="atLeast"/>
        <w:jc w:val="both"/>
        <w:rPr>
          <w:rFonts w:ascii="Arial" w:hAnsi="Arial" w:cs="Arial"/>
          <w:b/>
          <w:bCs/>
          <w:caps/>
        </w:rPr>
      </w:pPr>
    </w:p>
    <w:p w14:paraId="064110FF" w14:textId="77777777" w:rsidR="004D3621" w:rsidRDefault="004D3621" w:rsidP="00CA23D0">
      <w:pPr>
        <w:pStyle w:val="Zkladntext"/>
        <w:spacing w:line="240" w:lineRule="atLeast"/>
        <w:jc w:val="both"/>
        <w:rPr>
          <w:rFonts w:ascii="Arial" w:hAnsi="Arial" w:cs="Arial"/>
          <w:b/>
          <w:bCs/>
          <w:caps/>
        </w:rPr>
      </w:pPr>
    </w:p>
    <w:p w14:paraId="0935CB80"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lastRenderedPageBreak/>
        <w:t>Sektor III - Chrochvice, Vilsnice</w:t>
      </w:r>
    </w:p>
    <w:p w14:paraId="6FCC9E3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 nedávné minulosti byl tento sektor považován za jeden možných pro realizaci rozsáhlého obytného souboru Krásný Studenec. Z řady příčin, hlavně z důvodu ochrany půdního fondu se od uskutečnění tohoto záměru upustilo. Obytné území sektoru bude i nadále plynule přecházejícím od zástavby rodinných domků do volné krajiny. Pro návrhové období je počítáno doplněním o nové plochy se zástavbou rodinných domů. Možnost dalšího rozšíření je i po uplynutí návrhového období. Až naplnění těchto rezerv způsobí kladný přírůstek obyvatel tohoto území.</w:t>
      </w:r>
    </w:p>
    <w:p w14:paraId="17DE0D48" w14:textId="77777777" w:rsidR="00CA23D0" w:rsidRPr="00E30642" w:rsidRDefault="00CA23D0" w:rsidP="00CA23D0">
      <w:pPr>
        <w:pStyle w:val="Zkladntext"/>
        <w:spacing w:line="240" w:lineRule="atLeast"/>
        <w:jc w:val="both"/>
        <w:rPr>
          <w:rFonts w:ascii="Arial" w:hAnsi="Arial" w:cs="Arial"/>
        </w:rPr>
      </w:pPr>
    </w:p>
    <w:tbl>
      <w:tblPr>
        <w:tblW w:w="0" w:type="auto"/>
        <w:tblInd w:w="30" w:type="dxa"/>
        <w:tblLayout w:type="fixed"/>
        <w:tblCellMar>
          <w:left w:w="30" w:type="dxa"/>
          <w:right w:w="30" w:type="dxa"/>
        </w:tblCellMar>
        <w:tblLook w:val="0000" w:firstRow="0" w:lastRow="0" w:firstColumn="0" w:lastColumn="0" w:noHBand="0" w:noVBand="0"/>
      </w:tblPr>
      <w:tblGrid>
        <w:gridCol w:w="474"/>
        <w:gridCol w:w="504"/>
        <w:gridCol w:w="1731"/>
        <w:gridCol w:w="661"/>
        <w:gridCol w:w="612"/>
        <w:gridCol w:w="615"/>
        <w:gridCol w:w="675"/>
        <w:gridCol w:w="705"/>
        <w:gridCol w:w="854"/>
        <w:gridCol w:w="709"/>
        <w:gridCol w:w="791"/>
      </w:tblGrid>
      <w:tr w:rsidR="00CA23D0" w:rsidRPr="00E30642" w14:paraId="2CBFA7F3" w14:textId="77777777" w:rsidTr="00CA23D0">
        <w:tc>
          <w:tcPr>
            <w:tcW w:w="474" w:type="dxa"/>
            <w:vMerge w:val="restart"/>
            <w:tcBorders>
              <w:top w:val="single" w:sz="6" w:space="0" w:color="auto"/>
              <w:left w:val="single" w:sz="6" w:space="0" w:color="auto"/>
              <w:right w:val="single" w:sz="6" w:space="0" w:color="auto"/>
            </w:tcBorders>
          </w:tcPr>
          <w:p w14:paraId="3CB03549" w14:textId="77777777" w:rsidR="00CA23D0" w:rsidRPr="00E30642" w:rsidRDefault="00CA23D0" w:rsidP="00CA23D0">
            <w:pPr>
              <w:pStyle w:val="Texttabulky"/>
              <w:jc w:val="both"/>
              <w:rPr>
                <w:rFonts w:cs="Arial"/>
              </w:rPr>
            </w:pPr>
            <w:r w:rsidRPr="00E30642">
              <w:rPr>
                <w:rFonts w:cs="Arial"/>
                <w:b/>
                <w:bCs/>
              </w:rPr>
              <w:t>poř.č.UO</w:t>
            </w:r>
          </w:p>
        </w:tc>
        <w:tc>
          <w:tcPr>
            <w:tcW w:w="504" w:type="dxa"/>
            <w:vMerge w:val="restart"/>
            <w:tcBorders>
              <w:top w:val="single" w:sz="6" w:space="0" w:color="auto"/>
              <w:left w:val="single" w:sz="6" w:space="0" w:color="auto"/>
              <w:right w:val="single" w:sz="6" w:space="0" w:color="auto"/>
            </w:tcBorders>
          </w:tcPr>
          <w:p w14:paraId="4EF8F8DA" w14:textId="77777777" w:rsidR="00CA23D0" w:rsidRPr="00E30642" w:rsidRDefault="00CA23D0" w:rsidP="00CA23D0">
            <w:pPr>
              <w:pStyle w:val="Texttabulky"/>
              <w:jc w:val="both"/>
              <w:rPr>
                <w:rFonts w:cs="Arial"/>
              </w:rPr>
            </w:pPr>
            <w:r w:rsidRPr="00E30642">
              <w:rPr>
                <w:rFonts w:cs="Arial"/>
                <w:b/>
                <w:bCs/>
              </w:rPr>
              <w:t>char. UO</w:t>
            </w:r>
          </w:p>
        </w:tc>
        <w:tc>
          <w:tcPr>
            <w:tcW w:w="1731" w:type="dxa"/>
            <w:vMerge w:val="restart"/>
            <w:tcBorders>
              <w:top w:val="single" w:sz="6" w:space="0" w:color="auto"/>
              <w:left w:val="single" w:sz="6" w:space="0" w:color="auto"/>
              <w:right w:val="single" w:sz="6" w:space="0" w:color="auto"/>
            </w:tcBorders>
          </w:tcPr>
          <w:p w14:paraId="406F9A0A" w14:textId="77777777" w:rsidR="00CA23D0" w:rsidRPr="00E30642" w:rsidRDefault="00CA23D0" w:rsidP="00CA23D0">
            <w:pPr>
              <w:pStyle w:val="Texttabulky"/>
              <w:jc w:val="both"/>
              <w:rPr>
                <w:rFonts w:cs="Arial"/>
              </w:rPr>
            </w:pPr>
            <w:r w:rsidRPr="00E30642">
              <w:rPr>
                <w:rFonts w:cs="Arial"/>
                <w:b/>
                <w:bCs/>
              </w:rPr>
              <w:t>název urbanistického obvodu</w:t>
            </w:r>
          </w:p>
        </w:tc>
        <w:tc>
          <w:tcPr>
            <w:tcW w:w="661" w:type="dxa"/>
            <w:vMerge w:val="restart"/>
            <w:tcBorders>
              <w:top w:val="single" w:sz="6" w:space="0" w:color="auto"/>
              <w:left w:val="single" w:sz="6" w:space="0" w:color="auto"/>
              <w:right w:val="single" w:sz="6" w:space="0" w:color="auto"/>
            </w:tcBorders>
          </w:tcPr>
          <w:p w14:paraId="1475391E" w14:textId="77777777" w:rsidR="00CA23D0" w:rsidRPr="00E30642" w:rsidRDefault="00CA23D0" w:rsidP="00CA23D0">
            <w:pPr>
              <w:pStyle w:val="Texttabulky"/>
              <w:jc w:val="both"/>
              <w:rPr>
                <w:rFonts w:cs="Arial"/>
              </w:rPr>
            </w:pPr>
            <w:r w:rsidRPr="00E30642">
              <w:rPr>
                <w:rFonts w:cs="Arial"/>
                <w:b/>
                <w:bCs/>
              </w:rPr>
              <w:t>OB91</w:t>
            </w:r>
          </w:p>
        </w:tc>
        <w:tc>
          <w:tcPr>
            <w:tcW w:w="1902" w:type="dxa"/>
            <w:gridSpan w:val="3"/>
            <w:tcBorders>
              <w:top w:val="single" w:sz="6" w:space="0" w:color="auto"/>
              <w:left w:val="single" w:sz="6" w:space="0" w:color="auto"/>
              <w:bottom w:val="single" w:sz="6" w:space="0" w:color="auto"/>
              <w:right w:val="single" w:sz="6" w:space="0" w:color="auto"/>
            </w:tcBorders>
          </w:tcPr>
          <w:p w14:paraId="701CF250"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nové obytné plochy</w:t>
            </w:r>
          </w:p>
        </w:tc>
        <w:tc>
          <w:tcPr>
            <w:tcW w:w="1559" w:type="dxa"/>
            <w:gridSpan w:val="2"/>
            <w:tcBorders>
              <w:top w:val="single" w:sz="6" w:space="0" w:color="auto"/>
              <w:left w:val="single" w:sz="6" w:space="0" w:color="auto"/>
              <w:bottom w:val="single" w:sz="6" w:space="0" w:color="auto"/>
              <w:right w:val="single" w:sz="6" w:space="0" w:color="auto"/>
            </w:tcBorders>
          </w:tcPr>
          <w:p w14:paraId="2188CCAB"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Počet bydlících osob</w:t>
            </w:r>
          </w:p>
        </w:tc>
        <w:tc>
          <w:tcPr>
            <w:tcW w:w="709" w:type="dxa"/>
            <w:vMerge w:val="restart"/>
            <w:tcBorders>
              <w:top w:val="single" w:sz="6" w:space="0" w:color="auto"/>
              <w:left w:val="single" w:sz="6" w:space="0" w:color="auto"/>
              <w:right w:val="single" w:sz="6" w:space="0" w:color="auto"/>
            </w:tcBorders>
          </w:tcPr>
          <w:p w14:paraId="18207B4A" w14:textId="77777777" w:rsidR="00CA23D0" w:rsidRPr="00E30642" w:rsidRDefault="00CA23D0" w:rsidP="00CA23D0">
            <w:pPr>
              <w:pStyle w:val="Texttabulky"/>
              <w:jc w:val="both"/>
              <w:rPr>
                <w:rFonts w:cs="Arial"/>
              </w:rPr>
            </w:pPr>
            <w:r w:rsidRPr="00E30642">
              <w:rPr>
                <w:rFonts w:cs="Arial"/>
                <w:b/>
                <w:bCs/>
              </w:rPr>
              <w:t xml:space="preserve">OB přírůstek návrh </w:t>
            </w:r>
          </w:p>
        </w:tc>
        <w:tc>
          <w:tcPr>
            <w:tcW w:w="791" w:type="dxa"/>
            <w:vMerge w:val="restart"/>
            <w:tcBorders>
              <w:top w:val="single" w:sz="6" w:space="0" w:color="auto"/>
              <w:left w:val="single" w:sz="6" w:space="0" w:color="auto"/>
              <w:right w:val="single" w:sz="6" w:space="0" w:color="auto"/>
            </w:tcBorders>
          </w:tcPr>
          <w:p w14:paraId="31267E15" w14:textId="77777777" w:rsidR="00CA23D0" w:rsidRPr="00E30642" w:rsidRDefault="00CA23D0" w:rsidP="00CA23D0">
            <w:pPr>
              <w:pStyle w:val="Texttabulky"/>
              <w:jc w:val="both"/>
              <w:rPr>
                <w:rFonts w:cs="Arial"/>
              </w:rPr>
            </w:pPr>
            <w:r w:rsidRPr="00E30642">
              <w:rPr>
                <w:rFonts w:cs="Arial"/>
                <w:b/>
                <w:bCs/>
              </w:rPr>
              <w:t>OB přírůstek návrh +rez.</w:t>
            </w:r>
          </w:p>
        </w:tc>
      </w:tr>
      <w:tr w:rsidR="00CA23D0" w:rsidRPr="00E30642" w14:paraId="27919855" w14:textId="77777777" w:rsidTr="00CA23D0">
        <w:tc>
          <w:tcPr>
            <w:tcW w:w="474" w:type="dxa"/>
            <w:vMerge/>
            <w:tcBorders>
              <w:left w:val="single" w:sz="6" w:space="0" w:color="auto"/>
              <w:bottom w:val="single" w:sz="6" w:space="0" w:color="auto"/>
              <w:right w:val="single" w:sz="6" w:space="0" w:color="auto"/>
            </w:tcBorders>
          </w:tcPr>
          <w:p w14:paraId="4F9AD138" w14:textId="77777777" w:rsidR="00CA23D0" w:rsidRPr="00E30642" w:rsidRDefault="00CA23D0" w:rsidP="00CA23D0">
            <w:pPr>
              <w:pStyle w:val="Zkladntext"/>
              <w:spacing w:line="240" w:lineRule="atLeast"/>
              <w:jc w:val="both"/>
              <w:rPr>
                <w:rFonts w:ascii="Arial" w:hAnsi="Arial" w:cs="Arial"/>
              </w:rPr>
            </w:pPr>
          </w:p>
        </w:tc>
        <w:tc>
          <w:tcPr>
            <w:tcW w:w="504" w:type="dxa"/>
            <w:vMerge/>
            <w:tcBorders>
              <w:left w:val="single" w:sz="6" w:space="0" w:color="auto"/>
              <w:bottom w:val="single" w:sz="6" w:space="0" w:color="auto"/>
              <w:right w:val="single" w:sz="6" w:space="0" w:color="auto"/>
            </w:tcBorders>
          </w:tcPr>
          <w:p w14:paraId="0159372D" w14:textId="77777777" w:rsidR="00CA23D0" w:rsidRPr="00E30642" w:rsidRDefault="00CA23D0" w:rsidP="00CA23D0">
            <w:pPr>
              <w:pStyle w:val="Zkladntext"/>
              <w:spacing w:line="240" w:lineRule="atLeast"/>
              <w:jc w:val="both"/>
              <w:rPr>
                <w:rFonts w:ascii="Arial" w:hAnsi="Arial" w:cs="Arial"/>
              </w:rPr>
            </w:pPr>
          </w:p>
        </w:tc>
        <w:tc>
          <w:tcPr>
            <w:tcW w:w="1731" w:type="dxa"/>
            <w:vMerge/>
            <w:tcBorders>
              <w:left w:val="single" w:sz="6" w:space="0" w:color="auto"/>
              <w:bottom w:val="single" w:sz="6" w:space="0" w:color="auto"/>
              <w:right w:val="single" w:sz="6" w:space="0" w:color="auto"/>
            </w:tcBorders>
          </w:tcPr>
          <w:p w14:paraId="56A6670E" w14:textId="77777777" w:rsidR="00CA23D0" w:rsidRPr="00E30642" w:rsidRDefault="00CA23D0" w:rsidP="00CA23D0">
            <w:pPr>
              <w:pStyle w:val="Zkladntext"/>
              <w:spacing w:line="240" w:lineRule="atLeast"/>
              <w:jc w:val="both"/>
              <w:rPr>
                <w:rFonts w:ascii="Arial" w:hAnsi="Arial" w:cs="Arial"/>
              </w:rPr>
            </w:pPr>
          </w:p>
        </w:tc>
        <w:tc>
          <w:tcPr>
            <w:tcW w:w="661" w:type="dxa"/>
            <w:vMerge/>
            <w:tcBorders>
              <w:left w:val="single" w:sz="6" w:space="0" w:color="auto"/>
              <w:bottom w:val="single" w:sz="6" w:space="0" w:color="auto"/>
              <w:right w:val="single" w:sz="6" w:space="0" w:color="auto"/>
            </w:tcBorders>
          </w:tcPr>
          <w:p w14:paraId="48CC5649" w14:textId="77777777" w:rsidR="00CA23D0" w:rsidRPr="00E30642" w:rsidRDefault="00CA23D0" w:rsidP="00CA23D0">
            <w:pPr>
              <w:pStyle w:val="Zkladntext"/>
              <w:spacing w:line="240" w:lineRule="atLeast"/>
              <w:jc w:val="both"/>
              <w:rPr>
                <w:rFonts w:ascii="Arial" w:hAnsi="Arial" w:cs="Arial"/>
              </w:rPr>
            </w:pPr>
          </w:p>
        </w:tc>
        <w:tc>
          <w:tcPr>
            <w:tcW w:w="612" w:type="dxa"/>
            <w:tcBorders>
              <w:top w:val="single" w:sz="6" w:space="0" w:color="auto"/>
              <w:left w:val="single" w:sz="6" w:space="0" w:color="auto"/>
              <w:bottom w:val="single" w:sz="6" w:space="0" w:color="auto"/>
              <w:right w:val="single" w:sz="6" w:space="0" w:color="auto"/>
            </w:tcBorders>
          </w:tcPr>
          <w:p w14:paraId="6216F76C" w14:textId="77777777" w:rsidR="00CA23D0" w:rsidRPr="00E30642" w:rsidRDefault="00CA23D0" w:rsidP="00CA23D0">
            <w:pPr>
              <w:pStyle w:val="Texttabulky"/>
              <w:spacing w:line="240" w:lineRule="atLeast"/>
              <w:jc w:val="both"/>
              <w:rPr>
                <w:rFonts w:cs="Arial"/>
              </w:rPr>
            </w:pPr>
            <w:r w:rsidRPr="00E30642">
              <w:rPr>
                <w:rFonts w:cs="Arial"/>
                <w:b/>
                <w:bCs/>
              </w:rPr>
              <w:t>OB návrh I</w:t>
            </w:r>
          </w:p>
        </w:tc>
        <w:tc>
          <w:tcPr>
            <w:tcW w:w="615" w:type="dxa"/>
            <w:tcBorders>
              <w:top w:val="single" w:sz="6" w:space="0" w:color="auto"/>
              <w:left w:val="single" w:sz="6" w:space="0" w:color="auto"/>
              <w:bottom w:val="single" w:sz="6" w:space="0" w:color="auto"/>
              <w:right w:val="single" w:sz="6" w:space="0" w:color="auto"/>
            </w:tcBorders>
          </w:tcPr>
          <w:p w14:paraId="261EE053" w14:textId="77777777" w:rsidR="00CA23D0" w:rsidRPr="00E30642" w:rsidRDefault="00CA23D0" w:rsidP="00CA23D0">
            <w:pPr>
              <w:pStyle w:val="Texttabulky"/>
              <w:spacing w:line="240" w:lineRule="atLeast"/>
              <w:jc w:val="both"/>
              <w:rPr>
                <w:rFonts w:cs="Arial"/>
              </w:rPr>
            </w:pPr>
            <w:r w:rsidRPr="00E30642">
              <w:rPr>
                <w:rFonts w:cs="Arial"/>
                <w:b/>
                <w:bCs/>
              </w:rPr>
              <w:t>OB návrh II</w:t>
            </w:r>
          </w:p>
        </w:tc>
        <w:tc>
          <w:tcPr>
            <w:tcW w:w="675" w:type="dxa"/>
            <w:tcBorders>
              <w:top w:val="single" w:sz="6" w:space="0" w:color="auto"/>
              <w:left w:val="single" w:sz="6" w:space="0" w:color="auto"/>
              <w:bottom w:val="single" w:sz="6" w:space="0" w:color="auto"/>
              <w:right w:val="single" w:sz="6" w:space="0" w:color="auto"/>
            </w:tcBorders>
          </w:tcPr>
          <w:p w14:paraId="09908DD2" w14:textId="77777777" w:rsidR="00CA23D0" w:rsidRPr="00E30642" w:rsidRDefault="00CA23D0" w:rsidP="00CA23D0">
            <w:pPr>
              <w:pStyle w:val="Texttabulky"/>
              <w:spacing w:line="240" w:lineRule="atLeast"/>
              <w:jc w:val="both"/>
              <w:rPr>
                <w:rFonts w:cs="Arial"/>
              </w:rPr>
            </w:pPr>
            <w:r w:rsidRPr="00E30642">
              <w:rPr>
                <w:rFonts w:cs="Arial"/>
                <w:b/>
                <w:bCs/>
              </w:rPr>
              <w:t>OB rezerva</w:t>
            </w:r>
          </w:p>
        </w:tc>
        <w:tc>
          <w:tcPr>
            <w:tcW w:w="705" w:type="dxa"/>
            <w:tcBorders>
              <w:top w:val="single" w:sz="6" w:space="0" w:color="auto"/>
              <w:left w:val="single" w:sz="6" w:space="0" w:color="auto"/>
              <w:bottom w:val="single" w:sz="6" w:space="0" w:color="auto"/>
              <w:right w:val="single" w:sz="6" w:space="0" w:color="auto"/>
            </w:tcBorders>
          </w:tcPr>
          <w:p w14:paraId="099D7793" w14:textId="77777777" w:rsidR="00CA23D0" w:rsidRPr="00E30642" w:rsidRDefault="00CA23D0" w:rsidP="00CA23D0">
            <w:pPr>
              <w:pStyle w:val="Texttabulky"/>
              <w:spacing w:line="240" w:lineRule="atLeast"/>
              <w:jc w:val="both"/>
              <w:rPr>
                <w:rFonts w:cs="Arial"/>
              </w:rPr>
            </w:pPr>
            <w:r w:rsidRPr="00E30642">
              <w:rPr>
                <w:rFonts w:cs="Arial"/>
                <w:b/>
                <w:bCs/>
              </w:rPr>
              <w:t>návrh</w:t>
            </w:r>
          </w:p>
        </w:tc>
        <w:tc>
          <w:tcPr>
            <w:tcW w:w="854" w:type="dxa"/>
            <w:tcBorders>
              <w:top w:val="single" w:sz="6" w:space="0" w:color="auto"/>
              <w:left w:val="single" w:sz="6" w:space="0" w:color="auto"/>
              <w:bottom w:val="single" w:sz="6" w:space="0" w:color="auto"/>
              <w:right w:val="single" w:sz="6" w:space="0" w:color="auto"/>
            </w:tcBorders>
          </w:tcPr>
          <w:p w14:paraId="79010469" w14:textId="77777777" w:rsidR="00CA23D0" w:rsidRPr="00E30642" w:rsidRDefault="00CA23D0" w:rsidP="00CA23D0">
            <w:pPr>
              <w:pStyle w:val="Texttabulky"/>
              <w:spacing w:line="240" w:lineRule="atLeast"/>
              <w:jc w:val="both"/>
              <w:rPr>
                <w:rFonts w:cs="Arial"/>
              </w:rPr>
            </w:pPr>
            <w:r w:rsidRPr="00E30642">
              <w:rPr>
                <w:rFonts w:cs="Arial"/>
                <w:b/>
                <w:bCs/>
              </w:rPr>
              <w:t>návrh + rez.</w:t>
            </w:r>
          </w:p>
        </w:tc>
        <w:tc>
          <w:tcPr>
            <w:tcW w:w="709" w:type="dxa"/>
            <w:vMerge/>
            <w:tcBorders>
              <w:left w:val="single" w:sz="6" w:space="0" w:color="auto"/>
              <w:bottom w:val="single" w:sz="6" w:space="0" w:color="auto"/>
              <w:right w:val="single" w:sz="6" w:space="0" w:color="auto"/>
            </w:tcBorders>
          </w:tcPr>
          <w:p w14:paraId="37133152" w14:textId="77777777" w:rsidR="00CA23D0" w:rsidRPr="00E30642" w:rsidRDefault="00CA23D0" w:rsidP="00CA23D0">
            <w:pPr>
              <w:pStyle w:val="Zkladntext"/>
              <w:spacing w:line="240" w:lineRule="atLeast"/>
              <w:jc w:val="both"/>
              <w:rPr>
                <w:rFonts w:ascii="Arial" w:hAnsi="Arial" w:cs="Arial"/>
              </w:rPr>
            </w:pPr>
          </w:p>
        </w:tc>
        <w:tc>
          <w:tcPr>
            <w:tcW w:w="791" w:type="dxa"/>
            <w:vMerge/>
            <w:tcBorders>
              <w:left w:val="single" w:sz="6" w:space="0" w:color="auto"/>
              <w:bottom w:val="single" w:sz="6" w:space="0" w:color="auto"/>
              <w:right w:val="single" w:sz="6" w:space="0" w:color="auto"/>
            </w:tcBorders>
          </w:tcPr>
          <w:p w14:paraId="7657F652" w14:textId="77777777" w:rsidR="00CA23D0" w:rsidRPr="00E30642" w:rsidRDefault="00CA23D0" w:rsidP="00CA23D0">
            <w:pPr>
              <w:pStyle w:val="Zkladntext"/>
              <w:spacing w:line="240" w:lineRule="atLeast"/>
              <w:jc w:val="both"/>
              <w:rPr>
                <w:rFonts w:ascii="Arial" w:hAnsi="Arial" w:cs="Arial"/>
              </w:rPr>
            </w:pPr>
          </w:p>
        </w:tc>
      </w:tr>
      <w:tr w:rsidR="00CA23D0" w:rsidRPr="00E30642" w14:paraId="2D688F80" w14:textId="77777777" w:rsidTr="00CA23D0">
        <w:tc>
          <w:tcPr>
            <w:tcW w:w="474" w:type="dxa"/>
            <w:tcBorders>
              <w:top w:val="single" w:sz="6" w:space="0" w:color="auto"/>
              <w:left w:val="single" w:sz="6" w:space="0" w:color="auto"/>
              <w:bottom w:val="single" w:sz="6" w:space="0" w:color="auto"/>
              <w:right w:val="single" w:sz="6" w:space="0" w:color="auto"/>
            </w:tcBorders>
          </w:tcPr>
          <w:p w14:paraId="178DC821" w14:textId="77777777" w:rsidR="00CA23D0" w:rsidRPr="00E30642" w:rsidRDefault="00CA23D0" w:rsidP="00CA23D0">
            <w:pPr>
              <w:pStyle w:val="Texttabulky"/>
              <w:spacing w:line="240" w:lineRule="atLeast"/>
              <w:jc w:val="both"/>
              <w:rPr>
                <w:rFonts w:cs="Arial"/>
              </w:rPr>
            </w:pPr>
            <w:r w:rsidRPr="00E30642">
              <w:rPr>
                <w:rFonts w:cs="Arial"/>
              </w:rPr>
              <w:t>16</w:t>
            </w:r>
          </w:p>
        </w:tc>
        <w:tc>
          <w:tcPr>
            <w:tcW w:w="504" w:type="dxa"/>
            <w:tcBorders>
              <w:top w:val="single" w:sz="6" w:space="0" w:color="auto"/>
              <w:left w:val="single" w:sz="6" w:space="0" w:color="auto"/>
              <w:bottom w:val="single" w:sz="6" w:space="0" w:color="auto"/>
              <w:right w:val="single" w:sz="6" w:space="0" w:color="auto"/>
            </w:tcBorders>
          </w:tcPr>
          <w:p w14:paraId="354345E6" w14:textId="77777777" w:rsidR="00CA23D0" w:rsidRPr="00E30642" w:rsidRDefault="00CA23D0" w:rsidP="00CA23D0">
            <w:pPr>
              <w:pStyle w:val="Texttabulky"/>
              <w:spacing w:line="240" w:lineRule="atLeast"/>
              <w:jc w:val="both"/>
              <w:rPr>
                <w:rFonts w:cs="Arial"/>
              </w:rPr>
            </w:pPr>
            <w:r w:rsidRPr="00E30642">
              <w:rPr>
                <w:rFonts w:cs="Arial"/>
              </w:rPr>
              <w:t>O</w:t>
            </w:r>
          </w:p>
        </w:tc>
        <w:tc>
          <w:tcPr>
            <w:tcW w:w="1731" w:type="dxa"/>
            <w:tcBorders>
              <w:top w:val="single" w:sz="6" w:space="0" w:color="auto"/>
              <w:left w:val="single" w:sz="6" w:space="0" w:color="auto"/>
              <w:bottom w:val="single" w:sz="6" w:space="0" w:color="auto"/>
              <w:right w:val="single" w:sz="6" w:space="0" w:color="auto"/>
            </w:tcBorders>
          </w:tcPr>
          <w:p w14:paraId="70DD4CF6" w14:textId="77777777" w:rsidR="00CA23D0" w:rsidRPr="00E30642" w:rsidRDefault="00CA23D0" w:rsidP="00CA23D0">
            <w:pPr>
              <w:pStyle w:val="Texttabulky"/>
              <w:spacing w:line="240" w:lineRule="atLeast"/>
              <w:jc w:val="both"/>
              <w:rPr>
                <w:rFonts w:cs="Arial"/>
              </w:rPr>
            </w:pPr>
            <w:r w:rsidRPr="00E30642">
              <w:rPr>
                <w:rFonts w:cs="Arial"/>
              </w:rPr>
              <w:t>Vilsnice</w:t>
            </w:r>
          </w:p>
        </w:tc>
        <w:tc>
          <w:tcPr>
            <w:tcW w:w="661" w:type="dxa"/>
            <w:tcBorders>
              <w:top w:val="single" w:sz="6" w:space="0" w:color="auto"/>
              <w:left w:val="single" w:sz="6" w:space="0" w:color="auto"/>
              <w:bottom w:val="single" w:sz="6" w:space="0" w:color="auto"/>
              <w:right w:val="single" w:sz="6" w:space="0" w:color="auto"/>
            </w:tcBorders>
          </w:tcPr>
          <w:p w14:paraId="74DE7359" w14:textId="77777777" w:rsidR="00CA23D0" w:rsidRPr="00E30642" w:rsidRDefault="00CA23D0" w:rsidP="00CA23D0">
            <w:pPr>
              <w:pStyle w:val="Texttabulky"/>
              <w:spacing w:line="240" w:lineRule="atLeast"/>
              <w:jc w:val="both"/>
              <w:rPr>
                <w:rFonts w:cs="Arial"/>
              </w:rPr>
            </w:pPr>
            <w:r w:rsidRPr="00E30642">
              <w:rPr>
                <w:rFonts w:cs="Arial"/>
              </w:rPr>
              <w:t>610</w:t>
            </w:r>
          </w:p>
        </w:tc>
        <w:tc>
          <w:tcPr>
            <w:tcW w:w="612" w:type="dxa"/>
            <w:tcBorders>
              <w:top w:val="single" w:sz="6" w:space="0" w:color="auto"/>
              <w:left w:val="single" w:sz="6" w:space="0" w:color="auto"/>
              <w:bottom w:val="single" w:sz="6" w:space="0" w:color="auto"/>
              <w:right w:val="single" w:sz="6" w:space="0" w:color="auto"/>
            </w:tcBorders>
          </w:tcPr>
          <w:p w14:paraId="14FC1273" w14:textId="77777777" w:rsidR="00CA23D0" w:rsidRPr="00E30642" w:rsidRDefault="00CA23D0" w:rsidP="00CA23D0">
            <w:pPr>
              <w:pStyle w:val="Zkladntext"/>
              <w:jc w:val="both"/>
              <w:rPr>
                <w:rFonts w:ascii="Arial" w:hAnsi="Arial" w:cs="Arial"/>
              </w:rPr>
            </w:pPr>
          </w:p>
        </w:tc>
        <w:tc>
          <w:tcPr>
            <w:tcW w:w="615" w:type="dxa"/>
            <w:tcBorders>
              <w:top w:val="single" w:sz="6" w:space="0" w:color="auto"/>
              <w:left w:val="single" w:sz="6" w:space="0" w:color="auto"/>
              <w:bottom w:val="single" w:sz="6" w:space="0" w:color="auto"/>
              <w:right w:val="single" w:sz="6" w:space="0" w:color="auto"/>
            </w:tcBorders>
          </w:tcPr>
          <w:p w14:paraId="255C75A9" w14:textId="77777777" w:rsidR="00CA23D0" w:rsidRPr="00E30642" w:rsidRDefault="00CA23D0" w:rsidP="00CA23D0">
            <w:pPr>
              <w:pStyle w:val="Zkladntext"/>
              <w:jc w:val="both"/>
              <w:rPr>
                <w:rFonts w:ascii="Arial" w:hAnsi="Arial" w:cs="Arial"/>
              </w:rPr>
            </w:pPr>
          </w:p>
        </w:tc>
        <w:tc>
          <w:tcPr>
            <w:tcW w:w="675" w:type="dxa"/>
            <w:tcBorders>
              <w:top w:val="single" w:sz="6" w:space="0" w:color="auto"/>
              <w:left w:val="single" w:sz="6" w:space="0" w:color="auto"/>
              <w:bottom w:val="single" w:sz="6" w:space="0" w:color="auto"/>
              <w:right w:val="single" w:sz="6" w:space="0" w:color="auto"/>
            </w:tcBorders>
          </w:tcPr>
          <w:p w14:paraId="671A8A7E" w14:textId="77777777" w:rsidR="00CA23D0" w:rsidRPr="00E30642" w:rsidRDefault="00CA23D0" w:rsidP="00CA23D0">
            <w:pPr>
              <w:pStyle w:val="Zkladntext"/>
              <w:jc w:val="both"/>
              <w:rPr>
                <w:rFonts w:ascii="Arial" w:hAnsi="Arial" w:cs="Arial"/>
              </w:rPr>
            </w:pPr>
          </w:p>
        </w:tc>
        <w:tc>
          <w:tcPr>
            <w:tcW w:w="705" w:type="dxa"/>
            <w:tcBorders>
              <w:top w:val="single" w:sz="6" w:space="0" w:color="auto"/>
              <w:left w:val="single" w:sz="6" w:space="0" w:color="auto"/>
              <w:bottom w:val="single" w:sz="6" w:space="0" w:color="auto"/>
              <w:right w:val="single" w:sz="6" w:space="0" w:color="auto"/>
            </w:tcBorders>
          </w:tcPr>
          <w:p w14:paraId="003FE329" w14:textId="77777777" w:rsidR="00CA23D0" w:rsidRPr="00E30642" w:rsidRDefault="00CA23D0" w:rsidP="00CA23D0">
            <w:pPr>
              <w:pStyle w:val="Texttabulky"/>
              <w:spacing w:line="240" w:lineRule="atLeast"/>
              <w:jc w:val="both"/>
              <w:rPr>
                <w:rFonts w:cs="Arial"/>
              </w:rPr>
            </w:pPr>
            <w:r w:rsidRPr="00E30642">
              <w:rPr>
                <w:rFonts w:cs="Arial"/>
              </w:rPr>
              <w:t>600</w:t>
            </w:r>
          </w:p>
        </w:tc>
        <w:tc>
          <w:tcPr>
            <w:tcW w:w="854" w:type="dxa"/>
            <w:tcBorders>
              <w:top w:val="single" w:sz="6" w:space="0" w:color="auto"/>
              <w:left w:val="single" w:sz="6" w:space="0" w:color="auto"/>
              <w:bottom w:val="single" w:sz="6" w:space="0" w:color="auto"/>
              <w:right w:val="single" w:sz="6" w:space="0" w:color="auto"/>
            </w:tcBorders>
          </w:tcPr>
          <w:p w14:paraId="2DFA5823" w14:textId="77777777" w:rsidR="00CA23D0" w:rsidRPr="00E30642" w:rsidRDefault="00CA23D0" w:rsidP="00CA23D0">
            <w:pPr>
              <w:pStyle w:val="Texttabulky"/>
              <w:spacing w:line="240" w:lineRule="atLeast"/>
              <w:jc w:val="both"/>
              <w:rPr>
                <w:rFonts w:cs="Arial"/>
              </w:rPr>
            </w:pPr>
            <w:r w:rsidRPr="00E30642">
              <w:rPr>
                <w:rFonts w:cs="Arial"/>
              </w:rPr>
              <w:t>600</w:t>
            </w:r>
          </w:p>
        </w:tc>
        <w:tc>
          <w:tcPr>
            <w:tcW w:w="709" w:type="dxa"/>
            <w:tcBorders>
              <w:top w:val="single" w:sz="6" w:space="0" w:color="auto"/>
              <w:left w:val="single" w:sz="6" w:space="0" w:color="auto"/>
              <w:bottom w:val="single" w:sz="6" w:space="0" w:color="auto"/>
              <w:right w:val="single" w:sz="6" w:space="0" w:color="auto"/>
            </w:tcBorders>
          </w:tcPr>
          <w:p w14:paraId="7814120D" w14:textId="77777777" w:rsidR="00CA23D0" w:rsidRPr="00E30642" w:rsidRDefault="00CA23D0" w:rsidP="00CA23D0">
            <w:pPr>
              <w:pStyle w:val="Texttabulky"/>
              <w:spacing w:line="240" w:lineRule="atLeast"/>
              <w:jc w:val="both"/>
              <w:rPr>
                <w:rFonts w:cs="Arial"/>
              </w:rPr>
            </w:pPr>
            <w:r w:rsidRPr="00E30642">
              <w:rPr>
                <w:rFonts w:cs="Arial"/>
              </w:rPr>
              <w:t>-10</w:t>
            </w:r>
          </w:p>
        </w:tc>
        <w:tc>
          <w:tcPr>
            <w:tcW w:w="791" w:type="dxa"/>
            <w:tcBorders>
              <w:top w:val="single" w:sz="6" w:space="0" w:color="auto"/>
              <w:left w:val="single" w:sz="6" w:space="0" w:color="auto"/>
              <w:bottom w:val="single" w:sz="6" w:space="0" w:color="auto"/>
              <w:right w:val="single" w:sz="6" w:space="0" w:color="auto"/>
            </w:tcBorders>
          </w:tcPr>
          <w:p w14:paraId="3505750F" w14:textId="77777777" w:rsidR="00CA23D0" w:rsidRPr="00E30642" w:rsidRDefault="00CA23D0" w:rsidP="00CA23D0">
            <w:pPr>
              <w:pStyle w:val="Texttabulky"/>
              <w:spacing w:line="240" w:lineRule="atLeast"/>
              <w:jc w:val="both"/>
              <w:rPr>
                <w:rFonts w:cs="Arial"/>
              </w:rPr>
            </w:pPr>
            <w:r w:rsidRPr="00E30642">
              <w:rPr>
                <w:rFonts w:cs="Arial"/>
              </w:rPr>
              <w:t>-10</w:t>
            </w:r>
          </w:p>
        </w:tc>
      </w:tr>
      <w:tr w:rsidR="00CA23D0" w:rsidRPr="00E30642" w14:paraId="6AE84E27" w14:textId="77777777" w:rsidTr="00CA23D0">
        <w:tc>
          <w:tcPr>
            <w:tcW w:w="474" w:type="dxa"/>
            <w:tcBorders>
              <w:top w:val="single" w:sz="6" w:space="0" w:color="auto"/>
              <w:left w:val="single" w:sz="6" w:space="0" w:color="auto"/>
              <w:bottom w:val="single" w:sz="6" w:space="0" w:color="auto"/>
              <w:right w:val="single" w:sz="6" w:space="0" w:color="auto"/>
            </w:tcBorders>
          </w:tcPr>
          <w:p w14:paraId="1F55ED2E" w14:textId="77777777" w:rsidR="00CA23D0" w:rsidRPr="00E30642" w:rsidRDefault="00CA23D0" w:rsidP="00CA23D0">
            <w:pPr>
              <w:pStyle w:val="Texttabulky"/>
              <w:spacing w:line="240" w:lineRule="atLeast"/>
              <w:jc w:val="both"/>
              <w:rPr>
                <w:rFonts w:cs="Arial"/>
              </w:rPr>
            </w:pPr>
            <w:r w:rsidRPr="00E30642">
              <w:rPr>
                <w:rFonts w:cs="Arial"/>
              </w:rPr>
              <w:t>17</w:t>
            </w:r>
          </w:p>
        </w:tc>
        <w:tc>
          <w:tcPr>
            <w:tcW w:w="504" w:type="dxa"/>
            <w:tcBorders>
              <w:top w:val="single" w:sz="6" w:space="0" w:color="auto"/>
              <w:left w:val="single" w:sz="6" w:space="0" w:color="auto"/>
              <w:bottom w:val="single" w:sz="6" w:space="0" w:color="auto"/>
              <w:right w:val="single" w:sz="6" w:space="0" w:color="auto"/>
            </w:tcBorders>
          </w:tcPr>
          <w:p w14:paraId="3E78C2B8" w14:textId="77777777" w:rsidR="00CA23D0" w:rsidRPr="00E30642" w:rsidRDefault="00CA23D0" w:rsidP="00CA23D0">
            <w:pPr>
              <w:pStyle w:val="Texttabulky"/>
              <w:spacing w:line="240" w:lineRule="atLeast"/>
              <w:jc w:val="both"/>
              <w:rPr>
                <w:rFonts w:cs="Arial"/>
              </w:rPr>
            </w:pPr>
            <w:r w:rsidRPr="00E30642">
              <w:rPr>
                <w:rFonts w:cs="Arial"/>
              </w:rPr>
              <w:t>O</w:t>
            </w:r>
          </w:p>
        </w:tc>
        <w:tc>
          <w:tcPr>
            <w:tcW w:w="1731" w:type="dxa"/>
            <w:tcBorders>
              <w:top w:val="single" w:sz="6" w:space="0" w:color="auto"/>
              <w:left w:val="single" w:sz="6" w:space="0" w:color="auto"/>
              <w:bottom w:val="single" w:sz="6" w:space="0" w:color="auto"/>
              <w:right w:val="single" w:sz="6" w:space="0" w:color="auto"/>
            </w:tcBorders>
          </w:tcPr>
          <w:p w14:paraId="39D2F1D9" w14:textId="77777777" w:rsidR="00CA23D0" w:rsidRPr="00E30642" w:rsidRDefault="00CA23D0" w:rsidP="00CA23D0">
            <w:pPr>
              <w:pStyle w:val="Texttabulky"/>
              <w:spacing w:line="240" w:lineRule="atLeast"/>
              <w:jc w:val="both"/>
              <w:rPr>
                <w:rFonts w:cs="Arial"/>
              </w:rPr>
            </w:pPr>
            <w:r w:rsidRPr="00E30642">
              <w:rPr>
                <w:rFonts w:cs="Arial"/>
              </w:rPr>
              <w:t>Chrochvice</w:t>
            </w:r>
          </w:p>
        </w:tc>
        <w:tc>
          <w:tcPr>
            <w:tcW w:w="661" w:type="dxa"/>
            <w:tcBorders>
              <w:top w:val="single" w:sz="6" w:space="0" w:color="auto"/>
              <w:left w:val="single" w:sz="6" w:space="0" w:color="auto"/>
              <w:bottom w:val="single" w:sz="6" w:space="0" w:color="auto"/>
              <w:right w:val="single" w:sz="6" w:space="0" w:color="auto"/>
            </w:tcBorders>
          </w:tcPr>
          <w:p w14:paraId="6C94E5F9" w14:textId="77777777" w:rsidR="00CA23D0" w:rsidRPr="00E30642" w:rsidRDefault="00CA23D0" w:rsidP="00CA23D0">
            <w:pPr>
              <w:pStyle w:val="Texttabulky"/>
              <w:spacing w:line="240" w:lineRule="atLeast"/>
              <w:jc w:val="both"/>
              <w:rPr>
                <w:rFonts w:cs="Arial"/>
              </w:rPr>
            </w:pPr>
            <w:r w:rsidRPr="00E30642">
              <w:rPr>
                <w:rFonts w:cs="Arial"/>
              </w:rPr>
              <w:t>1 349</w:t>
            </w:r>
          </w:p>
        </w:tc>
        <w:tc>
          <w:tcPr>
            <w:tcW w:w="612" w:type="dxa"/>
            <w:tcBorders>
              <w:top w:val="single" w:sz="6" w:space="0" w:color="auto"/>
              <w:left w:val="single" w:sz="6" w:space="0" w:color="auto"/>
              <w:bottom w:val="single" w:sz="6" w:space="0" w:color="auto"/>
              <w:right w:val="single" w:sz="6" w:space="0" w:color="auto"/>
            </w:tcBorders>
          </w:tcPr>
          <w:p w14:paraId="274780FD" w14:textId="77777777" w:rsidR="00CA23D0" w:rsidRPr="00E30642" w:rsidRDefault="00CA23D0" w:rsidP="00CA23D0">
            <w:pPr>
              <w:pStyle w:val="Texttabulky"/>
              <w:spacing w:line="240" w:lineRule="atLeast"/>
              <w:jc w:val="both"/>
              <w:rPr>
                <w:rFonts w:cs="Arial"/>
              </w:rPr>
            </w:pPr>
            <w:r w:rsidRPr="00E30642">
              <w:rPr>
                <w:rFonts w:cs="Arial"/>
              </w:rPr>
              <w:t>65</w:t>
            </w:r>
          </w:p>
        </w:tc>
        <w:tc>
          <w:tcPr>
            <w:tcW w:w="615" w:type="dxa"/>
            <w:tcBorders>
              <w:top w:val="single" w:sz="6" w:space="0" w:color="auto"/>
              <w:left w:val="single" w:sz="6" w:space="0" w:color="auto"/>
              <w:bottom w:val="single" w:sz="6" w:space="0" w:color="auto"/>
              <w:right w:val="single" w:sz="6" w:space="0" w:color="auto"/>
            </w:tcBorders>
          </w:tcPr>
          <w:p w14:paraId="7D2C2360" w14:textId="77777777" w:rsidR="00CA23D0" w:rsidRPr="00E30642" w:rsidRDefault="00CA23D0" w:rsidP="00CA23D0">
            <w:pPr>
              <w:pStyle w:val="Texttabulky"/>
              <w:spacing w:line="240" w:lineRule="atLeast"/>
              <w:jc w:val="both"/>
              <w:rPr>
                <w:rFonts w:cs="Arial"/>
              </w:rPr>
            </w:pPr>
            <w:r w:rsidRPr="00E30642">
              <w:rPr>
                <w:rFonts w:cs="Arial"/>
              </w:rPr>
              <w:t>45</w:t>
            </w:r>
          </w:p>
        </w:tc>
        <w:tc>
          <w:tcPr>
            <w:tcW w:w="675" w:type="dxa"/>
            <w:tcBorders>
              <w:top w:val="single" w:sz="6" w:space="0" w:color="auto"/>
              <w:left w:val="single" w:sz="6" w:space="0" w:color="auto"/>
              <w:bottom w:val="single" w:sz="6" w:space="0" w:color="auto"/>
              <w:right w:val="single" w:sz="6" w:space="0" w:color="auto"/>
            </w:tcBorders>
          </w:tcPr>
          <w:p w14:paraId="2156264B" w14:textId="77777777" w:rsidR="00CA23D0" w:rsidRPr="00E30642" w:rsidRDefault="00CA23D0" w:rsidP="00CA23D0">
            <w:pPr>
              <w:pStyle w:val="Texttabulky"/>
              <w:spacing w:line="240" w:lineRule="atLeast"/>
              <w:jc w:val="both"/>
              <w:rPr>
                <w:rFonts w:cs="Arial"/>
              </w:rPr>
            </w:pPr>
            <w:r w:rsidRPr="00E30642">
              <w:rPr>
                <w:rFonts w:cs="Arial"/>
              </w:rPr>
              <w:t>220</w:t>
            </w:r>
          </w:p>
        </w:tc>
        <w:tc>
          <w:tcPr>
            <w:tcW w:w="705" w:type="dxa"/>
            <w:tcBorders>
              <w:top w:val="single" w:sz="6" w:space="0" w:color="auto"/>
              <w:left w:val="single" w:sz="6" w:space="0" w:color="auto"/>
              <w:bottom w:val="single" w:sz="6" w:space="0" w:color="auto"/>
              <w:right w:val="single" w:sz="6" w:space="0" w:color="auto"/>
            </w:tcBorders>
          </w:tcPr>
          <w:p w14:paraId="0107CE03" w14:textId="77777777" w:rsidR="00CA23D0" w:rsidRPr="00E30642" w:rsidRDefault="00CA23D0" w:rsidP="00CA23D0">
            <w:pPr>
              <w:pStyle w:val="Texttabulky"/>
              <w:spacing w:line="240" w:lineRule="atLeast"/>
              <w:jc w:val="both"/>
              <w:rPr>
                <w:rFonts w:cs="Arial"/>
              </w:rPr>
            </w:pPr>
            <w:r w:rsidRPr="00E30642">
              <w:rPr>
                <w:rFonts w:cs="Arial"/>
              </w:rPr>
              <w:t>1 360</w:t>
            </w:r>
          </w:p>
        </w:tc>
        <w:tc>
          <w:tcPr>
            <w:tcW w:w="854" w:type="dxa"/>
            <w:tcBorders>
              <w:top w:val="single" w:sz="6" w:space="0" w:color="auto"/>
              <w:left w:val="single" w:sz="6" w:space="0" w:color="auto"/>
              <w:bottom w:val="single" w:sz="6" w:space="0" w:color="auto"/>
              <w:right w:val="single" w:sz="6" w:space="0" w:color="auto"/>
            </w:tcBorders>
          </w:tcPr>
          <w:p w14:paraId="2376F680" w14:textId="77777777" w:rsidR="00CA23D0" w:rsidRPr="00E30642" w:rsidRDefault="00CA23D0" w:rsidP="00CA23D0">
            <w:pPr>
              <w:pStyle w:val="Texttabulky"/>
              <w:spacing w:line="240" w:lineRule="atLeast"/>
              <w:jc w:val="both"/>
              <w:rPr>
                <w:rFonts w:cs="Arial"/>
              </w:rPr>
            </w:pPr>
            <w:r w:rsidRPr="00E30642">
              <w:rPr>
                <w:rFonts w:cs="Arial"/>
              </w:rPr>
              <w:t>1 580</w:t>
            </w:r>
          </w:p>
        </w:tc>
        <w:tc>
          <w:tcPr>
            <w:tcW w:w="709" w:type="dxa"/>
            <w:tcBorders>
              <w:top w:val="single" w:sz="6" w:space="0" w:color="auto"/>
              <w:left w:val="single" w:sz="6" w:space="0" w:color="auto"/>
              <w:bottom w:val="single" w:sz="6" w:space="0" w:color="auto"/>
              <w:right w:val="single" w:sz="6" w:space="0" w:color="auto"/>
            </w:tcBorders>
          </w:tcPr>
          <w:p w14:paraId="25DB42D3" w14:textId="77777777" w:rsidR="00CA23D0" w:rsidRPr="00E30642" w:rsidRDefault="00CA23D0" w:rsidP="00CA23D0">
            <w:pPr>
              <w:pStyle w:val="Texttabulky"/>
              <w:spacing w:line="240" w:lineRule="atLeast"/>
              <w:jc w:val="both"/>
              <w:rPr>
                <w:rFonts w:cs="Arial"/>
              </w:rPr>
            </w:pPr>
            <w:r w:rsidRPr="00E30642">
              <w:rPr>
                <w:rFonts w:cs="Arial"/>
              </w:rPr>
              <w:t>11</w:t>
            </w:r>
          </w:p>
        </w:tc>
        <w:tc>
          <w:tcPr>
            <w:tcW w:w="791" w:type="dxa"/>
            <w:tcBorders>
              <w:top w:val="single" w:sz="6" w:space="0" w:color="auto"/>
              <w:left w:val="single" w:sz="6" w:space="0" w:color="auto"/>
              <w:bottom w:val="single" w:sz="6" w:space="0" w:color="auto"/>
              <w:right w:val="single" w:sz="6" w:space="0" w:color="auto"/>
            </w:tcBorders>
          </w:tcPr>
          <w:p w14:paraId="679F7214" w14:textId="77777777" w:rsidR="00CA23D0" w:rsidRPr="00E30642" w:rsidRDefault="00CA23D0" w:rsidP="00CA23D0">
            <w:pPr>
              <w:pStyle w:val="Texttabulky"/>
              <w:spacing w:line="240" w:lineRule="atLeast"/>
              <w:jc w:val="both"/>
              <w:rPr>
                <w:rFonts w:cs="Arial"/>
              </w:rPr>
            </w:pPr>
            <w:r w:rsidRPr="00E30642">
              <w:rPr>
                <w:rFonts w:cs="Arial"/>
              </w:rPr>
              <w:t>231</w:t>
            </w:r>
          </w:p>
        </w:tc>
      </w:tr>
      <w:tr w:rsidR="00CA23D0" w:rsidRPr="00E30642" w14:paraId="73EBA0BB" w14:textId="77777777" w:rsidTr="00CA23D0">
        <w:tc>
          <w:tcPr>
            <w:tcW w:w="474" w:type="dxa"/>
            <w:tcBorders>
              <w:top w:val="single" w:sz="6" w:space="0" w:color="auto"/>
              <w:left w:val="single" w:sz="6" w:space="0" w:color="auto"/>
              <w:bottom w:val="single" w:sz="6" w:space="0" w:color="auto"/>
              <w:right w:val="single" w:sz="6" w:space="0" w:color="auto"/>
            </w:tcBorders>
          </w:tcPr>
          <w:p w14:paraId="6D0B3171" w14:textId="77777777" w:rsidR="00CA23D0" w:rsidRPr="00E30642" w:rsidRDefault="00CA23D0" w:rsidP="00CA23D0">
            <w:pPr>
              <w:pStyle w:val="Texttabulky"/>
              <w:spacing w:line="240" w:lineRule="atLeast"/>
              <w:jc w:val="both"/>
              <w:rPr>
                <w:rFonts w:cs="Arial"/>
              </w:rPr>
            </w:pPr>
            <w:r w:rsidRPr="00E30642">
              <w:rPr>
                <w:rFonts w:cs="Arial"/>
              </w:rPr>
              <w:t>41</w:t>
            </w:r>
          </w:p>
        </w:tc>
        <w:tc>
          <w:tcPr>
            <w:tcW w:w="504" w:type="dxa"/>
            <w:tcBorders>
              <w:top w:val="single" w:sz="6" w:space="0" w:color="auto"/>
              <w:left w:val="single" w:sz="6" w:space="0" w:color="auto"/>
              <w:bottom w:val="single" w:sz="6" w:space="0" w:color="auto"/>
              <w:right w:val="single" w:sz="6" w:space="0" w:color="auto"/>
            </w:tcBorders>
          </w:tcPr>
          <w:p w14:paraId="61749EE1" w14:textId="77777777" w:rsidR="00CA23D0" w:rsidRPr="00E30642" w:rsidRDefault="00CA23D0" w:rsidP="00CA23D0">
            <w:pPr>
              <w:pStyle w:val="Texttabulky"/>
              <w:spacing w:line="240" w:lineRule="atLeast"/>
              <w:jc w:val="both"/>
              <w:rPr>
                <w:rFonts w:cs="Arial"/>
              </w:rPr>
            </w:pPr>
            <w:r w:rsidRPr="00E30642">
              <w:rPr>
                <w:rFonts w:cs="Arial"/>
              </w:rPr>
              <w:t>Z</w:t>
            </w:r>
          </w:p>
        </w:tc>
        <w:tc>
          <w:tcPr>
            <w:tcW w:w="1731" w:type="dxa"/>
            <w:tcBorders>
              <w:top w:val="single" w:sz="6" w:space="0" w:color="auto"/>
              <w:left w:val="single" w:sz="6" w:space="0" w:color="auto"/>
              <w:bottom w:val="single" w:sz="6" w:space="0" w:color="auto"/>
              <w:right w:val="single" w:sz="6" w:space="0" w:color="auto"/>
            </w:tcBorders>
          </w:tcPr>
          <w:p w14:paraId="52000E0E" w14:textId="77777777" w:rsidR="00CA23D0" w:rsidRPr="00E30642" w:rsidRDefault="00CA23D0" w:rsidP="00CA23D0">
            <w:pPr>
              <w:pStyle w:val="Texttabulky"/>
              <w:spacing w:line="240" w:lineRule="atLeast"/>
              <w:jc w:val="both"/>
              <w:rPr>
                <w:rFonts w:cs="Arial"/>
              </w:rPr>
            </w:pPr>
            <w:r w:rsidRPr="00E30642">
              <w:rPr>
                <w:rFonts w:cs="Arial"/>
              </w:rPr>
              <w:t>Chmelník</w:t>
            </w:r>
          </w:p>
        </w:tc>
        <w:tc>
          <w:tcPr>
            <w:tcW w:w="661" w:type="dxa"/>
            <w:tcBorders>
              <w:top w:val="single" w:sz="6" w:space="0" w:color="auto"/>
              <w:left w:val="single" w:sz="6" w:space="0" w:color="auto"/>
              <w:bottom w:val="single" w:sz="6" w:space="0" w:color="auto"/>
              <w:right w:val="single" w:sz="6" w:space="0" w:color="auto"/>
            </w:tcBorders>
          </w:tcPr>
          <w:p w14:paraId="672813A3" w14:textId="77777777" w:rsidR="00CA23D0" w:rsidRPr="00E30642" w:rsidRDefault="00CA23D0" w:rsidP="00CA23D0">
            <w:pPr>
              <w:pStyle w:val="Texttabulky"/>
              <w:spacing w:line="240" w:lineRule="atLeast"/>
              <w:jc w:val="both"/>
              <w:rPr>
                <w:rFonts w:cs="Arial"/>
              </w:rPr>
            </w:pPr>
            <w:r w:rsidRPr="00E30642">
              <w:rPr>
                <w:rFonts w:cs="Arial"/>
              </w:rPr>
              <w:t>0</w:t>
            </w:r>
          </w:p>
        </w:tc>
        <w:tc>
          <w:tcPr>
            <w:tcW w:w="612" w:type="dxa"/>
            <w:tcBorders>
              <w:top w:val="single" w:sz="6" w:space="0" w:color="auto"/>
              <w:left w:val="single" w:sz="6" w:space="0" w:color="auto"/>
              <w:bottom w:val="single" w:sz="6" w:space="0" w:color="auto"/>
              <w:right w:val="single" w:sz="6" w:space="0" w:color="auto"/>
            </w:tcBorders>
          </w:tcPr>
          <w:p w14:paraId="07864B48" w14:textId="77777777" w:rsidR="00CA23D0" w:rsidRPr="00E30642" w:rsidRDefault="00CA23D0" w:rsidP="00CA23D0">
            <w:pPr>
              <w:pStyle w:val="Zkladntext"/>
              <w:jc w:val="both"/>
              <w:rPr>
                <w:rFonts w:ascii="Arial" w:hAnsi="Arial" w:cs="Arial"/>
              </w:rPr>
            </w:pPr>
          </w:p>
        </w:tc>
        <w:tc>
          <w:tcPr>
            <w:tcW w:w="615" w:type="dxa"/>
            <w:tcBorders>
              <w:top w:val="single" w:sz="6" w:space="0" w:color="auto"/>
              <w:left w:val="single" w:sz="6" w:space="0" w:color="auto"/>
              <w:bottom w:val="single" w:sz="6" w:space="0" w:color="auto"/>
              <w:right w:val="single" w:sz="6" w:space="0" w:color="auto"/>
            </w:tcBorders>
          </w:tcPr>
          <w:p w14:paraId="4602AE52" w14:textId="77777777" w:rsidR="00CA23D0" w:rsidRPr="00E30642" w:rsidRDefault="00CA23D0" w:rsidP="00CA23D0">
            <w:pPr>
              <w:pStyle w:val="Zkladntext"/>
              <w:jc w:val="both"/>
              <w:rPr>
                <w:rFonts w:ascii="Arial" w:hAnsi="Arial" w:cs="Arial"/>
              </w:rPr>
            </w:pPr>
          </w:p>
        </w:tc>
        <w:tc>
          <w:tcPr>
            <w:tcW w:w="675" w:type="dxa"/>
            <w:tcBorders>
              <w:top w:val="single" w:sz="6" w:space="0" w:color="auto"/>
              <w:left w:val="single" w:sz="6" w:space="0" w:color="auto"/>
              <w:bottom w:val="single" w:sz="6" w:space="0" w:color="auto"/>
              <w:right w:val="single" w:sz="6" w:space="0" w:color="auto"/>
            </w:tcBorders>
          </w:tcPr>
          <w:p w14:paraId="6FE65D39" w14:textId="77777777" w:rsidR="00CA23D0" w:rsidRPr="00E30642" w:rsidRDefault="00CA23D0" w:rsidP="00CA23D0">
            <w:pPr>
              <w:pStyle w:val="Texttabulky"/>
              <w:spacing w:line="240" w:lineRule="atLeast"/>
              <w:jc w:val="both"/>
              <w:rPr>
                <w:rFonts w:cs="Arial"/>
              </w:rPr>
            </w:pPr>
            <w:r w:rsidRPr="00E30642">
              <w:rPr>
                <w:rFonts w:cs="Arial"/>
              </w:rPr>
              <w:t>150</w:t>
            </w:r>
          </w:p>
        </w:tc>
        <w:tc>
          <w:tcPr>
            <w:tcW w:w="705" w:type="dxa"/>
            <w:tcBorders>
              <w:top w:val="single" w:sz="6" w:space="0" w:color="auto"/>
              <w:left w:val="single" w:sz="6" w:space="0" w:color="auto"/>
              <w:bottom w:val="single" w:sz="6" w:space="0" w:color="auto"/>
              <w:right w:val="single" w:sz="6" w:space="0" w:color="auto"/>
            </w:tcBorders>
          </w:tcPr>
          <w:p w14:paraId="739340F3" w14:textId="77777777" w:rsidR="00CA23D0" w:rsidRPr="00E30642" w:rsidRDefault="00CA23D0" w:rsidP="00CA23D0">
            <w:pPr>
              <w:pStyle w:val="Texttabulky"/>
              <w:spacing w:line="240" w:lineRule="atLeast"/>
              <w:jc w:val="both"/>
              <w:rPr>
                <w:rFonts w:cs="Arial"/>
              </w:rPr>
            </w:pPr>
            <w:r w:rsidRPr="00E30642">
              <w:rPr>
                <w:rFonts w:cs="Arial"/>
              </w:rPr>
              <w:t>0</w:t>
            </w:r>
          </w:p>
        </w:tc>
        <w:tc>
          <w:tcPr>
            <w:tcW w:w="854" w:type="dxa"/>
            <w:tcBorders>
              <w:top w:val="single" w:sz="6" w:space="0" w:color="auto"/>
              <w:left w:val="single" w:sz="6" w:space="0" w:color="auto"/>
              <w:bottom w:val="single" w:sz="6" w:space="0" w:color="auto"/>
              <w:right w:val="single" w:sz="6" w:space="0" w:color="auto"/>
            </w:tcBorders>
          </w:tcPr>
          <w:p w14:paraId="732FA42F" w14:textId="77777777" w:rsidR="00CA23D0" w:rsidRPr="00E30642" w:rsidRDefault="00CA23D0" w:rsidP="00CA23D0">
            <w:pPr>
              <w:pStyle w:val="Texttabulky"/>
              <w:spacing w:line="240" w:lineRule="atLeast"/>
              <w:jc w:val="both"/>
              <w:rPr>
                <w:rFonts w:cs="Arial"/>
              </w:rPr>
            </w:pPr>
            <w:r w:rsidRPr="00E30642">
              <w:rPr>
                <w:rFonts w:cs="Arial"/>
              </w:rPr>
              <w:t>150</w:t>
            </w:r>
          </w:p>
        </w:tc>
        <w:tc>
          <w:tcPr>
            <w:tcW w:w="709" w:type="dxa"/>
            <w:tcBorders>
              <w:top w:val="single" w:sz="6" w:space="0" w:color="auto"/>
              <w:left w:val="single" w:sz="6" w:space="0" w:color="auto"/>
              <w:bottom w:val="single" w:sz="6" w:space="0" w:color="auto"/>
              <w:right w:val="single" w:sz="6" w:space="0" w:color="auto"/>
            </w:tcBorders>
          </w:tcPr>
          <w:p w14:paraId="05BA8D4C" w14:textId="77777777" w:rsidR="00CA23D0" w:rsidRPr="00E30642" w:rsidRDefault="00CA23D0" w:rsidP="00CA23D0">
            <w:pPr>
              <w:pStyle w:val="Texttabulky"/>
              <w:spacing w:line="240" w:lineRule="atLeast"/>
              <w:jc w:val="both"/>
              <w:rPr>
                <w:rFonts w:cs="Arial"/>
              </w:rPr>
            </w:pPr>
            <w:r w:rsidRPr="00E30642">
              <w:rPr>
                <w:rFonts w:cs="Arial"/>
              </w:rPr>
              <w:t>0</w:t>
            </w:r>
          </w:p>
        </w:tc>
        <w:tc>
          <w:tcPr>
            <w:tcW w:w="791" w:type="dxa"/>
            <w:tcBorders>
              <w:top w:val="single" w:sz="6" w:space="0" w:color="auto"/>
              <w:left w:val="single" w:sz="6" w:space="0" w:color="auto"/>
              <w:bottom w:val="single" w:sz="6" w:space="0" w:color="auto"/>
              <w:right w:val="single" w:sz="6" w:space="0" w:color="auto"/>
            </w:tcBorders>
          </w:tcPr>
          <w:p w14:paraId="60CB5794" w14:textId="77777777" w:rsidR="00CA23D0" w:rsidRPr="00E30642" w:rsidRDefault="00CA23D0" w:rsidP="00CA23D0">
            <w:pPr>
              <w:pStyle w:val="Texttabulky"/>
              <w:spacing w:line="240" w:lineRule="atLeast"/>
              <w:jc w:val="both"/>
              <w:rPr>
                <w:rFonts w:cs="Arial"/>
              </w:rPr>
            </w:pPr>
            <w:r w:rsidRPr="00E30642">
              <w:rPr>
                <w:rFonts w:cs="Arial"/>
              </w:rPr>
              <w:t>150</w:t>
            </w:r>
          </w:p>
        </w:tc>
      </w:tr>
      <w:tr w:rsidR="00CA23D0" w:rsidRPr="00E30642" w14:paraId="4533DBD2" w14:textId="77777777" w:rsidTr="00CA23D0">
        <w:tc>
          <w:tcPr>
            <w:tcW w:w="474" w:type="dxa"/>
            <w:tcBorders>
              <w:top w:val="single" w:sz="6" w:space="0" w:color="auto"/>
              <w:left w:val="single" w:sz="6" w:space="0" w:color="auto"/>
              <w:bottom w:val="single" w:sz="6" w:space="0" w:color="auto"/>
              <w:right w:val="single" w:sz="6" w:space="0" w:color="auto"/>
            </w:tcBorders>
          </w:tcPr>
          <w:p w14:paraId="31820937" w14:textId="77777777" w:rsidR="00CA23D0" w:rsidRPr="00E30642" w:rsidRDefault="00CA23D0" w:rsidP="00CA23D0">
            <w:pPr>
              <w:pStyle w:val="Texttabulky"/>
              <w:spacing w:line="240" w:lineRule="atLeast"/>
              <w:jc w:val="both"/>
              <w:rPr>
                <w:rFonts w:cs="Arial"/>
              </w:rPr>
            </w:pPr>
            <w:r w:rsidRPr="00E30642">
              <w:rPr>
                <w:rFonts w:cs="Arial"/>
              </w:rPr>
              <w:t>42</w:t>
            </w:r>
          </w:p>
        </w:tc>
        <w:tc>
          <w:tcPr>
            <w:tcW w:w="504" w:type="dxa"/>
            <w:tcBorders>
              <w:top w:val="single" w:sz="6" w:space="0" w:color="auto"/>
              <w:left w:val="single" w:sz="6" w:space="0" w:color="auto"/>
              <w:bottom w:val="single" w:sz="6" w:space="0" w:color="auto"/>
              <w:right w:val="single" w:sz="6" w:space="0" w:color="auto"/>
            </w:tcBorders>
          </w:tcPr>
          <w:p w14:paraId="64A85061" w14:textId="77777777" w:rsidR="00CA23D0" w:rsidRPr="00E30642" w:rsidRDefault="00CA23D0" w:rsidP="00CA23D0">
            <w:pPr>
              <w:pStyle w:val="Texttabulky"/>
              <w:spacing w:line="240" w:lineRule="atLeast"/>
              <w:jc w:val="both"/>
              <w:rPr>
                <w:rFonts w:cs="Arial"/>
              </w:rPr>
            </w:pPr>
            <w:r w:rsidRPr="00E30642">
              <w:rPr>
                <w:rFonts w:cs="Arial"/>
              </w:rPr>
              <w:t>N</w:t>
            </w:r>
          </w:p>
        </w:tc>
        <w:tc>
          <w:tcPr>
            <w:tcW w:w="1731" w:type="dxa"/>
            <w:tcBorders>
              <w:top w:val="single" w:sz="6" w:space="0" w:color="auto"/>
              <w:left w:val="single" w:sz="6" w:space="0" w:color="auto"/>
              <w:bottom w:val="single" w:sz="6" w:space="0" w:color="auto"/>
              <w:right w:val="single" w:sz="6" w:space="0" w:color="auto"/>
            </w:tcBorders>
          </w:tcPr>
          <w:p w14:paraId="28208B6E" w14:textId="77777777" w:rsidR="00CA23D0" w:rsidRPr="00E30642" w:rsidRDefault="00CA23D0" w:rsidP="00CA23D0">
            <w:pPr>
              <w:pStyle w:val="Texttabulky"/>
              <w:spacing w:line="240" w:lineRule="atLeast"/>
              <w:jc w:val="both"/>
              <w:rPr>
                <w:rFonts w:cs="Arial"/>
              </w:rPr>
            </w:pPr>
            <w:r w:rsidRPr="00E30642">
              <w:rPr>
                <w:rFonts w:cs="Arial"/>
              </w:rPr>
              <w:t>Krásný Studenec</w:t>
            </w:r>
          </w:p>
        </w:tc>
        <w:tc>
          <w:tcPr>
            <w:tcW w:w="661" w:type="dxa"/>
            <w:tcBorders>
              <w:top w:val="single" w:sz="6" w:space="0" w:color="auto"/>
              <w:left w:val="single" w:sz="6" w:space="0" w:color="auto"/>
              <w:bottom w:val="single" w:sz="6" w:space="0" w:color="auto"/>
              <w:right w:val="single" w:sz="6" w:space="0" w:color="auto"/>
            </w:tcBorders>
          </w:tcPr>
          <w:p w14:paraId="0391CDE9" w14:textId="77777777" w:rsidR="00CA23D0" w:rsidRPr="00E30642" w:rsidRDefault="00CA23D0" w:rsidP="00CA23D0">
            <w:pPr>
              <w:pStyle w:val="Texttabulky"/>
              <w:spacing w:line="240" w:lineRule="atLeast"/>
              <w:jc w:val="both"/>
              <w:rPr>
                <w:rFonts w:cs="Arial"/>
              </w:rPr>
            </w:pPr>
            <w:r w:rsidRPr="00E30642">
              <w:rPr>
                <w:rFonts w:cs="Arial"/>
              </w:rPr>
              <w:t>401</w:t>
            </w:r>
          </w:p>
        </w:tc>
        <w:tc>
          <w:tcPr>
            <w:tcW w:w="612" w:type="dxa"/>
            <w:tcBorders>
              <w:top w:val="single" w:sz="6" w:space="0" w:color="auto"/>
              <w:left w:val="single" w:sz="6" w:space="0" w:color="auto"/>
              <w:bottom w:val="single" w:sz="6" w:space="0" w:color="auto"/>
              <w:right w:val="single" w:sz="6" w:space="0" w:color="auto"/>
            </w:tcBorders>
          </w:tcPr>
          <w:p w14:paraId="0B951A0C" w14:textId="77777777" w:rsidR="00CA23D0" w:rsidRPr="00E30642" w:rsidRDefault="00CA23D0" w:rsidP="00CA23D0">
            <w:pPr>
              <w:pStyle w:val="Zkladntext"/>
              <w:jc w:val="both"/>
              <w:rPr>
                <w:rFonts w:ascii="Arial" w:hAnsi="Arial" w:cs="Arial"/>
              </w:rPr>
            </w:pPr>
          </w:p>
        </w:tc>
        <w:tc>
          <w:tcPr>
            <w:tcW w:w="615" w:type="dxa"/>
            <w:tcBorders>
              <w:top w:val="single" w:sz="6" w:space="0" w:color="auto"/>
              <w:left w:val="single" w:sz="6" w:space="0" w:color="auto"/>
              <w:bottom w:val="single" w:sz="6" w:space="0" w:color="auto"/>
              <w:right w:val="single" w:sz="6" w:space="0" w:color="auto"/>
            </w:tcBorders>
          </w:tcPr>
          <w:p w14:paraId="7214ECE3" w14:textId="77777777" w:rsidR="00CA23D0" w:rsidRPr="00E30642" w:rsidRDefault="00CA23D0" w:rsidP="00CA23D0">
            <w:pPr>
              <w:pStyle w:val="Zkladntext"/>
              <w:jc w:val="both"/>
              <w:rPr>
                <w:rFonts w:ascii="Arial" w:hAnsi="Arial" w:cs="Arial"/>
              </w:rPr>
            </w:pPr>
          </w:p>
        </w:tc>
        <w:tc>
          <w:tcPr>
            <w:tcW w:w="675" w:type="dxa"/>
            <w:tcBorders>
              <w:top w:val="single" w:sz="6" w:space="0" w:color="auto"/>
              <w:left w:val="single" w:sz="6" w:space="0" w:color="auto"/>
              <w:bottom w:val="single" w:sz="6" w:space="0" w:color="auto"/>
              <w:right w:val="single" w:sz="6" w:space="0" w:color="auto"/>
            </w:tcBorders>
          </w:tcPr>
          <w:p w14:paraId="27D0B8F4" w14:textId="77777777" w:rsidR="00CA23D0" w:rsidRPr="00E30642" w:rsidRDefault="00CA23D0" w:rsidP="00CA23D0">
            <w:pPr>
              <w:pStyle w:val="Texttabulky"/>
              <w:spacing w:line="240" w:lineRule="atLeast"/>
              <w:jc w:val="both"/>
              <w:rPr>
                <w:rFonts w:cs="Arial"/>
              </w:rPr>
            </w:pPr>
            <w:r w:rsidRPr="00E30642">
              <w:rPr>
                <w:rFonts w:cs="Arial"/>
              </w:rPr>
              <w:t>180</w:t>
            </w:r>
          </w:p>
        </w:tc>
        <w:tc>
          <w:tcPr>
            <w:tcW w:w="705" w:type="dxa"/>
            <w:tcBorders>
              <w:top w:val="single" w:sz="6" w:space="0" w:color="auto"/>
              <w:left w:val="single" w:sz="6" w:space="0" w:color="auto"/>
              <w:bottom w:val="single" w:sz="6" w:space="0" w:color="auto"/>
              <w:right w:val="single" w:sz="6" w:space="0" w:color="auto"/>
            </w:tcBorders>
          </w:tcPr>
          <w:p w14:paraId="0D541F1E" w14:textId="77777777" w:rsidR="00CA23D0" w:rsidRPr="00E30642" w:rsidRDefault="00CA23D0" w:rsidP="00CA23D0">
            <w:pPr>
              <w:pStyle w:val="Texttabulky"/>
              <w:spacing w:line="240" w:lineRule="atLeast"/>
              <w:jc w:val="both"/>
              <w:rPr>
                <w:rFonts w:cs="Arial"/>
              </w:rPr>
            </w:pPr>
            <w:r w:rsidRPr="00E30642">
              <w:rPr>
                <w:rFonts w:cs="Arial"/>
              </w:rPr>
              <w:t>350</w:t>
            </w:r>
          </w:p>
        </w:tc>
        <w:tc>
          <w:tcPr>
            <w:tcW w:w="854" w:type="dxa"/>
            <w:tcBorders>
              <w:top w:val="single" w:sz="6" w:space="0" w:color="auto"/>
              <w:left w:val="single" w:sz="6" w:space="0" w:color="auto"/>
              <w:bottom w:val="single" w:sz="6" w:space="0" w:color="auto"/>
              <w:right w:val="single" w:sz="6" w:space="0" w:color="auto"/>
            </w:tcBorders>
          </w:tcPr>
          <w:p w14:paraId="6F3A7765" w14:textId="77777777" w:rsidR="00CA23D0" w:rsidRPr="00E30642" w:rsidRDefault="00CA23D0" w:rsidP="00CA23D0">
            <w:pPr>
              <w:pStyle w:val="Texttabulky"/>
              <w:spacing w:line="240" w:lineRule="atLeast"/>
              <w:jc w:val="both"/>
              <w:rPr>
                <w:rFonts w:cs="Arial"/>
              </w:rPr>
            </w:pPr>
            <w:r w:rsidRPr="00E30642">
              <w:rPr>
                <w:rFonts w:cs="Arial"/>
              </w:rPr>
              <w:t>530</w:t>
            </w:r>
          </w:p>
        </w:tc>
        <w:tc>
          <w:tcPr>
            <w:tcW w:w="709" w:type="dxa"/>
            <w:tcBorders>
              <w:top w:val="single" w:sz="6" w:space="0" w:color="auto"/>
              <w:left w:val="single" w:sz="6" w:space="0" w:color="auto"/>
              <w:bottom w:val="single" w:sz="6" w:space="0" w:color="auto"/>
              <w:right w:val="single" w:sz="6" w:space="0" w:color="auto"/>
            </w:tcBorders>
          </w:tcPr>
          <w:p w14:paraId="3103520E" w14:textId="77777777" w:rsidR="00CA23D0" w:rsidRPr="00E30642" w:rsidRDefault="00CA23D0" w:rsidP="00CA23D0">
            <w:pPr>
              <w:pStyle w:val="Texttabulky"/>
              <w:spacing w:line="240" w:lineRule="atLeast"/>
              <w:jc w:val="both"/>
              <w:rPr>
                <w:rFonts w:cs="Arial"/>
              </w:rPr>
            </w:pPr>
            <w:r w:rsidRPr="00E30642">
              <w:rPr>
                <w:rFonts w:cs="Arial"/>
              </w:rPr>
              <w:t>-51</w:t>
            </w:r>
          </w:p>
        </w:tc>
        <w:tc>
          <w:tcPr>
            <w:tcW w:w="791" w:type="dxa"/>
            <w:tcBorders>
              <w:top w:val="single" w:sz="6" w:space="0" w:color="auto"/>
              <w:left w:val="single" w:sz="6" w:space="0" w:color="auto"/>
              <w:bottom w:val="single" w:sz="6" w:space="0" w:color="auto"/>
              <w:right w:val="single" w:sz="6" w:space="0" w:color="auto"/>
            </w:tcBorders>
          </w:tcPr>
          <w:p w14:paraId="676FC05F" w14:textId="77777777" w:rsidR="00CA23D0" w:rsidRPr="00E30642" w:rsidRDefault="00CA23D0" w:rsidP="00CA23D0">
            <w:pPr>
              <w:pStyle w:val="Texttabulky"/>
              <w:spacing w:line="240" w:lineRule="atLeast"/>
              <w:jc w:val="both"/>
              <w:rPr>
                <w:rFonts w:cs="Arial"/>
              </w:rPr>
            </w:pPr>
            <w:r w:rsidRPr="00E30642">
              <w:rPr>
                <w:rFonts w:cs="Arial"/>
              </w:rPr>
              <w:t>129</w:t>
            </w:r>
          </w:p>
        </w:tc>
      </w:tr>
      <w:tr w:rsidR="00CA23D0" w:rsidRPr="00E30642" w14:paraId="21C1F8B0" w14:textId="77777777" w:rsidTr="00CA23D0">
        <w:tc>
          <w:tcPr>
            <w:tcW w:w="474" w:type="dxa"/>
            <w:tcBorders>
              <w:top w:val="single" w:sz="6" w:space="0" w:color="auto"/>
              <w:left w:val="single" w:sz="6" w:space="0" w:color="auto"/>
              <w:bottom w:val="single" w:sz="6" w:space="0" w:color="auto"/>
              <w:right w:val="single" w:sz="6" w:space="0" w:color="auto"/>
            </w:tcBorders>
          </w:tcPr>
          <w:p w14:paraId="7184E2EC" w14:textId="77777777" w:rsidR="00CA23D0" w:rsidRPr="00E30642" w:rsidRDefault="00CA23D0" w:rsidP="00CA23D0">
            <w:pPr>
              <w:pStyle w:val="Zkladntext"/>
              <w:jc w:val="both"/>
              <w:rPr>
                <w:rFonts w:ascii="Arial" w:hAnsi="Arial" w:cs="Arial"/>
              </w:rPr>
            </w:pPr>
          </w:p>
        </w:tc>
        <w:tc>
          <w:tcPr>
            <w:tcW w:w="504" w:type="dxa"/>
            <w:tcBorders>
              <w:top w:val="single" w:sz="6" w:space="0" w:color="auto"/>
              <w:left w:val="single" w:sz="6" w:space="0" w:color="auto"/>
              <w:bottom w:val="single" w:sz="6" w:space="0" w:color="auto"/>
              <w:right w:val="single" w:sz="6" w:space="0" w:color="auto"/>
            </w:tcBorders>
          </w:tcPr>
          <w:p w14:paraId="12027D8F" w14:textId="77777777" w:rsidR="00CA23D0" w:rsidRPr="00E30642" w:rsidRDefault="00CA23D0" w:rsidP="00CA23D0">
            <w:pPr>
              <w:pStyle w:val="Zkladntext"/>
              <w:jc w:val="both"/>
              <w:rPr>
                <w:rFonts w:ascii="Arial" w:hAnsi="Arial" w:cs="Arial"/>
              </w:rPr>
            </w:pPr>
          </w:p>
        </w:tc>
        <w:tc>
          <w:tcPr>
            <w:tcW w:w="1731" w:type="dxa"/>
            <w:tcBorders>
              <w:top w:val="single" w:sz="6" w:space="0" w:color="auto"/>
              <w:left w:val="single" w:sz="6" w:space="0" w:color="auto"/>
              <w:bottom w:val="single" w:sz="6" w:space="0" w:color="auto"/>
              <w:right w:val="single" w:sz="6" w:space="0" w:color="auto"/>
            </w:tcBorders>
          </w:tcPr>
          <w:p w14:paraId="04979A50" w14:textId="77777777" w:rsidR="00CA23D0" w:rsidRPr="00E30642" w:rsidRDefault="00CA23D0" w:rsidP="00CA23D0">
            <w:pPr>
              <w:pStyle w:val="Texttabulky"/>
              <w:spacing w:line="240" w:lineRule="atLeast"/>
              <w:jc w:val="both"/>
              <w:rPr>
                <w:rFonts w:cs="Arial"/>
              </w:rPr>
            </w:pPr>
            <w:r w:rsidRPr="00E30642">
              <w:rPr>
                <w:rFonts w:cs="Arial"/>
                <w:b/>
                <w:bCs/>
              </w:rPr>
              <w:t>Sektor III</w:t>
            </w:r>
          </w:p>
        </w:tc>
        <w:tc>
          <w:tcPr>
            <w:tcW w:w="661" w:type="dxa"/>
            <w:tcBorders>
              <w:top w:val="single" w:sz="6" w:space="0" w:color="auto"/>
              <w:left w:val="single" w:sz="6" w:space="0" w:color="auto"/>
              <w:bottom w:val="single" w:sz="6" w:space="0" w:color="auto"/>
              <w:right w:val="single" w:sz="6" w:space="0" w:color="auto"/>
            </w:tcBorders>
          </w:tcPr>
          <w:p w14:paraId="4707ADDA" w14:textId="77777777" w:rsidR="00CA23D0" w:rsidRPr="00E30642" w:rsidRDefault="00CA23D0" w:rsidP="00CA23D0">
            <w:pPr>
              <w:pStyle w:val="Texttabulky"/>
              <w:spacing w:line="240" w:lineRule="atLeast"/>
              <w:jc w:val="both"/>
              <w:rPr>
                <w:rFonts w:cs="Arial"/>
              </w:rPr>
            </w:pPr>
            <w:r w:rsidRPr="00E30642">
              <w:rPr>
                <w:rFonts w:cs="Arial"/>
                <w:b/>
                <w:bCs/>
              </w:rPr>
              <w:t>2 360</w:t>
            </w:r>
          </w:p>
        </w:tc>
        <w:tc>
          <w:tcPr>
            <w:tcW w:w="612" w:type="dxa"/>
            <w:tcBorders>
              <w:top w:val="single" w:sz="6" w:space="0" w:color="auto"/>
              <w:left w:val="single" w:sz="6" w:space="0" w:color="auto"/>
              <w:bottom w:val="single" w:sz="6" w:space="0" w:color="auto"/>
              <w:right w:val="single" w:sz="6" w:space="0" w:color="auto"/>
            </w:tcBorders>
          </w:tcPr>
          <w:p w14:paraId="0CA56648" w14:textId="77777777" w:rsidR="00CA23D0" w:rsidRPr="00E30642" w:rsidRDefault="00CA23D0" w:rsidP="00CA23D0">
            <w:pPr>
              <w:pStyle w:val="Texttabulky"/>
              <w:spacing w:line="240" w:lineRule="atLeast"/>
              <w:jc w:val="both"/>
              <w:rPr>
                <w:rFonts w:cs="Arial"/>
              </w:rPr>
            </w:pPr>
            <w:r w:rsidRPr="00E30642">
              <w:rPr>
                <w:rFonts w:cs="Arial"/>
                <w:b/>
                <w:bCs/>
              </w:rPr>
              <w:t>65</w:t>
            </w:r>
          </w:p>
        </w:tc>
        <w:tc>
          <w:tcPr>
            <w:tcW w:w="615" w:type="dxa"/>
            <w:tcBorders>
              <w:top w:val="single" w:sz="6" w:space="0" w:color="auto"/>
              <w:left w:val="single" w:sz="6" w:space="0" w:color="auto"/>
              <w:bottom w:val="single" w:sz="6" w:space="0" w:color="auto"/>
              <w:right w:val="single" w:sz="6" w:space="0" w:color="auto"/>
            </w:tcBorders>
          </w:tcPr>
          <w:p w14:paraId="405182B7" w14:textId="77777777" w:rsidR="00CA23D0" w:rsidRPr="00E30642" w:rsidRDefault="00CA23D0" w:rsidP="00CA23D0">
            <w:pPr>
              <w:pStyle w:val="Texttabulky"/>
              <w:spacing w:line="240" w:lineRule="atLeast"/>
              <w:jc w:val="both"/>
              <w:rPr>
                <w:rFonts w:cs="Arial"/>
              </w:rPr>
            </w:pPr>
            <w:r w:rsidRPr="00E30642">
              <w:rPr>
                <w:rFonts w:cs="Arial"/>
                <w:b/>
                <w:bCs/>
              </w:rPr>
              <w:t>45</w:t>
            </w:r>
          </w:p>
        </w:tc>
        <w:tc>
          <w:tcPr>
            <w:tcW w:w="675" w:type="dxa"/>
            <w:tcBorders>
              <w:top w:val="single" w:sz="6" w:space="0" w:color="auto"/>
              <w:left w:val="single" w:sz="6" w:space="0" w:color="auto"/>
              <w:bottom w:val="single" w:sz="6" w:space="0" w:color="auto"/>
              <w:right w:val="single" w:sz="6" w:space="0" w:color="auto"/>
            </w:tcBorders>
          </w:tcPr>
          <w:p w14:paraId="121086EB" w14:textId="77777777" w:rsidR="00CA23D0" w:rsidRPr="00E30642" w:rsidRDefault="00CA23D0" w:rsidP="00CA23D0">
            <w:pPr>
              <w:pStyle w:val="Texttabulky"/>
              <w:spacing w:line="240" w:lineRule="atLeast"/>
              <w:jc w:val="both"/>
              <w:rPr>
                <w:rFonts w:cs="Arial"/>
              </w:rPr>
            </w:pPr>
            <w:r w:rsidRPr="00E30642">
              <w:rPr>
                <w:rFonts w:cs="Arial"/>
                <w:b/>
                <w:bCs/>
              </w:rPr>
              <w:t>550</w:t>
            </w:r>
          </w:p>
        </w:tc>
        <w:tc>
          <w:tcPr>
            <w:tcW w:w="705" w:type="dxa"/>
            <w:tcBorders>
              <w:top w:val="single" w:sz="6" w:space="0" w:color="auto"/>
              <w:left w:val="single" w:sz="6" w:space="0" w:color="auto"/>
              <w:bottom w:val="single" w:sz="6" w:space="0" w:color="auto"/>
              <w:right w:val="single" w:sz="6" w:space="0" w:color="auto"/>
            </w:tcBorders>
          </w:tcPr>
          <w:p w14:paraId="1F149015" w14:textId="77777777" w:rsidR="00CA23D0" w:rsidRPr="00E30642" w:rsidRDefault="00CA23D0" w:rsidP="00CA23D0">
            <w:pPr>
              <w:pStyle w:val="Texttabulky"/>
              <w:spacing w:line="240" w:lineRule="atLeast"/>
              <w:jc w:val="both"/>
              <w:rPr>
                <w:rFonts w:cs="Arial"/>
              </w:rPr>
            </w:pPr>
            <w:r w:rsidRPr="00E30642">
              <w:rPr>
                <w:rFonts w:cs="Arial"/>
                <w:b/>
                <w:bCs/>
              </w:rPr>
              <w:t>2 310</w:t>
            </w:r>
          </w:p>
        </w:tc>
        <w:tc>
          <w:tcPr>
            <w:tcW w:w="854" w:type="dxa"/>
            <w:tcBorders>
              <w:top w:val="single" w:sz="6" w:space="0" w:color="auto"/>
              <w:left w:val="single" w:sz="6" w:space="0" w:color="auto"/>
              <w:bottom w:val="single" w:sz="6" w:space="0" w:color="auto"/>
              <w:right w:val="single" w:sz="6" w:space="0" w:color="auto"/>
            </w:tcBorders>
          </w:tcPr>
          <w:p w14:paraId="72E83DA2" w14:textId="77777777" w:rsidR="00CA23D0" w:rsidRPr="00E30642" w:rsidRDefault="00CA23D0" w:rsidP="00CA23D0">
            <w:pPr>
              <w:pStyle w:val="Texttabulky"/>
              <w:spacing w:line="240" w:lineRule="atLeast"/>
              <w:jc w:val="both"/>
              <w:rPr>
                <w:rFonts w:cs="Arial"/>
              </w:rPr>
            </w:pPr>
            <w:r w:rsidRPr="00E30642">
              <w:rPr>
                <w:rFonts w:cs="Arial"/>
                <w:b/>
                <w:bCs/>
              </w:rPr>
              <w:t>2 860</w:t>
            </w:r>
          </w:p>
        </w:tc>
        <w:tc>
          <w:tcPr>
            <w:tcW w:w="709" w:type="dxa"/>
            <w:tcBorders>
              <w:top w:val="single" w:sz="6" w:space="0" w:color="auto"/>
              <w:left w:val="single" w:sz="6" w:space="0" w:color="auto"/>
              <w:bottom w:val="single" w:sz="6" w:space="0" w:color="auto"/>
              <w:right w:val="single" w:sz="6" w:space="0" w:color="auto"/>
            </w:tcBorders>
          </w:tcPr>
          <w:p w14:paraId="52915F0B" w14:textId="77777777" w:rsidR="00CA23D0" w:rsidRPr="00E30642" w:rsidRDefault="00CA23D0" w:rsidP="00CA23D0">
            <w:pPr>
              <w:pStyle w:val="Texttabulky"/>
              <w:spacing w:line="240" w:lineRule="atLeast"/>
              <w:jc w:val="both"/>
              <w:rPr>
                <w:rFonts w:cs="Arial"/>
              </w:rPr>
            </w:pPr>
            <w:r w:rsidRPr="00E30642">
              <w:rPr>
                <w:rFonts w:cs="Arial"/>
                <w:b/>
                <w:bCs/>
              </w:rPr>
              <w:t>-50</w:t>
            </w:r>
          </w:p>
        </w:tc>
        <w:tc>
          <w:tcPr>
            <w:tcW w:w="791" w:type="dxa"/>
            <w:tcBorders>
              <w:top w:val="single" w:sz="6" w:space="0" w:color="auto"/>
              <w:left w:val="single" w:sz="6" w:space="0" w:color="auto"/>
              <w:bottom w:val="single" w:sz="6" w:space="0" w:color="auto"/>
              <w:right w:val="single" w:sz="6" w:space="0" w:color="auto"/>
            </w:tcBorders>
          </w:tcPr>
          <w:p w14:paraId="2DF8181E" w14:textId="77777777" w:rsidR="00CA23D0" w:rsidRPr="00E30642" w:rsidRDefault="00CA23D0" w:rsidP="00CA23D0">
            <w:pPr>
              <w:pStyle w:val="Texttabulky"/>
              <w:spacing w:line="240" w:lineRule="atLeast"/>
              <w:jc w:val="both"/>
              <w:rPr>
                <w:rFonts w:cs="Arial"/>
              </w:rPr>
            </w:pPr>
            <w:r w:rsidRPr="00E30642">
              <w:rPr>
                <w:rFonts w:cs="Arial"/>
                <w:b/>
                <w:bCs/>
              </w:rPr>
              <w:t>500</w:t>
            </w:r>
          </w:p>
        </w:tc>
      </w:tr>
    </w:tbl>
    <w:p w14:paraId="296E3DD9" w14:textId="77777777" w:rsidR="00CA23D0" w:rsidRPr="00E30642" w:rsidRDefault="00CA23D0" w:rsidP="00CA23D0">
      <w:pPr>
        <w:autoSpaceDE w:val="0"/>
        <w:autoSpaceDN w:val="0"/>
        <w:adjustRightInd w:val="0"/>
        <w:jc w:val="both"/>
        <w:rPr>
          <w:rFonts w:ascii="Arial" w:hAnsi="Arial" w:cs="Arial"/>
          <w:sz w:val="20"/>
        </w:rPr>
      </w:pPr>
    </w:p>
    <w:p w14:paraId="0547735F"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Sektor IV - Bynov, Oldřichov</w:t>
      </w:r>
    </w:p>
    <w:p w14:paraId="2121A63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Toto území má z hlediska rozvoje obytné funkce omezené prostorové možnosti. Současné těžiště obytných ploch je v oblasti Bynova, kde byl v osmdesátých letech realizován jeden z posledních souborů tzv. komplexní bytové výstavby na území města. Již dřívější územní plány uvažovaly s výstavbou rodinných domů v Jalůvčí a Žlíbku. K uskutečnění tohoto záměru patrně dojde právě v návrhovém období podle zpracovávaného územního plánu. Po návrhovém období je v tomto sektoru připravena rezervní plocha pro realizaci rodinných domů v lokalitě Horního Oldřichova. Celkový vývoj počtu obyvatelstva sektoru bude ve výsledku v záporných hodnotách. Hlavní příčinou zde bude úbytek bydlících v rozhodující obytné oblasti - Bynově, kde postupný proces stárnutí zdejší populace povede i ke snižování počtu osob v jednotlivých bytech.</w:t>
      </w:r>
    </w:p>
    <w:p w14:paraId="22F1F68E"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rPr>
        <w:br w:type="page"/>
      </w:r>
    </w:p>
    <w:tbl>
      <w:tblPr>
        <w:tblW w:w="0" w:type="auto"/>
        <w:tblInd w:w="30" w:type="dxa"/>
        <w:tblLayout w:type="fixed"/>
        <w:tblCellMar>
          <w:left w:w="30" w:type="dxa"/>
          <w:right w:w="30" w:type="dxa"/>
        </w:tblCellMar>
        <w:tblLook w:val="0000" w:firstRow="0" w:lastRow="0" w:firstColumn="0" w:lastColumn="0" w:noHBand="0" w:noVBand="0"/>
      </w:tblPr>
      <w:tblGrid>
        <w:gridCol w:w="474"/>
        <w:gridCol w:w="504"/>
        <w:gridCol w:w="1663"/>
        <w:gridCol w:w="661"/>
        <w:gridCol w:w="612"/>
        <w:gridCol w:w="615"/>
        <w:gridCol w:w="675"/>
        <w:gridCol w:w="805"/>
        <w:gridCol w:w="859"/>
        <w:gridCol w:w="650"/>
        <w:gridCol w:w="900"/>
      </w:tblGrid>
      <w:tr w:rsidR="00CA23D0" w:rsidRPr="00E30642" w14:paraId="28739E3B" w14:textId="77777777" w:rsidTr="00CA23D0">
        <w:tc>
          <w:tcPr>
            <w:tcW w:w="474" w:type="dxa"/>
            <w:tcBorders>
              <w:top w:val="single" w:sz="6" w:space="0" w:color="auto"/>
              <w:left w:val="single" w:sz="6" w:space="0" w:color="auto"/>
              <w:bottom w:val="nil"/>
              <w:right w:val="nil"/>
            </w:tcBorders>
          </w:tcPr>
          <w:p w14:paraId="378C5B03" w14:textId="77777777" w:rsidR="00CA23D0" w:rsidRPr="00E30642" w:rsidRDefault="00CA23D0" w:rsidP="00CA23D0">
            <w:pPr>
              <w:pStyle w:val="Texttabulky"/>
              <w:jc w:val="both"/>
              <w:rPr>
                <w:rFonts w:cs="Arial"/>
              </w:rPr>
            </w:pPr>
            <w:r w:rsidRPr="00E30642">
              <w:rPr>
                <w:rFonts w:cs="Arial"/>
                <w:b/>
                <w:bCs/>
              </w:rPr>
              <w:lastRenderedPageBreak/>
              <w:t>poř.č.UO</w:t>
            </w:r>
          </w:p>
        </w:tc>
        <w:tc>
          <w:tcPr>
            <w:tcW w:w="504" w:type="dxa"/>
            <w:tcBorders>
              <w:top w:val="single" w:sz="6" w:space="0" w:color="auto"/>
              <w:left w:val="single" w:sz="6" w:space="0" w:color="auto"/>
              <w:bottom w:val="nil"/>
              <w:right w:val="nil"/>
            </w:tcBorders>
          </w:tcPr>
          <w:p w14:paraId="1E8C4920" w14:textId="77777777" w:rsidR="00CA23D0" w:rsidRPr="00E30642" w:rsidRDefault="00CA23D0" w:rsidP="00CA23D0">
            <w:pPr>
              <w:pStyle w:val="Texttabulky"/>
              <w:jc w:val="both"/>
              <w:rPr>
                <w:rFonts w:cs="Arial"/>
              </w:rPr>
            </w:pPr>
            <w:r w:rsidRPr="00E30642">
              <w:rPr>
                <w:rFonts w:cs="Arial"/>
                <w:b/>
                <w:bCs/>
              </w:rPr>
              <w:t>char. UO</w:t>
            </w:r>
          </w:p>
        </w:tc>
        <w:tc>
          <w:tcPr>
            <w:tcW w:w="1663" w:type="dxa"/>
            <w:tcBorders>
              <w:top w:val="single" w:sz="6" w:space="0" w:color="auto"/>
              <w:left w:val="single" w:sz="6" w:space="0" w:color="auto"/>
              <w:bottom w:val="nil"/>
              <w:right w:val="single" w:sz="6" w:space="0" w:color="auto"/>
            </w:tcBorders>
          </w:tcPr>
          <w:p w14:paraId="06DE0B99" w14:textId="77777777" w:rsidR="00CA23D0" w:rsidRPr="00E30642" w:rsidRDefault="00CA23D0" w:rsidP="00CA23D0">
            <w:pPr>
              <w:pStyle w:val="Texttabulky"/>
              <w:jc w:val="both"/>
              <w:rPr>
                <w:rFonts w:cs="Arial"/>
              </w:rPr>
            </w:pPr>
            <w:r w:rsidRPr="00E30642">
              <w:rPr>
                <w:rFonts w:cs="Arial"/>
                <w:b/>
                <w:bCs/>
              </w:rPr>
              <w:t>název urbanistického obvodu</w:t>
            </w:r>
          </w:p>
        </w:tc>
        <w:tc>
          <w:tcPr>
            <w:tcW w:w="661" w:type="dxa"/>
            <w:tcBorders>
              <w:top w:val="single" w:sz="6" w:space="0" w:color="auto"/>
              <w:left w:val="nil"/>
              <w:bottom w:val="nil"/>
              <w:right w:val="nil"/>
            </w:tcBorders>
          </w:tcPr>
          <w:p w14:paraId="0F6F9E30" w14:textId="77777777" w:rsidR="00CA23D0" w:rsidRPr="00E30642" w:rsidRDefault="00CA23D0" w:rsidP="00CA23D0">
            <w:pPr>
              <w:pStyle w:val="Texttabulky"/>
              <w:jc w:val="both"/>
              <w:rPr>
                <w:rFonts w:cs="Arial"/>
              </w:rPr>
            </w:pPr>
            <w:r w:rsidRPr="00E30642">
              <w:rPr>
                <w:rFonts w:cs="Arial"/>
                <w:b/>
                <w:bCs/>
              </w:rPr>
              <w:t>OB91</w:t>
            </w:r>
          </w:p>
        </w:tc>
        <w:tc>
          <w:tcPr>
            <w:tcW w:w="1902" w:type="dxa"/>
            <w:gridSpan w:val="3"/>
            <w:tcBorders>
              <w:top w:val="single" w:sz="6" w:space="0" w:color="auto"/>
              <w:left w:val="single" w:sz="6" w:space="0" w:color="auto"/>
              <w:bottom w:val="nil"/>
              <w:right w:val="nil"/>
            </w:tcBorders>
          </w:tcPr>
          <w:p w14:paraId="4814545B" w14:textId="77777777" w:rsidR="00CA23D0" w:rsidRPr="00E30642" w:rsidRDefault="00CA23D0" w:rsidP="00CA23D0">
            <w:pPr>
              <w:pStyle w:val="Zkladntext"/>
              <w:jc w:val="both"/>
              <w:rPr>
                <w:rFonts w:ascii="Arial" w:hAnsi="Arial" w:cs="Arial"/>
              </w:rPr>
            </w:pPr>
            <w:r w:rsidRPr="00E30642">
              <w:rPr>
                <w:rFonts w:ascii="Arial" w:hAnsi="Arial" w:cs="Arial"/>
                <w:b/>
                <w:bCs/>
                <w:sz w:val="16"/>
              </w:rPr>
              <w:t>nové obytné plochy</w:t>
            </w:r>
          </w:p>
        </w:tc>
        <w:tc>
          <w:tcPr>
            <w:tcW w:w="1664" w:type="dxa"/>
            <w:gridSpan w:val="2"/>
            <w:tcBorders>
              <w:top w:val="single" w:sz="6" w:space="0" w:color="auto"/>
              <w:left w:val="nil"/>
              <w:bottom w:val="single" w:sz="4" w:space="0" w:color="auto"/>
              <w:right w:val="single" w:sz="4" w:space="0" w:color="auto"/>
            </w:tcBorders>
          </w:tcPr>
          <w:p w14:paraId="4EF4F462"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počet bydlících osob</w:t>
            </w:r>
          </w:p>
        </w:tc>
        <w:tc>
          <w:tcPr>
            <w:tcW w:w="650" w:type="dxa"/>
            <w:tcBorders>
              <w:top w:val="single" w:sz="6" w:space="0" w:color="auto"/>
              <w:left w:val="single" w:sz="4" w:space="0" w:color="auto"/>
              <w:bottom w:val="nil"/>
              <w:right w:val="single" w:sz="6" w:space="0" w:color="auto"/>
            </w:tcBorders>
          </w:tcPr>
          <w:p w14:paraId="26503ED3" w14:textId="77777777" w:rsidR="00CA23D0" w:rsidRPr="00E30642" w:rsidRDefault="00CA23D0" w:rsidP="00CA23D0">
            <w:pPr>
              <w:pStyle w:val="Texttabulky"/>
              <w:jc w:val="both"/>
              <w:rPr>
                <w:rFonts w:cs="Arial"/>
              </w:rPr>
            </w:pPr>
            <w:r w:rsidRPr="00E30642">
              <w:rPr>
                <w:rFonts w:cs="Arial"/>
                <w:b/>
                <w:bCs/>
              </w:rPr>
              <w:t>OB přírůstek návrh</w:t>
            </w:r>
          </w:p>
        </w:tc>
        <w:tc>
          <w:tcPr>
            <w:tcW w:w="900" w:type="dxa"/>
            <w:tcBorders>
              <w:top w:val="single" w:sz="6" w:space="0" w:color="auto"/>
              <w:left w:val="nil"/>
              <w:bottom w:val="nil"/>
              <w:right w:val="single" w:sz="6" w:space="0" w:color="auto"/>
            </w:tcBorders>
          </w:tcPr>
          <w:p w14:paraId="6F86FBB7" w14:textId="77777777" w:rsidR="00CA23D0" w:rsidRPr="00E30642" w:rsidRDefault="00CA23D0" w:rsidP="00CA23D0">
            <w:pPr>
              <w:pStyle w:val="Texttabulky"/>
              <w:jc w:val="both"/>
              <w:rPr>
                <w:rFonts w:cs="Arial"/>
              </w:rPr>
            </w:pPr>
            <w:r w:rsidRPr="00E30642">
              <w:rPr>
                <w:rFonts w:cs="Arial"/>
                <w:b/>
                <w:bCs/>
              </w:rPr>
              <w:t>OB  přírůstek návrh +rez.</w:t>
            </w:r>
          </w:p>
        </w:tc>
      </w:tr>
      <w:tr w:rsidR="00CA23D0" w:rsidRPr="00E30642" w14:paraId="4ACDCAC2" w14:textId="77777777" w:rsidTr="00CA23D0">
        <w:tc>
          <w:tcPr>
            <w:tcW w:w="474" w:type="dxa"/>
            <w:tcBorders>
              <w:top w:val="nil"/>
              <w:left w:val="single" w:sz="6" w:space="0" w:color="auto"/>
              <w:bottom w:val="single" w:sz="4" w:space="0" w:color="auto"/>
              <w:right w:val="nil"/>
            </w:tcBorders>
          </w:tcPr>
          <w:p w14:paraId="768A15EC" w14:textId="77777777" w:rsidR="00CA23D0" w:rsidRPr="00E30642" w:rsidRDefault="00CA23D0" w:rsidP="00CA23D0">
            <w:pPr>
              <w:pStyle w:val="Zkladntext"/>
              <w:spacing w:line="240" w:lineRule="atLeast"/>
              <w:jc w:val="both"/>
              <w:rPr>
                <w:rFonts w:ascii="Arial" w:hAnsi="Arial" w:cs="Arial"/>
              </w:rPr>
            </w:pPr>
          </w:p>
        </w:tc>
        <w:tc>
          <w:tcPr>
            <w:tcW w:w="504" w:type="dxa"/>
            <w:tcBorders>
              <w:top w:val="nil"/>
              <w:left w:val="single" w:sz="6" w:space="0" w:color="auto"/>
              <w:bottom w:val="single" w:sz="4" w:space="0" w:color="auto"/>
              <w:right w:val="nil"/>
            </w:tcBorders>
          </w:tcPr>
          <w:p w14:paraId="2A77EC6E" w14:textId="77777777" w:rsidR="00CA23D0" w:rsidRPr="00E30642" w:rsidRDefault="00CA23D0" w:rsidP="00CA23D0">
            <w:pPr>
              <w:pStyle w:val="Zkladntext"/>
              <w:spacing w:line="240" w:lineRule="atLeast"/>
              <w:jc w:val="both"/>
              <w:rPr>
                <w:rFonts w:ascii="Arial" w:hAnsi="Arial" w:cs="Arial"/>
              </w:rPr>
            </w:pPr>
          </w:p>
        </w:tc>
        <w:tc>
          <w:tcPr>
            <w:tcW w:w="1663" w:type="dxa"/>
            <w:tcBorders>
              <w:top w:val="nil"/>
              <w:left w:val="single" w:sz="6" w:space="0" w:color="auto"/>
              <w:bottom w:val="single" w:sz="4" w:space="0" w:color="auto"/>
              <w:right w:val="single" w:sz="6" w:space="0" w:color="auto"/>
            </w:tcBorders>
          </w:tcPr>
          <w:p w14:paraId="55B60ECD" w14:textId="77777777" w:rsidR="00CA23D0" w:rsidRPr="00E30642" w:rsidRDefault="00CA23D0" w:rsidP="00CA23D0">
            <w:pPr>
              <w:pStyle w:val="Zkladntext"/>
              <w:spacing w:line="240" w:lineRule="atLeast"/>
              <w:jc w:val="both"/>
              <w:rPr>
                <w:rFonts w:ascii="Arial" w:hAnsi="Arial" w:cs="Arial"/>
              </w:rPr>
            </w:pPr>
          </w:p>
        </w:tc>
        <w:tc>
          <w:tcPr>
            <w:tcW w:w="661" w:type="dxa"/>
            <w:tcBorders>
              <w:top w:val="nil"/>
              <w:left w:val="nil"/>
              <w:bottom w:val="single" w:sz="4" w:space="0" w:color="auto"/>
              <w:right w:val="nil"/>
            </w:tcBorders>
          </w:tcPr>
          <w:p w14:paraId="4462BC51" w14:textId="77777777" w:rsidR="00CA23D0" w:rsidRPr="00E30642" w:rsidRDefault="00CA23D0" w:rsidP="00CA23D0">
            <w:pPr>
              <w:pStyle w:val="Zkladntext"/>
              <w:spacing w:line="240" w:lineRule="atLeast"/>
              <w:jc w:val="both"/>
              <w:rPr>
                <w:rFonts w:ascii="Arial" w:hAnsi="Arial" w:cs="Arial"/>
              </w:rPr>
            </w:pPr>
          </w:p>
        </w:tc>
        <w:tc>
          <w:tcPr>
            <w:tcW w:w="612" w:type="dxa"/>
            <w:tcBorders>
              <w:top w:val="single" w:sz="6" w:space="0" w:color="auto"/>
              <w:left w:val="single" w:sz="6" w:space="0" w:color="auto"/>
              <w:bottom w:val="single" w:sz="4" w:space="0" w:color="auto"/>
              <w:right w:val="single" w:sz="6" w:space="0" w:color="auto"/>
            </w:tcBorders>
          </w:tcPr>
          <w:p w14:paraId="1ADF5435" w14:textId="77777777" w:rsidR="00CA23D0" w:rsidRPr="00E30642" w:rsidRDefault="00CA23D0" w:rsidP="00CA23D0">
            <w:pPr>
              <w:pStyle w:val="Texttabulky"/>
              <w:spacing w:line="240" w:lineRule="atLeast"/>
              <w:jc w:val="both"/>
              <w:rPr>
                <w:rFonts w:cs="Arial"/>
              </w:rPr>
            </w:pPr>
            <w:r w:rsidRPr="00E30642">
              <w:rPr>
                <w:rFonts w:cs="Arial"/>
                <w:b/>
                <w:bCs/>
              </w:rPr>
              <w:t>OB návrh I</w:t>
            </w:r>
          </w:p>
        </w:tc>
        <w:tc>
          <w:tcPr>
            <w:tcW w:w="615" w:type="dxa"/>
            <w:tcBorders>
              <w:top w:val="single" w:sz="6" w:space="0" w:color="auto"/>
              <w:left w:val="single" w:sz="6" w:space="0" w:color="auto"/>
              <w:bottom w:val="single" w:sz="4" w:space="0" w:color="auto"/>
              <w:right w:val="single" w:sz="6" w:space="0" w:color="auto"/>
            </w:tcBorders>
          </w:tcPr>
          <w:p w14:paraId="04AE347F" w14:textId="77777777" w:rsidR="00CA23D0" w:rsidRPr="00E30642" w:rsidRDefault="00CA23D0" w:rsidP="00CA23D0">
            <w:pPr>
              <w:pStyle w:val="Texttabulky"/>
              <w:spacing w:line="240" w:lineRule="atLeast"/>
              <w:jc w:val="both"/>
              <w:rPr>
                <w:rFonts w:cs="Arial"/>
              </w:rPr>
            </w:pPr>
            <w:r w:rsidRPr="00E30642">
              <w:rPr>
                <w:rFonts w:cs="Arial"/>
                <w:b/>
                <w:bCs/>
              </w:rPr>
              <w:t>OB návrh II</w:t>
            </w:r>
          </w:p>
        </w:tc>
        <w:tc>
          <w:tcPr>
            <w:tcW w:w="675" w:type="dxa"/>
            <w:tcBorders>
              <w:top w:val="single" w:sz="6" w:space="0" w:color="auto"/>
              <w:left w:val="single" w:sz="6" w:space="0" w:color="auto"/>
              <w:bottom w:val="single" w:sz="4" w:space="0" w:color="auto"/>
              <w:right w:val="single" w:sz="6" w:space="0" w:color="auto"/>
            </w:tcBorders>
          </w:tcPr>
          <w:p w14:paraId="2A20AB4E" w14:textId="77777777" w:rsidR="00CA23D0" w:rsidRPr="00E30642" w:rsidRDefault="00CA23D0" w:rsidP="00CA23D0">
            <w:pPr>
              <w:pStyle w:val="Texttabulky"/>
              <w:spacing w:line="240" w:lineRule="atLeast"/>
              <w:jc w:val="both"/>
              <w:rPr>
                <w:rFonts w:cs="Arial"/>
              </w:rPr>
            </w:pPr>
            <w:r w:rsidRPr="00E30642">
              <w:rPr>
                <w:rFonts w:cs="Arial"/>
                <w:b/>
                <w:bCs/>
              </w:rPr>
              <w:t>OB rezerva</w:t>
            </w:r>
          </w:p>
        </w:tc>
        <w:tc>
          <w:tcPr>
            <w:tcW w:w="805" w:type="dxa"/>
            <w:tcBorders>
              <w:top w:val="single" w:sz="4" w:space="0" w:color="auto"/>
              <w:left w:val="single" w:sz="6" w:space="0" w:color="auto"/>
              <w:bottom w:val="single" w:sz="4" w:space="0" w:color="auto"/>
              <w:right w:val="single" w:sz="6" w:space="0" w:color="auto"/>
            </w:tcBorders>
          </w:tcPr>
          <w:p w14:paraId="42588788" w14:textId="77777777" w:rsidR="00CA23D0" w:rsidRPr="00E30642" w:rsidRDefault="00CA23D0" w:rsidP="00CA23D0">
            <w:pPr>
              <w:pStyle w:val="Texttabulky"/>
              <w:spacing w:line="240" w:lineRule="atLeast"/>
              <w:jc w:val="both"/>
              <w:rPr>
                <w:rFonts w:cs="Arial"/>
              </w:rPr>
            </w:pPr>
            <w:r w:rsidRPr="00E30642">
              <w:rPr>
                <w:rFonts w:cs="Arial"/>
                <w:b/>
                <w:bCs/>
              </w:rPr>
              <w:t>návrh</w:t>
            </w:r>
          </w:p>
        </w:tc>
        <w:tc>
          <w:tcPr>
            <w:tcW w:w="859" w:type="dxa"/>
            <w:tcBorders>
              <w:top w:val="single" w:sz="4" w:space="0" w:color="auto"/>
              <w:left w:val="single" w:sz="6" w:space="0" w:color="auto"/>
              <w:bottom w:val="single" w:sz="4" w:space="0" w:color="auto"/>
              <w:right w:val="single" w:sz="6" w:space="0" w:color="auto"/>
            </w:tcBorders>
          </w:tcPr>
          <w:p w14:paraId="59544F16" w14:textId="77777777" w:rsidR="00CA23D0" w:rsidRPr="00E30642" w:rsidRDefault="00CA23D0" w:rsidP="00CA23D0">
            <w:pPr>
              <w:pStyle w:val="Texttabulky"/>
              <w:spacing w:line="240" w:lineRule="atLeast"/>
              <w:jc w:val="both"/>
              <w:rPr>
                <w:rFonts w:cs="Arial"/>
              </w:rPr>
            </w:pPr>
            <w:r w:rsidRPr="00E30642">
              <w:rPr>
                <w:rFonts w:cs="Arial"/>
                <w:b/>
                <w:bCs/>
              </w:rPr>
              <w:t>návrh + rez.</w:t>
            </w:r>
          </w:p>
        </w:tc>
        <w:tc>
          <w:tcPr>
            <w:tcW w:w="650" w:type="dxa"/>
            <w:tcBorders>
              <w:top w:val="nil"/>
              <w:left w:val="single" w:sz="6" w:space="0" w:color="auto"/>
              <w:bottom w:val="single" w:sz="4" w:space="0" w:color="auto"/>
              <w:right w:val="single" w:sz="6" w:space="0" w:color="auto"/>
            </w:tcBorders>
          </w:tcPr>
          <w:p w14:paraId="126AE14D" w14:textId="77777777" w:rsidR="00CA23D0" w:rsidRPr="00E30642" w:rsidRDefault="00CA23D0" w:rsidP="00CA23D0">
            <w:pPr>
              <w:pStyle w:val="Texttabulky"/>
              <w:spacing w:line="240" w:lineRule="atLeast"/>
              <w:jc w:val="both"/>
              <w:rPr>
                <w:rFonts w:cs="Arial"/>
              </w:rPr>
            </w:pPr>
            <w:r w:rsidRPr="00E30642">
              <w:rPr>
                <w:rFonts w:cs="Arial"/>
                <w:b/>
                <w:bCs/>
              </w:rPr>
              <w:t xml:space="preserve"> </w:t>
            </w:r>
          </w:p>
        </w:tc>
        <w:tc>
          <w:tcPr>
            <w:tcW w:w="900" w:type="dxa"/>
            <w:tcBorders>
              <w:top w:val="nil"/>
              <w:left w:val="nil"/>
              <w:bottom w:val="single" w:sz="4" w:space="0" w:color="auto"/>
              <w:right w:val="single" w:sz="6" w:space="0" w:color="auto"/>
            </w:tcBorders>
          </w:tcPr>
          <w:p w14:paraId="29520670" w14:textId="77777777" w:rsidR="00CA23D0" w:rsidRPr="00E30642" w:rsidRDefault="00CA23D0" w:rsidP="00CA23D0">
            <w:pPr>
              <w:pStyle w:val="Zkladntext"/>
              <w:spacing w:line="240" w:lineRule="atLeast"/>
              <w:jc w:val="both"/>
              <w:rPr>
                <w:rFonts w:ascii="Arial" w:hAnsi="Arial" w:cs="Arial"/>
              </w:rPr>
            </w:pPr>
          </w:p>
        </w:tc>
      </w:tr>
      <w:tr w:rsidR="00CA23D0" w:rsidRPr="00E30642" w14:paraId="5683F493" w14:textId="77777777" w:rsidTr="00CA23D0">
        <w:tc>
          <w:tcPr>
            <w:tcW w:w="474" w:type="dxa"/>
            <w:tcBorders>
              <w:top w:val="single" w:sz="4" w:space="0" w:color="auto"/>
              <w:left w:val="single" w:sz="4" w:space="0" w:color="auto"/>
              <w:bottom w:val="single" w:sz="4" w:space="0" w:color="auto"/>
              <w:right w:val="single" w:sz="4" w:space="0" w:color="auto"/>
            </w:tcBorders>
          </w:tcPr>
          <w:p w14:paraId="53E846AC" w14:textId="77777777" w:rsidR="00CA23D0" w:rsidRPr="00E30642" w:rsidRDefault="00CA23D0" w:rsidP="00CA23D0">
            <w:pPr>
              <w:pStyle w:val="Texttabulky"/>
              <w:spacing w:line="240" w:lineRule="atLeast"/>
              <w:jc w:val="both"/>
              <w:rPr>
                <w:rFonts w:cs="Arial"/>
              </w:rPr>
            </w:pPr>
            <w:r w:rsidRPr="00E30642">
              <w:rPr>
                <w:rFonts w:cs="Arial"/>
              </w:rPr>
              <w:t>27</w:t>
            </w:r>
          </w:p>
        </w:tc>
        <w:tc>
          <w:tcPr>
            <w:tcW w:w="504" w:type="dxa"/>
            <w:tcBorders>
              <w:top w:val="single" w:sz="4" w:space="0" w:color="auto"/>
              <w:left w:val="single" w:sz="4" w:space="0" w:color="auto"/>
              <w:bottom w:val="single" w:sz="4" w:space="0" w:color="auto"/>
              <w:right w:val="single" w:sz="4" w:space="0" w:color="auto"/>
            </w:tcBorders>
          </w:tcPr>
          <w:p w14:paraId="10EC184B" w14:textId="77777777" w:rsidR="00CA23D0" w:rsidRPr="00E30642" w:rsidRDefault="00CA23D0" w:rsidP="00CA23D0">
            <w:pPr>
              <w:pStyle w:val="Texttabulky"/>
              <w:spacing w:line="240" w:lineRule="atLeast"/>
              <w:jc w:val="both"/>
              <w:rPr>
                <w:rFonts w:cs="Arial"/>
              </w:rPr>
            </w:pPr>
            <w:r w:rsidRPr="00E30642">
              <w:rPr>
                <w:rFonts w:cs="Arial"/>
              </w:rPr>
              <w:t>O</w:t>
            </w:r>
          </w:p>
        </w:tc>
        <w:tc>
          <w:tcPr>
            <w:tcW w:w="1663" w:type="dxa"/>
            <w:tcBorders>
              <w:top w:val="single" w:sz="4" w:space="0" w:color="auto"/>
              <w:left w:val="single" w:sz="4" w:space="0" w:color="auto"/>
              <w:bottom w:val="single" w:sz="4" w:space="0" w:color="auto"/>
              <w:right w:val="single" w:sz="4" w:space="0" w:color="auto"/>
            </w:tcBorders>
          </w:tcPr>
          <w:p w14:paraId="4C6CA6A0" w14:textId="77777777" w:rsidR="00CA23D0" w:rsidRPr="00E30642" w:rsidRDefault="00CA23D0" w:rsidP="00CA23D0">
            <w:pPr>
              <w:pStyle w:val="Texttabulky"/>
              <w:spacing w:line="240" w:lineRule="atLeast"/>
              <w:jc w:val="both"/>
              <w:rPr>
                <w:rFonts w:cs="Arial"/>
              </w:rPr>
            </w:pPr>
            <w:r w:rsidRPr="00E30642">
              <w:rPr>
                <w:rFonts w:cs="Arial"/>
              </w:rPr>
              <w:t>Přípeř</w:t>
            </w:r>
          </w:p>
        </w:tc>
        <w:tc>
          <w:tcPr>
            <w:tcW w:w="661" w:type="dxa"/>
            <w:tcBorders>
              <w:top w:val="single" w:sz="4" w:space="0" w:color="auto"/>
              <w:left w:val="single" w:sz="4" w:space="0" w:color="auto"/>
              <w:bottom w:val="single" w:sz="4" w:space="0" w:color="auto"/>
              <w:right w:val="single" w:sz="4" w:space="0" w:color="auto"/>
            </w:tcBorders>
          </w:tcPr>
          <w:p w14:paraId="7F41167F" w14:textId="77777777" w:rsidR="00CA23D0" w:rsidRPr="00E30642" w:rsidRDefault="00CA23D0" w:rsidP="00CA23D0">
            <w:pPr>
              <w:pStyle w:val="Texttabulky"/>
              <w:spacing w:line="240" w:lineRule="atLeast"/>
              <w:jc w:val="both"/>
              <w:rPr>
                <w:rFonts w:cs="Arial"/>
              </w:rPr>
            </w:pPr>
            <w:r w:rsidRPr="00E30642">
              <w:rPr>
                <w:rFonts w:cs="Arial"/>
              </w:rPr>
              <w:t>136</w:t>
            </w:r>
          </w:p>
        </w:tc>
        <w:tc>
          <w:tcPr>
            <w:tcW w:w="612" w:type="dxa"/>
            <w:tcBorders>
              <w:top w:val="single" w:sz="4" w:space="0" w:color="auto"/>
              <w:left w:val="single" w:sz="4" w:space="0" w:color="auto"/>
              <w:bottom w:val="single" w:sz="4" w:space="0" w:color="auto"/>
              <w:right w:val="single" w:sz="4" w:space="0" w:color="auto"/>
            </w:tcBorders>
          </w:tcPr>
          <w:p w14:paraId="7F090630"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183F499D"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4EF7CE59" w14:textId="77777777" w:rsidR="00CA23D0" w:rsidRPr="00E30642" w:rsidRDefault="00CA23D0" w:rsidP="00CA23D0">
            <w:pPr>
              <w:pStyle w:val="Zkladntext"/>
              <w:jc w:val="both"/>
              <w:rPr>
                <w:rFonts w:ascii="Arial" w:hAnsi="Arial" w:cs="Arial"/>
              </w:rPr>
            </w:pPr>
          </w:p>
        </w:tc>
        <w:tc>
          <w:tcPr>
            <w:tcW w:w="805" w:type="dxa"/>
            <w:tcBorders>
              <w:top w:val="single" w:sz="4" w:space="0" w:color="auto"/>
              <w:left w:val="single" w:sz="4" w:space="0" w:color="auto"/>
              <w:bottom w:val="single" w:sz="4" w:space="0" w:color="auto"/>
              <w:right w:val="single" w:sz="4" w:space="0" w:color="auto"/>
            </w:tcBorders>
          </w:tcPr>
          <w:p w14:paraId="13B3FCA8" w14:textId="77777777" w:rsidR="00CA23D0" w:rsidRPr="00E30642" w:rsidRDefault="00CA23D0" w:rsidP="00CA23D0">
            <w:pPr>
              <w:pStyle w:val="Texttabulky"/>
              <w:spacing w:line="240" w:lineRule="atLeast"/>
              <w:jc w:val="both"/>
              <w:rPr>
                <w:rFonts w:cs="Arial"/>
              </w:rPr>
            </w:pPr>
            <w:r w:rsidRPr="00E30642">
              <w:rPr>
                <w:rFonts w:cs="Arial"/>
              </w:rPr>
              <w:t>100</w:t>
            </w:r>
          </w:p>
        </w:tc>
        <w:tc>
          <w:tcPr>
            <w:tcW w:w="859" w:type="dxa"/>
            <w:tcBorders>
              <w:top w:val="single" w:sz="4" w:space="0" w:color="auto"/>
              <w:left w:val="single" w:sz="4" w:space="0" w:color="auto"/>
              <w:bottom w:val="single" w:sz="4" w:space="0" w:color="auto"/>
              <w:right w:val="single" w:sz="4" w:space="0" w:color="auto"/>
            </w:tcBorders>
          </w:tcPr>
          <w:p w14:paraId="7AF08814" w14:textId="77777777" w:rsidR="00CA23D0" w:rsidRPr="00E30642" w:rsidRDefault="00CA23D0" w:rsidP="00CA23D0">
            <w:pPr>
              <w:pStyle w:val="Texttabulky"/>
              <w:spacing w:line="240" w:lineRule="atLeast"/>
              <w:jc w:val="both"/>
              <w:rPr>
                <w:rFonts w:cs="Arial"/>
              </w:rPr>
            </w:pPr>
            <w:r w:rsidRPr="00E30642">
              <w:rPr>
                <w:rFonts w:cs="Arial"/>
              </w:rPr>
              <w:t>100</w:t>
            </w:r>
          </w:p>
        </w:tc>
        <w:tc>
          <w:tcPr>
            <w:tcW w:w="650" w:type="dxa"/>
            <w:tcBorders>
              <w:top w:val="single" w:sz="4" w:space="0" w:color="auto"/>
              <w:left w:val="single" w:sz="4" w:space="0" w:color="auto"/>
              <w:bottom w:val="single" w:sz="4" w:space="0" w:color="auto"/>
              <w:right w:val="single" w:sz="4" w:space="0" w:color="auto"/>
            </w:tcBorders>
          </w:tcPr>
          <w:p w14:paraId="78A1594E" w14:textId="77777777" w:rsidR="00CA23D0" w:rsidRPr="00E30642" w:rsidRDefault="00CA23D0" w:rsidP="00CA23D0">
            <w:pPr>
              <w:pStyle w:val="Texttabulky"/>
              <w:spacing w:line="240" w:lineRule="atLeast"/>
              <w:jc w:val="both"/>
              <w:rPr>
                <w:rFonts w:cs="Arial"/>
              </w:rPr>
            </w:pPr>
            <w:r w:rsidRPr="00E30642">
              <w:rPr>
                <w:rFonts w:cs="Arial"/>
              </w:rPr>
              <w:t>-36</w:t>
            </w:r>
          </w:p>
        </w:tc>
        <w:tc>
          <w:tcPr>
            <w:tcW w:w="900" w:type="dxa"/>
            <w:tcBorders>
              <w:top w:val="single" w:sz="4" w:space="0" w:color="auto"/>
              <w:left w:val="single" w:sz="4" w:space="0" w:color="auto"/>
              <w:bottom w:val="single" w:sz="4" w:space="0" w:color="auto"/>
              <w:right w:val="single" w:sz="4" w:space="0" w:color="auto"/>
            </w:tcBorders>
          </w:tcPr>
          <w:p w14:paraId="60EBF0DB" w14:textId="77777777" w:rsidR="00CA23D0" w:rsidRPr="00E30642" w:rsidRDefault="00CA23D0" w:rsidP="00CA23D0">
            <w:pPr>
              <w:pStyle w:val="Texttabulky"/>
              <w:spacing w:line="240" w:lineRule="atLeast"/>
              <w:jc w:val="both"/>
              <w:rPr>
                <w:rFonts w:cs="Arial"/>
              </w:rPr>
            </w:pPr>
            <w:r w:rsidRPr="00E30642">
              <w:rPr>
                <w:rFonts w:cs="Arial"/>
              </w:rPr>
              <w:t>-36</w:t>
            </w:r>
          </w:p>
        </w:tc>
      </w:tr>
      <w:tr w:rsidR="00CA23D0" w:rsidRPr="00E30642" w14:paraId="4C83718B" w14:textId="77777777" w:rsidTr="00CA23D0">
        <w:tc>
          <w:tcPr>
            <w:tcW w:w="474" w:type="dxa"/>
            <w:tcBorders>
              <w:top w:val="single" w:sz="4" w:space="0" w:color="auto"/>
              <w:left w:val="single" w:sz="4" w:space="0" w:color="auto"/>
              <w:bottom w:val="single" w:sz="4" w:space="0" w:color="auto"/>
              <w:right w:val="single" w:sz="4" w:space="0" w:color="auto"/>
            </w:tcBorders>
          </w:tcPr>
          <w:p w14:paraId="1F4A7E46" w14:textId="77777777" w:rsidR="00CA23D0" w:rsidRPr="00E30642" w:rsidRDefault="00CA23D0" w:rsidP="00CA23D0">
            <w:pPr>
              <w:pStyle w:val="Texttabulky"/>
              <w:spacing w:line="240" w:lineRule="atLeast"/>
              <w:jc w:val="both"/>
              <w:rPr>
                <w:rFonts w:cs="Arial"/>
              </w:rPr>
            </w:pPr>
            <w:r w:rsidRPr="00E30642">
              <w:rPr>
                <w:rFonts w:cs="Arial"/>
              </w:rPr>
              <w:t>28</w:t>
            </w:r>
          </w:p>
        </w:tc>
        <w:tc>
          <w:tcPr>
            <w:tcW w:w="504" w:type="dxa"/>
            <w:tcBorders>
              <w:top w:val="single" w:sz="4" w:space="0" w:color="auto"/>
              <w:left w:val="single" w:sz="4" w:space="0" w:color="auto"/>
              <w:bottom w:val="single" w:sz="4" w:space="0" w:color="auto"/>
              <w:right w:val="single" w:sz="4" w:space="0" w:color="auto"/>
            </w:tcBorders>
          </w:tcPr>
          <w:p w14:paraId="07DB193A" w14:textId="77777777" w:rsidR="00CA23D0" w:rsidRPr="00E30642" w:rsidRDefault="00CA23D0" w:rsidP="00CA23D0">
            <w:pPr>
              <w:pStyle w:val="Texttabulky"/>
              <w:spacing w:line="240" w:lineRule="atLeast"/>
              <w:jc w:val="both"/>
              <w:rPr>
                <w:rFonts w:cs="Arial"/>
              </w:rPr>
            </w:pPr>
            <w:r w:rsidRPr="00E30642">
              <w:rPr>
                <w:rFonts w:cs="Arial"/>
              </w:rPr>
              <w:t>O</w:t>
            </w:r>
          </w:p>
        </w:tc>
        <w:tc>
          <w:tcPr>
            <w:tcW w:w="1663" w:type="dxa"/>
            <w:tcBorders>
              <w:top w:val="single" w:sz="4" w:space="0" w:color="auto"/>
              <w:left w:val="single" w:sz="4" w:space="0" w:color="auto"/>
              <w:bottom w:val="single" w:sz="4" w:space="0" w:color="auto"/>
              <w:right w:val="single" w:sz="4" w:space="0" w:color="auto"/>
            </w:tcBorders>
          </w:tcPr>
          <w:p w14:paraId="7B6378B8" w14:textId="77777777" w:rsidR="00CA23D0" w:rsidRPr="00E30642" w:rsidRDefault="00CA23D0" w:rsidP="00CA23D0">
            <w:pPr>
              <w:pStyle w:val="Texttabulky"/>
              <w:spacing w:line="240" w:lineRule="atLeast"/>
              <w:jc w:val="both"/>
              <w:rPr>
                <w:rFonts w:cs="Arial"/>
              </w:rPr>
            </w:pPr>
            <w:r w:rsidRPr="00E30642">
              <w:rPr>
                <w:rFonts w:cs="Arial"/>
              </w:rPr>
              <w:t>Jalůvčí</w:t>
            </w:r>
          </w:p>
        </w:tc>
        <w:tc>
          <w:tcPr>
            <w:tcW w:w="661" w:type="dxa"/>
            <w:tcBorders>
              <w:top w:val="single" w:sz="4" w:space="0" w:color="auto"/>
              <w:left w:val="single" w:sz="4" w:space="0" w:color="auto"/>
              <w:bottom w:val="single" w:sz="4" w:space="0" w:color="auto"/>
              <w:right w:val="single" w:sz="4" w:space="0" w:color="auto"/>
            </w:tcBorders>
          </w:tcPr>
          <w:p w14:paraId="321B22F4" w14:textId="77777777" w:rsidR="00CA23D0" w:rsidRPr="00E30642" w:rsidRDefault="00CA23D0" w:rsidP="00CA23D0">
            <w:pPr>
              <w:pStyle w:val="Texttabulky"/>
              <w:spacing w:line="240" w:lineRule="atLeast"/>
              <w:jc w:val="both"/>
              <w:rPr>
                <w:rFonts w:cs="Arial"/>
              </w:rPr>
            </w:pPr>
            <w:r w:rsidRPr="00E30642">
              <w:rPr>
                <w:rFonts w:cs="Arial"/>
              </w:rPr>
              <w:t>460</w:t>
            </w:r>
          </w:p>
        </w:tc>
        <w:tc>
          <w:tcPr>
            <w:tcW w:w="612" w:type="dxa"/>
            <w:tcBorders>
              <w:top w:val="single" w:sz="4" w:space="0" w:color="auto"/>
              <w:left w:val="single" w:sz="4" w:space="0" w:color="auto"/>
              <w:bottom w:val="single" w:sz="4" w:space="0" w:color="auto"/>
              <w:right w:val="single" w:sz="4" w:space="0" w:color="auto"/>
            </w:tcBorders>
          </w:tcPr>
          <w:p w14:paraId="5618CB13" w14:textId="77777777" w:rsidR="00CA23D0" w:rsidRPr="00E30642" w:rsidRDefault="00CA23D0" w:rsidP="00CA23D0">
            <w:pPr>
              <w:pStyle w:val="Texttabulky"/>
              <w:spacing w:line="240" w:lineRule="atLeast"/>
              <w:jc w:val="both"/>
              <w:rPr>
                <w:rFonts w:cs="Arial"/>
              </w:rPr>
            </w:pPr>
            <w:r w:rsidRPr="00E30642">
              <w:rPr>
                <w:rFonts w:cs="Arial"/>
              </w:rPr>
              <w:t>70</w:t>
            </w:r>
          </w:p>
        </w:tc>
        <w:tc>
          <w:tcPr>
            <w:tcW w:w="615" w:type="dxa"/>
            <w:tcBorders>
              <w:top w:val="single" w:sz="4" w:space="0" w:color="auto"/>
              <w:left w:val="single" w:sz="4" w:space="0" w:color="auto"/>
              <w:bottom w:val="single" w:sz="4" w:space="0" w:color="auto"/>
              <w:right w:val="single" w:sz="4" w:space="0" w:color="auto"/>
            </w:tcBorders>
          </w:tcPr>
          <w:p w14:paraId="103368FA" w14:textId="77777777" w:rsidR="00CA23D0" w:rsidRPr="00E30642" w:rsidRDefault="00CA23D0" w:rsidP="00CA23D0">
            <w:pPr>
              <w:pStyle w:val="Zkladntext"/>
              <w:spacing w:line="240" w:lineRule="atLeas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1F4F06D4" w14:textId="77777777" w:rsidR="00CA23D0" w:rsidRPr="00E30642" w:rsidRDefault="00CA23D0" w:rsidP="00CA23D0">
            <w:pPr>
              <w:pStyle w:val="Zkladntext"/>
              <w:jc w:val="both"/>
              <w:rPr>
                <w:rFonts w:ascii="Arial" w:hAnsi="Arial" w:cs="Arial"/>
              </w:rPr>
            </w:pPr>
          </w:p>
        </w:tc>
        <w:tc>
          <w:tcPr>
            <w:tcW w:w="805" w:type="dxa"/>
            <w:tcBorders>
              <w:top w:val="single" w:sz="4" w:space="0" w:color="auto"/>
              <w:left w:val="single" w:sz="4" w:space="0" w:color="auto"/>
              <w:bottom w:val="single" w:sz="4" w:space="0" w:color="auto"/>
              <w:right w:val="single" w:sz="4" w:space="0" w:color="auto"/>
            </w:tcBorders>
          </w:tcPr>
          <w:p w14:paraId="35C5BBD9" w14:textId="77777777" w:rsidR="00CA23D0" w:rsidRPr="00E30642" w:rsidRDefault="00CA23D0" w:rsidP="00CA23D0">
            <w:pPr>
              <w:pStyle w:val="Texttabulky"/>
              <w:spacing w:line="240" w:lineRule="atLeast"/>
              <w:jc w:val="both"/>
              <w:rPr>
                <w:rFonts w:cs="Arial"/>
              </w:rPr>
            </w:pPr>
            <w:r w:rsidRPr="00E30642">
              <w:rPr>
                <w:rFonts w:cs="Arial"/>
              </w:rPr>
              <w:t>470</w:t>
            </w:r>
          </w:p>
        </w:tc>
        <w:tc>
          <w:tcPr>
            <w:tcW w:w="859" w:type="dxa"/>
            <w:tcBorders>
              <w:top w:val="single" w:sz="4" w:space="0" w:color="auto"/>
              <w:left w:val="single" w:sz="4" w:space="0" w:color="auto"/>
              <w:bottom w:val="single" w:sz="4" w:space="0" w:color="auto"/>
              <w:right w:val="single" w:sz="4" w:space="0" w:color="auto"/>
            </w:tcBorders>
          </w:tcPr>
          <w:p w14:paraId="7DC43C95" w14:textId="77777777" w:rsidR="00CA23D0" w:rsidRPr="00E30642" w:rsidRDefault="00CA23D0" w:rsidP="00CA23D0">
            <w:pPr>
              <w:pStyle w:val="Texttabulky"/>
              <w:spacing w:line="240" w:lineRule="atLeast"/>
              <w:jc w:val="both"/>
              <w:rPr>
                <w:rFonts w:cs="Arial"/>
              </w:rPr>
            </w:pPr>
            <w:r w:rsidRPr="00E30642">
              <w:rPr>
                <w:rFonts w:cs="Arial"/>
              </w:rPr>
              <w:t>470</w:t>
            </w:r>
          </w:p>
        </w:tc>
        <w:tc>
          <w:tcPr>
            <w:tcW w:w="650" w:type="dxa"/>
            <w:tcBorders>
              <w:top w:val="single" w:sz="4" w:space="0" w:color="auto"/>
              <w:left w:val="single" w:sz="4" w:space="0" w:color="auto"/>
              <w:bottom w:val="single" w:sz="4" w:space="0" w:color="auto"/>
              <w:right w:val="single" w:sz="4" w:space="0" w:color="auto"/>
            </w:tcBorders>
          </w:tcPr>
          <w:p w14:paraId="6C552EA4" w14:textId="77777777" w:rsidR="00CA23D0" w:rsidRPr="00E30642" w:rsidRDefault="00CA23D0" w:rsidP="00CA23D0">
            <w:pPr>
              <w:pStyle w:val="Texttabulky"/>
              <w:spacing w:line="240" w:lineRule="atLeast"/>
              <w:jc w:val="both"/>
              <w:rPr>
                <w:rFonts w:cs="Arial"/>
              </w:rPr>
            </w:pPr>
            <w:r w:rsidRPr="00E30642">
              <w:rPr>
                <w:rFonts w:cs="Arial"/>
              </w:rPr>
              <w:t>10</w:t>
            </w:r>
          </w:p>
        </w:tc>
        <w:tc>
          <w:tcPr>
            <w:tcW w:w="900" w:type="dxa"/>
            <w:tcBorders>
              <w:top w:val="single" w:sz="4" w:space="0" w:color="auto"/>
              <w:left w:val="single" w:sz="4" w:space="0" w:color="auto"/>
              <w:bottom w:val="single" w:sz="4" w:space="0" w:color="auto"/>
              <w:right w:val="single" w:sz="4" w:space="0" w:color="auto"/>
            </w:tcBorders>
          </w:tcPr>
          <w:p w14:paraId="1AEB3601" w14:textId="77777777" w:rsidR="00CA23D0" w:rsidRPr="00E30642" w:rsidRDefault="00CA23D0" w:rsidP="00CA23D0">
            <w:pPr>
              <w:pStyle w:val="Texttabulky"/>
              <w:spacing w:line="240" w:lineRule="atLeast"/>
              <w:jc w:val="both"/>
              <w:rPr>
                <w:rFonts w:cs="Arial"/>
              </w:rPr>
            </w:pPr>
            <w:r w:rsidRPr="00E30642">
              <w:rPr>
                <w:rFonts w:cs="Arial"/>
              </w:rPr>
              <w:t>10</w:t>
            </w:r>
          </w:p>
        </w:tc>
      </w:tr>
      <w:tr w:rsidR="00CA23D0" w:rsidRPr="00E30642" w14:paraId="13900DF7" w14:textId="77777777" w:rsidTr="00CA23D0">
        <w:tc>
          <w:tcPr>
            <w:tcW w:w="474" w:type="dxa"/>
            <w:tcBorders>
              <w:top w:val="single" w:sz="4" w:space="0" w:color="auto"/>
              <w:left w:val="single" w:sz="4" w:space="0" w:color="auto"/>
              <w:bottom w:val="single" w:sz="4" w:space="0" w:color="auto"/>
              <w:right w:val="single" w:sz="4" w:space="0" w:color="auto"/>
            </w:tcBorders>
          </w:tcPr>
          <w:p w14:paraId="69A7CFA3" w14:textId="77777777" w:rsidR="00CA23D0" w:rsidRPr="00E30642" w:rsidRDefault="00CA23D0" w:rsidP="00CA23D0">
            <w:pPr>
              <w:pStyle w:val="Texttabulky"/>
              <w:spacing w:line="240" w:lineRule="atLeast"/>
              <w:jc w:val="both"/>
              <w:rPr>
                <w:rFonts w:cs="Arial"/>
              </w:rPr>
            </w:pPr>
            <w:r w:rsidRPr="00E30642">
              <w:rPr>
                <w:rFonts w:cs="Arial"/>
              </w:rPr>
              <w:t>29</w:t>
            </w:r>
          </w:p>
        </w:tc>
        <w:tc>
          <w:tcPr>
            <w:tcW w:w="504" w:type="dxa"/>
            <w:tcBorders>
              <w:top w:val="single" w:sz="4" w:space="0" w:color="auto"/>
              <w:left w:val="single" w:sz="4" w:space="0" w:color="auto"/>
              <w:bottom w:val="single" w:sz="4" w:space="0" w:color="auto"/>
              <w:right w:val="single" w:sz="4" w:space="0" w:color="auto"/>
            </w:tcBorders>
          </w:tcPr>
          <w:p w14:paraId="65D5A0DD" w14:textId="77777777" w:rsidR="00CA23D0" w:rsidRPr="00E30642" w:rsidRDefault="00CA23D0" w:rsidP="00CA23D0">
            <w:pPr>
              <w:pStyle w:val="Texttabulky"/>
              <w:spacing w:line="240" w:lineRule="atLeast"/>
              <w:jc w:val="both"/>
              <w:rPr>
                <w:rFonts w:cs="Arial"/>
              </w:rPr>
            </w:pPr>
            <w:r w:rsidRPr="00E30642">
              <w:rPr>
                <w:rFonts w:cs="Arial"/>
              </w:rPr>
              <w:t>O</w:t>
            </w:r>
          </w:p>
        </w:tc>
        <w:tc>
          <w:tcPr>
            <w:tcW w:w="1663" w:type="dxa"/>
            <w:tcBorders>
              <w:top w:val="single" w:sz="4" w:space="0" w:color="auto"/>
              <w:left w:val="single" w:sz="4" w:space="0" w:color="auto"/>
              <w:bottom w:val="single" w:sz="4" w:space="0" w:color="auto"/>
              <w:right w:val="single" w:sz="4" w:space="0" w:color="auto"/>
            </w:tcBorders>
          </w:tcPr>
          <w:p w14:paraId="4F8939C4" w14:textId="77777777" w:rsidR="00CA23D0" w:rsidRPr="00E30642" w:rsidRDefault="00CA23D0" w:rsidP="00CA23D0">
            <w:pPr>
              <w:pStyle w:val="Texttabulky"/>
              <w:spacing w:line="240" w:lineRule="atLeast"/>
              <w:jc w:val="both"/>
              <w:rPr>
                <w:rFonts w:cs="Arial"/>
              </w:rPr>
            </w:pPr>
            <w:r w:rsidRPr="00E30642">
              <w:rPr>
                <w:rFonts w:cs="Arial"/>
              </w:rPr>
              <w:t>Žlíbek</w:t>
            </w:r>
          </w:p>
        </w:tc>
        <w:tc>
          <w:tcPr>
            <w:tcW w:w="661" w:type="dxa"/>
            <w:tcBorders>
              <w:top w:val="single" w:sz="4" w:space="0" w:color="auto"/>
              <w:left w:val="single" w:sz="4" w:space="0" w:color="auto"/>
              <w:bottom w:val="single" w:sz="4" w:space="0" w:color="auto"/>
              <w:right w:val="single" w:sz="4" w:space="0" w:color="auto"/>
            </w:tcBorders>
          </w:tcPr>
          <w:p w14:paraId="5E79FB3A" w14:textId="77777777" w:rsidR="00CA23D0" w:rsidRPr="00E30642" w:rsidRDefault="00CA23D0" w:rsidP="00CA23D0">
            <w:pPr>
              <w:pStyle w:val="Texttabulky"/>
              <w:spacing w:line="240" w:lineRule="atLeast"/>
              <w:jc w:val="both"/>
              <w:rPr>
                <w:rFonts w:cs="Arial"/>
              </w:rPr>
            </w:pPr>
            <w:r w:rsidRPr="00E30642">
              <w:rPr>
                <w:rFonts w:cs="Arial"/>
              </w:rPr>
              <w:t>391</w:t>
            </w:r>
          </w:p>
        </w:tc>
        <w:tc>
          <w:tcPr>
            <w:tcW w:w="612" w:type="dxa"/>
            <w:tcBorders>
              <w:top w:val="single" w:sz="4" w:space="0" w:color="auto"/>
              <w:left w:val="single" w:sz="4" w:space="0" w:color="auto"/>
              <w:bottom w:val="single" w:sz="4" w:space="0" w:color="auto"/>
              <w:right w:val="single" w:sz="4" w:space="0" w:color="auto"/>
            </w:tcBorders>
          </w:tcPr>
          <w:p w14:paraId="08A7D6E9" w14:textId="77777777" w:rsidR="00CA23D0" w:rsidRPr="00E30642" w:rsidRDefault="00CA23D0" w:rsidP="00CA23D0">
            <w:pPr>
              <w:pStyle w:val="Texttabulky"/>
              <w:spacing w:line="240" w:lineRule="atLeast"/>
              <w:jc w:val="both"/>
              <w:rPr>
                <w:rFonts w:cs="Arial"/>
              </w:rPr>
            </w:pPr>
            <w:r w:rsidRPr="00E30642">
              <w:rPr>
                <w:rFonts w:cs="Arial"/>
              </w:rPr>
              <w:t>285</w:t>
            </w:r>
          </w:p>
        </w:tc>
        <w:tc>
          <w:tcPr>
            <w:tcW w:w="615" w:type="dxa"/>
            <w:tcBorders>
              <w:top w:val="single" w:sz="4" w:space="0" w:color="auto"/>
              <w:left w:val="single" w:sz="4" w:space="0" w:color="auto"/>
              <w:bottom w:val="single" w:sz="4" w:space="0" w:color="auto"/>
              <w:right w:val="single" w:sz="4" w:space="0" w:color="auto"/>
            </w:tcBorders>
          </w:tcPr>
          <w:p w14:paraId="29EC5F45" w14:textId="77777777" w:rsidR="00CA23D0" w:rsidRPr="00E30642" w:rsidRDefault="00CA23D0" w:rsidP="00CA23D0">
            <w:pPr>
              <w:pStyle w:val="Zkladntext"/>
              <w:spacing w:line="240" w:lineRule="atLeas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6C0F9D80" w14:textId="77777777" w:rsidR="00CA23D0" w:rsidRPr="00E30642" w:rsidRDefault="00CA23D0" w:rsidP="00CA23D0">
            <w:pPr>
              <w:pStyle w:val="Zkladntext"/>
              <w:jc w:val="both"/>
              <w:rPr>
                <w:rFonts w:ascii="Arial" w:hAnsi="Arial" w:cs="Arial"/>
              </w:rPr>
            </w:pPr>
          </w:p>
        </w:tc>
        <w:tc>
          <w:tcPr>
            <w:tcW w:w="805" w:type="dxa"/>
            <w:tcBorders>
              <w:top w:val="single" w:sz="4" w:space="0" w:color="auto"/>
              <w:left w:val="single" w:sz="4" w:space="0" w:color="auto"/>
              <w:bottom w:val="single" w:sz="4" w:space="0" w:color="auto"/>
              <w:right w:val="single" w:sz="4" w:space="0" w:color="auto"/>
            </w:tcBorders>
          </w:tcPr>
          <w:p w14:paraId="2E1A239F" w14:textId="77777777" w:rsidR="00CA23D0" w:rsidRPr="00E30642" w:rsidRDefault="00CA23D0" w:rsidP="00CA23D0">
            <w:pPr>
              <w:pStyle w:val="Texttabulky"/>
              <w:spacing w:line="240" w:lineRule="atLeast"/>
              <w:jc w:val="both"/>
              <w:rPr>
                <w:rFonts w:cs="Arial"/>
              </w:rPr>
            </w:pPr>
            <w:r w:rsidRPr="00E30642">
              <w:rPr>
                <w:rFonts w:cs="Arial"/>
              </w:rPr>
              <w:t>635</w:t>
            </w:r>
          </w:p>
        </w:tc>
        <w:tc>
          <w:tcPr>
            <w:tcW w:w="859" w:type="dxa"/>
            <w:tcBorders>
              <w:top w:val="single" w:sz="4" w:space="0" w:color="auto"/>
              <w:left w:val="single" w:sz="4" w:space="0" w:color="auto"/>
              <w:bottom w:val="single" w:sz="4" w:space="0" w:color="auto"/>
              <w:right w:val="single" w:sz="4" w:space="0" w:color="auto"/>
            </w:tcBorders>
          </w:tcPr>
          <w:p w14:paraId="3BD568CC" w14:textId="77777777" w:rsidR="00CA23D0" w:rsidRPr="00E30642" w:rsidRDefault="00CA23D0" w:rsidP="00CA23D0">
            <w:pPr>
              <w:pStyle w:val="Texttabulky"/>
              <w:spacing w:line="240" w:lineRule="atLeast"/>
              <w:jc w:val="both"/>
              <w:rPr>
                <w:rFonts w:cs="Arial"/>
              </w:rPr>
            </w:pPr>
            <w:r w:rsidRPr="00E30642">
              <w:rPr>
                <w:rFonts w:cs="Arial"/>
              </w:rPr>
              <w:t>635</w:t>
            </w:r>
          </w:p>
        </w:tc>
        <w:tc>
          <w:tcPr>
            <w:tcW w:w="650" w:type="dxa"/>
            <w:tcBorders>
              <w:top w:val="single" w:sz="4" w:space="0" w:color="auto"/>
              <w:left w:val="single" w:sz="4" w:space="0" w:color="auto"/>
              <w:bottom w:val="single" w:sz="4" w:space="0" w:color="auto"/>
              <w:right w:val="single" w:sz="4" w:space="0" w:color="auto"/>
            </w:tcBorders>
          </w:tcPr>
          <w:p w14:paraId="05223261" w14:textId="77777777" w:rsidR="00CA23D0" w:rsidRPr="00E30642" w:rsidRDefault="00CA23D0" w:rsidP="00CA23D0">
            <w:pPr>
              <w:pStyle w:val="Texttabulky"/>
              <w:spacing w:line="240" w:lineRule="atLeast"/>
              <w:jc w:val="both"/>
              <w:rPr>
                <w:rFonts w:cs="Arial"/>
              </w:rPr>
            </w:pPr>
            <w:r w:rsidRPr="00E30642">
              <w:rPr>
                <w:rFonts w:cs="Arial"/>
              </w:rPr>
              <w:t>244</w:t>
            </w:r>
          </w:p>
        </w:tc>
        <w:tc>
          <w:tcPr>
            <w:tcW w:w="900" w:type="dxa"/>
            <w:tcBorders>
              <w:top w:val="single" w:sz="4" w:space="0" w:color="auto"/>
              <w:left w:val="single" w:sz="4" w:space="0" w:color="auto"/>
              <w:bottom w:val="single" w:sz="4" w:space="0" w:color="auto"/>
              <w:right w:val="single" w:sz="4" w:space="0" w:color="auto"/>
            </w:tcBorders>
          </w:tcPr>
          <w:p w14:paraId="0BF365AB" w14:textId="77777777" w:rsidR="00CA23D0" w:rsidRPr="00E30642" w:rsidRDefault="00CA23D0" w:rsidP="00CA23D0">
            <w:pPr>
              <w:pStyle w:val="Texttabulky"/>
              <w:spacing w:line="240" w:lineRule="atLeast"/>
              <w:jc w:val="both"/>
              <w:rPr>
                <w:rFonts w:cs="Arial"/>
              </w:rPr>
            </w:pPr>
            <w:r w:rsidRPr="00E30642">
              <w:rPr>
                <w:rFonts w:cs="Arial"/>
              </w:rPr>
              <w:t>244</w:t>
            </w:r>
          </w:p>
        </w:tc>
      </w:tr>
      <w:tr w:rsidR="00CA23D0" w:rsidRPr="00E30642" w14:paraId="66456523" w14:textId="77777777" w:rsidTr="00CA23D0">
        <w:tc>
          <w:tcPr>
            <w:tcW w:w="474" w:type="dxa"/>
            <w:tcBorders>
              <w:top w:val="single" w:sz="4" w:space="0" w:color="auto"/>
              <w:left w:val="single" w:sz="4" w:space="0" w:color="auto"/>
              <w:bottom w:val="single" w:sz="4" w:space="0" w:color="auto"/>
              <w:right w:val="single" w:sz="4" w:space="0" w:color="auto"/>
            </w:tcBorders>
          </w:tcPr>
          <w:p w14:paraId="18748317" w14:textId="77777777" w:rsidR="00CA23D0" w:rsidRPr="00E30642" w:rsidRDefault="00CA23D0" w:rsidP="00CA23D0">
            <w:pPr>
              <w:pStyle w:val="Texttabulky"/>
              <w:spacing w:line="240" w:lineRule="atLeast"/>
              <w:jc w:val="both"/>
              <w:rPr>
                <w:rFonts w:cs="Arial"/>
              </w:rPr>
            </w:pPr>
            <w:r w:rsidRPr="00E30642">
              <w:rPr>
                <w:rFonts w:cs="Arial"/>
              </w:rPr>
              <w:t>30</w:t>
            </w:r>
          </w:p>
        </w:tc>
        <w:tc>
          <w:tcPr>
            <w:tcW w:w="504" w:type="dxa"/>
            <w:tcBorders>
              <w:top w:val="single" w:sz="4" w:space="0" w:color="auto"/>
              <w:left w:val="single" w:sz="4" w:space="0" w:color="auto"/>
              <w:bottom w:val="single" w:sz="4" w:space="0" w:color="auto"/>
              <w:right w:val="single" w:sz="4" w:space="0" w:color="auto"/>
            </w:tcBorders>
          </w:tcPr>
          <w:p w14:paraId="48D5D256" w14:textId="77777777" w:rsidR="00CA23D0" w:rsidRPr="00E30642" w:rsidRDefault="00CA23D0" w:rsidP="00CA23D0">
            <w:pPr>
              <w:pStyle w:val="Texttabulky"/>
              <w:spacing w:line="240" w:lineRule="atLeast"/>
              <w:jc w:val="both"/>
              <w:rPr>
                <w:rFonts w:cs="Arial"/>
              </w:rPr>
            </w:pPr>
            <w:r w:rsidRPr="00E30642">
              <w:rPr>
                <w:rFonts w:cs="Arial"/>
              </w:rPr>
              <w:t>O</w:t>
            </w:r>
          </w:p>
        </w:tc>
        <w:tc>
          <w:tcPr>
            <w:tcW w:w="1663" w:type="dxa"/>
            <w:tcBorders>
              <w:top w:val="single" w:sz="4" w:space="0" w:color="auto"/>
              <w:left w:val="single" w:sz="4" w:space="0" w:color="auto"/>
              <w:bottom w:val="single" w:sz="4" w:space="0" w:color="auto"/>
              <w:right w:val="single" w:sz="4" w:space="0" w:color="auto"/>
            </w:tcBorders>
          </w:tcPr>
          <w:p w14:paraId="4DF303EF" w14:textId="77777777" w:rsidR="00CA23D0" w:rsidRPr="00E30642" w:rsidRDefault="00CA23D0" w:rsidP="00CA23D0">
            <w:pPr>
              <w:pStyle w:val="Texttabulky"/>
              <w:spacing w:line="240" w:lineRule="atLeast"/>
              <w:jc w:val="both"/>
              <w:rPr>
                <w:rFonts w:cs="Arial"/>
              </w:rPr>
            </w:pPr>
            <w:r w:rsidRPr="00E30642">
              <w:rPr>
                <w:rFonts w:cs="Arial"/>
              </w:rPr>
              <w:t>Dolní Oldřichov</w:t>
            </w:r>
          </w:p>
        </w:tc>
        <w:tc>
          <w:tcPr>
            <w:tcW w:w="661" w:type="dxa"/>
            <w:tcBorders>
              <w:top w:val="single" w:sz="4" w:space="0" w:color="auto"/>
              <w:left w:val="single" w:sz="4" w:space="0" w:color="auto"/>
              <w:bottom w:val="single" w:sz="4" w:space="0" w:color="auto"/>
              <w:right w:val="single" w:sz="4" w:space="0" w:color="auto"/>
            </w:tcBorders>
          </w:tcPr>
          <w:p w14:paraId="7EEAC7BB" w14:textId="77777777" w:rsidR="00CA23D0" w:rsidRPr="00E30642" w:rsidRDefault="00CA23D0" w:rsidP="00CA23D0">
            <w:pPr>
              <w:pStyle w:val="Texttabulky"/>
              <w:spacing w:line="240" w:lineRule="atLeast"/>
              <w:jc w:val="both"/>
              <w:rPr>
                <w:rFonts w:cs="Arial"/>
              </w:rPr>
            </w:pPr>
            <w:r w:rsidRPr="00E30642">
              <w:rPr>
                <w:rFonts w:cs="Arial"/>
              </w:rPr>
              <w:t>645</w:t>
            </w:r>
          </w:p>
        </w:tc>
        <w:tc>
          <w:tcPr>
            <w:tcW w:w="612" w:type="dxa"/>
            <w:tcBorders>
              <w:top w:val="single" w:sz="4" w:space="0" w:color="auto"/>
              <w:left w:val="single" w:sz="4" w:space="0" w:color="auto"/>
              <w:bottom w:val="single" w:sz="4" w:space="0" w:color="auto"/>
              <w:right w:val="single" w:sz="4" w:space="0" w:color="auto"/>
            </w:tcBorders>
          </w:tcPr>
          <w:p w14:paraId="0FFD3DF5"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013E9E93"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5A561437" w14:textId="77777777" w:rsidR="00CA23D0" w:rsidRPr="00E30642" w:rsidRDefault="00CA23D0" w:rsidP="00CA23D0">
            <w:pPr>
              <w:pStyle w:val="Zkladntext"/>
              <w:jc w:val="both"/>
              <w:rPr>
                <w:rFonts w:ascii="Arial" w:hAnsi="Arial" w:cs="Arial"/>
              </w:rPr>
            </w:pPr>
          </w:p>
        </w:tc>
        <w:tc>
          <w:tcPr>
            <w:tcW w:w="805" w:type="dxa"/>
            <w:tcBorders>
              <w:top w:val="single" w:sz="4" w:space="0" w:color="auto"/>
              <w:left w:val="single" w:sz="4" w:space="0" w:color="auto"/>
              <w:bottom w:val="single" w:sz="4" w:space="0" w:color="auto"/>
              <w:right w:val="single" w:sz="4" w:space="0" w:color="auto"/>
            </w:tcBorders>
          </w:tcPr>
          <w:p w14:paraId="33525F45" w14:textId="77777777" w:rsidR="00CA23D0" w:rsidRPr="00E30642" w:rsidRDefault="00CA23D0" w:rsidP="00CA23D0">
            <w:pPr>
              <w:pStyle w:val="Texttabulky"/>
              <w:spacing w:line="240" w:lineRule="atLeast"/>
              <w:jc w:val="both"/>
              <w:rPr>
                <w:rFonts w:cs="Arial"/>
              </w:rPr>
            </w:pPr>
            <w:r w:rsidRPr="00E30642">
              <w:rPr>
                <w:rFonts w:cs="Arial"/>
              </w:rPr>
              <w:t>600</w:t>
            </w:r>
          </w:p>
        </w:tc>
        <w:tc>
          <w:tcPr>
            <w:tcW w:w="859" w:type="dxa"/>
            <w:tcBorders>
              <w:top w:val="single" w:sz="4" w:space="0" w:color="auto"/>
              <w:left w:val="single" w:sz="4" w:space="0" w:color="auto"/>
              <w:bottom w:val="single" w:sz="4" w:space="0" w:color="auto"/>
              <w:right w:val="single" w:sz="4" w:space="0" w:color="auto"/>
            </w:tcBorders>
          </w:tcPr>
          <w:p w14:paraId="7A1D9E79" w14:textId="77777777" w:rsidR="00CA23D0" w:rsidRPr="00E30642" w:rsidRDefault="00CA23D0" w:rsidP="00CA23D0">
            <w:pPr>
              <w:pStyle w:val="Texttabulky"/>
              <w:spacing w:line="240" w:lineRule="atLeast"/>
              <w:jc w:val="both"/>
              <w:rPr>
                <w:rFonts w:cs="Arial"/>
              </w:rPr>
            </w:pPr>
            <w:r w:rsidRPr="00E30642">
              <w:rPr>
                <w:rFonts w:cs="Arial"/>
              </w:rPr>
              <w:t>600</w:t>
            </w:r>
          </w:p>
        </w:tc>
        <w:tc>
          <w:tcPr>
            <w:tcW w:w="650" w:type="dxa"/>
            <w:tcBorders>
              <w:top w:val="single" w:sz="4" w:space="0" w:color="auto"/>
              <w:left w:val="single" w:sz="4" w:space="0" w:color="auto"/>
              <w:bottom w:val="single" w:sz="4" w:space="0" w:color="auto"/>
              <w:right w:val="single" w:sz="4" w:space="0" w:color="auto"/>
            </w:tcBorders>
          </w:tcPr>
          <w:p w14:paraId="5D5581F0" w14:textId="77777777" w:rsidR="00CA23D0" w:rsidRPr="00E30642" w:rsidRDefault="00CA23D0" w:rsidP="00CA23D0">
            <w:pPr>
              <w:pStyle w:val="Texttabulky"/>
              <w:spacing w:line="240" w:lineRule="atLeast"/>
              <w:jc w:val="both"/>
              <w:rPr>
                <w:rFonts w:cs="Arial"/>
              </w:rPr>
            </w:pPr>
            <w:r w:rsidRPr="00E30642">
              <w:rPr>
                <w:rFonts w:cs="Arial"/>
              </w:rPr>
              <w:t>-45</w:t>
            </w:r>
          </w:p>
        </w:tc>
        <w:tc>
          <w:tcPr>
            <w:tcW w:w="900" w:type="dxa"/>
            <w:tcBorders>
              <w:top w:val="single" w:sz="4" w:space="0" w:color="auto"/>
              <w:left w:val="single" w:sz="4" w:space="0" w:color="auto"/>
              <w:bottom w:val="single" w:sz="4" w:space="0" w:color="auto"/>
              <w:right w:val="single" w:sz="4" w:space="0" w:color="auto"/>
            </w:tcBorders>
          </w:tcPr>
          <w:p w14:paraId="3466C94D" w14:textId="77777777" w:rsidR="00CA23D0" w:rsidRPr="00E30642" w:rsidRDefault="00CA23D0" w:rsidP="00CA23D0">
            <w:pPr>
              <w:pStyle w:val="Texttabulky"/>
              <w:spacing w:line="240" w:lineRule="atLeast"/>
              <w:jc w:val="both"/>
              <w:rPr>
                <w:rFonts w:cs="Arial"/>
              </w:rPr>
            </w:pPr>
            <w:r w:rsidRPr="00E30642">
              <w:rPr>
                <w:rFonts w:cs="Arial"/>
              </w:rPr>
              <w:t>-45</w:t>
            </w:r>
          </w:p>
        </w:tc>
      </w:tr>
      <w:tr w:rsidR="00CA23D0" w:rsidRPr="00E30642" w14:paraId="2E0A5159" w14:textId="77777777" w:rsidTr="00CA23D0">
        <w:tc>
          <w:tcPr>
            <w:tcW w:w="474" w:type="dxa"/>
            <w:tcBorders>
              <w:top w:val="single" w:sz="4" w:space="0" w:color="auto"/>
              <w:left w:val="single" w:sz="4" w:space="0" w:color="auto"/>
              <w:bottom w:val="single" w:sz="4" w:space="0" w:color="auto"/>
              <w:right w:val="single" w:sz="4" w:space="0" w:color="auto"/>
            </w:tcBorders>
          </w:tcPr>
          <w:p w14:paraId="0F45EB93" w14:textId="77777777" w:rsidR="00CA23D0" w:rsidRPr="00E30642" w:rsidRDefault="00CA23D0" w:rsidP="00CA23D0">
            <w:pPr>
              <w:pStyle w:val="Texttabulky"/>
              <w:spacing w:line="240" w:lineRule="atLeast"/>
              <w:jc w:val="both"/>
              <w:rPr>
                <w:rFonts w:cs="Arial"/>
              </w:rPr>
            </w:pPr>
            <w:r w:rsidRPr="00E30642">
              <w:rPr>
                <w:rFonts w:cs="Arial"/>
              </w:rPr>
              <w:t>31</w:t>
            </w:r>
          </w:p>
        </w:tc>
        <w:tc>
          <w:tcPr>
            <w:tcW w:w="504" w:type="dxa"/>
            <w:tcBorders>
              <w:top w:val="single" w:sz="4" w:space="0" w:color="auto"/>
              <w:left w:val="single" w:sz="4" w:space="0" w:color="auto"/>
              <w:bottom w:val="single" w:sz="4" w:space="0" w:color="auto"/>
              <w:right w:val="single" w:sz="4" w:space="0" w:color="auto"/>
            </w:tcBorders>
          </w:tcPr>
          <w:p w14:paraId="086B238C" w14:textId="77777777" w:rsidR="00CA23D0" w:rsidRPr="00E30642" w:rsidRDefault="00CA23D0" w:rsidP="00CA23D0">
            <w:pPr>
              <w:pStyle w:val="Texttabulky"/>
              <w:spacing w:line="240" w:lineRule="atLeast"/>
              <w:jc w:val="both"/>
              <w:rPr>
                <w:rFonts w:cs="Arial"/>
              </w:rPr>
            </w:pPr>
            <w:r w:rsidRPr="00E30642">
              <w:rPr>
                <w:rFonts w:cs="Arial"/>
              </w:rPr>
              <w:t>O</w:t>
            </w:r>
          </w:p>
        </w:tc>
        <w:tc>
          <w:tcPr>
            <w:tcW w:w="1663" w:type="dxa"/>
            <w:tcBorders>
              <w:top w:val="single" w:sz="4" w:space="0" w:color="auto"/>
              <w:left w:val="single" w:sz="4" w:space="0" w:color="auto"/>
              <w:bottom w:val="single" w:sz="4" w:space="0" w:color="auto"/>
              <w:right w:val="single" w:sz="4" w:space="0" w:color="auto"/>
            </w:tcBorders>
          </w:tcPr>
          <w:p w14:paraId="113F6DBB" w14:textId="77777777" w:rsidR="00CA23D0" w:rsidRPr="00E30642" w:rsidRDefault="00CA23D0" w:rsidP="00CA23D0">
            <w:pPr>
              <w:pStyle w:val="Texttabulky"/>
              <w:spacing w:line="240" w:lineRule="atLeast"/>
              <w:jc w:val="both"/>
              <w:rPr>
                <w:rFonts w:cs="Arial"/>
              </w:rPr>
            </w:pPr>
            <w:r w:rsidRPr="00E30642">
              <w:rPr>
                <w:rFonts w:cs="Arial"/>
              </w:rPr>
              <w:t>Horní Oldřichov</w:t>
            </w:r>
          </w:p>
        </w:tc>
        <w:tc>
          <w:tcPr>
            <w:tcW w:w="661" w:type="dxa"/>
            <w:tcBorders>
              <w:top w:val="single" w:sz="4" w:space="0" w:color="auto"/>
              <w:left w:val="single" w:sz="4" w:space="0" w:color="auto"/>
              <w:bottom w:val="single" w:sz="4" w:space="0" w:color="auto"/>
              <w:right w:val="single" w:sz="4" w:space="0" w:color="auto"/>
            </w:tcBorders>
          </w:tcPr>
          <w:p w14:paraId="4961576E" w14:textId="77777777" w:rsidR="00CA23D0" w:rsidRPr="00E30642" w:rsidRDefault="00CA23D0" w:rsidP="00CA23D0">
            <w:pPr>
              <w:pStyle w:val="Texttabulky"/>
              <w:spacing w:line="240" w:lineRule="atLeast"/>
              <w:jc w:val="both"/>
              <w:rPr>
                <w:rFonts w:cs="Arial"/>
              </w:rPr>
            </w:pPr>
            <w:r w:rsidRPr="00E30642">
              <w:rPr>
                <w:rFonts w:cs="Arial"/>
              </w:rPr>
              <w:t>360</w:t>
            </w:r>
          </w:p>
        </w:tc>
        <w:tc>
          <w:tcPr>
            <w:tcW w:w="612" w:type="dxa"/>
            <w:tcBorders>
              <w:top w:val="single" w:sz="4" w:space="0" w:color="auto"/>
              <w:left w:val="single" w:sz="4" w:space="0" w:color="auto"/>
              <w:bottom w:val="single" w:sz="4" w:space="0" w:color="auto"/>
              <w:right w:val="single" w:sz="4" w:space="0" w:color="auto"/>
            </w:tcBorders>
          </w:tcPr>
          <w:p w14:paraId="3663EF27"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32DA7CFE"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02F9DD3E" w14:textId="77777777" w:rsidR="00CA23D0" w:rsidRPr="00E30642" w:rsidRDefault="00CA23D0" w:rsidP="00CA23D0">
            <w:pPr>
              <w:pStyle w:val="Texttabulky"/>
              <w:spacing w:line="240" w:lineRule="atLeast"/>
              <w:jc w:val="both"/>
              <w:rPr>
                <w:rFonts w:cs="Arial"/>
              </w:rPr>
            </w:pPr>
            <w:r w:rsidRPr="00E30642">
              <w:rPr>
                <w:rFonts w:cs="Arial"/>
              </w:rPr>
              <w:t>15</w:t>
            </w:r>
          </w:p>
        </w:tc>
        <w:tc>
          <w:tcPr>
            <w:tcW w:w="805" w:type="dxa"/>
            <w:tcBorders>
              <w:top w:val="single" w:sz="4" w:space="0" w:color="auto"/>
              <w:left w:val="single" w:sz="4" w:space="0" w:color="auto"/>
              <w:bottom w:val="single" w:sz="4" w:space="0" w:color="auto"/>
              <w:right w:val="single" w:sz="4" w:space="0" w:color="auto"/>
            </w:tcBorders>
          </w:tcPr>
          <w:p w14:paraId="46A93325" w14:textId="77777777" w:rsidR="00CA23D0" w:rsidRPr="00E30642" w:rsidRDefault="00CA23D0" w:rsidP="00CA23D0">
            <w:pPr>
              <w:pStyle w:val="Texttabulky"/>
              <w:spacing w:line="240" w:lineRule="atLeast"/>
              <w:jc w:val="both"/>
              <w:rPr>
                <w:rFonts w:cs="Arial"/>
              </w:rPr>
            </w:pPr>
            <w:r w:rsidRPr="00E30642">
              <w:rPr>
                <w:rFonts w:cs="Arial"/>
              </w:rPr>
              <w:t>300</w:t>
            </w:r>
          </w:p>
        </w:tc>
        <w:tc>
          <w:tcPr>
            <w:tcW w:w="859" w:type="dxa"/>
            <w:tcBorders>
              <w:top w:val="single" w:sz="4" w:space="0" w:color="auto"/>
              <w:left w:val="single" w:sz="4" w:space="0" w:color="auto"/>
              <w:bottom w:val="single" w:sz="4" w:space="0" w:color="auto"/>
              <w:right w:val="single" w:sz="4" w:space="0" w:color="auto"/>
            </w:tcBorders>
          </w:tcPr>
          <w:p w14:paraId="641BDEF2" w14:textId="77777777" w:rsidR="00CA23D0" w:rsidRPr="00E30642" w:rsidRDefault="00CA23D0" w:rsidP="00CA23D0">
            <w:pPr>
              <w:pStyle w:val="Texttabulky"/>
              <w:spacing w:line="240" w:lineRule="atLeast"/>
              <w:jc w:val="both"/>
              <w:rPr>
                <w:rFonts w:cs="Arial"/>
              </w:rPr>
            </w:pPr>
            <w:r w:rsidRPr="00E30642">
              <w:rPr>
                <w:rFonts w:cs="Arial"/>
              </w:rPr>
              <w:t>315</w:t>
            </w:r>
          </w:p>
        </w:tc>
        <w:tc>
          <w:tcPr>
            <w:tcW w:w="650" w:type="dxa"/>
            <w:tcBorders>
              <w:top w:val="single" w:sz="4" w:space="0" w:color="auto"/>
              <w:left w:val="single" w:sz="4" w:space="0" w:color="auto"/>
              <w:bottom w:val="single" w:sz="4" w:space="0" w:color="auto"/>
              <w:right w:val="single" w:sz="4" w:space="0" w:color="auto"/>
            </w:tcBorders>
          </w:tcPr>
          <w:p w14:paraId="1C44C5DB" w14:textId="77777777" w:rsidR="00CA23D0" w:rsidRPr="00E30642" w:rsidRDefault="00CA23D0" w:rsidP="00CA23D0">
            <w:pPr>
              <w:pStyle w:val="Texttabulky"/>
              <w:spacing w:line="240" w:lineRule="atLeast"/>
              <w:jc w:val="both"/>
              <w:rPr>
                <w:rFonts w:cs="Arial"/>
              </w:rPr>
            </w:pPr>
            <w:r w:rsidRPr="00E30642">
              <w:rPr>
                <w:rFonts w:cs="Arial"/>
              </w:rPr>
              <w:t>-60</w:t>
            </w:r>
          </w:p>
        </w:tc>
        <w:tc>
          <w:tcPr>
            <w:tcW w:w="900" w:type="dxa"/>
            <w:tcBorders>
              <w:top w:val="single" w:sz="4" w:space="0" w:color="auto"/>
              <w:left w:val="single" w:sz="4" w:space="0" w:color="auto"/>
              <w:bottom w:val="single" w:sz="4" w:space="0" w:color="auto"/>
              <w:right w:val="single" w:sz="4" w:space="0" w:color="auto"/>
            </w:tcBorders>
          </w:tcPr>
          <w:p w14:paraId="1567112B" w14:textId="77777777" w:rsidR="00CA23D0" w:rsidRPr="00E30642" w:rsidRDefault="00CA23D0" w:rsidP="00CA23D0">
            <w:pPr>
              <w:pStyle w:val="Texttabulky"/>
              <w:spacing w:line="240" w:lineRule="atLeast"/>
              <w:jc w:val="both"/>
              <w:rPr>
                <w:rFonts w:cs="Arial"/>
              </w:rPr>
            </w:pPr>
            <w:r w:rsidRPr="00E30642">
              <w:rPr>
                <w:rFonts w:cs="Arial"/>
              </w:rPr>
              <w:t>-45</w:t>
            </w:r>
          </w:p>
        </w:tc>
      </w:tr>
      <w:tr w:rsidR="00CA23D0" w:rsidRPr="00E30642" w14:paraId="72697B43" w14:textId="77777777" w:rsidTr="00CA23D0">
        <w:tc>
          <w:tcPr>
            <w:tcW w:w="474" w:type="dxa"/>
            <w:tcBorders>
              <w:top w:val="single" w:sz="4" w:space="0" w:color="auto"/>
              <w:left w:val="single" w:sz="4" w:space="0" w:color="auto"/>
              <w:bottom w:val="single" w:sz="4" w:space="0" w:color="auto"/>
              <w:right w:val="single" w:sz="4" w:space="0" w:color="auto"/>
            </w:tcBorders>
          </w:tcPr>
          <w:p w14:paraId="5CDF9C0C" w14:textId="77777777" w:rsidR="00CA23D0" w:rsidRPr="00E30642" w:rsidRDefault="00CA23D0" w:rsidP="00CA23D0">
            <w:pPr>
              <w:pStyle w:val="Texttabulky"/>
              <w:spacing w:line="240" w:lineRule="atLeast"/>
              <w:jc w:val="both"/>
              <w:rPr>
                <w:rFonts w:cs="Arial"/>
              </w:rPr>
            </w:pPr>
            <w:r w:rsidRPr="00E30642">
              <w:rPr>
                <w:rFonts w:cs="Arial"/>
              </w:rPr>
              <w:t>32</w:t>
            </w:r>
          </w:p>
        </w:tc>
        <w:tc>
          <w:tcPr>
            <w:tcW w:w="504" w:type="dxa"/>
            <w:tcBorders>
              <w:top w:val="single" w:sz="4" w:space="0" w:color="auto"/>
              <w:left w:val="single" w:sz="4" w:space="0" w:color="auto"/>
              <w:bottom w:val="single" w:sz="4" w:space="0" w:color="auto"/>
              <w:right w:val="single" w:sz="4" w:space="0" w:color="auto"/>
            </w:tcBorders>
          </w:tcPr>
          <w:p w14:paraId="0972549A" w14:textId="77777777" w:rsidR="00CA23D0" w:rsidRPr="00E30642" w:rsidRDefault="00CA23D0" w:rsidP="00CA23D0">
            <w:pPr>
              <w:pStyle w:val="Texttabulky"/>
              <w:spacing w:line="240" w:lineRule="atLeast"/>
              <w:jc w:val="both"/>
              <w:rPr>
                <w:rFonts w:cs="Arial"/>
              </w:rPr>
            </w:pPr>
            <w:r w:rsidRPr="00E30642">
              <w:rPr>
                <w:rFonts w:cs="Arial"/>
              </w:rPr>
              <w:t>O</w:t>
            </w:r>
          </w:p>
        </w:tc>
        <w:tc>
          <w:tcPr>
            <w:tcW w:w="1663" w:type="dxa"/>
            <w:tcBorders>
              <w:top w:val="single" w:sz="4" w:space="0" w:color="auto"/>
              <w:left w:val="single" w:sz="4" w:space="0" w:color="auto"/>
              <w:bottom w:val="single" w:sz="4" w:space="0" w:color="auto"/>
              <w:right w:val="single" w:sz="4" w:space="0" w:color="auto"/>
            </w:tcBorders>
          </w:tcPr>
          <w:p w14:paraId="02243C11" w14:textId="77777777" w:rsidR="00CA23D0" w:rsidRPr="00E30642" w:rsidRDefault="00CA23D0" w:rsidP="00CA23D0">
            <w:pPr>
              <w:pStyle w:val="Texttabulky"/>
              <w:spacing w:line="240" w:lineRule="atLeast"/>
              <w:jc w:val="both"/>
              <w:rPr>
                <w:rFonts w:cs="Arial"/>
              </w:rPr>
            </w:pPr>
            <w:r w:rsidRPr="00E30642">
              <w:rPr>
                <w:rFonts w:cs="Arial"/>
              </w:rPr>
              <w:t>Bynov</w:t>
            </w:r>
          </w:p>
        </w:tc>
        <w:tc>
          <w:tcPr>
            <w:tcW w:w="661" w:type="dxa"/>
            <w:tcBorders>
              <w:top w:val="single" w:sz="4" w:space="0" w:color="auto"/>
              <w:left w:val="single" w:sz="4" w:space="0" w:color="auto"/>
              <w:bottom w:val="single" w:sz="4" w:space="0" w:color="auto"/>
              <w:right w:val="single" w:sz="4" w:space="0" w:color="auto"/>
            </w:tcBorders>
          </w:tcPr>
          <w:p w14:paraId="4320FA6B" w14:textId="77777777" w:rsidR="00CA23D0" w:rsidRPr="00E30642" w:rsidRDefault="00CA23D0" w:rsidP="00CA23D0">
            <w:pPr>
              <w:pStyle w:val="Texttabulky"/>
              <w:spacing w:line="240" w:lineRule="atLeast"/>
              <w:jc w:val="both"/>
              <w:rPr>
                <w:rFonts w:cs="Arial"/>
              </w:rPr>
            </w:pPr>
            <w:r w:rsidRPr="00E30642">
              <w:rPr>
                <w:rFonts w:cs="Arial"/>
              </w:rPr>
              <w:t>4 897</w:t>
            </w:r>
          </w:p>
        </w:tc>
        <w:tc>
          <w:tcPr>
            <w:tcW w:w="612" w:type="dxa"/>
            <w:tcBorders>
              <w:top w:val="single" w:sz="4" w:space="0" w:color="auto"/>
              <w:left w:val="single" w:sz="4" w:space="0" w:color="auto"/>
              <w:bottom w:val="single" w:sz="4" w:space="0" w:color="auto"/>
              <w:right w:val="single" w:sz="4" w:space="0" w:color="auto"/>
            </w:tcBorders>
          </w:tcPr>
          <w:p w14:paraId="6333B516"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51B6F225"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72745785" w14:textId="77777777" w:rsidR="00CA23D0" w:rsidRPr="00E30642" w:rsidRDefault="00CA23D0" w:rsidP="00CA23D0">
            <w:pPr>
              <w:pStyle w:val="Zkladntext"/>
              <w:jc w:val="both"/>
              <w:rPr>
                <w:rFonts w:ascii="Arial" w:hAnsi="Arial" w:cs="Arial"/>
              </w:rPr>
            </w:pPr>
          </w:p>
        </w:tc>
        <w:tc>
          <w:tcPr>
            <w:tcW w:w="805" w:type="dxa"/>
            <w:tcBorders>
              <w:top w:val="single" w:sz="4" w:space="0" w:color="auto"/>
              <w:left w:val="single" w:sz="4" w:space="0" w:color="auto"/>
              <w:bottom w:val="single" w:sz="4" w:space="0" w:color="auto"/>
              <w:right w:val="single" w:sz="4" w:space="0" w:color="auto"/>
            </w:tcBorders>
          </w:tcPr>
          <w:p w14:paraId="744E8099" w14:textId="77777777" w:rsidR="00CA23D0" w:rsidRPr="00E30642" w:rsidRDefault="00CA23D0" w:rsidP="00CA23D0">
            <w:pPr>
              <w:pStyle w:val="Texttabulky"/>
              <w:spacing w:line="240" w:lineRule="atLeast"/>
              <w:jc w:val="both"/>
              <w:rPr>
                <w:rFonts w:cs="Arial"/>
              </w:rPr>
            </w:pPr>
            <w:r w:rsidRPr="00E30642">
              <w:rPr>
                <w:rFonts w:cs="Arial"/>
              </w:rPr>
              <w:t>4 700</w:t>
            </w:r>
          </w:p>
        </w:tc>
        <w:tc>
          <w:tcPr>
            <w:tcW w:w="859" w:type="dxa"/>
            <w:tcBorders>
              <w:top w:val="single" w:sz="4" w:space="0" w:color="auto"/>
              <w:left w:val="single" w:sz="4" w:space="0" w:color="auto"/>
              <w:bottom w:val="single" w:sz="4" w:space="0" w:color="auto"/>
              <w:right w:val="single" w:sz="4" w:space="0" w:color="auto"/>
            </w:tcBorders>
          </w:tcPr>
          <w:p w14:paraId="02A87462" w14:textId="77777777" w:rsidR="00CA23D0" w:rsidRPr="00E30642" w:rsidRDefault="00CA23D0" w:rsidP="00CA23D0">
            <w:pPr>
              <w:pStyle w:val="Texttabulky"/>
              <w:spacing w:line="240" w:lineRule="atLeast"/>
              <w:jc w:val="both"/>
              <w:rPr>
                <w:rFonts w:cs="Arial"/>
              </w:rPr>
            </w:pPr>
            <w:r w:rsidRPr="00E30642">
              <w:rPr>
                <w:rFonts w:cs="Arial"/>
              </w:rPr>
              <w:t>4 700</w:t>
            </w:r>
          </w:p>
        </w:tc>
        <w:tc>
          <w:tcPr>
            <w:tcW w:w="650" w:type="dxa"/>
            <w:tcBorders>
              <w:top w:val="single" w:sz="4" w:space="0" w:color="auto"/>
              <w:left w:val="single" w:sz="4" w:space="0" w:color="auto"/>
              <w:bottom w:val="single" w:sz="4" w:space="0" w:color="auto"/>
              <w:right w:val="single" w:sz="4" w:space="0" w:color="auto"/>
            </w:tcBorders>
          </w:tcPr>
          <w:p w14:paraId="13857E63" w14:textId="77777777" w:rsidR="00CA23D0" w:rsidRPr="00E30642" w:rsidRDefault="00CA23D0" w:rsidP="00CA23D0">
            <w:pPr>
              <w:pStyle w:val="Texttabulky"/>
              <w:spacing w:line="240" w:lineRule="atLeast"/>
              <w:jc w:val="both"/>
              <w:rPr>
                <w:rFonts w:cs="Arial"/>
              </w:rPr>
            </w:pPr>
            <w:r w:rsidRPr="00E30642">
              <w:rPr>
                <w:rFonts w:cs="Arial"/>
              </w:rPr>
              <w:t>-197</w:t>
            </w:r>
          </w:p>
        </w:tc>
        <w:tc>
          <w:tcPr>
            <w:tcW w:w="900" w:type="dxa"/>
            <w:tcBorders>
              <w:top w:val="single" w:sz="4" w:space="0" w:color="auto"/>
              <w:left w:val="single" w:sz="4" w:space="0" w:color="auto"/>
              <w:bottom w:val="single" w:sz="4" w:space="0" w:color="auto"/>
              <w:right w:val="single" w:sz="4" w:space="0" w:color="auto"/>
            </w:tcBorders>
          </w:tcPr>
          <w:p w14:paraId="034E6AF2" w14:textId="77777777" w:rsidR="00CA23D0" w:rsidRPr="00E30642" w:rsidRDefault="00CA23D0" w:rsidP="00CA23D0">
            <w:pPr>
              <w:pStyle w:val="Texttabulky"/>
              <w:spacing w:line="240" w:lineRule="atLeast"/>
              <w:jc w:val="both"/>
              <w:rPr>
                <w:rFonts w:cs="Arial"/>
              </w:rPr>
            </w:pPr>
            <w:r w:rsidRPr="00E30642">
              <w:rPr>
                <w:rFonts w:cs="Arial"/>
              </w:rPr>
              <w:t>-197</w:t>
            </w:r>
          </w:p>
        </w:tc>
      </w:tr>
      <w:tr w:rsidR="00CA23D0" w:rsidRPr="00E30642" w14:paraId="34D2BD30" w14:textId="77777777" w:rsidTr="00CA23D0">
        <w:tc>
          <w:tcPr>
            <w:tcW w:w="474" w:type="dxa"/>
            <w:tcBorders>
              <w:top w:val="single" w:sz="4" w:space="0" w:color="auto"/>
              <w:left w:val="single" w:sz="4" w:space="0" w:color="auto"/>
              <w:bottom w:val="single" w:sz="4" w:space="0" w:color="auto"/>
              <w:right w:val="single" w:sz="4" w:space="0" w:color="auto"/>
            </w:tcBorders>
          </w:tcPr>
          <w:p w14:paraId="53AA9FC5" w14:textId="77777777" w:rsidR="00CA23D0" w:rsidRPr="00E30642" w:rsidRDefault="00CA23D0" w:rsidP="00CA23D0">
            <w:pPr>
              <w:pStyle w:val="Texttabulky"/>
              <w:spacing w:line="240" w:lineRule="atLeast"/>
              <w:jc w:val="both"/>
              <w:rPr>
                <w:rFonts w:cs="Arial"/>
              </w:rPr>
            </w:pPr>
            <w:r w:rsidRPr="00E30642">
              <w:rPr>
                <w:rFonts w:cs="Arial"/>
              </w:rPr>
              <w:t>33</w:t>
            </w:r>
          </w:p>
        </w:tc>
        <w:tc>
          <w:tcPr>
            <w:tcW w:w="504" w:type="dxa"/>
            <w:tcBorders>
              <w:top w:val="single" w:sz="4" w:space="0" w:color="auto"/>
              <w:left w:val="single" w:sz="4" w:space="0" w:color="auto"/>
              <w:bottom w:val="single" w:sz="4" w:space="0" w:color="auto"/>
              <w:right w:val="single" w:sz="4" w:space="0" w:color="auto"/>
            </w:tcBorders>
          </w:tcPr>
          <w:p w14:paraId="53C01EA8" w14:textId="77777777" w:rsidR="00CA23D0" w:rsidRPr="00E30642" w:rsidRDefault="00CA23D0" w:rsidP="00CA23D0">
            <w:pPr>
              <w:pStyle w:val="Texttabulky"/>
              <w:spacing w:line="240" w:lineRule="atLeast"/>
              <w:jc w:val="both"/>
              <w:rPr>
                <w:rFonts w:cs="Arial"/>
              </w:rPr>
            </w:pPr>
            <w:r w:rsidRPr="00E30642">
              <w:rPr>
                <w:rFonts w:cs="Arial"/>
              </w:rPr>
              <w:t>O</w:t>
            </w:r>
          </w:p>
        </w:tc>
        <w:tc>
          <w:tcPr>
            <w:tcW w:w="1663" w:type="dxa"/>
            <w:tcBorders>
              <w:top w:val="single" w:sz="4" w:space="0" w:color="auto"/>
              <w:left w:val="single" w:sz="4" w:space="0" w:color="auto"/>
              <w:bottom w:val="single" w:sz="4" w:space="0" w:color="auto"/>
              <w:right w:val="single" w:sz="4" w:space="0" w:color="auto"/>
            </w:tcBorders>
          </w:tcPr>
          <w:p w14:paraId="0C6507EC" w14:textId="77777777" w:rsidR="00CA23D0" w:rsidRPr="00E30642" w:rsidRDefault="00CA23D0" w:rsidP="00CA23D0">
            <w:pPr>
              <w:pStyle w:val="Texttabulky"/>
              <w:spacing w:line="240" w:lineRule="atLeast"/>
              <w:jc w:val="both"/>
              <w:rPr>
                <w:rFonts w:cs="Arial"/>
              </w:rPr>
            </w:pPr>
            <w:r w:rsidRPr="00E30642">
              <w:rPr>
                <w:rFonts w:cs="Arial"/>
              </w:rPr>
              <w:t>Bělá</w:t>
            </w:r>
          </w:p>
        </w:tc>
        <w:tc>
          <w:tcPr>
            <w:tcW w:w="661" w:type="dxa"/>
            <w:tcBorders>
              <w:top w:val="single" w:sz="4" w:space="0" w:color="auto"/>
              <w:left w:val="single" w:sz="4" w:space="0" w:color="auto"/>
              <w:bottom w:val="single" w:sz="4" w:space="0" w:color="auto"/>
              <w:right w:val="single" w:sz="4" w:space="0" w:color="auto"/>
            </w:tcBorders>
          </w:tcPr>
          <w:p w14:paraId="1AEDAA00" w14:textId="77777777" w:rsidR="00CA23D0" w:rsidRPr="00E30642" w:rsidRDefault="00CA23D0" w:rsidP="00CA23D0">
            <w:pPr>
              <w:pStyle w:val="Texttabulky"/>
              <w:spacing w:line="240" w:lineRule="atLeast"/>
              <w:jc w:val="both"/>
              <w:rPr>
                <w:rFonts w:cs="Arial"/>
              </w:rPr>
            </w:pPr>
            <w:r w:rsidRPr="00E30642">
              <w:rPr>
                <w:rFonts w:cs="Arial"/>
              </w:rPr>
              <w:t>1 182</w:t>
            </w:r>
          </w:p>
        </w:tc>
        <w:tc>
          <w:tcPr>
            <w:tcW w:w="612" w:type="dxa"/>
            <w:tcBorders>
              <w:top w:val="single" w:sz="4" w:space="0" w:color="auto"/>
              <w:left w:val="single" w:sz="4" w:space="0" w:color="auto"/>
              <w:bottom w:val="single" w:sz="4" w:space="0" w:color="auto"/>
              <w:right w:val="single" w:sz="4" w:space="0" w:color="auto"/>
            </w:tcBorders>
          </w:tcPr>
          <w:p w14:paraId="2A9F7D7F"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439E2D28" w14:textId="77777777" w:rsidR="00CA23D0" w:rsidRPr="00E30642" w:rsidRDefault="00CA23D0" w:rsidP="00CA23D0">
            <w:pPr>
              <w:pStyle w:val="Texttabulky"/>
              <w:spacing w:line="240" w:lineRule="atLeast"/>
              <w:jc w:val="both"/>
              <w:rPr>
                <w:rFonts w:cs="Arial"/>
              </w:rPr>
            </w:pPr>
            <w:r w:rsidRPr="00E30642">
              <w:rPr>
                <w:rFonts w:cs="Arial"/>
              </w:rPr>
              <w:t>150</w:t>
            </w:r>
          </w:p>
        </w:tc>
        <w:tc>
          <w:tcPr>
            <w:tcW w:w="675" w:type="dxa"/>
            <w:tcBorders>
              <w:top w:val="single" w:sz="4" w:space="0" w:color="auto"/>
              <w:left w:val="single" w:sz="4" w:space="0" w:color="auto"/>
              <w:bottom w:val="single" w:sz="4" w:space="0" w:color="auto"/>
              <w:right w:val="single" w:sz="4" w:space="0" w:color="auto"/>
            </w:tcBorders>
          </w:tcPr>
          <w:p w14:paraId="26371DF7" w14:textId="77777777" w:rsidR="00CA23D0" w:rsidRPr="00E30642" w:rsidRDefault="00CA23D0" w:rsidP="00CA23D0">
            <w:pPr>
              <w:pStyle w:val="Zkladntext"/>
              <w:jc w:val="both"/>
              <w:rPr>
                <w:rFonts w:ascii="Arial" w:hAnsi="Arial" w:cs="Arial"/>
              </w:rPr>
            </w:pPr>
          </w:p>
        </w:tc>
        <w:tc>
          <w:tcPr>
            <w:tcW w:w="805" w:type="dxa"/>
            <w:tcBorders>
              <w:top w:val="single" w:sz="4" w:space="0" w:color="auto"/>
              <w:left w:val="single" w:sz="4" w:space="0" w:color="auto"/>
              <w:bottom w:val="single" w:sz="4" w:space="0" w:color="auto"/>
              <w:right w:val="single" w:sz="4" w:space="0" w:color="auto"/>
            </w:tcBorders>
          </w:tcPr>
          <w:p w14:paraId="2B855CAE" w14:textId="77777777" w:rsidR="00CA23D0" w:rsidRPr="00E30642" w:rsidRDefault="00CA23D0" w:rsidP="00CA23D0">
            <w:pPr>
              <w:pStyle w:val="Texttabulky"/>
              <w:spacing w:line="240" w:lineRule="atLeast"/>
              <w:jc w:val="both"/>
              <w:rPr>
                <w:rFonts w:cs="Arial"/>
              </w:rPr>
            </w:pPr>
            <w:r w:rsidRPr="00E30642">
              <w:rPr>
                <w:rFonts w:cs="Arial"/>
              </w:rPr>
              <w:t>1 250</w:t>
            </w:r>
          </w:p>
        </w:tc>
        <w:tc>
          <w:tcPr>
            <w:tcW w:w="859" w:type="dxa"/>
            <w:tcBorders>
              <w:top w:val="single" w:sz="4" w:space="0" w:color="auto"/>
              <w:left w:val="single" w:sz="4" w:space="0" w:color="auto"/>
              <w:bottom w:val="single" w:sz="4" w:space="0" w:color="auto"/>
              <w:right w:val="single" w:sz="4" w:space="0" w:color="auto"/>
            </w:tcBorders>
          </w:tcPr>
          <w:p w14:paraId="364151C8" w14:textId="77777777" w:rsidR="00CA23D0" w:rsidRPr="00E30642" w:rsidRDefault="00CA23D0" w:rsidP="00CA23D0">
            <w:pPr>
              <w:pStyle w:val="Texttabulky"/>
              <w:spacing w:line="240" w:lineRule="atLeast"/>
              <w:jc w:val="both"/>
              <w:rPr>
                <w:rFonts w:cs="Arial"/>
              </w:rPr>
            </w:pPr>
            <w:r w:rsidRPr="00E30642">
              <w:rPr>
                <w:rFonts w:cs="Arial"/>
              </w:rPr>
              <w:t>1 250</w:t>
            </w:r>
          </w:p>
        </w:tc>
        <w:tc>
          <w:tcPr>
            <w:tcW w:w="650" w:type="dxa"/>
            <w:tcBorders>
              <w:top w:val="single" w:sz="4" w:space="0" w:color="auto"/>
              <w:left w:val="single" w:sz="4" w:space="0" w:color="auto"/>
              <w:bottom w:val="single" w:sz="4" w:space="0" w:color="auto"/>
              <w:right w:val="single" w:sz="4" w:space="0" w:color="auto"/>
            </w:tcBorders>
          </w:tcPr>
          <w:p w14:paraId="02EB45F1" w14:textId="77777777" w:rsidR="00CA23D0" w:rsidRPr="00E30642" w:rsidRDefault="00CA23D0" w:rsidP="00CA23D0">
            <w:pPr>
              <w:pStyle w:val="Texttabulky"/>
              <w:spacing w:line="240" w:lineRule="atLeast"/>
              <w:jc w:val="both"/>
              <w:rPr>
                <w:rFonts w:cs="Arial"/>
              </w:rPr>
            </w:pPr>
            <w:r w:rsidRPr="00E30642">
              <w:rPr>
                <w:rFonts w:cs="Arial"/>
              </w:rPr>
              <w:t>68</w:t>
            </w:r>
          </w:p>
        </w:tc>
        <w:tc>
          <w:tcPr>
            <w:tcW w:w="900" w:type="dxa"/>
            <w:tcBorders>
              <w:top w:val="single" w:sz="4" w:space="0" w:color="auto"/>
              <w:left w:val="single" w:sz="4" w:space="0" w:color="auto"/>
              <w:bottom w:val="single" w:sz="4" w:space="0" w:color="auto"/>
              <w:right w:val="single" w:sz="4" w:space="0" w:color="auto"/>
            </w:tcBorders>
          </w:tcPr>
          <w:p w14:paraId="16E6F1B0" w14:textId="77777777" w:rsidR="00CA23D0" w:rsidRPr="00E30642" w:rsidRDefault="00CA23D0" w:rsidP="00CA23D0">
            <w:pPr>
              <w:pStyle w:val="Texttabulky"/>
              <w:spacing w:line="240" w:lineRule="atLeast"/>
              <w:jc w:val="both"/>
              <w:rPr>
                <w:rFonts w:cs="Arial"/>
              </w:rPr>
            </w:pPr>
            <w:r w:rsidRPr="00E30642">
              <w:rPr>
                <w:rFonts w:cs="Arial"/>
              </w:rPr>
              <w:t>68</w:t>
            </w:r>
          </w:p>
        </w:tc>
      </w:tr>
      <w:tr w:rsidR="00CA23D0" w:rsidRPr="00E30642" w14:paraId="52D89B86" w14:textId="77777777" w:rsidTr="00CA23D0">
        <w:tc>
          <w:tcPr>
            <w:tcW w:w="474" w:type="dxa"/>
            <w:tcBorders>
              <w:top w:val="single" w:sz="4" w:space="0" w:color="auto"/>
              <w:left w:val="single" w:sz="4" w:space="0" w:color="auto"/>
              <w:bottom w:val="single" w:sz="4" w:space="0" w:color="auto"/>
              <w:right w:val="single" w:sz="4" w:space="0" w:color="auto"/>
            </w:tcBorders>
          </w:tcPr>
          <w:p w14:paraId="13B0B986" w14:textId="77777777" w:rsidR="00CA23D0" w:rsidRPr="00E30642" w:rsidRDefault="00CA23D0" w:rsidP="00CA23D0">
            <w:pPr>
              <w:pStyle w:val="Texttabulky"/>
              <w:spacing w:line="240" w:lineRule="atLeast"/>
              <w:jc w:val="both"/>
              <w:rPr>
                <w:rFonts w:cs="Arial"/>
              </w:rPr>
            </w:pPr>
            <w:r w:rsidRPr="00E30642">
              <w:rPr>
                <w:rFonts w:cs="Arial"/>
              </w:rPr>
              <w:t>64</w:t>
            </w:r>
          </w:p>
        </w:tc>
        <w:tc>
          <w:tcPr>
            <w:tcW w:w="504" w:type="dxa"/>
            <w:tcBorders>
              <w:top w:val="single" w:sz="4" w:space="0" w:color="auto"/>
              <w:left w:val="single" w:sz="4" w:space="0" w:color="auto"/>
              <w:bottom w:val="single" w:sz="4" w:space="0" w:color="auto"/>
              <w:right w:val="single" w:sz="4" w:space="0" w:color="auto"/>
            </w:tcBorders>
          </w:tcPr>
          <w:p w14:paraId="7DCA1069" w14:textId="77777777" w:rsidR="00CA23D0" w:rsidRPr="00E30642" w:rsidRDefault="00CA23D0" w:rsidP="00CA23D0">
            <w:pPr>
              <w:pStyle w:val="Texttabulky"/>
              <w:spacing w:line="240" w:lineRule="atLeast"/>
              <w:jc w:val="both"/>
              <w:rPr>
                <w:rFonts w:cs="Arial"/>
              </w:rPr>
            </w:pPr>
            <w:r w:rsidRPr="00E30642">
              <w:rPr>
                <w:rFonts w:cs="Arial"/>
              </w:rPr>
              <w:t>O</w:t>
            </w:r>
          </w:p>
        </w:tc>
        <w:tc>
          <w:tcPr>
            <w:tcW w:w="1663" w:type="dxa"/>
            <w:tcBorders>
              <w:top w:val="single" w:sz="4" w:space="0" w:color="auto"/>
              <w:left w:val="single" w:sz="4" w:space="0" w:color="auto"/>
              <w:bottom w:val="single" w:sz="4" w:space="0" w:color="auto"/>
              <w:right w:val="single" w:sz="4" w:space="0" w:color="auto"/>
            </w:tcBorders>
          </w:tcPr>
          <w:p w14:paraId="4BE477F7" w14:textId="77777777" w:rsidR="00CA23D0" w:rsidRPr="00E30642" w:rsidRDefault="00CA23D0" w:rsidP="00CA23D0">
            <w:pPr>
              <w:pStyle w:val="Texttabulky"/>
              <w:spacing w:line="240" w:lineRule="atLeast"/>
              <w:jc w:val="both"/>
              <w:rPr>
                <w:rFonts w:cs="Arial"/>
              </w:rPr>
            </w:pPr>
            <w:r w:rsidRPr="00E30642">
              <w:rPr>
                <w:rFonts w:cs="Arial"/>
              </w:rPr>
              <w:t>Nová Ves</w:t>
            </w:r>
          </w:p>
        </w:tc>
        <w:tc>
          <w:tcPr>
            <w:tcW w:w="661" w:type="dxa"/>
            <w:tcBorders>
              <w:top w:val="single" w:sz="4" w:space="0" w:color="auto"/>
              <w:left w:val="single" w:sz="4" w:space="0" w:color="auto"/>
              <w:bottom w:val="single" w:sz="4" w:space="0" w:color="auto"/>
              <w:right w:val="single" w:sz="4" w:space="0" w:color="auto"/>
            </w:tcBorders>
          </w:tcPr>
          <w:p w14:paraId="16DB2742" w14:textId="77777777" w:rsidR="00CA23D0" w:rsidRPr="00E30642" w:rsidRDefault="00CA23D0" w:rsidP="00CA23D0">
            <w:pPr>
              <w:pStyle w:val="Texttabulky"/>
              <w:spacing w:line="240" w:lineRule="atLeast"/>
              <w:jc w:val="both"/>
              <w:rPr>
                <w:rFonts w:cs="Arial"/>
              </w:rPr>
            </w:pPr>
            <w:r w:rsidRPr="00E30642">
              <w:rPr>
                <w:rFonts w:cs="Arial"/>
              </w:rPr>
              <w:t>209</w:t>
            </w:r>
          </w:p>
        </w:tc>
        <w:tc>
          <w:tcPr>
            <w:tcW w:w="612" w:type="dxa"/>
            <w:tcBorders>
              <w:top w:val="single" w:sz="4" w:space="0" w:color="auto"/>
              <w:left w:val="single" w:sz="4" w:space="0" w:color="auto"/>
              <w:bottom w:val="single" w:sz="4" w:space="0" w:color="auto"/>
              <w:right w:val="single" w:sz="4" w:space="0" w:color="auto"/>
            </w:tcBorders>
          </w:tcPr>
          <w:p w14:paraId="707DD15C"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25D5B414"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126A2E46" w14:textId="77777777" w:rsidR="00CA23D0" w:rsidRPr="00E30642" w:rsidRDefault="00CA23D0" w:rsidP="00CA23D0">
            <w:pPr>
              <w:pStyle w:val="Texttabulky"/>
              <w:spacing w:line="240" w:lineRule="atLeast"/>
              <w:jc w:val="both"/>
              <w:rPr>
                <w:rFonts w:cs="Arial"/>
              </w:rPr>
            </w:pPr>
            <w:r w:rsidRPr="00E30642">
              <w:rPr>
                <w:rFonts w:cs="Arial"/>
              </w:rPr>
              <w:t>240</w:t>
            </w:r>
          </w:p>
        </w:tc>
        <w:tc>
          <w:tcPr>
            <w:tcW w:w="805" w:type="dxa"/>
            <w:tcBorders>
              <w:top w:val="single" w:sz="4" w:space="0" w:color="auto"/>
              <w:left w:val="single" w:sz="4" w:space="0" w:color="auto"/>
              <w:bottom w:val="single" w:sz="4" w:space="0" w:color="auto"/>
              <w:right w:val="single" w:sz="4" w:space="0" w:color="auto"/>
            </w:tcBorders>
          </w:tcPr>
          <w:p w14:paraId="0E7DE017" w14:textId="77777777" w:rsidR="00CA23D0" w:rsidRPr="00E30642" w:rsidRDefault="00CA23D0" w:rsidP="00CA23D0">
            <w:pPr>
              <w:pStyle w:val="Texttabulky"/>
              <w:spacing w:line="240" w:lineRule="atLeast"/>
              <w:jc w:val="both"/>
              <w:rPr>
                <w:rFonts w:cs="Arial"/>
              </w:rPr>
            </w:pPr>
            <w:r w:rsidRPr="00E30642">
              <w:rPr>
                <w:rFonts w:cs="Arial"/>
              </w:rPr>
              <w:t>200</w:t>
            </w:r>
          </w:p>
        </w:tc>
        <w:tc>
          <w:tcPr>
            <w:tcW w:w="859" w:type="dxa"/>
            <w:tcBorders>
              <w:top w:val="single" w:sz="4" w:space="0" w:color="auto"/>
              <w:left w:val="single" w:sz="4" w:space="0" w:color="auto"/>
              <w:bottom w:val="single" w:sz="4" w:space="0" w:color="auto"/>
              <w:right w:val="single" w:sz="4" w:space="0" w:color="auto"/>
            </w:tcBorders>
          </w:tcPr>
          <w:p w14:paraId="0E0A8FBA" w14:textId="77777777" w:rsidR="00CA23D0" w:rsidRPr="00E30642" w:rsidRDefault="00CA23D0" w:rsidP="00CA23D0">
            <w:pPr>
              <w:pStyle w:val="Texttabulky"/>
              <w:spacing w:line="240" w:lineRule="atLeast"/>
              <w:jc w:val="both"/>
              <w:rPr>
                <w:rFonts w:cs="Arial"/>
              </w:rPr>
            </w:pPr>
            <w:r w:rsidRPr="00E30642">
              <w:rPr>
                <w:rFonts w:cs="Arial"/>
              </w:rPr>
              <w:t>440</w:t>
            </w:r>
          </w:p>
        </w:tc>
        <w:tc>
          <w:tcPr>
            <w:tcW w:w="650" w:type="dxa"/>
            <w:tcBorders>
              <w:top w:val="single" w:sz="4" w:space="0" w:color="auto"/>
              <w:left w:val="single" w:sz="4" w:space="0" w:color="auto"/>
              <w:bottom w:val="single" w:sz="4" w:space="0" w:color="auto"/>
              <w:right w:val="single" w:sz="4" w:space="0" w:color="auto"/>
            </w:tcBorders>
          </w:tcPr>
          <w:p w14:paraId="46387CFB" w14:textId="77777777" w:rsidR="00CA23D0" w:rsidRPr="00E30642" w:rsidRDefault="00CA23D0" w:rsidP="00CA23D0">
            <w:pPr>
              <w:pStyle w:val="Texttabulky"/>
              <w:spacing w:line="240" w:lineRule="atLeast"/>
              <w:jc w:val="both"/>
              <w:rPr>
                <w:rFonts w:cs="Arial"/>
              </w:rPr>
            </w:pPr>
            <w:r w:rsidRPr="00E30642">
              <w:rPr>
                <w:rFonts w:cs="Arial"/>
              </w:rPr>
              <w:t>-9</w:t>
            </w:r>
          </w:p>
        </w:tc>
        <w:tc>
          <w:tcPr>
            <w:tcW w:w="900" w:type="dxa"/>
            <w:tcBorders>
              <w:top w:val="single" w:sz="4" w:space="0" w:color="auto"/>
              <w:left w:val="single" w:sz="4" w:space="0" w:color="auto"/>
              <w:bottom w:val="single" w:sz="4" w:space="0" w:color="auto"/>
              <w:right w:val="single" w:sz="4" w:space="0" w:color="auto"/>
            </w:tcBorders>
          </w:tcPr>
          <w:p w14:paraId="001F7BAF" w14:textId="77777777" w:rsidR="00CA23D0" w:rsidRPr="00E30642" w:rsidRDefault="00CA23D0" w:rsidP="00CA23D0">
            <w:pPr>
              <w:pStyle w:val="Texttabulky"/>
              <w:spacing w:line="240" w:lineRule="atLeast"/>
              <w:jc w:val="both"/>
              <w:rPr>
                <w:rFonts w:cs="Arial"/>
              </w:rPr>
            </w:pPr>
            <w:r w:rsidRPr="00E30642">
              <w:rPr>
                <w:rFonts w:cs="Arial"/>
              </w:rPr>
              <w:t>231</w:t>
            </w:r>
          </w:p>
        </w:tc>
      </w:tr>
      <w:tr w:rsidR="00CA23D0" w:rsidRPr="00E30642" w14:paraId="69F90C37" w14:textId="77777777" w:rsidTr="00CA23D0">
        <w:tc>
          <w:tcPr>
            <w:tcW w:w="474" w:type="dxa"/>
            <w:tcBorders>
              <w:top w:val="single" w:sz="4" w:space="0" w:color="auto"/>
              <w:left w:val="single" w:sz="6" w:space="0" w:color="auto"/>
              <w:bottom w:val="single" w:sz="6" w:space="0" w:color="auto"/>
              <w:right w:val="nil"/>
            </w:tcBorders>
          </w:tcPr>
          <w:p w14:paraId="5AD3514D" w14:textId="77777777" w:rsidR="00CA23D0" w:rsidRPr="00E30642" w:rsidRDefault="00CA23D0" w:rsidP="00CA23D0">
            <w:pPr>
              <w:pStyle w:val="Zkladntext"/>
              <w:jc w:val="both"/>
              <w:rPr>
                <w:rFonts w:ascii="Arial" w:hAnsi="Arial" w:cs="Arial"/>
              </w:rPr>
            </w:pPr>
          </w:p>
        </w:tc>
        <w:tc>
          <w:tcPr>
            <w:tcW w:w="504" w:type="dxa"/>
            <w:tcBorders>
              <w:top w:val="single" w:sz="4" w:space="0" w:color="auto"/>
              <w:left w:val="nil"/>
              <w:bottom w:val="single" w:sz="6" w:space="0" w:color="auto"/>
              <w:right w:val="nil"/>
            </w:tcBorders>
          </w:tcPr>
          <w:p w14:paraId="77E2D53B" w14:textId="77777777" w:rsidR="00CA23D0" w:rsidRPr="00E30642" w:rsidRDefault="00CA23D0" w:rsidP="00CA23D0">
            <w:pPr>
              <w:pStyle w:val="Zkladntext"/>
              <w:jc w:val="both"/>
              <w:rPr>
                <w:rFonts w:ascii="Arial" w:hAnsi="Arial" w:cs="Arial"/>
              </w:rPr>
            </w:pPr>
          </w:p>
        </w:tc>
        <w:tc>
          <w:tcPr>
            <w:tcW w:w="1663" w:type="dxa"/>
            <w:tcBorders>
              <w:top w:val="single" w:sz="4" w:space="0" w:color="auto"/>
              <w:left w:val="single" w:sz="6" w:space="0" w:color="auto"/>
              <w:bottom w:val="single" w:sz="6" w:space="0" w:color="auto"/>
              <w:right w:val="single" w:sz="6" w:space="0" w:color="auto"/>
            </w:tcBorders>
          </w:tcPr>
          <w:p w14:paraId="541B259A" w14:textId="77777777" w:rsidR="00CA23D0" w:rsidRPr="00E30642" w:rsidRDefault="00CA23D0" w:rsidP="00CA23D0">
            <w:pPr>
              <w:pStyle w:val="Texttabulky"/>
              <w:spacing w:line="240" w:lineRule="atLeast"/>
              <w:jc w:val="both"/>
              <w:rPr>
                <w:rFonts w:cs="Arial"/>
              </w:rPr>
            </w:pPr>
            <w:r w:rsidRPr="00E30642">
              <w:rPr>
                <w:rFonts w:cs="Arial"/>
                <w:b/>
                <w:bCs/>
              </w:rPr>
              <w:t>sektor IV</w:t>
            </w:r>
          </w:p>
        </w:tc>
        <w:tc>
          <w:tcPr>
            <w:tcW w:w="661" w:type="dxa"/>
            <w:tcBorders>
              <w:top w:val="single" w:sz="4" w:space="0" w:color="auto"/>
              <w:left w:val="nil"/>
              <w:bottom w:val="single" w:sz="6" w:space="0" w:color="auto"/>
              <w:right w:val="nil"/>
            </w:tcBorders>
          </w:tcPr>
          <w:p w14:paraId="307E77D0" w14:textId="77777777" w:rsidR="00CA23D0" w:rsidRPr="00E30642" w:rsidRDefault="00CA23D0" w:rsidP="00CA23D0">
            <w:pPr>
              <w:pStyle w:val="Texttabulky"/>
              <w:spacing w:line="240" w:lineRule="atLeast"/>
              <w:jc w:val="both"/>
              <w:rPr>
                <w:rFonts w:cs="Arial"/>
              </w:rPr>
            </w:pPr>
            <w:r w:rsidRPr="00E30642">
              <w:rPr>
                <w:rFonts w:cs="Arial"/>
                <w:b/>
                <w:bCs/>
              </w:rPr>
              <w:t>8 280</w:t>
            </w:r>
          </w:p>
        </w:tc>
        <w:tc>
          <w:tcPr>
            <w:tcW w:w="612" w:type="dxa"/>
            <w:tcBorders>
              <w:top w:val="single" w:sz="4" w:space="0" w:color="auto"/>
              <w:left w:val="single" w:sz="6" w:space="0" w:color="auto"/>
              <w:bottom w:val="single" w:sz="6" w:space="0" w:color="auto"/>
              <w:right w:val="nil"/>
            </w:tcBorders>
          </w:tcPr>
          <w:p w14:paraId="7EC72B7E" w14:textId="77777777" w:rsidR="00CA23D0" w:rsidRPr="00E30642" w:rsidRDefault="00CA23D0" w:rsidP="00CA23D0">
            <w:pPr>
              <w:pStyle w:val="Texttabulky"/>
              <w:spacing w:line="240" w:lineRule="atLeast"/>
              <w:jc w:val="both"/>
              <w:rPr>
                <w:rFonts w:cs="Arial"/>
              </w:rPr>
            </w:pPr>
            <w:r w:rsidRPr="00E30642">
              <w:rPr>
                <w:rFonts w:cs="Arial"/>
                <w:b/>
                <w:bCs/>
              </w:rPr>
              <w:t>355</w:t>
            </w:r>
          </w:p>
        </w:tc>
        <w:tc>
          <w:tcPr>
            <w:tcW w:w="615" w:type="dxa"/>
            <w:tcBorders>
              <w:top w:val="single" w:sz="4" w:space="0" w:color="auto"/>
              <w:left w:val="nil"/>
              <w:bottom w:val="single" w:sz="6" w:space="0" w:color="auto"/>
              <w:right w:val="nil"/>
            </w:tcBorders>
          </w:tcPr>
          <w:p w14:paraId="39DC852C" w14:textId="77777777" w:rsidR="00CA23D0" w:rsidRPr="00E30642" w:rsidRDefault="00CA23D0" w:rsidP="00CA23D0">
            <w:pPr>
              <w:pStyle w:val="Texttabulky"/>
              <w:spacing w:line="240" w:lineRule="atLeast"/>
              <w:jc w:val="both"/>
              <w:rPr>
                <w:rFonts w:cs="Arial"/>
              </w:rPr>
            </w:pPr>
            <w:r w:rsidRPr="00E30642">
              <w:rPr>
                <w:rFonts w:cs="Arial"/>
                <w:b/>
                <w:bCs/>
              </w:rPr>
              <w:t>150</w:t>
            </w:r>
          </w:p>
        </w:tc>
        <w:tc>
          <w:tcPr>
            <w:tcW w:w="675" w:type="dxa"/>
            <w:tcBorders>
              <w:top w:val="single" w:sz="4" w:space="0" w:color="auto"/>
              <w:left w:val="nil"/>
              <w:bottom w:val="single" w:sz="6" w:space="0" w:color="auto"/>
              <w:right w:val="single" w:sz="6" w:space="0" w:color="auto"/>
            </w:tcBorders>
          </w:tcPr>
          <w:p w14:paraId="5BEDC153" w14:textId="77777777" w:rsidR="00CA23D0" w:rsidRPr="00E30642" w:rsidRDefault="00CA23D0" w:rsidP="00CA23D0">
            <w:pPr>
              <w:pStyle w:val="Texttabulky"/>
              <w:spacing w:line="240" w:lineRule="atLeast"/>
              <w:jc w:val="both"/>
              <w:rPr>
                <w:rFonts w:cs="Arial"/>
              </w:rPr>
            </w:pPr>
            <w:r w:rsidRPr="00E30642">
              <w:rPr>
                <w:rFonts w:cs="Arial"/>
                <w:b/>
                <w:bCs/>
              </w:rPr>
              <w:t>255</w:t>
            </w:r>
          </w:p>
        </w:tc>
        <w:tc>
          <w:tcPr>
            <w:tcW w:w="805" w:type="dxa"/>
            <w:tcBorders>
              <w:top w:val="single" w:sz="4" w:space="0" w:color="auto"/>
              <w:left w:val="nil"/>
              <w:bottom w:val="single" w:sz="6" w:space="0" w:color="auto"/>
              <w:right w:val="single" w:sz="4" w:space="0" w:color="auto"/>
            </w:tcBorders>
          </w:tcPr>
          <w:p w14:paraId="4B1E6CE9" w14:textId="77777777" w:rsidR="00CA23D0" w:rsidRPr="00E30642" w:rsidRDefault="00CA23D0" w:rsidP="00CA23D0">
            <w:pPr>
              <w:pStyle w:val="Texttabulky"/>
              <w:spacing w:line="240" w:lineRule="atLeast"/>
              <w:jc w:val="both"/>
              <w:rPr>
                <w:rFonts w:cs="Arial"/>
              </w:rPr>
            </w:pPr>
            <w:r w:rsidRPr="00E30642">
              <w:rPr>
                <w:rFonts w:cs="Arial"/>
                <w:b/>
                <w:bCs/>
              </w:rPr>
              <w:t>8 255</w:t>
            </w:r>
          </w:p>
        </w:tc>
        <w:tc>
          <w:tcPr>
            <w:tcW w:w="859" w:type="dxa"/>
            <w:tcBorders>
              <w:top w:val="single" w:sz="4" w:space="0" w:color="auto"/>
              <w:left w:val="single" w:sz="4" w:space="0" w:color="auto"/>
              <w:bottom w:val="single" w:sz="6" w:space="0" w:color="auto"/>
              <w:right w:val="single" w:sz="6" w:space="0" w:color="auto"/>
            </w:tcBorders>
          </w:tcPr>
          <w:p w14:paraId="694505BA" w14:textId="77777777" w:rsidR="00CA23D0" w:rsidRPr="00E30642" w:rsidRDefault="00CA23D0" w:rsidP="00CA23D0">
            <w:pPr>
              <w:pStyle w:val="Texttabulky"/>
              <w:spacing w:line="240" w:lineRule="atLeast"/>
              <w:jc w:val="both"/>
              <w:rPr>
                <w:rFonts w:cs="Arial"/>
              </w:rPr>
            </w:pPr>
            <w:r w:rsidRPr="00E30642">
              <w:rPr>
                <w:rFonts w:cs="Arial"/>
                <w:b/>
                <w:bCs/>
              </w:rPr>
              <w:t>8 510</w:t>
            </w:r>
          </w:p>
        </w:tc>
        <w:tc>
          <w:tcPr>
            <w:tcW w:w="650" w:type="dxa"/>
            <w:tcBorders>
              <w:top w:val="single" w:sz="4" w:space="0" w:color="auto"/>
              <w:left w:val="nil"/>
              <w:bottom w:val="single" w:sz="6" w:space="0" w:color="auto"/>
              <w:right w:val="single" w:sz="4" w:space="0" w:color="auto"/>
            </w:tcBorders>
          </w:tcPr>
          <w:p w14:paraId="17F99DAB" w14:textId="77777777" w:rsidR="00CA23D0" w:rsidRPr="00E30642" w:rsidRDefault="00CA23D0" w:rsidP="00CA23D0">
            <w:pPr>
              <w:pStyle w:val="Texttabulky"/>
              <w:spacing w:line="240" w:lineRule="atLeast"/>
              <w:jc w:val="both"/>
              <w:rPr>
                <w:rFonts w:cs="Arial"/>
              </w:rPr>
            </w:pPr>
            <w:r w:rsidRPr="00E30642">
              <w:rPr>
                <w:rFonts w:cs="Arial"/>
                <w:b/>
                <w:bCs/>
              </w:rPr>
              <w:t>-25</w:t>
            </w:r>
          </w:p>
        </w:tc>
        <w:tc>
          <w:tcPr>
            <w:tcW w:w="900" w:type="dxa"/>
            <w:tcBorders>
              <w:top w:val="single" w:sz="4" w:space="0" w:color="auto"/>
              <w:left w:val="single" w:sz="4" w:space="0" w:color="auto"/>
              <w:bottom w:val="single" w:sz="6" w:space="0" w:color="auto"/>
              <w:right w:val="single" w:sz="6" w:space="0" w:color="auto"/>
            </w:tcBorders>
          </w:tcPr>
          <w:p w14:paraId="5E226E94" w14:textId="77777777" w:rsidR="00CA23D0" w:rsidRPr="00E30642" w:rsidRDefault="00CA23D0" w:rsidP="00CA23D0">
            <w:pPr>
              <w:pStyle w:val="Texttabulky"/>
              <w:spacing w:line="240" w:lineRule="atLeast"/>
              <w:jc w:val="both"/>
              <w:rPr>
                <w:rFonts w:cs="Arial"/>
              </w:rPr>
            </w:pPr>
            <w:r w:rsidRPr="00E30642">
              <w:rPr>
                <w:rFonts w:cs="Arial"/>
                <w:b/>
                <w:bCs/>
              </w:rPr>
              <w:t>230</w:t>
            </w:r>
          </w:p>
        </w:tc>
      </w:tr>
    </w:tbl>
    <w:p w14:paraId="12567BC4" w14:textId="77777777" w:rsidR="00CA23D0" w:rsidRPr="00E30642" w:rsidRDefault="00CA23D0" w:rsidP="00CA23D0">
      <w:pPr>
        <w:autoSpaceDE w:val="0"/>
        <w:autoSpaceDN w:val="0"/>
        <w:adjustRightInd w:val="0"/>
        <w:jc w:val="both"/>
        <w:rPr>
          <w:rFonts w:ascii="Arial" w:hAnsi="Arial" w:cs="Arial"/>
          <w:sz w:val="20"/>
        </w:rPr>
      </w:pPr>
    </w:p>
    <w:p w14:paraId="1AD6C341"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Sektor V - Loubí, Žleb</w:t>
      </w:r>
    </w:p>
    <w:p w14:paraId="3C0D5F2B"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Tento sektor je pro město významný jinými funkcemi, ne však funkcí obytnou. Proto lze vývoj obyvatelstva v tomto území definovat jako stagnaci. Za zmínku stojí pouze to, že v Horním Žlebu byl realizován objekt pro osoby či domácnosti potýkající se s povinností placení nájemného resp. jeho neplatiči.</w:t>
      </w:r>
    </w:p>
    <w:p w14:paraId="6808C431" w14:textId="77777777" w:rsidR="00CA23D0" w:rsidRPr="00E30642" w:rsidRDefault="00CA23D0" w:rsidP="00CA23D0">
      <w:pPr>
        <w:pStyle w:val="Zkladntext"/>
        <w:spacing w:line="240" w:lineRule="atLeast"/>
        <w:jc w:val="both"/>
        <w:rPr>
          <w:rFonts w:ascii="Arial" w:hAnsi="Arial" w:cs="Arial"/>
        </w:rPr>
      </w:pPr>
    </w:p>
    <w:tbl>
      <w:tblPr>
        <w:tblW w:w="0" w:type="auto"/>
        <w:tblInd w:w="30" w:type="dxa"/>
        <w:tblLayout w:type="fixed"/>
        <w:tblCellMar>
          <w:left w:w="30" w:type="dxa"/>
          <w:right w:w="30" w:type="dxa"/>
        </w:tblCellMar>
        <w:tblLook w:val="0000" w:firstRow="0" w:lastRow="0" w:firstColumn="0" w:lastColumn="0" w:noHBand="0" w:noVBand="0"/>
      </w:tblPr>
      <w:tblGrid>
        <w:gridCol w:w="474"/>
        <w:gridCol w:w="504"/>
        <w:gridCol w:w="1909"/>
        <w:gridCol w:w="661"/>
        <w:gridCol w:w="612"/>
        <w:gridCol w:w="615"/>
        <w:gridCol w:w="675"/>
        <w:gridCol w:w="855"/>
        <w:gridCol w:w="846"/>
        <w:gridCol w:w="650"/>
        <w:gridCol w:w="708"/>
      </w:tblGrid>
      <w:tr w:rsidR="00CA23D0" w:rsidRPr="00E30642" w14:paraId="01F2C72A" w14:textId="77777777" w:rsidTr="00CA23D0">
        <w:trPr>
          <w:trHeight w:val="497"/>
        </w:trPr>
        <w:tc>
          <w:tcPr>
            <w:tcW w:w="474" w:type="dxa"/>
            <w:tcBorders>
              <w:top w:val="single" w:sz="6" w:space="0" w:color="auto"/>
              <w:left w:val="single" w:sz="6" w:space="0" w:color="auto"/>
              <w:bottom w:val="nil"/>
              <w:right w:val="nil"/>
            </w:tcBorders>
          </w:tcPr>
          <w:p w14:paraId="335B8842" w14:textId="77777777" w:rsidR="00CA23D0" w:rsidRPr="00E30642" w:rsidRDefault="00CA23D0" w:rsidP="00CA23D0">
            <w:pPr>
              <w:pStyle w:val="Texttabulky"/>
              <w:spacing w:line="240" w:lineRule="auto"/>
              <w:jc w:val="both"/>
              <w:rPr>
                <w:rFonts w:cs="Arial"/>
              </w:rPr>
            </w:pPr>
            <w:r w:rsidRPr="00E30642">
              <w:rPr>
                <w:rFonts w:cs="Arial"/>
                <w:b/>
                <w:bCs/>
              </w:rPr>
              <w:t>poř.č.UO</w:t>
            </w:r>
          </w:p>
        </w:tc>
        <w:tc>
          <w:tcPr>
            <w:tcW w:w="504" w:type="dxa"/>
            <w:tcBorders>
              <w:top w:val="single" w:sz="6" w:space="0" w:color="auto"/>
              <w:left w:val="single" w:sz="6" w:space="0" w:color="auto"/>
              <w:bottom w:val="nil"/>
              <w:right w:val="nil"/>
            </w:tcBorders>
          </w:tcPr>
          <w:p w14:paraId="59871A80" w14:textId="77777777" w:rsidR="00CA23D0" w:rsidRPr="00E30642" w:rsidRDefault="00CA23D0" w:rsidP="00CA23D0">
            <w:pPr>
              <w:pStyle w:val="Texttabulky"/>
              <w:spacing w:line="240" w:lineRule="auto"/>
              <w:jc w:val="both"/>
              <w:rPr>
                <w:rFonts w:cs="Arial"/>
              </w:rPr>
            </w:pPr>
            <w:r w:rsidRPr="00E30642">
              <w:rPr>
                <w:rFonts w:cs="Arial"/>
                <w:b/>
                <w:bCs/>
              </w:rPr>
              <w:t>char. UO</w:t>
            </w:r>
          </w:p>
        </w:tc>
        <w:tc>
          <w:tcPr>
            <w:tcW w:w="1909" w:type="dxa"/>
            <w:tcBorders>
              <w:top w:val="single" w:sz="6" w:space="0" w:color="auto"/>
              <w:left w:val="single" w:sz="6" w:space="0" w:color="auto"/>
              <w:bottom w:val="nil"/>
              <w:right w:val="single" w:sz="6" w:space="0" w:color="auto"/>
            </w:tcBorders>
          </w:tcPr>
          <w:p w14:paraId="2F108821" w14:textId="77777777" w:rsidR="00CA23D0" w:rsidRPr="00E30642" w:rsidRDefault="00CA23D0" w:rsidP="00CA23D0">
            <w:pPr>
              <w:pStyle w:val="Texttabulky"/>
              <w:spacing w:line="240" w:lineRule="auto"/>
              <w:jc w:val="both"/>
              <w:rPr>
                <w:rFonts w:cs="Arial"/>
              </w:rPr>
            </w:pPr>
            <w:r w:rsidRPr="00E30642">
              <w:rPr>
                <w:rFonts w:cs="Arial"/>
                <w:b/>
                <w:bCs/>
              </w:rPr>
              <w:t>název urbanistického obvodu</w:t>
            </w:r>
          </w:p>
        </w:tc>
        <w:tc>
          <w:tcPr>
            <w:tcW w:w="661" w:type="dxa"/>
            <w:tcBorders>
              <w:top w:val="single" w:sz="6" w:space="0" w:color="auto"/>
              <w:left w:val="nil"/>
              <w:bottom w:val="nil"/>
              <w:right w:val="nil"/>
            </w:tcBorders>
          </w:tcPr>
          <w:p w14:paraId="2843157C" w14:textId="77777777" w:rsidR="00CA23D0" w:rsidRPr="00E30642" w:rsidRDefault="00CA23D0" w:rsidP="00CA23D0">
            <w:pPr>
              <w:pStyle w:val="Texttabulky"/>
              <w:spacing w:line="240" w:lineRule="auto"/>
              <w:jc w:val="both"/>
              <w:rPr>
                <w:rFonts w:cs="Arial"/>
              </w:rPr>
            </w:pPr>
            <w:r w:rsidRPr="00E30642">
              <w:rPr>
                <w:rFonts w:cs="Arial"/>
                <w:b/>
                <w:bCs/>
              </w:rPr>
              <w:t>OB91</w:t>
            </w:r>
          </w:p>
        </w:tc>
        <w:tc>
          <w:tcPr>
            <w:tcW w:w="1902" w:type="dxa"/>
            <w:gridSpan w:val="3"/>
            <w:tcBorders>
              <w:top w:val="single" w:sz="6" w:space="0" w:color="auto"/>
              <w:left w:val="single" w:sz="6" w:space="0" w:color="auto"/>
              <w:bottom w:val="nil"/>
              <w:right w:val="single" w:sz="6" w:space="0" w:color="auto"/>
            </w:tcBorders>
          </w:tcPr>
          <w:p w14:paraId="309BF211"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nové obytné plochy</w:t>
            </w:r>
          </w:p>
        </w:tc>
        <w:tc>
          <w:tcPr>
            <w:tcW w:w="1701" w:type="dxa"/>
            <w:gridSpan w:val="2"/>
            <w:tcBorders>
              <w:top w:val="single" w:sz="6" w:space="0" w:color="auto"/>
              <w:left w:val="nil"/>
              <w:bottom w:val="nil"/>
              <w:right w:val="single" w:sz="6" w:space="0" w:color="auto"/>
            </w:tcBorders>
          </w:tcPr>
          <w:p w14:paraId="69A23C9B"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počet bydlících osob</w:t>
            </w:r>
          </w:p>
        </w:tc>
        <w:tc>
          <w:tcPr>
            <w:tcW w:w="650" w:type="dxa"/>
            <w:tcBorders>
              <w:top w:val="single" w:sz="6" w:space="0" w:color="auto"/>
              <w:left w:val="nil"/>
              <w:bottom w:val="nil"/>
              <w:right w:val="single" w:sz="6" w:space="0" w:color="auto"/>
            </w:tcBorders>
          </w:tcPr>
          <w:p w14:paraId="0FFBFCA0" w14:textId="77777777" w:rsidR="00CA23D0" w:rsidRPr="00E30642" w:rsidRDefault="00CA23D0" w:rsidP="00CA23D0">
            <w:pPr>
              <w:pStyle w:val="Texttabulky"/>
              <w:spacing w:line="240" w:lineRule="auto"/>
              <w:jc w:val="both"/>
              <w:rPr>
                <w:rFonts w:cs="Arial"/>
              </w:rPr>
            </w:pPr>
            <w:r w:rsidRPr="00E30642">
              <w:rPr>
                <w:rFonts w:cs="Arial"/>
                <w:b/>
                <w:bCs/>
              </w:rPr>
              <w:t xml:space="preserve">OB přírůstek návrh </w:t>
            </w:r>
          </w:p>
        </w:tc>
        <w:tc>
          <w:tcPr>
            <w:tcW w:w="708" w:type="dxa"/>
            <w:tcBorders>
              <w:top w:val="single" w:sz="6" w:space="0" w:color="auto"/>
              <w:left w:val="nil"/>
              <w:bottom w:val="nil"/>
              <w:right w:val="single" w:sz="6" w:space="0" w:color="auto"/>
            </w:tcBorders>
          </w:tcPr>
          <w:p w14:paraId="51173255" w14:textId="77777777" w:rsidR="00CA23D0" w:rsidRPr="00E30642" w:rsidRDefault="00CA23D0" w:rsidP="00CA23D0">
            <w:pPr>
              <w:pStyle w:val="Texttabulky"/>
              <w:spacing w:line="240" w:lineRule="auto"/>
              <w:jc w:val="both"/>
              <w:rPr>
                <w:rFonts w:cs="Arial"/>
              </w:rPr>
            </w:pPr>
            <w:r w:rsidRPr="00E30642">
              <w:rPr>
                <w:rFonts w:cs="Arial"/>
                <w:b/>
                <w:bCs/>
              </w:rPr>
              <w:t>OB přírůstek návrh +rez.</w:t>
            </w:r>
          </w:p>
        </w:tc>
      </w:tr>
      <w:tr w:rsidR="00CA23D0" w:rsidRPr="00E30642" w14:paraId="6A4BE82C" w14:textId="77777777" w:rsidTr="00CA23D0">
        <w:tc>
          <w:tcPr>
            <w:tcW w:w="474" w:type="dxa"/>
            <w:tcBorders>
              <w:top w:val="nil"/>
              <w:left w:val="single" w:sz="6" w:space="0" w:color="auto"/>
              <w:bottom w:val="single" w:sz="4" w:space="0" w:color="auto"/>
              <w:right w:val="nil"/>
            </w:tcBorders>
          </w:tcPr>
          <w:p w14:paraId="59CF5964" w14:textId="77777777" w:rsidR="00CA23D0" w:rsidRPr="00E30642" w:rsidRDefault="00CA23D0" w:rsidP="00CA23D0">
            <w:pPr>
              <w:pStyle w:val="Zkladntext"/>
              <w:jc w:val="both"/>
              <w:rPr>
                <w:rFonts w:ascii="Arial" w:hAnsi="Arial" w:cs="Arial"/>
              </w:rPr>
            </w:pPr>
          </w:p>
        </w:tc>
        <w:tc>
          <w:tcPr>
            <w:tcW w:w="504" w:type="dxa"/>
            <w:tcBorders>
              <w:top w:val="nil"/>
              <w:left w:val="single" w:sz="6" w:space="0" w:color="auto"/>
              <w:bottom w:val="single" w:sz="4" w:space="0" w:color="auto"/>
              <w:right w:val="nil"/>
            </w:tcBorders>
          </w:tcPr>
          <w:p w14:paraId="02A547F2" w14:textId="77777777" w:rsidR="00CA23D0" w:rsidRPr="00E30642" w:rsidRDefault="00CA23D0" w:rsidP="00CA23D0">
            <w:pPr>
              <w:pStyle w:val="Zkladntext"/>
              <w:jc w:val="both"/>
              <w:rPr>
                <w:rFonts w:ascii="Arial" w:hAnsi="Arial" w:cs="Arial"/>
              </w:rPr>
            </w:pPr>
          </w:p>
        </w:tc>
        <w:tc>
          <w:tcPr>
            <w:tcW w:w="1909" w:type="dxa"/>
            <w:tcBorders>
              <w:top w:val="nil"/>
              <w:left w:val="single" w:sz="6" w:space="0" w:color="auto"/>
              <w:bottom w:val="single" w:sz="4" w:space="0" w:color="auto"/>
              <w:right w:val="single" w:sz="6" w:space="0" w:color="auto"/>
            </w:tcBorders>
          </w:tcPr>
          <w:p w14:paraId="19C5C7A3" w14:textId="77777777" w:rsidR="00CA23D0" w:rsidRPr="00E30642" w:rsidRDefault="00CA23D0" w:rsidP="00CA23D0">
            <w:pPr>
              <w:pStyle w:val="Zkladntext"/>
              <w:jc w:val="both"/>
              <w:rPr>
                <w:rFonts w:ascii="Arial" w:hAnsi="Arial" w:cs="Arial"/>
              </w:rPr>
            </w:pPr>
          </w:p>
        </w:tc>
        <w:tc>
          <w:tcPr>
            <w:tcW w:w="661" w:type="dxa"/>
            <w:tcBorders>
              <w:top w:val="nil"/>
              <w:left w:val="nil"/>
              <w:bottom w:val="single" w:sz="4" w:space="0" w:color="auto"/>
              <w:right w:val="nil"/>
            </w:tcBorders>
          </w:tcPr>
          <w:p w14:paraId="53887EF3" w14:textId="77777777" w:rsidR="00CA23D0" w:rsidRPr="00E30642" w:rsidRDefault="00CA23D0" w:rsidP="00CA23D0">
            <w:pPr>
              <w:pStyle w:val="Zkladntext"/>
              <w:jc w:val="both"/>
              <w:rPr>
                <w:rFonts w:ascii="Arial" w:hAnsi="Arial" w:cs="Arial"/>
              </w:rPr>
            </w:pPr>
          </w:p>
        </w:tc>
        <w:tc>
          <w:tcPr>
            <w:tcW w:w="612" w:type="dxa"/>
            <w:tcBorders>
              <w:top w:val="single" w:sz="6" w:space="0" w:color="auto"/>
              <w:left w:val="single" w:sz="6" w:space="0" w:color="auto"/>
              <w:bottom w:val="single" w:sz="4" w:space="0" w:color="auto"/>
              <w:right w:val="single" w:sz="6" w:space="0" w:color="auto"/>
            </w:tcBorders>
          </w:tcPr>
          <w:p w14:paraId="367B0CBD" w14:textId="77777777" w:rsidR="00CA23D0" w:rsidRPr="00E30642" w:rsidRDefault="00CA23D0" w:rsidP="00CA23D0">
            <w:pPr>
              <w:pStyle w:val="Texttabulky"/>
              <w:spacing w:line="240" w:lineRule="auto"/>
              <w:jc w:val="both"/>
              <w:rPr>
                <w:rFonts w:cs="Arial"/>
              </w:rPr>
            </w:pPr>
            <w:r w:rsidRPr="00E30642">
              <w:rPr>
                <w:rFonts w:cs="Arial"/>
                <w:b/>
                <w:bCs/>
              </w:rPr>
              <w:t>OB návrh I</w:t>
            </w:r>
          </w:p>
        </w:tc>
        <w:tc>
          <w:tcPr>
            <w:tcW w:w="615" w:type="dxa"/>
            <w:tcBorders>
              <w:top w:val="single" w:sz="6" w:space="0" w:color="auto"/>
              <w:left w:val="single" w:sz="6" w:space="0" w:color="auto"/>
              <w:bottom w:val="single" w:sz="4" w:space="0" w:color="auto"/>
              <w:right w:val="single" w:sz="6" w:space="0" w:color="auto"/>
            </w:tcBorders>
          </w:tcPr>
          <w:p w14:paraId="29A48E0C" w14:textId="77777777" w:rsidR="00CA23D0" w:rsidRPr="00E30642" w:rsidRDefault="00CA23D0" w:rsidP="00CA23D0">
            <w:pPr>
              <w:pStyle w:val="Texttabulky"/>
              <w:spacing w:line="240" w:lineRule="auto"/>
              <w:jc w:val="both"/>
              <w:rPr>
                <w:rFonts w:cs="Arial"/>
              </w:rPr>
            </w:pPr>
            <w:r w:rsidRPr="00E30642">
              <w:rPr>
                <w:rFonts w:cs="Arial"/>
                <w:b/>
                <w:bCs/>
              </w:rPr>
              <w:t>OB návrh II</w:t>
            </w:r>
          </w:p>
        </w:tc>
        <w:tc>
          <w:tcPr>
            <w:tcW w:w="675" w:type="dxa"/>
            <w:tcBorders>
              <w:top w:val="single" w:sz="6" w:space="0" w:color="auto"/>
              <w:left w:val="single" w:sz="6" w:space="0" w:color="auto"/>
              <w:bottom w:val="single" w:sz="4" w:space="0" w:color="auto"/>
              <w:right w:val="single" w:sz="6" w:space="0" w:color="auto"/>
            </w:tcBorders>
          </w:tcPr>
          <w:p w14:paraId="28EA1E9A" w14:textId="77777777" w:rsidR="00CA23D0" w:rsidRPr="00E30642" w:rsidRDefault="00CA23D0" w:rsidP="00CA23D0">
            <w:pPr>
              <w:pStyle w:val="Texttabulky"/>
              <w:spacing w:line="240" w:lineRule="auto"/>
              <w:jc w:val="both"/>
              <w:rPr>
                <w:rFonts w:cs="Arial"/>
              </w:rPr>
            </w:pPr>
            <w:r w:rsidRPr="00E30642">
              <w:rPr>
                <w:rFonts w:cs="Arial"/>
                <w:b/>
                <w:bCs/>
              </w:rPr>
              <w:t>OB rezerva</w:t>
            </w:r>
          </w:p>
        </w:tc>
        <w:tc>
          <w:tcPr>
            <w:tcW w:w="855" w:type="dxa"/>
            <w:tcBorders>
              <w:top w:val="single" w:sz="6" w:space="0" w:color="auto"/>
              <w:left w:val="single" w:sz="6" w:space="0" w:color="auto"/>
              <w:bottom w:val="single" w:sz="4" w:space="0" w:color="auto"/>
              <w:right w:val="single" w:sz="6" w:space="0" w:color="auto"/>
            </w:tcBorders>
          </w:tcPr>
          <w:p w14:paraId="38A4D549" w14:textId="77777777" w:rsidR="00CA23D0" w:rsidRPr="00E30642" w:rsidRDefault="00CA23D0" w:rsidP="00CA23D0">
            <w:pPr>
              <w:pStyle w:val="Texttabulky"/>
              <w:spacing w:line="240" w:lineRule="auto"/>
              <w:jc w:val="both"/>
              <w:rPr>
                <w:rFonts w:cs="Arial"/>
              </w:rPr>
            </w:pPr>
            <w:r w:rsidRPr="00E30642">
              <w:rPr>
                <w:rFonts w:cs="Arial"/>
                <w:b/>
                <w:bCs/>
              </w:rPr>
              <w:t>návrh</w:t>
            </w:r>
          </w:p>
        </w:tc>
        <w:tc>
          <w:tcPr>
            <w:tcW w:w="846" w:type="dxa"/>
            <w:tcBorders>
              <w:top w:val="single" w:sz="6" w:space="0" w:color="auto"/>
              <w:left w:val="single" w:sz="6" w:space="0" w:color="auto"/>
              <w:bottom w:val="single" w:sz="4" w:space="0" w:color="auto"/>
              <w:right w:val="single" w:sz="6" w:space="0" w:color="auto"/>
            </w:tcBorders>
          </w:tcPr>
          <w:p w14:paraId="2697151B" w14:textId="77777777" w:rsidR="00CA23D0" w:rsidRPr="00E30642" w:rsidRDefault="00CA23D0" w:rsidP="00CA23D0">
            <w:pPr>
              <w:pStyle w:val="Texttabulky"/>
              <w:spacing w:line="240" w:lineRule="auto"/>
              <w:jc w:val="both"/>
              <w:rPr>
                <w:rFonts w:cs="Arial"/>
              </w:rPr>
            </w:pPr>
            <w:r w:rsidRPr="00E30642">
              <w:rPr>
                <w:rFonts w:cs="Arial"/>
                <w:b/>
                <w:bCs/>
              </w:rPr>
              <w:t>návrh + rez.</w:t>
            </w:r>
          </w:p>
        </w:tc>
        <w:tc>
          <w:tcPr>
            <w:tcW w:w="650" w:type="dxa"/>
            <w:tcBorders>
              <w:top w:val="nil"/>
              <w:left w:val="single" w:sz="6" w:space="0" w:color="auto"/>
              <w:bottom w:val="single" w:sz="4" w:space="0" w:color="auto"/>
              <w:right w:val="single" w:sz="6" w:space="0" w:color="auto"/>
            </w:tcBorders>
          </w:tcPr>
          <w:p w14:paraId="0D118082" w14:textId="77777777" w:rsidR="00CA23D0" w:rsidRPr="00E30642" w:rsidRDefault="00CA23D0" w:rsidP="00CA23D0">
            <w:pPr>
              <w:pStyle w:val="Zkladntext"/>
              <w:jc w:val="both"/>
              <w:rPr>
                <w:rFonts w:ascii="Arial" w:hAnsi="Arial" w:cs="Arial"/>
              </w:rPr>
            </w:pPr>
          </w:p>
        </w:tc>
        <w:tc>
          <w:tcPr>
            <w:tcW w:w="708" w:type="dxa"/>
            <w:tcBorders>
              <w:top w:val="nil"/>
              <w:left w:val="nil"/>
              <w:bottom w:val="single" w:sz="4" w:space="0" w:color="auto"/>
              <w:right w:val="single" w:sz="6" w:space="0" w:color="auto"/>
            </w:tcBorders>
          </w:tcPr>
          <w:p w14:paraId="737BAA94" w14:textId="77777777" w:rsidR="00CA23D0" w:rsidRPr="00E30642" w:rsidRDefault="00CA23D0" w:rsidP="00CA23D0">
            <w:pPr>
              <w:pStyle w:val="Zkladntext"/>
              <w:jc w:val="both"/>
              <w:rPr>
                <w:rFonts w:ascii="Arial" w:hAnsi="Arial" w:cs="Arial"/>
              </w:rPr>
            </w:pPr>
          </w:p>
        </w:tc>
      </w:tr>
      <w:tr w:rsidR="00CA23D0" w:rsidRPr="00E30642" w14:paraId="2F7F00D1" w14:textId="77777777" w:rsidTr="00CA23D0">
        <w:tc>
          <w:tcPr>
            <w:tcW w:w="474" w:type="dxa"/>
            <w:tcBorders>
              <w:top w:val="single" w:sz="4" w:space="0" w:color="auto"/>
              <w:left w:val="single" w:sz="4" w:space="0" w:color="auto"/>
              <w:bottom w:val="single" w:sz="4" w:space="0" w:color="auto"/>
              <w:right w:val="single" w:sz="4" w:space="0" w:color="auto"/>
            </w:tcBorders>
          </w:tcPr>
          <w:p w14:paraId="7D16DC49" w14:textId="77777777" w:rsidR="00CA23D0" w:rsidRPr="00E30642" w:rsidRDefault="00CA23D0" w:rsidP="00CA23D0">
            <w:pPr>
              <w:pStyle w:val="Texttabulky"/>
              <w:spacing w:line="240" w:lineRule="auto"/>
              <w:jc w:val="both"/>
              <w:rPr>
                <w:rFonts w:cs="Arial"/>
              </w:rPr>
            </w:pPr>
            <w:r w:rsidRPr="00E30642">
              <w:rPr>
                <w:rFonts w:cs="Arial"/>
              </w:rPr>
              <w:t>2</w:t>
            </w:r>
          </w:p>
        </w:tc>
        <w:tc>
          <w:tcPr>
            <w:tcW w:w="504" w:type="dxa"/>
            <w:tcBorders>
              <w:top w:val="single" w:sz="4" w:space="0" w:color="auto"/>
              <w:left w:val="single" w:sz="4" w:space="0" w:color="auto"/>
              <w:bottom w:val="single" w:sz="4" w:space="0" w:color="auto"/>
              <w:right w:val="single" w:sz="4" w:space="0" w:color="auto"/>
            </w:tcBorders>
          </w:tcPr>
          <w:p w14:paraId="710DE9D5" w14:textId="77777777" w:rsidR="00CA23D0" w:rsidRPr="00E30642" w:rsidRDefault="00CA23D0" w:rsidP="00CA23D0">
            <w:pPr>
              <w:pStyle w:val="Texttabulky"/>
              <w:spacing w:line="240" w:lineRule="auto"/>
              <w:jc w:val="both"/>
              <w:rPr>
                <w:rFonts w:cs="Arial"/>
              </w:rPr>
            </w:pPr>
            <w:r w:rsidRPr="00E30642">
              <w:rPr>
                <w:rFonts w:cs="Arial"/>
              </w:rPr>
              <w:t>D</w:t>
            </w:r>
          </w:p>
        </w:tc>
        <w:tc>
          <w:tcPr>
            <w:tcW w:w="1909" w:type="dxa"/>
            <w:tcBorders>
              <w:top w:val="single" w:sz="4" w:space="0" w:color="auto"/>
              <w:left w:val="single" w:sz="4" w:space="0" w:color="auto"/>
              <w:bottom w:val="single" w:sz="4" w:space="0" w:color="auto"/>
              <w:right w:val="single" w:sz="4" w:space="0" w:color="auto"/>
            </w:tcBorders>
          </w:tcPr>
          <w:p w14:paraId="3DD08066" w14:textId="77777777" w:rsidR="00CA23D0" w:rsidRPr="00E30642" w:rsidRDefault="00CA23D0" w:rsidP="00CA23D0">
            <w:pPr>
              <w:pStyle w:val="Texttabulky"/>
              <w:spacing w:line="240" w:lineRule="auto"/>
              <w:jc w:val="both"/>
              <w:rPr>
                <w:rFonts w:cs="Arial"/>
              </w:rPr>
            </w:pPr>
            <w:r w:rsidRPr="00E30642">
              <w:rPr>
                <w:rFonts w:cs="Arial"/>
              </w:rPr>
              <w:t>Přístav</w:t>
            </w:r>
          </w:p>
        </w:tc>
        <w:tc>
          <w:tcPr>
            <w:tcW w:w="661" w:type="dxa"/>
            <w:tcBorders>
              <w:top w:val="single" w:sz="4" w:space="0" w:color="auto"/>
              <w:left w:val="single" w:sz="4" w:space="0" w:color="auto"/>
              <w:bottom w:val="single" w:sz="4" w:space="0" w:color="auto"/>
              <w:right w:val="single" w:sz="4" w:space="0" w:color="auto"/>
            </w:tcBorders>
          </w:tcPr>
          <w:p w14:paraId="02DA91D0" w14:textId="77777777" w:rsidR="00CA23D0" w:rsidRPr="00E30642" w:rsidRDefault="00CA23D0" w:rsidP="00CA23D0">
            <w:pPr>
              <w:pStyle w:val="Texttabulky"/>
              <w:spacing w:line="240" w:lineRule="auto"/>
              <w:jc w:val="both"/>
              <w:rPr>
                <w:rFonts w:cs="Arial"/>
              </w:rPr>
            </w:pPr>
            <w:r w:rsidRPr="00E30642">
              <w:rPr>
                <w:rFonts w:cs="Arial"/>
              </w:rPr>
              <w:t>0</w:t>
            </w:r>
          </w:p>
        </w:tc>
        <w:tc>
          <w:tcPr>
            <w:tcW w:w="612" w:type="dxa"/>
            <w:tcBorders>
              <w:top w:val="single" w:sz="4" w:space="0" w:color="auto"/>
              <w:left w:val="single" w:sz="4" w:space="0" w:color="auto"/>
              <w:bottom w:val="single" w:sz="4" w:space="0" w:color="auto"/>
              <w:right w:val="single" w:sz="4" w:space="0" w:color="auto"/>
            </w:tcBorders>
          </w:tcPr>
          <w:p w14:paraId="16189A5A"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48E6349B"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427CFAD8"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4FB016D2" w14:textId="77777777" w:rsidR="00CA23D0" w:rsidRPr="00E30642" w:rsidRDefault="00CA23D0" w:rsidP="00CA23D0">
            <w:pPr>
              <w:pStyle w:val="Texttabulky"/>
              <w:spacing w:line="240" w:lineRule="auto"/>
              <w:jc w:val="both"/>
              <w:rPr>
                <w:rFonts w:cs="Arial"/>
              </w:rPr>
            </w:pPr>
            <w:r w:rsidRPr="00E30642">
              <w:rPr>
                <w:rFonts w:cs="Arial"/>
              </w:rPr>
              <w:t>0</w:t>
            </w:r>
          </w:p>
        </w:tc>
        <w:tc>
          <w:tcPr>
            <w:tcW w:w="846" w:type="dxa"/>
            <w:tcBorders>
              <w:top w:val="single" w:sz="4" w:space="0" w:color="auto"/>
              <w:left w:val="single" w:sz="4" w:space="0" w:color="auto"/>
              <w:bottom w:val="single" w:sz="4" w:space="0" w:color="auto"/>
              <w:right w:val="single" w:sz="4" w:space="0" w:color="auto"/>
            </w:tcBorders>
          </w:tcPr>
          <w:p w14:paraId="316854C6" w14:textId="77777777" w:rsidR="00CA23D0" w:rsidRPr="00E30642" w:rsidRDefault="00CA23D0" w:rsidP="00CA23D0">
            <w:pPr>
              <w:pStyle w:val="Texttabulky"/>
              <w:spacing w:line="240" w:lineRule="auto"/>
              <w:jc w:val="both"/>
              <w:rPr>
                <w:rFonts w:cs="Arial"/>
              </w:rPr>
            </w:pPr>
            <w:r w:rsidRPr="00E30642">
              <w:rPr>
                <w:rFonts w:cs="Arial"/>
              </w:rPr>
              <w:t>0</w:t>
            </w:r>
          </w:p>
        </w:tc>
        <w:tc>
          <w:tcPr>
            <w:tcW w:w="650" w:type="dxa"/>
            <w:tcBorders>
              <w:top w:val="single" w:sz="4" w:space="0" w:color="auto"/>
              <w:left w:val="single" w:sz="4" w:space="0" w:color="auto"/>
              <w:bottom w:val="single" w:sz="4" w:space="0" w:color="auto"/>
              <w:right w:val="single" w:sz="4" w:space="0" w:color="auto"/>
            </w:tcBorders>
          </w:tcPr>
          <w:p w14:paraId="0A890BA5" w14:textId="77777777" w:rsidR="00CA23D0" w:rsidRPr="00E30642" w:rsidRDefault="00CA23D0" w:rsidP="00CA23D0">
            <w:pPr>
              <w:pStyle w:val="Texttabulky"/>
              <w:spacing w:line="240" w:lineRule="auto"/>
              <w:jc w:val="both"/>
              <w:rPr>
                <w:rFonts w:cs="Arial"/>
              </w:rPr>
            </w:pPr>
            <w:r w:rsidRPr="00E30642">
              <w:rPr>
                <w:rFonts w:cs="Arial"/>
              </w:rPr>
              <w:t>0</w:t>
            </w:r>
          </w:p>
        </w:tc>
        <w:tc>
          <w:tcPr>
            <w:tcW w:w="708" w:type="dxa"/>
            <w:tcBorders>
              <w:top w:val="single" w:sz="4" w:space="0" w:color="auto"/>
              <w:left w:val="single" w:sz="4" w:space="0" w:color="auto"/>
              <w:bottom w:val="single" w:sz="4" w:space="0" w:color="auto"/>
              <w:right w:val="single" w:sz="4" w:space="0" w:color="auto"/>
            </w:tcBorders>
          </w:tcPr>
          <w:p w14:paraId="46907901" w14:textId="77777777" w:rsidR="00CA23D0" w:rsidRPr="00E30642" w:rsidRDefault="00CA23D0" w:rsidP="00CA23D0">
            <w:pPr>
              <w:pStyle w:val="Texttabulky"/>
              <w:spacing w:line="240" w:lineRule="auto"/>
              <w:jc w:val="both"/>
              <w:rPr>
                <w:rFonts w:cs="Arial"/>
              </w:rPr>
            </w:pPr>
            <w:r w:rsidRPr="00E30642">
              <w:rPr>
                <w:rFonts w:cs="Arial"/>
              </w:rPr>
              <w:t>0</w:t>
            </w:r>
          </w:p>
        </w:tc>
      </w:tr>
      <w:tr w:rsidR="00CA23D0" w:rsidRPr="00E30642" w14:paraId="00DFC503" w14:textId="77777777" w:rsidTr="00CA23D0">
        <w:tc>
          <w:tcPr>
            <w:tcW w:w="474" w:type="dxa"/>
            <w:tcBorders>
              <w:top w:val="single" w:sz="4" w:space="0" w:color="auto"/>
              <w:left w:val="single" w:sz="4" w:space="0" w:color="auto"/>
              <w:bottom w:val="single" w:sz="4" w:space="0" w:color="auto"/>
              <w:right w:val="single" w:sz="4" w:space="0" w:color="auto"/>
            </w:tcBorders>
          </w:tcPr>
          <w:p w14:paraId="364F2985" w14:textId="77777777" w:rsidR="00CA23D0" w:rsidRPr="00E30642" w:rsidRDefault="00CA23D0" w:rsidP="00CA23D0">
            <w:pPr>
              <w:pStyle w:val="Texttabulky"/>
              <w:spacing w:line="240" w:lineRule="auto"/>
              <w:jc w:val="both"/>
              <w:rPr>
                <w:rFonts w:cs="Arial"/>
              </w:rPr>
            </w:pPr>
            <w:r w:rsidRPr="00E30642">
              <w:rPr>
                <w:rFonts w:cs="Arial"/>
              </w:rPr>
              <w:t>3</w:t>
            </w:r>
          </w:p>
        </w:tc>
        <w:tc>
          <w:tcPr>
            <w:tcW w:w="504" w:type="dxa"/>
            <w:tcBorders>
              <w:top w:val="single" w:sz="4" w:space="0" w:color="auto"/>
              <w:left w:val="single" w:sz="4" w:space="0" w:color="auto"/>
              <w:bottom w:val="single" w:sz="4" w:space="0" w:color="auto"/>
              <w:right w:val="single" w:sz="4" w:space="0" w:color="auto"/>
            </w:tcBorders>
          </w:tcPr>
          <w:p w14:paraId="15F893C2" w14:textId="77777777" w:rsidR="00CA23D0" w:rsidRPr="00E30642" w:rsidRDefault="00CA23D0" w:rsidP="00CA23D0">
            <w:pPr>
              <w:pStyle w:val="Texttabulky"/>
              <w:spacing w:line="240" w:lineRule="auto"/>
              <w:jc w:val="both"/>
              <w:rPr>
                <w:rFonts w:cs="Arial"/>
              </w:rPr>
            </w:pPr>
            <w:r w:rsidRPr="00E30642">
              <w:rPr>
                <w:rFonts w:cs="Arial"/>
              </w:rPr>
              <w:t>L</w:t>
            </w:r>
          </w:p>
        </w:tc>
        <w:tc>
          <w:tcPr>
            <w:tcW w:w="1909" w:type="dxa"/>
            <w:tcBorders>
              <w:top w:val="single" w:sz="4" w:space="0" w:color="auto"/>
              <w:left w:val="single" w:sz="4" w:space="0" w:color="auto"/>
              <w:bottom w:val="single" w:sz="4" w:space="0" w:color="auto"/>
              <w:right w:val="single" w:sz="4" w:space="0" w:color="auto"/>
            </w:tcBorders>
          </w:tcPr>
          <w:p w14:paraId="7C49350B" w14:textId="77777777" w:rsidR="00CA23D0" w:rsidRPr="00E30642" w:rsidRDefault="00CA23D0" w:rsidP="00CA23D0">
            <w:pPr>
              <w:pStyle w:val="Texttabulky"/>
              <w:spacing w:line="240" w:lineRule="auto"/>
              <w:jc w:val="both"/>
              <w:rPr>
                <w:rFonts w:cs="Arial"/>
              </w:rPr>
            </w:pPr>
            <w:r w:rsidRPr="00E30642">
              <w:rPr>
                <w:rFonts w:cs="Arial"/>
              </w:rPr>
              <w:t>Děčínská výšina</w:t>
            </w:r>
          </w:p>
        </w:tc>
        <w:tc>
          <w:tcPr>
            <w:tcW w:w="661" w:type="dxa"/>
            <w:tcBorders>
              <w:top w:val="single" w:sz="4" w:space="0" w:color="auto"/>
              <w:left w:val="single" w:sz="4" w:space="0" w:color="auto"/>
              <w:bottom w:val="single" w:sz="4" w:space="0" w:color="auto"/>
              <w:right w:val="single" w:sz="4" w:space="0" w:color="auto"/>
            </w:tcBorders>
          </w:tcPr>
          <w:p w14:paraId="1F84D059" w14:textId="77777777" w:rsidR="00CA23D0" w:rsidRPr="00E30642" w:rsidRDefault="00CA23D0" w:rsidP="00CA23D0">
            <w:pPr>
              <w:pStyle w:val="Texttabulky"/>
              <w:spacing w:line="240" w:lineRule="auto"/>
              <w:jc w:val="both"/>
              <w:rPr>
                <w:rFonts w:cs="Arial"/>
              </w:rPr>
            </w:pPr>
            <w:r w:rsidRPr="00E30642">
              <w:rPr>
                <w:rFonts w:cs="Arial"/>
              </w:rPr>
              <w:t>0</w:t>
            </w:r>
          </w:p>
        </w:tc>
        <w:tc>
          <w:tcPr>
            <w:tcW w:w="612" w:type="dxa"/>
            <w:tcBorders>
              <w:top w:val="single" w:sz="4" w:space="0" w:color="auto"/>
              <w:left w:val="single" w:sz="4" w:space="0" w:color="auto"/>
              <w:bottom w:val="single" w:sz="4" w:space="0" w:color="auto"/>
              <w:right w:val="single" w:sz="4" w:space="0" w:color="auto"/>
            </w:tcBorders>
          </w:tcPr>
          <w:p w14:paraId="4539A8CB"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500D5201"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2A0FDD89"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3DB29D32" w14:textId="77777777" w:rsidR="00CA23D0" w:rsidRPr="00E30642" w:rsidRDefault="00CA23D0" w:rsidP="00CA23D0">
            <w:pPr>
              <w:pStyle w:val="Texttabulky"/>
              <w:spacing w:line="240" w:lineRule="auto"/>
              <w:jc w:val="both"/>
              <w:rPr>
                <w:rFonts w:cs="Arial"/>
              </w:rPr>
            </w:pPr>
            <w:r w:rsidRPr="00E30642">
              <w:rPr>
                <w:rFonts w:cs="Arial"/>
              </w:rPr>
              <w:t>0</w:t>
            </w:r>
          </w:p>
        </w:tc>
        <w:tc>
          <w:tcPr>
            <w:tcW w:w="846" w:type="dxa"/>
            <w:tcBorders>
              <w:top w:val="single" w:sz="4" w:space="0" w:color="auto"/>
              <w:left w:val="single" w:sz="4" w:space="0" w:color="auto"/>
              <w:bottom w:val="single" w:sz="4" w:space="0" w:color="auto"/>
              <w:right w:val="single" w:sz="4" w:space="0" w:color="auto"/>
            </w:tcBorders>
          </w:tcPr>
          <w:p w14:paraId="08456B7F" w14:textId="77777777" w:rsidR="00CA23D0" w:rsidRPr="00E30642" w:rsidRDefault="00CA23D0" w:rsidP="00CA23D0">
            <w:pPr>
              <w:pStyle w:val="Texttabulky"/>
              <w:spacing w:line="240" w:lineRule="auto"/>
              <w:jc w:val="both"/>
              <w:rPr>
                <w:rFonts w:cs="Arial"/>
              </w:rPr>
            </w:pPr>
            <w:r w:rsidRPr="00E30642">
              <w:rPr>
                <w:rFonts w:cs="Arial"/>
              </w:rPr>
              <w:t>0</w:t>
            </w:r>
          </w:p>
        </w:tc>
        <w:tc>
          <w:tcPr>
            <w:tcW w:w="650" w:type="dxa"/>
            <w:tcBorders>
              <w:top w:val="single" w:sz="4" w:space="0" w:color="auto"/>
              <w:left w:val="single" w:sz="4" w:space="0" w:color="auto"/>
              <w:bottom w:val="single" w:sz="4" w:space="0" w:color="auto"/>
              <w:right w:val="single" w:sz="4" w:space="0" w:color="auto"/>
            </w:tcBorders>
          </w:tcPr>
          <w:p w14:paraId="6A39A2ED" w14:textId="77777777" w:rsidR="00CA23D0" w:rsidRPr="00E30642" w:rsidRDefault="00CA23D0" w:rsidP="00CA23D0">
            <w:pPr>
              <w:pStyle w:val="Texttabulky"/>
              <w:spacing w:line="240" w:lineRule="auto"/>
              <w:jc w:val="both"/>
              <w:rPr>
                <w:rFonts w:cs="Arial"/>
              </w:rPr>
            </w:pPr>
            <w:r w:rsidRPr="00E30642">
              <w:rPr>
                <w:rFonts w:cs="Arial"/>
              </w:rPr>
              <w:t>0</w:t>
            </w:r>
          </w:p>
        </w:tc>
        <w:tc>
          <w:tcPr>
            <w:tcW w:w="708" w:type="dxa"/>
            <w:tcBorders>
              <w:top w:val="single" w:sz="4" w:space="0" w:color="auto"/>
              <w:left w:val="single" w:sz="4" w:space="0" w:color="auto"/>
              <w:bottom w:val="single" w:sz="4" w:space="0" w:color="auto"/>
              <w:right w:val="single" w:sz="4" w:space="0" w:color="auto"/>
            </w:tcBorders>
          </w:tcPr>
          <w:p w14:paraId="402C5C5A" w14:textId="77777777" w:rsidR="00CA23D0" w:rsidRPr="00E30642" w:rsidRDefault="00CA23D0" w:rsidP="00CA23D0">
            <w:pPr>
              <w:pStyle w:val="Texttabulky"/>
              <w:spacing w:line="240" w:lineRule="auto"/>
              <w:jc w:val="both"/>
              <w:rPr>
                <w:rFonts w:cs="Arial"/>
              </w:rPr>
            </w:pPr>
            <w:r w:rsidRPr="00E30642">
              <w:rPr>
                <w:rFonts w:cs="Arial"/>
              </w:rPr>
              <w:t>0</w:t>
            </w:r>
          </w:p>
        </w:tc>
      </w:tr>
      <w:tr w:rsidR="00CA23D0" w:rsidRPr="00E30642" w14:paraId="0A6D8E77" w14:textId="77777777" w:rsidTr="00CA23D0">
        <w:tc>
          <w:tcPr>
            <w:tcW w:w="474" w:type="dxa"/>
            <w:tcBorders>
              <w:top w:val="single" w:sz="4" w:space="0" w:color="auto"/>
              <w:left w:val="single" w:sz="4" w:space="0" w:color="auto"/>
              <w:bottom w:val="single" w:sz="4" w:space="0" w:color="auto"/>
              <w:right w:val="single" w:sz="4" w:space="0" w:color="auto"/>
            </w:tcBorders>
          </w:tcPr>
          <w:p w14:paraId="2395AF2D" w14:textId="77777777" w:rsidR="00CA23D0" w:rsidRPr="00E30642" w:rsidRDefault="00CA23D0" w:rsidP="00CA23D0">
            <w:pPr>
              <w:pStyle w:val="Texttabulky"/>
              <w:spacing w:line="240" w:lineRule="auto"/>
              <w:jc w:val="both"/>
              <w:rPr>
                <w:rFonts w:cs="Arial"/>
              </w:rPr>
            </w:pPr>
            <w:r w:rsidRPr="00E30642">
              <w:rPr>
                <w:rFonts w:cs="Arial"/>
              </w:rPr>
              <w:t>39</w:t>
            </w:r>
          </w:p>
        </w:tc>
        <w:tc>
          <w:tcPr>
            <w:tcW w:w="504" w:type="dxa"/>
            <w:tcBorders>
              <w:top w:val="single" w:sz="4" w:space="0" w:color="auto"/>
              <w:left w:val="single" w:sz="4" w:space="0" w:color="auto"/>
              <w:bottom w:val="single" w:sz="4" w:space="0" w:color="auto"/>
              <w:right w:val="single" w:sz="4" w:space="0" w:color="auto"/>
            </w:tcBorders>
          </w:tcPr>
          <w:p w14:paraId="406E15D5" w14:textId="77777777" w:rsidR="00CA23D0" w:rsidRPr="00E30642" w:rsidRDefault="00CA23D0" w:rsidP="00CA23D0">
            <w:pPr>
              <w:pStyle w:val="Texttabulky"/>
              <w:spacing w:line="240" w:lineRule="auto"/>
              <w:jc w:val="both"/>
              <w:rPr>
                <w:rFonts w:cs="Arial"/>
              </w:rPr>
            </w:pPr>
            <w:r w:rsidRPr="00E30642">
              <w:rPr>
                <w:rFonts w:cs="Arial"/>
              </w:rPr>
              <w:t>N</w:t>
            </w:r>
          </w:p>
        </w:tc>
        <w:tc>
          <w:tcPr>
            <w:tcW w:w="1909" w:type="dxa"/>
            <w:tcBorders>
              <w:top w:val="single" w:sz="4" w:space="0" w:color="auto"/>
              <w:left w:val="single" w:sz="4" w:space="0" w:color="auto"/>
              <w:bottom w:val="single" w:sz="4" w:space="0" w:color="auto"/>
              <w:right w:val="single" w:sz="4" w:space="0" w:color="auto"/>
            </w:tcBorders>
          </w:tcPr>
          <w:p w14:paraId="5A487278" w14:textId="77777777" w:rsidR="00CA23D0" w:rsidRPr="00E30642" w:rsidRDefault="00CA23D0" w:rsidP="00CA23D0">
            <w:pPr>
              <w:pStyle w:val="Texttabulky"/>
              <w:spacing w:line="240" w:lineRule="auto"/>
              <w:jc w:val="both"/>
              <w:rPr>
                <w:rFonts w:cs="Arial"/>
              </w:rPr>
            </w:pPr>
            <w:r w:rsidRPr="00E30642">
              <w:rPr>
                <w:rFonts w:cs="Arial"/>
              </w:rPr>
              <w:t>Prostřední Žleb</w:t>
            </w:r>
          </w:p>
        </w:tc>
        <w:tc>
          <w:tcPr>
            <w:tcW w:w="661" w:type="dxa"/>
            <w:tcBorders>
              <w:top w:val="single" w:sz="4" w:space="0" w:color="auto"/>
              <w:left w:val="single" w:sz="4" w:space="0" w:color="auto"/>
              <w:bottom w:val="single" w:sz="4" w:space="0" w:color="auto"/>
              <w:right w:val="single" w:sz="4" w:space="0" w:color="auto"/>
            </w:tcBorders>
          </w:tcPr>
          <w:p w14:paraId="285C3EE9" w14:textId="77777777" w:rsidR="00CA23D0" w:rsidRPr="00E30642" w:rsidRDefault="00CA23D0" w:rsidP="00CA23D0">
            <w:pPr>
              <w:pStyle w:val="Texttabulky"/>
              <w:spacing w:line="240" w:lineRule="auto"/>
              <w:jc w:val="both"/>
              <w:rPr>
                <w:rFonts w:cs="Arial"/>
              </w:rPr>
            </w:pPr>
            <w:r w:rsidRPr="00E30642">
              <w:rPr>
                <w:rFonts w:cs="Arial"/>
              </w:rPr>
              <w:t>238</w:t>
            </w:r>
          </w:p>
        </w:tc>
        <w:tc>
          <w:tcPr>
            <w:tcW w:w="612" w:type="dxa"/>
            <w:tcBorders>
              <w:top w:val="single" w:sz="4" w:space="0" w:color="auto"/>
              <w:left w:val="single" w:sz="4" w:space="0" w:color="auto"/>
              <w:bottom w:val="single" w:sz="4" w:space="0" w:color="auto"/>
              <w:right w:val="single" w:sz="4" w:space="0" w:color="auto"/>
            </w:tcBorders>
          </w:tcPr>
          <w:p w14:paraId="75E637E6"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1BFB68CB"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16EFFF80" w14:textId="77777777" w:rsidR="00CA23D0" w:rsidRPr="00E30642" w:rsidRDefault="00CA23D0" w:rsidP="00CA23D0">
            <w:pPr>
              <w:pStyle w:val="Texttabulky"/>
              <w:spacing w:line="240" w:lineRule="auto"/>
              <w:jc w:val="both"/>
              <w:rPr>
                <w:rFonts w:cs="Arial"/>
              </w:rPr>
            </w:pPr>
            <w:r w:rsidRPr="00E30642">
              <w:rPr>
                <w:rFonts w:cs="Arial"/>
              </w:rPr>
              <w:t>30</w:t>
            </w:r>
          </w:p>
        </w:tc>
        <w:tc>
          <w:tcPr>
            <w:tcW w:w="855" w:type="dxa"/>
            <w:tcBorders>
              <w:top w:val="single" w:sz="4" w:space="0" w:color="auto"/>
              <w:left w:val="single" w:sz="4" w:space="0" w:color="auto"/>
              <w:bottom w:val="single" w:sz="4" w:space="0" w:color="auto"/>
              <w:right w:val="single" w:sz="4" w:space="0" w:color="auto"/>
            </w:tcBorders>
          </w:tcPr>
          <w:p w14:paraId="10299D7B" w14:textId="77777777" w:rsidR="00CA23D0" w:rsidRPr="00E30642" w:rsidRDefault="00CA23D0" w:rsidP="00CA23D0">
            <w:pPr>
              <w:pStyle w:val="Texttabulky"/>
              <w:spacing w:line="240" w:lineRule="auto"/>
              <w:jc w:val="both"/>
              <w:rPr>
                <w:rFonts w:cs="Arial"/>
              </w:rPr>
            </w:pPr>
            <w:r w:rsidRPr="00E30642">
              <w:rPr>
                <w:rFonts w:cs="Arial"/>
              </w:rPr>
              <w:t>200</w:t>
            </w:r>
          </w:p>
        </w:tc>
        <w:tc>
          <w:tcPr>
            <w:tcW w:w="846" w:type="dxa"/>
            <w:tcBorders>
              <w:top w:val="single" w:sz="4" w:space="0" w:color="auto"/>
              <w:left w:val="single" w:sz="4" w:space="0" w:color="auto"/>
              <w:bottom w:val="single" w:sz="4" w:space="0" w:color="auto"/>
              <w:right w:val="single" w:sz="4" w:space="0" w:color="auto"/>
            </w:tcBorders>
          </w:tcPr>
          <w:p w14:paraId="278B3234" w14:textId="77777777" w:rsidR="00CA23D0" w:rsidRPr="00E30642" w:rsidRDefault="00CA23D0" w:rsidP="00CA23D0">
            <w:pPr>
              <w:pStyle w:val="Texttabulky"/>
              <w:spacing w:line="240" w:lineRule="auto"/>
              <w:jc w:val="both"/>
              <w:rPr>
                <w:rFonts w:cs="Arial"/>
              </w:rPr>
            </w:pPr>
            <w:r w:rsidRPr="00E30642">
              <w:rPr>
                <w:rFonts w:cs="Arial"/>
              </w:rPr>
              <w:t>230</w:t>
            </w:r>
          </w:p>
        </w:tc>
        <w:tc>
          <w:tcPr>
            <w:tcW w:w="650" w:type="dxa"/>
            <w:tcBorders>
              <w:top w:val="single" w:sz="4" w:space="0" w:color="auto"/>
              <w:left w:val="single" w:sz="4" w:space="0" w:color="auto"/>
              <w:bottom w:val="single" w:sz="4" w:space="0" w:color="auto"/>
              <w:right w:val="single" w:sz="4" w:space="0" w:color="auto"/>
            </w:tcBorders>
          </w:tcPr>
          <w:p w14:paraId="2211C969" w14:textId="77777777" w:rsidR="00CA23D0" w:rsidRPr="00E30642" w:rsidRDefault="00CA23D0" w:rsidP="00CA23D0">
            <w:pPr>
              <w:pStyle w:val="Texttabulky"/>
              <w:spacing w:line="240" w:lineRule="auto"/>
              <w:jc w:val="both"/>
              <w:rPr>
                <w:rFonts w:cs="Arial"/>
              </w:rPr>
            </w:pPr>
            <w:r w:rsidRPr="00E30642">
              <w:rPr>
                <w:rFonts w:cs="Arial"/>
              </w:rPr>
              <w:t>-38</w:t>
            </w:r>
          </w:p>
        </w:tc>
        <w:tc>
          <w:tcPr>
            <w:tcW w:w="708" w:type="dxa"/>
            <w:tcBorders>
              <w:top w:val="single" w:sz="4" w:space="0" w:color="auto"/>
              <w:left w:val="single" w:sz="4" w:space="0" w:color="auto"/>
              <w:bottom w:val="single" w:sz="4" w:space="0" w:color="auto"/>
              <w:right w:val="single" w:sz="4" w:space="0" w:color="auto"/>
            </w:tcBorders>
          </w:tcPr>
          <w:p w14:paraId="1F6896CA" w14:textId="77777777" w:rsidR="00CA23D0" w:rsidRPr="00E30642" w:rsidRDefault="00CA23D0" w:rsidP="00CA23D0">
            <w:pPr>
              <w:pStyle w:val="Texttabulky"/>
              <w:spacing w:line="240" w:lineRule="auto"/>
              <w:jc w:val="both"/>
              <w:rPr>
                <w:rFonts w:cs="Arial"/>
              </w:rPr>
            </w:pPr>
            <w:r w:rsidRPr="00E30642">
              <w:rPr>
                <w:rFonts w:cs="Arial"/>
              </w:rPr>
              <w:t>-8</w:t>
            </w:r>
          </w:p>
        </w:tc>
      </w:tr>
      <w:tr w:rsidR="00CA23D0" w:rsidRPr="00E30642" w14:paraId="55F62E95" w14:textId="77777777" w:rsidTr="00CA23D0">
        <w:tc>
          <w:tcPr>
            <w:tcW w:w="474" w:type="dxa"/>
            <w:tcBorders>
              <w:top w:val="single" w:sz="4" w:space="0" w:color="auto"/>
              <w:left w:val="single" w:sz="4" w:space="0" w:color="auto"/>
              <w:bottom w:val="single" w:sz="4" w:space="0" w:color="auto"/>
              <w:right w:val="single" w:sz="4" w:space="0" w:color="auto"/>
            </w:tcBorders>
          </w:tcPr>
          <w:p w14:paraId="27FF1EDC" w14:textId="77777777" w:rsidR="00CA23D0" w:rsidRPr="00E30642" w:rsidRDefault="00CA23D0" w:rsidP="00CA23D0">
            <w:pPr>
              <w:pStyle w:val="Texttabulky"/>
              <w:spacing w:line="240" w:lineRule="auto"/>
              <w:jc w:val="both"/>
              <w:rPr>
                <w:rFonts w:cs="Arial"/>
              </w:rPr>
            </w:pPr>
            <w:r w:rsidRPr="00E30642">
              <w:rPr>
                <w:rFonts w:cs="Arial"/>
              </w:rPr>
              <w:t>40</w:t>
            </w:r>
          </w:p>
        </w:tc>
        <w:tc>
          <w:tcPr>
            <w:tcW w:w="504" w:type="dxa"/>
            <w:tcBorders>
              <w:top w:val="single" w:sz="4" w:space="0" w:color="auto"/>
              <w:left w:val="single" w:sz="4" w:space="0" w:color="auto"/>
              <w:bottom w:val="single" w:sz="4" w:space="0" w:color="auto"/>
              <w:right w:val="single" w:sz="4" w:space="0" w:color="auto"/>
            </w:tcBorders>
          </w:tcPr>
          <w:p w14:paraId="014F972C" w14:textId="77777777" w:rsidR="00CA23D0" w:rsidRPr="00E30642" w:rsidRDefault="00CA23D0" w:rsidP="00CA23D0">
            <w:pPr>
              <w:pStyle w:val="Texttabulky"/>
              <w:spacing w:line="240" w:lineRule="auto"/>
              <w:jc w:val="both"/>
              <w:rPr>
                <w:rFonts w:cs="Arial"/>
              </w:rPr>
            </w:pPr>
            <w:r w:rsidRPr="00E30642">
              <w:rPr>
                <w:rFonts w:cs="Arial"/>
              </w:rPr>
              <w:t>N</w:t>
            </w:r>
          </w:p>
        </w:tc>
        <w:tc>
          <w:tcPr>
            <w:tcW w:w="1909" w:type="dxa"/>
            <w:tcBorders>
              <w:top w:val="single" w:sz="4" w:space="0" w:color="auto"/>
              <w:left w:val="single" w:sz="4" w:space="0" w:color="auto"/>
              <w:bottom w:val="single" w:sz="4" w:space="0" w:color="auto"/>
              <w:right w:val="single" w:sz="4" w:space="0" w:color="auto"/>
            </w:tcBorders>
          </w:tcPr>
          <w:p w14:paraId="65671DC4" w14:textId="77777777" w:rsidR="00CA23D0" w:rsidRPr="00E30642" w:rsidRDefault="00CA23D0" w:rsidP="00CA23D0">
            <w:pPr>
              <w:pStyle w:val="Texttabulky"/>
              <w:spacing w:line="240" w:lineRule="auto"/>
              <w:jc w:val="both"/>
              <w:rPr>
                <w:rFonts w:cs="Arial"/>
              </w:rPr>
            </w:pPr>
            <w:r w:rsidRPr="00E30642">
              <w:rPr>
                <w:rFonts w:cs="Arial"/>
              </w:rPr>
              <w:t>Loubí</w:t>
            </w:r>
          </w:p>
        </w:tc>
        <w:tc>
          <w:tcPr>
            <w:tcW w:w="661" w:type="dxa"/>
            <w:tcBorders>
              <w:top w:val="single" w:sz="4" w:space="0" w:color="auto"/>
              <w:left w:val="single" w:sz="4" w:space="0" w:color="auto"/>
              <w:bottom w:val="single" w:sz="4" w:space="0" w:color="auto"/>
              <w:right w:val="single" w:sz="4" w:space="0" w:color="auto"/>
            </w:tcBorders>
          </w:tcPr>
          <w:p w14:paraId="3FEDDD8B" w14:textId="77777777" w:rsidR="00CA23D0" w:rsidRPr="00E30642" w:rsidRDefault="00CA23D0" w:rsidP="00CA23D0">
            <w:pPr>
              <w:pStyle w:val="Texttabulky"/>
              <w:spacing w:line="240" w:lineRule="auto"/>
              <w:jc w:val="both"/>
              <w:rPr>
                <w:rFonts w:cs="Arial"/>
              </w:rPr>
            </w:pPr>
            <w:r w:rsidRPr="00E30642">
              <w:rPr>
                <w:rFonts w:cs="Arial"/>
              </w:rPr>
              <w:t>214</w:t>
            </w:r>
          </w:p>
        </w:tc>
        <w:tc>
          <w:tcPr>
            <w:tcW w:w="612" w:type="dxa"/>
            <w:tcBorders>
              <w:top w:val="single" w:sz="4" w:space="0" w:color="auto"/>
              <w:left w:val="single" w:sz="4" w:space="0" w:color="auto"/>
              <w:bottom w:val="single" w:sz="4" w:space="0" w:color="auto"/>
              <w:right w:val="single" w:sz="4" w:space="0" w:color="auto"/>
            </w:tcBorders>
          </w:tcPr>
          <w:p w14:paraId="2358EDAC"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25A2A099"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6AF7E180"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4292D620" w14:textId="77777777" w:rsidR="00CA23D0" w:rsidRPr="00E30642" w:rsidRDefault="00CA23D0" w:rsidP="00CA23D0">
            <w:pPr>
              <w:pStyle w:val="Texttabulky"/>
              <w:spacing w:line="240" w:lineRule="auto"/>
              <w:jc w:val="both"/>
              <w:rPr>
                <w:rFonts w:cs="Arial"/>
              </w:rPr>
            </w:pPr>
            <w:r w:rsidRPr="00E30642">
              <w:rPr>
                <w:rFonts w:cs="Arial"/>
              </w:rPr>
              <w:t>200</w:t>
            </w:r>
          </w:p>
        </w:tc>
        <w:tc>
          <w:tcPr>
            <w:tcW w:w="846" w:type="dxa"/>
            <w:tcBorders>
              <w:top w:val="single" w:sz="4" w:space="0" w:color="auto"/>
              <w:left w:val="single" w:sz="4" w:space="0" w:color="auto"/>
              <w:bottom w:val="single" w:sz="4" w:space="0" w:color="auto"/>
              <w:right w:val="single" w:sz="4" w:space="0" w:color="auto"/>
            </w:tcBorders>
          </w:tcPr>
          <w:p w14:paraId="162D4F63" w14:textId="77777777" w:rsidR="00CA23D0" w:rsidRPr="00E30642" w:rsidRDefault="00CA23D0" w:rsidP="00CA23D0">
            <w:pPr>
              <w:pStyle w:val="Texttabulky"/>
              <w:spacing w:line="240" w:lineRule="auto"/>
              <w:jc w:val="both"/>
              <w:rPr>
                <w:rFonts w:cs="Arial"/>
              </w:rPr>
            </w:pPr>
            <w:r w:rsidRPr="00E30642">
              <w:rPr>
                <w:rFonts w:cs="Arial"/>
              </w:rPr>
              <w:t>200</w:t>
            </w:r>
          </w:p>
        </w:tc>
        <w:tc>
          <w:tcPr>
            <w:tcW w:w="650" w:type="dxa"/>
            <w:tcBorders>
              <w:top w:val="single" w:sz="4" w:space="0" w:color="auto"/>
              <w:left w:val="single" w:sz="4" w:space="0" w:color="auto"/>
              <w:bottom w:val="single" w:sz="4" w:space="0" w:color="auto"/>
              <w:right w:val="single" w:sz="4" w:space="0" w:color="auto"/>
            </w:tcBorders>
          </w:tcPr>
          <w:p w14:paraId="634B408F" w14:textId="77777777" w:rsidR="00CA23D0" w:rsidRPr="00E30642" w:rsidRDefault="00CA23D0" w:rsidP="00CA23D0">
            <w:pPr>
              <w:pStyle w:val="Texttabulky"/>
              <w:spacing w:line="240" w:lineRule="auto"/>
              <w:jc w:val="both"/>
              <w:rPr>
                <w:rFonts w:cs="Arial"/>
              </w:rPr>
            </w:pPr>
            <w:r w:rsidRPr="00E30642">
              <w:rPr>
                <w:rFonts w:cs="Arial"/>
              </w:rPr>
              <w:t>-14</w:t>
            </w:r>
          </w:p>
        </w:tc>
        <w:tc>
          <w:tcPr>
            <w:tcW w:w="708" w:type="dxa"/>
            <w:tcBorders>
              <w:top w:val="single" w:sz="4" w:space="0" w:color="auto"/>
              <w:left w:val="single" w:sz="4" w:space="0" w:color="auto"/>
              <w:bottom w:val="single" w:sz="4" w:space="0" w:color="auto"/>
              <w:right w:val="single" w:sz="4" w:space="0" w:color="auto"/>
            </w:tcBorders>
          </w:tcPr>
          <w:p w14:paraId="58F8A59C" w14:textId="77777777" w:rsidR="00CA23D0" w:rsidRPr="00E30642" w:rsidRDefault="00CA23D0" w:rsidP="00CA23D0">
            <w:pPr>
              <w:pStyle w:val="Texttabulky"/>
              <w:spacing w:line="240" w:lineRule="auto"/>
              <w:jc w:val="both"/>
              <w:rPr>
                <w:rFonts w:cs="Arial"/>
              </w:rPr>
            </w:pPr>
            <w:r w:rsidRPr="00E30642">
              <w:rPr>
                <w:rFonts w:cs="Arial"/>
              </w:rPr>
              <w:t>-14</w:t>
            </w:r>
          </w:p>
        </w:tc>
      </w:tr>
      <w:tr w:rsidR="00CA23D0" w:rsidRPr="00E30642" w14:paraId="7A2CCC43" w14:textId="77777777" w:rsidTr="00CA23D0">
        <w:tc>
          <w:tcPr>
            <w:tcW w:w="474" w:type="dxa"/>
            <w:tcBorders>
              <w:top w:val="single" w:sz="4" w:space="0" w:color="auto"/>
              <w:left w:val="single" w:sz="4" w:space="0" w:color="auto"/>
              <w:bottom w:val="single" w:sz="4" w:space="0" w:color="auto"/>
              <w:right w:val="single" w:sz="4" w:space="0" w:color="auto"/>
            </w:tcBorders>
          </w:tcPr>
          <w:p w14:paraId="6065ECF5" w14:textId="77777777" w:rsidR="00CA23D0" w:rsidRPr="00E30642" w:rsidRDefault="00CA23D0" w:rsidP="00CA23D0">
            <w:pPr>
              <w:pStyle w:val="Texttabulky"/>
              <w:spacing w:line="240" w:lineRule="auto"/>
              <w:jc w:val="both"/>
              <w:rPr>
                <w:rFonts w:cs="Arial"/>
              </w:rPr>
            </w:pPr>
            <w:r w:rsidRPr="00E30642">
              <w:rPr>
                <w:rFonts w:cs="Arial"/>
              </w:rPr>
              <w:t>65</w:t>
            </w:r>
          </w:p>
        </w:tc>
        <w:tc>
          <w:tcPr>
            <w:tcW w:w="504" w:type="dxa"/>
            <w:tcBorders>
              <w:top w:val="single" w:sz="4" w:space="0" w:color="auto"/>
              <w:left w:val="single" w:sz="4" w:space="0" w:color="auto"/>
              <w:bottom w:val="single" w:sz="4" w:space="0" w:color="auto"/>
              <w:right w:val="single" w:sz="4" w:space="0" w:color="auto"/>
            </w:tcBorders>
          </w:tcPr>
          <w:p w14:paraId="4140633F" w14:textId="77777777" w:rsidR="00CA23D0" w:rsidRPr="00E30642" w:rsidRDefault="00CA23D0" w:rsidP="00CA23D0">
            <w:pPr>
              <w:pStyle w:val="Texttabulky"/>
              <w:spacing w:line="240" w:lineRule="auto"/>
              <w:jc w:val="both"/>
              <w:rPr>
                <w:rFonts w:cs="Arial"/>
              </w:rPr>
            </w:pPr>
            <w:r w:rsidRPr="00E30642">
              <w:rPr>
                <w:rFonts w:cs="Arial"/>
              </w:rPr>
              <w:t>N</w:t>
            </w:r>
          </w:p>
        </w:tc>
        <w:tc>
          <w:tcPr>
            <w:tcW w:w="1909" w:type="dxa"/>
            <w:tcBorders>
              <w:top w:val="single" w:sz="4" w:space="0" w:color="auto"/>
              <w:left w:val="single" w:sz="4" w:space="0" w:color="auto"/>
              <w:bottom w:val="single" w:sz="4" w:space="0" w:color="auto"/>
              <w:right w:val="single" w:sz="4" w:space="0" w:color="auto"/>
            </w:tcBorders>
          </w:tcPr>
          <w:p w14:paraId="5E2C4578" w14:textId="77777777" w:rsidR="00CA23D0" w:rsidRPr="00E30642" w:rsidRDefault="00CA23D0" w:rsidP="00CA23D0">
            <w:pPr>
              <w:pStyle w:val="Texttabulky"/>
              <w:spacing w:line="240" w:lineRule="auto"/>
              <w:jc w:val="both"/>
              <w:rPr>
                <w:rFonts w:cs="Arial"/>
              </w:rPr>
            </w:pPr>
            <w:r w:rsidRPr="00E30642">
              <w:rPr>
                <w:rFonts w:cs="Arial"/>
              </w:rPr>
              <w:t>Horní Žleb</w:t>
            </w:r>
          </w:p>
        </w:tc>
        <w:tc>
          <w:tcPr>
            <w:tcW w:w="661" w:type="dxa"/>
            <w:tcBorders>
              <w:top w:val="single" w:sz="4" w:space="0" w:color="auto"/>
              <w:left w:val="single" w:sz="4" w:space="0" w:color="auto"/>
              <w:bottom w:val="single" w:sz="4" w:space="0" w:color="auto"/>
              <w:right w:val="single" w:sz="4" w:space="0" w:color="auto"/>
            </w:tcBorders>
          </w:tcPr>
          <w:p w14:paraId="637207C6" w14:textId="77777777" w:rsidR="00CA23D0" w:rsidRPr="00E30642" w:rsidRDefault="00CA23D0" w:rsidP="00CA23D0">
            <w:pPr>
              <w:pStyle w:val="Texttabulky"/>
              <w:spacing w:line="240" w:lineRule="auto"/>
              <w:jc w:val="both"/>
              <w:rPr>
                <w:rFonts w:cs="Arial"/>
              </w:rPr>
            </w:pPr>
            <w:r w:rsidRPr="00E30642">
              <w:rPr>
                <w:rFonts w:cs="Arial"/>
              </w:rPr>
              <w:t>375</w:t>
            </w:r>
          </w:p>
        </w:tc>
        <w:tc>
          <w:tcPr>
            <w:tcW w:w="612" w:type="dxa"/>
            <w:tcBorders>
              <w:top w:val="single" w:sz="4" w:space="0" w:color="auto"/>
              <w:left w:val="single" w:sz="4" w:space="0" w:color="auto"/>
              <w:bottom w:val="single" w:sz="4" w:space="0" w:color="auto"/>
              <w:right w:val="single" w:sz="4" w:space="0" w:color="auto"/>
            </w:tcBorders>
          </w:tcPr>
          <w:p w14:paraId="28A12873"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49997E5F"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2091DE00"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16FE7786" w14:textId="77777777" w:rsidR="00CA23D0" w:rsidRPr="00E30642" w:rsidRDefault="00CA23D0" w:rsidP="00CA23D0">
            <w:pPr>
              <w:pStyle w:val="Texttabulky"/>
              <w:spacing w:line="240" w:lineRule="auto"/>
              <w:jc w:val="both"/>
              <w:rPr>
                <w:rFonts w:cs="Arial"/>
              </w:rPr>
            </w:pPr>
            <w:r w:rsidRPr="00E30642">
              <w:rPr>
                <w:rFonts w:cs="Arial"/>
              </w:rPr>
              <w:t>350</w:t>
            </w:r>
          </w:p>
        </w:tc>
        <w:tc>
          <w:tcPr>
            <w:tcW w:w="846" w:type="dxa"/>
            <w:tcBorders>
              <w:top w:val="single" w:sz="4" w:space="0" w:color="auto"/>
              <w:left w:val="single" w:sz="4" w:space="0" w:color="auto"/>
              <w:bottom w:val="single" w:sz="4" w:space="0" w:color="auto"/>
              <w:right w:val="single" w:sz="4" w:space="0" w:color="auto"/>
            </w:tcBorders>
          </w:tcPr>
          <w:p w14:paraId="3B3C1B22" w14:textId="77777777" w:rsidR="00CA23D0" w:rsidRPr="00E30642" w:rsidRDefault="00CA23D0" w:rsidP="00CA23D0">
            <w:pPr>
              <w:pStyle w:val="Texttabulky"/>
              <w:spacing w:line="240" w:lineRule="auto"/>
              <w:jc w:val="both"/>
              <w:rPr>
                <w:rFonts w:cs="Arial"/>
              </w:rPr>
            </w:pPr>
            <w:r w:rsidRPr="00E30642">
              <w:rPr>
                <w:rFonts w:cs="Arial"/>
              </w:rPr>
              <w:t>350</w:t>
            </w:r>
          </w:p>
        </w:tc>
        <w:tc>
          <w:tcPr>
            <w:tcW w:w="650" w:type="dxa"/>
            <w:tcBorders>
              <w:top w:val="single" w:sz="4" w:space="0" w:color="auto"/>
              <w:left w:val="single" w:sz="4" w:space="0" w:color="auto"/>
              <w:bottom w:val="single" w:sz="4" w:space="0" w:color="auto"/>
              <w:right w:val="single" w:sz="4" w:space="0" w:color="auto"/>
            </w:tcBorders>
          </w:tcPr>
          <w:p w14:paraId="0BE9BDD3" w14:textId="77777777" w:rsidR="00CA23D0" w:rsidRPr="00E30642" w:rsidRDefault="00CA23D0" w:rsidP="00CA23D0">
            <w:pPr>
              <w:pStyle w:val="Texttabulky"/>
              <w:spacing w:line="240" w:lineRule="auto"/>
              <w:jc w:val="both"/>
              <w:rPr>
                <w:rFonts w:cs="Arial"/>
              </w:rPr>
            </w:pPr>
            <w:r w:rsidRPr="00E30642">
              <w:rPr>
                <w:rFonts w:cs="Arial"/>
              </w:rPr>
              <w:t>-25</w:t>
            </w:r>
          </w:p>
        </w:tc>
        <w:tc>
          <w:tcPr>
            <w:tcW w:w="708" w:type="dxa"/>
            <w:tcBorders>
              <w:top w:val="single" w:sz="4" w:space="0" w:color="auto"/>
              <w:left w:val="single" w:sz="4" w:space="0" w:color="auto"/>
              <w:bottom w:val="single" w:sz="4" w:space="0" w:color="auto"/>
              <w:right w:val="single" w:sz="4" w:space="0" w:color="auto"/>
            </w:tcBorders>
          </w:tcPr>
          <w:p w14:paraId="2123EC4B" w14:textId="77777777" w:rsidR="00CA23D0" w:rsidRPr="00E30642" w:rsidRDefault="00CA23D0" w:rsidP="00CA23D0">
            <w:pPr>
              <w:pStyle w:val="Texttabulky"/>
              <w:spacing w:line="240" w:lineRule="auto"/>
              <w:jc w:val="both"/>
              <w:rPr>
                <w:rFonts w:cs="Arial"/>
              </w:rPr>
            </w:pPr>
            <w:r w:rsidRPr="00E30642">
              <w:rPr>
                <w:rFonts w:cs="Arial"/>
              </w:rPr>
              <w:t>-25</w:t>
            </w:r>
          </w:p>
        </w:tc>
      </w:tr>
      <w:tr w:rsidR="00CA23D0" w:rsidRPr="00E30642" w14:paraId="37B3CFD9" w14:textId="77777777" w:rsidTr="00CA23D0">
        <w:tc>
          <w:tcPr>
            <w:tcW w:w="474" w:type="dxa"/>
            <w:tcBorders>
              <w:top w:val="single" w:sz="4" w:space="0" w:color="auto"/>
              <w:left w:val="single" w:sz="6" w:space="0" w:color="auto"/>
              <w:bottom w:val="single" w:sz="6" w:space="0" w:color="auto"/>
              <w:right w:val="nil"/>
            </w:tcBorders>
          </w:tcPr>
          <w:p w14:paraId="23A5306F" w14:textId="77777777" w:rsidR="00CA23D0" w:rsidRPr="00E30642" w:rsidRDefault="00CA23D0" w:rsidP="00CA23D0">
            <w:pPr>
              <w:pStyle w:val="Zkladntext"/>
              <w:jc w:val="both"/>
              <w:rPr>
                <w:rFonts w:ascii="Arial" w:hAnsi="Arial" w:cs="Arial"/>
              </w:rPr>
            </w:pPr>
          </w:p>
        </w:tc>
        <w:tc>
          <w:tcPr>
            <w:tcW w:w="504" w:type="dxa"/>
            <w:tcBorders>
              <w:top w:val="single" w:sz="4" w:space="0" w:color="auto"/>
              <w:left w:val="nil"/>
              <w:bottom w:val="single" w:sz="6" w:space="0" w:color="auto"/>
              <w:right w:val="nil"/>
            </w:tcBorders>
          </w:tcPr>
          <w:p w14:paraId="133FE32D" w14:textId="77777777" w:rsidR="00CA23D0" w:rsidRPr="00E30642" w:rsidRDefault="00CA23D0" w:rsidP="00CA23D0">
            <w:pPr>
              <w:pStyle w:val="Zkladntext"/>
              <w:jc w:val="both"/>
              <w:rPr>
                <w:rFonts w:ascii="Arial" w:hAnsi="Arial" w:cs="Arial"/>
              </w:rPr>
            </w:pPr>
          </w:p>
        </w:tc>
        <w:tc>
          <w:tcPr>
            <w:tcW w:w="1909" w:type="dxa"/>
            <w:tcBorders>
              <w:top w:val="single" w:sz="4" w:space="0" w:color="auto"/>
              <w:left w:val="single" w:sz="6" w:space="0" w:color="auto"/>
              <w:bottom w:val="single" w:sz="6" w:space="0" w:color="auto"/>
              <w:right w:val="single" w:sz="6" w:space="0" w:color="auto"/>
            </w:tcBorders>
          </w:tcPr>
          <w:p w14:paraId="14FAE874" w14:textId="77777777" w:rsidR="00CA23D0" w:rsidRPr="00E30642" w:rsidRDefault="00CA23D0" w:rsidP="00CA23D0">
            <w:pPr>
              <w:pStyle w:val="Texttabulky"/>
              <w:spacing w:line="240" w:lineRule="auto"/>
              <w:jc w:val="both"/>
              <w:rPr>
                <w:rFonts w:cs="Arial"/>
              </w:rPr>
            </w:pPr>
            <w:r w:rsidRPr="00E30642">
              <w:rPr>
                <w:rFonts w:cs="Arial"/>
                <w:b/>
                <w:bCs/>
              </w:rPr>
              <w:t>sektor V</w:t>
            </w:r>
          </w:p>
        </w:tc>
        <w:tc>
          <w:tcPr>
            <w:tcW w:w="661" w:type="dxa"/>
            <w:tcBorders>
              <w:top w:val="single" w:sz="4" w:space="0" w:color="auto"/>
              <w:left w:val="nil"/>
              <w:bottom w:val="single" w:sz="6" w:space="0" w:color="auto"/>
              <w:right w:val="nil"/>
            </w:tcBorders>
          </w:tcPr>
          <w:p w14:paraId="78B458F8" w14:textId="77777777" w:rsidR="00CA23D0" w:rsidRPr="00E30642" w:rsidRDefault="00CA23D0" w:rsidP="00CA23D0">
            <w:pPr>
              <w:pStyle w:val="Texttabulky"/>
              <w:spacing w:line="240" w:lineRule="auto"/>
              <w:jc w:val="both"/>
              <w:rPr>
                <w:rFonts w:cs="Arial"/>
              </w:rPr>
            </w:pPr>
            <w:r w:rsidRPr="00E30642">
              <w:rPr>
                <w:rFonts w:cs="Arial"/>
                <w:b/>
                <w:bCs/>
              </w:rPr>
              <w:t>827</w:t>
            </w:r>
          </w:p>
        </w:tc>
        <w:tc>
          <w:tcPr>
            <w:tcW w:w="612" w:type="dxa"/>
            <w:tcBorders>
              <w:top w:val="single" w:sz="4" w:space="0" w:color="auto"/>
              <w:left w:val="single" w:sz="6" w:space="0" w:color="auto"/>
              <w:bottom w:val="single" w:sz="6" w:space="0" w:color="auto"/>
              <w:right w:val="nil"/>
            </w:tcBorders>
          </w:tcPr>
          <w:p w14:paraId="39C61017"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nil"/>
              <w:bottom w:val="single" w:sz="6" w:space="0" w:color="auto"/>
              <w:right w:val="nil"/>
            </w:tcBorders>
          </w:tcPr>
          <w:p w14:paraId="7E640EB4"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nil"/>
              <w:bottom w:val="single" w:sz="6" w:space="0" w:color="auto"/>
              <w:right w:val="single" w:sz="6" w:space="0" w:color="auto"/>
            </w:tcBorders>
          </w:tcPr>
          <w:p w14:paraId="5F95131D" w14:textId="77777777" w:rsidR="00CA23D0" w:rsidRPr="00E30642" w:rsidRDefault="00CA23D0" w:rsidP="00CA23D0">
            <w:pPr>
              <w:pStyle w:val="Texttabulky"/>
              <w:spacing w:line="240" w:lineRule="auto"/>
              <w:jc w:val="both"/>
              <w:rPr>
                <w:rFonts w:cs="Arial"/>
              </w:rPr>
            </w:pPr>
            <w:r w:rsidRPr="00E30642">
              <w:rPr>
                <w:rFonts w:cs="Arial"/>
                <w:b/>
                <w:bCs/>
              </w:rPr>
              <w:t>30</w:t>
            </w:r>
          </w:p>
        </w:tc>
        <w:tc>
          <w:tcPr>
            <w:tcW w:w="855" w:type="dxa"/>
            <w:tcBorders>
              <w:top w:val="single" w:sz="4" w:space="0" w:color="auto"/>
              <w:left w:val="nil"/>
              <w:bottom w:val="single" w:sz="6" w:space="0" w:color="auto"/>
              <w:right w:val="nil"/>
            </w:tcBorders>
          </w:tcPr>
          <w:p w14:paraId="750B25F6" w14:textId="77777777" w:rsidR="00CA23D0" w:rsidRPr="00E30642" w:rsidRDefault="00CA23D0" w:rsidP="00CA23D0">
            <w:pPr>
              <w:pStyle w:val="Texttabulky"/>
              <w:spacing w:line="240" w:lineRule="auto"/>
              <w:jc w:val="both"/>
              <w:rPr>
                <w:rFonts w:cs="Arial"/>
              </w:rPr>
            </w:pPr>
            <w:r w:rsidRPr="00E30642">
              <w:rPr>
                <w:rFonts w:cs="Arial"/>
                <w:b/>
                <w:bCs/>
              </w:rPr>
              <w:t>750</w:t>
            </w:r>
          </w:p>
        </w:tc>
        <w:tc>
          <w:tcPr>
            <w:tcW w:w="846" w:type="dxa"/>
            <w:tcBorders>
              <w:top w:val="single" w:sz="4" w:space="0" w:color="auto"/>
              <w:left w:val="nil"/>
              <w:bottom w:val="single" w:sz="6" w:space="0" w:color="auto"/>
              <w:right w:val="single" w:sz="6" w:space="0" w:color="auto"/>
            </w:tcBorders>
          </w:tcPr>
          <w:p w14:paraId="47BC33D2" w14:textId="77777777" w:rsidR="00CA23D0" w:rsidRPr="00E30642" w:rsidRDefault="00CA23D0" w:rsidP="00CA23D0">
            <w:pPr>
              <w:pStyle w:val="Texttabulky"/>
              <w:spacing w:line="240" w:lineRule="auto"/>
              <w:jc w:val="both"/>
              <w:rPr>
                <w:rFonts w:cs="Arial"/>
              </w:rPr>
            </w:pPr>
            <w:r w:rsidRPr="00E30642">
              <w:rPr>
                <w:rFonts w:cs="Arial"/>
                <w:b/>
                <w:bCs/>
              </w:rPr>
              <w:t>780</w:t>
            </w:r>
          </w:p>
        </w:tc>
        <w:tc>
          <w:tcPr>
            <w:tcW w:w="650" w:type="dxa"/>
            <w:tcBorders>
              <w:top w:val="single" w:sz="4" w:space="0" w:color="auto"/>
              <w:left w:val="nil"/>
              <w:bottom w:val="single" w:sz="6" w:space="0" w:color="auto"/>
              <w:right w:val="nil"/>
            </w:tcBorders>
          </w:tcPr>
          <w:p w14:paraId="1A1CD708" w14:textId="77777777" w:rsidR="00CA23D0" w:rsidRPr="00E30642" w:rsidRDefault="00CA23D0" w:rsidP="00CA23D0">
            <w:pPr>
              <w:pStyle w:val="Texttabulky"/>
              <w:spacing w:line="240" w:lineRule="auto"/>
              <w:jc w:val="both"/>
              <w:rPr>
                <w:rFonts w:cs="Arial"/>
              </w:rPr>
            </w:pPr>
            <w:r w:rsidRPr="00E30642">
              <w:rPr>
                <w:rFonts w:cs="Arial"/>
                <w:b/>
                <w:bCs/>
              </w:rPr>
              <w:t>-77</w:t>
            </w:r>
          </w:p>
        </w:tc>
        <w:tc>
          <w:tcPr>
            <w:tcW w:w="708" w:type="dxa"/>
            <w:tcBorders>
              <w:top w:val="single" w:sz="4" w:space="0" w:color="auto"/>
              <w:left w:val="nil"/>
              <w:bottom w:val="single" w:sz="6" w:space="0" w:color="auto"/>
              <w:right w:val="single" w:sz="6" w:space="0" w:color="auto"/>
            </w:tcBorders>
          </w:tcPr>
          <w:p w14:paraId="5F721C48" w14:textId="77777777" w:rsidR="00CA23D0" w:rsidRPr="00E30642" w:rsidRDefault="00CA23D0" w:rsidP="00CA23D0">
            <w:pPr>
              <w:pStyle w:val="Texttabulky"/>
              <w:spacing w:line="240" w:lineRule="auto"/>
              <w:jc w:val="both"/>
              <w:rPr>
                <w:rFonts w:cs="Arial"/>
              </w:rPr>
            </w:pPr>
            <w:r w:rsidRPr="00E30642">
              <w:rPr>
                <w:rFonts w:cs="Arial"/>
                <w:b/>
                <w:bCs/>
              </w:rPr>
              <w:t>-47</w:t>
            </w:r>
          </w:p>
        </w:tc>
      </w:tr>
    </w:tbl>
    <w:p w14:paraId="08397B92" w14:textId="77777777" w:rsidR="00CA23D0" w:rsidRPr="00E30642" w:rsidRDefault="00CA23D0" w:rsidP="00CA23D0">
      <w:pPr>
        <w:autoSpaceDE w:val="0"/>
        <w:autoSpaceDN w:val="0"/>
        <w:adjustRightInd w:val="0"/>
        <w:jc w:val="both"/>
        <w:rPr>
          <w:rFonts w:ascii="Arial" w:hAnsi="Arial" w:cs="Arial"/>
          <w:sz w:val="20"/>
        </w:rPr>
      </w:pPr>
    </w:p>
    <w:p w14:paraId="20464B4F" w14:textId="77777777" w:rsidR="00CA23D0" w:rsidRPr="00E30642" w:rsidRDefault="00CA23D0" w:rsidP="00CA23D0">
      <w:pPr>
        <w:pStyle w:val="Zkladntext"/>
        <w:jc w:val="both"/>
        <w:rPr>
          <w:rFonts w:ascii="Arial" w:hAnsi="Arial" w:cs="Arial"/>
        </w:rPr>
      </w:pPr>
      <w:r w:rsidRPr="00E30642">
        <w:rPr>
          <w:rFonts w:ascii="Arial" w:hAnsi="Arial" w:cs="Arial"/>
          <w:b/>
          <w:bCs/>
          <w:caps/>
        </w:rPr>
        <w:t>Sektor VI - Staré Město, Nové Město</w:t>
      </w:r>
    </w:p>
    <w:p w14:paraId="43C3E32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Tento sektor města je z hlediska města jako celku nejlidnatějším a obsahuje na svém území rozhodující část městotvorných funkcí pravobřežní části města. V návrhovém období se v tomto sektoru s rozsáhlými změnami obytných ploch neuvažuje. V této době lze počítat pouze s doplněním v lokalitách zřejmých z  následujícího přehledu.</w:t>
      </w:r>
    </w:p>
    <w:p w14:paraId="4CEF082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p>
    <w:tbl>
      <w:tblPr>
        <w:tblW w:w="0" w:type="auto"/>
        <w:tblInd w:w="30" w:type="dxa"/>
        <w:tblLayout w:type="fixed"/>
        <w:tblCellMar>
          <w:left w:w="30" w:type="dxa"/>
          <w:right w:w="30" w:type="dxa"/>
        </w:tblCellMar>
        <w:tblLook w:val="0000" w:firstRow="0" w:lastRow="0" w:firstColumn="0" w:lastColumn="0" w:noHBand="0" w:noVBand="0"/>
      </w:tblPr>
      <w:tblGrid>
        <w:gridCol w:w="474"/>
        <w:gridCol w:w="504"/>
        <w:gridCol w:w="1786"/>
        <w:gridCol w:w="661"/>
        <w:gridCol w:w="626"/>
        <w:gridCol w:w="615"/>
        <w:gridCol w:w="675"/>
        <w:gridCol w:w="855"/>
        <w:gridCol w:w="846"/>
        <w:gridCol w:w="695"/>
        <w:gridCol w:w="649"/>
      </w:tblGrid>
      <w:tr w:rsidR="00CA23D0" w:rsidRPr="00E30642" w14:paraId="331A70B5" w14:textId="77777777" w:rsidTr="00CA23D0">
        <w:tc>
          <w:tcPr>
            <w:tcW w:w="474" w:type="dxa"/>
            <w:tcBorders>
              <w:top w:val="single" w:sz="6" w:space="0" w:color="auto"/>
              <w:left w:val="single" w:sz="6" w:space="0" w:color="auto"/>
              <w:bottom w:val="nil"/>
              <w:right w:val="nil"/>
            </w:tcBorders>
          </w:tcPr>
          <w:p w14:paraId="09184245" w14:textId="77777777" w:rsidR="00CA23D0" w:rsidRPr="00E30642" w:rsidRDefault="00CA23D0" w:rsidP="00CA23D0">
            <w:pPr>
              <w:pStyle w:val="Texttabulky"/>
              <w:jc w:val="both"/>
              <w:rPr>
                <w:rFonts w:cs="Arial"/>
              </w:rPr>
            </w:pPr>
            <w:r w:rsidRPr="00E30642">
              <w:rPr>
                <w:rFonts w:cs="Arial"/>
                <w:b/>
                <w:bCs/>
              </w:rPr>
              <w:t>poř.č.UO</w:t>
            </w:r>
          </w:p>
        </w:tc>
        <w:tc>
          <w:tcPr>
            <w:tcW w:w="504" w:type="dxa"/>
            <w:tcBorders>
              <w:top w:val="single" w:sz="6" w:space="0" w:color="auto"/>
              <w:left w:val="single" w:sz="6" w:space="0" w:color="auto"/>
              <w:bottom w:val="nil"/>
              <w:right w:val="nil"/>
            </w:tcBorders>
          </w:tcPr>
          <w:p w14:paraId="02B307D8" w14:textId="77777777" w:rsidR="00CA23D0" w:rsidRPr="00E30642" w:rsidRDefault="00CA23D0" w:rsidP="00CA23D0">
            <w:pPr>
              <w:pStyle w:val="Texttabulky"/>
              <w:jc w:val="both"/>
              <w:rPr>
                <w:rFonts w:cs="Arial"/>
              </w:rPr>
            </w:pPr>
            <w:r w:rsidRPr="00E30642">
              <w:rPr>
                <w:rFonts w:cs="Arial"/>
                <w:b/>
                <w:bCs/>
              </w:rPr>
              <w:t>char. UO</w:t>
            </w:r>
          </w:p>
        </w:tc>
        <w:tc>
          <w:tcPr>
            <w:tcW w:w="1786" w:type="dxa"/>
            <w:tcBorders>
              <w:top w:val="single" w:sz="6" w:space="0" w:color="auto"/>
              <w:left w:val="single" w:sz="6" w:space="0" w:color="auto"/>
              <w:bottom w:val="nil"/>
              <w:right w:val="single" w:sz="6" w:space="0" w:color="auto"/>
            </w:tcBorders>
          </w:tcPr>
          <w:p w14:paraId="2940947B" w14:textId="77777777" w:rsidR="00CA23D0" w:rsidRPr="00E30642" w:rsidRDefault="00CA23D0" w:rsidP="00CA23D0">
            <w:pPr>
              <w:pStyle w:val="Texttabulky"/>
              <w:jc w:val="both"/>
              <w:rPr>
                <w:rFonts w:cs="Arial"/>
              </w:rPr>
            </w:pPr>
            <w:r w:rsidRPr="00E30642">
              <w:rPr>
                <w:rFonts w:cs="Arial"/>
                <w:b/>
                <w:bCs/>
              </w:rPr>
              <w:t>název urbanistického obvodu</w:t>
            </w:r>
          </w:p>
        </w:tc>
        <w:tc>
          <w:tcPr>
            <w:tcW w:w="661" w:type="dxa"/>
            <w:tcBorders>
              <w:top w:val="single" w:sz="6" w:space="0" w:color="auto"/>
              <w:left w:val="nil"/>
              <w:bottom w:val="nil"/>
              <w:right w:val="nil"/>
            </w:tcBorders>
          </w:tcPr>
          <w:p w14:paraId="2D8CF034" w14:textId="77777777" w:rsidR="00CA23D0" w:rsidRPr="00E30642" w:rsidRDefault="00CA23D0" w:rsidP="00CA23D0">
            <w:pPr>
              <w:pStyle w:val="Texttabulky"/>
              <w:jc w:val="both"/>
              <w:rPr>
                <w:rFonts w:cs="Arial"/>
              </w:rPr>
            </w:pPr>
            <w:r w:rsidRPr="00E30642">
              <w:rPr>
                <w:rFonts w:cs="Arial"/>
                <w:b/>
                <w:bCs/>
              </w:rPr>
              <w:t>OB91</w:t>
            </w:r>
          </w:p>
        </w:tc>
        <w:tc>
          <w:tcPr>
            <w:tcW w:w="1916" w:type="dxa"/>
            <w:gridSpan w:val="3"/>
            <w:tcBorders>
              <w:top w:val="single" w:sz="6" w:space="0" w:color="auto"/>
              <w:left w:val="single" w:sz="6" w:space="0" w:color="auto"/>
              <w:bottom w:val="nil"/>
              <w:right w:val="nil"/>
            </w:tcBorders>
          </w:tcPr>
          <w:p w14:paraId="12E7CA3E"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nové obytné plochy</w:t>
            </w:r>
          </w:p>
        </w:tc>
        <w:tc>
          <w:tcPr>
            <w:tcW w:w="1701" w:type="dxa"/>
            <w:gridSpan w:val="2"/>
            <w:tcBorders>
              <w:top w:val="single" w:sz="6" w:space="0" w:color="auto"/>
              <w:left w:val="nil"/>
              <w:bottom w:val="nil"/>
              <w:right w:val="single" w:sz="6" w:space="0" w:color="auto"/>
            </w:tcBorders>
          </w:tcPr>
          <w:p w14:paraId="61466DB6"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počet bydlících osob</w:t>
            </w:r>
          </w:p>
        </w:tc>
        <w:tc>
          <w:tcPr>
            <w:tcW w:w="695" w:type="dxa"/>
            <w:tcBorders>
              <w:top w:val="single" w:sz="6" w:space="0" w:color="auto"/>
              <w:left w:val="nil"/>
              <w:bottom w:val="nil"/>
              <w:right w:val="single" w:sz="6" w:space="0" w:color="auto"/>
            </w:tcBorders>
          </w:tcPr>
          <w:p w14:paraId="65EBBA01" w14:textId="77777777" w:rsidR="00CA23D0" w:rsidRPr="00E30642" w:rsidRDefault="00CA23D0" w:rsidP="00CA23D0">
            <w:pPr>
              <w:pStyle w:val="Texttabulky"/>
              <w:jc w:val="both"/>
              <w:rPr>
                <w:rFonts w:cs="Arial"/>
              </w:rPr>
            </w:pPr>
            <w:r w:rsidRPr="00E30642">
              <w:rPr>
                <w:rFonts w:cs="Arial"/>
                <w:b/>
                <w:bCs/>
              </w:rPr>
              <w:t xml:space="preserve">OB přírůstek návrh </w:t>
            </w:r>
          </w:p>
        </w:tc>
        <w:tc>
          <w:tcPr>
            <w:tcW w:w="649" w:type="dxa"/>
            <w:tcBorders>
              <w:top w:val="single" w:sz="6" w:space="0" w:color="auto"/>
              <w:left w:val="nil"/>
              <w:bottom w:val="nil"/>
              <w:right w:val="single" w:sz="6" w:space="0" w:color="auto"/>
            </w:tcBorders>
          </w:tcPr>
          <w:p w14:paraId="1F4B9EDE" w14:textId="77777777" w:rsidR="00CA23D0" w:rsidRPr="00E30642" w:rsidRDefault="00CA23D0" w:rsidP="00CA23D0">
            <w:pPr>
              <w:pStyle w:val="Texttabulky"/>
              <w:jc w:val="both"/>
              <w:rPr>
                <w:rFonts w:cs="Arial"/>
              </w:rPr>
            </w:pPr>
            <w:r w:rsidRPr="00E30642">
              <w:rPr>
                <w:rFonts w:cs="Arial"/>
                <w:b/>
                <w:bCs/>
              </w:rPr>
              <w:t>OB přírůstek návrh +rez.</w:t>
            </w:r>
          </w:p>
        </w:tc>
      </w:tr>
      <w:tr w:rsidR="00CA23D0" w:rsidRPr="00E30642" w14:paraId="53D8DE5A" w14:textId="77777777" w:rsidTr="00CA23D0">
        <w:tc>
          <w:tcPr>
            <w:tcW w:w="474" w:type="dxa"/>
            <w:tcBorders>
              <w:top w:val="nil"/>
              <w:left w:val="single" w:sz="6" w:space="0" w:color="auto"/>
              <w:bottom w:val="single" w:sz="4" w:space="0" w:color="auto"/>
              <w:right w:val="nil"/>
            </w:tcBorders>
          </w:tcPr>
          <w:p w14:paraId="1862A33A" w14:textId="77777777" w:rsidR="00CA23D0" w:rsidRPr="00E30642" w:rsidRDefault="00CA23D0" w:rsidP="00CA23D0">
            <w:pPr>
              <w:pStyle w:val="Zkladntext"/>
              <w:spacing w:line="240" w:lineRule="atLeast"/>
              <w:jc w:val="both"/>
              <w:rPr>
                <w:rFonts w:ascii="Arial" w:hAnsi="Arial" w:cs="Arial"/>
              </w:rPr>
            </w:pPr>
          </w:p>
        </w:tc>
        <w:tc>
          <w:tcPr>
            <w:tcW w:w="504" w:type="dxa"/>
            <w:tcBorders>
              <w:top w:val="nil"/>
              <w:left w:val="single" w:sz="6" w:space="0" w:color="auto"/>
              <w:bottom w:val="single" w:sz="4" w:space="0" w:color="auto"/>
              <w:right w:val="nil"/>
            </w:tcBorders>
          </w:tcPr>
          <w:p w14:paraId="1B1CA8E3" w14:textId="77777777" w:rsidR="00CA23D0" w:rsidRPr="00E30642" w:rsidRDefault="00CA23D0" w:rsidP="00CA23D0">
            <w:pPr>
              <w:pStyle w:val="Zkladntext"/>
              <w:spacing w:line="240" w:lineRule="atLeast"/>
              <w:jc w:val="both"/>
              <w:rPr>
                <w:rFonts w:ascii="Arial" w:hAnsi="Arial" w:cs="Arial"/>
              </w:rPr>
            </w:pPr>
          </w:p>
        </w:tc>
        <w:tc>
          <w:tcPr>
            <w:tcW w:w="1786" w:type="dxa"/>
            <w:tcBorders>
              <w:top w:val="nil"/>
              <w:left w:val="single" w:sz="6" w:space="0" w:color="auto"/>
              <w:bottom w:val="single" w:sz="4" w:space="0" w:color="auto"/>
              <w:right w:val="single" w:sz="6" w:space="0" w:color="auto"/>
            </w:tcBorders>
          </w:tcPr>
          <w:p w14:paraId="3587C483" w14:textId="77777777" w:rsidR="00CA23D0" w:rsidRPr="00E30642" w:rsidRDefault="00CA23D0" w:rsidP="00CA23D0">
            <w:pPr>
              <w:pStyle w:val="Zkladntext"/>
              <w:spacing w:line="240" w:lineRule="atLeast"/>
              <w:jc w:val="both"/>
              <w:rPr>
                <w:rFonts w:ascii="Arial" w:hAnsi="Arial" w:cs="Arial"/>
              </w:rPr>
            </w:pPr>
          </w:p>
        </w:tc>
        <w:tc>
          <w:tcPr>
            <w:tcW w:w="661" w:type="dxa"/>
            <w:tcBorders>
              <w:top w:val="nil"/>
              <w:left w:val="nil"/>
              <w:bottom w:val="single" w:sz="4" w:space="0" w:color="auto"/>
              <w:right w:val="nil"/>
            </w:tcBorders>
          </w:tcPr>
          <w:p w14:paraId="348AAA56" w14:textId="77777777" w:rsidR="00CA23D0" w:rsidRPr="00E30642" w:rsidRDefault="00CA23D0" w:rsidP="00CA23D0">
            <w:pPr>
              <w:pStyle w:val="Zkladntext"/>
              <w:spacing w:line="240" w:lineRule="atLeast"/>
              <w:jc w:val="both"/>
              <w:rPr>
                <w:rFonts w:ascii="Arial" w:hAnsi="Arial" w:cs="Arial"/>
              </w:rPr>
            </w:pPr>
          </w:p>
        </w:tc>
        <w:tc>
          <w:tcPr>
            <w:tcW w:w="626" w:type="dxa"/>
            <w:tcBorders>
              <w:top w:val="single" w:sz="6" w:space="0" w:color="auto"/>
              <w:left w:val="single" w:sz="6" w:space="0" w:color="auto"/>
              <w:bottom w:val="single" w:sz="4" w:space="0" w:color="auto"/>
              <w:right w:val="single" w:sz="6" w:space="0" w:color="auto"/>
            </w:tcBorders>
          </w:tcPr>
          <w:p w14:paraId="46B5696D" w14:textId="77777777" w:rsidR="00CA23D0" w:rsidRPr="00E30642" w:rsidRDefault="00CA23D0" w:rsidP="00CA23D0">
            <w:pPr>
              <w:pStyle w:val="Texttabulky"/>
              <w:spacing w:line="240" w:lineRule="atLeast"/>
              <w:jc w:val="both"/>
              <w:rPr>
                <w:rFonts w:cs="Arial"/>
              </w:rPr>
            </w:pPr>
            <w:r w:rsidRPr="00E30642">
              <w:rPr>
                <w:rFonts w:cs="Arial"/>
                <w:b/>
                <w:bCs/>
              </w:rPr>
              <w:t>OB návrh I</w:t>
            </w:r>
          </w:p>
        </w:tc>
        <w:tc>
          <w:tcPr>
            <w:tcW w:w="615" w:type="dxa"/>
            <w:tcBorders>
              <w:top w:val="single" w:sz="6" w:space="0" w:color="auto"/>
              <w:left w:val="single" w:sz="6" w:space="0" w:color="auto"/>
              <w:bottom w:val="single" w:sz="4" w:space="0" w:color="auto"/>
              <w:right w:val="single" w:sz="6" w:space="0" w:color="auto"/>
            </w:tcBorders>
          </w:tcPr>
          <w:p w14:paraId="389A5FAD" w14:textId="77777777" w:rsidR="00CA23D0" w:rsidRPr="00E30642" w:rsidRDefault="00CA23D0" w:rsidP="00CA23D0">
            <w:pPr>
              <w:pStyle w:val="Texttabulky"/>
              <w:spacing w:line="240" w:lineRule="atLeast"/>
              <w:jc w:val="both"/>
              <w:rPr>
                <w:rFonts w:cs="Arial"/>
              </w:rPr>
            </w:pPr>
            <w:r w:rsidRPr="00E30642">
              <w:rPr>
                <w:rFonts w:cs="Arial"/>
                <w:b/>
                <w:bCs/>
              </w:rPr>
              <w:t>OB návrh II</w:t>
            </w:r>
          </w:p>
        </w:tc>
        <w:tc>
          <w:tcPr>
            <w:tcW w:w="675" w:type="dxa"/>
            <w:tcBorders>
              <w:top w:val="single" w:sz="6" w:space="0" w:color="auto"/>
              <w:left w:val="single" w:sz="6" w:space="0" w:color="auto"/>
              <w:bottom w:val="single" w:sz="4" w:space="0" w:color="auto"/>
              <w:right w:val="single" w:sz="6" w:space="0" w:color="auto"/>
            </w:tcBorders>
          </w:tcPr>
          <w:p w14:paraId="15554AF7" w14:textId="77777777" w:rsidR="00CA23D0" w:rsidRPr="00E30642" w:rsidRDefault="00CA23D0" w:rsidP="00CA23D0">
            <w:pPr>
              <w:pStyle w:val="Texttabulky"/>
              <w:spacing w:line="240" w:lineRule="atLeast"/>
              <w:jc w:val="both"/>
              <w:rPr>
                <w:rFonts w:cs="Arial"/>
              </w:rPr>
            </w:pPr>
            <w:r w:rsidRPr="00E30642">
              <w:rPr>
                <w:rFonts w:cs="Arial"/>
                <w:b/>
                <w:bCs/>
              </w:rPr>
              <w:t>OB rezerva</w:t>
            </w:r>
          </w:p>
        </w:tc>
        <w:tc>
          <w:tcPr>
            <w:tcW w:w="855" w:type="dxa"/>
            <w:tcBorders>
              <w:top w:val="single" w:sz="6" w:space="0" w:color="auto"/>
              <w:left w:val="single" w:sz="6" w:space="0" w:color="auto"/>
              <w:bottom w:val="single" w:sz="4" w:space="0" w:color="auto"/>
              <w:right w:val="single" w:sz="4" w:space="0" w:color="auto"/>
            </w:tcBorders>
          </w:tcPr>
          <w:p w14:paraId="0429946A" w14:textId="77777777" w:rsidR="00CA23D0" w:rsidRPr="00E30642" w:rsidRDefault="00CA23D0" w:rsidP="00CA23D0">
            <w:pPr>
              <w:pStyle w:val="Texttabulky"/>
              <w:spacing w:line="240" w:lineRule="atLeast"/>
              <w:jc w:val="both"/>
              <w:rPr>
                <w:rFonts w:cs="Arial"/>
              </w:rPr>
            </w:pPr>
            <w:r w:rsidRPr="00E30642">
              <w:rPr>
                <w:rFonts w:cs="Arial"/>
                <w:b/>
                <w:bCs/>
              </w:rPr>
              <w:t>návrh</w:t>
            </w:r>
          </w:p>
        </w:tc>
        <w:tc>
          <w:tcPr>
            <w:tcW w:w="846" w:type="dxa"/>
            <w:tcBorders>
              <w:top w:val="single" w:sz="6" w:space="0" w:color="auto"/>
              <w:left w:val="single" w:sz="4" w:space="0" w:color="auto"/>
              <w:bottom w:val="single" w:sz="4" w:space="0" w:color="auto"/>
              <w:right w:val="single" w:sz="6" w:space="0" w:color="auto"/>
            </w:tcBorders>
          </w:tcPr>
          <w:p w14:paraId="4A2F6034" w14:textId="77777777" w:rsidR="00CA23D0" w:rsidRPr="00E30642" w:rsidRDefault="00CA23D0" w:rsidP="00CA23D0">
            <w:pPr>
              <w:pStyle w:val="Texttabulky"/>
              <w:spacing w:line="240" w:lineRule="atLeast"/>
              <w:jc w:val="both"/>
              <w:rPr>
                <w:rFonts w:cs="Arial"/>
              </w:rPr>
            </w:pPr>
            <w:r w:rsidRPr="00E30642">
              <w:rPr>
                <w:rFonts w:cs="Arial"/>
                <w:b/>
                <w:bCs/>
              </w:rPr>
              <w:t>návrh + rez.</w:t>
            </w:r>
          </w:p>
        </w:tc>
        <w:tc>
          <w:tcPr>
            <w:tcW w:w="695" w:type="dxa"/>
            <w:tcBorders>
              <w:top w:val="nil"/>
              <w:left w:val="single" w:sz="6" w:space="0" w:color="auto"/>
              <w:bottom w:val="single" w:sz="4" w:space="0" w:color="auto"/>
              <w:right w:val="single" w:sz="6" w:space="0" w:color="auto"/>
            </w:tcBorders>
          </w:tcPr>
          <w:p w14:paraId="168A7F7D" w14:textId="77777777" w:rsidR="00CA23D0" w:rsidRPr="00E30642" w:rsidRDefault="00CA23D0" w:rsidP="00CA23D0">
            <w:pPr>
              <w:pStyle w:val="Zkladntext"/>
              <w:spacing w:line="240" w:lineRule="atLeast"/>
              <w:jc w:val="both"/>
              <w:rPr>
                <w:rFonts w:ascii="Arial" w:hAnsi="Arial" w:cs="Arial"/>
              </w:rPr>
            </w:pPr>
          </w:p>
        </w:tc>
        <w:tc>
          <w:tcPr>
            <w:tcW w:w="649" w:type="dxa"/>
            <w:tcBorders>
              <w:top w:val="nil"/>
              <w:left w:val="nil"/>
              <w:bottom w:val="single" w:sz="4" w:space="0" w:color="auto"/>
              <w:right w:val="single" w:sz="6" w:space="0" w:color="auto"/>
            </w:tcBorders>
          </w:tcPr>
          <w:p w14:paraId="5A4994A8" w14:textId="77777777" w:rsidR="00CA23D0" w:rsidRPr="00E30642" w:rsidRDefault="00CA23D0" w:rsidP="00CA23D0">
            <w:pPr>
              <w:pStyle w:val="Zkladntext"/>
              <w:spacing w:line="240" w:lineRule="atLeast"/>
              <w:jc w:val="both"/>
              <w:rPr>
                <w:rFonts w:ascii="Arial" w:hAnsi="Arial" w:cs="Arial"/>
              </w:rPr>
            </w:pPr>
          </w:p>
        </w:tc>
      </w:tr>
      <w:tr w:rsidR="00CA23D0" w:rsidRPr="00E30642" w14:paraId="3FD3E75F" w14:textId="77777777" w:rsidTr="00CA23D0">
        <w:tc>
          <w:tcPr>
            <w:tcW w:w="474" w:type="dxa"/>
            <w:tcBorders>
              <w:top w:val="single" w:sz="4" w:space="0" w:color="auto"/>
              <w:left w:val="single" w:sz="4" w:space="0" w:color="auto"/>
              <w:bottom w:val="single" w:sz="4" w:space="0" w:color="auto"/>
              <w:right w:val="single" w:sz="4" w:space="0" w:color="auto"/>
            </w:tcBorders>
          </w:tcPr>
          <w:p w14:paraId="41D6FD0F" w14:textId="77777777" w:rsidR="00CA23D0" w:rsidRPr="00E30642" w:rsidRDefault="00CA23D0" w:rsidP="00CA23D0">
            <w:pPr>
              <w:pStyle w:val="Texttabulky"/>
              <w:spacing w:line="240" w:lineRule="atLeast"/>
              <w:jc w:val="both"/>
              <w:rPr>
                <w:rFonts w:cs="Arial"/>
              </w:rPr>
            </w:pPr>
            <w:r w:rsidRPr="00E30642">
              <w:rPr>
                <w:rFonts w:cs="Arial"/>
              </w:rPr>
              <w:t>4</w:t>
            </w:r>
          </w:p>
        </w:tc>
        <w:tc>
          <w:tcPr>
            <w:tcW w:w="504" w:type="dxa"/>
            <w:tcBorders>
              <w:top w:val="single" w:sz="4" w:space="0" w:color="auto"/>
              <w:left w:val="single" w:sz="4" w:space="0" w:color="auto"/>
              <w:bottom w:val="single" w:sz="4" w:space="0" w:color="auto"/>
              <w:right w:val="single" w:sz="4" w:space="0" w:color="auto"/>
            </w:tcBorders>
          </w:tcPr>
          <w:p w14:paraId="6FB70489" w14:textId="77777777" w:rsidR="00CA23D0" w:rsidRPr="00E30642" w:rsidRDefault="00CA23D0" w:rsidP="00CA23D0">
            <w:pPr>
              <w:pStyle w:val="Texttabulky"/>
              <w:spacing w:line="240" w:lineRule="atLeast"/>
              <w:jc w:val="both"/>
              <w:rPr>
                <w:rFonts w:cs="Arial"/>
              </w:rPr>
            </w:pPr>
            <w:r w:rsidRPr="00E30642">
              <w:rPr>
                <w:rFonts w:cs="Arial"/>
              </w:rPr>
              <w:t>V</w:t>
            </w:r>
          </w:p>
        </w:tc>
        <w:tc>
          <w:tcPr>
            <w:tcW w:w="1786" w:type="dxa"/>
            <w:tcBorders>
              <w:top w:val="single" w:sz="4" w:space="0" w:color="auto"/>
              <w:left w:val="single" w:sz="4" w:space="0" w:color="auto"/>
              <w:bottom w:val="single" w:sz="4" w:space="0" w:color="auto"/>
              <w:right w:val="single" w:sz="4" w:space="0" w:color="auto"/>
            </w:tcBorders>
          </w:tcPr>
          <w:p w14:paraId="5B35DEAC" w14:textId="77777777" w:rsidR="00CA23D0" w:rsidRPr="00E30642" w:rsidRDefault="00CA23D0" w:rsidP="00CA23D0">
            <w:pPr>
              <w:pStyle w:val="Texttabulky"/>
              <w:spacing w:line="240" w:lineRule="atLeast"/>
              <w:jc w:val="both"/>
              <w:rPr>
                <w:rFonts w:cs="Arial"/>
              </w:rPr>
            </w:pPr>
            <w:r w:rsidRPr="00E30642">
              <w:rPr>
                <w:rFonts w:cs="Arial"/>
              </w:rPr>
              <w:t>Nemocnice</w:t>
            </w:r>
          </w:p>
        </w:tc>
        <w:tc>
          <w:tcPr>
            <w:tcW w:w="661" w:type="dxa"/>
            <w:tcBorders>
              <w:top w:val="single" w:sz="4" w:space="0" w:color="auto"/>
              <w:left w:val="single" w:sz="4" w:space="0" w:color="auto"/>
              <w:bottom w:val="single" w:sz="4" w:space="0" w:color="auto"/>
              <w:right w:val="single" w:sz="4" w:space="0" w:color="auto"/>
            </w:tcBorders>
          </w:tcPr>
          <w:p w14:paraId="3CAC63B2" w14:textId="77777777" w:rsidR="00CA23D0" w:rsidRPr="00E30642" w:rsidRDefault="00CA23D0" w:rsidP="00CA23D0">
            <w:pPr>
              <w:pStyle w:val="Texttabulky"/>
              <w:spacing w:line="240" w:lineRule="atLeast"/>
              <w:jc w:val="both"/>
              <w:rPr>
                <w:rFonts w:cs="Arial"/>
              </w:rPr>
            </w:pPr>
            <w:r w:rsidRPr="00E30642">
              <w:rPr>
                <w:rFonts w:cs="Arial"/>
              </w:rPr>
              <w:t>0</w:t>
            </w:r>
          </w:p>
        </w:tc>
        <w:tc>
          <w:tcPr>
            <w:tcW w:w="626" w:type="dxa"/>
            <w:tcBorders>
              <w:top w:val="single" w:sz="4" w:space="0" w:color="auto"/>
              <w:left w:val="single" w:sz="4" w:space="0" w:color="auto"/>
              <w:bottom w:val="single" w:sz="4" w:space="0" w:color="auto"/>
              <w:right w:val="single" w:sz="4" w:space="0" w:color="auto"/>
            </w:tcBorders>
          </w:tcPr>
          <w:p w14:paraId="3C797D21" w14:textId="77777777" w:rsidR="00CA23D0" w:rsidRPr="00E30642" w:rsidRDefault="00CA23D0" w:rsidP="00CA23D0">
            <w:pPr>
              <w:pStyle w:val="Texttabulky"/>
              <w:spacing w:line="240" w:lineRule="atLeast"/>
              <w:jc w:val="both"/>
              <w:rPr>
                <w:rFonts w:cs="Arial"/>
              </w:rPr>
            </w:pPr>
            <w:r w:rsidRPr="00E30642">
              <w:rPr>
                <w:rFonts w:cs="Arial"/>
              </w:rPr>
              <w:t>355</w:t>
            </w:r>
          </w:p>
        </w:tc>
        <w:tc>
          <w:tcPr>
            <w:tcW w:w="615" w:type="dxa"/>
            <w:tcBorders>
              <w:top w:val="single" w:sz="4" w:space="0" w:color="auto"/>
              <w:left w:val="single" w:sz="4" w:space="0" w:color="auto"/>
              <w:bottom w:val="single" w:sz="4" w:space="0" w:color="auto"/>
              <w:right w:val="single" w:sz="4" w:space="0" w:color="auto"/>
            </w:tcBorders>
          </w:tcPr>
          <w:p w14:paraId="1BC2302F" w14:textId="77777777" w:rsidR="00CA23D0" w:rsidRPr="00E30642" w:rsidRDefault="00CA23D0" w:rsidP="00CA23D0">
            <w:pPr>
              <w:pStyle w:val="Zkladntext"/>
              <w:spacing w:line="240" w:lineRule="atLeas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03BF42B6"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5B6EE61B" w14:textId="77777777" w:rsidR="00CA23D0" w:rsidRPr="00E30642" w:rsidRDefault="00CA23D0" w:rsidP="00CA23D0">
            <w:pPr>
              <w:pStyle w:val="Texttabulky"/>
              <w:spacing w:line="240" w:lineRule="atLeast"/>
              <w:jc w:val="both"/>
              <w:rPr>
                <w:rFonts w:cs="Arial"/>
              </w:rPr>
            </w:pPr>
            <w:r w:rsidRPr="00E30642">
              <w:rPr>
                <w:rFonts w:cs="Arial"/>
              </w:rPr>
              <w:t>355</w:t>
            </w:r>
          </w:p>
        </w:tc>
        <w:tc>
          <w:tcPr>
            <w:tcW w:w="846" w:type="dxa"/>
            <w:tcBorders>
              <w:top w:val="single" w:sz="4" w:space="0" w:color="auto"/>
              <w:left w:val="single" w:sz="4" w:space="0" w:color="auto"/>
              <w:bottom w:val="single" w:sz="4" w:space="0" w:color="auto"/>
              <w:right w:val="single" w:sz="4" w:space="0" w:color="auto"/>
            </w:tcBorders>
          </w:tcPr>
          <w:p w14:paraId="487E772B" w14:textId="77777777" w:rsidR="00CA23D0" w:rsidRPr="00E30642" w:rsidRDefault="00CA23D0" w:rsidP="00CA23D0">
            <w:pPr>
              <w:pStyle w:val="Texttabulky"/>
              <w:spacing w:line="240" w:lineRule="atLeast"/>
              <w:jc w:val="both"/>
              <w:rPr>
                <w:rFonts w:cs="Arial"/>
              </w:rPr>
            </w:pPr>
            <w:r w:rsidRPr="00E30642">
              <w:rPr>
                <w:rFonts w:cs="Arial"/>
              </w:rPr>
              <w:t>355</w:t>
            </w:r>
          </w:p>
        </w:tc>
        <w:tc>
          <w:tcPr>
            <w:tcW w:w="695" w:type="dxa"/>
            <w:tcBorders>
              <w:top w:val="single" w:sz="4" w:space="0" w:color="auto"/>
              <w:left w:val="single" w:sz="4" w:space="0" w:color="auto"/>
              <w:bottom w:val="single" w:sz="4" w:space="0" w:color="auto"/>
              <w:right w:val="single" w:sz="4" w:space="0" w:color="auto"/>
            </w:tcBorders>
          </w:tcPr>
          <w:p w14:paraId="36AE92E6" w14:textId="77777777" w:rsidR="00CA23D0" w:rsidRPr="00E30642" w:rsidRDefault="00CA23D0" w:rsidP="00CA23D0">
            <w:pPr>
              <w:pStyle w:val="Texttabulky"/>
              <w:spacing w:line="240" w:lineRule="atLeast"/>
              <w:jc w:val="both"/>
              <w:rPr>
                <w:rFonts w:cs="Arial"/>
              </w:rPr>
            </w:pPr>
            <w:r w:rsidRPr="00E30642">
              <w:rPr>
                <w:rFonts w:cs="Arial"/>
              </w:rPr>
              <w:t>355</w:t>
            </w:r>
          </w:p>
        </w:tc>
        <w:tc>
          <w:tcPr>
            <w:tcW w:w="649" w:type="dxa"/>
            <w:tcBorders>
              <w:top w:val="single" w:sz="4" w:space="0" w:color="auto"/>
              <w:left w:val="single" w:sz="4" w:space="0" w:color="auto"/>
              <w:bottom w:val="single" w:sz="4" w:space="0" w:color="auto"/>
              <w:right w:val="single" w:sz="4" w:space="0" w:color="auto"/>
            </w:tcBorders>
          </w:tcPr>
          <w:p w14:paraId="62465912" w14:textId="77777777" w:rsidR="00CA23D0" w:rsidRPr="00E30642" w:rsidRDefault="00CA23D0" w:rsidP="00CA23D0">
            <w:pPr>
              <w:pStyle w:val="Texttabulky"/>
              <w:spacing w:line="240" w:lineRule="atLeast"/>
              <w:jc w:val="both"/>
              <w:rPr>
                <w:rFonts w:cs="Arial"/>
              </w:rPr>
            </w:pPr>
            <w:r w:rsidRPr="00E30642">
              <w:rPr>
                <w:rFonts w:cs="Arial"/>
              </w:rPr>
              <w:t>355</w:t>
            </w:r>
          </w:p>
        </w:tc>
      </w:tr>
      <w:tr w:rsidR="00CA23D0" w:rsidRPr="00E30642" w14:paraId="1C1EC62F" w14:textId="77777777" w:rsidTr="00CA23D0">
        <w:tc>
          <w:tcPr>
            <w:tcW w:w="474" w:type="dxa"/>
            <w:tcBorders>
              <w:top w:val="single" w:sz="4" w:space="0" w:color="auto"/>
              <w:left w:val="single" w:sz="4" w:space="0" w:color="auto"/>
              <w:bottom w:val="single" w:sz="4" w:space="0" w:color="auto"/>
              <w:right w:val="single" w:sz="4" w:space="0" w:color="auto"/>
            </w:tcBorders>
          </w:tcPr>
          <w:p w14:paraId="3F600D90" w14:textId="77777777" w:rsidR="00CA23D0" w:rsidRPr="00E30642" w:rsidRDefault="00CA23D0" w:rsidP="00CA23D0">
            <w:pPr>
              <w:pStyle w:val="Texttabulky"/>
              <w:spacing w:line="240" w:lineRule="atLeast"/>
              <w:jc w:val="both"/>
              <w:rPr>
                <w:rFonts w:cs="Arial"/>
              </w:rPr>
            </w:pPr>
            <w:r w:rsidRPr="00E30642">
              <w:rPr>
                <w:rFonts w:cs="Arial"/>
              </w:rPr>
              <w:t>5</w:t>
            </w:r>
          </w:p>
        </w:tc>
        <w:tc>
          <w:tcPr>
            <w:tcW w:w="504" w:type="dxa"/>
            <w:tcBorders>
              <w:top w:val="single" w:sz="4" w:space="0" w:color="auto"/>
              <w:left w:val="single" w:sz="4" w:space="0" w:color="auto"/>
              <w:bottom w:val="single" w:sz="4" w:space="0" w:color="auto"/>
              <w:right w:val="single" w:sz="4" w:space="0" w:color="auto"/>
            </w:tcBorders>
          </w:tcPr>
          <w:p w14:paraId="62F53649" w14:textId="77777777" w:rsidR="00CA23D0" w:rsidRPr="00E30642" w:rsidRDefault="00CA23D0" w:rsidP="00CA23D0">
            <w:pPr>
              <w:pStyle w:val="Texttabulky"/>
              <w:spacing w:line="240" w:lineRule="atLeast"/>
              <w:jc w:val="both"/>
              <w:rPr>
                <w:rFonts w:cs="Arial"/>
              </w:rPr>
            </w:pPr>
            <w:r w:rsidRPr="00E30642">
              <w:rPr>
                <w:rFonts w:cs="Arial"/>
              </w:rPr>
              <w:t>O</w:t>
            </w:r>
          </w:p>
        </w:tc>
        <w:tc>
          <w:tcPr>
            <w:tcW w:w="1786" w:type="dxa"/>
            <w:tcBorders>
              <w:top w:val="single" w:sz="4" w:space="0" w:color="auto"/>
              <w:left w:val="single" w:sz="4" w:space="0" w:color="auto"/>
              <w:bottom w:val="single" w:sz="4" w:space="0" w:color="auto"/>
              <w:right w:val="single" w:sz="4" w:space="0" w:color="auto"/>
            </w:tcBorders>
          </w:tcPr>
          <w:p w14:paraId="74307AB7" w14:textId="77777777" w:rsidR="00CA23D0" w:rsidRPr="00E30642" w:rsidRDefault="00CA23D0" w:rsidP="00CA23D0">
            <w:pPr>
              <w:pStyle w:val="Texttabulky"/>
              <w:spacing w:line="240" w:lineRule="atLeast"/>
              <w:jc w:val="both"/>
              <w:rPr>
                <w:rFonts w:cs="Arial"/>
              </w:rPr>
            </w:pPr>
            <w:r w:rsidRPr="00E30642">
              <w:rPr>
                <w:rFonts w:cs="Arial"/>
              </w:rPr>
              <w:t>Kamenická</w:t>
            </w:r>
          </w:p>
        </w:tc>
        <w:tc>
          <w:tcPr>
            <w:tcW w:w="661" w:type="dxa"/>
            <w:tcBorders>
              <w:top w:val="single" w:sz="4" w:space="0" w:color="auto"/>
              <w:left w:val="single" w:sz="4" w:space="0" w:color="auto"/>
              <w:bottom w:val="single" w:sz="4" w:space="0" w:color="auto"/>
              <w:right w:val="single" w:sz="4" w:space="0" w:color="auto"/>
            </w:tcBorders>
          </w:tcPr>
          <w:p w14:paraId="02E0A36A" w14:textId="77777777" w:rsidR="00CA23D0" w:rsidRPr="00E30642" w:rsidRDefault="00CA23D0" w:rsidP="00CA23D0">
            <w:pPr>
              <w:pStyle w:val="Texttabulky"/>
              <w:spacing w:line="240" w:lineRule="atLeast"/>
              <w:jc w:val="both"/>
              <w:rPr>
                <w:rFonts w:cs="Arial"/>
              </w:rPr>
            </w:pPr>
            <w:r w:rsidRPr="00E30642">
              <w:rPr>
                <w:rFonts w:cs="Arial"/>
              </w:rPr>
              <w:t>3 215</w:t>
            </w:r>
          </w:p>
        </w:tc>
        <w:tc>
          <w:tcPr>
            <w:tcW w:w="626" w:type="dxa"/>
            <w:tcBorders>
              <w:top w:val="single" w:sz="4" w:space="0" w:color="auto"/>
              <w:left w:val="single" w:sz="4" w:space="0" w:color="auto"/>
              <w:bottom w:val="single" w:sz="4" w:space="0" w:color="auto"/>
              <w:right w:val="single" w:sz="4" w:space="0" w:color="auto"/>
            </w:tcBorders>
          </w:tcPr>
          <w:p w14:paraId="7EE9C064"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6886C6F2"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158B242F" w14:textId="77777777" w:rsidR="00CA23D0" w:rsidRPr="00E30642" w:rsidRDefault="00CA23D0" w:rsidP="00CA23D0">
            <w:pPr>
              <w:pStyle w:val="Texttabulky"/>
              <w:spacing w:line="240" w:lineRule="atLeast"/>
              <w:jc w:val="both"/>
              <w:rPr>
                <w:rFonts w:cs="Arial"/>
              </w:rPr>
            </w:pPr>
            <w:r w:rsidRPr="00E30642">
              <w:rPr>
                <w:rFonts w:cs="Arial"/>
              </w:rPr>
              <w:t>210</w:t>
            </w:r>
          </w:p>
        </w:tc>
        <w:tc>
          <w:tcPr>
            <w:tcW w:w="855" w:type="dxa"/>
            <w:tcBorders>
              <w:top w:val="single" w:sz="4" w:space="0" w:color="auto"/>
              <w:left w:val="single" w:sz="4" w:space="0" w:color="auto"/>
              <w:bottom w:val="single" w:sz="4" w:space="0" w:color="auto"/>
              <w:right w:val="single" w:sz="4" w:space="0" w:color="auto"/>
            </w:tcBorders>
          </w:tcPr>
          <w:p w14:paraId="15F7D2A1" w14:textId="77777777" w:rsidR="00CA23D0" w:rsidRPr="00E30642" w:rsidRDefault="00CA23D0" w:rsidP="00CA23D0">
            <w:pPr>
              <w:pStyle w:val="Texttabulky"/>
              <w:spacing w:line="240" w:lineRule="atLeast"/>
              <w:jc w:val="both"/>
              <w:rPr>
                <w:rFonts w:cs="Arial"/>
              </w:rPr>
            </w:pPr>
            <w:r w:rsidRPr="00E30642">
              <w:rPr>
                <w:rFonts w:cs="Arial"/>
              </w:rPr>
              <w:t>3 000</w:t>
            </w:r>
          </w:p>
        </w:tc>
        <w:tc>
          <w:tcPr>
            <w:tcW w:w="846" w:type="dxa"/>
            <w:tcBorders>
              <w:top w:val="single" w:sz="4" w:space="0" w:color="auto"/>
              <w:left w:val="single" w:sz="4" w:space="0" w:color="auto"/>
              <w:bottom w:val="single" w:sz="4" w:space="0" w:color="auto"/>
              <w:right w:val="single" w:sz="4" w:space="0" w:color="auto"/>
            </w:tcBorders>
          </w:tcPr>
          <w:p w14:paraId="5F581CC3" w14:textId="77777777" w:rsidR="00CA23D0" w:rsidRPr="00E30642" w:rsidRDefault="00CA23D0" w:rsidP="00CA23D0">
            <w:pPr>
              <w:pStyle w:val="Texttabulky"/>
              <w:spacing w:line="240" w:lineRule="atLeast"/>
              <w:jc w:val="both"/>
              <w:rPr>
                <w:rFonts w:cs="Arial"/>
              </w:rPr>
            </w:pPr>
            <w:r w:rsidRPr="00E30642">
              <w:rPr>
                <w:rFonts w:cs="Arial"/>
              </w:rPr>
              <w:t>3 210</w:t>
            </w:r>
          </w:p>
        </w:tc>
        <w:tc>
          <w:tcPr>
            <w:tcW w:w="695" w:type="dxa"/>
            <w:tcBorders>
              <w:top w:val="single" w:sz="4" w:space="0" w:color="auto"/>
              <w:left w:val="single" w:sz="4" w:space="0" w:color="auto"/>
              <w:bottom w:val="single" w:sz="4" w:space="0" w:color="auto"/>
              <w:right w:val="single" w:sz="4" w:space="0" w:color="auto"/>
            </w:tcBorders>
          </w:tcPr>
          <w:p w14:paraId="52546079" w14:textId="77777777" w:rsidR="00CA23D0" w:rsidRPr="00E30642" w:rsidRDefault="00CA23D0" w:rsidP="00CA23D0">
            <w:pPr>
              <w:pStyle w:val="Texttabulky"/>
              <w:spacing w:line="240" w:lineRule="atLeast"/>
              <w:jc w:val="both"/>
              <w:rPr>
                <w:rFonts w:cs="Arial"/>
              </w:rPr>
            </w:pPr>
            <w:r w:rsidRPr="00E30642">
              <w:rPr>
                <w:rFonts w:cs="Arial"/>
              </w:rPr>
              <w:t>-215</w:t>
            </w:r>
          </w:p>
        </w:tc>
        <w:tc>
          <w:tcPr>
            <w:tcW w:w="649" w:type="dxa"/>
            <w:tcBorders>
              <w:top w:val="single" w:sz="4" w:space="0" w:color="auto"/>
              <w:left w:val="single" w:sz="4" w:space="0" w:color="auto"/>
              <w:bottom w:val="single" w:sz="4" w:space="0" w:color="auto"/>
              <w:right w:val="single" w:sz="4" w:space="0" w:color="auto"/>
            </w:tcBorders>
          </w:tcPr>
          <w:p w14:paraId="0A05D08F" w14:textId="77777777" w:rsidR="00CA23D0" w:rsidRPr="00E30642" w:rsidRDefault="00CA23D0" w:rsidP="00CA23D0">
            <w:pPr>
              <w:pStyle w:val="Texttabulky"/>
              <w:spacing w:line="240" w:lineRule="atLeast"/>
              <w:jc w:val="both"/>
              <w:rPr>
                <w:rFonts w:cs="Arial"/>
              </w:rPr>
            </w:pPr>
            <w:r w:rsidRPr="00E30642">
              <w:rPr>
                <w:rFonts w:cs="Arial"/>
              </w:rPr>
              <w:t>-5</w:t>
            </w:r>
          </w:p>
        </w:tc>
      </w:tr>
      <w:tr w:rsidR="00CA23D0" w:rsidRPr="00E30642" w14:paraId="5C7DEF3A" w14:textId="77777777" w:rsidTr="00CA23D0">
        <w:tc>
          <w:tcPr>
            <w:tcW w:w="474" w:type="dxa"/>
            <w:tcBorders>
              <w:top w:val="single" w:sz="4" w:space="0" w:color="auto"/>
              <w:left w:val="single" w:sz="4" w:space="0" w:color="auto"/>
              <w:bottom w:val="single" w:sz="4" w:space="0" w:color="auto"/>
              <w:right w:val="single" w:sz="4" w:space="0" w:color="auto"/>
            </w:tcBorders>
          </w:tcPr>
          <w:p w14:paraId="63A5B072" w14:textId="77777777" w:rsidR="00CA23D0" w:rsidRPr="00E30642" w:rsidRDefault="00CA23D0" w:rsidP="00CA23D0">
            <w:pPr>
              <w:pStyle w:val="Texttabulky"/>
              <w:spacing w:line="240" w:lineRule="atLeast"/>
              <w:jc w:val="both"/>
              <w:rPr>
                <w:rFonts w:cs="Arial"/>
              </w:rPr>
            </w:pPr>
            <w:r w:rsidRPr="00E30642">
              <w:rPr>
                <w:rFonts w:cs="Arial"/>
              </w:rPr>
              <w:t>6</w:t>
            </w:r>
          </w:p>
        </w:tc>
        <w:tc>
          <w:tcPr>
            <w:tcW w:w="504" w:type="dxa"/>
            <w:tcBorders>
              <w:top w:val="single" w:sz="4" w:space="0" w:color="auto"/>
              <w:left w:val="single" w:sz="4" w:space="0" w:color="auto"/>
              <w:bottom w:val="single" w:sz="4" w:space="0" w:color="auto"/>
              <w:right w:val="single" w:sz="4" w:space="0" w:color="auto"/>
            </w:tcBorders>
          </w:tcPr>
          <w:p w14:paraId="666EE82B" w14:textId="77777777" w:rsidR="00CA23D0" w:rsidRPr="00E30642" w:rsidRDefault="00CA23D0" w:rsidP="00CA23D0">
            <w:pPr>
              <w:pStyle w:val="Texttabulky"/>
              <w:spacing w:line="240" w:lineRule="atLeast"/>
              <w:jc w:val="both"/>
              <w:rPr>
                <w:rFonts w:cs="Arial"/>
              </w:rPr>
            </w:pPr>
            <w:r w:rsidRPr="00E30642">
              <w:rPr>
                <w:rFonts w:cs="Arial"/>
              </w:rPr>
              <w:t>O</w:t>
            </w:r>
          </w:p>
        </w:tc>
        <w:tc>
          <w:tcPr>
            <w:tcW w:w="1786" w:type="dxa"/>
            <w:tcBorders>
              <w:top w:val="single" w:sz="4" w:space="0" w:color="auto"/>
              <w:left w:val="single" w:sz="4" w:space="0" w:color="auto"/>
              <w:bottom w:val="single" w:sz="4" w:space="0" w:color="auto"/>
              <w:right w:val="single" w:sz="4" w:space="0" w:color="auto"/>
            </w:tcBorders>
          </w:tcPr>
          <w:p w14:paraId="47CDA2E5" w14:textId="77777777" w:rsidR="00CA23D0" w:rsidRPr="00E30642" w:rsidRDefault="00CA23D0" w:rsidP="00CA23D0">
            <w:pPr>
              <w:pStyle w:val="Texttabulky"/>
              <w:spacing w:line="240" w:lineRule="atLeast"/>
              <w:jc w:val="both"/>
              <w:rPr>
                <w:rFonts w:cs="Arial"/>
              </w:rPr>
            </w:pPr>
            <w:r w:rsidRPr="00E30642">
              <w:rPr>
                <w:rFonts w:cs="Arial"/>
              </w:rPr>
              <w:t>U nemocnice</w:t>
            </w:r>
          </w:p>
        </w:tc>
        <w:tc>
          <w:tcPr>
            <w:tcW w:w="661" w:type="dxa"/>
            <w:tcBorders>
              <w:top w:val="single" w:sz="4" w:space="0" w:color="auto"/>
              <w:left w:val="single" w:sz="4" w:space="0" w:color="auto"/>
              <w:bottom w:val="single" w:sz="4" w:space="0" w:color="auto"/>
              <w:right w:val="single" w:sz="4" w:space="0" w:color="auto"/>
            </w:tcBorders>
          </w:tcPr>
          <w:p w14:paraId="36EF0CE6" w14:textId="77777777" w:rsidR="00CA23D0" w:rsidRPr="00E30642" w:rsidRDefault="00CA23D0" w:rsidP="00CA23D0">
            <w:pPr>
              <w:pStyle w:val="Texttabulky"/>
              <w:spacing w:line="240" w:lineRule="atLeast"/>
              <w:jc w:val="both"/>
              <w:rPr>
                <w:rFonts w:cs="Arial"/>
              </w:rPr>
            </w:pPr>
            <w:r w:rsidRPr="00E30642">
              <w:rPr>
                <w:rFonts w:cs="Arial"/>
              </w:rPr>
              <w:t>3 106</w:t>
            </w:r>
          </w:p>
        </w:tc>
        <w:tc>
          <w:tcPr>
            <w:tcW w:w="626" w:type="dxa"/>
            <w:tcBorders>
              <w:top w:val="single" w:sz="4" w:space="0" w:color="auto"/>
              <w:left w:val="single" w:sz="4" w:space="0" w:color="auto"/>
              <w:bottom w:val="single" w:sz="4" w:space="0" w:color="auto"/>
              <w:right w:val="single" w:sz="4" w:space="0" w:color="auto"/>
            </w:tcBorders>
          </w:tcPr>
          <w:p w14:paraId="0BCEA801"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120FD6AE"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04AB7A0D"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4175F7F9" w14:textId="77777777" w:rsidR="00CA23D0" w:rsidRPr="00E30642" w:rsidRDefault="00CA23D0" w:rsidP="00CA23D0">
            <w:pPr>
              <w:pStyle w:val="Texttabulky"/>
              <w:spacing w:line="240" w:lineRule="atLeast"/>
              <w:jc w:val="both"/>
              <w:rPr>
                <w:rFonts w:cs="Arial"/>
              </w:rPr>
            </w:pPr>
            <w:r w:rsidRPr="00E30642">
              <w:rPr>
                <w:rFonts w:cs="Arial"/>
              </w:rPr>
              <w:t>3 000</w:t>
            </w:r>
          </w:p>
        </w:tc>
        <w:tc>
          <w:tcPr>
            <w:tcW w:w="846" w:type="dxa"/>
            <w:tcBorders>
              <w:top w:val="single" w:sz="4" w:space="0" w:color="auto"/>
              <w:left w:val="single" w:sz="4" w:space="0" w:color="auto"/>
              <w:bottom w:val="single" w:sz="4" w:space="0" w:color="auto"/>
              <w:right w:val="single" w:sz="4" w:space="0" w:color="auto"/>
            </w:tcBorders>
          </w:tcPr>
          <w:p w14:paraId="65B6EE96" w14:textId="77777777" w:rsidR="00CA23D0" w:rsidRPr="00E30642" w:rsidRDefault="00CA23D0" w:rsidP="00CA23D0">
            <w:pPr>
              <w:pStyle w:val="Texttabulky"/>
              <w:spacing w:line="240" w:lineRule="atLeast"/>
              <w:jc w:val="both"/>
              <w:rPr>
                <w:rFonts w:cs="Arial"/>
              </w:rPr>
            </w:pPr>
            <w:r w:rsidRPr="00E30642">
              <w:rPr>
                <w:rFonts w:cs="Arial"/>
              </w:rPr>
              <w:t>3 000</w:t>
            </w:r>
          </w:p>
        </w:tc>
        <w:tc>
          <w:tcPr>
            <w:tcW w:w="695" w:type="dxa"/>
            <w:tcBorders>
              <w:top w:val="single" w:sz="4" w:space="0" w:color="auto"/>
              <w:left w:val="single" w:sz="4" w:space="0" w:color="auto"/>
              <w:bottom w:val="single" w:sz="4" w:space="0" w:color="auto"/>
              <w:right w:val="single" w:sz="4" w:space="0" w:color="auto"/>
            </w:tcBorders>
          </w:tcPr>
          <w:p w14:paraId="35EBD63F" w14:textId="77777777" w:rsidR="00CA23D0" w:rsidRPr="00E30642" w:rsidRDefault="00CA23D0" w:rsidP="00CA23D0">
            <w:pPr>
              <w:pStyle w:val="Texttabulky"/>
              <w:spacing w:line="240" w:lineRule="atLeast"/>
              <w:jc w:val="both"/>
              <w:rPr>
                <w:rFonts w:cs="Arial"/>
              </w:rPr>
            </w:pPr>
            <w:r w:rsidRPr="00E30642">
              <w:rPr>
                <w:rFonts w:cs="Arial"/>
              </w:rPr>
              <w:t>-106</w:t>
            </w:r>
          </w:p>
        </w:tc>
        <w:tc>
          <w:tcPr>
            <w:tcW w:w="649" w:type="dxa"/>
            <w:tcBorders>
              <w:top w:val="single" w:sz="4" w:space="0" w:color="auto"/>
              <w:left w:val="single" w:sz="4" w:space="0" w:color="auto"/>
              <w:bottom w:val="single" w:sz="4" w:space="0" w:color="auto"/>
              <w:right w:val="single" w:sz="4" w:space="0" w:color="auto"/>
            </w:tcBorders>
          </w:tcPr>
          <w:p w14:paraId="3386FBFD" w14:textId="77777777" w:rsidR="00CA23D0" w:rsidRPr="00E30642" w:rsidRDefault="00CA23D0" w:rsidP="00CA23D0">
            <w:pPr>
              <w:pStyle w:val="Texttabulky"/>
              <w:spacing w:line="240" w:lineRule="atLeast"/>
              <w:jc w:val="both"/>
              <w:rPr>
                <w:rFonts w:cs="Arial"/>
              </w:rPr>
            </w:pPr>
            <w:r w:rsidRPr="00E30642">
              <w:rPr>
                <w:rFonts w:cs="Arial"/>
              </w:rPr>
              <w:t>-106</w:t>
            </w:r>
          </w:p>
        </w:tc>
      </w:tr>
      <w:tr w:rsidR="00CA23D0" w:rsidRPr="00E30642" w14:paraId="58A44F73" w14:textId="77777777" w:rsidTr="00CA23D0">
        <w:tc>
          <w:tcPr>
            <w:tcW w:w="474" w:type="dxa"/>
            <w:tcBorders>
              <w:top w:val="single" w:sz="4" w:space="0" w:color="auto"/>
              <w:left w:val="single" w:sz="4" w:space="0" w:color="auto"/>
              <w:bottom w:val="single" w:sz="4" w:space="0" w:color="auto"/>
              <w:right w:val="single" w:sz="4" w:space="0" w:color="auto"/>
            </w:tcBorders>
          </w:tcPr>
          <w:p w14:paraId="664F6780" w14:textId="77777777" w:rsidR="00CA23D0" w:rsidRPr="00E30642" w:rsidRDefault="00CA23D0" w:rsidP="00CA23D0">
            <w:pPr>
              <w:pStyle w:val="Texttabulky"/>
              <w:spacing w:line="240" w:lineRule="atLeast"/>
              <w:jc w:val="both"/>
              <w:rPr>
                <w:rFonts w:cs="Arial"/>
              </w:rPr>
            </w:pPr>
            <w:r w:rsidRPr="00E30642">
              <w:rPr>
                <w:rFonts w:cs="Arial"/>
              </w:rPr>
              <w:t>7</w:t>
            </w:r>
          </w:p>
        </w:tc>
        <w:tc>
          <w:tcPr>
            <w:tcW w:w="504" w:type="dxa"/>
            <w:tcBorders>
              <w:top w:val="single" w:sz="4" w:space="0" w:color="auto"/>
              <w:left w:val="single" w:sz="4" w:space="0" w:color="auto"/>
              <w:bottom w:val="single" w:sz="4" w:space="0" w:color="auto"/>
              <w:right w:val="single" w:sz="4" w:space="0" w:color="auto"/>
            </w:tcBorders>
          </w:tcPr>
          <w:p w14:paraId="0F4274C4" w14:textId="77777777" w:rsidR="00CA23D0" w:rsidRPr="00E30642" w:rsidRDefault="00CA23D0" w:rsidP="00CA23D0">
            <w:pPr>
              <w:pStyle w:val="Texttabulky"/>
              <w:spacing w:line="240" w:lineRule="atLeast"/>
              <w:jc w:val="both"/>
              <w:rPr>
                <w:rFonts w:cs="Arial"/>
              </w:rPr>
            </w:pPr>
            <w:r w:rsidRPr="00E30642">
              <w:rPr>
                <w:rFonts w:cs="Arial"/>
              </w:rPr>
              <w:t>P</w:t>
            </w:r>
          </w:p>
        </w:tc>
        <w:tc>
          <w:tcPr>
            <w:tcW w:w="1786" w:type="dxa"/>
            <w:tcBorders>
              <w:top w:val="single" w:sz="4" w:space="0" w:color="auto"/>
              <w:left w:val="single" w:sz="4" w:space="0" w:color="auto"/>
              <w:bottom w:val="single" w:sz="4" w:space="0" w:color="auto"/>
              <w:right w:val="single" w:sz="4" w:space="0" w:color="auto"/>
            </w:tcBorders>
          </w:tcPr>
          <w:p w14:paraId="03863FD3" w14:textId="77777777" w:rsidR="00CA23D0" w:rsidRPr="00E30642" w:rsidRDefault="00CA23D0" w:rsidP="00CA23D0">
            <w:pPr>
              <w:pStyle w:val="Texttabulky"/>
              <w:spacing w:line="240" w:lineRule="atLeast"/>
              <w:jc w:val="both"/>
              <w:rPr>
                <w:rFonts w:cs="Arial"/>
              </w:rPr>
            </w:pPr>
            <w:r w:rsidRPr="00E30642">
              <w:rPr>
                <w:rFonts w:cs="Arial"/>
              </w:rPr>
              <w:t>Nad Slovankou</w:t>
            </w:r>
          </w:p>
        </w:tc>
        <w:tc>
          <w:tcPr>
            <w:tcW w:w="661" w:type="dxa"/>
            <w:tcBorders>
              <w:top w:val="single" w:sz="4" w:space="0" w:color="auto"/>
              <w:left w:val="single" w:sz="4" w:space="0" w:color="auto"/>
              <w:bottom w:val="single" w:sz="4" w:space="0" w:color="auto"/>
              <w:right w:val="single" w:sz="4" w:space="0" w:color="auto"/>
            </w:tcBorders>
          </w:tcPr>
          <w:p w14:paraId="504B331B" w14:textId="77777777" w:rsidR="00CA23D0" w:rsidRPr="00E30642" w:rsidRDefault="00CA23D0" w:rsidP="00CA23D0">
            <w:pPr>
              <w:pStyle w:val="Texttabulky"/>
              <w:spacing w:line="240" w:lineRule="atLeast"/>
              <w:jc w:val="both"/>
              <w:rPr>
                <w:rFonts w:cs="Arial"/>
              </w:rPr>
            </w:pPr>
            <w:r w:rsidRPr="00E30642">
              <w:rPr>
                <w:rFonts w:cs="Arial"/>
              </w:rPr>
              <w:t>10</w:t>
            </w:r>
          </w:p>
        </w:tc>
        <w:tc>
          <w:tcPr>
            <w:tcW w:w="626" w:type="dxa"/>
            <w:tcBorders>
              <w:top w:val="single" w:sz="4" w:space="0" w:color="auto"/>
              <w:left w:val="single" w:sz="4" w:space="0" w:color="auto"/>
              <w:bottom w:val="single" w:sz="4" w:space="0" w:color="auto"/>
              <w:right w:val="single" w:sz="4" w:space="0" w:color="auto"/>
            </w:tcBorders>
          </w:tcPr>
          <w:p w14:paraId="6FF46826"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0E4C75BD" w14:textId="77777777" w:rsidR="00CA23D0" w:rsidRPr="00E30642" w:rsidRDefault="00CA23D0" w:rsidP="00CA23D0">
            <w:pPr>
              <w:pStyle w:val="Texttabulky"/>
              <w:spacing w:line="240" w:lineRule="atLeast"/>
              <w:jc w:val="both"/>
              <w:rPr>
                <w:rFonts w:cs="Arial"/>
              </w:rPr>
            </w:pPr>
            <w:r w:rsidRPr="00E30642">
              <w:rPr>
                <w:rFonts w:cs="Arial"/>
              </w:rPr>
              <w:t>160</w:t>
            </w:r>
          </w:p>
        </w:tc>
        <w:tc>
          <w:tcPr>
            <w:tcW w:w="675" w:type="dxa"/>
            <w:tcBorders>
              <w:top w:val="single" w:sz="4" w:space="0" w:color="auto"/>
              <w:left w:val="single" w:sz="4" w:space="0" w:color="auto"/>
              <w:bottom w:val="single" w:sz="4" w:space="0" w:color="auto"/>
              <w:right w:val="single" w:sz="4" w:space="0" w:color="auto"/>
            </w:tcBorders>
          </w:tcPr>
          <w:p w14:paraId="264D97EC"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09C9FE6C" w14:textId="77777777" w:rsidR="00CA23D0" w:rsidRPr="00E30642" w:rsidRDefault="00CA23D0" w:rsidP="00CA23D0">
            <w:pPr>
              <w:pStyle w:val="Texttabulky"/>
              <w:spacing w:line="240" w:lineRule="atLeast"/>
              <w:jc w:val="both"/>
              <w:rPr>
                <w:rFonts w:cs="Arial"/>
              </w:rPr>
            </w:pPr>
            <w:r w:rsidRPr="00E30642">
              <w:rPr>
                <w:rFonts w:cs="Arial"/>
              </w:rPr>
              <w:t>170</w:t>
            </w:r>
          </w:p>
        </w:tc>
        <w:tc>
          <w:tcPr>
            <w:tcW w:w="846" w:type="dxa"/>
            <w:tcBorders>
              <w:top w:val="single" w:sz="4" w:space="0" w:color="auto"/>
              <w:left w:val="single" w:sz="4" w:space="0" w:color="auto"/>
              <w:bottom w:val="single" w:sz="4" w:space="0" w:color="auto"/>
              <w:right w:val="single" w:sz="4" w:space="0" w:color="auto"/>
            </w:tcBorders>
          </w:tcPr>
          <w:p w14:paraId="253225DD" w14:textId="77777777" w:rsidR="00CA23D0" w:rsidRPr="00E30642" w:rsidRDefault="00CA23D0" w:rsidP="00CA23D0">
            <w:pPr>
              <w:pStyle w:val="Texttabulky"/>
              <w:spacing w:line="240" w:lineRule="atLeast"/>
              <w:jc w:val="both"/>
              <w:rPr>
                <w:rFonts w:cs="Arial"/>
              </w:rPr>
            </w:pPr>
            <w:r w:rsidRPr="00E30642">
              <w:rPr>
                <w:rFonts w:cs="Arial"/>
              </w:rPr>
              <w:t>170</w:t>
            </w:r>
          </w:p>
        </w:tc>
        <w:tc>
          <w:tcPr>
            <w:tcW w:w="695" w:type="dxa"/>
            <w:tcBorders>
              <w:top w:val="single" w:sz="4" w:space="0" w:color="auto"/>
              <w:left w:val="single" w:sz="4" w:space="0" w:color="auto"/>
              <w:bottom w:val="single" w:sz="4" w:space="0" w:color="auto"/>
              <w:right w:val="single" w:sz="4" w:space="0" w:color="auto"/>
            </w:tcBorders>
          </w:tcPr>
          <w:p w14:paraId="0FE364B5" w14:textId="77777777" w:rsidR="00CA23D0" w:rsidRPr="00E30642" w:rsidRDefault="00CA23D0" w:rsidP="00CA23D0">
            <w:pPr>
              <w:pStyle w:val="Texttabulky"/>
              <w:spacing w:line="240" w:lineRule="atLeast"/>
              <w:jc w:val="both"/>
              <w:rPr>
                <w:rFonts w:cs="Arial"/>
              </w:rPr>
            </w:pPr>
            <w:r w:rsidRPr="00E30642">
              <w:rPr>
                <w:rFonts w:cs="Arial"/>
              </w:rPr>
              <w:t>160</w:t>
            </w:r>
          </w:p>
        </w:tc>
        <w:tc>
          <w:tcPr>
            <w:tcW w:w="649" w:type="dxa"/>
            <w:tcBorders>
              <w:top w:val="single" w:sz="4" w:space="0" w:color="auto"/>
              <w:left w:val="single" w:sz="4" w:space="0" w:color="auto"/>
              <w:bottom w:val="single" w:sz="4" w:space="0" w:color="auto"/>
              <w:right w:val="single" w:sz="4" w:space="0" w:color="auto"/>
            </w:tcBorders>
          </w:tcPr>
          <w:p w14:paraId="219B29EE" w14:textId="77777777" w:rsidR="00CA23D0" w:rsidRPr="00E30642" w:rsidRDefault="00CA23D0" w:rsidP="00CA23D0">
            <w:pPr>
              <w:pStyle w:val="Texttabulky"/>
              <w:spacing w:line="240" w:lineRule="atLeast"/>
              <w:jc w:val="both"/>
              <w:rPr>
                <w:rFonts w:cs="Arial"/>
              </w:rPr>
            </w:pPr>
            <w:r w:rsidRPr="00E30642">
              <w:rPr>
                <w:rFonts w:cs="Arial"/>
              </w:rPr>
              <w:t>160</w:t>
            </w:r>
          </w:p>
        </w:tc>
      </w:tr>
      <w:tr w:rsidR="00CA23D0" w:rsidRPr="00E30642" w14:paraId="6D43F771" w14:textId="77777777" w:rsidTr="00CA23D0">
        <w:tc>
          <w:tcPr>
            <w:tcW w:w="474" w:type="dxa"/>
            <w:tcBorders>
              <w:top w:val="single" w:sz="4" w:space="0" w:color="auto"/>
              <w:left w:val="single" w:sz="4" w:space="0" w:color="auto"/>
              <w:bottom w:val="single" w:sz="4" w:space="0" w:color="auto"/>
              <w:right w:val="single" w:sz="4" w:space="0" w:color="auto"/>
            </w:tcBorders>
          </w:tcPr>
          <w:p w14:paraId="3288CD43" w14:textId="77777777" w:rsidR="00CA23D0" w:rsidRPr="00E30642" w:rsidRDefault="00CA23D0" w:rsidP="00CA23D0">
            <w:pPr>
              <w:pStyle w:val="Texttabulky"/>
              <w:spacing w:line="240" w:lineRule="atLeast"/>
              <w:jc w:val="both"/>
              <w:rPr>
                <w:rFonts w:cs="Arial"/>
              </w:rPr>
            </w:pPr>
            <w:r w:rsidRPr="00E30642">
              <w:rPr>
                <w:rFonts w:cs="Arial"/>
              </w:rPr>
              <w:t>8</w:t>
            </w:r>
          </w:p>
        </w:tc>
        <w:tc>
          <w:tcPr>
            <w:tcW w:w="504" w:type="dxa"/>
            <w:tcBorders>
              <w:top w:val="single" w:sz="4" w:space="0" w:color="auto"/>
              <w:left w:val="single" w:sz="4" w:space="0" w:color="auto"/>
              <w:bottom w:val="single" w:sz="4" w:space="0" w:color="auto"/>
              <w:right w:val="single" w:sz="4" w:space="0" w:color="auto"/>
            </w:tcBorders>
          </w:tcPr>
          <w:p w14:paraId="45375F0D" w14:textId="77777777" w:rsidR="00CA23D0" w:rsidRPr="00E30642" w:rsidRDefault="00CA23D0" w:rsidP="00CA23D0">
            <w:pPr>
              <w:pStyle w:val="Texttabulky"/>
              <w:spacing w:line="240" w:lineRule="atLeast"/>
              <w:jc w:val="both"/>
              <w:rPr>
                <w:rFonts w:cs="Arial"/>
              </w:rPr>
            </w:pPr>
            <w:r w:rsidRPr="00E30642">
              <w:rPr>
                <w:rFonts w:cs="Arial"/>
              </w:rPr>
              <w:t>O</w:t>
            </w:r>
          </w:p>
        </w:tc>
        <w:tc>
          <w:tcPr>
            <w:tcW w:w="1786" w:type="dxa"/>
            <w:tcBorders>
              <w:top w:val="single" w:sz="4" w:space="0" w:color="auto"/>
              <w:left w:val="single" w:sz="4" w:space="0" w:color="auto"/>
              <w:bottom w:val="single" w:sz="4" w:space="0" w:color="auto"/>
              <w:right w:val="single" w:sz="4" w:space="0" w:color="auto"/>
            </w:tcBorders>
          </w:tcPr>
          <w:p w14:paraId="78465C26" w14:textId="77777777" w:rsidR="00CA23D0" w:rsidRPr="00E30642" w:rsidRDefault="00CA23D0" w:rsidP="00CA23D0">
            <w:pPr>
              <w:pStyle w:val="Texttabulky"/>
              <w:spacing w:line="240" w:lineRule="atLeast"/>
              <w:jc w:val="both"/>
              <w:rPr>
                <w:rFonts w:cs="Arial"/>
              </w:rPr>
            </w:pPr>
            <w:r w:rsidRPr="00E30642">
              <w:rPr>
                <w:rFonts w:cs="Arial"/>
              </w:rPr>
              <w:t>U cihelny</w:t>
            </w:r>
          </w:p>
        </w:tc>
        <w:tc>
          <w:tcPr>
            <w:tcW w:w="661" w:type="dxa"/>
            <w:tcBorders>
              <w:top w:val="single" w:sz="4" w:space="0" w:color="auto"/>
              <w:left w:val="single" w:sz="4" w:space="0" w:color="auto"/>
              <w:bottom w:val="single" w:sz="4" w:space="0" w:color="auto"/>
              <w:right w:val="single" w:sz="4" w:space="0" w:color="auto"/>
            </w:tcBorders>
          </w:tcPr>
          <w:p w14:paraId="3E4A0342" w14:textId="77777777" w:rsidR="00CA23D0" w:rsidRPr="00E30642" w:rsidRDefault="00CA23D0" w:rsidP="00CA23D0">
            <w:pPr>
              <w:pStyle w:val="Texttabulky"/>
              <w:spacing w:line="240" w:lineRule="atLeast"/>
              <w:jc w:val="both"/>
              <w:rPr>
                <w:rFonts w:cs="Arial"/>
              </w:rPr>
            </w:pPr>
            <w:r w:rsidRPr="00E30642">
              <w:rPr>
                <w:rFonts w:cs="Arial"/>
              </w:rPr>
              <w:t>70</w:t>
            </w:r>
          </w:p>
        </w:tc>
        <w:tc>
          <w:tcPr>
            <w:tcW w:w="626" w:type="dxa"/>
            <w:tcBorders>
              <w:top w:val="single" w:sz="4" w:space="0" w:color="auto"/>
              <w:left w:val="single" w:sz="4" w:space="0" w:color="auto"/>
              <w:bottom w:val="single" w:sz="4" w:space="0" w:color="auto"/>
              <w:right w:val="single" w:sz="4" w:space="0" w:color="auto"/>
            </w:tcBorders>
          </w:tcPr>
          <w:p w14:paraId="386BD2B8"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1B7FAB39" w14:textId="77777777" w:rsidR="00CA23D0" w:rsidRPr="00E30642" w:rsidRDefault="00CA23D0" w:rsidP="00CA23D0">
            <w:pPr>
              <w:pStyle w:val="Texttabulky"/>
              <w:spacing w:line="240" w:lineRule="atLeast"/>
              <w:jc w:val="both"/>
              <w:rPr>
                <w:rFonts w:cs="Arial"/>
              </w:rPr>
            </w:pPr>
            <w:r w:rsidRPr="00E30642">
              <w:rPr>
                <w:rFonts w:cs="Arial"/>
              </w:rPr>
              <w:t>35</w:t>
            </w:r>
          </w:p>
        </w:tc>
        <w:tc>
          <w:tcPr>
            <w:tcW w:w="675" w:type="dxa"/>
            <w:tcBorders>
              <w:top w:val="single" w:sz="4" w:space="0" w:color="auto"/>
              <w:left w:val="single" w:sz="4" w:space="0" w:color="auto"/>
              <w:bottom w:val="single" w:sz="4" w:space="0" w:color="auto"/>
              <w:right w:val="single" w:sz="4" w:space="0" w:color="auto"/>
            </w:tcBorders>
          </w:tcPr>
          <w:p w14:paraId="0BD85D09"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0675E602" w14:textId="77777777" w:rsidR="00CA23D0" w:rsidRPr="00E30642" w:rsidRDefault="00CA23D0" w:rsidP="00CA23D0">
            <w:pPr>
              <w:pStyle w:val="Texttabulky"/>
              <w:spacing w:line="240" w:lineRule="atLeast"/>
              <w:jc w:val="both"/>
              <w:rPr>
                <w:rFonts w:cs="Arial"/>
              </w:rPr>
            </w:pPr>
            <w:r w:rsidRPr="00E30642">
              <w:rPr>
                <w:rFonts w:cs="Arial"/>
              </w:rPr>
              <w:t>85</w:t>
            </w:r>
          </w:p>
        </w:tc>
        <w:tc>
          <w:tcPr>
            <w:tcW w:w="846" w:type="dxa"/>
            <w:tcBorders>
              <w:top w:val="single" w:sz="4" w:space="0" w:color="auto"/>
              <w:left w:val="single" w:sz="4" w:space="0" w:color="auto"/>
              <w:bottom w:val="single" w:sz="4" w:space="0" w:color="auto"/>
              <w:right w:val="single" w:sz="4" w:space="0" w:color="auto"/>
            </w:tcBorders>
          </w:tcPr>
          <w:p w14:paraId="740595FE" w14:textId="77777777" w:rsidR="00CA23D0" w:rsidRPr="00E30642" w:rsidRDefault="00CA23D0" w:rsidP="00CA23D0">
            <w:pPr>
              <w:pStyle w:val="Texttabulky"/>
              <w:spacing w:line="240" w:lineRule="atLeast"/>
              <w:jc w:val="both"/>
              <w:rPr>
                <w:rFonts w:cs="Arial"/>
              </w:rPr>
            </w:pPr>
            <w:r w:rsidRPr="00E30642">
              <w:rPr>
                <w:rFonts w:cs="Arial"/>
              </w:rPr>
              <w:t>85</w:t>
            </w:r>
          </w:p>
        </w:tc>
        <w:tc>
          <w:tcPr>
            <w:tcW w:w="695" w:type="dxa"/>
            <w:tcBorders>
              <w:top w:val="single" w:sz="4" w:space="0" w:color="auto"/>
              <w:left w:val="single" w:sz="4" w:space="0" w:color="auto"/>
              <w:bottom w:val="single" w:sz="4" w:space="0" w:color="auto"/>
              <w:right w:val="single" w:sz="4" w:space="0" w:color="auto"/>
            </w:tcBorders>
          </w:tcPr>
          <w:p w14:paraId="1558251E" w14:textId="77777777" w:rsidR="00CA23D0" w:rsidRPr="00E30642" w:rsidRDefault="00CA23D0" w:rsidP="00CA23D0">
            <w:pPr>
              <w:pStyle w:val="Texttabulky"/>
              <w:spacing w:line="240" w:lineRule="atLeast"/>
              <w:jc w:val="both"/>
              <w:rPr>
                <w:rFonts w:cs="Arial"/>
              </w:rPr>
            </w:pPr>
            <w:r w:rsidRPr="00E30642">
              <w:rPr>
                <w:rFonts w:cs="Arial"/>
              </w:rPr>
              <w:t>15</w:t>
            </w:r>
          </w:p>
        </w:tc>
        <w:tc>
          <w:tcPr>
            <w:tcW w:w="649" w:type="dxa"/>
            <w:tcBorders>
              <w:top w:val="single" w:sz="4" w:space="0" w:color="auto"/>
              <w:left w:val="single" w:sz="4" w:space="0" w:color="auto"/>
              <w:bottom w:val="single" w:sz="4" w:space="0" w:color="auto"/>
              <w:right w:val="single" w:sz="4" w:space="0" w:color="auto"/>
            </w:tcBorders>
          </w:tcPr>
          <w:p w14:paraId="71949C7A" w14:textId="77777777" w:rsidR="00CA23D0" w:rsidRPr="00E30642" w:rsidRDefault="00CA23D0" w:rsidP="00CA23D0">
            <w:pPr>
              <w:pStyle w:val="Texttabulky"/>
              <w:spacing w:line="240" w:lineRule="atLeast"/>
              <w:jc w:val="both"/>
              <w:rPr>
                <w:rFonts w:cs="Arial"/>
              </w:rPr>
            </w:pPr>
            <w:r w:rsidRPr="00E30642">
              <w:rPr>
                <w:rFonts w:cs="Arial"/>
              </w:rPr>
              <w:t>15</w:t>
            </w:r>
          </w:p>
        </w:tc>
      </w:tr>
      <w:tr w:rsidR="00CA23D0" w:rsidRPr="00E30642" w14:paraId="02F716E2" w14:textId="77777777" w:rsidTr="00CA23D0">
        <w:tc>
          <w:tcPr>
            <w:tcW w:w="474" w:type="dxa"/>
            <w:tcBorders>
              <w:top w:val="single" w:sz="4" w:space="0" w:color="auto"/>
              <w:left w:val="single" w:sz="4" w:space="0" w:color="auto"/>
              <w:bottom w:val="single" w:sz="4" w:space="0" w:color="auto"/>
              <w:right w:val="single" w:sz="4" w:space="0" w:color="auto"/>
            </w:tcBorders>
          </w:tcPr>
          <w:p w14:paraId="6378A575" w14:textId="77777777" w:rsidR="00CA23D0" w:rsidRPr="00E30642" w:rsidRDefault="00CA23D0" w:rsidP="00CA23D0">
            <w:pPr>
              <w:pStyle w:val="Texttabulky"/>
              <w:spacing w:line="240" w:lineRule="atLeast"/>
              <w:jc w:val="both"/>
              <w:rPr>
                <w:rFonts w:cs="Arial"/>
              </w:rPr>
            </w:pPr>
            <w:r w:rsidRPr="00E30642">
              <w:rPr>
                <w:rFonts w:cs="Arial"/>
              </w:rPr>
              <w:t>9</w:t>
            </w:r>
          </w:p>
        </w:tc>
        <w:tc>
          <w:tcPr>
            <w:tcW w:w="504" w:type="dxa"/>
            <w:tcBorders>
              <w:top w:val="single" w:sz="4" w:space="0" w:color="auto"/>
              <w:left w:val="single" w:sz="4" w:space="0" w:color="auto"/>
              <w:bottom w:val="single" w:sz="4" w:space="0" w:color="auto"/>
              <w:right w:val="single" w:sz="4" w:space="0" w:color="auto"/>
            </w:tcBorders>
          </w:tcPr>
          <w:p w14:paraId="267059A4" w14:textId="77777777" w:rsidR="00CA23D0" w:rsidRPr="00E30642" w:rsidRDefault="00CA23D0" w:rsidP="00CA23D0">
            <w:pPr>
              <w:pStyle w:val="Texttabulky"/>
              <w:spacing w:line="240" w:lineRule="atLeast"/>
              <w:jc w:val="both"/>
              <w:rPr>
                <w:rFonts w:cs="Arial"/>
              </w:rPr>
            </w:pPr>
            <w:r w:rsidRPr="00E30642">
              <w:rPr>
                <w:rFonts w:cs="Arial"/>
              </w:rPr>
              <w:t>D</w:t>
            </w:r>
          </w:p>
        </w:tc>
        <w:tc>
          <w:tcPr>
            <w:tcW w:w="1786" w:type="dxa"/>
            <w:tcBorders>
              <w:top w:val="single" w:sz="4" w:space="0" w:color="auto"/>
              <w:left w:val="single" w:sz="4" w:space="0" w:color="auto"/>
              <w:bottom w:val="single" w:sz="4" w:space="0" w:color="auto"/>
              <w:right w:val="single" w:sz="4" w:space="0" w:color="auto"/>
            </w:tcBorders>
          </w:tcPr>
          <w:p w14:paraId="3F2B9DC7" w14:textId="77777777" w:rsidR="00CA23D0" w:rsidRPr="00E30642" w:rsidRDefault="00CA23D0" w:rsidP="00CA23D0">
            <w:pPr>
              <w:pStyle w:val="Texttabulky"/>
              <w:spacing w:line="240" w:lineRule="atLeast"/>
              <w:jc w:val="both"/>
              <w:rPr>
                <w:rFonts w:cs="Arial"/>
              </w:rPr>
            </w:pPr>
            <w:r w:rsidRPr="00E30642">
              <w:rPr>
                <w:rFonts w:cs="Arial"/>
              </w:rPr>
              <w:t>Východní nádraží</w:t>
            </w:r>
          </w:p>
        </w:tc>
        <w:tc>
          <w:tcPr>
            <w:tcW w:w="661" w:type="dxa"/>
            <w:tcBorders>
              <w:top w:val="single" w:sz="4" w:space="0" w:color="auto"/>
              <w:left w:val="single" w:sz="4" w:space="0" w:color="auto"/>
              <w:bottom w:val="single" w:sz="4" w:space="0" w:color="auto"/>
              <w:right w:val="single" w:sz="4" w:space="0" w:color="auto"/>
            </w:tcBorders>
          </w:tcPr>
          <w:p w14:paraId="0750B3C9" w14:textId="77777777" w:rsidR="00CA23D0" w:rsidRPr="00E30642" w:rsidRDefault="00CA23D0" w:rsidP="00CA23D0">
            <w:pPr>
              <w:pStyle w:val="Texttabulky"/>
              <w:spacing w:line="240" w:lineRule="atLeast"/>
              <w:jc w:val="both"/>
              <w:rPr>
                <w:rFonts w:cs="Arial"/>
              </w:rPr>
            </w:pPr>
            <w:r w:rsidRPr="00E30642">
              <w:rPr>
                <w:rFonts w:cs="Arial"/>
              </w:rPr>
              <w:t>34</w:t>
            </w:r>
          </w:p>
        </w:tc>
        <w:tc>
          <w:tcPr>
            <w:tcW w:w="626" w:type="dxa"/>
            <w:tcBorders>
              <w:top w:val="single" w:sz="4" w:space="0" w:color="auto"/>
              <w:left w:val="single" w:sz="4" w:space="0" w:color="auto"/>
              <w:bottom w:val="single" w:sz="4" w:space="0" w:color="auto"/>
              <w:right w:val="single" w:sz="4" w:space="0" w:color="auto"/>
            </w:tcBorders>
          </w:tcPr>
          <w:p w14:paraId="3E0DED5A"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37576C8A"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2FEBB19E"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0009B8D1" w14:textId="77777777" w:rsidR="00CA23D0" w:rsidRPr="00E30642" w:rsidRDefault="00CA23D0" w:rsidP="00CA23D0">
            <w:pPr>
              <w:pStyle w:val="Texttabulky"/>
              <w:spacing w:line="240" w:lineRule="atLeast"/>
              <w:jc w:val="both"/>
              <w:rPr>
                <w:rFonts w:cs="Arial"/>
              </w:rPr>
            </w:pPr>
            <w:r w:rsidRPr="00E30642">
              <w:rPr>
                <w:rFonts w:cs="Arial"/>
              </w:rPr>
              <w:t>30</w:t>
            </w:r>
          </w:p>
        </w:tc>
        <w:tc>
          <w:tcPr>
            <w:tcW w:w="846" w:type="dxa"/>
            <w:tcBorders>
              <w:top w:val="single" w:sz="4" w:space="0" w:color="auto"/>
              <w:left w:val="single" w:sz="4" w:space="0" w:color="auto"/>
              <w:bottom w:val="single" w:sz="4" w:space="0" w:color="auto"/>
              <w:right w:val="single" w:sz="4" w:space="0" w:color="auto"/>
            </w:tcBorders>
          </w:tcPr>
          <w:p w14:paraId="1003E92B" w14:textId="77777777" w:rsidR="00CA23D0" w:rsidRPr="00E30642" w:rsidRDefault="00CA23D0" w:rsidP="00CA23D0">
            <w:pPr>
              <w:pStyle w:val="Texttabulky"/>
              <w:spacing w:line="240" w:lineRule="atLeast"/>
              <w:jc w:val="both"/>
              <w:rPr>
                <w:rFonts w:cs="Arial"/>
              </w:rPr>
            </w:pPr>
            <w:r w:rsidRPr="00E30642">
              <w:rPr>
                <w:rFonts w:cs="Arial"/>
              </w:rPr>
              <w:t>30</w:t>
            </w:r>
          </w:p>
        </w:tc>
        <w:tc>
          <w:tcPr>
            <w:tcW w:w="695" w:type="dxa"/>
            <w:tcBorders>
              <w:top w:val="single" w:sz="4" w:space="0" w:color="auto"/>
              <w:left w:val="single" w:sz="4" w:space="0" w:color="auto"/>
              <w:bottom w:val="single" w:sz="4" w:space="0" w:color="auto"/>
              <w:right w:val="single" w:sz="4" w:space="0" w:color="auto"/>
            </w:tcBorders>
          </w:tcPr>
          <w:p w14:paraId="0114D5CB" w14:textId="77777777" w:rsidR="00CA23D0" w:rsidRPr="00E30642" w:rsidRDefault="00CA23D0" w:rsidP="00CA23D0">
            <w:pPr>
              <w:pStyle w:val="Texttabulky"/>
              <w:spacing w:line="240" w:lineRule="atLeast"/>
              <w:jc w:val="both"/>
              <w:rPr>
                <w:rFonts w:cs="Arial"/>
              </w:rPr>
            </w:pPr>
            <w:r w:rsidRPr="00E30642">
              <w:rPr>
                <w:rFonts w:cs="Arial"/>
              </w:rPr>
              <w:t>-4</w:t>
            </w:r>
          </w:p>
        </w:tc>
        <w:tc>
          <w:tcPr>
            <w:tcW w:w="649" w:type="dxa"/>
            <w:tcBorders>
              <w:top w:val="single" w:sz="4" w:space="0" w:color="auto"/>
              <w:left w:val="single" w:sz="4" w:space="0" w:color="auto"/>
              <w:bottom w:val="single" w:sz="4" w:space="0" w:color="auto"/>
              <w:right w:val="single" w:sz="4" w:space="0" w:color="auto"/>
            </w:tcBorders>
          </w:tcPr>
          <w:p w14:paraId="175A6C3D" w14:textId="77777777" w:rsidR="00CA23D0" w:rsidRPr="00E30642" w:rsidRDefault="00CA23D0" w:rsidP="00CA23D0">
            <w:pPr>
              <w:pStyle w:val="Texttabulky"/>
              <w:spacing w:line="240" w:lineRule="atLeast"/>
              <w:jc w:val="both"/>
              <w:rPr>
                <w:rFonts w:cs="Arial"/>
              </w:rPr>
            </w:pPr>
            <w:r w:rsidRPr="00E30642">
              <w:rPr>
                <w:rFonts w:cs="Arial"/>
              </w:rPr>
              <w:t>-4</w:t>
            </w:r>
          </w:p>
        </w:tc>
      </w:tr>
      <w:tr w:rsidR="00CA23D0" w:rsidRPr="00E30642" w14:paraId="7F48B569" w14:textId="77777777" w:rsidTr="00CA23D0">
        <w:tc>
          <w:tcPr>
            <w:tcW w:w="474" w:type="dxa"/>
            <w:tcBorders>
              <w:top w:val="single" w:sz="4" w:space="0" w:color="auto"/>
              <w:left w:val="single" w:sz="4" w:space="0" w:color="auto"/>
              <w:bottom w:val="single" w:sz="4" w:space="0" w:color="auto"/>
              <w:right w:val="single" w:sz="4" w:space="0" w:color="auto"/>
            </w:tcBorders>
          </w:tcPr>
          <w:p w14:paraId="5C3583CB" w14:textId="77777777" w:rsidR="00CA23D0" w:rsidRPr="00E30642" w:rsidRDefault="00CA23D0" w:rsidP="00CA23D0">
            <w:pPr>
              <w:pStyle w:val="Texttabulky"/>
              <w:spacing w:line="240" w:lineRule="atLeast"/>
              <w:jc w:val="both"/>
              <w:rPr>
                <w:rFonts w:cs="Arial"/>
              </w:rPr>
            </w:pPr>
            <w:r w:rsidRPr="00E30642">
              <w:rPr>
                <w:rFonts w:cs="Arial"/>
              </w:rPr>
              <w:t>12</w:t>
            </w:r>
          </w:p>
        </w:tc>
        <w:tc>
          <w:tcPr>
            <w:tcW w:w="504" w:type="dxa"/>
            <w:tcBorders>
              <w:top w:val="single" w:sz="4" w:space="0" w:color="auto"/>
              <w:left w:val="single" w:sz="4" w:space="0" w:color="auto"/>
              <w:bottom w:val="single" w:sz="4" w:space="0" w:color="auto"/>
              <w:right w:val="single" w:sz="4" w:space="0" w:color="auto"/>
            </w:tcBorders>
          </w:tcPr>
          <w:p w14:paraId="0C0DEEC8" w14:textId="77777777" w:rsidR="00CA23D0" w:rsidRPr="00E30642" w:rsidRDefault="00CA23D0" w:rsidP="00CA23D0">
            <w:pPr>
              <w:pStyle w:val="Texttabulky"/>
              <w:spacing w:line="240" w:lineRule="atLeast"/>
              <w:jc w:val="both"/>
              <w:rPr>
                <w:rFonts w:cs="Arial"/>
              </w:rPr>
            </w:pPr>
            <w:r w:rsidRPr="00E30642">
              <w:rPr>
                <w:rFonts w:cs="Arial"/>
              </w:rPr>
              <w:t>O</w:t>
            </w:r>
          </w:p>
        </w:tc>
        <w:tc>
          <w:tcPr>
            <w:tcW w:w="1786" w:type="dxa"/>
            <w:tcBorders>
              <w:top w:val="single" w:sz="4" w:space="0" w:color="auto"/>
              <w:left w:val="single" w:sz="4" w:space="0" w:color="auto"/>
              <w:bottom w:val="single" w:sz="4" w:space="0" w:color="auto"/>
              <w:right w:val="single" w:sz="4" w:space="0" w:color="auto"/>
            </w:tcBorders>
          </w:tcPr>
          <w:p w14:paraId="0D8E17CC" w14:textId="77777777" w:rsidR="00CA23D0" w:rsidRPr="00E30642" w:rsidRDefault="00CA23D0" w:rsidP="00CA23D0">
            <w:pPr>
              <w:pStyle w:val="Texttabulky"/>
              <w:spacing w:line="240" w:lineRule="atLeast"/>
              <w:jc w:val="both"/>
              <w:rPr>
                <w:rFonts w:cs="Arial"/>
              </w:rPr>
            </w:pPr>
            <w:r w:rsidRPr="00E30642">
              <w:rPr>
                <w:rFonts w:cs="Arial"/>
              </w:rPr>
              <w:t>Staré Město</w:t>
            </w:r>
          </w:p>
        </w:tc>
        <w:tc>
          <w:tcPr>
            <w:tcW w:w="661" w:type="dxa"/>
            <w:tcBorders>
              <w:top w:val="single" w:sz="4" w:space="0" w:color="auto"/>
              <w:left w:val="single" w:sz="4" w:space="0" w:color="auto"/>
              <w:bottom w:val="single" w:sz="4" w:space="0" w:color="auto"/>
              <w:right w:val="single" w:sz="4" w:space="0" w:color="auto"/>
            </w:tcBorders>
          </w:tcPr>
          <w:p w14:paraId="1F3395DF" w14:textId="77777777" w:rsidR="00CA23D0" w:rsidRPr="00E30642" w:rsidRDefault="00CA23D0" w:rsidP="00CA23D0">
            <w:pPr>
              <w:pStyle w:val="Texttabulky"/>
              <w:spacing w:line="240" w:lineRule="atLeast"/>
              <w:jc w:val="both"/>
              <w:rPr>
                <w:rFonts w:cs="Arial"/>
              </w:rPr>
            </w:pPr>
            <w:r w:rsidRPr="00E30642">
              <w:rPr>
                <w:rFonts w:cs="Arial"/>
              </w:rPr>
              <w:t>4 628</w:t>
            </w:r>
          </w:p>
        </w:tc>
        <w:tc>
          <w:tcPr>
            <w:tcW w:w="626" w:type="dxa"/>
            <w:tcBorders>
              <w:top w:val="single" w:sz="4" w:space="0" w:color="auto"/>
              <w:left w:val="single" w:sz="4" w:space="0" w:color="auto"/>
              <w:bottom w:val="single" w:sz="4" w:space="0" w:color="auto"/>
              <w:right w:val="single" w:sz="4" w:space="0" w:color="auto"/>
            </w:tcBorders>
          </w:tcPr>
          <w:p w14:paraId="19095EA9"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17813A49" w14:textId="77777777" w:rsidR="00CA23D0" w:rsidRPr="00E30642" w:rsidRDefault="00CA23D0" w:rsidP="00CA23D0">
            <w:pPr>
              <w:pStyle w:val="Texttabulky"/>
              <w:spacing w:line="240" w:lineRule="atLeast"/>
              <w:jc w:val="both"/>
              <w:rPr>
                <w:rFonts w:cs="Arial"/>
              </w:rPr>
            </w:pPr>
            <w:r w:rsidRPr="00E30642">
              <w:rPr>
                <w:rFonts w:cs="Arial"/>
              </w:rPr>
              <w:t>360</w:t>
            </w:r>
          </w:p>
        </w:tc>
        <w:tc>
          <w:tcPr>
            <w:tcW w:w="675" w:type="dxa"/>
            <w:tcBorders>
              <w:top w:val="single" w:sz="4" w:space="0" w:color="auto"/>
              <w:left w:val="single" w:sz="4" w:space="0" w:color="auto"/>
              <w:bottom w:val="single" w:sz="4" w:space="0" w:color="auto"/>
              <w:right w:val="single" w:sz="4" w:space="0" w:color="auto"/>
            </w:tcBorders>
          </w:tcPr>
          <w:p w14:paraId="53A5C189" w14:textId="77777777" w:rsidR="00CA23D0" w:rsidRPr="00E30642" w:rsidRDefault="00CA23D0" w:rsidP="00CA23D0">
            <w:pPr>
              <w:pStyle w:val="Texttabulky"/>
              <w:spacing w:line="240" w:lineRule="atLeast"/>
              <w:jc w:val="both"/>
              <w:rPr>
                <w:rFonts w:cs="Arial"/>
              </w:rPr>
            </w:pPr>
            <w:r w:rsidRPr="00E30642">
              <w:rPr>
                <w:rFonts w:cs="Arial"/>
              </w:rPr>
              <w:t>355</w:t>
            </w:r>
          </w:p>
        </w:tc>
        <w:tc>
          <w:tcPr>
            <w:tcW w:w="855" w:type="dxa"/>
            <w:tcBorders>
              <w:top w:val="single" w:sz="4" w:space="0" w:color="auto"/>
              <w:left w:val="single" w:sz="4" w:space="0" w:color="auto"/>
              <w:bottom w:val="single" w:sz="4" w:space="0" w:color="auto"/>
              <w:right w:val="single" w:sz="4" w:space="0" w:color="auto"/>
            </w:tcBorders>
          </w:tcPr>
          <w:p w14:paraId="18FE7565" w14:textId="77777777" w:rsidR="00CA23D0" w:rsidRPr="00E30642" w:rsidRDefault="00CA23D0" w:rsidP="00CA23D0">
            <w:pPr>
              <w:pStyle w:val="Texttabulky"/>
              <w:spacing w:line="240" w:lineRule="atLeast"/>
              <w:jc w:val="both"/>
              <w:rPr>
                <w:rFonts w:cs="Arial"/>
              </w:rPr>
            </w:pPr>
            <w:r w:rsidRPr="00E30642">
              <w:rPr>
                <w:rFonts w:cs="Arial"/>
              </w:rPr>
              <w:t>4 760</w:t>
            </w:r>
          </w:p>
        </w:tc>
        <w:tc>
          <w:tcPr>
            <w:tcW w:w="846" w:type="dxa"/>
            <w:tcBorders>
              <w:top w:val="single" w:sz="4" w:space="0" w:color="auto"/>
              <w:left w:val="single" w:sz="4" w:space="0" w:color="auto"/>
              <w:bottom w:val="single" w:sz="4" w:space="0" w:color="auto"/>
              <w:right w:val="single" w:sz="4" w:space="0" w:color="auto"/>
            </w:tcBorders>
          </w:tcPr>
          <w:p w14:paraId="74EA683F" w14:textId="77777777" w:rsidR="00CA23D0" w:rsidRPr="00E30642" w:rsidRDefault="00CA23D0" w:rsidP="00CA23D0">
            <w:pPr>
              <w:pStyle w:val="Texttabulky"/>
              <w:spacing w:line="240" w:lineRule="atLeast"/>
              <w:jc w:val="both"/>
              <w:rPr>
                <w:rFonts w:cs="Arial"/>
              </w:rPr>
            </w:pPr>
            <w:r w:rsidRPr="00E30642">
              <w:rPr>
                <w:rFonts w:cs="Arial"/>
              </w:rPr>
              <w:t>5 115</w:t>
            </w:r>
          </w:p>
        </w:tc>
        <w:tc>
          <w:tcPr>
            <w:tcW w:w="695" w:type="dxa"/>
            <w:tcBorders>
              <w:top w:val="single" w:sz="4" w:space="0" w:color="auto"/>
              <w:left w:val="single" w:sz="4" w:space="0" w:color="auto"/>
              <w:bottom w:val="single" w:sz="4" w:space="0" w:color="auto"/>
              <w:right w:val="single" w:sz="4" w:space="0" w:color="auto"/>
            </w:tcBorders>
          </w:tcPr>
          <w:p w14:paraId="5FAE40CE" w14:textId="77777777" w:rsidR="00CA23D0" w:rsidRPr="00E30642" w:rsidRDefault="00CA23D0" w:rsidP="00CA23D0">
            <w:pPr>
              <w:pStyle w:val="Texttabulky"/>
              <w:spacing w:line="240" w:lineRule="atLeast"/>
              <w:jc w:val="both"/>
              <w:rPr>
                <w:rFonts w:cs="Arial"/>
              </w:rPr>
            </w:pPr>
            <w:r w:rsidRPr="00E30642">
              <w:rPr>
                <w:rFonts w:cs="Arial"/>
              </w:rPr>
              <w:t>132</w:t>
            </w:r>
          </w:p>
        </w:tc>
        <w:tc>
          <w:tcPr>
            <w:tcW w:w="649" w:type="dxa"/>
            <w:tcBorders>
              <w:top w:val="single" w:sz="4" w:space="0" w:color="auto"/>
              <w:left w:val="single" w:sz="4" w:space="0" w:color="auto"/>
              <w:bottom w:val="single" w:sz="4" w:space="0" w:color="auto"/>
              <w:right w:val="single" w:sz="4" w:space="0" w:color="auto"/>
            </w:tcBorders>
          </w:tcPr>
          <w:p w14:paraId="3AF90BDB" w14:textId="77777777" w:rsidR="00CA23D0" w:rsidRPr="00E30642" w:rsidRDefault="00CA23D0" w:rsidP="00CA23D0">
            <w:pPr>
              <w:pStyle w:val="Texttabulky"/>
              <w:spacing w:line="240" w:lineRule="atLeast"/>
              <w:jc w:val="both"/>
              <w:rPr>
                <w:rFonts w:cs="Arial"/>
              </w:rPr>
            </w:pPr>
            <w:r w:rsidRPr="00E30642">
              <w:rPr>
                <w:rFonts w:cs="Arial"/>
              </w:rPr>
              <w:t>487</w:t>
            </w:r>
          </w:p>
        </w:tc>
      </w:tr>
      <w:tr w:rsidR="00CA23D0" w:rsidRPr="00E30642" w14:paraId="04CB9C1A" w14:textId="77777777" w:rsidTr="00CA23D0">
        <w:tc>
          <w:tcPr>
            <w:tcW w:w="474" w:type="dxa"/>
            <w:tcBorders>
              <w:top w:val="single" w:sz="4" w:space="0" w:color="auto"/>
              <w:left w:val="single" w:sz="4" w:space="0" w:color="auto"/>
              <w:bottom w:val="single" w:sz="4" w:space="0" w:color="auto"/>
              <w:right w:val="single" w:sz="4" w:space="0" w:color="auto"/>
            </w:tcBorders>
          </w:tcPr>
          <w:p w14:paraId="236469B8" w14:textId="77777777" w:rsidR="00CA23D0" w:rsidRPr="00E30642" w:rsidRDefault="00CA23D0" w:rsidP="00CA23D0">
            <w:pPr>
              <w:pStyle w:val="Texttabulky"/>
              <w:spacing w:line="240" w:lineRule="atLeast"/>
              <w:jc w:val="both"/>
              <w:rPr>
                <w:rFonts w:cs="Arial"/>
              </w:rPr>
            </w:pPr>
            <w:r w:rsidRPr="00E30642">
              <w:rPr>
                <w:rFonts w:cs="Arial"/>
              </w:rPr>
              <w:t>13</w:t>
            </w:r>
          </w:p>
        </w:tc>
        <w:tc>
          <w:tcPr>
            <w:tcW w:w="504" w:type="dxa"/>
            <w:tcBorders>
              <w:top w:val="single" w:sz="4" w:space="0" w:color="auto"/>
              <w:left w:val="single" w:sz="4" w:space="0" w:color="auto"/>
              <w:bottom w:val="single" w:sz="4" w:space="0" w:color="auto"/>
              <w:right w:val="single" w:sz="4" w:space="0" w:color="auto"/>
            </w:tcBorders>
          </w:tcPr>
          <w:p w14:paraId="5E3872F6" w14:textId="77777777" w:rsidR="00CA23D0" w:rsidRPr="00E30642" w:rsidRDefault="00CA23D0" w:rsidP="00CA23D0">
            <w:pPr>
              <w:pStyle w:val="Texttabulky"/>
              <w:spacing w:line="240" w:lineRule="atLeast"/>
              <w:jc w:val="both"/>
              <w:rPr>
                <w:rFonts w:cs="Arial"/>
              </w:rPr>
            </w:pPr>
            <w:r w:rsidRPr="00E30642">
              <w:rPr>
                <w:rFonts w:cs="Arial"/>
              </w:rPr>
              <w:t>P</w:t>
            </w:r>
          </w:p>
        </w:tc>
        <w:tc>
          <w:tcPr>
            <w:tcW w:w="1786" w:type="dxa"/>
            <w:tcBorders>
              <w:top w:val="single" w:sz="4" w:space="0" w:color="auto"/>
              <w:left w:val="single" w:sz="4" w:space="0" w:color="auto"/>
              <w:bottom w:val="single" w:sz="4" w:space="0" w:color="auto"/>
              <w:right w:val="single" w:sz="4" w:space="0" w:color="auto"/>
            </w:tcBorders>
          </w:tcPr>
          <w:p w14:paraId="369F2D45" w14:textId="77777777" w:rsidR="00CA23D0" w:rsidRPr="00E30642" w:rsidRDefault="00CA23D0" w:rsidP="00CA23D0">
            <w:pPr>
              <w:pStyle w:val="Texttabulky"/>
              <w:spacing w:line="240" w:lineRule="atLeast"/>
              <w:jc w:val="both"/>
              <w:rPr>
                <w:rFonts w:cs="Arial"/>
              </w:rPr>
            </w:pPr>
            <w:r w:rsidRPr="00E30642">
              <w:rPr>
                <w:rFonts w:cs="Arial"/>
              </w:rPr>
              <w:t>U Ploučnice</w:t>
            </w:r>
          </w:p>
        </w:tc>
        <w:tc>
          <w:tcPr>
            <w:tcW w:w="661" w:type="dxa"/>
            <w:tcBorders>
              <w:top w:val="single" w:sz="4" w:space="0" w:color="auto"/>
              <w:left w:val="single" w:sz="4" w:space="0" w:color="auto"/>
              <w:bottom w:val="single" w:sz="4" w:space="0" w:color="auto"/>
              <w:right w:val="single" w:sz="4" w:space="0" w:color="auto"/>
            </w:tcBorders>
          </w:tcPr>
          <w:p w14:paraId="13988B1B" w14:textId="77777777" w:rsidR="00CA23D0" w:rsidRPr="00E30642" w:rsidRDefault="00CA23D0" w:rsidP="00CA23D0">
            <w:pPr>
              <w:pStyle w:val="Texttabulky"/>
              <w:spacing w:line="240" w:lineRule="atLeast"/>
              <w:jc w:val="both"/>
              <w:rPr>
                <w:rFonts w:cs="Arial"/>
              </w:rPr>
            </w:pPr>
            <w:r w:rsidRPr="00E30642">
              <w:rPr>
                <w:rFonts w:cs="Arial"/>
              </w:rPr>
              <w:t>121</w:t>
            </w:r>
          </w:p>
        </w:tc>
        <w:tc>
          <w:tcPr>
            <w:tcW w:w="626" w:type="dxa"/>
            <w:tcBorders>
              <w:top w:val="single" w:sz="4" w:space="0" w:color="auto"/>
              <w:left w:val="single" w:sz="4" w:space="0" w:color="auto"/>
              <w:bottom w:val="single" w:sz="4" w:space="0" w:color="auto"/>
              <w:right w:val="single" w:sz="4" w:space="0" w:color="auto"/>
            </w:tcBorders>
          </w:tcPr>
          <w:p w14:paraId="5E1D58E2"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26E7BA48"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22E23061"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5A66B302" w14:textId="77777777" w:rsidR="00CA23D0" w:rsidRPr="00E30642" w:rsidRDefault="00CA23D0" w:rsidP="00CA23D0">
            <w:pPr>
              <w:pStyle w:val="Texttabulky"/>
              <w:spacing w:line="240" w:lineRule="atLeast"/>
              <w:jc w:val="both"/>
              <w:rPr>
                <w:rFonts w:cs="Arial"/>
              </w:rPr>
            </w:pPr>
            <w:r w:rsidRPr="00E30642">
              <w:rPr>
                <w:rFonts w:cs="Arial"/>
              </w:rPr>
              <w:t>100</w:t>
            </w:r>
          </w:p>
        </w:tc>
        <w:tc>
          <w:tcPr>
            <w:tcW w:w="846" w:type="dxa"/>
            <w:tcBorders>
              <w:top w:val="single" w:sz="4" w:space="0" w:color="auto"/>
              <w:left w:val="single" w:sz="4" w:space="0" w:color="auto"/>
              <w:bottom w:val="single" w:sz="4" w:space="0" w:color="auto"/>
              <w:right w:val="single" w:sz="4" w:space="0" w:color="auto"/>
            </w:tcBorders>
          </w:tcPr>
          <w:p w14:paraId="30EE2F4A" w14:textId="77777777" w:rsidR="00CA23D0" w:rsidRPr="00E30642" w:rsidRDefault="00CA23D0" w:rsidP="00CA23D0">
            <w:pPr>
              <w:pStyle w:val="Texttabulky"/>
              <w:spacing w:line="240" w:lineRule="atLeast"/>
              <w:jc w:val="both"/>
              <w:rPr>
                <w:rFonts w:cs="Arial"/>
              </w:rPr>
            </w:pPr>
            <w:r w:rsidRPr="00E30642">
              <w:rPr>
                <w:rFonts w:cs="Arial"/>
              </w:rPr>
              <w:t>100</w:t>
            </w:r>
          </w:p>
        </w:tc>
        <w:tc>
          <w:tcPr>
            <w:tcW w:w="695" w:type="dxa"/>
            <w:tcBorders>
              <w:top w:val="single" w:sz="4" w:space="0" w:color="auto"/>
              <w:left w:val="single" w:sz="4" w:space="0" w:color="auto"/>
              <w:bottom w:val="single" w:sz="4" w:space="0" w:color="auto"/>
              <w:right w:val="single" w:sz="4" w:space="0" w:color="auto"/>
            </w:tcBorders>
          </w:tcPr>
          <w:p w14:paraId="3C990260" w14:textId="77777777" w:rsidR="00CA23D0" w:rsidRPr="00E30642" w:rsidRDefault="00CA23D0" w:rsidP="00CA23D0">
            <w:pPr>
              <w:pStyle w:val="Texttabulky"/>
              <w:spacing w:line="240" w:lineRule="atLeast"/>
              <w:jc w:val="both"/>
              <w:rPr>
                <w:rFonts w:cs="Arial"/>
              </w:rPr>
            </w:pPr>
            <w:r w:rsidRPr="00E30642">
              <w:rPr>
                <w:rFonts w:cs="Arial"/>
              </w:rPr>
              <w:t>-21</w:t>
            </w:r>
          </w:p>
        </w:tc>
        <w:tc>
          <w:tcPr>
            <w:tcW w:w="649" w:type="dxa"/>
            <w:tcBorders>
              <w:top w:val="single" w:sz="4" w:space="0" w:color="auto"/>
              <w:left w:val="single" w:sz="4" w:space="0" w:color="auto"/>
              <w:bottom w:val="single" w:sz="4" w:space="0" w:color="auto"/>
              <w:right w:val="single" w:sz="4" w:space="0" w:color="auto"/>
            </w:tcBorders>
          </w:tcPr>
          <w:p w14:paraId="54FCE435" w14:textId="77777777" w:rsidR="00CA23D0" w:rsidRPr="00E30642" w:rsidRDefault="00CA23D0" w:rsidP="00CA23D0">
            <w:pPr>
              <w:pStyle w:val="Texttabulky"/>
              <w:spacing w:line="240" w:lineRule="atLeast"/>
              <w:jc w:val="both"/>
              <w:rPr>
                <w:rFonts w:cs="Arial"/>
              </w:rPr>
            </w:pPr>
            <w:r w:rsidRPr="00E30642">
              <w:rPr>
                <w:rFonts w:cs="Arial"/>
              </w:rPr>
              <w:t>-21</w:t>
            </w:r>
          </w:p>
        </w:tc>
      </w:tr>
      <w:tr w:rsidR="00CA23D0" w:rsidRPr="00E30642" w14:paraId="454F7ABB" w14:textId="77777777" w:rsidTr="00CA23D0">
        <w:tc>
          <w:tcPr>
            <w:tcW w:w="474" w:type="dxa"/>
            <w:tcBorders>
              <w:top w:val="single" w:sz="4" w:space="0" w:color="auto"/>
              <w:left w:val="single" w:sz="4" w:space="0" w:color="auto"/>
              <w:bottom w:val="single" w:sz="4" w:space="0" w:color="auto"/>
              <w:right w:val="single" w:sz="4" w:space="0" w:color="auto"/>
            </w:tcBorders>
          </w:tcPr>
          <w:p w14:paraId="12303291" w14:textId="77777777" w:rsidR="00CA23D0" w:rsidRPr="00E30642" w:rsidRDefault="00CA23D0" w:rsidP="00CA23D0">
            <w:pPr>
              <w:pStyle w:val="Texttabulky"/>
              <w:spacing w:line="240" w:lineRule="atLeast"/>
              <w:jc w:val="both"/>
              <w:rPr>
                <w:rFonts w:cs="Arial"/>
              </w:rPr>
            </w:pPr>
            <w:r w:rsidRPr="00E30642">
              <w:rPr>
                <w:rFonts w:cs="Arial"/>
              </w:rPr>
              <w:t>14</w:t>
            </w:r>
          </w:p>
        </w:tc>
        <w:tc>
          <w:tcPr>
            <w:tcW w:w="504" w:type="dxa"/>
            <w:tcBorders>
              <w:top w:val="single" w:sz="4" w:space="0" w:color="auto"/>
              <w:left w:val="single" w:sz="4" w:space="0" w:color="auto"/>
              <w:bottom w:val="single" w:sz="4" w:space="0" w:color="auto"/>
              <w:right w:val="single" w:sz="4" w:space="0" w:color="auto"/>
            </w:tcBorders>
          </w:tcPr>
          <w:p w14:paraId="5E10A317" w14:textId="77777777" w:rsidR="00CA23D0" w:rsidRPr="00E30642" w:rsidRDefault="00CA23D0" w:rsidP="00CA23D0">
            <w:pPr>
              <w:pStyle w:val="Texttabulky"/>
              <w:spacing w:line="240" w:lineRule="atLeast"/>
              <w:jc w:val="both"/>
              <w:rPr>
                <w:rFonts w:cs="Arial"/>
              </w:rPr>
            </w:pPr>
            <w:r w:rsidRPr="00E30642">
              <w:rPr>
                <w:rFonts w:cs="Arial"/>
              </w:rPr>
              <w:t>L</w:t>
            </w:r>
          </w:p>
        </w:tc>
        <w:tc>
          <w:tcPr>
            <w:tcW w:w="1786" w:type="dxa"/>
            <w:tcBorders>
              <w:top w:val="single" w:sz="4" w:space="0" w:color="auto"/>
              <w:left w:val="single" w:sz="4" w:space="0" w:color="auto"/>
              <w:bottom w:val="single" w:sz="4" w:space="0" w:color="auto"/>
              <w:right w:val="single" w:sz="4" w:space="0" w:color="auto"/>
            </w:tcBorders>
          </w:tcPr>
          <w:p w14:paraId="3F4D8EF5" w14:textId="77777777" w:rsidR="00CA23D0" w:rsidRPr="00E30642" w:rsidRDefault="00CA23D0" w:rsidP="00CA23D0">
            <w:pPr>
              <w:pStyle w:val="Texttabulky"/>
              <w:spacing w:line="240" w:lineRule="atLeast"/>
              <w:jc w:val="both"/>
              <w:rPr>
                <w:rFonts w:cs="Arial"/>
              </w:rPr>
            </w:pPr>
            <w:r w:rsidRPr="00E30642">
              <w:rPr>
                <w:rFonts w:cs="Arial"/>
              </w:rPr>
              <w:t>Chlumská stráň</w:t>
            </w:r>
          </w:p>
        </w:tc>
        <w:tc>
          <w:tcPr>
            <w:tcW w:w="661" w:type="dxa"/>
            <w:tcBorders>
              <w:top w:val="single" w:sz="4" w:space="0" w:color="auto"/>
              <w:left w:val="single" w:sz="4" w:space="0" w:color="auto"/>
              <w:bottom w:val="single" w:sz="4" w:space="0" w:color="auto"/>
              <w:right w:val="single" w:sz="4" w:space="0" w:color="auto"/>
            </w:tcBorders>
          </w:tcPr>
          <w:p w14:paraId="1D723289" w14:textId="77777777" w:rsidR="00CA23D0" w:rsidRPr="00E30642" w:rsidRDefault="00CA23D0" w:rsidP="00CA23D0">
            <w:pPr>
              <w:pStyle w:val="Texttabulky"/>
              <w:spacing w:line="240" w:lineRule="atLeast"/>
              <w:jc w:val="both"/>
              <w:rPr>
                <w:rFonts w:cs="Arial"/>
              </w:rPr>
            </w:pPr>
            <w:r w:rsidRPr="00E30642">
              <w:rPr>
                <w:rFonts w:cs="Arial"/>
              </w:rPr>
              <w:t>27</w:t>
            </w:r>
          </w:p>
        </w:tc>
        <w:tc>
          <w:tcPr>
            <w:tcW w:w="626" w:type="dxa"/>
            <w:tcBorders>
              <w:top w:val="single" w:sz="4" w:space="0" w:color="auto"/>
              <w:left w:val="single" w:sz="4" w:space="0" w:color="auto"/>
              <w:bottom w:val="single" w:sz="4" w:space="0" w:color="auto"/>
              <w:right w:val="single" w:sz="4" w:space="0" w:color="auto"/>
            </w:tcBorders>
          </w:tcPr>
          <w:p w14:paraId="410969F7"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21330B6A"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3E499D73"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292A2A9B" w14:textId="77777777" w:rsidR="00CA23D0" w:rsidRPr="00E30642" w:rsidRDefault="00CA23D0" w:rsidP="00CA23D0">
            <w:pPr>
              <w:pStyle w:val="Texttabulky"/>
              <w:spacing w:line="240" w:lineRule="atLeast"/>
              <w:jc w:val="both"/>
              <w:rPr>
                <w:rFonts w:cs="Arial"/>
              </w:rPr>
            </w:pPr>
            <w:r w:rsidRPr="00E30642">
              <w:rPr>
                <w:rFonts w:cs="Arial"/>
              </w:rPr>
              <w:t>20</w:t>
            </w:r>
          </w:p>
        </w:tc>
        <w:tc>
          <w:tcPr>
            <w:tcW w:w="846" w:type="dxa"/>
            <w:tcBorders>
              <w:top w:val="single" w:sz="4" w:space="0" w:color="auto"/>
              <w:left w:val="single" w:sz="4" w:space="0" w:color="auto"/>
              <w:bottom w:val="single" w:sz="4" w:space="0" w:color="auto"/>
              <w:right w:val="single" w:sz="4" w:space="0" w:color="auto"/>
            </w:tcBorders>
          </w:tcPr>
          <w:p w14:paraId="51B15061" w14:textId="77777777" w:rsidR="00CA23D0" w:rsidRPr="00E30642" w:rsidRDefault="00CA23D0" w:rsidP="00CA23D0">
            <w:pPr>
              <w:pStyle w:val="Texttabulky"/>
              <w:spacing w:line="240" w:lineRule="atLeast"/>
              <w:jc w:val="both"/>
              <w:rPr>
                <w:rFonts w:cs="Arial"/>
              </w:rPr>
            </w:pPr>
            <w:r w:rsidRPr="00E30642">
              <w:rPr>
                <w:rFonts w:cs="Arial"/>
              </w:rPr>
              <w:t>20</w:t>
            </w:r>
          </w:p>
        </w:tc>
        <w:tc>
          <w:tcPr>
            <w:tcW w:w="695" w:type="dxa"/>
            <w:tcBorders>
              <w:top w:val="single" w:sz="4" w:space="0" w:color="auto"/>
              <w:left w:val="single" w:sz="4" w:space="0" w:color="auto"/>
              <w:bottom w:val="single" w:sz="4" w:space="0" w:color="auto"/>
              <w:right w:val="single" w:sz="4" w:space="0" w:color="auto"/>
            </w:tcBorders>
          </w:tcPr>
          <w:p w14:paraId="1A656B70" w14:textId="77777777" w:rsidR="00CA23D0" w:rsidRPr="00E30642" w:rsidRDefault="00CA23D0" w:rsidP="00CA23D0">
            <w:pPr>
              <w:pStyle w:val="Texttabulky"/>
              <w:spacing w:line="240" w:lineRule="atLeast"/>
              <w:jc w:val="both"/>
              <w:rPr>
                <w:rFonts w:cs="Arial"/>
              </w:rPr>
            </w:pPr>
            <w:r w:rsidRPr="00E30642">
              <w:rPr>
                <w:rFonts w:cs="Arial"/>
              </w:rPr>
              <w:t>-7</w:t>
            </w:r>
          </w:p>
        </w:tc>
        <w:tc>
          <w:tcPr>
            <w:tcW w:w="649" w:type="dxa"/>
            <w:tcBorders>
              <w:top w:val="single" w:sz="4" w:space="0" w:color="auto"/>
              <w:left w:val="single" w:sz="4" w:space="0" w:color="auto"/>
              <w:bottom w:val="single" w:sz="4" w:space="0" w:color="auto"/>
              <w:right w:val="single" w:sz="4" w:space="0" w:color="auto"/>
            </w:tcBorders>
          </w:tcPr>
          <w:p w14:paraId="3FD76521" w14:textId="77777777" w:rsidR="00CA23D0" w:rsidRPr="00E30642" w:rsidRDefault="00CA23D0" w:rsidP="00CA23D0">
            <w:pPr>
              <w:pStyle w:val="Texttabulky"/>
              <w:spacing w:line="240" w:lineRule="atLeast"/>
              <w:jc w:val="both"/>
              <w:rPr>
                <w:rFonts w:cs="Arial"/>
              </w:rPr>
            </w:pPr>
            <w:r w:rsidRPr="00E30642">
              <w:rPr>
                <w:rFonts w:cs="Arial"/>
              </w:rPr>
              <w:t>-7</w:t>
            </w:r>
          </w:p>
        </w:tc>
      </w:tr>
      <w:tr w:rsidR="00CA23D0" w:rsidRPr="00E30642" w14:paraId="561B3114" w14:textId="77777777" w:rsidTr="00CA23D0">
        <w:tc>
          <w:tcPr>
            <w:tcW w:w="474" w:type="dxa"/>
            <w:tcBorders>
              <w:top w:val="single" w:sz="4" w:space="0" w:color="auto"/>
              <w:left w:val="single" w:sz="4" w:space="0" w:color="auto"/>
              <w:bottom w:val="single" w:sz="4" w:space="0" w:color="auto"/>
              <w:right w:val="single" w:sz="4" w:space="0" w:color="auto"/>
            </w:tcBorders>
          </w:tcPr>
          <w:p w14:paraId="15242650" w14:textId="77777777" w:rsidR="00CA23D0" w:rsidRPr="00E30642" w:rsidRDefault="00CA23D0" w:rsidP="00CA23D0">
            <w:pPr>
              <w:pStyle w:val="Texttabulky"/>
              <w:spacing w:line="240" w:lineRule="atLeast"/>
              <w:jc w:val="both"/>
              <w:rPr>
                <w:rFonts w:cs="Arial"/>
              </w:rPr>
            </w:pPr>
            <w:r w:rsidRPr="00E30642">
              <w:rPr>
                <w:rFonts w:cs="Arial"/>
              </w:rPr>
              <w:t>15</w:t>
            </w:r>
          </w:p>
        </w:tc>
        <w:tc>
          <w:tcPr>
            <w:tcW w:w="504" w:type="dxa"/>
            <w:tcBorders>
              <w:top w:val="single" w:sz="4" w:space="0" w:color="auto"/>
              <w:left w:val="single" w:sz="4" w:space="0" w:color="auto"/>
              <w:bottom w:val="single" w:sz="4" w:space="0" w:color="auto"/>
              <w:right w:val="single" w:sz="4" w:space="0" w:color="auto"/>
            </w:tcBorders>
          </w:tcPr>
          <w:p w14:paraId="26DE7E64" w14:textId="77777777" w:rsidR="00CA23D0" w:rsidRPr="00E30642" w:rsidRDefault="00CA23D0" w:rsidP="00CA23D0">
            <w:pPr>
              <w:pStyle w:val="Texttabulky"/>
              <w:spacing w:line="240" w:lineRule="atLeast"/>
              <w:jc w:val="both"/>
              <w:rPr>
                <w:rFonts w:cs="Arial"/>
              </w:rPr>
            </w:pPr>
            <w:r w:rsidRPr="00E30642">
              <w:rPr>
                <w:rFonts w:cs="Arial"/>
              </w:rPr>
              <w:t>Z</w:t>
            </w:r>
          </w:p>
        </w:tc>
        <w:tc>
          <w:tcPr>
            <w:tcW w:w="1786" w:type="dxa"/>
            <w:tcBorders>
              <w:top w:val="single" w:sz="4" w:space="0" w:color="auto"/>
              <w:left w:val="single" w:sz="4" w:space="0" w:color="auto"/>
              <w:bottom w:val="single" w:sz="4" w:space="0" w:color="auto"/>
              <w:right w:val="single" w:sz="4" w:space="0" w:color="auto"/>
            </w:tcBorders>
          </w:tcPr>
          <w:p w14:paraId="40A38610" w14:textId="77777777" w:rsidR="00CA23D0" w:rsidRPr="00E30642" w:rsidRDefault="00CA23D0" w:rsidP="00CA23D0">
            <w:pPr>
              <w:pStyle w:val="Texttabulky"/>
              <w:spacing w:line="240" w:lineRule="atLeast"/>
              <w:jc w:val="both"/>
              <w:rPr>
                <w:rFonts w:cs="Arial"/>
              </w:rPr>
            </w:pPr>
            <w:r w:rsidRPr="00E30642">
              <w:rPr>
                <w:rFonts w:cs="Arial"/>
              </w:rPr>
              <w:t>Pod Chlumem</w:t>
            </w:r>
          </w:p>
        </w:tc>
        <w:tc>
          <w:tcPr>
            <w:tcW w:w="661" w:type="dxa"/>
            <w:tcBorders>
              <w:top w:val="single" w:sz="4" w:space="0" w:color="auto"/>
              <w:left w:val="single" w:sz="4" w:space="0" w:color="auto"/>
              <w:bottom w:val="single" w:sz="4" w:space="0" w:color="auto"/>
              <w:right w:val="single" w:sz="4" w:space="0" w:color="auto"/>
            </w:tcBorders>
          </w:tcPr>
          <w:p w14:paraId="5C5AF571" w14:textId="77777777" w:rsidR="00CA23D0" w:rsidRPr="00E30642" w:rsidRDefault="00CA23D0" w:rsidP="00CA23D0">
            <w:pPr>
              <w:pStyle w:val="Texttabulky"/>
              <w:spacing w:line="240" w:lineRule="atLeast"/>
              <w:jc w:val="both"/>
              <w:rPr>
                <w:rFonts w:cs="Arial"/>
              </w:rPr>
            </w:pPr>
            <w:r w:rsidRPr="00E30642">
              <w:rPr>
                <w:rFonts w:cs="Arial"/>
              </w:rPr>
              <w:t>176</w:t>
            </w:r>
          </w:p>
        </w:tc>
        <w:tc>
          <w:tcPr>
            <w:tcW w:w="626" w:type="dxa"/>
            <w:tcBorders>
              <w:top w:val="single" w:sz="4" w:space="0" w:color="auto"/>
              <w:left w:val="single" w:sz="4" w:space="0" w:color="auto"/>
              <w:bottom w:val="single" w:sz="4" w:space="0" w:color="auto"/>
              <w:right w:val="single" w:sz="4" w:space="0" w:color="auto"/>
            </w:tcBorders>
          </w:tcPr>
          <w:p w14:paraId="2886E3E4"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59E1749F"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3943ECF3" w14:textId="77777777" w:rsidR="00CA23D0" w:rsidRPr="00E30642" w:rsidRDefault="00CA23D0" w:rsidP="00CA23D0">
            <w:pPr>
              <w:pStyle w:val="Zkladntext"/>
              <w:jc w:val="both"/>
              <w:rPr>
                <w:rFonts w:ascii="Arial" w:hAnsi="Arial" w:cs="Arial"/>
              </w:rPr>
            </w:pPr>
          </w:p>
        </w:tc>
        <w:tc>
          <w:tcPr>
            <w:tcW w:w="855" w:type="dxa"/>
            <w:tcBorders>
              <w:top w:val="single" w:sz="4" w:space="0" w:color="auto"/>
              <w:left w:val="single" w:sz="4" w:space="0" w:color="auto"/>
              <w:bottom w:val="single" w:sz="4" w:space="0" w:color="auto"/>
              <w:right w:val="single" w:sz="4" w:space="0" w:color="auto"/>
            </w:tcBorders>
          </w:tcPr>
          <w:p w14:paraId="7DE60369" w14:textId="77777777" w:rsidR="00CA23D0" w:rsidRPr="00E30642" w:rsidRDefault="00CA23D0" w:rsidP="00CA23D0">
            <w:pPr>
              <w:pStyle w:val="Texttabulky"/>
              <w:spacing w:line="240" w:lineRule="atLeast"/>
              <w:jc w:val="both"/>
              <w:rPr>
                <w:rFonts w:cs="Arial"/>
              </w:rPr>
            </w:pPr>
            <w:r w:rsidRPr="00E30642">
              <w:rPr>
                <w:rFonts w:cs="Arial"/>
              </w:rPr>
              <w:t>150</w:t>
            </w:r>
          </w:p>
        </w:tc>
        <w:tc>
          <w:tcPr>
            <w:tcW w:w="846" w:type="dxa"/>
            <w:tcBorders>
              <w:top w:val="single" w:sz="4" w:space="0" w:color="auto"/>
              <w:left w:val="single" w:sz="4" w:space="0" w:color="auto"/>
              <w:bottom w:val="single" w:sz="4" w:space="0" w:color="auto"/>
              <w:right w:val="single" w:sz="4" w:space="0" w:color="auto"/>
            </w:tcBorders>
          </w:tcPr>
          <w:p w14:paraId="7C1DCAE0" w14:textId="77777777" w:rsidR="00CA23D0" w:rsidRPr="00E30642" w:rsidRDefault="00CA23D0" w:rsidP="00CA23D0">
            <w:pPr>
              <w:pStyle w:val="Texttabulky"/>
              <w:spacing w:line="240" w:lineRule="atLeast"/>
              <w:jc w:val="both"/>
              <w:rPr>
                <w:rFonts w:cs="Arial"/>
              </w:rPr>
            </w:pPr>
            <w:r w:rsidRPr="00E30642">
              <w:rPr>
                <w:rFonts w:cs="Arial"/>
              </w:rPr>
              <w:t>150</w:t>
            </w:r>
          </w:p>
        </w:tc>
        <w:tc>
          <w:tcPr>
            <w:tcW w:w="695" w:type="dxa"/>
            <w:tcBorders>
              <w:top w:val="single" w:sz="4" w:space="0" w:color="auto"/>
              <w:left w:val="single" w:sz="4" w:space="0" w:color="auto"/>
              <w:bottom w:val="single" w:sz="4" w:space="0" w:color="auto"/>
              <w:right w:val="single" w:sz="4" w:space="0" w:color="auto"/>
            </w:tcBorders>
          </w:tcPr>
          <w:p w14:paraId="1DFCFDC5" w14:textId="77777777" w:rsidR="00CA23D0" w:rsidRPr="00E30642" w:rsidRDefault="00CA23D0" w:rsidP="00CA23D0">
            <w:pPr>
              <w:pStyle w:val="Texttabulky"/>
              <w:spacing w:line="240" w:lineRule="atLeast"/>
              <w:jc w:val="both"/>
              <w:rPr>
                <w:rFonts w:cs="Arial"/>
              </w:rPr>
            </w:pPr>
            <w:r w:rsidRPr="00E30642">
              <w:rPr>
                <w:rFonts w:cs="Arial"/>
              </w:rPr>
              <w:t>-26</w:t>
            </w:r>
          </w:p>
        </w:tc>
        <w:tc>
          <w:tcPr>
            <w:tcW w:w="649" w:type="dxa"/>
            <w:tcBorders>
              <w:top w:val="single" w:sz="4" w:space="0" w:color="auto"/>
              <w:left w:val="single" w:sz="4" w:space="0" w:color="auto"/>
              <w:bottom w:val="single" w:sz="4" w:space="0" w:color="auto"/>
              <w:right w:val="single" w:sz="4" w:space="0" w:color="auto"/>
            </w:tcBorders>
          </w:tcPr>
          <w:p w14:paraId="0DA034ED" w14:textId="77777777" w:rsidR="00CA23D0" w:rsidRPr="00E30642" w:rsidRDefault="00CA23D0" w:rsidP="00CA23D0">
            <w:pPr>
              <w:pStyle w:val="Texttabulky"/>
              <w:spacing w:line="240" w:lineRule="atLeast"/>
              <w:jc w:val="both"/>
              <w:rPr>
                <w:rFonts w:cs="Arial"/>
              </w:rPr>
            </w:pPr>
            <w:r w:rsidRPr="00E30642">
              <w:rPr>
                <w:rFonts w:cs="Arial"/>
              </w:rPr>
              <w:t>-26</w:t>
            </w:r>
          </w:p>
        </w:tc>
      </w:tr>
      <w:tr w:rsidR="00CA23D0" w:rsidRPr="00E30642" w14:paraId="65A1BE58" w14:textId="77777777" w:rsidTr="00CA23D0">
        <w:tc>
          <w:tcPr>
            <w:tcW w:w="474" w:type="dxa"/>
            <w:tcBorders>
              <w:top w:val="single" w:sz="4" w:space="0" w:color="auto"/>
              <w:left w:val="single" w:sz="4" w:space="0" w:color="auto"/>
              <w:bottom w:val="single" w:sz="4" w:space="0" w:color="auto"/>
              <w:right w:val="single" w:sz="4" w:space="0" w:color="auto"/>
            </w:tcBorders>
          </w:tcPr>
          <w:p w14:paraId="6C36A2F5" w14:textId="77777777" w:rsidR="00CA23D0" w:rsidRPr="00E30642" w:rsidRDefault="00CA23D0" w:rsidP="00CA23D0">
            <w:pPr>
              <w:pStyle w:val="Texttabulky"/>
              <w:spacing w:line="240" w:lineRule="atLeast"/>
              <w:jc w:val="both"/>
              <w:rPr>
                <w:rFonts w:cs="Arial"/>
              </w:rPr>
            </w:pPr>
            <w:r w:rsidRPr="00E30642">
              <w:rPr>
                <w:rFonts w:cs="Arial"/>
              </w:rPr>
              <w:t>47</w:t>
            </w:r>
          </w:p>
        </w:tc>
        <w:tc>
          <w:tcPr>
            <w:tcW w:w="504" w:type="dxa"/>
            <w:tcBorders>
              <w:top w:val="single" w:sz="4" w:space="0" w:color="auto"/>
              <w:left w:val="single" w:sz="4" w:space="0" w:color="auto"/>
              <w:bottom w:val="single" w:sz="4" w:space="0" w:color="auto"/>
              <w:right w:val="single" w:sz="4" w:space="0" w:color="auto"/>
            </w:tcBorders>
          </w:tcPr>
          <w:p w14:paraId="071670EA" w14:textId="77777777" w:rsidR="00CA23D0" w:rsidRPr="00E30642" w:rsidRDefault="00CA23D0" w:rsidP="00CA23D0">
            <w:pPr>
              <w:pStyle w:val="Texttabulky"/>
              <w:spacing w:line="240" w:lineRule="atLeast"/>
              <w:jc w:val="both"/>
              <w:rPr>
                <w:rFonts w:cs="Arial"/>
              </w:rPr>
            </w:pPr>
            <w:r w:rsidRPr="00E30642">
              <w:rPr>
                <w:rFonts w:cs="Arial"/>
              </w:rPr>
              <w:t>N</w:t>
            </w:r>
          </w:p>
        </w:tc>
        <w:tc>
          <w:tcPr>
            <w:tcW w:w="1786" w:type="dxa"/>
            <w:tcBorders>
              <w:top w:val="single" w:sz="4" w:space="0" w:color="auto"/>
              <w:left w:val="single" w:sz="4" w:space="0" w:color="auto"/>
              <w:bottom w:val="single" w:sz="4" w:space="0" w:color="auto"/>
              <w:right w:val="single" w:sz="4" w:space="0" w:color="auto"/>
            </w:tcBorders>
          </w:tcPr>
          <w:p w14:paraId="02F687AB" w14:textId="77777777" w:rsidR="00CA23D0" w:rsidRPr="00E30642" w:rsidRDefault="00CA23D0" w:rsidP="00CA23D0">
            <w:pPr>
              <w:pStyle w:val="Texttabulky"/>
              <w:spacing w:line="240" w:lineRule="atLeast"/>
              <w:jc w:val="both"/>
              <w:rPr>
                <w:rFonts w:cs="Arial"/>
              </w:rPr>
            </w:pPr>
            <w:r w:rsidRPr="00E30642">
              <w:rPr>
                <w:rFonts w:cs="Arial"/>
              </w:rPr>
              <w:t>Folknáře</w:t>
            </w:r>
          </w:p>
        </w:tc>
        <w:tc>
          <w:tcPr>
            <w:tcW w:w="661" w:type="dxa"/>
            <w:tcBorders>
              <w:top w:val="single" w:sz="4" w:space="0" w:color="auto"/>
              <w:left w:val="single" w:sz="4" w:space="0" w:color="auto"/>
              <w:bottom w:val="single" w:sz="4" w:space="0" w:color="auto"/>
              <w:right w:val="single" w:sz="4" w:space="0" w:color="auto"/>
            </w:tcBorders>
          </w:tcPr>
          <w:p w14:paraId="46BF699C" w14:textId="77777777" w:rsidR="00CA23D0" w:rsidRPr="00E30642" w:rsidRDefault="00CA23D0" w:rsidP="00CA23D0">
            <w:pPr>
              <w:pStyle w:val="Texttabulky"/>
              <w:spacing w:line="240" w:lineRule="atLeast"/>
              <w:jc w:val="both"/>
              <w:rPr>
                <w:rFonts w:cs="Arial"/>
              </w:rPr>
            </w:pPr>
            <w:r w:rsidRPr="00E30642">
              <w:rPr>
                <w:rFonts w:cs="Arial"/>
              </w:rPr>
              <w:t>214</w:t>
            </w:r>
          </w:p>
        </w:tc>
        <w:tc>
          <w:tcPr>
            <w:tcW w:w="626" w:type="dxa"/>
            <w:tcBorders>
              <w:top w:val="single" w:sz="4" w:space="0" w:color="auto"/>
              <w:left w:val="single" w:sz="4" w:space="0" w:color="auto"/>
              <w:bottom w:val="single" w:sz="4" w:space="0" w:color="auto"/>
              <w:right w:val="single" w:sz="4" w:space="0" w:color="auto"/>
            </w:tcBorders>
          </w:tcPr>
          <w:p w14:paraId="3843723F"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0E82ACF0" w14:textId="77777777" w:rsidR="00CA23D0" w:rsidRPr="00E30642" w:rsidRDefault="00CA23D0" w:rsidP="00CA23D0">
            <w:pPr>
              <w:pStyle w:val="Texttabulky"/>
              <w:spacing w:line="240" w:lineRule="atLeast"/>
              <w:jc w:val="both"/>
              <w:rPr>
                <w:rFonts w:cs="Arial"/>
              </w:rPr>
            </w:pPr>
            <w:r w:rsidRPr="00E30642">
              <w:rPr>
                <w:rFonts w:cs="Arial"/>
              </w:rPr>
              <w:t>150</w:t>
            </w:r>
          </w:p>
        </w:tc>
        <w:tc>
          <w:tcPr>
            <w:tcW w:w="675" w:type="dxa"/>
            <w:tcBorders>
              <w:top w:val="single" w:sz="4" w:space="0" w:color="auto"/>
              <w:left w:val="single" w:sz="4" w:space="0" w:color="auto"/>
              <w:bottom w:val="single" w:sz="4" w:space="0" w:color="auto"/>
              <w:right w:val="single" w:sz="4" w:space="0" w:color="auto"/>
            </w:tcBorders>
          </w:tcPr>
          <w:p w14:paraId="463122B1" w14:textId="77777777" w:rsidR="00CA23D0" w:rsidRPr="00E30642" w:rsidRDefault="00CA23D0" w:rsidP="00CA23D0">
            <w:pPr>
              <w:pStyle w:val="Texttabulky"/>
              <w:spacing w:line="240" w:lineRule="atLeast"/>
              <w:jc w:val="both"/>
              <w:rPr>
                <w:rFonts w:cs="Arial"/>
              </w:rPr>
            </w:pPr>
            <w:r w:rsidRPr="00E30642">
              <w:rPr>
                <w:rFonts w:cs="Arial"/>
              </w:rPr>
              <w:t>350</w:t>
            </w:r>
          </w:p>
        </w:tc>
        <w:tc>
          <w:tcPr>
            <w:tcW w:w="855" w:type="dxa"/>
            <w:tcBorders>
              <w:top w:val="single" w:sz="4" w:space="0" w:color="auto"/>
              <w:left w:val="single" w:sz="4" w:space="0" w:color="auto"/>
              <w:bottom w:val="single" w:sz="4" w:space="0" w:color="auto"/>
              <w:right w:val="single" w:sz="4" w:space="0" w:color="auto"/>
            </w:tcBorders>
          </w:tcPr>
          <w:p w14:paraId="660CC048" w14:textId="77777777" w:rsidR="00CA23D0" w:rsidRPr="00E30642" w:rsidRDefault="00CA23D0" w:rsidP="00CA23D0">
            <w:pPr>
              <w:pStyle w:val="Texttabulky"/>
              <w:spacing w:line="240" w:lineRule="atLeast"/>
              <w:jc w:val="both"/>
              <w:rPr>
                <w:rFonts w:cs="Arial"/>
              </w:rPr>
            </w:pPr>
            <w:r w:rsidRPr="00E30642">
              <w:rPr>
                <w:rFonts w:cs="Arial"/>
              </w:rPr>
              <w:t>350</w:t>
            </w:r>
          </w:p>
        </w:tc>
        <w:tc>
          <w:tcPr>
            <w:tcW w:w="846" w:type="dxa"/>
            <w:tcBorders>
              <w:top w:val="single" w:sz="4" w:space="0" w:color="auto"/>
              <w:left w:val="single" w:sz="4" w:space="0" w:color="auto"/>
              <w:bottom w:val="single" w:sz="4" w:space="0" w:color="auto"/>
              <w:right w:val="single" w:sz="4" w:space="0" w:color="auto"/>
            </w:tcBorders>
          </w:tcPr>
          <w:p w14:paraId="12397E26" w14:textId="77777777" w:rsidR="00CA23D0" w:rsidRPr="00E30642" w:rsidRDefault="00CA23D0" w:rsidP="00CA23D0">
            <w:pPr>
              <w:pStyle w:val="Texttabulky"/>
              <w:spacing w:line="240" w:lineRule="atLeast"/>
              <w:jc w:val="both"/>
              <w:rPr>
                <w:rFonts w:cs="Arial"/>
              </w:rPr>
            </w:pPr>
            <w:r w:rsidRPr="00E30642">
              <w:rPr>
                <w:rFonts w:cs="Arial"/>
              </w:rPr>
              <w:t>700</w:t>
            </w:r>
          </w:p>
        </w:tc>
        <w:tc>
          <w:tcPr>
            <w:tcW w:w="695" w:type="dxa"/>
            <w:tcBorders>
              <w:top w:val="single" w:sz="4" w:space="0" w:color="auto"/>
              <w:left w:val="single" w:sz="4" w:space="0" w:color="auto"/>
              <w:bottom w:val="single" w:sz="4" w:space="0" w:color="auto"/>
              <w:right w:val="single" w:sz="4" w:space="0" w:color="auto"/>
            </w:tcBorders>
          </w:tcPr>
          <w:p w14:paraId="42A9322D" w14:textId="77777777" w:rsidR="00CA23D0" w:rsidRPr="00E30642" w:rsidRDefault="00CA23D0" w:rsidP="00CA23D0">
            <w:pPr>
              <w:pStyle w:val="Texttabulky"/>
              <w:spacing w:line="240" w:lineRule="atLeast"/>
              <w:jc w:val="both"/>
              <w:rPr>
                <w:rFonts w:cs="Arial"/>
              </w:rPr>
            </w:pPr>
            <w:r w:rsidRPr="00E30642">
              <w:rPr>
                <w:rFonts w:cs="Arial"/>
              </w:rPr>
              <w:t>136</w:t>
            </w:r>
          </w:p>
        </w:tc>
        <w:tc>
          <w:tcPr>
            <w:tcW w:w="649" w:type="dxa"/>
            <w:tcBorders>
              <w:top w:val="single" w:sz="4" w:space="0" w:color="auto"/>
              <w:left w:val="single" w:sz="4" w:space="0" w:color="auto"/>
              <w:bottom w:val="single" w:sz="4" w:space="0" w:color="auto"/>
              <w:right w:val="single" w:sz="4" w:space="0" w:color="auto"/>
            </w:tcBorders>
          </w:tcPr>
          <w:p w14:paraId="6FF6AEED" w14:textId="77777777" w:rsidR="00CA23D0" w:rsidRPr="00E30642" w:rsidRDefault="00CA23D0" w:rsidP="00CA23D0">
            <w:pPr>
              <w:pStyle w:val="Texttabulky"/>
              <w:spacing w:line="240" w:lineRule="atLeast"/>
              <w:jc w:val="both"/>
              <w:rPr>
                <w:rFonts w:cs="Arial"/>
              </w:rPr>
            </w:pPr>
            <w:r w:rsidRPr="00E30642">
              <w:rPr>
                <w:rFonts w:cs="Arial"/>
              </w:rPr>
              <w:t>486</w:t>
            </w:r>
          </w:p>
        </w:tc>
      </w:tr>
      <w:tr w:rsidR="00CA23D0" w:rsidRPr="00E30642" w14:paraId="0DE19634" w14:textId="77777777" w:rsidTr="00CA23D0">
        <w:tc>
          <w:tcPr>
            <w:tcW w:w="474" w:type="dxa"/>
            <w:tcBorders>
              <w:top w:val="single" w:sz="4" w:space="0" w:color="auto"/>
              <w:left w:val="single" w:sz="4" w:space="0" w:color="auto"/>
              <w:bottom w:val="single" w:sz="4" w:space="0" w:color="auto"/>
              <w:right w:val="single" w:sz="4" w:space="0" w:color="auto"/>
            </w:tcBorders>
          </w:tcPr>
          <w:p w14:paraId="091026BD" w14:textId="77777777" w:rsidR="00CA23D0" w:rsidRPr="00E30642" w:rsidRDefault="00CA23D0" w:rsidP="00CA23D0">
            <w:pPr>
              <w:pStyle w:val="Texttabulky"/>
              <w:spacing w:line="240" w:lineRule="atLeast"/>
              <w:jc w:val="both"/>
              <w:rPr>
                <w:rFonts w:cs="Arial"/>
              </w:rPr>
            </w:pPr>
            <w:r w:rsidRPr="00E30642">
              <w:rPr>
                <w:rFonts w:cs="Arial"/>
              </w:rPr>
              <w:t>48</w:t>
            </w:r>
          </w:p>
        </w:tc>
        <w:tc>
          <w:tcPr>
            <w:tcW w:w="504" w:type="dxa"/>
            <w:tcBorders>
              <w:top w:val="single" w:sz="4" w:space="0" w:color="auto"/>
              <w:left w:val="single" w:sz="4" w:space="0" w:color="auto"/>
              <w:bottom w:val="single" w:sz="4" w:space="0" w:color="auto"/>
              <w:right w:val="single" w:sz="4" w:space="0" w:color="auto"/>
            </w:tcBorders>
          </w:tcPr>
          <w:p w14:paraId="4BAAE24C" w14:textId="77777777" w:rsidR="00CA23D0" w:rsidRPr="00E30642" w:rsidRDefault="00CA23D0" w:rsidP="00CA23D0">
            <w:pPr>
              <w:pStyle w:val="Texttabulky"/>
              <w:spacing w:line="240" w:lineRule="atLeast"/>
              <w:jc w:val="both"/>
              <w:rPr>
                <w:rFonts w:cs="Arial"/>
              </w:rPr>
            </w:pPr>
            <w:r w:rsidRPr="00E30642">
              <w:rPr>
                <w:rFonts w:cs="Arial"/>
              </w:rPr>
              <w:t>N</w:t>
            </w:r>
          </w:p>
        </w:tc>
        <w:tc>
          <w:tcPr>
            <w:tcW w:w="1786" w:type="dxa"/>
            <w:tcBorders>
              <w:top w:val="single" w:sz="4" w:space="0" w:color="auto"/>
              <w:left w:val="single" w:sz="4" w:space="0" w:color="auto"/>
              <w:bottom w:val="single" w:sz="4" w:space="0" w:color="auto"/>
              <w:right w:val="single" w:sz="4" w:space="0" w:color="auto"/>
            </w:tcBorders>
          </w:tcPr>
          <w:p w14:paraId="75B85BF1" w14:textId="77777777" w:rsidR="00CA23D0" w:rsidRPr="00E30642" w:rsidRDefault="00CA23D0" w:rsidP="00CA23D0">
            <w:pPr>
              <w:pStyle w:val="Texttabulky"/>
              <w:spacing w:line="240" w:lineRule="atLeast"/>
              <w:jc w:val="both"/>
              <w:rPr>
                <w:rFonts w:cs="Arial"/>
              </w:rPr>
            </w:pPr>
            <w:r w:rsidRPr="00E30642">
              <w:rPr>
                <w:rFonts w:cs="Arial"/>
              </w:rPr>
              <w:t>Březiny</w:t>
            </w:r>
          </w:p>
        </w:tc>
        <w:tc>
          <w:tcPr>
            <w:tcW w:w="661" w:type="dxa"/>
            <w:tcBorders>
              <w:top w:val="single" w:sz="4" w:space="0" w:color="auto"/>
              <w:left w:val="single" w:sz="4" w:space="0" w:color="auto"/>
              <w:bottom w:val="single" w:sz="4" w:space="0" w:color="auto"/>
              <w:right w:val="single" w:sz="4" w:space="0" w:color="auto"/>
            </w:tcBorders>
          </w:tcPr>
          <w:p w14:paraId="3CAC20B1" w14:textId="77777777" w:rsidR="00CA23D0" w:rsidRPr="00E30642" w:rsidRDefault="00CA23D0" w:rsidP="00CA23D0">
            <w:pPr>
              <w:pStyle w:val="Texttabulky"/>
              <w:spacing w:line="240" w:lineRule="atLeast"/>
              <w:jc w:val="both"/>
              <w:rPr>
                <w:rFonts w:cs="Arial"/>
              </w:rPr>
            </w:pPr>
            <w:r w:rsidRPr="00E30642">
              <w:rPr>
                <w:rFonts w:cs="Arial"/>
              </w:rPr>
              <w:t>2 224</w:t>
            </w:r>
          </w:p>
        </w:tc>
        <w:tc>
          <w:tcPr>
            <w:tcW w:w="626" w:type="dxa"/>
            <w:tcBorders>
              <w:top w:val="single" w:sz="4" w:space="0" w:color="auto"/>
              <w:left w:val="single" w:sz="4" w:space="0" w:color="auto"/>
              <w:bottom w:val="single" w:sz="4" w:space="0" w:color="auto"/>
              <w:right w:val="single" w:sz="4" w:space="0" w:color="auto"/>
            </w:tcBorders>
          </w:tcPr>
          <w:p w14:paraId="326EEEC2"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64CA54C0"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41224681" w14:textId="77777777" w:rsidR="00CA23D0" w:rsidRPr="00E30642" w:rsidRDefault="00CA23D0" w:rsidP="00CA23D0">
            <w:pPr>
              <w:pStyle w:val="Texttabulky"/>
              <w:spacing w:line="240" w:lineRule="atLeast"/>
              <w:jc w:val="both"/>
              <w:rPr>
                <w:rFonts w:cs="Arial"/>
              </w:rPr>
            </w:pPr>
            <w:r w:rsidRPr="00E30642">
              <w:rPr>
                <w:rFonts w:cs="Arial"/>
              </w:rPr>
              <w:t>235</w:t>
            </w:r>
          </w:p>
        </w:tc>
        <w:tc>
          <w:tcPr>
            <w:tcW w:w="855" w:type="dxa"/>
            <w:tcBorders>
              <w:top w:val="single" w:sz="4" w:space="0" w:color="auto"/>
              <w:left w:val="single" w:sz="4" w:space="0" w:color="auto"/>
              <w:bottom w:val="single" w:sz="4" w:space="0" w:color="auto"/>
              <w:right w:val="single" w:sz="4" w:space="0" w:color="auto"/>
            </w:tcBorders>
          </w:tcPr>
          <w:p w14:paraId="5AF7AD43" w14:textId="77777777" w:rsidR="00CA23D0" w:rsidRPr="00E30642" w:rsidRDefault="00CA23D0" w:rsidP="00CA23D0">
            <w:pPr>
              <w:pStyle w:val="Texttabulky"/>
              <w:spacing w:line="240" w:lineRule="atLeast"/>
              <w:jc w:val="both"/>
              <w:rPr>
                <w:rFonts w:cs="Arial"/>
              </w:rPr>
            </w:pPr>
            <w:r w:rsidRPr="00E30642">
              <w:rPr>
                <w:rFonts w:cs="Arial"/>
              </w:rPr>
              <w:t>2 000</w:t>
            </w:r>
          </w:p>
        </w:tc>
        <w:tc>
          <w:tcPr>
            <w:tcW w:w="846" w:type="dxa"/>
            <w:tcBorders>
              <w:top w:val="single" w:sz="4" w:space="0" w:color="auto"/>
              <w:left w:val="single" w:sz="4" w:space="0" w:color="auto"/>
              <w:bottom w:val="single" w:sz="4" w:space="0" w:color="auto"/>
              <w:right w:val="single" w:sz="4" w:space="0" w:color="auto"/>
            </w:tcBorders>
          </w:tcPr>
          <w:p w14:paraId="6ABEBA7B" w14:textId="77777777" w:rsidR="00CA23D0" w:rsidRPr="00E30642" w:rsidRDefault="00CA23D0" w:rsidP="00CA23D0">
            <w:pPr>
              <w:pStyle w:val="Texttabulky"/>
              <w:spacing w:line="240" w:lineRule="atLeast"/>
              <w:jc w:val="both"/>
              <w:rPr>
                <w:rFonts w:cs="Arial"/>
              </w:rPr>
            </w:pPr>
            <w:r w:rsidRPr="00E30642">
              <w:rPr>
                <w:rFonts w:cs="Arial"/>
              </w:rPr>
              <w:t>2 235</w:t>
            </w:r>
          </w:p>
        </w:tc>
        <w:tc>
          <w:tcPr>
            <w:tcW w:w="695" w:type="dxa"/>
            <w:tcBorders>
              <w:top w:val="single" w:sz="4" w:space="0" w:color="auto"/>
              <w:left w:val="single" w:sz="4" w:space="0" w:color="auto"/>
              <w:bottom w:val="single" w:sz="4" w:space="0" w:color="auto"/>
              <w:right w:val="single" w:sz="4" w:space="0" w:color="auto"/>
            </w:tcBorders>
          </w:tcPr>
          <w:p w14:paraId="3204E40A" w14:textId="77777777" w:rsidR="00CA23D0" w:rsidRPr="00E30642" w:rsidRDefault="00CA23D0" w:rsidP="00CA23D0">
            <w:pPr>
              <w:pStyle w:val="Texttabulky"/>
              <w:spacing w:line="240" w:lineRule="atLeast"/>
              <w:jc w:val="both"/>
              <w:rPr>
                <w:rFonts w:cs="Arial"/>
              </w:rPr>
            </w:pPr>
            <w:r w:rsidRPr="00E30642">
              <w:rPr>
                <w:rFonts w:cs="Arial"/>
              </w:rPr>
              <w:t>-224</w:t>
            </w:r>
          </w:p>
        </w:tc>
        <w:tc>
          <w:tcPr>
            <w:tcW w:w="649" w:type="dxa"/>
            <w:tcBorders>
              <w:top w:val="single" w:sz="4" w:space="0" w:color="auto"/>
              <w:left w:val="single" w:sz="4" w:space="0" w:color="auto"/>
              <w:bottom w:val="single" w:sz="4" w:space="0" w:color="auto"/>
              <w:right w:val="single" w:sz="4" w:space="0" w:color="auto"/>
            </w:tcBorders>
          </w:tcPr>
          <w:p w14:paraId="00AD27EE" w14:textId="77777777" w:rsidR="00CA23D0" w:rsidRPr="00E30642" w:rsidRDefault="00CA23D0" w:rsidP="00CA23D0">
            <w:pPr>
              <w:pStyle w:val="Texttabulky"/>
              <w:spacing w:line="240" w:lineRule="atLeast"/>
              <w:jc w:val="both"/>
              <w:rPr>
                <w:rFonts w:cs="Arial"/>
              </w:rPr>
            </w:pPr>
            <w:r w:rsidRPr="00E30642">
              <w:rPr>
                <w:rFonts w:cs="Arial"/>
              </w:rPr>
              <w:t>11</w:t>
            </w:r>
          </w:p>
        </w:tc>
      </w:tr>
      <w:tr w:rsidR="00CA23D0" w:rsidRPr="00E30642" w14:paraId="32A24E48" w14:textId="77777777" w:rsidTr="00CA23D0">
        <w:tc>
          <w:tcPr>
            <w:tcW w:w="474" w:type="dxa"/>
            <w:tcBorders>
              <w:top w:val="single" w:sz="4" w:space="0" w:color="auto"/>
              <w:left w:val="single" w:sz="6" w:space="0" w:color="auto"/>
              <w:bottom w:val="single" w:sz="6" w:space="0" w:color="auto"/>
              <w:right w:val="nil"/>
            </w:tcBorders>
          </w:tcPr>
          <w:p w14:paraId="224BF9F9" w14:textId="77777777" w:rsidR="00CA23D0" w:rsidRPr="00E30642" w:rsidRDefault="00CA23D0" w:rsidP="00CA23D0">
            <w:pPr>
              <w:pStyle w:val="Zkladntext"/>
              <w:jc w:val="both"/>
              <w:rPr>
                <w:rFonts w:ascii="Arial" w:hAnsi="Arial" w:cs="Arial"/>
              </w:rPr>
            </w:pPr>
          </w:p>
        </w:tc>
        <w:tc>
          <w:tcPr>
            <w:tcW w:w="504" w:type="dxa"/>
            <w:tcBorders>
              <w:top w:val="single" w:sz="4" w:space="0" w:color="auto"/>
              <w:left w:val="nil"/>
              <w:bottom w:val="single" w:sz="6" w:space="0" w:color="auto"/>
              <w:right w:val="nil"/>
            </w:tcBorders>
          </w:tcPr>
          <w:p w14:paraId="57C18376" w14:textId="77777777" w:rsidR="00CA23D0" w:rsidRPr="00E30642" w:rsidRDefault="00CA23D0" w:rsidP="00CA23D0">
            <w:pPr>
              <w:pStyle w:val="Zkladntext"/>
              <w:jc w:val="both"/>
              <w:rPr>
                <w:rFonts w:ascii="Arial" w:hAnsi="Arial" w:cs="Arial"/>
              </w:rPr>
            </w:pPr>
          </w:p>
        </w:tc>
        <w:tc>
          <w:tcPr>
            <w:tcW w:w="1786" w:type="dxa"/>
            <w:tcBorders>
              <w:top w:val="single" w:sz="4" w:space="0" w:color="auto"/>
              <w:left w:val="single" w:sz="6" w:space="0" w:color="auto"/>
              <w:bottom w:val="single" w:sz="6" w:space="0" w:color="auto"/>
              <w:right w:val="single" w:sz="6" w:space="0" w:color="auto"/>
            </w:tcBorders>
          </w:tcPr>
          <w:p w14:paraId="35DD1854" w14:textId="77777777" w:rsidR="00CA23D0" w:rsidRPr="00E30642" w:rsidRDefault="00CA23D0" w:rsidP="00CA23D0">
            <w:pPr>
              <w:pStyle w:val="Texttabulky"/>
              <w:spacing w:line="240" w:lineRule="atLeast"/>
              <w:jc w:val="both"/>
              <w:rPr>
                <w:rFonts w:cs="Arial"/>
              </w:rPr>
            </w:pPr>
            <w:r w:rsidRPr="00E30642">
              <w:rPr>
                <w:rFonts w:cs="Arial"/>
                <w:b/>
                <w:bCs/>
              </w:rPr>
              <w:t>sektor VI</w:t>
            </w:r>
          </w:p>
        </w:tc>
        <w:tc>
          <w:tcPr>
            <w:tcW w:w="661" w:type="dxa"/>
            <w:tcBorders>
              <w:top w:val="single" w:sz="4" w:space="0" w:color="auto"/>
              <w:left w:val="nil"/>
              <w:bottom w:val="single" w:sz="6" w:space="0" w:color="auto"/>
              <w:right w:val="nil"/>
            </w:tcBorders>
          </w:tcPr>
          <w:p w14:paraId="7DFB1133" w14:textId="77777777" w:rsidR="00CA23D0" w:rsidRPr="00E30642" w:rsidRDefault="00CA23D0" w:rsidP="00CA23D0">
            <w:pPr>
              <w:pStyle w:val="Texttabulky"/>
              <w:spacing w:line="240" w:lineRule="atLeast"/>
              <w:jc w:val="both"/>
              <w:rPr>
                <w:rFonts w:cs="Arial"/>
              </w:rPr>
            </w:pPr>
            <w:r w:rsidRPr="00E30642">
              <w:rPr>
                <w:rFonts w:cs="Arial"/>
                <w:b/>
                <w:bCs/>
              </w:rPr>
              <w:t>13 825</w:t>
            </w:r>
          </w:p>
        </w:tc>
        <w:tc>
          <w:tcPr>
            <w:tcW w:w="626" w:type="dxa"/>
            <w:tcBorders>
              <w:top w:val="single" w:sz="4" w:space="0" w:color="auto"/>
              <w:left w:val="single" w:sz="6" w:space="0" w:color="auto"/>
              <w:bottom w:val="single" w:sz="6" w:space="0" w:color="auto"/>
              <w:right w:val="nil"/>
            </w:tcBorders>
          </w:tcPr>
          <w:p w14:paraId="23CFC4B2" w14:textId="77777777" w:rsidR="00CA23D0" w:rsidRPr="00E30642" w:rsidRDefault="00CA23D0" w:rsidP="00CA23D0">
            <w:pPr>
              <w:pStyle w:val="Texttabulky"/>
              <w:spacing w:line="240" w:lineRule="atLeast"/>
              <w:jc w:val="both"/>
              <w:rPr>
                <w:rFonts w:cs="Arial"/>
              </w:rPr>
            </w:pPr>
            <w:r w:rsidRPr="00E30642">
              <w:rPr>
                <w:rFonts w:cs="Arial"/>
                <w:b/>
                <w:bCs/>
              </w:rPr>
              <w:t>355</w:t>
            </w:r>
          </w:p>
        </w:tc>
        <w:tc>
          <w:tcPr>
            <w:tcW w:w="615" w:type="dxa"/>
            <w:tcBorders>
              <w:top w:val="single" w:sz="4" w:space="0" w:color="auto"/>
              <w:left w:val="nil"/>
              <w:bottom w:val="single" w:sz="6" w:space="0" w:color="auto"/>
              <w:right w:val="nil"/>
            </w:tcBorders>
          </w:tcPr>
          <w:p w14:paraId="74B99B2E" w14:textId="77777777" w:rsidR="00CA23D0" w:rsidRPr="00E30642" w:rsidRDefault="00CA23D0" w:rsidP="00CA23D0">
            <w:pPr>
              <w:pStyle w:val="Texttabulky"/>
              <w:spacing w:line="240" w:lineRule="atLeast"/>
              <w:jc w:val="both"/>
              <w:rPr>
                <w:rFonts w:cs="Arial"/>
              </w:rPr>
            </w:pPr>
            <w:r w:rsidRPr="00E30642">
              <w:rPr>
                <w:rFonts w:cs="Arial"/>
                <w:b/>
                <w:bCs/>
              </w:rPr>
              <w:t>705</w:t>
            </w:r>
          </w:p>
        </w:tc>
        <w:tc>
          <w:tcPr>
            <w:tcW w:w="675" w:type="dxa"/>
            <w:tcBorders>
              <w:top w:val="single" w:sz="4" w:space="0" w:color="auto"/>
              <w:left w:val="nil"/>
              <w:bottom w:val="single" w:sz="6" w:space="0" w:color="auto"/>
              <w:right w:val="single" w:sz="6" w:space="0" w:color="auto"/>
            </w:tcBorders>
          </w:tcPr>
          <w:p w14:paraId="0F832E99" w14:textId="77777777" w:rsidR="00CA23D0" w:rsidRPr="00E30642" w:rsidRDefault="00CA23D0" w:rsidP="00CA23D0">
            <w:pPr>
              <w:pStyle w:val="Texttabulky"/>
              <w:spacing w:line="240" w:lineRule="atLeast"/>
              <w:jc w:val="both"/>
              <w:rPr>
                <w:rFonts w:cs="Arial"/>
              </w:rPr>
            </w:pPr>
            <w:r w:rsidRPr="00E30642">
              <w:rPr>
                <w:rFonts w:cs="Arial"/>
                <w:b/>
                <w:bCs/>
              </w:rPr>
              <w:t>1 150</w:t>
            </w:r>
          </w:p>
        </w:tc>
        <w:tc>
          <w:tcPr>
            <w:tcW w:w="855" w:type="dxa"/>
            <w:tcBorders>
              <w:top w:val="single" w:sz="4" w:space="0" w:color="auto"/>
              <w:left w:val="nil"/>
              <w:bottom w:val="single" w:sz="6" w:space="0" w:color="auto"/>
              <w:right w:val="nil"/>
            </w:tcBorders>
          </w:tcPr>
          <w:p w14:paraId="369F52DD" w14:textId="77777777" w:rsidR="00CA23D0" w:rsidRPr="00E30642" w:rsidRDefault="00CA23D0" w:rsidP="00CA23D0">
            <w:pPr>
              <w:pStyle w:val="Texttabulky"/>
              <w:spacing w:line="240" w:lineRule="atLeast"/>
              <w:jc w:val="both"/>
              <w:rPr>
                <w:rFonts w:cs="Arial"/>
              </w:rPr>
            </w:pPr>
            <w:r w:rsidRPr="00E30642">
              <w:rPr>
                <w:rFonts w:cs="Arial"/>
                <w:b/>
                <w:bCs/>
              </w:rPr>
              <w:t>14 020</w:t>
            </w:r>
          </w:p>
        </w:tc>
        <w:tc>
          <w:tcPr>
            <w:tcW w:w="846" w:type="dxa"/>
            <w:tcBorders>
              <w:top w:val="single" w:sz="4" w:space="0" w:color="auto"/>
              <w:left w:val="nil"/>
              <w:bottom w:val="single" w:sz="6" w:space="0" w:color="auto"/>
              <w:right w:val="single" w:sz="6" w:space="0" w:color="auto"/>
            </w:tcBorders>
          </w:tcPr>
          <w:p w14:paraId="193AB35E" w14:textId="77777777" w:rsidR="00CA23D0" w:rsidRPr="00E30642" w:rsidRDefault="00CA23D0" w:rsidP="00CA23D0">
            <w:pPr>
              <w:pStyle w:val="Texttabulky"/>
              <w:spacing w:line="240" w:lineRule="atLeast"/>
              <w:jc w:val="both"/>
              <w:rPr>
                <w:rFonts w:cs="Arial"/>
              </w:rPr>
            </w:pPr>
            <w:r w:rsidRPr="00E30642">
              <w:rPr>
                <w:rFonts w:cs="Arial"/>
                <w:b/>
                <w:bCs/>
              </w:rPr>
              <w:t>15 170</w:t>
            </w:r>
          </w:p>
        </w:tc>
        <w:tc>
          <w:tcPr>
            <w:tcW w:w="695" w:type="dxa"/>
            <w:tcBorders>
              <w:top w:val="single" w:sz="4" w:space="0" w:color="auto"/>
              <w:left w:val="nil"/>
              <w:bottom w:val="single" w:sz="6" w:space="0" w:color="auto"/>
              <w:right w:val="nil"/>
            </w:tcBorders>
          </w:tcPr>
          <w:p w14:paraId="7BFFD0C5" w14:textId="77777777" w:rsidR="00CA23D0" w:rsidRPr="00E30642" w:rsidRDefault="00CA23D0" w:rsidP="00CA23D0">
            <w:pPr>
              <w:pStyle w:val="Texttabulky"/>
              <w:spacing w:line="240" w:lineRule="atLeast"/>
              <w:jc w:val="both"/>
              <w:rPr>
                <w:rFonts w:cs="Arial"/>
              </w:rPr>
            </w:pPr>
            <w:r w:rsidRPr="00E30642">
              <w:rPr>
                <w:rFonts w:cs="Arial"/>
                <w:b/>
                <w:bCs/>
              </w:rPr>
              <w:t>195</w:t>
            </w:r>
          </w:p>
        </w:tc>
        <w:tc>
          <w:tcPr>
            <w:tcW w:w="649" w:type="dxa"/>
            <w:tcBorders>
              <w:top w:val="single" w:sz="4" w:space="0" w:color="auto"/>
              <w:left w:val="nil"/>
              <w:bottom w:val="single" w:sz="6" w:space="0" w:color="auto"/>
              <w:right w:val="single" w:sz="6" w:space="0" w:color="auto"/>
            </w:tcBorders>
          </w:tcPr>
          <w:p w14:paraId="1FF91B8A" w14:textId="77777777" w:rsidR="00CA23D0" w:rsidRPr="00E30642" w:rsidRDefault="00CA23D0" w:rsidP="00CA23D0">
            <w:pPr>
              <w:pStyle w:val="Texttabulky"/>
              <w:spacing w:line="240" w:lineRule="atLeast"/>
              <w:jc w:val="both"/>
              <w:rPr>
                <w:rFonts w:cs="Arial"/>
              </w:rPr>
            </w:pPr>
            <w:r w:rsidRPr="00E30642">
              <w:rPr>
                <w:rFonts w:cs="Arial"/>
                <w:b/>
                <w:bCs/>
              </w:rPr>
              <w:t>1 345</w:t>
            </w:r>
          </w:p>
        </w:tc>
      </w:tr>
    </w:tbl>
    <w:p w14:paraId="17A1EF22" w14:textId="77777777" w:rsidR="00CA23D0" w:rsidRPr="00E30642" w:rsidRDefault="00CA23D0" w:rsidP="00CA23D0">
      <w:pPr>
        <w:autoSpaceDE w:val="0"/>
        <w:autoSpaceDN w:val="0"/>
        <w:adjustRightInd w:val="0"/>
        <w:jc w:val="both"/>
        <w:rPr>
          <w:rFonts w:ascii="Arial" w:hAnsi="Arial" w:cs="Arial"/>
          <w:sz w:val="20"/>
        </w:rPr>
      </w:pPr>
    </w:p>
    <w:p w14:paraId="3A5FB010" w14:textId="77777777" w:rsidR="00D3579D" w:rsidRDefault="00D3579D" w:rsidP="00CA23D0">
      <w:pPr>
        <w:pStyle w:val="Zkladntext"/>
        <w:spacing w:line="240" w:lineRule="atLeast"/>
        <w:jc w:val="both"/>
        <w:rPr>
          <w:rFonts w:ascii="Arial" w:hAnsi="Arial" w:cs="Arial"/>
          <w:b/>
          <w:bCs/>
          <w:caps/>
        </w:rPr>
      </w:pPr>
    </w:p>
    <w:p w14:paraId="03F21EF2"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Sektor VII - Boletice</w:t>
      </w:r>
    </w:p>
    <w:p w14:paraId="7A99E82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Při celkovém pohledu lze tuto část města charakterizovat jako relativně samostatnou a z mnoha hledisek i soběstačnou až nezávislou na ostatním městě. Rozvoj obytné funkce zde byl rozsáhlý v osmdesátých letech, kdy zde proběhla výstavba panelových domů. Pro návrhové období se s přílišným rozvojem obytného území nepočítá. Jsou zde však využitelné plochy pro výstavbu rodinných i bytových domů, jejichž realizace se předpokládá zejména po návrhovém období. To je také jedna z hlavních příčin, že celkový přírůstek obyvatel v návrhovém období bude mít hodnotu, kterou lze považovat jako stagnaci.</w:t>
      </w:r>
    </w:p>
    <w:p w14:paraId="7D6D0460" w14:textId="77777777" w:rsidR="00CA23D0" w:rsidRPr="00E30642" w:rsidRDefault="00CA23D0" w:rsidP="00CA23D0">
      <w:pPr>
        <w:pStyle w:val="Zkladntext"/>
        <w:spacing w:line="240" w:lineRule="atLeast"/>
        <w:jc w:val="both"/>
        <w:rPr>
          <w:rFonts w:ascii="Arial" w:hAnsi="Arial" w:cs="Arial"/>
        </w:rPr>
      </w:pPr>
    </w:p>
    <w:p w14:paraId="5A4DC4CB" w14:textId="77777777" w:rsidR="00CA23D0" w:rsidRPr="00E30642" w:rsidRDefault="00CA23D0" w:rsidP="00CA23D0">
      <w:pPr>
        <w:pStyle w:val="Zkladntext"/>
        <w:spacing w:line="240" w:lineRule="atLeast"/>
        <w:jc w:val="both"/>
        <w:rPr>
          <w:rFonts w:ascii="Arial" w:hAnsi="Arial" w:cs="Arial"/>
        </w:rPr>
      </w:pPr>
    </w:p>
    <w:p w14:paraId="74838B91" w14:textId="77777777" w:rsidR="00CA23D0" w:rsidRPr="00E30642" w:rsidRDefault="00CA23D0" w:rsidP="00CA23D0">
      <w:pPr>
        <w:pStyle w:val="Zkladntext"/>
        <w:spacing w:line="240" w:lineRule="atLeast"/>
        <w:jc w:val="both"/>
        <w:rPr>
          <w:rFonts w:ascii="Arial" w:hAnsi="Arial" w:cs="Arial"/>
        </w:rPr>
      </w:pPr>
    </w:p>
    <w:p w14:paraId="758E221F" w14:textId="77777777" w:rsidR="00CA23D0" w:rsidRPr="00E30642" w:rsidRDefault="00CA23D0" w:rsidP="00CA23D0">
      <w:pPr>
        <w:autoSpaceDE w:val="0"/>
        <w:autoSpaceDN w:val="0"/>
        <w:adjustRightInd w:val="0"/>
        <w:jc w:val="both"/>
        <w:rPr>
          <w:rFonts w:ascii="Arial" w:hAnsi="Arial" w:cs="Arial"/>
          <w:sz w:val="20"/>
        </w:rPr>
      </w:pPr>
    </w:p>
    <w:p w14:paraId="68C0078E" w14:textId="77777777" w:rsidR="00D3579D" w:rsidRDefault="00D3579D" w:rsidP="00CA23D0">
      <w:pPr>
        <w:pStyle w:val="Zkladntext"/>
        <w:spacing w:line="240" w:lineRule="atLeast"/>
        <w:jc w:val="both"/>
        <w:rPr>
          <w:rFonts w:ascii="Arial" w:hAnsi="Arial" w:cs="Arial"/>
          <w:b/>
          <w:bCs/>
          <w:caps/>
        </w:rPr>
      </w:pPr>
    </w:p>
    <w:p w14:paraId="29EEBC03" w14:textId="77777777" w:rsidR="00D3579D" w:rsidRDefault="00D3579D" w:rsidP="00CA23D0">
      <w:pPr>
        <w:pStyle w:val="Zkladntext"/>
        <w:spacing w:line="240" w:lineRule="atLeast"/>
        <w:jc w:val="both"/>
        <w:rPr>
          <w:rFonts w:ascii="Arial" w:hAnsi="Arial" w:cs="Arial"/>
          <w:b/>
          <w:bCs/>
          <w:caps/>
        </w:rPr>
      </w:pPr>
    </w:p>
    <w:p w14:paraId="46AF885F" w14:textId="77777777" w:rsidR="00D3579D" w:rsidRDefault="00D3579D" w:rsidP="00CA23D0">
      <w:pPr>
        <w:pStyle w:val="Zkladntext"/>
        <w:spacing w:line="240" w:lineRule="atLeast"/>
        <w:jc w:val="both"/>
        <w:rPr>
          <w:rFonts w:ascii="Arial" w:hAnsi="Arial" w:cs="Arial"/>
          <w:b/>
          <w:bCs/>
          <w:caps/>
        </w:rPr>
      </w:pPr>
    </w:p>
    <w:p w14:paraId="570F70B6" w14:textId="77777777" w:rsidR="00D3579D" w:rsidRDefault="00D3579D" w:rsidP="00CA23D0">
      <w:pPr>
        <w:pStyle w:val="Zkladntext"/>
        <w:spacing w:line="240" w:lineRule="atLeast"/>
        <w:jc w:val="both"/>
        <w:rPr>
          <w:rFonts w:ascii="Arial" w:hAnsi="Arial" w:cs="Arial"/>
          <w:b/>
          <w:bCs/>
          <w:caps/>
        </w:rPr>
      </w:pPr>
    </w:p>
    <w:p w14:paraId="0663EBE9" w14:textId="77777777" w:rsidR="00D3579D" w:rsidRDefault="00D3579D" w:rsidP="00D3579D">
      <w:pPr>
        <w:pStyle w:val="Zkladntext"/>
        <w:spacing w:line="240" w:lineRule="atLeast"/>
        <w:jc w:val="both"/>
        <w:rPr>
          <w:rFonts w:cs="Arial"/>
        </w:rPr>
      </w:pPr>
    </w:p>
    <w:tbl>
      <w:tblPr>
        <w:tblpPr w:leftFromText="141" w:rightFromText="141" w:vertAnchor="page" w:horzAnchor="margin" w:tblpY="2281"/>
        <w:tblW w:w="0" w:type="auto"/>
        <w:tblLayout w:type="fixed"/>
        <w:tblCellMar>
          <w:left w:w="30" w:type="dxa"/>
          <w:right w:w="30" w:type="dxa"/>
        </w:tblCellMar>
        <w:tblLook w:val="0000" w:firstRow="0" w:lastRow="0" w:firstColumn="0" w:lastColumn="0" w:noHBand="0" w:noVBand="0"/>
      </w:tblPr>
      <w:tblGrid>
        <w:gridCol w:w="508"/>
        <w:gridCol w:w="541"/>
        <w:gridCol w:w="2019"/>
        <w:gridCol w:w="709"/>
        <w:gridCol w:w="657"/>
        <w:gridCol w:w="660"/>
        <w:gridCol w:w="724"/>
        <w:gridCol w:w="853"/>
        <w:gridCol w:w="909"/>
        <w:gridCol w:w="761"/>
        <w:gridCol w:w="760"/>
      </w:tblGrid>
      <w:tr w:rsidR="00D3579D" w:rsidRPr="008556B8" w14:paraId="43DC5245" w14:textId="77777777" w:rsidTr="002D2D45">
        <w:trPr>
          <w:trHeight w:val="736"/>
        </w:trPr>
        <w:tc>
          <w:tcPr>
            <w:tcW w:w="508" w:type="dxa"/>
            <w:tcBorders>
              <w:top w:val="single" w:sz="6" w:space="0" w:color="auto"/>
              <w:left w:val="single" w:sz="6" w:space="0" w:color="auto"/>
              <w:bottom w:val="nil"/>
              <w:right w:val="nil"/>
            </w:tcBorders>
          </w:tcPr>
          <w:p w14:paraId="425DEB70" w14:textId="77777777" w:rsidR="00D3579D" w:rsidRPr="008556B8" w:rsidRDefault="00D3579D" w:rsidP="002D2D45">
            <w:pPr>
              <w:pStyle w:val="Texttabulky"/>
              <w:jc w:val="both"/>
              <w:rPr>
                <w:rFonts w:cs="Arial"/>
              </w:rPr>
            </w:pPr>
            <w:r w:rsidRPr="008556B8">
              <w:rPr>
                <w:rFonts w:cs="Arial"/>
                <w:b/>
                <w:bCs/>
              </w:rPr>
              <w:t>poř.č.UO</w:t>
            </w:r>
          </w:p>
        </w:tc>
        <w:tc>
          <w:tcPr>
            <w:tcW w:w="541" w:type="dxa"/>
            <w:tcBorders>
              <w:top w:val="single" w:sz="6" w:space="0" w:color="auto"/>
              <w:left w:val="single" w:sz="6" w:space="0" w:color="auto"/>
              <w:bottom w:val="nil"/>
              <w:right w:val="nil"/>
            </w:tcBorders>
          </w:tcPr>
          <w:p w14:paraId="281DFE75" w14:textId="77777777" w:rsidR="00D3579D" w:rsidRPr="008556B8" w:rsidRDefault="00D3579D" w:rsidP="002D2D45">
            <w:pPr>
              <w:pStyle w:val="Texttabulky"/>
              <w:jc w:val="both"/>
              <w:rPr>
                <w:rFonts w:cs="Arial"/>
              </w:rPr>
            </w:pPr>
            <w:r w:rsidRPr="008556B8">
              <w:rPr>
                <w:rFonts w:cs="Arial"/>
                <w:b/>
                <w:bCs/>
              </w:rPr>
              <w:t>char. UO</w:t>
            </w:r>
          </w:p>
        </w:tc>
        <w:tc>
          <w:tcPr>
            <w:tcW w:w="2019" w:type="dxa"/>
            <w:tcBorders>
              <w:top w:val="single" w:sz="6" w:space="0" w:color="auto"/>
              <w:left w:val="single" w:sz="6" w:space="0" w:color="auto"/>
              <w:bottom w:val="nil"/>
              <w:right w:val="single" w:sz="6" w:space="0" w:color="auto"/>
            </w:tcBorders>
          </w:tcPr>
          <w:p w14:paraId="21B78F05" w14:textId="77777777" w:rsidR="00D3579D" w:rsidRPr="008556B8" w:rsidRDefault="00D3579D" w:rsidP="002D2D45">
            <w:pPr>
              <w:pStyle w:val="Texttabulky"/>
              <w:jc w:val="both"/>
              <w:rPr>
                <w:rFonts w:cs="Arial"/>
              </w:rPr>
            </w:pPr>
            <w:r w:rsidRPr="008556B8">
              <w:rPr>
                <w:rFonts w:cs="Arial"/>
                <w:b/>
                <w:bCs/>
              </w:rPr>
              <w:t>název urbanistického obvodu</w:t>
            </w:r>
          </w:p>
        </w:tc>
        <w:tc>
          <w:tcPr>
            <w:tcW w:w="709" w:type="dxa"/>
            <w:tcBorders>
              <w:top w:val="single" w:sz="6" w:space="0" w:color="auto"/>
              <w:left w:val="nil"/>
              <w:bottom w:val="nil"/>
              <w:right w:val="nil"/>
            </w:tcBorders>
          </w:tcPr>
          <w:p w14:paraId="19F6755B" w14:textId="77777777" w:rsidR="00D3579D" w:rsidRPr="008556B8" w:rsidRDefault="00D3579D" w:rsidP="002D2D45">
            <w:pPr>
              <w:pStyle w:val="Texttabulky"/>
              <w:jc w:val="both"/>
              <w:rPr>
                <w:rFonts w:cs="Arial"/>
              </w:rPr>
            </w:pPr>
            <w:r w:rsidRPr="008556B8">
              <w:rPr>
                <w:rFonts w:cs="Arial"/>
                <w:b/>
                <w:bCs/>
              </w:rPr>
              <w:t>OB91</w:t>
            </w:r>
          </w:p>
        </w:tc>
        <w:tc>
          <w:tcPr>
            <w:tcW w:w="2041" w:type="dxa"/>
            <w:gridSpan w:val="3"/>
            <w:tcBorders>
              <w:top w:val="single" w:sz="6" w:space="0" w:color="auto"/>
              <w:left w:val="single" w:sz="6" w:space="0" w:color="auto"/>
              <w:bottom w:val="nil"/>
              <w:right w:val="nil"/>
            </w:tcBorders>
          </w:tcPr>
          <w:p w14:paraId="1F00E2ED" w14:textId="77777777" w:rsidR="00D3579D" w:rsidRPr="008556B8" w:rsidRDefault="00D3579D" w:rsidP="002D2D45">
            <w:pPr>
              <w:pStyle w:val="Zkladntext"/>
              <w:jc w:val="both"/>
              <w:rPr>
                <w:rFonts w:cs="Arial"/>
                <w:sz w:val="16"/>
              </w:rPr>
            </w:pPr>
            <w:r w:rsidRPr="008556B8">
              <w:rPr>
                <w:rFonts w:cs="Arial"/>
                <w:b/>
                <w:bCs/>
                <w:sz w:val="16"/>
              </w:rPr>
              <w:t>nové obytné plochy</w:t>
            </w:r>
          </w:p>
        </w:tc>
        <w:tc>
          <w:tcPr>
            <w:tcW w:w="1762" w:type="dxa"/>
            <w:gridSpan w:val="2"/>
            <w:tcBorders>
              <w:top w:val="single" w:sz="6" w:space="0" w:color="auto"/>
              <w:left w:val="nil"/>
              <w:bottom w:val="nil"/>
              <w:right w:val="single" w:sz="6" w:space="0" w:color="auto"/>
            </w:tcBorders>
          </w:tcPr>
          <w:p w14:paraId="000E60CA" w14:textId="77777777" w:rsidR="00D3579D" w:rsidRPr="008556B8" w:rsidRDefault="00D3579D" w:rsidP="002D2D45">
            <w:pPr>
              <w:pStyle w:val="Zkladntext"/>
              <w:jc w:val="both"/>
              <w:rPr>
                <w:rFonts w:cs="Arial"/>
                <w:sz w:val="16"/>
              </w:rPr>
            </w:pPr>
            <w:r w:rsidRPr="008556B8">
              <w:rPr>
                <w:rFonts w:cs="Arial"/>
                <w:b/>
                <w:bCs/>
                <w:sz w:val="16"/>
              </w:rPr>
              <w:t>počet bydlících osob</w:t>
            </w:r>
          </w:p>
        </w:tc>
        <w:tc>
          <w:tcPr>
            <w:tcW w:w="761" w:type="dxa"/>
            <w:tcBorders>
              <w:top w:val="single" w:sz="6" w:space="0" w:color="auto"/>
              <w:left w:val="nil"/>
              <w:bottom w:val="nil"/>
              <w:right w:val="single" w:sz="6" w:space="0" w:color="auto"/>
            </w:tcBorders>
          </w:tcPr>
          <w:p w14:paraId="42A3CBD2" w14:textId="77777777" w:rsidR="00D3579D" w:rsidRPr="008556B8" w:rsidRDefault="00D3579D" w:rsidP="002D2D45">
            <w:pPr>
              <w:pStyle w:val="Texttabulky"/>
              <w:jc w:val="both"/>
              <w:rPr>
                <w:rFonts w:cs="Arial"/>
              </w:rPr>
            </w:pPr>
            <w:r w:rsidRPr="008556B8">
              <w:rPr>
                <w:rFonts w:cs="Arial"/>
                <w:b/>
                <w:bCs/>
              </w:rPr>
              <w:t xml:space="preserve">OB přírůstek návrh </w:t>
            </w:r>
          </w:p>
        </w:tc>
        <w:tc>
          <w:tcPr>
            <w:tcW w:w="760" w:type="dxa"/>
            <w:tcBorders>
              <w:top w:val="single" w:sz="6" w:space="0" w:color="auto"/>
              <w:left w:val="nil"/>
              <w:bottom w:val="nil"/>
              <w:right w:val="single" w:sz="6" w:space="0" w:color="auto"/>
            </w:tcBorders>
          </w:tcPr>
          <w:p w14:paraId="20CF181A" w14:textId="77777777" w:rsidR="00D3579D" w:rsidRPr="008556B8" w:rsidRDefault="00D3579D" w:rsidP="002D2D45">
            <w:pPr>
              <w:pStyle w:val="Texttabulky"/>
              <w:jc w:val="both"/>
              <w:rPr>
                <w:rFonts w:cs="Arial"/>
              </w:rPr>
            </w:pPr>
            <w:r w:rsidRPr="008556B8">
              <w:rPr>
                <w:rFonts w:cs="Arial"/>
                <w:b/>
                <w:bCs/>
              </w:rPr>
              <w:t>OB přírůstek návrh +rez.</w:t>
            </w:r>
          </w:p>
        </w:tc>
      </w:tr>
      <w:tr w:rsidR="00D3579D" w:rsidRPr="008556B8" w14:paraId="5A03B3EE" w14:textId="77777777" w:rsidTr="002D2D45">
        <w:trPr>
          <w:trHeight w:val="723"/>
        </w:trPr>
        <w:tc>
          <w:tcPr>
            <w:tcW w:w="508" w:type="dxa"/>
            <w:tcBorders>
              <w:top w:val="nil"/>
              <w:left w:val="single" w:sz="6" w:space="0" w:color="auto"/>
              <w:bottom w:val="single" w:sz="4" w:space="0" w:color="auto"/>
              <w:right w:val="nil"/>
            </w:tcBorders>
          </w:tcPr>
          <w:p w14:paraId="764CFD13" w14:textId="77777777" w:rsidR="00D3579D" w:rsidRPr="008556B8" w:rsidRDefault="00D3579D" w:rsidP="002D2D45">
            <w:pPr>
              <w:pStyle w:val="Zkladntext"/>
              <w:spacing w:line="240" w:lineRule="atLeast"/>
              <w:jc w:val="both"/>
              <w:rPr>
                <w:rFonts w:cs="Arial"/>
              </w:rPr>
            </w:pPr>
          </w:p>
        </w:tc>
        <w:tc>
          <w:tcPr>
            <w:tcW w:w="541" w:type="dxa"/>
            <w:tcBorders>
              <w:top w:val="nil"/>
              <w:left w:val="single" w:sz="6" w:space="0" w:color="auto"/>
              <w:bottom w:val="single" w:sz="4" w:space="0" w:color="auto"/>
              <w:right w:val="nil"/>
            </w:tcBorders>
          </w:tcPr>
          <w:p w14:paraId="0295C435" w14:textId="77777777" w:rsidR="00D3579D" w:rsidRPr="008556B8" w:rsidRDefault="00D3579D" w:rsidP="002D2D45">
            <w:pPr>
              <w:pStyle w:val="Zkladntext"/>
              <w:spacing w:line="240" w:lineRule="atLeast"/>
              <w:jc w:val="both"/>
              <w:rPr>
                <w:rFonts w:cs="Arial"/>
              </w:rPr>
            </w:pPr>
          </w:p>
        </w:tc>
        <w:tc>
          <w:tcPr>
            <w:tcW w:w="2019" w:type="dxa"/>
            <w:tcBorders>
              <w:top w:val="nil"/>
              <w:left w:val="single" w:sz="6" w:space="0" w:color="auto"/>
              <w:bottom w:val="single" w:sz="4" w:space="0" w:color="auto"/>
              <w:right w:val="single" w:sz="6" w:space="0" w:color="auto"/>
            </w:tcBorders>
          </w:tcPr>
          <w:p w14:paraId="4694D3EF" w14:textId="77777777" w:rsidR="00D3579D" w:rsidRPr="008556B8" w:rsidRDefault="00D3579D" w:rsidP="002D2D45">
            <w:pPr>
              <w:pStyle w:val="Zkladntext"/>
              <w:spacing w:line="240" w:lineRule="atLeast"/>
              <w:jc w:val="both"/>
              <w:rPr>
                <w:rFonts w:cs="Arial"/>
              </w:rPr>
            </w:pPr>
          </w:p>
        </w:tc>
        <w:tc>
          <w:tcPr>
            <w:tcW w:w="709" w:type="dxa"/>
            <w:tcBorders>
              <w:top w:val="nil"/>
              <w:left w:val="nil"/>
              <w:bottom w:val="single" w:sz="4" w:space="0" w:color="auto"/>
              <w:right w:val="nil"/>
            </w:tcBorders>
          </w:tcPr>
          <w:p w14:paraId="569357E2" w14:textId="77777777" w:rsidR="00D3579D" w:rsidRPr="008556B8" w:rsidRDefault="00D3579D" w:rsidP="002D2D45">
            <w:pPr>
              <w:pStyle w:val="Zkladntext"/>
              <w:spacing w:line="240" w:lineRule="atLeast"/>
              <w:jc w:val="both"/>
              <w:rPr>
                <w:rFonts w:cs="Arial"/>
              </w:rPr>
            </w:pPr>
          </w:p>
        </w:tc>
        <w:tc>
          <w:tcPr>
            <w:tcW w:w="657" w:type="dxa"/>
            <w:tcBorders>
              <w:top w:val="single" w:sz="6" w:space="0" w:color="auto"/>
              <w:left w:val="single" w:sz="6" w:space="0" w:color="auto"/>
              <w:bottom w:val="single" w:sz="4" w:space="0" w:color="auto"/>
              <w:right w:val="single" w:sz="6" w:space="0" w:color="auto"/>
            </w:tcBorders>
          </w:tcPr>
          <w:p w14:paraId="6D9F64B2" w14:textId="77777777" w:rsidR="00D3579D" w:rsidRPr="008556B8" w:rsidRDefault="00D3579D" w:rsidP="002D2D45">
            <w:pPr>
              <w:pStyle w:val="Texttabulky"/>
              <w:spacing w:line="240" w:lineRule="atLeast"/>
              <w:jc w:val="both"/>
              <w:rPr>
                <w:rFonts w:cs="Arial"/>
              </w:rPr>
            </w:pPr>
            <w:r w:rsidRPr="008556B8">
              <w:rPr>
                <w:rFonts w:cs="Arial"/>
                <w:b/>
                <w:bCs/>
              </w:rPr>
              <w:t>OB návrh I</w:t>
            </w:r>
          </w:p>
        </w:tc>
        <w:tc>
          <w:tcPr>
            <w:tcW w:w="660" w:type="dxa"/>
            <w:tcBorders>
              <w:top w:val="single" w:sz="6" w:space="0" w:color="auto"/>
              <w:left w:val="single" w:sz="6" w:space="0" w:color="auto"/>
              <w:bottom w:val="single" w:sz="4" w:space="0" w:color="auto"/>
              <w:right w:val="single" w:sz="6" w:space="0" w:color="auto"/>
            </w:tcBorders>
          </w:tcPr>
          <w:p w14:paraId="16E6FA93" w14:textId="77777777" w:rsidR="00D3579D" w:rsidRPr="008556B8" w:rsidRDefault="00D3579D" w:rsidP="002D2D45">
            <w:pPr>
              <w:pStyle w:val="Texttabulky"/>
              <w:spacing w:line="240" w:lineRule="atLeast"/>
              <w:jc w:val="both"/>
              <w:rPr>
                <w:rFonts w:cs="Arial"/>
              </w:rPr>
            </w:pPr>
            <w:r w:rsidRPr="008556B8">
              <w:rPr>
                <w:rFonts w:cs="Arial"/>
                <w:b/>
                <w:bCs/>
              </w:rPr>
              <w:t>OB návrh II</w:t>
            </w:r>
          </w:p>
        </w:tc>
        <w:tc>
          <w:tcPr>
            <w:tcW w:w="724" w:type="dxa"/>
            <w:tcBorders>
              <w:top w:val="single" w:sz="6" w:space="0" w:color="auto"/>
              <w:left w:val="single" w:sz="6" w:space="0" w:color="auto"/>
              <w:bottom w:val="single" w:sz="4" w:space="0" w:color="auto"/>
              <w:right w:val="single" w:sz="6" w:space="0" w:color="auto"/>
            </w:tcBorders>
          </w:tcPr>
          <w:p w14:paraId="3627A142" w14:textId="77777777" w:rsidR="00D3579D" w:rsidRPr="008556B8" w:rsidRDefault="00D3579D" w:rsidP="002D2D45">
            <w:pPr>
              <w:pStyle w:val="Texttabulky"/>
              <w:spacing w:line="240" w:lineRule="atLeast"/>
              <w:jc w:val="both"/>
              <w:rPr>
                <w:rFonts w:cs="Arial"/>
              </w:rPr>
            </w:pPr>
            <w:r w:rsidRPr="008556B8">
              <w:rPr>
                <w:rFonts w:cs="Arial"/>
                <w:b/>
                <w:bCs/>
              </w:rPr>
              <w:t>OB rezerva</w:t>
            </w:r>
          </w:p>
        </w:tc>
        <w:tc>
          <w:tcPr>
            <w:tcW w:w="853" w:type="dxa"/>
            <w:tcBorders>
              <w:top w:val="single" w:sz="6" w:space="0" w:color="auto"/>
              <w:left w:val="single" w:sz="6" w:space="0" w:color="auto"/>
              <w:bottom w:val="single" w:sz="4" w:space="0" w:color="auto"/>
              <w:right w:val="single" w:sz="6" w:space="0" w:color="auto"/>
            </w:tcBorders>
          </w:tcPr>
          <w:p w14:paraId="2962423C" w14:textId="77777777" w:rsidR="00D3579D" w:rsidRPr="008556B8" w:rsidRDefault="00D3579D" w:rsidP="002D2D45">
            <w:pPr>
              <w:pStyle w:val="Texttabulky"/>
              <w:spacing w:line="240" w:lineRule="atLeast"/>
              <w:jc w:val="both"/>
              <w:rPr>
                <w:rFonts w:cs="Arial"/>
              </w:rPr>
            </w:pPr>
            <w:r w:rsidRPr="008556B8">
              <w:rPr>
                <w:rFonts w:cs="Arial"/>
                <w:b/>
                <w:bCs/>
              </w:rPr>
              <w:t>návrh</w:t>
            </w:r>
          </w:p>
        </w:tc>
        <w:tc>
          <w:tcPr>
            <w:tcW w:w="909" w:type="dxa"/>
            <w:tcBorders>
              <w:top w:val="single" w:sz="6" w:space="0" w:color="auto"/>
              <w:left w:val="single" w:sz="6" w:space="0" w:color="auto"/>
              <w:bottom w:val="single" w:sz="4" w:space="0" w:color="auto"/>
              <w:right w:val="single" w:sz="6" w:space="0" w:color="auto"/>
            </w:tcBorders>
          </w:tcPr>
          <w:p w14:paraId="3993C8CC" w14:textId="77777777" w:rsidR="00D3579D" w:rsidRPr="008556B8" w:rsidRDefault="00D3579D" w:rsidP="002D2D45">
            <w:pPr>
              <w:pStyle w:val="Texttabulky"/>
              <w:spacing w:line="240" w:lineRule="atLeast"/>
              <w:jc w:val="both"/>
              <w:rPr>
                <w:rFonts w:cs="Arial"/>
              </w:rPr>
            </w:pPr>
            <w:r w:rsidRPr="008556B8">
              <w:rPr>
                <w:rFonts w:cs="Arial"/>
                <w:b/>
                <w:bCs/>
              </w:rPr>
              <w:t>návrh + rez.</w:t>
            </w:r>
          </w:p>
        </w:tc>
        <w:tc>
          <w:tcPr>
            <w:tcW w:w="761" w:type="dxa"/>
            <w:tcBorders>
              <w:top w:val="nil"/>
              <w:left w:val="single" w:sz="6" w:space="0" w:color="auto"/>
              <w:bottom w:val="single" w:sz="4" w:space="0" w:color="auto"/>
              <w:right w:val="single" w:sz="6" w:space="0" w:color="auto"/>
            </w:tcBorders>
          </w:tcPr>
          <w:p w14:paraId="758AFB25" w14:textId="77777777" w:rsidR="00D3579D" w:rsidRPr="008556B8" w:rsidRDefault="00D3579D" w:rsidP="002D2D45">
            <w:pPr>
              <w:pStyle w:val="Zkladntext"/>
              <w:spacing w:line="240" w:lineRule="atLeast"/>
              <w:jc w:val="both"/>
              <w:rPr>
                <w:rFonts w:cs="Arial"/>
              </w:rPr>
            </w:pPr>
          </w:p>
        </w:tc>
        <w:tc>
          <w:tcPr>
            <w:tcW w:w="760" w:type="dxa"/>
            <w:tcBorders>
              <w:top w:val="nil"/>
              <w:left w:val="nil"/>
              <w:bottom w:val="single" w:sz="4" w:space="0" w:color="auto"/>
              <w:right w:val="single" w:sz="6" w:space="0" w:color="auto"/>
            </w:tcBorders>
          </w:tcPr>
          <w:p w14:paraId="6FD1ADC1" w14:textId="77777777" w:rsidR="00D3579D" w:rsidRPr="008556B8" w:rsidRDefault="00D3579D" w:rsidP="002D2D45">
            <w:pPr>
              <w:pStyle w:val="Zkladntext"/>
              <w:spacing w:line="240" w:lineRule="atLeast"/>
              <w:jc w:val="both"/>
              <w:rPr>
                <w:rFonts w:cs="Arial"/>
              </w:rPr>
            </w:pPr>
          </w:p>
        </w:tc>
      </w:tr>
      <w:tr w:rsidR="00D3579D" w:rsidRPr="008556B8" w14:paraId="72DB118D" w14:textId="77777777" w:rsidTr="002D2D45">
        <w:trPr>
          <w:trHeight w:val="237"/>
        </w:trPr>
        <w:tc>
          <w:tcPr>
            <w:tcW w:w="508" w:type="dxa"/>
            <w:tcBorders>
              <w:top w:val="single" w:sz="4" w:space="0" w:color="auto"/>
              <w:left w:val="single" w:sz="4" w:space="0" w:color="auto"/>
              <w:bottom w:val="single" w:sz="4" w:space="0" w:color="auto"/>
              <w:right w:val="single" w:sz="4" w:space="0" w:color="auto"/>
            </w:tcBorders>
          </w:tcPr>
          <w:p w14:paraId="5B1AA42D" w14:textId="77777777" w:rsidR="00D3579D" w:rsidRPr="008556B8" w:rsidRDefault="00D3579D" w:rsidP="002D2D45">
            <w:pPr>
              <w:pStyle w:val="Texttabulky"/>
              <w:spacing w:line="240" w:lineRule="atLeast"/>
              <w:jc w:val="both"/>
              <w:rPr>
                <w:rFonts w:cs="Arial"/>
              </w:rPr>
            </w:pPr>
            <w:r w:rsidRPr="008556B8">
              <w:rPr>
                <w:rFonts w:cs="Arial"/>
              </w:rPr>
              <w:t>34</w:t>
            </w:r>
          </w:p>
        </w:tc>
        <w:tc>
          <w:tcPr>
            <w:tcW w:w="541" w:type="dxa"/>
            <w:tcBorders>
              <w:top w:val="single" w:sz="4" w:space="0" w:color="auto"/>
              <w:left w:val="single" w:sz="4" w:space="0" w:color="auto"/>
              <w:bottom w:val="single" w:sz="4" w:space="0" w:color="auto"/>
              <w:right w:val="single" w:sz="4" w:space="0" w:color="auto"/>
            </w:tcBorders>
          </w:tcPr>
          <w:p w14:paraId="28192FB6" w14:textId="77777777" w:rsidR="00D3579D" w:rsidRPr="008556B8" w:rsidRDefault="00D3579D" w:rsidP="002D2D45">
            <w:pPr>
              <w:pStyle w:val="Texttabulky"/>
              <w:spacing w:line="240" w:lineRule="atLeast"/>
              <w:jc w:val="both"/>
              <w:rPr>
                <w:rFonts w:cs="Arial"/>
              </w:rPr>
            </w:pPr>
            <w:r w:rsidRPr="008556B8">
              <w:rPr>
                <w:rFonts w:cs="Arial"/>
              </w:rPr>
              <w:t>L</w:t>
            </w:r>
          </w:p>
        </w:tc>
        <w:tc>
          <w:tcPr>
            <w:tcW w:w="2019" w:type="dxa"/>
            <w:tcBorders>
              <w:top w:val="single" w:sz="4" w:space="0" w:color="auto"/>
              <w:left w:val="single" w:sz="4" w:space="0" w:color="auto"/>
              <w:bottom w:val="single" w:sz="4" w:space="0" w:color="auto"/>
              <w:right w:val="single" w:sz="4" w:space="0" w:color="auto"/>
            </w:tcBorders>
          </w:tcPr>
          <w:p w14:paraId="69481907" w14:textId="77777777" w:rsidR="00D3579D" w:rsidRPr="008556B8" w:rsidRDefault="00D3579D" w:rsidP="002D2D45">
            <w:pPr>
              <w:pStyle w:val="Texttabulky"/>
              <w:spacing w:line="240" w:lineRule="atLeast"/>
              <w:jc w:val="both"/>
              <w:rPr>
                <w:rFonts w:cs="Arial"/>
              </w:rPr>
            </w:pPr>
            <w:r w:rsidRPr="008556B8">
              <w:rPr>
                <w:rFonts w:cs="Arial"/>
              </w:rPr>
              <w:t>Kristin Hrádek</w:t>
            </w:r>
          </w:p>
        </w:tc>
        <w:tc>
          <w:tcPr>
            <w:tcW w:w="709" w:type="dxa"/>
            <w:tcBorders>
              <w:top w:val="single" w:sz="4" w:space="0" w:color="auto"/>
              <w:left w:val="single" w:sz="4" w:space="0" w:color="auto"/>
              <w:bottom w:val="single" w:sz="4" w:space="0" w:color="auto"/>
              <w:right w:val="single" w:sz="4" w:space="0" w:color="auto"/>
            </w:tcBorders>
          </w:tcPr>
          <w:p w14:paraId="0DF51F6D" w14:textId="77777777" w:rsidR="00D3579D" w:rsidRPr="008556B8" w:rsidRDefault="00D3579D" w:rsidP="002D2D45">
            <w:pPr>
              <w:pStyle w:val="Texttabulky"/>
              <w:spacing w:line="240" w:lineRule="atLeast"/>
              <w:jc w:val="both"/>
              <w:rPr>
                <w:rFonts w:cs="Arial"/>
              </w:rPr>
            </w:pPr>
            <w:r w:rsidRPr="008556B8">
              <w:rPr>
                <w:rFonts w:cs="Arial"/>
              </w:rPr>
              <w:t>0</w:t>
            </w:r>
          </w:p>
        </w:tc>
        <w:tc>
          <w:tcPr>
            <w:tcW w:w="657" w:type="dxa"/>
            <w:tcBorders>
              <w:top w:val="single" w:sz="4" w:space="0" w:color="auto"/>
              <w:left w:val="single" w:sz="4" w:space="0" w:color="auto"/>
              <w:bottom w:val="single" w:sz="4" w:space="0" w:color="auto"/>
              <w:right w:val="single" w:sz="4" w:space="0" w:color="auto"/>
            </w:tcBorders>
          </w:tcPr>
          <w:p w14:paraId="0FC35212" w14:textId="77777777" w:rsidR="00D3579D" w:rsidRPr="008556B8" w:rsidRDefault="00D3579D" w:rsidP="002D2D45">
            <w:pPr>
              <w:pStyle w:val="Zkladntext"/>
              <w:jc w:val="both"/>
              <w:rPr>
                <w:rFonts w:cs="Arial"/>
              </w:rPr>
            </w:pPr>
          </w:p>
        </w:tc>
        <w:tc>
          <w:tcPr>
            <w:tcW w:w="660" w:type="dxa"/>
            <w:tcBorders>
              <w:top w:val="single" w:sz="4" w:space="0" w:color="auto"/>
              <w:left w:val="single" w:sz="4" w:space="0" w:color="auto"/>
              <w:bottom w:val="single" w:sz="4" w:space="0" w:color="auto"/>
              <w:right w:val="single" w:sz="4" w:space="0" w:color="auto"/>
            </w:tcBorders>
          </w:tcPr>
          <w:p w14:paraId="53303C3A" w14:textId="77777777" w:rsidR="00D3579D" w:rsidRPr="008556B8" w:rsidRDefault="00D3579D" w:rsidP="002D2D45">
            <w:pPr>
              <w:pStyle w:val="Zkladntext"/>
              <w:jc w:val="both"/>
              <w:rPr>
                <w:rFonts w:cs="Arial"/>
              </w:rPr>
            </w:pPr>
          </w:p>
        </w:tc>
        <w:tc>
          <w:tcPr>
            <w:tcW w:w="724" w:type="dxa"/>
            <w:tcBorders>
              <w:top w:val="single" w:sz="4" w:space="0" w:color="auto"/>
              <w:left w:val="single" w:sz="4" w:space="0" w:color="auto"/>
              <w:bottom w:val="single" w:sz="4" w:space="0" w:color="auto"/>
              <w:right w:val="single" w:sz="4" w:space="0" w:color="auto"/>
            </w:tcBorders>
          </w:tcPr>
          <w:p w14:paraId="7C83660B" w14:textId="77777777" w:rsidR="00D3579D" w:rsidRPr="008556B8" w:rsidRDefault="00D3579D" w:rsidP="002D2D45">
            <w:pPr>
              <w:pStyle w:val="Texttabulky"/>
              <w:spacing w:line="240" w:lineRule="atLeast"/>
              <w:jc w:val="both"/>
              <w:rPr>
                <w:rFonts w:cs="Arial"/>
              </w:rPr>
            </w:pPr>
            <w:r w:rsidRPr="008556B8">
              <w:rPr>
                <w:rFonts w:cs="Arial"/>
              </w:rPr>
              <w:t>0</w:t>
            </w:r>
          </w:p>
        </w:tc>
        <w:tc>
          <w:tcPr>
            <w:tcW w:w="853" w:type="dxa"/>
            <w:tcBorders>
              <w:top w:val="single" w:sz="4" w:space="0" w:color="auto"/>
              <w:left w:val="single" w:sz="4" w:space="0" w:color="auto"/>
              <w:bottom w:val="single" w:sz="4" w:space="0" w:color="auto"/>
              <w:right w:val="single" w:sz="4" w:space="0" w:color="auto"/>
            </w:tcBorders>
          </w:tcPr>
          <w:p w14:paraId="57EEA031" w14:textId="77777777" w:rsidR="00D3579D" w:rsidRPr="008556B8" w:rsidRDefault="00D3579D" w:rsidP="002D2D45">
            <w:pPr>
              <w:pStyle w:val="Texttabulky"/>
              <w:spacing w:line="240" w:lineRule="atLeast"/>
              <w:jc w:val="both"/>
              <w:rPr>
                <w:rFonts w:cs="Arial"/>
              </w:rPr>
            </w:pPr>
            <w:r w:rsidRPr="008556B8">
              <w:rPr>
                <w:rFonts w:cs="Arial"/>
              </w:rPr>
              <w:t>0</w:t>
            </w:r>
          </w:p>
        </w:tc>
        <w:tc>
          <w:tcPr>
            <w:tcW w:w="909" w:type="dxa"/>
            <w:tcBorders>
              <w:top w:val="single" w:sz="4" w:space="0" w:color="auto"/>
              <w:left w:val="single" w:sz="4" w:space="0" w:color="auto"/>
              <w:bottom w:val="single" w:sz="4" w:space="0" w:color="auto"/>
              <w:right w:val="single" w:sz="4" w:space="0" w:color="auto"/>
            </w:tcBorders>
          </w:tcPr>
          <w:p w14:paraId="78845CBA" w14:textId="77777777" w:rsidR="00D3579D" w:rsidRPr="008556B8" w:rsidRDefault="00D3579D" w:rsidP="002D2D45">
            <w:pPr>
              <w:pStyle w:val="Texttabulky"/>
              <w:spacing w:line="240" w:lineRule="atLeast"/>
              <w:jc w:val="both"/>
              <w:rPr>
                <w:rFonts w:cs="Arial"/>
              </w:rPr>
            </w:pPr>
            <w:r w:rsidRPr="008556B8">
              <w:rPr>
                <w:rFonts w:cs="Arial"/>
              </w:rPr>
              <w:t>0</w:t>
            </w:r>
          </w:p>
        </w:tc>
        <w:tc>
          <w:tcPr>
            <w:tcW w:w="761" w:type="dxa"/>
            <w:tcBorders>
              <w:top w:val="single" w:sz="4" w:space="0" w:color="auto"/>
              <w:left w:val="single" w:sz="4" w:space="0" w:color="auto"/>
              <w:bottom w:val="single" w:sz="4" w:space="0" w:color="auto"/>
              <w:right w:val="single" w:sz="4" w:space="0" w:color="auto"/>
            </w:tcBorders>
          </w:tcPr>
          <w:p w14:paraId="08E63F1D" w14:textId="77777777" w:rsidR="00D3579D" w:rsidRPr="008556B8" w:rsidRDefault="00D3579D" w:rsidP="002D2D45">
            <w:pPr>
              <w:pStyle w:val="Texttabulky"/>
              <w:spacing w:line="240" w:lineRule="atLeast"/>
              <w:jc w:val="both"/>
              <w:rPr>
                <w:rFonts w:cs="Arial"/>
              </w:rPr>
            </w:pPr>
            <w:r w:rsidRPr="008556B8">
              <w:rPr>
                <w:rFonts w:cs="Arial"/>
              </w:rPr>
              <w:t>0</w:t>
            </w:r>
          </w:p>
        </w:tc>
        <w:tc>
          <w:tcPr>
            <w:tcW w:w="760" w:type="dxa"/>
            <w:tcBorders>
              <w:top w:val="single" w:sz="4" w:space="0" w:color="auto"/>
              <w:left w:val="single" w:sz="4" w:space="0" w:color="auto"/>
              <w:bottom w:val="single" w:sz="4" w:space="0" w:color="auto"/>
              <w:right w:val="single" w:sz="4" w:space="0" w:color="auto"/>
            </w:tcBorders>
          </w:tcPr>
          <w:p w14:paraId="040FF29D" w14:textId="77777777" w:rsidR="00D3579D" w:rsidRPr="008556B8" w:rsidRDefault="00D3579D" w:rsidP="002D2D45">
            <w:pPr>
              <w:pStyle w:val="Texttabulky"/>
              <w:spacing w:line="240" w:lineRule="atLeast"/>
              <w:jc w:val="both"/>
              <w:rPr>
                <w:rFonts w:cs="Arial"/>
              </w:rPr>
            </w:pPr>
            <w:r w:rsidRPr="008556B8">
              <w:rPr>
                <w:rFonts w:cs="Arial"/>
              </w:rPr>
              <w:t>0</w:t>
            </w:r>
          </w:p>
        </w:tc>
      </w:tr>
      <w:tr w:rsidR="00D3579D" w:rsidRPr="008556B8" w14:paraId="07D0F7D4" w14:textId="77777777" w:rsidTr="002D2D45">
        <w:trPr>
          <w:trHeight w:val="237"/>
        </w:trPr>
        <w:tc>
          <w:tcPr>
            <w:tcW w:w="508" w:type="dxa"/>
            <w:tcBorders>
              <w:top w:val="single" w:sz="4" w:space="0" w:color="auto"/>
              <w:left w:val="single" w:sz="4" w:space="0" w:color="auto"/>
              <w:bottom w:val="single" w:sz="4" w:space="0" w:color="auto"/>
              <w:right w:val="single" w:sz="4" w:space="0" w:color="auto"/>
            </w:tcBorders>
          </w:tcPr>
          <w:p w14:paraId="593D47FB" w14:textId="77777777" w:rsidR="00D3579D" w:rsidRPr="008556B8" w:rsidRDefault="00D3579D" w:rsidP="002D2D45">
            <w:pPr>
              <w:pStyle w:val="Texttabulky"/>
              <w:spacing w:line="240" w:lineRule="atLeast"/>
              <w:jc w:val="both"/>
              <w:rPr>
                <w:rFonts w:cs="Arial"/>
              </w:rPr>
            </w:pPr>
            <w:r w:rsidRPr="008556B8">
              <w:rPr>
                <w:rFonts w:cs="Arial"/>
              </w:rPr>
              <w:t>35</w:t>
            </w:r>
          </w:p>
        </w:tc>
        <w:tc>
          <w:tcPr>
            <w:tcW w:w="541" w:type="dxa"/>
            <w:tcBorders>
              <w:top w:val="single" w:sz="4" w:space="0" w:color="auto"/>
              <w:left w:val="single" w:sz="4" w:space="0" w:color="auto"/>
              <w:bottom w:val="single" w:sz="4" w:space="0" w:color="auto"/>
              <w:right w:val="single" w:sz="4" w:space="0" w:color="auto"/>
            </w:tcBorders>
          </w:tcPr>
          <w:p w14:paraId="1EFF4878" w14:textId="77777777" w:rsidR="00D3579D" w:rsidRPr="008556B8" w:rsidRDefault="00D3579D" w:rsidP="002D2D45">
            <w:pPr>
              <w:pStyle w:val="Texttabulky"/>
              <w:spacing w:line="240" w:lineRule="atLeast"/>
              <w:jc w:val="both"/>
              <w:rPr>
                <w:rFonts w:cs="Arial"/>
              </w:rPr>
            </w:pPr>
            <w:r w:rsidRPr="008556B8">
              <w:rPr>
                <w:rFonts w:cs="Arial"/>
              </w:rPr>
              <w:t>L</w:t>
            </w:r>
          </w:p>
        </w:tc>
        <w:tc>
          <w:tcPr>
            <w:tcW w:w="2019" w:type="dxa"/>
            <w:tcBorders>
              <w:top w:val="single" w:sz="4" w:space="0" w:color="auto"/>
              <w:left w:val="single" w:sz="4" w:space="0" w:color="auto"/>
              <w:bottom w:val="single" w:sz="4" w:space="0" w:color="auto"/>
              <w:right w:val="single" w:sz="4" w:space="0" w:color="auto"/>
            </w:tcBorders>
          </w:tcPr>
          <w:p w14:paraId="428BE6BB" w14:textId="77777777" w:rsidR="00D3579D" w:rsidRPr="008556B8" w:rsidRDefault="00D3579D" w:rsidP="002D2D45">
            <w:pPr>
              <w:pStyle w:val="Texttabulky"/>
              <w:spacing w:line="240" w:lineRule="atLeast"/>
              <w:jc w:val="both"/>
              <w:rPr>
                <w:rFonts w:cs="Arial"/>
              </w:rPr>
            </w:pPr>
            <w:r w:rsidRPr="008556B8">
              <w:rPr>
                <w:rFonts w:cs="Arial"/>
              </w:rPr>
              <w:t>Havraní vrch</w:t>
            </w:r>
          </w:p>
        </w:tc>
        <w:tc>
          <w:tcPr>
            <w:tcW w:w="709" w:type="dxa"/>
            <w:tcBorders>
              <w:top w:val="single" w:sz="4" w:space="0" w:color="auto"/>
              <w:left w:val="single" w:sz="4" w:space="0" w:color="auto"/>
              <w:bottom w:val="single" w:sz="4" w:space="0" w:color="auto"/>
              <w:right w:val="single" w:sz="4" w:space="0" w:color="auto"/>
            </w:tcBorders>
          </w:tcPr>
          <w:p w14:paraId="0C1F642F" w14:textId="77777777" w:rsidR="00D3579D" w:rsidRPr="008556B8" w:rsidRDefault="00D3579D" w:rsidP="002D2D45">
            <w:pPr>
              <w:pStyle w:val="Texttabulky"/>
              <w:spacing w:line="240" w:lineRule="atLeast"/>
              <w:jc w:val="both"/>
              <w:rPr>
                <w:rFonts w:cs="Arial"/>
              </w:rPr>
            </w:pPr>
            <w:r w:rsidRPr="008556B8">
              <w:rPr>
                <w:rFonts w:cs="Arial"/>
              </w:rPr>
              <w:t>0</w:t>
            </w:r>
          </w:p>
        </w:tc>
        <w:tc>
          <w:tcPr>
            <w:tcW w:w="657" w:type="dxa"/>
            <w:tcBorders>
              <w:top w:val="single" w:sz="4" w:space="0" w:color="auto"/>
              <w:left w:val="single" w:sz="4" w:space="0" w:color="auto"/>
              <w:bottom w:val="single" w:sz="4" w:space="0" w:color="auto"/>
              <w:right w:val="single" w:sz="4" w:space="0" w:color="auto"/>
            </w:tcBorders>
          </w:tcPr>
          <w:p w14:paraId="2B532728" w14:textId="77777777" w:rsidR="00D3579D" w:rsidRPr="008556B8" w:rsidRDefault="00D3579D" w:rsidP="002D2D45">
            <w:pPr>
              <w:pStyle w:val="Zkladntext"/>
              <w:jc w:val="both"/>
              <w:rPr>
                <w:rFonts w:cs="Arial"/>
              </w:rPr>
            </w:pPr>
          </w:p>
        </w:tc>
        <w:tc>
          <w:tcPr>
            <w:tcW w:w="660" w:type="dxa"/>
            <w:tcBorders>
              <w:top w:val="single" w:sz="4" w:space="0" w:color="auto"/>
              <w:left w:val="single" w:sz="4" w:space="0" w:color="auto"/>
              <w:bottom w:val="single" w:sz="4" w:space="0" w:color="auto"/>
              <w:right w:val="single" w:sz="4" w:space="0" w:color="auto"/>
            </w:tcBorders>
          </w:tcPr>
          <w:p w14:paraId="3011F955" w14:textId="77777777" w:rsidR="00D3579D" w:rsidRPr="008556B8" w:rsidRDefault="00D3579D" w:rsidP="002D2D45">
            <w:pPr>
              <w:pStyle w:val="Zkladntext"/>
              <w:jc w:val="both"/>
              <w:rPr>
                <w:rFonts w:cs="Arial"/>
              </w:rPr>
            </w:pPr>
          </w:p>
        </w:tc>
        <w:tc>
          <w:tcPr>
            <w:tcW w:w="724" w:type="dxa"/>
            <w:tcBorders>
              <w:top w:val="single" w:sz="4" w:space="0" w:color="auto"/>
              <w:left w:val="single" w:sz="4" w:space="0" w:color="auto"/>
              <w:bottom w:val="single" w:sz="4" w:space="0" w:color="auto"/>
              <w:right w:val="single" w:sz="4" w:space="0" w:color="auto"/>
            </w:tcBorders>
          </w:tcPr>
          <w:p w14:paraId="3C96F684" w14:textId="77777777" w:rsidR="00D3579D" w:rsidRPr="008556B8" w:rsidRDefault="00D3579D" w:rsidP="002D2D45">
            <w:pPr>
              <w:pStyle w:val="Texttabulky"/>
              <w:spacing w:line="240" w:lineRule="atLeast"/>
              <w:jc w:val="both"/>
              <w:rPr>
                <w:rFonts w:cs="Arial"/>
              </w:rPr>
            </w:pPr>
            <w:r w:rsidRPr="008556B8">
              <w:rPr>
                <w:rFonts w:cs="Arial"/>
              </w:rPr>
              <w:t>0</w:t>
            </w:r>
          </w:p>
        </w:tc>
        <w:tc>
          <w:tcPr>
            <w:tcW w:w="853" w:type="dxa"/>
            <w:tcBorders>
              <w:top w:val="single" w:sz="4" w:space="0" w:color="auto"/>
              <w:left w:val="single" w:sz="4" w:space="0" w:color="auto"/>
              <w:bottom w:val="single" w:sz="4" w:space="0" w:color="auto"/>
              <w:right w:val="single" w:sz="4" w:space="0" w:color="auto"/>
            </w:tcBorders>
          </w:tcPr>
          <w:p w14:paraId="067BE81E" w14:textId="77777777" w:rsidR="00D3579D" w:rsidRPr="008556B8" w:rsidRDefault="00D3579D" w:rsidP="002D2D45">
            <w:pPr>
              <w:pStyle w:val="Texttabulky"/>
              <w:spacing w:line="240" w:lineRule="atLeast"/>
              <w:jc w:val="both"/>
              <w:rPr>
                <w:rFonts w:cs="Arial"/>
              </w:rPr>
            </w:pPr>
            <w:r w:rsidRPr="008556B8">
              <w:rPr>
                <w:rFonts w:cs="Arial"/>
              </w:rPr>
              <w:t>0</w:t>
            </w:r>
          </w:p>
        </w:tc>
        <w:tc>
          <w:tcPr>
            <w:tcW w:w="909" w:type="dxa"/>
            <w:tcBorders>
              <w:top w:val="single" w:sz="4" w:space="0" w:color="auto"/>
              <w:left w:val="single" w:sz="4" w:space="0" w:color="auto"/>
              <w:bottom w:val="single" w:sz="4" w:space="0" w:color="auto"/>
              <w:right w:val="single" w:sz="4" w:space="0" w:color="auto"/>
            </w:tcBorders>
          </w:tcPr>
          <w:p w14:paraId="5A848949" w14:textId="77777777" w:rsidR="00D3579D" w:rsidRPr="008556B8" w:rsidRDefault="00D3579D" w:rsidP="002D2D45">
            <w:pPr>
              <w:pStyle w:val="Texttabulky"/>
              <w:spacing w:line="240" w:lineRule="atLeast"/>
              <w:jc w:val="both"/>
              <w:rPr>
                <w:rFonts w:cs="Arial"/>
              </w:rPr>
            </w:pPr>
            <w:r w:rsidRPr="008556B8">
              <w:rPr>
                <w:rFonts w:cs="Arial"/>
              </w:rPr>
              <w:t>0</w:t>
            </w:r>
          </w:p>
        </w:tc>
        <w:tc>
          <w:tcPr>
            <w:tcW w:w="761" w:type="dxa"/>
            <w:tcBorders>
              <w:top w:val="single" w:sz="4" w:space="0" w:color="auto"/>
              <w:left w:val="single" w:sz="4" w:space="0" w:color="auto"/>
              <w:bottom w:val="single" w:sz="4" w:space="0" w:color="auto"/>
              <w:right w:val="single" w:sz="4" w:space="0" w:color="auto"/>
            </w:tcBorders>
          </w:tcPr>
          <w:p w14:paraId="29938CD0" w14:textId="77777777" w:rsidR="00D3579D" w:rsidRPr="008556B8" w:rsidRDefault="00D3579D" w:rsidP="002D2D45">
            <w:pPr>
              <w:pStyle w:val="Texttabulky"/>
              <w:spacing w:line="240" w:lineRule="atLeast"/>
              <w:jc w:val="both"/>
              <w:rPr>
                <w:rFonts w:cs="Arial"/>
              </w:rPr>
            </w:pPr>
            <w:r w:rsidRPr="008556B8">
              <w:rPr>
                <w:rFonts w:cs="Arial"/>
              </w:rPr>
              <w:t>0</w:t>
            </w:r>
          </w:p>
        </w:tc>
        <w:tc>
          <w:tcPr>
            <w:tcW w:w="760" w:type="dxa"/>
            <w:tcBorders>
              <w:top w:val="single" w:sz="4" w:space="0" w:color="auto"/>
              <w:left w:val="single" w:sz="4" w:space="0" w:color="auto"/>
              <w:bottom w:val="single" w:sz="4" w:space="0" w:color="auto"/>
              <w:right w:val="single" w:sz="4" w:space="0" w:color="auto"/>
            </w:tcBorders>
          </w:tcPr>
          <w:p w14:paraId="1C8DD27E" w14:textId="77777777" w:rsidR="00D3579D" w:rsidRPr="008556B8" w:rsidRDefault="00D3579D" w:rsidP="002D2D45">
            <w:pPr>
              <w:pStyle w:val="Texttabulky"/>
              <w:spacing w:line="240" w:lineRule="atLeast"/>
              <w:jc w:val="both"/>
              <w:rPr>
                <w:rFonts w:cs="Arial"/>
              </w:rPr>
            </w:pPr>
            <w:r w:rsidRPr="008556B8">
              <w:rPr>
                <w:rFonts w:cs="Arial"/>
              </w:rPr>
              <w:t>0</w:t>
            </w:r>
          </w:p>
        </w:tc>
      </w:tr>
      <w:tr w:rsidR="00D3579D" w:rsidRPr="008556B8" w14:paraId="53741B42" w14:textId="77777777" w:rsidTr="002D2D45">
        <w:trPr>
          <w:trHeight w:val="237"/>
        </w:trPr>
        <w:tc>
          <w:tcPr>
            <w:tcW w:w="508" w:type="dxa"/>
            <w:tcBorders>
              <w:top w:val="single" w:sz="4" w:space="0" w:color="auto"/>
              <w:left w:val="single" w:sz="4" w:space="0" w:color="auto"/>
              <w:bottom w:val="single" w:sz="4" w:space="0" w:color="auto"/>
              <w:right w:val="single" w:sz="4" w:space="0" w:color="auto"/>
            </w:tcBorders>
          </w:tcPr>
          <w:p w14:paraId="76C04180" w14:textId="77777777" w:rsidR="00D3579D" w:rsidRPr="008556B8" w:rsidRDefault="00D3579D" w:rsidP="002D2D45">
            <w:pPr>
              <w:pStyle w:val="Texttabulky"/>
              <w:spacing w:line="240" w:lineRule="atLeast"/>
              <w:jc w:val="both"/>
              <w:rPr>
                <w:rFonts w:cs="Arial"/>
              </w:rPr>
            </w:pPr>
            <w:r w:rsidRPr="008556B8">
              <w:rPr>
                <w:rFonts w:cs="Arial"/>
              </w:rPr>
              <w:t>36</w:t>
            </w:r>
          </w:p>
        </w:tc>
        <w:tc>
          <w:tcPr>
            <w:tcW w:w="541" w:type="dxa"/>
            <w:tcBorders>
              <w:top w:val="single" w:sz="4" w:space="0" w:color="auto"/>
              <w:left w:val="single" w:sz="4" w:space="0" w:color="auto"/>
              <w:bottom w:val="single" w:sz="4" w:space="0" w:color="auto"/>
              <w:right w:val="single" w:sz="4" w:space="0" w:color="auto"/>
            </w:tcBorders>
          </w:tcPr>
          <w:p w14:paraId="489DC243" w14:textId="77777777" w:rsidR="00D3579D" w:rsidRPr="008556B8" w:rsidRDefault="00D3579D" w:rsidP="002D2D45">
            <w:pPr>
              <w:pStyle w:val="Texttabulky"/>
              <w:spacing w:line="240" w:lineRule="atLeast"/>
              <w:jc w:val="both"/>
              <w:rPr>
                <w:rFonts w:cs="Arial"/>
              </w:rPr>
            </w:pPr>
            <w:r w:rsidRPr="008556B8">
              <w:rPr>
                <w:rFonts w:cs="Arial"/>
              </w:rPr>
              <w:t>N</w:t>
            </w:r>
          </w:p>
        </w:tc>
        <w:tc>
          <w:tcPr>
            <w:tcW w:w="2019" w:type="dxa"/>
            <w:tcBorders>
              <w:top w:val="single" w:sz="4" w:space="0" w:color="auto"/>
              <w:left w:val="single" w:sz="4" w:space="0" w:color="auto"/>
              <w:bottom w:val="single" w:sz="4" w:space="0" w:color="auto"/>
              <w:right w:val="single" w:sz="4" w:space="0" w:color="auto"/>
            </w:tcBorders>
          </w:tcPr>
          <w:p w14:paraId="67325A6E" w14:textId="77777777" w:rsidR="00D3579D" w:rsidRPr="008556B8" w:rsidRDefault="00D3579D" w:rsidP="002D2D45">
            <w:pPr>
              <w:pStyle w:val="Texttabulky"/>
              <w:spacing w:line="240" w:lineRule="atLeast"/>
              <w:jc w:val="both"/>
              <w:rPr>
                <w:rFonts w:cs="Arial"/>
              </w:rPr>
            </w:pPr>
            <w:r w:rsidRPr="008556B8">
              <w:rPr>
                <w:rFonts w:cs="Arial"/>
              </w:rPr>
              <w:t>Maxičky</w:t>
            </w:r>
          </w:p>
        </w:tc>
        <w:tc>
          <w:tcPr>
            <w:tcW w:w="709" w:type="dxa"/>
            <w:tcBorders>
              <w:top w:val="single" w:sz="4" w:space="0" w:color="auto"/>
              <w:left w:val="single" w:sz="4" w:space="0" w:color="auto"/>
              <w:bottom w:val="single" w:sz="4" w:space="0" w:color="auto"/>
              <w:right w:val="single" w:sz="4" w:space="0" w:color="auto"/>
            </w:tcBorders>
          </w:tcPr>
          <w:p w14:paraId="11C422DA" w14:textId="77777777" w:rsidR="00D3579D" w:rsidRPr="008556B8" w:rsidRDefault="00D3579D" w:rsidP="002D2D45">
            <w:pPr>
              <w:pStyle w:val="Texttabulky"/>
              <w:spacing w:line="240" w:lineRule="atLeast"/>
              <w:jc w:val="both"/>
              <w:rPr>
                <w:rFonts w:cs="Arial"/>
              </w:rPr>
            </w:pPr>
            <w:r w:rsidRPr="008556B8">
              <w:rPr>
                <w:rFonts w:cs="Arial"/>
              </w:rPr>
              <w:t>59</w:t>
            </w:r>
          </w:p>
        </w:tc>
        <w:tc>
          <w:tcPr>
            <w:tcW w:w="657" w:type="dxa"/>
            <w:tcBorders>
              <w:top w:val="single" w:sz="4" w:space="0" w:color="auto"/>
              <w:left w:val="single" w:sz="4" w:space="0" w:color="auto"/>
              <w:bottom w:val="single" w:sz="4" w:space="0" w:color="auto"/>
              <w:right w:val="single" w:sz="4" w:space="0" w:color="auto"/>
            </w:tcBorders>
          </w:tcPr>
          <w:p w14:paraId="2C79C676" w14:textId="77777777" w:rsidR="00D3579D" w:rsidRPr="008556B8" w:rsidRDefault="00D3579D" w:rsidP="002D2D45">
            <w:pPr>
              <w:pStyle w:val="Texttabulky"/>
              <w:spacing w:line="240" w:lineRule="atLeast"/>
              <w:jc w:val="both"/>
              <w:rPr>
                <w:rFonts w:cs="Arial"/>
              </w:rPr>
            </w:pPr>
            <w:r w:rsidRPr="008556B8">
              <w:rPr>
                <w:rFonts w:cs="Arial"/>
              </w:rPr>
              <w:t>15</w:t>
            </w:r>
          </w:p>
        </w:tc>
        <w:tc>
          <w:tcPr>
            <w:tcW w:w="660" w:type="dxa"/>
            <w:tcBorders>
              <w:top w:val="single" w:sz="4" w:space="0" w:color="auto"/>
              <w:left w:val="single" w:sz="4" w:space="0" w:color="auto"/>
              <w:bottom w:val="single" w:sz="4" w:space="0" w:color="auto"/>
              <w:right w:val="single" w:sz="4" w:space="0" w:color="auto"/>
            </w:tcBorders>
          </w:tcPr>
          <w:p w14:paraId="56BF585C" w14:textId="77777777" w:rsidR="00D3579D" w:rsidRPr="008556B8" w:rsidRDefault="00D3579D" w:rsidP="002D2D45">
            <w:pPr>
              <w:pStyle w:val="Zkladntext"/>
              <w:spacing w:line="240" w:lineRule="atLeast"/>
              <w:jc w:val="both"/>
              <w:rPr>
                <w:rFonts w:cs="Arial"/>
              </w:rPr>
            </w:pPr>
          </w:p>
        </w:tc>
        <w:tc>
          <w:tcPr>
            <w:tcW w:w="724" w:type="dxa"/>
            <w:tcBorders>
              <w:top w:val="single" w:sz="4" w:space="0" w:color="auto"/>
              <w:left w:val="single" w:sz="4" w:space="0" w:color="auto"/>
              <w:bottom w:val="single" w:sz="4" w:space="0" w:color="auto"/>
              <w:right w:val="single" w:sz="4" w:space="0" w:color="auto"/>
            </w:tcBorders>
          </w:tcPr>
          <w:p w14:paraId="05ADA3CE" w14:textId="77777777" w:rsidR="00D3579D" w:rsidRPr="008556B8" w:rsidRDefault="00D3579D" w:rsidP="002D2D45">
            <w:pPr>
              <w:pStyle w:val="Texttabulky"/>
              <w:spacing w:line="240" w:lineRule="atLeast"/>
              <w:jc w:val="both"/>
              <w:rPr>
                <w:rFonts w:cs="Arial"/>
              </w:rPr>
            </w:pPr>
            <w:r w:rsidRPr="008556B8">
              <w:rPr>
                <w:rFonts w:cs="Arial"/>
              </w:rPr>
              <w:t>65</w:t>
            </w:r>
          </w:p>
        </w:tc>
        <w:tc>
          <w:tcPr>
            <w:tcW w:w="853" w:type="dxa"/>
            <w:tcBorders>
              <w:top w:val="single" w:sz="4" w:space="0" w:color="auto"/>
              <w:left w:val="single" w:sz="4" w:space="0" w:color="auto"/>
              <w:bottom w:val="single" w:sz="4" w:space="0" w:color="auto"/>
              <w:right w:val="single" w:sz="4" w:space="0" w:color="auto"/>
            </w:tcBorders>
          </w:tcPr>
          <w:p w14:paraId="7171DC44" w14:textId="77777777" w:rsidR="00D3579D" w:rsidRPr="008556B8" w:rsidRDefault="00D3579D" w:rsidP="002D2D45">
            <w:pPr>
              <w:pStyle w:val="Texttabulky"/>
              <w:spacing w:line="240" w:lineRule="atLeast"/>
              <w:jc w:val="both"/>
              <w:rPr>
                <w:rFonts w:cs="Arial"/>
              </w:rPr>
            </w:pPr>
            <w:r w:rsidRPr="008556B8">
              <w:rPr>
                <w:rFonts w:cs="Arial"/>
              </w:rPr>
              <w:t>65</w:t>
            </w:r>
          </w:p>
        </w:tc>
        <w:tc>
          <w:tcPr>
            <w:tcW w:w="909" w:type="dxa"/>
            <w:tcBorders>
              <w:top w:val="single" w:sz="4" w:space="0" w:color="auto"/>
              <w:left w:val="single" w:sz="4" w:space="0" w:color="auto"/>
              <w:bottom w:val="single" w:sz="4" w:space="0" w:color="auto"/>
              <w:right w:val="single" w:sz="4" w:space="0" w:color="auto"/>
            </w:tcBorders>
          </w:tcPr>
          <w:p w14:paraId="381C1304" w14:textId="77777777" w:rsidR="00D3579D" w:rsidRPr="008556B8" w:rsidRDefault="00D3579D" w:rsidP="002D2D45">
            <w:pPr>
              <w:pStyle w:val="Texttabulky"/>
              <w:spacing w:line="240" w:lineRule="atLeast"/>
              <w:jc w:val="both"/>
              <w:rPr>
                <w:rFonts w:cs="Arial"/>
              </w:rPr>
            </w:pPr>
            <w:r w:rsidRPr="008556B8">
              <w:rPr>
                <w:rFonts w:cs="Arial"/>
              </w:rPr>
              <w:t>130</w:t>
            </w:r>
          </w:p>
        </w:tc>
        <w:tc>
          <w:tcPr>
            <w:tcW w:w="761" w:type="dxa"/>
            <w:tcBorders>
              <w:top w:val="single" w:sz="4" w:space="0" w:color="auto"/>
              <w:left w:val="single" w:sz="4" w:space="0" w:color="auto"/>
              <w:bottom w:val="single" w:sz="4" w:space="0" w:color="auto"/>
              <w:right w:val="single" w:sz="4" w:space="0" w:color="auto"/>
            </w:tcBorders>
          </w:tcPr>
          <w:p w14:paraId="2812531A" w14:textId="77777777" w:rsidR="00D3579D" w:rsidRPr="008556B8" w:rsidRDefault="00D3579D" w:rsidP="002D2D45">
            <w:pPr>
              <w:pStyle w:val="Texttabulky"/>
              <w:spacing w:line="240" w:lineRule="atLeast"/>
              <w:jc w:val="both"/>
              <w:rPr>
                <w:rFonts w:cs="Arial"/>
              </w:rPr>
            </w:pPr>
            <w:r w:rsidRPr="008556B8">
              <w:rPr>
                <w:rFonts w:cs="Arial"/>
              </w:rPr>
              <w:t>6</w:t>
            </w:r>
          </w:p>
        </w:tc>
        <w:tc>
          <w:tcPr>
            <w:tcW w:w="760" w:type="dxa"/>
            <w:tcBorders>
              <w:top w:val="single" w:sz="4" w:space="0" w:color="auto"/>
              <w:left w:val="single" w:sz="4" w:space="0" w:color="auto"/>
              <w:bottom w:val="single" w:sz="4" w:space="0" w:color="auto"/>
              <w:right w:val="single" w:sz="4" w:space="0" w:color="auto"/>
            </w:tcBorders>
          </w:tcPr>
          <w:p w14:paraId="620ACD55" w14:textId="77777777" w:rsidR="00D3579D" w:rsidRPr="008556B8" w:rsidRDefault="00D3579D" w:rsidP="002D2D45">
            <w:pPr>
              <w:pStyle w:val="Texttabulky"/>
              <w:spacing w:line="240" w:lineRule="atLeast"/>
              <w:jc w:val="both"/>
              <w:rPr>
                <w:rFonts w:cs="Arial"/>
              </w:rPr>
            </w:pPr>
            <w:r w:rsidRPr="008556B8">
              <w:rPr>
                <w:rFonts w:cs="Arial"/>
              </w:rPr>
              <w:t>71</w:t>
            </w:r>
          </w:p>
        </w:tc>
      </w:tr>
      <w:tr w:rsidR="00D3579D" w:rsidRPr="008556B8" w14:paraId="46BECD79" w14:textId="77777777" w:rsidTr="002D2D45">
        <w:trPr>
          <w:trHeight w:val="249"/>
        </w:trPr>
        <w:tc>
          <w:tcPr>
            <w:tcW w:w="508" w:type="dxa"/>
            <w:tcBorders>
              <w:top w:val="single" w:sz="4" w:space="0" w:color="auto"/>
              <w:left w:val="single" w:sz="4" w:space="0" w:color="auto"/>
              <w:bottom w:val="single" w:sz="4" w:space="0" w:color="auto"/>
              <w:right w:val="single" w:sz="4" w:space="0" w:color="auto"/>
            </w:tcBorders>
          </w:tcPr>
          <w:p w14:paraId="2846839A" w14:textId="77777777" w:rsidR="00D3579D" w:rsidRPr="008556B8" w:rsidRDefault="00D3579D" w:rsidP="002D2D45">
            <w:pPr>
              <w:pStyle w:val="Texttabulky"/>
              <w:spacing w:line="240" w:lineRule="atLeast"/>
              <w:jc w:val="both"/>
              <w:rPr>
                <w:rFonts w:cs="Arial"/>
              </w:rPr>
            </w:pPr>
            <w:r w:rsidRPr="008556B8">
              <w:rPr>
                <w:rFonts w:cs="Arial"/>
              </w:rPr>
              <w:t>37</w:t>
            </w:r>
          </w:p>
        </w:tc>
        <w:tc>
          <w:tcPr>
            <w:tcW w:w="541" w:type="dxa"/>
            <w:tcBorders>
              <w:top w:val="single" w:sz="4" w:space="0" w:color="auto"/>
              <w:left w:val="single" w:sz="4" w:space="0" w:color="auto"/>
              <w:bottom w:val="single" w:sz="4" w:space="0" w:color="auto"/>
              <w:right w:val="single" w:sz="4" w:space="0" w:color="auto"/>
            </w:tcBorders>
          </w:tcPr>
          <w:p w14:paraId="34336F81" w14:textId="77777777" w:rsidR="00D3579D" w:rsidRPr="008556B8" w:rsidRDefault="00D3579D" w:rsidP="002D2D45">
            <w:pPr>
              <w:pStyle w:val="Texttabulky"/>
              <w:spacing w:line="240" w:lineRule="atLeast"/>
              <w:jc w:val="both"/>
              <w:rPr>
                <w:rFonts w:cs="Arial"/>
              </w:rPr>
            </w:pPr>
            <w:r w:rsidRPr="008556B8">
              <w:rPr>
                <w:rFonts w:cs="Arial"/>
              </w:rPr>
              <w:t>L</w:t>
            </w:r>
          </w:p>
        </w:tc>
        <w:tc>
          <w:tcPr>
            <w:tcW w:w="2019" w:type="dxa"/>
            <w:tcBorders>
              <w:top w:val="single" w:sz="4" w:space="0" w:color="auto"/>
              <w:left w:val="single" w:sz="4" w:space="0" w:color="auto"/>
              <w:bottom w:val="single" w:sz="4" w:space="0" w:color="auto"/>
              <w:right w:val="single" w:sz="4" w:space="0" w:color="auto"/>
            </w:tcBorders>
          </w:tcPr>
          <w:p w14:paraId="3449896C" w14:textId="77777777" w:rsidR="00D3579D" w:rsidRPr="008556B8" w:rsidRDefault="00D3579D" w:rsidP="002D2D45">
            <w:pPr>
              <w:pStyle w:val="Texttabulky"/>
              <w:spacing w:line="240" w:lineRule="atLeast"/>
              <w:jc w:val="both"/>
              <w:rPr>
                <w:rFonts w:cs="Arial"/>
              </w:rPr>
            </w:pPr>
            <w:r w:rsidRPr="008556B8">
              <w:rPr>
                <w:rFonts w:cs="Arial"/>
              </w:rPr>
              <w:t>Telefonka</w:t>
            </w:r>
          </w:p>
        </w:tc>
        <w:tc>
          <w:tcPr>
            <w:tcW w:w="709" w:type="dxa"/>
            <w:tcBorders>
              <w:top w:val="single" w:sz="4" w:space="0" w:color="auto"/>
              <w:left w:val="single" w:sz="4" w:space="0" w:color="auto"/>
              <w:bottom w:val="single" w:sz="4" w:space="0" w:color="auto"/>
              <w:right w:val="single" w:sz="4" w:space="0" w:color="auto"/>
            </w:tcBorders>
          </w:tcPr>
          <w:p w14:paraId="0429BABF" w14:textId="77777777" w:rsidR="00D3579D" w:rsidRPr="008556B8" w:rsidRDefault="00D3579D" w:rsidP="002D2D45">
            <w:pPr>
              <w:pStyle w:val="Texttabulky"/>
              <w:spacing w:line="240" w:lineRule="atLeast"/>
              <w:jc w:val="both"/>
              <w:rPr>
                <w:rFonts w:cs="Arial"/>
              </w:rPr>
            </w:pPr>
            <w:r w:rsidRPr="008556B8">
              <w:rPr>
                <w:rFonts w:cs="Arial"/>
              </w:rPr>
              <w:t>0</w:t>
            </w:r>
          </w:p>
        </w:tc>
        <w:tc>
          <w:tcPr>
            <w:tcW w:w="657" w:type="dxa"/>
            <w:tcBorders>
              <w:top w:val="single" w:sz="4" w:space="0" w:color="auto"/>
              <w:left w:val="single" w:sz="4" w:space="0" w:color="auto"/>
              <w:bottom w:val="single" w:sz="4" w:space="0" w:color="auto"/>
              <w:right w:val="single" w:sz="4" w:space="0" w:color="auto"/>
            </w:tcBorders>
          </w:tcPr>
          <w:p w14:paraId="4FEDE1F1" w14:textId="77777777" w:rsidR="00D3579D" w:rsidRPr="008556B8" w:rsidRDefault="00D3579D" w:rsidP="002D2D45">
            <w:pPr>
              <w:pStyle w:val="Zkladntext"/>
              <w:jc w:val="both"/>
              <w:rPr>
                <w:rFonts w:cs="Arial"/>
              </w:rPr>
            </w:pPr>
          </w:p>
        </w:tc>
        <w:tc>
          <w:tcPr>
            <w:tcW w:w="660" w:type="dxa"/>
            <w:tcBorders>
              <w:top w:val="single" w:sz="4" w:space="0" w:color="auto"/>
              <w:left w:val="single" w:sz="4" w:space="0" w:color="auto"/>
              <w:bottom w:val="single" w:sz="4" w:space="0" w:color="auto"/>
              <w:right w:val="single" w:sz="4" w:space="0" w:color="auto"/>
            </w:tcBorders>
          </w:tcPr>
          <w:p w14:paraId="7401A8FF" w14:textId="77777777" w:rsidR="00D3579D" w:rsidRPr="008556B8" w:rsidRDefault="00D3579D" w:rsidP="002D2D45">
            <w:pPr>
              <w:pStyle w:val="Zkladntext"/>
              <w:jc w:val="both"/>
              <w:rPr>
                <w:rFonts w:cs="Arial"/>
              </w:rPr>
            </w:pPr>
          </w:p>
        </w:tc>
        <w:tc>
          <w:tcPr>
            <w:tcW w:w="724" w:type="dxa"/>
            <w:tcBorders>
              <w:top w:val="single" w:sz="4" w:space="0" w:color="auto"/>
              <w:left w:val="single" w:sz="4" w:space="0" w:color="auto"/>
              <w:bottom w:val="single" w:sz="4" w:space="0" w:color="auto"/>
              <w:right w:val="single" w:sz="4" w:space="0" w:color="auto"/>
            </w:tcBorders>
          </w:tcPr>
          <w:p w14:paraId="7EBD45A7" w14:textId="77777777" w:rsidR="00D3579D" w:rsidRPr="008556B8" w:rsidRDefault="00D3579D" w:rsidP="002D2D45">
            <w:pPr>
              <w:pStyle w:val="Texttabulky"/>
              <w:spacing w:line="240" w:lineRule="atLeast"/>
              <w:jc w:val="both"/>
              <w:rPr>
                <w:rFonts w:cs="Arial"/>
              </w:rPr>
            </w:pPr>
            <w:r w:rsidRPr="008556B8">
              <w:rPr>
                <w:rFonts w:cs="Arial"/>
              </w:rPr>
              <w:t>0</w:t>
            </w:r>
          </w:p>
        </w:tc>
        <w:tc>
          <w:tcPr>
            <w:tcW w:w="853" w:type="dxa"/>
            <w:tcBorders>
              <w:top w:val="single" w:sz="4" w:space="0" w:color="auto"/>
              <w:left w:val="single" w:sz="4" w:space="0" w:color="auto"/>
              <w:bottom w:val="single" w:sz="4" w:space="0" w:color="auto"/>
              <w:right w:val="single" w:sz="4" w:space="0" w:color="auto"/>
            </w:tcBorders>
          </w:tcPr>
          <w:p w14:paraId="3E262429" w14:textId="77777777" w:rsidR="00D3579D" w:rsidRPr="008556B8" w:rsidRDefault="00D3579D" w:rsidP="002D2D45">
            <w:pPr>
              <w:pStyle w:val="Texttabulky"/>
              <w:spacing w:line="240" w:lineRule="atLeast"/>
              <w:jc w:val="both"/>
              <w:rPr>
                <w:rFonts w:cs="Arial"/>
              </w:rPr>
            </w:pPr>
            <w:r w:rsidRPr="008556B8">
              <w:rPr>
                <w:rFonts w:cs="Arial"/>
              </w:rPr>
              <w:t>0</w:t>
            </w:r>
          </w:p>
        </w:tc>
        <w:tc>
          <w:tcPr>
            <w:tcW w:w="909" w:type="dxa"/>
            <w:tcBorders>
              <w:top w:val="single" w:sz="4" w:space="0" w:color="auto"/>
              <w:left w:val="single" w:sz="4" w:space="0" w:color="auto"/>
              <w:bottom w:val="single" w:sz="4" w:space="0" w:color="auto"/>
              <w:right w:val="single" w:sz="4" w:space="0" w:color="auto"/>
            </w:tcBorders>
          </w:tcPr>
          <w:p w14:paraId="5846028C" w14:textId="77777777" w:rsidR="00D3579D" w:rsidRPr="008556B8" w:rsidRDefault="00D3579D" w:rsidP="002D2D45">
            <w:pPr>
              <w:pStyle w:val="Texttabulky"/>
              <w:spacing w:line="240" w:lineRule="atLeast"/>
              <w:jc w:val="both"/>
              <w:rPr>
                <w:rFonts w:cs="Arial"/>
              </w:rPr>
            </w:pPr>
            <w:r w:rsidRPr="008556B8">
              <w:rPr>
                <w:rFonts w:cs="Arial"/>
              </w:rPr>
              <w:t>0</w:t>
            </w:r>
          </w:p>
        </w:tc>
        <w:tc>
          <w:tcPr>
            <w:tcW w:w="761" w:type="dxa"/>
            <w:tcBorders>
              <w:top w:val="single" w:sz="4" w:space="0" w:color="auto"/>
              <w:left w:val="single" w:sz="4" w:space="0" w:color="auto"/>
              <w:bottom w:val="single" w:sz="4" w:space="0" w:color="auto"/>
              <w:right w:val="single" w:sz="4" w:space="0" w:color="auto"/>
            </w:tcBorders>
          </w:tcPr>
          <w:p w14:paraId="10DCA3E8" w14:textId="77777777" w:rsidR="00D3579D" w:rsidRPr="008556B8" w:rsidRDefault="00D3579D" w:rsidP="002D2D45">
            <w:pPr>
              <w:pStyle w:val="Texttabulky"/>
              <w:spacing w:line="240" w:lineRule="atLeast"/>
              <w:jc w:val="both"/>
              <w:rPr>
                <w:rFonts w:cs="Arial"/>
              </w:rPr>
            </w:pPr>
            <w:r w:rsidRPr="008556B8">
              <w:rPr>
                <w:rFonts w:cs="Arial"/>
              </w:rPr>
              <w:t>0</w:t>
            </w:r>
          </w:p>
        </w:tc>
        <w:tc>
          <w:tcPr>
            <w:tcW w:w="760" w:type="dxa"/>
            <w:tcBorders>
              <w:top w:val="single" w:sz="4" w:space="0" w:color="auto"/>
              <w:left w:val="single" w:sz="4" w:space="0" w:color="auto"/>
              <w:bottom w:val="single" w:sz="4" w:space="0" w:color="auto"/>
              <w:right w:val="single" w:sz="4" w:space="0" w:color="auto"/>
            </w:tcBorders>
          </w:tcPr>
          <w:p w14:paraId="7B88B619" w14:textId="77777777" w:rsidR="00D3579D" w:rsidRPr="008556B8" w:rsidRDefault="00D3579D" w:rsidP="002D2D45">
            <w:pPr>
              <w:pStyle w:val="Texttabulky"/>
              <w:spacing w:line="240" w:lineRule="atLeast"/>
              <w:jc w:val="both"/>
              <w:rPr>
                <w:rFonts w:cs="Arial"/>
              </w:rPr>
            </w:pPr>
            <w:r w:rsidRPr="008556B8">
              <w:rPr>
                <w:rFonts w:cs="Arial"/>
              </w:rPr>
              <w:t>0</w:t>
            </w:r>
          </w:p>
        </w:tc>
      </w:tr>
      <w:tr w:rsidR="00D3579D" w:rsidRPr="008556B8" w14:paraId="5BFA42D6" w14:textId="77777777" w:rsidTr="002D2D45">
        <w:trPr>
          <w:trHeight w:val="237"/>
        </w:trPr>
        <w:tc>
          <w:tcPr>
            <w:tcW w:w="508" w:type="dxa"/>
            <w:tcBorders>
              <w:top w:val="single" w:sz="4" w:space="0" w:color="auto"/>
              <w:left w:val="single" w:sz="4" w:space="0" w:color="auto"/>
              <w:bottom w:val="single" w:sz="4" w:space="0" w:color="auto"/>
              <w:right w:val="single" w:sz="4" w:space="0" w:color="auto"/>
            </w:tcBorders>
          </w:tcPr>
          <w:p w14:paraId="20DD867B" w14:textId="77777777" w:rsidR="00D3579D" w:rsidRPr="008556B8" w:rsidRDefault="00D3579D" w:rsidP="002D2D45">
            <w:pPr>
              <w:pStyle w:val="Texttabulky"/>
              <w:spacing w:line="240" w:lineRule="atLeast"/>
              <w:jc w:val="both"/>
              <w:rPr>
                <w:rFonts w:cs="Arial"/>
              </w:rPr>
            </w:pPr>
            <w:r w:rsidRPr="008556B8">
              <w:rPr>
                <w:rFonts w:cs="Arial"/>
              </w:rPr>
              <w:t>38</w:t>
            </w:r>
          </w:p>
        </w:tc>
        <w:tc>
          <w:tcPr>
            <w:tcW w:w="541" w:type="dxa"/>
            <w:tcBorders>
              <w:top w:val="single" w:sz="4" w:space="0" w:color="auto"/>
              <w:left w:val="single" w:sz="4" w:space="0" w:color="auto"/>
              <w:bottom w:val="single" w:sz="4" w:space="0" w:color="auto"/>
              <w:right w:val="single" w:sz="4" w:space="0" w:color="auto"/>
            </w:tcBorders>
          </w:tcPr>
          <w:p w14:paraId="6D7CE942" w14:textId="77777777" w:rsidR="00D3579D" w:rsidRPr="008556B8" w:rsidRDefault="00D3579D" w:rsidP="002D2D45">
            <w:pPr>
              <w:pStyle w:val="Texttabulky"/>
              <w:spacing w:line="240" w:lineRule="atLeast"/>
              <w:jc w:val="both"/>
              <w:rPr>
                <w:rFonts w:cs="Arial"/>
              </w:rPr>
            </w:pPr>
            <w:r w:rsidRPr="008556B8">
              <w:rPr>
                <w:rFonts w:cs="Arial"/>
              </w:rPr>
              <w:t>L</w:t>
            </w:r>
          </w:p>
        </w:tc>
        <w:tc>
          <w:tcPr>
            <w:tcW w:w="2019" w:type="dxa"/>
            <w:tcBorders>
              <w:top w:val="single" w:sz="4" w:space="0" w:color="auto"/>
              <w:left w:val="single" w:sz="4" w:space="0" w:color="auto"/>
              <w:bottom w:val="single" w:sz="4" w:space="0" w:color="auto"/>
              <w:right w:val="single" w:sz="4" w:space="0" w:color="auto"/>
            </w:tcBorders>
          </w:tcPr>
          <w:p w14:paraId="6C0D7B3D" w14:textId="77777777" w:rsidR="00D3579D" w:rsidRPr="008556B8" w:rsidRDefault="00D3579D" w:rsidP="002D2D45">
            <w:pPr>
              <w:pStyle w:val="Texttabulky"/>
              <w:spacing w:line="240" w:lineRule="atLeast"/>
              <w:jc w:val="both"/>
              <w:rPr>
                <w:rFonts w:cs="Arial"/>
              </w:rPr>
            </w:pPr>
            <w:r w:rsidRPr="008556B8">
              <w:rPr>
                <w:rFonts w:cs="Arial"/>
              </w:rPr>
              <w:t>Přípeřské polesí</w:t>
            </w:r>
          </w:p>
        </w:tc>
        <w:tc>
          <w:tcPr>
            <w:tcW w:w="709" w:type="dxa"/>
            <w:tcBorders>
              <w:top w:val="single" w:sz="4" w:space="0" w:color="auto"/>
              <w:left w:val="single" w:sz="4" w:space="0" w:color="auto"/>
              <w:bottom w:val="single" w:sz="4" w:space="0" w:color="auto"/>
              <w:right w:val="single" w:sz="4" w:space="0" w:color="auto"/>
            </w:tcBorders>
          </w:tcPr>
          <w:p w14:paraId="5C3DD383" w14:textId="77777777" w:rsidR="00D3579D" w:rsidRPr="008556B8" w:rsidRDefault="00D3579D" w:rsidP="002D2D45">
            <w:pPr>
              <w:pStyle w:val="Texttabulky"/>
              <w:spacing w:line="240" w:lineRule="atLeast"/>
              <w:jc w:val="both"/>
              <w:rPr>
                <w:rFonts w:cs="Arial"/>
              </w:rPr>
            </w:pPr>
            <w:r w:rsidRPr="008556B8">
              <w:rPr>
                <w:rFonts w:cs="Arial"/>
              </w:rPr>
              <w:t>0</w:t>
            </w:r>
          </w:p>
        </w:tc>
        <w:tc>
          <w:tcPr>
            <w:tcW w:w="657" w:type="dxa"/>
            <w:tcBorders>
              <w:top w:val="single" w:sz="4" w:space="0" w:color="auto"/>
              <w:left w:val="single" w:sz="4" w:space="0" w:color="auto"/>
              <w:bottom w:val="single" w:sz="4" w:space="0" w:color="auto"/>
              <w:right w:val="single" w:sz="4" w:space="0" w:color="auto"/>
            </w:tcBorders>
          </w:tcPr>
          <w:p w14:paraId="4AE82846" w14:textId="77777777" w:rsidR="00D3579D" w:rsidRPr="008556B8" w:rsidRDefault="00D3579D" w:rsidP="002D2D45">
            <w:pPr>
              <w:pStyle w:val="Zkladntext"/>
              <w:jc w:val="both"/>
              <w:rPr>
                <w:rFonts w:cs="Arial"/>
              </w:rPr>
            </w:pPr>
          </w:p>
        </w:tc>
        <w:tc>
          <w:tcPr>
            <w:tcW w:w="660" w:type="dxa"/>
            <w:tcBorders>
              <w:top w:val="single" w:sz="4" w:space="0" w:color="auto"/>
              <w:left w:val="single" w:sz="4" w:space="0" w:color="auto"/>
              <w:bottom w:val="single" w:sz="4" w:space="0" w:color="auto"/>
              <w:right w:val="single" w:sz="4" w:space="0" w:color="auto"/>
            </w:tcBorders>
          </w:tcPr>
          <w:p w14:paraId="475DDD8C" w14:textId="77777777" w:rsidR="00D3579D" w:rsidRPr="008556B8" w:rsidRDefault="00D3579D" w:rsidP="002D2D45">
            <w:pPr>
              <w:pStyle w:val="Zkladntext"/>
              <w:jc w:val="both"/>
              <w:rPr>
                <w:rFonts w:cs="Arial"/>
              </w:rPr>
            </w:pPr>
          </w:p>
        </w:tc>
        <w:tc>
          <w:tcPr>
            <w:tcW w:w="724" w:type="dxa"/>
            <w:tcBorders>
              <w:top w:val="single" w:sz="4" w:space="0" w:color="auto"/>
              <w:left w:val="single" w:sz="4" w:space="0" w:color="auto"/>
              <w:bottom w:val="single" w:sz="4" w:space="0" w:color="auto"/>
              <w:right w:val="single" w:sz="4" w:space="0" w:color="auto"/>
            </w:tcBorders>
          </w:tcPr>
          <w:p w14:paraId="77090EB6" w14:textId="77777777" w:rsidR="00D3579D" w:rsidRPr="008556B8" w:rsidRDefault="00D3579D" w:rsidP="002D2D45">
            <w:pPr>
              <w:pStyle w:val="Texttabulky"/>
              <w:spacing w:line="240" w:lineRule="atLeast"/>
              <w:jc w:val="both"/>
              <w:rPr>
                <w:rFonts w:cs="Arial"/>
              </w:rPr>
            </w:pPr>
            <w:r w:rsidRPr="008556B8">
              <w:rPr>
                <w:rFonts w:cs="Arial"/>
              </w:rPr>
              <w:t>0</w:t>
            </w:r>
          </w:p>
        </w:tc>
        <w:tc>
          <w:tcPr>
            <w:tcW w:w="853" w:type="dxa"/>
            <w:tcBorders>
              <w:top w:val="single" w:sz="4" w:space="0" w:color="auto"/>
              <w:left w:val="single" w:sz="4" w:space="0" w:color="auto"/>
              <w:bottom w:val="single" w:sz="4" w:space="0" w:color="auto"/>
              <w:right w:val="single" w:sz="4" w:space="0" w:color="auto"/>
            </w:tcBorders>
          </w:tcPr>
          <w:p w14:paraId="31864791" w14:textId="77777777" w:rsidR="00D3579D" w:rsidRPr="008556B8" w:rsidRDefault="00D3579D" w:rsidP="002D2D45">
            <w:pPr>
              <w:pStyle w:val="Texttabulky"/>
              <w:spacing w:line="240" w:lineRule="atLeast"/>
              <w:jc w:val="both"/>
              <w:rPr>
                <w:rFonts w:cs="Arial"/>
              </w:rPr>
            </w:pPr>
            <w:r w:rsidRPr="008556B8">
              <w:rPr>
                <w:rFonts w:cs="Arial"/>
              </w:rPr>
              <w:t>0</w:t>
            </w:r>
          </w:p>
        </w:tc>
        <w:tc>
          <w:tcPr>
            <w:tcW w:w="909" w:type="dxa"/>
            <w:tcBorders>
              <w:top w:val="single" w:sz="4" w:space="0" w:color="auto"/>
              <w:left w:val="single" w:sz="4" w:space="0" w:color="auto"/>
              <w:bottom w:val="single" w:sz="4" w:space="0" w:color="auto"/>
              <w:right w:val="single" w:sz="4" w:space="0" w:color="auto"/>
            </w:tcBorders>
          </w:tcPr>
          <w:p w14:paraId="07744B70" w14:textId="77777777" w:rsidR="00D3579D" w:rsidRPr="008556B8" w:rsidRDefault="00D3579D" w:rsidP="002D2D45">
            <w:pPr>
              <w:pStyle w:val="Texttabulky"/>
              <w:spacing w:line="240" w:lineRule="atLeast"/>
              <w:jc w:val="both"/>
              <w:rPr>
                <w:rFonts w:cs="Arial"/>
              </w:rPr>
            </w:pPr>
            <w:r w:rsidRPr="008556B8">
              <w:rPr>
                <w:rFonts w:cs="Arial"/>
              </w:rPr>
              <w:t>0</w:t>
            </w:r>
          </w:p>
        </w:tc>
        <w:tc>
          <w:tcPr>
            <w:tcW w:w="761" w:type="dxa"/>
            <w:tcBorders>
              <w:top w:val="single" w:sz="4" w:space="0" w:color="auto"/>
              <w:left w:val="single" w:sz="4" w:space="0" w:color="auto"/>
              <w:bottom w:val="single" w:sz="4" w:space="0" w:color="auto"/>
              <w:right w:val="single" w:sz="4" w:space="0" w:color="auto"/>
            </w:tcBorders>
          </w:tcPr>
          <w:p w14:paraId="137EBF4A" w14:textId="77777777" w:rsidR="00D3579D" w:rsidRPr="008556B8" w:rsidRDefault="00D3579D" w:rsidP="002D2D45">
            <w:pPr>
              <w:pStyle w:val="Texttabulky"/>
              <w:spacing w:line="240" w:lineRule="atLeast"/>
              <w:jc w:val="both"/>
              <w:rPr>
                <w:rFonts w:cs="Arial"/>
              </w:rPr>
            </w:pPr>
            <w:r w:rsidRPr="008556B8">
              <w:rPr>
                <w:rFonts w:cs="Arial"/>
              </w:rPr>
              <w:t>0</w:t>
            </w:r>
          </w:p>
        </w:tc>
        <w:tc>
          <w:tcPr>
            <w:tcW w:w="760" w:type="dxa"/>
            <w:tcBorders>
              <w:top w:val="single" w:sz="4" w:space="0" w:color="auto"/>
              <w:left w:val="single" w:sz="4" w:space="0" w:color="auto"/>
              <w:bottom w:val="single" w:sz="4" w:space="0" w:color="auto"/>
              <w:right w:val="single" w:sz="4" w:space="0" w:color="auto"/>
            </w:tcBorders>
          </w:tcPr>
          <w:p w14:paraId="007D24D2" w14:textId="77777777" w:rsidR="00D3579D" w:rsidRPr="008556B8" w:rsidRDefault="00D3579D" w:rsidP="002D2D45">
            <w:pPr>
              <w:pStyle w:val="Texttabulky"/>
              <w:spacing w:line="240" w:lineRule="atLeast"/>
              <w:jc w:val="both"/>
              <w:rPr>
                <w:rFonts w:cs="Arial"/>
              </w:rPr>
            </w:pPr>
            <w:r w:rsidRPr="008556B8">
              <w:rPr>
                <w:rFonts w:cs="Arial"/>
              </w:rPr>
              <w:t>0</w:t>
            </w:r>
          </w:p>
        </w:tc>
      </w:tr>
      <w:tr w:rsidR="00D3579D" w:rsidRPr="008556B8" w14:paraId="21CDAC32" w14:textId="77777777" w:rsidTr="002D2D45">
        <w:trPr>
          <w:trHeight w:val="237"/>
        </w:trPr>
        <w:tc>
          <w:tcPr>
            <w:tcW w:w="508" w:type="dxa"/>
            <w:tcBorders>
              <w:top w:val="single" w:sz="4" w:space="0" w:color="auto"/>
              <w:left w:val="single" w:sz="4" w:space="0" w:color="auto"/>
              <w:bottom w:val="single" w:sz="4" w:space="0" w:color="auto"/>
              <w:right w:val="single" w:sz="4" w:space="0" w:color="auto"/>
            </w:tcBorders>
          </w:tcPr>
          <w:p w14:paraId="2AE2EE93" w14:textId="77777777" w:rsidR="00D3579D" w:rsidRPr="008556B8" w:rsidRDefault="00D3579D" w:rsidP="002D2D45">
            <w:pPr>
              <w:pStyle w:val="Texttabulky"/>
              <w:spacing w:line="240" w:lineRule="atLeast"/>
              <w:jc w:val="both"/>
              <w:rPr>
                <w:rFonts w:cs="Arial"/>
              </w:rPr>
            </w:pPr>
            <w:r w:rsidRPr="008556B8">
              <w:rPr>
                <w:rFonts w:cs="Arial"/>
              </w:rPr>
              <w:t>43</w:t>
            </w:r>
          </w:p>
        </w:tc>
        <w:tc>
          <w:tcPr>
            <w:tcW w:w="541" w:type="dxa"/>
            <w:tcBorders>
              <w:top w:val="single" w:sz="4" w:space="0" w:color="auto"/>
              <w:left w:val="single" w:sz="4" w:space="0" w:color="auto"/>
              <w:bottom w:val="single" w:sz="4" w:space="0" w:color="auto"/>
              <w:right w:val="single" w:sz="4" w:space="0" w:color="auto"/>
            </w:tcBorders>
          </w:tcPr>
          <w:p w14:paraId="5EE752BE" w14:textId="77777777" w:rsidR="00D3579D" w:rsidRPr="008556B8" w:rsidRDefault="00D3579D" w:rsidP="002D2D45">
            <w:pPr>
              <w:pStyle w:val="Texttabulky"/>
              <w:spacing w:line="240" w:lineRule="atLeast"/>
              <w:jc w:val="both"/>
              <w:rPr>
                <w:rFonts w:cs="Arial"/>
              </w:rPr>
            </w:pPr>
            <w:r w:rsidRPr="008556B8">
              <w:rPr>
                <w:rFonts w:cs="Arial"/>
              </w:rPr>
              <w:t>L</w:t>
            </w:r>
          </w:p>
        </w:tc>
        <w:tc>
          <w:tcPr>
            <w:tcW w:w="2019" w:type="dxa"/>
            <w:tcBorders>
              <w:top w:val="single" w:sz="4" w:space="0" w:color="auto"/>
              <w:left w:val="single" w:sz="4" w:space="0" w:color="auto"/>
              <w:bottom w:val="single" w:sz="4" w:space="0" w:color="auto"/>
              <w:right w:val="single" w:sz="4" w:space="0" w:color="auto"/>
            </w:tcBorders>
          </w:tcPr>
          <w:p w14:paraId="6B5E3EF4" w14:textId="77777777" w:rsidR="00D3579D" w:rsidRPr="008556B8" w:rsidRDefault="00D3579D" w:rsidP="002D2D45">
            <w:pPr>
              <w:pStyle w:val="Texttabulky"/>
              <w:spacing w:line="240" w:lineRule="atLeast"/>
              <w:jc w:val="both"/>
              <w:rPr>
                <w:rFonts w:cs="Arial"/>
              </w:rPr>
            </w:pPr>
            <w:r w:rsidRPr="008556B8">
              <w:rPr>
                <w:rFonts w:cs="Arial"/>
              </w:rPr>
              <w:t>Nad Dolním Žlebem</w:t>
            </w:r>
          </w:p>
        </w:tc>
        <w:tc>
          <w:tcPr>
            <w:tcW w:w="709" w:type="dxa"/>
            <w:tcBorders>
              <w:top w:val="single" w:sz="4" w:space="0" w:color="auto"/>
              <w:left w:val="single" w:sz="4" w:space="0" w:color="auto"/>
              <w:bottom w:val="single" w:sz="4" w:space="0" w:color="auto"/>
              <w:right w:val="single" w:sz="4" w:space="0" w:color="auto"/>
            </w:tcBorders>
          </w:tcPr>
          <w:p w14:paraId="19A2011E" w14:textId="77777777" w:rsidR="00D3579D" w:rsidRPr="008556B8" w:rsidRDefault="00D3579D" w:rsidP="002D2D45">
            <w:pPr>
              <w:pStyle w:val="Texttabulky"/>
              <w:spacing w:line="240" w:lineRule="atLeast"/>
              <w:jc w:val="both"/>
              <w:rPr>
                <w:rFonts w:cs="Arial"/>
              </w:rPr>
            </w:pPr>
            <w:r w:rsidRPr="008556B8">
              <w:rPr>
                <w:rFonts w:cs="Arial"/>
              </w:rPr>
              <w:t>0</w:t>
            </w:r>
          </w:p>
        </w:tc>
        <w:tc>
          <w:tcPr>
            <w:tcW w:w="657" w:type="dxa"/>
            <w:tcBorders>
              <w:top w:val="single" w:sz="4" w:space="0" w:color="auto"/>
              <w:left w:val="single" w:sz="4" w:space="0" w:color="auto"/>
              <w:bottom w:val="single" w:sz="4" w:space="0" w:color="auto"/>
              <w:right w:val="single" w:sz="4" w:space="0" w:color="auto"/>
            </w:tcBorders>
          </w:tcPr>
          <w:p w14:paraId="771193B8" w14:textId="77777777" w:rsidR="00D3579D" w:rsidRPr="008556B8" w:rsidRDefault="00D3579D" w:rsidP="002D2D45">
            <w:pPr>
              <w:pStyle w:val="Zkladntext"/>
              <w:jc w:val="both"/>
              <w:rPr>
                <w:rFonts w:cs="Arial"/>
              </w:rPr>
            </w:pPr>
          </w:p>
        </w:tc>
        <w:tc>
          <w:tcPr>
            <w:tcW w:w="660" w:type="dxa"/>
            <w:tcBorders>
              <w:top w:val="single" w:sz="4" w:space="0" w:color="auto"/>
              <w:left w:val="single" w:sz="4" w:space="0" w:color="auto"/>
              <w:bottom w:val="single" w:sz="4" w:space="0" w:color="auto"/>
              <w:right w:val="single" w:sz="4" w:space="0" w:color="auto"/>
            </w:tcBorders>
          </w:tcPr>
          <w:p w14:paraId="785CE00B" w14:textId="77777777" w:rsidR="00D3579D" w:rsidRPr="008556B8" w:rsidRDefault="00D3579D" w:rsidP="002D2D45">
            <w:pPr>
              <w:pStyle w:val="Zkladntext"/>
              <w:jc w:val="both"/>
              <w:rPr>
                <w:rFonts w:cs="Arial"/>
              </w:rPr>
            </w:pPr>
          </w:p>
        </w:tc>
        <w:tc>
          <w:tcPr>
            <w:tcW w:w="724" w:type="dxa"/>
            <w:tcBorders>
              <w:top w:val="single" w:sz="4" w:space="0" w:color="auto"/>
              <w:left w:val="single" w:sz="4" w:space="0" w:color="auto"/>
              <w:bottom w:val="single" w:sz="4" w:space="0" w:color="auto"/>
              <w:right w:val="single" w:sz="4" w:space="0" w:color="auto"/>
            </w:tcBorders>
          </w:tcPr>
          <w:p w14:paraId="1E0BFCE9" w14:textId="77777777" w:rsidR="00D3579D" w:rsidRPr="008556B8" w:rsidRDefault="00D3579D" w:rsidP="002D2D45">
            <w:pPr>
              <w:pStyle w:val="Texttabulky"/>
              <w:spacing w:line="240" w:lineRule="atLeast"/>
              <w:jc w:val="both"/>
              <w:rPr>
                <w:rFonts w:cs="Arial"/>
              </w:rPr>
            </w:pPr>
            <w:r w:rsidRPr="008556B8">
              <w:rPr>
                <w:rFonts w:cs="Arial"/>
              </w:rPr>
              <w:t>0</w:t>
            </w:r>
          </w:p>
        </w:tc>
        <w:tc>
          <w:tcPr>
            <w:tcW w:w="853" w:type="dxa"/>
            <w:tcBorders>
              <w:top w:val="single" w:sz="4" w:space="0" w:color="auto"/>
              <w:left w:val="single" w:sz="4" w:space="0" w:color="auto"/>
              <w:bottom w:val="single" w:sz="4" w:space="0" w:color="auto"/>
              <w:right w:val="single" w:sz="4" w:space="0" w:color="auto"/>
            </w:tcBorders>
          </w:tcPr>
          <w:p w14:paraId="4CF2344F" w14:textId="77777777" w:rsidR="00D3579D" w:rsidRPr="008556B8" w:rsidRDefault="00D3579D" w:rsidP="002D2D45">
            <w:pPr>
              <w:pStyle w:val="Texttabulky"/>
              <w:spacing w:line="240" w:lineRule="atLeast"/>
              <w:jc w:val="both"/>
              <w:rPr>
                <w:rFonts w:cs="Arial"/>
              </w:rPr>
            </w:pPr>
            <w:r w:rsidRPr="008556B8">
              <w:rPr>
                <w:rFonts w:cs="Arial"/>
              </w:rPr>
              <w:t>0</w:t>
            </w:r>
          </w:p>
        </w:tc>
        <w:tc>
          <w:tcPr>
            <w:tcW w:w="909" w:type="dxa"/>
            <w:tcBorders>
              <w:top w:val="single" w:sz="4" w:space="0" w:color="auto"/>
              <w:left w:val="single" w:sz="4" w:space="0" w:color="auto"/>
              <w:bottom w:val="single" w:sz="4" w:space="0" w:color="auto"/>
              <w:right w:val="single" w:sz="4" w:space="0" w:color="auto"/>
            </w:tcBorders>
          </w:tcPr>
          <w:p w14:paraId="02CDA759" w14:textId="77777777" w:rsidR="00D3579D" w:rsidRPr="008556B8" w:rsidRDefault="00D3579D" w:rsidP="002D2D45">
            <w:pPr>
              <w:pStyle w:val="Texttabulky"/>
              <w:spacing w:line="240" w:lineRule="atLeast"/>
              <w:jc w:val="both"/>
              <w:rPr>
                <w:rFonts w:cs="Arial"/>
              </w:rPr>
            </w:pPr>
            <w:r w:rsidRPr="008556B8">
              <w:rPr>
                <w:rFonts w:cs="Arial"/>
              </w:rPr>
              <w:t>0</w:t>
            </w:r>
          </w:p>
        </w:tc>
        <w:tc>
          <w:tcPr>
            <w:tcW w:w="761" w:type="dxa"/>
            <w:tcBorders>
              <w:top w:val="single" w:sz="4" w:space="0" w:color="auto"/>
              <w:left w:val="single" w:sz="4" w:space="0" w:color="auto"/>
              <w:bottom w:val="single" w:sz="4" w:space="0" w:color="auto"/>
              <w:right w:val="single" w:sz="4" w:space="0" w:color="auto"/>
            </w:tcBorders>
          </w:tcPr>
          <w:p w14:paraId="2699C359" w14:textId="77777777" w:rsidR="00D3579D" w:rsidRPr="008556B8" w:rsidRDefault="00D3579D" w:rsidP="002D2D45">
            <w:pPr>
              <w:pStyle w:val="Texttabulky"/>
              <w:spacing w:line="240" w:lineRule="atLeast"/>
              <w:jc w:val="both"/>
              <w:rPr>
                <w:rFonts w:cs="Arial"/>
              </w:rPr>
            </w:pPr>
            <w:r w:rsidRPr="008556B8">
              <w:rPr>
                <w:rFonts w:cs="Arial"/>
              </w:rPr>
              <w:t>0</w:t>
            </w:r>
          </w:p>
        </w:tc>
        <w:tc>
          <w:tcPr>
            <w:tcW w:w="760" w:type="dxa"/>
            <w:tcBorders>
              <w:top w:val="single" w:sz="4" w:space="0" w:color="auto"/>
              <w:left w:val="single" w:sz="4" w:space="0" w:color="auto"/>
              <w:bottom w:val="single" w:sz="4" w:space="0" w:color="auto"/>
              <w:right w:val="single" w:sz="4" w:space="0" w:color="auto"/>
            </w:tcBorders>
          </w:tcPr>
          <w:p w14:paraId="73E7E1C8" w14:textId="77777777" w:rsidR="00D3579D" w:rsidRPr="008556B8" w:rsidRDefault="00D3579D" w:rsidP="002D2D45">
            <w:pPr>
              <w:pStyle w:val="Texttabulky"/>
              <w:spacing w:line="240" w:lineRule="atLeast"/>
              <w:jc w:val="both"/>
              <w:rPr>
                <w:rFonts w:cs="Arial"/>
              </w:rPr>
            </w:pPr>
            <w:r w:rsidRPr="008556B8">
              <w:rPr>
                <w:rFonts w:cs="Arial"/>
              </w:rPr>
              <w:t>0</w:t>
            </w:r>
          </w:p>
        </w:tc>
      </w:tr>
      <w:tr w:rsidR="00D3579D" w:rsidRPr="008556B8" w14:paraId="343AB953" w14:textId="77777777" w:rsidTr="002D2D45">
        <w:trPr>
          <w:trHeight w:val="237"/>
        </w:trPr>
        <w:tc>
          <w:tcPr>
            <w:tcW w:w="508" w:type="dxa"/>
            <w:tcBorders>
              <w:top w:val="single" w:sz="4" w:space="0" w:color="auto"/>
              <w:left w:val="single" w:sz="4" w:space="0" w:color="auto"/>
              <w:bottom w:val="single" w:sz="4" w:space="0" w:color="auto"/>
              <w:right w:val="single" w:sz="4" w:space="0" w:color="auto"/>
            </w:tcBorders>
          </w:tcPr>
          <w:p w14:paraId="6A53BB6D" w14:textId="77777777" w:rsidR="00D3579D" w:rsidRPr="008556B8" w:rsidRDefault="00D3579D" w:rsidP="002D2D45">
            <w:pPr>
              <w:pStyle w:val="Texttabulky"/>
              <w:spacing w:line="240" w:lineRule="atLeast"/>
              <w:jc w:val="both"/>
              <w:rPr>
                <w:rFonts w:cs="Arial"/>
              </w:rPr>
            </w:pPr>
            <w:r w:rsidRPr="008556B8">
              <w:rPr>
                <w:rFonts w:cs="Arial"/>
              </w:rPr>
              <w:t>44</w:t>
            </w:r>
          </w:p>
        </w:tc>
        <w:tc>
          <w:tcPr>
            <w:tcW w:w="541" w:type="dxa"/>
            <w:tcBorders>
              <w:top w:val="single" w:sz="4" w:space="0" w:color="auto"/>
              <w:left w:val="single" w:sz="4" w:space="0" w:color="auto"/>
              <w:bottom w:val="single" w:sz="4" w:space="0" w:color="auto"/>
              <w:right w:val="single" w:sz="4" w:space="0" w:color="auto"/>
            </w:tcBorders>
          </w:tcPr>
          <w:p w14:paraId="294A2675" w14:textId="77777777" w:rsidR="00D3579D" w:rsidRPr="008556B8" w:rsidRDefault="00D3579D" w:rsidP="002D2D45">
            <w:pPr>
              <w:pStyle w:val="Texttabulky"/>
              <w:spacing w:line="240" w:lineRule="atLeast"/>
              <w:jc w:val="both"/>
              <w:rPr>
                <w:rFonts w:cs="Arial"/>
              </w:rPr>
            </w:pPr>
            <w:r w:rsidRPr="008556B8">
              <w:rPr>
                <w:rFonts w:cs="Arial"/>
              </w:rPr>
              <w:t>N</w:t>
            </w:r>
          </w:p>
        </w:tc>
        <w:tc>
          <w:tcPr>
            <w:tcW w:w="2019" w:type="dxa"/>
            <w:tcBorders>
              <w:top w:val="single" w:sz="4" w:space="0" w:color="auto"/>
              <w:left w:val="single" w:sz="4" w:space="0" w:color="auto"/>
              <w:bottom w:val="single" w:sz="4" w:space="0" w:color="auto"/>
              <w:right w:val="single" w:sz="4" w:space="0" w:color="auto"/>
            </w:tcBorders>
          </w:tcPr>
          <w:p w14:paraId="1CB21286" w14:textId="77777777" w:rsidR="00D3579D" w:rsidRPr="008556B8" w:rsidRDefault="00D3579D" w:rsidP="002D2D45">
            <w:pPr>
              <w:pStyle w:val="Texttabulky"/>
              <w:spacing w:line="240" w:lineRule="atLeast"/>
              <w:jc w:val="both"/>
              <w:rPr>
                <w:rFonts w:cs="Arial"/>
              </w:rPr>
            </w:pPr>
            <w:r w:rsidRPr="008556B8">
              <w:rPr>
                <w:rFonts w:cs="Arial"/>
              </w:rPr>
              <w:t>Dolní Žleb</w:t>
            </w:r>
          </w:p>
        </w:tc>
        <w:tc>
          <w:tcPr>
            <w:tcW w:w="709" w:type="dxa"/>
            <w:tcBorders>
              <w:top w:val="single" w:sz="4" w:space="0" w:color="auto"/>
              <w:left w:val="single" w:sz="4" w:space="0" w:color="auto"/>
              <w:bottom w:val="single" w:sz="4" w:space="0" w:color="auto"/>
              <w:right w:val="single" w:sz="4" w:space="0" w:color="auto"/>
            </w:tcBorders>
          </w:tcPr>
          <w:p w14:paraId="767D651C" w14:textId="77777777" w:rsidR="00D3579D" w:rsidRPr="008556B8" w:rsidRDefault="00D3579D" w:rsidP="002D2D45">
            <w:pPr>
              <w:pStyle w:val="Texttabulky"/>
              <w:spacing w:line="240" w:lineRule="atLeast"/>
              <w:jc w:val="both"/>
              <w:rPr>
                <w:rFonts w:cs="Arial"/>
              </w:rPr>
            </w:pPr>
            <w:r w:rsidRPr="008556B8">
              <w:rPr>
                <w:rFonts w:cs="Arial"/>
              </w:rPr>
              <w:t>120</w:t>
            </w:r>
          </w:p>
        </w:tc>
        <w:tc>
          <w:tcPr>
            <w:tcW w:w="657" w:type="dxa"/>
            <w:tcBorders>
              <w:top w:val="single" w:sz="4" w:space="0" w:color="auto"/>
              <w:left w:val="single" w:sz="4" w:space="0" w:color="auto"/>
              <w:bottom w:val="single" w:sz="4" w:space="0" w:color="auto"/>
              <w:right w:val="single" w:sz="4" w:space="0" w:color="auto"/>
            </w:tcBorders>
          </w:tcPr>
          <w:p w14:paraId="439CD97C" w14:textId="77777777" w:rsidR="00D3579D" w:rsidRPr="008556B8" w:rsidRDefault="00D3579D" w:rsidP="002D2D45">
            <w:pPr>
              <w:pStyle w:val="Zkladntext"/>
              <w:jc w:val="both"/>
              <w:rPr>
                <w:rFonts w:cs="Arial"/>
              </w:rPr>
            </w:pPr>
          </w:p>
        </w:tc>
        <w:tc>
          <w:tcPr>
            <w:tcW w:w="660" w:type="dxa"/>
            <w:tcBorders>
              <w:top w:val="single" w:sz="4" w:space="0" w:color="auto"/>
              <w:left w:val="single" w:sz="4" w:space="0" w:color="auto"/>
              <w:bottom w:val="single" w:sz="4" w:space="0" w:color="auto"/>
              <w:right w:val="single" w:sz="4" w:space="0" w:color="auto"/>
            </w:tcBorders>
          </w:tcPr>
          <w:p w14:paraId="73503CB1" w14:textId="77777777" w:rsidR="00D3579D" w:rsidRPr="008556B8" w:rsidRDefault="00D3579D" w:rsidP="002D2D45">
            <w:pPr>
              <w:pStyle w:val="Zkladntext"/>
              <w:jc w:val="both"/>
              <w:rPr>
                <w:rFonts w:cs="Arial"/>
              </w:rPr>
            </w:pPr>
          </w:p>
        </w:tc>
        <w:tc>
          <w:tcPr>
            <w:tcW w:w="724" w:type="dxa"/>
            <w:tcBorders>
              <w:top w:val="single" w:sz="4" w:space="0" w:color="auto"/>
              <w:left w:val="single" w:sz="4" w:space="0" w:color="auto"/>
              <w:bottom w:val="single" w:sz="4" w:space="0" w:color="auto"/>
              <w:right w:val="single" w:sz="4" w:space="0" w:color="auto"/>
            </w:tcBorders>
          </w:tcPr>
          <w:p w14:paraId="6835398D" w14:textId="77777777" w:rsidR="00D3579D" w:rsidRPr="008556B8" w:rsidRDefault="00D3579D" w:rsidP="002D2D45">
            <w:pPr>
              <w:pStyle w:val="Texttabulky"/>
              <w:spacing w:line="240" w:lineRule="atLeast"/>
              <w:jc w:val="both"/>
              <w:rPr>
                <w:rFonts w:cs="Arial"/>
              </w:rPr>
            </w:pPr>
            <w:r w:rsidRPr="008556B8">
              <w:rPr>
                <w:rFonts w:cs="Arial"/>
              </w:rPr>
              <w:t>100</w:t>
            </w:r>
          </w:p>
        </w:tc>
        <w:tc>
          <w:tcPr>
            <w:tcW w:w="853" w:type="dxa"/>
            <w:tcBorders>
              <w:top w:val="single" w:sz="4" w:space="0" w:color="auto"/>
              <w:left w:val="single" w:sz="4" w:space="0" w:color="auto"/>
              <w:bottom w:val="single" w:sz="4" w:space="0" w:color="auto"/>
              <w:right w:val="single" w:sz="4" w:space="0" w:color="auto"/>
            </w:tcBorders>
          </w:tcPr>
          <w:p w14:paraId="5CEDBBC0" w14:textId="77777777" w:rsidR="00D3579D" w:rsidRPr="008556B8" w:rsidRDefault="00D3579D" w:rsidP="002D2D45">
            <w:pPr>
              <w:pStyle w:val="Texttabulky"/>
              <w:spacing w:line="240" w:lineRule="atLeast"/>
              <w:jc w:val="both"/>
              <w:rPr>
                <w:rFonts w:cs="Arial"/>
              </w:rPr>
            </w:pPr>
            <w:r w:rsidRPr="008556B8">
              <w:rPr>
                <w:rFonts w:cs="Arial"/>
              </w:rPr>
              <w:t>100</w:t>
            </w:r>
          </w:p>
        </w:tc>
        <w:tc>
          <w:tcPr>
            <w:tcW w:w="909" w:type="dxa"/>
            <w:tcBorders>
              <w:top w:val="single" w:sz="4" w:space="0" w:color="auto"/>
              <w:left w:val="single" w:sz="4" w:space="0" w:color="auto"/>
              <w:bottom w:val="single" w:sz="4" w:space="0" w:color="auto"/>
              <w:right w:val="single" w:sz="4" w:space="0" w:color="auto"/>
            </w:tcBorders>
          </w:tcPr>
          <w:p w14:paraId="27489350" w14:textId="77777777" w:rsidR="00D3579D" w:rsidRPr="008556B8" w:rsidRDefault="00D3579D" w:rsidP="002D2D45">
            <w:pPr>
              <w:pStyle w:val="Texttabulky"/>
              <w:spacing w:line="240" w:lineRule="atLeast"/>
              <w:jc w:val="both"/>
              <w:rPr>
                <w:rFonts w:cs="Arial"/>
              </w:rPr>
            </w:pPr>
            <w:r w:rsidRPr="008556B8">
              <w:rPr>
                <w:rFonts w:cs="Arial"/>
              </w:rPr>
              <w:t>200</w:t>
            </w:r>
          </w:p>
        </w:tc>
        <w:tc>
          <w:tcPr>
            <w:tcW w:w="761" w:type="dxa"/>
            <w:tcBorders>
              <w:top w:val="single" w:sz="4" w:space="0" w:color="auto"/>
              <w:left w:val="single" w:sz="4" w:space="0" w:color="auto"/>
              <w:bottom w:val="single" w:sz="4" w:space="0" w:color="auto"/>
              <w:right w:val="single" w:sz="4" w:space="0" w:color="auto"/>
            </w:tcBorders>
          </w:tcPr>
          <w:p w14:paraId="26482062" w14:textId="77777777" w:rsidR="00D3579D" w:rsidRPr="008556B8" w:rsidRDefault="00D3579D" w:rsidP="002D2D45">
            <w:pPr>
              <w:pStyle w:val="Texttabulky"/>
              <w:spacing w:line="240" w:lineRule="atLeast"/>
              <w:jc w:val="both"/>
              <w:rPr>
                <w:rFonts w:cs="Arial"/>
              </w:rPr>
            </w:pPr>
            <w:r w:rsidRPr="008556B8">
              <w:rPr>
                <w:rFonts w:cs="Arial"/>
              </w:rPr>
              <w:t>-20</w:t>
            </w:r>
          </w:p>
        </w:tc>
        <w:tc>
          <w:tcPr>
            <w:tcW w:w="760" w:type="dxa"/>
            <w:tcBorders>
              <w:top w:val="single" w:sz="4" w:space="0" w:color="auto"/>
              <w:left w:val="single" w:sz="4" w:space="0" w:color="auto"/>
              <w:bottom w:val="single" w:sz="4" w:space="0" w:color="auto"/>
              <w:right w:val="single" w:sz="4" w:space="0" w:color="auto"/>
            </w:tcBorders>
          </w:tcPr>
          <w:p w14:paraId="380F0B8C" w14:textId="77777777" w:rsidR="00D3579D" w:rsidRPr="008556B8" w:rsidRDefault="00D3579D" w:rsidP="002D2D45">
            <w:pPr>
              <w:pStyle w:val="Texttabulky"/>
              <w:spacing w:line="240" w:lineRule="atLeast"/>
              <w:jc w:val="both"/>
              <w:rPr>
                <w:rFonts w:cs="Arial"/>
              </w:rPr>
            </w:pPr>
            <w:r w:rsidRPr="008556B8">
              <w:rPr>
                <w:rFonts w:cs="Arial"/>
              </w:rPr>
              <w:t>80</w:t>
            </w:r>
          </w:p>
        </w:tc>
      </w:tr>
      <w:tr w:rsidR="00D3579D" w:rsidRPr="008556B8" w14:paraId="36F572A2" w14:textId="77777777" w:rsidTr="002D2D45">
        <w:trPr>
          <w:trHeight w:val="249"/>
        </w:trPr>
        <w:tc>
          <w:tcPr>
            <w:tcW w:w="508" w:type="dxa"/>
            <w:tcBorders>
              <w:top w:val="single" w:sz="4" w:space="0" w:color="auto"/>
              <w:left w:val="single" w:sz="6" w:space="0" w:color="auto"/>
              <w:bottom w:val="single" w:sz="6" w:space="0" w:color="auto"/>
              <w:right w:val="nil"/>
            </w:tcBorders>
          </w:tcPr>
          <w:p w14:paraId="4BE47939" w14:textId="77777777" w:rsidR="00D3579D" w:rsidRPr="008556B8" w:rsidRDefault="00D3579D" w:rsidP="002D2D45">
            <w:pPr>
              <w:pStyle w:val="Zkladntext"/>
              <w:jc w:val="both"/>
              <w:rPr>
                <w:rFonts w:cs="Arial"/>
              </w:rPr>
            </w:pPr>
          </w:p>
        </w:tc>
        <w:tc>
          <w:tcPr>
            <w:tcW w:w="541" w:type="dxa"/>
            <w:tcBorders>
              <w:top w:val="single" w:sz="4" w:space="0" w:color="auto"/>
              <w:left w:val="nil"/>
              <w:bottom w:val="single" w:sz="6" w:space="0" w:color="auto"/>
              <w:right w:val="nil"/>
            </w:tcBorders>
          </w:tcPr>
          <w:p w14:paraId="170B51E8" w14:textId="77777777" w:rsidR="00D3579D" w:rsidRPr="008556B8" w:rsidRDefault="00D3579D" w:rsidP="002D2D45">
            <w:pPr>
              <w:pStyle w:val="Zkladntext"/>
              <w:jc w:val="both"/>
              <w:rPr>
                <w:rFonts w:cs="Arial"/>
              </w:rPr>
            </w:pPr>
          </w:p>
        </w:tc>
        <w:tc>
          <w:tcPr>
            <w:tcW w:w="2019" w:type="dxa"/>
            <w:tcBorders>
              <w:top w:val="single" w:sz="4" w:space="0" w:color="auto"/>
              <w:left w:val="single" w:sz="6" w:space="0" w:color="auto"/>
              <w:bottom w:val="single" w:sz="6" w:space="0" w:color="auto"/>
              <w:right w:val="single" w:sz="6" w:space="0" w:color="auto"/>
            </w:tcBorders>
          </w:tcPr>
          <w:p w14:paraId="2851EEB9" w14:textId="77777777" w:rsidR="00D3579D" w:rsidRPr="008556B8" w:rsidRDefault="00D3579D" w:rsidP="002D2D45">
            <w:pPr>
              <w:pStyle w:val="Texttabulky"/>
              <w:spacing w:line="240" w:lineRule="atLeast"/>
              <w:jc w:val="both"/>
              <w:rPr>
                <w:rFonts w:cs="Arial"/>
              </w:rPr>
            </w:pPr>
            <w:r w:rsidRPr="008556B8">
              <w:rPr>
                <w:rFonts w:cs="Arial"/>
                <w:b/>
                <w:bCs/>
              </w:rPr>
              <w:t>sektor VIII</w:t>
            </w:r>
          </w:p>
        </w:tc>
        <w:tc>
          <w:tcPr>
            <w:tcW w:w="709" w:type="dxa"/>
            <w:tcBorders>
              <w:top w:val="single" w:sz="4" w:space="0" w:color="auto"/>
              <w:left w:val="nil"/>
              <w:bottom w:val="single" w:sz="6" w:space="0" w:color="auto"/>
              <w:right w:val="nil"/>
            </w:tcBorders>
          </w:tcPr>
          <w:p w14:paraId="6A4006F2" w14:textId="77777777" w:rsidR="00D3579D" w:rsidRPr="008556B8" w:rsidRDefault="00D3579D" w:rsidP="002D2D45">
            <w:pPr>
              <w:pStyle w:val="Texttabulky"/>
              <w:spacing w:line="240" w:lineRule="atLeast"/>
              <w:jc w:val="both"/>
              <w:rPr>
                <w:rFonts w:cs="Arial"/>
              </w:rPr>
            </w:pPr>
            <w:r w:rsidRPr="008556B8">
              <w:rPr>
                <w:rFonts w:cs="Arial"/>
                <w:b/>
                <w:bCs/>
              </w:rPr>
              <w:t>179</w:t>
            </w:r>
          </w:p>
        </w:tc>
        <w:tc>
          <w:tcPr>
            <w:tcW w:w="657" w:type="dxa"/>
            <w:tcBorders>
              <w:top w:val="single" w:sz="4" w:space="0" w:color="auto"/>
              <w:left w:val="single" w:sz="6" w:space="0" w:color="auto"/>
              <w:bottom w:val="single" w:sz="6" w:space="0" w:color="auto"/>
              <w:right w:val="nil"/>
            </w:tcBorders>
          </w:tcPr>
          <w:p w14:paraId="355766A7" w14:textId="77777777" w:rsidR="00D3579D" w:rsidRPr="008556B8" w:rsidRDefault="00D3579D" w:rsidP="002D2D45">
            <w:pPr>
              <w:pStyle w:val="Texttabulky"/>
              <w:spacing w:line="240" w:lineRule="atLeast"/>
              <w:jc w:val="both"/>
              <w:rPr>
                <w:rFonts w:cs="Arial"/>
              </w:rPr>
            </w:pPr>
            <w:r w:rsidRPr="008556B8">
              <w:rPr>
                <w:rFonts w:cs="Arial"/>
                <w:b/>
                <w:bCs/>
              </w:rPr>
              <w:t>15</w:t>
            </w:r>
          </w:p>
        </w:tc>
        <w:tc>
          <w:tcPr>
            <w:tcW w:w="660" w:type="dxa"/>
            <w:tcBorders>
              <w:top w:val="single" w:sz="4" w:space="0" w:color="auto"/>
              <w:left w:val="nil"/>
              <w:bottom w:val="single" w:sz="6" w:space="0" w:color="auto"/>
              <w:right w:val="nil"/>
            </w:tcBorders>
          </w:tcPr>
          <w:p w14:paraId="7509EE5B" w14:textId="77777777" w:rsidR="00D3579D" w:rsidRPr="008556B8" w:rsidRDefault="00D3579D" w:rsidP="002D2D45">
            <w:pPr>
              <w:pStyle w:val="Zkladntext"/>
              <w:jc w:val="both"/>
              <w:rPr>
                <w:rFonts w:cs="Arial"/>
              </w:rPr>
            </w:pPr>
          </w:p>
        </w:tc>
        <w:tc>
          <w:tcPr>
            <w:tcW w:w="724" w:type="dxa"/>
            <w:tcBorders>
              <w:top w:val="single" w:sz="4" w:space="0" w:color="auto"/>
              <w:left w:val="nil"/>
              <w:bottom w:val="single" w:sz="6" w:space="0" w:color="auto"/>
              <w:right w:val="single" w:sz="6" w:space="0" w:color="auto"/>
            </w:tcBorders>
          </w:tcPr>
          <w:p w14:paraId="190A0329" w14:textId="77777777" w:rsidR="00D3579D" w:rsidRPr="008556B8" w:rsidRDefault="00D3579D" w:rsidP="002D2D45">
            <w:pPr>
              <w:pStyle w:val="Texttabulky"/>
              <w:spacing w:line="240" w:lineRule="atLeast"/>
              <w:jc w:val="both"/>
              <w:rPr>
                <w:rFonts w:cs="Arial"/>
              </w:rPr>
            </w:pPr>
            <w:r w:rsidRPr="008556B8">
              <w:rPr>
                <w:rFonts w:cs="Arial"/>
                <w:b/>
                <w:bCs/>
              </w:rPr>
              <w:t>165</w:t>
            </w:r>
          </w:p>
        </w:tc>
        <w:tc>
          <w:tcPr>
            <w:tcW w:w="853" w:type="dxa"/>
            <w:tcBorders>
              <w:top w:val="single" w:sz="4" w:space="0" w:color="auto"/>
              <w:left w:val="nil"/>
              <w:bottom w:val="single" w:sz="6" w:space="0" w:color="auto"/>
              <w:right w:val="single" w:sz="4" w:space="0" w:color="auto"/>
            </w:tcBorders>
          </w:tcPr>
          <w:p w14:paraId="3027F72A" w14:textId="77777777" w:rsidR="00D3579D" w:rsidRPr="008556B8" w:rsidRDefault="00D3579D" w:rsidP="002D2D45">
            <w:pPr>
              <w:pStyle w:val="Texttabulky"/>
              <w:spacing w:line="240" w:lineRule="atLeast"/>
              <w:jc w:val="both"/>
              <w:rPr>
                <w:rFonts w:cs="Arial"/>
              </w:rPr>
            </w:pPr>
            <w:r w:rsidRPr="008556B8">
              <w:rPr>
                <w:rFonts w:cs="Arial"/>
                <w:b/>
                <w:bCs/>
              </w:rPr>
              <w:t>165</w:t>
            </w:r>
          </w:p>
        </w:tc>
        <w:tc>
          <w:tcPr>
            <w:tcW w:w="909" w:type="dxa"/>
            <w:tcBorders>
              <w:top w:val="single" w:sz="4" w:space="0" w:color="auto"/>
              <w:left w:val="single" w:sz="4" w:space="0" w:color="auto"/>
              <w:bottom w:val="single" w:sz="6" w:space="0" w:color="auto"/>
              <w:right w:val="single" w:sz="6" w:space="0" w:color="auto"/>
            </w:tcBorders>
          </w:tcPr>
          <w:p w14:paraId="0841D3BD" w14:textId="77777777" w:rsidR="00D3579D" w:rsidRPr="008556B8" w:rsidRDefault="00D3579D" w:rsidP="002D2D45">
            <w:pPr>
              <w:pStyle w:val="Texttabulky"/>
              <w:spacing w:line="240" w:lineRule="atLeast"/>
              <w:jc w:val="both"/>
              <w:rPr>
                <w:rFonts w:cs="Arial"/>
              </w:rPr>
            </w:pPr>
            <w:r w:rsidRPr="008556B8">
              <w:rPr>
                <w:rFonts w:cs="Arial"/>
                <w:b/>
                <w:bCs/>
              </w:rPr>
              <w:t>330</w:t>
            </w:r>
          </w:p>
        </w:tc>
        <w:tc>
          <w:tcPr>
            <w:tcW w:w="761" w:type="dxa"/>
            <w:tcBorders>
              <w:top w:val="single" w:sz="4" w:space="0" w:color="auto"/>
              <w:left w:val="nil"/>
              <w:bottom w:val="single" w:sz="6" w:space="0" w:color="auto"/>
              <w:right w:val="single" w:sz="4" w:space="0" w:color="auto"/>
            </w:tcBorders>
          </w:tcPr>
          <w:p w14:paraId="6064A617" w14:textId="77777777" w:rsidR="00D3579D" w:rsidRPr="008556B8" w:rsidRDefault="00D3579D" w:rsidP="002D2D45">
            <w:pPr>
              <w:pStyle w:val="Texttabulky"/>
              <w:spacing w:line="240" w:lineRule="atLeast"/>
              <w:jc w:val="both"/>
              <w:rPr>
                <w:rFonts w:cs="Arial"/>
              </w:rPr>
            </w:pPr>
            <w:r w:rsidRPr="008556B8">
              <w:rPr>
                <w:rFonts w:cs="Arial"/>
                <w:b/>
                <w:bCs/>
              </w:rPr>
              <w:t>-14</w:t>
            </w:r>
          </w:p>
        </w:tc>
        <w:tc>
          <w:tcPr>
            <w:tcW w:w="760" w:type="dxa"/>
            <w:tcBorders>
              <w:top w:val="single" w:sz="4" w:space="0" w:color="auto"/>
              <w:left w:val="single" w:sz="4" w:space="0" w:color="auto"/>
              <w:bottom w:val="single" w:sz="6" w:space="0" w:color="auto"/>
              <w:right w:val="single" w:sz="6" w:space="0" w:color="auto"/>
            </w:tcBorders>
          </w:tcPr>
          <w:p w14:paraId="1044B58C" w14:textId="77777777" w:rsidR="00D3579D" w:rsidRPr="008556B8" w:rsidRDefault="00D3579D" w:rsidP="002D2D45">
            <w:pPr>
              <w:pStyle w:val="Texttabulky"/>
              <w:spacing w:line="240" w:lineRule="atLeast"/>
              <w:jc w:val="both"/>
              <w:rPr>
                <w:rFonts w:cs="Arial"/>
              </w:rPr>
            </w:pPr>
            <w:r w:rsidRPr="008556B8">
              <w:rPr>
                <w:rFonts w:cs="Arial"/>
                <w:b/>
                <w:bCs/>
              </w:rPr>
              <w:t>151</w:t>
            </w:r>
          </w:p>
        </w:tc>
      </w:tr>
    </w:tbl>
    <w:p w14:paraId="013B823A" w14:textId="77777777" w:rsidR="00D3579D" w:rsidRDefault="00D3579D" w:rsidP="00D3579D">
      <w:pPr>
        <w:pStyle w:val="Zkladntext"/>
        <w:spacing w:line="240" w:lineRule="atLeast"/>
        <w:jc w:val="both"/>
        <w:rPr>
          <w:rFonts w:cs="Arial"/>
        </w:rPr>
      </w:pPr>
    </w:p>
    <w:p w14:paraId="62FFA896" w14:textId="77777777" w:rsidR="00D3579D" w:rsidRPr="008556B8" w:rsidRDefault="00D3579D" w:rsidP="00D3579D">
      <w:pPr>
        <w:pStyle w:val="Zkladntext"/>
        <w:spacing w:line="240" w:lineRule="atLeast"/>
        <w:jc w:val="both"/>
        <w:rPr>
          <w:rFonts w:cs="Arial"/>
        </w:rPr>
      </w:pPr>
    </w:p>
    <w:tbl>
      <w:tblPr>
        <w:tblW w:w="0" w:type="auto"/>
        <w:tblInd w:w="30" w:type="dxa"/>
        <w:tblLayout w:type="fixed"/>
        <w:tblCellMar>
          <w:left w:w="30" w:type="dxa"/>
          <w:right w:w="30" w:type="dxa"/>
        </w:tblCellMar>
        <w:tblLook w:val="0000" w:firstRow="0" w:lastRow="0" w:firstColumn="0" w:lastColumn="0" w:noHBand="0" w:noVBand="0"/>
      </w:tblPr>
      <w:tblGrid>
        <w:gridCol w:w="474"/>
        <w:gridCol w:w="504"/>
        <w:gridCol w:w="1909"/>
        <w:gridCol w:w="661"/>
        <w:gridCol w:w="612"/>
        <w:gridCol w:w="615"/>
        <w:gridCol w:w="675"/>
        <w:gridCol w:w="795"/>
        <w:gridCol w:w="847"/>
        <w:gridCol w:w="709"/>
        <w:gridCol w:w="708"/>
      </w:tblGrid>
      <w:tr w:rsidR="00D3579D" w:rsidRPr="008556B8" w14:paraId="5EC2EEB6" w14:textId="77777777" w:rsidTr="002D2D45">
        <w:tc>
          <w:tcPr>
            <w:tcW w:w="474" w:type="dxa"/>
            <w:tcBorders>
              <w:top w:val="single" w:sz="6" w:space="0" w:color="auto"/>
              <w:left w:val="single" w:sz="6" w:space="0" w:color="auto"/>
              <w:bottom w:val="nil"/>
              <w:right w:val="nil"/>
            </w:tcBorders>
          </w:tcPr>
          <w:p w14:paraId="04F36135" w14:textId="77777777" w:rsidR="00D3579D" w:rsidRPr="008556B8" w:rsidRDefault="00D3579D" w:rsidP="002D2D45">
            <w:pPr>
              <w:pStyle w:val="Texttabulky"/>
              <w:jc w:val="both"/>
              <w:rPr>
                <w:rFonts w:cs="Arial"/>
              </w:rPr>
            </w:pPr>
            <w:r w:rsidRPr="008556B8">
              <w:rPr>
                <w:rFonts w:cs="Arial"/>
                <w:b/>
                <w:bCs/>
              </w:rPr>
              <w:t>poř.č.UO</w:t>
            </w:r>
          </w:p>
        </w:tc>
        <w:tc>
          <w:tcPr>
            <w:tcW w:w="504" w:type="dxa"/>
            <w:tcBorders>
              <w:top w:val="single" w:sz="6" w:space="0" w:color="auto"/>
              <w:left w:val="single" w:sz="6" w:space="0" w:color="auto"/>
              <w:bottom w:val="nil"/>
              <w:right w:val="nil"/>
            </w:tcBorders>
          </w:tcPr>
          <w:p w14:paraId="07E4DD9D" w14:textId="77777777" w:rsidR="00D3579D" w:rsidRPr="008556B8" w:rsidRDefault="00D3579D" w:rsidP="002D2D45">
            <w:pPr>
              <w:pStyle w:val="Texttabulky"/>
              <w:jc w:val="both"/>
              <w:rPr>
                <w:rFonts w:cs="Arial"/>
              </w:rPr>
            </w:pPr>
            <w:r w:rsidRPr="008556B8">
              <w:rPr>
                <w:rFonts w:cs="Arial"/>
                <w:b/>
                <w:bCs/>
              </w:rPr>
              <w:t>char. UO</w:t>
            </w:r>
          </w:p>
        </w:tc>
        <w:tc>
          <w:tcPr>
            <w:tcW w:w="1909" w:type="dxa"/>
            <w:tcBorders>
              <w:top w:val="single" w:sz="6" w:space="0" w:color="auto"/>
              <w:left w:val="single" w:sz="6" w:space="0" w:color="auto"/>
              <w:bottom w:val="nil"/>
              <w:right w:val="single" w:sz="6" w:space="0" w:color="auto"/>
            </w:tcBorders>
          </w:tcPr>
          <w:p w14:paraId="72167BB7" w14:textId="77777777" w:rsidR="00D3579D" w:rsidRPr="008556B8" w:rsidRDefault="00D3579D" w:rsidP="002D2D45">
            <w:pPr>
              <w:pStyle w:val="Texttabulky"/>
              <w:jc w:val="both"/>
              <w:rPr>
                <w:rFonts w:cs="Arial"/>
              </w:rPr>
            </w:pPr>
            <w:r w:rsidRPr="008556B8">
              <w:rPr>
                <w:rFonts w:cs="Arial"/>
                <w:b/>
                <w:bCs/>
              </w:rPr>
              <w:t>název urbanistického obvodu</w:t>
            </w:r>
          </w:p>
        </w:tc>
        <w:tc>
          <w:tcPr>
            <w:tcW w:w="661" w:type="dxa"/>
            <w:tcBorders>
              <w:top w:val="single" w:sz="6" w:space="0" w:color="auto"/>
              <w:left w:val="nil"/>
              <w:bottom w:val="nil"/>
              <w:right w:val="nil"/>
            </w:tcBorders>
          </w:tcPr>
          <w:p w14:paraId="639517B6" w14:textId="77777777" w:rsidR="00D3579D" w:rsidRPr="008556B8" w:rsidRDefault="00D3579D" w:rsidP="002D2D45">
            <w:pPr>
              <w:pStyle w:val="Texttabulky"/>
              <w:jc w:val="both"/>
              <w:rPr>
                <w:rFonts w:cs="Arial"/>
              </w:rPr>
            </w:pPr>
            <w:r w:rsidRPr="008556B8">
              <w:rPr>
                <w:rFonts w:cs="Arial"/>
                <w:b/>
                <w:bCs/>
              </w:rPr>
              <w:t>OB91</w:t>
            </w:r>
          </w:p>
        </w:tc>
        <w:tc>
          <w:tcPr>
            <w:tcW w:w="1902" w:type="dxa"/>
            <w:gridSpan w:val="3"/>
            <w:tcBorders>
              <w:top w:val="single" w:sz="6" w:space="0" w:color="auto"/>
              <w:left w:val="single" w:sz="6" w:space="0" w:color="auto"/>
              <w:bottom w:val="nil"/>
              <w:right w:val="nil"/>
            </w:tcBorders>
          </w:tcPr>
          <w:p w14:paraId="69BB813F" w14:textId="77777777" w:rsidR="00D3579D" w:rsidRPr="008556B8" w:rsidRDefault="00D3579D" w:rsidP="002D2D45">
            <w:pPr>
              <w:pStyle w:val="Zkladntext"/>
              <w:jc w:val="both"/>
              <w:rPr>
                <w:rFonts w:cs="Arial"/>
                <w:sz w:val="16"/>
              </w:rPr>
            </w:pPr>
            <w:r w:rsidRPr="008556B8">
              <w:rPr>
                <w:rFonts w:cs="Arial"/>
                <w:b/>
                <w:bCs/>
                <w:sz w:val="16"/>
              </w:rPr>
              <w:t>nové obytné plochy</w:t>
            </w:r>
          </w:p>
        </w:tc>
        <w:tc>
          <w:tcPr>
            <w:tcW w:w="1642" w:type="dxa"/>
            <w:gridSpan w:val="2"/>
            <w:tcBorders>
              <w:top w:val="single" w:sz="6" w:space="0" w:color="auto"/>
              <w:left w:val="nil"/>
              <w:bottom w:val="nil"/>
              <w:right w:val="single" w:sz="6" w:space="0" w:color="auto"/>
            </w:tcBorders>
          </w:tcPr>
          <w:p w14:paraId="595A4FD0" w14:textId="77777777" w:rsidR="00D3579D" w:rsidRPr="008556B8" w:rsidRDefault="00D3579D" w:rsidP="002D2D45">
            <w:pPr>
              <w:pStyle w:val="Zkladntext"/>
              <w:jc w:val="both"/>
              <w:rPr>
                <w:rFonts w:cs="Arial"/>
                <w:sz w:val="16"/>
              </w:rPr>
            </w:pPr>
            <w:r w:rsidRPr="008556B8">
              <w:rPr>
                <w:rFonts w:cs="Arial"/>
                <w:b/>
                <w:bCs/>
                <w:sz w:val="16"/>
              </w:rPr>
              <w:t>počet bydlících osob</w:t>
            </w:r>
          </w:p>
        </w:tc>
        <w:tc>
          <w:tcPr>
            <w:tcW w:w="709" w:type="dxa"/>
            <w:tcBorders>
              <w:top w:val="single" w:sz="6" w:space="0" w:color="auto"/>
              <w:left w:val="nil"/>
              <w:bottom w:val="nil"/>
              <w:right w:val="single" w:sz="6" w:space="0" w:color="auto"/>
            </w:tcBorders>
          </w:tcPr>
          <w:p w14:paraId="78B4B70D" w14:textId="77777777" w:rsidR="00D3579D" w:rsidRPr="008556B8" w:rsidRDefault="00D3579D" w:rsidP="002D2D45">
            <w:pPr>
              <w:pStyle w:val="Texttabulky"/>
              <w:jc w:val="both"/>
              <w:rPr>
                <w:rFonts w:cs="Arial"/>
              </w:rPr>
            </w:pPr>
            <w:r w:rsidRPr="008556B8">
              <w:rPr>
                <w:rFonts w:cs="Arial"/>
                <w:b/>
                <w:bCs/>
              </w:rPr>
              <w:t xml:space="preserve">OB přírůstek návrh </w:t>
            </w:r>
          </w:p>
        </w:tc>
        <w:tc>
          <w:tcPr>
            <w:tcW w:w="708" w:type="dxa"/>
            <w:tcBorders>
              <w:top w:val="single" w:sz="6" w:space="0" w:color="auto"/>
              <w:left w:val="nil"/>
              <w:bottom w:val="nil"/>
              <w:right w:val="single" w:sz="6" w:space="0" w:color="auto"/>
            </w:tcBorders>
          </w:tcPr>
          <w:p w14:paraId="47DF5B6B" w14:textId="77777777" w:rsidR="00D3579D" w:rsidRPr="008556B8" w:rsidRDefault="00D3579D" w:rsidP="002D2D45">
            <w:pPr>
              <w:pStyle w:val="Texttabulky"/>
              <w:jc w:val="both"/>
              <w:rPr>
                <w:rFonts w:cs="Arial"/>
              </w:rPr>
            </w:pPr>
            <w:r w:rsidRPr="008556B8">
              <w:rPr>
                <w:rFonts w:cs="Arial"/>
                <w:b/>
                <w:bCs/>
              </w:rPr>
              <w:t>OB přírůstek návrh +rez.</w:t>
            </w:r>
          </w:p>
        </w:tc>
      </w:tr>
      <w:tr w:rsidR="00D3579D" w:rsidRPr="008556B8" w14:paraId="049ABAF3" w14:textId="77777777" w:rsidTr="002D2D45">
        <w:tc>
          <w:tcPr>
            <w:tcW w:w="474" w:type="dxa"/>
            <w:tcBorders>
              <w:top w:val="nil"/>
              <w:left w:val="single" w:sz="6" w:space="0" w:color="auto"/>
              <w:bottom w:val="single" w:sz="4" w:space="0" w:color="auto"/>
              <w:right w:val="nil"/>
            </w:tcBorders>
          </w:tcPr>
          <w:p w14:paraId="774CA9F6" w14:textId="77777777" w:rsidR="00D3579D" w:rsidRPr="008556B8" w:rsidRDefault="00D3579D" w:rsidP="002D2D45">
            <w:pPr>
              <w:pStyle w:val="Zkladntext"/>
              <w:spacing w:line="240" w:lineRule="atLeast"/>
              <w:jc w:val="both"/>
              <w:rPr>
                <w:rFonts w:cs="Arial"/>
              </w:rPr>
            </w:pPr>
          </w:p>
        </w:tc>
        <w:tc>
          <w:tcPr>
            <w:tcW w:w="504" w:type="dxa"/>
            <w:tcBorders>
              <w:top w:val="nil"/>
              <w:left w:val="single" w:sz="6" w:space="0" w:color="auto"/>
              <w:bottom w:val="single" w:sz="4" w:space="0" w:color="auto"/>
              <w:right w:val="nil"/>
            </w:tcBorders>
          </w:tcPr>
          <w:p w14:paraId="53212725" w14:textId="77777777" w:rsidR="00D3579D" w:rsidRPr="008556B8" w:rsidRDefault="00D3579D" w:rsidP="002D2D45">
            <w:pPr>
              <w:pStyle w:val="Zkladntext"/>
              <w:spacing w:line="240" w:lineRule="atLeast"/>
              <w:jc w:val="both"/>
              <w:rPr>
                <w:rFonts w:cs="Arial"/>
              </w:rPr>
            </w:pPr>
          </w:p>
        </w:tc>
        <w:tc>
          <w:tcPr>
            <w:tcW w:w="1909" w:type="dxa"/>
            <w:tcBorders>
              <w:top w:val="nil"/>
              <w:left w:val="single" w:sz="6" w:space="0" w:color="auto"/>
              <w:bottom w:val="single" w:sz="4" w:space="0" w:color="auto"/>
              <w:right w:val="single" w:sz="6" w:space="0" w:color="auto"/>
            </w:tcBorders>
          </w:tcPr>
          <w:p w14:paraId="39E79C1F" w14:textId="77777777" w:rsidR="00D3579D" w:rsidRPr="008556B8" w:rsidRDefault="00D3579D" w:rsidP="002D2D45">
            <w:pPr>
              <w:pStyle w:val="Zkladntext"/>
              <w:spacing w:line="240" w:lineRule="atLeast"/>
              <w:jc w:val="both"/>
              <w:rPr>
                <w:rFonts w:cs="Arial"/>
              </w:rPr>
            </w:pPr>
          </w:p>
        </w:tc>
        <w:tc>
          <w:tcPr>
            <w:tcW w:w="661" w:type="dxa"/>
            <w:tcBorders>
              <w:top w:val="nil"/>
              <w:left w:val="nil"/>
              <w:bottom w:val="single" w:sz="4" w:space="0" w:color="auto"/>
              <w:right w:val="nil"/>
            </w:tcBorders>
          </w:tcPr>
          <w:p w14:paraId="055D1766" w14:textId="77777777" w:rsidR="00D3579D" w:rsidRPr="008556B8" w:rsidRDefault="00D3579D" w:rsidP="002D2D45">
            <w:pPr>
              <w:pStyle w:val="Zkladntext"/>
              <w:spacing w:line="240" w:lineRule="atLeast"/>
              <w:jc w:val="both"/>
              <w:rPr>
                <w:rFonts w:cs="Arial"/>
              </w:rPr>
            </w:pPr>
          </w:p>
        </w:tc>
        <w:tc>
          <w:tcPr>
            <w:tcW w:w="612" w:type="dxa"/>
            <w:tcBorders>
              <w:top w:val="single" w:sz="6" w:space="0" w:color="auto"/>
              <w:left w:val="single" w:sz="6" w:space="0" w:color="auto"/>
              <w:bottom w:val="single" w:sz="4" w:space="0" w:color="auto"/>
              <w:right w:val="single" w:sz="6" w:space="0" w:color="auto"/>
            </w:tcBorders>
          </w:tcPr>
          <w:p w14:paraId="5F575821" w14:textId="77777777" w:rsidR="00D3579D" w:rsidRPr="008556B8" w:rsidRDefault="00D3579D" w:rsidP="002D2D45">
            <w:pPr>
              <w:pStyle w:val="Texttabulky"/>
              <w:spacing w:line="240" w:lineRule="atLeast"/>
              <w:jc w:val="both"/>
              <w:rPr>
                <w:rFonts w:cs="Arial"/>
                <w:b/>
                <w:bCs/>
              </w:rPr>
            </w:pPr>
          </w:p>
        </w:tc>
        <w:tc>
          <w:tcPr>
            <w:tcW w:w="615" w:type="dxa"/>
            <w:tcBorders>
              <w:top w:val="single" w:sz="6" w:space="0" w:color="auto"/>
              <w:left w:val="single" w:sz="6" w:space="0" w:color="auto"/>
              <w:bottom w:val="single" w:sz="4" w:space="0" w:color="auto"/>
              <w:right w:val="single" w:sz="6" w:space="0" w:color="auto"/>
            </w:tcBorders>
          </w:tcPr>
          <w:p w14:paraId="34DCCD0B" w14:textId="77777777" w:rsidR="00D3579D" w:rsidRPr="008556B8" w:rsidRDefault="00D3579D" w:rsidP="002D2D45">
            <w:pPr>
              <w:pStyle w:val="Texttabulky"/>
              <w:spacing w:line="240" w:lineRule="atLeast"/>
              <w:jc w:val="both"/>
              <w:rPr>
                <w:rFonts w:cs="Arial"/>
                <w:b/>
                <w:bCs/>
              </w:rPr>
            </w:pPr>
          </w:p>
        </w:tc>
        <w:tc>
          <w:tcPr>
            <w:tcW w:w="675" w:type="dxa"/>
            <w:tcBorders>
              <w:top w:val="single" w:sz="6" w:space="0" w:color="auto"/>
              <w:left w:val="single" w:sz="6" w:space="0" w:color="auto"/>
              <w:bottom w:val="single" w:sz="4" w:space="0" w:color="auto"/>
              <w:right w:val="single" w:sz="6" w:space="0" w:color="auto"/>
            </w:tcBorders>
          </w:tcPr>
          <w:p w14:paraId="15B2FDC9" w14:textId="77777777" w:rsidR="00D3579D" w:rsidRPr="008556B8" w:rsidRDefault="00D3579D" w:rsidP="002D2D45">
            <w:pPr>
              <w:pStyle w:val="Texttabulky"/>
              <w:spacing w:line="240" w:lineRule="atLeast"/>
              <w:jc w:val="both"/>
              <w:rPr>
                <w:rFonts w:cs="Arial"/>
                <w:b/>
                <w:bCs/>
              </w:rPr>
            </w:pPr>
          </w:p>
        </w:tc>
        <w:tc>
          <w:tcPr>
            <w:tcW w:w="795" w:type="dxa"/>
            <w:tcBorders>
              <w:top w:val="single" w:sz="6" w:space="0" w:color="auto"/>
              <w:left w:val="single" w:sz="6" w:space="0" w:color="auto"/>
              <w:bottom w:val="single" w:sz="4" w:space="0" w:color="auto"/>
              <w:right w:val="single" w:sz="6" w:space="0" w:color="auto"/>
            </w:tcBorders>
          </w:tcPr>
          <w:p w14:paraId="0EBEB2E2" w14:textId="77777777" w:rsidR="00D3579D" w:rsidRPr="008556B8" w:rsidRDefault="00D3579D" w:rsidP="002D2D45">
            <w:pPr>
              <w:pStyle w:val="Texttabulky"/>
              <w:spacing w:line="240" w:lineRule="atLeast"/>
              <w:jc w:val="both"/>
              <w:rPr>
                <w:rFonts w:cs="Arial"/>
                <w:b/>
                <w:bCs/>
              </w:rPr>
            </w:pPr>
          </w:p>
        </w:tc>
        <w:tc>
          <w:tcPr>
            <w:tcW w:w="847" w:type="dxa"/>
            <w:tcBorders>
              <w:top w:val="single" w:sz="6" w:space="0" w:color="auto"/>
              <w:left w:val="single" w:sz="6" w:space="0" w:color="auto"/>
              <w:bottom w:val="single" w:sz="4" w:space="0" w:color="auto"/>
              <w:right w:val="single" w:sz="6" w:space="0" w:color="auto"/>
            </w:tcBorders>
          </w:tcPr>
          <w:p w14:paraId="44E137AE" w14:textId="77777777" w:rsidR="00D3579D" w:rsidRPr="008556B8" w:rsidRDefault="00D3579D" w:rsidP="002D2D45">
            <w:pPr>
              <w:pStyle w:val="Texttabulky"/>
              <w:spacing w:line="240" w:lineRule="atLeast"/>
              <w:jc w:val="both"/>
              <w:rPr>
                <w:rFonts w:cs="Arial"/>
                <w:b/>
                <w:bCs/>
              </w:rPr>
            </w:pPr>
          </w:p>
        </w:tc>
        <w:tc>
          <w:tcPr>
            <w:tcW w:w="709" w:type="dxa"/>
            <w:tcBorders>
              <w:top w:val="nil"/>
              <w:left w:val="single" w:sz="6" w:space="0" w:color="auto"/>
              <w:bottom w:val="single" w:sz="4" w:space="0" w:color="auto"/>
              <w:right w:val="single" w:sz="6" w:space="0" w:color="auto"/>
            </w:tcBorders>
          </w:tcPr>
          <w:p w14:paraId="0F21F52A" w14:textId="77777777" w:rsidR="00D3579D" w:rsidRPr="008556B8" w:rsidRDefault="00D3579D" w:rsidP="002D2D45">
            <w:pPr>
              <w:pStyle w:val="Zkladntext"/>
              <w:spacing w:line="240" w:lineRule="atLeast"/>
              <w:jc w:val="both"/>
              <w:rPr>
                <w:rFonts w:cs="Arial"/>
              </w:rPr>
            </w:pPr>
          </w:p>
        </w:tc>
        <w:tc>
          <w:tcPr>
            <w:tcW w:w="708" w:type="dxa"/>
            <w:tcBorders>
              <w:top w:val="nil"/>
              <w:left w:val="nil"/>
              <w:bottom w:val="single" w:sz="4" w:space="0" w:color="auto"/>
              <w:right w:val="single" w:sz="6" w:space="0" w:color="auto"/>
            </w:tcBorders>
          </w:tcPr>
          <w:p w14:paraId="24C715C4" w14:textId="77777777" w:rsidR="00D3579D" w:rsidRPr="008556B8" w:rsidRDefault="00D3579D" w:rsidP="002D2D45">
            <w:pPr>
              <w:pStyle w:val="Zkladntext"/>
              <w:spacing w:line="240" w:lineRule="atLeast"/>
              <w:jc w:val="both"/>
              <w:rPr>
                <w:rFonts w:cs="Arial"/>
              </w:rPr>
            </w:pPr>
          </w:p>
        </w:tc>
      </w:tr>
      <w:tr w:rsidR="00D3579D" w:rsidRPr="008556B8" w14:paraId="4895CC5D" w14:textId="77777777" w:rsidTr="002D2D45">
        <w:tc>
          <w:tcPr>
            <w:tcW w:w="474" w:type="dxa"/>
            <w:tcBorders>
              <w:top w:val="nil"/>
              <w:left w:val="single" w:sz="6" w:space="0" w:color="auto"/>
              <w:bottom w:val="single" w:sz="4" w:space="0" w:color="auto"/>
              <w:right w:val="nil"/>
            </w:tcBorders>
          </w:tcPr>
          <w:p w14:paraId="3F02BF57" w14:textId="77777777" w:rsidR="00D3579D" w:rsidRPr="008556B8" w:rsidRDefault="00D3579D" w:rsidP="002D2D45">
            <w:pPr>
              <w:pStyle w:val="Zkladntext"/>
              <w:spacing w:line="240" w:lineRule="atLeast"/>
              <w:jc w:val="both"/>
              <w:rPr>
                <w:rFonts w:cs="Arial"/>
              </w:rPr>
            </w:pPr>
          </w:p>
        </w:tc>
        <w:tc>
          <w:tcPr>
            <w:tcW w:w="504" w:type="dxa"/>
            <w:tcBorders>
              <w:top w:val="nil"/>
              <w:left w:val="single" w:sz="6" w:space="0" w:color="auto"/>
              <w:bottom w:val="single" w:sz="4" w:space="0" w:color="auto"/>
              <w:right w:val="nil"/>
            </w:tcBorders>
          </w:tcPr>
          <w:p w14:paraId="677335E2" w14:textId="77777777" w:rsidR="00D3579D" w:rsidRPr="008556B8" w:rsidRDefault="00D3579D" w:rsidP="002D2D45">
            <w:pPr>
              <w:pStyle w:val="Zkladntext"/>
              <w:spacing w:line="240" w:lineRule="atLeast"/>
              <w:jc w:val="both"/>
              <w:rPr>
                <w:rFonts w:cs="Arial"/>
              </w:rPr>
            </w:pPr>
          </w:p>
        </w:tc>
        <w:tc>
          <w:tcPr>
            <w:tcW w:w="1909" w:type="dxa"/>
            <w:tcBorders>
              <w:top w:val="nil"/>
              <w:left w:val="single" w:sz="6" w:space="0" w:color="auto"/>
              <w:bottom w:val="single" w:sz="4" w:space="0" w:color="auto"/>
              <w:right w:val="single" w:sz="6" w:space="0" w:color="auto"/>
            </w:tcBorders>
          </w:tcPr>
          <w:p w14:paraId="49E711AB" w14:textId="77777777" w:rsidR="00D3579D" w:rsidRPr="008556B8" w:rsidRDefault="00D3579D" w:rsidP="002D2D45">
            <w:pPr>
              <w:pStyle w:val="Zkladntext"/>
              <w:spacing w:line="240" w:lineRule="atLeast"/>
              <w:jc w:val="both"/>
              <w:rPr>
                <w:rFonts w:cs="Arial"/>
              </w:rPr>
            </w:pPr>
          </w:p>
        </w:tc>
        <w:tc>
          <w:tcPr>
            <w:tcW w:w="661" w:type="dxa"/>
            <w:tcBorders>
              <w:top w:val="nil"/>
              <w:left w:val="nil"/>
              <w:bottom w:val="single" w:sz="4" w:space="0" w:color="auto"/>
              <w:right w:val="nil"/>
            </w:tcBorders>
          </w:tcPr>
          <w:p w14:paraId="409D9C8C" w14:textId="77777777" w:rsidR="00D3579D" w:rsidRPr="008556B8" w:rsidRDefault="00D3579D" w:rsidP="002D2D45">
            <w:pPr>
              <w:pStyle w:val="Zkladntext"/>
              <w:spacing w:line="240" w:lineRule="atLeast"/>
              <w:jc w:val="both"/>
              <w:rPr>
                <w:rFonts w:cs="Arial"/>
              </w:rPr>
            </w:pPr>
          </w:p>
        </w:tc>
        <w:tc>
          <w:tcPr>
            <w:tcW w:w="612" w:type="dxa"/>
            <w:tcBorders>
              <w:top w:val="single" w:sz="6" w:space="0" w:color="auto"/>
              <w:left w:val="single" w:sz="6" w:space="0" w:color="auto"/>
              <w:bottom w:val="single" w:sz="4" w:space="0" w:color="auto"/>
              <w:right w:val="single" w:sz="6" w:space="0" w:color="auto"/>
            </w:tcBorders>
          </w:tcPr>
          <w:p w14:paraId="798B6F03" w14:textId="77777777" w:rsidR="00D3579D" w:rsidRPr="008556B8" w:rsidRDefault="00D3579D" w:rsidP="002D2D45">
            <w:pPr>
              <w:pStyle w:val="Texttabulky"/>
              <w:spacing w:line="240" w:lineRule="atLeast"/>
              <w:jc w:val="both"/>
              <w:rPr>
                <w:rFonts w:cs="Arial"/>
              </w:rPr>
            </w:pPr>
            <w:r w:rsidRPr="008556B8">
              <w:rPr>
                <w:rFonts w:cs="Arial"/>
                <w:b/>
                <w:bCs/>
              </w:rPr>
              <w:t>OB návrh I</w:t>
            </w:r>
          </w:p>
        </w:tc>
        <w:tc>
          <w:tcPr>
            <w:tcW w:w="615" w:type="dxa"/>
            <w:tcBorders>
              <w:top w:val="single" w:sz="6" w:space="0" w:color="auto"/>
              <w:left w:val="single" w:sz="6" w:space="0" w:color="auto"/>
              <w:bottom w:val="single" w:sz="4" w:space="0" w:color="auto"/>
              <w:right w:val="single" w:sz="6" w:space="0" w:color="auto"/>
            </w:tcBorders>
          </w:tcPr>
          <w:p w14:paraId="752EC338" w14:textId="77777777" w:rsidR="00D3579D" w:rsidRPr="008556B8" w:rsidRDefault="00D3579D" w:rsidP="002D2D45">
            <w:pPr>
              <w:pStyle w:val="Texttabulky"/>
              <w:spacing w:line="240" w:lineRule="atLeast"/>
              <w:jc w:val="both"/>
              <w:rPr>
                <w:rFonts w:cs="Arial"/>
              </w:rPr>
            </w:pPr>
            <w:r w:rsidRPr="008556B8">
              <w:rPr>
                <w:rFonts w:cs="Arial"/>
                <w:b/>
                <w:bCs/>
              </w:rPr>
              <w:t>OB návrh II</w:t>
            </w:r>
          </w:p>
        </w:tc>
        <w:tc>
          <w:tcPr>
            <w:tcW w:w="675" w:type="dxa"/>
            <w:tcBorders>
              <w:top w:val="single" w:sz="6" w:space="0" w:color="auto"/>
              <w:left w:val="single" w:sz="6" w:space="0" w:color="auto"/>
              <w:bottom w:val="single" w:sz="4" w:space="0" w:color="auto"/>
              <w:right w:val="single" w:sz="6" w:space="0" w:color="auto"/>
            </w:tcBorders>
          </w:tcPr>
          <w:p w14:paraId="1E04225F" w14:textId="77777777" w:rsidR="00D3579D" w:rsidRPr="008556B8" w:rsidRDefault="00D3579D" w:rsidP="002D2D45">
            <w:pPr>
              <w:pStyle w:val="Texttabulky"/>
              <w:spacing w:line="240" w:lineRule="atLeast"/>
              <w:jc w:val="both"/>
              <w:rPr>
                <w:rFonts w:cs="Arial"/>
              </w:rPr>
            </w:pPr>
            <w:r w:rsidRPr="008556B8">
              <w:rPr>
                <w:rFonts w:cs="Arial"/>
                <w:b/>
                <w:bCs/>
              </w:rPr>
              <w:t>OB rezerva</w:t>
            </w:r>
          </w:p>
        </w:tc>
        <w:tc>
          <w:tcPr>
            <w:tcW w:w="795" w:type="dxa"/>
            <w:tcBorders>
              <w:top w:val="single" w:sz="6" w:space="0" w:color="auto"/>
              <w:left w:val="single" w:sz="6" w:space="0" w:color="auto"/>
              <w:bottom w:val="single" w:sz="4" w:space="0" w:color="auto"/>
              <w:right w:val="single" w:sz="6" w:space="0" w:color="auto"/>
            </w:tcBorders>
          </w:tcPr>
          <w:p w14:paraId="1FA76710" w14:textId="77777777" w:rsidR="00D3579D" w:rsidRPr="008556B8" w:rsidRDefault="00D3579D" w:rsidP="002D2D45">
            <w:pPr>
              <w:pStyle w:val="Texttabulky"/>
              <w:spacing w:line="240" w:lineRule="atLeast"/>
              <w:jc w:val="both"/>
              <w:rPr>
                <w:rFonts w:cs="Arial"/>
              </w:rPr>
            </w:pPr>
            <w:r w:rsidRPr="008556B8">
              <w:rPr>
                <w:rFonts w:cs="Arial"/>
                <w:b/>
                <w:bCs/>
              </w:rPr>
              <w:t>návrh</w:t>
            </w:r>
          </w:p>
        </w:tc>
        <w:tc>
          <w:tcPr>
            <w:tcW w:w="847" w:type="dxa"/>
            <w:tcBorders>
              <w:top w:val="single" w:sz="6" w:space="0" w:color="auto"/>
              <w:left w:val="single" w:sz="6" w:space="0" w:color="auto"/>
              <w:bottom w:val="single" w:sz="4" w:space="0" w:color="auto"/>
              <w:right w:val="single" w:sz="6" w:space="0" w:color="auto"/>
            </w:tcBorders>
          </w:tcPr>
          <w:p w14:paraId="74298E67" w14:textId="77777777" w:rsidR="00D3579D" w:rsidRPr="008556B8" w:rsidRDefault="00D3579D" w:rsidP="002D2D45">
            <w:pPr>
              <w:pStyle w:val="Texttabulky"/>
              <w:spacing w:line="240" w:lineRule="atLeast"/>
              <w:jc w:val="both"/>
              <w:rPr>
                <w:rFonts w:cs="Arial"/>
              </w:rPr>
            </w:pPr>
            <w:r w:rsidRPr="008556B8">
              <w:rPr>
                <w:rFonts w:cs="Arial"/>
                <w:b/>
                <w:bCs/>
              </w:rPr>
              <w:t>návrh + rez.</w:t>
            </w:r>
          </w:p>
        </w:tc>
        <w:tc>
          <w:tcPr>
            <w:tcW w:w="709" w:type="dxa"/>
            <w:tcBorders>
              <w:top w:val="nil"/>
              <w:left w:val="single" w:sz="6" w:space="0" w:color="auto"/>
              <w:bottom w:val="single" w:sz="4" w:space="0" w:color="auto"/>
              <w:right w:val="single" w:sz="6" w:space="0" w:color="auto"/>
            </w:tcBorders>
          </w:tcPr>
          <w:p w14:paraId="7948EB18" w14:textId="77777777" w:rsidR="00D3579D" w:rsidRPr="008556B8" w:rsidRDefault="00D3579D" w:rsidP="002D2D45">
            <w:pPr>
              <w:pStyle w:val="Zkladntext"/>
              <w:spacing w:line="240" w:lineRule="atLeast"/>
              <w:jc w:val="both"/>
              <w:rPr>
                <w:rFonts w:cs="Arial"/>
              </w:rPr>
            </w:pPr>
          </w:p>
        </w:tc>
        <w:tc>
          <w:tcPr>
            <w:tcW w:w="708" w:type="dxa"/>
            <w:tcBorders>
              <w:top w:val="nil"/>
              <w:left w:val="nil"/>
              <w:bottom w:val="single" w:sz="4" w:space="0" w:color="auto"/>
              <w:right w:val="single" w:sz="6" w:space="0" w:color="auto"/>
            </w:tcBorders>
          </w:tcPr>
          <w:p w14:paraId="7D6FE449" w14:textId="77777777" w:rsidR="00D3579D" w:rsidRPr="008556B8" w:rsidRDefault="00D3579D" w:rsidP="002D2D45">
            <w:pPr>
              <w:pStyle w:val="Zkladntext"/>
              <w:spacing w:line="240" w:lineRule="atLeast"/>
              <w:jc w:val="both"/>
              <w:rPr>
                <w:rFonts w:cs="Arial"/>
              </w:rPr>
            </w:pPr>
          </w:p>
        </w:tc>
      </w:tr>
      <w:tr w:rsidR="00D3579D" w:rsidRPr="008556B8" w14:paraId="5D63D8DF" w14:textId="77777777" w:rsidTr="002D2D45">
        <w:tc>
          <w:tcPr>
            <w:tcW w:w="474" w:type="dxa"/>
            <w:tcBorders>
              <w:top w:val="single" w:sz="4" w:space="0" w:color="auto"/>
              <w:left w:val="single" w:sz="4" w:space="0" w:color="auto"/>
              <w:bottom w:val="single" w:sz="4" w:space="0" w:color="auto"/>
              <w:right w:val="single" w:sz="4" w:space="0" w:color="auto"/>
            </w:tcBorders>
          </w:tcPr>
          <w:p w14:paraId="35CDF1C3" w14:textId="77777777" w:rsidR="00D3579D" w:rsidRPr="008556B8" w:rsidRDefault="00D3579D" w:rsidP="002D2D45">
            <w:pPr>
              <w:pStyle w:val="Texttabulky"/>
              <w:spacing w:line="240" w:lineRule="atLeast"/>
              <w:jc w:val="both"/>
              <w:rPr>
                <w:rFonts w:cs="Arial"/>
              </w:rPr>
            </w:pPr>
            <w:r w:rsidRPr="008556B8">
              <w:rPr>
                <w:rFonts w:cs="Arial"/>
              </w:rPr>
              <w:t>51</w:t>
            </w:r>
          </w:p>
        </w:tc>
        <w:tc>
          <w:tcPr>
            <w:tcW w:w="504" w:type="dxa"/>
            <w:tcBorders>
              <w:top w:val="single" w:sz="4" w:space="0" w:color="auto"/>
              <w:left w:val="single" w:sz="4" w:space="0" w:color="auto"/>
              <w:bottom w:val="single" w:sz="4" w:space="0" w:color="auto"/>
              <w:right w:val="single" w:sz="4" w:space="0" w:color="auto"/>
            </w:tcBorders>
          </w:tcPr>
          <w:p w14:paraId="38C0A7D9" w14:textId="77777777" w:rsidR="00D3579D" w:rsidRPr="008556B8" w:rsidRDefault="00D3579D" w:rsidP="002D2D45">
            <w:pPr>
              <w:pStyle w:val="Texttabulky"/>
              <w:spacing w:line="240" w:lineRule="atLeast"/>
              <w:jc w:val="both"/>
              <w:rPr>
                <w:rFonts w:cs="Arial"/>
              </w:rPr>
            </w:pPr>
            <w:r w:rsidRPr="008556B8">
              <w:rPr>
                <w:rFonts w:cs="Arial"/>
              </w:rPr>
              <w:t>O</w:t>
            </w:r>
          </w:p>
        </w:tc>
        <w:tc>
          <w:tcPr>
            <w:tcW w:w="1909" w:type="dxa"/>
            <w:tcBorders>
              <w:top w:val="single" w:sz="4" w:space="0" w:color="auto"/>
              <w:left w:val="single" w:sz="4" w:space="0" w:color="auto"/>
              <w:bottom w:val="single" w:sz="4" w:space="0" w:color="auto"/>
              <w:right w:val="single" w:sz="4" w:space="0" w:color="auto"/>
            </w:tcBorders>
          </w:tcPr>
          <w:p w14:paraId="51F3F9C9" w14:textId="77777777" w:rsidR="00D3579D" w:rsidRPr="008556B8" w:rsidRDefault="00D3579D" w:rsidP="002D2D45">
            <w:pPr>
              <w:pStyle w:val="Texttabulky"/>
              <w:spacing w:line="240" w:lineRule="atLeast"/>
              <w:jc w:val="both"/>
              <w:rPr>
                <w:rFonts w:cs="Arial"/>
              </w:rPr>
            </w:pPr>
            <w:r w:rsidRPr="008556B8">
              <w:rPr>
                <w:rFonts w:cs="Arial"/>
              </w:rPr>
              <w:t>Křešice</w:t>
            </w:r>
          </w:p>
        </w:tc>
        <w:tc>
          <w:tcPr>
            <w:tcW w:w="661" w:type="dxa"/>
            <w:tcBorders>
              <w:top w:val="single" w:sz="4" w:space="0" w:color="auto"/>
              <w:left w:val="single" w:sz="4" w:space="0" w:color="auto"/>
              <w:bottom w:val="single" w:sz="4" w:space="0" w:color="auto"/>
              <w:right w:val="single" w:sz="4" w:space="0" w:color="auto"/>
            </w:tcBorders>
          </w:tcPr>
          <w:p w14:paraId="17C27893" w14:textId="77777777" w:rsidR="00D3579D" w:rsidRPr="008556B8" w:rsidRDefault="00D3579D" w:rsidP="002D2D45">
            <w:pPr>
              <w:pStyle w:val="Texttabulky"/>
              <w:spacing w:line="240" w:lineRule="atLeast"/>
              <w:jc w:val="both"/>
              <w:rPr>
                <w:rFonts w:cs="Arial"/>
              </w:rPr>
            </w:pPr>
            <w:r w:rsidRPr="008556B8">
              <w:rPr>
                <w:rFonts w:cs="Arial"/>
              </w:rPr>
              <w:t>726</w:t>
            </w:r>
          </w:p>
        </w:tc>
        <w:tc>
          <w:tcPr>
            <w:tcW w:w="612" w:type="dxa"/>
            <w:tcBorders>
              <w:top w:val="single" w:sz="4" w:space="0" w:color="auto"/>
              <w:left w:val="single" w:sz="4" w:space="0" w:color="auto"/>
              <w:bottom w:val="single" w:sz="4" w:space="0" w:color="auto"/>
              <w:right w:val="single" w:sz="4" w:space="0" w:color="auto"/>
            </w:tcBorders>
          </w:tcPr>
          <w:p w14:paraId="1A98701A" w14:textId="77777777" w:rsidR="00D3579D" w:rsidRPr="008556B8" w:rsidRDefault="00D3579D" w:rsidP="002D2D45">
            <w:pPr>
              <w:pStyle w:val="Zkladntext"/>
              <w:jc w:val="both"/>
              <w:rPr>
                <w:rFonts w:cs="Arial"/>
              </w:rPr>
            </w:pPr>
          </w:p>
        </w:tc>
        <w:tc>
          <w:tcPr>
            <w:tcW w:w="615" w:type="dxa"/>
            <w:tcBorders>
              <w:top w:val="single" w:sz="4" w:space="0" w:color="auto"/>
              <w:left w:val="single" w:sz="4" w:space="0" w:color="auto"/>
              <w:bottom w:val="single" w:sz="4" w:space="0" w:color="auto"/>
              <w:right w:val="single" w:sz="4" w:space="0" w:color="auto"/>
            </w:tcBorders>
          </w:tcPr>
          <w:p w14:paraId="651160F9" w14:textId="77777777" w:rsidR="00D3579D" w:rsidRPr="008556B8" w:rsidRDefault="00D3579D" w:rsidP="002D2D45">
            <w:pPr>
              <w:pStyle w:val="Zkladntext"/>
              <w:jc w:val="both"/>
              <w:rPr>
                <w:rFonts w:cs="Arial"/>
              </w:rPr>
            </w:pPr>
          </w:p>
        </w:tc>
        <w:tc>
          <w:tcPr>
            <w:tcW w:w="675" w:type="dxa"/>
            <w:tcBorders>
              <w:top w:val="single" w:sz="4" w:space="0" w:color="auto"/>
              <w:left w:val="single" w:sz="4" w:space="0" w:color="auto"/>
              <w:bottom w:val="single" w:sz="4" w:space="0" w:color="auto"/>
              <w:right w:val="single" w:sz="4" w:space="0" w:color="auto"/>
            </w:tcBorders>
          </w:tcPr>
          <w:p w14:paraId="66C20DE4" w14:textId="77777777" w:rsidR="00D3579D" w:rsidRPr="008556B8" w:rsidRDefault="00D3579D" w:rsidP="002D2D45">
            <w:pPr>
              <w:pStyle w:val="Texttabulky"/>
              <w:spacing w:line="240" w:lineRule="atLeast"/>
              <w:jc w:val="both"/>
              <w:rPr>
                <w:rFonts w:cs="Arial"/>
              </w:rPr>
            </w:pPr>
            <w:r w:rsidRPr="008556B8">
              <w:rPr>
                <w:rFonts w:cs="Arial"/>
              </w:rPr>
              <w:t>375</w:t>
            </w:r>
          </w:p>
        </w:tc>
        <w:tc>
          <w:tcPr>
            <w:tcW w:w="795" w:type="dxa"/>
            <w:tcBorders>
              <w:top w:val="single" w:sz="4" w:space="0" w:color="auto"/>
              <w:left w:val="single" w:sz="4" w:space="0" w:color="auto"/>
              <w:bottom w:val="single" w:sz="4" w:space="0" w:color="auto"/>
              <w:right w:val="single" w:sz="4" w:space="0" w:color="auto"/>
            </w:tcBorders>
          </w:tcPr>
          <w:p w14:paraId="3D9BD113" w14:textId="77777777" w:rsidR="00D3579D" w:rsidRPr="008556B8" w:rsidRDefault="00D3579D" w:rsidP="002D2D45">
            <w:pPr>
              <w:pStyle w:val="Texttabulky"/>
              <w:spacing w:line="240" w:lineRule="atLeast"/>
              <w:jc w:val="both"/>
              <w:rPr>
                <w:rFonts w:cs="Arial"/>
              </w:rPr>
            </w:pPr>
            <w:r w:rsidRPr="008556B8">
              <w:rPr>
                <w:rFonts w:cs="Arial"/>
              </w:rPr>
              <w:t>700</w:t>
            </w:r>
          </w:p>
        </w:tc>
        <w:tc>
          <w:tcPr>
            <w:tcW w:w="847" w:type="dxa"/>
            <w:tcBorders>
              <w:top w:val="single" w:sz="4" w:space="0" w:color="auto"/>
              <w:left w:val="single" w:sz="4" w:space="0" w:color="auto"/>
              <w:bottom w:val="single" w:sz="4" w:space="0" w:color="auto"/>
              <w:right w:val="single" w:sz="4" w:space="0" w:color="auto"/>
            </w:tcBorders>
          </w:tcPr>
          <w:p w14:paraId="1DB0994D" w14:textId="77777777" w:rsidR="00D3579D" w:rsidRPr="008556B8" w:rsidRDefault="00D3579D" w:rsidP="002D2D45">
            <w:pPr>
              <w:pStyle w:val="Texttabulky"/>
              <w:spacing w:line="240" w:lineRule="atLeast"/>
              <w:jc w:val="both"/>
              <w:rPr>
                <w:rFonts w:cs="Arial"/>
              </w:rPr>
            </w:pPr>
            <w:r w:rsidRPr="008556B8">
              <w:rPr>
                <w:rFonts w:cs="Arial"/>
              </w:rPr>
              <w:t>1 075</w:t>
            </w:r>
          </w:p>
        </w:tc>
        <w:tc>
          <w:tcPr>
            <w:tcW w:w="709" w:type="dxa"/>
            <w:tcBorders>
              <w:top w:val="single" w:sz="4" w:space="0" w:color="auto"/>
              <w:left w:val="single" w:sz="4" w:space="0" w:color="auto"/>
              <w:bottom w:val="single" w:sz="4" w:space="0" w:color="auto"/>
              <w:right w:val="single" w:sz="4" w:space="0" w:color="auto"/>
            </w:tcBorders>
          </w:tcPr>
          <w:p w14:paraId="1AF5D8D2" w14:textId="77777777" w:rsidR="00D3579D" w:rsidRPr="008556B8" w:rsidRDefault="00D3579D" w:rsidP="002D2D45">
            <w:pPr>
              <w:pStyle w:val="Texttabulky"/>
              <w:spacing w:line="240" w:lineRule="atLeast"/>
              <w:jc w:val="both"/>
              <w:rPr>
                <w:rFonts w:cs="Arial"/>
              </w:rPr>
            </w:pPr>
            <w:r w:rsidRPr="008556B8">
              <w:rPr>
                <w:rFonts w:cs="Arial"/>
              </w:rPr>
              <w:t>-26</w:t>
            </w:r>
          </w:p>
        </w:tc>
        <w:tc>
          <w:tcPr>
            <w:tcW w:w="708" w:type="dxa"/>
            <w:tcBorders>
              <w:top w:val="single" w:sz="4" w:space="0" w:color="auto"/>
              <w:left w:val="single" w:sz="4" w:space="0" w:color="auto"/>
              <w:bottom w:val="single" w:sz="4" w:space="0" w:color="auto"/>
              <w:right w:val="single" w:sz="4" w:space="0" w:color="auto"/>
            </w:tcBorders>
          </w:tcPr>
          <w:p w14:paraId="648BAC74" w14:textId="77777777" w:rsidR="00D3579D" w:rsidRPr="008556B8" w:rsidRDefault="00D3579D" w:rsidP="002D2D45">
            <w:pPr>
              <w:pStyle w:val="Texttabulky"/>
              <w:spacing w:line="240" w:lineRule="atLeast"/>
              <w:jc w:val="both"/>
              <w:rPr>
                <w:rFonts w:cs="Arial"/>
              </w:rPr>
            </w:pPr>
            <w:r w:rsidRPr="008556B8">
              <w:rPr>
                <w:rFonts w:cs="Arial"/>
              </w:rPr>
              <w:t>349</w:t>
            </w:r>
          </w:p>
        </w:tc>
      </w:tr>
      <w:tr w:rsidR="00D3579D" w:rsidRPr="008556B8" w14:paraId="202C9BAC" w14:textId="77777777" w:rsidTr="002D2D45">
        <w:tc>
          <w:tcPr>
            <w:tcW w:w="474" w:type="dxa"/>
            <w:tcBorders>
              <w:top w:val="single" w:sz="4" w:space="0" w:color="auto"/>
              <w:left w:val="single" w:sz="4" w:space="0" w:color="auto"/>
              <w:bottom w:val="single" w:sz="4" w:space="0" w:color="auto"/>
              <w:right w:val="single" w:sz="4" w:space="0" w:color="auto"/>
            </w:tcBorders>
          </w:tcPr>
          <w:p w14:paraId="5A83D115" w14:textId="77777777" w:rsidR="00D3579D" w:rsidRPr="008556B8" w:rsidRDefault="00D3579D" w:rsidP="002D2D45">
            <w:pPr>
              <w:pStyle w:val="Texttabulky"/>
              <w:spacing w:line="240" w:lineRule="atLeast"/>
              <w:jc w:val="both"/>
              <w:rPr>
                <w:rFonts w:cs="Arial"/>
              </w:rPr>
            </w:pPr>
            <w:r w:rsidRPr="008556B8">
              <w:rPr>
                <w:rFonts w:cs="Arial"/>
              </w:rPr>
              <w:t>52</w:t>
            </w:r>
          </w:p>
        </w:tc>
        <w:tc>
          <w:tcPr>
            <w:tcW w:w="504" w:type="dxa"/>
            <w:tcBorders>
              <w:top w:val="single" w:sz="4" w:space="0" w:color="auto"/>
              <w:left w:val="single" w:sz="4" w:space="0" w:color="auto"/>
              <w:bottom w:val="single" w:sz="4" w:space="0" w:color="auto"/>
              <w:right w:val="single" w:sz="4" w:space="0" w:color="auto"/>
            </w:tcBorders>
          </w:tcPr>
          <w:p w14:paraId="0DF8E5F4" w14:textId="77777777" w:rsidR="00D3579D" w:rsidRPr="008556B8" w:rsidRDefault="00D3579D" w:rsidP="002D2D45">
            <w:pPr>
              <w:pStyle w:val="Texttabulky"/>
              <w:spacing w:line="240" w:lineRule="atLeast"/>
              <w:jc w:val="both"/>
              <w:rPr>
                <w:rFonts w:cs="Arial"/>
              </w:rPr>
            </w:pPr>
            <w:r w:rsidRPr="008556B8">
              <w:rPr>
                <w:rFonts w:cs="Arial"/>
              </w:rPr>
              <w:t>O</w:t>
            </w:r>
          </w:p>
        </w:tc>
        <w:tc>
          <w:tcPr>
            <w:tcW w:w="1909" w:type="dxa"/>
            <w:tcBorders>
              <w:top w:val="single" w:sz="4" w:space="0" w:color="auto"/>
              <w:left w:val="single" w:sz="4" w:space="0" w:color="auto"/>
              <w:bottom w:val="single" w:sz="4" w:space="0" w:color="auto"/>
              <w:right w:val="single" w:sz="4" w:space="0" w:color="auto"/>
            </w:tcBorders>
          </w:tcPr>
          <w:p w14:paraId="209A7485" w14:textId="77777777" w:rsidR="00D3579D" w:rsidRPr="008556B8" w:rsidRDefault="00D3579D" w:rsidP="002D2D45">
            <w:pPr>
              <w:pStyle w:val="Texttabulky"/>
              <w:spacing w:line="240" w:lineRule="atLeast"/>
              <w:jc w:val="both"/>
              <w:rPr>
                <w:rFonts w:cs="Arial"/>
              </w:rPr>
            </w:pPr>
            <w:r w:rsidRPr="008556B8">
              <w:rPr>
                <w:rFonts w:cs="Arial"/>
              </w:rPr>
              <w:t>Boletice nad Labem</w:t>
            </w:r>
          </w:p>
        </w:tc>
        <w:tc>
          <w:tcPr>
            <w:tcW w:w="661" w:type="dxa"/>
            <w:tcBorders>
              <w:top w:val="single" w:sz="4" w:space="0" w:color="auto"/>
              <w:left w:val="single" w:sz="4" w:space="0" w:color="auto"/>
              <w:bottom w:val="single" w:sz="4" w:space="0" w:color="auto"/>
              <w:right w:val="single" w:sz="4" w:space="0" w:color="auto"/>
            </w:tcBorders>
          </w:tcPr>
          <w:p w14:paraId="6074D29A" w14:textId="77777777" w:rsidR="00D3579D" w:rsidRPr="008556B8" w:rsidRDefault="00D3579D" w:rsidP="002D2D45">
            <w:pPr>
              <w:pStyle w:val="Texttabulky"/>
              <w:spacing w:line="240" w:lineRule="atLeast"/>
              <w:jc w:val="both"/>
              <w:rPr>
                <w:rFonts w:cs="Arial"/>
              </w:rPr>
            </w:pPr>
            <w:r w:rsidRPr="008556B8">
              <w:rPr>
                <w:rFonts w:cs="Arial"/>
              </w:rPr>
              <w:t>5 238</w:t>
            </w:r>
          </w:p>
        </w:tc>
        <w:tc>
          <w:tcPr>
            <w:tcW w:w="612" w:type="dxa"/>
            <w:tcBorders>
              <w:top w:val="single" w:sz="4" w:space="0" w:color="auto"/>
              <w:left w:val="single" w:sz="4" w:space="0" w:color="auto"/>
              <w:bottom w:val="single" w:sz="4" w:space="0" w:color="auto"/>
              <w:right w:val="single" w:sz="4" w:space="0" w:color="auto"/>
            </w:tcBorders>
          </w:tcPr>
          <w:p w14:paraId="7CC0584D" w14:textId="77777777" w:rsidR="00D3579D" w:rsidRPr="008556B8" w:rsidRDefault="00D3579D" w:rsidP="002D2D45">
            <w:pPr>
              <w:pStyle w:val="Texttabulky"/>
              <w:spacing w:line="240" w:lineRule="atLeast"/>
              <w:jc w:val="both"/>
              <w:rPr>
                <w:rFonts w:cs="Arial"/>
              </w:rPr>
            </w:pPr>
            <w:r w:rsidRPr="008556B8">
              <w:rPr>
                <w:rFonts w:cs="Arial"/>
              </w:rPr>
              <w:t>330</w:t>
            </w:r>
          </w:p>
        </w:tc>
        <w:tc>
          <w:tcPr>
            <w:tcW w:w="615" w:type="dxa"/>
            <w:tcBorders>
              <w:top w:val="single" w:sz="4" w:space="0" w:color="auto"/>
              <w:left w:val="single" w:sz="4" w:space="0" w:color="auto"/>
              <w:bottom w:val="single" w:sz="4" w:space="0" w:color="auto"/>
              <w:right w:val="single" w:sz="4" w:space="0" w:color="auto"/>
            </w:tcBorders>
          </w:tcPr>
          <w:p w14:paraId="7A087390" w14:textId="77777777" w:rsidR="00D3579D" w:rsidRPr="008556B8" w:rsidRDefault="00D3579D" w:rsidP="002D2D45">
            <w:pPr>
              <w:pStyle w:val="Texttabulky"/>
              <w:spacing w:line="240" w:lineRule="atLeast"/>
              <w:jc w:val="both"/>
              <w:rPr>
                <w:rFonts w:cs="Arial"/>
              </w:rPr>
            </w:pPr>
            <w:r w:rsidRPr="008556B8">
              <w:rPr>
                <w:rFonts w:cs="Arial"/>
              </w:rPr>
              <w:t>70</w:t>
            </w:r>
          </w:p>
        </w:tc>
        <w:tc>
          <w:tcPr>
            <w:tcW w:w="675" w:type="dxa"/>
            <w:tcBorders>
              <w:top w:val="single" w:sz="4" w:space="0" w:color="auto"/>
              <w:left w:val="single" w:sz="4" w:space="0" w:color="auto"/>
              <w:bottom w:val="single" w:sz="4" w:space="0" w:color="auto"/>
              <w:right w:val="single" w:sz="4" w:space="0" w:color="auto"/>
            </w:tcBorders>
          </w:tcPr>
          <w:p w14:paraId="3146433D" w14:textId="77777777" w:rsidR="00D3579D" w:rsidRPr="008556B8" w:rsidRDefault="00D3579D" w:rsidP="002D2D45">
            <w:pPr>
              <w:pStyle w:val="Texttabulky"/>
              <w:spacing w:line="240" w:lineRule="atLeast"/>
              <w:jc w:val="both"/>
              <w:rPr>
                <w:rFonts w:cs="Arial"/>
              </w:rPr>
            </w:pPr>
            <w:r w:rsidRPr="008556B8">
              <w:rPr>
                <w:rFonts w:cs="Arial"/>
              </w:rPr>
              <w:t>165</w:t>
            </w:r>
          </w:p>
        </w:tc>
        <w:tc>
          <w:tcPr>
            <w:tcW w:w="795" w:type="dxa"/>
            <w:tcBorders>
              <w:top w:val="single" w:sz="4" w:space="0" w:color="auto"/>
              <w:left w:val="single" w:sz="4" w:space="0" w:color="auto"/>
              <w:bottom w:val="single" w:sz="4" w:space="0" w:color="auto"/>
              <w:right w:val="single" w:sz="4" w:space="0" w:color="auto"/>
            </w:tcBorders>
          </w:tcPr>
          <w:p w14:paraId="6F8E5299" w14:textId="77777777" w:rsidR="00D3579D" w:rsidRPr="008556B8" w:rsidRDefault="00D3579D" w:rsidP="002D2D45">
            <w:pPr>
              <w:pStyle w:val="Texttabulky"/>
              <w:spacing w:line="240" w:lineRule="atLeast"/>
              <w:jc w:val="both"/>
              <w:rPr>
                <w:rFonts w:cs="Arial"/>
              </w:rPr>
            </w:pPr>
            <w:r w:rsidRPr="008556B8">
              <w:rPr>
                <w:rFonts w:cs="Arial"/>
              </w:rPr>
              <w:t>5 400</w:t>
            </w:r>
          </w:p>
        </w:tc>
        <w:tc>
          <w:tcPr>
            <w:tcW w:w="847" w:type="dxa"/>
            <w:tcBorders>
              <w:top w:val="single" w:sz="4" w:space="0" w:color="auto"/>
              <w:left w:val="single" w:sz="4" w:space="0" w:color="auto"/>
              <w:bottom w:val="single" w:sz="4" w:space="0" w:color="auto"/>
              <w:right w:val="single" w:sz="4" w:space="0" w:color="auto"/>
            </w:tcBorders>
          </w:tcPr>
          <w:p w14:paraId="4203B6CF" w14:textId="77777777" w:rsidR="00D3579D" w:rsidRPr="008556B8" w:rsidRDefault="00D3579D" w:rsidP="002D2D45">
            <w:pPr>
              <w:pStyle w:val="Texttabulky"/>
              <w:spacing w:line="240" w:lineRule="atLeast"/>
              <w:jc w:val="both"/>
              <w:rPr>
                <w:rFonts w:cs="Arial"/>
              </w:rPr>
            </w:pPr>
            <w:r w:rsidRPr="008556B8">
              <w:rPr>
                <w:rFonts w:cs="Arial"/>
              </w:rPr>
              <w:t>5 565</w:t>
            </w:r>
          </w:p>
        </w:tc>
        <w:tc>
          <w:tcPr>
            <w:tcW w:w="709" w:type="dxa"/>
            <w:tcBorders>
              <w:top w:val="single" w:sz="4" w:space="0" w:color="auto"/>
              <w:left w:val="single" w:sz="4" w:space="0" w:color="auto"/>
              <w:bottom w:val="single" w:sz="4" w:space="0" w:color="auto"/>
              <w:right w:val="single" w:sz="4" w:space="0" w:color="auto"/>
            </w:tcBorders>
          </w:tcPr>
          <w:p w14:paraId="23890D86" w14:textId="77777777" w:rsidR="00D3579D" w:rsidRPr="008556B8" w:rsidRDefault="00D3579D" w:rsidP="002D2D45">
            <w:pPr>
              <w:pStyle w:val="Texttabulky"/>
              <w:spacing w:line="240" w:lineRule="atLeast"/>
              <w:jc w:val="both"/>
              <w:rPr>
                <w:rFonts w:cs="Arial"/>
              </w:rPr>
            </w:pPr>
            <w:r w:rsidRPr="008556B8">
              <w:rPr>
                <w:rFonts w:cs="Arial"/>
              </w:rPr>
              <w:t>162</w:t>
            </w:r>
          </w:p>
        </w:tc>
        <w:tc>
          <w:tcPr>
            <w:tcW w:w="708" w:type="dxa"/>
            <w:tcBorders>
              <w:top w:val="single" w:sz="4" w:space="0" w:color="auto"/>
              <w:left w:val="single" w:sz="4" w:space="0" w:color="auto"/>
              <w:bottom w:val="single" w:sz="4" w:space="0" w:color="auto"/>
              <w:right w:val="single" w:sz="4" w:space="0" w:color="auto"/>
            </w:tcBorders>
          </w:tcPr>
          <w:p w14:paraId="5BD89DDA" w14:textId="77777777" w:rsidR="00D3579D" w:rsidRPr="008556B8" w:rsidRDefault="00D3579D" w:rsidP="002D2D45">
            <w:pPr>
              <w:pStyle w:val="Texttabulky"/>
              <w:spacing w:line="240" w:lineRule="atLeast"/>
              <w:jc w:val="both"/>
              <w:rPr>
                <w:rFonts w:cs="Arial"/>
              </w:rPr>
            </w:pPr>
            <w:r w:rsidRPr="008556B8">
              <w:rPr>
                <w:rFonts w:cs="Arial"/>
              </w:rPr>
              <w:t>327</w:t>
            </w:r>
          </w:p>
        </w:tc>
      </w:tr>
      <w:tr w:rsidR="00D3579D" w:rsidRPr="008556B8" w14:paraId="545219E4" w14:textId="77777777" w:rsidTr="002D2D45">
        <w:tc>
          <w:tcPr>
            <w:tcW w:w="474" w:type="dxa"/>
            <w:tcBorders>
              <w:top w:val="single" w:sz="4" w:space="0" w:color="auto"/>
              <w:left w:val="single" w:sz="4" w:space="0" w:color="auto"/>
              <w:bottom w:val="single" w:sz="4" w:space="0" w:color="auto"/>
              <w:right w:val="single" w:sz="4" w:space="0" w:color="auto"/>
            </w:tcBorders>
          </w:tcPr>
          <w:p w14:paraId="6A5CE967" w14:textId="77777777" w:rsidR="00D3579D" w:rsidRPr="008556B8" w:rsidRDefault="00D3579D" w:rsidP="002D2D45">
            <w:pPr>
              <w:pStyle w:val="Texttabulky"/>
              <w:spacing w:line="240" w:lineRule="atLeast"/>
              <w:jc w:val="both"/>
              <w:rPr>
                <w:rFonts w:cs="Arial"/>
              </w:rPr>
            </w:pPr>
            <w:r w:rsidRPr="008556B8">
              <w:rPr>
                <w:rFonts w:cs="Arial"/>
              </w:rPr>
              <w:t>57</w:t>
            </w:r>
          </w:p>
        </w:tc>
        <w:tc>
          <w:tcPr>
            <w:tcW w:w="504" w:type="dxa"/>
            <w:tcBorders>
              <w:top w:val="single" w:sz="4" w:space="0" w:color="auto"/>
              <w:left w:val="single" w:sz="4" w:space="0" w:color="auto"/>
              <w:bottom w:val="single" w:sz="4" w:space="0" w:color="auto"/>
              <w:right w:val="single" w:sz="4" w:space="0" w:color="auto"/>
            </w:tcBorders>
          </w:tcPr>
          <w:p w14:paraId="0972FF0B" w14:textId="77777777" w:rsidR="00D3579D" w:rsidRPr="008556B8" w:rsidRDefault="00D3579D" w:rsidP="002D2D45">
            <w:pPr>
              <w:pStyle w:val="Texttabulky"/>
              <w:spacing w:line="240" w:lineRule="atLeast"/>
              <w:jc w:val="both"/>
              <w:rPr>
                <w:rFonts w:cs="Arial"/>
              </w:rPr>
            </w:pPr>
            <w:r w:rsidRPr="008556B8">
              <w:rPr>
                <w:rFonts w:cs="Arial"/>
              </w:rPr>
              <w:t>O</w:t>
            </w:r>
          </w:p>
        </w:tc>
        <w:tc>
          <w:tcPr>
            <w:tcW w:w="1909" w:type="dxa"/>
            <w:tcBorders>
              <w:top w:val="single" w:sz="4" w:space="0" w:color="auto"/>
              <w:left w:val="single" w:sz="4" w:space="0" w:color="auto"/>
              <w:bottom w:val="single" w:sz="4" w:space="0" w:color="auto"/>
              <w:right w:val="single" w:sz="4" w:space="0" w:color="auto"/>
            </w:tcBorders>
          </w:tcPr>
          <w:p w14:paraId="1BAF0EAF" w14:textId="77777777" w:rsidR="00D3579D" w:rsidRPr="008556B8" w:rsidRDefault="00D3579D" w:rsidP="002D2D45">
            <w:pPr>
              <w:pStyle w:val="Texttabulky"/>
              <w:spacing w:line="240" w:lineRule="atLeast"/>
              <w:jc w:val="both"/>
              <w:rPr>
                <w:rFonts w:cs="Arial"/>
              </w:rPr>
            </w:pPr>
            <w:r w:rsidRPr="008556B8">
              <w:rPr>
                <w:rFonts w:cs="Arial"/>
              </w:rPr>
              <w:t>Nebočady</w:t>
            </w:r>
          </w:p>
        </w:tc>
        <w:tc>
          <w:tcPr>
            <w:tcW w:w="661" w:type="dxa"/>
            <w:tcBorders>
              <w:top w:val="single" w:sz="4" w:space="0" w:color="auto"/>
              <w:left w:val="single" w:sz="4" w:space="0" w:color="auto"/>
              <w:bottom w:val="single" w:sz="4" w:space="0" w:color="auto"/>
              <w:right w:val="single" w:sz="4" w:space="0" w:color="auto"/>
            </w:tcBorders>
          </w:tcPr>
          <w:p w14:paraId="25D30034" w14:textId="77777777" w:rsidR="00D3579D" w:rsidRPr="008556B8" w:rsidRDefault="00D3579D" w:rsidP="002D2D45">
            <w:pPr>
              <w:pStyle w:val="Texttabulky"/>
              <w:spacing w:line="240" w:lineRule="atLeast"/>
              <w:jc w:val="both"/>
              <w:rPr>
                <w:rFonts w:cs="Arial"/>
              </w:rPr>
            </w:pPr>
            <w:r w:rsidRPr="008556B8">
              <w:rPr>
                <w:rFonts w:cs="Arial"/>
              </w:rPr>
              <w:t>363</w:t>
            </w:r>
          </w:p>
        </w:tc>
        <w:tc>
          <w:tcPr>
            <w:tcW w:w="612" w:type="dxa"/>
            <w:tcBorders>
              <w:top w:val="single" w:sz="4" w:space="0" w:color="auto"/>
              <w:left w:val="single" w:sz="4" w:space="0" w:color="auto"/>
              <w:bottom w:val="single" w:sz="4" w:space="0" w:color="auto"/>
              <w:right w:val="single" w:sz="4" w:space="0" w:color="auto"/>
            </w:tcBorders>
          </w:tcPr>
          <w:p w14:paraId="2ABBA04F" w14:textId="77777777" w:rsidR="00D3579D" w:rsidRPr="008556B8" w:rsidRDefault="00D3579D" w:rsidP="002D2D45">
            <w:pPr>
              <w:pStyle w:val="Zkladntext"/>
              <w:jc w:val="both"/>
              <w:rPr>
                <w:rFonts w:cs="Arial"/>
              </w:rPr>
            </w:pPr>
          </w:p>
        </w:tc>
        <w:tc>
          <w:tcPr>
            <w:tcW w:w="615" w:type="dxa"/>
            <w:tcBorders>
              <w:top w:val="single" w:sz="4" w:space="0" w:color="auto"/>
              <w:left w:val="single" w:sz="4" w:space="0" w:color="auto"/>
              <w:bottom w:val="single" w:sz="4" w:space="0" w:color="auto"/>
              <w:right w:val="single" w:sz="4" w:space="0" w:color="auto"/>
            </w:tcBorders>
          </w:tcPr>
          <w:p w14:paraId="7B01D33B" w14:textId="77777777" w:rsidR="00D3579D" w:rsidRPr="008556B8" w:rsidRDefault="00D3579D" w:rsidP="002D2D45">
            <w:pPr>
              <w:pStyle w:val="Zkladntext"/>
              <w:jc w:val="both"/>
              <w:rPr>
                <w:rFonts w:cs="Arial"/>
              </w:rPr>
            </w:pPr>
          </w:p>
        </w:tc>
        <w:tc>
          <w:tcPr>
            <w:tcW w:w="675" w:type="dxa"/>
            <w:tcBorders>
              <w:top w:val="single" w:sz="4" w:space="0" w:color="auto"/>
              <w:left w:val="single" w:sz="4" w:space="0" w:color="auto"/>
              <w:bottom w:val="single" w:sz="4" w:space="0" w:color="auto"/>
              <w:right w:val="single" w:sz="4" w:space="0" w:color="auto"/>
            </w:tcBorders>
          </w:tcPr>
          <w:p w14:paraId="10118B27" w14:textId="77777777" w:rsidR="00D3579D" w:rsidRPr="008556B8" w:rsidRDefault="00D3579D" w:rsidP="002D2D45">
            <w:pPr>
              <w:pStyle w:val="Texttabulky"/>
              <w:spacing w:line="240" w:lineRule="atLeast"/>
              <w:jc w:val="both"/>
              <w:rPr>
                <w:rFonts w:cs="Arial"/>
              </w:rPr>
            </w:pPr>
            <w:r w:rsidRPr="008556B8">
              <w:rPr>
                <w:rFonts w:cs="Arial"/>
              </w:rPr>
              <w:t>120</w:t>
            </w:r>
          </w:p>
        </w:tc>
        <w:tc>
          <w:tcPr>
            <w:tcW w:w="795" w:type="dxa"/>
            <w:tcBorders>
              <w:top w:val="single" w:sz="4" w:space="0" w:color="auto"/>
              <w:left w:val="single" w:sz="4" w:space="0" w:color="auto"/>
              <w:bottom w:val="single" w:sz="4" w:space="0" w:color="auto"/>
              <w:right w:val="single" w:sz="4" w:space="0" w:color="auto"/>
            </w:tcBorders>
          </w:tcPr>
          <w:p w14:paraId="0C140F71" w14:textId="77777777" w:rsidR="00D3579D" w:rsidRPr="008556B8" w:rsidRDefault="00D3579D" w:rsidP="002D2D45">
            <w:pPr>
              <w:pStyle w:val="Texttabulky"/>
              <w:spacing w:line="240" w:lineRule="atLeast"/>
              <w:jc w:val="both"/>
              <w:rPr>
                <w:rFonts w:cs="Arial"/>
              </w:rPr>
            </w:pPr>
            <w:r w:rsidRPr="008556B8">
              <w:rPr>
                <w:rFonts w:cs="Arial"/>
              </w:rPr>
              <w:t>350</w:t>
            </w:r>
          </w:p>
        </w:tc>
        <w:tc>
          <w:tcPr>
            <w:tcW w:w="847" w:type="dxa"/>
            <w:tcBorders>
              <w:top w:val="single" w:sz="4" w:space="0" w:color="auto"/>
              <w:left w:val="single" w:sz="4" w:space="0" w:color="auto"/>
              <w:bottom w:val="single" w:sz="4" w:space="0" w:color="auto"/>
              <w:right w:val="single" w:sz="4" w:space="0" w:color="auto"/>
            </w:tcBorders>
          </w:tcPr>
          <w:p w14:paraId="78A12555" w14:textId="77777777" w:rsidR="00D3579D" w:rsidRPr="008556B8" w:rsidRDefault="00D3579D" w:rsidP="002D2D45">
            <w:pPr>
              <w:pStyle w:val="Texttabulky"/>
              <w:spacing w:line="240" w:lineRule="atLeast"/>
              <w:jc w:val="both"/>
              <w:rPr>
                <w:rFonts w:cs="Arial"/>
              </w:rPr>
            </w:pPr>
            <w:r w:rsidRPr="008556B8">
              <w:rPr>
                <w:rFonts w:cs="Arial"/>
              </w:rPr>
              <w:t>470</w:t>
            </w:r>
          </w:p>
        </w:tc>
        <w:tc>
          <w:tcPr>
            <w:tcW w:w="709" w:type="dxa"/>
            <w:tcBorders>
              <w:top w:val="single" w:sz="4" w:space="0" w:color="auto"/>
              <w:left w:val="single" w:sz="4" w:space="0" w:color="auto"/>
              <w:bottom w:val="single" w:sz="4" w:space="0" w:color="auto"/>
              <w:right w:val="single" w:sz="4" w:space="0" w:color="auto"/>
            </w:tcBorders>
          </w:tcPr>
          <w:p w14:paraId="5922326D" w14:textId="77777777" w:rsidR="00D3579D" w:rsidRPr="008556B8" w:rsidRDefault="00D3579D" w:rsidP="002D2D45">
            <w:pPr>
              <w:pStyle w:val="Texttabulky"/>
              <w:spacing w:line="240" w:lineRule="atLeast"/>
              <w:jc w:val="both"/>
              <w:rPr>
                <w:rFonts w:cs="Arial"/>
              </w:rPr>
            </w:pPr>
            <w:r w:rsidRPr="008556B8">
              <w:rPr>
                <w:rFonts w:cs="Arial"/>
              </w:rPr>
              <w:t>-13</w:t>
            </w:r>
          </w:p>
        </w:tc>
        <w:tc>
          <w:tcPr>
            <w:tcW w:w="708" w:type="dxa"/>
            <w:tcBorders>
              <w:top w:val="single" w:sz="4" w:space="0" w:color="auto"/>
              <w:left w:val="single" w:sz="4" w:space="0" w:color="auto"/>
              <w:bottom w:val="single" w:sz="4" w:space="0" w:color="auto"/>
              <w:right w:val="single" w:sz="4" w:space="0" w:color="auto"/>
            </w:tcBorders>
          </w:tcPr>
          <w:p w14:paraId="0FF565E1" w14:textId="77777777" w:rsidR="00D3579D" w:rsidRPr="008556B8" w:rsidRDefault="00D3579D" w:rsidP="002D2D45">
            <w:pPr>
              <w:pStyle w:val="Texttabulky"/>
              <w:spacing w:line="240" w:lineRule="atLeast"/>
              <w:jc w:val="both"/>
              <w:rPr>
                <w:rFonts w:cs="Arial"/>
              </w:rPr>
            </w:pPr>
            <w:r w:rsidRPr="008556B8">
              <w:rPr>
                <w:rFonts w:cs="Arial"/>
              </w:rPr>
              <w:t>107</w:t>
            </w:r>
          </w:p>
        </w:tc>
      </w:tr>
      <w:tr w:rsidR="00D3579D" w:rsidRPr="008556B8" w14:paraId="03C3D5D2" w14:textId="77777777" w:rsidTr="002D2D45">
        <w:tc>
          <w:tcPr>
            <w:tcW w:w="474" w:type="dxa"/>
            <w:tcBorders>
              <w:top w:val="single" w:sz="4" w:space="0" w:color="auto"/>
              <w:left w:val="single" w:sz="4" w:space="0" w:color="auto"/>
              <w:bottom w:val="single" w:sz="4" w:space="0" w:color="auto"/>
              <w:right w:val="single" w:sz="4" w:space="0" w:color="auto"/>
            </w:tcBorders>
          </w:tcPr>
          <w:p w14:paraId="6CB81FA9" w14:textId="77777777" w:rsidR="00D3579D" w:rsidRPr="008556B8" w:rsidRDefault="00D3579D" w:rsidP="002D2D45">
            <w:pPr>
              <w:pStyle w:val="Texttabulky"/>
              <w:spacing w:line="240" w:lineRule="atLeast"/>
              <w:jc w:val="both"/>
              <w:rPr>
                <w:rFonts w:cs="Arial"/>
              </w:rPr>
            </w:pPr>
            <w:r w:rsidRPr="008556B8">
              <w:rPr>
                <w:rFonts w:cs="Arial"/>
              </w:rPr>
              <w:t>58</w:t>
            </w:r>
          </w:p>
        </w:tc>
        <w:tc>
          <w:tcPr>
            <w:tcW w:w="504" w:type="dxa"/>
            <w:tcBorders>
              <w:top w:val="single" w:sz="4" w:space="0" w:color="auto"/>
              <w:left w:val="single" w:sz="4" w:space="0" w:color="auto"/>
              <w:bottom w:val="single" w:sz="4" w:space="0" w:color="auto"/>
              <w:right w:val="single" w:sz="4" w:space="0" w:color="auto"/>
            </w:tcBorders>
          </w:tcPr>
          <w:p w14:paraId="6EA37C72" w14:textId="77777777" w:rsidR="00D3579D" w:rsidRPr="008556B8" w:rsidRDefault="00D3579D" w:rsidP="002D2D45">
            <w:pPr>
              <w:pStyle w:val="Texttabulky"/>
              <w:spacing w:line="240" w:lineRule="atLeast"/>
              <w:jc w:val="both"/>
              <w:rPr>
                <w:rFonts w:cs="Arial"/>
              </w:rPr>
            </w:pPr>
            <w:r w:rsidRPr="008556B8">
              <w:rPr>
                <w:rFonts w:cs="Arial"/>
              </w:rPr>
              <w:t>N</w:t>
            </w:r>
          </w:p>
        </w:tc>
        <w:tc>
          <w:tcPr>
            <w:tcW w:w="1909" w:type="dxa"/>
            <w:tcBorders>
              <w:top w:val="single" w:sz="4" w:space="0" w:color="auto"/>
              <w:left w:val="single" w:sz="4" w:space="0" w:color="auto"/>
              <w:bottom w:val="single" w:sz="4" w:space="0" w:color="auto"/>
              <w:right w:val="single" w:sz="4" w:space="0" w:color="auto"/>
            </w:tcBorders>
          </w:tcPr>
          <w:p w14:paraId="10EA0A8B" w14:textId="77777777" w:rsidR="00D3579D" w:rsidRPr="008556B8" w:rsidRDefault="00D3579D" w:rsidP="002D2D45">
            <w:pPr>
              <w:pStyle w:val="Texttabulky"/>
              <w:spacing w:line="240" w:lineRule="atLeast"/>
              <w:jc w:val="both"/>
              <w:rPr>
                <w:rFonts w:cs="Arial"/>
              </w:rPr>
            </w:pPr>
            <w:r w:rsidRPr="008556B8">
              <w:rPr>
                <w:rFonts w:cs="Arial"/>
              </w:rPr>
              <w:t>Jakuby</w:t>
            </w:r>
          </w:p>
        </w:tc>
        <w:tc>
          <w:tcPr>
            <w:tcW w:w="661" w:type="dxa"/>
            <w:tcBorders>
              <w:top w:val="single" w:sz="4" w:space="0" w:color="auto"/>
              <w:left w:val="single" w:sz="4" w:space="0" w:color="auto"/>
              <w:bottom w:val="single" w:sz="4" w:space="0" w:color="auto"/>
              <w:right w:val="single" w:sz="4" w:space="0" w:color="auto"/>
            </w:tcBorders>
          </w:tcPr>
          <w:p w14:paraId="7DA323F9" w14:textId="77777777" w:rsidR="00D3579D" w:rsidRPr="008556B8" w:rsidRDefault="00D3579D" w:rsidP="002D2D45">
            <w:pPr>
              <w:pStyle w:val="Texttabulky"/>
              <w:spacing w:line="240" w:lineRule="atLeast"/>
              <w:jc w:val="both"/>
              <w:rPr>
                <w:rFonts w:cs="Arial"/>
              </w:rPr>
            </w:pPr>
            <w:r w:rsidRPr="008556B8">
              <w:rPr>
                <w:rFonts w:cs="Arial"/>
              </w:rPr>
              <w:t>28</w:t>
            </w:r>
          </w:p>
        </w:tc>
        <w:tc>
          <w:tcPr>
            <w:tcW w:w="612" w:type="dxa"/>
            <w:tcBorders>
              <w:top w:val="single" w:sz="4" w:space="0" w:color="auto"/>
              <w:left w:val="single" w:sz="4" w:space="0" w:color="auto"/>
              <w:bottom w:val="single" w:sz="4" w:space="0" w:color="auto"/>
              <w:right w:val="single" w:sz="4" w:space="0" w:color="auto"/>
            </w:tcBorders>
          </w:tcPr>
          <w:p w14:paraId="76A81179" w14:textId="77777777" w:rsidR="00D3579D" w:rsidRPr="008556B8" w:rsidRDefault="00D3579D" w:rsidP="002D2D45">
            <w:pPr>
              <w:pStyle w:val="Zkladntext"/>
              <w:jc w:val="both"/>
              <w:rPr>
                <w:rFonts w:cs="Arial"/>
              </w:rPr>
            </w:pPr>
          </w:p>
        </w:tc>
        <w:tc>
          <w:tcPr>
            <w:tcW w:w="615" w:type="dxa"/>
            <w:tcBorders>
              <w:top w:val="single" w:sz="4" w:space="0" w:color="auto"/>
              <w:left w:val="single" w:sz="4" w:space="0" w:color="auto"/>
              <w:bottom w:val="single" w:sz="4" w:space="0" w:color="auto"/>
              <w:right w:val="single" w:sz="4" w:space="0" w:color="auto"/>
            </w:tcBorders>
          </w:tcPr>
          <w:p w14:paraId="28B33F47" w14:textId="77777777" w:rsidR="00D3579D" w:rsidRPr="008556B8" w:rsidRDefault="00D3579D" w:rsidP="002D2D45">
            <w:pPr>
              <w:pStyle w:val="Zkladntext"/>
              <w:jc w:val="both"/>
              <w:rPr>
                <w:rFonts w:cs="Arial"/>
              </w:rPr>
            </w:pPr>
          </w:p>
        </w:tc>
        <w:tc>
          <w:tcPr>
            <w:tcW w:w="675" w:type="dxa"/>
            <w:tcBorders>
              <w:top w:val="single" w:sz="4" w:space="0" w:color="auto"/>
              <w:left w:val="single" w:sz="4" w:space="0" w:color="auto"/>
              <w:bottom w:val="single" w:sz="4" w:space="0" w:color="auto"/>
              <w:right w:val="single" w:sz="4" w:space="0" w:color="auto"/>
            </w:tcBorders>
          </w:tcPr>
          <w:p w14:paraId="7F8F450E" w14:textId="77777777" w:rsidR="00D3579D" w:rsidRPr="008556B8" w:rsidRDefault="00D3579D" w:rsidP="002D2D45">
            <w:pPr>
              <w:pStyle w:val="Zkladntext"/>
              <w:jc w:val="both"/>
              <w:rPr>
                <w:rFonts w:cs="Arial"/>
              </w:rPr>
            </w:pPr>
          </w:p>
        </w:tc>
        <w:tc>
          <w:tcPr>
            <w:tcW w:w="795" w:type="dxa"/>
            <w:tcBorders>
              <w:top w:val="single" w:sz="4" w:space="0" w:color="auto"/>
              <w:left w:val="single" w:sz="4" w:space="0" w:color="auto"/>
              <w:bottom w:val="single" w:sz="4" w:space="0" w:color="auto"/>
              <w:right w:val="single" w:sz="4" w:space="0" w:color="auto"/>
            </w:tcBorders>
          </w:tcPr>
          <w:p w14:paraId="3659281E" w14:textId="77777777" w:rsidR="00D3579D" w:rsidRPr="008556B8" w:rsidRDefault="00D3579D" w:rsidP="002D2D45">
            <w:pPr>
              <w:pStyle w:val="Texttabulky"/>
              <w:spacing w:line="240" w:lineRule="atLeast"/>
              <w:jc w:val="both"/>
              <w:rPr>
                <w:rFonts w:cs="Arial"/>
              </w:rPr>
            </w:pPr>
            <w:r w:rsidRPr="008556B8">
              <w:rPr>
                <w:rFonts w:cs="Arial"/>
              </w:rPr>
              <w:t>20</w:t>
            </w:r>
          </w:p>
        </w:tc>
        <w:tc>
          <w:tcPr>
            <w:tcW w:w="847" w:type="dxa"/>
            <w:tcBorders>
              <w:top w:val="single" w:sz="4" w:space="0" w:color="auto"/>
              <w:left w:val="single" w:sz="4" w:space="0" w:color="auto"/>
              <w:bottom w:val="single" w:sz="4" w:space="0" w:color="auto"/>
              <w:right w:val="single" w:sz="4" w:space="0" w:color="auto"/>
            </w:tcBorders>
          </w:tcPr>
          <w:p w14:paraId="1564CE75" w14:textId="77777777" w:rsidR="00D3579D" w:rsidRPr="008556B8" w:rsidRDefault="00D3579D" w:rsidP="002D2D45">
            <w:pPr>
              <w:pStyle w:val="Texttabulky"/>
              <w:spacing w:line="240" w:lineRule="atLeast"/>
              <w:jc w:val="both"/>
              <w:rPr>
                <w:rFonts w:cs="Arial"/>
              </w:rPr>
            </w:pPr>
            <w:r w:rsidRPr="008556B8">
              <w:rPr>
                <w:rFonts w:cs="Arial"/>
              </w:rPr>
              <w:t>20</w:t>
            </w:r>
          </w:p>
        </w:tc>
        <w:tc>
          <w:tcPr>
            <w:tcW w:w="709" w:type="dxa"/>
            <w:tcBorders>
              <w:top w:val="single" w:sz="4" w:space="0" w:color="auto"/>
              <w:left w:val="single" w:sz="4" w:space="0" w:color="auto"/>
              <w:bottom w:val="single" w:sz="4" w:space="0" w:color="auto"/>
              <w:right w:val="single" w:sz="4" w:space="0" w:color="auto"/>
            </w:tcBorders>
          </w:tcPr>
          <w:p w14:paraId="575123E3" w14:textId="77777777" w:rsidR="00D3579D" w:rsidRPr="008556B8" w:rsidRDefault="00D3579D" w:rsidP="002D2D45">
            <w:pPr>
              <w:pStyle w:val="Texttabulky"/>
              <w:spacing w:line="240" w:lineRule="atLeast"/>
              <w:jc w:val="both"/>
              <w:rPr>
                <w:rFonts w:cs="Arial"/>
              </w:rPr>
            </w:pPr>
            <w:r w:rsidRPr="008556B8">
              <w:rPr>
                <w:rFonts w:cs="Arial"/>
              </w:rPr>
              <w:t>-8</w:t>
            </w:r>
          </w:p>
        </w:tc>
        <w:tc>
          <w:tcPr>
            <w:tcW w:w="708" w:type="dxa"/>
            <w:tcBorders>
              <w:top w:val="single" w:sz="4" w:space="0" w:color="auto"/>
              <w:left w:val="single" w:sz="4" w:space="0" w:color="auto"/>
              <w:bottom w:val="single" w:sz="4" w:space="0" w:color="auto"/>
              <w:right w:val="single" w:sz="4" w:space="0" w:color="auto"/>
            </w:tcBorders>
          </w:tcPr>
          <w:p w14:paraId="5EDA9CF2" w14:textId="77777777" w:rsidR="00D3579D" w:rsidRPr="008556B8" w:rsidRDefault="00D3579D" w:rsidP="002D2D45">
            <w:pPr>
              <w:pStyle w:val="Texttabulky"/>
              <w:spacing w:line="240" w:lineRule="atLeast"/>
              <w:jc w:val="both"/>
              <w:rPr>
                <w:rFonts w:cs="Arial"/>
              </w:rPr>
            </w:pPr>
            <w:r w:rsidRPr="008556B8">
              <w:rPr>
                <w:rFonts w:cs="Arial"/>
              </w:rPr>
              <w:t>-8</w:t>
            </w:r>
          </w:p>
        </w:tc>
      </w:tr>
      <w:tr w:rsidR="00D3579D" w:rsidRPr="008556B8" w14:paraId="3E19728E" w14:textId="77777777" w:rsidTr="002D2D45">
        <w:tc>
          <w:tcPr>
            <w:tcW w:w="474" w:type="dxa"/>
            <w:tcBorders>
              <w:top w:val="single" w:sz="4" w:space="0" w:color="auto"/>
              <w:left w:val="single" w:sz="4" w:space="0" w:color="auto"/>
              <w:bottom w:val="single" w:sz="4" w:space="0" w:color="auto"/>
              <w:right w:val="single" w:sz="4" w:space="0" w:color="auto"/>
            </w:tcBorders>
          </w:tcPr>
          <w:p w14:paraId="0AEE8DF8" w14:textId="77777777" w:rsidR="00D3579D" w:rsidRPr="008556B8" w:rsidRDefault="00D3579D" w:rsidP="002D2D45">
            <w:pPr>
              <w:pStyle w:val="Texttabulky"/>
              <w:spacing w:line="240" w:lineRule="atLeast"/>
              <w:jc w:val="both"/>
              <w:rPr>
                <w:rFonts w:cs="Arial"/>
              </w:rPr>
            </w:pPr>
            <w:r w:rsidRPr="008556B8">
              <w:rPr>
                <w:rFonts w:cs="Arial"/>
              </w:rPr>
              <w:t>66</w:t>
            </w:r>
          </w:p>
        </w:tc>
        <w:tc>
          <w:tcPr>
            <w:tcW w:w="504" w:type="dxa"/>
            <w:tcBorders>
              <w:top w:val="single" w:sz="4" w:space="0" w:color="auto"/>
              <w:left w:val="single" w:sz="4" w:space="0" w:color="auto"/>
              <w:bottom w:val="single" w:sz="4" w:space="0" w:color="auto"/>
              <w:right w:val="single" w:sz="4" w:space="0" w:color="auto"/>
            </w:tcBorders>
          </w:tcPr>
          <w:p w14:paraId="7CC90ACD" w14:textId="77777777" w:rsidR="00D3579D" w:rsidRPr="008556B8" w:rsidRDefault="00D3579D" w:rsidP="002D2D45">
            <w:pPr>
              <w:pStyle w:val="Texttabulky"/>
              <w:spacing w:line="240" w:lineRule="atLeast"/>
              <w:jc w:val="both"/>
              <w:rPr>
                <w:rFonts w:cs="Arial"/>
              </w:rPr>
            </w:pPr>
            <w:r w:rsidRPr="008556B8">
              <w:rPr>
                <w:rFonts w:cs="Arial"/>
              </w:rPr>
              <w:t>P</w:t>
            </w:r>
          </w:p>
        </w:tc>
        <w:tc>
          <w:tcPr>
            <w:tcW w:w="1909" w:type="dxa"/>
            <w:tcBorders>
              <w:top w:val="single" w:sz="4" w:space="0" w:color="auto"/>
              <w:left w:val="single" w:sz="4" w:space="0" w:color="auto"/>
              <w:bottom w:val="single" w:sz="4" w:space="0" w:color="auto"/>
              <w:right w:val="single" w:sz="4" w:space="0" w:color="auto"/>
            </w:tcBorders>
          </w:tcPr>
          <w:p w14:paraId="47B06504" w14:textId="77777777" w:rsidR="00D3579D" w:rsidRPr="008556B8" w:rsidRDefault="00D3579D" w:rsidP="002D2D45">
            <w:pPr>
              <w:pStyle w:val="Texttabulky"/>
              <w:spacing w:line="240" w:lineRule="atLeast"/>
              <w:jc w:val="both"/>
              <w:rPr>
                <w:rFonts w:cs="Arial"/>
              </w:rPr>
            </w:pPr>
            <w:r w:rsidRPr="008556B8">
              <w:rPr>
                <w:rFonts w:cs="Arial"/>
              </w:rPr>
              <w:t>Průmyslový obvod Křešice</w:t>
            </w:r>
          </w:p>
        </w:tc>
        <w:tc>
          <w:tcPr>
            <w:tcW w:w="661" w:type="dxa"/>
            <w:tcBorders>
              <w:top w:val="single" w:sz="4" w:space="0" w:color="auto"/>
              <w:left w:val="single" w:sz="4" w:space="0" w:color="auto"/>
              <w:bottom w:val="single" w:sz="4" w:space="0" w:color="auto"/>
              <w:right w:val="single" w:sz="4" w:space="0" w:color="auto"/>
            </w:tcBorders>
          </w:tcPr>
          <w:p w14:paraId="55201EBF" w14:textId="77777777" w:rsidR="00D3579D" w:rsidRPr="008556B8" w:rsidRDefault="00D3579D" w:rsidP="002D2D45">
            <w:pPr>
              <w:pStyle w:val="Texttabulky"/>
              <w:spacing w:line="240" w:lineRule="atLeast"/>
              <w:jc w:val="both"/>
              <w:rPr>
                <w:rFonts w:cs="Arial"/>
              </w:rPr>
            </w:pPr>
            <w:r w:rsidRPr="008556B8">
              <w:rPr>
                <w:rFonts w:cs="Arial"/>
              </w:rPr>
              <w:t>95</w:t>
            </w:r>
          </w:p>
        </w:tc>
        <w:tc>
          <w:tcPr>
            <w:tcW w:w="612" w:type="dxa"/>
            <w:tcBorders>
              <w:top w:val="single" w:sz="4" w:space="0" w:color="auto"/>
              <w:left w:val="single" w:sz="4" w:space="0" w:color="auto"/>
              <w:bottom w:val="single" w:sz="4" w:space="0" w:color="auto"/>
              <w:right w:val="single" w:sz="4" w:space="0" w:color="auto"/>
            </w:tcBorders>
          </w:tcPr>
          <w:p w14:paraId="4C486C7D" w14:textId="77777777" w:rsidR="00D3579D" w:rsidRPr="008556B8" w:rsidRDefault="00D3579D" w:rsidP="002D2D45">
            <w:pPr>
              <w:pStyle w:val="Zkladntext"/>
              <w:jc w:val="both"/>
              <w:rPr>
                <w:rFonts w:cs="Arial"/>
              </w:rPr>
            </w:pPr>
          </w:p>
        </w:tc>
        <w:tc>
          <w:tcPr>
            <w:tcW w:w="615" w:type="dxa"/>
            <w:tcBorders>
              <w:top w:val="single" w:sz="4" w:space="0" w:color="auto"/>
              <w:left w:val="single" w:sz="4" w:space="0" w:color="auto"/>
              <w:bottom w:val="single" w:sz="4" w:space="0" w:color="auto"/>
              <w:right w:val="single" w:sz="4" w:space="0" w:color="auto"/>
            </w:tcBorders>
          </w:tcPr>
          <w:p w14:paraId="1176CEDB" w14:textId="77777777" w:rsidR="00D3579D" w:rsidRPr="008556B8" w:rsidRDefault="00D3579D" w:rsidP="002D2D45">
            <w:pPr>
              <w:pStyle w:val="Zkladntext"/>
              <w:jc w:val="both"/>
              <w:rPr>
                <w:rFonts w:cs="Arial"/>
              </w:rPr>
            </w:pPr>
          </w:p>
        </w:tc>
        <w:tc>
          <w:tcPr>
            <w:tcW w:w="675" w:type="dxa"/>
            <w:tcBorders>
              <w:top w:val="single" w:sz="4" w:space="0" w:color="auto"/>
              <w:left w:val="single" w:sz="4" w:space="0" w:color="auto"/>
              <w:bottom w:val="single" w:sz="4" w:space="0" w:color="auto"/>
              <w:right w:val="single" w:sz="4" w:space="0" w:color="auto"/>
            </w:tcBorders>
          </w:tcPr>
          <w:p w14:paraId="15EA5A10" w14:textId="77777777" w:rsidR="00D3579D" w:rsidRPr="008556B8" w:rsidRDefault="00D3579D" w:rsidP="002D2D45">
            <w:pPr>
              <w:pStyle w:val="Zkladntext"/>
              <w:jc w:val="both"/>
              <w:rPr>
                <w:rFonts w:cs="Arial"/>
              </w:rPr>
            </w:pPr>
          </w:p>
        </w:tc>
        <w:tc>
          <w:tcPr>
            <w:tcW w:w="795" w:type="dxa"/>
            <w:tcBorders>
              <w:top w:val="single" w:sz="4" w:space="0" w:color="auto"/>
              <w:left w:val="single" w:sz="4" w:space="0" w:color="auto"/>
              <w:bottom w:val="single" w:sz="4" w:space="0" w:color="auto"/>
              <w:right w:val="single" w:sz="4" w:space="0" w:color="auto"/>
            </w:tcBorders>
          </w:tcPr>
          <w:p w14:paraId="5A8DDB9F" w14:textId="77777777" w:rsidR="00D3579D" w:rsidRPr="008556B8" w:rsidRDefault="00D3579D" w:rsidP="002D2D45">
            <w:pPr>
              <w:pStyle w:val="Texttabulky"/>
              <w:spacing w:line="240" w:lineRule="atLeast"/>
              <w:jc w:val="both"/>
              <w:rPr>
                <w:rFonts w:cs="Arial"/>
              </w:rPr>
            </w:pPr>
            <w:r w:rsidRPr="008556B8">
              <w:rPr>
                <w:rFonts w:cs="Arial"/>
              </w:rPr>
              <w:t>80</w:t>
            </w:r>
          </w:p>
        </w:tc>
        <w:tc>
          <w:tcPr>
            <w:tcW w:w="847" w:type="dxa"/>
            <w:tcBorders>
              <w:top w:val="single" w:sz="4" w:space="0" w:color="auto"/>
              <w:left w:val="single" w:sz="4" w:space="0" w:color="auto"/>
              <w:bottom w:val="single" w:sz="4" w:space="0" w:color="auto"/>
              <w:right w:val="single" w:sz="4" w:space="0" w:color="auto"/>
            </w:tcBorders>
          </w:tcPr>
          <w:p w14:paraId="0F2F4B5D" w14:textId="77777777" w:rsidR="00D3579D" w:rsidRPr="008556B8" w:rsidRDefault="00D3579D" w:rsidP="002D2D45">
            <w:pPr>
              <w:pStyle w:val="Texttabulky"/>
              <w:spacing w:line="240" w:lineRule="atLeast"/>
              <w:jc w:val="both"/>
              <w:rPr>
                <w:rFonts w:cs="Arial"/>
              </w:rPr>
            </w:pPr>
            <w:r w:rsidRPr="008556B8">
              <w:rPr>
                <w:rFonts w:cs="Arial"/>
              </w:rPr>
              <w:t>80</w:t>
            </w:r>
          </w:p>
        </w:tc>
        <w:tc>
          <w:tcPr>
            <w:tcW w:w="709" w:type="dxa"/>
            <w:tcBorders>
              <w:top w:val="single" w:sz="4" w:space="0" w:color="auto"/>
              <w:left w:val="single" w:sz="4" w:space="0" w:color="auto"/>
              <w:bottom w:val="single" w:sz="4" w:space="0" w:color="auto"/>
              <w:right w:val="single" w:sz="4" w:space="0" w:color="auto"/>
            </w:tcBorders>
          </w:tcPr>
          <w:p w14:paraId="246AF824" w14:textId="77777777" w:rsidR="00D3579D" w:rsidRPr="008556B8" w:rsidRDefault="00D3579D" w:rsidP="002D2D45">
            <w:pPr>
              <w:pStyle w:val="Texttabulky"/>
              <w:spacing w:line="240" w:lineRule="atLeast"/>
              <w:jc w:val="both"/>
              <w:rPr>
                <w:rFonts w:cs="Arial"/>
              </w:rPr>
            </w:pPr>
            <w:r w:rsidRPr="008556B8">
              <w:rPr>
                <w:rFonts w:cs="Arial"/>
              </w:rPr>
              <w:t>-15</w:t>
            </w:r>
          </w:p>
        </w:tc>
        <w:tc>
          <w:tcPr>
            <w:tcW w:w="708" w:type="dxa"/>
            <w:tcBorders>
              <w:top w:val="single" w:sz="4" w:space="0" w:color="auto"/>
              <w:left w:val="single" w:sz="4" w:space="0" w:color="auto"/>
              <w:bottom w:val="single" w:sz="4" w:space="0" w:color="auto"/>
              <w:right w:val="single" w:sz="4" w:space="0" w:color="auto"/>
            </w:tcBorders>
          </w:tcPr>
          <w:p w14:paraId="36BE5040" w14:textId="77777777" w:rsidR="00D3579D" w:rsidRPr="008556B8" w:rsidRDefault="00D3579D" w:rsidP="002D2D45">
            <w:pPr>
              <w:pStyle w:val="Texttabulky"/>
              <w:spacing w:line="240" w:lineRule="atLeast"/>
              <w:jc w:val="both"/>
              <w:rPr>
                <w:rFonts w:cs="Arial"/>
              </w:rPr>
            </w:pPr>
            <w:r w:rsidRPr="008556B8">
              <w:rPr>
                <w:rFonts w:cs="Arial"/>
              </w:rPr>
              <w:t>-15</w:t>
            </w:r>
          </w:p>
        </w:tc>
      </w:tr>
      <w:tr w:rsidR="00D3579D" w:rsidRPr="008556B8" w14:paraId="130A06E2" w14:textId="77777777" w:rsidTr="002D2D45">
        <w:tc>
          <w:tcPr>
            <w:tcW w:w="474" w:type="dxa"/>
            <w:tcBorders>
              <w:top w:val="single" w:sz="4" w:space="0" w:color="auto"/>
              <w:left w:val="single" w:sz="4" w:space="0" w:color="auto"/>
              <w:bottom w:val="single" w:sz="4" w:space="0" w:color="auto"/>
              <w:right w:val="single" w:sz="4" w:space="0" w:color="auto"/>
            </w:tcBorders>
          </w:tcPr>
          <w:p w14:paraId="714C7A1D" w14:textId="77777777" w:rsidR="00D3579D" w:rsidRPr="008556B8" w:rsidRDefault="00D3579D" w:rsidP="002D2D45">
            <w:pPr>
              <w:pStyle w:val="Texttabulky"/>
              <w:spacing w:line="240" w:lineRule="atLeast"/>
              <w:jc w:val="both"/>
              <w:rPr>
                <w:rFonts w:cs="Arial"/>
              </w:rPr>
            </w:pPr>
            <w:r w:rsidRPr="008556B8">
              <w:rPr>
                <w:rFonts w:cs="Arial"/>
              </w:rPr>
              <w:t>67</w:t>
            </w:r>
          </w:p>
        </w:tc>
        <w:tc>
          <w:tcPr>
            <w:tcW w:w="504" w:type="dxa"/>
            <w:tcBorders>
              <w:top w:val="single" w:sz="4" w:space="0" w:color="auto"/>
              <w:left w:val="single" w:sz="4" w:space="0" w:color="auto"/>
              <w:bottom w:val="single" w:sz="4" w:space="0" w:color="auto"/>
              <w:right w:val="single" w:sz="4" w:space="0" w:color="auto"/>
            </w:tcBorders>
          </w:tcPr>
          <w:p w14:paraId="1DF5A425" w14:textId="77777777" w:rsidR="00D3579D" w:rsidRPr="008556B8" w:rsidRDefault="00D3579D" w:rsidP="002D2D45">
            <w:pPr>
              <w:pStyle w:val="Texttabulky"/>
              <w:spacing w:line="240" w:lineRule="atLeast"/>
              <w:jc w:val="both"/>
              <w:rPr>
                <w:rFonts w:cs="Arial"/>
              </w:rPr>
            </w:pPr>
            <w:r w:rsidRPr="008556B8">
              <w:rPr>
                <w:rFonts w:cs="Arial"/>
              </w:rPr>
              <w:t>Z</w:t>
            </w:r>
          </w:p>
        </w:tc>
        <w:tc>
          <w:tcPr>
            <w:tcW w:w="1909" w:type="dxa"/>
            <w:tcBorders>
              <w:top w:val="single" w:sz="4" w:space="0" w:color="auto"/>
              <w:left w:val="single" w:sz="4" w:space="0" w:color="auto"/>
              <w:bottom w:val="single" w:sz="4" w:space="0" w:color="auto"/>
              <w:right w:val="single" w:sz="4" w:space="0" w:color="auto"/>
            </w:tcBorders>
          </w:tcPr>
          <w:p w14:paraId="73A6F1C9" w14:textId="77777777" w:rsidR="00D3579D" w:rsidRPr="008556B8" w:rsidRDefault="00D3579D" w:rsidP="002D2D45">
            <w:pPr>
              <w:pStyle w:val="Texttabulky"/>
              <w:spacing w:line="240" w:lineRule="atLeast"/>
              <w:jc w:val="both"/>
              <w:rPr>
                <w:rFonts w:cs="Arial"/>
              </w:rPr>
            </w:pPr>
            <w:r w:rsidRPr="008556B8">
              <w:rPr>
                <w:rFonts w:cs="Arial"/>
              </w:rPr>
              <w:t>Labská niva</w:t>
            </w:r>
          </w:p>
        </w:tc>
        <w:tc>
          <w:tcPr>
            <w:tcW w:w="661" w:type="dxa"/>
            <w:tcBorders>
              <w:top w:val="single" w:sz="4" w:space="0" w:color="auto"/>
              <w:left w:val="single" w:sz="4" w:space="0" w:color="auto"/>
              <w:bottom w:val="single" w:sz="4" w:space="0" w:color="auto"/>
              <w:right w:val="single" w:sz="4" w:space="0" w:color="auto"/>
            </w:tcBorders>
          </w:tcPr>
          <w:p w14:paraId="66969DC2" w14:textId="77777777" w:rsidR="00D3579D" w:rsidRPr="008556B8" w:rsidRDefault="00D3579D" w:rsidP="002D2D45">
            <w:pPr>
              <w:pStyle w:val="Texttabulky"/>
              <w:spacing w:line="240" w:lineRule="atLeast"/>
              <w:jc w:val="both"/>
              <w:rPr>
                <w:rFonts w:cs="Arial"/>
              </w:rPr>
            </w:pPr>
            <w:r w:rsidRPr="008556B8">
              <w:rPr>
                <w:rFonts w:cs="Arial"/>
              </w:rPr>
              <w:t>0</w:t>
            </w:r>
          </w:p>
        </w:tc>
        <w:tc>
          <w:tcPr>
            <w:tcW w:w="612" w:type="dxa"/>
            <w:tcBorders>
              <w:top w:val="single" w:sz="4" w:space="0" w:color="auto"/>
              <w:left w:val="single" w:sz="4" w:space="0" w:color="auto"/>
              <w:bottom w:val="single" w:sz="4" w:space="0" w:color="auto"/>
              <w:right w:val="single" w:sz="4" w:space="0" w:color="auto"/>
            </w:tcBorders>
          </w:tcPr>
          <w:p w14:paraId="3B2F117D" w14:textId="77777777" w:rsidR="00D3579D" w:rsidRPr="008556B8" w:rsidRDefault="00D3579D" w:rsidP="002D2D45">
            <w:pPr>
              <w:pStyle w:val="Zkladntext"/>
              <w:jc w:val="both"/>
              <w:rPr>
                <w:rFonts w:cs="Arial"/>
              </w:rPr>
            </w:pPr>
          </w:p>
        </w:tc>
        <w:tc>
          <w:tcPr>
            <w:tcW w:w="615" w:type="dxa"/>
            <w:tcBorders>
              <w:top w:val="single" w:sz="4" w:space="0" w:color="auto"/>
              <w:left w:val="single" w:sz="4" w:space="0" w:color="auto"/>
              <w:bottom w:val="single" w:sz="4" w:space="0" w:color="auto"/>
              <w:right w:val="single" w:sz="4" w:space="0" w:color="auto"/>
            </w:tcBorders>
          </w:tcPr>
          <w:p w14:paraId="17BEC579" w14:textId="77777777" w:rsidR="00D3579D" w:rsidRPr="008556B8" w:rsidRDefault="00D3579D" w:rsidP="002D2D45">
            <w:pPr>
              <w:pStyle w:val="Zkladntext"/>
              <w:jc w:val="both"/>
              <w:rPr>
                <w:rFonts w:cs="Arial"/>
              </w:rPr>
            </w:pPr>
          </w:p>
        </w:tc>
        <w:tc>
          <w:tcPr>
            <w:tcW w:w="675" w:type="dxa"/>
            <w:tcBorders>
              <w:top w:val="single" w:sz="4" w:space="0" w:color="auto"/>
              <w:left w:val="single" w:sz="4" w:space="0" w:color="auto"/>
              <w:bottom w:val="single" w:sz="4" w:space="0" w:color="auto"/>
              <w:right w:val="single" w:sz="4" w:space="0" w:color="auto"/>
            </w:tcBorders>
          </w:tcPr>
          <w:p w14:paraId="0CAA7D5D" w14:textId="77777777" w:rsidR="00D3579D" w:rsidRPr="008556B8" w:rsidRDefault="00D3579D" w:rsidP="002D2D45">
            <w:pPr>
              <w:pStyle w:val="Zkladntext"/>
              <w:jc w:val="both"/>
              <w:rPr>
                <w:rFonts w:cs="Arial"/>
              </w:rPr>
            </w:pPr>
          </w:p>
        </w:tc>
        <w:tc>
          <w:tcPr>
            <w:tcW w:w="795" w:type="dxa"/>
            <w:tcBorders>
              <w:top w:val="single" w:sz="4" w:space="0" w:color="auto"/>
              <w:left w:val="single" w:sz="4" w:space="0" w:color="auto"/>
              <w:bottom w:val="single" w:sz="4" w:space="0" w:color="auto"/>
              <w:right w:val="single" w:sz="4" w:space="0" w:color="auto"/>
            </w:tcBorders>
          </w:tcPr>
          <w:p w14:paraId="03981A6D" w14:textId="77777777" w:rsidR="00D3579D" w:rsidRPr="008556B8" w:rsidRDefault="00D3579D" w:rsidP="002D2D45">
            <w:pPr>
              <w:pStyle w:val="Texttabulky"/>
              <w:spacing w:line="240" w:lineRule="atLeast"/>
              <w:jc w:val="both"/>
              <w:rPr>
                <w:rFonts w:cs="Arial"/>
              </w:rPr>
            </w:pPr>
            <w:r w:rsidRPr="008556B8">
              <w:rPr>
                <w:rFonts w:cs="Arial"/>
              </w:rPr>
              <w:t>0</w:t>
            </w:r>
          </w:p>
        </w:tc>
        <w:tc>
          <w:tcPr>
            <w:tcW w:w="847" w:type="dxa"/>
            <w:tcBorders>
              <w:top w:val="single" w:sz="4" w:space="0" w:color="auto"/>
              <w:left w:val="single" w:sz="4" w:space="0" w:color="auto"/>
              <w:bottom w:val="single" w:sz="4" w:space="0" w:color="auto"/>
              <w:right w:val="single" w:sz="4" w:space="0" w:color="auto"/>
            </w:tcBorders>
          </w:tcPr>
          <w:p w14:paraId="7D3A7F91" w14:textId="77777777" w:rsidR="00D3579D" w:rsidRPr="008556B8" w:rsidRDefault="00D3579D" w:rsidP="002D2D45">
            <w:pPr>
              <w:pStyle w:val="Texttabulky"/>
              <w:spacing w:line="240" w:lineRule="atLeast"/>
              <w:jc w:val="both"/>
              <w:rPr>
                <w:rFonts w:cs="Arial"/>
              </w:rPr>
            </w:pPr>
            <w:r w:rsidRPr="008556B8">
              <w:rPr>
                <w:rFonts w:cs="Arial"/>
              </w:rPr>
              <w:t>0</w:t>
            </w:r>
          </w:p>
        </w:tc>
        <w:tc>
          <w:tcPr>
            <w:tcW w:w="709" w:type="dxa"/>
            <w:tcBorders>
              <w:top w:val="single" w:sz="4" w:space="0" w:color="auto"/>
              <w:left w:val="single" w:sz="4" w:space="0" w:color="auto"/>
              <w:bottom w:val="single" w:sz="4" w:space="0" w:color="auto"/>
              <w:right w:val="single" w:sz="4" w:space="0" w:color="auto"/>
            </w:tcBorders>
          </w:tcPr>
          <w:p w14:paraId="483CD1D1" w14:textId="77777777" w:rsidR="00D3579D" w:rsidRPr="008556B8" w:rsidRDefault="00D3579D" w:rsidP="002D2D45">
            <w:pPr>
              <w:pStyle w:val="Texttabulky"/>
              <w:spacing w:line="240" w:lineRule="atLeast"/>
              <w:jc w:val="both"/>
              <w:rPr>
                <w:rFonts w:cs="Arial"/>
              </w:rPr>
            </w:pPr>
            <w:r w:rsidRPr="008556B8">
              <w:rPr>
                <w:rFonts w:cs="Arial"/>
              </w:rPr>
              <w:t>0</w:t>
            </w:r>
          </w:p>
        </w:tc>
        <w:tc>
          <w:tcPr>
            <w:tcW w:w="708" w:type="dxa"/>
            <w:tcBorders>
              <w:top w:val="single" w:sz="4" w:space="0" w:color="auto"/>
              <w:left w:val="single" w:sz="4" w:space="0" w:color="auto"/>
              <w:bottom w:val="single" w:sz="4" w:space="0" w:color="auto"/>
              <w:right w:val="single" w:sz="4" w:space="0" w:color="auto"/>
            </w:tcBorders>
          </w:tcPr>
          <w:p w14:paraId="604A0761" w14:textId="77777777" w:rsidR="00D3579D" w:rsidRPr="008556B8" w:rsidRDefault="00D3579D" w:rsidP="002D2D45">
            <w:pPr>
              <w:pStyle w:val="Texttabulky"/>
              <w:spacing w:line="240" w:lineRule="atLeast"/>
              <w:jc w:val="both"/>
              <w:rPr>
                <w:rFonts w:cs="Arial"/>
              </w:rPr>
            </w:pPr>
            <w:r w:rsidRPr="008556B8">
              <w:rPr>
                <w:rFonts w:cs="Arial"/>
              </w:rPr>
              <w:t>0</w:t>
            </w:r>
          </w:p>
        </w:tc>
      </w:tr>
      <w:tr w:rsidR="00D3579D" w:rsidRPr="008556B8" w14:paraId="3CA2B715" w14:textId="77777777" w:rsidTr="002D2D45">
        <w:tc>
          <w:tcPr>
            <w:tcW w:w="474" w:type="dxa"/>
            <w:tcBorders>
              <w:top w:val="single" w:sz="4" w:space="0" w:color="auto"/>
              <w:left w:val="single" w:sz="4" w:space="0" w:color="auto"/>
              <w:bottom w:val="single" w:sz="4" w:space="0" w:color="auto"/>
              <w:right w:val="single" w:sz="4" w:space="0" w:color="auto"/>
            </w:tcBorders>
          </w:tcPr>
          <w:p w14:paraId="02B6BC22" w14:textId="77777777" w:rsidR="00D3579D" w:rsidRPr="008556B8" w:rsidRDefault="00D3579D" w:rsidP="002D2D45">
            <w:pPr>
              <w:pStyle w:val="Texttabulky"/>
              <w:spacing w:line="240" w:lineRule="atLeast"/>
              <w:jc w:val="both"/>
              <w:rPr>
                <w:rFonts w:cs="Arial"/>
              </w:rPr>
            </w:pPr>
            <w:r w:rsidRPr="008556B8">
              <w:rPr>
                <w:rFonts w:cs="Arial"/>
              </w:rPr>
              <w:t>68</w:t>
            </w:r>
          </w:p>
        </w:tc>
        <w:tc>
          <w:tcPr>
            <w:tcW w:w="504" w:type="dxa"/>
            <w:tcBorders>
              <w:top w:val="single" w:sz="4" w:space="0" w:color="auto"/>
              <w:left w:val="single" w:sz="4" w:space="0" w:color="auto"/>
              <w:bottom w:val="single" w:sz="4" w:space="0" w:color="auto"/>
              <w:right w:val="single" w:sz="4" w:space="0" w:color="auto"/>
            </w:tcBorders>
          </w:tcPr>
          <w:p w14:paraId="375C2863" w14:textId="77777777" w:rsidR="00D3579D" w:rsidRPr="008556B8" w:rsidRDefault="00D3579D" w:rsidP="002D2D45">
            <w:pPr>
              <w:pStyle w:val="Texttabulky"/>
              <w:spacing w:line="240" w:lineRule="atLeast"/>
              <w:jc w:val="both"/>
              <w:rPr>
                <w:rFonts w:cs="Arial"/>
              </w:rPr>
            </w:pPr>
            <w:r w:rsidRPr="008556B8">
              <w:rPr>
                <w:rFonts w:cs="Arial"/>
              </w:rPr>
              <w:t>P</w:t>
            </w:r>
          </w:p>
        </w:tc>
        <w:tc>
          <w:tcPr>
            <w:tcW w:w="1909" w:type="dxa"/>
            <w:tcBorders>
              <w:top w:val="single" w:sz="4" w:space="0" w:color="auto"/>
              <w:left w:val="single" w:sz="4" w:space="0" w:color="auto"/>
              <w:bottom w:val="single" w:sz="4" w:space="0" w:color="auto"/>
              <w:right w:val="single" w:sz="4" w:space="0" w:color="auto"/>
            </w:tcBorders>
          </w:tcPr>
          <w:p w14:paraId="6586351B" w14:textId="77777777" w:rsidR="00D3579D" w:rsidRPr="008556B8" w:rsidRDefault="00D3579D" w:rsidP="002D2D45">
            <w:pPr>
              <w:pStyle w:val="Texttabulky"/>
              <w:spacing w:line="240" w:lineRule="atLeast"/>
              <w:jc w:val="both"/>
              <w:rPr>
                <w:rFonts w:cs="Arial"/>
              </w:rPr>
            </w:pPr>
            <w:r w:rsidRPr="008556B8">
              <w:rPr>
                <w:rFonts w:cs="Arial"/>
              </w:rPr>
              <w:t>Průmyslový obvod Boletice</w:t>
            </w:r>
          </w:p>
        </w:tc>
        <w:tc>
          <w:tcPr>
            <w:tcW w:w="661" w:type="dxa"/>
            <w:tcBorders>
              <w:top w:val="single" w:sz="4" w:space="0" w:color="auto"/>
              <w:left w:val="single" w:sz="4" w:space="0" w:color="auto"/>
              <w:bottom w:val="single" w:sz="4" w:space="0" w:color="auto"/>
              <w:right w:val="single" w:sz="4" w:space="0" w:color="auto"/>
            </w:tcBorders>
          </w:tcPr>
          <w:p w14:paraId="68B0472A" w14:textId="77777777" w:rsidR="00D3579D" w:rsidRPr="008556B8" w:rsidRDefault="00D3579D" w:rsidP="002D2D45">
            <w:pPr>
              <w:pStyle w:val="Texttabulky"/>
              <w:spacing w:line="240" w:lineRule="atLeast"/>
              <w:jc w:val="both"/>
              <w:rPr>
                <w:rFonts w:cs="Arial"/>
              </w:rPr>
            </w:pPr>
            <w:r w:rsidRPr="008556B8">
              <w:rPr>
                <w:rFonts w:cs="Arial"/>
              </w:rPr>
              <w:t>0</w:t>
            </w:r>
          </w:p>
        </w:tc>
        <w:tc>
          <w:tcPr>
            <w:tcW w:w="612" w:type="dxa"/>
            <w:tcBorders>
              <w:top w:val="single" w:sz="4" w:space="0" w:color="auto"/>
              <w:left w:val="single" w:sz="4" w:space="0" w:color="auto"/>
              <w:bottom w:val="single" w:sz="4" w:space="0" w:color="auto"/>
              <w:right w:val="single" w:sz="4" w:space="0" w:color="auto"/>
            </w:tcBorders>
          </w:tcPr>
          <w:p w14:paraId="4DA707D9" w14:textId="77777777" w:rsidR="00D3579D" w:rsidRPr="008556B8" w:rsidRDefault="00D3579D" w:rsidP="002D2D45">
            <w:pPr>
              <w:pStyle w:val="Zkladntext"/>
              <w:jc w:val="both"/>
              <w:rPr>
                <w:rFonts w:cs="Arial"/>
              </w:rPr>
            </w:pPr>
          </w:p>
        </w:tc>
        <w:tc>
          <w:tcPr>
            <w:tcW w:w="615" w:type="dxa"/>
            <w:tcBorders>
              <w:top w:val="single" w:sz="4" w:space="0" w:color="auto"/>
              <w:left w:val="single" w:sz="4" w:space="0" w:color="auto"/>
              <w:bottom w:val="single" w:sz="4" w:space="0" w:color="auto"/>
              <w:right w:val="single" w:sz="4" w:space="0" w:color="auto"/>
            </w:tcBorders>
          </w:tcPr>
          <w:p w14:paraId="1BE4F7C3" w14:textId="77777777" w:rsidR="00D3579D" w:rsidRPr="008556B8" w:rsidRDefault="00D3579D" w:rsidP="002D2D45">
            <w:pPr>
              <w:pStyle w:val="Zkladntext"/>
              <w:jc w:val="both"/>
              <w:rPr>
                <w:rFonts w:cs="Arial"/>
              </w:rPr>
            </w:pPr>
          </w:p>
        </w:tc>
        <w:tc>
          <w:tcPr>
            <w:tcW w:w="675" w:type="dxa"/>
            <w:tcBorders>
              <w:top w:val="single" w:sz="4" w:space="0" w:color="auto"/>
              <w:left w:val="single" w:sz="4" w:space="0" w:color="auto"/>
              <w:bottom w:val="single" w:sz="4" w:space="0" w:color="auto"/>
              <w:right w:val="single" w:sz="4" w:space="0" w:color="auto"/>
            </w:tcBorders>
          </w:tcPr>
          <w:p w14:paraId="3A01A4D8" w14:textId="77777777" w:rsidR="00D3579D" w:rsidRPr="008556B8" w:rsidRDefault="00D3579D" w:rsidP="002D2D45">
            <w:pPr>
              <w:pStyle w:val="Zkladntext"/>
              <w:jc w:val="both"/>
              <w:rPr>
                <w:rFonts w:cs="Arial"/>
              </w:rPr>
            </w:pPr>
          </w:p>
        </w:tc>
        <w:tc>
          <w:tcPr>
            <w:tcW w:w="795" w:type="dxa"/>
            <w:tcBorders>
              <w:top w:val="single" w:sz="4" w:space="0" w:color="auto"/>
              <w:left w:val="single" w:sz="4" w:space="0" w:color="auto"/>
              <w:bottom w:val="single" w:sz="4" w:space="0" w:color="auto"/>
              <w:right w:val="single" w:sz="4" w:space="0" w:color="auto"/>
            </w:tcBorders>
          </w:tcPr>
          <w:p w14:paraId="6C1DC45D" w14:textId="77777777" w:rsidR="00D3579D" w:rsidRPr="008556B8" w:rsidRDefault="00D3579D" w:rsidP="002D2D45">
            <w:pPr>
              <w:pStyle w:val="Texttabulky"/>
              <w:spacing w:line="240" w:lineRule="atLeast"/>
              <w:jc w:val="both"/>
              <w:rPr>
                <w:rFonts w:cs="Arial"/>
              </w:rPr>
            </w:pPr>
            <w:r w:rsidRPr="008556B8">
              <w:rPr>
                <w:rFonts w:cs="Arial"/>
              </w:rPr>
              <w:t>0</w:t>
            </w:r>
          </w:p>
        </w:tc>
        <w:tc>
          <w:tcPr>
            <w:tcW w:w="847" w:type="dxa"/>
            <w:tcBorders>
              <w:top w:val="single" w:sz="4" w:space="0" w:color="auto"/>
              <w:left w:val="single" w:sz="4" w:space="0" w:color="auto"/>
              <w:bottom w:val="single" w:sz="4" w:space="0" w:color="auto"/>
              <w:right w:val="single" w:sz="4" w:space="0" w:color="auto"/>
            </w:tcBorders>
          </w:tcPr>
          <w:p w14:paraId="4D031214" w14:textId="77777777" w:rsidR="00D3579D" w:rsidRPr="008556B8" w:rsidRDefault="00D3579D" w:rsidP="002D2D45">
            <w:pPr>
              <w:pStyle w:val="Texttabulky"/>
              <w:spacing w:line="240" w:lineRule="atLeast"/>
              <w:jc w:val="both"/>
              <w:rPr>
                <w:rFonts w:cs="Arial"/>
              </w:rPr>
            </w:pPr>
            <w:r w:rsidRPr="008556B8">
              <w:rPr>
                <w:rFonts w:cs="Arial"/>
              </w:rPr>
              <w:t>0</w:t>
            </w:r>
          </w:p>
        </w:tc>
        <w:tc>
          <w:tcPr>
            <w:tcW w:w="709" w:type="dxa"/>
            <w:tcBorders>
              <w:top w:val="single" w:sz="4" w:space="0" w:color="auto"/>
              <w:left w:val="single" w:sz="4" w:space="0" w:color="auto"/>
              <w:bottom w:val="single" w:sz="4" w:space="0" w:color="auto"/>
              <w:right w:val="single" w:sz="4" w:space="0" w:color="auto"/>
            </w:tcBorders>
          </w:tcPr>
          <w:p w14:paraId="09D9717F" w14:textId="77777777" w:rsidR="00D3579D" w:rsidRPr="008556B8" w:rsidRDefault="00D3579D" w:rsidP="002D2D45">
            <w:pPr>
              <w:pStyle w:val="Texttabulky"/>
              <w:spacing w:line="240" w:lineRule="atLeast"/>
              <w:jc w:val="both"/>
              <w:rPr>
                <w:rFonts w:cs="Arial"/>
              </w:rPr>
            </w:pPr>
            <w:r w:rsidRPr="008556B8">
              <w:rPr>
                <w:rFonts w:cs="Arial"/>
              </w:rPr>
              <w:t>0</w:t>
            </w:r>
          </w:p>
        </w:tc>
        <w:tc>
          <w:tcPr>
            <w:tcW w:w="708" w:type="dxa"/>
            <w:tcBorders>
              <w:top w:val="single" w:sz="4" w:space="0" w:color="auto"/>
              <w:left w:val="single" w:sz="4" w:space="0" w:color="auto"/>
              <w:bottom w:val="single" w:sz="4" w:space="0" w:color="auto"/>
              <w:right w:val="single" w:sz="4" w:space="0" w:color="auto"/>
            </w:tcBorders>
          </w:tcPr>
          <w:p w14:paraId="75E3BBA6" w14:textId="77777777" w:rsidR="00D3579D" w:rsidRPr="008556B8" w:rsidRDefault="00D3579D" w:rsidP="002D2D45">
            <w:pPr>
              <w:pStyle w:val="Texttabulky"/>
              <w:spacing w:line="240" w:lineRule="atLeast"/>
              <w:jc w:val="both"/>
              <w:rPr>
                <w:rFonts w:cs="Arial"/>
              </w:rPr>
            </w:pPr>
            <w:r w:rsidRPr="008556B8">
              <w:rPr>
                <w:rFonts w:cs="Arial"/>
              </w:rPr>
              <w:t>0</w:t>
            </w:r>
          </w:p>
        </w:tc>
      </w:tr>
      <w:tr w:rsidR="00D3579D" w:rsidRPr="008556B8" w14:paraId="7F2C2F87" w14:textId="77777777" w:rsidTr="002D2D45">
        <w:tc>
          <w:tcPr>
            <w:tcW w:w="474" w:type="dxa"/>
            <w:tcBorders>
              <w:top w:val="single" w:sz="4" w:space="0" w:color="auto"/>
              <w:left w:val="single" w:sz="6" w:space="0" w:color="auto"/>
              <w:bottom w:val="single" w:sz="6" w:space="0" w:color="auto"/>
              <w:right w:val="nil"/>
            </w:tcBorders>
          </w:tcPr>
          <w:p w14:paraId="49566A22" w14:textId="77777777" w:rsidR="00D3579D" w:rsidRPr="008556B8" w:rsidRDefault="00D3579D" w:rsidP="002D2D45">
            <w:pPr>
              <w:pStyle w:val="Zkladntext"/>
              <w:jc w:val="both"/>
              <w:rPr>
                <w:rFonts w:cs="Arial"/>
              </w:rPr>
            </w:pPr>
          </w:p>
        </w:tc>
        <w:tc>
          <w:tcPr>
            <w:tcW w:w="504" w:type="dxa"/>
            <w:tcBorders>
              <w:top w:val="single" w:sz="4" w:space="0" w:color="auto"/>
              <w:left w:val="nil"/>
              <w:bottom w:val="single" w:sz="6" w:space="0" w:color="auto"/>
              <w:right w:val="nil"/>
            </w:tcBorders>
          </w:tcPr>
          <w:p w14:paraId="13327B76" w14:textId="77777777" w:rsidR="00D3579D" w:rsidRPr="008556B8" w:rsidRDefault="00D3579D" w:rsidP="002D2D45">
            <w:pPr>
              <w:pStyle w:val="Zkladntext"/>
              <w:jc w:val="both"/>
              <w:rPr>
                <w:rFonts w:cs="Arial"/>
              </w:rPr>
            </w:pPr>
          </w:p>
        </w:tc>
        <w:tc>
          <w:tcPr>
            <w:tcW w:w="1909" w:type="dxa"/>
            <w:tcBorders>
              <w:top w:val="single" w:sz="4" w:space="0" w:color="auto"/>
              <w:left w:val="single" w:sz="6" w:space="0" w:color="auto"/>
              <w:bottom w:val="single" w:sz="6" w:space="0" w:color="auto"/>
              <w:right w:val="single" w:sz="6" w:space="0" w:color="auto"/>
            </w:tcBorders>
          </w:tcPr>
          <w:p w14:paraId="12B720EE" w14:textId="77777777" w:rsidR="00D3579D" w:rsidRPr="008556B8" w:rsidRDefault="00D3579D" w:rsidP="002D2D45">
            <w:pPr>
              <w:pStyle w:val="Texttabulky"/>
              <w:spacing w:line="240" w:lineRule="atLeast"/>
              <w:jc w:val="both"/>
              <w:rPr>
                <w:rFonts w:cs="Arial"/>
              </w:rPr>
            </w:pPr>
            <w:r w:rsidRPr="008556B8">
              <w:rPr>
                <w:rFonts w:cs="Arial"/>
                <w:b/>
                <w:bCs/>
              </w:rPr>
              <w:t>sektor VII</w:t>
            </w:r>
          </w:p>
        </w:tc>
        <w:tc>
          <w:tcPr>
            <w:tcW w:w="661" w:type="dxa"/>
            <w:tcBorders>
              <w:top w:val="single" w:sz="4" w:space="0" w:color="auto"/>
              <w:left w:val="nil"/>
              <w:bottom w:val="single" w:sz="6" w:space="0" w:color="auto"/>
              <w:right w:val="nil"/>
            </w:tcBorders>
          </w:tcPr>
          <w:p w14:paraId="167713BE" w14:textId="77777777" w:rsidR="00D3579D" w:rsidRPr="008556B8" w:rsidRDefault="00D3579D" w:rsidP="002D2D45">
            <w:pPr>
              <w:pStyle w:val="Texttabulky"/>
              <w:spacing w:line="240" w:lineRule="atLeast"/>
              <w:jc w:val="both"/>
              <w:rPr>
                <w:rFonts w:cs="Arial"/>
              </w:rPr>
            </w:pPr>
            <w:r w:rsidRPr="008556B8">
              <w:rPr>
                <w:rFonts w:cs="Arial"/>
                <w:b/>
                <w:bCs/>
              </w:rPr>
              <w:t>6 450</w:t>
            </w:r>
          </w:p>
        </w:tc>
        <w:tc>
          <w:tcPr>
            <w:tcW w:w="612" w:type="dxa"/>
            <w:tcBorders>
              <w:top w:val="single" w:sz="4" w:space="0" w:color="auto"/>
              <w:left w:val="single" w:sz="6" w:space="0" w:color="auto"/>
              <w:bottom w:val="single" w:sz="6" w:space="0" w:color="auto"/>
              <w:right w:val="nil"/>
            </w:tcBorders>
          </w:tcPr>
          <w:p w14:paraId="713D2C39" w14:textId="77777777" w:rsidR="00D3579D" w:rsidRPr="008556B8" w:rsidRDefault="00D3579D" w:rsidP="002D2D45">
            <w:pPr>
              <w:pStyle w:val="Texttabulky"/>
              <w:spacing w:line="240" w:lineRule="atLeast"/>
              <w:jc w:val="both"/>
              <w:rPr>
                <w:rFonts w:cs="Arial"/>
              </w:rPr>
            </w:pPr>
            <w:r w:rsidRPr="008556B8">
              <w:rPr>
                <w:rFonts w:cs="Arial"/>
                <w:b/>
                <w:bCs/>
              </w:rPr>
              <w:t>330</w:t>
            </w:r>
          </w:p>
        </w:tc>
        <w:tc>
          <w:tcPr>
            <w:tcW w:w="615" w:type="dxa"/>
            <w:tcBorders>
              <w:top w:val="single" w:sz="4" w:space="0" w:color="auto"/>
              <w:left w:val="nil"/>
              <w:bottom w:val="single" w:sz="6" w:space="0" w:color="auto"/>
              <w:right w:val="nil"/>
            </w:tcBorders>
          </w:tcPr>
          <w:p w14:paraId="52D67C7E" w14:textId="77777777" w:rsidR="00D3579D" w:rsidRPr="008556B8" w:rsidRDefault="00D3579D" w:rsidP="002D2D45">
            <w:pPr>
              <w:pStyle w:val="Texttabulky"/>
              <w:spacing w:line="240" w:lineRule="atLeast"/>
              <w:jc w:val="both"/>
              <w:rPr>
                <w:rFonts w:cs="Arial"/>
              </w:rPr>
            </w:pPr>
            <w:r w:rsidRPr="008556B8">
              <w:rPr>
                <w:rFonts w:cs="Arial"/>
                <w:b/>
                <w:bCs/>
              </w:rPr>
              <w:t>70</w:t>
            </w:r>
          </w:p>
        </w:tc>
        <w:tc>
          <w:tcPr>
            <w:tcW w:w="675" w:type="dxa"/>
            <w:tcBorders>
              <w:top w:val="single" w:sz="4" w:space="0" w:color="auto"/>
              <w:left w:val="nil"/>
              <w:bottom w:val="single" w:sz="6" w:space="0" w:color="auto"/>
              <w:right w:val="single" w:sz="6" w:space="0" w:color="auto"/>
            </w:tcBorders>
          </w:tcPr>
          <w:p w14:paraId="0972DC4C" w14:textId="77777777" w:rsidR="00D3579D" w:rsidRPr="008556B8" w:rsidRDefault="00D3579D" w:rsidP="002D2D45">
            <w:pPr>
              <w:pStyle w:val="Texttabulky"/>
              <w:spacing w:line="240" w:lineRule="atLeast"/>
              <w:jc w:val="both"/>
              <w:rPr>
                <w:rFonts w:cs="Arial"/>
              </w:rPr>
            </w:pPr>
            <w:r w:rsidRPr="008556B8">
              <w:rPr>
                <w:rFonts w:cs="Arial"/>
                <w:b/>
                <w:bCs/>
              </w:rPr>
              <w:t>660</w:t>
            </w:r>
          </w:p>
        </w:tc>
        <w:tc>
          <w:tcPr>
            <w:tcW w:w="795" w:type="dxa"/>
            <w:tcBorders>
              <w:top w:val="single" w:sz="4" w:space="0" w:color="auto"/>
              <w:left w:val="nil"/>
              <w:bottom w:val="single" w:sz="6" w:space="0" w:color="auto"/>
              <w:right w:val="single" w:sz="4" w:space="0" w:color="auto"/>
            </w:tcBorders>
          </w:tcPr>
          <w:p w14:paraId="167A0004" w14:textId="77777777" w:rsidR="00D3579D" w:rsidRPr="008556B8" w:rsidRDefault="00D3579D" w:rsidP="002D2D45">
            <w:pPr>
              <w:pStyle w:val="Texttabulky"/>
              <w:spacing w:line="240" w:lineRule="atLeast"/>
              <w:jc w:val="both"/>
              <w:rPr>
                <w:rFonts w:cs="Arial"/>
              </w:rPr>
            </w:pPr>
            <w:r w:rsidRPr="008556B8">
              <w:rPr>
                <w:rFonts w:cs="Arial"/>
                <w:b/>
                <w:bCs/>
              </w:rPr>
              <w:t>6 550</w:t>
            </w:r>
          </w:p>
        </w:tc>
        <w:tc>
          <w:tcPr>
            <w:tcW w:w="847" w:type="dxa"/>
            <w:tcBorders>
              <w:top w:val="single" w:sz="4" w:space="0" w:color="auto"/>
              <w:left w:val="single" w:sz="4" w:space="0" w:color="auto"/>
              <w:bottom w:val="single" w:sz="6" w:space="0" w:color="auto"/>
              <w:right w:val="single" w:sz="6" w:space="0" w:color="auto"/>
            </w:tcBorders>
          </w:tcPr>
          <w:p w14:paraId="615F59F7" w14:textId="77777777" w:rsidR="00D3579D" w:rsidRPr="008556B8" w:rsidRDefault="00D3579D" w:rsidP="002D2D45">
            <w:pPr>
              <w:pStyle w:val="Texttabulky"/>
              <w:spacing w:line="240" w:lineRule="atLeast"/>
              <w:jc w:val="both"/>
              <w:rPr>
                <w:rFonts w:cs="Arial"/>
              </w:rPr>
            </w:pPr>
            <w:r w:rsidRPr="008556B8">
              <w:rPr>
                <w:rFonts w:cs="Arial"/>
                <w:b/>
                <w:bCs/>
              </w:rPr>
              <w:t>7 210</w:t>
            </w:r>
          </w:p>
        </w:tc>
        <w:tc>
          <w:tcPr>
            <w:tcW w:w="709" w:type="dxa"/>
            <w:tcBorders>
              <w:top w:val="single" w:sz="4" w:space="0" w:color="auto"/>
              <w:left w:val="nil"/>
              <w:bottom w:val="single" w:sz="6" w:space="0" w:color="auto"/>
              <w:right w:val="single" w:sz="4" w:space="0" w:color="auto"/>
            </w:tcBorders>
          </w:tcPr>
          <w:p w14:paraId="220B41A2" w14:textId="77777777" w:rsidR="00D3579D" w:rsidRPr="008556B8" w:rsidRDefault="00D3579D" w:rsidP="002D2D45">
            <w:pPr>
              <w:pStyle w:val="Texttabulky"/>
              <w:spacing w:line="240" w:lineRule="atLeast"/>
              <w:jc w:val="both"/>
              <w:rPr>
                <w:rFonts w:cs="Arial"/>
              </w:rPr>
            </w:pPr>
            <w:r w:rsidRPr="008556B8">
              <w:rPr>
                <w:rFonts w:cs="Arial"/>
                <w:b/>
                <w:bCs/>
              </w:rPr>
              <w:t>100</w:t>
            </w:r>
          </w:p>
        </w:tc>
        <w:tc>
          <w:tcPr>
            <w:tcW w:w="708" w:type="dxa"/>
            <w:tcBorders>
              <w:top w:val="single" w:sz="4" w:space="0" w:color="auto"/>
              <w:left w:val="single" w:sz="4" w:space="0" w:color="auto"/>
              <w:bottom w:val="single" w:sz="6" w:space="0" w:color="auto"/>
              <w:right w:val="single" w:sz="6" w:space="0" w:color="auto"/>
            </w:tcBorders>
          </w:tcPr>
          <w:p w14:paraId="24E1A2B8" w14:textId="77777777" w:rsidR="00D3579D" w:rsidRPr="008556B8" w:rsidRDefault="00D3579D" w:rsidP="002D2D45">
            <w:pPr>
              <w:pStyle w:val="Texttabulky"/>
              <w:spacing w:line="240" w:lineRule="atLeast"/>
              <w:jc w:val="both"/>
              <w:rPr>
                <w:rFonts w:cs="Arial"/>
              </w:rPr>
            </w:pPr>
            <w:r w:rsidRPr="008556B8">
              <w:rPr>
                <w:rFonts w:cs="Arial"/>
                <w:b/>
                <w:bCs/>
              </w:rPr>
              <w:t>760</w:t>
            </w:r>
          </w:p>
        </w:tc>
      </w:tr>
    </w:tbl>
    <w:p w14:paraId="5D284135" w14:textId="77777777" w:rsidR="00D3579D" w:rsidRDefault="00D3579D" w:rsidP="00CA23D0">
      <w:pPr>
        <w:pStyle w:val="Zkladntext"/>
        <w:spacing w:line="240" w:lineRule="atLeast"/>
        <w:jc w:val="both"/>
        <w:rPr>
          <w:rFonts w:ascii="Arial" w:hAnsi="Arial" w:cs="Arial"/>
          <w:b/>
          <w:bCs/>
          <w:caps/>
        </w:rPr>
      </w:pPr>
    </w:p>
    <w:p w14:paraId="6C5A6F22" w14:textId="77777777" w:rsidR="00D3579D" w:rsidRDefault="00D3579D" w:rsidP="00CA23D0">
      <w:pPr>
        <w:pStyle w:val="Zkladntext"/>
        <w:spacing w:line="240" w:lineRule="atLeast"/>
        <w:jc w:val="both"/>
        <w:rPr>
          <w:rFonts w:ascii="Arial" w:hAnsi="Arial" w:cs="Arial"/>
          <w:b/>
          <w:bCs/>
          <w:caps/>
        </w:rPr>
      </w:pPr>
    </w:p>
    <w:p w14:paraId="6466663B" w14:textId="77777777" w:rsidR="00D3579D" w:rsidRDefault="00D3579D" w:rsidP="00CA23D0">
      <w:pPr>
        <w:pStyle w:val="Zkladntext"/>
        <w:spacing w:line="240" w:lineRule="atLeast"/>
        <w:jc w:val="both"/>
        <w:rPr>
          <w:rFonts w:ascii="Arial" w:hAnsi="Arial" w:cs="Arial"/>
          <w:b/>
          <w:bCs/>
          <w:caps/>
        </w:rPr>
      </w:pPr>
    </w:p>
    <w:p w14:paraId="476CE171" w14:textId="77777777" w:rsidR="00D3579D" w:rsidRDefault="00D3579D" w:rsidP="00CA23D0">
      <w:pPr>
        <w:pStyle w:val="Zkladntext"/>
        <w:spacing w:line="240" w:lineRule="atLeast"/>
        <w:jc w:val="both"/>
        <w:rPr>
          <w:rFonts w:ascii="Arial" w:hAnsi="Arial" w:cs="Arial"/>
          <w:b/>
          <w:bCs/>
          <w:caps/>
        </w:rPr>
      </w:pPr>
    </w:p>
    <w:p w14:paraId="37117721" w14:textId="77777777" w:rsidR="00CA23D0" w:rsidRPr="00D3579D" w:rsidRDefault="00CA23D0" w:rsidP="00CA23D0">
      <w:pPr>
        <w:pStyle w:val="Zkladntext"/>
        <w:spacing w:line="240" w:lineRule="atLeast"/>
        <w:jc w:val="both"/>
        <w:rPr>
          <w:rFonts w:ascii="Arial" w:hAnsi="Arial" w:cs="Arial"/>
          <w:b/>
          <w:bCs/>
          <w:caps/>
        </w:rPr>
      </w:pPr>
      <w:r w:rsidRPr="00E30642">
        <w:rPr>
          <w:rFonts w:ascii="Arial" w:hAnsi="Arial" w:cs="Arial"/>
          <w:b/>
          <w:bCs/>
          <w:caps/>
        </w:rPr>
        <w:lastRenderedPageBreak/>
        <w:t>Sektor VIII - Dolní Žleb, Maxičky</w:t>
      </w:r>
    </w:p>
    <w:p w14:paraId="341406F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S rozvojem obytné funkce územní plán uvažuje pouze v lokalitě Maxičky.</w:t>
      </w:r>
    </w:p>
    <w:p w14:paraId="7F5C846D" w14:textId="77777777" w:rsidR="00CA23D0" w:rsidRPr="00E30642" w:rsidRDefault="00CA23D0" w:rsidP="00CA23D0">
      <w:pPr>
        <w:pStyle w:val="Zkladntext"/>
        <w:jc w:val="both"/>
        <w:rPr>
          <w:rFonts w:ascii="Arial" w:hAnsi="Arial" w:cs="Arial"/>
        </w:rPr>
      </w:pPr>
    </w:p>
    <w:p w14:paraId="1B51411C"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Sektor IX - Lesná</w:t>
      </w:r>
    </w:p>
    <w:p w14:paraId="173B9E3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Celkový charakter tohoto sektoru je vysloveně venkovský. V celém území je v návrhovém období uvažováno s realizací rodinných domů v lokalitě Lesná, což se na celkovém přírůstku projeví nepatrně v kladném smyslu.</w:t>
      </w:r>
    </w:p>
    <w:p w14:paraId="6531BC62" w14:textId="77777777" w:rsidR="00CA23D0" w:rsidRPr="00E30642" w:rsidRDefault="00CA23D0" w:rsidP="00CA23D0">
      <w:pPr>
        <w:pStyle w:val="Zkladntext"/>
        <w:jc w:val="both"/>
        <w:rPr>
          <w:rFonts w:ascii="Arial" w:hAnsi="Arial" w:cs="Arial"/>
        </w:rPr>
      </w:pPr>
    </w:p>
    <w:tbl>
      <w:tblPr>
        <w:tblW w:w="0" w:type="auto"/>
        <w:tblInd w:w="30" w:type="dxa"/>
        <w:tblLayout w:type="fixed"/>
        <w:tblCellMar>
          <w:left w:w="30" w:type="dxa"/>
          <w:right w:w="30" w:type="dxa"/>
        </w:tblCellMar>
        <w:tblLook w:val="0000" w:firstRow="0" w:lastRow="0" w:firstColumn="0" w:lastColumn="0" w:noHBand="0" w:noVBand="0"/>
      </w:tblPr>
      <w:tblGrid>
        <w:gridCol w:w="559"/>
        <w:gridCol w:w="504"/>
        <w:gridCol w:w="1854"/>
        <w:gridCol w:w="661"/>
        <w:gridCol w:w="612"/>
        <w:gridCol w:w="615"/>
        <w:gridCol w:w="675"/>
        <w:gridCol w:w="696"/>
        <w:gridCol w:w="705"/>
        <w:gridCol w:w="851"/>
        <w:gridCol w:w="708"/>
      </w:tblGrid>
      <w:tr w:rsidR="00CA23D0" w:rsidRPr="00E30642" w14:paraId="3FD5A817" w14:textId="77777777" w:rsidTr="00CA23D0">
        <w:tc>
          <w:tcPr>
            <w:tcW w:w="559" w:type="dxa"/>
            <w:tcBorders>
              <w:top w:val="single" w:sz="6" w:space="0" w:color="auto"/>
              <w:left w:val="single" w:sz="6" w:space="0" w:color="auto"/>
              <w:bottom w:val="nil"/>
              <w:right w:val="nil"/>
            </w:tcBorders>
          </w:tcPr>
          <w:p w14:paraId="4014E6F9" w14:textId="77777777" w:rsidR="00CA23D0" w:rsidRPr="00E30642" w:rsidRDefault="00CA23D0" w:rsidP="00CA23D0">
            <w:pPr>
              <w:pStyle w:val="Texttabulky"/>
              <w:jc w:val="both"/>
              <w:rPr>
                <w:rFonts w:cs="Arial"/>
              </w:rPr>
            </w:pPr>
            <w:r w:rsidRPr="00E30642">
              <w:rPr>
                <w:rFonts w:cs="Arial"/>
                <w:b/>
                <w:bCs/>
              </w:rPr>
              <w:t>pořad. číslo    UO</w:t>
            </w:r>
          </w:p>
        </w:tc>
        <w:tc>
          <w:tcPr>
            <w:tcW w:w="504" w:type="dxa"/>
            <w:tcBorders>
              <w:top w:val="single" w:sz="6" w:space="0" w:color="auto"/>
              <w:left w:val="single" w:sz="6" w:space="0" w:color="auto"/>
              <w:bottom w:val="nil"/>
              <w:right w:val="nil"/>
            </w:tcBorders>
          </w:tcPr>
          <w:p w14:paraId="7CEDC375" w14:textId="77777777" w:rsidR="00CA23D0" w:rsidRPr="00E30642" w:rsidRDefault="00CA23D0" w:rsidP="00CA23D0">
            <w:pPr>
              <w:pStyle w:val="Texttabulky"/>
              <w:jc w:val="both"/>
              <w:rPr>
                <w:rFonts w:cs="Arial"/>
              </w:rPr>
            </w:pPr>
            <w:r w:rsidRPr="00E30642">
              <w:rPr>
                <w:rFonts w:cs="Arial"/>
                <w:b/>
                <w:bCs/>
              </w:rPr>
              <w:t>char. UO</w:t>
            </w:r>
          </w:p>
        </w:tc>
        <w:tc>
          <w:tcPr>
            <w:tcW w:w="1854" w:type="dxa"/>
            <w:tcBorders>
              <w:top w:val="single" w:sz="6" w:space="0" w:color="auto"/>
              <w:left w:val="single" w:sz="6" w:space="0" w:color="auto"/>
              <w:bottom w:val="nil"/>
              <w:right w:val="single" w:sz="6" w:space="0" w:color="auto"/>
            </w:tcBorders>
          </w:tcPr>
          <w:p w14:paraId="48705A03" w14:textId="77777777" w:rsidR="00CA23D0" w:rsidRPr="00E30642" w:rsidRDefault="00CA23D0" w:rsidP="00CA23D0">
            <w:pPr>
              <w:pStyle w:val="Texttabulky"/>
              <w:jc w:val="both"/>
              <w:rPr>
                <w:rFonts w:cs="Arial"/>
              </w:rPr>
            </w:pPr>
            <w:r w:rsidRPr="00E30642">
              <w:rPr>
                <w:rFonts w:cs="Arial"/>
                <w:b/>
                <w:bCs/>
              </w:rPr>
              <w:t>název urbanistického obvodu</w:t>
            </w:r>
          </w:p>
        </w:tc>
        <w:tc>
          <w:tcPr>
            <w:tcW w:w="661" w:type="dxa"/>
            <w:tcBorders>
              <w:top w:val="single" w:sz="6" w:space="0" w:color="auto"/>
              <w:left w:val="nil"/>
              <w:bottom w:val="nil"/>
              <w:right w:val="nil"/>
            </w:tcBorders>
          </w:tcPr>
          <w:p w14:paraId="1939FE55" w14:textId="77777777" w:rsidR="00CA23D0" w:rsidRPr="00E30642" w:rsidRDefault="00CA23D0" w:rsidP="00CA23D0">
            <w:pPr>
              <w:pStyle w:val="Texttabulky"/>
              <w:jc w:val="both"/>
              <w:rPr>
                <w:rFonts w:cs="Arial"/>
              </w:rPr>
            </w:pPr>
            <w:r w:rsidRPr="00E30642">
              <w:rPr>
                <w:rFonts w:cs="Arial"/>
                <w:b/>
                <w:bCs/>
              </w:rPr>
              <w:t>OB91</w:t>
            </w:r>
          </w:p>
        </w:tc>
        <w:tc>
          <w:tcPr>
            <w:tcW w:w="1902" w:type="dxa"/>
            <w:gridSpan w:val="3"/>
            <w:tcBorders>
              <w:top w:val="single" w:sz="6" w:space="0" w:color="auto"/>
              <w:left w:val="single" w:sz="6" w:space="0" w:color="auto"/>
              <w:bottom w:val="nil"/>
              <w:right w:val="nil"/>
            </w:tcBorders>
          </w:tcPr>
          <w:p w14:paraId="60DEC32A"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nové obytné plochy</w:t>
            </w:r>
          </w:p>
        </w:tc>
        <w:tc>
          <w:tcPr>
            <w:tcW w:w="1401" w:type="dxa"/>
            <w:gridSpan w:val="2"/>
            <w:tcBorders>
              <w:top w:val="single" w:sz="6" w:space="0" w:color="auto"/>
              <w:left w:val="nil"/>
              <w:bottom w:val="nil"/>
              <w:right w:val="single" w:sz="6" w:space="0" w:color="auto"/>
            </w:tcBorders>
          </w:tcPr>
          <w:p w14:paraId="5CF21C9D"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počet bydlících osob</w:t>
            </w:r>
          </w:p>
        </w:tc>
        <w:tc>
          <w:tcPr>
            <w:tcW w:w="851" w:type="dxa"/>
            <w:tcBorders>
              <w:top w:val="single" w:sz="6" w:space="0" w:color="auto"/>
              <w:left w:val="nil"/>
              <w:bottom w:val="nil"/>
              <w:right w:val="single" w:sz="6" w:space="0" w:color="auto"/>
            </w:tcBorders>
          </w:tcPr>
          <w:p w14:paraId="4F40A4A0" w14:textId="77777777" w:rsidR="00CA23D0" w:rsidRPr="00E30642" w:rsidRDefault="00CA23D0" w:rsidP="00CA23D0">
            <w:pPr>
              <w:pStyle w:val="Texttabulky"/>
              <w:jc w:val="both"/>
              <w:rPr>
                <w:rFonts w:cs="Arial"/>
              </w:rPr>
            </w:pPr>
            <w:r w:rsidRPr="00E30642">
              <w:rPr>
                <w:rFonts w:cs="Arial"/>
                <w:b/>
                <w:bCs/>
              </w:rPr>
              <w:t xml:space="preserve">OB přírůstek návrh </w:t>
            </w:r>
          </w:p>
        </w:tc>
        <w:tc>
          <w:tcPr>
            <w:tcW w:w="708" w:type="dxa"/>
            <w:tcBorders>
              <w:top w:val="single" w:sz="6" w:space="0" w:color="auto"/>
              <w:left w:val="nil"/>
              <w:bottom w:val="nil"/>
              <w:right w:val="single" w:sz="6" w:space="0" w:color="auto"/>
            </w:tcBorders>
          </w:tcPr>
          <w:p w14:paraId="7DF8760C" w14:textId="77777777" w:rsidR="00CA23D0" w:rsidRPr="00E30642" w:rsidRDefault="00CA23D0" w:rsidP="00CA23D0">
            <w:pPr>
              <w:pStyle w:val="Texttabulky"/>
              <w:jc w:val="both"/>
              <w:rPr>
                <w:rFonts w:cs="Arial"/>
              </w:rPr>
            </w:pPr>
            <w:r w:rsidRPr="00E30642">
              <w:rPr>
                <w:rFonts w:cs="Arial"/>
                <w:b/>
                <w:bCs/>
              </w:rPr>
              <w:t>OB přírůstek návrh +rez.</w:t>
            </w:r>
          </w:p>
        </w:tc>
      </w:tr>
      <w:tr w:rsidR="00CA23D0" w:rsidRPr="00E30642" w14:paraId="25AE7FC5" w14:textId="77777777" w:rsidTr="00CA23D0">
        <w:tc>
          <w:tcPr>
            <w:tcW w:w="559" w:type="dxa"/>
            <w:tcBorders>
              <w:top w:val="nil"/>
              <w:left w:val="single" w:sz="6" w:space="0" w:color="auto"/>
              <w:bottom w:val="single" w:sz="4" w:space="0" w:color="auto"/>
              <w:right w:val="nil"/>
            </w:tcBorders>
          </w:tcPr>
          <w:p w14:paraId="029E4C68" w14:textId="77777777" w:rsidR="00CA23D0" w:rsidRPr="00E30642" w:rsidRDefault="00CA23D0" w:rsidP="00CA23D0">
            <w:pPr>
              <w:pStyle w:val="Zkladntext"/>
              <w:spacing w:line="240" w:lineRule="atLeast"/>
              <w:jc w:val="both"/>
              <w:rPr>
                <w:rFonts w:ascii="Arial" w:hAnsi="Arial" w:cs="Arial"/>
              </w:rPr>
            </w:pPr>
          </w:p>
        </w:tc>
        <w:tc>
          <w:tcPr>
            <w:tcW w:w="504" w:type="dxa"/>
            <w:tcBorders>
              <w:top w:val="nil"/>
              <w:left w:val="single" w:sz="6" w:space="0" w:color="auto"/>
              <w:bottom w:val="single" w:sz="4" w:space="0" w:color="auto"/>
              <w:right w:val="nil"/>
            </w:tcBorders>
          </w:tcPr>
          <w:p w14:paraId="0DE5E14A" w14:textId="77777777" w:rsidR="00CA23D0" w:rsidRPr="00E30642" w:rsidRDefault="00CA23D0" w:rsidP="00CA23D0">
            <w:pPr>
              <w:pStyle w:val="Zkladntext"/>
              <w:spacing w:line="240" w:lineRule="atLeast"/>
              <w:jc w:val="both"/>
              <w:rPr>
                <w:rFonts w:ascii="Arial" w:hAnsi="Arial" w:cs="Arial"/>
              </w:rPr>
            </w:pPr>
          </w:p>
        </w:tc>
        <w:tc>
          <w:tcPr>
            <w:tcW w:w="1854" w:type="dxa"/>
            <w:tcBorders>
              <w:top w:val="nil"/>
              <w:left w:val="single" w:sz="6" w:space="0" w:color="auto"/>
              <w:bottom w:val="single" w:sz="4" w:space="0" w:color="auto"/>
              <w:right w:val="single" w:sz="6" w:space="0" w:color="auto"/>
            </w:tcBorders>
          </w:tcPr>
          <w:p w14:paraId="47008D81" w14:textId="77777777" w:rsidR="00CA23D0" w:rsidRPr="00E30642" w:rsidRDefault="00CA23D0" w:rsidP="00CA23D0">
            <w:pPr>
              <w:pStyle w:val="Zkladntext"/>
              <w:spacing w:line="240" w:lineRule="atLeast"/>
              <w:jc w:val="both"/>
              <w:rPr>
                <w:rFonts w:ascii="Arial" w:hAnsi="Arial" w:cs="Arial"/>
              </w:rPr>
            </w:pPr>
          </w:p>
        </w:tc>
        <w:tc>
          <w:tcPr>
            <w:tcW w:w="661" w:type="dxa"/>
            <w:tcBorders>
              <w:top w:val="nil"/>
              <w:left w:val="nil"/>
              <w:bottom w:val="single" w:sz="4" w:space="0" w:color="auto"/>
              <w:right w:val="nil"/>
            </w:tcBorders>
          </w:tcPr>
          <w:p w14:paraId="7B41727D" w14:textId="77777777" w:rsidR="00CA23D0" w:rsidRPr="00E30642" w:rsidRDefault="00CA23D0" w:rsidP="00CA23D0">
            <w:pPr>
              <w:pStyle w:val="Zkladntext"/>
              <w:spacing w:line="240" w:lineRule="atLeast"/>
              <w:jc w:val="both"/>
              <w:rPr>
                <w:rFonts w:ascii="Arial" w:hAnsi="Arial" w:cs="Arial"/>
              </w:rPr>
            </w:pPr>
          </w:p>
        </w:tc>
        <w:tc>
          <w:tcPr>
            <w:tcW w:w="612" w:type="dxa"/>
            <w:tcBorders>
              <w:top w:val="single" w:sz="6" w:space="0" w:color="auto"/>
              <w:left w:val="single" w:sz="6" w:space="0" w:color="auto"/>
              <w:bottom w:val="single" w:sz="4" w:space="0" w:color="auto"/>
              <w:right w:val="single" w:sz="6" w:space="0" w:color="auto"/>
            </w:tcBorders>
          </w:tcPr>
          <w:p w14:paraId="18D22371" w14:textId="77777777" w:rsidR="00CA23D0" w:rsidRPr="00E30642" w:rsidRDefault="00CA23D0" w:rsidP="00CA23D0">
            <w:pPr>
              <w:pStyle w:val="Texttabulky"/>
              <w:spacing w:line="240" w:lineRule="atLeast"/>
              <w:jc w:val="both"/>
              <w:rPr>
                <w:rFonts w:cs="Arial"/>
              </w:rPr>
            </w:pPr>
            <w:r w:rsidRPr="00E30642">
              <w:rPr>
                <w:rFonts w:cs="Arial"/>
                <w:b/>
                <w:bCs/>
              </w:rPr>
              <w:t>OB návrh I</w:t>
            </w:r>
          </w:p>
        </w:tc>
        <w:tc>
          <w:tcPr>
            <w:tcW w:w="615" w:type="dxa"/>
            <w:tcBorders>
              <w:top w:val="single" w:sz="6" w:space="0" w:color="auto"/>
              <w:left w:val="single" w:sz="6" w:space="0" w:color="auto"/>
              <w:bottom w:val="single" w:sz="4" w:space="0" w:color="auto"/>
              <w:right w:val="single" w:sz="6" w:space="0" w:color="auto"/>
            </w:tcBorders>
          </w:tcPr>
          <w:p w14:paraId="50A66D9B" w14:textId="77777777" w:rsidR="00CA23D0" w:rsidRPr="00E30642" w:rsidRDefault="00CA23D0" w:rsidP="00CA23D0">
            <w:pPr>
              <w:pStyle w:val="Texttabulky"/>
              <w:spacing w:line="240" w:lineRule="atLeast"/>
              <w:jc w:val="both"/>
              <w:rPr>
                <w:rFonts w:cs="Arial"/>
              </w:rPr>
            </w:pPr>
            <w:r w:rsidRPr="00E30642">
              <w:rPr>
                <w:rFonts w:cs="Arial"/>
                <w:b/>
                <w:bCs/>
              </w:rPr>
              <w:t>OB návrh II</w:t>
            </w:r>
          </w:p>
        </w:tc>
        <w:tc>
          <w:tcPr>
            <w:tcW w:w="675" w:type="dxa"/>
            <w:tcBorders>
              <w:top w:val="single" w:sz="6" w:space="0" w:color="auto"/>
              <w:left w:val="single" w:sz="6" w:space="0" w:color="auto"/>
              <w:bottom w:val="single" w:sz="4" w:space="0" w:color="auto"/>
              <w:right w:val="single" w:sz="6" w:space="0" w:color="auto"/>
            </w:tcBorders>
          </w:tcPr>
          <w:p w14:paraId="1BC7BF0F" w14:textId="77777777" w:rsidR="00CA23D0" w:rsidRPr="00E30642" w:rsidRDefault="00CA23D0" w:rsidP="00CA23D0">
            <w:pPr>
              <w:pStyle w:val="Texttabulky"/>
              <w:spacing w:line="240" w:lineRule="atLeast"/>
              <w:jc w:val="both"/>
              <w:rPr>
                <w:rFonts w:cs="Arial"/>
              </w:rPr>
            </w:pPr>
            <w:r w:rsidRPr="00E30642">
              <w:rPr>
                <w:rFonts w:cs="Arial"/>
                <w:b/>
                <w:bCs/>
              </w:rPr>
              <w:t>OB rezerva</w:t>
            </w:r>
          </w:p>
        </w:tc>
        <w:tc>
          <w:tcPr>
            <w:tcW w:w="696" w:type="dxa"/>
            <w:tcBorders>
              <w:top w:val="single" w:sz="6" w:space="0" w:color="auto"/>
              <w:left w:val="single" w:sz="6" w:space="0" w:color="auto"/>
              <w:bottom w:val="single" w:sz="4" w:space="0" w:color="auto"/>
              <w:right w:val="single" w:sz="6" w:space="0" w:color="auto"/>
            </w:tcBorders>
          </w:tcPr>
          <w:p w14:paraId="58F95D91" w14:textId="77777777" w:rsidR="00CA23D0" w:rsidRPr="00E30642" w:rsidRDefault="00CA23D0" w:rsidP="00CA23D0">
            <w:pPr>
              <w:pStyle w:val="Texttabulky"/>
              <w:spacing w:line="240" w:lineRule="atLeast"/>
              <w:jc w:val="both"/>
              <w:rPr>
                <w:rFonts w:cs="Arial"/>
              </w:rPr>
            </w:pPr>
            <w:r w:rsidRPr="00E30642">
              <w:rPr>
                <w:rFonts w:cs="Arial"/>
                <w:b/>
                <w:bCs/>
              </w:rPr>
              <w:t>návrh</w:t>
            </w:r>
          </w:p>
        </w:tc>
        <w:tc>
          <w:tcPr>
            <w:tcW w:w="705" w:type="dxa"/>
            <w:tcBorders>
              <w:top w:val="single" w:sz="6" w:space="0" w:color="auto"/>
              <w:left w:val="single" w:sz="6" w:space="0" w:color="auto"/>
              <w:bottom w:val="single" w:sz="4" w:space="0" w:color="auto"/>
              <w:right w:val="single" w:sz="6" w:space="0" w:color="auto"/>
            </w:tcBorders>
          </w:tcPr>
          <w:p w14:paraId="71876993" w14:textId="77777777" w:rsidR="00CA23D0" w:rsidRPr="00E30642" w:rsidRDefault="00CA23D0" w:rsidP="00CA23D0">
            <w:pPr>
              <w:pStyle w:val="Texttabulky"/>
              <w:spacing w:line="240" w:lineRule="atLeast"/>
              <w:jc w:val="both"/>
              <w:rPr>
                <w:rFonts w:cs="Arial"/>
              </w:rPr>
            </w:pPr>
            <w:r w:rsidRPr="00E30642">
              <w:rPr>
                <w:rFonts w:cs="Arial"/>
                <w:b/>
                <w:bCs/>
              </w:rPr>
              <w:t>návrh + rezerva</w:t>
            </w:r>
          </w:p>
        </w:tc>
        <w:tc>
          <w:tcPr>
            <w:tcW w:w="851" w:type="dxa"/>
            <w:tcBorders>
              <w:top w:val="nil"/>
              <w:left w:val="single" w:sz="6" w:space="0" w:color="auto"/>
              <w:bottom w:val="single" w:sz="4" w:space="0" w:color="auto"/>
              <w:right w:val="single" w:sz="4" w:space="0" w:color="auto"/>
            </w:tcBorders>
          </w:tcPr>
          <w:p w14:paraId="72EA2DCD" w14:textId="77777777" w:rsidR="00CA23D0" w:rsidRPr="00E30642" w:rsidRDefault="00CA23D0" w:rsidP="00CA23D0">
            <w:pPr>
              <w:pStyle w:val="Zkladntext"/>
              <w:spacing w:line="240" w:lineRule="atLeast"/>
              <w:jc w:val="both"/>
              <w:rPr>
                <w:rFonts w:ascii="Arial" w:hAnsi="Arial" w:cs="Arial"/>
              </w:rPr>
            </w:pPr>
          </w:p>
        </w:tc>
        <w:tc>
          <w:tcPr>
            <w:tcW w:w="708" w:type="dxa"/>
            <w:tcBorders>
              <w:top w:val="nil"/>
              <w:left w:val="single" w:sz="4" w:space="0" w:color="auto"/>
              <w:bottom w:val="single" w:sz="4" w:space="0" w:color="auto"/>
              <w:right w:val="single" w:sz="6" w:space="0" w:color="auto"/>
            </w:tcBorders>
          </w:tcPr>
          <w:p w14:paraId="1CEC05FD" w14:textId="77777777" w:rsidR="00CA23D0" w:rsidRPr="00E30642" w:rsidRDefault="00CA23D0" w:rsidP="00CA23D0">
            <w:pPr>
              <w:pStyle w:val="Zkladntext"/>
              <w:spacing w:line="240" w:lineRule="atLeast"/>
              <w:jc w:val="both"/>
              <w:rPr>
                <w:rFonts w:ascii="Arial" w:hAnsi="Arial" w:cs="Arial"/>
              </w:rPr>
            </w:pPr>
          </w:p>
        </w:tc>
      </w:tr>
      <w:tr w:rsidR="00CA23D0" w:rsidRPr="00E30642" w14:paraId="7D769091" w14:textId="77777777" w:rsidTr="00CA23D0">
        <w:tc>
          <w:tcPr>
            <w:tcW w:w="559" w:type="dxa"/>
            <w:tcBorders>
              <w:top w:val="single" w:sz="4" w:space="0" w:color="auto"/>
              <w:left w:val="single" w:sz="4" w:space="0" w:color="auto"/>
              <w:bottom w:val="single" w:sz="4" w:space="0" w:color="auto"/>
              <w:right w:val="single" w:sz="4" w:space="0" w:color="auto"/>
            </w:tcBorders>
          </w:tcPr>
          <w:p w14:paraId="32687FA2" w14:textId="77777777" w:rsidR="00CA23D0" w:rsidRPr="00E30642" w:rsidRDefault="00CA23D0" w:rsidP="00CA23D0">
            <w:pPr>
              <w:pStyle w:val="Texttabulky"/>
              <w:spacing w:line="240" w:lineRule="atLeast"/>
              <w:jc w:val="both"/>
              <w:rPr>
                <w:rFonts w:cs="Arial"/>
              </w:rPr>
            </w:pPr>
            <w:r w:rsidRPr="00E30642">
              <w:rPr>
                <w:rFonts w:cs="Arial"/>
              </w:rPr>
              <w:t>49</w:t>
            </w:r>
          </w:p>
        </w:tc>
        <w:tc>
          <w:tcPr>
            <w:tcW w:w="504" w:type="dxa"/>
            <w:tcBorders>
              <w:top w:val="single" w:sz="4" w:space="0" w:color="auto"/>
              <w:left w:val="single" w:sz="4" w:space="0" w:color="auto"/>
              <w:bottom w:val="single" w:sz="4" w:space="0" w:color="auto"/>
              <w:right w:val="single" w:sz="4" w:space="0" w:color="auto"/>
            </w:tcBorders>
          </w:tcPr>
          <w:p w14:paraId="6DF5463C" w14:textId="77777777" w:rsidR="00CA23D0" w:rsidRPr="00E30642" w:rsidRDefault="00CA23D0" w:rsidP="00CA23D0">
            <w:pPr>
              <w:pStyle w:val="Texttabulky"/>
              <w:spacing w:line="240" w:lineRule="atLeast"/>
              <w:jc w:val="both"/>
              <w:rPr>
                <w:rFonts w:cs="Arial"/>
              </w:rPr>
            </w:pPr>
            <w:r w:rsidRPr="00E30642">
              <w:rPr>
                <w:rFonts w:cs="Arial"/>
              </w:rPr>
              <w:t>N</w:t>
            </w:r>
          </w:p>
        </w:tc>
        <w:tc>
          <w:tcPr>
            <w:tcW w:w="1854" w:type="dxa"/>
            <w:tcBorders>
              <w:top w:val="single" w:sz="4" w:space="0" w:color="auto"/>
              <w:left w:val="single" w:sz="4" w:space="0" w:color="auto"/>
              <w:bottom w:val="single" w:sz="4" w:space="0" w:color="auto"/>
              <w:right w:val="single" w:sz="4" w:space="0" w:color="auto"/>
            </w:tcBorders>
          </w:tcPr>
          <w:p w14:paraId="75946A93" w14:textId="77777777" w:rsidR="00CA23D0" w:rsidRPr="00E30642" w:rsidRDefault="00CA23D0" w:rsidP="00CA23D0">
            <w:pPr>
              <w:pStyle w:val="Texttabulky"/>
              <w:spacing w:line="240" w:lineRule="atLeast"/>
              <w:jc w:val="both"/>
              <w:rPr>
                <w:rFonts w:cs="Arial"/>
              </w:rPr>
            </w:pPr>
            <w:r w:rsidRPr="00E30642">
              <w:rPr>
                <w:rFonts w:cs="Arial"/>
              </w:rPr>
              <w:t>Chlum</w:t>
            </w:r>
          </w:p>
        </w:tc>
        <w:tc>
          <w:tcPr>
            <w:tcW w:w="661" w:type="dxa"/>
            <w:tcBorders>
              <w:top w:val="single" w:sz="4" w:space="0" w:color="auto"/>
              <w:left w:val="single" w:sz="4" w:space="0" w:color="auto"/>
              <w:bottom w:val="single" w:sz="4" w:space="0" w:color="auto"/>
              <w:right w:val="single" w:sz="4" w:space="0" w:color="auto"/>
            </w:tcBorders>
          </w:tcPr>
          <w:p w14:paraId="59C97021" w14:textId="77777777" w:rsidR="00CA23D0" w:rsidRPr="00E30642" w:rsidRDefault="00CA23D0" w:rsidP="00CA23D0">
            <w:pPr>
              <w:pStyle w:val="Texttabulky"/>
              <w:spacing w:line="240" w:lineRule="atLeast"/>
              <w:jc w:val="both"/>
              <w:rPr>
                <w:rFonts w:cs="Arial"/>
              </w:rPr>
            </w:pPr>
            <w:r w:rsidRPr="00E30642">
              <w:rPr>
                <w:rFonts w:cs="Arial"/>
              </w:rPr>
              <w:t>303</w:t>
            </w:r>
          </w:p>
        </w:tc>
        <w:tc>
          <w:tcPr>
            <w:tcW w:w="612" w:type="dxa"/>
            <w:tcBorders>
              <w:top w:val="single" w:sz="4" w:space="0" w:color="auto"/>
              <w:left w:val="single" w:sz="4" w:space="0" w:color="auto"/>
              <w:bottom w:val="single" w:sz="4" w:space="0" w:color="auto"/>
              <w:right w:val="single" w:sz="4" w:space="0" w:color="auto"/>
            </w:tcBorders>
          </w:tcPr>
          <w:p w14:paraId="1FDF7D07"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5BCC439E"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464AE894" w14:textId="77777777" w:rsidR="00CA23D0" w:rsidRPr="00E30642" w:rsidRDefault="00CA23D0" w:rsidP="00CA23D0">
            <w:pPr>
              <w:pStyle w:val="Zkladntext"/>
              <w:jc w:val="both"/>
              <w:rPr>
                <w:rFonts w:ascii="Arial" w:hAnsi="Arial" w:cs="Arial"/>
              </w:rPr>
            </w:pPr>
          </w:p>
        </w:tc>
        <w:tc>
          <w:tcPr>
            <w:tcW w:w="696" w:type="dxa"/>
            <w:tcBorders>
              <w:top w:val="single" w:sz="4" w:space="0" w:color="auto"/>
              <w:left w:val="single" w:sz="4" w:space="0" w:color="auto"/>
              <w:bottom w:val="single" w:sz="4" w:space="0" w:color="auto"/>
              <w:right w:val="single" w:sz="4" w:space="0" w:color="auto"/>
            </w:tcBorders>
          </w:tcPr>
          <w:p w14:paraId="42C949FC" w14:textId="77777777" w:rsidR="00CA23D0" w:rsidRPr="00E30642" w:rsidRDefault="00CA23D0" w:rsidP="00CA23D0">
            <w:pPr>
              <w:pStyle w:val="Texttabulky"/>
              <w:spacing w:line="240" w:lineRule="atLeast"/>
              <w:jc w:val="both"/>
              <w:rPr>
                <w:rFonts w:cs="Arial"/>
              </w:rPr>
            </w:pPr>
            <w:r w:rsidRPr="00E30642">
              <w:rPr>
                <w:rFonts w:cs="Arial"/>
              </w:rPr>
              <w:t>300</w:t>
            </w:r>
          </w:p>
        </w:tc>
        <w:tc>
          <w:tcPr>
            <w:tcW w:w="705" w:type="dxa"/>
            <w:tcBorders>
              <w:top w:val="single" w:sz="4" w:space="0" w:color="auto"/>
              <w:left w:val="single" w:sz="4" w:space="0" w:color="auto"/>
              <w:bottom w:val="single" w:sz="4" w:space="0" w:color="auto"/>
              <w:right w:val="single" w:sz="4" w:space="0" w:color="auto"/>
            </w:tcBorders>
          </w:tcPr>
          <w:p w14:paraId="3F2828AE" w14:textId="77777777" w:rsidR="00CA23D0" w:rsidRPr="00E30642" w:rsidRDefault="00CA23D0" w:rsidP="00CA23D0">
            <w:pPr>
              <w:pStyle w:val="Texttabulky"/>
              <w:spacing w:line="240" w:lineRule="atLeast"/>
              <w:jc w:val="both"/>
              <w:rPr>
                <w:rFonts w:cs="Arial"/>
              </w:rPr>
            </w:pPr>
            <w:r w:rsidRPr="00E30642">
              <w:rPr>
                <w:rFonts w:cs="Arial"/>
              </w:rPr>
              <w:t>300</w:t>
            </w:r>
          </w:p>
        </w:tc>
        <w:tc>
          <w:tcPr>
            <w:tcW w:w="851" w:type="dxa"/>
            <w:tcBorders>
              <w:top w:val="single" w:sz="4" w:space="0" w:color="auto"/>
              <w:left w:val="single" w:sz="4" w:space="0" w:color="auto"/>
              <w:bottom w:val="single" w:sz="4" w:space="0" w:color="auto"/>
              <w:right w:val="single" w:sz="4" w:space="0" w:color="auto"/>
            </w:tcBorders>
          </w:tcPr>
          <w:p w14:paraId="02AD76C7" w14:textId="77777777" w:rsidR="00CA23D0" w:rsidRPr="00E30642" w:rsidRDefault="00CA23D0" w:rsidP="00CA23D0">
            <w:pPr>
              <w:pStyle w:val="Texttabulky"/>
              <w:spacing w:line="240" w:lineRule="atLeast"/>
              <w:jc w:val="both"/>
              <w:rPr>
                <w:rFonts w:cs="Arial"/>
              </w:rPr>
            </w:pPr>
            <w:r w:rsidRPr="00E30642">
              <w:rPr>
                <w:rFonts w:cs="Arial"/>
              </w:rPr>
              <w:t>-3</w:t>
            </w:r>
          </w:p>
        </w:tc>
        <w:tc>
          <w:tcPr>
            <w:tcW w:w="708" w:type="dxa"/>
            <w:tcBorders>
              <w:top w:val="single" w:sz="4" w:space="0" w:color="auto"/>
              <w:left w:val="single" w:sz="4" w:space="0" w:color="auto"/>
              <w:bottom w:val="single" w:sz="4" w:space="0" w:color="auto"/>
              <w:right w:val="single" w:sz="4" w:space="0" w:color="auto"/>
            </w:tcBorders>
          </w:tcPr>
          <w:p w14:paraId="53B2626B" w14:textId="77777777" w:rsidR="00CA23D0" w:rsidRPr="00E30642" w:rsidRDefault="00CA23D0" w:rsidP="00CA23D0">
            <w:pPr>
              <w:pStyle w:val="Texttabulky"/>
              <w:spacing w:line="240" w:lineRule="atLeast"/>
              <w:jc w:val="both"/>
              <w:rPr>
                <w:rFonts w:cs="Arial"/>
              </w:rPr>
            </w:pPr>
            <w:r w:rsidRPr="00E30642">
              <w:rPr>
                <w:rFonts w:cs="Arial"/>
              </w:rPr>
              <w:t>-3</w:t>
            </w:r>
          </w:p>
        </w:tc>
      </w:tr>
      <w:tr w:rsidR="00CA23D0" w:rsidRPr="00E30642" w14:paraId="2958EB0F" w14:textId="77777777" w:rsidTr="00CA23D0">
        <w:tc>
          <w:tcPr>
            <w:tcW w:w="559" w:type="dxa"/>
            <w:tcBorders>
              <w:top w:val="single" w:sz="4" w:space="0" w:color="auto"/>
              <w:left w:val="single" w:sz="4" w:space="0" w:color="auto"/>
              <w:bottom w:val="single" w:sz="4" w:space="0" w:color="auto"/>
              <w:right w:val="single" w:sz="4" w:space="0" w:color="auto"/>
            </w:tcBorders>
          </w:tcPr>
          <w:p w14:paraId="4894F885" w14:textId="77777777" w:rsidR="00CA23D0" w:rsidRPr="00E30642" w:rsidRDefault="00CA23D0" w:rsidP="00CA23D0">
            <w:pPr>
              <w:pStyle w:val="Texttabulky"/>
              <w:spacing w:line="240" w:lineRule="atLeast"/>
              <w:jc w:val="both"/>
              <w:rPr>
                <w:rFonts w:cs="Arial"/>
              </w:rPr>
            </w:pPr>
            <w:r w:rsidRPr="00E30642">
              <w:rPr>
                <w:rFonts w:cs="Arial"/>
              </w:rPr>
              <w:t>53</w:t>
            </w:r>
          </w:p>
        </w:tc>
        <w:tc>
          <w:tcPr>
            <w:tcW w:w="504" w:type="dxa"/>
            <w:tcBorders>
              <w:top w:val="single" w:sz="4" w:space="0" w:color="auto"/>
              <w:left w:val="single" w:sz="4" w:space="0" w:color="auto"/>
              <w:bottom w:val="single" w:sz="4" w:space="0" w:color="auto"/>
              <w:right w:val="single" w:sz="4" w:space="0" w:color="auto"/>
            </w:tcBorders>
          </w:tcPr>
          <w:p w14:paraId="160EEB3F" w14:textId="77777777" w:rsidR="00CA23D0" w:rsidRPr="00E30642" w:rsidRDefault="00CA23D0" w:rsidP="00CA23D0">
            <w:pPr>
              <w:pStyle w:val="Texttabulky"/>
              <w:spacing w:line="240" w:lineRule="atLeast"/>
              <w:jc w:val="both"/>
              <w:rPr>
                <w:rFonts w:cs="Arial"/>
              </w:rPr>
            </w:pPr>
            <w:r w:rsidRPr="00E30642">
              <w:rPr>
                <w:rFonts w:cs="Arial"/>
              </w:rPr>
              <w:t>N</w:t>
            </w:r>
          </w:p>
        </w:tc>
        <w:tc>
          <w:tcPr>
            <w:tcW w:w="1854" w:type="dxa"/>
            <w:tcBorders>
              <w:top w:val="single" w:sz="4" w:space="0" w:color="auto"/>
              <w:left w:val="single" w:sz="4" w:space="0" w:color="auto"/>
              <w:bottom w:val="single" w:sz="4" w:space="0" w:color="auto"/>
              <w:right w:val="single" w:sz="4" w:space="0" w:color="auto"/>
            </w:tcBorders>
          </w:tcPr>
          <w:p w14:paraId="55639D10" w14:textId="77777777" w:rsidR="00CA23D0" w:rsidRPr="00E30642" w:rsidRDefault="00CA23D0" w:rsidP="00CA23D0">
            <w:pPr>
              <w:pStyle w:val="Texttabulky"/>
              <w:spacing w:line="240" w:lineRule="atLeast"/>
              <w:jc w:val="both"/>
              <w:rPr>
                <w:rFonts w:cs="Arial"/>
              </w:rPr>
            </w:pPr>
            <w:r w:rsidRPr="00E30642">
              <w:rPr>
                <w:rFonts w:cs="Arial"/>
              </w:rPr>
              <w:t>Velká Veleň</w:t>
            </w:r>
          </w:p>
        </w:tc>
        <w:tc>
          <w:tcPr>
            <w:tcW w:w="661" w:type="dxa"/>
            <w:tcBorders>
              <w:top w:val="single" w:sz="4" w:space="0" w:color="auto"/>
              <w:left w:val="single" w:sz="4" w:space="0" w:color="auto"/>
              <w:bottom w:val="single" w:sz="4" w:space="0" w:color="auto"/>
              <w:right w:val="single" w:sz="4" w:space="0" w:color="auto"/>
            </w:tcBorders>
          </w:tcPr>
          <w:p w14:paraId="698D4C19" w14:textId="77777777" w:rsidR="00CA23D0" w:rsidRPr="00E30642" w:rsidRDefault="00CA23D0" w:rsidP="00CA23D0">
            <w:pPr>
              <w:pStyle w:val="Texttabulky"/>
              <w:spacing w:line="240" w:lineRule="atLeast"/>
              <w:jc w:val="both"/>
              <w:rPr>
                <w:rFonts w:cs="Arial"/>
              </w:rPr>
            </w:pPr>
            <w:r w:rsidRPr="00E30642">
              <w:rPr>
                <w:rFonts w:cs="Arial"/>
              </w:rPr>
              <w:t>31</w:t>
            </w:r>
          </w:p>
        </w:tc>
        <w:tc>
          <w:tcPr>
            <w:tcW w:w="612" w:type="dxa"/>
            <w:tcBorders>
              <w:top w:val="single" w:sz="4" w:space="0" w:color="auto"/>
              <w:left w:val="single" w:sz="4" w:space="0" w:color="auto"/>
              <w:bottom w:val="single" w:sz="4" w:space="0" w:color="auto"/>
              <w:right w:val="single" w:sz="4" w:space="0" w:color="auto"/>
            </w:tcBorders>
          </w:tcPr>
          <w:p w14:paraId="6CAD3A63"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4CA5E9F7"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140D8844" w14:textId="77777777" w:rsidR="00CA23D0" w:rsidRPr="00E30642" w:rsidRDefault="00CA23D0" w:rsidP="00CA23D0">
            <w:pPr>
              <w:pStyle w:val="Zkladntext"/>
              <w:jc w:val="both"/>
              <w:rPr>
                <w:rFonts w:ascii="Arial" w:hAnsi="Arial" w:cs="Arial"/>
              </w:rPr>
            </w:pPr>
          </w:p>
        </w:tc>
        <w:tc>
          <w:tcPr>
            <w:tcW w:w="696" w:type="dxa"/>
            <w:tcBorders>
              <w:top w:val="single" w:sz="4" w:space="0" w:color="auto"/>
              <w:left w:val="single" w:sz="4" w:space="0" w:color="auto"/>
              <w:bottom w:val="single" w:sz="4" w:space="0" w:color="auto"/>
              <w:right w:val="single" w:sz="4" w:space="0" w:color="auto"/>
            </w:tcBorders>
          </w:tcPr>
          <w:p w14:paraId="663162E1" w14:textId="77777777" w:rsidR="00CA23D0" w:rsidRPr="00E30642" w:rsidRDefault="00CA23D0" w:rsidP="00CA23D0">
            <w:pPr>
              <w:pStyle w:val="Texttabulky"/>
              <w:spacing w:line="240" w:lineRule="atLeast"/>
              <w:jc w:val="both"/>
              <w:rPr>
                <w:rFonts w:cs="Arial"/>
              </w:rPr>
            </w:pPr>
            <w:r w:rsidRPr="00E30642">
              <w:rPr>
                <w:rFonts w:cs="Arial"/>
              </w:rPr>
              <w:t>25</w:t>
            </w:r>
          </w:p>
        </w:tc>
        <w:tc>
          <w:tcPr>
            <w:tcW w:w="705" w:type="dxa"/>
            <w:tcBorders>
              <w:top w:val="single" w:sz="4" w:space="0" w:color="auto"/>
              <w:left w:val="single" w:sz="4" w:space="0" w:color="auto"/>
              <w:bottom w:val="single" w:sz="4" w:space="0" w:color="auto"/>
              <w:right w:val="single" w:sz="4" w:space="0" w:color="auto"/>
            </w:tcBorders>
          </w:tcPr>
          <w:p w14:paraId="0FAB4B33" w14:textId="77777777" w:rsidR="00CA23D0" w:rsidRPr="00E30642" w:rsidRDefault="00CA23D0" w:rsidP="00CA23D0">
            <w:pPr>
              <w:pStyle w:val="Texttabulky"/>
              <w:spacing w:line="240" w:lineRule="atLeast"/>
              <w:jc w:val="both"/>
              <w:rPr>
                <w:rFonts w:cs="Arial"/>
              </w:rPr>
            </w:pPr>
            <w:r w:rsidRPr="00E30642">
              <w:rPr>
                <w:rFonts w:cs="Arial"/>
              </w:rPr>
              <w:t>25</w:t>
            </w:r>
          </w:p>
        </w:tc>
        <w:tc>
          <w:tcPr>
            <w:tcW w:w="851" w:type="dxa"/>
            <w:tcBorders>
              <w:top w:val="single" w:sz="4" w:space="0" w:color="auto"/>
              <w:left w:val="single" w:sz="4" w:space="0" w:color="auto"/>
              <w:bottom w:val="single" w:sz="4" w:space="0" w:color="auto"/>
              <w:right w:val="single" w:sz="4" w:space="0" w:color="auto"/>
            </w:tcBorders>
          </w:tcPr>
          <w:p w14:paraId="3970A7DD" w14:textId="77777777" w:rsidR="00CA23D0" w:rsidRPr="00E30642" w:rsidRDefault="00CA23D0" w:rsidP="00CA23D0">
            <w:pPr>
              <w:pStyle w:val="Texttabulky"/>
              <w:spacing w:line="240" w:lineRule="atLeast"/>
              <w:jc w:val="both"/>
              <w:rPr>
                <w:rFonts w:cs="Arial"/>
              </w:rPr>
            </w:pPr>
            <w:r w:rsidRPr="00E30642">
              <w:rPr>
                <w:rFonts w:cs="Arial"/>
              </w:rPr>
              <w:t>-6</w:t>
            </w:r>
          </w:p>
        </w:tc>
        <w:tc>
          <w:tcPr>
            <w:tcW w:w="708" w:type="dxa"/>
            <w:tcBorders>
              <w:top w:val="single" w:sz="4" w:space="0" w:color="auto"/>
              <w:left w:val="single" w:sz="4" w:space="0" w:color="auto"/>
              <w:bottom w:val="single" w:sz="4" w:space="0" w:color="auto"/>
              <w:right w:val="single" w:sz="4" w:space="0" w:color="auto"/>
            </w:tcBorders>
          </w:tcPr>
          <w:p w14:paraId="31E495F0" w14:textId="77777777" w:rsidR="00CA23D0" w:rsidRPr="00E30642" w:rsidRDefault="00CA23D0" w:rsidP="00CA23D0">
            <w:pPr>
              <w:pStyle w:val="Texttabulky"/>
              <w:spacing w:line="240" w:lineRule="atLeast"/>
              <w:jc w:val="both"/>
              <w:rPr>
                <w:rFonts w:cs="Arial"/>
              </w:rPr>
            </w:pPr>
            <w:r w:rsidRPr="00E30642">
              <w:rPr>
                <w:rFonts w:cs="Arial"/>
              </w:rPr>
              <w:t>-6</w:t>
            </w:r>
          </w:p>
        </w:tc>
      </w:tr>
      <w:tr w:rsidR="00CA23D0" w:rsidRPr="00E30642" w14:paraId="4BA26CEA" w14:textId="77777777" w:rsidTr="00CA23D0">
        <w:tc>
          <w:tcPr>
            <w:tcW w:w="559" w:type="dxa"/>
            <w:tcBorders>
              <w:top w:val="single" w:sz="4" w:space="0" w:color="auto"/>
              <w:left w:val="single" w:sz="4" w:space="0" w:color="auto"/>
              <w:bottom w:val="single" w:sz="4" w:space="0" w:color="auto"/>
              <w:right w:val="single" w:sz="4" w:space="0" w:color="auto"/>
            </w:tcBorders>
          </w:tcPr>
          <w:p w14:paraId="533E743E" w14:textId="77777777" w:rsidR="00CA23D0" w:rsidRPr="00E30642" w:rsidRDefault="00CA23D0" w:rsidP="00CA23D0">
            <w:pPr>
              <w:pStyle w:val="Texttabulky"/>
              <w:spacing w:line="240" w:lineRule="atLeast"/>
              <w:jc w:val="both"/>
              <w:rPr>
                <w:rFonts w:cs="Arial"/>
              </w:rPr>
            </w:pPr>
            <w:r w:rsidRPr="00E30642">
              <w:rPr>
                <w:rFonts w:cs="Arial"/>
              </w:rPr>
              <w:t>54</w:t>
            </w:r>
          </w:p>
        </w:tc>
        <w:tc>
          <w:tcPr>
            <w:tcW w:w="504" w:type="dxa"/>
            <w:tcBorders>
              <w:top w:val="single" w:sz="4" w:space="0" w:color="auto"/>
              <w:left w:val="single" w:sz="4" w:space="0" w:color="auto"/>
              <w:bottom w:val="single" w:sz="4" w:space="0" w:color="auto"/>
              <w:right w:val="single" w:sz="4" w:space="0" w:color="auto"/>
            </w:tcBorders>
          </w:tcPr>
          <w:p w14:paraId="1DFE478A" w14:textId="77777777" w:rsidR="00CA23D0" w:rsidRPr="00E30642" w:rsidRDefault="00CA23D0" w:rsidP="00CA23D0">
            <w:pPr>
              <w:pStyle w:val="Texttabulky"/>
              <w:spacing w:line="240" w:lineRule="atLeast"/>
              <w:jc w:val="both"/>
              <w:rPr>
                <w:rFonts w:cs="Arial"/>
              </w:rPr>
            </w:pPr>
            <w:r w:rsidRPr="00E30642">
              <w:rPr>
                <w:rFonts w:cs="Arial"/>
              </w:rPr>
              <w:t>N</w:t>
            </w:r>
          </w:p>
        </w:tc>
        <w:tc>
          <w:tcPr>
            <w:tcW w:w="1854" w:type="dxa"/>
            <w:tcBorders>
              <w:top w:val="single" w:sz="4" w:space="0" w:color="auto"/>
              <w:left w:val="single" w:sz="4" w:space="0" w:color="auto"/>
              <w:bottom w:val="single" w:sz="4" w:space="0" w:color="auto"/>
              <w:right w:val="single" w:sz="4" w:space="0" w:color="auto"/>
            </w:tcBorders>
          </w:tcPr>
          <w:p w14:paraId="3F0B4AE1" w14:textId="77777777" w:rsidR="00CA23D0" w:rsidRPr="00E30642" w:rsidRDefault="00CA23D0" w:rsidP="00CA23D0">
            <w:pPr>
              <w:pStyle w:val="Texttabulky"/>
              <w:spacing w:line="240" w:lineRule="atLeast"/>
              <w:jc w:val="both"/>
              <w:rPr>
                <w:rFonts w:cs="Arial"/>
              </w:rPr>
            </w:pPr>
            <w:r w:rsidRPr="00E30642">
              <w:rPr>
                <w:rFonts w:cs="Arial"/>
              </w:rPr>
              <w:t>Lesná</w:t>
            </w:r>
          </w:p>
        </w:tc>
        <w:tc>
          <w:tcPr>
            <w:tcW w:w="661" w:type="dxa"/>
            <w:tcBorders>
              <w:top w:val="single" w:sz="4" w:space="0" w:color="auto"/>
              <w:left w:val="single" w:sz="4" w:space="0" w:color="auto"/>
              <w:bottom w:val="single" w:sz="4" w:space="0" w:color="auto"/>
              <w:right w:val="single" w:sz="4" w:space="0" w:color="auto"/>
            </w:tcBorders>
          </w:tcPr>
          <w:p w14:paraId="2F447A19" w14:textId="77777777" w:rsidR="00CA23D0" w:rsidRPr="00E30642" w:rsidRDefault="00CA23D0" w:rsidP="00CA23D0">
            <w:pPr>
              <w:pStyle w:val="Texttabulky"/>
              <w:spacing w:line="240" w:lineRule="atLeast"/>
              <w:jc w:val="both"/>
              <w:rPr>
                <w:rFonts w:cs="Arial"/>
              </w:rPr>
            </w:pPr>
            <w:r w:rsidRPr="00E30642">
              <w:rPr>
                <w:rFonts w:cs="Arial"/>
              </w:rPr>
              <w:t>153</w:t>
            </w:r>
          </w:p>
        </w:tc>
        <w:tc>
          <w:tcPr>
            <w:tcW w:w="612" w:type="dxa"/>
            <w:tcBorders>
              <w:top w:val="single" w:sz="4" w:space="0" w:color="auto"/>
              <w:left w:val="single" w:sz="4" w:space="0" w:color="auto"/>
              <w:bottom w:val="single" w:sz="4" w:space="0" w:color="auto"/>
              <w:right w:val="single" w:sz="4" w:space="0" w:color="auto"/>
            </w:tcBorders>
          </w:tcPr>
          <w:p w14:paraId="710CDB2F" w14:textId="77777777" w:rsidR="00CA23D0" w:rsidRPr="00E30642" w:rsidRDefault="00CA23D0" w:rsidP="00CA23D0">
            <w:pPr>
              <w:pStyle w:val="Texttabulky"/>
              <w:spacing w:line="240" w:lineRule="atLeast"/>
              <w:jc w:val="both"/>
              <w:rPr>
                <w:rFonts w:cs="Arial"/>
              </w:rPr>
            </w:pPr>
            <w:r w:rsidRPr="00E30642">
              <w:rPr>
                <w:rFonts w:cs="Arial"/>
              </w:rPr>
              <w:t>45</w:t>
            </w:r>
          </w:p>
        </w:tc>
        <w:tc>
          <w:tcPr>
            <w:tcW w:w="615" w:type="dxa"/>
            <w:tcBorders>
              <w:top w:val="single" w:sz="4" w:space="0" w:color="auto"/>
              <w:left w:val="single" w:sz="4" w:space="0" w:color="auto"/>
              <w:bottom w:val="single" w:sz="4" w:space="0" w:color="auto"/>
              <w:right w:val="single" w:sz="4" w:space="0" w:color="auto"/>
            </w:tcBorders>
          </w:tcPr>
          <w:p w14:paraId="15418C91" w14:textId="77777777" w:rsidR="00CA23D0" w:rsidRPr="00E30642" w:rsidRDefault="00CA23D0" w:rsidP="00CA23D0">
            <w:pPr>
              <w:pStyle w:val="Zkladntext"/>
              <w:spacing w:line="240" w:lineRule="atLeas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0EBA5F23" w14:textId="77777777" w:rsidR="00CA23D0" w:rsidRPr="00E30642" w:rsidRDefault="00CA23D0" w:rsidP="00CA23D0">
            <w:pPr>
              <w:pStyle w:val="Zkladntext"/>
              <w:jc w:val="both"/>
              <w:rPr>
                <w:rFonts w:ascii="Arial" w:hAnsi="Arial" w:cs="Arial"/>
              </w:rPr>
            </w:pPr>
          </w:p>
        </w:tc>
        <w:tc>
          <w:tcPr>
            <w:tcW w:w="696" w:type="dxa"/>
            <w:tcBorders>
              <w:top w:val="single" w:sz="4" w:space="0" w:color="auto"/>
              <w:left w:val="single" w:sz="4" w:space="0" w:color="auto"/>
              <w:bottom w:val="single" w:sz="4" w:space="0" w:color="auto"/>
              <w:right w:val="single" w:sz="4" w:space="0" w:color="auto"/>
            </w:tcBorders>
          </w:tcPr>
          <w:p w14:paraId="1EE067A2" w14:textId="77777777" w:rsidR="00CA23D0" w:rsidRPr="00E30642" w:rsidRDefault="00CA23D0" w:rsidP="00CA23D0">
            <w:pPr>
              <w:pStyle w:val="Texttabulky"/>
              <w:spacing w:line="240" w:lineRule="atLeast"/>
              <w:jc w:val="both"/>
              <w:rPr>
                <w:rFonts w:cs="Arial"/>
              </w:rPr>
            </w:pPr>
            <w:r w:rsidRPr="00E30642">
              <w:rPr>
                <w:rFonts w:cs="Arial"/>
              </w:rPr>
              <w:t>185</w:t>
            </w:r>
          </w:p>
        </w:tc>
        <w:tc>
          <w:tcPr>
            <w:tcW w:w="705" w:type="dxa"/>
            <w:tcBorders>
              <w:top w:val="single" w:sz="4" w:space="0" w:color="auto"/>
              <w:left w:val="single" w:sz="4" w:space="0" w:color="auto"/>
              <w:bottom w:val="single" w:sz="4" w:space="0" w:color="auto"/>
              <w:right w:val="single" w:sz="4" w:space="0" w:color="auto"/>
            </w:tcBorders>
          </w:tcPr>
          <w:p w14:paraId="21F461E2" w14:textId="77777777" w:rsidR="00CA23D0" w:rsidRPr="00E30642" w:rsidRDefault="00CA23D0" w:rsidP="00CA23D0">
            <w:pPr>
              <w:pStyle w:val="Texttabulky"/>
              <w:spacing w:line="240" w:lineRule="atLeast"/>
              <w:jc w:val="both"/>
              <w:rPr>
                <w:rFonts w:cs="Arial"/>
              </w:rPr>
            </w:pPr>
            <w:r w:rsidRPr="00E30642">
              <w:rPr>
                <w:rFonts w:cs="Arial"/>
              </w:rPr>
              <w:t>185</w:t>
            </w:r>
          </w:p>
        </w:tc>
        <w:tc>
          <w:tcPr>
            <w:tcW w:w="851" w:type="dxa"/>
            <w:tcBorders>
              <w:top w:val="single" w:sz="4" w:space="0" w:color="auto"/>
              <w:left w:val="single" w:sz="4" w:space="0" w:color="auto"/>
              <w:bottom w:val="single" w:sz="4" w:space="0" w:color="auto"/>
              <w:right w:val="single" w:sz="4" w:space="0" w:color="auto"/>
            </w:tcBorders>
          </w:tcPr>
          <w:p w14:paraId="375BDF23" w14:textId="77777777" w:rsidR="00CA23D0" w:rsidRPr="00E30642" w:rsidRDefault="00CA23D0" w:rsidP="00CA23D0">
            <w:pPr>
              <w:pStyle w:val="Texttabulky"/>
              <w:spacing w:line="240" w:lineRule="atLeast"/>
              <w:jc w:val="both"/>
              <w:rPr>
                <w:rFonts w:cs="Arial"/>
              </w:rPr>
            </w:pPr>
            <w:r w:rsidRPr="00E30642">
              <w:rPr>
                <w:rFonts w:cs="Arial"/>
              </w:rPr>
              <w:t>32</w:t>
            </w:r>
          </w:p>
        </w:tc>
        <w:tc>
          <w:tcPr>
            <w:tcW w:w="708" w:type="dxa"/>
            <w:tcBorders>
              <w:top w:val="single" w:sz="4" w:space="0" w:color="auto"/>
              <w:left w:val="single" w:sz="4" w:space="0" w:color="auto"/>
              <w:bottom w:val="single" w:sz="4" w:space="0" w:color="auto"/>
              <w:right w:val="single" w:sz="4" w:space="0" w:color="auto"/>
            </w:tcBorders>
          </w:tcPr>
          <w:p w14:paraId="5A8C18DB" w14:textId="77777777" w:rsidR="00CA23D0" w:rsidRPr="00E30642" w:rsidRDefault="00CA23D0" w:rsidP="00CA23D0">
            <w:pPr>
              <w:pStyle w:val="Texttabulky"/>
              <w:spacing w:line="240" w:lineRule="atLeast"/>
              <w:jc w:val="both"/>
              <w:rPr>
                <w:rFonts w:cs="Arial"/>
              </w:rPr>
            </w:pPr>
            <w:r w:rsidRPr="00E30642">
              <w:rPr>
                <w:rFonts w:cs="Arial"/>
              </w:rPr>
              <w:t>32</w:t>
            </w:r>
          </w:p>
        </w:tc>
      </w:tr>
      <w:tr w:rsidR="00CA23D0" w:rsidRPr="00E30642" w14:paraId="04B1303E" w14:textId="77777777" w:rsidTr="00CA23D0">
        <w:tc>
          <w:tcPr>
            <w:tcW w:w="559" w:type="dxa"/>
            <w:tcBorders>
              <w:top w:val="single" w:sz="4" w:space="0" w:color="auto"/>
              <w:left w:val="single" w:sz="4" w:space="0" w:color="auto"/>
              <w:bottom w:val="single" w:sz="4" w:space="0" w:color="auto"/>
              <w:right w:val="single" w:sz="4" w:space="0" w:color="auto"/>
            </w:tcBorders>
          </w:tcPr>
          <w:p w14:paraId="3139214E" w14:textId="77777777" w:rsidR="00CA23D0" w:rsidRPr="00E30642" w:rsidRDefault="00CA23D0" w:rsidP="00CA23D0">
            <w:pPr>
              <w:pStyle w:val="Texttabulky"/>
              <w:spacing w:line="240" w:lineRule="atLeast"/>
              <w:jc w:val="both"/>
              <w:rPr>
                <w:rFonts w:cs="Arial"/>
              </w:rPr>
            </w:pPr>
            <w:r w:rsidRPr="00E30642">
              <w:rPr>
                <w:rFonts w:cs="Arial"/>
              </w:rPr>
              <w:t>55</w:t>
            </w:r>
          </w:p>
        </w:tc>
        <w:tc>
          <w:tcPr>
            <w:tcW w:w="504" w:type="dxa"/>
            <w:tcBorders>
              <w:top w:val="single" w:sz="4" w:space="0" w:color="auto"/>
              <w:left w:val="single" w:sz="4" w:space="0" w:color="auto"/>
              <w:bottom w:val="single" w:sz="4" w:space="0" w:color="auto"/>
              <w:right w:val="single" w:sz="4" w:space="0" w:color="auto"/>
            </w:tcBorders>
          </w:tcPr>
          <w:p w14:paraId="77BF6E12" w14:textId="77777777" w:rsidR="00CA23D0" w:rsidRPr="00E30642" w:rsidRDefault="00CA23D0" w:rsidP="00CA23D0">
            <w:pPr>
              <w:pStyle w:val="Texttabulky"/>
              <w:spacing w:line="240" w:lineRule="atLeast"/>
              <w:jc w:val="both"/>
              <w:rPr>
                <w:rFonts w:cs="Arial"/>
              </w:rPr>
            </w:pPr>
            <w:r w:rsidRPr="00E30642">
              <w:rPr>
                <w:rFonts w:cs="Arial"/>
              </w:rPr>
              <w:t>N</w:t>
            </w:r>
          </w:p>
        </w:tc>
        <w:tc>
          <w:tcPr>
            <w:tcW w:w="1854" w:type="dxa"/>
            <w:tcBorders>
              <w:top w:val="single" w:sz="4" w:space="0" w:color="auto"/>
              <w:left w:val="single" w:sz="4" w:space="0" w:color="auto"/>
              <w:bottom w:val="single" w:sz="4" w:space="0" w:color="auto"/>
              <w:right w:val="single" w:sz="4" w:space="0" w:color="auto"/>
            </w:tcBorders>
          </w:tcPr>
          <w:p w14:paraId="05EEA659" w14:textId="77777777" w:rsidR="00CA23D0" w:rsidRPr="00E30642" w:rsidRDefault="00CA23D0" w:rsidP="00CA23D0">
            <w:pPr>
              <w:pStyle w:val="Texttabulky"/>
              <w:spacing w:line="240" w:lineRule="atLeast"/>
              <w:jc w:val="both"/>
              <w:rPr>
                <w:rFonts w:cs="Arial"/>
              </w:rPr>
            </w:pPr>
            <w:r w:rsidRPr="00E30642">
              <w:rPr>
                <w:rFonts w:cs="Arial"/>
              </w:rPr>
              <w:t>Lesní Mlýn</w:t>
            </w:r>
          </w:p>
        </w:tc>
        <w:tc>
          <w:tcPr>
            <w:tcW w:w="661" w:type="dxa"/>
            <w:tcBorders>
              <w:top w:val="single" w:sz="4" w:space="0" w:color="auto"/>
              <w:left w:val="single" w:sz="4" w:space="0" w:color="auto"/>
              <w:bottom w:val="single" w:sz="4" w:space="0" w:color="auto"/>
              <w:right w:val="single" w:sz="4" w:space="0" w:color="auto"/>
            </w:tcBorders>
          </w:tcPr>
          <w:p w14:paraId="2F7056E9" w14:textId="77777777" w:rsidR="00CA23D0" w:rsidRPr="00E30642" w:rsidRDefault="00CA23D0" w:rsidP="00CA23D0">
            <w:pPr>
              <w:pStyle w:val="Texttabulky"/>
              <w:spacing w:line="240" w:lineRule="atLeast"/>
              <w:jc w:val="both"/>
              <w:rPr>
                <w:rFonts w:cs="Arial"/>
              </w:rPr>
            </w:pPr>
            <w:r w:rsidRPr="00E30642">
              <w:rPr>
                <w:rFonts w:cs="Arial"/>
              </w:rPr>
              <w:t>9</w:t>
            </w:r>
          </w:p>
        </w:tc>
        <w:tc>
          <w:tcPr>
            <w:tcW w:w="612" w:type="dxa"/>
            <w:tcBorders>
              <w:top w:val="single" w:sz="4" w:space="0" w:color="auto"/>
              <w:left w:val="single" w:sz="4" w:space="0" w:color="auto"/>
              <w:bottom w:val="single" w:sz="4" w:space="0" w:color="auto"/>
              <w:right w:val="single" w:sz="4" w:space="0" w:color="auto"/>
            </w:tcBorders>
          </w:tcPr>
          <w:p w14:paraId="03C2F36D"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69015AB6"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7401E835" w14:textId="77777777" w:rsidR="00CA23D0" w:rsidRPr="00E30642" w:rsidRDefault="00CA23D0" w:rsidP="00CA23D0">
            <w:pPr>
              <w:pStyle w:val="Zkladntext"/>
              <w:jc w:val="both"/>
              <w:rPr>
                <w:rFonts w:ascii="Arial" w:hAnsi="Arial" w:cs="Arial"/>
              </w:rPr>
            </w:pPr>
          </w:p>
        </w:tc>
        <w:tc>
          <w:tcPr>
            <w:tcW w:w="696" w:type="dxa"/>
            <w:tcBorders>
              <w:top w:val="single" w:sz="4" w:space="0" w:color="auto"/>
              <w:left w:val="single" w:sz="4" w:space="0" w:color="auto"/>
              <w:bottom w:val="single" w:sz="4" w:space="0" w:color="auto"/>
              <w:right w:val="single" w:sz="4" w:space="0" w:color="auto"/>
            </w:tcBorders>
          </w:tcPr>
          <w:p w14:paraId="08362F45" w14:textId="77777777" w:rsidR="00CA23D0" w:rsidRPr="00E30642" w:rsidRDefault="00CA23D0" w:rsidP="00CA23D0">
            <w:pPr>
              <w:pStyle w:val="Texttabulky"/>
              <w:spacing w:line="240" w:lineRule="atLeast"/>
              <w:jc w:val="both"/>
              <w:rPr>
                <w:rFonts w:cs="Arial"/>
              </w:rPr>
            </w:pPr>
            <w:r w:rsidRPr="00E30642">
              <w:rPr>
                <w:rFonts w:cs="Arial"/>
              </w:rPr>
              <w:t>5</w:t>
            </w:r>
          </w:p>
        </w:tc>
        <w:tc>
          <w:tcPr>
            <w:tcW w:w="705" w:type="dxa"/>
            <w:tcBorders>
              <w:top w:val="single" w:sz="4" w:space="0" w:color="auto"/>
              <w:left w:val="single" w:sz="4" w:space="0" w:color="auto"/>
              <w:bottom w:val="single" w:sz="4" w:space="0" w:color="auto"/>
              <w:right w:val="single" w:sz="4" w:space="0" w:color="auto"/>
            </w:tcBorders>
          </w:tcPr>
          <w:p w14:paraId="21C020D7" w14:textId="77777777" w:rsidR="00CA23D0" w:rsidRPr="00E30642" w:rsidRDefault="00CA23D0" w:rsidP="00CA23D0">
            <w:pPr>
              <w:pStyle w:val="Texttabulky"/>
              <w:spacing w:line="240" w:lineRule="atLeast"/>
              <w:jc w:val="both"/>
              <w:rPr>
                <w:rFonts w:cs="Arial"/>
              </w:rPr>
            </w:pPr>
            <w:r w:rsidRPr="00E30642">
              <w:rPr>
                <w:rFonts w:cs="Arial"/>
              </w:rPr>
              <w:t>5</w:t>
            </w:r>
          </w:p>
        </w:tc>
        <w:tc>
          <w:tcPr>
            <w:tcW w:w="851" w:type="dxa"/>
            <w:tcBorders>
              <w:top w:val="single" w:sz="4" w:space="0" w:color="auto"/>
              <w:left w:val="single" w:sz="4" w:space="0" w:color="auto"/>
              <w:bottom w:val="single" w:sz="4" w:space="0" w:color="auto"/>
              <w:right w:val="single" w:sz="4" w:space="0" w:color="auto"/>
            </w:tcBorders>
          </w:tcPr>
          <w:p w14:paraId="62B8A97A" w14:textId="77777777" w:rsidR="00CA23D0" w:rsidRPr="00E30642" w:rsidRDefault="00CA23D0" w:rsidP="00CA23D0">
            <w:pPr>
              <w:pStyle w:val="Texttabulky"/>
              <w:spacing w:line="240" w:lineRule="atLeast"/>
              <w:jc w:val="both"/>
              <w:rPr>
                <w:rFonts w:cs="Arial"/>
              </w:rPr>
            </w:pPr>
            <w:r w:rsidRPr="00E30642">
              <w:rPr>
                <w:rFonts w:cs="Arial"/>
              </w:rPr>
              <w:t>-4</w:t>
            </w:r>
          </w:p>
        </w:tc>
        <w:tc>
          <w:tcPr>
            <w:tcW w:w="708" w:type="dxa"/>
            <w:tcBorders>
              <w:top w:val="single" w:sz="4" w:space="0" w:color="auto"/>
              <w:left w:val="single" w:sz="4" w:space="0" w:color="auto"/>
              <w:bottom w:val="single" w:sz="4" w:space="0" w:color="auto"/>
              <w:right w:val="single" w:sz="4" w:space="0" w:color="auto"/>
            </w:tcBorders>
          </w:tcPr>
          <w:p w14:paraId="614A9133" w14:textId="77777777" w:rsidR="00CA23D0" w:rsidRPr="00E30642" w:rsidRDefault="00CA23D0" w:rsidP="00CA23D0">
            <w:pPr>
              <w:pStyle w:val="Texttabulky"/>
              <w:spacing w:line="240" w:lineRule="atLeast"/>
              <w:jc w:val="both"/>
              <w:rPr>
                <w:rFonts w:cs="Arial"/>
              </w:rPr>
            </w:pPr>
            <w:r w:rsidRPr="00E30642">
              <w:rPr>
                <w:rFonts w:cs="Arial"/>
              </w:rPr>
              <w:t>-4</w:t>
            </w:r>
          </w:p>
        </w:tc>
      </w:tr>
      <w:tr w:rsidR="00CA23D0" w:rsidRPr="00E30642" w14:paraId="5B91C0D8" w14:textId="77777777" w:rsidTr="00CA23D0">
        <w:tc>
          <w:tcPr>
            <w:tcW w:w="559" w:type="dxa"/>
            <w:tcBorders>
              <w:top w:val="single" w:sz="4" w:space="0" w:color="auto"/>
              <w:left w:val="single" w:sz="4" w:space="0" w:color="auto"/>
              <w:bottom w:val="single" w:sz="4" w:space="0" w:color="auto"/>
              <w:right w:val="single" w:sz="4" w:space="0" w:color="auto"/>
            </w:tcBorders>
          </w:tcPr>
          <w:p w14:paraId="1C945E6B" w14:textId="77777777" w:rsidR="00CA23D0" w:rsidRPr="00E30642" w:rsidRDefault="00CA23D0" w:rsidP="00CA23D0">
            <w:pPr>
              <w:pStyle w:val="Texttabulky"/>
              <w:spacing w:line="240" w:lineRule="atLeast"/>
              <w:jc w:val="both"/>
              <w:rPr>
                <w:rFonts w:cs="Arial"/>
              </w:rPr>
            </w:pPr>
            <w:r w:rsidRPr="00E30642">
              <w:rPr>
                <w:rFonts w:cs="Arial"/>
              </w:rPr>
              <w:t>56</w:t>
            </w:r>
          </w:p>
        </w:tc>
        <w:tc>
          <w:tcPr>
            <w:tcW w:w="504" w:type="dxa"/>
            <w:tcBorders>
              <w:top w:val="single" w:sz="4" w:space="0" w:color="auto"/>
              <w:left w:val="single" w:sz="4" w:space="0" w:color="auto"/>
              <w:bottom w:val="single" w:sz="4" w:space="0" w:color="auto"/>
              <w:right w:val="single" w:sz="4" w:space="0" w:color="auto"/>
            </w:tcBorders>
          </w:tcPr>
          <w:p w14:paraId="02F6E293" w14:textId="77777777" w:rsidR="00CA23D0" w:rsidRPr="00E30642" w:rsidRDefault="00CA23D0" w:rsidP="00CA23D0">
            <w:pPr>
              <w:pStyle w:val="Texttabulky"/>
              <w:spacing w:line="240" w:lineRule="atLeast"/>
              <w:jc w:val="both"/>
              <w:rPr>
                <w:rFonts w:cs="Arial"/>
              </w:rPr>
            </w:pPr>
            <w:r w:rsidRPr="00E30642">
              <w:rPr>
                <w:rFonts w:cs="Arial"/>
              </w:rPr>
              <w:t>N</w:t>
            </w:r>
          </w:p>
        </w:tc>
        <w:tc>
          <w:tcPr>
            <w:tcW w:w="1854" w:type="dxa"/>
            <w:tcBorders>
              <w:top w:val="single" w:sz="4" w:space="0" w:color="auto"/>
              <w:left w:val="single" w:sz="4" w:space="0" w:color="auto"/>
              <w:bottom w:val="single" w:sz="4" w:space="0" w:color="auto"/>
              <w:right w:val="single" w:sz="4" w:space="0" w:color="auto"/>
            </w:tcBorders>
          </w:tcPr>
          <w:p w14:paraId="545EE19D" w14:textId="77777777" w:rsidR="00CA23D0" w:rsidRPr="00E30642" w:rsidRDefault="00CA23D0" w:rsidP="00CA23D0">
            <w:pPr>
              <w:pStyle w:val="Texttabulky"/>
              <w:spacing w:line="240" w:lineRule="atLeast"/>
              <w:jc w:val="both"/>
              <w:rPr>
                <w:rFonts w:cs="Arial"/>
              </w:rPr>
            </w:pPr>
            <w:r w:rsidRPr="00E30642">
              <w:rPr>
                <w:rFonts w:cs="Arial"/>
              </w:rPr>
              <w:t>Hoštice</w:t>
            </w:r>
          </w:p>
        </w:tc>
        <w:tc>
          <w:tcPr>
            <w:tcW w:w="661" w:type="dxa"/>
            <w:tcBorders>
              <w:top w:val="single" w:sz="4" w:space="0" w:color="auto"/>
              <w:left w:val="single" w:sz="4" w:space="0" w:color="auto"/>
              <w:bottom w:val="single" w:sz="4" w:space="0" w:color="auto"/>
              <w:right w:val="single" w:sz="4" w:space="0" w:color="auto"/>
            </w:tcBorders>
          </w:tcPr>
          <w:p w14:paraId="5702376D" w14:textId="77777777" w:rsidR="00CA23D0" w:rsidRPr="00E30642" w:rsidRDefault="00CA23D0" w:rsidP="00CA23D0">
            <w:pPr>
              <w:pStyle w:val="Texttabulky"/>
              <w:spacing w:line="240" w:lineRule="atLeast"/>
              <w:jc w:val="both"/>
              <w:rPr>
                <w:rFonts w:cs="Arial"/>
              </w:rPr>
            </w:pPr>
            <w:r w:rsidRPr="00E30642">
              <w:rPr>
                <w:rFonts w:cs="Arial"/>
              </w:rPr>
              <w:t>15</w:t>
            </w:r>
          </w:p>
        </w:tc>
        <w:tc>
          <w:tcPr>
            <w:tcW w:w="612" w:type="dxa"/>
            <w:tcBorders>
              <w:top w:val="single" w:sz="4" w:space="0" w:color="auto"/>
              <w:left w:val="single" w:sz="4" w:space="0" w:color="auto"/>
              <w:bottom w:val="single" w:sz="4" w:space="0" w:color="auto"/>
              <w:right w:val="single" w:sz="4" w:space="0" w:color="auto"/>
            </w:tcBorders>
          </w:tcPr>
          <w:p w14:paraId="0B1536F4" w14:textId="77777777" w:rsidR="00CA23D0" w:rsidRPr="00E30642" w:rsidRDefault="00CA23D0" w:rsidP="00CA23D0">
            <w:pPr>
              <w:pStyle w:val="Zkladntext"/>
              <w:jc w:val="both"/>
              <w:rPr>
                <w:rFonts w:ascii="Arial" w:hAnsi="Arial" w:cs="Arial"/>
              </w:rPr>
            </w:pPr>
          </w:p>
        </w:tc>
        <w:tc>
          <w:tcPr>
            <w:tcW w:w="615" w:type="dxa"/>
            <w:tcBorders>
              <w:top w:val="single" w:sz="4" w:space="0" w:color="auto"/>
              <w:left w:val="single" w:sz="4" w:space="0" w:color="auto"/>
              <w:bottom w:val="single" w:sz="4" w:space="0" w:color="auto"/>
              <w:right w:val="single" w:sz="4" w:space="0" w:color="auto"/>
            </w:tcBorders>
          </w:tcPr>
          <w:p w14:paraId="47E9E6C3"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single" w:sz="4" w:space="0" w:color="auto"/>
              <w:bottom w:val="single" w:sz="4" w:space="0" w:color="auto"/>
              <w:right w:val="single" w:sz="4" w:space="0" w:color="auto"/>
            </w:tcBorders>
          </w:tcPr>
          <w:p w14:paraId="7346A28D" w14:textId="77777777" w:rsidR="00CA23D0" w:rsidRPr="00E30642" w:rsidRDefault="00CA23D0" w:rsidP="00CA23D0">
            <w:pPr>
              <w:pStyle w:val="Zkladntext"/>
              <w:jc w:val="both"/>
              <w:rPr>
                <w:rFonts w:ascii="Arial" w:hAnsi="Arial" w:cs="Arial"/>
              </w:rPr>
            </w:pPr>
          </w:p>
        </w:tc>
        <w:tc>
          <w:tcPr>
            <w:tcW w:w="696" w:type="dxa"/>
            <w:tcBorders>
              <w:top w:val="single" w:sz="4" w:space="0" w:color="auto"/>
              <w:left w:val="single" w:sz="4" w:space="0" w:color="auto"/>
              <w:bottom w:val="single" w:sz="4" w:space="0" w:color="auto"/>
              <w:right w:val="single" w:sz="4" w:space="0" w:color="auto"/>
            </w:tcBorders>
          </w:tcPr>
          <w:p w14:paraId="77D6E1A6" w14:textId="77777777" w:rsidR="00CA23D0" w:rsidRPr="00E30642" w:rsidRDefault="00CA23D0" w:rsidP="00CA23D0">
            <w:pPr>
              <w:pStyle w:val="Texttabulky"/>
              <w:spacing w:line="240" w:lineRule="atLeast"/>
              <w:jc w:val="both"/>
              <w:rPr>
                <w:rFonts w:cs="Arial"/>
              </w:rPr>
            </w:pPr>
            <w:r w:rsidRPr="00E30642">
              <w:rPr>
                <w:rFonts w:cs="Arial"/>
              </w:rPr>
              <w:t>10</w:t>
            </w:r>
          </w:p>
        </w:tc>
        <w:tc>
          <w:tcPr>
            <w:tcW w:w="705" w:type="dxa"/>
            <w:tcBorders>
              <w:top w:val="single" w:sz="4" w:space="0" w:color="auto"/>
              <w:left w:val="single" w:sz="4" w:space="0" w:color="auto"/>
              <w:bottom w:val="single" w:sz="4" w:space="0" w:color="auto"/>
              <w:right w:val="single" w:sz="4" w:space="0" w:color="auto"/>
            </w:tcBorders>
          </w:tcPr>
          <w:p w14:paraId="099B82D6" w14:textId="77777777" w:rsidR="00CA23D0" w:rsidRPr="00E30642" w:rsidRDefault="00CA23D0" w:rsidP="00CA23D0">
            <w:pPr>
              <w:pStyle w:val="Texttabulky"/>
              <w:spacing w:line="240" w:lineRule="atLeast"/>
              <w:jc w:val="both"/>
              <w:rPr>
                <w:rFonts w:cs="Arial"/>
              </w:rPr>
            </w:pPr>
            <w:r w:rsidRPr="00E30642">
              <w:rPr>
                <w:rFonts w:cs="Arial"/>
              </w:rPr>
              <w:t>10</w:t>
            </w:r>
          </w:p>
        </w:tc>
        <w:tc>
          <w:tcPr>
            <w:tcW w:w="851" w:type="dxa"/>
            <w:tcBorders>
              <w:top w:val="single" w:sz="4" w:space="0" w:color="auto"/>
              <w:left w:val="single" w:sz="4" w:space="0" w:color="auto"/>
              <w:bottom w:val="single" w:sz="4" w:space="0" w:color="auto"/>
              <w:right w:val="single" w:sz="4" w:space="0" w:color="auto"/>
            </w:tcBorders>
          </w:tcPr>
          <w:p w14:paraId="2DF70404" w14:textId="77777777" w:rsidR="00CA23D0" w:rsidRPr="00E30642" w:rsidRDefault="00CA23D0" w:rsidP="00CA23D0">
            <w:pPr>
              <w:pStyle w:val="Texttabulky"/>
              <w:spacing w:line="240" w:lineRule="atLeast"/>
              <w:jc w:val="both"/>
              <w:rPr>
                <w:rFonts w:cs="Arial"/>
              </w:rPr>
            </w:pPr>
            <w:r w:rsidRPr="00E30642">
              <w:rPr>
                <w:rFonts w:cs="Arial"/>
              </w:rPr>
              <w:t>-5</w:t>
            </w:r>
          </w:p>
        </w:tc>
        <w:tc>
          <w:tcPr>
            <w:tcW w:w="708" w:type="dxa"/>
            <w:tcBorders>
              <w:top w:val="single" w:sz="4" w:space="0" w:color="auto"/>
              <w:left w:val="single" w:sz="4" w:space="0" w:color="auto"/>
              <w:bottom w:val="single" w:sz="4" w:space="0" w:color="auto"/>
              <w:right w:val="single" w:sz="4" w:space="0" w:color="auto"/>
            </w:tcBorders>
          </w:tcPr>
          <w:p w14:paraId="7861D0BC" w14:textId="77777777" w:rsidR="00CA23D0" w:rsidRPr="00E30642" w:rsidRDefault="00CA23D0" w:rsidP="00CA23D0">
            <w:pPr>
              <w:pStyle w:val="Texttabulky"/>
              <w:spacing w:line="240" w:lineRule="atLeast"/>
              <w:jc w:val="both"/>
              <w:rPr>
                <w:rFonts w:cs="Arial"/>
              </w:rPr>
            </w:pPr>
            <w:r w:rsidRPr="00E30642">
              <w:rPr>
                <w:rFonts w:cs="Arial"/>
              </w:rPr>
              <w:t>-5</w:t>
            </w:r>
          </w:p>
        </w:tc>
      </w:tr>
      <w:tr w:rsidR="00CA23D0" w:rsidRPr="00E30642" w14:paraId="345EE0F8" w14:textId="77777777" w:rsidTr="00CA23D0">
        <w:tc>
          <w:tcPr>
            <w:tcW w:w="559" w:type="dxa"/>
            <w:tcBorders>
              <w:top w:val="single" w:sz="4" w:space="0" w:color="auto"/>
              <w:left w:val="single" w:sz="6" w:space="0" w:color="auto"/>
              <w:bottom w:val="single" w:sz="6" w:space="0" w:color="auto"/>
              <w:right w:val="nil"/>
            </w:tcBorders>
          </w:tcPr>
          <w:p w14:paraId="01A004C0" w14:textId="77777777" w:rsidR="00CA23D0" w:rsidRPr="00E30642" w:rsidRDefault="00CA23D0" w:rsidP="00CA23D0">
            <w:pPr>
              <w:pStyle w:val="Zkladntext"/>
              <w:jc w:val="both"/>
              <w:rPr>
                <w:rFonts w:ascii="Arial" w:hAnsi="Arial" w:cs="Arial"/>
              </w:rPr>
            </w:pPr>
          </w:p>
        </w:tc>
        <w:tc>
          <w:tcPr>
            <w:tcW w:w="504" w:type="dxa"/>
            <w:tcBorders>
              <w:top w:val="single" w:sz="4" w:space="0" w:color="auto"/>
              <w:left w:val="nil"/>
              <w:bottom w:val="single" w:sz="6" w:space="0" w:color="auto"/>
              <w:right w:val="nil"/>
            </w:tcBorders>
          </w:tcPr>
          <w:p w14:paraId="72E2EAE6" w14:textId="77777777" w:rsidR="00CA23D0" w:rsidRPr="00E30642" w:rsidRDefault="00CA23D0" w:rsidP="00CA23D0">
            <w:pPr>
              <w:pStyle w:val="Zkladntext"/>
              <w:jc w:val="both"/>
              <w:rPr>
                <w:rFonts w:ascii="Arial" w:hAnsi="Arial" w:cs="Arial"/>
              </w:rPr>
            </w:pPr>
          </w:p>
        </w:tc>
        <w:tc>
          <w:tcPr>
            <w:tcW w:w="1854" w:type="dxa"/>
            <w:tcBorders>
              <w:top w:val="single" w:sz="4" w:space="0" w:color="auto"/>
              <w:left w:val="single" w:sz="6" w:space="0" w:color="auto"/>
              <w:bottom w:val="single" w:sz="6" w:space="0" w:color="auto"/>
              <w:right w:val="single" w:sz="6" w:space="0" w:color="auto"/>
            </w:tcBorders>
          </w:tcPr>
          <w:p w14:paraId="065A7FC2" w14:textId="77777777" w:rsidR="00CA23D0" w:rsidRPr="00E30642" w:rsidRDefault="00CA23D0" w:rsidP="00CA23D0">
            <w:pPr>
              <w:pStyle w:val="Texttabulky"/>
              <w:spacing w:line="240" w:lineRule="atLeast"/>
              <w:jc w:val="both"/>
              <w:rPr>
                <w:rFonts w:cs="Arial"/>
              </w:rPr>
            </w:pPr>
            <w:r w:rsidRPr="00E30642">
              <w:rPr>
                <w:rFonts w:cs="Arial"/>
                <w:b/>
                <w:bCs/>
              </w:rPr>
              <w:t>sektor IX</w:t>
            </w:r>
          </w:p>
        </w:tc>
        <w:tc>
          <w:tcPr>
            <w:tcW w:w="661" w:type="dxa"/>
            <w:tcBorders>
              <w:top w:val="single" w:sz="4" w:space="0" w:color="auto"/>
              <w:left w:val="nil"/>
              <w:bottom w:val="single" w:sz="6" w:space="0" w:color="auto"/>
              <w:right w:val="nil"/>
            </w:tcBorders>
          </w:tcPr>
          <w:p w14:paraId="58E3DA6A" w14:textId="77777777" w:rsidR="00CA23D0" w:rsidRPr="00E30642" w:rsidRDefault="00CA23D0" w:rsidP="00CA23D0">
            <w:pPr>
              <w:pStyle w:val="Texttabulky"/>
              <w:spacing w:line="240" w:lineRule="atLeast"/>
              <w:jc w:val="both"/>
              <w:rPr>
                <w:rFonts w:cs="Arial"/>
              </w:rPr>
            </w:pPr>
            <w:r w:rsidRPr="00E30642">
              <w:rPr>
                <w:rFonts w:cs="Arial"/>
                <w:b/>
                <w:bCs/>
              </w:rPr>
              <w:t>511</w:t>
            </w:r>
          </w:p>
        </w:tc>
        <w:tc>
          <w:tcPr>
            <w:tcW w:w="612" w:type="dxa"/>
            <w:tcBorders>
              <w:top w:val="single" w:sz="4" w:space="0" w:color="auto"/>
              <w:left w:val="single" w:sz="6" w:space="0" w:color="auto"/>
              <w:bottom w:val="single" w:sz="6" w:space="0" w:color="auto"/>
              <w:right w:val="nil"/>
            </w:tcBorders>
          </w:tcPr>
          <w:p w14:paraId="383F0367" w14:textId="77777777" w:rsidR="00CA23D0" w:rsidRPr="00E30642" w:rsidRDefault="00CA23D0" w:rsidP="00CA23D0">
            <w:pPr>
              <w:pStyle w:val="Texttabulky"/>
              <w:spacing w:line="240" w:lineRule="atLeast"/>
              <w:jc w:val="both"/>
              <w:rPr>
                <w:rFonts w:cs="Arial"/>
              </w:rPr>
            </w:pPr>
            <w:r w:rsidRPr="00E30642">
              <w:rPr>
                <w:rFonts w:cs="Arial"/>
                <w:b/>
                <w:bCs/>
              </w:rPr>
              <w:t>45</w:t>
            </w:r>
          </w:p>
        </w:tc>
        <w:tc>
          <w:tcPr>
            <w:tcW w:w="615" w:type="dxa"/>
            <w:tcBorders>
              <w:top w:val="single" w:sz="4" w:space="0" w:color="auto"/>
              <w:left w:val="nil"/>
              <w:bottom w:val="single" w:sz="6" w:space="0" w:color="auto"/>
              <w:right w:val="nil"/>
            </w:tcBorders>
          </w:tcPr>
          <w:p w14:paraId="647259A9" w14:textId="77777777" w:rsidR="00CA23D0" w:rsidRPr="00E30642" w:rsidRDefault="00CA23D0" w:rsidP="00CA23D0">
            <w:pPr>
              <w:pStyle w:val="Zkladntext"/>
              <w:jc w:val="both"/>
              <w:rPr>
                <w:rFonts w:ascii="Arial" w:hAnsi="Arial" w:cs="Arial"/>
              </w:rPr>
            </w:pPr>
          </w:p>
        </w:tc>
        <w:tc>
          <w:tcPr>
            <w:tcW w:w="675" w:type="dxa"/>
            <w:tcBorders>
              <w:top w:val="single" w:sz="4" w:space="0" w:color="auto"/>
              <w:left w:val="nil"/>
              <w:bottom w:val="single" w:sz="6" w:space="0" w:color="auto"/>
              <w:right w:val="single" w:sz="6" w:space="0" w:color="auto"/>
            </w:tcBorders>
          </w:tcPr>
          <w:p w14:paraId="11E6A108" w14:textId="77777777" w:rsidR="00CA23D0" w:rsidRPr="00E30642" w:rsidRDefault="00CA23D0" w:rsidP="00CA23D0">
            <w:pPr>
              <w:pStyle w:val="Zkladntext"/>
              <w:jc w:val="both"/>
              <w:rPr>
                <w:rFonts w:ascii="Arial" w:hAnsi="Arial" w:cs="Arial"/>
              </w:rPr>
            </w:pPr>
          </w:p>
        </w:tc>
        <w:tc>
          <w:tcPr>
            <w:tcW w:w="696" w:type="dxa"/>
            <w:tcBorders>
              <w:top w:val="single" w:sz="4" w:space="0" w:color="auto"/>
              <w:left w:val="nil"/>
              <w:bottom w:val="single" w:sz="6" w:space="0" w:color="auto"/>
              <w:right w:val="single" w:sz="4" w:space="0" w:color="auto"/>
            </w:tcBorders>
          </w:tcPr>
          <w:p w14:paraId="57BC7451" w14:textId="77777777" w:rsidR="00CA23D0" w:rsidRPr="00E30642" w:rsidRDefault="00CA23D0" w:rsidP="00CA23D0">
            <w:pPr>
              <w:pStyle w:val="Texttabulky"/>
              <w:spacing w:line="240" w:lineRule="atLeast"/>
              <w:jc w:val="both"/>
              <w:rPr>
                <w:rFonts w:cs="Arial"/>
              </w:rPr>
            </w:pPr>
            <w:r w:rsidRPr="00E30642">
              <w:rPr>
                <w:rFonts w:cs="Arial"/>
                <w:b/>
                <w:bCs/>
              </w:rPr>
              <w:t>525</w:t>
            </w:r>
          </w:p>
        </w:tc>
        <w:tc>
          <w:tcPr>
            <w:tcW w:w="705" w:type="dxa"/>
            <w:tcBorders>
              <w:top w:val="single" w:sz="4" w:space="0" w:color="auto"/>
              <w:left w:val="single" w:sz="4" w:space="0" w:color="auto"/>
              <w:bottom w:val="single" w:sz="6" w:space="0" w:color="auto"/>
              <w:right w:val="single" w:sz="6" w:space="0" w:color="auto"/>
            </w:tcBorders>
          </w:tcPr>
          <w:p w14:paraId="73C71B0B" w14:textId="77777777" w:rsidR="00CA23D0" w:rsidRPr="00E30642" w:rsidRDefault="00CA23D0" w:rsidP="00CA23D0">
            <w:pPr>
              <w:pStyle w:val="Texttabulky"/>
              <w:spacing w:line="240" w:lineRule="atLeast"/>
              <w:jc w:val="both"/>
              <w:rPr>
                <w:rFonts w:cs="Arial"/>
              </w:rPr>
            </w:pPr>
            <w:r w:rsidRPr="00E30642">
              <w:rPr>
                <w:rFonts w:cs="Arial"/>
                <w:b/>
                <w:bCs/>
              </w:rPr>
              <w:t>525</w:t>
            </w:r>
          </w:p>
        </w:tc>
        <w:tc>
          <w:tcPr>
            <w:tcW w:w="851" w:type="dxa"/>
            <w:tcBorders>
              <w:top w:val="single" w:sz="4" w:space="0" w:color="auto"/>
              <w:left w:val="nil"/>
              <w:bottom w:val="single" w:sz="6" w:space="0" w:color="auto"/>
              <w:right w:val="single" w:sz="4" w:space="0" w:color="auto"/>
            </w:tcBorders>
          </w:tcPr>
          <w:p w14:paraId="38656A1C" w14:textId="77777777" w:rsidR="00CA23D0" w:rsidRPr="00E30642" w:rsidRDefault="00CA23D0" w:rsidP="00CA23D0">
            <w:pPr>
              <w:pStyle w:val="Texttabulky"/>
              <w:spacing w:line="240" w:lineRule="atLeast"/>
              <w:jc w:val="both"/>
              <w:rPr>
                <w:rFonts w:cs="Arial"/>
              </w:rPr>
            </w:pPr>
            <w:r w:rsidRPr="00E30642">
              <w:rPr>
                <w:rFonts w:cs="Arial"/>
                <w:b/>
                <w:bCs/>
              </w:rPr>
              <w:t>14</w:t>
            </w:r>
          </w:p>
        </w:tc>
        <w:tc>
          <w:tcPr>
            <w:tcW w:w="708" w:type="dxa"/>
            <w:tcBorders>
              <w:top w:val="single" w:sz="4" w:space="0" w:color="auto"/>
              <w:left w:val="single" w:sz="4" w:space="0" w:color="auto"/>
              <w:bottom w:val="single" w:sz="6" w:space="0" w:color="auto"/>
              <w:right w:val="single" w:sz="6" w:space="0" w:color="auto"/>
            </w:tcBorders>
          </w:tcPr>
          <w:p w14:paraId="25A48A6B" w14:textId="77777777" w:rsidR="00CA23D0" w:rsidRPr="00E30642" w:rsidRDefault="00CA23D0" w:rsidP="00CA23D0">
            <w:pPr>
              <w:pStyle w:val="Texttabulky"/>
              <w:spacing w:line="240" w:lineRule="atLeast"/>
              <w:jc w:val="both"/>
              <w:rPr>
                <w:rFonts w:cs="Arial"/>
              </w:rPr>
            </w:pPr>
            <w:r w:rsidRPr="00E30642">
              <w:rPr>
                <w:rFonts w:cs="Arial"/>
                <w:b/>
                <w:bCs/>
              </w:rPr>
              <w:t>14</w:t>
            </w:r>
          </w:p>
        </w:tc>
      </w:tr>
    </w:tbl>
    <w:p w14:paraId="36E9697A" w14:textId="77777777" w:rsidR="00CA23D0" w:rsidRPr="00E30642" w:rsidRDefault="00CA23D0" w:rsidP="00CA23D0">
      <w:pPr>
        <w:autoSpaceDE w:val="0"/>
        <w:autoSpaceDN w:val="0"/>
        <w:adjustRightInd w:val="0"/>
        <w:jc w:val="both"/>
        <w:rPr>
          <w:rFonts w:ascii="Arial" w:hAnsi="Arial" w:cs="Arial"/>
          <w:sz w:val="20"/>
        </w:rPr>
      </w:pPr>
    </w:p>
    <w:p w14:paraId="33804FED" w14:textId="77777777" w:rsidR="00CA23D0" w:rsidRPr="00E30642" w:rsidRDefault="00CA23D0" w:rsidP="00CA23D0">
      <w:pPr>
        <w:pStyle w:val="podnadpis1"/>
        <w:jc w:val="both"/>
        <w:rPr>
          <w:rFonts w:cs="Arial"/>
        </w:rPr>
      </w:pPr>
    </w:p>
    <w:p w14:paraId="5C87126F" w14:textId="77777777" w:rsidR="00CA23D0" w:rsidRPr="00E30642" w:rsidRDefault="00CA23D0" w:rsidP="00CA23D0">
      <w:pPr>
        <w:pStyle w:val="podnadpis1"/>
        <w:jc w:val="both"/>
        <w:rPr>
          <w:rFonts w:cs="Arial"/>
        </w:rPr>
      </w:pPr>
      <w:r w:rsidRPr="00E30642">
        <w:rPr>
          <w:rFonts w:cs="Arial"/>
        </w:rPr>
        <w:t>C.2.  NÁVRH OBYTNÉHO ÚZEMÍ</w:t>
      </w:r>
    </w:p>
    <w:p w14:paraId="44DB1646" w14:textId="77777777" w:rsidR="00CA23D0" w:rsidRPr="00E30642" w:rsidRDefault="00CA23D0" w:rsidP="00CA23D0">
      <w:pPr>
        <w:pStyle w:val="Zkladntext"/>
        <w:jc w:val="both"/>
        <w:rPr>
          <w:rFonts w:ascii="Arial" w:hAnsi="Arial" w:cs="Arial"/>
        </w:rPr>
      </w:pPr>
    </w:p>
    <w:p w14:paraId="23F24F20" w14:textId="77777777" w:rsidR="00CA23D0" w:rsidRPr="00E30642" w:rsidRDefault="00CA23D0" w:rsidP="00CA23D0">
      <w:pPr>
        <w:pStyle w:val="dka"/>
        <w:jc w:val="both"/>
        <w:rPr>
          <w:rFonts w:cs="Arial"/>
        </w:rPr>
      </w:pPr>
      <w:r w:rsidRPr="00E30642">
        <w:rPr>
          <w:rFonts w:cs="Arial"/>
          <w:b/>
          <w:bCs/>
          <w:caps/>
        </w:rPr>
        <w:t xml:space="preserve">Pro prostorové uspořádání obytné zóny je charakteristické: </w:t>
      </w:r>
    </w:p>
    <w:p w14:paraId="21D25458" w14:textId="77777777" w:rsidR="00CA23D0" w:rsidRPr="00E30642" w:rsidRDefault="00CA23D0" w:rsidP="006031D6">
      <w:pPr>
        <w:pStyle w:val="Zkladntext"/>
        <w:numPr>
          <w:ilvl w:val="1"/>
          <w:numId w:val="20"/>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rozložení a prostorové uspořádání města, postupně vzniklého nejen z původně samostatných měst na obou březích Labe, ale i z celé řady dříve samostatných obcí – vsí;</w:t>
      </w:r>
    </w:p>
    <w:p w14:paraId="1CFA8605" w14:textId="77777777" w:rsidR="00CA23D0" w:rsidRPr="00E30642" w:rsidRDefault="00CA23D0" w:rsidP="006031D6">
      <w:pPr>
        <w:pStyle w:val="Zkladntext"/>
        <w:numPr>
          <w:ilvl w:val="1"/>
          <w:numId w:val="20"/>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uspořádání centrálního prostoru na soutoku čtyř vodotečí s dominantami zámku a Pastýřské stěny, regulované ve svém vývoji zejména trasami železniční dopravy a zátopovým územím řeky Labe;</w:t>
      </w:r>
    </w:p>
    <w:p w14:paraId="51F41D52" w14:textId="77777777" w:rsidR="00CA23D0" w:rsidRDefault="00CA23D0" w:rsidP="006031D6">
      <w:pPr>
        <w:pStyle w:val="Zkladntext"/>
        <w:numPr>
          <w:ilvl w:val="1"/>
          <w:numId w:val="20"/>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rozložením historicky vzniklé struktury komplexní zástavby "vnitřního města", zahrnujícího vlastní centrum a přilehlé městské čtvrti s charakterem smíšených, obytných či výrobních zón (Děčín, Nové Město, Staré Město, Podmokly, Rozbělesy, Letná, Dolní Oldřichov, Bynov, Želenice);</w:t>
      </w:r>
    </w:p>
    <w:p w14:paraId="1D15B2C6" w14:textId="77777777" w:rsidR="00D3579D" w:rsidRDefault="00D3579D" w:rsidP="00D3579D">
      <w:pPr>
        <w:pStyle w:val="Zkladntext"/>
        <w:suppressAutoHyphens w:val="0"/>
        <w:autoSpaceDE w:val="0"/>
        <w:autoSpaceDN w:val="0"/>
        <w:adjustRightInd w:val="0"/>
        <w:spacing w:before="120" w:after="0" w:line="288" w:lineRule="auto"/>
        <w:ind w:left="567"/>
        <w:jc w:val="both"/>
        <w:rPr>
          <w:rFonts w:ascii="Arial" w:hAnsi="Arial" w:cs="Arial"/>
          <w:sz w:val="22"/>
          <w:szCs w:val="22"/>
        </w:rPr>
      </w:pPr>
    </w:p>
    <w:p w14:paraId="6478238E" w14:textId="77777777" w:rsidR="00D3579D" w:rsidRPr="00E30642" w:rsidRDefault="00D3579D" w:rsidP="00D3579D">
      <w:pPr>
        <w:pStyle w:val="Zkladntext"/>
        <w:suppressAutoHyphens w:val="0"/>
        <w:autoSpaceDE w:val="0"/>
        <w:autoSpaceDN w:val="0"/>
        <w:adjustRightInd w:val="0"/>
        <w:spacing w:before="120" w:after="0" w:line="288" w:lineRule="auto"/>
        <w:ind w:left="567"/>
        <w:jc w:val="both"/>
        <w:rPr>
          <w:rFonts w:ascii="Arial" w:hAnsi="Arial" w:cs="Arial"/>
          <w:sz w:val="22"/>
          <w:szCs w:val="22"/>
        </w:rPr>
      </w:pPr>
    </w:p>
    <w:p w14:paraId="6FF8DF51" w14:textId="77777777" w:rsidR="00CA23D0" w:rsidRPr="00E30642" w:rsidRDefault="00CA23D0" w:rsidP="006031D6">
      <w:pPr>
        <w:pStyle w:val="Zkladntext"/>
        <w:numPr>
          <w:ilvl w:val="0"/>
          <w:numId w:val="23"/>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lastRenderedPageBreak/>
        <w:t>lokalizací původních vsí, pokud nebyly pohlceny zástavbou obytných souborů, s kterými město postupně doznívá v dosud harmonické krajině obou CHKO (Březiny, Chrochvice, Vilsnice, Krásný Studenec, Horní Oldřichov, Boletice n. L.) "vnější město".</w:t>
      </w:r>
    </w:p>
    <w:p w14:paraId="399C135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Návrh řešení obytného území ÚPN vychází z analýzy dosavadního vývoje (současného stavu) a předpokládaným možným rozvojem, formulovaných v požadavcích ÚHZ a souborného stanoviska. </w:t>
      </w:r>
    </w:p>
    <w:p w14:paraId="33A0018C" w14:textId="77777777" w:rsidR="00CA23D0" w:rsidRPr="00E30642" w:rsidRDefault="00CA23D0" w:rsidP="00CA23D0">
      <w:pPr>
        <w:pStyle w:val="dka"/>
        <w:spacing w:before="120" w:after="0" w:line="288" w:lineRule="auto"/>
        <w:ind w:firstLine="709"/>
        <w:jc w:val="both"/>
        <w:rPr>
          <w:rFonts w:cs="Arial"/>
        </w:rPr>
      </w:pPr>
      <w:r w:rsidRPr="00E30642">
        <w:rPr>
          <w:rFonts w:cs="Arial"/>
          <w:b/>
          <w:bCs/>
        </w:rPr>
        <w:t>Navržené řešení upřednostňuje formu "kompaktního města".</w:t>
      </w:r>
    </w:p>
    <w:p w14:paraId="1C683021" w14:textId="77777777" w:rsidR="00CA23D0" w:rsidRPr="00E30642" w:rsidRDefault="00CA23D0" w:rsidP="00CA23D0">
      <w:pPr>
        <w:pStyle w:val="dka"/>
        <w:jc w:val="both"/>
        <w:rPr>
          <w:rFonts w:cs="Arial"/>
        </w:rPr>
      </w:pPr>
    </w:p>
    <w:p w14:paraId="640B146A" w14:textId="77777777" w:rsidR="00CA23D0" w:rsidRPr="00E30642" w:rsidRDefault="00CA23D0" w:rsidP="00CA23D0">
      <w:pPr>
        <w:pStyle w:val="dka"/>
        <w:jc w:val="both"/>
        <w:rPr>
          <w:rFonts w:cs="Arial"/>
        </w:rPr>
      </w:pPr>
      <w:r w:rsidRPr="00E30642">
        <w:rPr>
          <w:rFonts w:cs="Arial"/>
          <w:b/>
          <w:bCs/>
          <w:caps/>
        </w:rPr>
        <w:t>Navržená koncepce rozvoje:</w:t>
      </w:r>
      <w:r w:rsidRPr="00E30642">
        <w:rPr>
          <w:rFonts w:cs="Arial"/>
          <w:caps/>
        </w:rPr>
        <w:t xml:space="preserve"> </w:t>
      </w:r>
    </w:p>
    <w:p w14:paraId="181B09B7" w14:textId="77777777" w:rsidR="00CA23D0" w:rsidRPr="00E30642" w:rsidRDefault="00CA23D0" w:rsidP="006031D6">
      <w:pPr>
        <w:pStyle w:val="Zkladntext"/>
        <w:numPr>
          <w:ilvl w:val="0"/>
          <w:numId w:val="23"/>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regeneruje a posiluje všechny významné funkce, urbanistickou strukturu i funkční využití jednotlivých městských čtvrtí – zón;</w:t>
      </w:r>
    </w:p>
    <w:p w14:paraId="605077D6" w14:textId="77777777" w:rsidR="00CA23D0" w:rsidRPr="00E30642" w:rsidRDefault="00CA23D0" w:rsidP="006031D6">
      <w:pPr>
        <w:pStyle w:val="Zkladntext"/>
        <w:numPr>
          <w:ilvl w:val="0"/>
          <w:numId w:val="23"/>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stabilizuje zejména funkčně i prostorově centrální část - zónu města;</w:t>
      </w:r>
    </w:p>
    <w:p w14:paraId="0A123C17" w14:textId="77777777" w:rsidR="00CA23D0" w:rsidRPr="00E30642" w:rsidRDefault="00CA23D0" w:rsidP="006031D6">
      <w:pPr>
        <w:pStyle w:val="Zkladntext"/>
        <w:numPr>
          <w:ilvl w:val="0"/>
          <w:numId w:val="23"/>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navrhuje rozvoj obytného území do nejvhodnějších prostorů s příznivými dopravními i technickými podmínkami s vymezením odpovídajících rezerv;</w:t>
      </w:r>
    </w:p>
    <w:p w14:paraId="7897EEAE" w14:textId="77777777" w:rsidR="00CA23D0" w:rsidRPr="00E30642" w:rsidRDefault="00CA23D0" w:rsidP="006031D6">
      <w:pPr>
        <w:pStyle w:val="Zkladntext"/>
        <w:numPr>
          <w:ilvl w:val="0"/>
          <w:numId w:val="23"/>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navrhuje regulativy pro výhledové funkční a prostorové uspořádání, nevhodná zařízení vymisťuje, všechna vhodná návrhem stabilizuje;</w:t>
      </w:r>
    </w:p>
    <w:p w14:paraId="77AC8F7B" w14:textId="77777777" w:rsidR="00CA23D0" w:rsidRPr="00E30642" w:rsidRDefault="00CA23D0" w:rsidP="006031D6">
      <w:pPr>
        <w:pStyle w:val="Zkladntext"/>
        <w:numPr>
          <w:ilvl w:val="0"/>
          <w:numId w:val="23"/>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nenavrhuje žádné dominantní struktury, ve výškovém zónování uplatňuje max. 4-5 podlaží pro městské a bytové domy a 2 podlaží pro rodinné domy;</w:t>
      </w:r>
    </w:p>
    <w:p w14:paraId="32094EB5" w14:textId="77777777" w:rsidR="00CA23D0" w:rsidRPr="00E30642" w:rsidRDefault="00CA23D0" w:rsidP="006031D6">
      <w:pPr>
        <w:pStyle w:val="Zkladntext"/>
        <w:numPr>
          <w:ilvl w:val="0"/>
          <w:numId w:val="23"/>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jako hlavní prostory možné dostavby a přestavby území města jsou navrženy lokality: Podmokly, Děčín střed a Staré Město.</w:t>
      </w:r>
    </w:p>
    <w:p w14:paraId="2A1D345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Návrh rozvoje jednotlivých funkčních zón a systémů je obsahem následujících kapitol, podrobná specifikace využití jednotlivých lokalit a prostorů je patrna z tabelárního přehledu členěného dle městských sektorů (I - IX). </w:t>
      </w:r>
    </w:p>
    <w:p w14:paraId="3D6CFAF7" w14:textId="77777777" w:rsidR="00CA23D0" w:rsidRPr="00E30642" w:rsidRDefault="00CA23D0" w:rsidP="00CA23D0">
      <w:pPr>
        <w:pStyle w:val="Zkladntext"/>
        <w:jc w:val="both"/>
        <w:rPr>
          <w:rFonts w:ascii="Arial" w:hAnsi="Arial" w:cs="Arial"/>
        </w:rPr>
      </w:pPr>
    </w:p>
    <w:p w14:paraId="18E4B305" w14:textId="77777777" w:rsidR="00CA23D0" w:rsidRPr="00E30642" w:rsidRDefault="00CA23D0" w:rsidP="00CA23D0">
      <w:pPr>
        <w:pStyle w:val="dka"/>
        <w:jc w:val="both"/>
        <w:rPr>
          <w:rFonts w:cs="Arial"/>
        </w:rPr>
      </w:pPr>
      <w:r w:rsidRPr="00E30642">
        <w:rPr>
          <w:rFonts w:cs="Arial"/>
          <w:b/>
          <w:bCs/>
        </w:rPr>
        <w:t xml:space="preserve">Funkční využití území města </w:t>
      </w:r>
    </w:p>
    <w:p w14:paraId="18B47FC4" w14:textId="77777777" w:rsidR="00CA23D0" w:rsidRPr="00E30642" w:rsidRDefault="00CA23D0" w:rsidP="006031D6">
      <w:pPr>
        <w:pStyle w:val="Zkladntext"/>
        <w:numPr>
          <w:ilvl w:val="0"/>
          <w:numId w:val="23"/>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současné zastavěné území města, včetně veřejné zeleně a lesoparků je cca 1290 ha, což představuje 11 % z celkové plochy území města (11 803 ha);</w:t>
      </w:r>
    </w:p>
    <w:p w14:paraId="5F96377A" w14:textId="77777777" w:rsidR="00CA23D0" w:rsidRPr="00E30642" w:rsidRDefault="00CA23D0" w:rsidP="006031D6">
      <w:pPr>
        <w:pStyle w:val="Zkladntext"/>
        <w:numPr>
          <w:ilvl w:val="0"/>
          <w:numId w:val="23"/>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 xml:space="preserve">z hlediska funkčního využití pak </w:t>
      </w:r>
      <w:r w:rsidRPr="00E30642">
        <w:rPr>
          <w:rFonts w:ascii="Arial" w:hAnsi="Arial" w:cs="Arial"/>
          <w:b/>
          <w:bCs/>
          <w:sz w:val="22"/>
          <w:szCs w:val="22"/>
        </w:rPr>
        <w:t>obytné území</w:t>
      </w:r>
      <w:r w:rsidRPr="00E30642">
        <w:rPr>
          <w:rFonts w:ascii="Arial" w:hAnsi="Arial" w:cs="Arial"/>
          <w:sz w:val="22"/>
          <w:szCs w:val="22"/>
        </w:rPr>
        <w:t xml:space="preserve"> (městské domy, obytné domy a rodinné domy) zahrnuje plochy v rozsahu 583 ha, plochy </w:t>
      </w:r>
      <w:r w:rsidRPr="00E30642">
        <w:rPr>
          <w:rFonts w:ascii="Arial" w:hAnsi="Arial" w:cs="Arial"/>
          <w:b/>
          <w:bCs/>
          <w:sz w:val="22"/>
          <w:szCs w:val="22"/>
        </w:rPr>
        <w:t xml:space="preserve">vybavenosti a sportu </w:t>
      </w:r>
      <w:r w:rsidRPr="00E30642">
        <w:rPr>
          <w:rFonts w:ascii="Arial" w:hAnsi="Arial" w:cs="Arial"/>
          <w:sz w:val="22"/>
          <w:szCs w:val="22"/>
        </w:rPr>
        <w:t xml:space="preserve">147 ha, plochy </w:t>
      </w:r>
      <w:r w:rsidRPr="00E30642">
        <w:rPr>
          <w:rFonts w:ascii="Arial" w:hAnsi="Arial" w:cs="Arial"/>
          <w:b/>
          <w:bCs/>
          <w:sz w:val="22"/>
          <w:szCs w:val="22"/>
        </w:rPr>
        <w:t>veřejné</w:t>
      </w:r>
      <w:r w:rsidRPr="00E30642">
        <w:rPr>
          <w:rFonts w:ascii="Arial" w:hAnsi="Arial" w:cs="Arial"/>
          <w:sz w:val="22"/>
          <w:szCs w:val="22"/>
        </w:rPr>
        <w:t xml:space="preserve"> </w:t>
      </w:r>
      <w:r w:rsidRPr="00E30642">
        <w:rPr>
          <w:rFonts w:ascii="Arial" w:hAnsi="Arial" w:cs="Arial"/>
          <w:b/>
          <w:bCs/>
          <w:sz w:val="22"/>
          <w:szCs w:val="22"/>
        </w:rPr>
        <w:t>zeleně a lesoparků</w:t>
      </w:r>
      <w:r w:rsidRPr="00E30642">
        <w:rPr>
          <w:rFonts w:ascii="Arial" w:hAnsi="Arial" w:cs="Arial"/>
          <w:sz w:val="22"/>
          <w:szCs w:val="22"/>
        </w:rPr>
        <w:t xml:space="preserve"> 120 ha, plochy</w:t>
      </w:r>
      <w:r w:rsidRPr="00E30642">
        <w:rPr>
          <w:rFonts w:ascii="Arial" w:hAnsi="Arial" w:cs="Arial"/>
          <w:b/>
          <w:bCs/>
          <w:sz w:val="22"/>
          <w:szCs w:val="22"/>
        </w:rPr>
        <w:t xml:space="preserve"> výroby a techn. vybavení </w:t>
      </w:r>
      <w:r w:rsidRPr="00E30642">
        <w:rPr>
          <w:rFonts w:ascii="Arial" w:hAnsi="Arial" w:cs="Arial"/>
          <w:sz w:val="22"/>
          <w:szCs w:val="22"/>
        </w:rPr>
        <w:t>244 ha</w:t>
      </w:r>
      <w:r w:rsidRPr="00E30642">
        <w:rPr>
          <w:rFonts w:ascii="Arial" w:hAnsi="Arial" w:cs="Arial"/>
          <w:b/>
          <w:bCs/>
          <w:sz w:val="22"/>
          <w:szCs w:val="22"/>
        </w:rPr>
        <w:t xml:space="preserve"> a dopravy</w:t>
      </w:r>
      <w:r w:rsidRPr="00E30642">
        <w:rPr>
          <w:rFonts w:ascii="Arial" w:hAnsi="Arial" w:cs="Arial"/>
          <w:sz w:val="22"/>
          <w:szCs w:val="22"/>
        </w:rPr>
        <w:t xml:space="preserve"> 302 ha;</w:t>
      </w:r>
    </w:p>
    <w:p w14:paraId="20DB22C8" w14:textId="77777777" w:rsidR="00CA23D0" w:rsidRPr="00E30642" w:rsidRDefault="00CA23D0" w:rsidP="006031D6">
      <w:pPr>
        <w:pStyle w:val="Zkladntext"/>
        <w:numPr>
          <w:ilvl w:val="0"/>
          <w:numId w:val="23"/>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z hlediska intenzity zástavby a využití území města dominují svou strukturou městské sektory VI. Nové Město, Staré Město, Březiny (25 %), II. Letná - Želenice (17,5 %), IV. Bynov - Oldřichov (14,5  %) a I. centrum (10,5 %) z celkového zastavěného území města.;</w:t>
      </w:r>
    </w:p>
    <w:p w14:paraId="11D215DF" w14:textId="77777777" w:rsidR="00CA23D0" w:rsidRPr="00E30642" w:rsidRDefault="00CA23D0" w:rsidP="006031D6">
      <w:pPr>
        <w:pStyle w:val="Zkladntext"/>
        <w:numPr>
          <w:ilvl w:val="0"/>
          <w:numId w:val="23"/>
        </w:numPr>
        <w:suppressAutoHyphens w:val="0"/>
        <w:autoSpaceDE w:val="0"/>
        <w:autoSpaceDN w:val="0"/>
        <w:adjustRightInd w:val="0"/>
        <w:spacing w:before="120" w:after="0" w:line="288" w:lineRule="auto"/>
        <w:ind w:left="567"/>
        <w:jc w:val="both"/>
        <w:rPr>
          <w:rFonts w:ascii="Arial" w:hAnsi="Arial" w:cs="Arial"/>
          <w:sz w:val="22"/>
          <w:szCs w:val="22"/>
        </w:rPr>
      </w:pPr>
      <w:r w:rsidRPr="00E30642">
        <w:rPr>
          <w:rFonts w:ascii="Arial" w:hAnsi="Arial" w:cs="Arial"/>
          <w:sz w:val="22"/>
          <w:szCs w:val="22"/>
        </w:rPr>
        <w:t>na základě těchto skutečností je zřejmé, že Děčín lze charakterizovat jako "město kompaktní" s širokým zázemím přírodních faktorů (lesy 59 % a ZPF 24 % plochy města). V tomto rámci a vytčených zásadách je uplatněna i navržená koncepce jeho územního rozvoje.</w:t>
      </w:r>
    </w:p>
    <w:p w14:paraId="439DBCD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 xml:space="preserve">Současný rozsah území (individuelní a kolektivní bydlení) činí 583,47 ha, což představuje 32 % z plochy současného zastavěného území města a 5 % z celkové plochy města v rámci administrativních hranic. </w:t>
      </w:r>
    </w:p>
    <w:p w14:paraId="1563549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Zástavba </w:t>
      </w:r>
      <w:r w:rsidRPr="00E30642">
        <w:rPr>
          <w:rFonts w:ascii="Arial" w:hAnsi="Arial" w:cs="Arial"/>
          <w:b/>
          <w:bCs/>
          <w:sz w:val="22"/>
          <w:szCs w:val="22"/>
        </w:rPr>
        <w:t>rodinných domů</w:t>
      </w:r>
      <w:r w:rsidRPr="00E30642">
        <w:rPr>
          <w:rFonts w:ascii="Arial" w:hAnsi="Arial" w:cs="Arial"/>
          <w:sz w:val="22"/>
          <w:szCs w:val="22"/>
        </w:rPr>
        <w:t xml:space="preserve"> je včetně obytných zahrad na ploše 469 ha (dle počtu objektů 64 %, 36 % objektů jsou pak obytné domy celkem - městské polyfunkční, panelové sídlištní). Zástavba</w:t>
      </w:r>
      <w:r w:rsidRPr="00E30642">
        <w:rPr>
          <w:rFonts w:ascii="Arial" w:hAnsi="Arial" w:cs="Arial"/>
          <w:b/>
          <w:bCs/>
          <w:sz w:val="22"/>
          <w:szCs w:val="22"/>
        </w:rPr>
        <w:t xml:space="preserve"> </w:t>
      </w:r>
      <w:r w:rsidRPr="00E30642">
        <w:rPr>
          <w:rFonts w:ascii="Arial" w:hAnsi="Arial" w:cs="Arial"/>
          <w:sz w:val="22"/>
          <w:szCs w:val="22"/>
        </w:rPr>
        <w:t xml:space="preserve">rodinných domů je potom lokalizována v nejatraktivnějších prostorech města (Bělá, Jalůvčí, Škrabky, Horní Oldřichov, Letná, Nové Město, Chrochvice), v prostorech ostatních představuje spíše ojedinělé lokality charakteru spíše venkovského bydlení (Vilsnice, Křešice, Krásný Studenec, Březiny, Folknáře, Horní, Dolní a Prostřední Žleb, Lesná, Velká Veleň apod.). </w:t>
      </w:r>
    </w:p>
    <w:p w14:paraId="1EB1B4D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Návrh řešení lokalizuje formu rodinného bydlení na ploše 54 ha, 97ha představují výhledové rezervy.</w:t>
      </w:r>
    </w:p>
    <w:p w14:paraId="2273A9F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Charakteristická zástavba </w:t>
      </w:r>
      <w:r w:rsidRPr="00E30642">
        <w:rPr>
          <w:rFonts w:ascii="Arial" w:hAnsi="Arial" w:cs="Arial"/>
          <w:b/>
          <w:bCs/>
          <w:sz w:val="22"/>
          <w:szCs w:val="22"/>
        </w:rPr>
        <w:t>městských polyfunkčních domů</w:t>
      </w:r>
      <w:r w:rsidRPr="00E30642">
        <w:rPr>
          <w:rFonts w:ascii="Arial" w:hAnsi="Arial" w:cs="Arial"/>
          <w:sz w:val="22"/>
          <w:szCs w:val="22"/>
        </w:rPr>
        <w:t xml:space="preserve"> je lokalizována především v centrech na obou březích Labe na ploše 45 ha (Děčín, Podmokly - 42 %, na Novém Městě a Starém Městě (27 %), Bynově a Oldřichově (12 %) a zčásti Letné a Želenic (9 %). Návrh řešení lokalizuje formu bydlení na ploše 7 ha, 1,3 ha představují výhledové rezervy.</w:t>
      </w:r>
    </w:p>
    <w:p w14:paraId="4A4B7CD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Monofunkční obytné domy</w:t>
      </w:r>
      <w:r w:rsidRPr="00E30642">
        <w:rPr>
          <w:rFonts w:ascii="Arial" w:hAnsi="Arial" w:cs="Arial"/>
          <w:sz w:val="22"/>
          <w:szCs w:val="22"/>
        </w:rPr>
        <w:t xml:space="preserve"> jsou potom charakteristické pro zástavbu "obytných souborů (Nové Město a Staré Město 36 %, Letná a Želenice 26 %, Bynov 15 %), jejichž současná celková plocha činí 68 ha. Návrh řešení lokalizuje tuto formu bydlení na ploše 6,85 ha, 3,37 ha představují výhledové rezervy.</w:t>
      </w:r>
    </w:p>
    <w:p w14:paraId="4D00E200" w14:textId="77777777" w:rsidR="00CA23D0" w:rsidRPr="00E30642" w:rsidRDefault="00CA23D0" w:rsidP="00CA23D0">
      <w:pPr>
        <w:pStyle w:val="dka"/>
        <w:jc w:val="both"/>
        <w:rPr>
          <w:rFonts w:cs="Arial"/>
        </w:rPr>
      </w:pPr>
    </w:p>
    <w:p w14:paraId="35EB060C" w14:textId="77777777" w:rsidR="00CA23D0" w:rsidRPr="00E30642" w:rsidRDefault="00CA23D0" w:rsidP="00CA23D0">
      <w:pPr>
        <w:pStyle w:val="podnadpis2"/>
        <w:jc w:val="both"/>
        <w:rPr>
          <w:rFonts w:cs="Arial"/>
        </w:rPr>
      </w:pPr>
      <w:r w:rsidRPr="00E30642">
        <w:rPr>
          <w:rFonts w:cs="Arial"/>
        </w:rPr>
        <w:t>Sociální bydlení</w:t>
      </w:r>
    </w:p>
    <w:p w14:paraId="1453D15B" w14:textId="77777777" w:rsidR="00CA23D0" w:rsidRPr="00E30642" w:rsidRDefault="00CA23D0" w:rsidP="00CA23D0">
      <w:pPr>
        <w:pStyle w:val="Zkladntext"/>
        <w:spacing w:before="120" w:after="0" w:line="288" w:lineRule="auto"/>
        <w:ind w:firstLine="709"/>
        <w:jc w:val="both"/>
        <w:rPr>
          <w:rFonts w:ascii="Arial" w:hAnsi="Arial" w:cs="Arial"/>
          <w:bCs/>
          <w:sz w:val="22"/>
          <w:szCs w:val="22"/>
        </w:rPr>
      </w:pPr>
      <w:r w:rsidRPr="00E30642">
        <w:rPr>
          <w:rFonts w:ascii="Arial" w:hAnsi="Arial" w:cs="Arial"/>
          <w:bCs/>
          <w:sz w:val="22"/>
          <w:szCs w:val="22"/>
        </w:rPr>
        <w:t xml:space="preserve">Do této kategorie je zařazena forma "kolektivního bydlení" v malometrážních bytech (garsonky, 1+1), sloužící zejména jako "startovací bydlení" pro mladé rodiny a ostatní obyvatele, pro které je tato forma bydlení optimální. (dostavba proluk v centru na obou březích Labe </w:t>
      </w:r>
      <w:r w:rsidRPr="00E30642">
        <w:rPr>
          <w:rFonts w:ascii="Arial" w:hAnsi="Arial" w:cs="Arial"/>
          <w:bCs/>
          <w:sz w:val="22"/>
          <w:szCs w:val="22"/>
        </w:rPr>
        <w:br/>
        <w:t>– 100 b. j., Kamenická ul. - 150 b. j. , Jiřího z Poděbrad - 40 b. j.).</w:t>
      </w:r>
    </w:p>
    <w:p w14:paraId="6E933F1C" w14:textId="77777777" w:rsidR="00CA23D0" w:rsidRPr="00E30642" w:rsidRDefault="00CA23D0" w:rsidP="00CA23D0">
      <w:pPr>
        <w:pStyle w:val="Zkladntext"/>
        <w:jc w:val="both"/>
        <w:rPr>
          <w:rFonts w:ascii="Arial" w:hAnsi="Arial" w:cs="Arial"/>
        </w:rPr>
      </w:pPr>
    </w:p>
    <w:p w14:paraId="21E91813" w14:textId="77777777" w:rsidR="00CA23D0" w:rsidRPr="00E30642" w:rsidRDefault="00CA23D0" w:rsidP="00CA23D0">
      <w:pPr>
        <w:pStyle w:val="podnadpis2"/>
        <w:jc w:val="both"/>
        <w:rPr>
          <w:rFonts w:cs="Arial"/>
        </w:rPr>
      </w:pPr>
      <w:r w:rsidRPr="00E30642">
        <w:rPr>
          <w:rFonts w:cs="Arial"/>
        </w:rPr>
        <w:t xml:space="preserve">Holobyty </w:t>
      </w:r>
    </w:p>
    <w:p w14:paraId="064D50F8" w14:textId="77777777" w:rsidR="00CA23D0" w:rsidRPr="00E30642" w:rsidRDefault="00CA23D0" w:rsidP="00CA23D0">
      <w:pPr>
        <w:pStyle w:val="Zkladntext"/>
        <w:spacing w:before="120" w:after="0" w:line="288" w:lineRule="auto"/>
        <w:ind w:firstLine="709"/>
        <w:jc w:val="both"/>
        <w:rPr>
          <w:rFonts w:ascii="Arial" w:hAnsi="Arial" w:cs="Arial"/>
          <w:bCs/>
          <w:sz w:val="22"/>
          <w:szCs w:val="22"/>
        </w:rPr>
      </w:pPr>
      <w:r w:rsidRPr="00E30642">
        <w:rPr>
          <w:rFonts w:ascii="Arial" w:hAnsi="Arial" w:cs="Arial"/>
          <w:bCs/>
          <w:sz w:val="22"/>
          <w:szCs w:val="22"/>
        </w:rPr>
        <w:t>Do této kategorie bývá zpravidla zařazena forma "jednoduchého bydlení", plně odpovídající mentalitě a způsobu života jejich obyvatel (maloplošné jednotky, vybavené pouze nejzákladnějším vybavením). Záměr vybudovat menší ubytovací kapacitu byl realizován v Horní Žlebu. Nové požadavky nejsou nárokovány.</w:t>
      </w:r>
    </w:p>
    <w:p w14:paraId="5F27F92F" w14:textId="77777777" w:rsidR="00CA23D0" w:rsidRDefault="00CA23D0" w:rsidP="00CA23D0">
      <w:pPr>
        <w:pStyle w:val="Zkladntext"/>
        <w:spacing w:before="120" w:after="0" w:line="288" w:lineRule="auto"/>
        <w:ind w:firstLine="709"/>
        <w:jc w:val="both"/>
        <w:rPr>
          <w:rFonts w:ascii="Arial" w:hAnsi="Arial" w:cs="Arial"/>
          <w:bCs/>
          <w:sz w:val="22"/>
          <w:szCs w:val="22"/>
        </w:rPr>
      </w:pPr>
      <w:r w:rsidRPr="00E30642">
        <w:rPr>
          <w:rFonts w:ascii="Arial" w:hAnsi="Arial" w:cs="Arial"/>
          <w:bCs/>
          <w:sz w:val="22"/>
          <w:szCs w:val="22"/>
        </w:rPr>
        <w:t xml:space="preserve">Pro event. řešení nově vzniklé situace se doporučuje využít vhodného objektu, bez ohledu na funkci zóny (např. Rozbělesy). Jako nevhodná se považuje lokalizace v centrální části města, lokalitách rod. bydlení nebo v obytných souborech "kolektivního bydlení". </w:t>
      </w:r>
    </w:p>
    <w:p w14:paraId="1B8F57AB" w14:textId="77777777" w:rsidR="00D3579D" w:rsidRDefault="00D3579D" w:rsidP="00CA23D0">
      <w:pPr>
        <w:pStyle w:val="Zkladntext"/>
        <w:spacing w:before="120" w:after="0" w:line="288" w:lineRule="auto"/>
        <w:ind w:firstLine="709"/>
        <w:jc w:val="both"/>
        <w:rPr>
          <w:rFonts w:ascii="Arial" w:hAnsi="Arial" w:cs="Arial"/>
          <w:bCs/>
          <w:sz w:val="22"/>
          <w:szCs w:val="22"/>
        </w:rPr>
      </w:pPr>
    </w:p>
    <w:p w14:paraId="6522FB8F" w14:textId="77777777" w:rsidR="00D3579D" w:rsidRDefault="00D3579D" w:rsidP="00CA23D0">
      <w:pPr>
        <w:pStyle w:val="Zkladntext"/>
        <w:spacing w:before="120" w:after="0" w:line="288" w:lineRule="auto"/>
        <w:ind w:firstLine="709"/>
        <w:jc w:val="both"/>
        <w:rPr>
          <w:rFonts w:ascii="Arial" w:hAnsi="Arial" w:cs="Arial"/>
          <w:bCs/>
          <w:sz w:val="22"/>
          <w:szCs w:val="22"/>
        </w:rPr>
      </w:pPr>
    </w:p>
    <w:p w14:paraId="0A197EE2" w14:textId="77777777" w:rsidR="00D3579D" w:rsidRPr="00E30642" w:rsidRDefault="00D3579D" w:rsidP="00CA23D0">
      <w:pPr>
        <w:pStyle w:val="Zkladntext"/>
        <w:spacing w:before="120" w:after="0" w:line="288" w:lineRule="auto"/>
        <w:ind w:firstLine="709"/>
        <w:jc w:val="both"/>
        <w:rPr>
          <w:rFonts w:ascii="Arial" w:hAnsi="Arial" w:cs="Arial"/>
          <w:bCs/>
          <w:sz w:val="22"/>
          <w:szCs w:val="22"/>
        </w:rPr>
      </w:pPr>
    </w:p>
    <w:p w14:paraId="0F256717" w14:textId="77777777" w:rsidR="00CA23D0" w:rsidRPr="00E30642" w:rsidRDefault="00CA23D0" w:rsidP="00CA23D0">
      <w:pPr>
        <w:pStyle w:val="Zkladntext"/>
        <w:jc w:val="both"/>
        <w:rPr>
          <w:rFonts w:ascii="Arial" w:hAnsi="Arial" w:cs="Arial"/>
        </w:rPr>
      </w:pPr>
    </w:p>
    <w:p w14:paraId="28F09FAB" w14:textId="77777777" w:rsidR="00CA23D0" w:rsidRPr="00E30642" w:rsidRDefault="00CA23D0" w:rsidP="00CA23D0">
      <w:pPr>
        <w:pStyle w:val="Zkladntext"/>
        <w:jc w:val="both"/>
        <w:rPr>
          <w:rFonts w:ascii="Arial" w:hAnsi="Arial" w:cs="Arial"/>
        </w:rPr>
      </w:pPr>
      <w:r w:rsidRPr="00E30642">
        <w:rPr>
          <w:rFonts w:ascii="Arial" w:hAnsi="Arial" w:cs="Arial"/>
          <w:b/>
          <w:bCs/>
          <w:caps/>
        </w:rPr>
        <w:lastRenderedPageBreak/>
        <w:t xml:space="preserve">Koncepce rozvoje obytného území vychází zejména z: </w:t>
      </w:r>
    </w:p>
    <w:p w14:paraId="322A3372"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celkové základní koncepce rozvoje města;</w:t>
      </w:r>
    </w:p>
    <w:p w14:paraId="18046B77"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stávající urbanistické struktury této zóny;</w:t>
      </w:r>
    </w:p>
    <w:p w14:paraId="7C9B7FE8"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reálných možností rozvoje této funkce včetně výhledu – rezerv;</w:t>
      </w:r>
    </w:p>
    <w:p w14:paraId="7486D2A7"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zásad rozvoje "kompaktního města" tak, že nenavrhuje izolované lokality;</w:t>
      </w:r>
    </w:p>
    <w:p w14:paraId="734C35BE"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regulativů výstavby navržených lokalit;</w:t>
      </w:r>
    </w:p>
    <w:p w14:paraId="4DB6BB93"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z reálné výhledové dopravní situace a možnosti napojení na sítě technické infrastruktury;</w:t>
      </w:r>
    </w:p>
    <w:p w14:paraId="7646D27C"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stavebního stavu a využití objektů pro možnou komplexní přestavbu navrženého prostoru (ul. Litoměřická Staré Město);</w:t>
      </w:r>
    </w:p>
    <w:p w14:paraId="1605E852"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rozsahu bytové výstavby byl redukovaného a upřesněného jednak dle požadavků souborného stanoviska (Chrochvice, Folknáře, Křešice) a jednak dle projednaných studií (Jesenice, St. Město - Trabalka, ARMEX) a existence "interakčních prvků ÚSES" (Horní Oldřichov, Čechy).</w:t>
      </w:r>
    </w:p>
    <w:p w14:paraId="7BAE3C45" w14:textId="77777777" w:rsidR="00CA23D0" w:rsidRPr="00E30642" w:rsidRDefault="00CA23D0" w:rsidP="00CA23D0">
      <w:pPr>
        <w:pStyle w:val="Znaka"/>
        <w:spacing w:before="120" w:after="0" w:line="288" w:lineRule="auto"/>
        <w:ind w:left="1798"/>
        <w:jc w:val="both"/>
        <w:rPr>
          <w:rFonts w:cs="Arial"/>
        </w:rPr>
      </w:pPr>
    </w:p>
    <w:p w14:paraId="664B22E4" w14:textId="77777777" w:rsidR="00CA23D0" w:rsidRPr="00E30642" w:rsidRDefault="00CA23D0" w:rsidP="00CA23D0">
      <w:pPr>
        <w:pStyle w:val="Zkladntext"/>
        <w:jc w:val="both"/>
        <w:rPr>
          <w:rFonts w:ascii="Arial" w:hAnsi="Arial" w:cs="Arial"/>
        </w:rPr>
      </w:pPr>
      <w:r w:rsidRPr="00E30642">
        <w:rPr>
          <w:rFonts w:ascii="Arial" w:hAnsi="Arial" w:cs="Arial"/>
          <w:b/>
          <w:bCs/>
          <w:caps/>
        </w:rPr>
        <w:t xml:space="preserve">       návrh obytného území</w:t>
      </w:r>
    </w:p>
    <w:p w14:paraId="6B868088" w14:textId="77777777" w:rsidR="00CA23D0" w:rsidRPr="00E30642" w:rsidRDefault="00CA23D0" w:rsidP="00CA23D0">
      <w:pPr>
        <w:pStyle w:val="Zkladntext"/>
        <w:jc w:val="both"/>
        <w:rPr>
          <w:rFonts w:ascii="Arial" w:hAnsi="Arial" w:cs="Arial"/>
        </w:rPr>
      </w:pPr>
      <w:r w:rsidRPr="00E30642">
        <w:rPr>
          <w:rFonts w:ascii="Arial" w:hAnsi="Arial" w:cs="Arial"/>
          <w:b/>
          <w:bCs/>
          <w:caps/>
        </w:rPr>
        <w:t xml:space="preserve">    </w:t>
      </w:r>
      <w:r w:rsidRPr="00E30642">
        <w:rPr>
          <w:rFonts w:ascii="Arial" w:hAnsi="Arial" w:cs="Arial"/>
        </w:rPr>
        <w:t xml:space="preserve">      </w:t>
      </w:r>
    </w:p>
    <w:tbl>
      <w:tblPr>
        <w:tblW w:w="0" w:type="auto"/>
        <w:jc w:val="center"/>
        <w:tblLayout w:type="fixed"/>
        <w:tblCellMar>
          <w:left w:w="42" w:type="dxa"/>
          <w:right w:w="42" w:type="dxa"/>
        </w:tblCellMar>
        <w:tblLook w:val="0000" w:firstRow="0" w:lastRow="0" w:firstColumn="0" w:lastColumn="0" w:noHBand="0" w:noVBand="0"/>
      </w:tblPr>
      <w:tblGrid>
        <w:gridCol w:w="1680"/>
        <w:gridCol w:w="2983"/>
        <w:gridCol w:w="664"/>
        <w:gridCol w:w="681"/>
        <w:gridCol w:w="631"/>
        <w:gridCol w:w="716"/>
        <w:gridCol w:w="698"/>
        <w:gridCol w:w="650"/>
      </w:tblGrid>
      <w:tr w:rsidR="00CA23D0" w:rsidRPr="00E30642" w14:paraId="34A7EF6E" w14:textId="77777777" w:rsidTr="00CA23D0">
        <w:trPr>
          <w:jc w:val="center"/>
        </w:trPr>
        <w:tc>
          <w:tcPr>
            <w:tcW w:w="4663" w:type="dxa"/>
            <w:gridSpan w:val="2"/>
            <w:tcBorders>
              <w:top w:val="single" w:sz="6" w:space="0" w:color="auto"/>
              <w:left w:val="single" w:sz="6" w:space="0" w:color="auto"/>
              <w:bottom w:val="nil"/>
              <w:right w:val="single" w:sz="6" w:space="0" w:color="auto"/>
            </w:tcBorders>
          </w:tcPr>
          <w:p w14:paraId="21FDDD57" w14:textId="77777777" w:rsidR="00CA23D0" w:rsidRPr="00E30642" w:rsidRDefault="00CA23D0" w:rsidP="00CA23D0">
            <w:pPr>
              <w:pStyle w:val="Zkladntext"/>
              <w:jc w:val="both"/>
              <w:rPr>
                <w:rFonts w:ascii="Arial" w:hAnsi="Arial" w:cs="Arial"/>
              </w:rPr>
            </w:pPr>
          </w:p>
          <w:p w14:paraId="232116DE" w14:textId="77777777" w:rsidR="00CA23D0" w:rsidRPr="00E30642" w:rsidRDefault="00CA23D0" w:rsidP="00CA23D0">
            <w:pPr>
              <w:pStyle w:val="Zkladntext"/>
              <w:jc w:val="both"/>
              <w:rPr>
                <w:rFonts w:ascii="Arial" w:hAnsi="Arial" w:cs="Arial"/>
              </w:rPr>
            </w:pPr>
            <w:r w:rsidRPr="00E30642">
              <w:rPr>
                <w:rFonts w:ascii="Arial" w:hAnsi="Arial" w:cs="Arial"/>
                <w:b/>
                <w:bCs/>
                <w:sz w:val="22"/>
                <w:szCs w:val="22"/>
              </w:rPr>
              <w:t xml:space="preserve"> </w:t>
            </w:r>
            <w:r w:rsidRPr="00E30642">
              <w:rPr>
                <w:rFonts w:ascii="Arial" w:hAnsi="Arial" w:cs="Arial"/>
                <w:b/>
                <w:bCs/>
                <w:caps/>
                <w:sz w:val="18"/>
                <w:szCs w:val="18"/>
              </w:rPr>
              <w:t xml:space="preserve">městský </w:t>
            </w:r>
            <w:r w:rsidRPr="00E30642">
              <w:rPr>
                <w:rFonts w:ascii="Arial" w:hAnsi="Arial" w:cs="Arial"/>
                <w:b/>
                <w:bCs/>
                <w:sz w:val="18"/>
                <w:szCs w:val="18"/>
              </w:rPr>
              <w:t xml:space="preserve"> S E K T O R </w:t>
            </w:r>
          </w:p>
        </w:tc>
        <w:tc>
          <w:tcPr>
            <w:tcW w:w="1976" w:type="dxa"/>
            <w:gridSpan w:val="3"/>
            <w:tcBorders>
              <w:top w:val="single" w:sz="6" w:space="0" w:color="auto"/>
              <w:left w:val="single" w:sz="6" w:space="0" w:color="auto"/>
              <w:bottom w:val="single" w:sz="6" w:space="0" w:color="auto"/>
              <w:right w:val="single" w:sz="6" w:space="0" w:color="auto"/>
            </w:tcBorders>
          </w:tcPr>
          <w:p w14:paraId="47770855" w14:textId="77777777" w:rsidR="00CA23D0" w:rsidRPr="00E30642" w:rsidRDefault="00CA23D0" w:rsidP="00CA23D0">
            <w:pPr>
              <w:pStyle w:val="Zkladntext"/>
              <w:jc w:val="both"/>
              <w:rPr>
                <w:rFonts w:ascii="Arial" w:hAnsi="Arial" w:cs="Arial"/>
                <w:sz w:val="18"/>
                <w:szCs w:val="18"/>
              </w:rPr>
            </w:pPr>
            <w:r w:rsidRPr="00E30642">
              <w:rPr>
                <w:rFonts w:ascii="Arial" w:hAnsi="Arial" w:cs="Arial"/>
                <w:b/>
                <w:bCs/>
                <w:sz w:val="18"/>
                <w:szCs w:val="18"/>
              </w:rPr>
              <w:t xml:space="preserve">Rodinné domy (objekty) </w:t>
            </w:r>
          </w:p>
        </w:tc>
        <w:tc>
          <w:tcPr>
            <w:tcW w:w="2064" w:type="dxa"/>
            <w:gridSpan w:val="3"/>
            <w:tcBorders>
              <w:top w:val="single" w:sz="6" w:space="0" w:color="auto"/>
              <w:left w:val="single" w:sz="6" w:space="0" w:color="auto"/>
              <w:bottom w:val="single" w:sz="6" w:space="0" w:color="auto"/>
              <w:right w:val="single" w:sz="6" w:space="0" w:color="auto"/>
            </w:tcBorders>
          </w:tcPr>
          <w:p w14:paraId="3C877BDF" w14:textId="77777777" w:rsidR="00CA23D0" w:rsidRPr="00E30642" w:rsidRDefault="00CA23D0" w:rsidP="00CA23D0">
            <w:pPr>
              <w:pStyle w:val="Zkladntext"/>
              <w:jc w:val="both"/>
              <w:rPr>
                <w:rFonts w:ascii="Arial" w:hAnsi="Arial" w:cs="Arial"/>
              </w:rPr>
            </w:pPr>
            <w:r w:rsidRPr="00E30642">
              <w:rPr>
                <w:rFonts w:ascii="Arial" w:hAnsi="Arial" w:cs="Arial"/>
                <w:b/>
                <w:bCs/>
                <w:sz w:val="16"/>
              </w:rPr>
              <w:t>Bytové domy (byt. jednotky)</w:t>
            </w:r>
          </w:p>
        </w:tc>
      </w:tr>
      <w:tr w:rsidR="00CA23D0" w:rsidRPr="00E30642" w14:paraId="47F6F569" w14:textId="77777777" w:rsidTr="00CA23D0">
        <w:trPr>
          <w:jc w:val="center"/>
        </w:trPr>
        <w:tc>
          <w:tcPr>
            <w:tcW w:w="1680" w:type="dxa"/>
            <w:tcBorders>
              <w:top w:val="single" w:sz="6" w:space="0" w:color="auto"/>
              <w:left w:val="single" w:sz="6" w:space="0" w:color="auto"/>
              <w:bottom w:val="single" w:sz="6" w:space="0" w:color="auto"/>
              <w:right w:val="single" w:sz="4" w:space="0" w:color="auto"/>
            </w:tcBorders>
          </w:tcPr>
          <w:p w14:paraId="29992B80" w14:textId="77777777" w:rsidR="00CA23D0" w:rsidRPr="00E30642" w:rsidRDefault="00CA23D0" w:rsidP="00CA23D0">
            <w:pPr>
              <w:pStyle w:val="Zkladntext"/>
              <w:jc w:val="both"/>
              <w:rPr>
                <w:rFonts w:ascii="Arial" w:hAnsi="Arial" w:cs="Arial"/>
              </w:rPr>
            </w:pPr>
          </w:p>
        </w:tc>
        <w:tc>
          <w:tcPr>
            <w:tcW w:w="2983" w:type="dxa"/>
            <w:tcBorders>
              <w:top w:val="single" w:sz="4" w:space="0" w:color="auto"/>
              <w:left w:val="single" w:sz="4" w:space="0" w:color="auto"/>
              <w:bottom w:val="single" w:sz="4" w:space="0" w:color="auto"/>
              <w:right w:val="single" w:sz="6" w:space="0" w:color="auto"/>
            </w:tcBorders>
          </w:tcPr>
          <w:p w14:paraId="74268D7C" w14:textId="77777777" w:rsidR="00CA23D0" w:rsidRPr="00E30642" w:rsidRDefault="00CA23D0" w:rsidP="00CA23D0">
            <w:pPr>
              <w:pStyle w:val="Zkladntext"/>
              <w:jc w:val="both"/>
              <w:rPr>
                <w:rFonts w:ascii="Arial" w:hAnsi="Arial" w:cs="Arial"/>
              </w:rPr>
            </w:pPr>
          </w:p>
        </w:tc>
        <w:tc>
          <w:tcPr>
            <w:tcW w:w="664" w:type="dxa"/>
            <w:tcBorders>
              <w:top w:val="single" w:sz="4" w:space="0" w:color="auto"/>
              <w:left w:val="nil"/>
              <w:bottom w:val="single" w:sz="4" w:space="0" w:color="auto"/>
              <w:right w:val="nil"/>
            </w:tcBorders>
          </w:tcPr>
          <w:p w14:paraId="060ED2E6" w14:textId="77777777" w:rsidR="00CA23D0" w:rsidRPr="00E30642" w:rsidRDefault="00CA23D0" w:rsidP="00CA23D0">
            <w:pPr>
              <w:pStyle w:val="Texttabulky"/>
              <w:jc w:val="both"/>
              <w:rPr>
                <w:rFonts w:cs="Arial"/>
              </w:rPr>
            </w:pPr>
            <w:r w:rsidRPr="00E30642">
              <w:rPr>
                <w:rFonts w:cs="Arial"/>
                <w:b/>
                <w:bCs/>
              </w:rPr>
              <w:t xml:space="preserve">návrh </w:t>
            </w:r>
          </w:p>
        </w:tc>
        <w:tc>
          <w:tcPr>
            <w:tcW w:w="681" w:type="dxa"/>
            <w:tcBorders>
              <w:top w:val="single" w:sz="4" w:space="0" w:color="auto"/>
              <w:left w:val="nil"/>
              <w:bottom w:val="single" w:sz="4" w:space="0" w:color="auto"/>
              <w:right w:val="nil"/>
            </w:tcBorders>
          </w:tcPr>
          <w:p w14:paraId="01BD76FC" w14:textId="77777777" w:rsidR="00CA23D0" w:rsidRPr="00E30642" w:rsidRDefault="00CA23D0" w:rsidP="00CA23D0">
            <w:pPr>
              <w:pStyle w:val="Texttabulky"/>
              <w:jc w:val="both"/>
              <w:rPr>
                <w:rFonts w:cs="Arial"/>
              </w:rPr>
            </w:pPr>
            <w:r w:rsidRPr="00E30642">
              <w:rPr>
                <w:rFonts w:cs="Arial"/>
                <w:b/>
                <w:bCs/>
              </w:rPr>
              <w:t xml:space="preserve">výhled </w:t>
            </w:r>
          </w:p>
        </w:tc>
        <w:tc>
          <w:tcPr>
            <w:tcW w:w="631" w:type="dxa"/>
            <w:tcBorders>
              <w:top w:val="single" w:sz="4" w:space="0" w:color="auto"/>
              <w:left w:val="nil"/>
              <w:bottom w:val="single" w:sz="4" w:space="0" w:color="auto"/>
              <w:right w:val="nil"/>
            </w:tcBorders>
          </w:tcPr>
          <w:p w14:paraId="5C8A4237" w14:textId="77777777" w:rsidR="00CA23D0" w:rsidRPr="00E30642" w:rsidRDefault="00CA23D0" w:rsidP="00CA23D0">
            <w:pPr>
              <w:pStyle w:val="Texttabulky"/>
              <w:jc w:val="both"/>
              <w:rPr>
                <w:rFonts w:cs="Arial"/>
              </w:rPr>
            </w:pPr>
            <w:r w:rsidRPr="00E30642">
              <w:rPr>
                <w:rFonts w:cs="Arial"/>
                <w:b/>
                <w:bCs/>
              </w:rPr>
              <w:t xml:space="preserve">celkem </w:t>
            </w:r>
          </w:p>
        </w:tc>
        <w:tc>
          <w:tcPr>
            <w:tcW w:w="716" w:type="dxa"/>
            <w:tcBorders>
              <w:top w:val="single" w:sz="4" w:space="0" w:color="auto"/>
              <w:left w:val="nil"/>
              <w:bottom w:val="single" w:sz="4" w:space="0" w:color="auto"/>
              <w:right w:val="nil"/>
            </w:tcBorders>
          </w:tcPr>
          <w:p w14:paraId="3F1B1951" w14:textId="77777777" w:rsidR="00CA23D0" w:rsidRPr="00E30642" w:rsidRDefault="00CA23D0" w:rsidP="00CA23D0">
            <w:pPr>
              <w:pStyle w:val="Texttabulky"/>
              <w:jc w:val="both"/>
              <w:rPr>
                <w:rFonts w:cs="Arial"/>
              </w:rPr>
            </w:pPr>
            <w:r w:rsidRPr="00E30642">
              <w:rPr>
                <w:rFonts w:cs="Arial"/>
                <w:b/>
                <w:bCs/>
              </w:rPr>
              <w:t xml:space="preserve">návrh </w:t>
            </w:r>
          </w:p>
        </w:tc>
        <w:tc>
          <w:tcPr>
            <w:tcW w:w="698" w:type="dxa"/>
            <w:tcBorders>
              <w:top w:val="single" w:sz="4" w:space="0" w:color="auto"/>
              <w:left w:val="nil"/>
              <w:bottom w:val="single" w:sz="4" w:space="0" w:color="auto"/>
              <w:right w:val="nil"/>
            </w:tcBorders>
          </w:tcPr>
          <w:p w14:paraId="0DA70109" w14:textId="77777777" w:rsidR="00CA23D0" w:rsidRPr="00E30642" w:rsidRDefault="00CA23D0" w:rsidP="00CA23D0">
            <w:pPr>
              <w:pStyle w:val="Texttabulky"/>
              <w:jc w:val="both"/>
              <w:rPr>
                <w:rFonts w:cs="Arial"/>
              </w:rPr>
            </w:pPr>
            <w:r w:rsidRPr="00E30642">
              <w:rPr>
                <w:rFonts w:cs="Arial"/>
                <w:b/>
                <w:bCs/>
              </w:rPr>
              <w:t>výhled</w:t>
            </w:r>
          </w:p>
        </w:tc>
        <w:tc>
          <w:tcPr>
            <w:tcW w:w="650" w:type="dxa"/>
            <w:tcBorders>
              <w:top w:val="single" w:sz="4" w:space="0" w:color="auto"/>
              <w:left w:val="nil"/>
              <w:bottom w:val="single" w:sz="4" w:space="0" w:color="auto"/>
              <w:right w:val="single" w:sz="4" w:space="0" w:color="auto"/>
            </w:tcBorders>
          </w:tcPr>
          <w:p w14:paraId="5ADF6A1E" w14:textId="77777777" w:rsidR="00CA23D0" w:rsidRPr="00E30642" w:rsidRDefault="00CA23D0" w:rsidP="00CA23D0">
            <w:pPr>
              <w:pStyle w:val="Texttabulky"/>
              <w:jc w:val="both"/>
              <w:rPr>
                <w:rFonts w:cs="Arial"/>
              </w:rPr>
            </w:pPr>
            <w:r w:rsidRPr="00E30642">
              <w:rPr>
                <w:rFonts w:cs="Arial"/>
                <w:b/>
                <w:bCs/>
              </w:rPr>
              <w:t xml:space="preserve">celkem </w:t>
            </w:r>
          </w:p>
        </w:tc>
      </w:tr>
      <w:tr w:rsidR="00CA23D0" w:rsidRPr="00E30642" w14:paraId="4A0EB448" w14:textId="77777777" w:rsidTr="00CA23D0">
        <w:trPr>
          <w:jc w:val="center"/>
        </w:trPr>
        <w:tc>
          <w:tcPr>
            <w:tcW w:w="1680" w:type="dxa"/>
            <w:tcBorders>
              <w:top w:val="single" w:sz="6" w:space="0" w:color="auto"/>
              <w:left w:val="single" w:sz="6" w:space="0" w:color="auto"/>
              <w:bottom w:val="single" w:sz="6" w:space="0" w:color="auto"/>
              <w:right w:val="single" w:sz="6" w:space="0" w:color="auto"/>
            </w:tcBorders>
          </w:tcPr>
          <w:p w14:paraId="6831A84A" w14:textId="77777777" w:rsidR="00CA23D0" w:rsidRPr="00E30642" w:rsidRDefault="00CA23D0" w:rsidP="00CA23D0">
            <w:pPr>
              <w:pStyle w:val="Texttabulky"/>
              <w:jc w:val="both"/>
              <w:rPr>
                <w:rFonts w:cs="Arial"/>
              </w:rPr>
            </w:pPr>
            <w:r w:rsidRPr="00E30642">
              <w:rPr>
                <w:rFonts w:cs="Arial"/>
                <w:b/>
                <w:bCs/>
                <w:sz w:val="18"/>
                <w:szCs w:val="18"/>
              </w:rPr>
              <w:t xml:space="preserve">I.A </w:t>
            </w:r>
          </w:p>
        </w:tc>
        <w:tc>
          <w:tcPr>
            <w:tcW w:w="2983" w:type="dxa"/>
            <w:tcBorders>
              <w:top w:val="single" w:sz="6" w:space="0" w:color="auto"/>
              <w:left w:val="single" w:sz="6" w:space="0" w:color="auto"/>
              <w:bottom w:val="single" w:sz="6" w:space="0" w:color="auto"/>
              <w:right w:val="single" w:sz="6" w:space="0" w:color="auto"/>
            </w:tcBorders>
          </w:tcPr>
          <w:p w14:paraId="54121558" w14:textId="77777777" w:rsidR="00CA23D0" w:rsidRPr="00E30642" w:rsidRDefault="00CA23D0" w:rsidP="00CA23D0">
            <w:pPr>
              <w:pStyle w:val="Texttabulky"/>
              <w:jc w:val="both"/>
              <w:rPr>
                <w:rFonts w:cs="Arial"/>
              </w:rPr>
            </w:pPr>
            <w:r w:rsidRPr="00E30642">
              <w:rPr>
                <w:rFonts w:cs="Arial"/>
                <w:sz w:val="18"/>
                <w:szCs w:val="18"/>
              </w:rPr>
              <w:t xml:space="preserve">Podmokly </w:t>
            </w:r>
          </w:p>
        </w:tc>
        <w:tc>
          <w:tcPr>
            <w:tcW w:w="664" w:type="dxa"/>
            <w:tcBorders>
              <w:top w:val="single" w:sz="6" w:space="0" w:color="auto"/>
              <w:left w:val="single" w:sz="6" w:space="0" w:color="auto"/>
              <w:bottom w:val="single" w:sz="6" w:space="0" w:color="auto"/>
              <w:right w:val="single" w:sz="6" w:space="0" w:color="auto"/>
            </w:tcBorders>
          </w:tcPr>
          <w:p w14:paraId="54C9B17A"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681" w:type="dxa"/>
            <w:tcBorders>
              <w:top w:val="single" w:sz="6" w:space="0" w:color="auto"/>
              <w:left w:val="single" w:sz="6" w:space="0" w:color="auto"/>
              <w:bottom w:val="single" w:sz="6" w:space="0" w:color="auto"/>
              <w:right w:val="single" w:sz="6" w:space="0" w:color="auto"/>
            </w:tcBorders>
          </w:tcPr>
          <w:p w14:paraId="58AA6D5C"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631" w:type="dxa"/>
            <w:tcBorders>
              <w:top w:val="single" w:sz="6" w:space="0" w:color="auto"/>
              <w:left w:val="single" w:sz="6" w:space="0" w:color="auto"/>
              <w:bottom w:val="single" w:sz="6" w:space="0" w:color="auto"/>
              <w:right w:val="single" w:sz="6" w:space="0" w:color="auto"/>
            </w:tcBorders>
          </w:tcPr>
          <w:p w14:paraId="1D324CAC"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716" w:type="dxa"/>
            <w:tcBorders>
              <w:top w:val="single" w:sz="6" w:space="0" w:color="auto"/>
              <w:left w:val="single" w:sz="6" w:space="0" w:color="auto"/>
              <w:bottom w:val="single" w:sz="6" w:space="0" w:color="auto"/>
              <w:right w:val="single" w:sz="4" w:space="0" w:color="auto"/>
            </w:tcBorders>
          </w:tcPr>
          <w:p w14:paraId="2DB42BB1" w14:textId="77777777" w:rsidR="00CA23D0" w:rsidRPr="00E30642" w:rsidRDefault="00CA23D0" w:rsidP="00CA23D0">
            <w:pPr>
              <w:pStyle w:val="Texttabulky"/>
              <w:jc w:val="both"/>
              <w:rPr>
                <w:rFonts w:cs="Arial"/>
              </w:rPr>
            </w:pPr>
            <w:r w:rsidRPr="00E30642">
              <w:rPr>
                <w:rFonts w:cs="Arial"/>
                <w:sz w:val="18"/>
                <w:szCs w:val="18"/>
              </w:rPr>
              <w:t xml:space="preserve">385 </w:t>
            </w:r>
          </w:p>
        </w:tc>
        <w:tc>
          <w:tcPr>
            <w:tcW w:w="698" w:type="dxa"/>
            <w:tcBorders>
              <w:top w:val="single" w:sz="6" w:space="0" w:color="auto"/>
              <w:left w:val="single" w:sz="4" w:space="0" w:color="auto"/>
              <w:bottom w:val="single" w:sz="6" w:space="0" w:color="auto"/>
              <w:right w:val="single" w:sz="6" w:space="0" w:color="auto"/>
            </w:tcBorders>
          </w:tcPr>
          <w:p w14:paraId="73FCEA88"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650" w:type="dxa"/>
            <w:tcBorders>
              <w:top w:val="single" w:sz="6" w:space="0" w:color="auto"/>
              <w:left w:val="single" w:sz="6" w:space="0" w:color="auto"/>
              <w:bottom w:val="single" w:sz="6" w:space="0" w:color="auto"/>
              <w:right w:val="single" w:sz="6" w:space="0" w:color="auto"/>
            </w:tcBorders>
          </w:tcPr>
          <w:p w14:paraId="48BE5D50" w14:textId="77777777" w:rsidR="00CA23D0" w:rsidRPr="00E30642" w:rsidRDefault="00CA23D0" w:rsidP="00CA23D0">
            <w:pPr>
              <w:pStyle w:val="Texttabulky"/>
              <w:jc w:val="both"/>
              <w:rPr>
                <w:rFonts w:cs="Arial"/>
              </w:rPr>
            </w:pPr>
            <w:r w:rsidRPr="00E30642">
              <w:rPr>
                <w:rFonts w:cs="Arial"/>
                <w:sz w:val="18"/>
                <w:szCs w:val="18"/>
              </w:rPr>
              <w:t xml:space="preserve">385 </w:t>
            </w:r>
          </w:p>
        </w:tc>
      </w:tr>
      <w:tr w:rsidR="00CA23D0" w:rsidRPr="00E30642" w14:paraId="49303BAC" w14:textId="77777777" w:rsidTr="00CA23D0">
        <w:trPr>
          <w:jc w:val="center"/>
        </w:trPr>
        <w:tc>
          <w:tcPr>
            <w:tcW w:w="1680" w:type="dxa"/>
            <w:tcBorders>
              <w:top w:val="single" w:sz="6" w:space="0" w:color="auto"/>
              <w:left w:val="single" w:sz="6" w:space="0" w:color="auto"/>
              <w:bottom w:val="single" w:sz="6" w:space="0" w:color="auto"/>
              <w:right w:val="single" w:sz="6" w:space="0" w:color="auto"/>
            </w:tcBorders>
          </w:tcPr>
          <w:p w14:paraId="31270F6A" w14:textId="77777777" w:rsidR="00CA23D0" w:rsidRPr="00E30642" w:rsidRDefault="00CA23D0" w:rsidP="00CA23D0">
            <w:pPr>
              <w:pStyle w:val="Texttabulky"/>
              <w:jc w:val="both"/>
              <w:rPr>
                <w:rFonts w:cs="Arial"/>
              </w:rPr>
            </w:pPr>
            <w:r w:rsidRPr="00E30642">
              <w:rPr>
                <w:rFonts w:cs="Arial"/>
                <w:b/>
                <w:bCs/>
                <w:sz w:val="18"/>
                <w:szCs w:val="18"/>
              </w:rPr>
              <w:t xml:space="preserve">I.B </w:t>
            </w:r>
          </w:p>
        </w:tc>
        <w:tc>
          <w:tcPr>
            <w:tcW w:w="2983" w:type="dxa"/>
            <w:tcBorders>
              <w:top w:val="single" w:sz="6" w:space="0" w:color="auto"/>
              <w:left w:val="single" w:sz="6" w:space="0" w:color="auto"/>
              <w:bottom w:val="single" w:sz="6" w:space="0" w:color="auto"/>
              <w:right w:val="single" w:sz="6" w:space="0" w:color="auto"/>
            </w:tcBorders>
          </w:tcPr>
          <w:p w14:paraId="42872681" w14:textId="77777777" w:rsidR="00CA23D0" w:rsidRPr="00E30642" w:rsidRDefault="00CA23D0" w:rsidP="00CA23D0">
            <w:pPr>
              <w:pStyle w:val="Texttabulky"/>
              <w:jc w:val="both"/>
              <w:rPr>
                <w:rFonts w:cs="Arial"/>
              </w:rPr>
            </w:pPr>
            <w:r w:rsidRPr="00E30642">
              <w:rPr>
                <w:rFonts w:cs="Arial"/>
                <w:sz w:val="18"/>
                <w:szCs w:val="18"/>
              </w:rPr>
              <w:t xml:space="preserve">Děčín </w:t>
            </w:r>
          </w:p>
        </w:tc>
        <w:tc>
          <w:tcPr>
            <w:tcW w:w="664" w:type="dxa"/>
            <w:tcBorders>
              <w:top w:val="single" w:sz="6" w:space="0" w:color="auto"/>
              <w:left w:val="single" w:sz="6" w:space="0" w:color="auto"/>
              <w:bottom w:val="single" w:sz="6" w:space="0" w:color="auto"/>
              <w:right w:val="single" w:sz="6" w:space="0" w:color="auto"/>
            </w:tcBorders>
          </w:tcPr>
          <w:p w14:paraId="55DD0A43"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681" w:type="dxa"/>
            <w:tcBorders>
              <w:top w:val="single" w:sz="6" w:space="0" w:color="auto"/>
              <w:left w:val="single" w:sz="6" w:space="0" w:color="auto"/>
              <w:bottom w:val="single" w:sz="6" w:space="0" w:color="auto"/>
              <w:right w:val="single" w:sz="4" w:space="0" w:color="auto"/>
            </w:tcBorders>
          </w:tcPr>
          <w:p w14:paraId="1BDF9FA8" w14:textId="77777777" w:rsidR="00CA23D0" w:rsidRPr="00E30642" w:rsidRDefault="00CA23D0" w:rsidP="00CA23D0">
            <w:pPr>
              <w:pStyle w:val="Texttabulky"/>
              <w:jc w:val="both"/>
              <w:rPr>
                <w:rFonts w:cs="Arial"/>
              </w:rPr>
            </w:pPr>
            <w:r w:rsidRPr="00E30642">
              <w:rPr>
                <w:rFonts w:cs="Arial"/>
                <w:sz w:val="18"/>
                <w:szCs w:val="18"/>
              </w:rPr>
              <w:t>0</w:t>
            </w:r>
          </w:p>
        </w:tc>
        <w:tc>
          <w:tcPr>
            <w:tcW w:w="631" w:type="dxa"/>
            <w:tcBorders>
              <w:top w:val="single" w:sz="6" w:space="0" w:color="auto"/>
              <w:left w:val="single" w:sz="4" w:space="0" w:color="auto"/>
              <w:bottom w:val="single" w:sz="6" w:space="0" w:color="auto"/>
              <w:right w:val="single" w:sz="4" w:space="0" w:color="auto"/>
            </w:tcBorders>
          </w:tcPr>
          <w:p w14:paraId="6CFCB869" w14:textId="77777777" w:rsidR="00CA23D0" w:rsidRPr="00E30642" w:rsidRDefault="00CA23D0" w:rsidP="00CA23D0">
            <w:pPr>
              <w:pStyle w:val="Texttabulky"/>
              <w:jc w:val="both"/>
              <w:rPr>
                <w:rFonts w:cs="Arial"/>
              </w:rPr>
            </w:pPr>
            <w:r w:rsidRPr="00E30642">
              <w:rPr>
                <w:rFonts w:cs="Arial"/>
                <w:sz w:val="18"/>
                <w:szCs w:val="18"/>
              </w:rPr>
              <w:t>0</w:t>
            </w:r>
          </w:p>
        </w:tc>
        <w:tc>
          <w:tcPr>
            <w:tcW w:w="716" w:type="dxa"/>
            <w:tcBorders>
              <w:top w:val="single" w:sz="6" w:space="0" w:color="auto"/>
              <w:left w:val="single" w:sz="4" w:space="0" w:color="auto"/>
              <w:bottom w:val="single" w:sz="6" w:space="0" w:color="auto"/>
              <w:right w:val="single" w:sz="4" w:space="0" w:color="auto"/>
            </w:tcBorders>
          </w:tcPr>
          <w:p w14:paraId="363B7FD1" w14:textId="77777777" w:rsidR="00CA23D0" w:rsidRPr="00E30642" w:rsidRDefault="00CA23D0" w:rsidP="00CA23D0">
            <w:pPr>
              <w:pStyle w:val="Texttabulky"/>
              <w:jc w:val="both"/>
              <w:rPr>
                <w:rFonts w:cs="Arial"/>
              </w:rPr>
            </w:pPr>
            <w:r w:rsidRPr="00E30642">
              <w:rPr>
                <w:rFonts w:cs="Arial"/>
                <w:sz w:val="18"/>
                <w:szCs w:val="18"/>
              </w:rPr>
              <w:t xml:space="preserve">229 </w:t>
            </w:r>
          </w:p>
        </w:tc>
        <w:tc>
          <w:tcPr>
            <w:tcW w:w="698" w:type="dxa"/>
            <w:tcBorders>
              <w:top w:val="single" w:sz="6" w:space="0" w:color="auto"/>
              <w:left w:val="single" w:sz="4" w:space="0" w:color="auto"/>
              <w:bottom w:val="single" w:sz="6" w:space="0" w:color="auto"/>
              <w:right w:val="single" w:sz="6" w:space="0" w:color="auto"/>
            </w:tcBorders>
          </w:tcPr>
          <w:p w14:paraId="23A34F84"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650" w:type="dxa"/>
            <w:tcBorders>
              <w:top w:val="single" w:sz="6" w:space="0" w:color="auto"/>
              <w:left w:val="single" w:sz="6" w:space="0" w:color="auto"/>
              <w:bottom w:val="single" w:sz="6" w:space="0" w:color="auto"/>
              <w:right w:val="single" w:sz="6" w:space="0" w:color="auto"/>
            </w:tcBorders>
          </w:tcPr>
          <w:p w14:paraId="4B2E4595" w14:textId="77777777" w:rsidR="00CA23D0" w:rsidRPr="00E30642" w:rsidRDefault="00CA23D0" w:rsidP="00CA23D0">
            <w:pPr>
              <w:pStyle w:val="Texttabulky"/>
              <w:jc w:val="both"/>
              <w:rPr>
                <w:rFonts w:cs="Arial"/>
              </w:rPr>
            </w:pPr>
            <w:r w:rsidRPr="00E30642">
              <w:rPr>
                <w:rFonts w:cs="Arial"/>
                <w:sz w:val="18"/>
                <w:szCs w:val="18"/>
              </w:rPr>
              <w:t xml:space="preserve">229 </w:t>
            </w:r>
          </w:p>
        </w:tc>
      </w:tr>
      <w:tr w:rsidR="00CA23D0" w:rsidRPr="00E30642" w14:paraId="66C41F49" w14:textId="77777777" w:rsidTr="00CA23D0">
        <w:trPr>
          <w:jc w:val="center"/>
        </w:trPr>
        <w:tc>
          <w:tcPr>
            <w:tcW w:w="4663" w:type="dxa"/>
            <w:gridSpan w:val="2"/>
            <w:tcBorders>
              <w:top w:val="nil"/>
              <w:left w:val="single" w:sz="6" w:space="0" w:color="auto"/>
              <w:bottom w:val="nil"/>
              <w:right w:val="single" w:sz="6" w:space="0" w:color="auto"/>
            </w:tcBorders>
          </w:tcPr>
          <w:p w14:paraId="5A6E0774"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 xml:space="preserve">CENTRUM CELKEM </w:t>
            </w:r>
          </w:p>
        </w:tc>
        <w:tc>
          <w:tcPr>
            <w:tcW w:w="664" w:type="dxa"/>
            <w:tcBorders>
              <w:top w:val="single" w:sz="6" w:space="0" w:color="auto"/>
              <w:left w:val="nil"/>
              <w:bottom w:val="single" w:sz="6" w:space="0" w:color="auto"/>
              <w:right w:val="single" w:sz="4" w:space="0" w:color="auto"/>
            </w:tcBorders>
          </w:tcPr>
          <w:p w14:paraId="4A20E267" w14:textId="77777777" w:rsidR="00CA23D0" w:rsidRPr="00E30642" w:rsidRDefault="00CA23D0" w:rsidP="00CA23D0">
            <w:pPr>
              <w:pStyle w:val="Texttabulky"/>
              <w:jc w:val="both"/>
              <w:rPr>
                <w:rFonts w:cs="Arial"/>
              </w:rPr>
            </w:pPr>
            <w:r w:rsidRPr="00E30642">
              <w:rPr>
                <w:rFonts w:cs="Arial"/>
                <w:b/>
                <w:bCs/>
                <w:sz w:val="18"/>
                <w:szCs w:val="18"/>
              </w:rPr>
              <w:t xml:space="preserve">0 </w:t>
            </w:r>
          </w:p>
        </w:tc>
        <w:tc>
          <w:tcPr>
            <w:tcW w:w="681" w:type="dxa"/>
            <w:tcBorders>
              <w:top w:val="single" w:sz="6" w:space="0" w:color="auto"/>
              <w:left w:val="single" w:sz="4" w:space="0" w:color="auto"/>
              <w:bottom w:val="single" w:sz="6" w:space="0" w:color="auto"/>
              <w:right w:val="single" w:sz="4" w:space="0" w:color="auto"/>
            </w:tcBorders>
          </w:tcPr>
          <w:p w14:paraId="6A9A6D85" w14:textId="77777777" w:rsidR="00CA23D0" w:rsidRPr="00E30642" w:rsidRDefault="00CA23D0" w:rsidP="00CA23D0">
            <w:pPr>
              <w:pStyle w:val="Texttabulky"/>
              <w:jc w:val="both"/>
              <w:rPr>
                <w:rFonts w:cs="Arial"/>
              </w:rPr>
            </w:pPr>
            <w:r w:rsidRPr="00E30642">
              <w:rPr>
                <w:rFonts w:cs="Arial"/>
                <w:b/>
                <w:bCs/>
                <w:sz w:val="18"/>
                <w:szCs w:val="18"/>
              </w:rPr>
              <w:t xml:space="preserve">0 </w:t>
            </w:r>
          </w:p>
        </w:tc>
        <w:tc>
          <w:tcPr>
            <w:tcW w:w="631" w:type="dxa"/>
            <w:tcBorders>
              <w:top w:val="single" w:sz="6" w:space="0" w:color="auto"/>
              <w:left w:val="single" w:sz="4" w:space="0" w:color="auto"/>
              <w:bottom w:val="single" w:sz="6" w:space="0" w:color="auto"/>
              <w:right w:val="single" w:sz="4" w:space="0" w:color="auto"/>
            </w:tcBorders>
          </w:tcPr>
          <w:p w14:paraId="41687AEE" w14:textId="77777777" w:rsidR="00CA23D0" w:rsidRPr="00E30642" w:rsidRDefault="00CA23D0" w:rsidP="00CA23D0">
            <w:pPr>
              <w:pStyle w:val="Texttabulky"/>
              <w:jc w:val="both"/>
              <w:rPr>
                <w:rFonts w:cs="Arial"/>
              </w:rPr>
            </w:pPr>
            <w:r w:rsidRPr="00E30642">
              <w:rPr>
                <w:rFonts w:cs="Arial"/>
                <w:b/>
                <w:bCs/>
                <w:sz w:val="18"/>
                <w:szCs w:val="18"/>
              </w:rPr>
              <w:t>0</w:t>
            </w:r>
          </w:p>
        </w:tc>
        <w:tc>
          <w:tcPr>
            <w:tcW w:w="716" w:type="dxa"/>
            <w:tcBorders>
              <w:top w:val="single" w:sz="6" w:space="0" w:color="auto"/>
              <w:left w:val="single" w:sz="4" w:space="0" w:color="auto"/>
              <w:bottom w:val="single" w:sz="6" w:space="0" w:color="auto"/>
              <w:right w:val="single" w:sz="4" w:space="0" w:color="auto"/>
            </w:tcBorders>
          </w:tcPr>
          <w:p w14:paraId="6040E0B7" w14:textId="77777777" w:rsidR="00CA23D0" w:rsidRPr="00E30642" w:rsidRDefault="00CA23D0" w:rsidP="00CA23D0">
            <w:pPr>
              <w:pStyle w:val="Texttabulky"/>
              <w:jc w:val="both"/>
              <w:rPr>
                <w:rFonts w:cs="Arial"/>
              </w:rPr>
            </w:pPr>
            <w:r w:rsidRPr="00E30642">
              <w:rPr>
                <w:rFonts w:cs="Arial"/>
                <w:b/>
                <w:bCs/>
                <w:sz w:val="18"/>
                <w:szCs w:val="18"/>
              </w:rPr>
              <w:t xml:space="preserve">614 </w:t>
            </w:r>
          </w:p>
        </w:tc>
        <w:tc>
          <w:tcPr>
            <w:tcW w:w="698" w:type="dxa"/>
            <w:tcBorders>
              <w:top w:val="single" w:sz="6" w:space="0" w:color="auto"/>
              <w:left w:val="single" w:sz="4" w:space="0" w:color="auto"/>
              <w:bottom w:val="single" w:sz="6" w:space="0" w:color="auto"/>
              <w:right w:val="single" w:sz="4" w:space="0" w:color="auto"/>
            </w:tcBorders>
          </w:tcPr>
          <w:p w14:paraId="33F9A7AB" w14:textId="77777777" w:rsidR="00CA23D0" w:rsidRPr="00E30642" w:rsidRDefault="00CA23D0" w:rsidP="00CA23D0">
            <w:pPr>
              <w:pStyle w:val="Texttabulky"/>
              <w:jc w:val="both"/>
              <w:rPr>
                <w:rFonts w:cs="Arial"/>
              </w:rPr>
            </w:pPr>
            <w:r w:rsidRPr="00E30642">
              <w:rPr>
                <w:rFonts w:cs="Arial"/>
                <w:b/>
                <w:bCs/>
                <w:sz w:val="18"/>
                <w:szCs w:val="18"/>
              </w:rPr>
              <w:t xml:space="preserve">0 </w:t>
            </w:r>
          </w:p>
        </w:tc>
        <w:tc>
          <w:tcPr>
            <w:tcW w:w="650" w:type="dxa"/>
            <w:tcBorders>
              <w:top w:val="single" w:sz="6" w:space="0" w:color="auto"/>
              <w:left w:val="single" w:sz="4" w:space="0" w:color="auto"/>
              <w:bottom w:val="single" w:sz="6" w:space="0" w:color="auto"/>
              <w:right w:val="single" w:sz="4" w:space="0" w:color="auto"/>
            </w:tcBorders>
          </w:tcPr>
          <w:p w14:paraId="0BA22723" w14:textId="77777777" w:rsidR="00CA23D0" w:rsidRPr="00E30642" w:rsidRDefault="00CA23D0" w:rsidP="00CA23D0">
            <w:pPr>
              <w:pStyle w:val="Texttabulky"/>
              <w:jc w:val="both"/>
              <w:rPr>
                <w:rFonts w:cs="Arial"/>
              </w:rPr>
            </w:pPr>
            <w:r w:rsidRPr="00E30642">
              <w:rPr>
                <w:rFonts w:cs="Arial"/>
                <w:b/>
                <w:bCs/>
                <w:sz w:val="18"/>
                <w:szCs w:val="18"/>
              </w:rPr>
              <w:t xml:space="preserve">614 </w:t>
            </w:r>
          </w:p>
        </w:tc>
      </w:tr>
      <w:tr w:rsidR="00CA23D0" w:rsidRPr="00E30642" w14:paraId="4EB3AB65" w14:textId="77777777" w:rsidTr="00CA23D0">
        <w:trPr>
          <w:jc w:val="center"/>
        </w:trPr>
        <w:tc>
          <w:tcPr>
            <w:tcW w:w="1680" w:type="dxa"/>
            <w:tcBorders>
              <w:top w:val="single" w:sz="6" w:space="0" w:color="auto"/>
              <w:left w:val="single" w:sz="6" w:space="0" w:color="auto"/>
              <w:bottom w:val="single" w:sz="6" w:space="0" w:color="auto"/>
              <w:right w:val="single" w:sz="6" w:space="0" w:color="auto"/>
            </w:tcBorders>
          </w:tcPr>
          <w:p w14:paraId="0CF12EDB" w14:textId="77777777" w:rsidR="00CA23D0" w:rsidRPr="00E30642" w:rsidRDefault="00CA23D0" w:rsidP="00CA23D0">
            <w:pPr>
              <w:pStyle w:val="Texttabulky"/>
              <w:jc w:val="both"/>
              <w:rPr>
                <w:rFonts w:cs="Arial"/>
              </w:rPr>
            </w:pPr>
            <w:r w:rsidRPr="00E30642">
              <w:rPr>
                <w:rFonts w:cs="Arial"/>
                <w:b/>
                <w:bCs/>
                <w:sz w:val="18"/>
                <w:szCs w:val="18"/>
              </w:rPr>
              <w:t xml:space="preserve">II. </w:t>
            </w:r>
          </w:p>
        </w:tc>
        <w:tc>
          <w:tcPr>
            <w:tcW w:w="2983" w:type="dxa"/>
            <w:tcBorders>
              <w:top w:val="single" w:sz="6" w:space="0" w:color="auto"/>
              <w:left w:val="single" w:sz="6" w:space="0" w:color="auto"/>
              <w:bottom w:val="single" w:sz="6" w:space="0" w:color="auto"/>
              <w:right w:val="single" w:sz="6" w:space="0" w:color="auto"/>
            </w:tcBorders>
          </w:tcPr>
          <w:p w14:paraId="1B9F3A4A" w14:textId="77777777" w:rsidR="00CA23D0" w:rsidRPr="00E30642" w:rsidRDefault="00CA23D0" w:rsidP="00CA23D0">
            <w:pPr>
              <w:pStyle w:val="Texttabulky"/>
              <w:jc w:val="both"/>
              <w:rPr>
                <w:rFonts w:cs="Arial"/>
              </w:rPr>
            </w:pPr>
            <w:r w:rsidRPr="00E30642">
              <w:rPr>
                <w:rFonts w:cs="Arial"/>
                <w:sz w:val="18"/>
                <w:szCs w:val="18"/>
              </w:rPr>
              <w:t xml:space="preserve">Letná - Želenice </w:t>
            </w:r>
          </w:p>
        </w:tc>
        <w:tc>
          <w:tcPr>
            <w:tcW w:w="664" w:type="dxa"/>
            <w:tcBorders>
              <w:top w:val="single" w:sz="6" w:space="0" w:color="auto"/>
              <w:left w:val="single" w:sz="6" w:space="0" w:color="auto"/>
              <w:bottom w:val="single" w:sz="6" w:space="0" w:color="auto"/>
              <w:right w:val="single" w:sz="6" w:space="0" w:color="auto"/>
            </w:tcBorders>
          </w:tcPr>
          <w:p w14:paraId="468BDB3C" w14:textId="77777777" w:rsidR="00CA23D0" w:rsidRPr="00E30642" w:rsidRDefault="00CA23D0" w:rsidP="00CA23D0">
            <w:pPr>
              <w:pStyle w:val="Texttabulky"/>
              <w:jc w:val="both"/>
              <w:rPr>
                <w:rFonts w:cs="Arial"/>
              </w:rPr>
            </w:pPr>
            <w:r w:rsidRPr="00E30642">
              <w:rPr>
                <w:rFonts w:cs="Arial"/>
                <w:sz w:val="18"/>
                <w:szCs w:val="18"/>
              </w:rPr>
              <w:t>201</w:t>
            </w:r>
          </w:p>
        </w:tc>
        <w:tc>
          <w:tcPr>
            <w:tcW w:w="681" w:type="dxa"/>
            <w:tcBorders>
              <w:top w:val="single" w:sz="6" w:space="0" w:color="auto"/>
              <w:left w:val="single" w:sz="6" w:space="0" w:color="auto"/>
              <w:bottom w:val="single" w:sz="6" w:space="0" w:color="auto"/>
              <w:right w:val="single" w:sz="6" w:space="0" w:color="auto"/>
            </w:tcBorders>
          </w:tcPr>
          <w:p w14:paraId="7E666908" w14:textId="77777777" w:rsidR="00CA23D0" w:rsidRPr="00E30642" w:rsidRDefault="00CA23D0" w:rsidP="00CA23D0">
            <w:pPr>
              <w:pStyle w:val="Texttabulky"/>
              <w:jc w:val="both"/>
              <w:rPr>
                <w:rFonts w:cs="Arial"/>
              </w:rPr>
            </w:pPr>
            <w:r w:rsidRPr="00E30642">
              <w:rPr>
                <w:rFonts w:cs="Arial"/>
                <w:sz w:val="18"/>
                <w:szCs w:val="18"/>
              </w:rPr>
              <w:t xml:space="preserve">224 </w:t>
            </w:r>
          </w:p>
        </w:tc>
        <w:tc>
          <w:tcPr>
            <w:tcW w:w="631" w:type="dxa"/>
            <w:tcBorders>
              <w:top w:val="single" w:sz="6" w:space="0" w:color="auto"/>
              <w:left w:val="single" w:sz="6" w:space="0" w:color="auto"/>
              <w:bottom w:val="single" w:sz="6" w:space="0" w:color="auto"/>
              <w:right w:val="single" w:sz="6" w:space="0" w:color="auto"/>
            </w:tcBorders>
          </w:tcPr>
          <w:p w14:paraId="39D848C0" w14:textId="77777777" w:rsidR="00CA23D0" w:rsidRPr="00E30642" w:rsidRDefault="00CA23D0" w:rsidP="00CA23D0">
            <w:pPr>
              <w:pStyle w:val="Texttabulky"/>
              <w:jc w:val="both"/>
              <w:rPr>
                <w:rFonts w:cs="Arial"/>
              </w:rPr>
            </w:pPr>
            <w:r w:rsidRPr="00E30642">
              <w:rPr>
                <w:rFonts w:cs="Arial"/>
                <w:sz w:val="18"/>
                <w:szCs w:val="18"/>
              </w:rPr>
              <w:t xml:space="preserve">425 </w:t>
            </w:r>
          </w:p>
        </w:tc>
        <w:tc>
          <w:tcPr>
            <w:tcW w:w="716" w:type="dxa"/>
            <w:tcBorders>
              <w:top w:val="single" w:sz="6" w:space="0" w:color="auto"/>
              <w:left w:val="single" w:sz="6" w:space="0" w:color="auto"/>
              <w:bottom w:val="single" w:sz="6" w:space="0" w:color="auto"/>
              <w:right w:val="single" w:sz="6" w:space="0" w:color="auto"/>
            </w:tcBorders>
          </w:tcPr>
          <w:p w14:paraId="396BB682" w14:textId="77777777" w:rsidR="00CA23D0" w:rsidRPr="00E30642" w:rsidRDefault="00CA23D0" w:rsidP="00CA23D0">
            <w:pPr>
              <w:pStyle w:val="Texttabulky"/>
              <w:jc w:val="both"/>
              <w:rPr>
                <w:rFonts w:cs="Arial"/>
              </w:rPr>
            </w:pPr>
            <w:r w:rsidRPr="00E30642">
              <w:rPr>
                <w:rFonts w:cs="Arial"/>
                <w:sz w:val="18"/>
                <w:szCs w:val="18"/>
              </w:rPr>
              <w:t xml:space="preserve">350 </w:t>
            </w:r>
          </w:p>
        </w:tc>
        <w:tc>
          <w:tcPr>
            <w:tcW w:w="698" w:type="dxa"/>
            <w:tcBorders>
              <w:top w:val="single" w:sz="6" w:space="0" w:color="auto"/>
              <w:left w:val="single" w:sz="6" w:space="0" w:color="auto"/>
              <w:bottom w:val="single" w:sz="6" w:space="0" w:color="auto"/>
              <w:right w:val="single" w:sz="4" w:space="0" w:color="auto"/>
            </w:tcBorders>
          </w:tcPr>
          <w:p w14:paraId="74455B03"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650" w:type="dxa"/>
            <w:tcBorders>
              <w:top w:val="single" w:sz="6" w:space="0" w:color="auto"/>
              <w:left w:val="single" w:sz="4" w:space="0" w:color="auto"/>
              <w:bottom w:val="single" w:sz="6" w:space="0" w:color="auto"/>
              <w:right w:val="single" w:sz="4" w:space="0" w:color="auto"/>
            </w:tcBorders>
          </w:tcPr>
          <w:p w14:paraId="23C16E5D" w14:textId="77777777" w:rsidR="00CA23D0" w:rsidRPr="00E30642" w:rsidRDefault="00CA23D0" w:rsidP="00CA23D0">
            <w:pPr>
              <w:pStyle w:val="Texttabulky"/>
              <w:jc w:val="both"/>
              <w:rPr>
                <w:rFonts w:cs="Arial"/>
              </w:rPr>
            </w:pPr>
            <w:r w:rsidRPr="00E30642">
              <w:rPr>
                <w:rFonts w:cs="Arial"/>
                <w:sz w:val="18"/>
                <w:szCs w:val="18"/>
              </w:rPr>
              <w:t xml:space="preserve">350 </w:t>
            </w:r>
          </w:p>
        </w:tc>
      </w:tr>
      <w:tr w:rsidR="00CA23D0" w:rsidRPr="00E30642" w14:paraId="17B83D71" w14:textId="77777777" w:rsidTr="00CA23D0">
        <w:trPr>
          <w:jc w:val="center"/>
        </w:trPr>
        <w:tc>
          <w:tcPr>
            <w:tcW w:w="1680" w:type="dxa"/>
            <w:tcBorders>
              <w:top w:val="single" w:sz="6" w:space="0" w:color="auto"/>
              <w:left w:val="single" w:sz="6" w:space="0" w:color="auto"/>
              <w:bottom w:val="single" w:sz="6" w:space="0" w:color="auto"/>
              <w:right w:val="single" w:sz="6" w:space="0" w:color="auto"/>
            </w:tcBorders>
          </w:tcPr>
          <w:p w14:paraId="5DC311B7" w14:textId="77777777" w:rsidR="00CA23D0" w:rsidRPr="00E30642" w:rsidRDefault="00CA23D0" w:rsidP="00CA23D0">
            <w:pPr>
              <w:pStyle w:val="Texttabulky"/>
              <w:jc w:val="both"/>
              <w:rPr>
                <w:rFonts w:cs="Arial"/>
              </w:rPr>
            </w:pPr>
            <w:r w:rsidRPr="00E30642">
              <w:rPr>
                <w:rFonts w:cs="Arial"/>
                <w:b/>
                <w:bCs/>
                <w:sz w:val="18"/>
                <w:szCs w:val="18"/>
              </w:rPr>
              <w:t xml:space="preserve">III. </w:t>
            </w:r>
          </w:p>
        </w:tc>
        <w:tc>
          <w:tcPr>
            <w:tcW w:w="2983" w:type="dxa"/>
            <w:tcBorders>
              <w:top w:val="single" w:sz="6" w:space="0" w:color="auto"/>
              <w:left w:val="single" w:sz="6" w:space="0" w:color="auto"/>
              <w:bottom w:val="single" w:sz="6" w:space="0" w:color="auto"/>
              <w:right w:val="single" w:sz="6" w:space="0" w:color="auto"/>
            </w:tcBorders>
          </w:tcPr>
          <w:p w14:paraId="1F8B7306" w14:textId="77777777" w:rsidR="00CA23D0" w:rsidRPr="00E30642" w:rsidRDefault="00CA23D0" w:rsidP="00CA23D0">
            <w:pPr>
              <w:pStyle w:val="Texttabulky"/>
              <w:jc w:val="both"/>
              <w:rPr>
                <w:rFonts w:cs="Arial"/>
              </w:rPr>
            </w:pPr>
            <w:r w:rsidRPr="00E30642">
              <w:rPr>
                <w:rFonts w:cs="Arial"/>
                <w:sz w:val="18"/>
                <w:szCs w:val="18"/>
              </w:rPr>
              <w:t>Chrochvice - Vilsnice **</w:t>
            </w:r>
          </w:p>
        </w:tc>
        <w:tc>
          <w:tcPr>
            <w:tcW w:w="664" w:type="dxa"/>
            <w:tcBorders>
              <w:top w:val="single" w:sz="6" w:space="0" w:color="auto"/>
              <w:left w:val="single" w:sz="6" w:space="0" w:color="auto"/>
              <w:bottom w:val="single" w:sz="6" w:space="0" w:color="auto"/>
              <w:right w:val="single" w:sz="6" w:space="0" w:color="auto"/>
            </w:tcBorders>
          </w:tcPr>
          <w:p w14:paraId="43C862FA" w14:textId="77777777" w:rsidR="00CA23D0" w:rsidRPr="00E30642" w:rsidRDefault="00CA23D0" w:rsidP="00CA23D0">
            <w:pPr>
              <w:pStyle w:val="Texttabulky"/>
              <w:jc w:val="both"/>
              <w:rPr>
                <w:rFonts w:cs="Arial"/>
              </w:rPr>
            </w:pPr>
            <w:r w:rsidRPr="00E30642">
              <w:rPr>
                <w:rFonts w:cs="Arial"/>
                <w:sz w:val="18"/>
                <w:szCs w:val="18"/>
              </w:rPr>
              <w:t xml:space="preserve">44 </w:t>
            </w:r>
          </w:p>
        </w:tc>
        <w:tc>
          <w:tcPr>
            <w:tcW w:w="681" w:type="dxa"/>
            <w:tcBorders>
              <w:top w:val="single" w:sz="6" w:space="0" w:color="auto"/>
              <w:left w:val="single" w:sz="6" w:space="0" w:color="auto"/>
              <w:bottom w:val="single" w:sz="6" w:space="0" w:color="auto"/>
              <w:right w:val="single" w:sz="6" w:space="0" w:color="auto"/>
            </w:tcBorders>
          </w:tcPr>
          <w:p w14:paraId="7989FAB1" w14:textId="77777777" w:rsidR="00CA23D0" w:rsidRPr="00E30642" w:rsidRDefault="00CA23D0" w:rsidP="00CA23D0">
            <w:pPr>
              <w:pStyle w:val="Texttabulky"/>
              <w:jc w:val="both"/>
              <w:rPr>
                <w:rFonts w:cs="Arial"/>
              </w:rPr>
            </w:pPr>
            <w:r w:rsidRPr="00E30642">
              <w:rPr>
                <w:rFonts w:cs="Arial"/>
                <w:sz w:val="18"/>
                <w:szCs w:val="18"/>
              </w:rPr>
              <w:t xml:space="preserve">185 </w:t>
            </w:r>
          </w:p>
        </w:tc>
        <w:tc>
          <w:tcPr>
            <w:tcW w:w="631" w:type="dxa"/>
            <w:tcBorders>
              <w:top w:val="single" w:sz="6" w:space="0" w:color="auto"/>
              <w:left w:val="single" w:sz="6" w:space="0" w:color="auto"/>
              <w:bottom w:val="single" w:sz="6" w:space="0" w:color="auto"/>
              <w:right w:val="single" w:sz="6" w:space="0" w:color="auto"/>
            </w:tcBorders>
          </w:tcPr>
          <w:p w14:paraId="3D634B64" w14:textId="77777777" w:rsidR="00CA23D0" w:rsidRPr="00E30642" w:rsidRDefault="00CA23D0" w:rsidP="00CA23D0">
            <w:pPr>
              <w:pStyle w:val="Texttabulky"/>
              <w:jc w:val="both"/>
              <w:rPr>
                <w:rFonts w:cs="Arial"/>
              </w:rPr>
            </w:pPr>
            <w:r w:rsidRPr="00E30642">
              <w:rPr>
                <w:rFonts w:cs="Arial"/>
                <w:sz w:val="18"/>
                <w:szCs w:val="18"/>
              </w:rPr>
              <w:t xml:space="preserve">229 </w:t>
            </w:r>
          </w:p>
        </w:tc>
        <w:tc>
          <w:tcPr>
            <w:tcW w:w="716" w:type="dxa"/>
            <w:tcBorders>
              <w:top w:val="single" w:sz="6" w:space="0" w:color="auto"/>
              <w:left w:val="single" w:sz="6" w:space="0" w:color="auto"/>
              <w:bottom w:val="single" w:sz="6" w:space="0" w:color="auto"/>
              <w:right w:val="single" w:sz="6" w:space="0" w:color="auto"/>
            </w:tcBorders>
          </w:tcPr>
          <w:p w14:paraId="2550152B"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698" w:type="dxa"/>
            <w:tcBorders>
              <w:top w:val="single" w:sz="6" w:space="0" w:color="auto"/>
              <w:left w:val="single" w:sz="6" w:space="0" w:color="auto"/>
              <w:bottom w:val="single" w:sz="6" w:space="0" w:color="auto"/>
              <w:right w:val="single" w:sz="4" w:space="0" w:color="auto"/>
            </w:tcBorders>
          </w:tcPr>
          <w:p w14:paraId="0C48E44C"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650" w:type="dxa"/>
            <w:tcBorders>
              <w:top w:val="single" w:sz="6" w:space="0" w:color="auto"/>
              <w:left w:val="single" w:sz="4" w:space="0" w:color="auto"/>
              <w:bottom w:val="single" w:sz="6" w:space="0" w:color="auto"/>
              <w:right w:val="single" w:sz="4" w:space="0" w:color="auto"/>
            </w:tcBorders>
          </w:tcPr>
          <w:p w14:paraId="636AEAA2" w14:textId="77777777" w:rsidR="00CA23D0" w:rsidRPr="00E30642" w:rsidRDefault="00CA23D0" w:rsidP="00CA23D0">
            <w:pPr>
              <w:pStyle w:val="Texttabulky"/>
              <w:jc w:val="both"/>
              <w:rPr>
                <w:rFonts w:cs="Arial"/>
              </w:rPr>
            </w:pPr>
            <w:r w:rsidRPr="00E30642">
              <w:rPr>
                <w:rFonts w:cs="Arial"/>
                <w:sz w:val="18"/>
                <w:szCs w:val="18"/>
              </w:rPr>
              <w:t xml:space="preserve">0 </w:t>
            </w:r>
          </w:p>
        </w:tc>
      </w:tr>
      <w:tr w:rsidR="00CA23D0" w:rsidRPr="00E30642" w14:paraId="047F82D4" w14:textId="77777777" w:rsidTr="00CA23D0">
        <w:trPr>
          <w:jc w:val="center"/>
        </w:trPr>
        <w:tc>
          <w:tcPr>
            <w:tcW w:w="1680" w:type="dxa"/>
            <w:tcBorders>
              <w:top w:val="single" w:sz="6" w:space="0" w:color="auto"/>
              <w:left w:val="single" w:sz="6" w:space="0" w:color="auto"/>
              <w:bottom w:val="single" w:sz="6" w:space="0" w:color="auto"/>
              <w:right w:val="single" w:sz="6" w:space="0" w:color="auto"/>
            </w:tcBorders>
          </w:tcPr>
          <w:p w14:paraId="1219E3CE" w14:textId="77777777" w:rsidR="00CA23D0" w:rsidRPr="00E30642" w:rsidRDefault="00CA23D0" w:rsidP="00CA23D0">
            <w:pPr>
              <w:pStyle w:val="Texttabulky"/>
              <w:jc w:val="both"/>
              <w:rPr>
                <w:rFonts w:cs="Arial"/>
              </w:rPr>
            </w:pPr>
            <w:r w:rsidRPr="00E30642">
              <w:rPr>
                <w:rFonts w:cs="Arial"/>
                <w:b/>
                <w:bCs/>
                <w:sz w:val="18"/>
                <w:szCs w:val="18"/>
              </w:rPr>
              <w:t xml:space="preserve">IV. </w:t>
            </w:r>
          </w:p>
        </w:tc>
        <w:tc>
          <w:tcPr>
            <w:tcW w:w="2983" w:type="dxa"/>
            <w:tcBorders>
              <w:top w:val="single" w:sz="6" w:space="0" w:color="auto"/>
              <w:left w:val="single" w:sz="6" w:space="0" w:color="auto"/>
              <w:bottom w:val="single" w:sz="6" w:space="0" w:color="auto"/>
              <w:right w:val="single" w:sz="6" w:space="0" w:color="auto"/>
            </w:tcBorders>
          </w:tcPr>
          <w:p w14:paraId="064521D1" w14:textId="77777777" w:rsidR="00CA23D0" w:rsidRPr="00E30642" w:rsidRDefault="00CA23D0" w:rsidP="00CA23D0">
            <w:pPr>
              <w:pStyle w:val="Texttabulky"/>
              <w:jc w:val="both"/>
              <w:rPr>
                <w:rFonts w:cs="Arial"/>
              </w:rPr>
            </w:pPr>
            <w:r w:rsidRPr="00E30642">
              <w:rPr>
                <w:rFonts w:cs="Arial"/>
                <w:sz w:val="18"/>
                <w:szCs w:val="18"/>
              </w:rPr>
              <w:t xml:space="preserve">Bynov - Oldřichov </w:t>
            </w:r>
          </w:p>
        </w:tc>
        <w:tc>
          <w:tcPr>
            <w:tcW w:w="664" w:type="dxa"/>
            <w:tcBorders>
              <w:top w:val="single" w:sz="6" w:space="0" w:color="auto"/>
              <w:left w:val="single" w:sz="6" w:space="0" w:color="auto"/>
              <w:bottom w:val="single" w:sz="6" w:space="0" w:color="auto"/>
              <w:right w:val="single" w:sz="6" w:space="0" w:color="auto"/>
            </w:tcBorders>
          </w:tcPr>
          <w:p w14:paraId="252F0972" w14:textId="77777777" w:rsidR="00CA23D0" w:rsidRPr="00E30642" w:rsidRDefault="00CA23D0" w:rsidP="00CA23D0">
            <w:pPr>
              <w:pStyle w:val="Texttabulky"/>
              <w:jc w:val="both"/>
              <w:rPr>
                <w:rFonts w:cs="Arial"/>
              </w:rPr>
            </w:pPr>
            <w:r w:rsidRPr="00E30642">
              <w:rPr>
                <w:rFonts w:cs="Arial"/>
                <w:sz w:val="18"/>
                <w:szCs w:val="18"/>
              </w:rPr>
              <w:t xml:space="preserve">163 </w:t>
            </w:r>
          </w:p>
        </w:tc>
        <w:tc>
          <w:tcPr>
            <w:tcW w:w="681" w:type="dxa"/>
            <w:tcBorders>
              <w:top w:val="single" w:sz="6" w:space="0" w:color="auto"/>
              <w:left w:val="single" w:sz="6" w:space="0" w:color="auto"/>
              <w:bottom w:val="single" w:sz="6" w:space="0" w:color="auto"/>
              <w:right w:val="single" w:sz="6" w:space="0" w:color="auto"/>
            </w:tcBorders>
          </w:tcPr>
          <w:p w14:paraId="188A2EF0" w14:textId="77777777" w:rsidR="00CA23D0" w:rsidRPr="00E30642" w:rsidRDefault="00CA23D0" w:rsidP="00CA23D0">
            <w:pPr>
              <w:pStyle w:val="Texttabulky"/>
              <w:jc w:val="both"/>
              <w:rPr>
                <w:rFonts w:cs="Arial"/>
              </w:rPr>
            </w:pPr>
            <w:r w:rsidRPr="00E30642">
              <w:rPr>
                <w:rFonts w:cs="Arial"/>
                <w:sz w:val="18"/>
                <w:szCs w:val="18"/>
              </w:rPr>
              <w:t xml:space="preserve">85 </w:t>
            </w:r>
          </w:p>
        </w:tc>
        <w:tc>
          <w:tcPr>
            <w:tcW w:w="631" w:type="dxa"/>
            <w:tcBorders>
              <w:top w:val="single" w:sz="6" w:space="0" w:color="auto"/>
              <w:left w:val="single" w:sz="6" w:space="0" w:color="auto"/>
              <w:bottom w:val="single" w:sz="6" w:space="0" w:color="auto"/>
              <w:right w:val="single" w:sz="6" w:space="0" w:color="auto"/>
            </w:tcBorders>
          </w:tcPr>
          <w:p w14:paraId="08375C79" w14:textId="77777777" w:rsidR="00CA23D0" w:rsidRPr="00E30642" w:rsidRDefault="00CA23D0" w:rsidP="00CA23D0">
            <w:pPr>
              <w:pStyle w:val="Texttabulky"/>
              <w:jc w:val="both"/>
              <w:rPr>
                <w:rFonts w:cs="Arial"/>
              </w:rPr>
            </w:pPr>
            <w:r w:rsidRPr="00E30642">
              <w:rPr>
                <w:rFonts w:cs="Arial"/>
                <w:sz w:val="18"/>
                <w:szCs w:val="18"/>
              </w:rPr>
              <w:t xml:space="preserve">248 </w:t>
            </w:r>
          </w:p>
        </w:tc>
        <w:tc>
          <w:tcPr>
            <w:tcW w:w="716" w:type="dxa"/>
            <w:tcBorders>
              <w:top w:val="single" w:sz="6" w:space="0" w:color="auto"/>
              <w:left w:val="single" w:sz="6" w:space="0" w:color="auto"/>
              <w:bottom w:val="single" w:sz="6" w:space="0" w:color="auto"/>
              <w:right w:val="single" w:sz="6" w:space="0" w:color="auto"/>
            </w:tcBorders>
          </w:tcPr>
          <w:p w14:paraId="4EE332AC"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698" w:type="dxa"/>
            <w:tcBorders>
              <w:top w:val="single" w:sz="6" w:space="0" w:color="auto"/>
              <w:left w:val="single" w:sz="6" w:space="0" w:color="auto"/>
              <w:bottom w:val="single" w:sz="6" w:space="0" w:color="auto"/>
              <w:right w:val="single" w:sz="4" w:space="0" w:color="auto"/>
            </w:tcBorders>
          </w:tcPr>
          <w:p w14:paraId="7D1BCA78" w14:textId="77777777" w:rsidR="00CA23D0" w:rsidRPr="00E30642" w:rsidRDefault="00CA23D0" w:rsidP="00CA23D0">
            <w:pPr>
              <w:pStyle w:val="Texttabulky"/>
              <w:jc w:val="both"/>
              <w:rPr>
                <w:rFonts w:cs="Arial"/>
              </w:rPr>
            </w:pPr>
            <w:r w:rsidRPr="00E30642">
              <w:rPr>
                <w:rFonts w:cs="Arial"/>
                <w:sz w:val="18"/>
                <w:szCs w:val="18"/>
              </w:rPr>
              <w:t>0</w:t>
            </w:r>
          </w:p>
        </w:tc>
        <w:tc>
          <w:tcPr>
            <w:tcW w:w="650" w:type="dxa"/>
            <w:tcBorders>
              <w:top w:val="single" w:sz="6" w:space="0" w:color="auto"/>
              <w:left w:val="single" w:sz="4" w:space="0" w:color="auto"/>
              <w:bottom w:val="single" w:sz="6" w:space="0" w:color="auto"/>
              <w:right w:val="single" w:sz="4" w:space="0" w:color="auto"/>
            </w:tcBorders>
          </w:tcPr>
          <w:p w14:paraId="2E336391" w14:textId="77777777" w:rsidR="00CA23D0" w:rsidRPr="00E30642" w:rsidRDefault="00CA23D0" w:rsidP="00CA23D0">
            <w:pPr>
              <w:pStyle w:val="Texttabulky"/>
              <w:jc w:val="both"/>
              <w:rPr>
                <w:rFonts w:cs="Arial"/>
              </w:rPr>
            </w:pPr>
            <w:r w:rsidRPr="00E30642">
              <w:rPr>
                <w:rFonts w:cs="Arial"/>
                <w:sz w:val="18"/>
                <w:szCs w:val="18"/>
              </w:rPr>
              <w:t xml:space="preserve">0 </w:t>
            </w:r>
          </w:p>
        </w:tc>
      </w:tr>
      <w:tr w:rsidR="00CA23D0" w:rsidRPr="00E30642" w14:paraId="614F2D0E" w14:textId="77777777" w:rsidTr="00CA23D0">
        <w:trPr>
          <w:jc w:val="center"/>
        </w:trPr>
        <w:tc>
          <w:tcPr>
            <w:tcW w:w="1680" w:type="dxa"/>
            <w:tcBorders>
              <w:top w:val="single" w:sz="6" w:space="0" w:color="auto"/>
              <w:left w:val="single" w:sz="6" w:space="0" w:color="auto"/>
              <w:bottom w:val="single" w:sz="6" w:space="0" w:color="auto"/>
              <w:right w:val="single" w:sz="6" w:space="0" w:color="auto"/>
            </w:tcBorders>
          </w:tcPr>
          <w:p w14:paraId="2ACAA7A1" w14:textId="77777777" w:rsidR="00CA23D0" w:rsidRPr="00E30642" w:rsidRDefault="00CA23D0" w:rsidP="00CA23D0">
            <w:pPr>
              <w:pStyle w:val="Texttabulky"/>
              <w:jc w:val="both"/>
              <w:rPr>
                <w:rFonts w:cs="Arial"/>
              </w:rPr>
            </w:pPr>
            <w:r w:rsidRPr="00E30642">
              <w:rPr>
                <w:rFonts w:cs="Arial"/>
                <w:b/>
                <w:bCs/>
                <w:sz w:val="18"/>
                <w:szCs w:val="18"/>
              </w:rPr>
              <w:t xml:space="preserve">V. </w:t>
            </w:r>
          </w:p>
        </w:tc>
        <w:tc>
          <w:tcPr>
            <w:tcW w:w="2983" w:type="dxa"/>
            <w:tcBorders>
              <w:top w:val="single" w:sz="6" w:space="0" w:color="auto"/>
              <w:left w:val="single" w:sz="6" w:space="0" w:color="auto"/>
              <w:bottom w:val="single" w:sz="6" w:space="0" w:color="auto"/>
              <w:right w:val="single" w:sz="6" w:space="0" w:color="auto"/>
            </w:tcBorders>
          </w:tcPr>
          <w:p w14:paraId="3B8D9033" w14:textId="77777777" w:rsidR="00CA23D0" w:rsidRPr="00E30642" w:rsidRDefault="00CA23D0" w:rsidP="00CA23D0">
            <w:pPr>
              <w:pStyle w:val="Texttabulky"/>
              <w:jc w:val="both"/>
              <w:rPr>
                <w:rFonts w:cs="Arial"/>
              </w:rPr>
            </w:pPr>
            <w:r w:rsidRPr="00E30642">
              <w:rPr>
                <w:rFonts w:cs="Arial"/>
                <w:sz w:val="18"/>
                <w:szCs w:val="18"/>
              </w:rPr>
              <w:t xml:space="preserve">Loubí - Žleb </w:t>
            </w:r>
          </w:p>
        </w:tc>
        <w:tc>
          <w:tcPr>
            <w:tcW w:w="664" w:type="dxa"/>
            <w:tcBorders>
              <w:top w:val="single" w:sz="6" w:space="0" w:color="auto"/>
              <w:left w:val="single" w:sz="6" w:space="0" w:color="auto"/>
              <w:bottom w:val="single" w:sz="6" w:space="0" w:color="auto"/>
              <w:right w:val="single" w:sz="6" w:space="0" w:color="auto"/>
            </w:tcBorders>
          </w:tcPr>
          <w:p w14:paraId="40E1BDA8" w14:textId="77777777" w:rsidR="00CA23D0" w:rsidRPr="00E30642" w:rsidRDefault="00CA23D0" w:rsidP="00CA23D0">
            <w:pPr>
              <w:pStyle w:val="Texttabulky"/>
              <w:jc w:val="both"/>
              <w:rPr>
                <w:rFonts w:cs="Arial"/>
              </w:rPr>
            </w:pPr>
            <w:r w:rsidRPr="00E30642">
              <w:rPr>
                <w:rFonts w:cs="Arial"/>
                <w:sz w:val="18"/>
                <w:szCs w:val="18"/>
              </w:rPr>
              <w:t>0</w:t>
            </w:r>
          </w:p>
        </w:tc>
        <w:tc>
          <w:tcPr>
            <w:tcW w:w="681" w:type="dxa"/>
            <w:tcBorders>
              <w:top w:val="single" w:sz="6" w:space="0" w:color="auto"/>
              <w:left w:val="single" w:sz="6" w:space="0" w:color="auto"/>
              <w:bottom w:val="single" w:sz="6" w:space="0" w:color="auto"/>
              <w:right w:val="single" w:sz="6" w:space="0" w:color="auto"/>
            </w:tcBorders>
          </w:tcPr>
          <w:p w14:paraId="2F35BAA9" w14:textId="77777777" w:rsidR="00CA23D0" w:rsidRPr="00E30642" w:rsidRDefault="00CA23D0" w:rsidP="00CA23D0">
            <w:pPr>
              <w:pStyle w:val="Texttabulky"/>
              <w:jc w:val="both"/>
              <w:rPr>
                <w:rFonts w:cs="Arial"/>
              </w:rPr>
            </w:pPr>
            <w:r w:rsidRPr="00E30642">
              <w:rPr>
                <w:rFonts w:cs="Arial"/>
                <w:sz w:val="18"/>
                <w:szCs w:val="18"/>
              </w:rPr>
              <w:t>0</w:t>
            </w:r>
          </w:p>
        </w:tc>
        <w:tc>
          <w:tcPr>
            <w:tcW w:w="631" w:type="dxa"/>
            <w:tcBorders>
              <w:top w:val="single" w:sz="6" w:space="0" w:color="auto"/>
              <w:left w:val="single" w:sz="6" w:space="0" w:color="auto"/>
              <w:bottom w:val="single" w:sz="6" w:space="0" w:color="auto"/>
              <w:right w:val="single" w:sz="6" w:space="0" w:color="auto"/>
            </w:tcBorders>
          </w:tcPr>
          <w:p w14:paraId="3B46BD10" w14:textId="77777777" w:rsidR="00CA23D0" w:rsidRPr="00E30642" w:rsidRDefault="00CA23D0" w:rsidP="00CA23D0">
            <w:pPr>
              <w:pStyle w:val="Texttabulky"/>
              <w:jc w:val="both"/>
              <w:rPr>
                <w:rFonts w:cs="Arial"/>
              </w:rPr>
            </w:pPr>
            <w:r w:rsidRPr="00E30642">
              <w:rPr>
                <w:rFonts w:cs="Arial"/>
                <w:sz w:val="18"/>
                <w:szCs w:val="18"/>
              </w:rPr>
              <w:t>0</w:t>
            </w:r>
          </w:p>
        </w:tc>
        <w:tc>
          <w:tcPr>
            <w:tcW w:w="716" w:type="dxa"/>
            <w:tcBorders>
              <w:top w:val="single" w:sz="6" w:space="0" w:color="auto"/>
              <w:left w:val="single" w:sz="6" w:space="0" w:color="auto"/>
              <w:bottom w:val="single" w:sz="6" w:space="0" w:color="auto"/>
              <w:right w:val="single" w:sz="6" w:space="0" w:color="auto"/>
            </w:tcBorders>
          </w:tcPr>
          <w:p w14:paraId="23CFD639" w14:textId="77777777" w:rsidR="00CA23D0" w:rsidRPr="00E30642" w:rsidRDefault="00CA23D0" w:rsidP="00CA23D0">
            <w:pPr>
              <w:pStyle w:val="Texttabulky"/>
              <w:jc w:val="both"/>
              <w:rPr>
                <w:rFonts w:cs="Arial"/>
              </w:rPr>
            </w:pPr>
            <w:r w:rsidRPr="00E30642">
              <w:rPr>
                <w:rFonts w:cs="Arial"/>
                <w:sz w:val="18"/>
                <w:szCs w:val="18"/>
              </w:rPr>
              <w:t>0</w:t>
            </w:r>
          </w:p>
        </w:tc>
        <w:tc>
          <w:tcPr>
            <w:tcW w:w="698" w:type="dxa"/>
            <w:tcBorders>
              <w:top w:val="single" w:sz="6" w:space="0" w:color="auto"/>
              <w:left w:val="single" w:sz="6" w:space="0" w:color="auto"/>
              <w:bottom w:val="single" w:sz="6" w:space="0" w:color="auto"/>
              <w:right w:val="single" w:sz="4" w:space="0" w:color="auto"/>
            </w:tcBorders>
          </w:tcPr>
          <w:p w14:paraId="775A0027" w14:textId="77777777" w:rsidR="00CA23D0" w:rsidRPr="00E30642" w:rsidRDefault="00CA23D0" w:rsidP="00CA23D0">
            <w:pPr>
              <w:pStyle w:val="Texttabulky"/>
              <w:jc w:val="both"/>
              <w:rPr>
                <w:rFonts w:cs="Arial"/>
              </w:rPr>
            </w:pPr>
            <w:r w:rsidRPr="00E30642">
              <w:rPr>
                <w:rFonts w:cs="Arial"/>
                <w:sz w:val="18"/>
                <w:szCs w:val="18"/>
              </w:rPr>
              <w:t>0</w:t>
            </w:r>
          </w:p>
        </w:tc>
        <w:tc>
          <w:tcPr>
            <w:tcW w:w="650" w:type="dxa"/>
            <w:tcBorders>
              <w:top w:val="single" w:sz="6" w:space="0" w:color="auto"/>
              <w:left w:val="single" w:sz="4" w:space="0" w:color="auto"/>
              <w:bottom w:val="single" w:sz="6" w:space="0" w:color="auto"/>
              <w:right w:val="single" w:sz="4" w:space="0" w:color="auto"/>
            </w:tcBorders>
          </w:tcPr>
          <w:p w14:paraId="52C4C1E4" w14:textId="77777777" w:rsidR="00CA23D0" w:rsidRPr="00E30642" w:rsidRDefault="00CA23D0" w:rsidP="00CA23D0">
            <w:pPr>
              <w:pStyle w:val="Texttabulky"/>
              <w:jc w:val="both"/>
              <w:rPr>
                <w:rFonts w:cs="Arial"/>
              </w:rPr>
            </w:pPr>
            <w:r w:rsidRPr="00E30642">
              <w:rPr>
                <w:rFonts w:cs="Arial"/>
                <w:sz w:val="18"/>
                <w:szCs w:val="18"/>
              </w:rPr>
              <w:t>0</w:t>
            </w:r>
          </w:p>
        </w:tc>
      </w:tr>
      <w:tr w:rsidR="00CA23D0" w:rsidRPr="00E30642" w14:paraId="447255D7" w14:textId="77777777" w:rsidTr="00CA23D0">
        <w:trPr>
          <w:jc w:val="center"/>
        </w:trPr>
        <w:tc>
          <w:tcPr>
            <w:tcW w:w="1680" w:type="dxa"/>
            <w:tcBorders>
              <w:top w:val="single" w:sz="6" w:space="0" w:color="auto"/>
              <w:left w:val="single" w:sz="6" w:space="0" w:color="auto"/>
              <w:bottom w:val="single" w:sz="6" w:space="0" w:color="auto"/>
              <w:right w:val="single" w:sz="6" w:space="0" w:color="auto"/>
            </w:tcBorders>
          </w:tcPr>
          <w:p w14:paraId="35805B23" w14:textId="77777777" w:rsidR="00CA23D0" w:rsidRPr="00E30642" w:rsidRDefault="00CA23D0" w:rsidP="00CA23D0">
            <w:pPr>
              <w:pStyle w:val="Texttabulky"/>
              <w:jc w:val="both"/>
              <w:rPr>
                <w:rFonts w:cs="Arial"/>
              </w:rPr>
            </w:pPr>
            <w:r w:rsidRPr="00E30642">
              <w:rPr>
                <w:rFonts w:cs="Arial"/>
                <w:b/>
                <w:bCs/>
                <w:sz w:val="18"/>
                <w:szCs w:val="18"/>
              </w:rPr>
              <w:t xml:space="preserve">VI. </w:t>
            </w:r>
          </w:p>
        </w:tc>
        <w:tc>
          <w:tcPr>
            <w:tcW w:w="2983" w:type="dxa"/>
            <w:tcBorders>
              <w:top w:val="single" w:sz="6" w:space="0" w:color="auto"/>
              <w:left w:val="single" w:sz="6" w:space="0" w:color="auto"/>
              <w:bottom w:val="single" w:sz="6" w:space="0" w:color="auto"/>
              <w:right w:val="single" w:sz="6" w:space="0" w:color="auto"/>
            </w:tcBorders>
          </w:tcPr>
          <w:p w14:paraId="18351A85" w14:textId="77777777" w:rsidR="00CA23D0" w:rsidRPr="00E30642" w:rsidRDefault="00CA23D0" w:rsidP="00CA23D0">
            <w:pPr>
              <w:pStyle w:val="Texttabulky"/>
              <w:jc w:val="both"/>
              <w:rPr>
                <w:rFonts w:cs="Arial"/>
              </w:rPr>
            </w:pPr>
            <w:r w:rsidRPr="00E30642">
              <w:rPr>
                <w:rFonts w:cs="Arial"/>
                <w:sz w:val="18"/>
                <w:szCs w:val="18"/>
              </w:rPr>
              <w:t xml:space="preserve">N. Město - St. Město  * </w:t>
            </w:r>
          </w:p>
        </w:tc>
        <w:tc>
          <w:tcPr>
            <w:tcW w:w="664" w:type="dxa"/>
            <w:tcBorders>
              <w:top w:val="single" w:sz="6" w:space="0" w:color="auto"/>
              <w:left w:val="single" w:sz="6" w:space="0" w:color="auto"/>
              <w:bottom w:val="single" w:sz="6" w:space="0" w:color="auto"/>
              <w:right w:val="single" w:sz="6" w:space="0" w:color="auto"/>
            </w:tcBorders>
          </w:tcPr>
          <w:p w14:paraId="48471AC3" w14:textId="77777777" w:rsidR="00CA23D0" w:rsidRPr="00E30642" w:rsidRDefault="00CA23D0" w:rsidP="00CA23D0">
            <w:pPr>
              <w:pStyle w:val="Texttabulky"/>
              <w:jc w:val="both"/>
              <w:rPr>
                <w:rFonts w:cs="Arial"/>
              </w:rPr>
            </w:pPr>
            <w:r w:rsidRPr="00E30642">
              <w:rPr>
                <w:rFonts w:cs="Arial"/>
                <w:sz w:val="18"/>
                <w:szCs w:val="18"/>
              </w:rPr>
              <w:t xml:space="preserve">116 </w:t>
            </w:r>
          </w:p>
        </w:tc>
        <w:tc>
          <w:tcPr>
            <w:tcW w:w="681" w:type="dxa"/>
            <w:tcBorders>
              <w:top w:val="single" w:sz="6" w:space="0" w:color="auto"/>
              <w:left w:val="single" w:sz="6" w:space="0" w:color="auto"/>
              <w:bottom w:val="single" w:sz="6" w:space="0" w:color="auto"/>
              <w:right w:val="single" w:sz="6" w:space="0" w:color="auto"/>
            </w:tcBorders>
          </w:tcPr>
          <w:p w14:paraId="6ADA7863" w14:textId="77777777" w:rsidR="00CA23D0" w:rsidRPr="00E30642" w:rsidRDefault="00CA23D0" w:rsidP="00CA23D0">
            <w:pPr>
              <w:pStyle w:val="Texttabulky"/>
              <w:jc w:val="both"/>
              <w:rPr>
                <w:rFonts w:cs="Arial"/>
              </w:rPr>
            </w:pPr>
            <w:r w:rsidRPr="00E30642">
              <w:rPr>
                <w:rFonts w:cs="Arial"/>
                <w:sz w:val="18"/>
                <w:szCs w:val="18"/>
              </w:rPr>
              <w:t xml:space="preserve">190 </w:t>
            </w:r>
          </w:p>
        </w:tc>
        <w:tc>
          <w:tcPr>
            <w:tcW w:w="631" w:type="dxa"/>
            <w:tcBorders>
              <w:top w:val="single" w:sz="6" w:space="0" w:color="auto"/>
              <w:left w:val="single" w:sz="6" w:space="0" w:color="auto"/>
              <w:bottom w:val="single" w:sz="6" w:space="0" w:color="auto"/>
              <w:right w:val="single" w:sz="6" w:space="0" w:color="auto"/>
            </w:tcBorders>
          </w:tcPr>
          <w:p w14:paraId="5A496E17" w14:textId="77777777" w:rsidR="00CA23D0" w:rsidRPr="00E30642" w:rsidRDefault="00CA23D0" w:rsidP="00CA23D0">
            <w:pPr>
              <w:pStyle w:val="Texttabulky"/>
              <w:jc w:val="both"/>
              <w:rPr>
                <w:rFonts w:cs="Arial"/>
              </w:rPr>
            </w:pPr>
            <w:r w:rsidRPr="00E30642">
              <w:rPr>
                <w:rFonts w:cs="Arial"/>
                <w:sz w:val="18"/>
                <w:szCs w:val="18"/>
              </w:rPr>
              <w:t xml:space="preserve">306 </w:t>
            </w:r>
          </w:p>
        </w:tc>
        <w:tc>
          <w:tcPr>
            <w:tcW w:w="716" w:type="dxa"/>
            <w:tcBorders>
              <w:top w:val="single" w:sz="6" w:space="0" w:color="auto"/>
              <w:left w:val="single" w:sz="6" w:space="0" w:color="auto"/>
              <w:bottom w:val="single" w:sz="6" w:space="0" w:color="auto"/>
              <w:right w:val="single" w:sz="6" w:space="0" w:color="auto"/>
            </w:tcBorders>
          </w:tcPr>
          <w:p w14:paraId="4E115992" w14:textId="77777777" w:rsidR="00CA23D0" w:rsidRPr="00E30642" w:rsidRDefault="00CA23D0" w:rsidP="00CA23D0">
            <w:pPr>
              <w:pStyle w:val="Texttabulky"/>
              <w:jc w:val="both"/>
              <w:rPr>
                <w:rFonts w:cs="Arial"/>
              </w:rPr>
            </w:pPr>
            <w:r w:rsidRPr="00E30642">
              <w:rPr>
                <w:rFonts w:cs="Arial"/>
                <w:sz w:val="18"/>
                <w:szCs w:val="18"/>
              </w:rPr>
              <w:t xml:space="preserve">332 </w:t>
            </w:r>
          </w:p>
        </w:tc>
        <w:tc>
          <w:tcPr>
            <w:tcW w:w="698" w:type="dxa"/>
            <w:tcBorders>
              <w:top w:val="single" w:sz="6" w:space="0" w:color="auto"/>
              <w:left w:val="single" w:sz="6" w:space="0" w:color="auto"/>
              <w:bottom w:val="single" w:sz="6" w:space="0" w:color="auto"/>
              <w:right w:val="single" w:sz="4" w:space="0" w:color="auto"/>
            </w:tcBorders>
          </w:tcPr>
          <w:p w14:paraId="0AA6217D" w14:textId="77777777" w:rsidR="00CA23D0" w:rsidRPr="00E30642" w:rsidRDefault="00CA23D0" w:rsidP="00CA23D0">
            <w:pPr>
              <w:pStyle w:val="Texttabulky"/>
              <w:jc w:val="both"/>
              <w:rPr>
                <w:rFonts w:cs="Arial"/>
              </w:rPr>
            </w:pPr>
            <w:r w:rsidRPr="00E30642">
              <w:rPr>
                <w:rFonts w:cs="Arial"/>
                <w:sz w:val="18"/>
                <w:szCs w:val="18"/>
              </w:rPr>
              <w:t xml:space="preserve">250 </w:t>
            </w:r>
          </w:p>
        </w:tc>
        <w:tc>
          <w:tcPr>
            <w:tcW w:w="650" w:type="dxa"/>
            <w:tcBorders>
              <w:top w:val="single" w:sz="6" w:space="0" w:color="auto"/>
              <w:left w:val="single" w:sz="4" w:space="0" w:color="auto"/>
              <w:bottom w:val="single" w:sz="6" w:space="0" w:color="auto"/>
              <w:right w:val="single" w:sz="4" w:space="0" w:color="auto"/>
            </w:tcBorders>
          </w:tcPr>
          <w:p w14:paraId="225F7E05" w14:textId="77777777" w:rsidR="00CA23D0" w:rsidRPr="00E30642" w:rsidRDefault="00CA23D0" w:rsidP="00CA23D0">
            <w:pPr>
              <w:pStyle w:val="Texttabulky"/>
              <w:jc w:val="both"/>
              <w:rPr>
                <w:rFonts w:cs="Arial"/>
              </w:rPr>
            </w:pPr>
            <w:r w:rsidRPr="00E30642">
              <w:rPr>
                <w:rFonts w:cs="Arial"/>
                <w:sz w:val="18"/>
                <w:szCs w:val="18"/>
              </w:rPr>
              <w:t xml:space="preserve">582 </w:t>
            </w:r>
          </w:p>
        </w:tc>
      </w:tr>
      <w:tr w:rsidR="00CA23D0" w:rsidRPr="00E30642" w14:paraId="61AAA7BC" w14:textId="77777777" w:rsidTr="00CA23D0">
        <w:trPr>
          <w:jc w:val="center"/>
        </w:trPr>
        <w:tc>
          <w:tcPr>
            <w:tcW w:w="1680" w:type="dxa"/>
            <w:tcBorders>
              <w:top w:val="single" w:sz="6" w:space="0" w:color="auto"/>
              <w:left w:val="single" w:sz="6" w:space="0" w:color="auto"/>
              <w:bottom w:val="single" w:sz="6" w:space="0" w:color="auto"/>
              <w:right w:val="single" w:sz="6" w:space="0" w:color="auto"/>
            </w:tcBorders>
          </w:tcPr>
          <w:p w14:paraId="7153F2A4" w14:textId="77777777" w:rsidR="00CA23D0" w:rsidRPr="00E30642" w:rsidRDefault="00CA23D0" w:rsidP="00CA23D0">
            <w:pPr>
              <w:pStyle w:val="Texttabulky"/>
              <w:jc w:val="both"/>
              <w:rPr>
                <w:rFonts w:cs="Arial"/>
              </w:rPr>
            </w:pPr>
            <w:r w:rsidRPr="00E30642">
              <w:rPr>
                <w:rFonts w:cs="Arial"/>
                <w:b/>
                <w:bCs/>
                <w:sz w:val="18"/>
                <w:szCs w:val="18"/>
              </w:rPr>
              <w:t xml:space="preserve">VII </w:t>
            </w:r>
          </w:p>
        </w:tc>
        <w:tc>
          <w:tcPr>
            <w:tcW w:w="2983" w:type="dxa"/>
            <w:tcBorders>
              <w:top w:val="single" w:sz="6" w:space="0" w:color="auto"/>
              <w:left w:val="single" w:sz="6" w:space="0" w:color="auto"/>
              <w:bottom w:val="single" w:sz="6" w:space="0" w:color="auto"/>
              <w:right w:val="single" w:sz="6" w:space="0" w:color="auto"/>
            </w:tcBorders>
          </w:tcPr>
          <w:p w14:paraId="3C90801B" w14:textId="77777777" w:rsidR="00CA23D0" w:rsidRPr="00E30642" w:rsidRDefault="00CA23D0" w:rsidP="00CA23D0">
            <w:pPr>
              <w:pStyle w:val="Texttabulky"/>
              <w:jc w:val="both"/>
              <w:rPr>
                <w:rFonts w:cs="Arial"/>
              </w:rPr>
            </w:pPr>
            <w:r w:rsidRPr="00E30642">
              <w:rPr>
                <w:rFonts w:cs="Arial"/>
                <w:sz w:val="18"/>
                <w:szCs w:val="18"/>
              </w:rPr>
              <w:t xml:space="preserve">Boletice - Křešice  * </w:t>
            </w:r>
          </w:p>
        </w:tc>
        <w:tc>
          <w:tcPr>
            <w:tcW w:w="664" w:type="dxa"/>
            <w:tcBorders>
              <w:top w:val="single" w:sz="6" w:space="0" w:color="auto"/>
              <w:left w:val="single" w:sz="6" w:space="0" w:color="auto"/>
              <w:bottom w:val="single" w:sz="6" w:space="0" w:color="auto"/>
              <w:right w:val="single" w:sz="6" w:space="0" w:color="auto"/>
            </w:tcBorders>
          </w:tcPr>
          <w:p w14:paraId="0E8F4F79" w14:textId="77777777" w:rsidR="00CA23D0" w:rsidRPr="00E30642" w:rsidRDefault="00CA23D0" w:rsidP="00CA23D0">
            <w:pPr>
              <w:pStyle w:val="Texttabulky"/>
              <w:jc w:val="both"/>
              <w:rPr>
                <w:rFonts w:cs="Arial"/>
              </w:rPr>
            </w:pPr>
            <w:r w:rsidRPr="00E30642">
              <w:rPr>
                <w:rFonts w:cs="Arial"/>
                <w:sz w:val="18"/>
                <w:szCs w:val="18"/>
              </w:rPr>
              <w:t xml:space="preserve">35 </w:t>
            </w:r>
          </w:p>
        </w:tc>
        <w:tc>
          <w:tcPr>
            <w:tcW w:w="681" w:type="dxa"/>
            <w:tcBorders>
              <w:top w:val="single" w:sz="6" w:space="0" w:color="auto"/>
              <w:left w:val="single" w:sz="6" w:space="0" w:color="auto"/>
              <w:bottom w:val="single" w:sz="6" w:space="0" w:color="auto"/>
              <w:right w:val="single" w:sz="6" w:space="0" w:color="auto"/>
            </w:tcBorders>
          </w:tcPr>
          <w:p w14:paraId="2AE88942" w14:textId="77777777" w:rsidR="00CA23D0" w:rsidRPr="00E30642" w:rsidRDefault="00CA23D0" w:rsidP="00CA23D0">
            <w:pPr>
              <w:pStyle w:val="Texttabulky"/>
              <w:jc w:val="both"/>
              <w:rPr>
                <w:rFonts w:cs="Arial"/>
              </w:rPr>
            </w:pPr>
            <w:r w:rsidRPr="00E30642">
              <w:rPr>
                <w:rFonts w:cs="Arial"/>
                <w:sz w:val="18"/>
                <w:szCs w:val="18"/>
              </w:rPr>
              <w:t xml:space="preserve">205 </w:t>
            </w:r>
          </w:p>
        </w:tc>
        <w:tc>
          <w:tcPr>
            <w:tcW w:w="631" w:type="dxa"/>
            <w:tcBorders>
              <w:top w:val="single" w:sz="6" w:space="0" w:color="auto"/>
              <w:left w:val="single" w:sz="6" w:space="0" w:color="auto"/>
              <w:bottom w:val="single" w:sz="6" w:space="0" w:color="auto"/>
              <w:right w:val="single" w:sz="6" w:space="0" w:color="auto"/>
            </w:tcBorders>
          </w:tcPr>
          <w:p w14:paraId="35E67A93" w14:textId="77777777" w:rsidR="00CA23D0" w:rsidRPr="00E30642" w:rsidRDefault="00CA23D0" w:rsidP="00CA23D0">
            <w:pPr>
              <w:pStyle w:val="Texttabulky"/>
              <w:jc w:val="both"/>
              <w:rPr>
                <w:rFonts w:cs="Arial"/>
              </w:rPr>
            </w:pPr>
            <w:r w:rsidRPr="00E30642">
              <w:rPr>
                <w:rFonts w:cs="Arial"/>
                <w:sz w:val="18"/>
                <w:szCs w:val="18"/>
              </w:rPr>
              <w:t xml:space="preserve">240 </w:t>
            </w:r>
          </w:p>
        </w:tc>
        <w:tc>
          <w:tcPr>
            <w:tcW w:w="716" w:type="dxa"/>
            <w:tcBorders>
              <w:top w:val="single" w:sz="6" w:space="0" w:color="auto"/>
              <w:left w:val="single" w:sz="6" w:space="0" w:color="auto"/>
              <w:bottom w:val="single" w:sz="6" w:space="0" w:color="auto"/>
              <w:right w:val="single" w:sz="6" w:space="0" w:color="auto"/>
            </w:tcBorders>
          </w:tcPr>
          <w:p w14:paraId="65F92BD2" w14:textId="77777777" w:rsidR="00CA23D0" w:rsidRPr="00E30642" w:rsidRDefault="00CA23D0" w:rsidP="00CA23D0">
            <w:pPr>
              <w:pStyle w:val="Texttabulky"/>
              <w:jc w:val="both"/>
              <w:rPr>
                <w:rFonts w:cs="Arial"/>
              </w:rPr>
            </w:pPr>
            <w:r w:rsidRPr="00E30642">
              <w:rPr>
                <w:rFonts w:cs="Arial"/>
                <w:sz w:val="18"/>
                <w:szCs w:val="18"/>
              </w:rPr>
              <w:t xml:space="preserve">126 </w:t>
            </w:r>
          </w:p>
        </w:tc>
        <w:tc>
          <w:tcPr>
            <w:tcW w:w="698" w:type="dxa"/>
            <w:tcBorders>
              <w:top w:val="single" w:sz="6" w:space="0" w:color="auto"/>
              <w:left w:val="single" w:sz="6" w:space="0" w:color="auto"/>
              <w:bottom w:val="single" w:sz="6" w:space="0" w:color="auto"/>
              <w:right w:val="single" w:sz="4" w:space="0" w:color="auto"/>
            </w:tcBorders>
          </w:tcPr>
          <w:p w14:paraId="23131000" w14:textId="77777777" w:rsidR="00CA23D0" w:rsidRPr="00E30642" w:rsidRDefault="00CA23D0" w:rsidP="00CA23D0">
            <w:pPr>
              <w:pStyle w:val="Texttabulky"/>
              <w:jc w:val="both"/>
              <w:rPr>
                <w:rFonts w:cs="Arial"/>
              </w:rPr>
            </w:pPr>
            <w:r w:rsidRPr="00E30642">
              <w:rPr>
                <w:rFonts w:cs="Arial"/>
                <w:sz w:val="18"/>
                <w:szCs w:val="18"/>
              </w:rPr>
              <w:t xml:space="preserve">20 </w:t>
            </w:r>
          </w:p>
        </w:tc>
        <w:tc>
          <w:tcPr>
            <w:tcW w:w="650" w:type="dxa"/>
            <w:tcBorders>
              <w:top w:val="single" w:sz="6" w:space="0" w:color="auto"/>
              <w:left w:val="single" w:sz="4" w:space="0" w:color="auto"/>
              <w:bottom w:val="single" w:sz="6" w:space="0" w:color="auto"/>
              <w:right w:val="single" w:sz="4" w:space="0" w:color="auto"/>
            </w:tcBorders>
          </w:tcPr>
          <w:p w14:paraId="2D599B61" w14:textId="77777777" w:rsidR="00CA23D0" w:rsidRPr="00E30642" w:rsidRDefault="00CA23D0" w:rsidP="00CA23D0">
            <w:pPr>
              <w:pStyle w:val="Texttabulky"/>
              <w:jc w:val="both"/>
              <w:rPr>
                <w:rFonts w:cs="Arial"/>
              </w:rPr>
            </w:pPr>
            <w:r w:rsidRPr="00E30642">
              <w:rPr>
                <w:rFonts w:cs="Arial"/>
                <w:sz w:val="18"/>
                <w:szCs w:val="18"/>
              </w:rPr>
              <w:t xml:space="preserve">146 </w:t>
            </w:r>
          </w:p>
        </w:tc>
      </w:tr>
      <w:tr w:rsidR="00CA23D0" w:rsidRPr="00E30642" w14:paraId="08A7AEFE" w14:textId="77777777" w:rsidTr="00CA23D0">
        <w:trPr>
          <w:jc w:val="center"/>
        </w:trPr>
        <w:tc>
          <w:tcPr>
            <w:tcW w:w="1680" w:type="dxa"/>
            <w:tcBorders>
              <w:top w:val="single" w:sz="6" w:space="0" w:color="auto"/>
              <w:left w:val="single" w:sz="6" w:space="0" w:color="auto"/>
              <w:bottom w:val="single" w:sz="6" w:space="0" w:color="auto"/>
              <w:right w:val="single" w:sz="6" w:space="0" w:color="auto"/>
            </w:tcBorders>
          </w:tcPr>
          <w:p w14:paraId="6AF1CCC8" w14:textId="77777777" w:rsidR="00CA23D0" w:rsidRPr="00E30642" w:rsidRDefault="00CA23D0" w:rsidP="00CA23D0">
            <w:pPr>
              <w:pStyle w:val="Texttabulky"/>
              <w:jc w:val="both"/>
              <w:rPr>
                <w:rFonts w:cs="Arial"/>
              </w:rPr>
            </w:pPr>
            <w:r w:rsidRPr="00E30642">
              <w:rPr>
                <w:rFonts w:cs="Arial"/>
                <w:b/>
                <w:bCs/>
                <w:sz w:val="18"/>
                <w:szCs w:val="18"/>
              </w:rPr>
              <w:t xml:space="preserve">VIII </w:t>
            </w:r>
          </w:p>
        </w:tc>
        <w:tc>
          <w:tcPr>
            <w:tcW w:w="2983" w:type="dxa"/>
            <w:tcBorders>
              <w:top w:val="single" w:sz="6" w:space="0" w:color="auto"/>
              <w:left w:val="single" w:sz="6" w:space="0" w:color="auto"/>
              <w:bottom w:val="single" w:sz="6" w:space="0" w:color="auto"/>
              <w:right w:val="single" w:sz="6" w:space="0" w:color="auto"/>
            </w:tcBorders>
          </w:tcPr>
          <w:p w14:paraId="594A0DAA" w14:textId="77777777" w:rsidR="00CA23D0" w:rsidRPr="00E30642" w:rsidRDefault="00CA23D0" w:rsidP="00CA23D0">
            <w:pPr>
              <w:pStyle w:val="Texttabulky"/>
              <w:jc w:val="both"/>
              <w:rPr>
                <w:rFonts w:cs="Arial"/>
              </w:rPr>
            </w:pPr>
            <w:r w:rsidRPr="00E30642">
              <w:rPr>
                <w:rFonts w:cs="Arial"/>
                <w:sz w:val="18"/>
                <w:szCs w:val="18"/>
              </w:rPr>
              <w:t xml:space="preserve">Maxičky - Žleb </w:t>
            </w:r>
          </w:p>
        </w:tc>
        <w:tc>
          <w:tcPr>
            <w:tcW w:w="664" w:type="dxa"/>
            <w:tcBorders>
              <w:top w:val="single" w:sz="6" w:space="0" w:color="auto"/>
              <w:left w:val="single" w:sz="6" w:space="0" w:color="auto"/>
              <w:bottom w:val="single" w:sz="6" w:space="0" w:color="auto"/>
              <w:right w:val="single" w:sz="6" w:space="0" w:color="auto"/>
            </w:tcBorders>
          </w:tcPr>
          <w:p w14:paraId="08FB1A16" w14:textId="77777777" w:rsidR="00CA23D0" w:rsidRPr="00E30642" w:rsidRDefault="00CA23D0" w:rsidP="00CA23D0">
            <w:pPr>
              <w:pStyle w:val="Texttabulky"/>
              <w:jc w:val="both"/>
              <w:rPr>
                <w:rFonts w:cs="Arial"/>
              </w:rPr>
            </w:pPr>
            <w:r w:rsidRPr="00E30642">
              <w:rPr>
                <w:rFonts w:cs="Arial"/>
                <w:sz w:val="18"/>
                <w:szCs w:val="18"/>
              </w:rPr>
              <w:t xml:space="preserve">5 </w:t>
            </w:r>
          </w:p>
        </w:tc>
        <w:tc>
          <w:tcPr>
            <w:tcW w:w="681" w:type="dxa"/>
            <w:tcBorders>
              <w:top w:val="single" w:sz="6" w:space="0" w:color="auto"/>
              <w:left w:val="single" w:sz="6" w:space="0" w:color="auto"/>
              <w:bottom w:val="single" w:sz="6" w:space="0" w:color="auto"/>
              <w:right w:val="single" w:sz="6" w:space="0" w:color="auto"/>
            </w:tcBorders>
          </w:tcPr>
          <w:p w14:paraId="242483FA" w14:textId="77777777" w:rsidR="00CA23D0" w:rsidRPr="00E30642" w:rsidRDefault="00CA23D0" w:rsidP="00CA23D0">
            <w:pPr>
              <w:pStyle w:val="Texttabulky"/>
              <w:jc w:val="both"/>
              <w:rPr>
                <w:rFonts w:cs="Arial"/>
              </w:rPr>
            </w:pPr>
            <w:r w:rsidRPr="00E30642">
              <w:rPr>
                <w:rFonts w:cs="Arial"/>
                <w:sz w:val="18"/>
                <w:szCs w:val="18"/>
              </w:rPr>
              <w:t>0</w:t>
            </w:r>
          </w:p>
        </w:tc>
        <w:tc>
          <w:tcPr>
            <w:tcW w:w="631" w:type="dxa"/>
            <w:tcBorders>
              <w:top w:val="single" w:sz="6" w:space="0" w:color="auto"/>
              <w:left w:val="single" w:sz="6" w:space="0" w:color="auto"/>
              <w:bottom w:val="single" w:sz="6" w:space="0" w:color="auto"/>
              <w:right w:val="single" w:sz="6" w:space="0" w:color="auto"/>
            </w:tcBorders>
          </w:tcPr>
          <w:p w14:paraId="27E7DA53" w14:textId="77777777" w:rsidR="00CA23D0" w:rsidRPr="00E30642" w:rsidRDefault="00CA23D0" w:rsidP="00CA23D0">
            <w:pPr>
              <w:pStyle w:val="Texttabulky"/>
              <w:jc w:val="both"/>
              <w:rPr>
                <w:rFonts w:cs="Arial"/>
              </w:rPr>
            </w:pPr>
            <w:r w:rsidRPr="00E30642">
              <w:rPr>
                <w:rFonts w:cs="Arial"/>
                <w:sz w:val="18"/>
                <w:szCs w:val="18"/>
              </w:rPr>
              <w:t>5</w:t>
            </w:r>
          </w:p>
        </w:tc>
        <w:tc>
          <w:tcPr>
            <w:tcW w:w="716" w:type="dxa"/>
            <w:tcBorders>
              <w:top w:val="single" w:sz="6" w:space="0" w:color="auto"/>
              <w:left w:val="single" w:sz="6" w:space="0" w:color="auto"/>
              <w:bottom w:val="single" w:sz="6" w:space="0" w:color="auto"/>
              <w:right w:val="single" w:sz="6" w:space="0" w:color="auto"/>
            </w:tcBorders>
          </w:tcPr>
          <w:p w14:paraId="04AF6717" w14:textId="77777777" w:rsidR="00CA23D0" w:rsidRPr="00E30642" w:rsidRDefault="00CA23D0" w:rsidP="00CA23D0">
            <w:pPr>
              <w:pStyle w:val="Texttabulky"/>
              <w:jc w:val="both"/>
              <w:rPr>
                <w:rFonts w:cs="Arial"/>
              </w:rPr>
            </w:pPr>
            <w:r w:rsidRPr="00E30642">
              <w:rPr>
                <w:rFonts w:cs="Arial"/>
                <w:sz w:val="18"/>
                <w:szCs w:val="18"/>
              </w:rPr>
              <w:t>0</w:t>
            </w:r>
          </w:p>
        </w:tc>
        <w:tc>
          <w:tcPr>
            <w:tcW w:w="698" w:type="dxa"/>
            <w:tcBorders>
              <w:top w:val="single" w:sz="6" w:space="0" w:color="auto"/>
              <w:left w:val="single" w:sz="6" w:space="0" w:color="auto"/>
              <w:bottom w:val="single" w:sz="6" w:space="0" w:color="auto"/>
              <w:right w:val="single" w:sz="4" w:space="0" w:color="auto"/>
            </w:tcBorders>
          </w:tcPr>
          <w:p w14:paraId="58129507" w14:textId="77777777" w:rsidR="00CA23D0" w:rsidRPr="00E30642" w:rsidRDefault="00CA23D0" w:rsidP="00CA23D0">
            <w:pPr>
              <w:pStyle w:val="Texttabulky"/>
              <w:jc w:val="both"/>
              <w:rPr>
                <w:rFonts w:cs="Arial"/>
              </w:rPr>
            </w:pPr>
            <w:r w:rsidRPr="00E30642">
              <w:rPr>
                <w:rFonts w:cs="Arial"/>
                <w:sz w:val="18"/>
                <w:szCs w:val="18"/>
              </w:rPr>
              <w:t>0</w:t>
            </w:r>
          </w:p>
        </w:tc>
        <w:tc>
          <w:tcPr>
            <w:tcW w:w="650" w:type="dxa"/>
            <w:tcBorders>
              <w:top w:val="single" w:sz="6" w:space="0" w:color="auto"/>
              <w:left w:val="single" w:sz="4" w:space="0" w:color="auto"/>
              <w:bottom w:val="single" w:sz="6" w:space="0" w:color="auto"/>
              <w:right w:val="single" w:sz="4" w:space="0" w:color="auto"/>
            </w:tcBorders>
          </w:tcPr>
          <w:p w14:paraId="5BEC05CF" w14:textId="77777777" w:rsidR="00CA23D0" w:rsidRPr="00E30642" w:rsidRDefault="00CA23D0" w:rsidP="00CA23D0">
            <w:pPr>
              <w:pStyle w:val="Texttabulky"/>
              <w:jc w:val="both"/>
              <w:rPr>
                <w:rFonts w:cs="Arial"/>
              </w:rPr>
            </w:pPr>
            <w:r w:rsidRPr="00E30642">
              <w:rPr>
                <w:rFonts w:cs="Arial"/>
                <w:sz w:val="18"/>
                <w:szCs w:val="18"/>
              </w:rPr>
              <w:t>0</w:t>
            </w:r>
          </w:p>
        </w:tc>
      </w:tr>
      <w:tr w:rsidR="00CA23D0" w:rsidRPr="00E30642" w14:paraId="653A90B7" w14:textId="77777777" w:rsidTr="00CA23D0">
        <w:trPr>
          <w:jc w:val="center"/>
        </w:trPr>
        <w:tc>
          <w:tcPr>
            <w:tcW w:w="1680" w:type="dxa"/>
            <w:tcBorders>
              <w:top w:val="single" w:sz="6" w:space="0" w:color="auto"/>
              <w:left w:val="single" w:sz="6" w:space="0" w:color="auto"/>
              <w:bottom w:val="single" w:sz="6" w:space="0" w:color="auto"/>
              <w:right w:val="single" w:sz="6" w:space="0" w:color="auto"/>
            </w:tcBorders>
          </w:tcPr>
          <w:p w14:paraId="23F1031E" w14:textId="77777777" w:rsidR="00CA23D0" w:rsidRPr="00E30642" w:rsidRDefault="00CA23D0" w:rsidP="00CA23D0">
            <w:pPr>
              <w:pStyle w:val="Texttabulky"/>
              <w:jc w:val="both"/>
              <w:rPr>
                <w:rFonts w:cs="Arial"/>
              </w:rPr>
            </w:pPr>
            <w:r w:rsidRPr="00E30642">
              <w:rPr>
                <w:rFonts w:cs="Arial"/>
                <w:b/>
                <w:bCs/>
                <w:sz w:val="18"/>
                <w:szCs w:val="18"/>
              </w:rPr>
              <w:t xml:space="preserve">IX. </w:t>
            </w:r>
          </w:p>
        </w:tc>
        <w:tc>
          <w:tcPr>
            <w:tcW w:w="2983" w:type="dxa"/>
            <w:tcBorders>
              <w:top w:val="single" w:sz="6" w:space="0" w:color="auto"/>
              <w:left w:val="single" w:sz="6" w:space="0" w:color="auto"/>
              <w:bottom w:val="single" w:sz="6" w:space="0" w:color="auto"/>
              <w:right w:val="single" w:sz="6" w:space="0" w:color="auto"/>
            </w:tcBorders>
          </w:tcPr>
          <w:p w14:paraId="70115C41" w14:textId="77777777" w:rsidR="00CA23D0" w:rsidRPr="00E30642" w:rsidRDefault="00CA23D0" w:rsidP="00CA23D0">
            <w:pPr>
              <w:pStyle w:val="Texttabulky"/>
              <w:jc w:val="both"/>
              <w:rPr>
                <w:rFonts w:cs="Arial"/>
              </w:rPr>
            </w:pPr>
            <w:r w:rsidRPr="00E30642">
              <w:rPr>
                <w:rFonts w:cs="Arial"/>
                <w:sz w:val="18"/>
                <w:szCs w:val="18"/>
              </w:rPr>
              <w:t>Lesná  **</w:t>
            </w:r>
          </w:p>
        </w:tc>
        <w:tc>
          <w:tcPr>
            <w:tcW w:w="664" w:type="dxa"/>
            <w:tcBorders>
              <w:top w:val="single" w:sz="6" w:space="0" w:color="auto"/>
              <w:left w:val="single" w:sz="6" w:space="0" w:color="auto"/>
              <w:bottom w:val="single" w:sz="6" w:space="0" w:color="auto"/>
              <w:right w:val="single" w:sz="6" w:space="0" w:color="auto"/>
            </w:tcBorders>
          </w:tcPr>
          <w:p w14:paraId="650D18F4" w14:textId="77777777" w:rsidR="00CA23D0" w:rsidRPr="00E30642" w:rsidRDefault="00CA23D0" w:rsidP="00CA23D0">
            <w:pPr>
              <w:pStyle w:val="Texttabulky"/>
              <w:jc w:val="both"/>
              <w:rPr>
                <w:rFonts w:cs="Arial"/>
              </w:rPr>
            </w:pPr>
            <w:r w:rsidRPr="00E30642">
              <w:rPr>
                <w:rFonts w:cs="Arial"/>
                <w:sz w:val="18"/>
                <w:szCs w:val="18"/>
              </w:rPr>
              <w:t xml:space="preserve">15 </w:t>
            </w:r>
          </w:p>
        </w:tc>
        <w:tc>
          <w:tcPr>
            <w:tcW w:w="681" w:type="dxa"/>
            <w:tcBorders>
              <w:top w:val="single" w:sz="6" w:space="0" w:color="auto"/>
              <w:left w:val="single" w:sz="6" w:space="0" w:color="auto"/>
              <w:bottom w:val="single" w:sz="6" w:space="0" w:color="auto"/>
              <w:right w:val="single" w:sz="6" w:space="0" w:color="auto"/>
            </w:tcBorders>
          </w:tcPr>
          <w:p w14:paraId="428345D9"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631" w:type="dxa"/>
            <w:tcBorders>
              <w:top w:val="single" w:sz="6" w:space="0" w:color="auto"/>
              <w:left w:val="single" w:sz="6" w:space="0" w:color="auto"/>
              <w:bottom w:val="single" w:sz="6" w:space="0" w:color="auto"/>
              <w:right w:val="single" w:sz="6" w:space="0" w:color="auto"/>
            </w:tcBorders>
          </w:tcPr>
          <w:p w14:paraId="411B5D50" w14:textId="77777777" w:rsidR="00CA23D0" w:rsidRPr="00E30642" w:rsidRDefault="00CA23D0" w:rsidP="00CA23D0">
            <w:pPr>
              <w:pStyle w:val="Texttabulky"/>
              <w:jc w:val="both"/>
              <w:rPr>
                <w:rFonts w:cs="Arial"/>
              </w:rPr>
            </w:pPr>
            <w:r w:rsidRPr="00E30642">
              <w:rPr>
                <w:rFonts w:cs="Arial"/>
                <w:sz w:val="18"/>
                <w:szCs w:val="18"/>
              </w:rPr>
              <w:t xml:space="preserve">15 </w:t>
            </w:r>
          </w:p>
        </w:tc>
        <w:tc>
          <w:tcPr>
            <w:tcW w:w="716" w:type="dxa"/>
            <w:tcBorders>
              <w:top w:val="single" w:sz="6" w:space="0" w:color="auto"/>
              <w:left w:val="single" w:sz="6" w:space="0" w:color="auto"/>
              <w:bottom w:val="single" w:sz="6" w:space="0" w:color="auto"/>
              <w:right w:val="single" w:sz="6" w:space="0" w:color="auto"/>
            </w:tcBorders>
          </w:tcPr>
          <w:p w14:paraId="51D7AAD7"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698" w:type="dxa"/>
            <w:tcBorders>
              <w:top w:val="single" w:sz="6" w:space="0" w:color="auto"/>
              <w:left w:val="single" w:sz="6" w:space="0" w:color="auto"/>
              <w:bottom w:val="single" w:sz="6" w:space="0" w:color="auto"/>
              <w:right w:val="single" w:sz="6" w:space="0" w:color="auto"/>
            </w:tcBorders>
          </w:tcPr>
          <w:p w14:paraId="59C1DFB5" w14:textId="77777777" w:rsidR="00CA23D0" w:rsidRPr="00E30642" w:rsidRDefault="00CA23D0" w:rsidP="00CA23D0">
            <w:pPr>
              <w:pStyle w:val="Texttabulky"/>
              <w:jc w:val="both"/>
              <w:rPr>
                <w:rFonts w:cs="Arial"/>
              </w:rPr>
            </w:pPr>
            <w:r w:rsidRPr="00E30642">
              <w:rPr>
                <w:rFonts w:cs="Arial"/>
                <w:sz w:val="18"/>
                <w:szCs w:val="18"/>
              </w:rPr>
              <w:t>0</w:t>
            </w:r>
          </w:p>
        </w:tc>
        <w:tc>
          <w:tcPr>
            <w:tcW w:w="650" w:type="dxa"/>
            <w:tcBorders>
              <w:top w:val="single" w:sz="6" w:space="0" w:color="auto"/>
              <w:left w:val="single" w:sz="6" w:space="0" w:color="auto"/>
              <w:bottom w:val="single" w:sz="6" w:space="0" w:color="auto"/>
              <w:right w:val="single" w:sz="4" w:space="0" w:color="auto"/>
            </w:tcBorders>
          </w:tcPr>
          <w:p w14:paraId="7DB00847" w14:textId="77777777" w:rsidR="00CA23D0" w:rsidRPr="00E30642" w:rsidRDefault="00CA23D0" w:rsidP="00CA23D0">
            <w:pPr>
              <w:pStyle w:val="Texttabulky"/>
              <w:jc w:val="both"/>
              <w:rPr>
                <w:rFonts w:cs="Arial"/>
              </w:rPr>
            </w:pPr>
            <w:r w:rsidRPr="00E30642">
              <w:rPr>
                <w:rFonts w:cs="Arial"/>
                <w:sz w:val="18"/>
                <w:szCs w:val="18"/>
              </w:rPr>
              <w:t>0</w:t>
            </w:r>
          </w:p>
        </w:tc>
      </w:tr>
      <w:tr w:rsidR="00CA23D0" w:rsidRPr="00E30642" w14:paraId="2CDA35BC" w14:textId="77777777" w:rsidTr="00CA23D0">
        <w:trPr>
          <w:cantSplit/>
          <w:jc w:val="center"/>
        </w:trPr>
        <w:tc>
          <w:tcPr>
            <w:tcW w:w="4663" w:type="dxa"/>
            <w:gridSpan w:val="2"/>
            <w:tcBorders>
              <w:top w:val="single" w:sz="6" w:space="0" w:color="auto"/>
              <w:left w:val="single" w:sz="6" w:space="0" w:color="auto"/>
              <w:bottom w:val="single" w:sz="6" w:space="0" w:color="auto"/>
              <w:right w:val="single" w:sz="6" w:space="0" w:color="auto"/>
            </w:tcBorders>
          </w:tcPr>
          <w:p w14:paraId="12CE9F50" w14:textId="77777777" w:rsidR="00CA23D0" w:rsidRPr="00E30642" w:rsidRDefault="00CA23D0" w:rsidP="00CA23D0">
            <w:pPr>
              <w:pStyle w:val="Texttabulky"/>
              <w:jc w:val="both"/>
              <w:rPr>
                <w:rFonts w:cs="Arial"/>
              </w:rPr>
            </w:pPr>
            <w:r w:rsidRPr="00E30642">
              <w:rPr>
                <w:rFonts w:cs="Arial"/>
                <w:b/>
                <w:bCs/>
                <w:sz w:val="18"/>
                <w:szCs w:val="18"/>
              </w:rPr>
              <w:t>MĚSTO CELKEM</w:t>
            </w:r>
          </w:p>
          <w:p w14:paraId="1BC289F2" w14:textId="77777777" w:rsidR="00CA23D0" w:rsidRPr="00E30642" w:rsidRDefault="00CA23D0" w:rsidP="00CA23D0">
            <w:pPr>
              <w:pStyle w:val="Texttabulky"/>
              <w:jc w:val="both"/>
              <w:rPr>
                <w:rFonts w:cs="Arial"/>
              </w:rPr>
            </w:pPr>
            <w:r w:rsidRPr="00E30642">
              <w:rPr>
                <w:rFonts w:cs="Arial"/>
                <w:b/>
                <w:bCs/>
                <w:sz w:val="18"/>
                <w:szCs w:val="18"/>
              </w:rPr>
              <w:t xml:space="preserve"> </w:t>
            </w:r>
          </w:p>
        </w:tc>
        <w:tc>
          <w:tcPr>
            <w:tcW w:w="664" w:type="dxa"/>
            <w:tcBorders>
              <w:top w:val="single" w:sz="6" w:space="0" w:color="auto"/>
              <w:left w:val="single" w:sz="6" w:space="0" w:color="auto"/>
              <w:bottom w:val="single" w:sz="6" w:space="0" w:color="auto"/>
              <w:right w:val="single" w:sz="6" w:space="0" w:color="auto"/>
            </w:tcBorders>
          </w:tcPr>
          <w:p w14:paraId="1132C024" w14:textId="77777777" w:rsidR="00CA23D0" w:rsidRPr="00E30642" w:rsidRDefault="00CA23D0" w:rsidP="00CA23D0">
            <w:pPr>
              <w:pStyle w:val="Texttabulky"/>
              <w:jc w:val="both"/>
              <w:rPr>
                <w:rFonts w:cs="Arial"/>
              </w:rPr>
            </w:pPr>
            <w:r w:rsidRPr="00E30642">
              <w:rPr>
                <w:rFonts w:cs="Arial"/>
                <w:b/>
                <w:bCs/>
                <w:sz w:val="18"/>
                <w:szCs w:val="18"/>
              </w:rPr>
              <w:t>579</w:t>
            </w:r>
          </w:p>
        </w:tc>
        <w:tc>
          <w:tcPr>
            <w:tcW w:w="681" w:type="dxa"/>
            <w:tcBorders>
              <w:top w:val="single" w:sz="6" w:space="0" w:color="auto"/>
              <w:left w:val="single" w:sz="6" w:space="0" w:color="auto"/>
              <w:bottom w:val="single" w:sz="6" w:space="0" w:color="auto"/>
              <w:right w:val="single" w:sz="6" w:space="0" w:color="auto"/>
            </w:tcBorders>
          </w:tcPr>
          <w:p w14:paraId="6301D388" w14:textId="77777777" w:rsidR="00CA23D0" w:rsidRPr="00E30642" w:rsidRDefault="00CA23D0" w:rsidP="00CA23D0">
            <w:pPr>
              <w:pStyle w:val="Texttabulky"/>
              <w:jc w:val="both"/>
              <w:rPr>
                <w:rFonts w:cs="Arial"/>
              </w:rPr>
            </w:pPr>
            <w:r w:rsidRPr="00E30642">
              <w:rPr>
                <w:rFonts w:cs="Arial"/>
                <w:b/>
                <w:bCs/>
                <w:sz w:val="18"/>
                <w:szCs w:val="18"/>
              </w:rPr>
              <w:t>889</w:t>
            </w:r>
          </w:p>
        </w:tc>
        <w:tc>
          <w:tcPr>
            <w:tcW w:w="631" w:type="dxa"/>
            <w:tcBorders>
              <w:top w:val="single" w:sz="6" w:space="0" w:color="auto"/>
              <w:left w:val="single" w:sz="6" w:space="0" w:color="auto"/>
              <w:bottom w:val="single" w:sz="6" w:space="0" w:color="auto"/>
              <w:right w:val="single" w:sz="6" w:space="0" w:color="auto"/>
            </w:tcBorders>
          </w:tcPr>
          <w:p w14:paraId="581CF9EC" w14:textId="77777777" w:rsidR="00CA23D0" w:rsidRPr="00E30642" w:rsidRDefault="00CA23D0" w:rsidP="00CA23D0">
            <w:pPr>
              <w:pStyle w:val="Texttabulky"/>
              <w:jc w:val="both"/>
              <w:rPr>
                <w:rFonts w:cs="Arial"/>
              </w:rPr>
            </w:pPr>
            <w:r w:rsidRPr="00E30642">
              <w:rPr>
                <w:rFonts w:cs="Arial"/>
                <w:b/>
                <w:bCs/>
                <w:sz w:val="18"/>
                <w:szCs w:val="18"/>
              </w:rPr>
              <w:t>1 468</w:t>
            </w:r>
          </w:p>
        </w:tc>
        <w:tc>
          <w:tcPr>
            <w:tcW w:w="716" w:type="dxa"/>
            <w:tcBorders>
              <w:top w:val="single" w:sz="6" w:space="0" w:color="auto"/>
              <w:left w:val="single" w:sz="6" w:space="0" w:color="auto"/>
              <w:bottom w:val="single" w:sz="6" w:space="0" w:color="auto"/>
              <w:right w:val="single" w:sz="6" w:space="0" w:color="auto"/>
            </w:tcBorders>
          </w:tcPr>
          <w:p w14:paraId="6AACB3B0" w14:textId="77777777" w:rsidR="00CA23D0" w:rsidRPr="00E30642" w:rsidRDefault="00CA23D0" w:rsidP="00CA23D0">
            <w:pPr>
              <w:pStyle w:val="Texttabulky"/>
              <w:jc w:val="both"/>
              <w:rPr>
                <w:rFonts w:cs="Arial"/>
              </w:rPr>
            </w:pPr>
            <w:r w:rsidRPr="00E30642">
              <w:rPr>
                <w:rFonts w:cs="Arial"/>
                <w:b/>
                <w:bCs/>
                <w:sz w:val="18"/>
                <w:szCs w:val="18"/>
              </w:rPr>
              <w:t>1 422</w:t>
            </w:r>
          </w:p>
        </w:tc>
        <w:tc>
          <w:tcPr>
            <w:tcW w:w="698" w:type="dxa"/>
            <w:tcBorders>
              <w:top w:val="single" w:sz="6" w:space="0" w:color="auto"/>
              <w:left w:val="single" w:sz="6" w:space="0" w:color="auto"/>
              <w:bottom w:val="single" w:sz="6" w:space="0" w:color="auto"/>
              <w:right w:val="single" w:sz="6" w:space="0" w:color="auto"/>
            </w:tcBorders>
          </w:tcPr>
          <w:p w14:paraId="7E7668C9" w14:textId="77777777" w:rsidR="00CA23D0" w:rsidRPr="00E30642" w:rsidRDefault="00CA23D0" w:rsidP="00CA23D0">
            <w:pPr>
              <w:pStyle w:val="Texttabulky"/>
              <w:jc w:val="both"/>
              <w:rPr>
                <w:rFonts w:cs="Arial"/>
              </w:rPr>
            </w:pPr>
            <w:r w:rsidRPr="00E30642">
              <w:rPr>
                <w:rFonts w:cs="Arial"/>
                <w:b/>
                <w:bCs/>
                <w:sz w:val="18"/>
                <w:szCs w:val="18"/>
              </w:rPr>
              <w:t>270</w:t>
            </w:r>
          </w:p>
        </w:tc>
        <w:tc>
          <w:tcPr>
            <w:tcW w:w="650" w:type="dxa"/>
            <w:tcBorders>
              <w:top w:val="single" w:sz="6" w:space="0" w:color="auto"/>
              <w:left w:val="single" w:sz="6" w:space="0" w:color="auto"/>
              <w:bottom w:val="single" w:sz="6" w:space="0" w:color="auto"/>
              <w:right w:val="single" w:sz="4" w:space="0" w:color="auto"/>
            </w:tcBorders>
          </w:tcPr>
          <w:p w14:paraId="1F9EDEE8" w14:textId="77777777" w:rsidR="00CA23D0" w:rsidRPr="00E30642" w:rsidRDefault="00CA23D0" w:rsidP="00CA23D0">
            <w:pPr>
              <w:pStyle w:val="Texttabulky"/>
              <w:jc w:val="both"/>
              <w:rPr>
                <w:rFonts w:cs="Arial"/>
              </w:rPr>
            </w:pPr>
            <w:r w:rsidRPr="00E30642">
              <w:rPr>
                <w:rFonts w:cs="Arial"/>
                <w:b/>
                <w:bCs/>
                <w:sz w:val="18"/>
                <w:szCs w:val="18"/>
              </w:rPr>
              <w:t>1 692</w:t>
            </w:r>
          </w:p>
        </w:tc>
      </w:tr>
    </w:tbl>
    <w:p w14:paraId="4A4C43C4" w14:textId="77777777" w:rsidR="00CA23D0" w:rsidRDefault="00CA23D0" w:rsidP="00CA23D0">
      <w:pPr>
        <w:autoSpaceDE w:val="0"/>
        <w:autoSpaceDN w:val="0"/>
        <w:adjustRightInd w:val="0"/>
        <w:jc w:val="both"/>
        <w:rPr>
          <w:rFonts w:ascii="Arial" w:hAnsi="Arial" w:cs="Arial"/>
          <w:sz w:val="20"/>
        </w:rPr>
      </w:pPr>
    </w:p>
    <w:p w14:paraId="6AD08134" w14:textId="77777777" w:rsidR="00D3579D" w:rsidRDefault="00D3579D" w:rsidP="00CA23D0">
      <w:pPr>
        <w:autoSpaceDE w:val="0"/>
        <w:autoSpaceDN w:val="0"/>
        <w:adjustRightInd w:val="0"/>
        <w:jc w:val="both"/>
        <w:rPr>
          <w:rFonts w:ascii="Arial" w:hAnsi="Arial" w:cs="Arial"/>
          <w:sz w:val="20"/>
        </w:rPr>
      </w:pPr>
    </w:p>
    <w:p w14:paraId="5BF9A146" w14:textId="77777777" w:rsidR="00D3579D" w:rsidRDefault="00D3579D" w:rsidP="00CA23D0">
      <w:pPr>
        <w:autoSpaceDE w:val="0"/>
        <w:autoSpaceDN w:val="0"/>
        <w:adjustRightInd w:val="0"/>
        <w:jc w:val="both"/>
        <w:rPr>
          <w:rFonts w:ascii="Arial" w:hAnsi="Arial" w:cs="Arial"/>
          <w:sz w:val="20"/>
        </w:rPr>
      </w:pPr>
    </w:p>
    <w:p w14:paraId="12ACDE2A" w14:textId="77777777" w:rsidR="00D3579D" w:rsidRPr="00E30642" w:rsidRDefault="00D3579D" w:rsidP="00CA23D0">
      <w:pPr>
        <w:autoSpaceDE w:val="0"/>
        <w:autoSpaceDN w:val="0"/>
        <w:adjustRightInd w:val="0"/>
        <w:jc w:val="both"/>
        <w:rPr>
          <w:rFonts w:ascii="Arial" w:hAnsi="Arial" w:cs="Arial"/>
          <w:sz w:val="20"/>
        </w:rPr>
      </w:pPr>
    </w:p>
    <w:p w14:paraId="0CD39BAC" w14:textId="77777777" w:rsidR="00CA23D0" w:rsidRPr="00E30642" w:rsidRDefault="00CA23D0" w:rsidP="00CA23D0">
      <w:pPr>
        <w:autoSpaceDE w:val="0"/>
        <w:autoSpaceDN w:val="0"/>
        <w:adjustRightInd w:val="0"/>
        <w:jc w:val="both"/>
        <w:rPr>
          <w:rFonts w:ascii="Arial" w:hAnsi="Arial" w:cs="Arial"/>
          <w:sz w:val="20"/>
        </w:rPr>
      </w:pPr>
    </w:p>
    <w:p w14:paraId="2D07C19E" w14:textId="77777777" w:rsidR="00CA23D0" w:rsidRPr="00E30642" w:rsidRDefault="00CA23D0" w:rsidP="00CA23D0">
      <w:pPr>
        <w:pStyle w:val="dka"/>
        <w:jc w:val="both"/>
        <w:rPr>
          <w:rFonts w:cs="Arial"/>
        </w:rPr>
      </w:pPr>
      <w:r w:rsidRPr="00E30642">
        <w:rPr>
          <w:rFonts w:cs="Arial"/>
        </w:rPr>
        <w:lastRenderedPageBreak/>
        <w:t>*</w:t>
      </w:r>
      <w:r w:rsidRPr="00E30642">
        <w:rPr>
          <w:rFonts w:cs="Arial"/>
          <w:sz w:val="18"/>
          <w:szCs w:val="18"/>
        </w:rPr>
        <w:t xml:space="preserve"> do bilance nejsou zahrnuty lokality při ul. Kamenické a v Křešicích neboť se jednáo individ. výstavbu bez bližší specifikace s možnou funkcí bydlení nebo i malého </w:t>
      </w:r>
      <w:r w:rsidRPr="00E30642">
        <w:rPr>
          <w:rFonts w:cs="Arial"/>
          <w:sz w:val="18"/>
          <w:szCs w:val="18"/>
        </w:rPr>
        <w:tab/>
        <w:t>podnikání</w:t>
      </w:r>
      <w:r w:rsidRPr="00E30642">
        <w:rPr>
          <w:rFonts w:cs="Arial"/>
        </w:rPr>
        <w:t xml:space="preserve"> </w:t>
      </w:r>
      <w:r w:rsidRPr="00E30642">
        <w:rPr>
          <w:rFonts w:cs="Arial"/>
          <w:sz w:val="18"/>
          <w:szCs w:val="18"/>
        </w:rPr>
        <w:t>(dodatečný požadavek pořizovatele)</w:t>
      </w:r>
    </w:p>
    <w:p w14:paraId="1D9BA3B7" w14:textId="77777777" w:rsidR="00CA23D0" w:rsidRPr="00E30642" w:rsidRDefault="00CA23D0" w:rsidP="00CA23D0">
      <w:pPr>
        <w:pStyle w:val="dka"/>
        <w:jc w:val="both"/>
        <w:rPr>
          <w:rFonts w:cs="Arial"/>
        </w:rPr>
      </w:pPr>
      <w:r w:rsidRPr="00E30642">
        <w:rPr>
          <w:rFonts w:cs="Arial"/>
        </w:rPr>
        <w:t>**</w:t>
      </w:r>
      <w:r w:rsidRPr="00E30642">
        <w:rPr>
          <w:rFonts w:cs="Arial"/>
          <w:sz w:val="18"/>
          <w:szCs w:val="18"/>
        </w:rPr>
        <w:t xml:space="preserve">  do bilance nejsou zahrnuty  lokality v Krásném Studenci, Horním Chlumu a Velké Veleni, neboť se jedná o individ. výstavbu bez bližší specifikace s možnou funkcí rekreace nebo i malého podnikání</w:t>
      </w:r>
      <w:r w:rsidRPr="00E30642">
        <w:rPr>
          <w:rFonts w:cs="Arial"/>
        </w:rPr>
        <w:t xml:space="preserve">  </w:t>
      </w:r>
      <w:r w:rsidRPr="00E30642">
        <w:rPr>
          <w:rFonts w:cs="Arial"/>
          <w:sz w:val="18"/>
          <w:szCs w:val="18"/>
        </w:rPr>
        <w:t>(dodatečný požadavek pořizovatele)</w:t>
      </w:r>
    </w:p>
    <w:p w14:paraId="76E46ABC" w14:textId="77777777" w:rsidR="00CA23D0" w:rsidRPr="00E30642" w:rsidRDefault="00CA23D0" w:rsidP="00CA23D0">
      <w:pPr>
        <w:pStyle w:val="dka"/>
        <w:jc w:val="both"/>
        <w:rPr>
          <w:rFonts w:cs="Arial"/>
        </w:rPr>
      </w:pPr>
    </w:p>
    <w:p w14:paraId="33DFA489" w14:textId="77777777" w:rsidR="00CA23D0" w:rsidRPr="00E30642" w:rsidRDefault="00CA23D0" w:rsidP="00CA23D0">
      <w:pPr>
        <w:pStyle w:val="Zkladntext"/>
        <w:jc w:val="both"/>
        <w:rPr>
          <w:rFonts w:ascii="Arial" w:hAnsi="Arial" w:cs="Arial"/>
        </w:rPr>
      </w:pPr>
      <w:r w:rsidRPr="00E30642">
        <w:rPr>
          <w:rFonts w:ascii="Arial" w:hAnsi="Arial" w:cs="Arial"/>
          <w:b/>
          <w:bCs/>
          <w:caps/>
        </w:rPr>
        <w:t xml:space="preserve">     Návrh obytného území  </w:t>
      </w:r>
      <w:r w:rsidRPr="00E30642">
        <w:rPr>
          <w:rFonts w:ascii="Arial" w:hAnsi="Arial" w:cs="Arial"/>
          <w:caps/>
        </w:rPr>
        <w:t xml:space="preserve">( </w:t>
      </w:r>
      <w:r w:rsidRPr="00E30642">
        <w:rPr>
          <w:rFonts w:ascii="Arial" w:hAnsi="Arial" w:cs="Arial"/>
        </w:rPr>
        <w:t xml:space="preserve">v ha </w:t>
      </w:r>
      <w:r w:rsidRPr="00E30642">
        <w:rPr>
          <w:rFonts w:ascii="Arial" w:hAnsi="Arial" w:cs="Arial"/>
          <w:caps/>
        </w:rPr>
        <w:t xml:space="preserve">) </w:t>
      </w:r>
    </w:p>
    <w:tbl>
      <w:tblPr>
        <w:tblW w:w="0" w:type="auto"/>
        <w:jc w:val="center"/>
        <w:tblLayout w:type="fixed"/>
        <w:tblCellMar>
          <w:left w:w="42" w:type="dxa"/>
          <w:right w:w="42" w:type="dxa"/>
        </w:tblCellMar>
        <w:tblLook w:val="0000" w:firstRow="0" w:lastRow="0" w:firstColumn="0" w:lastColumn="0" w:noHBand="0" w:noVBand="0"/>
      </w:tblPr>
      <w:tblGrid>
        <w:gridCol w:w="339"/>
        <w:gridCol w:w="1479"/>
        <w:gridCol w:w="508"/>
        <w:gridCol w:w="395"/>
        <w:gridCol w:w="438"/>
        <w:gridCol w:w="480"/>
        <w:gridCol w:w="436"/>
        <w:gridCol w:w="488"/>
        <w:gridCol w:w="494"/>
        <w:gridCol w:w="358"/>
        <w:gridCol w:w="399"/>
        <w:gridCol w:w="678"/>
        <w:gridCol w:w="817"/>
        <w:gridCol w:w="708"/>
        <w:gridCol w:w="1161"/>
      </w:tblGrid>
      <w:tr w:rsidR="00CA23D0" w:rsidRPr="00E30642" w14:paraId="7C0FB878" w14:textId="77777777" w:rsidTr="00CA23D0">
        <w:trPr>
          <w:trHeight w:val="436"/>
          <w:jc w:val="center"/>
        </w:trPr>
        <w:tc>
          <w:tcPr>
            <w:tcW w:w="1818" w:type="dxa"/>
            <w:gridSpan w:val="2"/>
            <w:vMerge w:val="restart"/>
            <w:tcBorders>
              <w:top w:val="single" w:sz="6" w:space="0" w:color="auto"/>
              <w:left w:val="single" w:sz="6" w:space="0" w:color="auto"/>
              <w:right w:val="single" w:sz="6" w:space="0" w:color="auto"/>
            </w:tcBorders>
          </w:tcPr>
          <w:p w14:paraId="25B7E786" w14:textId="77777777" w:rsidR="00CA23D0" w:rsidRPr="00E30642" w:rsidRDefault="00CA23D0" w:rsidP="00CA23D0">
            <w:pPr>
              <w:pStyle w:val="Zkladntext"/>
              <w:jc w:val="both"/>
              <w:rPr>
                <w:rFonts w:ascii="Arial" w:hAnsi="Arial" w:cs="Arial"/>
              </w:rPr>
            </w:pPr>
          </w:p>
          <w:p w14:paraId="1B39CBA9"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 xml:space="preserve">Městský sektor </w:t>
            </w:r>
          </w:p>
        </w:tc>
        <w:tc>
          <w:tcPr>
            <w:tcW w:w="1341" w:type="dxa"/>
            <w:gridSpan w:val="3"/>
            <w:tcBorders>
              <w:top w:val="single" w:sz="6" w:space="0" w:color="auto"/>
              <w:left w:val="single" w:sz="6" w:space="0" w:color="auto"/>
              <w:bottom w:val="single" w:sz="6" w:space="0" w:color="auto"/>
              <w:right w:val="single" w:sz="6" w:space="0" w:color="auto"/>
            </w:tcBorders>
          </w:tcPr>
          <w:p w14:paraId="1346CCEB"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 xml:space="preserve">Rodinné domy </w:t>
            </w:r>
          </w:p>
        </w:tc>
        <w:tc>
          <w:tcPr>
            <w:tcW w:w="1404" w:type="dxa"/>
            <w:gridSpan w:val="3"/>
            <w:tcBorders>
              <w:top w:val="single" w:sz="6" w:space="0" w:color="auto"/>
              <w:left w:val="single" w:sz="6" w:space="0" w:color="auto"/>
              <w:bottom w:val="single" w:sz="6" w:space="0" w:color="auto"/>
              <w:right w:val="single" w:sz="6" w:space="0" w:color="auto"/>
            </w:tcBorders>
          </w:tcPr>
          <w:p w14:paraId="1E300188"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 xml:space="preserve">Bytové domy </w:t>
            </w:r>
          </w:p>
        </w:tc>
        <w:tc>
          <w:tcPr>
            <w:tcW w:w="1251" w:type="dxa"/>
            <w:gridSpan w:val="3"/>
            <w:tcBorders>
              <w:top w:val="single" w:sz="6" w:space="0" w:color="auto"/>
              <w:left w:val="single" w:sz="6" w:space="0" w:color="auto"/>
              <w:bottom w:val="single" w:sz="6" w:space="0" w:color="auto"/>
              <w:right w:val="single" w:sz="6" w:space="0" w:color="auto"/>
            </w:tcBorders>
          </w:tcPr>
          <w:p w14:paraId="32B76DB0"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 xml:space="preserve">Městké domy </w:t>
            </w:r>
          </w:p>
        </w:tc>
        <w:tc>
          <w:tcPr>
            <w:tcW w:w="1495" w:type="dxa"/>
            <w:gridSpan w:val="2"/>
            <w:tcBorders>
              <w:top w:val="single" w:sz="6" w:space="0" w:color="auto"/>
              <w:left w:val="single" w:sz="6" w:space="0" w:color="auto"/>
              <w:bottom w:val="single" w:sz="6" w:space="0" w:color="auto"/>
              <w:right w:val="single" w:sz="6" w:space="0" w:color="auto"/>
            </w:tcBorders>
          </w:tcPr>
          <w:p w14:paraId="41F7C404"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 xml:space="preserve">Celkem </w:t>
            </w:r>
          </w:p>
        </w:tc>
        <w:tc>
          <w:tcPr>
            <w:tcW w:w="708" w:type="dxa"/>
            <w:tcBorders>
              <w:top w:val="single" w:sz="6" w:space="0" w:color="auto"/>
              <w:left w:val="single" w:sz="6" w:space="0" w:color="auto"/>
              <w:bottom w:val="single" w:sz="6" w:space="0" w:color="auto"/>
              <w:right w:val="single" w:sz="6" w:space="0" w:color="auto"/>
            </w:tcBorders>
          </w:tcPr>
          <w:p w14:paraId="5927A771" w14:textId="77777777" w:rsidR="00CA23D0" w:rsidRPr="00E30642" w:rsidRDefault="00CA23D0" w:rsidP="00CA23D0">
            <w:pPr>
              <w:pStyle w:val="Texttabulky"/>
              <w:jc w:val="both"/>
              <w:rPr>
                <w:rFonts w:cs="Arial"/>
              </w:rPr>
            </w:pPr>
            <w:r w:rsidRPr="00E30642">
              <w:rPr>
                <w:rFonts w:cs="Arial"/>
              </w:rPr>
              <w:t></w:t>
            </w:r>
          </w:p>
        </w:tc>
        <w:tc>
          <w:tcPr>
            <w:tcW w:w="1161" w:type="dxa"/>
            <w:tcBorders>
              <w:top w:val="single" w:sz="6" w:space="0" w:color="auto"/>
              <w:left w:val="single" w:sz="6" w:space="0" w:color="auto"/>
              <w:bottom w:val="single" w:sz="6" w:space="0" w:color="auto"/>
              <w:right w:val="single" w:sz="6" w:space="0" w:color="auto"/>
            </w:tcBorders>
          </w:tcPr>
          <w:p w14:paraId="614F79A8" w14:textId="77777777" w:rsidR="00CA23D0" w:rsidRPr="00E30642" w:rsidRDefault="00CA23D0" w:rsidP="00CA23D0">
            <w:pPr>
              <w:pStyle w:val="Zkladntext"/>
              <w:jc w:val="both"/>
              <w:rPr>
                <w:rFonts w:ascii="Arial" w:hAnsi="Arial" w:cs="Arial"/>
              </w:rPr>
            </w:pPr>
          </w:p>
          <w:p w14:paraId="40FB198B" w14:textId="77777777" w:rsidR="00CA23D0" w:rsidRPr="00E30642" w:rsidRDefault="00CA23D0" w:rsidP="00CA23D0">
            <w:pPr>
              <w:pStyle w:val="Texttabulky"/>
              <w:jc w:val="both"/>
              <w:rPr>
                <w:rFonts w:cs="Arial"/>
              </w:rPr>
            </w:pPr>
            <w:r w:rsidRPr="00E30642">
              <w:rPr>
                <w:rFonts w:cs="Arial"/>
                <w:b/>
                <w:bCs/>
                <w:sz w:val="18"/>
                <w:szCs w:val="18"/>
              </w:rPr>
              <w:t xml:space="preserve">% </w:t>
            </w:r>
          </w:p>
        </w:tc>
      </w:tr>
      <w:tr w:rsidR="00CA23D0" w:rsidRPr="00E30642" w14:paraId="0F680CEE" w14:textId="77777777" w:rsidTr="00CA23D0">
        <w:trPr>
          <w:trHeight w:val="1658"/>
          <w:jc w:val="center"/>
        </w:trPr>
        <w:tc>
          <w:tcPr>
            <w:tcW w:w="1818" w:type="dxa"/>
            <w:gridSpan w:val="2"/>
            <w:vMerge/>
            <w:tcBorders>
              <w:left w:val="single" w:sz="6" w:space="0" w:color="auto"/>
              <w:bottom w:val="single" w:sz="6" w:space="0" w:color="auto"/>
              <w:right w:val="single" w:sz="6" w:space="0" w:color="auto"/>
            </w:tcBorders>
          </w:tcPr>
          <w:p w14:paraId="0224BEAC" w14:textId="77777777" w:rsidR="00CA23D0" w:rsidRPr="00E30642" w:rsidRDefault="00CA23D0" w:rsidP="00CA23D0">
            <w:pPr>
              <w:pStyle w:val="Zkladntext"/>
              <w:jc w:val="both"/>
              <w:rPr>
                <w:rFonts w:ascii="Arial" w:hAnsi="Arial" w:cs="Arial"/>
              </w:rPr>
            </w:pPr>
          </w:p>
        </w:tc>
        <w:tc>
          <w:tcPr>
            <w:tcW w:w="508" w:type="dxa"/>
            <w:tcBorders>
              <w:top w:val="single" w:sz="6" w:space="0" w:color="auto"/>
              <w:left w:val="single" w:sz="6" w:space="0" w:color="auto"/>
              <w:bottom w:val="single" w:sz="6" w:space="0" w:color="auto"/>
              <w:right w:val="single" w:sz="6" w:space="0" w:color="auto"/>
            </w:tcBorders>
          </w:tcPr>
          <w:p w14:paraId="56B36F53" w14:textId="77777777" w:rsidR="00CA23D0" w:rsidRPr="00E30642" w:rsidRDefault="00CA23D0" w:rsidP="00CA23D0">
            <w:pPr>
              <w:pStyle w:val="Texttabulky"/>
              <w:jc w:val="both"/>
              <w:rPr>
                <w:rFonts w:cs="Arial"/>
              </w:rPr>
            </w:pPr>
            <w:r w:rsidRPr="00E30642">
              <w:rPr>
                <w:rFonts w:cs="Arial"/>
                <w:b/>
                <w:bCs/>
              </w:rPr>
              <w:t>návrh</w:t>
            </w:r>
          </w:p>
        </w:tc>
        <w:tc>
          <w:tcPr>
            <w:tcW w:w="395" w:type="dxa"/>
            <w:tcBorders>
              <w:top w:val="single" w:sz="6" w:space="0" w:color="auto"/>
              <w:left w:val="single" w:sz="6" w:space="0" w:color="auto"/>
              <w:bottom w:val="single" w:sz="6" w:space="0" w:color="auto"/>
              <w:right w:val="single" w:sz="6" w:space="0" w:color="auto"/>
            </w:tcBorders>
          </w:tcPr>
          <w:p w14:paraId="3CC2AEC1" w14:textId="77777777" w:rsidR="00CA23D0" w:rsidRPr="00E30642" w:rsidRDefault="00CA23D0" w:rsidP="00CA23D0">
            <w:pPr>
              <w:pStyle w:val="Texttabulky"/>
              <w:jc w:val="both"/>
              <w:rPr>
                <w:rFonts w:cs="Arial"/>
              </w:rPr>
            </w:pPr>
            <w:r w:rsidRPr="00E30642">
              <w:rPr>
                <w:rFonts w:cs="Arial"/>
                <w:b/>
                <w:bCs/>
              </w:rPr>
              <w:t>2. etapa</w:t>
            </w:r>
          </w:p>
        </w:tc>
        <w:tc>
          <w:tcPr>
            <w:tcW w:w="438" w:type="dxa"/>
            <w:tcBorders>
              <w:top w:val="single" w:sz="6" w:space="0" w:color="auto"/>
              <w:left w:val="single" w:sz="6" w:space="0" w:color="auto"/>
              <w:bottom w:val="single" w:sz="6" w:space="0" w:color="auto"/>
              <w:right w:val="single" w:sz="6" w:space="0" w:color="auto"/>
            </w:tcBorders>
          </w:tcPr>
          <w:p w14:paraId="13B6E64D" w14:textId="77777777" w:rsidR="00CA23D0" w:rsidRPr="00E30642" w:rsidRDefault="00CA23D0" w:rsidP="00CA23D0">
            <w:pPr>
              <w:pStyle w:val="Texttabulky"/>
              <w:jc w:val="both"/>
              <w:rPr>
                <w:rFonts w:cs="Arial"/>
              </w:rPr>
            </w:pPr>
            <w:r w:rsidRPr="00E30642">
              <w:rPr>
                <w:rFonts w:cs="Arial"/>
                <w:b/>
                <w:bCs/>
              </w:rPr>
              <w:t>výhled</w:t>
            </w:r>
          </w:p>
        </w:tc>
        <w:tc>
          <w:tcPr>
            <w:tcW w:w="480" w:type="dxa"/>
            <w:tcBorders>
              <w:top w:val="single" w:sz="6" w:space="0" w:color="auto"/>
              <w:left w:val="single" w:sz="6" w:space="0" w:color="auto"/>
              <w:bottom w:val="single" w:sz="6" w:space="0" w:color="auto"/>
              <w:right w:val="single" w:sz="6" w:space="0" w:color="auto"/>
            </w:tcBorders>
          </w:tcPr>
          <w:p w14:paraId="6AADD6AF" w14:textId="77777777" w:rsidR="00CA23D0" w:rsidRPr="00E30642" w:rsidRDefault="00CA23D0" w:rsidP="00CA23D0">
            <w:pPr>
              <w:pStyle w:val="Texttabulky"/>
              <w:jc w:val="both"/>
              <w:rPr>
                <w:rFonts w:cs="Arial"/>
              </w:rPr>
            </w:pPr>
            <w:r w:rsidRPr="00E30642">
              <w:rPr>
                <w:rFonts w:cs="Arial"/>
                <w:b/>
                <w:bCs/>
              </w:rPr>
              <w:t>návrh</w:t>
            </w:r>
          </w:p>
        </w:tc>
        <w:tc>
          <w:tcPr>
            <w:tcW w:w="436" w:type="dxa"/>
            <w:tcBorders>
              <w:top w:val="single" w:sz="6" w:space="0" w:color="auto"/>
              <w:left w:val="single" w:sz="6" w:space="0" w:color="auto"/>
              <w:bottom w:val="single" w:sz="6" w:space="0" w:color="auto"/>
              <w:right w:val="single" w:sz="6" w:space="0" w:color="auto"/>
            </w:tcBorders>
          </w:tcPr>
          <w:p w14:paraId="2A11F90D" w14:textId="77777777" w:rsidR="00CA23D0" w:rsidRPr="00E30642" w:rsidRDefault="00CA23D0" w:rsidP="00CA23D0">
            <w:pPr>
              <w:pStyle w:val="Texttabulky"/>
              <w:jc w:val="both"/>
              <w:rPr>
                <w:rFonts w:cs="Arial"/>
              </w:rPr>
            </w:pPr>
            <w:r w:rsidRPr="00E30642">
              <w:rPr>
                <w:rFonts w:cs="Arial"/>
                <w:b/>
                <w:bCs/>
              </w:rPr>
              <w:t>2. etapa</w:t>
            </w:r>
          </w:p>
        </w:tc>
        <w:tc>
          <w:tcPr>
            <w:tcW w:w="488" w:type="dxa"/>
            <w:tcBorders>
              <w:top w:val="single" w:sz="6" w:space="0" w:color="auto"/>
              <w:left w:val="single" w:sz="6" w:space="0" w:color="auto"/>
              <w:bottom w:val="single" w:sz="6" w:space="0" w:color="auto"/>
              <w:right w:val="single" w:sz="6" w:space="0" w:color="auto"/>
            </w:tcBorders>
          </w:tcPr>
          <w:p w14:paraId="0E8C3CC5" w14:textId="77777777" w:rsidR="00CA23D0" w:rsidRPr="00E30642" w:rsidRDefault="00CA23D0" w:rsidP="00CA23D0">
            <w:pPr>
              <w:pStyle w:val="Texttabulky"/>
              <w:jc w:val="both"/>
              <w:rPr>
                <w:rFonts w:cs="Arial"/>
              </w:rPr>
            </w:pPr>
            <w:r w:rsidRPr="00E30642">
              <w:rPr>
                <w:rFonts w:cs="Arial"/>
                <w:b/>
                <w:bCs/>
              </w:rPr>
              <w:t xml:space="preserve">výhled </w:t>
            </w:r>
          </w:p>
        </w:tc>
        <w:tc>
          <w:tcPr>
            <w:tcW w:w="494" w:type="dxa"/>
            <w:tcBorders>
              <w:top w:val="single" w:sz="6" w:space="0" w:color="auto"/>
              <w:left w:val="single" w:sz="6" w:space="0" w:color="auto"/>
              <w:bottom w:val="single" w:sz="6" w:space="0" w:color="auto"/>
              <w:right w:val="single" w:sz="6" w:space="0" w:color="auto"/>
            </w:tcBorders>
          </w:tcPr>
          <w:p w14:paraId="35040B43" w14:textId="77777777" w:rsidR="00CA23D0" w:rsidRPr="00E30642" w:rsidRDefault="00CA23D0" w:rsidP="00CA23D0">
            <w:pPr>
              <w:pStyle w:val="Texttabulky"/>
              <w:jc w:val="both"/>
              <w:rPr>
                <w:rFonts w:cs="Arial"/>
              </w:rPr>
            </w:pPr>
            <w:r w:rsidRPr="00E30642">
              <w:rPr>
                <w:rFonts w:cs="Arial"/>
                <w:b/>
                <w:bCs/>
              </w:rPr>
              <w:t>návrh</w:t>
            </w:r>
          </w:p>
        </w:tc>
        <w:tc>
          <w:tcPr>
            <w:tcW w:w="358" w:type="dxa"/>
            <w:tcBorders>
              <w:top w:val="single" w:sz="6" w:space="0" w:color="auto"/>
              <w:left w:val="single" w:sz="6" w:space="0" w:color="auto"/>
              <w:bottom w:val="single" w:sz="6" w:space="0" w:color="auto"/>
              <w:right w:val="single" w:sz="6" w:space="0" w:color="auto"/>
            </w:tcBorders>
          </w:tcPr>
          <w:p w14:paraId="7730DDEE" w14:textId="77777777" w:rsidR="00CA23D0" w:rsidRPr="00E30642" w:rsidRDefault="00CA23D0" w:rsidP="00CA23D0">
            <w:pPr>
              <w:pStyle w:val="Texttabulky"/>
              <w:jc w:val="both"/>
              <w:rPr>
                <w:rFonts w:cs="Arial"/>
              </w:rPr>
            </w:pPr>
            <w:r w:rsidRPr="00E30642">
              <w:rPr>
                <w:rFonts w:cs="Arial"/>
                <w:b/>
                <w:bCs/>
              </w:rPr>
              <w:t xml:space="preserve">2. etapa </w:t>
            </w:r>
          </w:p>
        </w:tc>
        <w:tc>
          <w:tcPr>
            <w:tcW w:w="399" w:type="dxa"/>
            <w:tcBorders>
              <w:top w:val="single" w:sz="6" w:space="0" w:color="auto"/>
              <w:left w:val="single" w:sz="6" w:space="0" w:color="auto"/>
              <w:bottom w:val="single" w:sz="6" w:space="0" w:color="auto"/>
              <w:right w:val="single" w:sz="6" w:space="0" w:color="auto"/>
            </w:tcBorders>
          </w:tcPr>
          <w:p w14:paraId="28BEF670" w14:textId="77777777" w:rsidR="00CA23D0" w:rsidRPr="00E30642" w:rsidRDefault="00CA23D0" w:rsidP="00CA23D0">
            <w:pPr>
              <w:pStyle w:val="Texttabulky"/>
              <w:jc w:val="both"/>
              <w:rPr>
                <w:rFonts w:cs="Arial"/>
              </w:rPr>
            </w:pPr>
            <w:r w:rsidRPr="00E30642">
              <w:rPr>
                <w:rFonts w:cs="Arial"/>
                <w:b/>
                <w:bCs/>
              </w:rPr>
              <w:t>výhled</w:t>
            </w:r>
          </w:p>
        </w:tc>
        <w:tc>
          <w:tcPr>
            <w:tcW w:w="678" w:type="dxa"/>
            <w:tcBorders>
              <w:top w:val="single" w:sz="6" w:space="0" w:color="auto"/>
              <w:left w:val="single" w:sz="6" w:space="0" w:color="auto"/>
              <w:bottom w:val="single" w:sz="6" w:space="0" w:color="auto"/>
              <w:right w:val="single" w:sz="6" w:space="0" w:color="auto"/>
            </w:tcBorders>
          </w:tcPr>
          <w:p w14:paraId="4100EDA5" w14:textId="77777777" w:rsidR="00CA23D0" w:rsidRPr="00E30642" w:rsidRDefault="00CA23D0" w:rsidP="00CA23D0">
            <w:pPr>
              <w:pStyle w:val="Texttabulky"/>
              <w:jc w:val="both"/>
              <w:rPr>
                <w:rFonts w:cs="Arial"/>
              </w:rPr>
            </w:pPr>
            <w:r w:rsidRPr="00E30642">
              <w:rPr>
                <w:rFonts w:cs="Arial"/>
                <w:b/>
                <w:bCs/>
              </w:rPr>
              <w:t xml:space="preserve">návrh </w:t>
            </w:r>
          </w:p>
        </w:tc>
        <w:tc>
          <w:tcPr>
            <w:tcW w:w="817" w:type="dxa"/>
            <w:tcBorders>
              <w:top w:val="single" w:sz="6" w:space="0" w:color="auto"/>
              <w:left w:val="single" w:sz="6" w:space="0" w:color="auto"/>
              <w:bottom w:val="single" w:sz="6" w:space="0" w:color="auto"/>
              <w:right w:val="single" w:sz="6" w:space="0" w:color="auto"/>
            </w:tcBorders>
          </w:tcPr>
          <w:p w14:paraId="5BA9AD4E" w14:textId="77777777" w:rsidR="00CA23D0" w:rsidRPr="00E30642" w:rsidRDefault="00CA23D0" w:rsidP="00CA23D0">
            <w:pPr>
              <w:pStyle w:val="Texttabulky"/>
              <w:jc w:val="both"/>
              <w:rPr>
                <w:rFonts w:cs="Arial"/>
              </w:rPr>
            </w:pPr>
            <w:r w:rsidRPr="00E30642">
              <w:rPr>
                <w:rFonts w:cs="Arial"/>
                <w:b/>
                <w:bCs/>
              </w:rPr>
              <w:t>výhled</w:t>
            </w:r>
          </w:p>
        </w:tc>
        <w:tc>
          <w:tcPr>
            <w:tcW w:w="708" w:type="dxa"/>
            <w:tcBorders>
              <w:top w:val="single" w:sz="6" w:space="0" w:color="auto"/>
              <w:left w:val="single" w:sz="6" w:space="0" w:color="auto"/>
              <w:bottom w:val="single" w:sz="6" w:space="0" w:color="auto"/>
              <w:right w:val="single" w:sz="6" w:space="0" w:color="auto"/>
            </w:tcBorders>
          </w:tcPr>
          <w:p w14:paraId="176A656D" w14:textId="77777777" w:rsidR="00CA23D0" w:rsidRPr="00E30642" w:rsidRDefault="00CA23D0" w:rsidP="00CA23D0">
            <w:pPr>
              <w:pStyle w:val="Zkladntext"/>
              <w:jc w:val="both"/>
              <w:rPr>
                <w:rFonts w:ascii="Arial" w:hAnsi="Arial" w:cs="Arial"/>
              </w:rPr>
            </w:pPr>
          </w:p>
        </w:tc>
        <w:tc>
          <w:tcPr>
            <w:tcW w:w="1161" w:type="dxa"/>
            <w:tcBorders>
              <w:top w:val="single" w:sz="6" w:space="0" w:color="auto"/>
              <w:left w:val="single" w:sz="6" w:space="0" w:color="auto"/>
              <w:bottom w:val="single" w:sz="6" w:space="0" w:color="auto"/>
              <w:right w:val="single" w:sz="6" w:space="0" w:color="auto"/>
            </w:tcBorders>
          </w:tcPr>
          <w:p w14:paraId="67C1C323" w14:textId="77777777" w:rsidR="00CA23D0" w:rsidRPr="00E30642" w:rsidRDefault="00CA23D0" w:rsidP="00CA23D0">
            <w:pPr>
              <w:pStyle w:val="Zkladntext"/>
              <w:jc w:val="both"/>
              <w:rPr>
                <w:rFonts w:ascii="Arial" w:hAnsi="Arial" w:cs="Arial"/>
              </w:rPr>
            </w:pPr>
          </w:p>
        </w:tc>
      </w:tr>
      <w:tr w:rsidR="00CA23D0" w:rsidRPr="00E30642" w14:paraId="1B9E105E" w14:textId="77777777" w:rsidTr="00CA23D0">
        <w:trPr>
          <w:trHeight w:val="424"/>
          <w:jc w:val="center"/>
        </w:trPr>
        <w:tc>
          <w:tcPr>
            <w:tcW w:w="339" w:type="dxa"/>
            <w:tcBorders>
              <w:top w:val="single" w:sz="6" w:space="0" w:color="auto"/>
              <w:left w:val="single" w:sz="6" w:space="0" w:color="auto"/>
              <w:bottom w:val="single" w:sz="6" w:space="0" w:color="auto"/>
              <w:right w:val="single" w:sz="6" w:space="0" w:color="auto"/>
            </w:tcBorders>
          </w:tcPr>
          <w:p w14:paraId="25C4B990" w14:textId="77777777" w:rsidR="00CA23D0" w:rsidRPr="00E30642" w:rsidRDefault="00CA23D0" w:rsidP="00CA23D0">
            <w:pPr>
              <w:pStyle w:val="Texttabulky"/>
              <w:jc w:val="both"/>
              <w:rPr>
                <w:rFonts w:cs="Arial"/>
              </w:rPr>
            </w:pPr>
            <w:r w:rsidRPr="00E30642">
              <w:rPr>
                <w:rFonts w:cs="Arial"/>
                <w:b/>
                <w:bCs/>
                <w:sz w:val="18"/>
                <w:szCs w:val="18"/>
              </w:rPr>
              <w:t>I.A</w:t>
            </w:r>
          </w:p>
        </w:tc>
        <w:tc>
          <w:tcPr>
            <w:tcW w:w="1479" w:type="dxa"/>
            <w:tcBorders>
              <w:top w:val="single" w:sz="6" w:space="0" w:color="auto"/>
              <w:left w:val="single" w:sz="6" w:space="0" w:color="auto"/>
              <w:bottom w:val="single" w:sz="6" w:space="0" w:color="auto"/>
              <w:right w:val="single" w:sz="6" w:space="0" w:color="auto"/>
            </w:tcBorders>
          </w:tcPr>
          <w:p w14:paraId="070F9E83" w14:textId="77777777" w:rsidR="00CA23D0" w:rsidRPr="00E30642" w:rsidRDefault="00CA23D0" w:rsidP="00CA23D0">
            <w:pPr>
              <w:pStyle w:val="Texttabulky"/>
              <w:jc w:val="both"/>
              <w:rPr>
                <w:rFonts w:cs="Arial"/>
              </w:rPr>
            </w:pPr>
            <w:r w:rsidRPr="00E30642">
              <w:rPr>
                <w:rFonts w:cs="Arial"/>
                <w:sz w:val="18"/>
                <w:szCs w:val="18"/>
              </w:rPr>
              <w:t xml:space="preserve">Podmokly </w:t>
            </w:r>
          </w:p>
        </w:tc>
        <w:tc>
          <w:tcPr>
            <w:tcW w:w="508" w:type="dxa"/>
            <w:tcBorders>
              <w:top w:val="single" w:sz="6" w:space="0" w:color="auto"/>
              <w:left w:val="single" w:sz="6" w:space="0" w:color="auto"/>
              <w:bottom w:val="single" w:sz="6" w:space="0" w:color="auto"/>
              <w:right w:val="single" w:sz="6" w:space="0" w:color="auto"/>
            </w:tcBorders>
          </w:tcPr>
          <w:p w14:paraId="7D40A8DB" w14:textId="77777777" w:rsidR="00CA23D0" w:rsidRPr="00E30642" w:rsidRDefault="00CA23D0" w:rsidP="00CA23D0">
            <w:pPr>
              <w:pStyle w:val="Texttabulky"/>
              <w:jc w:val="both"/>
              <w:rPr>
                <w:rFonts w:cs="Arial"/>
              </w:rPr>
            </w:pPr>
            <w:r w:rsidRPr="00E30642">
              <w:rPr>
                <w:rFonts w:cs="Arial"/>
                <w:sz w:val="18"/>
                <w:szCs w:val="18"/>
              </w:rPr>
              <w:t>-</w:t>
            </w:r>
          </w:p>
        </w:tc>
        <w:tc>
          <w:tcPr>
            <w:tcW w:w="395" w:type="dxa"/>
            <w:tcBorders>
              <w:top w:val="single" w:sz="6" w:space="0" w:color="auto"/>
              <w:left w:val="single" w:sz="6" w:space="0" w:color="auto"/>
              <w:bottom w:val="single" w:sz="6" w:space="0" w:color="auto"/>
              <w:right w:val="single" w:sz="6" w:space="0" w:color="auto"/>
            </w:tcBorders>
          </w:tcPr>
          <w:p w14:paraId="349ACC46" w14:textId="77777777" w:rsidR="00CA23D0" w:rsidRPr="00E30642" w:rsidRDefault="00CA23D0" w:rsidP="00CA23D0">
            <w:pPr>
              <w:pStyle w:val="Zkladntext"/>
              <w:jc w:val="both"/>
              <w:rPr>
                <w:rFonts w:ascii="Arial" w:hAnsi="Arial" w:cs="Arial"/>
                <w:highlight w:val="yellow"/>
              </w:rPr>
            </w:pPr>
          </w:p>
        </w:tc>
        <w:tc>
          <w:tcPr>
            <w:tcW w:w="438" w:type="dxa"/>
            <w:tcBorders>
              <w:top w:val="single" w:sz="6" w:space="0" w:color="auto"/>
              <w:left w:val="single" w:sz="6" w:space="0" w:color="auto"/>
              <w:bottom w:val="single" w:sz="6" w:space="0" w:color="auto"/>
              <w:right w:val="single" w:sz="6" w:space="0" w:color="auto"/>
            </w:tcBorders>
          </w:tcPr>
          <w:p w14:paraId="319B76DE" w14:textId="77777777" w:rsidR="00CA23D0" w:rsidRPr="00E30642" w:rsidRDefault="00CA23D0" w:rsidP="00CA23D0">
            <w:pPr>
              <w:pStyle w:val="Texttabulky"/>
              <w:jc w:val="both"/>
              <w:rPr>
                <w:rFonts w:cs="Arial"/>
              </w:rPr>
            </w:pPr>
            <w:r w:rsidRPr="00E30642">
              <w:rPr>
                <w:rFonts w:cs="Arial"/>
                <w:sz w:val="18"/>
                <w:szCs w:val="18"/>
              </w:rPr>
              <w:t>-</w:t>
            </w:r>
          </w:p>
        </w:tc>
        <w:tc>
          <w:tcPr>
            <w:tcW w:w="480" w:type="dxa"/>
            <w:tcBorders>
              <w:top w:val="single" w:sz="6" w:space="0" w:color="auto"/>
              <w:left w:val="single" w:sz="6" w:space="0" w:color="auto"/>
              <w:bottom w:val="single" w:sz="6" w:space="0" w:color="auto"/>
              <w:right w:val="single" w:sz="6" w:space="0" w:color="auto"/>
            </w:tcBorders>
          </w:tcPr>
          <w:p w14:paraId="342BE988" w14:textId="77777777" w:rsidR="00CA23D0" w:rsidRPr="00E30642" w:rsidRDefault="00CA23D0" w:rsidP="00CA23D0">
            <w:pPr>
              <w:pStyle w:val="Texttabulky"/>
              <w:jc w:val="both"/>
              <w:rPr>
                <w:rFonts w:cs="Arial"/>
              </w:rPr>
            </w:pPr>
            <w:r w:rsidRPr="00E30642">
              <w:rPr>
                <w:rFonts w:cs="Arial"/>
                <w:sz w:val="18"/>
                <w:szCs w:val="18"/>
              </w:rPr>
              <w:t>-</w:t>
            </w:r>
          </w:p>
        </w:tc>
        <w:tc>
          <w:tcPr>
            <w:tcW w:w="436" w:type="dxa"/>
            <w:tcBorders>
              <w:top w:val="single" w:sz="6" w:space="0" w:color="auto"/>
              <w:left w:val="single" w:sz="6" w:space="0" w:color="auto"/>
              <w:bottom w:val="single" w:sz="6" w:space="0" w:color="auto"/>
              <w:right w:val="single" w:sz="6" w:space="0" w:color="auto"/>
            </w:tcBorders>
          </w:tcPr>
          <w:p w14:paraId="13AAD9CE" w14:textId="77777777" w:rsidR="00CA23D0" w:rsidRPr="00E30642" w:rsidRDefault="00CA23D0" w:rsidP="00CA23D0">
            <w:pPr>
              <w:pStyle w:val="Zkladntext"/>
              <w:jc w:val="both"/>
              <w:rPr>
                <w:rFonts w:ascii="Arial" w:hAnsi="Arial" w:cs="Arial"/>
              </w:rPr>
            </w:pPr>
          </w:p>
        </w:tc>
        <w:tc>
          <w:tcPr>
            <w:tcW w:w="488" w:type="dxa"/>
            <w:tcBorders>
              <w:top w:val="single" w:sz="6" w:space="0" w:color="auto"/>
              <w:left w:val="single" w:sz="6" w:space="0" w:color="auto"/>
              <w:bottom w:val="single" w:sz="6" w:space="0" w:color="auto"/>
              <w:right w:val="single" w:sz="6" w:space="0" w:color="auto"/>
            </w:tcBorders>
          </w:tcPr>
          <w:p w14:paraId="1C726DAF" w14:textId="77777777" w:rsidR="00CA23D0" w:rsidRPr="00E30642" w:rsidRDefault="00CA23D0" w:rsidP="00CA23D0">
            <w:pPr>
              <w:pStyle w:val="Texttabulky"/>
              <w:jc w:val="both"/>
              <w:rPr>
                <w:rFonts w:cs="Arial"/>
              </w:rPr>
            </w:pPr>
            <w:r w:rsidRPr="00E30642">
              <w:rPr>
                <w:rFonts w:cs="Arial"/>
                <w:sz w:val="18"/>
                <w:szCs w:val="18"/>
              </w:rPr>
              <w:t>-</w:t>
            </w:r>
          </w:p>
        </w:tc>
        <w:tc>
          <w:tcPr>
            <w:tcW w:w="494" w:type="dxa"/>
            <w:tcBorders>
              <w:top w:val="single" w:sz="6" w:space="0" w:color="auto"/>
              <w:left w:val="single" w:sz="6" w:space="0" w:color="auto"/>
              <w:bottom w:val="single" w:sz="6" w:space="0" w:color="auto"/>
              <w:right w:val="single" w:sz="6" w:space="0" w:color="auto"/>
            </w:tcBorders>
          </w:tcPr>
          <w:p w14:paraId="6CE68EBD" w14:textId="77777777" w:rsidR="00CA23D0" w:rsidRPr="00E30642" w:rsidRDefault="00CA23D0" w:rsidP="00CA23D0">
            <w:pPr>
              <w:pStyle w:val="Texttabulky"/>
              <w:jc w:val="both"/>
              <w:rPr>
                <w:rFonts w:cs="Arial"/>
              </w:rPr>
            </w:pPr>
            <w:r w:rsidRPr="00E30642">
              <w:rPr>
                <w:rFonts w:cs="Arial"/>
                <w:sz w:val="18"/>
                <w:szCs w:val="18"/>
              </w:rPr>
              <w:t>1,96</w:t>
            </w:r>
          </w:p>
        </w:tc>
        <w:tc>
          <w:tcPr>
            <w:tcW w:w="358" w:type="dxa"/>
            <w:tcBorders>
              <w:top w:val="single" w:sz="6" w:space="0" w:color="auto"/>
              <w:left w:val="single" w:sz="6" w:space="0" w:color="auto"/>
              <w:bottom w:val="single" w:sz="6" w:space="0" w:color="auto"/>
              <w:right w:val="single" w:sz="6" w:space="0" w:color="auto"/>
            </w:tcBorders>
          </w:tcPr>
          <w:p w14:paraId="63FEE364" w14:textId="77777777" w:rsidR="00CA23D0" w:rsidRPr="00E30642" w:rsidRDefault="00CA23D0" w:rsidP="00CA23D0">
            <w:pPr>
              <w:pStyle w:val="Zkladntext"/>
              <w:jc w:val="both"/>
              <w:rPr>
                <w:rFonts w:ascii="Arial" w:hAnsi="Arial" w:cs="Arial"/>
              </w:rPr>
            </w:pPr>
          </w:p>
        </w:tc>
        <w:tc>
          <w:tcPr>
            <w:tcW w:w="399" w:type="dxa"/>
            <w:tcBorders>
              <w:top w:val="single" w:sz="6" w:space="0" w:color="auto"/>
              <w:left w:val="single" w:sz="6" w:space="0" w:color="auto"/>
              <w:bottom w:val="single" w:sz="6" w:space="0" w:color="auto"/>
              <w:right w:val="single" w:sz="6" w:space="0" w:color="auto"/>
            </w:tcBorders>
          </w:tcPr>
          <w:p w14:paraId="4466618C" w14:textId="77777777" w:rsidR="00CA23D0" w:rsidRPr="00E30642" w:rsidRDefault="00CA23D0" w:rsidP="00CA23D0">
            <w:pPr>
              <w:pStyle w:val="Texttabulky"/>
              <w:jc w:val="both"/>
              <w:rPr>
                <w:rFonts w:cs="Arial"/>
              </w:rPr>
            </w:pPr>
            <w:r w:rsidRPr="00E30642">
              <w:rPr>
                <w:rFonts w:cs="Arial"/>
                <w:sz w:val="18"/>
                <w:szCs w:val="18"/>
              </w:rPr>
              <w:t>-</w:t>
            </w:r>
          </w:p>
        </w:tc>
        <w:tc>
          <w:tcPr>
            <w:tcW w:w="678" w:type="dxa"/>
            <w:tcBorders>
              <w:top w:val="single" w:sz="6" w:space="0" w:color="auto"/>
              <w:left w:val="single" w:sz="6" w:space="0" w:color="auto"/>
              <w:bottom w:val="single" w:sz="6" w:space="0" w:color="auto"/>
              <w:right w:val="single" w:sz="6" w:space="0" w:color="auto"/>
            </w:tcBorders>
          </w:tcPr>
          <w:p w14:paraId="26B9191E" w14:textId="77777777" w:rsidR="00CA23D0" w:rsidRPr="00E30642" w:rsidRDefault="00CA23D0" w:rsidP="00CA23D0">
            <w:pPr>
              <w:pStyle w:val="Texttabulky"/>
              <w:jc w:val="both"/>
              <w:rPr>
                <w:rFonts w:cs="Arial"/>
              </w:rPr>
            </w:pPr>
            <w:r w:rsidRPr="00E30642">
              <w:rPr>
                <w:rFonts w:cs="Arial"/>
                <w:sz w:val="18"/>
                <w:szCs w:val="18"/>
              </w:rPr>
              <w:t>1,96</w:t>
            </w:r>
          </w:p>
        </w:tc>
        <w:tc>
          <w:tcPr>
            <w:tcW w:w="817" w:type="dxa"/>
            <w:tcBorders>
              <w:top w:val="single" w:sz="6" w:space="0" w:color="auto"/>
              <w:left w:val="single" w:sz="6" w:space="0" w:color="auto"/>
              <w:bottom w:val="single" w:sz="6" w:space="0" w:color="auto"/>
              <w:right w:val="single" w:sz="6" w:space="0" w:color="auto"/>
            </w:tcBorders>
          </w:tcPr>
          <w:p w14:paraId="260564E6" w14:textId="77777777" w:rsidR="00CA23D0" w:rsidRPr="00E30642" w:rsidRDefault="00CA23D0" w:rsidP="00CA23D0">
            <w:pPr>
              <w:pStyle w:val="Texttabulky"/>
              <w:jc w:val="both"/>
              <w:rPr>
                <w:rFonts w:cs="Arial"/>
              </w:rPr>
            </w:pPr>
            <w:r w:rsidRPr="00E30642">
              <w:rPr>
                <w:rFonts w:cs="Arial"/>
                <w:sz w:val="18"/>
                <w:szCs w:val="18"/>
              </w:rPr>
              <w:t>-</w:t>
            </w:r>
          </w:p>
        </w:tc>
        <w:tc>
          <w:tcPr>
            <w:tcW w:w="708" w:type="dxa"/>
            <w:tcBorders>
              <w:top w:val="single" w:sz="6" w:space="0" w:color="auto"/>
              <w:left w:val="single" w:sz="6" w:space="0" w:color="auto"/>
              <w:bottom w:val="single" w:sz="6" w:space="0" w:color="auto"/>
              <w:right w:val="single" w:sz="6" w:space="0" w:color="auto"/>
            </w:tcBorders>
          </w:tcPr>
          <w:p w14:paraId="37FC8C98" w14:textId="77777777" w:rsidR="00CA23D0" w:rsidRPr="00E30642" w:rsidRDefault="00CA23D0" w:rsidP="00CA23D0">
            <w:pPr>
              <w:pStyle w:val="Texttabulky"/>
              <w:jc w:val="both"/>
              <w:rPr>
                <w:rFonts w:cs="Arial"/>
              </w:rPr>
            </w:pPr>
            <w:r w:rsidRPr="00E30642">
              <w:rPr>
                <w:rFonts w:cs="Arial"/>
                <w:b/>
                <w:bCs/>
                <w:sz w:val="18"/>
                <w:szCs w:val="18"/>
              </w:rPr>
              <w:t>1,96</w:t>
            </w:r>
          </w:p>
        </w:tc>
        <w:tc>
          <w:tcPr>
            <w:tcW w:w="1161" w:type="dxa"/>
            <w:tcBorders>
              <w:top w:val="single" w:sz="6" w:space="0" w:color="auto"/>
              <w:left w:val="single" w:sz="6" w:space="0" w:color="auto"/>
              <w:bottom w:val="single" w:sz="6" w:space="0" w:color="auto"/>
              <w:right w:val="single" w:sz="6" w:space="0" w:color="auto"/>
            </w:tcBorders>
          </w:tcPr>
          <w:p w14:paraId="6EAA702B" w14:textId="77777777" w:rsidR="00CA23D0" w:rsidRPr="00E30642" w:rsidRDefault="00CA23D0" w:rsidP="00CA23D0">
            <w:pPr>
              <w:pStyle w:val="Texttabulky"/>
              <w:jc w:val="both"/>
              <w:rPr>
                <w:rFonts w:cs="Arial"/>
              </w:rPr>
            </w:pPr>
            <w:r w:rsidRPr="00E30642">
              <w:rPr>
                <w:rFonts w:cs="Arial"/>
                <w:sz w:val="18"/>
                <w:szCs w:val="18"/>
              </w:rPr>
              <w:t>1</w:t>
            </w:r>
          </w:p>
        </w:tc>
      </w:tr>
      <w:tr w:rsidR="00CA23D0" w:rsidRPr="00E30642" w14:paraId="41EBB449" w14:textId="77777777" w:rsidTr="00CA23D0">
        <w:trPr>
          <w:trHeight w:val="411"/>
          <w:jc w:val="center"/>
        </w:trPr>
        <w:tc>
          <w:tcPr>
            <w:tcW w:w="339" w:type="dxa"/>
            <w:tcBorders>
              <w:top w:val="single" w:sz="6" w:space="0" w:color="auto"/>
              <w:left w:val="single" w:sz="6" w:space="0" w:color="auto"/>
              <w:bottom w:val="single" w:sz="6" w:space="0" w:color="auto"/>
              <w:right w:val="single" w:sz="6" w:space="0" w:color="auto"/>
            </w:tcBorders>
          </w:tcPr>
          <w:p w14:paraId="19E6AB9C" w14:textId="77777777" w:rsidR="00CA23D0" w:rsidRPr="00E30642" w:rsidRDefault="00CA23D0" w:rsidP="00CA23D0">
            <w:pPr>
              <w:pStyle w:val="Texttabulky"/>
              <w:jc w:val="both"/>
              <w:rPr>
                <w:rFonts w:cs="Arial"/>
              </w:rPr>
            </w:pPr>
            <w:r w:rsidRPr="00E30642">
              <w:rPr>
                <w:rFonts w:cs="Arial"/>
                <w:b/>
                <w:bCs/>
                <w:sz w:val="18"/>
                <w:szCs w:val="18"/>
              </w:rPr>
              <w:t>I.B</w:t>
            </w:r>
          </w:p>
        </w:tc>
        <w:tc>
          <w:tcPr>
            <w:tcW w:w="1479" w:type="dxa"/>
            <w:tcBorders>
              <w:top w:val="single" w:sz="6" w:space="0" w:color="auto"/>
              <w:left w:val="single" w:sz="6" w:space="0" w:color="auto"/>
              <w:bottom w:val="single" w:sz="6" w:space="0" w:color="auto"/>
              <w:right w:val="single" w:sz="6" w:space="0" w:color="auto"/>
            </w:tcBorders>
          </w:tcPr>
          <w:p w14:paraId="415241C2" w14:textId="77777777" w:rsidR="00CA23D0" w:rsidRPr="00E30642" w:rsidRDefault="00CA23D0" w:rsidP="00CA23D0">
            <w:pPr>
              <w:pStyle w:val="Texttabulky"/>
              <w:jc w:val="both"/>
              <w:rPr>
                <w:rFonts w:cs="Arial"/>
              </w:rPr>
            </w:pPr>
            <w:r w:rsidRPr="00E30642">
              <w:rPr>
                <w:rFonts w:cs="Arial"/>
                <w:sz w:val="18"/>
                <w:szCs w:val="18"/>
              </w:rPr>
              <w:t xml:space="preserve">Děčín </w:t>
            </w:r>
          </w:p>
        </w:tc>
        <w:tc>
          <w:tcPr>
            <w:tcW w:w="508" w:type="dxa"/>
            <w:tcBorders>
              <w:top w:val="single" w:sz="6" w:space="0" w:color="auto"/>
              <w:left w:val="single" w:sz="6" w:space="0" w:color="auto"/>
              <w:bottom w:val="single" w:sz="6" w:space="0" w:color="auto"/>
              <w:right w:val="single" w:sz="6" w:space="0" w:color="auto"/>
            </w:tcBorders>
          </w:tcPr>
          <w:p w14:paraId="0BB19143" w14:textId="77777777" w:rsidR="00CA23D0" w:rsidRPr="00E30642" w:rsidRDefault="00CA23D0" w:rsidP="00CA23D0">
            <w:pPr>
              <w:pStyle w:val="Zkladntext"/>
              <w:jc w:val="both"/>
              <w:rPr>
                <w:rFonts w:ascii="Arial" w:hAnsi="Arial" w:cs="Arial"/>
              </w:rPr>
            </w:pPr>
          </w:p>
        </w:tc>
        <w:tc>
          <w:tcPr>
            <w:tcW w:w="395" w:type="dxa"/>
            <w:tcBorders>
              <w:top w:val="single" w:sz="6" w:space="0" w:color="auto"/>
              <w:left w:val="single" w:sz="6" w:space="0" w:color="auto"/>
              <w:bottom w:val="single" w:sz="6" w:space="0" w:color="auto"/>
              <w:right w:val="single" w:sz="6" w:space="0" w:color="auto"/>
            </w:tcBorders>
          </w:tcPr>
          <w:p w14:paraId="361E6C64" w14:textId="77777777" w:rsidR="00CA23D0" w:rsidRPr="00E30642" w:rsidRDefault="00CA23D0" w:rsidP="00CA23D0">
            <w:pPr>
              <w:pStyle w:val="Zkladntext"/>
              <w:jc w:val="both"/>
              <w:rPr>
                <w:rFonts w:ascii="Arial" w:hAnsi="Arial" w:cs="Arial"/>
                <w:highlight w:val="yellow"/>
              </w:rPr>
            </w:pPr>
          </w:p>
        </w:tc>
        <w:tc>
          <w:tcPr>
            <w:tcW w:w="438" w:type="dxa"/>
            <w:tcBorders>
              <w:top w:val="single" w:sz="6" w:space="0" w:color="auto"/>
              <w:left w:val="single" w:sz="6" w:space="0" w:color="auto"/>
              <w:bottom w:val="single" w:sz="6" w:space="0" w:color="auto"/>
              <w:right w:val="single" w:sz="6" w:space="0" w:color="auto"/>
            </w:tcBorders>
          </w:tcPr>
          <w:p w14:paraId="483102E2" w14:textId="77777777" w:rsidR="00CA23D0" w:rsidRPr="00E30642" w:rsidRDefault="00CA23D0" w:rsidP="00CA23D0">
            <w:pPr>
              <w:pStyle w:val="Zkladntext"/>
              <w:jc w:val="both"/>
              <w:rPr>
                <w:rFonts w:ascii="Arial" w:hAnsi="Arial" w:cs="Arial"/>
              </w:rPr>
            </w:pPr>
          </w:p>
        </w:tc>
        <w:tc>
          <w:tcPr>
            <w:tcW w:w="480" w:type="dxa"/>
            <w:tcBorders>
              <w:top w:val="single" w:sz="6" w:space="0" w:color="auto"/>
              <w:left w:val="single" w:sz="6" w:space="0" w:color="auto"/>
              <w:bottom w:val="single" w:sz="6" w:space="0" w:color="auto"/>
              <w:right w:val="single" w:sz="6" w:space="0" w:color="auto"/>
            </w:tcBorders>
          </w:tcPr>
          <w:p w14:paraId="1B4867AE" w14:textId="77777777" w:rsidR="00CA23D0" w:rsidRPr="00E30642" w:rsidRDefault="00CA23D0" w:rsidP="00CA23D0">
            <w:pPr>
              <w:pStyle w:val="Texttabulky"/>
              <w:jc w:val="both"/>
              <w:rPr>
                <w:rFonts w:cs="Arial"/>
              </w:rPr>
            </w:pPr>
            <w:r w:rsidRPr="00E30642">
              <w:rPr>
                <w:rFonts w:cs="Arial"/>
                <w:sz w:val="18"/>
                <w:szCs w:val="18"/>
              </w:rPr>
              <w:t>0,01</w:t>
            </w:r>
          </w:p>
        </w:tc>
        <w:tc>
          <w:tcPr>
            <w:tcW w:w="436" w:type="dxa"/>
            <w:tcBorders>
              <w:top w:val="single" w:sz="6" w:space="0" w:color="auto"/>
              <w:left w:val="single" w:sz="6" w:space="0" w:color="auto"/>
              <w:bottom w:val="single" w:sz="6" w:space="0" w:color="auto"/>
              <w:right w:val="single" w:sz="6" w:space="0" w:color="auto"/>
            </w:tcBorders>
          </w:tcPr>
          <w:p w14:paraId="43BE2DF1" w14:textId="77777777" w:rsidR="00CA23D0" w:rsidRPr="00E30642" w:rsidRDefault="00CA23D0" w:rsidP="00CA23D0">
            <w:pPr>
              <w:pStyle w:val="Zkladntext"/>
              <w:jc w:val="both"/>
              <w:rPr>
                <w:rFonts w:ascii="Arial" w:hAnsi="Arial" w:cs="Arial"/>
              </w:rPr>
            </w:pPr>
          </w:p>
        </w:tc>
        <w:tc>
          <w:tcPr>
            <w:tcW w:w="488" w:type="dxa"/>
            <w:tcBorders>
              <w:top w:val="single" w:sz="6" w:space="0" w:color="auto"/>
              <w:left w:val="single" w:sz="6" w:space="0" w:color="auto"/>
              <w:bottom w:val="single" w:sz="6" w:space="0" w:color="auto"/>
              <w:right w:val="single" w:sz="6" w:space="0" w:color="auto"/>
            </w:tcBorders>
          </w:tcPr>
          <w:p w14:paraId="71F54513" w14:textId="77777777" w:rsidR="00CA23D0" w:rsidRPr="00E30642" w:rsidRDefault="00CA23D0" w:rsidP="00CA23D0">
            <w:pPr>
              <w:pStyle w:val="Texttabulky"/>
              <w:jc w:val="both"/>
              <w:rPr>
                <w:rFonts w:cs="Arial"/>
              </w:rPr>
            </w:pPr>
            <w:r w:rsidRPr="00E30642">
              <w:rPr>
                <w:rFonts w:cs="Arial"/>
                <w:sz w:val="18"/>
                <w:szCs w:val="18"/>
              </w:rPr>
              <w:t>-</w:t>
            </w:r>
          </w:p>
        </w:tc>
        <w:tc>
          <w:tcPr>
            <w:tcW w:w="494" w:type="dxa"/>
            <w:tcBorders>
              <w:top w:val="single" w:sz="6" w:space="0" w:color="auto"/>
              <w:left w:val="single" w:sz="6" w:space="0" w:color="auto"/>
              <w:bottom w:val="single" w:sz="6" w:space="0" w:color="auto"/>
              <w:right w:val="single" w:sz="6" w:space="0" w:color="auto"/>
            </w:tcBorders>
          </w:tcPr>
          <w:p w14:paraId="6967D187" w14:textId="77777777" w:rsidR="00CA23D0" w:rsidRPr="00E30642" w:rsidRDefault="00CA23D0" w:rsidP="00CA23D0">
            <w:pPr>
              <w:pStyle w:val="Texttabulky"/>
              <w:jc w:val="both"/>
              <w:rPr>
                <w:rFonts w:cs="Arial"/>
              </w:rPr>
            </w:pPr>
            <w:r w:rsidRPr="00E30642">
              <w:rPr>
                <w:rFonts w:cs="Arial"/>
                <w:sz w:val="18"/>
                <w:szCs w:val="18"/>
              </w:rPr>
              <w:t>1,57</w:t>
            </w:r>
          </w:p>
        </w:tc>
        <w:tc>
          <w:tcPr>
            <w:tcW w:w="358" w:type="dxa"/>
            <w:tcBorders>
              <w:top w:val="single" w:sz="6" w:space="0" w:color="auto"/>
              <w:left w:val="single" w:sz="6" w:space="0" w:color="auto"/>
              <w:bottom w:val="single" w:sz="6" w:space="0" w:color="auto"/>
              <w:right w:val="single" w:sz="6" w:space="0" w:color="auto"/>
            </w:tcBorders>
          </w:tcPr>
          <w:p w14:paraId="4EDE09F9" w14:textId="77777777" w:rsidR="00CA23D0" w:rsidRPr="00E30642" w:rsidRDefault="00CA23D0" w:rsidP="00CA23D0">
            <w:pPr>
              <w:pStyle w:val="Zkladntext"/>
              <w:jc w:val="both"/>
              <w:rPr>
                <w:rFonts w:ascii="Arial" w:hAnsi="Arial" w:cs="Arial"/>
              </w:rPr>
            </w:pPr>
          </w:p>
        </w:tc>
        <w:tc>
          <w:tcPr>
            <w:tcW w:w="399" w:type="dxa"/>
            <w:tcBorders>
              <w:top w:val="single" w:sz="6" w:space="0" w:color="auto"/>
              <w:left w:val="single" w:sz="6" w:space="0" w:color="auto"/>
              <w:bottom w:val="single" w:sz="6" w:space="0" w:color="auto"/>
              <w:right w:val="single" w:sz="6" w:space="0" w:color="auto"/>
            </w:tcBorders>
          </w:tcPr>
          <w:p w14:paraId="37317ECF" w14:textId="77777777" w:rsidR="00CA23D0" w:rsidRPr="00E30642" w:rsidRDefault="00CA23D0" w:rsidP="00CA23D0">
            <w:pPr>
              <w:pStyle w:val="Texttabulky"/>
              <w:jc w:val="both"/>
              <w:rPr>
                <w:rFonts w:cs="Arial"/>
              </w:rPr>
            </w:pPr>
            <w:r w:rsidRPr="00E30642">
              <w:rPr>
                <w:rFonts w:cs="Arial"/>
                <w:sz w:val="18"/>
                <w:szCs w:val="18"/>
              </w:rPr>
              <w:t>-</w:t>
            </w:r>
          </w:p>
        </w:tc>
        <w:tc>
          <w:tcPr>
            <w:tcW w:w="678" w:type="dxa"/>
            <w:tcBorders>
              <w:top w:val="single" w:sz="6" w:space="0" w:color="auto"/>
              <w:left w:val="single" w:sz="6" w:space="0" w:color="auto"/>
              <w:bottom w:val="single" w:sz="6" w:space="0" w:color="auto"/>
              <w:right w:val="single" w:sz="6" w:space="0" w:color="auto"/>
            </w:tcBorders>
          </w:tcPr>
          <w:p w14:paraId="00DA8D84" w14:textId="77777777" w:rsidR="00CA23D0" w:rsidRPr="00E30642" w:rsidRDefault="00CA23D0" w:rsidP="00CA23D0">
            <w:pPr>
              <w:pStyle w:val="Texttabulky"/>
              <w:jc w:val="both"/>
              <w:rPr>
                <w:rFonts w:cs="Arial"/>
              </w:rPr>
            </w:pPr>
            <w:r w:rsidRPr="00E30642">
              <w:rPr>
                <w:rFonts w:cs="Arial"/>
                <w:sz w:val="18"/>
                <w:szCs w:val="18"/>
              </w:rPr>
              <w:t>1,58</w:t>
            </w:r>
          </w:p>
        </w:tc>
        <w:tc>
          <w:tcPr>
            <w:tcW w:w="817" w:type="dxa"/>
            <w:tcBorders>
              <w:top w:val="single" w:sz="6" w:space="0" w:color="auto"/>
              <w:left w:val="single" w:sz="6" w:space="0" w:color="auto"/>
              <w:bottom w:val="single" w:sz="6" w:space="0" w:color="auto"/>
              <w:right w:val="single" w:sz="6" w:space="0" w:color="auto"/>
            </w:tcBorders>
          </w:tcPr>
          <w:p w14:paraId="5B73AAE9" w14:textId="77777777" w:rsidR="00CA23D0" w:rsidRPr="00E30642" w:rsidRDefault="00CA23D0" w:rsidP="00CA23D0">
            <w:pPr>
              <w:pStyle w:val="Texttabulky"/>
              <w:jc w:val="both"/>
              <w:rPr>
                <w:rFonts w:cs="Arial"/>
              </w:rPr>
            </w:pPr>
            <w:r w:rsidRPr="00E30642">
              <w:rPr>
                <w:rFonts w:cs="Arial"/>
                <w:sz w:val="18"/>
                <w:szCs w:val="18"/>
              </w:rPr>
              <w:t>-</w:t>
            </w:r>
          </w:p>
        </w:tc>
        <w:tc>
          <w:tcPr>
            <w:tcW w:w="708" w:type="dxa"/>
            <w:tcBorders>
              <w:top w:val="single" w:sz="6" w:space="0" w:color="auto"/>
              <w:left w:val="single" w:sz="6" w:space="0" w:color="auto"/>
              <w:bottom w:val="single" w:sz="6" w:space="0" w:color="auto"/>
              <w:right w:val="single" w:sz="6" w:space="0" w:color="auto"/>
            </w:tcBorders>
          </w:tcPr>
          <w:p w14:paraId="7F70A20E" w14:textId="77777777" w:rsidR="00CA23D0" w:rsidRPr="00E30642" w:rsidRDefault="00CA23D0" w:rsidP="00CA23D0">
            <w:pPr>
              <w:pStyle w:val="Texttabulky"/>
              <w:jc w:val="both"/>
              <w:rPr>
                <w:rFonts w:cs="Arial"/>
              </w:rPr>
            </w:pPr>
            <w:r w:rsidRPr="00E30642">
              <w:rPr>
                <w:rFonts w:cs="Arial"/>
                <w:b/>
                <w:bCs/>
                <w:sz w:val="18"/>
                <w:szCs w:val="18"/>
              </w:rPr>
              <w:t>1,58</w:t>
            </w:r>
          </w:p>
        </w:tc>
        <w:tc>
          <w:tcPr>
            <w:tcW w:w="1161" w:type="dxa"/>
            <w:tcBorders>
              <w:top w:val="single" w:sz="6" w:space="0" w:color="auto"/>
              <w:left w:val="single" w:sz="6" w:space="0" w:color="auto"/>
              <w:bottom w:val="single" w:sz="6" w:space="0" w:color="auto"/>
              <w:right w:val="single" w:sz="6" w:space="0" w:color="auto"/>
            </w:tcBorders>
          </w:tcPr>
          <w:p w14:paraId="1F05F098" w14:textId="77777777" w:rsidR="00CA23D0" w:rsidRPr="00E30642" w:rsidRDefault="00CA23D0" w:rsidP="00CA23D0">
            <w:pPr>
              <w:pStyle w:val="Texttabulky"/>
              <w:jc w:val="both"/>
              <w:rPr>
                <w:rFonts w:cs="Arial"/>
              </w:rPr>
            </w:pPr>
            <w:r w:rsidRPr="00E30642">
              <w:rPr>
                <w:rFonts w:cs="Arial"/>
                <w:sz w:val="18"/>
                <w:szCs w:val="18"/>
              </w:rPr>
              <w:t>1</w:t>
            </w:r>
          </w:p>
        </w:tc>
      </w:tr>
      <w:tr w:rsidR="00CA23D0" w:rsidRPr="00E30642" w14:paraId="0BE406EB" w14:textId="77777777" w:rsidTr="00CA23D0">
        <w:trPr>
          <w:trHeight w:val="411"/>
          <w:jc w:val="center"/>
        </w:trPr>
        <w:tc>
          <w:tcPr>
            <w:tcW w:w="339" w:type="dxa"/>
            <w:tcBorders>
              <w:top w:val="single" w:sz="6" w:space="0" w:color="auto"/>
              <w:left w:val="single" w:sz="6" w:space="0" w:color="auto"/>
              <w:bottom w:val="single" w:sz="6" w:space="0" w:color="auto"/>
              <w:right w:val="single" w:sz="6" w:space="0" w:color="auto"/>
            </w:tcBorders>
          </w:tcPr>
          <w:p w14:paraId="0A702FC9" w14:textId="77777777" w:rsidR="00CA23D0" w:rsidRPr="00E30642" w:rsidRDefault="00CA23D0" w:rsidP="00CA23D0">
            <w:pPr>
              <w:pStyle w:val="Texttabulky"/>
              <w:jc w:val="both"/>
              <w:rPr>
                <w:rFonts w:cs="Arial"/>
              </w:rPr>
            </w:pPr>
            <w:r w:rsidRPr="00E30642">
              <w:rPr>
                <w:rFonts w:cs="Arial"/>
                <w:b/>
                <w:bCs/>
                <w:sz w:val="18"/>
                <w:szCs w:val="18"/>
              </w:rPr>
              <w:t>II</w:t>
            </w:r>
          </w:p>
        </w:tc>
        <w:tc>
          <w:tcPr>
            <w:tcW w:w="1479" w:type="dxa"/>
            <w:tcBorders>
              <w:top w:val="single" w:sz="6" w:space="0" w:color="auto"/>
              <w:left w:val="single" w:sz="6" w:space="0" w:color="auto"/>
              <w:bottom w:val="single" w:sz="6" w:space="0" w:color="auto"/>
              <w:right w:val="single" w:sz="6" w:space="0" w:color="auto"/>
            </w:tcBorders>
          </w:tcPr>
          <w:p w14:paraId="0CE5EEA4" w14:textId="77777777" w:rsidR="00CA23D0" w:rsidRPr="00E30642" w:rsidRDefault="00CA23D0" w:rsidP="00CA23D0">
            <w:pPr>
              <w:pStyle w:val="Texttabulky"/>
              <w:jc w:val="both"/>
              <w:rPr>
                <w:rFonts w:cs="Arial"/>
              </w:rPr>
            </w:pPr>
            <w:r w:rsidRPr="00E30642">
              <w:rPr>
                <w:rFonts w:cs="Arial"/>
                <w:sz w:val="18"/>
                <w:szCs w:val="18"/>
              </w:rPr>
              <w:t xml:space="preserve">Letná - Želenice </w:t>
            </w:r>
          </w:p>
        </w:tc>
        <w:tc>
          <w:tcPr>
            <w:tcW w:w="508" w:type="dxa"/>
            <w:tcBorders>
              <w:top w:val="single" w:sz="6" w:space="0" w:color="auto"/>
              <w:left w:val="single" w:sz="6" w:space="0" w:color="auto"/>
              <w:bottom w:val="single" w:sz="6" w:space="0" w:color="auto"/>
              <w:right w:val="single" w:sz="6" w:space="0" w:color="auto"/>
            </w:tcBorders>
          </w:tcPr>
          <w:p w14:paraId="6C00BB07" w14:textId="77777777" w:rsidR="00CA23D0" w:rsidRPr="00E30642" w:rsidRDefault="00CA23D0" w:rsidP="00CA23D0">
            <w:pPr>
              <w:pStyle w:val="Texttabulky"/>
              <w:jc w:val="both"/>
              <w:rPr>
                <w:rFonts w:cs="Arial"/>
              </w:rPr>
            </w:pPr>
            <w:r w:rsidRPr="00E30642">
              <w:rPr>
                <w:rFonts w:cs="Arial"/>
                <w:sz w:val="18"/>
                <w:szCs w:val="18"/>
              </w:rPr>
              <w:t>13,55</w:t>
            </w:r>
          </w:p>
        </w:tc>
        <w:tc>
          <w:tcPr>
            <w:tcW w:w="395" w:type="dxa"/>
            <w:tcBorders>
              <w:top w:val="single" w:sz="6" w:space="0" w:color="auto"/>
              <w:left w:val="single" w:sz="6" w:space="0" w:color="auto"/>
              <w:bottom w:val="single" w:sz="6" w:space="0" w:color="auto"/>
              <w:right w:val="single" w:sz="6" w:space="0" w:color="auto"/>
            </w:tcBorders>
          </w:tcPr>
          <w:p w14:paraId="7313F73F" w14:textId="77777777" w:rsidR="00CA23D0" w:rsidRPr="00E30642" w:rsidRDefault="00CA23D0" w:rsidP="00CA23D0">
            <w:pPr>
              <w:pStyle w:val="Zkladntext"/>
              <w:jc w:val="both"/>
              <w:rPr>
                <w:rFonts w:ascii="Arial" w:hAnsi="Arial" w:cs="Arial"/>
                <w:highlight w:val="yellow"/>
              </w:rPr>
            </w:pPr>
          </w:p>
        </w:tc>
        <w:tc>
          <w:tcPr>
            <w:tcW w:w="438" w:type="dxa"/>
            <w:tcBorders>
              <w:top w:val="single" w:sz="6" w:space="0" w:color="auto"/>
              <w:left w:val="single" w:sz="6" w:space="0" w:color="auto"/>
              <w:bottom w:val="single" w:sz="6" w:space="0" w:color="auto"/>
              <w:right w:val="single" w:sz="6" w:space="0" w:color="auto"/>
            </w:tcBorders>
          </w:tcPr>
          <w:p w14:paraId="600127E4" w14:textId="77777777" w:rsidR="00CA23D0" w:rsidRPr="00E30642" w:rsidRDefault="00CA23D0" w:rsidP="00CA23D0">
            <w:pPr>
              <w:pStyle w:val="Texttabulky"/>
              <w:jc w:val="both"/>
              <w:rPr>
                <w:rFonts w:cs="Arial"/>
              </w:rPr>
            </w:pPr>
            <w:r w:rsidRPr="00E30642">
              <w:rPr>
                <w:rFonts w:cs="Arial"/>
                <w:sz w:val="18"/>
                <w:szCs w:val="18"/>
              </w:rPr>
              <w:t>17,16</w:t>
            </w:r>
          </w:p>
        </w:tc>
        <w:tc>
          <w:tcPr>
            <w:tcW w:w="480" w:type="dxa"/>
            <w:tcBorders>
              <w:top w:val="single" w:sz="6" w:space="0" w:color="auto"/>
              <w:left w:val="single" w:sz="6" w:space="0" w:color="auto"/>
              <w:bottom w:val="single" w:sz="6" w:space="0" w:color="auto"/>
              <w:right w:val="single" w:sz="6" w:space="0" w:color="auto"/>
            </w:tcBorders>
          </w:tcPr>
          <w:p w14:paraId="27644759" w14:textId="77777777" w:rsidR="00CA23D0" w:rsidRPr="00E30642" w:rsidRDefault="00CA23D0" w:rsidP="00CA23D0">
            <w:pPr>
              <w:pStyle w:val="Texttabulky"/>
              <w:jc w:val="both"/>
              <w:rPr>
                <w:rFonts w:cs="Arial"/>
              </w:rPr>
            </w:pPr>
            <w:r w:rsidRPr="00E30642">
              <w:rPr>
                <w:rFonts w:cs="Arial"/>
                <w:sz w:val="18"/>
                <w:szCs w:val="18"/>
              </w:rPr>
              <w:t>-</w:t>
            </w:r>
          </w:p>
        </w:tc>
        <w:tc>
          <w:tcPr>
            <w:tcW w:w="436" w:type="dxa"/>
            <w:tcBorders>
              <w:top w:val="single" w:sz="6" w:space="0" w:color="auto"/>
              <w:left w:val="single" w:sz="6" w:space="0" w:color="auto"/>
              <w:bottom w:val="single" w:sz="6" w:space="0" w:color="auto"/>
              <w:right w:val="single" w:sz="6" w:space="0" w:color="auto"/>
            </w:tcBorders>
          </w:tcPr>
          <w:p w14:paraId="4D11DBED" w14:textId="77777777" w:rsidR="00CA23D0" w:rsidRPr="00E30642" w:rsidRDefault="00CA23D0" w:rsidP="00CA23D0">
            <w:pPr>
              <w:pStyle w:val="Zkladntext"/>
              <w:jc w:val="both"/>
              <w:rPr>
                <w:rFonts w:ascii="Arial" w:hAnsi="Arial" w:cs="Arial"/>
              </w:rPr>
            </w:pPr>
          </w:p>
        </w:tc>
        <w:tc>
          <w:tcPr>
            <w:tcW w:w="488" w:type="dxa"/>
            <w:tcBorders>
              <w:top w:val="single" w:sz="6" w:space="0" w:color="auto"/>
              <w:left w:val="single" w:sz="6" w:space="0" w:color="auto"/>
              <w:bottom w:val="single" w:sz="6" w:space="0" w:color="auto"/>
              <w:right w:val="single" w:sz="6" w:space="0" w:color="auto"/>
            </w:tcBorders>
          </w:tcPr>
          <w:p w14:paraId="412EEE96" w14:textId="77777777" w:rsidR="00CA23D0" w:rsidRPr="00E30642" w:rsidRDefault="00CA23D0" w:rsidP="00CA23D0">
            <w:pPr>
              <w:pStyle w:val="Texttabulky"/>
              <w:jc w:val="both"/>
              <w:rPr>
                <w:rFonts w:cs="Arial"/>
              </w:rPr>
            </w:pPr>
            <w:r w:rsidRPr="00E30642">
              <w:rPr>
                <w:rFonts w:cs="Arial"/>
                <w:sz w:val="18"/>
                <w:szCs w:val="18"/>
              </w:rPr>
              <w:t>-</w:t>
            </w:r>
          </w:p>
        </w:tc>
        <w:tc>
          <w:tcPr>
            <w:tcW w:w="494" w:type="dxa"/>
            <w:tcBorders>
              <w:top w:val="single" w:sz="6" w:space="0" w:color="auto"/>
              <w:left w:val="single" w:sz="6" w:space="0" w:color="auto"/>
              <w:bottom w:val="single" w:sz="6" w:space="0" w:color="auto"/>
              <w:right w:val="single" w:sz="6" w:space="0" w:color="auto"/>
            </w:tcBorders>
          </w:tcPr>
          <w:p w14:paraId="4083C204" w14:textId="77777777" w:rsidR="00CA23D0" w:rsidRPr="00E30642" w:rsidRDefault="00CA23D0" w:rsidP="00CA23D0">
            <w:pPr>
              <w:pStyle w:val="Texttabulky"/>
              <w:jc w:val="both"/>
              <w:rPr>
                <w:rFonts w:cs="Arial"/>
              </w:rPr>
            </w:pPr>
            <w:r w:rsidRPr="00E30642">
              <w:rPr>
                <w:rFonts w:cs="Arial"/>
                <w:sz w:val="18"/>
                <w:szCs w:val="18"/>
              </w:rPr>
              <w:t>1,69</w:t>
            </w:r>
          </w:p>
        </w:tc>
        <w:tc>
          <w:tcPr>
            <w:tcW w:w="358" w:type="dxa"/>
            <w:tcBorders>
              <w:top w:val="single" w:sz="6" w:space="0" w:color="auto"/>
              <w:left w:val="single" w:sz="6" w:space="0" w:color="auto"/>
              <w:bottom w:val="single" w:sz="6" w:space="0" w:color="auto"/>
              <w:right w:val="single" w:sz="6" w:space="0" w:color="auto"/>
            </w:tcBorders>
          </w:tcPr>
          <w:p w14:paraId="19B6DEE9" w14:textId="77777777" w:rsidR="00CA23D0" w:rsidRPr="00E30642" w:rsidRDefault="00CA23D0" w:rsidP="00CA23D0">
            <w:pPr>
              <w:pStyle w:val="Zkladntext"/>
              <w:jc w:val="both"/>
              <w:rPr>
                <w:rFonts w:ascii="Arial" w:hAnsi="Arial" w:cs="Arial"/>
              </w:rPr>
            </w:pPr>
          </w:p>
        </w:tc>
        <w:tc>
          <w:tcPr>
            <w:tcW w:w="399" w:type="dxa"/>
            <w:tcBorders>
              <w:top w:val="single" w:sz="6" w:space="0" w:color="auto"/>
              <w:left w:val="single" w:sz="6" w:space="0" w:color="auto"/>
              <w:bottom w:val="single" w:sz="6" w:space="0" w:color="auto"/>
              <w:right w:val="single" w:sz="6" w:space="0" w:color="auto"/>
            </w:tcBorders>
          </w:tcPr>
          <w:p w14:paraId="179240C0" w14:textId="77777777" w:rsidR="00CA23D0" w:rsidRPr="00E30642" w:rsidRDefault="00CA23D0" w:rsidP="00CA23D0">
            <w:pPr>
              <w:pStyle w:val="Texttabulky"/>
              <w:jc w:val="both"/>
              <w:rPr>
                <w:rFonts w:cs="Arial"/>
              </w:rPr>
            </w:pPr>
            <w:r w:rsidRPr="00E30642">
              <w:rPr>
                <w:rFonts w:cs="Arial"/>
                <w:sz w:val="18"/>
                <w:szCs w:val="18"/>
              </w:rPr>
              <w:t>-</w:t>
            </w:r>
          </w:p>
        </w:tc>
        <w:tc>
          <w:tcPr>
            <w:tcW w:w="678" w:type="dxa"/>
            <w:tcBorders>
              <w:top w:val="single" w:sz="6" w:space="0" w:color="auto"/>
              <w:left w:val="single" w:sz="6" w:space="0" w:color="auto"/>
              <w:bottom w:val="single" w:sz="6" w:space="0" w:color="auto"/>
              <w:right w:val="single" w:sz="6" w:space="0" w:color="auto"/>
            </w:tcBorders>
          </w:tcPr>
          <w:p w14:paraId="60CAD0C0" w14:textId="77777777" w:rsidR="00CA23D0" w:rsidRPr="00E30642" w:rsidRDefault="00CA23D0" w:rsidP="00CA23D0">
            <w:pPr>
              <w:pStyle w:val="Texttabulky"/>
              <w:jc w:val="both"/>
              <w:rPr>
                <w:rFonts w:cs="Arial"/>
              </w:rPr>
            </w:pPr>
            <w:r w:rsidRPr="00E30642">
              <w:rPr>
                <w:rFonts w:cs="Arial"/>
                <w:sz w:val="18"/>
                <w:szCs w:val="18"/>
              </w:rPr>
              <w:t>15,24</w:t>
            </w:r>
          </w:p>
        </w:tc>
        <w:tc>
          <w:tcPr>
            <w:tcW w:w="817" w:type="dxa"/>
            <w:tcBorders>
              <w:top w:val="single" w:sz="6" w:space="0" w:color="auto"/>
              <w:left w:val="single" w:sz="6" w:space="0" w:color="auto"/>
              <w:bottom w:val="single" w:sz="6" w:space="0" w:color="auto"/>
              <w:right w:val="single" w:sz="6" w:space="0" w:color="auto"/>
            </w:tcBorders>
          </w:tcPr>
          <w:p w14:paraId="5FB74F22" w14:textId="77777777" w:rsidR="00CA23D0" w:rsidRPr="00E30642" w:rsidRDefault="00CA23D0" w:rsidP="00CA23D0">
            <w:pPr>
              <w:pStyle w:val="Texttabulky"/>
              <w:jc w:val="both"/>
              <w:rPr>
                <w:rFonts w:cs="Arial"/>
              </w:rPr>
            </w:pPr>
            <w:r w:rsidRPr="00E30642">
              <w:rPr>
                <w:rFonts w:cs="Arial"/>
                <w:sz w:val="18"/>
                <w:szCs w:val="18"/>
              </w:rPr>
              <w:t>17,16</w:t>
            </w:r>
          </w:p>
        </w:tc>
        <w:tc>
          <w:tcPr>
            <w:tcW w:w="708" w:type="dxa"/>
            <w:tcBorders>
              <w:top w:val="single" w:sz="6" w:space="0" w:color="auto"/>
              <w:left w:val="single" w:sz="6" w:space="0" w:color="auto"/>
              <w:bottom w:val="single" w:sz="6" w:space="0" w:color="auto"/>
              <w:right w:val="single" w:sz="6" w:space="0" w:color="auto"/>
            </w:tcBorders>
          </w:tcPr>
          <w:p w14:paraId="1663AF15" w14:textId="77777777" w:rsidR="00CA23D0" w:rsidRPr="00E30642" w:rsidRDefault="00CA23D0" w:rsidP="00CA23D0">
            <w:pPr>
              <w:pStyle w:val="Texttabulky"/>
              <w:jc w:val="both"/>
              <w:rPr>
                <w:rFonts w:cs="Arial"/>
              </w:rPr>
            </w:pPr>
            <w:r w:rsidRPr="00E30642">
              <w:rPr>
                <w:rFonts w:cs="Arial"/>
                <w:b/>
                <w:bCs/>
                <w:sz w:val="18"/>
                <w:szCs w:val="18"/>
              </w:rPr>
              <w:t xml:space="preserve"> 32,40</w:t>
            </w:r>
          </w:p>
        </w:tc>
        <w:tc>
          <w:tcPr>
            <w:tcW w:w="1161" w:type="dxa"/>
            <w:tcBorders>
              <w:top w:val="single" w:sz="6" w:space="0" w:color="auto"/>
              <w:left w:val="single" w:sz="6" w:space="0" w:color="auto"/>
              <w:bottom w:val="single" w:sz="6" w:space="0" w:color="auto"/>
              <w:right w:val="single" w:sz="6" w:space="0" w:color="auto"/>
            </w:tcBorders>
          </w:tcPr>
          <w:p w14:paraId="09408968" w14:textId="77777777" w:rsidR="00CA23D0" w:rsidRPr="00E30642" w:rsidRDefault="00CA23D0" w:rsidP="00CA23D0">
            <w:pPr>
              <w:pStyle w:val="Texttabulky"/>
              <w:jc w:val="both"/>
              <w:rPr>
                <w:rFonts w:cs="Arial"/>
              </w:rPr>
            </w:pPr>
            <w:r w:rsidRPr="00E30642">
              <w:rPr>
                <w:rFonts w:cs="Arial"/>
                <w:sz w:val="18"/>
                <w:szCs w:val="18"/>
              </w:rPr>
              <w:t>19</w:t>
            </w:r>
          </w:p>
        </w:tc>
      </w:tr>
      <w:tr w:rsidR="00CA23D0" w:rsidRPr="00E30642" w14:paraId="3CB610F0" w14:textId="77777777" w:rsidTr="00CA23D0">
        <w:trPr>
          <w:trHeight w:val="424"/>
          <w:jc w:val="center"/>
        </w:trPr>
        <w:tc>
          <w:tcPr>
            <w:tcW w:w="339" w:type="dxa"/>
            <w:tcBorders>
              <w:top w:val="single" w:sz="6" w:space="0" w:color="auto"/>
              <w:left w:val="single" w:sz="6" w:space="0" w:color="auto"/>
              <w:bottom w:val="single" w:sz="6" w:space="0" w:color="auto"/>
              <w:right w:val="single" w:sz="6" w:space="0" w:color="auto"/>
            </w:tcBorders>
          </w:tcPr>
          <w:p w14:paraId="45EA1853" w14:textId="77777777" w:rsidR="00CA23D0" w:rsidRPr="00E30642" w:rsidRDefault="00CA23D0" w:rsidP="00CA23D0">
            <w:pPr>
              <w:pStyle w:val="Texttabulky"/>
              <w:jc w:val="both"/>
              <w:rPr>
                <w:rFonts w:cs="Arial"/>
              </w:rPr>
            </w:pPr>
            <w:r w:rsidRPr="00E30642">
              <w:rPr>
                <w:rFonts w:cs="Arial"/>
                <w:b/>
                <w:bCs/>
                <w:sz w:val="18"/>
                <w:szCs w:val="18"/>
              </w:rPr>
              <w:t>III</w:t>
            </w:r>
          </w:p>
        </w:tc>
        <w:tc>
          <w:tcPr>
            <w:tcW w:w="1479" w:type="dxa"/>
            <w:tcBorders>
              <w:top w:val="single" w:sz="6" w:space="0" w:color="auto"/>
              <w:left w:val="single" w:sz="6" w:space="0" w:color="auto"/>
              <w:bottom w:val="single" w:sz="6" w:space="0" w:color="auto"/>
              <w:right w:val="single" w:sz="6" w:space="0" w:color="auto"/>
            </w:tcBorders>
          </w:tcPr>
          <w:p w14:paraId="40B3EF69" w14:textId="77777777" w:rsidR="00CA23D0" w:rsidRPr="00E30642" w:rsidRDefault="00CA23D0" w:rsidP="00CA23D0">
            <w:pPr>
              <w:pStyle w:val="Texttabulky"/>
              <w:jc w:val="both"/>
              <w:rPr>
                <w:rFonts w:cs="Arial"/>
              </w:rPr>
            </w:pPr>
            <w:r w:rsidRPr="00E30642">
              <w:rPr>
                <w:rFonts w:cs="Arial"/>
                <w:sz w:val="18"/>
                <w:szCs w:val="18"/>
              </w:rPr>
              <w:t xml:space="preserve">Chrochvice - Vilsnice </w:t>
            </w:r>
          </w:p>
        </w:tc>
        <w:tc>
          <w:tcPr>
            <w:tcW w:w="508" w:type="dxa"/>
            <w:tcBorders>
              <w:top w:val="single" w:sz="6" w:space="0" w:color="auto"/>
              <w:left w:val="single" w:sz="6" w:space="0" w:color="auto"/>
              <w:bottom w:val="single" w:sz="6" w:space="0" w:color="auto"/>
              <w:right w:val="single" w:sz="6" w:space="0" w:color="auto"/>
            </w:tcBorders>
          </w:tcPr>
          <w:p w14:paraId="51F45F04" w14:textId="77777777" w:rsidR="00CA23D0" w:rsidRPr="00E30642" w:rsidRDefault="00CA23D0" w:rsidP="00CA23D0">
            <w:pPr>
              <w:pStyle w:val="Texttabulky"/>
              <w:jc w:val="both"/>
              <w:rPr>
                <w:rFonts w:cs="Arial"/>
              </w:rPr>
            </w:pPr>
            <w:r w:rsidRPr="00E30642">
              <w:rPr>
                <w:rFonts w:cs="Arial"/>
                <w:sz w:val="18"/>
                <w:szCs w:val="18"/>
              </w:rPr>
              <w:t>4,24</w:t>
            </w:r>
          </w:p>
        </w:tc>
        <w:tc>
          <w:tcPr>
            <w:tcW w:w="395" w:type="dxa"/>
            <w:tcBorders>
              <w:top w:val="single" w:sz="6" w:space="0" w:color="auto"/>
              <w:left w:val="single" w:sz="6" w:space="0" w:color="auto"/>
              <w:bottom w:val="single" w:sz="6" w:space="0" w:color="auto"/>
              <w:right w:val="single" w:sz="6" w:space="0" w:color="auto"/>
            </w:tcBorders>
          </w:tcPr>
          <w:p w14:paraId="26EE0E6C" w14:textId="77777777" w:rsidR="00CA23D0" w:rsidRPr="00E30642" w:rsidRDefault="00CA23D0" w:rsidP="00CA23D0">
            <w:pPr>
              <w:pStyle w:val="Zkladntext"/>
              <w:jc w:val="both"/>
              <w:rPr>
                <w:rFonts w:ascii="Arial" w:hAnsi="Arial" w:cs="Arial"/>
                <w:highlight w:val="yellow"/>
              </w:rPr>
            </w:pPr>
          </w:p>
        </w:tc>
        <w:tc>
          <w:tcPr>
            <w:tcW w:w="438" w:type="dxa"/>
            <w:tcBorders>
              <w:top w:val="single" w:sz="6" w:space="0" w:color="auto"/>
              <w:left w:val="single" w:sz="6" w:space="0" w:color="auto"/>
              <w:bottom w:val="single" w:sz="6" w:space="0" w:color="auto"/>
              <w:right w:val="single" w:sz="6" w:space="0" w:color="auto"/>
            </w:tcBorders>
          </w:tcPr>
          <w:p w14:paraId="15AC0347" w14:textId="77777777" w:rsidR="00CA23D0" w:rsidRPr="00E30642" w:rsidRDefault="00CA23D0" w:rsidP="00CA23D0">
            <w:pPr>
              <w:pStyle w:val="Texttabulky"/>
              <w:jc w:val="both"/>
              <w:rPr>
                <w:rFonts w:cs="Arial"/>
              </w:rPr>
            </w:pPr>
            <w:r w:rsidRPr="00E30642">
              <w:rPr>
                <w:rFonts w:cs="Arial"/>
                <w:sz w:val="18"/>
                <w:szCs w:val="18"/>
              </w:rPr>
              <w:t>20,71</w:t>
            </w:r>
          </w:p>
        </w:tc>
        <w:tc>
          <w:tcPr>
            <w:tcW w:w="480" w:type="dxa"/>
            <w:tcBorders>
              <w:top w:val="single" w:sz="6" w:space="0" w:color="auto"/>
              <w:left w:val="single" w:sz="6" w:space="0" w:color="auto"/>
              <w:bottom w:val="single" w:sz="6" w:space="0" w:color="auto"/>
              <w:right w:val="single" w:sz="6" w:space="0" w:color="auto"/>
            </w:tcBorders>
          </w:tcPr>
          <w:p w14:paraId="03067D8F" w14:textId="77777777" w:rsidR="00CA23D0" w:rsidRPr="00E30642" w:rsidRDefault="00CA23D0" w:rsidP="00CA23D0">
            <w:pPr>
              <w:pStyle w:val="Texttabulky"/>
              <w:jc w:val="both"/>
              <w:rPr>
                <w:rFonts w:cs="Arial"/>
              </w:rPr>
            </w:pPr>
            <w:r w:rsidRPr="00E30642">
              <w:rPr>
                <w:rFonts w:cs="Arial"/>
                <w:sz w:val="18"/>
                <w:szCs w:val="18"/>
              </w:rPr>
              <w:t>-</w:t>
            </w:r>
          </w:p>
        </w:tc>
        <w:tc>
          <w:tcPr>
            <w:tcW w:w="436" w:type="dxa"/>
            <w:tcBorders>
              <w:top w:val="single" w:sz="6" w:space="0" w:color="auto"/>
              <w:left w:val="single" w:sz="6" w:space="0" w:color="auto"/>
              <w:bottom w:val="single" w:sz="6" w:space="0" w:color="auto"/>
              <w:right w:val="single" w:sz="6" w:space="0" w:color="auto"/>
            </w:tcBorders>
          </w:tcPr>
          <w:p w14:paraId="2B0B845B" w14:textId="77777777" w:rsidR="00CA23D0" w:rsidRPr="00E30642" w:rsidRDefault="00CA23D0" w:rsidP="00CA23D0">
            <w:pPr>
              <w:pStyle w:val="Zkladntext"/>
              <w:jc w:val="both"/>
              <w:rPr>
                <w:rFonts w:ascii="Arial" w:hAnsi="Arial" w:cs="Arial"/>
              </w:rPr>
            </w:pPr>
          </w:p>
        </w:tc>
        <w:tc>
          <w:tcPr>
            <w:tcW w:w="488" w:type="dxa"/>
            <w:tcBorders>
              <w:top w:val="single" w:sz="6" w:space="0" w:color="auto"/>
              <w:left w:val="single" w:sz="6" w:space="0" w:color="auto"/>
              <w:bottom w:val="single" w:sz="6" w:space="0" w:color="auto"/>
              <w:right w:val="single" w:sz="6" w:space="0" w:color="auto"/>
            </w:tcBorders>
          </w:tcPr>
          <w:p w14:paraId="73E173BF" w14:textId="77777777" w:rsidR="00CA23D0" w:rsidRPr="00E30642" w:rsidRDefault="00CA23D0" w:rsidP="00CA23D0">
            <w:pPr>
              <w:pStyle w:val="Texttabulky"/>
              <w:jc w:val="both"/>
              <w:rPr>
                <w:rFonts w:cs="Arial"/>
              </w:rPr>
            </w:pPr>
            <w:r w:rsidRPr="00E30642">
              <w:rPr>
                <w:rFonts w:cs="Arial"/>
                <w:sz w:val="18"/>
                <w:szCs w:val="18"/>
              </w:rPr>
              <w:t>-</w:t>
            </w:r>
          </w:p>
        </w:tc>
        <w:tc>
          <w:tcPr>
            <w:tcW w:w="494" w:type="dxa"/>
            <w:tcBorders>
              <w:top w:val="single" w:sz="6" w:space="0" w:color="auto"/>
              <w:left w:val="single" w:sz="6" w:space="0" w:color="auto"/>
              <w:bottom w:val="single" w:sz="6" w:space="0" w:color="auto"/>
              <w:right w:val="single" w:sz="6" w:space="0" w:color="auto"/>
            </w:tcBorders>
          </w:tcPr>
          <w:p w14:paraId="2B224B51" w14:textId="77777777" w:rsidR="00CA23D0" w:rsidRPr="00E30642" w:rsidRDefault="00CA23D0" w:rsidP="00CA23D0">
            <w:pPr>
              <w:pStyle w:val="Texttabulky"/>
              <w:jc w:val="both"/>
              <w:rPr>
                <w:rFonts w:cs="Arial"/>
              </w:rPr>
            </w:pPr>
            <w:r w:rsidRPr="00E30642">
              <w:rPr>
                <w:rFonts w:cs="Arial"/>
                <w:sz w:val="18"/>
                <w:szCs w:val="18"/>
              </w:rPr>
              <w:t>-</w:t>
            </w:r>
          </w:p>
        </w:tc>
        <w:tc>
          <w:tcPr>
            <w:tcW w:w="358" w:type="dxa"/>
            <w:tcBorders>
              <w:top w:val="single" w:sz="6" w:space="0" w:color="auto"/>
              <w:left w:val="single" w:sz="6" w:space="0" w:color="auto"/>
              <w:bottom w:val="single" w:sz="6" w:space="0" w:color="auto"/>
              <w:right w:val="single" w:sz="6" w:space="0" w:color="auto"/>
            </w:tcBorders>
          </w:tcPr>
          <w:p w14:paraId="5DB02FAD" w14:textId="77777777" w:rsidR="00CA23D0" w:rsidRPr="00E30642" w:rsidRDefault="00CA23D0" w:rsidP="00CA23D0">
            <w:pPr>
              <w:pStyle w:val="Zkladntext"/>
              <w:jc w:val="both"/>
              <w:rPr>
                <w:rFonts w:ascii="Arial" w:hAnsi="Arial" w:cs="Arial"/>
              </w:rPr>
            </w:pPr>
          </w:p>
        </w:tc>
        <w:tc>
          <w:tcPr>
            <w:tcW w:w="399" w:type="dxa"/>
            <w:tcBorders>
              <w:top w:val="single" w:sz="6" w:space="0" w:color="auto"/>
              <w:left w:val="single" w:sz="6" w:space="0" w:color="auto"/>
              <w:bottom w:val="single" w:sz="6" w:space="0" w:color="auto"/>
              <w:right w:val="single" w:sz="6" w:space="0" w:color="auto"/>
            </w:tcBorders>
          </w:tcPr>
          <w:p w14:paraId="4B21E41A" w14:textId="77777777" w:rsidR="00CA23D0" w:rsidRPr="00E30642" w:rsidRDefault="00CA23D0" w:rsidP="00CA23D0">
            <w:pPr>
              <w:pStyle w:val="Texttabulky"/>
              <w:jc w:val="both"/>
              <w:rPr>
                <w:rFonts w:cs="Arial"/>
              </w:rPr>
            </w:pPr>
            <w:r w:rsidRPr="00E30642">
              <w:rPr>
                <w:rFonts w:cs="Arial"/>
                <w:sz w:val="18"/>
                <w:szCs w:val="18"/>
              </w:rPr>
              <w:t>-</w:t>
            </w:r>
          </w:p>
        </w:tc>
        <w:tc>
          <w:tcPr>
            <w:tcW w:w="678" w:type="dxa"/>
            <w:tcBorders>
              <w:top w:val="single" w:sz="6" w:space="0" w:color="auto"/>
              <w:left w:val="single" w:sz="6" w:space="0" w:color="auto"/>
              <w:bottom w:val="single" w:sz="6" w:space="0" w:color="auto"/>
              <w:right w:val="single" w:sz="6" w:space="0" w:color="auto"/>
            </w:tcBorders>
          </w:tcPr>
          <w:p w14:paraId="6E3894A1" w14:textId="77777777" w:rsidR="00CA23D0" w:rsidRPr="00E30642" w:rsidRDefault="00CA23D0" w:rsidP="00CA23D0">
            <w:pPr>
              <w:pStyle w:val="Texttabulky"/>
              <w:jc w:val="both"/>
              <w:rPr>
                <w:rFonts w:cs="Arial"/>
              </w:rPr>
            </w:pPr>
            <w:r w:rsidRPr="00E30642">
              <w:rPr>
                <w:rFonts w:cs="Arial"/>
                <w:sz w:val="18"/>
                <w:szCs w:val="18"/>
              </w:rPr>
              <w:t>4,24</w:t>
            </w:r>
          </w:p>
        </w:tc>
        <w:tc>
          <w:tcPr>
            <w:tcW w:w="817" w:type="dxa"/>
            <w:tcBorders>
              <w:top w:val="single" w:sz="6" w:space="0" w:color="auto"/>
              <w:left w:val="single" w:sz="6" w:space="0" w:color="auto"/>
              <w:bottom w:val="single" w:sz="6" w:space="0" w:color="auto"/>
              <w:right w:val="single" w:sz="6" w:space="0" w:color="auto"/>
            </w:tcBorders>
          </w:tcPr>
          <w:p w14:paraId="0BAAE6DE" w14:textId="77777777" w:rsidR="00CA23D0" w:rsidRPr="00E30642" w:rsidRDefault="00CA23D0" w:rsidP="00CA23D0">
            <w:pPr>
              <w:pStyle w:val="Texttabulky"/>
              <w:jc w:val="both"/>
              <w:rPr>
                <w:rFonts w:cs="Arial"/>
              </w:rPr>
            </w:pPr>
            <w:r w:rsidRPr="00E30642">
              <w:rPr>
                <w:rFonts w:cs="Arial"/>
                <w:sz w:val="18"/>
                <w:szCs w:val="18"/>
              </w:rPr>
              <w:t>20,71</w:t>
            </w:r>
          </w:p>
        </w:tc>
        <w:tc>
          <w:tcPr>
            <w:tcW w:w="708" w:type="dxa"/>
            <w:tcBorders>
              <w:top w:val="single" w:sz="6" w:space="0" w:color="auto"/>
              <w:left w:val="single" w:sz="6" w:space="0" w:color="auto"/>
              <w:bottom w:val="single" w:sz="6" w:space="0" w:color="auto"/>
              <w:right w:val="single" w:sz="6" w:space="0" w:color="auto"/>
            </w:tcBorders>
          </w:tcPr>
          <w:p w14:paraId="36678839" w14:textId="77777777" w:rsidR="00CA23D0" w:rsidRPr="00E30642" w:rsidRDefault="00CA23D0" w:rsidP="00CA23D0">
            <w:pPr>
              <w:pStyle w:val="Texttabulky"/>
              <w:jc w:val="both"/>
              <w:rPr>
                <w:rFonts w:cs="Arial"/>
              </w:rPr>
            </w:pPr>
            <w:r w:rsidRPr="00E30642">
              <w:rPr>
                <w:rFonts w:cs="Arial"/>
                <w:b/>
                <w:bCs/>
                <w:sz w:val="18"/>
                <w:szCs w:val="18"/>
              </w:rPr>
              <w:t>24,95</w:t>
            </w:r>
          </w:p>
        </w:tc>
        <w:tc>
          <w:tcPr>
            <w:tcW w:w="1161" w:type="dxa"/>
            <w:tcBorders>
              <w:top w:val="single" w:sz="6" w:space="0" w:color="auto"/>
              <w:left w:val="single" w:sz="6" w:space="0" w:color="auto"/>
              <w:bottom w:val="single" w:sz="6" w:space="0" w:color="auto"/>
              <w:right w:val="single" w:sz="6" w:space="0" w:color="auto"/>
            </w:tcBorders>
          </w:tcPr>
          <w:p w14:paraId="3CE1C7AD" w14:textId="77777777" w:rsidR="00CA23D0" w:rsidRPr="00E30642" w:rsidRDefault="00CA23D0" w:rsidP="00CA23D0">
            <w:pPr>
              <w:pStyle w:val="Texttabulky"/>
              <w:jc w:val="both"/>
              <w:rPr>
                <w:rFonts w:cs="Arial"/>
              </w:rPr>
            </w:pPr>
            <w:r w:rsidRPr="00E30642">
              <w:rPr>
                <w:rFonts w:cs="Arial"/>
                <w:sz w:val="18"/>
                <w:szCs w:val="18"/>
              </w:rPr>
              <w:t>15</w:t>
            </w:r>
          </w:p>
        </w:tc>
      </w:tr>
      <w:tr w:rsidR="00CA23D0" w:rsidRPr="00E30642" w14:paraId="211083E7" w14:textId="77777777" w:rsidTr="00CA23D0">
        <w:trPr>
          <w:trHeight w:val="411"/>
          <w:jc w:val="center"/>
        </w:trPr>
        <w:tc>
          <w:tcPr>
            <w:tcW w:w="339" w:type="dxa"/>
            <w:tcBorders>
              <w:top w:val="single" w:sz="6" w:space="0" w:color="auto"/>
              <w:left w:val="single" w:sz="6" w:space="0" w:color="auto"/>
              <w:bottom w:val="single" w:sz="6" w:space="0" w:color="auto"/>
              <w:right w:val="single" w:sz="6" w:space="0" w:color="auto"/>
            </w:tcBorders>
          </w:tcPr>
          <w:p w14:paraId="2FB49FE7" w14:textId="77777777" w:rsidR="00CA23D0" w:rsidRPr="00E30642" w:rsidRDefault="00CA23D0" w:rsidP="00CA23D0">
            <w:pPr>
              <w:pStyle w:val="Texttabulky"/>
              <w:jc w:val="both"/>
              <w:rPr>
                <w:rFonts w:cs="Arial"/>
              </w:rPr>
            </w:pPr>
            <w:r w:rsidRPr="00E30642">
              <w:rPr>
                <w:rFonts w:cs="Arial"/>
                <w:b/>
                <w:bCs/>
                <w:sz w:val="18"/>
                <w:szCs w:val="18"/>
              </w:rPr>
              <w:t>IV</w:t>
            </w:r>
          </w:p>
        </w:tc>
        <w:tc>
          <w:tcPr>
            <w:tcW w:w="1479" w:type="dxa"/>
            <w:tcBorders>
              <w:top w:val="single" w:sz="6" w:space="0" w:color="auto"/>
              <w:left w:val="single" w:sz="6" w:space="0" w:color="auto"/>
              <w:bottom w:val="single" w:sz="6" w:space="0" w:color="auto"/>
              <w:right w:val="single" w:sz="6" w:space="0" w:color="auto"/>
            </w:tcBorders>
          </w:tcPr>
          <w:p w14:paraId="3F673D28" w14:textId="77777777" w:rsidR="00CA23D0" w:rsidRPr="00E30642" w:rsidRDefault="00CA23D0" w:rsidP="00CA23D0">
            <w:pPr>
              <w:pStyle w:val="Texttabulky"/>
              <w:jc w:val="both"/>
              <w:rPr>
                <w:rFonts w:cs="Arial"/>
              </w:rPr>
            </w:pPr>
            <w:r w:rsidRPr="00E30642">
              <w:rPr>
                <w:rFonts w:cs="Arial"/>
                <w:sz w:val="18"/>
                <w:szCs w:val="18"/>
              </w:rPr>
              <w:t xml:space="preserve">Bynov - Oldřichov </w:t>
            </w:r>
          </w:p>
        </w:tc>
        <w:tc>
          <w:tcPr>
            <w:tcW w:w="508" w:type="dxa"/>
            <w:tcBorders>
              <w:top w:val="single" w:sz="6" w:space="0" w:color="auto"/>
              <w:left w:val="single" w:sz="6" w:space="0" w:color="auto"/>
              <w:bottom w:val="single" w:sz="6" w:space="0" w:color="auto"/>
              <w:right w:val="single" w:sz="6" w:space="0" w:color="auto"/>
            </w:tcBorders>
          </w:tcPr>
          <w:p w14:paraId="76A1F202" w14:textId="77777777" w:rsidR="00CA23D0" w:rsidRPr="00E30642" w:rsidRDefault="00CA23D0" w:rsidP="00CA23D0">
            <w:pPr>
              <w:pStyle w:val="Texttabulky"/>
              <w:jc w:val="both"/>
              <w:rPr>
                <w:rFonts w:cs="Arial"/>
              </w:rPr>
            </w:pPr>
            <w:r w:rsidRPr="00E30642">
              <w:rPr>
                <w:rFonts w:cs="Arial"/>
                <w:sz w:val="18"/>
                <w:szCs w:val="18"/>
              </w:rPr>
              <w:t>15,31</w:t>
            </w:r>
          </w:p>
        </w:tc>
        <w:tc>
          <w:tcPr>
            <w:tcW w:w="395" w:type="dxa"/>
            <w:tcBorders>
              <w:top w:val="single" w:sz="6" w:space="0" w:color="auto"/>
              <w:left w:val="single" w:sz="6" w:space="0" w:color="auto"/>
              <w:bottom w:val="single" w:sz="6" w:space="0" w:color="auto"/>
              <w:right w:val="single" w:sz="6" w:space="0" w:color="auto"/>
            </w:tcBorders>
          </w:tcPr>
          <w:p w14:paraId="3DCE25B2" w14:textId="77777777" w:rsidR="00CA23D0" w:rsidRPr="00E30642" w:rsidRDefault="00CA23D0" w:rsidP="00CA23D0">
            <w:pPr>
              <w:pStyle w:val="Zkladntext"/>
              <w:jc w:val="both"/>
              <w:rPr>
                <w:rFonts w:ascii="Arial" w:hAnsi="Arial" w:cs="Arial"/>
                <w:highlight w:val="yellow"/>
              </w:rPr>
            </w:pPr>
          </w:p>
        </w:tc>
        <w:tc>
          <w:tcPr>
            <w:tcW w:w="438" w:type="dxa"/>
            <w:tcBorders>
              <w:top w:val="single" w:sz="6" w:space="0" w:color="auto"/>
              <w:left w:val="single" w:sz="6" w:space="0" w:color="auto"/>
              <w:bottom w:val="single" w:sz="6" w:space="0" w:color="auto"/>
              <w:right w:val="single" w:sz="6" w:space="0" w:color="auto"/>
            </w:tcBorders>
          </w:tcPr>
          <w:p w14:paraId="2888F7F4" w14:textId="77777777" w:rsidR="00CA23D0" w:rsidRPr="00E30642" w:rsidRDefault="00CA23D0" w:rsidP="00CA23D0">
            <w:pPr>
              <w:pStyle w:val="Texttabulky"/>
              <w:jc w:val="both"/>
              <w:rPr>
                <w:rFonts w:cs="Arial"/>
              </w:rPr>
            </w:pPr>
            <w:r w:rsidRPr="00E30642">
              <w:rPr>
                <w:rFonts w:cs="Arial"/>
                <w:sz w:val="18"/>
                <w:szCs w:val="18"/>
              </w:rPr>
              <w:t>10,99</w:t>
            </w:r>
          </w:p>
        </w:tc>
        <w:tc>
          <w:tcPr>
            <w:tcW w:w="480" w:type="dxa"/>
            <w:tcBorders>
              <w:top w:val="single" w:sz="6" w:space="0" w:color="auto"/>
              <w:left w:val="single" w:sz="6" w:space="0" w:color="auto"/>
              <w:bottom w:val="single" w:sz="6" w:space="0" w:color="auto"/>
              <w:right w:val="single" w:sz="6" w:space="0" w:color="auto"/>
            </w:tcBorders>
          </w:tcPr>
          <w:p w14:paraId="299D20C3" w14:textId="77777777" w:rsidR="00CA23D0" w:rsidRPr="00E30642" w:rsidRDefault="00CA23D0" w:rsidP="00CA23D0">
            <w:pPr>
              <w:pStyle w:val="Texttabulky"/>
              <w:jc w:val="both"/>
              <w:rPr>
                <w:rFonts w:cs="Arial"/>
              </w:rPr>
            </w:pPr>
            <w:r w:rsidRPr="00E30642">
              <w:rPr>
                <w:rFonts w:cs="Arial"/>
                <w:sz w:val="18"/>
                <w:szCs w:val="18"/>
              </w:rPr>
              <w:t>-</w:t>
            </w:r>
          </w:p>
        </w:tc>
        <w:tc>
          <w:tcPr>
            <w:tcW w:w="436" w:type="dxa"/>
            <w:tcBorders>
              <w:top w:val="single" w:sz="6" w:space="0" w:color="auto"/>
              <w:left w:val="single" w:sz="6" w:space="0" w:color="auto"/>
              <w:bottom w:val="single" w:sz="6" w:space="0" w:color="auto"/>
              <w:right w:val="single" w:sz="6" w:space="0" w:color="auto"/>
            </w:tcBorders>
          </w:tcPr>
          <w:p w14:paraId="0BFE9982" w14:textId="77777777" w:rsidR="00CA23D0" w:rsidRPr="00E30642" w:rsidRDefault="00CA23D0" w:rsidP="00CA23D0">
            <w:pPr>
              <w:pStyle w:val="Zkladntext"/>
              <w:jc w:val="both"/>
              <w:rPr>
                <w:rFonts w:ascii="Arial" w:hAnsi="Arial" w:cs="Arial"/>
              </w:rPr>
            </w:pPr>
          </w:p>
        </w:tc>
        <w:tc>
          <w:tcPr>
            <w:tcW w:w="488" w:type="dxa"/>
            <w:tcBorders>
              <w:top w:val="single" w:sz="6" w:space="0" w:color="auto"/>
              <w:left w:val="single" w:sz="6" w:space="0" w:color="auto"/>
              <w:bottom w:val="single" w:sz="6" w:space="0" w:color="auto"/>
              <w:right w:val="single" w:sz="6" w:space="0" w:color="auto"/>
            </w:tcBorders>
          </w:tcPr>
          <w:p w14:paraId="4153BA56" w14:textId="77777777" w:rsidR="00CA23D0" w:rsidRPr="00E30642" w:rsidRDefault="00CA23D0" w:rsidP="00CA23D0">
            <w:pPr>
              <w:pStyle w:val="Texttabulky"/>
              <w:jc w:val="both"/>
              <w:rPr>
                <w:rFonts w:cs="Arial"/>
              </w:rPr>
            </w:pPr>
            <w:r w:rsidRPr="00E30642">
              <w:rPr>
                <w:rFonts w:cs="Arial"/>
                <w:sz w:val="18"/>
                <w:szCs w:val="18"/>
              </w:rPr>
              <w:t>-</w:t>
            </w:r>
          </w:p>
        </w:tc>
        <w:tc>
          <w:tcPr>
            <w:tcW w:w="494" w:type="dxa"/>
            <w:tcBorders>
              <w:top w:val="single" w:sz="6" w:space="0" w:color="auto"/>
              <w:left w:val="single" w:sz="6" w:space="0" w:color="auto"/>
              <w:bottom w:val="single" w:sz="6" w:space="0" w:color="auto"/>
              <w:right w:val="single" w:sz="6" w:space="0" w:color="auto"/>
            </w:tcBorders>
          </w:tcPr>
          <w:p w14:paraId="4420523A" w14:textId="77777777" w:rsidR="00CA23D0" w:rsidRPr="00E30642" w:rsidRDefault="00CA23D0" w:rsidP="00CA23D0">
            <w:pPr>
              <w:pStyle w:val="Texttabulky"/>
              <w:jc w:val="both"/>
              <w:rPr>
                <w:rFonts w:cs="Arial"/>
              </w:rPr>
            </w:pPr>
            <w:r w:rsidRPr="00E30642">
              <w:rPr>
                <w:rFonts w:cs="Arial"/>
                <w:sz w:val="18"/>
                <w:szCs w:val="18"/>
              </w:rPr>
              <w:t>-</w:t>
            </w:r>
          </w:p>
        </w:tc>
        <w:tc>
          <w:tcPr>
            <w:tcW w:w="358" w:type="dxa"/>
            <w:tcBorders>
              <w:top w:val="single" w:sz="6" w:space="0" w:color="auto"/>
              <w:left w:val="single" w:sz="6" w:space="0" w:color="auto"/>
              <w:bottom w:val="single" w:sz="6" w:space="0" w:color="auto"/>
              <w:right w:val="single" w:sz="6" w:space="0" w:color="auto"/>
            </w:tcBorders>
          </w:tcPr>
          <w:p w14:paraId="26FF64DF" w14:textId="77777777" w:rsidR="00CA23D0" w:rsidRPr="00E30642" w:rsidRDefault="00CA23D0" w:rsidP="00CA23D0">
            <w:pPr>
              <w:pStyle w:val="Zkladntext"/>
              <w:jc w:val="both"/>
              <w:rPr>
                <w:rFonts w:ascii="Arial" w:hAnsi="Arial" w:cs="Arial"/>
              </w:rPr>
            </w:pPr>
          </w:p>
        </w:tc>
        <w:tc>
          <w:tcPr>
            <w:tcW w:w="399" w:type="dxa"/>
            <w:tcBorders>
              <w:top w:val="single" w:sz="6" w:space="0" w:color="auto"/>
              <w:left w:val="single" w:sz="6" w:space="0" w:color="auto"/>
              <w:bottom w:val="single" w:sz="6" w:space="0" w:color="auto"/>
              <w:right w:val="single" w:sz="6" w:space="0" w:color="auto"/>
            </w:tcBorders>
          </w:tcPr>
          <w:p w14:paraId="2ECD84C5" w14:textId="77777777" w:rsidR="00CA23D0" w:rsidRPr="00E30642" w:rsidRDefault="00CA23D0" w:rsidP="00CA23D0">
            <w:pPr>
              <w:pStyle w:val="Texttabulky"/>
              <w:jc w:val="both"/>
              <w:rPr>
                <w:rFonts w:cs="Arial"/>
              </w:rPr>
            </w:pPr>
            <w:r w:rsidRPr="00E30642">
              <w:rPr>
                <w:rFonts w:cs="Arial"/>
                <w:sz w:val="18"/>
                <w:szCs w:val="18"/>
              </w:rPr>
              <w:t>-</w:t>
            </w:r>
          </w:p>
        </w:tc>
        <w:tc>
          <w:tcPr>
            <w:tcW w:w="678" w:type="dxa"/>
            <w:tcBorders>
              <w:top w:val="single" w:sz="6" w:space="0" w:color="auto"/>
              <w:left w:val="single" w:sz="6" w:space="0" w:color="auto"/>
              <w:bottom w:val="single" w:sz="6" w:space="0" w:color="auto"/>
              <w:right w:val="single" w:sz="6" w:space="0" w:color="auto"/>
            </w:tcBorders>
          </w:tcPr>
          <w:p w14:paraId="1D6B5787" w14:textId="77777777" w:rsidR="00CA23D0" w:rsidRPr="00E30642" w:rsidRDefault="00CA23D0" w:rsidP="00CA23D0">
            <w:pPr>
              <w:pStyle w:val="Texttabulky"/>
              <w:jc w:val="both"/>
              <w:rPr>
                <w:rFonts w:cs="Arial"/>
              </w:rPr>
            </w:pPr>
            <w:r w:rsidRPr="00E30642">
              <w:rPr>
                <w:rFonts w:cs="Arial"/>
                <w:sz w:val="18"/>
                <w:szCs w:val="18"/>
              </w:rPr>
              <w:t>15,31</w:t>
            </w:r>
          </w:p>
        </w:tc>
        <w:tc>
          <w:tcPr>
            <w:tcW w:w="817" w:type="dxa"/>
            <w:tcBorders>
              <w:top w:val="single" w:sz="6" w:space="0" w:color="auto"/>
              <w:left w:val="single" w:sz="6" w:space="0" w:color="auto"/>
              <w:bottom w:val="single" w:sz="6" w:space="0" w:color="auto"/>
              <w:right w:val="single" w:sz="6" w:space="0" w:color="auto"/>
            </w:tcBorders>
          </w:tcPr>
          <w:p w14:paraId="3A09A757" w14:textId="77777777" w:rsidR="00CA23D0" w:rsidRPr="00E30642" w:rsidRDefault="00CA23D0" w:rsidP="00CA23D0">
            <w:pPr>
              <w:pStyle w:val="Texttabulky"/>
              <w:jc w:val="both"/>
              <w:rPr>
                <w:rFonts w:cs="Arial"/>
              </w:rPr>
            </w:pPr>
            <w:r w:rsidRPr="00E30642">
              <w:rPr>
                <w:rFonts w:cs="Arial"/>
                <w:sz w:val="18"/>
                <w:szCs w:val="18"/>
              </w:rPr>
              <w:t>10,99</w:t>
            </w:r>
          </w:p>
        </w:tc>
        <w:tc>
          <w:tcPr>
            <w:tcW w:w="708" w:type="dxa"/>
            <w:tcBorders>
              <w:top w:val="single" w:sz="6" w:space="0" w:color="auto"/>
              <w:left w:val="single" w:sz="6" w:space="0" w:color="auto"/>
              <w:bottom w:val="single" w:sz="6" w:space="0" w:color="auto"/>
              <w:right w:val="single" w:sz="6" w:space="0" w:color="auto"/>
            </w:tcBorders>
          </w:tcPr>
          <w:p w14:paraId="1F659185" w14:textId="77777777" w:rsidR="00CA23D0" w:rsidRPr="00E30642" w:rsidRDefault="00CA23D0" w:rsidP="00CA23D0">
            <w:pPr>
              <w:pStyle w:val="Texttabulky"/>
              <w:jc w:val="both"/>
              <w:rPr>
                <w:rFonts w:cs="Arial"/>
              </w:rPr>
            </w:pPr>
            <w:r w:rsidRPr="00E30642">
              <w:rPr>
                <w:rFonts w:cs="Arial"/>
                <w:b/>
                <w:bCs/>
                <w:sz w:val="18"/>
                <w:szCs w:val="18"/>
              </w:rPr>
              <w:t xml:space="preserve"> 26,30</w:t>
            </w:r>
          </w:p>
        </w:tc>
        <w:tc>
          <w:tcPr>
            <w:tcW w:w="1161" w:type="dxa"/>
            <w:tcBorders>
              <w:top w:val="single" w:sz="6" w:space="0" w:color="auto"/>
              <w:left w:val="single" w:sz="6" w:space="0" w:color="auto"/>
              <w:bottom w:val="single" w:sz="6" w:space="0" w:color="auto"/>
              <w:right w:val="single" w:sz="6" w:space="0" w:color="auto"/>
            </w:tcBorders>
          </w:tcPr>
          <w:p w14:paraId="168C57C9" w14:textId="77777777" w:rsidR="00CA23D0" w:rsidRPr="00E30642" w:rsidRDefault="00CA23D0" w:rsidP="00CA23D0">
            <w:pPr>
              <w:pStyle w:val="Texttabulky"/>
              <w:jc w:val="both"/>
              <w:rPr>
                <w:rFonts w:cs="Arial"/>
              </w:rPr>
            </w:pPr>
            <w:r w:rsidRPr="00E30642">
              <w:rPr>
                <w:rFonts w:cs="Arial"/>
                <w:sz w:val="18"/>
                <w:szCs w:val="18"/>
              </w:rPr>
              <w:t>15</w:t>
            </w:r>
          </w:p>
        </w:tc>
      </w:tr>
      <w:tr w:rsidR="00CA23D0" w:rsidRPr="00E30642" w14:paraId="376BF4E5" w14:textId="77777777" w:rsidTr="00CA23D0">
        <w:trPr>
          <w:trHeight w:val="237"/>
          <w:jc w:val="center"/>
        </w:trPr>
        <w:tc>
          <w:tcPr>
            <w:tcW w:w="339" w:type="dxa"/>
            <w:tcBorders>
              <w:top w:val="single" w:sz="6" w:space="0" w:color="auto"/>
              <w:left w:val="single" w:sz="6" w:space="0" w:color="auto"/>
              <w:bottom w:val="single" w:sz="6" w:space="0" w:color="auto"/>
              <w:right w:val="single" w:sz="6" w:space="0" w:color="auto"/>
            </w:tcBorders>
          </w:tcPr>
          <w:p w14:paraId="11A0EC25" w14:textId="77777777" w:rsidR="00CA23D0" w:rsidRPr="00E30642" w:rsidRDefault="00CA23D0" w:rsidP="00CA23D0">
            <w:pPr>
              <w:pStyle w:val="Texttabulky"/>
              <w:jc w:val="both"/>
              <w:rPr>
                <w:rFonts w:cs="Arial"/>
              </w:rPr>
            </w:pPr>
            <w:r w:rsidRPr="00E30642">
              <w:rPr>
                <w:rFonts w:cs="Arial"/>
                <w:b/>
                <w:bCs/>
                <w:sz w:val="18"/>
                <w:szCs w:val="18"/>
              </w:rPr>
              <w:t>V</w:t>
            </w:r>
          </w:p>
        </w:tc>
        <w:tc>
          <w:tcPr>
            <w:tcW w:w="1479" w:type="dxa"/>
            <w:tcBorders>
              <w:top w:val="single" w:sz="6" w:space="0" w:color="auto"/>
              <w:left w:val="single" w:sz="6" w:space="0" w:color="auto"/>
              <w:bottom w:val="single" w:sz="6" w:space="0" w:color="auto"/>
              <w:right w:val="single" w:sz="6" w:space="0" w:color="auto"/>
            </w:tcBorders>
          </w:tcPr>
          <w:p w14:paraId="658FF5E5" w14:textId="77777777" w:rsidR="00CA23D0" w:rsidRPr="00E30642" w:rsidRDefault="00CA23D0" w:rsidP="00CA23D0">
            <w:pPr>
              <w:pStyle w:val="Texttabulky"/>
              <w:jc w:val="both"/>
              <w:rPr>
                <w:rFonts w:cs="Arial"/>
              </w:rPr>
            </w:pPr>
            <w:r w:rsidRPr="00E30642">
              <w:rPr>
                <w:rFonts w:cs="Arial"/>
                <w:sz w:val="18"/>
                <w:szCs w:val="18"/>
              </w:rPr>
              <w:t xml:space="preserve">Loubí - Žleb </w:t>
            </w:r>
          </w:p>
        </w:tc>
        <w:tc>
          <w:tcPr>
            <w:tcW w:w="508" w:type="dxa"/>
            <w:tcBorders>
              <w:top w:val="single" w:sz="6" w:space="0" w:color="auto"/>
              <w:left w:val="single" w:sz="6" w:space="0" w:color="auto"/>
              <w:bottom w:val="single" w:sz="6" w:space="0" w:color="auto"/>
              <w:right w:val="single" w:sz="6" w:space="0" w:color="auto"/>
            </w:tcBorders>
          </w:tcPr>
          <w:p w14:paraId="5ED943B5" w14:textId="77777777" w:rsidR="00CA23D0" w:rsidRPr="00E30642" w:rsidRDefault="00CA23D0" w:rsidP="00CA23D0">
            <w:pPr>
              <w:pStyle w:val="Texttabulky"/>
              <w:jc w:val="both"/>
              <w:rPr>
                <w:rFonts w:cs="Arial"/>
              </w:rPr>
            </w:pPr>
            <w:r w:rsidRPr="00E30642">
              <w:rPr>
                <w:rFonts w:cs="Arial"/>
                <w:sz w:val="18"/>
                <w:szCs w:val="18"/>
              </w:rPr>
              <w:t>-</w:t>
            </w:r>
          </w:p>
        </w:tc>
        <w:tc>
          <w:tcPr>
            <w:tcW w:w="395" w:type="dxa"/>
            <w:tcBorders>
              <w:top w:val="single" w:sz="6" w:space="0" w:color="auto"/>
              <w:left w:val="single" w:sz="6" w:space="0" w:color="auto"/>
              <w:bottom w:val="single" w:sz="6" w:space="0" w:color="auto"/>
              <w:right w:val="single" w:sz="6" w:space="0" w:color="auto"/>
            </w:tcBorders>
          </w:tcPr>
          <w:p w14:paraId="500757B6" w14:textId="77777777" w:rsidR="00CA23D0" w:rsidRPr="00E30642" w:rsidRDefault="00CA23D0" w:rsidP="00CA23D0">
            <w:pPr>
              <w:pStyle w:val="Zkladntext"/>
              <w:jc w:val="both"/>
              <w:rPr>
                <w:rFonts w:ascii="Arial" w:hAnsi="Arial" w:cs="Arial"/>
                <w:highlight w:val="yellow"/>
              </w:rPr>
            </w:pPr>
          </w:p>
        </w:tc>
        <w:tc>
          <w:tcPr>
            <w:tcW w:w="438" w:type="dxa"/>
            <w:tcBorders>
              <w:top w:val="single" w:sz="6" w:space="0" w:color="auto"/>
              <w:left w:val="single" w:sz="6" w:space="0" w:color="auto"/>
              <w:bottom w:val="single" w:sz="6" w:space="0" w:color="auto"/>
              <w:right w:val="single" w:sz="6" w:space="0" w:color="auto"/>
            </w:tcBorders>
          </w:tcPr>
          <w:p w14:paraId="44BCBC9B" w14:textId="77777777" w:rsidR="00CA23D0" w:rsidRPr="00E30642" w:rsidRDefault="00CA23D0" w:rsidP="00CA23D0">
            <w:pPr>
              <w:pStyle w:val="Texttabulky"/>
              <w:jc w:val="both"/>
              <w:rPr>
                <w:rFonts w:cs="Arial"/>
              </w:rPr>
            </w:pPr>
            <w:r w:rsidRPr="00E30642">
              <w:rPr>
                <w:rFonts w:cs="Arial"/>
                <w:sz w:val="18"/>
                <w:szCs w:val="18"/>
              </w:rPr>
              <w:t>-</w:t>
            </w:r>
          </w:p>
        </w:tc>
        <w:tc>
          <w:tcPr>
            <w:tcW w:w="480" w:type="dxa"/>
            <w:tcBorders>
              <w:top w:val="single" w:sz="6" w:space="0" w:color="auto"/>
              <w:left w:val="single" w:sz="6" w:space="0" w:color="auto"/>
              <w:bottom w:val="single" w:sz="6" w:space="0" w:color="auto"/>
              <w:right w:val="single" w:sz="6" w:space="0" w:color="auto"/>
            </w:tcBorders>
          </w:tcPr>
          <w:p w14:paraId="179C57D5" w14:textId="77777777" w:rsidR="00CA23D0" w:rsidRPr="00E30642" w:rsidRDefault="00CA23D0" w:rsidP="00CA23D0">
            <w:pPr>
              <w:pStyle w:val="Texttabulky"/>
              <w:jc w:val="both"/>
              <w:rPr>
                <w:rFonts w:cs="Arial"/>
              </w:rPr>
            </w:pPr>
            <w:r w:rsidRPr="00E30642">
              <w:rPr>
                <w:rFonts w:cs="Arial"/>
                <w:sz w:val="18"/>
                <w:szCs w:val="18"/>
              </w:rPr>
              <w:t>-</w:t>
            </w:r>
          </w:p>
        </w:tc>
        <w:tc>
          <w:tcPr>
            <w:tcW w:w="436" w:type="dxa"/>
            <w:tcBorders>
              <w:top w:val="single" w:sz="6" w:space="0" w:color="auto"/>
              <w:left w:val="single" w:sz="6" w:space="0" w:color="auto"/>
              <w:bottom w:val="single" w:sz="6" w:space="0" w:color="auto"/>
              <w:right w:val="single" w:sz="6" w:space="0" w:color="auto"/>
            </w:tcBorders>
          </w:tcPr>
          <w:p w14:paraId="63E251D4" w14:textId="77777777" w:rsidR="00CA23D0" w:rsidRPr="00E30642" w:rsidRDefault="00CA23D0" w:rsidP="00CA23D0">
            <w:pPr>
              <w:pStyle w:val="Zkladntext"/>
              <w:jc w:val="both"/>
              <w:rPr>
                <w:rFonts w:ascii="Arial" w:hAnsi="Arial" w:cs="Arial"/>
              </w:rPr>
            </w:pPr>
          </w:p>
        </w:tc>
        <w:tc>
          <w:tcPr>
            <w:tcW w:w="488" w:type="dxa"/>
            <w:tcBorders>
              <w:top w:val="single" w:sz="6" w:space="0" w:color="auto"/>
              <w:left w:val="single" w:sz="6" w:space="0" w:color="auto"/>
              <w:bottom w:val="single" w:sz="6" w:space="0" w:color="auto"/>
              <w:right w:val="single" w:sz="6" w:space="0" w:color="auto"/>
            </w:tcBorders>
          </w:tcPr>
          <w:p w14:paraId="7C6A2ED8" w14:textId="77777777" w:rsidR="00CA23D0" w:rsidRPr="00E30642" w:rsidRDefault="00CA23D0" w:rsidP="00CA23D0">
            <w:pPr>
              <w:pStyle w:val="Texttabulky"/>
              <w:jc w:val="both"/>
              <w:rPr>
                <w:rFonts w:cs="Arial"/>
              </w:rPr>
            </w:pPr>
            <w:r w:rsidRPr="00E30642">
              <w:rPr>
                <w:rFonts w:cs="Arial"/>
                <w:sz w:val="18"/>
                <w:szCs w:val="18"/>
              </w:rPr>
              <w:t>-</w:t>
            </w:r>
          </w:p>
        </w:tc>
        <w:tc>
          <w:tcPr>
            <w:tcW w:w="494" w:type="dxa"/>
            <w:tcBorders>
              <w:top w:val="single" w:sz="6" w:space="0" w:color="auto"/>
              <w:left w:val="single" w:sz="6" w:space="0" w:color="auto"/>
              <w:bottom w:val="single" w:sz="6" w:space="0" w:color="auto"/>
              <w:right w:val="single" w:sz="6" w:space="0" w:color="auto"/>
            </w:tcBorders>
          </w:tcPr>
          <w:p w14:paraId="109405D7" w14:textId="77777777" w:rsidR="00CA23D0" w:rsidRPr="00E30642" w:rsidRDefault="00CA23D0" w:rsidP="00CA23D0">
            <w:pPr>
              <w:pStyle w:val="Texttabulky"/>
              <w:jc w:val="both"/>
              <w:rPr>
                <w:rFonts w:cs="Arial"/>
              </w:rPr>
            </w:pPr>
            <w:r w:rsidRPr="00E30642">
              <w:rPr>
                <w:rFonts w:cs="Arial"/>
                <w:sz w:val="18"/>
                <w:szCs w:val="18"/>
              </w:rPr>
              <w:t>-</w:t>
            </w:r>
          </w:p>
        </w:tc>
        <w:tc>
          <w:tcPr>
            <w:tcW w:w="358" w:type="dxa"/>
            <w:tcBorders>
              <w:top w:val="single" w:sz="6" w:space="0" w:color="auto"/>
              <w:left w:val="single" w:sz="6" w:space="0" w:color="auto"/>
              <w:bottom w:val="single" w:sz="6" w:space="0" w:color="auto"/>
              <w:right w:val="single" w:sz="6" w:space="0" w:color="auto"/>
            </w:tcBorders>
          </w:tcPr>
          <w:p w14:paraId="19B0B5D7" w14:textId="77777777" w:rsidR="00CA23D0" w:rsidRPr="00E30642" w:rsidRDefault="00CA23D0" w:rsidP="00CA23D0">
            <w:pPr>
              <w:pStyle w:val="Zkladntext"/>
              <w:jc w:val="both"/>
              <w:rPr>
                <w:rFonts w:ascii="Arial" w:hAnsi="Arial" w:cs="Arial"/>
              </w:rPr>
            </w:pPr>
          </w:p>
        </w:tc>
        <w:tc>
          <w:tcPr>
            <w:tcW w:w="399" w:type="dxa"/>
            <w:tcBorders>
              <w:top w:val="single" w:sz="6" w:space="0" w:color="auto"/>
              <w:left w:val="single" w:sz="6" w:space="0" w:color="auto"/>
              <w:bottom w:val="single" w:sz="6" w:space="0" w:color="auto"/>
              <w:right w:val="single" w:sz="6" w:space="0" w:color="auto"/>
            </w:tcBorders>
          </w:tcPr>
          <w:p w14:paraId="2B3CBD71" w14:textId="77777777" w:rsidR="00CA23D0" w:rsidRPr="00E30642" w:rsidRDefault="00CA23D0" w:rsidP="00CA23D0">
            <w:pPr>
              <w:pStyle w:val="Texttabulky"/>
              <w:jc w:val="both"/>
              <w:rPr>
                <w:rFonts w:cs="Arial"/>
              </w:rPr>
            </w:pPr>
            <w:r w:rsidRPr="00E30642">
              <w:rPr>
                <w:rFonts w:cs="Arial"/>
                <w:sz w:val="18"/>
                <w:szCs w:val="18"/>
              </w:rPr>
              <w:t>-</w:t>
            </w:r>
          </w:p>
        </w:tc>
        <w:tc>
          <w:tcPr>
            <w:tcW w:w="678" w:type="dxa"/>
            <w:tcBorders>
              <w:top w:val="single" w:sz="6" w:space="0" w:color="auto"/>
              <w:left w:val="single" w:sz="6" w:space="0" w:color="auto"/>
              <w:bottom w:val="single" w:sz="6" w:space="0" w:color="auto"/>
              <w:right w:val="single" w:sz="6" w:space="0" w:color="auto"/>
            </w:tcBorders>
          </w:tcPr>
          <w:p w14:paraId="543C64B4" w14:textId="77777777" w:rsidR="00CA23D0" w:rsidRPr="00E30642" w:rsidRDefault="00CA23D0" w:rsidP="00CA23D0">
            <w:pPr>
              <w:pStyle w:val="Texttabulky"/>
              <w:jc w:val="both"/>
              <w:rPr>
                <w:rFonts w:cs="Arial"/>
              </w:rPr>
            </w:pPr>
            <w:r w:rsidRPr="00E30642">
              <w:rPr>
                <w:rFonts w:cs="Arial"/>
                <w:sz w:val="18"/>
                <w:szCs w:val="18"/>
              </w:rPr>
              <w:t>-</w:t>
            </w:r>
          </w:p>
        </w:tc>
        <w:tc>
          <w:tcPr>
            <w:tcW w:w="817" w:type="dxa"/>
            <w:tcBorders>
              <w:top w:val="single" w:sz="6" w:space="0" w:color="auto"/>
              <w:left w:val="single" w:sz="6" w:space="0" w:color="auto"/>
              <w:bottom w:val="single" w:sz="6" w:space="0" w:color="auto"/>
              <w:right w:val="single" w:sz="6" w:space="0" w:color="auto"/>
            </w:tcBorders>
          </w:tcPr>
          <w:p w14:paraId="2BF02043" w14:textId="77777777" w:rsidR="00CA23D0" w:rsidRPr="00E30642" w:rsidRDefault="00CA23D0" w:rsidP="00CA23D0">
            <w:pPr>
              <w:pStyle w:val="Texttabulky"/>
              <w:jc w:val="both"/>
              <w:rPr>
                <w:rFonts w:cs="Arial"/>
              </w:rPr>
            </w:pPr>
            <w:r w:rsidRPr="00E30642">
              <w:rPr>
                <w:rFonts w:cs="Arial"/>
                <w:sz w:val="18"/>
                <w:szCs w:val="18"/>
              </w:rPr>
              <w:t>-</w:t>
            </w:r>
          </w:p>
        </w:tc>
        <w:tc>
          <w:tcPr>
            <w:tcW w:w="708" w:type="dxa"/>
            <w:tcBorders>
              <w:top w:val="single" w:sz="6" w:space="0" w:color="auto"/>
              <w:left w:val="single" w:sz="6" w:space="0" w:color="auto"/>
              <w:bottom w:val="single" w:sz="6" w:space="0" w:color="auto"/>
              <w:right w:val="single" w:sz="6" w:space="0" w:color="auto"/>
            </w:tcBorders>
          </w:tcPr>
          <w:p w14:paraId="36128022" w14:textId="77777777" w:rsidR="00CA23D0" w:rsidRPr="00E30642" w:rsidRDefault="00CA23D0" w:rsidP="00CA23D0">
            <w:pPr>
              <w:pStyle w:val="Texttabulky"/>
              <w:jc w:val="both"/>
              <w:rPr>
                <w:rFonts w:cs="Arial"/>
              </w:rPr>
            </w:pPr>
            <w:r w:rsidRPr="00E30642">
              <w:rPr>
                <w:rFonts w:cs="Arial"/>
                <w:b/>
                <w:bCs/>
                <w:sz w:val="18"/>
                <w:szCs w:val="18"/>
              </w:rPr>
              <w:t>-</w:t>
            </w:r>
          </w:p>
        </w:tc>
        <w:tc>
          <w:tcPr>
            <w:tcW w:w="1161" w:type="dxa"/>
            <w:tcBorders>
              <w:top w:val="single" w:sz="6" w:space="0" w:color="auto"/>
              <w:left w:val="single" w:sz="6" w:space="0" w:color="auto"/>
              <w:bottom w:val="single" w:sz="6" w:space="0" w:color="auto"/>
              <w:right w:val="single" w:sz="6" w:space="0" w:color="auto"/>
            </w:tcBorders>
          </w:tcPr>
          <w:p w14:paraId="7ECA715D" w14:textId="77777777" w:rsidR="00CA23D0" w:rsidRPr="00E30642" w:rsidRDefault="00CA23D0" w:rsidP="00CA23D0">
            <w:pPr>
              <w:pStyle w:val="Texttabulky"/>
              <w:jc w:val="both"/>
              <w:rPr>
                <w:rFonts w:cs="Arial"/>
              </w:rPr>
            </w:pPr>
            <w:r w:rsidRPr="00E30642">
              <w:rPr>
                <w:rFonts w:cs="Arial"/>
                <w:sz w:val="18"/>
                <w:szCs w:val="18"/>
              </w:rPr>
              <w:t>-</w:t>
            </w:r>
          </w:p>
        </w:tc>
      </w:tr>
      <w:tr w:rsidR="00CA23D0" w:rsidRPr="00E30642" w14:paraId="36DAD809" w14:textId="77777777" w:rsidTr="00CA23D0">
        <w:trPr>
          <w:trHeight w:val="411"/>
          <w:jc w:val="center"/>
        </w:trPr>
        <w:tc>
          <w:tcPr>
            <w:tcW w:w="339" w:type="dxa"/>
            <w:tcBorders>
              <w:top w:val="single" w:sz="6" w:space="0" w:color="auto"/>
              <w:left w:val="single" w:sz="6" w:space="0" w:color="auto"/>
              <w:bottom w:val="single" w:sz="6" w:space="0" w:color="auto"/>
              <w:right w:val="single" w:sz="6" w:space="0" w:color="auto"/>
            </w:tcBorders>
          </w:tcPr>
          <w:p w14:paraId="439ED5A0" w14:textId="77777777" w:rsidR="00CA23D0" w:rsidRPr="00E30642" w:rsidRDefault="00CA23D0" w:rsidP="00CA23D0">
            <w:pPr>
              <w:pStyle w:val="Texttabulky"/>
              <w:jc w:val="both"/>
              <w:rPr>
                <w:rFonts w:cs="Arial"/>
              </w:rPr>
            </w:pPr>
            <w:r w:rsidRPr="00E30642">
              <w:rPr>
                <w:rFonts w:cs="Arial"/>
                <w:b/>
                <w:bCs/>
                <w:sz w:val="18"/>
                <w:szCs w:val="18"/>
              </w:rPr>
              <w:t>VI</w:t>
            </w:r>
          </w:p>
        </w:tc>
        <w:tc>
          <w:tcPr>
            <w:tcW w:w="1479" w:type="dxa"/>
            <w:tcBorders>
              <w:top w:val="single" w:sz="6" w:space="0" w:color="auto"/>
              <w:left w:val="single" w:sz="6" w:space="0" w:color="auto"/>
              <w:bottom w:val="single" w:sz="6" w:space="0" w:color="auto"/>
              <w:right w:val="single" w:sz="6" w:space="0" w:color="auto"/>
            </w:tcBorders>
          </w:tcPr>
          <w:p w14:paraId="3F762C33" w14:textId="77777777" w:rsidR="00CA23D0" w:rsidRPr="00E30642" w:rsidRDefault="00CA23D0" w:rsidP="00CA23D0">
            <w:pPr>
              <w:pStyle w:val="Texttabulky"/>
              <w:jc w:val="both"/>
              <w:rPr>
                <w:rFonts w:cs="Arial"/>
              </w:rPr>
            </w:pPr>
            <w:r w:rsidRPr="00E30642">
              <w:rPr>
                <w:rFonts w:cs="Arial"/>
                <w:sz w:val="18"/>
                <w:szCs w:val="18"/>
              </w:rPr>
              <w:t xml:space="preserve">N. Město </w:t>
            </w:r>
          </w:p>
          <w:p w14:paraId="338A6889" w14:textId="77777777" w:rsidR="00CA23D0" w:rsidRPr="00E30642" w:rsidRDefault="00CA23D0" w:rsidP="00CA23D0">
            <w:pPr>
              <w:pStyle w:val="Texttabulky"/>
              <w:jc w:val="both"/>
              <w:rPr>
                <w:rFonts w:cs="Arial"/>
              </w:rPr>
            </w:pPr>
            <w:r w:rsidRPr="00E30642">
              <w:rPr>
                <w:rFonts w:cs="Arial"/>
                <w:sz w:val="18"/>
                <w:szCs w:val="18"/>
              </w:rPr>
              <w:t xml:space="preserve">- St. Město </w:t>
            </w:r>
          </w:p>
        </w:tc>
        <w:tc>
          <w:tcPr>
            <w:tcW w:w="508" w:type="dxa"/>
            <w:tcBorders>
              <w:top w:val="single" w:sz="6" w:space="0" w:color="auto"/>
              <w:left w:val="single" w:sz="6" w:space="0" w:color="auto"/>
              <w:bottom w:val="single" w:sz="6" w:space="0" w:color="auto"/>
              <w:right w:val="single" w:sz="6" w:space="0" w:color="auto"/>
            </w:tcBorders>
          </w:tcPr>
          <w:p w14:paraId="5FD91899" w14:textId="77777777" w:rsidR="00CA23D0" w:rsidRPr="00E30642" w:rsidRDefault="00CA23D0" w:rsidP="00CA23D0">
            <w:pPr>
              <w:pStyle w:val="Texttabulky"/>
              <w:jc w:val="both"/>
              <w:rPr>
                <w:rFonts w:cs="Arial"/>
              </w:rPr>
            </w:pPr>
            <w:r w:rsidRPr="00E30642">
              <w:rPr>
                <w:rFonts w:cs="Arial"/>
                <w:sz w:val="18"/>
                <w:szCs w:val="18"/>
              </w:rPr>
              <w:t>9,78</w:t>
            </w:r>
          </w:p>
        </w:tc>
        <w:tc>
          <w:tcPr>
            <w:tcW w:w="395" w:type="dxa"/>
            <w:tcBorders>
              <w:top w:val="single" w:sz="6" w:space="0" w:color="auto"/>
              <w:left w:val="single" w:sz="6" w:space="0" w:color="auto"/>
              <w:bottom w:val="single" w:sz="6" w:space="0" w:color="auto"/>
              <w:right w:val="single" w:sz="6" w:space="0" w:color="auto"/>
            </w:tcBorders>
          </w:tcPr>
          <w:p w14:paraId="269194B4" w14:textId="77777777" w:rsidR="00CA23D0" w:rsidRPr="00E30642" w:rsidRDefault="00CA23D0" w:rsidP="00CA23D0">
            <w:pPr>
              <w:pStyle w:val="Zkladntext"/>
              <w:jc w:val="both"/>
              <w:rPr>
                <w:rFonts w:ascii="Arial" w:hAnsi="Arial" w:cs="Arial"/>
                <w:highlight w:val="yellow"/>
              </w:rPr>
            </w:pPr>
          </w:p>
        </w:tc>
        <w:tc>
          <w:tcPr>
            <w:tcW w:w="438" w:type="dxa"/>
            <w:tcBorders>
              <w:top w:val="single" w:sz="6" w:space="0" w:color="auto"/>
              <w:left w:val="single" w:sz="6" w:space="0" w:color="auto"/>
              <w:bottom w:val="single" w:sz="6" w:space="0" w:color="auto"/>
              <w:right w:val="single" w:sz="6" w:space="0" w:color="auto"/>
            </w:tcBorders>
          </w:tcPr>
          <w:p w14:paraId="3A027F2E" w14:textId="77777777" w:rsidR="00CA23D0" w:rsidRPr="00E30642" w:rsidRDefault="00CA23D0" w:rsidP="00CA23D0">
            <w:pPr>
              <w:pStyle w:val="Texttabulky"/>
              <w:jc w:val="both"/>
              <w:rPr>
                <w:rFonts w:cs="Arial"/>
              </w:rPr>
            </w:pPr>
            <w:r w:rsidRPr="00E30642">
              <w:rPr>
                <w:rFonts w:cs="Arial"/>
                <w:sz w:val="18"/>
                <w:szCs w:val="18"/>
              </w:rPr>
              <w:t>22,34</w:t>
            </w:r>
          </w:p>
        </w:tc>
        <w:tc>
          <w:tcPr>
            <w:tcW w:w="480" w:type="dxa"/>
            <w:tcBorders>
              <w:top w:val="single" w:sz="6" w:space="0" w:color="auto"/>
              <w:left w:val="single" w:sz="6" w:space="0" w:color="auto"/>
              <w:bottom w:val="single" w:sz="6" w:space="0" w:color="auto"/>
              <w:right w:val="single" w:sz="6" w:space="0" w:color="auto"/>
            </w:tcBorders>
          </w:tcPr>
          <w:p w14:paraId="0CD5CD9F" w14:textId="77777777" w:rsidR="00CA23D0" w:rsidRPr="00E30642" w:rsidRDefault="00CA23D0" w:rsidP="00CA23D0">
            <w:pPr>
              <w:pStyle w:val="Texttabulky"/>
              <w:jc w:val="both"/>
              <w:rPr>
                <w:rFonts w:cs="Arial"/>
              </w:rPr>
            </w:pPr>
            <w:r w:rsidRPr="00E30642">
              <w:rPr>
                <w:rFonts w:cs="Arial"/>
                <w:sz w:val="18"/>
                <w:szCs w:val="18"/>
              </w:rPr>
              <w:t>3,64</w:t>
            </w:r>
          </w:p>
        </w:tc>
        <w:tc>
          <w:tcPr>
            <w:tcW w:w="436" w:type="dxa"/>
            <w:tcBorders>
              <w:top w:val="single" w:sz="6" w:space="0" w:color="auto"/>
              <w:left w:val="single" w:sz="6" w:space="0" w:color="auto"/>
              <w:bottom w:val="single" w:sz="6" w:space="0" w:color="auto"/>
              <w:right w:val="single" w:sz="6" w:space="0" w:color="auto"/>
            </w:tcBorders>
          </w:tcPr>
          <w:p w14:paraId="013E124D" w14:textId="77777777" w:rsidR="00CA23D0" w:rsidRPr="00E30642" w:rsidRDefault="00CA23D0" w:rsidP="00CA23D0">
            <w:pPr>
              <w:pStyle w:val="Zkladntext"/>
              <w:jc w:val="both"/>
              <w:rPr>
                <w:rFonts w:ascii="Arial" w:hAnsi="Arial" w:cs="Arial"/>
              </w:rPr>
            </w:pPr>
          </w:p>
        </w:tc>
        <w:tc>
          <w:tcPr>
            <w:tcW w:w="488" w:type="dxa"/>
            <w:tcBorders>
              <w:top w:val="single" w:sz="6" w:space="0" w:color="auto"/>
              <w:left w:val="single" w:sz="6" w:space="0" w:color="auto"/>
              <w:bottom w:val="single" w:sz="6" w:space="0" w:color="auto"/>
              <w:right w:val="single" w:sz="6" w:space="0" w:color="auto"/>
            </w:tcBorders>
          </w:tcPr>
          <w:p w14:paraId="4550B6AA" w14:textId="77777777" w:rsidR="00CA23D0" w:rsidRPr="00E30642" w:rsidRDefault="00CA23D0" w:rsidP="00CA23D0">
            <w:pPr>
              <w:pStyle w:val="Texttabulky"/>
              <w:jc w:val="both"/>
              <w:rPr>
                <w:rFonts w:cs="Arial"/>
              </w:rPr>
            </w:pPr>
            <w:r w:rsidRPr="00E30642">
              <w:rPr>
                <w:rFonts w:cs="Arial"/>
                <w:sz w:val="18"/>
                <w:szCs w:val="18"/>
              </w:rPr>
              <w:t>3,37</w:t>
            </w:r>
          </w:p>
        </w:tc>
        <w:tc>
          <w:tcPr>
            <w:tcW w:w="494" w:type="dxa"/>
            <w:tcBorders>
              <w:top w:val="single" w:sz="6" w:space="0" w:color="auto"/>
              <w:left w:val="single" w:sz="6" w:space="0" w:color="auto"/>
              <w:bottom w:val="single" w:sz="6" w:space="0" w:color="auto"/>
              <w:right w:val="single" w:sz="6" w:space="0" w:color="auto"/>
            </w:tcBorders>
          </w:tcPr>
          <w:p w14:paraId="447C756B" w14:textId="77777777" w:rsidR="00CA23D0" w:rsidRPr="00E30642" w:rsidRDefault="00CA23D0" w:rsidP="00CA23D0">
            <w:pPr>
              <w:pStyle w:val="Texttabulky"/>
              <w:jc w:val="both"/>
              <w:rPr>
                <w:rFonts w:cs="Arial"/>
              </w:rPr>
            </w:pPr>
            <w:r w:rsidRPr="00E30642">
              <w:rPr>
                <w:rFonts w:cs="Arial"/>
                <w:sz w:val="18"/>
                <w:szCs w:val="18"/>
              </w:rPr>
              <w:t>0,81</w:t>
            </w:r>
          </w:p>
        </w:tc>
        <w:tc>
          <w:tcPr>
            <w:tcW w:w="358" w:type="dxa"/>
            <w:tcBorders>
              <w:top w:val="single" w:sz="6" w:space="0" w:color="auto"/>
              <w:left w:val="single" w:sz="6" w:space="0" w:color="auto"/>
              <w:bottom w:val="single" w:sz="6" w:space="0" w:color="auto"/>
              <w:right w:val="single" w:sz="6" w:space="0" w:color="auto"/>
            </w:tcBorders>
          </w:tcPr>
          <w:p w14:paraId="75B1711F" w14:textId="77777777" w:rsidR="00CA23D0" w:rsidRPr="00E30642" w:rsidRDefault="00CA23D0" w:rsidP="00CA23D0">
            <w:pPr>
              <w:pStyle w:val="Zkladntext"/>
              <w:jc w:val="both"/>
              <w:rPr>
                <w:rFonts w:ascii="Arial" w:hAnsi="Arial" w:cs="Arial"/>
              </w:rPr>
            </w:pPr>
          </w:p>
        </w:tc>
        <w:tc>
          <w:tcPr>
            <w:tcW w:w="399" w:type="dxa"/>
            <w:tcBorders>
              <w:top w:val="single" w:sz="6" w:space="0" w:color="auto"/>
              <w:left w:val="single" w:sz="6" w:space="0" w:color="auto"/>
              <w:bottom w:val="single" w:sz="6" w:space="0" w:color="auto"/>
              <w:right w:val="single" w:sz="6" w:space="0" w:color="auto"/>
            </w:tcBorders>
          </w:tcPr>
          <w:p w14:paraId="334D97A4" w14:textId="77777777" w:rsidR="00CA23D0" w:rsidRPr="00E30642" w:rsidRDefault="00CA23D0" w:rsidP="00CA23D0">
            <w:pPr>
              <w:pStyle w:val="Texttabulky"/>
              <w:jc w:val="both"/>
              <w:rPr>
                <w:rFonts w:cs="Arial"/>
              </w:rPr>
            </w:pPr>
            <w:r w:rsidRPr="00E30642">
              <w:rPr>
                <w:rFonts w:cs="Arial"/>
                <w:sz w:val="18"/>
                <w:szCs w:val="18"/>
              </w:rPr>
              <w:t>0,76</w:t>
            </w:r>
          </w:p>
        </w:tc>
        <w:tc>
          <w:tcPr>
            <w:tcW w:w="678" w:type="dxa"/>
            <w:tcBorders>
              <w:top w:val="single" w:sz="6" w:space="0" w:color="auto"/>
              <w:left w:val="single" w:sz="6" w:space="0" w:color="auto"/>
              <w:bottom w:val="single" w:sz="6" w:space="0" w:color="auto"/>
              <w:right w:val="single" w:sz="6" w:space="0" w:color="auto"/>
            </w:tcBorders>
          </w:tcPr>
          <w:p w14:paraId="42BF3F47" w14:textId="77777777" w:rsidR="00CA23D0" w:rsidRPr="00E30642" w:rsidRDefault="00CA23D0" w:rsidP="00CA23D0">
            <w:pPr>
              <w:pStyle w:val="Texttabulky"/>
              <w:jc w:val="both"/>
              <w:rPr>
                <w:rFonts w:cs="Arial"/>
              </w:rPr>
            </w:pPr>
            <w:r w:rsidRPr="00E30642">
              <w:rPr>
                <w:rFonts w:cs="Arial"/>
                <w:sz w:val="18"/>
                <w:szCs w:val="18"/>
              </w:rPr>
              <w:t>14,23</w:t>
            </w:r>
          </w:p>
        </w:tc>
        <w:tc>
          <w:tcPr>
            <w:tcW w:w="817" w:type="dxa"/>
            <w:tcBorders>
              <w:top w:val="single" w:sz="6" w:space="0" w:color="auto"/>
              <w:left w:val="single" w:sz="6" w:space="0" w:color="auto"/>
              <w:bottom w:val="single" w:sz="6" w:space="0" w:color="auto"/>
              <w:right w:val="single" w:sz="6" w:space="0" w:color="auto"/>
            </w:tcBorders>
          </w:tcPr>
          <w:p w14:paraId="3DEB5252" w14:textId="77777777" w:rsidR="00CA23D0" w:rsidRPr="00E30642" w:rsidRDefault="00CA23D0" w:rsidP="00CA23D0">
            <w:pPr>
              <w:pStyle w:val="Texttabulky"/>
              <w:jc w:val="both"/>
              <w:rPr>
                <w:rFonts w:cs="Arial"/>
              </w:rPr>
            </w:pPr>
            <w:r w:rsidRPr="00E30642">
              <w:rPr>
                <w:rFonts w:cs="Arial"/>
                <w:sz w:val="18"/>
                <w:szCs w:val="18"/>
              </w:rPr>
              <w:t>26,47</w:t>
            </w:r>
          </w:p>
        </w:tc>
        <w:tc>
          <w:tcPr>
            <w:tcW w:w="708" w:type="dxa"/>
            <w:tcBorders>
              <w:top w:val="single" w:sz="6" w:space="0" w:color="auto"/>
              <w:left w:val="single" w:sz="6" w:space="0" w:color="auto"/>
              <w:bottom w:val="single" w:sz="6" w:space="0" w:color="auto"/>
              <w:right w:val="single" w:sz="6" w:space="0" w:color="auto"/>
            </w:tcBorders>
          </w:tcPr>
          <w:p w14:paraId="07C1F13A" w14:textId="77777777" w:rsidR="00CA23D0" w:rsidRPr="00E30642" w:rsidRDefault="00CA23D0" w:rsidP="00CA23D0">
            <w:pPr>
              <w:pStyle w:val="Texttabulky"/>
              <w:jc w:val="both"/>
              <w:rPr>
                <w:rFonts w:cs="Arial"/>
              </w:rPr>
            </w:pPr>
            <w:r w:rsidRPr="00E30642">
              <w:rPr>
                <w:rFonts w:cs="Arial"/>
                <w:b/>
                <w:bCs/>
                <w:sz w:val="18"/>
                <w:szCs w:val="18"/>
              </w:rPr>
              <w:t xml:space="preserve"> 40,70</w:t>
            </w:r>
          </w:p>
        </w:tc>
        <w:tc>
          <w:tcPr>
            <w:tcW w:w="1161" w:type="dxa"/>
            <w:tcBorders>
              <w:top w:val="single" w:sz="6" w:space="0" w:color="auto"/>
              <w:left w:val="single" w:sz="6" w:space="0" w:color="auto"/>
              <w:bottom w:val="single" w:sz="6" w:space="0" w:color="auto"/>
              <w:right w:val="single" w:sz="6" w:space="0" w:color="auto"/>
            </w:tcBorders>
          </w:tcPr>
          <w:p w14:paraId="365004F4" w14:textId="77777777" w:rsidR="00CA23D0" w:rsidRPr="00E30642" w:rsidRDefault="00CA23D0" w:rsidP="00CA23D0">
            <w:pPr>
              <w:pStyle w:val="Texttabulky"/>
              <w:jc w:val="both"/>
              <w:rPr>
                <w:rFonts w:cs="Arial"/>
              </w:rPr>
            </w:pPr>
            <w:r w:rsidRPr="00E30642">
              <w:rPr>
                <w:rFonts w:cs="Arial"/>
                <w:sz w:val="18"/>
                <w:szCs w:val="18"/>
              </w:rPr>
              <w:t>24</w:t>
            </w:r>
          </w:p>
        </w:tc>
      </w:tr>
      <w:tr w:rsidR="00CA23D0" w:rsidRPr="00E30642" w14:paraId="3855AEE9" w14:textId="77777777" w:rsidTr="00CA23D0">
        <w:trPr>
          <w:trHeight w:val="623"/>
          <w:jc w:val="center"/>
        </w:trPr>
        <w:tc>
          <w:tcPr>
            <w:tcW w:w="339" w:type="dxa"/>
            <w:tcBorders>
              <w:top w:val="single" w:sz="6" w:space="0" w:color="auto"/>
              <w:left w:val="single" w:sz="6" w:space="0" w:color="auto"/>
              <w:bottom w:val="single" w:sz="6" w:space="0" w:color="auto"/>
              <w:right w:val="single" w:sz="6" w:space="0" w:color="auto"/>
            </w:tcBorders>
          </w:tcPr>
          <w:p w14:paraId="049EB17B" w14:textId="77777777" w:rsidR="00CA23D0" w:rsidRPr="00E30642" w:rsidRDefault="00CA23D0" w:rsidP="00CA23D0">
            <w:pPr>
              <w:pStyle w:val="Texttabulky"/>
              <w:jc w:val="both"/>
              <w:rPr>
                <w:rFonts w:cs="Arial"/>
              </w:rPr>
            </w:pPr>
            <w:r w:rsidRPr="00E30642">
              <w:rPr>
                <w:rFonts w:cs="Arial"/>
                <w:b/>
                <w:bCs/>
                <w:sz w:val="18"/>
                <w:szCs w:val="18"/>
              </w:rPr>
              <w:t>VII</w:t>
            </w:r>
          </w:p>
        </w:tc>
        <w:tc>
          <w:tcPr>
            <w:tcW w:w="1479" w:type="dxa"/>
            <w:tcBorders>
              <w:top w:val="single" w:sz="6" w:space="0" w:color="auto"/>
              <w:left w:val="single" w:sz="6" w:space="0" w:color="auto"/>
              <w:bottom w:val="single" w:sz="6" w:space="0" w:color="auto"/>
              <w:right w:val="single" w:sz="6" w:space="0" w:color="auto"/>
            </w:tcBorders>
          </w:tcPr>
          <w:p w14:paraId="570B77DA" w14:textId="77777777" w:rsidR="00CA23D0" w:rsidRPr="00E30642" w:rsidRDefault="00CA23D0" w:rsidP="00CA23D0">
            <w:pPr>
              <w:pStyle w:val="Texttabulky"/>
              <w:jc w:val="both"/>
              <w:rPr>
                <w:rFonts w:cs="Arial"/>
              </w:rPr>
            </w:pPr>
            <w:r w:rsidRPr="00E30642">
              <w:rPr>
                <w:rFonts w:cs="Arial"/>
                <w:sz w:val="18"/>
                <w:szCs w:val="18"/>
              </w:rPr>
              <w:t xml:space="preserve">Boletice - Křešice </w:t>
            </w:r>
          </w:p>
        </w:tc>
        <w:tc>
          <w:tcPr>
            <w:tcW w:w="508" w:type="dxa"/>
            <w:tcBorders>
              <w:top w:val="single" w:sz="6" w:space="0" w:color="auto"/>
              <w:left w:val="single" w:sz="6" w:space="0" w:color="auto"/>
              <w:bottom w:val="single" w:sz="6" w:space="0" w:color="auto"/>
              <w:right w:val="single" w:sz="6" w:space="0" w:color="auto"/>
            </w:tcBorders>
          </w:tcPr>
          <w:p w14:paraId="6E01BA90" w14:textId="77777777" w:rsidR="00CA23D0" w:rsidRPr="00E30642" w:rsidRDefault="00CA23D0" w:rsidP="00CA23D0">
            <w:pPr>
              <w:pStyle w:val="Texttabulky"/>
              <w:jc w:val="both"/>
              <w:rPr>
                <w:rFonts w:cs="Arial"/>
              </w:rPr>
            </w:pPr>
            <w:r w:rsidRPr="00E30642">
              <w:rPr>
                <w:rFonts w:cs="Arial"/>
                <w:sz w:val="18"/>
                <w:szCs w:val="18"/>
              </w:rPr>
              <w:t>2,47</w:t>
            </w:r>
          </w:p>
        </w:tc>
        <w:tc>
          <w:tcPr>
            <w:tcW w:w="395" w:type="dxa"/>
            <w:tcBorders>
              <w:top w:val="single" w:sz="6" w:space="0" w:color="auto"/>
              <w:left w:val="single" w:sz="6" w:space="0" w:color="auto"/>
              <w:bottom w:val="single" w:sz="6" w:space="0" w:color="auto"/>
              <w:right w:val="single" w:sz="6" w:space="0" w:color="auto"/>
            </w:tcBorders>
          </w:tcPr>
          <w:p w14:paraId="535F1462" w14:textId="77777777" w:rsidR="00CA23D0" w:rsidRPr="00E30642" w:rsidRDefault="00CA23D0" w:rsidP="00CA23D0">
            <w:pPr>
              <w:pStyle w:val="Zkladntext"/>
              <w:jc w:val="both"/>
              <w:rPr>
                <w:rFonts w:ascii="Arial" w:hAnsi="Arial" w:cs="Arial"/>
                <w:highlight w:val="yellow"/>
              </w:rPr>
            </w:pPr>
          </w:p>
        </w:tc>
        <w:tc>
          <w:tcPr>
            <w:tcW w:w="438" w:type="dxa"/>
            <w:tcBorders>
              <w:top w:val="single" w:sz="6" w:space="0" w:color="auto"/>
              <w:left w:val="single" w:sz="6" w:space="0" w:color="auto"/>
              <w:bottom w:val="single" w:sz="6" w:space="0" w:color="auto"/>
              <w:right w:val="single" w:sz="6" w:space="0" w:color="auto"/>
            </w:tcBorders>
          </w:tcPr>
          <w:p w14:paraId="019DC700" w14:textId="77777777" w:rsidR="00CA23D0" w:rsidRPr="00E30642" w:rsidRDefault="00CA23D0" w:rsidP="00CA23D0">
            <w:pPr>
              <w:pStyle w:val="Texttabulky"/>
              <w:jc w:val="both"/>
              <w:rPr>
                <w:rFonts w:cs="Arial"/>
              </w:rPr>
            </w:pPr>
            <w:r w:rsidRPr="00E30642">
              <w:rPr>
                <w:rFonts w:cs="Arial"/>
                <w:sz w:val="18"/>
                <w:szCs w:val="18"/>
              </w:rPr>
              <w:t>26,14</w:t>
            </w:r>
          </w:p>
        </w:tc>
        <w:tc>
          <w:tcPr>
            <w:tcW w:w="480" w:type="dxa"/>
            <w:tcBorders>
              <w:top w:val="single" w:sz="6" w:space="0" w:color="auto"/>
              <w:left w:val="single" w:sz="6" w:space="0" w:color="auto"/>
              <w:bottom w:val="single" w:sz="6" w:space="0" w:color="auto"/>
              <w:right w:val="single" w:sz="6" w:space="0" w:color="auto"/>
            </w:tcBorders>
          </w:tcPr>
          <w:p w14:paraId="1CE804D9" w14:textId="77777777" w:rsidR="00CA23D0" w:rsidRPr="00E30642" w:rsidRDefault="00CA23D0" w:rsidP="00CA23D0">
            <w:pPr>
              <w:pStyle w:val="Texttabulky"/>
              <w:jc w:val="both"/>
              <w:rPr>
                <w:rFonts w:cs="Arial"/>
              </w:rPr>
            </w:pPr>
            <w:r w:rsidRPr="00E30642">
              <w:rPr>
                <w:rFonts w:cs="Arial"/>
                <w:sz w:val="18"/>
                <w:szCs w:val="18"/>
              </w:rPr>
              <w:t xml:space="preserve"> 3,20</w:t>
            </w:r>
          </w:p>
        </w:tc>
        <w:tc>
          <w:tcPr>
            <w:tcW w:w="436" w:type="dxa"/>
            <w:tcBorders>
              <w:top w:val="single" w:sz="6" w:space="0" w:color="auto"/>
              <w:left w:val="single" w:sz="6" w:space="0" w:color="auto"/>
              <w:bottom w:val="single" w:sz="6" w:space="0" w:color="auto"/>
              <w:right w:val="single" w:sz="6" w:space="0" w:color="auto"/>
            </w:tcBorders>
          </w:tcPr>
          <w:p w14:paraId="0C0EB501" w14:textId="77777777" w:rsidR="00CA23D0" w:rsidRPr="00E30642" w:rsidRDefault="00CA23D0" w:rsidP="00CA23D0">
            <w:pPr>
              <w:pStyle w:val="Zkladntext"/>
              <w:jc w:val="both"/>
              <w:rPr>
                <w:rFonts w:ascii="Arial" w:hAnsi="Arial" w:cs="Arial"/>
              </w:rPr>
            </w:pPr>
          </w:p>
        </w:tc>
        <w:tc>
          <w:tcPr>
            <w:tcW w:w="488" w:type="dxa"/>
            <w:tcBorders>
              <w:top w:val="single" w:sz="6" w:space="0" w:color="auto"/>
              <w:left w:val="single" w:sz="6" w:space="0" w:color="auto"/>
              <w:bottom w:val="single" w:sz="6" w:space="0" w:color="auto"/>
              <w:right w:val="single" w:sz="6" w:space="0" w:color="auto"/>
            </w:tcBorders>
          </w:tcPr>
          <w:p w14:paraId="2B42A0DF" w14:textId="77777777" w:rsidR="00CA23D0" w:rsidRPr="00E30642" w:rsidRDefault="00CA23D0" w:rsidP="00CA23D0">
            <w:pPr>
              <w:pStyle w:val="Texttabulky"/>
              <w:jc w:val="both"/>
              <w:rPr>
                <w:rFonts w:cs="Arial"/>
              </w:rPr>
            </w:pPr>
            <w:r w:rsidRPr="00E30642">
              <w:rPr>
                <w:rFonts w:cs="Arial"/>
                <w:sz w:val="18"/>
                <w:szCs w:val="18"/>
              </w:rPr>
              <w:t>-</w:t>
            </w:r>
          </w:p>
        </w:tc>
        <w:tc>
          <w:tcPr>
            <w:tcW w:w="494" w:type="dxa"/>
            <w:tcBorders>
              <w:top w:val="single" w:sz="6" w:space="0" w:color="auto"/>
              <w:left w:val="single" w:sz="6" w:space="0" w:color="auto"/>
              <w:bottom w:val="single" w:sz="6" w:space="0" w:color="auto"/>
              <w:right w:val="single" w:sz="6" w:space="0" w:color="auto"/>
            </w:tcBorders>
          </w:tcPr>
          <w:p w14:paraId="3622615E" w14:textId="77777777" w:rsidR="00CA23D0" w:rsidRPr="00E30642" w:rsidRDefault="00CA23D0" w:rsidP="00CA23D0">
            <w:pPr>
              <w:pStyle w:val="Texttabulky"/>
              <w:jc w:val="both"/>
              <w:rPr>
                <w:rFonts w:cs="Arial"/>
              </w:rPr>
            </w:pPr>
            <w:r w:rsidRPr="00E30642">
              <w:rPr>
                <w:rFonts w:cs="Arial"/>
                <w:sz w:val="18"/>
                <w:szCs w:val="18"/>
              </w:rPr>
              <w:t>1,26</w:t>
            </w:r>
          </w:p>
        </w:tc>
        <w:tc>
          <w:tcPr>
            <w:tcW w:w="358" w:type="dxa"/>
            <w:tcBorders>
              <w:top w:val="single" w:sz="6" w:space="0" w:color="auto"/>
              <w:left w:val="single" w:sz="6" w:space="0" w:color="auto"/>
              <w:bottom w:val="single" w:sz="6" w:space="0" w:color="auto"/>
              <w:right w:val="single" w:sz="6" w:space="0" w:color="auto"/>
            </w:tcBorders>
          </w:tcPr>
          <w:p w14:paraId="5FFE26E1" w14:textId="77777777" w:rsidR="00CA23D0" w:rsidRPr="00E30642" w:rsidRDefault="00CA23D0" w:rsidP="00CA23D0">
            <w:pPr>
              <w:pStyle w:val="Zkladntext"/>
              <w:jc w:val="both"/>
              <w:rPr>
                <w:rFonts w:ascii="Arial" w:hAnsi="Arial" w:cs="Arial"/>
              </w:rPr>
            </w:pPr>
          </w:p>
        </w:tc>
        <w:tc>
          <w:tcPr>
            <w:tcW w:w="399" w:type="dxa"/>
            <w:tcBorders>
              <w:top w:val="single" w:sz="6" w:space="0" w:color="auto"/>
              <w:left w:val="single" w:sz="6" w:space="0" w:color="auto"/>
              <w:bottom w:val="single" w:sz="6" w:space="0" w:color="auto"/>
              <w:right w:val="single" w:sz="6" w:space="0" w:color="auto"/>
            </w:tcBorders>
          </w:tcPr>
          <w:p w14:paraId="34267216" w14:textId="77777777" w:rsidR="00CA23D0" w:rsidRPr="00E30642" w:rsidRDefault="00CA23D0" w:rsidP="00CA23D0">
            <w:pPr>
              <w:pStyle w:val="Texttabulky"/>
              <w:jc w:val="both"/>
              <w:rPr>
                <w:rFonts w:cs="Arial"/>
              </w:rPr>
            </w:pPr>
            <w:r w:rsidRPr="00E30642">
              <w:rPr>
                <w:rFonts w:cs="Arial"/>
                <w:sz w:val="18"/>
                <w:szCs w:val="18"/>
              </w:rPr>
              <w:t>0,53</w:t>
            </w:r>
          </w:p>
        </w:tc>
        <w:tc>
          <w:tcPr>
            <w:tcW w:w="678" w:type="dxa"/>
            <w:tcBorders>
              <w:top w:val="single" w:sz="6" w:space="0" w:color="auto"/>
              <w:left w:val="single" w:sz="6" w:space="0" w:color="auto"/>
              <w:bottom w:val="single" w:sz="6" w:space="0" w:color="auto"/>
              <w:right w:val="single" w:sz="6" w:space="0" w:color="auto"/>
            </w:tcBorders>
          </w:tcPr>
          <w:p w14:paraId="41F3827F" w14:textId="77777777" w:rsidR="00CA23D0" w:rsidRPr="00E30642" w:rsidRDefault="00CA23D0" w:rsidP="00CA23D0">
            <w:pPr>
              <w:pStyle w:val="Texttabulky"/>
              <w:jc w:val="both"/>
              <w:rPr>
                <w:rFonts w:cs="Arial"/>
              </w:rPr>
            </w:pPr>
            <w:r w:rsidRPr="00E30642">
              <w:rPr>
                <w:rFonts w:cs="Arial"/>
                <w:sz w:val="18"/>
                <w:szCs w:val="18"/>
              </w:rPr>
              <w:t>6,93</w:t>
            </w:r>
          </w:p>
        </w:tc>
        <w:tc>
          <w:tcPr>
            <w:tcW w:w="817" w:type="dxa"/>
            <w:tcBorders>
              <w:top w:val="single" w:sz="6" w:space="0" w:color="auto"/>
              <w:left w:val="single" w:sz="6" w:space="0" w:color="auto"/>
              <w:bottom w:val="single" w:sz="6" w:space="0" w:color="auto"/>
              <w:right w:val="single" w:sz="6" w:space="0" w:color="auto"/>
            </w:tcBorders>
          </w:tcPr>
          <w:p w14:paraId="35E20712" w14:textId="77777777" w:rsidR="00CA23D0" w:rsidRPr="00E30642" w:rsidRDefault="00CA23D0" w:rsidP="00CA23D0">
            <w:pPr>
              <w:pStyle w:val="Texttabulky"/>
              <w:jc w:val="both"/>
              <w:rPr>
                <w:rFonts w:cs="Arial"/>
              </w:rPr>
            </w:pPr>
            <w:r w:rsidRPr="00E30642">
              <w:rPr>
                <w:rFonts w:cs="Arial"/>
                <w:sz w:val="18"/>
                <w:szCs w:val="18"/>
              </w:rPr>
              <w:t>26,67</w:t>
            </w:r>
          </w:p>
        </w:tc>
        <w:tc>
          <w:tcPr>
            <w:tcW w:w="708" w:type="dxa"/>
            <w:tcBorders>
              <w:top w:val="single" w:sz="6" w:space="0" w:color="auto"/>
              <w:left w:val="single" w:sz="6" w:space="0" w:color="auto"/>
              <w:bottom w:val="single" w:sz="6" w:space="0" w:color="auto"/>
              <w:right w:val="single" w:sz="6" w:space="0" w:color="auto"/>
            </w:tcBorders>
          </w:tcPr>
          <w:p w14:paraId="3B361B93" w14:textId="77777777" w:rsidR="00CA23D0" w:rsidRPr="00E30642" w:rsidRDefault="00CA23D0" w:rsidP="00CA23D0">
            <w:pPr>
              <w:pStyle w:val="Texttabulky"/>
              <w:jc w:val="both"/>
              <w:rPr>
                <w:rFonts w:cs="Arial"/>
              </w:rPr>
            </w:pPr>
            <w:r w:rsidRPr="00E30642">
              <w:rPr>
                <w:rFonts w:cs="Arial"/>
                <w:b/>
                <w:bCs/>
                <w:sz w:val="18"/>
                <w:szCs w:val="18"/>
              </w:rPr>
              <w:t>33,6</w:t>
            </w:r>
          </w:p>
        </w:tc>
        <w:tc>
          <w:tcPr>
            <w:tcW w:w="1161" w:type="dxa"/>
            <w:tcBorders>
              <w:top w:val="single" w:sz="6" w:space="0" w:color="auto"/>
              <w:left w:val="single" w:sz="6" w:space="0" w:color="auto"/>
              <w:bottom w:val="single" w:sz="6" w:space="0" w:color="auto"/>
              <w:right w:val="single" w:sz="6" w:space="0" w:color="auto"/>
            </w:tcBorders>
          </w:tcPr>
          <w:p w14:paraId="25CCAEAB" w14:textId="77777777" w:rsidR="00CA23D0" w:rsidRPr="00E30642" w:rsidRDefault="00CA23D0" w:rsidP="00CA23D0">
            <w:pPr>
              <w:pStyle w:val="Texttabulky"/>
              <w:jc w:val="both"/>
              <w:rPr>
                <w:rFonts w:cs="Arial"/>
              </w:rPr>
            </w:pPr>
            <w:r w:rsidRPr="00E30642">
              <w:rPr>
                <w:rFonts w:cs="Arial"/>
                <w:sz w:val="18"/>
                <w:szCs w:val="18"/>
              </w:rPr>
              <w:t>20</w:t>
            </w:r>
          </w:p>
        </w:tc>
      </w:tr>
      <w:tr w:rsidR="00CA23D0" w:rsidRPr="00E30642" w14:paraId="3FF94048" w14:textId="77777777" w:rsidTr="00CA23D0">
        <w:trPr>
          <w:trHeight w:val="411"/>
          <w:jc w:val="center"/>
        </w:trPr>
        <w:tc>
          <w:tcPr>
            <w:tcW w:w="339" w:type="dxa"/>
            <w:tcBorders>
              <w:top w:val="single" w:sz="6" w:space="0" w:color="auto"/>
              <w:left w:val="single" w:sz="6" w:space="0" w:color="auto"/>
              <w:bottom w:val="single" w:sz="6" w:space="0" w:color="auto"/>
              <w:right w:val="single" w:sz="6" w:space="0" w:color="auto"/>
            </w:tcBorders>
          </w:tcPr>
          <w:p w14:paraId="4A2403D9" w14:textId="77777777" w:rsidR="00CA23D0" w:rsidRPr="00E30642" w:rsidRDefault="00CA23D0" w:rsidP="00CA23D0">
            <w:pPr>
              <w:pStyle w:val="Texttabulky"/>
              <w:jc w:val="both"/>
              <w:rPr>
                <w:rFonts w:cs="Arial"/>
              </w:rPr>
            </w:pPr>
            <w:r w:rsidRPr="00E30642">
              <w:rPr>
                <w:rFonts w:cs="Arial"/>
                <w:b/>
                <w:bCs/>
                <w:sz w:val="18"/>
                <w:szCs w:val="18"/>
              </w:rPr>
              <w:t>VIII</w:t>
            </w:r>
          </w:p>
        </w:tc>
        <w:tc>
          <w:tcPr>
            <w:tcW w:w="1479" w:type="dxa"/>
            <w:tcBorders>
              <w:top w:val="single" w:sz="6" w:space="0" w:color="auto"/>
              <w:left w:val="single" w:sz="6" w:space="0" w:color="auto"/>
              <w:bottom w:val="single" w:sz="6" w:space="0" w:color="auto"/>
              <w:right w:val="single" w:sz="6" w:space="0" w:color="auto"/>
            </w:tcBorders>
          </w:tcPr>
          <w:p w14:paraId="62B4888D" w14:textId="77777777" w:rsidR="00CA23D0" w:rsidRPr="00E30642" w:rsidRDefault="00CA23D0" w:rsidP="00CA23D0">
            <w:pPr>
              <w:pStyle w:val="Texttabulky"/>
              <w:jc w:val="both"/>
              <w:rPr>
                <w:rFonts w:cs="Arial"/>
              </w:rPr>
            </w:pPr>
            <w:r w:rsidRPr="00E30642">
              <w:rPr>
                <w:rFonts w:cs="Arial"/>
                <w:sz w:val="18"/>
                <w:szCs w:val="18"/>
              </w:rPr>
              <w:t xml:space="preserve">Maxičky - Žleb </w:t>
            </w:r>
          </w:p>
        </w:tc>
        <w:tc>
          <w:tcPr>
            <w:tcW w:w="508" w:type="dxa"/>
            <w:tcBorders>
              <w:top w:val="single" w:sz="6" w:space="0" w:color="auto"/>
              <w:left w:val="single" w:sz="6" w:space="0" w:color="auto"/>
              <w:bottom w:val="single" w:sz="6" w:space="0" w:color="auto"/>
              <w:right w:val="single" w:sz="6" w:space="0" w:color="auto"/>
            </w:tcBorders>
          </w:tcPr>
          <w:p w14:paraId="42E77891" w14:textId="77777777" w:rsidR="00CA23D0" w:rsidRPr="00E30642" w:rsidRDefault="00CA23D0" w:rsidP="00CA23D0">
            <w:pPr>
              <w:pStyle w:val="Texttabulky"/>
              <w:jc w:val="both"/>
              <w:rPr>
                <w:rFonts w:cs="Arial"/>
              </w:rPr>
            </w:pPr>
            <w:r w:rsidRPr="00E30642">
              <w:rPr>
                <w:rFonts w:cs="Arial"/>
                <w:sz w:val="18"/>
                <w:szCs w:val="18"/>
              </w:rPr>
              <w:t>0,53</w:t>
            </w:r>
          </w:p>
        </w:tc>
        <w:tc>
          <w:tcPr>
            <w:tcW w:w="395" w:type="dxa"/>
            <w:tcBorders>
              <w:top w:val="single" w:sz="6" w:space="0" w:color="auto"/>
              <w:left w:val="single" w:sz="6" w:space="0" w:color="auto"/>
              <w:bottom w:val="single" w:sz="6" w:space="0" w:color="auto"/>
              <w:right w:val="single" w:sz="6" w:space="0" w:color="auto"/>
            </w:tcBorders>
          </w:tcPr>
          <w:p w14:paraId="4509295E" w14:textId="77777777" w:rsidR="00CA23D0" w:rsidRPr="00E30642" w:rsidRDefault="00CA23D0" w:rsidP="00CA23D0">
            <w:pPr>
              <w:pStyle w:val="Zkladntext"/>
              <w:jc w:val="both"/>
              <w:rPr>
                <w:rFonts w:ascii="Arial" w:hAnsi="Arial" w:cs="Arial"/>
                <w:highlight w:val="yellow"/>
              </w:rPr>
            </w:pPr>
          </w:p>
        </w:tc>
        <w:tc>
          <w:tcPr>
            <w:tcW w:w="438" w:type="dxa"/>
            <w:tcBorders>
              <w:top w:val="single" w:sz="6" w:space="0" w:color="auto"/>
              <w:left w:val="single" w:sz="6" w:space="0" w:color="auto"/>
              <w:bottom w:val="single" w:sz="6" w:space="0" w:color="auto"/>
              <w:right w:val="single" w:sz="6" w:space="0" w:color="auto"/>
            </w:tcBorders>
          </w:tcPr>
          <w:p w14:paraId="0B84DB0F" w14:textId="77777777" w:rsidR="00CA23D0" w:rsidRPr="00E30642" w:rsidRDefault="00CA23D0" w:rsidP="00CA23D0">
            <w:pPr>
              <w:pStyle w:val="Texttabulky"/>
              <w:jc w:val="both"/>
              <w:rPr>
                <w:rFonts w:cs="Arial"/>
              </w:rPr>
            </w:pPr>
            <w:r w:rsidRPr="00E30642">
              <w:rPr>
                <w:rFonts w:cs="Arial"/>
                <w:sz w:val="18"/>
                <w:szCs w:val="18"/>
              </w:rPr>
              <w:t>-</w:t>
            </w:r>
          </w:p>
        </w:tc>
        <w:tc>
          <w:tcPr>
            <w:tcW w:w="480" w:type="dxa"/>
            <w:tcBorders>
              <w:top w:val="single" w:sz="6" w:space="0" w:color="auto"/>
              <w:left w:val="single" w:sz="6" w:space="0" w:color="auto"/>
              <w:bottom w:val="single" w:sz="6" w:space="0" w:color="auto"/>
              <w:right w:val="single" w:sz="6" w:space="0" w:color="auto"/>
            </w:tcBorders>
          </w:tcPr>
          <w:p w14:paraId="02D4951C" w14:textId="77777777" w:rsidR="00CA23D0" w:rsidRPr="00E30642" w:rsidRDefault="00CA23D0" w:rsidP="00CA23D0">
            <w:pPr>
              <w:pStyle w:val="Texttabulky"/>
              <w:jc w:val="both"/>
              <w:rPr>
                <w:rFonts w:cs="Arial"/>
              </w:rPr>
            </w:pPr>
            <w:r w:rsidRPr="00E30642">
              <w:rPr>
                <w:rFonts w:cs="Arial"/>
                <w:sz w:val="18"/>
                <w:szCs w:val="18"/>
              </w:rPr>
              <w:t>-</w:t>
            </w:r>
          </w:p>
        </w:tc>
        <w:tc>
          <w:tcPr>
            <w:tcW w:w="436" w:type="dxa"/>
            <w:tcBorders>
              <w:top w:val="single" w:sz="6" w:space="0" w:color="auto"/>
              <w:left w:val="single" w:sz="6" w:space="0" w:color="auto"/>
              <w:bottom w:val="single" w:sz="6" w:space="0" w:color="auto"/>
              <w:right w:val="single" w:sz="6" w:space="0" w:color="auto"/>
            </w:tcBorders>
          </w:tcPr>
          <w:p w14:paraId="306911AA" w14:textId="77777777" w:rsidR="00CA23D0" w:rsidRPr="00E30642" w:rsidRDefault="00CA23D0" w:rsidP="00CA23D0">
            <w:pPr>
              <w:pStyle w:val="Zkladntext"/>
              <w:jc w:val="both"/>
              <w:rPr>
                <w:rFonts w:ascii="Arial" w:hAnsi="Arial" w:cs="Arial"/>
              </w:rPr>
            </w:pPr>
          </w:p>
        </w:tc>
        <w:tc>
          <w:tcPr>
            <w:tcW w:w="488" w:type="dxa"/>
            <w:tcBorders>
              <w:top w:val="single" w:sz="6" w:space="0" w:color="auto"/>
              <w:left w:val="single" w:sz="6" w:space="0" w:color="auto"/>
              <w:bottom w:val="single" w:sz="6" w:space="0" w:color="auto"/>
              <w:right w:val="single" w:sz="6" w:space="0" w:color="auto"/>
            </w:tcBorders>
          </w:tcPr>
          <w:p w14:paraId="49D76CF8" w14:textId="77777777" w:rsidR="00CA23D0" w:rsidRPr="00E30642" w:rsidRDefault="00CA23D0" w:rsidP="00CA23D0">
            <w:pPr>
              <w:pStyle w:val="Texttabulky"/>
              <w:jc w:val="both"/>
              <w:rPr>
                <w:rFonts w:cs="Arial"/>
              </w:rPr>
            </w:pPr>
            <w:r w:rsidRPr="00E30642">
              <w:rPr>
                <w:rFonts w:cs="Arial"/>
                <w:sz w:val="18"/>
                <w:szCs w:val="18"/>
              </w:rPr>
              <w:t>-</w:t>
            </w:r>
          </w:p>
        </w:tc>
        <w:tc>
          <w:tcPr>
            <w:tcW w:w="494" w:type="dxa"/>
            <w:tcBorders>
              <w:top w:val="single" w:sz="6" w:space="0" w:color="auto"/>
              <w:left w:val="single" w:sz="6" w:space="0" w:color="auto"/>
              <w:bottom w:val="single" w:sz="6" w:space="0" w:color="auto"/>
              <w:right w:val="single" w:sz="6" w:space="0" w:color="auto"/>
            </w:tcBorders>
          </w:tcPr>
          <w:p w14:paraId="687C3823" w14:textId="77777777" w:rsidR="00CA23D0" w:rsidRPr="00E30642" w:rsidRDefault="00CA23D0" w:rsidP="00CA23D0">
            <w:pPr>
              <w:pStyle w:val="Texttabulky"/>
              <w:jc w:val="both"/>
              <w:rPr>
                <w:rFonts w:cs="Arial"/>
              </w:rPr>
            </w:pPr>
            <w:r w:rsidRPr="00E30642">
              <w:rPr>
                <w:rFonts w:cs="Arial"/>
                <w:sz w:val="18"/>
                <w:szCs w:val="18"/>
              </w:rPr>
              <w:t>-</w:t>
            </w:r>
          </w:p>
        </w:tc>
        <w:tc>
          <w:tcPr>
            <w:tcW w:w="358" w:type="dxa"/>
            <w:tcBorders>
              <w:top w:val="single" w:sz="6" w:space="0" w:color="auto"/>
              <w:left w:val="single" w:sz="6" w:space="0" w:color="auto"/>
              <w:bottom w:val="single" w:sz="6" w:space="0" w:color="auto"/>
              <w:right w:val="single" w:sz="6" w:space="0" w:color="auto"/>
            </w:tcBorders>
          </w:tcPr>
          <w:p w14:paraId="008292F3" w14:textId="77777777" w:rsidR="00CA23D0" w:rsidRPr="00E30642" w:rsidRDefault="00CA23D0" w:rsidP="00CA23D0">
            <w:pPr>
              <w:pStyle w:val="Zkladntext"/>
              <w:jc w:val="both"/>
              <w:rPr>
                <w:rFonts w:ascii="Arial" w:hAnsi="Arial" w:cs="Arial"/>
              </w:rPr>
            </w:pPr>
          </w:p>
        </w:tc>
        <w:tc>
          <w:tcPr>
            <w:tcW w:w="399" w:type="dxa"/>
            <w:tcBorders>
              <w:top w:val="single" w:sz="6" w:space="0" w:color="auto"/>
              <w:left w:val="single" w:sz="6" w:space="0" w:color="auto"/>
              <w:bottom w:val="single" w:sz="6" w:space="0" w:color="auto"/>
              <w:right w:val="single" w:sz="6" w:space="0" w:color="auto"/>
            </w:tcBorders>
          </w:tcPr>
          <w:p w14:paraId="2C4C2DE6" w14:textId="77777777" w:rsidR="00CA23D0" w:rsidRPr="00E30642" w:rsidRDefault="00CA23D0" w:rsidP="00CA23D0">
            <w:pPr>
              <w:pStyle w:val="Texttabulky"/>
              <w:jc w:val="both"/>
              <w:rPr>
                <w:rFonts w:cs="Arial"/>
              </w:rPr>
            </w:pPr>
            <w:r w:rsidRPr="00E30642">
              <w:rPr>
                <w:rFonts w:cs="Arial"/>
                <w:sz w:val="18"/>
                <w:szCs w:val="18"/>
              </w:rPr>
              <w:t>-</w:t>
            </w:r>
          </w:p>
        </w:tc>
        <w:tc>
          <w:tcPr>
            <w:tcW w:w="678" w:type="dxa"/>
            <w:tcBorders>
              <w:top w:val="single" w:sz="6" w:space="0" w:color="auto"/>
              <w:left w:val="single" w:sz="6" w:space="0" w:color="auto"/>
              <w:bottom w:val="single" w:sz="6" w:space="0" w:color="auto"/>
              <w:right w:val="single" w:sz="6" w:space="0" w:color="auto"/>
            </w:tcBorders>
          </w:tcPr>
          <w:p w14:paraId="01899E30" w14:textId="77777777" w:rsidR="00CA23D0" w:rsidRPr="00E30642" w:rsidRDefault="00CA23D0" w:rsidP="00CA23D0">
            <w:pPr>
              <w:pStyle w:val="Texttabulky"/>
              <w:jc w:val="both"/>
              <w:rPr>
                <w:rFonts w:cs="Arial"/>
              </w:rPr>
            </w:pPr>
            <w:r w:rsidRPr="00E30642">
              <w:rPr>
                <w:rFonts w:cs="Arial"/>
                <w:sz w:val="18"/>
                <w:szCs w:val="18"/>
              </w:rPr>
              <w:t>0,53</w:t>
            </w:r>
          </w:p>
        </w:tc>
        <w:tc>
          <w:tcPr>
            <w:tcW w:w="817" w:type="dxa"/>
            <w:tcBorders>
              <w:top w:val="single" w:sz="6" w:space="0" w:color="auto"/>
              <w:left w:val="single" w:sz="6" w:space="0" w:color="auto"/>
              <w:bottom w:val="single" w:sz="6" w:space="0" w:color="auto"/>
              <w:right w:val="single" w:sz="6" w:space="0" w:color="auto"/>
            </w:tcBorders>
          </w:tcPr>
          <w:p w14:paraId="178636F3" w14:textId="77777777" w:rsidR="00CA23D0" w:rsidRPr="00E30642" w:rsidRDefault="00CA23D0" w:rsidP="00CA23D0">
            <w:pPr>
              <w:pStyle w:val="Texttabulky"/>
              <w:jc w:val="both"/>
              <w:rPr>
                <w:rFonts w:cs="Arial"/>
              </w:rPr>
            </w:pPr>
            <w:r w:rsidRPr="00E30642">
              <w:rPr>
                <w:rFonts w:cs="Arial"/>
                <w:sz w:val="18"/>
                <w:szCs w:val="18"/>
              </w:rPr>
              <w:t>-</w:t>
            </w:r>
          </w:p>
        </w:tc>
        <w:tc>
          <w:tcPr>
            <w:tcW w:w="708" w:type="dxa"/>
            <w:tcBorders>
              <w:top w:val="single" w:sz="6" w:space="0" w:color="auto"/>
              <w:left w:val="single" w:sz="6" w:space="0" w:color="auto"/>
              <w:bottom w:val="single" w:sz="6" w:space="0" w:color="auto"/>
              <w:right w:val="single" w:sz="6" w:space="0" w:color="auto"/>
            </w:tcBorders>
          </w:tcPr>
          <w:p w14:paraId="12F6B726" w14:textId="77777777" w:rsidR="00CA23D0" w:rsidRPr="00E30642" w:rsidRDefault="00CA23D0" w:rsidP="00CA23D0">
            <w:pPr>
              <w:pStyle w:val="Texttabulky"/>
              <w:jc w:val="both"/>
              <w:rPr>
                <w:rFonts w:cs="Arial"/>
              </w:rPr>
            </w:pPr>
            <w:r w:rsidRPr="00E30642">
              <w:rPr>
                <w:rFonts w:cs="Arial"/>
                <w:b/>
                <w:bCs/>
                <w:sz w:val="18"/>
                <w:szCs w:val="18"/>
              </w:rPr>
              <w:t>0,53</w:t>
            </w:r>
          </w:p>
        </w:tc>
        <w:tc>
          <w:tcPr>
            <w:tcW w:w="1161" w:type="dxa"/>
            <w:tcBorders>
              <w:top w:val="single" w:sz="6" w:space="0" w:color="auto"/>
              <w:left w:val="single" w:sz="6" w:space="0" w:color="auto"/>
              <w:bottom w:val="single" w:sz="6" w:space="0" w:color="auto"/>
              <w:right w:val="single" w:sz="6" w:space="0" w:color="auto"/>
            </w:tcBorders>
          </w:tcPr>
          <w:p w14:paraId="1DDCF03E" w14:textId="77777777" w:rsidR="00CA23D0" w:rsidRPr="00E30642" w:rsidRDefault="00CA23D0" w:rsidP="00CA23D0">
            <w:pPr>
              <w:pStyle w:val="Texttabulky"/>
              <w:jc w:val="both"/>
              <w:rPr>
                <w:rFonts w:cs="Arial"/>
              </w:rPr>
            </w:pPr>
            <w:r w:rsidRPr="00E30642">
              <w:rPr>
                <w:rFonts w:cs="Arial"/>
                <w:sz w:val="18"/>
                <w:szCs w:val="18"/>
              </w:rPr>
              <w:t>-</w:t>
            </w:r>
          </w:p>
        </w:tc>
      </w:tr>
      <w:tr w:rsidR="00CA23D0" w:rsidRPr="00E30642" w14:paraId="747C38D4" w14:textId="77777777" w:rsidTr="00CA23D0">
        <w:trPr>
          <w:trHeight w:val="237"/>
          <w:jc w:val="center"/>
        </w:trPr>
        <w:tc>
          <w:tcPr>
            <w:tcW w:w="339" w:type="dxa"/>
            <w:tcBorders>
              <w:top w:val="single" w:sz="6" w:space="0" w:color="auto"/>
              <w:left w:val="single" w:sz="6" w:space="0" w:color="auto"/>
              <w:bottom w:val="single" w:sz="6" w:space="0" w:color="auto"/>
              <w:right w:val="single" w:sz="6" w:space="0" w:color="auto"/>
            </w:tcBorders>
          </w:tcPr>
          <w:p w14:paraId="5823E81D" w14:textId="77777777" w:rsidR="00CA23D0" w:rsidRPr="00E30642" w:rsidRDefault="00CA23D0" w:rsidP="00CA23D0">
            <w:pPr>
              <w:pStyle w:val="Texttabulky"/>
              <w:jc w:val="both"/>
              <w:rPr>
                <w:rFonts w:cs="Arial"/>
              </w:rPr>
            </w:pPr>
            <w:r w:rsidRPr="00E30642">
              <w:rPr>
                <w:rFonts w:cs="Arial"/>
                <w:b/>
                <w:bCs/>
                <w:sz w:val="18"/>
                <w:szCs w:val="18"/>
              </w:rPr>
              <w:t>IX</w:t>
            </w:r>
          </w:p>
        </w:tc>
        <w:tc>
          <w:tcPr>
            <w:tcW w:w="1479" w:type="dxa"/>
            <w:tcBorders>
              <w:top w:val="single" w:sz="6" w:space="0" w:color="auto"/>
              <w:left w:val="single" w:sz="6" w:space="0" w:color="auto"/>
              <w:bottom w:val="single" w:sz="6" w:space="0" w:color="auto"/>
              <w:right w:val="single" w:sz="6" w:space="0" w:color="auto"/>
            </w:tcBorders>
          </w:tcPr>
          <w:p w14:paraId="748C9831" w14:textId="77777777" w:rsidR="00CA23D0" w:rsidRPr="00E30642" w:rsidRDefault="00CA23D0" w:rsidP="00CA23D0">
            <w:pPr>
              <w:pStyle w:val="Texttabulky"/>
              <w:jc w:val="both"/>
              <w:rPr>
                <w:rFonts w:cs="Arial"/>
              </w:rPr>
            </w:pPr>
            <w:r w:rsidRPr="00E30642">
              <w:rPr>
                <w:rFonts w:cs="Arial"/>
                <w:sz w:val="18"/>
                <w:szCs w:val="18"/>
              </w:rPr>
              <w:t xml:space="preserve">Lesná </w:t>
            </w:r>
          </w:p>
        </w:tc>
        <w:tc>
          <w:tcPr>
            <w:tcW w:w="508" w:type="dxa"/>
            <w:tcBorders>
              <w:top w:val="single" w:sz="6" w:space="0" w:color="auto"/>
              <w:left w:val="single" w:sz="6" w:space="0" w:color="auto"/>
              <w:bottom w:val="single" w:sz="6" w:space="0" w:color="auto"/>
              <w:right w:val="single" w:sz="6" w:space="0" w:color="auto"/>
            </w:tcBorders>
          </w:tcPr>
          <w:p w14:paraId="50B79313" w14:textId="77777777" w:rsidR="00CA23D0" w:rsidRPr="00E30642" w:rsidRDefault="00CA23D0" w:rsidP="00CA23D0">
            <w:pPr>
              <w:pStyle w:val="Texttabulky"/>
              <w:jc w:val="both"/>
              <w:rPr>
                <w:rFonts w:cs="Arial"/>
              </w:rPr>
            </w:pPr>
            <w:r w:rsidRPr="00E30642">
              <w:rPr>
                <w:rFonts w:cs="Arial"/>
                <w:sz w:val="18"/>
                <w:szCs w:val="18"/>
              </w:rPr>
              <w:t>8,18</w:t>
            </w:r>
          </w:p>
        </w:tc>
        <w:tc>
          <w:tcPr>
            <w:tcW w:w="395" w:type="dxa"/>
            <w:tcBorders>
              <w:top w:val="single" w:sz="6" w:space="0" w:color="auto"/>
              <w:left w:val="single" w:sz="6" w:space="0" w:color="auto"/>
              <w:bottom w:val="single" w:sz="6" w:space="0" w:color="auto"/>
              <w:right w:val="single" w:sz="6" w:space="0" w:color="auto"/>
            </w:tcBorders>
          </w:tcPr>
          <w:p w14:paraId="2D9222BC" w14:textId="77777777" w:rsidR="00CA23D0" w:rsidRPr="00E30642" w:rsidRDefault="00CA23D0" w:rsidP="00CA23D0">
            <w:pPr>
              <w:pStyle w:val="Zkladntext"/>
              <w:jc w:val="both"/>
              <w:rPr>
                <w:rFonts w:ascii="Arial" w:hAnsi="Arial" w:cs="Arial"/>
                <w:highlight w:val="yellow"/>
              </w:rPr>
            </w:pPr>
          </w:p>
        </w:tc>
        <w:tc>
          <w:tcPr>
            <w:tcW w:w="438" w:type="dxa"/>
            <w:tcBorders>
              <w:top w:val="single" w:sz="6" w:space="0" w:color="auto"/>
              <w:left w:val="single" w:sz="6" w:space="0" w:color="auto"/>
              <w:bottom w:val="single" w:sz="6" w:space="0" w:color="auto"/>
              <w:right w:val="single" w:sz="6" w:space="0" w:color="auto"/>
            </w:tcBorders>
          </w:tcPr>
          <w:p w14:paraId="5A4B502D" w14:textId="77777777" w:rsidR="00CA23D0" w:rsidRPr="00E30642" w:rsidRDefault="00CA23D0" w:rsidP="00CA23D0">
            <w:pPr>
              <w:pStyle w:val="Texttabulky"/>
              <w:jc w:val="both"/>
              <w:rPr>
                <w:rFonts w:cs="Arial"/>
              </w:rPr>
            </w:pPr>
            <w:r w:rsidRPr="00E30642">
              <w:rPr>
                <w:rFonts w:cs="Arial"/>
                <w:sz w:val="18"/>
                <w:szCs w:val="18"/>
              </w:rPr>
              <w:t>-</w:t>
            </w:r>
          </w:p>
        </w:tc>
        <w:tc>
          <w:tcPr>
            <w:tcW w:w="480" w:type="dxa"/>
            <w:tcBorders>
              <w:top w:val="single" w:sz="6" w:space="0" w:color="auto"/>
              <w:left w:val="single" w:sz="6" w:space="0" w:color="auto"/>
              <w:bottom w:val="single" w:sz="6" w:space="0" w:color="auto"/>
              <w:right w:val="single" w:sz="6" w:space="0" w:color="auto"/>
            </w:tcBorders>
          </w:tcPr>
          <w:p w14:paraId="164FABF0" w14:textId="77777777" w:rsidR="00CA23D0" w:rsidRPr="00E30642" w:rsidRDefault="00CA23D0" w:rsidP="00CA23D0">
            <w:pPr>
              <w:pStyle w:val="Texttabulky"/>
              <w:jc w:val="both"/>
              <w:rPr>
                <w:rFonts w:cs="Arial"/>
              </w:rPr>
            </w:pPr>
            <w:r w:rsidRPr="00E30642">
              <w:rPr>
                <w:rFonts w:cs="Arial"/>
                <w:sz w:val="18"/>
                <w:szCs w:val="18"/>
              </w:rPr>
              <w:t>-</w:t>
            </w:r>
          </w:p>
        </w:tc>
        <w:tc>
          <w:tcPr>
            <w:tcW w:w="436" w:type="dxa"/>
            <w:tcBorders>
              <w:top w:val="single" w:sz="6" w:space="0" w:color="auto"/>
              <w:left w:val="single" w:sz="6" w:space="0" w:color="auto"/>
              <w:bottom w:val="single" w:sz="6" w:space="0" w:color="auto"/>
              <w:right w:val="single" w:sz="6" w:space="0" w:color="auto"/>
            </w:tcBorders>
          </w:tcPr>
          <w:p w14:paraId="0983C4A6" w14:textId="77777777" w:rsidR="00CA23D0" w:rsidRPr="00E30642" w:rsidRDefault="00CA23D0" w:rsidP="00CA23D0">
            <w:pPr>
              <w:pStyle w:val="Texttabulky"/>
              <w:jc w:val="both"/>
              <w:rPr>
                <w:rFonts w:cs="Arial"/>
              </w:rPr>
            </w:pPr>
            <w:r w:rsidRPr="00E30642">
              <w:rPr>
                <w:rFonts w:cs="Arial"/>
                <w:sz w:val="18"/>
                <w:szCs w:val="18"/>
              </w:rPr>
              <w:t>-</w:t>
            </w:r>
          </w:p>
        </w:tc>
        <w:tc>
          <w:tcPr>
            <w:tcW w:w="488" w:type="dxa"/>
            <w:tcBorders>
              <w:top w:val="single" w:sz="6" w:space="0" w:color="auto"/>
              <w:left w:val="single" w:sz="6" w:space="0" w:color="auto"/>
              <w:bottom w:val="single" w:sz="6" w:space="0" w:color="auto"/>
              <w:right w:val="single" w:sz="6" w:space="0" w:color="auto"/>
            </w:tcBorders>
          </w:tcPr>
          <w:p w14:paraId="1F1BB919" w14:textId="77777777" w:rsidR="00CA23D0" w:rsidRPr="00E30642" w:rsidRDefault="00CA23D0" w:rsidP="00CA23D0">
            <w:pPr>
              <w:pStyle w:val="Texttabulky"/>
              <w:jc w:val="both"/>
              <w:rPr>
                <w:rFonts w:cs="Arial"/>
              </w:rPr>
            </w:pPr>
            <w:r w:rsidRPr="00E30642">
              <w:rPr>
                <w:rFonts w:cs="Arial"/>
                <w:sz w:val="18"/>
                <w:szCs w:val="18"/>
              </w:rPr>
              <w:t>-</w:t>
            </w:r>
          </w:p>
        </w:tc>
        <w:tc>
          <w:tcPr>
            <w:tcW w:w="494" w:type="dxa"/>
            <w:tcBorders>
              <w:top w:val="single" w:sz="6" w:space="0" w:color="auto"/>
              <w:left w:val="single" w:sz="6" w:space="0" w:color="auto"/>
              <w:bottom w:val="single" w:sz="6" w:space="0" w:color="auto"/>
              <w:right w:val="single" w:sz="6" w:space="0" w:color="auto"/>
            </w:tcBorders>
          </w:tcPr>
          <w:p w14:paraId="0598AEAE" w14:textId="77777777" w:rsidR="00CA23D0" w:rsidRPr="00E30642" w:rsidRDefault="00CA23D0" w:rsidP="00CA23D0">
            <w:pPr>
              <w:pStyle w:val="Texttabulky"/>
              <w:jc w:val="both"/>
              <w:rPr>
                <w:rFonts w:cs="Arial"/>
              </w:rPr>
            </w:pPr>
            <w:r w:rsidRPr="00E30642">
              <w:rPr>
                <w:rFonts w:cs="Arial"/>
                <w:sz w:val="18"/>
                <w:szCs w:val="18"/>
              </w:rPr>
              <w:t>-</w:t>
            </w:r>
          </w:p>
        </w:tc>
        <w:tc>
          <w:tcPr>
            <w:tcW w:w="358" w:type="dxa"/>
            <w:tcBorders>
              <w:top w:val="single" w:sz="6" w:space="0" w:color="auto"/>
              <w:left w:val="single" w:sz="6" w:space="0" w:color="auto"/>
              <w:bottom w:val="single" w:sz="6" w:space="0" w:color="auto"/>
              <w:right w:val="single" w:sz="6" w:space="0" w:color="auto"/>
            </w:tcBorders>
          </w:tcPr>
          <w:p w14:paraId="4D71FE56" w14:textId="77777777" w:rsidR="00CA23D0" w:rsidRPr="00E30642" w:rsidRDefault="00CA23D0" w:rsidP="00CA23D0">
            <w:pPr>
              <w:pStyle w:val="Zkladntext"/>
              <w:jc w:val="both"/>
              <w:rPr>
                <w:rFonts w:ascii="Arial" w:hAnsi="Arial" w:cs="Arial"/>
              </w:rPr>
            </w:pPr>
          </w:p>
        </w:tc>
        <w:tc>
          <w:tcPr>
            <w:tcW w:w="399" w:type="dxa"/>
            <w:tcBorders>
              <w:top w:val="single" w:sz="6" w:space="0" w:color="auto"/>
              <w:left w:val="single" w:sz="6" w:space="0" w:color="auto"/>
              <w:bottom w:val="single" w:sz="6" w:space="0" w:color="auto"/>
              <w:right w:val="single" w:sz="6" w:space="0" w:color="auto"/>
            </w:tcBorders>
          </w:tcPr>
          <w:p w14:paraId="2936FAC4" w14:textId="77777777" w:rsidR="00CA23D0" w:rsidRPr="00E30642" w:rsidRDefault="00CA23D0" w:rsidP="00CA23D0">
            <w:pPr>
              <w:pStyle w:val="Texttabulky"/>
              <w:jc w:val="both"/>
              <w:rPr>
                <w:rFonts w:cs="Arial"/>
              </w:rPr>
            </w:pPr>
            <w:r w:rsidRPr="00E30642">
              <w:rPr>
                <w:rFonts w:cs="Arial"/>
                <w:sz w:val="18"/>
                <w:szCs w:val="18"/>
              </w:rPr>
              <w:t>-</w:t>
            </w:r>
          </w:p>
        </w:tc>
        <w:tc>
          <w:tcPr>
            <w:tcW w:w="678" w:type="dxa"/>
            <w:tcBorders>
              <w:top w:val="single" w:sz="6" w:space="0" w:color="auto"/>
              <w:left w:val="single" w:sz="6" w:space="0" w:color="auto"/>
              <w:bottom w:val="single" w:sz="6" w:space="0" w:color="auto"/>
              <w:right w:val="single" w:sz="6" w:space="0" w:color="auto"/>
            </w:tcBorders>
          </w:tcPr>
          <w:p w14:paraId="3D3EFCA8" w14:textId="77777777" w:rsidR="00CA23D0" w:rsidRPr="00E30642" w:rsidRDefault="00CA23D0" w:rsidP="00CA23D0">
            <w:pPr>
              <w:pStyle w:val="Texttabulky"/>
              <w:jc w:val="both"/>
              <w:rPr>
                <w:rFonts w:cs="Arial"/>
              </w:rPr>
            </w:pPr>
            <w:r w:rsidRPr="00E30642">
              <w:rPr>
                <w:rFonts w:cs="Arial"/>
                <w:sz w:val="18"/>
                <w:szCs w:val="18"/>
              </w:rPr>
              <w:t>8,18</w:t>
            </w:r>
          </w:p>
        </w:tc>
        <w:tc>
          <w:tcPr>
            <w:tcW w:w="817" w:type="dxa"/>
            <w:tcBorders>
              <w:top w:val="single" w:sz="6" w:space="0" w:color="auto"/>
              <w:left w:val="single" w:sz="6" w:space="0" w:color="auto"/>
              <w:bottom w:val="single" w:sz="6" w:space="0" w:color="auto"/>
              <w:right w:val="single" w:sz="6" w:space="0" w:color="auto"/>
            </w:tcBorders>
          </w:tcPr>
          <w:p w14:paraId="346F8F80" w14:textId="77777777" w:rsidR="00CA23D0" w:rsidRPr="00E30642" w:rsidRDefault="00CA23D0" w:rsidP="00CA23D0">
            <w:pPr>
              <w:pStyle w:val="Texttabulky"/>
              <w:jc w:val="both"/>
              <w:rPr>
                <w:rFonts w:cs="Arial"/>
              </w:rPr>
            </w:pPr>
            <w:r w:rsidRPr="00E30642">
              <w:rPr>
                <w:rFonts w:cs="Arial"/>
                <w:sz w:val="18"/>
                <w:szCs w:val="18"/>
              </w:rPr>
              <w:t>-</w:t>
            </w:r>
          </w:p>
        </w:tc>
        <w:tc>
          <w:tcPr>
            <w:tcW w:w="708" w:type="dxa"/>
            <w:tcBorders>
              <w:top w:val="single" w:sz="6" w:space="0" w:color="auto"/>
              <w:left w:val="single" w:sz="6" w:space="0" w:color="auto"/>
              <w:bottom w:val="single" w:sz="6" w:space="0" w:color="auto"/>
              <w:right w:val="single" w:sz="6" w:space="0" w:color="auto"/>
            </w:tcBorders>
          </w:tcPr>
          <w:p w14:paraId="36E0EC81" w14:textId="77777777" w:rsidR="00CA23D0" w:rsidRPr="00E30642" w:rsidRDefault="00CA23D0" w:rsidP="00CA23D0">
            <w:pPr>
              <w:pStyle w:val="Texttabulky"/>
              <w:jc w:val="both"/>
              <w:rPr>
                <w:rFonts w:cs="Arial"/>
              </w:rPr>
            </w:pPr>
            <w:r w:rsidRPr="00E30642">
              <w:rPr>
                <w:rFonts w:cs="Arial"/>
                <w:b/>
                <w:bCs/>
                <w:sz w:val="18"/>
                <w:szCs w:val="18"/>
              </w:rPr>
              <w:t>8,18</w:t>
            </w:r>
          </w:p>
        </w:tc>
        <w:tc>
          <w:tcPr>
            <w:tcW w:w="1161" w:type="dxa"/>
            <w:tcBorders>
              <w:top w:val="single" w:sz="6" w:space="0" w:color="auto"/>
              <w:left w:val="single" w:sz="6" w:space="0" w:color="auto"/>
              <w:bottom w:val="single" w:sz="6" w:space="0" w:color="auto"/>
              <w:right w:val="single" w:sz="6" w:space="0" w:color="auto"/>
            </w:tcBorders>
          </w:tcPr>
          <w:p w14:paraId="6DDDE3E2" w14:textId="77777777" w:rsidR="00CA23D0" w:rsidRPr="00E30642" w:rsidRDefault="00CA23D0" w:rsidP="00CA23D0">
            <w:pPr>
              <w:pStyle w:val="Texttabulky"/>
              <w:jc w:val="both"/>
              <w:rPr>
                <w:rFonts w:cs="Arial"/>
              </w:rPr>
            </w:pPr>
            <w:r w:rsidRPr="00E30642">
              <w:rPr>
                <w:rFonts w:cs="Arial"/>
                <w:sz w:val="18"/>
                <w:szCs w:val="18"/>
              </w:rPr>
              <w:t>5</w:t>
            </w:r>
          </w:p>
        </w:tc>
      </w:tr>
      <w:tr w:rsidR="00CA23D0" w:rsidRPr="00E30642" w14:paraId="19A26858" w14:textId="77777777" w:rsidTr="00CA23D0">
        <w:trPr>
          <w:cantSplit/>
          <w:trHeight w:val="623"/>
          <w:jc w:val="center"/>
        </w:trPr>
        <w:tc>
          <w:tcPr>
            <w:tcW w:w="1818" w:type="dxa"/>
            <w:gridSpan w:val="2"/>
            <w:tcBorders>
              <w:top w:val="single" w:sz="6" w:space="0" w:color="auto"/>
              <w:left w:val="single" w:sz="6" w:space="0" w:color="auto"/>
              <w:bottom w:val="single" w:sz="6" w:space="0" w:color="auto"/>
              <w:right w:val="single" w:sz="6" w:space="0" w:color="auto"/>
            </w:tcBorders>
          </w:tcPr>
          <w:p w14:paraId="5C9D143A"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 xml:space="preserve"> Město celkem </w:t>
            </w:r>
          </w:p>
        </w:tc>
        <w:tc>
          <w:tcPr>
            <w:tcW w:w="508" w:type="dxa"/>
            <w:tcBorders>
              <w:top w:val="single" w:sz="6" w:space="0" w:color="auto"/>
              <w:left w:val="single" w:sz="6" w:space="0" w:color="auto"/>
              <w:bottom w:val="single" w:sz="6" w:space="0" w:color="auto"/>
              <w:right w:val="single" w:sz="6" w:space="0" w:color="auto"/>
            </w:tcBorders>
          </w:tcPr>
          <w:p w14:paraId="111DCE9D" w14:textId="77777777" w:rsidR="00CA23D0" w:rsidRPr="00E30642" w:rsidRDefault="00CA23D0" w:rsidP="00CA23D0">
            <w:pPr>
              <w:pStyle w:val="Texttabulky"/>
              <w:jc w:val="both"/>
              <w:rPr>
                <w:rFonts w:cs="Arial"/>
              </w:rPr>
            </w:pPr>
            <w:r w:rsidRPr="00E30642">
              <w:rPr>
                <w:rFonts w:cs="Arial"/>
                <w:b/>
                <w:bCs/>
                <w:sz w:val="18"/>
                <w:szCs w:val="18"/>
              </w:rPr>
              <w:t>54,06</w:t>
            </w:r>
          </w:p>
        </w:tc>
        <w:tc>
          <w:tcPr>
            <w:tcW w:w="395" w:type="dxa"/>
            <w:tcBorders>
              <w:top w:val="single" w:sz="6" w:space="0" w:color="auto"/>
              <w:left w:val="single" w:sz="6" w:space="0" w:color="auto"/>
              <w:bottom w:val="single" w:sz="6" w:space="0" w:color="auto"/>
              <w:right w:val="single" w:sz="6" w:space="0" w:color="auto"/>
            </w:tcBorders>
          </w:tcPr>
          <w:p w14:paraId="3F8C12D6" w14:textId="77777777" w:rsidR="00CA23D0" w:rsidRPr="00E30642" w:rsidRDefault="00CA23D0" w:rsidP="00CA23D0">
            <w:pPr>
              <w:pStyle w:val="Zkladntext"/>
              <w:jc w:val="both"/>
              <w:rPr>
                <w:rFonts w:ascii="Arial" w:hAnsi="Arial" w:cs="Arial"/>
                <w:highlight w:val="yellow"/>
              </w:rPr>
            </w:pPr>
          </w:p>
        </w:tc>
        <w:tc>
          <w:tcPr>
            <w:tcW w:w="438" w:type="dxa"/>
            <w:tcBorders>
              <w:top w:val="single" w:sz="6" w:space="0" w:color="auto"/>
              <w:left w:val="single" w:sz="6" w:space="0" w:color="auto"/>
              <w:bottom w:val="single" w:sz="6" w:space="0" w:color="auto"/>
              <w:right w:val="single" w:sz="6" w:space="0" w:color="auto"/>
            </w:tcBorders>
          </w:tcPr>
          <w:p w14:paraId="7BBB5F40" w14:textId="77777777" w:rsidR="00CA23D0" w:rsidRPr="00E30642" w:rsidRDefault="00CA23D0" w:rsidP="00CA23D0">
            <w:pPr>
              <w:pStyle w:val="Texttabulky"/>
              <w:jc w:val="both"/>
              <w:rPr>
                <w:rFonts w:cs="Arial"/>
              </w:rPr>
            </w:pPr>
            <w:r w:rsidRPr="00E30642">
              <w:rPr>
                <w:rFonts w:cs="Arial"/>
                <w:b/>
                <w:bCs/>
                <w:sz w:val="18"/>
                <w:szCs w:val="18"/>
              </w:rPr>
              <w:t>97,34</w:t>
            </w:r>
          </w:p>
        </w:tc>
        <w:tc>
          <w:tcPr>
            <w:tcW w:w="480" w:type="dxa"/>
            <w:tcBorders>
              <w:top w:val="single" w:sz="6" w:space="0" w:color="auto"/>
              <w:left w:val="single" w:sz="6" w:space="0" w:color="auto"/>
              <w:bottom w:val="single" w:sz="6" w:space="0" w:color="auto"/>
              <w:right w:val="single" w:sz="6" w:space="0" w:color="auto"/>
            </w:tcBorders>
          </w:tcPr>
          <w:p w14:paraId="5E420D57" w14:textId="77777777" w:rsidR="00CA23D0" w:rsidRPr="00E30642" w:rsidRDefault="00CA23D0" w:rsidP="00CA23D0">
            <w:pPr>
              <w:pStyle w:val="Texttabulky"/>
              <w:jc w:val="both"/>
              <w:rPr>
                <w:rFonts w:cs="Arial"/>
              </w:rPr>
            </w:pPr>
            <w:r w:rsidRPr="00E30642">
              <w:rPr>
                <w:rFonts w:cs="Arial"/>
                <w:b/>
                <w:bCs/>
                <w:sz w:val="18"/>
                <w:szCs w:val="18"/>
              </w:rPr>
              <w:t>6,85</w:t>
            </w:r>
          </w:p>
        </w:tc>
        <w:tc>
          <w:tcPr>
            <w:tcW w:w="436" w:type="dxa"/>
            <w:tcBorders>
              <w:top w:val="single" w:sz="6" w:space="0" w:color="auto"/>
              <w:left w:val="single" w:sz="6" w:space="0" w:color="auto"/>
              <w:bottom w:val="single" w:sz="6" w:space="0" w:color="auto"/>
              <w:right w:val="single" w:sz="6" w:space="0" w:color="auto"/>
            </w:tcBorders>
          </w:tcPr>
          <w:p w14:paraId="27069C72" w14:textId="77777777" w:rsidR="00CA23D0" w:rsidRPr="00E30642" w:rsidRDefault="00CA23D0" w:rsidP="00CA23D0">
            <w:pPr>
              <w:pStyle w:val="Zkladntext"/>
              <w:jc w:val="both"/>
              <w:rPr>
                <w:rFonts w:ascii="Arial" w:hAnsi="Arial" w:cs="Arial"/>
              </w:rPr>
            </w:pPr>
          </w:p>
        </w:tc>
        <w:tc>
          <w:tcPr>
            <w:tcW w:w="488" w:type="dxa"/>
            <w:tcBorders>
              <w:top w:val="single" w:sz="6" w:space="0" w:color="auto"/>
              <w:left w:val="single" w:sz="6" w:space="0" w:color="auto"/>
              <w:bottom w:val="single" w:sz="6" w:space="0" w:color="auto"/>
              <w:right w:val="single" w:sz="6" w:space="0" w:color="auto"/>
            </w:tcBorders>
          </w:tcPr>
          <w:p w14:paraId="43AC9316" w14:textId="77777777" w:rsidR="00CA23D0" w:rsidRPr="00E30642" w:rsidRDefault="00CA23D0" w:rsidP="00CA23D0">
            <w:pPr>
              <w:pStyle w:val="Texttabulky"/>
              <w:jc w:val="both"/>
              <w:rPr>
                <w:rFonts w:cs="Arial"/>
              </w:rPr>
            </w:pPr>
            <w:r w:rsidRPr="00E30642">
              <w:rPr>
                <w:rFonts w:cs="Arial"/>
                <w:b/>
                <w:bCs/>
                <w:sz w:val="18"/>
                <w:szCs w:val="18"/>
              </w:rPr>
              <w:t>3,37</w:t>
            </w:r>
          </w:p>
        </w:tc>
        <w:tc>
          <w:tcPr>
            <w:tcW w:w="494" w:type="dxa"/>
            <w:tcBorders>
              <w:top w:val="single" w:sz="6" w:space="0" w:color="auto"/>
              <w:left w:val="single" w:sz="6" w:space="0" w:color="auto"/>
              <w:bottom w:val="single" w:sz="6" w:space="0" w:color="auto"/>
              <w:right w:val="single" w:sz="6" w:space="0" w:color="auto"/>
            </w:tcBorders>
          </w:tcPr>
          <w:p w14:paraId="4E938C62" w14:textId="77777777" w:rsidR="00CA23D0" w:rsidRPr="00E30642" w:rsidRDefault="00CA23D0" w:rsidP="00CA23D0">
            <w:pPr>
              <w:pStyle w:val="Texttabulky"/>
              <w:jc w:val="both"/>
              <w:rPr>
                <w:rFonts w:cs="Arial"/>
              </w:rPr>
            </w:pPr>
            <w:r w:rsidRPr="00E30642">
              <w:rPr>
                <w:rFonts w:cs="Arial"/>
                <w:b/>
                <w:bCs/>
                <w:sz w:val="18"/>
                <w:szCs w:val="18"/>
              </w:rPr>
              <w:t>7,29</w:t>
            </w:r>
          </w:p>
        </w:tc>
        <w:tc>
          <w:tcPr>
            <w:tcW w:w="358" w:type="dxa"/>
            <w:tcBorders>
              <w:top w:val="single" w:sz="6" w:space="0" w:color="auto"/>
              <w:left w:val="single" w:sz="6" w:space="0" w:color="auto"/>
              <w:bottom w:val="single" w:sz="6" w:space="0" w:color="auto"/>
              <w:right w:val="single" w:sz="6" w:space="0" w:color="auto"/>
            </w:tcBorders>
          </w:tcPr>
          <w:p w14:paraId="0D7D59D5" w14:textId="77777777" w:rsidR="00CA23D0" w:rsidRPr="00E30642" w:rsidRDefault="00CA23D0" w:rsidP="00CA23D0">
            <w:pPr>
              <w:pStyle w:val="Zkladntext"/>
              <w:jc w:val="both"/>
              <w:rPr>
                <w:rFonts w:ascii="Arial" w:hAnsi="Arial" w:cs="Arial"/>
              </w:rPr>
            </w:pPr>
          </w:p>
        </w:tc>
        <w:tc>
          <w:tcPr>
            <w:tcW w:w="399" w:type="dxa"/>
            <w:tcBorders>
              <w:top w:val="single" w:sz="6" w:space="0" w:color="auto"/>
              <w:left w:val="single" w:sz="6" w:space="0" w:color="auto"/>
              <w:bottom w:val="single" w:sz="6" w:space="0" w:color="auto"/>
              <w:right w:val="single" w:sz="6" w:space="0" w:color="auto"/>
            </w:tcBorders>
          </w:tcPr>
          <w:p w14:paraId="1CEBE5C5" w14:textId="77777777" w:rsidR="00CA23D0" w:rsidRPr="00E30642" w:rsidRDefault="00CA23D0" w:rsidP="00CA23D0">
            <w:pPr>
              <w:pStyle w:val="Texttabulky"/>
              <w:jc w:val="both"/>
              <w:rPr>
                <w:rFonts w:cs="Arial"/>
              </w:rPr>
            </w:pPr>
            <w:r w:rsidRPr="00E30642">
              <w:rPr>
                <w:rFonts w:cs="Arial"/>
                <w:b/>
                <w:bCs/>
                <w:sz w:val="18"/>
                <w:szCs w:val="18"/>
              </w:rPr>
              <w:t>1,29</w:t>
            </w:r>
          </w:p>
        </w:tc>
        <w:tc>
          <w:tcPr>
            <w:tcW w:w="678" w:type="dxa"/>
            <w:tcBorders>
              <w:top w:val="single" w:sz="6" w:space="0" w:color="auto"/>
              <w:left w:val="single" w:sz="6" w:space="0" w:color="auto"/>
              <w:bottom w:val="single" w:sz="6" w:space="0" w:color="auto"/>
              <w:right w:val="single" w:sz="6" w:space="0" w:color="auto"/>
            </w:tcBorders>
          </w:tcPr>
          <w:p w14:paraId="20DA828C" w14:textId="77777777" w:rsidR="00CA23D0" w:rsidRPr="00E30642" w:rsidRDefault="00CA23D0" w:rsidP="00CA23D0">
            <w:pPr>
              <w:pStyle w:val="Texttabulky"/>
              <w:jc w:val="both"/>
              <w:rPr>
                <w:rFonts w:cs="Arial"/>
              </w:rPr>
            </w:pPr>
            <w:r w:rsidRPr="00E30642">
              <w:rPr>
                <w:rFonts w:cs="Arial"/>
                <w:b/>
                <w:bCs/>
                <w:sz w:val="18"/>
                <w:szCs w:val="18"/>
              </w:rPr>
              <w:t xml:space="preserve"> 68,20</w:t>
            </w:r>
          </w:p>
        </w:tc>
        <w:tc>
          <w:tcPr>
            <w:tcW w:w="817" w:type="dxa"/>
            <w:tcBorders>
              <w:top w:val="single" w:sz="6" w:space="0" w:color="auto"/>
              <w:left w:val="single" w:sz="6" w:space="0" w:color="auto"/>
              <w:bottom w:val="single" w:sz="6" w:space="0" w:color="auto"/>
              <w:right w:val="single" w:sz="6" w:space="0" w:color="auto"/>
            </w:tcBorders>
          </w:tcPr>
          <w:p w14:paraId="79CEEF60" w14:textId="77777777" w:rsidR="00CA23D0" w:rsidRPr="00E30642" w:rsidRDefault="00CA23D0" w:rsidP="00CA23D0">
            <w:pPr>
              <w:pStyle w:val="Texttabulky"/>
              <w:jc w:val="both"/>
              <w:rPr>
                <w:rFonts w:cs="Arial"/>
              </w:rPr>
            </w:pPr>
            <w:r w:rsidRPr="00E30642">
              <w:rPr>
                <w:rFonts w:cs="Arial"/>
                <w:b/>
                <w:bCs/>
                <w:sz w:val="18"/>
                <w:szCs w:val="18"/>
              </w:rPr>
              <w:t xml:space="preserve">  102,00</w:t>
            </w:r>
          </w:p>
        </w:tc>
        <w:tc>
          <w:tcPr>
            <w:tcW w:w="708" w:type="dxa"/>
            <w:tcBorders>
              <w:top w:val="single" w:sz="6" w:space="0" w:color="auto"/>
              <w:left w:val="single" w:sz="6" w:space="0" w:color="auto"/>
              <w:bottom w:val="single" w:sz="6" w:space="0" w:color="auto"/>
              <w:right w:val="single" w:sz="6" w:space="0" w:color="auto"/>
            </w:tcBorders>
          </w:tcPr>
          <w:p w14:paraId="12C230C3" w14:textId="77777777" w:rsidR="00CA23D0" w:rsidRPr="00E30642" w:rsidRDefault="00CA23D0" w:rsidP="00CA23D0">
            <w:pPr>
              <w:pStyle w:val="Texttabulky"/>
              <w:jc w:val="both"/>
              <w:rPr>
                <w:rFonts w:cs="Arial"/>
              </w:rPr>
            </w:pPr>
            <w:r w:rsidRPr="00E30642">
              <w:rPr>
                <w:rFonts w:cs="Arial"/>
                <w:b/>
                <w:bCs/>
                <w:sz w:val="18"/>
                <w:szCs w:val="18"/>
              </w:rPr>
              <w:t xml:space="preserve"> 170,20</w:t>
            </w:r>
          </w:p>
        </w:tc>
        <w:tc>
          <w:tcPr>
            <w:tcW w:w="1161" w:type="dxa"/>
            <w:tcBorders>
              <w:top w:val="single" w:sz="6" w:space="0" w:color="auto"/>
              <w:left w:val="single" w:sz="6" w:space="0" w:color="auto"/>
              <w:bottom w:val="single" w:sz="6" w:space="0" w:color="auto"/>
              <w:right w:val="single" w:sz="6" w:space="0" w:color="auto"/>
            </w:tcBorders>
          </w:tcPr>
          <w:p w14:paraId="3ED5581F" w14:textId="77777777" w:rsidR="00CA23D0" w:rsidRPr="00E30642" w:rsidRDefault="00CA23D0" w:rsidP="00CA23D0">
            <w:pPr>
              <w:pStyle w:val="Texttabulky"/>
              <w:jc w:val="both"/>
              <w:rPr>
                <w:rFonts w:cs="Arial"/>
              </w:rPr>
            </w:pPr>
            <w:r w:rsidRPr="00E30642">
              <w:rPr>
                <w:rFonts w:cs="Arial"/>
                <w:sz w:val="18"/>
                <w:szCs w:val="18"/>
              </w:rPr>
              <w:t>100</w:t>
            </w:r>
          </w:p>
        </w:tc>
      </w:tr>
    </w:tbl>
    <w:p w14:paraId="0689AB99" w14:textId="77777777" w:rsidR="00CA23D0" w:rsidRPr="00E30642" w:rsidRDefault="00CA23D0" w:rsidP="00CA23D0">
      <w:pPr>
        <w:autoSpaceDE w:val="0"/>
        <w:autoSpaceDN w:val="0"/>
        <w:adjustRightInd w:val="0"/>
        <w:jc w:val="both"/>
        <w:rPr>
          <w:rFonts w:ascii="Arial" w:hAnsi="Arial" w:cs="Arial"/>
          <w:sz w:val="20"/>
        </w:rPr>
      </w:pPr>
    </w:p>
    <w:p w14:paraId="6A88C5D3" w14:textId="77777777" w:rsidR="00CA23D0" w:rsidRPr="00E30642" w:rsidRDefault="00CA23D0" w:rsidP="00CA23D0">
      <w:pPr>
        <w:pStyle w:val="Zkladntext"/>
        <w:jc w:val="both"/>
        <w:rPr>
          <w:rFonts w:ascii="Arial" w:hAnsi="Arial" w:cs="Arial"/>
        </w:rPr>
      </w:pPr>
    </w:p>
    <w:p w14:paraId="1C1A272A" w14:textId="77777777" w:rsidR="00CA23D0" w:rsidRDefault="00CA23D0" w:rsidP="00CA23D0">
      <w:pPr>
        <w:pStyle w:val="Zkladntext"/>
        <w:jc w:val="both"/>
        <w:rPr>
          <w:rFonts w:ascii="Arial" w:hAnsi="Arial" w:cs="Arial"/>
        </w:rPr>
      </w:pPr>
    </w:p>
    <w:p w14:paraId="325D453C" w14:textId="77777777" w:rsidR="00D3579D" w:rsidRDefault="00D3579D" w:rsidP="00CA23D0">
      <w:pPr>
        <w:pStyle w:val="Zkladntext"/>
        <w:jc w:val="both"/>
        <w:rPr>
          <w:rFonts w:ascii="Arial" w:hAnsi="Arial" w:cs="Arial"/>
        </w:rPr>
      </w:pPr>
    </w:p>
    <w:p w14:paraId="3F35D382" w14:textId="77777777" w:rsidR="00D3579D" w:rsidRDefault="00D3579D" w:rsidP="00CA23D0">
      <w:pPr>
        <w:pStyle w:val="Zkladntext"/>
        <w:jc w:val="both"/>
        <w:rPr>
          <w:rFonts w:ascii="Arial" w:hAnsi="Arial" w:cs="Arial"/>
        </w:rPr>
      </w:pPr>
    </w:p>
    <w:p w14:paraId="0EFFEB5C" w14:textId="77777777" w:rsidR="00D3579D" w:rsidRDefault="00D3579D" w:rsidP="00CA23D0">
      <w:pPr>
        <w:pStyle w:val="Zkladntext"/>
        <w:jc w:val="both"/>
        <w:rPr>
          <w:rFonts w:ascii="Arial" w:hAnsi="Arial" w:cs="Arial"/>
        </w:rPr>
      </w:pPr>
    </w:p>
    <w:p w14:paraId="0AF4E6B1" w14:textId="77777777" w:rsidR="00D3579D" w:rsidRDefault="00D3579D" w:rsidP="00CA23D0">
      <w:pPr>
        <w:pStyle w:val="Zkladntext"/>
        <w:jc w:val="both"/>
        <w:rPr>
          <w:rFonts w:ascii="Arial" w:hAnsi="Arial" w:cs="Arial"/>
        </w:rPr>
      </w:pPr>
    </w:p>
    <w:p w14:paraId="7042C59A" w14:textId="77777777" w:rsidR="00CA23D0" w:rsidRPr="00E30642" w:rsidRDefault="00CA23D0" w:rsidP="00CA23D0">
      <w:pPr>
        <w:pStyle w:val="podnadpis2"/>
        <w:jc w:val="both"/>
        <w:rPr>
          <w:rFonts w:cs="Arial"/>
        </w:rPr>
      </w:pPr>
      <w:r w:rsidRPr="00E30642">
        <w:rPr>
          <w:rFonts w:cs="Arial"/>
        </w:rPr>
        <w:lastRenderedPageBreak/>
        <w:t xml:space="preserve">C3. Občanská vybavenost </w:t>
      </w:r>
    </w:p>
    <w:p w14:paraId="4CA392B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Plochy a objekty občanské vybavenosti nesporně patří k významným strukturám městského organizmu, zejména proto, že uspokojují nejen nároky všech věkových i sociálních kategorií obyvatel města, ale v celé řadě případů i jeho návštěvníků. Plní tedy nejen funkce lokální a celoměstské, ale i  regionální - cestovní ruch. </w:t>
      </w:r>
    </w:p>
    <w:p w14:paraId="3A40545E"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Význam a rozsah těchto zařízení by měl tedy odpovídat i poloze a významu města v dopravním systému ČR, poloze při státní hranici, ojedinělému přírodnímu zázemí s řadou atraktivit, ale i skutečnosti, že do Děčína v průměru dojíždí každý den cca 10 000 osob (za prací, žáci a studenti, návštěvníci). </w:t>
      </w:r>
    </w:p>
    <w:p w14:paraId="50F1647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Lokalizace těchto zařízení je dána jednak historickým vývojem jednotlivých částí města či jeho venkovských sídel s přirozenými centry - Děčín a Podmokly (náměstí, hlavní třídy, návsi) a jednak i realizaci obytných souborů - obvodová centra (Bynov, Želenice, Nové Město, Staré Město, Boletice).</w:t>
      </w:r>
    </w:p>
    <w:p w14:paraId="57A87D5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V oblasti občanského vybavení díky restituci a privatizaci podnikání se spektrum zařízení, zejména obchodu, služeb, stravování, ubytování či administrativy, změnilo nejen koncepčně, ale i lokalizačně a to i mimo přirozené centrální prostory. </w:t>
      </w:r>
    </w:p>
    <w:p w14:paraId="75DDC826" w14:textId="77777777" w:rsidR="00CA23D0" w:rsidRPr="00E30642" w:rsidRDefault="00CA23D0" w:rsidP="00CA23D0">
      <w:pPr>
        <w:pStyle w:val="Zkladntext"/>
        <w:spacing w:before="120" w:after="0" w:line="288" w:lineRule="auto"/>
        <w:ind w:firstLine="709"/>
        <w:jc w:val="both"/>
        <w:rPr>
          <w:rFonts w:ascii="Arial" w:hAnsi="Arial" w:cs="Arial"/>
          <w:b/>
          <w:bCs/>
          <w:sz w:val="22"/>
          <w:szCs w:val="22"/>
        </w:rPr>
      </w:pPr>
      <w:r w:rsidRPr="00E30642">
        <w:rPr>
          <w:rFonts w:ascii="Arial" w:hAnsi="Arial" w:cs="Arial"/>
          <w:sz w:val="22"/>
          <w:szCs w:val="22"/>
        </w:rPr>
        <w:t>Řada zařízení zcela zanikla, celá řada však byla nově zprovozněna, řada objektů není využívána vůbec.</w:t>
      </w:r>
      <w:r w:rsidRPr="00E30642">
        <w:rPr>
          <w:rFonts w:ascii="Arial" w:hAnsi="Arial" w:cs="Arial"/>
          <w:b/>
          <w:bCs/>
          <w:sz w:val="22"/>
          <w:szCs w:val="22"/>
        </w:rPr>
        <w:t xml:space="preserve"> </w:t>
      </w:r>
    </w:p>
    <w:p w14:paraId="58544D91" w14:textId="77777777" w:rsidR="00CA23D0" w:rsidRPr="00E30642" w:rsidRDefault="00CA23D0" w:rsidP="00CA23D0">
      <w:pPr>
        <w:pStyle w:val="Zkladntext"/>
        <w:jc w:val="both"/>
        <w:rPr>
          <w:rFonts w:ascii="Arial" w:hAnsi="Arial" w:cs="Arial"/>
        </w:rPr>
      </w:pPr>
    </w:p>
    <w:p w14:paraId="3530A5F1" w14:textId="77777777" w:rsidR="00CA23D0" w:rsidRDefault="00CA23D0" w:rsidP="00D3579D">
      <w:pPr>
        <w:pStyle w:val="Zkladntext"/>
        <w:ind w:firstLine="708"/>
        <w:jc w:val="both"/>
        <w:rPr>
          <w:rFonts w:ascii="Arial" w:hAnsi="Arial" w:cs="Arial"/>
          <w:b/>
          <w:bCs/>
          <w:caps/>
        </w:rPr>
      </w:pPr>
      <w:r w:rsidRPr="00E30642">
        <w:rPr>
          <w:rFonts w:ascii="Arial" w:hAnsi="Arial" w:cs="Arial"/>
          <w:b/>
          <w:bCs/>
          <w:caps/>
        </w:rPr>
        <w:t xml:space="preserve">S ohledem na tyto skutečnosti lze obecně konstatovat tyto současné problémy: </w:t>
      </w:r>
    </w:p>
    <w:p w14:paraId="265AE877" w14:textId="77777777" w:rsidR="00D3579D" w:rsidRPr="00E30642" w:rsidRDefault="00D3579D" w:rsidP="00D3579D">
      <w:pPr>
        <w:pStyle w:val="Zkladntext"/>
        <w:jc w:val="both"/>
        <w:rPr>
          <w:rFonts w:ascii="Arial" w:hAnsi="Arial" w:cs="Arial"/>
        </w:rPr>
      </w:pPr>
    </w:p>
    <w:p w14:paraId="0894F5E0"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nedostatečné kapacity a funkční závady okrskových center;</w:t>
      </w:r>
    </w:p>
    <w:p w14:paraId="55A94147"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relativní přetíženost levobřežního centra v Podmoklech ;</w:t>
      </w:r>
    </w:p>
    <w:p w14:paraId="593A35C1"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zcela nedostatečné kapacity ve veřejném ubytování, tělovýchově a sportu (plavecká hala v realizaci, sport pro všechny);</w:t>
      </w:r>
    </w:p>
    <w:p w14:paraId="292D1BB6"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nevyhovující stav a nefunkčnost objektů i areálů (Bažantnice, Atlantik, zámek v postupné přestavbě, kino Kotva a Boletice n. L., pův. hotel Labský dvůr, církevní objekt v Rozbělesích, vyhlídka nad přístavem apod.);</w:t>
      </w:r>
    </w:p>
    <w:p w14:paraId="428CCC7D"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tlak investorů na výstavbu nákupních středisek - Marketů a čerpacích stanic PHM;</w:t>
      </w:r>
    </w:p>
    <w:p w14:paraId="2E8DBA2B"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ambulantní pouliční prodej (asijské tržnice);</w:t>
      </w:r>
    </w:p>
    <w:p w14:paraId="0E2BC689"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zánik celé řady zařízení z důvodů změny vlastnických práv k objektům;</w:t>
      </w:r>
    </w:p>
    <w:p w14:paraId="406C311D"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fyzická zaostalost stavebního fondu mnohých zařízení.</w:t>
      </w:r>
    </w:p>
    <w:p w14:paraId="11A4F9FC" w14:textId="77777777" w:rsidR="00D3579D" w:rsidRDefault="00D3579D" w:rsidP="00CA23D0">
      <w:pPr>
        <w:pStyle w:val="Zkladntext"/>
        <w:spacing w:before="120" w:after="0" w:line="288" w:lineRule="auto"/>
        <w:ind w:firstLine="709"/>
        <w:jc w:val="both"/>
        <w:rPr>
          <w:rFonts w:ascii="Arial" w:hAnsi="Arial" w:cs="Arial"/>
          <w:sz w:val="22"/>
          <w:szCs w:val="22"/>
        </w:rPr>
      </w:pPr>
    </w:p>
    <w:p w14:paraId="0116E0D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Navržené řešení v maximální míře eliminuje stávající deficity, zohledňuje připravované investice (územní rozhodnutí, stavební povolení), vychází z projednaných urbanistických studií center na obou březích Labe, stávající, výhledově využitelné respektuje v plném rozsahu. </w:t>
      </w:r>
    </w:p>
    <w:p w14:paraId="65BD271E"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p>
    <w:p w14:paraId="2492A9E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 xml:space="preserve">Základní koncepce řešení akceptuje charakteristickou strukturu dvou center na březích Labe, stabilizovanou populační velikost města s cca 55 000 obyvateli, navrhuje postupnou možnou přestavbu stávajících fondů, výstavbu zcela nových kapacit a včetně dalších reálných dílčích doporučení. </w:t>
      </w:r>
    </w:p>
    <w:p w14:paraId="298BE4F9" w14:textId="77777777" w:rsidR="00CA23D0" w:rsidRPr="00E30642" w:rsidRDefault="00CA23D0" w:rsidP="00CA23D0">
      <w:pPr>
        <w:pStyle w:val="Zkladntext"/>
        <w:jc w:val="both"/>
        <w:rPr>
          <w:rFonts w:ascii="Arial" w:hAnsi="Arial" w:cs="Arial"/>
        </w:rPr>
      </w:pPr>
    </w:p>
    <w:p w14:paraId="76DBDBD3" w14:textId="77777777" w:rsidR="00CA23D0" w:rsidRPr="00E30642" w:rsidRDefault="00CA23D0" w:rsidP="00CA23D0">
      <w:pPr>
        <w:pStyle w:val="Zkladntext"/>
        <w:spacing w:before="120" w:after="0" w:line="288" w:lineRule="auto"/>
        <w:ind w:firstLine="709"/>
        <w:jc w:val="both"/>
        <w:rPr>
          <w:rFonts w:ascii="Arial" w:hAnsi="Arial" w:cs="Arial"/>
          <w:b/>
          <w:sz w:val="22"/>
          <w:szCs w:val="22"/>
        </w:rPr>
      </w:pPr>
      <w:r w:rsidRPr="00E30642">
        <w:rPr>
          <w:rFonts w:ascii="Arial" w:hAnsi="Arial" w:cs="Arial"/>
          <w:b/>
          <w:sz w:val="22"/>
          <w:szCs w:val="22"/>
        </w:rPr>
        <w:t xml:space="preserve">Síť občanského vybavení je rozdělena na: </w:t>
      </w:r>
    </w:p>
    <w:p w14:paraId="6B8D36C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školství, kulturní zařízení, sport a tělovýchovu, zdravotní služby, sociální péči, obchod a služby, veřejné ubytování a stravování a administrativu.</w:t>
      </w:r>
    </w:p>
    <w:p w14:paraId="237B0CFE" w14:textId="77777777" w:rsidR="00CA23D0" w:rsidRPr="00E30642" w:rsidRDefault="00CA23D0" w:rsidP="00CA23D0">
      <w:pPr>
        <w:pStyle w:val="podnadpis2"/>
        <w:jc w:val="both"/>
        <w:rPr>
          <w:rFonts w:cs="Arial"/>
        </w:rPr>
      </w:pPr>
    </w:p>
    <w:p w14:paraId="42AE35A1" w14:textId="77777777" w:rsidR="00CA23D0" w:rsidRPr="00E30642" w:rsidRDefault="00CA23D0" w:rsidP="00CA23D0">
      <w:pPr>
        <w:pStyle w:val="podnadpis2"/>
        <w:jc w:val="both"/>
        <w:rPr>
          <w:rFonts w:cs="Arial"/>
        </w:rPr>
      </w:pPr>
      <w:r w:rsidRPr="00E30642">
        <w:rPr>
          <w:rFonts w:cs="Arial"/>
        </w:rPr>
        <w:t>c3.1. Školství</w:t>
      </w:r>
    </w:p>
    <w:p w14:paraId="304C34A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Tento obor zahrnuje všechna zařízení předškolní a školní výchovy (mateřské školy, základní školy, střední odborné školy, učiliště, vysokou školu, výchovné ústavy, domovy mládeže a internáty). </w:t>
      </w:r>
    </w:p>
    <w:p w14:paraId="768D02B2" w14:textId="77777777" w:rsidR="00CA23D0" w:rsidRPr="00E30642" w:rsidRDefault="00CA23D0" w:rsidP="00CA23D0">
      <w:pPr>
        <w:pStyle w:val="Zkladntext"/>
        <w:jc w:val="both"/>
        <w:rPr>
          <w:rFonts w:ascii="Arial" w:hAnsi="Arial" w:cs="Arial"/>
        </w:rPr>
      </w:pPr>
    </w:p>
    <w:tbl>
      <w:tblPr>
        <w:tblW w:w="0" w:type="auto"/>
        <w:jc w:val="center"/>
        <w:tblLayout w:type="fixed"/>
        <w:tblCellMar>
          <w:left w:w="42" w:type="dxa"/>
          <w:right w:w="42" w:type="dxa"/>
        </w:tblCellMar>
        <w:tblLook w:val="0000" w:firstRow="0" w:lastRow="0" w:firstColumn="0" w:lastColumn="0" w:noHBand="0" w:noVBand="0"/>
      </w:tblPr>
      <w:tblGrid>
        <w:gridCol w:w="3477"/>
        <w:gridCol w:w="1064"/>
        <w:gridCol w:w="886"/>
        <w:gridCol w:w="777"/>
        <w:gridCol w:w="682"/>
        <w:gridCol w:w="1200"/>
      </w:tblGrid>
      <w:tr w:rsidR="00CA23D0" w:rsidRPr="00E30642" w14:paraId="0B0B4F1A" w14:textId="77777777" w:rsidTr="00CA23D0">
        <w:trPr>
          <w:jc w:val="center"/>
        </w:trPr>
        <w:tc>
          <w:tcPr>
            <w:tcW w:w="4541" w:type="dxa"/>
            <w:gridSpan w:val="2"/>
            <w:tcBorders>
              <w:top w:val="single" w:sz="6" w:space="0" w:color="auto"/>
              <w:left w:val="single" w:sz="6" w:space="0" w:color="auto"/>
              <w:bottom w:val="single" w:sz="6" w:space="0" w:color="auto"/>
              <w:right w:val="single" w:sz="6" w:space="0" w:color="auto"/>
            </w:tcBorders>
          </w:tcPr>
          <w:p w14:paraId="1AAD558F" w14:textId="77777777" w:rsidR="00CA23D0" w:rsidRPr="00E30642" w:rsidRDefault="00CA23D0" w:rsidP="00CA23D0">
            <w:pPr>
              <w:pStyle w:val="Texttabulky"/>
              <w:jc w:val="both"/>
              <w:rPr>
                <w:rFonts w:cs="Arial"/>
              </w:rPr>
            </w:pPr>
            <w:r w:rsidRPr="00E30642">
              <w:rPr>
                <w:rFonts w:cs="Arial"/>
                <w:b/>
                <w:bCs/>
                <w:sz w:val="20"/>
                <w:szCs w:val="20"/>
              </w:rPr>
              <w:t xml:space="preserve">Zařízení </w:t>
            </w:r>
          </w:p>
          <w:p w14:paraId="06B82233" w14:textId="77777777" w:rsidR="00CA23D0" w:rsidRPr="00E30642" w:rsidRDefault="00CA23D0" w:rsidP="00CA23D0">
            <w:pPr>
              <w:pStyle w:val="Zkladntext"/>
              <w:jc w:val="both"/>
              <w:rPr>
                <w:rFonts w:ascii="Arial" w:hAnsi="Arial" w:cs="Arial"/>
              </w:rPr>
            </w:pPr>
          </w:p>
        </w:tc>
        <w:tc>
          <w:tcPr>
            <w:tcW w:w="3545" w:type="dxa"/>
            <w:gridSpan w:val="4"/>
            <w:tcBorders>
              <w:top w:val="single" w:sz="6" w:space="0" w:color="auto"/>
              <w:left w:val="single" w:sz="6" w:space="0" w:color="auto"/>
              <w:bottom w:val="single" w:sz="6" w:space="0" w:color="auto"/>
              <w:right w:val="single" w:sz="6" w:space="0" w:color="auto"/>
            </w:tcBorders>
          </w:tcPr>
          <w:p w14:paraId="6104AA6F" w14:textId="77777777" w:rsidR="00CA23D0" w:rsidRPr="00E30642" w:rsidRDefault="00CA23D0" w:rsidP="00CA23D0">
            <w:pPr>
              <w:pStyle w:val="Zkladntext"/>
              <w:jc w:val="both"/>
              <w:rPr>
                <w:rFonts w:ascii="Arial" w:hAnsi="Arial" w:cs="Arial"/>
              </w:rPr>
            </w:pPr>
            <w:r w:rsidRPr="00E30642">
              <w:rPr>
                <w:rFonts w:ascii="Arial" w:hAnsi="Arial" w:cs="Arial"/>
                <w:b/>
                <w:bCs/>
              </w:rPr>
              <w:t xml:space="preserve">počet zapsaných dětí - žáků </w:t>
            </w:r>
          </w:p>
        </w:tc>
      </w:tr>
      <w:tr w:rsidR="00CA23D0" w:rsidRPr="00E30642" w14:paraId="14797B5A" w14:textId="77777777" w:rsidTr="00CA23D0">
        <w:trPr>
          <w:jc w:val="center"/>
        </w:trPr>
        <w:tc>
          <w:tcPr>
            <w:tcW w:w="3477" w:type="dxa"/>
            <w:tcBorders>
              <w:top w:val="single" w:sz="6" w:space="0" w:color="auto"/>
              <w:left w:val="single" w:sz="6" w:space="0" w:color="auto"/>
              <w:bottom w:val="single" w:sz="6" w:space="0" w:color="auto"/>
              <w:right w:val="single" w:sz="6" w:space="0" w:color="auto"/>
            </w:tcBorders>
          </w:tcPr>
          <w:p w14:paraId="4BE645B4" w14:textId="77777777" w:rsidR="00CA23D0" w:rsidRPr="00E30642" w:rsidRDefault="00CA23D0" w:rsidP="00CA23D0">
            <w:pPr>
              <w:pStyle w:val="Texttabulky"/>
              <w:jc w:val="both"/>
              <w:rPr>
                <w:rFonts w:cs="Arial"/>
              </w:rPr>
            </w:pPr>
            <w:r w:rsidRPr="00E30642">
              <w:rPr>
                <w:rFonts w:cs="Arial"/>
                <w:b/>
                <w:bCs/>
                <w:sz w:val="18"/>
                <w:szCs w:val="18"/>
              </w:rPr>
              <w:t>d r u h</w:t>
            </w:r>
          </w:p>
        </w:tc>
        <w:tc>
          <w:tcPr>
            <w:tcW w:w="1064" w:type="dxa"/>
            <w:tcBorders>
              <w:top w:val="single" w:sz="6" w:space="0" w:color="auto"/>
              <w:left w:val="single" w:sz="6" w:space="0" w:color="auto"/>
              <w:bottom w:val="single" w:sz="6" w:space="0" w:color="auto"/>
              <w:right w:val="single" w:sz="6" w:space="0" w:color="auto"/>
            </w:tcBorders>
          </w:tcPr>
          <w:p w14:paraId="5C0CD924" w14:textId="77777777" w:rsidR="00CA23D0" w:rsidRPr="00E30642" w:rsidRDefault="00CA23D0" w:rsidP="00CA23D0">
            <w:pPr>
              <w:pStyle w:val="Texttabulky"/>
              <w:jc w:val="both"/>
              <w:rPr>
                <w:rFonts w:cs="Arial"/>
              </w:rPr>
            </w:pPr>
            <w:r w:rsidRPr="00E30642">
              <w:rPr>
                <w:rFonts w:cs="Arial"/>
                <w:b/>
                <w:bCs/>
                <w:sz w:val="18"/>
                <w:szCs w:val="18"/>
              </w:rPr>
              <w:t>2000</w:t>
            </w:r>
          </w:p>
          <w:p w14:paraId="73F3103E" w14:textId="77777777" w:rsidR="00CA23D0" w:rsidRPr="00E30642" w:rsidRDefault="00CA23D0" w:rsidP="00CA23D0">
            <w:pPr>
              <w:pStyle w:val="Texttabulky"/>
              <w:jc w:val="both"/>
              <w:rPr>
                <w:rFonts w:cs="Arial"/>
              </w:rPr>
            </w:pPr>
            <w:r w:rsidRPr="00E30642">
              <w:rPr>
                <w:rFonts w:cs="Arial"/>
                <w:sz w:val="18"/>
                <w:szCs w:val="18"/>
              </w:rPr>
              <w:t>počet</w:t>
            </w:r>
          </w:p>
        </w:tc>
        <w:tc>
          <w:tcPr>
            <w:tcW w:w="886" w:type="dxa"/>
            <w:tcBorders>
              <w:top w:val="single" w:sz="6" w:space="0" w:color="auto"/>
              <w:left w:val="single" w:sz="6" w:space="0" w:color="auto"/>
              <w:bottom w:val="single" w:sz="6" w:space="0" w:color="auto"/>
              <w:right w:val="single" w:sz="6" w:space="0" w:color="auto"/>
            </w:tcBorders>
          </w:tcPr>
          <w:p w14:paraId="4EC31661" w14:textId="77777777" w:rsidR="00CA23D0" w:rsidRPr="00E30642" w:rsidRDefault="00CA23D0" w:rsidP="00CA23D0">
            <w:pPr>
              <w:pStyle w:val="Texttabulky"/>
              <w:jc w:val="both"/>
              <w:rPr>
                <w:rFonts w:cs="Arial"/>
              </w:rPr>
            </w:pPr>
            <w:r w:rsidRPr="00E30642">
              <w:rPr>
                <w:rFonts w:cs="Arial"/>
                <w:b/>
                <w:bCs/>
                <w:sz w:val="18"/>
                <w:szCs w:val="18"/>
              </w:rPr>
              <w:t xml:space="preserve">1984 </w:t>
            </w:r>
          </w:p>
        </w:tc>
        <w:tc>
          <w:tcPr>
            <w:tcW w:w="777" w:type="dxa"/>
            <w:tcBorders>
              <w:top w:val="single" w:sz="6" w:space="0" w:color="auto"/>
              <w:left w:val="single" w:sz="6" w:space="0" w:color="auto"/>
              <w:bottom w:val="single" w:sz="6" w:space="0" w:color="auto"/>
              <w:right w:val="single" w:sz="6" w:space="0" w:color="auto"/>
            </w:tcBorders>
          </w:tcPr>
          <w:p w14:paraId="2D3E6AD2" w14:textId="77777777" w:rsidR="00CA23D0" w:rsidRPr="00E30642" w:rsidRDefault="00CA23D0" w:rsidP="00CA23D0">
            <w:pPr>
              <w:pStyle w:val="Texttabulky"/>
              <w:jc w:val="both"/>
              <w:rPr>
                <w:rFonts w:cs="Arial"/>
              </w:rPr>
            </w:pPr>
            <w:r w:rsidRPr="00E30642">
              <w:rPr>
                <w:rFonts w:cs="Arial"/>
                <w:b/>
                <w:bCs/>
                <w:sz w:val="18"/>
                <w:szCs w:val="18"/>
              </w:rPr>
              <w:t xml:space="preserve">1995 </w:t>
            </w:r>
          </w:p>
        </w:tc>
        <w:tc>
          <w:tcPr>
            <w:tcW w:w="682" w:type="dxa"/>
            <w:tcBorders>
              <w:top w:val="single" w:sz="6" w:space="0" w:color="auto"/>
              <w:left w:val="single" w:sz="6" w:space="0" w:color="auto"/>
              <w:bottom w:val="single" w:sz="6" w:space="0" w:color="auto"/>
              <w:right w:val="single" w:sz="6" w:space="0" w:color="auto"/>
            </w:tcBorders>
          </w:tcPr>
          <w:p w14:paraId="4E94BD20" w14:textId="77777777" w:rsidR="00CA23D0" w:rsidRPr="00E30642" w:rsidRDefault="00CA23D0" w:rsidP="00CA23D0">
            <w:pPr>
              <w:pStyle w:val="Texttabulky"/>
              <w:jc w:val="both"/>
              <w:rPr>
                <w:rFonts w:cs="Arial"/>
              </w:rPr>
            </w:pPr>
            <w:r w:rsidRPr="00E30642">
              <w:rPr>
                <w:rFonts w:cs="Arial"/>
                <w:b/>
                <w:bCs/>
                <w:sz w:val="18"/>
                <w:szCs w:val="18"/>
              </w:rPr>
              <w:t>2 000</w:t>
            </w:r>
          </w:p>
        </w:tc>
        <w:tc>
          <w:tcPr>
            <w:tcW w:w="1200" w:type="dxa"/>
            <w:tcBorders>
              <w:top w:val="single" w:sz="6" w:space="0" w:color="auto"/>
              <w:left w:val="single" w:sz="6" w:space="0" w:color="auto"/>
              <w:bottom w:val="single" w:sz="6" w:space="0" w:color="auto"/>
              <w:right w:val="single" w:sz="6" w:space="0" w:color="auto"/>
            </w:tcBorders>
          </w:tcPr>
          <w:p w14:paraId="3B284F5D" w14:textId="77777777" w:rsidR="00CA23D0" w:rsidRPr="00E30642" w:rsidRDefault="00CA23D0" w:rsidP="00CA23D0">
            <w:pPr>
              <w:pStyle w:val="Texttabulky"/>
              <w:jc w:val="both"/>
              <w:rPr>
                <w:rFonts w:cs="Arial"/>
              </w:rPr>
            </w:pPr>
            <w:r w:rsidRPr="00E30642">
              <w:rPr>
                <w:rFonts w:cs="Arial"/>
                <w:b/>
                <w:bCs/>
                <w:sz w:val="18"/>
                <w:szCs w:val="18"/>
              </w:rPr>
              <w:t xml:space="preserve">výhled </w:t>
            </w:r>
            <w:r w:rsidRPr="00E30642">
              <w:rPr>
                <w:rFonts w:cs="Arial"/>
                <w:sz w:val="18"/>
                <w:szCs w:val="18"/>
              </w:rPr>
              <w:t>(odhad)</w:t>
            </w:r>
          </w:p>
        </w:tc>
      </w:tr>
      <w:tr w:rsidR="00CA23D0" w:rsidRPr="00E30642" w14:paraId="79524AD6" w14:textId="77777777" w:rsidTr="00CA23D0">
        <w:trPr>
          <w:jc w:val="center"/>
        </w:trPr>
        <w:tc>
          <w:tcPr>
            <w:tcW w:w="3477" w:type="dxa"/>
            <w:tcBorders>
              <w:top w:val="single" w:sz="6" w:space="0" w:color="auto"/>
              <w:left w:val="single" w:sz="6" w:space="0" w:color="auto"/>
              <w:bottom w:val="single" w:sz="6" w:space="0" w:color="auto"/>
              <w:right w:val="single" w:sz="6" w:space="0" w:color="auto"/>
            </w:tcBorders>
          </w:tcPr>
          <w:p w14:paraId="137DFA00" w14:textId="77777777" w:rsidR="00CA23D0" w:rsidRPr="00E30642" w:rsidRDefault="00CA23D0" w:rsidP="00CA23D0">
            <w:pPr>
              <w:pStyle w:val="Texttabulky"/>
              <w:jc w:val="both"/>
              <w:rPr>
                <w:rFonts w:cs="Arial"/>
              </w:rPr>
            </w:pPr>
            <w:r w:rsidRPr="00E30642">
              <w:rPr>
                <w:rFonts w:cs="Arial"/>
                <w:sz w:val="18"/>
                <w:szCs w:val="18"/>
              </w:rPr>
              <w:t xml:space="preserve">MŠ - mateřské školy </w:t>
            </w:r>
          </w:p>
        </w:tc>
        <w:tc>
          <w:tcPr>
            <w:tcW w:w="1064" w:type="dxa"/>
            <w:tcBorders>
              <w:top w:val="single" w:sz="6" w:space="0" w:color="auto"/>
              <w:left w:val="single" w:sz="6" w:space="0" w:color="auto"/>
              <w:bottom w:val="single" w:sz="6" w:space="0" w:color="auto"/>
              <w:right w:val="single" w:sz="6" w:space="0" w:color="auto"/>
            </w:tcBorders>
          </w:tcPr>
          <w:p w14:paraId="62EC7E5B" w14:textId="77777777" w:rsidR="00CA23D0" w:rsidRPr="00E30642" w:rsidRDefault="00CA23D0" w:rsidP="00CA23D0">
            <w:pPr>
              <w:pStyle w:val="Texttabulky"/>
              <w:jc w:val="both"/>
              <w:rPr>
                <w:rFonts w:cs="Arial"/>
              </w:rPr>
            </w:pPr>
            <w:r w:rsidRPr="00E30642">
              <w:rPr>
                <w:rFonts w:cs="Arial"/>
                <w:sz w:val="18"/>
                <w:szCs w:val="18"/>
              </w:rPr>
              <w:t>22 +1privat</w:t>
            </w:r>
          </w:p>
        </w:tc>
        <w:tc>
          <w:tcPr>
            <w:tcW w:w="886" w:type="dxa"/>
            <w:tcBorders>
              <w:top w:val="single" w:sz="6" w:space="0" w:color="auto"/>
              <w:left w:val="single" w:sz="6" w:space="0" w:color="auto"/>
              <w:bottom w:val="single" w:sz="6" w:space="0" w:color="auto"/>
              <w:right w:val="single" w:sz="6" w:space="0" w:color="auto"/>
            </w:tcBorders>
          </w:tcPr>
          <w:p w14:paraId="25B85748" w14:textId="77777777" w:rsidR="00CA23D0" w:rsidRPr="00E30642" w:rsidRDefault="00CA23D0" w:rsidP="00CA23D0">
            <w:pPr>
              <w:pStyle w:val="Texttabulky"/>
              <w:jc w:val="both"/>
              <w:rPr>
                <w:rFonts w:cs="Arial"/>
              </w:rPr>
            </w:pPr>
            <w:r w:rsidRPr="00E30642">
              <w:rPr>
                <w:rFonts w:cs="Arial"/>
                <w:sz w:val="18"/>
                <w:szCs w:val="18"/>
              </w:rPr>
              <w:t xml:space="preserve">2 200 </w:t>
            </w:r>
          </w:p>
        </w:tc>
        <w:tc>
          <w:tcPr>
            <w:tcW w:w="777" w:type="dxa"/>
            <w:tcBorders>
              <w:top w:val="single" w:sz="6" w:space="0" w:color="auto"/>
              <w:left w:val="single" w:sz="6" w:space="0" w:color="auto"/>
              <w:bottom w:val="single" w:sz="6" w:space="0" w:color="auto"/>
              <w:right w:val="single" w:sz="6" w:space="0" w:color="auto"/>
            </w:tcBorders>
          </w:tcPr>
          <w:p w14:paraId="2BF9200D" w14:textId="77777777" w:rsidR="00CA23D0" w:rsidRPr="00E30642" w:rsidRDefault="00CA23D0" w:rsidP="00CA23D0">
            <w:pPr>
              <w:pStyle w:val="Texttabulky"/>
              <w:jc w:val="both"/>
              <w:rPr>
                <w:rFonts w:cs="Arial"/>
              </w:rPr>
            </w:pPr>
            <w:r w:rsidRPr="00E30642">
              <w:rPr>
                <w:rFonts w:cs="Arial"/>
                <w:sz w:val="18"/>
                <w:szCs w:val="18"/>
              </w:rPr>
              <w:t xml:space="preserve">1 653 </w:t>
            </w:r>
          </w:p>
        </w:tc>
        <w:tc>
          <w:tcPr>
            <w:tcW w:w="682" w:type="dxa"/>
            <w:tcBorders>
              <w:top w:val="single" w:sz="6" w:space="0" w:color="auto"/>
              <w:left w:val="single" w:sz="6" w:space="0" w:color="auto"/>
              <w:bottom w:val="single" w:sz="6" w:space="0" w:color="auto"/>
              <w:right w:val="single" w:sz="6" w:space="0" w:color="auto"/>
            </w:tcBorders>
          </w:tcPr>
          <w:p w14:paraId="0F4F63B9" w14:textId="77777777" w:rsidR="00CA23D0" w:rsidRPr="00E30642" w:rsidRDefault="00CA23D0" w:rsidP="00CA23D0">
            <w:pPr>
              <w:pStyle w:val="Texttabulky"/>
              <w:jc w:val="both"/>
              <w:rPr>
                <w:rFonts w:cs="Arial"/>
              </w:rPr>
            </w:pPr>
            <w:r w:rsidRPr="00E30642">
              <w:rPr>
                <w:rFonts w:cs="Arial"/>
                <w:sz w:val="18"/>
                <w:szCs w:val="18"/>
              </w:rPr>
              <w:t>1 420</w:t>
            </w:r>
          </w:p>
        </w:tc>
        <w:tc>
          <w:tcPr>
            <w:tcW w:w="1200" w:type="dxa"/>
            <w:tcBorders>
              <w:top w:val="single" w:sz="6" w:space="0" w:color="auto"/>
              <w:left w:val="single" w:sz="6" w:space="0" w:color="auto"/>
              <w:bottom w:val="single" w:sz="6" w:space="0" w:color="auto"/>
              <w:right w:val="single" w:sz="6" w:space="0" w:color="auto"/>
            </w:tcBorders>
          </w:tcPr>
          <w:p w14:paraId="73B1713E" w14:textId="77777777" w:rsidR="00CA23D0" w:rsidRPr="00E30642" w:rsidRDefault="00CA23D0" w:rsidP="00CA23D0">
            <w:pPr>
              <w:pStyle w:val="Texttabulky"/>
              <w:jc w:val="both"/>
              <w:rPr>
                <w:rFonts w:cs="Arial"/>
              </w:rPr>
            </w:pPr>
            <w:r w:rsidRPr="00E30642">
              <w:rPr>
                <w:rFonts w:cs="Arial"/>
                <w:sz w:val="18"/>
                <w:szCs w:val="18"/>
              </w:rPr>
              <w:t xml:space="preserve">1 200 </w:t>
            </w:r>
          </w:p>
        </w:tc>
      </w:tr>
      <w:tr w:rsidR="00CA23D0" w:rsidRPr="00E30642" w14:paraId="3AD7B958" w14:textId="77777777" w:rsidTr="00CA23D0">
        <w:trPr>
          <w:jc w:val="center"/>
        </w:trPr>
        <w:tc>
          <w:tcPr>
            <w:tcW w:w="3477" w:type="dxa"/>
            <w:tcBorders>
              <w:top w:val="single" w:sz="6" w:space="0" w:color="auto"/>
              <w:left w:val="single" w:sz="6" w:space="0" w:color="auto"/>
              <w:bottom w:val="single" w:sz="6" w:space="0" w:color="auto"/>
              <w:right w:val="single" w:sz="6" w:space="0" w:color="auto"/>
            </w:tcBorders>
          </w:tcPr>
          <w:p w14:paraId="650DE28F" w14:textId="77777777" w:rsidR="00CA23D0" w:rsidRPr="00E30642" w:rsidRDefault="00CA23D0" w:rsidP="00CA23D0">
            <w:pPr>
              <w:pStyle w:val="Texttabulky"/>
              <w:jc w:val="both"/>
              <w:rPr>
                <w:rFonts w:cs="Arial"/>
              </w:rPr>
            </w:pPr>
            <w:r w:rsidRPr="00E30642">
              <w:rPr>
                <w:rFonts w:cs="Arial"/>
                <w:sz w:val="18"/>
                <w:szCs w:val="18"/>
              </w:rPr>
              <w:t>ZŠ - základní školy  1 - 5.ročník</w:t>
            </w:r>
          </w:p>
        </w:tc>
        <w:tc>
          <w:tcPr>
            <w:tcW w:w="1064" w:type="dxa"/>
            <w:tcBorders>
              <w:top w:val="single" w:sz="6" w:space="0" w:color="auto"/>
              <w:left w:val="single" w:sz="6" w:space="0" w:color="auto"/>
              <w:bottom w:val="single" w:sz="6" w:space="0" w:color="auto"/>
              <w:right w:val="single" w:sz="6" w:space="0" w:color="auto"/>
            </w:tcBorders>
          </w:tcPr>
          <w:p w14:paraId="60B97AAA" w14:textId="77777777" w:rsidR="00CA23D0" w:rsidRPr="00E30642" w:rsidRDefault="00CA23D0" w:rsidP="00CA23D0">
            <w:pPr>
              <w:pStyle w:val="Texttabulky"/>
              <w:jc w:val="both"/>
              <w:rPr>
                <w:rFonts w:cs="Arial"/>
              </w:rPr>
            </w:pPr>
            <w:r w:rsidRPr="00E30642">
              <w:rPr>
                <w:rFonts w:cs="Arial"/>
                <w:sz w:val="18"/>
                <w:szCs w:val="18"/>
              </w:rPr>
              <w:t>4</w:t>
            </w:r>
          </w:p>
        </w:tc>
        <w:tc>
          <w:tcPr>
            <w:tcW w:w="886" w:type="dxa"/>
            <w:tcBorders>
              <w:top w:val="single" w:sz="6" w:space="0" w:color="auto"/>
              <w:left w:val="single" w:sz="6" w:space="0" w:color="auto"/>
              <w:bottom w:val="single" w:sz="6" w:space="0" w:color="auto"/>
              <w:right w:val="single" w:sz="6" w:space="0" w:color="auto"/>
            </w:tcBorders>
          </w:tcPr>
          <w:p w14:paraId="46A3A91E" w14:textId="77777777" w:rsidR="00CA23D0" w:rsidRPr="00E30642" w:rsidRDefault="00CA23D0" w:rsidP="00CA23D0">
            <w:pPr>
              <w:pStyle w:val="Zkladntext"/>
              <w:jc w:val="both"/>
              <w:rPr>
                <w:rFonts w:ascii="Arial" w:hAnsi="Arial" w:cs="Arial"/>
              </w:rPr>
            </w:pPr>
          </w:p>
          <w:p w14:paraId="0F9BCA2E" w14:textId="77777777" w:rsidR="00CA23D0" w:rsidRPr="00E30642" w:rsidRDefault="00CA23D0" w:rsidP="00CA23D0">
            <w:pPr>
              <w:pStyle w:val="Texttabulky"/>
              <w:jc w:val="both"/>
              <w:rPr>
                <w:rFonts w:cs="Arial"/>
              </w:rPr>
            </w:pPr>
            <w:r w:rsidRPr="00E30642">
              <w:rPr>
                <w:rFonts w:cs="Arial"/>
                <w:sz w:val="18"/>
                <w:szCs w:val="18"/>
              </w:rPr>
              <w:t xml:space="preserve">9 070 </w:t>
            </w:r>
          </w:p>
        </w:tc>
        <w:tc>
          <w:tcPr>
            <w:tcW w:w="777" w:type="dxa"/>
            <w:tcBorders>
              <w:top w:val="single" w:sz="6" w:space="0" w:color="auto"/>
              <w:left w:val="single" w:sz="6" w:space="0" w:color="auto"/>
              <w:bottom w:val="single" w:sz="6" w:space="0" w:color="auto"/>
              <w:right w:val="single" w:sz="6" w:space="0" w:color="auto"/>
            </w:tcBorders>
          </w:tcPr>
          <w:p w14:paraId="66A7F7DD" w14:textId="77777777" w:rsidR="00CA23D0" w:rsidRPr="00E30642" w:rsidRDefault="00CA23D0" w:rsidP="00CA23D0">
            <w:pPr>
              <w:pStyle w:val="Zkladntext"/>
              <w:jc w:val="both"/>
              <w:rPr>
                <w:rFonts w:ascii="Arial" w:hAnsi="Arial" w:cs="Arial"/>
              </w:rPr>
            </w:pPr>
          </w:p>
          <w:p w14:paraId="54DCB91E" w14:textId="77777777" w:rsidR="00CA23D0" w:rsidRPr="00E30642" w:rsidRDefault="00CA23D0" w:rsidP="00CA23D0">
            <w:pPr>
              <w:pStyle w:val="Texttabulky"/>
              <w:jc w:val="both"/>
              <w:rPr>
                <w:rFonts w:cs="Arial"/>
              </w:rPr>
            </w:pPr>
            <w:r w:rsidRPr="00E30642">
              <w:rPr>
                <w:rFonts w:cs="Arial"/>
                <w:sz w:val="18"/>
                <w:szCs w:val="18"/>
              </w:rPr>
              <w:t xml:space="preserve">5 561 </w:t>
            </w:r>
          </w:p>
        </w:tc>
        <w:tc>
          <w:tcPr>
            <w:tcW w:w="682" w:type="dxa"/>
            <w:tcBorders>
              <w:top w:val="single" w:sz="6" w:space="0" w:color="auto"/>
              <w:left w:val="single" w:sz="6" w:space="0" w:color="auto"/>
              <w:bottom w:val="single" w:sz="6" w:space="0" w:color="auto"/>
              <w:right w:val="single" w:sz="6" w:space="0" w:color="auto"/>
            </w:tcBorders>
          </w:tcPr>
          <w:p w14:paraId="32B699F4" w14:textId="77777777" w:rsidR="00CA23D0" w:rsidRPr="00E30642" w:rsidRDefault="00CA23D0" w:rsidP="00CA23D0">
            <w:pPr>
              <w:pStyle w:val="Texttabulky"/>
              <w:jc w:val="both"/>
              <w:rPr>
                <w:rFonts w:cs="Arial"/>
              </w:rPr>
            </w:pPr>
            <w:r w:rsidRPr="00E30642">
              <w:rPr>
                <w:rFonts w:cs="Arial"/>
                <w:sz w:val="18"/>
                <w:szCs w:val="18"/>
              </w:rPr>
              <w:t>346</w:t>
            </w:r>
          </w:p>
        </w:tc>
        <w:tc>
          <w:tcPr>
            <w:tcW w:w="1200" w:type="dxa"/>
            <w:tcBorders>
              <w:top w:val="single" w:sz="6" w:space="0" w:color="auto"/>
              <w:left w:val="single" w:sz="6" w:space="0" w:color="auto"/>
              <w:bottom w:val="single" w:sz="6" w:space="0" w:color="auto"/>
              <w:right w:val="single" w:sz="6" w:space="0" w:color="auto"/>
            </w:tcBorders>
          </w:tcPr>
          <w:p w14:paraId="223CE841" w14:textId="77777777" w:rsidR="00CA23D0" w:rsidRPr="00E30642" w:rsidRDefault="00CA23D0" w:rsidP="00CA23D0">
            <w:pPr>
              <w:pStyle w:val="Zkladntext"/>
              <w:jc w:val="both"/>
              <w:rPr>
                <w:rFonts w:ascii="Arial" w:hAnsi="Arial" w:cs="Arial"/>
              </w:rPr>
            </w:pPr>
          </w:p>
          <w:p w14:paraId="15A6CB73" w14:textId="77777777" w:rsidR="00CA23D0" w:rsidRPr="00E30642" w:rsidRDefault="00CA23D0" w:rsidP="00CA23D0">
            <w:pPr>
              <w:pStyle w:val="Texttabulky"/>
              <w:jc w:val="both"/>
              <w:rPr>
                <w:rFonts w:cs="Arial"/>
              </w:rPr>
            </w:pPr>
            <w:r w:rsidRPr="00E30642">
              <w:rPr>
                <w:rFonts w:cs="Arial"/>
                <w:sz w:val="18"/>
                <w:szCs w:val="18"/>
              </w:rPr>
              <w:t xml:space="preserve">5 500 </w:t>
            </w:r>
          </w:p>
        </w:tc>
      </w:tr>
      <w:tr w:rsidR="00CA23D0" w:rsidRPr="00E30642" w14:paraId="23936F62" w14:textId="77777777" w:rsidTr="00CA23D0">
        <w:trPr>
          <w:jc w:val="center"/>
        </w:trPr>
        <w:tc>
          <w:tcPr>
            <w:tcW w:w="3477" w:type="dxa"/>
            <w:tcBorders>
              <w:top w:val="single" w:sz="6" w:space="0" w:color="auto"/>
              <w:left w:val="single" w:sz="6" w:space="0" w:color="auto"/>
              <w:bottom w:val="single" w:sz="6" w:space="0" w:color="auto"/>
              <w:right w:val="single" w:sz="6" w:space="0" w:color="auto"/>
            </w:tcBorders>
          </w:tcPr>
          <w:p w14:paraId="00EE3226" w14:textId="77777777" w:rsidR="00CA23D0" w:rsidRPr="00E30642" w:rsidRDefault="00CA23D0" w:rsidP="00CA23D0">
            <w:pPr>
              <w:pStyle w:val="Texttabulky"/>
              <w:jc w:val="both"/>
              <w:rPr>
                <w:rFonts w:cs="Arial"/>
              </w:rPr>
            </w:pPr>
            <w:r w:rsidRPr="00E30642">
              <w:rPr>
                <w:rFonts w:cs="Arial"/>
                <w:sz w:val="18"/>
                <w:szCs w:val="18"/>
              </w:rPr>
              <w:t>ZŠ - základní školy  1 - 5.ročník</w:t>
            </w:r>
          </w:p>
        </w:tc>
        <w:tc>
          <w:tcPr>
            <w:tcW w:w="1064" w:type="dxa"/>
            <w:tcBorders>
              <w:top w:val="single" w:sz="6" w:space="0" w:color="auto"/>
              <w:left w:val="single" w:sz="6" w:space="0" w:color="auto"/>
              <w:bottom w:val="single" w:sz="6" w:space="0" w:color="auto"/>
              <w:right w:val="single" w:sz="6" w:space="0" w:color="auto"/>
            </w:tcBorders>
          </w:tcPr>
          <w:p w14:paraId="4D0692BA" w14:textId="77777777" w:rsidR="00CA23D0" w:rsidRPr="00E30642" w:rsidRDefault="00CA23D0" w:rsidP="00CA23D0">
            <w:pPr>
              <w:pStyle w:val="Texttabulky"/>
              <w:jc w:val="both"/>
              <w:rPr>
                <w:rFonts w:cs="Arial"/>
              </w:rPr>
            </w:pPr>
            <w:r w:rsidRPr="00E30642">
              <w:rPr>
                <w:rFonts w:cs="Arial"/>
                <w:sz w:val="18"/>
                <w:szCs w:val="18"/>
              </w:rPr>
              <w:t>11</w:t>
            </w:r>
          </w:p>
        </w:tc>
        <w:tc>
          <w:tcPr>
            <w:tcW w:w="886" w:type="dxa"/>
            <w:tcBorders>
              <w:top w:val="single" w:sz="6" w:space="0" w:color="auto"/>
              <w:left w:val="single" w:sz="6" w:space="0" w:color="auto"/>
              <w:bottom w:val="single" w:sz="6" w:space="0" w:color="auto"/>
              <w:right w:val="single" w:sz="6" w:space="0" w:color="auto"/>
            </w:tcBorders>
          </w:tcPr>
          <w:p w14:paraId="1037C8E2" w14:textId="77777777" w:rsidR="00CA23D0" w:rsidRPr="00E30642" w:rsidRDefault="00CA23D0" w:rsidP="00CA23D0">
            <w:pPr>
              <w:pStyle w:val="Zkladntext"/>
              <w:jc w:val="both"/>
              <w:rPr>
                <w:rFonts w:ascii="Arial" w:hAnsi="Arial" w:cs="Arial"/>
              </w:rPr>
            </w:pPr>
          </w:p>
        </w:tc>
        <w:tc>
          <w:tcPr>
            <w:tcW w:w="777" w:type="dxa"/>
            <w:tcBorders>
              <w:top w:val="single" w:sz="6" w:space="0" w:color="auto"/>
              <w:left w:val="single" w:sz="6" w:space="0" w:color="auto"/>
              <w:bottom w:val="single" w:sz="6" w:space="0" w:color="auto"/>
              <w:right w:val="single" w:sz="6" w:space="0" w:color="auto"/>
            </w:tcBorders>
          </w:tcPr>
          <w:p w14:paraId="472246D7" w14:textId="77777777" w:rsidR="00CA23D0" w:rsidRPr="00E30642" w:rsidRDefault="00CA23D0" w:rsidP="00CA23D0">
            <w:pPr>
              <w:pStyle w:val="Zkladntext"/>
              <w:jc w:val="both"/>
              <w:rPr>
                <w:rFonts w:ascii="Arial" w:hAnsi="Arial" w:cs="Arial"/>
              </w:rPr>
            </w:pPr>
          </w:p>
        </w:tc>
        <w:tc>
          <w:tcPr>
            <w:tcW w:w="682" w:type="dxa"/>
            <w:tcBorders>
              <w:top w:val="single" w:sz="6" w:space="0" w:color="auto"/>
              <w:left w:val="single" w:sz="6" w:space="0" w:color="auto"/>
              <w:bottom w:val="single" w:sz="6" w:space="0" w:color="auto"/>
              <w:right w:val="single" w:sz="6" w:space="0" w:color="auto"/>
            </w:tcBorders>
          </w:tcPr>
          <w:p w14:paraId="09047D8D" w14:textId="77777777" w:rsidR="00CA23D0" w:rsidRPr="00E30642" w:rsidRDefault="00CA23D0" w:rsidP="00CA23D0">
            <w:pPr>
              <w:pStyle w:val="Texttabulky"/>
              <w:jc w:val="both"/>
              <w:rPr>
                <w:rFonts w:cs="Arial"/>
              </w:rPr>
            </w:pPr>
            <w:r w:rsidRPr="00E30642">
              <w:rPr>
                <w:rFonts w:cs="Arial"/>
                <w:sz w:val="18"/>
                <w:szCs w:val="18"/>
              </w:rPr>
              <w:t>5 446</w:t>
            </w:r>
          </w:p>
        </w:tc>
        <w:tc>
          <w:tcPr>
            <w:tcW w:w="1200" w:type="dxa"/>
            <w:tcBorders>
              <w:top w:val="single" w:sz="6" w:space="0" w:color="auto"/>
              <w:left w:val="single" w:sz="6" w:space="0" w:color="auto"/>
              <w:bottom w:val="single" w:sz="6" w:space="0" w:color="auto"/>
              <w:right w:val="single" w:sz="6" w:space="0" w:color="auto"/>
            </w:tcBorders>
          </w:tcPr>
          <w:p w14:paraId="0C513CBA" w14:textId="77777777" w:rsidR="00CA23D0" w:rsidRPr="00E30642" w:rsidRDefault="00CA23D0" w:rsidP="00CA23D0">
            <w:pPr>
              <w:pStyle w:val="Zkladntext"/>
              <w:jc w:val="both"/>
              <w:rPr>
                <w:rFonts w:ascii="Arial" w:hAnsi="Arial" w:cs="Arial"/>
              </w:rPr>
            </w:pPr>
          </w:p>
        </w:tc>
      </w:tr>
      <w:tr w:rsidR="00CA23D0" w:rsidRPr="00E30642" w14:paraId="1CB4EEA1" w14:textId="77777777" w:rsidTr="00CA23D0">
        <w:trPr>
          <w:jc w:val="center"/>
        </w:trPr>
        <w:tc>
          <w:tcPr>
            <w:tcW w:w="3477" w:type="dxa"/>
            <w:tcBorders>
              <w:top w:val="single" w:sz="6" w:space="0" w:color="auto"/>
              <w:left w:val="single" w:sz="6" w:space="0" w:color="auto"/>
              <w:bottom w:val="single" w:sz="6" w:space="0" w:color="auto"/>
              <w:right w:val="single" w:sz="6" w:space="0" w:color="auto"/>
            </w:tcBorders>
          </w:tcPr>
          <w:p w14:paraId="6A24C4D6" w14:textId="77777777" w:rsidR="00CA23D0" w:rsidRPr="00E30642" w:rsidRDefault="00CA23D0" w:rsidP="00CA23D0">
            <w:pPr>
              <w:pStyle w:val="Texttabulky"/>
              <w:jc w:val="both"/>
              <w:rPr>
                <w:rFonts w:cs="Arial"/>
              </w:rPr>
            </w:pPr>
            <w:r w:rsidRPr="00E30642">
              <w:rPr>
                <w:rFonts w:cs="Arial"/>
                <w:sz w:val="18"/>
                <w:szCs w:val="18"/>
              </w:rPr>
              <w:t>Zvláštní + speciální škola</w:t>
            </w:r>
          </w:p>
        </w:tc>
        <w:tc>
          <w:tcPr>
            <w:tcW w:w="1064" w:type="dxa"/>
            <w:tcBorders>
              <w:top w:val="single" w:sz="6" w:space="0" w:color="auto"/>
              <w:left w:val="single" w:sz="6" w:space="0" w:color="auto"/>
              <w:bottom w:val="single" w:sz="6" w:space="0" w:color="auto"/>
              <w:right w:val="single" w:sz="6" w:space="0" w:color="auto"/>
            </w:tcBorders>
          </w:tcPr>
          <w:p w14:paraId="1FA03576" w14:textId="77777777" w:rsidR="00CA23D0" w:rsidRPr="00E30642" w:rsidRDefault="00CA23D0" w:rsidP="00CA23D0">
            <w:pPr>
              <w:pStyle w:val="Texttabulky"/>
              <w:jc w:val="both"/>
              <w:rPr>
                <w:rFonts w:cs="Arial"/>
              </w:rPr>
            </w:pPr>
            <w:r w:rsidRPr="00E30642">
              <w:rPr>
                <w:rFonts w:cs="Arial"/>
                <w:sz w:val="18"/>
                <w:szCs w:val="18"/>
              </w:rPr>
              <w:t>2</w:t>
            </w:r>
          </w:p>
        </w:tc>
        <w:tc>
          <w:tcPr>
            <w:tcW w:w="886" w:type="dxa"/>
            <w:tcBorders>
              <w:top w:val="single" w:sz="6" w:space="0" w:color="auto"/>
              <w:left w:val="single" w:sz="6" w:space="0" w:color="auto"/>
              <w:bottom w:val="single" w:sz="6" w:space="0" w:color="auto"/>
              <w:right w:val="single" w:sz="6" w:space="0" w:color="auto"/>
            </w:tcBorders>
          </w:tcPr>
          <w:p w14:paraId="602FC309" w14:textId="77777777" w:rsidR="00CA23D0" w:rsidRPr="00E30642" w:rsidRDefault="00CA23D0" w:rsidP="00CA23D0">
            <w:pPr>
              <w:pStyle w:val="Texttabulky"/>
              <w:jc w:val="both"/>
              <w:rPr>
                <w:rFonts w:cs="Arial"/>
              </w:rPr>
            </w:pPr>
            <w:r w:rsidRPr="00E30642">
              <w:rPr>
                <w:rFonts w:cs="Arial"/>
              </w:rPr>
              <w:t>-</w:t>
            </w:r>
          </w:p>
        </w:tc>
        <w:tc>
          <w:tcPr>
            <w:tcW w:w="777" w:type="dxa"/>
            <w:tcBorders>
              <w:top w:val="single" w:sz="6" w:space="0" w:color="auto"/>
              <w:left w:val="single" w:sz="6" w:space="0" w:color="auto"/>
              <w:bottom w:val="single" w:sz="6" w:space="0" w:color="auto"/>
              <w:right w:val="single" w:sz="6" w:space="0" w:color="auto"/>
            </w:tcBorders>
          </w:tcPr>
          <w:p w14:paraId="235A21F0" w14:textId="77777777" w:rsidR="00CA23D0" w:rsidRPr="00E30642" w:rsidRDefault="00CA23D0" w:rsidP="00CA23D0">
            <w:pPr>
              <w:pStyle w:val="Texttabulky"/>
              <w:jc w:val="both"/>
              <w:rPr>
                <w:rFonts w:cs="Arial"/>
              </w:rPr>
            </w:pPr>
            <w:r w:rsidRPr="00E30642">
              <w:rPr>
                <w:rFonts w:cs="Arial"/>
              </w:rPr>
              <w:t>-</w:t>
            </w:r>
          </w:p>
        </w:tc>
        <w:tc>
          <w:tcPr>
            <w:tcW w:w="682" w:type="dxa"/>
            <w:tcBorders>
              <w:top w:val="single" w:sz="6" w:space="0" w:color="auto"/>
              <w:left w:val="single" w:sz="6" w:space="0" w:color="auto"/>
              <w:bottom w:val="single" w:sz="6" w:space="0" w:color="auto"/>
              <w:right w:val="single" w:sz="6" w:space="0" w:color="auto"/>
            </w:tcBorders>
          </w:tcPr>
          <w:p w14:paraId="53D4BCB8" w14:textId="77777777" w:rsidR="00CA23D0" w:rsidRPr="00E30642" w:rsidRDefault="00CA23D0" w:rsidP="00CA23D0">
            <w:pPr>
              <w:pStyle w:val="Texttabulky"/>
              <w:jc w:val="both"/>
              <w:rPr>
                <w:rFonts w:cs="Arial"/>
              </w:rPr>
            </w:pPr>
            <w:r w:rsidRPr="00E30642">
              <w:rPr>
                <w:rFonts w:cs="Arial"/>
                <w:sz w:val="18"/>
                <w:szCs w:val="18"/>
              </w:rPr>
              <w:t>215</w:t>
            </w:r>
          </w:p>
        </w:tc>
        <w:tc>
          <w:tcPr>
            <w:tcW w:w="1200" w:type="dxa"/>
            <w:tcBorders>
              <w:top w:val="single" w:sz="6" w:space="0" w:color="auto"/>
              <w:left w:val="single" w:sz="6" w:space="0" w:color="auto"/>
              <w:bottom w:val="single" w:sz="6" w:space="0" w:color="auto"/>
              <w:right w:val="single" w:sz="6" w:space="0" w:color="auto"/>
            </w:tcBorders>
          </w:tcPr>
          <w:p w14:paraId="2358B217" w14:textId="77777777" w:rsidR="00CA23D0" w:rsidRPr="00E30642" w:rsidRDefault="00CA23D0" w:rsidP="00CA23D0">
            <w:pPr>
              <w:pStyle w:val="Texttabulky"/>
              <w:jc w:val="both"/>
              <w:rPr>
                <w:rFonts w:cs="Arial"/>
              </w:rPr>
            </w:pPr>
            <w:r w:rsidRPr="00E30642">
              <w:rPr>
                <w:rFonts w:cs="Arial"/>
                <w:sz w:val="18"/>
                <w:szCs w:val="18"/>
              </w:rPr>
              <w:t>200</w:t>
            </w:r>
          </w:p>
        </w:tc>
      </w:tr>
      <w:tr w:rsidR="00CA23D0" w:rsidRPr="00E30642" w14:paraId="0A929447" w14:textId="77777777" w:rsidTr="00CA23D0">
        <w:trPr>
          <w:jc w:val="center"/>
        </w:trPr>
        <w:tc>
          <w:tcPr>
            <w:tcW w:w="3477" w:type="dxa"/>
            <w:tcBorders>
              <w:top w:val="single" w:sz="6" w:space="0" w:color="auto"/>
              <w:left w:val="single" w:sz="6" w:space="0" w:color="auto"/>
              <w:bottom w:val="single" w:sz="6" w:space="0" w:color="auto"/>
              <w:right w:val="single" w:sz="6" w:space="0" w:color="auto"/>
            </w:tcBorders>
          </w:tcPr>
          <w:p w14:paraId="64335AE5" w14:textId="77777777" w:rsidR="00CA23D0" w:rsidRPr="00E30642" w:rsidRDefault="00CA23D0" w:rsidP="00CA23D0">
            <w:pPr>
              <w:pStyle w:val="Texttabulky"/>
              <w:jc w:val="both"/>
              <w:rPr>
                <w:rFonts w:cs="Arial"/>
              </w:rPr>
            </w:pPr>
            <w:r w:rsidRPr="00E30642">
              <w:rPr>
                <w:rFonts w:cs="Arial"/>
                <w:sz w:val="18"/>
                <w:szCs w:val="18"/>
              </w:rPr>
              <w:t>Gymnázium a střední odborné školy</w:t>
            </w:r>
          </w:p>
        </w:tc>
        <w:tc>
          <w:tcPr>
            <w:tcW w:w="1064" w:type="dxa"/>
            <w:tcBorders>
              <w:top w:val="single" w:sz="6" w:space="0" w:color="auto"/>
              <w:left w:val="single" w:sz="6" w:space="0" w:color="auto"/>
              <w:bottom w:val="single" w:sz="6" w:space="0" w:color="auto"/>
              <w:right w:val="single" w:sz="6" w:space="0" w:color="auto"/>
            </w:tcBorders>
          </w:tcPr>
          <w:p w14:paraId="2132FD2D" w14:textId="77777777" w:rsidR="00CA23D0" w:rsidRPr="00E30642" w:rsidRDefault="00CA23D0" w:rsidP="00CA23D0">
            <w:pPr>
              <w:pStyle w:val="Texttabulky"/>
              <w:jc w:val="both"/>
              <w:rPr>
                <w:rFonts w:cs="Arial"/>
              </w:rPr>
            </w:pPr>
            <w:r w:rsidRPr="00E30642">
              <w:rPr>
                <w:rFonts w:cs="Arial"/>
                <w:sz w:val="18"/>
                <w:szCs w:val="18"/>
              </w:rPr>
              <w:t>8</w:t>
            </w:r>
          </w:p>
        </w:tc>
        <w:tc>
          <w:tcPr>
            <w:tcW w:w="886" w:type="dxa"/>
            <w:tcBorders>
              <w:top w:val="single" w:sz="6" w:space="0" w:color="auto"/>
              <w:left w:val="single" w:sz="6" w:space="0" w:color="auto"/>
              <w:bottom w:val="single" w:sz="6" w:space="0" w:color="auto"/>
              <w:right w:val="single" w:sz="6" w:space="0" w:color="auto"/>
            </w:tcBorders>
          </w:tcPr>
          <w:p w14:paraId="3C277619" w14:textId="77777777" w:rsidR="00CA23D0" w:rsidRPr="00E30642" w:rsidRDefault="00CA23D0" w:rsidP="00CA23D0">
            <w:pPr>
              <w:pStyle w:val="Texttabulky"/>
              <w:jc w:val="both"/>
              <w:rPr>
                <w:rFonts w:cs="Arial"/>
              </w:rPr>
            </w:pPr>
            <w:r w:rsidRPr="00E30642">
              <w:rPr>
                <w:rFonts w:cs="Arial"/>
                <w:sz w:val="18"/>
                <w:szCs w:val="18"/>
              </w:rPr>
              <w:t xml:space="preserve">3 336 </w:t>
            </w:r>
          </w:p>
        </w:tc>
        <w:tc>
          <w:tcPr>
            <w:tcW w:w="777" w:type="dxa"/>
            <w:tcBorders>
              <w:top w:val="single" w:sz="6" w:space="0" w:color="auto"/>
              <w:left w:val="single" w:sz="6" w:space="0" w:color="auto"/>
              <w:bottom w:val="single" w:sz="6" w:space="0" w:color="auto"/>
              <w:right w:val="single" w:sz="6" w:space="0" w:color="auto"/>
            </w:tcBorders>
          </w:tcPr>
          <w:p w14:paraId="50EA7340" w14:textId="77777777" w:rsidR="00CA23D0" w:rsidRPr="00E30642" w:rsidRDefault="00CA23D0" w:rsidP="00CA23D0">
            <w:pPr>
              <w:pStyle w:val="Texttabulky"/>
              <w:jc w:val="both"/>
              <w:rPr>
                <w:rFonts w:cs="Arial"/>
              </w:rPr>
            </w:pPr>
            <w:r w:rsidRPr="00E30642">
              <w:rPr>
                <w:rFonts w:cs="Arial"/>
                <w:sz w:val="18"/>
                <w:szCs w:val="18"/>
              </w:rPr>
              <w:t xml:space="preserve">2 539 </w:t>
            </w:r>
          </w:p>
        </w:tc>
        <w:tc>
          <w:tcPr>
            <w:tcW w:w="682" w:type="dxa"/>
            <w:tcBorders>
              <w:top w:val="single" w:sz="6" w:space="0" w:color="auto"/>
              <w:left w:val="single" w:sz="6" w:space="0" w:color="auto"/>
              <w:bottom w:val="single" w:sz="6" w:space="0" w:color="auto"/>
              <w:right w:val="single" w:sz="6" w:space="0" w:color="auto"/>
            </w:tcBorders>
          </w:tcPr>
          <w:p w14:paraId="4D5433BE" w14:textId="77777777" w:rsidR="00CA23D0" w:rsidRPr="00E30642" w:rsidRDefault="00CA23D0" w:rsidP="00CA23D0">
            <w:pPr>
              <w:pStyle w:val="Texttabulky"/>
              <w:jc w:val="both"/>
              <w:rPr>
                <w:rFonts w:cs="Arial"/>
              </w:rPr>
            </w:pPr>
            <w:r w:rsidRPr="00E30642">
              <w:rPr>
                <w:rFonts w:cs="Arial"/>
                <w:sz w:val="18"/>
                <w:szCs w:val="18"/>
              </w:rPr>
              <w:t>3 808</w:t>
            </w:r>
          </w:p>
        </w:tc>
        <w:tc>
          <w:tcPr>
            <w:tcW w:w="1200" w:type="dxa"/>
            <w:tcBorders>
              <w:top w:val="single" w:sz="6" w:space="0" w:color="auto"/>
              <w:left w:val="single" w:sz="6" w:space="0" w:color="auto"/>
              <w:bottom w:val="single" w:sz="6" w:space="0" w:color="auto"/>
              <w:right w:val="single" w:sz="6" w:space="0" w:color="auto"/>
            </w:tcBorders>
          </w:tcPr>
          <w:p w14:paraId="3251E388" w14:textId="77777777" w:rsidR="00CA23D0" w:rsidRPr="00E30642" w:rsidRDefault="00CA23D0" w:rsidP="00CA23D0">
            <w:pPr>
              <w:pStyle w:val="Texttabulky"/>
              <w:jc w:val="both"/>
              <w:rPr>
                <w:rFonts w:cs="Arial"/>
              </w:rPr>
            </w:pPr>
            <w:r w:rsidRPr="00E30642">
              <w:rPr>
                <w:rFonts w:cs="Arial"/>
                <w:sz w:val="18"/>
                <w:szCs w:val="18"/>
              </w:rPr>
              <w:t xml:space="preserve">3 500 </w:t>
            </w:r>
          </w:p>
        </w:tc>
      </w:tr>
      <w:tr w:rsidR="00CA23D0" w:rsidRPr="00E30642" w14:paraId="6AFC0C55" w14:textId="77777777" w:rsidTr="00CA23D0">
        <w:trPr>
          <w:jc w:val="center"/>
        </w:trPr>
        <w:tc>
          <w:tcPr>
            <w:tcW w:w="3477" w:type="dxa"/>
            <w:tcBorders>
              <w:top w:val="single" w:sz="6" w:space="0" w:color="auto"/>
              <w:left w:val="single" w:sz="6" w:space="0" w:color="auto"/>
              <w:bottom w:val="single" w:sz="6" w:space="0" w:color="auto"/>
              <w:right w:val="single" w:sz="6" w:space="0" w:color="auto"/>
            </w:tcBorders>
          </w:tcPr>
          <w:p w14:paraId="344F204A" w14:textId="77777777" w:rsidR="00CA23D0" w:rsidRPr="00E30642" w:rsidRDefault="00CA23D0" w:rsidP="00CA23D0">
            <w:pPr>
              <w:pStyle w:val="Texttabulky"/>
              <w:jc w:val="both"/>
              <w:rPr>
                <w:rFonts w:cs="Arial"/>
              </w:rPr>
            </w:pPr>
            <w:r w:rsidRPr="00E30642">
              <w:rPr>
                <w:rFonts w:cs="Arial"/>
                <w:sz w:val="18"/>
                <w:szCs w:val="18"/>
              </w:rPr>
              <w:t xml:space="preserve">ČVUT - vysoká škola </w:t>
            </w:r>
          </w:p>
        </w:tc>
        <w:tc>
          <w:tcPr>
            <w:tcW w:w="1064" w:type="dxa"/>
            <w:tcBorders>
              <w:top w:val="single" w:sz="6" w:space="0" w:color="auto"/>
              <w:left w:val="single" w:sz="6" w:space="0" w:color="auto"/>
              <w:bottom w:val="single" w:sz="6" w:space="0" w:color="auto"/>
              <w:right w:val="single" w:sz="6" w:space="0" w:color="auto"/>
            </w:tcBorders>
          </w:tcPr>
          <w:p w14:paraId="5A968F12" w14:textId="77777777" w:rsidR="00CA23D0" w:rsidRPr="00E30642" w:rsidRDefault="00CA23D0" w:rsidP="00CA23D0">
            <w:pPr>
              <w:pStyle w:val="Texttabulky"/>
              <w:jc w:val="both"/>
              <w:rPr>
                <w:rFonts w:cs="Arial"/>
              </w:rPr>
            </w:pPr>
            <w:r w:rsidRPr="00E30642">
              <w:rPr>
                <w:rFonts w:cs="Arial"/>
                <w:sz w:val="18"/>
                <w:szCs w:val="18"/>
              </w:rPr>
              <w:t>1</w:t>
            </w:r>
          </w:p>
        </w:tc>
        <w:tc>
          <w:tcPr>
            <w:tcW w:w="886" w:type="dxa"/>
            <w:tcBorders>
              <w:top w:val="single" w:sz="6" w:space="0" w:color="auto"/>
              <w:left w:val="single" w:sz="6" w:space="0" w:color="auto"/>
              <w:bottom w:val="single" w:sz="6" w:space="0" w:color="auto"/>
              <w:right w:val="single" w:sz="6" w:space="0" w:color="auto"/>
            </w:tcBorders>
          </w:tcPr>
          <w:p w14:paraId="5CFB9DB9" w14:textId="77777777" w:rsidR="00CA23D0" w:rsidRPr="00E30642" w:rsidRDefault="00CA23D0" w:rsidP="00CA23D0">
            <w:pPr>
              <w:pStyle w:val="Texttabulky"/>
              <w:jc w:val="both"/>
              <w:rPr>
                <w:rFonts w:cs="Arial"/>
              </w:rPr>
            </w:pPr>
            <w:r w:rsidRPr="00E30642">
              <w:rPr>
                <w:rFonts w:cs="Arial"/>
                <w:sz w:val="18"/>
                <w:szCs w:val="18"/>
              </w:rPr>
              <w:t xml:space="preserve"> - </w:t>
            </w:r>
          </w:p>
        </w:tc>
        <w:tc>
          <w:tcPr>
            <w:tcW w:w="777" w:type="dxa"/>
            <w:tcBorders>
              <w:top w:val="single" w:sz="6" w:space="0" w:color="auto"/>
              <w:left w:val="single" w:sz="6" w:space="0" w:color="auto"/>
              <w:bottom w:val="single" w:sz="6" w:space="0" w:color="auto"/>
              <w:right w:val="single" w:sz="6" w:space="0" w:color="auto"/>
            </w:tcBorders>
          </w:tcPr>
          <w:p w14:paraId="3BDEA989" w14:textId="77777777" w:rsidR="00CA23D0" w:rsidRPr="00E30642" w:rsidRDefault="00CA23D0" w:rsidP="00CA23D0">
            <w:pPr>
              <w:pStyle w:val="Texttabulky"/>
              <w:jc w:val="both"/>
              <w:rPr>
                <w:rFonts w:cs="Arial"/>
              </w:rPr>
            </w:pPr>
            <w:r w:rsidRPr="00E30642">
              <w:rPr>
                <w:rFonts w:cs="Arial"/>
                <w:sz w:val="18"/>
                <w:szCs w:val="18"/>
              </w:rPr>
              <w:t xml:space="preserve">100 </w:t>
            </w:r>
          </w:p>
        </w:tc>
        <w:tc>
          <w:tcPr>
            <w:tcW w:w="682" w:type="dxa"/>
            <w:tcBorders>
              <w:top w:val="single" w:sz="6" w:space="0" w:color="auto"/>
              <w:left w:val="single" w:sz="6" w:space="0" w:color="auto"/>
              <w:bottom w:val="single" w:sz="6" w:space="0" w:color="auto"/>
              <w:right w:val="single" w:sz="6" w:space="0" w:color="auto"/>
            </w:tcBorders>
          </w:tcPr>
          <w:p w14:paraId="681AB2C0" w14:textId="77777777" w:rsidR="00CA23D0" w:rsidRPr="00E30642" w:rsidRDefault="00CA23D0" w:rsidP="00CA23D0">
            <w:pPr>
              <w:pStyle w:val="Texttabulky"/>
              <w:jc w:val="both"/>
              <w:rPr>
                <w:rFonts w:cs="Arial"/>
              </w:rPr>
            </w:pPr>
            <w:r w:rsidRPr="00E30642">
              <w:rPr>
                <w:rFonts w:cs="Arial"/>
                <w:sz w:val="18"/>
                <w:szCs w:val="18"/>
              </w:rPr>
              <w:t>100</w:t>
            </w:r>
          </w:p>
        </w:tc>
        <w:tc>
          <w:tcPr>
            <w:tcW w:w="1200" w:type="dxa"/>
            <w:tcBorders>
              <w:top w:val="single" w:sz="6" w:space="0" w:color="auto"/>
              <w:left w:val="single" w:sz="6" w:space="0" w:color="auto"/>
              <w:bottom w:val="single" w:sz="6" w:space="0" w:color="auto"/>
              <w:right w:val="single" w:sz="6" w:space="0" w:color="auto"/>
            </w:tcBorders>
          </w:tcPr>
          <w:p w14:paraId="6348629D" w14:textId="77777777" w:rsidR="00CA23D0" w:rsidRPr="00E30642" w:rsidRDefault="00CA23D0" w:rsidP="00CA23D0">
            <w:pPr>
              <w:pStyle w:val="Texttabulky"/>
              <w:jc w:val="both"/>
              <w:rPr>
                <w:rFonts w:cs="Arial"/>
              </w:rPr>
            </w:pPr>
            <w:r w:rsidRPr="00E30642">
              <w:rPr>
                <w:rFonts w:cs="Arial"/>
                <w:sz w:val="18"/>
                <w:szCs w:val="18"/>
              </w:rPr>
              <w:t xml:space="preserve">150 </w:t>
            </w:r>
          </w:p>
        </w:tc>
      </w:tr>
      <w:tr w:rsidR="00CA23D0" w:rsidRPr="00E30642" w14:paraId="4CB187C5" w14:textId="77777777" w:rsidTr="00CA23D0">
        <w:trPr>
          <w:jc w:val="center"/>
        </w:trPr>
        <w:tc>
          <w:tcPr>
            <w:tcW w:w="3477" w:type="dxa"/>
            <w:tcBorders>
              <w:top w:val="single" w:sz="6" w:space="0" w:color="auto"/>
              <w:left w:val="single" w:sz="6" w:space="0" w:color="auto"/>
              <w:bottom w:val="single" w:sz="6" w:space="0" w:color="auto"/>
              <w:right w:val="single" w:sz="6" w:space="0" w:color="auto"/>
            </w:tcBorders>
          </w:tcPr>
          <w:p w14:paraId="6271F6EA" w14:textId="77777777" w:rsidR="00CA23D0" w:rsidRPr="00E30642" w:rsidRDefault="00CA23D0" w:rsidP="00CA23D0">
            <w:pPr>
              <w:pStyle w:val="Texttabulky"/>
              <w:jc w:val="both"/>
              <w:rPr>
                <w:rFonts w:cs="Arial"/>
              </w:rPr>
            </w:pPr>
            <w:r w:rsidRPr="00E30642">
              <w:rPr>
                <w:rFonts w:cs="Arial"/>
                <w:sz w:val="18"/>
                <w:szCs w:val="18"/>
              </w:rPr>
              <w:t>Střední odborná učiliště</w:t>
            </w:r>
          </w:p>
        </w:tc>
        <w:tc>
          <w:tcPr>
            <w:tcW w:w="1064" w:type="dxa"/>
            <w:tcBorders>
              <w:top w:val="single" w:sz="6" w:space="0" w:color="auto"/>
              <w:left w:val="single" w:sz="6" w:space="0" w:color="auto"/>
              <w:bottom w:val="single" w:sz="6" w:space="0" w:color="auto"/>
              <w:right w:val="single" w:sz="6" w:space="0" w:color="auto"/>
            </w:tcBorders>
          </w:tcPr>
          <w:p w14:paraId="491A4759" w14:textId="77777777" w:rsidR="00CA23D0" w:rsidRPr="00E30642" w:rsidRDefault="00CA23D0" w:rsidP="00CA23D0">
            <w:pPr>
              <w:pStyle w:val="Texttabulky"/>
              <w:jc w:val="both"/>
              <w:rPr>
                <w:rFonts w:cs="Arial"/>
              </w:rPr>
            </w:pPr>
            <w:r w:rsidRPr="00E30642">
              <w:rPr>
                <w:rFonts w:cs="Arial"/>
                <w:sz w:val="18"/>
                <w:szCs w:val="18"/>
              </w:rPr>
              <w:t>2</w:t>
            </w:r>
          </w:p>
        </w:tc>
        <w:tc>
          <w:tcPr>
            <w:tcW w:w="886" w:type="dxa"/>
            <w:tcBorders>
              <w:top w:val="single" w:sz="6" w:space="0" w:color="auto"/>
              <w:left w:val="single" w:sz="6" w:space="0" w:color="auto"/>
              <w:bottom w:val="single" w:sz="6" w:space="0" w:color="auto"/>
              <w:right w:val="single" w:sz="6" w:space="0" w:color="auto"/>
            </w:tcBorders>
          </w:tcPr>
          <w:p w14:paraId="10300118" w14:textId="77777777" w:rsidR="00CA23D0" w:rsidRPr="00E30642" w:rsidRDefault="00CA23D0" w:rsidP="00CA23D0">
            <w:pPr>
              <w:pStyle w:val="Zkladntext"/>
              <w:jc w:val="both"/>
              <w:rPr>
                <w:rFonts w:ascii="Arial" w:hAnsi="Arial" w:cs="Arial"/>
              </w:rPr>
            </w:pPr>
          </w:p>
        </w:tc>
        <w:tc>
          <w:tcPr>
            <w:tcW w:w="777" w:type="dxa"/>
            <w:tcBorders>
              <w:top w:val="single" w:sz="6" w:space="0" w:color="auto"/>
              <w:left w:val="single" w:sz="6" w:space="0" w:color="auto"/>
              <w:bottom w:val="single" w:sz="6" w:space="0" w:color="auto"/>
              <w:right w:val="single" w:sz="6" w:space="0" w:color="auto"/>
            </w:tcBorders>
          </w:tcPr>
          <w:p w14:paraId="1CA6AE71" w14:textId="77777777" w:rsidR="00CA23D0" w:rsidRPr="00E30642" w:rsidRDefault="00CA23D0" w:rsidP="00CA23D0">
            <w:pPr>
              <w:pStyle w:val="Zkladntext"/>
              <w:jc w:val="both"/>
              <w:rPr>
                <w:rFonts w:ascii="Arial" w:hAnsi="Arial" w:cs="Arial"/>
              </w:rPr>
            </w:pPr>
          </w:p>
        </w:tc>
        <w:tc>
          <w:tcPr>
            <w:tcW w:w="682" w:type="dxa"/>
            <w:tcBorders>
              <w:top w:val="single" w:sz="6" w:space="0" w:color="auto"/>
              <w:left w:val="single" w:sz="6" w:space="0" w:color="auto"/>
              <w:bottom w:val="single" w:sz="6" w:space="0" w:color="auto"/>
              <w:right w:val="single" w:sz="6" w:space="0" w:color="auto"/>
            </w:tcBorders>
          </w:tcPr>
          <w:p w14:paraId="417EEBC9" w14:textId="77777777" w:rsidR="00CA23D0" w:rsidRPr="00E30642" w:rsidRDefault="00CA23D0" w:rsidP="00CA23D0">
            <w:pPr>
              <w:pStyle w:val="Texttabulky"/>
              <w:jc w:val="both"/>
              <w:rPr>
                <w:rFonts w:cs="Arial"/>
              </w:rPr>
            </w:pPr>
            <w:r w:rsidRPr="00E30642">
              <w:rPr>
                <w:rFonts w:cs="Arial"/>
                <w:sz w:val="18"/>
                <w:szCs w:val="18"/>
              </w:rPr>
              <w:t>395</w:t>
            </w:r>
          </w:p>
        </w:tc>
        <w:tc>
          <w:tcPr>
            <w:tcW w:w="1200" w:type="dxa"/>
            <w:tcBorders>
              <w:top w:val="single" w:sz="6" w:space="0" w:color="auto"/>
              <w:left w:val="single" w:sz="6" w:space="0" w:color="auto"/>
              <w:bottom w:val="single" w:sz="6" w:space="0" w:color="auto"/>
              <w:right w:val="single" w:sz="6" w:space="0" w:color="auto"/>
            </w:tcBorders>
          </w:tcPr>
          <w:p w14:paraId="3D28437B" w14:textId="77777777" w:rsidR="00CA23D0" w:rsidRPr="00E30642" w:rsidRDefault="00CA23D0" w:rsidP="00CA23D0">
            <w:pPr>
              <w:pStyle w:val="Texttabulky"/>
              <w:jc w:val="both"/>
              <w:rPr>
                <w:rFonts w:cs="Arial"/>
              </w:rPr>
            </w:pPr>
            <w:r w:rsidRPr="00E30642">
              <w:rPr>
                <w:rFonts w:cs="Arial"/>
                <w:sz w:val="18"/>
                <w:szCs w:val="18"/>
              </w:rPr>
              <w:t>400</w:t>
            </w:r>
          </w:p>
        </w:tc>
      </w:tr>
      <w:tr w:rsidR="00CA23D0" w:rsidRPr="00E30642" w14:paraId="3B537CC6" w14:textId="77777777" w:rsidTr="00CA23D0">
        <w:trPr>
          <w:jc w:val="center"/>
        </w:trPr>
        <w:tc>
          <w:tcPr>
            <w:tcW w:w="3477" w:type="dxa"/>
            <w:tcBorders>
              <w:top w:val="single" w:sz="6" w:space="0" w:color="auto"/>
              <w:left w:val="single" w:sz="6" w:space="0" w:color="auto"/>
              <w:bottom w:val="single" w:sz="6" w:space="0" w:color="auto"/>
              <w:right w:val="single" w:sz="6" w:space="0" w:color="auto"/>
            </w:tcBorders>
          </w:tcPr>
          <w:p w14:paraId="51B27259" w14:textId="77777777" w:rsidR="00CA23D0" w:rsidRPr="00E30642" w:rsidRDefault="00CA23D0" w:rsidP="00CA23D0">
            <w:pPr>
              <w:pStyle w:val="Texttabulky"/>
              <w:jc w:val="both"/>
              <w:rPr>
                <w:rFonts w:cs="Arial"/>
              </w:rPr>
            </w:pPr>
            <w:r w:rsidRPr="00E30642">
              <w:rPr>
                <w:rFonts w:cs="Arial"/>
                <w:sz w:val="18"/>
                <w:szCs w:val="18"/>
              </w:rPr>
              <w:t xml:space="preserve">výchovné ústavy, domovy mládeže </w:t>
            </w:r>
          </w:p>
        </w:tc>
        <w:tc>
          <w:tcPr>
            <w:tcW w:w="1064" w:type="dxa"/>
            <w:tcBorders>
              <w:top w:val="single" w:sz="6" w:space="0" w:color="auto"/>
              <w:left w:val="single" w:sz="6" w:space="0" w:color="auto"/>
              <w:bottom w:val="single" w:sz="6" w:space="0" w:color="auto"/>
              <w:right w:val="single" w:sz="6" w:space="0" w:color="auto"/>
            </w:tcBorders>
          </w:tcPr>
          <w:p w14:paraId="45D99BBF" w14:textId="77777777" w:rsidR="00CA23D0" w:rsidRPr="00E30642" w:rsidRDefault="00CA23D0" w:rsidP="00CA23D0">
            <w:pPr>
              <w:pStyle w:val="Texttabulky"/>
              <w:jc w:val="both"/>
              <w:rPr>
                <w:rFonts w:cs="Arial"/>
              </w:rPr>
            </w:pPr>
            <w:r w:rsidRPr="00E30642">
              <w:rPr>
                <w:rFonts w:cs="Arial"/>
                <w:sz w:val="18"/>
                <w:szCs w:val="18"/>
              </w:rPr>
              <w:t>1</w:t>
            </w:r>
          </w:p>
        </w:tc>
        <w:tc>
          <w:tcPr>
            <w:tcW w:w="886" w:type="dxa"/>
            <w:tcBorders>
              <w:top w:val="single" w:sz="6" w:space="0" w:color="auto"/>
              <w:left w:val="single" w:sz="6" w:space="0" w:color="auto"/>
              <w:bottom w:val="single" w:sz="6" w:space="0" w:color="auto"/>
              <w:right w:val="single" w:sz="6" w:space="0" w:color="auto"/>
            </w:tcBorders>
          </w:tcPr>
          <w:p w14:paraId="4838B8F1" w14:textId="77777777" w:rsidR="00CA23D0" w:rsidRPr="00E30642" w:rsidRDefault="00CA23D0" w:rsidP="00CA23D0">
            <w:pPr>
              <w:pStyle w:val="Texttabulky"/>
              <w:jc w:val="both"/>
              <w:rPr>
                <w:rFonts w:cs="Arial"/>
              </w:rPr>
            </w:pPr>
            <w:r w:rsidRPr="00E30642">
              <w:rPr>
                <w:rFonts w:cs="Arial"/>
                <w:sz w:val="18"/>
                <w:szCs w:val="18"/>
              </w:rPr>
              <w:t xml:space="preserve">1 100 </w:t>
            </w:r>
          </w:p>
        </w:tc>
        <w:tc>
          <w:tcPr>
            <w:tcW w:w="777" w:type="dxa"/>
            <w:tcBorders>
              <w:top w:val="single" w:sz="6" w:space="0" w:color="auto"/>
              <w:left w:val="single" w:sz="6" w:space="0" w:color="auto"/>
              <w:bottom w:val="single" w:sz="6" w:space="0" w:color="auto"/>
              <w:right w:val="single" w:sz="6" w:space="0" w:color="auto"/>
            </w:tcBorders>
          </w:tcPr>
          <w:p w14:paraId="431BC520" w14:textId="77777777" w:rsidR="00CA23D0" w:rsidRPr="00E30642" w:rsidRDefault="00CA23D0" w:rsidP="00CA23D0">
            <w:pPr>
              <w:pStyle w:val="Texttabulky"/>
              <w:jc w:val="both"/>
              <w:rPr>
                <w:rFonts w:cs="Arial"/>
              </w:rPr>
            </w:pPr>
            <w:r w:rsidRPr="00E30642">
              <w:rPr>
                <w:rFonts w:cs="Arial"/>
                <w:sz w:val="18"/>
                <w:szCs w:val="18"/>
              </w:rPr>
              <w:t xml:space="preserve">245 </w:t>
            </w:r>
          </w:p>
        </w:tc>
        <w:tc>
          <w:tcPr>
            <w:tcW w:w="682" w:type="dxa"/>
            <w:tcBorders>
              <w:top w:val="single" w:sz="6" w:space="0" w:color="auto"/>
              <w:left w:val="single" w:sz="6" w:space="0" w:color="auto"/>
              <w:bottom w:val="single" w:sz="6" w:space="0" w:color="auto"/>
              <w:right w:val="single" w:sz="6" w:space="0" w:color="auto"/>
            </w:tcBorders>
          </w:tcPr>
          <w:p w14:paraId="1B6632B8" w14:textId="77777777" w:rsidR="00CA23D0" w:rsidRPr="00E30642" w:rsidRDefault="00CA23D0" w:rsidP="00CA23D0">
            <w:pPr>
              <w:pStyle w:val="Texttabulky"/>
              <w:jc w:val="both"/>
              <w:rPr>
                <w:rFonts w:cs="Arial"/>
              </w:rPr>
            </w:pPr>
            <w:r w:rsidRPr="00E30642">
              <w:rPr>
                <w:rFonts w:cs="Arial"/>
                <w:sz w:val="18"/>
                <w:szCs w:val="18"/>
              </w:rPr>
              <w:t>155</w:t>
            </w:r>
          </w:p>
        </w:tc>
        <w:tc>
          <w:tcPr>
            <w:tcW w:w="1200" w:type="dxa"/>
            <w:tcBorders>
              <w:top w:val="single" w:sz="6" w:space="0" w:color="auto"/>
              <w:left w:val="single" w:sz="6" w:space="0" w:color="auto"/>
              <w:bottom w:val="single" w:sz="6" w:space="0" w:color="auto"/>
              <w:right w:val="single" w:sz="6" w:space="0" w:color="auto"/>
            </w:tcBorders>
          </w:tcPr>
          <w:p w14:paraId="3AB48B5F" w14:textId="77777777" w:rsidR="00CA23D0" w:rsidRPr="00E30642" w:rsidRDefault="00CA23D0" w:rsidP="00CA23D0">
            <w:pPr>
              <w:pStyle w:val="Texttabulky"/>
              <w:jc w:val="both"/>
              <w:rPr>
                <w:rFonts w:cs="Arial"/>
              </w:rPr>
            </w:pPr>
            <w:r w:rsidRPr="00E30642">
              <w:rPr>
                <w:rFonts w:cs="Arial"/>
                <w:sz w:val="18"/>
                <w:szCs w:val="18"/>
              </w:rPr>
              <w:t xml:space="preserve">200 </w:t>
            </w:r>
          </w:p>
        </w:tc>
      </w:tr>
      <w:tr w:rsidR="00CA23D0" w:rsidRPr="00E30642" w14:paraId="6DD264C0" w14:textId="77777777" w:rsidTr="00CA23D0">
        <w:trPr>
          <w:jc w:val="center"/>
        </w:trPr>
        <w:tc>
          <w:tcPr>
            <w:tcW w:w="3477" w:type="dxa"/>
            <w:tcBorders>
              <w:top w:val="single" w:sz="6" w:space="0" w:color="auto"/>
              <w:left w:val="single" w:sz="6" w:space="0" w:color="auto"/>
              <w:bottom w:val="single" w:sz="6" w:space="0" w:color="auto"/>
              <w:right w:val="single" w:sz="6" w:space="0" w:color="auto"/>
            </w:tcBorders>
          </w:tcPr>
          <w:p w14:paraId="0CE699CA" w14:textId="77777777" w:rsidR="00CA23D0" w:rsidRPr="00E30642" w:rsidRDefault="00CA23D0" w:rsidP="00CA23D0">
            <w:pPr>
              <w:pStyle w:val="Texttabulky"/>
              <w:jc w:val="both"/>
              <w:rPr>
                <w:rFonts w:cs="Arial"/>
              </w:rPr>
            </w:pPr>
            <w:r w:rsidRPr="00E30642">
              <w:rPr>
                <w:rFonts w:cs="Arial"/>
                <w:sz w:val="18"/>
                <w:szCs w:val="18"/>
              </w:rPr>
              <w:t xml:space="preserve">domovy mládeže, umělecká škola, stanice mladých přírodovědců a techniků </w:t>
            </w:r>
          </w:p>
        </w:tc>
        <w:tc>
          <w:tcPr>
            <w:tcW w:w="1064" w:type="dxa"/>
            <w:tcBorders>
              <w:top w:val="single" w:sz="6" w:space="0" w:color="auto"/>
              <w:left w:val="single" w:sz="6" w:space="0" w:color="auto"/>
              <w:bottom w:val="single" w:sz="6" w:space="0" w:color="auto"/>
              <w:right w:val="single" w:sz="6" w:space="0" w:color="auto"/>
            </w:tcBorders>
          </w:tcPr>
          <w:p w14:paraId="05A69667" w14:textId="77777777" w:rsidR="00CA23D0" w:rsidRPr="00E30642" w:rsidRDefault="00CA23D0" w:rsidP="00CA23D0">
            <w:pPr>
              <w:pStyle w:val="Texttabulky"/>
              <w:jc w:val="both"/>
              <w:rPr>
                <w:rFonts w:cs="Arial"/>
              </w:rPr>
            </w:pPr>
            <w:r w:rsidRPr="00E30642">
              <w:rPr>
                <w:rFonts w:cs="Arial"/>
                <w:sz w:val="18"/>
                <w:szCs w:val="18"/>
              </w:rPr>
              <w:t>4</w:t>
            </w:r>
          </w:p>
        </w:tc>
        <w:tc>
          <w:tcPr>
            <w:tcW w:w="886" w:type="dxa"/>
            <w:tcBorders>
              <w:top w:val="single" w:sz="6" w:space="0" w:color="auto"/>
              <w:left w:val="single" w:sz="6" w:space="0" w:color="auto"/>
              <w:bottom w:val="single" w:sz="6" w:space="0" w:color="auto"/>
              <w:right w:val="single" w:sz="6" w:space="0" w:color="auto"/>
            </w:tcBorders>
          </w:tcPr>
          <w:p w14:paraId="62E4B3D9" w14:textId="77777777" w:rsidR="00CA23D0" w:rsidRPr="00E30642" w:rsidRDefault="00CA23D0" w:rsidP="00CA23D0">
            <w:pPr>
              <w:pStyle w:val="Texttabulky"/>
              <w:jc w:val="both"/>
              <w:rPr>
                <w:rFonts w:cs="Arial"/>
              </w:rPr>
            </w:pPr>
            <w:r w:rsidRPr="00E30642">
              <w:rPr>
                <w:rFonts w:cs="Arial"/>
                <w:sz w:val="18"/>
                <w:szCs w:val="18"/>
              </w:rPr>
              <w:t xml:space="preserve">- </w:t>
            </w:r>
          </w:p>
        </w:tc>
        <w:tc>
          <w:tcPr>
            <w:tcW w:w="777" w:type="dxa"/>
            <w:tcBorders>
              <w:top w:val="single" w:sz="6" w:space="0" w:color="auto"/>
              <w:left w:val="single" w:sz="6" w:space="0" w:color="auto"/>
              <w:bottom w:val="single" w:sz="6" w:space="0" w:color="auto"/>
              <w:right w:val="single" w:sz="6" w:space="0" w:color="auto"/>
            </w:tcBorders>
          </w:tcPr>
          <w:p w14:paraId="7AD48224" w14:textId="77777777" w:rsidR="00CA23D0" w:rsidRPr="00E30642" w:rsidRDefault="00CA23D0" w:rsidP="00CA23D0">
            <w:pPr>
              <w:pStyle w:val="Texttabulky"/>
              <w:jc w:val="both"/>
              <w:rPr>
                <w:rFonts w:cs="Arial"/>
              </w:rPr>
            </w:pPr>
            <w:r w:rsidRPr="00E30642">
              <w:rPr>
                <w:rFonts w:cs="Arial"/>
                <w:sz w:val="18"/>
                <w:szCs w:val="18"/>
              </w:rPr>
              <w:t xml:space="preserve">2 282 </w:t>
            </w:r>
          </w:p>
        </w:tc>
        <w:tc>
          <w:tcPr>
            <w:tcW w:w="682" w:type="dxa"/>
            <w:tcBorders>
              <w:top w:val="single" w:sz="6" w:space="0" w:color="auto"/>
              <w:left w:val="single" w:sz="6" w:space="0" w:color="auto"/>
              <w:bottom w:val="single" w:sz="6" w:space="0" w:color="auto"/>
              <w:right w:val="single" w:sz="6" w:space="0" w:color="auto"/>
            </w:tcBorders>
          </w:tcPr>
          <w:p w14:paraId="45919803" w14:textId="77777777" w:rsidR="00CA23D0" w:rsidRPr="00E30642" w:rsidRDefault="00CA23D0" w:rsidP="00CA23D0">
            <w:pPr>
              <w:pStyle w:val="Texttabulky"/>
              <w:jc w:val="both"/>
              <w:rPr>
                <w:rFonts w:cs="Arial"/>
              </w:rPr>
            </w:pPr>
            <w:r w:rsidRPr="00E30642">
              <w:rPr>
                <w:rFonts w:cs="Arial"/>
                <w:sz w:val="18"/>
                <w:szCs w:val="18"/>
              </w:rPr>
              <w:t>2 481</w:t>
            </w:r>
          </w:p>
        </w:tc>
        <w:tc>
          <w:tcPr>
            <w:tcW w:w="1200" w:type="dxa"/>
            <w:tcBorders>
              <w:top w:val="single" w:sz="6" w:space="0" w:color="auto"/>
              <w:left w:val="single" w:sz="6" w:space="0" w:color="auto"/>
              <w:bottom w:val="single" w:sz="6" w:space="0" w:color="auto"/>
              <w:right w:val="single" w:sz="6" w:space="0" w:color="auto"/>
            </w:tcBorders>
          </w:tcPr>
          <w:p w14:paraId="7D818B85" w14:textId="77777777" w:rsidR="00CA23D0" w:rsidRPr="00E30642" w:rsidRDefault="00CA23D0" w:rsidP="00CA23D0">
            <w:pPr>
              <w:pStyle w:val="Texttabulky"/>
              <w:jc w:val="both"/>
              <w:rPr>
                <w:rFonts w:cs="Arial"/>
              </w:rPr>
            </w:pPr>
            <w:r w:rsidRPr="00E30642">
              <w:rPr>
                <w:rFonts w:cs="Arial"/>
                <w:sz w:val="18"/>
                <w:szCs w:val="18"/>
              </w:rPr>
              <w:t xml:space="preserve">2 500 </w:t>
            </w:r>
          </w:p>
        </w:tc>
      </w:tr>
      <w:tr w:rsidR="00CA23D0" w:rsidRPr="00E30642" w14:paraId="4BE4EF87" w14:textId="77777777" w:rsidTr="00CA23D0">
        <w:trPr>
          <w:jc w:val="center"/>
        </w:trPr>
        <w:tc>
          <w:tcPr>
            <w:tcW w:w="3477" w:type="dxa"/>
            <w:tcBorders>
              <w:top w:val="single" w:sz="6" w:space="0" w:color="auto"/>
              <w:left w:val="single" w:sz="6" w:space="0" w:color="auto"/>
              <w:bottom w:val="single" w:sz="6" w:space="0" w:color="auto"/>
              <w:right w:val="single" w:sz="6" w:space="0" w:color="auto"/>
            </w:tcBorders>
          </w:tcPr>
          <w:p w14:paraId="3B700845" w14:textId="77777777" w:rsidR="00CA23D0" w:rsidRPr="00E30642" w:rsidRDefault="00CA23D0" w:rsidP="00CA23D0">
            <w:pPr>
              <w:pStyle w:val="Texttabulky"/>
              <w:jc w:val="both"/>
              <w:rPr>
                <w:rFonts w:cs="Arial"/>
              </w:rPr>
            </w:pPr>
            <w:r w:rsidRPr="00E30642">
              <w:rPr>
                <w:rFonts w:cs="Arial"/>
                <w:b/>
                <w:bCs/>
                <w:sz w:val="18"/>
                <w:szCs w:val="18"/>
              </w:rPr>
              <w:t>celkem ve všech formách</w:t>
            </w:r>
          </w:p>
        </w:tc>
        <w:tc>
          <w:tcPr>
            <w:tcW w:w="1064" w:type="dxa"/>
            <w:tcBorders>
              <w:top w:val="single" w:sz="6" w:space="0" w:color="auto"/>
              <w:left w:val="single" w:sz="6" w:space="0" w:color="auto"/>
              <w:bottom w:val="single" w:sz="6" w:space="0" w:color="auto"/>
              <w:right w:val="single" w:sz="6" w:space="0" w:color="auto"/>
            </w:tcBorders>
          </w:tcPr>
          <w:p w14:paraId="53FA15E8" w14:textId="77777777" w:rsidR="00CA23D0" w:rsidRPr="00E30642" w:rsidRDefault="00CA23D0" w:rsidP="00CA23D0">
            <w:pPr>
              <w:pStyle w:val="Texttabulky"/>
              <w:jc w:val="both"/>
              <w:rPr>
                <w:rFonts w:cs="Arial"/>
              </w:rPr>
            </w:pPr>
            <w:r w:rsidRPr="00E30642">
              <w:rPr>
                <w:rFonts w:cs="Arial"/>
                <w:sz w:val="18"/>
                <w:szCs w:val="18"/>
              </w:rPr>
              <w:t>56</w:t>
            </w:r>
          </w:p>
        </w:tc>
        <w:tc>
          <w:tcPr>
            <w:tcW w:w="886" w:type="dxa"/>
            <w:tcBorders>
              <w:top w:val="single" w:sz="6" w:space="0" w:color="auto"/>
              <w:left w:val="single" w:sz="6" w:space="0" w:color="auto"/>
              <w:bottom w:val="single" w:sz="6" w:space="0" w:color="auto"/>
              <w:right w:val="single" w:sz="6" w:space="0" w:color="auto"/>
            </w:tcBorders>
          </w:tcPr>
          <w:p w14:paraId="3C275320" w14:textId="77777777" w:rsidR="00CA23D0" w:rsidRPr="00E30642" w:rsidRDefault="00CA23D0" w:rsidP="00CA23D0">
            <w:pPr>
              <w:pStyle w:val="Texttabulky"/>
              <w:jc w:val="both"/>
              <w:rPr>
                <w:rFonts w:cs="Arial"/>
              </w:rPr>
            </w:pPr>
            <w:r w:rsidRPr="00E30642">
              <w:rPr>
                <w:rFonts w:cs="Arial"/>
                <w:b/>
                <w:bCs/>
                <w:sz w:val="18"/>
                <w:szCs w:val="18"/>
              </w:rPr>
              <w:t>15 706</w:t>
            </w:r>
          </w:p>
        </w:tc>
        <w:tc>
          <w:tcPr>
            <w:tcW w:w="777" w:type="dxa"/>
            <w:tcBorders>
              <w:top w:val="single" w:sz="6" w:space="0" w:color="auto"/>
              <w:left w:val="single" w:sz="6" w:space="0" w:color="auto"/>
              <w:bottom w:val="single" w:sz="6" w:space="0" w:color="auto"/>
              <w:right w:val="single" w:sz="6" w:space="0" w:color="auto"/>
            </w:tcBorders>
          </w:tcPr>
          <w:p w14:paraId="4BACD767" w14:textId="77777777" w:rsidR="00CA23D0" w:rsidRPr="00E30642" w:rsidRDefault="00CA23D0" w:rsidP="00CA23D0">
            <w:pPr>
              <w:pStyle w:val="Texttabulky"/>
              <w:jc w:val="both"/>
              <w:rPr>
                <w:rFonts w:cs="Arial"/>
              </w:rPr>
            </w:pPr>
            <w:r w:rsidRPr="00E30642">
              <w:rPr>
                <w:rFonts w:cs="Arial"/>
                <w:b/>
                <w:bCs/>
                <w:sz w:val="18"/>
                <w:szCs w:val="18"/>
              </w:rPr>
              <w:t>12 380</w:t>
            </w:r>
          </w:p>
        </w:tc>
        <w:tc>
          <w:tcPr>
            <w:tcW w:w="682" w:type="dxa"/>
            <w:tcBorders>
              <w:top w:val="single" w:sz="6" w:space="0" w:color="auto"/>
              <w:left w:val="single" w:sz="6" w:space="0" w:color="auto"/>
              <w:bottom w:val="single" w:sz="6" w:space="0" w:color="auto"/>
              <w:right w:val="single" w:sz="6" w:space="0" w:color="auto"/>
            </w:tcBorders>
          </w:tcPr>
          <w:p w14:paraId="40D07005" w14:textId="77777777" w:rsidR="00CA23D0" w:rsidRPr="00E30642" w:rsidRDefault="00CA23D0" w:rsidP="00CA23D0">
            <w:pPr>
              <w:pStyle w:val="Texttabulky"/>
              <w:jc w:val="both"/>
              <w:rPr>
                <w:rFonts w:cs="Arial"/>
              </w:rPr>
            </w:pPr>
            <w:r w:rsidRPr="00E30642">
              <w:rPr>
                <w:rFonts w:cs="Arial"/>
                <w:b/>
                <w:bCs/>
                <w:sz w:val="18"/>
                <w:szCs w:val="18"/>
              </w:rPr>
              <w:t>14 366</w:t>
            </w:r>
          </w:p>
        </w:tc>
        <w:tc>
          <w:tcPr>
            <w:tcW w:w="1200" w:type="dxa"/>
            <w:tcBorders>
              <w:top w:val="single" w:sz="6" w:space="0" w:color="auto"/>
              <w:left w:val="single" w:sz="6" w:space="0" w:color="auto"/>
              <w:bottom w:val="single" w:sz="6" w:space="0" w:color="auto"/>
              <w:right w:val="single" w:sz="6" w:space="0" w:color="auto"/>
            </w:tcBorders>
          </w:tcPr>
          <w:p w14:paraId="17665559" w14:textId="77777777" w:rsidR="00CA23D0" w:rsidRPr="00E30642" w:rsidRDefault="00CA23D0" w:rsidP="00CA23D0">
            <w:pPr>
              <w:pStyle w:val="Texttabulky"/>
              <w:jc w:val="both"/>
              <w:rPr>
                <w:rFonts w:cs="Arial"/>
              </w:rPr>
            </w:pPr>
            <w:r w:rsidRPr="00E30642">
              <w:rPr>
                <w:rFonts w:cs="Arial"/>
                <w:b/>
                <w:bCs/>
                <w:sz w:val="18"/>
                <w:szCs w:val="18"/>
              </w:rPr>
              <w:t>13 650</w:t>
            </w:r>
          </w:p>
        </w:tc>
      </w:tr>
    </w:tbl>
    <w:p w14:paraId="28C5F0BA" w14:textId="77777777" w:rsidR="00CA23D0" w:rsidRPr="00E30642" w:rsidRDefault="00CA23D0" w:rsidP="00CA23D0">
      <w:pPr>
        <w:autoSpaceDE w:val="0"/>
        <w:autoSpaceDN w:val="0"/>
        <w:adjustRightInd w:val="0"/>
        <w:jc w:val="both"/>
        <w:rPr>
          <w:rFonts w:ascii="Arial" w:hAnsi="Arial" w:cs="Arial"/>
          <w:sz w:val="20"/>
        </w:rPr>
      </w:pPr>
    </w:p>
    <w:p w14:paraId="4CB0CB8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 průběhu minulých let je zřejmý úbytek dětí a žáků ve všech školských zařízeních (negativní demografický vývoj ČR), výjimku tvoří střední odborné školství a zahájení výuky na vysoké škole.</w:t>
      </w:r>
    </w:p>
    <w:p w14:paraId="357C466B" w14:textId="77777777" w:rsidR="00CA23D0" w:rsidRDefault="00CA23D0" w:rsidP="00CA23D0">
      <w:pPr>
        <w:pStyle w:val="Zkladntext"/>
        <w:spacing w:before="120" w:after="0" w:line="288" w:lineRule="auto"/>
        <w:ind w:firstLine="709"/>
        <w:jc w:val="both"/>
        <w:rPr>
          <w:rFonts w:ascii="Arial" w:hAnsi="Arial" w:cs="Arial"/>
          <w:sz w:val="22"/>
          <w:szCs w:val="22"/>
        </w:rPr>
      </w:pPr>
    </w:p>
    <w:p w14:paraId="7BA64AF0" w14:textId="77777777" w:rsidR="00D3579D" w:rsidRDefault="00D3579D" w:rsidP="00CA23D0">
      <w:pPr>
        <w:pStyle w:val="Zkladntext"/>
        <w:spacing w:before="120" w:after="0" w:line="288" w:lineRule="auto"/>
        <w:ind w:firstLine="709"/>
        <w:jc w:val="both"/>
        <w:rPr>
          <w:rFonts w:ascii="Arial" w:hAnsi="Arial" w:cs="Arial"/>
          <w:sz w:val="22"/>
          <w:szCs w:val="22"/>
        </w:rPr>
      </w:pPr>
    </w:p>
    <w:p w14:paraId="3595D1C0" w14:textId="77777777" w:rsidR="00D3579D" w:rsidRPr="00E30642" w:rsidRDefault="00D3579D" w:rsidP="00CA23D0">
      <w:pPr>
        <w:pStyle w:val="Zkladntext"/>
        <w:spacing w:before="120" w:after="0" w:line="288" w:lineRule="auto"/>
        <w:ind w:firstLine="709"/>
        <w:jc w:val="both"/>
        <w:rPr>
          <w:rFonts w:ascii="Arial" w:hAnsi="Arial" w:cs="Arial"/>
          <w:sz w:val="22"/>
          <w:szCs w:val="22"/>
        </w:rPr>
      </w:pPr>
    </w:p>
    <w:p w14:paraId="4F9C7044"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 xml:space="preserve">Konkrétní dopady rozpracované "Optimalizace školství v ČR" nejsou v současné době známy a proto výhledové počty je nutno chápat spíše jako "odhad" než jako návrh. </w:t>
      </w:r>
    </w:p>
    <w:p w14:paraId="3F8BBF6A" w14:textId="77777777" w:rsidR="00CA23D0" w:rsidRPr="00E30642" w:rsidRDefault="00CA23D0" w:rsidP="00CA23D0">
      <w:pPr>
        <w:pStyle w:val="Zkladntext"/>
        <w:jc w:val="both"/>
        <w:rPr>
          <w:rFonts w:ascii="Arial" w:hAnsi="Arial" w:cs="Arial"/>
        </w:rPr>
      </w:pPr>
    </w:p>
    <w:p w14:paraId="6F3B0FC2" w14:textId="77777777" w:rsidR="00CA23D0" w:rsidRPr="00E30642" w:rsidRDefault="00CA23D0" w:rsidP="00CA23D0">
      <w:pPr>
        <w:pStyle w:val="dka"/>
        <w:jc w:val="both"/>
        <w:rPr>
          <w:rFonts w:cs="Arial"/>
        </w:rPr>
      </w:pPr>
      <w:r w:rsidRPr="00E30642">
        <w:rPr>
          <w:rFonts w:cs="Arial"/>
          <w:b/>
          <w:bCs/>
        </w:rPr>
        <w:t xml:space="preserve">Návrh opatření, doporučení </w:t>
      </w:r>
    </w:p>
    <w:p w14:paraId="47D885E7"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s ohledem na stávající síť škol a jejich kapacity se nová zařízení nenavrhují;</w:t>
      </w:r>
    </w:p>
    <w:p w14:paraId="5895D5A5"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uvážlivě rozhodnout o případném zrušení zařízení a o jeho následném využití (upřednostnit zájmy města či čtvrti, před komerčním využitím);</w:t>
      </w:r>
    </w:p>
    <w:p w14:paraId="0731F5E8"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s ohledem na tradici a ekonomickou základnu města neredukovat střední odborné školství, vyznačující se pestrou nabídkou a mnohdy i ojedinělou specializací (strojírenství, doprava, stavebnictví, zemědělství).</w:t>
      </w:r>
    </w:p>
    <w:p w14:paraId="22B38C64" w14:textId="77777777" w:rsidR="00CA23D0" w:rsidRPr="00E30642" w:rsidRDefault="00CA23D0" w:rsidP="00CA23D0">
      <w:pPr>
        <w:pStyle w:val="Zkladntext"/>
        <w:jc w:val="both"/>
        <w:rPr>
          <w:rFonts w:ascii="Arial" w:hAnsi="Arial" w:cs="Arial"/>
        </w:rPr>
      </w:pPr>
    </w:p>
    <w:p w14:paraId="5D1D9A43" w14:textId="77777777" w:rsidR="00CA23D0" w:rsidRPr="00E30642" w:rsidRDefault="00CA23D0" w:rsidP="00CA23D0">
      <w:pPr>
        <w:pStyle w:val="podnadpis2"/>
        <w:jc w:val="both"/>
        <w:rPr>
          <w:rFonts w:cs="Arial"/>
        </w:rPr>
      </w:pPr>
      <w:r w:rsidRPr="00E30642">
        <w:rPr>
          <w:rFonts w:cs="Arial"/>
        </w:rPr>
        <w:t xml:space="preserve">c3.2. Kulturní zařízení </w:t>
      </w:r>
    </w:p>
    <w:p w14:paraId="53B3F68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Do tohoto oboru jsou zařazena všechna zařízení plnící funkci kultury, osvěty, společenského života či zábavy a trávení volného času obyvatel města. </w:t>
      </w:r>
    </w:p>
    <w:p w14:paraId="3A063C84"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Tento druh zařízení patří mezi obory s nejvyšším úbytkem kapacit za období posledních let.</w:t>
      </w:r>
    </w:p>
    <w:p w14:paraId="1C4C5DC3" w14:textId="77777777" w:rsidR="00CA23D0" w:rsidRPr="00E30642" w:rsidRDefault="00CA23D0" w:rsidP="00CA23D0">
      <w:pPr>
        <w:pStyle w:val="Zkladntext"/>
        <w:jc w:val="both"/>
        <w:rPr>
          <w:rFonts w:ascii="Arial" w:hAnsi="Arial" w:cs="Arial"/>
        </w:rPr>
      </w:pPr>
    </w:p>
    <w:p w14:paraId="38B5B218" w14:textId="77777777" w:rsidR="00CA23D0" w:rsidRPr="00E30642" w:rsidRDefault="00CA23D0" w:rsidP="00CA23D0">
      <w:pPr>
        <w:pStyle w:val="dka"/>
        <w:jc w:val="both"/>
        <w:rPr>
          <w:rFonts w:cs="Arial"/>
          <w:b/>
          <w:bCs/>
        </w:rPr>
      </w:pPr>
      <w:r w:rsidRPr="00E30642">
        <w:rPr>
          <w:rFonts w:cs="Arial"/>
          <w:b/>
          <w:bCs/>
        </w:rPr>
        <w:t xml:space="preserve">Řada zařízení zcela zanikla nebo nejsou v provozu: </w:t>
      </w:r>
    </w:p>
    <w:p w14:paraId="2D7E1BA9"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kina představují úbytek 2 160 sedadel (Kotva, Labe, Boletice n. L.);</w:t>
      </w:r>
    </w:p>
    <w:p w14:paraId="59F7ED2C"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letní kino Bažantnice 2 100 sedadel (mimo provoz);</w:t>
      </w:r>
    </w:p>
    <w:p w14:paraId="17529577"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kulturní a společenské sály představují úbytek 3 400 sedadel (Atlantik, Grand, Bynov, Želenice, Boletice n. L.), V podstatě jediným zařízením města tohoto typu je "Společenský dům Střelnice", nyní v majetku města.</w:t>
      </w:r>
    </w:p>
    <w:p w14:paraId="563CBFF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Řada z nich zcela oprávněně ztratila svoji funkci (agitační střediska a osvětové besedy). Plně funkční jsou rekonstruované divadlo a kino Sněžník (538 sedadel), vyhovují provozy knihoven, muzea, areálu ZOO, výstavní síň, okresní archiv apod. Na druhé straně byly ve městě (centru) zprovozněny různé herny a kluby, jejichž hodnocení je z hlediska ÚPN problematické. </w:t>
      </w:r>
    </w:p>
    <w:p w14:paraId="739D100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p>
    <w:p w14:paraId="6B7C4683" w14:textId="77777777" w:rsidR="00CA23D0" w:rsidRPr="00E30642" w:rsidRDefault="00CA23D0" w:rsidP="00CA23D0">
      <w:pPr>
        <w:pStyle w:val="dka"/>
        <w:jc w:val="both"/>
        <w:rPr>
          <w:rFonts w:cs="Arial"/>
        </w:rPr>
      </w:pPr>
      <w:r w:rsidRPr="00E30642">
        <w:rPr>
          <w:rFonts w:cs="Arial"/>
          <w:b/>
          <w:bCs/>
        </w:rPr>
        <w:t>Návrh opatření a doporučení:</w:t>
      </w:r>
    </w:p>
    <w:p w14:paraId="19AA0082"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pokračovat v přestavbě areálu zámku dle schváleného záměru (4 víceúčelové sály, kaple, muzeum, archiv, knihovna, společenské prostory);</w:t>
      </w:r>
    </w:p>
    <w:p w14:paraId="29E24AE1"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rekonstrukcí redukovat kapacitu areálu Bažantnice tak, aby plnil funkci veřejného víceúčelového prostoru v navrženém lesoparku;</w:t>
      </w:r>
    </w:p>
    <w:p w14:paraId="695F506F" w14:textId="77777777" w:rsidR="00CA23D0" w:rsidRDefault="00CA23D0" w:rsidP="006031D6">
      <w:pPr>
        <w:pStyle w:val="Znaka"/>
        <w:numPr>
          <w:ilvl w:val="1"/>
          <w:numId w:val="24"/>
        </w:numPr>
        <w:spacing w:before="120" w:after="0" w:line="288" w:lineRule="auto"/>
        <w:ind w:left="426"/>
        <w:jc w:val="both"/>
        <w:rPr>
          <w:rFonts w:cs="Arial"/>
        </w:rPr>
      </w:pPr>
      <w:r w:rsidRPr="00E30642">
        <w:rPr>
          <w:rFonts w:cs="Arial"/>
        </w:rPr>
        <w:t>rekonstruovat a zprovoznit původní kino Kotva (víceúčelové zařízení);</w:t>
      </w:r>
    </w:p>
    <w:p w14:paraId="089DA318" w14:textId="77777777" w:rsidR="00D3579D" w:rsidRDefault="00D3579D" w:rsidP="00D3579D">
      <w:pPr>
        <w:pStyle w:val="Znaka"/>
        <w:spacing w:before="120" w:after="0" w:line="288" w:lineRule="auto"/>
        <w:ind w:left="426"/>
        <w:jc w:val="both"/>
        <w:rPr>
          <w:rFonts w:cs="Arial"/>
        </w:rPr>
      </w:pPr>
    </w:p>
    <w:p w14:paraId="2286915C" w14:textId="77777777" w:rsidR="00D3579D" w:rsidRDefault="00D3579D" w:rsidP="00D3579D">
      <w:pPr>
        <w:pStyle w:val="Znaka"/>
        <w:spacing w:before="120" w:after="0" w:line="288" w:lineRule="auto"/>
        <w:ind w:left="426"/>
        <w:jc w:val="both"/>
        <w:rPr>
          <w:rFonts w:cs="Arial"/>
        </w:rPr>
      </w:pPr>
    </w:p>
    <w:p w14:paraId="1F832E65" w14:textId="77777777" w:rsidR="00D3579D" w:rsidRPr="00E30642" w:rsidRDefault="00D3579D" w:rsidP="00D3579D">
      <w:pPr>
        <w:pStyle w:val="Znaka"/>
        <w:spacing w:before="120" w:after="0" w:line="288" w:lineRule="auto"/>
        <w:ind w:left="426"/>
        <w:jc w:val="both"/>
        <w:rPr>
          <w:rFonts w:cs="Arial"/>
        </w:rPr>
      </w:pPr>
    </w:p>
    <w:p w14:paraId="0697A679"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lastRenderedPageBreak/>
        <w:t>zprovoznění objektu kina v Boleticích n. L. považovat za problematické s ohledem na jeho současný stavební stav (řešit individ. záměrem – bydlení + podnikání);</w:t>
      </w:r>
    </w:p>
    <w:p w14:paraId="02DA11E7"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odsvětit kostel sv. Václava v Rozbělesích, urychlenou rekonstrukcí zabránit jeho likvidaci a následně rozhodnout o možném využití této významné architektury (lapidárium, restaurátorská škola, příp. i komerční využití);</w:t>
      </w:r>
    </w:p>
    <w:p w14:paraId="02ED8943"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za významné prostory veřejného zájmu považovat všechna náměstí, Labské nábřeží a ostatní veřejná prostranství (kulturní a společenské akce, výstavy, lunaparky, cirkusy apod.);</w:t>
      </w:r>
    </w:p>
    <w:p w14:paraId="6DB7879C"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postupnou rekonstrukcí modernizovat halu zimního stadiónu na víceúčelové zařízení (kultura, sport, veřejné a společenské akce);</w:t>
      </w:r>
    </w:p>
    <w:p w14:paraId="34DA6C52"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v maximální míře zachovat funkčnost ostatních stávajících zařízení.</w:t>
      </w:r>
    </w:p>
    <w:p w14:paraId="3A7A5357" w14:textId="77777777" w:rsidR="00CA23D0" w:rsidRPr="00E30642" w:rsidRDefault="00CA23D0" w:rsidP="00CA23D0">
      <w:pPr>
        <w:pStyle w:val="Zkladntext"/>
        <w:jc w:val="both"/>
        <w:rPr>
          <w:rFonts w:ascii="Arial" w:hAnsi="Arial" w:cs="Arial"/>
        </w:rPr>
      </w:pPr>
    </w:p>
    <w:p w14:paraId="01DC0A60" w14:textId="77777777" w:rsidR="00CA23D0" w:rsidRPr="00E30642" w:rsidRDefault="00CA23D0" w:rsidP="00CA23D0">
      <w:pPr>
        <w:pStyle w:val="podnadpis2"/>
        <w:jc w:val="both"/>
        <w:rPr>
          <w:rFonts w:cs="Arial"/>
        </w:rPr>
      </w:pPr>
      <w:r w:rsidRPr="00E30642">
        <w:rPr>
          <w:rFonts w:cs="Arial"/>
        </w:rPr>
        <w:t xml:space="preserve">c3.3. Tělovýchova a sport </w:t>
      </w:r>
    </w:p>
    <w:p w14:paraId="7186A93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 současné době plní tuto funkci v podstatě všechna zařízení tohoto oboru, ať již na úrovni TJ, škol, sdružení technických sportů či zařízení ostatních.</w:t>
      </w:r>
    </w:p>
    <w:p w14:paraId="5616807E"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Na základě současného stavu je zřejmé, že město Děčín:</w:t>
      </w:r>
    </w:p>
    <w:p w14:paraId="384C46B4"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má široké zastoupení oborů sportovních zařízení;</w:t>
      </w:r>
    </w:p>
    <w:p w14:paraId="61413491"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řada zařízení je díky technickému stavu v podstatě nevyužitelná (lyžařské svahy, TJ START na Starém Městě, městské lázně apod.);</w:t>
      </w:r>
    </w:p>
    <w:p w14:paraId="1D8A7BF7"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výstavba krytého bazénu byla zahájena v letošním roce;</w:t>
      </w:r>
    </w:p>
    <w:p w14:paraId="64C26BAD"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díky řece Labi má dobré podmínky pro vodní sporty;</w:t>
      </w:r>
    </w:p>
    <w:p w14:paraId="11A9A77D"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nemá odpovídající rozsah zařízení typu "sport pro všechny";</w:t>
      </w:r>
    </w:p>
    <w:p w14:paraId="348B1F82"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v průběhu minulých let se nerealizovalo v podstatě žádné nové zařízení sportu, výjimkou je plavecký otevřený bazén na St. Městě, 2 areály bowlingu;</w:t>
      </w:r>
    </w:p>
    <w:p w14:paraId="58448170"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řady škol postrádá odpovídající sportovní zařízení (školy na Komenského nám.).</w:t>
      </w:r>
    </w:p>
    <w:p w14:paraId="57267CE7" w14:textId="77777777" w:rsidR="00CA23D0" w:rsidRPr="00E30642" w:rsidRDefault="00CA23D0" w:rsidP="00CA23D0">
      <w:pPr>
        <w:pStyle w:val="Zkladntext"/>
        <w:jc w:val="both"/>
        <w:rPr>
          <w:rFonts w:ascii="Arial" w:hAnsi="Arial" w:cs="Arial"/>
        </w:rPr>
      </w:pPr>
    </w:p>
    <w:p w14:paraId="7A92943D" w14:textId="77777777" w:rsidR="00CA23D0" w:rsidRPr="00E30642" w:rsidRDefault="00CA23D0" w:rsidP="00CA23D0">
      <w:pPr>
        <w:pStyle w:val="Zkladntext"/>
        <w:jc w:val="both"/>
        <w:rPr>
          <w:rFonts w:ascii="Arial" w:hAnsi="Arial" w:cs="Arial"/>
        </w:rPr>
      </w:pPr>
    </w:p>
    <w:tbl>
      <w:tblPr>
        <w:tblpPr w:leftFromText="141" w:rightFromText="141" w:vertAnchor="page" w:horzAnchor="page" w:tblpX="1962" w:tblpY="1604"/>
        <w:tblW w:w="0" w:type="auto"/>
        <w:tblLayout w:type="fixed"/>
        <w:tblCellMar>
          <w:left w:w="42" w:type="dxa"/>
          <w:right w:w="42" w:type="dxa"/>
        </w:tblCellMar>
        <w:tblLook w:val="0000" w:firstRow="0" w:lastRow="0" w:firstColumn="0" w:lastColumn="0" w:noHBand="0" w:noVBand="0"/>
      </w:tblPr>
      <w:tblGrid>
        <w:gridCol w:w="2817"/>
        <w:gridCol w:w="1782"/>
        <w:gridCol w:w="1122"/>
        <w:gridCol w:w="1046"/>
        <w:gridCol w:w="1950"/>
      </w:tblGrid>
      <w:tr w:rsidR="00CA23D0" w:rsidRPr="00E30642" w14:paraId="3CFAD70B" w14:textId="77777777" w:rsidTr="00CA23D0">
        <w:trPr>
          <w:trHeight w:val="531"/>
        </w:trPr>
        <w:tc>
          <w:tcPr>
            <w:tcW w:w="2817" w:type="dxa"/>
            <w:vMerge w:val="restart"/>
            <w:tcBorders>
              <w:top w:val="single" w:sz="6" w:space="0" w:color="auto"/>
              <w:left w:val="single" w:sz="6" w:space="0" w:color="auto"/>
              <w:right w:val="single" w:sz="6" w:space="0" w:color="auto"/>
            </w:tcBorders>
          </w:tcPr>
          <w:p w14:paraId="644DDEB2" w14:textId="77777777" w:rsidR="00CA23D0" w:rsidRPr="00E30642" w:rsidRDefault="00CA23D0" w:rsidP="00CA23D0">
            <w:pPr>
              <w:pStyle w:val="dka"/>
              <w:jc w:val="both"/>
              <w:rPr>
                <w:rFonts w:cs="Arial"/>
              </w:rPr>
            </w:pPr>
            <w:r w:rsidRPr="00E30642">
              <w:rPr>
                <w:rFonts w:cs="Arial"/>
                <w:sz w:val="18"/>
                <w:szCs w:val="18"/>
              </w:rPr>
              <w:lastRenderedPageBreak/>
              <w:t>zařízení</w:t>
            </w:r>
          </w:p>
        </w:tc>
        <w:tc>
          <w:tcPr>
            <w:tcW w:w="1782" w:type="dxa"/>
            <w:vMerge w:val="restart"/>
            <w:tcBorders>
              <w:top w:val="single" w:sz="6" w:space="0" w:color="auto"/>
              <w:left w:val="single" w:sz="6" w:space="0" w:color="auto"/>
              <w:right w:val="single" w:sz="6" w:space="0" w:color="auto"/>
            </w:tcBorders>
          </w:tcPr>
          <w:p w14:paraId="1A653A4B" w14:textId="77777777" w:rsidR="00CA23D0" w:rsidRPr="00E30642" w:rsidRDefault="00CA23D0" w:rsidP="00CA23D0">
            <w:pPr>
              <w:pStyle w:val="Texttabulky"/>
              <w:jc w:val="both"/>
              <w:rPr>
                <w:rFonts w:cs="Arial"/>
              </w:rPr>
            </w:pPr>
            <w:r w:rsidRPr="00E30642">
              <w:rPr>
                <w:rFonts w:cs="Arial"/>
                <w:sz w:val="18"/>
                <w:szCs w:val="18"/>
              </w:rPr>
              <w:t>stav</w:t>
            </w:r>
          </w:p>
        </w:tc>
        <w:tc>
          <w:tcPr>
            <w:tcW w:w="4118" w:type="dxa"/>
            <w:gridSpan w:val="3"/>
            <w:tcBorders>
              <w:top w:val="single" w:sz="6" w:space="0" w:color="auto"/>
              <w:left w:val="single" w:sz="6" w:space="0" w:color="auto"/>
              <w:bottom w:val="single" w:sz="6" w:space="0" w:color="auto"/>
              <w:right w:val="single" w:sz="6" w:space="0" w:color="auto"/>
            </w:tcBorders>
          </w:tcPr>
          <w:p w14:paraId="387A0ABD" w14:textId="77777777" w:rsidR="00CA23D0" w:rsidRPr="00E30642" w:rsidRDefault="00CA23D0" w:rsidP="00CA23D0">
            <w:pPr>
              <w:pStyle w:val="Zkladntext"/>
              <w:jc w:val="both"/>
              <w:rPr>
                <w:rFonts w:ascii="Arial" w:hAnsi="Arial" w:cs="Arial"/>
              </w:rPr>
            </w:pPr>
            <w:r w:rsidRPr="00E30642">
              <w:rPr>
                <w:rFonts w:ascii="Arial" w:hAnsi="Arial" w:cs="Arial"/>
                <w:sz w:val="18"/>
                <w:szCs w:val="18"/>
              </w:rPr>
              <w:t>m</w:t>
            </w:r>
            <w:r w:rsidRPr="00E30642">
              <w:rPr>
                <w:rFonts w:ascii="Arial" w:hAnsi="Arial" w:cs="Arial"/>
                <w:position w:val="6"/>
                <w:sz w:val="18"/>
                <w:szCs w:val="18"/>
              </w:rPr>
              <w:t>2</w:t>
            </w:r>
            <w:r w:rsidRPr="00E30642">
              <w:rPr>
                <w:rFonts w:ascii="Arial" w:hAnsi="Arial" w:cs="Arial"/>
                <w:sz w:val="18"/>
                <w:szCs w:val="18"/>
              </w:rPr>
              <w:t xml:space="preserve"> hrací plochy </w:t>
            </w:r>
          </w:p>
        </w:tc>
      </w:tr>
      <w:tr w:rsidR="00CA23D0" w:rsidRPr="00E30642" w14:paraId="0323148F" w14:textId="77777777" w:rsidTr="00CA23D0">
        <w:trPr>
          <w:trHeight w:val="265"/>
        </w:trPr>
        <w:tc>
          <w:tcPr>
            <w:tcW w:w="2817" w:type="dxa"/>
            <w:vMerge/>
            <w:tcBorders>
              <w:left w:val="single" w:sz="6" w:space="0" w:color="auto"/>
              <w:bottom w:val="single" w:sz="6" w:space="0" w:color="auto"/>
              <w:right w:val="single" w:sz="6" w:space="0" w:color="auto"/>
            </w:tcBorders>
          </w:tcPr>
          <w:p w14:paraId="7E18876D" w14:textId="77777777" w:rsidR="00CA23D0" w:rsidRPr="00E30642" w:rsidRDefault="00CA23D0" w:rsidP="00CA23D0">
            <w:pPr>
              <w:pStyle w:val="Zkladntext"/>
              <w:jc w:val="both"/>
              <w:rPr>
                <w:rFonts w:ascii="Arial" w:hAnsi="Arial" w:cs="Arial"/>
              </w:rPr>
            </w:pPr>
          </w:p>
        </w:tc>
        <w:tc>
          <w:tcPr>
            <w:tcW w:w="1782" w:type="dxa"/>
            <w:vMerge/>
            <w:tcBorders>
              <w:left w:val="single" w:sz="6" w:space="0" w:color="auto"/>
              <w:bottom w:val="single" w:sz="6" w:space="0" w:color="auto"/>
              <w:right w:val="single" w:sz="6" w:space="0" w:color="auto"/>
            </w:tcBorders>
          </w:tcPr>
          <w:p w14:paraId="0E1056EA" w14:textId="77777777" w:rsidR="00CA23D0" w:rsidRPr="00E30642" w:rsidRDefault="00CA23D0" w:rsidP="00CA23D0">
            <w:pPr>
              <w:pStyle w:val="Zkladntext"/>
              <w:jc w:val="both"/>
              <w:rPr>
                <w:rFonts w:ascii="Arial" w:hAnsi="Arial" w:cs="Arial"/>
              </w:rPr>
            </w:pPr>
          </w:p>
        </w:tc>
        <w:tc>
          <w:tcPr>
            <w:tcW w:w="1122" w:type="dxa"/>
            <w:tcBorders>
              <w:top w:val="single" w:sz="6" w:space="0" w:color="auto"/>
              <w:left w:val="single" w:sz="6" w:space="0" w:color="auto"/>
              <w:bottom w:val="single" w:sz="6" w:space="0" w:color="auto"/>
              <w:right w:val="single" w:sz="6" w:space="0" w:color="auto"/>
            </w:tcBorders>
          </w:tcPr>
          <w:p w14:paraId="23E2FB4B" w14:textId="77777777" w:rsidR="00CA23D0" w:rsidRPr="00E30642" w:rsidRDefault="00CA23D0" w:rsidP="00CA23D0">
            <w:pPr>
              <w:pStyle w:val="Texttabulky"/>
              <w:jc w:val="both"/>
              <w:rPr>
                <w:rFonts w:cs="Arial"/>
              </w:rPr>
            </w:pPr>
            <w:r w:rsidRPr="00E30642">
              <w:rPr>
                <w:rFonts w:cs="Arial"/>
                <w:sz w:val="18"/>
                <w:szCs w:val="18"/>
              </w:rPr>
              <w:t xml:space="preserve">1984 </w:t>
            </w:r>
          </w:p>
        </w:tc>
        <w:tc>
          <w:tcPr>
            <w:tcW w:w="1046" w:type="dxa"/>
            <w:tcBorders>
              <w:top w:val="single" w:sz="6" w:space="0" w:color="auto"/>
              <w:left w:val="single" w:sz="6" w:space="0" w:color="auto"/>
              <w:bottom w:val="single" w:sz="6" w:space="0" w:color="auto"/>
              <w:right w:val="single" w:sz="6" w:space="0" w:color="auto"/>
            </w:tcBorders>
          </w:tcPr>
          <w:p w14:paraId="55CF2D22" w14:textId="77777777" w:rsidR="00CA23D0" w:rsidRPr="00E30642" w:rsidRDefault="00CA23D0" w:rsidP="00CA23D0">
            <w:pPr>
              <w:pStyle w:val="Texttabulky"/>
              <w:jc w:val="both"/>
              <w:rPr>
                <w:rFonts w:cs="Arial"/>
              </w:rPr>
            </w:pPr>
            <w:r w:rsidRPr="00E30642">
              <w:rPr>
                <w:rFonts w:cs="Arial"/>
                <w:sz w:val="18"/>
                <w:szCs w:val="18"/>
              </w:rPr>
              <w:t xml:space="preserve">1995 </w:t>
            </w:r>
          </w:p>
        </w:tc>
        <w:tc>
          <w:tcPr>
            <w:tcW w:w="1950" w:type="dxa"/>
            <w:tcBorders>
              <w:top w:val="single" w:sz="6" w:space="0" w:color="auto"/>
              <w:left w:val="single" w:sz="6" w:space="0" w:color="auto"/>
              <w:bottom w:val="single" w:sz="6" w:space="0" w:color="auto"/>
              <w:right w:val="single" w:sz="6" w:space="0" w:color="auto"/>
            </w:tcBorders>
          </w:tcPr>
          <w:p w14:paraId="080356BC" w14:textId="77777777" w:rsidR="00CA23D0" w:rsidRPr="00E30642" w:rsidRDefault="00CA23D0" w:rsidP="00CA23D0">
            <w:pPr>
              <w:pStyle w:val="Texttabulky"/>
              <w:jc w:val="both"/>
              <w:rPr>
                <w:rFonts w:cs="Arial"/>
              </w:rPr>
            </w:pPr>
            <w:r w:rsidRPr="00E30642">
              <w:rPr>
                <w:rFonts w:cs="Arial"/>
                <w:sz w:val="18"/>
                <w:szCs w:val="18"/>
              </w:rPr>
              <w:t xml:space="preserve">výhled </w:t>
            </w:r>
          </w:p>
        </w:tc>
      </w:tr>
      <w:tr w:rsidR="00CA23D0" w:rsidRPr="00E30642" w14:paraId="1727FC0A" w14:textId="77777777" w:rsidTr="00CA23D0">
        <w:trPr>
          <w:trHeight w:val="223"/>
        </w:trPr>
        <w:tc>
          <w:tcPr>
            <w:tcW w:w="2817" w:type="dxa"/>
            <w:tcBorders>
              <w:top w:val="single" w:sz="6" w:space="0" w:color="auto"/>
              <w:left w:val="single" w:sz="6" w:space="0" w:color="auto"/>
              <w:bottom w:val="single" w:sz="6" w:space="0" w:color="auto"/>
              <w:right w:val="single" w:sz="6" w:space="0" w:color="auto"/>
            </w:tcBorders>
          </w:tcPr>
          <w:p w14:paraId="73D87681" w14:textId="77777777" w:rsidR="00CA23D0" w:rsidRPr="00E30642" w:rsidRDefault="00CA23D0" w:rsidP="00CA23D0">
            <w:pPr>
              <w:pStyle w:val="Texttabulky"/>
              <w:jc w:val="both"/>
              <w:rPr>
                <w:rFonts w:cs="Arial"/>
              </w:rPr>
            </w:pPr>
            <w:r w:rsidRPr="00E30642">
              <w:rPr>
                <w:rFonts w:cs="Arial"/>
                <w:sz w:val="18"/>
                <w:szCs w:val="18"/>
              </w:rPr>
              <w:t xml:space="preserve">stadióny a velkoplošná hřiště </w:t>
            </w:r>
          </w:p>
        </w:tc>
        <w:tc>
          <w:tcPr>
            <w:tcW w:w="1782" w:type="dxa"/>
            <w:tcBorders>
              <w:top w:val="single" w:sz="6" w:space="0" w:color="auto"/>
              <w:left w:val="single" w:sz="6" w:space="0" w:color="auto"/>
              <w:bottom w:val="single" w:sz="6" w:space="0" w:color="auto"/>
              <w:right w:val="single" w:sz="6" w:space="0" w:color="auto"/>
            </w:tcBorders>
          </w:tcPr>
          <w:p w14:paraId="52473AC9" w14:textId="77777777" w:rsidR="00CA23D0" w:rsidRPr="00E30642" w:rsidRDefault="00CA23D0" w:rsidP="00CA23D0">
            <w:pPr>
              <w:pStyle w:val="Texttabulky"/>
              <w:jc w:val="both"/>
              <w:rPr>
                <w:rFonts w:cs="Arial"/>
              </w:rPr>
            </w:pPr>
            <w:r w:rsidRPr="00E30642">
              <w:rPr>
                <w:rFonts w:cs="Arial"/>
              </w:rPr>
              <w:t>vyhovující</w:t>
            </w:r>
          </w:p>
        </w:tc>
        <w:tc>
          <w:tcPr>
            <w:tcW w:w="1122" w:type="dxa"/>
            <w:tcBorders>
              <w:top w:val="single" w:sz="6" w:space="0" w:color="auto"/>
              <w:left w:val="single" w:sz="6" w:space="0" w:color="auto"/>
              <w:bottom w:val="single" w:sz="6" w:space="0" w:color="auto"/>
              <w:right w:val="single" w:sz="6" w:space="0" w:color="auto"/>
            </w:tcBorders>
          </w:tcPr>
          <w:p w14:paraId="11A70E9C" w14:textId="77777777" w:rsidR="00CA23D0" w:rsidRPr="00E30642" w:rsidRDefault="00CA23D0" w:rsidP="00CA23D0">
            <w:pPr>
              <w:pStyle w:val="Texttabulky"/>
              <w:jc w:val="both"/>
              <w:rPr>
                <w:rFonts w:cs="Arial"/>
              </w:rPr>
            </w:pPr>
            <w:r w:rsidRPr="00E30642">
              <w:rPr>
                <w:rFonts w:cs="Arial"/>
                <w:sz w:val="18"/>
                <w:szCs w:val="18"/>
              </w:rPr>
              <w:t xml:space="preserve">90 000 </w:t>
            </w:r>
          </w:p>
        </w:tc>
        <w:tc>
          <w:tcPr>
            <w:tcW w:w="1046" w:type="dxa"/>
            <w:tcBorders>
              <w:top w:val="single" w:sz="6" w:space="0" w:color="auto"/>
              <w:left w:val="single" w:sz="6" w:space="0" w:color="auto"/>
              <w:bottom w:val="single" w:sz="6" w:space="0" w:color="auto"/>
              <w:right w:val="single" w:sz="6" w:space="0" w:color="auto"/>
            </w:tcBorders>
          </w:tcPr>
          <w:p w14:paraId="50E82520" w14:textId="77777777" w:rsidR="00CA23D0" w:rsidRPr="00E30642" w:rsidRDefault="00CA23D0" w:rsidP="00CA23D0">
            <w:pPr>
              <w:pStyle w:val="Texttabulky"/>
              <w:jc w:val="both"/>
              <w:rPr>
                <w:rFonts w:cs="Arial"/>
              </w:rPr>
            </w:pPr>
            <w:r w:rsidRPr="00E30642">
              <w:rPr>
                <w:rFonts w:cs="Arial"/>
                <w:sz w:val="18"/>
                <w:szCs w:val="18"/>
              </w:rPr>
              <w:t xml:space="preserve">78 800 </w:t>
            </w:r>
          </w:p>
        </w:tc>
        <w:tc>
          <w:tcPr>
            <w:tcW w:w="1950" w:type="dxa"/>
            <w:tcBorders>
              <w:top w:val="single" w:sz="6" w:space="0" w:color="auto"/>
              <w:left w:val="single" w:sz="6" w:space="0" w:color="auto"/>
              <w:bottom w:val="single" w:sz="6" w:space="0" w:color="auto"/>
              <w:right w:val="single" w:sz="6" w:space="0" w:color="auto"/>
            </w:tcBorders>
          </w:tcPr>
          <w:p w14:paraId="74E52E23" w14:textId="77777777" w:rsidR="00CA23D0" w:rsidRPr="00E30642" w:rsidRDefault="00CA23D0" w:rsidP="00CA23D0">
            <w:pPr>
              <w:pStyle w:val="Texttabulky"/>
              <w:jc w:val="both"/>
              <w:rPr>
                <w:rFonts w:cs="Arial"/>
              </w:rPr>
            </w:pPr>
            <w:r w:rsidRPr="00E30642">
              <w:rPr>
                <w:rFonts w:cs="Arial"/>
                <w:sz w:val="18"/>
                <w:szCs w:val="18"/>
              </w:rPr>
              <w:t xml:space="preserve">72 800 </w:t>
            </w:r>
          </w:p>
        </w:tc>
      </w:tr>
      <w:tr w:rsidR="00CA23D0" w:rsidRPr="00E30642" w14:paraId="2BEE17D4" w14:textId="77777777" w:rsidTr="00CA23D0">
        <w:trPr>
          <w:trHeight w:val="237"/>
        </w:trPr>
        <w:tc>
          <w:tcPr>
            <w:tcW w:w="2817" w:type="dxa"/>
            <w:tcBorders>
              <w:top w:val="single" w:sz="6" w:space="0" w:color="auto"/>
              <w:left w:val="single" w:sz="6" w:space="0" w:color="auto"/>
              <w:bottom w:val="single" w:sz="6" w:space="0" w:color="auto"/>
              <w:right w:val="single" w:sz="6" w:space="0" w:color="auto"/>
            </w:tcBorders>
          </w:tcPr>
          <w:p w14:paraId="73FCC0E7" w14:textId="77777777" w:rsidR="00CA23D0" w:rsidRPr="00E30642" w:rsidRDefault="00CA23D0" w:rsidP="00CA23D0">
            <w:pPr>
              <w:pStyle w:val="Texttabulky"/>
              <w:jc w:val="both"/>
              <w:rPr>
                <w:rFonts w:cs="Arial"/>
              </w:rPr>
            </w:pPr>
            <w:r w:rsidRPr="00E30642">
              <w:rPr>
                <w:rFonts w:cs="Arial"/>
                <w:sz w:val="18"/>
                <w:szCs w:val="18"/>
              </w:rPr>
              <w:t xml:space="preserve">ostatní hřiště </w:t>
            </w:r>
          </w:p>
        </w:tc>
        <w:tc>
          <w:tcPr>
            <w:tcW w:w="1782" w:type="dxa"/>
            <w:tcBorders>
              <w:top w:val="single" w:sz="6" w:space="0" w:color="auto"/>
              <w:left w:val="single" w:sz="6" w:space="0" w:color="auto"/>
              <w:bottom w:val="single" w:sz="6" w:space="0" w:color="auto"/>
              <w:right w:val="single" w:sz="6" w:space="0" w:color="auto"/>
            </w:tcBorders>
          </w:tcPr>
          <w:p w14:paraId="428163BD" w14:textId="77777777" w:rsidR="00CA23D0" w:rsidRPr="00E30642" w:rsidRDefault="00CA23D0" w:rsidP="00CA23D0">
            <w:pPr>
              <w:pStyle w:val="Texttabulky"/>
              <w:jc w:val="both"/>
              <w:rPr>
                <w:rFonts w:cs="Arial"/>
              </w:rPr>
            </w:pPr>
            <w:r w:rsidRPr="00E30642">
              <w:rPr>
                <w:rFonts w:cs="Arial"/>
              </w:rPr>
              <w:t>nevyhovující</w:t>
            </w:r>
          </w:p>
        </w:tc>
        <w:tc>
          <w:tcPr>
            <w:tcW w:w="1122" w:type="dxa"/>
            <w:tcBorders>
              <w:top w:val="single" w:sz="6" w:space="0" w:color="auto"/>
              <w:left w:val="single" w:sz="6" w:space="0" w:color="auto"/>
              <w:bottom w:val="single" w:sz="6" w:space="0" w:color="auto"/>
              <w:right w:val="single" w:sz="6" w:space="0" w:color="auto"/>
            </w:tcBorders>
          </w:tcPr>
          <w:p w14:paraId="78DC3361" w14:textId="77777777" w:rsidR="00CA23D0" w:rsidRPr="00E30642" w:rsidRDefault="00CA23D0" w:rsidP="00CA23D0">
            <w:pPr>
              <w:pStyle w:val="Texttabulky"/>
              <w:jc w:val="both"/>
              <w:rPr>
                <w:rFonts w:cs="Arial"/>
              </w:rPr>
            </w:pPr>
            <w:r w:rsidRPr="00E30642">
              <w:rPr>
                <w:rFonts w:cs="Arial"/>
                <w:sz w:val="18"/>
                <w:szCs w:val="18"/>
              </w:rPr>
              <w:t xml:space="preserve">18 930 </w:t>
            </w:r>
          </w:p>
        </w:tc>
        <w:tc>
          <w:tcPr>
            <w:tcW w:w="1046" w:type="dxa"/>
            <w:tcBorders>
              <w:top w:val="single" w:sz="6" w:space="0" w:color="auto"/>
              <w:left w:val="single" w:sz="6" w:space="0" w:color="auto"/>
              <w:bottom w:val="single" w:sz="6" w:space="0" w:color="auto"/>
              <w:right w:val="single" w:sz="6" w:space="0" w:color="auto"/>
            </w:tcBorders>
          </w:tcPr>
          <w:p w14:paraId="32AC1BC2" w14:textId="77777777" w:rsidR="00CA23D0" w:rsidRPr="00E30642" w:rsidRDefault="00CA23D0" w:rsidP="00CA23D0">
            <w:pPr>
              <w:pStyle w:val="Texttabulky"/>
              <w:jc w:val="both"/>
              <w:rPr>
                <w:rFonts w:cs="Arial"/>
              </w:rPr>
            </w:pPr>
            <w:r w:rsidRPr="00E30642">
              <w:rPr>
                <w:rFonts w:cs="Arial"/>
                <w:sz w:val="18"/>
                <w:szCs w:val="18"/>
              </w:rPr>
              <w:t xml:space="preserve">16 200 </w:t>
            </w:r>
          </w:p>
        </w:tc>
        <w:tc>
          <w:tcPr>
            <w:tcW w:w="1950" w:type="dxa"/>
            <w:tcBorders>
              <w:top w:val="single" w:sz="6" w:space="0" w:color="auto"/>
              <w:left w:val="single" w:sz="6" w:space="0" w:color="auto"/>
              <w:bottom w:val="single" w:sz="6" w:space="0" w:color="auto"/>
              <w:right w:val="single" w:sz="6" w:space="0" w:color="auto"/>
            </w:tcBorders>
          </w:tcPr>
          <w:p w14:paraId="0FB19D59" w14:textId="77777777" w:rsidR="00CA23D0" w:rsidRPr="00E30642" w:rsidRDefault="00CA23D0" w:rsidP="00CA23D0">
            <w:pPr>
              <w:pStyle w:val="Texttabulky"/>
              <w:jc w:val="both"/>
              <w:rPr>
                <w:rFonts w:cs="Arial"/>
              </w:rPr>
            </w:pPr>
            <w:r w:rsidRPr="00E30642">
              <w:rPr>
                <w:rFonts w:cs="Arial"/>
                <w:sz w:val="18"/>
                <w:szCs w:val="18"/>
              </w:rPr>
              <w:t xml:space="preserve">30 000 </w:t>
            </w:r>
          </w:p>
        </w:tc>
      </w:tr>
      <w:tr w:rsidR="00CA23D0" w:rsidRPr="00E30642" w14:paraId="555458CF" w14:textId="77777777" w:rsidTr="00CA23D0">
        <w:trPr>
          <w:trHeight w:val="237"/>
        </w:trPr>
        <w:tc>
          <w:tcPr>
            <w:tcW w:w="2817" w:type="dxa"/>
            <w:tcBorders>
              <w:top w:val="single" w:sz="6" w:space="0" w:color="auto"/>
              <w:left w:val="single" w:sz="6" w:space="0" w:color="auto"/>
              <w:bottom w:val="single" w:sz="6" w:space="0" w:color="auto"/>
              <w:right w:val="single" w:sz="6" w:space="0" w:color="auto"/>
            </w:tcBorders>
          </w:tcPr>
          <w:p w14:paraId="6814F834" w14:textId="77777777" w:rsidR="00CA23D0" w:rsidRPr="00E30642" w:rsidRDefault="00CA23D0" w:rsidP="00CA23D0">
            <w:pPr>
              <w:pStyle w:val="Texttabulky"/>
              <w:jc w:val="both"/>
              <w:rPr>
                <w:rFonts w:cs="Arial"/>
              </w:rPr>
            </w:pPr>
            <w:r w:rsidRPr="00E30642">
              <w:rPr>
                <w:rFonts w:cs="Arial"/>
                <w:sz w:val="18"/>
                <w:szCs w:val="18"/>
              </w:rPr>
              <w:t xml:space="preserve">sportovní haly a tělocvičny </w:t>
            </w:r>
          </w:p>
        </w:tc>
        <w:tc>
          <w:tcPr>
            <w:tcW w:w="1782" w:type="dxa"/>
            <w:tcBorders>
              <w:top w:val="single" w:sz="6" w:space="0" w:color="auto"/>
              <w:left w:val="single" w:sz="6" w:space="0" w:color="auto"/>
              <w:bottom w:val="single" w:sz="6" w:space="0" w:color="auto"/>
              <w:right w:val="single" w:sz="6" w:space="0" w:color="auto"/>
            </w:tcBorders>
          </w:tcPr>
          <w:p w14:paraId="0782DB14" w14:textId="77777777" w:rsidR="00CA23D0" w:rsidRPr="00E30642" w:rsidRDefault="00CA23D0" w:rsidP="00CA23D0">
            <w:pPr>
              <w:pStyle w:val="Texttabulky"/>
              <w:jc w:val="both"/>
              <w:rPr>
                <w:rFonts w:cs="Arial"/>
              </w:rPr>
            </w:pPr>
            <w:r w:rsidRPr="00E30642">
              <w:rPr>
                <w:rFonts w:cs="Arial"/>
              </w:rPr>
              <w:t>nevyhovující</w:t>
            </w:r>
          </w:p>
        </w:tc>
        <w:tc>
          <w:tcPr>
            <w:tcW w:w="1122" w:type="dxa"/>
            <w:tcBorders>
              <w:top w:val="single" w:sz="6" w:space="0" w:color="auto"/>
              <w:left w:val="single" w:sz="6" w:space="0" w:color="auto"/>
              <w:bottom w:val="single" w:sz="6" w:space="0" w:color="auto"/>
              <w:right w:val="single" w:sz="6" w:space="0" w:color="auto"/>
            </w:tcBorders>
          </w:tcPr>
          <w:p w14:paraId="421B4F3B" w14:textId="77777777" w:rsidR="00CA23D0" w:rsidRPr="00E30642" w:rsidRDefault="00CA23D0" w:rsidP="00CA23D0">
            <w:pPr>
              <w:pStyle w:val="Texttabulky"/>
              <w:jc w:val="both"/>
              <w:rPr>
                <w:rFonts w:cs="Arial"/>
              </w:rPr>
            </w:pPr>
            <w:r w:rsidRPr="00E30642">
              <w:rPr>
                <w:rFonts w:cs="Arial"/>
                <w:sz w:val="18"/>
                <w:szCs w:val="18"/>
              </w:rPr>
              <w:t xml:space="preserve">4 460 </w:t>
            </w:r>
          </w:p>
        </w:tc>
        <w:tc>
          <w:tcPr>
            <w:tcW w:w="1046" w:type="dxa"/>
            <w:tcBorders>
              <w:top w:val="single" w:sz="6" w:space="0" w:color="auto"/>
              <w:left w:val="single" w:sz="6" w:space="0" w:color="auto"/>
              <w:bottom w:val="single" w:sz="6" w:space="0" w:color="auto"/>
              <w:right w:val="single" w:sz="6" w:space="0" w:color="auto"/>
            </w:tcBorders>
          </w:tcPr>
          <w:p w14:paraId="2CBB506B" w14:textId="77777777" w:rsidR="00CA23D0" w:rsidRPr="00E30642" w:rsidRDefault="00CA23D0" w:rsidP="00CA23D0">
            <w:pPr>
              <w:pStyle w:val="Texttabulky"/>
              <w:jc w:val="both"/>
              <w:rPr>
                <w:rFonts w:cs="Arial"/>
              </w:rPr>
            </w:pPr>
            <w:r w:rsidRPr="00E30642">
              <w:rPr>
                <w:rFonts w:cs="Arial"/>
                <w:sz w:val="18"/>
                <w:szCs w:val="18"/>
              </w:rPr>
              <w:t xml:space="preserve">7 260 </w:t>
            </w:r>
          </w:p>
        </w:tc>
        <w:tc>
          <w:tcPr>
            <w:tcW w:w="1950" w:type="dxa"/>
            <w:tcBorders>
              <w:top w:val="single" w:sz="6" w:space="0" w:color="auto"/>
              <w:left w:val="single" w:sz="6" w:space="0" w:color="auto"/>
              <w:bottom w:val="single" w:sz="6" w:space="0" w:color="auto"/>
              <w:right w:val="single" w:sz="6" w:space="0" w:color="auto"/>
            </w:tcBorders>
          </w:tcPr>
          <w:p w14:paraId="2908E560" w14:textId="77777777" w:rsidR="00CA23D0" w:rsidRPr="00E30642" w:rsidRDefault="00CA23D0" w:rsidP="00CA23D0">
            <w:pPr>
              <w:pStyle w:val="Texttabulky"/>
              <w:jc w:val="both"/>
              <w:rPr>
                <w:rFonts w:cs="Arial"/>
              </w:rPr>
            </w:pPr>
            <w:r w:rsidRPr="00E30642">
              <w:rPr>
                <w:rFonts w:cs="Arial"/>
                <w:sz w:val="18"/>
                <w:szCs w:val="18"/>
              </w:rPr>
              <w:t xml:space="preserve">8 800  </w:t>
            </w:r>
          </w:p>
        </w:tc>
      </w:tr>
      <w:tr w:rsidR="00CA23D0" w:rsidRPr="00E30642" w14:paraId="4AAC0406" w14:textId="77777777" w:rsidTr="00CA23D0">
        <w:trPr>
          <w:trHeight w:val="237"/>
        </w:trPr>
        <w:tc>
          <w:tcPr>
            <w:tcW w:w="2817" w:type="dxa"/>
            <w:tcBorders>
              <w:top w:val="single" w:sz="6" w:space="0" w:color="auto"/>
              <w:left w:val="single" w:sz="6" w:space="0" w:color="auto"/>
              <w:bottom w:val="single" w:sz="6" w:space="0" w:color="auto"/>
              <w:right w:val="single" w:sz="6" w:space="0" w:color="auto"/>
            </w:tcBorders>
          </w:tcPr>
          <w:p w14:paraId="1FDFDB3D" w14:textId="77777777" w:rsidR="00CA23D0" w:rsidRPr="00E30642" w:rsidRDefault="00CA23D0" w:rsidP="00CA23D0">
            <w:pPr>
              <w:pStyle w:val="Texttabulky"/>
              <w:jc w:val="both"/>
              <w:rPr>
                <w:rFonts w:cs="Arial"/>
              </w:rPr>
            </w:pPr>
            <w:r w:rsidRPr="00E30642">
              <w:rPr>
                <w:rFonts w:cs="Arial"/>
                <w:sz w:val="18"/>
                <w:szCs w:val="18"/>
              </w:rPr>
              <w:t xml:space="preserve">dětské dopravní hřiště </w:t>
            </w:r>
          </w:p>
        </w:tc>
        <w:tc>
          <w:tcPr>
            <w:tcW w:w="1782" w:type="dxa"/>
            <w:tcBorders>
              <w:top w:val="single" w:sz="6" w:space="0" w:color="auto"/>
              <w:left w:val="single" w:sz="6" w:space="0" w:color="auto"/>
              <w:bottom w:val="single" w:sz="6" w:space="0" w:color="auto"/>
              <w:right w:val="single" w:sz="6" w:space="0" w:color="auto"/>
            </w:tcBorders>
          </w:tcPr>
          <w:p w14:paraId="69EA650F" w14:textId="77777777" w:rsidR="00CA23D0" w:rsidRPr="00E30642" w:rsidRDefault="00CA23D0" w:rsidP="00CA23D0">
            <w:pPr>
              <w:pStyle w:val="Texttabulky"/>
              <w:jc w:val="both"/>
              <w:rPr>
                <w:rFonts w:cs="Arial"/>
              </w:rPr>
            </w:pPr>
            <w:r w:rsidRPr="00E30642">
              <w:rPr>
                <w:rFonts w:cs="Arial"/>
              </w:rPr>
              <w:t>nová lokalizace</w:t>
            </w:r>
          </w:p>
        </w:tc>
        <w:tc>
          <w:tcPr>
            <w:tcW w:w="1122" w:type="dxa"/>
            <w:tcBorders>
              <w:top w:val="single" w:sz="6" w:space="0" w:color="auto"/>
              <w:left w:val="single" w:sz="6" w:space="0" w:color="auto"/>
              <w:bottom w:val="single" w:sz="6" w:space="0" w:color="auto"/>
              <w:right w:val="single" w:sz="6" w:space="0" w:color="auto"/>
            </w:tcBorders>
          </w:tcPr>
          <w:p w14:paraId="6033EF9A" w14:textId="77777777" w:rsidR="00CA23D0" w:rsidRPr="00E30642" w:rsidRDefault="00CA23D0" w:rsidP="00CA23D0">
            <w:pPr>
              <w:pStyle w:val="Texttabulky"/>
              <w:jc w:val="both"/>
              <w:rPr>
                <w:rFonts w:cs="Arial"/>
              </w:rPr>
            </w:pPr>
            <w:r w:rsidRPr="00E30642">
              <w:rPr>
                <w:rFonts w:cs="Arial"/>
                <w:sz w:val="18"/>
                <w:szCs w:val="18"/>
              </w:rPr>
              <w:t xml:space="preserve">2 400 </w:t>
            </w:r>
          </w:p>
        </w:tc>
        <w:tc>
          <w:tcPr>
            <w:tcW w:w="1046" w:type="dxa"/>
            <w:tcBorders>
              <w:top w:val="single" w:sz="6" w:space="0" w:color="auto"/>
              <w:left w:val="single" w:sz="6" w:space="0" w:color="auto"/>
              <w:bottom w:val="single" w:sz="6" w:space="0" w:color="auto"/>
              <w:right w:val="single" w:sz="6" w:space="0" w:color="auto"/>
            </w:tcBorders>
          </w:tcPr>
          <w:p w14:paraId="437BCA27" w14:textId="77777777" w:rsidR="00CA23D0" w:rsidRPr="00E30642" w:rsidRDefault="00CA23D0" w:rsidP="00CA23D0">
            <w:pPr>
              <w:pStyle w:val="Texttabulky"/>
              <w:jc w:val="both"/>
              <w:rPr>
                <w:rFonts w:cs="Arial"/>
              </w:rPr>
            </w:pPr>
            <w:r w:rsidRPr="00E30642">
              <w:rPr>
                <w:rFonts w:cs="Arial"/>
                <w:sz w:val="18"/>
                <w:szCs w:val="18"/>
              </w:rPr>
              <w:t xml:space="preserve"> 2 400 </w:t>
            </w:r>
          </w:p>
        </w:tc>
        <w:tc>
          <w:tcPr>
            <w:tcW w:w="1950" w:type="dxa"/>
            <w:tcBorders>
              <w:top w:val="single" w:sz="6" w:space="0" w:color="auto"/>
              <w:left w:val="single" w:sz="6" w:space="0" w:color="auto"/>
              <w:bottom w:val="single" w:sz="6" w:space="0" w:color="auto"/>
              <w:right w:val="single" w:sz="6" w:space="0" w:color="auto"/>
            </w:tcBorders>
          </w:tcPr>
          <w:p w14:paraId="7F070086" w14:textId="77777777" w:rsidR="00CA23D0" w:rsidRPr="00E30642" w:rsidRDefault="00CA23D0" w:rsidP="00CA23D0">
            <w:pPr>
              <w:pStyle w:val="Texttabulky"/>
              <w:jc w:val="both"/>
              <w:rPr>
                <w:rFonts w:cs="Arial"/>
              </w:rPr>
            </w:pPr>
            <w:r w:rsidRPr="00E30642">
              <w:rPr>
                <w:rFonts w:cs="Arial"/>
                <w:sz w:val="18"/>
                <w:szCs w:val="18"/>
              </w:rPr>
              <w:t xml:space="preserve">2 000 </w:t>
            </w:r>
          </w:p>
        </w:tc>
      </w:tr>
      <w:tr w:rsidR="00CA23D0" w:rsidRPr="00E30642" w14:paraId="1C9260D8" w14:textId="77777777" w:rsidTr="00CA23D0">
        <w:trPr>
          <w:trHeight w:val="223"/>
        </w:trPr>
        <w:tc>
          <w:tcPr>
            <w:tcW w:w="2817" w:type="dxa"/>
            <w:tcBorders>
              <w:top w:val="single" w:sz="6" w:space="0" w:color="auto"/>
              <w:left w:val="single" w:sz="6" w:space="0" w:color="auto"/>
              <w:bottom w:val="single" w:sz="6" w:space="0" w:color="auto"/>
              <w:right w:val="single" w:sz="6" w:space="0" w:color="auto"/>
            </w:tcBorders>
          </w:tcPr>
          <w:p w14:paraId="44233106" w14:textId="77777777" w:rsidR="00CA23D0" w:rsidRPr="00E30642" w:rsidRDefault="00CA23D0" w:rsidP="00CA23D0">
            <w:pPr>
              <w:pStyle w:val="Texttabulky"/>
              <w:jc w:val="both"/>
              <w:rPr>
                <w:rFonts w:cs="Arial"/>
              </w:rPr>
            </w:pPr>
            <w:r w:rsidRPr="00E30642">
              <w:rPr>
                <w:rFonts w:cs="Arial"/>
                <w:sz w:val="18"/>
                <w:szCs w:val="18"/>
              </w:rPr>
              <w:t xml:space="preserve">autocvičiště </w:t>
            </w:r>
          </w:p>
        </w:tc>
        <w:tc>
          <w:tcPr>
            <w:tcW w:w="1782" w:type="dxa"/>
            <w:tcBorders>
              <w:top w:val="single" w:sz="6" w:space="0" w:color="auto"/>
              <w:left w:val="single" w:sz="6" w:space="0" w:color="auto"/>
              <w:bottom w:val="single" w:sz="6" w:space="0" w:color="auto"/>
              <w:right w:val="single" w:sz="6" w:space="0" w:color="auto"/>
            </w:tcBorders>
          </w:tcPr>
          <w:p w14:paraId="151C7AAA" w14:textId="77777777" w:rsidR="00CA23D0" w:rsidRPr="00E30642" w:rsidRDefault="00CA23D0" w:rsidP="00CA23D0">
            <w:pPr>
              <w:pStyle w:val="Texttabulky"/>
              <w:jc w:val="both"/>
              <w:rPr>
                <w:rFonts w:cs="Arial"/>
              </w:rPr>
            </w:pPr>
            <w:r w:rsidRPr="00E30642">
              <w:rPr>
                <w:rFonts w:cs="Arial"/>
              </w:rPr>
              <w:t>vyhovující</w:t>
            </w:r>
          </w:p>
        </w:tc>
        <w:tc>
          <w:tcPr>
            <w:tcW w:w="1122" w:type="dxa"/>
            <w:tcBorders>
              <w:top w:val="single" w:sz="6" w:space="0" w:color="auto"/>
              <w:left w:val="single" w:sz="6" w:space="0" w:color="auto"/>
              <w:bottom w:val="single" w:sz="6" w:space="0" w:color="auto"/>
              <w:right w:val="single" w:sz="6" w:space="0" w:color="auto"/>
            </w:tcBorders>
          </w:tcPr>
          <w:p w14:paraId="009A8A2D" w14:textId="77777777" w:rsidR="00CA23D0" w:rsidRPr="00E30642" w:rsidRDefault="00CA23D0" w:rsidP="00CA23D0">
            <w:pPr>
              <w:pStyle w:val="Texttabulky"/>
              <w:jc w:val="both"/>
              <w:rPr>
                <w:rFonts w:cs="Arial"/>
              </w:rPr>
            </w:pPr>
            <w:r w:rsidRPr="00E30642">
              <w:rPr>
                <w:rFonts w:cs="Arial"/>
                <w:sz w:val="18"/>
                <w:szCs w:val="18"/>
              </w:rPr>
              <w:t>2 800</w:t>
            </w:r>
          </w:p>
        </w:tc>
        <w:tc>
          <w:tcPr>
            <w:tcW w:w="1046" w:type="dxa"/>
            <w:tcBorders>
              <w:top w:val="single" w:sz="6" w:space="0" w:color="auto"/>
              <w:left w:val="single" w:sz="6" w:space="0" w:color="auto"/>
              <w:bottom w:val="single" w:sz="6" w:space="0" w:color="auto"/>
              <w:right w:val="single" w:sz="6" w:space="0" w:color="auto"/>
            </w:tcBorders>
          </w:tcPr>
          <w:p w14:paraId="43B39F96" w14:textId="77777777" w:rsidR="00CA23D0" w:rsidRPr="00E30642" w:rsidRDefault="00CA23D0" w:rsidP="00CA23D0">
            <w:pPr>
              <w:pStyle w:val="Texttabulky"/>
              <w:jc w:val="both"/>
              <w:rPr>
                <w:rFonts w:cs="Arial"/>
              </w:rPr>
            </w:pPr>
            <w:r w:rsidRPr="00E30642">
              <w:rPr>
                <w:rFonts w:cs="Arial"/>
                <w:sz w:val="18"/>
                <w:szCs w:val="18"/>
              </w:rPr>
              <w:t xml:space="preserve"> 2 800  </w:t>
            </w:r>
          </w:p>
        </w:tc>
        <w:tc>
          <w:tcPr>
            <w:tcW w:w="1950" w:type="dxa"/>
            <w:tcBorders>
              <w:top w:val="single" w:sz="6" w:space="0" w:color="auto"/>
              <w:left w:val="single" w:sz="6" w:space="0" w:color="auto"/>
              <w:bottom w:val="single" w:sz="6" w:space="0" w:color="auto"/>
              <w:right w:val="single" w:sz="6" w:space="0" w:color="auto"/>
            </w:tcBorders>
          </w:tcPr>
          <w:p w14:paraId="5CFE2305" w14:textId="77777777" w:rsidR="00CA23D0" w:rsidRPr="00E30642" w:rsidRDefault="00CA23D0" w:rsidP="00CA23D0">
            <w:pPr>
              <w:pStyle w:val="Texttabulky"/>
              <w:jc w:val="both"/>
              <w:rPr>
                <w:rFonts w:cs="Arial"/>
              </w:rPr>
            </w:pPr>
            <w:r w:rsidRPr="00E30642">
              <w:rPr>
                <w:rFonts w:cs="Arial"/>
                <w:sz w:val="18"/>
                <w:szCs w:val="18"/>
              </w:rPr>
              <w:t>2 800</w:t>
            </w:r>
          </w:p>
        </w:tc>
      </w:tr>
      <w:tr w:rsidR="00CA23D0" w:rsidRPr="00E30642" w14:paraId="786F8A03" w14:textId="77777777" w:rsidTr="00CA23D0">
        <w:trPr>
          <w:trHeight w:val="237"/>
        </w:trPr>
        <w:tc>
          <w:tcPr>
            <w:tcW w:w="2817" w:type="dxa"/>
            <w:tcBorders>
              <w:top w:val="single" w:sz="6" w:space="0" w:color="auto"/>
              <w:left w:val="single" w:sz="6" w:space="0" w:color="auto"/>
              <w:bottom w:val="single" w:sz="6" w:space="0" w:color="auto"/>
              <w:right w:val="single" w:sz="6" w:space="0" w:color="auto"/>
            </w:tcBorders>
          </w:tcPr>
          <w:p w14:paraId="3699F2C5" w14:textId="77777777" w:rsidR="00CA23D0" w:rsidRPr="00E30642" w:rsidRDefault="00CA23D0" w:rsidP="00CA23D0">
            <w:pPr>
              <w:pStyle w:val="Texttabulky"/>
              <w:jc w:val="both"/>
              <w:rPr>
                <w:rFonts w:cs="Arial"/>
              </w:rPr>
            </w:pPr>
            <w:r w:rsidRPr="00E30642">
              <w:rPr>
                <w:rFonts w:cs="Arial"/>
                <w:sz w:val="18"/>
                <w:szCs w:val="18"/>
              </w:rPr>
              <w:t xml:space="preserve">plavecké bazény otevřené </w:t>
            </w:r>
          </w:p>
        </w:tc>
        <w:tc>
          <w:tcPr>
            <w:tcW w:w="1782" w:type="dxa"/>
            <w:tcBorders>
              <w:top w:val="single" w:sz="6" w:space="0" w:color="auto"/>
              <w:left w:val="single" w:sz="6" w:space="0" w:color="auto"/>
              <w:bottom w:val="single" w:sz="6" w:space="0" w:color="auto"/>
              <w:right w:val="single" w:sz="6" w:space="0" w:color="auto"/>
            </w:tcBorders>
          </w:tcPr>
          <w:p w14:paraId="4B03412A" w14:textId="77777777" w:rsidR="00CA23D0" w:rsidRPr="00E30642" w:rsidRDefault="00CA23D0" w:rsidP="00CA23D0">
            <w:pPr>
              <w:pStyle w:val="Texttabulky"/>
              <w:jc w:val="both"/>
              <w:rPr>
                <w:rFonts w:cs="Arial"/>
              </w:rPr>
            </w:pPr>
            <w:r w:rsidRPr="00E30642">
              <w:rPr>
                <w:rFonts w:cs="Arial"/>
              </w:rPr>
              <w:t>bvyhovující</w:t>
            </w:r>
          </w:p>
        </w:tc>
        <w:tc>
          <w:tcPr>
            <w:tcW w:w="1122" w:type="dxa"/>
            <w:tcBorders>
              <w:top w:val="single" w:sz="6" w:space="0" w:color="auto"/>
              <w:left w:val="single" w:sz="6" w:space="0" w:color="auto"/>
              <w:bottom w:val="single" w:sz="6" w:space="0" w:color="auto"/>
              <w:right w:val="single" w:sz="6" w:space="0" w:color="auto"/>
            </w:tcBorders>
          </w:tcPr>
          <w:p w14:paraId="56E7BAAE" w14:textId="77777777" w:rsidR="00CA23D0" w:rsidRPr="00E30642" w:rsidRDefault="00CA23D0" w:rsidP="00CA23D0">
            <w:pPr>
              <w:pStyle w:val="Texttabulky"/>
              <w:jc w:val="both"/>
              <w:rPr>
                <w:rFonts w:cs="Arial"/>
              </w:rPr>
            </w:pPr>
            <w:r w:rsidRPr="00E30642">
              <w:rPr>
                <w:rFonts w:cs="Arial"/>
                <w:sz w:val="18"/>
                <w:szCs w:val="18"/>
              </w:rPr>
              <w:t xml:space="preserve">3 000 </w:t>
            </w:r>
          </w:p>
        </w:tc>
        <w:tc>
          <w:tcPr>
            <w:tcW w:w="1046" w:type="dxa"/>
            <w:tcBorders>
              <w:top w:val="single" w:sz="6" w:space="0" w:color="auto"/>
              <w:left w:val="single" w:sz="6" w:space="0" w:color="auto"/>
              <w:bottom w:val="single" w:sz="6" w:space="0" w:color="auto"/>
              <w:right w:val="single" w:sz="6" w:space="0" w:color="auto"/>
            </w:tcBorders>
          </w:tcPr>
          <w:p w14:paraId="12F1778F" w14:textId="77777777" w:rsidR="00CA23D0" w:rsidRPr="00E30642" w:rsidRDefault="00CA23D0" w:rsidP="00CA23D0">
            <w:pPr>
              <w:pStyle w:val="Texttabulky"/>
              <w:jc w:val="both"/>
              <w:rPr>
                <w:rFonts w:cs="Arial"/>
              </w:rPr>
            </w:pPr>
            <w:r w:rsidRPr="00E30642">
              <w:rPr>
                <w:rFonts w:cs="Arial"/>
                <w:sz w:val="18"/>
                <w:szCs w:val="18"/>
              </w:rPr>
              <w:t xml:space="preserve">5 100 </w:t>
            </w:r>
          </w:p>
        </w:tc>
        <w:tc>
          <w:tcPr>
            <w:tcW w:w="1950" w:type="dxa"/>
            <w:tcBorders>
              <w:top w:val="single" w:sz="6" w:space="0" w:color="auto"/>
              <w:left w:val="single" w:sz="6" w:space="0" w:color="auto"/>
              <w:bottom w:val="single" w:sz="6" w:space="0" w:color="auto"/>
              <w:right w:val="single" w:sz="6" w:space="0" w:color="auto"/>
            </w:tcBorders>
          </w:tcPr>
          <w:p w14:paraId="54847453" w14:textId="77777777" w:rsidR="00CA23D0" w:rsidRPr="00E30642" w:rsidRDefault="00CA23D0" w:rsidP="00CA23D0">
            <w:pPr>
              <w:pStyle w:val="Texttabulky"/>
              <w:jc w:val="both"/>
              <w:rPr>
                <w:rFonts w:cs="Arial"/>
              </w:rPr>
            </w:pPr>
            <w:r w:rsidRPr="00E30642">
              <w:rPr>
                <w:rFonts w:cs="Arial"/>
                <w:sz w:val="18"/>
                <w:szCs w:val="18"/>
              </w:rPr>
              <w:t xml:space="preserve">5 100 </w:t>
            </w:r>
          </w:p>
        </w:tc>
      </w:tr>
      <w:tr w:rsidR="00CA23D0" w:rsidRPr="00E30642" w14:paraId="5559DFD1" w14:textId="77777777" w:rsidTr="00CA23D0">
        <w:trPr>
          <w:trHeight w:val="237"/>
        </w:trPr>
        <w:tc>
          <w:tcPr>
            <w:tcW w:w="2817" w:type="dxa"/>
            <w:tcBorders>
              <w:top w:val="single" w:sz="6" w:space="0" w:color="auto"/>
              <w:left w:val="single" w:sz="6" w:space="0" w:color="auto"/>
              <w:bottom w:val="single" w:sz="6" w:space="0" w:color="auto"/>
              <w:right w:val="single" w:sz="6" w:space="0" w:color="auto"/>
            </w:tcBorders>
          </w:tcPr>
          <w:p w14:paraId="6A0E8A93" w14:textId="77777777" w:rsidR="00CA23D0" w:rsidRPr="00E30642" w:rsidRDefault="00CA23D0" w:rsidP="00CA23D0">
            <w:pPr>
              <w:pStyle w:val="Texttabulky"/>
              <w:jc w:val="both"/>
              <w:rPr>
                <w:rFonts w:cs="Arial"/>
              </w:rPr>
            </w:pPr>
            <w:r w:rsidRPr="00E30642">
              <w:rPr>
                <w:rFonts w:cs="Arial"/>
                <w:sz w:val="18"/>
                <w:szCs w:val="18"/>
              </w:rPr>
              <w:t xml:space="preserve">plavecké bazény </w:t>
            </w:r>
          </w:p>
        </w:tc>
        <w:tc>
          <w:tcPr>
            <w:tcW w:w="1782" w:type="dxa"/>
            <w:tcBorders>
              <w:top w:val="single" w:sz="6" w:space="0" w:color="auto"/>
              <w:left w:val="single" w:sz="6" w:space="0" w:color="auto"/>
              <w:bottom w:val="single" w:sz="6" w:space="0" w:color="auto"/>
              <w:right w:val="single" w:sz="6" w:space="0" w:color="auto"/>
            </w:tcBorders>
          </w:tcPr>
          <w:p w14:paraId="4AE72269" w14:textId="77777777" w:rsidR="00CA23D0" w:rsidRPr="00E30642" w:rsidRDefault="00CA23D0" w:rsidP="00CA23D0">
            <w:pPr>
              <w:pStyle w:val="Texttabulky"/>
              <w:jc w:val="both"/>
              <w:rPr>
                <w:rFonts w:cs="Arial"/>
              </w:rPr>
            </w:pPr>
            <w:r w:rsidRPr="00E30642">
              <w:rPr>
                <w:rFonts w:cs="Arial"/>
              </w:rPr>
              <w:t>v yhovující</w:t>
            </w:r>
          </w:p>
        </w:tc>
        <w:tc>
          <w:tcPr>
            <w:tcW w:w="1122" w:type="dxa"/>
            <w:tcBorders>
              <w:top w:val="single" w:sz="6" w:space="0" w:color="auto"/>
              <w:left w:val="single" w:sz="6" w:space="0" w:color="auto"/>
              <w:bottom w:val="single" w:sz="6" w:space="0" w:color="auto"/>
              <w:right w:val="single" w:sz="6" w:space="0" w:color="auto"/>
            </w:tcBorders>
          </w:tcPr>
          <w:p w14:paraId="201FFD66" w14:textId="77777777" w:rsidR="00CA23D0" w:rsidRPr="00E30642" w:rsidRDefault="00CA23D0" w:rsidP="00CA23D0">
            <w:pPr>
              <w:pStyle w:val="Texttabulky"/>
              <w:jc w:val="both"/>
              <w:rPr>
                <w:rFonts w:cs="Arial"/>
              </w:rPr>
            </w:pPr>
            <w:r w:rsidRPr="00E30642">
              <w:rPr>
                <w:rFonts w:cs="Arial"/>
                <w:sz w:val="18"/>
                <w:szCs w:val="18"/>
              </w:rPr>
              <w:t xml:space="preserve">220 </w:t>
            </w:r>
          </w:p>
        </w:tc>
        <w:tc>
          <w:tcPr>
            <w:tcW w:w="1046" w:type="dxa"/>
            <w:tcBorders>
              <w:top w:val="single" w:sz="6" w:space="0" w:color="auto"/>
              <w:left w:val="single" w:sz="6" w:space="0" w:color="auto"/>
              <w:bottom w:val="single" w:sz="6" w:space="0" w:color="auto"/>
              <w:right w:val="single" w:sz="6" w:space="0" w:color="auto"/>
            </w:tcBorders>
          </w:tcPr>
          <w:p w14:paraId="0648F113" w14:textId="77777777" w:rsidR="00CA23D0" w:rsidRPr="00E30642" w:rsidRDefault="00CA23D0" w:rsidP="00CA23D0">
            <w:pPr>
              <w:pStyle w:val="Texttabulky"/>
              <w:jc w:val="both"/>
              <w:rPr>
                <w:rFonts w:cs="Arial"/>
              </w:rPr>
            </w:pPr>
            <w:r w:rsidRPr="00E30642">
              <w:rPr>
                <w:rFonts w:cs="Arial"/>
                <w:sz w:val="18"/>
                <w:szCs w:val="18"/>
              </w:rPr>
              <w:t xml:space="preserve">100 </w:t>
            </w:r>
          </w:p>
        </w:tc>
        <w:tc>
          <w:tcPr>
            <w:tcW w:w="1950" w:type="dxa"/>
            <w:tcBorders>
              <w:top w:val="single" w:sz="6" w:space="0" w:color="auto"/>
              <w:left w:val="single" w:sz="6" w:space="0" w:color="auto"/>
              <w:bottom w:val="single" w:sz="6" w:space="0" w:color="auto"/>
              <w:right w:val="single" w:sz="6" w:space="0" w:color="auto"/>
            </w:tcBorders>
          </w:tcPr>
          <w:p w14:paraId="3755102A" w14:textId="77777777" w:rsidR="00CA23D0" w:rsidRPr="00E30642" w:rsidRDefault="00CA23D0" w:rsidP="00CA23D0">
            <w:pPr>
              <w:pStyle w:val="Texttabulky"/>
              <w:jc w:val="both"/>
              <w:rPr>
                <w:rFonts w:cs="Arial"/>
              </w:rPr>
            </w:pPr>
            <w:r w:rsidRPr="00E30642">
              <w:rPr>
                <w:rFonts w:cs="Arial"/>
                <w:sz w:val="18"/>
                <w:szCs w:val="18"/>
              </w:rPr>
              <w:t xml:space="preserve">840 </w:t>
            </w:r>
          </w:p>
        </w:tc>
      </w:tr>
      <w:tr w:rsidR="00CA23D0" w:rsidRPr="00E30642" w14:paraId="53046C06" w14:textId="77777777" w:rsidTr="00CA23D0">
        <w:trPr>
          <w:trHeight w:val="223"/>
        </w:trPr>
        <w:tc>
          <w:tcPr>
            <w:tcW w:w="2817" w:type="dxa"/>
            <w:tcBorders>
              <w:top w:val="single" w:sz="6" w:space="0" w:color="auto"/>
              <w:left w:val="single" w:sz="6" w:space="0" w:color="auto"/>
              <w:bottom w:val="single" w:sz="6" w:space="0" w:color="auto"/>
              <w:right w:val="single" w:sz="6" w:space="0" w:color="auto"/>
            </w:tcBorders>
          </w:tcPr>
          <w:p w14:paraId="73EC367B" w14:textId="77777777" w:rsidR="00CA23D0" w:rsidRPr="00E30642" w:rsidRDefault="00CA23D0" w:rsidP="00CA23D0">
            <w:pPr>
              <w:pStyle w:val="Texttabulky"/>
              <w:jc w:val="both"/>
              <w:rPr>
                <w:rFonts w:cs="Arial"/>
              </w:rPr>
            </w:pPr>
            <w:r w:rsidRPr="00E30642">
              <w:rPr>
                <w:rFonts w:cs="Arial"/>
                <w:sz w:val="18"/>
                <w:szCs w:val="18"/>
              </w:rPr>
              <w:t xml:space="preserve">zimní stadióny kryté </w:t>
            </w:r>
          </w:p>
        </w:tc>
        <w:tc>
          <w:tcPr>
            <w:tcW w:w="1782" w:type="dxa"/>
            <w:tcBorders>
              <w:top w:val="single" w:sz="6" w:space="0" w:color="auto"/>
              <w:left w:val="single" w:sz="6" w:space="0" w:color="auto"/>
              <w:bottom w:val="single" w:sz="6" w:space="0" w:color="auto"/>
              <w:right w:val="single" w:sz="6" w:space="0" w:color="auto"/>
            </w:tcBorders>
          </w:tcPr>
          <w:p w14:paraId="47F2F98E" w14:textId="77777777" w:rsidR="00CA23D0" w:rsidRPr="00E30642" w:rsidRDefault="00CA23D0" w:rsidP="00CA23D0">
            <w:pPr>
              <w:pStyle w:val="Texttabulky"/>
              <w:jc w:val="both"/>
              <w:rPr>
                <w:rFonts w:cs="Arial"/>
              </w:rPr>
            </w:pPr>
            <w:r w:rsidRPr="00E30642">
              <w:rPr>
                <w:rFonts w:cs="Arial"/>
              </w:rPr>
              <w:t>v yhovující</w:t>
            </w:r>
          </w:p>
        </w:tc>
        <w:tc>
          <w:tcPr>
            <w:tcW w:w="1122" w:type="dxa"/>
            <w:tcBorders>
              <w:top w:val="single" w:sz="6" w:space="0" w:color="auto"/>
              <w:left w:val="single" w:sz="6" w:space="0" w:color="auto"/>
              <w:bottom w:val="single" w:sz="6" w:space="0" w:color="auto"/>
              <w:right w:val="single" w:sz="6" w:space="0" w:color="auto"/>
            </w:tcBorders>
          </w:tcPr>
          <w:p w14:paraId="4F5C9394" w14:textId="77777777" w:rsidR="00CA23D0" w:rsidRPr="00E30642" w:rsidRDefault="00CA23D0" w:rsidP="00CA23D0">
            <w:pPr>
              <w:pStyle w:val="Texttabulky"/>
              <w:jc w:val="both"/>
              <w:rPr>
                <w:rFonts w:cs="Arial"/>
              </w:rPr>
            </w:pPr>
            <w:r w:rsidRPr="00E30642">
              <w:rPr>
                <w:rFonts w:cs="Arial"/>
                <w:sz w:val="18"/>
                <w:szCs w:val="18"/>
              </w:rPr>
              <w:t xml:space="preserve">1 800 </w:t>
            </w:r>
          </w:p>
        </w:tc>
        <w:tc>
          <w:tcPr>
            <w:tcW w:w="1046" w:type="dxa"/>
            <w:tcBorders>
              <w:top w:val="single" w:sz="6" w:space="0" w:color="auto"/>
              <w:left w:val="single" w:sz="6" w:space="0" w:color="auto"/>
              <w:bottom w:val="single" w:sz="6" w:space="0" w:color="auto"/>
              <w:right w:val="single" w:sz="6" w:space="0" w:color="auto"/>
            </w:tcBorders>
          </w:tcPr>
          <w:p w14:paraId="2D966A2F" w14:textId="77777777" w:rsidR="00CA23D0" w:rsidRPr="00E30642" w:rsidRDefault="00CA23D0" w:rsidP="00CA23D0">
            <w:pPr>
              <w:pStyle w:val="Texttabulky"/>
              <w:jc w:val="both"/>
              <w:rPr>
                <w:rFonts w:cs="Arial"/>
              </w:rPr>
            </w:pPr>
            <w:r w:rsidRPr="00E30642">
              <w:rPr>
                <w:rFonts w:cs="Arial"/>
                <w:sz w:val="18"/>
                <w:szCs w:val="18"/>
              </w:rPr>
              <w:t xml:space="preserve">1 800 </w:t>
            </w:r>
          </w:p>
        </w:tc>
        <w:tc>
          <w:tcPr>
            <w:tcW w:w="1950" w:type="dxa"/>
            <w:tcBorders>
              <w:top w:val="single" w:sz="6" w:space="0" w:color="auto"/>
              <w:left w:val="single" w:sz="6" w:space="0" w:color="auto"/>
              <w:bottom w:val="single" w:sz="6" w:space="0" w:color="auto"/>
              <w:right w:val="single" w:sz="6" w:space="0" w:color="auto"/>
            </w:tcBorders>
          </w:tcPr>
          <w:p w14:paraId="7E74699B" w14:textId="77777777" w:rsidR="00CA23D0" w:rsidRPr="00E30642" w:rsidRDefault="00CA23D0" w:rsidP="00CA23D0">
            <w:pPr>
              <w:pStyle w:val="Texttabulky"/>
              <w:jc w:val="both"/>
              <w:rPr>
                <w:rFonts w:cs="Arial"/>
              </w:rPr>
            </w:pPr>
            <w:r w:rsidRPr="00E30642">
              <w:rPr>
                <w:rFonts w:cs="Arial"/>
                <w:sz w:val="18"/>
                <w:szCs w:val="18"/>
              </w:rPr>
              <w:t>1 800</w:t>
            </w:r>
          </w:p>
        </w:tc>
      </w:tr>
      <w:tr w:rsidR="00CA23D0" w:rsidRPr="00E30642" w14:paraId="3B90186A" w14:textId="77777777" w:rsidTr="00CA23D0">
        <w:trPr>
          <w:trHeight w:val="237"/>
        </w:trPr>
        <w:tc>
          <w:tcPr>
            <w:tcW w:w="2817" w:type="dxa"/>
            <w:tcBorders>
              <w:top w:val="single" w:sz="6" w:space="0" w:color="auto"/>
              <w:left w:val="single" w:sz="6" w:space="0" w:color="auto"/>
              <w:bottom w:val="single" w:sz="6" w:space="0" w:color="auto"/>
              <w:right w:val="single" w:sz="6" w:space="0" w:color="auto"/>
            </w:tcBorders>
          </w:tcPr>
          <w:p w14:paraId="6BB100D0" w14:textId="77777777" w:rsidR="00CA23D0" w:rsidRPr="00E30642" w:rsidRDefault="00CA23D0" w:rsidP="00CA23D0">
            <w:pPr>
              <w:pStyle w:val="Texttabulky"/>
              <w:jc w:val="both"/>
              <w:rPr>
                <w:rFonts w:cs="Arial"/>
              </w:rPr>
            </w:pPr>
            <w:r w:rsidRPr="00E30642">
              <w:rPr>
                <w:rFonts w:cs="Arial"/>
                <w:sz w:val="18"/>
                <w:szCs w:val="18"/>
              </w:rPr>
              <w:t xml:space="preserve">zimní stadióny otevřené </w:t>
            </w:r>
          </w:p>
        </w:tc>
        <w:tc>
          <w:tcPr>
            <w:tcW w:w="1782" w:type="dxa"/>
            <w:tcBorders>
              <w:top w:val="single" w:sz="6" w:space="0" w:color="auto"/>
              <w:left w:val="single" w:sz="6" w:space="0" w:color="auto"/>
              <w:bottom w:val="single" w:sz="6" w:space="0" w:color="auto"/>
              <w:right w:val="single" w:sz="6" w:space="0" w:color="auto"/>
            </w:tcBorders>
          </w:tcPr>
          <w:p w14:paraId="00791537" w14:textId="77777777" w:rsidR="00CA23D0" w:rsidRPr="00E30642" w:rsidRDefault="00CA23D0" w:rsidP="00CA23D0">
            <w:pPr>
              <w:pStyle w:val="Texttabulky"/>
              <w:jc w:val="both"/>
              <w:rPr>
                <w:rFonts w:cs="Arial"/>
              </w:rPr>
            </w:pPr>
            <w:r w:rsidRPr="00E30642">
              <w:rPr>
                <w:rFonts w:cs="Arial"/>
              </w:rPr>
              <w:t>vyhovující</w:t>
            </w:r>
          </w:p>
        </w:tc>
        <w:tc>
          <w:tcPr>
            <w:tcW w:w="1122" w:type="dxa"/>
            <w:tcBorders>
              <w:top w:val="single" w:sz="6" w:space="0" w:color="auto"/>
              <w:left w:val="single" w:sz="6" w:space="0" w:color="auto"/>
              <w:bottom w:val="single" w:sz="6" w:space="0" w:color="auto"/>
              <w:right w:val="single" w:sz="6" w:space="0" w:color="auto"/>
            </w:tcBorders>
          </w:tcPr>
          <w:p w14:paraId="402F96F4" w14:textId="77777777" w:rsidR="00CA23D0" w:rsidRPr="00E30642" w:rsidRDefault="00CA23D0" w:rsidP="00CA23D0">
            <w:pPr>
              <w:pStyle w:val="Texttabulky"/>
              <w:jc w:val="both"/>
              <w:rPr>
                <w:rFonts w:cs="Arial"/>
              </w:rPr>
            </w:pPr>
            <w:r w:rsidRPr="00E30642">
              <w:rPr>
                <w:rFonts w:cs="Arial"/>
                <w:sz w:val="18"/>
                <w:szCs w:val="18"/>
              </w:rPr>
              <w:t xml:space="preserve">1 800 </w:t>
            </w:r>
          </w:p>
        </w:tc>
        <w:tc>
          <w:tcPr>
            <w:tcW w:w="1046" w:type="dxa"/>
            <w:tcBorders>
              <w:top w:val="single" w:sz="6" w:space="0" w:color="auto"/>
              <w:left w:val="single" w:sz="6" w:space="0" w:color="auto"/>
              <w:bottom w:val="single" w:sz="6" w:space="0" w:color="auto"/>
              <w:right w:val="single" w:sz="6" w:space="0" w:color="auto"/>
            </w:tcBorders>
          </w:tcPr>
          <w:p w14:paraId="7CBEDC6A"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1950" w:type="dxa"/>
            <w:tcBorders>
              <w:top w:val="single" w:sz="6" w:space="0" w:color="auto"/>
              <w:left w:val="single" w:sz="6" w:space="0" w:color="auto"/>
              <w:bottom w:val="single" w:sz="6" w:space="0" w:color="auto"/>
              <w:right w:val="single" w:sz="6" w:space="0" w:color="auto"/>
            </w:tcBorders>
          </w:tcPr>
          <w:p w14:paraId="411AC8A4" w14:textId="77777777" w:rsidR="00CA23D0" w:rsidRPr="00E30642" w:rsidRDefault="00CA23D0" w:rsidP="00CA23D0">
            <w:pPr>
              <w:pStyle w:val="Texttabulky"/>
              <w:jc w:val="both"/>
              <w:rPr>
                <w:rFonts w:cs="Arial"/>
              </w:rPr>
            </w:pPr>
            <w:r w:rsidRPr="00E30642">
              <w:rPr>
                <w:rFonts w:cs="Arial"/>
                <w:sz w:val="18"/>
                <w:szCs w:val="18"/>
              </w:rPr>
              <w:t xml:space="preserve">1 800 </w:t>
            </w:r>
          </w:p>
        </w:tc>
      </w:tr>
      <w:tr w:rsidR="00CA23D0" w:rsidRPr="00E30642" w14:paraId="2E2115E0" w14:textId="77777777" w:rsidTr="00CA23D0">
        <w:trPr>
          <w:trHeight w:val="237"/>
        </w:trPr>
        <w:tc>
          <w:tcPr>
            <w:tcW w:w="2817" w:type="dxa"/>
            <w:tcBorders>
              <w:top w:val="single" w:sz="6" w:space="0" w:color="auto"/>
              <w:left w:val="single" w:sz="6" w:space="0" w:color="auto"/>
              <w:bottom w:val="single" w:sz="6" w:space="0" w:color="auto"/>
              <w:right w:val="single" w:sz="6" w:space="0" w:color="auto"/>
            </w:tcBorders>
          </w:tcPr>
          <w:p w14:paraId="2205765F" w14:textId="77777777" w:rsidR="00CA23D0" w:rsidRPr="00E30642" w:rsidRDefault="00CA23D0" w:rsidP="00CA23D0">
            <w:pPr>
              <w:pStyle w:val="Texttabulky"/>
              <w:jc w:val="both"/>
              <w:rPr>
                <w:rFonts w:cs="Arial"/>
              </w:rPr>
            </w:pPr>
            <w:r w:rsidRPr="00E30642">
              <w:rPr>
                <w:rFonts w:cs="Arial"/>
                <w:sz w:val="18"/>
                <w:szCs w:val="18"/>
              </w:rPr>
              <w:t xml:space="preserve">loděnice </w:t>
            </w:r>
          </w:p>
        </w:tc>
        <w:tc>
          <w:tcPr>
            <w:tcW w:w="1782" w:type="dxa"/>
            <w:tcBorders>
              <w:top w:val="single" w:sz="6" w:space="0" w:color="auto"/>
              <w:left w:val="single" w:sz="6" w:space="0" w:color="auto"/>
              <w:bottom w:val="single" w:sz="6" w:space="0" w:color="auto"/>
              <w:right w:val="single" w:sz="6" w:space="0" w:color="auto"/>
            </w:tcBorders>
          </w:tcPr>
          <w:p w14:paraId="469AE883" w14:textId="77777777" w:rsidR="00CA23D0" w:rsidRPr="00E30642" w:rsidRDefault="00CA23D0" w:rsidP="00CA23D0">
            <w:pPr>
              <w:pStyle w:val="Texttabulky"/>
              <w:jc w:val="both"/>
              <w:rPr>
                <w:rFonts w:cs="Arial"/>
              </w:rPr>
            </w:pPr>
            <w:r w:rsidRPr="00E30642">
              <w:rPr>
                <w:rFonts w:cs="Arial"/>
              </w:rPr>
              <w:t>v yhovující</w:t>
            </w:r>
          </w:p>
        </w:tc>
        <w:tc>
          <w:tcPr>
            <w:tcW w:w="1122" w:type="dxa"/>
            <w:tcBorders>
              <w:top w:val="single" w:sz="6" w:space="0" w:color="auto"/>
              <w:left w:val="single" w:sz="6" w:space="0" w:color="auto"/>
              <w:bottom w:val="single" w:sz="6" w:space="0" w:color="auto"/>
              <w:right w:val="single" w:sz="6" w:space="0" w:color="auto"/>
            </w:tcBorders>
          </w:tcPr>
          <w:p w14:paraId="3FD6C6CD" w14:textId="77777777" w:rsidR="00CA23D0" w:rsidRPr="00E30642" w:rsidRDefault="00CA23D0" w:rsidP="00CA23D0">
            <w:pPr>
              <w:pStyle w:val="Texttabulky"/>
              <w:jc w:val="both"/>
              <w:rPr>
                <w:rFonts w:cs="Arial"/>
              </w:rPr>
            </w:pPr>
            <w:r w:rsidRPr="00E30642">
              <w:rPr>
                <w:rFonts w:cs="Arial"/>
                <w:sz w:val="18"/>
                <w:szCs w:val="18"/>
              </w:rPr>
              <w:t xml:space="preserve">1 166 </w:t>
            </w:r>
          </w:p>
        </w:tc>
        <w:tc>
          <w:tcPr>
            <w:tcW w:w="1046" w:type="dxa"/>
            <w:tcBorders>
              <w:top w:val="single" w:sz="6" w:space="0" w:color="auto"/>
              <w:left w:val="single" w:sz="6" w:space="0" w:color="auto"/>
              <w:bottom w:val="single" w:sz="6" w:space="0" w:color="auto"/>
              <w:right w:val="single" w:sz="6" w:space="0" w:color="auto"/>
            </w:tcBorders>
          </w:tcPr>
          <w:p w14:paraId="2D957ED1" w14:textId="77777777" w:rsidR="00CA23D0" w:rsidRPr="00E30642" w:rsidRDefault="00CA23D0" w:rsidP="00CA23D0">
            <w:pPr>
              <w:pStyle w:val="Texttabulky"/>
              <w:jc w:val="both"/>
              <w:rPr>
                <w:rFonts w:cs="Arial"/>
              </w:rPr>
            </w:pPr>
            <w:r w:rsidRPr="00E30642">
              <w:rPr>
                <w:rFonts w:cs="Arial"/>
                <w:sz w:val="18"/>
                <w:szCs w:val="18"/>
              </w:rPr>
              <w:t xml:space="preserve">960 </w:t>
            </w:r>
          </w:p>
        </w:tc>
        <w:tc>
          <w:tcPr>
            <w:tcW w:w="1950" w:type="dxa"/>
            <w:tcBorders>
              <w:top w:val="single" w:sz="6" w:space="0" w:color="auto"/>
              <w:left w:val="single" w:sz="6" w:space="0" w:color="auto"/>
              <w:bottom w:val="single" w:sz="6" w:space="0" w:color="auto"/>
              <w:right w:val="single" w:sz="6" w:space="0" w:color="auto"/>
            </w:tcBorders>
          </w:tcPr>
          <w:p w14:paraId="5B2ED152" w14:textId="77777777" w:rsidR="00CA23D0" w:rsidRPr="00E30642" w:rsidRDefault="00CA23D0" w:rsidP="00CA23D0">
            <w:pPr>
              <w:pStyle w:val="Texttabulky"/>
              <w:jc w:val="both"/>
              <w:rPr>
                <w:rFonts w:cs="Arial"/>
              </w:rPr>
            </w:pPr>
            <w:r w:rsidRPr="00E30642">
              <w:rPr>
                <w:rFonts w:cs="Arial"/>
                <w:sz w:val="18"/>
                <w:szCs w:val="18"/>
              </w:rPr>
              <w:t xml:space="preserve">1 100 </w:t>
            </w:r>
          </w:p>
        </w:tc>
      </w:tr>
      <w:tr w:rsidR="00CA23D0" w:rsidRPr="00E30642" w14:paraId="21E202C8" w14:textId="77777777" w:rsidTr="00CA23D0">
        <w:trPr>
          <w:trHeight w:val="237"/>
        </w:trPr>
        <w:tc>
          <w:tcPr>
            <w:tcW w:w="2817" w:type="dxa"/>
            <w:tcBorders>
              <w:top w:val="single" w:sz="6" w:space="0" w:color="auto"/>
              <w:left w:val="single" w:sz="6" w:space="0" w:color="auto"/>
              <w:bottom w:val="single" w:sz="6" w:space="0" w:color="auto"/>
              <w:right w:val="single" w:sz="6" w:space="0" w:color="auto"/>
            </w:tcBorders>
          </w:tcPr>
          <w:p w14:paraId="4650F91B" w14:textId="77777777" w:rsidR="00CA23D0" w:rsidRPr="00E30642" w:rsidRDefault="00CA23D0" w:rsidP="00CA23D0">
            <w:pPr>
              <w:pStyle w:val="Texttabulky"/>
              <w:jc w:val="both"/>
              <w:rPr>
                <w:rFonts w:cs="Arial"/>
              </w:rPr>
            </w:pPr>
            <w:r w:rsidRPr="00E30642">
              <w:rPr>
                <w:rFonts w:cs="Arial"/>
                <w:sz w:val="18"/>
                <w:szCs w:val="18"/>
              </w:rPr>
              <w:t xml:space="preserve">střelnice tunelové a otevřené </w:t>
            </w:r>
          </w:p>
        </w:tc>
        <w:tc>
          <w:tcPr>
            <w:tcW w:w="1782" w:type="dxa"/>
            <w:tcBorders>
              <w:top w:val="single" w:sz="6" w:space="0" w:color="auto"/>
              <w:left w:val="single" w:sz="6" w:space="0" w:color="auto"/>
              <w:bottom w:val="single" w:sz="6" w:space="0" w:color="auto"/>
              <w:right w:val="single" w:sz="6" w:space="0" w:color="auto"/>
            </w:tcBorders>
          </w:tcPr>
          <w:p w14:paraId="2B716CA2" w14:textId="77777777" w:rsidR="00CA23D0" w:rsidRPr="00E30642" w:rsidRDefault="00CA23D0" w:rsidP="00CA23D0">
            <w:pPr>
              <w:pStyle w:val="Texttabulky"/>
              <w:jc w:val="both"/>
              <w:rPr>
                <w:rFonts w:cs="Arial"/>
              </w:rPr>
            </w:pPr>
            <w:r w:rsidRPr="00E30642">
              <w:rPr>
                <w:rFonts w:cs="Arial"/>
              </w:rPr>
              <w:t>vyhovující</w:t>
            </w:r>
          </w:p>
        </w:tc>
        <w:tc>
          <w:tcPr>
            <w:tcW w:w="1122" w:type="dxa"/>
            <w:tcBorders>
              <w:top w:val="single" w:sz="6" w:space="0" w:color="auto"/>
              <w:left w:val="single" w:sz="6" w:space="0" w:color="auto"/>
              <w:bottom w:val="single" w:sz="6" w:space="0" w:color="auto"/>
              <w:right w:val="single" w:sz="6" w:space="0" w:color="auto"/>
            </w:tcBorders>
          </w:tcPr>
          <w:p w14:paraId="396144F0" w14:textId="77777777" w:rsidR="00CA23D0" w:rsidRPr="00E30642" w:rsidRDefault="00CA23D0" w:rsidP="00CA23D0">
            <w:pPr>
              <w:pStyle w:val="Texttabulky"/>
              <w:jc w:val="both"/>
              <w:rPr>
                <w:rFonts w:cs="Arial"/>
              </w:rPr>
            </w:pPr>
            <w:r w:rsidRPr="00E30642">
              <w:rPr>
                <w:rFonts w:cs="Arial"/>
                <w:sz w:val="18"/>
                <w:szCs w:val="18"/>
              </w:rPr>
              <w:t xml:space="preserve">7 600 </w:t>
            </w:r>
          </w:p>
        </w:tc>
        <w:tc>
          <w:tcPr>
            <w:tcW w:w="1046" w:type="dxa"/>
            <w:tcBorders>
              <w:top w:val="single" w:sz="6" w:space="0" w:color="auto"/>
              <w:left w:val="single" w:sz="6" w:space="0" w:color="auto"/>
              <w:bottom w:val="single" w:sz="6" w:space="0" w:color="auto"/>
              <w:right w:val="single" w:sz="6" w:space="0" w:color="auto"/>
            </w:tcBorders>
          </w:tcPr>
          <w:p w14:paraId="639E8CF8" w14:textId="77777777" w:rsidR="00CA23D0" w:rsidRPr="00E30642" w:rsidRDefault="00CA23D0" w:rsidP="00CA23D0">
            <w:pPr>
              <w:pStyle w:val="Texttabulky"/>
              <w:jc w:val="both"/>
              <w:rPr>
                <w:rFonts w:cs="Arial"/>
              </w:rPr>
            </w:pPr>
            <w:r w:rsidRPr="00E30642">
              <w:rPr>
                <w:rFonts w:cs="Arial"/>
                <w:sz w:val="18"/>
                <w:szCs w:val="18"/>
              </w:rPr>
              <w:t xml:space="preserve"> 8 000 </w:t>
            </w:r>
          </w:p>
        </w:tc>
        <w:tc>
          <w:tcPr>
            <w:tcW w:w="1950" w:type="dxa"/>
            <w:tcBorders>
              <w:top w:val="single" w:sz="6" w:space="0" w:color="auto"/>
              <w:left w:val="single" w:sz="6" w:space="0" w:color="auto"/>
              <w:bottom w:val="single" w:sz="6" w:space="0" w:color="auto"/>
              <w:right w:val="single" w:sz="6" w:space="0" w:color="auto"/>
            </w:tcBorders>
          </w:tcPr>
          <w:p w14:paraId="5492E181" w14:textId="77777777" w:rsidR="00CA23D0" w:rsidRPr="00E30642" w:rsidRDefault="00CA23D0" w:rsidP="00CA23D0">
            <w:pPr>
              <w:pStyle w:val="Texttabulky"/>
              <w:jc w:val="both"/>
              <w:rPr>
                <w:rFonts w:cs="Arial"/>
              </w:rPr>
            </w:pPr>
            <w:r w:rsidRPr="00E30642">
              <w:rPr>
                <w:rFonts w:cs="Arial"/>
                <w:sz w:val="18"/>
                <w:szCs w:val="18"/>
              </w:rPr>
              <w:t>8 000</w:t>
            </w:r>
          </w:p>
        </w:tc>
      </w:tr>
      <w:tr w:rsidR="00CA23D0" w:rsidRPr="00E30642" w14:paraId="072CCC9A" w14:textId="77777777" w:rsidTr="00CA23D0">
        <w:trPr>
          <w:trHeight w:val="223"/>
        </w:trPr>
        <w:tc>
          <w:tcPr>
            <w:tcW w:w="2817" w:type="dxa"/>
            <w:tcBorders>
              <w:top w:val="single" w:sz="6" w:space="0" w:color="auto"/>
              <w:left w:val="single" w:sz="6" w:space="0" w:color="auto"/>
              <w:bottom w:val="single" w:sz="6" w:space="0" w:color="auto"/>
              <w:right w:val="single" w:sz="6" w:space="0" w:color="auto"/>
            </w:tcBorders>
          </w:tcPr>
          <w:p w14:paraId="7691823A" w14:textId="77777777" w:rsidR="00CA23D0" w:rsidRPr="00E30642" w:rsidRDefault="00CA23D0" w:rsidP="00CA23D0">
            <w:pPr>
              <w:pStyle w:val="Texttabulky"/>
              <w:jc w:val="both"/>
              <w:rPr>
                <w:rFonts w:cs="Arial"/>
              </w:rPr>
            </w:pPr>
            <w:r w:rsidRPr="00E30642">
              <w:rPr>
                <w:rFonts w:cs="Arial"/>
                <w:sz w:val="18"/>
                <w:szCs w:val="18"/>
              </w:rPr>
              <w:t xml:space="preserve">lyžařské svahy a vleky </w:t>
            </w:r>
          </w:p>
        </w:tc>
        <w:tc>
          <w:tcPr>
            <w:tcW w:w="1782" w:type="dxa"/>
            <w:tcBorders>
              <w:top w:val="single" w:sz="6" w:space="0" w:color="auto"/>
              <w:left w:val="single" w:sz="6" w:space="0" w:color="auto"/>
              <w:bottom w:val="single" w:sz="6" w:space="0" w:color="auto"/>
              <w:right w:val="single" w:sz="6" w:space="0" w:color="auto"/>
            </w:tcBorders>
          </w:tcPr>
          <w:p w14:paraId="473DE787" w14:textId="77777777" w:rsidR="00CA23D0" w:rsidRPr="00E30642" w:rsidRDefault="00CA23D0" w:rsidP="00CA23D0">
            <w:pPr>
              <w:pStyle w:val="Texttabulky"/>
              <w:jc w:val="both"/>
              <w:rPr>
                <w:rFonts w:cs="Arial"/>
              </w:rPr>
            </w:pPr>
            <w:r w:rsidRPr="00E30642">
              <w:rPr>
                <w:rFonts w:cs="Arial"/>
              </w:rPr>
              <w:t>zrušeny</w:t>
            </w:r>
          </w:p>
        </w:tc>
        <w:tc>
          <w:tcPr>
            <w:tcW w:w="1122" w:type="dxa"/>
            <w:tcBorders>
              <w:top w:val="single" w:sz="6" w:space="0" w:color="auto"/>
              <w:left w:val="single" w:sz="6" w:space="0" w:color="auto"/>
              <w:bottom w:val="single" w:sz="6" w:space="0" w:color="auto"/>
              <w:right w:val="single" w:sz="6" w:space="0" w:color="auto"/>
            </w:tcBorders>
          </w:tcPr>
          <w:p w14:paraId="2CE7F4A5" w14:textId="77777777" w:rsidR="00CA23D0" w:rsidRPr="00E30642" w:rsidRDefault="00CA23D0" w:rsidP="00CA23D0">
            <w:pPr>
              <w:pStyle w:val="Texttabulky"/>
              <w:jc w:val="both"/>
              <w:rPr>
                <w:rFonts w:cs="Arial"/>
              </w:rPr>
            </w:pPr>
            <w:r w:rsidRPr="00E30642">
              <w:rPr>
                <w:rFonts w:cs="Arial"/>
                <w:sz w:val="18"/>
                <w:szCs w:val="18"/>
              </w:rPr>
              <w:t xml:space="preserve">6 600 </w:t>
            </w:r>
          </w:p>
        </w:tc>
        <w:tc>
          <w:tcPr>
            <w:tcW w:w="1046" w:type="dxa"/>
            <w:tcBorders>
              <w:top w:val="single" w:sz="6" w:space="0" w:color="auto"/>
              <w:left w:val="single" w:sz="6" w:space="0" w:color="auto"/>
              <w:bottom w:val="single" w:sz="6" w:space="0" w:color="auto"/>
              <w:right w:val="single" w:sz="6" w:space="0" w:color="auto"/>
            </w:tcBorders>
          </w:tcPr>
          <w:p w14:paraId="59A1262C" w14:textId="77777777" w:rsidR="00CA23D0" w:rsidRPr="00E30642" w:rsidRDefault="00CA23D0" w:rsidP="00CA23D0">
            <w:pPr>
              <w:pStyle w:val="Texttabulky"/>
              <w:jc w:val="both"/>
              <w:rPr>
                <w:rFonts w:cs="Arial"/>
              </w:rPr>
            </w:pPr>
            <w:r w:rsidRPr="00E30642">
              <w:rPr>
                <w:rFonts w:cs="Arial"/>
                <w:sz w:val="18"/>
                <w:szCs w:val="18"/>
              </w:rPr>
              <w:t xml:space="preserve">0 </w:t>
            </w:r>
          </w:p>
        </w:tc>
        <w:tc>
          <w:tcPr>
            <w:tcW w:w="1950" w:type="dxa"/>
            <w:tcBorders>
              <w:top w:val="single" w:sz="6" w:space="0" w:color="auto"/>
              <w:left w:val="single" w:sz="6" w:space="0" w:color="auto"/>
              <w:bottom w:val="single" w:sz="6" w:space="0" w:color="auto"/>
              <w:right w:val="single" w:sz="6" w:space="0" w:color="auto"/>
            </w:tcBorders>
          </w:tcPr>
          <w:p w14:paraId="164243B9" w14:textId="77777777" w:rsidR="00CA23D0" w:rsidRPr="00E30642" w:rsidRDefault="00CA23D0" w:rsidP="00CA23D0">
            <w:pPr>
              <w:pStyle w:val="Texttabulky"/>
              <w:jc w:val="both"/>
              <w:rPr>
                <w:rFonts w:cs="Arial"/>
              </w:rPr>
            </w:pPr>
            <w:r w:rsidRPr="00E30642">
              <w:rPr>
                <w:rFonts w:cs="Arial"/>
                <w:sz w:val="18"/>
                <w:szCs w:val="18"/>
              </w:rPr>
              <w:t>0</w:t>
            </w:r>
          </w:p>
        </w:tc>
      </w:tr>
      <w:tr w:rsidR="00CA23D0" w:rsidRPr="00E30642" w14:paraId="12C66676" w14:textId="77777777" w:rsidTr="00CA23D0">
        <w:trPr>
          <w:trHeight w:val="210"/>
        </w:trPr>
        <w:tc>
          <w:tcPr>
            <w:tcW w:w="2817" w:type="dxa"/>
            <w:tcBorders>
              <w:top w:val="single" w:sz="6" w:space="0" w:color="auto"/>
              <w:left w:val="single" w:sz="6" w:space="0" w:color="auto"/>
              <w:bottom w:val="single" w:sz="6" w:space="0" w:color="auto"/>
              <w:right w:val="single" w:sz="6" w:space="0" w:color="auto"/>
            </w:tcBorders>
          </w:tcPr>
          <w:p w14:paraId="5CB1F2DB" w14:textId="77777777" w:rsidR="00CA23D0" w:rsidRPr="00E30642" w:rsidRDefault="00CA23D0" w:rsidP="00CA23D0">
            <w:pPr>
              <w:pStyle w:val="Texttabulky"/>
              <w:jc w:val="both"/>
              <w:rPr>
                <w:rFonts w:cs="Arial"/>
              </w:rPr>
            </w:pPr>
            <w:r w:rsidRPr="00E30642">
              <w:rPr>
                <w:rFonts w:cs="Arial"/>
              </w:rPr>
              <w:t>cyklotrial, bicros</w:t>
            </w:r>
          </w:p>
        </w:tc>
        <w:tc>
          <w:tcPr>
            <w:tcW w:w="1782" w:type="dxa"/>
            <w:tcBorders>
              <w:top w:val="single" w:sz="6" w:space="0" w:color="auto"/>
              <w:left w:val="single" w:sz="6" w:space="0" w:color="auto"/>
              <w:bottom w:val="single" w:sz="6" w:space="0" w:color="auto"/>
              <w:right w:val="single" w:sz="6" w:space="0" w:color="auto"/>
            </w:tcBorders>
          </w:tcPr>
          <w:p w14:paraId="31BE9D44" w14:textId="77777777" w:rsidR="00CA23D0" w:rsidRPr="00E30642" w:rsidRDefault="00CA23D0" w:rsidP="00CA23D0">
            <w:pPr>
              <w:pStyle w:val="Texttabulky"/>
              <w:jc w:val="both"/>
              <w:rPr>
                <w:rFonts w:cs="Arial"/>
              </w:rPr>
            </w:pPr>
            <w:r w:rsidRPr="00E30642">
              <w:rPr>
                <w:rFonts w:cs="Arial"/>
              </w:rPr>
              <w:t>vyhovující</w:t>
            </w:r>
          </w:p>
        </w:tc>
        <w:tc>
          <w:tcPr>
            <w:tcW w:w="1122" w:type="dxa"/>
            <w:tcBorders>
              <w:top w:val="single" w:sz="6" w:space="0" w:color="auto"/>
              <w:left w:val="single" w:sz="6" w:space="0" w:color="auto"/>
              <w:bottom w:val="single" w:sz="6" w:space="0" w:color="auto"/>
              <w:right w:val="single" w:sz="6" w:space="0" w:color="auto"/>
            </w:tcBorders>
          </w:tcPr>
          <w:p w14:paraId="78A40E25" w14:textId="77777777" w:rsidR="00CA23D0" w:rsidRPr="00E30642" w:rsidRDefault="00CA23D0" w:rsidP="00CA23D0">
            <w:pPr>
              <w:pStyle w:val="Texttabulky"/>
              <w:jc w:val="both"/>
              <w:rPr>
                <w:rFonts w:cs="Arial"/>
              </w:rPr>
            </w:pPr>
            <w:r w:rsidRPr="00E30642">
              <w:rPr>
                <w:rFonts w:cs="Arial"/>
              </w:rPr>
              <w:t xml:space="preserve">11 500 </w:t>
            </w:r>
          </w:p>
        </w:tc>
        <w:tc>
          <w:tcPr>
            <w:tcW w:w="1046" w:type="dxa"/>
            <w:tcBorders>
              <w:top w:val="single" w:sz="6" w:space="0" w:color="auto"/>
              <w:left w:val="single" w:sz="6" w:space="0" w:color="auto"/>
              <w:bottom w:val="single" w:sz="6" w:space="0" w:color="auto"/>
              <w:right w:val="single" w:sz="6" w:space="0" w:color="auto"/>
            </w:tcBorders>
          </w:tcPr>
          <w:p w14:paraId="48BF967B" w14:textId="77777777" w:rsidR="00CA23D0" w:rsidRPr="00E30642" w:rsidRDefault="00CA23D0" w:rsidP="00CA23D0">
            <w:pPr>
              <w:pStyle w:val="Texttabulky"/>
              <w:jc w:val="both"/>
              <w:rPr>
                <w:rFonts w:cs="Arial"/>
              </w:rPr>
            </w:pPr>
            <w:r w:rsidRPr="00E30642">
              <w:rPr>
                <w:rFonts w:cs="Arial"/>
              </w:rPr>
              <w:t>10 000</w:t>
            </w:r>
          </w:p>
        </w:tc>
        <w:tc>
          <w:tcPr>
            <w:tcW w:w="1950" w:type="dxa"/>
            <w:tcBorders>
              <w:top w:val="single" w:sz="6" w:space="0" w:color="auto"/>
              <w:left w:val="single" w:sz="6" w:space="0" w:color="auto"/>
              <w:bottom w:val="single" w:sz="6" w:space="0" w:color="auto"/>
              <w:right w:val="single" w:sz="6" w:space="0" w:color="auto"/>
            </w:tcBorders>
          </w:tcPr>
          <w:p w14:paraId="78FCBC08" w14:textId="77777777" w:rsidR="00CA23D0" w:rsidRPr="00E30642" w:rsidRDefault="00CA23D0" w:rsidP="00CA23D0">
            <w:pPr>
              <w:pStyle w:val="Texttabulky"/>
              <w:jc w:val="both"/>
              <w:rPr>
                <w:rFonts w:cs="Arial"/>
              </w:rPr>
            </w:pPr>
            <w:r w:rsidRPr="00E30642">
              <w:rPr>
                <w:rFonts w:cs="Arial"/>
              </w:rPr>
              <w:t xml:space="preserve">1 0 000 </w:t>
            </w:r>
          </w:p>
        </w:tc>
      </w:tr>
      <w:tr w:rsidR="00CA23D0" w:rsidRPr="00E30642" w14:paraId="0529C4FB" w14:textId="77777777" w:rsidTr="00CA23D0">
        <w:trPr>
          <w:trHeight w:val="210"/>
        </w:trPr>
        <w:tc>
          <w:tcPr>
            <w:tcW w:w="2817" w:type="dxa"/>
            <w:tcBorders>
              <w:top w:val="single" w:sz="6" w:space="0" w:color="auto"/>
              <w:left w:val="single" w:sz="6" w:space="0" w:color="auto"/>
              <w:bottom w:val="single" w:sz="6" w:space="0" w:color="auto"/>
              <w:right w:val="single" w:sz="6" w:space="0" w:color="auto"/>
            </w:tcBorders>
          </w:tcPr>
          <w:p w14:paraId="6055718A" w14:textId="77777777" w:rsidR="00CA23D0" w:rsidRPr="00E30642" w:rsidRDefault="00CA23D0" w:rsidP="00CA23D0">
            <w:pPr>
              <w:pStyle w:val="Texttabulky"/>
              <w:jc w:val="both"/>
              <w:rPr>
                <w:rFonts w:cs="Arial"/>
              </w:rPr>
            </w:pPr>
            <w:r w:rsidRPr="00E30642">
              <w:rPr>
                <w:rFonts w:cs="Arial"/>
              </w:rPr>
              <w:t xml:space="preserve">školní zařízení - hřiště, tělocvičny </w:t>
            </w:r>
          </w:p>
        </w:tc>
        <w:tc>
          <w:tcPr>
            <w:tcW w:w="1782" w:type="dxa"/>
            <w:tcBorders>
              <w:top w:val="single" w:sz="6" w:space="0" w:color="auto"/>
              <w:left w:val="single" w:sz="6" w:space="0" w:color="auto"/>
              <w:bottom w:val="single" w:sz="6" w:space="0" w:color="auto"/>
              <w:right w:val="single" w:sz="6" w:space="0" w:color="auto"/>
            </w:tcBorders>
          </w:tcPr>
          <w:p w14:paraId="48F1AF92" w14:textId="77777777" w:rsidR="00CA23D0" w:rsidRPr="00E30642" w:rsidRDefault="00CA23D0" w:rsidP="00CA23D0">
            <w:pPr>
              <w:pStyle w:val="Texttabulky"/>
              <w:jc w:val="both"/>
              <w:rPr>
                <w:rFonts w:cs="Arial"/>
              </w:rPr>
            </w:pPr>
            <w:r w:rsidRPr="00E30642">
              <w:rPr>
                <w:rFonts w:cs="Arial"/>
              </w:rPr>
              <w:t>nevyhovující</w:t>
            </w:r>
          </w:p>
        </w:tc>
        <w:tc>
          <w:tcPr>
            <w:tcW w:w="1122" w:type="dxa"/>
            <w:tcBorders>
              <w:top w:val="single" w:sz="6" w:space="0" w:color="auto"/>
              <w:left w:val="single" w:sz="6" w:space="0" w:color="auto"/>
              <w:bottom w:val="single" w:sz="6" w:space="0" w:color="auto"/>
              <w:right w:val="single" w:sz="6" w:space="0" w:color="auto"/>
            </w:tcBorders>
          </w:tcPr>
          <w:p w14:paraId="7AE95837" w14:textId="77777777" w:rsidR="00CA23D0" w:rsidRPr="00E30642" w:rsidRDefault="00CA23D0" w:rsidP="00CA23D0">
            <w:pPr>
              <w:pStyle w:val="Texttabulky"/>
              <w:jc w:val="both"/>
              <w:rPr>
                <w:rFonts w:cs="Arial"/>
              </w:rPr>
            </w:pPr>
            <w:r w:rsidRPr="00E30642">
              <w:rPr>
                <w:rFonts w:cs="Arial"/>
              </w:rPr>
              <w:t>44 500</w:t>
            </w:r>
          </w:p>
        </w:tc>
        <w:tc>
          <w:tcPr>
            <w:tcW w:w="1046" w:type="dxa"/>
            <w:tcBorders>
              <w:top w:val="single" w:sz="6" w:space="0" w:color="auto"/>
              <w:left w:val="single" w:sz="6" w:space="0" w:color="auto"/>
              <w:bottom w:val="single" w:sz="6" w:space="0" w:color="auto"/>
              <w:right w:val="single" w:sz="6" w:space="0" w:color="auto"/>
            </w:tcBorders>
          </w:tcPr>
          <w:p w14:paraId="64EA3090" w14:textId="77777777" w:rsidR="00CA23D0" w:rsidRPr="00E30642" w:rsidRDefault="00CA23D0" w:rsidP="00CA23D0">
            <w:pPr>
              <w:pStyle w:val="Texttabulky"/>
              <w:jc w:val="both"/>
              <w:rPr>
                <w:rFonts w:cs="Arial"/>
              </w:rPr>
            </w:pPr>
            <w:r w:rsidRPr="00E30642">
              <w:rPr>
                <w:rFonts w:cs="Arial"/>
              </w:rPr>
              <w:t xml:space="preserve">44 500 </w:t>
            </w:r>
          </w:p>
        </w:tc>
        <w:tc>
          <w:tcPr>
            <w:tcW w:w="1950" w:type="dxa"/>
            <w:tcBorders>
              <w:top w:val="single" w:sz="6" w:space="0" w:color="auto"/>
              <w:left w:val="single" w:sz="6" w:space="0" w:color="auto"/>
              <w:bottom w:val="single" w:sz="6" w:space="0" w:color="auto"/>
              <w:right w:val="single" w:sz="6" w:space="0" w:color="auto"/>
            </w:tcBorders>
          </w:tcPr>
          <w:p w14:paraId="0755E473" w14:textId="77777777" w:rsidR="00CA23D0" w:rsidRPr="00E30642" w:rsidRDefault="00CA23D0" w:rsidP="00CA23D0">
            <w:pPr>
              <w:pStyle w:val="Texttabulky"/>
              <w:jc w:val="both"/>
              <w:rPr>
                <w:rFonts w:cs="Arial"/>
              </w:rPr>
            </w:pPr>
            <w:r w:rsidRPr="00E30642">
              <w:rPr>
                <w:rFonts w:cs="Arial"/>
              </w:rPr>
              <w:t xml:space="preserve">78 800 </w:t>
            </w:r>
          </w:p>
        </w:tc>
      </w:tr>
    </w:tbl>
    <w:p w14:paraId="2E768350" w14:textId="77777777" w:rsidR="00CA23D0" w:rsidRPr="00E30642" w:rsidRDefault="00CA23D0" w:rsidP="00CA23D0">
      <w:pPr>
        <w:pStyle w:val="Zkladntext"/>
        <w:jc w:val="both"/>
        <w:rPr>
          <w:rFonts w:ascii="Arial" w:hAnsi="Arial" w:cs="Arial"/>
          <w:b/>
          <w:bCs/>
          <w:caps/>
        </w:rPr>
      </w:pPr>
    </w:p>
    <w:p w14:paraId="13985B66" w14:textId="77777777" w:rsidR="00D3579D" w:rsidRDefault="00D3579D" w:rsidP="00CA23D0">
      <w:pPr>
        <w:pStyle w:val="Zkladntext"/>
        <w:jc w:val="both"/>
        <w:rPr>
          <w:rFonts w:ascii="Arial" w:hAnsi="Arial" w:cs="Arial"/>
          <w:b/>
          <w:bCs/>
          <w:caps/>
        </w:rPr>
      </w:pPr>
    </w:p>
    <w:p w14:paraId="56F70888" w14:textId="77777777" w:rsidR="00D3579D" w:rsidRDefault="00D3579D" w:rsidP="00CA23D0">
      <w:pPr>
        <w:pStyle w:val="Zkladntext"/>
        <w:jc w:val="both"/>
        <w:rPr>
          <w:rFonts w:ascii="Arial" w:hAnsi="Arial" w:cs="Arial"/>
          <w:b/>
          <w:bCs/>
          <w:caps/>
        </w:rPr>
      </w:pPr>
    </w:p>
    <w:p w14:paraId="5E0F3740" w14:textId="77777777" w:rsidR="00D3579D" w:rsidRDefault="00D3579D" w:rsidP="00CA23D0">
      <w:pPr>
        <w:pStyle w:val="Zkladntext"/>
        <w:jc w:val="both"/>
        <w:rPr>
          <w:rFonts w:ascii="Arial" w:hAnsi="Arial" w:cs="Arial"/>
          <w:b/>
          <w:bCs/>
          <w:caps/>
        </w:rPr>
      </w:pPr>
    </w:p>
    <w:p w14:paraId="08C77708" w14:textId="77777777" w:rsidR="00D3579D" w:rsidRDefault="00D3579D" w:rsidP="00CA23D0">
      <w:pPr>
        <w:pStyle w:val="Zkladntext"/>
        <w:jc w:val="both"/>
        <w:rPr>
          <w:rFonts w:ascii="Arial" w:hAnsi="Arial" w:cs="Arial"/>
          <w:b/>
          <w:bCs/>
          <w:caps/>
        </w:rPr>
      </w:pPr>
    </w:p>
    <w:p w14:paraId="672E2D25" w14:textId="77777777" w:rsidR="00D3579D" w:rsidRDefault="00D3579D" w:rsidP="00CA23D0">
      <w:pPr>
        <w:pStyle w:val="Zkladntext"/>
        <w:jc w:val="both"/>
        <w:rPr>
          <w:rFonts w:ascii="Arial" w:hAnsi="Arial" w:cs="Arial"/>
          <w:b/>
          <w:bCs/>
          <w:caps/>
        </w:rPr>
      </w:pPr>
    </w:p>
    <w:p w14:paraId="7186C9F7" w14:textId="77777777" w:rsidR="00D3579D" w:rsidRDefault="00D3579D" w:rsidP="00CA23D0">
      <w:pPr>
        <w:pStyle w:val="Zkladntext"/>
        <w:jc w:val="both"/>
        <w:rPr>
          <w:rFonts w:ascii="Arial" w:hAnsi="Arial" w:cs="Arial"/>
          <w:b/>
          <w:bCs/>
          <w:caps/>
        </w:rPr>
      </w:pPr>
    </w:p>
    <w:p w14:paraId="5AFF0DA7" w14:textId="77777777" w:rsidR="00D3579D" w:rsidRDefault="00D3579D" w:rsidP="00CA23D0">
      <w:pPr>
        <w:pStyle w:val="Zkladntext"/>
        <w:jc w:val="both"/>
        <w:rPr>
          <w:rFonts w:ascii="Arial" w:hAnsi="Arial" w:cs="Arial"/>
          <w:b/>
          <w:bCs/>
          <w:caps/>
        </w:rPr>
      </w:pPr>
    </w:p>
    <w:p w14:paraId="05BBA281" w14:textId="77777777" w:rsidR="00D3579D" w:rsidRDefault="00D3579D" w:rsidP="00CA23D0">
      <w:pPr>
        <w:pStyle w:val="Zkladntext"/>
        <w:jc w:val="both"/>
        <w:rPr>
          <w:rFonts w:ascii="Arial" w:hAnsi="Arial" w:cs="Arial"/>
          <w:b/>
          <w:bCs/>
          <w:caps/>
        </w:rPr>
      </w:pPr>
      <w:r>
        <w:rPr>
          <w:rFonts w:ascii="Arial" w:hAnsi="Arial" w:cs="Arial"/>
          <w:b/>
          <w:bCs/>
          <w:caps/>
        </w:rPr>
        <w:t xml:space="preserve"> </w:t>
      </w:r>
    </w:p>
    <w:p w14:paraId="0A55D262" w14:textId="77777777" w:rsidR="00D3579D" w:rsidRDefault="00D3579D" w:rsidP="00D3579D">
      <w:pPr>
        <w:pStyle w:val="Zkladntext"/>
        <w:ind w:firstLine="708"/>
        <w:jc w:val="both"/>
        <w:rPr>
          <w:rFonts w:ascii="Arial" w:hAnsi="Arial" w:cs="Arial"/>
          <w:b/>
          <w:bCs/>
          <w:caps/>
        </w:rPr>
      </w:pPr>
    </w:p>
    <w:p w14:paraId="1974B0D4" w14:textId="77777777" w:rsidR="00CA23D0" w:rsidRPr="00E30642" w:rsidRDefault="00CA23D0" w:rsidP="00D3579D">
      <w:pPr>
        <w:pStyle w:val="Zkladntext"/>
        <w:ind w:firstLine="708"/>
        <w:jc w:val="both"/>
        <w:rPr>
          <w:rFonts w:ascii="Arial" w:hAnsi="Arial" w:cs="Arial"/>
        </w:rPr>
      </w:pPr>
      <w:r w:rsidRPr="00E30642">
        <w:rPr>
          <w:rFonts w:ascii="Arial" w:hAnsi="Arial" w:cs="Arial"/>
          <w:b/>
          <w:bCs/>
          <w:caps/>
        </w:rPr>
        <w:t>Návrh opatření, doporučení</w:t>
      </w:r>
    </w:p>
    <w:p w14:paraId="2CB0637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Zachovat rozsah všech zařízení, málo funkční rekonstruovat a modernizovat a umožnit jejich využití i široké veřejnosti města. Za hlavní prostory tělovýchovy a sportu považovat areály na obou březích Labe (kopaná, tenis, lehká atletika, plavání, vodní sporty, rekreační sport "sport pro všechny").</w:t>
      </w:r>
    </w:p>
    <w:p w14:paraId="05E4E41D" w14:textId="77777777" w:rsidR="00CA23D0" w:rsidRPr="00E30642" w:rsidRDefault="00CA23D0" w:rsidP="00CA23D0">
      <w:pPr>
        <w:pStyle w:val="dka"/>
        <w:jc w:val="both"/>
        <w:rPr>
          <w:rFonts w:cs="Arial"/>
        </w:rPr>
      </w:pPr>
    </w:p>
    <w:p w14:paraId="390FE721" w14:textId="77777777" w:rsidR="00CA23D0" w:rsidRDefault="00CA23D0" w:rsidP="00D3579D">
      <w:pPr>
        <w:pStyle w:val="Zkladntext"/>
        <w:ind w:firstLine="708"/>
        <w:jc w:val="both"/>
        <w:rPr>
          <w:rFonts w:ascii="Arial" w:hAnsi="Arial" w:cs="Arial"/>
          <w:b/>
          <w:bCs/>
          <w:sz w:val="22"/>
          <w:szCs w:val="22"/>
        </w:rPr>
      </w:pPr>
      <w:r w:rsidRPr="00E30642">
        <w:rPr>
          <w:rFonts w:ascii="Arial" w:hAnsi="Arial" w:cs="Arial"/>
          <w:b/>
          <w:bCs/>
          <w:sz w:val="22"/>
          <w:szCs w:val="22"/>
        </w:rPr>
        <w:t>Novou výstavbou rekreačně-sportovních areálů založit systém obvodových sportovních center, doplněné o plochy lesoparků:</w:t>
      </w:r>
    </w:p>
    <w:p w14:paraId="3222B87A" w14:textId="77777777" w:rsidR="00D3579D" w:rsidRPr="00E30642" w:rsidRDefault="00D3579D" w:rsidP="00D3579D">
      <w:pPr>
        <w:pStyle w:val="Zkladntext"/>
        <w:ind w:firstLine="708"/>
        <w:jc w:val="both"/>
        <w:rPr>
          <w:rFonts w:ascii="Arial" w:hAnsi="Arial" w:cs="Arial"/>
          <w:sz w:val="22"/>
          <w:szCs w:val="22"/>
        </w:rPr>
      </w:pPr>
    </w:p>
    <w:p w14:paraId="790BF1D7" w14:textId="77777777" w:rsidR="00CA23D0" w:rsidRDefault="00CA23D0" w:rsidP="006031D6">
      <w:pPr>
        <w:pStyle w:val="Znaka"/>
        <w:numPr>
          <w:ilvl w:val="1"/>
          <w:numId w:val="24"/>
        </w:numPr>
        <w:spacing w:before="120" w:after="0" w:line="288" w:lineRule="auto"/>
        <w:ind w:left="426"/>
        <w:jc w:val="both"/>
        <w:rPr>
          <w:rFonts w:cs="Arial"/>
        </w:rPr>
      </w:pPr>
      <w:r w:rsidRPr="00E30642">
        <w:rPr>
          <w:rFonts w:cs="Arial"/>
        </w:rPr>
        <w:t>u Terezínského rybníka lokalita IV/17 (víceúčelové hřiště 2400 m</w:t>
      </w:r>
      <w:r w:rsidRPr="00E30642">
        <w:rPr>
          <w:rFonts w:cs="Arial"/>
          <w:vertAlign w:val="superscript"/>
        </w:rPr>
        <w:t>2</w:t>
      </w:r>
      <w:r w:rsidRPr="00E30642">
        <w:rPr>
          <w:rFonts w:cs="Arial"/>
        </w:rPr>
        <w:t>, tenis 2400 m</w:t>
      </w:r>
      <w:r w:rsidRPr="00E30642">
        <w:rPr>
          <w:rFonts w:cs="Arial"/>
          <w:vertAlign w:val="superscript"/>
        </w:rPr>
        <w:t>2</w:t>
      </w:r>
      <w:r w:rsidRPr="00E30642">
        <w:rPr>
          <w:rFonts w:cs="Arial"/>
        </w:rPr>
        <w:t>, tělocvična - hala Jitřenky);</w:t>
      </w:r>
    </w:p>
    <w:p w14:paraId="5A49B6EC" w14:textId="77777777" w:rsidR="00D3579D" w:rsidRPr="00E30642" w:rsidRDefault="00D3579D" w:rsidP="00D3579D">
      <w:pPr>
        <w:pStyle w:val="Znaka"/>
        <w:spacing w:before="120" w:after="0" w:line="288" w:lineRule="auto"/>
        <w:ind w:left="426"/>
        <w:jc w:val="both"/>
        <w:rPr>
          <w:rFonts w:cs="Arial"/>
        </w:rPr>
      </w:pPr>
    </w:p>
    <w:p w14:paraId="58FB5246" w14:textId="77777777" w:rsidR="00CA23D0" w:rsidRDefault="00CA23D0" w:rsidP="006031D6">
      <w:pPr>
        <w:pStyle w:val="Znaka"/>
        <w:numPr>
          <w:ilvl w:val="1"/>
          <w:numId w:val="24"/>
        </w:numPr>
        <w:spacing w:before="120" w:after="0" w:line="288" w:lineRule="auto"/>
        <w:ind w:left="426"/>
        <w:jc w:val="both"/>
        <w:rPr>
          <w:rFonts w:cs="Arial"/>
        </w:rPr>
      </w:pPr>
      <w:r w:rsidRPr="00E30642">
        <w:rPr>
          <w:rFonts w:cs="Arial"/>
        </w:rPr>
        <w:t>na Folknářích lokalita VI/30 (víceúčelové hřiště 2400 m</w:t>
      </w:r>
      <w:r w:rsidRPr="00E30642">
        <w:rPr>
          <w:rFonts w:cs="Arial"/>
          <w:vertAlign w:val="superscript"/>
        </w:rPr>
        <w:t>2</w:t>
      </w:r>
      <w:r w:rsidRPr="00E30642">
        <w:rPr>
          <w:rFonts w:cs="Arial"/>
        </w:rPr>
        <w:t>, tenis 2400 m</w:t>
      </w:r>
      <w:r w:rsidRPr="00E30642">
        <w:rPr>
          <w:rFonts w:cs="Arial"/>
          <w:vertAlign w:val="superscript"/>
        </w:rPr>
        <w:t>2</w:t>
      </w:r>
      <w:r w:rsidRPr="00E30642">
        <w:rPr>
          <w:rFonts w:cs="Arial"/>
        </w:rPr>
        <w:t>, rekr. louka, dětské hřiště a pod.)  a lokalita VI/8 "Cihelna" (včetně trvalého bydlení);</w:t>
      </w:r>
    </w:p>
    <w:p w14:paraId="3C903FC4" w14:textId="77777777" w:rsidR="00D3579D" w:rsidRPr="00E30642" w:rsidRDefault="00D3579D" w:rsidP="00D3579D">
      <w:pPr>
        <w:pStyle w:val="Znaka"/>
        <w:spacing w:before="120" w:after="0" w:line="288" w:lineRule="auto"/>
        <w:ind w:left="426"/>
        <w:jc w:val="both"/>
        <w:rPr>
          <w:rFonts w:cs="Arial"/>
        </w:rPr>
      </w:pPr>
    </w:p>
    <w:p w14:paraId="04EB111B" w14:textId="77777777" w:rsidR="00CA23D0" w:rsidRDefault="00CA23D0" w:rsidP="006031D6">
      <w:pPr>
        <w:pStyle w:val="Znaka"/>
        <w:numPr>
          <w:ilvl w:val="1"/>
          <w:numId w:val="24"/>
        </w:numPr>
        <w:spacing w:before="120" w:after="0" w:line="288" w:lineRule="auto"/>
        <w:ind w:left="426"/>
        <w:jc w:val="both"/>
        <w:rPr>
          <w:rFonts w:cs="Arial"/>
        </w:rPr>
      </w:pPr>
      <w:r w:rsidRPr="00E30642">
        <w:rPr>
          <w:rFonts w:cs="Arial"/>
        </w:rPr>
        <w:t>v prostoru Bažantnice - U kaple  (tenis, hřiště, dět. hřiště);</w:t>
      </w:r>
    </w:p>
    <w:p w14:paraId="48FBF68D" w14:textId="77777777" w:rsidR="00D3579D" w:rsidRPr="00E30642" w:rsidRDefault="00D3579D" w:rsidP="00D3579D">
      <w:pPr>
        <w:pStyle w:val="Znaka"/>
        <w:spacing w:before="120" w:after="0" w:line="288" w:lineRule="auto"/>
        <w:ind w:left="426"/>
        <w:jc w:val="both"/>
        <w:rPr>
          <w:rFonts w:cs="Arial"/>
        </w:rPr>
      </w:pPr>
    </w:p>
    <w:p w14:paraId="052E4C7A" w14:textId="77777777" w:rsidR="00CA23D0" w:rsidRDefault="00CA23D0" w:rsidP="006031D6">
      <w:pPr>
        <w:pStyle w:val="Znaka"/>
        <w:numPr>
          <w:ilvl w:val="1"/>
          <w:numId w:val="24"/>
        </w:numPr>
        <w:spacing w:before="120" w:after="0" w:line="288" w:lineRule="auto"/>
        <w:ind w:left="426"/>
        <w:jc w:val="both"/>
        <w:rPr>
          <w:rFonts w:cs="Arial"/>
        </w:rPr>
      </w:pPr>
      <w:r w:rsidRPr="00E30642">
        <w:rPr>
          <w:rFonts w:cs="Arial"/>
        </w:rPr>
        <w:t>v areálu TJ START vymístit stavební dvůr a nahradit jej loděnicí pro vodní turistiku, celý areál komplexně rekonstruovat (lokalita VI/16);</w:t>
      </w:r>
    </w:p>
    <w:p w14:paraId="5C38A236" w14:textId="77777777" w:rsidR="00D3579D" w:rsidRPr="00E30642" w:rsidRDefault="00D3579D" w:rsidP="00D3579D">
      <w:pPr>
        <w:pStyle w:val="Znaka"/>
        <w:spacing w:before="120" w:after="0" w:line="288" w:lineRule="auto"/>
        <w:ind w:left="426"/>
        <w:jc w:val="both"/>
        <w:rPr>
          <w:rFonts w:cs="Arial"/>
        </w:rPr>
      </w:pPr>
    </w:p>
    <w:p w14:paraId="03B3CCCF"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v rámci rozšíření areá TS na Starém Městě vymezit plochu pro víceúčelové hřiště na břehu Ploučnice (lokalita VI/24);</w:t>
      </w:r>
    </w:p>
    <w:p w14:paraId="23C4D6DA"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prostor soutoku Labe a Ploučnice považovat za sportovně rekreační prostor města (přívoz, cyklistické a pěší trasy, rekreační louka, park, hřiště a zařízení pro dospělou mládež, veřejné WC, občerstvení, arboretum apod.). Prostor kompozičně, funkčně i dopravně řešit s ohledem na ostatní přilehlé prostory (zámek, Děčín střed, Staré Město) lokalita IB/17 a VI/23;</w:t>
      </w:r>
    </w:p>
    <w:p w14:paraId="51731EC5"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s ohledem na rekonstrukci hlavního nádraží a nové uspořádání dopravy v ul. Práce je nutno počítat s nově navrženou přístupovou komunikací z Nábřežní, s vybudováním nových objektů šaten, technického zázemí, parkoviště a event. i nového malého hřiště či sportovní haly v areálu TJ LOKOMOTIVA. Areál LTC Děčín zachovat v plném (umožnit realizaci cyklistické stezky podél Jílovského potoka);</w:t>
      </w:r>
    </w:p>
    <w:p w14:paraId="48704089"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dle navržené koncepce dostavby Podmokel je nutno zrušit stávající dětské dopravní hřiště v Hankově ul., nové zařízení tohoto typu realizovat v areálu ZŠ Máchovo náměstí nebo i v prostoru soutoku Labe – Ploučnice;</w:t>
      </w:r>
    </w:p>
    <w:p w14:paraId="1568A0DD"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rekonstruovat objekt městských lázní pod zámkem a výhledově i nefunkčního topného zdroje "pod zámkem" s cílem vybudování komplexního relaxačního centra (lázně, tělocvična, sauna, posilovny, rehabilitace);</w:t>
      </w:r>
    </w:p>
    <w:p w14:paraId="69EFF0A2"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ostatní nabídku sportovních ploch řešit postupnou realizací víceúčelových hřišť v navržených městských parcích (lokalita na Hůrkách VI/20, Březiny VI/22, Bažantnice II/22);</w:t>
      </w:r>
    </w:p>
    <w:p w14:paraId="34EF7974"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jako výhledová rezervy respektovat navržené plochy v Bělé IV/18 a při ul. Kamenické (VI/30);</w:t>
      </w:r>
    </w:p>
    <w:p w14:paraId="6213219E"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postupně rekonstruovat lesopark "Stoliční hora" (promenády, odpočívky, hřiště, střelnice);</w:t>
      </w:r>
    </w:p>
    <w:p w14:paraId="12FD995F"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 xml:space="preserve">rozšířením systému cyklistických tras vytvořit ucelený a funkční systém cykloturistiky Dolní Žleb - Podmokly - St. Město - Boletice - Ústí n. L. (S - J), Benešov n. Pl. - Březiny - </w:t>
      </w:r>
      <w:r w:rsidRPr="00E30642">
        <w:rPr>
          <w:rFonts w:cs="Arial"/>
        </w:rPr>
        <w:tab/>
        <w:t>Staré Město - Podmokly - Jílové (V-Z);</w:t>
      </w:r>
    </w:p>
    <w:p w14:paraId="25F1855D"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prověřit pro potřeby sportu (klubu) mládeže objekt původní kotelny v Ruské ul.;</w:t>
      </w:r>
    </w:p>
    <w:p w14:paraId="3D960EF0"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rekonstruovat plochu v Bynově pro tréninkové hřiště.</w:t>
      </w:r>
    </w:p>
    <w:p w14:paraId="40C7D1F9" w14:textId="77777777" w:rsidR="00CA23D0" w:rsidRPr="00E30642" w:rsidRDefault="00CA23D0" w:rsidP="00CA23D0">
      <w:pPr>
        <w:pStyle w:val="Zkladntext"/>
        <w:jc w:val="both"/>
        <w:rPr>
          <w:rFonts w:ascii="Arial" w:hAnsi="Arial" w:cs="Arial"/>
        </w:rPr>
      </w:pPr>
    </w:p>
    <w:p w14:paraId="4CCF0D8E" w14:textId="77777777" w:rsidR="00CA23D0" w:rsidRPr="00E30642" w:rsidRDefault="00CA23D0" w:rsidP="00CA23D0">
      <w:pPr>
        <w:pStyle w:val="podnadpis2"/>
        <w:jc w:val="both"/>
        <w:rPr>
          <w:rFonts w:cs="Arial"/>
        </w:rPr>
      </w:pPr>
      <w:r w:rsidRPr="00E30642">
        <w:rPr>
          <w:rFonts w:cs="Arial"/>
        </w:rPr>
        <w:t xml:space="preserve">c3.4. Zdravotnictví </w:t>
      </w:r>
    </w:p>
    <w:p w14:paraId="3E47E11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Základním zdravotním zařízením města a jeho spádového území je nemocnice (390 - 440 lůžek, 870 zaměstnanců), které včetně helioportu a pavilonu dialýzy může i výhledově dobře plnit svoji funkci.</w:t>
      </w:r>
    </w:p>
    <w:p w14:paraId="66932DC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Další zdravotní služby poskytují: poliklinika u Zámeckého rybníka, dětská poliklinika v ul. 28. října, odd. psychiatrie, gynekologie na Starém Městě, zdravotní  střediska v Boleticích, Bynově, Želenicích, Rozbělesích, Podmoklech a síť ordinací privátních lékařů.</w:t>
      </w:r>
    </w:p>
    <w:p w14:paraId="374F55B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 xml:space="preserve">Původní kapacita jeslí (600) byla zcela redukována, v provozu je v současné době pouze jedno privátní zařízení. Tato forma by měla být uplatňována i výhledově, pokud "město" nebo i jiný subjekt nenabídne řešení lépe vyhovující. </w:t>
      </w:r>
    </w:p>
    <w:p w14:paraId="799889C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Mezi technická zařízení lze zařadit sklady v Horním Žlebu a garáže v Ovocné ulici. </w:t>
      </w:r>
    </w:p>
    <w:p w14:paraId="6BEA5C8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Tento obor může výhledově doznat určitých rekonstrukčních změn v systému. Jejich rozsah nelze bez přijaté koncepce ve zdravotnictví ČR na úrovni ÚPN blíže specifikovat, a proto se na tomto úseku žádná opatření nenavrhují. </w:t>
      </w:r>
    </w:p>
    <w:p w14:paraId="18EC7A9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p>
    <w:p w14:paraId="4327BAB6" w14:textId="77777777" w:rsidR="00CA23D0" w:rsidRPr="00E30642" w:rsidRDefault="00CA23D0" w:rsidP="00CA23D0">
      <w:pPr>
        <w:pStyle w:val="podnadpis2"/>
        <w:jc w:val="both"/>
        <w:rPr>
          <w:rFonts w:cs="Arial"/>
        </w:rPr>
      </w:pPr>
      <w:r w:rsidRPr="00E30642">
        <w:rPr>
          <w:rFonts w:cs="Arial"/>
        </w:rPr>
        <w:t xml:space="preserve">c3.5. Sociální péče </w:t>
      </w:r>
    </w:p>
    <w:p w14:paraId="6632B95F" w14:textId="77777777" w:rsidR="00D3579D" w:rsidRDefault="00D3579D" w:rsidP="00CA23D0">
      <w:pPr>
        <w:pStyle w:val="Zkladntext"/>
        <w:spacing w:before="120" w:after="0" w:line="288" w:lineRule="auto"/>
        <w:ind w:firstLine="709"/>
        <w:jc w:val="both"/>
        <w:rPr>
          <w:rFonts w:ascii="Arial" w:hAnsi="Arial" w:cs="Arial"/>
          <w:sz w:val="22"/>
          <w:szCs w:val="22"/>
        </w:rPr>
      </w:pPr>
    </w:p>
    <w:p w14:paraId="42FE68D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V současné době plní tuto funkci: </w:t>
      </w:r>
    </w:p>
    <w:p w14:paraId="350A1A6A"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domovy s pečovatelskou službou (294 bytů - garsonka, 1+1 s cca 350 - 400 lůžky);</w:t>
      </w:r>
    </w:p>
    <w:p w14:paraId="5FA42175"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domov důchodců (Kamenická ul., 112 lůžek);</w:t>
      </w:r>
    </w:p>
    <w:p w14:paraId="36A47440"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ústavy soc. péče (2 zařízení, 86 lůžek);</w:t>
      </w:r>
    </w:p>
    <w:p w14:paraId="5E0C808F" w14:textId="77777777" w:rsidR="00CA23D0" w:rsidRPr="00E30642" w:rsidRDefault="00CA23D0" w:rsidP="006031D6">
      <w:pPr>
        <w:pStyle w:val="Znaka"/>
        <w:numPr>
          <w:ilvl w:val="1"/>
          <w:numId w:val="24"/>
        </w:numPr>
        <w:spacing w:before="120" w:after="0" w:line="288" w:lineRule="auto"/>
        <w:ind w:left="426"/>
        <w:jc w:val="both"/>
        <w:rPr>
          <w:rFonts w:cs="Arial"/>
        </w:rPr>
      </w:pPr>
      <w:r w:rsidRPr="00E30642">
        <w:rPr>
          <w:rFonts w:cs="Arial"/>
        </w:rPr>
        <w:t>azylový dům (20 lůžek).</w:t>
      </w:r>
    </w:p>
    <w:p w14:paraId="20ACC87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Pro obyvatele města důchodového věku i pro domy s pečovatelskou službou jsou zajišťovány úklidové služby, rozvoz obědů, praní prádla, nákupy i služby osobní hygieny. </w:t>
      </w:r>
    </w:p>
    <w:p w14:paraId="1F9340E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Rozšíření kapacity se doporučuje formou malometrážních bytů, event. výstavbou "penzionů pro seniory" s kompletními službami, pro "nemobilní obyvatele" pak využít předpokládané lůžkové rezervy v areálu nemocnice. </w:t>
      </w:r>
    </w:p>
    <w:p w14:paraId="6F2D457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Návrh výstavby malometrážních bytů je situován jednak do městského centra (3 lokality v Podmoklech I/2, I/3, I/4) a při Kamenické ul. ve vazbě na obytný okrsek OK5 (VI/1). Tato forma bydlení by zásadně neměla být situována do izolovaných okrajových lokalit. Nelze vyloučit i možné využití stávajícího bytového fondu v průmyslové zóně Rozbělesy nebo i rekonstrukcí jiných vhodných objektů.  Pro tato zařízení se navrhuje kapacita cca 200 míst - malometrážních bytů. </w:t>
      </w:r>
    </w:p>
    <w:p w14:paraId="36CFC45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p>
    <w:p w14:paraId="5BAD4302" w14:textId="77777777" w:rsidR="00CA23D0" w:rsidRPr="00E30642" w:rsidRDefault="00CA23D0" w:rsidP="00CA23D0">
      <w:pPr>
        <w:pStyle w:val="podnadpis2"/>
        <w:jc w:val="both"/>
        <w:rPr>
          <w:rFonts w:cs="Arial"/>
        </w:rPr>
      </w:pPr>
      <w:r w:rsidRPr="00E30642">
        <w:rPr>
          <w:rFonts w:cs="Arial"/>
        </w:rPr>
        <w:t xml:space="preserve">c3.6. Obchod, nevýrobní služby </w:t>
      </w:r>
    </w:p>
    <w:p w14:paraId="20F07D0B" w14:textId="77777777" w:rsidR="00D3579D" w:rsidRDefault="00D3579D" w:rsidP="00CA23D0">
      <w:pPr>
        <w:pStyle w:val="Zkladntext"/>
        <w:spacing w:before="120" w:after="0" w:line="288" w:lineRule="auto"/>
        <w:ind w:firstLine="709"/>
        <w:jc w:val="both"/>
        <w:rPr>
          <w:rFonts w:ascii="Arial" w:hAnsi="Arial" w:cs="Arial"/>
          <w:sz w:val="22"/>
          <w:szCs w:val="22"/>
        </w:rPr>
      </w:pPr>
    </w:p>
    <w:p w14:paraId="44F9D64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Rozvojem privátního sektoru byly v posledních letech zprovozněny nové obchodní jednotky takřka na celém území města s širokou nabídkou potravinářského a nepotravinářského zboží. Současně celá řada provozoven zanikla, změnila sortiment nebo plní zcela nové funkce. </w:t>
      </w:r>
    </w:p>
    <w:p w14:paraId="3F9D4B7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Přirozenými centry obchodu a služeb je Děčín  střed a Podmokly</w:t>
      </w:r>
      <w:r w:rsidRPr="00E30642">
        <w:rPr>
          <w:rFonts w:ascii="Arial" w:hAnsi="Arial" w:cs="Arial"/>
          <w:sz w:val="22"/>
          <w:szCs w:val="22"/>
        </w:rPr>
        <w:t>, dále pak  původní obvodová centra v Bynově, Želenicích, Starém Městě a Boleticích n. L., mezi obchodní ulice - bulváry lze zařadit ulice: Teplickou, Prokopa Holého, Kamenickou, Litoměřickou, Vilsnickou, Vítězství, Labské nábřeží a ul. Tyršovu.</w:t>
      </w:r>
    </w:p>
    <w:p w14:paraId="1065C604"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 xml:space="preserve">Všechna tato zařízení vykazují různorodý stavební stav i "kulturu prodeje" (garáže, skladovací objekty, rodinné domy). Specifickým problémem města jsou nejméně vyhovující "stánkové prodejny" (asijské tržnice), nejen v centru, ale i při státní silnici do Hřenska ke státní hranici. Tato chaotická forma prodeje (hygienické, provozní, dopravní závady) je nositelem celé řady problémů a její výhledová forma je v podstatě neudržitelná. </w:t>
      </w:r>
    </w:p>
    <w:p w14:paraId="2B6A457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U nevýrobních služeb došlo opět k redukci původní sítě, řada zanikla, ale řada zcela nových byla zprovozněna (kosmetika, salóny, videopůjčovny, směnárny, cestovní kanceláře, autosalóny, bezpečnostní služby atd.)</w:t>
      </w:r>
    </w:p>
    <w:p w14:paraId="26F8DBE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S ohledem na privátní zájmy (životnost, lokalizace, rentabilita) </w:t>
      </w:r>
      <w:r w:rsidRPr="00E30642">
        <w:rPr>
          <w:rFonts w:ascii="Arial" w:hAnsi="Arial" w:cs="Arial"/>
          <w:b/>
          <w:bCs/>
          <w:sz w:val="22"/>
          <w:szCs w:val="22"/>
        </w:rPr>
        <w:t>nelze tento obor v podstatě regulovat</w:t>
      </w:r>
      <w:r w:rsidRPr="00E30642">
        <w:rPr>
          <w:rFonts w:ascii="Arial" w:hAnsi="Arial" w:cs="Arial"/>
          <w:sz w:val="22"/>
          <w:szCs w:val="22"/>
        </w:rPr>
        <w:t>. Celková plocha těchto zařízení na území města činí bez stánkového prodeje cca 39 000 m</w:t>
      </w:r>
      <w:r w:rsidRPr="00E30642">
        <w:rPr>
          <w:rFonts w:ascii="Arial" w:hAnsi="Arial" w:cs="Arial"/>
          <w:position w:val="6"/>
          <w:sz w:val="22"/>
          <w:szCs w:val="22"/>
          <w:vertAlign w:val="superscript"/>
        </w:rPr>
        <w:t>2</w:t>
      </w:r>
      <w:r w:rsidRPr="00E30642">
        <w:rPr>
          <w:rFonts w:ascii="Arial" w:hAnsi="Arial" w:cs="Arial"/>
          <w:sz w:val="22"/>
          <w:szCs w:val="22"/>
        </w:rPr>
        <w:t>, z toho centrum nabízí takřka 70 % těchto ploch (Podmokly 18 000 m</w:t>
      </w:r>
      <w:r w:rsidRPr="00E30642">
        <w:rPr>
          <w:rFonts w:ascii="Arial" w:hAnsi="Arial" w:cs="Arial"/>
          <w:position w:val="6"/>
          <w:sz w:val="22"/>
          <w:szCs w:val="22"/>
          <w:vertAlign w:val="superscript"/>
        </w:rPr>
        <w:t>2</w:t>
      </w:r>
      <w:r w:rsidRPr="00E30642">
        <w:rPr>
          <w:rFonts w:ascii="Arial" w:hAnsi="Arial" w:cs="Arial"/>
          <w:sz w:val="22"/>
          <w:szCs w:val="22"/>
        </w:rPr>
        <w:t>, Děčín střed 9 000 m</w:t>
      </w:r>
      <w:r w:rsidRPr="00E30642">
        <w:rPr>
          <w:rFonts w:ascii="Arial" w:hAnsi="Arial" w:cs="Arial"/>
          <w:position w:val="6"/>
          <w:sz w:val="22"/>
          <w:szCs w:val="22"/>
          <w:vertAlign w:val="superscript"/>
        </w:rPr>
        <w:t>2</w:t>
      </w:r>
      <w:r w:rsidRPr="00E30642">
        <w:rPr>
          <w:rFonts w:ascii="Arial" w:hAnsi="Arial" w:cs="Arial"/>
          <w:sz w:val="22"/>
          <w:szCs w:val="22"/>
        </w:rPr>
        <w:t>). Určitý deficit představoval pravý břeh Labe, který byl výrazně posílen výstavbou obchodního střediska v Obloukové ulici (KAUFLAND 10 000 m</w:t>
      </w:r>
      <w:r w:rsidRPr="00E30642">
        <w:rPr>
          <w:rFonts w:ascii="Arial" w:hAnsi="Arial" w:cs="Arial"/>
          <w:position w:val="6"/>
          <w:sz w:val="22"/>
          <w:szCs w:val="22"/>
          <w:vertAlign w:val="superscript"/>
        </w:rPr>
        <w:t>2</w:t>
      </w:r>
      <w:r w:rsidRPr="00E30642">
        <w:rPr>
          <w:rFonts w:ascii="Arial" w:hAnsi="Arial" w:cs="Arial"/>
          <w:sz w:val="22"/>
          <w:szCs w:val="22"/>
        </w:rPr>
        <w:t xml:space="preserve">), další nová nákupní centra byla postupně realizována v Podmoklech (PLUS, areál Jordánka), Bynově (EDEKA) a Boleticích n. L. </w:t>
      </w:r>
    </w:p>
    <w:p w14:paraId="3418DA5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 posledním období je typická snaha vstoupit na trh s dalšími velkoprodejními kapacitami formou nákupních středisek se záměrem využít pro výstavbu relativně vhodné plochy v centrální části. Jedná se o akceptovaný záměr PRIMY v Podmoklech (lokalita I/17) a změnu funkce areálu pivovaru. Další investorské tlaky lze očekávat i v budoucnu, i když je zřejmé, že tato nabídka bude spíše převyšovat poptávku na jedné straně a s negativním dopadem na stávající maloobchodní síť na straně druhé. Obdobná situace je i na trhu pohonných hmot (čerpací stanice PHM).</w:t>
      </w:r>
    </w:p>
    <w:p w14:paraId="387C7ED7" w14:textId="77777777" w:rsidR="00CA23D0" w:rsidRDefault="00CA23D0" w:rsidP="00CA23D0">
      <w:pPr>
        <w:pStyle w:val="a"/>
        <w:jc w:val="both"/>
        <w:rPr>
          <w:rFonts w:ascii="Arial" w:hAnsi="Arial" w:cs="Arial"/>
        </w:rPr>
      </w:pPr>
    </w:p>
    <w:p w14:paraId="1B1ACC09" w14:textId="77777777" w:rsidR="00D3579D" w:rsidRPr="00D3579D" w:rsidRDefault="00D3579D" w:rsidP="00D3579D">
      <w:pPr>
        <w:rPr>
          <w:lang w:eastAsia="cs-CZ"/>
        </w:rPr>
      </w:pPr>
    </w:p>
    <w:p w14:paraId="6E122525" w14:textId="77777777" w:rsidR="00CA23D0" w:rsidRPr="00E30642" w:rsidRDefault="00CA23D0" w:rsidP="00CA23D0">
      <w:pPr>
        <w:pStyle w:val="dka"/>
        <w:jc w:val="both"/>
        <w:rPr>
          <w:rFonts w:cs="Arial"/>
        </w:rPr>
      </w:pPr>
      <w:r w:rsidRPr="00E30642">
        <w:rPr>
          <w:rFonts w:cs="Arial"/>
          <w:b/>
          <w:bCs/>
          <w:caps/>
        </w:rPr>
        <w:t>Návrh opatření, doporučení</w:t>
      </w:r>
    </w:p>
    <w:p w14:paraId="4927FF44" w14:textId="77777777" w:rsidR="00CA23D0" w:rsidRDefault="00CA23D0" w:rsidP="00D3579D">
      <w:pPr>
        <w:pStyle w:val="Zkladntext"/>
        <w:ind w:firstLine="425"/>
        <w:jc w:val="both"/>
        <w:rPr>
          <w:rFonts w:ascii="Arial" w:hAnsi="Arial" w:cs="Arial"/>
          <w:b/>
          <w:bCs/>
          <w:sz w:val="22"/>
          <w:szCs w:val="22"/>
        </w:rPr>
      </w:pPr>
      <w:r w:rsidRPr="00E30642">
        <w:rPr>
          <w:rFonts w:ascii="Arial" w:hAnsi="Arial" w:cs="Arial"/>
          <w:b/>
          <w:bCs/>
          <w:sz w:val="22"/>
          <w:szCs w:val="22"/>
        </w:rPr>
        <w:t xml:space="preserve">pro výstavbu velkoplošných nákupních jednotek s širokým sortimentem se ve smyslu požadavku SS a ověřovacích studií navrhují lokality: </w:t>
      </w:r>
    </w:p>
    <w:p w14:paraId="1E78B33D" w14:textId="77777777" w:rsidR="00D3579D" w:rsidRPr="00E30642" w:rsidRDefault="00D3579D" w:rsidP="00D3579D">
      <w:pPr>
        <w:pStyle w:val="Zkladntext"/>
        <w:ind w:firstLine="425"/>
        <w:jc w:val="both"/>
        <w:rPr>
          <w:rFonts w:ascii="Arial" w:hAnsi="Arial" w:cs="Arial"/>
          <w:sz w:val="22"/>
          <w:szCs w:val="22"/>
        </w:rPr>
      </w:pPr>
    </w:p>
    <w:p w14:paraId="1780F558"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Staré Město prostor bývalých jatek (HOBBY CENTRUM - lokalita IB/14);</w:t>
      </w:r>
    </w:p>
    <w:p w14:paraId="4950DDB3"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Podmokly (ul. Poštovní a Hankova, prostor bývalých uhelných skladů - lokalita IA/17);</w:t>
      </w:r>
    </w:p>
    <w:p w14:paraId="3E5606BA"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areál pivovaru (přestavba a rekonstrukce v rámci stávajícího areálu);</w:t>
      </w:r>
    </w:p>
    <w:p w14:paraId="054CDA3A"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pro prodej nepotravinářského sortimentu včetně autoslužeb se navrhuje využít stávající areál;</w:t>
      </w:r>
    </w:p>
    <w:p w14:paraId="705C8F93"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Kabelovny v ul. Ústecké s vnitřním parkovištěm (lokalita II/17).</w:t>
      </w:r>
    </w:p>
    <w:p w14:paraId="29FCF68F" w14:textId="77777777" w:rsidR="00CA23D0" w:rsidRPr="00E30642" w:rsidRDefault="00CA23D0" w:rsidP="00CA23D0">
      <w:pPr>
        <w:pStyle w:val="Znaka1"/>
        <w:jc w:val="both"/>
        <w:rPr>
          <w:rFonts w:cs="Arial"/>
        </w:rPr>
      </w:pPr>
    </w:p>
    <w:p w14:paraId="688BA509" w14:textId="77777777" w:rsidR="00D3579D" w:rsidRDefault="00D3579D" w:rsidP="00CA23D0">
      <w:pPr>
        <w:pStyle w:val="Zkladntext"/>
        <w:jc w:val="both"/>
        <w:rPr>
          <w:rFonts w:ascii="Arial" w:hAnsi="Arial" w:cs="Arial"/>
          <w:b/>
          <w:bCs/>
          <w:sz w:val="22"/>
          <w:szCs w:val="22"/>
        </w:rPr>
      </w:pPr>
    </w:p>
    <w:p w14:paraId="50474959" w14:textId="77777777" w:rsidR="00CA23D0" w:rsidRDefault="00CA23D0" w:rsidP="00CA23D0">
      <w:pPr>
        <w:pStyle w:val="Zkladntext"/>
        <w:jc w:val="both"/>
        <w:rPr>
          <w:rFonts w:ascii="Arial" w:hAnsi="Arial" w:cs="Arial"/>
          <w:b/>
          <w:bCs/>
          <w:sz w:val="22"/>
          <w:szCs w:val="22"/>
        </w:rPr>
      </w:pPr>
      <w:r w:rsidRPr="00E30642">
        <w:rPr>
          <w:rFonts w:ascii="Arial" w:hAnsi="Arial" w:cs="Arial"/>
          <w:b/>
          <w:bCs/>
          <w:sz w:val="22"/>
          <w:szCs w:val="22"/>
        </w:rPr>
        <w:t>pro maloobchodní jednotky se navrhují lokality:</w:t>
      </w:r>
    </w:p>
    <w:p w14:paraId="59D5B791" w14:textId="77777777" w:rsidR="00D3579D" w:rsidRPr="00E30642" w:rsidRDefault="00D3579D" w:rsidP="00CA23D0">
      <w:pPr>
        <w:pStyle w:val="Zkladntext"/>
        <w:jc w:val="both"/>
        <w:rPr>
          <w:rFonts w:ascii="Arial" w:hAnsi="Arial" w:cs="Arial"/>
          <w:b/>
          <w:bCs/>
          <w:sz w:val="22"/>
          <w:szCs w:val="22"/>
        </w:rPr>
      </w:pPr>
    </w:p>
    <w:p w14:paraId="76F02684"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prostor břehů a vnitrobloků u Jílovského potoka v Podmoklech (od ul. Jungmannovy po ul. Plzeňskou) s cílem realizovat pestré obchodní solitéry s pěší promenádou a občerstvením;</w:t>
      </w:r>
    </w:p>
    <w:p w14:paraId="760284EB"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lastRenderedPageBreak/>
        <w:t>prostor při ul. Pohraniční stráže (schválený záměr);</w:t>
      </w:r>
    </w:p>
    <w:p w14:paraId="59B22C06"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prostor náměstí 5. května na Starém Městě (komplexní přestavba a dostavba);</w:t>
      </w:r>
    </w:p>
    <w:p w14:paraId="234FB760"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centrální prostor v Boleticích n. L. (ul. Vítězství) přestavbou a dostavbou území kolem městského parku;</w:t>
      </w:r>
    </w:p>
    <w:p w14:paraId="443AA582"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síť služeb postupně realizovat dle indiv. podnikatelských záměrů.</w:t>
      </w:r>
    </w:p>
    <w:p w14:paraId="18EC3895" w14:textId="77777777" w:rsidR="00CA23D0" w:rsidRPr="00E30642" w:rsidRDefault="00CA23D0" w:rsidP="00CA23D0">
      <w:pPr>
        <w:pStyle w:val="Zkladntext"/>
        <w:jc w:val="both"/>
        <w:rPr>
          <w:rFonts w:ascii="Arial" w:hAnsi="Arial" w:cs="Arial"/>
        </w:rPr>
      </w:pPr>
    </w:p>
    <w:p w14:paraId="39436321" w14:textId="77777777" w:rsidR="00CA23D0" w:rsidRPr="00E30642" w:rsidRDefault="00CA23D0" w:rsidP="00CA23D0">
      <w:pPr>
        <w:pStyle w:val="Zkladntext"/>
        <w:jc w:val="both"/>
        <w:rPr>
          <w:rFonts w:ascii="Arial" w:hAnsi="Arial" w:cs="Arial"/>
          <w:b/>
          <w:bCs/>
          <w:sz w:val="22"/>
          <w:szCs w:val="22"/>
        </w:rPr>
      </w:pPr>
      <w:r w:rsidRPr="00E30642">
        <w:rPr>
          <w:rFonts w:ascii="Arial" w:hAnsi="Arial" w:cs="Arial"/>
          <w:b/>
          <w:bCs/>
          <w:sz w:val="22"/>
          <w:szCs w:val="22"/>
        </w:rPr>
        <w:t>ostatní doporučení</w:t>
      </w:r>
    </w:p>
    <w:p w14:paraId="693EA8E6"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 xml:space="preserve">podpořit podnikatelské záměry směřující k renesanci obchodu a služeb v centrální zóně i okrajových obytných zónách města  </w:t>
      </w:r>
    </w:p>
    <w:p w14:paraId="23E27D70"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volný a neregulovaný stánkový prodej postupně likvidovat mimo tradiční prostory</w:t>
      </w:r>
    </w:p>
    <w:p w14:paraId="42F2EB28"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 xml:space="preserve">stávající vyhovující síť prodeje pohonných hmot rozšířit o lokalitu při Benešovské ul., jako výhledová vhodná lokalita se jeví i "křižovatka Vilsnice" při nové trase přeložky I/13 </w:t>
      </w:r>
    </w:p>
    <w:p w14:paraId="7C344395" w14:textId="77777777" w:rsidR="00CA23D0" w:rsidRDefault="00CA23D0" w:rsidP="00CA23D0">
      <w:pPr>
        <w:jc w:val="both"/>
        <w:rPr>
          <w:rFonts w:ascii="Arial" w:hAnsi="Arial" w:cs="Arial"/>
        </w:rPr>
      </w:pPr>
    </w:p>
    <w:p w14:paraId="7C11941A" w14:textId="77777777" w:rsidR="00D3579D" w:rsidRPr="00E30642" w:rsidRDefault="00D3579D" w:rsidP="00CA23D0">
      <w:pPr>
        <w:jc w:val="both"/>
        <w:rPr>
          <w:rFonts w:ascii="Arial" w:hAnsi="Arial" w:cs="Arial"/>
        </w:rPr>
      </w:pPr>
    </w:p>
    <w:p w14:paraId="496B95B7" w14:textId="77777777" w:rsidR="00CA23D0" w:rsidRPr="00E30642" w:rsidRDefault="00CA23D0" w:rsidP="00CA23D0">
      <w:pPr>
        <w:pStyle w:val="podnadpis2"/>
        <w:jc w:val="both"/>
        <w:rPr>
          <w:rFonts w:cs="Arial"/>
        </w:rPr>
      </w:pPr>
      <w:r w:rsidRPr="00E30642">
        <w:rPr>
          <w:rFonts w:cs="Arial"/>
        </w:rPr>
        <w:t xml:space="preserve">c3.7. Veřejné ubytování a stravování </w:t>
      </w:r>
    </w:p>
    <w:p w14:paraId="3F5B7974"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Do této kategorie jsou zařazena všechna zařízení poskytující ubytovací a stravovací služby. </w:t>
      </w:r>
    </w:p>
    <w:p w14:paraId="334F272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Pro veřejné ubytování</w:t>
      </w:r>
      <w:r w:rsidRPr="00E30642">
        <w:rPr>
          <w:rFonts w:ascii="Arial" w:hAnsi="Arial" w:cs="Arial"/>
          <w:sz w:val="22"/>
          <w:szCs w:val="22"/>
        </w:rPr>
        <w:t xml:space="preserve"> slouží hotely všech kategorií Maxičky, Bowling, Česká koruna, Faust, Pošta, Senátor, Schwarz, U kaple apod. (550 - 600 lůžek), ubytovny (80 lůžek), autokemp (20 stanů, 20 autokaravanů, 20 chat), penziony (250 lůžek), a privátní pokoje (cca 100 - 200 lůžek). Z přehledu je zřejmý deficit lůžek v hotelích vyšší kategorie (-300), ubytovnách (-300) a naopak nárůst nekapacitních privátních jednotek (300 - 500). </w:t>
      </w:r>
    </w:p>
    <w:p w14:paraId="7E9E4FCB"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S ohledem na velikost, význam města a intenzitu turistického ruchu je nabídka lůžek spíše podhodnocena, velká část potenciální klientely je nucena se ubytovat mimo město. </w:t>
      </w:r>
    </w:p>
    <w:p w14:paraId="1A68214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Veřejné stravování</w:t>
      </w:r>
      <w:r w:rsidRPr="00E30642">
        <w:rPr>
          <w:rFonts w:ascii="Arial" w:hAnsi="Arial" w:cs="Arial"/>
          <w:sz w:val="22"/>
          <w:szCs w:val="22"/>
        </w:rPr>
        <w:t xml:space="preserve"> je poskytováno na základě vydaných 300 živností. Řada kapacitních zařízení zanikla (Atlantik, GRAND), řada privátních vznikla na celém území města s celkovým počtem cca 3700 míst u stolu (54 % kapacit je lokalizováno v centrální části města na obou březích Labe). </w:t>
      </w:r>
    </w:p>
    <w:p w14:paraId="27D13E1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Stávající síť nabídky je velmi proměnlivá a nelze ji opět v podstatě regulovat.</w:t>
      </w:r>
    </w:p>
    <w:p w14:paraId="2147D305" w14:textId="77777777" w:rsidR="00CA23D0" w:rsidRDefault="00CA23D0" w:rsidP="00CA23D0">
      <w:pPr>
        <w:pStyle w:val="Zkladntext"/>
        <w:jc w:val="both"/>
        <w:rPr>
          <w:rFonts w:ascii="Arial" w:hAnsi="Arial" w:cs="Arial"/>
        </w:rPr>
      </w:pPr>
    </w:p>
    <w:p w14:paraId="5B773869" w14:textId="77777777" w:rsidR="00D3579D" w:rsidRPr="00E30642" w:rsidRDefault="00D3579D" w:rsidP="00CA23D0">
      <w:pPr>
        <w:pStyle w:val="Zkladntext"/>
        <w:jc w:val="both"/>
        <w:rPr>
          <w:rFonts w:ascii="Arial" w:hAnsi="Arial" w:cs="Arial"/>
        </w:rPr>
      </w:pPr>
    </w:p>
    <w:p w14:paraId="07BC0CEF" w14:textId="77777777" w:rsidR="00CA23D0" w:rsidRPr="00E30642" w:rsidRDefault="00CA23D0" w:rsidP="00CA23D0">
      <w:pPr>
        <w:pStyle w:val="dka"/>
        <w:jc w:val="both"/>
        <w:rPr>
          <w:rFonts w:cs="Arial"/>
        </w:rPr>
      </w:pPr>
      <w:r w:rsidRPr="00E30642">
        <w:rPr>
          <w:rFonts w:cs="Arial"/>
          <w:b/>
          <w:bCs/>
          <w:caps/>
        </w:rPr>
        <w:t xml:space="preserve">Návrh opatření, doporučení </w:t>
      </w:r>
    </w:p>
    <w:p w14:paraId="5448D8CE"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pro zvýšení lůžkové kapacity se navrhuje dostavba a zprovoznění objektu hotelu GRAND (80 lůžek), zprovoznění bývalého hotelu Labský dvůr (**** hotel s cca 60 lůžky, využitím kina na klub a kasino, podzemní parkoviště) a zprovoznění části zámku na hotel (120 lůžek), výstavbu hotelu v areálu Jordánka již nelze realizovat;</w:t>
      </w:r>
    </w:p>
    <w:p w14:paraId="09B24895"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sezónní ubytování v kempu pod zámkem se i přes řadu problémů v návrhovém období zachovává (jako velmi vhodná a kapacitní lokalita se nabízí v areálu "lidových milicí" u Ludvíkovic, k. ú. Huntířov);</w:t>
      </w:r>
    </w:p>
    <w:p w14:paraId="17972544"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lastRenderedPageBreak/>
        <w:t>nové kapacity stravovacích zařízení všech forem se předpokládají v rámci nových ubytovacích kapacit, v prostoru objektu Atlantiku (parter, přístav osobních lodí, parkoviště) a jako námět i využití torza kaple v ul. Loubské při státní silnice na Hřensko.</w:t>
      </w:r>
    </w:p>
    <w:p w14:paraId="1C7D70D4" w14:textId="77777777" w:rsidR="00CA23D0" w:rsidRPr="00E30642" w:rsidRDefault="00CA23D0" w:rsidP="00CA23D0">
      <w:pPr>
        <w:pStyle w:val="Zkladntext"/>
        <w:jc w:val="both"/>
        <w:rPr>
          <w:rFonts w:ascii="Arial" w:hAnsi="Arial" w:cs="Arial"/>
        </w:rPr>
      </w:pPr>
    </w:p>
    <w:p w14:paraId="135E47AA" w14:textId="77777777" w:rsidR="00CA23D0" w:rsidRPr="00E30642" w:rsidRDefault="00CA23D0" w:rsidP="00CA23D0">
      <w:pPr>
        <w:pStyle w:val="podnadpis2"/>
        <w:jc w:val="both"/>
        <w:rPr>
          <w:rFonts w:cs="Arial"/>
        </w:rPr>
      </w:pPr>
      <w:r w:rsidRPr="00E30642">
        <w:rPr>
          <w:rFonts w:cs="Arial"/>
        </w:rPr>
        <w:t xml:space="preserve">c3.8. Administrativa </w:t>
      </w:r>
    </w:p>
    <w:p w14:paraId="22F005A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Tato zařízení správy a ostatní administrativy jsou v Děčíně zastoupena Okresním úřadem, Městským úřadem, soudem, finančními a peněžními ústavy, dalšími úřady (katastrální, pozemkový, školský, finanční, práce), kancelářemi obchodních firem a společností, orgány policie a celnice apod.</w:t>
      </w:r>
    </w:p>
    <w:p w14:paraId="6D15705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Celkový počet pracovníků není znám (nepřístupné či diskrétní údaje), ale dle odborného odhadu lze předpokládat cca 4,5 – 5 000 pracovních míst. </w:t>
      </w:r>
    </w:p>
    <w:p w14:paraId="6A82CA6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Nová zařízení tohoto typu se nenavrhují, ÚPN pouze respektuje známé a prověřené záměry na jejich výstavbu. </w:t>
      </w:r>
    </w:p>
    <w:p w14:paraId="369C0911"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zámek (reprezentační prostory města, podnik. kanceláře);</w:t>
      </w:r>
    </w:p>
    <w:p w14:paraId="1B14B2BC"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katastrální úřad  - ve výstavbě (Tržní ul.);</w:t>
      </w:r>
    </w:p>
    <w:p w14:paraId="04199CCF"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OBALEX (prezentace firmy, vzorkovna v Obloukové ul.).</w:t>
      </w:r>
    </w:p>
    <w:p w14:paraId="65A161C0" w14:textId="77777777" w:rsidR="00CA23D0" w:rsidRPr="00E30642" w:rsidRDefault="00CA23D0" w:rsidP="00CA23D0">
      <w:pPr>
        <w:pStyle w:val="Zkladntext"/>
        <w:jc w:val="both"/>
        <w:rPr>
          <w:rFonts w:ascii="Arial" w:hAnsi="Arial" w:cs="Arial"/>
        </w:rPr>
      </w:pPr>
    </w:p>
    <w:p w14:paraId="7B2FF78F" w14:textId="77777777" w:rsidR="00CA23D0" w:rsidRPr="00E30642" w:rsidRDefault="00CA23D0" w:rsidP="00CA23D0">
      <w:pPr>
        <w:pStyle w:val="podnadpis1"/>
        <w:jc w:val="both"/>
        <w:rPr>
          <w:rFonts w:cs="Arial"/>
        </w:rPr>
      </w:pPr>
      <w:r w:rsidRPr="00E30642">
        <w:rPr>
          <w:rFonts w:cs="Arial"/>
        </w:rPr>
        <w:t>c.4. rekreace a cr</w:t>
      </w:r>
    </w:p>
    <w:p w14:paraId="7A392FF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Rozsáhlé území chráněných krajinných oblastí Labské pískovce a České středohoří, včetně vyhlášeného národního parku Česko-Saské Švýcarsko zahrnují v podstatě celé řešené území města. Toto území včetně přilehlého okolí je zejména charakteristické rozsáhlé lesní komplexy, dynamickým reliéfem v koridoru řeky Labe s četnými  pískovcovými útvary (Děčínský Sněžník, Maxičky,Hřensko - soutěsky, Pravčická brána, Belvedér, Jetřichovické stěny, údolí Ploučnice). Díky těmto přírodním fenoménům patří i území města k velmi navštěvované </w:t>
      </w:r>
      <w:r w:rsidRPr="00E30642">
        <w:rPr>
          <w:rFonts w:ascii="Arial" w:hAnsi="Arial" w:cs="Arial"/>
          <w:b/>
          <w:bCs/>
          <w:sz w:val="22"/>
          <w:szCs w:val="22"/>
        </w:rPr>
        <w:t>oblasti evropského významu.</w:t>
      </w:r>
    </w:p>
    <w:p w14:paraId="7EF2233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Významným </w:t>
      </w:r>
      <w:r w:rsidRPr="00E30642">
        <w:rPr>
          <w:rFonts w:ascii="Arial" w:hAnsi="Arial" w:cs="Arial"/>
          <w:b/>
          <w:bCs/>
          <w:sz w:val="22"/>
          <w:szCs w:val="22"/>
        </w:rPr>
        <w:t xml:space="preserve">turistickým cílem </w:t>
      </w:r>
      <w:r w:rsidRPr="00E30642">
        <w:rPr>
          <w:rFonts w:ascii="Arial" w:hAnsi="Arial" w:cs="Arial"/>
          <w:sz w:val="22"/>
          <w:szCs w:val="22"/>
        </w:rPr>
        <w:t>s bohatou historií a tradicí osobní labské plavby patří i vlastní město, s dominantami zámku a Pastýřské stěny, historickými, kulturními památkami (kostely, rozhledny, kamenný most přes Ploučnici, ovčí lávka, řetězová lávka pod zámkem, roubennými domky, secesní architekturou v Podmoklech i Děčíně ),přírodními památkami (Březinské tisy, Nebočadský luh, Bohyňská lada), ale i dalšími atraktivitami (ZOO, autokempink, areály koupališť) či sportovními a kulturními akcemi. Vysoká návštěvnost města i tohoto regionu je umocněna výhodnou polohou v nadřazeném dopravním systému s dvěma hraničními přechody (Hřensko, Rosenthal).</w:t>
      </w:r>
    </w:p>
    <w:p w14:paraId="2A3E0B5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Pro </w:t>
      </w:r>
      <w:r w:rsidRPr="00E30642">
        <w:rPr>
          <w:rFonts w:ascii="Arial" w:hAnsi="Arial" w:cs="Arial"/>
          <w:b/>
          <w:bCs/>
          <w:sz w:val="22"/>
          <w:szCs w:val="22"/>
        </w:rPr>
        <w:t>individuelní rekreaci</w:t>
      </w:r>
      <w:r w:rsidRPr="00E30642">
        <w:rPr>
          <w:rFonts w:ascii="Arial" w:hAnsi="Arial" w:cs="Arial"/>
          <w:sz w:val="22"/>
          <w:szCs w:val="22"/>
        </w:rPr>
        <w:t xml:space="preserve"> jsou využívány především sídla v zájmovém území vlastního města a v údolí Labe (Dolní a Prostřední Žleb, Maxičky, Horní a Dolní Chlum, Velká Veleň, Lesná, Hoštice). Individuelní rekreační kapacita činí za řešené území celkem cca 250 lůžek</w:t>
      </w:r>
    </w:p>
    <w:p w14:paraId="2946B78B" w14:textId="77777777" w:rsidR="00CA23D0" w:rsidRDefault="00CA23D0" w:rsidP="00CA23D0">
      <w:pPr>
        <w:pStyle w:val="Zkladntext"/>
        <w:jc w:val="both"/>
        <w:rPr>
          <w:rFonts w:ascii="Arial" w:hAnsi="Arial" w:cs="Arial"/>
        </w:rPr>
      </w:pPr>
    </w:p>
    <w:p w14:paraId="18FC1149" w14:textId="77777777" w:rsidR="00D3579D" w:rsidRDefault="00D3579D" w:rsidP="00CA23D0">
      <w:pPr>
        <w:pStyle w:val="Zkladntext"/>
        <w:jc w:val="both"/>
        <w:rPr>
          <w:rFonts w:ascii="Arial" w:hAnsi="Arial" w:cs="Arial"/>
        </w:rPr>
      </w:pPr>
    </w:p>
    <w:p w14:paraId="192FE36E" w14:textId="77777777" w:rsidR="00D3579D" w:rsidRDefault="00D3579D" w:rsidP="00CA23D0">
      <w:pPr>
        <w:pStyle w:val="Zkladntext"/>
        <w:jc w:val="both"/>
        <w:rPr>
          <w:rFonts w:ascii="Arial" w:hAnsi="Arial" w:cs="Arial"/>
        </w:rPr>
      </w:pPr>
    </w:p>
    <w:p w14:paraId="5D34B87E" w14:textId="77777777" w:rsidR="00D3579D" w:rsidRPr="00E30642" w:rsidRDefault="00D3579D" w:rsidP="00CA23D0">
      <w:pPr>
        <w:pStyle w:val="Zkladntext"/>
        <w:jc w:val="both"/>
        <w:rPr>
          <w:rFonts w:ascii="Arial" w:hAnsi="Arial" w:cs="Arial"/>
        </w:rPr>
      </w:pPr>
    </w:p>
    <w:p w14:paraId="4A96A93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lastRenderedPageBreak/>
        <w:t>Z hlediska přírodních a klimatických podmínek má řešené území města výborné předpoklady pro:</w:t>
      </w:r>
    </w:p>
    <w:p w14:paraId="10E59A77"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krátkodobou letní rekreaci;</w:t>
      </w:r>
    </w:p>
    <w:p w14:paraId="53637CA7"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pěší, vodní a cykloturistiku;</w:t>
      </w:r>
    </w:p>
    <w:p w14:paraId="2AB20011" w14:textId="77777777" w:rsidR="00CA23D0" w:rsidRPr="00E30642" w:rsidRDefault="00CA23D0" w:rsidP="006031D6">
      <w:pPr>
        <w:pStyle w:val="Znaka1"/>
        <w:numPr>
          <w:ilvl w:val="0"/>
          <w:numId w:val="25"/>
        </w:numPr>
        <w:spacing w:before="120" w:line="288" w:lineRule="auto"/>
        <w:ind w:left="425" w:hanging="357"/>
        <w:jc w:val="both"/>
        <w:rPr>
          <w:rFonts w:cs="Arial"/>
          <w:sz w:val="22"/>
          <w:szCs w:val="22"/>
        </w:rPr>
      </w:pPr>
      <w:r w:rsidRPr="00E30642">
        <w:rPr>
          <w:rFonts w:cs="Arial"/>
          <w:sz w:val="22"/>
          <w:szCs w:val="22"/>
        </w:rPr>
        <w:t>horolezectví.</w:t>
      </w:r>
    </w:p>
    <w:p w14:paraId="09B94726" w14:textId="77777777" w:rsidR="00CA23D0" w:rsidRPr="00E30642" w:rsidRDefault="00CA23D0" w:rsidP="00CA23D0">
      <w:pPr>
        <w:pStyle w:val="Zkladntext"/>
        <w:jc w:val="both"/>
        <w:rPr>
          <w:rFonts w:ascii="Arial" w:hAnsi="Arial" w:cs="Arial"/>
        </w:rPr>
      </w:pPr>
    </w:p>
    <w:p w14:paraId="23EB2E69" w14:textId="77777777" w:rsidR="00CA23D0" w:rsidRPr="00E30642" w:rsidRDefault="00CA23D0" w:rsidP="00CA23D0">
      <w:pPr>
        <w:pStyle w:val="Zkladntext"/>
        <w:jc w:val="both"/>
        <w:rPr>
          <w:rFonts w:ascii="Arial" w:hAnsi="Arial" w:cs="Arial"/>
        </w:rPr>
      </w:pPr>
      <w:r w:rsidRPr="00E30642">
        <w:rPr>
          <w:rFonts w:ascii="Arial" w:hAnsi="Arial" w:cs="Arial"/>
          <w:b/>
          <w:bCs/>
          <w:caps/>
        </w:rPr>
        <w:t>Významné turistické trasy</w:t>
      </w:r>
    </w:p>
    <w:p w14:paraId="10602F11"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E3 evropská dálková trasa (červená) vede od Tisé přes Děčínský Sněžník, Děčín (Pastýřská stěna, Stoliční hora), Labskou stáň (Belveder), Hřensko, Mezní louku dále do Chřibské s pokračující trasou Lužickými horami;</w:t>
      </w:r>
    </w:p>
    <w:p w14:paraId="54FA4623"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0308 červená (Děčín Staré Město, Chlum, Lesná, Vrabinec, Buková hora);</w:t>
      </w:r>
    </w:p>
    <w:p w14:paraId="206197F1"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0310 červená (Děčín, Pastýřská stěna, Děčínský Sněžník, Ostrov);</w:t>
      </w:r>
    </w:p>
    <w:p w14:paraId="5B0EA941"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0311 červená (Děčín, Stoliční hora, Kamenský vrch, Labská stráň - Belveder);</w:t>
      </w:r>
    </w:p>
    <w:p w14:paraId="5C7FFF00"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3918 zelená (Horní Žleb, Čertova voda, Maxičky, Děčínský Sněžník, Jílové);</w:t>
      </w:r>
    </w:p>
    <w:p w14:paraId="35667B6B"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3928 zelená (Děčín, Folknáře, Huntířov, Horní Habartice);</w:t>
      </w:r>
    </w:p>
    <w:p w14:paraId="3799783C"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3943 zelená (Děčín, nad Loubím, Kamenský vrch, Bynovec);</w:t>
      </w:r>
    </w:p>
    <w:p w14:paraId="15A670C3"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6921 žlutá (Podmokly, červený vrch, Maxičky, Dolní Žleb);</w:t>
      </w:r>
    </w:p>
    <w:p w14:paraId="2D40AFF3"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rPr>
      </w:pPr>
      <w:r w:rsidRPr="00E30642">
        <w:rPr>
          <w:rFonts w:ascii="Arial" w:hAnsi="Arial" w:cs="Arial"/>
          <w:sz w:val="22"/>
          <w:szCs w:val="22"/>
        </w:rPr>
        <w:t>7001 žlutá (Horní Chlum, Boletice n. L.).</w:t>
      </w:r>
    </w:p>
    <w:p w14:paraId="25AABF37" w14:textId="77777777" w:rsidR="00CA23D0" w:rsidRPr="00E30642" w:rsidRDefault="00CA23D0" w:rsidP="00CA23D0">
      <w:pPr>
        <w:pStyle w:val="Zkladntext"/>
        <w:jc w:val="both"/>
        <w:rPr>
          <w:rFonts w:ascii="Arial" w:hAnsi="Arial" w:cs="Arial"/>
        </w:rPr>
      </w:pPr>
    </w:p>
    <w:p w14:paraId="227674D4" w14:textId="77777777" w:rsidR="00CA23D0" w:rsidRPr="00E30642" w:rsidRDefault="00CA23D0" w:rsidP="00CA23D0">
      <w:pPr>
        <w:pStyle w:val="Zkladntext"/>
        <w:jc w:val="both"/>
        <w:rPr>
          <w:rFonts w:ascii="Arial" w:hAnsi="Arial" w:cs="Arial"/>
        </w:rPr>
      </w:pPr>
      <w:r w:rsidRPr="00E30642">
        <w:rPr>
          <w:rFonts w:ascii="Arial" w:hAnsi="Arial" w:cs="Arial"/>
          <w:b/>
          <w:bCs/>
          <w:caps/>
        </w:rPr>
        <w:t xml:space="preserve">Cykloturistika </w:t>
      </w:r>
    </w:p>
    <w:p w14:paraId="356CA64F"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mezinárodní cyklistická trasa č. 2. trasovaná z Vídně přes Prahu a Děčín do Berlína;</w:t>
      </w:r>
    </w:p>
    <w:p w14:paraId="2434EE81"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dálková trasa č. 53, vedená po Krušných horách přes Sněžník a Děčín na Liberec;</w:t>
      </w:r>
    </w:p>
    <w:p w14:paraId="1DAEA17C"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cyklistický okruh vedený kolem masivu Děčínského Sněžníku po stávajících zpevněných účelových komunikacích, trasa vedená od Sněžníku pod Maxičkami přes Čertův hřbet do Dolního Žlebu;</w:t>
      </w:r>
    </w:p>
    <w:p w14:paraId="4F75C49F"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 xml:space="preserve">trasa vedená z Jalůvčí a Přípeře do Prostředního a Dolního Žlebu podél toku řeky </w:t>
      </w:r>
      <w:r w:rsidRPr="00E30642">
        <w:rPr>
          <w:rFonts w:ascii="Arial" w:hAnsi="Arial" w:cs="Arial"/>
          <w:sz w:val="22"/>
          <w:szCs w:val="22"/>
        </w:rPr>
        <w:tab/>
        <w:t>Labe;</w:t>
      </w:r>
    </w:p>
    <w:p w14:paraId="7404F8E7"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rPr>
      </w:pPr>
      <w:r w:rsidRPr="00E30642">
        <w:rPr>
          <w:rFonts w:ascii="Arial" w:hAnsi="Arial" w:cs="Arial"/>
          <w:sz w:val="22"/>
          <w:szCs w:val="22"/>
        </w:rPr>
        <w:t>nově zřízená trasa vedená z Dolního Žlebu podél Labe ke státní hranici se SRN, kde je otevřen přechod pro cyklisty a chodce s vazbou na systém cyklotras v sousedním Německu.</w:t>
      </w:r>
    </w:p>
    <w:p w14:paraId="7DCD9A65" w14:textId="77777777" w:rsidR="00CA23D0" w:rsidRPr="00E30642" w:rsidRDefault="00CA23D0" w:rsidP="00CA23D0">
      <w:pPr>
        <w:pStyle w:val="Zkladntext"/>
        <w:jc w:val="both"/>
        <w:rPr>
          <w:rFonts w:ascii="Arial" w:hAnsi="Arial" w:cs="Arial"/>
          <w:b/>
          <w:bCs/>
        </w:rPr>
      </w:pPr>
    </w:p>
    <w:p w14:paraId="53A904DC" w14:textId="77777777" w:rsidR="00CA23D0" w:rsidRPr="00E30642" w:rsidRDefault="00CA23D0" w:rsidP="00CA23D0">
      <w:pPr>
        <w:pStyle w:val="Zkladntext"/>
        <w:jc w:val="both"/>
        <w:rPr>
          <w:rFonts w:ascii="Arial" w:hAnsi="Arial" w:cs="Arial"/>
          <w:sz w:val="22"/>
          <w:szCs w:val="22"/>
        </w:rPr>
      </w:pPr>
      <w:r w:rsidRPr="00E30642">
        <w:rPr>
          <w:rFonts w:ascii="Arial" w:hAnsi="Arial" w:cs="Arial"/>
          <w:b/>
          <w:bCs/>
          <w:sz w:val="22"/>
          <w:szCs w:val="22"/>
        </w:rPr>
        <w:t>Předmětem návrhu jsou</w:t>
      </w:r>
      <w:r w:rsidRPr="00E30642">
        <w:rPr>
          <w:rFonts w:ascii="Arial" w:hAnsi="Arial" w:cs="Arial"/>
          <w:sz w:val="22"/>
          <w:szCs w:val="22"/>
        </w:rPr>
        <w:t xml:space="preserve">: </w:t>
      </w:r>
    </w:p>
    <w:p w14:paraId="162C429E"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 xml:space="preserve">cyklistická trasa vedená po pravém břehu řeky Labe ve směru od Těchlovic do Děčína (je součástí mezinárodní trasy č.2),dále od Tyršova mostu podél Labe (levý břeh) na </w:t>
      </w:r>
      <w:r w:rsidRPr="00E30642">
        <w:rPr>
          <w:rFonts w:ascii="Arial" w:hAnsi="Arial" w:cs="Arial"/>
          <w:sz w:val="22"/>
          <w:szCs w:val="22"/>
        </w:rPr>
        <w:tab/>
        <w:t>Dolní Žleb s vazbou na hranici SRN s přechodem H1 - 17 400 m);</w:t>
      </w:r>
    </w:p>
    <w:p w14:paraId="3B0460F2"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cyklistická trasa vedená podél Ploučnice ve směru na Benešov (H3 – 6 400 m);</w:t>
      </w:r>
    </w:p>
    <w:p w14:paraId="3207EA93" w14:textId="77777777" w:rsidR="00CA23D0" w:rsidRPr="00E30642" w:rsidRDefault="00CA23D0" w:rsidP="006031D6">
      <w:pPr>
        <w:pStyle w:val="Zkladntext"/>
        <w:numPr>
          <w:ilvl w:val="0"/>
          <w:numId w:val="26"/>
        </w:numPr>
        <w:suppressAutoHyphens w:val="0"/>
        <w:autoSpaceDE w:val="0"/>
        <w:autoSpaceDN w:val="0"/>
        <w:adjustRightInd w:val="0"/>
        <w:spacing w:before="120" w:after="0" w:line="288" w:lineRule="auto"/>
        <w:ind w:left="426"/>
        <w:jc w:val="both"/>
        <w:rPr>
          <w:rFonts w:ascii="Arial" w:hAnsi="Arial" w:cs="Arial"/>
          <w:sz w:val="22"/>
          <w:szCs w:val="22"/>
        </w:rPr>
      </w:pPr>
      <w:r w:rsidRPr="00E30642">
        <w:rPr>
          <w:rFonts w:ascii="Arial" w:hAnsi="Arial" w:cs="Arial"/>
          <w:sz w:val="22"/>
          <w:szCs w:val="22"/>
        </w:rPr>
        <w:t>cyklistická trasa vedená údolím Jílovského potoka z Podmokel přes Horní Oldřichov do Jílového (H2 - 7300 m).</w:t>
      </w:r>
    </w:p>
    <w:p w14:paraId="74BEC7E4" w14:textId="77777777" w:rsidR="00CA23D0" w:rsidRPr="00E30642" w:rsidRDefault="00CA23D0" w:rsidP="00CA23D0">
      <w:pPr>
        <w:pStyle w:val="podnadpis1"/>
        <w:jc w:val="both"/>
        <w:rPr>
          <w:rFonts w:cs="Arial"/>
        </w:rPr>
      </w:pPr>
      <w:r w:rsidRPr="00E30642">
        <w:rPr>
          <w:rFonts w:cs="Arial"/>
        </w:rPr>
        <w:lastRenderedPageBreak/>
        <w:t>c5. zeleň</w:t>
      </w:r>
    </w:p>
    <w:p w14:paraId="5607626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Krajinná zeleň s ohledem na své vysoké hodnoty (přírodní, půdoochranná, estetická apod.), rozsáhlost a rozmanitost doplněna pískovcovými stěnami na severu a mohutnými kopci Českého středohoří na jihu jí činí velmi přítažlivou a vhodnou pro rekreační využití a turistiku.</w:t>
      </w:r>
    </w:p>
    <w:p w14:paraId="7456C489"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rPr>
        <w:t xml:space="preserve"> </w:t>
      </w:r>
    </w:p>
    <w:p w14:paraId="3FBEA1AC"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Lesních plochy</w:t>
      </w:r>
      <w:r w:rsidRPr="00E30642">
        <w:rPr>
          <w:rFonts w:ascii="Arial" w:hAnsi="Arial" w:cs="Arial"/>
          <w:caps/>
        </w:rPr>
        <w:t xml:space="preserve"> </w:t>
      </w:r>
    </w:p>
    <w:p w14:paraId="0F4D1E8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Lesních ploch je v řešeném území cca 57 % z celkové výměry. Koeficient ekologické stability je pro celé území 4.48, což je území s vysokou převahou přírodních prvků, ekologicky velmi stabilní. Plocha zemědělského půdního fondu je 26 %, z toho orná je 36%. Ostatní plochy zemědělské půdy jsou plochy trvalých travních porostů a sadů. Plochy zemědělské půdy v okrajových částech se budou snižovat v rámci neefektivní zemědělské výroby ve prospěch trvalých travních porostů a z důvodů protierozní ochrany svažitých pozemků i ve prospěch krajinotvorné zeleně, v některých případech i ve prospěch lesních ploch. Změna kultury přispěje k dalšímu zkvalitnění přírodního prostředí.</w:t>
      </w:r>
    </w:p>
    <w:p w14:paraId="1C98C8C2" w14:textId="77777777" w:rsidR="00CA23D0" w:rsidRPr="00E30642" w:rsidRDefault="00CA23D0" w:rsidP="00CA23D0">
      <w:pPr>
        <w:pStyle w:val="Zkladntext"/>
        <w:spacing w:line="240" w:lineRule="atLeast"/>
        <w:jc w:val="both"/>
        <w:rPr>
          <w:rFonts w:ascii="Arial" w:hAnsi="Arial" w:cs="Arial"/>
        </w:rPr>
      </w:pPr>
    </w:p>
    <w:p w14:paraId="2C5A784B"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strukturní zeleň</w:t>
      </w:r>
    </w:p>
    <w:p w14:paraId="25C5A97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Mimo lesní porosty je v řešeném území vysoce zastoupena </w:t>
      </w:r>
      <w:r w:rsidRPr="00E30642">
        <w:rPr>
          <w:rFonts w:ascii="Arial" w:hAnsi="Arial" w:cs="Arial"/>
          <w:b/>
          <w:bCs/>
          <w:sz w:val="22"/>
          <w:szCs w:val="22"/>
        </w:rPr>
        <w:t>strukturní zeleně</w:t>
      </w:r>
      <w:r w:rsidRPr="00E30642">
        <w:rPr>
          <w:rFonts w:ascii="Arial" w:hAnsi="Arial" w:cs="Arial"/>
          <w:sz w:val="22"/>
          <w:szCs w:val="22"/>
        </w:rPr>
        <w:t>, která v okrajových částech zastavěného území přechází až do obytného prostředí města, propojuje městskou část s přírodním prostředím v krajině. Část této zeleně je zařazena i do kategorie lesoparku. Celá řada ploch je na pozem. parcelách "ostatní půda", jedná se zejména o plochy v CHKO České středohoří.</w:t>
      </w:r>
    </w:p>
    <w:p w14:paraId="2B031A5D" w14:textId="77777777" w:rsidR="00CA23D0" w:rsidRPr="00E30642" w:rsidRDefault="00CA23D0" w:rsidP="00CA23D0">
      <w:pPr>
        <w:pStyle w:val="Zkladntext"/>
        <w:spacing w:line="240" w:lineRule="atLeast"/>
        <w:jc w:val="both"/>
        <w:rPr>
          <w:rFonts w:ascii="Arial" w:hAnsi="Arial" w:cs="Arial"/>
        </w:rPr>
      </w:pPr>
    </w:p>
    <w:p w14:paraId="31173D59"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doprovodná zeleň</w:t>
      </w:r>
    </w:p>
    <w:p w14:paraId="639957D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Důležitým krajinným prvkem je </w:t>
      </w:r>
      <w:r w:rsidRPr="00E30642">
        <w:rPr>
          <w:rFonts w:ascii="Arial" w:hAnsi="Arial" w:cs="Arial"/>
          <w:b/>
          <w:sz w:val="22"/>
          <w:szCs w:val="22"/>
        </w:rPr>
        <w:t>doprovodná zeleň</w:t>
      </w:r>
      <w:r w:rsidRPr="00E30642">
        <w:rPr>
          <w:rFonts w:ascii="Arial" w:hAnsi="Arial" w:cs="Arial"/>
          <w:sz w:val="22"/>
          <w:szCs w:val="22"/>
        </w:rPr>
        <w:t xml:space="preserve"> podél vodotečí, místních a polních komunikací. Nejvýraznější břehové porosty jsou podél Jílovského, Chrochvického a Folknářského potoka a Ploučnice. Jílovský potok mimo zastavěné území má hodnotné břehové porosty, které je možné v rámci úprav rozšířit. Ostatní drobné vodoteče mimo zastavěné území mají poměrně zachovalé břehové porosty. Při realizaci přeložky komunikace I/13 do prostoru údolí Chrochvického potoka bude v maximální možné míře zachován přirozený charakter toku, včetně jeho doprovodné zeleně. </w:t>
      </w:r>
    </w:p>
    <w:p w14:paraId="0CCB00FD" w14:textId="77777777" w:rsidR="00CA23D0" w:rsidRPr="00E30642" w:rsidRDefault="00CA23D0" w:rsidP="00CA23D0">
      <w:pPr>
        <w:pStyle w:val="Zkladntext"/>
        <w:spacing w:line="240" w:lineRule="atLeast"/>
        <w:jc w:val="both"/>
        <w:rPr>
          <w:rFonts w:ascii="Arial" w:hAnsi="Arial" w:cs="Arial"/>
        </w:rPr>
      </w:pPr>
    </w:p>
    <w:p w14:paraId="62F19A63"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Městská zeleň</w:t>
      </w:r>
    </w:p>
    <w:p w14:paraId="69BCB5C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Městská zeleň je nenahraditelnou biologickou složkou životního prostředí pro městské obyvatele, chrání je před faktory poškozující životní prostředí - hluk, prach, zachycuje znečištění ovzduší. Důležitým prvkem zeleně je zeleň příměstská, která umožňuje obyvatelům pohyb ve volné přírodě, nahrazuje zčásti zeleň veřejnou. </w:t>
      </w:r>
    </w:p>
    <w:p w14:paraId="0797AAFB"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Specifické pro Děčín jsou </w:t>
      </w:r>
      <w:r w:rsidRPr="00E30642">
        <w:rPr>
          <w:rFonts w:ascii="Arial" w:hAnsi="Arial" w:cs="Arial"/>
          <w:b/>
          <w:sz w:val="22"/>
          <w:szCs w:val="22"/>
        </w:rPr>
        <w:t>plochy parků</w:t>
      </w:r>
      <w:r w:rsidRPr="00E30642">
        <w:rPr>
          <w:rFonts w:ascii="Arial" w:hAnsi="Arial" w:cs="Arial"/>
          <w:sz w:val="22"/>
          <w:szCs w:val="22"/>
        </w:rPr>
        <w:t xml:space="preserve"> na půdoryse města, které plní funkci veřejné zeleně - Stoličná hora, Pastýřská stěna, U kaple a Bažantnice.</w:t>
      </w:r>
    </w:p>
    <w:p w14:paraId="60871E6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Plochy veřejné zeleně jsou roztroušeny i mezi zástavbou, celková výměra veřejné zeleně je cca 24 ha, chybí centrální městský park uprostřed města. U zámeckého rybníka je souvislejší plocha zeleně, která nemá parametry parku.</w:t>
      </w:r>
    </w:p>
    <w:p w14:paraId="3AA6FAC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Nevyužité území je podél Ploučnice, před vyústěním do Labe. Území sloužilo jako skládka demoličního odpadu a je velmi zdevastované.</w:t>
      </w:r>
    </w:p>
    <w:p w14:paraId="32EEE96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Navrženo je vybudování souvislé zelené plochy v tomto prostoru s  tím, že dojde k  propojení stávající zeleně pod zámkem s  navrhovanými sadovými úpravami až k  novému koupališti. Celý komplex zeleně bude doplněn sportovními plochami a cyklistickou stezkou. </w:t>
      </w:r>
      <w:r w:rsidRPr="00E30642">
        <w:rPr>
          <w:rFonts w:ascii="Arial" w:hAnsi="Arial" w:cs="Arial"/>
          <w:b/>
          <w:sz w:val="22"/>
          <w:szCs w:val="22"/>
        </w:rPr>
        <w:t>Podél pravého břehu</w:t>
      </w:r>
      <w:r w:rsidRPr="00E30642">
        <w:rPr>
          <w:rFonts w:ascii="Arial" w:hAnsi="Arial" w:cs="Arial"/>
          <w:sz w:val="22"/>
          <w:szCs w:val="22"/>
        </w:rPr>
        <w:t xml:space="preserve"> Labe bude vybudováno nábřeží s  malým přístavem až na úroveň zastávky Děčín - Staré město. Úpravou nábřeží a přilehlých ploch s propojením na zeleň pod zámkem by vznikl v centru města areál zeleně a sportu. Všechny plochy zeleně by měly vytvořit jeden organický celek, včetně zeleně zámku. </w:t>
      </w:r>
    </w:p>
    <w:p w14:paraId="127CD0B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Navrženo je i ozelenění a úpravy </w:t>
      </w:r>
      <w:r w:rsidRPr="00E30642">
        <w:rPr>
          <w:rFonts w:ascii="Arial" w:hAnsi="Arial" w:cs="Arial"/>
          <w:b/>
          <w:sz w:val="22"/>
          <w:szCs w:val="22"/>
        </w:rPr>
        <w:t>levobřežní části nábřeží</w:t>
      </w:r>
      <w:r w:rsidRPr="00E30642">
        <w:rPr>
          <w:rFonts w:ascii="Arial" w:hAnsi="Arial" w:cs="Arial"/>
          <w:sz w:val="22"/>
          <w:szCs w:val="22"/>
        </w:rPr>
        <w:t xml:space="preserve">, v prostoru zhruba vymezeném novým a starým mostem přes Labe. Nábřeží je nejcennější plochou pro odpočinek ve městě. Pěší zóny podél vodotečí jsou oživením a zkvalitněním životního prostředí ve městě a jsou všude nejkrásnějšími a nejnavštěvovanějšími částmi města. Děčín má ideální předpoklady pro vytvoření nábřeží na obou březích Labe, s možností propojení navrženým přívozem. I z hlediska intenzivního rozvoje vodní osobní dopravy by bylo vhodné vybudovat kvalitní nábřeží, s možností poskytování základních služeb pro kotvící lodě. </w:t>
      </w:r>
    </w:p>
    <w:p w14:paraId="59609E9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Důležitým prvkem v kategorii městské zeleně jsou uliční </w:t>
      </w:r>
      <w:r w:rsidRPr="00E30642">
        <w:rPr>
          <w:rFonts w:ascii="Arial" w:hAnsi="Arial" w:cs="Arial"/>
          <w:b/>
          <w:sz w:val="22"/>
          <w:szCs w:val="22"/>
        </w:rPr>
        <w:t>stromové aleje</w:t>
      </w:r>
      <w:r w:rsidRPr="00E30642">
        <w:rPr>
          <w:rFonts w:ascii="Arial" w:hAnsi="Arial" w:cs="Arial"/>
          <w:sz w:val="22"/>
          <w:szCs w:val="22"/>
        </w:rPr>
        <w:t>. Proto při realizaci nové výstavby budou ulice založeny tak, aby bylo možné vysázet aleje buď po obou stranách ulice, nebo pouze po jedné.</w:t>
      </w:r>
    </w:p>
    <w:p w14:paraId="6AB15FC5" w14:textId="77777777" w:rsidR="00CA23D0" w:rsidRPr="00E30642" w:rsidRDefault="00CA23D0" w:rsidP="00CA23D0">
      <w:pPr>
        <w:pStyle w:val="Zkladntext"/>
        <w:spacing w:line="240" w:lineRule="atLeast"/>
        <w:jc w:val="both"/>
        <w:rPr>
          <w:rFonts w:ascii="Arial" w:hAnsi="Arial" w:cs="Arial"/>
        </w:rPr>
      </w:pPr>
    </w:p>
    <w:p w14:paraId="31B40300"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Sídlištní zeleň</w:t>
      </w:r>
    </w:p>
    <w:p w14:paraId="61E3E93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Sídlištní zeleň je na různém stupni kvality. Převážná část je zatravněna s ojedinělou výsadbou vysoké nebo střední zeleně. Řada sídlišť nemá zeleň řešenu vůbec. Proto je nutné tento problém řešit pořízením projektové dokumentace - generelu zeleně (zpracování projektovou organizací zabývající se zahradní tvorbou) nejen na ozelenění sídlišť, ale i pro navrhovanou zeleň. Sídlištní zeleň vyžaduje rekonstrukci a doplnění, aby splňovala požadavky moderního bydlení, bez nároků na její rozšíření.</w:t>
      </w:r>
    </w:p>
    <w:p w14:paraId="7F7606F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 xml:space="preserve">Plochy zeleně na půdorysu města musí být nezastavitelnými, limitujícími novou výstavbu pro jejich nezastupitelnou funkci. </w:t>
      </w:r>
    </w:p>
    <w:p w14:paraId="6DF62FD5" w14:textId="77777777" w:rsidR="00CA23D0" w:rsidRPr="00E30642" w:rsidRDefault="00CA23D0" w:rsidP="00CA23D0">
      <w:pPr>
        <w:pStyle w:val="Zkladntext"/>
        <w:spacing w:line="240" w:lineRule="atLeast"/>
        <w:jc w:val="both"/>
        <w:rPr>
          <w:rFonts w:ascii="Arial" w:hAnsi="Arial" w:cs="Arial"/>
        </w:rPr>
      </w:pPr>
    </w:p>
    <w:p w14:paraId="1895F332" w14:textId="77777777" w:rsidR="00CA23D0" w:rsidRPr="00E30642" w:rsidRDefault="00CA23D0" w:rsidP="00CA23D0">
      <w:pPr>
        <w:pStyle w:val="Zkladntext"/>
        <w:spacing w:line="240" w:lineRule="atLeast"/>
        <w:jc w:val="both"/>
        <w:rPr>
          <w:rFonts w:ascii="Arial" w:hAnsi="Arial" w:cs="Arial"/>
        </w:rPr>
      </w:pPr>
    </w:p>
    <w:p w14:paraId="4B9F7F88"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Zahrádkářské osady</w:t>
      </w:r>
    </w:p>
    <w:p w14:paraId="40EC715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Zahrádkářské osady jsou převážně umístěné v okrajových částech města. Celková plocha je cca 103 ha. </w:t>
      </w:r>
    </w:p>
    <w:p w14:paraId="49C5679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Největší množství zahrádek je v k.ú. Bělá, Děčín (při Kamenické ul.), Folknáře, Chrochvice, Podmokly a na Starém Městě (pod Chlumem). Zahrádkářské osady vznikly na místech, která nevyhovovala zemědělské velkovýrobě, nebo na ostatních nevyužívaných plochách. Zcela nevhodné je umístění zahrádek v průmyslové zóně u Benaru a v Dělnické ulici. Jde o mimořádně cenné zainvestované plochy z hlediska podnikatelské činnosti, byly zde proto navrženy výhledové plochy pro výstavbu objektů podnikatelských aktivit. Několik lokalit je vymezeno pro trvalé bydlení.</w:t>
      </w:r>
    </w:p>
    <w:p w14:paraId="3523897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Mimo osady zahrádkářského svazu existují plochy soukromých zahrádek, které však netvoří větší souvislé plochy. Tyto zahrádky mají individuální charakter, některé jsou i stavebními parcelami.</w:t>
      </w:r>
    </w:p>
    <w:p w14:paraId="2F5D2E8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Cílem Zahrádkářského svazu je nájemcům prodat zahrádky do soukromého vlastnictví, aby byla zajištěna jejich právní ochrana.</w:t>
      </w:r>
    </w:p>
    <w:p w14:paraId="24CF203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Pro rozvoj individuálních zahrádek jsou navrženy 3 lokality v k.ú. Staré Město (prostor mezi stávající a navrženou trasou silnice II/261) o celkové rozloze 3,0 ha.</w:t>
      </w:r>
      <w:r w:rsidRPr="00E30642">
        <w:rPr>
          <w:rFonts w:ascii="Arial" w:hAnsi="Arial" w:cs="Arial"/>
          <w:sz w:val="22"/>
          <w:szCs w:val="22"/>
        </w:rPr>
        <w:t xml:space="preserve"> Pro tuto činnost - funkci je možno v podstatě využít i jiných nezemědělsky využívaných ploch (nejsou předmětem záboru ZPF), mimo lokalit navržených pro územní rozvoj města (návrhové období, výhledové rezervy).</w:t>
      </w:r>
    </w:p>
    <w:tbl>
      <w:tblPr>
        <w:tblW w:w="0" w:type="auto"/>
        <w:jc w:val="center"/>
        <w:tblLayout w:type="fixed"/>
        <w:tblCellMar>
          <w:left w:w="30" w:type="dxa"/>
          <w:right w:w="30" w:type="dxa"/>
        </w:tblCellMar>
        <w:tblLook w:val="0000" w:firstRow="0" w:lastRow="0" w:firstColumn="0" w:lastColumn="0" w:noHBand="0" w:noVBand="0"/>
      </w:tblPr>
      <w:tblGrid>
        <w:gridCol w:w="1950"/>
        <w:gridCol w:w="887"/>
        <w:gridCol w:w="900"/>
      </w:tblGrid>
      <w:tr w:rsidR="00CA23D0" w:rsidRPr="00E30642" w14:paraId="34636EAB" w14:textId="77777777" w:rsidTr="00CA23D0">
        <w:trPr>
          <w:jc w:val="center"/>
        </w:trPr>
        <w:tc>
          <w:tcPr>
            <w:tcW w:w="1950" w:type="dxa"/>
            <w:vMerge w:val="restart"/>
            <w:tcBorders>
              <w:top w:val="single" w:sz="6" w:space="0" w:color="auto"/>
              <w:left w:val="single" w:sz="6" w:space="0" w:color="auto"/>
              <w:right w:val="single" w:sz="6" w:space="0" w:color="auto"/>
            </w:tcBorders>
          </w:tcPr>
          <w:p w14:paraId="39141E79" w14:textId="77777777" w:rsidR="00CA23D0" w:rsidRPr="00E30642" w:rsidRDefault="00CA23D0" w:rsidP="005179D3">
            <w:pPr>
              <w:pStyle w:val="Texttabulky"/>
              <w:spacing w:after="0"/>
              <w:jc w:val="both"/>
              <w:rPr>
                <w:rFonts w:cs="Arial"/>
              </w:rPr>
            </w:pPr>
            <w:r w:rsidRPr="00E30642">
              <w:rPr>
                <w:rFonts w:cs="Arial"/>
                <w:b/>
                <w:bCs/>
              </w:rPr>
              <w:t>katastrální území</w:t>
            </w:r>
          </w:p>
          <w:p w14:paraId="53E1D3C9" w14:textId="77777777" w:rsidR="00CA23D0" w:rsidRPr="00E30642" w:rsidRDefault="00CA23D0" w:rsidP="005179D3">
            <w:pPr>
              <w:pStyle w:val="Zkladntext"/>
              <w:spacing w:after="0" w:line="240" w:lineRule="atLeast"/>
              <w:jc w:val="both"/>
              <w:rPr>
                <w:rFonts w:ascii="Arial" w:hAnsi="Arial" w:cs="Arial"/>
              </w:rPr>
            </w:pPr>
          </w:p>
          <w:p w14:paraId="198698F8" w14:textId="77777777" w:rsidR="00CA23D0" w:rsidRPr="00E30642" w:rsidRDefault="00CA23D0" w:rsidP="005179D3">
            <w:pPr>
              <w:pStyle w:val="Zkladntext"/>
              <w:spacing w:after="0" w:line="240" w:lineRule="atLeast"/>
              <w:jc w:val="both"/>
              <w:rPr>
                <w:rFonts w:ascii="Arial" w:hAnsi="Arial" w:cs="Arial"/>
              </w:rPr>
            </w:pPr>
          </w:p>
        </w:tc>
        <w:tc>
          <w:tcPr>
            <w:tcW w:w="1787" w:type="dxa"/>
            <w:gridSpan w:val="2"/>
            <w:tcBorders>
              <w:top w:val="single" w:sz="6" w:space="0" w:color="auto"/>
              <w:left w:val="single" w:sz="6" w:space="0" w:color="auto"/>
              <w:bottom w:val="single" w:sz="6" w:space="0" w:color="auto"/>
              <w:right w:val="single" w:sz="6" w:space="0" w:color="auto"/>
            </w:tcBorders>
          </w:tcPr>
          <w:p w14:paraId="5BA7187E" w14:textId="77777777" w:rsidR="00CA23D0" w:rsidRPr="00E30642" w:rsidRDefault="00CA23D0" w:rsidP="005179D3">
            <w:pPr>
              <w:pStyle w:val="Zkladntext"/>
              <w:spacing w:after="0"/>
              <w:jc w:val="both"/>
              <w:rPr>
                <w:rFonts w:ascii="Arial" w:hAnsi="Arial" w:cs="Arial"/>
              </w:rPr>
            </w:pPr>
            <w:r w:rsidRPr="00E30642">
              <w:rPr>
                <w:rFonts w:ascii="Arial" w:hAnsi="Arial" w:cs="Arial"/>
                <w:b/>
                <w:bCs/>
                <w:sz w:val="18"/>
                <w:szCs w:val="18"/>
              </w:rPr>
              <w:t>s t a v</w:t>
            </w:r>
          </w:p>
        </w:tc>
      </w:tr>
      <w:tr w:rsidR="00CA23D0" w:rsidRPr="00E30642" w14:paraId="2DAE0987" w14:textId="77777777" w:rsidTr="00CA23D0">
        <w:trPr>
          <w:jc w:val="center"/>
        </w:trPr>
        <w:tc>
          <w:tcPr>
            <w:tcW w:w="1950" w:type="dxa"/>
            <w:vMerge/>
            <w:tcBorders>
              <w:left w:val="single" w:sz="6" w:space="0" w:color="auto"/>
              <w:bottom w:val="single" w:sz="6" w:space="0" w:color="auto"/>
              <w:right w:val="single" w:sz="6" w:space="0" w:color="auto"/>
            </w:tcBorders>
          </w:tcPr>
          <w:p w14:paraId="6599683E" w14:textId="77777777" w:rsidR="00CA23D0" w:rsidRPr="00E30642" w:rsidRDefault="00CA23D0" w:rsidP="005179D3">
            <w:pPr>
              <w:pStyle w:val="Zkladntext"/>
              <w:spacing w:after="0" w:line="240" w:lineRule="atLeast"/>
              <w:jc w:val="both"/>
              <w:rPr>
                <w:rFonts w:ascii="Arial" w:hAnsi="Arial" w:cs="Arial"/>
              </w:rPr>
            </w:pPr>
          </w:p>
        </w:tc>
        <w:tc>
          <w:tcPr>
            <w:tcW w:w="887" w:type="dxa"/>
            <w:tcBorders>
              <w:top w:val="single" w:sz="6" w:space="0" w:color="auto"/>
              <w:left w:val="single" w:sz="6" w:space="0" w:color="auto"/>
              <w:bottom w:val="single" w:sz="6" w:space="0" w:color="auto"/>
              <w:right w:val="single" w:sz="6" w:space="0" w:color="auto"/>
            </w:tcBorders>
          </w:tcPr>
          <w:p w14:paraId="4940EF5C" w14:textId="77777777" w:rsidR="00CA23D0" w:rsidRPr="00E30642" w:rsidRDefault="00CA23D0" w:rsidP="005179D3">
            <w:pPr>
              <w:pStyle w:val="Texttabulky"/>
              <w:spacing w:after="0" w:line="240" w:lineRule="atLeast"/>
              <w:jc w:val="both"/>
              <w:rPr>
                <w:rFonts w:cs="Arial"/>
              </w:rPr>
            </w:pPr>
            <w:r w:rsidRPr="00E30642">
              <w:rPr>
                <w:rFonts w:cs="Arial"/>
                <w:b/>
                <w:bCs/>
              </w:rPr>
              <w:t>počet lokalit</w:t>
            </w:r>
          </w:p>
        </w:tc>
        <w:tc>
          <w:tcPr>
            <w:tcW w:w="900" w:type="dxa"/>
            <w:tcBorders>
              <w:top w:val="single" w:sz="6" w:space="0" w:color="auto"/>
              <w:left w:val="single" w:sz="6" w:space="0" w:color="auto"/>
              <w:bottom w:val="single" w:sz="6" w:space="0" w:color="auto"/>
              <w:right w:val="single" w:sz="6" w:space="0" w:color="auto"/>
            </w:tcBorders>
          </w:tcPr>
          <w:p w14:paraId="5B2B7848" w14:textId="77777777" w:rsidR="00CA23D0" w:rsidRPr="00E30642" w:rsidRDefault="00CA23D0" w:rsidP="005179D3">
            <w:pPr>
              <w:pStyle w:val="Texttabulky"/>
              <w:spacing w:after="0"/>
              <w:jc w:val="both"/>
              <w:rPr>
                <w:rFonts w:cs="Arial"/>
              </w:rPr>
            </w:pPr>
            <w:r w:rsidRPr="00E30642">
              <w:rPr>
                <w:rFonts w:cs="Arial"/>
                <w:b/>
                <w:bCs/>
              </w:rPr>
              <w:t>výměra</w:t>
            </w:r>
          </w:p>
          <w:p w14:paraId="2DB25685" w14:textId="77777777" w:rsidR="00CA23D0" w:rsidRPr="00E30642" w:rsidRDefault="00CA23D0" w:rsidP="005179D3">
            <w:pPr>
              <w:pStyle w:val="Texttabulky"/>
              <w:spacing w:after="0"/>
              <w:jc w:val="both"/>
              <w:rPr>
                <w:rFonts w:cs="Arial"/>
              </w:rPr>
            </w:pPr>
            <w:r w:rsidRPr="00E30642">
              <w:rPr>
                <w:rFonts w:cs="Arial"/>
                <w:b/>
                <w:bCs/>
              </w:rPr>
              <w:t>v  ha</w:t>
            </w:r>
          </w:p>
        </w:tc>
      </w:tr>
      <w:tr w:rsidR="00CA23D0" w:rsidRPr="00E30642" w14:paraId="33274909"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08B05863" w14:textId="77777777" w:rsidR="00CA23D0" w:rsidRPr="00E30642" w:rsidRDefault="00CA23D0" w:rsidP="005179D3">
            <w:pPr>
              <w:pStyle w:val="Texttabulky"/>
              <w:spacing w:after="0" w:line="240" w:lineRule="atLeast"/>
              <w:jc w:val="both"/>
              <w:rPr>
                <w:rFonts w:cs="Arial"/>
              </w:rPr>
            </w:pPr>
            <w:r w:rsidRPr="00E30642">
              <w:rPr>
                <w:rFonts w:cs="Arial"/>
                <w:sz w:val="18"/>
                <w:szCs w:val="18"/>
              </w:rPr>
              <w:t>Bělá u Děčína</w:t>
            </w:r>
          </w:p>
        </w:tc>
        <w:tc>
          <w:tcPr>
            <w:tcW w:w="887" w:type="dxa"/>
            <w:tcBorders>
              <w:top w:val="single" w:sz="6" w:space="0" w:color="auto"/>
              <w:left w:val="single" w:sz="6" w:space="0" w:color="auto"/>
              <w:bottom w:val="single" w:sz="6" w:space="0" w:color="auto"/>
              <w:right w:val="single" w:sz="6" w:space="0" w:color="auto"/>
            </w:tcBorders>
          </w:tcPr>
          <w:p w14:paraId="703B875B" w14:textId="77777777" w:rsidR="00CA23D0" w:rsidRPr="00E30642" w:rsidRDefault="00CA23D0" w:rsidP="005179D3">
            <w:pPr>
              <w:pStyle w:val="Texttabulky"/>
              <w:spacing w:after="0"/>
              <w:jc w:val="both"/>
              <w:rPr>
                <w:rFonts w:cs="Arial"/>
              </w:rPr>
            </w:pPr>
            <w:r w:rsidRPr="00E30642">
              <w:rPr>
                <w:rFonts w:cs="Arial"/>
                <w:sz w:val="18"/>
                <w:szCs w:val="18"/>
              </w:rPr>
              <w:t>4</w:t>
            </w:r>
          </w:p>
        </w:tc>
        <w:tc>
          <w:tcPr>
            <w:tcW w:w="900" w:type="dxa"/>
            <w:tcBorders>
              <w:top w:val="single" w:sz="6" w:space="0" w:color="auto"/>
              <w:left w:val="single" w:sz="6" w:space="0" w:color="auto"/>
              <w:bottom w:val="single" w:sz="6" w:space="0" w:color="auto"/>
              <w:right w:val="single" w:sz="6" w:space="0" w:color="auto"/>
            </w:tcBorders>
          </w:tcPr>
          <w:p w14:paraId="36C4B382" w14:textId="77777777" w:rsidR="00CA23D0" w:rsidRPr="00E30642" w:rsidRDefault="00CA23D0" w:rsidP="005179D3">
            <w:pPr>
              <w:pStyle w:val="Texttabulky"/>
              <w:spacing w:after="0"/>
              <w:jc w:val="both"/>
              <w:rPr>
                <w:rFonts w:cs="Arial"/>
              </w:rPr>
            </w:pPr>
            <w:r w:rsidRPr="00E30642">
              <w:rPr>
                <w:rFonts w:cs="Arial"/>
                <w:sz w:val="18"/>
                <w:szCs w:val="18"/>
              </w:rPr>
              <w:t>10,41</w:t>
            </w:r>
          </w:p>
        </w:tc>
      </w:tr>
      <w:tr w:rsidR="00CA23D0" w:rsidRPr="00E30642" w14:paraId="488B9FDA"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0529AAB3" w14:textId="77777777" w:rsidR="00CA23D0" w:rsidRPr="00E30642" w:rsidRDefault="00CA23D0" w:rsidP="005179D3">
            <w:pPr>
              <w:pStyle w:val="Texttabulky"/>
              <w:spacing w:after="0" w:line="240" w:lineRule="atLeast"/>
              <w:jc w:val="both"/>
              <w:rPr>
                <w:rFonts w:cs="Arial"/>
              </w:rPr>
            </w:pPr>
            <w:r w:rsidRPr="00E30642">
              <w:rPr>
                <w:rFonts w:cs="Arial"/>
                <w:sz w:val="18"/>
                <w:szCs w:val="18"/>
              </w:rPr>
              <w:t>Boletice nad Labem</w:t>
            </w:r>
          </w:p>
        </w:tc>
        <w:tc>
          <w:tcPr>
            <w:tcW w:w="887" w:type="dxa"/>
            <w:tcBorders>
              <w:top w:val="single" w:sz="6" w:space="0" w:color="auto"/>
              <w:left w:val="single" w:sz="6" w:space="0" w:color="auto"/>
              <w:bottom w:val="single" w:sz="6" w:space="0" w:color="auto"/>
              <w:right w:val="single" w:sz="6" w:space="0" w:color="auto"/>
            </w:tcBorders>
          </w:tcPr>
          <w:p w14:paraId="2A8652FF" w14:textId="77777777" w:rsidR="00CA23D0" w:rsidRPr="00E30642" w:rsidRDefault="00CA23D0" w:rsidP="005179D3">
            <w:pPr>
              <w:pStyle w:val="Texttabulky"/>
              <w:spacing w:after="0"/>
              <w:jc w:val="both"/>
              <w:rPr>
                <w:rFonts w:cs="Arial"/>
              </w:rPr>
            </w:pPr>
            <w:r w:rsidRPr="00E30642">
              <w:rPr>
                <w:rFonts w:cs="Arial"/>
                <w:sz w:val="18"/>
                <w:szCs w:val="18"/>
              </w:rPr>
              <w:t>3</w:t>
            </w:r>
          </w:p>
        </w:tc>
        <w:tc>
          <w:tcPr>
            <w:tcW w:w="900" w:type="dxa"/>
            <w:tcBorders>
              <w:top w:val="single" w:sz="6" w:space="0" w:color="auto"/>
              <w:left w:val="single" w:sz="6" w:space="0" w:color="auto"/>
              <w:bottom w:val="single" w:sz="6" w:space="0" w:color="auto"/>
              <w:right w:val="single" w:sz="6" w:space="0" w:color="auto"/>
            </w:tcBorders>
          </w:tcPr>
          <w:p w14:paraId="7E2ABC6D" w14:textId="77777777" w:rsidR="00CA23D0" w:rsidRPr="00E30642" w:rsidRDefault="00CA23D0" w:rsidP="005179D3">
            <w:pPr>
              <w:pStyle w:val="Texttabulky"/>
              <w:spacing w:after="0"/>
              <w:jc w:val="both"/>
              <w:rPr>
                <w:rFonts w:cs="Arial"/>
              </w:rPr>
            </w:pPr>
            <w:r w:rsidRPr="00E30642">
              <w:rPr>
                <w:rFonts w:cs="Arial"/>
                <w:sz w:val="18"/>
                <w:szCs w:val="18"/>
              </w:rPr>
              <w:t>2,95</w:t>
            </w:r>
          </w:p>
        </w:tc>
      </w:tr>
      <w:tr w:rsidR="00CA23D0" w:rsidRPr="00E30642" w14:paraId="378352AC"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2F804A95" w14:textId="77777777" w:rsidR="00CA23D0" w:rsidRPr="00E30642" w:rsidRDefault="00CA23D0" w:rsidP="005179D3">
            <w:pPr>
              <w:pStyle w:val="Texttabulky"/>
              <w:spacing w:after="0" w:line="240" w:lineRule="atLeast"/>
              <w:jc w:val="both"/>
              <w:rPr>
                <w:rFonts w:cs="Arial"/>
              </w:rPr>
            </w:pPr>
            <w:r w:rsidRPr="00E30642">
              <w:rPr>
                <w:rFonts w:cs="Arial"/>
                <w:sz w:val="18"/>
                <w:szCs w:val="18"/>
              </w:rPr>
              <w:t>Březiny u Děčína</w:t>
            </w:r>
          </w:p>
        </w:tc>
        <w:tc>
          <w:tcPr>
            <w:tcW w:w="887" w:type="dxa"/>
            <w:tcBorders>
              <w:top w:val="single" w:sz="6" w:space="0" w:color="auto"/>
              <w:left w:val="single" w:sz="6" w:space="0" w:color="auto"/>
              <w:bottom w:val="single" w:sz="6" w:space="0" w:color="auto"/>
              <w:right w:val="single" w:sz="6" w:space="0" w:color="auto"/>
            </w:tcBorders>
          </w:tcPr>
          <w:p w14:paraId="67BA0E8B" w14:textId="77777777" w:rsidR="00CA23D0" w:rsidRPr="00E30642" w:rsidRDefault="00CA23D0" w:rsidP="005179D3">
            <w:pPr>
              <w:pStyle w:val="Texttabulky"/>
              <w:spacing w:after="0"/>
              <w:jc w:val="both"/>
              <w:rPr>
                <w:rFonts w:cs="Arial"/>
              </w:rPr>
            </w:pPr>
            <w:r w:rsidRPr="00E30642">
              <w:rPr>
                <w:rFonts w:cs="Arial"/>
                <w:sz w:val="18"/>
                <w:szCs w:val="18"/>
              </w:rPr>
              <w:t>2</w:t>
            </w:r>
          </w:p>
        </w:tc>
        <w:tc>
          <w:tcPr>
            <w:tcW w:w="900" w:type="dxa"/>
            <w:tcBorders>
              <w:top w:val="single" w:sz="6" w:space="0" w:color="auto"/>
              <w:left w:val="single" w:sz="6" w:space="0" w:color="auto"/>
              <w:bottom w:val="single" w:sz="6" w:space="0" w:color="auto"/>
              <w:right w:val="single" w:sz="6" w:space="0" w:color="auto"/>
            </w:tcBorders>
          </w:tcPr>
          <w:p w14:paraId="67CCD138" w14:textId="77777777" w:rsidR="00CA23D0" w:rsidRPr="00E30642" w:rsidRDefault="00CA23D0" w:rsidP="005179D3">
            <w:pPr>
              <w:pStyle w:val="Texttabulky"/>
              <w:spacing w:after="0"/>
              <w:jc w:val="both"/>
              <w:rPr>
                <w:rFonts w:cs="Arial"/>
              </w:rPr>
            </w:pPr>
            <w:r w:rsidRPr="00E30642">
              <w:rPr>
                <w:rFonts w:cs="Arial"/>
                <w:sz w:val="18"/>
                <w:szCs w:val="18"/>
              </w:rPr>
              <w:t>3,69</w:t>
            </w:r>
          </w:p>
        </w:tc>
      </w:tr>
      <w:tr w:rsidR="00CA23D0" w:rsidRPr="00E30642" w14:paraId="4345D488"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44075797" w14:textId="77777777" w:rsidR="00CA23D0" w:rsidRPr="00E30642" w:rsidRDefault="00CA23D0" w:rsidP="005179D3">
            <w:pPr>
              <w:pStyle w:val="Texttabulky"/>
              <w:spacing w:after="0" w:line="240" w:lineRule="atLeast"/>
              <w:jc w:val="both"/>
              <w:rPr>
                <w:rFonts w:cs="Arial"/>
              </w:rPr>
            </w:pPr>
            <w:r w:rsidRPr="00E30642">
              <w:rPr>
                <w:rFonts w:cs="Arial"/>
                <w:sz w:val="18"/>
                <w:szCs w:val="18"/>
              </w:rPr>
              <w:t>Bynov</w:t>
            </w:r>
          </w:p>
        </w:tc>
        <w:tc>
          <w:tcPr>
            <w:tcW w:w="887" w:type="dxa"/>
            <w:tcBorders>
              <w:top w:val="single" w:sz="6" w:space="0" w:color="auto"/>
              <w:left w:val="single" w:sz="6" w:space="0" w:color="auto"/>
              <w:bottom w:val="single" w:sz="6" w:space="0" w:color="auto"/>
              <w:right w:val="single" w:sz="6" w:space="0" w:color="auto"/>
            </w:tcBorders>
          </w:tcPr>
          <w:p w14:paraId="68B82427" w14:textId="77777777" w:rsidR="00CA23D0" w:rsidRPr="00E30642" w:rsidRDefault="00CA23D0" w:rsidP="005179D3">
            <w:pPr>
              <w:pStyle w:val="Texttabulky"/>
              <w:spacing w:after="0"/>
              <w:jc w:val="both"/>
              <w:rPr>
                <w:rFonts w:cs="Arial"/>
              </w:rPr>
            </w:pPr>
            <w:r w:rsidRPr="00E30642">
              <w:rPr>
                <w:rFonts w:cs="Arial"/>
                <w:sz w:val="18"/>
                <w:szCs w:val="18"/>
              </w:rPr>
              <w:t>2</w:t>
            </w:r>
          </w:p>
        </w:tc>
        <w:tc>
          <w:tcPr>
            <w:tcW w:w="900" w:type="dxa"/>
            <w:tcBorders>
              <w:top w:val="single" w:sz="6" w:space="0" w:color="auto"/>
              <w:left w:val="single" w:sz="6" w:space="0" w:color="auto"/>
              <w:bottom w:val="single" w:sz="6" w:space="0" w:color="auto"/>
              <w:right w:val="single" w:sz="6" w:space="0" w:color="auto"/>
            </w:tcBorders>
          </w:tcPr>
          <w:p w14:paraId="7B4FE65F" w14:textId="77777777" w:rsidR="00CA23D0" w:rsidRPr="00E30642" w:rsidRDefault="00CA23D0" w:rsidP="005179D3">
            <w:pPr>
              <w:pStyle w:val="Texttabulky"/>
              <w:spacing w:after="0"/>
              <w:jc w:val="both"/>
              <w:rPr>
                <w:rFonts w:cs="Arial"/>
              </w:rPr>
            </w:pPr>
            <w:r w:rsidRPr="00E30642">
              <w:rPr>
                <w:rFonts w:cs="Arial"/>
                <w:sz w:val="18"/>
                <w:szCs w:val="18"/>
              </w:rPr>
              <w:t>1,04</w:t>
            </w:r>
          </w:p>
        </w:tc>
      </w:tr>
      <w:tr w:rsidR="00CA23D0" w:rsidRPr="00E30642" w14:paraId="662544EB"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68F72F5C" w14:textId="77777777" w:rsidR="00CA23D0" w:rsidRPr="00E30642" w:rsidRDefault="00CA23D0" w:rsidP="005179D3">
            <w:pPr>
              <w:pStyle w:val="Texttabulky"/>
              <w:spacing w:after="0" w:line="240" w:lineRule="atLeast"/>
              <w:jc w:val="both"/>
              <w:rPr>
                <w:rFonts w:cs="Arial"/>
              </w:rPr>
            </w:pPr>
            <w:r w:rsidRPr="00E30642">
              <w:rPr>
                <w:rFonts w:cs="Arial"/>
                <w:sz w:val="18"/>
                <w:szCs w:val="18"/>
              </w:rPr>
              <w:t>Děčín</w:t>
            </w:r>
          </w:p>
        </w:tc>
        <w:tc>
          <w:tcPr>
            <w:tcW w:w="887" w:type="dxa"/>
            <w:tcBorders>
              <w:top w:val="single" w:sz="6" w:space="0" w:color="auto"/>
              <w:left w:val="single" w:sz="6" w:space="0" w:color="auto"/>
              <w:bottom w:val="single" w:sz="6" w:space="0" w:color="auto"/>
              <w:right w:val="single" w:sz="6" w:space="0" w:color="auto"/>
            </w:tcBorders>
          </w:tcPr>
          <w:p w14:paraId="6DE0C0F9" w14:textId="77777777" w:rsidR="00CA23D0" w:rsidRPr="00E30642" w:rsidRDefault="00CA23D0" w:rsidP="005179D3">
            <w:pPr>
              <w:pStyle w:val="Texttabulky"/>
              <w:spacing w:after="0"/>
              <w:jc w:val="both"/>
              <w:rPr>
                <w:rFonts w:cs="Arial"/>
              </w:rPr>
            </w:pPr>
            <w:r w:rsidRPr="00E30642">
              <w:rPr>
                <w:rFonts w:cs="Arial"/>
                <w:sz w:val="18"/>
                <w:szCs w:val="18"/>
              </w:rPr>
              <w:t>8</w:t>
            </w:r>
          </w:p>
        </w:tc>
        <w:tc>
          <w:tcPr>
            <w:tcW w:w="900" w:type="dxa"/>
            <w:tcBorders>
              <w:top w:val="single" w:sz="6" w:space="0" w:color="auto"/>
              <w:left w:val="single" w:sz="6" w:space="0" w:color="auto"/>
              <w:bottom w:val="single" w:sz="6" w:space="0" w:color="auto"/>
              <w:right w:val="single" w:sz="6" w:space="0" w:color="auto"/>
            </w:tcBorders>
          </w:tcPr>
          <w:p w14:paraId="62580784" w14:textId="77777777" w:rsidR="00CA23D0" w:rsidRPr="00E30642" w:rsidRDefault="00CA23D0" w:rsidP="005179D3">
            <w:pPr>
              <w:pStyle w:val="Texttabulky"/>
              <w:spacing w:after="0"/>
              <w:jc w:val="both"/>
              <w:rPr>
                <w:rFonts w:cs="Arial"/>
              </w:rPr>
            </w:pPr>
            <w:r w:rsidRPr="00E30642">
              <w:rPr>
                <w:rFonts w:cs="Arial"/>
                <w:sz w:val="18"/>
                <w:szCs w:val="18"/>
              </w:rPr>
              <w:t>15,51</w:t>
            </w:r>
          </w:p>
        </w:tc>
      </w:tr>
      <w:tr w:rsidR="00CA23D0" w:rsidRPr="00E30642" w14:paraId="56E2723E"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3ED1CFC7" w14:textId="77777777" w:rsidR="00CA23D0" w:rsidRPr="00E30642" w:rsidRDefault="00CA23D0" w:rsidP="005179D3">
            <w:pPr>
              <w:pStyle w:val="Texttabulky"/>
              <w:spacing w:after="0" w:line="240" w:lineRule="atLeast"/>
              <w:jc w:val="both"/>
              <w:rPr>
                <w:rFonts w:cs="Arial"/>
              </w:rPr>
            </w:pPr>
            <w:r w:rsidRPr="00E30642">
              <w:rPr>
                <w:rFonts w:cs="Arial"/>
                <w:sz w:val="18"/>
                <w:szCs w:val="18"/>
              </w:rPr>
              <w:t>Děčín-Staré Město</w:t>
            </w:r>
          </w:p>
        </w:tc>
        <w:tc>
          <w:tcPr>
            <w:tcW w:w="887" w:type="dxa"/>
            <w:tcBorders>
              <w:top w:val="single" w:sz="6" w:space="0" w:color="auto"/>
              <w:left w:val="single" w:sz="6" w:space="0" w:color="auto"/>
              <w:bottom w:val="single" w:sz="6" w:space="0" w:color="auto"/>
              <w:right w:val="single" w:sz="6" w:space="0" w:color="auto"/>
            </w:tcBorders>
          </w:tcPr>
          <w:p w14:paraId="121CC80F" w14:textId="77777777" w:rsidR="00CA23D0" w:rsidRPr="00E30642" w:rsidRDefault="00CA23D0" w:rsidP="005179D3">
            <w:pPr>
              <w:pStyle w:val="Texttabulky"/>
              <w:spacing w:after="0"/>
              <w:jc w:val="both"/>
              <w:rPr>
                <w:rFonts w:cs="Arial"/>
              </w:rPr>
            </w:pPr>
            <w:r w:rsidRPr="00E30642">
              <w:rPr>
                <w:rFonts w:cs="Arial"/>
                <w:sz w:val="18"/>
                <w:szCs w:val="18"/>
              </w:rPr>
              <w:t>14</w:t>
            </w:r>
          </w:p>
        </w:tc>
        <w:tc>
          <w:tcPr>
            <w:tcW w:w="900" w:type="dxa"/>
            <w:tcBorders>
              <w:top w:val="single" w:sz="6" w:space="0" w:color="auto"/>
              <w:left w:val="single" w:sz="6" w:space="0" w:color="auto"/>
              <w:bottom w:val="single" w:sz="6" w:space="0" w:color="auto"/>
              <w:right w:val="single" w:sz="6" w:space="0" w:color="auto"/>
            </w:tcBorders>
          </w:tcPr>
          <w:p w14:paraId="753394DA" w14:textId="77777777" w:rsidR="00CA23D0" w:rsidRPr="00E30642" w:rsidRDefault="00CA23D0" w:rsidP="005179D3">
            <w:pPr>
              <w:pStyle w:val="Texttabulky"/>
              <w:spacing w:after="0"/>
              <w:jc w:val="both"/>
              <w:rPr>
                <w:rFonts w:cs="Arial"/>
              </w:rPr>
            </w:pPr>
            <w:r w:rsidRPr="00E30642">
              <w:rPr>
                <w:rFonts w:cs="Arial"/>
                <w:sz w:val="18"/>
                <w:szCs w:val="18"/>
              </w:rPr>
              <w:t>21,65</w:t>
            </w:r>
          </w:p>
        </w:tc>
      </w:tr>
      <w:tr w:rsidR="00CA23D0" w:rsidRPr="00E30642" w14:paraId="58EF9332"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4845A8E3" w14:textId="77777777" w:rsidR="00CA23D0" w:rsidRPr="00E30642" w:rsidRDefault="00CA23D0" w:rsidP="005179D3">
            <w:pPr>
              <w:pStyle w:val="Texttabulky"/>
              <w:spacing w:after="0" w:line="240" w:lineRule="atLeast"/>
              <w:jc w:val="both"/>
              <w:rPr>
                <w:rFonts w:cs="Arial"/>
              </w:rPr>
            </w:pPr>
            <w:r w:rsidRPr="00E30642">
              <w:rPr>
                <w:rFonts w:cs="Arial"/>
                <w:sz w:val="18"/>
                <w:szCs w:val="18"/>
              </w:rPr>
              <w:t>Dolní Žleb</w:t>
            </w:r>
          </w:p>
        </w:tc>
        <w:tc>
          <w:tcPr>
            <w:tcW w:w="887" w:type="dxa"/>
            <w:tcBorders>
              <w:top w:val="single" w:sz="6" w:space="0" w:color="auto"/>
              <w:left w:val="single" w:sz="6" w:space="0" w:color="auto"/>
              <w:bottom w:val="single" w:sz="6" w:space="0" w:color="auto"/>
              <w:right w:val="single" w:sz="6" w:space="0" w:color="auto"/>
            </w:tcBorders>
          </w:tcPr>
          <w:p w14:paraId="336CE9AD" w14:textId="77777777" w:rsidR="00CA23D0" w:rsidRPr="00E30642" w:rsidRDefault="00CA23D0" w:rsidP="005179D3">
            <w:pPr>
              <w:pStyle w:val="Texttabulky"/>
              <w:spacing w:after="0"/>
              <w:jc w:val="both"/>
              <w:rPr>
                <w:rFonts w:cs="Arial"/>
              </w:rPr>
            </w:pPr>
            <w:r w:rsidRPr="00E30642">
              <w:rPr>
                <w:rFonts w:cs="Arial"/>
                <w:sz w:val="18"/>
                <w:szCs w:val="18"/>
              </w:rPr>
              <w:t>0</w:t>
            </w:r>
          </w:p>
        </w:tc>
        <w:tc>
          <w:tcPr>
            <w:tcW w:w="900" w:type="dxa"/>
            <w:tcBorders>
              <w:top w:val="single" w:sz="6" w:space="0" w:color="auto"/>
              <w:left w:val="single" w:sz="6" w:space="0" w:color="auto"/>
              <w:bottom w:val="single" w:sz="6" w:space="0" w:color="auto"/>
              <w:right w:val="single" w:sz="6" w:space="0" w:color="auto"/>
            </w:tcBorders>
          </w:tcPr>
          <w:p w14:paraId="744D6A2F" w14:textId="77777777" w:rsidR="00CA23D0" w:rsidRPr="00E30642" w:rsidRDefault="00CA23D0" w:rsidP="005179D3">
            <w:pPr>
              <w:pStyle w:val="Texttabulky"/>
              <w:spacing w:after="0"/>
              <w:jc w:val="both"/>
              <w:rPr>
                <w:rFonts w:cs="Arial"/>
              </w:rPr>
            </w:pPr>
            <w:r w:rsidRPr="00E30642">
              <w:rPr>
                <w:rFonts w:cs="Arial"/>
                <w:sz w:val="18"/>
                <w:szCs w:val="18"/>
              </w:rPr>
              <w:t>0</w:t>
            </w:r>
          </w:p>
        </w:tc>
      </w:tr>
      <w:tr w:rsidR="00CA23D0" w:rsidRPr="00E30642" w14:paraId="245F0CF6"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79EEC465" w14:textId="77777777" w:rsidR="00CA23D0" w:rsidRPr="00E30642" w:rsidRDefault="00CA23D0" w:rsidP="005179D3">
            <w:pPr>
              <w:pStyle w:val="Texttabulky"/>
              <w:spacing w:after="0" w:line="240" w:lineRule="atLeast"/>
              <w:jc w:val="both"/>
              <w:rPr>
                <w:rFonts w:cs="Arial"/>
              </w:rPr>
            </w:pPr>
            <w:r w:rsidRPr="00E30642">
              <w:rPr>
                <w:rFonts w:cs="Arial"/>
                <w:sz w:val="18"/>
                <w:szCs w:val="18"/>
              </w:rPr>
              <w:t>Folknáře</w:t>
            </w:r>
          </w:p>
        </w:tc>
        <w:tc>
          <w:tcPr>
            <w:tcW w:w="887" w:type="dxa"/>
            <w:tcBorders>
              <w:top w:val="single" w:sz="6" w:space="0" w:color="auto"/>
              <w:left w:val="single" w:sz="6" w:space="0" w:color="auto"/>
              <w:bottom w:val="single" w:sz="6" w:space="0" w:color="auto"/>
              <w:right w:val="single" w:sz="6" w:space="0" w:color="auto"/>
            </w:tcBorders>
          </w:tcPr>
          <w:p w14:paraId="57F151B9" w14:textId="77777777" w:rsidR="00CA23D0" w:rsidRPr="00E30642" w:rsidRDefault="00CA23D0" w:rsidP="005179D3">
            <w:pPr>
              <w:pStyle w:val="Texttabulky"/>
              <w:spacing w:after="0"/>
              <w:jc w:val="both"/>
              <w:rPr>
                <w:rFonts w:cs="Arial"/>
              </w:rPr>
            </w:pPr>
            <w:r w:rsidRPr="00E30642">
              <w:rPr>
                <w:rFonts w:cs="Arial"/>
                <w:sz w:val="18"/>
                <w:szCs w:val="18"/>
              </w:rPr>
              <w:t>4</w:t>
            </w:r>
          </w:p>
        </w:tc>
        <w:tc>
          <w:tcPr>
            <w:tcW w:w="900" w:type="dxa"/>
            <w:tcBorders>
              <w:top w:val="single" w:sz="6" w:space="0" w:color="auto"/>
              <w:left w:val="single" w:sz="6" w:space="0" w:color="auto"/>
              <w:bottom w:val="single" w:sz="6" w:space="0" w:color="auto"/>
              <w:right w:val="single" w:sz="6" w:space="0" w:color="auto"/>
            </w:tcBorders>
          </w:tcPr>
          <w:p w14:paraId="5FD909EF" w14:textId="77777777" w:rsidR="00CA23D0" w:rsidRPr="00E30642" w:rsidRDefault="00CA23D0" w:rsidP="005179D3">
            <w:pPr>
              <w:pStyle w:val="Texttabulky"/>
              <w:spacing w:after="0"/>
              <w:jc w:val="both"/>
              <w:rPr>
                <w:rFonts w:cs="Arial"/>
              </w:rPr>
            </w:pPr>
            <w:r w:rsidRPr="00E30642">
              <w:rPr>
                <w:rFonts w:cs="Arial"/>
                <w:sz w:val="18"/>
                <w:szCs w:val="18"/>
              </w:rPr>
              <w:t>8,84</w:t>
            </w:r>
          </w:p>
        </w:tc>
      </w:tr>
      <w:tr w:rsidR="00CA23D0" w:rsidRPr="00E30642" w14:paraId="5E2C4FC3"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6D810BDC" w14:textId="77777777" w:rsidR="00CA23D0" w:rsidRPr="00E30642" w:rsidRDefault="00CA23D0" w:rsidP="005179D3">
            <w:pPr>
              <w:pStyle w:val="Texttabulky"/>
              <w:spacing w:after="0" w:line="240" w:lineRule="atLeast"/>
              <w:jc w:val="both"/>
              <w:rPr>
                <w:rFonts w:cs="Arial"/>
              </w:rPr>
            </w:pPr>
            <w:r w:rsidRPr="00E30642">
              <w:rPr>
                <w:rFonts w:cs="Arial"/>
                <w:sz w:val="18"/>
                <w:szCs w:val="18"/>
              </w:rPr>
              <w:t>Horní Oldřichov</w:t>
            </w:r>
          </w:p>
        </w:tc>
        <w:tc>
          <w:tcPr>
            <w:tcW w:w="887" w:type="dxa"/>
            <w:tcBorders>
              <w:top w:val="single" w:sz="6" w:space="0" w:color="auto"/>
              <w:left w:val="single" w:sz="6" w:space="0" w:color="auto"/>
              <w:bottom w:val="single" w:sz="6" w:space="0" w:color="auto"/>
              <w:right w:val="single" w:sz="6" w:space="0" w:color="auto"/>
            </w:tcBorders>
          </w:tcPr>
          <w:p w14:paraId="0AB0F69A" w14:textId="77777777" w:rsidR="00CA23D0" w:rsidRPr="00E30642" w:rsidRDefault="00CA23D0" w:rsidP="005179D3">
            <w:pPr>
              <w:pStyle w:val="Texttabulky"/>
              <w:spacing w:after="0"/>
              <w:jc w:val="both"/>
              <w:rPr>
                <w:rFonts w:cs="Arial"/>
              </w:rPr>
            </w:pPr>
            <w:r w:rsidRPr="00E30642">
              <w:rPr>
                <w:rFonts w:cs="Arial"/>
                <w:sz w:val="18"/>
                <w:szCs w:val="18"/>
              </w:rPr>
              <w:t>4</w:t>
            </w:r>
          </w:p>
        </w:tc>
        <w:tc>
          <w:tcPr>
            <w:tcW w:w="900" w:type="dxa"/>
            <w:tcBorders>
              <w:top w:val="single" w:sz="6" w:space="0" w:color="auto"/>
              <w:left w:val="single" w:sz="6" w:space="0" w:color="auto"/>
              <w:bottom w:val="single" w:sz="6" w:space="0" w:color="auto"/>
              <w:right w:val="single" w:sz="6" w:space="0" w:color="auto"/>
            </w:tcBorders>
          </w:tcPr>
          <w:p w14:paraId="41F13934" w14:textId="77777777" w:rsidR="00CA23D0" w:rsidRPr="00E30642" w:rsidRDefault="00CA23D0" w:rsidP="005179D3">
            <w:pPr>
              <w:pStyle w:val="Texttabulky"/>
              <w:spacing w:after="0"/>
              <w:jc w:val="both"/>
              <w:rPr>
                <w:rFonts w:cs="Arial"/>
              </w:rPr>
            </w:pPr>
            <w:r w:rsidRPr="00E30642">
              <w:rPr>
                <w:rFonts w:cs="Arial"/>
                <w:sz w:val="18"/>
                <w:szCs w:val="18"/>
              </w:rPr>
              <w:t>2,93</w:t>
            </w:r>
          </w:p>
        </w:tc>
      </w:tr>
      <w:tr w:rsidR="00CA23D0" w:rsidRPr="00E30642" w14:paraId="05F3E94B"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64FCDDCE" w14:textId="77777777" w:rsidR="00CA23D0" w:rsidRPr="00E30642" w:rsidRDefault="00CA23D0" w:rsidP="005179D3">
            <w:pPr>
              <w:pStyle w:val="Texttabulky"/>
              <w:spacing w:after="0" w:line="240" w:lineRule="atLeast"/>
              <w:jc w:val="both"/>
              <w:rPr>
                <w:rFonts w:cs="Arial"/>
              </w:rPr>
            </w:pPr>
            <w:r w:rsidRPr="00E30642">
              <w:rPr>
                <w:rFonts w:cs="Arial"/>
                <w:sz w:val="18"/>
                <w:szCs w:val="18"/>
              </w:rPr>
              <w:t>Hoštice nad Labem</w:t>
            </w:r>
          </w:p>
        </w:tc>
        <w:tc>
          <w:tcPr>
            <w:tcW w:w="887" w:type="dxa"/>
            <w:tcBorders>
              <w:top w:val="single" w:sz="6" w:space="0" w:color="auto"/>
              <w:left w:val="single" w:sz="6" w:space="0" w:color="auto"/>
              <w:bottom w:val="single" w:sz="6" w:space="0" w:color="auto"/>
              <w:right w:val="single" w:sz="6" w:space="0" w:color="auto"/>
            </w:tcBorders>
          </w:tcPr>
          <w:p w14:paraId="53D60C3D" w14:textId="77777777" w:rsidR="00CA23D0" w:rsidRPr="00E30642" w:rsidRDefault="00CA23D0" w:rsidP="005179D3">
            <w:pPr>
              <w:pStyle w:val="Texttabulky"/>
              <w:spacing w:after="0"/>
              <w:jc w:val="both"/>
              <w:rPr>
                <w:rFonts w:cs="Arial"/>
              </w:rPr>
            </w:pPr>
            <w:r w:rsidRPr="00E30642">
              <w:rPr>
                <w:rFonts w:cs="Arial"/>
                <w:sz w:val="18"/>
                <w:szCs w:val="18"/>
              </w:rPr>
              <w:t>0</w:t>
            </w:r>
          </w:p>
        </w:tc>
        <w:tc>
          <w:tcPr>
            <w:tcW w:w="900" w:type="dxa"/>
            <w:tcBorders>
              <w:top w:val="single" w:sz="6" w:space="0" w:color="auto"/>
              <w:left w:val="single" w:sz="6" w:space="0" w:color="auto"/>
              <w:bottom w:val="single" w:sz="6" w:space="0" w:color="auto"/>
              <w:right w:val="single" w:sz="6" w:space="0" w:color="auto"/>
            </w:tcBorders>
          </w:tcPr>
          <w:p w14:paraId="55A06949" w14:textId="77777777" w:rsidR="00CA23D0" w:rsidRPr="00E30642" w:rsidRDefault="00CA23D0" w:rsidP="005179D3">
            <w:pPr>
              <w:pStyle w:val="Texttabulky"/>
              <w:spacing w:after="0"/>
              <w:jc w:val="both"/>
              <w:rPr>
                <w:rFonts w:cs="Arial"/>
              </w:rPr>
            </w:pPr>
            <w:r w:rsidRPr="00E30642">
              <w:rPr>
                <w:rFonts w:cs="Arial"/>
                <w:sz w:val="18"/>
                <w:szCs w:val="18"/>
              </w:rPr>
              <w:t>0</w:t>
            </w:r>
          </w:p>
        </w:tc>
      </w:tr>
      <w:tr w:rsidR="00CA23D0" w:rsidRPr="00E30642" w14:paraId="426497EB"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79499891" w14:textId="77777777" w:rsidR="00CA23D0" w:rsidRPr="00E30642" w:rsidRDefault="00CA23D0" w:rsidP="005179D3">
            <w:pPr>
              <w:pStyle w:val="Texttabulky"/>
              <w:spacing w:after="0" w:line="240" w:lineRule="atLeast"/>
              <w:jc w:val="both"/>
              <w:rPr>
                <w:rFonts w:cs="Arial"/>
              </w:rPr>
            </w:pPr>
            <w:r w:rsidRPr="00E30642">
              <w:rPr>
                <w:rFonts w:cs="Arial"/>
                <w:sz w:val="18"/>
                <w:szCs w:val="18"/>
              </w:rPr>
              <w:t>Chlum u Děčína</w:t>
            </w:r>
          </w:p>
        </w:tc>
        <w:tc>
          <w:tcPr>
            <w:tcW w:w="887" w:type="dxa"/>
            <w:tcBorders>
              <w:top w:val="single" w:sz="6" w:space="0" w:color="auto"/>
              <w:left w:val="single" w:sz="6" w:space="0" w:color="auto"/>
              <w:bottom w:val="single" w:sz="6" w:space="0" w:color="auto"/>
              <w:right w:val="single" w:sz="6" w:space="0" w:color="auto"/>
            </w:tcBorders>
          </w:tcPr>
          <w:p w14:paraId="176EE6F8" w14:textId="77777777" w:rsidR="00CA23D0" w:rsidRPr="00E30642" w:rsidRDefault="00CA23D0" w:rsidP="005179D3">
            <w:pPr>
              <w:pStyle w:val="Texttabulky"/>
              <w:spacing w:after="0"/>
              <w:jc w:val="both"/>
              <w:rPr>
                <w:rFonts w:cs="Arial"/>
              </w:rPr>
            </w:pPr>
            <w:r w:rsidRPr="00E30642">
              <w:rPr>
                <w:rFonts w:cs="Arial"/>
                <w:sz w:val="18"/>
                <w:szCs w:val="18"/>
              </w:rPr>
              <w:t>0</w:t>
            </w:r>
          </w:p>
        </w:tc>
        <w:tc>
          <w:tcPr>
            <w:tcW w:w="900" w:type="dxa"/>
            <w:tcBorders>
              <w:top w:val="single" w:sz="6" w:space="0" w:color="auto"/>
              <w:left w:val="single" w:sz="6" w:space="0" w:color="auto"/>
              <w:bottom w:val="single" w:sz="6" w:space="0" w:color="auto"/>
              <w:right w:val="single" w:sz="6" w:space="0" w:color="auto"/>
            </w:tcBorders>
          </w:tcPr>
          <w:p w14:paraId="149F67FA" w14:textId="77777777" w:rsidR="00CA23D0" w:rsidRPr="00E30642" w:rsidRDefault="00CA23D0" w:rsidP="005179D3">
            <w:pPr>
              <w:pStyle w:val="Texttabulky"/>
              <w:spacing w:after="0"/>
              <w:jc w:val="both"/>
              <w:rPr>
                <w:rFonts w:cs="Arial"/>
              </w:rPr>
            </w:pPr>
            <w:r w:rsidRPr="00E30642">
              <w:rPr>
                <w:rFonts w:cs="Arial"/>
                <w:sz w:val="18"/>
                <w:szCs w:val="18"/>
              </w:rPr>
              <w:t>0</w:t>
            </w:r>
          </w:p>
        </w:tc>
      </w:tr>
      <w:tr w:rsidR="00CA23D0" w:rsidRPr="00E30642" w14:paraId="240137A9"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2824F1C2" w14:textId="77777777" w:rsidR="00CA23D0" w:rsidRPr="00E30642" w:rsidRDefault="00CA23D0" w:rsidP="005179D3">
            <w:pPr>
              <w:pStyle w:val="Texttabulky"/>
              <w:spacing w:after="0" w:line="240" w:lineRule="atLeast"/>
              <w:jc w:val="both"/>
              <w:rPr>
                <w:rFonts w:cs="Arial"/>
              </w:rPr>
            </w:pPr>
            <w:r w:rsidRPr="00E30642">
              <w:rPr>
                <w:rFonts w:cs="Arial"/>
                <w:sz w:val="18"/>
                <w:szCs w:val="18"/>
              </w:rPr>
              <w:t>Chrochvice</w:t>
            </w:r>
          </w:p>
        </w:tc>
        <w:tc>
          <w:tcPr>
            <w:tcW w:w="887" w:type="dxa"/>
            <w:tcBorders>
              <w:top w:val="single" w:sz="6" w:space="0" w:color="auto"/>
              <w:left w:val="single" w:sz="6" w:space="0" w:color="auto"/>
              <w:bottom w:val="single" w:sz="6" w:space="0" w:color="auto"/>
              <w:right w:val="single" w:sz="6" w:space="0" w:color="auto"/>
            </w:tcBorders>
          </w:tcPr>
          <w:p w14:paraId="2C5B5BB8" w14:textId="77777777" w:rsidR="00CA23D0" w:rsidRPr="00E30642" w:rsidRDefault="00CA23D0" w:rsidP="005179D3">
            <w:pPr>
              <w:pStyle w:val="Texttabulky"/>
              <w:spacing w:after="0"/>
              <w:jc w:val="both"/>
              <w:rPr>
                <w:rFonts w:cs="Arial"/>
              </w:rPr>
            </w:pPr>
            <w:r w:rsidRPr="00E30642">
              <w:rPr>
                <w:rFonts w:cs="Arial"/>
                <w:sz w:val="18"/>
                <w:szCs w:val="18"/>
              </w:rPr>
              <w:t>2</w:t>
            </w:r>
          </w:p>
        </w:tc>
        <w:tc>
          <w:tcPr>
            <w:tcW w:w="900" w:type="dxa"/>
            <w:tcBorders>
              <w:top w:val="single" w:sz="6" w:space="0" w:color="auto"/>
              <w:left w:val="single" w:sz="6" w:space="0" w:color="auto"/>
              <w:bottom w:val="single" w:sz="6" w:space="0" w:color="auto"/>
              <w:right w:val="single" w:sz="6" w:space="0" w:color="auto"/>
            </w:tcBorders>
          </w:tcPr>
          <w:p w14:paraId="47DA7D2E" w14:textId="77777777" w:rsidR="00CA23D0" w:rsidRPr="00E30642" w:rsidRDefault="00CA23D0" w:rsidP="005179D3">
            <w:pPr>
              <w:pStyle w:val="Texttabulky"/>
              <w:spacing w:after="0"/>
              <w:jc w:val="both"/>
              <w:rPr>
                <w:rFonts w:cs="Arial"/>
              </w:rPr>
            </w:pPr>
            <w:r w:rsidRPr="00E30642">
              <w:rPr>
                <w:rFonts w:cs="Arial"/>
                <w:sz w:val="18"/>
                <w:szCs w:val="18"/>
              </w:rPr>
              <w:t>9,18</w:t>
            </w:r>
          </w:p>
        </w:tc>
      </w:tr>
      <w:tr w:rsidR="00CA23D0" w:rsidRPr="00E30642" w14:paraId="7D643424"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5DC12217" w14:textId="77777777" w:rsidR="00CA23D0" w:rsidRPr="00E30642" w:rsidRDefault="00CA23D0" w:rsidP="005179D3">
            <w:pPr>
              <w:pStyle w:val="Texttabulky"/>
              <w:spacing w:after="0" w:line="240" w:lineRule="atLeast"/>
              <w:jc w:val="both"/>
              <w:rPr>
                <w:rFonts w:cs="Arial"/>
              </w:rPr>
            </w:pPr>
            <w:r w:rsidRPr="00E30642">
              <w:rPr>
                <w:rFonts w:cs="Arial"/>
                <w:sz w:val="18"/>
                <w:szCs w:val="18"/>
              </w:rPr>
              <w:t>Krásný Studenec</w:t>
            </w:r>
          </w:p>
        </w:tc>
        <w:tc>
          <w:tcPr>
            <w:tcW w:w="887" w:type="dxa"/>
            <w:tcBorders>
              <w:top w:val="single" w:sz="6" w:space="0" w:color="auto"/>
              <w:left w:val="single" w:sz="6" w:space="0" w:color="auto"/>
              <w:bottom w:val="single" w:sz="6" w:space="0" w:color="auto"/>
              <w:right w:val="single" w:sz="6" w:space="0" w:color="auto"/>
            </w:tcBorders>
          </w:tcPr>
          <w:p w14:paraId="5545A213" w14:textId="77777777" w:rsidR="00CA23D0" w:rsidRPr="00E30642" w:rsidRDefault="00CA23D0" w:rsidP="005179D3">
            <w:pPr>
              <w:pStyle w:val="Texttabulky"/>
              <w:spacing w:after="0"/>
              <w:jc w:val="both"/>
              <w:rPr>
                <w:rFonts w:cs="Arial"/>
              </w:rPr>
            </w:pPr>
            <w:r w:rsidRPr="00E30642">
              <w:rPr>
                <w:rFonts w:cs="Arial"/>
                <w:sz w:val="18"/>
                <w:szCs w:val="18"/>
              </w:rPr>
              <w:t>1</w:t>
            </w:r>
          </w:p>
        </w:tc>
        <w:tc>
          <w:tcPr>
            <w:tcW w:w="900" w:type="dxa"/>
            <w:tcBorders>
              <w:top w:val="single" w:sz="6" w:space="0" w:color="auto"/>
              <w:left w:val="single" w:sz="6" w:space="0" w:color="auto"/>
              <w:bottom w:val="single" w:sz="6" w:space="0" w:color="auto"/>
              <w:right w:val="single" w:sz="6" w:space="0" w:color="auto"/>
            </w:tcBorders>
          </w:tcPr>
          <w:p w14:paraId="6B6784F2" w14:textId="77777777" w:rsidR="00CA23D0" w:rsidRPr="00E30642" w:rsidRDefault="00CA23D0" w:rsidP="005179D3">
            <w:pPr>
              <w:pStyle w:val="Texttabulky"/>
              <w:spacing w:after="0"/>
              <w:jc w:val="both"/>
              <w:rPr>
                <w:rFonts w:cs="Arial"/>
              </w:rPr>
            </w:pPr>
            <w:r w:rsidRPr="00E30642">
              <w:rPr>
                <w:rFonts w:cs="Arial"/>
                <w:sz w:val="18"/>
                <w:szCs w:val="18"/>
              </w:rPr>
              <w:t xml:space="preserve"> 2,70</w:t>
            </w:r>
          </w:p>
        </w:tc>
      </w:tr>
      <w:tr w:rsidR="00CA23D0" w:rsidRPr="00E30642" w14:paraId="4A0CA4EE"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08314F94" w14:textId="77777777" w:rsidR="00CA23D0" w:rsidRPr="00E30642" w:rsidRDefault="00CA23D0" w:rsidP="005179D3">
            <w:pPr>
              <w:pStyle w:val="Texttabulky"/>
              <w:spacing w:after="0" w:line="240" w:lineRule="atLeast"/>
              <w:jc w:val="both"/>
              <w:rPr>
                <w:rFonts w:cs="Arial"/>
              </w:rPr>
            </w:pPr>
            <w:r w:rsidRPr="00E30642">
              <w:rPr>
                <w:rFonts w:cs="Arial"/>
                <w:sz w:val="18"/>
                <w:szCs w:val="18"/>
              </w:rPr>
              <w:t>Křešice u Děčína</w:t>
            </w:r>
          </w:p>
        </w:tc>
        <w:tc>
          <w:tcPr>
            <w:tcW w:w="887" w:type="dxa"/>
            <w:tcBorders>
              <w:top w:val="single" w:sz="6" w:space="0" w:color="auto"/>
              <w:left w:val="single" w:sz="6" w:space="0" w:color="auto"/>
              <w:bottom w:val="single" w:sz="6" w:space="0" w:color="auto"/>
              <w:right w:val="single" w:sz="6" w:space="0" w:color="auto"/>
            </w:tcBorders>
          </w:tcPr>
          <w:p w14:paraId="66C6960A" w14:textId="77777777" w:rsidR="00CA23D0" w:rsidRPr="00E30642" w:rsidRDefault="00CA23D0" w:rsidP="005179D3">
            <w:pPr>
              <w:pStyle w:val="Texttabulky"/>
              <w:spacing w:after="0"/>
              <w:jc w:val="both"/>
              <w:rPr>
                <w:rFonts w:cs="Arial"/>
              </w:rPr>
            </w:pPr>
            <w:r w:rsidRPr="00E30642">
              <w:rPr>
                <w:rFonts w:cs="Arial"/>
                <w:sz w:val="18"/>
                <w:szCs w:val="18"/>
              </w:rPr>
              <w:t>1</w:t>
            </w:r>
          </w:p>
        </w:tc>
        <w:tc>
          <w:tcPr>
            <w:tcW w:w="900" w:type="dxa"/>
            <w:tcBorders>
              <w:top w:val="single" w:sz="6" w:space="0" w:color="auto"/>
              <w:left w:val="single" w:sz="6" w:space="0" w:color="auto"/>
              <w:bottom w:val="single" w:sz="6" w:space="0" w:color="auto"/>
              <w:right w:val="single" w:sz="6" w:space="0" w:color="auto"/>
            </w:tcBorders>
          </w:tcPr>
          <w:p w14:paraId="6B76DD17" w14:textId="77777777" w:rsidR="00CA23D0" w:rsidRPr="00E30642" w:rsidRDefault="00CA23D0" w:rsidP="005179D3">
            <w:pPr>
              <w:pStyle w:val="Texttabulky"/>
              <w:spacing w:after="0"/>
              <w:jc w:val="both"/>
              <w:rPr>
                <w:rFonts w:cs="Arial"/>
              </w:rPr>
            </w:pPr>
            <w:r w:rsidRPr="00E30642">
              <w:rPr>
                <w:rFonts w:cs="Arial"/>
                <w:sz w:val="18"/>
                <w:szCs w:val="18"/>
              </w:rPr>
              <w:t>0,43</w:t>
            </w:r>
          </w:p>
        </w:tc>
      </w:tr>
      <w:tr w:rsidR="00CA23D0" w:rsidRPr="00E30642" w14:paraId="071E3637"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622015C0" w14:textId="77777777" w:rsidR="00CA23D0" w:rsidRPr="00E30642" w:rsidRDefault="00CA23D0" w:rsidP="005179D3">
            <w:pPr>
              <w:pStyle w:val="Texttabulky"/>
              <w:spacing w:after="0" w:line="240" w:lineRule="atLeast"/>
              <w:jc w:val="both"/>
              <w:rPr>
                <w:rFonts w:cs="Arial"/>
              </w:rPr>
            </w:pPr>
            <w:r w:rsidRPr="00E30642">
              <w:rPr>
                <w:rFonts w:cs="Arial"/>
                <w:sz w:val="18"/>
                <w:szCs w:val="18"/>
              </w:rPr>
              <w:t>Lesná u Děčína</w:t>
            </w:r>
          </w:p>
        </w:tc>
        <w:tc>
          <w:tcPr>
            <w:tcW w:w="887" w:type="dxa"/>
            <w:tcBorders>
              <w:top w:val="single" w:sz="6" w:space="0" w:color="auto"/>
              <w:left w:val="single" w:sz="6" w:space="0" w:color="auto"/>
              <w:bottom w:val="single" w:sz="6" w:space="0" w:color="auto"/>
              <w:right w:val="single" w:sz="6" w:space="0" w:color="auto"/>
            </w:tcBorders>
          </w:tcPr>
          <w:p w14:paraId="03EF580C" w14:textId="77777777" w:rsidR="00CA23D0" w:rsidRPr="00E30642" w:rsidRDefault="00CA23D0" w:rsidP="005179D3">
            <w:pPr>
              <w:pStyle w:val="Texttabulky"/>
              <w:spacing w:after="0"/>
              <w:jc w:val="both"/>
              <w:rPr>
                <w:rFonts w:cs="Arial"/>
              </w:rPr>
            </w:pPr>
            <w:r w:rsidRPr="00E30642">
              <w:rPr>
                <w:rFonts w:cs="Arial"/>
                <w:sz w:val="18"/>
                <w:szCs w:val="18"/>
              </w:rPr>
              <w:t>0</w:t>
            </w:r>
          </w:p>
        </w:tc>
        <w:tc>
          <w:tcPr>
            <w:tcW w:w="900" w:type="dxa"/>
            <w:tcBorders>
              <w:top w:val="single" w:sz="6" w:space="0" w:color="auto"/>
              <w:left w:val="single" w:sz="6" w:space="0" w:color="auto"/>
              <w:bottom w:val="single" w:sz="6" w:space="0" w:color="auto"/>
              <w:right w:val="single" w:sz="6" w:space="0" w:color="auto"/>
            </w:tcBorders>
          </w:tcPr>
          <w:p w14:paraId="10116A0D" w14:textId="77777777" w:rsidR="00CA23D0" w:rsidRPr="00E30642" w:rsidRDefault="00CA23D0" w:rsidP="005179D3">
            <w:pPr>
              <w:pStyle w:val="Texttabulky"/>
              <w:spacing w:after="0"/>
              <w:jc w:val="both"/>
              <w:rPr>
                <w:rFonts w:cs="Arial"/>
              </w:rPr>
            </w:pPr>
            <w:r w:rsidRPr="00E30642">
              <w:rPr>
                <w:rFonts w:cs="Arial"/>
                <w:sz w:val="18"/>
                <w:szCs w:val="18"/>
              </w:rPr>
              <w:t>0</w:t>
            </w:r>
          </w:p>
        </w:tc>
      </w:tr>
      <w:tr w:rsidR="00CA23D0" w:rsidRPr="00E30642" w14:paraId="517CF756"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2D128604" w14:textId="77777777" w:rsidR="00CA23D0" w:rsidRPr="00E30642" w:rsidRDefault="00CA23D0" w:rsidP="005179D3">
            <w:pPr>
              <w:pStyle w:val="Texttabulky"/>
              <w:spacing w:after="0" w:line="240" w:lineRule="atLeast"/>
              <w:jc w:val="both"/>
              <w:rPr>
                <w:rFonts w:cs="Arial"/>
              </w:rPr>
            </w:pPr>
            <w:r w:rsidRPr="00E30642">
              <w:rPr>
                <w:rFonts w:cs="Arial"/>
                <w:sz w:val="18"/>
                <w:szCs w:val="18"/>
              </w:rPr>
              <w:t>Loubí u Děčína</w:t>
            </w:r>
          </w:p>
        </w:tc>
        <w:tc>
          <w:tcPr>
            <w:tcW w:w="887" w:type="dxa"/>
            <w:tcBorders>
              <w:top w:val="single" w:sz="6" w:space="0" w:color="auto"/>
              <w:left w:val="single" w:sz="6" w:space="0" w:color="auto"/>
              <w:bottom w:val="single" w:sz="6" w:space="0" w:color="auto"/>
              <w:right w:val="single" w:sz="6" w:space="0" w:color="auto"/>
            </w:tcBorders>
          </w:tcPr>
          <w:p w14:paraId="3AAC1D79" w14:textId="77777777" w:rsidR="00CA23D0" w:rsidRPr="00E30642" w:rsidRDefault="00CA23D0" w:rsidP="005179D3">
            <w:pPr>
              <w:pStyle w:val="Texttabulky"/>
              <w:spacing w:after="0"/>
              <w:jc w:val="both"/>
              <w:rPr>
                <w:rFonts w:cs="Arial"/>
              </w:rPr>
            </w:pPr>
            <w:r w:rsidRPr="00E30642">
              <w:rPr>
                <w:rFonts w:cs="Arial"/>
                <w:sz w:val="18"/>
                <w:szCs w:val="18"/>
              </w:rPr>
              <w:t>0</w:t>
            </w:r>
          </w:p>
        </w:tc>
        <w:tc>
          <w:tcPr>
            <w:tcW w:w="900" w:type="dxa"/>
            <w:tcBorders>
              <w:top w:val="single" w:sz="6" w:space="0" w:color="auto"/>
              <w:left w:val="single" w:sz="6" w:space="0" w:color="auto"/>
              <w:bottom w:val="single" w:sz="6" w:space="0" w:color="auto"/>
              <w:right w:val="single" w:sz="6" w:space="0" w:color="auto"/>
            </w:tcBorders>
          </w:tcPr>
          <w:p w14:paraId="77F37283" w14:textId="77777777" w:rsidR="00CA23D0" w:rsidRPr="00E30642" w:rsidRDefault="00CA23D0" w:rsidP="005179D3">
            <w:pPr>
              <w:pStyle w:val="Texttabulky"/>
              <w:spacing w:after="0"/>
              <w:jc w:val="both"/>
              <w:rPr>
                <w:rFonts w:cs="Arial"/>
              </w:rPr>
            </w:pPr>
            <w:r w:rsidRPr="00E30642">
              <w:rPr>
                <w:rFonts w:cs="Arial"/>
                <w:sz w:val="18"/>
                <w:szCs w:val="18"/>
              </w:rPr>
              <w:t>0</w:t>
            </w:r>
          </w:p>
        </w:tc>
      </w:tr>
      <w:tr w:rsidR="00CA23D0" w:rsidRPr="00E30642" w14:paraId="531C9119"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42297FE0" w14:textId="77777777" w:rsidR="00CA23D0" w:rsidRPr="00E30642" w:rsidRDefault="00CA23D0" w:rsidP="005179D3">
            <w:pPr>
              <w:pStyle w:val="Texttabulky"/>
              <w:spacing w:after="0" w:line="240" w:lineRule="atLeast"/>
              <w:jc w:val="both"/>
              <w:rPr>
                <w:rFonts w:cs="Arial"/>
              </w:rPr>
            </w:pPr>
            <w:r w:rsidRPr="00E30642">
              <w:rPr>
                <w:rFonts w:cs="Arial"/>
                <w:sz w:val="18"/>
                <w:szCs w:val="18"/>
              </w:rPr>
              <w:t>Maxičky</w:t>
            </w:r>
          </w:p>
        </w:tc>
        <w:tc>
          <w:tcPr>
            <w:tcW w:w="887" w:type="dxa"/>
            <w:tcBorders>
              <w:top w:val="single" w:sz="6" w:space="0" w:color="auto"/>
              <w:left w:val="single" w:sz="6" w:space="0" w:color="auto"/>
              <w:bottom w:val="single" w:sz="6" w:space="0" w:color="auto"/>
              <w:right w:val="single" w:sz="6" w:space="0" w:color="auto"/>
            </w:tcBorders>
          </w:tcPr>
          <w:p w14:paraId="4D1B81DA" w14:textId="77777777" w:rsidR="00CA23D0" w:rsidRPr="00E30642" w:rsidRDefault="00CA23D0" w:rsidP="005179D3">
            <w:pPr>
              <w:pStyle w:val="Texttabulky"/>
              <w:spacing w:after="0"/>
              <w:jc w:val="both"/>
              <w:rPr>
                <w:rFonts w:cs="Arial"/>
              </w:rPr>
            </w:pPr>
            <w:r w:rsidRPr="00E30642">
              <w:rPr>
                <w:rFonts w:cs="Arial"/>
                <w:sz w:val="18"/>
                <w:szCs w:val="18"/>
              </w:rPr>
              <w:t>0</w:t>
            </w:r>
          </w:p>
        </w:tc>
        <w:tc>
          <w:tcPr>
            <w:tcW w:w="900" w:type="dxa"/>
            <w:tcBorders>
              <w:top w:val="single" w:sz="6" w:space="0" w:color="auto"/>
              <w:left w:val="single" w:sz="6" w:space="0" w:color="auto"/>
              <w:bottom w:val="single" w:sz="6" w:space="0" w:color="auto"/>
              <w:right w:val="single" w:sz="6" w:space="0" w:color="auto"/>
            </w:tcBorders>
          </w:tcPr>
          <w:p w14:paraId="33515AFE" w14:textId="77777777" w:rsidR="00CA23D0" w:rsidRPr="00E30642" w:rsidRDefault="00CA23D0" w:rsidP="005179D3">
            <w:pPr>
              <w:pStyle w:val="Texttabulky"/>
              <w:spacing w:after="0"/>
              <w:jc w:val="both"/>
              <w:rPr>
                <w:rFonts w:cs="Arial"/>
              </w:rPr>
            </w:pPr>
            <w:r w:rsidRPr="00E30642">
              <w:rPr>
                <w:rFonts w:cs="Arial"/>
                <w:sz w:val="18"/>
                <w:szCs w:val="18"/>
              </w:rPr>
              <w:t>0</w:t>
            </w:r>
          </w:p>
        </w:tc>
      </w:tr>
      <w:tr w:rsidR="00CA23D0" w:rsidRPr="00E30642" w14:paraId="7943C234"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09F74939" w14:textId="77777777" w:rsidR="00CA23D0" w:rsidRPr="00E30642" w:rsidRDefault="00CA23D0" w:rsidP="005179D3">
            <w:pPr>
              <w:pStyle w:val="Texttabulky"/>
              <w:spacing w:after="0" w:line="240" w:lineRule="atLeast"/>
              <w:jc w:val="both"/>
              <w:rPr>
                <w:rFonts w:cs="Arial"/>
              </w:rPr>
            </w:pPr>
            <w:r w:rsidRPr="00E30642">
              <w:rPr>
                <w:rFonts w:cs="Arial"/>
                <w:sz w:val="18"/>
                <w:szCs w:val="18"/>
              </w:rPr>
              <w:t>Nebočady</w:t>
            </w:r>
          </w:p>
        </w:tc>
        <w:tc>
          <w:tcPr>
            <w:tcW w:w="887" w:type="dxa"/>
            <w:tcBorders>
              <w:top w:val="single" w:sz="6" w:space="0" w:color="auto"/>
              <w:left w:val="single" w:sz="6" w:space="0" w:color="auto"/>
              <w:bottom w:val="single" w:sz="6" w:space="0" w:color="auto"/>
              <w:right w:val="single" w:sz="6" w:space="0" w:color="auto"/>
            </w:tcBorders>
          </w:tcPr>
          <w:p w14:paraId="6EC0BAB7" w14:textId="77777777" w:rsidR="00CA23D0" w:rsidRPr="00E30642" w:rsidRDefault="00CA23D0" w:rsidP="005179D3">
            <w:pPr>
              <w:pStyle w:val="Texttabulky"/>
              <w:spacing w:after="0"/>
              <w:jc w:val="both"/>
              <w:rPr>
                <w:rFonts w:cs="Arial"/>
              </w:rPr>
            </w:pPr>
            <w:r w:rsidRPr="00E30642">
              <w:rPr>
                <w:rFonts w:cs="Arial"/>
                <w:sz w:val="18"/>
                <w:szCs w:val="18"/>
              </w:rPr>
              <w:t>1</w:t>
            </w:r>
          </w:p>
        </w:tc>
        <w:tc>
          <w:tcPr>
            <w:tcW w:w="900" w:type="dxa"/>
            <w:tcBorders>
              <w:top w:val="single" w:sz="6" w:space="0" w:color="auto"/>
              <w:left w:val="single" w:sz="6" w:space="0" w:color="auto"/>
              <w:bottom w:val="single" w:sz="6" w:space="0" w:color="auto"/>
              <w:right w:val="single" w:sz="6" w:space="0" w:color="auto"/>
            </w:tcBorders>
          </w:tcPr>
          <w:p w14:paraId="72C7E25B" w14:textId="77777777" w:rsidR="00CA23D0" w:rsidRPr="00E30642" w:rsidRDefault="00CA23D0" w:rsidP="005179D3">
            <w:pPr>
              <w:pStyle w:val="Texttabulky"/>
              <w:spacing w:after="0"/>
              <w:jc w:val="both"/>
              <w:rPr>
                <w:rFonts w:cs="Arial"/>
              </w:rPr>
            </w:pPr>
            <w:r w:rsidRPr="00E30642">
              <w:rPr>
                <w:rFonts w:cs="Arial"/>
                <w:sz w:val="18"/>
                <w:szCs w:val="18"/>
              </w:rPr>
              <w:t>0,34</w:t>
            </w:r>
          </w:p>
        </w:tc>
      </w:tr>
      <w:tr w:rsidR="00CA23D0" w:rsidRPr="00E30642" w14:paraId="1AB207D9"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377E3C8D" w14:textId="77777777" w:rsidR="00CA23D0" w:rsidRPr="00E30642" w:rsidRDefault="00CA23D0" w:rsidP="005179D3">
            <w:pPr>
              <w:pStyle w:val="Texttabulky"/>
              <w:spacing w:after="0" w:line="240" w:lineRule="atLeast"/>
              <w:jc w:val="both"/>
              <w:rPr>
                <w:rFonts w:cs="Arial"/>
              </w:rPr>
            </w:pPr>
            <w:r w:rsidRPr="00E30642">
              <w:rPr>
                <w:rFonts w:cs="Arial"/>
                <w:sz w:val="18"/>
                <w:szCs w:val="18"/>
              </w:rPr>
              <w:t>Podmokly</w:t>
            </w:r>
          </w:p>
        </w:tc>
        <w:tc>
          <w:tcPr>
            <w:tcW w:w="887" w:type="dxa"/>
            <w:tcBorders>
              <w:top w:val="single" w:sz="6" w:space="0" w:color="auto"/>
              <w:left w:val="single" w:sz="6" w:space="0" w:color="auto"/>
              <w:bottom w:val="single" w:sz="6" w:space="0" w:color="auto"/>
              <w:right w:val="single" w:sz="6" w:space="0" w:color="auto"/>
            </w:tcBorders>
          </w:tcPr>
          <w:p w14:paraId="00E5CA36" w14:textId="77777777" w:rsidR="00CA23D0" w:rsidRPr="00E30642" w:rsidRDefault="00CA23D0" w:rsidP="005179D3">
            <w:pPr>
              <w:pStyle w:val="Texttabulky"/>
              <w:spacing w:after="0"/>
              <w:jc w:val="both"/>
              <w:rPr>
                <w:rFonts w:cs="Arial"/>
              </w:rPr>
            </w:pPr>
            <w:r w:rsidRPr="00E30642">
              <w:rPr>
                <w:rFonts w:cs="Arial"/>
                <w:sz w:val="18"/>
                <w:szCs w:val="18"/>
              </w:rPr>
              <w:t>10</w:t>
            </w:r>
          </w:p>
        </w:tc>
        <w:tc>
          <w:tcPr>
            <w:tcW w:w="900" w:type="dxa"/>
            <w:tcBorders>
              <w:top w:val="single" w:sz="6" w:space="0" w:color="auto"/>
              <w:left w:val="single" w:sz="6" w:space="0" w:color="auto"/>
              <w:bottom w:val="single" w:sz="6" w:space="0" w:color="auto"/>
              <w:right w:val="single" w:sz="6" w:space="0" w:color="auto"/>
            </w:tcBorders>
          </w:tcPr>
          <w:p w14:paraId="0A8B3D0E" w14:textId="77777777" w:rsidR="00CA23D0" w:rsidRPr="00E30642" w:rsidRDefault="00CA23D0" w:rsidP="005179D3">
            <w:pPr>
              <w:pStyle w:val="Texttabulky"/>
              <w:spacing w:after="0"/>
              <w:jc w:val="both"/>
              <w:rPr>
                <w:rFonts w:cs="Arial"/>
              </w:rPr>
            </w:pPr>
            <w:r w:rsidRPr="00E30642">
              <w:rPr>
                <w:rFonts w:cs="Arial"/>
                <w:sz w:val="18"/>
                <w:szCs w:val="18"/>
              </w:rPr>
              <w:t xml:space="preserve"> 22,30</w:t>
            </w:r>
          </w:p>
        </w:tc>
      </w:tr>
      <w:tr w:rsidR="00CA23D0" w:rsidRPr="00E30642" w14:paraId="0AFB865C"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3AE3D2EE" w14:textId="77777777" w:rsidR="00CA23D0" w:rsidRPr="00E30642" w:rsidRDefault="00CA23D0" w:rsidP="005179D3">
            <w:pPr>
              <w:pStyle w:val="Texttabulky"/>
              <w:spacing w:after="0" w:line="240" w:lineRule="atLeast"/>
              <w:jc w:val="both"/>
              <w:rPr>
                <w:rFonts w:cs="Arial"/>
              </w:rPr>
            </w:pPr>
            <w:r w:rsidRPr="00E30642">
              <w:rPr>
                <w:rFonts w:cs="Arial"/>
                <w:sz w:val="18"/>
                <w:szCs w:val="18"/>
              </w:rPr>
              <w:t>Prostřední Žleb</w:t>
            </w:r>
          </w:p>
        </w:tc>
        <w:tc>
          <w:tcPr>
            <w:tcW w:w="887" w:type="dxa"/>
            <w:tcBorders>
              <w:top w:val="single" w:sz="6" w:space="0" w:color="auto"/>
              <w:left w:val="single" w:sz="6" w:space="0" w:color="auto"/>
              <w:bottom w:val="single" w:sz="6" w:space="0" w:color="auto"/>
              <w:right w:val="single" w:sz="6" w:space="0" w:color="auto"/>
            </w:tcBorders>
          </w:tcPr>
          <w:p w14:paraId="511FD468" w14:textId="77777777" w:rsidR="00CA23D0" w:rsidRPr="00E30642" w:rsidRDefault="00CA23D0" w:rsidP="005179D3">
            <w:pPr>
              <w:pStyle w:val="Texttabulky"/>
              <w:spacing w:after="0"/>
              <w:jc w:val="both"/>
              <w:rPr>
                <w:rFonts w:cs="Arial"/>
              </w:rPr>
            </w:pPr>
            <w:r w:rsidRPr="00E30642">
              <w:rPr>
                <w:rFonts w:cs="Arial"/>
                <w:sz w:val="18"/>
                <w:szCs w:val="18"/>
              </w:rPr>
              <w:t>0</w:t>
            </w:r>
          </w:p>
        </w:tc>
        <w:tc>
          <w:tcPr>
            <w:tcW w:w="900" w:type="dxa"/>
            <w:tcBorders>
              <w:top w:val="single" w:sz="6" w:space="0" w:color="auto"/>
              <w:left w:val="single" w:sz="6" w:space="0" w:color="auto"/>
              <w:bottom w:val="single" w:sz="6" w:space="0" w:color="auto"/>
              <w:right w:val="single" w:sz="6" w:space="0" w:color="auto"/>
            </w:tcBorders>
          </w:tcPr>
          <w:p w14:paraId="4D247724" w14:textId="77777777" w:rsidR="00CA23D0" w:rsidRPr="00E30642" w:rsidRDefault="00CA23D0" w:rsidP="005179D3">
            <w:pPr>
              <w:pStyle w:val="Texttabulky"/>
              <w:spacing w:after="0"/>
              <w:jc w:val="both"/>
              <w:rPr>
                <w:rFonts w:cs="Arial"/>
              </w:rPr>
            </w:pPr>
            <w:r w:rsidRPr="00E30642">
              <w:rPr>
                <w:rFonts w:cs="Arial"/>
                <w:sz w:val="18"/>
                <w:szCs w:val="18"/>
              </w:rPr>
              <w:t>0</w:t>
            </w:r>
          </w:p>
        </w:tc>
      </w:tr>
      <w:tr w:rsidR="00CA23D0" w:rsidRPr="00E30642" w14:paraId="4CDEEBAD"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6E5E2893" w14:textId="77777777" w:rsidR="00CA23D0" w:rsidRPr="00E30642" w:rsidRDefault="00CA23D0" w:rsidP="005179D3">
            <w:pPr>
              <w:pStyle w:val="Texttabulky"/>
              <w:spacing w:after="0" w:line="240" w:lineRule="atLeast"/>
              <w:jc w:val="both"/>
              <w:rPr>
                <w:rFonts w:cs="Arial"/>
              </w:rPr>
            </w:pPr>
            <w:r w:rsidRPr="00E30642">
              <w:rPr>
                <w:rFonts w:cs="Arial"/>
                <w:sz w:val="18"/>
                <w:szCs w:val="18"/>
              </w:rPr>
              <w:t>Velká Veleň</w:t>
            </w:r>
          </w:p>
        </w:tc>
        <w:tc>
          <w:tcPr>
            <w:tcW w:w="887" w:type="dxa"/>
            <w:tcBorders>
              <w:top w:val="single" w:sz="6" w:space="0" w:color="auto"/>
              <w:left w:val="single" w:sz="6" w:space="0" w:color="auto"/>
              <w:bottom w:val="single" w:sz="6" w:space="0" w:color="auto"/>
              <w:right w:val="single" w:sz="6" w:space="0" w:color="auto"/>
            </w:tcBorders>
          </w:tcPr>
          <w:p w14:paraId="2D476F3D" w14:textId="77777777" w:rsidR="00CA23D0" w:rsidRPr="00E30642" w:rsidRDefault="00CA23D0" w:rsidP="005179D3">
            <w:pPr>
              <w:pStyle w:val="Texttabulky"/>
              <w:spacing w:after="0"/>
              <w:jc w:val="both"/>
              <w:rPr>
                <w:rFonts w:cs="Arial"/>
              </w:rPr>
            </w:pPr>
            <w:r w:rsidRPr="00E30642">
              <w:rPr>
                <w:rFonts w:cs="Arial"/>
                <w:sz w:val="18"/>
                <w:szCs w:val="18"/>
              </w:rPr>
              <w:t>1</w:t>
            </w:r>
          </w:p>
        </w:tc>
        <w:tc>
          <w:tcPr>
            <w:tcW w:w="900" w:type="dxa"/>
            <w:tcBorders>
              <w:top w:val="single" w:sz="6" w:space="0" w:color="auto"/>
              <w:left w:val="single" w:sz="6" w:space="0" w:color="auto"/>
              <w:bottom w:val="single" w:sz="6" w:space="0" w:color="auto"/>
              <w:right w:val="single" w:sz="6" w:space="0" w:color="auto"/>
            </w:tcBorders>
          </w:tcPr>
          <w:p w14:paraId="288336ED" w14:textId="77777777" w:rsidR="00CA23D0" w:rsidRPr="00E30642" w:rsidRDefault="00CA23D0" w:rsidP="005179D3">
            <w:pPr>
              <w:pStyle w:val="Texttabulky"/>
              <w:spacing w:after="0"/>
              <w:jc w:val="both"/>
              <w:rPr>
                <w:rFonts w:cs="Arial"/>
              </w:rPr>
            </w:pPr>
            <w:r w:rsidRPr="00E30642">
              <w:rPr>
                <w:rFonts w:cs="Arial"/>
                <w:sz w:val="18"/>
                <w:szCs w:val="18"/>
              </w:rPr>
              <w:t>0,59</w:t>
            </w:r>
          </w:p>
        </w:tc>
      </w:tr>
      <w:tr w:rsidR="00CA23D0" w:rsidRPr="00E30642" w14:paraId="7166FEA3"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1F0433ED" w14:textId="77777777" w:rsidR="00CA23D0" w:rsidRPr="00E30642" w:rsidRDefault="00CA23D0" w:rsidP="005179D3">
            <w:pPr>
              <w:pStyle w:val="Texttabulky"/>
              <w:spacing w:after="0" w:line="240" w:lineRule="atLeast"/>
              <w:jc w:val="both"/>
              <w:rPr>
                <w:rFonts w:cs="Arial"/>
              </w:rPr>
            </w:pPr>
            <w:r w:rsidRPr="00E30642">
              <w:rPr>
                <w:rFonts w:cs="Arial"/>
                <w:sz w:val="18"/>
                <w:szCs w:val="18"/>
              </w:rPr>
              <w:t>Vilsnice</w:t>
            </w:r>
          </w:p>
        </w:tc>
        <w:tc>
          <w:tcPr>
            <w:tcW w:w="887" w:type="dxa"/>
            <w:tcBorders>
              <w:top w:val="single" w:sz="6" w:space="0" w:color="auto"/>
              <w:left w:val="single" w:sz="6" w:space="0" w:color="auto"/>
              <w:bottom w:val="single" w:sz="6" w:space="0" w:color="auto"/>
              <w:right w:val="single" w:sz="6" w:space="0" w:color="auto"/>
            </w:tcBorders>
          </w:tcPr>
          <w:p w14:paraId="7F48CA09" w14:textId="77777777" w:rsidR="00CA23D0" w:rsidRPr="00E30642" w:rsidRDefault="00CA23D0" w:rsidP="005179D3">
            <w:pPr>
              <w:pStyle w:val="Texttabulky"/>
              <w:spacing w:after="0"/>
              <w:jc w:val="both"/>
              <w:rPr>
                <w:rFonts w:cs="Arial"/>
              </w:rPr>
            </w:pPr>
            <w:r w:rsidRPr="00E30642">
              <w:rPr>
                <w:rFonts w:cs="Arial"/>
                <w:sz w:val="18"/>
                <w:szCs w:val="18"/>
              </w:rPr>
              <w:t>1</w:t>
            </w:r>
          </w:p>
        </w:tc>
        <w:tc>
          <w:tcPr>
            <w:tcW w:w="900" w:type="dxa"/>
            <w:tcBorders>
              <w:top w:val="single" w:sz="6" w:space="0" w:color="auto"/>
              <w:left w:val="single" w:sz="6" w:space="0" w:color="auto"/>
              <w:bottom w:val="single" w:sz="6" w:space="0" w:color="auto"/>
              <w:right w:val="single" w:sz="6" w:space="0" w:color="auto"/>
            </w:tcBorders>
          </w:tcPr>
          <w:p w14:paraId="267BAB4A" w14:textId="77777777" w:rsidR="00CA23D0" w:rsidRPr="00E30642" w:rsidRDefault="00CA23D0" w:rsidP="005179D3">
            <w:pPr>
              <w:pStyle w:val="Texttabulky"/>
              <w:spacing w:after="0"/>
              <w:jc w:val="both"/>
              <w:rPr>
                <w:rFonts w:cs="Arial"/>
              </w:rPr>
            </w:pPr>
            <w:r w:rsidRPr="00E30642">
              <w:rPr>
                <w:rFonts w:cs="Arial"/>
                <w:sz w:val="18"/>
                <w:szCs w:val="18"/>
              </w:rPr>
              <w:t>0,44</w:t>
            </w:r>
          </w:p>
        </w:tc>
      </w:tr>
      <w:tr w:rsidR="00CA23D0" w:rsidRPr="00E30642" w14:paraId="4DB89762" w14:textId="77777777" w:rsidTr="00CA23D0">
        <w:trPr>
          <w:jc w:val="center"/>
        </w:trPr>
        <w:tc>
          <w:tcPr>
            <w:tcW w:w="1950" w:type="dxa"/>
            <w:tcBorders>
              <w:top w:val="single" w:sz="6" w:space="0" w:color="auto"/>
              <w:left w:val="single" w:sz="6" w:space="0" w:color="auto"/>
              <w:bottom w:val="single" w:sz="6" w:space="0" w:color="auto"/>
              <w:right w:val="single" w:sz="6" w:space="0" w:color="auto"/>
            </w:tcBorders>
          </w:tcPr>
          <w:p w14:paraId="17439B5E" w14:textId="77777777" w:rsidR="00CA23D0" w:rsidRPr="00E30642" w:rsidRDefault="00CA23D0" w:rsidP="005179D3">
            <w:pPr>
              <w:pStyle w:val="Texttabulky"/>
              <w:spacing w:after="0" w:line="240" w:lineRule="atLeast"/>
              <w:jc w:val="both"/>
              <w:rPr>
                <w:rFonts w:cs="Arial"/>
              </w:rPr>
            </w:pPr>
            <w:r w:rsidRPr="00E30642">
              <w:rPr>
                <w:rFonts w:cs="Arial"/>
                <w:b/>
                <w:bCs/>
                <w:caps/>
                <w:sz w:val="18"/>
                <w:szCs w:val="18"/>
              </w:rPr>
              <w:t>Město   celkem</w:t>
            </w:r>
          </w:p>
        </w:tc>
        <w:tc>
          <w:tcPr>
            <w:tcW w:w="887" w:type="dxa"/>
            <w:tcBorders>
              <w:top w:val="single" w:sz="6" w:space="0" w:color="auto"/>
              <w:left w:val="single" w:sz="6" w:space="0" w:color="auto"/>
              <w:bottom w:val="single" w:sz="6" w:space="0" w:color="auto"/>
              <w:right w:val="single" w:sz="6" w:space="0" w:color="auto"/>
            </w:tcBorders>
          </w:tcPr>
          <w:p w14:paraId="17AC2B36" w14:textId="77777777" w:rsidR="00CA23D0" w:rsidRPr="00E30642" w:rsidRDefault="00CA23D0" w:rsidP="005179D3">
            <w:pPr>
              <w:pStyle w:val="Texttabulky"/>
              <w:spacing w:after="0"/>
              <w:jc w:val="both"/>
              <w:rPr>
                <w:rFonts w:cs="Arial"/>
              </w:rPr>
            </w:pPr>
            <w:r w:rsidRPr="00E30642">
              <w:rPr>
                <w:rFonts w:cs="Arial"/>
                <w:b/>
                <w:bCs/>
                <w:sz w:val="18"/>
                <w:szCs w:val="18"/>
              </w:rPr>
              <w:t>58</w:t>
            </w:r>
          </w:p>
        </w:tc>
        <w:tc>
          <w:tcPr>
            <w:tcW w:w="900" w:type="dxa"/>
            <w:tcBorders>
              <w:top w:val="single" w:sz="6" w:space="0" w:color="auto"/>
              <w:left w:val="single" w:sz="6" w:space="0" w:color="auto"/>
              <w:bottom w:val="single" w:sz="6" w:space="0" w:color="auto"/>
              <w:right w:val="single" w:sz="6" w:space="0" w:color="auto"/>
            </w:tcBorders>
          </w:tcPr>
          <w:p w14:paraId="430263B9" w14:textId="77777777" w:rsidR="00CA23D0" w:rsidRPr="00E30642" w:rsidRDefault="00CA23D0" w:rsidP="005179D3">
            <w:pPr>
              <w:pStyle w:val="Texttabulky"/>
              <w:spacing w:after="0"/>
              <w:jc w:val="both"/>
              <w:rPr>
                <w:rFonts w:cs="Arial"/>
              </w:rPr>
            </w:pPr>
            <w:r w:rsidRPr="00E30642">
              <w:rPr>
                <w:rFonts w:cs="Arial"/>
                <w:b/>
                <w:bCs/>
                <w:sz w:val="18"/>
                <w:szCs w:val="18"/>
              </w:rPr>
              <w:t xml:space="preserve">  103,00</w:t>
            </w:r>
          </w:p>
        </w:tc>
      </w:tr>
    </w:tbl>
    <w:p w14:paraId="3D946903" w14:textId="77777777" w:rsidR="005179D3" w:rsidRDefault="005179D3" w:rsidP="00CA23D0">
      <w:pPr>
        <w:pStyle w:val="podnadpis1"/>
        <w:jc w:val="both"/>
        <w:rPr>
          <w:rFonts w:cs="Arial"/>
        </w:rPr>
      </w:pPr>
    </w:p>
    <w:p w14:paraId="018D6CD6" w14:textId="77777777" w:rsidR="005179D3" w:rsidRDefault="005179D3" w:rsidP="00CA23D0">
      <w:pPr>
        <w:pStyle w:val="podnadpis1"/>
        <w:jc w:val="both"/>
        <w:rPr>
          <w:rFonts w:cs="Arial"/>
        </w:rPr>
      </w:pPr>
    </w:p>
    <w:p w14:paraId="299511EE" w14:textId="77777777" w:rsidR="005179D3" w:rsidRDefault="005179D3" w:rsidP="00CA23D0">
      <w:pPr>
        <w:pStyle w:val="podnadpis1"/>
        <w:jc w:val="both"/>
        <w:rPr>
          <w:rFonts w:cs="Arial"/>
        </w:rPr>
      </w:pPr>
    </w:p>
    <w:p w14:paraId="56DD962D" w14:textId="77777777" w:rsidR="005179D3" w:rsidRDefault="005179D3" w:rsidP="00CA23D0">
      <w:pPr>
        <w:pStyle w:val="podnadpis1"/>
        <w:jc w:val="both"/>
        <w:rPr>
          <w:rFonts w:cs="Arial"/>
        </w:rPr>
      </w:pPr>
    </w:p>
    <w:p w14:paraId="0DD722F7" w14:textId="77777777" w:rsidR="005179D3" w:rsidRDefault="005179D3" w:rsidP="00CA23D0">
      <w:pPr>
        <w:pStyle w:val="podnadpis1"/>
        <w:jc w:val="both"/>
        <w:rPr>
          <w:rFonts w:cs="Arial"/>
        </w:rPr>
      </w:pPr>
    </w:p>
    <w:p w14:paraId="11651B06" w14:textId="77777777" w:rsidR="005179D3" w:rsidRDefault="005179D3" w:rsidP="00CA23D0">
      <w:pPr>
        <w:pStyle w:val="podnadpis1"/>
        <w:jc w:val="both"/>
        <w:rPr>
          <w:rFonts w:cs="Arial"/>
        </w:rPr>
      </w:pPr>
    </w:p>
    <w:p w14:paraId="6ECA7EFB" w14:textId="77777777" w:rsidR="005179D3" w:rsidRDefault="005179D3" w:rsidP="00CA23D0">
      <w:pPr>
        <w:pStyle w:val="podnadpis1"/>
        <w:jc w:val="both"/>
        <w:rPr>
          <w:rFonts w:cs="Arial"/>
        </w:rPr>
      </w:pPr>
    </w:p>
    <w:p w14:paraId="69766029" w14:textId="77777777" w:rsidR="005179D3" w:rsidRDefault="005179D3" w:rsidP="00CA23D0">
      <w:pPr>
        <w:pStyle w:val="podnadpis1"/>
        <w:jc w:val="both"/>
        <w:rPr>
          <w:rFonts w:cs="Arial"/>
        </w:rPr>
      </w:pPr>
    </w:p>
    <w:p w14:paraId="7D540432" w14:textId="77777777" w:rsidR="00CA23D0" w:rsidRPr="00E30642" w:rsidRDefault="00CA23D0" w:rsidP="00CA23D0">
      <w:pPr>
        <w:pStyle w:val="podnadpis1"/>
        <w:jc w:val="both"/>
        <w:rPr>
          <w:rFonts w:cs="Arial"/>
        </w:rPr>
      </w:pPr>
      <w:r w:rsidRPr="00E30642">
        <w:rPr>
          <w:rFonts w:cs="Arial"/>
        </w:rPr>
        <w:lastRenderedPageBreak/>
        <w:t xml:space="preserve">C.6. Ekonomická základna </w:t>
      </w:r>
    </w:p>
    <w:p w14:paraId="1B31E34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Ekonomickou základnu města tvoří souhrn areálů a provozoven, v nichž probíhají převážně činnosti výrobní (průmyslové, řemeslné), opravárenské, skladové (velkoobchod) a dopravní, včetně návazných ostatních výrobních služeb a komerce. </w:t>
      </w:r>
    </w:p>
    <w:p w14:paraId="63EA0BF6" w14:textId="77777777" w:rsidR="00CA23D0" w:rsidRPr="00E30642" w:rsidRDefault="00CA23D0" w:rsidP="00CA23D0">
      <w:pPr>
        <w:pStyle w:val="Zkladntext"/>
        <w:jc w:val="both"/>
        <w:rPr>
          <w:rFonts w:ascii="Arial" w:hAnsi="Arial" w:cs="Arial"/>
        </w:rPr>
      </w:pPr>
    </w:p>
    <w:p w14:paraId="24D9DA66" w14:textId="77777777" w:rsidR="00CA23D0" w:rsidRPr="00E30642" w:rsidRDefault="00CA23D0" w:rsidP="00CA23D0">
      <w:pPr>
        <w:pStyle w:val="dka"/>
        <w:jc w:val="both"/>
        <w:rPr>
          <w:rFonts w:cs="Arial"/>
        </w:rPr>
      </w:pPr>
      <w:r w:rsidRPr="00E30642">
        <w:rPr>
          <w:rFonts w:cs="Arial"/>
          <w:b/>
          <w:bCs/>
        </w:rPr>
        <w:t>Stávající odvětvová struktura</w:t>
      </w:r>
    </w:p>
    <w:tbl>
      <w:tblPr>
        <w:tblW w:w="0" w:type="auto"/>
        <w:jc w:val="center"/>
        <w:tblLayout w:type="fixed"/>
        <w:tblCellMar>
          <w:left w:w="42" w:type="dxa"/>
          <w:right w:w="42" w:type="dxa"/>
        </w:tblCellMar>
        <w:tblLook w:val="0000" w:firstRow="0" w:lastRow="0" w:firstColumn="0" w:lastColumn="0" w:noHBand="0" w:noVBand="0"/>
      </w:tblPr>
      <w:tblGrid>
        <w:gridCol w:w="2675"/>
        <w:gridCol w:w="1213"/>
        <w:gridCol w:w="1337"/>
        <w:gridCol w:w="700"/>
        <w:gridCol w:w="2387"/>
      </w:tblGrid>
      <w:tr w:rsidR="00CA23D0" w:rsidRPr="00E30642" w14:paraId="46D06E06" w14:textId="77777777" w:rsidTr="00CA23D0">
        <w:trPr>
          <w:jc w:val="center"/>
        </w:trPr>
        <w:tc>
          <w:tcPr>
            <w:tcW w:w="2675" w:type="dxa"/>
            <w:tcBorders>
              <w:top w:val="single" w:sz="6" w:space="0" w:color="auto"/>
              <w:left w:val="single" w:sz="6" w:space="0" w:color="auto"/>
              <w:bottom w:val="single" w:sz="6" w:space="0" w:color="auto"/>
              <w:right w:val="single" w:sz="6" w:space="0" w:color="auto"/>
            </w:tcBorders>
          </w:tcPr>
          <w:p w14:paraId="549C4276" w14:textId="77777777" w:rsidR="00CA23D0" w:rsidRPr="00E30642" w:rsidRDefault="00CA23D0" w:rsidP="00CA23D0">
            <w:pPr>
              <w:pStyle w:val="Texttabulky"/>
              <w:jc w:val="both"/>
              <w:rPr>
                <w:rFonts w:cs="Arial"/>
              </w:rPr>
            </w:pPr>
            <w:r w:rsidRPr="00E30642">
              <w:rPr>
                <w:rFonts w:cs="Arial"/>
                <w:b/>
                <w:bCs/>
                <w:sz w:val="20"/>
                <w:szCs w:val="20"/>
              </w:rPr>
              <w:t xml:space="preserve">ekonomická činnost </w:t>
            </w:r>
          </w:p>
        </w:tc>
        <w:tc>
          <w:tcPr>
            <w:tcW w:w="1213" w:type="dxa"/>
            <w:tcBorders>
              <w:top w:val="single" w:sz="6" w:space="0" w:color="auto"/>
              <w:left w:val="single" w:sz="6" w:space="0" w:color="auto"/>
              <w:bottom w:val="single" w:sz="6" w:space="0" w:color="auto"/>
              <w:right w:val="single" w:sz="6" w:space="0" w:color="auto"/>
            </w:tcBorders>
          </w:tcPr>
          <w:p w14:paraId="09AE86AE" w14:textId="77777777" w:rsidR="00CA23D0" w:rsidRPr="00E30642" w:rsidRDefault="00CA23D0" w:rsidP="00CA23D0">
            <w:pPr>
              <w:pStyle w:val="Texttabulky"/>
              <w:jc w:val="both"/>
              <w:rPr>
                <w:rFonts w:cs="Arial"/>
              </w:rPr>
            </w:pPr>
            <w:r w:rsidRPr="00E30642">
              <w:rPr>
                <w:rFonts w:cs="Arial"/>
                <w:b/>
                <w:bCs/>
                <w:sz w:val="20"/>
                <w:szCs w:val="20"/>
              </w:rPr>
              <w:t>počet areálů</w:t>
            </w:r>
          </w:p>
        </w:tc>
        <w:tc>
          <w:tcPr>
            <w:tcW w:w="1337" w:type="dxa"/>
            <w:tcBorders>
              <w:top w:val="single" w:sz="6" w:space="0" w:color="auto"/>
              <w:left w:val="single" w:sz="6" w:space="0" w:color="auto"/>
              <w:bottom w:val="single" w:sz="6" w:space="0" w:color="auto"/>
              <w:right w:val="single" w:sz="6" w:space="0" w:color="auto"/>
            </w:tcBorders>
          </w:tcPr>
          <w:p w14:paraId="07718493" w14:textId="77777777" w:rsidR="00CA23D0" w:rsidRPr="00E30642" w:rsidRDefault="00CA23D0" w:rsidP="00CA23D0">
            <w:pPr>
              <w:pStyle w:val="Texttabulky"/>
              <w:jc w:val="both"/>
              <w:rPr>
                <w:rFonts w:cs="Arial"/>
              </w:rPr>
            </w:pPr>
            <w:r w:rsidRPr="00E30642">
              <w:rPr>
                <w:rFonts w:cs="Arial"/>
                <w:b/>
                <w:bCs/>
                <w:sz w:val="20"/>
                <w:szCs w:val="20"/>
              </w:rPr>
              <w:t>výměra v ha</w:t>
            </w:r>
          </w:p>
        </w:tc>
        <w:tc>
          <w:tcPr>
            <w:tcW w:w="700" w:type="dxa"/>
            <w:tcBorders>
              <w:top w:val="single" w:sz="6" w:space="0" w:color="auto"/>
              <w:left w:val="single" w:sz="6" w:space="0" w:color="auto"/>
              <w:bottom w:val="single" w:sz="6" w:space="0" w:color="auto"/>
              <w:right w:val="single" w:sz="6" w:space="0" w:color="auto"/>
            </w:tcBorders>
          </w:tcPr>
          <w:p w14:paraId="28F7BA32" w14:textId="77777777" w:rsidR="00CA23D0" w:rsidRPr="00E30642" w:rsidRDefault="00CA23D0" w:rsidP="00CA23D0">
            <w:pPr>
              <w:pStyle w:val="Texttabulky"/>
              <w:jc w:val="both"/>
              <w:rPr>
                <w:rFonts w:cs="Arial"/>
              </w:rPr>
            </w:pPr>
            <w:r w:rsidRPr="00E30642">
              <w:rPr>
                <w:rFonts w:cs="Arial"/>
                <w:b/>
                <w:bCs/>
                <w:sz w:val="20"/>
                <w:szCs w:val="20"/>
              </w:rPr>
              <w:t>%</w:t>
            </w:r>
          </w:p>
        </w:tc>
        <w:tc>
          <w:tcPr>
            <w:tcW w:w="2387" w:type="dxa"/>
            <w:tcBorders>
              <w:top w:val="single" w:sz="6" w:space="0" w:color="auto"/>
              <w:left w:val="single" w:sz="6" w:space="0" w:color="auto"/>
              <w:bottom w:val="single" w:sz="6" w:space="0" w:color="auto"/>
              <w:right w:val="single" w:sz="6" w:space="0" w:color="auto"/>
            </w:tcBorders>
          </w:tcPr>
          <w:p w14:paraId="42AECBE2" w14:textId="77777777" w:rsidR="00CA23D0" w:rsidRPr="00E30642" w:rsidRDefault="00CA23D0" w:rsidP="00CA23D0">
            <w:pPr>
              <w:pStyle w:val="Texttabulky"/>
              <w:jc w:val="both"/>
              <w:rPr>
                <w:rFonts w:cs="Arial"/>
              </w:rPr>
            </w:pPr>
            <w:r w:rsidRPr="00E30642">
              <w:rPr>
                <w:rFonts w:cs="Arial"/>
                <w:b/>
                <w:bCs/>
                <w:sz w:val="20"/>
                <w:szCs w:val="20"/>
              </w:rPr>
              <w:t>lokalizace v sektorech</w:t>
            </w:r>
          </w:p>
        </w:tc>
      </w:tr>
      <w:tr w:rsidR="00CA23D0" w:rsidRPr="00E30642" w14:paraId="17622367" w14:textId="77777777" w:rsidTr="00CA23D0">
        <w:trPr>
          <w:jc w:val="center"/>
        </w:trPr>
        <w:tc>
          <w:tcPr>
            <w:tcW w:w="2675" w:type="dxa"/>
            <w:tcBorders>
              <w:top w:val="single" w:sz="6" w:space="0" w:color="auto"/>
              <w:left w:val="single" w:sz="6" w:space="0" w:color="auto"/>
              <w:bottom w:val="single" w:sz="6" w:space="0" w:color="auto"/>
              <w:right w:val="single" w:sz="6" w:space="0" w:color="auto"/>
            </w:tcBorders>
          </w:tcPr>
          <w:p w14:paraId="4519BC9D" w14:textId="77777777" w:rsidR="00CA23D0" w:rsidRPr="00E30642" w:rsidRDefault="00CA23D0" w:rsidP="00CA23D0">
            <w:pPr>
              <w:pStyle w:val="Texttabulky"/>
              <w:jc w:val="both"/>
              <w:rPr>
                <w:rFonts w:cs="Arial"/>
              </w:rPr>
            </w:pPr>
            <w:r w:rsidRPr="00E30642">
              <w:rPr>
                <w:rFonts w:cs="Arial"/>
                <w:sz w:val="18"/>
                <w:szCs w:val="18"/>
              </w:rPr>
              <w:t xml:space="preserve">zemědělství a lesnictví </w:t>
            </w:r>
          </w:p>
        </w:tc>
        <w:tc>
          <w:tcPr>
            <w:tcW w:w="1213" w:type="dxa"/>
            <w:tcBorders>
              <w:top w:val="single" w:sz="6" w:space="0" w:color="auto"/>
              <w:left w:val="single" w:sz="6" w:space="0" w:color="auto"/>
              <w:bottom w:val="single" w:sz="6" w:space="0" w:color="auto"/>
              <w:right w:val="single" w:sz="6" w:space="0" w:color="auto"/>
            </w:tcBorders>
          </w:tcPr>
          <w:p w14:paraId="0765A41D" w14:textId="77777777" w:rsidR="00CA23D0" w:rsidRPr="00E30642" w:rsidRDefault="00CA23D0" w:rsidP="00CA23D0">
            <w:pPr>
              <w:pStyle w:val="Texttabulky"/>
              <w:jc w:val="both"/>
              <w:rPr>
                <w:rFonts w:cs="Arial"/>
              </w:rPr>
            </w:pPr>
            <w:r w:rsidRPr="00E30642">
              <w:rPr>
                <w:rFonts w:cs="Arial"/>
                <w:sz w:val="18"/>
                <w:szCs w:val="18"/>
              </w:rPr>
              <w:t>7</w:t>
            </w:r>
          </w:p>
        </w:tc>
        <w:tc>
          <w:tcPr>
            <w:tcW w:w="1337" w:type="dxa"/>
            <w:tcBorders>
              <w:top w:val="single" w:sz="6" w:space="0" w:color="auto"/>
              <w:left w:val="single" w:sz="6" w:space="0" w:color="auto"/>
              <w:bottom w:val="single" w:sz="6" w:space="0" w:color="auto"/>
              <w:right w:val="single" w:sz="6" w:space="0" w:color="auto"/>
            </w:tcBorders>
          </w:tcPr>
          <w:p w14:paraId="61558E2D" w14:textId="77777777" w:rsidR="00CA23D0" w:rsidRPr="00E30642" w:rsidRDefault="00CA23D0" w:rsidP="00CA23D0">
            <w:pPr>
              <w:pStyle w:val="Texttabulky"/>
              <w:jc w:val="both"/>
              <w:rPr>
                <w:rFonts w:cs="Arial"/>
              </w:rPr>
            </w:pPr>
            <w:r w:rsidRPr="00E30642">
              <w:rPr>
                <w:rFonts w:cs="Arial"/>
                <w:sz w:val="18"/>
                <w:szCs w:val="18"/>
              </w:rPr>
              <w:t>2,43</w:t>
            </w:r>
          </w:p>
        </w:tc>
        <w:tc>
          <w:tcPr>
            <w:tcW w:w="700" w:type="dxa"/>
            <w:tcBorders>
              <w:top w:val="single" w:sz="6" w:space="0" w:color="auto"/>
              <w:left w:val="single" w:sz="6" w:space="0" w:color="auto"/>
              <w:bottom w:val="single" w:sz="6" w:space="0" w:color="auto"/>
              <w:right w:val="single" w:sz="6" w:space="0" w:color="auto"/>
            </w:tcBorders>
          </w:tcPr>
          <w:p w14:paraId="2A3C438B" w14:textId="77777777" w:rsidR="00CA23D0" w:rsidRPr="00E30642" w:rsidRDefault="00CA23D0" w:rsidP="00CA23D0">
            <w:pPr>
              <w:pStyle w:val="Texttabulky"/>
              <w:jc w:val="both"/>
              <w:rPr>
                <w:rFonts w:cs="Arial"/>
              </w:rPr>
            </w:pPr>
            <w:r w:rsidRPr="00E30642">
              <w:rPr>
                <w:rFonts w:cs="Arial"/>
                <w:sz w:val="18"/>
                <w:szCs w:val="18"/>
              </w:rPr>
              <w:t>1,2</w:t>
            </w:r>
          </w:p>
        </w:tc>
        <w:tc>
          <w:tcPr>
            <w:tcW w:w="2387" w:type="dxa"/>
            <w:tcBorders>
              <w:top w:val="single" w:sz="6" w:space="0" w:color="auto"/>
              <w:left w:val="single" w:sz="6" w:space="0" w:color="auto"/>
              <w:bottom w:val="single" w:sz="6" w:space="0" w:color="auto"/>
              <w:right w:val="single" w:sz="6" w:space="0" w:color="auto"/>
            </w:tcBorders>
          </w:tcPr>
          <w:p w14:paraId="64F7F440" w14:textId="77777777" w:rsidR="00CA23D0" w:rsidRPr="00E30642" w:rsidRDefault="00CA23D0" w:rsidP="00CA23D0">
            <w:pPr>
              <w:pStyle w:val="Texttabulky"/>
              <w:jc w:val="both"/>
              <w:rPr>
                <w:rFonts w:cs="Arial"/>
              </w:rPr>
            </w:pPr>
            <w:r w:rsidRPr="00E30642">
              <w:rPr>
                <w:rFonts w:cs="Arial"/>
                <w:sz w:val="18"/>
                <w:szCs w:val="18"/>
              </w:rPr>
              <w:t>III, VI, VII, IX</w:t>
            </w:r>
          </w:p>
        </w:tc>
      </w:tr>
      <w:tr w:rsidR="00CA23D0" w:rsidRPr="00E30642" w14:paraId="42F82511" w14:textId="77777777" w:rsidTr="00CA23D0">
        <w:trPr>
          <w:jc w:val="center"/>
        </w:trPr>
        <w:tc>
          <w:tcPr>
            <w:tcW w:w="2675" w:type="dxa"/>
            <w:tcBorders>
              <w:top w:val="single" w:sz="6" w:space="0" w:color="auto"/>
              <w:left w:val="single" w:sz="6" w:space="0" w:color="auto"/>
              <w:bottom w:val="single" w:sz="6" w:space="0" w:color="auto"/>
              <w:right w:val="single" w:sz="6" w:space="0" w:color="auto"/>
            </w:tcBorders>
          </w:tcPr>
          <w:p w14:paraId="2AF4EC54" w14:textId="77777777" w:rsidR="00CA23D0" w:rsidRPr="00E30642" w:rsidRDefault="00CA23D0" w:rsidP="00CA23D0">
            <w:pPr>
              <w:pStyle w:val="Texttabulky"/>
              <w:jc w:val="both"/>
              <w:rPr>
                <w:rFonts w:cs="Arial"/>
              </w:rPr>
            </w:pPr>
            <w:r w:rsidRPr="00E30642">
              <w:rPr>
                <w:rFonts w:cs="Arial"/>
                <w:sz w:val="18"/>
                <w:szCs w:val="18"/>
              </w:rPr>
              <w:t xml:space="preserve">zpracovatelský průmysl </w:t>
            </w:r>
          </w:p>
        </w:tc>
        <w:tc>
          <w:tcPr>
            <w:tcW w:w="1213" w:type="dxa"/>
            <w:tcBorders>
              <w:top w:val="single" w:sz="6" w:space="0" w:color="auto"/>
              <w:left w:val="single" w:sz="6" w:space="0" w:color="auto"/>
              <w:bottom w:val="single" w:sz="6" w:space="0" w:color="auto"/>
              <w:right w:val="single" w:sz="6" w:space="0" w:color="auto"/>
            </w:tcBorders>
          </w:tcPr>
          <w:p w14:paraId="111B180D" w14:textId="77777777" w:rsidR="00CA23D0" w:rsidRPr="00E30642" w:rsidRDefault="00CA23D0" w:rsidP="00CA23D0">
            <w:pPr>
              <w:pStyle w:val="Texttabulky"/>
              <w:jc w:val="both"/>
              <w:rPr>
                <w:rFonts w:cs="Arial"/>
              </w:rPr>
            </w:pPr>
            <w:r w:rsidRPr="00E30642">
              <w:rPr>
                <w:rFonts w:cs="Arial"/>
                <w:sz w:val="18"/>
                <w:szCs w:val="18"/>
              </w:rPr>
              <w:t>70</w:t>
            </w:r>
          </w:p>
        </w:tc>
        <w:tc>
          <w:tcPr>
            <w:tcW w:w="1337" w:type="dxa"/>
            <w:tcBorders>
              <w:top w:val="single" w:sz="6" w:space="0" w:color="auto"/>
              <w:left w:val="single" w:sz="6" w:space="0" w:color="auto"/>
              <w:bottom w:val="single" w:sz="6" w:space="0" w:color="auto"/>
              <w:right w:val="single" w:sz="6" w:space="0" w:color="auto"/>
            </w:tcBorders>
          </w:tcPr>
          <w:p w14:paraId="577673C7" w14:textId="77777777" w:rsidR="00CA23D0" w:rsidRPr="00E30642" w:rsidRDefault="00CA23D0" w:rsidP="00CA23D0">
            <w:pPr>
              <w:pStyle w:val="Texttabulky"/>
              <w:jc w:val="both"/>
              <w:rPr>
                <w:rFonts w:cs="Arial"/>
              </w:rPr>
            </w:pPr>
            <w:r w:rsidRPr="00E30642">
              <w:rPr>
                <w:rFonts w:cs="Arial"/>
                <w:sz w:val="18"/>
                <w:szCs w:val="18"/>
              </w:rPr>
              <w:t xml:space="preserve">113,39 </w:t>
            </w:r>
          </w:p>
        </w:tc>
        <w:tc>
          <w:tcPr>
            <w:tcW w:w="700" w:type="dxa"/>
            <w:tcBorders>
              <w:top w:val="single" w:sz="6" w:space="0" w:color="auto"/>
              <w:left w:val="single" w:sz="6" w:space="0" w:color="auto"/>
              <w:bottom w:val="single" w:sz="6" w:space="0" w:color="auto"/>
              <w:right w:val="single" w:sz="6" w:space="0" w:color="auto"/>
            </w:tcBorders>
          </w:tcPr>
          <w:p w14:paraId="764476F3" w14:textId="77777777" w:rsidR="00CA23D0" w:rsidRPr="00E30642" w:rsidRDefault="00CA23D0" w:rsidP="00CA23D0">
            <w:pPr>
              <w:pStyle w:val="Texttabulky"/>
              <w:jc w:val="both"/>
              <w:rPr>
                <w:rFonts w:cs="Arial"/>
              </w:rPr>
            </w:pPr>
            <w:r w:rsidRPr="00E30642">
              <w:rPr>
                <w:rFonts w:cs="Arial"/>
                <w:sz w:val="18"/>
                <w:szCs w:val="18"/>
              </w:rPr>
              <w:t>54,4</w:t>
            </w:r>
          </w:p>
        </w:tc>
        <w:tc>
          <w:tcPr>
            <w:tcW w:w="2387" w:type="dxa"/>
            <w:tcBorders>
              <w:top w:val="single" w:sz="6" w:space="0" w:color="auto"/>
              <w:left w:val="single" w:sz="6" w:space="0" w:color="auto"/>
              <w:bottom w:val="single" w:sz="6" w:space="0" w:color="auto"/>
              <w:right w:val="single" w:sz="6" w:space="0" w:color="auto"/>
            </w:tcBorders>
          </w:tcPr>
          <w:p w14:paraId="3B944A6E" w14:textId="77777777" w:rsidR="00CA23D0" w:rsidRPr="00E30642" w:rsidRDefault="00CA23D0" w:rsidP="00CA23D0">
            <w:pPr>
              <w:pStyle w:val="Texttabulky"/>
              <w:jc w:val="both"/>
              <w:rPr>
                <w:rFonts w:cs="Arial"/>
              </w:rPr>
            </w:pPr>
            <w:r w:rsidRPr="00E30642">
              <w:rPr>
                <w:rFonts w:cs="Arial"/>
                <w:sz w:val="18"/>
                <w:szCs w:val="18"/>
              </w:rPr>
              <w:t>I, II, III, IV, VI, VII</w:t>
            </w:r>
          </w:p>
        </w:tc>
      </w:tr>
      <w:tr w:rsidR="00CA23D0" w:rsidRPr="00E30642" w14:paraId="0AA74486" w14:textId="77777777" w:rsidTr="00CA23D0">
        <w:trPr>
          <w:jc w:val="center"/>
        </w:trPr>
        <w:tc>
          <w:tcPr>
            <w:tcW w:w="2675" w:type="dxa"/>
            <w:tcBorders>
              <w:top w:val="single" w:sz="6" w:space="0" w:color="auto"/>
              <w:left w:val="single" w:sz="6" w:space="0" w:color="auto"/>
              <w:bottom w:val="single" w:sz="6" w:space="0" w:color="auto"/>
              <w:right w:val="single" w:sz="6" w:space="0" w:color="auto"/>
            </w:tcBorders>
          </w:tcPr>
          <w:p w14:paraId="44B2E57A" w14:textId="77777777" w:rsidR="00CA23D0" w:rsidRPr="00E30642" w:rsidRDefault="00CA23D0" w:rsidP="00CA23D0">
            <w:pPr>
              <w:pStyle w:val="Texttabulky"/>
              <w:jc w:val="both"/>
              <w:rPr>
                <w:rFonts w:cs="Arial"/>
              </w:rPr>
            </w:pPr>
            <w:r w:rsidRPr="00E30642">
              <w:rPr>
                <w:rFonts w:cs="Arial"/>
                <w:sz w:val="18"/>
                <w:szCs w:val="18"/>
              </w:rPr>
              <w:t xml:space="preserve">výroba a rozvod energií a vody </w:t>
            </w:r>
          </w:p>
        </w:tc>
        <w:tc>
          <w:tcPr>
            <w:tcW w:w="1213" w:type="dxa"/>
            <w:tcBorders>
              <w:top w:val="single" w:sz="6" w:space="0" w:color="auto"/>
              <w:left w:val="single" w:sz="6" w:space="0" w:color="auto"/>
              <w:bottom w:val="single" w:sz="6" w:space="0" w:color="auto"/>
              <w:right w:val="single" w:sz="6" w:space="0" w:color="auto"/>
            </w:tcBorders>
          </w:tcPr>
          <w:p w14:paraId="1E1A4D2B" w14:textId="77777777" w:rsidR="00CA23D0" w:rsidRPr="00E30642" w:rsidRDefault="00CA23D0" w:rsidP="00CA23D0">
            <w:pPr>
              <w:pStyle w:val="Texttabulky"/>
              <w:jc w:val="both"/>
              <w:rPr>
                <w:rFonts w:cs="Arial"/>
              </w:rPr>
            </w:pPr>
            <w:r w:rsidRPr="00E30642">
              <w:rPr>
                <w:rFonts w:cs="Arial"/>
                <w:sz w:val="18"/>
                <w:szCs w:val="18"/>
              </w:rPr>
              <w:t xml:space="preserve">10 </w:t>
            </w:r>
          </w:p>
        </w:tc>
        <w:tc>
          <w:tcPr>
            <w:tcW w:w="1337" w:type="dxa"/>
            <w:tcBorders>
              <w:top w:val="single" w:sz="6" w:space="0" w:color="auto"/>
              <w:left w:val="single" w:sz="6" w:space="0" w:color="auto"/>
              <w:bottom w:val="single" w:sz="6" w:space="0" w:color="auto"/>
              <w:right w:val="single" w:sz="6" w:space="0" w:color="auto"/>
            </w:tcBorders>
          </w:tcPr>
          <w:p w14:paraId="720F27E9" w14:textId="77777777" w:rsidR="00CA23D0" w:rsidRPr="00E30642" w:rsidRDefault="00CA23D0" w:rsidP="00CA23D0">
            <w:pPr>
              <w:pStyle w:val="Texttabulky"/>
              <w:jc w:val="both"/>
              <w:rPr>
                <w:rFonts w:cs="Arial"/>
              </w:rPr>
            </w:pPr>
            <w:r w:rsidRPr="00E30642">
              <w:rPr>
                <w:rFonts w:cs="Arial"/>
                <w:sz w:val="18"/>
                <w:szCs w:val="18"/>
              </w:rPr>
              <w:t>12,02</w:t>
            </w:r>
          </w:p>
        </w:tc>
        <w:tc>
          <w:tcPr>
            <w:tcW w:w="700" w:type="dxa"/>
            <w:tcBorders>
              <w:top w:val="single" w:sz="6" w:space="0" w:color="auto"/>
              <w:left w:val="single" w:sz="6" w:space="0" w:color="auto"/>
              <w:bottom w:val="single" w:sz="6" w:space="0" w:color="auto"/>
              <w:right w:val="single" w:sz="6" w:space="0" w:color="auto"/>
            </w:tcBorders>
          </w:tcPr>
          <w:p w14:paraId="4A7B05D0" w14:textId="77777777" w:rsidR="00CA23D0" w:rsidRPr="00E30642" w:rsidRDefault="00CA23D0" w:rsidP="00CA23D0">
            <w:pPr>
              <w:pStyle w:val="Texttabulky"/>
              <w:jc w:val="both"/>
              <w:rPr>
                <w:rFonts w:cs="Arial"/>
              </w:rPr>
            </w:pPr>
            <w:r w:rsidRPr="00E30642">
              <w:rPr>
                <w:rFonts w:cs="Arial"/>
                <w:sz w:val="18"/>
                <w:szCs w:val="18"/>
              </w:rPr>
              <w:t>5,8</w:t>
            </w:r>
          </w:p>
        </w:tc>
        <w:tc>
          <w:tcPr>
            <w:tcW w:w="2387" w:type="dxa"/>
            <w:tcBorders>
              <w:top w:val="single" w:sz="6" w:space="0" w:color="auto"/>
              <w:left w:val="single" w:sz="6" w:space="0" w:color="auto"/>
              <w:bottom w:val="single" w:sz="6" w:space="0" w:color="auto"/>
              <w:right w:val="single" w:sz="6" w:space="0" w:color="auto"/>
            </w:tcBorders>
          </w:tcPr>
          <w:p w14:paraId="6C9AD341" w14:textId="77777777" w:rsidR="00CA23D0" w:rsidRPr="00E30642" w:rsidRDefault="00CA23D0" w:rsidP="00CA23D0">
            <w:pPr>
              <w:pStyle w:val="Texttabulky"/>
              <w:jc w:val="both"/>
              <w:rPr>
                <w:rFonts w:cs="Arial"/>
              </w:rPr>
            </w:pPr>
            <w:r w:rsidRPr="00E30642">
              <w:rPr>
                <w:rFonts w:cs="Arial"/>
                <w:sz w:val="18"/>
                <w:szCs w:val="18"/>
              </w:rPr>
              <w:t>I, II, III, VI, VI, VII</w:t>
            </w:r>
          </w:p>
        </w:tc>
      </w:tr>
      <w:tr w:rsidR="00CA23D0" w:rsidRPr="00E30642" w14:paraId="5B0197F9" w14:textId="77777777" w:rsidTr="00CA23D0">
        <w:trPr>
          <w:jc w:val="center"/>
        </w:trPr>
        <w:tc>
          <w:tcPr>
            <w:tcW w:w="2675" w:type="dxa"/>
            <w:tcBorders>
              <w:top w:val="single" w:sz="6" w:space="0" w:color="auto"/>
              <w:left w:val="single" w:sz="6" w:space="0" w:color="auto"/>
              <w:bottom w:val="single" w:sz="6" w:space="0" w:color="auto"/>
              <w:right w:val="single" w:sz="6" w:space="0" w:color="auto"/>
            </w:tcBorders>
          </w:tcPr>
          <w:p w14:paraId="4DFC8F56" w14:textId="77777777" w:rsidR="00CA23D0" w:rsidRPr="00E30642" w:rsidRDefault="00CA23D0" w:rsidP="00CA23D0">
            <w:pPr>
              <w:pStyle w:val="Texttabulky"/>
              <w:jc w:val="both"/>
              <w:rPr>
                <w:rFonts w:cs="Arial"/>
              </w:rPr>
            </w:pPr>
            <w:r w:rsidRPr="00E30642">
              <w:rPr>
                <w:rFonts w:cs="Arial"/>
                <w:sz w:val="18"/>
                <w:szCs w:val="18"/>
              </w:rPr>
              <w:t xml:space="preserve">stavebnictví </w:t>
            </w:r>
          </w:p>
        </w:tc>
        <w:tc>
          <w:tcPr>
            <w:tcW w:w="1213" w:type="dxa"/>
            <w:tcBorders>
              <w:top w:val="single" w:sz="6" w:space="0" w:color="auto"/>
              <w:left w:val="single" w:sz="6" w:space="0" w:color="auto"/>
              <w:bottom w:val="single" w:sz="6" w:space="0" w:color="auto"/>
              <w:right w:val="single" w:sz="6" w:space="0" w:color="auto"/>
            </w:tcBorders>
          </w:tcPr>
          <w:p w14:paraId="6D13BB18" w14:textId="77777777" w:rsidR="00CA23D0" w:rsidRPr="00E30642" w:rsidRDefault="00CA23D0" w:rsidP="00CA23D0">
            <w:pPr>
              <w:pStyle w:val="Texttabulky"/>
              <w:jc w:val="both"/>
              <w:rPr>
                <w:rFonts w:cs="Arial"/>
              </w:rPr>
            </w:pPr>
            <w:r w:rsidRPr="00E30642">
              <w:rPr>
                <w:rFonts w:cs="Arial"/>
                <w:sz w:val="18"/>
                <w:szCs w:val="18"/>
              </w:rPr>
              <w:t>20</w:t>
            </w:r>
          </w:p>
        </w:tc>
        <w:tc>
          <w:tcPr>
            <w:tcW w:w="1337" w:type="dxa"/>
            <w:tcBorders>
              <w:top w:val="single" w:sz="6" w:space="0" w:color="auto"/>
              <w:left w:val="single" w:sz="6" w:space="0" w:color="auto"/>
              <w:bottom w:val="single" w:sz="6" w:space="0" w:color="auto"/>
              <w:right w:val="single" w:sz="6" w:space="0" w:color="auto"/>
            </w:tcBorders>
          </w:tcPr>
          <w:p w14:paraId="28FD744B" w14:textId="77777777" w:rsidR="00CA23D0" w:rsidRPr="00E30642" w:rsidRDefault="00CA23D0" w:rsidP="00CA23D0">
            <w:pPr>
              <w:pStyle w:val="Texttabulky"/>
              <w:jc w:val="both"/>
              <w:rPr>
                <w:rFonts w:cs="Arial"/>
              </w:rPr>
            </w:pPr>
            <w:r w:rsidRPr="00E30642">
              <w:rPr>
                <w:rFonts w:cs="Arial"/>
                <w:sz w:val="18"/>
                <w:szCs w:val="18"/>
              </w:rPr>
              <w:t>13,52</w:t>
            </w:r>
          </w:p>
        </w:tc>
        <w:tc>
          <w:tcPr>
            <w:tcW w:w="700" w:type="dxa"/>
            <w:tcBorders>
              <w:top w:val="single" w:sz="6" w:space="0" w:color="auto"/>
              <w:left w:val="single" w:sz="6" w:space="0" w:color="auto"/>
              <w:bottom w:val="single" w:sz="6" w:space="0" w:color="auto"/>
              <w:right w:val="single" w:sz="6" w:space="0" w:color="auto"/>
            </w:tcBorders>
          </w:tcPr>
          <w:p w14:paraId="1E631C5E" w14:textId="77777777" w:rsidR="00CA23D0" w:rsidRPr="00E30642" w:rsidRDefault="00CA23D0" w:rsidP="00CA23D0">
            <w:pPr>
              <w:pStyle w:val="Texttabulky"/>
              <w:jc w:val="both"/>
              <w:rPr>
                <w:rFonts w:cs="Arial"/>
              </w:rPr>
            </w:pPr>
            <w:r w:rsidRPr="00E30642">
              <w:rPr>
                <w:rFonts w:cs="Arial"/>
                <w:sz w:val="18"/>
                <w:szCs w:val="18"/>
              </w:rPr>
              <w:t>6,5</w:t>
            </w:r>
          </w:p>
        </w:tc>
        <w:tc>
          <w:tcPr>
            <w:tcW w:w="2387" w:type="dxa"/>
            <w:tcBorders>
              <w:top w:val="single" w:sz="6" w:space="0" w:color="auto"/>
              <w:left w:val="single" w:sz="6" w:space="0" w:color="auto"/>
              <w:bottom w:val="single" w:sz="6" w:space="0" w:color="auto"/>
              <w:right w:val="single" w:sz="6" w:space="0" w:color="auto"/>
            </w:tcBorders>
          </w:tcPr>
          <w:p w14:paraId="5B4401B0" w14:textId="77777777" w:rsidR="00CA23D0" w:rsidRPr="00E30642" w:rsidRDefault="00CA23D0" w:rsidP="00CA23D0">
            <w:pPr>
              <w:pStyle w:val="Texttabulky"/>
              <w:jc w:val="both"/>
              <w:rPr>
                <w:rFonts w:cs="Arial"/>
              </w:rPr>
            </w:pPr>
            <w:r w:rsidRPr="00E30642">
              <w:rPr>
                <w:rFonts w:cs="Arial"/>
                <w:sz w:val="18"/>
                <w:szCs w:val="18"/>
              </w:rPr>
              <w:t>I, II, IV, VI, VII</w:t>
            </w:r>
          </w:p>
        </w:tc>
      </w:tr>
      <w:tr w:rsidR="00CA23D0" w:rsidRPr="00E30642" w14:paraId="742B7426" w14:textId="77777777" w:rsidTr="00CA23D0">
        <w:trPr>
          <w:jc w:val="center"/>
        </w:trPr>
        <w:tc>
          <w:tcPr>
            <w:tcW w:w="2675" w:type="dxa"/>
            <w:tcBorders>
              <w:top w:val="single" w:sz="6" w:space="0" w:color="auto"/>
              <w:left w:val="single" w:sz="6" w:space="0" w:color="auto"/>
              <w:bottom w:val="single" w:sz="6" w:space="0" w:color="auto"/>
              <w:right w:val="single" w:sz="6" w:space="0" w:color="auto"/>
            </w:tcBorders>
          </w:tcPr>
          <w:p w14:paraId="67301FE5" w14:textId="77777777" w:rsidR="00CA23D0" w:rsidRPr="00E30642" w:rsidRDefault="00CA23D0" w:rsidP="00CA23D0">
            <w:pPr>
              <w:pStyle w:val="Texttabulky"/>
              <w:jc w:val="both"/>
              <w:rPr>
                <w:rFonts w:cs="Arial"/>
              </w:rPr>
            </w:pPr>
            <w:r w:rsidRPr="00E30642">
              <w:rPr>
                <w:rFonts w:cs="Arial"/>
                <w:sz w:val="18"/>
                <w:szCs w:val="18"/>
              </w:rPr>
              <w:t xml:space="preserve">obchod, oprava vozidel a spotř. zboží </w:t>
            </w:r>
          </w:p>
        </w:tc>
        <w:tc>
          <w:tcPr>
            <w:tcW w:w="1213" w:type="dxa"/>
            <w:tcBorders>
              <w:top w:val="single" w:sz="6" w:space="0" w:color="auto"/>
              <w:left w:val="single" w:sz="6" w:space="0" w:color="auto"/>
              <w:bottom w:val="single" w:sz="6" w:space="0" w:color="auto"/>
              <w:right w:val="single" w:sz="6" w:space="0" w:color="auto"/>
            </w:tcBorders>
          </w:tcPr>
          <w:p w14:paraId="3C44785F" w14:textId="77777777" w:rsidR="00CA23D0" w:rsidRPr="00E30642" w:rsidRDefault="00CA23D0" w:rsidP="00CA23D0">
            <w:pPr>
              <w:pStyle w:val="Texttabulky"/>
              <w:jc w:val="both"/>
              <w:rPr>
                <w:rFonts w:cs="Arial"/>
              </w:rPr>
            </w:pPr>
            <w:r w:rsidRPr="00E30642">
              <w:rPr>
                <w:rFonts w:cs="Arial"/>
                <w:sz w:val="18"/>
                <w:szCs w:val="18"/>
              </w:rPr>
              <w:t>44</w:t>
            </w:r>
          </w:p>
        </w:tc>
        <w:tc>
          <w:tcPr>
            <w:tcW w:w="1337" w:type="dxa"/>
            <w:tcBorders>
              <w:top w:val="single" w:sz="6" w:space="0" w:color="auto"/>
              <w:left w:val="single" w:sz="6" w:space="0" w:color="auto"/>
              <w:bottom w:val="single" w:sz="6" w:space="0" w:color="auto"/>
              <w:right w:val="single" w:sz="6" w:space="0" w:color="auto"/>
            </w:tcBorders>
          </w:tcPr>
          <w:p w14:paraId="29CAA8BC" w14:textId="77777777" w:rsidR="00CA23D0" w:rsidRPr="00E30642" w:rsidRDefault="00CA23D0" w:rsidP="00CA23D0">
            <w:pPr>
              <w:pStyle w:val="Texttabulky"/>
              <w:jc w:val="both"/>
              <w:rPr>
                <w:rFonts w:cs="Arial"/>
              </w:rPr>
            </w:pPr>
            <w:r w:rsidRPr="00E30642">
              <w:rPr>
                <w:rFonts w:cs="Arial"/>
                <w:sz w:val="18"/>
                <w:szCs w:val="18"/>
              </w:rPr>
              <w:t>28,31</w:t>
            </w:r>
          </w:p>
        </w:tc>
        <w:tc>
          <w:tcPr>
            <w:tcW w:w="700" w:type="dxa"/>
            <w:tcBorders>
              <w:top w:val="single" w:sz="6" w:space="0" w:color="auto"/>
              <w:left w:val="single" w:sz="6" w:space="0" w:color="auto"/>
              <w:bottom w:val="single" w:sz="6" w:space="0" w:color="auto"/>
              <w:right w:val="single" w:sz="6" w:space="0" w:color="auto"/>
            </w:tcBorders>
          </w:tcPr>
          <w:p w14:paraId="5EB7EE11" w14:textId="77777777" w:rsidR="00CA23D0" w:rsidRPr="00E30642" w:rsidRDefault="00CA23D0" w:rsidP="00CA23D0">
            <w:pPr>
              <w:pStyle w:val="Texttabulky"/>
              <w:jc w:val="both"/>
              <w:rPr>
                <w:rFonts w:cs="Arial"/>
              </w:rPr>
            </w:pPr>
            <w:r w:rsidRPr="00E30642">
              <w:rPr>
                <w:rFonts w:cs="Arial"/>
                <w:sz w:val="18"/>
                <w:szCs w:val="18"/>
              </w:rPr>
              <w:t>13,6</w:t>
            </w:r>
          </w:p>
        </w:tc>
        <w:tc>
          <w:tcPr>
            <w:tcW w:w="2387" w:type="dxa"/>
            <w:tcBorders>
              <w:top w:val="single" w:sz="6" w:space="0" w:color="auto"/>
              <w:left w:val="single" w:sz="6" w:space="0" w:color="auto"/>
              <w:bottom w:val="single" w:sz="6" w:space="0" w:color="auto"/>
              <w:right w:val="single" w:sz="6" w:space="0" w:color="auto"/>
            </w:tcBorders>
          </w:tcPr>
          <w:p w14:paraId="5134DDBD" w14:textId="77777777" w:rsidR="00CA23D0" w:rsidRPr="00E30642" w:rsidRDefault="00CA23D0" w:rsidP="00CA23D0">
            <w:pPr>
              <w:pStyle w:val="Texttabulky"/>
              <w:jc w:val="both"/>
              <w:rPr>
                <w:rFonts w:cs="Arial"/>
              </w:rPr>
            </w:pPr>
            <w:r w:rsidRPr="00E30642">
              <w:rPr>
                <w:rFonts w:cs="Arial"/>
                <w:sz w:val="18"/>
                <w:szCs w:val="18"/>
              </w:rPr>
              <w:t>I, II, III, IV, VI, VII</w:t>
            </w:r>
          </w:p>
        </w:tc>
      </w:tr>
      <w:tr w:rsidR="00CA23D0" w:rsidRPr="00E30642" w14:paraId="3793FEF7" w14:textId="77777777" w:rsidTr="00CA23D0">
        <w:trPr>
          <w:jc w:val="center"/>
        </w:trPr>
        <w:tc>
          <w:tcPr>
            <w:tcW w:w="2675" w:type="dxa"/>
            <w:tcBorders>
              <w:top w:val="single" w:sz="6" w:space="0" w:color="auto"/>
              <w:left w:val="single" w:sz="6" w:space="0" w:color="auto"/>
              <w:bottom w:val="single" w:sz="6" w:space="0" w:color="auto"/>
              <w:right w:val="single" w:sz="6" w:space="0" w:color="auto"/>
            </w:tcBorders>
          </w:tcPr>
          <w:p w14:paraId="4213C380" w14:textId="77777777" w:rsidR="00CA23D0" w:rsidRPr="00E30642" w:rsidRDefault="00CA23D0" w:rsidP="00CA23D0">
            <w:pPr>
              <w:pStyle w:val="Texttabulky"/>
              <w:jc w:val="both"/>
              <w:rPr>
                <w:rFonts w:cs="Arial"/>
              </w:rPr>
            </w:pPr>
            <w:r w:rsidRPr="00E30642">
              <w:rPr>
                <w:rFonts w:cs="Arial"/>
                <w:sz w:val="18"/>
                <w:szCs w:val="18"/>
              </w:rPr>
              <w:t>doprava a skladování</w:t>
            </w:r>
          </w:p>
        </w:tc>
        <w:tc>
          <w:tcPr>
            <w:tcW w:w="1213" w:type="dxa"/>
            <w:tcBorders>
              <w:top w:val="single" w:sz="6" w:space="0" w:color="auto"/>
              <w:left w:val="single" w:sz="6" w:space="0" w:color="auto"/>
              <w:bottom w:val="single" w:sz="6" w:space="0" w:color="auto"/>
              <w:right w:val="single" w:sz="6" w:space="0" w:color="auto"/>
            </w:tcBorders>
          </w:tcPr>
          <w:p w14:paraId="0B3FDC58" w14:textId="77777777" w:rsidR="00CA23D0" w:rsidRPr="00E30642" w:rsidRDefault="00CA23D0" w:rsidP="00CA23D0">
            <w:pPr>
              <w:pStyle w:val="Texttabulky"/>
              <w:jc w:val="both"/>
              <w:rPr>
                <w:rFonts w:cs="Arial"/>
              </w:rPr>
            </w:pPr>
            <w:r w:rsidRPr="00E30642">
              <w:rPr>
                <w:rFonts w:cs="Arial"/>
                <w:sz w:val="18"/>
                <w:szCs w:val="18"/>
              </w:rPr>
              <w:t>17</w:t>
            </w:r>
          </w:p>
        </w:tc>
        <w:tc>
          <w:tcPr>
            <w:tcW w:w="1337" w:type="dxa"/>
            <w:tcBorders>
              <w:top w:val="single" w:sz="6" w:space="0" w:color="auto"/>
              <w:left w:val="single" w:sz="6" w:space="0" w:color="auto"/>
              <w:bottom w:val="single" w:sz="6" w:space="0" w:color="auto"/>
              <w:right w:val="single" w:sz="6" w:space="0" w:color="auto"/>
            </w:tcBorders>
          </w:tcPr>
          <w:p w14:paraId="2BF4E374" w14:textId="77777777" w:rsidR="00CA23D0" w:rsidRPr="00E30642" w:rsidRDefault="00CA23D0" w:rsidP="00CA23D0">
            <w:pPr>
              <w:pStyle w:val="Texttabulky"/>
              <w:jc w:val="both"/>
              <w:rPr>
                <w:rFonts w:cs="Arial"/>
              </w:rPr>
            </w:pPr>
            <w:r w:rsidRPr="00E30642">
              <w:rPr>
                <w:rFonts w:cs="Arial"/>
                <w:sz w:val="18"/>
                <w:szCs w:val="18"/>
              </w:rPr>
              <w:t xml:space="preserve">25,14 </w:t>
            </w:r>
          </w:p>
        </w:tc>
        <w:tc>
          <w:tcPr>
            <w:tcW w:w="700" w:type="dxa"/>
            <w:tcBorders>
              <w:top w:val="single" w:sz="6" w:space="0" w:color="auto"/>
              <w:left w:val="single" w:sz="6" w:space="0" w:color="auto"/>
              <w:bottom w:val="single" w:sz="6" w:space="0" w:color="auto"/>
              <w:right w:val="single" w:sz="6" w:space="0" w:color="auto"/>
            </w:tcBorders>
          </w:tcPr>
          <w:p w14:paraId="6CC6978E" w14:textId="77777777" w:rsidR="00CA23D0" w:rsidRPr="00E30642" w:rsidRDefault="00CA23D0" w:rsidP="00CA23D0">
            <w:pPr>
              <w:pStyle w:val="Texttabulky"/>
              <w:jc w:val="both"/>
              <w:rPr>
                <w:rFonts w:cs="Arial"/>
              </w:rPr>
            </w:pPr>
            <w:r w:rsidRPr="00E30642">
              <w:rPr>
                <w:rFonts w:cs="Arial"/>
                <w:sz w:val="18"/>
                <w:szCs w:val="18"/>
              </w:rPr>
              <w:t>12,1</w:t>
            </w:r>
          </w:p>
        </w:tc>
        <w:tc>
          <w:tcPr>
            <w:tcW w:w="2387" w:type="dxa"/>
            <w:tcBorders>
              <w:top w:val="single" w:sz="6" w:space="0" w:color="auto"/>
              <w:left w:val="single" w:sz="6" w:space="0" w:color="auto"/>
              <w:bottom w:val="single" w:sz="6" w:space="0" w:color="auto"/>
              <w:right w:val="single" w:sz="6" w:space="0" w:color="auto"/>
            </w:tcBorders>
          </w:tcPr>
          <w:p w14:paraId="19B10831" w14:textId="77777777" w:rsidR="00CA23D0" w:rsidRPr="00E30642" w:rsidRDefault="00CA23D0" w:rsidP="00CA23D0">
            <w:pPr>
              <w:pStyle w:val="Texttabulky"/>
              <w:jc w:val="both"/>
              <w:rPr>
                <w:rFonts w:cs="Arial"/>
              </w:rPr>
            </w:pPr>
            <w:r w:rsidRPr="00E30642">
              <w:rPr>
                <w:rFonts w:cs="Arial"/>
                <w:sz w:val="18"/>
                <w:szCs w:val="18"/>
              </w:rPr>
              <w:t>I, II, V, VI, VII</w:t>
            </w:r>
          </w:p>
        </w:tc>
      </w:tr>
      <w:tr w:rsidR="00CA23D0" w:rsidRPr="00E30642" w14:paraId="47779246" w14:textId="77777777" w:rsidTr="00CA23D0">
        <w:trPr>
          <w:jc w:val="center"/>
        </w:trPr>
        <w:tc>
          <w:tcPr>
            <w:tcW w:w="2675" w:type="dxa"/>
            <w:tcBorders>
              <w:top w:val="single" w:sz="6" w:space="0" w:color="auto"/>
              <w:left w:val="single" w:sz="6" w:space="0" w:color="auto"/>
              <w:bottom w:val="single" w:sz="6" w:space="0" w:color="auto"/>
              <w:right w:val="single" w:sz="6" w:space="0" w:color="auto"/>
            </w:tcBorders>
          </w:tcPr>
          <w:p w14:paraId="43A9284A" w14:textId="77777777" w:rsidR="00CA23D0" w:rsidRPr="00E30642" w:rsidRDefault="00CA23D0" w:rsidP="00CA23D0">
            <w:pPr>
              <w:pStyle w:val="Texttabulky"/>
              <w:jc w:val="both"/>
              <w:rPr>
                <w:rFonts w:cs="Arial"/>
              </w:rPr>
            </w:pPr>
            <w:r w:rsidRPr="00E30642">
              <w:rPr>
                <w:rFonts w:cs="Arial"/>
                <w:sz w:val="18"/>
                <w:szCs w:val="18"/>
              </w:rPr>
              <w:t xml:space="preserve">ostatní </w:t>
            </w:r>
            <w:r w:rsidRPr="00E30642">
              <w:rPr>
                <w:rFonts w:cs="Arial"/>
                <w:b/>
                <w:bCs/>
                <w:sz w:val="18"/>
                <w:szCs w:val="18"/>
              </w:rPr>
              <w:t>*</w:t>
            </w:r>
          </w:p>
        </w:tc>
        <w:tc>
          <w:tcPr>
            <w:tcW w:w="1213" w:type="dxa"/>
            <w:tcBorders>
              <w:top w:val="single" w:sz="6" w:space="0" w:color="auto"/>
              <w:left w:val="single" w:sz="6" w:space="0" w:color="auto"/>
              <w:bottom w:val="single" w:sz="6" w:space="0" w:color="auto"/>
              <w:right w:val="single" w:sz="6" w:space="0" w:color="auto"/>
            </w:tcBorders>
          </w:tcPr>
          <w:p w14:paraId="4B7B8190" w14:textId="77777777" w:rsidR="00CA23D0" w:rsidRPr="00E30642" w:rsidRDefault="00CA23D0" w:rsidP="00CA23D0">
            <w:pPr>
              <w:pStyle w:val="Texttabulky"/>
              <w:jc w:val="both"/>
              <w:rPr>
                <w:rFonts w:cs="Arial"/>
              </w:rPr>
            </w:pPr>
            <w:r w:rsidRPr="00E30642">
              <w:rPr>
                <w:rFonts w:cs="Arial"/>
                <w:sz w:val="18"/>
                <w:szCs w:val="18"/>
              </w:rPr>
              <w:t>17</w:t>
            </w:r>
          </w:p>
        </w:tc>
        <w:tc>
          <w:tcPr>
            <w:tcW w:w="1337" w:type="dxa"/>
            <w:tcBorders>
              <w:top w:val="single" w:sz="6" w:space="0" w:color="auto"/>
              <w:left w:val="single" w:sz="6" w:space="0" w:color="auto"/>
              <w:bottom w:val="single" w:sz="6" w:space="0" w:color="auto"/>
              <w:right w:val="single" w:sz="6" w:space="0" w:color="auto"/>
            </w:tcBorders>
          </w:tcPr>
          <w:p w14:paraId="5C26539E" w14:textId="77777777" w:rsidR="00CA23D0" w:rsidRPr="00E30642" w:rsidRDefault="00CA23D0" w:rsidP="00CA23D0">
            <w:pPr>
              <w:pStyle w:val="Texttabulky"/>
              <w:jc w:val="both"/>
              <w:rPr>
                <w:rFonts w:cs="Arial"/>
              </w:rPr>
            </w:pPr>
            <w:r w:rsidRPr="00E30642">
              <w:rPr>
                <w:rFonts w:cs="Arial"/>
                <w:sz w:val="18"/>
                <w:szCs w:val="18"/>
              </w:rPr>
              <w:t>8,37</w:t>
            </w:r>
          </w:p>
        </w:tc>
        <w:tc>
          <w:tcPr>
            <w:tcW w:w="700" w:type="dxa"/>
            <w:tcBorders>
              <w:top w:val="single" w:sz="6" w:space="0" w:color="auto"/>
              <w:left w:val="single" w:sz="6" w:space="0" w:color="auto"/>
              <w:bottom w:val="single" w:sz="6" w:space="0" w:color="auto"/>
              <w:right w:val="single" w:sz="6" w:space="0" w:color="auto"/>
            </w:tcBorders>
          </w:tcPr>
          <w:p w14:paraId="4562BA3A" w14:textId="77777777" w:rsidR="00CA23D0" w:rsidRPr="00E30642" w:rsidRDefault="00CA23D0" w:rsidP="00CA23D0">
            <w:pPr>
              <w:pStyle w:val="Texttabulky"/>
              <w:jc w:val="both"/>
              <w:rPr>
                <w:rFonts w:cs="Arial"/>
              </w:rPr>
            </w:pPr>
            <w:r w:rsidRPr="00E30642">
              <w:rPr>
                <w:rFonts w:cs="Arial"/>
                <w:sz w:val="18"/>
                <w:szCs w:val="18"/>
              </w:rPr>
              <w:t>4</w:t>
            </w:r>
          </w:p>
        </w:tc>
        <w:tc>
          <w:tcPr>
            <w:tcW w:w="2387" w:type="dxa"/>
            <w:tcBorders>
              <w:top w:val="single" w:sz="6" w:space="0" w:color="auto"/>
              <w:left w:val="single" w:sz="6" w:space="0" w:color="auto"/>
              <w:bottom w:val="single" w:sz="6" w:space="0" w:color="auto"/>
              <w:right w:val="single" w:sz="6" w:space="0" w:color="auto"/>
            </w:tcBorders>
          </w:tcPr>
          <w:p w14:paraId="778F1723" w14:textId="77777777" w:rsidR="00CA23D0" w:rsidRPr="00E30642" w:rsidRDefault="00CA23D0" w:rsidP="00CA23D0">
            <w:pPr>
              <w:pStyle w:val="Texttabulky"/>
              <w:jc w:val="both"/>
              <w:rPr>
                <w:rFonts w:cs="Arial"/>
              </w:rPr>
            </w:pPr>
            <w:r w:rsidRPr="00E30642">
              <w:rPr>
                <w:rFonts w:cs="Arial"/>
                <w:sz w:val="18"/>
                <w:szCs w:val="18"/>
              </w:rPr>
              <w:t xml:space="preserve">I, II, III, IV, VI </w:t>
            </w:r>
          </w:p>
        </w:tc>
      </w:tr>
    </w:tbl>
    <w:p w14:paraId="51336B4F" w14:textId="77777777" w:rsidR="00CA23D0" w:rsidRPr="00E30642" w:rsidRDefault="00CA23D0" w:rsidP="00CA23D0">
      <w:pPr>
        <w:autoSpaceDE w:val="0"/>
        <w:autoSpaceDN w:val="0"/>
        <w:adjustRightInd w:val="0"/>
        <w:jc w:val="both"/>
        <w:rPr>
          <w:rFonts w:ascii="Arial" w:hAnsi="Arial" w:cs="Arial"/>
          <w:sz w:val="20"/>
        </w:rPr>
      </w:pPr>
    </w:p>
    <w:p w14:paraId="3CA89469" w14:textId="77777777" w:rsidR="00CA23D0" w:rsidRPr="00E30642" w:rsidRDefault="00CA23D0" w:rsidP="00CA23D0">
      <w:pPr>
        <w:pStyle w:val="Zkladntext"/>
        <w:jc w:val="both"/>
        <w:rPr>
          <w:rFonts w:ascii="Arial" w:hAnsi="Arial" w:cs="Arial"/>
        </w:rPr>
      </w:pPr>
    </w:p>
    <w:p w14:paraId="2A524A66" w14:textId="77777777" w:rsidR="00CA23D0" w:rsidRDefault="00CA23D0" w:rsidP="00CA23D0">
      <w:pPr>
        <w:pStyle w:val="dka"/>
        <w:jc w:val="both"/>
        <w:rPr>
          <w:rFonts w:cs="Arial"/>
          <w:i/>
          <w:iCs/>
          <w:sz w:val="18"/>
          <w:szCs w:val="18"/>
        </w:rPr>
      </w:pPr>
      <w:r w:rsidRPr="00E30642">
        <w:rPr>
          <w:rFonts w:cs="Arial"/>
          <w:b/>
          <w:bCs/>
          <w:i/>
          <w:iCs/>
          <w:sz w:val="18"/>
          <w:szCs w:val="18"/>
        </w:rPr>
        <w:tab/>
      </w:r>
      <w:r w:rsidRPr="00E30642">
        <w:rPr>
          <w:rFonts w:cs="Arial"/>
          <w:b/>
          <w:bCs/>
          <w:i/>
          <w:iCs/>
          <w:sz w:val="18"/>
          <w:szCs w:val="18"/>
        </w:rPr>
        <w:tab/>
      </w:r>
      <w:r w:rsidRPr="00E30642">
        <w:rPr>
          <w:rFonts w:cs="Arial"/>
          <w:b/>
          <w:bCs/>
          <w:i/>
          <w:iCs/>
          <w:sz w:val="18"/>
          <w:szCs w:val="18"/>
        </w:rPr>
        <w:tab/>
      </w:r>
      <w:r w:rsidRPr="00E30642">
        <w:rPr>
          <w:rFonts w:cs="Arial"/>
          <w:b/>
          <w:bCs/>
          <w:i/>
          <w:iCs/>
          <w:sz w:val="18"/>
          <w:szCs w:val="18"/>
        </w:rPr>
        <w:tab/>
      </w:r>
      <w:r w:rsidRPr="00E30642">
        <w:rPr>
          <w:rFonts w:cs="Arial"/>
          <w:b/>
          <w:bCs/>
          <w:i/>
          <w:iCs/>
          <w:sz w:val="18"/>
          <w:szCs w:val="18"/>
        </w:rPr>
        <w:tab/>
      </w:r>
      <w:r w:rsidRPr="00E30642">
        <w:rPr>
          <w:rFonts w:cs="Arial"/>
          <w:b/>
          <w:bCs/>
          <w:i/>
          <w:iCs/>
          <w:sz w:val="18"/>
          <w:szCs w:val="18"/>
        </w:rPr>
        <w:tab/>
      </w:r>
      <w:r w:rsidRPr="00E30642">
        <w:rPr>
          <w:rFonts w:cs="Arial"/>
          <w:b/>
          <w:bCs/>
          <w:i/>
          <w:iCs/>
          <w:sz w:val="18"/>
          <w:szCs w:val="18"/>
        </w:rPr>
        <w:tab/>
      </w:r>
      <w:r w:rsidRPr="00E30642">
        <w:rPr>
          <w:rFonts w:cs="Arial"/>
          <w:b/>
          <w:bCs/>
          <w:i/>
          <w:iCs/>
          <w:sz w:val="18"/>
          <w:szCs w:val="18"/>
        </w:rPr>
        <w:tab/>
      </w:r>
      <w:r w:rsidRPr="00E30642">
        <w:rPr>
          <w:rFonts w:cs="Arial"/>
          <w:b/>
          <w:bCs/>
          <w:i/>
          <w:iCs/>
          <w:sz w:val="18"/>
          <w:szCs w:val="18"/>
        </w:rPr>
        <w:tab/>
        <w:t>*</w:t>
      </w:r>
      <w:r w:rsidRPr="00E30642">
        <w:rPr>
          <w:rFonts w:cs="Arial"/>
          <w:i/>
          <w:iCs/>
          <w:sz w:val="18"/>
          <w:szCs w:val="18"/>
        </w:rPr>
        <w:t xml:space="preserve"> bez ploch železniční dopravy </w:t>
      </w:r>
    </w:p>
    <w:p w14:paraId="31FD051F" w14:textId="77777777" w:rsidR="00D3579D" w:rsidRPr="00E30642" w:rsidRDefault="00D3579D" w:rsidP="00CA23D0">
      <w:pPr>
        <w:pStyle w:val="dka"/>
        <w:jc w:val="both"/>
        <w:rPr>
          <w:rFonts w:cs="Arial"/>
        </w:rPr>
      </w:pPr>
    </w:p>
    <w:p w14:paraId="52BA3679" w14:textId="77777777" w:rsidR="00CA23D0" w:rsidRPr="00E30642" w:rsidRDefault="00CA23D0" w:rsidP="00CA23D0">
      <w:pPr>
        <w:pStyle w:val="dka"/>
        <w:jc w:val="both"/>
        <w:rPr>
          <w:rFonts w:cs="Arial"/>
        </w:rPr>
      </w:pPr>
      <w:r w:rsidRPr="00E30642">
        <w:rPr>
          <w:rFonts w:cs="Arial"/>
          <w:b/>
          <w:bCs/>
          <w:caps/>
        </w:rPr>
        <w:t xml:space="preserve">Z celoměstského pohledu je patrné, že </w:t>
      </w:r>
    </w:p>
    <w:p w14:paraId="4CC8B359" w14:textId="77777777" w:rsidR="00CA23D0" w:rsidRPr="00E30642" w:rsidRDefault="00CA23D0" w:rsidP="006031D6">
      <w:pPr>
        <w:pStyle w:val="Znaka"/>
        <w:numPr>
          <w:ilvl w:val="1"/>
          <w:numId w:val="27"/>
        </w:numPr>
        <w:spacing w:before="120" w:after="0" w:line="288" w:lineRule="auto"/>
        <w:ind w:left="426"/>
        <w:jc w:val="both"/>
        <w:rPr>
          <w:rFonts w:cs="Arial"/>
        </w:rPr>
      </w:pPr>
      <w:r w:rsidRPr="00E30642">
        <w:rPr>
          <w:rFonts w:cs="Arial"/>
        </w:rPr>
        <w:t>nosnými ekonomickými činnostmi jsou odvětví zpracovatelského průmyslu, tedy podniky s více jak 500 pracovníky (Ferox, Aluminium a Kabelovna). Vývojový útlum (likvidace výroby) se nejvíce projevil u textilního průmyslu (Benar), výroby potravin (Diana, Labena, pivovar) a v posledním období i DESTY;</w:t>
      </w:r>
    </w:p>
    <w:p w14:paraId="4A952CAE" w14:textId="77777777" w:rsidR="00CA23D0" w:rsidRPr="00E30642" w:rsidRDefault="00CA23D0" w:rsidP="006031D6">
      <w:pPr>
        <w:pStyle w:val="Znaka"/>
        <w:numPr>
          <w:ilvl w:val="1"/>
          <w:numId w:val="27"/>
        </w:numPr>
        <w:spacing w:before="120" w:after="0" w:line="288" w:lineRule="auto"/>
        <w:ind w:left="426"/>
        <w:jc w:val="both"/>
        <w:rPr>
          <w:rFonts w:cs="Arial"/>
        </w:rPr>
      </w:pPr>
      <w:r w:rsidRPr="00E30642">
        <w:rPr>
          <w:rFonts w:cs="Arial"/>
        </w:rPr>
        <w:t>největší koncentrace EZ je lokalizována v Rozbělesích, Želenicích (Dělnická ul.), Dolním Oldřichově, východním nádraží, při Benešovské ulici, na Starém Městě a Boleticích n. L.;</w:t>
      </w:r>
    </w:p>
    <w:p w14:paraId="57DFF6C3" w14:textId="77777777" w:rsidR="00CA23D0" w:rsidRPr="00E30642" w:rsidRDefault="00CA23D0" w:rsidP="006031D6">
      <w:pPr>
        <w:pStyle w:val="Znaka"/>
        <w:numPr>
          <w:ilvl w:val="1"/>
          <w:numId w:val="27"/>
        </w:numPr>
        <w:spacing w:before="120" w:after="0" w:line="288" w:lineRule="auto"/>
        <w:ind w:left="426"/>
        <w:jc w:val="both"/>
        <w:rPr>
          <w:rFonts w:cs="Arial"/>
        </w:rPr>
      </w:pPr>
      <w:r w:rsidRPr="00E30642">
        <w:rPr>
          <w:rFonts w:cs="Arial"/>
        </w:rPr>
        <w:t xml:space="preserve">typickou </w:t>
      </w:r>
      <w:r w:rsidRPr="00E30642">
        <w:rPr>
          <w:rFonts w:cs="Arial"/>
          <w:b/>
          <w:bCs/>
        </w:rPr>
        <w:t xml:space="preserve">územní koncentrací </w:t>
      </w:r>
      <w:r w:rsidRPr="00E30642">
        <w:rPr>
          <w:rFonts w:cs="Arial"/>
        </w:rPr>
        <w:t>je průmyslová zóna Rozbělesy - Želenice (ul. Ústecká a Dělnická) o rozloze cca 200 ha, představující určitá urbanistická rizika s centrální zónou města a obytným územím Letná – Želenice;</w:t>
      </w:r>
    </w:p>
    <w:p w14:paraId="460A71BA" w14:textId="77777777" w:rsidR="00CA23D0" w:rsidRPr="00E30642" w:rsidRDefault="00CA23D0" w:rsidP="006031D6">
      <w:pPr>
        <w:pStyle w:val="Znaka"/>
        <w:numPr>
          <w:ilvl w:val="1"/>
          <w:numId w:val="27"/>
        </w:numPr>
        <w:spacing w:before="120" w:after="0" w:line="288" w:lineRule="auto"/>
        <w:ind w:left="426"/>
        <w:jc w:val="both"/>
        <w:rPr>
          <w:rFonts w:cs="Arial"/>
        </w:rPr>
      </w:pPr>
      <w:r w:rsidRPr="00E30642">
        <w:rPr>
          <w:rFonts w:cs="Arial"/>
        </w:rPr>
        <w:t xml:space="preserve">systém </w:t>
      </w:r>
      <w:r w:rsidRPr="00E30642">
        <w:rPr>
          <w:rFonts w:cs="Arial"/>
          <w:b/>
          <w:bCs/>
        </w:rPr>
        <w:t>volného seskupení</w:t>
      </w:r>
      <w:r w:rsidRPr="00E30642">
        <w:rPr>
          <w:rFonts w:cs="Arial"/>
        </w:rPr>
        <w:t xml:space="preserve"> představuje prostor kolem východního nádraží (St. Město a Nové Město s málo přehledným dopravním uspořádáním) a prostor podél Jílovského potoka v Dolním Oldřichově;</w:t>
      </w:r>
    </w:p>
    <w:p w14:paraId="19B9D313" w14:textId="77777777" w:rsidR="00CA23D0" w:rsidRPr="00E30642" w:rsidRDefault="00CA23D0" w:rsidP="006031D6">
      <w:pPr>
        <w:pStyle w:val="Znaka"/>
        <w:numPr>
          <w:ilvl w:val="1"/>
          <w:numId w:val="27"/>
        </w:numPr>
        <w:spacing w:before="120" w:after="0" w:line="288" w:lineRule="auto"/>
        <w:ind w:left="426"/>
        <w:jc w:val="both"/>
        <w:rPr>
          <w:rFonts w:cs="Arial"/>
        </w:rPr>
      </w:pPr>
      <w:r w:rsidRPr="00E30642">
        <w:rPr>
          <w:rFonts w:cs="Arial"/>
        </w:rPr>
        <w:t xml:space="preserve">vhodné </w:t>
      </w:r>
      <w:r w:rsidRPr="00E30642">
        <w:rPr>
          <w:rFonts w:cs="Arial"/>
          <w:b/>
          <w:bCs/>
        </w:rPr>
        <w:t>solitérní</w:t>
      </w:r>
      <w:r w:rsidRPr="00E30642">
        <w:rPr>
          <w:rFonts w:cs="Arial"/>
        </w:rPr>
        <w:t xml:space="preserve"> umístění je typické pro areály v sektoru Boletice n. L – Křešice;</w:t>
      </w:r>
    </w:p>
    <w:p w14:paraId="08E345F7" w14:textId="77777777" w:rsidR="00CA23D0" w:rsidRPr="00E30642" w:rsidRDefault="00CA23D0" w:rsidP="006031D6">
      <w:pPr>
        <w:pStyle w:val="Znaka"/>
        <w:numPr>
          <w:ilvl w:val="1"/>
          <w:numId w:val="27"/>
        </w:numPr>
        <w:spacing w:before="120" w:after="0" w:line="288" w:lineRule="auto"/>
        <w:ind w:left="426"/>
        <w:jc w:val="both"/>
        <w:rPr>
          <w:rFonts w:cs="Arial"/>
        </w:rPr>
      </w:pPr>
      <w:r w:rsidRPr="00E30642">
        <w:rPr>
          <w:rFonts w:cs="Arial"/>
        </w:rPr>
        <w:t>druhou největší kategorií činností je prodej a velkoobchod spolu s dopravou a skladováním (železniční dílny, loděnice, přístavy, terminál ČSPL);</w:t>
      </w:r>
    </w:p>
    <w:p w14:paraId="11FFC1D7" w14:textId="77777777" w:rsidR="00CA23D0" w:rsidRPr="00E30642" w:rsidRDefault="00CA23D0" w:rsidP="006031D6">
      <w:pPr>
        <w:pStyle w:val="Znaka"/>
        <w:numPr>
          <w:ilvl w:val="1"/>
          <w:numId w:val="27"/>
        </w:numPr>
        <w:spacing w:before="120" w:after="0" w:line="288" w:lineRule="auto"/>
        <w:ind w:left="426"/>
        <w:jc w:val="both"/>
        <w:rPr>
          <w:rFonts w:cs="Arial"/>
        </w:rPr>
      </w:pPr>
      <w:r w:rsidRPr="00E30642">
        <w:rPr>
          <w:rFonts w:cs="Arial"/>
        </w:rPr>
        <w:t xml:space="preserve">odvětví </w:t>
      </w:r>
      <w:r w:rsidRPr="00E30642">
        <w:rPr>
          <w:rFonts w:cs="Arial"/>
          <w:b/>
          <w:bCs/>
        </w:rPr>
        <w:t>zemědělské výroby</w:t>
      </w:r>
      <w:r w:rsidRPr="00E30642">
        <w:rPr>
          <w:rFonts w:cs="Arial"/>
        </w:rPr>
        <w:t xml:space="preserve"> jsou lokalizována v podstatě mimo Libverdy (školství) ve venkovském příměstském území (Krásný Studenec, Lesná, Boletice n. L.);</w:t>
      </w:r>
    </w:p>
    <w:p w14:paraId="1BBC15EC" w14:textId="77777777" w:rsidR="00CA23D0" w:rsidRPr="00E30642" w:rsidRDefault="00CA23D0" w:rsidP="006031D6">
      <w:pPr>
        <w:pStyle w:val="Znaka"/>
        <w:numPr>
          <w:ilvl w:val="1"/>
          <w:numId w:val="27"/>
        </w:numPr>
        <w:spacing w:before="120" w:after="0" w:line="288" w:lineRule="auto"/>
        <w:ind w:left="426"/>
        <w:jc w:val="both"/>
        <w:rPr>
          <w:rFonts w:cs="Arial"/>
        </w:rPr>
      </w:pPr>
      <w:r w:rsidRPr="00E30642">
        <w:rPr>
          <w:rFonts w:cs="Arial"/>
        </w:rPr>
        <w:lastRenderedPageBreak/>
        <w:t>průměrná velikost areálu činí 1,12 ha, 6 % areálů je výměrou větších než 5,0 ha (parametry málo vypovídající o intenzitě využití pozemku);</w:t>
      </w:r>
    </w:p>
    <w:p w14:paraId="19A1B6C9" w14:textId="77777777" w:rsidR="00CA23D0" w:rsidRPr="00E30642" w:rsidRDefault="00CA23D0" w:rsidP="006031D6">
      <w:pPr>
        <w:pStyle w:val="Znaka"/>
        <w:numPr>
          <w:ilvl w:val="1"/>
          <w:numId w:val="27"/>
        </w:numPr>
        <w:spacing w:before="120" w:after="0" w:line="288" w:lineRule="auto"/>
        <w:ind w:left="426"/>
        <w:jc w:val="both"/>
        <w:rPr>
          <w:rFonts w:cs="Arial"/>
        </w:rPr>
      </w:pPr>
      <w:r w:rsidRPr="00E30642">
        <w:rPr>
          <w:rFonts w:cs="Arial"/>
        </w:rPr>
        <w:t>pokles počtu pracovníků o téměř 50 % (1980 - 19 7709, 1995 - 9 750);</w:t>
      </w:r>
    </w:p>
    <w:p w14:paraId="6BEDEB66" w14:textId="77777777" w:rsidR="00CA23D0" w:rsidRPr="00E30642" w:rsidRDefault="00CA23D0" w:rsidP="006031D6">
      <w:pPr>
        <w:pStyle w:val="Znaka"/>
        <w:numPr>
          <w:ilvl w:val="1"/>
          <w:numId w:val="27"/>
        </w:numPr>
        <w:spacing w:before="120" w:after="0" w:line="288" w:lineRule="auto"/>
        <w:ind w:left="426"/>
        <w:jc w:val="both"/>
        <w:rPr>
          <w:rFonts w:cs="Arial"/>
        </w:rPr>
      </w:pPr>
      <w:r w:rsidRPr="00E30642">
        <w:rPr>
          <w:rFonts w:cs="Arial"/>
        </w:rPr>
        <w:t>na "malé podnikání" připadá 58 % všech areálů, na "střední" 39 % a na velké pouze 3 % (co do počtu), ve 4 největších podnicích však pracuje 30 % všech zaměstnanců EZ. Počet pracovních míst se tedy stále snižuje, což vyvolává nezaměstnanost na jedné straně, ale i značnou intenzitu pohybu za prací mimo vlastní město.</w:t>
      </w:r>
    </w:p>
    <w:p w14:paraId="216C929B" w14:textId="77777777" w:rsidR="00CA23D0" w:rsidRDefault="00CA23D0" w:rsidP="00CA23D0">
      <w:pPr>
        <w:pStyle w:val="podnadpis2"/>
        <w:jc w:val="both"/>
        <w:rPr>
          <w:rFonts w:cs="Arial"/>
        </w:rPr>
      </w:pPr>
    </w:p>
    <w:p w14:paraId="5D41032C" w14:textId="77777777" w:rsidR="00D3579D" w:rsidRPr="00E30642" w:rsidRDefault="00D3579D" w:rsidP="00CA23D0">
      <w:pPr>
        <w:pStyle w:val="podnadpis2"/>
        <w:jc w:val="both"/>
        <w:rPr>
          <w:rFonts w:cs="Arial"/>
        </w:rPr>
      </w:pPr>
    </w:p>
    <w:p w14:paraId="22239809" w14:textId="77777777" w:rsidR="00CA23D0" w:rsidRPr="00E30642" w:rsidRDefault="00CA23D0" w:rsidP="00CA23D0">
      <w:pPr>
        <w:pStyle w:val="podnadpis2"/>
        <w:jc w:val="both"/>
        <w:rPr>
          <w:rFonts w:cs="Arial"/>
        </w:rPr>
      </w:pPr>
      <w:r w:rsidRPr="00E30642">
        <w:rPr>
          <w:rFonts w:cs="Arial"/>
        </w:rPr>
        <w:t xml:space="preserve">Urbanistická koncepce rozvoje EZ </w:t>
      </w:r>
    </w:p>
    <w:p w14:paraId="4A8C5E12" w14:textId="77777777" w:rsidR="00CA23D0" w:rsidRPr="00E30642" w:rsidRDefault="00CA23D0" w:rsidP="00CA23D0">
      <w:pPr>
        <w:pStyle w:val="Zkladntext"/>
        <w:jc w:val="both"/>
        <w:rPr>
          <w:rFonts w:ascii="Arial" w:hAnsi="Arial" w:cs="Arial"/>
        </w:rPr>
      </w:pPr>
      <w:r w:rsidRPr="00E30642">
        <w:rPr>
          <w:rFonts w:ascii="Arial" w:hAnsi="Arial" w:cs="Arial"/>
          <w:b/>
          <w:bCs/>
          <w:caps/>
        </w:rPr>
        <w:t>Návrh koncepce rozvoje ekonomické základny</w:t>
      </w:r>
    </w:p>
    <w:p w14:paraId="0601B95A" w14:textId="77777777" w:rsidR="00CA23D0" w:rsidRPr="00E30642" w:rsidRDefault="00CA23D0" w:rsidP="00CA23D0">
      <w:pPr>
        <w:pStyle w:val="Zkladntext"/>
        <w:jc w:val="both"/>
        <w:rPr>
          <w:rFonts w:ascii="Arial" w:hAnsi="Arial" w:cs="Arial"/>
          <w:sz w:val="22"/>
          <w:szCs w:val="22"/>
        </w:rPr>
      </w:pPr>
      <w:r w:rsidRPr="00E30642">
        <w:rPr>
          <w:rFonts w:ascii="Arial" w:hAnsi="Arial" w:cs="Arial"/>
          <w:b/>
          <w:bCs/>
          <w:sz w:val="22"/>
          <w:szCs w:val="22"/>
        </w:rPr>
        <w:t>podmiňují základní rozvojové předpoklady města:</w:t>
      </w:r>
      <w:r w:rsidRPr="00E30642">
        <w:rPr>
          <w:rFonts w:ascii="Arial" w:hAnsi="Arial" w:cs="Arial"/>
          <w:sz w:val="22"/>
          <w:szCs w:val="22"/>
        </w:rPr>
        <w:t xml:space="preserve"> </w:t>
      </w:r>
    </w:p>
    <w:p w14:paraId="0B3058E3"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geografická poloha a hospodářský význam města;</w:t>
      </w:r>
    </w:p>
    <w:p w14:paraId="58CEAFDD"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atraktivita obytného prostředí, vzdělanost a kvalifikace obyvatel;</w:t>
      </w:r>
    </w:p>
    <w:p w14:paraId="0C3DA25B"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omezené podmínky pro územní rozvoj (zábor ZPF, reliéf);</w:t>
      </w:r>
    </w:p>
    <w:p w14:paraId="338A3435"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tradiční denní migrace obyvatel za prací;</w:t>
      </w:r>
    </w:p>
    <w:p w14:paraId="5801A31A"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struktura a intenzita výrobního území - areálů EZ;</w:t>
      </w:r>
    </w:p>
    <w:p w14:paraId="51DB1215"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poloha města v dopravním systému;</w:t>
      </w:r>
    </w:p>
    <w:p w14:paraId="5C519036"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struktura a funkčnost systémů technické infrastruktury.</w:t>
      </w:r>
    </w:p>
    <w:p w14:paraId="401646A0" w14:textId="77777777" w:rsidR="00CA23D0" w:rsidRPr="00E30642" w:rsidRDefault="00CA23D0" w:rsidP="00CA23D0">
      <w:pPr>
        <w:pStyle w:val="dka"/>
        <w:jc w:val="both"/>
        <w:rPr>
          <w:rFonts w:cs="Arial"/>
          <w:b/>
          <w:bCs/>
        </w:rPr>
      </w:pPr>
    </w:p>
    <w:p w14:paraId="31A04E41" w14:textId="77777777" w:rsidR="00CA23D0" w:rsidRPr="00E30642" w:rsidRDefault="00CA23D0" w:rsidP="00CA23D0">
      <w:pPr>
        <w:pStyle w:val="dka"/>
        <w:spacing w:before="120" w:after="0" w:line="288" w:lineRule="auto"/>
        <w:ind w:firstLine="709"/>
        <w:jc w:val="both"/>
        <w:rPr>
          <w:rFonts w:cs="Arial"/>
        </w:rPr>
      </w:pPr>
      <w:r w:rsidRPr="00E30642">
        <w:rPr>
          <w:rFonts w:cs="Arial"/>
          <w:b/>
          <w:bCs/>
        </w:rPr>
        <w:t xml:space="preserve">Na základě uvedených předpokladů a požadavků se navrhuje varianta optimální, tzn. varianta, která: </w:t>
      </w:r>
    </w:p>
    <w:p w14:paraId="6DE6DD31"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nesleduje pouze princip nabídky územní náhrady pro vymístěné areály - alternativa minimální;</w:t>
      </w:r>
    </w:p>
    <w:p w14:paraId="4CC088E0"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nesleduje vizi zřízení max. počtu pracovních míst a tedy i maximální nabídku ploch pro rozvoj EZ;</w:t>
      </w:r>
    </w:p>
    <w:p w14:paraId="114FDEC2"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sleduje jednak vizi územních náhrad. Jedná se o ty provozovny EZ, které jsou v zásadním rozporu s navrženým funkčním využitím města (zaměření a ostatní negativní vlivy zásadním způsobem ovlivňující existenci a funkci zóny, v které jsou lokalizovány - centrum, obytné území);</w:t>
      </w:r>
    </w:p>
    <w:p w14:paraId="402162BD"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sleduje jednak vizi "kvalifikované nabídky vhodného území" pro lokalizaci nových podnikatelských záměrů.</w:t>
      </w:r>
    </w:p>
    <w:p w14:paraId="5BD5B138" w14:textId="77777777" w:rsidR="00CA23D0" w:rsidRDefault="00CA23D0" w:rsidP="00CA23D0">
      <w:pPr>
        <w:pStyle w:val="Zkladntext"/>
        <w:jc w:val="both"/>
        <w:rPr>
          <w:rFonts w:ascii="Arial" w:hAnsi="Arial" w:cs="Arial"/>
        </w:rPr>
      </w:pPr>
    </w:p>
    <w:p w14:paraId="2FFC92E7" w14:textId="77777777" w:rsidR="00D3579D" w:rsidRDefault="00D3579D" w:rsidP="00CA23D0">
      <w:pPr>
        <w:pStyle w:val="Zkladntext"/>
        <w:jc w:val="both"/>
        <w:rPr>
          <w:rFonts w:ascii="Arial" w:hAnsi="Arial" w:cs="Arial"/>
        </w:rPr>
      </w:pPr>
    </w:p>
    <w:p w14:paraId="079C6E6E" w14:textId="77777777" w:rsidR="00D3579D" w:rsidRDefault="00D3579D" w:rsidP="00CA23D0">
      <w:pPr>
        <w:pStyle w:val="Zkladntext"/>
        <w:jc w:val="both"/>
        <w:rPr>
          <w:rFonts w:ascii="Arial" w:hAnsi="Arial" w:cs="Arial"/>
        </w:rPr>
      </w:pPr>
    </w:p>
    <w:p w14:paraId="17452284" w14:textId="77777777" w:rsidR="00D3579D" w:rsidRDefault="00D3579D" w:rsidP="00CA23D0">
      <w:pPr>
        <w:pStyle w:val="Zkladntext"/>
        <w:jc w:val="both"/>
        <w:rPr>
          <w:rFonts w:ascii="Arial" w:hAnsi="Arial" w:cs="Arial"/>
        </w:rPr>
      </w:pPr>
    </w:p>
    <w:p w14:paraId="5249F067" w14:textId="77777777" w:rsidR="00D3579D" w:rsidRDefault="00D3579D" w:rsidP="00CA23D0">
      <w:pPr>
        <w:pStyle w:val="Zkladntext"/>
        <w:jc w:val="both"/>
        <w:rPr>
          <w:rFonts w:ascii="Arial" w:hAnsi="Arial" w:cs="Arial"/>
        </w:rPr>
      </w:pPr>
    </w:p>
    <w:p w14:paraId="79988013" w14:textId="77777777" w:rsidR="00D3579D" w:rsidRPr="00E30642" w:rsidRDefault="00D3579D" w:rsidP="00CA23D0">
      <w:pPr>
        <w:pStyle w:val="Zkladntext"/>
        <w:jc w:val="both"/>
        <w:rPr>
          <w:rFonts w:ascii="Arial" w:hAnsi="Arial" w:cs="Arial"/>
        </w:rPr>
      </w:pPr>
    </w:p>
    <w:p w14:paraId="6A763EE1" w14:textId="77777777" w:rsidR="00CA23D0" w:rsidRPr="00E30642" w:rsidRDefault="00CA23D0" w:rsidP="00CA23D0">
      <w:pPr>
        <w:pStyle w:val="dka"/>
        <w:jc w:val="both"/>
        <w:rPr>
          <w:rFonts w:cs="Arial"/>
        </w:rPr>
      </w:pPr>
      <w:r w:rsidRPr="00E30642">
        <w:rPr>
          <w:rFonts w:cs="Arial"/>
          <w:b/>
          <w:bCs/>
          <w:caps/>
        </w:rPr>
        <w:t xml:space="preserve">Zásady urbanistické koncepce EZ </w:t>
      </w:r>
    </w:p>
    <w:p w14:paraId="55571FD2"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postupně vymístit závadné subjekty EZ, které brání a jsou v rozporu s návrhem komplexního rozvoje města (změna funkce, rekonstrukce);</w:t>
      </w:r>
    </w:p>
    <w:p w14:paraId="0A6C8C37"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stávající a bezkonfliktní subjekty EZ považovat v rámci průmyslové a výrobní zóny za stabilní (činnost a zaměření redukovat PHO);</w:t>
      </w:r>
    </w:p>
    <w:p w14:paraId="014BD40E"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územní nabídka - lokalizace bude v souladu s funkcí a územně technickými podmínkami navrženého prostoru města;</w:t>
      </w:r>
    </w:p>
    <w:p w14:paraId="5512C7CB" w14:textId="77777777" w:rsidR="00CA23D0" w:rsidRPr="00E30642" w:rsidRDefault="00CA23D0" w:rsidP="006031D6">
      <w:pPr>
        <w:pStyle w:val="Znaka"/>
        <w:numPr>
          <w:ilvl w:val="1"/>
          <w:numId w:val="27"/>
        </w:numPr>
        <w:spacing w:before="120" w:after="0" w:line="288" w:lineRule="auto"/>
        <w:ind w:left="425" w:hanging="357"/>
        <w:jc w:val="both"/>
        <w:rPr>
          <w:rFonts w:cs="Arial"/>
        </w:rPr>
      </w:pPr>
      <w:r w:rsidRPr="00E30642">
        <w:rPr>
          <w:rFonts w:cs="Arial"/>
        </w:rPr>
        <w:t>územní nabídka nebude vytvářet rozptýlené lokality.</w:t>
      </w:r>
    </w:p>
    <w:p w14:paraId="4C87A51E" w14:textId="77777777" w:rsidR="00CA23D0" w:rsidRDefault="00CA23D0" w:rsidP="00CA23D0">
      <w:pPr>
        <w:pStyle w:val="Zkladntext"/>
        <w:jc w:val="both"/>
        <w:rPr>
          <w:rFonts w:ascii="Arial" w:hAnsi="Arial" w:cs="Arial"/>
        </w:rPr>
      </w:pPr>
    </w:p>
    <w:p w14:paraId="0AD64432" w14:textId="77777777" w:rsidR="00D3579D" w:rsidRPr="00E30642" w:rsidRDefault="00D3579D" w:rsidP="00CA23D0">
      <w:pPr>
        <w:pStyle w:val="Zkladntext"/>
        <w:jc w:val="both"/>
        <w:rPr>
          <w:rFonts w:ascii="Arial" w:hAnsi="Arial" w:cs="Arial"/>
        </w:rPr>
      </w:pPr>
    </w:p>
    <w:p w14:paraId="5902F2E7" w14:textId="77777777" w:rsidR="00CA23D0" w:rsidRPr="00E30642" w:rsidRDefault="00CA23D0" w:rsidP="00CA23D0">
      <w:pPr>
        <w:pStyle w:val="podnadpis2"/>
        <w:jc w:val="both"/>
        <w:rPr>
          <w:rFonts w:cs="Arial"/>
        </w:rPr>
      </w:pPr>
      <w:r w:rsidRPr="00E30642">
        <w:rPr>
          <w:rFonts w:cs="Arial"/>
        </w:rPr>
        <w:t xml:space="preserve">Územní nabídka - návrh EZ </w:t>
      </w:r>
    </w:p>
    <w:p w14:paraId="612D5F5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S ohledem na objektivnost odvětvového třídění, lokalizační nároky a ekologii jsou navržené areály EZ v půdoryse města členěny dle následných urbanistických kategorií:</w:t>
      </w:r>
    </w:p>
    <w:p w14:paraId="24B0254A" w14:textId="77777777" w:rsidR="00CA23D0" w:rsidRPr="00E30642" w:rsidRDefault="00CA23D0" w:rsidP="00CA23D0">
      <w:pPr>
        <w:pStyle w:val="Zkladntext"/>
        <w:jc w:val="both"/>
        <w:rPr>
          <w:rFonts w:ascii="Arial" w:hAnsi="Arial" w:cs="Arial"/>
        </w:rPr>
      </w:pPr>
    </w:p>
    <w:tbl>
      <w:tblPr>
        <w:tblW w:w="0" w:type="auto"/>
        <w:jc w:val="center"/>
        <w:tblLayout w:type="fixed"/>
        <w:tblCellMar>
          <w:left w:w="42" w:type="dxa"/>
          <w:right w:w="42" w:type="dxa"/>
        </w:tblCellMar>
        <w:tblLook w:val="0000" w:firstRow="0" w:lastRow="0" w:firstColumn="0" w:lastColumn="0" w:noHBand="0" w:noVBand="0"/>
      </w:tblPr>
      <w:tblGrid>
        <w:gridCol w:w="996"/>
        <w:gridCol w:w="7785"/>
      </w:tblGrid>
      <w:tr w:rsidR="00CA23D0" w:rsidRPr="00E30642" w14:paraId="2DDB4046" w14:textId="77777777" w:rsidTr="00CA23D0">
        <w:trPr>
          <w:jc w:val="center"/>
        </w:trPr>
        <w:tc>
          <w:tcPr>
            <w:tcW w:w="996" w:type="dxa"/>
            <w:tcBorders>
              <w:top w:val="single" w:sz="6" w:space="0" w:color="auto"/>
              <w:left w:val="single" w:sz="6" w:space="0" w:color="auto"/>
              <w:bottom w:val="single" w:sz="6" w:space="0" w:color="auto"/>
              <w:right w:val="single" w:sz="6" w:space="0" w:color="auto"/>
            </w:tcBorders>
          </w:tcPr>
          <w:p w14:paraId="14934BB2" w14:textId="77777777" w:rsidR="00CA23D0" w:rsidRPr="00E30642" w:rsidRDefault="00CA23D0" w:rsidP="00CA23D0">
            <w:pPr>
              <w:pStyle w:val="Texttabulky"/>
              <w:jc w:val="both"/>
              <w:rPr>
                <w:rFonts w:cs="Arial"/>
              </w:rPr>
            </w:pPr>
            <w:r w:rsidRPr="00E30642">
              <w:rPr>
                <w:rFonts w:cs="Arial"/>
                <w:b/>
                <w:bCs/>
              </w:rPr>
              <w:t>kategorie</w:t>
            </w:r>
          </w:p>
        </w:tc>
        <w:tc>
          <w:tcPr>
            <w:tcW w:w="7785" w:type="dxa"/>
            <w:tcBorders>
              <w:top w:val="single" w:sz="6" w:space="0" w:color="auto"/>
              <w:left w:val="single" w:sz="6" w:space="0" w:color="auto"/>
              <w:bottom w:val="single" w:sz="6" w:space="0" w:color="auto"/>
              <w:right w:val="single" w:sz="6" w:space="0" w:color="auto"/>
            </w:tcBorders>
          </w:tcPr>
          <w:p w14:paraId="71CBADE6" w14:textId="77777777" w:rsidR="00CA23D0" w:rsidRPr="00E30642" w:rsidRDefault="00CA23D0" w:rsidP="00CA23D0">
            <w:pPr>
              <w:pStyle w:val="dka"/>
              <w:ind w:left="276"/>
              <w:jc w:val="both"/>
              <w:rPr>
                <w:rFonts w:cs="Arial"/>
              </w:rPr>
            </w:pPr>
            <w:r w:rsidRPr="00E30642">
              <w:rPr>
                <w:rFonts w:cs="Arial"/>
                <w:b/>
                <w:bCs/>
              </w:rPr>
              <w:t>základní znaky areálu</w:t>
            </w:r>
          </w:p>
        </w:tc>
      </w:tr>
      <w:tr w:rsidR="00CA23D0" w:rsidRPr="00E30642" w14:paraId="3DC86FD5" w14:textId="77777777" w:rsidTr="00CA23D0">
        <w:trPr>
          <w:jc w:val="center"/>
        </w:trPr>
        <w:tc>
          <w:tcPr>
            <w:tcW w:w="996" w:type="dxa"/>
            <w:tcBorders>
              <w:top w:val="single" w:sz="6" w:space="0" w:color="auto"/>
              <w:left w:val="single" w:sz="6" w:space="0" w:color="auto"/>
              <w:bottom w:val="single" w:sz="6" w:space="0" w:color="auto"/>
              <w:right w:val="single" w:sz="6" w:space="0" w:color="auto"/>
            </w:tcBorders>
          </w:tcPr>
          <w:p w14:paraId="4F3D90AD" w14:textId="77777777" w:rsidR="00CA23D0" w:rsidRPr="00E30642" w:rsidRDefault="00CA23D0" w:rsidP="00CA23D0">
            <w:pPr>
              <w:pStyle w:val="Zkladntext"/>
              <w:jc w:val="both"/>
              <w:rPr>
                <w:rFonts w:ascii="Arial" w:hAnsi="Arial" w:cs="Arial"/>
              </w:rPr>
            </w:pPr>
          </w:p>
          <w:p w14:paraId="07E40F1F" w14:textId="77777777" w:rsidR="00CA23D0" w:rsidRPr="00E30642" w:rsidRDefault="00CA23D0" w:rsidP="00CA23D0">
            <w:pPr>
              <w:pStyle w:val="Texttabulky"/>
              <w:jc w:val="both"/>
              <w:rPr>
                <w:rFonts w:cs="Arial"/>
              </w:rPr>
            </w:pPr>
            <w:r w:rsidRPr="00E30642">
              <w:rPr>
                <w:rFonts w:cs="Arial"/>
                <w:b/>
                <w:bCs/>
                <w:sz w:val="36"/>
                <w:szCs w:val="36"/>
              </w:rPr>
              <w:t>A</w:t>
            </w:r>
          </w:p>
        </w:tc>
        <w:tc>
          <w:tcPr>
            <w:tcW w:w="7785" w:type="dxa"/>
            <w:tcBorders>
              <w:top w:val="single" w:sz="6" w:space="0" w:color="auto"/>
              <w:left w:val="single" w:sz="6" w:space="0" w:color="auto"/>
              <w:bottom w:val="single" w:sz="6" w:space="0" w:color="auto"/>
              <w:right w:val="single" w:sz="6" w:space="0" w:color="auto"/>
            </w:tcBorders>
          </w:tcPr>
          <w:p w14:paraId="5324DCAC" w14:textId="77777777" w:rsidR="00CA23D0" w:rsidRPr="00E30642" w:rsidRDefault="00CA23D0" w:rsidP="00CA23D0">
            <w:pPr>
              <w:pStyle w:val="Znaka1"/>
              <w:jc w:val="both"/>
              <w:rPr>
                <w:rFonts w:cs="Arial"/>
              </w:rPr>
            </w:pPr>
            <w:r w:rsidRPr="00E30642">
              <w:rPr>
                <w:rFonts w:cs="Arial"/>
              </w:rPr>
              <w:t>*dynamický vývoj aktivit a potřeba odpovídajících územních rezerv,</w:t>
            </w:r>
          </w:p>
          <w:p w14:paraId="4832861B" w14:textId="77777777" w:rsidR="00CA23D0" w:rsidRPr="00E30642" w:rsidRDefault="00CA23D0" w:rsidP="00CA23D0">
            <w:pPr>
              <w:pStyle w:val="Znaka1"/>
              <w:jc w:val="both"/>
              <w:rPr>
                <w:rFonts w:cs="Arial"/>
              </w:rPr>
            </w:pPr>
            <w:r w:rsidRPr="00E30642">
              <w:rPr>
                <w:rFonts w:cs="Arial"/>
              </w:rPr>
              <w:t xml:space="preserve">*vlastní energetika a vodohospodářské systémy, závodní vlečka a vnitrozávodový dopravní systém </w:t>
            </w:r>
          </w:p>
          <w:p w14:paraId="554F888F" w14:textId="77777777" w:rsidR="00CA23D0" w:rsidRPr="00E30642" w:rsidRDefault="00CA23D0" w:rsidP="00CA23D0">
            <w:pPr>
              <w:pStyle w:val="Znaka1"/>
              <w:jc w:val="both"/>
              <w:rPr>
                <w:rFonts w:cs="Arial"/>
              </w:rPr>
            </w:pPr>
            <w:r w:rsidRPr="00E30642">
              <w:rPr>
                <w:rFonts w:cs="Arial"/>
              </w:rPr>
              <w:t xml:space="preserve">*nevylučují se hygienická nebo bezpečnostní rizika i vně areálu </w:t>
            </w:r>
          </w:p>
          <w:p w14:paraId="6736AC1D" w14:textId="77777777" w:rsidR="00CA23D0" w:rsidRPr="00E30642" w:rsidRDefault="00CA23D0" w:rsidP="00CA23D0">
            <w:pPr>
              <w:pStyle w:val="Znaka1"/>
              <w:jc w:val="both"/>
              <w:rPr>
                <w:rFonts w:cs="Arial"/>
              </w:rPr>
            </w:pPr>
            <w:r w:rsidRPr="00E30642">
              <w:rPr>
                <w:rFonts w:cs="Arial"/>
              </w:rPr>
              <w:t xml:space="preserve">*vesměs zpracovatelský průmysl, s objemově náročnou  výrobou </w:t>
            </w:r>
          </w:p>
          <w:p w14:paraId="3775D064" w14:textId="77777777" w:rsidR="00CA23D0" w:rsidRPr="00E30642" w:rsidRDefault="00CA23D0" w:rsidP="00CA23D0">
            <w:pPr>
              <w:pStyle w:val="Znaka1"/>
              <w:jc w:val="both"/>
              <w:rPr>
                <w:rFonts w:cs="Arial"/>
              </w:rPr>
            </w:pPr>
            <w:r w:rsidRPr="00E30642">
              <w:rPr>
                <w:rFonts w:cs="Arial"/>
              </w:rPr>
              <w:t>*situování je vhodné s odstupem mimo intravilán města</w:t>
            </w:r>
          </w:p>
        </w:tc>
      </w:tr>
      <w:tr w:rsidR="00CA23D0" w:rsidRPr="00E30642" w14:paraId="583DAAD9" w14:textId="77777777" w:rsidTr="00CA23D0">
        <w:trPr>
          <w:jc w:val="center"/>
        </w:trPr>
        <w:tc>
          <w:tcPr>
            <w:tcW w:w="996" w:type="dxa"/>
            <w:tcBorders>
              <w:top w:val="single" w:sz="6" w:space="0" w:color="auto"/>
              <w:left w:val="single" w:sz="6" w:space="0" w:color="auto"/>
              <w:bottom w:val="single" w:sz="6" w:space="0" w:color="auto"/>
              <w:right w:val="single" w:sz="6" w:space="0" w:color="auto"/>
            </w:tcBorders>
          </w:tcPr>
          <w:p w14:paraId="4D77209C" w14:textId="77777777" w:rsidR="00CA23D0" w:rsidRPr="00E30642" w:rsidRDefault="00CA23D0" w:rsidP="00CA23D0">
            <w:pPr>
              <w:pStyle w:val="Zkladntext"/>
              <w:jc w:val="both"/>
              <w:rPr>
                <w:rFonts w:ascii="Arial" w:hAnsi="Arial" w:cs="Arial"/>
              </w:rPr>
            </w:pPr>
          </w:p>
          <w:p w14:paraId="6E2ADF87" w14:textId="77777777" w:rsidR="00CA23D0" w:rsidRPr="00E30642" w:rsidRDefault="00CA23D0" w:rsidP="00CA23D0">
            <w:pPr>
              <w:pStyle w:val="Texttabulky"/>
              <w:jc w:val="both"/>
              <w:rPr>
                <w:rFonts w:cs="Arial"/>
              </w:rPr>
            </w:pPr>
            <w:r w:rsidRPr="00E30642">
              <w:rPr>
                <w:rFonts w:cs="Arial"/>
                <w:b/>
                <w:bCs/>
                <w:sz w:val="36"/>
                <w:szCs w:val="36"/>
              </w:rPr>
              <w:t>B</w:t>
            </w:r>
          </w:p>
        </w:tc>
        <w:tc>
          <w:tcPr>
            <w:tcW w:w="7785" w:type="dxa"/>
            <w:tcBorders>
              <w:top w:val="single" w:sz="6" w:space="0" w:color="auto"/>
              <w:left w:val="single" w:sz="6" w:space="0" w:color="auto"/>
              <w:bottom w:val="single" w:sz="6" w:space="0" w:color="auto"/>
              <w:right w:val="single" w:sz="6" w:space="0" w:color="auto"/>
            </w:tcBorders>
          </w:tcPr>
          <w:p w14:paraId="7DCE3C98" w14:textId="77777777" w:rsidR="00CA23D0" w:rsidRPr="00E30642" w:rsidRDefault="00CA23D0" w:rsidP="00CA23D0">
            <w:pPr>
              <w:pStyle w:val="Znaka1"/>
              <w:jc w:val="both"/>
              <w:rPr>
                <w:rFonts w:cs="Arial"/>
              </w:rPr>
            </w:pPr>
            <w:r w:rsidRPr="00E30642">
              <w:rPr>
                <w:rFonts w:cs="Arial"/>
              </w:rPr>
              <w:t>*uzavřené provozní schéma, variabilní podnikové programy s limitem     územního rozvoje</w:t>
            </w:r>
          </w:p>
          <w:p w14:paraId="6BF78B7A" w14:textId="77777777" w:rsidR="00CA23D0" w:rsidRPr="00E30642" w:rsidRDefault="00CA23D0" w:rsidP="00CA23D0">
            <w:pPr>
              <w:pStyle w:val="Znaka1"/>
              <w:jc w:val="both"/>
              <w:rPr>
                <w:rFonts w:cs="Arial"/>
              </w:rPr>
            </w:pPr>
            <w:r w:rsidRPr="00E30642">
              <w:rPr>
                <w:rFonts w:cs="Arial"/>
              </w:rPr>
              <w:t>*dopravní napojení na městské sběrné komunikace,  dostupnost ze stanic MHD</w:t>
            </w:r>
          </w:p>
          <w:p w14:paraId="12AEB5B1" w14:textId="77777777" w:rsidR="00CA23D0" w:rsidRPr="00E30642" w:rsidRDefault="00CA23D0" w:rsidP="00CA23D0">
            <w:pPr>
              <w:pStyle w:val="Znaka1"/>
              <w:jc w:val="both"/>
              <w:rPr>
                <w:rFonts w:cs="Arial"/>
              </w:rPr>
            </w:pPr>
            <w:r w:rsidRPr="00E30642">
              <w:rPr>
                <w:rFonts w:cs="Arial"/>
              </w:rPr>
              <w:t>*občasné hygienické a provozní závady se omezují  v rámci areálů</w:t>
            </w:r>
          </w:p>
          <w:p w14:paraId="537D1035" w14:textId="77777777" w:rsidR="00CA23D0" w:rsidRPr="00E30642" w:rsidRDefault="00CA23D0" w:rsidP="00CA23D0">
            <w:pPr>
              <w:pStyle w:val="Znaka1"/>
              <w:jc w:val="both"/>
              <w:rPr>
                <w:rFonts w:cs="Arial"/>
              </w:rPr>
            </w:pPr>
            <w:r w:rsidRPr="00E30642">
              <w:rPr>
                <w:rFonts w:cs="Arial"/>
              </w:rPr>
              <w:t>*podnikatelské aktivity vyžadují nádvorní činnosti</w:t>
            </w:r>
          </w:p>
          <w:p w14:paraId="7FE390F9" w14:textId="77777777" w:rsidR="00CA23D0" w:rsidRPr="00E30642" w:rsidRDefault="00CA23D0" w:rsidP="00CA23D0">
            <w:pPr>
              <w:pStyle w:val="Znaka1"/>
              <w:jc w:val="both"/>
              <w:rPr>
                <w:rFonts w:cs="Arial"/>
              </w:rPr>
            </w:pPr>
            <w:r w:rsidRPr="00E30642">
              <w:rPr>
                <w:rFonts w:cs="Arial"/>
              </w:rPr>
              <w:t>*situování je vhodné na okrajích obytných zón</w:t>
            </w:r>
          </w:p>
        </w:tc>
      </w:tr>
      <w:tr w:rsidR="00CA23D0" w:rsidRPr="00E30642" w14:paraId="7A862822" w14:textId="77777777" w:rsidTr="00CA23D0">
        <w:trPr>
          <w:jc w:val="center"/>
        </w:trPr>
        <w:tc>
          <w:tcPr>
            <w:tcW w:w="996" w:type="dxa"/>
            <w:tcBorders>
              <w:top w:val="single" w:sz="6" w:space="0" w:color="auto"/>
              <w:left w:val="single" w:sz="6" w:space="0" w:color="auto"/>
              <w:bottom w:val="single" w:sz="6" w:space="0" w:color="auto"/>
              <w:right w:val="single" w:sz="6" w:space="0" w:color="auto"/>
            </w:tcBorders>
          </w:tcPr>
          <w:p w14:paraId="50D0338D" w14:textId="77777777" w:rsidR="00CA23D0" w:rsidRPr="00E30642" w:rsidRDefault="00CA23D0" w:rsidP="00CA23D0">
            <w:pPr>
              <w:pStyle w:val="Zkladntext"/>
              <w:jc w:val="both"/>
              <w:rPr>
                <w:rFonts w:ascii="Arial" w:hAnsi="Arial" w:cs="Arial"/>
              </w:rPr>
            </w:pPr>
          </w:p>
          <w:p w14:paraId="5E569791" w14:textId="77777777" w:rsidR="00CA23D0" w:rsidRPr="00E30642" w:rsidRDefault="00CA23D0" w:rsidP="00CA23D0">
            <w:pPr>
              <w:pStyle w:val="Texttabulky"/>
              <w:jc w:val="both"/>
              <w:rPr>
                <w:rFonts w:cs="Arial"/>
              </w:rPr>
            </w:pPr>
            <w:r w:rsidRPr="00E30642">
              <w:rPr>
                <w:rFonts w:cs="Arial"/>
                <w:b/>
                <w:bCs/>
                <w:sz w:val="36"/>
                <w:szCs w:val="36"/>
              </w:rPr>
              <w:t>C</w:t>
            </w:r>
          </w:p>
        </w:tc>
        <w:tc>
          <w:tcPr>
            <w:tcW w:w="7785" w:type="dxa"/>
            <w:tcBorders>
              <w:top w:val="single" w:sz="6" w:space="0" w:color="auto"/>
              <w:left w:val="single" w:sz="6" w:space="0" w:color="auto"/>
              <w:bottom w:val="single" w:sz="6" w:space="0" w:color="auto"/>
              <w:right w:val="single" w:sz="6" w:space="0" w:color="auto"/>
            </w:tcBorders>
          </w:tcPr>
          <w:p w14:paraId="3B016C5E" w14:textId="77777777" w:rsidR="00CA23D0" w:rsidRPr="00E30642" w:rsidRDefault="00CA23D0" w:rsidP="00CA23D0">
            <w:pPr>
              <w:pStyle w:val="Znaka1"/>
              <w:jc w:val="both"/>
              <w:rPr>
                <w:rFonts w:cs="Arial"/>
              </w:rPr>
            </w:pPr>
            <w:r w:rsidRPr="00E30642">
              <w:rPr>
                <w:rFonts w:cs="Arial"/>
              </w:rPr>
              <w:t>*areály nebo provozovny a v nich realizované aktivity se plně podřizují urbanisticko - architektonickým podmínkám svého okolí</w:t>
            </w:r>
          </w:p>
          <w:p w14:paraId="40A7320F" w14:textId="77777777" w:rsidR="00CA23D0" w:rsidRPr="00E30642" w:rsidRDefault="00CA23D0" w:rsidP="00CA23D0">
            <w:pPr>
              <w:pStyle w:val="Znaka1"/>
              <w:jc w:val="both"/>
              <w:rPr>
                <w:rFonts w:cs="Arial"/>
              </w:rPr>
            </w:pPr>
            <w:r w:rsidRPr="00E30642">
              <w:rPr>
                <w:rFonts w:cs="Arial"/>
              </w:rPr>
              <w:t>*dopravní napojení na obslužné ulice a jsou v docházkové vzdálenosti od obytné nebo centrální zóny</w:t>
            </w:r>
          </w:p>
          <w:p w14:paraId="6938301B" w14:textId="77777777" w:rsidR="00CA23D0" w:rsidRPr="00E30642" w:rsidRDefault="00CA23D0" w:rsidP="00CA23D0">
            <w:pPr>
              <w:pStyle w:val="Znaka1"/>
              <w:jc w:val="both"/>
              <w:rPr>
                <w:rFonts w:cs="Arial"/>
              </w:rPr>
            </w:pPr>
            <w:r w:rsidRPr="00E30642">
              <w:rPr>
                <w:rFonts w:cs="Arial"/>
              </w:rPr>
              <w:t>*hygienicky a provozně jsou nezávadné</w:t>
            </w:r>
          </w:p>
          <w:p w14:paraId="2B9A60AA" w14:textId="77777777" w:rsidR="00CA23D0" w:rsidRPr="00E30642" w:rsidRDefault="00CA23D0" w:rsidP="00CA23D0">
            <w:pPr>
              <w:pStyle w:val="Znaka1"/>
              <w:jc w:val="both"/>
              <w:rPr>
                <w:rFonts w:cs="Arial"/>
              </w:rPr>
            </w:pPr>
            <w:r w:rsidRPr="00E30642">
              <w:rPr>
                <w:rFonts w:cs="Arial"/>
              </w:rPr>
              <w:t>*jde převážně o malé podnikání s výhodnou vazbou na  místní odbyt výrobků       a služeb</w:t>
            </w:r>
          </w:p>
          <w:p w14:paraId="5C7B1FF7" w14:textId="77777777" w:rsidR="00CA23D0" w:rsidRPr="00E30642" w:rsidRDefault="00CA23D0" w:rsidP="00CA23D0">
            <w:pPr>
              <w:pStyle w:val="Znaka1"/>
              <w:jc w:val="both"/>
              <w:rPr>
                <w:rFonts w:cs="Arial"/>
              </w:rPr>
            </w:pPr>
            <w:r w:rsidRPr="00E30642">
              <w:rPr>
                <w:rFonts w:cs="Arial"/>
              </w:rPr>
              <w:t>*situování je vhodné v zastavěném území města</w:t>
            </w:r>
          </w:p>
        </w:tc>
      </w:tr>
    </w:tbl>
    <w:p w14:paraId="07BEA5A7" w14:textId="77777777" w:rsidR="00CA23D0" w:rsidRPr="00E30642" w:rsidRDefault="00CA23D0" w:rsidP="00CA23D0">
      <w:pPr>
        <w:autoSpaceDE w:val="0"/>
        <w:autoSpaceDN w:val="0"/>
        <w:adjustRightInd w:val="0"/>
        <w:jc w:val="both"/>
        <w:rPr>
          <w:rFonts w:ascii="Arial" w:hAnsi="Arial" w:cs="Arial"/>
          <w:sz w:val="20"/>
        </w:rPr>
      </w:pPr>
    </w:p>
    <w:p w14:paraId="37E5B08A" w14:textId="77777777" w:rsidR="00D3579D" w:rsidRDefault="00D3579D" w:rsidP="00CA23D0">
      <w:pPr>
        <w:pStyle w:val="podnadpis2"/>
        <w:jc w:val="both"/>
        <w:rPr>
          <w:rFonts w:cs="Arial"/>
        </w:rPr>
      </w:pPr>
    </w:p>
    <w:p w14:paraId="01B272CE" w14:textId="77777777" w:rsidR="00CA23D0" w:rsidRPr="00E30642" w:rsidRDefault="00CA23D0" w:rsidP="00CA23D0">
      <w:pPr>
        <w:pStyle w:val="podnadpis2"/>
        <w:jc w:val="both"/>
        <w:rPr>
          <w:rFonts w:cs="Arial"/>
        </w:rPr>
      </w:pPr>
      <w:r w:rsidRPr="00E30642">
        <w:rPr>
          <w:rFonts w:cs="Arial"/>
        </w:rPr>
        <w:t>Návrh na vymístění areálů a provozoven EZ</w:t>
      </w:r>
    </w:p>
    <w:p w14:paraId="35EB060E" w14:textId="77777777" w:rsidR="00CA23D0" w:rsidRPr="00E30642" w:rsidRDefault="00CA23D0" w:rsidP="00CA23D0">
      <w:pPr>
        <w:pStyle w:val="podnadpis2"/>
        <w:jc w:val="both"/>
        <w:rPr>
          <w:rFonts w:cs="Arial"/>
        </w:rPr>
      </w:pPr>
    </w:p>
    <w:tbl>
      <w:tblPr>
        <w:tblW w:w="0" w:type="auto"/>
        <w:jc w:val="center"/>
        <w:tblLayout w:type="fixed"/>
        <w:tblCellMar>
          <w:left w:w="42" w:type="dxa"/>
          <w:right w:w="42" w:type="dxa"/>
        </w:tblCellMar>
        <w:tblLook w:val="0000" w:firstRow="0" w:lastRow="0" w:firstColumn="0" w:lastColumn="0" w:noHBand="0" w:noVBand="0"/>
      </w:tblPr>
      <w:tblGrid>
        <w:gridCol w:w="668"/>
        <w:gridCol w:w="3177"/>
        <w:gridCol w:w="688"/>
        <w:gridCol w:w="2195"/>
        <w:gridCol w:w="1950"/>
      </w:tblGrid>
      <w:tr w:rsidR="00CA23D0" w:rsidRPr="00E30642" w14:paraId="0336EB3F"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145409ED" w14:textId="77777777" w:rsidR="00CA23D0" w:rsidRPr="00E30642" w:rsidRDefault="00CA23D0" w:rsidP="00CA23D0">
            <w:pPr>
              <w:pStyle w:val="Texttabulky"/>
              <w:jc w:val="both"/>
              <w:rPr>
                <w:rFonts w:cs="Arial"/>
              </w:rPr>
            </w:pPr>
            <w:r w:rsidRPr="00E30642">
              <w:rPr>
                <w:rFonts w:cs="Arial"/>
                <w:b/>
                <w:bCs/>
                <w:sz w:val="18"/>
                <w:szCs w:val="18"/>
              </w:rPr>
              <w:t>lokalita</w:t>
            </w:r>
          </w:p>
        </w:tc>
        <w:tc>
          <w:tcPr>
            <w:tcW w:w="3177" w:type="dxa"/>
            <w:tcBorders>
              <w:top w:val="single" w:sz="6" w:space="0" w:color="auto"/>
              <w:left w:val="single" w:sz="6" w:space="0" w:color="auto"/>
              <w:bottom w:val="single" w:sz="6" w:space="0" w:color="auto"/>
              <w:right w:val="single" w:sz="6" w:space="0" w:color="auto"/>
            </w:tcBorders>
          </w:tcPr>
          <w:p w14:paraId="770D9479" w14:textId="77777777" w:rsidR="00CA23D0" w:rsidRPr="00E30642" w:rsidRDefault="00CA23D0" w:rsidP="00CA23D0">
            <w:pPr>
              <w:pStyle w:val="Texttabulky"/>
              <w:jc w:val="both"/>
              <w:rPr>
                <w:rFonts w:cs="Arial"/>
              </w:rPr>
            </w:pPr>
            <w:r w:rsidRPr="00E30642">
              <w:rPr>
                <w:rFonts w:cs="Arial"/>
                <w:b/>
                <w:bCs/>
                <w:sz w:val="18"/>
                <w:szCs w:val="18"/>
              </w:rPr>
              <w:t xml:space="preserve">areál - firma </w:t>
            </w:r>
          </w:p>
        </w:tc>
        <w:tc>
          <w:tcPr>
            <w:tcW w:w="688" w:type="dxa"/>
            <w:tcBorders>
              <w:top w:val="single" w:sz="6" w:space="0" w:color="auto"/>
              <w:left w:val="single" w:sz="6" w:space="0" w:color="auto"/>
              <w:bottom w:val="single" w:sz="6" w:space="0" w:color="auto"/>
              <w:right w:val="single" w:sz="6" w:space="0" w:color="auto"/>
            </w:tcBorders>
          </w:tcPr>
          <w:p w14:paraId="5F05DBD1" w14:textId="77777777" w:rsidR="00CA23D0" w:rsidRPr="00E30642" w:rsidRDefault="00CA23D0" w:rsidP="00CA23D0">
            <w:pPr>
              <w:pStyle w:val="Texttabulky"/>
              <w:jc w:val="both"/>
              <w:rPr>
                <w:rFonts w:cs="Arial"/>
              </w:rPr>
            </w:pPr>
            <w:r w:rsidRPr="00E30642">
              <w:rPr>
                <w:rFonts w:cs="Arial"/>
                <w:b/>
                <w:bCs/>
                <w:sz w:val="18"/>
                <w:szCs w:val="18"/>
              </w:rPr>
              <w:t xml:space="preserve">plocha </w:t>
            </w:r>
          </w:p>
          <w:p w14:paraId="7ECED67C" w14:textId="77777777" w:rsidR="00CA23D0" w:rsidRPr="00E30642" w:rsidRDefault="00CA23D0" w:rsidP="00CA23D0">
            <w:pPr>
              <w:pStyle w:val="Texttabulky"/>
              <w:jc w:val="both"/>
              <w:rPr>
                <w:rFonts w:cs="Arial"/>
              </w:rPr>
            </w:pPr>
            <w:r w:rsidRPr="00E30642">
              <w:rPr>
                <w:rFonts w:cs="Arial"/>
                <w:b/>
                <w:bCs/>
                <w:sz w:val="18"/>
                <w:szCs w:val="18"/>
              </w:rPr>
              <w:t>v ha</w:t>
            </w:r>
          </w:p>
        </w:tc>
        <w:tc>
          <w:tcPr>
            <w:tcW w:w="2195" w:type="dxa"/>
            <w:tcBorders>
              <w:top w:val="single" w:sz="6" w:space="0" w:color="auto"/>
              <w:left w:val="single" w:sz="6" w:space="0" w:color="auto"/>
              <w:bottom w:val="single" w:sz="6" w:space="0" w:color="auto"/>
              <w:right w:val="single" w:sz="6" w:space="0" w:color="auto"/>
            </w:tcBorders>
          </w:tcPr>
          <w:p w14:paraId="60075306" w14:textId="77777777" w:rsidR="00CA23D0" w:rsidRPr="00E30642" w:rsidRDefault="00CA23D0" w:rsidP="00CA23D0">
            <w:pPr>
              <w:pStyle w:val="Texttabulky"/>
              <w:jc w:val="both"/>
              <w:rPr>
                <w:rFonts w:cs="Arial"/>
              </w:rPr>
            </w:pPr>
            <w:r w:rsidRPr="00E30642">
              <w:rPr>
                <w:rFonts w:cs="Arial"/>
                <w:b/>
                <w:bCs/>
                <w:sz w:val="18"/>
                <w:szCs w:val="18"/>
              </w:rPr>
              <w:t>návrh využití</w:t>
            </w:r>
          </w:p>
          <w:p w14:paraId="1408F050" w14:textId="77777777" w:rsidR="00CA23D0" w:rsidRPr="00E30642" w:rsidRDefault="00CA23D0" w:rsidP="00CA23D0">
            <w:pPr>
              <w:pStyle w:val="Texttabulky"/>
              <w:jc w:val="both"/>
              <w:rPr>
                <w:rFonts w:cs="Arial"/>
              </w:rPr>
            </w:pPr>
            <w:r w:rsidRPr="00E30642">
              <w:rPr>
                <w:rFonts w:cs="Arial"/>
                <w:b/>
                <w:bCs/>
                <w:sz w:val="18"/>
                <w:szCs w:val="18"/>
              </w:rPr>
              <w:t>dle konceptu  ÚPN</w:t>
            </w:r>
          </w:p>
        </w:tc>
        <w:tc>
          <w:tcPr>
            <w:tcW w:w="1950" w:type="dxa"/>
            <w:tcBorders>
              <w:top w:val="single" w:sz="6" w:space="0" w:color="auto"/>
              <w:left w:val="single" w:sz="6" w:space="0" w:color="auto"/>
              <w:bottom w:val="single" w:sz="6" w:space="0" w:color="auto"/>
              <w:right w:val="single" w:sz="6" w:space="0" w:color="auto"/>
            </w:tcBorders>
          </w:tcPr>
          <w:p w14:paraId="35F7EC74" w14:textId="77777777" w:rsidR="00CA23D0" w:rsidRPr="00E30642" w:rsidRDefault="00CA23D0" w:rsidP="00CA23D0">
            <w:pPr>
              <w:pStyle w:val="Texttabulky"/>
              <w:jc w:val="both"/>
              <w:rPr>
                <w:rFonts w:cs="Arial"/>
              </w:rPr>
            </w:pPr>
            <w:r w:rsidRPr="00E30642">
              <w:rPr>
                <w:rFonts w:cs="Arial"/>
                <w:b/>
                <w:bCs/>
                <w:sz w:val="18"/>
                <w:szCs w:val="18"/>
              </w:rPr>
              <w:t>současný stav</w:t>
            </w:r>
          </w:p>
        </w:tc>
      </w:tr>
      <w:tr w:rsidR="00CA23D0" w:rsidRPr="00E30642" w14:paraId="37D0C3D3"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6CEB7FD7" w14:textId="77777777" w:rsidR="00CA23D0" w:rsidRPr="00E30642" w:rsidRDefault="00CA23D0" w:rsidP="00CA23D0">
            <w:pPr>
              <w:pStyle w:val="Texttabulky"/>
              <w:jc w:val="both"/>
              <w:rPr>
                <w:rFonts w:cs="Arial"/>
              </w:rPr>
            </w:pPr>
            <w:r w:rsidRPr="00E30642">
              <w:rPr>
                <w:rFonts w:cs="Arial"/>
                <w:sz w:val="18"/>
                <w:szCs w:val="18"/>
              </w:rPr>
              <w:t>1A/15</w:t>
            </w:r>
          </w:p>
        </w:tc>
        <w:tc>
          <w:tcPr>
            <w:tcW w:w="3177" w:type="dxa"/>
            <w:tcBorders>
              <w:top w:val="single" w:sz="6" w:space="0" w:color="auto"/>
              <w:left w:val="single" w:sz="6" w:space="0" w:color="auto"/>
              <w:bottom w:val="single" w:sz="6" w:space="0" w:color="auto"/>
              <w:right w:val="single" w:sz="6" w:space="0" w:color="auto"/>
            </w:tcBorders>
          </w:tcPr>
          <w:p w14:paraId="21943E8A" w14:textId="77777777" w:rsidR="00CA23D0" w:rsidRPr="00E30642" w:rsidRDefault="00CA23D0" w:rsidP="00CA23D0">
            <w:pPr>
              <w:pStyle w:val="Texttabulky"/>
              <w:jc w:val="both"/>
              <w:rPr>
                <w:rFonts w:cs="Arial"/>
              </w:rPr>
            </w:pPr>
            <w:r w:rsidRPr="00E30642">
              <w:rPr>
                <w:rFonts w:cs="Arial"/>
                <w:sz w:val="18"/>
                <w:szCs w:val="18"/>
              </w:rPr>
              <w:t xml:space="preserve">ČEZ dílny - Jordánka - Teplická ul. </w:t>
            </w:r>
          </w:p>
        </w:tc>
        <w:tc>
          <w:tcPr>
            <w:tcW w:w="688" w:type="dxa"/>
            <w:tcBorders>
              <w:top w:val="single" w:sz="6" w:space="0" w:color="auto"/>
              <w:left w:val="single" w:sz="6" w:space="0" w:color="auto"/>
              <w:bottom w:val="single" w:sz="6" w:space="0" w:color="auto"/>
              <w:right w:val="single" w:sz="6" w:space="0" w:color="auto"/>
            </w:tcBorders>
          </w:tcPr>
          <w:p w14:paraId="4F300009" w14:textId="77777777" w:rsidR="00CA23D0" w:rsidRPr="00E30642" w:rsidRDefault="00CA23D0" w:rsidP="00CA23D0">
            <w:pPr>
              <w:pStyle w:val="Texttabulky"/>
              <w:jc w:val="both"/>
              <w:rPr>
                <w:rFonts w:cs="Arial"/>
              </w:rPr>
            </w:pPr>
            <w:r w:rsidRPr="00E30642">
              <w:rPr>
                <w:rFonts w:cs="Arial"/>
                <w:sz w:val="18"/>
                <w:szCs w:val="18"/>
              </w:rPr>
              <w:t>0,67</w:t>
            </w:r>
          </w:p>
        </w:tc>
        <w:tc>
          <w:tcPr>
            <w:tcW w:w="2195" w:type="dxa"/>
            <w:tcBorders>
              <w:top w:val="single" w:sz="6" w:space="0" w:color="auto"/>
              <w:left w:val="single" w:sz="6" w:space="0" w:color="auto"/>
              <w:bottom w:val="single" w:sz="6" w:space="0" w:color="auto"/>
              <w:right w:val="single" w:sz="6" w:space="0" w:color="auto"/>
            </w:tcBorders>
          </w:tcPr>
          <w:p w14:paraId="7F7E332E" w14:textId="77777777" w:rsidR="00CA23D0" w:rsidRPr="00E30642" w:rsidRDefault="00CA23D0" w:rsidP="00CA23D0">
            <w:pPr>
              <w:pStyle w:val="Texttabulky"/>
              <w:jc w:val="both"/>
              <w:rPr>
                <w:rFonts w:cs="Arial"/>
              </w:rPr>
            </w:pPr>
            <w:r w:rsidRPr="00E30642">
              <w:rPr>
                <w:rFonts w:cs="Arial"/>
                <w:sz w:val="18"/>
                <w:szCs w:val="18"/>
              </w:rPr>
              <w:t xml:space="preserve">společ. kulturní centrum </w:t>
            </w:r>
          </w:p>
        </w:tc>
        <w:tc>
          <w:tcPr>
            <w:tcW w:w="1950" w:type="dxa"/>
            <w:tcBorders>
              <w:top w:val="single" w:sz="6" w:space="0" w:color="auto"/>
              <w:left w:val="single" w:sz="6" w:space="0" w:color="auto"/>
              <w:bottom w:val="single" w:sz="6" w:space="0" w:color="auto"/>
              <w:right w:val="single" w:sz="6" w:space="0" w:color="auto"/>
            </w:tcBorders>
          </w:tcPr>
          <w:p w14:paraId="277E6AB7" w14:textId="77777777" w:rsidR="00CA23D0" w:rsidRPr="00E30642" w:rsidRDefault="00CA23D0" w:rsidP="00CA23D0">
            <w:pPr>
              <w:pStyle w:val="Texttabulky"/>
              <w:jc w:val="both"/>
              <w:rPr>
                <w:rFonts w:cs="Arial"/>
              </w:rPr>
            </w:pPr>
            <w:r w:rsidRPr="00E30642">
              <w:rPr>
                <w:rFonts w:cs="Arial"/>
                <w:sz w:val="18"/>
                <w:szCs w:val="18"/>
              </w:rPr>
              <w:t>realizováno obchodní středisko + parkoviště</w:t>
            </w:r>
          </w:p>
        </w:tc>
      </w:tr>
      <w:tr w:rsidR="00CA23D0" w:rsidRPr="00E30642" w14:paraId="5728A748"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5EF54B38" w14:textId="77777777" w:rsidR="00CA23D0" w:rsidRPr="00E30642" w:rsidRDefault="00CA23D0" w:rsidP="00CA23D0">
            <w:pPr>
              <w:pStyle w:val="Texttabulky"/>
              <w:jc w:val="both"/>
              <w:rPr>
                <w:rFonts w:cs="Arial"/>
              </w:rPr>
            </w:pPr>
            <w:r w:rsidRPr="00E30642">
              <w:rPr>
                <w:rFonts w:cs="Arial"/>
                <w:sz w:val="18"/>
                <w:szCs w:val="18"/>
              </w:rPr>
              <w:t>1A/17</w:t>
            </w:r>
          </w:p>
        </w:tc>
        <w:tc>
          <w:tcPr>
            <w:tcW w:w="3177" w:type="dxa"/>
            <w:tcBorders>
              <w:top w:val="single" w:sz="6" w:space="0" w:color="auto"/>
              <w:left w:val="single" w:sz="6" w:space="0" w:color="auto"/>
              <w:bottom w:val="single" w:sz="6" w:space="0" w:color="auto"/>
              <w:right w:val="single" w:sz="6" w:space="0" w:color="auto"/>
            </w:tcBorders>
          </w:tcPr>
          <w:p w14:paraId="03538DD2" w14:textId="77777777" w:rsidR="00CA23D0" w:rsidRPr="00E30642" w:rsidRDefault="00CA23D0" w:rsidP="00CA23D0">
            <w:pPr>
              <w:pStyle w:val="Texttabulky"/>
              <w:jc w:val="both"/>
              <w:rPr>
                <w:rFonts w:cs="Arial"/>
              </w:rPr>
            </w:pPr>
            <w:r w:rsidRPr="00E30642">
              <w:rPr>
                <w:rFonts w:cs="Arial"/>
                <w:sz w:val="18"/>
                <w:szCs w:val="18"/>
              </w:rPr>
              <w:t xml:space="preserve">DITAS - prodej uhlí, Poštovní ul. </w:t>
            </w:r>
          </w:p>
        </w:tc>
        <w:tc>
          <w:tcPr>
            <w:tcW w:w="688" w:type="dxa"/>
            <w:tcBorders>
              <w:top w:val="single" w:sz="6" w:space="0" w:color="auto"/>
              <w:left w:val="single" w:sz="6" w:space="0" w:color="auto"/>
              <w:bottom w:val="single" w:sz="6" w:space="0" w:color="auto"/>
              <w:right w:val="single" w:sz="6" w:space="0" w:color="auto"/>
            </w:tcBorders>
          </w:tcPr>
          <w:p w14:paraId="37746909" w14:textId="77777777" w:rsidR="00CA23D0" w:rsidRPr="00E30642" w:rsidRDefault="00CA23D0" w:rsidP="00CA23D0">
            <w:pPr>
              <w:pStyle w:val="Texttabulky"/>
              <w:jc w:val="both"/>
              <w:rPr>
                <w:rFonts w:cs="Arial"/>
              </w:rPr>
            </w:pPr>
            <w:r w:rsidRPr="00E30642">
              <w:rPr>
                <w:rFonts w:cs="Arial"/>
                <w:sz w:val="18"/>
                <w:szCs w:val="18"/>
              </w:rPr>
              <w:t xml:space="preserve">1,67 </w:t>
            </w:r>
          </w:p>
        </w:tc>
        <w:tc>
          <w:tcPr>
            <w:tcW w:w="2195" w:type="dxa"/>
            <w:tcBorders>
              <w:top w:val="single" w:sz="6" w:space="0" w:color="auto"/>
              <w:left w:val="single" w:sz="6" w:space="0" w:color="auto"/>
              <w:bottom w:val="single" w:sz="6" w:space="0" w:color="auto"/>
              <w:right w:val="single" w:sz="6" w:space="0" w:color="auto"/>
            </w:tcBorders>
          </w:tcPr>
          <w:p w14:paraId="07EE5D82" w14:textId="77777777" w:rsidR="00CA23D0" w:rsidRPr="00E30642" w:rsidRDefault="00CA23D0" w:rsidP="00CA23D0">
            <w:pPr>
              <w:pStyle w:val="Texttabulky"/>
              <w:jc w:val="both"/>
              <w:rPr>
                <w:rFonts w:cs="Arial"/>
              </w:rPr>
            </w:pPr>
            <w:r w:rsidRPr="00E30642">
              <w:rPr>
                <w:rFonts w:cs="Arial"/>
                <w:sz w:val="18"/>
                <w:szCs w:val="18"/>
              </w:rPr>
              <w:t xml:space="preserve">nákupní středisko + P </w:t>
            </w:r>
          </w:p>
        </w:tc>
        <w:tc>
          <w:tcPr>
            <w:tcW w:w="1950" w:type="dxa"/>
            <w:tcBorders>
              <w:top w:val="single" w:sz="6" w:space="0" w:color="auto"/>
              <w:left w:val="single" w:sz="6" w:space="0" w:color="auto"/>
              <w:bottom w:val="single" w:sz="6" w:space="0" w:color="auto"/>
              <w:right w:val="single" w:sz="6" w:space="0" w:color="auto"/>
            </w:tcBorders>
          </w:tcPr>
          <w:p w14:paraId="5E860989" w14:textId="77777777" w:rsidR="00CA23D0" w:rsidRPr="00E30642" w:rsidRDefault="00CA23D0" w:rsidP="00CA23D0">
            <w:pPr>
              <w:pStyle w:val="Texttabulky"/>
              <w:jc w:val="both"/>
              <w:rPr>
                <w:rFonts w:cs="Arial"/>
              </w:rPr>
            </w:pPr>
            <w:r w:rsidRPr="00E30642">
              <w:rPr>
                <w:rFonts w:cs="Arial"/>
                <w:sz w:val="18"/>
                <w:szCs w:val="18"/>
              </w:rPr>
              <w:t>v přípravě</w:t>
            </w:r>
          </w:p>
        </w:tc>
      </w:tr>
      <w:tr w:rsidR="00CA23D0" w:rsidRPr="00E30642" w14:paraId="6C62EB31"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4DA65F2E" w14:textId="77777777" w:rsidR="00CA23D0" w:rsidRPr="00E30642" w:rsidRDefault="00CA23D0" w:rsidP="00CA23D0">
            <w:pPr>
              <w:pStyle w:val="Texttabulky"/>
              <w:jc w:val="both"/>
              <w:rPr>
                <w:rFonts w:cs="Arial"/>
              </w:rPr>
            </w:pPr>
            <w:r w:rsidRPr="00E30642">
              <w:rPr>
                <w:rFonts w:cs="Arial"/>
                <w:sz w:val="18"/>
                <w:szCs w:val="18"/>
              </w:rPr>
              <w:lastRenderedPageBreak/>
              <w:t>-</w:t>
            </w:r>
          </w:p>
        </w:tc>
        <w:tc>
          <w:tcPr>
            <w:tcW w:w="3177" w:type="dxa"/>
            <w:tcBorders>
              <w:top w:val="single" w:sz="6" w:space="0" w:color="auto"/>
              <w:left w:val="single" w:sz="6" w:space="0" w:color="auto"/>
              <w:bottom w:val="single" w:sz="6" w:space="0" w:color="auto"/>
              <w:right w:val="single" w:sz="6" w:space="0" w:color="auto"/>
            </w:tcBorders>
          </w:tcPr>
          <w:p w14:paraId="029E4261" w14:textId="77777777" w:rsidR="00CA23D0" w:rsidRPr="00E30642" w:rsidRDefault="00CA23D0" w:rsidP="00CA23D0">
            <w:pPr>
              <w:pStyle w:val="Texttabulky"/>
              <w:jc w:val="both"/>
              <w:rPr>
                <w:rFonts w:cs="Arial"/>
              </w:rPr>
            </w:pPr>
            <w:r w:rsidRPr="00E30642">
              <w:rPr>
                <w:rFonts w:cs="Arial"/>
                <w:sz w:val="18"/>
                <w:szCs w:val="18"/>
              </w:rPr>
              <w:t xml:space="preserve">Pneuservis HACARO, Teplická ul. </w:t>
            </w:r>
          </w:p>
        </w:tc>
        <w:tc>
          <w:tcPr>
            <w:tcW w:w="688" w:type="dxa"/>
            <w:tcBorders>
              <w:top w:val="single" w:sz="6" w:space="0" w:color="auto"/>
              <w:left w:val="single" w:sz="6" w:space="0" w:color="auto"/>
              <w:bottom w:val="single" w:sz="6" w:space="0" w:color="auto"/>
              <w:right w:val="single" w:sz="6" w:space="0" w:color="auto"/>
            </w:tcBorders>
          </w:tcPr>
          <w:p w14:paraId="0C652E7A" w14:textId="77777777" w:rsidR="00CA23D0" w:rsidRPr="00E30642" w:rsidRDefault="00CA23D0" w:rsidP="00CA23D0">
            <w:pPr>
              <w:pStyle w:val="Texttabulky"/>
              <w:jc w:val="both"/>
              <w:rPr>
                <w:rFonts w:cs="Arial"/>
              </w:rPr>
            </w:pPr>
            <w:r w:rsidRPr="00E30642">
              <w:rPr>
                <w:rFonts w:cs="Arial"/>
                <w:sz w:val="18"/>
                <w:szCs w:val="18"/>
              </w:rPr>
              <w:t xml:space="preserve">0,10 </w:t>
            </w:r>
          </w:p>
        </w:tc>
        <w:tc>
          <w:tcPr>
            <w:tcW w:w="2195" w:type="dxa"/>
            <w:tcBorders>
              <w:top w:val="single" w:sz="6" w:space="0" w:color="auto"/>
              <w:left w:val="single" w:sz="6" w:space="0" w:color="auto"/>
              <w:bottom w:val="single" w:sz="6" w:space="0" w:color="auto"/>
              <w:right w:val="single" w:sz="6" w:space="0" w:color="auto"/>
            </w:tcBorders>
          </w:tcPr>
          <w:p w14:paraId="20B4AA62" w14:textId="77777777" w:rsidR="00CA23D0" w:rsidRPr="00E30642" w:rsidRDefault="00CA23D0" w:rsidP="00CA23D0">
            <w:pPr>
              <w:pStyle w:val="Texttabulky"/>
              <w:jc w:val="both"/>
              <w:rPr>
                <w:rFonts w:cs="Arial"/>
              </w:rPr>
            </w:pPr>
            <w:r w:rsidRPr="00E30642">
              <w:rPr>
                <w:rFonts w:cs="Arial"/>
                <w:sz w:val="18"/>
                <w:szCs w:val="18"/>
              </w:rPr>
              <w:t xml:space="preserve">rest. Slovanský dům </w:t>
            </w:r>
          </w:p>
        </w:tc>
        <w:tc>
          <w:tcPr>
            <w:tcW w:w="1950" w:type="dxa"/>
            <w:tcBorders>
              <w:top w:val="single" w:sz="6" w:space="0" w:color="auto"/>
              <w:left w:val="single" w:sz="6" w:space="0" w:color="auto"/>
              <w:bottom w:val="single" w:sz="6" w:space="0" w:color="auto"/>
              <w:right w:val="single" w:sz="6" w:space="0" w:color="auto"/>
            </w:tcBorders>
          </w:tcPr>
          <w:p w14:paraId="4DF93494" w14:textId="77777777" w:rsidR="00CA23D0" w:rsidRPr="00E30642" w:rsidRDefault="00CA23D0" w:rsidP="00CA23D0">
            <w:pPr>
              <w:pStyle w:val="Texttabulky"/>
              <w:jc w:val="both"/>
              <w:rPr>
                <w:rFonts w:cs="Arial"/>
              </w:rPr>
            </w:pPr>
            <w:r w:rsidRPr="00E30642">
              <w:rPr>
                <w:rFonts w:cs="Arial"/>
                <w:sz w:val="18"/>
                <w:szCs w:val="18"/>
              </w:rPr>
              <w:t>v provozu</w:t>
            </w:r>
          </w:p>
        </w:tc>
      </w:tr>
      <w:tr w:rsidR="00CA23D0" w:rsidRPr="00E30642" w14:paraId="508D66D1"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29E59BA8" w14:textId="77777777" w:rsidR="00CA23D0" w:rsidRPr="00E30642" w:rsidRDefault="00CA23D0" w:rsidP="00CA23D0">
            <w:pPr>
              <w:pStyle w:val="Texttabulky"/>
              <w:jc w:val="both"/>
              <w:rPr>
                <w:rFonts w:cs="Arial"/>
              </w:rPr>
            </w:pPr>
            <w:r w:rsidRPr="00E30642">
              <w:rPr>
                <w:rFonts w:cs="Arial"/>
                <w:sz w:val="18"/>
                <w:szCs w:val="18"/>
              </w:rPr>
              <w:t>1A/16</w:t>
            </w:r>
          </w:p>
        </w:tc>
        <w:tc>
          <w:tcPr>
            <w:tcW w:w="3177" w:type="dxa"/>
            <w:tcBorders>
              <w:top w:val="single" w:sz="6" w:space="0" w:color="auto"/>
              <w:left w:val="single" w:sz="6" w:space="0" w:color="auto"/>
              <w:bottom w:val="single" w:sz="6" w:space="0" w:color="auto"/>
              <w:right w:val="single" w:sz="6" w:space="0" w:color="auto"/>
            </w:tcBorders>
          </w:tcPr>
          <w:p w14:paraId="68914263" w14:textId="77777777" w:rsidR="00CA23D0" w:rsidRPr="00E30642" w:rsidRDefault="00CA23D0" w:rsidP="00CA23D0">
            <w:pPr>
              <w:pStyle w:val="Texttabulky"/>
              <w:jc w:val="both"/>
              <w:rPr>
                <w:rFonts w:cs="Arial"/>
              </w:rPr>
            </w:pPr>
            <w:r w:rsidRPr="00E30642">
              <w:rPr>
                <w:rFonts w:cs="Arial"/>
                <w:sz w:val="18"/>
                <w:szCs w:val="18"/>
              </w:rPr>
              <w:t>MM velkoobchod - Podmokly Jíl. potok</w:t>
            </w:r>
          </w:p>
        </w:tc>
        <w:tc>
          <w:tcPr>
            <w:tcW w:w="688" w:type="dxa"/>
            <w:tcBorders>
              <w:top w:val="single" w:sz="6" w:space="0" w:color="auto"/>
              <w:left w:val="single" w:sz="6" w:space="0" w:color="auto"/>
              <w:bottom w:val="single" w:sz="6" w:space="0" w:color="auto"/>
              <w:right w:val="single" w:sz="6" w:space="0" w:color="auto"/>
            </w:tcBorders>
          </w:tcPr>
          <w:p w14:paraId="27ACBF4F" w14:textId="77777777" w:rsidR="00CA23D0" w:rsidRPr="00E30642" w:rsidRDefault="00CA23D0" w:rsidP="00CA23D0">
            <w:pPr>
              <w:pStyle w:val="Texttabulky"/>
              <w:jc w:val="both"/>
              <w:rPr>
                <w:rFonts w:cs="Arial"/>
              </w:rPr>
            </w:pPr>
            <w:r w:rsidRPr="00E30642">
              <w:rPr>
                <w:rFonts w:cs="Arial"/>
                <w:sz w:val="18"/>
                <w:szCs w:val="18"/>
              </w:rPr>
              <w:t xml:space="preserve">0,25 </w:t>
            </w:r>
          </w:p>
        </w:tc>
        <w:tc>
          <w:tcPr>
            <w:tcW w:w="2195" w:type="dxa"/>
            <w:tcBorders>
              <w:top w:val="single" w:sz="6" w:space="0" w:color="auto"/>
              <w:left w:val="single" w:sz="6" w:space="0" w:color="auto"/>
              <w:bottom w:val="single" w:sz="6" w:space="0" w:color="auto"/>
              <w:right w:val="single" w:sz="6" w:space="0" w:color="auto"/>
            </w:tcBorders>
          </w:tcPr>
          <w:p w14:paraId="29341065" w14:textId="77777777" w:rsidR="00CA23D0" w:rsidRPr="00E30642" w:rsidRDefault="00CA23D0" w:rsidP="00CA23D0">
            <w:pPr>
              <w:pStyle w:val="Texttabulky"/>
              <w:jc w:val="both"/>
              <w:rPr>
                <w:rFonts w:cs="Arial"/>
              </w:rPr>
            </w:pPr>
            <w:r w:rsidRPr="00E30642">
              <w:rPr>
                <w:rFonts w:cs="Arial"/>
                <w:sz w:val="18"/>
                <w:szCs w:val="18"/>
              </w:rPr>
              <w:t xml:space="preserve">maloobchod </w:t>
            </w:r>
          </w:p>
        </w:tc>
        <w:tc>
          <w:tcPr>
            <w:tcW w:w="1950" w:type="dxa"/>
            <w:tcBorders>
              <w:top w:val="single" w:sz="6" w:space="0" w:color="auto"/>
              <w:left w:val="single" w:sz="6" w:space="0" w:color="auto"/>
              <w:bottom w:val="single" w:sz="6" w:space="0" w:color="auto"/>
              <w:right w:val="single" w:sz="6" w:space="0" w:color="auto"/>
            </w:tcBorders>
          </w:tcPr>
          <w:p w14:paraId="4D65AC3C" w14:textId="77777777" w:rsidR="00CA23D0" w:rsidRPr="00E30642" w:rsidRDefault="00CA23D0" w:rsidP="00CA23D0">
            <w:pPr>
              <w:pStyle w:val="Texttabulky"/>
              <w:jc w:val="both"/>
              <w:rPr>
                <w:rFonts w:cs="Arial"/>
              </w:rPr>
            </w:pPr>
            <w:r w:rsidRPr="00E30642">
              <w:rPr>
                <w:rFonts w:cs="Arial"/>
                <w:sz w:val="18"/>
                <w:szCs w:val="18"/>
              </w:rPr>
              <w:t>v provozi</w:t>
            </w:r>
          </w:p>
        </w:tc>
      </w:tr>
      <w:tr w:rsidR="00CA23D0" w:rsidRPr="00E30642" w14:paraId="4A03CADB"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5BAE44C7" w14:textId="77777777" w:rsidR="00CA23D0" w:rsidRPr="00E30642" w:rsidRDefault="00CA23D0" w:rsidP="00CA23D0">
            <w:pPr>
              <w:pStyle w:val="Texttabulky"/>
              <w:jc w:val="both"/>
              <w:rPr>
                <w:rFonts w:cs="Arial"/>
              </w:rPr>
            </w:pPr>
            <w:r w:rsidRPr="00E30642">
              <w:rPr>
                <w:rFonts w:cs="Arial"/>
                <w:sz w:val="18"/>
                <w:szCs w:val="18"/>
              </w:rPr>
              <w:t>-</w:t>
            </w:r>
          </w:p>
        </w:tc>
        <w:tc>
          <w:tcPr>
            <w:tcW w:w="3177" w:type="dxa"/>
            <w:tcBorders>
              <w:top w:val="single" w:sz="6" w:space="0" w:color="auto"/>
              <w:left w:val="single" w:sz="6" w:space="0" w:color="auto"/>
              <w:bottom w:val="single" w:sz="6" w:space="0" w:color="auto"/>
              <w:right w:val="single" w:sz="6" w:space="0" w:color="auto"/>
            </w:tcBorders>
          </w:tcPr>
          <w:p w14:paraId="479172DD" w14:textId="77777777" w:rsidR="00CA23D0" w:rsidRPr="00E30642" w:rsidRDefault="00CA23D0" w:rsidP="00CA23D0">
            <w:pPr>
              <w:pStyle w:val="Texttabulky"/>
              <w:jc w:val="both"/>
              <w:rPr>
                <w:rFonts w:cs="Arial"/>
              </w:rPr>
            </w:pPr>
            <w:r w:rsidRPr="00E30642">
              <w:rPr>
                <w:rFonts w:cs="Arial"/>
                <w:sz w:val="18"/>
                <w:szCs w:val="18"/>
              </w:rPr>
              <w:t xml:space="preserve">Klempířství a pokr. - Mírové nám. </w:t>
            </w:r>
          </w:p>
        </w:tc>
        <w:tc>
          <w:tcPr>
            <w:tcW w:w="688" w:type="dxa"/>
            <w:tcBorders>
              <w:top w:val="single" w:sz="6" w:space="0" w:color="auto"/>
              <w:left w:val="single" w:sz="6" w:space="0" w:color="auto"/>
              <w:bottom w:val="single" w:sz="6" w:space="0" w:color="auto"/>
              <w:right w:val="single" w:sz="6" w:space="0" w:color="auto"/>
            </w:tcBorders>
          </w:tcPr>
          <w:p w14:paraId="31F069B1" w14:textId="77777777" w:rsidR="00CA23D0" w:rsidRPr="00E30642" w:rsidRDefault="00CA23D0" w:rsidP="00CA23D0">
            <w:pPr>
              <w:pStyle w:val="Texttabulky"/>
              <w:jc w:val="both"/>
              <w:rPr>
                <w:rFonts w:cs="Arial"/>
              </w:rPr>
            </w:pPr>
            <w:r w:rsidRPr="00E30642">
              <w:rPr>
                <w:rFonts w:cs="Arial"/>
                <w:sz w:val="18"/>
                <w:szCs w:val="18"/>
              </w:rPr>
              <w:t xml:space="preserve">0,10 </w:t>
            </w:r>
          </w:p>
        </w:tc>
        <w:tc>
          <w:tcPr>
            <w:tcW w:w="2195" w:type="dxa"/>
            <w:tcBorders>
              <w:top w:val="single" w:sz="6" w:space="0" w:color="auto"/>
              <w:left w:val="single" w:sz="6" w:space="0" w:color="auto"/>
              <w:bottom w:val="single" w:sz="6" w:space="0" w:color="auto"/>
              <w:right w:val="single" w:sz="6" w:space="0" w:color="auto"/>
            </w:tcBorders>
          </w:tcPr>
          <w:p w14:paraId="6F138A3B" w14:textId="77777777" w:rsidR="00CA23D0" w:rsidRPr="00E30642" w:rsidRDefault="00CA23D0" w:rsidP="00CA23D0">
            <w:pPr>
              <w:pStyle w:val="Texttabulky"/>
              <w:jc w:val="both"/>
              <w:rPr>
                <w:rFonts w:cs="Arial"/>
              </w:rPr>
            </w:pPr>
            <w:r w:rsidRPr="00E30642">
              <w:rPr>
                <w:rFonts w:cs="Arial"/>
                <w:sz w:val="18"/>
                <w:szCs w:val="18"/>
              </w:rPr>
              <w:t xml:space="preserve">obytný vnitroblok </w:t>
            </w:r>
          </w:p>
        </w:tc>
        <w:tc>
          <w:tcPr>
            <w:tcW w:w="1950" w:type="dxa"/>
            <w:tcBorders>
              <w:top w:val="single" w:sz="6" w:space="0" w:color="auto"/>
              <w:left w:val="single" w:sz="6" w:space="0" w:color="auto"/>
              <w:bottom w:val="single" w:sz="6" w:space="0" w:color="auto"/>
              <w:right w:val="single" w:sz="6" w:space="0" w:color="auto"/>
            </w:tcBorders>
          </w:tcPr>
          <w:p w14:paraId="5BAAFEF4" w14:textId="77777777" w:rsidR="00CA23D0" w:rsidRPr="00E30642" w:rsidRDefault="00CA23D0" w:rsidP="00CA23D0">
            <w:pPr>
              <w:pStyle w:val="Texttabulky"/>
              <w:jc w:val="both"/>
              <w:rPr>
                <w:rFonts w:cs="Arial"/>
              </w:rPr>
            </w:pPr>
            <w:r w:rsidRPr="00E30642">
              <w:rPr>
                <w:rFonts w:cs="Arial"/>
                <w:sz w:val="18"/>
                <w:szCs w:val="18"/>
              </w:rPr>
              <w:t>v provozu</w:t>
            </w:r>
          </w:p>
        </w:tc>
      </w:tr>
      <w:tr w:rsidR="00CA23D0" w:rsidRPr="00E30642" w14:paraId="56054A92"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0E8A02D6" w14:textId="77777777" w:rsidR="00CA23D0" w:rsidRPr="00E30642" w:rsidRDefault="00CA23D0" w:rsidP="00CA23D0">
            <w:pPr>
              <w:pStyle w:val="Texttabulky"/>
              <w:jc w:val="both"/>
              <w:rPr>
                <w:rFonts w:cs="Arial"/>
              </w:rPr>
            </w:pPr>
            <w:r w:rsidRPr="00E30642">
              <w:rPr>
                <w:rFonts w:cs="Arial"/>
                <w:sz w:val="18"/>
                <w:szCs w:val="18"/>
              </w:rPr>
              <w:t>-</w:t>
            </w:r>
          </w:p>
        </w:tc>
        <w:tc>
          <w:tcPr>
            <w:tcW w:w="3177" w:type="dxa"/>
            <w:tcBorders>
              <w:top w:val="single" w:sz="6" w:space="0" w:color="auto"/>
              <w:left w:val="single" w:sz="6" w:space="0" w:color="auto"/>
              <w:bottom w:val="single" w:sz="6" w:space="0" w:color="auto"/>
              <w:right w:val="single" w:sz="6" w:space="0" w:color="auto"/>
            </w:tcBorders>
          </w:tcPr>
          <w:p w14:paraId="5F9B85F6" w14:textId="77777777" w:rsidR="00CA23D0" w:rsidRPr="00E30642" w:rsidRDefault="00CA23D0" w:rsidP="00CA23D0">
            <w:pPr>
              <w:pStyle w:val="Texttabulky"/>
              <w:jc w:val="both"/>
              <w:rPr>
                <w:rFonts w:cs="Arial"/>
              </w:rPr>
            </w:pPr>
            <w:r w:rsidRPr="00E30642">
              <w:rPr>
                <w:rFonts w:cs="Arial"/>
                <w:sz w:val="18"/>
                <w:szCs w:val="18"/>
              </w:rPr>
              <w:t xml:space="preserve">pneuservis, nábřeží levé přemostí </w:t>
            </w:r>
          </w:p>
        </w:tc>
        <w:tc>
          <w:tcPr>
            <w:tcW w:w="688" w:type="dxa"/>
            <w:tcBorders>
              <w:top w:val="single" w:sz="6" w:space="0" w:color="auto"/>
              <w:left w:val="single" w:sz="6" w:space="0" w:color="auto"/>
              <w:bottom w:val="single" w:sz="6" w:space="0" w:color="auto"/>
              <w:right w:val="single" w:sz="6" w:space="0" w:color="auto"/>
            </w:tcBorders>
          </w:tcPr>
          <w:p w14:paraId="6C6F0D60" w14:textId="77777777" w:rsidR="00CA23D0" w:rsidRPr="00E30642" w:rsidRDefault="00CA23D0" w:rsidP="00CA23D0">
            <w:pPr>
              <w:pStyle w:val="Texttabulky"/>
              <w:jc w:val="both"/>
              <w:rPr>
                <w:rFonts w:cs="Arial"/>
              </w:rPr>
            </w:pPr>
            <w:r w:rsidRPr="00E30642">
              <w:rPr>
                <w:rFonts w:cs="Arial"/>
                <w:sz w:val="18"/>
                <w:szCs w:val="18"/>
              </w:rPr>
              <w:t>0,15</w:t>
            </w:r>
          </w:p>
        </w:tc>
        <w:tc>
          <w:tcPr>
            <w:tcW w:w="2195" w:type="dxa"/>
            <w:tcBorders>
              <w:top w:val="single" w:sz="6" w:space="0" w:color="auto"/>
              <w:left w:val="single" w:sz="6" w:space="0" w:color="auto"/>
              <w:bottom w:val="single" w:sz="6" w:space="0" w:color="auto"/>
              <w:right w:val="single" w:sz="6" w:space="0" w:color="auto"/>
            </w:tcBorders>
          </w:tcPr>
          <w:p w14:paraId="7B610200" w14:textId="77777777" w:rsidR="00CA23D0" w:rsidRPr="00E30642" w:rsidRDefault="00CA23D0" w:rsidP="00CA23D0">
            <w:pPr>
              <w:pStyle w:val="Texttabulky"/>
              <w:jc w:val="both"/>
              <w:rPr>
                <w:rFonts w:cs="Arial"/>
              </w:rPr>
            </w:pPr>
            <w:r w:rsidRPr="00E30642">
              <w:rPr>
                <w:rFonts w:cs="Arial"/>
                <w:sz w:val="18"/>
                <w:szCs w:val="18"/>
              </w:rPr>
              <w:t>veřejná zeleň</w:t>
            </w:r>
          </w:p>
        </w:tc>
        <w:tc>
          <w:tcPr>
            <w:tcW w:w="1950" w:type="dxa"/>
            <w:tcBorders>
              <w:top w:val="single" w:sz="6" w:space="0" w:color="auto"/>
              <w:left w:val="single" w:sz="6" w:space="0" w:color="auto"/>
              <w:bottom w:val="single" w:sz="6" w:space="0" w:color="auto"/>
              <w:right w:val="single" w:sz="6" w:space="0" w:color="auto"/>
            </w:tcBorders>
          </w:tcPr>
          <w:p w14:paraId="5396AA04" w14:textId="77777777" w:rsidR="00CA23D0" w:rsidRPr="00E30642" w:rsidRDefault="00CA23D0" w:rsidP="00CA23D0">
            <w:pPr>
              <w:pStyle w:val="Texttabulky"/>
              <w:jc w:val="both"/>
              <w:rPr>
                <w:rFonts w:cs="Arial"/>
              </w:rPr>
            </w:pPr>
            <w:r w:rsidRPr="00E30642">
              <w:rPr>
                <w:rFonts w:cs="Arial"/>
                <w:sz w:val="18"/>
                <w:szCs w:val="18"/>
              </w:rPr>
              <w:t>v provozu</w:t>
            </w:r>
          </w:p>
        </w:tc>
      </w:tr>
      <w:tr w:rsidR="00CA23D0" w:rsidRPr="00E30642" w14:paraId="4C9E586F"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240AAB31" w14:textId="77777777" w:rsidR="00CA23D0" w:rsidRPr="00E30642" w:rsidRDefault="00CA23D0" w:rsidP="00CA23D0">
            <w:pPr>
              <w:pStyle w:val="Texttabulky"/>
              <w:jc w:val="both"/>
              <w:rPr>
                <w:rFonts w:cs="Arial"/>
              </w:rPr>
            </w:pPr>
            <w:r w:rsidRPr="00E30642">
              <w:rPr>
                <w:rFonts w:cs="Arial"/>
                <w:sz w:val="18"/>
                <w:szCs w:val="18"/>
              </w:rPr>
              <w:t xml:space="preserve">IB/4 </w:t>
            </w:r>
          </w:p>
        </w:tc>
        <w:tc>
          <w:tcPr>
            <w:tcW w:w="3177" w:type="dxa"/>
            <w:tcBorders>
              <w:top w:val="single" w:sz="6" w:space="0" w:color="auto"/>
              <w:left w:val="single" w:sz="6" w:space="0" w:color="auto"/>
              <w:bottom w:val="single" w:sz="6" w:space="0" w:color="auto"/>
              <w:right w:val="single" w:sz="6" w:space="0" w:color="auto"/>
            </w:tcBorders>
          </w:tcPr>
          <w:p w14:paraId="48563CB5" w14:textId="77777777" w:rsidR="00CA23D0" w:rsidRPr="00E30642" w:rsidRDefault="00CA23D0" w:rsidP="00CA23D0">
            <w:pPr>
              <w:pStyle w:val="Texttabulky"/>
              <w:jc w:val="both"/>
              <w:rPr>
                <w:rFonts w:cs="Arial"/>
              </w:rPr>
            </w:pPr>
            <w:r w:rsidRPr="00E30642">
              <w:rPr>
                <w:rFonts w:cs="Arial"/>
                <w:sz w:val="18"/>
                <w:szCs w:val="18"/>
              </w:rPr>
              <w:t xml:space="preserve">DESTA servis, Duchcovská ul. </w:t>
            </w:r>
          </w:p>
        </w:tc>
        <w:tc>
          <w:tcPr>
            <w:tcW w:w="688" w:type="dxa"/>
            <w:tcBorders>
              <w:top w:val="single" w:sz="6" w:space="0" w:color="auto"/>
              <w:left w:val="single" w:sz="6" w:space="0" w:color="auto"/>
              <w:bottom w:val="single" w:sz="6" w:space="0" w:color="auto"/>
              <w:right w:val="single" w:sz="6" w:space="0" w:color="auto"/>
            </w:tcBorders>
          </w:tcPr>
          <w:p w14:paraId="2F63D7A7" w14:textId="77777777" w:rsidR="00CA23D0" w:rsidRPr="00E30642" w:rsidRDefault="00CA23D0" w:rsidP="00CA23D0">
            <w:pPr>
              <w:pStyle w:val="Texttabulky"/>
              <w:jc w:val="both"/>
              <w:rPr>
                <w:rFonts w:cs="Arial"/>
              </w:rPr>
            </w:pPr>
            <w:r w:rsidRPr="00E30642">
              <w:rPr>
                <w:rFonts w:cs="Arial"/>
                <w:sz w:val="18"/>
                <w:szCs w:val="18"/>
              </w:rPr>
              <w:t>0,81</w:t>
            </w:r>
          </w:p>
        </w:tc>
        <w:tc>
          <w:tcPr>
            <w:tcW w:w="2195" w:type="dxa"/>
            <w:tcBorders>
              <w:top w:val="single" w:sz="6" w:space="0" w:color="auto"/>
              <w:left w:val="single" w:sz="6" w:space="0" w:color="auto"/>
              <w:bottom w:val="single" w:sz="6" w:space="0" w:color="auto"/>
              <w:right w:val="single" w:sz="6" w:space="0" w:color="auto"/>
            </w:tcBorders>
          </w:tcPr>
          <w:p w14:paraId="2454EABA" w14:textId="77777777" w:rsidR="00CA23D0" w:rsidRPr="00E30642" w:rsidRDefault="00CA23D0" w:rsidP="00CA23D0">
            <w:pPr>
              <w:pStyle w:val="Texttabulky"/>
              <w:jc w:val="both"/>
              <w:rPr>
                <w:rFonts w:cs="Arial"/>
              </w:rPr>
            </w:pPr>
            <w:r w:rsidRPr="00E30642">
              <w:rPr>
                <w:rFonts w:cs="Arial"/>
                <w:sz w:val="18"/>
                <w:szCs w:val="18"/>
              </w:rPr>
              <w:t>bydlení + vybavenost</w:t>
            </w:r>
          </w:p>
        </w:tc>
        <w:tc>
          <w:tcPr>
            <w:tcW w:w="1950" w:type="dxa"/>
            <w:tcBorders>
              <w:top w:val="single" w:sz="6" w:space="0" w:color="auto"/>
              <w:left w:val="single" w:sz="6" w:space="0" w:color="auto"/>
              <w:bottom w:val="single" w:sz="6" w:space="0" w:color="auto"/>
              <w:right w:val="single" w:sz="6" w:space="0" w:color="auto"/>
            </w:tcBorders>
          </w:tcPr>
          <w:p w14:paraId="68BD98DE" w14:textId="77777777" w:rsidR="00CA23D0" w:rsidRPr="00E30642" w:rsidRDefault="00CA23D0" w:rsidP="00CA23D0">
            <w:pPr>
              <w:pStyle w:val="Texttabulky"/>
              <w:jc w:val="both"/>
              <w:rPr>
                <w:rFonts w:cs="Arial"/>
              </w:rPr>
            </w:pPr>
            <w:r w:rsidRPr="00E30642">
              <w:rPr>
                <w:rFonts w:cs="Arial"/>
                <w:sz w:val="18"/>
                <w:szCs w:val="18"/>
              </w:rPr>
              <w:t>podnik v likvidaci</w:t>
            </w:r>
          </w:p>
        </w:tc>
      </w:tr>
      <w:tr w:rsidR="00CA23D0" w:rsidRPr="00E30642" w14:paraId="5BE7DEAB"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71B387B8" w14:textId="77777777" w:rsidR="00CA23D0" w:rsidRPr="00E30642" w:rsidRDefault="00CA23D0" w:rsidP="00CA23D0">
            <w:pPr>
              <w:pStyle w:val="Texttabulky"/>
              <w:jc w:val="both"/>
              <w:rPr>
                <w:rFonts w:cs="Arial"/>
              </w:rPr>
            </w:pPr>
            <w:r w:rsidRPr="00E30642">
              <w:rPr>
                <w:rFonts w:cs="Arial"/>
                <w:sz w:val="18"/>
                <w:szCs w:val="18"/>
              </w:rPr>
              <w:t xml:space="preserve">IB/14 </w:t>
            </w:r>
          </w:p>
        </w:tc>
        <w:tc>
          <w:tcPr>
            <w:tcW w:w="3177" w:type="dxa"/>
            <w:tcBorders>
              <w:top w:val="single" w:sz="6" w:space="0" w:color="auto"/>
              <w:left w:val="single" w:sz="6" w:space="0" w:color="auto"/>
              <w:bottom w:val="single" w:sz="6" w:space="0" w:color="auto"/>
              <w:right w:val="single" w:sz="6" w:space="0" w:color="auto"/>
            </w:tcBorders>
          </w:tcPr>
          <w:p w14:paraId="0F6A7F2E" w14:textId="77777777" w:rsidR="00CA23D0" w:rsidRPr="00E30642" w:rsidRDefault="00CA23D0" w:rsidP="00CA23D0">
            <w:pPr>
              <w:pStyle w:val="Texttabulky"/>
              <w:jc w:val="both"/>
              <w:rPr>
                <w:rFonts w:cs="Arial"/>
              </w:rPr>
            </w:pPr>
            <w:r w:rsidRPr="00E30642">
              <w:rPr>
                <w:rFonts w:cs="Arial"/>
                <w:sz w:val="18"/>
                <w:szCs w:val="18"/>
              </w:rPr>
              <w:t>Jatky (areál asanován) Provaznická ul.</w:t>
            </w:r>
          </w:p>
        </w:tc>
        <w:tc>
          <w:tcPr>
            <w:tcW w:w="688" w:type="dxa"/>
            <w:tcBorders>
              <w:top w:val="single" w:sz="6" w:space="0" w:color="auto"/>
              <w:left w:val="single" w:sz="6" w:space="0" w:color="auto"/>
              <w:bottom w:val="single" w:sz="6" w:space="0" w:color="auto"/>
              <w:right w:val="single" w:sz="6" w:space="0" w:color="auto"/>
            </w:tcBorders>
          </w:tcPr>
          <w:p w14:paraId="039DB964" w14:textId="77777777" w:rsidR="00CA23D0" w:rsidRPr="00E30642" w:rsidRDefault="00CA23D0" w:rsidP="00CA23D0">
            <w:pPr>
              <w:pStyle w:val="Texttabulky"/>
              <w:jc w:val="both"/>
              <w:rPr>
                <w:rFonts w:cs="Arial"/>
              </w:rPr>
            </w:pPr>
            <w:r w:rsidRPr="00E30642">
              <w:rPr>
                <w:rFonts w:cs="Arial"/>
                <w:sz w:val="18"/>
                <w:szCs w:val="18"/>
              </w:rPr>
              <w:t>1,05</w:t>
            </w:r>
          </w:p>
        </w:tc>
        <w:tc>
          <w:tcPr>
            <w:tcW w:w="2195" w:type="dxa"/>
            <w:tcBorders>
              <w:top w:val="single" w:sz="6" w:space="0" w:color="auto"/>
              <w:left w:val="single" w:sz="6" w:space="0" w:color="auto"/>
              <w:bottom w:val="single" w:sz="6" w:space="0" w:color="auto"/>
              <w:right w:val="single" w:sz="6" w:space="0" w:color="auto"/>
            </w:tcBorders>
          </w:tcPr>
          <w:p w14:paraId="54DDF536" w14:textId="77777777" w:rsidR="00CA23D0" w:rsidRPr="00E30642" w:rsidRDefault="00CA23D0" w:rsidP="00CA23D0">
            <w:pPr>
              <w:pStyle w:val="Texttabulky"/>
              <w:jc w:val="both"/>
              <w:rPr>
                <w:rFonts w:cs="Arial"/>
              </w:rPr>
            </w:pPr>
            <w:r w:rsidRPr="00E30642">
              <w:rPr>
                <w:rFonts w:cs="Arial"/>
                <w:sz w:val="18"/>
                <w:szCs w:val="18"/>
              </w:rPr>
              <w:t>nákupní středisko</w:t>
            </w:r>
          </w:p>
        </w:tc>
        <w:tc>
          <w:tcPr>
            <w:tcW w:w="1950" w:type="dxa"/>
            <w:tcBorders>
              <w:top w:val="single" w:sz="6" w:space="0" w:color="auto"/>
              <w:left w:val="single" w:sz="6" w:space="0" w:color="auto"/>
              <w:bottom w:val="single" w:sz="6" w:space="0" w:color="auto"/>
              <w:right w:val="single" w:sz="6" w:space="0" w:color="auto"/>
            </w:tcBorders>
          </w:tcPr>
          <w:p w14:paraId="6215082F" w14:textId="77777777" w:rsidR="00CA23D0" w:rsidRPr="00E30642" w:rsidRDefault="00CA23D0" w:rsidP="00CA23D0">
            <w:pPr>
              <w:pStyle w:val="Texttabulky"/>
              <w:jc w:val="both"/>
              <w:rPr>
                <w:rFonts w:cs="Arial"/>
              </w:rPr>
            </w:pPr>
            <w:r w:rsidRPr="00E30642">
              <w:rPr>
                <w:rFonts w:cs="Arial"/>
                <w:sz w:val="18"/>
                <w:szCs w:val="18"/>
              </w:rPr>
              <w:t>v přípravě</w:t>
            </w:r>
          </w:p>
        </w:tc>
      </w:tr>
      <w:tr w:rsidR="00CA23D0" w:rsidRPr="00E30642" w14:paraId="5BBC0FB4"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69564007" w14:textId="77777777" w:rsidR="00CA23D0" w:rsidRPr="00E30642" w:rsidRDefault="00CA23D0" w:rsidP="00CA23D0">
            <w:pPr>
              <w:pStyle w:val="Texttabulky"/>
              <w:jc w:val="both"/>
              <w:rPr>
                <w:rFonts w:cs="Arial"/>
              </w:rPr>
            </w:pPr>
            <w:r w:rsidRPr="00E30642">
              <w:rPr>
                <w:rFonts w:cs="Arial"/>
                <w:sz w:val="18"/>
                <w:szCs w:val="18"/>
              </w:rPr>
              <w:t xml:space="preserve">IB/13 </w:t>
            </w:r>
          </w:p>
        </w:tc>
        <w:tc>
          <w:tcPr>
            <w:tcW w:w="3177" w:type="dxa"/>
            <w:tcBorders>
              <w:top w:val="single" w:sz="6" w:space="0" w:color="auto"/>
              <w:left w:val="single" w:sz="6" w:space="0" w:color="auto"/>
              <w:bottom w:val="single" w:sz="6" w:space="0" w:color="auto"/>
              <w:right w:val="single" w:sz="6" w:space="0" w:color="auto"/>
            </w:tcBorders>
          </w:tcPr>
          <w:p w14:paraId="2CE33AB0" w14:textId="77777777" w:rsidR="00CA23D0" w:rsidRPr="00E30642" w:rsidRDefault="00CA23D0" w:rsidP="00CA23D0">
            <w:pPr>
              <w:pStyle w:val="Texttabulky"/>
              <w:jc w:val="both"/>
              <w:rPr>
                <w:rFonts w:cs="Arial"/>
              </w:rPr>
            </w:pPr>
            <w:r w:rsidRPr="00E30642">
              <w:rPr>
                <w:rFonts w:cs="Arial"/>
                <w:sz w:val="18"/>
                <w:szCs w:val="18"/>
              </w:rPr>
              <w:t xml:space="preserve">Stavební dvůr NIKL, Provaznická ul.    </w:t>
            </w:r>
          </w:p>
        </w:tc>
        <w:tc>
          <w:tcPr>
            <w:tcW w:w="688" w:type="dxa"/>
            <w:tcBorders>
              <w:top w:val="single" w:sz="6" w:space="0" w:color="auto"/>
              <w:left w:val="single" w:sz="6" w:space="0" w:color="auto"/>
              <w:bottom w:val="single" w:sz="6" w:space="0" w:color="auto"/>
              <w:right w:val="single" w:sz="6" w:space="0" w:color="auto"/>
            </w:tcBorders>
          </w:tcPr>
          <w:p w14:paraId="244F4C3A" w14:textId="77777777" w:rsidR="00CA23D0" w:rsidRPr="00E30642" w:rsidRDefault="00CA23D0" w:rsidP="00CA23D0">
            <w:pPr>
              <w:pStyle w:val="Texttabulky"/>
              <w:jc w:val="both"/>
              <w:rPr>
                <w:rFonts w:cs="Arial"/>
              </w:rPr>
            </w:pPr>
            <w:r w:rsidRPr="00E30642">
              <w:rPr>
                <w:rFonts w:cs="Arial"/>
                <w:sz w:val="18"/>
                <w:szCs w:val="18"/>
              </w:rPr>
              <w:t>0,48</w:t>
            </w:r>
          </w:p>
        </w:tc>
        <w:tc>
          <w:tcPr>
            <w:tcW w:w="2195" w:type="dxa"/>
            <w:tcBorders>
              <w:top w:val="single" w:sz="6" w:space="0" w:color="auto"/>
              <w:left w:val="single" w:sz="6" w:space="0" w:color="auto"/>
              <w:bottom w:val="single" w:sz="6" w:space="0" w:color="auto"/>
              <w:right w:val="single" w:sz="6" w:space="0" w:color="auto"/>
            </w:tcBorders>
          </w:tcPr>
          <w:p w14:paraId="112C2231" w14:textId="77777777" w:rsidR="00CA23D0" w:rsidRPr="00E30642" w:rsidRDefault="00CA23D0" w:rsidP="00CA23D0">
            <w:pPr>
              <w:pStyle w:val="Texttabulky"/>
              <w:jc w:val="both"/>
              <w:rPr>
                <w:rFonts w:cs="Arial"/>
              </w:rPr>
            </w:pPr>
            <w:r w:rsidRPr="00E30642">
              <w:rPr>
                <w:rFonts w:cs="Arial"/>
                <w:sz w:val="18"/>
                <w:szCs w:val="18"/>
              </w:rPr>
              <w:t>integr. záchranný systém</w:t>
            </w:r>
          </w:p>
        </w:tc>
        <w:tc>
          <w:tcPr>
            <w:tcW w:w="1950" w:type="dxa"/>
            <w:tcBorders>
              <w:top w:val="single" w:sz="6" w:space="0" w:color="auto"/>
              <w:left w:val="single" w:sz="6" w:space="0" w:color="auto"/>
              <w:bottom w:val="single" w:sz="6" w:space="0" w:color="auto"/>
              <w:right w:val="single" w:sz="6" w:space="0" w:color="auto"/>
            </w:tcBorders>
          </w:tcPr>
          <w:p w14:paraId="65287276" w14:textId="77777777" w:rsidR="00CA23D0" w:rsidRPr="00E30642" w:rsidRDefault="00CA23D0" w:rsidP="00CA23D0">
            <w:pPr>
              <w:pStyle w:val="Texttabulky"/>
              <w:jc w:val="both"/>
              <w:rPr>
                <w:rFonts w:cs="Arial"/>
              </w:rPr>
            </w:pPr>
            <w:r w:rsidRPr="00E30642">
              <w:rPr>
                <w:rFonts w:cs="Arial"/>
                <w:sz w:val="18"/>
                <w:szCs w:val="18"/>
              </w:rPr>
              <w:t>realizováno</w:t>
            </w:r>
          </w:p>
        </w:tc>
      </w:tr>
      <w:tr w:rsidR="00CA23D0" w:rsidRPr="00E30642" w14:paraId="29119176"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58B34960" w14:textId="77777777" w:rsidR="00CA23D0" w:rsidRPr="00E30642" w:rsidRDefault="00CA23D0" w:rsidP="00CA23D0">
            <w:pPr>
              <w:pStyle w:val="Texttabulky"/>
              <w:jc w:val="both"/>
              <w:rPr>
                <w:rFonts w:cs="Arial"/>
              </w:rPr>
            </w:pPr>
            <w:r w:rsidRPr="00E30642">
              <w:rPr>
                <w:rFonts w:cs="Arial"/>
                <w:sz w:val="18"/>
                <w:szCs w:val="18"/>
              </w:rPr>
              <w:t>-</w:t>
            </w:r>
          </w:p>
        </w:tc>
        <w:tc>
          <w:tcPr>
            <w:tcW w:w="3177" w:type="dxa"/>
            <w:tcBorders>
              <w:top w:val="single" w:sz="6" w:space="0" w:color="auto"/>
              <w:left w:val="single" w:sz="6" w:space="0" w:color="auto"/>
              <w:bottom w:val="single" w:sz="6" w:space="0" w:color="auto"/>
              <w:right w:val="single" w:sz="6" w:space="0" w:color="auto"/>
            </w:tcBorders>
          </w:tcPr>
          <w:p w14:paraId="7112D1AC" w14:textId="77777777" w:rsidR="00CA23D0" w:rsidRPr="00E30642" w:rsidRDefault="00CA23D0" w:rsidP="00CA23D0">
            <w:pPr>
              <w:pStyle w:val="Texttabulky"/>
              <w:jc w:val="both"/>
              <w:rPr>
                <w:rFonts w:cs="Arial"/>
              </w:rPr>
            </w:pPr>
            <w:r w:rsidRPr="00E30642">
              <w:rPr>
                <w:rFonts w:cs="Arial"/>
                <w:sz w:val="18"/>
                <w:szCs w:val="18"/>
              </w:rPr>
              <w:t>prodej  stavebnin, u ZŠ Vrchlického</w:t>
            </w:r>
          </w:p>
        </w:tc>
        <w:tc>
          <w:tcPr>
            <w:tcW w:w="688" w:type="dxa"/>
            <w:tcBorders>
              <w:top w:val="single" w:sz="6" w:space="0" w:color="auto"/>
              <w:left w:val="single" w:sz="6" w:space="0" w:color="auto"/>
              <w:bottom w:val="single" w:sz="6" w:space="0" w:color="auto"/>
              <w:right w:val="single" w:sz="6" w:space="0" w:color="auto"/>
            </w:tcBorders>
          </w:tcPr>
          <w:p w14:paraId="7A029F9A" w14:textId="77777777" w:rsidR="00CA23D0" w:rsidRPr="00E30642" w:rsidRDefault="00CA23D0" w:rsidP="00CA23D0">
            <w:pPr>
              <w:pStyle w:val="Texttabulky"/>
              <w:jc w:val="both"/>
              <w:rPr>
                <w:rFonts w:cs="Arial"/>
              </w:rPr>
            </w:pPr>
            <w:r w:rsidRPr="00E30642">
              <w:rPr>
                <w:rFonts w:cs="Arial"/>
                <w:sz w:val="18"/>
                <w:szCs w:val="18"/>
              </w:rPr>
              <w:t>0,02</w:t>
            </w:r>
          </w:p>
        </w:tc>
        <w:tc>
          <w:tcPr>
            <w:tcW w:w="2195" w:type="dxa"/>
            <w:tcBorders>
              <w:top w:val="single" w:sz="6" w:space="0" w:color="auto"/>
              <w:left w:val="single" w:sz="6" w:space="0" w:color="auto"/>
              <w:bottom w:val="single" w:sz="6" w:space="0" w:color="auto"/>
              <w:right w:val="single" w:sz="6" w:space="0" w:color="auto"/>
            </w:tcBorders>
          </w:tcPr>
          <w:p w14:paraId="51B1DB58" w14:textId="77777777" w:rsidR="00CA23D0" w:rsidRPr="00E30642" w:rsidRDefault="00CA23D0" w:rsidP="00CA23D0">
            <w:pPr>
              <w:pStyle w:val="Texttabulky"/>
              <w:jc w:val="both"/>
              <w:rPr>
                <w:rFonts w:cs="Arial"/>
              </w:rPr>
            </w:pPr>
            <w:r w:rsidRPr="00E30642">
              <w:rPr>
                <w:rFonts w:cs="Arial"/>
                <w:sz w:val="18"/>
                <w:szCs w:val="18"/>
              </w:rPr>
              <w:t xml:space="preserve">sport. zázemí pro ZŠ </w:t>
            </w:r>
          </w:p>
        </w:tc>
        <w:tc>
          <w:tcPr>
            <w:tcW w:w="1950" w:type="dxa"/>
            <w:tcBorders>
              <w:top w:val="single" w:sz="6" w:space="0" w:color="auto"/>
              <w:left w:val="single" w:sz="6" w:space="0" w:color="auto"/>
              <w:bottom w:val="single" w:sz="6" w:space="0" w:color="auto"/>
              <w:right w:val="single" w:sz="6" w:space="0" w:color="auto"/>
            </w:tcBorders>
          </w:tcPr>
          <w:p w14:paraId="2F389750" w14:textId="77777777" w:rsidR="00CA23D0" w:rsidRPr="00E30642" w:rsidRDefault="00CA23D0" w:rsidP="00CA23D0">
            <w:pPr>
              <w:pStyle w:val="Texttabulky"/>
              <w:jc w:val="both"/>
              <w:rPr>
                <w:rFonts w:cs="Arial"/>
              </w:rPr>
            </w:pPr>
            <w:r w:rsidRPr="00E30642">
              <w:rPr>
                <w:rFonts w:cs="Arial"/>
                <w:sz w:val="18"/>
                <w:szCs w:val="18"/>
              </w:rPr>
              <w:t>v provozu</w:t>
            </w:r>
          </w:p>
        </w:tc>
      </w:tr>
      <w:tr w:rsidR="00CA23D0" w:rsidRPr="00E30642" w14:paraId="620314EC"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22061497" w14:textId="77777777" w:rsidR="00CA23D0" w:rsidRPr="00E30642" w:rsidRDefault="00CA23D0" w:rsidP="00CA23D0">
            <w:pPr>
              <w:pStyle w:val="Texttabulky"/>
              <w:jc w:val="both"/>
              <w:rPr>
                <w:rFonts w:cs="Arial"/>
              </w:rPr>
            </w:pPr>
            <w:r w:rsidRPr="00E30642">
              <w:rPr>
                <w:rFonts w:cs="Arial"/>
                <w:sz w:val="18"/>
                <w:szCs w:val="18"/>
              </w:rPr>
              <w:t>II/17</w:t>
            </w:r>
          </w:p>
        </w:tc>
        <w:tc>
          <w:tcPr>
            <w:tcW w:w="3177" w:type="dxa"/>
            <w:tcBorders>
              <w:top w:val="single" w:sz="6" w:space="0" w:color="auto"/>
              <w:left w:val="single" w:sz="6" w:space="0" w:color="auto"/>
              <w:bottom w:val="single" w:sz="6" w:space="0" w:color="auto"/>
              <w:right w:val="single" w:sz="6" w:space="0" w:color="auto"/>
            </w:tcBorders>
          </w:tcPr>
          <w:p w14:paraId="5E50AB96" w14:textId="77777777" w:rsidR="00CA23D0" w:rsidRPr="00E30642" w:rsidRDefault="00CA23D0" w:rsidP="00CA23D0">
            <w:pPr>
              <w:pStyle w:val="Texttabulky"/>
              <w:jc w:val="both"/>
              <w:rPr>
                <w:rFonts w:cs="Arial"/>
              </w:rPr>
            </w:pPr>
            <w:r w:rsidRPr="00E30642">
              <w:rPr>
                <w:rFonts w:cs="Arial"/>
                <w:sz w:val="18"/>
                <w:szCs w:val="18"/>
              </w:rPr>
              <w:t xml:space="preserve">Kabelovna, Ústecká ul. </w:t>
            </w:r>
          </w:p>
        </w:tc>
        <w:tc>
          <w:tcPr>
            <w:tcW w:w="688" w:type="dxa"/>
            <w:tcBorders>
              <w:top w:val="single" w:sz="6" w:space="0" w:color="auto"/>
              <w:left w:val="single" w:sz="6" w:space="0" w:color="auto"/>
              <w:bottom w:val="single" w:sz="6" w:space="0" w:color="auto"/>
              <w:right w:val="single" w:sz="6" w:space="0" w:color="auto"/>
            </w:tcBorders>
          </w:tcPr>
          <w:p w14:paraId="57D38550" w14:textId="77777777" w:rsidR="00CA23D0" w:rsidRPr="00E30642" w:rsidRDefault="00CA23D0" w:rsidP="00CA23D0">
            <w:pPr>
              <w:pStyle w:val="Texttabulky"/>
              <w:jc w:val="both"/>
              <w:rPr>
                <w:rFonts w:cs="Arial"/>
              </w:rPr>
            </w:pPr>
            <w:r w:rsidRPr="00E30642">
              <w:rPr>
                <w:rFonts w:cs="Arial"/>
                <w:sz w:val="18"/>
                <w:szCs w:val="18"/>
              </w:rPr>
              <w:t xml:space="preserve"> 0,9</w:t>
            </w:r>
            <w:r w:rsidRPr="00E30642">
              <w:rPr>
                <w:rFonts w:cs="Arial"/>
              </w:rPr>
              <w:t>0</w:t>
            </w:r>
          </w:p>
        </w:tc>
        <w:tc>
          <w:tcPr>
            <w:tcW w:w="2195" w:type="dxa"/>
            <w:tcBorders>
              <w:top w:val="single" w:sz="6" w:space="0" w:color="auto"/>
              <w:left w:val="single" w:sz="6" w:space="0" w:color="auto"/>
              <w:bottom w:val="single" w:sz="6" w:space="0" w:color="auto"/>
              <w:right w:val="single" w:sz="6" w:space="0" w:color="auto"/>
            </w:tcBorders>
          </w:tcPr>
          <w:p w14:paraId="68AE3683" w14:textId="77777777" w:rsidR="00CA23D0" w:rsidRPr="00E30642" w:rsidRDefault="00CA23D0" w:rsidP="00CA23D0">
            <w:pPr>
              <w:pStyle w:val="Texttabulky"/>
              <w:jc w:val="both"/>
              <w:rPr>
                <w:rFonts w:cs="Arial"/>
              </w:rPr>
            </w:pPr>
            <w:r w:rsidRPr="00E30642">
              <w:rPr>
                <w:rFonts w:cs="Arial"/>
                <w:sz w:val="18"/>
                <w:szCs w:val="18"/>
              </w:rPr>
              <w:t xml:space="preserve">HOBBY  CENTRUM + P </w:t>
            </w:r>
          </w:p>
        </w:tc>
        <w:tc>
          <w:tcPr>
            <w:tcW w:w="1950" w:type="dxa"/>
            <w:tcBorders>
              <w:top w:val="single" w:sz="6" w:space="0" w:color="auto"/>
              <w:left w:val="single" w:sz="6" w:space="0" w:color="auto"/>
              <w:bottom w:val="single" w:sz="6" w:space="0" w:color="auto"/>
              <w:right w:val="single" w:sz="6" w:space="0" w:color="auto"/>
            </w:tcBorders>
          </w:tcPr>
          <w:p w14:paraId="7E6E215E" w14:textId="77777777" w:rsidR="00CA23D0" w:rsidRPr="00E30642" w:rsidRDefault="00CA23D0" w:rsidP="00CA23D0">
            <w:pPr>
              <w:pStyle w:val="Texttabulky"/>
              <w:jc w:val="both"/>
              <w:rPr>
                <w:rFonts w:cs="Arial"/>
              </w:rPr>
            </w:pPr>
            <w:r w:rsidRPr="00E30642">
              <w:rPr>
                <w:rFonts w:cs="Arial"/>
                <w:sz w:val="18"/>
                <w:szCs w:val="18"/>
              </w:rPr>
              <w:t>v provozu</w:t>
            </w:r>
          </w:p>
        </w:tc>
      </w:tr>
      <w:tr w:rsidR="00CA23D0" w:rsidRPr="00E30642" w14:paraId="1C4ECF5B"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2B4692A7" w14:textId="77777777" w:rsidR="00CA23D0" w:rsidRPr="00E30642" w:rsidRDefault="00CA23D0" w:rsidP="00CA23D0">
            <w:pPr>
              <w:pStyle w:val="Texttabulky"/>
              <w:jc w:val="both"/>
              <w:rPr>
                <w:rFonts w:cs="Arial"/>
              </w:rPr>
            </w:pPr>
            <w:r w:rsidRPr="00E30642">
              <w:rPr>
                <w:rFonts w:cs="Arial"/>
                <w:sz w:val="18"/>
                <w:szCs w:val="18"/>
              </w:rPr>
              <w:t>II/23</w:t>
            </w:r>
          </w:p>
        </w:tc>
        <w:tc>
          <w:tcPr>
            <w:tcW w:w="3177" w:type="dxa"/>
            <w:tcBorders>
              <w:top w:val="single" w:sz="6" w:space="0" w:color="auto"/>
              <w:left w:val="single" w:sz="6" w:space="0" w:color="auto"/>
              <w:bottom w:val="single" w:sz="6" w:space="0" w:color="auto"/>
              <w:right w:val="single" w:sz="6" w:space="0" w:color="auto"/>
            </w:tcBorders>
          </w:tcPr>
          <w:p w14:paraId="4D74E03E" w14:textId="77777777" w:rsidR="00CA23D0" w:rsidRPr="00E30642" w:rsidRDefault="00CA23D0" w:rsidP="00CA23D0">
            <w:pPr>
              <w:pStyle w:val="Texttabulky"/>
              <w:jc w:val="both"/>
              <w:rPr>
                <w:rFonts w:cs="Arial"/>
              </w:rPr>
            </w:pPr>
            <w:r w:rsidRPr="00E30642">
              <w:rPr>
                <w:rFonts w:cs="Arial"/>
                <w:sz w:val="18"/>
                <w:szCs w:val="18"/>
              </w:rPr>
              <w:t xml:space="preserve">SPOZEX zelenina, Dělnická ul. </w:t>
            </w:r>
          </w:p>
        </w:tc>
        <w:tc>
          <w:tcPr>
            <w:tcW w:w="688" w:type="dxa"/>
            <w:tcBorders>
              <w:top w:val="single" w:sz="6" w:space="0" w:color="auto"/>
              <w:left w:val="single" w:sz="6" w:space="0" w:color="auto"/>
              <w:bottom w:val="single" w:sz="6" w:space="0" w:color="auto"/>
              <w:right w:val="single" w:sz="6" w:space="0" w:color="auto"/>
            </w:tcBorders>
          </w:tcPr>
          <w:p w14:paraId="17CB809E" w14:textId="77777777" w:rsidR="00CA23D0" w:rsidRPr="00E30642" w:rsidRDefault="00CA23D0" w:rsidP="00CA23D0">
            <w:pPr>
              <w:pStyle w:val="Texttabulky"/>
              <w:jc w:val="both"/>
              <w:rPr>
                <w:rFonts w:cs="Arial"/>
              </w:rPr>
            </w:pPr>
            <w:r w:rsidRPr="00E30642">
              <w:rPr>
                <w:rFonts w:cs="Arial"/>
                <w:sz w:val="18"/>
                <w:szCs w:val="18"/>
              </w:rPr>
              <w:t xml:space="preserve">0,88 </w:t>
            </w:r>
          </w:p>
        </w:tc>
        <w:tc>
          <w:tcPr>
            <w:tcW w:w="2195" w:type="dxa"/>
            <w:tcBorders>
              <w:top w:val="single" w:sz="6" w:space="0" w:color="auto"/>
              <w:left w:val="single" w:sz="6" w:space="0" w:color="auto"/>
              <w:bottom w:val="single" w:sz="6" w:space="0" w:color="auto"/>
              <w:right w:val="single" w:sz="6" w:space="0" w:color="auto"/>
            </w:tcBorders>
          </w:tcPr>
          <w:p w14:paraId="7511FBEC" w14:textId="77777777" w:rsidR="00CA23D0" w:rsidRPr="00E30642" w:rsidRDefault="00CA23D0" w:rsidP="00CA23D0">
            <w:pPr>
              <w:pStyle w:val="Texttabulky"/>
              <w:jc w:val="both"/>
              <w:rPr>
                <w:rFonts w:cs="Arial"/>
              </w:rPr>
            </w:pPr>
            <w:r w:rsidRPr="00E30642">
              <w:rPr>
                <w:rFonts w:cs="Arial"/>
                <w:sz w:val="18"/>
                <w:szCs w:val="18"/>
              </w:rPr>
              <w:t xml:space="preserve">dopravní podnik </w:t>
            </w:r>
          </w:p>
        </w:tc>
        <w:tc>
          <w:tcPr>
            <w:tcW w:w="1950" w:type="dxa"/>
            <w:tcBorders>
              <w:top w:val="single" w:sz="6" w:space="0" w:color="auto"/>
              <w:left w:val="single" w:sz="6" w:space="0" w:color="auto"/>
              <w:bottom w:val="single" w:sz="6" w:space="0" w:color="auto"/>
              <w:right w:val="single" w:sz="6" w:space="0" w:color="auto"/>
            </w:tcBorders>
          </w:tcPr>
          <w:p w14:paraId="4DFA745C" w14:textId="77777777" w:rsidR="00CA23D0" w:rsidRPr="00E30642" w:rsidRDefault="00CA23D0" w:rsidP="00CA23D0">
            <w:pPr>
              <w:pStyle w:val="Texttabulky"/>
              <w:jc w:val="both"/>
              <w:rPr>
                <w:rFonts w:cs="Arial"/>
              </w:rPr>
            </w:pPr>
            <w:r w:rsidRPr="00E30642">
              <w:rPr>
                <w:rFonts w:cs="Arial"/>
                <w:sz w:val="18"/>
                <w:szCs w:val="18"/>
              </w:rPr>
              <w:t>realizováno</w:t>
            </w:r>
          </w:p>
        </w:tc>
      </w:tr>
      <w:tr w:rsidR="00CA23D0" w:rsidRPr="00E30642" w14:paraId="47FAFE78"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1675990C" w14:textId="77777777" w:rsidR="00CA23D0" w:rsidRPr="00E30642" w:rsidRDefault="00CA23D0" w:rsidP="00CA23D0">
            <w:pPr>
              <w:pStyle w:val="Texttabulky"/>
              <w:jc w:val="both"/>
              <w:rPr>
                <w:rFonts w:cs="Arial"/>
              </w:rPr>
            </w:pPr>
            <w:r w:rsidRPr="00E30642">
              <w:rPr>
                <w:rFonts w:cs="Arial"/>
                <w:sz w:val="18"/>
                <w:szCs w:val="18"/>
              </w:rPr>
              <w:t xml:space="preserve"> II/25</w:t>
            </w:r>
          </w:p>
        </w:tc>
        <w:tc>
          <w:tcPr>
            <w:tcW w:w="3177" w:type="dxa"/>
            <w:tcBorders>
              <w:top w:val="single" w:sz="6" w:space="0" w:color="auto"/>
              <w:left w:val="single" w:sz="6" w:space="0" w:color="auto"/>
              <w:bottom w:val="single" w:sz="6" w:space="0" w:color="auto"/>
              <w:right w:val="single" w:sz="6" w:space="0" w:color="auto"/>
            </w:tcBorders>
          </w:tcPr>
          <w:p w14:paraId="387D23AC" w14:textId="77777777" w:rsidR="00CA23D0" w:rsidRPr="00E30642" w:rsidRDefault="00CA23D0" w:rsidP="00CA23D0">
            <w:pPr>
              <w:pStyle w:val="Texttabulky"/>
              <w:jc w:val="both"/>
              <w:rPr>
                <w:rFonts w:cs="Arial"/>
              </w:rPr>
            </w:pPr>
            <w:r w:rsidRPr="00E30642">
              <w:rPr>
                <w:rFonts w:cs="Arial"/>
                <w:sz w:val="18"/>
                <w:szCs w:val="18"/>
              </w:rPr>
              <w:t>pivovar - Sofijská ul.</w:t>
            </w:r>
          </w:p>
        </w:tc>
        <w:tc>
          <w:tcPr>
            <w:tcW w:w="688" w:type="dxa"/>
            <w:tcBorders>
              <w:top w:val="single" w:sz="6" w:space="0" w:color="auto"/>
              <w:left w:val="single" w:sz="6" w:space="0" w:color="auto"/>
              <w:bottom w:val="single" w:sz="6" w:space="0" w:color="auto"/>
              <w:right w:val="single" w:sz="6" w:space="0" w:color="auto"/>
            </w:tcBorders>
          </w:tcPr>
          <w:p w14:paraId="33CE4DCF" w14:textId="77777777" w:rsidR="00CA23D0" w:rsidRPr="00E30642" w:rsidRDefault="00CA23D0" w:rsidP="00CA23D0">
            <w:pPr>
              <w:pStyle w:val="Texttabulky"/>
              <w:jc w:val="both"/>
              <w:rPr>
                <w:rFonts w:cs="Arial"/>
              </w:rPr>
            </w:pPr>
            <w:r w:rsidRPr="00E30642">
              <w:rPr>
                <w:rFonts w:cs="Arial"/>
                <w:sz w:val="18"/>
                <w:szCs w:val="18"/>
              </w:rPr>
              <w:t>2,92</w:t>
            </w:r>
          </w:p>
        </w:tc>
        <w:tc>
          <w:tcPr>
            <w:tcW w:w="2195" w:type="dxa"/>
            <w:tcBorders>
              <w:top w:val="single" w:sz="6" w:space="0" w:color="auto"/>
              <w:left w:val="single" w:sz="6" w:space="0" w:color="auto"/>
              <w:bottom w:val="single" w:sz="6" w:space="0" w:color="auto"/>
              <w:right w:val="single" w:sz="6" w:space="0" w:color="auto"/>
            </w:tcBorders>
          </w:tcPr>
          <w:p w14:paraId="0C8BCD41" w14:textId="77777777" w:rsidR="00CA23D0" w:rsidRPr="00E30642" w:rsidRDefault="00CA23D0" w:rsidP="00CA23D0">
            <w:pPr>
              <w:pStyle w:val="Texttabulky"/>
              <w:jc w:val="both"/>
              <w:rPr>
                <w:rFonts w:cs="Arial"/>
              </w:rPr>
            </w:pPr>
            <w:r w:rsidRPr="00E30642">
              <w:rPr>
                <w:rFonts w:cs="Arial"/>
                <w:sz w:val="18"/>
                <w:szCs w:val="18"/>
              </w:rPr>
              <w:t>výroba piva a nápojů</w:t>
            </w:r>
          </w:p>
        </w:tc>
        <w:tc>
          <w:tcPr>
            <w:tcW w:w="1950" w:type="dxa"/>
            <w:tcBorders>
              <w:top w:val="single" w:sz="6" w:space="0" w:color="auto"/>
              <w:left w:val="single" w:sz="6" w:space="0" w:color="auto"/>
              <w:bottom w:val="single" w:sz="6" w:space="0" w:color="auto"/>
              <w:right w:val="single" w:sz="6" w:space="0" w:color="auto"/>
            </w:tcBorders>
          </w:tcPr>
          <w:p w14:paraId="6A4DDBED" w14:textId="77777777" w:rsidR="00CA23D0" w:rsidRPr="00E30642" w:rsidRDefault="00CA23D0" w:rsidP="00CA23D0">
            <w:pPr>
              <w:pStyle w:val="Texttabulky"/>
              <w:jc w:val="both"/>
              <w:rPr>
                <w:rFonts w:cs="Arial"/>
              </w:rPr>
            </w:pPr>
            <w:r w:rsidRPr="00E30642">
              <w:rPr>
                <w:rFonts w:cs="Arial"/>
                <w:sz w:val="18"/>
                <w:szCs w:val="18"/>
              </w:rPr>
              <w:t>přestavba na integrov. areál obchodu a služeb</w:t>
            </w:r>
          </w:p>
        </w:tc>
      </w:tr>
      <w:tr w:rsidR="00CA23D0" w:rsidRPr="00E30642" w14:paraId="2BEFCC56"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0301269A" w14:textId="77777777" w:rsidR="00CA23D0" w:rsidRPr="00E30642" w:rsidRDefault="00CA23D0" w:rsidP="00CA23D0">
            <w:pPr>
              <w:pStyle w:val="Texttabulky"/>
              <w:jc w:val="both"/>
              <w:rPr>
                <w:rFonts w:cs="Arial"/>
              </w:rPr>
            </w:pPr>
            <w:r w:rsidRPr="00E30642">
              <w:rPr>
                <w:rFonts w:cs="Arial"/>
                <w:sz w:val="18"/>
                <w:szCs w:val="18"/>
              </w:rPr>
              <w:t>-</w:t>
            </w:r>
          </w:p>
        </w:tc>
        <w:tc>
          <w:tcPr>
            <w:tcW w:w="3177" w:type="dxa"/>
            <w:tcBorders>
              <w:top w:val="single" w:sz="6" w:space="0" w:color="auto"/>
              <w:left w:val="single" w:sz="6" w:space="0" w:color="auto"/>
              <w:bottom w:val="single" w:sz="6" w:space="0" w:color="auto"/>
              <w:right w:val="single" w:sz="6" w:space="0" w:color="auto"/>
            </w:tcBorders>
          </w:tcPr>
          <w:p w14:paraId="5E328FBA" w14:textId="77777777" w:rsidR="00CA23D0" w:rsidRPr="00E30642" w:rsidRDefault="00CA23D0" w:rsidP="00CA23D0">
            <w:pPr>
              <w:pStyle w:val="Texttabulky"/>
              <w:jc w:val="both"/>
              <w:rPr>
                <w:rFonts w:cs="Arial"/>
              </w:rPr>
            </w:pPr>
            <w:r w:rsidRPr="00E30642">
              <w:rPr>
                <w:rFonts w:cs="Arial"/>
                <w:sz w:val="18"/>
                <w:szCs w:val="18"/>
              </w:rPr>
              <w:t xml:space="preserve">H-STYL velkoobchod, Dělnická </w:t>
            </w:r>
          </w:p>
        </w:tc>
        <w:tc>
          <w:tcPr>
            <w:tcW w:w="688" w:type="dxa"/>
            <w:tcBorders>
              <w:top w:val="single" w:sz="6" w:space="0" w:color="auto"/>
              <w:left w:val="single" w:sz="6" w:space="0" w:color="auto"/>
              <w:bottom w:val="single" w:sz="6" w:space="0" w:color="auto"/>
              <w:right w:val="single" w:sz="6" w:space="0" w:color="auto"/>
            </w:tcBorders>
          </w:tcPr>
          <w:p w14:paraId="54C0ABBD" w14:textId="77777777" w:rsidR="00CA23D0" w:rsidRPr="00E30642" w:rsidRDefault="00CA23D0" w:rsidP="00CA23D0">
            <w:pPr>
              <w:pStyle w:val="Texttabulky"/>
              <w:jc w:val="both"/>
              <w:rPr>
                <w:rFonts w:cs="Arial"/>
              </w:rPr>
            </w:pPr>
            <w:r w:rsidRPr="00E30642">
              <w:rPr>
                <w:rFonts w:cs="Arial"/>
                <w:sz w:val="18"/>
                <w:szCs w:val="18"/>
              </w:rPr>
              <w:t xml:space="preserve">0,95 </w:t>
            </w:r>
          </w:p>
        </w:tc>
        <w:tc>
          <w:tcPr>
            <w:tcW w:w="2195" w:type="dxa"/>
            <w:tcBorders>
              <w:top w:val="single" w:sz="6" w:space="0" w:color="auto"/>
              <w:left w:val="single" w:sz="6" w:space="0" w:color="auto"/>
              <w:bottom w:val="single" w:sz="6" w:space="0" w:color="auto"/>
              <w:right w:val="single" w:sz="6" w:space="0" w:color="auto"/>
            </w:tcBorders>
          </w:tcPr>
          <w:p w14:paraId="7E8941FB" w14:textId="77777777" w:rsidR="00CA23D0" w:rsidRPr="00E30642" w:rsidRDefault="00CA23D0" w:rsidP="00CA23D0">
            <w:pPr>
              <w:pStyle w:val="Texttabulky"/>
              <w:jc w:val="both"/>
              <w:rPr>
                <w:rFonts w:cs="Arial"/>
              </w:rPr>
            </w:pPr>
            <w:r w:rsidRPr="00E30642">
              <w:rPr>
                <w:rFonts w:cs="Arial"/>
                <w:sz w:val="18"/>
                <w:szCs w:val="18"/>
              </w:rPr>
              <w:t>dopravní podnik</w:t>
            </w:r>
          </w:p>
        </w:tc>
        <w:tc>
          <w:tcPr>
            <w:tcW w:w="1950" w:type="dxa"/>
            <w:tcBorders>
              <w:top w:val="single" w:sz="6" w:space="0" w:color="auto"/>
              <w:left w:val="single" w:sz="6" w:space="0" w:color="auto"/>
              <w:bottom w:val="single" w:sz="6" w:space="0" w:color="auto"/>
              <w:right w:val="single" w:sz="6" w:space="0" w:color="auto"/>
            </w:tcBorders>
          </w:tcPr>
          <w:p w14:paraId="72B52F98" w14:textId="77777777" w:rsidR="00CA23D0" w:rsidRPr="00E30642" w:rsidRDefault="00CA23D0" w:rsidP="00CA23D0">
            <w:pPr>
              <w:pStyle w:val="Texttabulky"/>
              <w:jc w:val="both"/>
              <w:rPr>
                <w:rFonts w:cs="Arial"/>
              </w:rPr>
            </w:pPr>
            <w:r w:rsidRPr="00E30642">
              <w:rPr>
                <w:rFonts w:cs="Arial"/>
                <w:sz w:val="18"/>
                <w:szCs w:val="18"/>
              </w:rPr>
              <w:t>realizováno</w:t>
            </w:r>
          </w:p>
        </w:tc>
      </w:tr>
      <w:tr w:rsidR="00CA23D0" w:rsidRPr="00E30642" w14:paraId="492429D5"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297ECB4C" w14:textId="77777777" w:rsidR="00CA23D0" w:rsidRPr="00E30642" w:rsidRDefault="00CA23D0" w:rsidP="00CA23D0">
            <w:pPr>
              <w:pStyle w:val="Texttabulky"/>
              <w:jc w:val="both"/>
              <w:rPr>
                <w:rFonts w:cs="Arial"/>
              </w:rPr>
            </w:pPr>
            <w:r w:rsidRPr="00E30642">
              <w:rPr>
                <w:rFonts w:cs="Arial"/>
                <w:sz w:val="18"/>
                <w:szCs w:val="18"/>
              </w:rPr>
              <w:t>-</w:t>
            </w:r>
          </w:p>
        </w:tc>
        <w:tc>
          <w:tcPr>
            <w:tcW w:w="3177" w:type="dxa"/>
            <w:tcBorders>
              <w:top w:val="single" w:sz="6" w:space="0" w:color="auto"/>
              <w:left w:val="single" w:sz="6" w:space="0" w:color="auto"/>
              <w:bottom w:val="single" w:sz="6" w:space="0" w:color="auto"/>
              <w:right w:val="single" w:sz="6" w:space="0" w:color="auto"/>
            </w:tcBorders>
          </w:tcPr>
          <w:p w14:paraId="0049E41A" w14:textId="77777777" w:rsidR="00CA23D0" w:rsidRPr="00E30642" w:rsidRDefault="00CA23D0" w:rsidP="00CA23D0">
            <w:pPr>
              <w:pStyle w:val="Texttabulky"/>
              <w:jc w:val="both"/>
              <w:rPr>
                <w:rFonts w:cs="Arial"/>
              </w:rPr>
            </w:pPr>
            <w:r w:rsidRPr="00E30642">
              <w:rPr>
                <w:rFonts w:cs="Arial"/>
                <w:sz w:val="18"/>
                <w:szCs w:val="18"/>
              </w:rPr>
              <w:t xml:space="preserve">Protektory RTS, Na stráni </w:t>
            </w:r>
          </w:p>
        </w:tc>
        <w:tc>
          <w:tcPr>
            <w:tcW w:w="688" w:type="dxa"/>
            <w:tcBorders>
              <w:top w:val="single" w:sz="6" w:space="0" w:color="auto"/>
              <w:left w:val="single" w:sz="6" w:space="0" w:color="auto"/>
              <w:bottom w:val="single" w:sz="6" w:space="0" w:color="auto"/>
              <w:right w:val="single" w:sz="6" w:space="0" w:color="auto"/>
            </w:tcBorders>
          </w:tcPr>
          <w:p w14:paraId="2DC0637B" w14:textId="77777777" w:rsidR="00CA23D0" w:rsidRPr="00E30642" w:rsidRDefault="00CA23D0" w:rsidP="00CA23D0">
            <w:pPr>
              <w:pStyle w:val="Texttabulky"/>
              <w:jc w:val="both"/>
              <w:rPr>
                <w:rFonts w:cs="Arial"/>
              </w:rPr>
            </w:pPr>
            <w:r w:rsidRPr="00E30642">
              <w:rPr>
                <w:rFonts w:cs="Arial"/>
                <w:sz w:val="18"/>
                <w:szCs w:val="18"/>
              </w:rPr>
              <w:t xml:space="preserve">0,16 </w:t>
            </w:r>
          </w:p>
        </w:tc>
        <w:tc>
          <w:tcPr>
            <w:tcW w:w="2195" w:type="dxa"/>
            <w:tcBorders>
              <w:top w:val="single" w:sz="6" w:space="0" w:color="auto"/>
              <w:left w:val="single" w:sz="6" w:space="0" w:color="auto"/>
              <w:bottom w:val="single" w:sz="6" w:space="0" w:color="auto"/>
              <w:right w:val="single" w:sz="6" w:space="0" w:color="auto"/>
            </w:tcBorders>
          </w:tcPr>
          <w:p w14:paraId="48B53BB4" w14:textId="77777777" w:rsidR="00CA23D0" w:rsidRPr="00E30642" w:rsidRDefault="00CA23D0" w:rsidP="00CA23D0">
            <w:pPr>
              <w:pStyle w:val="Texttabulky"/>
              <w:jc w:val="both"/>
              <w:rPr>
                <w:rFonts w:cs="Arial"/>
              </w:rPr>
            </w:pPr>
            <w:r w:rsidRPr="00E30642">
              <w:rPr>
                <w:rFonts w:cs="Arial"/>
                <w:sz w:val="18"/>
                <w:szCs w:val="18"/>
              </w:rPr>
              <w:t xml:space="preserve">bydlení, nevýr. služby </w:t>
            </w:r>
          </w:p>
        </w:tc>
        <w:tc>
          <w:tcPr>
            <w:tcW w:w="1950" w:type="dxa"/>
            <w:tcBorders>
              <w:top w:val="single" w:sz="6" w:space="0" w:color="auto"/>
              <w:left w:val="single" w:sz="6" w:space="0" w:color="auto"/>
              <w:bottom w:val="single" w:sz="6" w:space="0" w:color="auto"/>
              <w:right w:val="single" w:sz="6" w:space="0" w:color="auto"/>
            </w:tcBorders>
          </w:tcPr>
          <w:p w14:paraId="6BC03E55" w14:textId="77777777" w:rsidR="00CA23D0" w:rsidRPr="00E30642" w:rsidRDefault="00CA23D0" w:rsidP="00CA23D0">
            <w:pPr>
              <w:pStyle w:val="Texttabulky"/>
              <w:jc w:val="both"/>
              <w:rPr>
                <w:rFonts w:cs="Arial"/>
              </w:rPr>
            </w:pPr>
            <w:r w:rsidRPr="00E30642">
              <w:rPr>
                <w:rFonts w:cs="Arial"/>
                <w:sz w:val="18"/>
                <w:szCs w:val="18"/>
              </w:rPr>
              <w:t>v provozu dle PHO</w:t>
            </w:r>
          </w:p>
        </w:tc>
      </w:tr>
      <w:tr w:rsidR="00CA23D0" w:rsidRPr="00E30642" w14:paraId="6794849B"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0B659A09" w14:textId="77777777" w:rsidR="00CA23D0" w:rsidRPr="00E30642" w:rsidRDefault="00CA23D0" w:rsidP="00CA23D0">
            <w:pPr>
              <w:pStyle w:val="Texttabulky"/>
              <w:jc w:val="both"/>
              <w:rPr>
                <w:rFonts w:cs="Arial"/>
              </w:rPr>
            </w:pPr>
            <w:r w:rsidRPr="00E30642">
              <w:rPr>
                <w:rFonts w:cs="Arial"/>
                <w:sz w:val="18"/>
                <w:szCs w:val="18"/>
              </w:rPr>
              <w:t>IV/17</w:t>
            </w:r>
          </w:p>
        </w:tc>
        <w:tc>
          <w:tcPr>
            <w:tcW w:w="3177" w:type="dxa"/>
            <w:tcBorders>
              <w:top w:val="single" w:sz="6" w:space="0" w:color="auto"/>
              <w:left w:val="single" w:sz="6" w:space="0" w:color="auto"/>
              <w:bottom w:val="single" w:sz="6" w:space="0" w:color="auto"/>
              <w:right w:val="single" w:sz="6" w:space="0" w:color="auto"/>
            </w:tcBorders>
          </w:tcPr>
          <w:p w14:paraId="53D313F3" w14:textId="77777777" w:rsidR="00CA23D0" w:rsidRPr="00E30642" w:rsidRDefault="00CA23D0" w:rsidP="00CA23D0">
            <w:pPr>
              <w:pStyle w:val="Texttabulky"/>
              <w:jc w:val="both"/>
              <w:rPr>
                <w:rFonts w:cs="Arial"/>
              </w:rPr>
            </w:pPr>
            <w:r w:rsidRPr="00E30642">
              <w:rPr>
                <w:rFonts w:cs="Arial"/>
                <w:sz w:val="18"/>
                <w:szCs w:val="18"/>
              </w:rPr>
              <w:t xml:space="preserve">Jitřenka a.s., výrobna - mimo provoz </w:t>
            </w:r>
          </w:p>
          <w:p w14:paraId="63B13275" w14:textId="77777777" w:rsidR="00CA23D0" w:rsidRPr="00E30642" w:rsidRDefault="00CA23D0" w:rsidP="00CA23D0">
            <w:pPr>
              <w:pStyle w:val="Texttabulky"/>
              <w:jc w:val="both"/>
              <w:rPr>
                <w:rFonts w:cs="Arial"/>
              </w:rPr>
            </w:pPr>
            <w:r w:rsidRPr="00E30642">
              <w:rPr>
                <w:rFonts w:cs="Arial"/>
                <w:sz w:val="18"/>
                <w:szCs w:val="18"/>
              </w:rPr>
              <w:t xml:space="preserve">LESKO doprava </w:t>
            </w:r>
          </w:p>
        </w:tc>
        <w:tc>
          <w:tcPr>
            <w:tcW w:w="688" w:type="dxa"/>
            <w:tcBorders>
              <w:top w:val="single" w:sz="6" w:space="0" w:color="auto"/>
              <w:left w:val="single" w:sz="6" w:space="0" w:color="auto"/>
              <w:bottom w:val="single" w:sz="6" w:space="0" w:color="auto"/>
              <w:right w:val="single" w:sz="6" w:space="0" w:color="auto"/>
            </w:tcBorders>
          </w:tcPr>
          <w:p w14:paraId="1FE9A2E6" w14:textId="77777777" w:rsidR="00CA23D0" w:rsidRPr="00E30642" w:rsidRDefault="00CA23D0" w:rsidP="00CA23D0">
            <w:pPr>
              <w:pStyle w:val="Texttabulky"/>
              <w:jc w:val="both"/>
              <w:rPr>
                <w:rFonts w:cs="Arial"/>
              </w:rPr>
            </w:pPr>
            <w:r w:rsidRPr="00E30642">
              <w:rPr>
                <w:rFonts w:cs="Arial"/>
                <w:sz w:val="18"/>
                <w:szCs w:val="18"/>
              </w:rPr>
              <w:t>0,20</w:t>
            </w:r>
          </w:p>
          <w:p w14:paraId="611B16B6" w14:textId="77777777" w:rsidR="00CA23D0" w:rsidRPr="00E30642" w:rsidRDefault="00CA23D0" w:rsidP="00CA23D0">
            <w:pPr>
              <w:pStyle w:val="Texttabulky"/>
              <w:jc w:val="both"/>
              <w:rPr>
                <w:rFonts w:cs="Arial"/>
              </w:rPr>
            </w:pPr>
            <w:r w:rsidRPr="00E30642">
              <w:rPr>
                <w:rFonts w:cs="Arial"/>
                <w:sz w:val="18"/>
                <w:szCs w:val="18"/>
              </w:rPr>
              <w:t>0,45</w:t>
            </w:r>
          </w:p>
        </w:tc>
        <w:tc>
          <w:tcPr>
            <w:tcW w:w="2195" w:type="dxa"/>
            <w:tcBorders>
              <w:top w:val="single" w:sz="6" w:space="0" w:color="auto"/>
              <w:left w:val="single" w:sz="6" w:space="0" w:color="auto"/>
              <w:bottom w:val="single" w:sz="6" w:space="0" w:color="auto"/>
              <w:right w:val="single" w:sz="6" w:space="0" w:color="auto"/>
            </w:tcBorders>
          </w:tcPr>
          <w:p w14:paraId="6743370E" w14:textId="77777777" w:rsidR="00CA23D0" w:rsidRPr="00E30642" w:rsidRDefault="00CA23D0" w:rsidP="00CA23D0">
            <w:pPr>
              <w:pStyle w:val="Texttabulky"/>
              <w:jc w:val="both"/>
              <w:rPr>
                <w:rFonts w:cs="Arial"/>
              </w:rPr>
            </w:pPr>
            <w:r w:rsidRPr="00E30642">
              <w:rPr>
                <w:rFonts w:cs="Arial"/>
                <w:sz w:val="18"/>
                <w:szCs w:val="18"/>
              </w:rPr>
              <w:t xml:space="preserve">sportovně rekreační areál Terezínský rybník </w:t>
            </w:r>
          </w:p>
        </w:tc>
        <w:tc>
          <w:tcPr>
            <w:tcW w:w="1950" w:type="dxa"/>
            <w:tcBorders>
              <w:top w:val="single" w:sz="6" w:space="0" w:color="auto"/>
              <w:left w:val="single" w:sz="6" w:space="0" w:color="auto"/>
              <w:bottom w:val="single" w:sz="6" w:space="0" w:color="auto"/>
              <w:right w:val="single" w:sz="6" w:space="0" w:color="auto"/>
            </w:tcBorders>
          </w:tcPr>
          <w:p w14:paraId="18A4065B" w14:textId="77777777" w:rsidR="00CA23D0" w:rsidRPr="00E30642" w:rsidRDefault="00CA23D0" w:rsidP="00CA23D0">
            <w:pPr>
              <w:pStyle w:val="Texttabulky"/>
              <w:jc w:val="both"/>
              <w:rPr>
                <w:rFonts w:cs="Arial"/>
              </w:rPr>
            </w:pPr>
            <w:r w:rsidRPr="00E30642">
              <w:rPr>
                <w:rFonts w:cs="Arial"/>
                <w:sz w:val="18"/>
                <w:szCs w:val="18"/>
              </w:rPr>
              <w:t>v provozu</w:t>
            </w:r>
          </w:p>
        </w:tc>
      </w:tr>
      <w:tr w:rsidR="00CA23D0" w:rsidRPr="00E30642" w14:paraId="774509C7"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47B02D50" w14:textId="77777777" w:rsidR="00CA23D0" w:rsidRPr="00E30642" w:rsidRDefault="00CA23D0" w:rsidP="00CA23D0">
            <w:pPr>
              <w:pStyle w:val="Texttabulky"/>
              <w:jc w:val="both"/>
              <w:rPr>
                <w:rFonts w:cs="Arial"/>
              </w:rPr>
            </w:pPr>
            <w:r w:rsidRPr="00E30642">
              <w:rPr>
                <w:rFonts w:cs="Arial"/>
                <w:sz w:val="18"/>
                <w:szCs w:val="18"/>
              </w:rPr>
              <w:t xml:space="preserve">VI/9 </w:t>
            </w:r>
          </w:p>
        </w:tc>
        <w:tc>
          <w:tcPr>
            <w:tcW w:w="3177" w:type="dxa"/>
            <w:tcBorders>
              <w:top w:val="single" w:sz="6" w:space="0" w:color="auto"/>
              <w:left w:val="single" w:sz="6" w:space="0" w:color="auto"/>
              <w:bottom w:val="single" w:sz="6" w:space="0" w:color="auto"/>
              <w:right w:val="single" w:sz="6" w:space="0" w:color="auto"/>
            </w:tcBorders>
          </w:tcPr>
          <w:p w14:paraId="4CC72B55" w14:textId="77777777" w:rsidR="00CA23D0" w:rsidRPr="00E30642" w:rsidRDefault="00CA23D0" w:rsidP="00CA23D0">
            <w:pPr>
              <w:pStyle w:val="Texttabulky"/>
              <w:jc w:val="both"/>
              <w:rPr>
                <w:rFonts w:cs="Arial"/>
              </w:rPr>
            </w:pPr>
            <w:r w:rsidRPr="00E30642">
              <w:rPr>
                <w:rFonts w:cs="Arial"/>
                <w:sz w:val="18"/>
                <w:szCs w:val="18"/>
              </w:rPr>
              <w:t xml:space="preserve">MARBORO stavebniny nám. 5. května </w:t>
            </w:r>
          </w:p>
        </w:tc>
        <w:tc>
          <w:tcPr>
            <w:tcW w:w="688" w:type="dxa"/>
            <w:tcBorders>
              <w:top w:val="single" w:sz="6" w:space="0" w:color="auto"/>
              <w:left w:val="single" w:sz="6" w:space="0" w:color="auto"/>
              <w:bottom w:val="single" w:sz="6" w:space="0" w:color="auto"/>
              <w:right w:val="single" w:sz="6" w:space="0" w:color="auto"/>
            </w:tcBorders>
          </w:tcPr>
          <w:p w14:paraId="0FD62A7B" w14:textId="77777777" w:rsidR="00CA23D0" w:rsidRPr="00E30642" w:rsidRDefault="00CA23D0" w:rsidP="00CA23D0">
            <w:pPr>
              <w:pStyle w:val="Texttabulky"/>
              <w:jc w:val="both"/>
              <w:rPr>
                <w:rFonts w:cs="Arial"/>
              </w:rPr>
            </w:pPr>
            <w:r w:rsidRPr="00E30642">
              <w:rPr>
                <w:rFonts w:cs="Arial"/>
                <w:sz w:val="18"/>
                <w:szCs w:val="18"/>
              </w:rPr>
              <w:t>0,45</w:t>
            </w:r>
          </w:p>
        </w:tc>
        <w:tc>
          <w:tcPr>
            <w:tcW w:w="2195" w:type="dxa"/>
            <w:tcBorders>
              <w:top w:val="single" w:sz="6" w:space="0" w:color="auto"/>
              <w:left w:val="single" w:sz="6" w:space="0" w:color="auto"/>
              <w:bottom w:val="single" w:sz="6" w:space="0" w:color="auto"/>
              <w:right w:val="single" w:sz="6" w:space="0" w:color="auto"/>
            </w:tcBorders>
          </w:tcPr>
          <w:p w14:paraId="262878EB" w14:textId="77777777" w:rsidR="00CA23D0" w:rsidRPr="00E30642" w:rsidRDefault="00CA23D0" w:rsidP="00CA23D0">
            <w:pPr>
              <w:pStyle w:val="Texttabulky"/>
              <w:jc w:val="both"/>
              <w:rPr>
                <w:rFonts w:cs="Arial"/>
              </w:rPr>
            </w:pPr>
            <w:r w:rsidRPr="00E30642">
              <w:rPr>
                <w:rFonts w:cs="Arial"/>
                <w:sz w:val="18"/>
                <w:szCs w:val="18"/>
              </w:rPr>
              <w:t xml:space="preserve">dostavba náměstí </w:t>
            </w:r>
          </w:p>
        </w:tc>
        <w:tc>
          <w:tcPr>
            <w:tcW w:w="1950" w:type="dxa"/>
            <w:tcBorders>
              <w:top w:val="single" w:sz="6" w:space="0" w:color="auto"/>
              <w:left w:val="single" w:sz="6" w:space="0" w:color="auto"/>
              <w:bottom w:val="single" w:sz="6" w:space="0" w:color="auto"/>
              <w:right w:val="single" w:sz="6" w:space="0" w:color="auto"/>
            </w:tcBorders>
          </w:tcPr>
          <w:p w14:paraId="79B386BD" w14:textId="77777777" w:rsidR="00CA23D0" w:rsidRPr="00E30642" w:rsidRDefault="00CA23D0" w:rsidP="00CA23D0">
            <w:pPr>
              <w:pStyle w:val="Texttabulky"/>
              <w:jc w:val="both"/>
              <w:rPr>
                <w:rFonts w:cs="Arial"/>
              </w:rPr>
            </w:pPr>
            <w:r w:rsidRPr="00E30642">
              <w:rPr>
                <w:rFonts w:cs="Arial"/>
                <w:sz w:val="18"/>
                <w:szCs w:val="18"/>
              </w:rPr>
              <w:t>v provozu</w:t>
            </w:r>
          </w:p>
        </w:tc>
      </w:tr>
      <w:tr w:rsidR="00CA23D0" w:rsidRPr="00E30642" w14:paraId="3F275D64"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2E9500B8" w14:textId="77777777" w:rsidR="00CA23D0" w:rsidRPr="00E30642" w:rsidRDefault="00CA23D0" w:rsidP="00CA23D0">
            <w:pPr>
              <w:pStyle w:val="Texttabulky"/>
              <w:jc w:val="both"/>
              <w:rPr>
                <w:rFonts w:cs="Arial"/>
              </w:rPr>
            </w:pPr>
            <w:r w:rsidRPr="00E30642">
              <w:rPr>
                <w:rFonts w:cs="Arial"/>
                <w:sz w:val="18"/>
                <w:szCs w:val="18"/>
              </w:rPr>
              <w:t xml:space="preserve">VI/10 </w:t>
            </w:r>
          </w:p>
        </w:tc>
        <w:tc>
          <w:tcPr>
            <w:tcW w:w="3177" w:type="dxa"/>
            <w:tcBorders>
              <w:top w:val="single" w:sz="6" w:space="0" w:color="auto"/>
              <w:left w:val="single" w:sz="6" w:space="0" w:color="auto"/>
              <w:bottom w:val="single" w:sz="6" w:space="0" w:color="auto"/>
              <w:right w:val="single" w:sz="6" w:space="0" w:color="auto"/>
            </w:tcBorders>
          </w:tcPr>
          <w:p w14:paraId="25495C33" w14:textId="77777777" w:rsidR="00CA23D0" w:rsidRPr="00E30642" w:rsidRDefault="00CA23D0" w:rsidP="00CA23D0">
            <w:pPr>
              <w:pStyle w:val="Texttabulky"/>
              <w:jc w:val="both"/>
              <w:rPr>
                <w:rFonts w:cs="Arial"/>
              </w:rPr>
            </w:pPr>
            <w:r w:rsidRPr="00E30642">
              <w:rPr>
                <w:rFonts w:cs="Arial"/>
                <w:sz w:val="18"/>
                <w:szCs w:val="18"/>
              </w:rPr>
              <w:t xml:space="preserve">TRABALKA st. dvůr, Oblouková ul. </w:t>
            </w:r>
          </w:p>
        </w:tc>
        <w:tc>
          <w:tcPr>
            <w:tcW w:w="688" w:type="dxa"/>
            <w:tcBorders>
              <w:top w:val="single" w:sz="6" w:space="0" w:color="auto"/>
              <w:left w:val="single" w:sz="6" w:space="0" w:color="auto"/>
              <w:bottom w:val="single" w:sz="6" w:space="0" w:color="auto"/>
              <w:right w:val="single" w:sz="6" w:space="0" w:color="auto"/>
            </w:tcBorders>
          </w:tcPr>
          <w:p w14:paraId="0A62E3B4" w14:textId="77777777" w:rsidR="00CA23D0" w:rsidRPr="00E30642" w:rsidRDefault="00CA23D0" w:rsidP="00CA23D0">
            <w:pPr>
              <w:pStyle w:val="Texttabulky"/>
              <w:jc w:val="both"/>
              <w:rPr>
                <w:rFonts w:cs="Arial"/>
              </w:rPr>
            </w:pPr>
            <w:r w:rsidRPr="00E30642">
              <w:rPr>
                <w:rFonts w:cs="Arial"/>
                <w:sz w:val="18"/>
                <w:szCs w:val="18"/>
              </w:rPr>
              <w:t xml:space="preserve"> 2,50 </w:t>
            </w:r>
          </w:p>
        </w:tc>
        <w:tc>
          <w:tcPr>
            <w:tcW w:w="2195" w:type="dxa"/>
            <w:tcBorders>
              <w:top w:val="single" w:sz="6" w:space="0" w:color="auto"/>
              <w:left w:val="single" w:sz="6" w:space="0" w:color="auto"/>
              <w:bottom w:val="single" w:sz="6" w:space="0" w:color="auto"/>
              <w:right w:val="single" w:sz="6" w:space="0" w:color="auto"/>
            </w:tcBorders>
          </w:tcPr>
          <w:p w14:paraId="0EC61555" w14:textId="77777777" w:rsidR="00CA23D0" w:rsidRPr="00E30642" w:rsidRDefault="00CA23D0" w:rsidP="00CA23D0">
            <w:pPr>
              <w:pStyle w:val="Texttabulky"/>
              <w:jc w:val="both"/>
              <w:rPr>
                <w:rFonts w:cs="Arial"/>
              </w:rPr>
            </w:pPr>
            <w:r w:rsidRPr="00E30642">
              <w:rPr>
                <w:rFonts w:cs="Arial"/>
                <w:sz w:val="18"/>
                <w:szCs w:val="18"/>
              </w:rPr>
              <w:t>trvalé bydlení po etapách</w:t>
            </w:r>
          </w:p>
        </w:tc>
        <w:tc>
          <w:tcPr>
            <w:tcW w:w="1950" w:type="dxa"/>
            <w:tcBorders>
              <w:top w:val="single" w:sz="6" w:space="0" w:color="auto"/>
              <w:left w:val="single" w:sz="6" w:space="0" w:color="auto"/>
              <w:bottom w:val="single" w:sz="6" w:space="0" w:color="auto"/>
              <w:right w:val="single" w:sz="6" w:space="0" w:color="auto"/>
            </w:tcBorders>
          </w:tcPr>
          <w:p w14:paraId="602D2668" w14:textId="77777777" w:rsidR="00CA23D0" w:rsidRPr="00E30642" w:rsidRDefault="00CA23D0" w:rsidP="00CA23D0">
            <w:pPr>
              <w:pStyle w:val="Texttabulky"/>
              <w:jc w:val="both"/>
              <w:rPr>
                <w:rFonts w:cs="Arial"/>
              </w:rPr>
            </w:pPr>
            <w:r w:rsidRPr="00E30642">
              <w:rPr>
                <w:rFonts w:cs="Arial"/>
                <w:sz w:val="18"/>
                <w:szCs w:val="18"/>
              </w:rPr>
              <w:t>v provozu</w:t>
            </w:r>
          </w:p>
        </w:tc>
      </w:tr>
      <w:tr w:rsidR="00CA23D0" w:rsidRPr="00E30642" w14:paraId="4AB55E22" w14:textId="77777777" w:rsidTr="00CA23D0">
        <w:trPr>
          <w:jc w:val="center"/>
        </w:trPr>
        <w:tc>
          <w:tcPr>
            <w:tcW w:w="668" w:type="dxa"/>
            <w:tcBorders>
              <w:top w:val="single" w:sz="6" w:space="0" w:color="auto"/>
              <w:left w:val="single" w:sz="6" w:space="0" w:color="auto"/>
              <w:bottom w:val="single" w:sz="6" w:space="0" w:color="auto"/>
              <w:right w:val="single" w:sz="6" w:space="0" w:color="auto"/>
            </w:tcBorders>
          </w:tcPr>
          <w:p w14:paraId="64369799" w14:textId="77777777" w:rsidR="00CA23D0" w:rsidRPr="00E30642" w:rsidRDefault="00CA23D0" w:rsidP="00CA23D0">
            <w:pPr>
              <w:pStyle w:val="Texttabulky"/>
              <w:jc w:val="both"/>
              <w:rPr>
                <w:rFonts w:cs="Arial"/>
              </w:rPr>
            </w:pPr>
            <w:r w:rsidRPr="00E30642">
              <w:rPr>
                <w:rFonts w:cs="Arial"/>
                <w:sz w:val="18"/>
                <w:szCs w:val="18"/>
              </w:rPr>
              <w:t xml:space="preserve">VI/16 </w:t>
            </w:r>
          </w:p>
        </w:tc>
        <w:tc>
          <w:tcPr>
            <w:tcW w:w="3177" w:type="dxa"/>
            <w:tcBorders>
              <w:top w:val="single" w:sz="6" w:space="0" w:color="auto"/>
              <w:left w:val="single" w:sz="6" w:space="0" w:color="auto"/>
              <w:bottom w:val="single" w:sz="6" w:space="0" w:color="auto"/>
              <w:right w:val="single" w:sz="6" w:space="0" w:color="auto"/>
            </w:tcBorders>
          </w:tcPr>
          <w:p w14:paraId="1D62B35B" w14:textId="77777777" w:rsidR="00CA23D0" w:rsidRPr="00E30642" w:rsidRDefault="00CA23D0" w:rsidP="00CA23D0">
            <w:pPr>
              <w:pStyle w:val="Texttabulky"/>
              <w:jc w:val="both"/>
              <w:rPr>
                <w:rFonts w:cs="Arial"/>
              </w:rPr>
            </w:pPr>
            <w:r w:rsidRPr="00E30642">
              <w:rPr>
                <w:rFonts w:cs="Arial"/>
                <w:sz w:val="18"/>
                <w:szCs w:val="18"/>
              </w:rPr>
              <w:t xml:space="preserve">MATĚJÍČEK st. dvůr, TJ START </w:t>
            </w:r>
          </w:p>
        </w:tc>
        <w:tc>
          <w:tcPr>
            <w:tcW w:w="688" w:type="dxa"/>
            <w:tcBorders>
              <w:top w:val="single" w:sz="6" w:space="0" w:color="auto"/>
              <w:left w:val="single" w:sz="6" w:space="0" w:color="auto"/>
              <w:bottom w:val="single" w:sz="6" w:space="0" w:color="auto"/>
              <w:right w:val="single" w:sz="6" w:space="0" w:color="auto"/>
            </w:tcBorders>
          </w:tcPr>
          <w:p w14:paraId="6E877DAD" w14:textId="77777777" w:rsidR="00CA23D0" w:rsidRPr="00E30642" w:rsidRDefault="00CA23D0" w:rsidP="00CA23D0">
            <w:pPr>
              <w:pStyle w:val="Texttabulky"/>
              <w:jc w:val="both"/>
              <w:rPr>
                <w:rFonts w:cs="Arial"/>
              </w:rPr>
            </w:pPr>
            <w:r w:rsidRPr="00E30642">
              <w:rPr>
                <w:rFonts w:cs="Arial"/>
                <w:sz w:val="18"/>
                <w:szCs w:val="18"/>
              </w:rPr>
              <w:t xml:space="preserve">0,20 </w:t>
            </w:r>
          </w:p>
        </w:tc>
        <w:tc>
          <w:tcPr>
            <w:tcW w:w="2195" w:type="dxa"/>
            <w:tcBorders>
              <w:top w:val="single" w:sz="6" w:space="0" w:color="auto"/>
              <w:left w:val="single" w:sz="6" w:space="0" w:color="auto"/>
              <w:bottom w:val="single" w:sz="6" w:space="0" w:color="auto"/>
              <w:right w:val="single" w:sz="6" w:space="0" w:color="auto"/>
            </w:tcBorders>
          </w:tcPr>
          <w:p w14:paraId="5EED4AF6" w14:textId="77777777" w:rsidR="00CA23D0" w:rsidRPr="00E30642" w:rsidRDefault="00CA23D0" w:rsidP="00CA23D0">
            <w:pPr>
              <w:pStyle w:val="Texttabulky"/>
              <w:jc w:val="both"/>
              <w:rPr>
                <w:rFonts w:cs="Arial"/>
              </w:rPr>
            </w:pPr>
            <w:r w:rsidRPr="00E30642">
              <w:rPr>
                <w:rFonts w:cs="Arial"/>
                <w:sz w:val="18"/>
                <w:szCs w:val="18"/>
              </w:rPr>
              <w:t>sport. loděnice</w:t>
            </w:r>
          </w:p>
        </w:tc>
        <w:tc>
          <w:tcPr>
            <w:tcW w:w="1950" w:type="dxa"/>
            <w:tcBorders>
              <w:top w:val="single" w:sz="6" w:space="0" w:color="auto"/>
              <w:left w:val="single" w:sz="6" w:space="0" w:color="auto"/>
              <w:bottom w:val="single" w:sz="6" w:space="0" w:color="auto"/>
              <w:right w:val="single" w:sz="6" w:space="0" w:color="auto"/>
            </w:tcBorders>
          </w:tcPr>
          <w:p w14:paraId="5061959C" w14:textId="77777777" w:rsidR="00CA23D0" w:rsidRPr="00E30642" w:rsidRDefault="00CA23D0" w:rsidP="00CA23D0">
            <w:pPr>
              <w:pStyle w:val="Texttabulky"/>
              <w:jc w:val="both"/>
              <w:rPr>
                <w:rFonts w:cs="Arial"/>
              </w:rPr>
            </w:pPr>
            <w:r w:rsidRPr="00E30642">
              <w:rPr>
                <w:rFonts w:cs="Arial"/>
                <w:sz w:val="18"/>
                <w:szCs w:val="18"/>
              </w:rPr>
              <w:t>v provozu</w:t>
            </w:r>
          </w:p>
        </w:tc>
      </w:tr>
      <w:tr w:rsidR="00CA23D0" w:rsidRPr="00E30642" w14:paraId="78132B8F" w14:textId="77777777" w:rsidTr="00CA23D0">
        <w:trPr>
          <w:jc w:val="center"/>
        </w:trPr>
        <w:tc>
          <w:tcPr>
            <w:tcW w:w="3845" w:type="dxa"/>
            <w:gridSpan w:val="2"/>
            <w:tcBorders>
              <w:top w:val="single" w:sz="6" w:space="0" w:color="auto"/>
              <w:left w:val="single" w:sz="6" w:space="0" w:color="auto"/>
              <w:bottom w:val="single" w:sz="6" w:space="0" w:color="auto"/>
              <w:right w:val="single" w:sz="6" w:space="0" w:color="auto"/>
            </w:tcBorders>
          </w:tcPr>
          <w:p w14:paraId="2AE91DBD" w14:textId="77777777" w:rsidR="00CA23D0" w:rsidRPr="00E30642" w:rsidRDefault="00CA23D0" w:rsidP="00CA23D0">
            <w:pPr>
              <w:pStyle w:val="Zkladntext"/>
              <w:jc w:val="both"/>
              <w:rPr>
                <w:rFonts w:ascii="Arial" w:hAnsi="Arial" w:cs="Arial"/>
              </w:rPr>
            </w:pPr>
            <w:r w:rsidRPr="00E30642">
              <w:rPr>
                <w:rFonts w:ascii="Arial" w:hAnsi="Arial" w:cs="Arial"/>
                <w:sz w:val="18"/>
                <w:szCs w:val="18"/>
              </w:rPr>
              <w:t xml:space="preserve">Celkem 19 areálů </w:t>
            </w:r>
          </w:p>
        </w:tc>
        <w:tc>
          <w:tcPr>
            <w:tcW w:w="688" w:type="dxa"/>
            <w:tcBorders>
              <w:top w:val="single" w:sz="6" w:space="0" w:color="auto"/>
              <w:left w:val="single" w:sz="6" w:space="0" w:color="auto"/>
              <w:bottom w:val="single" w:sz="6" w:space="0" w:color="auto"/>
              <w:right w:val="single" w:sz="6" w:space="0" w:color="auto"/>
            </w:tcBorders>
          </w:tcPr>
          <w:p w14:paraId="4C2697E7" w14:textId="77777777" w:rsidR="00CA23D0" w:rsidRPr="00E30642" w:rsidRDefault="00CA23D0" w:rsidP="00CA23D0">
            <w:pPr>
              <w:pStyle w:val="Texttabulky"/>
              <w:jc w:val="both"/>
              <w:rPr>
                <w:rFonts w:cs="Arial"/>
              </w:rPr>
            </w:pPr>
            <w:r w:rsidRPr="00E30642">
              <w:rPr>
                <w:rFonts w:cs="Arial"/>
                <w:sz w:val="18"/>
                <w:szCs w:val="18"/>
              </w:rPr>
              <w:t xml:space="preserve">14,91 </w:t>
            </w:r>
          </w:p>
        </w:tc>
        <w:tc>
          <w:tcPr>
            <w:tcW w:w="4145" w:type="dxa"/>
            <w:gridSpan w:val="2"/>
            <w:tcBorders>
              <w:top w:val="single" w:sz="6" w:space="0" w:color="auto"/>
              <w:left w:val="single" w:sz="6" w:space="0" w:color="auto"/>
              <w:bottom w:val="single" w:sz="6" w:space="0" w:color="auto"/>
              <w:right w:val="single" w:sz="6" w:space="0" w:color="auto"/>
            </w:tcBorders>
          </w:tcPr>
          <w:p w14:paraId="7F9E5441" w14:textId="77777777" w:rsidR="00CA23D0" w:rsidRPr="00E30642" w:rsidRDefault="00CA23D0" w:rsidP="00CA23D0">
            <w:pPr>
              <w:pStyle w:val="Zkladntext"/>
              <w:jc w:val="both"/>
              <w:rPr>
                <w:rFonts w:ascii="Arial" w:hAnsi="Arial" w:cs="Arial"/>
              </w:rPr>
            </w:pPr>
          </w:p>
        </w:tc>
      </w:tr>
      <w:tr w:rsidR="00CA23D0" w:rsidRPr="00E30642" w14:paraId="666D4F07" w14:textId="77777777" w:rsidTr="00CA23D0">
        <w:trPr>
          <w:cantSplit/>
          <w:jc w:val="center"/>
        </w:trPr>
        <w:tc>
          <w:tcPr>
            <w:tcW w:w="8678" w:type="dxa"/>
            <w:gridSpan w:val="5"/>
            <w:tcBorders>
              <w:top w:val="single" w:sz="6" w:space="0" w:color="auto"/>
              <w:left w:val="single" w:sz="6" w:space="0" w:color="auto"/>
              <w:bottom w:val="single" w:sz="6" w:space="0" w:color="auto"/>
              <w:right w:val="single" w:sz="6" w:space="0" w:color="auto"/>
            </w:tcBorders>
          </w:tcPr>
          <w:p w14:paraId="127B0729" w14:textId="77777777" w:rsidR="00CA23D0" w:rsidRPr="00E30642" w:rsidRDefault="00CA23D0" w:rsidP="00CA23D0">
            <w:pPr>
              <w:pStyle w:val="Texttabulky"/>
              <w:jc w:val="both"/>
              <w:rPr>
                <w:rFonts w:cs="Arial"/>
              </w:rPr>
            </w:pPr>
            <w:r w:rsidRPr="00E30642">
              <w:rPr>
                <w:rFonts w:cs="Arial"/>
                <w:sz w:val="18"/>
                <w:szCs w:val="18"/>
              </w:rPr>
              <w:t xml:space="preserve">Z ostatních výrobních služeb se doporučují postupně vymístit  zejména autoopravárenské služby, lokalizované v "čistém obytném území" - Bělá, Škrabky, Jalůvčí a Horní Oldřichov </w:t>
            </w:r>
          </w:p>
          <w:p w14:paraId="14CE6D44" w14:textId="77777777" w:rsidR="00CA23D0" w:rsidRPr="00E30642" w:rsidRDefault="00CA23D0" w:rsidP="00CA23D0">
            <w:pPr>
              <w:pStyle w:val="Zkladntext"/>
              <w:jc w:val="both"/>
              <w:rPr>
                <w:rFonts w:ascii="Arial" w:hAnsi="Arial" w:cs="Arial"/>
              </w:rPr>
            </w:pPr>
          </w:p>
          <w:p w14:paraId="4E42741D" w14:textId="77777777" w:rsidR="00CA23D0" w:rsidRPr="00E30642" w:rsidRDefault="00CA23D0" w:rsidP="00CA23D0">
            <w:pPr>
              <w:pStyle w:val="Zkladntext"/>
              <w:jc w:val="both"/>
              <w:rPr>
                <w:rFonts w:ascii="Arial" w:hAnsi="Arial" w:cs="Arial"/>
              </w:rPr>
            </w:pPr>
          </w:p>
        </w:tc>
      </w:tr>
    </w:tbl>
    <w:p w14:paraId="0A7DBF39" w14:textId="77777777" w:rsidR="00CA23D0" w:rsidRPr="00E30642" w:rsidRDefault="00CA23D0" w:rsidP="00CA23D0">
      <w:pPr>
        <w:autoSpaceDE w:val="0"/>
        <w:autoSpaceDN w:val="0"/>
        <w:adjustRightInd w:val="0"/>
        <w:jc w:val="both"/>
        <w:rPr>
          <w:rFonts w:ascii="Arial" w:hAnsi="Arial" w:cs="Arial"/>
          <w:sz w:val="20"/>
        </w:rPr>
      </w:pPr>
    </w:p>
    <w:p w14:paraId="151DB4F7" w14:textId="77777777" w:rsidR="00D3579D" w:rsidRDefault="00CA23D0" w:rsidP="00CA23D0">
      <w:pPr>
        <w:pStyle w:val="Zkladntext"/>
        <w:jc w:val="both"/>
        <w:rPr>
          <w:rFonts w:ascii="Arial" w:hAnsi="Arial" w:cs="Arial"/>
          <w:b/>
          <w:bCs/>
        </w:rPr>
      </w:pPr>
      <w:r w:rsidRPr="00E30642">
        <w:rPr>
          <w:rFonts w:ascii="Arial" w:hAnsi="Arial" w:cs="Arial"/>
          <w:b/>
          <w:bCs/>
        </w:rPr>
        <w:t xml:space="preserve">         </w:t>
      </w:r>
    </w:p>
    <w:p w14:paraId="2FB4379B" w14:textId="77777777" w:rsidR="00CA23D0" w:rsidRPr="00E30642" w:rsidRDefault="00CA23D0" w:rsidP="00CA23D0">
      <w:pPr>
        <w:pStyle w:val="Zkladntext"/>
        <w:jc w:val="both"/>
        <w:rPr>
          <w:rFonts w:ascii="Arial" w:hAnsi="Arial" w:cs="Arial"/>
        </w:rPr>
      </w:pPr>
      <w:r w:rsidRPr="00E30642">
        <w:rPr>
          <w:rFonts w:ascii="Arial" w:hAnsi="Arial" w:cs="Arial"/>
          <w:b/>
          <w:bCs/>
        </w:rPr>
        <w:t xml:space="preserve"> LOKALIZACE AREÁLŮ PO SEKTORECH MĚSTA</w:t>
      </w:r>
      <w:r w:rsidRPr="00E30642">
        <w:rPr>
          <w:rFonts w:ascii="Arial" w:hAnsi="Arial" w:cs="Arial"/>
        </w:rPr>
        <w:t xml:space="preserve"> </w:t>
      </w:r>
    </w:p>
    <w:tbl>
      <w:tblPr>
        <w:tblW w:w="0" w:type="auto"/>
        <w:jc w:val="center"/>
        <w:tblLayout w:type="fixed"/>
        <w:tblCellMar>
          <w:left w:w="42" w:type="dxa"/>
          <w:right w:w="42" w:type="dxa"/>
        </w:tblCellMar>
        <w:tblLook w:val="0000" w:firstRow="0" w:lastRow="0" w:firstColumn="0" w:lastColumn="0" w:noHBand="0" w:noVBand="0"/>
      </w:tblPr>
      <w:tblGrid>
        <w:gridCol w:w="664"/>
        <w:gridCol w:w="1037"/>
        <w:gridCol w:w="1037"/>
        <w:gridCol w:w="1037"/>
        <w:gridCol w:w="1037"/>
        <w:gridCol w:w="1037"/>
        <w:gridCol w:w="1037"/>
        <w:gridCol w:w="1037"/>
      </w:tblGrid>
      <w:tr w:rsidR="00CA23D0" w:rsidRPr="00E30642" w14:paraId="40C63AF6" w14:textId="77777777" w:rsidTr="00CA23D0">
        <w:trPr>
          <w:jc w:val="center"/>
        </w:trPr>
        <w:tc>
          <w:tcPr>
            <w:tcW w:w="664" w:type="dxa"/>
            <w:vMerge w:val="restart"/>
            <w:tcBorders>
              <w:top w:val="single" w:sz="6" w:space="0" w:color="auto"/>
              <w:left w:val="single" w:sz="6" w:space="0" w:color="auto"/>
              <w:right w:val="single" w:sz="6" w:space="0" w:color="auto"/>
            </w:tcBorders>
          </w:tcPr>
          <w:p w14:paraId="2FC600EA" w14:textId="77777777" w:rsidR="00CA23D0" w:rsidRPr="00E30642" w:rsidRDefault="00CA23D0" w:rsidP="00CA23D0">
            <w:pPr>
              <w:pStyle w:val="Zkladntext"/>
              <w:jc w:val="both"/>
              <w:rPr>
                <w:rFonts w:ascii="Arial" w:hAnsi="Arial" w:cs="Arial"/>
              </w:rPr>
            </w:pPr>
          </w:p>
          <w:p w14:paraId="5A1DCF0C" w14:textId="77777777" w:rsidR="00CA23D0" w:rsidRPr="00E30642" w:rsidRDefault="00CA23D0" w:rsidP="00CA23D0">
            <w:pPr>
              <w:pStyle w:val="Texttabulky"/>
              <w:jc w:val="both"/>
              <w:rPr>
                <w:rFonts w:cs="Arial"/>
              </w:rPr>
            </w:pPr>
            <w:r w:rsidRPr="00E30642">
              <w:rPr>
                <w:rFonts w:cs="Arial"/>
                <w:b/>
                <w:bCs/>
                <w:sz w:val="18"/>
                <w:szCs w:val="18"/>
              </w:rPr>
              <w:t>číslo</w:t>
            </w:r>
          </w:p>
          <w:p w14:paraId="449CE87C" w14:textId="77777777" w:rsidR="00CA23D0" w:rsidRPr="00E30642" w:rsidRDefault="00CA23D0" w:rsidP="00CA23D0">
            <w:pPr>
              <w:pStyle w:val="Texttabulky"/>
              <w:jc w:val="both"/>
              <w:rPr>
                <w:rFonts w:cs="Arial"/>
              </w:rPr>
            </w:pPr>
            <w:r w:rsidRPr="00E30642">
              <w:rPr>
                <w:rFonts w:cs="Arial"/>
                <w:b/>
                <w:bCs/>
                <w:sz w:val="18"/>
                <w:szCs w:val="18"/>
              </w:rPr>
              <w:t>sektoru</w:t>
            </w:r>
          </w:p>
        </w:tc>
        <w:tc>
          <w:tcPr>
            <w:tcW w:w="3111" w:type="dxa"/>
            <w:gridSpan w:val="3"/>
            <w:tcBorders>
              <w:top w:val="single" w:sz="6" w:space="0" w:color="auto"/>
              <w:left w:val="single" w:sz="6" w:space="0" w:color="auto"/>
              <w:bottom w:val="single" w:sz="6" w:space="0" w:color="auto"/>
              <w:right w:val="single" w:sz="6" w:space="0" w:color="auto"/>
            </w:tcBorders>
          </w:tcPr>
          <w:p w14:paraId="528FB0D1"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výchozí  stav</w:t>
            </w:r>
          </w:p>
        </w:tc>
        <w:tc>
          <w:tcPr>
            <w:tcW w:w="4148" w:type="dxa"/>
            <w:gridSpan w:val="4"/>
            <w:tcBorders>
              <w:top w:val="single" w:sz="6" w:space="0" w:color="auto"/>
              <w:left w:val="single" w:sz="6" w:space="0" w:color="auto"/>
              <w:bottom w:val="single" w:sz="6" w:space="0" w:color="auto"/>
              <w:right w:val="single" w:sz="6" w:space="0" w:color="auto"/>
            </w:tcBorders>
          </w:tcPr>
          <w:p w14:paraId="6D7F1E9C"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návrh v ha</w:t>
            </w:r>
          </w:p>
        </w:tc>
      </w:tr>
      <w:tr w:rsidR="00CA23D0" w:rsidRPr="00E30642" w14:paraId="5A720067" w14:textId="77777777" w:rsidTr="00CA23D0">
        <w:trPr>
          <w:jc w:val="center"/>
        </w:trPr>
        <w:tc>
          <w:tcPr>
            <w:tcW w:w="664" w:type="dxa"/>
            <w:vMerge/>
            <w:tcBorders>
              <w:left w:val="single" w:sz="6" w:space="0" w:color="auto"/>
              <w:right w:val="single" w:sz="6" w:space="0" w:color="auto"/>
            </w:tcBorders>
          </w:tcPr>
          <w:p w14:paraId="0FD0C59D" w14:textId="77777777" w:rsidR="00CA23D0" w:rsidRPr="00E30642" w:rsidRDefault="00CA23D0" w:rsidP="00CA23D0">
            <w:pPr>
              <w:pStyle w:val="Zkladntext"/>
              <w:jc w:val="both"/>
              <w:rPr>
                <w:rFonts w:ascii="Arial" w:hAnsi="Arial" w:cs="Arial"/>
              </w:rPr>
            </w:pPr>
          </w:p>
        </w:tc>
        <w:tc>
          <w:tcPr>
            <w:tcW w:w="2074" w:type="dxa"/>
            <w:gridSpan w:val="2"/>
            <w:tcBorders>
              <w:top w:val="single" w:sz="6" w:space="0" w:color="auto"/>
              <w:left w:val="single" w:sz="6" w:space="0" w:color="auto"/>
              <w:bottom w:val="single" w:sz="6" w:space="0" w:color="auto"/>
              <w:right w:val="single" w:sz="6" w:space="0" w:color="auto"/>
            </w:tcBorders>
          </w:tcPr>
          <w:p w14:paraId="5739CE22"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počet</w:t>
            </w:r>
          </w:p>
        </w:tc>
        <w:tc>
          <w:tcPr>
            <w:tcW w:w="1037" w:type="dxa"/>
            <w:vMerge w:val="restart"/>
            <w:tcBorders>
              <w:top w:val="single" w:sz="6" w:space="0" w:color="auto"/>
              <w:left w:val="single" w:sz="6" w:space="0" w:color="auto"/>
              <w:right w:val="single" w:sz="6" w:space="0" w:color="auto"/>
            </w:tcBorders>
          </w:tcPr>
          <w:p w14:paraId="5FA5CDBC" w14:textId="77777777" w:rsidR="00CA23D0" w:rsidRPr="00E30642" w:rsidRDefault="00CA23D0" w:rsidP="00CA23D0">
            <w:pPr>
              <w:pStyle w:val="Texttabulky"/>
              <w:jc w:val="both"/>
              <w:rPr>
                <w:rFonts w:cs="Arial"/>
              </w:rPr>
            </w:pPr>
            <w:r w:rsidRPr="00E30642">
              <w:rPr>
                <w:rFonts w:cs="Arial"/>
                <w:b/>
                <w:bCs/>
                <w:sz w:val="18"/>
                <w:szCs w:val="18"/>
              </w:rPr>
              <w:t>plocha</w:t>
            </w:r>
          </w:p>
          <w:p w14:paraId="76D287E6" w14:textId="77777777" w:rsidR="00CA23D0" w:rsidRPr="00E30642" w:rsidRDefault="00CA23D0" w:rsidP="00CA23D0">
            <w:pPr>
              <w:pStyle w:val="Texttabulky"/>
              <w:jc w:val="both"/>
              <w:rPr>
                <w:rFonts w:cs="Arial"/>
              </w:rPr>
            </w:pPr>
            <w:r w:rsidRPr="00E30642">
              <w:rPr>
                <w:rFonts w:cs="Arial"/>
                <w:b/>
                <w:bCs/>
                <w:sz w:val="18"/>
                <w:szCs w:val="18"/>
              </w:rPr>
              <w:t>v ha</w:t>
            </w:r>
          </w:p>
        </w:tc>
        <w:tc>
          <w:tcPr>
            <w:tcW w:w="1037" w:type="dxa"/>
            <w:vMerge w:val="restart"/>
            <w:tcBorders>
              <w:top w:val="single" w:sz="6" w:space="0" w:color="auto"/>
              <w:left w:val="single" w:sz="6" w:space="0" w:color="auto"/>
              <w:right w:val="single" w:sz="6" w:space="0" w:color="auto"/>
            </w:tcBorders>
          </w:tcPr>
          <w:p w14:paraId="05B48442" w14:textId="77777777" w:rsidR="00CA23D0" w:rsidRPr="00E30642" w:rsidRDefault="00CA23D0" w:rsidP="00CA23D0">
            <w:pPr>
              <w:pStyle w:val="Texttabulky"/>
              <w:jc w:val="both"/>
              <w:rPr>
                <w:rFonts w:cs="Arial"/>
              </w:rPr>
            </w:pPr>
            <w:r w:rsidRPr="00E30642">
              <w:rPr>
                <w:rFonts w:cs="Arial"/>
                <w:b/>
                <w:bCs/>
                <w:sz w:val="18"/>
                <w:szCs w:val="18"/>
              </w:rPr>
              <w:t xml:space="preserve">změna  funkce </w:t>
            </w:r>
          </w:p>
        </w:tc>
        <w:tc>
          <w:tcPr>
            <w:tcW w:w="1037" w:type="dxa"/>
            <w:vMerge w:val="restart"/>
            <w:tcBorders>
              <w:top w:val="single" w:sz="6" w:space="0" w:color="auto"/>
              <w:left w:val="single" w:sz="6" w:space="0" w:color="auto"/>
              <w:right w:val="single" w:sz="6" w:space="0" w:color="auto"/>
            </w:tcBorders>
          </w:tcPr>
          <w:p w14:paraId="79429BA2" w14:textId="77777777" w:rsidR="00CA23D0" w:rsidRPr="00E30642" w:rsidRDefault="00CA23D0" w:rsidP="00CA23D0">
            <w:pPr>
              <w:pStyle w:val="Texttabulky"/>
              <w:jc w:val="both"/>
              <w:rPr>
                <w:rFonts w:cs="Arial"/>
              </w:rPr>
            </w:pPr>
            <w:r w:rsidRPr="00E30642">
              <w:rPr>
                <w:rFonts w:cs="Arial"/>
                <w:b/>
                <w:bCs/>
                <w:sz w:val="18"/>
                <w:szCs w:val="18"/>
              </w:rPr>
              <w:t>1. a 2. etapa</w:t>
            </w:r>
          </w:p>
        </w:tc>
        <w:tc>
          <w:tcPr>
            <w:tcW w:w="1037" w:type="dxa"/>
            <w:vMerge w:val="restart"/>
            <w:tcBorders>
              <w:top w:val="single" w:sz="6" w:space="0" w:color="auto"/>
              <w:left w:val="single" w:sz="6" w:space="0" w:color="auto"/>
              <w:right w:val="single" w:sz="6" w:space="0" w:color="auto"/>
            </w:tcBorders>
          </w:tcPr>
          <w:p w14:paraId="0B5996E2" w14:textId="77777777" w:rsidR="00CA23D0" w:rsidRPr="00E30642" w:rsidRDefault="00CA23D0" w:rsidP="00CA23D0">
            <w:pPr>
              <w:pStyle w:val="Texttabulky"/>
              <w:jc w:val="both"/>
              <w:rPr>
                <w:rFonts w:cs="Arial"/>
              </w:rPr>
            </w:pPr>
            <w:r w:rsidRPr="00E30642">
              <w:rPr>
                <w:rFonts w:cs="Arial"/>
                <w:b/>
                <w:bCs/>
                <w:sz w:val="18"/>
                <w:szCs w:val="18"/>
              </w:rPr>
              <w:t xml:space="preserve">celkem </w:t>
            </w:r>
          </w:p>
        </w:tc>
        <w:tc>
          <w:tcPr>
            <w:tcW w:w="1037" w:type="dxa"/>
            <w:vMerge w:val="restart"/>
            <w:tcBorders>
              <w:top w:val="single" w:sz="6" w:space="0" w:color="auto"/>
              <w:left w:val="single" w:sz="6" w:space="0" w:color="auto"/>
              <w:right w:val="single" w:sz="6" w:space="0" w:color="auto"/>
            </w:tcBorders>
          </w:tcPr>
          <w:p w14:paraId="06FE077D" w14:textId="77777777" w:rsidR="00CA23D0" w:rsidRPr="00E30642" w:rsidRDefault="00CA23D0" w:rsidP="00CA23D0">
            <w:pPr>
              <w:pStyle w:val="Texttabulky"/>
              <w:jc w:val="both"/>
              <w:rPr>
                <w:rFonts w:cs="Arial"/>
              </w:rPr>
            </w:pPr>
            <w:r w:rsidRPr="00E30642">
              <w:rPr>
                <w:rFonts w:cs="Arial"/>
                <w:b/>
                <w:bCs/>
                <w:sz w:val="18"/>
                <w:szCs w:val="18"/>
              </w:rPr>
              <w:t>výhledové rezervy</w:t>
            </w:r>
          </w:p>
        </w:tc>
      </w:tr>
      <w:tr w:rsidR="00CA23D0" w:rsidRPr="00E30642" w14:paraId="65D79DE0" w14:textId="77777777" w:rsidTr="00CA23D0">
        <w:trPr>
          <w:jc w:val="center"/>
        </w:trPr>
        <w:tc>
          <w:tcPr>
            <w:tcW w:w="664" w:type="dxa"/>
            <w:vMerge/>
            <w:tcBorders>
              <w:left w:val="single" w:sz="6" w:space="0" w:color="auto"/>
              <w:bottom w:val="single" w:sz="6" w:space="0" w:color="auto"/>
              <w:right w:val="single" w:sz="6" w:space="0" w:color="auto"/>
            </w:tcBorders>
          </w:tcPr>
          <w:p w14:paraId="62865FE2" w14:textId="77777777" w:rsidR="00CA23D0" w:rsidRPr="00E30642" w:rsidRDefault="00CA23D0" w:rsidP="00CA23D0">
            <w:pPr>
              <w:pStyle w:val="Zkladntext"/>
              <w:jc w:val="both"/>
              <w:rPr>
                <w:rFonts w:ascii="Arial" w:hAnsi="Arial" w:cs="Arial"/>
              </w:rPr>
            </w:pPr>
          </w:p>
        </w:tc>
        <w:tc>
          <w:tcPr>
            <w:tcW w:w="1037" w:type="dxa"/>
            <w:tcBorders>
              <w:top w:val="single" w:sz="6" w:space="0" w:color="auto"/>
              <w:left w:val="single" w:sz="6" w:space="0" w:color="auto"/>
              <w:bottom w:val="single" w:sz="6" w:space="0" w:color="auto"/>
              <w:right w:val="single" w:sz="6" w:space="0" w:color="auto"/>
            </w:tcBorders>
          </w:tcPr>
          <w:p w14:paraId="58195397" w14:textId="77777777" w:rsidR="00CA23D0" w:rsidRPr="00E30642" w:rsidRDefault="00CA23D0" w:rsidP="00CA23D0">
            <w:pPr>
              <w:pStyle w:val="Texttabulky"/>
              <w:jc w:val="both"/>
              <w:rPr>
                <w:rFonts w:cs="Arial"/>
              </w:rPr>
            </w:pPr>
            <w:r w:rsidRPr="00E30642">
              <w:rPr>
                <w:rFonts w:cs="Arial"/>
                <w:b/>
                <w:bCs/>
                <w:sz w:val="18"/>
                <w:szCs w:val="18"/>
              </w:rPr>
              <w:t>areálů</w:t>
            </w:r>
          </w:p>
        </w:tc>
        <w:tc>
          <w:tcPr>
            <w:tcW w:w="1037" w:type="dxa"/>
            <w:tcBorders>
              <w:top w:val="single" w:sz="6" w:space="0" w:color="auto"/>
              <w:left w:val="single" w:sz="6" w:space="0" w:color="auto"/>
              <w:bottom w:val="single" w:sz="6" w:space="0" w:color="auto"/>
              <w:right w:val="single" w:sz="6" w:space="0" w:color="auto"/>
            </w:tcBorders>
          </w:tcPr>
          <w:p w14:paraId="5EA8B6AC" w14:textId="77777777" w:rsidR="00CA23D0" w:rsidRPr="00E30642" w:rsidRDefault="00CA23D0" w:rsidP="00CA23D0">
            <w:pPr>
              <w:pStyle w:val="Texttabulky"/>
              <w:jc w:val="both"/>
              <w:rPr>
                <w:rFonts w:cs="Arial"/>
              </w:rPr>
            </w:pPr>
            <w:r w:rsidRPr="00E30642">
              <w:rPr>
                <w:rFonts w:cs="Arial"/>
                <w:b/>
                <w:bCs/>
                <w:sz w:val="18"/>
                <w:szCs w:val="18"/>
              </w:rPr>
              <w:t>pracovníků</w:t>
            </w:r>
          </w:p>
        </w:tc>
        <w:tc>
          <w:tcPr>
            <w:tcW w:w="1037" w:type="dxa"/>
            <w:vMerge/>
            <w:tcBorders>
              <w:left w:val="single" w:sz="6" w:space="0" w:color="auto"/>
              <w:bottom w:val="single" w:sz="6" w:space="0" w:color="auto"/>
              <w:right w:val="single" w:sz="6" w:space="0" w:color="auto"/>
            </w:tcBorders>
          </w:tcPr>
          <w:p w14:paraId="0974D721" w14:textId="77777777" w:rsidR="00CA23D0" w:rsidRPr="00E30642" w:rsidRDefault="00CA23D0" w:rsidP="00CA23D0">
            <w:pPr>
              <w:pStyle w:val="Zkladntext"/>
              <w:jc w:val="both"/>
              <w:rPr>
                <w:rFonts w:ascii="Arial" w:hAnsi="Arial" w:cs="Arial"/>
              </w:rPr>
            </w:pPr>
          </w:p>
        </w:tc>
        <w:tc>
          <w:tcPr>
            <w:tcW w:w="1037" w:type="dxa"/>
            <w:vMerge/>
            <w:tcBorders>
              <w:left w:val="single" w:sz="6" w:space="0" w:color="auto"/>
              <w:bottom w:val="single" w:sz="6" w:space="0" w:color="auto"/>
              <w:right w:val="single" w:sz="6" w:space="0" w:color="auto"/>
            </w:tcBorders>
          </w:tcPr>
          <w:p w14:paraId="626DBD04" w14:textId="77777777" w:rsidR="00CA23D0" w:rsidRPr="00E30642" w:rsidRDefault="00CA23D0" w:rsidP="00CA23D0">
            <w:pPr>
              <w:pStyle w:val="Zkladntext"/>
              <w:jc w:val="both"/>
              <w:rPr>
                <w:rFonts w:ascii="Arial" w:hAnsi="Arial" w:cs="Arial"/>
              </w:rPr>
            </w:pPr>
          </w:p>
        </w:tc>
        <w:tc>
          <w:tcPr>
            <w:tcW w:w="1037" w:type="dxa"/>
            <w:vMerge/>
            <w:tcBorders>
              <w:left w:val="single" w:sz="6" w:space="0" w:color="auto"/>
              <w:bottom w:val="single" w:sz="6" w:space="0" w:color="auto"/>
              <w:right w:val="single" w:sz="6" w:space="0" w:color="auto"/>
            </w:tcBorders>
          </w:tcPr>
          <w:p w14:paraId="26F92CDA" w14:textId="77777777" w:rsidR="00CA23D0" w:rsidRPr="00E30642" w:rsidRDefault="00CA23D0" w:rsidP="00CA23D0">
            <w:pPr>
              <w:pStyle w:val="Zkladntext"/>
              <w:jc w:val="both"/>
              <w:rPr>
                <w:rFonts w:ascii="Arial" w:hAnsi="Arial" w:cs="Arial"/>
              </w:rPr>
            </w:pPr>
          </w:p>
        </w:tc>
        <w:tc>
          <w:tcPr>
            <w:tcW w:w="1037" w:type="dxa"/>
            <w:vMerge/>
            <w:tcBorders>
              <w:left w:val="single" w:sz="6" w:space="0" w:color="auto"/>
              <w:bottom w:val="single" w:sz="6" w:space="0" w:color="auto"/>
              <w:right w:val="single" w:sz="6" w:space="0" w:color="auto"/>
            </w:tcBorders>
          </w:tcPr>
          <w:p w14:paraId="403A7E56" w14:textId="77777777" w:rsidR="00CA23D0" w:rsidRPr="00E30642" w:rsidRDefault="00CA23D0" w:rsidP="00CA23D0">
            <w:pPr>
              <w:pStyle w:val="Zkladntext"/>
              <w:jc w:val="both"/>
              <w:rPr>
                <w:rFonts w:ascii="Arial" w:hAnsi="Arial" w:cs="Arial"/>
              </w:rPr>
            </w:pPr>
          </w:p>
        </w:tc>
        <w:tc>
          <w:tcPr>
            <w:tcW w:w="1037" w:type="dxa"/>
            <w:vMerge/>
            <w:tcBorders>
              <w:left w:val="single" w:sz="6" w:space="0" w:color="auto"/>
              <w:bottom w:val="single" w:sz="6" w:space="0" w:color="auto"/>
              <w:right w:val="single" w:sz="6" w:space="0" w:color="auto"/>
            </w:tcBorders>
          </w:tcPr>
          <w:p w14:paraId="1F0D8C99" w14:textId="77777777" w:rsidR="00CA23D0" w:rsidRPr="00E30642" w:rsidRDefault="00CA23D0" w:rsidP="00CA23D0">
            <w:pPr>
              <w:pStyle w:val="Zkladntext"/>
              <w:jc w:val="both"/>
              <w:rPr>
                <w:rFonts w:ascii="Arial" w:hAnsi="Arial" w:cs="Arial"/>
              </w:rPr>
            </w:pPr>
          </w:p>
        </w:tc>
      </w:tr>
      <w:tr w:rsidR="00CA23D0" w:rsidRPr="00E30642" w14:paraId="368C253B" w14:textId="77777777" w:rsidTr="00CA23D0">
        <w:trPr>
          <w:jc w:val="center"/>
        </w:trPr>
        <w:tc>
          <w:tcPr>
            <w:tcW w:w="664" w:type="dxa"/>
            <w:tcBorders>
              <w:top w:val="single" w:sz="6" w:space="0" w:color="auto"/>
              <w:left w:val="single" w:sz="6" w:space="0" w:color="auto"/>
              <w:bottom w:val="single" w:sz="6" w:space="0" w:color="auto"/>
              <w:right w:val="single" w:sz="6" w:space="0" w:color="auto"/>
            </w:tcBorders>
          </w:tcPr>
          <w:p w14:paraId="1BD0817B" w14:textId="77777777" w:rsidR="00CA23D0" w:rsidRPr="00E30642" w:rsidRDefault="00CA23D0" w:rsidP="00CA23D0">
            <w:pPr>
              <w:pStyle w:val="Texttabulky"/>
              <w:jc w:val="both"/>
              <w:rPr>
                <w:rFonts w:cs="Arial"/>
              </w:rPr>
            </w:pPr>
            <w:r w:rsidRPr="00E30642">
              <w:rPr>
                <w:rFonts w:cs="Arial"/>
                <w:b/>
                <w:bCs/>
                <w:sz w:val="18"/>
                <w:szCs w:val="18"/>
              </w:rPr>
              <w:t>I</w:t>
            </w:r>
          </w:p>
        </w:tc>
        <w:tc>
          <w:tcPr>
            <w:tcW w:w="1037" w:type="dxa"/>
            <w:tcBorders>
              <w:top w:val="single" w:sz="6" w:space="0" w:color="auto"/>
              <w:left w:val="single" w:sz="6" w:space="0" w:color="auto"/>
              <w:bottom w:val="single" w:sz="6" w:space="0" w:color="auto"/>
              <w:right w:val="single" w:sz="6" w:space="0" w:color="auto"/>
            </w:tcBorders>
          </w:tcPr>
          <w:p w14:paraId="2903FCC3" w14:textId="77777777" w:rsidR="00CA23D0" w:rsidRPr="00E30642" w:rsidRDefault="00CA23D0" w:rsidP="00CA23D0">
            <w:pPr>
              <w:pStyle w:val="Texttabulky"/>
              <w:jc w:val="both"/>
              <w:rPr>
                <w:rFonts w:cs="Arial"/>
              </w:rPr>
            </w:pPr>
            <w:r w:rsidRPr="00E30642">
              <w:rPr>
                <w:rFonts w:cs="Arial"/>
                <w:sz w:val="18"/>
                <w:szCs w:val="18"/>
              </w:rPr>
              <w:t>20</w:t>
            </w:r>
          </w:p>
        </w:tc>
        <w:tc>
          <w:tcPr>
            <w:tcW w:w="1037" w:type="dxa"/>
            <w:tcBorders>
              <w:top w:val="single" w:sz="6" w:space="0" w:color="auto"/>
              <w:left w:val="single" w:sz="6" w:space="0" w:color="auto"/>
              <w:bottom w:val="single" w:sz="6" w:space="0" w:color="auto"/>
              <w:right w:val="single" w:sz="6" w:space="0" w:color="auto"/>
            </w:tcBorders>
          </w:tcPr>
          <w:p w14:paraId="19049DB5" w14:textId="77777777" w:rsidR="00CA23D0" w:rsidRPr="00E30642" w:rsidRDefault="00CA23D0" w:rsidP="00CA23D0">
            <w:pPr>
              <w:pStyle w:val="Texttabulky"/>
              <w:jc w:val="both"/>
              <w:rPr>
                <w:rFonts w:cs="Arial"/>
              </w:rPr>
            </w:pPr>
            <w:r w:rsidRPr="00E30642">
              <w:rPr>
                <w:rFonts w:cs="Arial"/>
                <w:sz w:val="18"/>
                <w:szCs w:val="18"/>
              </w:rPr>
              <w:t>626</w:t>
            </w:r>
          </w:p>
        </w:tc>
        <w:tc>
          <w:tcPr>
            <w:tcW w:w="1037" w:type="dxa"/>
            <w:tcBorders>
              <w:top w:val="single" w:sz="6" w:space="0" w:color="auto"/>
              <w:left w:val="single" w:sz="6" w:space="0" w:color="auto"/>
              <w:bottom w:val="single" w:sz="6" w:space="0" w:color="auto"/>
              <w:right w:val="single" w:sz="6" w:space="0" w:color="auto"/>
            </w:tcBorders>
          </w:tcPr>
          <w:p w14:paraId="6122EC90" w14:textId="77777777" w:rsidR="00CA23D0" w:rsidRPr="00E30642" w:rsidRDefault="00CA23D0" w:rsidP="00CA23D0">
            <w:pPr>
              <w:pStyle w:val="Texttabulky"/>
              <w:jc w:val="both"/>
              <w:rPr>
                <w:rFonts w:cs="Arial"/>
              </w:rPr>
            </w:pPr>
            <w:r w:rsidRPr="00E30642">
              <w:rPr>
                <w:rFonts w:cs="Arial"/>
                <w:sz w:val="18"/>
                <w:szCs w:val="18"/>
              </w:rPr>
              <w:t>6,37</w:t>
            </w:r>
          </w:p>
        </w:tc>
        <w:tc>
          <w:tcPr>
            <w:tcW w:w="1037" w:type="dxa"/>
            <w:tcBorders>
              <w:top w:val="single" w:sz="6" w:space="0" w:color="auto"/>
              <w:left w:val="single" w:sz="6" w:space="0" w:color="auto"/>
              <w:bottom w:val="single" w:sz="6" w:space="0" w:color="auto"/>
              <w:right w:val="single" w:sz="6" w:space="0" w:color="auto"/>
            </w:tcBorders>
          </w:tcPr>
          <w:p w14:paraId="13DA38EA" w14:textId="77777777" w:rsidR="00CA23D0" w:rsidRPr="00E30642" w:rsidRDefault="00CA23D0" w:rsidP="00CA23D0">
            <w:pPr>
              <w:pStyle w:val="Texttabulky"/>
              <w:jc w:val="both"/>
              <w:rPr>
                <w:rFonts w:cs="Arial"/>
              </w:rPr>
            </w:pPr>
            <w:r w:rsidRPr="00E30642">
              <w:rPr>
                <w:rFonts w:cs="Arial"/>
                <w:sz w:val="18"/>
                <w:szCs w:val="18"/>
              </w:rPr>
              <w:t>3,86</w:t>
            </w:r>
          </w:p>
        </w:tc>
        <w:tc>
          <w:tcPr>
            <w:tcW w:w="1037" w:type="dxa"/>
            <w:tcBorders>
              <w:top w:val="single" w:sz="6" w:space="0" w:color="auto"/>
              <w:left w:val="single" w:sz="6" w:space="0" w:color="auto"/>
              <w:bottom w:val="single" w:sz="6" w:space="0" w:color="auto"/>
              <w:right w:val="single" w:sz="6" w:space="0" w:color="auto"/>
            </w:tcBorders>
          </w:tcPr>
          <w:p w14:paraId="35C6325D" w14:textId="77777777" w:rsidR="00CA23D0" w:rsidRPr="00E30642" w:rsidRDefault="00CA23D0" w:rsidP="00CA23D0">
            <w:pPr>
              <w:pStyle w:val="Texttabulky"/>
              <w:jc w:val="both"/>
              <w:rPr>
                <w:rFonts w:cs="Arial"/>
              </w:rPr>
            </w:pPr>
            <w:r w:rsidRPr="00E30642">
              <w:rPr>
                <w:rFonts w:cs="Arial"/>
                <w:sz w:val="18"/>
                <w:szCs w:val="18"/>
              </w:rPr>
              <w:t xml:space="preserve"> -</w:t>
            </w:r>
          </w:p>
        </w:tc>
        <w:tc>
          <w:tcPr>
            <w:tcW w:w="1037" w:type="dxa"/>
            <w:tcBorders>
              <w:top w:val="single" w:sz="6" w:space="0" w:color="auto"/>
              <w:left w:val="single" w:sz="6" w:space="0" w:color="auto"/>
              <w:bottom w:val="single" w:sz="6" w:space="0" w:color="auto"/>
              <w:right w:val="single" w:sz="6" w:space="0" w:color="auto"/>
            </w:tcBorders>
          </w:tcPr>
          <w:p w14:paraId="0F86ECF5" w14:textId="77777777" w:rsidR="00CA23D0" w:rsidRPr="00E30642" w:rsidRDefault="00CA23D0" w:rsidP="00CA23D0">
            <w:pPr>
              <w:pStyle w:val="Texttabulky"/>
              <w:jc w:val="both"/>
              <w:rPr>
                <w:rFonts w:cs="Arial"/>
              </w:rPr>
            </w:pPr>
            <w:r w:rsidRPr="00E30642">
              <w:rPr>
                <w:rFonts w:cs="Arial"/>
                <w:sz w:val="18"/>
                <w:szCs w:val="18"/>
              </w:rPr>
              <w:t>2,51</w:t>
            </w:r>
          </w:p>
        </w:tc>
        <w:tc>
          <w:tcPr>
            <w:tcW w:w="1037" w:type="dxa"/>
            <w:tcBorders>
              <w:top w:val="single" w:sz="6" w:space="0" w:color="auto"/>
              <w:left w:val="single" w:sz="6" w:space="0" w:color="auto"/>
              <w:bottom w:val="single" w:sz="6" w:space="0" w:color="auto"/>
              <w:right w:val="single" w:sz="6" w:space="0" w:color="auto"/>
            </w:tcBorders>
          </w:tcPr>
          <w:p w14:paraId="463D3E4F" w14:textId="77777777" w:rsidR="00CA23D0" w:rsidRPr="00E30642" w:rsidRDefault="00CA23D0" w:rsidP="00CA23D0">
            <w:pPr>
              <w:pStyle w:val="Texttabulky"/>
              <w:jc w:val="both"/>
              <w:rPr>
                <w:rFonts w:cs="Arial"/>
              </w:rPr>
            </w:pPr>
            <w:r w:rsidRPr="00E30642">
              <w:rPr>
                <w:rFonts w:cs="Arial"/>
                <w:sz w:val="18"/>
                <w:szCs w:val="18"/>
              </w:rPr>
              <w:t>-</w:t>
            </w:r>
          </w:p>
        </w:tc>
      </w:tr>
      <w:tr w:rsidR="00CA23D0" w:rsidRPr="00E30642" w14:paraId="2F0F643D" w14:textId="77777777" w:rsidTr="00CA23D0">
        <w:trPr>
          <w:jc w:val="center"/>
        </w:trPr>
        <w:tc>
          <w:tcPr>
            <w:tcW w:w="664" w:type="dxa"/>
            <w:tcBorders>
              <w:top w:val="single" w:sz="6" w:space="0" w:color="auto"/>
              <w:left w:val="single" w:sz="6" w:space="0" w:color="auto"/>
              <w:bottom w:val="single" w:sz="6" w:space="0" w:color="auto"/>
              <w:right w:val="single" w:sz="6" w:space="0" w:color="auto"/>
            </w:tcBorders>
          </w:tcPr>
          <w:p w14:paraId="397D1BAE" w14:textId="77777777" w:rsidR="00CA23D0" w:rsidRPr="00E30642" w:rsidRDefault="00CA23D0" w:rsidP="00CA23D0">
            <w:pPr>
              <w:pStyle w:val="Texttabulky"/>
              <w:jc w:val="both"/>
              <w:rPr>
                <w:rFonts w:cs="Arial"/>
              </w:rPr>
            </w:pPr>
            <w:r w:rsidRPr="00E30642">
              <w:rPr>
                <w:rFonts w:cs="Arial"/>
                <w:b/>
                <w:bCs/>
                <w:sz w:val="18"/>
                <w:szCs w:val="18"/>
              </w:rPr>
              <w:t>II</w:t>
            </w:r>
          </w:p>
        </w:tc>
        <w:tc>
          <w:tcPr>
            <w:tcW w:w="1037" w:type="dxa"/>
            <w:tcBorders>
              <w:top w:val="single" w:sz="6" w:space="0" w:color="auto"/>
              <w:left w:val="single" w:sz="6" w:space="0" w:color="auto"/>
              <w:bottom w:val="single" w:sz="6" w:space="0" w:color="auto"/>
              <w:right w:val="single" w:sz="6" w:space="0" w:color="auto"/>
            </w:tcBorders>
          </w:tcPr>
          <w:p w14:paraId="0F9BB47C" w14:textId="77777777" w:rsidR="00CA23D0" w:rsidRPr="00E30642" w:rsidRDefault="00CA23D0" w:rsidP="00CA23D0">
            <w:pPr>
              <w:pStyle w:val="Texttabulky"/>
              <w:jc w:val="both"/>
              <w:rPr>
                <w:rFonts w:cs="Arial"/>
              </w:rPr>
            </w:pPr>
            <w:r w:rsidRPr="00E30642">
              <w:rPr>
                <w:rFonts w:cs="Arial"/>
                <w:sz w:val="18"/>
                <w:szCs w:val="18"/>
              </w:rPr>
              <w:t>58</w:t>
            </w:r>
          </w:p>
        </w:tc>
        <w:tc>
          <w:tcPr>
            <w:tcW w:w="1037" w:type="dxa"/>
            <w:tcBorders>
              <w:top w:val="single" w:sz="6" w:space="0" w:color="auto"/>
              <w:left w:val="single" w:sz="6" w:space="0" w:color="auto"/>
              <w:bottom w:val="single" w:sz="6" w:space="0" w:color="auto"/>
              <w:right w:val="single" w:sz="6" w:space="0" w:color="auto"/>
            </w:tcBorders>
          </w:tcPr>
          <w:p w14:paraId="6367BD74" w14:textId="77777777" w:rsidR="00CA23D0" w:rsidRPr="00E30642" w:rsidRDefault="00CA23D0" w:rsidP="00CA23D0">
            <w:pPr>
              <w:pStyle w:val="Texttabulky"/>
              <w:jc w:val="both"/>
              <w:rPr>
                <w:rFonts w:cs="Arial"/>
              </w:rPr>
            </w:pPr>
            <w:r w:rsidRPr="00E30642">
              <w:rPr>
                <w:rFonts w:cs="Arial"/>
                <w:sz w:val="18"/>
                <w:szCs w:val="18"/>
              </w:rPr>
              <w:t>5 210</w:t>
            </w:r>
          </w:p>
        </w:tc>
        <w:tc>
          <w:tcPr>
            <w:tcW w:w="1037" w:type="dxa"/>
            <w:tcBorders>
              <w:top w:val="single" w:sz="6" w:space="0" w:color="auto"/>
              <w:left w:val="single" w:sz="6" w:space="0" w:color="auto"/>
              <w:bottom w:val="single" w:sz="6" w:space="0" w:color="auto"/>
              <w:right w:val="single" w:sz="6" w:space="0" w:color="auto"/>
            </w:tcBorders>
          </w:tcPr>
          <w:p w14:paraId="1DDC0520" w14:textId="77777777" w:rsidR="00CA23D0" w:rsidRPr="00E30642" w:rsidRDefault="00CA23D0" w:rsidP="00CA23D0">
            <w:pPr>
              <w:pStyle w:val="Texttabulky"/>
              <w:jc w:val="both"/>
              <w:rPr>
                <w:rFonts w:cs="Arial"/>
              </w:rPr>
            </w:pPr>
            <w:r w:rsidRPr="00E30642">
              <w:rPr>
                <w:rFonts w:cs="Arial"/>
                <w:sz w:val="18"/>
                <w:szCs w:val="18"/>
              </w:rPr>
              <w:t>73,92</w:t>
            </w:r>
          </w:p>
        </w:tc>
        <w:tc>
          <w:tcPr>
            <w:tcW w:w="1037" w:type="dxa"/>
            <w:tcBorders>
              <w:top w:val="single" w:sz="6" w:space="0" w:color="auto"/>
              <w:left w:val="single" w:sz="6" w:space="0" w:color="auto"/>
              <w:bottom w:val="single" w:sz="6" w:space="0" w:color="auto"/>
              <w:right w:val="single" w:sz="6" w:space="0" w:color="auto"/>
            </w:tcBorders>
          </w:tcPr>
          <w:p w14:paraId="1CBD6B61" w14:textId="77777777" w:rsidR="00CA23D0" w:rsidRPr="00E30642" w:rsidRDefault="00CA23D0" w:rsidP="00CA23D0">
            <w:pPr>
              <w:pStyle w:val="Texttabulky"/>
              <w:jc w:val="both"/>
              <w:rPr>
                <w:rFonts w:cs="Arial"/>
              </w:rPr>
            </w:pPr>
            <w:r w:rsidRPr="00E30642">
              <w:rPr>
                <w:rFonts w:cs="Arial"/>
                <w:sz w:val="18"/>
                <w:szCs w:val="18"/>
              </w:rPr>
              <w:t xml:space="preserve"> 2,9</w:t>
            </w:r>
            <w:r w:rsidRPr="00E30642">
              <w:rPr>
                <w:rFonts w:cs="Arial"/>
              </w:rPr>
              <w:t>0</w:t>
            </w:r>
          </w:p>
        </w:tc>
        <w:tc>
          <w:tcPr>
            <w:tcW w:w="1037" w:type="dxa"/>
            <w:tcBorders>
              <w:top w:val="single" w:sz="6" w:space="0" w:color="auto"/>
              <w:left w:val="single" w:sz="6" w:space="0" w:color="auto"/>
              <w:bottom w:val="single" w:sz="6" w:space="0" w:color="auto"/>
              <w:right w:val="single" w:sz="6" w:space="0" w:color="auto"/>
            </w:tcBorders>
          </w:tcPr>
          <w:p w14:paraId="29CD180B"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3C20337D" w14:textId="77777777" w:rsidR="00CA23D0" w:rsidRPr="00E30642" w:rsidRDefault="00CA23D0" w:rsidP="00CA23D0">
            <w:pPr>
              <w:pStyle w:val="Texttabulky"/>
              <w:jc w:val="both"/>
              <w:rPr>
                <w:rFonts w:cs="Arial"/>
              </w:rPr>
            </w:pPr>
            <w:r w:rsidRPr="00E30642">
              <w:rPr>
                <w:rFonts w:cs="Arial"/>
                <w:sz w:val="18"/>
                <w:szCs w:val="18"/>
              </w:rPr>
              <w:t>71,02</w:t>
            </w:r>
          </w:p>
        </w:tc>
        <w:tc>
          <w:tcPr>
            <w:tcW w:w="1037" w:type="dxa"/>
            <w:tcBorders>
              <w:top w:val="single" w:sz="6" w:space="0" w:color="auto"/>
              <w:left w:val="single" w:sz="6" w:space="0" w:color="auto"/>
              <w:bottom w:val="single" w:sz="6" w:space="0" w:color="auto"/>
              <w:right w:val="single" w:sz="6" w:space="0" w:color="auto"/>
            </w:tcBorders>
          </w:tcPr>
          <w:p w14:paraId="3A6425EA" w14:textId="77777777" w:rsidR="00CA23D0" w:rsidRPr="00E30642" w:rsidRDefault="00CA23D0" w:rsidP="00CA23D0">
            <w:pPr>
              <w:pStyle w:val="Texttabulky"/>
              <w:jc w:val="both"/>
              <w:rPr>
                <w:rFonts w:cs="Arial"/>
              </w:rPr>
            </w:pPr>
            <w:r w:rsidRPr="00E30642">
              <w:rPr>
                <w:rFonts w:cs="Arial"/>
                <w:sz w:val="18"/>
                <w:szCs w:val="18"/>
              </w:rPr>
              <w:t>1,03</w:t>
            </w:r>
          </w:p>
        </w:tc>
      </w:tr>
      <w:tr w:rsidR="00CA23D0" w:rsidRPr="00E30642" w14:paraId="18783B09" w14:textId="77777777" w:rsidTr="00CA23D0">
        <w:trPr>
          <w:jc w:val="center"/>
        </w:trPr>
        <w:tc>
          <w:tcPr>
            <w:tcW w:w="664" w:type="dxa"/>
            <w:tcBorders>
              <w:top w:val="single" w:sz="6" w:space="0" w:color="auto"/>
              <w:left w:val="single" w:sz="6" w:space="0" w:color="auto"/>
              <w:bottom w:val="single" w:sz="6" w:space="0" w:color="auto"/>
              <w:right w:val="single" w:sz="6" w:space="0" w:color="auto"/>
            </w:tcBorders>
          </w:tcPr>
          <w:p w14:paraId="7C855704" w14:textId="77777777" w:rsidR="00CA23D0" w:rsidRPr="00E30642" w:rsidRDefault="00CA23D0" w:rsidP="00CA23D0">
            <w:pPr>
              <w:pStyle w:val="Texttabulky"/>
              <w:jc w:val="both"/>
              <w:rPr>
                <w:rFonts w:cs="Arial"/>
              </w:rPr>
            </w:pPr>
            <w:r w:rsidRPr="00E30642">
              <w:rPr>
                <w:rFonts w:cs="Arial"/>
                <w:b/>
                <w:bCs/>
                <w:sz w:val="18"/>
                <w:szCs w:val="18"/>
              </w:rPr>
              <w:t>III</w:t>
            </w:r>
          </w:p>
        </w:tc>
        <w:tc>
          <w:tcPr>
            <w:tcW w:w="1037" w:type="dxa"/>
            <w:tcBorders>
              <w:top w:val="single" w:sz="6" w:space="0" w:color="auto"/>
              <w:left w:val="single" w:sz="6" w:space="0" w:color="auto"/>
              <w:bottom w:val="single" w:sz="6" w:space="0" w:color="auto"/>
              <w:right w:val="single" w:sz="6" w:space="0" w:color="auto"/>
            </w:tcBorders>
          </w:tcPr>
          <w:p w14:paraId="22683302" w14:textId="77777777" w:rsidR="00CA23D0" w:rsidRPr="00E30642" w:rsidRDefault="00CA23D0" w:rsidP="00CA23D0">
            <w:pPr>
              <w:pStyle w:val="Texttabulky"/>
              <w:jc w:val="both"/>
              <w:rPr>
                <w:rFonts w:cs="Arial"/>
              </w:rPr>
            </w:pPr>
            <w:r w:rsidRPr="00E30642">
              <w:rPr>
                <w:rFonts w:cs="Arial"/>
                <w:sz w:val="18"/>
                <w:szCs w:val="18"/>
              </w:rPr>
              <w:t>12</w:t>
            </w:r>
          </w:p>
        </w:tc>
        <w:tc>
          <w:tcPr>
            <w:tcW w:w="1037" w:type="dxa"/>
            <w:tcBorders>
              <w:top w:val="single" w:sz="6" w:space="0" w:color="auto"/>
              <w:left w:val="single" w:sz="6" w:space="0" w:color="auto"/>
              <w:bottom w:val="single" w:sz="6" w:space="0" w:color="auto"/>
              <w:right w:val="single" w:sz="6" w:space="0" w:color="auto"/>
            </w:tcBorders>
          </w:tcPr>
          <w:p w14:paraId="1279A5A0" w14:textId="77777777" w:rsidR="00CA23D0" w:rsidRPr="00E30642" w:rsidRDefault="00CA23D0" w:rsidP="00CA23D0">
            <w:pPr>
              <w:pStyle w:val="Texttabulky"/>
              <w:jc w:val="both"/>
              <w:rPr>
                <w:rFonts w:cs="Arial"/>
              </w:rPr>
            </w:pPr>
            <w:r w:rsidRPr="00E30642">
              <w:rPr>
                <w:rFonts w:cs="Arial"/>
                <w:sz w:val="18"/>
                <w:szCs w:val="18"/>
              </w:rPr>
              <w:t>367</w:t>
            </w:r>
          </w:p>
        </w:tc>
        <w:tc>
          <w:tcPr>
            <w:tcW w:w="1037" w:type="dxa"/>
            <w:tcBorders>
              <w:top w:val="single" w:sz="6" w:space="0" w:color="auto"/>
              <w:left w:val="single" w:sz="6" w:space="0" w:color="auto"/>
              <w:bottom w:val="single" w:sz="6" w:space="0" w:color="auto"/>
              <w:right w:val="single" w:sz="6" w:space="0" w:color="auto"/>
            </w:tcBorders>
          </w:tcPr>
          <w:p w14:paraId="5FD3B30E" w14:textId="77777777" w:rsidR="00CA23D0" w:rsidRPr="00E30642" w:rsidRDefault="00CA23D0" w:rsidP="00CA23D0">
            <w:pPr>
              <w:pStyle w:val="Texttabulky"/>
              <w:jc w:val="both"/>
              <w:rPr>
                <w:rFonts w:cs="Arial"/>
              </w:rPr>
            </w:pPr>
            <w:r w:rsidRPr="00E30642">
              <w:rPr>
                <w:rFonts w:cs="Arial"/>
                <w:sz w:val="18"/>
                <w:szCs w:val="18"/>
              </w:rPr>
              <w:t>7,93</w:t>
            </w:r>
          </w:p>
        </w:tc>
        <w:tc>
          <w:tcPr>
            <w:tcW w:w="1037" w:type="dxa"/>
            <w:tcBorders>
              <w:top w:val="single" w:sz="6" w:space="0" w:color="auto"/>
              <w:left w:val="single" w:sz="6" w:space="0" w:color="auto"/>
              <w:bottom w:val="single" w:sz="6" w:space="0" w:color="auto"/>
              <w:right w:val="single" w:sz="6" w:space="0" w:color="auto"/>
            </w:tcBorders>
          </w:tcPr>
          <w:p w14:paraId="5789084F" w14:textId="77777777" w:rsidR="00CA23D0" w:rsidRPr="00E30642" w:rsidRDefault="00CA23D0" w:rsidP="00CA23D0">
            <w:pPr>
              <w:pStyle w:val="Texttabulky"/>
              <w:jc w:val="both"/>
              <w:rPr>
                <w:rFonts w:cs="Arial"/>
              </w:rPr>
            </w:pPr>
            <w:r w:rsidRPr="00E30642">
              <w:rPr>
                <w:rFonts w:cs="Arial"/>
                <w:sz w:val="18"/>
                <w:szCs w:val="18"/>
              </w:rPr>
              <w:t xml:space="preserve"> -</w:t>
            </w:r>
          </w:p>
        </w:tc>
        <w:tc>
          <w:tcPr>
            <w:tcW w:w="1037" w:type="dxa"/>
            <w:tcBorders>
              <w:top w:val="single" w:sz="6" w:space="0" w:color="auto"/>
              <w:left w:val="single" w:sz="6" w:space="0" w:color="auto"/>
              <w:bottom w:val="single" w:sz="6" w:space="0" w:color="auto"/>
              <w:right w:val="single" w:sz="6" w:space="0" w:color="auto"/>
            </w:tcBorders>
          </w:tcPr>
          <w:p w14:paraId="3F10B1F0"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7E872BF6" w14:textId="77777777" w:rsidR="00CA23D0" w:rsidRPr="00E30642" w:rsidRDefault="00CA23D0" w:rsidP="00CA23D0">
            <w:pPr>
              <w:pStyle w:val="Texttabulky"/>
              <w:jc w:val="both"/>
              <w:rPr>
                <w:rFonts w:cs="Arial"/>
              </w:rPr>
            </w:pPr>
            <w:r w:rsidRPr="00E30642">
              <w:rPr>
                <w:rFonts w:cs="Arial"/>
                <w:sz w:val="18"/>
                <w:szCs w:val="18"/>
              </w:rPr>
              <w:t>7,93</w:t>
            </w:r>
          </w:p>
        </w:tc>
        <w:tc>
          <w:tcPr>
            <w:tcW w:w="1037" w:type="dxa"/>
            <w:tcBorders>
              <w:top w:val="single" w:sz="6" w:space="0" w:color="auto"/>
              <w:left w:val="single" w:sz="6" w:space="0" w:color="auto"/>
              <w:bottom w:val="single" w:sz="6" w:space="0" w:color="auto"/>
              <w:right w:val="single" w:sz="6" w:space="0" w:color="auto"/>
            </w:tcBorders>
          </w:tcPr>
          <w:p w14:paraId="22AE6C2A" w14:textId="77777777" w:rsidR="00CA23D0" w:rsidRPr="00E30642" w:rsidRDefault="00CA23D0" w:rsidP="00CA23D0">
            <w:pPr>
              <w:pStyle w:val="Texttabulky"/>
              <w:jc w:val="both"/>
              <w:rPr>
                <w:rFonts w:cs="Arial"/>
              </w:rPr>
            </w:pPr>
            <w:r w:rsidRPr="00E30642">
              <w:rPr>
                <w:rFonts w:cs="Arial"/>
                <w:sz w:val="18"/>
                <w:szCs w:val="18"/>
              </w:rPr>
              <w:t>-</w:t>
            </w:r>
          </w:p>
        </w:tc>
      </w:tr>
      <w:tr w:rsidR="00CA23D0" w:rsidRPr="00E30642" w14:paraId="0235D461" w14:textId="77777777" w:rsidTr="00CA23D0">
        <w:trPr>
          <w:jc w:val="center"/>
        </w:trPr>
        <w:tc>
          <w:tcPr>
            <w:tcW w:w="664" w:type="dxa"/>
            <w:tcBorders>
              <w:top w:val="single" w:sz="6" w:space="0" w:color="auto"/>
              <w:left w:val="single" w:sz="6" w:space="0" w:color="auto"/>
              <w:bottom w:val="single" w:sz="6" w:space="0" w:color="auto"/>
              <w:right w:val="single" w:sz="6" w:space="0" w:color="auto"/>
            </w:tcBorders>
          </w:tcPr>
          <w:p w14:paraId="577D8F73" w14:textId="77777777" w:rsidR="00CA23D0" w:rsidRPr="00E30642" w:rsidRDefault="00CA23D0" w:rsidP="00CA23D0">
            <w:pPr>
              <w:pStyle w:val="Texttabulky"/>
              <w:jc w:val="both"/>
              <w:rPr>
                <w:rFonts w:cs="Arial"/>
              </w:rPr>
            </w:pPr>
            <w:r w:rsidRPr="00E30642">
              <w:rPr>
                <w:rFonts w:cs="Arial"/>
                <w:b/>
                <w:bCs/>
                <w:sz w:val="18"/>
                <w:szCs w:val="18"/>
              </w:rPr>
              <w:t>IV</w:t>
            </w:r>
          </w:p>
        </w:tc>
        <w:tc>
          <w:tcPr>
            <w:tcW w:w="1037" w:type="dxa"/>
            <w:tcBorders>
              <w:top w:val="single" w:sz="6" w:space="0" w:color="auto"/>
              <w:left w:val="single" w:sz="6" w:space="0" w:color="auto"/>
              <w:bottom w:val="single" w:sz="6" w:space="0" w:color="auto"/>
              <w:right w:val="single" w:sz="6" w:space="0" w:color="auto"/>
            </w:tcBorders>
          </w:tcPr>
          <w:p w14:paraId="06F51E0D" w14:textId="77777777" w:rsidR="00CA23D0" w:rsidRPr="00E30642" w:rsidRDefault="00CA23D0" w:rsidP="00CA23D0">
            <w:pPr>
              <w:pStyle w:val="Texttabulky"/>
              <w:jc w:val="both"/>
              <w:rPr>
                <w:rFonts w:cs="Arial"/>
              </w:rPr>
            </w:pPr>
            <w:r w:rsidRPr="00E30642">
              <w:rPr>
                <w:rFonts w:cs="Arial"/>
                <w:sz w:val="18"/>
                <w:szCs w:val="18"/>
              </w:rPr>
              <w:t xml:space="preserve">34 </w:t>
            </w:r>
          </w:p>
        </w:tc>
        <w:tc>
          <w:tcPr>
            <w:tcW w:w="1037" w:type="dxa"/>
            <w:tcBorders>
              <w:top w:val="single" w:sz="6" w:space="0" w:color="auto"/>
              <w:left w:val="single" w:sz="6" w:space="0" w:color="auto"/>
              <w:bottom w:val="single" w:sz="6" w:space="0" w:color="auto"/>
              <w:right w:val="single" w:sz="6" w:space="0" w:color="auto"/>
            </w:tcBorders>
          </w:tcPr>
          <w:p w14:paraId="048E8216" w14:textId="77777777" w:rsidR="00CA23D0" w:rsidRPr="00E30642" w:rsidRDefault="00CA23D0" w:rsidP="00CA23D0">
            <w:pPr>
              <w:pStyle w:val="Texttabulky"/>
              <w:jc w:val="both"/>
              <w:rPr>
                <w:rFonts w:cs="Arial"/>
              </w:rPr>
            </w:pPr>
            <w:r w:rsidRPr="00E30642">
              <w:rPr>
                <w:rFonts w:cs="Arial"/>
                <w:sz w:val="18"/>
                <w:szCs w:val="18"/>
              </w:rPr>
              <w:t>1 234</w:t>
            </w:r>
          </w:p>
        </w:tc>
        <w:tc>
          <w:tcPr>
            <w:tcW w:w="1037" w:type="dxa"/>
            <w:tcBorders>
              <w:top w:val="single" w:sz="6" w:space="0" w:color="auto"/>
              <w:left w:val="single" w:sz="6" w:space="0" w:color="auto"/>
              <w:bottom w:val="single" w:sz="6" w:space="0" w:color="auto"/>
              <w:right w:val="single" w:sz="6" w:space="0" w:color="auto"/>
            </w:tcBorders>
          </w:tcPr>
          <w:p w14:paraId="6A2143A8" w14:textId="77777777" w:rsidR="00CA23D0" w:rsidRPr="00E30642" w:rsidRDefault="00CA23D0" w:rsidP="00CA23D0">
            <w:pPr>
              <w:pStyle w:val="Texttabulky"/>
              <w:jc w:val="both"/>
              <w:rPr>
                <w:rFonts w:cs="Arial"/>
              </w:rPr>
            </w:pPr>
            <w:r w:rsidRPr="00E30642">
              <w:rPr>
                <w:rFonts w:cs="Arial"/>
                <w:sz w:val="18"/>
                <w:szCs w:val="18"/>
              </w:rPr>
              <w:t xml:space="preserve"> 22,6</w:t>
            </w:r>
            <w:r w:rsidRPr="00E30642">
              <w:rPr>
                <w:rFonts w:cs="Arial"/>
              </w:rPr>
              <w:t>0</w:t>
            </w:r>
          </w:p>
        </w:tc>
        <w:tc>
          <w:tcPr>
            <w:tcW w:w="1037" w:type="dxa"/>
            <w:tcBorders>
              <w:top w:val="single" w:sz="6" w:space="0" w:color="auto"/>
              <w:left w:val="single" w:sz="6" w:space="0" w:color="auto"/>
              <w:bottom w:val="single" w:sz="6" w:space="0" w:color="auto"/>
              <w:right w:val="single" w:sz="6" w:space="0" w:color="auto"/>
            </w:tcBorders>
          </w:tcPr>
          <w:p w14:paraId="192D70AE"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7F488538" w14:textId="77777777" w:rsidR="00CA23D0" w:rsidRPr="00E30642" w:rsidRDefault="00CA23D0" w:rsidP="00CA23D0">
            <w:pPr>
              <w:pStyle w:val="Texttabulky"/>
              <w:jc w:val="both"/>
              <w:rPr>
                <w:rFonts w:cs="Arial"/>
              </w:rPr>
            </w:pPr>
            <w:r w:rsidRPr="00E30642">
              <w:rPr>
                <w:rFonts w:cs="Arial"/>
                <w:sz w:val="18"/>
                <w:szCs w:val="18"/>
              </w:rPr>
              <w:t>4,41</w:t>
            </w:r>
          </w:p>
        </w:tc>
        <w:tc>
          <w:tcPr>
            <w:tcW w:w="1037" w:type="dxa"/>
            <w:tcBorders>
              <w:top w:val="single" w:sz="6" w:space="0" w:color="auto"/>
              <w:left w:val="single" w:sz="6" w:space="0" w:color="auto"/>
              <w:bottom w:val="single" w:sz="6" w:space="0" w:color="auto"/>
              <w:right w:val="single" w:sz="6" w:space="0" w:color="auto"/>
            </w:tcBorders>
          </w:tcPr>
          <w:p w14:paraId="1C2BB686" w14:textId="77777777" w:rsidR="00CA23D0" w:rsidRPr="00E30642" w:rsidRDefault="00CA23D0" w:rsidP="00CA23D0">
            <w:pPr>
              <w:pStyle w:val="Texttabulky"/>
              <w:jc w:val="both"/>
              <w:rPr>
                <w:rFonts w:cs="Arial"/>
              </w:rPr>
            </w:pPr>
            <w:r w:rsidRPr="00E30642">
              <w:rPr>
                <w:rFonts w:cs="Arial"/>
                <w:sz w:val="18"/>
                <w:szCs w:val="18"/>
              </w:rPr>
              <w:t>27,01</w:t>
            </w:r>
          </w:p>
        </w:tc>
        <w:tc>
          <w:tcPr>
            <w:tcW w:w="1037" w:type="dxa"/>
            <w:tcBorders>
              <w:top w:val="single" w:sz="6" w:space="0" w:color="auto"/>
              <w:left w:val="single" w:sz="6" w:space="0" w:color="auto"/>
              <w:bottom w:val="single" w:sz="6" w:space="0" w:color="auto"/>
              <w:right w:val="single" w:sz="6" w:space="0" w:color="auto"/>
            </w:tcBorders>
          </w:tcPr>
          <w:p w14:paraId="5405EBD9" w14:textId="77777777" w:rsidR="00CA23D0" w:rsidRPr="00E30642" w:rsidRDefault="00CA23D0" w:rsidP="00CA23D0">
            <w:pPr>
              <w:pStyle w:val="Texttabulky"/>
              <w:jc w:val="both"/>
              <w:rPr>
                <w:rFonts w:cs="Arial"/>
              </w:rPr>
            </w:pPr>
            <w:r w:rsidRPr="00E30642">
              <w:rPr>
                <w:rFonts w:cs="Arial"/>
                <w:sz w:val="18"/>
                <w:szCs w:val="18"/>
              </w:rPr>
              <w:t>-</w:t>
            </w:r>
          </w:p>
        </w:tc>
      </w:tr>
      <w:tr w:rsidR="00CA23D0" w:rsidRPr="00E30642" w14:paraId="69678520" w14:textId="77777777" w:rsidTr="00CA23D0">
        <w:trPr>
          <w:jc w:val="center"/>
        </w:trPr>
        <w:tc>
          <w:tcPr>
            <w:tcW w:w="664" w:type="dxa"/>
            <w:tcBorders>
              <w:top w:val="single" w:sz="6" w:space="0" w:color="auto"/>
              <w:left w:val="single" w:sz="6" w:space="0" w:color="auto"/>
              <w:bottom w:val="single" w:sz="6" w:space="0" w:color="auto"/>
              <w:right w:val="single" w:sz="6" w:space="0" w:color="auto"/>
            </w:tcBorders>
          </w:tcPr>
          <w:p w14:paraId="662139F8" w14:textId="77777777" w:rsidR="00CA23D0" w:rsidRPr="00E30642" w:rsidRDefault="00CA23D0" w:rsidP="00CA23D0">
            <w:pPr>
              <w:pStyle w:val="Texttabulky"/>
              <w:jc w:val="both"/>
              <w:rPr>
                <w:rFonts w:cs="Arial"/>
              </w:rPr>
            </w:pPr>
            <w:r w:rsidRPr="00E30642">
              <w:rPr>
                <w:rFonts w:cs="Arial"/>
                <w:b/>
                <w:bCs/>
                <w:sz w:val="18"/>
                <w:szCs w:val="18"/>
              </w:rPr>
              <w:t>V</w:t>
            </w:r>
          </w:p>
        </w:tc>
        <w:tc>
          <w:tcPr>
            <w:tcW w:w="1037" w:type="dxa"/>
            <w:tcBorders>
              <w:top w:val="single" w:sz="6" w:space="0" w:color="auto"/>
              <w:left w:val="single" w:sz="6" w:space="0" w:color="auto"/>
              <w:bottom w:val="single" w:sz="6" w:space="0" w:color="auto"/>
              <w:right w:val="single" w:sz="6" w:space="0" w:color="auto"/>
            </w:tcBorders>
          </w:tcPr>
          <w:p w14:paraId="23B9C9CC"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297F5467"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14D5BD3A"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66C90A52" w14:textId="77777777" w:rsidR="00CA23D0" w:rsidRPr="00E30642" w:rsidRDefault="00CA23D0" w:rsidP="00CA23D0">
            <w:pPr>
              <w:pStyle w:val="Texttabulky"/>
              <w:jc w:val="both"/>
              <w:rPr>
                <w:rFonts w:cs="Arial"/>
              </w:rPr>
            </w:pPr>
            <w:r w:rsidRPr="00E30642">
              <w:rPr>
                <w:rFonts w:cs="Arial"/>
                <w:sz w:val="18"/>
                <w:szCs w:val="18"/>
              </w:rPr>
              <w:t xml:space="preserve"> -</w:t>
            </w:r>
          </w:p>
        </w:tc>
        <w:tc>
          <w:tcPr>
            <w:tcW w:w="1037" w:type="dxa"/>
            <w:tcBorders>
              <w:top w:val="single" w:sz="6" w:space="0" w:color="auto"/>
              <w:left w:val="single" w:sz="6" w:space="0" w:color="auto"/>
              <w:bottom w:val="single" w:sz="6" w:space="0" w:color="auto"/>
              <w:right w:val="single" w:sz="6" w:space="0" w:color="auto"/>
            </w:tcBorders>
          </w:tcPr>
          <w:p w14:paraId="499DEB18"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4A50C27F"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1742669E" w14:textId="77777777" w:rsidR="00CA23D0" w:rsidRPr="00E30642" w:rsidRDefault="00CA23D0" w:rsidP="00CA23D0">
            <w:pPr>
              <w:pStyle w:val="Texttabulky"/>
              <w:jc w:val="both"/>
              <w:rPr>
                <w:rFonts w:cs="Arial"/>
              </w:rPr>
            </w:pPr>
            <w:r w:rsidRPr="00E30642">
              <w:rPr>
                <w:rFonts w:cs="Arial"/>
                <w:sz w:val="18"/>
                <w:szCs w:val="18"/>
              </w:rPr>
              <w:t>-</w:t>
            </w:r>
          </w:p>
        </w:tc>
      </w:tr>
      <w:tr w:rsidR="00CA23D0" w:rsidRPr="00E30642" w14:paraId="3D7AF428" w14:textId="77777777" w:rsidTr="00CA23D0">
        <w:trPr>
          <w:jc w:val="center"/>
        </w:trPr>
        <w:tc>
          <w:tcPr>
            <w:tcW w:w="664" w:type="dxa"/>
            <w:tcBorders>
              <w:top w:val="single" w:sz="6" w:space="0" w:color="auto"/>
              <w:left w:val="single" w:sz="6" w:space="0" w:color="auto"/>
              <w:bottom w:val="single" w:sz="6" w:space="0" w:color="auto"/>
              <w:right w:val="single" w:sz="6" w:space="0" w:color="auto"/>
            </w:tcBorders>
          </w:tcPr>
          <w:p w14:paraId="436B12A3" w14:textId="77777777" w:rsidR="00CA23D0" w:rsidRPr="00E30642" w:rsidRDefault="00CA23D0" w:rsidP="00CA23D0">
            <w:pPr>
              <w:pStyle w:val="Texttabulky"/>
              <w:jc w:val="both"/>
              <w:rPr>
                <w:rFonts w:cs="Arial"/>
              </w:rPr>
            </w:pPr>
            <w:r w:rsidRPr="00E30642">
              <w:rPr>
                <w:rFonts w:cs="Arial"/>
                <w:b/>
                <w:bCs/>
                <w:sz w:val="18"/>
                <w:szCs w:val="18"/>
              </w:rPr>
              <w:lastRenderedPageBreak/>
              <w:t>VI</w:t>
            </w:r>
          </w:p>
        </w:tc>
        <w:tc>
          <w:tcPr>
            <w:tcW w:w="1037" w:type="dxa"/>
            <w:tcBorders>
              <w:top w:val="single" w:sz="6" w:space="0" w:color="auto"/>
              <w:left w:val="single" w:sz="6" w:space="0" w:color="auto"/>
              <w:bottom w:val="single" w:sz="6" w:space="0" w:color="auto"/>
              <w:right w:val="single" w:sz="6" w:space="0" w:color="auto"/>
            </w:tcBorders>
          </w:tcPr>
          <w:p w14:paraId="7DB6D446" w14:textId="77777777" w:rsidR="00CA23D0" w:rsidRPr="00E30642" w:rsidRDefault="00CA23D0" w:rsidP="00CA23D0">
            <w:pPr>
              <w:pStyle w:val="Texttabulky"/>
              <w:jc w:val="both"/>
              <w:rPr>
                <w:rFonts w:cs="Arial"/>
              </w:rPr>
            </w:pPr>
            <w:r w:rsidRPr="00E30642">
              <w:rPr>
                <w:rFonts w:cs="Arial"/>
                <w:sz w:val="18"/>
                <w:szCs w:val="18"/>
              </w:rPr>
              <w:t>47</w:t>
            </w:r>
          </w:p>
        </w:tc>
        <w:tc>
          <w:tcPr>
            <w:tcW w:w="1037" w:type="dxa"/>
            <w:tcBorders>
              <w:top w:val="single" w:sz="6" w:space="0" w:color="auto"/>
              <w:left w:val="single" w:sz="6" w:space="0" w:color="auto"/>
              <w:bottom w:val="single" w:sz="6" w:space="0" w:color="auto"/>
              <w:right w:val="single" w:sz="6" w:space="0" w:color="auto"/>
            </w:tcBorders>
          </w:tcPr>
          <w:p w14:paraId="69FA7232" w14:textId="77777777" w:rsidR="00CA23D0" w:rsidRPr="00E30642" w:rsidRDefault="00CA23D0" w:rsidP="00CA23D0">
            <w:pPr>
              <w:pStyle w:val="Texttabulky"/>
              <w:jc w:val="both"/>
              <w:rPr>
                <w:rFonts w:cs="Arial"/>
              </w:rPr>
            </w:pPr>
            <w:r w:rsidRPr="00E30642">
              <w:rPr>
                <w:rFonts w:cs="Arial"/>
                <w:sz w:val="18"/>
                <w:szCs w:val="18"/>
              </w:rPr>
              <w:t>1 085</w:t>
            </w:r>
          </w:p>
        </w:tc>
        <w:tc>
          <w:tcPr>
            <w:tcW w:w="1037" w:type="dxa"/>
            <w:tcBorders>
              <w:top w:val="single" w:sz="6" w:space="0" w:color="auto"/>
              <w:left w:val="single" w:sz="6" w:space="0" w:color="auto"/>
              <w:bottom w:val="single" w:sz="6" w:space="0" w:color="auto"/>
              <w:right w:val="single" w:sz="6" w:space="0" w:color="auto"/>
            </w:tcBorders>
          </w:tcPr>
          <w:p w14:paraId="47FBD03D" w14:textId="77777777" w:rsidR="00CA23D0" w:rsidRPr="00E30642" w:rsidRDefault="00CA23D0" w:rsidP="00CA23D0">
            <w:pPr>
              <w:pStyle w:val="Texttabulky"/>
              <w:jc w:val="both"/>
              <w:rPr>
                <w:rFonts w:cs="Arial"/>
              </w:rPr>
            </w:pPr>
            <w:r w:rsidRPr="00E30642">
              <w:rPr>
                <w:rFonts w:cs="Arial"/>
                <w:sz w:val="18"/>
                <w:szCs w:val="18"/>
              </w:rPr>
              <w:t>52,46</w:t>
            </w:r>
          </w:p>
        </w:tc>
        <w:tc>
          <w:tcPr>
            <w:tcW w:w="1037" w:type="dxa"/>
            <w:tcBorders>
              <w:top w:val="single" w:sz="6" w:space="0" w:color="auto"/>
              <w:left w:val="single" w:sz="6" w:space="0" w:color="auto"/>
              <w:bottom w:val="single" w:sz="6" w:space="0" w:color="auto"/>
              <w:right w:val="single" w:sz="6" w:space="0" w:color="auto"/>
            </w:tcBorders>
          </w:tcPr>
          <w:p w14:paraId="22709977" w14:textId="77777777" w:rsidR="00CA23D0" w:rsidRPr="00E30642" w:rsidRDefault="00CA23D0" w:rsidP="00CA23D0">
            <w:pPr>
              <w:pStyle w:val="Texttabulky"/>
              <w:jc w:val="both"/>
              <w:rPr>
                <w:rFonts w:cs="Arial"/>
              </w:rPr>
            </w:pPr>
            <w:r w:rsidRPr="00E30642">
              <w:rPr>
                <w:rFonts w:cs="Arial"/>
                <w:sz w:val="18"/>
                <w:szCs w:val="18"/>
              </w:rPr>
              <w:t>2,26</w:t>
            </w:r>
          </w:p>
        </w:tc>
        <w:tc>
          <w:tcPr>
            <w:tcW w:w="1037" w:type="dxa"/>
            <w:tcBorders>
              <w:top w:val="single" w:sz="6" w:space="0" w:color="auto"/>
              <w:left w:val="single" w:sz="6" w:space="0" w:color="auto"/>
              <w:bottom w:val="single" w:sz="6" w:space="0" w:color="auto"/>
              <w:right w:val="single" w:sz="6" w:space="0" w:color="auto"/>
            </w:tcBorders>
          </w:tcPr>
          <w:p w14:paraId="54BC33E2" w14:textId="77777777" w:rsidR="00CA23D0" w:rsidRPr="00E30642" w:rsidRDefault="00CA23D0" w:rsidP="00CA23D0">
            <w:pPr>
              <w:pStyle w:val="Texttabulky"/>
              <w:jc w:val="both"/>
              <w:rPr>
                <w:rFonts w:cs="Arial"/>
              </w:rPr>
            </w:pPr>
            <w:r w:rsidRPr="00E30642">
              <w:rPr>
                <w:rFonts w:cs="Arial"/>
                <w:sz w:val="18"/>
                <w:szCs w:val="18"/>
              </w:rPr>
              <w:t>3,19</w:t>
            </w:r>
          </w:p>
        </w:tc>
        <w:tc>
          <w:tcPr>
            <w:tcW w:w="1037" w:type="dxa"/>
            <w:tcBorders>
              <w:top w:val="single" w:sz="6" w:space="0" w:color="auto"/>
              <w:left w:val="single" w:sz="6" w:space="0" w:color="auto"/>
              <w:bottom w:val="single" w:sz="6" w:space="0" w:color="auto"/>
              <w:right w:val="single" w:sz="6" w:space="0" w:color="auto"/>
            </w:tcBorders>
          </w:tcPr>
          <w:p w14:paraId="531F5425" w14:textId="77777777" w:rsidR="00CA23D0" w:rsidRPr="00E30642" w:rsidRDefault="00CA23D0" w:rsidP="00CA23D0">
            <w:pPr>
              <w:pStyle w:val="Texttabulky"/>
              <w:jc w:val="both"/>
              <w:rPr>
                <w:rFonts w:cs="Arial"/>
              </w:rPr>
            </w:pPr>
            <w:r w:rsidRPr="00E30642">
              <w:rPr>
                <w:rFonts w:cs="Arial"/>
                <w:sz w:val="18"/>
                <w:szCs w:val="18"/>
              </w:rPr>
              <w:t>53,39</w:t>
            </w:r>
          </w:p>
        </w:tc>
        <w:tc>
          <w:tcPr>
            <w:tcW w:w="1037" w:type="dxa"/>
            <w:tcBorders>
              <w:top w:val="single" w:sz="6" w:space="0" w:color="auto"/>
              <w:left w:val="single" w:sz="6" w:space="0" w:color="auto"/>
              <w:bottom w:val="single" w:sz="6" w:space="0" w:color="auto"/>
              <w:right w:val="single" w:sz="6" w:space="0" w:color="auto"/>
            </w:tcBorders>
          </w:tcPr>
          <w:p w14:paraId="73EBF09F" w14:textId="77777777" w:rsidR="00CA23D0" w:rsidRPr="00E30642" w:rsidRDefault="00CA23D0" w:rsidP="00CA23D0">
            <w:pPr>
              <w:pStyle w:val="Texttabulky"/>
              <w:jc w:val="both"/>
              <w:rPr>
                <w:rFonts w:cs="Arial"/>
              </w:rPr>
            </w:pPr>
            <w:r w:rsidRPr="00E30642">
              <w:rPr>
                <w:rFonts w:cs="Arial"/>
                <w:sz w:val="18"/>
                <w:szCs w:val="18"/>
              </w:rPr>
              <w:t>7,42</w:t>
            </w:r>
          </w:p>
        </w:tc>
      </w:tr>
      <w:tr w:rsidR="00CA23D0" w:rsidRPr="00E30642" w14:paraId="5689B42C" w14:textId="77777777" w:rsidTr="00CA23D0">
        <w:trPr>
          <w:jc w:val="center"/>
        </w:trPr>
        <w:tc>
          <w:tcPr>
            <w:tcW w:w="664" w:type="dxa"/>
            <w:tcBorders>
              <w:top w:val="single" w:sz="6" w:space="0" w:color="auto"/>
              <w:left w:val="single" w:sz="6" w:space="0" w:color="auto"/>
              <w:bottom w:val="single" w:sz="6" w:space="0" w:color="auto"/>
              <w:right w:val="single" w:sz="6" w:space="0" w:color="auto"/>
            </w:tcBorders>
          </w:tcPr>
          <w:p w14:paraId="30F567B1" w14:textId="77777777" w:rsidR="00CA23D0" w:rsidRPr="00E30642" w:rsidRDefault="00CA23D0" w:rsidP="00CA23D0">
            <w:pPr>
              <w:pStyle w:val="Texttabulky"/>
              <w:jc w:val="both"/>
              <w:rPr>
                <w:rFonts w:cs="Arial"/>
              </w:rPr>
            </w:pPr>
            <w:r w:rsidRPr="00E30642">
              <w:rPr>
                <w:rFonts w:cs="Arial"/>
                <w:b/>
                <w:bCs/>
                <w:sz w:val="18"/>
                <w:szCs w:val="18"/>
              </w:rPr>
              <w:t>VII</w:t>
            </w:r>
          </w:p>
        </w:tc>
        <w:tc>
          <w:tcPr>
            <w:tcW w:w="1037" w:type="dxa"/>
            <w:tcBorders>
              <w:top w:val="single" w:sz="6" w:space="0" w:color="auto"/>
              <w:left w:val="single" w:sz="6" w:space="0" w:color="auto"/>
              <w:bottom w:val="single" w:sz="6" w:space="0" w:color="auto"/>
              <w:right w:val="single" w:sz="6" w:space="0" w:color="auto"/>
            </w:tcBorders>
          </w:tcPr>
          <w:p w14:paraId="5197BDE0" w14:textId="77777777" w:rsidR="00CA23D0" w:rsidRPr="00E30642" w:rsidRDefault="00CA23D0" w:rsidP="00CA23D0">
            <w:pPr>
              <w:pStyle w:val="Texttabulky"/>
              <w:jc w:val="both"/>
              <w:rPr>
                <w:rFonts w:cs="Arial"/>
              </w:rPr>
            </w:pPr>
            <w:r w:rsidRPr="00E30642">
              <w:rPr>
                <w:rFonts w:cs="Arial"/>
                <w:sz w:val="18"/>
                <w:szCs w:val="18"/>
              </w:rPr>
              <w:t>14</w:t>
            </w:r>
          </w:p>
        </w:tc>
        <w:tc>
          <w:tcPr>
            <w:tcW w:w="1037" w:type="dxa"/>
            <w:tcBorders>
              <w:top w:val="single" w:sz="6" w:space="0" w:color="auto"/>
              <w:left w:val="single" w:sz="6" w:space="0" w:color="auto"/>
              <w:bottom w:val="single" w:sz="6" w:space="0" w:color="auto"/>
              <w:right w:val="single" w:sz="6" w:space="0" w:color="auto"/>
            </w:tcBorders>
          </w:tcPr>
          <w:p w14:paraId="455C2CA4" w14:textId="77777777" w:rsidR="00CA23D0" w:rsidRPr="00E30642" w:rsidRDefault="00CA23D0" w:rsidP="00CA23D0">
            <w:pPr>
              <w:pStyle w:val="Texttabulky"/>
              <w:jc w:val="both"/>
              <w:rPr>
                <w:rFonts w:cs="Arial"/>
              </w:rPr>
            </w:pPr>
            <w:r w:rsidRPr="00E30642">
              <w:rPr>
                <w:rFonts w:cs="Arial"/>
                <w:sz w:val="18"/>
                <w:szCs w:val="18"/>
              </w:rPr>
              <w:t>788</w:t>
            </w:r>
          </w:p>
        </w:tc>
        <w:tc>
          <w:tcPr>
            <w:tcW w:w="1037" w:type="dxa"/>
            <w:tcBorders>
              <w:top w:val="single" w:sz="6" w:space="0" w:color="auto"/>
              <w:left w:val="single" w:sz="6" w:space="0" w:color="auto"/>
              <w:bottom w:val="single" w:sz="6" w:space="0" w:color="auto"/>
              <w:right w:val="single" w:sz="6" w:space="0" w:color="auto"/>
            </w:tcBorders>
          </w:tcPr>
          <w:p w14:paraId="7C29697D" w14:textId="77777777" w:rsidR="00CA23D0" w:rsidRPr="00E30642" w:rsidRDefault="00CA23D0" w:rsidP="00CA23D0">
            <w:pPr>
              <w:pStyle w:val="Texttabulky"/>
              <w:jc w:val="both"/>
              <w:rPr>
                <w:rFonts w:cs="Arial"/>
              </w:rPr>
            </w:pPr>
            <w:r w:rsidRPr="00E30642">
              <w:rPr>
                <w:rFonts w:cs="Arial"/>
                <w:sz w:val="18"/>
                <w:szCs w:val="18"/>
              </w:rPr>
              <w:t>35,66</w:t>
            </w:r>
          </w:p>
        </w:tc>
        <w:tc>
          <w:tcPr>
            <w:tcW w:w="1037" w:type="dxa"/>
            <w:tcBorders>
              <w:top w:val="single" w:sz="6" w:space="0" w:color="auto"/>
              <w:left w:val="single" w:sz="6" w:space="0" w:color="auto"/>
              <w:bottom w:val="single" w:sz="6" w:space="0" w:color="auto"/>
              <w:right w:val="single" w:sz="6" w:space="0" w:color="auto"/>
            </w:tcBorders>
          </w:tcPr>
          <w:p w14:paraId="5BC0DF6A"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1147BADB" w14:textId="77777777" w:rsidR="00CA23D0" w:rsidRPr="00E30642" w:rsidRDefault="00CA23D0" w:rsidP="00CA23D0">
            <w:pPr>
              <w:pStyle w:val="Texttabulky"/>
              <w:jc w:val="both"/>
              <w:rPr>
                <w:rFonts w:cs="Arial"/>
              </w:rPr>
            </w:pPr>
            <w:r w:rsidRPr="00E30642">
              <w:rPr>
                <w:rFonts w:cs="Arial"/>
                <w:sz w:val="18"/>
                <w:szCs w:val="18"/>
              </w:rPr>
              <w:t>9,35</w:t>
            </w:r>
          </w:p>
        </w:tc>
        <w:tc>
          <w:tcPr>
            <w:tcW w:w="1037" w:type="dxa"/>
            <w:tcBorders>
              <w:top w:val="single" w:sz="6" w:space="0" w:color="auto"/>
              <w:left w:val="single" w:sz="6" w:space="0" w:color="auto"/>
              <w:bottom w:val="single" w:sz="6" w:space="0" w:color="auto"/>
              <w:right w:val="single" w:sz="6" w:space="0" w:color="auto"/>
            </w:tcBorders>
          </w:tcPr>
          <w:p w14:paraId="07D812C4" w14:textId="77777777" w:rsidR="00CA23D0" w:rsidRPr="00E30642" w:rsidRDefault="00CA23D0" w:rsidP="00CA23D0">
            <w:pPr>
              <w:pStyle w:val="Texttabulky"/>
              <w:jc w:val="both"/>
              <w:rPr>
                <w:rFonts w:cs="Arial"/>
              </w:rPr>
            </w:pPr>
            <w:r w:rsidRPr="00E30642">
              <w:rPr>
                <w:rFonts w:cs="Arial"/>
                <w:sz w:val="18"/>
                <w:szCs w:val="18"/>
              </w:rPr>
              <w:t>45,01</w:t>
            </w:r>
          </w:p>
        </w:tc>
        <w:tc>
          <w:tcPr>
            <w:tcW w:w="1037" w:type="dxa"/>
            <w:tcBorders>
              <w:top w:val="single" w:sz="6" w:space="0" w:color="auto"/>
              <w:left w:val="single" w:sz="6" w:space="0" w:color="auto"/>
              <w:bottom w:val="single" w:sz="6" w:space="0" w:color="auto"/>
              <w:right w:val="single" w:sz="6" w:space="0" w:color="auto"/>
            </w:tcBorders>
          </w:tcPr>
          <w:p w14:paraId="0754AD51" w14:textId="77777777" w:rsidR="00CA23D0" w:rsidRPr="00E30642" w:rsidRDefault="00CA23D0" w:rsidP="00CA23D0">
            <w:pPr>
              <w:pStyle w:val="Texttabulky"/>
              <w:jc w:val="both"/>
              <w:rPr>
                <w:rFonts w:cs="Arial"/>
              </w:rPr>
            </w:pPr>
            <w:r w:rsidRPr="00E30642">
              <w:rPr>
                <w:rFonts w:cs="Arial"/>
                <w:sz w:val="18"/>
                <w:szCs w:val="18"/>
              </w:rPr>
              <w:t>10,5</w:t>
            </w:r>
          </w:p>
        </w:tc>
      </w:tr>
      <w:tr w:rsidR="00CA23D0" w:rsidRPr="00E30642" w14:paraId="0D1167E1" w14:textId="77777777" w:rsidTr="00CA23D0">
        <w:trPr>
          <w:jc w:val="center"/>
        </w:trPr>
        <w:tc>
          <w:tcPr>
            <w:tcW w:w="664" w:type="dxa"/>
            <w:tcBorders>
              <w:top w:val="single" w:sz="6" w:space="0" w:color="auto"/>
              <w:left w:val="single" w:sz="6" w:space="0" w:color="auto"/>
              <w:bottom w:val="single" w:sz="6" w:space="0" w:color="auto"/>
              <w:right w:val="single" w:sz="6" w:space="0" w:color="auto"/>
            </w:tcBorders>
          </w:tcPr>
          <w:p w14:paraId="7BD1DB37" w14:textId="77777777" w:rsidR="00CA23D0" w:rsidRPr="00E30642" w:rsidRDefault="00CA23D0" w:rsidP="00CA23D0">
            <w:pPr>
              <w:pStyle w:val="Texttabulky"/>
              <w:jc w:val="both"/>
              <w:rPr>
                <w:rFonts w:cs="Arial"/>
              </w:rPr>
            </w:pPr>
            <w:r w:rsidRPr="00E30642">
              <w:rPr>
                <w:rFonts w:cs="Arial"/>
                <w:b/>
                <w:bCs/>
                <w:sz w:val="18"/>
                <w:szCs w:val="18"/>
              </w:rPr>
              <w:t>VIII</w:t>
            </w:r>
          </w:p>
        </w:tc>
        <w:tc>
          <w:tcPr>
            <w:tcW w:w="1037" w:type="dxa"/>
            <w:tcBorders>
              <w:top w:val="single" w:sz="6" w:space="0" w:color="auto"/>
              <w:left w:val="single" w:sz="6" w:space="0" w:color="auto"/>
              <w:bottom w:val="single" w:sz="6" w:space="0" w:color="auto"/>
              <w:right w:val="single" w:sz="6" w:space="0" w:color="auto"/>
            </w:tcBorders>
          </w:tcPr>
          <w:p w14:paraId="3CD3C803"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23ACFED2"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3EB88F10"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49552B4F"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636B4F03"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26C313B6"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24D7FCFE" w14:textId="77777777" w:rsidR="00CA23D0" w:rsidRPr="00E30642" w:rsidRDefault="00CA23D0" w:rsidP="00CA23D0">
            <w:pPr>
              <w:pStyle w:val="Texttabulky"/>
              <w:jc w:val="both"/>
              <w:rPr>
                <w:rFonts w:cs="Arial"/>
              </w:rPr>
            </w:pPr>
            <w:r w:rsidRPr="00E30642">
              <w:rPr>
                <w:rFonts w:cs="Arial"/>
                <w:sz w:val="18"/>
                <w:szCs w:val="18"/>
              </w:rPr>
              <w:t>-</w:t>
            </w:r>
          </w:p>
        </w:tc>
      </w:tr>
      <w:tr w:rsidR="00CA23D0" w:rsidRPr="00E30642" w14:paraId="7A46359A" w14:textId="77777777" w:rsidTr="00CA23D0">
        <w:trPr>
          <w:jc w:val="center"/>
        </w:trPr>
        <w:tc>
          <w:tcPr>
            <w:tcW w:w="664" w:type="dxa"/>
            <w:tcBorders>
              <w:top w:val="single" w:sz="6" w:space="0" w:color="auto"/>
              <w:left w:val="single" w:sz="6" w:space="0" w:color="auto"/>
              <w:bottom w:val="single" w:sz="6" w:space="0" w:color="auto"/>
              <w:right w:val="single" w:sz="6" w:space="0" w:color="auto"/>
            </w:tcBorders>
          </w:tcPr>
          <w:p w14:paraId="6FCAE0C7" w14:textId="77777777" w:rsidR="00CA23D0" w:rsidRPr="00E30642" w:rsidRDefault="00CA23D0" w:rsidP="00CA23D0">
            <w:pPr>
              <w:pStyle w:val="Texttabulky"/>
              <w:jc w:val="both"/>
              <w:rPr>
                <w:rFonts w:cs="Arial"/>
              </w:rPr>
            </w:pPr>
            <w:r w:rsidRPr="00E30642">
              <w:rPr>
                <w:rFonts w:cs="Arial"/>
                <w:b/>
                <w:bCs/>
                <w:sz w:val="18"/>
                <w:szCs w:val="18"/>
              </w:rPr>
              <w:t>IX</w:t>
            </w:r>
          </w:p>
        </w:tc>
        <w:tc>
          <w:tcPr>
            <w:tcW w:w="1037" w:type="dxa"/>
            <w:tcBorders>
              <w:top w:val="single" w:sz="6" w:space="0" w:color="auto"/>
              <w:left w:val="single" w:sz="6" w:space="0" w:color="auto"/>
              <w:bottom w:val="single" w:sz="6" w:space="0" w:color="auto"/>
              <w:right w:val="single" w:sz="6" w:space="0" w:color="auto"/>
            </w:tcBorders>
          </w:tcPr>
          <w:p w14:paraId="551E1B6B"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7F0EABB6"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70DE6F22"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205A5BAC"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457B93C0"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30E0046B" w14:textId="77777777" w:rsidR="00CA23D0" w:rsidRPr="00E30642" w:rsidRDefault="00CA23D0" w:rsidP="00CA23D0">
            <w:pPr>
              <w:pStyle w:val="Texttabulky"/>
              <w:jc w:val="both"/>
              <w:rPr>
                <w:rFonts w:cs="Arial"/>
              </w:rPr>
            </w:pPr>
            <w:r w:rsidRPr="00E30642">
              <w:rPr>
                <w:rFonts w:cs="Arial"/>
                <w:sz w:val="18"/>
                <w:szCs w:val="18"/>
              </w:rPr>
              <w:t>-</w:t>
            </w:r>
          </w:p>
        </w:tc>
        <w:tc>
          <w:tcPr>
            <w:tcW w:w="1037" w:type="dxa"/>
            <w:tcBorders>
              <w:top w:val="single" w:sz="6" w:space="0" w:color="auto"/>
              <w:left w:val="single" w:sz="6" w:space="0" w:color="auto"/>
              <w:bottom w:val="single" w:sz="6" w:space="0" w:color="auto"/>
              <w:right w:val="single" w:sz="6" w:space="0" w:color="auto"/>
            </w:tcBorders>
          </w:tcPr>
          <w:p w14:paraId="1D164448" w14:textId="77777777" w:rsidR="00CA23D0" w:rsidRPr="00E30642" w:rsidRDefault="00CA23D0" w:rsidP="00CA23D0">
            <w:pPr>
              <w:pStyle w:val="Texttabulky"/>
              <w:jc w:val="both"/>
              <w:rPr>
                <w:rFonts w:cs="Arial"/>
              </w:rPr>
            </w:pPr>
            <w:r w:rsidRPr="00E30642">
              <w:rPr>
                <w:rFonts w:cs="Arial"/>
                <w:sz w:val="18"/>
                <w:szCs w:val="18"/>
              </w:rPr>
              <w:t>-</w:t>
            </w:r>
          </w:p>
        </w:tc>
      </w:tr>
      <w:tr w:rsidR="00CA23D0" w:rsidRPr="00E30642" w14:paraId="2FF8830E" w14:textId="77777777" w:rsidTr="00CA23D0">
        <w:trPr>
          <w:jc w:val="center"/>
        </w:trPr>
        <w:tc>
          <w:tcPr>
            <w:tcW w:w="664" w:type="dxa"/>
            <w:tcBorders>
              <w:top w:val="single" w:sz="6" w:space="0" w:color="auto"/>
              <w:left w:val="single" w:sz="6" w:space="0" w:color="auto"/>
              <w:bottom w:val="single" w:sz="6" w:space="0" w:color="auto"/>
              <w:right w:val="single" w:sz="6" w:space="0" w:color="auto"/>
            </w:tcBorders>
          </w:tcPr>
          <w:p w14:paraId="72833EAB" w14:textId="77777777" w:rsidR="00CA23D0" w:rsidRPr="00E30642" w:rsidRDefault="00CA23D0" w:rsidP="00CA23D0">
            <w:pPr>
              <w:pStyle w:val="Texttabulky"/>
              <w:jc w:val="both"/>
              <w:rPr>
                <w:rFonts w:cs="Arial"/>
              </w:rPr>
            </w:pPr>
            <w:r w:rsidRPr="00E30642">
              <w:rPr>
                <w:rFonts w:cs="Arial"/>
                <w:b/>
                <w:bCs/>
                <w:sz w:val="18"/>
                <w:szCs w:val="18"/>
              </w:rPr>
              <w:t>celkem</w:t>
            </w:r>
          </w:p>
        </w:tc>
        <w:tc>
          <w:tcPr>
            <w:tcW w:w="1037" w:type="dxa"/>
            <w:tcBorders>
              <w:top w:val="single" w:sz="6" w:space="0" w:color="auto"/>
              <w:left w:val="single" w:sz="6" w:space="0" w:color="auto"/>
              <w:bottom w:val="single" w:sz="6" w:space="0" w:color="auto"/>
              <w:right w:val="single" w:sz="6" w:space="0" w:color="auto"/>
            </w:tcBorders>
          </w:tcPr>
          <w:p w14:paraId="30080B5A" w14:textId="77777777" w:rsidR="00CA23D0" w:rsidRPr="00E30642" w:rsidRDefault="00CA23D0" w:rsidP="00CA23D0">
            <w:pPr>
              <w:pStyle w:val="Texttabulky"/>
              <w:jc w:val="both"/>
              <w:rPr>
                <w:rFonts w:cs="Arial"/>
              </w:rPr>
            </w:pPr>
            <w:r w:rsidRPr="00E30642">
              <w:rPr>
                <w:rFonts w:cs="Arial"/>
                <w:b/>
                <w:bCs/>
                <w:sz w:val="18"/>
                <w:szCs w:val="18"/>
              </w:rPr>
              <w:t>185</w:t>
            </w:r>
          </w:p>
        </w:tc>
        <w:tc>
          <w:tcPr>
            <w:tcW w:w="1037" w:type="dxa"/>
            <w:tcBorders>
              <w:top w:val="single" w:sz="6" w:space="0" w:color="auto"/>
              <w:left w:val="single" w:sz="6" w:space="0" w:color="auto"/>
              <w:bottom w:val="single" w:sz="6" w:space="0" w:color="auto"/>
              <w:right w:val="single" w:sz="6" w:space="0" w:color="auto"/>
            </w:tcBorders>
          </w:tcPr>
          <w:p w14:paraId="3FA83E75" w14:textId="77777777" w:rsidR="00CA23D0" w:rsidRPr="00E30642" w:rsidRDefault="00CA23D0" w:rsidP="00CA23D0">
            <w:pPr>
              <w:pStyle w:val="Texttabulky"/>
              <w:jc w:val="both"/>
              <w:rPr>
                <w:rFonts w:cs="Arial"/>
              </w:rPr>
            </w:pPr>
            <w:r w:rsidRPr="00E30642">
              <w:rPr>
                <w:rFonts w:cs="Arial"/>
                <w:b/>
                <w:bCs/>
                <w:sz w:val="18"/>
                <w:szCs w:val="18"/>
              </w:rPr>
              <w:t>9 310</w:t>
            </w:r>
          </w:p>
        </w:tc>
        <w:tc>
          <w:tcPr>
            <w:tcW w:w="1037" w:type="dxa"/>
            <w:tcBorders>
              <w:top w:val="single" w:sz="6" w:space="0" w:color="auto"/>
              <w:left w:val="single" w:sz="6" w:space="0" w:color="auto"/>
              <w:bottom w:val="single" w:sz="6" w:space="0" w:color="auto"/>
              <w:right w:val="single" w:sz="6" w:space="0" w:color="auto"/>
            </w:tcBorders>
          </w:tcPr>
          <w:p w14:paraId="3470E246" w14:textId="77777777" w:rsidR="00CA23D0" w:rsidRPr="00E30642" w:rsidRDefault="00CA23D0" w:rsidP="00CA23D0">
            <w:pPr>
              <w:pStyle w:val="Texttabulky"/>
              <w:jc w:val="both"/>
              <w:rPr>
                <w:rFonts w:cs="Arial"/>
              </w:rPr>
            </w:pPr>
            <w:r w:rsidRPr="00E30642">
              <w:rPr>
                <w:rFonts w:cs="Arial"/>
                <w:b/>
                <w:bCs/>
                <w:sz w:val="18"/>
                <w:szCs w:val="18"/>
              </w:rPr>
              <w:t>198,94</w:t>
            </w:r>
          </w:p>
        </w:tc>
        <w:tc>
          <w:tcPr>
            <w:tcW w:w="1037" w:type="dxa"/>
            <w:tcBorders>
              <w:top w:val="single" w:sz="6" w:space="0" w:color="auto"/>
              <w:left w:val="single" w:sz="6" w:space="0" w:color="auto"/>
              <w:bottom w:val="single" w:sz="6" w:space="0" w:color="auto"/>
              <w:right w:val="single" w:sz="6" w:space="0" w:color="auto"/>
            </w:tcBorders>
          </w:tcPr>
          <w:p w14:paraId="69A5741D" w14:textId="77777777" w:rsidR="00CA23D0" w:rsidRPr="00E30642" w:rsidRDefault="00CA23D0" w:rsidP="00CA23D0">
            <w:pPr>
              <w:pStyle w:val="Texttabulky"/>
              <w:jc w:val="both"/>
              <w:rPr>
                <w:rFonts w:cs="Arial"/>
              </w:rPr>
            </w:pPr>
            <w:r w:rsidRPr="00E30642">
              <w:rPr>
                <w:rFonts w:cs="Arial"/>
                <w:b/>
                <w:bCs/>
                <w:sz w:val="18"/>
                <w:szCs w:val="18"/>
              </w:rPr>
              <w:t>9,02</w:t>
            </w:r>
          </w:p>
        </w:tc>
        <w:tc>
          <w:tcPr>
            <w:tcW w:w="1037" w:type="dxa"/>
            <w:tcBorders>
              <w:top w:val="single" w:sz="6" w:space="0" w:color="auto"/>
              <w:left w:val="single" w:sz="6" w:space="0" w:color="auto"/>
              <w:bottom w:val="single" w:sz="6" w:space="0" w:color="auto"/>
              <w:right w:val="single" w:sz="6" w:space="0" w:color="auto"/>
            </w:tcBorders>
          </w:tcPr>
          <w:p w14:paraId="0B6470D4" w14:textId="77777777" w:rsidR="00CA23D0" w:rsidRPr="00E30642" w:rsidRDefault="00CA23D0" w:rsidP="00CA23D0">
            <w:pPr>
              <w:pStyle w:val="Texttabulky"/>
              <w:jc w:val="both"/>
              <w:rPr>
                <w:rFonts w:cs="Arial"/>
              </w:rPr>
            </w:pPr>
            <w:r w:rsidRPr="00E30642">
              <w:rPr>
                <w:rFonts w:cs="Arial"/>
                <w:b/>
                <w:bCs/>
                <w:sz w:val="18"/>
                <w:szCs w:val="18"/>
              </w:rPr>
              <w:t>16,95</w:t>
            </w:r>
          </w:p>
        </w:tc>
        <w:tc>
          <w:tcPr>
            <w:tcW w:w="1037" w:type="dxa"/>
            <w:tcBorders>
              <w:top w:val="single" w:sz="6" w:space="0" w:color="auto"/>
              <w:left w:val="single" w:sz="6" w:space="0" w:color="auto"/>
              <w:bottom w:val="single" w:sz="6" w:space="0" w:color="auto"/>
              <w:right w:val="single" w:sz="6" w:space="0" w:color="auto"/>
            </w:tcBorders>
          </w:tcPr>
          <w:p w14:paraId="274924E6" w14:textId="77777777" w:rsidR="00CA23D0" w:rsidRPr="00E30642" w:rsidRDefault="00CA23D0" w:rsidP="00CA23D0">
            <w:pPr>
              <w:pStyle w:val="Texttabulky"/>
              <w:jc w:val="both"/>
              <w:rPr>
                <w:rFonts w:cs="Arial"/>
              </w:rPr>
            </w:pPr>
            <w:r w:rsidRPr="00E30642">
              <w:rPr>
                <w:rFonts w:cs="Arial"/>
                <w:b/>
                <w:bCs/>
                <w:sz w:val="18"/>
                <w:szCs w:val="18"/>
              </w:rPr>
              <w:t>206,87</w:t>
            </w:r>
          </w:p>
        </w:tc>
        <w:tc>
          <w:tcPr>
            <w:tcW w:w="1037" w:type="dxa"/>
            <w:tcBorders>
              <w:top w:val="single" w:sz="6" w:space="0" w:color="auto"/>
              <w:left w:val="single" w:sz="6" w:space="0" w:color="auto"/>
              <w:bottom w:val="single" w:sz="6" w:space="0" w:color="auto"/>
              <w:right w:val="single" w:sz="6" w:space="0" w:color="auto"/>
            </w:tcBorders>
          </w:tcPr>
          <w:p w14:paraId="3C1941A7" w14:textId="77777777" w:rsidR="00CA23D0" w:rsidRPr="00E30642" w:rsidRDefault="00CA23D0" w:rsidP="00CA23D0">
            <w:pPr>
              <w:pStyle w:val="Texttabulky"/>
              <w:jc w:val="both"/>
              <w:rPr>
                <w:rFonts w:cs="Arial"/>
              </w:rPr>
            </w:pPr>
            <w:r w:rsidRPr="00E30642">
              <w:rPr>
                <w:rFonts w:cs="Arial"/>
                <w:b/>
                <w:bCs/>
                <w:sz w:val="18"/>
                <w:szCs w:val="18"/>
              </w:rPr>
              <w:t>18,95</w:t>
            </w:r>
          </w:p>
        </w:tc>
      </w:tr>
    </w:tbl>
    <w:p w14:paraId="6BC86C53" w14:textId="77777777" w:rsidR="00CA23D0" w:rsidRPr="00E30642" w:rsidRDefault="00CA23D0" w:rsidP="00CA23D0">
      <w:pPr>
        <w:autoSpaceDE w:val="0"/>
        <w:autoSpaceDN w:val="0"/>
        <w:adjustRightInd w:val="0"/>
        <w:jc w:val="both"/>
        <w:rPr>
          <w:rFonts w:ascii="Arial" w:hAnsi="Arial" w:cs="Arial"/>
          <w:sz w:val="20"/>
        </w:rPr>
      </w:pPr>
    </w:p>
    <w:p w14:paraId="02F0ADDB" w14:textId="77777777" w:rsidR="00CA23D0" w:rsidRPr="00E30642" w:rsidRDefault="00CA23D0" w:rsidP="00CA23D0">
      <w:pPr>
        <w:pStyle w:val="Zkladntext"/>
        <w:jc w:val="both"/>
        <w:rPr>
          <w:rFonts w:ascii="Arial" w:hAnsi="Arial" w:cs="Arial"/>
        </w:rPr>
      </w:pPr>
      <w:r w:rsidRPr="00E30642">
        <w:rPr>
          <w:rFonts w:ascii="Arial" w:hAnsi="Arial" w:cs="Arial"/>
          <w:sz w:val="16"/>
          <w:szCs w:val="16"/>
        </w:rPr>
        <w:tab/>
        <w:t>do bilance nejsou zahrnuty areály zemědělské výroby a technické infrastruktury</w:t>
      </w:r>
    </w:p>
    <w:p w14:paraId="664A6E38" w14:textId="77777777" w:rsidR="00CA23D0" w:rsidRDefault="00CA23D0" w:rsidP="00CA23D0">
      <w:pPr>
        <w:pStyle w:val="Zkladntext"/>
        <w:jc w:val="both"/>
        <w:rPr>
          <w:rFonts w:ascii="Arial" w:hAnsi="Arial" w:cs="Arial"/>
        </w:rPr>
      </w:pPr>
    </w:p>
    <w:p w14:paraId="50733502" w14:textId="77777777" w:rsidR="00D3579D" w:rsidRPr="00E30642" w:rsidRDefault="00D3579D" w:rsidP="00CA23D0">
      <w:pPr>
        <w:pStyle w:val="Zkladntext"/>
        <w:jc w:val="both"/>
        <w:rPr>
          <w:rFonts w:ascii="Arial" w:hAnsi="Arial" w:cs="Arial"/>
        </w:rPr>
      </w:pPr>
    </w:p>
    <w:p w14:paraId="6EC57653" w14:textId="77777777" w:rsidR="00CA23D0" w:rsidRPr="00E30642" w:rsidRDefault="00CA23D0" w:rsidP="00CA23D0">
      <w:pPr>
        <w:pStyle w:val="Zkladntext"/>
        <w:jc w:val="both"/>
        <w:rPr>
          <w:rFonts w:ascii="Arial" w:hAnsi="Arial" w:cs="Arial"/>
        </w:rPr>
      </w:pPr>
      <w:r w:rsidRPr="00E30642">
        <w:rPr>
          <w:rFonts w:ascii="Arial" w:hAnsi="Arial" w:cs="Arial"/>
          <w:b/>
          <w:bCs/>
        </w:rPr>
        <w:t xml:space="preserve">      NÁVRH NOVÝCH AREÁLŮ EZ </w:t>
      </w:r>
    </w:p>
    <w:p w14:paraId="28593DDF" w14:textId="77777777" w:rsidR="00CA23D0" w:rsidRPr="00E30642" w:rsidRDefault="00CA23D0" w:rsidP="00CA23D0">
      <w:pPr>
        <w:pStyle w:val="Zkladntext"/>
        <w:jc w:val="both"/>
        <w:rPr>
          <w:rFonts w:ascii="Arial" w:hAnsi="Arial" w:cs="Arial"/>
        </w:rPr>
      </w:pPr>
    </w:p>
    <w:tbl>
      <w:tblPr>
        <w:tblW w:w="0" w:type="auto"/>
        <w:jc w:val="center"/>
        <w:tblLayout w:type="fixed"/>
        <w:tblCellMar>
          <w:left w:w="42" w:type="dxa"/>
          <w:right w:w="42" w:type="dxa"/>
        </w:tblCellMar>
        <w:tblLook w:val="0000" w:firstRow="0" w:lastRow="0" w:firstColumn="0" w:lastColumn="0" w:noHBand="0" w:noVBand="0"/>
      </w:tblPr>
      <w:tblGrid>
        <w:gridCol w:w="614"/>
        <w:gridCol w:w="2198"/>
        <w:gridCol w:w="835"/>
        <w:gridCol w:w="1009"/>
        <w:gridCol w:w="1075"/>
        <w:gridCol w:w="1145"/>
        <w:gridCol w:w="937"/>
      </w:tblGrid>
      <w:tr w:rsidR="00CA23D0" w:rsidRPr="00E30642" w14:paraId="5296DDE8"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02A76743" w14:textId="77777777" w:rsidR="00CA23D0" w:rsidRPr="00E30642" w:rsidRDefault="00CA23D0" w:rsidP="00CA23D0">
            <w:pPr>
              <w:pStyle w:val="Texttabulky"/>
              <w:jc w:val="both"/>
              <w:rPr>
                <w:rFonts w:cs="Arial"/>
              </w:rPr>
            </w:pPr>
            <w:r w:rsidRPr="00E30642">
              <w:rPr>
                <w:rFonts w:cs="Arial"/>
                <w:sz w:val="18"/>
                <w:szCs w:val="18"/>
              </w:rPr>
              <w:t>sektor číslo</w:t>
            </w:r>
          </w:p>
        </w:tc>
        <w:tc>
          <w:tcPr>
            <w:tcW w:w="2198" w:type="dxa"/>
            <w:tcBorders>
              <w:top w:val="single" w:sz="6" w:space="0" w:color="auto"/>
              <w:left w:val="single" w:sz="6" w:space="0" w:color="auto"/>
              <w:bottom w:val="single" w:sz="6" w:space="0" w:color="auto"/>
              <w:right w:val="single" w:sz="6" w:space="0" w:color="auto"/>
            </w:tcBorders>
          </w:tcPr>
          <w:p w14:paraId="6B31213F" w14:textId="77777777" w:rsidR="00CA23D0" w:rsidRPr="00E30642" w:rsidRDefault="00CA23D0" w:rsidP="00CA23D0">
            <w:pPr>
              <w:pStyle w:val="Texttabulky"/>
              <w:jc w:val="both"/>
              <w:rPr>
                <w:rFonts w:cs="Arial"/>
              </w:rPr>
            </w:pPr>
            <w:r w:rsidRPr="00E30642">
              <w:rPr>
                <w:rFonts w:cs="Arial"/>
                <w:b/>
                <w:bCs/>
                <w:sz w:val="18"/>
                <w:szCs w:val="18"/>
              </w:rPr>
              <w:t xml:space="preserve">lokalita </w:t>
            </w:r>
          </w:p>
        </w:tc>
        <w:tc>
          <w:tcPr>
            <w:tcW w:w="835" w:type="dxa"/>
            <w:tcBorders>
              <w:top w:val="single" w:sz="6" w:space="0" w:color="auto"/>
              <w:left w:val="single" w:sz="6" w:space="0" w:color="auto"/>
              <w:bottom w:val="single" w:sz="6" w:space="0" w:color="auto"/>
              <w:right w:val="single" w:sz="6" w:space="0" w:color="auto"/>
            </w:tcBorders>
          </w:tcPr>
          <w:p w14:paraId="56D558A9" w14:textId="77777777" w:rsidR="00CA23D0" w:rsidRPr="00E30642" w:rsidRDefault="00CA23D0" w:rsidP="00CA23D0">
            <w:pPr>
              <w:pStyle w:val="Texttabulky"/>
              <w:jc w:val="both"/>
              <w:rPr>
                <w:rFonts w:cs="Arial"/>
              </w:rPr>
            </w:pPr>
            <w:r w:rsidRPr="00E30642">
              <w:rPr>
                <w:rFonts w:cs="Arial"/>
                <w:b/>
                <w:bCs/>
                <w:sz w:val="18"/>
                <w:szCs w:val="18"/>
              </w:rPr>
              <w:t>plocha</w:t>
            </w:r>
          </w:p>
          <w:p w14:paraId="51B73604" w14:textId="77777777" w:rsidR="00CA23D0" w:rsidRPr="00E30642" w:rsidRDefault="00CA23D0" w:rsidP="00CA23D0">
            <w:pPr>
              <w:pStyle w:val="Texttabulky"/>
              <w:jc w:val="both"/>
              <w:rPr>
                <w:rFonts w:cs="Arial"/>
              </w:rPr>
            </w:pPr>
            <w:r w:rsidRPr="00E30642">
              <w:rPr>
                <w:rFonts w:cs="Arial"/>
                <w:b/>
                <w:bCs/>
                <w:sz w:val="18"/>
                <w:szCs w:val="18"/>
              </w:rPr>
              <w:t>v ha</w:t>
            </w:r>
          </w:p>
        </w:tc>
        <w:tc>
          <w:tcPr>
            <w:tcW w:w="1009" w:type="dxa"/>
            <w:tcBorders>
              <w:top w:val="single" w:sz="6" w:space="0" w:color="auto"/>
              <w:left w:val="single" w:sz="6" w:space="0" w:color="auto"/>
              <w:bottom w:val="single" w:sz="6" w:space="0" w:color="auto"/>
              <w:right w:val="single" w:sz="6" w:space="0" w:color="auto"/>
            </w:tcBorders>
          </w:tcPr>
          <w:p w14:paraId="7CA0237F" w14:textId="77777777" w:rsidR="00CA23D0" w:rsidRPr="00E30642" w:rsidRDefault="00CA23D0" w:rsidP="00CA23D0">
            <w:pPr>
              <w:pStyle w:val="Texttabulky"/>
              <w:jc w:val="both"/>
              <w:rPr>
                <w:rFonts w:cs="Arial"/>
              </w:rPr>
            </w:pPr>
            <w:r w:rsidRPr="00E30642">
              <w:rPr>
                <w:rFonts w:cs="Arial"/>
                <w:b/>
                <w:bCs/>
                <w:sz w:val="18"/>
                <w:szCs w:val="18"/>
              </w:rPr>
              <w:t xml:space="preserve"> počet        pracovníků</w:t>
            </w:r>
          </w:p>
        </w:tc>
        <w:tc>
          <w:tcPr>
            <w:tcW w:w="1075" w:type="dxa"/>
            <w:tcBorders>
              <w:top w:val="single" w:sz="6" w:space="0" w:color="auto"/>
              <w:left w:val="single" w:sz="6" w:space="0" w:color="auto"/>
              <w:bottom w:val="single" w:sz="6" w:space="0" w:color="auto"/>
              <w:right w:val="single" w:sz="6" w:space="0" w:color="auto"/>
            </w:tcBorders>
          </w:tcPr>
          <w:p w14:paraId="267EBC7E" w14:textId="77777777" w:rsidR="00CA23D0" w:rsidRPr="00E30642" w:rsidRDefault="00CA23D0" w:rsidP="00CA23D0">
            <w:pPr>
              <w:pStyle w:val="Texttabulky"/>
              <w:jc w:val="both"/>
              <w:rPr>
                <w:rFonts w:cs="Arial"/>
              </w:rPr>
            </w:pPr>
            <w:r w:rsidRPr="00E30642">
              <w:rPr>
                <w:rFonts w:cs="Arial"/>
                <w:b/>
                <w:bCs/>
                <w:sz w:val="18"/>
                <w:szCs w:val="18"/>
              </w:rPr>
              <w:t>kategorie</w:t>
            </w:r>
          </w:p>
        </w:tc>
        <w:tc>
          <w:tcPr>
            <w:tcW w:w="1145" w:type="dxa"/>
            <w:tcBorders>
              <w:top w:val="single" w:sz="6" w:space="0" w:color="auto"/>
              <w:left w:val="single" w:sz="6" w:space="0" w:color="auto"/>
              <w:bottom w:val="single" w:sz="6" w:space="0" w:color="auto"/>
              <w:right w:val="single" w:sz="6" w:space="0" w:color="auto"/>
            </w:tcBorders>
          </w:tcPr>
          <w:p w14:paraId="67120344" w14:textId="77777777" w:rsidR="00CA23D0" w:rsidRPr="00E30642" w:rsidRDefault="00CA23D0" w:rsidP="00CA23D0">
            <w:pPr>
              <w:pStyle w:val="Texttabulky"/>
              <w:jc w:val="both"/>
              <w:rPr>
                <w:rFonts w:cs="Arial"/>
              </w:rPr>
            </w:pPr>
            <w:r w:rsidRPr="00E30642">
              <w:rPr>
                <w:rFonts w:cs="Arial"/>
                <w:b/>
                <w:bCs/>
                <w:sz w:val="18"/>
                <w:szCs w:val="18"/>
              </w:rPr>
              <w:t>etapa</w:t>
            </w:r>
          </w:p>
          <w:p w14:paraId="39142B35" w14:textId="77777777" w:rsidR="00CA23D0" w:rsidRPr="00E30642" w:rsidRDefault="00CA23D0" w:rsidP="00CA23D0">
            <w:pPr>
              <w:pStyle w:val="Texttabulky"/>
              <w:jc w:val="both"/>
              <w:rPr>
                <w:rFonts w:cs="Arial"/>
              </w:rPr>
            </w:pPr>
            <w:r w:rsidRPr="00E30642">
              <w:rPr>
                <w:rFonts w:cs="Arial"/>
                <w:b/>
                <w:bCs/>
                <w:sz w:val="18"/>
                <w:szCs w:val="18"/>
              </w:rPr>
              <w:t>výstavby 1-2</w:t>
            </w:r>
          </w:p>
        </w:tc>
        <w:tc>
          <w:tcPr>
            <w:tcW w:w="937" w:type="dxa"/>
            <w:tcBorders>
              <w:top w:val="single" w:sz="6" w:space="0" w:color="auto"/>
              <w:left w:val="single" w:sz="6" w:space="0" w:color="auto"/>
              <w:bottom w:val="single" w:sz="6" w:space="0" w:color="auto"/>
              <w:right w:val="single" w:sz="6" w:space="0" w:color="auto"/>
            </w:tcBorders>
          </w:tcPr>
          <w:p w14:paraId="55CA727C" w14:textId="77777777" w:rsidR="00CA23D0" w:rsidRPr="00E30642" w:rsidRDefault="00CA23D0" w:rsidP="00CA23D0">
            <w:pPr>
              <w:pStyle w:val="Texttabulky"/>
              <w:jc w:val="both"/>
              <w:rPr>
                <w:rFonts w:cs="Arial"/>
              </w:rPr>
            </w:pPr>
            <w:r w:rsidRPr="00E30642">
              <w:rPr>
                <w:rFonts w:cs="Arial"/>
                <w:b/>
                <w:bCs/>
                <w:sz w:val="18"/>
                <w:szCs w:val="18"/>
              </w:rPr>
              <w:t>výhledová rezerva</w:t>
            </w:r>
          </w:p>
        </w:tc>
      </w:tr>
      <w:tr w:rsidR="00CA23D0" w:rsidRPr="00E30642" w14:paraId="1AB82FBB"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00CBE57A" w14:textId="77777777" w:rsidR="00CA23D0" w:rsidRPr="00E30642" w:rsidRDefault="00CA23D0" w:rsidP="00CA23D0">
            <w:pPr>
              <w:pStyle w:val="Texttabulky"/>
              <w:jc w:val="both"/>
              <w:rPr>
                <w:rFonts w:cs="Arial"/>
              </w:rPr>
            </w:pPr>
            <w:r w:rsidRPr="00E30642">
              <w:rPr>
                <w:rFonts w:cs="Arial"/>
                <w:b/>
                <w:bCs/>
                <w:sz w:val="18"/>
                <w:szCs w:val="18"/>
              </w:rPr>
              <w:t>II/24</w:t>
            </w:r>
          </w:p>
        </w:tc>
        <w:tc>
          <w:tcPr>
            <w:tcW w:w="2198" w:type="dxa"/>
            <w:tcBorders>
              <w:top w:val="single" w:sz="6" w:space="0" w:color="auto"/>
              <w:left w:val="single" w:sz="6" w:space="0" w:color="auto"/>
              <w:bottom w:val="single" w:sz="6" w:space="0" w:color="auto"/>
              <w:right w:val="single" w:sz="6" w:space="0" w:color="auto"/>
            </w:tcBorders>
          </w:tcPr>
          <w:p w14:paraId="292F24C8" w14:textId="77777777" w:rsidR="00CA23D0" w:rsidRPr="00E30642" w:rsidRDefault="00CA23D0" w:rsidP="00CA23D0">
            <w:pPr>
              <w:pStyle w:val="Texttabulky"/>
              <w:jc w:val="both"/>
              <w:rPr>
                <w:rFonts w:cs="Arial"/>
              </w:rPr>
            </w:pPr>
            <w:r w:rsidRPr="00E30642">
              <w:rPr>
                <w:rFonts w:cs="Arial"/>
                <w:sz w:val="18"/>
                <w:szCs w:val="18"/>
              </w:rPr>
              <w:t>Dělnická - zahrádk. osada</w:t>
            </w:r>
          </w:p>
        </w:tc>
        <w:tc>
          <w:tcPr>
            <w:tcW w:w="835" w:type="dxa"/>
            <w:tcBorders>
              <w:top w:val="single" w:sz="6" w:space="0" w:color="auto"/>
              <w:left w:val="single" w:sz="6" w:space="0" w:color="auto"/>
              <w:bottom w:val="single" w:sz="6" w:space="0" w:color="auto"/>
              <w:right w:val="single" w:sz="6" w:space="0" w:color="auto"/>
            </w:tcBorders>
          </w:tcPr>
          <w:p w14:paraId="10A2CDA0" w14:textId="77777777" w:rsidR="00CA23D0" w:rsidRPr="00E30642" w:rsidRDefault="00CA23D0" w:rsidP="00CA23D0">
            <w:pPr>
              <w:pStyle w:val="Texttabulky"/>
              <w:jc w:val="both"/>
              <w:rPr>
                <w:rFonts w:cs="Arial"/>
              </w:rPr>
            </w:pPr>
            <w:r w:rsidRPr="00E30642">
              <w:rPr>
                <w:rFonts w:cs="Arial"/>
                <w:sz w:val="18"/>
                <w:szCs w:val="18"/>
              </w:rPr>
              <w:t>1,03</w:t>
            </w:r>
          </w:p>
        </w:tc>
        <w:tc>
          <w:tcPr>
            <w:tcW w:w="1009" w:type="dxa"/>
            <w:tcBorders>
              <w:top w:val="single" w:sz="6" w:space="0" w:color="auto"/>
              <w:left w:val="single" w:sz="6" w:space="0" w:color="auto"/>
              <w:bottom w:val="single" w:sz="6" w:space="0" w:color="auto"/>
              <w:right w:val="single" w:sz="6" w:space="0" w:color="auto"/>
            </w:tcBorders>
          </w:tcPr>
          <w:p w14:paraId="50B71E3F" w14:textId="77777777" w:rsidR="00CA23D0" w:rsidRPr="00E30642" w:rsidRDefault="00CA23D0" w:rsidP="00CA23D0">
            <w:pPr>
              <w:pStyle w:val="Texttabulky"/>
              <w:jc w:val="both"/>
              <w:rPr>
                <w:rFonts w:cs="Arial"/>
              </w:rPr>
            </w:pPr>
            <w:r w:rsidRPr="00E30642">
              <w:rPr>
                <w:rFonts w:cs="Arial"/>
                <w:sz w:val="18"/>
                <w:szCs w:val="18"/>
              </w:rPr>
              <w:t>50</w:t>
            </w:r>
          </w:p>
        </w:tc>
        <w:tc>
          <w:tcPr>
            <w:tcW w:w="1075" w:type="dxa"/>
            <w:tcBorders>
              <w:top w:val="single" w:sz="6" w:space="0" w:color="auto"/>
              <w:left w:val="single" w:sz="6" w:space="0" w:color="auto"/>
              <w:bottom w:val="single" w:sz="6" w:space="0" w:color="auto"/>
              <w:right w:val="single" w:sz="6" w:space="0" w:color="auto"/>
            </w:tcBorders>
          </w:tcPr>
          <w:p w14:paraId="1C10320A" w14:textId="77777777" w:rsidR="00CA23D0" w:rsidRPr="00E30642" w:rsidRDefault="00CA23D0" w:rsidP="00CA23D0">
            <w:pPr>
              <w:pStyle w:val="Texttabulky"/>
              <w:jc w:val="both"/>
              <w:rPr>
                <w:rFonts w:cs="Arial"/>
              </w:rPr>
            </w:pPr>
            <w:r w:rsidRPr="00E30642">
              <w:rPr>
                <w:rFonts w:cs="Arial"/>
                <w:sz w:val="18"/>
                <w:szCs w:val="18"/>
              </w:rPr>
              <w:t>B</w:t>
            </w:r>
          </w:p>
        </w:tc>
        <w:tc>
          <w:tcPr>
            <w:tcW w:w="1145" w:type="dxa"/>
            <w:tcBorders>
              <w:top w:val="single" w:sz="6" w:space="0" w:color="auto"/>
              <w:left w:val="single" w:sz="6" w:space="0" w:color="auto"/>
              <w:bottom w:val="single" w:sz="6" w:space="0" w:color="auto"/>
              <w:right w:val="single" w:sz="6" w:space="0" w:color="auto"/>
            </w:tcBorders>
          </w:tcPr>
          <w:p w14:paraId="345C6F04" w14:textId="77777777" w:rsidR="00CA23D0" w:rsidRPr="00E30642" w:rsidRDefault="00CA23D0" w:rsidP="00CA23D0">
            <w:pPr>
              <w:pStyle w:val="Zkladntext"/>
              <w:jc w:val="both"/>
              <w:rPr>
                <w:rFonts w:ascii="Arial" w:hAnsi="Arial" w:cs="Arial"/>
              </w:rPr>
            </w:pPr>
          </w:p>
        </w:tc>
        <w:tc>
          <w:tcPr>
            <w:tcW w:w="937" w:type="dxa"/>
            <w:tcBorders>
              <w:top w:val="single" w:sz="6" w:space="0" w:color="auto"/>
              <w:left w:val="single" w:sz="6" w:space="0" w:color="auto"/>
              <w:bottom w:val="single" w:sz="6" w:space="0" w:color="auto"/>
              <w:right w:val="single" w:sz="6" w:space="0" w:color="auto"/>
            </w:tcBorders>
          </w:tcPr>
          <w:p w14:paraId="591BCDEF" w14:textId="77777777" w:rsidR="00CA23D0" w:rsidRPr="00E30642" w:rsidRDefault="00CA23D0" w:rsidP="00CA23D0">
            <w:pPr>
              <w:pStyle w:val="Texttabulky"/>
              <w:jc w:val="both"/>
              <w:rPr>
                <w:rFonts w:cs="Arial"/>
              </w:rPr>
            </w:pPr>
            <w:r w:rsidRPr="00E30642">
              <w:rPr>
                <w:rFonts w:cs="Arial"/>
                <w:sz w:val="18"/>
                <w:szCs w:val="18"/>
              </w:rPr>
              <w:t>V</w:t>
            </w:r>
          </w:p>
        </w:tc>
      </w:tr>
      <w:tr w:rsidR="00CA23D0" w:rsidRPr="00E30642" w14:paraId="56BD91AE"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270BCD9C" w14:textId="77777777" w:rsidR="00CA23D0" w:rsidRPr="00E30642" w:rsidRDefault="00CA23D0" w:rsidP="00CA23D0">
            <w:pPr>
              <w:pStyle w:val="Texttabulky"/>
              <w:jc w:val="both"/>
              <w:rPr>
                <w:rFonts w:cs="Arial"/>
              </w:rPr>
            </w:pPr>
            <w:r w:rsidRPr="00E30642">
              <w:rPr>
                <w:rFonts w:cs="Arial"/>
                <w:b/>
                <w:bCs/>
                <w:sz w:val="18"/>
                <w:szCs w:val="18"/>
              </w:rPr>
              <w:t>IV/19</w:t>
            </w:r>
          </w:p>
        </w:tc>
        <w:tc>
          <w:tcPr>
            <w:tcW w:w="2198" w:type="dxa"/>
            <w:tcBorders>
              <w:top w:val="single" w:sz="6" w:space="0" w:color="auto"/>
              <w:left w:val="single" w:sz="6" w:space="0" w:color="auto"/>
              <w:bottom w:val="single" w:sz="6" w:space="0" w:color="auto"/>
              <w:right w:val="single" w:sz="6" w:space="0" w:color="auto"/>
            </w:tcBorders>
          </w:tcPr>
          <w:p w14:paraId="0ADBA7C0" w14:textId="77777777" w:rsidR="00CA23D0" w:rsidRPr="00E30642" w:rsidRDefault="00CA23D0" w:rsidP="00CA23D0">
            <w:pPr>
              <w:pStyle w:val="Texttabulky"/>
              <w:jc w:val="both"/>
              <w:rPr>
                <w:rFonts w:cs="Arial"/>
              </w:rPr>
            </w:pPr>
            <w:r w:rsidRPr="00E30642">
              <w:rPr>
                <w:rFonts w:cs="Arial"/>
                <w:sz w:val="18"/>
                <w:szCs w:val="18"/>
              </w:rPr>
              <w:t>H. Oldřichov (areál TS)</w:t>
            </w:r>
          </w:p>
        </w:tc>
        <w:tc>
          <w:tcPr>
            <w:tcW w:w="835" w:type="dxa"/>
            <w:tcBorders>
              <w:top w:val="single" w:sz="6" w:space="0" w:color="auto"/>
              <w:left w:val="single" w:sz="6" w:space="0" w:color="auto"/>
              <w:bottom w:val="single" w:sz="6" w:space="0" w:color="auto"/>
              <w:right w:val="single" w:sz="6" w:space="0" w:color="auto"/>
            </w:tcBorders>
          </w:tcPr>
          <w:p w14:paraId="27BF2E91" w14:textId="77777777" w:rsidR="00CA23D0" w:rsidRPr="00E30642" w:rsidRDefault="00CA23D0" w:rsidP="00CA23D0">
            <w:pPr>
              <w:pStyle w:val="Texttabulky"/>
              <w:jc w:val="both"/>
              <w:rPr>
                <w:rFonts w:cs="Arial"/>
              </w:rPr>
            </w:pPr>
            <w:r w:rsidRPr="00E30642">
              <w:rPr>
                <w:rFonts w:cs="Arial"/>
                <w:sz w:val="18"/>
                <w:szCs w:val="18"/>
              </w:rPr>
              <w:t>3,78</w:t>
            </w:r>
          </w:p>
        </w:tc>
        <w:tc>
          <w:tcPr>
            <w:tcW w:w="1009" w:type="dxa"/>
            <w:tcBorders>
              <w:top w:val="single" w:sz="6" w:space="0" w:color="auto"/>
              <w:left w:val="single" w:sz="6" w:space="0" w:color="auto"/>
              <w:bottom w:val="single" w:sz="6" w:space="0" w:color="auto"/>
              <w:right w:val="single" w:sz="6" w:space="0" w:color="auto"/>
            </w:tcBorders>
          </w:tcPr>
          <w:p w14:paraId="6C6A44E5" w14:textId="77777777" w:rsidR="00CA23D0" w:rsidRPr="00E30642" w:rsidRDefault="00CA23D0" w:rsidP="00CA23D0">
            <w:pPr>
              <w:pStyle w:val="Texttabulky"/>
              <w:jc w:val="both"/>
              <w:rPr>
                <w:rFonts w:cs="Arial"/>
              </w:rPr>
            </w:pPr>
            <w:r w:rsidRPr="00E30642">
              <w:rPr>
                <w:rFonts w:cs="Arial"/>
                <w:sz w:val="18"/>
                <w:szCs w:val="18"/>
              </w:rPr>
              <w:t>160</w:t>
            </w:r>
          </w:p>
        </w:tc>
        <w:tc>
          <w:tcPr>
            <w:tcW w:w="1075" w:type="dxa"/>
            <w:tcBorders>
              <w:top w:val="single" w:sz="6" w:space="0" w:color="auto"/>
              <w:left w:val="single" w:sz="6" w:space="0" w:color="auto"/>
              <w:bottom w:val="single" w:sz="6" w:space="0" w:color="auto"/>
              <w:right w:val="single" w:sz="6" w:space="0" w:color="auto"/>
            </w:tcBorders>
          </w:tcPr>
          <w:p w14:paraId="43E1E553" w14:textId="77777777" w:rsidR="00CA23D0" w:rsidRPr="00E30642" w:rsidRDefault="00CA23D0" w:rsidP="00CA23D0">
            <w:pPr>
              <w:pStyle w:val="Texttabulky"/>
              <w:jc w:val="both"/>
              <w:rPr>
                <w:rFonts w:cs="Arial"/>
              </w:rPr>
            </w:pPr>
            <w:r w:rsidRPr="00E30642">
              <w:rPr>
                <w:rFonts w:cs="Arial"/>
                <w:sz w:val="18"/>
                <w:szCs w:val="18"/>
              </w:rPr>
              <w:t>B</w:t>
            </w:r>
          </w:p>
        </w:tc>
        <w:tc>
          <w:tcPr>
            <w:tcW w:w="1145" w:type="dxa"/>
            <w:tcBorders>
              <w:top w:val="single" w:sz="6" w:space="0" w:color="auto"/>
              <w:left w:val="single" w:sz="6" w:space="0" w:color="auto"/>
              <w:bottom w:val="single" w:sz="6" w:space="0" w:color="auto"/>
              <w:right w:val="single" w:sz="6" w:space="0" w:color="auto"/>
            </w:tcBorders>
          </w:tcPr>
          <w:p w14:paraId="4C277CCA" w14:textId="77777777" w:rsidR="00CA23D0" w:rsidRPr="00E30642" w:rsidRDefault="00CA23D0" w:rsidP="00CA23D0">
            <w:pPr>
              <w:pStyle w:val="Texttabulky"/>
              <w:jc w:val="both"/>
              <w:rPr>
                <w:rFonts w:cs="Arial"/>
              </w:rPr>
            </w:pPr>
            <w:r w:rsidRPr="00E30642">
              <w:rPr>
                <w:rFonts w:cs="Arial"/>
                <w:sz w:val="18"/>
                <w:szCs w:val="18"/>
              </w:rPr>
              <w:t>1</w:t>
            </w:r>
          </w:p>
        </w:tc>
        <w:tc>
          <w:tcPr>
            <w:tcW w:w="937" w:type="dxa"/>
            <w:tcBorders>
              <w:top w:val="single" w:sz="6" w:space="0" w:color="auto"/>
              <w:left w:val="single" w:sz="6" w:space="0" w:color="auto"/>
              <w:bottom w:val="single" w:sz="6" w:space="0" w:color="auto"/>
              <w:right w:val="single" w:sz="6" w:space="0" w:color="auto"/>
            </w:tcBorders>
          </w:tcPr>
          <w:p w14:paraId="21EB30D8" w14:textId="77777777" w:rsidR="00CA23D0" w:rsidRPr="00E30642" w:rsidRDefault="00CA23D0" w:rsidP="00CA23D0">
            <w:pPr>
              <w:pStyle w:val="Zkladntext"/>
              <w:jc w:val="both"/>
              <w:rPr>
                <w:rFonts w:ascii="Arial" w:hAnsi="Arial" w:cs="Arial"/>
              </w:rPr>
            </w:pPr>
          </w:p>
        </w:tc>
      </w:tr>
      <w:tr w:rsidR="00CA23D0" w:rsidRPr="00E30642" w14:paraId="6578BDC5"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418A976D" w14:textId="77777777" w:rsidR="00CA23D0" w:rsidRPr="00E30642" w:rsidRDefault="00CA23D0" w:rsidP="00CA23D0">
            <w:pPr>
              <w:pStyle w:val="Texttabulky"/>
              <w:jc w:val="both"/>
              <w:rPr>
                <w:rFonts w:cs="Arial"/>
              </w:rPr>
            </w:pPr>
            <w:r w:rsidRPr="00E30642">
              <w:rPr>
                <w:rFonts w:cs="Arial"/>
                <w:b/>
                <w:bCs/>
                <w:sz w:val="18"/>
                <w:szCs w:val="18"/>
              </w:rPr>
              <w:t>IV/20</w:t>
            </w:r>
          </w:p>
        </w:tc>
        <w:tc>
          <w:tcPr>
            <w:tcW w:w="2198" w:type="dxa"/>
            <w:tcBorders>
              <w:top w:val="single" w:sz="6" w:space="0" w:color="auto"/>
              <w:left w:val="single" w:sz="6" w:space="0" w:color="auto"/>
              <w:bottom w:val="single" w:sz="6" w:space="0" w:color="auto"/>
              <w:right w:val="single" w:sz="6" w:space="0" w:color="auto"/>
            </w:tcBorders>
          </w:tcPr>
          <w:p w14:paraId="7CE01AEB" w14:textId="77777777" w:rsidR="00CA23D0" w:rsidRPr="00E30642" w:rsidRDefault="00CA23D0" w:rsidP="00CA23D0">
            <w:pPr>
              <w:pStyle w:val="Texttabulky"/>
              <w:jc w:val="both"/>
              <w:rPr>
                <w:rFonts w:cs="Arial"/>
              </w:rPr>
            </w:pPr>
            <w:r w:rsidRPr="00E30642">
              <w:rPr>
                <w:rFonts w:cs="Arial"/>
                <w:sz w:val="18"/>
                <w:szCs w:val="18"/>
              </w:rPr>
              <w:t>H. Oldřichov (zahr. osada)</w:t>
            </w:r>
          </w:p>
        </w:tc>
        <w:tc>
          <w:tcPr>
            <w:tcW w:w="835" w:type="dxa"/>
            <w:tcBorders>
              <w:top w:val="single" w:sz="6" w:space="0" w:color="auto"/>
              <w:left w:val="single" w:sz="6" w:space="0" w:color="auto"/>
              <w:bottom w:val="single" w:sz="6" w:space="0" w:color="auto"/>
              <w:right w:val="single" w:sz="6" w:space="0" w:color="auto"/>
            </w:tcBorders>
          </w:tcPr>
          <w:p w14:paraId="3C759FE9" w14:textId="77777777" w:rsidR="00CA23D0" w:rsidRPr="00E30642" w:rsidRDefault="00CA23D0" w:rsidP="00CA23D0">
            <w:pPr>
              <w:pStyle w:val="Texttabulky"/>
              <w:jc w:val="both"/>
              <w:rPr>
                <w:rFonts w:cs="Arial"/>
              </w:rPr>
            </w:pPr>
            <w:r w:rsidRPr="00E30642">
              <w:rPr>
                <w:rFonts w:cs="Arial"/>
                <w:sz w:val="18"/>
                <w:szCs w:val="18"/>
              </w:rPr>
              <w:t>0,63</w:t>
            </w:r>
          </w:p>
        </w:tc>
        <w:tc>
          <w:tcPr>
            <w:tcW w:w="1009" w:type="dxa"/>
            <w:tcBorders>
              <w:top w:val="single" w:sz="6" w:space="0" w:color="auto"/>
              <w:left w:val="single" w:sz="6" w:space="0" w:color="auto"/>
              <w:bottom w:val="single" w:sz="6" w:space="0" w:color="auto"/>
              <w:right w:val="single" w:sz="6" w:space="0" w:color="auto"/>
            </w:tcBorders>
          </w:tcPr>
          <w:p w14:paraId="07846EE9" w14:textId="77777777" w:rsidR="00CA23D0" w:rsidRPr="00E30642" w:rsidRDefault="00CA23D0" w:rsidP="00CA23D0">
            <w:pPr>
              <w:pStyle w:val="Texttabulky"/>
              <w:jc w:val="both"/>
              <w:rPr>
                <w:rFonts w:cs="Arial"/>
              </w:rPr>
            </w:pPr>
            <w:r w:rsidRPr="00E30642">
              <w:rPr>
                <w:rFonts w:cs="Arial"/>
                <w:sz w:val="18"/>
                <w:szCs w:val="18"/>
              </w:rPr>
              <w:t>30</w:t>
            </w:r>
          </w:p>
        </w:tc>
        <w:tc>
          <w:tcPr>
            <w:tcW w:w="1075" w:type="dxa"/>
            <w:tcBorders>
              <w:top w:val="single" w:sz="6" w:space="0" w:color="auto"/>
              <w:left w:val="single" w:sz="6" w:space="0" w:color="auto"/>
              <w:bottom w:val="single" w:sz="6" w:space="0" w:color="auto"/>
              <w:right w:val="single" w:sz="6" w:space="0" w:color="auto"/>
            </w:tcBorders>
          </w:tcPr>
          <w:p w14:paraId="7E9F9C22" w14:textId="77777777" w:rsidR="00CA23D0" w:rsidRPr="00E30642" w:rsidRDefault="00CA23D0" w:rsidP="00CA23D0">
            <w:pPr>
              <w:pStyle w:val="Texttabulky"/>
              <w:jc w:val="both"/>
              <w:rPr>
                <w:rFonts w:cs="Arial"/>
              </w:rPr>
            </w:pPr>
            <w:r w:rsidRPr="00E30642">
              <w:rPr>
                <w:rFonts w:cs="Arial"/>
                <w:sz w:val="18"/>
                <w:szCs w:val="18"/>
              </w:rPr>
              <w:t>C</w:t>
            </w:r>
          </w:p>
        </w:tc>
        <w:tc>
          <w:tcPr>
            <w:tcW w:w="1145" w:type="dxa"/>
            <w:tcBorders>
              <w:top w:val="single" w:sz="6" w:space="0" w:color="auto"/>
              <w:left w:val="single" w:sz="6" w:space="0" w:color="auto"/>
              <w:bottom w:val="single" w:sz="6" w:space="0" w:color="auto"/>
              <w:right w:val="single" w:sz="6" w:space="0" w:color="auto"/>
            </w:tcBorders>
          </w:tcPr>
          <w:p w14:paraId="4C35CD18" w14:textId="77777777" w:rsidR="00CA23D0" w:rsidRPr="00E30642" w:rsidRDefault="00CA23D0" w:rsidP="00CA23D0">
            <w:pPr>
              <w:pStyle w:val="Texttabulky"/>
              <w:jc w:val="both"/>
              <w:rPr>
                <w:rFonts w:cs="Arial"/>
              </w:rPr>
            </w:pPr>
            <w:r w:rsidRPr="00E30642">
              <w:rPr>
                <w:rFonts w:cs="Arial"/>
                <w:sz w:val="18"/>
                <w:szCs w:val="18"/>
              </w:rPr>
              <w:t>2</w:t>
            </w:r>
          </w:p>
        </w:tc>
        <w:tc>
          <w:tcPr>
            <w:tcW w:w="937" w:type="dxa"/>
            <w:tcBorders>
              <w:top w:val="single" w:sz="6" w:space="0" w:color="auto"/>
              <w:left w:val="single" w:sz="6" w:space="0" w:color="auto"/>
              <w:bottom w:val="single" w:sz="6" w:space="0" w:color="auto"/>
              <w:right w:val="single" w:sz="6" w:space="0" w:color="auto"/>
            </w:tcBorders>
          </w:tcPr>
          <w:p w14:paraId="4709FE97" w14:textId="77777777" w:rsidR="00CA23D0" w:rsidRPr="00E30642" w:rsidRDefault="00CA23D0" w:rsidP="00CA23D0">
            <w:pPr>
              <w:pStyle w:val="Zkladntext"/>
              <w:jc w:val="both"/>
              <w:rPr>
                <w:rFonts w:ascii="Arial" w:hAnsi="Arial" w:cs="Arial"/>
              </w:rPr>
            </w:pPr>
          </w:p>
        </w:tc>
      </w:tr>
      <w:tr w:rsidR="00CA23D0" w:rsidRPr="00E30642" w14:paraId="774D2240"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64152361" w14:textId="77777777" w:rsidR="00CA23D0" w:rsidRPr="00E30642" w:rsidRDefault="00CA23D0" w:rsidP="00CA23D0">
            <w:pPr>
              <w:pStyle w:val="Texttabulky"/>
              <w:jc w:val="both"/>
              <w:rPr>
                <w:rFonts w:cs="Arial"/>
              </w:rPr>
            </w:pPr>
            <w:r w:rsidRPr="00E30642">
              <w:rPr>
                <w:rFonts w:cs="Arial"/>
                <w:b/>
                <w:bCs/>
                <w:sz w:val="18"/>
                <w:szCs w:val="18"/>
              </w:rPr>
              <w:t>VI/18</w:t>
            </w:r>
          </w:p>
        </w:tc>
        <w:tc>
          <w:tcPr>
            <w:tcW w:w="2198" w:type="dxa"/>
            <w:tcBorders>
              <w:top w:val="single" w:sz="6" w:space="0" w:color="auto"/>
              <w:left w:val="single" w:sz="6" w:space="0" w:color="auto"/>
              <w:bottom w:val="single" w:sz="6" w:space="0" w:color="auto"/>
              <w:right w:val="single" w:sz="6" w:space="0" w:color="auto"/>
            </w:tcBorders>
          </w:tcPr>
          <w:p w14:paraId="19FB20E6" w14:textId="77777777" w:rsidR="00CA23D0" w:rsidRPr="00E30642" w:rsidRDefault="00CA23D0" w:rsidP="00CA23D0">
            <w:pPr>
              <w:pStyle w:val="Texttabulky"/>
              <w:jc w:val="both"/>
              <w:rPr>
                <w:rFonts w:cs="Arial"/>
              </w:rPr>
            </w:pPr>
            <w:r w:rsidRPr="00E30642">
              <w:rPr>
                <w:rFonts w:cs="Arial"/>
                <w:sz w:val="18"/>
                <w:szCs w:val="18"/>
              </w:rPr>
              <w:t>ARMEX sro.</w:t>
            </w:r>
          </w:p>
        </w:tc>
        <w:tc>
          <w:tcPr>
            <w:tcW w:w="835" w:type="dxa"/>
            <w:tcBorders>
              <w:top w:val="single" w:sz="6" w:space="0" w:color="auto"/>
              <w:left w:val="single" w:sz="6" w:space="0" w:color="auto"/>
              <w:bottom w:val="single" w:sz="6" w:space="0" w:color="auto"/>
              <w:right w:val="single" w:sz="6" w:space="0" w:color="auto"/>
            </w:tcBorders>
          </w:tcPr>
          <w:p w14:paraId="5229D72B" w14:textId="77777777" w:rsidR="00CA23D0" w:rsidRPr="00E30642" w:rsidRDefault="00CA23D0" w:rsidP="00CA23D0">
            <w:pPr>
              <w:pStyle w:val="Texttabulky"/>
              <w:jc w:val="both"/>
              <w:rPr>
                <w:rFonts w:cs="Arial"/>
              </w:rPr>
            </w:pPr>
            <w:r w:rsidRPr="00E30642">
              <w:rPr>
                <w:rFonts w:cs="Arial"/>
                <w:sz w:val="18"/>
                <w:szCs w:val="18"/>
              </w:rPr>
              <w:t>1,61</w:t>
            </w:r>
          </w:p>
        </w:tc>
        <w:tc>
          <w:tcPr>
            <w:tcW w:w="1009" w:type="dxa"/>
            <w:tcBorders>
              <w:top w:val="single" w:sz="6" w:space="0" w:color="auto"/>
              <w:left w:val="single" w:sz="6" w:space="0" w:color="auto"/>
              <w:bottom w:val="single" w:sz="6" w:space="0" w:color="auto"/>
              <w:right w:val="single" w:sz="6" w:space="0" w:color="auto"/>
            </w:tcBorders>
          </w:tcPr>
          <w:p w14:paraId="2A306EA1" w14:textId="77777777" w:rsidR="00CA23D0" w:rsidRPr="00E30642" w:rsidRDefault="00CA23D0" w:rsidP="00CA23D0">
            <w:pPr>
              <w:pStyle w:val="Texttabulky"/>
              <w:jc w:val="both"/>
              <w:rPr>
                <w:rFonts w:cs="Arial"/>
              </w:rPr>
            </w:pPr>
            <w:r w:rsidRPr="00E30642">
              <w:rPr>
                <w:rFonts w:cs="Arial"/>
                <w:sz w:val="18"/>
                <w:szCs w:val="18"/>
              </w:rPr>
              <w:t>30</w:t>
            </w:r>
          </w:p>
        </w:tc>
        <w:tc>
          <w:tcPr>
            <w:tcW w:w="1075" w:type="dxa"/>
            <w:tcBorders>
              <w:top w:val="single" w:sz="6" w:space="0" w:color="auto"/>
              <w:left w:val="single" w:sz="6" w:space="0" w:color="auto"/>
              <w:bottom w:val="single" w:sz="6" w:space="0" w:color="auto"/>
              <w:right w:val="single" w:sz="6" w:space="0" w:color="auto"/>
            </w:tcBorders>
          </w:tcPr>
          <w:p w14:paraId="1F10E072" w14:textId="77777777" w:rsidR="00CA23D0" w:rsidRPr="00E30642" w:rsidRDefault="00CA23D0" w:rsidP="00CA23D0">
            <w:pPr>
              <w:pStyle w:val="Texttabulky"/>
              <w:jc w:val="both"/>
              <w:rPr>
                <w:rFonts w:cs="Arial"/>
              </w:rPr>
            </w:pPr>
            <w:r w:rsidRPr="00E30642">
              <w:rPr>
                <w:rFonts w:cs="Arial"/>
                <w:sz w:val="18"/>
                <w:szCs w:val="18"/>
              </w:rPr>
              <w:t>C  výr.služby</w:t>
            </w:r>
          </w:p>
        </w:tc>
        <w:tc>
          <w:tcPr>
            <w:tcW w:w="1145" w:type="dxa"/>
            <w:tcBorders>
              <w:top w:val="single" w:sz="6" w:space="0" w:color="auto"/>
              <w:left w:val="single" w:sz="6" w:space="0" w:color="auto"/>
              <w:bottom w:val="single" w:sz="6" w:space="0" w:color="auto"/>
              <w:right w:val="single" w:sz="6" w:space="0" w:color="auto"/>
            </w:tcBorders>
          </w:tcPr>
          <w:p w14:paraId="657F339A" w14:textId="77777777" w:rsidR="00CA23D0" w:rsidRPr="00E30642" w:rsidRDefault="00CA23D0" w:rsidP="00CA23D0">
            <w:pPr>
              <w:pStyle w:val="Texttabulky"/>
              <w:jc w:val="both"/>
              <w:rPr>
                <w:rFonts w:cs="Arial"/>
              </w:rPr>
            </w:pPr>
            <w:r w:rsidRPr="00E30642">
              <w:rPr>
                <w:rFonts w:cs="Arial"/>
                <w:sz w:val="18"/>
                <w:szCs w:val="18"/>
              </w:rPr>
              <w:t>1 - 2</w:t>
            </w:r>
          </w:p>
        </w:tc>
        <w:tc>
          <w:tcPr>
            <w:tcW w:w="937" w:type="dxa"/>
            <w:tcBorders>
              <w:top w:val="single" w:sz="6" w:space="0" w:color="auto"/>
              <w:left w:val="single" w:sz="6" w:space="0" w:color="auto"/>
              <w:bottom w:val="single" w:sz="6" w:space="0" w:color="auto"/>
              <w:right w:val="single" w:sz="6" w:space="0" w:color="auto"/>
            </w:tcBorders>
          </w:tcPr>
          <w:p w14:paraId="5BEB9201" w14:textId="77777777" w:rsidR="00CA23D0" w:rsidRPr="00E30642" w:rsidRDefault="00CA23D0" w:rsidP="00CA23D0">
            <w:pPr>
              <w:pStyle w:val="Zkladntext"/>
              <w:jc w:val="both"/>
              <w:rPr>
                <w:rFonts w:ascii="Arial" w:hAnsi="Arial" w:cs="Arial"/>
              </w:rPr>
            </w:pPr>
          </w:p>
        </w:tc>
      </w:tr>
      <w:tr w:rsidR="00CA23D0" w:rsidRPr="00E30642" w14:paraId="55BEF463"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6527F50C" w14:textId="77777777" w:rsidR="00CA23D0" w:rsidRPr="00E30642" w:rsidRDefault="00CA23D0" w:rsidP="00CA23D0">
            <w:pPr>
              <w:pStyle w:val="Texttabulky"/>
              <w:jc w:val="both"/>
              <w:rPr>
                <w:rFonts w:cs="Arial"/>
              </w:rPr>
            </w:pPr>
            <w:r w:rsidRPr="00E30642">
              <w:rPr>
                <w:rFonts w:cs="Arial"/>
                <w:b/>
                <w:bCs/>
                <w:sz w:val="18"/>
                <w:szCs w:val="18"/>
              </w:rPr>
              <w:t>VI/24</w:t>
            </w:r>
          </w:p>
        </w:tc>
        <w:tc>
          <w:tcPr>
            <w:tcW w:w="2198" w:type="dxa"/>
            <w:tcBorders>
              <w:top w:val="single" w:sz="6" w:space="0" w:color="auto"/>
              <w:left w:val="single" w:sz="6" w:space="0" w:color="auto"/>
              <w:bottom w:val="single" w:sz="6" w:space="0" w:color="auto"/>
              <w:right w:val="single" w:sz="6" w:space="0" w:color="auto"/>
            </w:tcBorders>
          </w:tcPr>
          <w:p w14:paraId="48F0BAAE" w14:textId="77777777" w:rsidR="00CA23D0" w:rsidRPr="00E30642" w:rsidRDefault="00CA23D0" w:rsidP="00CA23D0">
            <w:pPr>
              <w:pStyle w:val="Texttabulky"/>
              <w:jc w:val="both"/>
              <w:rPr>
                <w:rFonts w:cs="Arial"/>
              </w:rPr>
            </w:pPr>
            <w:r w:rsidRPr="00E30642">
              <w:rPr>
                <w:rFonts w:cs="Arial"/>
                <w:sz w:val="18"/>
                <w:szCs w:val="18"/>
              </w:rPr>
              <w:t>St. Město, TS rozšíření areálu + sport při nábřeží</w:t>
            </w:r>
          </w:p>
        </w:tc>
        <w:tc>
          <w:tcPr>
            <w:tcW w:w="835" w:type="dxa"/>
            <w:tcBorders>
              <w:top w:val="single" w:sz="6" w:space="0" w:color="auto"/>
              <w:left w:val="single" w:sz="6" w:space="0" w:color="auto"/>
              <w:bottom w:val="single" w:sz="6" w:space="0" w:color="auto"/>
              <w:right w:val="single" w:sz="6" w:space="0" w:color="auto"/>
            </w:tcBorders>
          </w:tcPr>
          <w:p w14:paraId="56367F93" w14:textId="77777777" w:rsidR="00CA23D0" w:rsidRPr="00E30642" w:rsidRDefault="00CA23D0" w:rsidP="00CA23D0">
            <w:pPr>
              <w:pStyle w:val="Texttabulky"/>
              <w:jc w:val="both"/>
              <w:rPr>
                <w:rFonts w:cs="Arial"/>
              </w:rPr>
            </w:pPr>
            <w:r w:rsidRPr="00E30642">
              <w:rPr>
                <w:rFonts w:cs="Arial"/>
                <w:sz w:val="18"/>
                <w:szCs w:val="18"/>
              </w:rPr>
              <w:t>1,03</w:t>
            </w:r>
          </w:p>
        </w:tc>
        <w:tc>
          <w:tcPr>
            <w:tcW w:w="1009" w:type="dxa"/>
            <w:tcBorders>
              <w:top w:val="single" w:sz="6" w:space="0" w:color="auto"/>
              <w:left w:val="single" w:sz="6" w:space="0" w:color="auto"/>
              <w:bottom w:val="single" w:sz="6" w:space="0" w:color="auto"/>
              <w:right w:val="single" w:sz="6" w:space="0" w:color="auto"/>
            </w:tcBorders>
          </w:tcPr>
          <w:p w14:paraId="03C9067E" w14:textId="77777777" w:rsidR="00CA23D0" w:rsidRPr="00E30642" w:rsidRDefault="00CA23D0" w:rsidP="00CA23D0">
            <w:pPr>
              <w:pStyle w:val="Texttabulky"/>
              <w:jc w:val="both"/>
              <w:rPr>
                <w:rFonts w:cs="Arial"/>
              </w:rPr>
            </w:pPr>
            <w:r w:rsidRPr="00E30642">
              <w:rPr>
                <w:rFonts w:cs="Arial"/>
                <w:sz w:val="18"/>
                <w:szCs w:val="18"/>
              </w:rPr>
              <w:t>-</w:t>
            </w:r>
          </w:p>
        </w:tc>
        <w:tc>
          <w:tcPr>
            <w:tcW w:w="1075" w:type="dxa"/>
            <w:tcBorders>
              <w:top w:val="single" w:sz="6" w:space="0" w:color="auto"/>
              <w:left w:val="single" w:sz="6" w:space="0" w:color="auto"/>
              <w:bottom w:val="single" w:sz="6" w:space="0" w:color="auto"/>
              <w:right w:val="single" w:sz="6" w:space="0" w:color="auto"/>
            </w:tcBorders>
          </w:tcPr>
          <w:p w14:paraId="520ACC51" w14:textId="77777777" w:rsidR="00CA23D0" w:rsidRPr="00E30642" w:rsidRDefault="00CA23D0" w:rsidP="00CA23D0">
            <w:pPr>
              <w:pStyle w:val="Texttabulky"/>
              <w:jc w:val="both"/>
              <w:rPr>
                <w:rFonts w:cs="Arial"/>
              </w:rPr>
            </w:pPr>
            <w:r w:rsidRPr="00E30642">
              <w:rPr>
                <w:rFonts w:cs="Arial"/>
              </w:rPr>
              <w:t>C</w:t>
            </w:r>
          </w:p>
        </w:tc>
        <w:tc>
          <w:tcPr>
            <w:tcW w:w="1145" w:type="dxa"/>
            <w:tcBorders>
              <w:top w:val="single" w:sz="6" w:space="0" w:color="auto"/>
              <w:left w:val="single" w:sz="6" w:space="0" w:color="auto"/>
              <w:bottom w:val="single" w:sz="6" w:space="0" w:color="auto"/>
              <w:right w:val="single" w:sz="6" w:space="0" w:color="auto"/>
            </w:tcBorders>
          </w:tcPr>
          <w:p w14:paraId="034D1047" w14:textId="77777777" w:rsidR="00CA23D0" w:rsidRPr="00E30642" w:rsidRDefault="00CA23D0" w:rsidP="00CA23D0">
            <w:pPr>
              <w:pStyle w:val="Texttabulky"/>
              <w:jc w:val="both"/>
              <w:rPr>
                <w:rFonts w:cs="Arial"/>
              </w:rPr>
            </w:pPr>
            <w:r w:rsidRPr="00E30642">
              <w:rPr>
                <w:rFonts w:cs="Arial"/>
                <w:sz w:val="18"/>
                <w:szCs w:val="18"/>
              </w:rPr>
              <w:t>1</w:t>
            </w:r>
          </w:p>
        </w:tc>
        <w:tc>
          <w:tcPr>
            <w:tcW w:w="937" w:type="dxa"/>
            <w:tcBorders>
              <w:top w:val="single" w:sz="6" w:space="0" w:color="auto"/>
              <w:left w:val="single" w:sz="6" w:space="0" w:color="auto"/>
              <w:bottom w:val="single" w:sz="6" w:space="0" w:color="auto"/>
              <w:right w:val="single" w:sz="6" w:space="0" w:color="auto"/>
            </w:tcBorders>
          </w:tcPr>
          <w:p w14:paraId="3E7626E5" w14:textId="77777777" w:rsidR="00CA23D0" w:rsidRPr="00E30642" w:rsidRDefault="00CA23D0" w:rsidP="00CA23D0">
            <w:pPr>
              <w:pStyle w:val="Zkladntext"/>
              <w:jc w:val="both"/>
              <w:rPr>
                <w:rFonts w:ascii="Arial" w:hAnsi="Arial" w:cs="Arial"/>
              </w:rPr>
            </w:pPr>
          </w:p>
        </w:tc>
      </w:tr>
      <w:tr w:rsidR="00CA23D0" w:rsidRPr="00E30642" w14:paraId="2658DA76"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19B2589A" w14:textId="77777777" w:rsidR="00CA23D0" w:rsidRPr="00E30642" w:rsidRDefault="00CA23D0" w:rsidP="00CA23D0">
            <w:pPr>
              <w:pStyle w:val="Texttabulky"/>
              <w:jc w:val="both"/>
              <w:rPr>
                <w:rFonts w:cs="Arial"/>
              </w:rPr>
            </w:pPr>
            <w:r w:rsidRPr="00E30642">
              <w:rPr>
                <w:rFonts w:cs="Arial"/>
                <w:b/>
                <w:bCs/>
                <w:sz w:val="18"/>
                <w:szCs w:val="18"/>
              </w:rPr>
              <w:t>VI/25</w:t>
            </w:r>
          </w:p>
        </w:tc>
        <w:tc>
          <w:tcPr>
            <w:tcW w:w="2198" w:type="dxa"/>
            <w:tcBorders>
              <w:top w:val="single" w:sz="6" w:space="0" w:color="auto"/>
              <w:left w:val="single" w:sz="6" w:space="0" w:color="auto"/>
              <w:bottom w:val="single" w:sz="6" w:space="0" w:color="auto"/>
              <w:right w:val="single" w:sz="6" w:space="0" w:color="auto"/>
            </w:tcBorders>
          </w:tcPr>
          <w:p w14:paraId="69FDCF3B" w14:textId="77777777" w:rsidR="00CA23D0" w:rsidRPr="00E30642" w:rsidRDefault="00CA23D0" w:rsidP="00CA23D0">
            <w:pPr>
              <w:pStyle w:val="Texttabulky"/>
              <w:jc w:val="both"/>
              <w:rPr>
                <w:rFonts w:cs="Arial"/>
              </w:rPr>
            </w:pPr>
            <w:r w:rsidRPr="00E30642">
              <w:rPr>
                <w:rFonts w:cs="Arial"/>
                <w:sz w:val="18"/>
                <w:szCs w:val="18"/>
              </w:rPr>
              <w:t>Benešovská ul.</w:t>
            </w:r>
          </w:p>
        </w:tc>
        <w:tc>
          <w:tcPr>
            <w:tcW w:w="835" w:type="dxa"/>
            <w:tcBorders>
              <w:top w:val="single" w:sz="6" w:space="0" w:color="auto"/>
              <w:left w:val="single" w:sz="6" w:space="0" w:color="auto"/>
              <w:bottom w:val="single" w:sz="6" w:space="0" w:color="auto"/>
              <w:right w:val="single" w:sz="6" w:space="0" w:color="auto"/>
            </w:tcBorders>
          </w:tcPr>
          <w:p w14:paraId="4903E89E" w14:textId="77777777" w:rsidR="00CA23D0" w:rsidRPr="00E30642" w:rsidRDefault="00CA23D0" w:rsidP="00CA23D0">
            <w:pPr>
              <w:pStyle w:val="Texttabulky"/>
              <w:jc w:val="both"/>
              <w:rPr>
                <w:rFonts w:cs="Arial"/>
              </w:rPr>
            </w:pPr>
            <w:r w:rsidRPr="00E30642">
              <w:rPr>
                <w:rFonts w:cs="Arial"/>
                <w:sz w:val="18"/>
                <w:szCs w:val="18"/>
              </w:rPr>
              <w:t>0,58</w:t>
            </w:r>
          </w:p>
        </w:tc>
        <w:tc>
          <w:tcPr>
            <w:tcW w:w="1009" w:type="dxa"/>
            <w:tcBorders>
              <w:top w:val="single" w:sz="6" w:space="0" w:color="auto"/>
              <w:left w:val="single" w:sz="6" w:space="0" w:color="auto"/>
              <w:bottom w:val="single" w:sz="6" w:space="0" w:color="auto"/>
              <w:right w:val="single" w:sz="6" w:space="0" w:color="auto"/>
            </w:tcBorders>
          </w:tcPr>
          <w:p w14:paraId="35FFDB9A" w14:textId="77777777" w:rsidR="00CA23D0" w:rsidRPr="00E30642" w:rsidRDefault="00CA23D0" w:rsidP="00CA23D0">
            <w:pPr>
              <w:pStyle w:val="Texttabulky"/>
              <w:jc w:val="both"/>
              <w:rPr>
                <w:rFonts w:cs="Arial"/>
              </w:rPr>
            </w:pPr>
            <w:r w:rsidRPr="00E30642">
              <w:rPr>
                <w:rFonts w:cs="Arial"/>
                <w:sz w:val="18"/>
                <w:szCs w:val="18"/>
              </w:rPr>
              <w:t>25</w:t>
            </w:r>
          </w:p>
        </w:tc>
        <w:tc>
          <w:tcPr>
            <w:tcW w:w="1075" w:type="dxa"/>
            <w:tcBorders>
              <w:top w:val="single" w:sz="6" w:space="0" w:color="auto"/>
              <w:left w:val="single" w:sz="6" w:space="0" w:color="auto"/>
              <w:bottom w:val="single" w:sz="6" w:space="0" w:color="auto"/>
              <w:right w:val="single" w:sz="6" w:space="0" w:color="auto"/>
            </w:tcBorders>
          </w:tcPr>
          <w:p w14:paraId="3398737F" w14:textId="77777777" w:rsidR="00CA23D0" w:rsidRPr="00E30642" w:rsidRDefault="00CA23D0" w:rsidP="00CA23D0">
            <w:pPr>
              <w:pStyle w:val="Texttabulky"/>
              <w:jc w:val="both"/>
              <w:rPr>
                <w:rFonts w:cs="Arial"/>
              </w:rPr>
            </w:pPr>
            <w:r w:rsidRPr="00E30642">
              <w:rPr>
                <w:rFonts w:cs="Arial"/>
                <w:sz w:val="18"/>
                <w:szCs w:val="18"/>
              </w:rPr>
              <w:t>C</w:t>
            </w:r>
          </w:p>
        </w:tc>
        <w:tc>
          <w:tcPr>
            <w:tcW w:w="1145" w:type="dxa"/>
            <w:tcBorders>
              <w:top w:val="single" w:sz="6" w:space="0" w:color="auto"/>
              <w:left w:val="single" w:sz="6" w:space="0" w:color="auto"/>
              <w:bottom w:val="single" w:sz="6" w:space="0" w:color="auto"/>
              <w:right w:val="single" w:sz="6" w:space="0" w:color="auto"/>
            </w:tcBorders>
          </w:tcPr>
          <w:p w14:paraId="7A938CB9" w14:textId="77777777" w:rsidR="00CA23D0" w:rsidRPr="00E30642" w:rsidRDefault="00CA23D0" w:rsidP="00CA23D0">
            <w:pPr>
              <w:pStyle w:val="Texttabulky"/>
              <w:jc w:val="both"/>
              <w:rPr>
                <w:rFonts w:cs="Arial"/>
              </w:rPr>
            </w:pPr>
            <w:r w:rsidRPr="00E30642">
              <w:rPr>
                <w:rFonts w:cs="Arial"/>
                <w:sz w:val="18"/>
                <w:szCs w:val="18"/>
              </w:rPr>
              <w:t>2</w:t>
            </w:r>
          </w:p>
        </w:tc>
        <w:tc>
          <w:tcPr>
            <w:tcW w:w="937" w:type="dxa"/>
            <w:tcBorders>
              <w:top w:val="single" w:sz="6" w:space="0" w:color="auto"/>
              <w:left w:val="single" w:sz="6" w:space="0" w:color="auto"/>
              <w:bottom w:val="single" w:sz="6" w:space="0" w:color="auto"/>
              <w:right w:val="single" w:sz="6" w:space="0" w:color="auto"/>
            </w:tcBorders>
          </w:tcPr>
          <w:p w14:paraId="098AA140" w14:textId="77777777" w:rsidR="00CA23D0" w:rsidRPr="00E30642" w:rsidRDefault="00CA23D0" w:rsidP="00CA23D0">
            <w:pPr>
              <w:pStyle w:val="Zkladntext"/>
              <w:jc w:val="both"/>
              <w:rPr>
                <w:rFonts w:ascii="Arial" w:hAnsi="Arial" w:cs="Arial"/>
              </w:rPr>
            </w:pPr>
          </w:p>
        </w:tc>
      </w:tr>
      <w:tr w:rsidR="00CA23D0" w:rsidRPr="00E30642" w14:paraId="1CDD0322"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39C19BE9" w14:textId="77777777" w:rsidR="00CA23D0" w:rsidRPr="00E30642" w:rsidRDefault="00CA23D0" w:rsidP="00CA23D0">
            <w:pPr>
              <w:pStyle w:val="Texttabulky"/>
              <w:jc w:val="both"/>
              <w:rPr>
                <w:rFonts w:cs="Arial"/>
              </w:rPr>
            </w:pPr>
            <w:r w:rsidRPr="00E30642">
              <w:rPr>
                <w:rFonts w:cs="Arial"/>
                <w:b/>
                <w:bCs/>
                <w:sz w:val="18"/>
                <w:szCs w:val="18"/>
              </w:rPr>
              <w:t>VI/26</w:t>
            </w:r>
          </w:p>
        </w:tc>
        <w:tc>
          <w:tcPr>
            <w:tcW w:w="2198" w:type="dxa"/>
            <w:tcBorders>
              <w:top w:val="single" w:sz="6" w:space="0" w:color="auto"/>
              <w:left w:val="single" w:sz="6" w:space="0" w:color="auto"/>
              <w:bottom w:val="single" w:sz="6" w:space="0" w:color="auto"/>
              <w:right w:val="single" w:sz="6" w:space="0" w:color="auto"/>
            </w:tcBorders>
          </w:tcPr>
          <w:p w14:paraId="53871894" w14:textId="77777777" w:rsidR="00CA23D0" w:rsidRPr="00E30642" w:rsidRDefault="00CA23D0" w:rsidP="00CA23D0">
            <w:pPr>
              <w:pStyle w:val="Texttabulky"/>
              <w:jc w:val="both"/>
              <w:rPr>
                <w:rFonts w:cs="Arial"/>
              </w:rPr>
            </w:pPr>
            <w:r w:rsidRPr="00E30642">
              <w:rPr>
                <w:rFonts w:cs="Arial"/>
                <w:sz w:val="18"/>
                <w:szCs w:val="18"/>
              </w:rPr>
              <w:t>Libverda - (I/13)</w:t>
            </w:r>
          </w:p>
        </w:tc>
        <w:tc>
          <w:tcPr>
            <w:tcW w:w="835" w:type="dxa"/>
            <w:tcBorders>
              <w:top w:val="single" w:sz="6" w:space="0" w:color="auto"/>
              <w:left w:val="single" w:sz="6" w:space="0" w:color="auto"/>
              <w:bottom w:val="single" w:sz="6" w:space="0" w:color="auto"/>
              <w:right w:val="single" w:sz="6" w:space="0" w:color="auto"/>
            </w:tcBorders>
          </w:tcPr>
          <w:p w14:paraId="00C6C4EE" w14:textId="77777777" w:rsidR="00CA23D0" w:rsidRPr="00E30642" w:rsidRDefault="00CA23D0" w:rsidP="00CA23D0">
            <w:pPr>
              <w:pStyle w:val="Texttabulky"/>
              <w:jc w:val="both"/>
              <w:rPr>
                <w:rFonts w:cs="Arial"/>
              </w:rPr>
            </w:pPr>
            <w:r w:rsidRPr="00E30642">
              <w:rPr>
                <w:rFonts w:cs="Arial"/>
                <w:sz w:val="18"/>
                <w:szCs w:val="18"/>
              </w:rPr>
              <w:t>5,16</w:t>
            </w:r>
          </w:p>
        </w:tc>
        <w:tc>
          <w:tcPr>
            <w:tcW w:w="1009" w:type="dxa"/>
            <w:tcBorders>
              <w:top w:val="single" w:sz="6" w:space="0" w:color="auto"/>
              <w:left w:val="single" w:sz="6" w:space="0" w:color="auto"/>
              <w:bottom w:val="single" w:sz="6" w:space="0" w:color="auto"/>
              <w:right w:val="single" w:sz="6" w:space="0" w:color="auto"/>
            </w:tcBorders>
          </w:tcPr>
          <w:p w14:paraId="647D85CC" w14:textId="77777777" w:rsidR="00CA23D0" w:rsidRPr="00E30642" w:rsidRDefault="00CA23D0" w:rsidP="00CA23D0">
            <w:pPr>
              <w:pStyle w:val="Texttabulky"/>
              <w:jc w:val="both"/>
              <w:rPr>
                <w:rFonts w:cs="Arial"/>
              </w:rPr>
            </w:pPr>
            <w:r w:rsidRPr="00E30642">
              <w:rPr>
                <w:rFonts w:cs="Arial"/>
                <w:sz w:val="18"/>
                <w:szCs w:val="18"/>
              </w:rPr>
              <w:t>200</w:t>
            </w:r>
          </w:p>
        </w:tc>
        <w:tc>
          <w:tcPr>
            <w:tcW w:w="1075" w:type="dxa"/>
            <w:tcBorders>
              <w:top w:val="single" w:sz="6" w:space="0" w:color="auto"/>
              <w:left w:val="single" w:sz="6" w:space="0" w:color="auto"/>
              <w:bottom w:val="single" w:sz="6" w:space="0" w:color="auto"/>
              <w:right w:val="single" w:sz="6" w:space="0" w:color="auto"/>
            </w:tcBorders>
          </w:tcPr>
          <w:p w14:paraId="3E82CAD0" w14:textId="77777777" w:rsidR="00CA23D0" w:rsidRPr="00E30642" w:rsidRDefault="00CA23D0" w:rsidP="00CA23D0">
            <w:pPr>
              <w:pStyle w:val="Texttabulky"/>
              <w:jc w:val="both"/>
              <w:rPr>
                <w:rFonts w:cs="Arial"/>
              </w:rPr>
            </w:pPr>
            <w:r w:rsidRPr="00E30642">
              <w:rPr>
                <w:rFonts w:cs="Arial"/>
                <w:sz w:val="18"/>
                <w:szCs w:val="18"/>
              </w:rPr>
              <w:t>B</w:t>
            </w:r>
          </w:p>
        </w:tc>
        <w:tc>
          <w:tcPr>
            <w:tcW w:w="1145" w:type="dxa"/>
            <w:tcBorders>
              <w:top w:val="single" w:sz="6" w:space="0" w:color="auto"/>
              <w:left w:val="single" w:sz="6" w:space="0" w:color="auto"/>
              <w:bottom w:val="single" w:sz="6" w:space="0" w:color="auto"/>
              <w:right w:val="single" w:sz="6" w:space="0" w:color="auto"/>
            </w:tcBorders>
          </w:tcPr>
          <w:p w14:paraId="3AAB5B7D" w14:textId="77777777" w:rsidR="00CA23D0" w:rsidRPr="00E30642" w:rsidRDefault="00CA23D0" w:rsidP="00CA23D0">
            <w:pPr>
              <w:pStyle w:val="Zkladntext"/>
              <w:jc w:val="both"/>
              <w:rPr>
                <w:rFonts w:ascii="Arial" w:hAnsi="Arial" w:cs="Arial"/>
              </w:rPr>
            </w:pPr>
          </w:p>
        </w:tc>
        <w:tc>
          <w:tcPr>
            <w:tcW w:w="937" w:type="dxa"/>
            <w:tcBorders>
              <w:top w:val="single" w:sz="6" w:space="0" w:color="auto"/>
              <w:left w:val="single" w:sz="6" w:space="0" w:color="auto"/>
              <w:bottom w:val="single" w:sz="6" w:space="0" w:color="auto"/>
              <w:right w:val="single" w:sz="6" w:space="0" w:color="auto"/>
            </w:tcBorders>
          </w:tcPr>
          <w:p w14:paraId="5AE1A0A7" w14:textId="77777777" w:rsidR="00CA23D0" w:rsidRPr="00E30642" w:rsidRDefault="00CA23D0" w:rsidP="00CA23D0">
            <w:pPr>
              <w:pStyle w:val="Texttabulky"/>
              <w:jc w:val="both"/>
              <w:rPr>
                <w:rFonts w:cs="Arial"/>
              </w:rPr>
            </w:pPr>
            <w:r w:rsidRPr="00E30642">
              <w:rPr>
                <w:rFonts w:cs="Arial"/>
                <w:sz w:val="18"/>
                <w:szCs w:val="18"/>
              </w:rPr>
              <w:t>V</w:t>
            </w:r>
          </w:p>
        </w:tc>
      </w:tr>
      <w:tr w:rsidR="00CA23D0" w:rsidRPr="00E30642" w14:paraId="4D5B311B"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65CDE85F" w14:textId="77777777" w:rsidR="00CA23D0" w:rsidRPr="00E30642" w:rsidRDefault="00CA23D0" w:rsidP="00CA23D0">
            <w:pPr>
              <w:pStyle w:val="Texttabulky"/>
              <w:jc w:val="both"/>
              <w:rPr>
                <w:rFonts w:cs="Arial"/>
              </w:rPr>
            </w:pPr>
            <w:r w:rsidRPr="00E30642">
              <w:rPr>
                <w:rFonts w:cs="Arial"/>
                <w:b/>
                <w:bCs/>
                <w:sz w:val="18"/>
                <w:szCs w:val="18"/>
              </w:rPr>
              <w:t>VI/27</w:t>
            </w:r>
          </w:p>
        </w:tc>
        <w:tc>
          <w:tcPr>
            <w:tcW w:w="2198" w:type="dxa"/>
            <w:tcBorders>
              <w:top w:val="single" w:sz="6" w:space="0" w:color="auto"/>
              <w:left w:val="single" w:sz="6" w:space="0" w:color="auto"/>
              <w:bottom w:val="single" w:sz="6" w:space="0" w:color="auto"/>
              <w:right w:val="single" w:sz="6" w:space="0" w:color="auto"/>
            </w:tcBorders>
          </w:tcPr>
          <w:p w14:paraId="2758671F" w14:textId="77777777" w:rsidR="00CA23D0" w:rsidRPr="00E30642" w:rsidRDefault="00CA23D0" w:rsidP="00CA23D0">
            <w:pPr>
              <w:pStyle w:val="Texttabulky"/>
              <w:jc w:val="both"/>
              <w:rPr>
                <w:rFonts w:cs="Arial"/>
              </w:rPr>
            </w:pPr>
            <w:r w:rsidRPr="00E30642">
              <w:rPr>
                <w:rFonts w:cs="Arial"/>
                <w:sz w:val="18"/>
                <w:szCs w:val="18"/>
              </w:rPr>
              <w:t xml:space="preserve">St. Město "U Benaru" </w:t>
            </w:r>
          </w:p>
        </w:tc>
        <w:tc>
          <w:tcPr>
            <w:tcW w:w="835" w:type="dxa"/>
            <w:tcBorders>
              <w:top w:val="single" w:sz="6" w:space="0" w:color="auto"/>
              <w:left w:val="single" w:sz="6" w:space="0" w:color="auto"/>
              <w:bottom w:val="single" w:sz="6" w:space="0" w:color="auto"/>
              <w:right w:val="single" w:sz="6" w:space="0" w:color="auto"/>
            </w:tcBorders>
          </w:tcPr>
          <w:p w14:paraId="0578C53D" w14:textId="77777777" w:rsidR="00CA23D0" w:rsidRPr="00E30642" w:rsidRDefault="00CA23D0" w:rsidP="00CA23D0">
            <w:pPr>
              <w:pStyle w:val="Texttabulky"/>
              <w:jc w:val="both"/>
              <w:rPr>
                <w:rFonts w:cs="Arial"/>
              </w:rPr>
            </w:pPr>
            <w:r w:rsidRPr="00E30642">
              <w:rPr>
                <w:rFonts w:cs="Arial"/>
                <w:sz w:val="18"/>
                <w:szCs w:val="18"/>
              </w:rPr>
              <w:t>1,69</w:t>
            </w:r>
          </w:p>
        </w:tc>
        <w:tc>
          <w:tcPr>
            <w:tcW w:w="1009" w:type="dxa"/>
            <w:tcBorders>
              <w:top w:val="single" w:sz="6" w:space="0" w:color="auto"/>
              <w:left w:val="single" w:sz="6" w:space="0" w:color="auto"/>
              <w:bottom w:val="single" w:sz="6" w:space="0" w:color="auto"/>
              <w:right w:val="single" w:sz="6" w:space="0" w:color="auto"/>
            </w:tcBorders>
          </w:tcPr>
          <w:p w14:paraId="053378C0" w14:textId="77777777" w:rsidR="00CA23D0" w:rsidRPr="00E30642" w:rsidRDefault="00CA23D0" w:rsidP="00CA23D0">
            <w:pPr>
              <w:pStyle w:val="Texttabulky"/>
              <w:jc w:val="both"/>
              <w:rPr>
                <w:rFonts w:cs="Arial"/>
              </w:rPr>
            </w:pPr>
            <w:r w:rsidRPr="00E30642">
              <w:rPr>
                <w:rFonts w:cs="Arial"/>
                <w:sz w:val="18"/>
                <w:szCs w:val="18"/>
              </w:rPr>
              <w:t>50</w:t>
            </w:r>
          </w:p>
        </w:tc>
        <w:tc>
          <w:tcPr>
            <w:tcW w:w="1075" w:type="dxa"/>
            <w:tcBorders>
              <w:top w:val="single" w:sz="6" w:space="0" w:color="auto"/>
              <w:left w:val="single" w:sz="6" w:space="0" w:color="auto"/>
              <w:bottom w:val="single" w:sz="6" w:space="0" w:color="auto"/>
              <w:right w:val="single" w:sz="6" w:space="0" w:color="auto"/>
            </w:tcBorders>
          </w:tcPr>
          <w:p w14:paraId="22AC0B15" w14:textId="77777777" w:rsidR="00CA23D0" w:rsidRPr="00E30642" w:rsidRDefault="00CA23D0" w:rsidP="00CA23D0">
            <w:pPr>
              <w:pStyle w:val="Texttabulky"/>
              <w:jc w:val="both"/>
              <w:rPr>
                <w:rFonts w:cs="Arial"/>
              </w:rPr>
            </w:pPr>
            <w:r w:rsidRPr="00E30642">
              <w:rPr>
                <w:rFonts w:cs="Arial"/>
                <w:sz w:val="18"/>
                <w:szCs w:val="18"/>
              </w:rPr>
              <w:t>B</w:t>
            </w:r>
          </w:p>
        </w:tc>
        <w:tc>
          <w:tcPr>
            <w:tcW w:w="1145" w:type="dxa"/>
            <w:tcBorders>
              <w:top w:val="single" w:sz="6" w:space="0" w:color="auto"/>
              <w:left w:val="single" w:sz="6" w:space="0" w:color="auto"/>
              <w:bottom w:val="single" w:sz="6" w:space="0" w:color="auto"/>
              <w:right w:val="single" w:sz="6" w:space="0" w:color="auto"/>
            </w:tcBorders>
          </w:tcPr>
          <w:p w14:paraId="3D31FA59" w14:textId="77777777" w:rsidR="00CA23D0" w:rsidRPr="00E30642" w:rsidRDefault="00CA23D0" w:rsidP="00CA23D0">
            <w:pPr>
              <w:pStyle w:val="Zkladntext"/>
              <w:jc w:val="both"/>
              <w:rPr>
                <w:rFonts w:ascii="Arial" w:hAnsi="Arial" w:cs="Arial"/>
              </w:rPr>
            </w:pPr>
          </w:p>
        </w:tc>
        <w:tc>
          <w:tcPr>
            <w:tcW w:w="937" w:type="dxa"/>
            <w:tcBorders>
              <w:top w:val="single" w:sz="6" w:space="0" w:color="auto"/>
              <w:left w:val="single" w:sz="6" w:space="0" w:color="auto"/>
              <w:bottom w:val="single" w:sz="6" w:space="0" w:color="auto"/>
              <w:right w:val="single" w:sz="6" w:space="0" w:color="auto"/>
            </w:tcBorders>
          </w:tcPr>
          <w:p w14:paraId="415DFA61" w14:textId="77777777" w:rsidR="00CA23D0" w:rsidRPr="00E30642" w:rsidRDefault="00CA23D0" w:rsidP="00CA23D0">
            <w:pPr>
              <w:pStyle w:val="Texttabulky"/>
              <w:jc w:val="both"/>
              <w:rPr>
                <w:rFonts w:cs="Arial"/>
              </w:rPr>
            </w:pPr>
            <w:r w:rsidRPr="00E30642">
              <w:rPr>
                <w:rFonts w:cs="Arial"/>
                <w:sz w:val="18"/>
                <w:szCs w:val="18"/>
              </w:rPr>
              <w:t>V</w:t>
            </w:r>
          </w:p>
        </w:tc>
      </w:tr>
      <w:tr w:rsidR="00CA23D0" w:rsidRPr="00E30642" w14:paraId="5DE872B7"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3E77B8CB" w14:textId="77777777" w:rsidR="00CA23D0" w:rsidRPr="00E30642" w:rsidRDefault="00CA23D0" w:rsidP="00CA23D0">
            <w:pPr>
              <w:pStyle w:val="Texttabulky"/>
              <w:jc w:val="both"/>
              <w:rPr>
                <w:rFonts w:cs="Arial"/>
              </w:rPr>
            </w:pPr>
            <w:r w:rsidRPr="00E30642">
              <w:rPr>
                <w:rFonts w:cs="Arial"/>
                <w:b/>
                <w:bCs/>
                <w:sz w:val="18"/>
                <w:szCs w:val="18"/>
              </w:rPr>
              <w:t>VI/28</w:t>
            </w:r>
          </w:p>
        </w:tc>
        <w:tc>
          <w:tcPr>
            <w:tcW w:w="2198" w:type="dxa"/>
            <w:tcBorders>
              <w:top w:val="single" w:sz="6" w:space="0" w:color="auto"/>
              <w:left w:val="single" w:sz="6" w:space="0" w:color="auto"/>
              <w:bottom w:val="single" w:sz="6" w:space="0" w:color="auto"/>
              <w:right w:val="single" w:sz="6" w:space="0" w:color="auto"/>
            </w:tcBorders>
          </w:tcPr>
          <w:p w14:paraId="11F91160" w14:textId="77777777" w:rsidR="00CA23D0" w:rsidRPr="00E30642" w:rsidRDefault="00CA23D0" w:rsidP="00CA23D0">
            <w:pPr>
              <w:pStyle w:val="Texttabulky"/>
              <w:jc w:val="both"/>
              <w:rPr>
                <w:rFonts w:cs="Arial"/>
              </w:rPr>
            </w:pPr>
            <w:r w:rsidRPr="00E30642">
              <w:rPr>
                <w:rFonts w:cs="Arial"/>
                <w:sz w:val="18"/>
                <w:szCs w:val="18"/>
              </w:rPr>
              <w:t xml:space="preserve">St. Město "Za Benarem" </w:t>
            </w:r>
          </w:p>
        </w:tc>
        <w:tc>
          <w:tcPr>
            <w:tcW w:w="835" w:type="dxa"/>
            <w:tcBorders>
              <w:top w:val="single" w:sz="6" w:space="0" w:color="auto"/>
              <w:left w:val="single" w:sz="6" w:space="0" w:color="auto"/>
              <w:bottom w:val="single" w:sz="6" w:space="0" w:color="auto"/>
              <w:right w:val="single" w:sz="6" w:space="0" w:color="auto"/>
            </w:tcBorders>
          </w:tcPr>
          <w:p w14:paraId="1B1C4A3F" w14:textId="77777777" w:rsidR="00CA23D0" w:rsidRPr="00E30642" w:rsidRDefault="00CA23D0" w:rsidP="00CA23D0">
            <w:pPr>
              <w:pStyle w:val="Texttabulky"/>
              <w:jc w:val="both"/>
              <w:rPr>
                <w:rFonts w:cs="Arial"/>
              </w:rPr>
            </w:pPr>
            <w:r w:rsidRPr="00E30642">
              <w:rPr>
                <w:rFonts w:cs="Arial"/>
                <w:sz w:val="18"/>
                <w:szCs w:val="18"/>
              </w:rPr>
              <w:t>0,57</w:t>
            </w:r>
          </w:p>
        </w:tc>
        <w:tc>
          <w:tcPr>
            <w:tcW w:w="1009" w:type="dxa"/>
            <w:tcBorders>
              <w:top w:val="single" w:sz="6" w:space="0" w:color="auto"/>
              <w:left w:val="single" w:sz="6" w:space="0" w:color="auto"/>
              <w:bottom w:val="single" w:sz="6" w:space="0" w:color="auto"/>
              <w:right w:val="single" w:sz="6" w:space="0" w:color="auto"/>
            </w:tcBorders>
          </w:tcPr>
          <w:p w14:paraId="27591979" w14:textId="77777777" w:rsidR="00CA23D0" w:rsidRPr="00E30642" w:rsidRDefault="00CA23D0" w:rsidP="00CA23D0">
            <w:pPr>
              <w:pStyle w:val="Texttabulky"/>
              <w:jc w:val="both"/>
              <w:rPr>
                <w:rFonts w:cs="Arial"/>
              </w:rPr>
            </w:pPr>
            <w:r w:rsidRPr="00E30642">
              <w:rPr>
                <w:rFonts w:cs="Arial"/>
                <w:sz w:val="18"/>
                <w:szCs w:val="18"/>
              </w:rPr>
              <w:t>25</w:t>
            </w:r>
          </w:p>
        </w:tc>
        <w:tc>
          <w:tcPr>
            <w:tcW w:w="1075" w:type="dxa"/>
            <w:tcBorders>
              <w:top w:val="single" w:sz="6" w:space="0" w:color="auto"/>
              <w:left w:val="single" w:sz="6" w:space="0" w:color="auto"/>
              <w:bottom w:val="single" w:sz="6" w:space="0" w:color="auto"/>
              <w:right w:val="single" w:sz="6" w:space="0" w:color="auto"/>
            </w:tcBorders>
          </w:tcPr>
          <w:p w14:paraId="2032EE7B" w14:textId="77777777" w:rsidR="00CA23D0" w:rsidRPr="00E30642" w:rsidRDefault="00CA23D0" w:rsidP="00CA23D0">
            <w:pPr>
              <w:pStyle w:val="Texttabulky"/>
              <w:jc w:val="both"/>
              <w:rPr>
                <w:rFonts w:cs="Arial"/>
              </w:rPr>
            </w:pPr>
            <w:r w:rsidRPr="00E30642">
              <w:rPr>
                <w:rFonts w:cs="Arial"/>
                <w:sz w:val="18"/>
                <w:szCs w:val="18"/>
              </w:rPr>
              <w:t>C</w:t>
            </w:r>
          </w:p>
        </w:tc>
        <w:tc>
          <w:tcPr>
            <w:tcW w:w="1145" w:type="dxa"/>
            <w:tcBorders>
              <w:top w:val="single" w:sz="6" w:space="0" w:color="auto"/>
              <w:left w:val="single" w:sz="6" w:space="0" w:color="auto"/>
              <w:bottom w:val="single" w:sz="6" w:space="0" w:color="auto"/>
              <w:right w:val="single" w:sz="6" w:space="0" w:color="auto"/>
            </w:tcBorders>
          </w:tcPr>
          <w:p w14:paraId="5CF3AF03" w14:textId="77777777" w:rsidR="00CA23D0" w:rsidRPr="00E30642" w:rsidRDefault="00CA23D0" w:rsidP="00CA23D0">
            <w:pPr>
              <w:pStyle w:val="Zkladntext"/>
              <w:jc w:val="both"/>
              <w:rPr>
                <w:rFonts w:ascii="Arial" w:hAnsi="Arial" w:cs="Arial"/>
              </w:rPr>
            </w:pPr>
          </w:p>
        </w:tc>
        <w:tc>
          <w:tcPr>
            <w:tcW w:w="937" w:type="dxa"/>
            <w:tcBorders>
              <w:top w:val="single" w:sz="6" w:space="0" w:color="auto"/>
              <w:left w:val="single" w:sz="6" w:space="0" w:color="auto"/>
              <w:bottom w:val="single" w:sz="6" w:space="0" w:color="auto"/>
              <w:right w:val="single" w:sz="6" w:space="0" w:color="auto"/>
            </w:tcBorders>
          </w:tcPr>
          <w:p w14:paraId="0B8DE720" w14:textId="77777777" w:rsidR="00CA23D0" w:rsidRPr="00E30642" w:rsidRDefault="00CA23D0" w:rsidP="00CA23D0">
            <w:pPr>
              <w:pStyle w:val="Texttabulky"/>
              <w:jc w:val="both"/>
              <w:rPr>
                <w:rFonts w:cs="Arial"/>
              </w:rPr>
            </w:pPr>
            <w:r w:rsidRPr="00E30642">
              <w:rPr>
                <w:rFonts w:cs="Arial"/>
                <w:sz w:val="18"/>
                <w:szCs w:val="18"/>
              </w:rPr>
              <w:t>V</w:t>
            </w:r>
          </w:p>
        </w:tc>
      </w:tr>
      <w:tr w:rsidR="00CA23D0" w:rsidRPr="00E30642" w14:paraId="1180A988"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3985CA3F" w14:textId="77777777" w:rsidR="00CA23D0" w:rsidRPr="00E30642" w:rsidRDefault="00CA23D0" w:rsidP="00CA23D0">
            <w:pPr>
              <w:pStyle w:val="Texttabulky"/>
              <w:jc w:val="both"/>
              <w:rPr>
                <w:rFonts w:cs="Arial"/>
              </w:rPr>
            </w:pPr>
            <w:r w:rsidRPr="00E30642">
              <w:rPr>
                <w:rFonts w:cs="Arial"/>
                <w:b/>
                <w:bCs/>
                <w:sz w:val="18"/>
                <w:szCs w:val="18"/>
              </w:rPr>
              <w:t>VI/31</w:t>
            </w:r>
          </w:p>
        </w:tc>
        <w:tc>
          <w:tcPr>
            <w:tcW w:w="2198" w:type="dxa"/>
            <w:tcBorders>
              <w:top w:val="single" w:sz="6" w:space="0" w:color="auto"/>
              <w:left w:val="single" w:sz="6" w:space="0" w:color="auto"/>
              <w:bottom w:val="single" w:sz="6" w:space="0" w:color="auto"/>
              <w:right w:val="single" w:sz="6" w:space="0" w:color="auto"/>
            </w:tcBorders>
          </w:tcPr>
          <w:p w14:paraId="5CAC9EB6" w14:textId="77777777" w:rsidR="00CA23D0" w:rsidRPr="00E30642" w:rsidRDefault="00CA23D0" w:rsidP="00CA23D0">
            <w:pPr>
              <w:pStyle w:val="Texttabulky"/>
              <w:jc w:val="both"/>
              <w:rPr>
                <w:rFonts w:cs="Arial"/>
              </w:rPr>
            </w:pPr>
            <w:r w:rsidRPr="00E30642">
              <w:rPr>
                <w:rFonts w:cs="Arial"/>
                <w:sz w:val="18"/>
                <w:szCs w:val="18"/>
              </w:rPr>
              <w:t>Fůgnerova - výr.lahůdek</w:t>
            </w:r>
          </w:p>
        </w:tc>
        <w:tc>
          <w:tcPr>
            <w:tcW w:w="835" w:type="dxa"/>
            <w:tcBorders>
              <w:top w:val="single" w:sz="6" w:space="0" w:color="auto"/>
              <w:left w:val="single" w:sz="6" w:space="0" w:color="auto"/>
              <w:bottom w:val="single" w:sz="6" w:space="0" w:color="auto"/>
              <w:right w:val="single" w:sz="6" w:space="0" w:color="auto"/>
            </w:tcBorders>
          </w:tcPr>
          <w:p w14:paraId="6551A56D" w14:textId="77777777" w:rsidR="00CA23D0" w:rsidRPr="00E30642" w:rsidRDefault="00CA23D0" w:rsidP="00CA23D0">
            <w:pPr>
              <w:pStyle w:val="Texttabulky"/>
              <w:jc w:val="both"/>
              <w:rPr>
                <w:rFonts w:cs="Arial"/>
              </w:rPr>
            </w:pPr>
            <w:r w:rsidRPr="00E30642">
              <w:rPr>
                <w:rFonts w:cs="Arial"/>
                <w:sz w:val="18"/>
                <w:szCs w:val="18"/>
              </w:rPr>
              <w:t>0,5</w:t>
            </w:r>
          </w:p>
        </w:tc>
        <w:tc>
          <w:tcPr>
            <w:tcW w:w="1009" w:type="dxa"/>
            <w:tcBorders>
              <w:top w:val="single" w:sz="6" w:space="0" w:color="auto"/>
              <w:left w:val="single" w:sz="6" w:space="0" w:color="auto"/>
              <w:bottom w:val="single" w:sz="6" w:space="0" w:color="auto"/>
              <w:right w:val="single" w:sz="6" w:space="0" w:color="auto"/>
            </w:tcBorders>
          </w:tcPr>
          <w:p w14:paraId="0844235D" w14:textId="77777777" w:rsidR="00CA23D0" w:rsidRPr="00E30642" w:rsidRDefault="00CA23D0" w:rsidP="00CA23D0">
            <w:pPr>
              <w:pStyle w:val="Texttabulky"/>
              <w:jc w:val="both"/>
              <w:rPr>
                <w:rFonts w:cs="Arial"/>
              </w:rPr>
            </w:pPr>
            <w:r w:rsidRPr="00E30642">
              <w:rPr>
                <w:rFonts w:cs="Arial"/>
                <w:sz w:val="18"/>
                <w:szCs w:val="18"/>
              </w:rPr>
              <w:t>25</w:t>
            </w:r>
          </w:p>
        </w:tc>
        <w:tc>
          <w:tcPr>
            <w:tcW w:w="1075" w:type="dxa"/>
            <w:tcBorders>
              <w:top w:val="single" w:sz="6" w:space="0" w:color="auto"/>
              <w:left w:val="single" w:sz="6" w:space="0" w:color="auto"/>
              <w:bottom w:val="single" w:sz="6" w:space="0" w:color="auto"/>
              <w:right w:val="single" w:sz="6" w:space="0" w:color="auto"/>
            </w:tcBorders>
          </w:tcPr>
          <w:p w14:paraId="390D5551" w14:textId="77777777" w:rsidR="00CA23D0" w:rsidRPr="00E30642" w:rsidRDefault="00CA23D0" w:rsidP="00CA23D0">
            <w:pPr>
              <w:pStyle w:val="Texttabulky"/>
              <w:jc w:val="both"/>
              <w:rPr>
                <w:rFonts w:cs="Arial"/>
              </w:rPr>
            </w:pPr>
            <w:r w:rsidRPr="00E30642">
              <w:rPr>
                <w:rFonts w:cs="Arial"/>
                <w:sz w:val="18"/>
                <w:szCs w:val="18"/>
              </w:rPr>
              <w:t>C</w:t>
            </w:r>
          </w:p>
        </w:tc>
        <w:tc>
          <w:tcPr>
            <w:tcW w:w="1145" w:type="dxa"/>
            <w:tcBorders>
              <w:top w:val="single" w:sz="6" w:space="0" w:color="auto"/>
              <w:left w:val="single" w:sz="6" w:space="0" w:color="auto"/>
              <w:bottom w:val="single" w:sz="6" w:space="0" w:color="auto"/>
              <w:right w:val="single" w:sz="6" w:space="0" w:color="auto"/>
            </w:tcBorders>
          </w:tcPr>
          <w:p w14:paraId="4F8ED68C" w14:textId="77777777" w:rsidR="00CA23D0" w:rsidRPr="00E30642" w:rsidRDefault="00CA23D0" w:rsidP="00CA23D0">
            <w:pPr>
              <w:pStyle w:val="Texttabulky"/>
              <w:jc w:val="both"/>
              <w:rPr>
                <w:rFonts w:cs="Arial"/>
              </w:rPr>
            </w:pPr>
            <w:r w:rsidRPr="00E30642">
              <w:rPr>
                <w:rFonts w:cs="Arial"/>
                <w:sz w:val="18"/>
                <w:szCs w:val="18"/>
              </w:rPr>
              <w:t>v realizaci</w:t>
            </w:r>
          </w:p>
        </w:tc>
        <w:tc>
          <w:tcPr>
            <w:tcW w:w="937" w:type="dxa"/>
            <w:tcBorders>
              <w:top w:val="single" w:sz="6" w:space="0" w:color="auto"/>
              <w:left w:val="single" w:sz="6" w:space="0" w:color="auto"/>
              <w:bottom w:val="single" w:sz="6" w:space="0" w:color="auto"/>
              <w:right w:val="single" w:sz="6" w:space="0" w:color="auto"/>
            </w:tcBorders>
          </w:tcPr>
          <w:p w14:paraId="35C995B2" w14:textId="77777777" w:rsidR="00CA23D0" w:rsidRPr="00E30642" w:rsidRDefault="00CA23D0" w:rsidP="00CA23D0">
            <w:pPr>
              <w:pStyle w:val="Zkladntext"/>
              <w:jc w:val="both"/>
              <w:rPr>
                <w:rFonts w:ascii="Arial" w:hAnsi="Arial" w:cs="Arial"/>
              </w:rPr>
            </w:pPr>
          </w:p>
        </w:tc>
      </w:tr>
      <w:tr w:rsidR="00CA23D0" w:rsidRPr="00E30642" w14:paraId="69EE3118"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0FF46E0C" w14:textId="77777777" w:rsidR="00CA23D0" w:rsidRPr="00E30642" w:rsidRDefault="00CA23D0" w:rsidP="00CA23D0">
            <w:pPr>
              <w:pStyle w:val="Texttabulky"/>
              <w:jc w:val="both"/>
              <w:rPr>
                <w:rFonts w:cs="Arial"/>
              </w:rPr>
            </w:pPr>
            <w:r w:rsidRPr="00E30642">
              <w:rPr>
                <w:rFonts w:cs="Arial"/>
                <w:b/>
                <w:bCs/>
                <w:sz w:val="18"/>
                <w:szCs w:val="18"/>
              </w:rPr>
              <w:t>VI/37</w:t>
            </w:r>
          </w:p>
        </w:tc>
        <w:tc>
          <w:tcPr>
            <w:tcW w:w="2198" w:type="dxa"/>
            <w:tcBorders>
              <w:top w:val="single" w:sz="6" w:space="0" w:color="auto"/>
              <w:left w:val="single" w:sz="6" w:space="0" w:color="auto"/>
              <w:bottom w:val="single" w:sz="6" w:space="0" w:color="auto"/>
              <w:right w:val="single" w:sz="6" w:space="0" w:color="auto"/>
            </w:tcBorders>
          </w:tcPr>
          <w:p w14:paraId="2F2E7935" w14:textId="77777777" w:rsidR="00CA23D0" w:rsidRPr="00E30642" w:rsidRDefault="00CA23D0" w:rsidP="00CA23D0">
            <w:pPr>
              <w:pStyle w:val="Texttabulky"/>
              <w:jc w:val="both"/>
              <w:rPr>
                <w:rFonts w:cs="Arial"/>
              </w:rPr>
            </w:pPr>
            <w:r w:rsidRPr="00E30642">
              <w:rPr>
                <w:rFonts w:cs="Arial"/>
                <w:sz w:val="18"/>
                <w:szCs w:val="18"/>
              </w:rPr>
              <w:t>St. Město, ul. Zelená</w:t>
            </w:r>
          </w:p>
        </w:tc>
        <w:tc>
          <w:tcPr>
            <w:tcW w:w="835" w:type="dxa"/>
            <w:tcBorders>
              <w:top w:val="single" w:sz="6" w:space="0" w:color="auto"/>
              <w:left w:val="single" w:sz="6" w:space="0" w:color="auto"/>
              <w:bottom w:val="single" w:sz="6" w:space="0" w:color="auto"/>
              <w:right w:val="single" w:sz="6" w:space="0" w:color="auto"/>
            </w:tcBorders>
          </w:tcPr>
          <w:p w14:paraId="24ECBE99" w14:textId="77777777" w:rsidR="00CA23D0" w:rsidRPr="00E30642" w:rsidRDefault="00CA23D0" w:rsidP="00CA23D0">
            <w:pPr>
              <w:pStyle w:val="Texttabulky"/>
              <w:jc w:val="both"/>
              <w:rPr>
                <w:rFonts w:cs="Arial"/>
              </w:rPr>
            </w:pPr>
            <w:r w:rsidRPr="00E30642">
              <w:rPr>
                <w:rFonts w:cs="Arial"/>
                <w:sz w:val="18"/>
                <w:szCs w:val="18"/>
              </w:rPr>
              <w:t>0,38</w:t>
            </w:r>
          </w:p>
        </w:tc>
        <w:tc>
          <w:tcPr>
            <w:tcW w:w="1009" w:type="dxa"/>
            <w:tcBorders>
              <w:top w:val="single" w:sz="6" w:space="0" w:color="auto"/>
              <w:left w:val="single" w:sz="6" w:space="0" w:color="auto"/>
              <w:bottom w:val="single" w:sz="6" w:space="0" w:color="auto"/>
              <w:right w:val="single" w:sz="6" w:space="0" w:color="auto"/>
            </w:tcBorders>
          </w:tcPr>
          <w:p w14:paraId="2958ACFB" w14:textId="77777777" w:rsidR="00CA23D0" w:rsidRPr="00E30642" w:rsidRDefault="00CA23D0" w:rsidP="00CA23D0">
            <w:pPr>
              <w:pStyle w:val="Texttabulky"/>
              <w:jc w:val="both"/>
              <w:rPr>
                <w:rFonts w:cs="Arial"/>
              </w:rPr>
            </w:pPr>
            <w:r w:rsidRPr="00E30642">
              <w:rPr>
                <w:rFonts w:cs="Arial"/>
                <w:sz w:val="18"/>
                <w:szCs w:val="18"/>
              </w:rPr>
              <w:t>15</w:t>
            </w:r>
          </w:p>
        </w:tc>
        <w:tc>
          <w:tcPr>
            <w:tcW w:w="1075" w:type="dxa"/>
            <w:tcBorders>
              <w:top w:val="single" w:sz="6" w:space="0" w:color="auto"/>
              <w:left w:val="single" w:sz="6" w:space="0" w:color="auto"/>
              <w:bottom w:val="single" w:sz="6" w:space="0" w:color="auto"/>
              <w:right w:val="single" w:sz="6" w:space="0" w:color="auto"/>
            </w:tcBorders>
          </w:tcPr>
          <w:p w14:paraId="49F0D1E7" w14:textId="77777777" w:rsidR="00CA23D0" w:rsidRPr="00E30642" w:rsidRDefault="00CA23D0" w:rsidP="00CA23D0">
            <w:pPr>
              <w:pStyle w:val="Texttabulky"/>
              <w:jc w:val="both"/>
              <w:rPr>
                <w:rFonts w:cs="Arial"/>
              </w:rPr>
            </w:pPr>
            <w:r w:rsidRPr="00E30642">
              <w:rPr>
                <w:rFonts w:cs="Arial"/>
                <w:sz w:val="18"/>
                <w:szCs w:val="18"/>
              </w:rPr>
              <w:t>C</w:t>
            </w:r>
          </w:p>
        </w:tc>
        <w:tc>
          <w:tcPr>
            <w:tcW w:w="1145" w:type="dxa"/>
            <w:tcBorders>
              <w:top w:val="single" w:sz="6" w:space="0" w:color="auto"/>
              <w:left w:val="single" w:sz="6" w:space="0" w:color="auto"/>
              <w:bottom w:val="single" w:sz="6" w:space="0" w:color="auto"/>
              <w:right w:val="single" w:sz="6" w:space="0" w:color="auto"/>
            </w:tcBorders>
          </w:tcPr>
          <w:p w14:paraId="36B17804" w14:textId="77777777" w:rsidR="00CA23D0" w:rsidRPr="00E30642" w:rsidRDefault="00CA23D0" w:rsidP="00CA23D0">
            <w:pPr>
              <w:pStyle w:val="Texttabulky"/>
              <w:jc w:val="both"/>
              <w:rPr>
                <w:rFonts w:cs="Arial"/>
              </w:rPr>
            </w:pPr>
            <w:r w:rsidRPr="00E30642">
              <w:rPr>
                <w:rFonts w:cs="Arial"/>
                <w:sz w:val="18"/>
                <w:szCs w:val="18"/>
              </w:rPr>
              <w:t>1 - 2</w:t>
            </w:r>
          </w:p>
        </w:tc>
        <w:tc>
          <w:tcPr>
            <w:tcW w:w="937" w:type="dxa"/>
            <w:tcBorders>
              <w:top w:val="single" w:sz="6" w:space="0" w:color="auto"/>
              <w:left w:val="single" w:sz="6" w:space="0" w:color="auto"/>
              <w:bottom w:val="single" w:sz="6" w:space="0" w:color="auto"/>
              <w:right w:val="single" w:sz="6" w:space="0" w:color="auto"/>
            </w:tcBorders>
          </w:tcPr>
          <w:p w14:paraId="5155F6E9" w14:textId="77777777" w:rsidR="00CA23D0" w:rsidRPr="00E30642" w:rsidRDefault="00CA23D0" w:rsidP="00CA23D0">
            <w:pPr>
              <w:pStyle w:val="Zkladntext"/>
              <w:jc w:val="both"/>
              <w:rPr>
                <w:rFonts w:ascii="Arial" w:hAnsi="Arial" w:cs="Arial"/>
              </w:rPr>
            </w:pPr>
          </w:p>
        </w:tc>
      </w:tr>
      <w:tr w:rsidR="00CA23D0" w:rsidRPr="00E30642" w14:paraId="1066F65C"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71DE477F" w14:textId="77777777" w:rsidR="00CA23D0" w:rsidRPr="00E30642" w:rsidRDefault="00CA23D0" w:rsidP="00CA23D0">
            <w:pPr>
              <w:pStyle w:val="Texttabulky"/>
              <w:jc w:val="both"/>
              <w:rPr>
                <w:rFonts w:cs="Arial"/>
              </w:rPr>
            </w:pPr>
            <w:r w:rsidRPr="00E30642">
              <w:rPr>
                <w:rFonts w:cs="Arial"/>
                <w:b/>
                <w:bCs/>
                <w:sz w:val="18"/>
                <w:szCs w:val="18"/>
              </w:rPr>
              <w:t>VII/15</w:t>
            </w:r>
          </w:p>
        </w:tc>
        <w:tc>
          <w:tcPr>
            <w:tcW w:w="2198" w:type="dxa"/>
            <w:tcBorders>
              <w:top w:val="single" w:sz="6" w:space="0" w:color="auto"/>
              <w:left w:val="single" w:sz="6" w:space="0" w:color="auto"/>
              <w:bottom w:val="single" w:sz="6" w:space="0" w:color="auto"/>
              <w:right w:val="single" w:sz="6" w:space="0" w:color="auto"/>
            </w:tcBorders>
          </w:tcPr>
          <w:p w14:paraId="7769D4E9" w14:textId="77777777" w:rsidR="00CA23D0" w:rsidRPr="00E30642" w:rsidRDefault="00CA23D0" w:rsidP="00CA23D0">
            <w:pPr>
              <w:pStyle w:val="Texttabulky"/>
              <w:jc w:val="both"/>
              <w:rPr>
                <w:rFonts w:cs="Arial"/>
              </w:rPr>
            </w:pPr>
            <w:r w:rsidRPr="00E30642">
              <w:rPr>
                <w:rFonts w:cs="Arial"/>
                <w:sz w:val="18"/>
                <w:szCs w:val="18"/>
              </w:rPr>
              <w:t xml:space="preserve">Boletice ul. Spojenců </w:t>
            </w:r>
          </w:p>
        </w:tc>
        <w:tc>
          <w:tcPr>
            <w:tcW w:w="835" w:type="dxa"/>
            <w:tcBorders>
              <w:top w:val="single" w:sz="6" w:space="0" w:color="auto"/>
              <w:left w:val="single" w:sz="6" w:space="0" w:color="auto"/>
              <w:bottom w:val="single" w:sz="6" w:space="0" w:color="auto"/>
              <w:right w:val="single" w:sz="6" w:space="0" w:color="auto"/>
            </w:tcBorders>
          </w:tcPr>
          <w:p w14:paraId="3219DF90" w14:textId="77777777" w:rsidR="00CA23D0" w:rsidRPr="00E30642" w:rsidRDefault="00CA23D0" w:rsidP="00CA23D0">
            <w:pPr>
              <w:pStyle w:val="Texttabulky"/>
              <w:jc w:val="both"/>
              <w:rPr>
                <w:rFonts w:cs="Arial"/>
              </w:rPr>
            </w:pPr>
            <w:r w:rsidRPr="00E30642">
              <w:rPr>
                <w:rFonts w:cs="Arial"/>
                <w:sz w:val="18"/>
                <w:szCs w:val="18"/>
              </w:rPr>
              <w:t>1,26</w:t>
            </w:r>
          </w:p>
        </w:tc>
        <w:tc>
          <w:tcPr>
            <w:tcW w:w="1009" w:type="dxa"/>
            <w:tcBorders>
              <w:top w:val="single" w:sz="6" w:space="0" w:color="auto"/>
              <w:left w:val="single" w:sz="6" w:space="0" w:color="auto"/>
              <w:bottom w:val="single" w:sz="6" w:space="0" w:color="auto"/>
              <w:right w:val="single" w:sz="6" w:space="0" w:color="auto"/>
            </w:tcBorders>
          </w:tcPr>
          <w:p w14:paraId="25A266F7" w14:textId="77777777" w:rsidR="00CA23D0" w:rsidRPr="00E30642" w:rsidRDefault="00CA23D0" w:rsidP="00CA23D0">
            <w:pPr>
              <w:pStyle w:val="Texttabulky"/>
              <w:jc w:val="both"/>
              <w:rPr>
                <w:rFonts w:cs="Arial"/>
              </w:rPr>
            </w:pPr>
            <w:r w:rsidRPr="00E30642">
              <w:rPr>
                <w:rFonts w:cs="Arial"/>
                <w:sz w:val="18"/>
                <w:szCs w:val="18"/>
              </w:rPr>
              <w:t>50</w:t>
            </w:r>
          </w:p>
        </w:tc>
        <w:tc>
          <w:tcPr>
            <w:tcW w:w="1075" w:type="dxa"/>
            <w:tcBorders>
              <w:top w:val="single" w:sz="6" w:space="0" w:color="auto"/>
              <w:left w:val="single" w:sz="6" w:space="0" w:color="auto"/>
              <w:bottom w:val="single" w:sz="6" w:space="0" w:color="auto"/>
              <w:right w:val="single" w:sz="6" w:space="0" w:color="auto"/>
            </w:tcBorders>
          </w:tcPr>
          <w:p w14:paraId="6254C86D" w14:textId="77777777" w:rsidR="00CA23D0" w:rsidRPr="00E30642" w:rsidRDefault="00CA23D0" w:rsidP="00CA23D0">
            <w:pPr>
              <w:pStyle w:val="Texttabulky"/>
              <w:jc w:val="both"/>
              <w:rPr>
                <w:rFonts w:cs="Arial"/>
              </w:rPr>
            </w:pPr>
            <w:r w:rsidRPr="00E30642">
              <w:rPr>
                <w:rFonts w:cs="Arial"/>
                <w:sz w:val="18"/>
                <w:szCs w:val="18"/>
              </w:rPr>
              <w:t>C</w:t>
            </w:r>
          </w:p>
        </w:tc>
        <w:tc>
          <w:tcPr>
            <w:tcW w:w="1145" w:type="dxa"/>
            <w:tcBorders>
              <w:top w:val="single" w:sz="6" w:space="0" w:color="auto"/>
              <w:left w:val="single" w:sz="6" w:space="0" w:color="auto"/>
              <w:bottom w:val="single" w:sz="6" w:space="0" w:color="auto"/>
              <w:right w:val="single" w:sz="6" w:space="0" w:color="auto"/>
            </w:tcBorders>
          </w:tcPr>
          <w:p w14:paraId="6999EE5D" w14:textId="77777777" w:rsidR="00CA23D0" w:rsidRPr="00E30642" w:rsidRDefault="00CA23D0" w:rsidP="00CA23D0">
            <w:pPr>
              <w:pStyle w:val="Texttabulky"/>
              <w:jc w:val="both"/>
              <w:rPr>
                <w:rFonts w:cs="Arial"/>
              </w:rPr>
            </w:pPr>
            <w:r w:rsidRPr="00E30642">
              <w:rPr>
                <w:rFonts w:cs="Arial"/>
                <w:sz w:val="18"/>
                <w:szCs w:val="18"/>
              </w:rPr>
              <w:t>2</w:t>
            </w:r>
          </w:p>
        </w:tc>
        <w:tc>
          <w:tcPr>
            <w:tcW w:w="937" w:type="dxa"/>
            <w:tcBorders>
              <w:top w:val="single" w:sz="6" w:space="0" w:color="auto"/>
              <w:left w:val="single" w:sz="6" w:space="0" w:color="auto"/>
              <w:bottom w:val="single" w:sz="6" w:space="0" w:color="auto"/>
              <w:right w:val="single" w:sz="6" w:space="0" w:color="auto"/>
            </w:tcBorders>
          </w:tcPr>
          <w:p w14:paraId="515A4DC9" w14:textId="77777777" w:rsidR="00CA23D0" w:rsidRPr="00E30642" w:rsidRDefault="00CA23D0" w:rsidP="00CA23D0">
            <w:pPr>
              <w:pStyle w:val="Zkladntext"/>
              <w:jc w:val="both"/>
              <w:rPr>
                <w:rFonts w:ascii="Arial" w:hAnsi="Arial" w:cs="Arial"/>
              </w:rPr>
            </w:pPr>
          </w:p>
        </w:tc>
      </w:tr>
      <w:tr w:rsidR="00CA23D0" w:rsidRPr="00E30642" w14:paraId="0A1C5BA8"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5905CED5" w14:textId="77777777" w:rsidR="00CA23D0" w:rsidRPr="00E30642" w:rsidRDefault="00CA23D0" w:rsidP="00CA23D0">
            <w:pPr>
              <w:pStyle w:val="Texttabulky"/>
              <w:jc w:val="both"/>
              <w:rPr>
                <w:rFonts w:cs="Arial"/>
              </w:rPr>
            </w:pPr>
            <w:r w:rsidRPr="00E30642">
              <w:rPr>
                <w:rFonts w:cs="Arial"/>
                <w:b/>
                <w:bCs/>
                <w:sz w:val="18"/>
                <w:szCs w:val="18"/>
              </w:rPr>
              <w:t>VII/17</w:t>
            </w:r>
          </w:p>
        </w:tc>
        <w:tc>
          <w:tcPr>
            <w:tcW w:w="2198" w:type="dxa"/>
            <w:tcBorders>
              <w:top w:val="single" w:sz="6" w:space="0" w:color="auto"/>
              <w:left w:val="single" w:sz="6" w:space="0" w:color="auto"/>
              <w:bottom w:val="single" w:sz="6" w:space="0" w:color="auto"/>
              <w:right w:val="single" w:sz="6" w:space="0" w:color="auto"/>
            </w:tcBorders>
          </w:tcPr>
          <w:p w14:paraId="4EDCB00C" w14:textId="77777777" w:rsidR="00CA23D0" w:rsidRPr="00E30642" w:rsidRDefault="00CA23D0" w:rsidP="00CA23D0">
            <w:pPr>
              <w:pStyle w:val="Texttabulky"/>
              <w:jc w:val="both"/>
              <w:rPr>
                <w:rFonts w:cs="Arial"/>
              </w:rPr>
            </w:pPr>
            <w:r w:rsidRPr="00E30642">
              <w:rPr>
                <w:rFonts w:cs="Arial"/>
                <w:sz w:val="18"/>
                <w:szCs w:val="18"/>
              </w:rPr>
              <w:t xml:space="preserve">u trati ČD </w:t>
            </w:r>
          </w:p>
        </w:tc>
        <w:tc>
          <w:tcPr>
            <w:tcW w:w="835" w:type="dxa"/>
            <w:tcBorders>
              <w:top w:val="single" w:sz="6" w:space="0" w:color="auto"/>
              <w:left w:val="single" w:sz="6" w:space="0" w:color="auto"/>
              <w:bottom w:val="single" w:sz="6" w:space="0" w:color="auto"/>
              <w:right w:val="single" w:sz="6" w:space="0" w:color="auto"/>
            </w:tcBorders>
          </w:tcPr>
          <w:p w14:paraId="035AA111" w14:textId="77777777" w:rsidR="00CA23D0" w:rsidRPr="00E30642" w:rsidRDefault="00CA23D0" w:rsidP="00CA23D0">
            <w:pPr>
              <w:pStyle w:val="Texttabulky"/>
              <w:jc w:val="both"/>
              <w:rPr>
                <w:rFonts w:cs="Arial"/>
              </w:rPr>
            </w:pPr>
            <w:r w:rsidRPr="00E30642">
              <w:rPr>
                <w:rFonts w:cs="Arial"/>
                <w:sz w:val="18"/>
                <w:szCs w:val="18"/>
              </w:rPr>
              <w:t>4,7</w:t>
            </w:r>
          </w:p>
        </w:tc>
        <w:tc>
          <w:tcPr>
            <w:tcW w:w="1009" w:type="dxa"/>
            <w:tcBorders>
              <w:top w:val="single" w:sz="6" w:space="0" w:color="auto"/>
              <w:left w:val="single" w:sz="6" w:space="0" w:color="auto"/>
              <w:bottom w:val="single" w:sz="6" w:space="0" w:color="auto"/>
              <w:right w:val="single" w:sz="6" w:space="0" w:color="auto"/>
            </w:tcBorders>
          </w:tcPr>
          <w:p w14:paraId="46E1C172" w14:textId="77777777" w:rsidR="00CA23D0" w:rsidRPr="00E30642" w:rsidRDefault="00CA23D0" w:rsidP="00CA23D0">
            <w:pPr>
              <w:pStyle w:val="Texttabulky"/>
              <w:jc w:val="both"/>
              <w:rPr>
                <w:rFonts w:cs="Arial"/>
              </w:rPr>
            </w:pPr>
            <w:r w:rsidRPr="00E30642">
              <w:rPr>
                <w:rFonts w:cs="Arial"/>
                <w:sz w:val="18"/>
                <w:szCs w:val="18"/>
              </w:rPr>
              <w:t>100</w:t>
            </w:r>
          </w:p>
        </w:tc>
        <w:tc>
          <w:tcPr>
            <w:tcW w:w="1075" w:type="dxa"/>
            <w:tcBorders>
              <w:top w:val="single" w:sz="6" w:space="0" w:color="auto"/>
              <w:left w:val="single" w:sz="6" w:space="0" w:color="auto"/>
              <w:bottom w:val="single" w:sz="6" w:space="0" w:color="auto"/>
              <w:right w:val="single" w:sz="6" w:space="0" w:color="auto"/>
            </w:tcBorders>
          </w:tcPr>
          <w:p w14:paraId="5DC71C10" w14:textId="77777777" w:rsidR="00CA23D0" w:rsidRPr="00E30642" w:rsidRDefault="00CA23D0" w:rsidP="00CA23D0">
            <w:pPr>
              <w:pStyle w:val="Texttabulky"/>
              <w:jc w:val="both"/>
              <w:rPr>
                <w:rFonts w:cs="Arial"/>
              </w:rPr>
            </w:pPr>
            <w:r w:rsidRPr="00E30642">
              <w:rPr>
                <w:rFonts w:cs="Arial"/>
                <w:sz w:val="18"/>
                <w:szCs w:val="18"/>
              </w:rPr>
              <w:t>B,C</w:t>
            </w:r>
          </w:p>
        </w:tc>
        <w:tc>
          <w:tcPr>
            <w:tcW w:w="1145" w:type="dxa"/>
            <w:tcBorders>
              <w:top w:val="single" w:sz="6" w:space="0" w:color="auto"/>
              <w:left w:val="single" w:sz="6" w:space="0" w:color="auto"/>
              <w:bottom w:val="single" w:sz="6" w:space="0" w:color="auto"/>
              <w:right w:val="single" w:sz="6" w:space="0" w:color="auto"/>
            </w:tcBorders>
          </w:tcPr>
          <w:p w14:paraId="3A8C6FFF" w14:textId="77777777" w:rsidR="00CA23D0" w:rsidRPr="00E30642" w:rsidRDefault="00CA23D0" w:rsidP="00CA23D0">
            <w:pPr>
              <w:pStyle w:val="Zkladntext"/>
              <w:jc w:val="both"/>
              <w:rPr>
                <w:rFonts w:ascii="Arial" w:hAnsi="Arial" w:cs="Arial"/>
              </w:rPr>
            </w:pPr>
          </w:p>
        </w:tc>
        <w:tc>
          <w:tcPr>
            <w:tcW w:w="937" w:type="dxa"/>
            <w:tcBorders>
              <w:top w:val="single" w:sz="6" w:space="0" w:color="auto"/>
              <w:left w:val="single" w:sz="6" w:space="0" w:color="auto"/>
              <w:bottom w:val="single" w:sz="6" w:space="0" w:color="auto"/>
              <w:right w:val="single" w:sz="6" w:space="0" w:color="auto"/>
            </w:tcBorders>
          </w:tcPr>
          <w:p w14:paraId="38B16FD7" w14:textId="77777777" w:rsidR="00CA23D0" w:rsidRPr="00E30642" w:rsidRDefault="00CA23D0" w:rsidP="00CA23D0">
            <w:pPr>
              <w:pStyle w:val="Texttabulky"/>
              <w:jc w:val="both"/>
              <w:rPr>
                <w:rFonts w:cs="Arial"/>
              </w:rPr>
            </w:pPr>
            <w:r w:rsidRPr="00E30642">
              <w:rPr>
                <w:rFonts w:cs="Arial"/>
                <w:sz w:val="18"/>
                <w:szCs w:val="18"/>
              </w:rPr>
              <w:t>V</w:t>
            </w:r>
          </w:p>
        </w:tc>
      </w:tr>
      <w:tr w:rsidR="00CA23D0" w:rsidRPr="00E30642" w14:paraId="20A12457"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7CF4F99E" w14:textId="77777777" w:rsidR="00CA23D0" w:rsidRPr="00E30642" w:rsidRDefault="00CA23D0" w:rsidP="00CA23D0">
            <w:pPr>
              <w:pStyle w:val="Texttabulky"/>
              <w:jc w:val="both"/>
              <w:rPr>
                <w:rFonts w:cs="Arial"/>
              </w:rPr>
            </w:pPr>
            <w:r w:rsidRPr="00E30642">
              <w:rPr>
                <w:rFonts w:cs="Arial"/>
                <w:b/>
                <w:bCs/>
                <w:sz w:val="18"/>
                <w:szCs w:val="18"/>
              </w:rPr>
              <w:t>VII/18</w:t>
            </w:r>
          </w:p>
        </w:tc>
        <w:tc>
          <w:tcPr>
            <w:tcW w:w="2198" w:type="dxa"/>
            <w:tcBorders>
              <w:top w:val="single" w:sz="6" w:space="0" w:color="auto"/>
              <w:left w:val="single" w:sz="6" w:space="0" w:color="auto"/>
              <w:bottom w:val="single" w:sz="6" w:space="0" w:color="auto"/>
              <w:right w:val="single" w:sz="6" w:space="0" w:color="auto"/>
            </w:tcBorders>
          </w:tcPr>
          <w:p w14:paraId="5D192E70" w14:textId="77777777" w:rsidR="00CA23D0" w:rsidRPr="00E30642" w:rsidRDefault="00CA23D0" w:rsidP="00CA23D0">
            <w:pPr>
              <w:pStyle w:val="Texttabulky"/>
              <w:jc w:val="both"/>
              <w:rPr>
                <w:rFonts w:cs="Arial"/>
              </w:rPr>
            </w:pPr>
            <w:r w:rsidRPr="00E30642">
              <w:rPr>
                <w:rFonts w:cs="Arial"/>
                <w:sz w:val="18"/>
                <w:szCs w:val="18"/>
              </w:rPr>
              <w:t>Křešice "U Labeny"</w:t>
            </w:r>
          </w:p>
        </w:tc>
        <w:tc>
          <w:tcPr>
            <w:tcW w:w="835" w:type="dxa"/>
            <w:tcBorders>
              <w:top w:val="single" w:sz="6" w:space="0" w:color="auto"/>
              <w:left w:val="single" w:sz="6" w:space="0" w:color="auto"/>
              <w:bottom w:val="single" w:sz="6" w:space="0" w:color="auto"/>
              <w:right w:val="single" w:sz="6" w:space="0" w:color="auto"/>
            </w:tcBorders>
          </w:tcPr>
          <w:p w14:paraId="2A176B43" w14:textId="77777777" w:rsidR="00CA23D0" w:rsidRPr="00E30642" w:rsidRDefault="00CA23D0" w:rsidP="00CA23D0">
            <w:pPr>
              <w:pStyle w:val="Texttabulky"/>
              <w:jc w:val="both"/>
              <w:rPr>
                <w:rFonts w:cs="Arial"/>
              </w:rPr>
            </w:pPr>
            <w:r w:rsidRPr="00E30642">
              <w:rPr>
                <w:rFonts w:cs="Arial"/>
                <w:sz w:val="18"/>
                <w:szCs w:val="18"/>
              </w:rPr>
              <w:t>3,37</w:t>
            </w:r>
          </w:p>
        </w:tc>
        <w:tc>
          <w:tcPr>
            <w:tcW w:w="1009" w:type="dxa"/>
            <w:tcBorders>
              <w:top w:val="single" w:sz="6" w:space="0" w:color="auto"/>
              <w:left w:val="single" w:sz="6" w:space="0" w:color="auto"/>
              <w:bottom w:val="single" w:sz="6" w:space="0" w:color="auto"/>
              <w:right w:val="single" w:sz="6" w:space="0" w:color="auto"/>
            </w:tcBorders>
          </w:tcPr>
          <w:p w14:paraId="5F7AA462" w14:textId="77777777" w:rsidR="00CA23D0" w:rsidRPr="00E30642" w:rsidRDefault="00CA23D0" w:rsidP="00CA23D0">
            <w:pPr>
              <w:pStyle w:val="Texttabulky"/>
              <w:jc w:val="both"/>
              <w:rPr>
                <w:rFonts w:cs="Arial"/>
              </w:rPr>
            </w:pPr>
            <w:r w:rsidRPr="00E30642">
              <w:rPr>
                <w:rFonts w:cs="Arial"/>
                <w:sz w:val="18"/>
                <w:szCs w:val="18"/>
              </w:rPr>
              <w:t>150</w:t>
            </w:r>
          </w:p>
        </w:tc>
        <w:tc>
          <w:tcPr>
            <w:tcW w:w="1075" w:type="dxa"/>
            <w:tcBorders>
              <w:top w:val="single" w:sz="6" w:space="0" w:color="auto"/>
              <w:left w:val="single" w:sz="6" w:space="0" w:color="auto"/>
              <w:bottom w:val="single" w:sz="6" w:space="0" w:color="auto"/>
              <w:right w:val="single" w:sz="6" w:space="0" w:color="auto"/>
            </w:tcBorders>
          </w:tcPr>
          <w:p w14:paraId="7F012288" w14:textId="77777777" w:rsidR="00CA23D0" w:rsidRPr="00E30642" w:rsidRDefault="00CA23D0" w:rsidP="00CA23D0">
            <w:pPr>
              <w:pStyle w:val="Texttabulky"/>
              <w:jc w:val="both"/>
              <w:rPr>
                <w:rFonts w:cs="Arial"/>
              </w:rPr>
            </w:pPr>
            <w:r w:rsidRPr="00E30642">
              <w:rPr>
                <w:rFonts w:cs="Arial"/>
                <w:sz w:val="18"/>
                <w:szCs w:val="18"/>
              </w:rPr>
              <w:t>B</w:t>
            </w:r>
          </w:p>
        </w:tc>
        <w:tc>
          <w:tcPr>
            <w:tcW w:w="1145" w:type="dxa"/>
            <w:tcBorders>
              <w:top w:val="single" w:sz="6" w:space="0" w:color="auto"/>
              <w:left w:val="single" w:sz="6" w:space="0" w:color="auto"/>
              <w:bottom w:val="single" w:sz="6" w:space="0" w:color="auto"/>
              <w:right w:val="single" w:sz="6" w:space="0" w:color="auto"/>
            </w:tcBorders>
          </w:tcPr>
          <w:p w14:paraId="6996C0ED" w14:textId="77777777" w:rsidR="00CA23D0" w:rsidRPr="00E30642" w:rsidRDefault="00CA23D0" w:rsidP="00CA23D0">
            <w:pPr>
              <w:pStyle w:val="Texttabulky"/>
              <w:jc w:val="both"/>
              <w:rPr>
                <w:rFonts w:cs="Arial"/>
              </w:rPr>
            </w:pPr>
            <w:r w:rsidRPr="00E30642">
              <w:rPr>
                <w:rFonts w:cs="Arial"/>
                <w:sz w:val="18"/>
                <w:szCs w:val="18"/>
              </w:rPr>
              <w:t>2</w:t>
            </w:r>
          </w:p>
        </w:tc>
        <w:tc>
          <w:tcPr>
            <w:tcW w:w="937" w:type="dxa"/>
            <w:tcBorders>
              <w:top w:val="single" w:sz="6" w:space="0" w:color="auto"/>
              <w:left w:val="single" w:sz="6" w:space="0" w:color="auto"/>
              <w:bottom w:val="single" w:sz="6" w:space="0" w:color="auto"/>
              <w:right w:val="single" w:sz="6" w:space="0" w:color="auto"/>
            </w:tcBorders>
          </w:tcPr>
          <w:p w14:paraId="5774384F" w14:textId="77777777" w:rsidR="00CA23D0" w:rsidRPr="00E30642" w:rsidRDefault="00CA23D0" w:rsidP="00CA23D0">
            <w:pPr>
              <w:pStyle w:val="Zkladntext"/>
              <w:jc w:val="both"/>
              <w:rPr>
                <w:rFonts w:ascii="Arial" w:hAnsi="Arial" w:cs="Arial"/>
              </w:rPr>
            </w:pPr>
          </w:p>
        </w:tc>
      </w:tr>
      <w:tr w:rsidR="00CA23D0" w:rsidRPr="00E30642" w14:paraId="3D670419"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60FBD7D3" w14:textId="77777777" w:rsidR="00CA23D0" w:rsidRPr="00E30642" w:rsidRDefault="00CA23D0" w:rsidP="00CA23D0">
            <w:pPr>
              <w:pStyle w:val="Texttabulky"/>
              <w:jc w:val="both"/>
              <w:rPr>
                <w:rFonts w:cs="Arial"/>
              </w:rPr>
            </w:pPr>
            <w:r w:rsidRPr="00E30642">
              <w:rPr>
                <w:rFonts w:cs="Arial"/>
                <w:b/>
                <w:bCs/>
                <w:sz w:val="18"/>
                <w:szCs w:val="18"/>
              </w:rPr>
              <w:t>VII/19</w:t>
            </w:r>
          </w:p>
        </w:tc>
        <w:tc>
          <w:tcPr>
            <w:tcW w:w="2198" w:type="dxa"/>
            <w:tcBorders>
              <w:top w:val="single" w:sz="6" w:space="0" w:color="auto"/>
              <w:left w:val="single" w:sz="6" w:space="0" w:color="auto"/>
              <w:bottom w:val="single" w:sz="6" w:space="0" w:color="auto"/>
              <w:right w:val="single" w:sz="6" w:space="0" w:color="auto"/>
            </w:tcBorders>
          </w:tcPr>
          <w:p w14:paraId="389398AA" w14:textId="77777777" w:rsidR="00CA23D0" w:rsidRPr="00E30642" w:rsidRDefault="00CA23D0" w:rsidP="00CA23D0">
            <w:pPr>
              <w:pStyle w:val="Texttabulky"/>
              <w:jc w:val="both"/>
              <w:rPr>
                <w:rFonts w:cs="Arial"/>
              </w:rPr>
            </w:pPr>
            <w:r w:rsidRPr="00E30642">
              <w:rPr>
                <w:rFonts w:cs="Arial"/>
                <w:sz w:val="18"/>
                <w:szCs w:val="18"/>
              </w:rPr>
              <w:t>Křešice "U loděnice"</w:t>
            </w:r>
          </w:p>
        </w:tc>
        <w:tc>
          <w:tcPr>
            <w:tcW w:w="835" w:type="dxa"/>
            <w:tcBorders>
              <w:top w:val="single" w:sz="6" w:space="0" w:color="auto"/>
              <w:left w:val="single" w:sz="6" w:space="0" w:color="auto"/>
              <w:bottom w:val="single" w:sz="6" w:space="0" w:color="auto"/>
              <w:right w:val="single" w:sz="6" w:space="0" w:color="auto"/>
            </w:tcBorders>
          </w:tcPr>
          <w:p w14:paraId="11547186" w14:textId="77777777" w:rsidR="00CA23D0" w:rsidRPr="00E30642" w:rsidRDefault="00CA23D0" w:rsidP="00CA23D0">
            <w:pPr>
              <w:pStyle w:val="Texttabulky"/>
              <w:jc w:val="both"/>
              <w:rPr>
                <w:rFonts w:cs="Arial"/>
              </w:rPr>
            </w:pPr>
            <w:r w:rsidRPr="00E30642">
              <w:rPr>
                <w:rFonts w:cs="Arial"/>
                <w:sz w:val="18"/>
                <w:szCs w:val="18"/>
              </w:rPr>
              <w:t>4,72</w:t>
            </w:r>
          </w:p>
        </w:tc>
        <w:tc>
          <w:tcPr>
            <w:tcW w:w="1009" w:type="dxa"/>
            <w:tcBorders>
              <w:top w:val="single" w:sz="6" w:space="0" w:color="auto"/>
              <w:left w:val="single" w:sz="6" w:space="0" w:color="auto"/>
              <w:bottom w:val="single" w:sz="6" w:space="0" w:color="auto"/>
              <w:right w:val="single" w:sz="6" w:space="0" w:color="auto"/>
            </w:tcBorders>
          </w:tcPr>
          <w:p w14:paraId="6F93EB42" w14:textId="77777777" w:rsidR="00CA23D0" w:rsidRPr="00E30642" w:rsidRDefault="00CA23D0" w:rsidP="00CA23D0">
            <w:pPr>
              <w:pStyle w:val="Texttabulky"/>
              <w:jc w:val="both"/>
              <w:rPr>
                <w:rFonts w:cs="Arial"/>
              </w:rPr>
            </w:pPr>
            <w:r w:rsidRPr="00E30642">
              <w:rPr>
                <w:rFonts w:cs="Arial"/>
                <w:sz w:val="18"/>
                <w:szCs w:val="18"/>
              </w:rPr>
              <w:t>300</w:t>
            </w:r>
          </w:p>
        </w:tc>
        <w:tc>
          <w:tcPr>
            <w:tcW w:w="1075" w:type="dxa"/>
            <w:tcBorders>
              <w:top w:val="single" w:sz="6" w:space="0" w:color="auto"/>
              <w:left w:val="single" w:sz="6" w:space="0" w:color="auto"/>
              <w:bottom w:val="single" w:sz="6" w:space="0" w:color="auto"/>
              <w:right w:val="single" w:sz="6" w:space="0" w:color="auto"/>
            </w:tcBorders>
          </w:tcPr>
          <w:p w14:paraId="18B52B0E" w14:textId="77777777" w:rsidR="00CA23D0" w:rsidRPr="00E30642" w:rsidRDefault="00CA23D0" w:rsidP="00CA23D0">
            <w:pPr>
              <w:pStyle w:val="Texttabulky"/>
              <w:jc w:val="both"/>
              <w:rPr>
                <w:rFonts w:cs="Arial"/>
              </w:rPr>
            </w:pPr>
            <w:r w:rsidRPr="00E30642">
              <w:rPr>
                <w:rFonts w:cs="Arial"/>
                <w:sz w:val="18"/>
                <w:szCs w:val="18"/>
              </w:rPr>
              <w:t>A,B</w:t>
            </w:r>
          </w:p>
        </w:tc>
        <w:tc>
          <w:tcPr>
            <w:tcW w:w="1145" w:type="dxa"/>
            <w:tcBorders>
              <w:top w:val="single" w:sz="6" w:space="0" w:color="auto"/>
              <w:left w:val="single" w:sz="6" w:space="0" w:color="auto"/>
              <w:bottom w:val="single" w:sz="6" w:space="0" w:color="auto"/>
              <w:right w:val="single" w:sz="6" w:space="0" w:color="auto"/>
            </w:tcBorders>
          </w:tcPr>
          <w:p w14:paraId="79417719" w14:textId="77777777" w:rsidR="00CA23D0" w:rsidRPr="00E30642" w:rsidRDefault="00CA23D0" w:rsidP="00CA23D0">
            <w:pPr>
              <w:pStyle w:val="Texttabulky"/>
              <w:jc w:val="both"/>
              <w:rPr>
                <w:rFonts w:cs="Arial"/>
              </w:rPr>
            </w:pPr>
            <w:r w:rsidRPr="00E30642">
              <w:rPr>
                <w:rFonts w:cs="Arial"/>
                <w:sz w:val="18"/>
                <w:szCs w:val="18"/>
              </w:rPr>
              <w:t>2</w:t>
            </w:r>
          </w:p>
        </w:tc>
        <w:tc>
          <w:tcPr>
            <w:tcW w:w="937" w:type="dxa"/>
            <w:tcBorders>
              <w:top w:val="single" w:sz="6" w:space="0" w:color="auto"/>
              <w:left w:val="single" w:sz="6" w:space="0" w:color="auto"/>
              <w:bottom w:val="single" w:sz="6" w:space="0" w:color="auto"/>
              <w:right w:val="single" w:sz="6" w:space="0" w:color="auto"/>
            </w:tcBorders>
          </w:tcPr>
          <w:p w14:paraId="5F82F111" w14:textId="77777777" w:rsidR="00CA23D0" w:rsidRPr="00E30642" w:rsidRDefault="00CA23D0" w:rsidP="00CA23D0">
            <w:pPr>
              <w:pStyle w:val="Zkladntext"/>
              <w:jc w:val="both"/>
              <w:rPr>
                <w:rFonts w:ascii="Arial" w:hAnsi="Arial" w:cs="Arial"/>
              </w:rPr>
            </w:pPr>
          </w:p>
        </w:tc>
      </w:tr>
      <w:tr w:rsidR="00CA23D0" w:rsidRPr="00E30642" w14:paraId="13F883B8" w14:textId="77777777" w:rsidTr="00CA23D0">
        <w:trPr>
          <w:jc w:val="center"/>
        </w:trPr>
        <w:tc>
          <w:tcPr>
            <w:tcW w:w="614" w:type="dxa"/>
            <w:tcBorders>
              <w:top w:val="single" w:sz="6" w:space="0" w:color="auto"/>
              <w:left w:val="single" w:sz="6" w:space="0" w:color="auto"/>
              <w:bottom w:val="single" w:sz="6" w:space="0" w:color="auto"/>
              <w:right w:val="single" w:sz="6" w:space="0" w:color="auto"/>
            </w:tcBorders>
          </w:tcPr>
          <w:p w14:paraId="341514A4" w14:textId="77777777" w:rsidR="00CA23D0" w:rsidRPr="00E30642" w:rsidRDefault="00CA23D0" w:rsidP="00CA23D0">
            <w:pPr>
              <w:pStyle w:val="Texttabulky"/>
              <w:jc w:val="both"/>
              <w:rPr>
                <w:rFonts w:cs="Arial"/>
              </w:rPr>
            </w:pPr>
            <w:r w:rsidRPr="00E30642">
              <w:rPr>
                <w:rFonts w:cs="Arial"/>
                <w:b/>
                <w:bCs/>
                <w:sz w:val="18"/>
                <w:szCs w:val="18"/>
              </w:rPr>
              <w:t>VII/20</w:t>
            </w:r>
          </w:p>
        </w:tc>
        <w:tc>
          <w:tcPr>
            <w:tcW w:w="2198" w:type="dxa"/>
            <w:tcBorders>
              <w:top w:val="single" w:sz="6" w:space="0" w:color="auto"/>
              <w:left w:val="single" w:sz="6" w:space="0" w:color="auto"/>
              <w:bottom w:val="single" w:sz="6" w:space="0" w:color="auto"/>
              <w:right w:val="single" w:sz="6" w:space="0" w:color="auto"/>
            </w:tcBorders>
          </w:tcPr>
          <w:p w14:paraId="27C59E16" w14:textId="77777777" w:rsidR="00CA23D0" w:rsidRPr="00E30642" w:rsidRDefault="00CA23D0" w:rsidP="00CA23D0">
            <w:pPr>
              <w:pStyle w:val="Texttabulky"/>
              <w:jc w:val="both"/>
              <w:rPr>
                <w:rFonts w:cs="Arial"/>
              </w:rPr>
            </w:pPr>
            <w:r w:rsidRPr="00E30642">
              <w:rPr>
                <w:rFonts w:cs="Arial"/>
                <w:sz w:val="18"/>
                <w:szCs w:val="18"/>
              </w:rPr>
              <w:t>Křešice "U loděnice"</w:t>
            </w:r>
          </w:p>
        </w:tc>
        <w:tc>
          <w:tcPr>
            <w:tcW w:w="835" w:type="dxa"/>
            <w:tcBorders>
              <w:top w:val="single" w:sz="6" w:space="0" w:color="auto"/>
              <w:left w:val="single" w:sz="6" w:space="0" w:color="auto"/>
              <w:bottom w:val="single" w:sz="6" w:space="0" w:color="auto"/>
              <w:right w:val="single" w:sz="6" w:space="0" w:color="auto"/>
            </w:tcBorders>
          </w:tcPr>
          <w:p w14:paraId="634E88E8" w14:textId="77777777" w:rsidR="00CA23D0" w:rsidRPr="00E30642" w:rsidRDefault="00CA23D0" w:rsidP="00CA23D0">
            <w:pPr>
              <w:pStyle w:val="Texttabulky"/>
              <w:jc w:val="both"/>
              <w:rPr>
                <w:rFonts w:cs="Arial"/>
              </w:rPr>
            </w:pPr>
            <w:r w:rsidRPr="00E30642">
              <w:rPr>
                <w:rFonts w:cs="Arial"/>
                <w:sz w:val="18"/>
                <w:szCs w:val="18"/>
              </w:rPr>
              <w:t>5,8</w:t>
            </w:r>
          </w:p>
        </w:tc>
        <w:tc>
          <w:tcPr>
            <w:tcW w:w="1009" w:type="dxa"/>
            <w:tcBorders>
              <w:top w:val="single" w:sz="6" w:space="0" w:color="auto"/>
              <w:left w:val="single" w:sz="6" w:space="0" w:color="auto"/>
              <w:bottom w:val="single" w:sz="6" w:space="0" w:color="auto"/>
              <w:right w:val="single" w:sz="6" w:space="0" w:color="auto"/>
            </w:tcBorders>
          </w:tcPr>
          <w:p w14:paraId="56E72118" w14:textId="77777777" w:rsidR="00CA23D0" w:rsidRPr="00E30642" w:rsidRDefault="00CA23D0" w:rsidP="00CA23D0">
            <w:pPr>
              <w:pStyle w:val="Texttabulky"/>
              <w:jc w:val="both"/>
              <w:rPr>
                <w:rFonts w:cs="Arial"/>
              </w:rPr>
            </w:pPr>
            <w:r w:rsidRPr="00E30642">
              <w:rPr>
                <w:rFonts w:cs="Arial"/>
                <w:sz w:val="18"/>
                <w:szCs w:val="18"/>
              </w:rPr>
              <w:t>500</w:t>
            </w:r>
          </w:p>
        </w:tc>
        <w:tc>
          <w:tcPr>
            <w:tcW w:w="1075" w:type="dxa"/>
            <w:tcBorders>
              <w:top w:val="single" w:sz="6" w:space="0" w:color="auto"/>
              <w:left w:val="single" w:sz="6" w:space="0" w:color="auto"/>
              <w:bottom w:val="single" w:sz="6" w:space="0" w:color="auto"/>
              <w:right w:val="single" w:sz="6" w:space="0" w:color="auto"/>
            </w:tcBorders>
          </w:tcPr>
          <w:p w14:paraId="7BED765F" w14:textId="77777777" w:rsidR="00CA23D0" w:rsidRPr="00E30642" w:rsidRDefault="00CA23D0" w:rsidP="00CA23D0">
            <w:pPr>
              <w:pStyle w:val="Texttabulky"/>
              <w:jc w:val="both"/>
              <w:rPr>
                <w:rFonts w:cs="Arial"/>
              </w:rPr>
            </w:pPr>
            <w:r w:rsidRPr="00E30642">
              <w:rPr>
                <w:rFonts w:cs="Arial"/>
                <w:sz w:val="18"/>
                <w:szCs w:val="18"/>
              </w:rPr>
              <w:t>A</w:t>
            </w:r>
          </w:p>
        </w:tc>
        <w:tc>
          <w:tcPr>
            <w:tcW w:w="1145" w:type="dxa"/>
            <w:tcBorders>
              <w:top w:val="single" w:sz="6" w:space="0" w:color="auto"/>
              <w:left w:val="single" w:sz="6" w:space="0" w:color="auto"/>
              <w:bottom w:val="single" w:sz="6" w:space="0" w:color="auto"/>
              <w:right w:val="single" w:sz="6" w:space="0" w:color="auto"/>
            </w:tcBorders>
          </w:tcPr>
          <w:p w14:paraId="5FE326DA" w14:textId="77777777" w:rsidR="00CA23D0" w:rsidRPr="00E30642" w:rsidRDefault="00CA23D0" w:rsidP="00CA23D0">
            <w:pPr>
              <w:pStyle w:val="Zkladntext"/>
              <w:jc w:val="both"/>
              <w:rPr>
                <w:rFonts w:ascii="Arial" w:hAnsi="Arial" w:cs="Arial"/>
              </w:rPr>
            </w:pPr>
          </w:p>
        </w:tc>
        <w:tc>
          <w:tcPr>
            <w:tcW w:w="937" w:type="dxa"/>
            <w:tcBorders>
              <w:top w:val="single" w:sz="6" w:space="0" w:color="auto"/>
              <w:left w:val="single" w:sz="6" w:space="0" w:color="auto"/>
              <w:bottom w:val="single" w:sz="6" w:space="0" w:color="auto"/>
              <w:right w:val="single" w:sz="6" w:space="0" w:color="auto"/>
            </w:tcBorders>
          </w:tcPr>
          <w:p w14:paraId="28565B47" w14:textId="77777777" w:rsidR="00CA23D0" w:rsidRPr="00E30642" w:rsidRDefault="00CA23D0" w:rsidP="00CA23D0">
            <w:pPr>
              <w:pStyle w:val="Texttabulky"/>
              <w:jc w:val="both"/>
              <w:rPr>
                <w:rFonts w:cs="Arial"/>
              </w:rPr>
            </w:pPr>
            <w:r w:rsidRPr="00E30642">
              <w:rPr>
                <w:rFonts w:cs="Arial"/>
                <w:sz w:val="18"/>
                <w:szCs w:val="18"/>
              </w:rPr>
              <w:t>V</w:t>
            </w:r>
          </w:p>
        </w:tc>
      </w:tr>
      <w:tr w:rsidR="00CA23D0" w:rsidRPr="00E30642" w14:paraId="0F7332CB" w14:textId="77777777" w:rsidTr="00CA23D0">
        <w:trPr>
          <w:jc w:val="center"/>
        </w:trPr>
        <w:tc>
          <w:tcPr>
            <w:tcW w:w="2812" w:type="dxa"/>
            <w:gridSpan w:val="2"/>
            <w:tcBorders>
              <w:top w:val="single" w:sz="6" w:space="0" w:color="auto"/>
              <w:left w:val="single" w:sz="6" w:space="0" w:color="auto"/>
              <w:bottom w:val="single" w:sz="6" w:space="0" w:color="auto"/>
              <w:right w:val="single" w:sz="6" w:space="0" w:color="auto"/>
            </w:tcBorders>
          </w:tcPr>
          <w:p w14:paraId="3FE1E3EA"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město CELKEM</w:t>
            </w:r>
          </w:p>
        </w:tc>
        <w:tc>
          <w:tcPr>
            <w:tcW w:w="835" w:type="dxa"/>
            <w:tcBorders>
              <w:top w:val="single" w:sz="6" w:space="0" w:color="auto"/>
              <w:left w:val="single" w:sz="6" w:space="0" w:color="auto"/>
              <w:bottom w:val="single" w:sz="6" w:space="0" w:color="auto"/>
              <w:right w:val="single" w:sz="6" w:space="0" w:color="auto"/>
            </w:tcBorders>
          </w:tcPr>
          <w:p w14:paraId="57F15914" w14:textId="77777777" w:rsidR="00CA23D0" w:rsidRPr="00E30642" w:rsidRDefault="00CA23D0" w:rsidP="00CA23D0">
            <w:pPr>
              <w:pStyle w:val="Texttabulky"/>
              <w:jc w:val="both"/>
              <w:rPr>
                <w:rFonts w:cs="Arial"/>
              </w:rPr>
            </w:pPr>
            <w:r w:rsidRPr="00E30642">
              <w:rPr>
                <w:rFonts w:cs="Arial"/>
                <w:b/>
                <w:bCs/>
                <w:sz w:val="18"/>
                <w:szCs w:val="18"/>
              </w:rPr>
              <w:t xml:space="preserve"> 35,90</w:t>
            </w:r>
          </w:p>
        </w:tc>
        <w:tc>
          <w:tcPr>
            <w:tcW w:w="1009" w:type="dxa"/>
            <w:tcBorders>
              <w:top w:val="single" w:sz="6" w:space="0" w:color="auto"/>
              <w:left w:val="single" w:sz="6" w:space="0" w:color="auto"/>
              <w:bottom w:val="single" w:sz="6" w:space="0" w:color="auto"/>
              <w:right w:val="single" w:sz="6" w:space="0" w:color="auto"/>
            </w:tcBorders>
          </w:tcPr>
          <w:p w14:paraId="60F342A2" w14:textId="77777777" w:rsidR="00CA23D0" w:rsidRPr="00E30642" w:rsidRDefault="00CA23D0" w:rsidP="00CA23D0">
            <w:pPr>
              <w:pStyle w:val="Texttabulky"/>
              <w:jc w:val="both"/>
              <w:rPr>
                <w:rFonts w:cs="Arial"/>
              </w:rPr>
            </w:pPr>
            <w:r w:rsidRPr="00E30642">
              <w:rPr>
                <w:rFonts w:cs="Arial"/>
                <w:b/>
                <w:bCs/>
                <w:sz w:val="18"/>
                <w:szCs w:val="18"/>
              </w:rPr>
              <w:t>1 910</w:t>
            </w:r>
          </w:p>
        </w:tc>
        <w:tc>
          <w:tcPr>
            <w:tcW w:w="1075" w:type="dxa"/>
            <w:tcBorders>
              <w:top w:val="single" w:sz="6" w:space="0" w:color="auto"/>
              <w:left w:val="single" w:sz="6" w:space="0" w:color="auto"/>
              <w:bottom w:val="single" w:sz="6" w:space="0" w:color="auto"/>
              <w:right w:val="single" w:sz="6" w:space="0" w:color="auto"/>
            </w:tcBorders>
          </w:tcPr>
          <w:p w14:paraId="6F50300B" w14:textId="77777777" w:rsidR="00CA23D0" w:rsidRPr="00E30642" w:rsidRDefault="00CA23D0" w:rsidP="00CA23D0">
            <w:pPr>
              <w:pStyle w:val="Texttabulky"/>
              <w:jc w:val="both"/>
              <w:rPr>
                <w:rFonts w:cs="Arial"/>
              </w:rPr>
            </w:pPr>
            <w:r w:rsidRPr="00E30642">
              <w:rPr>
                <w:rFonts w:cs="Arial"/>
                <w:sz w:val="18"/>
                <w:szCs w:val="18"/>
              </w:rPr>
              <w:t>A,B,C</w:t>
            </w:r>
          </w:p>
        </w:tc>
        <w:tc>
          <w:tcPr>
            <w:tcW w:w="1145" w:type="dxa"/>
            <w:tcBorders>
              <w:top w:val="single" w:sz="6" w:space="0" w:color="auto"/>
              <w:left w:val="single" w:sz="6" w:space="0" w:color="auto"/>
              <w:bottom w:val="single" w:sz="6" w:space="0" w:color="auto"/>
              <w:right w:val="single" w:sz="6" w:space="0" w:color="auto"/>
            </w:tcBorders>
          </w:tcPr>
          <w:p w14:paraId="7250051D" w14:textId="77777777" w:rsidR="00CA23D0" w:rsidRPr="00E30642" w:rsidRDefault="00CA23D0" w:rsidP="00CA23D0">
            <w:pPr>
              <w:pStyle w:val="Texttabulky"/>
              <w:jc w:val="both"/>
              <w:rPr>
                <w:rFonts w:cs="Arial"/>
              </w:rPr>
            </w:pPr>
            <w:r w:rsidRPr="00E30642">
              <w:rPr>
                <w:rFonts w:cs="Arial"/>
              </w:rPr>
              <w:t>1 - 2</w:t>
            </w:r>
          </w:p>
        </w:tc>
        <w:tc>
          <w:tcPr>
            <w:tcW w:w="937" w:type="dxa"/>
            <w:tcBorders>
              <w:top w:val="single" w:sz="6" w:space="0" w:color="auto"/>
              <w:left w:val="single" w:sz="6" w:space="0" w:color="auto"/>
              <w:bottom w:val="single" w:sz="6" w:space="0" w:color="auto"/>
              <w:right w:val="single" w:sz="6" w:space="0" w:color="auto"/>
            </w:tcBorders>
          </w:tcPr>
          <w:p w14:paraId="02E111C4" w14:textId="77777777" w:rsidR="00CA23D0" w:rsidRPr="00E30642" w:rsidRDefault="00CA23D0" w:rsidP="00CA23D0">
            <w:pPr>
              <w:pStyle w:val="Texttabulky"/>
              <w:jc w:val="both"/>
              <w:rPr>
                <w:rFonts w:cs="Arial"/>
              </w:rPr>
            </w:pPr>
            <w:r w:rsidRPr="00E30642">
              <w:rPr>
                <w:rFonts w:cs="Arial"/>
              </w:rPr>
              <w:t>V</w:t>
            </w:r>
          </w:p>
        </w:tc>
      </w:tr>
      <w:tr w:rsidR="00CA23D0" w:rsidRPr="00E30642" w14:paraId="13E4EB6F" w14:textId="77777777" w:rsidTr="00CA23D0">
        <w:trPr>
          <w:cantSplit/>
          <w:jc w:val="center"/>
        </w:trPr>
        <w:tc>
          <w:tcPr>
            <w:tcW w:w="2812" w:type="dxa"/>
            <w:gridSpan w:val="2"/>
            <w:tcBorders>
              <w:top w:val="single" w:sz="6" w:space="0" w:color="auto"/>
              <w:left w:val="single" w:sz="6" w:space="0" w:color="auto"/>
              <w:bottom w:val="single" w:sz="6" w:space="0" w:color="auto"/>
              <w:right w:val="single" w:sz="6" w:space="0" w:color="auto"/>
            </w:tcBorders>
          </w:tcPr>
          <w:p w14:paraId="51705E21" w14:textId="77777777" w:rsidR="00CA23D0" w:rsidRPr="00E30642" w:rsidRDefault="00CA23D0" w:rsidP="00CA23D0">
            <w:pPr>
              <w:pStyle w:val="Zkladntext"/>
              <w:jc w:val="both"/>
              <w:rPr>
                <w:rFonts w:ascii="Arial" w:hAnsi="Arial" w:cs="Arial"/>
              </w:rPr>
            </w:pPr>
            <w:r w:rsidRPr="00E30642">
              <w:rPr>
                <w:rFonts w:ascii="Arial" w:hAnsi="Arial" w:cs="Arial"/>
                <w:sz w:val="18"/>
                <w:szCs w:val="18"/>
              </w:rPr>
              <w:t xml:space="preserve">z toho : 1 a 2. etapa </w:t>
            </w:r>
          </w:p>
        </w:tc>
        <w:tc>
          <w:tcPr>
            <w:tcW w:w="835" w:type="dxa"/>
            <w:tcBorders>
              <w:top w:val="single" w:sz="6" w:space="0" w:color="auto"/>
              <w:left w:val="single" w:sz="6" w:space="0" w:color="auto"/>
              <w:bottom w:val="single" w:sz="6" w:space="0" w:color="auto"/>
              <w:right w:val="single" w:sz="6" w:space="0" w:color="auto"/>
            </w:tcBorders>
          </w:tcPr>
          <w:p w14:paraId="5ED7F44C" w14:textId="77777777" w:rsidR="00CA23D0" w:rsidRPr="00E30642" w:rsidRDefault="00CA23D0" w:rsidP="00CA23D0">
            <w:pPr>
              <w:pStyle w:val="Texttabulky"/>
              <w:jc w:val="both"/>
              <w:rPr>
                <w:rFonts w:cs="Arial"/>
              </w:rPr>
            </w:pPr>
            <w:r w:rsidRPr="00E30642">
              <w:rPr>
                <w:rFonts w:cs="Arial"/>
                <w:sz w:val="18"/>
                <w:szCs w:val="18"/>
              </w:rPr>
              <w:t xml:space="preserve">16,95 </w:t>
            </w:r>
          </w:p>
        </w:tc>
        <w:tc>
          <w:tcPr>
            <w:tcW w:w="1009" w:type="dxa"/>
            <w:tcBorders>
              <w:top w:val="single" w:sz="6" w:space="0" w:color="auto"/>
              <w:left w:val="single" w:sz="6" w:space="0" w:color="auto"/>
              <w:bottom w:val="single" w:sz="6" w:space="0" w:color="auto"/>
              <w:right w:val="single" w:sz="6" w:space="0" w:color="auto"/>
            </w:tcBorders>
          </w:tcPr>
          <w:p w14:paraId="1DC3FF6C" w14:textId="77777777" w:rsidR="00CA23D0" w:rsidRPr="00E30642" w:rsidRDefault="00CA23D0" w:rsidP="00CA23D0">
            <w:pPr>
              <w:pStyle w:val="Texttabulky"/>
              <w:jc w:val="both"/>
              <w:rPr>
                <w:rFonts w:cs="Arial"/>
              </w:rPr>
            </w:pPr>
            <w:r w:rsidRPr="00E30642">
              <w:rPr>
                <w:rFonts w:cs="Arial"/>
                <w:sz w:val="18"/>
                <w:szCs w:val="18"/>
              </w:rPr>
              <w:t>915</w:t>
            </w:r>
          </w:p>
        </w:tc>
        <w:tc>
          <w:tcPr>
            <w:tcW w:w="3157" w:type="dxa"/>
            <w:gridSpan w:val="3"/>
            <w:vMerge w:val="restart"/>
            <w:tcBorders>
              <w:top w:val="single" w:sz="6" w:space="0" w:color="auto"/>
              <w:left w:val="single" w:sz="6" w:space="0" w:color="auto"/>
              <w:right w:val="single" w:sz="6" w:space="0" w:color="auto"/>
            </w:tcBorders>
          </w:tcPr>
          <w:p w14:paraId="032A96B9" w14:textId="77777777" w:rsidR="00CA23D0" w:rsidRPr="00E30642" w:rsidRDefault="00CA23D0" w:rsidP="00CA23D0">
            <w:pPr>
              <w:pStyle w:val="Zkladntext"/>
              <w:jc w:val="both"/>
              <w:rPr>
                <w:rFonts w:ascii="Arial" w:hAnsi="Arial" w:cs="Arial"/>
              </w:rPr>
            </w:pPr>
            <w:r w:rsidRPr="00E30642">
              <w:rPr>
                <w:rFonts w:ascii="Arial" w:hAnsi="Arial" w:cs="Arial"/>
                <w:i/>
                <w:iCs/>
                <w:sz w:val="16"/>
                <w:szCs w:val="16"/>
              </w:rPr>
              <w:t xml:space="preserve"> poznámka:  volné disponibilní plochy ČD (Děčín hlavní nádraží, Děčín - východ) prověřit pro event. výhledový rozvoj města. </w:t>
            </w:r>
          </w:p>
        </w:tc>
      </w:tr>
      <w:tr w:rsidR="00CA23D0" w:rsidRPr="00E30642" w14:paraId="1F168855" w14:textId="77777777" w:rsidTr="00CA23D0">
        <w:trPr>
          <w:cantSplit/>
          <w:jc w:val="center"/>
        </w:trPr>
        <w:tc>
          <w:tcPr>
            <w:tcW w:w="2812" w:type="dxa"/>
            <w:gridSpan w:val="2"/>
            <w:tcBorders>
              <w:top w:val="single" w:sz="6" w:space="0" w:color="auto"/>
              <w:left w:val="single" w:sz="6" w:space="0" w:color="auto"/>
              <w:bottom w:val="single" w:sz="6" w:space="0" w:color="auto"/>
              <w:right w:val="single" w:sz="6" w:space="0" w:color="auto"/>
            </w:tcBorders>
          </w:tcPr>
          <w:p w14:paraId="5028CBF4" w14:textId="77777777" w:rsidR="00CA23D0" w:rsidRPr="00E30642" w:rsidRDefault="00CA23D0" w:rsidP="00CA23D0">
            <w:pPr>
              <w:pStyle w:val="Zkladntext"/>
              <w:jc w:val="both"/>
              <w:rPr>
                <w:rFonts w:ascii="Arial" w:hAnsi="Arial" w:cs="Arial"/>
              </w:rPr>
            </w:pPr>
            <w:r w:rsidRPr="00E30642">
              <w:rPr>
                <w:rFonts w:ascii="Arial" w:hAnsi="Arial" w:cs="Arial"/>
                <w:sz w:val="18"/>
                <w:szCs w:val="18"/>
              </w:rPr>
              <w:t xml:space="preserve">výhledová rezerva </w:t>
            </w:r>
          </w:p>
        </w:tc>
        <w:tc>
          <w:tcPr>
            <w:tcW w:w="835" w:type="dxa"/>
            <w:tcBorders>
              <w:top w:val="single" w:sz="6" w:space="0" w:color="auto"/>
              <w:left w:val="single" w:sz="6" w:space="0" w:color="auto"/>
              <w:bottom w:val="single" w:sz="6" w:space="0" w:color="auto"/>
              <w:right w:val="single" w:sz="6" w:space="0" w:color="auto"/>
            </w:tcBorders>
          </w:tcPr>
          <w:p w14:paraId="48253D30" w14:textId="77777777" w:rsidR="00CA23D0" w:rsidRPr="00E30642" w:rsidRDefault="00CA23D0" w:rsidP="00CA23D0">
            <w:pPr>
              <w:pStyle w:val="Texttabulky"/>
              <w:jc w:val="both"/>
              <w:rPr>
                <w:rFonts w:cs="Arial"/>
              </w:rPr>
            </w:pPr>
            <w:r w:rsidRPr="00E30642">
              <w:rPr>
                <w:rFonts w:cs="Arial"/>
                <w:sz w:val="18"/>
                <w:szCs w:val="18"/>
              </w:rPr>
              <w:t>18,95</w:t>
            </w:r>
          </w:p>
        </w:tc>
        <w:tc>
          <w:tcPr>
            <w:tcW w:w="1009" w:type="dxa"/>
            <w:tcBorders>
              <w:top w:val="single" w:sz="6" w:space="0" w:color="auto"/>
              <w:left w:val="single" w:sz="6" w:space="0" w:color="auto"/>
              <w:bottom w:val="single" w:sz="6" w:space="0" w:color="auto"/>
              <w:right w:val="single" w:sz="6" w:space="0" w:color="auto"/>
            </w:tcBorders>
          </w:tcPr>
          <w:p w14:paraId="57A92357" w14:textId="77777777" w:rsidR="00CA23D0" w:rsidRPr="00E30642" w:rsidRDefault="00CA23D0" w:rsidP="00CA23D0">
            <w:pPr>
              <w:pStyle w:val="Texttabulky"/>
              <w:jc w:val="both"/>
              <w:rPr>
                <w:rFonts w:cs="Arial"/>
              </w:rPr>
            </w:pPr>
            <w:r w:rsidRPr="00E30642">
              <w:rPr>
                <w:rFonts w:cs="Arial"/>
                <w:sz w:val="18"/>
                <w:szCs w:val="18"/>
              </w:rPr>
              <w:t>925</w:t>
            </w:r>
          </w:p>
        </w:tc>
        <w:tc>
          <w:tcPr>
            <w:tcW w:w="3157" w:type="dxa"/>
            <w:gridSpan w:val="3"/>
            <w:vMerge/>
            <w:tcBorders>
              <w:left w:val="single" w:sz="6" w:space="0" w:color="auto"/>
              <w:bottom w:val="single" w:sz="6" w:space="0" w:color="auto"/>
              <w:right w:val="single" w:sz="6" w:space="0" w:color="auto"/>
            </w:tcBorders>
          </w:tcPr>
          <w:p w14:paraId="0EBDB6B2" w14:textId="77777777" w:rsidR="00CA23D0" w:rsidRPr="00E30642" w:rsidRDefault="00CA23D0" w:rsidP="00CA23D0">
            <w:pPr>
              <w:pStyle w:val="Zkladntext"/>
              <w:jc w:val="both"/>
              <w:rPr>
                <w:rFonts w:ascii="Arial" w:hAnsi="Arial" w:cs="Arial"/>
              </w:rPr>
            </w:pPr>
          </w:p>
        </w:tc>
      </w:tr>
    </w:tbl>
    <w:p w14:paraId="3E78EB29" w14:textId="77777777" w:rsidR="00CA23D0" w:rsidRPr="00E30642" w:rsidRDefault="00CA23D0" w:rsidP="00CA23D0">
      <w:pPr>
        <w:autoSpaceDE w:val="0"/>
        <w:autoSpaceDN w:val="0"/>
        <w:adjustRightInd w:val="0"/>
        <w:jc w:val="both"/>
        <w:rPr>
          <w:rFonts w:ascii="Arial" w:hAnsi="Arial" w:cs="Arial"/>
          <w:sz w:val="20"/>
        </w:rPr>
      </w:pPr>
    </w:p>
    <w:p w14:paraId="3FE26C4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lastRenderedPageBreak/>
        <w:t xml:space="preserve">Navržená koncepce, včetně navržených regulativů (A, B, C) je podkladem pro následné vypracování ověřovacího dokumentu - studie, která ověří na základě podnikatelských záměrů reálnost urbanistického návrhu (majetkoprávní vztahy, kapacita území, počet pracovníků, výrobní program, technická infrastruktura, PHO a pod.). </w:t>
      </w:r>
    </w:p>
    <w:p w14:paraId="6C606DE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Lokalizace a rozsah územní nabídky pro ekonomické aktivity, představuje bezkonfliktní uspořádání výrobního území ve složité struktuře města.</w:t>
      </w:r>
    </w:p>
    <w:p w14:paraId="4A643046" w14:textId="77777777" w:rsidR="00CA23D0" w:rsidRPr="00E30642" w:rsidRDefault="00CA23D0" w:rsidP="00CA23D0">
      <w:pPr>
        <w:pStyle w:val="podnadpis1"/>
        <w:jc w:val="both"/>
        <w:rPr>
          <w:rFonts w:cs="Arial"/>
        </w:rPr>
      </w:pPr>
      <w:r w:rsidRPr="00E30642">
        <w:rPr>
          <w:rFonts w:cs="Arial"/>
        </w:rPr>
        <w:br w:type="page"/>
      </w:r>
      <w:r w:rsidRPr="00E30642">
        <w:rPr>
          <w:rFonts w:cs="Arial"/>
        </w:rPr>
        <w:lastRenderedPageBreak/>
        <w:t>C7. Zemědělská výroba</w:t>
      </w:r>
    </w:p>
    <w:p w14:paraId="009CB7B0" w14:textId="77777777" w:rsidR="00CA23D0" w:rsidRPr="00E30642" w:rsidRDefault="00CA23D0" w:rsidP="00CA23D0">
      <w:pPr>
        <w:pStyle w:val="Zkladntext"/>
        <w:jc w:val="both"/>
        <w:rPr>
          <w:rFonts w:ascii="Arial" w:hAnsi="Arial" w:cs="Arial"/>
        </w:rPr>
      </w:pPr>
    </w:p>
    <w:p w14:paraId="173F8EA4" w14:textId="77777777" w:rsidR="00CA23D0" w:rsidRDefault="00CA23D0" w:rsidP="00CA23D0">
      <w:pPr>
        <w:pStyle w:val="podnadpis2"/>
        <w:jc w:val="both"/>
        <w:rPr>
          <w:rFonts w:cs="Arial"/>
        </w:rPr>
      </w:pPr>
      <w:r w:rsidRPr="00E30642">
        <w:rPr>
          <w:rFonts w:cs="Arial"/>
        </w:rPr>
        <w:t>areály zemědělské výroby</w:t>
      </w:r>
    </w:p>
    <w:p w14:paraId="7C4FE9CA" w14:textId="77777777" w:rsidR="00D3579D" w:rsidRPr="00E30642" w:rsidRDefault="00D3579D" w:rsidP="00CA23D0">
      <w:pPr>
        <w:pStyle w:val="podnadpis2"/>
        <w:jc w:val="both"/>
        <w:rPr>
          <w:rFonts w:cs="Arial"/>
        </w:rPr>
      </w:pPr>
    </w:p>
    <w:p w14:paraId="20C8E94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Zemědělskou výrobu zajišťuje několik soukromých zemědělských podniků, které hospodaří i mimo řešené území.</w:t>
      </w:r>
    </w:p>
    <w:p w14:paraId="56AA007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Na levém břehu Labe je to zemědělský podnik </w:t>
      </w:r>
      <w:r w:rsidRPr="00E30642">
        <w:rPr>
          <w:rFonts w:ascii="Arial" w:hAnsi="Arial" w:cs="Arial"/>
          <w:b/>
          <w:bCs/>
          <w:sz w:val="22"/>
          <w:szCs w:val="22"/>
        </w:rPr>
        <w:t>v Krásném Studenci.</w:t>
      </w:r>
      <w:r w:rsidRPr="00E30642">
        <w:rPr>
          <w:rFonts w:ascii="Arial" w:hAnsi="Arial" w:cs="Arial"/>
          <w:sz w:val="22"/>
          <w:szCs w:val="22"/>
        </w:rPr>
        <w:t xml:space="preserve"> Převažují zde trvalé travní porosty, výměra orné půdy je nižší. Podíl TTP se bude zvyšovat na úkor orné půdy vzhledem ke značné svažitosti území a nižší úrodnosti půd. Specializace je na produkci mléka a drůbeže, rostlinná výroba je zaměřena na obilnářství, omezeně na ovocnářství. V areálu v Krásném Studenci je umístěno cca 10 000 ks kuřat, ve Vilsnici 100 ks krav.</w:t>
      </w:r>
    </w:p>
    <w:p w14:paraId="52E0AD7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Cs/>
          <w:sz w:val="22"/>
          <w:szCs w:val="22"/>
        </w:rPr>
        <w:t>V</w:t>
      </w:r>
      <w:r w:rsidRPr="00E30642">
        <w:rPr>
          <w:rFonts w:ascii="Arial" w:hAnsi="Arial" w:cs="Arial"/>
          <w:b/>
          <w:bCs/>
          <w:sz w:val="22"/>
          <w:szCs w:val="22"/>
        </w:rPr>
        <w:t xml:space="preserve"> Nebočadech </w:t>
      </w:r>
      <w:r w:rsidRPr="00E30642">
        <w:rPr>
          <w:rFonts w:ascii="Arial" w:hAnsi="Arial" w:cs="Arial"/>
          <w:sz w:val="22"/>
          <w:szCs w:val="22"/>
        </w:rPr>
        <w:t xml:space="preserve">se zemědělský podnik specializuje na chov skotu v areálu v Nebočadech, rostlinná výroba je zaměřena na produkci obilovin, krmných směsí, víceletých pícnin, ovocnářství a zelinářství. </w:t>
      </w:r>
    </w:p>
    <w:p w14:paraId="106CB9EE"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Cs/>
          <w:sz w:val="22"/>
          <w:szCs w:val="22"/>
        </w:rPr>
        <w:t>V</w:t>
      </w:r>
      <w:r w:rsidRPr="00E30642">
        <w:rPr>
          <w:rFonts w:ascii="Arial" w:hAnsi="Arial" w:cs="Arial"/>
          <w:b/>
          <w:bCs/>
          <w:sz w:val="22"/>
          <w:szCs w:val="22"/>
        </w:rPr>
        <w:t xml:space="preserve"> Lesné</w:t>
      </w:r>
      <w:r w:rsidRPr="00E30642">
        <w:rPr>
          <w:rFonts w:ascii="Arial" w:hAnsi="Arial" w:cs="Arial"/>
          <w:sz w:val="22"/>
          <w:szCs w:val="22"/>
        </w:rPr>
        <w:t xml:space="preserve"> má firma zemědělský areál s  OMD pro 112 ks, kravín s 350 ks a část stáda je trvale umístěna v pastevním areálu Babětín.</w:t>
      </w:r>
    </w:p>
    <w:p w14:paraId="36259C4E"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Cs/>
          <w:sz w:val="22"/>
          <w:szCs w:val="22"/>
        </w:rPr>
        <w:t>V</w:t>
      </w:r>
      <w:r w:rsidRPr="00E30642">
        <w:rPr>
          <w:rFonts w:ascii="Arial" w:hAnsi="Arial" w:cs="Arial"/>
          <w:b/>
          <w:bCs/>
          <w:sz w:val="22"/>
          <w:szCs w:val="22"/>
        </w:rPr>
        <w:t xml:space="preserve"> Březinách</w:t>
      </w:r>
      <w:r w:rsidRPr="00E30642">
        <w:rPr>
          <w:rFonts w:ascii="Arial" w:hAnsi="Arial" w:cs="Arial"/>
          <w:sz w:val="22"/>
          <w:szCs w:val="22"/>
        </w:rPr>
        <w:t xml:space="preserve"> je soukromý zemědělec, v areálu je cca 70 ks krav, ostatní prostory byly v restituci předány majiteli a jsou nevyužité.</w:t>
      </w:r>
    </w:p>
    <w:p w14:paraId="5BEA22B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Živočišná výroba se u všech zemědělských firem podřizuje trhu. To znamená, že pokud je zájem o určitý druh masa, zvýší se jeho produkce zvýšením počtu zvířat, když je trh nasycen a prodej klesá, sníží se jeho výroba. </w:t>
      </w:r>
      <w:r w:rsidRPr="00E30642">
        <w:rPr>
          <w:rFonts w:ascii="Arial" w:hAnsi="Arial" w:cs="Arial"/>
          <w:caps/>
          <w:sz w:val="22"/>
          <w:szCs w:val="22"/>
        </w:rPr>
        <w:t>k</w:t>
      </w:r>
      <w:r w:rsidRPr="00E30642">
        <w:rPr>
          <w:rFonts w:ascii="Arial" w:hAnsi="Arial" w:cs="Arial"/>
          <w:sz w:val="22"/>
          <w:szCs w:val="22"/>
        </w:rPr>
        <w:t>APACITY LZE TEDY POVAŽOVAT POUZE JAKO ORIENTAČNÍ.</w:t>
      </w:r>
    </w:p>
    <w:p w14:paraId="4041CFA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Školní statek Libverda</w:t>
      </w:r>
      <w:r w:rsidRPr="00E30642">
        <w:rPr>
          <w:rFonts w:ascii="Arial" w:hAnsi="Arial" w:cs="Arial"/>
          <w:sz w:val="22"/>
          <w:szCs w:val="22"/>
        </w:rPr>
        <w:t xml:space="preserve"> hospodaří na pravém břehu Labe, specializuje se na produkci drůbeže, v rostlinné výrobě na ovocnářství, včetně výroby ovocnářského a okrasného školkařského materiálu. V areálu skleníků se pěstují okrasné dřeviny a hrnkované pokojové květiny.</w:t>
      </w:r>
    </w:p>
    <w:p w14:paraId="37C7C3A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Součástí komplexu je i botanická zahrada s dlouholetou tradicí, vybavená skleníky. Jsou zde soustředěny ojedinělé exotické exponáty, zvláště konifery a okrasné keře. Zahrada je přístupná veřejnosti. </w:t>
      </w:r>
    </w:p>
    <w:p w14:paraId="05A8FDC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 areálu školního statku jsou stáje pro jezdecké koně a vedle objektu je cvičná louka s překážkami. Výměra školního statku se rapidně snížila na dnešních cca 70 ha.</w:t>
      </w:r>
    </w:p>
    <w:p w14:paraId="3F1BE87F" w14:textId="77777777" w:rsidR="00CA23D0" w:rsidRDefault="00CA23D0" w:rsidP="00CA23D0">
      <w:pPr>
        <w:pStyle w:val="Zkladntext"/>
        <w:jc w:val="both"/>
        <w:rPr>
          <w:rFonts w:ascii="Arial" w:hAnsi="Arial" w:cs="Arial"/>
        </w:rPr>
      </w:pPr>
    </w:p>
    <w:p w14:paraId="2CB334FE" w14:textId="77777777" w:rsidR="00D3579D" w:rsidRPr="00E30642" w:rsidRDefault="00D3579D" w:rsidP="00CA23D0">
      <w:pPr>
        <w:pStyle w:val="Zkladntext"/>
        <w:jc w:val="both"/>
        <w:rPr>
          <w:rFonts w:ascii="Arial" w:hAnsi="Arial" w:cs="Arial"/>
        </w:rPr>
      </w:pPr>
    </w:p>
    <w:p w14:paraId="7204BA7B" w14:textId="77777777" w:rsidR="00CA23D0" w:rsidRPr="00E30642" w:rsidRDefault="00CA23D0" w:rsidP="00CA23D0">
      <w:pPr>
        <w:pStyle w:val="podnadpis2"/>
        <w:jc w:val="both"/>
        <w:rPr>
          <w:rFonts w:cs="Arial"/>
        </w:rPr>
      </w:pPr>
      <w:r w:rsidRPr="00E30642">
        <w:rPr>
          <w:rFonts w:cs="Arial"/>
        </w:rPr>
        <w:t>Kvalita zemědělského půdního fondu</w:t>
      </w:r>
    </w:p>
    <w:p w14:paraId="3A72E21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ZPF se posuzuje podle zařazení do bonitované, půdně ekologické jednotky, /BPEJ/, která vystihuje vlastnosti a kvalitu půdy. Pro určení kvality půdy je druhé a třetí číslo BPEJ, udávající hlavní půdní jednotku.</w:t>
      </w:r>
    </w:p>
    <w:p w14:paraId="64586B4A"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rPr>
        <w:t xml:space="preserve"> </w:t>
      </w:r>
    </w:p>
    <w:p w14:paraId="2F18D50B" w14:textId="77777777" w:rsidR="00CA23D0" w:rsidRDefault="00CA23D0" w:rsidP="00CA23D0">
      <w:pPr>
        <w:pStyle w:val="Zkladntext"/>
        <w:jc w:val="both"/>
        <w:rPr>
          <w:rFonts w:ascii="Arial" w:hAnsi="Arial" w:cs="Arial"/>
        </w:rPr>
      </w:pPr>
      <w:r w:rsidRPr="00E30642">
        <w:rPr>
          <w:rFonts w:ascii="Arial" w:hAnsi="Arial" w:cs="Arial"/>
        </w:rPr>
        <w:t xml:space="preserve"> </w:t>
      </w:r>
    </w:p>
    <w:p w14:paraId="66B1D4B2" w14:textId="77777777" w:rsidR="00D3579D" w:rsidRPr="00E30642" w:rsidRDefault="00D3579D" w:rsidP="00CA23D0">
      <w:pPr>
        <w:pStyle w:val="Zkladntext"/>
        <w:jc w:val="both"/>
        <w:rPr>
          <w:rFonts w:ascii="Arial" w:hAnsi="Arial" w:cs="Arial"/>
        </w:rPr>
      </w:pPr>
    </w:p>
    <w:p w14:paraId="4F39985D" w14:textId="77777777" w:rsidR="00CA23D0" w:rsidRPr="00E30642" w:rsidRDefault="00CA23D0" w:rsidP="00CA23D0">
      <w:pPr>
        <w:pStyle w:val="dka"/>
        <w:spacing w:before="120" w:after="0" w:line="288" w:lineRule="auto"/>
        <w:ind w:firstLine="709"/>
        <w:jc w:val="both"/>
        <w:rPr>
          <w:rFonts w:cs="Arial"/>
        </w:rPr>
      </w:pPr>
      <w:r w:rsidRPr="00E30642">
        <w:rPr>
          <w:rFonts w:cs="Arial"/>
          <w:b/>
          <w:bCs/>
        </w:rPr>
        <w:t xml:space="preserve">V nižších a středních polohách </w:t>
      </w:r>
      <w:r w:rsidRPr="00E30642">
        <w:rPr>
          <w:rFonts w:cs="Arial"/>
        </w:rPr>
        <w:t>jsou HPJ s následující charakteristikou:</w:t>
      </w:r>
    </w:p>
    <w:p w14:paraId="6F97109B" w14:textId="77777777" w:rsidR="00CA23D0" w:rsidRPr="00E30642" w:rsidRDefault="00CA23D0" w:rsidP="00CA23D0">
      <w:pPr>
        <w:pStyle w:val="dka"/>
        <w:spacing w:before="120" w:after="0" w:line="288" w:lineRule="auto"/>
        <w:jc w:val="both"/>
        <w:rPr>
          <w:rFonts w:cs="Arial"/>
        </w:rPr>
      </w:pPr>
      <w:r w:rsidRPr="00E30642">
        <w:rPr>
          <w:rFonts w:cs="Arial"/>
        </w:rPr>
        <w:t xml:space="preserve">HPJ </w:t>
      </w:r>
      <w:r w:rsidRPr="00E30642">
        <w:rPr>
          <w:rFonts w:cs="Arial"/>
        </w:rPr>
        <w:tab/>
        <w:t>10: hnědozemě typické na spraši, středně těžké, vodní režim je příznivý</w:t>
      </w:r>
    </w:p>
    <w:p w14:paraId="11650EEF" w14:textId="77777777" w:rsidR="00CA23D0" w:rsidRPr="00E30642" w:rsidRDefault="00CA23D0" w:rsidP="00CA23D0">
      <w:pPr>
        <w:pStyle w:val="dka"/>
        <w:spacing w:before="120" w:after="0" w:line="288" w:lineRule="auto"/>
        <w:jc w:val="both"/>
        <w:rPr>
          <w:rFonts w:cs="Arial"/>
        </w:rPr>
      </w:pPr>
      <w:r w:rsidRPr="00E30642">
        <w:rPr>
          <w:rFonts w:cs="Arial"/>
        </w:rPr>
        <w:tab/>
        <w:t>14. illimerizované půdy hnědozemní, středně těžké, s příznivými vláhovými poměry</w:t>
      </w:r>
    </w:p>
    <w:p w14:paraId="6CFAADC7" w14:textId="77777777" w:rsidR="00CA23D0" w:rsidRPr="00E30642" w:rsidRDefault="00CA23D0" w:rsidP="00CA23D0">
      <w:pPr>
        <w:pStyle w:val="dka"/>
        <w:tabs>
          <w:tab w:val="left" w:pos="709"/>
        </w:tabs>
        <w:spacing w:before="120" w:after="0" w:line="288" w:lineRule="auto"/>
        <w:ind w:left="1134" w:hanging="1134"/>
        <w:jc w:val="both"/>
        <w:rPr>
          <w:rFonts w:cs="Arial"/>
        </w:rPr>
      </w:pPr>
      <w:r w:rsidRPr="00E30642">
        <w:rPr>
          <w:rFonts w:cs="Arial"/>
        </w:rPr>
        <w:tab/>
        <w:t>22: hnědé půdy a rendziny na zahliněných písčitých substrátech, lehčí, s příznivým vodním režimem</w:t>
      </w:r>
    </w:p>
    <w:p w14:paraId="67E9AC05" w14:textId="77777777" w:rsidR="00CA23D0" w:rsidRPr="00E30642" w:rsidRDefault="00CA23D0" w:rsidP="00CA23D0">
      <w:pPr>
        <w:pStyle w:val="dka"/>
        <w:spacing w:before="120" w:after="0" w:line="288" w:lineRule="auto"/>
        <w:jc w:val="both"/>
        <w:rPr>
          <w:rFonts w:cs="Arial"/>
        </w:rPr>
      </w:pPr>
      <w:r w:rsidRPr="00E30642">
        <w:rPr>
          <w:rFonts w:cs="Arial"/>
        </w:rPr>
        <w:tab/>
        <w:t>28: hnědé půdy kyselé, slabě oglejené, kamenité, dobré vláhové poměry</w:t>
      </w:r>
    </w:p>
    <w:p w14:paraId="0A79180F" w14:textId="77777777" w:rsidR="00CA23D0" w:rsidRPr="00E30642" w:rsidRDefault="00CA23D0" w:rsidP="00CA23D0">
      <w:pPr>
        <w:pStyle w:val="dka"/>
        <w:spacing w:before="120" w:after="0" w:line="288" w:lineRule="auto"/>
        <w:jc w:val="both"/>
        <w:rPr>
          <w:rFonts w:cs="Arial"/>
        </w:rPr>
      </w:pPr>
      <w:r w:rsidRPr="00E30642">
        <w:rPr>
          <w:rFonts w:cs="Arial"/>
        </w:rPr>
        <w:tab/>
        <w:t>40: svažité půdy (víc než 12°), lehké, štěrkovité, vláhové poměry závislé na srážkách</w:t>
      </w:r>
    </w:p>
    <w:p w14:paraId="629C9B90" w14:textId="77777777" w:rsidR="00CA23D0" w:rsidRPr="00E30642" w:rsidRDefault="00CA23D0" w:rsidP="00CA23D0">
      <w:pPr>
        <w:pStyle w:val="dka"/>
        <w:spacing w:before="120" w:after="0" w:line="288" w:lineRule="auto"/>
        <w:jc w:val="both"/>
        <w:rPr>
          <w:rFonts w:cs="Arial"/>
        </w:rPr>
      </w:pPr>
      <w:r w:rsidRPr="00E30642">
        <w:rPr>
          <w:rFonts w:cs="Arial"/>
        </w:rPr>
        <w:tab/>
        <w:t>50: hnědé půdy oglejené na vyvřelinách, středně těžké, dočasně zamokřené</w:t>
      </w:r>
    </w:p>
    <w:p w14:paraId="2D08D248" w14:textId="77777777" w:rsidR="00CA23D0" w:rsidRPr="00E30642" w:rsidRDefault="00CA23D0" w:rsidP="00CA23D0">
      <w:pPr>
        <w:pStyle w:val="dka"/>
        <w:spacing w:before="120" w:after="0" w:line="288" w:lineRule="auto"/>
        <w:jc w:val="both"/>
        <w:rPr>
          <w:rFonts w:cs="Arial"/>
        </w:rPr>
      </w:pPr>
      <w:r w:rsidRPr="00E30642">
        <w:rPr>
          <w:rFonts w:cs="Arial"/>
        </w:rPr>
        <w:tab/>
        <w:t>56: nivní půdy na nivních uloženinách, středně těžké, s příznivými vláhovými poměry</w:t>
      </w:r>
    </w:p>
    <w:p w14:paraId="4677EE5F" w14:textId="77777777" w:rsidR="00CA23D0" w:rsidRPr="00E30642" w:rsidRDefault="00CA23D0" w:rsidP="00CA23D0">
      <w:pPr>
        <w:pStyle w:val="dka"/>
        <w:spacing w:before="120" w:after="0" w:line="288" w:lineRule="auto"/>
        <w:jc w:val="both"/>
        <w:rPr>
          <w:rFonts w:cs="Arial"/>
        </w:rPr>
      </w:pPr>
      <w:r w:rsidRPr="00E30642">
        <w:rPr>
          <w:rFonts w:cs="Arial"/>
        </w:rPr>
        <w:tab/>
        <w:t xml:space="preserve">58: nivní půdy glejové na nivních uloženinách, vláhové poměry méně příznivé. </w:t>
      </w:r>
    </w:p>
    <w:p w14:paraId="020080AB" w14:textId="77777777" w:rsidR="00CA23D0" w:rsidRPr="00E30642" w:rsidRDefault="00CA23D0" w:rsidP="00CA23D0">
      <w:pPr>
        <w:pStyle w:val="Zkladntext"/>
        <w:jc w:val="both"/>
        <w:rPr>
          <w:rFonts w:ascii="Arial" w:hAnsi="Arial" w:cs="Arial"/>
        </w:rPr>
      </w:pPr>
    </w:p>
    <w:p w14:paraId="6854BE8A" w14:textId="77777777" w:rsidR="00CA23D0" w:rsidRPr="00E30642" w:rsidRDefault="00CA23D0" w:rsidP="00CA23D0">
      <w:pPr>
        <w:pStyle w:val="dka"/>
        <w:spacing w:before="120" w:after="0" w:line="288" w:lineRule="auto"/>
        <w:ind w:firstLine="709"/>
        <w:jc w:val="both"/>
        <w:rPr>
          <w:rFonts w:cs="Arial"/>
          <w:b/>
          <w:bCs/>
        </w:rPr>
      </w:pPr>
      <w:r w:rsidRPr="00E30642">
        <w:rPr>
          <w:rFonts w:cs="Arial"/>
          <w:b/>
          <w:bCs/>
        </w:rPr>
        <w:t>Vyšší polohy:</w:t>
      </w:r>
    </w:p>
    <w:p w14:paraId="161EAA9A" w14:textId="77777777" w:rsidR="00CA23D0" w:rsidRPr="00E30642" w:rsidRDefault="00CA23D0" w:rsidP="00CA23D0">
      <w:pPr>
        <w:pStyle w:val="dka"/>
        <w:spacing w:before="120" w:after="0" w:line="288" w:lineRule="auto"/>
        <w:jc w:val="both"/>
        <w:rPr>
          <w:rFonts w:cs="Arial"/>
        </w:rPr>
      </w:pPr>
      <w:r w:rsidRPr="00E30642">
        <w:rPr>
          <w:rFonts w:cs="Arial"/>
        </w:rPr>
        <w:t xml:space="preserve">HPJ </w:t>
      </w:r>
      <w:r w:rsidRPr="00E30642">
        <w:rPr>
          <w:rFonts w:cs="Arial"/>
        </w:rPr>
        <w:tab/>
        <w:t>20: rendziny hnědé na jílech, slínech, těžké a málo propustné pro vodu</w:t>
      </w:r>
    </w:p>
    <w:p w14:paraId="318380BB" w14:textId="77777777" w:rsidR="00CA23D0" w:rsidRPr="00E30642" w:rsidRDefault="00CA23D0" w:rsidP="00CA23D0">
      <w:pPr>
        <w:pStyle w:val="dka"/>
        <w:tabs>
          <w:tab w:val="left" w:pos="709"/>
        </w:tabs>
        <w:spacing w:before="120" w:after="0" w:line="288" w:lineRule="auto"/>
        <w:ind w:left="1134" w:hanging="1134"/>
        <w:jc w:val="both"/>
        <w:rPr>
          <w:rFonts w:cs="Arial"/>
        </w:rPr>
      </w:pPr>
      <w:r w:rsidRPr="00E30642">
        <w:rPr>
          <w:rFonts w:cs="Arial"/>
        </w:rPr>
        <w:tab/>
        <w:t>41: svažité půdy, středně těžké, štěrkovité, jejich vláhové poměry jsou závislé na srážkách</w:t>
      </w:r>
    </w:p>
    <w:p w14:paraId="1CEE54E9" w14:textId="77777777" w:rsidR="00CA23D0" w:rsidRPr="00E30642" w:rsidRDefault="00CA23D0" w:rsidP="00CA23D0">
      <w:pPr>
        <w:pStyle w:val="dka"/>
        <w:spacing w:before="120" w:after="0" w:line="288" w:lineRule="auto"/>
        <w:jc w:val="both"/>
        <w:rPr>
          <w:rFonts w:cs="Arial"/>
        </w:rPr>
      </w:pPr>
      <w:r w:rsidRPr="00E30642">
        <w:rPr>
          <w:rFonts w:cs="Arial"/>
        </w:rPr>
        <w:tab/>
        <w:t>52: oglejené půdy hnědé, středně těžké, náchylné k zamokření</w:t>
      </w:r>
    </w:p>
    <w:p w14:paraId="7E3C335A" w14:textId="77777777" w:rsidR="00CA23D0" w:rsidRPr="00E30642" w:rsidRDefault="00CA23D0" w:rsidP="00CA23D0">
      <w:pPr>
        <w:pStyle w:val="dka"/>
        <w:spacing w:before="120" w:after="0" w:line="288" w:lineRule="auto"/>
        <w:jc w:val="both"/>
        <w:rPr>
          <w:rFonts w:cs="Arial"/>
        </w:rPr>
      </w:pPr>
      <w:r w:rsidRPr="00E30642">
        <w:rPr>
          <w:rFonts w:cs="Arial"/>
        </w:rPr>
        <w:tab/>
        <w:t>78: hluboké strže, nevhodné pro zemědělskou půdu, nutné převést do ostatních ploch</w:t>
      </w:r>
    </w:p>
    <w:p w14:paraId="668AF330" w14:textId="77777777" w:rsidR="00CA23D0" w:rsidRPr="00E30642" w:rsidRDefault="00CA23D0" w:rsidP="00CA23D0">
      <w:pPr>
        <w:pStyle w:val="Zkladntext"/>
        <w:jc w:val="both"/>
        <w:rPr>
          <w:rFonts w:ascii="Arial" w:hAnsi="Arial" w:cs="Arial"/>
        </w:rPr>
      </w:pPr>
    </w:p>
    <w:p w14:paraId="7BA05D10" w14:textId="77777777" w:rsidR="00CA23D0" w:rsidRPr="00E30642" w:rsidRDefault="00CA23D0" w:rsidP="00CA23D0">
      <w:pPr>
        <w:pStyle w:val="Zkladntext"/>
        <w:spacing w:before="120" w:after="0" w:line="288" w:lineRule="auto"/>
        <w:ind w:firstLine="709"/>
        <w:jc w:val="both"/>
        <w:rPr>
          <w:rFonts w:ascii="Arial" w:hAnsi="Arial" w:cs="Arial"/>
        </w:rPr>
      </w:pPr>
      <w:r w:rsidRPr="00E30642">
        <w:rPr>
          <w:rFonts w:ascii="Arial" w:hAnsi="Arial" w:cs="Arial"/>
        </w:rPr>
        <w:t xml:space="preserve">Z uvedeného přehledu charakteristik jednotlivých BPEJ je zřejmé, že půdní poměry jsou středně vhodné pro zemědělskou činnost. Zvláště půdy ve svahových a vyšších polohách jsou náročné na obhospodařování, proto je vhodné je začlenit do trvalých travních porostů. Pokud je na těchto stanovištích orná půda, dochází k erozi a ke splavování velkých objemů zeminy do vodotečí. </w:t>
      </w:r>
    </w:p>
    <w:p w14:paraId="521F2CD7" w14:textId="77777777" w:rsidR="00CA23D0" w:rsidRPr="00E30642" w:rsidRDefault="00CA23D0" w:rsidP="00CA23D0">
      <w:pPr>
        <w:pStyle w:val="podnadpis2"/>
        <w:jc w:val="both"/>
        <w:rPr>
          <w:rFonts w:cs="Arial"/>
        </w:rPr>
      </w:pPr>
    </w:p>
    <w:p w14:paraId="11082207" w14:textId="77777777" w:rsidR="00CA23D0" w:rsidRPr="00E30642" w:rsidRDefault="00CA23D0" w:rsidP="00CA23D0">
      <w:pPr>
        <w:pStyle w:val="podnadpis2"/>
        <w:jc w:val="both"/>
        <w:rPr>
          <w:rFonts w:cs="Arial"/>
        </w:rPr>
      </w:pPr>
      <w:r w:rsidRPr="00E30642">
        <w:rPr>
          <w:rFonts w:cs="Arial"/>
        </w:rPr>
        <w:t>Struktura půdního fondu</w:t>
      </w:r>
    </w:p>
    <w:p w14:paraId="000E2BEE" w14:textId="77777777" w:rsidR="00CA23D0" w:rsidRPr="00E30642" w:rsidRDefault="00CA23D0" w:rsidP="00CA23D0">
      <w:pPr>
        <w:pStyle w:val="Zkladntext"/>
        <w:spacing w:before="120" w:after="0" w:line="288" w:lineRule="auto"/>
        <w:ind w:firstLine="709"/>
        <w:jc w:val="both"/>
        <w:rPr>
          <w:rFonts w:ascii="Arial" w:hAnsi="Arial" w:cs="Arial"/>
        </w:rPr>
      </w:pPr>
      <w:r w:rsidRPr="00E30642">
        <w:rPr>
          <w:rFonts w:ascii="Arial" w:hAnsi="Arial" w:cs="Arial"/>
        </w:rPr>
        <w:t xml:space="preserve">Z celkové plochy řešeného území je zemědělské půdy celkem 2 897,07 ha, což představuje 24,5 % z celkové výměry řešeného území. Z toho je orné půdy 893 ha, tj. 9.1 %. Trvalých travních porostů /louky a pastviny/ je celkem 962 ha, to je 9,9 % z celkové rozlohy. </w:t>
      </w:r>
    </w:p>
    <w:p w14:paraId="3AB80494" w14:textId="77777777" w:rsidR="00CA23D0" w:rsidRPr="00E30642" w:rsidRDefault="00CA23D0" w:rsidP="00CA23D0">
      <w:pPr>
        <w:pStyle w:val="Zkladntext"/>
        <w:spacing w:line="240" w:lineRule="atLeast"/>
        <w:jc w:val="both"/>
        <w:rPr>
          <w:rFonts w:ascii="Arial" w:hAnsi="Arial" w:cs="Arial"/>
        </w:rPr>
      </w:pPr>
    </w:p>
    <w:p w14:paraId="409487AB" w14:textId="77777777" w:rsidR="00CA23D0" w:rsidRPr="00E30642" w:rsidRDefault="00CA23D0" w:rsidP="00CA23D0">
      <w:pPr>
        <w:pStyle w:val="Zkladntext"/>
        <w:spacing w:line="240" w:lineRule="atLeast"/>
        <w:jc w:val="both"/>
        <w:rPr>
          <w:rFonts w:ascii="Arial" w:hAnsi="Arial" w:cs="Arial"/>
          <w:b/>
          <w:bCs/>
          <w:caps/>
        </w:rPr>
      </w:pPr>
      <w:r w:rsidRPr="00E30642">
        <w:rPr>
          <w:rFonts w:ascii="Arial" w:hAnsi="Arial" w:cs="Arial"/>
          <w:b/>
          <w:bCs/>
          <w:caps/>
        </w:rPr>
        <w:t xml:space="preserve">      </w:t>
      </w:r>
    </w:p>
    <w:p w14:paraId="1D2593CC" w14:textId="77777777" w:rsidR="00CA23D0" w:rsidRPr="00E30642" w:rsidRDefault="00CA23D0" w:rsidP="00CA23D0">
      <w:pPr>
        <w:pStyle w:val="Zkladntext"/>
        <w:spacing w:line="240" w:lineRule="atLeast"/>
        <w:jc w:val="both"/>
        <w:rPr>
          <w:rFonts w:ascii="Arial" w:hAnsi="Arial" w:cs="Arial"/>
          <w:b/>
          <w:bCs/>
          <w:caps/>
        </w:rPr>
      </w:pPr>
    </w:p>
    <w:p w14:paraId="45A3C96F" w14:textId="77777777" w:rsidR="00CA23D0" w:rsidRPr="00E30642" w:rsidRDefault="00CA23D0" w:rsidP="00CA23D0">
      <w:pPr>
        <w:pStyle w:val="Zkladntext"/>
        <w:spacing w:line="240" w:lineRule="atLeast"/>
        <w:jc w:val="both"/>
        <w:rPr>
          <w:rFonts w:ascii="Arial" w:hAnsi="Arial" w:cs="Arial"/>
          <w:b/>
          <w:bCs/>
          <w:caps/>
        </w:rPr>
      </w:pPr>
    </w:p>
    <w:p w14:paraId="37737660" w14:textId="77777777" w:rsidR="00CA23D0" w:rsidRPr="00E30642" w:rsidRDefault="00CA23D0" w:rsidP="00CA23D0">
      <w:pPr>
        <w:pStyle w:val="Zkladntext"/>
        <w:spacing w:line="240" w:lineRule="atLeast"/>
        <w:jc w:val="both"/>
        <w:rPr>
          <w:rFonts w:ascii="Arial" w:hAnsi="Arial" w:cs="Arial"/>
          <w:b/>
          <w:bCs/>
          <w:caps/>
        </w:rPr>
      </w:pPr>
    </w:p>
    <w:p w14:paraId="63910C8D" w14:textId="77777777" w:rsidR="00CA23D0" w:rsidRPr="00E30642" w:rsidRDefault="00CA23D0" w:rsidP="00CA23D0">
      <w:pPr>
        <w:pStyle w:val="Zkladntext"/>
        <w:spacing w:line="240" w:lineRule="atLeast"/>
        <w:jc w:val="both"/>
        <w:rPr>
          <w:rFonts w:ascii="Arial" w:hAnsi="Arial" w:cs="Arial"/>
          <w:b/>
          <w:bCs/>
          <w:caps/>
        </w:rPr>
      </w:pPr>
    </w:p>
    <w:p w14:paraId="4E9B6898" w14:textId="77777777" w:rsidR="00CA23D0" w:rsidRPr="00E30642" w:rsidRDefault="00CA23D0" w:rsidP="00CA23D0">
      <w:pPr>
        <w:pStyle w:val="Zkladntext"/>
        <w:spacing w:line="240" w:lineRule="atLeast"/>
        <w:jc w:val="both"/>
        <w:rPr>
          <w:rFonts w:ascii="Arial" w:hAnsi="Arial" w:cs="Arial"/>
          <w:b/>
          <w:bCs/>
          <w:caps/>
        </w:rPr>
      </w:pPr>
    </w:p>
    <w:p w14:paraId="3B087439"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noProof/>
          <w:lang w:eastAsia="cs-CZ"/>
        </w:rPr>
        <w:drawing>
          <wp:anchor distT="0" distB="0" distL="114300" distR="114300" simplePos="0" relativeHeight="251694080" behindDoc="0" locked="0" layoutInCell="1" allowOverlap="1" wp14:anchorId="69B1CEFC" wp14:editId="655E98D9">
            <wp:simplePos x="0" y="0"/>
            <wp:positionH relativeFrom="margin">
              <wp:posOffset>-49530</wp:posOffset>
            </wp:positionH>
            <wp:positionV relativeFrom="margin">
              <wp:posOffset>163195</wp:posOffset>
            </wp:positionV>
            <wp:extent cx="5873750" cy="5795010"/>
            <wp:effectExtent l="0" t="0" r="0" b="0"/>
            <wp:wrapSquare wrapText="bothSides"/>
            <wp:docPr id="5145" name="Obrázek 5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873750" cy="57950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0642">
        <w:rPr>
          <w:rFonts w:ascii="Arial" w:hAnsi="Arial" w:cs="Arial"/>
          <w:i/>
          <w:iCs/>
          <w:sz w:val="16"/>
          <w:szCs w:val="16"/>
        </w:rPr>
        <w:t xml:space="preserve">                      </w:t>
      </w:r>
    </w:p>
    <w:p w14:paraId="4E5F82DA" w14:textId="77777777" w:rsidR="00CA23D0" w:rsidRPr="00E30642" w:rsidRDefault="00CA23D0" w:rsidP="00CA23D0">
      <w:pPr>
        <w:pStyle w:val="Zkladntext"/>
        <w:spacing w:line="240" w:lineRule="atLeast"/>
        <w:jc w:val="both"/>
        <w:rPr>
          <w:rFonts w:ascii="Arial" w:hAnsi="Arial" w:cs="Arial"/>
          <w:i/>
          <w:iCs/>
          <w:sz w:val="16"/>
          <w:szCs w:val="16"/>
        </w:rPr>
      </w:pPr>
      <w:r w:rsidRPr="00E30642">
        <w:rPr>
          <w:rFonts w:ascii="Arial" w:hAnsi="Arial" w:cs="Arial"/>
          <w:i/>
          <w:iCs/>
          <w:sz w:val="16"/>
          <w:szCs w:val="16"/>
        </w:rPr>
        <w:tab/>
      </w:r>
      <w:r w:rsidRPr="00E30642">
        <w:rPr>
          <w:rFonts w:ascii="Arial" w:hAnsi="Arial" w:cs="Arial"/>
          <w:i/>
          <w:iCs/>
          <w:sz w:val="16"/>
          <w:szCs w:val="16"/>
        </w:rPr>
        <w:tab/>
      </w:r>
      <w:r w:rsidRPr="00E30642">
        <w:rPr>
          <w:rFonts w:ascii="Arial" w:hAnsi="Arial" w:cs="Arial"/>
          <w:i/>
          <w:iCs/>
          <w:sz w:val="16"/>
          <w:szCs w:val="16"/>
        </w:rPr>
        <w:tab/>
      </w:r>
      <w:r w:rsidRPr="00E30642">
        <w:rPr>
          <w:rFonts w:ascii="Arial" w:hAnsi="Arial" w:cs="Arial"/>
          <w:i/>
          <w:iCs/>
          <w:sz w:val="16"/>
          <w:szCs w:val="16"/>
        </w:rPr>
        <w:tab/>
      </w:r>
      <w:r w:rsidRPr="00E30642">
        <w:rPr>
          <w:rFonts w:ascii="Arial" w:hAnsi="Arial" w:cs="Arial"/>
          <w:i/>
          <w:iCs/>
          <w:sz w:val="16"/>
          <w:szCs w:val="16"/>
        </w:rPr>
        <w:tab/>
      </w:r>
      <w:r w:rsidRPr="00E30642">
        <w:rPr>
          <w:rFonts w:ascii="Arial" w:hAnsi="Arial" w:cs="Arial"/>
          <w:i/>
          <w:iCs/>
          <w:sz w:val="16"/>
          <w:szCs w:val="16"/>
        </w:rPr>
        <w:tab/>
      </w:r>
      <w:r w:rsidRPr="00E30642">
        <w:rPr>
          <w:rFonts w:ascii="Arial" w:hAnsi="Arial" w:cs="Arial"/>
          <w:i/>
          <w:iCs/>
          <w:sz w:val="16"/>
          <w:szCs w:val="16"/>
        </w:rPr>
        <w:tab/>
      </w:r>
      <w:r w:rsidRPr="00E30642">
        <w:rPr>
          <w:rFonts w:ascii="Arial" w:hAnsi="Arial" w:cs="Arial"/>
          <w:i/>
          <w:iCs/>
          <w:sz w:val="16"/>
          <w:szCs w:val="16"/>
        </w:rPr>
        <w:tab/>
      </w:r>
      <w:r w:rsidRPr="00E30642">
        <w:rPr>
          <w:rFonts w:ascii="Arial" w:hAnsi="Arial" w:cs="Arial"/>
          <w:i/>
          <w:iCs/>
          <w:sz w:val="16"/>
          <w:szCs w:val="16"/>
        </w:rPr>
        <w:tab/>
      </w:r>
      <w:r w:rsidRPr="00E30642">
        <w:rPr>
          <w:rFonts w:ascii="Arial" w:hAnsi="Arial" w:cs="Arial"/>
          <w:i/>
          <w:iCs/>
          <w:sz w:val="16"/>
          <w:szCs w:val="16"/>
        </w:rPr>
        <w:tab/>
      </w:r>
    </w:p>
    <w:p w14:paraId="412BBE5C" w14:textId="77777777" w:rsidR="00CA23D0" w:rsidRPr="00E30642" w:rsidRDefault="00CA23D0" w:rsidP="00CA23D0">
      <w:pPr>
        <w:pStyle w:val="Zkladntext"/>
        <w:spacing w:line="240" w:lineRule="atLeast"/>
        <w:jc w:val="both"/>
        <w:rPr>
          <w:rFonts w:ascii="Arial" w:hAnsi="Arial" w:cs="Arial"/>
          <w:i/>
          <w:iCs/>
          <w:sz w:val="16"/>
          <w:szCs w:val="16"/>
        </w:rPr>
      </w:pPr>
    </w:p>
    <w:p w14:paraId="4632AF1B" w14:textId="77777777" w:rsidR="00CA23D0" w:rsidRPr="00E30642" w:rsidRDefault="00CA23D0" w:rsidP="00CA23D0">
      <w:pPr>
        <w:pStyle w:val="Zkladntext"/>
        <w:spacing w:line="240" w:lineRule="atLeast"/>
        <w:jc w:val="both"/>
        <w:rPr>
          <w:rFonts w:ascii="Arial" w:hAnsi="Arial" w:cs="Arial"/>
          <w:i/>
          <w:iCs/>
          <w:sz w:val="16"/>
          <w:szCs w:val="16"/>
        </w:rPr>
      </w:pPr>
    </w:p>
    <w:p w14:paraId="217476ED" w14:textId="77777777" w:rsidR="00CA23D0" w:rsidRPr="00E30642" w:rsidRDefault="00CA23D0" w:rsidP="00CA23D0">
      <w:pPr>
        <w:pStyle w:val="Zkladntext"/>
        <w:spacing w:line="240" w:lineRule="atLeast"/>
        <w:jc w:val="both"/>
        <w:rPr>
          <w:rFonts w:ascii="Arial" w:hAnsi="Arial" w:cs="Arial"/>
          <w:i/>
          <w:iCs/>
          <w:sz w:val="16"/>
          <w:szCs w:val="16"/>
        </w:rPr>
      </w:pPr>
    </w:p>
    <w:p w14:paraId="0C032CF4" w14:textId="77777777" w:rsidR="00CA23D0" w:rsidRPr="00E30642" w:rsidRDefault="00CA23D0" w:rsidP="00CA23D0">
      <w:pPr>
        <w:pStyle w:val="Zkladntext"/>
        <w:spacing w:line="240" w:lineRule="atLeast"/>
        <w:jc w:val="both"/>
        <w:rPr>
          <w:rFonts w:ascii="Arial" w:hAnsi="Arial" w:cs="Arial"/>
          <w:i/>
          <w:iCs/>
          <w:sz w:val="16"/>
          <w:szCs w:val="16"/>
        </w:rPr>
      </w:pPr>
    </w:p>
    <w:p w14:paraId="70E051B9"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sz w:val="22"/>
          <w:szCs w:val="22"/>
        </w:rPr>
        <w:br w:type="page"/>
      </w:r>
      <w:r w:rsidRPr="00E30642">
        <w:rPr>
          <w:rFonts w:ascii="Arial" w:hAnsi="Arial" w:cs="Arial"/>
          <w:b/>
          <w:bCs/>
          <w:sz w:val="22"/>
          <w:szCs w:val="22"/>
        </w:rPr>
        <w:lastRenderedPageBreak/>
        <w:t xml:space="preserve">       STRUKTURA ZEMĚDĚLSKÉHO PŮDNÍHO FONDU</w:t>
      </w:r>
    </w:p>
    <w:p w14:paraId="68AC122D" w14:textId="77777777" w:rsidR="00CA23D0" w:rsidRPr="00E30642" w:rsidRDefault="00CA23D0" w:rsidP="00CA23D0">
      <w:pPr>
        <w:pStyle w:val="Zkladntext"/>
        <w:spacing w:line="240" w:lineRule="atLeast"/>
        <w:jc w:val="both"/>
        <w:rPr>
          <w:rFonts w:ascii="Arial" w:hAnsi="Arial" w:cs="Arial"/>
        </w:rPr>
      </w:pPr>
    </w:p>
    <w:tbl>
      <w:tblPr>
        <w:tblW w:w="0" w:type="auto"/>
        <w:jc w:val="center"/>
        <w:tblLayout w:type="fixed"/>
        <w:tblCellMar>
          <w:left w:w="30" w:type="dxa"/>
          <w:right w:w="30" w:type="dxa"/>
        </w:tblCellMar>
        <w:tblLook w:val="0000" w:firstRow="0" w:lastRow="0" w:firstColumn="0" w:lastColumn="0" w:noHBand="0" w:noVBand="0"/>
      </w:tblPr>
      <w:tblGrid>
        <w:gridCol w:w="1609"/>
        <w:gridCol w:w="1023"/>
        <w:gridCol w:w="662"/>
        <w:gridCol w:w="847"/>
        <w:gridCol w:w="567"/>
        <w:gridCol w:w="709"/>
        <w:gridCol w:w="567"/>
        <w:gridCol w:w="554"/>
        <w:gridCol w:w="863"/>
      </w:tblGrid>
      <w:tr w:rsidR="00CA23D0" w:rsidRPr="00E30642" w14:paraId="5CC0A3B8"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2C423ED0" w14:textId="77777777" w:rsidR="00CA23D0" w:rsidRPr="00E30642" w:rsidRDefault="00CA23D0" w:rsidP="00CA23D0">
            <w:pPr>
              <w:pStyle w:val="Texttabulky"/>
              <w:jc w:val="both"/>
              <w:rPr>
                <w:rFonts w:cs="Arial"/>
              </w:rPr>
            </w:pPr>
            <w:r w:rsidRPr="00E30642">
              <w:rPr>
                <w:rFonts w:cs="Arial"/>
                <w:b/>
                <w:bCs/>
              </w:rPr>
              <w:t>katastrální území</w:t>
            </w:r>
          </w:p>
        </w:tc>
        <w:tc>
          <w:tcPr>
            <w:tcW w:w="1023" w:type="dxa"/>
            <w:tcBorders>
              <w:top w:val="single" w:sz="6" w:space="0" w:color="auto"/>
              <w:left w:val="single" w:sz="6" w:space="0" w:color="auto"/>
              <w:bottom w:val="single" w:sz="6" w:space="0" w:color="auto"/>
              <w:right w:val="single" w:sz="6" w:space="0" w:color="auto"/>
            </w:tcBorders>
          </w:tcPr>
          <w:p w14:paraId="04706BB6" w14:textId="77777777" w:rsidR="00CA23D0" w:rsidRPr="00E30642" w:rsidRDefault="00CA23D0" w:rsidP="00CA23D0">
            <w:pPr>
              <w:pStyle w:val="Texttabulky"/>
              <w:jc w:val="both"/>
              <w:rPr>
                <w:rFonts w:cs="Arial"/>
              </w:rPr>
            </w:pPr>
            <w:r w:rsidRPr="00E30642">
              <w:rPr>
                <w:rFonts w:cs="Arial"/>
                <w:b/>
                <w:bCs/>
              </w:rPr>
              <w:t>zemědělská půda celkem</w:t>
            </w:r>
          </w:p>
        </w:tc>
        <w:tc>
          <w:tcPr>
            <w:tcW w:w="662" w:type="dxa"/>
            <w:tcBorders>
              <w:top w:val="single" w:sz="6" w:space="0" w:color="auto"/>
              <w:left w:val="single" w:sz="6" w:space="0" w:color="auto"/>
              <w:bottom w:val="single" w:sz="6" w:space="0" w:color="auto"/>
              <w:right w:val="single" w:sz="6" w:space="0" w:color="auto"/>
            </w:tcBorders>
          </w:tcPr>
          <w:p w14:paraId="67E0D6CB" w14:textId="77777777" w:rsidR="00CA23D0" w:rsidRPr="00E30642" w:rsidRDefault="00CA23D0" w:rsidP="00CA23D0">
            <w:pPr>
              <w:pStyle w:val="Texttabulky"/>
              <w:jc w:val="both"/>
              <w:rPr>
                <w:rFonts w:cs="Arial"/>
              </w:rPr>
            </w:pPr>
            <w:r w:rsidRPr="00E30642">
              <w:rPr>
                <w:rFonts w:cs="Arial"/>
                <w:b/>
                <w:bCs/>
              </w:rPr>
              <w:t>orná půda</w:t>
            </w:r>
          </w:p>
        </w:tc>
        <w:tc>
          <w:tcPr>
            <w:tcW w:w="847" w:type="dxa"/>
            <w:tcBorders>
              <w:top w:val="single" w:sz="6" w:space="0" w:color="auto"/>
              <w:left w:val="single" w:sz="6" w:space="0" w:color="auto"/>
              <w:bottom w:val="single" w:sz="6" w:space="0" w:color="auto"/>
              <w:right w:val="single" w:sz="6" w:space="0" w:color="auto"/>
            </w:tcBorders>
          </w:tcPr>
          <w:p w14:paraId="379D13FF" w14:textId="77777777" w:rsidR="00CA23D0" w:rsidRPr="00E30642" w:rsidRDefault="00CA23D0" w:rsidP="00CA23D0">
            <w:pPr>
              <w:pStyle w:val="Texttabulky"/>
              <w:jc w:val="both"/>
              <w:rPr>
                <w:rFonts w:cs="Arial"/>
              </w:rPr>
            </w:pPr>
            <w:r w:rsidRPr="00E30642">
              <w:rPr>
                <w:rFonts w:cs="Arial"/>
                <w:b/>
                <w:bCs/>
              </w:rPr>
              <w:t>chmelnice</w:t>
            </w:r>
          </w:p>
        </w:tc>
        <w:tc>
          <w:tcPr>
            <w:tcW w:w="567" w:type="dxa"/>
            <w:tcBorders>
              <w:top w:val="single" w:sz="6" w:space="0" w:color="auto"/>
              <w:left w:val="single" w:sz="6" w:space="0" w:color="auto"/>
              <w:bottom w:val="single" w:sz="6" w:space="0" w:color="auto"/>
              <w:right w:val="single" w:sz="6" w:space="0" w:color="auto"/>
            </w:tcBorders>
          </w:tcPr>
          <w:p w14:paraId="2014E6D8" w14:textId="77777777" w:rsidR="00CA23D0" w:rsidRPr="00E30642" w:rsidRDefault="00CA23D0" w:rsidP="00CA23D0">
            <w:pPr>
              <w:pStyle w:val="Texttabulky"/>
              <w:jc w:val="both"/>
              <w:rPr>
                <w:rFonts w:cs="Arial"/>
              </w:rPr>
            </w:pPr>
            <w:r w:rsidRPr="00E30642">
              <w:rPr>
                <w:rFonts w:cs="Arial"/>
                <w:b/>
                <w:bCs/>
              </w:rPr>
              <w:t>vinice</w:t>
            </w:r>
          </w:p>
        </w:tc>
        <w:tc>
          <w:tcPr>
            <w:tcW w:w="709" w:type="dxa"/>
            <w:tcBorders>
              <w:top w:val="single" w:sz="6" w:space="0" w:color="auto"/>
              <w:left w:val="single" w:sz="6" w:space="0" w:color="auto"/>
              <w:bottom w:val="single" w:sz="6" w:space="0" w:color="auto"/>
              <w:right w:val="single" w:sz="6" w:space="0" w:color="auto"/>
            </w:tcBorders>
          </w:tcPr>
          <w:p w14:paraId="5CE8B1B3" w14:textId="77777777" w:rsidR="00CA23D0" w:rsidRPr="00E30642" w:rsidRDefault="00CA23D0" w:rsidP="00CA23D0">
            <w:pPr>
              <w:pStyle w:val="Texttabulky"/>
              <w:jc w:val="both"/>
              <w:rPr>
                <w:rFonts w:cs="Arial"/>
              </w:rPr>
            </w:pPr>
            <w:r w:rsidRPr="00E30642">
              <w:rPr>
                <w:rFonts w:cs="Arial"/>
                <w:b/>
                <w:bCs/>
              </w:rPr>
              <w:t>zahrady</w:t>
            </w:r>
          </w:p>
        </w:tc>
        <w:tc>
          <w:tcPr>
            <w:tcW w:w="567" w:type="dxa"/>
            <w:tcBorders>
              <w:top w:val="single" w:sz="6" w:space="0" w:color="auto"/>
              <w:left w:val="single" w:sz="6" w:space="0" w:color="auto"/>
              <w:bottom w:val="single" w:sz="6" w:space="0" w:color="auto"/>
              <w:right w:val="single" w:sz="6" w:space="0" w:color="auto"/>
            </w:tcBorders>
          </w:tcPr>
          <w:p w14:paraId="65F619EF" w14:textId="77777777" w:rsidR="00CA23D0" w:rsidRPr="00E30642" w:rsidRDefault="00CA23D0" w:rsidP="00CA23D0">
            <w:pPr>
              <w:pStyle w:val="Texttabulky"/>
              <w:jc w:val="both"/>
              <w:rPr>
                <w:rFonts w:cs="Arial"/>
              </w:rPr>
            </w:pPr>
            <w:r w:rsidRPr="00E30642">
              <w:rPr>
                <w:rFonts w:cs="Arial"/>
                <w:b/>
                <w:bCs/>
              </w:rPr>
              <w:t>sady</w:t>
            </w:r>
          </w:p>
        </w:tc>
        <w:tc>
          <w:tcPr>
            <w:tcW w:w="554" w:type="dxa"/>
            <w:tcBorders>
              <w:top w:val="single" w:sz="6" w:space="0" w:color="auto"/>
              <w:left w:val="single" w:sz="6" w:space="0" w:color="auto"/>
              <w:bottom w:val="single" w:sz="6" w:space="0" w:color="auto"/>
              <w:right w:val="single" w:sz="6" w:space="0" w:color="auto"/>
            </w:tcBorders>
          </w:tcPr>
          <w:p w14:paraId="2D4DD3F8" w14:textId="77777777" w:rsidR="00CA23D0" w:rsidRPr="00E30642" w:rsidRDefault="00CA23D0" w:rsidP="00CA23D0">
            <w:pPr>
              <w:pStyle w:val="Texttabulky"/>
              <w:jc w:val="both"/>
              <w:rPr>
                <w:rFonts w:cs="Arial"/>
              </w:rPr>
            </w:pPr>
            <w:r w:rsidRPr="00E30642">
              <w:rPr>
                <w:rFonts w:cs="Arial"/>
                <w:b/>
                <w:bCs/>
              </w:rPr>
              <w:t>louky</w:t>
            </w:r>
          </w:p>
        </w:tc>
        <w:tc>
          <w:tcPr>
            <w:tcW w:w="863" w:type="dxa"/>
            <w:tcBorders>
              <w:top w:val="single" w:sz="6" w:space="0" w:color="auto"/>
              <w:left w:val="single" w:sz="6" w:space="0" w:color="auto"/>
              <w:bottom w:val="single" w:sz="6" w:space="0" w:color="auto"/>
              <w:right w:val="single" w:sz="6" w:space="0" w:color="auto"/>
            </w:tcBorders>
          </w:tcPr>
          <w:p w14:paraId="1DC9AB62" w14:textId="77777777" w:rsidR="00CA23D0" w:rsidRPr="00E30642" w:rsidRDefault="00CA23D0" w:rsidP="00CA23D0">
            <w:pPr>
              <w:pStyle w:val="Texttabulky"/>
              <w:jc w:val="both"/>
              <w:rPr>
                <w:rFonts w:cs="Arial"/>
              </w:rPr>
            </w:pPr>
            <w:r w:rsidRPr="00E30642">
              <w:rPr>
                <w:rFonts w:cs="Arial"/>
                <w:b/>
                <w:bCs/>
              </w:rPr>
              <w:t>pastviny</w:t>
            </w:r>
          </w:p>
        </w:tc>
      </w:tr>
      <w:tr w:rsidR="00CA23D0" w:rsidRPr="00E30642" w14:paraId="6C00BCCB"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6555B0DE" w14:textId="77777777" w:rsidR="00CA23D0" w:rsidRPr="00E30642" w:rsidRDefault="00CA23D0" w:rsidP="00CA23D0">
            <w:pPr>
              <w:pStyle w:val="Texttabulky"/>
              <w:jc w:val="both"/>
              <w:rPr>
                <w:rFonts w:cs="Arial"/>
              </w:rPr>
            </w:pPr>
            <w:r w:rsidRPr="00E30642">
              <w:rPr>
                <w:rFonts w:cs="Arial"/>
              </w:rPr>
              <w:t>Děčín</w:t>
            </w:r>
          </w:p>
        </w:tc>
        <w:tc>
          <w:tcPr>
            <w:tcW w:w="1023" w:type="dxa"/>
            <w:tcBorders>
              <w:top w:val="single" w:sz="6" w:space="0" w:color="auto"/>
              <w:left w:val="single" w:sz="6" w:space="0" w:color="auto"/>
              <w:bottom w:val="single" w:sz="6" w:space="0" w:color="auto"/>
              <w:right w:val="single" w:sz="6" w:space="0" w:color="auto"/>
            </w:tcBorders>
          </w:tcPr>
          <w:p w14:paraId="236F2B7D" w14:textId="77777777" w:rsidR="00CA23D0" w:rsidRPr="00E30642" w:rsidRDefault="00CA23D0" w:rsidP="00CA23D0">
            <w:pPr>
              <w:pStyle w:val="Texttabulky"/>
              <w:jc w:val="both"/>
              <w:rPr>
                <w:rFonts w:cs="Arial"/>
              </w:rPr>
            </w:pPr>
            <w:r w:rsidRPr="00E30642">
              <w:rPr>
                <w:rFonts w:cs="Arial"/>
              </w:rPr>
              <w:t>85,4</w:t>
            </w:r>
          </w:p>
        </w:tc>
        <w:tc>
          <w:tcPr>
            <w:tcW w:w="662" w:type="dxa"/>
            <w:tcBorders>
              <w:top w:val="single" w:sz="6" w:space="0" w:color="auto"/>
              <w:left w:val="single" w:sz="6" w:space="0" w:color="auto"/>
              <w:bottom w:val="single" w:sz="6" w:space="0" w:color="auto"/>
              <w:right w:val="single" w:sz="6" w:space="0" w:color="auto"/>
            </w:tcBorders>
          </w:tcPr>
          <w:p w14:paraId="7AE41108" w14:textId="77777777" w:rsidR="00CA23D0" w:rsidRPr="00E30642" w:rsidRDefault="00CA23D0" w:rsidP="00CA23D0">
            <w:pPr>
              <w:pStyle w:val="Texttabulky"/>
              <w:jc w:val="both"/>
              <w:rPr>
                <w:rFonts w:cs="Arial"/>
              </w:rPr>
            </w:pPr>
            <w:r w:rsidRPr="00E30642">
              <w:rPr>
                <w:rFonts w:cs="Arial"/>
              </w:rPr>
              <w:t>12,21</w:t>
            </w:r>
          </w:p>
        </w:tc>
        <w:tc>
          <w:tcPr>
            <w:tcW w:w="847" w:type="dxa"/>
            <w:tcBorders>
              <w:top w:val="single" w:sz="6" w:space="0" w:color="auto"/>
              <w:left w:val="single" w:sz="6" w:space="0" w:color="auto"/>
              <w:bottom w:val="single" w:sz="6" w:space="0" w:color="auto"/>
              <w:right w:val="single" w:sz="6" w:space="0" w:color="auto"/>
            </w:tcBorders>
          </w:tcPr>
          <w:p w14:paraId="1A6E49B5"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140E6A84"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0819018E" w14:textId="77777777" w:rsidR="00CA23D0" w:rsidRPr="00E30642" w:rsidRDefault="00CA23D0" w:rsidP="00CA23D0">
            <w:pPr>
              <w:pStyle w:val="Texttabulky"/>
              <w:jc w:val="both"/>
              <w:rPr>
                <w:rFonts w:cs="Arial"/>
              </w:rPr>
            </w:pPr>
            <w:r w:rsidRPr="00E30642">
              <w:rPr>
                <w:rFonts w:cs="Arial"/>
              </w:rPr>
              <w:t>49,2</w:t>
            </w:r>
          </w:p>
        </w:tc>
        <w:tc>
          <w:tcPr>
            <w:tcW w:w="567" w:type="dxa"/>
            <w:tcBorders>
              <w:top w:val="single" w:sz="6" w:space="0" w:color="auto"/>
              <w:left w:val="single" w:sz="6" w:space="0" w:color="auto"/>
              <w:bottom w:val="single" w:sz="6" w:space="0" w:color="auto"/>
              <w:right w:val="single" w:sz="6" w:space="0" w:color="auto"/>
            </w:tcBorders>
          </w:tcPr>
          <w:p w14:paraId="425D4F85" w14:textId="77777777" w:rsidR="00CA23D0" w:rsidRPr="00E30642" w:rsidRDefault="00CA23D0" w:rsidP="00CA23D0">
            <w:pPr>
              <w:pStyle w:val="Texttabulky"/>
              <w:jc w:val="both"/>
              <w:rPr>
                <w:rFonts w:cs="Arial"/>
              </w:rPr>
            </w:pPr>
            <w:r w:rsidRPr="00E30642">
              <w:rPr>
                <w:rFonts w:cs="Arial"/>
              </w:rPr>
              <w:t>14,54</w:t>
            </w:r>
          </w:p>
        </w:tc>
        <w:tc>
          <w:tcPr>
            <w:tcW w:w="554" w:type="dxa"/>
            <w:tcBorders>
              <w:top w:val="single" w:sz="6" w:space="0" w:color="auto"/>
              <w:left w:val="single" w:sz="6" w:space="0" w:color="auto"/>
              <w:bottom w:val="single" w:sz="6" w:space="0" w:color="auto"/>
              <w:right w:val="single" w:sz="6" w:space="0" w:color="auto"/>
            </w:tcBorders>
          </w:tcPr>
          <w:p w14:paraId="10C07E3B" w14:textId="77777777" w:rsidR="00CA23D0" w:rsidRPr="00E30642" w:rsidRDefault="00CA23D0" w:rsidP="00CA23D0">
            <w:pPr>
              <w:pStyle w:val="Texttabulky"/>
              <w:jc w:val="both"/>
              <w:rPr>
                <w:rFonts w:cs="Arial"/>
              </w:rPr>
            </w:pPr>
            <w:r w:rsidRPr="00E30642">
              <w:rPr>
                <w:rFonts w:cs="Arial"/>
              </w:rPr>
              <w:t>5,53</w:t>
            </w:r>
          </w:p>
        </w:tc>
        <w:tc>
          <w:tcPr>
            <w:tcW w:w="863" w:type="dxa"/>
            <w:tcBorders>
              <w:top w:val="single" w:sz="6" w:space="0" w:color="auto"/>
              <w:left w:val="single" w:sz="6" w:space="0" w:color="auto"/>
              <w:bottom w:val="single" w:sz="6" w:space="0" w:color="auto"/>
              <w:right w:val="single" w:sz="6" w:space="0" w:color="auto"/>
            </w:tcBorders>
          </w:tcPr>
          <w:p w14:paraId="43B759E7" w14:textId="77777777" w:rsidR="00CA23D0" w:rsidRPr="00E30642" w:rsidRDefault="00CA23D0" w:rsidP="00CA23D0">
            <w:pPr>
              <w:pStyle w:val="Texttabulky"/>
              <w:jc w:val="both"/>
              <w:rPr>
                <w:rFonts w:cs="Arial"/>
              </w:rPr>
            </w:pPr>
            <w:r w:rsidRPr="00E30642">
              <w:rPr>
                <w:rFonts w:cs="Arial"/>
              </w:rPr>
              <w:t>3,93</w:t>
            </w:r>
          </w:p>
        </w:tc>
      </w:tr>
      <w:tr w:rsidR="00CA23D0" w:rsidRPr="00E30642" w14:paraId="607D5AB5"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7357BBB1" w14:textId="77777777" w:rsidR="00CA23D0" w:rsidRPr="00E30642" w:rsidRDefault="00CA23D0" w:rsidP="00CA23D0">
            <w:pPr>
              <w:pStyle w:val="Texttabulky"/>
              <w:jc w:val="both"/>
              <w:rPr>
                <w:rFonts w:cs="Arial"/>
              </w:rPr>
            </w:pPr>
            <w:r w:rsidRPr="00E30642">
              <w:rPr>
                <w:rFonts w:cs="Arial"/>
              </w:rPr>
              <w:t>Bělá u Děčína</w:t>
            </w:r>
          </w:p>
        </w:tc>
        <w:tc>
          <w:tcPr>
            <w:tcW w:w="1023" w:type="dxa"/>
            <w:tcBorders>
              <w:top w:val="single" w:sz="6" w:space="0" w:color="auto"/>
              <w:left w:val="single" w:sz="6" w:space="0" w:color="auto"/>
              <w:bottom w:val="single" w:sz="6" w:space="0" w:color="auto"/>
              <w:right w:val="single" w:sz="6" w:space="0" w:color="auto"/>
            </w:tcBorders>
          </w:tcPr>
          <w:p w14:paraId="07C87090" w14:textId="77777777" w:rsidR="00CA23D0" w:rsidRPr="00E30642" w:rsidRDefault="00CA23D0" w:rsidP="00CA23D0">
            <w:pPr>
              <w:pStyle w:val="Texttabulky"/>
              <w:jc w:val="both"/>
              <w:rPr>
                <w:rFonts w:cs="Arial"/>
              </w:rPr>
            </w:pPr>
            <w:r w:rsidRPr="00E30642">
              <w:rPr>
                <w:rFonts w:cs="Arial"/>
              </w:rPr>
              <w:t>70,93</w:t>
            </w:r>
          </w:p>
        </w:tc>
        <w:tc>
          <w:tcPr>
            <w:tcW w:w="662" w:type="dxa"/>
            <w:tcBorders>
              <w:top w:val="single" w:sz="6" w:space="0" w:color="auto"/>
              <w:left w:val="single" w:sz="6" w:space="0" w:color="auto"/>
              <w:bottom w:val="single" w:sz="6" w:space="0" w:color="auto"/>
              <w:right w:val="single" w:sz="6" w:space="0" w:color="auto"/>
            </w:tcBorders>
          </w:tcPr>
          <w:p w14:paraId="2F92F026" w14:textId="77777777" w:rsidR="00CA23D0" w:rsidRPr="00E30642" w:rsidRDefault="00CA23D0" w:rsidP="00CA23D0">
            <w:pPr>
              <w:pStyle w:val="Texttabulky"/>
              <w:jc w:val="both"/>
              <w:rPr>
                <w:rFonts w:cs="Arial"/>
              </w:rPr>
            </w:pPr>
            <w:r w:rsidRPr="00E30642">
              <w:rPr>
                <w:rFonts w:cs="Arial"/>
              </w:rPr>
              <w:t>0,21</w:t>
            </w:r>
          </w:p>
        </w:tc>
        <w:tc>
          <w:tcPr>
            <w:tcW w:w="847" w:type="dxa"/>
            <w:tcBorders>
              <w:top w:val="single" w:sz="6" w:space="0" w:color="auto"/>
              <w:left w:val="single" w:sz="6" w:space="0" w:color="auto"/>
              <w:bottom w:val="single" w:sz="6" w:space="0" w:color="auto"/>
              <w:right w:val="single" w:sz="6" w:space="0" w:color="auto"/>
            </w:tcBorders>
          </w:tcPr>
          <w:p w14:paraId="33139F3F"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12D10BA1"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78B7EDDC" w14:textId="77777777" w:rsidR="00CA23D0" w:rsidRPr="00E30642" w:rsidRDefault="00CA23D0" w:rsidP="00CA23D0">
            <w:pPr>
              <w:pStyle w:val="Texttabulky"/>
              <w:jc w:val="both"/>
              <w:rPr>
                <w:rFonts w:cs="Arial"/>
              </w:rPr>
            </w:pPr>
            <w:r w:rsidRPr="00E30642">
              <w:rPr>
                <w:rFonts w:cs="Arial"/>
              </w:rPr>
              <w:t>30,39</w:t>
            </w:r>
          </w:p>
        </w:tc>
        <w:tc>
          <w:tcPr>
            <w:tcW w:w="567" w:type="dxa"/>
            <w:tcBorders>
              <w:top w:val="single" w:sz="6" w:space="0" w:color="auto"/>
              <w:left w:val="single" w:sz="6" w:space="0" w:color="auto"/>
              <w:bottom w:val="single" w:sz="6" w:space="0" w:color="auto"/>
              <w:right w:val="single" w:sz="6" w:space="0" w:color="auto"/>
            </w:tcBorders>
          </w:tcPr>
          <w:p w14:paraId="432D10F9" w14:textId="77777777" w:rsidR="00CA23D0" w:rsidRPr="00E30642" w:rsidRDefault="00CA23D0" w:rsidP="00CA23D0">
            <w:pPr>
              <w:pStyle w:val="Texttabulky"/>
              <w:jc w:val="both"/>
              <w:rPr>
                <w:rFonts w:cs="Arial"/>
              </w:rPr>
            </w:pPr>
            <w:r w:rsidRPr="00E30642">
              <w:rPr>
                <w:rFonts w:cs="Arial"/>
              </w:rPr>
              <w:t>2,36</w:t>
            </w:r>
          </w:p>
        </w:tc>
        <w:tc>
          <w:tcPr>
            <w:tcW w:w="554" w:type="dxa"/>
            <w:tcBorders>
              <w:top w:val="single" w:sz="6" w:space="0" w:color="auto"/>
              <w:left w:val="single" w:sz="6" w:space="0" w:color="auto"/>
              <w:bottom w:val="single" w:sz="6" w:space="0" w:color="auto"/>
              <w:right w:val="single" w:sz="6" w:space="0" w:color="auto"/>
            </w:tcBorders>
          </w:tcPr>
          <w:p w14:paraId="32F10AA2" w14:textId="77777777" w:rsidR="00CA23D0" w:rsidRPr="00E30642" w:rsidRDefault="00CA23D0" w:rsidP="00CA23D0">
            <w:pPr>
              <w:pStyle w:val="Texttabulky"/>
              <w:jc w:val="both"/>
              <w:rPr>
                <w:rFonts w:cs="Arial"/>
              </w:rPr>
            </w:pPr>
            <w:r w:rsidRPr="00E30642">
              <w:rPr>
                <w:rFonts w:cs="Arial"/>
              </w:rPr>
              <w:t>31,96</w:t>
            </w:r>
          </w:p>
        </w:tc>
        <w:tc>
          <w:tcPr>
            <w:tcW w:w="863" w:type="dxa"/>
            <w:tcBorders>
              <w:top w:val="single" w:sz="6" w:space="0" w:color="auto"/>
              <w:left w:val="single" w:sz="6" w:space="0" w:color="auto"/>
              <w:bottom w:val="single" w:sz="6" w:space="0" w:color="auto"/>
              <w:right w:val="single" w:sz="6" w:space="0" w:color="auto"/>
            </w:tcBorders>
          </w:tcPr>
          <w:p w14:paraId="6431AB16" w14:textId="77777777" w:rsidR="00CA23D0" w:rsidRPr="00E30642" w:rsidRDefault="00CA23D0" w:rsidP="00CA23D0">
            <w:pPr>
              <w:pStyle w:val="Texttabulky"/>
              <w:jc w:val="both"/>
              <w:rPr>
                <w:rFonts w:cs="Arial"/>
              </w:rPr>
            </w:pPr>
            <w:r w:rsidRPr="00E30642">
              <w:rPr>
                <w:rFonts w:cs="Arial"/>
              </w:rPr>
              <w:t>6,02</w:t>
            </w:r>
          </w:p>
        </w:tc>
      </w:tr>
      <w:tr w:rsidR="00CA23D0" w:rsidRPr="00E30642" w14:paraId="30643AFF"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440DCB4A" w14:textId="77777777" w:rsidR="00CA23D0" w:rsidRPr="00E30642" w:rsidRDefault="00CA23D0" w:rsidP="00CA23D0">
            <w:pPr>
              <w:pStyle w:val="Texttabulky"/>
              <w:jc w:val="both"/>
              <w:rPr>
                <w:rFonts w:cs="Arial"/>
              </w:rPr>
            </w:pPr>
            <w:r w:rsidRPr="00E30642">
              <w:rPr>
                <w:rFonts w:cs="Arial"/>
              </w:rPr>
              <w:t>Bynov</w:t>
            </w:r>
          </w:p>
        </w:tc>
        <w:tc>
          <w:tcPr>
            <w:tcW w:w="1023" w:type="dxa"/>
            <w:tcBorders>
              <w:top w:val="single" w:sz="6" w:space="0" w:color="auto"/>
              <w:left w:val="single" w:sz="6" w:space="0" w:color="auto"/>
              <w:bottom w:val="single" w:sz="6" w:space="0" w:color="auto"/>
              <w:right w:val="single" w:sz="6" w:space="0" w:color="auto"/>
            </w:tcBorders>
          </w:tcPr>
          <w:p w14:paraId="603CA12F" w14:textId="77777777" w:rsidR="00CA23D0" w:rsidRPr="00E30642" w:rsidRDefault="00CA23D0" w:rsidP="00CA23D0">
            <w:pPr>
              <w:pStyle w:val="Texttabulky"/>
              <w:jc w:val="both"/>
              <w:rPr>
                <w:rFonts w:cs="Arial"/>
              </w:rPr>
            </w:pPr>
            <w:r w:rsidRPr="00E30642">
              <w:rPr>
                <w:rFonts w:cs="Arial"/>
              </w:rPr>
              <w:t>46,39</w:t>
            </w:r>
          </w:p>
        </w:tc>
        <w:tc>
          <w:tcPr>
            <w:tcW w:w="662" w:type="dxa"/>
            <w:tcBorders>
              <w:top w:val="single" w:sz="6" w:space="0" w:color="auto"/>
              <w:left w:val="single" w:sz="6" w:space="0" w:color="auto"/>
              <w:bottom w:val="single" w:sz="6" w:space="0" w:color="auto"/>
              <w:right w:val="single" w:sz="6" w:space="0" w:color="auto"/>
            </w:tcBorders>
          </w:tcPr>
          <w:p w14:paraId="110076F9" w14:textId="77777777" w:rsidR="00CA23D0" w:rsidRPr="00E30642" w:rsidRDefault="00CA23D0" w:rsidP="00CA23D0">
            <w:pPr>
              <w:pStyle w:val="Texttabulky"/>
              <w:jc w:val="both"/>
              <w:rPr>
                <w:rFonts w:cs="Arial"/>
              </w:rPr>
            </w:pPr>
            <w:r w:rsidRPr="00E30642">
              <w:rPr>
                <w:rFonts w:cs="Arial"/>
              </w:rPr>
              <w:t>0,65</w:t>
            </w:r>
          </w:p>
        </w:tc>
        <w:tc>
          <w:tcPr>
            <w:tcW w:w="847" w:type="dxa"/>
            <w:tcBorders>
              <w:top w:val="single" w:sz="6" w:space="0" w:color="auto"/>
              <w:left w:val="single" w:sz="6" w:space="0" w:color="auto"/>
              <w:bottom w:val="single" w:sz="6" w:space="0" w:color="auto"/>
              <w:right w:val="single" w:sz="6" w:space="0" w:color="auto"/>
            </w:tcBorders>
          </w:tcPr>
          <w:p w14:paraId="59E0DB56"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224B6AE1"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424FFE26" w14:textId="77777777" w:rsidR="00CA23D0" w:rsidRPr="00E30642" w:rsidRDefault="00CA23D0" w:rsidP="00CA23D0">
            <w:pPr>
              <w:pStyle w:val="Texttabulky"/>
              <w:jc w:val="both"/>
              <w:rPr>
                <w:rFonts w:cs="Arial"/>
              </w:rPr>
            </w:pPr>
            <w:r w:rsidRPr="00E30642">
              <w:rPr>
                <w:rFonts w:cs="Arial"/>
              </w:rPr>
              <w:t>19,65</w:t>
            </w:r>
          </w:p>
        </w:tc>
        <w:tc>
          <w:tcPr>
            <w:tcW w:w="567" w:type="dxa"/>
            <w:tcBorders>
              <w:top w:val="single" w:sz="6" w:space="0" w:color="auto"/>
              <w:left w:val="single" w:sz="6" w:space="0" w:color="auto"/>
              <w:bottom w:val="single" w:sz="6" w:space="0" w:color="auto"/>
              <w:right w:val="single" w:sz="6" w:space="0" w:color="auto"/>
            </w:tcBorders>
          </w:tcPr>
          <w:p w14:paraId="11D5CB6E" w14:textId="77777777" w:rsidR="00CA23D0" w:rsidRPr="00E30642" w:rsidRDefault="00CA23D0" w:rsidP="00CA23D0">
            <w:pPr>
              <w:pStyle w:val="Texttabulky"/>
              <w:jc w:val="both"/>
              <w:rPr>
                <w:rFonts w:cs="Arial"/>
              </w:rPr>
            </w:pPr>
            <w:r w:rsidRPr="00E30642">
              <w:rPr>
                <w:rFonts w:cs="Arial"/>
              </w:rPr>
              <w:t>0,79</w:t>
            </w:r>
          </w:p>
        </w:tc>
        <w:tc>
          <w:tcPr>
            <w:tcW w:w="554" w:type="dxa"/>
            <w:tcBorders>
              <w:top w:val="single" w:sz="6" w:space="0" w:color="auto"/>
              <w:left w:val="single" w:sz="6" w:space="0" w:color="auto"/>
              <w:bottom w:val="single" w:sz="6" w:space="0" w:color="auto"/>
              <w:right w:val="single" w:sz="6" w:space="0" w:color="auto"/>
            </w:tcBorders>
          </w:tcPr>
          <w:p w14:paraId="51E9E359" w14:textId="77777777" w:rsidR="00CA23D0" w:rsidRPr="00E30642" w:rsidRDefault="00CA23D0" w:rsidP="00CA23D0">
            <w:pPr>
              <w:pStyle w:val="Texttabulky"/>
              <w:jc w:val="both"/>
              <w:rPr>
                <w:rFonts w:cs="Arial"/>
              </w:rPr>
            </w:pPr>
            <w:r w:rsidRPr="00E30642">
              <w:rPr>
                <w:rFonts w:cs="Arial"/>
              </w:rPr>
              <w:t>23,02</w:t>
            </w:r>
          </w:p>
        </w:tc>
        <w:tc>
          <w:tcPr>
            <w:tcW w:w="863" w:type="dxa"/>
            <w:tcBorders>
              <w:top w:val="single" w:sz="6" w:space="0" w:color="auto"/>
              <w:left w:val="single" w:sz="6" w:space="0" w:color="auto"/>
              <w:bottom w:val="single" w:sz="6" w:space="0" w:color="auto"/>
              <w:right w:val="single" w:sz="6" w:space="0" w:color="auto"/>
            </w:tcBorders>
          </w:tcPr>
          <w:p w14:paraId="14C3A381" w14:textId="77777777" w:rsidR="00CA23D0" w:rsidRPr="00E30642" w:rsidRDefault="00CA23D0" w:rsidP="00CA23D0">
            <w:pPr>
              <w:pStyle w:val="Texttabulky"/>
              <w:jc w:val="both"/>
              <w:rPr>
                <w:rFonts w:cs="Arial"/>
              </w:rPr>
            </w:pPr>
            <w:r w:rsidRPr="00E30642">
              <w:rPr>
                <w:rFonts w:cs="Arial"/>
              </w:rPr>
              <w:t>2,27</w:t>
            </w:r>
          </w:p>
        </w:tc>
      </w:tr>
      <w:tr w:rsidR="00CA23D0" w:rsidRPr="00E30642" w14:paraId="48E6B02A"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103805C8" w14:textId="77777777" w:rsidR="00CA23D0" w:rsidRPr="00E30642" w:rsidRDefault="00CA23D0" w:rsidP="00CA23D0">
            <w:pPr>
              <w:pStyle w:val="Texttabulky"/>
              <w:jc w:val="both"/>
              <w:rPr>
                <w:rFonts w:cs="Arial"/>
              </w:rPr>
            </w:pPr>
            <w:r w:rsidRPr="00E30642">
              <w:rPr>
                <w:rFonts w:cs="Arial"/>
              </w:rPr>
              <w:t>Horní Oldřichov</w:t>
            </w:r>
          </w:p>
        </w:tc>
        <w:tc>
          <w:tcPr>
            <w:tcW w:w="1023" w:type="dxa"/>
            <w:tcBorders>
              <w:top w:val="single" w:sz="6" w:space="0" w:color="auto"/>
              <w:left w:val="single" w:sz="6" w:space="0" w:color="auto"/>
              <w:bottom w:val="single" w:sz="6" w:space="0" w:color="auto"/>
              <w:right w:val="single" w:sz="6" w:space="0" w:color="auto"/>
            </w:tcBorders>
          </w:tcPr>
          <w:p w14:paraId="50428586" w14:textId="77777777" w:rsidR="00CA23D0" w:rsidRPr="00E30642" w:rsidRDefault="00CA23D0" w:rsidP="00CA23D0">
            <w:pPr>
              <w:pStyle w:val="Texttabulky"/>
              <w:jc w:val="both"/>
              <w:rPr>
                <w:rFonts w:cs="Arial"/>
              </w:rPr>
            </w:pPr>
            <w:r w:rsidRPr="00E30642">
              <w:rPr>
                <w:rFonts w:cs="Arial"/>
              </w:rPr>
              <w:t>65,19</w:t>
            </w:r>
          </w:p>
        </w:tc>
        <w:tc>
          <w:tcPr>
            <w:tcW w:w="662" w:type="dxa"/>
            <w:tcBorders>
              <w:top w:val="single" w:sz="6" w:space="0" w:color="auto"/>
              <w:left w:val="single" w:sz="6" w:space="0" w:color="auto"/>
              <w:bottom w:val="single" w:sz="6" w:space="0" w:color="auto"/>
              <w:right w:val="single" w:sz="6" w:space="0" w:color="auto"/>
            </w:tcBorders>
          </w:tcPr>
          <w:p w14:paraId="2309448A" w14:textId="77777777" w:rsidR="00CA23D0" w:rsidRPr="00E30642" w:rsidRDefault="00CA23D0" w:rsidP="00CA23D0">
            <w:pPr>
              <w:pStyle w:val="Texttabulky"/>
              <w:jc w:val="both"/>
              <w:rPr>
                <w:rFonts w:cs="Arial"/>
              </w:rPr>
            </w:pPr>
            <w:r w:rsidRPr="00E30642">
              <w:rPr>
                <w:rFonts w:cs="Arial"/>
              </w:rPr>
              <w:t>7,58</w:t>
            </w:r>
          </w:p>
        </w:tc>
        <w:tc>
          <w:tcPr>
            <w:tcW w:w="847" w:type="dxa"/>
            <w:tcBorders>
              <w:top w:val="single" w:sz="6" w:space="0" w:color="auto"/>
              <w:left w:val="single" w:sz="6" w:space="0" w:color="auto"/>
              <w:bottom w:val="single" w:sz="6" w:space="0" w:color="auto"/>
              <w:right w:val="single" w:sz="6" w:space="0" w:color="auto"/>
            </w:tcBorders>
          </w:tcPr>
          <w:p w14:paraId="35973A53"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05A553FA"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32935EC9" w14:textId="77777777" w:rsidR="00CA23D0" w:rsidRPr="00E30642" w:rsidRDefault="00CA23D0" w:rsidP="00CA23D0">
            <w:pPr>
              <w:pStyle w:val="Texttabulky"/>
              <w:jc w:val="both"/>
              <w:rPr>
                <w:rFonts w:cs="Arial"/>
              </w:rPr>
            </w:pPr>
            <w:r w:rsidRPr="00E30642">
              <w:rPr>
                <w:rFonts w:cs="Arial"/>
              </w:rPr>
              <w:t>21,18</w:t>
            </w:r>
          </w:p>
        </w:tc>
        <w:tc>
          <w:tcPr>
            <w:tcW w:w="567" w:type="dxa"/>
            <w:tcBorders>
              <w:top w:val="single" w:sz="6" w:space="0" w:color="auto"/>
              <w:left w:val="single" w:sz="6" w:space="0" w:color="auto"/>
              <w:bottom w:val="single" w:sz="6" w:space="0" w:color="auto"/>
              <w:right w:val="single" w:sz="6" w:space="0" w:color="auto"/>
            </w:tcBorders>
          </w:tcPr>
          <w:p w14:paraId="5AA80B00" w14:textId="77777777" w:rsidR="00CA23D0" w:rsidRPr="00E30642" w:rsidRDefault="00CA23D0" w:rsidP="00CA23D0">
            <w:pPr>
              <w:pStyle w:val="Texttabulky"/>
              <w:jc w:val="both"/>
              <w:rPr>
                <w:rFonts w:cs="Arial"/>
              </w:rPr>
            </w:pPr>
            <w:r w:rsidRPr="00E30642">
              <w:rPr>
                <w:rFonts w:cs="Arial"/>
              </w:rPr>
              <w:t>0</w:t>
            </w:r>
          </w:p>
        </w:tc>
        <w:tc>
          <w:tcPr>
            <w:tcW w:w="554" w:type="dxa"/>
            <w:tcBorders>
              <w:top w:val="single" w:sz="6" w:space="0" w:color="auto"/>
              <w:left w:val="single" w:sz="6" w:space="0" w:color="auto"/>
              <w:bottom w:val="single" w:sz="6" w:space="0" w:color="auto"/>
              <w:right w:val="single" w:sz="6" w:space="0" w:color="auto"/>
            </w:tcBorders>
          </w:tcPr>
          <w:p w14:paraId="7BBAF1DD" w14:textId="77777777" w:rsidR="00CA23D0" w:rsidRPr="00E30642" w:rsidRDefault="00CA23D0" w:rsidP="00CA23D0">
            <w:pPr>
              <w:pStyle w:val="Texttabulky"/>
              <w:jc w:val="both"/>
              <w:rPr>
                <w:rFonts w:cs="Arial"/>
              </w:rPr>
            </w:pPr>
            <w:r w:rsidRPr="00E30642">
              <w:rPr>
                <w:rFonts w:cs="Arial"/>
              </w:rPr>
              <w:t>31,22</w:t>
            </w:r>
          </w:p>
        </w:tc>
        <w:tc>
          <w:tcPr>
            <w:tcW w:w="863" w:type="dxa"/>
            <w:tcBorders>
              <w:top w:val="single" w:sz="6" w:space="0" w:color="auto"/>
              <w:left w:val="single" w:sz="6" w:space="0" w:color="auto"/>
              <w:bottom w:val="single" w:sz="6" w:space="0" w:color="auto"/>
              <w:right w:val="single" w:sz="6" w:space="0" w:color="auto"/>
            </w:tcBorders>
          </w:tcPr>
          <w:p w14:paraId="4DDD9695" w14:textId="77777777" w:rsidR="00CA23D0" w:rsidRPr="00E30642" w:rsidRDefault="00CA23D0" w:rsidP="00CA23D0">
            <w:pPr>
              <w:pStyle w:val="Texttabulky"/>
              <w:jc w:val="both"/>
              <w:rPr>
                <w:rFonts w:cs="Arial"/>
              </w:rPr>
            </w:pPr>
            <w:r w:rsidRPr="00E30642">
              <w:rPr>
                <w:rFonts w:cs="Arial"/>
              </w:rPr>
              <w:t>5,21</w:t>
            </w:r>
          </w:p>
        </w:tc>
      </w:tr>
      <w:tr w:rsidR="00CA23D0" w:rsidRPr="00E30642" w14:paraId="3244041A"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55011386" w14:textId="77777777" w:rsidR="00CA23D0" w:rsidRPr="00E30642" w:rsidRDefault="00CA23D0" w:rsidP="00CA23D0">
            <w:pPr>
              <w:pStyle w:val="Texttabulky"/>
              <w:jc w:val="both"/>
              <w:rPr>
                <w:rFonts w:cs="Arial"/>
              </w:rPr>
            </w:pPr>
            <w:r w:rsidRPr="00E30642">
              <w:rPr>
                <w:rFonts w:cs="Arial"/>
              </w:rPr>
              <w:t>Chrochvice</w:t>
            </w:r>
          </w:p>
        </w:tc>
        <w:tc>
          <w:tcPr>
            <w:tcW w:w="1023" w:type="dxa"/>
            <w:tcBorders>
              <w:top w:val="single" w:sz="6" w:space="0" w:color="auto"/>
              <w:left w:val="single" w:sz="6" w:space="0" w:color="auto"/>
              <w:bottom w:val="single" w:sz="6" w:space="0" w:color="auto"/>
              <w:right w:val="single" w:sz="6" w:space="0" w:color="auto"/>
            </w:tcBorders>
          </w:tcPr>
          <w:p w14:paraId="2556D479" w14:textId="77777777" w:rsidR="00CA23D0" w:rsidRPr="00E30642" w:rsidRDefault="00CA23D0" w:rsidP="00CA23D0">
            <w:pPr>
              <w:pStyle w:val="Texttabulky"/>
              <w:jc w:val="both"/>
              <w:rPr>
                <w:rFonts w:cs="Arial"/>
              </w:rPr>
            </w:pPr>
            <w:r w:rsidRPr="00E30642">
              <w:rPr>
                <w:rFonts w:cs="Arial"/>
              </w:rPr>
              <w:t>75,13</w:t>
            </w:r>
          </w:p>
        </w:tc>
        <w:tc>
          <w:tcPr>
            <w:tcW w:w="662" w:type="dxa"/>
            <w:tcBorders>
              <w:top w:val="single" w:sz="6" w:space="0" w:color="auto"/>
              <w:left w:val="single" w:sz="6" w:space="0" w:color="auto"/>
              <w:bottom w:val="single" w:sz="6" w:space="0" w:color="auto"/>
              <w:right w:val="single" w:sz="6" w:space="0" w:color="auto"/>
            </w:tcBorders>
          </w:tcPr>
          <w:p w14:paraId="0F21E2CD" w14:textId="77777777" w:rsidR="00CA23D0" w:rsidRPr="00E30642" w:rsidRDefault="00CA23D0" w:rsidP="00CA23D0">
            <w:pPr>
              <w:pStyle w:val="Texttabulky"/>
              <w:jc w:val="both"/>
              <w:rPr>
                <w:rFonts w:cs="Arial"/>
              </w:rPr>
            </w:pPr>
            <w:r w:rsidRPr="00E30642">
              <w:rPr>
                <w:rFonts w:cs="Arial"/>
              </w:rPr>
              <w:t>16,47</w:t>
            </w:r>
          </w:p>
        </w:tc>
        <w:tc>
          <w:tcPr>
            <w:tcW w:w="847" w:type="dxa"/>
            <w:tcBorders>
              <w:top w:val="single" w:sz="6" w:space="0" w:color="auto"/>
              <w:left w:val="single" w:sz="6" w:space="0" w:color="auto"/>
              <w:bottom w:val="single" w:sz="6" w:space="0" w:color="auto"/>
              <w:right w:val="single" w:sz="6" w:space="0" w:color="auto"/>
            </w:tcBorders>
          </w:tcPr>
          <w:p w14:paraId="220698D5"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7221EC5B"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1A755C1E" w14:textId="77777777" w:rsidR="00CA23D0" w:rsidRPr="00E30642" w:rsidRDefault="00CA23D0" w:rsidP="00CA23D0">
            <w:pPr>
              <w:pStyle w:val="Texttabulky"/>
              <w:jc w:val="both"/>
              <w:rPr>
                <w:rFonts w:cs="Arial"/>
              </w:rPr>
            </w:pPr>
            <w:r w:rsidRPr="00E30642">
              <w:rPr>
                <w:rFonts w:cs="Arial"/>
              </w:rPr>
              <w:t>26,99</w:t>
            </w:r>
          </w:p>
        </w:tc>
        <w:tc>
          <w:tcPr>
            <w:tcW w:w="567" w:type="dxa"/>
            <w:tcBorders>
              <w:top w:val="single" w:sz="6" w:space="0" w:color="auto"/>
              <w:left w:val="single" w:sz="6" w:space="0" w:color="auto"/>
              <w:bottom w:val="single" w:sz="6" w:space="0" w:color="auto"/>
              <w:right w:val="single" w:sz="6" w:space="0" w:color="auto"/>
            </w:tcBorders>
          </w:tcPr>
          <w:p w14:paraId="235BA485" w14:textId="77777777" w:rsidR="00CA23D0" w:rsidRPr="00E30642" w:rsidRDefault="00CA23D0" w:rsidP="00CA23D0">
            <w:pPr>
              <w:pStyle w:val="Texttabulky"/>
              <w:jc w:val="both"/>
              <w:rPr>
                <w:rFonts w:cs="Arial"/>
              </w:rPr>
            </w:pPr>
            <w:r w:rsidRPr="00E30642">
              <w:rPr>
                <w:rFonts w:cs="Arial"/>
              </w:rPr>
              <w:t>1,97</w:t>
            </w:r>
          </w:p>
        </w:tc>
        <w:tc>
          <w:tcPr>
            <w:tcW w:w="554" w:type="dxa"/>
            <w:tcBorders>
              <w:top w:val="single" w:sz="6" w:space="0" w:color="auto"/>
              <w:left w:val="single" w:sz="6" w:space="0" w:color="auto"/>
              <w:bottom w:val="single" w:sz="6" w:space="0" w:color="auto"/>
              <w:right w:val="single" w:sz="6" w:space="0" w:color="auto"/>
            </w:tcBorders>
          </w:tcPr>
          <w:p w14:paraId="0DC34FF2" w14:textId="77777777" w:rsidR="00CA23D0" w:rsidRPr="00E30642" w:rsidRDefault="00CA23D0" w:rsidP="00CA23D0">
            <w:pPr>
              <w:pStyle w:val="Texttabulky"/>
              <w:jc w:val="both"/>
              <w:rPr>
                <w:rFonts w:cs="Arial"/>
              </w:rPr>
            </w:pPr>
            <w:r w:rsidRPr="00E30642">
              <w:rPr>
                <w:rFonts w:cs="Arial"/>
              </w:rPr>
              <w:t>2,03</w:t>
            </w:r>
          </w:p>
        </w:tc>
        <w:tc>
          <w:tcPr>
            <w:tcW w:w="863" w:type="dxa"/>
            <w:tcBorders>
              <w:top w:val="single" w:sz="6" w:space="0" w:color="auto"/>
              <w:left w:val="single" w:sz="6" w:space="0" w:color="auto"/>
              <w:bottom w:val="single" w:sz="6" w:space="0" w:color="auto"/>
              <w:right w:val="single" w:sz="6" w:space="0" w:color="auto"/>
            </w:tcBorders>
          </w:tcPr>
          <w:p w14:paraId="18DEB149" w14:textId="77777777" w:rsidR="00CA23D0" w:rsidRPr="00E30642" w:rsidRDefault="00CA23D0" w:rsidP="00CA23D0">
            <w:pPr>
              <w:pStyle w:val="Texttabulky"/>
              <w:jc w:val="both"/>
              <w:rPr>
                <w:rFonts w:cs="Arial"/>
              </w:rPr>
            </w:pPr>
            <w:r w:rsidRPr="00E30642">
              <w:rPr>
                <w:rFonts w:cs="Arial"/>
              </w:rPr>
              <w:t>27,68</w:t>
            </w:r>
          </w:p>
        </w:tc>
      </w:tr>
      <w:tr w:rsidR="00CA23D0" w:rsidRPr="00E30642" w14:paraId="64D0D8FE"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765E3754" w14:textId="77777777" w:rsidR="00CA23D0" w:rsidRPr="00E30642" w:rsidRDefault="00CA23D0" w:rsidP="00CA23D0">
            <w:pPr>
              <w:pStyle w:val="Texttabulky"/>
              <w:jc w:val="both"/>
              <w:rPr>
                <w:rFonts w:cs="Arial"/>
              </w:rPr>
            </w:pPr>
            <w:r w:rsidRPr="00E30642">
              <w:rPr>
                <w:rFonts w:cs="Arial"/>
              </w:rPr>
              <w:t>Loubí u Děčína</w:t>
            </w:r>
          </w:p>
        </w:tc>
        <w:tc>
          <w:tcPr>
            <w:tcW w:w="1023" w:type="dxa"/>
            <w:tcBorders>
              <w:top w:val="single" w:sz="6" w:space="0" w:color="auto"/>
              <w:left w:val="single" w:sz="6" w:space="0" w:color="auto"/>
              <w:bottom w:val="single" w:sz="6" w:space="0" w:color="auto"/>
              <w:right w:val="single" w:sz="6" w:space="0" w:color="auto"/>
            </w:tcBorders>
          </w:tcPr>
          <w:p w14:paraId="177D8236" w14:textId="77777777" w:rsidR="00CA23D0" w:rsidRPr="00E30642" w:rsidRDefault="00CA23D0" w:rsidP="00CA23D0">
            <w:pPr>
              <w:pStyle w:val="Texttabulky"/>
              <w:jc w:val="both"/>
              <w:rPr>
                <w:rFonts w:cs="Arial"/>
              </w:rPr>
            </w:pPr>
            <w:r w:rsidRPr="00E30642">
              <w:rPr>
                <w:rFonts w:cs="Arial"/>
              </w:rPr>
              <w:t>15,34</w:t>
            </w:r>
          </w:p>
        </w:tc>
        <w:tc>
          <w:tcPr>
            <w:tcW w:w="662" w:type="dxa"/>
            <w:tcBorders>
              <w:top w:val="single" w:sz="6" w:space="0" w:color="auto"/>
              <w:left w:val="single" w:sz="6" w:space="0" w:color="auto"/>
              <w:bottom w:val="single" w:sz="6" w:space="0" w:color="auto"/>
              <w:right w:val="single" w:sz="6" w:space="0" w:color="auto"/>
            </w:tcBorders>
          </w:tcPr>
          <w:p w14:paraId="44F90C49" w14:textId="77777777" w:rsidR="00CA23D0" w:rsidRPr="00E30642" w:rsidRDefault="00CA23D0" w:rsidP="00CA23D0">
            <w:pPr>
              <w:pStyle w:val="Texttabulky"/>
              <w:jc w:val="both"/>
              <w:rPr>
                <w:rFonts w:cs="Arial"/>
              </w:rPr>
            </w:pPr>
            <w:r w:rsidRPr="00E30642">
              <w:rPr>
                <w:rFonts w:cs="Arial"/>
              </w:rPr>
              <w:t>0,15</w:t>
            </w:r>
          </w:p>
        </w:tc>
        <w:tc>
          <w:tcPr>
            <w:tcW w:w="847" w:type="dxa"/>
            <w:tcBorders>
              <w:top w:val="single" w:sz="6" w:space="0" w:color="auto"/>
              <w:left w:val="single" w:sz="6" w:space="0" w:color="auto"/>
              <w:bottom w:val="single" w:sz="6" w:space="0" w:color="auto"/>
              <w:right w:val="single" w:sz="6" w:space="0" w:color="auto"/>
            </w:tcBorders>
          </w:tcPr>
          <w:p w14:paraId="21592EFA"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756BFA38"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4A6B2889" w14:textId="77777777" w:rsidR="00CA23D0" w:rsidRPr="00E30642" w:rsidRDefault="00CA23D0" w:rsidP="00CA23D0">
            <w:pPr>
              <w:pStyle w:val="Texttabulky"/>
              <w:jc w:val="both"/>
              <w:rPr>
                <w:rFonts w:cs="Arial"/>
              </w:rPr>
            </w:pPr>
            <w:r w:rsidRPr="00E30642">
              <w:rPr>
                <w:rFonts w:cs="Arial"/>
              </w:rPr>
              <w:t>5,1</w:t>
            </w:r>
          </w:p>
        </w:tc>
        <w:tc>
          <w:tcPr>
            <w:tcW w:w="567" w:type="dxa"/>
            <w:tcBorders>
              <w:top w:val="single" w:sz="6" w:space="0" w:color="auto"/>
              <w:left w:val="single" w:sz="6" w:space="0" w:color="auto"/>
              <w:bottom w:val="single" w:sz="6" w:space="0" w:color="auto"/>
              <w:right w:val="single" w:sz="6" w:space="0" w:color="auto"/>
            </w:tcBorders>
          </w:tcPr>
          <w:p w14:paraId="0BFEE2B8" w14:textId="77777777" w:rsidR="00CA23D0" w:rsidRPr="00E30642" w:rsidRDefault="00CA23D0" w:rsidP="00CA23D0">
            <w:pPr>
              <w:pStyle w:val="Texttabulky"/>
              <w:jc w:val="both"/>
              <w:rPr>
                <w:rFonts w:cs="Arial"/>
              </w:rPr>
            </w:pPr>
            <w:r w:rsidRPr="00E30642">
              <w:rPr>
                <w:rFonts w:cs="Arial"/>
              </w:rPr>
              <w:t>0</w:t>
            </w:r>
          </w:p>
        </w:tc>
        <w:tc>
          <w:tcPr>
            <w:tcW w:w="554" w:type="dxa"/>
            <w:tcBorders>
              <w:top w:val="single" w:sz="6" w:space="0" w:color="auto"/>
              <w:left w:val="single" w:sz="6" w:space="0" w:color="auto"/>
              <w:bottom w:val="single" w:sz="6" w:space="0" w:color="auto"/>
              <w:right w:val="single" w:sz="6" w:space="0" w:color="auto"/>
            </w:tcBorders>
          </w:tcPr>
          <w:p w14:paraId="4C4C633E" w14:textId="77777777" w:rsidR="00CA23D0" w:rsidRPr="00E30642" w:rsidRDefault="00CA23D0" w:rsidP="00CA23D0">
            <w:pPr>
              <w:pStyle w:val="Texttabulky"/>
              <w:jc w:val="both"/>
              <w:rPr>
                <w:rFonts w:cs="Arial"/>
              </w:rPr>
            </w:pPr>
            <w:r w:rsidRPr="00E30642">
              <w:rPr>
                <w:rFonts w:cs="Arial"/>
              </w:rPr>
              <w:t>7,53</w:t>
            </w:r>
          </w:p>
        </w:tc>
        <w:tc>
          <w:tcPr>
            <w:tcW w:w="863" w:type="dxa"/>
            <w:tcBorders>
              <w:top w:val="single" w:sz="6" w:space="0" w:color="auto"/>
              <w:left w:val="single" w:sz="6" w:space="0" w:color="auto"/>
              <w:bottom w:val="single" w:sz="6" w:space="0" w:color="auto"/>
              <w:right w:val="single" w:sz="6" w:space="0" w:color="auto"/>
            </w:tcBorders>
          </w:tcPr>
          <w:p w14:paraId="2988166B" w14:textId="77777777" w:rsidR="00CA23D0" w:rsidRPr="00E30642" w:rsidRDefault="00CA23D0" w:rsidP="00CA23D0">
            <w:pPr>
              <w:pStyle w:val="Texttabulky"/>
              <w:jc w:val="both"/>
              <w:rPr>
                <w:rFonts w:cs="Arial"/>
              </w:rPr>
            </w:pPr>
            <w:r w:rsidRPr="00E30642">
              <w:rPr>
                <w:rFonts w:cs="Arial"/>
              </w:rPr>
              <w:t>2,56</w:t>
            </w:r>
          </w:p>
        </w:tc>
      </w:tr>
      <w:tr w:rsidR="00CA23D0" w:rsidRPr="00E30642" w14:paraId="2A49D1BF"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3B21651C" w14:textId="77777777" w:rsidR="00CA23D0" w:rsidRPr="00E30642" w:rsidRDefault="00CA23D0" w:rsidP="00CA23D0">
            <w:pPr>
              <w:pStyle w:val="Texttabulky"/>
              <w:jc w:val="both"/>
              <w:rPr>
                <w:rFonts w:cs="Arial"/>
              </w:rPr>
            </w:pPr>
            <w:r w:rsidRPr="00E30642">
              <w:rPr>
                <w:rFonts w:cs="Arial"/>
              </w:rPr>
              <w:t>Maxičky</w:t>
            </w:r>
          </w:p>
        </w:tc>
        <w:tc>
          <w:tcPr>
            <w:tcW w:w="1023" w:type="dxa"/>
            <w:tcBorders>
              <w:top w:val="single" w:sz="6" w:space="0" w:color="auto"/>
              <w:left w:val="single" w:sz="6" w:space="0" w:color="auto"/>
              <w:bottom w:val="single" w:sz="6" w:space="0" w:color="auto"/>
              <w:right w:val="single" w:sz="6" w:space="0" w:color="auto"/>
            </w:tcBorders>
          </w:tcPr>
          <w:p w14:paraId="0B30BF0A" w14:textId="77777777" w:rsidR="00CA23D0" w:rsidRPr="00E30642" w:rsidRDefault="00CA23D0" w:rsidP="00CA23D0">
            <w:pPr>
              <w:pStyle w:val="Texttabulky"/>
              <w:jc w:val="both"/>
              <w:rPr>
                <w:rFonts w:cs="Arial"/>
              </w:rPr>
            </w:pPr>
            <w:r w:rsidRPr="00E30642">
              <w:rPr>
                <w:rFonts w:cs="Arial"/>
              </w:rPr>
              <w:t>20,25</w:t>
            </w:r>
          </w:p>
        </w:tc>
        <w:tc>
          <w:tcPr>
            <w:tcW w:w="662" w:type="dxa"/>
            <w:tcBorders>
              <w:top w:val="single" w:sz="6" w:space="0" w:color="auto"/>
              <w:left w:val="single" w:sz="6" w:space="0" w:color="auto"/>
              <w:bottom w:val="single" w:sz="6" w:space="0" w:color="auto"/>
              <w:right w:val="single" w:sz="6" w:space="0" w:color="auto"/>
            </w:tcBorders>
          </w:tcPr>
          <w:p w14:paraId="681D8A45" w14:textId="77777777" w:rsidR="00CA23D0" w:rsidRPr="00E30642" w:rsidRDefault="00CA23D0" w:rsidP="00CA23D0">
            <w:pPr>
              <w:pStyle w:val="Texttabulky"/>
              <w:jc w:val="both"/>
              <w:rPr>
                <w:rFonts w:cs="Arial"/>
              </w:rPr>
            </w:pPr>
            <w:r w:rsidRPr="00E30642">
              <w:rPr>
                <w:rFonts w:cs="Arial"/>
              </w:rPr>
              <w:t>0,25</w:t>
            </w:r>
          </w:p>
        </w:tc>
        <w:tc>
          <w:tcPr>
            <w:tcW w:w="847" w:type="dxa"/>
            <w:tcBorders>
              <w:top w:val="single" w:sz="6" w:space="0" w:color="auto"/>
              <w:left w:val="single" w:sz="6" w:space="0" w:color="auto"/>
              <w:bottom w:val="single" w:sz="6" w:space="0" w:color="auto"/>
              <w:right w:val="single" w:sz="6" w:space="0" w:color="auto"/>
            </w:tcBorders>
          </w:tcPr>
          <w:p w14:paraId="504E5647"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6850BA22"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7C018A1B" w14:textId="77777777" w:rsidR="00CA23D0" w:rsidRPr="00E30642" w:rsidRDefault="00CA23D0" w:rsidP="00CA23D0">
            <w:pPr>
              <w:pStyle w:val="Texttabulky"/>
              <w:jc w:val="both"/>
              <w:rPr>
                <w:rFonts w:cs="Arial"/>
              </w:rPr>
            </w:pPr>
            <w:r w:rsidRPr="00E30642">
              <w:rPr>
                <w:rFonts w:cs="Arial"/>
              </w:rPr>
              <w:t>4,55</w:t>
            </w:r>
          </w:p>
        </w:tc>
        <w:tc>
          <w:tcPr>
            <w:tcW w:w="567" w:type="dxa"/>
            <w:tcBorders>
              <w:top w:val="single" w:sz="6" w:space="0" w:color="auto"/>
              <w:left w:val="single" w:sz="6" w:space="0" w:color="auto"/>
              <w:bottom w:val="single" w:sz="6" w:space="0" w:color="auto"/>
              <w:right w:val="single" w:sz="6" w:space="0" w:color="auto"/>
            </w:tcBorders>
          </w:tcPr>
          <w:p w14:paraId="621C3341" w14:textId="77777777" w:rsidR="00CA23D0" w:rsidRPr="00E30642" w:rsidRDefault="00CA23D0" w:rsidP="00CA23D0">
            <w:pPr>
              <w:pStyle w:val="Texttabulky"/>
              <w:jc w:val="both"/>
              <w:rPr>
                <w:rFonts w:cs="Arial"/>
              </w:rPr>
            </w:pPr>
            <w:r w:rsidRPr="00E30642">
              <w:rPr>
                <w:rFonts w:cs="Arial"/>
              </w:rPr>
              <w:t>0,97</w:t>
            </w:r>
          </w:p>
        </w:tc>
        <w:tc>
          <w:tcPr>
            <w:tcW w:w="554" w:type="dxa"/>
            <w:tcBorders>
              <w:top w:val="single" w:sz="6" w:space="0" w:color="auto"/>
              <w:left w:val="single" w:sz="6" w:space="0" w:color="auto"/>
              <w:bottom w:val="single" w:sz="6" w:space="0" w:color="auto"/>
              <w:right w:val="single" w:sz="6" w:space="0" w:color="auto"/>
            </w:tcBorders>
          </w:tcPr>
          <w:p w14:paraId="6EE731C8" w14:textId="77777777" w:rsidR="00CA23D0" w:rsidRPr="00E30642" w:rsidRDefault="00CA23D0" w:rsidP="00CA23D0">
            <w:pPr>
              <w:pStyle w:val="Texttabulky"/>
              <w:jc w:val="both"/>
              <w:rPr>
                <w:rFonts w:cs="Arial"/>
              </w:rPr>
            </w:pPr>
            <w:r w:rsidRPr="00E30642">
              <w:rPr>
                <w:rFonts w:cs="Arial"/>
              </w:rPr>
              <w:t>12,91</w:t>
            </w:r>
          </w:p>
        </w:tc>
        <w:tc>
          <w:tcPr>
            <w:tcW w:w="863" w:type="dxa"/>
            <w:tcBorders>
              <w:top w:val="single" w:sz="6" w:space="0" w:color="auto"/>
              <w:left w:val="single" w:sz="6" w:space="0" w:color="auto"/>
              <w:bottom w:val="single" w:sz="6" w:space="0" w:color="auto"/>
              <w:right w:val="single" w:sz="6" w:space="0" w:color="auto"/>
            </w:tcBorders>
          </w:tcPr>
          <w:p w14:paraId="366DB873" w14:textId="77777777" w:rsidR="00CA23D0" w:rsidRPr="00E30642" w:rsidRDefault="00CA23D0" w:rsidP="00CA23D0">
            <w:pPr>
              <w:pStyle w:val="Texttabulky"/>
              <w:jc w:val="both"/>
              <w:rPr>
                <w:rFonts w:cs="Arial"/>
              </w:rPr>
            </w:pPr>
            <w:r w:rsidRPr="00E30642">
              <w:rPr>
                <w:rFonts w:cs="Arial"/>
              </w:rPr>
              <w:t>1,57</w:t>
            </w:r>
          </w:p>
        </w:tc>
      </w:tr>
      <w:tr w:rsidR="00CA23D0" w:rsidRPr="00E30642" w14:paraId="3DC51148"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6D00482D" w14:textId="77777777" w:rsidR="00CA23D0" w:rsidRPr="00E30642" w:rsidRDefault="00CA23D0" w:rsidP="00CA23D0">
            <w:pPr>
              <w:pStyle w:val="Texttabulky"/>
              <w:jc w:val="both"/>
              <w:rPr>
                <w:rFonts w:cs="Arial"/>
              </w:rPr>
            </w:pPr>
            <w:r w:rsidRPr="00E30642">
              <w:rPr>
                <w:rFonts w:cs="Arial"/>
              </w:rPr>
              <w:t>Podmokly</w:t>
            </w:r>
          </w:p>
        </w:tc>
        <w:tc>
          <w:tcPr>
            <w:tcW w:w="1023" w:type="dxa"/>
            <w:tcBorders>
              <w:top w:val="single" w:sz="6" w:space="0" w:color="auto"/>
              <w:left w:val="single" w:sz="6" w:space="0" w:color="auto"/>
              <w:bottom w:val="single" w:sz="6" w:space="0" w:color="auto"/>
              <w:right w:val="single" w:sz="6" w:space="0" w:color="auto"/>
            </w:tcBorders>
          </w:tcPr>
          <w:p w14:paraId="3EDDE49A" w14:textId="77777777" w:rsidR="00CA23D0" w:rsidRPr="00E30642" w:rsidRDefault="00CA23D0" w:rsidP="00CA23D0">
            <w:pPr>
              <w:pStyle w:val="Texttabulky"/>
              <w:jc w:val="both"/>
              <w:rPr>
                <w:rFonts w:cs="Arial"/>
              </w:rPr>
            </w:pPr>
            <w:r w:rsidRPr="00E30642">
              <w:rPr>
                <w:rFonts w:cs="Arial"/>
              </w:rPr>
              <w:t>196,64</w:t>
            </w:r>
          </w:p>
        </w:tc>
        <w:tc>
          <w:tcPr>
            <w:tcW w:w="662" w:type="dxa"/>
            <w:tcBorders>
              <w:top w:val="single" w:sz="6" w:space="0" w:color="auto"/>
              <w:left w:val="single" w:sz="6" w:space="0" w:color="auto"/>
              <w:bottom w:val="single" w:sz="6" w:space="0" w:color="auto"/>
              <w:right w:val="single" w:sz="6" w:space="0" w:color="auto"/>
            </w:tcBorders>
          </w:tcPr>
          <w:p w14:paraId="6197C455" w14:textId="77777777" w:rsidR="00CA23D0" w:rsidRPr="00E30642" w:rsidRDefault="00CA23D0" w:rsidP="00CA23D0">
            <w:pPr>
              <w:pStyle w:val="Texttabulky"/>
              <w:jc w:val="both"/>
              <w:rPr>
                <w:rFonts w:cs="Arial"/>
              </w:rPr>
            </w:pPr>
            <w:r w:rsidRPr="00E30642">
              <w:rPr>
                <w:rFonts w:cs="Arial"/>
              </w:rPr>
              <w:t>41,29</w:t>
            </w:r>
          </w:p>
        </w:tc>
        <w:tc>
          <w:tcPr>
            <w:tcW w:w="847" w:type="dxa"/>
            <w:tcBorders>
              <w:top w:val="single" w:sz="6" w:space="0" w:color="auto"/>
              <w:left w:val="single" w:sz="6" w:space="0" w:color="auto"/>
              <w:bottom w:val="single" w:sz="6" w:space="0" w:color="auto"/>
              <w:right w:val="single" w:sz="6" w:space="0" w:color="auto"/>
            </w:tcBorders>
          </w:tcPr>
          <w:p w14:paraId="1653C94C"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275E28FA"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6256B36B" w14:textId="77777777" w:rsidR="00CA23D0" w:rsidRPr="00E30642" w:rsidRDefault="00CA23D0" w:rsidP="00CA23D0">
            <w:pPr>
              <w:pStyle w:val="Texttabulky"/>
              <w:jc w:val="both"/>
              <w:rPr>
                <w:rFonts w:cs="Arial"/>
              </w:rPr>
            </w:pPr>
            <w:r w:rsidRPr="00E30642">
              <w:rPr>
                <w:rFonts w:cs="Arial"/>
              </w:rPr>
              <w:t>102,92</w:t>
            </w:r>
          </w:p>
        </w:tc>
        <w:tc>
          <w:tcPr>
            <w:tcW w:w="567" w:type="dxa"/>
            <w:tcBorders>
              <w:top w:val="single" w:sz="6" w:space="0" w:color="auto"/>
              <w:left w:val="single" w:sz="6" w:space="0" w:color="auto"/>
              <w:bottom w:val="single" w:sz="6" w:space="0" w:color="auto"/>
              <w:right w:val="single" w:sz="6" w:space="0" w:color="auto"/>
            </w:tcBorders>
          </w:tcPr>
          <w:p w14:paraId="332DFD58" w14:textId="77777777" w:rsidR="00CA23D0" w:rsidRPr="00E30642" w:rsidRDefault="00CA23D0" w:rsidP="00CA23D0">
            <w:pPr>
              <w:pStyle w:val="Texttabulky"/>
              <w:jc w:val="both"/>
              <w:rPr>
                <w:rFonts w:cs="Arial"/>
              </w:rPr>
            </w:pPr>
            <w:r w:rsidRPr="00E30642">
              <w:rPr>
                <w:rFonts w:cs="Arial"/>
              </w:rPr>
              <w:t>5,38</w:t>
            </w:r>
          </w:p>
        </w:tc>
        <w:tc>
          <w:tcPr>
            <w:tcW w:w="554" w:type="dxa"/>
            <w:tcBorders>
              <w:top w:val="single" w:sz="6" w:space="0" w:color="auto"/>
              <w:left w:val="single" w:sz="6" w:space="0" w:color="auto"/>
              <w:bottom w:val="single" w:sz="6" w:space="0" w:color="auto"/>
              <w:right w:val="single" w:sz="6" w:space="0" w:color="auto"/>
            </w:tcBorders>
          </w:tcPr>
          <w:p w14:paraId="065CDAE9" w14:textId="77777777" w:rsidR="00CA23D0" w:rsidRPr="00E30642" w:rsidRDefault="00CA23D0" w:rsidP="00CA23D0">
            <w:pPr>
              <w:pStyle w:val="Texttabulky"/>
              <w:jc w:val="both"/>
              <w:rPr>
                <w:rFonts w:cs="Arial"/>
              </w:rPr>
            </w:pPr>
            <w:r w:rsidRPr="00E30642">
              <w:rPr>
                <w:rFonts w:cs="Arial"/>
              </w:rPr>
              <w:t>32,07</w:t>
            </w:r>
          </w:p>
        </w:tc>
        <w:tc>
          <w:tcPr>
            <w:tcW w:w="863" w:type="dxa"/>
            <w:tcBorders>
              <w:top w:val="single" w:sz="6" w:space="0" w:color="auto"/>
              <w:left w:val="single" w:sz="6" w:space="0" w:color="auto"/>
              <w:bottom w:val="single" w:sz="6" w:space="0" w:color="auto"/>
              <w:right w:val="single" w:sz="6" w:space="0" w:color="auto"/>
            </w:tcBorders>
          </w:tcPr>
          <w:p w14:paraId="3346CA21" w14:textId="77777777" w:rsidR="00CA23D0" w:rsidRPr="00E30642" w:rsidRDefault="00CA23D0" w:rsidP="00CA23D0">
            <w:pPr>
              <w:pStyle w:val="Texttabulky"/>
              <w:jc w:val="both"/>
              <w:rPr>
                <w:rFonts w:cs="Arial"/>
              </w:rPr>
            </w:pPr>
            <w:r w:rsidRPr="00E30642">
              <w:rPr>
                <w:rFonts w:cs="Arial"/>
              </w:rPr>
              <w:t>14,99</w:t>
            </w:r>
          </w:p>
        </w:tc>
      </w:tr>
      <w:tr w:rsidR="00CA23D0" w:rsidRPr="00E30642" w14:paraId="35C12549"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4C34C0F6" w14:textId="77777777" w:rsidR="00CA23D0" w:rsidRPr="00E30642" w:rsidRDefault="00CA23D0" w:rsidP="00CA23D0">
            <w:pPr>
              <w:pStyle w:val="Texttabulky"/>
              <w:jc w:val="both"/>
              <w:rPr>
                <w:rFonts w:cs="Arial"/>
              </w:rPr>
            </w:pPr>
            <w:r w:rsidRPr="00E30642">
              <w:rPr>
                <w:rFonts w:cs="Arial"/>
              </w:rPr>
              <w:t>Prostřední Žleb</w:t>
            </w:r>
          </w:p>
        </w:tc>
        <w:tc>
          <w:tcPr>
            <w:tcW w:w="1023" w:type="dxa"/>
            <w:tcBorders>
              <w:top w:val="single" w:sz="6" w:space="0" w:color="auto"/>
              <w:left w:val="single" w:sz="6" w:space="0" w:color="auto"/>
              <w:bottom w:val="single" w:sz="6" w:space="0" w:color="auto"/>
              <w:right w:val="single" w:sz="6" w:space="0" w:color="auto"/>
            </w:tcBorders>
          </w:tcPr>
          <w:p w14:paraId="1EDB73FD" w14:textId="77777777" w:rsidR="00CA23D0" w:rsidRPr="00E30642" w:rsidRDefault="00CA23D0" w:rsidP="00CA23D0">
            <w:pPr>
              <w:pStyle w:val="Texttabulky"/>
              <w:jc w:val="both"/>
              <w:rPr>
                <w:rFonts w:cs="Arial"/>
              </w:rPr>
            </w:pPr>
            <w:r w:rsidRPr="00E30642">
              <w:rPr>
                <w:rFonts w:cs="Arial"/>
              </w:rPr>
              <w:t>98,86</w:t>
            </w:r>
          </w:p>
        </w:tc>
        <w:tc>
          <w:tcPr>
            <w:tcW w:w="662" w:type="dxa"/>
            <w:tcBorders>
              <w:top w:val="single" w:sz="6" w:space="0" w:color="auto"/>
              <w:left w:val="single" w:sz="6" w:space="0" w:color="auto"/>
              <w:bottom w:val="single" w:sz="6" w:space="0" w:color="auto"/>
              <w:right w:val="single" w:sz="6" w:space="0" w:color="auto"/>
            </w:tcBorders>
          </w:tcPr>
          <w:p w14:paraId="63FD637C" w14:textId="77777777" w:rsidR="00CA23D0" w:rsidRPr="00E30642" w:rsidRDefault="00CA23D0" w:rsidP="00CA23D0">
            <w:pPr>
              <w:pStyle w:val="Texttabulky"/>
              <w:jc w:val="both"/>
              <w:rPr>
                <w:rFonts w:cs="Arial"/>
              </w:rPr>
            </w:pPr>
            <w:r w:rsidRPr="00E30642">
              <w:rPr>
                <w:rFonts w:cs="Arial"/>
              </w:rPr>
              <w:t>6,74</w:t>
            </w:r>
          </w:p>
        </w:tc>
        <w:tc>
          <w:tcPr>
            <w:tcW w:w="847" w:type="dxa"/>
            <w:tcBorders>
              <w:top w:val="single" w:sz="6" w:space="0" w:color="auto"/>
              <w:left w:val="single" w:sz="6" w:space="0" w:color="auto"/>
              <w:bottom w:val="single" w:sz="6" w:space="0" w:color="auto"/>
              <w:right w:val="single" w:sz="6" w:space="0" w:color="auto"/>
            </w:tcBorders>
          </w:tcPr>
          <w:p w14:paraId="0ADE7D31"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14757EEB"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7A92C719" w14:textId="77777777" w:rsidR="00CA23D0" w:rsidRPr="00E30642" w:rsidRDefault="00CA23D0" w:rsidP="00CA23D0">
            <w:pPr>
              <w:pStyle w:val="Texttabulky"/>
              <w:jc w:val="both"/>
              <w:rPr>
                <w:rFonts w:cs="Arial"/>
              </w:rPr>
            </w:pPr>
            <w:r w:rsidRPr="00E30642">
              <w:rPr>
                <w:rFonts w:cs="Arial"/>
              </w:rPr>
              <w:t>34,85</w:t>
            </w:r>
          </w:p>
        </w:tc>
        <w:tc>
          <w:tcPr>
            <w:tcW w:w="567" w:type="dxa"/>
            <w:tcBorders>
              <w:top w:val="single" w:sz="6" w:space="0" w:color="auto"/>
              <w:left w:val="single" w:sz="6" w:space="0" w:color="auto"/>
              <w:bottom w:val="single" w:sz="6" w:space="0" w:color="auto"/>
              <w:right w:val="single" w:sz="6" w:space="0" w:color="auto"/>
            </w:tcBorders>
          </w:tcPr>
          <w:p w14:paraId="6BED0017" w14:textId="77777777" w:rsidR="00CA23D0" w:rsidRPr="00E30642" w:rsidRDefault="00CA23D0" w:rsidP="00CA23D0">
            <w:pPr>
              <w:pStyle w:val="Texttabulky"/>
              <w:jc w:val="both"/>
              <w:rPr>
                <w:rFonts w:cs="Arial"/>
              </w:rPr>
            </w:pPr>
            <w:r w:rsidRPr="00E30642">
              <w:rPr>
                <w:rFonts w:cs="Arial"/>
              </w:rPr>
              <w:t>1,28</w:t>
            </w:r>
          </w:p>
        </w:tc>
        <w:tc>
          <w:tcPr>
            <w:tcW w:w="554" w:type="dxa"/>
            <w:tcBorders>
              <w:top w:val="single" w:sz="6" w:space="0" w:color="auto"/>
              <w:left w:val="single" w:sz="6" w:space="0" w:color="auto"/>
              <w:bottom w:val="single" w:sz="6" w:space="0" w:color="auto"/>
              <w:right w:val="single" w:sz="6" w:space="0" w:color="auto"/>
            </w:tcBorders>
          </w:tcPr>
          <w:p w14:paraId="7E2975DA" w14:textId="77777777" w:rsidR="00CA23D0" w:rsidRPr="00E30642" w:rsidRDefault="00CA23D0" w:rsidP="00CA23D0">
            <w:pPr>
              <w:pStyle w:val="Texttabulky"/>
              <w:jc w:val="both"/>
              <w:rPr>
                <w:rFonts w:cs="Arial"/>
              </w:rPr>
            </w:pPr>
            <w:r w:rsidRPr="00E30642">
              <w:rPr>
                <w:rFonts w:cs="Arial"/>
              </w:rPr>
              <w:t>45,63</w:t>
            </w:r>
          </w:p>
        </w:tc>
        <w:tc>
          <w:tcPr>
            <w:tcW w:w="863" w:type="dxa"/>
            <w:tcBorders>
              <w:top w:val="single" w:sz="6" w:space="0" w:color="auto"/>
              <w:left w:val="single" w:sz="6" w:space="0" w:color="auto"/>
              <w:bottom w:val="single" w:sz="6" w:space="0" w:color="auto"/>
              <w:right w:val="single" w:sz="6" w:space="0" w:color="auto"/>
            </w:tcBorders>
          </w:tcPr>
          <w:p w14:paraId="179B2402" w14:textId="77777777" w:rsidR="00CA23D0" w:rsidRPr="00E30642" w:rsidRDefault="00CA23D0" w:rsidP="00CA23D0">
            <w:pPr>
              <w:pStyle w:val="Texttabulky"/>
              <w:jc w:val="both"/>
              <w:rPr>
                <w:rFonts w:cs="Arial"/>
              </w:rPr>
            </w:pPr>
            <w:r w:rsidRPr="00E30642">
              <w:rPr>
                <w:rFonts w:cs="Arial"/>
              </w:rPr>
              <w:t>10,36</w:t>
            </w:r>
          </w:p>
        </w:tc>
      </w:tr>
      <w:tr w:rsidR="00CA23D0" w:rsidRPr="00E30642" w14:paraId="439D3591"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4DC04313" w14:textId="77777777" w:rsidR="00CA23D0" w:rsidRPr="00E30642" w:rsidRDefault="00CA23D0" w:rsidP="00CA23D0">
            <w:pPr>
              <w:pStyle w:val="Texttabulky"/>
              <w:jc w:val="both"/>
              <w:rPr>
                <w:rFonts w:cs="Arial"/>
              </w:rPr>
            </w:pPr>
            <w:r w:rsidRPr="00E30642">
              <w:rPr>
                <w:rFonts w:cs="Arial"/>
              </w:rPr>
              <w:t>Děčín - Staré Město</w:t>
            </w:r>
          </w:p>
        </w:tc>
        <w:tc>
          <w:tcPr>
            <w:tcW w:w="1023" w:type="dxa"/>
            <w:tcBorders>
              <w:top w:val="single" w:sz="6" w:space="0" w:color="auto"/>
              <w:left w:val="single" w:sz="6" w:space="0" w:color="auto"/>
              <w:bottom w:val="single" w:sz="6" w:space="0" w:color="auto"/>
              <w:right w:val="single" w:sz="6" w:space="0" w:color="auto"/>
            </w:tcBorders>
          </w:tcPr>
          <w:p w14:paraId="63DA1CC5" w14:textId="77777777" w:rsidR="00CA23D0" w:rsidRPr="00E30642" w:rsidRDefault="00CA23D0" w:rsidP="00CA23D0">
            <w:pPr>
              <w:pStyle w:val="Texttabulky"/>
              <w:jc w:val="both"/>
              <w:rPr>
                <w:rFonts w:cs="Arial"/>
              </w:rPr>
            </w:pPr>
            <w:r w:rsidRPr="00E30642">
              <w:rPr>
                <w:rFonts w:cs="Arial"/>
              </w:rPr>
              <w:t>87,72</w:t>
            </w:r>
          </w:p>
        </w:tc>
        <w:tc>
          <w:tcPr>
            <w:tcW w:w="662" w:type="dxa"/>
            <w:tcBorders>
              <w:top w:val="single" w:sz="6" w:space="0" w:color="auto"/>
              <w:left w:val="single" w:sz="6" w:space="0" w:color="auto"/>
              <w:bottom w:val="single" w:sz="6" w:space="0" w:color="auto"/>
              <w:right w:val="single" w:sz="6" w:space="0" w:color="auto"/>
            </w:tcBorders>
          </w:tcPr>
          <w:p w14:paraId="418EAED9" w14:textId="77777777" w:rsidR="00CA23D0" w:rsidRPr="00E30642" w:rsidRDefault="00CA23D0" w:rsidP="00CA23D0">
            <w:pPr>
              <w:pStyle w:val="Texttabulky"/>
              <w:jc w:val="both"/>
              <w:rPr>
                <w:rFonts w:cs="Arial"/>
              </w:rPr>
            </w:pPr>
            <w:r w:rsidRPr="00E30642">
              <w:rPr>
                <w:rFonts w:cs="Arial"/>
              </w:rPr>
              <w:t>31,75</w:t>
            </w:r>
          </w:p>
        </w:tc>
        <w:tc>
          <w:tcPr>
            <w:tcW w:w="847" w:type="dxa"/>
            <w:tcBorders>
              <w:top w:val="single" w:sz="6" w:space="0" w:color="auto"/>
              <w:left w:val="single" w:sz="6" w:space="0" w:color="auto"/>
              <w:bottom w:val="single" w:sz="6" w:space="0" w:color="auto"/>
              <w:right w:val="single" w:sz="6" w:space="0" w:color="auto"/>
            </w:tcBorders>
          </w:tcPr>
          <w:p w14:paraId="19D68949"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565D6FD0"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5997648A" w14:textId="77777777" w:rsidR="00CA23D0" w:rsidRPr="00E30642" w:rsidRDefault="00CA23D0" w:rsidP="00CA23D0">
            <w:pPr>
              <w:pStyle w:val="Texttabulky"/>
              <w:jc w:val="both"/>
              <w:rPr>
                <w:rFonts w:cs="Arial"/>
              </w:rPr>
            </w:pPr>
            <w:r w:rsidRPr="00E30642">
              <w:rPr>
                <w:rFonts w:cs="Arial"/>
              </w:rPr>
              <w:t>29,91</w:t>
            </w:r>
          </w:p>
        </w:tc>
        <w:tc>
          <w:tcPr>
            <w:tcW w:w="567" w:type="dxa"/>
            <w:tcBorders>
              <w:top w:val="single" w:sz="6" w:space="0" w:color="auto"/>
              <w:left w:val="single" w:sz="6" w:space="0" w:color="auto"/>
              <w:bottom w:val="single" w:sz="6" w:space="0" w:color="auto"/>
              <w:right w:val="single" w:sz="6" w:space="0" w:color="auto"/>
            </w:tcBorders>
          </w:tcPr>
          <w:p w14:paraId="1FF8E424" w14:textId="77777777" w:rsidR="00CA23D0" w:rsidRPr="00E30642" w:rsidRDefault="00CA23D0" w:rsidP="00CA23D0">
            <w:pPr>
              <w:pStyle w:val="Texttabulky"/>
              <w:jc w:val="both"/>
              <w:rPr>
                <w:rFonts w:cs="Arial"/>
              </w:rPr>
            </w:pPr>
            <w:r w:rsidRPr="00E30642">
              <w:rPr>
                <w:rFonts w:cs="Arial"/>
              </w:rPr>
              <w:t>0</w:t>
            </w:r>
          </w:p>
        </w:tc>
        <w:tc>
          <w:tcPr>
            <w:tcW w:w="554" w:type="dxa"/>
            <w:tcBorders>
              <w:top w:val="single" w:sz="6" w:space="0" w:color="auto"/>
              <w:left w:val="single" w:sz="6" w:space="0" w:color="auto"/>
              <w:bottom w:val="single" w:sz="6" w:space="0" w:color="auto"/>
              <w:right w:val="single" w:sz="6" w:space="0" w:color="auto"/>
            </w:tcBorders>
          </w:tcPr>
          <w:p w14:paraId="2A550309" w14:textId="77777777" w:rsidR="00CA23D0" w:rsidRPr="00E30642" w:rsidRDefault="00CA23D0" w:rsidP="00CA23D0">
            <w:pPr>
              <w:pStyle w:val="Texttabulky"/>
              <w:jc w:val="both"/>
              <w:rPr>
                <w:rFonts w:cs="Arial"/>
              </w:rPr>
            </w:pPr>
            <w:r w:rsidRPr="00E30642">
              <w:rPr>
                <w:rFonts w:cs="Arial"/>
              </w:rPr>
              <w:t>21,69</w:t>
            </w:r>
          </w:p>
        </w:tc>
        <w:tc>
          <w:tcPr>
            <w:tcW w:w="863" w:type="dxa"/>
            <w:tcBorders>
              <w:top w:val="single" w:sz="6" w:space="0" w:color="auto"/>
              <w:left w:val="single" w:sz="6" w:space="0" w:color="auto"/>
              <w:bottom w:val="single" w:sz="6" w:space="0" w:color="auto"/>
              <w:right w:val="single" w:sz="6" w:space="0" w:color="auto"/>
            </w:tcBorders>
          </w:tcPr>
          <w:p w14:paraId="1A622E76" w14:textId="77777777" w:rsidR="00CA23D0" w:rsidRPr="00E30642" w:rsidRDefault="00CA23D0" w:rsidP="00CA23D0">
            <w:pPr>
              <w:pStyle w:val="Texttabulky"/>
              <w:jc w:val="both"/>
              <w:rPr>
                <w:rFonts w:cs="Arial"/>
              </w:rPr>
            </w:pPr>
            <w:r w:rsidRPr="00E30642">
              <w:rPr>
                <w:rFonts w:cs="Arial"/>
              </w:rPr>
              <w:t>4,37</w:t>
            </w:r>
          </w:p>
        </w:tc>
      </w:tr>
      <w:tr w:rsidR="00CA23D0" w:rsidRPr="00E30642" w14:paraId="5A13FEB3"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011CC735" w14:textId="77777777" w:rsidR="00CA23D0" w:rsidRPr="00E30642" w:rsidRDefault="00CA23D0" w:rsidP="00CA23D0">
            <w:pPr>
              <w:pStyle w:val="Texttabulky"/>
              <w:jc w:val="both"/>
              <w:rPr>
                <w:rFonts w:cs="Arial"/>
              </w:rPr>
            </w:pPr>
            <w:r w:rsidRPr="00E30642">
              <w:rPr>
                <w:rFonts w:cs="Arial"/>
              </w:rPr>
              <w:t>Vilsnice</w:t>
            </w:r>
          </w:p>
        </w:tc>
        <w:tc>
          <w:tcPr>
            <w:tcW w:w="1023" w:type="dxa"/>
            <w:tcBorders>
              <w:top w:val="single" w:sz="6" w:space="0" w:color="auto"/>
              <w:left w:val="single" w:sz="6" w:space="0" w:color="auto"/>
              <w:bottom w:val="single" w:sz="6" w:space="0" w:color="auto"/>
              <w:right w:val="single" w:sz="6" w:space="0" w:color="auto"/>
            </w:tcBorders>
          </w:tcPr>
          <w:p w14:paraId="4812F353" w14:textId="77777777" w:rsidR="00CA23D0" w:rsidRPr="00E30642" w:rsidRDefault="00CA23D0" w:rsidP="00CA23D0">
            <w:pPr>
              <w:pStyle w:val="Texttabulky"/>
              <w:jc w:val="both"/>
              <w:rPr>
                <w:rFonts w:cs="Arial"/>
              </w:rPr>
            </w:pPr>
            <w:r w:rsidRPr="00E30642">
              <w:rPr>
                <w:rFonts w:cs="Arial"/>
              </w:rPr>
              <w:t>191,48</w:t>
            </w:r>
          </w:p>
        </w:tc>
        <w:tc>
          <w:tcPr>
            <w:tcW w:w="662" w:type="dxa"/>
            <w:tcBorders>
              <w:top w:val="single" w:sz="6" w:space="0" w:color="auto"/>
              <w:left w:val="single" w:sz="6" w:space="0" w:color="auto"/>
              <w:bottom w:val="single" w:sz="6" w:space="0" w:color="auto"/>
              <w:right w:val="single" w:sz="6" w:space="0" w:color="auto"/>
            </w:tcBorders>
          </w:tcPr>
          <w:p w14:paraId="1A0DA467" w14:textId="77777777" w:rsidR="00CA23D0" w:rsidRPr="00E30642" w:rsidRDefault="00CA23D0" w:rsidP="00CA23D0">
            <w:pPr>
              <w:pStyle w:val="Texttabulky"/>
              <w:jc w:val="both"/>
              <w:rPr>
                <w:rFonts w:cs="Arial"/>
              </w:rPr>
            </w:pPr>
            <w:r w:rsidRPr="00E30642">
              <w:rPr>
                <w:rFonts w:cs="Arial"/>
              </w:rPr>
              <w:t>49,64</w:t>
            </w:r>
          </w:p>
        </w:tc>
        <w:tc>
          <w:tcPr>
            <w:tcW w:w="847" w:type="dxa"/>
            <w:tcBorders>
              <w:top w:val="single" w:sz="6" w:space="0" w:color="auto"/>
              <w:left w:val="single" w:sz="6" w:space="0" w:color="auto"/>
              <w:bottom w:val="single" w:sz="6" w:space="0" w:color="auto"/>
              <w:right w:val="single" w:sz="6" w:space="0" w:color="auto"/>
            </w:tcBorders>
          </w:tcPr>
          <w:p w14:paraId="1868BBEB"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04FDD834"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195BEE5A" w14:textId="77777777" w:rsidR="00CA23D0" w:rsidRPr="00E30642" w:rsidRDefault="00CA23D0" w:rsidP="00CA23D0">
            <w:pPr>
              <w:pStyle w:val="Texttabulky"/>
              <w:jc w:val="both"/>
              <w:rPr>
                <w:rFonts w:cs="Arial"/>
              </w:rPr>
            </w:pPr>
            <w:r w:rsidRPr="00E30642">
              <w:rPr>
                <w:rFonts w:cs="Arial"/>
              </w:rPr>
              <w:t>25,47</w:t>
            </w:r>
          </w:p>
        </w:tc>
        <w:tc>
          <w:tcPr>
            <w:tcW w:w="567" w:type="dxa"/>
            <w:tcBorders>
              <w:top w:val="single" w:sz="6" w:space="0" w:color="auto"/>
              <w:left w:val="single" w:sz="6" w:space="0" w:color="auto"/>
              <w:bottom w:val="single" w:sz="6" w:space="0" w:color="auto"/>
              <w:right w:val="single" w:sz="6" w:space="0" w:color="auto"/>
            </w:tcBorders>
          </w:tcPr>
          <w:p w14:paraId="76D3B3A8" w14:textId="77777777" w:rsidR="00CA23D0" w:rsidRPr="00E30642" w:rsidRDefault="00CA23D0" w:rsidP="00CA23D0">
            <w:pPr>
              <w:pStyle w:val="Texttabulky"/>
              <w:jc w:val="both"/>
              <w:rPr>
                <w:rFonts w:cs="Arial"/>
              </w:rPr>
            </w:pPr>
            <w:r w:rsidRPr="00E30642">
              <w:rPr>
                <w:rFonts w:cs="Arial"/>
              </w:rPr>
              <w:t>22,78</w:t>
            </w:r>
          </w:p>
        </w:tc>
        <w:tc>
          <w:tcPr>
            <w:tcW w:w="554" w:type="dxa"/>
            <w:tcBorders>
              <w:top w:val="single" w:sz="6" w:space="0" w:color="auto"/>
              <w:left w:val="single" w:sz="6" w:space="0" w:color="auto"/>
              <w:bottom w:val="single" w:sz="6" w:space="0" w:color="auto"/>
              <w:right w:val="single" w:sz="6" w:space="0" w:color="auto"/>
            </w:tcBorders>
          </w:tcPr>
          <w:p w14:paraId="32A02061" w14:textId="77777777" w:rsidR="00CA23D0" w:rsidRPr="00E30642" w:rsidRDefault="00CA23D0" w:rsidP="00CA23D0">
            <w:pPr>
              <w:pStyle w:val="Texttabulky"/>
              <w:jc w:val="both"/>
              <w:rPr>
                <w:rFonts w:cs="Arial"/>
              </w:rPr>
            </w:pPr>
            <w:r w:rsidRPr="00E30642">
              <w:rPr>
                <w:rFonts w:cs="Arial"/>
              </w:rPr>
              <w:t>19,69</w:t>
            </w:r>
          </w:p>
        </w:tc>
        <w:tc>
          <w:tcPr>
            <w:tcW w:w="863" w:type="dxa"/>
            <w:tcBorders>
              <w:top w:val="single" w:sz="6" w:space="0" w:color="auto"/>
              <w:left w:val="single" w:sz="6" w:space="0" w:color="auto"/>
              <w:bottom w:val="single" w:sz="6" w:space="0" w:color="auto"/>
              <w:right w:val="single" w:sz="6" w:space="0" w:color="auto"/>
            </w:tcBorders>
          </w:tcPr>
          <w:p w14:paraId="4406F5E4" w14:textId="77777777" w:rsidR="00CA23D0" w:rsidRPr="00E30642" w:rsidRDefault="00CA23D0" w:rsidP="00CA23D0">
            <w:pPr>
              <w:pStyle w:val="Texttabulky"/>
              <w:jc w:val="both"/>
              <w:rPr>
                <w:rFonts w:cs="Arial"/>
              </w:rPr>
            </w:pPr>
            <w:r w:rsidRPr="00E30642">
              <w:rPr>
                <w:rFonts w:cs="Arial"/>
              </w:rPr>
              <w:t>73,9</w:t>
            </w:r>
          </w:p>
        </w:tc>
      </w:tr>
      <w:tr w:rsidR="00CA23D0" w:rsidRPr="00E30642" w14:paraId="2D1B9967"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4C1EEED2" w14:textId="77777777" w:rsidR="00CA23D0" w:rsidRPr="00E30642" w:rsidRDefault="00CA23D0" w:rsidP="00CA23D0">
            <w:pPr>
              <w:pStyle w:val="Texttabulky"/>
              <w:jc w:val="both"/>
              <w:rPr>
                <w:rFonts w:cs="Arial"/>
              </w:rPr>
            </w:pPr>
            <w:r w:rsidRPr="00E30642">
              <w:rPr>
                <w:rFonts w:cs="Arial"/>
              </w:rPr>
              <w:t>Dolní Žleb</w:t>
            </w:r>
          </w:p>
        </w:tc>
        <w:tc>
          <w:tcPr>
            <w:tcW w:w="1023" w:type="dxa"/>
            <w:tcBorders>
              <w:top w:val="single" w:sz="6" w:space="0" w:color="auto"/>
              <w:left w:val="single" w:sz="6" w:space="0" w:color="auto"/>
              <w:bottom w:val="single" w:sz="6" w:space="0" w:color="auto"/>
              <w:right w:val="single" w:sz="6" w:space="0" w:color="auto"/>
            </w:tcBorders>
          </w:tcPr>
          <w:p w14:paraId="59BCC74D" w14:textId="77777777" w:rsidR="00CA23D0" w:rsidRPr="00E30642" w:rsidRDefault="00CA23D0" w:rsidP="00CA23D0">
            <w:pPr>
              <w:pStyle w:val="Texttabulky"/>
              <w:jc w:val="both"/>
              <w:rPr>
                <w:rFonts w:cs="Arial"/>
              </w:rPr>
            </w:pPr>
            <w:r w:rsidRPr="00E30642">
              <w:rPr>
                <w:rFonts w:cs="Arial"/>
              </w:rPr>
              <w:t>28,87</w:t>
            </w:r>
          </w:p>
        </w:tc>
        <w:tc>
          <w:tcPr>
            <w:tcW w:w="662" w:type="dxa"/>
            <w:tcBorders>
              <w:top w:val="single" w:sz="6" w:space="0" w:color="auto"/>
              <w:left w:val="single" w:sz="6" w:space="0" w:color="auto"/>
              <w:bottom w:val="single" w:sz="6" w:space="0" w:color="auto"/>
              <w:right w:val="single" w:sz="6" w:space="0" w:color="auto"/>
            </w:tcBorders>
          </w:tcPr>
          <w:p w14:paraId="3A36CD15" w14:textId="77777777" w:rsidR="00CA23D0" w:rsidRPr="00E30642" w:rsidRDefault="00CA23D0" w:rsidP="00CA23D0">
            <w:pPr>
              <w:pStyle w:val="Texttabulky"/>
              <w:jc w:val="both"/>
              <w:rPr>
                <w:rFonts w:cs="Arial"/>
              </w:rPr>
            </w:pPr>
            <w:r w:rsidRPr="00E30642">
              <w:rPr>
                <w:rFonts w:cs="Arial"/>
              </w:rPr>
              <w:t>1,98</w:t>
            </w:r>
          </w:p>
        </w:tc>
        <w:tc>
          <w:tcPr>
            <w:tcW w:w="847" w:type="dxa"/>
            <w:tcBorders>
              <w:top w:val="single" w:sz="6" w:space="0" w:color="auto"/>
              <w:left w:val="single" w:sz="6" w:space="0" w:color="auto"/>
              <w:bottom w:val="single" w:sz="6" w:space="0" w:color="auto"/>
              <w:right w:val="single" w:sz="6" w:space="0" w:color="auto"/>
            </w:tcBorders>
          </w:tcPr>
          <w:p w14:paraId="63667EFC"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6E227A03"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3BAFB795" w14:textId="77777777" w:rsidR="00CA23D0" w:rsidRPr="00E30642" w:rsidRDefault="00CA23D0" w:rsidP="00CA23D0">
            <w:pPr>
              <w:pStyle w:val="Texttabulky"/>
              <w:jc w:val="both"/>
              <w:rPr>
                <w:rFonts w:cs="Arial"/>
              </w:rPr>
            </w:pPr>
            <w:r w:rsidRPr="00E30642">
              <w:rPr>
                <w:rFonts w:cs="Arial"/>
              </w:rPr>
              <w:t>12,04</w:t>
            </w:r>
          </w:p>
        </w:tc>
        <w:tc>
          <w:tcPr>
            <w:tcW w:w="567" w:type="dxa"/>
            <w:tcBorders>
              <w:top w:val="single" w:sz="6" w:space="0" w:color="auto"/>
              <w:left w:val="single" w:sz="6" w:space="0" w:color="auto"/>
              <w:bottom w:val="single" w:sz="6" w:space="0" w:color="auto"/>
              <w:right w:val="single" w:sz="6" w:space="0" w:color="auto"/>
            </w:tcBorders>
          </w:tcPr>
          <w:p w14:paraId="5F229795" w14:textId="77777777" w:rsidR="00CA23D0" w:rsidRPr="00E30642" w:rsidRDefault="00CA23D0" w:rsidP="00CA23D0">
            <w:pPr>
              <w:pStyle w:val="Texttabulky"/>
              <w:jc w:val="both"/>
              <w:rPr>
                <w:rFonts w:cs="Arial"/>
              </w:rPr>
            </w:pPr>
            <w:r w:rsidRPr="00E30642">
              <w:rPr>
                <w:rFonts w:cs="Arial"/>
              </w:rPr>
              <w:t>0,72</w:t>
            </w:r>
          </w:p>
        </w:tc>
        <w:tc>
          <w:tcPr>
            <w:tcW w:w="554" w:type="dxa"/>
            <w:tcBorders>
              <w:top w:val="single" w:sz="6" w:space="0" w:color="auto"/>
              <w:left w:val="single" w:sz="6" w:space="0" w:color="auto"/>
              <w:bottom w:val="single" w:sz="6" w:space="0" w:color="auto"/>
              <w:right w:val="single" w:sz="6" w:space="0" w:color="auto"/>
            </w:tcBorders>
          </w:tcPr>
          <w:p w14:paraId="4D1E21C5" w14:textId="77777777" w:rsidR="00CA23D0" w:rsidRPr="00E30642" w:rsidRDefault="00CA23D0" w:rsidP="00CA23D0">
            <w:pPr>
              <w:pStyle w:val="Texttabulky"/>
              <w:jc w:val="both"/>
              <w:rPr>
                <w:rFonts w:cs="Arial"/>
              </w:rPr>
            </w:pPr>
            <w:r w:rsidRPr="00E30642">
              <w:rPr>
                <w:rFonts w:cs="Arial"/>
              </w:rPr>
              <w:t>10,41</w:t>
            </w:r>
          </w:p>
        </w:tc>
        <w:tc>
          <w:tcPr>
            <w:tcW w:w="863" w:type="dxa"/>
            <w:tcBorders>
              <w:top w:val="single" w:sz="6" w:space="0" w:color="auto"/>
              <w:left w:val="single" w:sz="6" w:space="0" w:color="auto"/>
              <w:bottom w:val="single" w:sz="6" w:space="0" w:color="auto"/>
              <w:right w:val="single" w:sz="6" w:space="0" w:color="auto"/>
            </w:tcBorders>
          </w:tcPr>
          <w:p w14:paraId="180258F6" w14:textId="77777777" w:rsidR="00CA23D0" w:rsidRPr="00E30642" w:rsidRDefault="00CA23D0" w:rsidP="00CA23D0">
            <w:pPr>
              <w:pStyle w:val="Texttabulky"/>
              <w:jc w:val="both"/>
              <w:rPr>
                <w:rFonts w:cs="Arial"/>
              </w:rPr>
            </w:pPr>
            <w:r w:rsidRPr="00E30642">
              <w:rPr>
                <w:rFonts w:cs="Arial"/>
              </w:rPr>
              <w:t>3,72</w:t>
            </w:r>
          </w:p>
        </w:tc>
      </w:tr>
      <w:tr w:rsidR="00CA23D0" w:rsidRPr="00E30642" w14:paraId="6DADB3AD"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16D8DB90" w14:textId="77777777" w:rsidR="00CA23D0" w:rsidRPr="00E30642" w:rsidRDefault="00CA23D0" w:rsidP="00CA23D0">
            <w:pPr>
              <w:pStyle w:val="Texttabulky"/>
              <w:jc w:val="both"/>
              <w:rPr>
                <w:rFonts w:cs="Arial"/>
              </w:rPr>
            </w:pPr>
            <w:r w:rsidRPr="00E30642">
              <w:rPr>
                <w:rFonts w:cs="Arial"/>
              </w:rPr>
              <w:t>Krásný Studenec</w:t>
            </w:r>
          </w:p>
        </w:tc>
        <w:tc>
          <w:tcPr>
            <w:tcW w:w="1023" w:type="dxa"/>
            <w:tcBorders>
              <w:top w:val="single" w:sz="6" w:space="0" w:color="auto"/>
              <w:left w:val="single" w:sz="6" w:space="0" w:color="auto"/>
              <w:bottom w:val="single" w:sz="6" w:space="0" w:color="auto"/>
              <w:right w:val="single" w:sz="6" w:space="0" w:color="auto"/>
            </w:tcBorders>
          </w:tcPr>
          <w:p w14:paraId="186BE04F" w14:textId="77777777" w:rsidR="00CA23D0" w:rsidRPr="00E30642" w:rsidRDefault="00CA23D0" w:rsidP="00CA23D0">
            <w:pPr>
              <w:pStyle w:val="Texttabulky"/>
              <w:jc w:val="both"/>
              <w:rPr>
                <w:rFonts w:cs="Arial"/>
              </w:rPr>
            </w:pPr>
            <w:r w:rsidRPr="00E30642">
              <w:rPr>
                <w:rFonts w:cs="Arial"/>
              </w:rPr>
              <w:t>331,65</w:t>
            </w:r>
          </w:p>
        </w:tc>
        <w:tc>
          <w:tcPr>
            <w:tcW w:w="662" w:type="dxa"/>
            <w:tcBorders>
              <w:top w:val="single" w:sz="6" w:space="0" w:color="auto"/>
              <w:left w:val="single" w:sz="6" w:space="0" w:color="auto"/>
              <w:bottom w:val="single" w:sz="6" w:space="0" w:color="auto"/>
              <w:right w:val="single" w:sz="6" w:space="0" w:color="auto"/>
            </w:tcBorders>
          </w:tcPr>
          <w:p w14:paraId="7D88E4A0" w14:textId="77777777" w:rsidR="00CA23D0" w:rsidRPr="00E30642" w:rsidRDefault="00CA23D0" w:rsidP="00CA23D0">
            <w:pPr>
              <w:pStyle w:val="Texttabulky"/>
              <w:jc w:val="both"/>
              <w:rPr>
                <w:rFonts w:cs="Arial"/>
              </w:rPr>
            </w:pPr>
            <w:r w:rsidRPr="00E30642">
              <w:rPr>
                <w:rFonts w:cs="Arial"/>
              </w:rPr>
              <w:t>173,9</w:t>
            </w:r>
          </w:p>
        </w:tc>
        <w:tc>
          <w:tcPr>
            <w:tcW w:w="847" w:type="dxa"/>
            <w:tcBorders>
              <w:top w:val="single" w:sz="6" w:space="0" w:color="auto"/>
              <w:left w:val="single" w:sz="6" w:space="0" w:color="auto"/>
              <w:bottom w:val="single" w:sz="6" w:space="0" w:color="auto"/>
              <w:right w:val="single" w:sz="6" w:space="0" w:color="auto"/>
            </w:tcBorders>
          </w:tcPr>
          <w:p w14:paraId="07B7DB98"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3370074C"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6BD4C779" w14:textId="77777777" w:rsidR="00CA23D0" w:rsidRPr="00E30642" w:rsidRDefault="00CA23D0" w:rsidP="00CA23D0">
            <w:pPr>
              <w:pStyle w:val="Texttabulky"/>
              <w:jc w:val="both"/>
              <w:rPr>
                <w:rFonts w:cs="Arial"/>
              </w:rPr>
            </w:pPr>
            <w:r w:rsidRPr="00E30642">
              <w:rPr>
                <w:rFonts w:cs="Arial"/>
              </w:rPr>
              <w:t>18,79</w:t>
            </w:r>
          </w:p>
        </w:tc>
        <w:tc>
          <w:tcPr>
            <w:tcW w:w="567" w:type="dxa"/>
            <w:tcBorders>
              <w:top w:val="single" w:sz="6" w:space="0" w:color="auto"/>
              <w:left w:val="single" w:sz="6" w:space="0" w:color="auto"/>
              <w:bottom w:val="single" w:sz="6" w:space="0" w:color="auto"/>
              <w:right w:val="single" w:sz="6" w:space="0" w:color="auto"/>
            </w:tcBorders>
          </w:tcPr>
          <w:p w14:paraId="5CF55721" w14:textId="77777777" w:rsidR="00CA23D0" w:rsidRPr="00E30642" w:rsidRDefault="00CA23D0" w:rsidP="00CA23D0">
            <w:pPr>
              <w:pStyle w:val="Texttabulky"/>
              <w:jc w:val="both"/>
              <w:rPr>
                <w:rFonts w:cs="Arial"/>
              </w:rPr>
            </w:pPr>
            <w:r w:rsidRPr="00E30642">
              <w:rPr>
                <w:rFonts w:cs="Arial"/>
              </w:rPr>
              <w:t>0</w:t>
            </w:r>
          </w:p>
        </w:tc>
        <w:tc>
          <w:tcPr>
            <w:tcW w:w="554" w:type="dxa"/>
            <w:tcBorders>
              <w:top w:val="single" w:sz="6" w:space="0" w:color="auto"/>
              <w:left w:val="single" w:sz="6" w:space="0" w:color="auto"/>
              <w:bottom w:val="single" w:sz="6" w:space="0" w:color="auto"/>
              <w:right w:val="single" w:sz="6" w:space="0" w:color="auto"/>
            </w:tcBorders>
          </w:tcPr>
          <w:p w14:paraId="4B1C75AA" w14:textId="77777777" w:rsidR="00CA23D0" w:rsidRPr="00E30642" w:rsidRDefault="00CA23D0" w:rsidP="00CA23D0">
            <w:pPr>
              <w:pStyle w:val="Texttabulky"/>
              <w:jc w:val="both"/>
              <w:rPr>
                <w:rFonts w:cs="Arial"/>
              </w:rPr>
            </w:pPr>
            <w:r w:rsidRPr="00E30642">
              <w:rPr>
                <w:rFonts w:cs="Arial"/>
              </w:rPr>
              <w:t>61,63</w:t>
            </w:r>
          </w:p>
        </w:tc>
        <w:tc>
          <w:tcPr>
            <w:tcW w:w="863" w:type="dxa"/>
            <w:tcBorders>
              <w:top w:val="single" w:sz="6" w:space="0" w:color="auto"/>
              <w:left w:val="single" w:sz="6" w:space="0" w:color="auto"/>
              <w:bottom w:val="single" w:sz="6" w:space="0" w:color="auto"/>
              <w:right w:val="single" w:sz="6" w:space="0" w:color="auto"/>
            </w:tcBorders>
          </w:tcPr>
          <w:p w14:paraId="1DDACB15" w14:textId="77777777" w:rsidR="00CA23D0" w:rsidRPr="00E30642" w:rsidRDefault="00CA23D0" w:rsidP="00CA23D0">
            <w:pPr>
              <w:pStyle w:val="Texttabulky"/>
              <w:jc w:val="both"/>
              <w:rPr>
                <w:rFonts w:cs="Arial"/>
              </w:rPr>
            </w:pPr>
            <w:r w:rsidRPr="00E30642">
              <w:rPr>
                <w:rFonts w:cs="Arial"/>
              </w:rPr>
              <w:t>77,33</w:t>
            </w:r>
          </w:p>
        </w:tc>
      </w:tr>
      <w:tr w:rsidR="00CA23D0" w:rsidRPr="00E30642" w14:paraId="16D12732"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3BD2E5E4" w14:textId="77777777" w:rsidR="00CA23D0" w:rsidRPr="00E30642" w:rsidRDefault="00CA23D0" w:rsidP="00CA23D0">
            <w:pPr>
              <w:pStyle w:val="Texttabulky"/>
              <w:jc w:val="both"/>
              <w:rPr>
                <w:rFonts w:cs="Arial"/>
              </w:rPr>
            </w:pPr>
            <w:r w:rsidRPr="00E30642">
              <w:rPr>
                <w:rFonts w:cs="Arial"/>
              </w:rPr>
              <w:t>Březiny u Děčína</w:t>
            </w:r>
          </w:p>
        </w:tc>
        <w:tc>
          <w:tcPr>
            <w:tcW w:w="1023" w:type="dxa"/>
            <w:tcBorders>
              <w:top w:val="single" w:sz="6" w:space="0" w:color="auto"/>
              <w:left w:val="single" w:sz="6" w:space="0" w:color="auto"/>
              <w:bottom w:val="single" w:sz="6" w:space="0" w:color="auto"/>
              <w:right w:val="single" w:sz="6" w:space="0" w:color="auto"/>
            </w:tcBorders>
          </w:tcPr>
          <w:p w14:paraId="24CA20FD" w14:textId="77777777" w:rsidR="00CA23D0" w:rsidRPr="00E30642" w:rsidRDefault="00CA23D0" w:rsidP="00CA23D0">
            <w:pPr>
              <w:pStyle w:val="Texttabulky"/>
              <w:jc w:val="both"/>
              <w:rPr>
                <w:rFonts w:cs="Arial"/>
              </w:rPr>
            </w:pPr>
            <w:r w:rsidRPr="00E30642">
              <w:rPr>
                <w:rFonts w:cs="Arial"/>
              </w:rPr>
              <w:t>197,57</w:t>
            </w:r>
          </w:p>
        </w:tc>
        <w:tc>
          <w:tcPr>
            <w:tcW w:w="662" w:type="dxa"/>
            <w:tcBorders>
              <w:top w:val="single" w:sz="6" w:space="0" w:color="auto"/>
              <w:left w:val="single" w:sz="6" w:space="0" w:color="auto"/>
              <w:bottom w:val="single" w:sz="6" w:space="0" w:color="auto"/>
              <w:right w:val="single" w:sz="6" w:space="0" w:color="auto"/>
            </w:tcBorders>
          </w:tcPr>
          <w:p w14:paraId="7960567C" w14:textId="77777777" w:rsidR="00CA23D0" w:rsidRPr="00E30642" w:rsidRDefault="00CA23D0" w:rsidP="00CA23D0">
            <w:pPr>
              <w:pStyle w:val="Texttabulky"/>
              <w:jc w:val="both"/>
              <w:rPr>
                <w:rFonts w:cs="Arial"/>
              </w:rPr>
            </w:pPr>
            <w:r w:rsidRPr="00E30642">
              <w:rPr>
                <w:rFonts w:cs="Arial"/>
              </w:rPr>
              <w:t>53,7</w:t>
            </w:r>
          </w:p>
        </w:tc>
        <w:tc>
          <w:tcPr>
            <w:tcW w:w="847" w:type="dxa"/>
            <w:tcBorders>
              <w:top w:val="single" w:sz="6" w:space="0" w:color="auto"/>
              <w:left w:val="single" w:sz="6" w:space="0" w:color="auto"/>
              <w:bottom w:val="single" w:sz="6" w:space="0" w:color="auto"/>
              <w:right w:val="single" w:sz="6" w:space="0" w:color="auto"/>
            </w:tcBorders>
          </w:tcPr>
          <w:p w14:paraId="7FE2C54F"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39B8680D"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727C9A67" w14:textId="77777777" w:rsidR="00CA23D0" w:rsidRPr="00E30642" w:rsidRDefault="00CA23D0" w:rsidP="00CA23D0">
            <w:pPr>
              <w:pStyle w:val="Texttabulky"/>
              <w:jc w:val="both"/>
              <w:rPr>
                <w:rFonts w:cs="Arial"/>
              </w:rPr>
            </w:pPr>
            <w:r w:rsidRPr="00E30642">
              <w:rPr>
                <w:rFonts w:cs="Arial"/>
              </w:rPr>
              <w:t>16,41</w:t>
            </w:r>
          </w:p>
        </w:tc>
        <w:tc>
          <w:tcPr>
            <w:tcW w:w="567" w:type="dxa"/>
            <w:tcBorders>
              <w:top w:val="single" w:sz="6" w:space="0" w:color="auto"/>
              <w:left w:val="single" w:sz="6" w:space="0" w:color="auto"/>
              <w:bottom w:val="single" w:sz="6" w:space="0" w:color="auto"/>
              <w:right w:val="single" w:sz="6" w:space="0" w:color="auto"/>
            </w:tcBorders>
          </w:tcPr>
          <w:p w14:paraId="313C5FE6" w14:textId="77777777" w:rsidR="00CA23D0" w:rsidRPr="00E30642" w:rsidRDefault="00CA23D0" w:rsidP="00CA23D0">
            <w:pPr>
              <w:pStyle w:val="Texttabulky"/>
              <w:jc w:val="both"/>
              <w:rPr>
                <w:rFonts w:cs="Arial"/>
              </w:rPr>
            </w:pPr>
            <w:r w:rsidRPr="00E30642">
              <w:rPr>
                <w:rFonts w:cs="Arial"/>
              </w:rPr>
              <w:t>35,64</w:t>
            </w:r>
          </w:p>
        </w:tc>
        <w:tc>
          <w:tcPr>
            <w:tcW w:w="554" w:type="dxa"/>
            <w:tcBorders>
              <w:top w:val="single" w:sz="6" w:space="0" w:color="auto"/>
              <w:left w:val="single" w:sz="6" w:space="0" w:color="auto"/>
              <w:bottom w:val="single" w:sz="6" w:space="0" w:color="auto"/>
              <w:right w:val="single" w:sz="6" w:space="0" w:color="auto"/>
            </w:tcBorders>
          </w:tcPr>
          <w:p w14:paraId="7437C568" w14:textId="77777777" w:rsidR="00CA23D0" w:rsidRPr="00E30642" w:rsidRDefault="00CA23D0" w:rsidP="00CA23D0">
            <w:pPr>
              <w:pStyle w:val="Texttabulky"/>
              <w:jc w:val="both"/>
              <w:rPr>
                <w:rFonts w:cs="Arial"/>
              </w:rPr>
            </w:pPr>
            <w:r w:rsidRPr="00E30642">
              <w:rPr>
                <w:rFonts w:cs="Arial"/>
              </w:rPr>
              <w:t>56,68</w:t>
            </w:r>
          </w:p>
        </w:tc>
        <w:tc>
          <w:tcPr>
            <w:tcW w:w="863" w:type="dxa"/>
            <w:tcBorders>
              <w:top w:val="single" w:sz="6" w:space="0" w:color="auto"/>
              <w:left w:val="single" w:sz="6" w:space="0" w:color="auto"/>
              <w:bottom w:val="single" w:sz="6" w:space="0" w:color="auto"/>
              <w:right w:val="single" w:sz="6" w:space="0" w:color="auto"/>
            </w:tcBorders>
          </w:tcPr>
          <w:p w14:paraId="1A9D123B" w14:textId="77777777" w:rsidR="00CA23D0" w:rsidRPr="00E30642" w:rsidRDefault="00CA23D0" w:rsidP="00CA23D0">
            <w:pPr>
              <w:pStyle w:val="Texttabulky"/>
              <w:jc w:val="both"/>
              <w:rPr>
                <w:rFonts w:cs="Arial"/>
              </w:rPr>
            </w:pPr>
            <w:r w:rsidRPr="00E30642">
              <w:rPr>
                <w:rFonts w:cs="Arial"/>
              </w:rPr>
              <w:t>35,14</w:t>
            </w:r>
          </w:p>
        </w:tc>
      </w:tr>
      <w:tr w:rsidR="00CA23D0" w:rsidRPr="00E30642" w14:paraId="50968BD3"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70D960C2" w14:textId="77777777" w:rsidR="00CA23D0" w:rsidRPr="00E30642" w:rsidRDefault="00CA23D0" w:rsidP="00CA23D0">
            <w:pPr>
              <w:pStyle w:val="Texttabulky"/>
              <w:jc w:val="both"/>
              <w:rPr>
                <w:rFonts w:cs="Arial"/>
              </w:rPr>
            </w:pPr>
            <w:r w:rsidRPr="00E30642">
              <w:rPr>
                <w:rFonts w:cs="Arial"/>
              </w:rPr>
              <w:t>Folknáře</w:t>
            </w:r>
          </w:p>
        </w:tc>
        <w:tc>
          <w:tcPr>
            <w:tcW w:w="1023" w:type="dxa"/>
            <w:tcBorders>
              <w:top w:val="single" w:sz="6" w:space="0" w:color="auto"/>
              <w:left w:val="single" w:sz="6" w:space="0" w:color="auto"/>
              <w:bottom w:val="single" w:sz="6" w:space="0" w:color="auto"/>
              <w:right w:val="single" w:sz="6" w:space="0" w:color="auto"/>
            </w:tcBorders>
          </w:tcPr>
          <w:p w14:paraId="5E61EA23" w14:textId="77777777" w:rsidR="00CA23D0" w:rsidRPr="00E30642" w:rsidRDefault="00CA23D0" w:rsidP="00CA23D0">
            <w:pPr>
              <w:pStyle w:val="Texttabulky"/>
              <w:jc w:val="both"/>
              <w:rPr>
                <w:rFonts w:cs="Arial"/>
              </w:rPr>
            </w:pPr>
            <w:r w:rsidRPr="00E30642">
              <w:rPr>
                <w:rFonts w:cs="Arial"/>
              </w:rPr>
              <w:t>131,26</w:t>
            </w:r>
          </w:p>
        </w:tc>
        <w:tc>
          <w:tcPr>
            <w:tcW w:w="662" w:type="dxa"/>
            <w:tcBorders>
              <w:top w:val="single" w:sz="6" w:space="0" w:color="auto"/>
              <w:left w:val="single" w:sz="6" w:space="0" w:color="auto"/>
              <w:bottom w:val="single" w:sz="6" w:space="0" w:color="auto"/>
              <w:right w:val="single" w:sz="6" w:space="0" w:color="auto"/>
            </w:tcBorders>
          </w:tcPr>
          <w:p w14:paraId="6D601DB3" w14:textId="77777777" w:rsidR="00CA23D0" w:rsidRPr="00E30642" w:rsidRDefault="00CA23D0" w:rsidP="00CA23D0">
            <w:pPr>
              <w:pStyle w:val="Texttabulky"/>
              <w:jc w:val="both"/>
              <w:rPr>
                <w:rFonts w:cs="Arial"/>
              </w:rPr>
            </w:pPr>
            <w:r w:rsidRPr="00E30642">
              <w:rPr>
                <w:rFonts w:cs="Arial"/>
              </w:rPr>
              <w:t>89,85</w:t>
            </w:r>
          </w:p>
        </w:tc>
        <w:tc>
          <w:tcPr>
            <w:tcW w:w="847" w:type="dxa"/>
            <w:tcBorders>
              <w:top w:val="single" w:sz="6" w:space="0" w:color="auto"/>
              <w:left w:val="single" w:sz="6" w:space="0" w:color="auto"/>
              <w:bottom w:val="single" w:sz="6" w:space="0" w:color="auto"/>
              <w:right w:val="single" w:sz="6" w:space="0" w:color="auto"/>
            </w:tcBorders>
          </w:tcPr>
          <w:p w14:paraId="1B6045D4"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57639BC6"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235BD8E4" w14:textId="77777777" w:rsidR="00CA23D0" w:rsidRPr="00E30642" w:rsidRDefault="00CA23D0" w:rsidP="00CA23D0">
            <w:pPr>
              <w:pStyle w:val="Texttabulky"/>
              <w:jc w:val="both"/>
              <w:rPr>
                <w:rFonts w:cs="Arial"/>
              </w:rPr>
            </w:pPr>
            <w:r w:rsidRPr="00E30642">
              <w:rPr>
                <w:rFonts w:cs="Arial"/>
              </w:rPr>
              <w:t>17,86</w:t>
            </w:r>
          </w:p>
        </w:tc>
        <w:tc>
          <w:tcPr>
            <w:tcW w:w="567" w:type="dxa"/>
            <w:tcBorders>
              <w:top w:val="single" w:sz="6" w:space="0" w:color="auto"/>
              <w:left w:val="single" w:sz="6" w:space="0" w:color="auto"/>
              <w:bottom w:val="single" w:sz="6" w:space="0" w:color="auto"/>
              <w:right w:val="single" w:sz="6" w:space="0" w:color="auto"/>
            </w:tcBorders>
          </w:tcPr>
          <w:p w14:paraId="159C7421" w14:textId="77777777" w:rsidR="00CA23D0" w:rsidRPr="00E30642" w:rsidRDefault="00CA23D0" w:rsidP="00CA23D0">
            <w:pPr>
              <w:pStyle w:val="Texttabulky"/>
              <w:jc w:val="both"/>
              <w:rPr>
                <w:rFonts w:cs="Arial"/>
              </w:rPr>
            </w:pPr>
            <w:r w:rsidRPr="00E30642">
              <w:rPr>
                <w:rFonts w:cs="Arial"/>
              </w:rPr>
              <w:t>11,05</w:t>
            </w:r>
          </w:p>
        </w:tc>
        <w:tc>
          <w:tcPr>
            <w:tcW w:w="554" w:type="dxa"/>
            <w:tcBorders>
              <w:top w:val="single" w:sz="6" w:space="0" w:color="auto"/>
              <w:left w:val="single" w:sz="6" w:space="0" w:color="auto"/>
              <w:bottom w:val="single" w:sz="6" w:space="0" w:color="auto"/>
              <w:right w:val="single" w:sz="6" w:space="0" w:color="auto"/>
            </w:tcBorders>
          </w:tcPr>
          <w:p w14:paraId="2E1FCC8A" w14:textId="77777777" w:rsidR="00CA23D0" w:rsidRPr="00E30642" w:rsidRDefault="00CA23D0" w:rsidP="00CA23D0">
            <w:pPr>
              <w:pStyle w:val="Texttabulky"/>
              <w:jc w:val="both"/>
              <w:rPr>
                <w:rFonts w:cs="Arial"/>
              </w:rPr>
            </w:pPr>
            <w:r w:rsidRPr="00E30642">
              <w:rPr>
                <w:rFonts w:cs="Arial"/>
              </w:rPr>
              <w:t>8,38</w:t>
            </w:r>
          </w:p>
        </w:tc>
        <w:tc>
          <w:tcPr>
            <w:tcW w:w="863" w:type="dxa"/>
            <w:tcBorders>
              <w:top w:val="single" w:sz="6" w:space="0" w:color="auto"/>
              <w:left w:val="single" w:sz="6" w:space="0" w:color="auto"/>
              <w:bottom w:val="single" w:sz="6" w:space="0" w:color="auto"/>
              <w:right w:val="single" w:sz="6" w:space="0" w:color="auto"/>
            </w:tcBorders>
          </w:tcPr>
          <w:p w14:paraId="14F6869A" w14:textId="77777777" w:rsidR="00CA23D0" w:rsidRPr="00E30642" w:rsidRDefault="00CA23D0" w:rsidP="00CA23D0">
            <w:pPr>
              <w:pStyle w:val="Texttabulky"/>
              <w:jc w:val="both"/>
              <w:rPr>
                <w:rFonts w:cs="Arial"/>
              </w:rPr>
            </w:pPr>
            <w:r w:rsidRPr="00E30642">
              <w:rPr>
                <w:rFonts w:cs="Arial"/>
              </w:rPr>
              <w:t>4,12</w:t>
            </w:r>
          </w:p>
        </w:tc>
      </w:tr>
      <w:tr w:rsidR="00CA23D0" w:rsidRPr="00E30642" w14:paraId="70E7ED0B"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3A7EFB3D" w14:textId="77777777" w:rsidR="00CA23D0" w:rsidRPr="00E30642" w:rsidRDefault="00CA23D0" w:rsidP="00CA23D0">
            <w:pPr>
              <w:pStyle w:val="Texttabulky"/>
              <w:jc w:val="both"/>
              <w:rPr>
                <w:rFonts w:cs="Arial"/>
              </w:rPr>
            </w:pPr>
            <w:r w:rsidRPr="00E30642">
              <w:rPr>
                <w:rFonts w:cs="Arial"/>
              </w:rPr>
              <w:t>Chlum u Děčína</w:t>
            </w:r>
          </w:p>
        </w:tc>
        <w:tc>
          <w:tcPr>
            <w:tcW w:w="1023" w:type="dxa"/>
            <w:tcBorders>
              <w:top w:val="single" w:sz="6" w:space="0" w:color="auto"/>
              <w:left w:val="single" w:sz="6" w:space="0" w:color="auto"/>
              <w:bottom w:val="single" w:sz="6" w:space="0" w:color="auto"/>
              <w:right w:val="single" w:sz="6" w:space="0" w:color="auto"/>
            </w:tcBorders>
          </w:tcPr>
          <w:p w14:paraId="347927FB" w14:textId="77777777" w:rsidR="00CA23D0" w:rsidRPr="00E30642" w:rsidRDefault="00CA23D0" w:rsidP="00CA23D0">
            <w:pPr>
              <w:pStyle w:val="Texttabulky"/>
              <w:jc w:val="both"/>
              <w:rPr>
                <w:rFonts w:cs="Arial"/>
              </w:rPr>
            </w:pPr>
            <w:r w:rsidRPr="00E30642">
              <w:rPr>
                <w:rFonts w:cs="Arial"/>
              </w:rPr>
              <w:t>197,52</w:t>
            </w:r>
          </w:p>
        </w:tc>
        <w:tc>
          <w:tcPr>
            <w:tcW w:w="662" w:type="dxa"/>
            <w:tcBorders>
              <w:top w:val="single" w:sz="6" w:space="0" w:color="auto"/>
              <w:left w:val="single" w:sz="6" w:space="0" w:color="auto"/>
              <w:bottom w:val="single" w:sz="6" w:space="0" w:color="auto"/>
              <w:right w:val="single" w:sz="6" w:space="0" w:color="auto"/>
            </w:tcBorders>
          </w:tcPr>
          <w:p w14:paraId="26FF9357" w14:textId="77777777" w:rsidR="00CA23D0" w:rsidRPr="00E30642" w:rsidRDefault="00CA23D0" w:rsidP="00CA23D0">
            <w:pPr>
              <w:pStyle w:val="Texttabulky"/>
              <w:jc w:val="both"/>
              <w:rPr>
                <w:rFonts w:cs="Arial"/>
              </w:rPr>
            </w:pPr>
            <w:r w:rsidRPr="00E30642">
              <w:rPr>
                <w:rFonts w:cs="Arial"/>
              </w:rPr>
              <w:t>36,45</w:t>
            </w:r>
          </w:p>
        </w:tc>
        <w:tc>
          <w:tcPr>
            <w:tcW w:w="847" w:type="dxa"/>
            <w:tcBorders>
              <w:top w:val="single" w:sz="6" w:space="0" w:color="auto"/>
              <w:left w:val="single" w:sz="6" w:space="0" w:color="auto"/>
              <w:bottom w:val="single" w:sz="6" w:space="0" w:color="auto"/>
              <w:right w:val="single" w:sz="6" w:space="0" w:color="auto"/>
            </w:tcBorders>
          </w:tcPr>
          <w:p w14:paraId="35C42B33"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41BA1F04"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1C44ADFA" w14:textId="77777777" w:rsidR="00CA23D0" w:rsidRPr="00E30642" w:rsidRDefault="00CA23D0" w:rsidP="00CA23D0">
            <w:pPr>
              <w:pStyle w:val="Texttabulky"/>
              <w:jc w:val="both"/>
              <w:rPr>
                <w:rFonts w:cs="Arial"/>
              </w:rPr>
            </w:pPr>
            <w:r w:rsidRPr="00E30642">
              <w:rPr>
                <w:rFonts w:cs="Arial"/>
              </w:rPr>
              <w:t>6,24</w:t>
            </w:r>
          </w:p>
        </w:tc>
        <w:tc>
          <w:tcPr>
            <w:tcW w:w="567" w:type="dxa"/>
            <w:tcBorders>
              <w:top w:val="single" w:sz="6" w:space="0" w:color="auto"/>
              <w:left w:val="single" w:sz="6" w:space="0" w:color="auto"/>
              <w:bottom w:val="single" w:sz="6" w:space="0" w:color="auto"/>
              <w:right w:val="single" w:sz="6" w:space="0" w:color="auto"/>
            </w:tcBorders>
          </w:tcPr>
          <w:p w14:paraId="11D31B47" w14:textId="77777777" w:rsidR="00CA23D0" w:rsidRPr="00E30642" w:rsidRDefault="00CA23D0" w:rsidP="00CA23D0">
            <w:pPr>
              <w:pStyle w:val="Texttabulky"/>
              <w:jc w:val="both"/>
              <w:rPr>
                <w:rFonts w:cs="Arial"/>
              </w:rPr>
            </w:pPr>
            <w:r w:rsidRPr="00E30642">
              <w:rPr>
                <w:rFonts w:cs="Arial"/>
              </w:rPr>
              <w:t>0</w:t>
            </w:r>
          </w:p>
        </w:tc>
        <w:tc>
          <w:tcPr>
            <w:tcW w:w="554" w:type="dxa"/>
            <w:tcBorders>
              <w:top w:val="single" w:sz="6" w:space="0" w:color="auto"/>
              <w:left w:val="single" w:sz="6" w:space="0" w:color="auto"/>
              <w:bottom w:val="single" w:sz="6" w:space="0" w:color="auto"/>
              <w:right w:val="single" w:sz="6" w:space="0" w:color="auto"/>
            </w:tcBorders>
          </w:tcPr>
          <w:p w14:paraId="6ACA22E5" w14:textId="77777777" w:rsidR="00CA23D0" w:rsidRPr="00E30642" w:rsidRDefault="00CA23D0" w:rsidP="00CA23D0">
            <w:pPr>
              <w:pStyle w:val="Texttabulky"/>
              <w:jc w:val="both"/>
              <w:rPr>
                <w:rFonts w:cs="Arial"/>
              </w:rPr>
            </w:pPr>
            <w:r w:rsidRPr="00E30642">
              <w:rPr>
                <w:rFonts w:cs="Arial"/>
              </w:rPr>
              <w:t>64,68</w:t>
            </w:r>
          </w:p>
        </w:tc>
        <w:tc>
          <w:tcPr>
            <w:tcW w:w="863" w:type="dxa"/>
            <w:tcBorders>
              <w:top w:val="single" w:sz="6" w:space="0" w:color="auto"/>
              <w:left w:val="single" w:sz="6" w:space="0" w:color="auto"/>
              <w:bottom w:val="single" w:sz="6" w:space="0" w:color="auto"/>
              <w:right w:val="single" w:sz="6" w:space="0" w:color="auto"/>
            </w:tcBorders>
          </w:tcPr>
          <w:p w14:paraId="67A99C8E" w14:textId="77777777" w:rsidR="00CA23D0" w:rsidRPr="00E30642" w:rsidRDefault="00CA23D0" w:rsidP="00CA23D0">
            <w:pPr>
              <w:pStyle w:val="Texttabulky"/>
              <w:jc w:val="both"/>
              <w:rPr>
                <w:rFonts w:cs="Arial"/>
              </w:rPr>
            </w:pPr>
            <w:r w:rsidRPr="00E30642">
              <w:rPr>
                <w:rFonts w:cs="Arial"/>
              </w:rPr>
              <w:t>90,16</w:t>
            </w:r>
          </w:p>
        </w:tc>
      </w:tr>
      <w:tr w:rsidR="00CA23D0" w:rsidRPr="00E30642" w14:paraId="01ED5737"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0C7DA9B3" w14:textId="77777777" w:rsidR="00CA23D0" w:rsidRPr="00E30642" w:rsidRDefault="00CA23D0" w:rsidP="00CA23D0">
            <w:pPr>
              <w:pStyle w:val="Texttabulky"/>
              <w:jc w:val="both"/>
              <w:rPr>
                <w:rFonts w:cs="Arial"/>
              </w:rPr>
            </w:pPr>
            <w:r w:rsidRPr="00E30642">
              <w:rPr>
                <w:rFonts w:cs="Arial"/>
              </w:rPr>
              <w:t>Boletice nad Labem</w:t>
            </w:r>
          </w:p>
        </w:tc>
        <w:tc>
          <w:tcPr>
            <w:tcW w:w="1023" w:type="dxa"/>
            <w:tcBorders>
              <w:top w:val="single" w:sz="6" w:space="0" w:color="auto"/>
              <w:left w:val="single" w:sz="6" w:space="0" w:color="auto"/>
              <w:bottom w:val="single" w:sz="6" w:space="0" w:color="auto"/>
              <w:right w:val="single" w:sz="6" w:space="0" w:color="auto"/>
            </w:tcBorders>
          </w:tcPr>
          <w:p w14:paraId="4BE3DE51" w14:textId="77777777" w:rsidR="00CA23D0" w:rsidRPr="00E30642" w:rsidRDefault="00CA23D0" w:rsidP="00CA23D0">
            <w:pPr>
              <w:pStyle w:val="Texttabulky"/>
              <w:jc w:val="both"/>
              <w:rPr>
                <w:rFonts w:cs="Arial"/>
              </w:rPr>
            </w:pPr>
            <w:r w:rsidRPr="00E30642">
              <w:rPr>
                <w:rFonts w:cs="Arial"/>
              </w:rPr>
              <w:t>113,13</w:t>
            </w:r>
          </w:p>
        </w:tc>
        <w:tc>
          <w:tcPr>
            <w:tcW w:w="662" w:type="dxa"/>
            <w:tcBorders>
              <w:top w:val="single" w:sz="6" w:space="0" w:color="auto"/>
              <w:left w:val="single" w:sz="6" w:space="0" w:color="auto"/>
              <w:bottom w:val="single" w:sz="6" w:space="0" w:color="auto"/>
              <w:right w:val="single" w:sz="6" w:space="0" w:color="auto"/>
            </w:tcBorders>
          </w:tcPr>
          <w:p w14:paraId="7FD49C4B" w14:textId="77777777" w:rsidR="00CA23D0" w:rsidRPr="00E30642" w:rsidRDefault="00CA23D0" w:rsidP="00CA23D0">
            <w:pPr>
              <w:pStyle w:val="Texttabulky"/>
              <w:jc w:val="both"/>
              <w:rPr>
                <w:rFonts w:cs="Arial"/>
              </w:rPr>
            </w:pPr>
            <w:r w:rsidRPr="00E30642">
              <w:rPr>
                <w:rFonts w:cs="Arial"/>
              </w:rPr>
              <w:t>46,98</w:t>
            </w:r>
          </w:p>
        </w:tc>
        <w:tc>
          <w:tcPr>
            <w:tcW w:w="847" w:type="dxa"/>
            <w:tcBorders>
              <w:top w:val="single" w:sz="6" w:space="0" w:color="auto"/>
              <w:left w:val="single" w:sz="6" w:space="0" w:color="auto"/>
              <w:bottom w:val="single" w:sz="6" w:space="0" w:color="auto"/>
              <w:right w:val="single" w:sz="6" w:space="0" w:color="auto"/>
            </w:tcBorders>
          </w:tcPr>
          <w:p w14:paraId="1A7CE568"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44797982"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033748F2" w14:textId="77777777" w:rsidR="00CA23D0" w:rsidRPr="00E30642" w:rsidRDefault="00CA23D0" w:rsidP="00CA23D0">
            <w:pPr>
              <w:pStyle w:val="Texttabulky"/>
              <w:jc w:val="both"/>
              <w:rPr>
                <w:rFonts w:cs="Arial"/>
              </w:rPr>
            </w:pPr>
            <w:r w:rsidRPr="00E30642">
              <w:rPr>
                <w:rFonts w:cs="Arial"/>
              </w:rPr>
              <w:t>23,08</w:t>
            </w:r>
          </w:p>
        </w:tc>
        <w:tc>
          <w:tcPr>
            <w:tcW w:w="567" w:type="dxa"/>
            <w:tcBorders>
              <w:top w:val="single" w:sz="6" w:space="0" w:color="auto"/>
              <w:left w:val="single" w:sz="6" w:space="0" w:color="auto"/>
              <w:bottom w:val="single" w:sz="6" w:space="0" w:color="auto"/>
              <w:right w:val="single" w:sz="6" w:space="0" w:color="auto"/>
            </w:tcBorders>
          </w:tcPr>
          <w:p w14:paraId="7AF621C9" w14:textId="77777777" w:rsidR="00CA23D0" w:rsidRPr="00E30642" w:rsidRDefault="00CA23D0" w:rsidP="00CA23D0">
            <w:pPr>
              <w:pStyle w:val="Texttabulky"/>
              <w:jc w:val="both"/>
              <w:rPr>
                <w:rFonts w:cs="Arial"/>
              </w:rPr>
            </w:pPr>
            <w:r w:rsidRPr="00E30642">
              <w:rPr>
                <w:rFonts w:cs="Arial"/>
              </w:rPr>
              <w:t>15,07</w:t>
            </w:r>
          </w:p>
        </w:tc>
        <w:tc>
          <w:tcPr>
            <w:tcW w:w="554" w:type="dxa"/>
            <w:tcBorders>
              <w:top w:val="single" w:sz="6" w:space="0" w:color="auto"/>
              <w:left w:val="single" w:sz="6" w:space="0" w:color="auto"/>
              <w:bottom w:val="single" w:sz="6" w:space="0" w:color="auto"/>
              <w:right w:val="single" w:sz="6" w:space="0" w:color="auto"/>
            </w:tcBorders>
          </w:tcPr>
          <w:p w14:paraId="4F7B0CDD" w14:textId="77777777" w:rsidR="00CA23D0" w:rsidRPr="00E30642" w:rsidRDefault="00CA23D0" w:rsidP="00CA23D0">
            <w:pPr>
              <w:pStyle w:val="Texttabulky"/>
              <w:jc w:val="both"/>
              <w:rPr>
                <w:rFonts w:cs="Arial"/>
              </w:rPr>
            </w:pPr>
            <w:r w:rsidRPr="00E30642">
              <w:rPr>
                <w:rFonts w:cs="Arial"/>
              </w:rPr>
              <w:t>22,26</w:t>
            </w:r>
          </w:p>
        </w:tc>
        <w:tc>
          <w:tcPr>
            <w:tcW w:w="863" w:type="dxa"/>
            <w:tcBorders>
              <w:top w:val="single" w:sz="6" w:space="0" w:color="auto"/>
              <w:left w:val="single" w:sz="6" w:space="0" w:color="auto"/>
              <w:bottom w:val="single" w:sz="6" w:space="0" w:color="auto"/>
              <w:right w:val="single" w:sz="6" w:space="0" w:color="auto"/>
            </w:tcBorders>
          </w:tcPr>
          <w:p w14:paraId="3EA959F8" w14:textId="77777777" w:rsidR="00CA23D0" w:rsidRPr="00E30642" w:rsidRDefault="00CA23D0" w:rsidP="00CA23D0">
            <w:pPr>
              <w:pStyle w:val="Texttabulky"/>
              <w:jc w:val="both"/>
              <w:rPr>
                <w:rFonts w:cs="Arial"/>
              </w:rPr>
            </w:pPr>
            <w:r w:rsidRPr="00E30642">
              <w:rPr>
                <w:rFonts w:cs="Arial"/>
              </w:rPr>
              <w:t>5,75</w:t>
            </w:r>
          </w:p>
        </w:tc>
      </w:tr>
      <w:tr w:rsidR="00CA23D0" w:rsidRPr="00E30642" w14:paraId="7E94E6AE"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09377D79" w14:textId="77777777" w:rsidR="00CA23D0" w:rsidRPr="00E30642" w:rsidRDefault="00CA23D0" w:rsidP="00CA23D0">
            <w:pPr>
              <w:pStyle w:val="Texttabulky"/>
              <w:jc w:val="both"/>
              <w:rPr>
                <w:rFonts w:cs="Arial"/>
              </w:rPr>
            </w:pPr>
            <w:r w:rsidRPr="00E30642">
              <w:rPr>
                <w:rFonts w:cs="Arial"/>
              </w:rPr>
              <w:t>Křešice u Děčína</w:t>
            </w:r>
          </w:p>
        </w:tc>
        <w:tc>
          <w:tcPr>
            <w:tcW w:w="1023" w:type="dxa"/>
            <w:tcBorders>
              <w:top w:val="single" w:sz="6" w:space="0" w:color="auto"/>
              <w:left w:val="single" w:sz="6" w:space="0" w:color="auto"/>
              <w:bottom w:val="single" w:sz="6" w:space="0" w:color="auto"/>
              <w:right w:val="single" w:sz="6" w:space="0" w:color="auto"/>
            </w:tcBorders>
          </w:tcPr>
          <w:p w14:paraId="30D5500B" w14:textId="77777777" w:rsidR="00CA23D0" w:rsidRPr="00E30642" w:rsidRDefault="00CA23D0" w:rsidP="00CA23D0">
            <w:pPr>
              <w:pStyle w:val="Texttabulky"/>
              <w:jc w:val="both"/>
              <w:rPr>
                <w:rFonts w:cs="Arial"/>
              </w:rPr>
            </w:pPr>
            <w:r w:rsidRPr="00E30642">
              <w:rPr>
                <w:rFonts w:cs="Arial"/>
              </w:rPr>
              <w:t>196,55</w:t>
            </w:r>
          </w:p>
        </w:tc>
        <w:tc>
          <w:tcPr>
            <w:tcW w:w="662" w:type="dxa"/>
            <w:tcBorders>
              <w:top w:val="single" w:sz="6" w:space="0" w:color="auto"/>
              <w:left w:val="single" w:sz="6" w:space="0" w:color="auto"/>
              <w:bottom w:val="single" w:sz="6" w:space="0" w:color="auto"/>
              <w:right w:val="single" w:sz="6" w:space="0" w:color="auto"/>
            </w:tcBorders>
          </w:tcPr>
          <w:p w14:paraId="026C929A" w14:textId="77777777" w:rsidR="00CA23D0" w:rsidRPr="00E30642" w:rsidRDefault="00CA23D0" w:rsidP="00CA23D0">
            <w:pPr>
              <w:pStyle w:val="Texttabulky"/>
              <w:jc w:val="both"/>
              <w:rPr>
                <w:rFonts w:cs="Arial"/>
              </w:rPr>
            </w:pPr>
            <w:r w:rsidRPr="00E30642">
              <w:rPr>
                <w:rFonts w:cs="Arial"/>
              </w:rPr>
              <w:t>103,19</w:t>
            </w:r>
          </w:p>
        </w:tc>
        <w:tc>
          <w:tcPr>
            <w:tcW w:w="847" w:type="dxa"/>
            <w:tcBorders>
              <w:top w:val="single" w:sz="6" w:space="0" w:color="auto"/>
              <w:left w:val="single" w:sz="6" w:space="0" w:color="auto"/>
              <w:bottom w:val="single" w:sz="6" w:space="0" w:color="auto"/>
              <w:right w:val="single" w:sz="6" w:space="0" w:color="auto"/>
            </w:tcBorders>
          </w:tcPr>
          <w:p w14:paraId="1A40D5A8"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4451569A"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7F742C7E" w14:textId="77777777" w:rsidR="00CA23D0" w:rsidRPr="00E30642" w:rsidRDefault="00CA23D0" w:rsidP="00CA23D0">
            <w:pPr>
              <w:pStyle w:val="Texttabulky"/>
              <w:jc w:val="both"/>
              <w:rPr>
                <w:rFonts w:cs="Arial"/>
              </w:rPr>
            </w:pPr>
            <w:r w:rsidRPr="00E30642">
              <w:rPr>
                <w:rFonts w:cs="Arial"/>
              </w:rPr>
              <w:t>21,49</w:t>
            </w:r>
          </w:p>
        </w:tc>
        <w:tc>
          <w:tcPr>
            <w:tcW w:w="567" w:type="dxa"/>
            <w:tcBorders>
              <w:top w:val="single" w:sz="6" w:space="0" w:color="auto"/>
              <w:left w:val="single" w:sz="6" w:space="0" w:color="auto"/>
              <w:bottom w:val="single" w:sz="6" w:space="0" w:color="auto"/>
              <w:right w:val="single" w:sz="6" w:space="0" w:color="auto"/>
            </w:tcBorders>
          </w:tcPr>
          <w:p w14:paraId="26DBDE81" w14:textId="77777777" w:rsidR="00CA23D0" w:rsidRPr="00E30642" w:rsidRDefault="00CA23D0" w:rsidP="00CA23D0">
            <w:pPr>
              <w:pStyle w:val="Texttabulky"/>
              <w:jc w:val="both"/>
              <w:rPr>
                <w:rFonts w:cs="Arial"/>
              </w:rPr>
            </w:pPr>
            <w:r w:rsidRPr="00E30642">
              <w:rPr>
                <w:rFonts w:cs="Arial"/>
              </w:rPr>
              <w:t>27,83</w:t>
            </w:r>
          </w:p>
        </w:tc>
        <w:tc>
          <w:tcPr>
            <w:tcW w:w="554" w:type="dxa"/>
            <w:tcBorders>
              <w:top w:val="single" w:sz="6" w:space="0" w:color="auto"/>
              <w:left w:val="single" w:sz="6" w:space="0" w:color="auto"/>
              <w:bottom w:val="single" w:sz="6" w:space="0" w:color="auto"/>
              <w:right w:val="single" w:sz="6" w:space="0" w:color="auto"/>
            </w:tcBorders>
          </w:tcPr>
          <w:p w14:paraId="5BF3B0BC" w14:textId="77777777" w:rsidR="00CA23D0" w:rsidRPr="00E30642" w:rsidRDefault="00CA23D0" w:rsidP="00CA23D0">
            <w:pPr>
              <w:pStyle w:val="Texttabulky"/>
              <w:jc w:val="both"/>
              <w:rPr>
                <w:rFonts w:cs="Arial"/>
              </w:rPr>
            </w:pPr>
            <w:r w:rsidRPr="00E30642">
              <w:rPr>
                <w:rFonts w:cs="Arial"/>
              </w:rPr>
              <w:t>29,28</w:t>
            </w:r>
          </w:p>
        </w:tc>
        <w:tc>
          <w:tcPr>
            <w:tcW w:w="863" w:type="dxa"/>
            <w:tcBorders>
              <w:top w:val="single" w:sz="6" w:space="0" w:color="auto"/>
              <w:left w:val="single" w:sz="6" w:space="0" w:color="auto"/>
              <w:bottom w:val="single" w:sz="6" w:space="0" w:color="auto"/>
              <w:right w:val="single" w:sz="6" w:space="0" w:color="auto"/>
            </w:tcBorders>
          </w:tcPr>
          <w:p w14:paraId="2ED00D24" w14:textId="77777777" w:rsidR="00CA23D0" w:rsidRPr="00E30642" w:rsidRDefault="00CA23D0" w:rsidP="00CA23D0">
            <w:pPr>
              <w:pStyle w:val="Texttabulky"/>
              <w:jc w:val="both"/>
              <w:rPr>
                <w:rFonts w:cs="Arial"/>
              </w:rPr>
            </w:pPr>
            <w:r w:rsidRPr="00E30642">
              <w:rPr>
                <w:rFonts w:cs="Arial"/>
              </w:rPr>
              <w:t>14,75</w:t>
            </w:r>
          </w:p>
        </w:tc>
      </w:tr>
      <w:tr w:rsidR="00CA23D0" w:rsidRPr="00E30642" w14:paraId="277713D0"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3162A1CA" w14:textId="77777777" w:rsidR="00CA23D0" w:rsidRPr="00E30642" w:rsidRDefault="00CA23D0" w:rsidP="00CA23D0">
            <w:pPr>
              <w:pStyle w:val="Texttabulky"/>
              <w:jc w:val="both"/>
              <w:rPr>
                <w:rFonts w:cs="Arial"/>
              </w:rPr>
            </w:pPr>
            <w:r w:rsidRPr="00E30642">
              <w:rPr>
                <w:rFonts w:cs="Arial"/>
              </w:rPr>
              <w:t>Nebočady</w:t>
            </w:r>
          </w:p>
        </w:tc>
        <w:tc>
          <w:tcPr>
            <w:tcW w:w="1023" w:type="dxa"/>
            <w:tcBorders>
              <w:top w:val="single" w:sz="6" w:space="0" w:color="auto"/>
              <w:left w:val="single" w:sz="6" w:space="0" w:color="auto"/>
              <w:bottom w:val="single" w:sz="6" w:space="0" w:color="auto"/>
              <w:right w:val="single" w:sz="6" w:space="0" w:color="auto"/>
            </w:tcBorders>
          </w:tcPr>
          <w:p w14:paraId="2FE59089" w14:textId="77777777" w:rsidR="00CA23D0" w:rsidRPr="00E30642" w:rsidRDefault="00CA23D0" w:rsidP="00CA23D0">
            <w:pPr>
              <w:pStyle w:val="Texttabulky"/>
              <w:jc w:val="both"/>
              <w:rPr>
                <w:rFonts w:cs="Arial"/>
              </w:rPr>
            </w:pPr>
            <w:r w:rsidRPr="00E30642">
              <w:rPr>
                <w:rFonts w:cs="Arial"/>
              </w:rPr>
              <w:t>134,28</w:t>
            </w:r>
          </w:p>
        </w:tc>
        <w:tc>
          <w:tcPr>
            <w:tcW w:w="662" w:type="dxa"/>
            <w:tcBorders>
              <w:top w:val="single" w:sz="6" w:space="0" w:color="auto"/>
              <w:left w:val="single" w:sz="6" w:space="0" w:color="auto"/>
              <w:bottom w:val="single" w:sz="6" w:space="0" w:color="auto"/>
              <w:right w:val="single" w:sz="6" w:space="0" w:color="auto"/>
            </w:tcBorders>
          </w:tcPr>
          <w:p w14:paraId="14E69C8F" w14:textId="77777777" w:rsidR="00CA23D0" w:rsidRPr="00E30642" w:rsidRDefault="00CA23D0" w:rsidP="00CA23D0">
            <w:pPr>
              <w:pStyle w:val="Texttabulky"/>
              <w:jc w:val="both"/>
              <w:rPr>
                <w:rFonts w:cs="Arial"/>
              </w:rPr>
            </w:pPr>
            <w:r w:rsidRPr="00E30642">
              <w:rPr>
                <w:rFonts w:cs="Arial"/>
              </w:rPr>
              <w:t>68,48</w:t>
            </w:r>
          </w:p>
        </w:tc>
        <w:tc>
          <w:tcPr>
            <w:tcW w:w="847" w:type="dxa"/>
            <w:tcBorders>
              <w:top w:val="single" w:sz="6" w:space="0" w:color="auto"/>
              <w:left w:val="single" w:sz="6" w:space="0" w:color="auto"/>
              <w:bottom w:val="single" w:sz="6" w:space="0" w:color="auto"/>
              <w:right w:val="single" w:sz="6" w:space="0" w:color="auto"/>
            </w:tcBorders>
          </w:tcPr>
          <w:p w14:paraId="6E10C3AF"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142FF116"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0E408AAC" w14:textId="77777777" w:rsidR="00CA23D0" w:rsidRPr="00E30642" w:rsidRDefault="00CA23D0" w:rsidP="00CA23D0">
            <w:pPr>
              <w:pStyle w:val="Texttabulky"/>
              <w:jc w:val="both"/>
              <w:rPr>
                <w:rFonts w:cs="Arial"/>
              </w:rPr>
            </w:pPr>
            <w:r w:rsidRPr="00E30642">
              <w:rPr>
                <w:rFonts w:cs="Arial"/>
              </w:rPr>
              <w:t>9,45</w:t>
            </w:r>
          </w:p>
        </w:tc>
        <w:tc>
          <w:tcPr>
            <w:tcW w:w="567" w:type="dxa"/>
            <w:tcBorders>
              <w:top w:val="single" w:sz="6" w:space="0" w:color="auto"/>
              <w:left w:val="single" w:sz="6" w:space="0" w:color="auto"/>
              <w:bottom w:val="single" w:sz="6" w:space="0" w:color="auto"/>
              <w:right w:val="single" w:sz="6" w:space="0" w:color="auto"/>
            </w:tcBorders>
          </w:tcPr>
          <w:p w14:paraId="5D14AC5E" w14:textId="77777777" w:rsidR="00CA23D0" w:rsidRPr="00E30642" w:rsidRDefault="00CA23D0" w:rsidP="00CA23D0">
            <w:pPr>
              <w:pStyle w:val="Texttabulky"/>
              <w:jc w:val="both"/>
              <w:rPr>
                <w:rFonts w:cs="Arial"/>
              </w:rPr>
            </w:pPr>
            <w:r w:rsidRPr="00E30642">
              <w:rPr>
                <w:rFonts w:cs="Arial"/>
              </w:rPr>
              <w:t>1,57</w:t>
            </w:r>
          </w:p>
        </w:tc>
        <w:tc>
          <w:tcPr>
            <w:tcW w:w="554" w:type="dxa"/>
            <w:tcBorders>
              <w:top w:val="single" w:sz="6" w:space="0" w:color="auto"/>
              <w:left w:val="single" w:sz="6" w:space="0" w:color="auto"/>
              <w:bottom w:val="single" w:sz="6" w:space="0" w:color="auto"/>
              <w:right w:val="single" w:sz="6" w:space="0" w:color="auto"/>
            </w:tcBorders>
          </w:tcPr>
          <w:p w14:paraId="7D2581B7" w14:textId="77777777" w:rsidR="00CA23D0" w:rsidRPr="00E30642" w:rsidRDefault="00CA23D0" w:rsidP="00CA23D0">
            <w:pPr>
              <w:pStyle w:val="Texttabulky"/>
              <w:jc w:val="both"/>
              <w:rPr>
                <w:rFonts w:cs="Arial"/>
              </w:rPr>
            </w:pPr>
            <w:r w:rsidRPr="00E30642">
              <w:rPr>
                <w:rFonts w:cs="Arial"/>
              </w:rPr>
              <w:t>37,04</w:t>
            </w:r>
          </w:p>
        </w:tc>
        <w:tc>
          <w:tcPr>
            <w:tcW w:w="863" w:type="dxa"/>
            <w:tcBorders>
              <w:top w:val="single" w:sz="6" w:space="0" w:color="auto"/>
              <w:left w:val="single" w:sz="6" w:space="0" w:color="auto"/>
              <w:bottom w:val="single" w:sz="6" w:space="0" w:color="auto"/>
              <w:right w:val="single" w:sz="6" w:space="0" w:color="auto"/>
            </w:tcBorders>
          </w:tcPr>
          <w:p w14:paraId="22EE3514" w14:textId="77777777" w:rsidR="00CA23D0" w:rsidRPr="00E30642" w:rsidRDefault="00CA23D0" w:rsidP="00CA23D0">
            <w:pPr>
              <w:pStyle w:val="Texttabulky"/>
              <w:jc w:val="both"/>
              <w:rPr>
                <w:rFonts w:cs="Arial"/>
              </w:rPr>
            </w:pPr>
            <w:r w:rsidRPr="00E30642">
              <w:rPr>
                <w:rFonts w:cs="Arial"/>
              </w:rPr>
              <w:t>17,73</w:t>
            </w:r>
          </w:p>
        </w:tc>
      </w:tr>
      <w:tr w:rsidR="00CA23D0" w:rsidRPr="00E30642" w14:paraId="7441EF10"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1E3FDA59" w14:textId="77777777" w:rsidR="00CA23D0" w:rsidRPr="00E30642" w:rsidRDefault="00CA23D0" w:rsidP="00CA23D0">
            <w:pPr>
              <w:pStyle w:val="Texttabulky"/>
              <w:jc w:val="both"/>
              <w:rPr>
                <w:rFonts w:cs="Arial"/>
              </w:rPr>
            </w:pPr>
            <w:r w:rsidRPr="00E30642">
              <w:rPr>
                <w:rFonts w:cs="Arial"/>
              </w:rPr>
              <w:t>Lesná u  Děčína</w:t>
            </w:r>
          </w:p>
        </w:tc>
        <w:tc>
          <w:tcPr>
            <w:tcW w:w="1023" w:type="dxa"/>
            <w:tcBorders>
              <w:top w:val="single" w:sz="6" w:space="0" w:color="auto"/>
              <w:left w:val="single" w:sz="6" w:space="0" w:color="auto"/>
              <w:bottom w:val="single" w:sz="6" w:space="0" w:color="auto"/>
              <w:right w:val="single" w:sz="6" w:space="0" w:color="auto"/>
            </w:tcBorders>
          </w:tcPr>
          <w:p w14:paraId="12A83C43" w14:textId="77777777" w:rsidR="00CA23D0" w:rsidRPr="00E30642" w:rsidRDefault="00CA23D0" w:rsidP="00CA23D0">
            <w:pPr>
              <w:pStyle w:val="Texttabulky"/>
              <w:jc w:val="both"/>
              <w:rPr>
                <w:rFonts w:cs="Arial"/>
              </w:rPr>
            </w:pPr>
            <w:r w:rsidRPr="00E30642">
              <w:rPr>
                <w:rFonts w:cs="Arial"/>
              </w:rPr>
              <w:t>216,29</w:t>
            </w:r>
          </w:p>
        </w:tc>
        <w:tc>
          <w:tcPr>
            <w:tcW w:w="662" w:type="dxa"/>
            <w:tcBorders>
              <w:top w:val="single" w:sz="6" w:space="0" w:color="auto"/>
              <w:left w:val="single" w:sz="6" w:space="0" w:color="auto"/>
              <w:bottom w:val="single" w:sz="6" w:space="0" w:color="auto"/>
              <w:right w:val="single" w:sz="6" w:space="0" w:color="auto"/>
            </w:tcBorders>
          </w:tcPr>
          <w:p w14:paraId="5B1C8518" w14:textId="77777777" w:rsidR="00CA23D0" w:rsidRPr="00E30642" w:rsidRDefault="00CA23D0" w:rsidP="00CA23D0">
            <w:pPr>
              <w:pStyle w:val="Texttabulky"/>
              <w:jc w:val="both"/>
              <w:rPr>
                <w:rFonts w:cs="Arial"/>
              </w:rPr>
            </w:pPr>
            <w:r w:rsidRPr="00E30642">
              <w:rPr>
                <w:rFonts w:cs="Arial"/>
              </w:rPr>
              <w:t>127,78</w:t>
            </w:r>
          </w:p>
        </w:tc>
        <w:tc>
          <w:tcPr>
            <w:tcW w:w="847" w:type="dxa"/>
            <w:tcBorders>
              <w:top w:val="single" w:sz="6" w:space="0" w:color="auto"/>
              <w:left w:val="single" w:sz="6" w:space="0" w:color="auto"/>
              <w:bottom w:val="single" w:sz="6" w:space="0" w:color="auto"/>
              <w:right w:val="single" w:sz="6" w:space="0" w:color="auto"/>
            </w:tcBorders>
          </w:tcPr>
          <w:p w14:paraId="702AD0BE"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3596FFDC"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7CE2780E" w14:textId="77777777" w:rsidR="00CA23D0" w:rsidRPr="00E30642" w:rsidRDefault="00CA23D0" w:rsidP="00CA23D0">
            <w:pPr>
              <w:pStyle w:val="Texttabulky"/>
              <w:jc w:val="both"/>
              <w:rPr>
                <w:rFonts w:cs="Arial"/>
              </w:rPr>
            </w:pPr>
            <w:r w:rsidRPr="00E30642">
              <w:rPr>
                <w:rFonts w:cs="Arial"/>
              </w:rPr>
              <w:t>8,19</w:t>
            </w:r>
          </w:p>
        </w:tc>
        <w:tc>
          <w:tcPr>
            <w:tcW w:w="567" w:type="dxa"/>
            <w:tcBorders>
              <w:top w:val="single" w:sz="6" w:space="0" w:color="auto"/>
              <w:left w:val="single" w:sz="6" w:space="0" w:color="auto"/>
              <w:bottom w:val="single" w:sz="6" w:space="0" w:color="auto"/>
              <w:right w:val="single" w:sz="6" w:space="0" w:color="auto"/>
            </w:tcBorders>
          </w:tcPr>
          <w:p w14:paraId="1724A8D3" w14:textId="77777777" w:rsidR="00CA23D0" w:rsidRPr="00E30642" w:rsidRDefault="00CA23D0" w:rsidP="00CA23D0">
            <w:pPr>
              <w:pStyle w:val="Texttabulky"/>
              <w:jc w:val="both"/>
              <w:rPr>
                <w:rFonts w:cs="Arial"/>
              </w:rPr>
            </w:pPr>
            <w:r w:rsidRPr="00E30642">
              <w:rPr>
                <w:rFonts w:cs="Arial"/>
              </w:rPr>
              <w:t>0</w:t>
            </w:r>
          </w:p>
        </w:tc>
        <w:tc>
          <w:tcPr>
            <w:tcW w:w="554" w:type="dxa"/>
            <w:tcBorders>
              <w:top w:val="single" w:sz="6" w:space="0" w:color="auto"/>
              <w:left w:val="single" w:sz="6" w:space="0" w:color="auto"/>
              <w:bottom w:val="single" w:sz="6" w:space="0" w:color="auto"/>
              <w:right w:val="single" w:sz="6" w:space="0" w:color="auto"/>
            </w:tcBorders>
          </w:tcPr>
          <w:p w14:paraId="746D6451" w14:textId="77777777" w:rsidR="00CA23D0" w:rsidRPr="00E30642" w:rsidRDefault="00CA23D0" w:rsidP="00CA23D0">
            <w:pPr>
              <w:pStyle w:val="Texttabulky"/>
              <w:jc w:val="both"/>
              <w:rPr>
                <w:rFonts w:cs="Arial"/>
              </w:rPr>
            </w:pPr>
            <w:r w:rsidRPr="00E30642">
              <w:rPr>
                <w:rFonts w:cs="Arial"/>
              </w:rPr>
              <w:t>63,99</w:t>
            </w:r>
          </w:p>
        </w:tc>
        <w:tc>
          <w:tcPr>
            <w:tcW w:w="863" w:type="dxa"/>
            <w:tcBorders>
              <w:top w:val="single" w:sz="6" w:space="0" w:color="auto"/>
              <w:left w:val="single" w:sz="6" w:space="0" w:color="auto"/>
              <w:bottom w:val="single" w:sz="6" w:space="0" w:color="auto"/>
              <w:right w:val="single" w:sz="6" w:space="0" w:color="auto"/>
            </w:tcBorders>
          </w:tcPr>
          <w:p w14:paraId="23AE6413" w14:textId="77777777" w:rsidR="00CA23D0" w:rsidRPr="00E30642" w:rsidRDefault="00CA23D0" w:rsidP="00CA23D0">
            <w:pPr>
              <w:pStyle w:val="Texttabulky"/>
              <w:jc w:val="both"/>
              <w:rPr>
                <w:rFonts w:cs="Arial"/>
              </w:rPr>
            </w:pPr>
            <w:r w:rsidRPr="00E30642">
              <w:rPr>
                <w:rFonts w:cs="Arial"/>
              </w:rPr>
              <w:t>16,35</w:t>
            </w:r>
          </w:p>
        </w:tc>
      </w:tr>
      <w:tr w:rsidR="00CA23D0" w:rsidRPr="00E30642" w14:paraId="51BC326F"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207D2191" w14:textId="77777777" w:rsidR="00CA23D0" w:rsidRPr="00E30642" w:rsidRDefault="00CA23D0" w:rsidP="00CA23D0">
            <w:pPr>
              <w:pStyle w:val="Texttabulky"/>
              <w:jc w:val="both"/>
              <w:rPr>
                <w:rFonts w:cs="Arial"/>
              </w:rPr>
            </w:pPr>
            <w:r w:rsidRPr="00E30642">
              <w:rPr>
                <w:rFonts w:cs="Arial"/>
              </w:rPr>
              <w:t>Hoštice nad Labem</w:t>
            </w:r>
          </w:p>
        </w:tc>
        <w:tc>
          <w:tcPr>
            <w:tcW w:w="1023" w:type="dxa"/>
            <w:tcBorders>
              <w:top w:val="single" w:sz="6" w:space="0" w:color="auto"/>
              <w:left w:val="single" w:sz="6" w:space="0" w:color="auto"/>
              <w:bottom w:val="single" w:sz="6" w:space="0" w:color="auto"/>
              <w:right w:val="single" w:sz="6" w:space="0" w:color="auto"/>
            </w:tcBorders>
          </w:tcPr>
          <w:p w14:paraId="7B7D68C0" w14:textId="77777777" w:rsidR="00CA23D0" w:rsidRPr="00E30642" w:rsidRDefault="00CA23D0" w:rsidP="00CA23D0">
            <w:pPr>
              <w:pStyle w:val="Texttabulky"/>
              <w:jc w:val="both"/>
              <w:rPr>
                <w:rFonts w:cs="Arial"/>
              </w:rPr>
            </w:pPr>
            <w:r w:rsidRPr="00E30642">
              <w:rPr>
                <w:rFonts w:cs="Arial"/>
              </w:rPr>
              <w:t>109,89</w:t>
            </w:r>
          </w:p>
        </w:tc>
        <w:tc>
          <w:tcPr>
            <w:tcW w:w="662" w:type="dxa"/>
            <w:tcBorders>
              <w:top w:val="single" w:sz="6" w:space="0" w:color="auto"/>
              <w:left w:val="single" w:sz="6" w:space="0" w:color="auto"/>
              <w:bottom w:val="single" w:sz="6" w:space="0" w:color="auto"/>
              <w:right w:val="single" w:sz="6" w:space="0" w:color="auto"/>
            </w:tcBorders>
          </w:tcPr>
          <w:p w14:paraId="15288CFB" w14:textId="77777777" w:rsidR="00CA23D0" w:rsidRPr="00E30642" w:rsidRDefault="00CA23D0" w:rsidP="00CA23D0">
            <w:pPr>
              <w:pStyle w:val="Texttabulky"/>
              <w:jc w:val="both"/>
              <w:rPr>
                <w:rFonts w:cs="Arial"/>
              </w:rPr>
            </w:pPr>
            <w:r w:rsidRPr="00E30642">
              <w:rPr>
                <w:rFonts w:cs="Arial"/>
              </w:rPr>
              <w:t>2,33</w:t>
            </w:r>
          </w:p>
        </w:tc>
        <w:tc>
          <w:tcPr>
            <w:tcW w:w="847" w:type="dxa"/>
            <w:tcBorders>
              <w:top w:val="single" w:sz="6" w:space="0" w:color="auto"/>
              <w:left w:val="single" w:sz="6" w:space="0" w:color="auto"/>
              <w:bottom w:val="single" w:sz="6" w:space="0" w:color="auto"/>
              <w:right w:val="single" w:sz="6" w:space="0" w:color="auto"/>
            </w:tcBorders>
          </w:tcPr>
          <w:p w14:paraId="4FB53D25"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76F7849D"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10A76284" w14:textId="77777777" w:rsidR="00CA23D0" w:rsidRPr="00E30642" w:rsidRDefault="00CA23D0" w:rsidP="00CA23D0">
            <w:pPr>
              <w:pStyle w:val="Texttabulky"/>
              <w:jc w:val="both"/>
              <w:rPr>
                <w:rFonts w:cs="Arial"/>
              </w:rPr>
            </w:pPr>
            <w:r w:rsidRPr="00E30642">
              <w:rPr>
                <w:rFonts w:cs="Arial"/>
              </w:rPr>
              <w:t>2,36</w:t>
            </w:r>
          </w:p>
        </w:tc>
        <w:tc>
          <w:tcPr>
            <w:tcW w:w="567" w:type="dxa"/>
            <w:tcBorders>
              <w:top w:val="single" w:sz="6" w:space="0" w:color="auto"/>
              <w:left w:val="single" w:sz="6" w:space="0" w:color="auto"/>
              <w:bottom w:val="single" w:sz="6" w:space="0" w:color="auto"/>
              <w:right w:val="single" w:sz="6" w:space="0" w:color="auto"/>
            </w:tcBorders>
          </w:tcPr>
          <w:p w14:paraId="007B0F97" w14:textId="77777777" w:rsidR="00CA23D0" w:rsidRPr="00E30642" w:rsidRDefault="00CA23D0" w:rsidP="00CA23D0">
            <w:pPr>
              <w:pStyle w:val="Texttabulky"/>
              <w:jc w:val="both"/>
              <w:rPr>
                <w:rFonts w:cs="Arial"/>
              </w:rPr>
            </w:pPr>
            <w:r w:rsidRPr="00E30642">
              <w:rPr>
                <w:rFonts w:cs="Arial"/>
              </w:rPr>
              <w:t>9,95</w:t>
            </w:r>
          </w:p>
        </w:tc>
        <w:tc>
          <w:tcPr>
            <w:tcW w:w="554" w:type="dxa"/>
            <w:tcBorders>
              <w:top w:val="single" w:sz="6" w:space="0" w:color="auto"/>
              <w:left w:val="single" w:sz="6" w:space="0" w:color="auto"/>
              <w:bottom w:val="single" w:sz="6" w:space="0" w:color="auto"/>
              <w:right w:val="single" w:sz="6" w:space="0" w:color="auto"/>
            </w:tcBorders>
          </w:tcPr>
          <w:p w14:paraId="0C11B8B9" w14:textId="77777777" w:rsidR="00CA23D0" w:rsidRPr="00E30642" w:rsidRDefault="00CA23D0" w:rsidP="00CA23D0">
            <w:pPr>
              <w:pStyle w:val="Texttabulky"/>
              <w:jc w:val="both"/>
              <w:rPr>
                <w:rFonts w:cs="Arial"/>
              </w:rPr>
            </w:pPr>
            <w:r w:rsidRPr="00E30642">
              <w:rPr>
                <w:rFonts w:cs="Arial"/>
              </w:rPr>
              <w:t>14,79</w:t>
            </w:r>
          </w:p>
        </w:tc>
        <w:tc>
          <w:tcPr>
            <w:tcW w:w="863" w:type="dxa"/>
            <w:tcBorders>
              <w:top w:val="single" w:sz="6" w:space="0" w:color="auto"/>
              <w:left w:val="single" w:sz="6" w:space="0" w:color="auto"/>
              <w:bottom w:val="single" w:sz="6" w:space="0" w:color="auto"/>
              <w:right w:val="single" w:sz="6" w:space="0" w:color="auto"/>
            </w:tcBorders>
          </w:tcPr>
          <w:p w14:paraId="1EE852C6" w14:textId="77777777" w:rsidR="00CA23D0" w:rsidRPr="00E30642" w:rsidRDefault="00CA23D0" w:rsidP="00CA23D0">
            <w:pPr>
              <w:pStyle w:val="Texttabulky"/>
              <w:jc w:val="both"/>
              <w:rPr>
                <w:rFonts w:cs="Arial"/>
              </w:rPr>
            </w:pPr>
            <w:r w:rsidRPr="00E30642">
              <w:rPr>
                <w:rFonts w:cs="Arial"/>
              </w:rPr>
              <w:t>80,46</w:t>
            </w:r>
          </w:p>
        </w:tc>
      </w:tr>
      <w:tr w:rsidR="00CA23D0" w:rsidRPr="00E30642" w14:paraId="6BB7D6A1"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3BE7ACDF" w14:textId="77777777" w:rsidR="00CA23D0" w:rsidRPr="00E30642" w:rsidRDefault="00CA23D0" w:rsidP="00CA23D0">
            <w:pPr>
              <w:pStyle w:val="Texttabulky"/>
              <w:jc w:val="both"/>
              <w:rPr>
                <w:rFonts w:cs="Arial"/>
              </w:rPr>
            </w:pPr>
            <w:r w:rsidRPr="00E30642">
              <w:rPr>
                <w:rFonts w:cs="Arial"/>
              </w:rPr>
              <w:t>Velká Veleň</w:t>
            </w:r>
          </w:p>
        </w:tc>
        <w:tc>
          <w:tcPr>
            <w:tcW w:w="1023" w:type="dxa"/>
            <w:tcBorders>
              <w:top w:val="single" w:sz="6" w:space="0" w:color="auto"/>
              <w:left w:val="single" w:sz="6" w:space="0" w:color="auto"/>
              <w:bottom w:val="single" w:sz="6" w:space="0" w:color="auto"/>
              <w:right w:val="single" w:sz="6" w:space="0" w:color="auto"/>
            </w:tcBorders>
          </w:tcPr>
          <w:p w14:paraId="41DFAF65" w14:textId="77777777" w:rsidR="00CA23D0" w:rsidRPr="00E30642" w:rsidRDefault="00CA23D0" w:rsidP="00CA23D0">
            <w:pPr>
              <w:pStyle w:val="Texttabulky"/>
              <w:jc w:val="both"/>
              <w:rPr>
                <w:rFonts w:cs="Arial"/>
              </w:rPr>
            </w:pPr>
            <w:r w:rsidRPr="00E30642">
              <w:rPr>
                <w:rFonts w:cs="Arial"/>
              </w:rPr>
              <w:t>268,79</w:t>
            </w:r>
          </w:p>
        </w:tc>
        <w:tc>
          <w:tcPr>
            <w:tcW w:w="662" w:type="dxa"/>
            <w:tcBorders>
              <w:top w:val="single" w:sz="6" w:space="0" w:color="auto"/>
              <w:left w:val="single" w:sz="6" w:space="0" w:color="auto"/>
              <w:bottom w:val="single" w:sz="6" w:space="0" w:color="auto"/>
              <w:right w:val="single" w:sz="6" w:space="0" w:color="auto"/>
            </w:tcBorders>
          </w:tcPr>
          <w:p w14:paraId="3D587B00" w14:textId="77777777" w:rsidR="00CA23D0" w:rsidRPr="00E30642" w:rsidRDefault="00CA23D0" w:rsidP="00CA23D0">
            <w:pPr>
              <w:pStyle w:val="Texttabulky"/>
              <w:jc w:val="both"/>
              <w:rPr>
                <w:rFonts w:cs="Arial"/>
              </w:rPr>
            </w:pPr>
            <w:r w:rsidRPr="00E30642">
              <w:rPr>
                <w:rFonts w:cs="Arial"/>
              </w:rPr>
              <w:t>104,91</w:t>
            </w:r>
          </w:p>
        </w:tc>
        <w:tc>
          <w:tcPr>
            <w:tcW w:w="847" w:type="dxa"/>
            <w:tcBorders>
              <w:top w:val="single" w:sz="6" w:space="0" w:color="auto"/>
              <w:left w:val="single" w:sz="6" w:space="0" w:color="auto"/>
              <w:bottom w:val="single" w:sz="6" w:space="0" w:color="auto"/>
              <w:right w:val="single" w:sz="6" w:space="0" w:color="auto"/>
            </w:tcBorders>
          </w:tcPr>
          <w:p w14:paraId="06738984" w14:textId="77777777" w:rsidR="00CA23D0" w:rsidRPr="00E30642" w:rsidRDefault="00CA23D0" w:rsidP="00CA23D0">
            <w:pPr>
              <w:pStyle w:val="Texttabulky"/>
              <w:jc w:val="both"/>
              <w:rPr>
                <w:rFonts w:cs="Arial"/>
              </w:rPr>
            </w:pPr>
            <w:r w:rsidRPr="00E30642">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196F509E" w14:textId="77777777" w:rsidR="00CA23D0" w:rsidRPr="00E30642" w:rsidRDefault="00CA23D0" w:rsidP="00CA23D0">
            <w:pPr>
              <w:pStyle w:val="Texttabulky"/>
              <w:jc w:val="both"/>
              <w:rPr>
                <w:rFonts w:cs="Arial"/>
              </w:rPr>
            </w:pPr>
            <w:r w:rsidRPr="00E30642">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5E7471B2" w14:textId="77777777" w:rsidR="00CA23D0" w:rsidRPr="00E30642" w:rsidRDefault="00CA23D0" w:rsidP="00CA23D0">
            <w:pPr>
              <w:pStyle w:val="Texttabulky"/>
              <w:jc w:val="both"/>
              <w:rPr>
                <w:rFonts w:cs="Arial"/>
              </w:rPr>
            </w:pPr>
            <w:r w:rsidRPr="00E30642">
              <w:rPr>
                <w:rFonts w:cs="Arial"/>
              </w:rPr>
              <w:t>5,64</w:t>
            </w:r>
          </w:p>
        </w:tc>
        <w:tc>
          <w:tcPr>
            <w:tcW w:w="567" w:type="dxa"/>
            <w:tcBorders>
              <w:top w:val="single" w:sz="6" w:space="0" w:color="auto"/>
              <w:left w:val="single" w:sz="6" w:space="0" w:color="auto"/>
              <w:bottom w:val="single" w:sz="6" w:space="0" w:color="auto"/>
              <w:right w:val="single" w:sz="6" w:space="0" w:color="auto"/>
            </w:tcBorders>
          </w:tcPr>
          <w:p w14:paraId="343AB1A0" w14:textId="77777777" w:rsidR="00CA23D0" w:rsidRPr="00E30642" w:rsidRDefault="00CA23D0" w:rsidP="00CA23D0">
            <w:pPr>
              <w:pStyle w:val="Texttabulky"/>
              <w:jc w:val="both"/>
              <w:rPr>
                <w:rFonts w:cs="Arial"/>
              </w:rPr>
            </w:pPr>
            <w:r w:rsidRPr="00E30642">
              <w:rPr>
                <w:rFonts w:cs="Arial"/>
              </w:rPr>
              <w:t>1,74</w:t>
            </w:r>
          </w:p>
        </w:tc>
        <w:tc>
          <w:tcPr>
            <w:tcW w:w="554" w:type="dxa"/>
            <w:tcBorders>
              <w:top w:val="single" w:sz="6" w:space="0" w:color="auto"/>
              <w:left w:val="single" w:sz="6" w:space="0" w:color="auto"/>
              <w:bottom w:val="single" w:sz="6" w:space="0" w:color="auto"/>
              <w:right w:val="single" w:sz="6" w:space="0" w:color="auto"/>
            </w:tcBorders>
          </w:tcPr>
          <w:p w14:paraId="4ABD198C" w14:textId="77777777" w:rsidR="00CA23D0" w:rsidRPr="00E30642" w:rsidRDefault="00CA23D0" w:rsidP="00CA23D0">
            <w:pPr>
              <w:pStyle w:val="Texttabulky"/>
              <w:jc w:val="both"/>
              <w:rPr>
                <w:rFonts w:cs="Arial"/>
              </w:rPr>
            </w:pPr>
            <w:r w:rsidRPr="00E30642">
              <w:rPr>
                <w:rFonts w:cs="Arial"/>
              </w:rPr>
              <w:t>52,28</w:t>
            </w:r>
          </w:p>
        </w:tc>
        <w:tc>
          <w:tcPr>
            <w:tcW w:w="863" w:type="dxa"/>
            <w:tcBorders>
              <w:top w:val="single" w:sz="6" w:space="0" w:color="auto"/>
              <w:left w:val="single" w:sz="6" w:space="0" w:color="auto"/>
              <w:bottom w:val="single" w:sz="6" w:space="0" w:color="auto"/>
              <w:right w:val="single" w:sz="6" w:space="0" w:color="auto"/>
            </w:tcBorders>
          </w:tcPr>
          <w:p w14:paraId="5389E234" w14:textId="77777777" w:rsidR="00CA23D0" w:rsidRPr="00E30642" w:rsidRDefault="00CA23D0" w:rsidP="00CA23D0">
            <w:pPr>
              <w:pStyle w:val="Texttabulky"/>
              <w:jc w:val="both"/>
              <w:rPr>
                <w:rFonts w:cs="Arial"/>
              </w:rPr>
            </w:pPr>
            <w:r w:rsidRPr="00E30642">
              <w:rPr>
                <w:rFonts w:cs="Arial"/>
              </w:rPr>
              <w:t>104,22</w:t>
            </w:r>
          </w:p>
        </w:tc>
      </w:tr>
      <w:tr w:rsidR="00CA23D0" w:rsidRPr="00E30642" w14:paraId="3C3B57D0" w14:textId="77777777" w:rsidTr="00CA23D0">
        <w:trPr>
          <w:jc w:val="center"/>
        </w:trPr>
        <w:tc>
          <w:tcPr>
            <w:tcW w:w="1609" w:type="dxa"/>
            <w:tcBorders>
              <w:top w:val="single" w:sz="6" w:space="0" w:color="auto"/>
              <w:left w:val="single" w:sz="6" w:space="0" w:color="auto"/>
              <w:bottom w:val="single" w:sz="6" w:space="0" w:color="auto"/>
              <w:right w:val="single" w:sz="6" w:space="0" w:color="auto"/>
            </w:tcBorders>
          </w:tcPr>
          <w:p w14:paraId="06B1D45B" w14:textId="77777777" w:rsidR="00CA23D0" w:rsidRPr="00E30642" w:rsidRDefault="00CA23D0" w:rsidP="00CA23D0">
            <w:pPr>
              <w:pStyle w:val="Texttabulky"/>
              <w:jc w:val="both"/>
              <w:rPr>
                <w:rFonts w:cs="Arial"/>
              </w:rPr>
            </w:pPr>
            <w:r w:rsidRPr="00E30642">
              <w:rPr>
                <w:rFonts w:cs="Arial"/>
                <w:b/>
                <w:bCs/>
                <w:sz w:val="18"/>
                <w:szCs w:val="18"/>
              </w:rPr>
              <w:t>CELKEM 1/1/1997</w:t>
            </w:r>
          </w:p>
        </w:tc>
        <w:tc>
          <w:tcPr>
            <w:tcW w:w="1023" w:type="dxa"/>
            <w:tcBorders>
              <w:top w:val="single" w:sz="6" w:space="0" w:color="auto"/>
              <w:left w:val="single" w:sz="6" w:space="0" w:color="auto"/>
              <w:bottom w:val="single" w:sz="6" w:space="0" w:color="auto"/>
              <w:right w:val="single" w:sz="6" w:space="0" w:color="auto"/>
            </w:tcBorders>
          </w:tcPr>
          <w:p w14:paraId="6F2C4FE4" w14:textId="77777777" w:rsidR="00CA23D0" w:rsidRPr="00E30642" w:rsidRDefault="00CA23D0" w:rsidP="00CA23D0">
            <w:pPr>
              <w:pStyle w:val="Texttabulky"/>
              <w:jc w:val="both"/>
              <w:rPr>
                <w:rFonts w:cs="Arial"/>
              </w:rPr>
            </w:pPr>
            <w:r w:rsidRPr="00E30642">
              <w:rPr>
                <w:rFonts w:cs="Arial"/>
                <w:b/>
                <w:bCs/>
                <w:sz w:val="18"/>
                <w:szCs w:val="18"/>
              </w:rPr>
              <w:t>2 879,13</w:t>
            </w:r>
          </w:p>
        </w:tc>
        <w:tc>
          <w:tcPr>
            <w:tcW w:w="662" w:type="dxa"/>
            <w:tcBorders>
              <w:top w:val="single" w:sz="6" w:space="0" w:color="auto"/>
              <w:left w:val="single" w:sz="6" w:space="0" w:color="auto"/>
              <w:bottom w:val="single" w:sz="6" w:space="0" w:color="auto"/>
              <w:right w:val="single" w:sz="6" w:space="0" w:color="auto"/>
            </w:tcBorders>
          </w:tcPr>
          <w:p w14:paraId="1201DDCF" w14:textId="77777777" w:rsidR="00CA23D0" w:rsidRPr="00E30642" w:rsidRDefault="00CA23D0" w:rsidP="00CA23D0">
            <w:pPr>
              <w:pStyle w:val="Texttabulky"/>
              <w:jc w:val="both"/>
              <w:rPr>
                <w:rFonts w:cs="Arial"/>
              </w:rPr>
            </w:pPr>
            <w:r w:rsidRPr="00E30642">
              <w:rPr>
                <w:rFonts w:cs="Arial"/>
                <w:b/>
                <w:bCs/>
                <w:sz w:val="18"/>
                <w:szCs w:val="18"/>
              </w:rPr>
              <w:t>976,49</w:t>
            </w:r>
          </w:p>
        </w:tc>
        <w:tc>
          <w:tcPr>
            <w:tcW w:w="847" w:type="dxa"/>
            <w:tcBorders>
              <w:top w:val="single" w:sz="6" w:space="0" w:color="auto"/>
              <w:left w:val="single" w:sz="6" w:space="0" w:color="auto"/>
              <w:bottom w:val="single" w:sz="6" w:space="0" w:color="auto"/>
              <w:right w:val="single" w:sz="6" w:space="0" w:color="auto"/>
            </w:tcBorders>
          </w:tcPr>
          <w:p w14:paraId="6CA70AF7" w14:textId="77777777" w:rsidR="00CA23D0" w:rsidRPr="00E30642" w:rsidRDefault="00CA23D0" w:rsidP="00CA23D0">
            <w:pPr>
              <w:pStyle w:val="Texttabulky"/>
              <w:jc w:val="both"/>
              <w:rPr>
                <w:rFonts w:cs="Arial"/>
              </w:rPr>
            </w:pPr>
            <w:r w:rsidRPr="00E30642">
              <w:rPr>
                <w:rFonts w:cs="Arial"/>
                <w:b/>
                <w:bCs/>
                <w:sz w:val="18"/>
                <w:szCs w:val="18"/>
              </w:rPr>
              <w:t>0</w:t>
            </w:r>
          </w:p>
        </w:tc>
        <w:tc>
          <w:tcPr>
            <w:tcW w:w="567" w:type="dxa"/>
            <w:tcBorders>
              <w:top w:val="single" w:sz="6" w:space="0" w:color="auto"/>
              <w:left w:val="single" w:sz="6" w:space="0" w:color="auto"/>
              <w:bottom w:val="single" w:sz="6" w:space="0" w:color="auto"/>
              <w:right w:val="single" w:sz="6" w:space="0" w:color="auto"/>
            </w:tcBorders>
          </w:tcPr>
          <w:p w14:paraId="5F5C8B7B" w14:textId="77777777" w:rsidR="00CA23D0" w:rsidRPr="00E30642" w:rsidRDefault="00CA23D0" w:rsidP="00CA23D0">
            <w:pPr>
              <w:pStyle w:val="Texttabulky"/>
              <w:jc w:val="both"/>
              <w:rPr>
                <w:rFonts w:cs="Arial"/>
              </w:rPr>
            </w:pPr>
            <w:r w:rsidRPr="00E30642">
              <w:rPr>
                <w:rFonts w:cs="Arial"/>
                <w:b/>
                <w:bCs/>
                <w:sz w:val="18"/>
                <w:szCs w:val="18"/>
              </w:rPr>
              <w:t>0</w:t>
            </w:r>
          </w:p>
        </w:tc>
        <w:tc>
          <w:tcPr>
            <w:tcW w:w="709" w:type="dxa"/>
            <w:tcBorders>
              <w:top w:val="single" w:sz="6" w:space="0" w:color="auto"/>
              <w:left w:val="single" w:sz="6" w:space="0" w:color="auto"/>
              <w:bottom w:val="single" w:sz="6" w:space="0" w:color="auto"/>
              <w:right w:val="single" w:sz="6" w:space="0" w:color="auto"/>
            </w:tcBorders>
          </w:tcPr>
          <w:p w14:paraId="7C5FE14B" w14:textId="77777777" w:rsidR="00CA23D0" w:rsidRPr="00E30642" w:rsidRDefault="00CA23D0" w:rsidP="00CA23D0">
            <w:pPr>
              <w:pStyle w:val="Texttabulky"/>
              <w:jc w:val="both"/>
              <w:rPr>
                <w:rFonts w:cs="Arial"/>
              </w:rPr>
            </w:pPr>
            <w:r w:rsidRPr="00E30642">
              <w:rPr>
                <w:rFonts w:cs="Arial"/>
                <w:b/>
                <w:bCs/>
                <w:sz w:val="18"/>
                <w:szCs w:val="18"/>
              </w:rPr>
              <w:t>491,75</w:t>
            </w:r>
          </w:p>
        </w:tc>
        <w:tc>
          <w:tcPr>
            <w:tcW w:w="567" w:type="dxa"/>
            <w:tcBorders>
              <w:top w:val="single" w:sz="6" w:space="0" w:color="auto"/>
              <w:left w:val="single" w:sz="6" w:space="0" w:color="auto"/>
              <w:bottom w:val="single" w:sz="6" w:space="0" w:color="auto"/>
              <w:right w:val="single" w:sz="6" w:space="0" w:color="auto"/>
            </w:tcBorders>
          </w:tcPr>
          <w:p w14:paraId="055304DE" w14:textId="77777777" w:rsidR="00CA23D0" w:rsidRPr="00E30642" w:rsidRDefault="00CA23D0" w:rsidP="00CA23D0">
            <w:pPr>
              <w:pStyle w:val="Texttabulky"/>
              <w:jc w:val="both"/>
              <w:rPr>
                <w:rFonts w:cs="Arial"/>
              </w:rPr>
            </w:pPr>
            <w:r w:rsidRPr="00E30642">
              <w:rPr>
                <w:rFonts w:cs="Arial"/>
                <w:b/>
                <w:bCs/>
                <w:sz w:val="18"/>
                <w:szCs w:val="18"/>
              </w:rPr>
              <w:t>153,62</w:t>
            </w:r>
          </w:p>
        </w:tc>
        <w:tc>
          <w:tcPr>
            <w:tcW w:w="554" w:type="dxa"/>
            <w:tcBorders>
              <w:top w:val="single" w:sz="6" w:space="0" w:color="auto"/>
              <w:left w:val="single" w:sz="6" w:space="0" w:color="auto"/>
              <w:bottom w:val="single" w:sz="6" w:space="0" w:color="auto"/>
              <w:right w:val="single" w:sz="6" w:space="0" w:color="auto"/>
            </w:tcBorders>
          </w:tcPr>
          <w:p w14:paraId="5CEE6D9F" w14:textId="77777777" w:rsidR="00CA23D0" w:rsidRPr="00E30642" w:rsidRDefault="00CA23D0" w:rsidP="00CA23D0">
            <w:pPr>
              <w:pStyle w:val="Texttabulky"/>
              <w:jc w:val="both"/>
              <w:rPr>
                <w:rFonts w:cs="Arial"/>
              </w:rPr>
            </w:pPr>
            <w:r w:rsidRPr="00E30642">
              <w:rPr>
                <w:rFonts w:cs="Arial"/>
                <w:b/>
                <w:bCs/>
                <w:sz w:val="18"/>
                <w:szCs w:val="18"/>
              </w:rPr>
              <w:t>654,68</w:t>
            </w:r>
          </w:p>
        </w:tc>
        <w:tc>
          <w:tcPr>
            <w:tcW w:w="863" w:type="dxa"/>
            <w:tcBorders>
              <w:top w:val="single" w:sz="6" w:space="0" w:color="auto"/>
              <w:left w:val="single" w:sz="6" w:space="0" w:color="auto"/>
              <w:bottom w:val="single" w:sz="6" w:space="0" w:color="auto"/>
              <w:right w:val="single" w:sz="6" w:space="0" w:color="auto"/>
            </w:tcBorders>
          </w:tcPr>
          <w:p w14:paraId="41F056B6" w14:textId="77777777" w:rsidR="00CA23D0" w:rsidRPr="00E30642" w:rsidRDefault="00CA23D0" w:rsidP="00CA23D0">
            <w:pPr>
              <w:pStyle w:val="Texttabulky"/>
              <w:jc w:val="both"/>
              <w:rPr>
                <w:rFonts w:cs="Arial"/>
              </w:rPr>
            </w:pPr>
            <w:r w:rsidRPr="00E30642">
              <w:rPr>
                <w:rFonts w:cs="Arial"/>
                <w:b/>
                <w:bCs/>
                <w:sz w:val="18"/>
                <w:szCs w:val="18"/>
              </w:rPr>
              <w:t>602,6</w:t>
            </w:r>
          </w:p>
        </w:tc>
      </w:tr>
    </w:tbl>
    <w:p w14:paraId="4BA49C48" w14:textId="77777777" w:rsidR="00CA23D0" w:rsidRPr="00E30642" w:rsidRDefault="00CA23D0" w:rsidP="00CA23D0">
      <w:pPr>
        <w:autoSpaceDE w:val="0"/>
        <w:autoSpaceDN w:val="0"/>
        <w:adjustRightInd w:val="0"/>
        <w:jc w:val="both"/>
        <w:rPr>
          <w:rFonts w:ascii="Arial" w:hAnsi="Arial" w:cs="Arial"/>
          <w:sz w:val="20"/>
        </w:rPr>
      </w:pPr>
    </w:p>
    <w:p w14:paraId="050C483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Celkové snížení zemědělské výroby má za následek i snížení obdělávaných ploch zemědělské půdy. Tato půda leží ladem, stává se zdrojem devastace krajinného prostředí. Agresivní nálet plevelů a plevelných dřevin na neudržované pozemky je nebezpečným jak pro zemědělskou půdu, tak i pro lesní porosty, následná likvidace stávajícího stavu bude finančně náročná.</w:t>
      </w:r>
    </w:p>
    <w:p w14:paraId="433AC8C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Mohou vzrůst plochy nejen trvalých travních porostů, ale i lesních ploch či ostatní strukturní krajinné zeleně. Změna kultury přispěje k dalšímu zkvalitnění přírodního prostředí, neboť se změní i procentický poměr ploch ve prospěch ekologických porostů včetně ÚSES.</w:t>
      </w:r>
    </w:p>
    <w:p w14:paraId="41349A76" w14:textId="77777777" w:rsidR="00CA23D0" w:rsidRDefault="00CA23D0" w:rsidP="00CA23D0">
      <w:pPr>
        <w:pStyle w:val="Zkladntext"/>
        <w:spacing w:line="240" w:lineRule="atLeast"/>
        <w:jc w:val="both"/>
        <w:rPr>
          <w:rFonts w:ascii="Arial" w:hAnsi="Arial" w:cs="Arial"/>
        </w:rPr>
      </w:pPr>
    </w:p>
    <w:p w14:paraId="1A166E7F" w14:textId="77777777" w:rsidR="00D3579D" w:rsidRPr="00E30642" w:rsidRDefault="00D3579D" w:rsidP="00CA23D0">
      <w:pPr>
        <w:pStyle w:val="Zkladntext"/>
        <w:spacing w:line="240" w:lineRule="atLeast"/>
        <w:jc w:val="both"/>
        <w:rPr>
          <w:rFonts w:ascii="Arial" w:hAnsi="Arial" w:cs="Arial"/>
        </w:rPr>
      </w:pPr>
    </w:p>
    <w:p w14:paraId="6999B881" w14:textId="77777777" w:rsidR="00CA23D0" w:rsidRPr="00E30642" w:rsidRDefault="00CA23D0" w:rsidP="00CA23D0">
      <w:pPr>
        <w:pStyle w:val="podnadpis1"/>
        <w:jc w:val="both"/>
        <w:rPr>
          <w:rFonts w:cs="Arial"/>
        </w:rPr>
      </w:pPr>
      <w:r w:rsidRPr="00E30642">
        <w:rPr>
          <w:rFonts w:cs="Arial"/>
        </w:rPr>
        <w:lastRenderedPageBreak/>
        <w:t>C.8. Lesnictví</w:t>
      </w:r>
    </w:p>
    <w:p w14:paraId="494819C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Lesní porosty se rozkládají na ploše 5 013 ha, což představuje 57 % a je to největší zastoupení ve struktuře ploch. Převážná část lesních porostů je ve správě Lesů ČR se sídlem v Hradci Králové, oblastní inspektorát Děčín. Došlo ke sloučení Lesní správy Děčín a lesní správy Sněžník do jedné a to LS Děčín. V rámci restitucí byly obecní lesy vráceny Městskému úřadu. Vybrané plochy těchto lesů uvažuje MěÚ převést na lesy rekreační, se sportovně rekreační funkcí a pro příměstskou turistiku. Hospodaření v lesích si zajišťuje MěÚ vlastní organizací.</w:t>
      </w:r>
    </w:p>
    <w:p w14:paraId="6E12F81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Na pravém břehu Labe jsou lesní porosty ve správě Lesní správy Děčín, na levém břehu Lesní správy Sněžník.</w:t>
      </w:r>
    </w:p>
    <w:p w14:paraId="68C42E5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Hospodářská činnost v lesích probíhá podle nového Lesního hospodářského plánu, který má platnost od r. 1995.</w:t>
      </w:r>
    </w:p>
    <w:p w14:paraId="4931E0D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Lesní porosty jsou zařazeny do kategorie lesů 3e- lesy postižené exhalacemi, místy se překrývají s lesy půdoochrannými zvláště ve svažitých polohách a v místech, která jsou ohrožena sesuvy.</w:t>
      </w:r>
    </w:p>
    <w:p w14:paraId="198ABAB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Druhová skladba je přizpůsobena hospodářskému významu lesa, ze 60 % převládají jehličnaté porosty, z  toho je smrku cca 62 %, borovice 38 %. Listnatých porostů je zhruba 40 %, největší zastoupení má buk 20 %, dub 15 % a ostatní listnaté dřeviny 5 %. V nové výsadbě se prosazují listnaté dřeviny (dub, jasan, lípa, buk), které se svou skladbou přibližují původní dřevinné skladbě lesa v tomto prostředí.</w:t>
      </w:r>
    </w:p>
    <w:p w14:paraId="7A2AFEC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Pásma ohrožení lesních porostů jsou v rozmezí stupně B až D.</w:t>
      </w:r>
    </w:p>
    <w:p w14:paraId="5E7D573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Nejstarší porosty jsou na vrcholu Popovického vrchu a Chmelníku, kde rovněž mají půdoochrannou funkci. Stávající lesní cesty nebudou návrhem územního plánu dotčeny, ani polní komunikace, navazující na lesní cesty. Tím bude zajištěn přístup lesní mechanizace do lesních porostů.</w:t>
      </w:r>
    </w:p>
    <w:p w14:paraId="09878591" w14:textId="77777777" w:rsidR="00CA23D0" w:rsidRPr="00E30642" w:rsidRDefault="00CA23D0" w:rsidP="00CA23D0">
      <w:pPr>
        <w:pStyle w:val="Zkladntext"/>
        <w:spacing w:line="240" w:lineRule="atLeast"/>
        <w:jc w:val="both"/>
        <w:rPr>
          <w:rFonts w:ascii="Arial" w:hAnsi="Arial" w:cs="Arial"/>
        </w:rPr>
      </w:pPr>
    </w:p>
    <w:p w14:paraId="2F1BC21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Návrhem územního plánu dochází k  záboru ploch určených k  plnění funkce lesa:</w:t>
      </w:r>
    </w:p>
    <w:p w14:paraId="56F127C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Folknářská spojka (D) ......................................</w:t>
      </w:r>
      <w:r w:rsidRPr="00E30642">
        <w:rPr>
          <w:rFonts w:ascii="Arial" w:hAnsi="Arial" w:cs="Arial"/>
          <w:sz w:val="22"/>
          <w:szCs w:val="22"/>
        </w:rPr>
        <w:tab/>
        <w:t>0,08 ha (k.ú.Folknáře)</w:t>
      </w:r>
    </w:p>
    <w:p w14:paraId="7C908F3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přeložka silnice I/13 (B3) ................................</w:t>
      </w:r>
      <w:r w:rsidRPr="00E30642">
        <w:rPr>
          <w:rFonts w:ascii="Arial" w:hAnsi="Arial" w:cs="Arial"/>
          <w:sz w:val="22"/>
          <w:szCs w:val="22"/>
        </w:rPr>
        <w:tab/>
        <w:t>0,09 ha ( k.ú. Březiny)</w:t>
      </w:r>
    </w:p>
    <w:p w14:paraId="50D3A74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rekonstrukce MK Chlum-St. Město (F)  .............</w:t>
      </w:r>
      <w:r w:rsidRPr="00E30642">
        <w:rPr>
          <w:rFonts w:ascii="Arial" w:hAnsi="Arial" w:cs="Arial"/>
          <w:sz w:val="22"/>
          <w:szCs w:val="22"/>
        </w:rPr>
        <w:tab/>
        <w:t>0,01 ha (k.ú. St. Město, Horní Chlum)</w:t>
      </w:r>
    </w:p>
    <w:p w14:paraId="62C4DE0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přístupová MK k VD Prostřední Žleb  ...............</w:t>
      </w:r>
      <w:r w:rsidRPr="00E30642">
        <w:rPr>
          <w:rFonts w:ascii="Arial" w:hAnsi="Arial" w:cs="Arial"/>
          <w:sz w:val="22"/>
          <w:szCs w:val="22"/>
        </w:rPr>
        <w:tab/>
        <w:t>0,02 ha (k.ú. Loubí)</w:t>
      </w:r>
    </w:p>
    <w:p w14:paraId="3585A155" w14:textId="77777777" w:rsidR="00CA23D0" w:rsidRPr="00E30642" w:rsidRDefault="00CA23D0" w:rsidP="00CA23D0">
      <w:pPr>
        <w:pStyle w:val="Zkladntext"/>
        <w:spacing w:line="240" w:lineRule="atLeast"/>
        <w:jc w:val="both"/>
        <w:rPr>
          <w:rFonts w:ascii="Arial" w:hAnsi="Arial" w:cs="Arial"/>
        </w:rPr>
      </w:pPr>
    </w:p>
    <w:p w14:paraId="628B12F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Vyhodnocení trvalého záboru (výpočtu trvalého záboru) PUPFL , provede referát životního prostředí OkÚ Děčín, který je tímto úkolem ze zákona pověřen (viz. vyjádření referátu životního prostředí Okresního úřadu Děčín ze dne 06. 06. 1997).</w:t>
      </w:r>
    </w:p>
    <w:p w14:paraId="0C638CD0" w14:textId="77777777" w:rsidR="00CA23D0" w:rsidRPr="00D3579D" w:rsidRDefault="00CA23D0" w:rsidP="00D3579D">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Návrh přeložky silnice I/13 v úseku "křižovatka Vilsnice - Jílové" je navržena jako výhledová rezerva, tedy až po návrhovém období. Na stavbu přeložky I/13 bylo provedeno krajinářské vyhodnocení vlivu variant a navržená varianta byla přijata jako nejvýhodnější.</w:t>
      </w:r>
    </w:p>
    <w:p w14:paraId="621DBD6F" w14:textId="77777777" w:rsidR="00CA23D0" w:rsidRPr="00E30642" w:rsidRDefault="00CA23D0" w:rsidP="00CA23D0">
      <w:pPr>
        <w:pStyle w:val="podnadpis1"/>
        <w:jc w:val="both"/>
        <w:rPr>
          <w:rFonts w:cs="Arial"/>
        </w:rPr>
      </w:pPr>
      <w:r w:rsidRPr="00E30642">
        <w:rPr>
          <w:rFonts w:cs="Arial"/>
        </w:rPr>
        <w:lastRenderedPageBreak/>
        <w:t xml:space="preserve">C.9. Vodní toky a plochy </w:t>
      </w:r>
    </w:p>
    <w:p w14:paraId="29F93C2B" w14:textId="77777777" w:rsidR="00CA23D0" w:rsidRPr="00E30642" w:rsidRDefault="00CA23D0" w:rsidP="00CA23D0">
      <w:pPr>
        <w:pStyle w:val="dka"/>
        <w:jc w:val="both"/>
        <w:rPr>
          <w:rFonts w:cs="Arial"/>
        </w:rPr>
      </w:pPr>
    </w:p>
    <w:p w14:paraId="5986063A" w14:textId="77777777" w:rsidR="00CA23D0" w:rsidRPr="00E30642" w:rsidRDefault="00CA23D0" w:rsidP="00CA23D0">
      <w:pPr>
        <w:pStyle w:val="podnadpis2"/>
        <w:spacing w:line="240" w:lineRule="atLeast"/>
        <w:jc w:val="both"/>
        <w:rPr>
          <w:rFonts w:cs="Arial"/>
        </w:rPr>
      </w:pPr>
      <w:r w:rsidRPr="00E30642">
        <w:rPr>
          <w:rFonts w:cs="Arial"/>
        </w:rPr>
        <w:t>C.9.1. Stručná charakteristika hydrologických poměrů:</w:t>
      </w:r>
    </w:p>
    <w:p w14:paraId="05A9B94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Území sídelního útvaru Děčín náleží celé do povodí Labe (hydrologické pořadí 1-14-02-021, 1-14-02-023, 1-14-02-25, 1-14-04-001, 1-14-04-003, 1-14-04-005), které je recipientem celých Čech a tomuto faktu odpovídá i velikost průtoků. Labe má zde charakter nížinného toku s relativně malým spádem a širokou inundací, vyjma úseku pod Děčínem, kde si řeka prorazila cestu hraničním pohořím. Na území sídelního útvaru vstupuje cca v ř. km 26,0 (Přerov) a opouští jej zhruba v ř. km 5,0 (Dolní Žleb). Délka toku přes celý sídelní útvar je cca 21 km, území města je k řece spádováno, místní vodoteče do Labe přímo ústí. Na území sídelního útvaru jsou zleva hlavními přítoky Chrochvický potok, Jílovský potok (včetně svého levostranného přítoku Bělského potoka)), (1-14-02-030, 1-14-02-031, 1-14-02-032, 1-14-02-033), Ostružník (1-14-04-002), Čertova voda (1-14-04-006).</w:t>
      </w:r>
    </w:p>
    <w:p w14:paraId="5B35F3AB"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Pravostrannými přítoky jsou: Těchlovický potok (1-14-02-016), Rychnovský potok (1-14-02-018), Kamenička (1-14-02-024l), Ploučnice (1-14-03-102) včetně Folknářského potoka a Ludvíkovický potok.</w:t>
      </w:r>
    </w:p>
    <w:p w14:paraId="3FD1D24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Kromě Ploučnice a Jílovského potoka jsou přítoky Labe malé potoky, jejichž povodí je menší než 10km</w:t>
      </w:r>
      <w:r w:rsidRPr="00E30642">
        <w:rPr>
          <w:rFonts w:ascii="Arial" w:hAnsi="Arial" w:cs="Arial"/>
          <w:sz w:val="22"/>
          <w:szCs w:val="22"/>
          <w:vertAlign w:val="superscript"/>
        </w:rPr>
        <w:t>2</w:t>
      </w:r>
      <w:r w:rsidRPr="00E30642">
        <w:rPr>
          <w:rFonts w:ascii="Arial" w:hAnsi="Arial" w:cs="Arial"/>
          <w:sz w:val="22"/>
          <w:szCs w:val="22"/>
        </w:rPr>
        <w:t>.</w:t>
      </w:r>
    </w:p>
    <w:p w14:paraId="6F7C712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Pro orientaci se uvádějí hlavní hydrologická data dle publikace HMÚ Praha: Hydrologické poměry ČSR a projektových dokumentací.</w:t>
      </w:r>
    </w:p>
    <w:p w14:paraId="140E38C5" w14:textId="77777777" w:rsidR="00CA23D0" w:rsidRPr="00E30642" w:rsidRDefault="00CA23D0" w:rsidP="00CA23D0">
      <w:pPr>
        <w:pStyle w:val="Zkladntext"/>
        <w:spacing w:line="240" w:lineRule="atLeast"/>
        <w:jc w:val="both"/>
        <w:rPr>
          <w:rFonts w:ascii="Arial" w:hAnsi="Arial" w:cs="Arial"/>
        </w:rPr>
      </w:pPr>
    </w:p>
    <w:p w14:paraId="00A48F40" w14:textId="77777777" w:rsidR="00CA23D0" w:rsidRPr="00E30642" w:rsidRDefault="00CA23D0" w:rsidP="00CA23D0">
      <w:pPr>
        <w:pStyle w:val="Zkladntext"/>
        <w:ind w:left="567"/>
        <w:rPr>
          <w:rFonts w:ascii="Arial" w:hAnsi="Arial" w:cs="Arial"/>
        </w:rPr>
      </w:pPr>
      <w:r w:rsidRPr="00E30642">
        <w:rPr>
          <w:rFonts w:ascii="Arial" w:hAnsi="Arial" w:cs="Arial"/>
          <w:b/>
          <w:bCs/>
          <w:sz w:val="22"/>
          <w:szCs w:val="22"/>
        </w:rPr>
        <w:t>HYDROLOGICKÁ DATA</w:t>
      </w:r>
    </w:p>
    <w:tbl>
      <w:tblPr>
        <w:tblW w:w="0" w:type="auto"/>
        <w:tblInd w:w="70" w:type="dxa"/>
        <w:tblLayout w:type="fixed"/>
        <w:tblCellMar>
          <w:left w:w="70" w:type="dxa"/>
          <w:right w:w="70" w:type="dxa"/>
        </w:tblCellMar>
        <w:tblLook w:val="0000" w:firstRow="0" w:lastRow="0" w:firstColumn="0" w:lastColumn="0" w:noHBand="0" w:noVBand="0"/>
      </w:tblPr>
      <w:tblGrid>
        <w:gridCol w:w="1972"/>
        <w:gridCol w:w="1374"/>
        <w:gridCol w:w="900"/>
        <w:gridCol w:w="900"/>
        <w:gridCol w:w="821"/>
        <w:gridCol w:w="821"/>
        <w:gridCol w:w="773"/>
        <w:gridCol w:w="712"/>
        <w:gridCol w:w="892"/>
      </w:tblGrid>
      <w:tr w:rsidR="00CA23D0" w:rsidRPr="00E30642" w14:paraId="68A749D0" w14:textId="77777777" w:rsidTr="00CA23D0">
        <w:trPr>
          <w:trHeight w:val="514"/>
        </w:trPr>
        <w:tc>
          <w:tcPr>
            <w:tcW w:w="1972" w:type="dxa"/>
            <w:vMerge w:val="restart"/>
            <w:tcBorders>
              <w:top w:val="single" w:sz="6" w:space="0" w:color="auto"/>
              <w:left w:val="single" w:sz="6" w:space="0" w:color="auto"/>
              <w:right w:val="single" w:sz="6" w:space="0" w:color="auto"/>
            </w:tcBorders>
          </w:tcPr>
          <w:p w14:paraId="441827C6" w14:textId="77777777" w:rsidR="00CA23D0" w:rsidRPr="00E30642" w:rsidRDefault="00CA23D0" w:rsidP="00CA23D0">
            <w:pPr>
              <w:pStyle w:val="Texttabulky"/>
              <w:spacing w:line="240" w:lineRule="atLeast"/>
              <w:jc w:val="both"/>
              <w:rPr>
                <w:rFonts w:cs="Arial"/>
              </w:rPr>
            </w:pPr>
            <w:r w:rsidRPr="00E30642">
              <w:rPr>
                <w:rFonts w:cs="Arial"/>
                <w:b/>
                <w:bCs/>
              </w:rPr>
              <w:t>Tok, profil</w:t>
            </w:r>
          </w:p>
        </w:tc>
        <w:tc>
          <w:tcPr>
            <w:tcW w:w="1374" w:type="dxa"/>
            <w:tcBorders>
              <w:top w:val="single" w:sz="6" w:space="0" w:color="auto"/>
              <w:left w:val="single" w:sz="6" w:space="0" w:color="auto"/>
              <w:bottom w:val="single" w:sz="6" w:space="0" w:color="auto"/>
              <w:right w:val="single" w:sz="6" w:space="0" w:color="auto"/>
            </w:tcBorders>
          </w:tcPr>
          <w:p w14:paraId="6DBAA022" w14:textId="77777777" w:rsidR="00CA23D0" w:rsidRPr="00E30642" w:rsidRDefault="00CA23D0" w:rsidP="00CA23D0">
            <w:pPr>
              <w:pStyle w:val="Texttabulky"/>
              <w:spacing w:line="240" w:lineRule="atLeast"/>
              <w:jc w:val="both"/>
              <w:rPr>
                <w:rFonts w:cs="Arial"/>
              </w:rPr>
            </w:pPr>
            <w:r w:rsidRPr="00E30642">
              <w:rPr>
                <w:rFonts w:cs="Arial"/>
                <w:b/>
                <w:bCs/>
              </w:rPr>
              <w:t>plocha povodí</w:t>
            </w:r>
          </w:p>
        </w:tc>
        <w:tc>
          <w:tcPr>
            <w:tcW w:w="900" w:type="dxa"/>
            <w:tcBorders>
              <w:top w:val="single" w:sz="6" w:space="0" w:color="auto"/>
              <w:left w:val="single" w:sz="6" w:space="0" w:color="auto"/>
              <w:bottom w:val="single" w:sz="6" w:space="0" w:color="auto"/>
              <w:right w:val="single" w:sz="6" w:space="0" w:color="auto"/>
            </w:tcBorders>
          </w:tcPr>
          <w:p w14:paraId="2B9E2F6A" w14:textId="77777777" w:rsidR="00CA23D0" w:rsidRPr="00E30642" w:rsidRDefault="00CA23D0" w:rsidP="00CA23D0">
            <w:pPr>
              <w:pStyle w:val="Texttabulky"/>
              <w:spacing w:line="240" w:lineRule="atLeast"/>
              <w:jc w:val="both"/>
              <w:rPr>
                <w:rFonts w:cs="Arial"/>
              </w:rPr>
            </w:pPr>
            <w:r w:rsidRPr="00E30642">
              <w:rPr>
                <w:rFonts w:cs="Arial"/>
                <w:b/>
                <w:bCs/>
              </w:rPr>
              <w:t>Qa</w:t>
            </w:r>
          </w:p>
        </w:tc>
        <w:tc>
          <w:tcPr>
            <w:tcW w:w="900" w:type="dxa"/>
            <w:tcBorders>
              <w:top w:val="single" w:sz="6" w:space="0" w:color="auto"/>
              <w:left w:val="single" w:sz="6" w:space="0" w:color="auto"/>
              <w:bottom w:val="single" w:sz="6" w:space="0" w:color="auto"/>
              <w:right w:val="single" w:sz="6" w:space="0" w:color="auto"/>
            </w:tcBorders>
          </w:tcPr>
          <w:p w14:paraId="6E8DC11C" w14:textId="77777777" w:rsidR="00CA23D0" w:rsidRPr="00E30642" w:rsidRDefault="00CA23D0" w:rsidP="00CA23D0">
            <w:pPr>
              <w:pStyle w:val="Texttabulky"/>
              <w:spacing w:line="240" w:lineRule="atLeast"/>
              <w:jc w:val="both"/>
              <w:rPr>
                <w:rFonts w:cs="Arial"/>
              </w:rPr>
            </w:pPr>
            <w:r w:rsidRPr="00E30642">
              <w:rPr>
                <w:rFonts w:cs="Arial"/>
                <w:b/>
                <w:bCs/>
              </w:rPr>
              <w:t>Q355</w:t>
            </w:r>
          </w:p>
        </w:tc>
        <w:tc>
          <w:tcPr>
            <w:tcW w:w="821" w:type="dxa"/>
            <w:tcBorders>
              <w:top w:val="single" w:sz="6" w:space="0" w:color="auto"/>
              <w:left w:val="single" w:sz="6" w:space="0" w:color="auto"/>
              <w:bottom w:val="single" w:sz="6" w:space="0" w:color="auto"/>
              <w:right w:val="single" w:sz="6" w:space="0" w:color="auto"/>
            </w:tcBorders>
          </w:tcPr>
          <w:p w14:paraId="4F363393" w14:textId="77777777" w:rsidR="00CA23D0" w:rsidRPr="00E30642" w:rsidRDefault="00CA23D0" w:rsidP="00CA23D0">
            <w:pPr>
              <w:pStyle w:val="Texttabulky"/>
              <w:spacing w:line="240" w:lineRule="atLeast"/>
              <w:jc w:val="both"/>
              <w:rPr>
                <w:rFonts w:cs="Arial"/>
              </w:rPr>
            </w:pPr>
            <w:r w:rsidRPr="00E30642">
              <w:rPr>
                <w:rFonts w:cs="Arial"/>
                <w:b/>
                <w:bCs/>
              </w:rPr>
              <w:t>Q364</w:t>
            </w:r>
          </w:p>
        </w:tc>
        <w:tc>
          <w:tcPr>
            <w:tcW w:w="3198" w:type="dxa"/>
            <w:gridSpan w:val="4"/>
            <w:tcBorders>
              <w:top w:val="single" w:sz="6" w:space="0" w:color="auto"/>
              <w:left w:val="single" w:sz="6" w:space="0" w:color="auto"/>
              <w:bottom w:val="single" w:sz="6" w:space="0" w:color="auto"/>
              <w:right w:val="single" w:sz="6" w:space="0" w:color="auto"/>
            </w:tcBorders>
          </w:tcPr>
          <w:p w14:paraId="6D657786" w14:textId="77777777" w:rsidR="00CA23D0" w:rsidRPr="00E30642" w:rsidRDefault="00CA23D0" w:rsidP="00CA23D0">
            <w:pPr>
              <w:pStyle w:val="Zkladntext"/>
              <w:jc w:val="both"/>
              <w:rPr>
                <w:rFonts w:ascii="Arial" w:hAnsi="Arial" w:cs="Arial"/>
              </w:rPr>
            </w:pPr>
            <w:r w:rsidRPr="00E30642">
              <w:rPr>
                <w:rFonts w:ascii="Arial" w:hAnsi="Arial" w:cs="Arial"/>
                <w:b/>
                <w:bCs/>
                <w:sz w:val="16"/>
              </w:rPr>
              <w:t>Velké vody opakující se jednou za v m</w:t>
            </w:r>
            <w:r w:rsidRPr="00E30642">
              <w:rPr>
                <w:rFonts w:ascii="Arial" w:hAnsi="Arial" w:cs="Arial"/>
                <w:b/>
                <w:bCs/>
                <w:position w:val="6"/>
                <w:sz w:val="16"/>
              </w:rPr>
              <w:t>3</w:t>
            </w:r>
            <w:r w:rsidRPr="00E30642">
              <w:rPr>
                <w:rFonts w:ascii="Arial" w:hAnsi="Arial" w:cs="Arial"/>
                <w:b/>
                <w:bCs/>
                <w:sz w:val="16"/>
              </w:rPr>
              <w:t>/s</w:t>
            </w:r>
          </w:p>
        </w:tc>
      </w:tr>
      <w:tr w:rsidR="00CA23D0" w:rsidRPr="00E30642" w14:paraId="13821526" w14:textId="77777777" w:rsidTr="00CA23D0">
        <w:trPr>
          <w:trHeight w:val="234"/>
        </w:trPr>
        <w:tc>
          <w:tcPr>
            <w:tcW w:w="1972" w:type="dxa"/>
            <w:vMerge/>
            <w:tcBorders>
              <w:left w:val="single" w:sz="6" w:space="0" w:color="auto"/>
              <w:bottom w:val="nil"/>
              <w:right w:val="single" w:sz="6" w:space="0" w:color="auto"/>
            </w:tcBorders>
          </w:tcPr>
          <w:p w14:paraId="74C78D65" w14:textId="77777777" w:rsidR="00CA23D0" w:rsidRPr="00E30642" w:rsidRDefault="00CA23D0" w:rsidP="00CA23D0">
            <w:pPr>
              <w:pStyle w:val="Zkladntext"/>
              <w:jc w:val="both"/>
              <w:rPr>
                <w:rFonts w:ascii="Arial" w:hAnsi="Arial" w:cs="Arial"/>
              </w:rPr>
            </w:pPr>
          </w:p>
        </w:tc>
        <w:tc>
          <w:tcPr>
            <w:tcW w:w="1374" w:type="dxa"/>
            <w:tcBorders>
              <w:top w:val="single" w:sz="6" w:space="0" w:color="auto"/>
              <w:left w:val="single" w:sz="6" w:space="0" w:color="auto"/>
              <w:bottom w:val="single" w:sz="6" w:space="0" w:color="auto"/>
              <w:right w:val="single" w:sz="6" w:space="0" w:color="auto"/>
            </w:tcBorders>
          </w:tcPr>
          <w:p w14:paraId="26885DEB" w14:textId="77777777" w:rsidR="00CA23D0" w:rsidRPr="00E30642" w:rsidRDefault="00CA23D0" w:rsidP="00CA23D0">
            <w:pPr>
              <w:pStyle w:val="Texttabulky"/>
              <w:spacing w:line="240" w:lineRule="atLeast"/>
              <w:jc w:val="both"/>
              <w:rPr>
                <w:rFonts w:cs="Arial"/>
              </w:rPr>
            </w:pPr>
            <w:r w:rsidRPr="00E30642">
              <w:rPr>
                <w:rFonts w:cs="Arial"/>
                <w:b/>
                <w:bCs/>
              </w:rPr>
              <w:t>km</w:t>
            </w:r>
            <w:r w:rsidRPr="00E30642">
              <w:rPr>
                <w:rFonts w:cs="Arial"/>
                <w:b/>
                <w:bCs/>
                <w:position w:val="6"/>
              </w:rPr>
              <w:t>2</w:t>
            </w:r>
          </w:p>
        </w:tc>
        <w:tc>
          <w:tcPr>
            <w:tcW w:w="900" w:type="dxa"/>
            <w:tcBorders>
              <w:top w:val="single" w:sz="6" w:space="0" w:color="auto"/>
              <w:left w:val="single" w:sz="6" w:space="0" w:color="auto"/>
              <w:bottom w:val="single" w:sz="6" w:space="0" w:color="auto"/>
              <w:right w:val="single" w:sz="6" w:space="0" w:color="auto"/>
            </w:tcBorders>
          </w:tcPr>
          <w:p w14:paraId="5887CE85" w14:textId="77777777" w:rsidR="00CA23D0" w:rsidRPr="00E30642" w:rsidRDefault="00CA23D0" w:rsidP="00CA23D0">
            <w:pPr>
              <w:pStyle w:val="Texttabulky"/>
              <w:spacing w:line="240" w:lineRule="atLeast"/>
              <w:jc w:val="both"/>
              <w:rPr>
                <w:rFonts w:cs="Arial"/>
              </w:rPr>
            </w:pPr>
            <w:r w:rsidRPr="00E30642">
              <w:rPr>
                <w:rFonts w:cs="Arial"/>
                <w:b/>
                <w:bCs/>
              </w:rPr>
              <w:t>m</w:t>
            </w:r>
            <w:r w:rsidRPr="00E30642">
              <w:rPr>
                <w:rFonts w:cs="Arial"/>
                <w:b/>
                <w:bCs/>
                <w:position w:val="6"/>
              </w:rPr>
              <w:t>3</w:t>
            </w:r>
            <w:r w:rsidRPr="00E30642">
              <w:rPr>
                <w:rFonts w:cs="Arial"/>
                <w:b/>
                <w:bCs/>
              </w:rPr>
              <w:t>/s</w:t>
            </w:r>
          </w:p>
        </w:tc>
        <w:tc>
          <w:tcPr>
            <w:tcW w:w="900" w:type="dxa"/>
            <w:tcBorders>
              <w:top w:val="single" w:sz="6" w:space="0" w:color="auto"/>
              <w:left w:val="single" w:sz="6" w:space="0" w:color="auto"/>
              <w:bottom w:val="single" w:sz="6" w:space="0" w:color="auto"/>
              <w:right w:val="single" w:sz="6" w:space="0" w:color="auto"/>
            </w:tcBorders>
          </w:tcPr>
          <w:p w14:paraId="6D0AAF76" w14:textId="77777777" w:rsidR="00CA23D0" w:rsidRPr="00E30642" w:rsidRDefault="00CA23D0" w:rsidP="00CA23D0">
            <w:pPr>
              <w:pStyle w:val="Texttabulky"/>
              <w:spacing w:line="240" w:lineRule="atLeast"/>
              <w:jc w:val="both"/>
              <w:rPr>
                <w:rFonts w:cs="Arial"/>
              </w:rPr>
            </w:pPr>
            <w:r w:rsidRPr="00E30642">
              <w:rPr>
                <w:rFonts w:cs="Arial"/>
                <w:b/>
                <w:bCs/>
              </w:rPr>
              <w:t>m</w:t>
            </w:r>
            <w:r w:rsidRPr="00E30642">
              <w:rPr>
                <w:rFonts w:cs="Arial"/>
                <w:b/>
                <w:bCs/>
                <w:position w:val="6"/>
              </w:rPr>
              <w:t>3</w:t>
            </w:r>
            <w:r w:rsidRPr="00E30642">
              <w:rPr>
                <w:rFonts w:cs="Arial"/>
                <w:b/>
                <w:bCs/>
              </w:rPr>
              <w:t>/s</w:t>
            </w:r>
          </w:p>
        </w:tc>
        <w:tc>
          <w:tcPr>
            <w:tcW w:w="821" w:type="dxa"/>
            <w:tcBorders>
              <w:top w:val="single" w:sz="6" w:space="0" w:color="auto"/>
              <w:left w:val="single" w:sz="6" w:space="0" w:color="auto"/>
              <w:bottom w:val="single" w:sz="6" w:space="0" w:color="auto"/>
              <w:right w:val="single" w:sz="6" w:space="0" w:color="auto"/>
            </w:tcBorders>
          </w:tcPr>
          <w:p w14:paraId="4DFA3854" w14:textId="77777777" w:rsidR="00CA23D0" w:rsidRPr="00E30642" w:rsidRDefault="00CA23D0" w:rsidP="00CA23D0">
            <w:pPr>
              <w:pStyle w:val="Texttabulky"/>
              <w:spacing w:line="240" w:lineRule="atLeast"/>
              <w:jc w:val="both"/>
              <w:rPr>
                <w:rFonts w:cs="Arial"/>
              </w:rPr>
            </w:pPr>
            <w:r w:rsidRPr="00E30642">
              <w:rPr>
                <w:rFonts w:cs="Arial"/>
                <w:b/>
                <w:bCs/>
              </w:rPr>
              <w:t>m</w:t>
            </w:r>
            <w:r w:rsidRPr="00E30642">
              <w:rPr>
                <w:rFonts w:cs="Arial"/>
                <w:b/>
                <w:bCs/>
                <w:position w:val="6"/>
              </w:rPr>
              <w:t>3</w:t>
            </w:r>
            <w:r w:rsidRPr="00E30642">
              <w:rPr>
                <w:rFonts w:cs="Arial"/>
                <w:b/>
                <w:bCs/>
              </w:rPr>
              <w:t>/s</w:t>
            </w:r>
          </w:p>
        </w:tc>
        <w:tc>
          <w:tcPr>
            <w:tcW w:w="821" w:type="dxa"/>
            <w:tcBorders>
              <w:top w:val="single" w:sz="6" w:space="0" w:color="auto"/>
              <w:left w:val="single" w:sz="6" w:space="0" w:color="auto"/>
              <w:bottom w:val="single" w:sz="6" w:space="0" w:color="auto"/>
              <w:right w:val="single" w:sz="6" w:space="0" w:color="auto"/>
            </w:tcBorders>
          </w:tcPr>
          <w:p w14:paraId="134FCF1A" w14:textId="77777777" w:rsidR="00CA23D0" w:rsidRPr="00E30642" w:rsidRDefault="00CA23D0" w:rsidP="00CA23D0">
            <w:pPr>
              <w:pStyle w:val="Texttabulky"/>
              <w:spacing w:line="240" w:lineRule="atLeast"/>
              <w:jc w:val="both"/>
              <w:rPr>
                <w:rFonts w:cs="Arial"/>
              </w:rPr>
            </w:pPr>
            <w:r w:rsidRPr="00E30642">
              <w:rPr>
                <w:rFonts w:cs="Arial"/>
                <w:b/>
                <w:bCs/>
              </w:rPr>
              <w:t>1</w:t>
            </w:r>
          </w:p>
        </w:tc>
        <w:tc>
          <w:tcPr>
            <w:tcW w:w="773" w:type="dxa"/>
            <w:tcBorders>
              <w:top w:val="single" w:sz="6" w:space="0" w:color="auto"/>
              <w:left w:val="single" w:sz="6" w:space="0" w:color="auto"/>
              <w:bottom w:val="single" w:sz="6" w:space="0" w:color="auto"/>
              <w:right w:val="single" w:sz="6" w:space="0" w:color="auto"/>
            </w:tcBorders>
          </w:tcPr>
          <w:p w14:paraId="77C8D117" w14:textId="77777777" w:rsidR="00CA23D0" w:rsidRPr="00E30642" w:rsidRDefault="00CA23D0" w:rsidP="00CA23D0">
            <w:pPr>
              <w:pStyle w:val="Texttabulky"/>
              <w:spacing w:line="240" w:lineRule="atLeast"/>
              <w:jc w:val="both"/>
              <w:rPr>
                <w:rFonts w:cs="Arial"/>
              </w:rPr>
            </w:pPr>
            <w:r w:rsidRPr="00E30642">
              <w:rPr>
                <w:rFonts w:cs="Arial"/>
                <w:b/>
                <w:bCs/>
              </w:rPr>
              <w:t>5</w:t>
            </w:r>
          </w:p>
        </w:tc>
        <w:tc>
          <w:tcPr>
            <w:tcW w:w="712" w:type="dxa"/>
            <w:tcBorders>
              <w:top w:val="single" w:sz="6" w:space="0" w:color="auto"/>
              <w:left w:val="single" w:sz="6" w:space="0" w:color="auto"/>
              <w:bottom w:val="single" w:sz="6" w:space="0" w:color="auto"/>
              <w:right w:val="single" w:sz="6" w:space="0" w:color="auto"/>
            </w:tcBorders>
          </w:tcPr>
          <w:p w14:paraId="6E0A457B" w14:textId="77777777" w:rsidR="00CA23D0" w:rsidRPr="00E30642" w:rsidRDefault="00CA23D0" w:rsidP="00CA23D0">
            <w:pPr>
              <w:pStyle w:val="Texttabulky"/>
              <w:spacing w:line="240" w:lineRule="atLeast"/>
              <w:jc w:val="both"/>
              <w:rPr>
                <w:rFonts w:cs="Arial"/>
              </w:rPr>
            </w:pPr>
            <w:r w:rsidRPr="00E30642">
              <w:rPr>
                <w:rFonts w:cs="Arial"/>
                <w:b/>
                <w:bCs/>
              </w:rPr>
              <w:t>50</w:t>
            </w:r>
          </w:p>
        </w:tc>
        <w:tc>
          <w:tcPr>
            <w:tcW w:w="892" w:type="dxa"/>
            <w:tcBorders>
              <w:top w:val="single" w:sz="6" w:space="0" w:color="auto"/>
              <w:left w:val="single" w:sz="6" w:space="0" w:color="auto"/>
              <w:bottom w:val="single" w:sz="6" w:space="0" w:color="auto"/>
              <w:right w:val="single" w:sz="6" w:space="0" w:color="auto"/>
            </w:tcBorders>
          </w:tcPr>
          <w:p w14:paraId="1B186FB4" w14:textId="77777777" w:rsidR="00CA23D0" w:rsidRPr="00E30642" w:rsidRDefault="00CA23D0" w:rsidP="00CA23D0">
            <w:pPr>
              <w:pStyle w:val="Texttabulky"/>
              <w:spacing w:line="240" w:lineRule="atLeast"/>
              <w:jc w:val="both"/>
              <w:rPr>
                <w:rFonts w:cs="Arial"/>
              </w:rPr>
            </w:pPr>
            <w:r w:rsidRPr="00E30642">
              <w:rPr>
                <w:rFonts w:cs="Arial"/>
                <w:b/>
                <w:bCs/>
              </w:rPr>
              <w:t>100 let</w:t>
            </w:r>
          </w:p>
        </w:tc>
      </w:tr>
      <w:tr w:rsidR="00CA23D0" w:rsidRPr="00E30642" w14:paraId="5F4E0CBD" w14:textId="77777777" w:rsidTr="00CA23D0">
        <w:trPr>
          <w:trHeight w:val="469"/>
        </w:trPr>
        <w:tc>
          <w:tcPr>
            <w:tcW w:w="1972" w:type="dxa"/>
            <w:tcBorders>
              <w:top w:val="single" w:sz="6" w:space="0" w:color="auto"/>
              <w:left w:val="single" w:sz="6" w:space="0" w:color="auto"/>
              <w:bottom w:val="single" w:sz="6" w:space="0" w:color="auto"/>
              <w:right w:val="single" w:sz="6" w:space="0" w:color="auto"/>
            </w:tcBorders>
          </w:tcPr>
          <w:p w14:paraId="00721499" w14:textId="77777777" w:rsidR="00CA23D0" w:rsidRPr="00E30642" w:rsidRDefault="00CA23D0" w:rsidP="00CA23D0">
            <w:pPr>
              <w:pStyle w:val="Texttabulky"/>
              <w:spacing w:line="240" w:lineRule="atLeast"/>
              <w:jc w:val="both"/>
              <w:rPr>
                <w:rFonts w:cs="Arial"/>
              </w:rPr>
            </w:pPr>
            <w:r w:rsidRPr="00E30642">
              <w:rPr>
                <w:rFonts w:cs="Arial"/>
              </w:rPr>
              <w:t>Labe nad ústím Jílového potoka</w:t>
            </w:r>
          </w:p>
        </w:tc>
        <w:tc>
          <w:tcPr>
            <w:tcW w:w="1374" w:type="dxa"/>
            <w:tcBorders>
              <w:top w:val="single" w:sz="6" w:space="0" w:color="auto"/>
              <w:left w:val="single" w:sz="6" w:space="0" w:color="auto"/>
              <w:bottom w:val="single" w:sz="6" w:space="0" w:color="auto"/>
              <w:right w:val="single" w:sz="6" w:space="0" w:color="auto"/>
            </w:tcBorders>
          </w:tcPr>
          <w:p w14:paraId="338CD121" w14:textId="77777777" w:rsidR="00CA23D0" w:rsidRPr="00E30642" w:rsidRDefault="00CA23D0" w:rsidP="00CA23D0">
            <w:pPr>
              <w:pStyle w:val="Texttabulky"/>
              <w:spacing w:line="240" w:lineRule="atLeast"/>
              <w:jc w:val="both"/>
              <w:rPr>
                <w:rFonts w:cs="Arial"/>
              </w:rPr>
            </w:pPr>
            <w:r w:rsidRPr="00E30642">
              <w:rPr>
                <w:rFonts w:cs="Arial"/>
              </w:rPr>
              <w:t>49 843,38</w:t>
            </w:r>
          </w:p>
        </w:tc>
        <w:tc>
          <w:tcPr>
            <w:tcW w:w="900" w:type="dxa"/>
            <w:tcBorders>
              <w:top w:val="single" w:sz="6" w:space="0" w:color="auto"/>
              <w:left w:val="single" w:sz="6" w:space="0" w:color="auto"/>
              <w:bottom w:val="single" w:sz="6" w:space="0" w:color="auto"/>
              <w:right w:val="single" w:sz="6" w:space="0" w:color="auto"/>
            </w:tcBorders>
          </w:tcPr>
          <w:p w14:paraId="3C3FA486" w14:textId="77777777" w:rsidR="00CA23D0" w:rsidRPr="00E30642" w:rsidRDefault="00CA23D0" w:rsidP="00CA23D0">
            <w:pPr>
              <w:pStyle w:val="Texttabulky"/>
              <w:spacing w:line="240" w:lineRule="atLeast"/>
              <w:jc w:val="both"/>
              <w:rPr>
                <w:rFonts w:cs="Arial"/>
              </w:rPr>
            </w:pPr>
            <w:r w:rsidRPr="00E30642">
              <w:rPr>
                <w:rFonts w:cs="Arial"/>
              </w:rPr>
              <w:t>296</w:t>
            </w:r>
          </w:p>
        </w:tc>
        <w:tc>
          <w:tcPr>
            <w:tcW w:w="900" w:type="dxa"/>
            <w:tcBorders>
              <w:top w:val="single" w:sz="6" w:space="0" w:color="auto"/>
              <w:left w:val="single" w:sz="6" w:space="0" w:color="auto"/>
              <w:bottom w:val="single" w:sz="6" w:space="0" w:color="auto"/>
              <w:right w:val="single" w:sz="6" w:space="0" w:color="auto"/>
            </w:tcBorders>
          </w:tcPr>
          <w:p w14:paraId="70977D3C" w14:textId="77777777" w:rsidR="00CA23D0" w:rsidRPr="00E30642" w:rsidRDefault="00CA23D0" w:rsidP="00CA23D0">
            <w:pPr>
              <w:pStyle w:val="Texttabulky"/>
              <w:spacing w:line="240" w:lineRule="atLeast"/>
              <w:jc w:val="both"/>
              <w:rPr>
                <w:rFonts w:cs="Arial"/>
              </w:rPr>
            </w:pPr>
            <w:r w:rsidRPr="00E30642">
              <w:rPr>
                <w:rFonts w:cs="Arial"/>
              </w:rPr>
              <w:t>59,1</w:t>
            </w:r>
          </w:p>
        </w:tc>
        <w:tc>
          <w:tcPr>
            <w:tcW w:w="821" w:type="dxa"/>
            <w:tcBorders>
              <w:top w:val="single" w:sz="6" w:space="0" w:color="auto"/>
              <w:left w:val="single" w:sz="6" w:space="0" w:color="auto"/>
              <w:bottom w:val="single" w:sz="6" w:space="0" w:color="auto"/>
              <w:right w:val="single" w:sz="6" w:space="0" w:color="auto"/>
            </w:tcBorders>
          </w:tcPr>
          <w:p w14:paraId="7EAC5324" w14:textId="77777777" w:rsidR="00CA23D0" w:rsidRPr="00E30642" w:rsidRDefault="00CA23D0" w:rsidP="00CA23D0">
            <w:pPr>
              <w:pStyle w:val="Texttabulky"/>
              <w:spacing w:line="240" w:lineRule="atLeast"/>
              <w:jc w:val="both"/>
              <w:rPr>
                <w:rFonts w:cs="Arial"/>
              </w:rPr>
            </w:pPr>
            <w:r w:rsidRPr="00E30642">
              <w:rPr>
                <w:rFonts w:cs="Arial"/>
              </w:rPr>
              <w:t>42</w:t>
            </w:r>
          </w:p>
        </w:tc>
        <w:tc>
          <w:tcPr>
            <w:tcW w:w="821" w:type="dxa"/>
            <w:tcBorders>
              <w:top w:val="single" w:sz="6" w:space="0" w:color="auto"/>
              <w:left w:val="single" w:sz="6" w:space="0" w:color="auto"/>
              <w:bottom w:val="single" w:sz="6" w:space="0" w:color="auto"/>
              <w:right w:val="single" w:sz="6" w:space="0" w:color="auto"/>
            </w:tcBorders>
          </w:tcPr>
          <w:p w14:paraId="33FE7F18" w14:textId="77777777" w:rsidR="00CA23D0" w:rsidRPr="00E30642" w:rsidRDefault="00CA23D0" w:rsidP="00CA23D0">
            <w:pPr>
              <w:pStyle w:val="Texttabulky"/>
              <w:spacing w:line="240" w:lineRule="atLeast"/>
              <w:jc w:val="both"/>
              <w:rPr>
                <w:rFonts w:cs="Arial"/>
              </w:rPr>
            </w:pPr>
            <w:r w:rsidRPr="00E30642">
              <w:rPr>
                <w:rFonts w:cs="Arial"/>
              </w:rPr>
              <w:t>1 467</w:t>
            </w:r>
          </w:p>
        </w:tc>
        <w:tc>
          <w:tcPr>
            <w:tcW w:w="773" w:type="dxa"/>
            <w:tcBorders>
              <w:top w:val="single" w:sz="6" w:space="0" w:color="auto"/>
              <w:left w:val="single" w:sz="6" w:space="0" w:color="auto"/>
              <w:bottom w:val="single" w:sz="6" w:space="0" w:color="auto"/>
              <w:right w:val="single" w:sz="6" w:space="0" w:color="auto"/>
            </w:tcBorders>
          </w:tcPr>
          <w:p w14:paraId="455E8EAA" w14:textId="77777777" w:rsidR="00CA23D0" w:rsidRPr="00E30642" w:rsidRDefault="00CA23D0" w:rsidP="00CA23D0">
            <w:pPr>
              <w:pStyle w:val="Texttabulky"/>
              <w:spacing w:line="240" w:lineRule="atLeast"/>
              <w:jc w:val="both"/>
              <w:rPr>
                <w:rFonts w:cs="Arial"/>
              </w:rPr>
            </w:pPr>
            <w:r w:rsidRPr="00E30642">
              <w:rPr>
                <w:rFonts w:cs="Arial"/>
              </w:rPr>
              <w:t>2 848</w:t>
            </w:r>
          </w:p>
        </w:tc>
        <w:tc>
          <w:tcPr>
            <w:tcW w:w="712" w:type="dxa"/>
            <w:tcBorders>
              <w:top w:val="single" w:sz="6" w:space="0" w:color="auto"/>
              <w:left w:val="single" w:sz="6" w:space="0" w:color="auto"/>
              <w:bottom w:val="single" w:sz="6" w:space="0" w:color="auto"/>
              <w:right w:val="single" w:sz="6" w:space="0" w:color="auto"/>
            </w:tcBorders>
          </w:tcPr>
          <w:p w14:paraId="5793EC85" w14:textId="77777777" w:rsidR="00CA23D0" w:rsidRPr="00E30642" w:rsidRDefault="00CA23D0" w:rsidP="00CA23D0">
            <w:pPr>
              <w:pStyle w:val="Texttabulky"/>
              <w:spacing w:line="240" w:lineRule="atLeast"/>
              <w:jc w:val="both"/>
              <w:rPr>
                <w:rFonts w:cs="Arial"/>
              </w:rPr>
            </w:pPr>
            <w:r w:rsidRPr="00E30642">
              <w:rPr>
                <w:rFonts w:cs="Arial"/>
              </w:rPr>
              <w:t>3 866</w:t>
            </w:r>
          </w:p>
        </w:tc>
        <w:tc>
          <w:tcPr>
            <w:tcW w:w="892" w:type="dxa"/>
            <w:tcBorders>
              <w:top w:val="single" w:sz="6" w:space="0" w:color="auto"/>
              <w:left w:val="single" w:sz="6" w:space="0" w:color="auto"/>
              <w:bottom w:val="single" w:sz="6" w:space="0" w:color="auto"/>
              <w:right w:val="single" w:sz="6" w:space="0" w:color="auto"/>
            </w:tcBorders>
          </w:tcPr>
          <w:p w14:paraId="60E57F35" w14:textId="77777777" w:rsidR="00CA23D0" w:rsidRPr="00E30642" w:rsidRDefault="00CA23D0" w:rsidP="00CA23D0">
            <w:pPr>
              <w:pStyle w:val="Texttabulky"/>
              <w:spacing w:line="240" w:lineRule="atLeast"/>
              <w:jc w:val="both"/>
              <w:rPr>
                <w:rFonts w:cs="Arial"/>
              </w:rPr>
            </w:pPr>
            <w:r w:rsidRPr="00E30642">
              <w:rPr>
                <w:rFonts w:cs="Arial"/>
              </w:rPr>
              <w:t>4,45</w:t>
            </w:r>
          </w:p>
        </w:tc>
      </w:tr>
      <w:tr w:rsidR="00CA23D0" w:rsidRPr="00E30642" w14:paraId="1244FE8D" w14:textId="77777777" w:rsidTr="00CA23D0">
        <w:trPr>
          <w:trHeight w:val="469"/>
        </w:trPr>
        <w:tc>
          <w:tcPr>
            <w:tcW w:w="1972" w:type="dxa"/>
            <w:tcBorders>
              <w:top w:val="single" w:sz="6" w:space="0" w:color="auto"/>
              <w:left w:val="single" w:sz="6" w:space="0" w:color="auto"/>
              <w:bottom w:val="single" w:sz="6" w:space="0" w:color="auto"/>
              <w:right w:val="single" w:sz="6" w:space="0" w:color="auto"/>
            </w:tcBorders>
          </w:tcPr>
          <w:p w14:paraId="504B8B7F" w14:textId="77777777" w:rsidR="00CA23D0" w:rsidRPr="00E30642" w:rsidRDefault="00CA23D0" w:rsidP="00CA23D0">
            <w:pPr>
              <w:pStyle w:val="Texttabulky"/>
              <w:spacing w:line="240" w:lineRule="atLeast"/>
              <w:jc w:val="both"/>
              <w:rPr>
                <w:rFonts w:cs="Arial"/>
              </w:rPr>
            </w:pPr>
            <w:r w:rsidRPr="00E30642">
              <w:rPr>
                <w:rFonts w:cs="Arial"/>
              </w:rPr>
              <w:t>Jílovský potok ústí do Labe</w:t>
            </w:r>
          </w:p>
        </w:tc>
        <w:tc>
          <w:tcPr>
            <w:tcW w:w="1374" w:type="dxa"/>
            <w:tcBorders>
              <w:top w:val="single" w:sz="6" w:space="0" w:color="auto"/>
              <w:left w:val="single" w:sz="6" w:space="0" w:color="auto"/>
              <w:bottom w:val="single" w:sz="6" w:space="0" w:color="auto"/>
              <w:right w:val="single" w:sz="6" w:space="0" w:color="auto"/>
            </w:tcBorders>
          </w:tcPr>
          <w:p w14:paraId="7D3362FF" w14:textId="77777777" w:rsidR="00CA23D0" w:rsidRPr="00E30642" w:rsidRDefault="00CA23D0" w:rsidP="00CA23D0">
            <w:pPr>
              <w:pStyle w:val="Texttabulky"/>
              <w:spacing w:line="240" w:lineRule="atLeast"/>
              <w:jc w:val="both"/>
              <w:rPr>
                <w:rFonts w:cs="Arial"/>
              </w:rPr>
            </w:pPr>
            <w:r w:rsidRPr="00E30642">
              <w:rPr>
                <w:rFonts w:cs="Arial"/>
              </w:rPr>
              <w:t>76,82</w:t>
            </w:r>
          </w:p>
        </w:tc>
        <w:tc>
          <w:tcPr>
            <w:tcW w:w="900" w:type="dxa"/>
            <w:tcBorders>
              <w:top w:val="single" w:sz="6" w:space="0" w:color="auto"/>
              <w:left w:val="single" w:sz="6" w:space="0" w:color="auto"/>
              <w:bottom w:val="single" w:sz="6" w:space="0" w:color="auto"/>
              <w:right w:val="single" w:sz="6" w:space="0" w:color="auto"/>
            </w:tcBorders>
          </w:tcPr>
          <w:p w14:paraId="3769C500" w14:textId="77777777" w:rsidR="00CA23D0" w:rsidRPr="00E30642" w:rsidRDefault="00CA23D0" w:rsidP="00CA23D0">
            <w:pPr>
              <w:pStyle w:val="Texttabulky"/>
              <w:spacing w:line="240" w:lineRule="atLeast"/>
              <w:jc w:val="both"/>
              <w:rPr>
                <w:rFonts w:cs="Arial"/>
              </w:rPr>
            </w:pPr>
            <w:r w:rsidRPr="00E30642">
              <w:rPr>
                <w:rFonts w:cs="Arial"/>
              </w:rPr>
              <w:t>0,71</w:t>
            </w:r>
          </w:p>
        </w:tc>
        <w:tc>
          <w:tcPr>
            <w:tcW w:w="900" w:type="dxa"/>
            <w:tcBorders>
              <w:top w:val="single" w:sz="6" w:space="0" w:color="auto"/>
              <w:left w:val="single" w:sz="6" w:space="0" w:color="auto"/>
              <w:bottom w:val="single" w:sz="6" w:space="0" w:color="auto"/>
              <w:right w:val="single" w:sz="6" w:space="0" w:color="auto"/>
            </w:tcBorders>
          </w:tcPr>
          <w:p w14:paraId="6FB76E48" w14:textId="77777777" w:rsidR="00CA23D0" w:rsidRPr="00E30642" w:rsidRDefault="00CA23D0" w:rsidP="00CA23D0">
            <w:pPr>
              <w:pStyle w:val="Texttabulky"/>
              <w:spacing w:line="240" w:lineRule="atLeast"/>
              <w:jc w:val="both"/>
              <w:rPr>
                <w:rFonts w:cs="Arial"/>
              </w:rPr>
            </w:pPr>
            <w:r w:rsidRPr="00E30642">
              <w:rPr>
                <w:rFonts w:cs="Arial"/>
              </w:rPr>
              <w:t>0,16</w:t>
            </w:r>
          </w:p>
        </w:tc>
        <w:tc>
          <w:tcPr>
            <w:tcW w:w="821" w:type="dxa"/>
            <w:tcBorders>
              <w:top w:val="single" w:sz="6" w:space="0" w:color="auto"/>
              <w:left w:val="single" w:sz="6" w:space="0" w:color="auto"/>
              <w:bottom w:val="single" w:sz="6" w:space="0" w:color="auto"/>
              <w:right w:val="single" w:sz="6" w:space="0" w:color="auto"/>
            </w:tcBorders>
          </w:tcPr>
          <w:p w14:paraId="6B0EC5D3" w14:textId="77777777" w:rsidR="00CA23D0" w:rsidRPr="00E30642" w:rsidRDefault="00CA23D0" w:rsidP="00CA23D0">
            <w:pPr>
              <w:pStyle w:val="Texttabulky"/>
              <w:spacing w:line="240" w:lineRule="atLeast"/>
              <w:jc w:val="both"/>
              <w:rPr>
                <w:rFonts w:cs="Arial"/>
              </w:rPr>
            </w:pPr>
            <w:r w:rsidRPr="00E30642">
              <w:rPr>
                <w:rFonts w:cs="Arial"/>
              </w:rPr>
              <w:t>0,11</w:t>
            </w:r>
          </w:p>
        </w:tc>
        <w:tc>
          <w:tcPr>
            <w:tcW w:w="821" w:type="dxa"/>
            <w:tcBorders>
              <w:top w:val="single" w:sz="6" w:space="0" w:color="auto"/>
              <w:left w:val="single" w:sz="6" w:space="0" w:color="auto"/>
              <w:bottom w:val="single" w:sz="6" w:space="0" w:color="auto"/>
              <w:right w:val="single" w:sz="6" w:space="0" w:color="auto"/>
            </w:tcBorders>
          </w:tcPr>
          <w:p w14:paraId="30C831A7" w14:textId="77777777" w:rsidR="00CA23D0" w:rsidRPr="00E30642" w:rsidRDefault="00CA23D0" w:rsidP="00CA23D0">
            <w:pPr>
              <w:pStyle w:val="Texttabulky"/>
              <w:spacing w:line="240" w:lineRule="atLeast"/>
              <w:jc w:val="both"/>
              <w:rPr>
                <w:rFonts w:cs="Arial"/>
              </w:rPr>
            </w:pPr>
            <w:r w:rsidRPr="00E30642">
              <w:rPr>
                <w:rFonts w:cs="Arial"/>
              </w:rPr>
              <w:t>8</w:t>
            </w:r>
          </w:p>
        </w:tc>
        <w:tc>
          <w:tcPr>
            <w:tcW w:w="773" w:type="dxa"/>
            <w:tcBorders>
              <w:top w:val="single" w:sz="6" w:space="0" w:color="auto"/>
              <w:left w:val="single" w:sz="6" w:space="0" w:color="auto"/>
              <w:bottom w:val="single" w:sz="6" w:space="0" w:color="auto"/>
              <w:right w:val="single" w:sz="6" w:space="0" w:color="auto"/>
            </w:tcBorders>
          </w:tcPr>
          <w:p w14:paraId="0B25B335" w14:textId="77777777" w:rsidR="00CA23D0" w:rsidRPr="00E30642" w:rsidRDefault="00CA23D0" w:rsidP="00CA23D0">
            <w:pPr>
              <w:pStyle w:val="Texttabulky"/>
              <w:spacing w:line="240" w:lineRule="atLeast"/>
              <w:jc w:val="both"/>
              <w:rPr>
                <w:rFonts w:cs="Arial"/>
              </w:rPr>
            </w:pPr>
            <w:r w:rsidRPr="00E30642">
              <w:rPr>
                <w:rFonts w:cs="Arial"/>
              </w:rPr>
              <w:t>16</w:t>
            </w:r>
          </w:p>
        </w:tc>
        <w:tc>
          <w:tcPr>
            <w:tcW w:w="712" w:type="dxa"/>
            <w:tcBorders>
              <w:top w:val="single" w:sz="6" w:space="0" w:color="auto"/>
              <w:left w:val="single" w:sz="6" w:space="0" w:color="auto"/>
              <w:bottom w:val="single" w:sz="6" w:space="0" w:color="auto"/>
              <w:right w:val="single" w:sz="6" w:space="0" w:color="auto"/>
            </w:tcBorders>
          </w:tcPr>
          <w:p w14:paraId="40589C12" w14:textId="77777777" w:rsidR="00CA23D0" w:rsidRPr="00E30642" w:rsidRDefault="00CA23D0" w:rsidP="00CA23D0">
            <w:pPr>
              <w:pStyle w:val="Texttabulky"/>
              <w:spacing w:line="240" w:lineRule="atLeast"/>
              <w:jc w:val="both"/>
              <w:rPr>
                <w:rFonts w:cs="Arial"/>
              </w:rPr>
            </w:pPr>
            <w:r w:rsidRPr="00E30642">
              <w:rPr>
                <w:rFonts w:cs="Arial"/>
              </w:rPr>
              <w:t>-</w:t>
            </w:r>
          </w:p>
        </w:tc>
        <w:tc>
          <w:tcPr>
            <w:tcW w:w="892" w:type="dxa"/>
            <w:tcBorders>
              <w:top w:val="single" w:sz="6" w:space="0" w:color="auto"/>
              <w:left w:val="single" w:sz="6" w:space="0" w:color="auto"/>
              <w:bottom w:val="single" w:sz="6" w:space="0" w:color="auto"/>
              <w:right w:val="single" w:sz="6" w:space="0" w:color="auto"/>
            </w:tcBorders>
          </w:tcPr>
          <w:p w14:paraId="226831A3" w14:textId="77777777" w:rsidR="00CA23D0" w:rsidRPr="00E30642" w:rsidRDefault="00CA23D0" w:rsidP="00CA23D0">
            <w:pPr>
              <w:pStyle w:val="Texttabulky"/>
              <w:spacing w:line="240" w:lineRule="atLeast"/>
              <w:jc w:val="both"/>
              <w:rPr>
                <w:rFonts w:cs="Arial"/>
              </w:rPr>
            </w:pPr>
            <w:r w:rsidRPr="00E30642">
              <w:rPr>
                <w:rFonts w:cs="Arial"/>
              </w:rPr>
              <w:t>125</w:t>
            </w:r>
          </w:p>
        </w:tc>
      </w:tr>
      <w:tr w:rsidR="00CA23D0" w:rsidRPr="00E30642" w14:paraId="7AE05FA9" w14:textId="77777777" w:rsidTr="00CA23D0">
        <w:trPr>
          <w:trHeight w:val="469"/>
        </w:trPr>
        <w:tc>
          <w:tcPr>
            <w:tcW w:w="1972" w:type="dxa"/>
            <w:tcBorders>
              <w:top w:val="single" w:sz="6" w:space="0" w:color="auto"/>
              <w:left w:val="single" w:sz="6" w:space="0" w:color="auto"/>
              <w:bottom w:val="single" w:sz="6" w:space="0" w:color="auto"/>
              <w:right w:val="single" w:sz="6" w:space="0" w:color="auto"/>
            </w:tcBorders>
          </w:tcPr>
          <w:p w14:paraId="7BE633DF" w14:textId="77777777" w:rsidR="00CA23D0" w:rsidRPr="00E30642" w:rsidRDefault="00CA23D0" w:rsidP="00CA23D0">
            <w:pPr>
              <w:pStyle w:val="Texttabulky"/>
              <w:spacing w:line="240" w:lineRule="atLeast"/>
              <w:jc w:val="both"/>
              <w:rPr>
                <w:rFonts w:cs="Arial"/>
              </w:rPr>
            </w:pPr>
            <w:r w:rsidRPr="00E30642">
              <w:rPr>
                <w:rFonts w:cs="Arial"/>
              </w:rPr>
              <w:t>Labe pod ústím Jílového potoka</w:t>
            </w:r>
          </w:p>
        </w:tc>
        <w:tc>
          <w:tcPr>
            <w:tcW w:w="1374" w:type="dxa"/>
            <w:tcBorders>
              <w:top w:val="single" w:sz="6" w:space="0" w:color="auto"/>
              <w:left w:val="single" w:sz="6" w:space="0" w:color="auto"/>
              <w:bottom w:val="single" w:sz="6" w:space="0" w:color="auto"/>
              <w:right w:val="single" w:sz="6" w:space="0" w:color="auto"/>
            </w:tcBorders>
          </w:tcPr>
          <w:p w14:paraId="4960EB3F" w14:textId="77777777" w:rsidR="00CA23D0" w:rsidRPr="00E30642" w:rsidRDefault="00CA23D0" w:rsidP="00CA23D0">
            <w:pPr>
              <w:pStyle w:val="Texttabulky"/>
              <w:spacing w:line="240" w:lineRule="atLeast"/>
              <w:jc w:val="both"/>
              <w:rPr>
                <w:rFonts w:cs="Arial"/>
              </w:rPr>
            </w:pPr>
            <w:r w:rsidRPr="00E30642">
              <w:rPr>
                <w:rFonts w:cs="Arial"/>
              </w:rPr>
              <w:t>49 920,2</w:t>
            </w:r>
          </w:p>
        </w:tc>
        <w:tc>
          <w:tcPr>
            <w:tcW w:w="900" w:type="dxa"/>
            <w:tcBorders>
              <w:top w:val="single" w:sz="6" w:space="0" w:color="auto"/>
              <w:left w:val="single" w:sz="6" w:space="0" w:color="auto"/>
              <w:bottom w:val="single" w:sz="6" w:space="0" w:color="auto"/>
              <w:right w:val="single" w:sz="6" w:space="0" w:color="auto"/>
            </w:tcBorders>
          </w:tcPr>
          <w:p w14:paraId="262DA5D5" w14:textId="77777777" w:rsidR="00CA23D0" w:rsidRPr="00E30642" w:rsidRDefault="00CA23D0" w:rsidP="00CA23D0">
            <w:pPr>
              <w:pStyle w:val="Texttabulky"/>
              <w:spacing w:line="240" w:lineRule="atLeast"/>
              <w:jc w:val="both"/>
              <w:rPr>
                <w:rFonts w:cs="Arial"/>
              </w:rPr>
            </w:pPr>
            <w:r w:rsidRPr="00E30642">
              <w:rPr>
                <w:rFonts w:cs="Arial"/>
              </w:rPr>
              <w:t>297</w:t>
            </w:r>
          </w:p>
        </w:tc>
        <w:tc>
          <w:tcPr>
            <w:tcW w:w="900" w:type="dxa"/>
            <w:tcBorders>
              <w:top w:val="single" w:sz="6" w:space="0" w:color="auto"/>
              <w:left w:val="single" w:sz="6" w:space="0" w:color="auto"/>
              <w:bottom w:val="single" w:sz="6" w:space="0" w:color="auto"/>
              <w:right w:val="single" w:sz="6" w:space="0" w:color="auto"/>
            </w:tcBorders>
          </w:tcPr>
          <w:p w14:paraId="403F9CF8" w14:textId="77777777" w:rsidR="00CA23D0" w:rsidRPr="00E30642" w:rsidRDefault="00CA23D0" w:rsidP="00CA23D0">
            <w:pPr>
              <w:pStyle w:val="Texttabulky"/>
              <w:spacing w:line="240" w:lineRule="atLeast"/>
              <w:jc w:val="both"/>
              <w:rPr>
                <w:rFonts w:cs="Arial"/>
              </w:rPr>
            </w:pPr>
            <w:r w:rsidRPr="00E30642">
              <w:rPr>
                <w:rFonts w:cs="Arial"/>
              </w:rPr>
              <w:t>59,3</w:t>
            </w:r>
          </w:p>
        </w:tc>
        <w:tc>
          <w:tcPr>
            <w:tcW w:w="821" w:type="dxa"/>
            <w:tcBorders>
              <w:top w:val="single" w:sz="6" w:space="0" w:color="auto"/>
              <w:left w:val="single" w:sz="6" w:space="0" w:color="auto"/>
              <w:bottom w:val="single" w:sz="6" w:space="0" w:color="auto"/>
              <w:right w:val="single" w:sz="6" w:space="0" w:color="auto"/>
            </w:tcBorders>
          </w:tcPr>
          <w:p w14:paraId="63759F99" w14:textId="77777777" w:rsidR="00CA23D0" w:rsidRPr="00E30642" w:rsidRDefault="00CA23D0" w:rsidP="00CA23D0">
            <w:pPr>
              <w:pStyle w:val="Texttabulky"/>
              <w:spacing w:line="240" w:lineRule="atLeast"/>
              <w:jc w:val="both"/>
              <w:rPr>
                <w:rFonts w:cs="Arial"/>
              </w:rPr>
            </w:pPr>
            <w:r w:rsidRPr="00E30642">
              <w:rPr>
                <w:rFonts w:cs="Arial"/>
              </w:rPr>
              <w:t>42,2</w:t>
            </w:r>
          </w:p>
        </w:tc>
        <w:tc>
          <w:tcPr>
            <w:tcW w:w="821" w:type="dxa"/>
            <w:tcBorders>
              <w:top w:val="single" w:sz="6" w:space="0" w:color="auto"/>
              <w:left w:val="single" w:sz="6" w:space="0" w:color="auto"/>
              <w:bottom w:val="single" w:sz="6" w:space="0" w:color="auto"/>
              <w:right w:val="single" w:sz="6" w:space="0" w:color="auto"/>
            </w:tcBorders>
          </w:tcPr>
          <w:p w14:paraId="327891B1" w14:textId="77777777" w:rsidR="00CA23D0" w:rsidRPr="00E30642" w:rsidRDefault="00CA23D0" w:rsidP="00CA23D0">
            <w:pPr>
              <w:pStyle w:val="Texttabulky"/>
              <w:spacing w:line="240" w:lineRule="atLeast"/>
              <w:jc w:val="both"/>
              <w:rPr>
                <w:rFonts w:cs="Arial"/>
              </w:rPr>
            </w:pPr>
            <w:r w:rsidRPr="00E30642">
              <w:rPr>
                <w:rFonts w:cs="Arial"/>
              </w:rPr>
              <w:t>1 469</w:t>
            </w:r>
          </w:p>
        </w:tc>
        <w:tc>
          <w:tcPr>
            <w:tcW w:w="773" w:type="dxa"/>
            <w:tcBorders>
              <w:top w:val="single" w:sz="6" w:space="0" w:color="auto"/>
              <w:left w:val="single" w:sz="6" w:space="0" w:color="auto"/>
              <w:bottom w:val="single" w:sz="6" w:space="0" w:color="auto"/>
              <w:right w:val="single" w:sz="6" w:space="0" w:color="auto"/>
            </w:tcBorders>
          </w:tcPr>
          <w:p w14:paraId="5679F65C" w14:textId="77777777" w:rsidR="00CA23D0" w:rsidRPr="00E30642" w:rsidRDefault="00CA23D0" w:rsidP="00CA23D0">
            <w:pPr>
              <w:pStyle w:val="Texttabulky"/>
              <w:spacing w:line="240" w:lineRule="atLeast"/>
              <w:jc w:val="both"/>
              <w:rPr>
                <w:rFonts w:cs="Arial"/>
              </w:rPr>
            </w:pPr>
            <w:r w:rsidRPr="00E30642">
              <w:rPr>
                <w:rFonts w:cs="Arial"/>
              </w:rPr>
              <w:t>2 452</w:t>
            </w:r>
          </w:p>
        </w:tc>
        <w:tc>
          <w:tcPr>
            <w:tcW w:w="712" w:type="dxa"/>
            <w:tcBorders>
              <w:top w:val="single" w:sz="6" w:space="0" w:color="auto"/>
              <w:left w:val="single" w:sz="6" w:space="0" w:color="auto"/>
              <w:bottom w:val="single" w:sz="6" w:space="0" w:color="auto"/>
              <w:right w:val="single" w:sz="6" w:space="0" w:color="auto"/>
            </w:tcBorders>
          </w:tcPr>
          <w:p w14:paraId="1FED1711" w14:textId="77777777" w:rsidR="00CA23D0" w:rsidRPr="00E30642" w:rsidRDefault="00CA23D0" w:rsidP="00CA23D0">
            <w:pPr>
              <w:pStyle w:val="Texttabulky"/>
              <w:spacing w:line="240" w:lineRule="atLeast"/>
              <w:jc w:val="both"/>
              <w:rPr>
                <w:rFonts w:cs="Arial"/>
              </w:rPr>
            </w:pPr>
            <w:r w:rsidRPr="00E30642">
              <w:rPr>
                <w:rFonts w:cs="Arial"/>
              </w:rPr>
              <w:t>3 872</w:t>
            </w:r>
          </w:p>
        </w:tc>
        <w:tc>
          <w:tcPr>
            <w:tcW w:w="892" w:type="dxa"/>
            <w:tcBorders>
              <w:top w:val="single" w:sz="6" w:space="0" w:color="auto"/>
              <w:left w:val="single" w:sz="6" w:space="0" w:color="auto"/>
              <w:bottom w:val="single" w:sz="6" w:space="0" w:color="auto"/>
              <w:right w:val="single" w:sz="6" w:space="0" w:color="auto"/>
            </w:tcBorders>
          </w:tcPr>
          <w:p w14:paraId="659AB360" w14:textId="77777777" w:rsidR="00CA23D0" w:rsidRPr="00E30642" w:rsidRDefault="00CA23D0" w:rsidP="00CA23D0">
            <w:pPr>
              <w:pStyle w:val="Texttabulky"/>
              <w:spacing w:line="240" w:lineRule="atLeast"/>
              <w:jc w:val="both"/>
              <w:rPr>
                <w:rFonts w:cs="Arial"/>
              </w:rPr>
            </w:pPr>
            <w:r w:rsidRPr="00E30642">
              <w:rPr>
                <w:rFonts w:cs="Arial"/>
              </w:rPr>
              <w:t>4 458</w:t>
            </w:r>
          </w:p>
        </w:tc>
      </w:tr>
      <w:tr w:rsidR="00CA23D0" w:rsidRPr="00E30642" w14:paraId="5EBE3ADA" w14:textId="77777777" w:rsidTr="00CA23D0">
        <w:trPr>
          <w:trHeight w:val="469"/>
        </w:trPr>
        <w:tc>
          <w:tcPr>
            <w:tcW w:w="1972" w:type="dxa"/>
            <w:tcBorders>
              <w:top w:val="single" w:sz="6" w:space="0" w:color="auto"/>
              <w:left w:val="single" w:sz="6" w:space="0" w:color="auto"/>
              <w:bottom w:val="single" w:sz="6" w:space="0" w:color="auto"/>
              <w:right w:val="single" w:sz="6" w:space="0" w:color="auto"/>
            </w:tcBorders>
          </w:tcPr>
          <w:p w14:paraId="0CC2C4EB" w14:textId="77777777" w:rsidR="00CA23D0" w:rsidRPr="00E30642" w:rsidRDefault="00CA23D0" w:rsidP="00CA23D0">
            <w:pPr>
              <w:pStyle w:val="Texttabulky"/>
              <w:spacing w:line="240" w:lineRule="atLeast"/>
              <w:jc w:val="both"/>
              <w:rPr>
                <w:rFonts w:cs="Arial"/>
              </w:rPr>
            </w:pPr>
            <w:r w:rsidRPr="00E30642">
              <w:rPr>
                <w:rFonts w:cs="Arial"/>
              </w:rPr>
              <w:t>Labe nad ústím Ploučnice</w:t>
            </w:r>
          </w:p>
        </w:tc>
        <w:tc>
          <w:tcPr>
            <w:tcW w:w="1374" w:type="dxa"/>
            <w:tcBorders>
              <w:top w:val="single" w:sz="6" w:space="0" w:color="auto"/>
              <w:left w:val="single" w:sz="6" w:space="0" w:color="auto"/>
              <w:bottom w:val="single" w:sz="6" w:space="0" w:color="auto"/>
              <w:right w:val="single" w:sz="6" w:space="0" w:color="auto"/>
            </w:tcBorders>
          </w:tcPr>
          <w:p w14:paraId="27091BDA" w14:textId="77777777" w:rsidR="00CA23D0" w:rsidRPr="00E30642" w:rsidRDefault="00CA23D0" w:rsidP="00CA23D0">
            <w:pPr>
              <w:pStyle w:val="Texttabulky"/>
              <w:spacing w:line="240" w:lineRule="atLeast"/>
              <w:jc w:val="both"/>
              <w:rPr>
                <w:rFonts w:cs="Arial"/>
              </w:rPr>
            </w:pPr>
            <w:r w:rsidRPr="00E30642">
              <w:rPr>
                <w:rFonts w:cs="Arial"/>
              </w:rPr>
              <w:t>49 920,21</w:t>
            </w:r>
          </w:p>
        </w:tc>
        <w:tc>
          <w:tcPr>
            <w:tcW w:w="900" w:type="dxa"/>
            <w:tcBorders>
              <w:top w:val="single" w:sz="6" w:space="0" w:color="auto"/>
              <w:left w:val="single" w:sz="6" w:space="0" w:color="auto"/>
              <w:bottom w:val="single" w:sz="6" w:space="0" w:color="auto"/>
              <w:right w:val="single" w:sz="6" w:space="0" w:color="auto"/>
            </w:tcBorders>
          </w:tcPr>
          <w:p w14:paraId="237E41AE" w14:textId="77777777" w:rsidR="00CA23D0" w:rsidRPr="00E30642" w:rsidRDefault="00CA23D0" w:rsidP="00CA23D0">
            <w:pPr>
              <w:pStyle w:val="Texttabulky"/>
              <w:spacing w:line="240" w:lineRule="atLeast"/>
              <w:jc w:val="both"/>
              <w:rPr>
                <w:rFonts w:cs="Arial"/>
              </w:rPr>
            </w:pPr>
            <w:r w:rsidRPr="00E30642">
              <w:rPr>
                <w:rFonts w:cs="Arial"/>
              </w:rPr>
              <w:t>297</w:t>
            </w:r>
          </w:p>
        </w:tc>
        <w:tc>
          <w:tcPr>
            <w:tcW w:w="900" w:type="dxa"/>
            <w:tcBorders>
              <w:top w:val="single" w:sz="6" w:space="0" w:color="auto"/>
              <w:left w:val="single" w:sz="6" w:space="0" w:color="auto"/>
              <w:bottom w:val="single" w:sz="6" w:space="0" w:color="auto"/>
              <w:right w:val="single" w:sz="6" w:space="0" w:color="auto"/>
            </w:tcBorders>
          </w:tcPr>
          <w:p w14:paraId="3DAA6EA0" w14:textId="77777777" w:rsidR="00CA23D0" w:rsidRPr="00E30642" w:rsidRDefault="00CA23D0" w:rsidP="00CA23D0">
            <w:pPr>
              <w:pStyle w:val="Texttabulky"/>
              <w:spacing w:line="240" w:lineRule="atLeast"/>
              <w:jc w:val="both"/>
              <w:rPr>
                <w:rFonts w:cs="Arial"/>
              </w:rPr>
            </w:pPr>
            <w:r w:rsidRPr="00E30642">
              <w:rPr>
                <w:rFonts w:cs="Arial"/>
              </w:rPr>
              <w:t>59,3</w:t>
            </w:r>
          </w:p>
        </w:tc>
        <w:tc>
          <w:tcPr>
            <w:tcW w:w="821" w:type="dxa"/>
            <w:tcBorders>
              <w:top w:val="single" w:sz="6" w:space="0" w:color="auto"/>
              <w:left w:val="single" w:sz="6" w:space="0" w:color="auto"/>
              <w:bottom w:val="single" w:sz="6" w:space="0" w:color="auto"/>
              <w:right w:val="single" w:sz="6" w:space="0" w:color="auto"/>
            </w:tcBorders>
          </w:tcPr>
          <w:p w14:paraId="4E62D5BA" w14:textId="77777777" w:rsidR="00CA23D0" w:rsidRPr="00E30642" w:rsidRDefault="00CA23D0" w:rsidP="00CA23D0">
            <w:pPr>
              <w:pStyle w:val="Texttabulky"/>
              <w:spacing w:line="240" w:lineRule="atLeast"/>
              <w:jc w:val="both"/>
              <w:rPr>
                <w:rFonts w:cs="Arial"/>
              </w:rPr>
            </w:pPr>
            <w:r w:rsidRPr="00E30642">
              <w:rPr>
                <w:rFonts w:cs="Arial"/>
              </w:rPr>
              <w:t>42,2</w:t>
            </w:r>
          </w:p>
        </w:tc>
        <w:tc>
          <w:tcPr>
            <w:tcW w:w="821" w:type="dxa"/>
            <w:tcBorders>
              <w:top w:val="single" w:sz="6" w:space="0" w:color="auto"/>
              <w:left w:val="single" w:sz="6" w:space="0" w:color="auto"/>
              <w:bottom w:val="single" w:sz="6" w:space="0" w:color="auto"/>
              <w:right w:val="single" w:sz="6" w:space="0" w:color="auto"/>
            </w:tcBorders>
          </w:tcPr>
          <w:p w14:paraId="40AE2619" w14:textId="77777777" w:rsidR="00CA23D0" w:rsidRPr="00E30642" w:rsidRDefault="00CA23D0" w:rsidP="00CA23D0">
            <w:pPr>
              <w:pStyle w:val="Texttabulky"/>
              <w:spacing w:line="240" w:lineRule="atLeast"/>
              <w:jc w:val="both"/>
              <w:rPr>
                <w:rFonts w:cs="Arial"/>
              </w:rPr>
            </w:pPr>
            <w:r w:rsidRPr="00E30642">
              <w:rPr>
                <w:rFonts w:cs="Arial"/>
              </w:rPr>
              <w:t>1 469</w:t>
            </w:r>
          </w:p>
        </w:tc>
        <w:tc>
          <w:tcPr>
            <w:tcW w:w="773" w:type="dxa"/>
            <w:tcBorders>
              <w:top w:val="single" w:sz="6" w:space="0" w:color="auto"/>
              <w:left w:val="single" w:sz="6" w:space="0" w:color="auto"/>
              <w:bottom w:val="single" w:sz="6" w:space="0" w:color="auto"/>
              <w:right w:val="single" w:sz="6" w:space="0" w:color="auto"/>
            </w:tcBorders>
          </w:tcPr>
          <w:p w14:paraId="73F86BA4" w14:textId="77777777" w:rsidR="00CA23D0" w:rsidRPr="00E30642" w:rsidRDefault="00CA23D0" w:rsidP="00CA23D0">
            <w:pPr>
              <w:pStyle w:val="Texttabulky"/>
              <w:spacing w:line="240" w:lineRule="atLeast"/>
              <w:jc w:val="both"/>
              <w:rPr>
                <w:rFonts w:cs="Arial"/>
              </w:rPr>
            </w:pPr>
            <w:r w:rsidRPr="00E30642">
              <w:rPr>
                <w:rFonts w:cs="Arial"/>
              </w:rPr>
              <w:t>2 452</w:t>
            </w:r>
          </w:p>
        </w:tc>
        <w:tc>
          <w:tcPr>
            <w:tcW w:w="712" w:type="dxa"/>
            <w:tcBorders>
              <w:top w:val="single" w:sz="6" w:space="0" w:color="auto"/>
              <w:left w:val="single" w:sz="6" w:space="0" w:color="auto"/>
              <w:bottom w:val="single" w:sz="6" w:space="0" w:color="auto"/>
              <w:right w:val="single" w:sz="6" w:space="0" w:color="auto"/>
            </w:tcBorders>
          </w:tcPr>
          <w:p w14:paraId="1C465543" w14:textId="77777777" w:rsidR="00CA23D0" w:rsidRPr="00E30642" w:rsidRDefault="00CA23D0" w:rsidP="00CA23D0">
            <w:pPr>
              <w:pStyle w:val="Texttabulky"/>
              <w:spacing w:line="240" w:lineRule="atLeast"/>
              <w:jc w:val="both"/>
              <w:rPr>
                <w:rFonts w:cs="Arial"/>
              </w:rPr>
            </w:pPr>
            <w:r w:rsidRPr="00E30642">
              <w:rPr>
                <w:rFonts w:cs="Arial"/>
              </w:rPr>
              <w:t>3 872</w:t>
            </w:r>
          </w:p>
        </w:tc>
        <w:tc>
          <w:tcPr>
            <w:tcW w:w="892" w:type="dxa"/>
            <w:tcBorders>
              <w:top w:val="single" w:sz="6" w:space="0" w:color="auto"/>
              <w:left w:val="single" w:sz="6" w:space="0" w:color="auto"/>
              <w:bottom w:val="single" w:sz="6" w:space="0" w:color="auto"/>
              <w:right w:val="single" w:sz="6" w:space="0" w:color="auto"/>
            </w:tcBorders>
          </w:tcPr>
          <w:p w14:paraId="5141A75B" w14:textId="77777777" w:rsidR="00CA23D0" w:rsidRPr="00E30642" w:rsidRDefault="00CA23D0" w:rsidP="00CA23D0">
            <w:pPr>
              <w:pStyle w:val="Texttabulky"/>
              <w:spacing w:line="240" w:lineRule="atLeast"/>
              <w:jc w:val="both"/>
              <w:rPr>
                <w:rFonts w:cs="Arial"/>
              </w:rPr>
            </w:pPr>
            <w:r w:rsidRPr="00E30642">
              <w:rPr>
                <w:rFonts w:cs="Arial"/>
              </w:rPr>
              <w:t>4 458</w:t>
            </w:r>
          </w:p>
        </w:tc>
      </w:tr>
      <w:tr w:rsidR="00CA23D0" w:rsidRPr="00E30642" w14:paraId="10CFF0BB" w14:textId="77777777" w:rsidTr="00CA23D0">
        <w:trPr>
          <w:trHeight w:val="469"/>
        </w:trPr>
        <w:tc>
          <w:tcPr>
            <w:tcW w:w="1972" w:type="dxa"/>
            <w:tcBorders>
              <w:top w:val="single" w:sz="6" w:space="0" w:color="auto"/>
              <w:left w:val="single" w:sz="6" w:space="0" w:color="auto"/>
              <w:bottom w:val="single" w:sz="6" w:space="0" w:color="auto"/>
              <w:right w:val="single" w:sz="6" w:space="0" w:color="auto"/>
            </w:tcBorders>
          </w:tcPr>
          <w:p w14:paraId="42E4B382" w14:textId="77777777" w:rsidR="00CA23D0" w:rsidRPr="00E30642" w:rsidRDefault="00CA23D0" w:rsidP="00CA23D0">
            <w:pPr>
              <w:pStyle w:val="Texttabulky"/>
              <w:spacing w:line="240" w:lineRule="atLeast"/>
              <w:jc w:val="both"/>
              <w:rPr>
                <w:rFonts w:cs="Arial"/>
              </w:rPr>
            </w:pPr>
            <w:r w:rsidRPr="00E30642">
              <w:rPr>
                <w:rFonts w:cs="Arial"/>
              </w:rPr>
              <w:t>Ploučnice ústí do Labe</w:t>
            </w:r>
          </w:p>
        </w:tc>
        <w:tc>
          <w:tcPr>
            <w:tcW w:w="1374" w:type="dxa"/>
            <w:tcBorders>
              <w:top w:val="single" w:sz="6" w:space="0" w:color="auto"/>
              <w:left w:val="single" w:sz="6" w:space="0" w:color="auto"/>
              <w:bottom w:val="single" w:sz="6" w:space="0" w:color="auto"/>
              <w:right w:val="single" w:sz="6" w:space="0" w:color="auto"/>
            </w:tcBorders>
          </w:tcPr>
          <w:p w14:paraId="5AC754CC" w14:textId="77777777" w:rsidR="00CA23D0" w:rsidRPr="00E30642" w:rsidRDefault="00CA23D0" w:rsidP="00CA23D0">
            <w:pPr>
              <w:pStyle w:val="Texttabulky"/>
              <w:spacing w:line="240" w:lineRule="atLeast"/>
              <w:jc w:val="both"/>
              <w:rPr>
                <w:rFonts w:cs="Arial"/>
              </w:rPr>
            </w:pPr>
            <w:r w:rsidRPr="00E30642">
              <w:rPr>
                <w:rFonts w:cs="Arial"/>
              </w:rPr>
              <w:t>1 193,41</w:t>
            </w:r>
          </w:p>
        </w:tc>
        <w:tc>
          <w:tcPr>
            <w:tcW w:w="900" w:type="dxa"/>
            <w:tcBorders>
              <w:top w:val="single" w:sz="6" w:space="0" w:color="auto"/>
              <w:left w:val="single" w:sz="6" w:space="0" w:color="auto"/>
              <w:bottom w:val="single" w:sz="6" w:space="0" w:color="auto"/>
              <w:right w:val="single" w:sz="6" w:space="0" w:color="auto"/>
            </w:tcBorders>
          </w:tcPr>
          <w:p w14:paraId="2C0CF665" w14:textId="77777777" w:rsidR="00CA23D0" w:rsidRPr="00E30642" w:rsidRDefault="00CA23D0" w:rsidP="00CA23D0">
            <w:pPr>
              <w:pStyle w:val="Texttabulky"/>
              <w:spacing w:line="240" w:lineRule="atLeast"/>
              <w:jc w:val="both"/>
              <w:rPr>
                <w:rFonts w:cs="Arial"/>
              </w:rPr>
            </w:pPr>
            <w:r w:rsidRPr="00E30642">
              <w:rPr>
                <w:rFonts w:cs="Arial"/>
              </w:rPr>
              <w:t>8,59</w:t>
            </w:r>
          </w:p>
        </w:tc>
        <w:tc>
          <w:tcPr>
            <w:tcW w:w="900" w:type="dxa"/>
            <w:tcBorders>
              <w:top w:val="single" w:sz="6" w:space="0" w:color="auto"/>
              <w:left w:val="single" w:sz="6" w:space="0" w:color="auto"/>
              <w:bottom w:val="single" w:sz="6" w:space="0" w:color="auto"/>
              <w:right w:val="single" w:sz="6" w:space="0" w:color="auto"/>
            </w:tcBorders>
          </w:tcPr>
          <w:p w14:paraId="085543D5" w14:textId="77777777" w:rsidR="00CA23D0" w:rsidRPr="00E30642" w:rsidRDefault="00CA23D0" w:rsidP="00CA23D0">
            <w:pPr>
              <w:pStyle w:val="Texttabulky"/>
              <w:spacing w:line="240" w:lineRule="atLeast"/>
              <w:jc w:val="both"/>
              <w:rPr>
                <w:rFonts w:cs="Arial"/>
              </w:rPr>
            </w:pPr>
            <w:r w:rsidRPr="00E30642">
              <w:rPr>
                <w:rFonts w:cs="Arial"/>
              </w:rPr>
              <w:t>3,6</w:t>
            </w:r>
          </w:p>
        </w:tc>
        <w:tc>
          <w:tcPr>
            <w:tcW w:w="821" w:type="dxa"/>
            <w:tcBorders>
              <w:top w:val="single" w:sz="6" w:space="0" w:color="auto"/>
              <w:left w:val="single" w:sz="6" w:space="0" w:color="auto"/>
              <w:bottom w:val="single" w:sz="6" w:space="0" w:color="auto"/>
              <w:right w:val="single" w:sz="6" w:space="0" w:color="auto"/>
            </w:tcBorders>
          </w:tcPr>
          <w:p w14:paraId="4A17EC43" w14:textId="77777777" w:rsidR="00CA23D0" w:rsidRPr="00E30642" w:rsidRDefault="00CA23D0" w:rsidP="00CA23D0">
            <w:pPr>
              <w:pStyle w:val="Texttabulky"/>
              <w:spacing w:line="240" w:lineRule="atLeast"/>
              <w:jc w:val="both"/>
              <w:rPr>
                <w:rFonts w:cs="Arial"/>
              </w:rPr>
            </w:pPr>
            <w:r w:rsidRPr="00E30642">
              <w:rPr>
                <w:rFonts w:cs="Arial"/>
              </w:rPr>
              <w:t>2,46</w:t>
            </w:r>
          </w:p>
        </w:tc>
        <w:tc>
          <w:tcPr>
            <w:tcW w:w="821" w:type="dxa"/>
            <w:tcBorders>
              <w:top w:val="single" w:sz="6" w:space="0" w:color="auto"/>
              <w:left w:val="single" w:sz="6" w:space="0" w:color="auto"/>
              <w:bottom w:val="single" w:sz="6" w:space="0" w:color="auto"/>
              <w:right w:val="single" w:sz="6" w:space="0" w:color="auto"/>
            </w:tcBorders>
          </w:tcPr>
          <w:p w14:paraId="12CFB4CA" w14:textId="77777777" w:rsidR="00CA23D0" w:rsidRPr="00E30642" w:rsidRDefault="00CA23D0" w:rsidP="00CA23D0">
            <w:pPr>
              <w:pStyle w:val="Texttabulky"/>
              <w:spacing w:line="240" w:lineRule="atLeast"/>
              <w:jc w:val="both"/>
              <w:rPr>
                <w:rFonts w:cs="Arial"/>
              </w:rPr>
            </w:pPr>
            <w:r w:rsidRPr="00E30642">
              <w:rPr>
                <w:rFonts w:cs="Arial"/>
              </w:rPr>
              <w:t>64</w:t>
            </w:r>
          </w:p>
        </w:tc>
        <w:tc>
          <w:tcPr>
            <w:tcW w:w="773" w:type="dxa"/>
            <w:tcBorders>
              <w:top w:val="single" w:sz="6" w:space="0" w:color="auto"/>
              <w:left w:val="single" w:sz="6" w:space="0" w:color="auto"/>
              <w:bottom w:val="single" w:sz="6" w:space="0" w:color="auto"/>
              <w:right w:val="single" w:sz="6" w:space="0" w:color="auto"/>
            </w:tcBorders>
          </w:tcPr>
          <w:p w14:paraId="455752D1" w14:textId="77777777" w:rsidR="00CA23D0" w:rsidRPr="00E30642" w:rsidRDefault="00CA23D0" w:rsidP="00CA23D0">
            <w:pPr>
              <w:pStyle w:val="Texttabulky"/>
              <w:spacing w:line="240" w:lineRule="atLeast"/>
              <w:jc w:val="both"/>
              <w:rPr>
                <w:rFonts w:cs="Arial"/>
              </w:rPr>
            </w:pPr>
            <w:r w:rsidRPr="00E30642">
              <w:rPr>
                <w:rFonts w:cs="Arial"/>
              </w:rPr>
              <w:t>108</w:t>
            </w:r>
          </w:p>
        </w:tc>
        <w:tc>
          <w:tcPr>
            <w:tcW w:w="712" w:type="dxa"/>
            <w:tcBorders>
              <w:top w:val="single" w:sz="6" w:space="0" w:color="auto"/>
              <w:left w:val="single" w:sz="6" w:space="0" w:color="auto"/>
              <w:bottom w:val="single" w:sz="6" w:space="0" w:color="auto"/>
              <w:right w:val="single" w:sz="6" w:space="0" w:color="auto"/>
            </w:tcBorders>
          </w:tcPr>
          <w:p w14:paraId="421106EC" w14:textId="77777777" w:rsidR="00CA23D0" w:rsidRPr="00E30642" w:rsidRDefault="00CA23D0" w:rsidP="00CA23D0">
            <w:pPr>
              <w:pStyle w:val="Texttabulky"/>
              <w:spacing w:line="240" w:lineRule="atLeast"/>
              <w:jc w:val="both"/>
              <w:rPr>
                <w:rFonts w:cs="Arial"/>
              </w:rPr>
            </w:pPr>
            <w:r w:rsidRPr="00E30642">
              <w:rPr>
                <w:rFonts w:cs="Arial"/>
              </w:rPr>
              <w:t>108</w:t>
            </w:r>
          </w:p>
        </w:tc>
        <w:tc>
          <w:tcPr>
            <w:tcW w:w="892" w:type="dxa"/>
            <w:tcBorders>
              <w:top w:val="single" w:sz="6" w:space="0" w:color="auto"/>
              <w:left w:val="single" w:sz="6" w:space="0" w:color="auto"/>
              <w:bottom w:val="single" w:sz="6" w:space="0" w:color="auto"/>
              <w:right w:val="single" w:sz="6" w:space="0" w:color="auto"/>
            </w:tcBorders>
          </w:tcPr>
          <w:p w14:paraId="22437443" w14:textId="77777777" w:rsidR="00CA23D0" w:rsidRPr="00E30642" w:rsidRDefault="00CA23D0" w:rsidP="00CA23D0">
            <w:pPr>
              <w:pStyle w:val="Texttabulky"/>
              <w:spacing w:line="240" w:lineRule="atLeast"/>
              <w:jc w:val="both"/>
              <w:rPr>
                <w:rFonts w:cs="Arial"/>
              </w:rPr>
            </w:pPr>
            <w:r w:rsidRPr="00E30642">
              <w:rPr>
                <w:rFonts w:cs="Arial"/>
              </w:rPr>
              <w:t>222</w:t>
            </w:r>
          </w:p>
        </w:tc>
      </w:tr>
      <w:tr w:rsidR="00CA23D0" w:rsidRPr="00E30642" w14:paraId="09427CC9" w14:textId="77777777" w:rsidTr="00CA23D0">
        <w:trPr>
          <w:trHeight w:val="469"/>
        </w:trPr>
        <w:tc>
          <w:tcPr>
            <w:tcW w:w="1972" w:type="dxa"/>
            <w:tcBorders>
              <w:top w:val="single" w:sz="6" w:space="0" w:color="auto"/>
              <w:left w:val="single" w:sz="6" w:space="0" w:color="auto"/>
              <w:bottom w:val="single" w:sz="6" w:space="0" w:color="auto"/>
              <w:right w:val="single" w:sz="6" w:space="0" w:color="auto"/>
            </w:tcBorders>
          </w:tcPr>
          <w:p w14:paraId="1452E6DD" w14:textId="77777777" w:rsidR="00CA23D0" w:rsidRPr="00E30642" w:rsidRDefault="00CA23D0" w:rsidP="00CA23D0">
            <w:pPr>
              <w:pStyle w:val="Texttabulky"/>
              <w:spacing w:line="240" w:lineRule="atLeast"/>
              <w:jc w:val="both"/>
              <w:rPr>
                <w:rFonts w:cs="Arial"/>
              </w:rPr>
            </w:pPr>
            <w:r w:rsidRPr="00E30642">
              <w:rPr>
                <w:rFonts w:cs="Arial"/>
              </w:rPr>
              <w:t>Labe pod ústím Ploučnice</w:t>
            </w:r>
          </w:p>
        </w:tc>
        <w:tc>
          <w:tcPr>
            <w:tcW w:w="1374" w:type="dxa"/>
            <w:tcBorders>
              <w:top w:val="single" w:sz="6" w:space="0" w:color="auto"/>
              <w:left w:val="single" w:sz="6" w:space="0" w:color="auto"/>
              <w:bottom w:val="single" w:sz="6" w:space="0" w:color="auto"/>
              <w:right w:val="single" w:sz="6" w:space="0" w:color="auto"/>
            </w:tcBorders>
          </w:tcPr>
          <w:p w14:paraId="4B6F7737" w14:textId="77777777" w:rsidR="00CA23D0" w:rsidRPr="00E30642" w:rsidRDefault="00CA23D0" w:rsidP="00CA23D0">
            <w:pPr>
              <w:pStyle w:val="Texttabulky"/>
              <w:spacing w:line="240" w:lineRule="atLeast"/>
              <w:jc w:val="both"/>
              <w:rPr>
                <w:rFonts w:cs="Arial"/>
              </w:rPr>
            </w:pPr>
            <w:r w:rsidRPr="00E30642">
              <w:rPr>
                <w:rFonts w:cs="Arial"/>
              </w:rPr>
              <w:t>51 113,62</w:t>
            </w:r>
          </w:p>
        </w:tc>
        <w:tc>
          <w:tcPr>
            <w:tcW w:w="900" w:type="dxa"/>
            <w:tcBorders>
              <w:top w:val="single" w:sz="6" w:space="0" w:color="auto"/>
              <w:left w:val="single" w:sz="6" w:space="0" w:color="auto"/>
              <w:bottom w:val="single" w:sz="6" w:space="0" w:color="auto"/>
              <w:right w:val="single" w:sz="6" w:space="0" w:color="auto"/>
            </w:tcBorders>
          </w:tcPr>
          <w:p w14:paraId="0E3D4509" w14:textId="77777777" w:rsidR="00CA23D0" w:rsidRPr="00E30642" w:rsidRDefault="00CA23D0" w:rsidP="00CA23D0">
            <w:pPr>
              <w:pStyle w:val="Texttabulky"/>
              <w:spacing w:line="240" w:lineRule="atLeast"/>
              <w:jc w:val="both"/>
              <w:rPr>
                <w:rFonts w:cs="Arial"/>
              </w:rPr>
            </w:pPr>
            <w:r w:rsidRPr="00E30642">
              <w:rPr>
                <w:rFonts w:cs="Arial"/>
              </w:rPr>
              <w:t>305</w:t>
            </w:r>
          </w:p>
        </w:tc>
        <w:tc>
          <w:tcPr>
            <w:tcW w:w="900" w:type="dxa"/>
            <w:tcBorders>
              <w:top w:val="single" w:sz="6" w:space="0" w:color="auto"/>
              <w:left w:val="single" w:sz="6" w:space="0" w:color="auto"/>
              <w:bottom w:val="single" w:sz="6" w:space="0" w:color="auto"/>
              <w:right w:val="single" w:sz="6" w:space="0" w:color="auto"/>
            </w:tcBorders>
          </w:tcPr>
          <w:p w14:paraId="5F8E2BC1" w14:textId="77777777" w:rsidR="00CA23D0" w:rsidRPr="00E30642" w:rsidRDefault="00CA23D0" w:rsidP="00CA23D0">
            <w:pPr>
              <w:pStyle w:val="Texttabulky"/>
              <w:spacing w:line="240" w:lineRule="atLeast"/>
              <w:jc w:val="both"/>
              <w:rPr>
                <w:rFonts w:cs="Arial"/>
              </w:rPr>
            </w:pPr>
            <w:r w:rsidRPr="00E30642">
              <w:rPr>
                <w:rFonts w:cs="Arial"/>
              </w:rPr>
              <w:t>62,1</w:t>
            </w:r>
          </w:p>
        </w:tc>
        <w:tc>
          <w:tcPr>
            <w:tcW w:w="821" w:type="dxa"/>
            <w:tcBorders>
              <w:top w:val="single" w:sz="6" w:space="0" w:color="auto"/>
              <w:left w:val="single" w:sz="6" w:space="0" w:color="auto"/>
              <w:bottom w:val="single" w:sz="6" w:space="0" w:color="auto"/>
              <w:right w:val="single" w:sz="6" w:space="0" w:color="auto"/>
            </w:tcBorders>
          </w:tcPr>
          <w:p w14:paraId="6C3181DF" w14:textId="77777777" w:rsidR="00CA23D0" w:rsidRPr="00E30642" w:rsidRDefault="00CA23D0" w:rsidP="00CA23D0">
            <w:pPr>
              <w:pStyle w:val="Texttabulky"/>
              <w:spacing w:line="240" w:lineRule="atLeast"/>
              <w:jc w:val="both"/>
              <w:rPr>
                <w:rFonts w:cs="Arial"/>
              </w:rPr>
            </w:pPr>
            <w:r w:rsidRPr="00E30642">
              <w:rPr>
                <w:rFonts w:cs="Arial"/>
              </w:rPr>
              <w:t>43,8</w:t>
            </w:r>
          </w:p>
        </w:tc>
        <w:tc>
          <w:tcPr>
            <w:tcW w:w="821" w:type="dxa"/>
            <w:tcBorders>
              <w:top w:val="single" w:sz="6" w:space="0" w:color="auto"/>
              <w:left w:val="single" w:sz="6" w:space="0" w:color="auto"/>
              <w:bottom w:val="single" w:sz="6" w:space="0" w:color="auto"/>
              <w:right w:val="single" w:sz="6" w:space="0" w:color="auto"/>
            </w:tcBorders>
          </w:tcPr>
          <w:p w14:paraId="42504465" w14:textId="77777777" w:rsidR="00CA23D0" w:rsidRPr="00E30642" w:rsidRDefault="00CA23D0" w:rsidP="00CA23D0">
            <w:pPr>
              <w:pStyle w:val="Texttabulky"/>
              <w:spacing w:line="240" w:lineRule="atLeast"/>
              <w:jc w:val="both"/>
              <w:rPr>
                <w:rFonts w:cs="Arial"/>
              </w:rPr>
            </w:pPr>
            <w:r w:rsidRPr="00E30642">
              <w:rPr>
                <w:rFonts w:cs="Arial"/>
              </w:rPr>
              <w:t>1 520</w:t>
            </w:r>
          </w:p>
        </w:tc>
        <w:tc>
          <w:tcPr>
            <w:tcW w:w="773" w:type="dxa"/>
            <w:tcBorders>
              <w:top w:val="single" w:sz="6" w:space="0" w:color="auto"/>
              <w:left w:val="single" w:sz="6" w:space="0" w:color="auto"/>
              <w:bottom w:val="single" w:sz="6" w:space="0" w:color="auto"/>
              <w:right w:val="single" w:sz="6" w:space="0" w:color="auto"/>
            </w:tcBorders>
          </w:tcPr>
          <w:p w14:paraId="1C5C9E40" w14:textId="77777777" w:rsidR="00CA23D0" w:rsidRPr="00E30642" w:rsidRDefault="00CA23D0" w:rsidP="00CA23D0">
            <w:pPr>
              <w:pStyle w:val="Texttabulky"/>
              <w:spacing w:line="240" w:lineRule="atLeast"/>
              <w:jc w:val="both"/>
              <w:rPr>
                <w:rFonts w:cs="Arial"/>
              </w:rPr>
            </w:pPr>
            <w:r w:rsidRPr="00E30642">
              <w:rPr>
                <w:rFonts w:cs="Arial"/>
              </w:rPr>
              <w:t>2 490</w:t>
            </w:r>
          </w:p>
        </w:tc>
        <w:tc>
          <w:tcPr>
            <w:tcW w:w="712" w:type="dxa"/>
            <w:tcBorders>
              <w:top w:val="single" w:sz="6" w:space="0" w:color="auto"/>
              <w:left w:val="single" w:sz="6" w:space="0" w:color="auto"/>
              <w:bottom w:val="single" w:sz="6" w:space="0" w:color="auto"/>
              <w:right w:val="single" w:sz="6" w:space="0" w:color="auto"/>
            </w:tcBorders>
          </w:tcPr>
          <w:p w14:paraId="282FC2A3" w14:textId="77777777" w:rsidR="00CA23D0" w:rsidRPr="00E30642" w:rsidRDefault="00CA23D0" w:rsidP="00CA23D0">
            <w:pPr>
              <w:pStyle w:val="Texttabulky"/>
              <w:spacing w:line="240" w:lineRule="atLeast"/>
              <w:jc w:val="both"/>
              <w:rPr>
                <w:rFonts w:cs="Arial"/>
              </w:rPr>
            </w:pPr>
            <w:r w:rsidRPr="00E30642">
              <w:rPr>
                <w:rFonts w:cs="Arial"/>
              </w:rPr>
              <w:t>3 895</w:t>
            </w:r>
          </w:p>
        </w:tc>
        <w:tc>
          <w:tcPr>
            <w:tcW w:w="892" w:type="dxa"/>
            <w:tcBorders>
              <w:top w:val="single" w:sz="6" w:space="0" w:color="auto"/>
              <w:left w:val="single" w:sz="6" w:space="0" w:color="auto"/>
              <w:bottom w:val="single" w:sz="6" w:space="0" w:color="auto"/>
              <w:right w:val="single" w:sz="6" w:space="0" w:color="auto"/>
            </w:tcBorders>
          </w:tcPr>
          <w:p w14:paraId="4B4AA255" w14:textId="77777777" w:rsidR="00CA23D0" w:rsidRPr="00E30642" w:rsidRDefault="00CA23D0" w:rsidP="00CA23D0">
            <w:pPr>
              <w:pStyle w:val="Texttabulky"/>
              <w:spacing w:line="240" w:lineRule="atLeast"/>
              <w:jc w:val="both"/>
              <w:rPr>
                <w:rFonts w:cs="Arial"/>
              </w:rPr>
            </w:pPr>
            <w:r w:rsidRPr="00E30642">
              <w:rPr>
                <w:rFonts w:cs="Arial"/>
              </w:rPr>
              <w:t>4 460</w:t>
            </w:r>
          </w:p>
        </w:tc>
      </w:tr>
      <w:tr w:rsidR="00CA23D0" w:rsidRPr="00E30642" w14:paraId="566D284B" w14:textId="77777777" w:rsidTr="00CA23D0">
        <w:trPr>
          <w:trHeight w:val="469"/>
        </w:trPr>
        <w:tc>
          <w:tcPr>
            <w:tcW w:w="1972" w:type="dxa"/>
            <w:tcBorders>
              <w:top w:val="single" w:sz="6" w:space="0" w:color="auto"/>
              <w:left w:val="single" w:sz="6" w:space="0" w:color="auto"/>
              <w:bottom w:val="single" w:sz="6" w:space="0" w:color="auto"/>
              <w:right w:val="single" w:sz="6" w:space="0" w:color="auto"/>
            </w:tcBorders>
          </w:tcPr>
          <w:p w14:paraId="56B9DFB1" w14:textId="77777777" w:rsidR="00CA23D0" w:rsidRPr="00E30642" w:rsidRDefault="00CA23D0" w:rsidP="00CA23D0">
            <w:pPr>
              <w:pStyle w:val="Texttabulky"/>
              <w:spacing w:line="240" w:lineRule="atLeast"/>
              <w:jc w:val="both"/>
              <w:rPr>
                <w:rFonts w:cs="Arial"/>
              </w:rPr>
            </w:pPr>
            <w:r w:rsidRPr="00E30642">
              <w:rPr>
                <w:rFonts w:cs="Arial"/>
              </w:rPr>
              <w:t>Bělský potok ústí do Jílov.potoka</w:t>
            </w:r>
          </w:p>
        </w:tc>
        <w:tc>
          <w:tcPr>
            <w:tcW w:w="1374" w:type="dxa"/>
            <w:tcBorders>
              <w:top w:val="single" w:sz="6" w:space="0" w:color="auto"/>
              <w:left w:val="single" w:sz="6" w:space="0" w:color="auto"/>
              <w:bottom w:val="single" w:sz="6" w:space="0" w:color="auto"/>
              <w:right w:val="single" w:sz="6" w:space="0" w:color="auto"/>
            </w:tcBorders>
          </w:tcPr>
          <w:p w14:paraId="33C77DBE" w14:textId="77777777" w:rsidR="00CA23D0" w:rsidRPr="00E30642" w:rsidRDefault="00CA23D0" w:rsidP="00CA23D0">
            <w:pPr>
              <w:pStyle w:val="Texttabulky"/>
              <w:spacing w:line="240" w:lineRule="atLeast"/>
              <w:jc w:val="both"/>
              <w:rPr>
                <w:rFonts w:cs="Arial"/>
              </w:rPr>
            </w:pPr>
            <w:r w:rsidRPr="00E30642">
              <w:rPr>
                <w:rFonts w:cs="Arial"/>
              </w:rPr>
              <w:t>8,62</w:t>
            </w:r>
          </w:p>
        </w:tc>
        <w:tc>
          <w:tcPr>
            <w:tcW w:w="900" w:type="dxa"/>
            <w:tcBorders>
              <w:top w:val="single" w:sz="6" w:space="0" w:color="auto"/>
              <w:left w:val="single" w:sz="6" w:space="0" w:color="auto"/>
              <w:bottom w:val="single" w:sz="6" w:space="0" w:color="auto"/>
              <w:right w:val="single" w:sz="6" w:space="0" w:color="auto"/>
            </w:tcBorders>
          </w:tcPr>
          <w:p w14:paraId="072F9FD8" w14:textId="77777777" w:rsidR="00CA23D0" w:rsidRPr="00E30642" w:rsidRDefault="00CA23D0" w:rsidP="00CA23D0">
            <w:pPr>
              <w:pStyle w:val="Texttabulky"/>
              <w:spacing w:line="240" w:lineRule="atLeast"/>
              <w:jc w:val="both"/>
              <w:rPr>
                <w:rFonts w:cs="Arial"/>
              </w:rPr>
            </w:pPr>
            <w:r w:rsidRPr="00E30642">
              <w:rPr>
                <w:rFonts w:cs="Arial"/>
              </w:rPr>
              <w:t>0,08</w:t>
            </w:r>
          </w:p>
        </w:tc>
        <w:tc>
          <w:tcPr>
            <w:tcW w:w="900" w:type="dxa"/>
            <w:tcBorders>
              <w:top w:val="single" w:sz="6" w:space="0" w:color="auto"/>
              <w:left w:val="single" w:sz="6" w:space="0" w:color="auto"/>
              <w:bottom w:val="single" w:sz="6" w:space="0" w:color="auto"/>
              <w:right w:val="single" w:sz="6" w:space="0" w:color="auto"/>
            </w:tcBorders>
          </w:tcPr>
          <w:p w14:paraId="4913CF53" w14:textId="77777777" w:rsidR="00CA23D0" w:rsidRPr="00E30642" w:rsidRDefault="00CA23D0" w:rsidP="00CA23D0">
            <w:pPr>
              <w:pStyle w:val="Texttabulky"/>
              <w:spacing w:line="240" w:lineRule="atLeast"/>
              <w:jc w:val="both"/>
              <w:rPr>
                <w:rFonts w:cs="Arial"/>
              </w:rPr>
            </w:pPr>
            <w:r w:rsidRPr="00E30642">
              <w:rPr>
                <w:rFonts w:cs="Arial"/>
              </w:rPr>
              <w:t>0,02</w:t>
            </w:r>
          </w:p>
        </w:tc>
        <w:tc>
          <w:tcPr>
            <w:tcW w:w="821" w:type="dxa"/>
            <w:tcBorders>
              <w:top w:val="single" w:sz="6" w:space="0" w:color="auto"/>
              <w:left w:val="single" w:sz="6" w:space="0" w:color="auto"/>
              <w:bottom w:val="single" w:sz="6" w:space="0" w:color="auto"/>
              <w:right w:val="single" w:sz="6" w:space="0" w:color="auto"/>
            </w:tcBorders>
          </w:tcPr>
          <w:p w14:paraId="1805834A" w14:textId="77777777" w:rsidR="00CA23D0" w:rsidRPr="00E30642" w:rsidRDefault="00CA23D0" w:rsidP="00CA23D0">
            <w:pPr>
              <w:pStyle w:val="Texttabulky"/>
              <w:spacing w:line="240" w:lineRule="atLeast"/>
              <w:jc w:val="both"/>
              <w:rPr>
                <w:rFonts w:cs="Arial"/>
              </w:rPr>
            </w:pPr>
            <w:r w:rsidRPr="00E30642">
              <w:rPr>
                <w:rFonts w:cs="Arial"/>
              </w:rPr>
              <w:t>-</w:t>
            </w:r>
          </w:p>
        </w:tc>
        <w:tc>
          <w:tcPr>
            <w:tcW w:w="821" w:type="dxa"/>
            <w:tcBorders>
              <w:top w:val="single" w:sz="6" w:space="0" w:color="auto"/>
              <w:left w:val="single" w:sz="6" w:space="0" w:color="auto"/>
              <w:bottom w:val="single" w:sz="6" w:space="0" w:color="auto"/>
              <w:right w:val="single" w:sz="6" w:space="0" w:color="auto"/>
            </w:tcBorders>
          </w:tcPr>
          <w:p w14:paraId="268A6315" w14:textId="77777777" w:rsidR="00CA23D0" w:rsidRPr="00E30642" w:rsidRDefault="00CA23D0" w:rsidP="00CA23D0">
            <w:pPr>
              <w:pStyle w:val="Texttabulky"/>
              <w:spacing w:line="240" w:lineRule="atLeast"/>
              <w:jc w:val="both"/>
              <w:rPr>
                <w:rFonts w:cs="Arial"/>
              </w:rPr>
            </w:pPr>
            <w:r w:rsidRPr="00E30642">
              <w:rPr>
                <w:rFonts w:cs="Arial"/>
              </w:rPr>
              <w:t>1,4</w:t>
            </w:r>
          </w:p>
        </w:tc>
        <w:tc>
          <w:tcPr>
            <w:tcW w:w="773" w:type="dxa"/>
            <w:tcBorders>
              <w:top w:val="single" w:sz="6" w:space="0" w:color="auto"/>
              <w:left w:val="single" w:sz="6" w:space="0" w:color="auto"/>
              <w:bottom w:val="single" w:sz="6" w:space="0" w:color="auto"/>
              <w:right w:val="single" w:sz="6" w:space="0" w:color="auto"/>
            </w:tcBorders>
          </w:tcPr>
          <w:p w14:paraId="2607F51F" w14:textId="77777777" w:rsidR="00CA23D0" w:rsidRPr="00E30642" w:rsidRDefault="00CA23D0" w:rsidP="00CA23D0">
            <w:pPr>
              <w:pStyle w:val="Texttabulky"/>
              <w:spacing w:line="240" w:lineRule="atLeast"/>
              <w:jc w:val="both"/>
              <w:rPr>
                <w:rFonts w:cs="Arial"/>
              </w:rPr>
            </w:pPr>
            <w:r w:rsidRPr="00E30642">
              <w:rPr>
                <w:rFonts w:cs="Arial"/>
              </w:rPr>
              <w:t>5,4</w:t>
            </w:r>
          </w:p>
        </w:tc>
        <w:tc>
          <w:tcPr>
            <w:tcW w:w="712" w:type="dxa"/>
            <w:tcBorders>
              <w:top w:val="single" w:sz="6" w:space="0" w:color="auto"/>
              <w:left w:val="single" w:sz="6" w:space="0" w:color="auto"/>
              <w:bottom w:val="single" w:sz="6" w:space="0" w:color="auto"/>
              <w:right w:val="single" w:sz="6" w:space="0" w:color="auto"/>
            </w:tcBorders>
          </w:tcPr>
          <w:p w14:paraId="1A536D99" w14:textId="77777777" w:rsidR="00CA23D0" w:rsidRPr="00E30642" w:rsidRDefault="00CA23D0" w:rsidP="00CA23D0">
            <w:pPr>
              <w:pStyle w:val="Texttabulky"/>
              <w:spacing w:line="240" w:lineRule="atLeast"/>
              <w:jc w:val="both"/>
              <w:rPr>
                <w:rFonts w:cs="Arial"/>
              </w:rPr>
            </w:pPr>
            <w:r w:rsidRPr="00E30642">
              <w:rPr>
                <w:rFonts w:cs="Arial"/>
              </w:rPr>
              <w:t>18,6</w:t>
            </w:r>
          </w:p>
        </w:tc>
        <w:tc>
          <w:tcPr>
            <w:tcW w:w="892" w:type="dxa"/>
            <w:tcBorders>
              <w:top w:val="single" w:sz="6" w:space="0" w:color="auto"/>
              <w:left w:val="single" w:sz="6" w:space="0" w:color="auto"/>
              <w:bottom w:val="single" w:sz="6" w:space="0" w:color="auto"/>
              <w:right w:val="single" w:sz="6" w:space="0" w:color="auto"/>
            </w:tcBorders>
          </w:tcPr>
          <w:p w14:paraId="0DA03710" w14:textId="77777777" w:rsidR="00CA23D0" w:rsidRPr="00E30642" w:rsidRDefault="00CA23D0" w:rsidP="00CA23D0">
            <w:pPr>
              <w:pStyle w:val="Texttabulky"/>
              <w:spacing w:line="240" w:lineRule="atLeast"/>
              <w:jc w:val="both"/>
              <w:rPr>
                <w:rFonts w:cs="Arial"/>
              </w:rPr>
            </w:pPr>
            <w:r w:rsidRPr="00E30642">
              <w:rPr>
                <w:rFonts w:cs="Arial"/>
              </w:rPr>
              <w:t>25</w:t>
            </w:r>
          </w:p>
        </w:tc>
      </w:tr>
      <w:tr w:rsidR="00CA23D0" w:rsidRPr="00E30642" w14:paraId="2E20AFD4" w14:textId="77777777" w:rsidTr="00CA23D0">
        <w:trPr>
          <w:trHeight w:val="469"/>
        </w:trPr>
        <w:tc>
          <w:tcPr>
            <w:tcW w:w="1972" w:type="dxa"/>
            <w:tcBorders>
              <w:top w:val="single" w:sz="6" w:space="0" w:color="auto"/>
              <w:left w:val="single" w:sz="6" w:space="0" w:color="auto"/>
              <w:bottom w:val="single" w:sz="6" w:space="0" w:color="auto"/>
              <w:right w:val="single" w:sz="6" w:space="0" w:color="auto"/>
            </w:tcBorders>
          </w:tcPr>
          <w:p w14:paraId="34AFAA07" w14:textId="77777777" w:rsidR="00CA23D0" w:rsidRPr="00E30642" w:rsidRDefault="00CA23D0" w:rsidP="00CA23D0">
            <w:pPr>
              <w:pStyle w:val="Texttabulky"/>
              <w:spacing w:line="240" w:lineRule="atLeast"/>
              <w:jc w:val="both"/>
              <w:rPr>
                <w:rFonts w:cs="Arial"/>
              </w:rPr>
            </w:pPr>
            <w:r w:rsidRPr="00E30642">
              <w:rPr>
                <w:rFonts w:cs="Arial"/>
              </w:rPr>
              <w:t>Ostružník nad Vlčím j.</w:t>
            </w:r>
          </w:p>
        </w:tc>
        <w:tc>
          <w:tcPr>
            <w:tcW w:w="1374" w:type="dxa"/>
            <w:tcBorders>
              <w:top w:val="single" w:sz="6" w:space="0" w:color="auto"/>
              <w:left w:val="single" w:sz="6" w:space="0" w:color="auto"/>
              <w:bottom w:val="single" w:sz="6" w:space="0" w:color="auto"/>
              <w:right w:val="single" w:sz="6" w:space="0" w:color="auto"/>
            </w:tcBorders>
          </w:tcPr>
          <w:p w14:paraId="521A8DC8" w14:textId="77777777" w:rsidR="00CA23D0" w:rsidRPr="00E30642" w:rsidRDefault="00CA23D0" w:rsidP="00CA23D0">
            <w:pPr>
              <w:pStyle w:val="Texttabulky"/>
              <w:spacing w:line="240" w:lineRule="atLeast"/>
              <w:jc w:val="both"/>
              <w:rPr>
                <w:rFonts w:cs="Arial"/>
              </w:rPr>
            </w:pPr>
            <w:r w:rsidRPr="00E30642">
              <w:rPr>
                <w:rFonts w:cs="Arial"/>
              </w:rPr>
              <w:t>1,46</w:t>
            </w:r>
          </w:p>
        </w:tc>
        <w:tc>
          <w:tcPr>
            <w:tcW w:w="900" w:type="dxa"/>
            <w:tcBorders>
              <w:top w:val="single" w:sz="6" w:space="0" w:color="auto"/>
              <w:left w:val="single" w:sz="6" w:space="0" w:color="auto"/>
              <w:bottom w:val="single" w:sz="6" w:space="0" w:color="auto"/>
              <w:right w:val="single" w:sz="6" w:space="0" w:color="auto"/>
            </w:tcBorders>
          </w:tcPr>
          <w:p w14:paraId="5FBE172F" w14:textId="77777777" w:rsidR="00CA23D0" w:rsidRPr="00E30642" w:rsidRDefault="00CA23D0" w:rsidP="00CA23D0">
            <w:pPr>
              <w:pStyle w:val="Texttabulky"/>
              <w:spacing w:line="240" w:lineRule="atLeast"/>
              <w:jc w:val="both"/>
              <w:rPr>
                <w:rFonts w:cs="Arial"/>
              </w:rPr>
            </w:pPr>
            <w:r w:rsidRPr="00E30642">
              <w:rPr>
                <w:rFonts w:cs="Arial"/>
              </w:rPr>
              <w:t>-</w:t>
            </w:r>
          </w:p>
        </w:tc>
        <w:tc>
          <w:tcPr>
            <w:tcW w:w="900" w:type="dxa"/>
            <w:tcBorders>
              <w:top w:val="single" w:sz="6" w:space="0" w:color="auto"/>
              <w:left w:val="single" w:sz="6" w:space="0" w:color="auto"/>
              <w:bottom w:val="single" w:sz="6" w:space="0" w:color="auto"/>
              <w:right w:val="single" w:sz="6" w:space="0" w:color="auto"/>
            </w:tcBorders>
          </w:tcPr>
          <w:p w14:paraId="1A8C44A3" w14:textId="77777777" w:rsidR="00CA23D0" w:rsidRPr="00E30642" w:rsidRDefault="00CA23D0" w:rsidP="00CA23D0">
            <w:pPr>
              <w:pStyle w:val="Texttabulky"/>
              <w:spacing w:line="240" w:lineRule="atLeast"/>
              <w:jc w:val="both"/>
              <w:rPr>
                <w:rFonts w:cs="Arial"/>
              </w:rPr>
            </w:pPr>
            <w:r w:rsidRPr="00E30642">
              <w:rPr>
                <w:rFonts w:cs="Arial"/>
              </w:rPr>
              <w:t>-</w:t>
            </w:r>
          </w:p>
        </w:tc>
        <w:tc>
          <w:tcPr>
            <w:tcW w:w="821" w:type="dxa"/>
            <w:tcBorders>
              <w:top w:val="single" w:sz="6" w:space="0" w:color="auto"/>
              <w:left w:val="single" w:sz="6" w:space="0" w:color="auto"/>
              <w:bottom w:val="single" w:sz="6" w:space="0" w:color="auto"/>
              <w:right w:val="single" w:sz="6" w:space="0" w:color="auto"/>
            </w:tcBorders>
          </w:tcPr>
          <w:p w14:paraId="1231DD89" w14:textId="77777777" w:rsidR="00CA23D0" w:rsidRPr="00E30642" w:rsidRDefault="00CA23D0" w:rsidP="00CA23D0">
            <w:pPr>
              <w:pStyle w:val="Texttabulky"/>
              <w:spacing w:line="240" w:lineRule="atLeast"/>
              <w:jc w:val="both"/>
              <w:rPr>
                <w:rFonts w:cs="Arial"/>
              </w:rPr>
            </w:pPr>
            <w:r w:rsidRPr="00E30642">
              <w:rPr>
                <w:rFonts w:cs="Arial"/>
              </w:rPr>
              <w:t>0</w:t>
            </w:r>
          </w:p>
        </w:tc>
        <w:tc>
          <w:tcPr>
            <w:tcW w:w="821" w:type="dxa"/>
            <w:tcBorders>
              <w:top w:val="single" w:sz="6" w:space="0" w:color="auto"/>
              <w:left w:val="single" w:sz="6" w:space="0" w:color="auto"/>
              <w:bottom w:val="single" w:sz="6" w:space="0" w:color="auto"/>
              <w:right w:val="single" w:sz="6" w:space="0" w:color="auto"/>
            </w:tcBorders>
          </w:tcPr>
          <w:p w14:paraId="1E0C8CB7" w14:textId="77777777" w:rsidR="00CA23D0" w:rsidRPr="00E30642" w:rsidRDefault="00CA23D0" w:rsidP="00CA23D0">
            <w:pPr>
              <w:pStyle w:val="Texttabulky"/>
              <w:spacing w:line="240" w:lineRule="atLeast"/>
              <w:jc w:val="both"/>
              <w:rPr>
                <w:rFonts w:cs="Arial"/>
              </w:rPr>
            </w:pPr>
            <w:r w:rsidRPr="00E30642">
              <w:rPr>
                <w:rFonts w:cs="Arial"/>
              </w:rPr>
              <w:t>0,6</w:t>
            </w:r>
          </w:p>
        </w:tc>
        <w:tc>
          <w:tcPr>
            <w:tcW w:w="773" w:type="dxa"/>
            <w:tcBorders>
              <w:top w:val="single" w:sz="6" w:space="0" w:color="auto"/>
              <w:left w:val="single" w:sz="6" w:space="0" w:color="auto"/>
              <w:bottom w:val="single" w:sz="6" w:space="0" w:color="auto"/>
              <w:right w:val="single" w:sz="6" w:space="0" w:color="auto"/>
            </w:tcBorders>
          </w:tcPr>
          <w:p w14:paraId="627F07F1" w14:textId="77777777" w:rsidR="00CA23D0" w:rsidRPr="00E30642" w:rsidRDefault="00CA23D0" w:rsidP="00CA23D0">
            <w:pPr>
              <w:pStyle w:val="Texttabulky"/>
              <w:spacing w:line="240" w:lineRule="atLeast"/>
              <w:jc w:val="both"/>
              <w:rPr>
                <w:rFonts w:cs="Arial"/>
              </w:rPr>
            </w:pPr>
            <w:r w:rsidRPr="00E30642">
              <w:rPr>
                <w:rFonts w:cs="Arial"/>
              </w:rPr>
              <w:t>1,4</w:t>
            </w:r>
          </w:p>
        </w:tc>
        <w:tc>
          <w:tcPr>
            <w:tcW w:w="712" w:type="dxa"/>
            <w:tcBorders>
              <w:top w:val="single" w:sz="6" w:space="0" w:color="auto"/>
              <w:left w:val="single" w:sz="6" w:space="0" w:color="auto"/>
              <w:bottom w:val="single" w:sz="6" w:space="0" w:color="auto"/>
              <w:right w:val="single" w:sz="6" w:space="0" w:color="auto"/>
            </w:tcBorders>
          </w:tcPr>
          <w:p w14:paraId="3E60A2FC" w14:textId="77777777" w:rsidR="00CA23D0" w:rsidRPr="00E30642" w:rsidRDefault="00CA23D0" w:rsidP="00CA23D0">
            <w:pPr>
              <w:pStyle w:val="Texttabulky"/>
              <w:spacing w:line="240" w:lineRule="atLeast"/>
              <w:jc w:val="both"/>
              <w:rPr>
                <w:rFonts w:cs="Arial"/>
              </w:rPr>
            </w:pPr>
            <w:r w:rsidRPr="00E30642">
              <w:rPr>
                <w:rFonts w:cs="Arial"/>
              </w:rPr>
              <w:t>4</w:t>
            </w:r>
          </w:p>
        </w:tc>
        <w:tc>
          <w:tcPr>
            <w:tcW w:w="892" w:type="dxa"/>
            <w:tcBorders>
              <w:top w:val="single" w:sz="6" w:space="0" w:color="auto"/>
              <w:left w:val="single" w:sz="6" w:space="0" w:color="auto"/>
              <w:bottom w:val="single" w:sz="6" w:space="0" w:color="auto"/>
              <w:right w:val="single" w:sz="6" w:space="0" w:color="auto"/>
            </w:tcBorders>
          </w:tcPr>
          <w:p w14:paraId="1C596FBF" w14:textId="77777777" w:rsidR="00CA23D0" w:rsidRPr="00E30642" w:rsidRDefault="00CA23D0" w:rsidP="00CA23D0">
            <w:pPr>
              <w:pStyle w:val="Texttabulky"/>
              <w:spacing w:line="240" w:lineRule="atLeast"/>
              <w:jc w:val="both"/>
              <w:rPr>
                <w:rFonts w:cs="Arial"/>
              </w:rPr>
            </w:pPr>
            <w:r w:rsidRPr="00E30642">
              <w:rPr>
                <w:rFonts w:cs="Arial"/>
              </w:rPr>
              <w:t>5,4</w:t>
            </w:r>
          </w:p>
        </w:tc>
      </w:tr>
      <w:tr w:rsidR="00CA23D0" w:rsidRPr="00E30642" w14:paraId="57CE53BB" w14:textId="77777777" w:rsidTr="00CA23D0">
        <w:trPr>
          <w:trHeight w:val="469"/>
        </w:trPr>
        <w:tc>
          <w:tcPr>
            <w:tcW w:w="1972" w:type="dxa"/>
            <w:tcBorders>
              <w:top w:val="single" w:sz="6" w:space="0" w:color="auto"/>
              <w:left w:val="single" w:sz="6" w:space="0" w:color="auto"/>
              <w:bottom w:val="single" w:sz="6" w:space="0" w:color="auto"/>
              <w:right w:val="single" w:sz="6" w:space="0" w:color="auto"/>
            </w:tcBorders>
          </w:tcPr>
          <w:p w14:paraId="37062FC2" w14:textId="77777777" w:rsidR="00CA23D0" w:rsidRPr="00E30642" w:rsidRDefault="00CA23D0" w:rsidP="00CA23D0">
            <w:pPr>
              <w:pStyle w:val="Texttabulky"/>
              <w:spacing w:line="240" w:lineRule="atLeast"/>
              <w:jc w:val="both"/>
              <w:rPr>
                <w:rFonts w:cs="Arial"/>
              </w:rPr>
            </w:pPr>
            <w:r w:rsidRPr="00E30642">
              <w:rPr>
                <w:rFonts w:cs="Arial"/>
              </w:rPr>
              <w:t>Ostružník ústí do Labe</w:t>
            </w:r>
          </w:p>
        </w:tc>
        <w:tc>
          <w:tcPr>
            <w:tcW w:w="1374" w:type="dxa"/>
            <w:tcBorders>
              <w:top w:val="single" w:sz="6" w:space="0" w:color="auto"/>
              <w:left w:val="single" w:sz="6" w:space="0" w:color="auto"/>
              <w:bottom w:val="single" w:sz="6" w:space="0" w:color="auto"/>
              <w:right w:val="single" w:sz="6" w:space="0" w:color="auto"/>
            </w:tcBorders>
          </w:tcPr>
          <w:p w14:paraId="0362F3DB" w14:textId="77777777" w:rsidR="00CA23D0" w:rsidRPr="00E30642" w:rsidRDefault="00CA23D0" w:rsidP="00CA23D0">
            <w:pPr>
              <w:pStyle w:val="Texttabulky"/>
              <w:spacing w:line="240" w:lineRule="atLeast"/>
              <w:jc w:val="both"/>
              <w:rPr>
                <w:rFonts w:cs="Arial"/>
              </w:rPr>
            </w:pPr>
            <w:r w:rsidRPr="00E30642">
              <w:rPr>
                <w:rFonts w:cs="Arial"/>
              </w:rPr>
              <w:t>7,72</w:t>
            </w:r>
          </w:p>
        </w:tc>
        <w:tc>
          <w:tcPr>
            <w:tcW w:w="900" w:type="dxa"/>
            <w:tcBorders>
              <w:top w:val="single" w:sz="6" w:space="0" w:color="auto"/>
              <w:left w:val="single" w:sz="6" w:space="0" w:color="auto"/>
              <w:bottom w:val="single" w:sz="6" w:space="0" w:color="auto"/>
              <w:right w:val="single" w:sz="6" w:space="0" w:color="auto"/>
            </w:tcBorders>
          </w:tcPr>
          <w:p w14:paraId="0631CBE3" w14:textId="77777777" w:rsidR="00CA23D0" w:rsidRPr="00E30642" w:rsidRDefault="00CA23D0" w:rsidP="00CA23D0">
            <w:pPr>
              <w:pStyle w:val="Texttabulky"/>
              <w:spacing w:line="240" w:lineRule="atLeast"/>
              <w:jc w:val="both"/>
              <w:rPr>
                <w:rFonts w:cs="Arial"/>
              </w:rPr>
            </w:pPr>
            <w:r w:rsidRPr="00E30642">
              <w:rPr>
                <w:rFonts w:cs="Arial"/>
              </w:rPr>
              <w:t>0,07</w:t>
            </w:r>
          </w:p>
        </w:tc>
        <w:tc>
          <w:tcPr>
            <w:tcW w:w="900" w:type="dxa"/>
            <w:tcBorders>
              <w:top w:val="single" w:sz="6" w:space="0" w:color="auto"/>
              <w:left w:val="single" w:sz="6" w:space="0" w:color="auto"/>
              <w:bottom w:val="single" w:sz="6" w:space="0" w:color="auto"/>
              <w:right w:val="single" w:sz="6" w:space="0" w:color="auto"/>
            </w:tcBorders>
          </w:tcPr>
          <w:p w14:paraId="3F678733" w14:textId="77777777" w:rsidR="00CA23D0" w:rsidRPr="00E30642" w:rsidRDefault="00CA23D0" w:rsidP="00CA23D0">
            <w:pPr>
              <w:pStyle w:val="Texttabulky"/>
              <w:spacing w:line="240" w:lineRule="atLeast"/>
              <w:jc w:val="both"/>
              <w:rPr>
                <w:rFonts w:cs="Arial"/>
              </w:rPr>
            </w:pPr>
            <w:r w:rsidRPr="00E30642">
              <w:rPr>
                <w:rFonts w:cs="Arial"/>
              </w:rPr>
              <w:t>0,02</w:t>
            </w:r>
          </w:p>
        </w:tc>
        <w:tc>
          <w:tcPr>
            <w:tcW w:w="821" w:type="dxa"/>
            <w:tcBorders>
              <w:top w:val="single" w:sz="6" w:space="0" w:color="auto"/>
              <w:left w:val="single" w:sz="6" w:space="0" w:color="auto"/>
              <w:bottom w:val="single" w:sz="6" w:space="0" w:color="auto"/>
              <w:right w:val="single" w:sz="6" w:space="0" w:color="auto"/>
            </w:tcBorders>
          </w:tcPr>
          <w:p w14:paraId="01BA912A" w14:textId="77777777" w:rsidR="00CA23D0" w:rsidRPr="00E30642" w:rsidRDefault="00CA23D0" w:rsidP="00CA23D0">
            <w:pPr>
              <w:pStyle w:val="Texttabulky"/>
              <w:spacing w:line="240" w:lineRule="atLeast"/>
              <w:jc w:val="both"/>
              <w:rPr>
                <w:rFonts w:cs="Arial"/>
              </w:rPr>
            </w:pPr>
            <w:r w:rsidRPr="00E30642">
              <w:rPr>
                <w:rFonts w:cs="Arial"/>
              </w:rPr>
              <w:t>-</w:t>
            </w:r>
          </w:p>
        </w:tc>
        <w:tc>
          <w:tcPr>
            <w:tcW w:w="821" w:type="dxa"/>
            <w:tcBorders>
              <w:top w:val="single" w:sz="6" w:space="0" w:color="auto"/>
              <w:left w:val="single" w:sz="6" w:space="0" w:color="auto"/>
              <w:bottom w:val="single" w:sz="6" w:space="0" w:color="auto"/>
              <w:right w:val="single" w:sz="6" w:space="0" w:color="auto"/>
            </w:tcBorders>
          </w:tcPr>
          <w:p w14:paraId="6D5F9F5E" w14:textId="77777777" w:rsidR="00CA23D0" w:rsidRPr="00E30642" w:rsidRDefault="00CA23D0" w:rsidP="00CA23D0">
            <w:pPr>
              <w:pStyle w:val="Zkladntext"/>
              <w:jc w:val="both"/>
              <w:rPr>
                <w:rFonts w:ascii="Arial" w:hAnsi="Arial" w:cs="Arial"/>
              </w:rPr>
            </w:pPr>
          </w:p>
        </w:tc>
        <w:tc>
          <w:tcPr>
            <w:tcW w:w="773" w:type="dxa"/>
            <w:tcBorders>
              <w:top w:val="single" w:sz="6" w:space="0" w:color="auto"/>
              <w:left w:val="single" w:sz="6" w:space="0" w:color="auto"/>
              <w:bottom w:val="single" w:sz="6" w:space="0" w:color="auto"/>
              <w:right w:val="single" w:sz="6" w:space="0" w:color="auto"/>
            </w:tcBorders>
          </w:tcPr>
          <w:p w14:paraId="0871D250" w14:textId="77777777" w:rsidR="00CA23D0" w:rsidRPr="00E30642" w:rsidRDefault="00CA23D0" w:rsidP="00CA23D0">
            <w:pPr>
              <w:pStyle w:val="Zkladntext"/>
              <w:jc w:val="both"/>
              <w:rPr>
                <w:rFonts w:ascii="Arial" w:hAnsi="Arial" w:cs="Arial"/>
              </w:rPr>
            </w:pPr>
          </w:p>
        </w:tc>
        <w:tc>
          <w:tcPr>
            <w:tcW w:w="712" w:type="dxa"/>
            <w:tcBorders>
              <w:top w:val="single" w:sz="6" w:space="0" w:color="auto"/>
              <w:left w:val="single" w:sz="6" w:space="0" w:color="auto"/>
              <w:bottom w:val="single" w:sz="6" w:space="0" w:color="auto"/>
              <w:right w:val="single" w:sz="6" w:space="0" w:color="auto"/>
            </w:tcBorders>
          </w:tcPr>
          <w:p w14:paraId="119E0688" w14:textId="77777777" w:rsidR="00CA23D0" w:rsidRPr="00E30642" w:rsidRDefault="00CA23D0" w:rsidP="00CA23D0">
            <w:pPr>
              <w:pStyle w:val="Zkladntext"/>
              <w:jc w:val="both"/>
              <w:rPr>
                <w:rFonts w:ascii="Arial" w:hAnsi="Arial" w:cs="Arial"/>
              </w:rPr>
            </w:pPr>
          </w:p>
        </w:tc>
        <w:tc>
          <w:tcPr>
            <w:tcW w:w="892" w:type="dxa"/>
            <w:tcBorders>
              <w:top w:val="single" w:sz="6" w:space="0" w:color="auto"/>
              <w:left w:val="single" w:sz="6" w:space="0" w:color="auto"/>
              <w:bottom w:val="single" w:sz="6" w:space="0" w:color="auto"/>
              <w:right w:val="single" w:sz="6" w:space="0" w:color="auto"/>
            </w:tcBorders>
          </w:tcPr>
          <w:p w14:paraId="766D3D1C" w14:textId="77777777" w:rsidR="00CA23D0" w:rsidRPr="00E30642" w:rsidRDefault="00CA23D0" w:rsidP="00CA23D0">
            <w:pPr>
              <w:pStyle w:val="Zkladntext"/>
              <w:jc w:val="both"/>
              <w:rPr>
                <w:rFonts w:ascii="Arial" w:hAnsi="Arial" w:cs="Arial"/>
              </w:rPr>
            </w:pPr>
          </w:p>
        </w:tc>
      </w:tr>
      <w:tr w:rsidR="00CA23D0" w:rsidRPr="00E30642" w14:paraId="27693B10" w14:textId="77777777" w:rsidTr="00CA23D0">
        <w:trPr>
          <w:trHeight w:val="234"/>
        </w:trPr>
        <w:tc>
          <w:tcPr>
            <w:tcW w:w="1972" w:type="dxa"/>
            <w:tcBorders>
              <w:top w:val="single" w:sz="6" w:space="0" w:color="auto"/>
              <w:left w:val="single" w:sz="6" w:space="0" w:color="auto"/>
              <w:bottom w:val="single" w:sz="6" w:space="0" w:color="auto"/>
              <w:right w:val="single" w:sz="6" w:space="0" w:color="auto"/>
            </w:tcBorders>
          </w:tcPr>
          <w:p w14:paraId="216F10D1" w14:textId="77777777" w:rsidR="00CA23D0" w:rsidRPr="00E30642" w:rsidRDefault="00CA23D0" w:rsidP="00CA23D0">
            <w:pPr>
              <w:pStyle w:val="Texttabulky"/>
              <w:spacing w:line="240" w:lineRule="atLeast"/>
              <w:jc w:val="both"/>
              <w:rPr>
                <w:rFonts w:cs="Arial"/>
              </w:rPr>
            </w:pPr>
            <w:r w:rsidRPr="00E30642">
              <w:rPr>
                <w:rFonts w:cs="Arial"/>
              </w:rPr>
              <w:lastRenderedPageBreak/>
              <w:t>Folknářský p.ústí</w:t>
            </w:r>
          </w:p>
        </w:tc>
        <w:tc>
          <w:tcPr>
            <w:tcW w:w="1374" w:type="dxa"/>
            <w:tcBorders>
              <w:top w:val="single" w:sz="6" w:space="0" w:color="auto"/>
              <w:left w:val="single" w:sz="6" w:space="0" w:color="auto"/>
              <w:bottom w:val="single" w:sz="6" w:space="0" w:color="auto"/>
              <w:right w:val="single" w:sz="6" w:space="0" w:color="auto"/>
            </w:tcBorders>
          </w:tcPr>
          <w:p w14:paraId="3CE4DA46" w14:textId="77777777" w:rsidR="00CA23D0" w:rsidRPr="00E30642" w:rsidRDefault="00CA23D0" w:rsidP="00CA23D0">
            <w:pPr>
              <w:pStyle w:val="Texttabulky"/>
              <w:spacing w:line="240" w:lineRule="atLeast"/>
              <w:jc w:val="both"/>
              <w:rPr>
                <w:rFonts w:cs="Arial"/>
              </w:rPr>
            </w:pPr>
            <w:r w:rsidRPr="00E30642">
              <w:rPr>
                <w:rFonts w:cs="Arial"/>
              </w:rPr>
              <w:t>4,88</w:t>
            </w:r>
          </w:p>
        </w:tc>
        <w:tc>
          <w:tcPr>
            <w:tcW w:w="900" w:type="dxa"/>
            <w:tcBorders>
              <w:top w:val="single" w:sz="6" w:space="0" w:color="auto"/>
              <w:left w:val="single" w:sz="6" w:space="0" w:color="auto"/>
              <w:bottom w:val="single" w:sz="6" w:space="0" w:color="auto"/>
              <w:right w:val="single" w:sz="6" w:space="0" w:color="auto"/>
            </w:tcBorders>
          </w:tcPr>
          <w:p w14:paraId="329679AF" w14:textId="77777777" w:rsidR="00CA23D0" w:rsidRPr="00E30642" w:rsidRDefault="00CA23D0" w:rsidP="00CA23D0">
            <w:pPr>
              <w:pStyle w:val="Texttabulky"/>
              <w:spacing w:line="240" w:lineRule="atLeast"/>
              <w:jc w:val="both"/>
              <w:rPr>
                <w:rFonts w:cs="Arial"/>
              </w:rPr>
            </w:pPr>
            <w:r w:rsidRPr="00E30642">
              <w:rPr>
                <w:rFonts w:cs="Arial"/>
              </w:rPr>
              <w:t>0,04</w:t>
            </w:r>
          </w:p>
        </w:tc>
        <w:tc>
          <w:tcPr>
            <w:tcW w:w="900" w:type="dxa"/>
            <w:tcBorders>
              <w:top w:val="single" w:sz="6" w:space="0" w:color="auto"/>
              <w:left w:val="single" w:sz="6" w:space="0" w:color="auto"/>
              <w:bottom w:val="single" w:sz="6" w:space="0" w:color="auto"/>
              <w:right w:val="single" w:sz="6" w:space="0" w:color="auto"/>
            </w:tcBorders>
          </w:tcPr>
          <w:p w14:paraId="51C708A3" w14:textId="77777777" w:rsidR="00CA23D0" w:rsidRPr="00E30642" w:rsidRDefault="00CA23D0" w:rsidP="00CA23D0">
            <w:pPr>
              <w:pStyle w:val="Texttabulky"/>
              <w:spacing w:line="240" w:lineRule="atLeast"/>
              <w:jc w:val="both"/>
              <w:rPr>
                <w:rFonts w:cs="Arial"/>
              </w:rPr>
            </w:pPr>
            <w:r w:rsidRPr="00E30642">
              <w:rPr>
                <w:rFonts w:cs="Arial"/>
              </w:rPr>
              <w:t>0,01</w:t>
            </w:r>
          </w:p>
        </w:tc>
        <w:tc>
          <w:tcPr>
            <w:tcW w:w="821" w:type="dxa"/>
            <w:tcBorders>
              <w:top w:val="single" w:sz="6" w:space="0" w:color="auto"/>
              <w:left w:val="single" w:sz="6" w:space="0" w:color="auto"/>
              <w:bottom w:val="single" w:sz="6" w:space="0" w:color="auto"/>
              <w:right w:val="single" w:sz="6" w:space="0" w:color="auto"/>
            </w:tcBorders>
          </w:tcPr>
          <w:p w14:paraId="5BA33BCA" w14:textId="77777777" w:rsidR="00CA23D0" w:rsidRPr="00E30642" w:rsidRDefault="00CA23D0" w:rsidP="00CA23D0">
            <w:pPr>
              <w:pStyle w:val="Texttabulky"/>
              <w:spacing w:line="240" w:lineRule="atLeast"/>
              <w:jc w:val="both"/>
              <w:rPr>
                <w:rFonts w:cs="Arial"/>
              </w:rPr>
            </w:pPr>
            <w:r w:rsidRPr="00E30642">
              <w:rPr>
                <w:rFonts w:cs="Arial"/>
              </w:rPr>
              <w:t>-</w:t>
            </w:r>
          </w:p>
        </w:tc>
        <w:tc>
          <w:tcPr>
            <w:tcW w:w="821" w:type="dxa"/>
            <w:tcBorders>
              <w:top w:val="single" w:sz="6" w:space="0" w:color="auto"/>
              <w:left w:val="single" w:sz="6" w:space="0" w:color="auto"/>
              <w:bottom w:val="single" w:sz="6" w:space="0" w:color="auto"/>
              <w:right w:val="single" w:sz="6" w:space="0" w:color="auto"/>
            </w:tcBorders>
          </w:tcPr>
          <w:p w14:paraId="2039A7C6" w14:textId="77777777" w:rsidR="00CA23D0" w:rsidRPr="00E30642" w:rsidRDefault="00CA23D0" w:rsidP="00CA23D0">
            <w:pPr>
              <w:pStyle w:val="Zkladntext"/>
              <w:jc w:val="both"/>
              <w:rPr>
                <w:rFonts w:ascii="Arial" w:hAnsi="Arial" w:cs="Arial"/>
              </w:rPr>
            </w:pPr>
          </w:p>
        </w:tc>
        <w:tc>
          <w:tcPr>
            <w:tcW w:w="773" w:type="dxa"/>
            <w:tcBorders>
              <w:top w:val="single" w:sz="6" w:space="0" w:color="auto"/>
              <w:left w:val="single" w:sz="6" w:space="0" w:color="auto"/>
              <w:bottom w:val="single" w:sz="6" w:space="0" w:color="auto"/>
              <w:right w:val="single" w:sz="6" w:space="0" w:color="auto"/>
            </w:tcBorders>
          </w:tcPr>
          <w:p w14:paraId="5EE62647" w14:textId="77777777" w:rsidR="00CA23D0" w:rsidRPr="00E30642" w:rsidRDefault="00CA23D0" w:rsidP="00CA23D0">
            <w:pPr>
              <w:pStyle w:val="Zkladntext"/>
              <w:jc w:val="both"/>
              <w:rPr>
                <w:rFonts w:ascii="Arial" w:hAnsi="Arial" w:cs="Arial"/>
              </w:rPr>
            </w:pPr>
          </w:p>
        </w:tc>
        <w:tc>
          <w:tcPr>
            <w:tcW w:w="712" w:type="dxa"/>
            <w:tcBorders>
              <w:top w:val="single" w:sz="6" w:space="0" w:color="auto"/>
              <w:left w:val="single" w:sz="6" w:space="0" w:color="auto"/>
              <w:bottom w:val="single" w:sz="6" w:space="0" w:color="auto"/>
              <w:right w:val="single" w:sz="6" w:space="0" w:color="auto"/>
            </w:tcBorders>
          </w:tcPr>
          <w:p w14:paraId="3E575958" w14:textId="77777777" w:rsidR="00CA23D0" w:rsidRPr="00E30642" w:rsidRDefault="00CA23D0" w:rsidP="00CA23D0">
            <w:pPr>
              <w:pStyle w:val="Zkladntext"/>
              <w:jc w:val="both"/>
              <w:rPr>
                <w:rFonts w:ascii="Arial" w:hAnsi="Arial" w:cs="Arial"/>
              </w:rPr>
            </w:pPr>
          </w:p>
        </w:tc>
        <w:tc>
          <w:tcPr>
            <w:tcW w:w="892" w:type="dxa"/>
            <w:tcBorders>
              <w:top w:val="single" w:sz="6" w:space="0" w:color="auto"/>
              <w:left w:val="single" w:sz="6" w:space="0" w:color="auto"/>
              <w:bottom w:val="single" w:sz="6" w:space="0" w:color="auto"/>
              <w:right w:val="single" w:sz="6" w:space="0" w:color="auto"/>
            </w:tcBorders>
          </w:tcPr>
          <w:p w14:paraId="380B5FDC" w14:textId="77777777" w:rsidR="00CA23D0" w:rsidRPr="00E30642" w:rsidRDefault="00CA23D0" w:rsidP="00CA23D0">
            <w:pPr>
              <w:pStyle w:val="Zkladntext"/>
              <w:jc w:val="both"/>
              <w:rPr>
                <w:rFonts w:ascii="Arial" w:hAnsi="Arial" w:cs="Arial"/>
              </w:rPr>
            </w:pPr>
          </w:p>
        </w:tc>
      </w:tr>
      <w:tr w:rsidR="00CA23D0" w:rsidRPr="00E30642" w14:paraId="3547E6B6" w14:textId="77777777" w:rsidTr="00CA23D0">
        <w:trPr>
          <w:trHeight w:val="234"/>
        </w:trPr>
        <w:tc>
          <w:tcPr>
            <w:tcW w:w="1972" w:type="dxa"/>
            <w:tcBorders>
              <w:top w:val="single" w:sz="6" w:space="0" w:color="auto"/>
              <w:left w:val="single" w:sz="6" w:space="0" w:color="auto"/>
              <w:bottom w:val="single" w:sz="6" w:space="0" w:color="auto"/>
              <w:right w:val="single" w:sz="6" w:space="0" w:color="auto"/>
            </w:tcBorders>
          </w:tcPr>
          <w:p w14:paraId="0B0B9AE0" w14:textId="77777777" w:rsidR="00CA23D0" w:rsidRPr="00E30642" w:rsidRDefault="00CA23D0" w:rsidP="00CA23D0">
            <w:pPr>
              <w:pStyle w:val="Texttabulky"/>
              <w:spacing w:line="240" w:lineRule="atLeast"/>
              <w:jc w:val="both"/>
              <w:rPr>
                <w:rFonts w:cs="Arial"/>
              </w:rPr>
            </w:pPr>
            <w:r w:rsidRPr="00E30642">
              <w:rPr>
                <w:rFonts w:cs="Arial"/>
              </w:rPr>
              <w:t>Kamenička</w:t>
            </w:r>
          </w:p>
        </w:tc>
        <w:tc>
          <w:tcPr>
            <w:tcW w:w="1374" w:type="dxa"/>
            <w:tcBorders>
              <w:top w:val="single" w:sz="6" w:space="0" w:color="auto"/>
              <w:left w:val="single" w:sz="6" w:space="0" w:color="auto"/>
              <w:bottom w:val="single" w:sz="6" w:space="0" w:color="auto"/>
              <w:right w:val="single" w:sz="6" w:space="0" w:color="auto"/>
            </w:tcBorders>
          </w:tcPr>
          <w:p w14:paraId="5741307B" w14:textId="77777777" w:rsidR="00CA23D0" w:rsidRPr="00E30642" w:rsidRDefault="00CA23D0" w:rsidP="00CA23D0">
            <w:pPr>
              <w:pStyle w:val="Texttabulky"/>
              <w:spacing w:line="240" w:lineRule="atLeast"/>
              <w:jc w:val="both"/>
              <w:rPr>
                <w:rFonts w:cs="Arial"/>
              </w:rPr>
            </w:pPr>
            <w:r w:rsidRPr="00E30642">
              <w:rPr>
                <w:rFonts w:cs="Arial"/>
              </w:rPr>
              <w:t>6 225</w:t>
            </w:r>
          </w:p>
        </w:tc>
        <w:tc>
          <w:tcPr>
            <w:tcW w:w="900" w:type="dxa"/>
            <w:tcBorders>
              <w:top w:val="single" w:sz="6" w:space="0" w:color="auto"/>
              <w:left w:val="single" w:sz="6" w:space="0" w:color="auto"/>
              <w:bottom w:val="single" w:sz="6" w:space="0" w:color="auto"/>
              <w:right w:val="single" w:sz="6" w:space="0" w:color="auto"/>
            </w:tcBorders>
          </w:tcPr>
          <w:p w14:paraId="7AEDC5DB" w14:textId="77777777" w:rsidR="00CA23D0" w:rsidRPr="00E30642" w:rsidRDefault="00CA23D0" w:rsidP="00CA23D0">
            <w:pPr>
              <w:pStyle w:val="Texttabulky"/>
              <w:spacing w:line="240" w:lineRule="atLeast"/>
              <w:jc w:val="both"/>
              <w:rPr>
                <w:rFonts w:cs="Arial"/>
              </w:rPr>
            </w:pPr>
            <w:r w:rsidRPr="00E30642">
              <w:rPr>
                <w:rFonts w:cs="Arial"/>
              </w:rPr>
              <w:t>0,05</w:t>
            </w:r>
          </w:p>
        </w:tc>
        <w:tc>
          <w:tcPr>
            <w:tcW w:w="900" w:type="dxa"/>
            <w:tcBorders>
              <w:top w:val="single" w:sz="6" w:space="0" w:color="auto"/>
              <w:left w:val="single" w:sz="6" w:space="0" w:color="auto"/>
              <w:bottom w:val="single" w:sz="6" w:space="0" w:color="auto"/>
              <w:right w:val="single" w:sz="6" w:space="0" w:color="auto"/>
            </w:tcBorders>
          </w:tcPr>
          <w:p w14:paraId="0ECC6756" w14:textId="77777777" w:rsidR="00CA23D0" w:rsidRPr="00E30642" w:rsidRDefault="00CA23D0" w:rsidP="00CA23D0">
            <w:pPr>
              <w:pStyle w:val="Texttabulky"/>
              <w:spacing w:line="240" w:lineRule="atLeast"/>
              <w:jc w:val="both"/>
              <w:rPr>
                <w:rFonts w:cs="Arial"/>
              </w:rPr>
            </w:pPr>
            <w:r w:rsidRPr="00E30642">
              <w:rPr>
                <w:rFonts w:cs="Arial"/>
              </w:rPr>
              <w:t>0,01</w:t>
            </w:r>
          </w:p>
        </w:tc>
        <w:tc>
          <w:tcPr>
            <w:tcW w:w="821" w:type="dxa"/>
            <w:tcBorders>
              <w:top w:val="single" w:sz="6" w:space="0" w:color="auto"/>
              <w:left w:val="single" w:sz="6" w:space="0" w:color="auto"/>
              <w:bottom w:val="single" w:sz="6" w:space="0" w:color="auto"/>
              <w:right w:val="single" w:sz="6" w:space="0" w:color="auto"/>
            </w:tcBorders>
          </w:tcPr>
          <w:p w14:paraId="52A4FC9F" w14:textId="77777777" w:rsidR="00CA23D0" w:rsidRPr="00E30642" w:rsidRDefault="00CA23D0" w:rsidP="00CA23D0">
            <w:pPr>
              <w:pStyle w:val="Texttabulky"/>
              <w:spacing w:line="240" w:lineRule="atLeast"/>
              <w:jc w:val="both"/>
              <w:rPr>
                <w:rFonts w:cs="Arial"/>
              </w:rPr>
            </w:pPr>
            <w:r w:rsidRPr="00E30642">
              <w:rPr>
                <w:rFonts w:cs="Arial"/>
              </w:rPr>
              <w:t>-</w:t>
            </w:r>
          </w:p>
        </w:tc>
        <w:tc>
          <w:tcPr>
            <w:tcW w:w="821" w:type="dxa"/>
            <w:tcBorders>
              <w:top w:val="single" w:sz="6" w:space="0" w:color="auto"/>
              <w:left w:val="single" w:sz="6" w:space="0" w:color="auto"/>
              <w:bottom w:val="single" w:sz="6" w:space="0" w:color="auto"/>
              <w:right w:val="single" w:sz="6" w:space="0" w:color="auto"/>
            </w:tcBorders>
          </w:tcPr>
          <w:p w14:paraId="1E7C4A50" w14:textId="77777777" w:rsidR="00CA23D0" w:rsidRPr="00E30642" w:rsidRDefault="00CA23D0" w:rsidP="00CA23D0">
            <w:pPr>
              <w:pStyle w:val="Zkladntext"/>
              <w:jc w:val="both"/>
              <w:rPr>
                <w:rFonts w:ascii="Arial" w:hAnsi="Arial" w:cs="Arial"/>
              </w:rPr>
            </w:pPr>
          </w:p>
        </w:tc>
        <w:tc>
          <w:tcPr>
            <w:tcW w:w="773" w:type="dxa"/>
            <w:tcBorders>
              <w:top w:val="single" w:sz="6" w:space="0" w:color="auto"/>
              <w:left w:val="single" w:sz="6" w:space="0" w:color="auto"/>
              <w:bottom w:val="single" w:sz="6" w:space="0" w:color="auto"/>
              <w:right w:val="single" w:sz="6" w:space="0" w:color="auto"/>
            </w:tcBorders>
          </w:tcPr>
          <w:p w14:paraId="213B9DC8" w14:textId="77777777" w:rsidR="00CA23D0" w:rsidRPr="00E30642" w:rsidRDefault="00CA23D0" w:rsidP="00CA23D0">
            <w:pPr>
              <w:pStyle w:val="Zkladntext"/>
              <w:jc w:val="both"/>
              <w:rPr>
                <w:rFonts w:ascii="Arial" w:hAnsi="Arial" w:cs="Arial"/>
              </w:rPr>
            </w:pPr>
          </w:p>
        </w:tc>
        <w:tc>
          <w:tcPr>
            <w:tcW w:w="712" w:type="dxa"/>
            <w:tcBorders>
              <w:top w:val="single" w:sz="6" w:space="0" w:color="auto"/>
              <w:left w:val="single" w:sz="6" w:space="0" w:color="auto"/>
              <w:bottom w:val="single" w:sz="6" w:space="0" w:color="auto"/>
              <w:right w:val="single" w:sz="6" w:space="0" w:color="auto"/>
            </w:tcBorders>
          </w:tcPr>
          <w:p w14:paraId="0720B669" w14:textId="77777777" w:rsidR="00CA23D0" w:rsidRPr="00E30642" w:rsidRDefault="00CA23D0" w:rsidP="00CA23D0">
            <w:pPr>
              <w:pStyle w:val="Zkladntext"/>
              <w:jc w:val="both"/>
              <w:rPr>
                <w:rFonts w:ascii="Arial" w:hAnsi="Arial" w:cs="Arial"/>
              </w:rPr>
            </w:pPr>
          </w:p>
        </w:tc>
        <w:tc>
          <w:tcPr>
            <w:tcW w:w="892" w:type="dxa"/>
            <w:tcBorders>
              <w:top w:val="single" w:sz="6" w:space="0" w:color="auto"/>
              <w:left w:val="single" w:sz="6" w:space="0" w:color="auto"/>
              <w:bottom w:val="single" w:sz="6" w:space="0" w:color="auto"/>
              <w:right w:val="single" w:sz="6" w:space="0" w:color="auto"/>
            </w:tcBorders>
          </w:tcPr>
          <w:p w14:paraId="0D0288D4" w14:textId="77777777" w:rsidR="00CA23D0" w:rsidRPr="00E30642" w:rsidRDefault="00CA23D0" w:rsidP="00CA23D0">
            <w:pPr>
              <w:pStyle w:val="Zkladntext"/>
              <w:jc w:val="both"/>
              <w:rPr>
                <w:rFonts w:ascii="Arial" w:hAnsi="Arial" w:cs="Arial"/>
              </w:rPr>
            </w:pPr>
          </w:p>
        </w:tc>
      </w:tr>
      <w:tr w:rsidR="00CA23D0" w:rsidRPr="00E30642" w14:paraId="7EC0942D" w14:textId="77777777" w:rsidTr="00CA23D0">
        <w:trPr>
          <w:trHeight w:val="234"/>
        </w:trPr>
        <w:tc>
          <w:tcPr>
            <w:tcW w:w="1972" w:type="dxa"/>
            <w:tcBorders>
              <w:top w:val="single" w:sz="6" w:space="0" w:color="auto"/>
              <w:left w:val="single" w:sz="6" w:space="0" w:color="auto"/>
              <w:bottom w:val="single" w:sz="6" w:space="0" w:color="auto"/>
              <w:right w:val="single" w:sz="6" w:space="0" w:color="auto"/>
            </w:tcBorders>
          </w:tcPr>
          <w:p w14:paraId="226AA8B7" w14:textId="77777777" w:rsidR="00CA23D0" w:rsidRPr="00E30642" w:rsidRDefault="00CA23D0" w:rsidP="00CA23D0">
            <w:pPr>
              <w:pStyle w:val="Texttabulky"/>
              <w:spacing w:line="240" w:lineRule="atLeast"/>
              <w:jc w:val="both"/>
              <w:rPr>
                <w:rFonts w:cs="Arial"/>
              </w:rPr>
            </w:pPr>
            <w:r w:rsidRPr="00E30642">
              <w:rPr>
                <w:rFonts w:cs="Arial"/>
              </w:rPr>
              <w:t>Chrochvický p.ústí</w:t>
            </w:r>
          </w:p>
        </w:tc>
        <w:tc>
          <w:tcPr>
            <w:tcW w:w="1374" w:type="dxa"/>
            <w:tcBorders>
              <w:top w:val="single" w:sz="6" w:space="0" w:color="auto"/>
              <w:left w:val="single" w:sz="6" w:space="0" w:color="auto"/>
              <w:bottom w:val="single" w:sz="6" w:space="0" w:color="auto"/>
              <w:right w:val="single" w:sz="6" w:space="0" w:color="auto"/>
            </w:tcBorders>
          </w:tcPr>
          <w:p w14:paraId="70D72ABA" w14:textId="77777777" w:rsidR="00CA23D0" w:rsidRPr="00E30642" w:rsidRDefault="00CA23D0" w:rsidP="00CA23D0">
            <w:pPr>
              <w:pStyle w:val="Texttabulky"/>
              <w:spacing w:line="240" w:lineRule="atLeast"/>
              <w:jc w:val="both"/>
              <w:rPr>
                <w:rFonts w:cs="Arial"/>
              </w:rPr>
            </w:pPr>
            <w:r w:rsidRPr="00E30642">
              <w:rPr>
                <w:rFonts w:cs="Arial"/>
              </w:rPr>
              <w:t>3,63</w:t>
            </w:r>
          </w:p>
        </w:tc>
        <w:tc>
          <w:tcPr>
            <w:tcW w:w="900" w:type="dxa"/>
            <w:tcBorders>
              <w:top w:val="single" w:sz="6" w:space="0" w:color="auto"/>
              <w:left w:val="single" w:sz="6" w:space="0" w:color="auto"/>
              <w:bottom w:val="single" w:sz="6" w:space="0" w:color="auto"/>
              <w:right w:val="single" w:sz="6" w:space="0" w:color="auto"/>
            </w:tcBorders>
          </w:tcPr>
          <w:p w14:paraId="098F0EE5" w14:textId="77777777" w:rsidR="00CA23D0" w:rsidRPr="00E30642" w:rsidRDefault="00CA23D0" w:rsidP="00CA23D0">
            <w:pPr>
              <w:pStyle w:val="Texttabulky"/>
              <w:spacing w:line="240" w:lineRule="atLeast"/>
              <w:jc w:val="both"/>
              <w:rPr>
                <w:rFonts w:cs="Arial"/>
              </w:rPr>
            </w:pPr>
            <w:r w:rsidRPr="00E30642">
              <w:rPr>
                <w:rFonts w:cs="Arial"/>
              </w:rPr>
              <w:t>0,03</w:t>
            </w:r>
          </w:p>
        </w:tc>
        <w:tc>
          <w:tcPr>
            <w:tcW w:w="900" w:type="dxa"/>
            <w:tcBorders>
              <w:top w:val="single" w:sz="6" w:space="0" w:color="auto"/>
              <w:left w:val="single" w:sz="6" w:space="0" w:color="auto"/>
              <w:bottom w:val="single" w:sz="6" w:space="0" w:color="auto"/>
              <w:right w:val="single" w:sz="6" w:space="0" w:color="auto"/>
            </w:tcBorders>
          </w:tcPr>
          <w:p w14:paraId="503B1B44" w14:textId="77777777" w:rsidR="00CA23D0" w:rsidRPr="00E30642" w:rsidRDefault="00CA23D0" w:rsidP="00CA23D0">
            <w:pPr>
              <w:pStyle w:val="Texttabulky"/>
              <w:spacing w:line="240" w:lineRule="atLeast"/>
              <w:jc w:val="both"/>
              <w:rPr>
                <w:rFonts w:cs="Arial"/>
              </w:rPr>
            </w:pPr>
            <w:r w:rsidRPr="00E30642">
              <w:rPr>
                <w:rFonts w:cs="Arial"/>
              </w:rPr>
              <w:t>0,01</w:t>
            </w:r>
          </w:p>
        </w:tc>
        <w:tc>
          <w:tcPr>
            <w:tcW w:w="821" w:type="dxa"/>
            <w:tcBorders>
              <w:top w:val="single" w:sz="6" w:space="0" w:color="auto"/>
              <w:left w:val="single" w:sz="6" w:space="0" w:color="auto"/>
              <w:bottom w:val="single" w:sz="6" w:space="0" w:color="auto"/>
              <w:right w:val="single" w:sz="6" w:space="0" w:color="auto"/>
            </w:tcBorders>
          </w:tcPr>
          <w:p w14:paraId="0691E2C3" w14:textId="77777777" w:rsidR="00CA23D0" w:rsidRPr="00E30642" w:rsidRDefault="00CA23D0" w:rsidP="00CA23D0">
            <w:pPr>
              <w:pStyle w:val="Zkladntext"/>
              <w:jc w:val="both"/>
              <w:rPr>
                <w:rFonts w:ascii="Arial" w:hAnsi="Arial" w:cs="Arial"/>
              </w:rPr>
            </w:pPr>
          </w:p>
        </w:tc>
        <w:tc>
          <w:tcPr>
            <w:tcW w:w="821" w:type="dxa"/>
            <w:tcBorders>
              <w:top w:val="single" w:sz="6" w:space="0" w:color="auto"/>
              <w:left w:val="single" w:sz="6" w:space="0" w:color="auto"/>
              <w:bottom w:val="single" w:sz="6" w:space="0" w:color="auto"/>
              <w:right w:val="single" w:sz="6" w:space="0" w:color="auto"/>
            </w:tcBorders>
          </w:tcPr>
          <w:p w14:paraId="25B50B43" w14:textId="77777777" w:rsidR="00CA23D0" w:rsidRPr="00E30642" w:rsidRDefault="00CA23D0" w:rsidP="00CA23D0">
            <w:pPr>
              <w:pStyle w:val="Zkladntext"/>
              <w:jc w:val="both"/>
              <w:rPr>
                <w:rFonts w:ascii="Arial" w:hAnsi="Arial" w:cs="Arial"/>
              </w:rPr>
            </w:pPr>
          </w:p>
        </w:tc>
        <w:tc>
          <w:tcPr>
            <w:tcW w:w="773" w:type="dxa"/>
            <w:tcBorders>
              <w:top w:val="single" w:sz="6" w:space="0" w:color="auto"/>
              <w:left w:val="single" w:sz="6" w:space="0" w:color="auto"/>
              <w:bottom w:val="single" w:sz="6" w:space="0" w:color="auto"/>
              <w:right w:val="single" w:sz="6" w:space="0" w:color="auto"/>
            </w:tcBorders>
          </w:tcPr>
          <w:p w14:paraId="2D7DDA90" w14:textId="77777777" w:rsidR="00CA23D0" w:rsidRPr="00E30642" w:rsidRDefault="00CA23D0" w:rsidP="00CA23D0">
            <w:pPr>
              <w:pStyle w:val="Zkladntext"/>
              <w:jc w:val="both"/>
              <w:rPr>
                <w:rFonts w:ascii="Arial" w:hAnsi="Arial" w:cs="Arial"/>
              </w:rPr>
            </w:pPr>
          </w:p>
        </w:tc>
        <w:tc>
          <w:tcPr>
            <w:tcW w:w="712" w:type="dxa"/>
            <w:tcBorders>
              <w:top w:val="single" w:sz="6" w:space="0" w:color="auto"/>
              <w:left w:val="single" w:sz="6" w:space="0" w:color="auto"/>
              <w:bottom w:val="single" w:sz="6" w:space="0" w:color="auto"/>
              <w:right w:val="single" w:sz="6" w:space="0" w:color="auto"/>
            </w:tcBorders>
          </w:tcPr>
          <w:p w14:paraId="50369C41" w14:textId="77777777" w:rsidR="00CA23D0" w:rsidRPr="00E30642" w:rsidRDefault="00CA23D0" w:rsidP="00CA23D0">
            <w:pPr>
              <w:pStyle w:val="Zkladntext"/>
              <w:jc w:val="both"/>
              <w:rPr>
                <w:rFonts w:ascii="Arial" w:hAnsi="Arial" w:cs="Arial"/>
              </w:rPr>
            </w:pPr>
          </w:p>
        </w:tc>
        <w:tc>
          <w:tcPr>
            <w:tcW w:w="892" w:type="dxa"/>
            <w:tcBorders>
              <w:top w:val="single" w:sz="6" w:space="0" w:color="auto"/>
              <w:left w:val="single" w:sz="6" w:space="0" w:color="auto"/>
              <w:bottom w:val="single" w:sz="6" w:space="0" w:color="auto"/>
              <w:right w:val="single" w:sz="6" w:space="0" w:color="auto"/>
            </w:tcBorders>
          </w:tcPr>
          <w:p w14:paraId="5A155090" w14:textId="77777777" w:rsidR="00CA23D0" w:rsidRPr="00E30642" w:rsidRDefault="00CA23D0" w:rsidP="00CA23D0">
            <w:pPr>
              <w:pStyle w:val="Zkladntext"/>
              <w:jc w:val="both"/>
              <w:rPr>
                <w:rFonts w:ascii="Arial" w:hAnsi="Arial" w:cs="Arial"/>
              </w:rPr>
            </w:pPr>
          </w:p>
        </w:tc>
      </w:tr>
      <w:tr w:rsidR="00CA23D0" w:rsidRPr="00E30642" w14:paraId="549FC5F2" w14:textId="77777777" w:rsidTr="00CA23D0">
        <w:trPr>
          <w:trHeight w:val="234"/>
        </w:trPr>
        <w:tc>
          <w:tcPr>
            <w:tcW w:w="1972" w:type="dxa"/>
            <w:tcBorders>
              <w:top w:val="single" w:sz="6" w:space="0" w:color="auto"/>
              <w:left w:val="single" w:sz="6" w:space="0" w:color="auto"/>
              <w:bottom w:val="single" w:sz="6" w:space="0" w:color="auto"/>
              <w:right w:val="single" w:sz="6" w:space="0" w:color="auto"/>
            </w:tcBorders>
          </w:tcPr>
          <w:p w14:paraId="3D0189D2" w14:textId="77777777" w:rsidR="00CA23D0" w:rsidRPr="00E30642" w:rsidRDefault="00CA23D0" w:rsidP="00CA23D0">
            <w:pPr>
              <w:pStyle w:val="Texttabulky"/>
              <w:spacing w:line="240" w:lineRule="atLeast"/>
              <w:jc w:val="both"/>
              <w:rPr>
                <w:rFonts w:cs="Arial"/>
              </w:rPr>
            </w:pPr>
            <w:r w:rsidRPr="00E30642">
              <w:rPr>
                <w:rFonts w:cs="Arial"/>
              </w:rPr>
              <w:t>Oldřichovský potok</w:t>
            </w:r>
          </w:p>
        </w:tc>
        <w:tc>
          <w:tcPr>
            <w:tcW w:w="1374" w:type="dxa"/>
            <w:tcBorders>
              <w:top w:val="single" w:sz="6" w:space="0" w:color="auto"/>
              <w:left w:val="single" w:sz="6" w:space="0" w:color="auto"/>
              <w:bottom w:val="single" w:sz="6" w:space="0" w:color="auto"/>
              <w:right w:val="single" w:sz="6" w:space="0" w:color="auto"/>
            </w:tcBorders>
          </w:tcPr>
          <w:p w14:paraId="7F110059" w14:textId="77777777" w:rsidR="00CA23D0" w:rsidRPr="00E30642" w:rsidRDefault="00CA23D0" w:rsidP="00CA23D0">
            <w:pPr>
              <w:pStyle w:val="Texttabulky"/>
              <w:spacing w:line="240" w:lineRule="atLeast"/>
              <w:jc w:val="both"/>
              <w:rPr>
                <w:rFonts w:cs="Arial"/>
              </w:rPr>
            </w:pPr>
            <w:r w:rsidRPr="00E30642">
              <w:rPr>
                <w:rFonts w:cs="Arial"/>
              </w:rPr>
              <w:t>0,56</w:t>
            </w:r>
          </w:p>
        </w:tc>
        <w:tc>
          <w:tcPr>
            <w:tcW w:w="900" w:type="dxa"/>
            <w:tcBorders>
              <w:top w:val="single" w:sz="6" w:space="0" w:color="auto"/>
              <w:left w:val="single" w:sz="6" w:space="0" w:color="auto"/>
              <w:bottom w:val="single" w:sz="6" w:space="0" w:color="auto"/>
              <w:right w:val="single" w:sz="6" w:space="0" w:color="auto"/>
            </w:tcBorders>
          </w:tcPr>
          <w:p w14:paraId="4A4745FA" w14:textId="77777777" w:rsidR="00CA23D0" w:rsidRPr="00E30642" w:rsidRDefault="00CA23D0" w:rsidP="00CA23D0">
            <w:pPr>
              <w:pStyle w:val="Texttabulky"/>
              <w:spacing w:line="240" w:lineRule="atLeast"/>
              <w:jc w:val="both"/>
              <w:rPr>
                <w:rFonts w:cs="Arial"/>
              </w:rPr>
            </w:pPr>
            <w:r w:rsidRPr="00E30642">
              <w:rPr>
                <w:rFonts w:cs="Arial"/>
              </w:rPr>
              <w:t>0,01</w:t>
            </w:r>
          </w:p>
        </w:tc>
        <w:tc>
          <w:tcPr>
            <w:tcW w:w="900" w:type="dxa"/>
            <w:tcBorders>
              <w:top w:val="single" w:sz="6" w:space="0" w:color="auto"/>
              <w:left w:val="single" w:sz="6" w:space="0" w:color="auto"/>
              <w:bottom w:val="single" w:sz="6" w:space="0" w:color="auto"/>
              <w:right w:val="single" w:sz="6" w:space="0" w:color="auto"/>
            </w:tcBorders>
          </w:tcPr>
          <w:p w14:paraId="2B54542D" w14:textId="77777777" w:rsidR="00CA23D0" w:rsidRPr="00E30642" w:rsidRDefault="00CA23D0" w:rsidP="00CA23D0">
            <w:pPr>
              <w:pStyle w:val="Texttabulky"/>
              <w:spacing w:line="240" w:lineRule="atLeast"/>
              <w:jc w:val="both"/>
              <w:rPr>
                <w:rFonts w:cs="Arial"/>
              </w:rPr>
            </w:pPr>
            <w:r w:rsidRPr="00E30642">
              <w:rPr>
                <w:rFonts w:cs="Arial"/>
              </w:rPr>
              <w:t>0</w:t>
            </w:r>
          </w:p>
        </w:tc>
        <w:tc>
          <w:tcPr>
            <w:tcW w:w="821" w:type="dxa"/>
            <w:tcBorders>
              <w:top w:val="single" w:sz="6" w:space="0" w:color="auto"/>
              <w:left w:val="single" w:sz="6" w:space="0" w:color="auto"/>
              <w:bottom w:val="single" w:sz="6" w:space="0" w:color="auto"/>
              <w:right w:val="single" w:sz="6" w:space="0" w:color="auto"/>
            </w:tcBorders>
          </w:tcPr>
          <w:p w14:paraId="5D2DF958" w14:textId="77777777" w:rsidR="00CA23D0" w:rsidRPr="00E30642" w:rsidRDefault="00CA23D0" w:rsidP="00CA23D0">
            <w:pPr>
              <w:pStyle w:val="Texttabulky"/>
              <w:spacing w:line="240" w:lineRule="atLeast"/>
              <w:jc w:val="both"/>
              <w:rPr>
                <w:rFonts w:cs="Arial"/>
              </w:rPr>
            </w:pPr>
            <w:r w:rsidRPr="00E30642">
              <w:rPr>
                <w:rFonts w:cs="Arial"/>
              </w:rPr>
              <w:t>-</w:t>
            </w:r>
          </w:p>
        </w:tc>
        <w:tc>
          <w:tcPr>
            <w:tcW w:w="821" w:type="dxa"/>
            <w:tcBorders>
              <w:top w:val="single" w:sz="6" w:space="0" w:color="auto"/>
              <w:left w:val="single" w:sz="6" w:space="0" w:color="auto"/>
              <w:bottom w:val="single" w:sz="6" w:space="0" w:color="auto"/>
              <w:right w:val="single" w:sz="6" w:space="0" w:color="auto"/>
            </w:tcBorders>
          </w:tcPr>
          <w:p w14:paraId="47C38B3F" w14:textId="77777777" w:rsidR="00CA23D0" w:rsidRPr="00E30642" w:rsidRDefault="00CA23D0" w:rsidP="00CA23D0">
            <w:pPr>
              <w:pStyle w:val="Texttabulky"/>
              <w:spacing w:line="240" w:lineRule="atLeast"/>
              <w:jc w:val="both"/>
              <w:rPr>
                <w:rFonts w:cs="Arial"/>
              </w:rPr>
            </w:pPr>
            <w:r w:rsidRPr="00E30642">
              <w:rPr>
                <w:rFonts w:cs="Arial"/>
              </w:rPr>
              <w:t>-</w:t>
            </w:r>
          </w:p>
        </w:tc>
        <w:tc>
          <w:tcPr>
            <w:tcW w:w="773" w:type="dxa"/>
            <w:tcBorders>
              <w:top w:val="single" w:sz="6" w:space="0" w:color="auto"/>
              <w:left w:val="single" w:sz="6" w:space="0" w:color="auto"/>
              <w:bottom w:val="single" w:sz="6" w:space="0" w:color="auto"/>
              <w:right w:val="single" w:sz="6" w:space="0" w:color="auto"/>
            </w:tcBorders>
          </w:tcPr>
          <w:p w14:paraId="33C1C767" w14:textId="77777777" w:rsidR="00CA23D0" w:rsidRPr="00E30642" w:rsidRDefault="00CA23D0" w:rsidP="00CA23D0">
            <w:pPr>
              <w:pStyle w:val="Zkladntext"/>
              <w:jc w:val="both"/>
              <w:rPr>
                <w:rFonts w:ascii="Arial" w:hAnsi="Arial" w:cs="Arial"/>
              </w:rPr>
            </w:pPr>
          </w:p>
        </w:tc>
        <w:tc>
          <w:tcPr>
            <w:tcW w:w="712" w:type="dxa"/>
            <w:tcBorders>
              <w:top w:val="single" w:sz="6" w:space="0" w:color="auto"/>
              <w:left w:val="single" w:sz="6" w:space="0" w:color="auto"/>
              <w:bottom w:val="single" w:sz="6" w:space="0" w:color="auto"/>
              <w:right w:val="single" w:sz="6" w:space="0" w:color="auto"/>
            </w:tcBorders>
          </w:tcPr>
          <w:p w14:paraId="2C0B9A41" w14:textId="77777777" w:rsidR="00CA23D0" w:rsidRPr="00E30642" w:rsidRDefault="00CA23D0" w:rsidP="00CA23D0">
            <w:pPr>
              <w:pStyle w:val="Zkladntext"/>
              <w:jc w:val="both"/>
              <w:rPr>
                <w:rFonts w:ascii="Arial" w:hAnsi="Arial" w:cs="Arial"/>
              </w:rPr>
            </w:pPr>
          </w:p>
        </w:tc>
        <w:tc>
          <w:tcPr>
            <w:tcW w:w="892" w:type="dxa"/>
            <w:tcBorders>
              <w:top w:val="single" w:sz="6" w:space="0" w:color="auto"/>
              <w:left w:val="single" w:sz="6" w:space="0" w:color="auto"/>
              <w:bottom w:val="single" w:sz="6" w:space="0" w:color="auto"/>
              <w:right w:val="single" w:sz="6" w:space="0" w:color="auto"/>
            </w:tcBorders>
          </w:tcPr>
          <w:p w14:paraId="54296F4D" w14:textId="77777777" w:rsidR="00CA23D0" w:rsidRPr="00E30642" w:rsidRDefault="00CA23D0" w:rsidP="00CA23D0">
            <w:pPr>
              <w:pStyle w:val="Zkladntext"/>
              <w:jc w:val="both"/>
              <w:rPr>
                <w:rFonts w:ascii="Arial" w:hAnsi="Arial" w:cs="Arial"/>
              </w:rPr>
            </w:pPr>
          </w:p>
        </w:tc>
      </w:tr>
      <w:tr w:rsidR="00CA23D0" w:rsidRPr="00E30642" w14:paraId="56B0F163" w14:textId="77777777" w:rsidTr="00CA23D0">
        <w:trPr>
          <w:trHeight w:val="245"/>
        </w:trPr>
        <w:tc>
          <w:tcPr>
            <w:tcW w:w="1972" w:type="dxa"/>
            <w:tcBorders>
              <w:top w:val="single" w:sz="6" w:space="0" w:color="auto"/>
              <w:left w:val="single" w:sz="6" w:space="0" w:color="auto"/>
              <w:bottom w:val="single" w:sz="6" w:space="0" w:color="auto"/>
              <w:right w:val="single" w:sz="6" w:space="0" w:color="auto"/>
            </w:tcBorders>
          </w:tcPr>
          <w:p w14:paraId="1079C11D" w14:textId="77777777" w:rsidR="00CA23D0" w:rsidRPr="00E30642" w:rsidRDefault="00CA23D0" w:rsidP="00CA23D0">
            <w:pPr>
              <w:pStyle w:val="Texttabulky"/>
              <w:spacing w:line="240" w:lineRule="atLeast"/>
              <w:jc w:val="both"/>
              <w:rPr>
                <w:rFonts w:cs="Arial"/>
              </w:rPr>
            </w:pPr>
            <w:r w:rsidRPr="00E30642">
              <w:rPr>
                <w:rFonts w:cs="Arial"/>
              </w:rPr>
              <w:t>Jelení potok ústí</w:t>
            </w:r>
          </w:p>
        </w:tc>
        <w:tc>
          <w:tcPr>
            <w:tcW w:w="1374" w:type="dxa"/>
            <w:tcBorders>
              <w:top w:val="single" w:sz="6" w:space="0" w:color="auto"/>
              <w:left w:val="single" w:sz="6" w:space="0" w:color="auto"/>
              <w:bottom w:val="single" w:sz="6" w:space="0" w:color="auto"/>
              <w:right w:val="single" w:sz="6" w:space="0" w:color="auto"/>
            </w:tcBorders>
          </w:tcPr>
          <w:p w14:paraId="29F2341A" w14:textId="77777777" w:rsidR="00CA23D0" w:rsidRPr="00E30642" w:rsidRDefault="00CA23D0" w:rsidP="00CA23D0">
            <w:pPr>
              <w:pStyle w:val="Texttabulky"/>
              <w:spacing w:line="240" w:lineRule="atLeast"/>
              <w:jc w:val="both"/>
              <w:rPr>
                <w:rFonts w:cs="Arial"/>
              </w:rPr>
            </w:pPr>
            <w:r w:rsidRPr="00E30642">
              <w:rPr>
                <w:rFonts w:cs="Arial"/>
              </w:rPr>
              <w:t>1,88</w:t>
            </w:r>
          </w:p>
        </w:tc>
        <w:tc>
          <w:tcPr>
            <w:tcW w:w="900" w:type="dxa"/>
            <w:tcBorders>
              <w:top w:val="single" w:sz="6" w:space="0" w:color="auto"/>
              <w:left w:val="single" w:sz="6" w:space="0" w:color="auto"/>
              <w:bottom w:val="single" w:sz="6" w:space="0" w:color="auto"/>
              <w:right w:val="single" w:sz="6" w:space="0" w:color="auto"/>
            </w:tcBorders>
          </w:tcPr>
          <w:p w14:paraId="4BC5969F" w14:textId="77777777" w:rsidR="00CA23D0" w:rsidRPr="00E30642" w:rsidRDefault="00CA23D0" w:rsidP="00CA23D0">
            <w:pPr>
              <w:pStyle w:val="Texttabulky"/>
              <w:spacing w:line="240" w:lineRule="atLeast"/>
              <w:jc w:val="both"/>
              <w:rPr>
                <w:rFonts w:cs="Arial"/>
              </w:rPr>
            </w:pPr>
            <w:r w:rsidRPr="00E30642">
              <w:rPr>
                <w:rFonts w:cs="Arial"/>
              </w:rPr>
              <w:t>0,02</w:t>
            </w:r>
          </w:p>
        </w:tc>
        <w:tc>
          <w:tcPr>
            <w:tcW w:w="900" w:type="dxa"/>
            <w:tcBorders>
              <w:top w:val="single" w:sz="6" w:space="0" w:color="auto"/>
              <w:left w:val="single" w:sz="6" w:space="0" w:color="auto"/>
              <w:bottom w:val="single" w:sz="6" w:space="0" w:color="auto"/>
              <w:right w:val="single" w:sz="6" w:space="0" w:color="auto"/>
            </w:tcBorders>
          </w:tcPr>
          <w:p w14:paraId="76302F0B" w14:textId="77777777" w:rsidR="00CA23D0" w:rsidRPr="00E30642" w:rsidRDefault="00CA23D0" w:rsidP="00CA23D0">
            <w:pPr>
              <w:pStyle w:val="Texttabulky"/>
              <w:spacing w:line="240" w:lineRule="atLeast"/>
              <w:jc w:val="both"/>
              <w:rPr>
                <w:rFonts w:cs="Arial"/>
              </w:rPr>
            </w:pPr>
            <w:r w:rsidRPr="00E30642">
              <w:rPr>
                <w:rFonts w:cs="Arial"/>
              </w:rPr>
              <w:t>0</w:t>
            </w:r>
          </w:p>
        </w:tc>
        <w:tc>
          <w:tcPr>
            <w:tcW w:w="821" w:type="dxa"/>
            <w:tcBorders>
              <w:top w:val="single" w:sz="6" w:space="0" w:color="auto"/>
              <w:left w:val="single" w:sz="6" w:space="0" w:color="auto"/>
              <w:bottom w:val="single" w:sz="6" w:space="0" w:color="auto"/>
              <w:right w:val="single" w:sz="6" w:space="0" w:color="auto"/>
            </w:tcBorders>
          </w:tcPr>
          <w:p w14:paraId="3189BEAB" w14:textId="77777777" w:rsidR="00CA23D0" w:rsidRPr="00E30642" w:rsidRDefault="00CA23D0" w:rsidP="00CA23D0">
            <w:pPr>
              <w:pStyle w:val="Zkladntext"/>
              <w:jc w:val="both"/>
              <w:rPr>
                <w:rFonts w:ascii="Arial" w:hAnsi="Arial" w:cs="Arial"/>
              </w:rPr>
            </w:pPr>
          </w:p>
        </w:tc>
        <w:tc>
          <w:tcPr>
            <w:tcW w:w="821" w:type="dxa"/>
            <w:tcBorders>
              <w:top w:val="single" w:sz="6" w:space="0" w:color="auto"/>
              <w:left w:val="single" w:sz="6" w:space="0" w:color="auto"/>
              <w:bottom w:val="single" w:sz="6" w:space="0" w:color="auto"/>
              <w:right w:val="single" w:sz="6" w:space="0" w:color="auto"/>
            </w:tcBorders>
          </w:tcPr>
          <w:p w14:paraId="0C6481C3" w14:textId="77777777" w:rsidR="00CA23D0" w:rsidRPr="00E30642" w:rsidRDefault="00CA23D0" w:rsidP="00CA23D0">
            <w:pPr>
              <w:pStyle w:val="Zkladntext"/>
              <w:jc w:val="both"/>
              <w:rPr>
                <w:rFonts w:ascii="Arial" w:hAnsi="Arial" w:cs="Arial"/>
              </w:rPr>
            </w:pPr>
          </w:p>
        </w:tc>
        <w:tc>
          <w:tcPr>
            <w:tcW w:w="773" w:type="dxa"/>
            <w:tcBorders>
              <w:top w:val="single" w:sz="6" w:space="0" w:color="auto"/>
              <w:left w:val="single" w:sz="6" w:space="0" w:color="auto"/>
              <w:bottom w:val="single" w:sz="6" w:space="0" w:color="auto"/>
              <w:right w:val="single" w:sz="6" w:space="0" w:color="auto"/>
            </w:tcBorders>
          </w:tcPr>
          <w:p w14:paraId="06D2CEF0" w14:textId="77777777" w:rsidR="00CA23D0" w:rsidRPr="00E30642" w:rsidRDefault="00CA23D0" w:rsidP="00CA23D0">
            <w:pPr>
              <w:pStyle w:val="Zkladntext"/>
              <w:jc w:val="both"/>
              <w:rPr>
                <w:rFonts w:ascii="Arial" w:hAnsi="Arial" w:cs="Arial"/>
              </w:rPr>
            </w:pPr>
          </w:p>
        </w:tc>
        <w:tc>
          <w:tcPr>
            <w:tcW w:w="712" w:type="dxa"/>
            <w:tcBorders>
              <w:top w:val="single" w:sz="6" w:space="0" w:color="auto"/>
              <w:left w:val="single" w:sz="6" w:space="0" w:color="auto"/>
              <w:bottom w:val="single" w:sz="6" w:space="0" w:color="auto"/>
              <w:right w:val="single" w:sz="6" w:space="0" w:color="auto"/>
            </w:tcBorders>
          </w:tcPr>
          <w:p w14:paraId="60599066" w14:textId="77777777" w:rsidR="00CA23D0" w:rsidRPr="00E30642" w:rsidRDefault="00CA23D0" w:rsidP="00CA23D0">
            <w:pPr>
              <w:pStyle w:val="Zkladntext"/>
              <w:jc w:val="both"/>
              <w:rPr>
                <w:rFonts w:ascii="Arial" w:hAnsi="Arial" w:cs="Arial"/>
              </w:rPr>
            </w:pPr>
          </w:p>
        </w:tc>
        <w:tc>
          <w:tcPr>
            <w:tcW w:w="892" w:type="dxa"/>
            <w:tcBorders>
              <w:top w:val="single" w:sz="6" w:space="0" w:color="auto"/>
              <w:left w:val="single" w:sz="6" w:space="0" w:color="auto"/>
              <w:bottom w:val="single" w:sz="6" w:space="0" w:color="auto"/>
              <w:right w:val="single" w:sz="6" w:space="0" w:color="auto"/>
            </w:tcBorders>
          </w:tcPr>
          <w:p w14:paraId="67057045" w14:textId="77777777" w:rsidR="00CA23D0" w:rsidRPr="00E30642" w:rsidRDefault="00CA23D0" w:rsidP="00CA23D0">
            <w:pPr>
              <w:pStyle w:val="Zkladntext"/>
              <w:jc w:val="both"/>
              <w:rPr>
                <w:rFonts w:ascii="Arial" w:hAnsi="Arial" w:cs="Arial"/>
              </w:rPr>
            </w:pPr>
          </w:p>
        </w:tc>
      </w:tr>
    </w:tbl>
    <w:p w14:paraId="5D295980" w14:textId="77777777" w:rsidR="00CA23D0" w:rsidRPr="00E30642" w:rsidRDefault="00CA23D0" w:rsidP="00CA23D0">
      <w:pPr>
        <w:autoSpaceDE w:val="0"/>
        <w:autoSpaceDN w:val="0"/>
        <w:adjustRightInd w:val="0"/>
        <w:jc w:val="both"/>
        <w:rPr>
          <w:rFonts w:ascii="Arial" w:hAnsi="Arial" w:cs="Arial"/>
          <w:sz w:val="20"/>
        </w:rPr>
      </w:pPr>
    </w:p>
    <w:p w14:paraId="165B6AFB"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ČHMÚ Praha v letech 1994 a 95 inovoval hydrologické údaje; do úvahy byl zohledněn vliv obvyklého provozu nádrží vltavské kaskády a nádrže Nechranice na Ohři na průtoky na Labi v profilu Ústí n. L. a Děčín. U M -denních průtoků jsou nové hodnoty vyšší, například pro Q</w:t>
      </w:r>
      <w:r w:rsidRPr="00E30642">
        <w:rPr>
          <w:rFonts w:ascii="Arial" w:hAnsi="Arial" w:cs="Arial"/>
          <w:position w:val="-6"/>
          <w:sz w:val="22"/>
          <w:szCs w:val="22"/>
          <w:vertAlign w:val="subscript"/>
        </w:rPr>
        <w:t xml:space="preserve">355 </w:t>
      </w:r>
      <w:r w:rsidRPr="00E30642">
        <w:rPr>
          <w:rFonts w:ascii="Arial" w:hAnsi="Arial" w:cs="Arial"/>
          <w:sz w:val="22"/>
          <w:szCs w:val="22"/>
        </w:rPr>
        <w:t>až o 35 %. Naopak N - leté průtoky jsou nižší u Q</w:t>
      </w:r>
      <w:r w:rsidRPr="00E30642">
        <w:rPr>
          <w:rFonts w:ascii="Arial" w:hAnsi="Arial" w:cs="Arial"/>
          <w:position w:val="-6"/>
          <w:sz w:val="22"/>
          <w:szCs w:val="22"/>
          <w:vertAlign w:val="subscript"/>
        </w:rPr>
        <w:t>50</w:t>
      </w:r>
      <w:r w:rsidRPr="00E30642">
        <w:rPr>
          <w:rFonts w:ascii="Arial" w:hAnsi="Arial" w:cs="Arial"/>
          <w:sz w:val="22"/>
          <w:szCs w:val="22"/>
        </w:rPr>
        <w:t xml:space="preserve"> (padesátileté povodně) o cca 5 %.</w:t>
      </w:r>
    </w:p>
    <w:p w14:paraId="4C23CCBD" w14:textId="77777777" w:rsidR="00CA23D0" w:rsidRPr="00E30642" w:rsidRDefault="00CA23D0" w:rsidP="00CA23D0">
      <w:pPr>
        <w:pStyle w:val="Zkladntext"/>
        <w:spacing w:before="120" w:after="0" w:line="288" w:lineRule="auto"/>
        <w:ind w:firstLine="709"/>
        <w:jc w:val="both"/>
        <w:rPr>
          <w:rFonts w:ascii="Arial" w:hAnsi="Arial" w:cs="Arial"/>
          <w:b/>
          <w:sz w:val="22"/>
          <w:szCs w:val="22"/>
        </w:rPr>
      </w:pPr>
      <w:r w:rsidRPr="00E30642">
        <w:rPr>
          <w:rFonts w:ascii="Arial" w:hAnsi="Arial" w:cs="Arial"/>
          <w:b/>
          <w:sz w:val="22"/>
          <w:szCs w:val="22"/>
        </w:rPr>
        <w:t xml:space="preserve">Zátopové území: všechny hlavní toky v území se rozlévají. </w:t>
      </w:r>
    </w:p>
    <w:p w14:paraId="14725949" w14:textId="77777777" w:rsidR="00CA23D0" w:rsidRPr="00E30642" w:rsidRDefault="00CA23D0" w:rsidP="00CA23D0">
      <w:pPr>
        <w:pStyle w:val="Zkladntext"/>
        <w:jc w:val="both"/>
        <w:rPr>
          <w:rFonts w:ascii="Arial" w:hAnsi="Arial" w:cs="Arial"/>
        </w:rPr>
      </w:pPr>
    </w:p>
    <w:p w14:paraId="01D80B35" w14:textId="77777777" w:rsidR="00CA23D0" w:rsidRPr="00E30642" w:rsidRDefault="00CA23D0" w:rsidP="00CA23D0">
      <w:pPr>
        <w:pStyle w:val="podnadpis2"/>
        <w:jc w:val="both"/>
        <w:rPr>
          <w:rFonts w:cs="Arial"/>
        </w:rPr>
      </w:pPr>
      <w:r w:rsidRPr="00E30642">
        <w:rPr>
          <w:rFonts w:cs="Arial"/>
          <w:szCs w:val="22"/>
        </w:rPr>
        <w:t>inundace Labe</w:t>
      </w:r>
    </w:p>
    <w:p w14:paraId="5832A0E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Podél Labe je zakreslena čára zátopového území při stoleté povodni (Q100) převzatá z materiálu BP Teplice zpracovaného v roce 1998 pro povodí Labe. Povodňové stavy Labe zasahují částečně zástavbu na pravém i levém břehu Labe. </w:t>
      </w:r>
    </w:p>
    <w:p w14:paraId="2952D386" w14:textId="77777777" w:rsidR="00CA23D0" w:rsidRPr="00E30642" w:rsidRDefault="00CA23D0" w:rsidP="00CA23D0">
      <w:pPr>
        <w:pStyle w:val="Zkladntext"/>
        <w:spacing w:line="240" w:lineRule="atLeast"/>
        <w:jc w:val="both"/>
        <w:rPr>
          <w:rFonts w:ascii="Arial" w:hAnsi="Arial" w:cs="Arial"/>
        </w:rPr>
      </w:pPr>
    </w:p>
    <w:p w14:paraId="698988DB" w14:textId="77777777" w:rsidR="00CA23D0" w:rsidRPr="00E30642" w:rsidRDefault="00CA23D0" w:rsidP="00CA23D0">
      <w:pPr>
        <w:pStyle w:val="podnadpis2"/>
        <w:jc w:val="both"/>
        <w:rPr>
          <w:rFonts w:cs="Arial"/>
        </w:rPr>
      </w:pPr>
      <w:r w:rsidRPr="00E30642">
        <w:rPr>
          <w:rFonts w:cs="Arial"/>
          <w:szCs w:val="22"/>
        </w:rPr>
        <w:t xml:space="preserve">Inundace Ploučnice </w:t>
      </w:r>
    </w:p>
    <w:p w14:paraId="5C5416D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je zakreslena ze studie Povodí Ohře: Zátopové území Ploučnice. Materiál vyhodnotil povodeň z července 1981 jako stoletou.</w:t>
      </w:r>
    </w:p>
    <w:p w14:paraId="20FD3BC8" w14:textId="77777777" w:rsidR="00CA23D0" w:rsidRPr="00E30642" w:rsidRDefault="00CA23D0" w:rsidP="00CA23D0">
      <w:pPr>
        <w:pStyle w:val="Zkladntext"/>
        <w:jc w:val="both"/>
        <w:rPr>
          <w:rFonts w:ascii="Arial" w:hAnsi="Arial" w:cs="Arial"/>
        </w:rPr>
      </w:pPr>
    </w:p>
    <w:p w14:paraId="2DEB1CEF" w14:textId="77777777" w:rsidR="00CA23D0" w:rsidRPr="00E30642" w:rsidRDefault="00CA23D0" w:rsidP="00CA23D0">
      <w:pPr>
        <w:pStyle w:val="podnadpis2"/>
        <w:jc w:val="both"/>
        <w:rPr>
          <w:rFonts w:cs="Arial"/>
        </w:rPr>
      </w:pPr>
      <w:r w:rsidRPr="00E30642">
        <w:rPr>
          <w:rFonts w:cs="Arial"/>
          <w:szCs w:val="22"/>
        </w:rPr>
        <w:t>Inundace Jílovského potoka</w:t>
      </w:r>
    </w:p>
    <w:p w14:paraId="2FC1B5E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je převzata z Hydraulické studie Jílovského potoka zpracované Povodím Ohře Chomutov (7/1995). </w:t>
      </w:r>
    </w:p>
    <w:p w14:paraId="356CE1F2"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ab/>
        <w:t xml:space="preserve">   Kóty maximálních hladin Labe </w:t>
      </w:r>
      <w:r w:rsidRPr="00E30642">
        <w:rPr>
          <w:rFonts w:ascii="Arial" w:hAnsi="Arial" w:cs="Arial"/>
          <w:caps/>
        </w:rPr>
        <w:t>(ve výškovém systému B.P.V)</w:t>
      </w:r>
    </w:p>
    <w:p w14:paraId="2D24D822" w14:textId="77777777" w:rsidR="00CA23D0" w:rsidRPr="00E30642" w:rsidRDefault="00CA23D0" w:rsidP="00CA23D0">
      <w:pPr>
        <w:pStyle w:val="Zkladntext"/>
        <w:jc w:val="both"/>
        <w:rPr>
          <w:rFonts w:ascii="Arial" w:hAnsi="Arial" w:cs="Arial"/>
        </w:rPr>
      </w:pPr>
    </w:p>
    <w:tbl>
      <w:tblPr>
        <w:tblW w:w="0" w:type="auto"/>
        <w:jc w:val="center"/>
        <w:tblLayout w:type="fixed"/>
        <w:tblCellMar>
          <w:left w:w="70" w:type="dxa"/>
          <w:right w:w="70" w:type="dxa"/>
        </w:tblCellMar>
        <w:tblLook w:val="0000" w:firstRow="0" w:lastRow="0" w:firstColumn="0" w:lastColumn="0" w:noHBand="0" w:noVBand="0"/>
      </w:tblPr>
      <w:tblGrid>
        <w:gridCol w:w="1977"/>
        <w:gridCol w:w="1964"/>
        <w:gridCol w:w="1882"/>
        <w:gridCol w:w="1964"/>
      </w:tblGrid>
      <w:tr w:rsidR="00CA23D0" w:rsidRPr="00E30642" w14:paraId="5FDFE3BC" w14:textId="77777777" w:rsidTr="00CA23D0">
        <w:trPr>
          <w:jc w:val="center"/>
        </w:trPr>
        <w:tc>
          <w:tcPr>
            <w:tcW w:w="1977" w:type="dxa"/>
            <w:vMerge w:val="restart"/>
            <w:tcBorders>
              <w:top w:val="single" w:sz="6" w:space="0" w:color="auto"/>
              <w:left w:val="single" w:sz="6" w:space="0" w:color="auto"/>
              <w:right w:val="single" w:sz="6" w:space="0" w:color="auto"/>
            </w:tcBorders>
          </w:tcPr>
          <w:p w14:paraId="7984544F" w14:textId="77777777" w:rsidR="00CA23D0" w:rsidRPr="00E30642" w:rsidRDefault="00CA23D0" w:rsidP="00CA23D0">
            <w:pPr>
              <w:pStyle w:val="Texttabulky"/>
              <w:spacing w:line="240" w:lineRule="atLeast"/>
              <w:jc w:val="both"/>
              <w:rPr>
                <w:rFonts w:cs="Arial"/>
              </w:rPr>
            </w:pPr>
            <w:r w:rsidRPr="00E30642">
              <w:rPr>
                <w:rFonts w:cs="Arial"/>
                <w:b/>
                <w:bCs/>
              </w:rPr>
              <w:t>Staničení Plav. km</w:t>
            </w:r>
          </w:p>
        </w:tc>
        <w:tc>
          <w:tcPr>
            <w:tcW w:w="1964" w:type="dxa"/>
            <w:tcBorders>
              <w:top w:val="single" w:sz="6" w:space="0" w:color="auto"/>
              <w:left w:val="single" w:sz="6" w:space="0" w:color="auto"/>
              <w:bottom w:val="single" w:sz="6" w:space="0" w:color="auto"/>
              <w:right w:val="single" w:sz="6" w:space="0" w:color="auto"/>
            </w:tcBorders>
          </w:tcPr>
          <w:p w14:paraId="64A3513C" w14:textId="77777777" w:rsidR="00CA23D0" w:rsidRPr="00E30642" w:rsidRDefault="00CA23D0" w:rsidP="00CA23D0">
            <w:pPr>
              <w:pStyle w:val="Texttabulky"/>
              <w:spacing w:line="240" w:lineRule="atLeast"/>
              <w:jc w:val="both"/>
              <w:rPr>
                <w:rFonts w:cs="Arial"/>
              </w:rPr>
            </w:pPr>
            <w:r w:rsidRPr="00E30642">
              <w:rPr>
                <w:rFonts w:cs="Arial"/>
                <w:b/>
                <w:bCs/>
              </w:rPr>
              <w:t>kóta Q5</w:t>
            </w:r>
          </w:p>
        </w:tc>
        <w:tc>
          <w:tcPr>
            <w:tcW w:w="1882" w:type="dxa"/>
            <w:tcBorders>
              <w:top w:val="single" w:sz="6" w:space="0" w:color="auto"/>
              <w:left w:val="single" w:sz="6" w:space="0" w:color="auto"/>
              <w:bottom w:val="single" w:sz="6" w:space="0" w:color="auto"/>
              <w:right w:val="single" w:sz="6" w:space="0" w:color="auto"/>
            </w:tcBorders>
          </w:tcPr>
          <w:p w14:paraId="6870526C" w14:textId="77777777" w:rsidR="00CA23D0" w:rsidRPr="00E30642" w:rsidRDefault="00CA23D0" w:rsidP="00CA23D0">
            <w:pPr>
              <w:pStyle w:val="Texttabulky"/>
              <w:spacing w:line="240" w:lineRule="atLeast"/>
              <w:jc w:val="both"/>
              <w:rPr>
                <w:rFonts w:cs="Arial"/>
              </w:rPr>
            </w:pPr>
            <w:r w:rsidRPr="00E30642">
              <w:rPr>
                <w:rFonts w:cs="Arial"/>
                <w:b/>
                <w:bCs/>
              </w:rPr>
              <w:t>kóta Q50</w:t>
            </w:r>
          </w:p>
        </w:tc>
        <w:tc>
          <w:tcPr>
            <w:tcW w:w="1964" w:type="dxa"/>
            <w:tcBorders>
              <w:top w:val="single" w:sz="6" w:space="0" w:color="auto"/>
              <w:left w:val="single" w:sz="6" w:space="0" w:color="auto"/>
              <w:bottom w:val="single" w:sz="6" w:space="0" w:color="auto"/>
              <w:right w:val="single" w:sz="6" w:space="0" w:color="auto"/>
            </w:tcBorders>
          </w:tcPr>
          <w:p w14:paraId="3816DB17" w14:textId="77777777" w:rsidR="00CA23D0" w:rsidRPr="00E30642" w:rsidRDefault="00CA23D0" w:rsidP="00CA23D0">
            <w:pPr>
              <w:pStyle w:val="Texttabulky"/>
              <w:spacing w:line="240" w:lineRule="atLeast"/>
              <w:jc w:val="both"/>
              <w:rPr>
                <w:rFonts w:cs="Arial"/>
              </w:rPr>
            </w:pPr>
            <w:r w:rsidRPr="00E30642">
              <w:rPr>
                <w:rFonts w:cs="Arial"/>
                <w:b/>
                <w:bCs/>
              </w:rPr>
              <w:t>kóta Q100</w:t>
            </w:r>
          </w:p>
        </w:tc>
      </w:tr>
      <w:tr w:rsidR="00CA23D0" w:rsidRPr="00E30642" w14:paraId="70187120" w14:textId="77777777" w:rsidTr="00CA23D0">
        <w:trPr>
          <w:jc w:val="center"/>
        </w:trPr>
        <w:tc>
          <w:tcPr>
            <w:tcW w:w="1977" w:type="dxa"/>
            <w:vMerge/>
            <w:tcBorders>
              <w:left w:val="single" w:sz="6" w:space="0" w:color="auto"/>
              <w:bottom w:val="single" w:sz="6" w:space="0" w:color="auto"/>
              <w:right w:val="single" w:sz="6" w:space="0" w:color="auto"/>
            </w:tcBorders>
          </w:tcPr>
          <w:p w14:paraId="2B309018" w14:textId="77777777" w:rsidR="00CA23D0" w:rsidRPr="00E30642" w:rsidRDefault="00CA23D0" w:rsidP="00CA23D0">
            <w:pPr>
              <w:pStyle w:val="Zkladntext"/>
              <w:jc w:val="both"/>
              <w:rPr>
                <w:rFonts w:ascii="Arial" w:hAnsi="Arial" w:cs="Arial"/>
              </w:rPr>
            </w:pPr>
          </w:p>
        </w:tc>
        <w:tc>
          <w:tcPr>
            <w:tcW w:w="1964" w:type="dxa"/>
            <w:tcBorders>
              <w:top w:val="single" w:sz="6" w:space="0" w:color="auto"/>
              <w:left w:val="single" w:sz="6" w:space="0" w:color="auto"/>
              <w:bottom w:val="single" w:sz="6" w:space="0" w:color="auto"/>
              <w:right w:val="single" w:sz="6" w:space="0" w:color="auto"/>
            </w:tcBorders>
          </w:tcPr>
          <w:p w14:paraId="0114B8AC" w14:textId="77777777" w:rsidR="00CA23D0" w:rsidRPr="00E30642" w:rsidRDefault="00CA23D0" w:rsidP="00CA23D0">
            <w:pPr>
              <w:pStyle w:val="Texttabulky"/>
              <w:jc w:val="both"/>
              <w:rPr>
                <w:rFonts w:cs="Arial"/>
              </w:rPr>
            </w:pPr>
            <w:r w:rsidRPr="00E30642">
              <w:rPr>
                <w:rFonts w:cs="Arial"/>
                <w:b/>
                <w:bCs/>
              </w:rPr>
              <w:t>2438 m</w:t>
            </w:r>
            <w:r w:rsidRPr="00E30642">
              <w:rPr>
                <w:rFonts w:cs="Arial"/>
                <w:b/>
                <w:bCs/>
                <w:position w:val="6"/>
              </w:rPr>
              <w:t>3</w:t>
            </w:r>
            <w:r w:rsidRPr="00E30642">
              <w:rPr>
                <w:rFonts w:cs="Arial"/>
                <w:b/>
                <w:bCs/>
              </w:rPr>
              <w:t>/s</w:t>
            </w:r>
          </w:p>
        </w:tc>
        <w:tc>
          <w:tcPr>
            <w:tcW w:w="1882" w:type="dxa"/>
            <w:tcBorders>
              <w:top w:val="single" w:sz="6" w:space="0" w:color="auto"/>
              <w:left w:val="single" w:sz="6" w:space="0" w:color="auto"/>
              <w:bottom w:val="single" w:sz="6" w:space="0" w:color="auto"/>
              <w:right w:val="single" w:sz="6" w:space="0" w:color="auto"/>
            </w:tcBorders>
          </w:tcPr>
          <w:p w14:paraId="12FD4AB2" w14:textId="77777777" w:rsidR="00CA23D0" w:rsidRPr="00E30642" w:rsidRDefault="00CA23D0" w:rsidP="00CA23D0">
            <w:pPr>
              <w:pStyle w:val="Texttabulky"/>
              <w:jc w:val="both"/>
              <w:rPr>
                <w:rFonts w:cs="Arial"/>
              </w:rPr>
            </w:pPr>
            <w:r w:rsidRPr="00E30642">
              <w:rPr>
                <w:rFonts w:cs="Arial"/>
                <w:b/>
                <w:bCs/>
              </w:rPr>
              <w:t>4191 m</w:t>
            </w:r>
            <w:r w:rsidRPr="00E30642">
              <w:rPr>
                <w:rFonts w:cs="Arial"/>
                <w:b/>
                <w:bCs/>
                <w:position w:val="6"/>
              </w:rPr>
              <w:t>3</w:t>
            </w:r>
            <w:r w:rsidRPr="00E30642">
              <w:rPr>
                <w:rFonts w:cs="Arial"/>
                <w:b/>
                <w:bCs/>
              </w:rPr>
              <w:t>/s</w:t>
            </w:r>
          </w:p>
        </w:tc>
        <w:tc>
          <w:tcPr>
            <w:tcW w:w="1964" w:type="dxa"/>
            <w:tcBorders>
              <w:top w:val="single" w:sz="6" w:space="0" w:color="auto"/>
              <w:left w:val="single" w:sz="6" w:space="0" w:color="auto"/>
              <w:bottom w:val="single" w:sz="6" w:space="0" w:color="auto"/>
              <w:right w:val="single" w:sz="6" w:space="0" w:color="auto"/>
            </w:tcBorders>
          </w:tcPr>
          <w:p w14:paraId="1A274896" w14:textId="77777777" w:rsidR="00CA23D0" w:rsidRPr="00E30642" w:rsidRDefault="00CA23D0" w:rsidP="00CA23D0">
            <w:pPr>
              <w:pStyle w:val="Texttabulky"/>
              <w:jc w:val="both"/>
              <w:rPr>
                <w:rFonts w:cs="Arial"/>
              </w:rPr>
            </w:pPr>
            <w:r w:rsidRPr="00E30642">
              <w:rPr>
                <w:rFonts w:cs="Arial"/>
                <w:b/>
                <w:bCs/>
              </w:rPr>
              <w:t>4765 m</w:t>
            </w:r>
            <w:r w:rsidRPr="00E30642">
              <w:rPr>
                <w:rFonts w:cs="Arial"/>
                <w:b/>
                <w:bCs/>
                <w:position w:val="6"/>
              </w:rPr>
              <w:t>3</w:t>
            </w:r>
            <w:r w:rsidRPr="00E30642">
              <w:rPr>
                <w:rFonts w:cs="Arial"/>
                <w:b/>
                <w:bCs/>
              </w:rPr>
              <w:t>/s</w:t>
            </w:r>
          </w:p>
        </w:tc>
      </w:tr>
      <w:tr w:rsidR="00CA23D0" w:rsidRPr="00E30642" w14:paraId="219F2B53"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74B8DDE2" w14:textId="77777777" w:rsidR="00CA23D0" w:rsidRPr="00E30642" w:rsidRDefault="00CA23D0" w:rsidP="00CA23D0">
            <w:pPr>
              <w:pStyle w:val="Texttabulky"/>
              <w:spacing w:line="240" w:lineRule="atLeast"/>
              <w:jc w:val="both"/>
              <w:rPr>
                <w:rFonts w:cs="Arial"/>
              </w:rPr>
            </w:pPr>
            <w:r w:rsidRPr="00E30642">
              <w:rPr>
                <w:rFonts w:cs="Arial"/>
                <w:sz w:val="18"/>
                <w:szCs w:val="18"/>
              </w:rPr>
              <w:t>88,5</w:t>
            </w:r>
          </w:p>
        </w:tc>
        <w:tc>
          <w:tcPr>
            <w:tcW w:w="1964" w:type="dxa"/>
            <w:tcBorders>
              <w:top w:val="single" w:sz="6" w:space="0" w:color="auto"/>
              <w:left w:val="single" w:sz="6" w:space="0" w:color="auto"/>
              <w:bottom w:val="single" w:sz="6" w:space="0" w:color="auto"/>
              <w:right w:val="single" w:sz="6" w:space="0" w:color="auto"/>
            </w:tcBorders>
          </w:tcPr>
          <w:p w14:paraId="73251611" w14:textId="77777777" w:rsidR="00CA23D0" w:rsidRPr="00E30642" w:rsidRDefault="00CA23D0" w:rsidP="00CA23D0">
            <w:pPr>
              <w:pStyle w:val="Texttabulky"/>
              <w:spacing w:line="240" w:lineRule="atLeast"/>
              <w:jc w:val="both"/>
              <w:rPr>
                <w:rFonts w:cs="Arial"/>
              </w:rPr>
            </w:pPr>
            <w:r w:rsidRPr="00E30642">
              <w:rPr>
                <w:rFonts w:cs="Arial"/>
                <w:sz w:val="18"/>
                <w:szCs w:val="18"/>
              </w:rPr>
              <w:t>130,86</w:t>
            </w:r>
          </w:p>
        </w:tc>
        <w:tc>
          <w:tcPr>
            <w:tcW w:w="1882" w:type="dxa"/>
            <w:tcBorders>
              <w:top w:val="single" w:sz="6" w:space="0" w:color="auto"/>
              <w:left w:val="single" w:sz="6" w:space="0" w:color="auto"/>
              <w:bottom w:val="single" w:sz="6" w:space="0" w:color="auto"/>
              <w:right w:val="single" w:sz="6" w:space="0" w:color="auto"/>
            </w:tcBorders>
          </w:tcPr>
          <w:p w14:paraId="70CC8AD3" w14:textId="77777777" w:rsidR="00CA23D0" w:rsidRPr="00E30642" w:rsidRDefault="00CA23D0" w:rsidP="00CA23D0">
            <w:pPr>
              <w:pStyle w:val="Texttabulky"/>
              <w:spacing w:line="240" w:lineRule="atLeast"/>
              <w:jc w:val="both"/>
              <w:rPr>
                <w:rFonts w:cs="Arial"/>
              </w:rPr>
            </w:pPr>
            <w:r w:rsidRPr="00E30642">
              <w:rPr>
                <w:rFonts w:cs="Arial"/>
                <w:sz w:val="18"/>
                <w:szCs w:val="18"/>
              </w:rPr>
              <w:t>133,71</w:t>
            </w:r>
          </w:p>
        </w:tc>
        <w:tc>
          <w:tcPr>
            <w:tcW w:w="1964" w:type="dxa"/>
            <w:tcBorders>
              <w:top w:val="single" w:sz="6" w:space="0" w:color="auto"/>
              <w:left w:val="single" w:sz="6" w:space="0" w:color="auto"/>
              <w:bottom w:val="single" w:sz="6" w:space="0" w:color="auto"/>
              <w:right w:val="single" w:sz="6" w:space="0" w:color="auto"/>
            </w:tcBorders>
          </w:tcPr>
          <w:p w14:paraId="71F6BC35" w14:textId="77777777" w:rsidR="00CA23D0" w:rsidRPr="00E30642" w:rsidRDefault="00CA23D0" w:rsidP="00CA23D0">
            <w:pPr>
              <w:pStyle w:val="Texttabulky"/>
              <w:spacing w:line="240" w:lineRule="atLeast"/>
              <w:jc w:val="both"/>
              <w:rPr>
                <w:rFonts w:cs="Arial"/>
              </w:rPr>
            </w:pPr>
            <w:r w:rsidRPr="00E30642">
              <w:rPr>
                <w:rFonts w:cs="Arial"/>
                <w:sz w:val="18"/>
                <w:szCs w:val="18"/>
              </w:rPr>
              <w:t>134,62</w:t>
            </w:r>
          </w:p>
        </w:tc>
      </w:tr>
      <w:tr w:rsidR="00CA23D0" w:rsidRPr="00E30642" w14:paraId="7F655E54"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724DE28B" w14:textId="77777777" w:rsidR="00CA23D0" w:rsidRPr="00E30642" w:rsidRDefault="00CA23D0" w:rsidP="00CA23D0">
            <w:pPr>
              <w:pStyle w:val="Texttabulky"/>
              <w:spacing w:line="240" w:lineRule="atLeast"/>
              <w:jc w:val="both"/>
              <w:rPr>
                <w:rFonts w:cs="Arial"/>
              </w:rPr>
            </w:pPr>
            <w:r w:rsidRPr="00E30642">
              <w:rPr>
                <w:rFonts w:cs="Arial"/>
                <w:sz w:val="18"/>
                <w:szCs w:val="18"/>
              </w:rPr>
              <w:t>89</w:t>
            </w:r>
          </w:p>
        </w:tc>
        <w:tc>
          <w:tcPr>
            <w:tcW w:w="1964" w:type="dxa"/>
            <w:tcBorders>
              <w:top w:val="single" w:sz="6" w:space="0" w:color="auto"/>
              <w:left w:val="single" w:sz="6" w:space="0" w:color="auto"/>
              <w:bottom w:val="single" w:sz="6" w:space="0" w:color="auto"/>
              <w:right w:val="single" w:sz="6" w:space="0" w:color="auto"/>
            </w:tcBorders>
          </w:tcPr>
          <w:p w14:paraId="30F8F512" w14:textId="77777777" w:rsidR="00CA23D0" w:rsidRPr="00E30642" w:rsidRDefault="00CA23D0" w:rsidP="00CA23D0">
            <w:pPr>
              <w:pStyle w:val="Texttabulky"/>
              <w:spacing w:line="240" w:lineRule="atLeast"/>
              <w:jc w:val="both"/>
              <w:rPr>
                <w:rFonts w:cs="Arial"/>
              </w:rPr>
            </w:pPr>
            <w:r w:rsidRPr="00E30642">
              <w:rPr>
                <w:rFonts w:cs="Arial"/>
                <w:sz w:val="18"/>
                <w:szCs w:val="18"/>
              </w:rPr>
              <w:t>130,67</w:t>
            </w:r>
          </w:p>
        </w:tc>
        <w:tc>
          <w:tcPr>
            <w:tcW w:w="1882" w:type="dxa"/>
            <w:tcBorders>
              <w:top w:val="single" w:sz="6" w:space="0" w:color="auto"/>
              <w:left w:val="single" w:sz="6" w:space="0" w:color="auto"/>
              <w:bottom w:val="single" w:sz="6" w:space="0" w:color="auto"/>
              <w:right w:val="single" w:sz="6" w:space="0" w:color="auto"/>
            </w:tcBorders>
          </w:tcPr>
          <w:p w14:paraId="59DE6FB5" w14:textId="77777777" w:rsidR="00CA23D0" w:rsidRPr="00E30642" w:rsidRDefault="00CA23D0" w:rsidP="00CA23D0">
            <w:pPr>
              <w:pStyle w:val="Texttabulky"/>
              <w:spacing w:line="240" w:lineRule="atLeast"/>
              <w:jc w:val="both"/>
              <w:rPr>
                <w:rFonts w:cs="Arial"/>
              </w:rPr>
            </w:pPr>
            <w:r w:rsidRPr="00E30642">
              <w:rPr>
                <w:rFonts w:cs="Arial"/>
                <w:sz w:val="18"/>
                <w:szCs w:val="18"/>
              </w:rPr>
              <w:t>133,57</w:t>
            </w:r>
          </w:p>
        </w:tc>
        <w:tc>
          <w:tcPr>
            <w:tcW w:w="1964" w:type="dxa"/>
            <w:tcBorders>
              <w:top w:val="single" w:sz="6" w:space="0" w:color="auto"/>
              <w:left w:val="single" w:sz="6" w:space="0" w:color="auto"/>
              <w:bottom w:val="single" w:sz="6" w:space="0" w:color="auto"/>
              <w:right w:val="single" w:sz="6" w:space="0" w:color="auto"/>
            </w:tcBorders>
          </w:tcPr>
          <w:p w14:paraId="45704720" w14:textId="77777777" w:rsidR="00CA23D0" w:rsidRPr="00E30642" w:rsidRDefault="00CA23D0" w:rsidP="00CA23D0">
            <w:pPr>
              <w:pStyle w:val="Texttabulky"/>
              <w:spacing w:line="240" w:lineRule="atLeast"/>
              <w:jc w:val="both"/>
              <w:rPr>
                <w:rFonts w:cs="Arial"/>
              </w:rPr>
            </w:pPr>
            <w:r w:rsidRPr="00E30642">
              <w:rPr>
                <w:rFonts w:cs="Arial"/>
                <w:sz w:val="18"/>
                <w:szCs w:val="18"/>
              </w:rPr>
              <w:t>134,5</w:t>
            </w:r>
          </w:p>
        </w:tc>
      </w:tr>
      <w:tr w:rsidR="00CA23D0" w:rsidRPr="00E30642" w14:paraId="7259A1B4"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6EE0B632" w14:textId="77777777" w:rsidR="00CA23D0" w:rsidRPr="00E30642" w:rsidRDefault="00CA23D0" w:rsidP="00CA23D0">
            <w:pPr>
              <w:pStyle w:val="Texttabulky"/>
              <w:spacing w:line="240" w:lineRule="atLeast"/>
              <w:jc w:val="both"/>
              <w:rPr>
                <w:rFonts w:cs="Arial"/>
              </w:rPr>
            </w:pPr>
            <w:r w:rsidRPr="00E30642">
              <w:rPr>
                <w:rFonts w:cs="Arial"/>
                <w:sz w:val="18"/>
                <w:szCs w:val="18"/>
              </w:rPr>
              <w:t>90,2</w:t>
            </w:r>
          </w:p>
        </w:tc>
        <w:tc>
          <w:tcPr>
            <w:tcW w:w="1964" w:type="dxa"/>
            <w:tcBorders>
              <w:top w:val="single" w:sz="6" w:space="0" w:color="auto"/>
              <w:left w:val="single" w:sz="6" w:space="0" w:color="auto"/>
              <w:bottom w:val="single" w:sz="6" w:space="0" w:color="auto"/>
              <w:right w:val="single" w:sz="6" w:space="0" w:color="auto"/>
            </w:tcBorders>
          </w:tcPr>
          <w:p w14:paraId="3DBA9BC4" w14:textId="77777777" w:rsidR="00CA23D0" w:rsidRPr="00E30642" w:rsidRDefault="00CA23D0" w:rsidP="00CA23D0">
            <w:pPr>
              <w:pStyle w:val="Texttabulky"/>
              <w:spacing w:line="240" w:lineRule="atLeast"/>
              <w:jc w:val="both"/>
              <w:rPr>
                <w:rFonts w:cs="Arial"/>
              </w:rPr>
            </w:pPr>
            <w:r w:rsidRPr="00E30642">
              <w:rPr>
                <w:rFonts w:cs="Arial"/>
                <w:sz w:val="18"/>
                <w:szCs w:val="18"/>
              </w:rPr>
              <w:t>130,07</w:t>
            </w:r>
          </w:p>
        </w:tc>
        <w:tc>
          <w:tcPr>
            <w:tcW w:w="1882" w:type="dxa"/>
            <w:tcBorders>
              <w:top w:val="single" w:sz="6" w:space="0" w:color="auto"/>
              <w:left w:val="single" w:sz="6" w:space="0" w:color="auto"/>
              <w:bottom w:val="single" w:sz="6" w:space="0" w:color="auto"/>
              <w:right w:val="single" w:sz="6" w:space="0" w:color="auto"/>
            </w:tcBorders>
          </w:tcPr>
          <w:p w14:paraId="3AF694EE" w14:textId="77777777" w:rsidR="00CA23D0" w:rsidRPr="00E30642" w:rsidRDefault="00CA23D0" w:rsidP="00CA23D0">
            <w:pPr>
              <w:pStyle w:val="Texttabulky"/>
              <w:spacing w:line="240" w:lineRule="atLeast"/>
              <w:jc w:val="both"/>
              <w:rPr>
                <w:rFonts w:cs="Arial"/>
              </w:rPr>
            </w:pPr>
            <w:r w:rsidRPr="00E30642">
              <w:rPr>
                <w:rFonts w:cs="Arial"/>
                <w:sz w:val="18"/>
                <w:szCs w:val="18"/>
              </w:rPr>
              <w:t>133,07</w:t>
            </w:r>
          </w:p>
        </w:tc>
        <w:tc>
          <w:tcPr>
            <w:tcW w:w="1964" w:type="dxa"/>
            <w:tcBorders>
              <w:top w:val="single" w:sz="6" w:space="0" w:color="auto"/>
              <w:left w:val="single" w:sz="6" w:space="0" w:color="auto"/>
              <w:bottom w:val="single" w:sz="6" w:space="0" w:color="auto"/>
              <w:right w:val="single" w:sz="6" w:space="0" w:color="auto"/>
            </w:tcBorders>
          </w:tcPr>
          <w:p w14:paraId="20BC496D" w14:textId="77777777" w:rsidR="00CA23D0" w:rsidRPr="00E30642" w:rsidRDefault="00CA23D0" w:rsidP="00CA23D0">
            <w:pPr>
              <w:pStyle w:val="Texttabulky"/>
              <w:spacing w:line="240" w:lineRule="atLeast"/>
              <w:jc w:val="both"/>
              <w:rPr>
                <w:rFonts w:cs="Arial"/>
              </w:rPr>
            </w:pPr>
            <w:r w:rsidRPr="00E30642">
              <w:rPr>
                <w:rFonts w:cs="Arial"/>
                <w:sz w:val="18"/>
                <w:szCs w:val="18"/>
              </w:rPr>
              <w:t>134,04</w:t>
            </w:r>
          </w:p>
        </w:tc>
      </w:tr>
      <w:tr w:rsidR="00CA23D0" w:rsidRPr="00E30642" w14:paraId="697633D7"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739D5EB0" w14:textId="77777777" w:rsidR="00CA23D0" w:rsidRPr="00E30642" w:rsidRDefault="00CA23D0" w:rsidP="00CA23D0">
            <w:pPr>
              <w:pStyle w:val="Texttabulky"/>
              <w:spacing w:line="240" w:lineRule="atLeast"/>
              <w:jc w:val="both"/>
              <w:rPr>
                <w:rFonts w:cs="Arial"/>
              </w:rPr>
            </w:pPr>
            <w:r w:rsidRPr="00E30642">
              <w:rPr>
                <w:rFonts w:cs="Arial"/>
                <w:sz w:val="18"/>
                <w:szCs w:val="18"/>
              </w:rPr>
              <w:t>91,1</w:t>
            </w:r>
          </w:p>
        </w:tc>
        <w:tc>
          <w:tcPr>
            <w:tcW w:w="1964" w:type="dxa"/>
            <w:tcBorders>
              <w:top w:val="single" w:sz="6" w:space="0" w:color="auto"/>
              <w:left w:val="single" w:sz="6" w:space="0" w:color="auto"/>
              <w:bottom w:val="single" w:sz="6" w:space="0" w:color="auto"/>
              <w:right w:val="single" w:sz="6" w:space="0" w:color="auto"/>
            </w:tcBorders>
          </w:tcPr>
          <w:p w14:paraId="77468024" w14:textId="77777777" w:rsidR="00CA23D0" w:rsidRPr="00E30642" w:rsidRDefault="00CA23D0" w:rsidP="00CA23D0">
            <w:pPr>
              <w:pStyle w:val="Texttabulky"/>
              <w:spacing w:line="240" w:lineRule="atLeast"/>
              <w:jc w:val="both"/>
              <w:rPr>
                <w:rFonts w:cs="Arial"/>
              </w:rPr>
            </w:pPr>
            <w:r w:rsidRPr="00E30642">
              <w:rPr>
                <w:rFonts w:cs="Arial"/>
                <w:sz w:val="18"/>
                <w:szCs w:val="18"/>
              </w:rPr>
              <w:t>129,62</w:t>
            </w:r>
          </w:p>
        </w:tc>
        <w:tc>
          <w:tcPr>
            <w:tcW w:w="1882" w:type="dxa"/>
            <w:tcBorders>
              <w:top w:val="single" w:sz="6" w:space="0" w:color="auto"/>
              <w:left w:val="single" w:sz="6" w:space="0" w:color="auto"/>
              <w:bottom w:val="single" w:sz="6" w:space="0" w:color="auto"/>
              <w:right w:val="single" w:sz="6" w:space="0" w:color="auto"/>
            </w:tcBorders>
          </w:tcPr>
          <w:p w14:paraId="66AEEF2B" w14:textId="77777777" w:rsidR="00CA23D0" w:rsidRPr="00E30642" w:rsidRDefault="00CA23D0" w:rsidP="00CA23D0">
            <w:pPr>
              <w:pStyle w:val="Texttabulky"/>
              <w:spacing w:line="240" w:lineRule="atLeast"/>
              <w:jc w:val="both"/>
              <w:rPr>
                <w:rFonts w:cs="Arial"/>
              </w:rPr>
            </w:pPr>
            <w:r w:rsidRPr="00E30642">
              <w:rPr>
                <w:rFonts w:cs="Arial"/>
                <w:sz w:val="18"/>
                <w:szCs w:val="18"/>
              </w:rPr>
              <w:t>132,77</w:t>
            </w:r>
          </w:p>
        </w:tc>
        <w:tc>
          <w:tcPr>
            <w:tcW w:w="1964" w:type="dxa"/>
            <w:tcBorders>
              <w:top w:val="single" w:sz="6" w:space="0" w:color="auto"/>
              <w:left w:val="single" w:sz="6" w:space="0" w:color="auto"/>
              <w:bottom w:val="single" w:sz="6" w:space="0" w:color="auto"/>
              <w:right w:val="single" w:sz="6" w:space="0" w:color="auto"/>
            </w:tcBorders>
          </w:tcPr>
          <w:p w14:paraId="601A3BD5" w14:textId="77777777" w:rsidR="00CA23D0" w:rsidRPr="00E30642" w:rsidRDefault="00CA23D0" w:rsidP="00CA23D0">
            <w:pPr>
              <w:pStyle w:val="Texttabulky"/>
              <w:spacing w:line="240" w:lineRule="atLeast"/>
              <w:jc w:val="both"/>
              <w:rPr>
                <w:rFonts w:cs="Arial"/>
              </w:rPr>
            </w:pPr>
            <w:r w:rsidRPr="00E30642">
              <w:rPr>
                <w:rFonts w:cs="Arial"/>
                <w:sz w:val="18"/>
                <w:szCs w:val="18"/>
              </w:rPr>
              <w:t>133,78</w:t>
            </w:r>
          </w:p>
        </w:tc>
      </w:tr>
      <w:tr w:rsidR="00CA23D0" w:rsidRPr="00E30642" w14:paraId="1A341E52"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76AFBAA9" w14:textId="77777777" w:rsidR="00CA23D0" w:rsidRPr="00E30642" w:rsidRDefault="00CA23D0" w:rsidP="00CA23D0">
            <w:pPr>
              <w:pStyle w:val="Texttabulky"/>
              <w:spacing w:line="240" w:lineRule="atLeast"/>
              <w:jc w:val="both"/>
              <w:rPr>
                <w:rFonts w:cs="Arial"/>
              </w:rPr>
            </w:pPr>
            <w:r w:rsidRPr="00E30642">
              <w:rPr>
                <w:rFonts w:cs="Arial"/>
                <w:sz w:val="18"/>
                <w:szCs w:val="18"/>
              </w:rPr>
              <w:t>92,2</w:t>
            </w:r>
          </w:p>
        </w:tc>
        <w:tc>
          <w:tcPr>
            <w:tcW w:w="1964" w:type="dxa"/>
            <w:tcBorders>
              <w:top w:val="single" w:sz="6" w:space="0" w:color="auto"/>
              <w:left w:val="single" w:sz="6" w:space="0" w:color="auto"/>
              <w:bottom w:val="single" w:sz="6" w:space="0" w:color="auto"/>
              <w:right w:val="single" w:sz="6" w:space="0" w:color="auto"/>
            </w:tcBorders>
          </w:tcPr>
          <w:p w14:paraId="4E98D364" w14:textId="77777777" w:rsidR="00CA23D0" w:rsidRPr="00E30642" w:rsidRDefault="00CA23D0" w:rsidP="00CA23D0">
            <w:pPr>
              <w:pStyle w:val="Texttabulky"/>
              <w:spacing w:line="240" w:lineRule="atLeast"/>
              <w:jc w:val="both"/>
              <w:rPr>
                <w:rFonts w:cs="Arial"/>
              </w:rPr>
            </w:pPr>
            <w:r w:rsidRPr="00E30642">
              <w:rPr>
                <w:rFonts w:cs="Arial"/>
                <w:sz w:val="18"/>
                <w:szCs w:val="18"/>
              </w:rPr>
              <w:t>129,4</w:t>
            </w:r>
          </w:p>
        </w:tc>
        <w:tc>
          <w:tcPr>
            <w:tcW w:w="1882" w:type="dxa"/>
            <w:tcBorders>
              <w:top w:val="single" w:sz="6" w:space="0" w:color="auto"/>
              <w:left w:val="single" w:sz="6" w:space="0" w:color="auto"/>
              <w:bottom w:val="single" w:sz="6" w:space="0" w:color="auto"/>
              <w:right w:val="single" w:sz="6" w:space="0" w:color="auto"/>
            </w:tcBorders>
          </w:tcPr>
          <w:p w14:paraId="57F26FAE" w14:textId="77777777" w:rsidR="00CA23D0" w:rsidRPr="00E30642" w:rsidRDefault="00CA23D0" w:rsidP="00CA23D0">
            <w:pPr>
              <w:pStyle w:val="Texttabulky"/>
              <w:spacing w:line="240" w:lineRule="atLeast"/>
              <w:jc w:val="both"/>
              <w:rPr>
                <w:rFonts w:cs="Arial"/>
              </w:rPr>
            </w:pPr>
            <w:r w:rsidRPr="00E30642">
              <w:rPr>
                <w:rFonts w:cs="Arial"/>
                <w:sz w:val="18"/>
                <w:szCs w:val="18"/>
              </w:rPr>
              <w:t>132,46</w:t>
            </w:r>
          </w:p>
        </w:tc>
        <w:tc>
          <w:tcPr>
            <w:tcW w:w="1964" w:type="dxa"/>
            <w:tcBorders>
              <w:top w:val="single" w:sz="6" w:space="0" w:color="auto"/>
              <w:left w:val="single" w:sz="6" w:space="0" w:color="auto"/>
              <w:bottom w:val="single" w:sz="6" w:space="0" w:color="auto"/>
              <w:right w:val="single" w:sz="6" w:space="0" w:color="auto"/>
            </w:tcBorders>
          </w:tcPr>
          <w:p w14:paraId="0AB34393" w14:textId="77777777" w:rsidR="00CA23D0" w:rsidRPr="00E30642" w:rsidRDefault="00CA23D0" w:rsidP="00CA23D0">
            <w:pPr>
              <w:pStyle w:val="Texttabulky"/>
              <w:spacing w:line="240" w:lineRule="atLeast"/>
              <w:jc w:val="both"/>
              <w:rPr>
                <w:rFonts w:cs="Arial"/>
              </w:rPr>
            </w:pPr>
            <w:r w:rsidRPr="00E30642">
              <w:rPr>
                <w:rFonts w:cs="Arial"/>
                <w:sz w:val="18"/>
                <w:szCs w:val="18"/>
              </w:rPr>
              <w:t>133,47</w:t>
            </w:r>
          </w:p>
        </w:tc>
      </w:tr>
      <w:tr w:rsidR="00CA23D0" w:rsidRPr="00E30642" w14:paraId="16EF20DA"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5C7BE0F1" w14:textId="77777777" w:rsidR="00CA23D0" w:rsidRPr="00E30642" w:rsidRDefault="00CA23D0" w:rsidP="00CA23D0">
            <w:pPr>
              <w:pStyle w:val="Texttabulky"/>
              <w:spacing w:line="240" w:lineRule="atLeast"/>
              <w:jc w:val="both"/>
              <w:rPr>
                <w:rFonts w:cs="Arial"/>
              </w:rPr>
            </w:pPr>
            <w:r w:rsidRPr="00E30642">
              <w:rPr>
                <w:rFonts w:cs="Arial"/>
                <w:sz w:val="18"/>
                <w:szCs w:val="18"/>
              </w:rPr>
              <w:t>93,2</w:t>
            </w:r>
          </w:p>
        </w:tc>
        <w:tc>
          <w:tcPr>
            <w:tcW w:w="1964" w:type="dxa"/>
            <w:tcBorders>
              <w:top w:val="single" w:sz="6" w:space="0" w:color="auto"/>
              <w:left w:val="single" w:sz="6" w:space="0" w:color="auto"/>
              <w:bottom w:val="single" w:sz="6" w:space="0" w:color="auto"/>
              <w:right w:val="single" w:sz="6" w:space="0" w:color="auto"/>
            </w:tcBorders>
          </w:tcPr>
          <w:p w14:paraId="17715D63" w14:textId="77777777" w:rsidR="00CA23D0" w:rsidRPr="00E30642" w:rsidRDefault="00CA23D0" w:rsidP="00CA23D0">
            <w:pPr>
              <w:pStyle w:val="Texttabulky"/>
              <w:spacing w:line="240" w:lineRule="atLeast"/>
              <w:jc w:val="both"/>
              <w:rPr>
                <w:rFonts w:cs="Arial"/>
              </w:rPr>
            </w:pPr>
            <w:r w:rsidRPr="00E30642">
              <w:rPr>
                <w:rFonts w:cs="Arial"/>
                <w:sz w:val="18"/>
                <w:szCs w:val="18"/>
              </w:rPr>
              <w:t>128,75</w:t>
            </w:r>
          </w:p>
        </w:tc>
        <w:tc>
          <w:tcPr>
            <w:tcW w:w="1882" w:type="dxa"/>
            <w:tcBorders>
              <w:top w:val="single" w:sz="6" w:space="0" w:color="auto"/>
              <w:left w:val="single" w:sz="6" w:space="0" w:color="auto"/>
              <w:bottom w:val="single" w:sz="6" w:space="0" w:color="auto"/>
              <w:right w:val="single" w:sz="6" w:space="0" w:color="auto"/>
            </w:tcBorders>
          </w:tcPr>
          <w:p w14:paraId="73185EA7" w14:textId="77777777" w:rsidR="00CA23D0" w:rsidRPr="00E30642" w:rsidRDefault="00CA23D0" w:rsidP="00CA23D0">
            <w:pPr>
              <w:pStyle w:val="Texttabulky"/>
              <w:spacing w:line="240" w:lineRule="atLeast"/>
              <w:jc w:val="both"/>
              <w:rPr>
                <w:rFonts w:cs="Arial"/>
              </w:rPr>
            </w:pPr>
            <w:r w:rsidRPr="00E30642">
              <w:rPr>
                <w:rFonts w:cs="Arial"/>
                <w:sz w:val="18"/>
                <w:szCs w:val="18"/>
              </w:rPr>
              <w:t>132,1</w:t>
            </w:r>
          </w:p>
        </w:tc>
        <w:tc>
          <w:tcPr>
            <w:tcW w:w="1964" w:type="dxa"/>
            <w:tcBorders>
              <w:top w:val="single" w:sz="6" w:space="0" w:color="auto"/>
              <w:left w:val="single" w:sz="6" w:space="0" w:color="auto"/>
              <w:bottom w:val="single" w:sz="6" w:space="0" w:color="auto"/>
              <w:right w:val="single" w:sz="6" w:space="0" w:color="auto"/>
            </w:tcBorders>
          </w:tcPr>
          <w:p w14:paraId="08F415A5" w14:textId="77777777" w:rsidR="00CA23D0" w:rsidRPr="00E30642" w:rsidRDefault="00CA23D0" w:rsidP="00CA23D0">
            <w:pPr>
              <w:pStyle w:val="Texttabulky"/>
              <w:spacing w:line="240" w:lineRule="atLeast"/>
              <w:jc w:val="both"/>
              <w:rPr>
                <w:rFonts w:cs="Arial"/>
              </w:rPr>
            </w:pPr>
            <w:r w:rsidRPr="00E30642">
              <w:rPr>
                <w:rFonts w:cs="Arial"/>
                <w:sz w:val="18"/>
                <w:szCs w:val="18"/>
              </w:rPr>
              <w:t>133,09</w:t>
            </w:r>
          </w:p>
        </w:tc>
      </w:tr>
      <w:tr w:rsidR="00CA23D0" w:rsidRPr="00E30642" w14:paraId="1F8796F1"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6ECC10BA" w14:textId="77777777" w:rsidR="00CA23D0" w:rsidRPr="00E30642" w:rsidRDefault="00CA23D0" w:rsidP="00CA23D0">
            <w:pPr>
              <w:pStyle w:val="Texttabulky"/>
              <w:spacing w:line="240" w:lineRule="atLeast"/>
              <w:jc w:val="both"/>
              <w:rPr>
                <w:rFonts w:cs="Arial"/>
              </w:rPr>
            </w:pPr>
            <w:r w:rsidRPr="00E30642">
              <w:rPr>
                <w:rFonts w:cs="Arial"/>
                <w:sz w:val="18"/>
                <w:szCs w:val="18"/>
              </w:rPr>
              <w:t>94,2</w:t>
            </w:r>
          </w:p>
        </w:tc>
        <w:tc>
          <w:tcPr>
            <w:tcW w:w="1964" w:type="dxa"/>
            <w:tcBorders>
              <w:top w:val="single" w:sz="6" w:space="0" w:color="auto"/>
              <w:left w:val="single" w:sz="6" w:space="0" w:color="auto"/>
              <w:bottom w:val="single" w:sz="6" w:space="0" w:color="auto"/>
              <w:right w:val="single" w:sz="6" w:space="0" w:color="auto"/>
            </w:tcBorders>
          </w:tcPr>
          <w:p w14:paraId="25AA9EFE" w14:textId="77777777" w:rsidR="00CA23D0" w:rsidRPr="00E30642" w:rsidRDefault="00CA23D0" w:rsidP="00CA23D0">
            <w:pPr>
              <w:pStyle w:val="Texttabulky"/>
              <w:spacing w:line="240" w:lineRule="atLeast"/>
              <w:jc w:val="both"/>
              <w:rPr>
                <w:rFonts w:cs="Arial"/>
              </w:rPr>
            </w:pPr>
            <w:r w:rsidRPr="00E30642">
              <w:rPr>
                <w:rFonts w:cs="Arial"/>
                <w:sz w:val="18"/>
                <w:szCs w:val="18"/>
              </w:rPr>
              <w:t>128,37</w:t>
            </w:r>
          </w:p>
        </w:tc>
        <w:tc>
          <w:tcPr>
            <w:tcW w:w="1882" w:type="dxa"/>
            <w:tcBorders>
              <w:top w:val="single" w:sz="6" w:space="0" w:color="auto"/>
              <w:left w:val="single" w:sz="6" w:space="0" w:color="auto"/>
              <w:bottom w:val="single" w:sz="6" w:space="0" w:color="auto"/>
              <w:right w:val="single" w:sz="6" w:space="0" w:color="auto"/>
            </w:tcBorders>
          </w:tcPr>
          <w:p w14:paraId="1DA22DA6" w14:textId="77777777" w:rsidR="00CA23D0" w:rsidRPr="00E30642" w:rsidRDefault="00CA23D0" w:rsidP="00CA23D0">
            <w:pPr>
              <w:pStyle w:val="Texttabulky"/>
              <w:spacing w:line="240" w:lineRule="atLeast"/>
              <w:jc w:val="both"/>
              <w:rPr>
                <w:rFonts w:cs="Arial"/>
              </w:rPr>
            </w:pPr>
            <w:r w:rsidRPr="00E30642">
              <w:rPr>
                <w:rFonts w:cs="Arial"/>
                <w:sz w:val="18"/>
                <w:szCs w:val="18"/>
              </w:rPr>
              <w:t>131,79</w:t>
            </w:r>
          </w:p>
        </w:tc>
        <w:tc>
          <w:tcPr>
            <w:tcW w:w="1964" w:type="dxa"/>
            <w:tcBorders>
              <w:top w:val="single" w:sz="6" w:space="0" w:color="auto"/>
              <w:left w:val="single" w:sz="6" w:space="0" w:color="auto"/>
              <w:bottom w:val="single" w:sz="6" w:space="0" w:color="auto"/>
              <w:right w:val="single" w:sz="6" w:space="0" w:color="auto"/>
            </w:tcBorders>
          </w:tcPr>
          <w:p w14:paraId="71BDF5B2" w14:textId="77777777" w:rsidR="00CA23D0" w:rsidRPr="00E30642" w:rsidRDefault="00CA23D0" w:rsidP="00CA23D0">
            <w:pPr>
              <w:pStyle w:val="Texttabulky"/>
              <w:spacing w:line="240" w:lineRule="atLeast"/>
              <w:jc w:val="both"/>
              <w:rPr>
                <w:rFonts w:cs="Arial"/>
              </w:rPr>
            </w:pPr>
            <w:r w:rsidRPr="00E30642">
              <w:rPr>
                <w:rFonts w:cs="Arial"/>
                <w:sz w:val="18"/>
                <w:szCs w:val="18"/>
              </w:rPr>
              <w:t>132,81</w:t>
            </w:r>
          </w:p>
        </w:tc>
      </w:tr>
      <w:tr w:rsidR="00CA23D0" w:rsidRPr="00E30642" w14:paraId="38EFDD07"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2FB656F8" w14:textId="77777777" w:rsidR="00CA23D0" w:rsidRPr="00E30642" w:rsidRDefault="00CA23D0" w:rsidP="00CA23D0">
            <w:pPr>
              <w:pStyle w:val="Texttabulky"/>
              <w:spacing w:line="240" w:lineRule="atLeast"/>
              <w:jc w:val="both"/>
              <w:rPr>
                <w:rFonts w:cs="Arial"/>
              </w:rPr>
            </w:pPr>
            <w:r w:rsidRPr="00E30642">
              <w:rPr>
                <w:rFonts w:cs="Arial"/>
                <w:sz w:val="18"/>
                <w:szCs w:val="18"/>
              </w:rPr>
              <w:t>95,3</w:t>
            </w:r>
          </w:p>
        </w:tc>
        <w:tc>
          <w:tcPr>
            <w:tcW w:w="1964" w:type="dxa"/>
            <w:tcBorders>
              <w:top w:val="single" w:sz="6" w:space="0" w:color="auto"/>
              <w:left w:val="single" w:sz="6" w:space="0" w:color="auto"/>
              <w:bottom w:val="single" w:sz="6" w:space="0" w:color="auto"/>
              <w:right w:val="single" w:sz="6" w:space="0" w:color="auto"/>
            </w:tcBorders>
          </w:tcPr>
          <w:p w14:paraId="01334383" w14:textId="77777777" w:rsidR="00CA23D0" w:rsidRPr="00E30642" w:rsidRDefault="00CA23D0" w:rsidP="00CA23D0">
            <w:pPr>
              <w:pStyle w:val="Texttabulky"/>
              <w:spacing w:line="240" w:lineRule="atLeast"/>
              <w:jc w:val="both"/>
              <w:rPr>
                <w:rFonts w:cs="Arial"/>
              </w:rPr>
            </w:pPr>
            <w:r w:rsidRPr="00E30642">
              <w:rPr>
                <w:rFonts w:cs="Arial"/>
                <w:sz w:val="18"/>
                <w:szCs w:val="18"/>
              </w:rPr>
              <w:t>127,86</w:t>
            </w:r>
          </w:p>
        </w:tc>
        <w:tc>
          <w:tcPr>
            <w:tcW w:w="1882" w:type="dxa"/>
            <w:tcBorders>
              <w:top w:val="single" w:sz="6" w:space="0" w:color="auto"/>
              <w:left w:val="single" w:sz="6" w:space="0" w:color="auto"/>
              <w:bottom w:val="single" w:sz="6" w:space="0" w:color="auto"/>
              <w:right w:val="single" w:sz="6" w:space="0" w:color="auto"/>
            </w:tcBorders>
          </w:tcPr>
          <w:p w14:paraId="26B19CC8" w14:textId="77777777" w:rsidR="00CA23D0" w:rsidRPr="00E30642" w:rsidRDefault="00CA23D0" w:rsidP="00CA23D0">
            <w:pPr>
              <w:pStyle w:val="Texttabulky"/>
              <w:spacing w:line="240" w:lineRule="atLeast"/>
              <w:jc w:val="both"/>
              <w:rPr>
                <w:rFonts w:cs="Arial"/>
              </w:rPr>
            </w:pPr>
            <w:r w:rsidRPr="00E30642">
              <w:rPr>
                <w:rFonts w:cs="Arial"/>
                <w:sz w:val="18"/>
                <w:szCs w:val="18"/>
              </w:rPr>
              <w:t>131,18</w:t>
            </w:r>
          </w:p>
        </w:tc>
        <w:tc>
          <w:tcPr>
            <w:tcW w:w="1964" w:type="dxa"/>
            <w:tcBorders>
              <w:top w:val="single" w:sz="6" w:space="0" w:color="auto"/>
              <w:left w:val="single" w:sz="6" w:space="0" w:color="auto"/>
              <w:bottom w:val="single" w:sz="6" w:space="0" w:color="auto"/>
              <w:right w:val="single" w:sz="6" w:space="0" w:color="auto"/>
            </w:tcBorders>
          </w:tcPr>
          <w:p w14:paraId="06D8743C" w14:textId="77777777" w:rsidR="00CA23D0" w:rsidRPr="00E30642" w:rsidRDefault="00CA23D0" w:rsidP="00CA23D0">
            <w:pPr>
              <w:pStyle w:val="Texttabulky"/>
              <w:spacing w:line="240" w:lineRule="atLeast"/>
              <w:jc w:val="both"/>
              <w:rPr>
                <w:rFonts w:cs="Arial"/>
              </w:rPr>
            </w:pPr>
            <w:r w:rsidRPr="00E30642">
              <w:rPr>
                <w:rFonts w:cs="Arial"/>
                <w:sz w:val="18"/>
                <w:szCs w:val="18"/>
              </w:rPr>
              <w:t>132,16</w:t>
            </w:r>
          </w:p>
        </w:tc>
      </w:tr>
      <w:tr w:rsidR="00CA23D0" w:rsidRPr="00E30642" w14:paraId="7349B3AC"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64FF32B7" w14:textId="77777777" w:rsidR="00CA23D0" w:rsidRPr="00E30642" w:rsidRDefault="00CA23D0" w:rsidP="00CA23D0">
            <w:pPr>
              <w:pStyle w:val="Texttabulky"/>
              <w:spacing w:line="240" w:lineRule="atLeast"/>
              <w:jc w:val="both"/>
              <w:rPr>
                <w:rFonts w:cs="Arial"/>
              </w:rPr>
            </w:pPr>
            <w:r w:rsidRPr="00E30642">
              <w:rPr>
                <w:rFonts w:cs="Arial"/>
                <w:sz w:val="18"/>
                <w:szCs w:val="18"/>
              </w:rPr>
              <w:lastRenderedPageBreak/>
              <w:t>96,2</w:t>
            </w:r>
          </w:p>
        </w:tc>
        <w:tc>
          <w:tcPr>
            <w:tcW w:w="1964" w:type="dxa"/>
            <w:tcBorders>
              <w:top w:val="single" w:sz="6" w:space="0" w:color="auto"/>
              <w:left w:val="single" w:sz="6" w:space="0" w:color="auto"/>
              <w:bottom w:val="single" w:sz="6" w:space="0" w:color="auto"/>
              <w:right w:val="single" w:sz="6" w:space="0" w:color="auto"/>
            </w:tcBorders>
          </w:tcPr>
          <w:p w14:paraId="2D497E7B" w14:textId="77777777" w:rsidR="00CA23D0" w:rsidRPr="00E30642" w:rsidRDefault="00CA23D0" w:rsidP="00CA23D0">
            <w:pPr>
              <w:pStyle w:val="Texttabulky"/>
              <w:spacing w:line="240" w:lineRule="atLeast"/>
              <w:jc w:val="both"/>
              <w:rPr>
                <w:rFonts w:cs="Arial"/>
              </w:rPr>
            </w:pPr>
            <w:r w:rsidRPr="00E30642">
              <w:rPr>
                <w:rFonts w:cs="Arial"/>
                <w:sz w:val="18"/>
                <w:szCs w:val="18"/>
              </w:rPr>
              <w:t>127,38</w:t>
            </w:r>
          </w:p>
        </w:tc>
        <w:tc>
          <w:tcPr>
            <w:tcW w:w="1882" w:type="dxa"/>
            <w:tcBorders>
              <w:top w:val="single" w:sz="6" w:space="0" w:color="auto"/>
              <w:left w:val="single" w:sz="6" w:space="0" w:color="auto"/>
              <w:bottom w:val="single" w:sz="6" w:space="0" w:color="auto"/>
              <w:right w:val="single" w:sz="6" w:space="0" w:color="auto"/>
            </w:tcBorders>
          </w:tcPr>
          <w:p w14:paraId="77861304" w14:textId="77777777" w:rsidR="00CA23D0" w:rsidRPr="00E30642" w:rsidRDefault="00CA23D0" w:rsidP="00CA23D0">
            <w:pPr>
              <w:pStyle w:val="Texttabulky"/>
              <w:spacing w:line="240" w:lineRule="atLeast"/>
              <w:jc w:val="both"/>
              <w:rPr>
                <w:rFonts w:cs="Arial"/>
              </w:rPr>
            </w:pPr>
            <w:r w:rsidRPr="00E30642">
              <w:rPr>
                <w:rFonts w:cs="Arial"/>
                <w:sz w:val="18"/>
                <w:szCs w:val="18"/>
              </w:rPr>
              <w:t>130,77</w:t>
            </w:r>
          </w:p>
        </w:tc>
        <w:tc>
          <w:tcPr>
            <w:tcW w:w="1964" w:type="dxa"/>
            <w:tcBorders>
              <w:top w:val="single" w:sz="6" w:space="0" w:color="auto"/>
              <w:left w:val="single" w:sz="6" w:space="0" w:color="auto"/>
              <w:bottom w:val="single" w:sz="6" w:space="0" w:color="auto"/>
              <w:right w:val="single" w:sz="6" w:space="0" w:color="auto"/>
            </w:tcBorders>
          </w:tcPr>
          <w:p w14:paraId="6D947497" w14:textId="77777777" w:rsidR="00CA23D0" w:rsidRPr="00E30642" w:rsidRDefault="00CA23D0" w:rsidP="00CA23D0">
            <w:pPr>
              <w:pStyle w:val="Texttabulky"/>
              <w:spacing w:line="240" w:lineRule="atLeast"/>
              <w:jc w:val="both"/>
              <w:rPr>
                <w:rFonts w:cs="Arial"/>
              </w:rPr>
            </w:pPr>
            <w:r w:rsidRPr="00E30642">
              <w:rPr>
                <w:rFonts w:cs="Arial"/>
                <w:sz w:val="18"/>
                <w:szCs w:val="18"/>
              </w:rPr>
              <w:t>131,75</w:t>
            </w:r>
          </w:p>
        </w:tc>
      </w:tr>
      <w:tr w:rsidR="00CA23D0" w:rsidRPr="00E30642" w14:paraId="6017570F"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6D7EC032" w14:textId="77777777" w:rsidR="00CA23D0" w:rsidRPr="00E30642" w:rsidRDefault="00CA23D0" w:rsidP="00CA23D0">
            <w:pPr>
              <w:pStyle w:val="Texttabulky"/>
              <w:spacing w:line="240" w:lineRule="atLeast"/>
              <w:jc w:val="both"/>
              <w:rPr>
                <w:rFonts w:cs="Arial"/>
              </w:rPr>
            </w:pPr>
            <w:r w:rsidRPr="00E30642">
              <w:rPr>
                <w:rFonts w:cs="Arial"/>
                <w:sz w:val="18"/>
                <w:szCs w:val="18"/>
              </w:rPr>
              <w:t>97,03</w:t>
            </w:r>
          </w:p>
        </w:tc>
        <w:tc>
          <w:tcPr>
            <w:tcW w:w="1964" w:type="dxa"/>
            <w:tcBorders>
              <w:top w:val="single" w:sz="6" w:space="0" w:color="auto"/>
              <w:left w:val="single" w:sz="6" w:space="0" w:color="auto"/>
              <w:bottom w:val="single" w:sz="6" w:space="0" w:color="auto"/>
              <w:right w:val="single" w:sz="6" w:space="0" w:color="auto"/>
            </w:tcBorders>
          </w:tcPr>
          <w:p w14:paraId="32A041F7" w14:textId="77777777" w:rsidR="00CA23D0" w:rsidRPr="00E30642" w:rsidRDefault="00CA23D0" w:rsidP="00CA23D0">
            <w:pPr>
              <w:pStyle w:val="Texttabulky"/>
              <w:spacing w:line="240" w:lineRule="atLeast"/>
              <w:jc w:val="both"/>
              <w:rPr>
                <w:rFonts w:cs="Arial"/>
              </w:rPr>
            </w:pPr>
            <w:r w:rsidRPr="00E30642">
              <w:rPr>
                <w:rFonts w:cs="Arial"/>
                <w:sz w:val="18"/>
                <w:szCs w:val="18"/>
              </w:rPr>
              <w:t>127,13</w:t>
            </w:r>
          </w:p>
        </w:tc>
        <w:tc>
          <w:tcPr>
            <w:tcW w:w="1882" w:type="dxa"/>
            <w:tcBorders>
              <w:top w:val="single" w:sz="6" w:space="0" w:color="auto"/>
              <w:left w:val="single" w:sz="6" w:space="0" w:color="auto"/>
              <w:bottom w:val="single" w:sz="6" w:space="0" w:color="auto"/>
              <w:right w:val="single" w:sz="6" w:space="0" w:color="auto"/>
            </w:tcBorders>
          </w:tcPr>
          <w:p w14:paraId="490F67B0" w14:textId="77777777" w:rsidR="00CA23D0" w:rsidRPr="00E30642" w:rsidRDefault="00CA23D0" w:rsidP="00CA23D0">
            <w:pPr>
              <w:pStyle w:val="Texttabulky"/>
              <w:spacing w:line="240" w:lineRule="atLeast"/>
              <w:jc w:val="both"/>
              <w:rPr>
                <w:rFonts w:cs="Arial"/>
              </w:rPr>
            </w:pPr>
            <w:r w:rsidRPr="00E30642">
              <w:rPr>
                <w:rFonts w:cs="Arial"/>
                <w:sz w:val="18"/>
                <w:szCs w:val="18"/>
              </w:rPr>
              <w:t>130,53</w:t>
            </w:r>
          </w:p>
        </w:tc>
        <w:tc>
          <w:tcPr>
            <w:tcW w:w="1964" w:type="dxa"/>
            <w:tcBorders>
              <w:top w:val="single" w:sz="6" w:space="0" w:color="auto"/>
              <w:left w:val="single" w:sz="6" w:space="0" w:color="auto"/>
              <w:bottom w:val="single" w:sz="6" w:space="0" w:color="auto"/>
              <w:right w:val="single" w:sz="6" w:space="0" w:color="auto"/>
            </w:tcBorders>
          </w:tcPr>
          <w:p w14:paraId="6F09A54C" w14:textId="77777777" w:rsidR="00CA23D0" w:rsidRPr="00E30642" w:rsidRDefault="00CA23D0" w:rsidP="00CA23D0">
            <w:pPr>
              <w:pStyle w:val="Texttabulky"/>
              <w:spacing w:line="240" w:lineRule="atLeast"/>
              <w:jc w:val="both"/>
              <w:rPr>
                <w:rFonts w:cs="Arial"/>
              </w:rPr>
            </w:pPr>
            <w:r w:rsidRPr="00E30642">
              <w:rPr>
                <w:rFonts w:cs="Arial"/>
                <w:sz w:val="18"/>
                <w:szCs w:val="18"/>
              </w:rPr>
              <w:t>131,52</w:t>
            </w:r>
          </w:p>
        </w:tc>
      </w:tr>
      <w:tr w:rsidR="00CA23D0" w:rsidRPr="00E30642" w14:paraId="6D3AE820"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7A73BD6D" w14:textId="77777777" w:rsidR="00CA23D0" w:rsidRPr="00E30642" w:rsidRDefault="00CA23D0" w:rsidP="00CA23D0">
            <w:pPr>
              <w:pStyle w:val="Texttabulky"/>
              <w:spacing w:line="240" w:lineRule="atLeast"/>
              <w:jc w:val="both"/>
              <w:rPr>
                <w:rFonts w:cs="Arial"/>
              </w:rPr>
            </w:pPr>
            <w:r w:rsidRPr="00E30642">
              <w:rPr>
                <w:rFonts w:cs="Arial"/>
                <w:sz w:val="18"/>
                <w:szCs w:val="18"/>
              </w:rPr>
              <w:t>98</w:t>
            </w:r>
          </w:p>
        </w:tc>
        <w:tc>
          <w:tcPr>
            <w:tcW w:w="1964" w:type="dxa"/>
            <w:tcBorders>
              <w:top w:val="single" w:sz="6" w:space="0" w:color="auto"/>
              <w:left w:val="single" w:sz="6" w:space="0" w:color="auto"/>
              <w:bottom w:val="single" w:sz="6" w:space="0" w:color="auto"/>
              <w:right w:val="single" w:sz="6" w:space="0" w:color="auto"/>
            </w:tcBorders>
          </w:tcPr>
          <w:p w14:paraId="4536FCC7" w14:textId="77777777" w:rsidR="00CA23D0" w:rsidRPr="00E30642" w:rsidRDefault="00CA23D0" w:rsidP="00CA23D0">
            <w:pPr>
              <w:pStyle w:val="Texttabulky"/>
              <w:spacing w:line="240" w:lineRule="atLeast"/>
              <w:jc w:val="both"/>
              <w:rPr>
                <w:rFonts w:cs="Arial"/>
              </w:rPr>
            </w:pPr>
            <w:r w:rsidRPr="00E30642">
              <w:rPr>
                <w:rFonts w:cs="Arial"/>
                <w:sz w:val="18"/>
                <w:szCs w:val="18"/>
              </w:rPr>
              <w:t>126,66</w:t>
            </w:r>
          </w:p>
        </w:tc>
        <w:tc>
          <w:tcPr>
            <w:tcW w:w="1882" w:type="dxa"/>
            <w:tcBorders>
              <w:top w:val="single" w:sz="6" w:space="0" w:color="auto"/>
              <w:left w:val="single" w:sz="6" w:space="0" w:color="auto"/>
              <w:bottom w:val="single" w:sz="6" w:space="0" w:color="auto"/>
              <w:right w:val="single" w:sz="6" w:space="0" w:color="auto"/>
            </w:tcBorders>
          </w:tcPr>
          <w:p w14:paraId="698C33A2" w14:textId="77777777" w:rsidR="00CA23D0" w:rsidRPr="00E30642" w:rsidRDefault="00CA23D0" w:rsidP="00CA23D0">
            <w:pPr>
              <w:pStyle w:val="Texttabulky"/>
              <w:spacing w:line="240" w:lineRule="atLeast"/>
              <w:jc w:val="both"/>
              <w:rPr>
                <w:rFonts w:cs="Arial"/>
              </w:rPr>
            </w:pPr>
            <w:r w:rsidRPr="00E30642">
              <w:rPr>
                <w:rFonts w:cs="Arial"/>
                <w:sz w:val="18"/>
                <w:szCs w:val="18"/>
              </w:rPr>
              <w:t>129,99</w:t>
            </w:r>
          </w:p>
        </w:tc>
        <w:tc>
          <w:tcPr>
            <w:tcW w:w="1964" w:type="dxa"/>
            <w:tcBorders>
              <w:top w:val="single" w:sz="6" w:space="0" w:color="auto"/>
              <w:left w:val="single" w:sz="6" w:space="0" w:color="auto"/>
              <w:bottom w:val="single" w:sz="6" w:space="0" w:color="auto"/>
              <w:right w:val="single" w:sz="6" w:space="0" w:color="auto"/>
            </w:tcBorders>
          </w:tcPr>
          <w:p w14:paraId="42A5C9C8" w14:textId="77777777" w:rsidR="00CA23D0" w:rsidRPr="00E30642" w:rsidRDefault="00CA23D0" w:rsidP="00CA23D0">
            <w:pPr>
              <w:pStyle w:val="Texttabulky"/>
              <w:spacing w:line="240" w:lineRule="atLeast"/>
              <w:jc w:val="both"/>
              <w:rPr>
                <w:rFonts w:cs="Arial"/>
              </w:rPr>
            </w:pPr>
            <w:r w:rsidRPr="00E30642">
              <w:rPr>
                <w:rFonts w:cs="Arial"/>
                <w:sz w:val="18"/>
                <w:szCs w:val="18"/>
              </w:rPr>
              <w:t>130,97</w:t>
            </w:r>
          </w:p>
        </w:tc>
      </w:tr>
      <w:tr w:rsidR="00CA23D0" w:rsidRPr="00E30642" w14:paraId="331C7E8D"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07E8181A" w14:textId="77777777" w:rsidR="00CA23D0" w:rsidRPr="00E30642" w:rsidRDefault="00CA23D0" w:rsidP="00CA23D0">
            <w:pPr>
              <w:pStyle w:val="Texttabulky"/>
              <w:spacing w:line="240" w:lineRule="atLeast"/>
              <w:jc w:val="both"/>
              <w:rPr>
                <w:rFonts w:cs="Arial"/>
              </w:rPr>
            </w:pPr>
            <w:r w:rsidRPr="00E30642">
              <w:rPr>
                <w:rFonts w:cs="Arial"/>
                <w:sz w:val="18"/>
                <w:szCs w:val="18"/>
              </w:rPr>
              <w:t>99,2</w:t>
            </w:r>
          </w:p>
        </w:tc>
        <w:tc>
          <w:tcPr>
            <w:tcW w:w="1964" w:type="dxa"/>
            <w:tcBorders>
              <w:top w:val="single" w:sz="6" w:space="0" w:color="auto"/>
              <w:left w:val="single" w:sz="6" w:space="0" w:color="auto"/>
              <w:bottom w:val="single" w:sz="6" w:space="0" w:color="auto"/>
              <w:right w:val="single" w:sz="6" w:space="0" w:color="auto"/>
            </w:tcBorders>
          </w:tcPr>
          <w:p w14:paraId="6DF15650" w14:textId="77777777" w:rsidR="00CA23D0" w:rsidRPr="00E30642" w:rsidRDefault="00CA23D0" w:rsidP="00CA23D0">
            <w:pPr>
              <w:pStyle w:val="Texttabulky"/>
              <w:spacing w:line="240" w:lineRule="atLeast"/>
              <w:jc w:val="both"/>
              <w:rPr>
                <w:rFonts w:cs="Arial"/>
              </w:rPr>
            </w:pPr>
            <w:r w:rsidRPr="00E30642">
              <w:rPr>
                <w:rFonts w:cs="Arial"/>
                <w:sz w:val="18"/>
                <w:szCs w:val="18"/>
              </w:rPr>
              <w:t>126,27</w:t>
            </w:r>
          </w:p>
        </w:tc>
        <w:tc>
          <w:tcPr>
            <w:tcW w:w="1882" w:type="dxa"/>
            <w:tcBorders>
              <w:top w:val="single" w:sz="6" w:space="0" w:color="auto"/>
              <w:left w:val="single" w:sz="6" w:space="0" w:color="auto"/>
              <w:bottom w:val="single" w:sz="6" w:space="0" w:color="auto"/>
              <w:right w:val="single" w:sz="6" w:space="0" w:color="auto"/>
            </w:tcBorders>
          </w:tcPr>
          <w:p w14:paraId="5E893618" w14:textId="77777777" w:rsidR="00CA23D0" w:rsidRPr="00E30642" w:rsidRDefault="00CA23D0" w:rsidP="00CA23D0">
            <w:pPr>
              <w:pStyle w:val="Texttabulky"/>
              <w:spacing w:line="240" w:lineRule="atLeast"/>
              <w:jc w:val="both"/>
              <w:rPr>
                <w:rFonts w:cs="Arial"/>
              </w:rPr>
            </w:pPr>
            <w:r w:rsidRPr="00E30642">
              <w:rPr>
                <w:rFonts w:cs="Arial"/>
                <w:sz w:val="18"/>
                <w:szCs w:val="18"/>
              </w:rPr>
              <w:t>129,69</w:t>
            </w:r>
          </w:p>
        </w:tc>
        <w:tc>
          <w:tcPr>
            <w:tcW w:w="1964" w:type="dxa"/>
            <w:tcBorders>
              <w:top w:val="single" w:sz="6" w:space="0" w:color="auto"/>
              <w:left w:val="single" w:sz="6" w:space="0" w:color="auto"/>
              <w:bottom w:val="single" w:sz="6" w:space="0" w:color="auto"/>
              <w:right w:val="single" w:sz="6" w:space="0" w:color="auto"/>
            </w:tcBorders>
          </w:tcPr>
          <w:p w14:paraId="50ED1A73" w14:textId="77777777" w:rsidR="00CA23D0" w:rsidRPr="00E30642" w:rsidRDefault="00CA23D0" w:rsidP="00CA23D0">
            <w:pPr>
              <w:pStyle w:val="Texttabulky"/>
              <w:spacing w:line="240" w:lineRule="atLeast"/>
              <w:jc w:val="both"/>
              <w:rPr>
                <w:rFonts w:cs="Arial"/>
              </w:rPr>
            </w:pPr>
            <w:r w:rsidRPr="00E30642">
              <w:rPr>
                <w:rFonts w:cs="Arial"/>
                <w:sz w:val="18"/>
                <w:szCs w:val="18"/>
              </w:rPr>
              <w:t>130,68</w:t>
            </w:r>
          </w:p>
        </w:tc>
      </w:tr>
      <w:tr w:rsidR="00CA23D0" w:rsidRPr="00E30642" w14:paraId="356BEA9A" w14:textId="77777777" w:rsidTr="00CA23D0">
        <w:trPr>
          <w:jc w:val="center"/>
        </w:trPr>
        <w:tc>
          <w:tcPr>
            <w:tcW w:w="1977" w:type="dxa"/>
            <w:tcBorders>
              <w:top w:val="single" w:sz="6" w:space="0" w:color="auto"/>
              <w:left w:val="single" w:sz="6" w:space="0" w:color="auto"/>
              <w:bottom w:val="single" w:sz="6" w:space="0" w:color="auto"/>
              <w:right w:val="single" w:sz="6" w:space="0" w:color="auto"/>
            </w:tcBorders>
          </w:tcPr>
          <w:p w14:paraId="672FB9B7" w14:textId="77777777" w:rsidR="00CA23D0" w:rsidRPr="00E30642" w:rsidRDefault="00CA23D0" w:rsidP="00CA23D0">
            <w:pPr>
              <w:pStyle w:val="Texttabulky"/>
              <w:spacing w:line="240" w:lineRule="atLeast"/>
              <w:jc w:val="both"/>
              <w:rPr>
                <w:rFonts w:cs="Arial"/>
              </w:rPr>
            </w:pPr>
            <w:r w:rsidRPr="00E30642">
              <w:rPr>
                <w:rFonts w:cs="Arial"/>
                <w:sz w:val="18"/>
                <w:szCs w:val="18"/>
              </w:rPr>
              <w:t>100,2</w:t>
            </w:r>
          </w:p>
        </w:tc>
        <w:tc>
          <w:tcPr>
            <w:tcW w:w="1964" w:type="dxa"/>
            <w:tcBorders>
              <w:top w:val="single" w:sz="6" w:space="0" w:color="auto"/>
              <w:left w:val="single" w:sz="6" w:space="0" w:color="auto"/>
              <w:bottom w:val="single" w:sz="6" w:space="0" w:color="auto"/>
              <w:right w:val="single" w:sz="6" w:space="0" w:color="auto"/>
            </w:tcBorders>
          </w:tcPr>
          <w:p w14:paraId="2CF4A129" w14:textId="77777777" w:rsidR="00CA23D0" w:rsidRPr="00E30642" w:rsidRDefault="00CA23D0" w:rsidP="00CA23D0">
            <w:pPr>
              <w:pStyle w:val="Texttabulky"/>
              <w:spacing w:line="240" w:lineRule="atLeast"/>
              <w:jc w:val="both"/>
              <w:rPr>
                <w:rFonts w:cs="Arial"/>
              </w:rPr>
            </w:pPr>
            <w:r w:rsidRPr="00E30642">
              <w:rPr>
                <w:rFonts w:cs="Arial"/>
                <w:sz w:val="18"/>
                <w:szCs w:val="18"/>
              </w:rPr>
              <w:t>125,97</w:t>
            </w:r>
          </w:p>
        </w:tc>
        <w:tc>
          <w:tcPr>
            <w:tcW w:w="1882" w:type="dxa"/>
            <w:tcBorders>
              <w:top w:val="single" w:sz="6" w:space="0" w:color="auto"/>
              <w:left w:val="single" w:sz="6" w:space="0" w:color="auto"/>
              <w:bottom w:val="single" w:sz="6" w:space="0" w:color="auto"/>
              <w:right w:val="single" w:sz="6" w:space="0" w:color="auto"/>
            </w:tcBorders>
          </w:tcPr>
          <w:p w14:paraId="3FD76927" w14:textId="77777777" w:rsidR="00CA23D0" w:rsidRPr="00E30642" w:rsidRDefault="00CA23D0" w:rsidP="00CA23D0">
            <w:pPr>
              <w:pStyle w:val="Texttabulky"/>
              <w:spacing w:line="240" w:lineRule="atLeast"/>
              <w:jc w:val="both"/>
              <w:rPr>
                <w:rFonts w:cs="Arial"/>
              </w:rPr>
            </w:pPr>
            <w:r w:rsidRPr="00E30642">
              <w:rPr>
                <w:rFonts w:cs="Arial"/>
                <w:sz w:val="18"/>
                <w:szCs w:val="18"/>
              </w:rPr>
              <w:t>129,36</w:t>
            </w:r>
          </w:p>
        </w:tc>
        <w:tc>
          <w:tcPr>
            <w:tcW w:w="1964" w:type="dxa"/>
            <w:tcBorders>
              <w:top w:val="single" w:sz="6" w:space="0" w:color="auto"/>
              <w:left w:val="single" w:sz="6" w:space="0" w:color="auto"/>
              <w:bottom w:val="single" w:sz="6" w:space="0" w:color="auto"/>
              <w:right w:val="single" w:sz="6" w:space="0" w:color="auto"/>
            </w:tcBorders>
          </w:tcPr>
          <w:p w14:paraId="45E9CD0B" w14:textId="77777777" w:rsidR="00CA23D0" w:rsidRPr="00E30642" w:rsidRDefault="00CA23D0" w:rsidP="00CA23D0">
            <w:pPr>
              <w:pStyle w:val="Texttabulky"/>
              <w:spacing w:line="240" w:lineRule="atLeast"/>
              <w:jc w:val="both"/>
              <w:rPr>
                <w:rFonts w:cs="Arial"/>
              </w:rPr>
            </w:pPr>
            <w:r w:rsidRPr="00E30642">
              <w:rPr>
                <w:rFonts w:cs="Arial"/>
                <w:sz w:val="18"/>
                <w:szCs w:val="18"/>
              </w:rPr>
              <w:t>130,34</w:t>
            </w:r>
          </w:p>
        </w:tc>
      </w:tr>
    </w:tbl>
    <w:p w14:paraId="0813D3FD" w14:textId="77777777" w:rsidR="00CA23D0" w:rsidRPr="00E30642" w:rsidRDefault="00CA23D0" w:rsidP="00CA23D0">
      <w:pPr>
        <w:autoSpaceDE w:val="0"/>
        <w:autoSpaceDN w:val="0"/>
        <w:adjustRightInd w:val="0"/>
        <w:jc w:val="both"/>
        <w:rPr>
          <w:rFonts w:ascii="Arial" w:hAnsi="Arial" w:cs="Arial"/>
          <w:sz w:val="20"/>
        </w:rPr>
      </w:pPr>
    </w:p>
    <w:p w14:paraId="7BB853AB" w14:textId="77777777" w:rsidR="00CA23D0" w:rsidRPr="00E30642" w:rsidRDefault="00CA23D0" w:rsidP="00CA23D0">
      <w:pPr>
        <w:pStyle w:val="Zkladntext"/>
        <w:jc w:val="both"/>
        <w:rPr>
          <w:rFonts w:ascii="Arial" w:hAnsi="Arial" w:cs="Arial"/>
        </w:rPr>
      </w:pPr>
      <w:r w:rsidRPr="00E30642">
        <w:rPr>
          <w:rFonts w:ascii="Arial" w:hAnsi="Arial" w:cs="Arial"/>
        </w:rPr>
        <w:tab/>
      </w:r>
      <w:r w:rsidRPr="00E30642">
        <w:rPr>
          <w:rFonts w:ascii="Arial" w:hAnsi="Arial" w:cs="Arial"/>
        </w:rPr>
        <w:tab/>
      </w:r>
      <w:r w:rsidRPr="00E30642">
        <w:rPr>
          <w:rFonts w:ascii="Arial" w:hAnsi="Arial" w:cs="Arial"/>
        </w:rPr>
        <w:tab/>
      </w:r>
      <w:r w:rsidRPr="00E30642">
        <w:rPr>
          <w:rFonts w:ascii="Arial" w:hAnsi="Arial" w:cs="Arial"/>
        </w:rPr>
        <w:tab/>
      </w:r>
      <w:r w:rsidRPr="00E30642">
        <w:rPr>
          <w:rFonts w:ascii="Arial" w:hAnsi="Arial" w:cs="Arial"/>
        </w:rPr>
        <w:tab/>
      </w:r>
      <w:r w:rsidRPr="00E30642">
        <w:rPr>
          <w:rFonts w:ascii="Arial" w:hAnsi="Arial" w:cs="Arial"/>
        </w:rPr>
        <w:tab/>
      </w:r>
      <w:r w:rsidRPr="00E30642">
        <w:rPr>
          <w:rFonts w:ascii="Arial" w:hAnsi="Arial" w:cs="Arial"/>
        </w:rPr>
        <w:tab/>
      </w:r>
      <w:r w:rsidRPr="00E30642">
        <w:rPr>
          <w:rFonts w:ascii="Arial" w:hAnsi="Arial" w:cs="Arial"/>
        </w:rPr>
        <w:tab/>
      </w:r>
      <w:r w:rsidRPr="00E30642">
        <w:rPr>
          <w:rFonts w:ascii="Arial" w:hAnsi="Arial" w:cs="Arial"/>
          <w:i/>
          <w:iCs/>
          <w:sz w:val="16"/>
          <w:szCs w:val="16"/>
        </w:rPr>
        <w:t>Plavební km začínají v Mělníce (0,0)</w:t>
      </w:r>
    </w:p>
    <w:p w14:paraId="696EC141" w14:textId="77777777" w:rsidR="00CA23D0" w:rsidRPr="00E30642" w:rsidRDefault="00CA23D0" w:rsidP="00CA23D0">
      <w:pPr>
        <w:pStyle w:val="Zkladntext"/>
        <w:jc w:val="both"/>
        <w:rPr>
          <w:rFonts w:ascii="Arial" w:hAnsi="Arial" w:cs="Arial"/>
        </w:rPr>
      </w:pPr>
    </w:p>
    <w:p w14:paraId="58F8B77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S ohledem na přírodní podmínky mají malé přítoky Labe vysoké specifické odtoky. Hodnoty extrémních průtoků Q</w:t>
      </w:r>
      <w:r w:rsidRPr="00E30642">
        <w:rPr>
          <w:rFonts w:ascii="Arial" w:hAnsi="Arial" w:cs="Arial"/>
          <w:position w:val="-6"/>
          <w:sz w:val="22"/>
          <w:szCs w:val="22"/>
          <w:vertAlign w:val="subscript"/>
        </w:rPr>
        <w:t>100</w:t>
      </w:r>
      <w:r w:rsidRPr="00E30642">
        <w:rPr>
          <w:rFonts w:ascii="Arial" w:hAnsi="Arial" w:cs="Arial"/>
          <w:sz w:val="22"/>
          <w:szCs w:val="22"/>
        </w:rPr>
        <w:t xml:space="preserve"> u nich dosahují značných násobků oproti průtokům minimálním. Např. u Jílovského potoka 1:1000.</w:t>
      </w:r>
    </w:p>
    <w:p w14:paraId="58A292A3" w14:textId="77777777" w:rsidR="00CA23D0" w:rsidRPr="00E30642" w:rsidRDefault="00CA23D0" w:rsidP="00CA23D0">
      <w:pPr>
        <w:pStyle w:val="Zkladntext"/>
        <w:jc w:val="both"/>
        <w:rPr>
          <w:rFonts w:ascii="Arial" w:hAnsi="Arial" w:cs="Arial"/>
        </w:rPr>
      </w:pPr>
    </w:p>
    <w:p w14:paraId="6FE06B93" w14:textId="77777777" w:rsidR="00CA23D0" w:rsidRPr="00E30642" w:rsidRDefault="00CA23D0" w:rsidP="00CA23D0">
      <w:pPr>
        <w:pStyle w:val="podnadpis2"/>
        <w:jc w:val="both"/>
        <w:rPr>
          <w:rFonts w:cs="Arial"/>
        </w:rPr>
      </w:pPr>
      <w:r w:rsidRPr="00E30642">
        <w:rPr>
          <w:rFonts w:cs="Arial"/>
        </w:rPr>
        <w:t>C.9.2. Návrh úpravy vodních toků</w:t>
      </w:r>
    </w:p>
    <w:p w14:paraId="0F8BE9FB" w14:textId="77777777" w:rsidR="00CA23D0" w:rsidRPr="00E30642" w:rsidRDefault="00CA23D0" w:rsidP="00CA23D0">
      <w:pPr>
        <w:pStyle w:val="Zkladntext"/>
        <w:spacing w:line="240" w:lineRule="atLeast"/>
        <w:jc w:val="both"/>
        <w:rPr>
          <w:rFonts w:ascii="Arial" w:hAnsi="Arial" w:cs="Arial"/>
        </w:rPr>
      </w:pPr>
    </w:p>
    <w:p w14:paraId="059BF42A"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rPr>
        <w:t>Labe</w:t>
      </w:r>
    </w:p>
    <w:p w14:paraId="4AF2A8A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Řeka je kanalizována pro plavební účely. Břehy jsou zpevněny, kapacita koryta je většinou na 1 až 2 letou povodeň, vyšší vodní stavby se již vylévají. Eventuelní břehové úpravy, a to jak na levém, tak na pravém břehu, jsou navrženy v souvislosti s výstavbou a zátopou vodního díla Prostřední Žleb. Předpokládané úpravy břehů jsou následující: </w:t>
      </w:r>
    </w:p>
    <w:p w14:paraId="5A3CEDC0" w14:textId="77777777" w:rsidR="00CA23D0" w:rsidRPr="00E30642" w:rsidRDefault="00CA23D0" w:rsidP="00CA23D0">
      <w:pPr>
        <w:pStyle w:val="Zkladntext"/>
        <w:spacing w:line="240" w:lineRule="atLeast"/>
        <w:jc w:val="both"/>
        <w:rPr>
          <w:rFonts w:ascii="Arial" w:hAnsi="Arial" w:cs="Arial"/>
        </w:rPr>
      </w:pPr>
    </w:p>
    <w:p w14:paraId="6E79CBD8" w14:textId="77777777" w:rsidR="00D3579D" w:rsidRDefault="00CA23D0" w:rsidP="00CA23D0">
      <w:pPr>
        <w:pStyle w:val="Zkladntext"/>
        <w:keepNext/>
        <w:spacing w:line="240" w:lineRule="atLeast"/>
        <w:jc w:val="both"/>
        <w:rPr>
          <w:rFonts w:ascii="Arial" w:hAnsi="Arial" w:cs="Arial"/>
          <w:b/>
          <w:bCs/>
        </w:rPr>
      </w:pPr>
      <w:r w:rsidRPr="00E30642">
        <w:rPr>
          <w:rFonts w:ascii="Arial" w:hAnsi="Arial" w:cs="Arial"/>
          <w:b/>
          <w:bCs/>
        </w:rPr>
        <w:t>Levý břeh</w:t>
      </w:r>
    </w:p>
    <w:p w14:paraId="518E094A" w14:textId="77777777" w:rsidR="00D3579D" w:rsidRPr="00D3579D" w:rsidRDefault="00D3579D" w:rsidP="00CA23D0">
      <w:pPr>
        <w:pStyle w:val="Zkladntext"/>
        <w:keepNext/>
        <w:spacing w:line="240" w:lineRule="atLeast"/>
        <w:jc w:val="both"/>
        <w:rPr>
          <w:rFonts w:ascii="Arial" w:hAnsi="Arial" w:cs="Arial"/>
          <w:b/>
          <w:bCs/>
        </w:rPr>
      </w:pPr>
    </w:p>
    <w:p w14:paraId="51074468"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v úseku levého břehu mezi horní rejdou plavebních komor a železničním mostem Loubí - Prostřední Žleb, t. j. pl. km 98,3  až 97,2 se navrhují břehové úpravy, které vytvoří provozně příznivé podmínky pro vjezd lodních souprav do a z  horní rejdy a možnost čekacích stání.</w:t>
      </w:r>
    </w:p>
    <w:p w14:paraId="1ED83289"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 xml:space="preserve">v úseku pl. km 97,2 až 95,5 - železniční most Loubí - Prostřední Žleb - náplavka pod Tyršovým mostem se provedou opravy a doplnění břehového opevnění. </w:t>
      </w:r>
    </w:p>
    <w:p w14:paraId="671762B2"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 xml:space="preserve">v úseku plavebního km 95,65 - 95,05 - Tyršův most a nábřeží pod Pastýřskou stěnou se navrhuje zvýšení náplavky pod Tyršovým mostem na kótu 125,70 m n. m. (t. j. max. 1,2 m oproti současnému stavu) s příslušným zvýšením břehového opevnění a rekonstrukcí dlažby vozovky. Náplavka pod nábřežní zdí bude zvýšena o max. 0,6 m, břehové opevnění bude opraveno a doplněno </w:t>
      </w:r>
    </w:p>
    <w:p w14:paraId="073237F6"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v úseku pl. km 95,05 až 94,3 Podmokly je navržena oprava a doplnění břehového opevnění.</w:t>
      </w:r>
    </w:p>
    <w:p w14:paraId="2C997E0F"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 xml:space="preserve">v úseku pl. km 94,3 až 91,9 t. j. v prostoru zimního přístavu Rozbělesy a podniku Kovošrot je navržena též oprava a doplnění břehového opevnění. </w:t>
      </w:r>
    </w:p>
    <w:p w14:paraId="1785C6F0" w14:textId="77777777" w:rsidR="00CA23D0" w:rsidRPr="00E30642" w:rsidRDefault="00CA23D0" w:rsidP="00CA23D0">
      <w:pPr>
        <w:pStyle w:val="Zkladntext"/>
        <w:tabs>
          <w:tab w:val="left" w:pos="360"/>
        </w:tabs>
        <w:spacing w:line="240" w:lineRule="atLeast"/>
        <w:ind w:left="360" w:hanging="360"/>
        <w:jc w:val="both"/>
        <w:rPr>
          <w:rFonts w:ascii="Arial" w:hAnsi="Arial" w:cs="Arial"/>
        </w:rPr>
      </w:pPr>
    </w:p>
    <w:p w14:paraId="022DB597" w14:textId="77777777" w:rsidR="00CA23D0" w:rsidRDefault="00CA23D0" w:rsidP="00CA23D0">
      <w:pPr>
        <w:pStyle w:val="Zkladntext"/>
        <w:keepNext/>
        <w:spacing w:line="240" w:lineRule="atLeast"/>
        <w:jc w:val="both"/>
        <w:rPr>
          <w:rFonts w:ascii="Arial" w:hAnsi="Arial" w:cs="Arial"/>
          <w:b/>
          <w:bCs/>
        </w:rPr>
      </w:pPr>
      <w:r w:rsidRPr="00E30642">
        <w:rPr>
          <w:rFonts w:ascii="Arial" w:hAnsi="Arial" w:cs="Arial"/>
          <w:b/>
          <w:bCs/>
        </w:rPr>
        <w:lastRenderedPageBreak/>
        <w:t>Pravý břeh</w:t>
      </w:r>
    </w:p>
    <w:p w14:paraId="2E9C1183" w14:textId="77777777" w:rsidR="00D3579D" w:rsidRPr="00E30642" w:rsidRDefault="00D3579D" w:rsidP="00CA23D0">
      <w:pPr>
        <w:pStyle w:val="Zkladntext"/>
        <w:keepNext/>
        <w:spacing w:line="240" w:lineRule="atLeast"/>
        <w:jc w:val="both"/>
        <w:rPr>
          <w:rFonts w:ascii="Arial" w:hAnsi="Arial" w:cs="Arial"/>
          <w:b/>
          <w:bCs/>
        </w:rPr>
      </w:pPr>
    </w:p>
    <w:p w14:paraId="34589626"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v úseku pravého břehu nad vodním dílem po překladiště Loubí, t. j. v pl. km 98,7 až 98,15 se provede přisypání břehové lavice s úrovní 60 cm nad hladinu 210 denní vody. Břehové opevnění se doplní k této úrovni.</w:t>
      </w:r>
    </w:p>
    <w:p w14:paraId="45850C31"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v úseku pl. km 98,15 až 96,4 - překladiště Děčín Loubí - bude provedena revize přístavních zdí.  Na základě výsledku budou provedeny jejich opravy.</w:t>
      </w:r>
    </w:p>
    <w:p w14:paraId="1C318C38"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v úseku pl. km 96,4 až 95,9 Smetanovo nábřeží je navrženo stávající šikmou nábřežní zídku nahradit betonovou opěrnou zdí s korunou na úrovni 125,1 m n. m.</w:t>
      </w:r>
    </w:p>
    <w:p w14:paraId="33DD00B5"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v úseku pl. km 95,85 až 95,55 - nábřeží pod Tyršovým mostem, kde je břeh tvořen nábřežními zdmi, bude v rámci projektu navržena oprava zdiva.</w:t>
      </w:r>
    </w:p>
    <w:p w14:paraId="4070FAB8"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v úseku pl. km 95,55 až 95,3 - nábřeží nad Tyršovým mostem je navrženo zvýšení úrovně stávající náplavky o max. 1,4 m, t. j. na kótu 125,5 m n. m. Náplavka bude opatřena dlažbou.</w:t>
      </w:r>
    </w:p>
    <w:p w14:paraId="494F2BF3"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v úseku pl. km 95,3 až 94,25 v prostoru zaústění řeky Ploučnice bude nutno provést úpravy výústní trati Ploučnice. Opravy a zvýšení opevnění řeky Ploučnice se navrhují v délce 600 m od soutoku proti vodě.</w:t>
      </w:r>
    </w:p>
    <w:p w14:paraId="7D55F193" w14:textId="77777777" w:rsidR="00CA23D0" w:rsidRPr="00E30642" w:rsidRDefault="00CA23D0" w:rsidP="00CA23D0">
      <w:pPr>
        <w:pStyle w:val="Zkladntext"/>
        <w:tabs>
          <w:tab w:val="left" w:pos="360"/>
        </w:tabs>
        <w:spacing w:before="120" w:after="0" w:line="288" w:lineRule="auto"/>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 xml:space="preserve">v úseku pl. km 94,25 až 92,4 nábřeží Děčín Staré Město se provedou drobné břehové úpravy (odtěžení a přisypání břehu) a opravy a doplnění opevnění. </w:t>
      </w:r>
    </w:p>
    <w:p w14:paraId="65218E9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 rámci prací jsou navrženy též úpravy zaústění vodotečí Ostružníku, Ludvíkovického potoka a Zámeckého náhonu.</w:t>
      </w:r>
    </w:p>
    <w:p w14:paraId="5368DA67" w14:textId="77777777" w:rsidR="00CA23D0" w:rsidRPr="00E30642" w:rsidRDefault="00CA23D0" w:rsidP="00CA23D0">
      <w:pPr>
        <w:pStyle w:val="Zkladntext"/>
        <w:spacing w:line="240" w:lineRule="atLeast"/>
        <w:ind w:firstLine="357"/>
        <w:jc w:val="both"/>
        <w:rPr>
          <w:rFonts w:ascii="Arial" w:hAnsi="Arial" w:cs="Arial"/>
        </w:rPr>
      </w:pPr>
    </w:p>
    <w:p w14:paraId="788F7230" w14:textId="77777777" w:rsidR="00CA23D0" w:rsidRPr="00E30642" w:rsidRDefault="00CA23D0" w:rsidP="00CA23D0">
      <w:pPr>
        <w:pStyle w:val="Zkladntext"/>
        <w:spacing w:line="240" w:lineRule="atLeast"/>
        <w:ind w:firstLine="357"/>
        <w:jc w:val="both"/>
        <w:rPr>
          <w:rFonts w:ascii="Arial" w:hAnsi="Arial" w:cs="Arial"/>
        </w:rPr>
      </w:pPr>
    </w:p>
    <w:p w14:paraId="321C944C"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sz w:val="22"/>
          <w:szCs w:val="22"/>
        </w:rPr>
        <w:t>Ochrana města před velkými vodami Labe a Ploučnice</w:t>
      </w:r>
    </w:p>
    <w:p w14:paraId="0D720101" w14:textId="77777777" w:rsidR="00CA23D0" w:rsidRPr="00E30642" w:rsidRDefault="00CA23D0" w:rsidP="00CA23D0">
      <w:pPr>
        <w:pStyle w:val="Zkladntext"/>
        <w:spacing w:line="240" w:lineRule="atLeast"/>
        <w:ind w:firstLine="357"/>
        <w:jc w:val="both"/>
        <w:rPr>
          <w:rFonts w:ascii="Arial" w:hAnsi="Arial" w:cs="Arial"/>
        </w:rPr>
      </w:pPr>
    </w:p>
    <w:p w14:paraId="699D2B39" w14:textId="77777777" w:rsidR="00CA23D0" w:rsidRDefault="00CA23D0" w:rsidP="00CA23D0">
      <w:pPr>
        <w:pStyle w:val="Zkladntext"/>
        <w:spacing w:line="240" w:lineRule="atLeast"/>
        <w:jc w:val="both"/>
        <w:rPr>
          <w:rFonts w:ascii="Arial" w:hAnsi="Arial" w:cs="Arial"/>
          <w:b/>
          <w:bCs/>
          <w:caps/>
        </w:rPr>
      </w:pPr>
      <w:r w:rsidRPr="00E30642">
        <w:rPr>
          <w:rFonts w:ascii="Arial" w:hAnsi="Arial" w:cs="Arial"/>
          <w:b/>
          <w:bCs/>
          <w:caps/>
        </w:rPr>
        <w:t>Ploučnice</w:t>
      </w:r>
    </w:p>
    <w:p w14:paraId="4D901BD3" w14:textId="77777777" w:rsidR="00D3579D" w:rsidRPr="00E30642" w:rsidRDefault="00D3579D" w:rsidP="00CA23D0">
      <w:pPr>
        <w:pStyle w:val="Zkladntext"/>
        <w:spacing w:line="240" w:lineRule="atLeast"/>
        <w:jc w:val="both"/>
        <w:rPr>
          <w:rFonts w:ascii="Arial" w:hAnsi="Arial" w:cs="Arial"/>
        </w:rPr>
      </w:pPr>
    </w:p>
    <w:p w14:paraId="2C8839A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Tok je ve správě Povodí Ohře Chomutov, provoz Česká Lípa. Koryto toku přes zástavbu má částečnou úpravu, je stabilizované, avšak jeho kapacita od km 1,54 až po km 2,86 nedosahuje kapacity ani pro provedení desetileté povodně (Q</w:t>
      </w:r>
      <w:r w:rsidRPr="00E30642">
        <w:rPr>
          <w:rFonts w:ascii="Arial" w:hAnsi="Arial" w:cs="Arial"/>
          <w:sz w:val="22"/>
          <w:szCs w:val="22"/>
          <w:vertAlign w:val="subscript"/>
        </w:rPr>
        <w:t>10</w:t>
      </w:r>
      <w:r w:rsidRPr="00E30642">
        <w:rPr>
          <w:rFonts w:ascii="Arial" w:hAnsi="Arial" w:cs="Arial"/>
          <w:sz w:val="22"/>
          <w:szCs w:val="22"/>
        </w:rPr>
        <w:t>). Soustavná úprava koryta by byla jednak značně nákladná, jednak by zlikvidovala současný přírodní charakter tok. Proto se komplexní úprava nenavrhuje.</w:t>
      </w:r>
    </w:p>
    <w:p w14:paraId="0117B66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Pro zlepšení odtokových poměrů se doporučuje rekonstrukce pevného jezu v km 1,6 výšky 3,7m doplněním o vyhraditelný objekt (rybí přechod, vodácká propust). Při povodních by v daném úseku bylo možné hladinu snižovat. Zátopa byla zakreslena dle materiálu zpracovaného Povodím Ohře Chomutov na základě vyhodnocení povodně 1981. Materiál se přehodnocuje, definitivní podobu má získat koncem roku 2000. Poté bude požádáno o vyhlášení zátopového území. Do doby vyhlášení vodohospodářským orgánem se doporučuje respektovat uvedený zákres s  dodržováním stejných zásad jako v zátopě Labe.</w:t>
      </w:r>
    </w:p>
    <w:p w14:paraId="05BC2F09" w14:textId="77777777" w:rsidR="00CA23D0" w:rsidRPr="00E30642" w:rsidRDefault="00CA23D0" w:rsidP="00CA23D0">
      <w:pPr>
        <w:pStyle w:val="Zkladntext"/>
        <w:spacing w:line="240" w:lineRule="atLeast"/>
        <w:jc w:val="both"/>
        <w:rPr>
          <w:rFonts w:ascii="Arial" w:hAnsi="Arial" w:cs="Arial"/>
        </w:rPr>
      </w:pPr>
    </w:p>
    <w:p w14:paraId="1F651B8E" w14:textId="77777777" w:rsidR="00CA23D0" w:rsidRDefault="00CA23D0" w:rsidP="00CA23D0">
      <w:pPr>
        <w:pStyle w:val="Zkladntext"/>
        <w:spacing w:line="240" w:lineRule="atLeast"/>
        <w:jc w:val="both"/>
        <w:rPr>
          <w:rFonts w:ascii="Arial" w:hAnsi="Arial" w:cs="Arial"/>
          <w:b/>
          <w:bCs/>
          <w:caps/>
        </w:rPr>
      </w:pPr>
      <w:r w:rsidRPr="00E30642">
        <w:rPr>
          <w:rFonts w:ascii="Arial" w:hAnsi="Arial" w:cs="Arial"/>
          <w:b/>
          <w:bCs/>
          <w:caps/>
        </w:rPr>
        <w:lastRenderedPageBreak/>
        <w:t>Labe</w:t>
      </w:r>
    </w:p>
    <w:p w14:paraId="04DEC6CD" w14:textId="77777777" w:rsidR="00D3579D" w:rsidRPr="00E30642" w:rsidRDefault="00D3579D" w:rsidP="00CA23D0">
      <w:pPr>
        <w:pStyle w:val="Zkladntext"/>
        <w:spacing w:line="240" w:lineRule="atLeast"/>
        <w:jc w:val="both"/>
        <w:rPr>
          <w:rFonts w:ascii="Arial" w:hAnsi="Arial" w:cs="Arial"/>
        </w:rPr>
      </w:pPr>
    </w:p>
    <w:p w14:paraId="717D611A"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Navrženými úpravami Labe se kapacita koryta prakticky nezvýší. Zátopové území Labe vyhlásil RŽP Okresní úřad Děčín 5. 5. 1993 Zn. ŽP 1899/93/ZF/K. Zátopové území je území ohrožené povodněmi vymezené záplavovou čarou maximální povodně.</w:t>
      </w:r>
    </w:p>
    <w:p w14:paraId="72031499" w14:textId="77777777" w:rsidR="00CA23D0" w:rsidRPr="00E30642" w:rsidRDefault="00CA23D0" w:rsidP="00CA23D0">
      <w:pPr>
        <w:pStyle w:val="Zkladntext"/>
        <w:tabs>
          <w:tab w:val="left" w:pos="360"/>
        </w:tabs>
        <w:spacing w:before="120" w:after="0" w:line="24" w:lineRule="atLeast"/>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Do zátopového území lze umísťovat stavby všeho druhu po zajištění kladného stanoviska příslušného vodohospodářského orgánu ve smyslu § 13 odst. 1. a 2. zákona 138/73 Sb., (ve znění pozdějších předpisů). Stavby obytných a hospodářských budov, veřejných budov a průmyslových závodů jsou nežádoucí.</w:t>
      </w:r>
    </w:p>
    <w:p w14:paraId="7B3A1442" w14:textId="77777777" w:rsidR="00CA23D0" w:rsidRPr="00E30642" w:rsidRDefault="00CA23D0" w:rsidP="00CA23D0">
      <w:pPr>
        <w:pStyle w:val="Zkladntext"/>
        <w:tabs>
          <w:tab w:val="left" w:pos="360"/>
        </w:tabs>
        <w:spacing w:before="120" w:after="0" w:line="24" w:lineRule="atLeast"/>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Liniové stavby (komunikace, mosty, dálkovody) je nutné zabezpečit tak, aby nezpůsobily zvyšování hladiny vody při povodních a jinak nezhoršovaly odtokové poměry. Výjimečně mohou být povolovány stavby objektů, jejichž provoz souvisí s vodním tokem a stavby v tiché, mělké a plošně rozsáhlé inundaci.</w:t>
      </w:r>
    </w:p>
    <w:p w14:paraId="7E2830B8" w14:textId="77777777" w:rsidR="00CA23D0" w:rsidRPr="00E30642" w:rsidRDefault="00CA23D0" w:rsidP="00CA23D0">
      <w:pPr>
        <w:pStyle w:val="Zkladntext"/>
        <w:tabs>
          <w:tab w:val="left" w:pos="360"/>
        </w:tabs>
        <w:spacing w:before="120" w:after="0" w:line="24" w:lineRule="atLeast"/>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ČOV a čerpací stanice je nutné výškově umísťovat tak, aby byla zachována jejich funkce v celém rozsahu i při povodních.</w:t>
      </w:r>
    </w:p>
    <w:p w14:paraId="66E1EFB6" w14:textId="77777777" w:rsidR="00CA23D0" w:rsidRPr="00E30642" w:rsidRDefault="00CA23D0" w:rsidP="00CA23D0">
      <w:pPr>
        <w:pStyle w:val="Zkladntext"/>
        <w:tabs>
          <w:tab w:val="left" w:pos="360"/>
        </w:tabs>
        <w:spacing w:before="120" w:after="0" w:line="24" w:lineRule="atLeast"/>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U staveb obytných domů, pracovišť a skladišť, pokud jejich výstavba byla výjimečně povolena, je nutné uplatňovat stejná kritéria jako u liniových staveb, tj. nezhoršení odtokových poměrů.</w:t>
      </w:r>
    </w:p>
    <w:p w14:paraId="04B6167A" w14:textId="77777777" w:rsidR="00CA23D0" w:rsidRPr="00E30642" w:rsidRDefault="00CA23D0" w:rsidP="00CA23D0">
      <w:pPr>
        <w:pStyle w:val="Zkladntext"/>
        <w:tabs>
          <w:tab w:val="left" w:pos="360"/>
        </w:tabs>
        <w:spacing w:before="120" w:after="0" w:line="24" w:lineRule="atLeast"/>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Velmi přísně je nutné posuzovat umístění výroby, skladování nebo manipulace s chemickými, toxickými nebo jinak nebezpečnými materiály v inundačním území. Musí být učiněna taková opatření, aby při povodních nedošlo k  obecnému ohrožení.</w:t>
      </w:r>
    </w:p>
    <w:p w14:paraId="5888F560" w14:textId="77777777" w:rsidR="00CA23D0" w:rsidRPr="00E30642" w:rsidRDefault="00CA23D0" w:rsidP="00CA23D0">
      <w:pPr>
        <w:pStyle w:val="Zkladntext"/>
        <w:tabs>
          <w:tab w:val="left" w:pos="360"/>
        </w:tabs>
        <w:spacing w:before="120" w:after="0" w:line="24" w:lineRule="atLeast"/>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Skládky stavebního materiálu je možné povolit jen v takovém rozsahu, aby mohly být při povodni nebo při chodu ledu odstraněny, popřípadě zajištěny před odplavením.</w:t>
      </w:r>
    </w:p>
    <w:p w14:paraId="193A406A" w14:textId="77777777" w:rsidR="00CA23D0" w:rsidRPr="00E30642" w:rsidRDefault="00CA23D0" w:rsidP="00CA23D0">
      <w:pPr>
        <w:pStyle w:val="Zkladntext"/>
        <w:tabs>
          <w:tab w:val="left" w:pos="360"/>
        </w:tabs>
        <w:spacing w:before="120" w:after="0" w:line="24" w:lineRule="atLeast"/>
        <w:ind w:left="357" w:hanging="357"/>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Stavby škol, nemocnic a jiných zdravotních a sociálních zařízení a trvalé skládky by neměly být v inundačním území vůbec povolovány. Přesné znění podmínek je obsahem uvedeného výměru, který je nutno dodržovat.</w:t>
      </w:r>
    </w:p>
    <w:p w14:paraId="6AC5E27F" w14:textId="77777777" w:rsidR="00CA23D0" w:rsidRPr="00E30642" w:rsidRDefault="00CA23D0" w:rsidP="00CA23D0">
      <w:pPr>
        <w:pStyle w:val="Zkladntext"/>
        <w:tabs>
          <w:tab w:val="left" w:pos="360"/>
        </w:tabs>
        <w:spacing w:line="240" w:lineRule="atLeast"/>
        <w:ind w:left="360" w:hanging="360"/>
        <w:jc w:val="both"/>
        <w:rPr>
          <w:rFonts w:ascii="Arial" w:hAnsi="Arial" w:cs="Arial"/>
        </w:rPr>
      </w:pPr>
    </w:p>
    <w:p w14:paraId="448F009F" w14:textId="77777777" w:rsidR="00CA23D0" w:rsidRDefault="00CA23D0" w:rsidP="00CA23D0">
      <w:pPr>
        <w:pStyle w:val="Zkladntext"/>
        <w:spacing w:line="240" w:lineRule="atLeast"/>
        <w:jc w:val="both"/>
        <w:rPr>
          <w:rFonts w:ascii="Arial" w:hAnsi="Arial" w:cs="Arial"/>
          <w:b/>
          <w:bCs/>
          <w:caps/>
        </w:rPr>
      </w:pPr>
      <w:r w:rsidRPr="00E30642">
        <w:rPr>
          <w:rFonts w:ascii="Arial" w:hAnsi="Arial" w:cs="Arial"/>
          <w:b/>
          <w:bCs/>
          <w:caps/>
        </w:rPr>
        <w:t>Jílovský potok</w:t>
      </w:r>
    </w:p>
    <w:p w14:paraId="3D17AF8D" w14:textId="77777777" w:rsidR="00D3579D" w:rsidRPr="00E30642" w:rsidRDefault="00D3579D" w:rsidP="00CA23D0">
      <w:pPr>
        <w:pStyle w:val="Zkladntext"/>
        <w:spacing w:line="240" w:lineRule="atLeast"/>
        <w:jc w:val="both"/>
        <w:rPr>
          <w:rFonts w:ascii="Arial" w:hAnsi="Arial" w:cs="Arial"/>
        </w:rPr>
      </w:pPr>
    </w:p>
    <w:p w14:paraId="50B67B4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Tok je ve správě povodí Ohře Chomutov (provoz Terezín). Potok od přehrážky Martiněves po ústí je veden v upraveném korytě. Úprava je rozdílná v jednotlivých úsecích, často se mění tvar průtočného profilu, způsob upevnění břehů i použitý materiál. To má vliv na nestejnou kapacitu koryta.</w:t>
      </w:r>
    </w:p>
    <w:p w14:paraId="03A34DF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Velmi nepříznivým jevem na Jílovském potoce je velký počet mostů a lávek, které jsou až na výjimky nekapacitní už pro Q</w:t>
      </w:r>
      <w:r w:rsidRPr="00E30642">
        <w:rPr>
          <w:rFonts w:ascii="Arial" w:hAnsi="Arial" w:cs="Arial"/>
          <w:sz w:val="22"/>
          <w:szCs w:val="22"/>
          <w:vertAlign w:val="subscript"/>
        </w:rPr>
        <w:t>50</w:t>
      </w:r>
      <w:r w:rsidRPr="00E30642">
        <w:rPr>
          <w:rFonts w:ascii="Arial" w:hAnsi="Arial" w:cs="Arial"/>
          <w:sz w:val="22"/>
          <w:szCs w:val="22"/>
        </w:rPr>
        <w:t>, někde již pro Q</w:t>
      </w:r>
      <w:r w:rsidRPr="00E30642">
        <w:rPr>
          <w:rFonts w:ascii="Arial" w:hAnsi="Arial" w:cs="Arial"/>
          <w:sz w:val="22"/>
          <w:szCs w:val="22"/>
          <w:vertAlign w:val="subscript"/>
        </w:rPr>
        <w:t>10</w:t>
      </w:r>
      <w:r w:rsidRPr="00E30642">
        <w:rPr>
          <w:rFonts w:ascii="Arial" w:hAnsi="Arial" w:cs="Arial"/>
          <w:sz w:val="22"/>
          <w:szCs w:val="22"/>
        </w:rPr>
        <w:t>. Tyto objekty vytvářejí za povodňových průtoků zčásti nebo zcela neprůtočné překážky způsobující velké vzdutí nad těmito objekty. Navíc zábradlí na mostech je často nevhodně řešeno. Podélně přímo v korytě je vedeno velké množství potrubí. V některých profilech je vedeno i příčně.</w:t>
      </w:r>
    </w:p>
    <w:p w14:paraId="2AF214E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Po povodni v roce 1987, které předcházeli povodně v roce 1979, 1981 a 1984 byl vypracován "Návrh vodohospodářských opatření povodí Jílovského potoka". Navržená opatření se realizují postupně od horní části povodí z  Libouchce. V Děčíně byla realizována oprava Jílovského potoka v km 2,5 až 2,7 u Vojanovy ulice, úprava koryta pod přehrážkou Martiněves a úprava vyústní části koryta. Bylo dokončeno zkapacitnění koryta v úseku km 2,7 </w:t>
      </w:r>
      <w:r w:rsidRPr="00E30642">
        <w:rPr>
          <w:rFonts w:ascii="Arial" w:hAnsi="Arial" w:cs="Arial"/>
          <w:sz w:val="22"/>
          <w:szCs w:val="22"/>
        </w:rPr>
        <w:lastRenderedPageBreak/>
        <w:t>až 2,9, tj. Vojanova ulice – Kovočas Děčín. Snahou je, aby celé koryto od přehrážky Martiněves po ústí do Labe mělo kapacitu na provedení minimálně padesátileté povodně (Q50).</w:t>
      </w:r>
    </w:p>
    <w:p w14:paraId="2417DF05" w14:textId="77777777" w:rsidR="00CA23D0" w:rsidRPr="00E30642" w:rsidRDefault="00CA23D0" w:rsidP="00CA23D0">
      <w:pPr>
        <w:pStyle w:val="Zkladntext"/>
        <w:spacing w:before="120" w:after="0" w:line="288" w:lineRule="auto"/>
        <w:jc w:val="both"/>
        <w:rPr>
          <w:rFonts w:ascii="Arial" w:hAnsi="Arial" w:cs="Arial"/>
          <w:sz w:val="22"/>
          <w:szCs w:val="22"/>
        </w:rPr>
      </w:pPr>
    </w:p>
    <w:p w14:paraId="42D39024"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V plánu realizace Povodí Ohře Chomutov jsou následující úseky k úpravě:</w:t>
      </w:r>
      <w:r w:rsidRPr="00E30642">
        <w:rPr>
          <w:rFonts w:ascii="Arial" w:hAnsi="Arial" w:cs="Arial"/>
          <w:sz w:val="22"/>
          <w:szCs w:val="22"/>
        </w:rPr>
        <w:tab/>
      </w:r>
    </w:p>
    <w:p w14:paraId="494DA04D"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úsek od km 4,821 až po km 5,683 u benzinové pumpy v Bynově.</w:t>
      </w:r>
    </w:p>
    <w:p w14:paraId="420B810A"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Zbylé úseky nutné k  úpravě jsou vyznačeny v situaci. Jedná se o úsek od km 2,9 po km 4,025, úsek od km 4,528 po km 4,821 a úsek od km 0,635 po km 1,065. Zde koryto nemá kapacitu ani na Q</w:t>
      </w:r>
      <w:r w:rsidRPr="00E30642">
        <w:rPr>
          <w:rFonts w:ascii="Arial" w:hAnsi="Arial" w:cs="Arial"/>
          <w:sz w:val="22"/>
          <w:szCs w:val="22"/>
          <w:vertAlign w:val="subscript"/>
        </w:rPr>
        <w:t>50</w:t>
      </w:r>
      <w:r w:rsidRPr="00E30642">
        <w:rPr>
          <w:rFonts w:ascii="Arial" w:hAnsi="Arial" w:cs="Arial"/>
          <w:sz w:val="22"/>
          <w:szCs w:val="22"/>
        </w:rPr>
        <w:t>.</w:t>
      </w:r>
    </w:p>
    <w:p w14:paraId="4E623905" w14:textId="77777777" w:rsidR="00CA23D0" w:rsidRPr="00E30642" w:rsidRDefault="00CA23D0" w:rsidP="00CA23D0">
      <w:pPr>
        <w:pStyle w:val="Zkladntext"/>
        <w:spacing w:before="120" w:after="0" w:line="288" w:lineRule="auto"/>
        <w:ind w:firstLine="708"/>
        <w:jc w:val="both"/>
        <w:rPr>
          <w:rFonts w:ascii="Arial" w:hAnsi="Arial" w:cs="Arial"/>
          <w:sz w:val="22"/>
          <w:szCs w:val="22"/>
        </w:rPr>
      </w:pPr>
    </w:p>
    <w:p w14:paraId="29324D3C"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 xml:space="preserve">Pro přehled se uvádí seznam nekapacitních objektů, které by bylo vhodné upravit: </w:t>
      </w:r>
    </w:p>
    <w:p w14:paraId="09C9B72A"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 xml:space="preserve">   </w:t>
      </w:r>
      <w:r w:rsidRPr="00E30642">
        <w:rPr>
          <w:rFonts w:ascii="Arial" w:hAnsi="Arial" w:cs="Arial"/>
          <w:b/>
          <w:bCs/>
          <w:sz w:val="22"/>
          <w:szCs w:val="22"/>
        </w:rPr>
        <w:t xml:space="preserve">            Místo</w:t>
      </w:r>
      <w:r w:rsidRPr="00E30642">
        <w:rPr>
          <w:rFonts w:ascii="Arial" w:hAnsi="Arial" w:cs="Arial"/>
          <w:b/>
          <w:bCs/>
          <w:sz w:val="22"/>
          <w:szCs w:val="22"/>
        </w:rPr>
        <w:tab/>
      </w:r>
      <w:r w:rsidRPr="00E30642">
        <w:rPr>
          <w:rFonts w:ascii="Arial" w:hAnsi="Arial" w:cs="Arial"/>
          <w:b/>
          <w:bCs/>
          <w:sz w:val="22"/>
          <w:szCs w:val="22"/>
        </w:rPr>
        <w:tab/>
      </w:r>
      <w:r w:rsidRPr="00E30642">
        <w:rPr>
          <w:rFonts w:ascii="Arial" w:hAnsi="Arial" w:cs="Arial"/>
          <w:b/>
          <w:bCs/>
          <w:sz w:val="22"/>
          <w:szCs w:val="22"/>
        </w:rPr>
        <w:tab/>
      </w:r>
      <w:r w:rsidRPr="00E30642">
        <w:rPr>
          <w:rFonts w:ascii="Arial" w:hAnsi="Arial" w:cs="Arial"/>
          <w:b/>
          <w:bCs/>
          <w:sz w:val="22"/>
          <w:szCs w:val="22"/>
        </w:rPr>
        <w:tab/>
        <w:t xml:space="preserve">        staničení říční </w:t>
      </w:r>
      <w:r w:rsidRPr="00E30642">
        <w:rPr>
          <w:rFonts w:ascii="Arial" w:hAnsi="Arial" w:cs="Arial"/>
          <w:b/>
          <w:bCs/>
          <w:sz w:val="22"/>
          <w:szCs w:val="22"/>
        </w:rPr>
        <w:tab/>
        <w:t xml:space="preserve">            kapacita</w:t>
      </w:r>
    </w:p>
    <w:p w14:paraId="1A847ADC"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Lávka Písecká ul.</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4,279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Q 20</w:t>
      </w:r>
      <w:r w:rsidRPr="00E30642">
        <w:rPr>
          <w:rFonts w:ascii="Arial" w:hAnsi="Arial" w:cs="Arial"/>
          <w:sz w:val="22"/>
          <w:szCs w:val="22"/>
        </w:rPr>
        <w:tab/>
      </w:r>
    </w:p>
    <w:p w14:paraId="676A1107"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Most Netex (MITOP)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4,025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Q10 </w:t>
      </w:r>
    </w:p>
    <w:p w14:paraId="6B1C21D7"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Most WICO (KOH-I-NOOR) </w:t>
      </w:r>
      <w:r w:rsidRPr="00E30642">
        <w:rPr>
          <w:rFonts w:ascii="Arial" w:hAnsi="Arial" w:cs="Arial"/>
          <w:sz w:val="22"/>
          <w:szCs w:val="22"/>
        </w:rPr>
        <w:tab/>
      </w:r>
      <w:r w:rsidRPr="00E30642">
        <w:rPr>
          <w:rFonts w:ascii="Arial" w:hAnsi="Arial" w:cs="Arial"/>
          <w:sz w:val="22"/>
          <w:szCs w:val="22"/>
        </w:rPr>
        <w:tab/>
        <w:t xml:space="preserve">3,438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Q5 </w:t>
      </w:r>
    </w:p>
    <w:p w14:paraId="314B2F51"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Most Kovočas</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3,262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Q10 </w:t>
      </w:r>
    </w:p>
    <w:p w14:paraId="2C62F3CB"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Most u Technoplynu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3,079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Q10 </w:t>
      </w:r>
    </w:p>
    <w:p w14:paraId="6B2F8384"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Jez Technoplynu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3,049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Q2 </w:t>
      </w:r>
    </w:p>
    <w:p w14:paraId="18D557D1"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Most Vojanova ul.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2,700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Q10 </w:t>
      </w:r>
    </w:p>
    <w:p w14:paraId="4B969FF4"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Most RUKOV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2,642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Q20 </w:t>
      </w:r>
    </w:p>
    <w:p w14:paraId="6C8321DD"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Most ZPA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2,400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Q20 </w:t>
      </w:r>
    </w:p>
    <w:p w14:paraId="7DB70D66"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Lávka ZPA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1,917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Q20 </w:t>
      </w:r>
    </w:p>
    <w:p w14:paraId="7289F478"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Lávka Jeronýmova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1,515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Q20 </w:t>
      </w:r>
    </w:p>
    <w:p w14:paraId="31748785"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Most Jungmannova ul. </w:t>
      </w:r>
      <w:r w:rsidRPr="00E30642">
        <w:rPr>
          <w:rFonts w:ascii="Arial" w:hAnsi="Arial" w:cs="Arial"/>
          <w:sz w:val="22"/>
          <w:szCs w:val="22"/>
        </w:rPr>
        <w:tab/>
      </w:r>
      <w:r w:rsidRPr="00E30642">
        <w:rPr>
          <w:rFonts w:ascii="Arial" w:hAnsi="Arial" w:cs="Arial"/>
          <w:sz w:val="22"/>
          <w:szCs w:val="22"/>
        </w:rPr>
        <w:tab/>
        <w:t xml:space="preserve">1,343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Q20 </w:t>
      </w:r>
    </w:p>
    <w:p w14:paraId="5E7FD0C2"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Most Tř. Čs. mládeže </w:t>
      </w:r>
      <w:r w:rsidRPr="00E30642">
        <w:rPr>
          <w:rFonts w:ascii="Arial" w:hAnsi="Arial" w:cs="Arial"/>
          <w:sz w:val="22"/>
          <w:szCs w:val="22"/>
        </w:rPr>
        <w:tab/>
      </w:r>
      <w:r w:rsidRPr="00E30642">
        <w:rPr>
          <w:rFonts w:ascii="Arial" w:hAnsi="Arial" w:cs="Arial"/>
          <w:sz w:val="22"/>
          <w:szCs w:val="22"/>
        </w:rPr>
        <w:tab/>
        <w:t xml:space="preserve">0,983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Q5 </w:t>
      </w:r>
    </w:p>
    <w:p w14:paraId="68787B57"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Most Ul. Práce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0,890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Q10 </w:t>
      </w:r>
    </w:p>
    <w:p w14:paraId="7120A2C7"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ab/>
      </w:r>
      <w:r w:rsidRPr="00E30642">
        <w:rPr>
          <w:rFonts w:ascii="Arial" w:hAnsi="Arial" w:cs="Arial"/>
          <w:sz w:val="22"/>
          <w:szCs w:val="22"/>
        </w:rPr>
        <w:tab/>
        <w:t xml:space="preserve">Lávka k tenisovému areálu </w:t>
      </w:r>
      <w:r w:rsidRPr="00E30642">
        <w:rPr>
          <w:rFonts w:ascii="Arial" w:hAnsi="Arial" w:cs="Arial"/>
          <w:sz w:val="22"/>
          <w:szCs w:val="22"/>
        </w:rPr>
        <w:tab/>
      </w:r>
      <w:r w:rsidRPr="00E30642">
        <w:rPr>
          <w:rFonts w:ascii="Arial" w:hAnsi="Arial" w:cs="Arial"/>
          <w:sz w:val="22"/>
          <w:szCs w:val="22"/>
        </w:rPr>
        <w:tab/>
        <w:t xml:space="preserve">0,635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Q20</w:t>
      </w:r>
    </w:p>
    <w:p w14:paraId="0C1194E5" w14:textId="77777777" w:rsidR="00CA23D0" w:rsidRDefault="00CA23D0" w:rsidP="00CA23D0">
      <w:pPr>
        <w:pStyle w:val="Zkladntext"/>
        <w:spacing w:before="120" w:after="0" w:line="288" w:lineRule="auto"/>
        <w:jc w:val="both"/>
        <w:rPr>
          <w:rFonts w:ascii="Arial" w:hAnsi="Arial" w:cs="Arial"/>
          <w:b/>
          <w:bCs/>
          <w:caps/>
          <w:sz w:val="22"/>
          <w:szCs w:val="22"/>
        </w:rPr>
      </w:pPr>
    </w:p>
    <w:p w14:paraId="1989DE8D" w14:textId="77777777" w:rsidR="00D3579D" w:rsidRDefault="00D3579D" w:rsidP="00CA23D0">
      <w:pPr>
        <w:pStyle w:val="Zkladntext"/>
        <w:spacing w:before="120" w:after="0" w:line="288" w:lineRule="auto"/>
        <w:jc w:val="both"/>
        <w:rPr>
          <w:rFonts w:ascii="Arial" w:hAnsi="Arial" w:cs="Arial"/>
          <w:b/>
          <w:bCs/>
          <w:caps/>
          <w:sz w:val="22"/>
          <w:szCs w:val="22"/>
        </w:rPr>
      </w:pPr>
    </w:p>
    <w:p w14:paraId="592B7407" w14:textId="77777777" w:rsidR="00D3579D" w:rsidRDefault="00D3579D" w:rsidP="00CA23D0">
      <w:pPr>
        <w:pStyle w:val="Zkladntext"/>
        <w:spacing w:before="120" w:after="0" w:line="288" w:lineRule="auto"/>
        <w:jc w:val="both"/>
        <w:rPr>
          <w:rFonts w:ascii="Arial" w:hAnsi="Arial" w:cs="Arial"/>
          <w:b/>
          <w:bCs/>
          <w:caps/>
          <w:sz w:val="22"/>
          <w:szCs w:val="22"/>
        </w:rPr>
      </w:pPr>
    </w:p>
    <w:p w14:paraId="730F2235" w14:textId="77777777" w:rsidR="00D3579D" w:rsidRDefault="00D3579D" w:rsidP="00CA23D0">
      <w:pPr>
        <w:pStyle w:val="Zkladntext"/>
        <w:spacing w:before="120" w:after="0" w:line="288" w:lineRule="auto"/>
        <w:jc w:val="both"/>
        <w:rPr>
          <w:rFonts w:ascii="Arial" w:hAnsi="Arial" w:cs="Arial"/>
          <w:b/>
          <w:bCs/>
          <w:caps/>
          <w:sz w:val="22"/>
          <w:szCs w:val="22"/>
        </w:rPr>
      </w:pPr>
    </w:p>
    <w:p w14:paraId="26A03A26" w14:textId="77777777" w:rsidR="00D3579D" w:rsidRDefault="00D3579D" w:rsidP="00CA23D0">
      <w:pPr>
        <w:pStyle w:val="Zkladntext"/>
        <w:spacing w:before="120" w:after="0" w:line="288" w:lineRule="auto"/>
        <w:jc w:val="both"/>
        <w:rPr>
          <w:rFonts w:ascii="Arial" w:hAnsi="Arial" w:cs="Arial"/>
          <w:b/>
          <w:bCs/>
          <w:caps/>
          <w:sz w:val="22"/>
          <w:szCs w:val="22"/>
        </w:rPr>
      </w:pPr>
    </w:p>
    <w:p w14:paraId="6BE3970C" w14:textId="77777777" w:rsidR="00D3579D" w:rsidRDefault="00D3579D" w:rsidP="00CA23D0">
      <w:pPr>
        <w:pStyle w:val="Zkladntext"/>
        <w:spacing w:before="120" w:after="0" w:line="288" w:lineRule="auto"/>
        <w:jc w:val="both"/>
        <w:rPr>
          <w:rFonts w:ascii="Arial" w:hAnsi="Arial" w:cs="Arial"/>
          <w:b/>
          <w:bCs/>
          <w:caps/>
          <w:sz w:val="22"/>
          <w:szCs w:val="22"/>
        </w:rPr>
      </w:pPr>
    </w:p>
    <w:p w14:paraId="15269FFF" w14:textId="77777777" w:rsidR="00D3579D" w:rsidRDefault="00D3579D" w:rsidP="00CA23D0">
      <w:pPr>
        <w:pStyle w:val="Zkladntext"/>
        <w:spacing w:before="120" w:after="0" w:line="288" w:lineRule="auto"/>
        <w:jc w:val="both"/>
        <w:rPr>
          <w:rFonts w:ascii="Arial" w:hAnsi="Arial" w:cs="Arial"/>
          <w:b/>
          <w:bCs/>
          <w:caps/>
          <w:sz w:val="22"/>
          <w:szCs w:val="22"/>
        </w:rPr>
      </w:pPr>
    </w:p>
    <w:p w14:paraId="05D4BE33" w14:textId="77777777" w:rsidR="00D3579D" w:rsidRDefault="00D3579D" w:rsidP="00CA23D0">
      <w:pPr>
        <w:pStyle w:val="Zkladntext"/>
        <w:spacing w:before="120" w:after="0" w:line="288" w:lineRule="auto"/>
        <w:jc w:val="both"/>
        <w:rPr>
          <w:rFonts w:ascii="Arial" w:hAnsi="Arial" w:cs="Arial"/>
          <w:b/>
          <w:bCs/>
          <w:caps/>
          <w:sz w:val="22"/>
          <w:szCs w:val="22"/>
        </w:rPr>
      </w:pPr>
    </w:p>
    <w:p w14:paraId="4D9165B8"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caps/>
          <w:sz w:val="22"/>
          <w:szCs w:val="22"/>
        </w:rPr>
        <w:lastRenderedPageBreak/>
        <w:t>Bělský potok</w:t>
      </w:r>
    </w:p>
    <w:p w14:paraId="5DF830B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Potok je ve správě Povodí Ohře Chomutov (provoz Terezín) od ústí do Jílovského potoka nad Čechy. Dále proti proudu je ve správě LČR.</w:t>
      </w:r>
    </w:p>
    <w:p w14:paraId="1571B36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Bělský potok je levostranným přítokem Jílovského potoka (vlévá se v km 2,3). Koryto je vedené místy zakrytými profily, vcelku je v dezolátním stavu. Největší škody v minulosti potok působil v dolní části toku před zaústěním do Jílovského potoka, kde byl zcela nevyhovující profil. Úprava byla v nedávné době provedena od Terezínského rybníka do Jílovského potoka. Nové koryto je v části trasy otevřené, zbytek uzavřený železobetonový monolit s  kapacitou na provedení stoleté povodně (Q</w:t>
      </w:r>
      <w:r w:rsidRPr="00E30642">
        <w:rPr>
          <w:rFonts w:ascii="Arial" w:hAnsi="Arial" w:cs="Arial"/>
          <w:sz w:val="22"/>
          <w:szCs w:val="22"/>
          <w:vertAlign w:val="subscript"/>
        </w:rPr>
        <w:t>100</w:t>
      </w:r>
      <w:r w:rsidRPr="00E30642">
        <w:rPr>
          <w:rFonts w:ascii="Arial" w:hAnsi="Arial" w:cs="Arial"/>
          <w:sz w:val="22"/>
          <w:szCs w:val="22"/>
        </w:rPr>
        <w:t>). K  úpravě se navrhuje i část toku nad Terezínským rybníkem pro zvýšení ochrany území. Na úpravu je již zpracována dokumentace a to jak pro úsek ve správě Povodí Ohře, tak úsek ve správě LČR. Záměry se přebírají.</w:t>
      </w:r>
    </w:p>
    <w:p w14:paraId="45FC1E81"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Soustavně bude upraven úsek ve správě Povodí a to od km 0,418 až do km 1,418, kde je koryto nekapacitní a je místy vedeno bývalými náhony nad původním korytem v údolnici. Návrh úpravy byl zpracovaný ve dvou variantách. Dle informací pracovníků P. O. se preferuje varianta, kterou bude část trasy opět vedena nejnižším místem v údolnici. (viz situace) Část ve správě LČR a to konkrétně v úseku od km 2,8 po 6,4 zahrnuje část soustavné úpravy (km 2,83 až 2,910) a dále výstavbu přehrážek a pročištění koryta. Úpravy jsou navrženy s  cílem celkové stabilizace odtoků.</w:t>
      </w:r>
    </w:p>
    <w:p w14:paraId="742B1B8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Připravena je též dokumentace na sanaci původního koryta Bělského potoka nahrazeného novou trasou pod Terezínským rybníkem. Původní koryto by mělo být upraveno (část vložením potrubí do původní stoky, část vyčištěním původního koryta) neboť funguje jako drenážní systém a převádí vody ze zbytku povodí jako propustky pod Saskou a Teplickou ulicí. Vodohospodářský orgán by měl určit provozovatele původního koryta, zajistit je nutno i údržbu fungujícího náhonu podél Teplické ulice.</w:t>
      </w:r>
    </w:p>
    <w:p w14:paraId="34CBA34B" w14:textId="77777777" w:rsidR="00CA23D0" w:rsidRPr="00E30642" w:rsidRDefault="00CA23D0" w:rsidP="00CA23D0">
      <w:pPr>
        <w:pStyle w:val="Zkladntext"/>
        <w:spacing w:before="120" w:after="0" w:line="288" w:lineRule="auto"/>
        <w:jc w:val="both"/>
        <w:rPr>
          <w:rFonts w:ascii="Arial" w:hAnsi="Arial" w:cs="Arial"/>
          <w:sz w:val="22"/>
          <w:szCs w:val="22"/>
        </w:rPr>
      </w:pPr>
    </w:p>
    <w:p w14:paraId="03445655" w14:textId="77777777" w:rsidR="00D3579D" w:rsidRDefault="00CA23D0" w:rsidP="00CA23D0">
      <w:pPr>
        <w:pStyle w:val="Zkladntext"/>
        <w:spacing w:before="120" w:after="0" w:line="288" w:lineRule="auto"/>
        <w:jc w:val="both"/>
        <w:rPr>
          <w:rFonts w:ascii="Arial" w:hAnsi="Arial" w:cs="Arial"/>
          <w:b/>
          <w:bCs/>
          <w:caps/>
          <w:sz w:val="22"/>
          <w:szCs w:val="22"/>
        </w:rPr>
      </w:pPr>
      <w:r w:rsidRPr="00E30642">
        <w:rPr>
          <w:rFonts w:ascii="Arial" w:hAnsi="Arial" w:cs="Arial"/>
          <w:b/>
          <w:bCs/>
          <w:caps/>
          <w:sz w:val="22"/>
          <w:szCs w:val="22"/>
        </w:rPr>
        <w:br w:type="page"/>
      </w:r>
      <w:r w:rsidRPr="00E30642">
        <w:rPr>
          <w:rFonts w:ascii="Arial" w:hAnsi="Arial" w:cs="Arial"/>
          <w:b/>
          <w:bCs/>
          <w:caps/>
          <w:sz w:val="22"/>
          <w:szCs w:val="22"/>
        </w:rPr>
        <w:lastRenderedPageBreak/>
        <w:t>Oldřichovský potok</w:t>
      </w:r>
    </w:p>
    <w:p w14:paraId="6FB0A570" w14:textId="77777777" w:rsidR="00D3579D" w:rsidRPr="00D3579D" w:rsidRDefault="00D3579D" w:rsidP="00CA23D0">
      <w:pPr>
        <w:pStyle w:val="Zkladntext"/>
        <w:spacing w:before="120" w:after="0" w:line="288" w:lineRule="auto"/>
        <w:jc w:val="both"/>
        <w:rPr>
          <w:rFonts w:ascii="Arial" w:hAnsi="Arial" w:cs="Arial"/>
          <w:b/>
          <w:bCs/>
          <w:caps/>
          <w:sz w:val="22"/>
          <w:szCs w:val="22"/>
        </w:rPr>
      </w:pPr>
    </w:p>
    <w:p w14:paraId="66C79A1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Tok ve správě povodí Ohře Chomutov. 260m od zaústění proti proudu je koryto upraveno, vyústní úsek přes Kovočas je zakrytý. Otevřené koryto ohrožuje nad zakrytou částí souběžnou komunikaci. Proto se navrhuje úprava v délce cca 350m od začátku zakryté části proti proudu do Jeleního potoka. K  úpravě je navržena i část Jeleního potoka.</w:t>
      </w:r>
    </w:p>
    <w:p w14:paraId="12707F57" w14:textId="77777777" w:rsidR="00CA23D0" w:rsidRPr="00E30642" w:rsidRDefault="00CA23D0" w:rsidP="00CA23D0">
      <w:pPr>
        <w:pStyle w:val="Zkladntext"/>
        <w:spacing w:before="120" w:after="0" w:line="288" w:lineRule="auto"/>
        <w:jc w:val="both"/>
        <w:rPr>
          <w:rFonts w:ascii="Arial" w:hAnsi="Arial" w:cs="Arial"/>
          <w:sz w:val="22"/>
          <w:szCs w:val="22"/>
        </w:rPr>
      </w:pPr>
    </w:p>
    <w:p w14:paraId="00D1EB8D" w14:textId="77777777" w:rsidR="00CA23D0" w:rsidRDefault="00CA23D0" w:rsidP="00CA23D0">
      <w:pPr>
        <w:pStyle w:val="Zkladntext"/>
        <w:spacing w:before="120" w:after="0" w:line="288" w:lineRule="auto"/>
        <w:jc w:val="both"/>
        <w:rPr>
          <w:rFonts w:ascii="Arial" w:hAnsi="Arial" w:cs="Arial"/>
          <w:b/>
          <w:bCs/>
          <w:caps/>
          <w:sz w:val="22"/>
          <w:szCs w:val="22"/>
        </w:rPr>
      </w:pPr>
      <w:r w:rsidRPr="00E30642">
        <w:rPr>
          <w:rFonts w:ascii="Arial" w:hAnsi="Arial" w:cs="Arial"/>
          <w:b/>
          <w:bCs/>
          <w:caps/>
          <w:sz w:val="22"/>
          <w:szCs w:val="22"/>
        </w:rPr>
        <w:t>Kamenička</w:t>
      </w:r>
    </w:p>
    <w:p w14:paraId="10462384" w14:textId="77777777" w:rsidR="00D3579D" w:rsidRPr="00E30642" w:rsidRDefault="00D3579D" w:rsidP="00CA23D0">
      <w:pPr>
        <w:pStyle w:val="Zkladntext"/>
        <w:spacing w:before="120" w:after="0" w:line="288" w:lineRule="auto"/>
        <w:jc w:val="both"/>
        <w:rPr>
          <w:rFonts w:ascii="Arial" w:hAnsi="Arial" w:cs="Arial"/>
          <w:sz w:val="22"/>
          <w:szCs w:val="22"/>
        </w:rPr>
      </w:pPr>
    </w:p>
    <w:p w14:paraId="6DCD47A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Potok nad Boleticemi je ve správě Povodí Ohře, od Lesního Mlýna je ve správě LČR. Potok přes celou zástavbu Boletic je upravený s  dostatečnou kapacitou. Dno i břehy jsou zpevněny dlažbou na cementovou maltu. Délka úpravy, která je v dobrém stavu je 1 800m. Nad Boleticemi je tok většinou v přírodním stavu. Přes Lesnou není koryto soustavně upraveno, jsou zde pomístní úpravy. Zde se navrhují opravy zdí, další úpravy se nenavrhují.</w:t>
      </w:r>
    </w:p>
    <w:p w14:paraId="7741FE88" w14:textId="77777777" w:rsidR="00CA23D0" w:rsidRPr="00E30642" w:rsidRDefault="00CA23D0" w:rsidP="00CA23D0">
      <w:pPr>
        <w:pStyle w:val="Zkladntext"/>
        <w:spacing w:before="120" w:after="0" w:line="288" w:lineRule="auto"/>
        <w:jc w:val="both"/>
        <w:rPr>
          <w:rFonts w:ascii="Arial" w:hAnsi="Arial" w:cs="Arial"/>
          <w:sz w:val="22"/>
          <w:szCs w:val="22"/>
        </w:rPr>
      </w:pPr>
    </w:p>
    <w:p w14:paraId="39CEA68F" w14:textId="77777777" w:rsidR="00CA23D0" w:rsidRDefault="00CA23D0" w:rsidP="00CA23D0">
      <w:pPr>
        <w:pStyle w:val="Zkladntext"/>
        <w:spacing w:before="120" w:after="0" w:line="288" w:lineRule="auto"/>
        <w:jc w:val="both"/>
        <w:rPr>
          <w:rFonts w:ascii="Arial" w:hAnsi="Arial" w:cs="Arial"/>
          <w:b/>
          <w:bCs/>
          <w:caps/>
          <w:sz w:val="22"/>
          <w:szCs w:val="22"/>
        </w:rPr>
      </w:pPr>
      <w:r w:rsidRPr="00E30642">
        <w:rPr>
          <w:rFonts w:ascii="Arial" w:hAnsi="Arial" w:cs="Arial"/>
          <w:b/>
          <w:bCs/>
          <w:caps/>
          <w:sz w:val="22"/>
          <w:szCs w:val="22"/>
        </w:rPr>
        <w:t>Chrochvický potok</w:t>
      </w:r>
    </w:p>
    <w:p w14:paraId="47D89F3B" w14:textId="77777777" w:rsidR="00D3579D" w:rsidRPr="00E30642" w:rsidRDefault="00D3579D" w:rsidP="00CA23D0">
      <w:pPr>
        <w:pStyle w:val="Zkladntext"/>
        <w:spacing w:before="120" w:after="0" w:line="288" w:lineRule="auto"/>
        <w:jc w:val="both"/>
        <w:rPr>
          <w:rFonts w:ascii="Arial" w:hAnsi="Arial" w:cs="Arial"/>
          <w:sz w:val="22"/>
          <w:szCs w:val="22"/>
        </w:rPr>
      </w:pPr>
    </w:p>
    <w:p w14:paraId="5C6167C2"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Potok ve správě P. O. Chomutov od ústí k  objektu SČE. Dále je ve správě SMS Ústí nad Labem. Část toku od zaústění proti proudu má částečnou úpravu. Plánuje se kompletní obnova opevnění v zastavené části po štěrkovou přehrážku včetně náhrady přehrážky.</w:t>
      </w:r>
    </w:p>
    <w:p w14:paraId="1FD668B4" w14:textId="77777777" w:rsidR="00CA23D0" w:rsidRPr="00E30642" w:rsidRDefault="00CA23D0" w:rsidP="00CA23D0">
      <w:pPr>
        <w:pStyle w:val="Zkladntext"/>
        <w:spacing w:before="120" w:after="0" w:line="288" w:lineRule="auto"/>
        <w:jc w:val="both"/>
        <w:rPr>
          <w:rFonts w:ascii="Arial" w:hAnsi="Arial" w:cs="Arial"/>
          <w:sz w:val="22"/>
          <w:szCs w:val="22"/>
        </w:rPr>
      </w:pPr>
    </w:p>
    <w:p w14:paraId="7F7B7217" w14:textId="77777777" w:rsidR="00CA23D0" w:rsidRDefault="00CA23D0" w:rsidP="00CA23D0">
      <w:pPr>
        <w:pStyle w:val="Zkladntext"/>
        <w:spacing w:before="120" w:after="0" w:line="288" w:lineRule="auto"/>
        <w:jc w:val="both"/>
        <w:rPr>
          <w:rFonts w:ascii="Arial" w:hAnsi="Arial" w:cs="Arial"/>
          <w:b/>
          <w:bCs/>
          <w:caps/>
          <w:sz w:val="22"/>
          <w:szCs w:val="22"/>
        </w:rPr>
      </w:pPr>
      <w:r w:rsidRPr="00E30642">
        <w:rPr>
          <w:rFonts w:ascii="Arial" w:hAnsi="Arial" w:cs="Arial"/>
          <w:b/>
          <w:bCs/>
          <w:caps/>
          <w:sz w:val="22"/>
          <w:szCs w:val="22"/>
        </w:rPr>
        <w:t>Větší toky ve správě LČR</w:t>
      </w:r>
    </w:p>
    <w:p w14:paraId="3DD4DF1B" w14:textId="77777777" w:rsidR="00D3579D" w:rsidRPr="00E30642" w:rsidRDefault="00D3579D" w:rsidP="00CA23D0">
      <w:pPr>
        <w:pStyle w:val="Zkladntext"/>
        <w:spacing w:before="120" w:after="0" w:line="288" w:lineRule="auto"/>
        <w:jc w:val="both"/>
        <w:rPr>
          <w:rFonts w:ascii="Arial" w:hAnsi="Arial" w:cs="Arial"/>
          <w:sz w:val="22"/>
          <w:szCs w:val="22"/>
        </w:rPr>
      </w:pPr>
    </w:p>
    <w:p w14:paraId="2A7FE74D"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Ostružník</w:t>
      </w:r>
    </w:p>
    <w:p w14:paraId="07D93C4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Hlavní tok Ostružníku začíná v Maxičkách. Od Maxiček nad Vlčí jezero se jedná o umělou vodoteč. Koryto zde bylo místy zanesené a zarostlé. Z  tohoto důvodu od soutoku s hlavním tokem Ostružníku bylo umělé koryto obnoveno v délce 3952 m tak, aby se zamezilo ztrátám vody po trase. Zároveň byl opraven rybník Jalůvčí (celková oprava, odbahnění) a revitalizováno koryto potoka nad hrází v délce cca 200m. Vyústní část toku od Labe nad zástavbu Přípeře je potok ve správě Povodí Ohře. Nezbytná je údržba.</w:t>
      </w:r>
    </w:p>
    <w:p w14:paraId="33EB532E" w14:textId="77777777" w:rsidR="00CA23D0" w:rsidRPr="00E30642" w:rsidRDefault="00CA23D0" w:rsidP="00CA23D0">
      <w:pPr>
        <w:pStyle w:val="Zkladntext"/>
        <w:spacing w:before="120" w:after="0" w:line="288" w:lineRule="auto"/>
        <w:jc w:val="both"/>
        <w:rPr>
          <w:rFonts w:ascii="Arial" w:hAnsi="Arial" w:cs="Arial"/>
          <w:sz w:val="22"/>
          <w:szCs w:val="22"/>
        </w:rPr>
      </w:pPr>
    </w:p>
    <w:p w14:paraId="65E2D331"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Potok přes Jakuby</w:t>
      </w:r>
    </w:p>
    <w:p w14:paraId="49CCE394"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Neupravený, bez problémů. Potřebná běžná údržba.</w:t>
      </w:r>
    </w:p>
    <w:p w14:paraId="54438A5E" w14:textId="77777777" w:rsidR="00CA23D0" w:rsidRPr="00E30642" w:rsidRDefault="00CA23D0" w:rsidP="00CA23D0">
      <w:pPr>
        <w:pStyle w:val="Zkladntext"/>
        <w:spacing w:before="120" w:after="0" w:line="288" w:lineRule="auto"/>
        <w:jc w:val="both"/>
        <w:rPr>
          <w:rFonts w:ascii="Arial" w:hAnsi="Arial" w:cs="Arial"/>
          <w:b/>
          <w:bCs/>
          <w:sz w:val="22"/>
          <w:szCs w:val="22"/>
        </w:rPr>
      </w:pPr>
    </w:p>
    <w:p w14:paraId="3E201DAD"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Březinský potok</w:t>
      </w:r>
    </w:p>
    <w:p w14:paraId="711F546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Na potoce jsou dílčí úpravy ze 60. let Potok zatím bez problémů, potřebná je běžná údržba.</w:t>
      </w:r>
    </w:p>
    <w:p w14:paraId="59F5FC76"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lastRenderedPageBreak/>
        <w:t>Folknářský potok</w:t>
      </w:r>
    </w:p>
    <w:p w14:paraId="4CE31D3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Potok v otevřené části tj. od vstupu do zakrytého profilu pod nádražím Děčín – východ proti proudu je ve správě LČR. Potok v otevřené části je neupravený. Dílčí úprava je naplánována v rámci malé kruhové křižovatky Benešovské s  Libereckou a Folknářskou ulicí. Jinak na toku je potřebná běžná údržba. Vhodná by byla obnova zcela zaneseného rybníka na pozemku p.č. 2775 a to pro snížení spádu a zachycení splavenin.</w:t>
      </w:r>
    </w:p>
    <w:p w14:paraId="3FE5E6AF" w14:textId="77777777" w:rsidR="00CA23D0" w:rsidRPr="00E30642" w:rsidRDefault="00CA23D0" w:rsidP="00CA23D0">
      <w:pPr>
        <w:pStyle w:val="Zkladntext"/>
        <w:spacing w:before="120" w:after="0" w:line="288" w:lineRule="auto"/>
        <w:jc w:val="both"/>
        <w:rPr>
          <w:rFonts w:ascii="Arial" w:hAnsi="Arial" w:cs="Arial"/>
          <w:sz w:val="22"/>
          <w:szCs w:val="22"/>
        </w:rPr>
      </w:pPr>
    </w:p>
    <w:p w14:paraId="71CF9785"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Loubský potok</w:t>
      </w:r>
    </w:p>
    <w:p w14:paraId="43F4C24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Potok neupravený v přírodním stavu. Tok má bystřinný charakter. Úpravy se nenavrhují.</w:t>
      </w:r>
    </w:p>
    <w:p w14:paraId="1FCCF1AF" w14:textId="77777777" w:rsidR="00CA23D0" w:rsidRPr="00E30642" w:rsidRDefault="00CA23D0" w:rsidP="00CA23D0">
      <w:pPr>
        <w:pStyle w:val="Zkladntext"/>
        <w:spacing w:before="120" w:after="0" w:line="288" w:lineRule="auto"/>
        <w:jc w:val="both"/>
        <w:rPr>
          <w:rFonts w:ascii="Arial" w:hAnsi="Arial" w:cs="Arial"/>
          <w:sz w:val="22"/>
          <w:szCs w:val="22"/>
        </w:rPr>
      </w:pPr>
    </w:p>
    <w:p w14:paraId="146097A6"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Čertova voda</w:t>
      </w:r>
    </w:p>
    <w:p w14:paraId="58A6834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Potok neupravený ve větší části trati. Pomístní úprava staršího data (zídky z kamenné rovnaniny) je již dožitá, navrhuje se proto její rekonstrukce.</w:t>
      </w:r>
    </w:p>
    <w:p w14:paraId="07085CE6" w14:textId="77777777" w:rsidR="00CA23D0" w:rsidRPr="00E30642" w:rsidRDefault="00CA23D0" w:rsidP="00CA23D0">
      <w:pPr>
        <w:pStyle w:val="Zkladntext"/>
        <w:spacing w:before="120" w:after="0" w:line="288" w:lineRule="auto"/>
        <w:jc w:val="both"/>
        <w:rPr>
          <w:rFonts w:ascii="Arial" w:hAnsi="Arial" w:cs="Arial"/>
          <w:sz w:val="22"/>
          <w:szCs w:val="22"/>
        </w:rPr>
      </w:pPr>
    </w:p>
    <w:p w14:paraId="66E085F2"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Dolnožlebský potok</w:t>
      </w:r>
    </w:p>
    <w:p w14:paraId="4E7F7D1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Potok převážně neupravený v lesní trati. Přes zástavbu jsou zídky, zatím bez většího poškození. Úprava se nenavrhuje. Ostatní bezejmenné toky ve správě LČR jsou vesměs v přírodním stavu, povodňové průtoky neohrožují prakticky zástavbu. Úpravy se nenavrhují.</w:t>
      </w:r>
    </w:p>
    <w:p w14:paraId="0BEDBB16" w14:textId="77777777" w:rsidR="00CA23D0" w:rsidRPr="00E30642" w:rsidRDefault="00CA23D0" w:rsidP="00CA23D0">
      <w:pPr>
        <w:pStyle w:val="Zkladntext"/>
        <w:spacing w:before="120" w:after="0" w:line="288" w:lineRule="auto"/>
        <w:jc w:val="both"/>
        <w:rPr>
          <w:rFonts w:ascii="Arial" w:hAnsi="Arial" w:cs="Arial"/>
          <w:sz w:val="22"/>
          <w:szCs w:val="22"/>
        </w:rPr>
      </w:pPr>
    </w:p>
    <w:p w14:paraId="3A2F0087"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Dobrnský potok</w:t>
      </w:r>
    </w:p>
    <w:p w14:paraId="3834041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Potok neupravený, bez větších problémů. Úprava se nenavrhuje.</w:t>
      </w:r>
    </w:p>
    <w:p w14:paraId="3E8E10BE" w14:textId="77777777" w:rsidR="00CA23D0" w:rsidRPr="00E30642" w:rsidRDefault="00CA23D0" w:rsidP="00CA23D0">
      <w:pPr>
        <w:pStyle w:val="Zkladntext"/>
        <w:spacing w:before="120" w:after="0" w:line="288" w:lineRule="auto"/>
        <w:jc w:val="both"/>
        <w:rPr>
          <w:rFonts w:ascii="Arial" w:hAnsi="Arial" w:cs="Arial"/>
          <w:sz w:val="22"/>
          <w:szCs w:val="22"/>
        </w:rPr>
      </w:pPr>
    </w:p>
    <w:p w14:paraId="6B2524CF"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Potok ve Velké Veleni</w:t>
      </w:r>
    </w:p>
    <w:p w14:paraId="0B02069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Potok neupravený, v přírodním stavu. Potřebná je běžná údržba, především prořez křovin zasahujících do koryta. Vhodná by byla pomístní úprava pod křížením potoka s  místní cestou, kde v minulosti potok podemílal svah pod dvěma domky.</w:t>
      </w:r>
    </w:p>
    <w:p w14:paraId="67C3D68C" w14:textId="77777777" w:rsidR="00CA23D0" w:rsidRPr="00E30642" w:rsidRDefault="00CA23D0" w:rsidP="00CA23D0">
      <w:pPr>
        <w:pStyle w:val="Zkladntext"/>
        <w:spacing w:before="120" w:after="0" w:line="288" w:lineRule="auto"/>
        <w:jc w:val="both"/>
        <w:rPr>
          <w:rFonts w:ascii="Arial" w:hAnsi="Arial" w:cs="Arial"/>
          <w:sz w:val="22"/>
          <w:szCs w:val="22"/>
        </w:rPr>
      </w:pPr>
    </w:p>
    <w:p w14:paraId="5F0AB730" w14:textId="77777777" w:rsidR="00CA23D0" w:rsidRDefault="00CA23D0" w:rsidP="00CA23D0">
      <w:pPr>
        <w:pStyle w:val="Zkladntext"/>
        <w:spacing w:before="120" w:after="0" w:line="288" w:lineRule="auto"/>
        <w:jc w:val="both"/>
        <w:rPr>
          <w:rFonts w:ascii="Arial" w:hAnsi="Arial" w:cs="Arial"/>
          <w:b/>
          <w:bCs/>
          <w:caps/>
          <w:sz w:val="22"/>
          <w:szCs w:val="22"/>
        </w:rPr>
      </w:pPr>
      <w:r w:rsidRPr="00E30642">
        <w:rPr>
          <w:rFonts w:ascii="Arial" w:hAnsi="Arial" w:cs="Arial"/>
          <w:b/>
          <w:bCs/>
          <w:caps/>
          <w:sz w:val="22"/>
          <w:szCs w:val="22"/>
        </w:rPr>
        <w:t>Toky ve správě SMS Ústí nad Labem</w:t>
      </w:r>
    </w:p>
    <w:p w14:paraId="39228FB8" w14:textId="77777777" w:rsidR="00D3579D" w:rsidRPr="00E30642" w:rsidRDefault="00D3579D" w:rsidP="00CA23D0">
      <w:pPr>
        <w:pStyle w:val="Zkladntext"/>
        <w:spacing w:before="120" w:after="0" w:line="288" w:lineRule="auto"/>
        <w:jc w:val="both"/>
        <w:rPr>
          <w:rFonts w:ascii="Arial" w:hAnsi="Arial" w:cs="Arial"/>
          <w:sz w:val="22"/>
          <w:szCs w:val="22"/>
        </w:rPr>
      </w:pPr>
    </w:p>
    <w:p w14:paraId="7DF0532B"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Většina toků ve správě, Státní meliorační správy Ústí nad Labem je bezejmenná, uvádějí se tedy dle registračních čísel správce. Z  větších toků je ve správě SMS horní část Chrochvického potoka.</w:t>
      </w:r>
    </w:p>
    <w:p w14:paraId="07B383D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Chrochvický potok horní část:</w:t>
      </w:r>
      <w:r w:rsidRPr="00E30642">
        <w:rPr>
          <w:rFonts w:ascii="Arial" w:hAnsi="Arial" w:cs="Arial"/>
          <w:sz w:val="22"/>
          <w:szCs w:val="22"/>
        </w:rPr>
        <w:t xml:space="preserve"> (č. 4) a bezejmenné přítoky 4A, 4B, 4C, 4D, 4E. Potoky jsou neupravené, nutná je údržba, kterou bude pročišťován průtočný profil.</w:t>
      </w:r>
    </w:p>
    <w:p w14:paraId="0CD5CC9D"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lastRenderedPageBreak/>
        <w:t>Potoky 4, 6 a 6A ve Vilnici</w:t>
      </w:r>
      <w:r w:rsidRPr="00E30642">
        <w:rPr>
          <w:rFonts w:ascii="Arial" w:hAnsi="Arial" w:cs="Arial"/>
          <w:sz w:val="22"/>
          <w:szCs w:val="22"/>
        </w:rPr>
        <w:t>: potoky špatně udržované zvláště na soukromých pozemcích. Nutné jsou periodické prohlídky, jako prevence předcházení povodňových situací. Navrhuje se zkapacitnění všech tří potoků zvláště v prostoru přes zástavbu.</w:t>
      </w:r>
    </w:p>
    <w:p w14:paraId="0117600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Potoky 33, 34, 35:</w:t>
      </w:r>
      <w:r w:rsidRPr="00E30642">
        <w:rPr>
          <w:rFonts w:ascii="Arial" w:hAnsi="Arial" w:cs="Arial"/>
          <w:sz w:val="22"/>
          <w:szCs w:val="22"/>
        </w:rPr>
        <w:t xml:space="preserve"> stékají z  úbočí Chlumu před Starým Městem do Labe. Toky jsou neupravené, potřebná je běžná údržba.</w:t>
      </w:r>
    </w:p>
    <w:p w14:paraId="78CBC0D6"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Potoky 37, 38:</w:t>
      </w:r>
      <w:r w:rsidRPr="00E30642">
        <w:rPr>
          <w:rFonts w:ascii="Arial" w:hAnsi="Arial" w:cs="Arial"/>
          <w:sz w:val="22"/>
          <w:szCs w:val="22"/>
        </w:rPr>
        <w:t xml:space="preserve"> pod zastávku ČD v Křešicích. Toky jsou neupravené, úprava se nenavrhuje. Nutná je údržba průtočného profilu.</w:t>
      </w:r>
    </w:p>
    <w:p w14:paraId="3BB1B8D8"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Potok 39 s  přítokem 42:</w:t>
      </w:r>
      <w:r w:rsidRPr="00E30642">
        <w:rPr>
          <w:rFonts w:ascii="Arial" w:hAnsi="Arial" w:cs="Arial"/>
          <w:sz w:val="22"/>
          <w:szCs w:val="22"/>
        </w:rPr>
        <w:t xml:space="preserve"> toky neupravené. Potok č.39 přes Křešice je zatrubněn (max. DN 500), což je málo kapacitní. Pro snížení kulminačních průtoků se v horní části toku navrhuje realizace retenčních přehrážek. Stávající přehrážka na soutoku obou toků vyžaduje úpravy.</w:t>
      </w:r>
    </w:p>
    <w:p w14:paraId="2C0D197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Potoky 43, 45, 46, 47:</w:t>
      </w:r>
      <w:r w:rsidRPr="00E30642">
        <w:rPr>
          <w:rFonts w:ascii="Arial" w:hAnsi="Arial" w:cs="Arial"/>
          <w:sz w:val="22"/>
          <w:szCs w:val="22"/>
        </w:rPr>
        <w:t xml:space="preserve"> neupravená koryta, zástavba není ve větší míře ohrožována. Nutná údržba všech těchto toků, kterou bude průtočný profil pročištěn a zprůchodněn.</w:t>
      </w:r>
    </w:p>
    <w:p w14:paraId="0D96289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Potoky 52A, 53B:</w:t>
      </w:r>
      <w:r w:rsidRPr="00E30642">
        <w:rPr>
          <w:rFonts w:ascii="Arial" w:hAnsi="Arial" w:cs="Arial"/>
          <w:sz w:val="22"/>
          <w:szCs w:val="22"/>
        </w:rPr>
        <w:t xml:space="preserve"> Mají neupravená koryta, potřebná pouze údržba.</w:t>
      </w:r>
    </w:p>
    <w:p w14:paraId="54A0249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Potok 50 s  přítokem 50A:</w:t>
      </w:r>
      <w:r w:rsidRPr="00E30642">
        <w:rPr>
          <w:rFonts w:ascii="Arial" w:hAnsi="Arial" w:cs="Arial"/>
          <w:sz w:val="22"/>
          <w:szCs w:val="22"/>
        </w:rPr>
        <w:t xml:space="preserve"> Toky neupravené. V místech průtoku přes zahrádky dochází ke svévolnému přehrazování koryt. Při velkých vodních stavech jsou přehrážky odplavovány a dochází k  ohrožení spodních nemovitostí podél potoka. Přehrazování je nutno zamezit. V sousedství nové navržené zástavby se navrhuje zkapacitnění koryta.</w:t>
      </w:r>
    </w:p>
    <w:p w14:paraId="1EA77DE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Potok 51:</w:t>
      </w:r>
      <w:r w:rsidRPr="00E30642">
        <w:rPr>
          <w:rFonts w:ascii="Arial" w:hAnsi="Arial" w:cs="Arial"/>
          <w:sz w:val="22"/>
          <w:szCs w:val="22"/>
        </w:rPr>
        <w:t xml:space="preserve"> Tok z  větší části je zatrubněn a plní úlohu HMZ. Nutná pouze běžná údržba.</w:t>
      </w:r>
    </w:p>
    <w:p w14:paraId="1A950B3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Všechny navržené úpravy se navrhují při použití především za použití přírodních materiálů s  citlivým začleněním do krajiny.</w:t>
      </w:r>
    </w:p>
    <w:p w14:paraId="62DBF4BA" w14:textId="77777777" w:rsidR="00CA23D0" w:rsidRDefault="00CA23D0" w:rsidP="00CA23D0">
      <w:pPr>
        <w:pStyle w:val="Zkladntext"/>
        <w:spacing w:before="120" w:after="0" w:line="288" w:lineRule="auto"/>
        <w:ind w:firstLine="708"/>
        <w:jc w:val="both"/>
        <w:rPr>
          <w:rFonts w:ascii="Arial" w:hAnsi="Arial" w:cs="Arial"/>
          <w:sz w:val="22"/>
          <w:szCs w:val="22"/>
        </w:rPr>
      </w:pPr>
    </w:p>
    <w:p w14:paraId="2B4862CE" w14:textId="77777777" w:rsidR="00D3579D" w:rsidRPr="00E30642" w:rsidRDefault="00D3579D" w:rsidP="00CA23D0">
      <w:pPr>
        <w:pStyle w:val="Zkladntext"/>
        <w:spacing w:before="120" w:after="0" w:line="288" w:lineRule="auto"/>
        <w:ind w:firstLine="708"/>
        <w:jc w:val="both"/>
        <w:rPr>
          <w:rFonts w:ascii="Arial" w:hAnsi="Arial" w:cs="Arial"/>
          <w:sz w:val="22"/>
          <w:szCs w:val="22"/>
        </w:rPr>
      </w:pPr>
    </w:p>
    <w:p w14:paraId="13034D82" w14:textId="77777777" w:rsidR="00CA23D0" w:rsidRPr="00E30642" w:rsidRDefault="00CA23D0" w:rsidP="00CA23D0">
      <w:pPr>
        <w:pStyle w:val="podnadpis2"/>
        <w:spacing w:line="240" w:lineRule="atLeast"/>
        <w:jc w:val="both"/>
        <w:rPr>
          <w:rFonts w:cs="Arial"/>
        </w:rPr>
      </w:pPr>
      <w:r w:rsidRPr="00E30642">
        <w:rPr>
          <w:rFonts w:cs="Arial"/>
        </w:rPr>
        <w:t>C.9.3. Vodní plochy</w:t>
      </w:r>
    </w:p>
    <w:p w14:paraId="00C13172"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Na území města Děčína lze mezi významné vodní plochy zařadit Zámecký rybník, Terezínský rybník, Vlčí jezero a rybníky v Maxičkách. Tyto nádrže mají především krajinotvornou funkci. Ostatní nádrže jsou malé a mají pouze místní význam. V přehledu se uvádějí vodní plochy s ohledem na podrobnost zpracování ÚPN s  výměrou větší než cca 600 m</w:t>
      </w:r>
      <w:r w:rsidRPr="00E30642">
        <w:rPr>
          <w:rFonts w:ascii="Arial" w:hAnsi="Arial" w:cs="Arial"/>
          <w:sz w:val="22"/>
          <w:szCs w:val="22"/>
          <w:vertAlign w:val="superscript"/>
        </w:rPr>
        <w:t>2</w:t>
      </w:r>
      <w:r w:rsidRPr="00E30642">
        <w:rPr>
          <w:rFonts w:ascii="Arial" w:hAnsi="Arial" w:cs="Arial"/>
          <w:sz w:val="22"/>
          <w:szCs w:val="22"/>
        </w:rPr>
        <w:t>, menší nádrže jsou pro území zcela bezvýznamné. S ohledem na význam byly na základě projednání zařazeny i některé nádrže s menší rozlohou.</w:t>
      </w:r>
    </w:p>
    <w:p w14:paraId="0E92A541" w14:textId="77777777" w:rsidR="00CA23D0" w:rsidRPr="00E30642" w:rsidRDefault="00CA23D0" w:rsidP="00CA23D0">
      <w:pPr>
        <w:pStyle w:val="Zkladntext"/>
        <w:spacing w:line="240" w:lineRule="atLeast"/>
        <w:jc w:val="both"/>
        <w:rPr>
          <w:rFonts w:ascii="Arial" w:hAnsi="Arial" w:cs="Arial"/>
        </w:rPr>
      </w:pPr>
    </w:p>
    <w:p w14:paraId="2ADA62FE" w14:textId="77777777" w:rsidR="00CA23D0" w:rsidRPr="00E30642" w:rsidRDefault="00CA23D0" w:rsidP="00CA23D0">
      <w:pPr>
        <w:pStyle w:val="Zkladntext"/>
        <w:spacing w:line="240" w:lineRule="atLeast"/>
        <w:jc w:val="both"/>
        <w:rPr>
          <w:rFonts w:ascii="Arial" w:hAnsi="Arial" w:cs="Arial"/>
        </w:rPr>
      </w:pPr>
      <w:r w:rsidRPr="00E30642">
        <w:rPr>
          <w:rFonts w:ascii="Arial" w:hAnsi="Arial" w:cs="Arial"/>
          <w:b/>
          <w:bCs/>
          <w:caps/>
          <w:sz w:val="18"/>
          <w:szCs w:val="18"/>
        </w:rPr>
        <w:t>Přehled hlavních vodních ploch s  návrhem úprav a funkčního využití</w:t>
      </w:r>
    </w:p>
    <w:tbl>
      <w:tblPr>
        <w:tblW w:w="0" w:type="auto"/>
        <w:jc w:val="center"/>
        <w:tblLayout w:type="fixed"/>
        <w:tblCellMar>
          <w:left w:w="70" w:type="dxa"/>
          <w:right w:w="70" w:type="dxa"/>
        </w:tblCellMar>
        <w:tblLook w:val="0000" w:firstRow="0" w:lastRow="0" w:firstColumn="0" w:lastColumn="0" w:noHBand="0" w:noVBand="0"/>
      </w:tblPr>
      <w:tblGrid>
        <w:gridCol w:w="941"/>
        <w:gridCol w:w="668"/>
        <w:gridCol w:w="696"/>
        <w:gridCol w:w="1636"/>
        <w:gridCol w:w="1132"/>
        <w:gridCol w:w="3245"/>
      </w:tblGrid>
      <w:tr w:rsidR="00CA23D0" w:rsidRPr="00E30642" w14:paraId="73B923C8"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171467FB" w14:textId="77777777" w:rsidR="00CA23D0" w:rsidRPr="00D3579D" w:rsidRDefault="00CA23D0" w:rsidP="00CA23D0">
            <w:pPr>
              <w:pStyle w:val="Texttabulky"/>
              <w:spacing w:line="240" w:lineRule="atLeast"/>
              <w:jc w:val="both"/>
              <w:rPr>
                <w:rFonts w:cs="Arial"/>
                <w:sz w:val="18"/>
              </w:rPr>
            </w:pPr>
            <w:r w:rsidRPr="00D3579D">
              <w:rPr>
                <w:rFonts w:cs="Arial"/>
                <w:b/>
                <w:bCs/>
                <w:sz w:val="18"/>
              </w:rPr>
              <w:t>K. Ú.</w:t>
            </w:r>
          </w:p>
        </w:tc>
        <w:tc>
          <w:tcPr>
            <w:tcW w:w="668" w:type="dxa"/>
            <w:tcBorders>
              <w:top w:val="single" w:sz="6" w:space="0" w:color="auto"/>
              <w:left w:val="single" w:sz="6" w:space="0" w:color="auto"/>
              <w:bottom w:val="single" w:sz="6" w:space="0" w:color="auto"/>
              <w:right w:val="single" w:sz="6" w:space="0" w:color="auto"/>
            </w:tcBorders>
          </w:tcPr>
          <w:p w14:paraId="04E5BEC6" w14:textId="77777777" w:rsidR="00CA23D0" w:rsidRPr="00D3579D" w:rsidRDefault="00CA23D0" w:rsidP="00CA23D0">
            <w:pPr>
              <w:pStyle w:val="Texttabulky"/>
              <w:spacing w:line="240" w:lineRule="atLeast"/>
              <w:jc w:val="both"/>
              <w:rPr>
                <w:rFonts w:cs="Arial"/>
                <w:sz w:val="18"/>
              </w:rPr>
            </w:pPr>
            <w:r w:rsidRPr="00D3579D">
              <w:rPr>
                <w:rFonts w:cs="Arial"/>
                <w:b/>
                <w:bCs/>
                <w:sz w:val="18"/>
              </w:rPr>
              <w:t>parcelní číslo</w:t>
            </w:r>
          </w:p>
        </w:tc>
        <w:tc>
          <w:tcPr>
            <w:tcW w:w="696" w:type="dxa"/>
            <w:tcBorders>
              <w:top w:val="single" w:sz="6" w:space="0" w:color="auto"/>
              <w:left w:val="single" w:sz="6" w:space="0" w:color="auto"/>
              <w:bottom w:val="single" w:sz="6" w:space="0" w:color="auto"/>
              <w:right w:val="single" w:sz="6" w:space="0" w:color="auto"/>
            </w:tcBorders>
          </w:tcPr>
          <w:p w14:paraId="7CD45EB2" w14:textId="77777777" w:rsidR="00CA23D0" w:rsidRPr="00D3579D" w:rsidRDefault="00CA23D0" w:rsidP="00CA23D0">
            <w:pPr>
              <w:pStyle w:val="Texttabulky"/>
              <w:spacing w:line="240" w:lineRule="atLeast"/>
              <w:jc w:val="both"/>
              <w:rPr>
                <w:rFonts w:cs="Arial"/>
                <w:sz w:val="18"/>
              </w:rPr>
            </w:pPr>
            <w:r w:rsidRPr="00D3579D">
              <w:rPr>
                <w:rFonts w:cs="Arial"/>
                <w:b/>
                <w:bCs/>
                <w:sz w:val="18"/>
              </w:rPr>
              <w:t>výměra m2</w:t>
            </w:r>
          </w:p>
        </w:tc>
        <w:tc>
          <w:tcPr>
            <w:tcW w:w="1636" w:type="dxa"/>
            <w:tcBorders>
              <w:top w:val="single" w:sz="6" w:space="0" w:color="auto"/>
              <w:left w:val="single" w:sz="6" w:space="0" w:color="auto"/>
              <w:bottom w:val="single" w:sz="6" w:space="0" w:color="auto"/>
              <w:right w:val="single" w:sz="6" w:space="0" w:color="auto"/>
            </w:tcBorders>
          </w:tcPr>
          <w:p w14:paraId="7A41D406" w14:textId="77777777" w:rsidR="00CA23D0" w:rsidRPr="00D3579D" w:rsidRDefault="00CA23D0" w:rsidP="00CA23D0">
            <w:pPr>
              <w:pStyle w:val="Texttabulky"/>
              <w:spacing w:line="240" w:lineRule="atLeast"/>
              <w:jc w:val="both"/>
              <w:rPr>
                <w:rFonts w:cs="Arial"/>
                <w:sz w:val="18"/>
              </w:rPr>
            </w:pPr>
            <w:r w:rsidRPr="00D3579D">
              <w:rPr>
                <w:rFonts w:cs="Arial"/>
                <w:b/>
                <w:bCs/>
                <w:sz w:val="18"/>
              </w:rPr>
              <w:t>název, charakter</w:t>
            </w:r>
          </w:p>
        </w:tc>
        <w:tc>
          <w:tcPr>
            <w:tcW w:w="1132" w:type="dxa"/>
            <w:tcBorders>
              <w:top w:val="single" w:sz="6" w:space="0" w:color="auto"/>
              <w:left w:val="single" w:sz="6" w:space="0" w:color="auto"/>
              <w:bottom w:val="single" w:sz="6" w:space="0" w:color="auto"/>
              <w:right w:val="single" w:sz="6" w:space="0" w:color="auto"/>
            </w:tcBorders>
          </w:tcPr>
          <w:p w14:paraId="4A6FEE6E" w14:textId="77777777" w:rsidR="00CA23D0" w:rsidRPr="00D3579D" w:rsidRDefault="00CA23D0" w:rsidP="00CA23D0">
            <w:pPr>
              <w:pStyle w:val="Texttabulky"/>
              <w:spacing w:line="240" w:lineRule="atLeast"/>
              <w:jc w:val="both"/>
              <w:rPr>
                <w:rFonts w:cs="Arial"/>
                <w:sz w:val="18"/>
              </w:rPr>
            </w:pPr>
            <w:r w:rsidRPr="00D3579D">
              <w:rPr>
                <w:rFonts w:cs="Arial"/>
                <w:b/>
                <w:bCs/>
                <w:sz w:val="18"/>
              </w:rPr>
              <w:t>vlastník</w:t>
            </w:r>
          </w:p>
        </w:tc>
        <w:tc>
          <w:tcPr>
            <w:tcW w:w="3245" w:type="dxa"/>
            <w:tcBorders>
              <w:top w:val="single" w:sz="6" w:space="0" w:color="auto"/>
              <w:left w:val="single" w:sz="6" w:space="0" w:color="auto"/>
              <w:bottom w:val="single" w:sz="6" w:space="0" w:color="auto"/>
              <w:right w:val="single" w:sz="6" w:space="0" w:color="auto"/>
            </w:tcBorders>
          </w:tcPr>
          <w:p w14:paraId="431ABC5D" w14:textId="77777777" w:rsidR="00CA23D0" w:rsidRPr="00D3579D" w:rsidRDefault="00CA23D0" w:rsidP="00CA23D0">
            <w:pPr>
              <w:pStyle w:val="Texttabulky"/>
              <w:spacing w:line="240" w:lineRule="atLeast"/>
              <w:jc w:val="both"/>
              <w:rPr>
                <w:rFonts w:cs="Arial"/>
                <w:sz w:val="18"/>
              </w:rPr>
            </w:pPr>
            <w:r w:rsidRPr="00D3579D">
              <w:rPr>
                <w:rFonts w:cs="Arial"/>
                <w:b/>
                <w:bCs/>
                <w:sz w:val="18"/>
              </w:rPr>
              <w:t>návrh úprav a funkčního využití</w:t>
            </w:r>
          </w:p>
        </w:tc>
      </w:tr>
      <w:tr w:rsidR="00CA23D0" w:rsidRPr="00E30642" w14:paraId="070AAACC"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209EB45B" w14:textId="77777777" w:rsidR="00CA23D0" w:rsidRPr="00D3579D" w:rsidRDefault="00CA23D0" w:rsidP="00CA23D0">
            <w:pPr>
              <w:pStyle w:val="Texttabulky"/>
              <w:spacing w:line="240" w:lineRule="atLeast"/>
              <w:jc w:val="both"/>
              <w:rPr>
                <w:rFonts w:cs="Arial"/>
                <w:sz w:val="18"/>
              </w:rPr>
            </w:pPr>
            <w:r w:rsidRPr="00D3579D">
              <w:rPr>
                <w:rFonts w:cs="Arial"/>
                <w:b/>
                <w:bCs/>
                <w:sz w:val="18"/>
              </w:rPr>
              <w:t>Děčín</w:t>
            </w:r>
          </w:p>
        </w:tc>
        <w:tc>
          <w:tcPr>
            <w:tcW w:w="668" w:type="dxa"/>
            <w:tcBorders>
              <w:top w:val="single" w:sz="6" w:space="0" w:color="auto"/>
              <w:left w:val="single" w:sz="6" w:space="0" w:color="auto"/>
              <w:bottom w:val="single" w:sz="6" w:space="0" w:color="auto"/>
              <w:right w:val="single" w:sz="6" w:space="0" w:color="auto"/>
            </w:tcBorders>
          </w:tcPr>
          <w:p w14:paraId="0379D4EA" w14:textId="77777777" w:rsidR="00CA23D0" w:rsidRPr="00D3579D" w:rsidRDefault="00CA23D0" w:rsidP="00CA23D0">
            <w:pPr>
              <w:pStyle w:val="Texttabulky"/>
              <w:spacing w:line="240" w:lineRule="atLeast"/>
              <w:jc w:val="both"/>
              <w:rPr>
                <w:rFonts w:cs="Arial"/>
                <w:sz w:val="18"/>
              </w:rPr>
            </w:pPr>
            <w:r w:rsidRPr="00D3579D">
              <w:rPr>
                <w:rFonts w:cs="Arial"/>
                <w:sz w:val="18"/>
              </w:rPr>
              <w:t>2 819</w:t>
            </w:r>
          </w:p>
        </w:tc>
        <w:tc>
          <w:tcPr>
            <w:tcW w:w="696" w:type="dxa"/>
            <w:tcBorders>
              <w:top w:val="single" w:sz="6" w:space="0" w:color="auto"/>
              <w:left w:val="single" w:sz="6" w:space="0" w:color="auto"/>
              <w:bottom w:val="single" w:sz="6" w:space="0" w:color="auto"/>
              <w:right w:val="single" w:sz="6" w:space="0" w:color="auto"/>
            </w:tcBorders>
          </w:tcPr>
          <w:p w14:paraId="73E9BDEA" w14:textId="77777777" w:rsidR="00CA23D0" w:rsidRPr="00D3579D" w:rsidRDefault="00CA23D0" w:rsidP="00CA23D0">
            <w:pPr>
              <w:pStyle w:val="Texttabulky"/>
              <w:spacing w:line="240" w:lineRule="atLeast"/>
              <w:jc w:val="both"/>
              <w:rPr>
                <w:rFonts w:cs="Arial"/>
                <w:sz w:val="18"/>
              </w:rPr>
            </w:pPr>
            <w:r w:rsidRPr="00D3579D">
              <w:rPr>
                <w:rFonts w:cs="Arial"/>
                <w:sz w:val="18"/>
              </w:rPr>
              <w:t>1 608</w:t>
            </w:r>
          </w:p>
        </w:tc>
        <w:tc>
          <w:tcPr>
            <w:tcW w:w="1636" w:type="dxa"/>
            <w:tcBorders>
              <w:top w:val="single" w:sz="6" w:space="0" w:color="auto"/>
              <w:left w:val="single" w:sz="6" w:space="0" w:color="auto"/>
              <w:bottom w:val="single" w:sz="6" w:space="0" w:color="auto"/>
              <w:right w:val="single" w:sz="6" w:space="0" w:color="auto"/>
            </w:tcBorders>
          </w:tcPr>
          <w:p w14:paraId="6927C0F4" w14:textId="77777777" w:rsidR="00CA23D0" w:rsidRPr="00D3579D" w:rsidRDefault="00CA23D0" w:rsidP="00CA23D0">
            <w:pPr>
              <w:pStyle w:val="Texttabulky"/>
              <w:spacing w:line="240" w:lineRule="atLeast"/>
              <w:jc w:val="both"/>
              <w:rPr>
                <w:rFonts w:cs="Arial"/>
                <w:sz w:val="18"/>
              </w:rPr>
            </w:pPr>
            <w:r w:rsidRPr="00D3579D">
              <w:rPr>
                <w:rFonts w:cs="Arial"/>
                <w:sz w:val="18"/>
              </w:rPr>
              <w:t>vodní nádrž "Hřbitovní ul"</w:t>
            </w:r>
          </w:p>
        </w:tc>
        <w:tc>
          <w:tcPr>
            <w:tcW w:w="1132" w:type="dxa"/>
            <w:tcBorders>
              <w:top w:val="single" w:sz="6" w:space="0" w:color="auto"/>
              <w:left w:val="single" w:sz="6" w:space="0" w:color="auto"/>
              <w:bottom w:val="single" w:sz="6" w:space="0" w:color="auto"/>
              <w:right w:val="single" w:sz="6" w:space="0" w:color="auto"/>
            </w:tcBorders>
          </w:tcPr>
          <w:p w14:paraId="35222FBA" w14:textId="77777777" w:rsidR="00CA23D0" w:rsidRPr="00D3579D" w:rsidRDefault="00CA23D0" w:rsidP="00CA23D0">
            <w:pPr>
              <w:pStyle w:val="Texttabulky"/>
              <w:spacing w:line="240" w:lineRule="atLeast"/>
              <w:jc w:val="both"/>
              <w:rPr>
                <w:rFonts w:cs="Arial"/>
                <w:sz w:val="18"/>
              </w:rPr>
            </w:pPr>
            <w:r w:rsidRPr="00D3579D">
              <w:rPr>
                <w:rFonts w:cs="Arial"/>
                <w:sz w:val="18"/>
              </w:rPr>
              <w:t>Pozemkový fond ČR</w:t>
            </w:r>
          </w:p>
        </w:tc>
        <w:tc>
          <w:tcPr>
            <w:tcW w:w="3245" w:type="dxa"/>
            <w:tcBorders>
              <w:top w:val="single" w:sz="6" w:space="0" w:color="auto"/>
              <w:left w:val="single" w:sz="6" w:space="0" w:color="auto"/>
              <w:bottom w:val="single" w:sz="6" w:space="0" w:color="auto"/>
              <w:right w:val="single" w:sz="6" w:space="0" w:color="auto"/>
            </w:tcBorders>
          </w:tcPr>
          <w:p w14:paraId="7B8DB94D" w14:textId="77777777" w:rsidR="00CA23D0" w:rsidRPr="00D3579D" w:rsidRDefault="00CA23D0" w:rsidP="00CA23D0">
            <w:pPr>
              <w:pStyle w:val="Texttabulky"/>
              <w:spacing w:line="240" w:lineRule="atLeast"/>
              <w:jc w:val="both"/>
              <w:rPr>
                <w:rFonts w:cs="Arial"/>
                <w:sz w:val="18"/>
              </w:rPr>
            </w:pPr>
            <w:r w:rsidRPr="00D3579D">
              <w:rPr>
                <w:rFonts w:cs="Arial"/>
                <w:sz w:val="18"/>
              </w:rPr>
              <w:t>nádrž vyžaduje odbahnění, odběr pro závlahu TS</w:t>
            </w:r>
          </w:p>
        </w:tc>
      </w:tr>
      <w:tr w:rsidR="00CA23D0" w:rsidRPr="00E30642" w14:paraId="44BDC42B"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3F471645" w14:textId="77777777" w:rsidR="00CA23D0" w:rsidRPr="00D3579D" w:rsidRDefault="00CA23D0" w:rsidP="00CA23D0">
            <w:pPr>
              <w:pStyle w:val="Texttabulky"/>
              <w:spacing w:line="240" w:lineRule="atLeast"/>
              <w:jc w:val="both"/>
              <w:rPr>
                <w:rFonts w:cs="Arial"/>
                <w:sz w:val="18"/>
              </w:rPr>
            </w:pPr>
            <w:r w:rsidRPr="00D3579D">
              <w:rPr>
                <w:rFonts w:cs="Arial"/>
                <w:b/>
                <w:bCs/>
                <w:sz w:val="18"/>
              </w:rPr>
              <w:t>Děčín</w:t>
            </w:r>
          </w:p>
        </w:tc>
        <w:tc>
          <w:tcPr>
            <w:tcW w:w="668" w:type="dxa"/>
            <w:tcBorders>
              <w:top w:val="single" w:sz="6" w:space="0" w:color="auto"/>
              <w:left w:val="single" w:sz="6" w:space="0" w:color="auto"/>
              <w:bottom w:val="single" w:sz="6" w:space="0" w:color="auto"/>
              <w:right w:val="single" w:sz="6" w:space="0" w:color="auto"/>
            </w:tcBorders>
          </w:tcPr>
          <w:p w14:paraId="252E3DD1" w14:textId="77777777" w:rsidR="00CA23D0" w:rsidRPr="00D3579D" w:rsidRDefault="00CA23D0" w:rsidP="00CA23D0">
            <w:pPr>
              <w:pStyle w:val="Texttabulky"/>
              <w:spacing w:line="240" w:lineRule="atLeast"/>
              <w:jc w:val="both"/>
              <w:rPr>
                <w:rFonts w:cs="Arial"/>
                <w:sz w:val="18"/>
              </w:rPr>
            </w:pPr>
            <w:r w:rsidRPr="00D3579D">
              <w:rPr>
                <w:rFonts w:cs="Arial"/>
                <w:sz w:val="18"/>
              </w:rPr>
              <w:t>2 824</w:t>
            </w:r>
          </w:p>
        </w:tc>
        <w:tc>
          <w:tcPr>
            <w:tcW w:w="696" w:type="dxa"/>
            <w:tcBorders>
              <w:top w:val="single" w:sz="6" w:space="0" w:color="auto"/>
              <w:left w:val="single" w:sz="6" w:space="0" w:color="auto"/>
              <w:bottom w:val="single" w:sz="6" w:space="0" w:color="auto"/>
              <w:right w:val="single" w:sz="6" w:space="0" w:color="auto"/>
            </w:tcBorders>
          </w:tcPr>
          <w:p w14:paraId="7A065237" w14:textId="77777777" w:rsidR="00CA23D0" w:rsidRPr="00D3579D" w:rsidRDefault="00CA23D0" w:rsidP="00CA23D0">
            <w:pPr>
              <w:pStyle w:val="Texttabulky"/>
              <w:spacing w:line="240" w:lineRule="atLeast"/>
              <w:jc w:val="both"/>
              <w:rPr>
                <w:rFonts w:cs="Arial"/>
                <w:sz w:val="18"/>
              </w:rPr>
            </w:pPr>
            <w:r w:rsidRPr="00D3579D">
              <w:rPr>
                <w:rFonts w:cs="Arial"/>
                <w:sz w:val="18"/>
              </w:rPr>
              <w:t>1 720</w:t>
            </w:r>
          </w:p>
        </w:tc>
        <w:tc>
          <w:tcPr>
            <w:tcW w:w="1636" w:type="dxa"/>
            <w:tcBorders>
              <w:top w:val="single" w:sz="6" w:space="0" w:color="auto"/>
              <w:left w:val="single" w:sz="6" w:space="0" w:color="auto"/>
              <w:bottom w:val="single" w:sz="6" w:space="0" w:color="auto"/>
              <w:right w:val="single" w:sz="6" w:space="0" w:color="auto"/>
            </w:tcBorders>
          </w:tcPr>
          <w:p w14:paraId="5F8CF945" w14:textId="77777777" w:rsidR="00CA23D0" w:rsidRPr="00D3579D" w:rsidRDefault="00CA23D0" w:rsidP="00CA23D0">
            <w:pPr>
              <w:pStyle w:val="Texttabulky"/>
              <w:spacing w:line="240" w:lineRule="atLeast"/>
              <w:jc w:val="both"/>
              <w:rPr>
                <w:rFonts w:cs="Arial"/>
                <w:sz w:val="18"/>
              </w:rPr>
            </w:pPr>
            <w:r w:rsidRPr="00D3579D">
              <w:rPr>
                <w:rFonts w:cs="Arial"/>
                <w:sz w:val="18"/>
              </w:rPr>
              <w:t>Vodní nádrž pod Kamenickou ul.</w:t>
            </w:r>
          </w:p>
        </w:tc>
        <w:tc>
          <w:tcPr>
            <w:tcW w:w="1132" w:type="dxa"/>
            <w:tcBorders>
              <w:top w:val="single" w:sz="6" w:space="0" w:color="auto"/>
              <w:left w:val="single" w:sz="6" w:space="0" w:color="auto"/>
              <w:bottom w:val="single" w:sz="6" w:space="0" w:color="auto"/>
              <w:right w:val="single" w:sz="6" w:space="0" w:color="auto"/>
            </w:tcBorders>
          </w:tcPr>
          <w:p w14:paraId="3E43BE7B" w14:textId="77777777" w:rsidR="00CA23D0" w:rsidRPr="00D3579D" w:rsidRDefault="00CA23D0" w:rsidP="00CA23D0">
            <w:pPr>
              <w:pStyle w:val="Texttabulky"/>
              <w:spacing w:line="240" w:lineRule="atLeast"/>
              <w:jc w:val="both"/>
              <w:rPr>
                <w:rFonts w:cs="Arial"/>
                <w:sz w:val="18"/>
              </w:rPr>
            </w:pPr>
            <w:r w:rsidRPr="00D3579D">
              <w:rPr>
                <w:rFonts w:cs="Arial"/>
                <w:sz w:val="18"/>
              </w:rPr>
              <w:t>Město Děčín</w:t>
            </w:r>
          </w:p>
        </w:tc>
        <w:tc>
          <w:tcPr>
            <w:tcW w:w="3245" w:type="dxa"/>
            <w:tcBorders>
              <w:top w:val="single" w:sz="6" w:space="0" w:color="auto"/>
              <w:left w:val="single" w:sz="6" w:space="0" w:color="auto"/>
              <w:bottom w:val="single" w:sz="6" w:space="0" w:color="auto"/>
              <w:right w:val="single" w:sz="6" w:space="0" w:color="auto"/>
            </w:tcBorders>
          </w:tcPr>
          <w:p w14:paraId="47EF5C89" w14:textId="77777777" w:rsidR="00CA23D0" w:rsidRPr="00D3579D" w:rsidRDefault="00CA23D0" w:rsidP="00CA23D0">
            <w:pPr>
              <w:pStyle w:val="Texttabulky"/>
              <w:spacing w:line="240" w:lineRule="atLeast"/>
              <w:jc w:val="both"/>
              <w:rPr>
                <w:rFonts w:cs="Arial"/>
                <w:sz w:val="18"/>
              </w:rPr>
            </w:pPr>
            <w:r w:rsidRPr="00D3579D">
              <w:rPr>
                <w:rFonts w:cs="Arial"/>
                <w:sz w:val="18"/>
              </w:rPr>
              <w:t>odběr pro zahrádky</w:t>
            </w:r>
          </w:p>
        </w:tc>
      </w:tr>
      <w:tr w:rsidR="00CA23D0" w:rsidRPr="00E30642" w14:paraId="683E12E4"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3F1B7BA4" w14:textId="77777777" w:rsidR="00CA23D0" w:rsidRPr="00D3579D" w:rsidRDefault="00CA23D0" w:rsidP="00CA23D0">
            <w:pPr>
              <w:pStyle w:val="Texttabulky"/>
              <w:spacing w:line="240" w:lineRule="atLeast"/>
              <w:jc w:val="both"/>
              <w:rPr>
                <w:rFonts w:cs="Arial"/>
                <w:sz w:val="18"/>
              </w:rPr>
            </w:pPr>
            <w:r w:rsidRPr="00D3579D">
              <w:rPr>
                <w:rFonts w:cs="Arial"/>
                <w:b/>
                <w:bCs/>
                <w:sz w:val="18"/>
              </w:rPr>
              <w:lastRenderedPageBreak/>
              <w:t>Děčín</w:t>
            </w:r>
          </w:p>
        </w:tc>
        <w:tc>
          <w:tcPr>
            <w:tcW w:w="668" w:type="dxa"/>
            <w:tcBorders>
              <w:top w:val="single" w:sz="6" w:space="0" w:color="auto"/>
              <w:left w:val="single" w:sz="6" w:space="0" w:color="auto"/>
              <w:bottom w:val="single" w:sz="6" w:space="0" w:color="auto"/>
              <w:right w:val="single" w:sz="6" w:space="0" w:color="auto"/>
            </w:tcBorders>
          </w:tcPr>
          <w:p w14:paraId="1C630A23" w14:textId="77777777" w:rsidR="00CA23D0" w:rsidRPr="00D3579D" w:rsidRDefault="00CA23D0" w:rsidP="00CA23D0">
            <w:pPr>
              <w:pStyle w:val="Texttabulky"/>
              <w:spacing w:line="240" w:lineRule="atLeast"/>
              <w:jc w:val="both"/>
              <w:rPr>
                <w:rFonts w:cs="Arial"/>
                <w:sz w:val="18"/>
              </w:rPr>
            </w:pPr>
            <w:r w:rsidRPr="00D3579D">
              <w:rPr>
                <w:rFonts w:cs="Arial"/>
                <w:sz w:val="18"/>
              </w:rPr>
              <w:t>2 294</w:t>
            </w:r>
          </w:p>
        </w:tc>
        <w:tc>
          <w:tcPr>
            <w:tcW w:w="696" w:type="dxa"/>
            <w:tcBorders>
              <w:top w:val="single" w:sz="6" w:space="0" w:color="auto"/>
              <w:left w:val="single" w:sz="6" w:space="0" w:color="auto"/>
              <w:bottom w:val="single" w:sz="6" w:space="0" w:color="auto"/>
              <w:right w:val="single" w:sz="6" w:space="0" w:color="auto"/>
            </w:tcBorders>
          </w:tcPr>
          <w:p w14:paraId="1E88A61A" w14:textId="77777777" w:rsidR="00CA23D0" w:rsidRPr="00D3579D" w:rsidRDefault="00CA23D0" w:rsidP="00CA23D0">
            <w:pPr>
              <w:pStyle w:val="Texttabulky"/>
              <w:spacing w:line="240" w:lineRule="atLeast"/>
              <w:jc w:val="both"/>
              <w:rPr>
                <w:rFonts w:cs="Arial"/>
                <w:sz w:val="18"/>
              </w:rPr>
            </w:pPr>
            <w:r w:rsidRPr="00D3579D">
              <w:rPr>
                <w:rFonts w:cs="Arial"/>
                <w:sz w:val="18"/>
              </w:rPr>
              <w:t>19 535</w:t>
            </w:r>
          </w:p>
        </w:tc>
        <w:tc>
          <w:tcPr>
            <w:tcW w:w="1636" w:type="dxa"/>
            <w:tcBorders>
              <w:top w:val="single" w:sz="6" w:space="0" w:color="auto"/>
              <w:left w:val="single" w:sz="6" w:space="0" w:color="auto"/>
              <w:bottom w:val="single" w:sz="6" w:space="0" w:color="auto"/>
              <w:right w:val="single" w:sz="6" w:space="0" w:color="auto"/>
            </w:tcBorders>
          </w:tcPr>
          <w:p w14:paraId="7B58EE8F" w14:textId="77777777" w:rsidR="00CA23D0" w:rsidRPr="00D3579D" w:rsidRDefault="00CA23D0" w:rsidP="00CA23D0">
            <w:pPr>
              <w:pStyle w:val="Texttabulky"/>
              <w:spacing w:line="240" w:lineRule="atLeast"/>
              <w:jc w:val="both"/>
              <w:rPr>
                <w:rFonts w:cs="Arial"/>
                <w:sz w:val="18"/>
              </w:rPr>
            </w:pPr>
            <w:r w:rsidRPr="00D3579D">
              <w:rPr>
                <w:rFonts w:cs="Arial"/>
                <w:sz w:val="18"/>
              </w:rPr>
              <w:t>Zámecký rybník</w:t>
            </w:r>
          </w:p>
        </w:tc>
        <w:tc>
          <w:tcPr>
            <w:tcW w:w="1132" w:type="dxa"/>
            <w:tcBorders>
              <w:top w:val="single" w:sz="6" w:space="0" w:color="auto"/>
              <w:left w:val="single" w:sz="6" w:space="0" w:color="auto"/>
              <w:bottom w:val="single" w:sz="6" w:space="0" w:color="auto"/>
              <w:right w:val="single" w:sz="6" w:space="0" w:color="auto"/>
            </w:tcBorders>
          </w:tcPr>
          <w:p w14:paraId="1DC4F038" w14:textId="77777777" w:rsidR="00CA23D0" w:rsidRPr="00D3579D" w:rsidRDefault="00CA23D0" w:rsidP="00CA23D0">
            <w:pPr>
              <w:pStyle w:val="Texttabulky"/>
              <w:spacing w:line="240" w:lineRule="atLeast"/>
              <w:jc w:val="both"/>
              <w:rPr>
                <w:rFonts w:cs="Arial"/>
                <w:sz w:val="18"/>
              </w:rPr>
            </w:pPr>
            <w:r w:rsidRPr="00D3579D">
              <w:rPr>
                <w:rFonts w:cs="Arial"/>
                <w:sz w:val="18"/>
              </w:rPr>
              <w:t>Město Děčín</w:t>
            </w:r>
          </w:p>
        </w:tc>
        <w:tc>
          <w:tcPr>
            <w:tcW w:w="3245" w:type="dxa"/>
            <w:tcBorders>
              <w:top w:val="single" w:sz="6" w:space="0" w:color="auto"/>
              <w:left w:val="single" w:sz="6" w:space="0" w:color="auto"/>
              <w:bottom w:val="single" w:sz="6" w:space="0" w:color="auto"/>
              <w:right w:val="single" w:sz="6" w:space="0" w:color="auto"/>
            </w:tcBorders>
          </w:tcPr>
          <w:p w14:paraId="27404905" w14:textId="77777777" w:rsidR="00CA23D0" w:rsidRPr="00D3579D" w:rsidRDefault="00CA23D0" w:rsidP="00CA23D0">
            <w:pPr>
              <w:pStyle w:val="Texttabulky"/>
              <w:spacing w:line="240" w:lineRule="atLeast"/>
              <w:jc w:val="both"/>
              <w:rPr>
                <w:rFonts w:cs="Arial"/>
                <w:sz w:val="18"/>
              </w:rPr>
            </w:pPr>
            <w:r w:rsidRPr="00D3579D">
              <w:rPr>
                <w:rFonts w:cs="Arial"/>
                <w:sz w:val="18"/>
              </w:rPr>
              <w:t>rybník opravený (1999) odbahnění, těsnění hráze, funkce okrasná</w:t>
            </w:r>
          </w:p>
        </w:tc>
      </w:tr>
      <w:tr w:rsidR="00CA23D0" w:rsidRPr="00E30642" w14:paraId="45E17C43"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30679902" w14:textId="77777777" w:rsidR="00CA23D0" w:rsidRPr="00D3579D" w:rsidRDefault="00CA23D0" w:rsidP="00CA23D0">
            <w:pPr>
              <w:pStyle w:val="Texttabulky"/>
              <w:spacing w:line="240" w:lineRule="atLeast"/>
              <w:jc w:val="both"/>
              <w:rPr>
                <w:rFonts w:cs="Arial"/>
                <w:sz w:val="18"/>
              </w:rPr>
            </w:pPr>
            <w:r w:rsidRPr="00D3579D">
              <w:rPr>
                <w:rFonts w:cs="Arial"/>
                <w:b/>
                <w:bCs/>
                <w:sz w:val="18"/>
              </w:rPr>
              <w:t>Prostř. Žleb</w:t>
            </w:r>
          </w:p>
        </w:tc>
        <w:tc>
          <w:tcPr>
            <w:tcW w:w="668" w:type="dxa"/>
            <w:tcBorders>
              <w:top w:val="single" w:sz="6" w:space="0" w:color="auto"/>
              <w:left w:val="single" w:sz="6" w:space="0" w:color="auto"/>
              <w:bottom w:val="single" w:sz="6" w:space="0" w:color="auto"/>
              <w:right w:val="single" w:sz="6" w:space="0" w:color="auto"/>
            </w:tcBorders>
          </w:tcPr>
          <w:p w14:paraId="1165B5F3" w14:textId="77777777" w:rsidR="00CA23D0" w:rsidRPr="00D3579D" w:rsidRDefault="00CA23D0" w:rsidP="00CA23D0">
            <w:pPr>
              <w:pStyle w:val="Texttabulky"/>
              <w:spacing w:line="240" w:lineRule="atLeast"/>
              <w:jc w:val="both"/>
              <w:rPr>
                <w:rFonts w:cs="Arial"/>
                <w:sz w:val="18"/>
              </w:rPr>
            </w:pPr>
            <w:r w:rsidRPr="00D3579D">
              <w:rPr>
                <w:rFonts w:cs="Arial"/>
                <w:sz w:val="18"/>
              </w:rPr>
              <w:t>1 050</w:t>
            </w:r>
          </w:p>
        </w:tc>
        <w:tc>
          <w:tcPr>
            <w:tcW w:w="696" w:type="dxa"/>
            <w:tcBorders>
              <w:top w:val="single" w:sz="6" w:space="0" w:color="auto"/>
              <w:left w:val="single" w:sz="6" w:space="0" w:color="auto"/>
              <w:bottom w:val="single" w:sz="6" w:space="0" w:color="auto"/>
              <w:right w:val="single" w:sz="6" w:space="0" w:color="auto"/>
            </w:tcBorders>
          </w:tcPr>
          <w:p w14:paraId="0601E50D" w14:textId="77777777" w:rsidR="00CA23D0" w:rsidRPr="00D3579D" w:rsidRDefault="00CA23D0" w:rsidP="00CA23D0">
            <w:pPr>
              <w:pStyle w:val="Texttabulky"/>
              <w:spacing w:line="240" w:lineRule="atLeast"/>
              <w:jc w:val="both"/>
              <w:rPr>
                <w:rFonts w:cs="Arial"/>
                <w:sz w:val="18"/>
              </w:rPr>
            </w:pPr>
            <w:r w:rsidRPr="00D3579D">
              <w:rPr>
                <w:rFonts w:cs="Arial"/>
                <w:sz w:val="18"/>
              </w:rPr>
              <w:t>2 959</w:t>
            </w:r>
          </w:p>
        </w:tc>
        <w:tc>
          <w:tcPr>
            <w:tcW w:w="1636" w:type="dxa"/>
            <w:tcBorders>
              <w:top w:val="single" w:sz="6" w:space="0" w:color="auto"/>
              <w:left w:val="single" w:sz="6" w:space="0" w:color="auto"/>
              <w:bottom w:val="single" w:sz="6" w:space="0" w:color="auto"/>
              <w:right w:val="single" w:sz="6" w:space="0" w:color="auto"/>
            </w:tcBorders>
          </w:tcPr>
          <w:p w14:paraId="11BCD8ED" w14:textId="77777777" w:rsidR="00CA23D0" w:rsidRPr="00D3579D" w:rsidRDefault="00CA23D0" w:rsidP="00CA23D0">
            <w:pPr>
              <w:pStyle w:val="Texttabulky"/>
              <w:spacing w:line="240" w:lineRule="atLeast"/>
              <w:jc w:val="both"/>
              <w:rPr>
                <w:rFonts w:cs="Arial"/>
                <w:sz w:val="18"/>
              </w:rPr>
            </w:pPr>
            <w:r w:rsidRPr="00D3579D">
              <w:rPr>
                <w:rFonts w:cs="Arial"/>
                <w:sz w:val="18"/>
              </w:rPr>
              <w:t>Jalůvčí</w:t>
            </w:r>
          </w:p>
        </w:tc>
        <w:tc>
          <w:tcPr>
            <w:tcW w:w="1132" w:type="dxa"/>
            <w:tcBorders>
              <w:top w:val="single" w:sz="6" w:space="0" w:color="auto"/>
              <w:left w:val="single" w:sz="6" w:space="0" w:color="auto"/>
              <w:bottom w:val="single" w:sz="6" w:space="0" w:color="auto"/>
              <w:right w:val="single" w:sz="6" w:space="0" w:color="auto"/>
            </w:tcBorders>
          </w:tcPr>
          <w:p w14:paraId="14DAAE3A" w14:textId="77777777" w:rsidR="00CA23D0" w:rsidRPr="00D3579D" w:rsidRDefault="00CA23D0" w:rsidP="00CA23D0">
            <w:pPr>
              <w:pStyle w:val="Texttabulky"/>
              <w:spacing w:line="240" w:lineRule="atLeast"/>
              <w:jc w:val="both"/>
              <w:rPr>
                <w:rFonts w:cs="Arial"/>
                <w:sz w:val="18"/>
              </w:rPr>
            </w:pPr>
            <w:r w:rsidRPr="00D3579D">
              <w:rPr>
                <w:rFonts w:cs="Arial"/>
                <w:sz w:val="18"/>
              </w:rPr>
              <w:t>LČR</w:t>
            </w:r>
          </w:p>
        </w:tc>
        <w:tc>
          <w:tcPr>
            <w:tcW w:w="3245" w:type="dxa"/>
            <w:tcBorders>
              <w:top w:val="single" w:sz="6" w:space="0" w:color="auto"/>
              <w:left w:val="single" w:sz="6" w:space="0" w:color="auto"/>
              <w:bottom w:val="single" w:sz="6" w:space="0" w:color="auto"/>
              <w:right w:val="single" w:sz="6" w:space="0" w:color="auto"/>
            </w:tcBorders>
          </w:tcPr>
          <w:p w14:paraId="245AAE67" w14:textId="77777777" w:rsidR="00CA23D0" w:rsidRPr="00D3579D" w:rsidRDefault="00CA23D0" w:rsidP="00CA23D0">
            <w:pPr>
              <w:pStyle w:val="Texttabulky"/>
              <w:spacing w:line="240" w:lineRule="atLeast"/>
              <w:jc w:val="both"/>
              <w:rPr>
                <w:rFonts w:cs="Arial"/>
                <w:sz w:val="18"/>
              </w:rPr>
            </w:pPr>
            <w:r w:rsidRPr="00D3579D">
              <w:rPr>
                <w:rFonts w:cs="Arial"/>
                <w:sz w:val="18"/>
              </w:rPr>
              <w:t>rybník opravený, (hráz, odbahnění), funkce retenční, krajinotvorná</w:t>
            </w:r>
          </w:p>
        </w:tc>
      </w:tr>
      <w:tr w:rsidR="00CA23D0" w:rsidRPr="00E30642" w14:paraId="2AE2CE44"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7668DDD2" w14:textId="77777777" w:rsidR="00CA23D0" w:rsidRPr="00D3579D" w:rsidRDefault="00CA23D0" w:rsidP="00CA23D0">
            <w:pPr>
              <w:pStyle w:val="Texttabulky"/>
              <w:spacing w:line="240" w:lineRule="atLeast"/>
              <w:jc w:val="both"/>
              <w:rPr>
                <w:rFonts w:cs="Arial"/>
                <w:sz w:val="18"/>
              </w:rPr>
            </w:pPr>
            <w:r w:rsidRPr="00D3579D">
              <w:rPr>
                <w:rFonts w:cs="Arial"/>
                <w:b/>
                <w:bCs/>
                <w:sz w:val="18"/>
              </w:rPr>
              <w:t>Prostř. Žleb</w:t>
            </w:r>
          </w:p>
        </w:tc>
        <w:tc>
          <w:tcPr>
            <w:tcW w:w="668" w:type="dxa"/>
            <w:tcBorders>
              <w:top w:val="single" w:sz="6" w:space="0" w:color="auto"/>
              <w:left w:val="single" w:sz="6" w:space="0" w:color="auto"/>
              <w:bottom w:val="single" w:sz="6" w:space="0" w:color="auto"/>
              <w:right w:val="single" w:sz="6" w:space="0" w:color="auto"/>
            </w:tcBorders>
          </w:tcPr>
          <w:p w14:paraId="3012A612" w14:textId="77777777" w:rsidR="00CA23D0" w:rsidRPr="00D3579D" w:rsidRDefault="00CA23D0" w:rsidP="00CA23D0">
            <w:pPr>
              <w:pStyle w:val="Texttabulky"/>
              <w:spacing w:line="240" w:lineRule="atLeast"/>
              <w:jc w:val="both"/>
              <w:rPr>
                <w:rFonts w:cs="Arial"/>
                <w:sz w:val="18"/>
              </w:rPr>
            </w:pPr>
            <w:r w:rsidRPr="00D3579D">
              <w:rPr>
                <w:rFonts w:cs="Arial"/>
                <w:sz w:val="18"/>
              </w:rPr>
              <w:t>752/2</w:t>
            </w:r>
          </w:p>
        </w:tc>
        <w:tc>
          <w:tcPr>
            <w:tcW w:w="696" w:type="dxa"/>
            <w:tcBorders>
              <w:top w:val="single" w:sz="6" w:space="0" w:color="auto"/>
              <w:left w:val="single" w:sz="6" w:space="0" w:color="auto"/>
              <w:bottom w:val="single" w:sz="6" w:space="0" w:color="auto"/>
              <w:right w:val="single" w:sz="6" w:space="0" w:color="auto"/>
            </w:tcBorders>
          </w:tcPr>
          <w:p w14:paraId="5679BFDA" w14:textId="77777777" w:rsidR="00CA23D0" w:rsidRPr="00D3579D" w:rsidRDefault="00CA23D0" w:rsidP="00CA23D0">
            <w:pPr>
              <w:pStyle w:val="Texttabulky"/>
              <w:spacing w:line="240" w:lineRule="atLeast"/>
              <w:jc w:val="both"/>
              <w:rPr>
                <w:rFonts w:cs="Arial"/>
                <w:sz w:val="18"/>
              </w:rPr>
            </w:pPr>
            <w:r w:rsidRPr="00D3579D">
              <w:rPr>
                <w:rFonts w:cs="Arial"/>
                <w:sz w:val="18"/>
              </w:rPr>
              <w:t>1 357</w:t>
            </w:r>
          </w:p>
        </w:tc>
        <w:tc>
          <w:tcPr>
            <w:tcW w:w="1636" w:type="dxa"/>
            <w:tcBorders>
              <w:top w:val="single" w:sz="6" w:space="0" w:color="auto"/>
              <w:left w:val="single" w:sz="6" w:space="0" w:color="auto"/>
              <w:bottom w:val="single" w:sz="6" w:space="0" w:color="auto"/>
              <w:right w:val="single" w:sz="6" w:space="0" w:color="auto"/>
            </w:tcBorders>
          </w:tcPr>
          <w:p w14:paraId="17C1FAB2" w14:textId="77777777" w:rsidR="00CA23D0" w:rsidRPr="00D3579D" w:rsidRDefault="00CA23D0" w:rsidP="00CA23D0">
            <w:pPr>
              <w:pStyle w:val="Texttabulky"/>
              <w:spacing w:line="240" w:lineRule="atLeast"/>
              <w:jc w:val="both"/>
              <w:rPr>
                <w:rFonts w:cs="Arial"/>
                <w:sz w:val="18"/>
              </w:rPr>
            </w:pPr>
            <w:r w:rsidRPr="00D3579D">
              <w:rPr>
                <w:rFonts w:cs="Arial"/>
                <w:sz w:val="18"/>
              </w:rPr>
              <w:t>nádrž Přípeř</w:t>
            </w:r>
          </w:p>
        </w:tc>
        <w:tc>
          <w:tcPr>
            <w:tcW w:w="1132" w:type="dxa"/>
            <w:tcBorders>
              <w:top w:val="single" w:sz="6" w:space="0" w:color="auto"/>
              <w:left w:val="single" w:sz="6" w:space="0" w:color="auto"/>
              <w:bottom w:val="single" w:sz="6" w:space="0" w:color="auto"/>
              <w:right w:val="single" w:sz="6" w:space="0" w:color="auto"/>
            </w:tcBorders>
          </w:tcPr>
          <w:p w14:paraId="07BB32BE" w14:textId="77777777" w:rsidR="00CA23D0" w:rsidRPr="00D3579D" w:rsidRDefault="00CA23D0" w:rsidP="00CA23D0">
            <w:pPr>
              <w:pStyle w:val="Texttabulky"/>
              <w:spacing w:line="240" w:lineRule="atLeast"/>
              <w:jc w:val="both"/>
              <w:rPr>
                <w:rFonts w:cs="Arial"/>
                <w:sz w:val="18"/>
              </w:rPr>
            </w:pPr>
            <w:r w:rsidRPr="00D3579D">
              <w:rPr>
                <w:rFonts w:cs="Arial"/>
                <w:sz w:val="18"/>
              </w:rPr>
              <w:t>Město Děčín</w:t>
            </w:r>
          </w:p>
        </w:tc>
        <w:tc>
          <w:tcPr>
            <w:tcW w:w="3245" w:type="dxa"/>
            <w:tcBorders>
              <w:top w:val="single" w:sz="6" w:space="0" w:color="auto"/>
              <w:left w:val="single" w:sz="6" w:space="0" w:color="auto"/>
              <w:bottom w:val="single" w:sz="6" w:space="0" w:color="auto"/>
              <w:right w:val="single" w:sz="6" w:space="0" w:color="auto"/>
            </w:tcBorders>
          </w:tcPr>
          <w:p w14:paraId="33965FB7" w14:textId="77777777" w:rsidR="00CA23D0" w:rsidRPr="00D3579D" w:rsidRDefault="00CA23D0" w:rsidP="00CA23D0">
            <w:pPr>
              <w:pStyle w:val="Texttabulky"/>
              <w:spacing w:line="240" w:lineRule="atLeast"/>
              <w:jc w:val="both"/>
              <w:rPr>
                <w:rFonts w:cs="Arial"/>
                <w:sz w:val="18"/>
              </w:rPr>
            </w:pPr>
            <w:r w:rsidRPr="00D3579D">
              <w:rPr>
                <w:rFonts w:cs="Arial"/>
                <w:sz w:val="18"/>
              </w:rPr>
              <w:t>nutná celková údržba, funkce retenční</w:t>
            </w:r>
          </w:p>
        </w:tc>
      </w:tr>
      <w:tr w:rsidR="00CA23D0" w:rsidRPr="00E30642" w14:paraId="6DFBFDF2"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5A0FD7ED" w14:textId="77777777" w:rsidR="00CA23D0" w:rsidRPr="00D3579D" w:rsidRDefault="00CA23D0" w:rsidP="00CA23D0">
            <w:pPr>
              <w:pStyle w:val="Texttabulky"/>
              <w:spacing w:line="240" w:lineRule="atLeast"/>
              <w:jc w:val="both"/>
              <w:rPr>
                <w:rFonts w:cs="Arial"/>
                <w:sz w:val="18"/>
              </w:rPr>
            </w:pPr>
            <w:r w:rsidRPr="00D3579D">
              <w:rPr>
                <w:rFonts w:cs="Arial"/>
                <w:b/>
                <w:bCs/>
                <w:sz w:val="18"/>
              </w:rPr>
              <w:t>Děčín</w:t>
            </w:r>
          </w:p>
        </w:tc>
        <w:tc>
          <w:tcPr>
            <w:tcW w:w="668" w:type="dxa"/>
            <w:tcBorders>
              <w:top w:val="single" w:sz="6" w:space="0" w:color="auto"/>
              <w:left w:val="single" w:sz="6" w:space="0" w:color="auto"/>
              <w:bottom w:val="single" w:sz="6" w:space="0" w:color="auto"/>
              <w:right w:val="single" w:sz="6" w:space="0" w:color="auto"/>
            </w:tcBorders>
          </w:tcPr>
          <w:p w14:paraId="2CDB750B" w14:textId="77777777" w:rsidR="00CA23D0" w:rsidRPr="00D3579D" w:rsidRDefault="00CA23D0" w:rsidP="00CA23D0">
            <w:pPr>
              <w:pStyle w:val="Texttabulky"/>
              <w:spacing w:line="240" w:lineRule="atLeast"/>
              <w:jc w:val="both"/>
              <w:rPr>
                <w:rFonts w:cs="Arial"/>
                <w:sz w:val="18"/>
              </w:rPr>
            </w:pPr>
            <w:r w:rsidRPr="00D3579D">
              <w:rPr>
                <w:rFonts w:cs="Arial"/>
                <w:sz w:val="18"/>
              </w:rPr>
              <w:t>2 775</w:t>
            </w:r>
          </w:p>
        </w:tc>
        <w:tc>
          <w:tcPr>
            <w:tcW w:w="696" w:type="dxa"/>
            <w:tcBorders>
              <w:top w:val="single" w:sz="6" w:space="0" w:color="auto"/>
              <w:left w:val="single" w:sz="6" w:space="0" w:color="auto"/>
              <w:bottom w:val="single" w:sz="6" w:space="0" w:color="auto"/>
              <w:right w:val="single" w:sz="6" w:space="0" w:color="auto"/>
            </w:tcBorders>
          </w:tcPr>
          <w:p w14:paraId="7A25E795" w14:textId="77777777" w:rsidR="00CA23D0" w:rsidRPr="00D3579D" w:rsidRDefault="00CA23D0" w:rsidP="00CA23D0">
            <w:pPr>
              <w:pStyle w:val="Texttabulky"/>
              <w:spacing w:line="240" w:lineRule="atLeast"/>
              <w:jc w:val="both"/>
              <w:rPr>
                <w:rFonts w:cs="Arial"/>
                <w:sz w:val="18"/>
              </w:rPr>
            </w:pPr>
            <w:r w:rsidRPr="00D3579D">
              <w:rPr>
                <w:rFonts w:cs="Arial"/>
                <w:sz w:val="18"/>
              </w:rPr>
              <w:t>994</w:t>
            </w:r>
          </w:p>
        </w:tc>
        <w:tc>
          <w:tcPr>
            <w:tcW w:w="1636" w:type="dxa"/>
            <w:tcBorders>
              <w:top w:val="single" w:sz="6" w:space="0" w:color="auto"/>
              <w:left w:val="single" w:sz="6" w:space="0" w:color="auto"/>
              <w:bottom w:val="single" w:sz="6" w:space="0" w:color="auto"/>
              <w:right w:val="single" w:sz="6" w:space="0" w:color="auto"/>
            </w:tcBorders>
          </w:tcPr>
          <w:p w14:paraId="1B322F00" w14:textId="77777777" w:rsidR="00CA23D0" w:rsidRPr="00D3579D" w:rsidRDefault="00CA23D0" w:rsidP="00CA23D0">
            <w:pPr>
              <w:pStyle w:val="Texttabulky"/>
              <w:spacing w:line="240" w:lineRule="atLeast"/>
              <w:jc w:val="both"/>
              <w:rPr>
                <w:rFonts w:cs="Arial"/>
                <w:sz w:val="18"/>
              </w:rPr>
            </w:pPr>
            <w:r w:rsidRPr="00D3579D">
              <w:rPr>
                <w:rFonts w:cs="Arial"/>
                <w:sz w:val="18"/>
              </w:rPr>
              <w:t>Průtočná nádrž na Folknářském p.</w:t>
            </w:r>
          </w:p>
        </w:tc>
        <w:tc>
          <w:tcPr>
            <w:tcW w:w="1132" w:type="dxa"/>
            <w:tcBorders>
              <w:top w:val="single" w:sz="6" w:space="0" w:color="auto"/>
              <w:left w:val="single" w:sz="6" w:space="0" w:color="auto"/>
              <w:bottom w:val="single" w:sz="6" w:space="0" w:color="auto"/>
              <w:right w:val="single" w:sz="6" w:space="0" w:color="auto"/>
            </w:tcBorders>
          </w:tcPr>
          <w:p w14:paraId="6F41CDD1" w14:textId="77777777" w:rsidR="00CA23D0" w:rsidRPr="00D3579D" w:rsidRDefault="00CA23D0" w:rsidP="00CA23D0">
            <w:pPr>
              <w:pStyle w:val="Texttabulky"/>
              <w:spacing w:line="240" w:lineRule="atLeast"/>
              <w:jc w:val="both"/>
              <w:rPr>
                <w:rFonts w:cs="Arial"/>
                <w:sz w:val="18"/>
              </w:rPr>
            </w:pPr>
            <w:r w:rsidRPr="00D3579D">
              <w:rPr>
                <w:rFonts w:cs="Arial"/>
                <w:sz w:val="18"/>
              </w:rPr>
              <w:t>Lineta severočeská dřevařská spol.</w:t>
            </w:r>
          </w:p>
        </w:tc>
        <w:tc>
          <w:tcPr>
            <w:tcW w:w="3245" w:type="dxa"/>
            <w:tcBorders>
              <w:top w:val="single" w:sz="6" w:space="0" w:color="auto"/>
              <w:left w:val="single" w:sz="6" w:space="0" w:color="auto"/>
              <w:bottom w:val="single" w:sz="6" w:space="0" w:color="auto"/>
              <w:right w:val="single" w:sz="6" w:space="0" w:color="auto"/>
            </w:tcBorders>
          </w:tcPr>
          <w:p w14:paraId="4A81BB51" w14:textId="77777777" w:rsidR="00CA23D0" w:rsidRPr="00D3579D" w:rsidRDefault="00CA23D0" w:rsidP="00CA23D0">
            <w:pPr>
              <w:pStyle w:val="Texttabulky"/>
              <w:spacing w:line="240" w:lineRule="atLeast"/>
              <w:jc w:val="both"/>
              <w:rPr>
                <w:rFonts w:cs="Arial"/>
                <w:sz w:val="18"/>
              </w:rPr>
            </w:pPr>
            <w:r w:rsidRPr="00D3579D">
              <w:rPr>
                <w:rFonts w:cs="Arial"/>
                <w:sz w:val="18"/>
              </w:rPr>
              <w:t>rybník je zcela zanesený, návrh obnovy</w:t>
            </w:r>
          </w:p>
        </w:tc>
      </w:tr>
      <w:tr w:rsidR="00CA23D0" w:rsidRPr="00E30642" w14:paraId="70B0A238"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774A1FDA" w14:textId="77777777" w:rsidR="00CA23D0" w:rsidRPr="00D3579D" w:rsidRDefault="00CA23D0" w:rsidP="00CA23D0">
            <w:pPr>
              <w:pStyle w:val="Texttabulky"/>
              <w:spacing w:line="240" w:lineRule="atLeast"/>
              <w:jc w:val="both"/>
              <w:rPr>
                <w:rFonts w:cs="Arial"/>
                <w:sz w:val="18"/>
              </w:rPr>
            </w:pPr>
            <w:r w:rsidRPr="00D3579D">
              <w:rPr>
                <w:rFonts w:cs="Arial"/>
                <w:b/>
                <w:bCs/>
                <w:sz w:val="18"/>
              </w:rPr>
              <w:t>Podmokly</w:t>
            </w:r>
          </w:p>
        </w:tc>
        <w:tc>
          <w:tcPr>
            <w:tcW w:w="668" w:type="dxa"/>
            <w:tcBorders>
              <w:top w:val="single" w:sz="6" w:space="0" w:color="auto"/>
              <w:left w:val="single" w:sz="6" w:space="0" w:color="auto"/>
              <w:bottom w:val="single" w:sz="6" w:space="0" w:color="auto"/>
              <w:right w:val="single" w:sz="6" w:space="0" w:color="auto"/>
            </w:tcBorders>
          </w:tcPr>
          <w:p w14:paraId="71B4E09C" w14:textId="77777777" w:rsidR="00CA23D0" w:rsidRPr="00D3579D" w:rsidRDefault="00CA23D0" w:rsidP="00CA23D0">
            <w:pPr>
              <w:pStyle w:val="Texttabulky"/>
              <w:spacing w:line="240" w:lineRule="atLeast"/>
              <w:jc w:val="both"/>
              <w:rPr>
                <w:rFonts w:cs="Arial"/>
                <w:sz w:val="18"/>
              </w:rPr>
            </w:pPr>
            <w:r w:rsidRPr="00D3579D">
              <w:rPr>
                <w:rFonts w:cs="Arial"/>
                <w:sz w:val="18"/>
              </w:rPr>
              <w:t>461</w:t>
            </w:r>
          </w:p>
        </w:tc>
        <w:tc>
          <w:tcPr>
            <w:tcW w:w="696" w:type="dxa"/>
            <w:tcBorders>
              <w:top w:val="single" w:sz="6" w:space="0" w:color="auto"/>
              <w:left w:val="single" w:sz="6" w:space="0" w:color="auto"/>
              <w:bottom w:val="single" w:sz="6" w:space="0" w:color="auto"/>
              <w:right w:val="single" w:sz="6" w:space="0" w:color="auto"/>
            </w:tcBorders>
          </w:tcPr>
          <w:p w14:paraId="4319A899" w14:textId="77777777" w:rsidR="00CA23D0" w:rsidRPr="00D3579D" w:rsidRDefault="00CA23D0" w:rsidP="00CA23D0">
            <w:pPr>
              <w:pStyle w:val="Texttabulky"/>
              <w:spacing w:line="240" w:lineRule="atLeast"/>
              <w:jc w:val="both"/>
              <w:rPr>
                <w:rFonts w:cs="Arial"/>
                <w:sz w:val="18"/>
              </w:rPr>
            </w:pPr>
            <w:r w:rsidRPr="00D3579D">
              <w:rPr>
                <w:rFonts w:cs="Arial"/>
                <w:sz w:val="18"/>
              </w:rPr>
              <w:t>7 671</w:t>
            </w:r>
          </w:p>
        </w:tc>
        <w:tc>
          <w:tcPr>
            <w:tcW w:w="1636" w:type="dxa"/>
            <w:tcBorders>
              <w:top w:val="single" w:sz="6" w:space="0" w:color="auto"/>
              <w:left w:val="single" w:sz="6" w:space="0" w:color="auto"/>
              <w:bottom w:val="single" w:sz="6" w:space="0" w:color="auto"/>
              <w:right w:val="single" w:sz="6" w:space="0" w:color="auto"/>
            </w:tcBorders>
          </w:tcPr>
          <w:p w14:paraId="4A65CD06" w14:textId="77777777" w:rsidR="00CA23D0" w:rsidRPr="00D3579D" w:rsidRDefault="00CA23D0" w:rsidP="00CA23D0">
            <w:pPr>
              <w:pStyle w:val="Texttabulky"/>
              <w:spacing w:line="240" w:lineRule="atLeast"/>
              <w:jc w:val="both"/>
              <w:rPr>
                <w:rFonts w:cs="Arial"/>
                <w:sz w:val="18"/>
              </w:rPr>
            </w:pPr>
            <w:r w:rsidRPr="00D3579D">
              <w:rPr>
                <w:rFonts w:cs="Arial"/>
                <w:sz w:val="18"/>
              </w:rPr>
              <w:t>Terezínský rybník</w:t>
            </w:r>
          </w:p>
        </w:tc>
        <w:tc>
          <w:tcPr>
            <w:tcW w:w="1132" w:type="dxa"/>
            <w:tcBorders>
              <w:top w:val="single" w:sz="6" w:space="0" w:color="auto"/>
              <w:left w:val="single" w:sz="6" w:space="0" w:color="auto"/>
              <w:bottom w:val="single" w:sz="6" w:space="0" w:color="auto"/>
              <w:right w:val="single" w:sz="6" w:space="0" w:color="auto"/>
            </w:tcBorders>
          </w:tcPr>
          <w:p w14:paraId="3E77380C" w14:textId="77777777" w:rsidR="00CA23D0" w:rsidRPr="00D3579D" w:rsidRDefault="00CA23D0" w:rsidP="00CA23D0">
            <w:pPr>
              <w:pStyle w:val="Texttabulky"/>
              <w:spacing w:line="240" w:lineRule="atLeast"/>
              <w:jc w:val="both"/>
              <w:rPr>
                <w:rFonts w:cs="Arial"/>
                <w:sz w:val="18"/>
              </w:rPr>
            </w:pPr>
            <w:r w:rsidRPr="00D3579D">
              <w:rPr>
                <w:rFonts w:cs="Arial"/>
                <w:sz w:val="18"/>
              </w:rPr>
              <w:t>LČR</w:t>
            </w:r>
          </w:p>
        </w:tc>
        <w:tc>
          <w:tcPr>
            <w:tcW w:w="3245" w:type="dxa"/>
            <w:tcBorders>
              <w:top w:val="single" w:sz="6" w:space="0" w:color="auto"/>
              <w:left w:val="single" w:sz="6" w:space="0" w:color="auto"/>
              <w:bottom w:val="single" w:sz="6" w:space="0" w:color="auto"/>
              <w:right w:val="single" w:sz="6" w:space="0" w:color="auto"/>
            </w:tcBorders>
          </w:tcPr>
          <w:p w14:paraId="7EADE82A" w14:textId="77777777" w:rsidR="00CA23D0" w:rsidRPr="00D3579D" w:rsidRDefault="00CA23D0" w:rsidP="00CA23D0">
            <w:pPr>
              <w:pStyle w:val="Texttabulky"/>
              <w:spacing w:line="240" w:lineRule="atLeast"/>
              <w:jc w:val="both"/>
              <w:rPr>
                <w:rFonts w:cs="Arial"/>
                <w:sz w:val="18"/>
              </w:rPr>
            </w:pPr>
            <w:r w:rsidRPr="00D3579D">
              <w:rPr>
                <w:rFonts w:cs="Arial"/>
                <w:sz w:val="18"/>
              </w:rPr>
              <w:t>rybník po opravě, v dobrém stavu, funkce retenční, okrasná, požární zásoba</w:t>
            </w:r>
          </w:p>
        </w:tc>
      </w:tr>
      <w:tr w:rsidR="00CA23D0" w:rsidRPr="00E30642" w14:paraId="426404D8"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434C2E10" w14:textId="77777777" w:rsidR="00CA23D0" w:rsidRPr="00D3579D" w:rsidRDefault="00CA23D0" w:rsidP="00CA23D0">
            <w:pPr>
              <w:pStyle w:val="Texttabulky"/>
              <w:spacing w:line="240" w:lineRule="atLeast"/>
              <w:jc w:val="both"/>
              <w:rPr>
                <w:rFonts w:cs="Arial"/>
                <w:sz w:val="18"/>
              </w:rPr>
            </w:pPr>
            <w:r w:rsidRPr="00D3579D">
              <w:rPr>
                <w:rFonts w:cs="Arial"/>
                <w:b/>
                <w:bCs/>
                <w:sz w:val="18"/>
              </w:rPr>
              <w:t>Bynov</w:t>
            </w:r>
          </w:p>
        </w:tc>
        <w:tc>
          <w:tcPr>
            <w:tcW w:w="668" w:type="dxa"/>
            <w:tcBorders>
              <w:top w:val="single" w:sz="6" w:space="0" w:color="auto"/>
              <w:left w:val="single" w:sz="6" w:space="0" w:color="auto"/>
              <w:bottom w:val="single" w:sz="6" w:space="0" w:color="auto"/>
              <w:right w:val="single" w:sz="6" w:space="0" w:color="auto"/>
            </w:tcBorders>
          </w:tcPr>
          <w:p w14:paraId="5C8FEF0E" w14:textId="77777777" w:rsidR="00CA23D0" w:rsidRPr="00D3579D" w:rsidRDefault="00CA23D0" w:rsidP="00CA23D0">
            <w:pPr>
              <w:pStyle w:val="Texttabulky"/>
              <w:spacing w:line="240" w:lineRule="atLeast"/>
              <w:jc w:val="both"/>
              <w:rPr>
                <w:rFonts w:cs="Arial"/>
                <w:sz w:val="18"/>
              </w:rPr>
            </w:pPr>
            <w:r w:rsidRPr="00D3579D">
              <w:rPr>
                <w:rFonts w:cs="Arial"/>
                <w:sz w:val="18"/>
              </w:rPr>
              <w:t>1 095</w:t>
            </w:r>
          </w:p>
        </w:tc>
        <w:tc>
          <w:tcPr>
            <w:tcW w:w="696" w:type="dxa"/>
            <w:tcBorders>
              <w:top w:val="single" w:sz="6" w:space="0" w:color="auto"/>
              <w:left w:val="single" w:sz="6" w:space="0" w:color="auto"/>
              <w:bottom w:val="single" w:sz="6" w:space="0" w:color="auto"/>
              <w:right w:val="single" w:sz="6" w:space="0" w:color="auto"/>
            </w:tcBorders>
          </w:tcPr>
          <w:p w14:paraId="18D2E4B9" w14:textId="77777777" w:rsidR="00CA23D0" w:rsidRPr="00D3579D" w:rsidRDefault="00CA23D0" w:rsidP="00CA23D0">
            <w:pPr>
              <w:pStyle w:val="Texttabulky"/>
              <w:spacing w:line="240" w:lineRule="atLeast"/>
              <w:jc w:val="both"/>
              <w:rPr>
                <w:rFonts w:cs="Arial"/>
                <w:sz w:val="18"/>
              </w:rPr>
            </w:pPr>
            <w:r w:rsidRPr="00D3579D">
              <w:rPr>
                <w:rFonts w:cs="Arial"/>
                <w:sz w:val="18"/>
              </w:rPr>
              <w:t>4 460</w:t>
            </w:r>
          </w:p>
        </w:tc>
        <w:tc>
          <w:tcPr>
            <w:tcW w:w="1636" w:type="dxa"/>
            <w:tcBorders>
              <w:top w:val="single" w:sz="6" w:space="0" w:color="auto"/>
              <w:left w:val="single" w:sz="6" w:space="0" w:color="auto"/>
              <w:bottom w:val="single" w:sz="6" w:space="0" w:color="auto"/>
              <w:right w:val="single" w:sz="6" w:space="0" w:color="auto"/>
            </w:tcBorders>
          </w:tcPr>
          <w:p w14:paraId="6D9D519D" w14:textId="77777777" w:rsidR="00CA23D0" w:rsidRPr="00D3579D" w:rsidRDefault="00CA23D0" w:rsidP="00CA23D0">
            <w:pPr>
              <w:pStyle w:val="Texttabulky"/>
              <w:spacing w:line="240" w:lineRule="atLeast"/>
              <w:jc w:val="both"/>
              <w:rPr>
                <w:rFonts w:cs="Arial"/>
                <w:sz w:val="18"/>
              </w:rPr>
            </w:pPr>
            <w:r w:rsidRPr="00D3579D">
              <w:rPr>
                <w:rFonts w:cs="Arial"/>
                <w:sz w:val="18"/>
              </w:rPr>
              <w:t>Vlčí jezero</w:t>
            </w:r>
          </w:p>
        </w:tc>
        <w:tc>
          <w:tcPr>
            <w:tcW w:w="1132" w:type="dxa"/>
            <w:tcBorders>
              <w:top w:val="single" w:sz="6" w:space="0" w:color="auto"/>
              <w:left w:val="single" w:sz="6" w:space="0" w:color="auto"/>
              <w:bottom w:val="single" w:sz="6" w:space="0" w:color="auto"/>
              <w:right w:val="single" w:sz="6" w:space="0" w:color="auto"/>
            </w:tcBorders>
          </w:tcPr>
          <w:p w14:paraId="4750EE05" w14:textId="77777777" w:rsidR="00CA23D0" w:rsidRPr="00D3579D" w:rsidRDefault="00CA23D0" w:rsidP="00CA23D0">
            <w:pPr>
              <w:pStyle w:val="Texttabulky"/>
              <w:spacing w:line="240" w:lineRule="atLeast"/>
              <w:jc w:val="both"/>
              <w:rPr>
                <w:rFonts w:cs="Arial"/>
                <w:sz w:val="18"/>
              </w:rPr>
            </w:pPr>
            <w:r w:rsidRPr="00D3579D">
              <w:rPr>
                <w:rFonts w:cs="Arial"/>
                <w:sz w:val="18"/>
              </w:rPr>
              <w:t>LZ Děčín</w:t>
            </w:r>
          </w:p>
        </w:tc>
        <w:tc>
          <w:tcPr>
            <w:tcW w:w="3245" w:type="dxa"/>
            <w:tcBorders>
              <w:top w:val="single" w:sz="6" w:space="0" w:color="auto"/>
              <w:left w:val="single" w:sz="6" w:space="0" w:color="auto"/>
              <w:bottom w:val="single" w:sz="6" w:space="0" w:color="auto"/>
              <w:right w:val="single" w:sz="6" w:space="0" w:color="auto"/>
            </w:tcBorders>
          </w:tcPr>
          <w:p w14:paraId="06C80492" w14:textId="77777777" w:rsidR="00CA23D0" w:rsidRPr="00D3579D" w:rsidRDefault="00CA23D0" w:rsidP="00CA23D0">
            <w:pPr>
              <w:pStyle w:val="Texttabulky"/>
              <w:spacing w:line="240" w:lineRule="atLeast"/>
              <w:jc w:val="both"/>
              <w:rPr>
                <w:rFonts w:cs="Arial"/>
                <w:sz w:val="18"/>
              </w:rPr>
            </w:pPr>
            <w:r w:rsidRPr="00D3579D">
              <w:rPr>
                <w:rFonts w:cs="Arial"/>
                <w:sz w:val="18"/>
              </w:rPr>
              <w:t>Návrh rekonstrukce požeráku, vybudování bezp. přelivu, funkce retenční, rekreační, okrasná</w:t>
            </w:r>
          </w:p>
        </w:tc>
      </w:tr>
      <w:tr w:rsidR="00CA23D0" w:rsidRPr="00E30642" w14:paraId="32C58E78"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121AA7F7" w14:textId="77777777" w:rsidR="00CA23D0" w:rsidRPr="00D3579D" w:rsidRDefault="00CA23D0" w:rsidP="00CA23D0">
            <w:pPr>
              <w:pStyle w:val="Texttabulky"/>
              <w:spacing w:line="240" w:lineRule="atLeast"/>
              <w:jc w:val="both"/>
              <w:rPr>
                <w:rFonts w:cs="Arial"/>
                <w:sz w:val="18"/>
              </w:rPr>
            </w:pPr>
            <w:r w:rsidRPr="00D3579D">
              <w:rPr>
                <w:rFonts w:cs="Arial"/>
                <w:b/>
                <w:bCs/>
                <w:sz w:val="18"/>
              </w:rPr>
              <w:t>Vilsnice</w:t>
            </w:r>
          </w:p>
        </w:tc>
        <w:tc>
          <w:tcPr>
            <w:tcW w:w="668" w:type="dxa"/>
            <w:tcBorders>
              <w:top w:val="single" w:sz="6" w:space="0" w:color="auto"/>
              <w:left w:val="single" w:sz="6" w:space="0" w:color="auto"/>
              <w:bottom w:val="single" w:sz="6" w:space="0" w:color="auto"/>
              <w:right w:val="single" w:sz="6" w:space="0" w:color="auto"/>
            </w:tcBorders>
          </w:tcPr>
          <w:p w14:paraId="23AA6BE0" w14:textId="77777777" w:rsidR="00CA23D0" w:rsidRPr="00D3579D" w:rsidRDefault="00CA23D0" w:rsidP="00CA23D0">
            <w:pPr>
              <w:pStyle w:val="Texttabulky"/>
              <w:spacing w:line="240" w:lineRule="atLeast"/>
              <w:jc w:val="both"/>
              <w:rPr>
                <w:rFonts w:cs="Arial"/>
                <w:sz w:val="18"/>
              </w:rPr>
            </w:pPr>
            <w:r w:rsidRPr="00D3579D">
              <w:rPr>
                <w:rFonts w:cs="Arial"/>
                <w:sz w:val="18"/>
              </w:rPr>
              <w:t>561</w:t>
            </w:r>
          </w:p>
        </w:tc>
        <w:tc>
          <w:tcPr>
            <w:tcW w:w="696" w:type="dxa"/>
            <w:tcBorders>
              <w:top w:val="single" w:sz="6" w:space="0" w:color="auto"/>
              <w:left w:val="single" w:sz="6" w:space="0" w:color="auto"/>
              <w:bottom w:val="single" w:sz="6" w:space="0" w:color="auto"/>
              <w:right w:val="single" w:sz="6" w:space="0" w:color="auto"/>
            </w:tcBorders>
          </w:tcPr>
          <w:p w14:paraId="5BF92C3E" w14:textId="77777777" w:rsidR="00CA23D0" w:rsidRPr="00D3579D" w:rsidRDefault="00CA23D0" w:rsidP="00CA23D0">
            <w:pPr>
              <w:pStyle w:val="Texttabulky"/>
              <w:spacing w:line="240" w:lineRule="atLeast"/>
              <w:jc w:val="both"/>
              <w:rPr>
                <w:rFonts w:cs="Arial"/>
                <w:sz w:val="18"/>
              </w:rPr>
            </w:pPr>
            <w:r w:rsidRPr="00D3579D">
              <w:rPr>
                <w:rFonts w:cs="Arial"/>
                <w:sz w:val="18"/>
              </w:rPr>
              <w:t>450</w:t>
            </w:r>
          </w:p>
        </w:tc>
        <w:tc>
          <w:tcPr>
            <w:tcW w:w="1636" w:type="dxa"/>
            <w:tcBorders>
              <w:top w:val="single" w:sz="6" w:space="0" w:color="auto"/>
              <w:left w:val="single" w:sz="6" w:space="0" w:color="auto"/>
              <w:bottom w:val="single" w:sz="6" w:space="0" w:color="auto"/>
              <w:right w:val="single" w:sz="6" w:space="0" w:color="auto"/>
            </w:tcBorders>
          </w:tcPr>
          <w:p w14:paraId="01232563" w14:textId="77777777" w:rsidR="00CA23D0" w:rsidRPr="00D3579D" w:rsidRDefault="00CA23D0" w:rsidP="00CA23D0">
            <w:pPr>
              <w:pStyle w:val="Texttabulky"/>
              <w:spacing w:line="240" w:lineRule="atLeast"/>
              <w:jc w:val="both"/>
              <w:rPr>
                <w:rFonts w:cs="Arial"/>
                <w:sz w:val="18"/>
              </w:rPr>
            </w:pPr>
            <w:r w:rsidRPr="00D3579D">
              <w:rPr>
                <w:rFonts w:cs="Arial"/>
                <w:sz w:val="18"/>
              </w:rPr>
              <w:t>Nádrž Chmelnice</w:t>
            </w:r>
          </w:p>
        </w:tc>
        <w:tc>
          <w:tcPr>
            <w:tcW w:w="1132" w:type="dxa"/>
            <w:tcBorders>
              <w:top w:val="single" w:sz="6" w:space="0" w:color="auto"/>
              <w:left w:val="single" w:sz="6" w:space="0" w:color="auto"/>
              <w:bottom w:val="single" w:sz="6" w:space="0" w:color="auto"/>
              <w:right w:val="single" w:sz="6" w:space="0" w:color="auto"/>
            </w:tcBorders>
          </w:tcPr>
          <w:p w14:paraId="3C5DF8CB" w14:textId="77777777" w:rsidR="00CA23D0" w:rsidRPr="00D3579D" w:rsidRDefault="00CA23D0" w:rsidP="00CA23D0">
            <w:pPr>
              <w:pStyle w:val="Texttabulky"/>
              <w:spacing w:line="240" w:lineRule="atLeast"/>
              <w:jc w:val="both"/>
              <w:rPr>
                <w:rFonts w:cs="Arial"/>
                <w:sz w:val="18"/>
              </w:rPr>
            </w:pPr>
            <w:r w:rsidRPr="00D3579D">
              <w:rPr>
                <w:rFonts w:cs="Arial"/>
                <w:sz w:val="18"/>
              </w:rPr>
              <w:t>Okresní úřad Děčín</w:t>
            </w:r>
          </w:p>
        </w:tc>
        <w:tc>
          <w:tcPr>
            <w:tcW w:w="3245" w:type="dxa"/>
            <w:tcBorders>
              <w:top w:val="single" w:sz="6" w:space="0" w:color="auto"/>
              <w:left w:val="single" w:sz="6" w:space="0" w:color="auto"/>
              <w:bottom w:val="single" w:sz="6" w:space="0" w:color="auto"/>
              <w:right w:val="single" w:sz="6" w:space="0" w:color="auto"/>
            </w:tcBorders>
          </w:tcPr>
          <w:p w14:paraId="7C1E5591" w14:textId="77777777" w:rsidR="00CA23D0" w:rsidRPr="00D3579D" w:rsidRDefault="00CA23D0" w:rsidP="00CA23D0">
            <w:pPr>
              <w:pStyle w:val="Texttabulky"/>
              <w:spacing w:line="240" w:lineRule="atLeast"/>
              <w:jc w:val="both"/>
              <w:rPr>
                <w:rFonts w:cs="Arial"/>
                <w:sz w:val="18"/>
              </w:rPr>
            </w:pPr>
            <w:r w:rsidRPr="00D3579D">
              <w:rPr>
                <w:rFonts w:cs="Arial"/>
                <w:sz w:val="18"/>
              </w:rPr>
              <w:t>návrh údržby, funkce retenční, okrasná</w:t>
            </w:r>
          </w:p>
        </w:tc>
      </w:tr>
      <w:tr w:rsidR="00CA23D0" w:rsidRPr="00E30642" w14:paraId="7CCD5C92"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5FF74F8F" w14:textId="77777777" w:rsidR="00CA23D0" w:rsidRPr="00D3579D" w:rsidRDefault="00CA23D0" w:rsidP="00CA23D0">
            <w:pPr>
              <w:pStyle w:val="Texttabulky"/>
              <w:spacing w:line="240" w:lineRule="atLeast"/>
              <w:jc w:val="both"/>
              <w:rPr>
                <w:rFonts w:cs="Arial"/>
                <w:sz w:val="18"/>
              </w:rPr>
            </w:pPr>
            <w:r w:rsidRPr="00D3579D">
              <w:rPr>
                <w:rFonts w:cs="Arial"/>
                <w:b/>
                <w:bCs/>
                <w:sz w:val="18"/>
              </w:rPr>
              <w:t>Boletice</w:t>
            </w:r>
          </w:p>
        </w:tc>
        <w:tc>
          <w:tcPr>
            <w:tcW w:w="668" w:type="dxa"/>
            <w:tcBorders>
              <w:top w:val="single" w:sz="6" w:space="0" w:color="auto"/>
              <w:left w:val="single" w:sz="6" w:space="0" w:color="auto"/>
              <w:bottom w:val="single" w:sz="6" w:space="0" w:color="auto"/>
              <w:right w:val="single" w:sz="6" w:space="0" w:color="auto"/>
            </w:tcBorders>
          </w:tcPr>
          <w:p w14:paraId="2DB4031B" w14:textId="77777777" w:rsidR="00CA23D0" w:rsidRPr="00D3579D" w:rsidRDefault="00CA23D0" w:rsidP="00CA23D0">
            <w:pPr>
              <w:pStyle w:val="Texttabulky"/>
              <w:spacing w:line="240" w:lineRule="atLeast"/>
              <w:jc w:val="both"/>
              <w:rPr>
                <w:rFonts w:cs="Arial"/>
                <w:sz w:val="18"/>
              </w:rPr>
            </w:pPr>
            <w:r w:rsidRPr="00D3579D">
              <w:rPr>
                <w:rFonts w:cs="Arial"/>
                <w:sz w:val="18"/>
              </w:rPr>
              <w:t>231</w:t>
            </w:r>
          </w:p>
        </w:tc>
        <w:tc>
          <w:tcPr>
            <w:tcW w:w="696" w:type="dxa"/>
            <w:tcBorders>
              <w:top w:val="single" w:sz="6" w:space="0" w:color="auto"/>
              <w:left w:val="single" w:sz="6" w:space="0" w:color="auto"/>
              <w:bottom w:val="single" w:sz="6" w:space="0" w:color="auto"/>
              <w:right w:val="single" w:sz="6" w:space="0" w:color="auto"/>
            </w:tcBorders>
          </w:tcPr>
          <w:p w14:paraId="6DE7FAB2" w14:textId="77777777" w:rsidR="00CA23D0" w:rsidRPr="00D3579D" w:rsidRDefault="00CA23D0" w:rsidP="00CA23D0">
            <w:pPr>
              <w:pStyle w:val="Texttabulky"/>
              <w:spacing w:line="240" w:lineRule="atLeast"/>
              <w:jc w:val="both"/>
              <w:rPr>
                <w:rFonts w:cs="Arial"/>
                <w:sz w:val="18"/>
              </w:rPr>
            </w:pPr>
            <w:r w:rsidRPr="00D3579D">
              <w:rPr>
                <w:rFonts w:cs="Arial"/>
                <w:sz w:val="18"/>
              </w:rPr>
              <w:t>300</w:t>
            </w:r>
          </w:p>
        </w:tc>
        <w:tc>
          <w:tcPr>
            <w:tcW w:w="1636" w:type="dxa"/>
            <w:tcBorders>
              <w:top w:val="single" w:sz="6" w:space="0" w:color="auto"/>
              <w:left w:val="single" w:sz="6" w:space="0" w:color="auto"/>
              <w:bottom w:val="single" w:sz="6" w:space="0" w:color="auto"/>
              <w:right w:val="single" w:sz="6" w:space="0" w:color="auto"/>
            </w:tcBorders>
          </w:tcPr>
          <w:p w14:paraId="77898156" w14:textId="77777777" w:rsidR="00CA23D0" w:rsidRPr="00D3579D" w:rsidRDefault="00CA23D0" w:rsidP="00CA23D0">
            <w:pPr>
              <w:pStyle w:val="Texttabulky"/>
              <w:spacing w:line="240" w:lineRule="atLeast"/>
              <w:jc w:val="both"/>
              <w:rPr>
                <w:rFonts w:cs="Arial"/>
                <w:sz w:val="18"/>
              </w:rPr>
            </w:pPr>
            <w:r w:rsidRPr="00D3579D">
              <w:rPr>
                <w:rFonts w:cs="Arial"/>
                <w:sz w:val="18"/>
              </w:rPr>
              <w:t>Nádrž Dětský domov</w:t>
            </w:r>
          </w:p>
        </w:tc>
        <w:tc>
          <w:tcPr>
            <w:tcW w:w="1132" w:type="dxa"/>
            <w:tcBorders>
              <w:top w:val="single" w:sz="6" w:space="0" w:color="auto"/>
              <w:left w:val="single" w:sz="6" w:space="0" w:color="auto"/>
              <w:bottom w:val="single" w:sz="6" w:space="0" w:color="auto"/>
              <w:right w:val="single" w:sz="6" w:space="0" w:color="auto"/>
            </w:tcBorders>
          </w:tcPr>
          <w:p w14:paraId="7133B80D" w14:textId="77777777" w:rsidR="00CA23D0" w:rsidRPr="00D3579D" w:rsidRDefault="00CA23D0" w:rsidP="00CA23D0">
            <w:pPr>
              <w:pStyle w:val="Texttabulky"/>
              <w:spacing w:line="240" w:lineRule="atLeast"/>
              <w:jc w:val="both"/>
              <w:rPr>
                <w:rFonts w:cs="Arial"/>
                <w:sz w:val="18"/>
              </w:rPr>
            </w:pPr>
            <w:r w:rsidRPr="00D3579D">
              <w:rPr>
                <w:rFonts w:cs="Arial"/>
                <w:sz w:val="18"/>
              </w:rPr>
              <w:t>Město Děčín</w:t>
            </w:r>
          </w:p>
        </w:tc>
        <w:tc>
          <w:tcPr>
            <w:tcW w:w="3245" w:type="dxa"/>
            <w:tcBorders>
              <w:top w:val="single" w:sz="6" w:space="0" w:color="auto"/>
              <w:left w:val="single" w:sz="6" w:space="0" w:color="auto"/>
              <w:bottom w:val="single" w:sz="6" w:space="0" w:color="auto"/>
              <w:right w:val="single" w:sz="6" w:space="0" w:color="auto"/>
            </w:tcBorders>
          </w:tcPr>
          <w:p w14:paraId="6828B5A5" w14:textId="77777777" w:rsidR="00CA23D0" w:rsidRPr="00D3579D" w:rsidRDefault="00CA23D0" w:rsidP="00CA23D0">
            <w:pPr>
              <w:pStyle w:val="Texttabulky"/>
              <w:spacing w:line="240" w:lineRule="atLeast"/>
              <w:jc w:val="both"/>
              <w:rPr>
                <w:rFonts w:cs="Arial"/>
                <w:sz w:val="18"/>
              </w:rPr>
            </w:pPr>
            <w:r w:rsidRPr="00D3579D">
              <w:rPr>
                <w:rFonts w:cs="Arial"/>
                <w:sz w:val="18"/>
              </w:rPr>
              <w:t>funkce okrasná</w:t>
            </w:r>
          </w:p>
        </w:tc>
      </w:tr>
      <w:tr w:rsidR="00CA23D0" w:rsidRPr="00E30642" w14:paraId="75C056F0"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6D6540E0" w14:textId="77777777" w:rsidR="00CA23D0" w:rsidRPr="00D3579D" w:rsidRDefault="00CA23D0" w:rsidP="00CA23D0">
            <w:pPr>
              <w:pStyle w:val="Texttabulky"/>
              <w:spacing w:line="240" w:lineRule="atLeast"/>
              <w:jc w:val="both"/>
              <w:rPr>
                <w:rFonts w:cs="Arial"/>
                <w:sz w:val="18"/>
              </w:rPr>
            </w:pPr>
            <w:r w:rsidRPr="00D3579D">
              <w:rPr>
                <w:rFonts w:cs="Arial"/>
                <w:b/>
                <w:bCs/>
                <w:sz w:val="18"/>
              </w:rPr>
              <w:t>Nebočady</w:t>
            </w:r>
          </w:p>
        </w:tc>
        <w:tc>
          <w:tcPr>
            <w:tcW w:w="668" w:type="dxa"/>
            <w:tcBorders>
              <w:top w:val="single" w:sz="6" w:space="0" w:color="auto"/>
              <w:left w:val="single" w:sz="6" w:space="0" w:color="auto"/>
              <w:bottom w:val="single" w:sz="6" w:space="0" w:color="auto"/>
              <w:right w:val="single" w:sz="6" w:space="0" w:color="auto"/>
            </w:tcBorders>
          </w:tcPr>
          <w:p w14:paraId="6076CAAF" w14:textId="77777777" w:rsidR="00CA23D0" w:rsidRPr="00D3579D" w:rsidRDefault="00CA23D0" w:rsidP="00CA23D0">
            <w:pPr>
              <w:pStyle w:val="Texttabulky"/>
              <w:spacing w:line="240" w:lineRule="atLeast"/>
              <w:jc w:val="both"/>
              <w:rPr>
                <w:rFonts w:cs="Arial"/>
                <w:sz w:val="18"/>
              </w:rPr>
            </w:pPr>
            <w:r w:rsidRPr="00D3579D">
              <w:rPr>
                <w:rFonts w:cs="Arial"/>
                <w:sz w:val="18"/>
              </w:rPr>
              <w:t>2</w:t>
            </w:r>
          </w:p>
        </w:tc>
        <w:tc>
          <w:tcPr>
            <w:tcW w:w="696" w:type="dxa"/>
            <w:tcBorders>
              <w:top w:val="single" w:sz="6" w:space="0" w:color="auto"/>
              <w:left w:val="single" w:sz="6" w:space="0" w:color="auto"/>
              <w:bottom w:val="single" w:sz="6" w:space="0" w:color="auto"/>
              <w:right w:val="single" w:sz="6" w:space="0" w:color="auto"/>
            </w:tcBorders>
          </w:tcPr>
          <w:p w14:paraId="484A7869" w14:textId="77777777" w:rsidR="00CA23D0" w:rsidRPr="00D3579D" w:rsidRDefault="00CA23D0" w:rsidP="00CA23D0">
            <w:pPr>
              <w:pStyle w:val="Texttabulky"/>
              <w:spacing w:line="240" w:lineRule="atLeast"/>
              <w:jc w:val="both"/>
              <w:rPr>
                <w:rFonts w:cs="Arial"/>
                <w:sz w:val="18"/>
              </w:rPr>
            </w:pPr>
            <w:r w:rsidRPr="00D3579D">
              <w:rPr>
                <w:rFonts w:cs="Arial"/>
                <w:sz w:val="18"/>
              </w:rPr>
              <w:t>10 700</w:t>
            </w:r>
          </w:p>
        </w:tc>
        <w:tc>
          <w:tcPr>
            <w:tcW w:w="1636" w:type="dxa"/>
            <w:tcBorders>
              <w:top w:val="single" w:sz="6" w:space="0" w:color="auto"/>
              <w:left w:val="single" w:sz="6" w:space="0" w:color="auto"/>
              <w:bottom w:val="single" w:sz="6" w:space="0" w:color="auto"/>
              <w:right w:val="single" w:sz="6" w:space="0" w:color="auto"/>
            </w:tcBorders>
          </w:tcPr>
          <w:p w14:paraId="6BFA3001" w14:textId="77777777" w:rsidR="00CA23D0" w:rsidRPr="00D3579D" w:rsidRDefault="00CA23D0" w:rsidP="00CA23D0">
            <w:pPr>
              <w:pStyle w:val="Texttabulky"/>
              <w:spacing w:line="240" w:lineRule="atLeast"/>
              <w:jc w:val="both"/>
              <w:rPr>
                <w:rFonts w:cs="Arial"/>
                <w:sz w:val="18"/>
              </w:rPr>
            </w:pPr>
            <w:r w:rsidRPr="00D3579D">
              <w:rPr>
                <w:rFonts w:cs="Arial"/>
                <w:sz w:val="18"/>
              </w:rPr>
              <w:t>slepá ramena</w:t>
            </w:r>
          </w:p>
        </w:tc>
        <w:tc>
          <w:tcPr>
            <w:tcW w:w="1132" w:type="dxa"/>
            <w:tcBorders>
              <w:top w:val="single" w:sz="6" w:space="0" w:color="auto"/>
              <w:left w:val="single" w:sz="6" w:space="0" w:color="auto"/>
              <w:bottom w:val="single" w:sz="6" w:space="0" w:color="auto"/>
              <w:right w:val="single" w:sz="6" w:space="0" w:color="auto"/>
            </w:tcBorders>
          </w:tcPr>
          <w:p w14:paraId="78108AB9" w14:textId="77777777" w:rsidR="00CA23D0" w:rsidRPr="00D3579D" w:rsidRDefault="00CA23D0" w:rsidP="00CA23D0">
            <w:pPr>
              <w:pStyle w:val="Texttabulky"/>
              <w:spacing w:line="240" w:lineRule="atLeast"/>
              <w:jc w:val="both"/>
              <w:rPr>
                <w:rFonts w:cs="Arial"/>
                <w:sz w:val="18"/>
              </w:rPr>
            </w:pPr>
            <w:r w:rsidRPr="00D3579D">
              <w:rPr>
                <w:rFonts w:cs="Arial"/>
                <w:sz w:val="18"/>
              </w:rPr>
              <w:t>Povodí Labe</w:t>
            </w:r>
          </w:p>
        </w:tc>
        <w:tc>
          <w:tcPr>
            <w:tcW w:w="3245" w:type="dxa"/>
            <w:tcBorders>
              <w:top w:val="single" w:sz="6" w:space="0" w:color="auto"/>
              <w:left w:val="single" w:sz="6" w:space="0" w:color="auto"/>
              <w:bottom w:val="single" w:sz="6" w:space="0" w:color="auto"/>
              <w:right w:val="single" w:sz="6" w:space="0" w:color="auto"/>
            </w:tcBorders>
          </w:tcPr>
          <w:p w14:paraId="2DA6DEDC" w14:textId="77777777" w:rsidR="00CA23D0" w:rsidRPr="00D3579D" w:rsidRDefault="00CA23D0" w:rsidP="00CA23D0">
            <w:pPr>
              <w:pStyle w:val="Texttabulky"/>
              <w:spacing w:line="240" w:lineRule="atLeast"/>
              <w:jc w:val="both"/>
              <w:rPr>
                <w:rFonts w:cs="Arial"/>
                <w:sz w:val="18"/>
              </w:rPr>
            </w:pPr>
            <w:r w:rsidRPr="00D3579D">
              <w:rPr>
                <w:rFonts w:cs="Arial"/>
                <w:sz w:val="18"/>
              </w:rPr>
              <w:t>funkce krajinotvorná</w:t>
            </w:r>
          </w:p>
        </w:tc>
      </w:tr>
      <w:tr w:rsidR="00CA23D0" w:rsidRPr="00E30642" w14:paraId="1E010853"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6ED43E27" w14:textId="77777777" w:rsidR="00CA23D0" w:rsidRPr="00D3579D" w:rsidRDefault="00CA23D0" w:rsidP="00CA23D0">
            <w:pPr>
              <w:pStyle w:val="Texttabulky"/>
              <w:spacing w:line="240" w:lineRule="atLeast"/>
              <w:jc w:val="both"/>
              <w:rPr>
                <w:rFonts w:cs="Arial"/>
                <w:sz w:val="18"/>
              </w:rPr>
            </w:pPr>
            <w:r w:rsidRPr="00D3579D">
              <w:rPr>
                <w:rFonts w:cs="Arial"/>
                <w:b/>
                <w:bCs/>
                <w:sz w:val="18"/>
              </w:rPr>
              <w:t>Nebočady</w:t>
            </w:r>
          </w:p>
        </w:tc>
        <w:tc>
          <w:tcPr>
            <w:tcW w:w="668" w:type="dxa"/>
            <w:tcBorders>
              <w:top w:val="single" w:sz="6" w:space="0" w:color="auto"/>
              <w:left w:val="single" w:sz="6" w:space="0" w:color="auto"/>
              <w:bottom w:val="single" w:sz="6" w:space="0" w:color="auto"/>
              <w:right w:val="single" w:sz="6" w:space="0" w:color="auto"/>
            </w:tcBorders>
          </w:tcPr>
          <w:p w14:paraId="5F615FDE" w14:textId="77777777" w:rsidR="00CA23D0" w:rsidRPr="00D3579D" w:rsidRDefault="00CA23D0" w:rsidP="00CA23D0">
            <w:pPr>
              <w:pStyle w:val="Texttabulky"/>
              <w:spacing w:line="240" w:lineRule="atLeast"/>
              <w:jc w:val="both"/>
              <w:rPr>
                <w:rFonts w:cs="Arial"/>
                <w:sz w:val="18"/>
              </w:rPr>
            </w:pPr>
            <w:r w:rsidRPr="00D3579D">
              <w:rPr>
                <w:rFonts w:cs="Arial"/>
                <w:sz w:val="18"/>
              </w:rPr>
              <w:t>22</w:t>
            </w:r>
          </w:p>
        </w:tc>
        <w:tc>
          <w:tcPr>
            <w:tcW w:w="696" w:type="dxa"/>
            <w:tcBorders>
              <w:top w:val="single" w:sz="6" w:space="0" w:color="auto"/>
              <w:left w:val="single" w:sz="6" w:space="0" w:color="auto"/>
              <w:bottom w:val="single" w:sz="6" w:space="0" w:color="auto"/>
              <w:right w:val="single" w:sz="6" w:space="0" w:color="auto"/>
            </w:tcBorders>
          </w:tcPr>
          <w:p w14:paraId="35A7B1AC" w14:textId="77777777" w:rsidR="00CA23D0" w:rsidRPr="00D3579D" w:rsidRDefault="00CA23D0" w:rsidP="00CA23D0">
            <w:pPr>
              <w:pStyle w:val="Texttabulky"/>
              <w:spacing w:line="240" w:lineRule="atLeast"/>
              <w:jc w:val="both"/>
              <w:rPr>
                <w:rFonts w:cs="Arial"/>
                <w:sz w:val="18"/>
              </w:rPr>
            </w:pPr>
            <w:r w:rsidRPr="00D3579D">
              <w:rPr>
                <w:rFonts w:cs="Arial"/>
                <w:sz w:val="18"/>
              </w:rPr>
              <w:t>42 670</w:t>
            </w:r>
          </w:p>
        </w:tc>
        <w:tc>
          <w:tcPr>
            <w:tcW w:w="1636" w:type="dxa"/>
            <w:tcBorders>
              <w:top w:val="single" w:sz="6" w:space="0" w:color="auto"/>
              <w:left w:val="single" w:sz="6" w:space="0" w:color="auto"/>
              <w:bottom w:val="single" w:sz="6" w:space="0" w:color="auto"/>
              <w:right w:val="single" w:sz="6" w:space="0" w:color="auto"/>
            </w:tcBorders>
          </w:tcPr>
          <w:p w14:paraId="7D57EE25" w14:textId="77777777" w:rsidR="00CA23D0" w:rsidRPr="00D3579D" w:rsidRDefault="00CA23D0" w:rsidP="00CA23D0">
            <w:pPr>
              <w:pStyle w:val="Texttabulky"/>
              <w:spacing w:line="240" w:lineRule="atLeast"/>
              <w:jc w:val="both"/>
              <w:rPr>
                <w:rFonts w:cs="Arial"/>
                <w:sz w:val="18"/>
              </w:rPr>
            </w:pPr>
            <w:r w:rsidRPr="00D3579D">
              <w:rPr>
                <w:rFonts w:cs="Arial"/>
                <w:sz w:val="18"/>
              </w:rPr>
              <w:t>slepá ramena</w:t>
            </w:r>
          </w:p>
        </w:tc>
        <w:tc>
          <w:tcPr>
            <w:tcW w:w="1132" w:type="dxa"/>
            <w:tcBorders>
              <w:top w:val="single" w:sz="6" w:space="0" w:color="auto"/>
              <w:left w:val="single" w:sz="6" w:space="0" w:color="auto"/>
              <w:bottom w:val="single" w:sz="6" w:space="0" w:color="auto"/>
              <w:right w:val="single" w:sz="6" w:space="0" w:color="auto"/>
            </w:tcBorders>
          </w:tcPr>
          <w:p w14:paraId="3157F967" w14:textId="77777777" w:rsidR="00CA23D0" w:rsidRPr="00D3579D" w:rsidRDefault="00CA23D0" w:rsidP="00CA23D0">
            <w:pPr>
              <w:pStyle w:val="Texttabulky"/>
              <w:spacing w:line="240" w:lineRule="atLeast"/>
              <w:jc w:val="both"/>
              <w:rPr>
                <w:rFonts w:cs="Arial"/>
                <w:sz w:val="18"/>
              </w:rPr>
            </w:pPr>
            <w:r w:rsidRPr="00D3579D">
              <w:rPr>
                <w:rFonts w:cs="Arial"/>
                <w:sz w:val="18"/>
              </w:rPr>
              <w:t>Průsaky Labe</w:t>
            </w:r>
          </w:p>
        </w:tc>
        <w:tc>
          <w:tcPr>
            <w:tcW w:w="3245" w:type="dxa"/>
            <w:tcBorders>
              <w:top w:val="single" w:sz="6" w:space="0" w:color="auto"/>
              <w:left w:val="single" w:sz="6" w:space="0" w:color="auto"/>
              <w:bottom w:val="single" w:sz="6" w:space="0" w:color="auto"/>
              <w:right w:val="single" w:sz="6" w:space="0" w:color="auto"/>
            </w:tcBorders>
          </w:tcPr>
          <w:p w14:paraId="1707B6EB" w14:textId="77777777" w:rsidR="00CA23D0" w:rsidRPr="00D3579D" w:rsidRDefault="00CA23D0" w:rsidP="00CA23D0">
            <w:pPr>
              <w:pStyle w:val="Texttabulky"/>
              <w:spacing w:line="240" w:lineRule="atLeast"/>
              <w:jc w:val="both"/>
              <w:rPr>
                <w:rFonts w:cs="Arial"/>
                <w:sz w:val="18"/>
              </w:rPr>
            </w:pPr>
            <w:r w:rsidRPr="00D3579D">
              <w:rPr>
                <w:rFonts w:cs="Arial"/>
                <w:sz w:val="18"/>
              </w:rPr>
              <w:t>funkce krajinotvorná</w:t>
            </w:r>
          </w:p>
        </w:tc>
      </w:tr>
      <w:tr w:rsidR="00CA23D0" w:rsidRPr="00E30642" w14:paraId="451F73F3"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28A91F69" w14:textId="77777777" w:rsidR="00CA23D0" w:rsidRPr="00D3579D" w:rsidRDefault="00CA23D0" w:rsidP="00CA23D0">
            <w:pPr>
              <w:pStyle w:val="Texttabulky"/>
              <w:spacing w:line="240" w:lineRule="atLeast"/>
              <w:jc w:val="both"/>
              <w:rPr>
                <w:rFonts w:cs="Arial"/>
                <w:sz w:val="18"/>
              </w:rPr>
            </w:pPr>
            <w:r w:rsidRPr="00D3579D">
              <w:rPr>
                <w:rFonts w:cs="Arial"/>
                <w:b/>
                <w:bCs/>
                <w:sz w:val="18"/>
              </w:rPr>
              <w:t>Loubí</w:t>
            </w:r>
          </w:p>
        </w:tc>
        <w:tc>
          <w:tcPr>
            <w:tcW w:w="668" w:type="dxa"/>
            <w:tcBorders>
              <w:top w:val="single" w:sz="6" w:space="0" w:color="auto"/>
              <w:left w:val="single" w:sz="6" w:space="0" w:color="auto"/>
              <w:bottom w:val="single" w:sz="6" w:space="0" w:color="auto"/>
              <w:right w:val="single" w:sz="6" w:space="0" w:color="auto"/>
            </w:tcBorders>
          </w:tcPr>
          <w:p w14:paraId="7B26CF04" w14:textId="77777777" w:rsidR="00CA23D0" w:rsidRPr="00D3579D" w:rsidRDefault="00CA23D0" w:rsidP="00CA23D0">
            <w:pPr>
              <w:pStyle w:val="Texttabulky"/>
              <w:spacing w:line="240" w:lineRule="atLeast"/>
              <w:jc w:val="both"/>
              <w:rPr>
                <w:rFonts w:cs="Arial"/>
                <w:sz w:val="18"/>
              </w:rPr>
            </w:pPr>
            <w:r w:rsidRPr="00D3579D">
              <w:rPr>
                <w:rFonts w:cs="Arial"/>
                <w:sz w:val="18"/>
              </w:rPr>
              <w:t>467/1</w:t>
            </w:r>
          </w:p>
        </w:tc>
        <w:tc>
          <w:tcPr>
            <w:tcW w:w="696" w:type="dxa"/>
            <w:tcBorders>
              <w:top w:val="single" w:sz="6" w:space="0" w:color="auto"/>
              <w:left w:val="single" w:sz="6" w:space="0" w:color="auto"/>
              <w:bottom w:val="single" w:sz="6" w:space="0" w:color="auto"/>
              <w:right w:val="single" w:sz="6" w:space="0" w:color="auto"/>
            </w:tcBorders>
          </w:tcPr>
          <w:p w14:paraId="1AE0BE6C" w14:textId="77777777" w:rsidR="00CA23D0" w:rsidRPr="00D3579D" w:rsidRDefault="00CA23D0" w:rsidP="00CA23D0">
            <w:pPr>
              <w:pStyle w:val="Texttabulky"/>
              <w:spacing w:line="240" w:lineRule="atLeast"/>
              <w:jc w:val="both"/>
              <w:rPr>
                <w:rFonts w:cs="Arial"/>
                <w:sz w:val="18"/>
              </w:rPr>
            </w:pPr>
            <w:r w:rsidRPr="00D3579D">
              <w:rPr>
                <w:rFonts w:cs="Arial"/>
                <w:sz w:val="18"/>
              </w:rPr>
              <w:t>451</w:t>
            </w:r>
          </w:p>
        </w:tc>
        <w:tc>
          <w:tcPr>
            <w:tcW w:w="1636" w:type="dxa"/>
            <w:tcBorders>
              <w:top w:val="single" w:sz="6" w:space="0" w:color="auto"/>
              <w:left w:val="single" w:sz="6" w:space="0" w:color="auto"/>
              <w:bottom w:val="single" w:sz="6" w:space="0" w:color="auto"/>
              <w:right w:val="single" w:sz="6" w:space="0" w:color="auto"/>
            </w:tcBorders>
          </w:tcPr>
          <w:p w14:paraId="3AF5F35A" w14:textId="77777777" w:rsidR="00CA23D0" w:rsidRPr="00D3579D" w:rsidRDefault="00CA23D0" w:rsidP="00CA23D0">
            <w:pPr>
              <w:pStyle w:val="Texttabulky"/>
              <w:spacing w:line="240" w:lineRule="atLeast"/>
              <w:jc w:val="both"/>
              <w:rPr>
                <w:rFonts w:cs="Arial"/>
                <w:sz w:val="18"/>
              </w:rPr>
            </w:pPr>
            <w:r w:rsidRPr="00D3579D">
              <w:rPr>
                <w:rFonts w:cs="Arial"/>
                <w:sz w:val="18"/>
              </w:rPr>
              <w:t>Loubský rybník</w:t>
            </w:r>
          </w:p>
        </w:tc>
        <w:tc>
          <w:tcPr>
            <w:tcW w:w="1132" w:type="dxa"/>
            <w:tcBorders>
              <w:top w:val="single" w:sz="6" w:space="0" w:color="auto"/>
              <w:left w:val="single" w:sz="6" w:space="0" w:color="auto"/>
              <w:bottom w:val="single" w:sz="6" w:space="0" w:color="auto"/>
              <w:right w:val="single" w:sz="6" w:space="0" w:color="auto"/>
            </w:tcBorders>
          </w:tcPr>
          <w:p w14:paraId="08858D6E" w14:textId="77777777" w:rsidR="00CA23D0" w:rsidRPr="00D3579D" w:rsidRDefault="00CA23D0" w:rsidP="00CA23D0">
            <w:pPr>
              <w:pStyle w:val="Texttabulky"/>
              <w:spacing w:line="240" w:lineRule="atLeast"/>
              <w:jc w:val="both"/>
              <w:rPr>
                <w:rFonts w:cs="Arial"/>
                <w:sz w:val="18"/>
              </w:rPr>
            </w:pPr>
            <w:r w:rsidRPr="00D3579D">
              <w:rPr>
                <w:rFonts w:cs="Arial"/>
                <w:sz w:val="18"/>
              </w:rPr>
              <w:t>LZ Děčín</w:t>
            </w:r>
          </w:p>
        </w:tc>
        <w:tc>
          <w:tcPr>
            <w:tcW w:w="3245" w:type="dxa"/>
            <w:tcBorders>
              <w:top w:val="single" w:sz="6" w:space="0" w:color="auto"/>
              <w:left w:val="single" w:sz="6" w:space="0" w:color="auto"/>
              <w:bottom w:val="single" w:sz="6" w:space="0" w:color="auto"/>
              <w:right w:val="single" w:sz="6" w:space="0" w:color="auto"/>
            </w:tcBorders>
          </w:tcPr>
          <w:p w14:paraId="068F5E40" w14:textId="77777777" w:rsidR="00CA23D0" w:rsidRPr="00D3579D" w:rsidRDefault="00CA23D0" w:rsidP="00CA23D0">
            <w:pPr>
              <w:pStyle w:val="Texttabulky"/>
              <w:spacing w:line="240" w:lineRule="atLeast"/>
              <w:jc w:val="both"/>
              <w:rPr>
                <w:rFonts w:cs="Arial"/>
                <w:sz w:val="18"/>
              </w:rPr>
            </w:pPr>
            <w:r w:rsidRPr="00D3579D">
              <w:rPr>
                <w:rFonts w:cs="Arial"/>
                <w:sz w:val="18"/>
              </w:rPr>
              <w:t>po rekonstrukci, funkce krajinotvorná</w:t>
            </w:r>
          </w:p>
        </w:tc>
      </w:tr>
      <w:tr w:rsidR="00CA23D0" w:rsidRPr="00E30642" w14:paraId="587CB24A"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62AFFBAE" w14:textId="77777777" w:rsidR="00CA23D0" w:rsidRPr="00D3579D" w:rsidRDefault="00CA23D0" w:rsidP="00CA23D0">
            <w:pPr>
              <w:pStyle w:val="Texttabulky"/>
              <w:spacing w:line="240" w:lineRule="atLeast"/>
              <w:jc w:val="both"/>
              <w:rPr>
                <w:rFonts w:cs="Arial"/>
                <w:sz w:val="18"/>
              </w:rPr>
            </w:pPr>
            <w:r w:rsidRPr="00D3579D">
              <w:rPr>
                <w:rFonts w:cs="Arial"/>
                <w:b/>
                <w:bCs/>
                <w:sz w:val="18"/>
              </w:rPr>
              <w:t>Maxičky</w:t>
            </w:r>
          </w:p>
        </w:tc>
        <w:tc>
          <w:tcPr>
            <w:tcW w:w="668" w:type="dxa"/>
            <w:tcBorders>
              <w:top w:val="single" w:sz="6" w:space="0" w:color="auto"/>
              <w:left w:val="single" w:sz="6" w:space="0" w:color="auto"/>
              <w:bottom w:val="single" w:sz="6" w:space="0" w:color="auto"/>
              <w:right w:val="single" w:sz="6" w:space="0" w:color="auto"/>
            </w:tcBorders>
          </w:tcPr>
          <w:p w14:paraId="14572A37" w14:textId="77777777" w:rsidR="00CA23D0" w:rsidRPr="00D3579D" w:rsidRDefault="00CA23D0" w:rsidP="00CA23D0">
            <w:pPr>
              <w:pStyle w:val="Texttabulky"/>
              <w:spacing w:line="240" w:lineRule="atLeast"/>
              <w:jc w:val="both"/>
              <w:rPr>
                <w:rFonts w:cs="Arial"/>
                <w:sz w:val="18"/>
              </w:rPr>
            </w:pPr>
            <w:r w:rsidRPr="00D3579D">
              <w:rPr>
                <w:rFonts w:cs="Arial"/>
                <w:sz w:val="18"/>
              </w:rPr>
              <w:t>230</w:t>
            </w:r>
          </w:p>
        </w:tc>
        <w:tc>
          <w:tcPr>
            <w:tcW w:w="696" w:type="dxa"/>
            <w:tcBorders>
              <w:top w:val="single" w:sz="6" w:space="0" w:color="auto"/>
              <w:left w:val="single" w:sz="6" w:space="0" w:color="auto"/>
              <w:bottom w:val="single" w:sz="6" w:space="0" w:color="auto"/>
              <w:right w:val="single" w:sz="6" w:space="0" w:color="auto"/>
            </w:tcBorders>
          </w:tcPr>
          <w:p w14:paraId="6EFB37F3" w14:textId="77777777" w:rsidR="00CA23D0" w:rsidRPr="00D3579D" w:rsidRDefault="00CA23D0" w:rsidP="00CA23D0">
            <w:pPr>
              <w:pStyle w:val="Texttabulky"/>
              <w:spacing w:line="240" w:lineRule="atLeast"/>
              <w:jc w:val="both"/>
              <w:rPr>
                <w:rFonts w:cs="Arial"/>
                <w:sz w:val="18"/>
              </w:rPr>
            </w:pPr>
            <w:r w:rsidRPr="00D3579D">
              <w:rPr>
                <w:rFonts w:cs="Arial"/>
                <w:sz w:val="18"/>
              </w:rPr>
              <w:t>6 033</w:t>
            </w:r>
          </w:p>
        </w:tc>
        <w:tc>
          <w:tcPr>
            <w:tcW w:w="1636" w:type="dxa"/>
            <w:tcBorders>
              <w:top w:val="single" w:sz="6" w:space="0" w:color="auto"/>
              <w:left w:val="single" w:sz="6" w:space="0" w:color="auto"/>
              <w:bottom w:val="single" w:sz="6" w:space="0" w:color="auto"/>
              <w:right w:val="single" w:sz="6" w:space="0" w:color="auto"/>
            </w:tcBorders>
          </w:tcPr>
          <w:p w14:paraId="369E596B" w14:textId="77777777" w:rsidR="00CA23D0" w:rsidRPr="00D3579D" w:rsidRDefault="00CA23D0" w:rsidP="00CA23D0">
            <w:pPr>
              <w:pStyle w:val="Texttabulky"/>
              <w:spacing w:line="240" w:lineRule="atLeast"/>
              <w:jc w:val="both"/>
              <w:rPr>
                <w:rFonts w:cs="Arial"/>
                <w:sz w:val="18"/>
              </w:rPr>
            </w:pPr>
            <w:r w:rsidRPr="00D3579D">
              <w:rPr>
                <w:rFonts w:cs="Arial"/>
                <w:sz w:val="18"/>
              </w:rPr>
              <w:t>Mlýnský ryb. Napajedla</w:t>
            </w:r>
          </w:p>
        </w:tc>
        <w:tc>
          <w:tcPr>
            <w:tcW w:w="1132" w:type="dxa"/>
            <w:tcBorders>
              <w:top w:val="single" w:sz="6" w:space="0" w:color="auto"/>
              <w:left w:val="single" w:sz="6" w:space="0" w:color="auto"/>
              <w:bottom w:val="single" w:sz="6" w:space="0" w:color="auto"/>
              <w:right w:val="single" w:sz="6" w:space="0" w:color="auto"/>
            </w:tcBorders>
          </w:tcPr>
          <w:p w14:paraId="73D92653" w14:textId="77777777" w:rsidR="00CA23D0" w:rsidRPr="00D3579D" w:rsidRDefault="00CA23D0" w:rsidP="00CA23D0">
            <w:pPr>
              <w:pStyle w:val="Texttabulky"/>
              <w:spacing w:line="240" w:lineRule="atLeast"/>
              <w:jc w:val="both"/>
              <w:rPr>
                <w:rFonts w:cs="Arial"/>
                <w:sz w:val="18"/>
              </w:rPr>
            </w:pPr>
            <w:r w:rsidRPr="00D3579D">
              <w:rPr>
                <w:rFonts w:cs="Arial"/>
                <w:sz w:val="18"/>
              </w:rPr>
              <w:t>LČR</w:t>
            </w:r>
          </w:p>
        </w:tc>
        <w:tc>
          <w:tcPr>
            <w:tcW w:w="3245" w:type="dxa"/>
            <w:tcBorders>
              <w:top w:val="single" w:sz="6" w:space="0" w:color="auto"/>
              <w:left w:val="single" w:sz="6" w:space="0" w:color="auto"/>
              <w:bottom w:val="single" w:sz="6" w:space="0" w:color="auto"/>
              <w:right w:val="single" w:sz="6" w:space="0" w:color="auto"/>
            </w:tcBorders>
          </w:tcPr>
          <w:p w14:paraId="6CA030CA" w14:textId="77777777" w:rsidR="00CA23D0" w:rsidRPr="00D3579D" w:rsidRDefault="00CA23D0" w:rsidP="00CA23D0">
            <w:pPr>
              <w:pStyle w:val="Texttabulky"/>
              <w:spacing w:line="240" w:lineRule="atLeast"/>
              <w:jc w:val="both"/>
              <w:rPr>
                <w:rFonts w:cs="Arial"/>
                <w:sz w:val="18"/>
              </w:rPr>
            </w:pPr>
            <w:r w:rsidRPr="00D3579D">
              <w:rPr>
                <w:rFonts w:cs="Arial"/>
                <w:sz w:val="18"/>
              </w:rPr>
              <w:t>běžná údržba, funkce krajinotvorná</w:t>
            </w:r>
          </w:p>
        </w:tc>
      </w:tr>
      <w:tr w:rsidR="00CA23D0" w:rsidRPr="00E30642" w14:paraId="7D9A4431"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42D092EE" w14:textId="77777777" w:rsidR="00CA23D0" w:rsidRPr="00D3579D" w:rsidRDefault="00CA23D0" w:rsidP="00CA23D0">
            <w:pPr>
              <w:pStyle w:val="Texttabulky"/>
              <w:spacing w:line="240" w:lineRule="atLeast"/>
              <w:jc w:val="both"/>
              <w:rPr>
                <w:rFonts w:cs="Arial"/>
                <w:sz w:val="18"/>
              </w:rPr>
            </w:pPr>
            <w:r w:rsidRPr="00D3579D">
              <w:rPr>
                <w:rFonts w:cs="Arial"/>
                <w:b/>
                <w:bCs/>
                <w:sz w:val="18"/>
              </w:rPr>
              <w:t>Maxičky</w:t>
            </w:r>
          </w:p>
        </w:tc>
        <w:tc>
          <w:tcPr>
            <w:tcW w:w="668" w:type="dxa"/>
            <w:tcBorders>
              <w:top w:val="single" w:sz="6" w:space="0" w:color="auto"/>
              <w:left w:val="single" w:sz="6" w:space="0" w:color="auto"/>
              <w:bottom w:val="single" w:sz="6" w:space="0" w:color="auto"/>
              <w:right w:val="single" w:sz="6" w:space="0" w:color="auto"/>
            </w:tcBorders>
          </w:tcPr>
          <w:p w14:paraId="56A18A54" w14:textId="77777777" w:rsidR="00CA23D0" w:rsidRPr="00D3579D" w:rsidRDefault="00CA23D0" w:rsidP="00CA23D0">
            <w:pPr>
              <w:pStyle w:val="Texttabulky"/>
              <w:spacing w:line="240" w:lineRule="atLeast"/>
              <w:jc w:val="both"/>
              <w:rPr>
                <w:rFonts w:cs="Arial"/>
                <w:sz w:val="18"/>
              </w:rPr>
            </w:pPr>
            <w:r w:rsidRPr="00D3579D">
              <w:rPr>
                <w:rFonts w:cs="Arial"/>
                <w:sz w:val="18"/>
              </w:rPr>
              <w:t>172</w:t>
            </w:r>
          </w:p>
        </w:tc>
        <w:tc>
          <w:tcPr>
            <w:tcW w:w="696" w:type="dxa"/>
            <w:tcBorders>
              <w:top w:val="single" w:sz="6" w:space="0" w:color="auto"/>
              <w:left w:val="single" w:sz="6" w:space="0" w:color="auto"/>
              <w:bottom w:val="single" w:sz="6" w:space="0" w:color="auto"/>
              <w:right w:val="single" w:sz="6" w:space="0" w:color="auto"/>
            </w:tcBorders>
          </w:tcPr>
          <w:p w14:paraId="0E449881" w14:textId="77777777" w:rsidR="00CA23D0" w:rsidRPr="00D3579D" w:rsidRDefault="00CA23D0" w:rsidP="00CA23D0">
            <w:pPr>
              <w:pStyle w:val="Texttabulky"/>
              <w:spacing w:line="240" w:lineRule="atLeast"/>
              <w:jc w:val="both"/>
              <w:rPr>
                <w:rFonts w:cs="Arial"/>
                <w:sz w:val="18"/>
              </w:rPr>
            </w:pPr>
            <w:r w:rsidRPr="00D3579D">
              <w:rPr>
                <w:rFonts w:cs="Arial"/>
                <w:sz w:val="18"/>
              </w:rPr>
              <w:t>14 705</w:t>
            </w:r>
          </w:p>
        </w:tc>
        <w:tc>
          <w:tcPr>
            <w:tcW w:w="1636" w:type="dxa"/>
            <w:tcBorders>
              <w:top w:val="single" w:sz="6" w:space="0" w:color="auto"/>
              <w:left w:val="single" w:sz="6" w:space="0" w:color="auto"/>
              <w:bottom w:val="single" w:sz="6" w:space="0" w:color="auto"/>
              <w:right w:val="single" w:sz="6" w:space="0" w:color="auto"/>
            </w:tcBorders>
          </w:tcPr>
          <w:p w14:paraId="789B341F" w14:textId="77777777" w:rsidR="00CA23D0" w:rsidRPr="00D3579D" w:rsidRDefault="00CA23D0" w:rsidP="00CA23D0">
            <w:pPr>
              <w:pStyle w:val="Texttabulky"/>
              <w:spacing w:line="240" w:lineRule="atLeast"/>
              <w:jc w:val="both"/>
              <w:rPr>
                <w:rFonts w:cs="Arial"/>
                <w:sz w:val="18"/>
              </w:rPr>
            </w:pPr>
            <w:r w:rsidRPr="00D3579D">
              <w:rPr>
                <w:rFonts w:cs="Arial"/>
                <w:sz w:val="18"/>
              </w:rPr>
              <w:t>rybník</w:t>
            </w:r>
          </w:p>
        </w:tc>
        <w:tc>
          <w:tcPr>
            <w:tcW w:w="1132" w:type="dxa"/>
            <w:tcBorders>
              <w:top w:val="single" w:sz="6" w:space="0" w:color="auto"/>
              <w:left w:val="single" w:sz="6" w:space="0" w:color="auto"/>
              <w:bottom w:val="single" w:sz="6" w:space="0" w:color="auto"/>
              <w:right w:val="single" w:sz="6" w:space="0" w:color="auto"/>
            </w:tcBorders>
          </w:tcPr>
          <w:p w14:paraId="752B905B" w14:textId="77777777" w:rsidR="00CA23D0" w:rsidRPr="00D3579D" w:rsidRDefault="00CA23D0" w:rsidP="00CA23D0">
            <w:pPr>
              <w:pStyle w:val="Texttabulky"/>
              <w:spacing w:line="240" w:lineRule="atLeast"/>
              <w:jc w:val="both"/>
              <w:rPr>
                <w:rFonts w:cs="Arial"/>
                <w:sz w:val="18"/>
              </w:rPr>
            </w:pPr>
            <w:r w:rsidRPr="00D3579D">
              <w:rPr>
                <w:rFonts w:cs="Arial"/>
                <w:sz w:val="18"/>
              </w:rPr>
              <w:t>Policie ČR</w:t>
            </w:r>
          </w:p>
        </w:tc>
        <w:tc>
          <w:tcPr>
            <w:tcW w:w="3245" w:type="dxa"/>
            <w:tcBorders>
              <w:top w:val="single" w:sz="6" w:space="0" w:color="auto"/>
              <w:left w:val="single" w:sz="6" w:space="0" w:color="auto"/>
              <w:bottom w:val="single" w:sz="6" w:space="0" w:color="auto"/>
              <w:right w:val="single" w:sz="6" w:space="0" w:color="auto"/>
            </w:tcBorders>
          </w:tcPr>
          <w:p w14:paraId="234DE015" w14:textId="77777777" w:rsidR="00CA23D0" w:rsidRPr="00D3579D" w:rsidRDefault="00CA23D0" w:rsidP="00CA23D0">
            <w:pPr>
              <w:pStyle w:val="Texttabulky"/>
              <w:spacing w:line="240" w:lineRule="atLeast"/>
              <w:jc w:val="both"/>
              <w:rPr>
                <w:rFonts w:cs="Arial"/>
                <w:sz w:val="18"/>
              </w:rPr>
            </w:pPr>
            <w:r w:rsidRPr="00D3579D">
              <w:rPr>
                <w:rFonts w:cs="Arial"/>
                <w:sz w:val="18"/>
              </w:rPr>
              <w:t>funkce rekreace, retence</w:t>
            </w:r>
          </w:p>
        </w:tc>
      </w:tr>
      <w:tr w:rsidR="00CA23D0" w:rsidRPr="00E30642" w14:paraId="1592B021" w14:textId="77777777" w:rsidTr="00CA23D0">
        <w:trPr>
          <w:jc w:val="center"/>
        </w:trPr>
        <w:tc>
          <w:tcPr>
            <w:tcW w:w="941" w:type="dxa"/>
            <w:tcBorders>
              <w:top w:val="single" w:sz="6" w:space="0" w:color="auto"/>
              <w:left w:val="single" w:sz="6" w:space="0" w:color="auto"/>
              <w:bottom w:val="single" w:sz="6" w:space="0" w:color="auto"/>
              <w:right w:val="single" w:sz="6" w:space="0" w:color="auto"/>
            </w:tcBorders>
          </w:tcPr>
          <w:p w14:paraId="2236FF58" w14:textId="77777777" w:rsidR="00CA23D0" w:rsidRPr="00D3579D" w:rsidRDefault="00CA23D0" w:rsidP="00CA23D0">
            <w:pPr>
              <w:pStyle w:val="Texttabulky"/>
              <w:spacing w:line="240" w:lineRule="atLeast"/>
              <w:jc w:val="both"/>
              <w:rPr>
                <w:rFonts w:cs="Arial"/>
                <w:sz w:val="18"/>
              </w:rPr>
            </w:pPr>
            <w:r w:rsidRPr="00D3579D">
              <w:rPr>
                <w:rFonts w:cs="Arial"/>
                <w:b/>
                <w:bCs/>
                <w:sz w:val="18"/>
              </w:rPr>
              <w:t>Maxičky</w:t>
            </w:r>
          </w:p>
        </w:tc>
        <w:tc>
          <w:tcPr>
            <w:tcW w:w="668" w:type="dxa"/>
            <w:tcBorders>
              <w:top w:val="single" w:sz="6" w:space="0" w:color="auto"/>
              <w:left w:val="single" w:sz="6" w:space="0" w:color="auto"/>
              <w:bottom w:val="single" w:sz="6" w:space="0" w:color="auto"/>
              <w:right w:val="single" w:sz="6" w:space="0" w:color="auto"/>
            </w:tcBorders>
          </w:tcPr>
          <w:p w14:paraId="32EE8A0B" w14:textId="77777777" w:rsidR="00CA23D0" w:rsidRPr="00D3579D" w:rsidRDefault="00CA23D0" w:rsidP="00CA23D0">
            <w:pPr>
              <w:pStyle w:val="Texttabulky"/>
              <w:spacing w:line="240" w:lineRule="atLeast"/>
              <w:jc w:val="both"/>
              <w:rPr>
                <w:rFonts w:cs="Arial"/>
                <w:sz w:val="18"/>
              </w:rPr>
            </w:pPr>
            <w:r w:rsidRPr="00D3579D">
              <w:rPr>
                <w:rFonts w:cs="Arial"/>
                <w:sz w:val="18"/>
              </w:rPr>
              <w:t>173/7</w:t>
            </w:r>
          </w:p>
        </w:tc>
        <w:tc>
          <w:tcPr>
            <w:tcW w:w="696" w:type="dxa"/>
            <w:tcBorders>
              <w:top w:val="single" w:sz="6" w:space="0" w:color="auto"/>
              <w:left w:val="single" w:sz="6" w:space="0" w:color="auto"/>
              <w:bottom w:val="single" w:sz="6" w:space="0" w:color="auto"/>
              <w:right w:val="single" w:sz="6" w:space="0" w:color="auto"/>
            </w:tcBorders>
          </w:tcPr>
          <w:p w14:paraId="04328EE2" w14:textId="77777777" w:rsidR="00CA23D0" w:rsidRPr="00D3579D" w:rsidRDefault="00CA23D0" w:rsidP="00CA23D0">
            <w:pPr>
              <w:pStyle w:val="Texttabulky"/>
              <w:spacing w:line="240" w:lineRule="atLeast"/>
              <w:jc w:val="both"/>
              <w:rPr>
                <w:rFonts w:cs="Arial"/>
                <w:sz w:val="18"/>
              </w:rPr>
            </w:pPr>
            <w:r w:rsidRPr="00D3579D">
              <w:rPr>
                <w:rFonts w:cs="Arial"/>
                <w:sz w:val="18"/>
              </w:rPr>
              <w:t>970</w:t>
            </w:r>
          </w:p>
        </w:tc>
        <w:tc>
          <w:tcPr>
            <w:tcW w:w="1636" w:type="dxa"/>
            <w:tcBorders>
              <w:top w:val="single" w:sz="6" w:space="0" w:color="auto"/>
              <w:left w:val="single" w:sz="6" w:space="0" w:color="auto"/>
              <w:bottom w:val="single" w:sz="6" w:space="0" w:color="auto"/>
              <w:right w:val="single" w:sz="6" w:space="0" w:color="auto"/>
            </w:tcBorders>
          </w:tcPr>
          <w:p w14:paraId="22A02123" w14:textId="77777777" w:rsidR="00CA23D0" w:rsidRPr="00D3579D" w:rsidRDefault="00CA23D0" w:rsidP="00CA23D0">
            <w:pPr>
              <w:pStyle w:val="Texttabulky"/>
              <w:spacing w:line="240" w:lineRule="atLeast"/>
              <w:jc w:val="both"/>
              <w:rPr>
                <w:rFonts w:cs="Arial"/>
                <w:sz w:val="18"/>
              </w:rPr>
            </w:pPr>
            <w:r w:rsidRPr="00D3579D">
              <w:rPr>
                <w:rFonts w:cs="Arial"/>
                <w:sz w:val="18"/>
              </w:rPr>
              <w:t>Lesní rybník</w:t>
            </w:r>
          </w:p>
        </w:tc>
        <w:tc>
          <w:tcPr>
            <w:tcW w:w="1132" w:type="dxa"/>
            <w:tcBorders>
              <w:top w:val="single" w:sz="6" w:space="0" w:color="auto"/>
              <w:left w:val="single" w:sz="6" w:space="0" w:color="auto"/>
              <w:bottom w:val="single" w:sz="6" w:space="0" w:color="auto"/>
              <w:right w:val="single" w:sz="6" w:space="0" w:color="auto"/>
            </w:tcBorders>
          </w:tcPr>
          <w:p w14:paraId="7423F58E" w14:textId="77777777" w:rsidR="00CA23D0" w:rsidRPr="00D3579D" w:rsidRDefault="00CA23D0" w:rsidP="00CA23D0">
            <w:pPr>
              <w:pStyle w:val="Texttabulky"/>
              <w:spacing w:line="240" w:lineRule="atLeast"/>
              <w:jc w:val="both"/>
              <w:rPr>
                <w:rFonts w:cs="Arial"/>
                <w:sz w:val="18"/>
              </w:rPr>
            </w:pPr>
            <w:r w:rsidRPr="00D3579D">
              <w:rPr>
                <w:rFonts w:cs="Arial"/>
                <w:sz w:val="18"/>
              </w:rPr>
              <w:t>Policie ČR</w:t>
            </w:r>
          </w:p>
        </w:tc>
        <w:tc>
          <w:tcPr>
            <w:tcW w:w="3245" w:type="dxa"/>
            <w:tcBorders>
              <w:top w:val="single" w:sz="6" w:space="0" w:color="auto"/>
              <w:left w:val="single" w:sz="6" w:space="0" w:color="auto"/>
              <w:bottom w:val="single" w:sz="6" w:space="0" w:color="auto"/>
              <w:right w:val="single" w:sz="6" w:space="0" w:color="auto"/>
            </w:tcBorders>
          </w:tcPr>
          <w:p w14:paraId="2290517B" w14:textId="77777777" w:rsidR="00CA23D0" w:rsidRPr="00D3579D" w:rsidRDefault="00CA23D0" w:rsidP="00CA23D0">
            <w:pPr>
              <w:pStyle w:val="Texttabulky"/>
              <w:spacing w:line="240" w:lineRule="atLeast"/>
              <w:jc w:val="both"/>
              <w:rPr>
                <w:rFonts w:cs="Arial"/>
                <w:sz w:val="18"/>
              </w:rPr>
            </w:pPr>
            <w:r w:rsidRPr="00D3579D">
              <w:rPr>
                <w:rFonts w:cs="Arial"/>
                <w:sz w:val="18"/>
              </w:rPr>
              <w:t>funkce okrasná</w:t>
            </w:r>
          </w:p>
        </w:tc>
      </w:tr>
    </w:tbl>
    <w:p w14:paraId="377BB0AA" w14:textId="77777777" w:rsidR="00CA23D0" w:rsidRPr="00E30642" w:rsidRDefault="00CA23D0" w:rsidP="00CA23D0">
      <w:pPr>
        <w:autoSpaceDE w:val="0"/>
        <w:autoSpaceDN w:val="0"/>
        <w:adjustRightInd w:val="0"/>
        <w:jc w:val="both"/>
        <w:rPr>
          <w:rFonts w:ascii="Arial" w:hAnsi="Arial" w:cs="Arial"/>
          <w:sz w:val="20"/>
        </w:rPr>
      </w:pPr>
    </w:p>
    <w:p w14:paraId="1F3538F6" w14:textId="77777777" w:rsidR="00CA23D0" w:rsidRDefault="00CA23D0" w:rsidP="00CA23D0">
      <w:pPr>
        <w:pStyle w:val="Zkladntext"/>
        <w:jc w:val="both"/>
        <w:rPr>
          <w:rFonts w:ascii="Arial" w:hAnsi="Arial" w:cs="Arial"/>
        </w:rPr>
      </w:pPr>
    </w:p>
    <w:p w14:paraId="57D6E89E" w14:textId="77777777" w:rsidR="00D3579D" w:rsidRPr="00E30642" w:rsidRDefault="00D3579D" w:rsidP="00CA23D0">
      <w:pPr>
        <w:pStyle w:val="Zkladntext"/>
        <w:jc w:val="both"/>
        <w:rPr>
          <w:rFonts w:ascii="Arial" w:hAnsi="Arial" w:cs="Arial"/>
        </w:rPr>
      </w:pPr>
    </w:p>
    <w:p w14:paraId="6AA6D887" w14:textId="77777777" w:rsidR="00CA23D0" w:rsidRPr="00E30642" w:rsidRDefault="00CA23D0" w:rsidP="00CA23D0">
      <w:pPr>
        <w:pStyle w:val="podnadpis2"/>
        <w:spacing w:line="240" w:lineRule="atLeast"/>
        <w:jc w:val="both"/>
        <w:rPr>
          <w:rFonts w:cs="Arial"/>
        </w:rPr>
      </w:pPr>
      <w:r w:rsidRPr="00E30642">
        <w:rPr>
          <w:rFonts w:cs="Arial"/>
          <w:szCs w:val="22"/>
        </w:rPr>
        <w:t>Navrhované nádrže</w:t>
      </w:r>
    </w:p>
    <w:p w14:paraId="1DCD98CC"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V řešeném území bylo navrženo v rámci prací na směrném "vodohospodářském plánu </w:t>
      </w:r>
      <w:r w:rsidRPr="00E30642">
        <w:rPr>
          <w:rFonts w:ascii="Arial" w:hAnsi="Arial" w:cs="Arial"/>
          <w:b/>
          <w:bCs/>
          <w:sz w:val="22"/>
          <w:szCs w:val="22"/>
        </w:rPr>
        <w:t>vodní dílo Dolní Žleb</w:t>
      </w:r>
      <w:r w:rsidRPr="00E30642">
        <w:rPr>
          <w:rFonts w:ascii="Arial" w:hAnsi="Arial" w:cs="Arial"/>
          <w:sz w:val="22"/>
          <w:szCs w:val="22"/>
        </w:rPr>
        <w:t>". Dílo je doposud součástí platného směrného vodohospodářského plánu schváleného v r. 1976 vládou ČSSR (usnesení vlády č. 121/1975) a může být vypuštěno pouze na základě rozhodnutí Ministerstva životního prostředí ČR. Následně Měst NV Děčín vydal 15. dubna 1987 Vyhlášku č. 6/87, kterou stanovil stavební uzávěru pro přípravu vodního díla. Stavební uzávěra byla zrušena rozhodnutím MR/1132/97.</w:t>
      </w:r>
    </w:p>
    <w:p w14:paraId="736B9735"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Vodní dílo mělo být situováno v pl. km 103,3 a s hladinou normálního vzdutí na kótě 126,70 (BALT p.v.). Zvýšení vodní hladiny ve zdrži v oblasti Děčína by vyvolalo značné zásahy do inženýrských sítí a objektů na březích řeky. Nutná by byla demolice min. 30 objektů </w:t>
      </w:r>
      <w:r w:rsidRPr="00E30642">
        <w:rPr>
          <w:rFonts w:ascii="Arial" w:hAnsi="Arial" w:cs="Arial"/>
          <w:sz w:val="22"/>
          <w:szCs w:val="22"/>
        </w:rPr>
        <w:lastRenderedPageBreak/>
        <w:t>vyžadujících náhradní bytovou výstavbu a technické zabezpečení dalších staveb. Nutné by byly i úpravy u průmyslových objektů v Rozbělesích. Koncepce díla v daném vzdutí se ukázala jako značně kontroverzní z hlediska ochrany životního prostředí. Městská rada Děčína tuto koncepci jednoznačně odmítla.</w:t>
      </w:r>
    </w:p>
    <w:p w14:paraId="0194C8F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b/>
          <w:bCs/>
          <w:sz w:val="22"/>
          <w:szCs w:val="22"/>
        </w:rPr>
        <w:t>Na základě následných studijních prací byla navržena nová koncepce se situováním vodního díla do Prostředního Žlebu. V současné době se prověřují i další možná technická řešení.</w:t>
      </w:r>
    </w:p>
    <w:p w14:paraId="43ED5C41"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sz w:val="22"/>
          <w:szCs w:val="22"/>
        </w:rPr>
        <w:t>Vodní dílo je součástí opatření, která mají zlepšit plavební podmínky na Labi v úseku od Střekova po státní hranici. Navíc bude umožněno využití části hydroenergického potenciálu řeky. Osa vodního díla byla navržena v plavebním kilometru 98,88.</w:t>
      </w:r>
    </w:p>
    <w:p w14:paraId="03F904E2" w14:textId="77777777" w:rsidR="00CA23D0" w:rsidRPr="00E30642" w:rsidRDefault="00CA23D0" w:rsidP="00CA23D0">
      <w:pPr>
        <w:pStyle w:val="Zkladntext"/>
        <w:spacing w:before="120" w:after="0" w:line="288" w:lineRule="auto"/>
        <w:jc w:val="both"/>
        <w:rPr>
          <w:rFonts w:ascii="Arial" w:hAnsi="Arial" w:cs="Arial"/>
          <w:sz w:val="22"/>
          <w:szCs w:val="22"/>
        </w:rPr>
      </w:pPr>
    </w:p>
    <w:p w14:paraId="033CF3D3"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caps/>
          <w:sz w:val="22"/>
          <w:szCs w:val="22"/>
        </w:rPr>
        <w:t>Vodní dílo se skládá z:</w:t>
      </w:r>
    </w:p>
    <w:p w14:paraId="54628F16"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Jezové části</w:t>
      </w:r>
    </w:p>
    <w:p w14:paraId="641829FE"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zaujímá vlastní řečiště Labe v profilu vodního díla. Jejím úkolem je udržování hladiny v nadjezí na úrovni stálého nadržení na kótě 124,50 m n.m., tedy o cca 2m níže než byl původní záměr. Jez má být pohyblivý o polích 3 x 43m.</w:t>
      </w:r>
    </w:p>
    <w:p w14:paraId="0E0FCE71"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Plavebního zařízení</w:t>
      </w:r>
    </w:p>
    <w:p w14:paraId="0F6F7E6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náplní je výstavba malé a velké plavební komory. (200 x 24 x 4m a 190 x 12,5 x 4m) situované na levém břehu řeky.</w:t>
      </w:r>
    </w:p>
    <w:p w14:paraId="434FDAA1"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sz w:val="22"/>
          <w:szCs w:val="22"/>
        </w:rPr>
        <w:t>Energetické části</w:t>
      </w:r>
    </w:p>
    <w:p w14:paraId="69831D57"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vodního díla je navržena s  cílem maximálního využití daného potenciálu díla pro získání max. množství vyrobené energie. Dosažitelný výkon vodní elektrárny je cca 12 MW a výroba elektrické energie v průměrně vodném roce cca 74 GWh. Elektrárnu je navrženo situovat v pravém břehu. Součástí vodního díla bude i rybí přechod.</w:t>
      </w:r>
    </w:p>
    <w:p w14:paraId="66097E0D" w14:textId="77777777" w:rsidR="00CA23D0" w:rsidRPr="00E30642" w:rsidRDefault="00CA23D0" w:rsidP="00CA23D0">
      <w:pPr>
        <w:pStyle w:val="Zkladntext"/>
        <w:spacing w:before="120" w:after="0" w:line="288" w:lineRule="auto"/>
        <w:jc w:val="both"/>
        <w:rPr>
          <w:rFonts w:ascii="Arial" w:hAnsi="Arial" w:cs="Arial"/>
          <w:sz w:val="22"/>
          <w:szCs w:val="22"/>
        </w:rPr>
      </w:pPr>
    </w:p>
    <w:p w14:paraId="1535A4B2" w14:textId="77777777" w:rsidR="00CA23D0" w:rsidRPr="00E30642" w:rsidRDefault="00CA23D0" w:rsidP="00CA23D0">
      <w:pPr>
        <w:pStyle w:val="Zkladntext"/>
        <w:spacing w:before="120" w:after="0" w:line="288" w:lineRule="auto"/>
        <w:jc w:val="both"/>
        <w:rPr>
          <w:rFonts w:ascii="Arial" w:hAnsi="Arial" w:cs="Arial"/>
          <w:sz w:val="22"/>
          <w:szCs w:val="22"/>
        </w:rPr>
      </w:pPr>
      <w:r w:rsidRPr="00E30642">
        <w:rPr>
          <w:rFonts w:ascii="Arial" w:hAnsi="Arial" w:cs="Arial"/>
          <w:b/>
          <w:bCs/>
          <w:caps/>
          <w:sz w:val="22"/>
          <w:szCs w:val="22"/>
        </w:rPr>
        <w:t>Úpravy v souvislosti se zátopou vodního díla:</w:t>
      </w:r>
    </w:p>
    <w:p w14:paraId="45FC10B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Úpravy, které bude nutno provést v souvislosti se zátopou lze rozdělit do následujících skupin stavebních objektů:</w:t>
      </w:r>
    </w:p>
    <w:p w14:paraId="72190979" w14:textId="77777777" w:rsidR="00CA23D0" w:rsidRPr="00E30642" w:rsidRDefault="00CA23D0" w:rsidP="00CA23D0">
      <w:pPr>
        <w:pStyle w:val="Zkladntext"/>
        <w:tabs>
          <w:tab w:val="left" w:pos="360"/>
        </w:tabs>
        <w:spacing w:before="120" w:after="0" w:line="288" w:lineRule="auto"/>
        <w:ind w:left="360" w:hanging="360"/>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úpravy břehů;</w:t>
      </w:r>
    </w:p>
    <w:p w14:paraId="458D697B" w14:textId="77777777" w:rsidR="00CA23D0" w:rsidRPr="00E30642" w:rsidRDefault="00CA23D0" w:rsidP="00CA23D0">
      <w:pPr>
        <w:pStyle w:val="Zkladntext"/>
        <w:tabs>
          <w:tab w:val="left" w:pos="360"/>
        </w:tabs>
        <w:spacing w:before="120" w:after="0" w:line="288" w:lineRule="auto"/>
        <w:ind w:left="360" w:hanging="360"/>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úpravy zaústění vodotečí;</w:t>
      </w:r>
    </w:p>
    <w:p w14:paraId="5D147DB5" w14:textId="77777777" w:rsidR="00CA23D0" w:rsidRPr="00E30642" w:rsidRDefault="00CA23D0" w:rsidP="00CA23D0">
      <w:pPr>
        <w:pStyle w:val="Zkladntext"/>
        <w:tabs>
          <w:tab w:val="left" w:pos="360"/>
        </w:tabs>
        <w:spacing w:before="120" w:after="0" w:line="288" w:lineRule="auto"/>
        <w:ind w:left="360" w:hanging="360"/>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sanace objektů;</w:t>
      </w:r>
    </w:p>
    <w:p w14:paraId="7627636A" w14:textId="77777777" w:rsidR="00CA23D0" w:rsidRPr="00E30642" w:rsidRDefault="00CA23D0" w:rsidP="00CA23D0">
      <w:pPr>
        <w:pStyle w:val="Zkladntext"/>
        <w:tabs>
          <w:tab w:val="left" w:pos="360"/>
        </w:tabs>
        <w:spacing w:before="120" w:after="0" w:line="288" w:lineRule="auto"/>
        <w:ind w:left="360" w:hanging="360"/>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přeložky silnoproudých a slaboproudých vedení;</w:t>
      </w:r>
    </w:p>
    <w:p w14:paraId="601DD177" w14:textId="77777777" w:rsidR="00CA23D0" w:rsidRPr="00E30642" w:rsidRDefault="00CA23D0" w:rsidP="00CA23D0">
      <w:pPr>
        <w:pStyle w:val="Zkladntext"/>
        <w:tabs>
          <w:tab w:val="left" w:pos="360"/>
        </w:tabs>
        <w:spacing w:before="120" w:after="0" w:line="288" w:lineRule="auto"/>
        <w:ind w:left="360" w:hanging="360"/>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přeložky plynovodů a vodovodů;</w:t>
      </w:r>
    </w:p>
    <w:p w14:paraId="72F9BB16" w14:textId="77777777" w:rsidR="00CA23D0" w:rsidRPr="00E30642" w:rsidRDefault="00CA23D0" w:rsidP="00CA23D0">
      <w:pPr>
        <w:pStyle w:val="Zkladntext"/>
        <w:tabs>
          <w:tab w:val="left" w:pos="360"/>
        </w:tabs>
        <w:spacing w:before="120" w:after="0" w:line="288" w:lineRule="auto"/>
        <w:ind w:left="360" w:hanging="360"/>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úpravy na kanalizační síti;</w:t>
      </w:r>
    </w:p>
    <w:p w14:paraId="718B3AAB" w14:textId="77777777" w:rsidR="00CA23D0" w:rsidRPr="00E30642" w:rsidRDefault="00CA23D0" w:rsidP="00CA23D0">
      <w:pPr>
        <w:pStyle w:val="Zkladntext"/>
        <w:tabs>
          <w:tab w:val="left" w:pos="360"/>
        </w:tabs>
        <w:spacing w:before="120" w:after="0" w:line="288" w:lineRule="auto"/>
        <w:ind w:left="360" w:hanging="360"/>
        <w:jc w:val="both"/>
        <w:rPr>
          <w:rFonts w:ascii="Arial" w:hAnsi="Arial" w:cs="Arial"/>
          <w:sz w:val="22"/>
          <w:szCs w:val="22"/>
        </w:rPr>
      </w:pPr>
      <w:r w:rsidRPr="00E30642">
        <w:rPr>
          <w:rFonts w:ascii="Arial" w:hAnsi="Arial" w:cs="Arial"/>
          <w:sz w:val="22"/>
          <w:szCs w:val="22"/>
        </w:rPr>
        <w:t>-</w:t>
      </w:r>
      <w:r w:rsidRPr="00E30642">
        <w:rPr>
          <w:rFonts w:ascii="Arial" w:hAnsi="Arial" w:cs="Arial"/>
          <w:sz w:val="22"/>
          <w:szCs w:val="22"/>
        </w:rPr>
        <w:tab/>
        <w:t>úpravy plavebního značení a zařízení.</w:t>
      </w:r>
    </w:p>
    <w:p w14:paraId="05569FBF"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Úpravy břehů a úpravy zaústění vodotečí jsou popsány v předchozí kapitole. Podkladem pro základní údaje sloužil elaborát HDP Praha (12/98) kde jsou údaje zpracovány </w:t>
      </w:r>
      <w:r w:rsidRPr="00E30642">
        <w:rPr>
          <w:rFonts w:ascii="Arial" w:hAnsi="Arial" w:cs="Arial"/>
          <w:sz w:val="22"/>
          <w:szCs w:val="22"/>
        </w:rPr>
        <w:lastRenderedPageBreak/>
        <w:t xml:space="preserve">podrobněji pro účely žádosti o územní rozhodnutí díla. V další projektové dokumentaci bude při přijetí dané koncepce záměr zpřesňován. Pro potřebu územního plánování byl zahrnut profil díla a navržená trvalá zátopa. Vliv na infrastrukturu města bude nutné v další přípravě zpřesňovat. </w:t>
      </w:r>
    </w:p>
    <w:p w14:paraId="673B0BF8" w14:textId="77777777" w:rsidR="00CA23D0" w:rsidRPr="00E30642" w:rsidRDefault="00CA23D0" w:rsidP="00CA23D0">
      <w:pPr>
        <w:pStyle w:val="Zkladntext"/>
        <w:tabs>
          <w:tab w:val="left" w:pos="360"/>
        </w:tabs>
        <w:spacing w:before="120" w:after="0" w:line="288" w:lineRule="auto"/>
        <w:ind w:left="360" w:firstLine="349"/>
        <w:jc w:val="both"/>
        <w:rPr>
          <w:rFonts w:ascii="Arial" w:hAnsi="Arial" w:cs="Arial"/>
          <w:sz w:val="22"/>
          <w:szCs w:val="22"/>
        </w:rPr>
      </w:pPr>
      <w:r w:rsidRPr="00E30642">
        <w:rPr>
          <w:rFonts w:ascii="Arial" w:hAnsi="Arial" w:cs="Arial"/>
          <w:b/>
          <w:bCs/>
          <w:sz w:val="22"/>
          <w:szCs w:val="22"/>
        </w:rPr>
        <w:t>Jiné větší nádrže se v území nenavrhuje realizovat</w:t>
      </w:r>
      <w:r w:rsidRPr="00E30642">
        <w:rPr>
          <w:rFonts w:ascii="Arial" w:hAnsi="Arial" w:cs="Arial"/>
          <w:sz w:val="22"/>
          <w:szCs w:val="22"/>
        </w:rPr>
        <w:t>.</w:t>
      </w:r>
    </w:p>
    <w:p w14:paraId="5F472207" w14:textId="77777777" w:rsidR="00CA23D0" w:rsidRPr="00E30642" w:rsidRDefault="00CA23D0" w:rsidP="00CA23D0">
      <w:pPr>
        <w:pStyle w:val="Zkladntext"/>
        <w:jc w:val="both"/>
        <w:rPr>
          <w:rFonts w:ascii="Arial" w:hAnsi="Arial" w:cs="Arial"/>
        </w:rPr>
      </w:pPr>
    </w:p>
    <w:p w14:paraId="46F146D3" w14:textId="77777777" w:rsidR="00CA23D0" w:rsidRPr="00E30642" w:rsidRDefault="00CA23D0" w:rsidP="00CA23D0">
      <w:pPr>
        <w:pStyle w:val="podnadpis2"/>
        <w:spacing w:line="240" w:lineRule="atLeast"/>
        <w:jc w:val="both"/>
        <w:rPr>
          <w:rFonts w:cs="Arial"/>
        </w:rPr>
      </w:pPr>
      <w:r w:rsidRPr="00E30642">
        <w:rPr>
          <w:rFonts w:cs="Arial"/>
        </w:rPr>
        <w:t>C.9.4. Čistota vody</w:t>
      </w:r>
    </w:p>
    <w:p w14:paraId="3136F627" w14:textId="77777777" w:rsidR="00CA23D0" w:rsidRPr="00E30642" w:rsidRDefault="00CA23D0" w:rsidP="00CA23D0">
      <w:pPr>
        <w:pStyle w:val="Zkladntext"/>
        <w:spacing w:line="240" w:lineRule="atLeast"/>
        <w:jc w:val="both"/>
        <w:rPr>
          <w:rFonts w:ascii="Arial" w:hAnsi="Arial" w:cs="Arial"/>
        </w:rPr>
      </w:pPr>
    </w:p>
    <w:p w14:paraId="248E066B" w14:textId="77777777" w:rsidR="00CA23D0" w:rsidRPr="00E30642" w:rsidRDefault="00CA23D0" w:rsidP="00CA23D0">
      <w:pPr>
        <w:pStyle w:val="podnadpis2"/>
        <w:spacing w:line="240" w:lineRule="atLeast"/>
        <w:jc w:val="both"/>
        <w:rPr>
          <w:rFonts w:cs="Arial"/>
        </w:rPr>
      </w:pPr>
      <w:r w:rsidRPr="00E30642">
        <w:rPr>
          <w:rFonts w:cs="Arial"/>
          <w:szCs w:val="22"/>
        </w:rPr>
        <w:t>Labe</w:t>
      </w:r>
    </w:p>
    <w:p w14:paraId="7798FEF3"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Dle dokumentace řešící vliv VD Malé Březno na životní prostředí zpracované Severočeským centrem ekologických služeb Ústí n. L. v září 1995:</w:t>
      </w:r>
    </w:p>
    <w:p w14:paraId="4379A670"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 xml:space="preserve">Kvalita vody v Labi je doložena výsledky z měření profilu Děčín, který odpovídá mezinárodnímu kontrolnímu profilu (sledovaný MKOL). V tabulce jsou vedeny hodnoty koncentrací vybraných ukazatelů "mgfe" a třídy čistoty vody v daném ukazateli (stav r. 1992, laboratoře Povodí Labe). </w:t>
      </w:r>
    </w:p>
    <w:p w14:paraId="2CF301C3" w14:textId="77777777" w:rsidR="00CA23D0" w:rsidRPr="00E30642" w:rsidRDefault="00CA23D0" w:rsidP="00CA23D0">
      <w:pPr>
        <w:pStyle w:val="Zkladntext"/>
        <w:spacing w:line="240" w:lineRule="atLeast"/>
        <w:jc w:val="both"/>
        <w:rPr>
          <w:rFonts w:ascii="Arial" w:hAnsi="Arial" w:cs="Arial"/>
        </w:rPr>
      </w:pPr>
    </w:p>
    <w:tbl>
      <w:tblPr>
        <w:tblW w:w="0" w:type="auto"/>
        <w:tblLayout w:type="fixed"/>
        <w:tblCellMar>
          <w:left w:w="70" w:type="dxa"/>
          <w:right w:w="70" w:type="dxa"/>
        </w:tblCellMar>
        <w:tblLook w:val="0000" w:firstRow="0" w:lastRow="0" w:firstColumn="0" w:lastColumn="0" w:noHBand="0" w:noVBand="0"/>
      </w:tblPr>
      <w:tblGrid>
        <w:gridCol w:w="1722"/>
        <w:gridCol w:w="695"/>
        <w:gridCol w:w="630"/>
        <w:gridCol w:w="694"/>
        <w:gridCol w:w="646"/>
        <w:gridCol w:w="744"/>
        <w:gridCol w:w="746"/>
        <w:gridCol w:w="728"/>
        <w:gridCol w:w="696"/>
        <w:gridCol w:w="762"/>
        <w:gridCol w:w="762"/>
      </w:tblGrid>
      <w:tr w:rsidR="00CA23D0" w:rsidRPr="00E30642" w14:paraId="0EEF1BED" w14:textId="77777777" w:rsidTr="00CA23D0">
        <w:trPr>
          <w:trHeight w:val="362"/>
        </w:trPr>
        <w:tc>
          <w:tcPr>
            <w:tcW w:w="1722" w:type="dxa"/>
            <w:tcBorders>
              <w:top w:val="single" w:sz="6" w:space="0" w:color="auto"/>
              <w:left w:val="single" w:sz="6" w:space="0" w:color="auto"/>
              <w:bottom w:val="nil"/>
              <w:right w:val="single" w:sz="6" w:space="0" w:color="auto"/>
            </w:tcBorders>
          </w:tcPr>
          <w:p w14:paraId="01975EF9" w14:textId="77777777" w:rsidR="00CA23D0" w:rsidRPr="00E30642" w:rsidRDefault="00CA23D0" w:rsidP="00CA23D0">
            <w:pPr>
              <w:pStyle w:val="Texttabulky"/>
              <w:spacing w:line="240" w:lineRule="atLeast"/>
              <w:jc w:val="both"/>
              <w:rPr>
                <w:rFonts w:cs="Arial"/>
              </w:rPr>
            </w:pPr>
            <w:r w:rsidRPr="00E30642">
              <w:rPr>
                <w:rFonts w:cs="Arial"/>
                <w:b/>
                <w:bCs/>
              </w:rPr>
              <w:t>Mezinárodní profil</w:t>
            </w:r>
          </w:p>
        </w:tc>
        <w:tc>
          <w:tcPr>
            <w:tcW w:w="1325" w:type="dxa"/>
            <w:gridSpan w:val="2"/>
            <w:tcBorders>
              <w:top w:val="single" w:sz="6" w:space="0" w:color="auto"/>
              <w:left w:val="single" w:sz="6" w:space="0" w:color="auto"/>
              <w:bottom w:val="single" w:sz="6" w:space="0" w:color="auto"/>
              <w:right w:val="single" w:sz="6" w:space="0" w:color="auto"/>
            </w:tcBorders>
          </w:tcPr>
          <w:p w14:paraId="272334B9"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BSK</w:t>
            </w:r>
            <w:r w:rsidRPr="00E30642">
              <w:rPr>
                <w:rFonts w:ascii="Arial" w:hAnsi="Arial" w:cs="Arial"/>
                <w:b/>
                <w:bCs/>
                <w:position w:val="-6"/>
                <w:sz w:val="16"/>
              </w:rPr>
              <w:t>5</w:t>
            </w:r>
          </w:p>
        </w:tc>
        <w:tc>
          <w:tcPr>
            <w:tcW w:w="1340" w:type="dxa"/>
            <w:gridSpan w:val="2"/>
            <w:tcBorders>
              <w:top w:val="single" w:sz="6" w:space="0" w:color="auto"/>
              <w:left w:val="single" w:sz="6" w:space="0" w:color="auto"/>
              <w:bottom w:val="single" w:sz="6" w:space="0" w:color="auto"/>
              <w:right w:val="single" w:sz="6" w:space="0" w:color="auto"/>
            </w:tcBorders>
          </w:tcPr>
          <w:p w14:paraId="0CAA74E1"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CHSK</w:t>
            </w:r>
            <w:r w:rsidRPr="00E30642">
              <w:rPr>
                <w:rFonts w:ascii="Arial" w:hAnsi="Arial" w:cs="Arial"/>
                <w:b/>
                <w:bCs/>
                <w:position w:val="-6"/>
                <w:sz w:val="16"/>
              </w:rPr>
              <w:t>ex</w:t>
            </w:r>
          </w:p>
        </w:tc>
        <w:tc>
          <w:tcPr>
            <w:tcW w:w="1490" w:type="dxa"/>
            <w:gridSpan w:val="2"/>
            <w:tcBorders>
              <w:top w:val="single" w:sz="6" w:space="0" w:color="auto"/>
              <w:left w:val="single" w:sz="6" w:space="0" w:color="auto"/>
              <w:bottom w:val="single" w:sz="6" w:space="0" w:color="auto"/>
              <w:right w:val="single" w:sz="6" w:space="0" w:color="auto"/>
            </w:tcBorders>
          </w:tcPr>
          <w:p w14:paraId="0252884A"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A-NH</w:t>
            </w:r>
            <w:r w:rsidRPr="00E30642">
              <w:rPr>
                <w:rFonts w:ascii="Arial" w:hAnsi="Arial" w:cs="Arial"/>
                <w:b/>
                <w:bCs/>
                <w:position w:val="-6"/>
                <w:sz w:val="16"/>
              </w:rPr>
              <w:t>4</w:t>
            </w:r>
          </w:p>
        </w:tc>
        <w:tc>
          <w:tcPr>
            <w:tcW w:w="1424" w:type="dxa"/>
            <w:gridSpan w:val="2"/>
            <w:tcBorders>
              <w:top w:val="single" w:sz="6" w:space="0" w:color="auto"/>
              <w:left w:val="single" w:sz="6" w:space="0" w:color="auto"/>
              <w:bottom w:val="single" w:sz="6" w:space="0" w:color="auto"/>
              <w:right w:val="single" w:sz="6" w:space="0" w:color="auto"/>
            </w:tcBorders>
          </w:tcPr>
          <w:p w14:paraId="33431E9E"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A-NO</w:t>
            </w:r>
            <w:r w:rsidRPr="00E30642">
              <w:rPr>
                <w:rFonts w:ascii="Arial" w:hAnsi="Arial" w:cs="Arial"/>
                <w:b/>
                <w:bCs/>
                <w:position w:val="-6"/>
                <w:sz w:val="16"/>
              </w:rPr>
              <w:t>3</w:t>
            </w:r>
          </w:p>
        </w:tc>
        <w:tc>
          <w:tcPr>
            <w:tcW w:w="1524" w:type="dxa"/>
            <w:gridSpan w:val="2"/>
            <w:tcBorders>
              <w:top w:val="single" w:sz="6" w:space="0" w:color="auto"/>
              <w:left w:val="single" w:sz="6" w:space="0" w:color="auto"/>
              <w:bottom w:val="single" w:sz="6" w:space="0" w:color="auto"/>
              <w:right w:val="single" w:sz="6" w:space="0" w:color="auto"/>
            </w:tcBorders>
          </w:tcPr>
          <w:p w14:paraId="30FA572D" w14:textId="77777777" w:rsidR="00CA23D0" w:rsidRPr="00E30642" w:rsidRDefault="00CA23D0" w:rsidP="00CA23D0">
            <w:pPr>
              <w:pStyle w:val="Zkladntext"/>
              <w:jc w:val="both"/>
              <w:rPr>
                <w:rFonts w:ascii="Arial" w:hAnsi="Arial" w:cs="Arial"/>
                <w:sz w:val="16"/>
              </w:rPr>
            </w:pPr>
            <w:r w:rsidRPr="00E30642">
              <w:rPr>
                <w:rFonts w:ascii="Arial" w:hAnsi="Arial" w:cs="Arial"/>
                <w:b/>
                <w:bCs/>
                <w:sz w:val="16"/>
              </w:rPr>
              <w:t>P</w:t>
            </w:r>
            <w:r w:rsidRPr="00E30642">
              <w:rPr>
                <w:rFonts w:ascii="Arial" w:hAnsi="Arial" w:cs="Arial"/>
                <w:b/>
                <w:bCs/>
                <w:position w:val="-6"/>
                <w:sz w:val="16"/>
              </w:rPr>
              <w:t>celk</w:t>
            </w:r>
          </w:p>
        </w:tc>
      </w:tr>
      <w:tr w:rsidR="00CA23D0" w:rsidRPr="00E30642" w14:paraId="09D0310A" w14:textId="77777777" w:rsidTr="00CA23D0">
        <w:trPr>
          <w:trHeight w:val="185"/>
        </w:trPr>
        <w:tc>
          <w:tcPr>
            <w:tcW w:w="1722" w:type="dxa"/>
            <w:vMerge w:val="restart"/>
            <w:tcBorders>
              <w:top w:val="single" w:sz="6" w:space="0" w:color="auto"/>
              <w:left w:val="single" w:sz="6" w:space="0" w:color="auto"/>
              <w:right w:val="single" w:sz="6" w:space="0" w:color="auto"/>
            </w:tcBorders>
          </w:tcPr>
          <w:p w14:paraId="060F0245" w14:textId="77777777" w:rsidR="00CA23D0" w:rsidRPr="00E30642" w:rsidRDefault="00CA23D0" w:rsidP="00CA23D0">
            <w:pPr>
              <w:pStyle w:val="Zkladntext"/>
              <w:spacing w:line="240" w:lineRule="atLeast"/>
              <w:jc w:val="both"/>
              <w:rPr>
                <w:rFonts w:ascii="Arial" w:hAnsi="Arial" w:cs="Arial"/>
              </w:rPr>
            </w:pPr>
          </w:p>
          <w:p w14:paraId="08D6BE84" w14:textId="77777777" w:rsidR="00CA23D0" w:rsidRPr="00E30642" w:rsidRDefault="00CA23D0" w:rsidP="00CA23D0">
            <w:pPr>
              <w:pStyle w:val="Texttabulky"/>
              <w:spacing w:line="240" w:lineRule="atLeast"/>
              <w:jc w:val="both"/>
              <w:rPr>
                <w:rFonts w:cs="Arial"/>
              </w:rPr>
            </w:pPr>
            <w:r w:rsidRPr="00E30642">
              <w:rPr>
                <w:rFonts w:cs="Arial"/>
              </w:rPr>
              <w:t>Děčín</w:t>
            </w:r>
          </w:p>
        </w:tc>
        <w:tc>
          <w:tcPr>
            <w:tcW w:w="695" w:type="dxa"/>
            <w:tcBorders>
              <w:top w:val="nil"/>
              <w:left w:val="nil"/>
              <w:bottom w:val="single" w:sz="6" w:space="0" w:color="auto"/>
              <w:right w:val="single" w:sz="6" w:space="0" w:color="auto"/>
            </w:tcBorders>
          </w:tcPr>
          <w:p w14:paraId="31577494" w14:textId="77777777" w:rsidR="00CA23D0" w:rsidRPr="00E30642" w:rsidRDefault="00CA23D0" w:rsidP="00CA23D0">
            <w:pPr>
              <w:pStyle w:val="Texttabulky"/>
              <w:spacing w:line="240" w:lineRule="atLeast"/>
              <w:jc w:val="both"/>
              <w:rPr>
                <w:rFonts w:cs="Arial"/>
              </w:rPr>
            </w:pPr>
            <w:r w:rsidRPr="00E30642">
              <w:rPr>
                <w:rFonts w:cs="Arial"/>
              </w:rPr>
              <w:t>C90</w:t>
            </w:r>
          </w:p>
        </w:tc>
        <w:tc>
          <w:tcPr>
            <w:tcW w:w="629" w:type="dxa"/>
            <w:tcBorders>
              <w:top w:val="nil"/>
              <w:left w:val="single" w:sz="6" w:space="0" w:color="auto"/>
              <w:bottom w:val="single" w:sz="6" w:space="0" w:color="auto"/>
              <w:right w:val="single" w:sz="6" w:space="0" w:color="auto"/>
            </w:tcBorders>
          </w:tcPr>
          <w:p w14:paraId="032030D1" w14:textId="77777777" w:rsidR="00CA23D0" w:rsidRPr="00E30642" w:rsidRDefault="00CA23D0" w:rsidP="00CA23D0">
            <w:pPr>
              <w:pStyle w:val="Texttabulky"/>
              <w:spacing w:line="240" w:lineRule="atLeast"/>
              <w:jc w:val="both"/>
              <w:rPr>
                <w:rFonts w:cs="Arial"/>
              </w:rPr>
            </w:pPr>
            <w:r w:rsidRPr="00E30642">
              <w:rPr>
                <w:rFonts w:cs="Arial"/>
              </w:rPr>
              <w:t>třída</w:t>
            </w:r>
          </w:p>
        </w:tc>
        <w:tc>
          <w:tcPr>
            <w:tcW w:w="694" w:type="dxa"/>
            <w:tcBorders>
              <w:top w:val="nil"/>
              <w:left w:val="single" w:sz="6" w:space="0" w:color="auto"/>
              <w:bottom w:val="single" w:sz="6" w:space="0" w:color="auto"/>
              <w:right w:val="single" w:sz="6" w:space="0" w:color="auto"/>
            </w:tcBorders>
          </w:tcPr>
          <w:p w14:paraId="04FD71FF" w14:textId="77777777" w:rsidR="00CA23D0" w:rsidRPr="00E30642" w:rsidRDefault="00CA23D0" w:rsidP="00CA23D0">
            <w:pPr>
              <w:pStyle w:val="Texttabulky"/>
              <w:spacing w:line="240" w:lineRule="atLeast"/>
              <w:jc w:val="both"/>
              <w:rPr>
                <w:rFonts w:cs="Arial"/>
              </w:rPr>
            </w:pPr>
            <w:r w:rsidRPr="00E30642">
              <w:rPr>
                <w:rFonts w:cs="Arial"/>
              </w:rPr>
              <w:t>C90</w:t>
            </w:r>
          </w:p>
        </w:tc>
        <w:tc>
          <w:tcPr>
            <w:tcW w:w="646" w:type="dxa"/>
            <w:tcBorders>
              <w:top w:val="nil"/>
              <w:left w:val="single" w:sz="6" w:space="0" w:color="auto"/>
              <w:bottom w:val="single" w:sz="6" w:space="0" w:color="auto"/>
              <w:right w:val="single" w:sz="6" w:space="0" w:color="auto"/>
            </w:tcBorders>
          </w:tcPr>
          <w:p w14:paraId="0A0AF7FB" w14:textId="77777777" w:rsidR="00CA23D0" w:rsidRPr="00E30642" w:rsidRDefault="00CA23D0" w:rsidP="00CA23D0">
            <w:pPr>
              <w:pStyle w:val="Texttabulky"/>
              <w:spacing w:line="240" w:lineRule="atLeast"/>
              <w:jc w:val="both"/>
              <w:rPr>
                <w:rFonts w:cs="Arial"/>
              </w:rPr>
            </w:pPr>
            <w:r w:rsidRPr="00E30642">
              <w:rPr>
                <w:rFonts w:cs="Arial"/>
              </w:rPr>
              <w:t>třída</w:t>
            </w:r>
          </w:p>
        </w:tc>
        <w:tc>
          <w:tcPr>
            <w:tcW w:w="744" w:type="dxa"/>
            <w:tcBorders>
              <w:top w:val="nil"/>
              <w:left w:val="single" w:sz="6" w:space="0" w:color="auto"/>
              <w:bottom w:val="single" w:sz="6" w:space="0" w:color="auto"/>
              <w:right w:val="single" w:sz="6" w:space="0" w:color="auto"/>
            </w:tcBorders>
          </w:tcPr>
          <w:p w14:paraId="61D80AB6" w14:textId="77777777" w:rsidR="00CA23D0" w:rsidRPr="00E30642" w:rsidRDefault="00CA23D0" w:rsidP="00CA23D0">
            <w:pPr>
              <w:pStyle w:val="Texttabulky"/>
              <w:spacing w:line="240" w:lineRule="atLeast"/>
              <w:jc w:val="both"/>
              <w:rPr>
                <w:rFonts w:cs="Arial"/>
              </w:rPr>
            </w:pPr>
            <w:r w:rsidRPr="00E30642">
              <w:rPr>
                <w:rFonts w:cs="Arial"/>
              </w:rPr>
              <w:t>C90</w:t>
            </w:r>
          </w:p>
        </w:tc>
        <w:tc>
          <w:tcPr>
            <w:tcW w:w="745" w:type="dxa"/>
            <w:tcBorders>
              <w:top w:val="nil"/>
              <w:left w:val="single" w:sz="6" w:space="0" w:color="auto"/>
              <w:bottom w:val="single" w:sz="6" w:space="0" w:color="auto"/>
              <w:right w:val="single" w:sz="6" w:space="0" w:color="auto"/>
            </w:tcBorders>
          </w:tcPr>
          <w:p w14:paraId="381FD9B3" w14:textId="77777777" w:rsidR="00CA23D0" w:rsidRPr="00E30642" w:rsidRDefault="00CA23D0" w:rsidP="00CA23D0">
            <w:pPr>
              <w:pStyle w:val="Texttabulky"/>
              <w:spacing w:line="240" w:lineRule="atLeast"/>
              <w:jc w:val="both"/>
              <w:rPr>
                <w:rFonts w:cs="Arial"/>
              </w:rPr>
            </w:pPr>
            <w:r w:rsidRPr="00E30642">
              <w:rPr>
                <w:rFonts w:cs="Arial"/>
              </w:rPr>
              <w:t>třída</w:t>
            </w:r>
          </w:p>
        </w:tc>
        <w:tc>
          <w:tcPr>
            <w:tcW w:w="728" w:type="dxa"/>
            <w:tcBorders>
              <w:top w:val="nil"/>
              <w:left w:val="single" w:sz="6" w:space="0" w:color="auto"/>
              <w:bottom w:val="single" w:sz="6" w:space="0" w:color="auto"/>
              <w:right w:val="single" w:sz="6" w:space="0" w:color="auto"/>
            </w:tcBorders>
          </w:tcPr>
          <w:p w14:paraId="38EF80AB" w14:textId="77777777" w:rsidR="00CA23D0" w:rsidRPr="00E30642" w:rsidRDefault="00CA23D0" w:rsidP="00CA23D0">
            <w:pPr>
              <w:pStyle w:val="Texttabulky"/>
              <w:spacing w:line="240" w:lineRule="atLeast"/>
              <w:jc w:val="both"/>
              <w:rPr>
                <w:rFonts w:cs="Arial"/>
              </w:rPr>
            </w:pPr>
            <w:r w:rsidRPr="00E30642">
              <w:rPr>
                <w:rFonts w:cs="Arial"/>
              </w:rPr>
              <w:t>C90</w:t>
            </w:r>
          </w:p>
        </w:tc>
        <w:tc>
          <w:tcPr>
            <w:tcW w:w="695" w:type="dxa"/>
            <w:tcBorders>
              <w:top w:val="nil"/>
              <w:left w:val="single" w:sz="6" w:space="0" w:color="auto"/>
              <w:bottom w:val="single" w:sz="6" w:space="0" w:color="auto"/>
              <w:right w:val="single" w:sz="6" w:space="0" w:color="auto"/>
            </w:tcBorders>
          </w:tcPr>
          <w:p w14:paraId="5727F563" w14:textId="77777777" w:rsidR="00CA23D0" w:rsidRPr="00E30642" w:rsidRDefault="00CA23D0" w:rsidP="00CA23D0">
            <w:pPr>
              <w:pStyle w:val="Texttabulky"/>
              <w:spacing w:line="240" w:lineRule="atLeast"/>
              <w:jc w:val="both"/>
              <w:rPr>
                <w:rFonts w:cs="Arial"/>
              </w:rPr>
            </w:pPr>
            <w:r w:rsidRPr="00E30642">
              <w:rPr>
                <w:rFonts w:cs="Arial"/>
              </w:rPr>
              <w:t>třída</w:t>
            </w:r>
          </w:p>
        </w:tc>
        <w:tc>
          <w:tcPr>
            <w:tcW w:w="762" w:type="dxa"/>
            <w:tcBorders>
              <w:top w:val="nil"/>
              <w:left w:val="single" w:sz="6" w:space="0" w:color="auto"/>
              <w:bottom w:val="single" w:sz="6" w:space="0" w:color="auto"/>
              <w:right w:val="single" w:sz="6" w:space="0" w:color="auto"/>
            </w:tcBorders>
          </w:tcPr>
          <w:p w14:paraId="32FDCBEE" w14:textId="77777777" w:rsidR="00CA23D0" w:rsidRPr="00E30642" w:rsidRDefault="00CA23D0" w:rsidP="00CA23D0">
            <w:pPr>
              <w:pStyle w:val="Texttabulky"/>
              <w:spacing w:line="240" w:lineRule="atLeast"/>
              <w:jc w:val="both"/>
              <w:rPr>
                <w:rFonts w:cs="Arial"/>
              </w:rPr>
            </w:pPr>
            <w:r w:rsidRPr="00E30642">
              <w:rPr>
                <w:rFonts w:cs="Arial"/>
              </w:rPr>
              <w:t>C90</w:t>
            </w:r>
          </w:p>
        </w:tc>
        <w:tc>
          <w:tcPr>
            <w:tcW w:w="761" w:type="dxa"/>
            <w:tcBorders>
              <w:top w:val="nil"/>
              <w:left w:val="single" w:sz="6" w:space="0" w:color="auto"/>
              <w:bottom w:val="single" w:sz="6" w:space="0" w:color="auto"/>
              <w:right w:val="single" w:sz="6" w:space="0" w:color="auto"/>
            </w:tcBorders>
          </w:tcPr>
          <w:p w14:paraId="4D8531B1" w14:textId="77777777" w:rsidR="00CA23D0" w:rsidRPr="00E30642" w:rsidRDefault="00CA23D0" w:rsidP="00CA23D0">
            <w:pPr>
              <w:pStyle w:val="Texttabulky"/>
              <w:spacing w:line="240" w:lineRule="atLeast"/>
              <w:jc w:val="both"/>
              <w:rPr>
                <w:rFonts w:cs="Arial"/>
              </w:rPr>
            </w:pPr>
            <w:r w:rsidRPr="00E30642">
              <w:rPr>
                <w:rFonts w:cs="Arial"/>
              </w:rPr>
              <w:t>třída</w:t>
            </w:r>
          </w:p>
        </w:tc>
      </w:tr>
      <w:tr w:rsidR="00CA23D0" w:rsidRPr="00E30642" w14:paraId="08CC086F" w14:textId="77777777" w:rsidTr="00CA23D0">
        <w:trPr>
          <w:trHeight w:val="200"/>
        </w:trPr>
        <w:tc>
          <w:tcPr>
            <w:tcW w:w="1722" w:type="dxa"/>
            <w:vMerge/>
            <w:tcBorders>
              <w:left w:val="single" w:sz="6" w:space="0" w:color="auto"/>
              <w:bottom w:val="single" w:sz="6" w:space="0" w:color="auto"/>
              <w:right w:val="single" w:sz="6" w:space="0" w:color="auto"/>
            </w:tcBorders>
          </w:tcPr>
          <w:p w14:paraId="12F60907" w14:textId="77777777" w:rsidR="00CA23D0" w:rsidRPr="00E30642" w:rsidRDefault="00CA23D0" w:rsidP="00CA23D0">
            <w:pPr>
              <w:pStyle w:val="Zkladntext"/>
              <w:jc w:val="both"/>
              <w:rPr>
                <w:rFonts w:ascii="Arial" w:hAnsi="Arial" w:cs="Arial"/>
              </w:rPr>
            </w:pPr>
          </w:p>
        </w:tc>
        <w:tc>
          <w:tcPr>
            <w:tcW w:w="695" w:type="dxa"/>
            <w:tcBorders>
              <w:top w:val="single" w:sz="6" w:space="0" w:color="auto"/>
              <w:left w:val="nil"/>
              <w:bottom w:val="single" w:sz="6" w:space="0" w:color="auto"/>
              <w:right w:val="single" w:sz="6" w:space="0" w:color="auto"/>
            </w:tcBorders>
          </w:tcPr>
          <w:p w14:paraId="03C51475" w14:textId="77777777" w:rsidR="00CA23D0" w:rsidRPr="00E30642" w:rsidRDefault="00CA23D0" w:rsidP="00CA23D0">
            <w:pPr>
              <w:pStyle w:val="Texttabulky"/>
              <w:spacing w:line="240" w:lineRule="atLeast"/>
              <w:jc w:val="both"/>
              <w:rPr>
                <w:rFonts w:cs="Arial"/>
              </w:rPr>
            </w:pPr>
            <w:r w:rsidRPr="00E30642">
              <w:rPr>
                <w:rFonts w:cs="Arial"/>
              </w:rPr>
              <w:t>7,8</w:t>
            </w:r>
          </w:p>
        </w:tc>
        <w:tc>
          <w:tcPr>
            <w:tcW w:w="629" w:type="dxa"/>
            <w:tcBorders>
              <w:top w:val="single" w:sz="6" w:space="0" w:color="auto"/>
              <w:left w:val="single" w:sz="6" w:space="0" w:color="auto"/>
              <w:bottom w:val="single" w:sz="6" w:space="0" w:color="auto"/>
              <w:right w:val="single" w:sz="6" w:space="0" w:color="auto"/>
            </w:tcBorders>
          </w:tcPr>
          <w:p w14:paraId="3AAE87D9" w14:textId="77777777" w:rsidR="00CA23D0" w:rsidRPr="00E30642" w:rsidRDefault="00CA23D0" w:rsidP="00CA23D0">
            <w:pPr>
              <w:pStyle w:val="Texttabulky"/>
              <w:spacing w:line="240" w:lineRule="atLeast"/>
              <w:jc w:val="both"/>
              <w:rPr>
                <w:rFonts w:cs="Arial"/>
              </w:rPr>
            </w:pPr>
            <w:r w:rsidRPr="00E30642">
              <w:rPr>
                <w:rFonts w:cs="Arial"/>
              </w:rPr>
              <w:t>III</w:t>
            </w:r>
          </w:p>
        </w:tc>
        <w:tc>
          <w:tcPr>
            <w:tcW w:w="694" w:type="dxa"/>
            <w:tcBorders>
              <w:top w:val="single" w:sz="6" w:space="0" w:color="auto"/>
              <w:left w:val="single" w:sz="6" w:space="0" w:color="auto"/>
              <w:bottom w:val="single" w:sz="6" w:space="0" w:color="auto"/>
              <w:right w:val="single" w:sz="6" w:space="0" w:color="auto"/>
            </w:tcBorders>
          </w:tcPr>
          <w:p w14:paraId="549E6446" w14:textId="77777777" w:rsidR="00CA23D0" w:rsidRPr="00E30642" w:rsidRDefault="00CA23D0" w:rsidP="00CA23D0">
            <w:pPr>
              <w:pStyle w:val="Texttabulky"/>
              <w:spacing w:line="240" w:lineRule="atLeast"/>
              <w:jc w:val="both"/>
              <w:rPr>
                <w:rFonts w:cs="Arial"/>
              </w:rPr>
            </w:pPr>
            <w:r w:rsidRPr="00E30642">
              <w:rPr>
                <w:rFonts w:cs="Arial"/>
              </w:rPr>
              <w:t>43,5</w:t>
            </w:r>
          </w:p>
        </w:tc>
        <w:tc>
          <w:tcPr>
            <w:tcW w:w="646" w:type="dxa"/>
            <w:tcBorders>
              <w:top w:val="single" w:sz="6" w:space="0" w:color="auto"/>
              <w:left w:val="single" w:sz="6" w:space="0" w:color="auto"/>
              <w:bottom w:val="single" w:sz="6" w:space="0" w:color="auto"/>
              <w:right w:val="single" w:sz="6" w:space="0" w:color="auto"/>
            </w:tcBorders>
          </w:tcPr>
          <w:p w14:paraId="5B79C677" w14:textId="77777777" w:rsidR="00CA23D0" w:rsidRPr="00E30642" w:rsidRDefault="00CA23D0" w:rsidP="00CA23D0">
            <w:pPr>
              <w:pStyle w:val="Texttabulky"/>
              <w:spacing w:line="240" w:lineRule="atLeast"/>
              <w:jc w:val="both"/>
              <w:rPr>
                <w:rFonts w:cs="Arial"/>
              </w:rPr>
            </w:pPr>
            <w:r w:rsidRPr="00E30642">
              <w:rPr>
                <w:rFonts w:cs="Arial"/>
              </w:rPr>
              <w:t>IV</w:t>
            </w:r>
          </w:p>
        </w:tc>
        <w:tc>
          <w:tcPr>
            <w:tcW w:w="744" w:type="dxa"/>
            <w:tcBorders>
              <w:top w:val="single" w:sz="6" w:space="0" w:color="auto"/>
              <w:left w:val="single" w:sz="6" w:space="0" w:color="auto"/>
              <w:bottom w:val="single" w:sz="6" w:space="0" w:color="auto"/>
              <w:right w:val="single" w:sz="6" w:space="0" w:color="auto"/>
            </w:tcBorders>
          </w:tcPr>
          <w:p w14:paraId="69BFB8CA" w14:textId="77777777" w:rsidR="00CA23D0" w:rsidRPr="00E30642" w:rsidRDefault="00CA23D0" w:rsidP="00CA23D0">
            <w:pPr>
              <w:pStyle w:val="Texttabulky"/>
              <w:spacing w:line="240" w:lineRule="atLeast"/>
              <w:jc w:val="both"/>
              <w:rPr>
                <w:rFonts w:cs="Arial"/>
              </w:rPr>
            </w:pPr>
            <w:r w:rsidRPr="00E30642">
              <w:rPr>
                <w:rFonts w:cs="Arial"/>
              </w:rPr>
              <w:t>1,9</w:t>
            </w:r>
          </w:p>
        </w:tc>
        <w:tc>
          <w:tcPr>
            <w:tcW w:w="745" w:type="dxa"/>
            <w:tcBorders>
              <w:top w:val="single" w:sz="6" w:space="0" w:color="auto"/>
              <w:left w:val="single" w:sz="6" w:space="0" w:color="auto"/>
              <w:bottom w:val="single" w:sz="6" w:space="0" w:color="auto"/>
              <w:right w:val="single" w:sz="6" w:space="0" w:color="auto"/>
            </w:tcBorders>
          </w:tcPr>
          <w:p w14:paraId="7B211D5B" w14:textId="77777777" w:rsidR="00CA23D0" w:rsidRPr="00E30642" w:rsidRDefault="00CA23D0" w:rsidP="00CA23D0">
            <w:pPr>
              <w:pStyle w:val="Texttabulky"/>
              <w:spacing w:line="240" w:lineRule="atLeast"/>
              <w:jc w:val="both"/>
              <w:rPr>
                <w:rFonts w:cs="Arial"/>
              </w:rPr>
            </w:pPr>
            <w:r w:rsidRPr="00E30642">
              <w:rPr>
                <w:rFonts w:cs="Arial"/>
              </w:rPr>
              <w:t>IV</w:t>
            </w:r>
          </w:p>
        </w:tc>
        <w:tc>
          <w:tcPr>
            <w:tcW w:w="728" w:type="dxa"/>
            <w:tcBorders>
              <w:top w:val="single" w:sz="6" w:space="0" w:color="auto"/>
              <w:left w:val="single" w:sz="6" w:space="0" w:color="auto"/>
              <w:bottom w:val="single" w:sz="6" w:space="0" w:color="auto"/>
              <w:right w:val="single" w:sz="6" w:space="0" w:color="auto"/>
            </w:tcBorders>
          </w:tcPr>
          <w:p w14:paraId="4070358D" w14:textId="77777777" w:rsidR="00CA23D0" w:rsidRPr="00E30642" w:rsidRDefault="00CA23D0" w:rsidP="00CA23D0">
            <w:pPr>
              <w:pStyle w:val="Texttabulky"/>
              <w:spacing w:line="240" w:lineRule="atLeast"/>
              <w:jc w:val="both"/>
              <w:rPr>
                <w:rFonts w:cs="Arial"/>
              </w:rPr>
            </w:pPr>
            <w:r w:rsidRPr="00E30642">
              <w:rPr>
                <w:rFonts w:cs="Arial"/>
              </w:rPr>
              <w:t>7,6</w:t>
            </w:r>
          </w:p>
        </w:tc>
        <w:tc>
          <w:tcPr>
            <w:tcW w:w="695" w:type="dxa"/>
            <w:tcBorders>
              <w:top w:val="single" w:sz="6" w:space="0" w:color="auto"/>
              <w:left w:val="single" w:sz="6" w:space="0" w:color="auto"/>
              <w:bottom w:val="single" w:sz="6" w:space="0" w:color="auto"/>
              <w:right w:val="single" w:sz="6" w:space="0" w:color="auto"/>
            </w:tcBorders>
          </w:tcPr>
          <w:p w14:paraId="2BC3480D" w14:textId="77777777" w:rsidR="00CA23D0" w:rsidRPr="00E30642" w:rsidRDefault="00CA23D0" w:rsidP="00CA23D0">
            <w:pPr>
              <w:pStyle w:val="Texttabulky"/>
              <w:spacing w:line="240" w:lineRule="atLeast"/>
              <w:jc w:val="both"/>
              <w:rPr>
                <w:rFonts w:cs="Arial"/>
              </w:rPr>
            </w:pPr>
            <w:r w:rsidRPr="00E30642">
              <w:rPr>
                <w:rFonts w:cs="Arial"/>
              </w:rPr>
              <w:t>IV</w:t>
            </w:r>
          </w:p>
        </w:tc>
        <w:tc>
          <w:tcPr>
            <w:tcW w:w="762" w:type="dxa"/>
            <w:tcBorders>
              <w:top w:val="single" w:sz="6" w:space="0" w:color="auto"/>
              <w:left w:val="single" w:sz="6" w:space="0" w:color="auto"/>
              <w:bottom w:val="single" w:sz="6" w:space="0" w:color="auto"/>
              <w:right w:val="single" w:sz="6" w:space="0" w:color="auto"/>
            </w:tcBorders>
          </w:tcPr>
          <w:p w14:paraId="7DAFEECA" w14:textId="77777777" w:rsidR="00CA23D0" w:rsidRPr="00E30642" w:rsidRDefault="00CA23D0" w:rsidP="00CA23D0">
            <w:pPr>
              <w:pStyle w:val="Texttabulky"/>
              <w:spacing w:line="240" w:lineRule="atLeast"/>
              <w:jc w:val="both"/>
              <w:rPr>
                <w:rFonts w:cs="Arial"/>
              </w:rPr>
            </w:pPr>
            <w:r w:rsidRPr="00E30642">
              <w:rPr>
                <w:rFonts w:cs="Arial"/>
              </w:rPr>
              <w:t>0,3</w:t>
            </w:r>
          </w:p>
        </w:tc>
        <w:tc>
          <w:tcPr>
            <w:tcW w:w="761" w:type="dxa"/>
            <w:tcBorders>
              <w:top w:val="single" w:sz="6" w:space="0" w:color="auto"/>
              <w:left w:val="single" w:sz="6" w:space="0" w:color="auto"/>
              <w:bottom w:val="single" w:sz="6" w:space="0" w:color="auto"/>
              <w:right w:val="single" w:sz="6" w:space="0" w:color="auto"/>
            </w:tcBorders>
          </w:tcPr>
          <w:p w14:paraId="6168B3F1" w14:textId="77777777" w:rsidR="00CA23D0" w:rsidRPr="00E30642" w:rsidRDefault="00CA23D0" w:rsidP="00CA23D0">
            <w:pPr>
              <w:pStyle w:val="Texttabulky"/>
              <w:spacing w:line="240" w:lineRule="atLeast"/>
              <w:jc w:val="both"/>
              <w:rPr>
                <w:rFonts w:cs="Arial"/>
              </w:rPr>
            </w:pPr>
            <w:r w:rsidRPr="00E30642">
              <w:rPr>
                <w:rFonts w:cs="Arial"/>
              </w:rPr>
              <w:t>III</w:t>
            </w:r>
          </w:p>
        </w:tc>
      </w:tr>
    </w:tbl>
    <w:p w14:paraId="166C42AC" w14:textId="77777777" w:rsidR="00CA23D0" w:rsidRPr="00E30642" w:rsidRDefault="00CA23D0" w:rsidP="00CA23D0">
      <w:pPr>
        <w:autoSpaceDE w:val="0"/>
        <w:autoSpaceDN w:val="0"/>
        <w:adjustRightInd w:val="0"/>
        <w:jc w:val="both"/>
        <w:rPr>
          <w:rFonts w:ascii="Arial" w:hAnsi="Arial" w:cs="Arial"/>
          <w:sz w:val="20"/>
        </w:rPr>
      </w:pPr>
    </w:p>
    <w:p w14:paraId="52468ABD" w14:textId="77777777" w:rsidR="00CA23D0" w:rsidRPr="00E30642" w:rsidRDefault="00CA23D0" w:rsidP="00CA23D0">
      <w:pPr>
        <w:pStyle w:val="Zkladntext"/>
        <w:jc w:val="both"/>
        <w:rPr>
          <w:rFonts w:ascii="Arial" w:hAnsi="Arial" w:cs="Arial"/>
        </w:rPr>
      </w:pPr>
      <w:r w:rsidRPr="00E30642">
        <w:rPr>
          <w:rFonts w:ascii="Arial" w:hAnsi="Arial" w:cs="Arial"/>
        </w:rPr>
        <w:t>C</w:t>
      </w:r>
      <w:r w:rsidRPr="00E30642">
        <w:rPr>
          <w:rFonts w:ascii="Arial" w:hAnsi="Arial" w:cs="Arial"/>
          <w:position w:val="-6"/>
        </w:rPr>
        <w:t xml:space="preserve">90 </w:t>
      </w:r>
      <w:r w:rsidRPr="00E30642">
        <w:rPr>
          <w:rFonts w:ascii="Arial" w:hAnsi="Arial" w:cs="Arial"/>
        </w:rPr>
        <w:t xml:space="preserve"> - </w:t>
      </w:r>
      <w:r w:rsidRPr="00E30642">
        <w:rPr>
          <w:rFonts w:ascii="Arial" w:hAnsi="Arial" w:cs="Arial"/>
          <w:sz w:val="18"/>
          <w:szCs w:val="18"/>
        </w:rPr>
        <w:t xml:space="preserve">koncentrace s pravděpodobností nepřekročení 90 %. </w:t>
      </w:r>
    </w:p>
    <w:p w14:paraId="77454EB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p>
    <w:p w14:paraId="38E9F5C9" w14:textId="77777777" w:rsidR="00CA23D0" w:rsidRPr="00E30642" w:rsidRDefault="00CA23D0" w:rsidP="00CA23D0">
      <w:pPr>
        <w:pStyle w:val="Zkladntext"/>
        <w:spacing w:before="120" w:after="0" w:line="288" w:lineRule="auto"/>
        <w:ind w:firstLine="709"/>
        <w:jc w:val="both"/>
        <w:rPr>
          <w:rFonts w:ascii="Arial" w:hAnsi="Arial" w:cs="Arial"/>
          <w:sz w:val="22"/>
          <w:szCs w:val="22"/>
        </w:rPr>
      </w:pPr>
      <w:r w:rsidRPr="00E30642">
        <w:rPr>
          <w:rFonts w:ascii="Arial" w:hAnsi="Arial" w:cs="Arial"/>
          <w:sz w:val="22"/>
          <w:szCs w:val="22"/>
        </w:rPr>
        <w:t>V profilu Vaňova, přítoku Bíliny a Děčína byly zjištěny (r. 1992 Laboratoře Vodní zdroje GLS) dále uvedené koncentrace specifických organických látek ( g.1</w:t>
      </w:r>
      <w:r w:rsidRPr="00E30642">
        <w:rPr>
          <w:rFonts w:ascii="Arial" w:hAnsi="Arial" w:cs="Arial"/>
          <w:sz w:val="22"/>
          <w:szCs w:val="22"/>
          <w:vertAlign w:val="superscript"/>
        </w:rPr>
        <w:t>-1</w:t>
      </w:r>
      <w:r w:rsidRPr="00E30642">
        <w:rPr>
          <w:rFonts w:ascii="Arial" w:hAnsi="Arial" w:cs="Arial"/>
          <w:sz w:val="22"/>
          <w:szCs w:val="22"/>
        </w:rPr>
        <w:t>).</w:t>
      </w:r>
    </w:p>
    <w:p w14:paraId="0286ED20" w14:textId="77777777" w:rsidR="00CA23D0" w:rsidRPr="00E30642" w:rsidRDefault="00CA23D0" w:rsidP="00CA23D0">
      <w:pPr>
        <w:pStyle w:val="Zkladntext"/>
        <w:spacing w:line="240" w:lineRule="atLeast"/>
        <w:jc w:val="both"/>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257"/>
        <w:gridCol w:w="621"/>
        <w:gridCol w:w="585"/>
        <w:gridCol w:w="655"/>
        <w:gridCol w:w="759"/>
        <w:gridCol w:w="673"/>
        <w:gridCol w:w="759"/>
        <w:gridCol w:w="638"/>
        <w:gridCol w:w="673"/>
        <w:gridCol w:w="707"/>
        <w:gridCol w:w="656"/>
        <w:gridCol w:w="569"/>
        <w:gridCol w:w="794"/>
      </w:tblGrid>
      <w:tr w:rsidR="00CA23D0" w:rsidRPr="00E30642" w14:paraId="4944E8AC" w14:textId="77777777" w:rsidTr="00CA23D0">
        <w:trPr>
          <w:trHeight w:val="632"/>
        </w:trPr>
        <w:tc>
          <w:tcPr>
            <w:tcW w:w="1257" w:type="dxa"/>
            <w:tcBorders>
              <w:top w:val="single" w:sz="6" w:space="0" w:color="auto"/>
              <w:left w:val="single" w:sz="6" w:space="0" w:color="auto"/>
              <w:bottom w:val="nil"/>
              <w:right w:val="single" w:sz="6" w:space="0" w:color="auto"/>
            </w:tcBorders>
          </w:tcPr>
          <w:p w14:paraId="0D439495" w14:textId="77777777" w:rsidR="00CA23D0" w:rsidRPr="00E30642" w:rsidRDefault="00CA23D0" w:rsidP="00CA23D0">
            <w:pPr>
              <w:pStyle w:val="Texttabulky"/>
              <w:spacing w:line="240" w:lineRule="atLeast"/>
              <w:jc w:val="both"/>
              <w:rPr>
                <w:rFonts w:cs="Arial"/>
              </w:rPr>
            </w:pPr>
            <w:r w:rsidRPr="00E30642">
              <w:rPr>
                <w:rFonts w:cs="Arial"/>
                <w:b/>
                <w:bCs/>
                <w:sz w:val="18"/>
                <w:szCs w:val="18"/>
              </w:rPr>
              <w:t>Profil</w:t>
            </w:r>
          </w:p>
        </w:tc>
        <w:tc>
          <w:tcPr>
            <w:tcW w:w="1206" w:type="dxa"/>
            <w:gridSpan w:val="2"/>
            <w:tcBorders>
              <w:top w:val="single" w:sz="6" w:space="0" w:color="auto"/>
              <w:left w:val="single" w:sz="6" w:space="0" w:color="auto"/>
              <w:bottom w:val="single" w:sz="6" w:space="0" w:color="auto"/>
              <w:right w:val="single" w:sz="6" w:space="0" w:color="auto"/>
            </w:tcBorders>
          </w:tcPr>
          <w:p w14:paraId="74A7D532"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chlorbenzen</w:t>
            </w:r>
          </w:p>
        </w:tc>
        <w:tc>
          <w:tcPr>
            <w:tcW w:w="1414" w:type="dxa"/>
            <w:gridSpan w:val="2"/>
            <w:tcBorders>
              <w:top w:val="single" w:sz="6" w:space="0" w:color="auto"/>
              <w:left w:val="single" w:sz="6" w:space="0" w:color="auto"/>
              <w:bottom w:val="single" w:sz="6" w:space="0" w:color="auto"/>
              <w:right w:val="single" w:sz="6" w:space="0" w:color="auto"/>
            </w:tcBorders>
          </w:tcPr>
          <w:p w14:paraId="65AAD16B"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dichlorbenzen</w:t>
            </w:r>
          </w:p>
        </w:tc>
        <w:tc>
          <w:tcPr>
            <w:tcW w:w="1432" w:type="dxa"/>
            <w:gridSpan w:val="2"/>
            <w:tcBorders>
              <w:top w:val="single" w:sz="6" w:space="0" w:color="auto"/>
              <w:left w:val="single" w:sz="6" w:space="0" w:color="auto"/>
              <w:bottom w:val="single" w:sz="6" w:space="0" w:color="auto"/>
              <w:right w:val="single" w:sz="6" w:space="0" w:color="auto"/>
            </w:tcBorders>
          </w:tcPr>
          <w:p w14:paraId="6530E6F0"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trichlorbenzen</w:t>
            </w:r>
          </w:p>
        </w:tc>
        <w:tc>
          <w:tcPr>
            <w:tcW w:w="1311" w:type="dxa"/>
            <w:gridSpan w:val="2"/>
            <w:tcBorders>
              <w:top w:val="single" w:sz="6" w:space="0" w:color="auto"/>
              <w:left w:val="single" w:sz="6" w:space="0" w:color="auto"/>
              <w:bottom w:val="single" w:sz="6" w:space="0" w:color="auto"/>
              <w:right w:val="single" w:sz="6" w:space="0" w:color="auto"/>
            </w:tcBorders>
          </w:tcPr>
          <w:p w14:paraId="201862B3"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trichloretylen</w:t>
            </w:r>
          </w:p>
        </w:tc>
        <w:tc>
          <w:tcPr>
            <w:tcW w:w="1363" w:type="dxa"/>
            <w:gridSpan w:val="2"/>
            <w:tcBorders>
              <w:top w:val="single" w:sz="6" w:space="0" w:color="auto"/>
              <w:left w:val="single" w:sz="6" w:space="0" w:color="auto"/>
              <w:bottom w:val="single" w:sz="6" w:space="0" w:color="auto"/>
              <w:right w:val="single" w:sz="6" w:space="0" w:color="auto"/>
            </w:tcBorders>
          </w:tcPr>
          <w:p w14:paraId="628F3AE0"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1,2 trichloretan</w:t>
            </w:r>
          </w:p>
        </w:tc>
        <w:tc>
          <w:tcPr>
            <w:tcW w:w="1363" w:type="dxa"/>
            <w:gridSpan w:val="2"/>
            <w:tcBorders>
              <w:top w:val="single" w:sz="6" w:space="0" w:color="auto"/>
              <w:left w:val="single" w:sz="6" w:space="0" w:color="auto"/>
              <w:bottom w:val="single" w:sz="6" w:space="0" w:color="auto"/>
              <w:right w:val="single" w:sz="6" w:space="0" w:color="auto"/>
            </w:tcBorders>
          </w:tcPr>
          <w:p w14:paraId="2BD29904" w14:textId="77777777" w:rsidR="00CA23D0" w:rsidRPr="00E30642" w:rsidRDefault="00CA23D0" w:rsidP="00CA23D0">
            <w:pPr>
              <w:pStyle w:val="Zkladntext"/>
              <w:jc w:val="both"/>
              <w:rPr>
                <w:rFonts w:ascii="Arial" w:hAnsi="Arial" w:cs="Arial"/>
              </w:rPr>
            </w:pPr>
            <w:r w:rsidRPr="00E30642">
              <w:rPr>
                <w:rFonts w:ascii="Arial" w:hAnsi="Arial" w:cs="Arial"/>
                <w:b/>
                <w:bCs/>
                <w:sz w:val="18"/>
                <w:szCs w:val="18"/>
              </w:rPr>
              <w:t>PCB</w:t>
            </w:r>
          </w:p>
        </w:tc>
      </w:tr>
      <w:tr w:rsidR="00CA23D0" w:rsidRPr="00E30642" w14:paraId="3C982242" w14:textId="77777777" w:rsidTr="00CA23D0">
        <w:trPr>
          <w:trHeight w:val="319"/>
        </w:trPr>
        <w:tc>
          <w:tcPr>
            <w:tcW w:w="1257" w:type="dxa"/>
            <w:tcBorders>
              <w:top w:val="single" w:sz="6" w:space="0" w:color="auto"/>
              <w:left w:val="single" w:sz="6" w:space="0" w:color="auto"/>
              <w:bottom w:val="single" w:sz="6" w:space="0" w:color="auto"/>
              <w:right w:val="single" w:sz="6" w:space="0" w:color="auto"/>
            </w:tcBorders>
          </w:tcPr>
          <w:p w14:paraId="739EED7E" w14:textId="77777777" w:rsidR="00CA23D0" w:rsidRPr="00E30642" w:rsidRDefault="00CA23D0" w:rsidP="00CA23D0">
            <w:pPr>
              <w:pStyle w:val="Texttabulky"/>
              <w:spacing w:line="240" w:lineRule="atLeast"/>
              <w:jc w:val="both"/>
              <w:rPr>
                <w:rFonts w:cs="Arial"/>
              </w:rPr>
            </w:pPr>
            <w:r w:rsidRPr="00E30642">
              <w:rPr>
                <w:rFonts w:cs="Arial"/>
                <w:sz w:val="18"/>
                <w:szCs w:val="18"/>
              </w:rPr>
              <w:t>Labe Vaňov</w:t>
            </w:r>
          </w:p>
        </w:tc>
        <w:tc>
          <w:tcPr>
            <w:tcW w:w="621" w:type="dxa"/>
            <w:tcBorders>
              <w:top w:val="nil"/>
              <w:left w:val="nil"/>
              <w:bottom w:val="single" w:sz="6" w:space="0" w:color="auto"/>
              <w:right w:val="single" w:sz="6" w:space="0" w:color="auto"/>
            </w:tcBorders>
          </w:tcPr>
          <w:p w14:paraId="3309E0E7" w14:textId="77777777" w:rsidR="00CA23D0" w:rsidRPr="00E30642" w:rsidRDefault="00CA23D0" w:rsidP="00CA23D0">
            <w:pPr>
              <w:pStyle w:val="Texttabulky"/>
              <w:spacing w:line="240" w:lineRule="atLeast"/>
              <w:jc w:val="both"/>
              <w:rPr>
                <w:rFonts w:cs="Arial"/>
              </w:rPr>
            </w:pPr>
            <w:r w:rsidRPr="00E30642">
              <w:rPr>
                <w:rFonts w:cs="Arial"/>
                <w:sz w:val="18"/>
                <w:szCs w:val="18"/>
              </w:rPr>
              <w:t>0,1</w:t>
            </w:r>
          </w:p>
        </w:tc>
        <w:tc>
          <w:tcPr>
            <w:tcW w:w="585" w:type="dxa"/>
            <w:tcBorders>
              <w:top w:val="nil"/>
              <w:left w:val="single" w:sz="6" w:space="0" w:color="auto"/>
              <w:bottom w:val="single" w:sz="6" w:space="0" w:color="auto"/>
              <w:right w:val="single" w:sz="6" w:space="0" w:color="auto"/>
            </w:tcBorders>
          </w:tcPr>
          <w:p w14:paraId="1D05C793" w14:textId="77777777" w:rsidR="00CA23D0" w:rsidRPr="00E30642" w:rsidRDefault="00CA23D0" w:rsidP="00CA23D0">
            <w:pPr>
              <w:pStyle w:val="Texttabulky"/>
              <w:spacing w:line="240" w:lineRule="atLeast"/>
              <w:jc w:val="both"/>
              <w:rPr>
                <w:rFonts w:cs="Arial"/>
              </w:rPr>
            </w:pPr>
            <w:r w:rsidRPr="00E30642">
              <w:rPr>
                <w:rFonts w:cs="Arial"/>
                <w:sz w:val="18"/>
                <w:szCs w:val="18"/>
              </w:rPr>
              <w:t>&lt;0,1</w:t>
            </w:r>
          </w:p>
        </w:tc>
        <w:tc>
          <w:tcPr>
            <w:tcW w:w="655" w:type="dxa"/>
            <w:tcBorders>
              <w:top w:val="nil"/>
              <w:left w:val="single" w:sz="6" w:space="0" w:color="auto"/>
              <w:bottom w:val="single" w:sz="6" w:space="0" w:color="auto"/>
              <w:right w:val="single" w:sz="6" w:space="0" w:color="auto"/>
            </w:tcBorders>
          </w:tcPr>
          <w:p w14:paraId="01C61B16" w14:textId="77777777" w:rsidR="00CA23D0" w:rsidRPr="00E30642" w:rsidRDefault="00CA23D0" w:rsidP="00CA23D0">
            <w:pPr>
              <w:pStyle w:val="Texttabulky"/>
              <w:spacing w:line="240" w:lineRule="atLeast"/>
              <w:jc w:val="both"/>
              <w:rPr>
                <w:rFonts w:cs="Arial"/>
              </w:rPr>
            </w:pPr>
            <w:r w:rsidRPr="00E30642">
              <w:rPr>
                <w:rFonts w:cs="Arial"/>
                <w:sz w:val="18"/>
                <w:szCs w:val="18"/>
              </w:rPr>
              <w:t>1,55</w:t>
            </w:r>
          </w:p>
        </w:tc>
        <w:tc>
          <w:tcPr>
            <w:tcW w:w="759" w:type="dxa"/>
            <w:tcBorders>
              <w:top w:val="nil"/>
              <w:left w:val="single" w:sz="6" w:space="0" w:color="auto"/>
              <w:bottom w:val="single" w:sz="6" w:space="0" w:color="auto"/>
              <w:right w:val="single" w:sz="6" w:space="0" w:color="auto"/>
            </w:tcBorders>
          </w:tcPr>
          <w:p w14:paraId="2809D5D0" w14:textId="77777777" w:rsidR="00CA23D0" w:rsidRPr="00E30642" w:rsidRDefault="00CA23D0" w:rsidP="00CA23D0">
            <w:pPr>
              <w:pStyle w:val="Texttabulky"/>
              <w:spacing w:line="240" w:lineRule="atLeast"/>
              <w:jc w:val="both"/>
              <w:rPr>
                <w:rFonts w:cs="Arial"/>
              </w:rPr>
            </w:pPr>
            <w:r w:rsidRPr="00E30642">
              <w:rPr>
                <w:rFonts w:cs="Arial"/>
                <w:sz w:val="18"/>
                <w:szCs w:val="18"/>
              </w:rPr>
              <w:t>0,22</w:t>
            </w:r>
          </w:p>
        </w:tc>
        <w:tc>
          <w:tcPr>
            <w:tcW w:w="673" w:type="dxa"/>
            <w:tcBorders>
              <w:top w:val="nil"/>
              <w:left w:val="single" w:sz="6" w:space="0" w:color="auto"/>
              <w:bottom w:val="single" w:sz="6" w:space="0" w:color="auto"/>
              <w:right w:val="single" w:sz="6" w:space="0" w:color="auto"/>
            </w:tcBorders>
          </w:tcPr>
          <w:p w14:paraId="1C5C5699" w14:textId="77777777" w:rsidR="00CA23D0" w:rsidRPr="00E30642" w:rsidRDefault="00CA23D0" w:rsidP="00CA23D0">
            <w:pPr>
              <w:pStyle w:val="Texttabulky"/>
              <w:spacing w:line="240" w:lineRule="atLeast"/>
              <w:jc w:val="both"/>
              <w:rPr>
                <w:rFonts w:cs="Arial"/>
              </w:rPr>
            </w:pPr>
            <w:r w:rsidRPr="00E30642">
              <w:rPr>
                <w:rFonts w:cs="Arial"/>
                <w:sz w:val="18"/>
                <w:szCs w:val="18"/>
              </w:rPr>
              <w:t>0,3</w:t>
            </w:r>
          </w:p>
        </w:tc>
        <w:tc>
          <w:tcPr>
            <w:tcW w:w="759" w:type="dxa"/>
            <w:tcBorders>
              <w:top w:val="nil"/>
              <w:left w:val="single" w:sz="6" w:space="0" w:color="auto"/>
              <w:bottom w:val="single" w:sz="6" w:space="0" w:color="auto"/>
              <w:right w:val="single" w:sz="6" w:space="0" w:color="auto"/>
            </w:tcBorders>
          </w:tcPr>
          <w:p w14:paraId="1D72E162" w14:textId="77777777" w:rsidR="00CA23D0" w:rsidRPr="00E30642" w:rsidRDefault="00CA23D0" w:rsidP="00CA23D0">
            <w:pPr>
              <w:pStyle w:val="Texttabulky"/>
              <w:spacing w:line="240" w:lineRule="atLeast"/>
              <w:jc w:val="both"/>
              <w:rPr>
                <w:rFonts w:cs="Arial"/>
              </w:rPr>
            </w:pPr>
            <w:r w:rsidRPr="00E30642">
              <w:rPr>
                <w:rFonts w:cs="Arial"/>
                <w:sz w:val="18"/>
                <w:szCs w:val="18"/>
              </w:rPr>
              <w:t>&lt;0,1</w:t>
            </w:r>
          </w:p>
        </w:tc>
        <w:tc>
          <w:tcPr>
            <w:tcW w:w="638" w:type="dxa"/>
            <w:tcBorders>
              <w:top w:val="nil"/>
              <w:left w:val="single" w:sz="6" w:space="0" w:color="auto"/>
              <w:bottom w:val="single" w:sz="6" w:space="0" w:color="auto"/>
              <w:right w:val="single" w:sz="6" w:space="0" w:color="auto"/>
            </w:tcBorders>
          </w:tcPr>
          <w:p w14:paraId="5B3D301C" w14:textId="77777777" w:rsidR="00CA23D0" w:rsidRPr="00E30642" w:rsidRDefault="00CA23D0" w:rsidP="00CA23D0">
            <w:pPr>
              <w:pStyle w:val="Texttabulky"/>
              <w:spacing w:line="240" w:lineRule="atLeast"/>
              <w:jc w:val="both"/>
              <w:rPr>
                <w:rFonts w:cs="Arial"/>
              </w:rPr>
            </w:pPr>
            <w:r w:rsidRPr="00E30642">
              <w:rPr>
                <w:rFonts w:cs="Arial"/>
                <w:sz w:val="18"/>
                <w:szCs w:val="18"/>
              </w:rPr>
              <w:t>0,2</w:t>
            </w:r>
          </w:p>
        </w:tc>
        <w:tc>
          <w:tcPr>
            <w:tcW w:w="673" w:type="dxa"/>
            <w:tcBorders>
              <w:top w:val="nil"/>
              <w:left w:val="single" w:sz="6" w:space="0" w:color="auto"/>
              <w:bottom w:val="single" w:sz="6" w:space="0" w:color="auto"/>
              <w:right w:val="single" w:sz="6" w:space="0" w:color="auto"/>
            </w:tcBorders>
          </w:tcPr>
          <w:p w14:paraId="556B9543" w14:textId="77777777" w:rsidR="00CA23D0" w:rsidRPr="00E30642" w:rsidRDefault="00CA23D0" w:rsidP="00CA23D0">
            <w:pPr>
              <w:pStyle w:val="Texttabulky"/>
              <w:spacing w:line="240" w:lineRule="atLeast"/>
              <w:jc w:val="both"/>
              <w:rPr>
                <w:rFonts w:cs="Arial"/>
              </w:rPr>
            </w:pPr>
            <w:r w:rsidRPr="00E30642">
              <w:rPr>
                <w:rFonts w:cs="Arial"/>
                <w:sz w:val="18"/>
                <w:szCs w:val="18"/>
              </w:rPr>
              <w:t>0,1</w:t>
            </w:r>
          </w:p>
        </w:tc>
        <w:tc>
          <w:tcPr>
            <w:tcW w:w="707" w:type="dxa"/>
            <w:tcBorders>
              <w:top w:val="nil"/>
              <w:left w:val="single" w:sz="6" w:space="0" w:color="auto"/>
              <w:bottom w:val="single" w:sz="6" w:space="0" w:color="auto"/>
              <w:right w:val="single" w:sz="6" w:space="0" w:color="auto"/>
            </w:tcBorders>
          </w:tcPr>
          <w:p w14:paraId="1B4A052E" w14:textId="77777777" w:rsidR="00CA23D0" w:rsidRPr="00E30642" w:rsidRDefault="00CA23D0" w:rsidP="00CA23D0">
            <w:pPr>
              <w:pStyle w:val="Texttabulky"/>
              <w:spacing w:line="240" w:lineRule="atLeast"/>
              <w:jc w:val="both"/>
              <w:rPr>
                <w:rFonts w:cs="Arial"/>
              </w:rPr>
            </w:pPr>
            <w:r w:rsidRPr="00E30642">
              <w:rPr>
                <w:rFonts w:cs="Arial"/>
                <w:sz w:val="18"/>
                <w:szCs w:val="18"/>
              </w:rPr>
              <w:t>22,5</w:t>
            </w:r>
          </w:p>
        </w:tc>
        <w:tc>
          <w:tcPr>
            <w:tcW w:w="655" w:type="dxa"/>
            <w:tcBorders>
              <w:top w:val="nil"/>
              <w:left w:val="single" w:sz="6" w:space="0" w:color="auto"/>
              <w:bottom w:val="single" w:sz="6" w:space="0" w:color="auto"/>
              <w:right w:val="single" w:sz="6" w:space="0" w:color="auto"/>
            </w:tcBorders>
          </w:tcPr>
          <w:p w14:paraId="01B58763" w14:textId="77777777" w:rsidR="00CA23D0" w:rsidRPr="00E30642" w:rsidRDefault="00CA23D0" w:rsidP="00CA23D0">
            <w:pPr>
              <w:pStyle w:val="Texttabulky"/>
              <w:spacing w:line="240" w:lineRule="atLeast"/>
              <w:jc w:val="both"/>
              <w:rPr>
                <w:rFonts w:cs="Arial"/>
              </w:rPr>
            </w:pPr>
            <w:r w:rsidRPr="00E30642">
              <w:rPr>
                <w:rFonts w:cs="Arial"/>
                <w:sz w:val="18"/>
                <w:szCs w:val="18"/>
              </w:rPr>
              <w:t>5,7</w:t>
            </w:r>
          </w:p>
        </w:tc>
        <w:tc>
          <w:tcPr>
            <w:tcW w:w="569" w:type="dxa"/>
            <w:tcBorders>
              <w:top w:val="nil"/>
              <w:left w:val="single" w:sz="6" w:space="0" w:color="auto"/>
              <w:bottom w:val="single" w:sz="6" w:space="0" w:color="auto"/>
              <w:right w:val="single" w:sz="6" w:space="0" w:color="auto"/>
            </w:tcBorders>
          </w:tcPr>
          <w:p w14:paraId="2C1793FE" w14:textId="77777777" w:rsidR="00CA23D0" w:rsidRPr="00E30642" w:rsidRDefault="00CA23D0" w:rsidP="00CA23D0">
            <w:pPr>
              <w:pStyle w:val="Texttabulky"/>
              <w:spacing w:line="240" w:lineRule="atLeast"/>
              <w:jc w:val="both"/>
              <w:rPr>
                <w:rFonts w:cs="Arial"/>
              </w:rPr>
            </w:pPr>
            <w:r w:rsidRPr="00E30642">
              <w:rPr>
                <w:rFonts w:cs="Arial"/>
                <w:sz w:val="18"/>
                <w:szCs w:val="18"/>
              </w:rPr>
              <w:t>0,1</w:t>
            </w:r>
          </w:p>
        </w:tc>
        <w:tc>
          <w:tcPr>
            <w:tcW w:w="793" w:type="dxa"/>
            <w:tcBorders>
              <w:top w:val="nil"/>
              <w:left w:val="single" w:sz="6" w:space="0" w:color="auto"/>
              <w:bottom w:val="single" w:sz="6" w:space="0" w:color="auto"/>
              <w:right w:val="single" w:sz="6" w:space="0" w:color="auto"/>
            </w:tcBorders>
          </w:tcPr>
          <w:p w14:paraId="1F954581" w14:textId="77777777" w:rsidR="00CA23D0" w:rsidRPr="00E30642" w:rsidRDefault="00CA23D0" w:rsidP="00CA23D0">
            <w:pPr>
              <w:pStyle w:val="Texttabulky"/>
              <w:spacing w:line="240" w:lineRule="atLeast"/>
              <w:jc w:val="both"/>
              <w:rPr>
                <w:rFonts w:cs="Arial"/>
              </w:rPr>
            </w:pPr>
            <w:r w:rsidRPr="00E30642">
              <w:rPr>
                <w:rFonts w:cs="Arial"/>
                <w:sz w:val="18"/>
                <w:szCs w:val="18"/>
              </w:rPr>
              <w:t>&lt;0005</w:t>
            </w:r>
          </w:p>
        </w:tc>
      </w:tr>
      <w:tr w:rsidR="00CA23D0" w:rsidRPr="00E30642" w14:paraId="708526D1" w14:textId="77777777" w:rsidTr="00CA23D0">
        <w:trPr>
          <w:trHeight w:val="312"/>
        </w:trPr>
        <w:tc>
          <w:tcPr>
            <w:tcW w:w="1257" w:type="dxa"/>
            <w:tcBorders>
              <w:top w:val="single" w:sz="6" w:space="0" w:color="auto"/>
              <w:left w:val="single" w:sz="6" w:space="0" w:color="auto"/>
              <w:bottom w:val="single" w:sz="6" w:space="0" w:color="auto"/>
              <w:right w:val="single" w:sz="6" w:space="0" w:color="auto"/>
            </w:tcBorders>
          </w:tcPr>
          <w:p w14:paraId="336700E3" w14:textId="77777777" w:rsidR="00CA23D0" w:rsidRPr="00E30642" w:rsidRDefault="00CA23D0" w:rsidP="00CA23D0">
            <w:pPr>
              <w:pStyle w:val="Texttabulky"/>
              <w:spacing w:line="240" w:lineRule="atLeast"/>
              <w:jc w:val="both"/>
              <w:rPr>
                <w:rFonts w:cs="Arial"/>
              </w:rPr>
            </w:pPr>
            <w:r w:rsidRPr="00E30642">
              <w:rPr>
                <w:rFonts w:cs="Arial"/>
                <w:sz w:val="18"/>
                <w:szCs w:val="18"/>
              </w:rPr>
              <w:t>Labe Děčín</w:t>
            </w:r>
          </w:p>
        </w:tc>
        <w:tc>
          <w:tcPr>
            <w:tcW w:w="621" w:type="dxa"/>
            <w:tcBorders>
              <w:top w:val="single" w:sz="6" w:space="0" w:color="auto"/>
              <w:left w:val="nil"/>
              <w:bottom w:val="single" w:sz="6" w:space="0" w:color="auto"/>
              <w:right w:val="single" w:sz="6" w:space="0" w:color="auto"/>
            </w:tcBorders>
          </w:tcPr>
          <w:p w14:paraId="1199E62D" w14:textId="77777777" w:rsidR="00CA23D0" w:rsidRPr="00E30642" w:rsidRDefault="00CA23D0" w:rsidP="00CA23D0">
            <w:pPr>
              <w:pStyle w:val="Texttabulky"/>
              <w:spacing w:line="240" w:lineRule="atLeast"/>
              <w:jc w:val="both"/>
              <w:rPr>
                <w:rFonts w:cs="Arial"/>
              </w:rPr>
            </w:pPr>
            <w:r w:rsidRPr="00E30642">
              <w:rPr>
                <w:rFonts w:cs="Arial"/>
                <w:sz w:val="18"/>
                <w:szCs w:val="18"/>
              </w:rPr>
              <w:t>0,2</w:t>
            </w:r>
          </w:p>
        </w:tc>
        <w:tc>
          <w:tcPr>
            <w:tcW w:w="585" w:type="dxa"/>
            <w:tcBorders>
              <w:top w:val="single" w:sz="6" w:space="0" w:color="auto"/>
              <w:left w:val="single" w:sz="6" w:space="0" w:color="auto"/>
              <w:bottom w:val="single" w:sz="6" w:space="0" w:color="auto"/>
              <w:right w:val="single" w:sz="6" w:space="0" w:color="auto"/>
            </w:tcBorders>
          </w:tcPr>
          <w:p w14:paraId="581FFA6D" w14:textId="77777777" w:rsidR="00CA23D0" w:rsidRPr="00E30642" w:rsidRDefault="00CA23D0" w:rsidP="00CA23D0">
            <w:pPr>
              <w:pStyle w:val="Texttabulky"/>
              <w:spacing w:line="240" w:lineRule="atLeast"/>
              <w:jc w:val="both"/>
              <w:rPr>
                <w:rFonts w:cs="Arial"/>
              </w:rPr>
            </w:pPr>
            <w:r w:rsidRPr="00E30642">
              <w:rPr>
                <w:rFonts w:cs="Arial"/>
                <w:sz w:val="18"/>
                <w:szCs w:val="18"/>
              </w:rPr>
              <w:t>&lt;0,1</w:t>
            </w:r>
          </w:p>
        </w:tc>
        <w:tc>
          <w:tcPr>
            <w:tcW w:w="655" w:type="dxa"/>
            <w:tcBorders>
              <w:top w:val="single" w:sz="6" w:space="0" w:color="auto"/>
              <w:left w:val="single" w:sz="6" w:space="0" w:color="auto"/>
              <w:bottom w:val="single" w:sz="6" w:space="0" w:color="auto"/>
              <w:right w:val="single" w:sz="6" w:space="0" w:color="auto"/>
            </w:tcBorders>
          </w:tcPr>
          <w:p w14:paraId="5DD71CA2" w14:textId="77777777" w:rsidR="00CA23D0" w:rsidRPr="00E30642" w:rsidRDefault="00CA23D0" w:rsidP="00CA23D0">
            <w:pPr>
              <w:pStyle w:val="Texttabulky"/>
              <w:spacing w:line="240" w:lineRule="atLeast"/>
              <w:jc w:val="both"/>
              <w:rPr>
                <w:rFonts w:cs="Arial"/>
              </w:rPr>
            </w:pPr>
            <w:r w:rsidRPr="00E30642">
              <w:rPr>
                <w:rFonts w:cs="Arial"/>
                <w:sz w:val="18"/>
                <w:szCs w:val="18"/>
              </w:rPr>
              <w:t>1,64</w:t>
            </w:r>
          </w:p>
        </w:tc>
        <w:tc>
          <w:tcPr>
            <w:tcW w:w="759" w:type="dxa"/>
            <w:tcBorders>
              <w:top w:val="single" w:sz="6" w:space="0" w:color="auto"/>
              <w:left w:val="single" w:sz="6" w:space="0" w:color="auto"/>
              <w:bottom w:val="single" w:sz="6" w:space="0" w:color="auto"/>
              <w:right w:val="single" w:sz="6" w:space="0" w:color="auto"/>
            </w:tcBorders>
          </w:tcPr>
          <w:p w14:paraId="2072686B" w14:textId="77777777" w:rsidR="00CA23D0" w:rsidRPr="00E30642" w:rsidRDefault="00CA23D0" w:rsidP="00CA23D0">
            <w:pPr>
              <w:pStyle w:val="Texttabulky"/>
              <w:spacing w:line="240" w:lineRule="atLeast"/>
              <w:jc w:val="both"/>
              <w:rPr>
                <w:rFonts w:cs="Arial"/>
              </w:rPr>
            </w:pPr>
            <w:r w:rsidRPr="00E30642">
              <w:rPr>
                <w:rFonts w:cs="Arial"/>
                <w:sz w:val="18"/>
                <w:szCs w:val="18"/>
              </w:rPr>
              <w:t>0,2</w:t>
            </w:r>
          </w:p>
        </w:tc>
        <w:tc>
          <w:tcPr>
            <w:tcW w:w="673" w:type="dxa"/>
            <w:tcBorders>
              <w:top w:val="single" w:sz="6" w:space="0" w:color="auto"/>
              <w:left w:val="single" w:sz="6" w:space="0" w:color="auto"/>
              <w:bottom w:val="single" w:sz="6" w:space="0" w:color="auto"/>
              <w:right w:val="single" w:sz="6" w:space="0" w:color="auto"/>
            </w:tcBorders>
          </w:tcPr>
          <w:p w14:paraId="601C841F" w14:textId="77777777" w:rsidR="00CA23D0" w:rsidRPr="00E30642" w:rsidRDefault="00CA23D0" w:rsidP="00CA23D0">
            <w:pPr>
              <w:pStyle w:val="Texttabulky"/>
              <w:spacing w:line="240" w:lineRule="atLeast"/>
              <w:jc w:val="both"/>
              <w:rPr>
                <w:rFonts w:cs="Arial"/>
              </w:rPr>
            </w:pPr>
            <w:r w:rsidRPr="00E30642">
              <w:rPr>
                <w:rFonts w:cs="Arial"/>
                <w:sz w:val="18"/>
                <w:szCs w:val="18"/>
              </w:rPr>
              <w:t>0,7</w:t>
            </w:r>
          </w:p>
        </w:tc>
        <w:tc>
          <w:tcPr>
            <w:tcW w:w="759" w:type="dxa"/>
            <w:tcBorders>
              <w:top w:val="single" w:sz="6" w:space="0" w:color="auto"/>
              <w:left w:val="single" w:sz="6" w:space="0" w:color="auto"/>
              <w:bottom w:val="single" w:sz="6" w:space="0" w:color="auto"/>
              <w:right w:val="single" w:sz="6" w:space="0" w:color="auto"/>
            </w:tcBorders>
          </w:tcPr>
          <w:p w14:paraId="41057C64" w14:textId="77777777" w:rsidR="00CA23D0" w:rsidRPr="00E30642" w:rsidRDefault="00CA23D0" w:rsidP="00CA23D0">
            <w:pPr>
              <w:pStyle w:val="Texttabulky"/>
              <w:spacing w:line="240" w:lineRule="atLeast"/>
              <w:jc w:val="both"/>
              <w:rPr>
                <w:rFonts w:cs="Arial"/>
              </w:rPr>
            </w:pPr>
            <w:r w:rsidRPr="00E30642">
              <w:rPr>
                <w:rFonts w:cs="Arial"/>
                <w:sz w:val="18"/>
                <w:szCs w:val="18"/>
              </w:rPr>
              <w:t>&lt;0,1</w:t>
            </w:r>
          </w:p>
        </w:tc>
        <w:tc>
          <w:tcPr>
            <w:tcW w:w="638" w:type="dxa"/>
            <w:tcBorders>
              <w:top w:val="single" w:sz="6" w:space="0" w:color="auto"/>
              <w:left w:val="single" w:sz="6" w:space="0" w:color="auto"/>
              <w:bottom w:val="single" w:sz="6" w:space="0" w:color="auto"/>
              <w:right w:val="single" w:sz="6" w:space="0" w:color="auto"/>
            </w:tcBorders>
          </w:tcPr>
          <w:p w14:paraId="0A81EE16" w14:textId="77777777" w:rsidR="00CA23D0" w:rsidRPr="00E30642" w:rsidRDefault="00CA23D0" w:rsidP="00CA23D0">
            <w:pPr>
              <w:pStyle w:val="Texttabulky"/>
              <w:spacing w:line="240" w:lineRule="atLeast"/>
              <w:jc w:val="both"/>
              <w:rPr>
                <w:rFonts w:cs="Arial"/>
              </w:rPr>
            </w:pPr>
            <w:r w:rsidRPr="00E30642">
              <w:rPr>
                <w:rFonts w:cs="Arial"/>
                <w:sz w:val="18"/>
                <w:szCs w:val="18"/>
              </w:rPr>
              <w:t>1</w:t>
            </w:r>
          </w:p>
        </w:tc>
        <w:tc>
          <w:tcPr>
            <w:tcW w:w="673" w:type="dxa"/>
            <w:tcBorders>
              <w:top w:val="single" w:sz="6" w:space="0" w:color="auto"/>
              <w:left w:val="single" w:sz="6" w:space="0" w:color="auto"/>
              <w:bottom w:val="single" w:sz="6" w:space="0" w:color="auto"/>
              <w:right w:val="single" w:sz="6" w:space="0" w:color="auto"/>
            </w:tcBorders>
          </w:tcPr>
          <w:p w14:paraId="359768BB" w14:textId="77777777" w:rsidR="00CA23D0" w:rsidRPr="00E30642" w:rsidRDefault="00CA23D0" w:rsidP="00CA23D0">
            <w:pPr>
              <w:pStyle w:val="Texttabulky"/>
              <w:spacing w:line="240" w:lineRule="atLeast"/>
              <w:jc w:val="both"/>
              <w:rPr>
                <w:rFonts w:cs="Arial"/>
              </w:rPr>
            </w:pPr>
            <w:r w:rsidRPr="00E30642">
              <w:rPr>
                <w:rFonts w:cs="Arial"/>
                <w:sz w:val="18"/>
                <w:szCs w:val="18"/>
              </w:rPr>
              <w:t>0,3</w:t>
            </w:r>
          </w:p>
        </w:tc>
        <w:tc>
          <w:tcPr>
            <w:tcW w:w="707" w:type="dxa"/>
            <w:tcBorders>
              <w:top w:val="single" w:sz="6" w:space="0" w:color="auto"/>
              <w:left w:val="single" w:sz="6" w:space="0" w:color="auto"/>
              <w:bottom w:val="single" w:sz="6" w:space="0" w:color="auto"/>
              <w:right w:val="single" w:sz="6" w:space="0" w:color="auto"/>
            </w:tcBorders>
          </w:tcPr>
          <w:p w14:paraId="0C99A441" w14:textId="77777777" w:rsidR="00CA23D0" w:rsidRPr="00E30642" w:rsidRDefault="00CA23D0" w:rsidP="00CA23D0">
            <w:pPr>
              <w:pStyle w:val="Texttabulky"/>
              <w:spacing w:line="240" w:lineRule="atLeast"/>
              <w:jc w:val="both"/>
              <w:rPr>
                <w:rFonts w:cs="Arial"/>
              </w:rPr>
            </w:pPr>
            <w:r w:rsidRPr="00E30642">
              <w:rPr>
                <w:rFonts w:cs="Arial"/>
                <w:sz w:val="18"/>
                <w:szCs w:val="18"/>
              </w:rPr>
              <w:t>14,3</w:t>
            </w:r>
          </w:p>
        </w:tc>
        <w:tc>
          <w:tcPr>
            <w:tcW w:w="655" w:type="dxa"/>
            <w:tcBorders>
              <w:top w:val="single" w:sz="6" w:space="0" w:color="auto"/>
              <w:left w:val="single" w:sz="6" w:space="0" w:color="auto"/>
              <w:bottom w:val="single" w:sz="6" w:space="0" w:color="auto"/>
              <w:right w:val="single" w:sz="6" w:space="0" w:color="auto"/>
            </w:tcBorders>
          </w:tcPr>
          <w:p w14:paraId="7D3F0EAD" w14:textId="77777777" w:rsidR="00CA23D0" w:rsidRPr="00E30642" w:rsidRDefault="00CA23D0" w:rsidP="00CA23D0">
            <w:pPr>
              <w:pStyle w:val="Texttabulky"/>
              <w:spacing w:line="240" w:lineRule="atLeast"/>
              <w:jc w:val="both"/>
              <w:rPr>
                <w:rFonts w:cs="Arial"/>
              </w:rPr>
            </w:pPr>
            <w:r w:rsidRPr="00E30642">
              <w:rPr>
                <w:rFonts w:cs="Arial"/>
                <w:sz w:val="18"/>
                <w:szCs w:val="18"/>
              </w:rPr>
              <w:t>5,2</w:t>
            </w:r>
          </w:p>
        </w:tc>
        <w:tc>
          <w:tcPr>
            <w:tcW w:w="569" w:type="dxa"/>
            <w:tcBorders>
              <w:top w:val="single" w:sz="6" w:space="0" w:color="auto"/>
              <w:left w:val="single" w:sz="6" w:space="0" w:color="auto"/>
              <w:bottom w:val="single" w:sz="6" w:space="0" w:color="auto"/>
              <w:right w:val="single" w:sz="6" w:space="0" w:color="auto"/>
            </w:tcBorders>
          </w:tcPr>
          <w:p w14:paraId="77230478" w14:textId="77777777" w:rsidR="00CA23D0" w:rsidRPr="00E30642" w:rsidRDefault="00CA23D0" w:rsidP="00CA23D0">
            <w:pPr>
              <w:pStyle w:val="Texttabulky"/>
              <w:spacing w:line="240" w:lineRule="atLeast"/>
              <w:jc w:val="both"/>
              <w:rPr>
                <w:rFonts w:cs="Arial"/>
              </w:rPr>
            </w:pPr>
            <w:r w:rsidRPr="00E30642">
              <w:rPr>
                <w:rFonts w:cs="Arial"/>
                <w:sz w:val="18"/>
                <w:szCs w:val="18"/>
              </w:rPr>
              <w:t>0,08</w:t>
            </w:r>
          </w:p>
        </w:tc>
        <w:tc>
          <w:tcPr>
            <w:tcW w:w="793" w:type="dxa"/>
            <w:tcBorders>
              <w:top w:val="single" w:sz="6" w:space="0" w:color="auto"/>
              <w:left w:val="single" w:sz="6" w:space="0" w:color="auto"/>
              <w:bottom w:val="single" w:sz="6" w:space="0" w:color="auto"/>
              <w:right w:val="single" w:sz="6" w:space="0" w:color="auto"/>
            </w:tcBorders>
          </w:tcPr>
          <w:p w14:paraId="156F7917" w14:textId="77777777" w:rsidR="00CA23D0" w:rsidRPr="00E30642" w:rsidRDefault="00CA23D0" w:rsidP="00CA23D0">
            <w:pPr>
              <w:pStyle w:val="Texttabulky"/>
              <w:spacing w:line="240" w:lineRule="atLeast"/>
              <w:jc w:val="both"/>
              <w:rPr>
                <w:rFonts w:cs="Arial"/>
              </w:rPr>
            </w:pPr>
            <w:r w:rsidRPr="00E30642">
              <w:rPr>
                <w:rFonts w:cs="Arial"/>
                <w:sz w:val="18"/>
                <w:szCs w:val="18"/>
              </w:rPr>
              <w:t>0,02</w:t>
            </w:r>
          </w:p>
        </w:tc>
      </w:tr>
      <w:tr w:rsidR="00CA23D0" w:rsidRPr="00E30642" w14:paraId="59A38E70" w14:textId="77777777" w:rsidTr="00CA23D0">
        <w:trPr>
          <w:trHeight w:val="319"/>
        </w:trPr>
        <w:tc>
          <w:tcPr>
            <w:tcW w:w="1257" w:type="dxa"/>
            <w:tcBorders>
              <w:top w:val="single" w:sz="6" w:space="0" w:color="auto"/>
              <w:left w:val="single" w:sz="6" w:space="0" w:color="auto"/>
              <w:bottom w:val="single" w:sz="6" w:space="0" w:color="auto"/>
              <w:right w:val="single" w:sz="6" w:space="0" w:color="auto"/>
            </w:tcBorders>
          </w:tcPr>
          <w:p w14:paraId="3F2F1A5C" w14:textId="77777777" w:rsidR="00CA23D0" w:rsidRPr="00E30642" w:rsidRDefault="00CA23D0" w:rsidP="00CA23D0">
            <w:pPr>
              <w:pStyle w:val="Texttabulky"/>
              <w:spacing w:line="240" w:lineRule="atLeast"/>
              <w:jc w:val="both"/>
              <w:rPr>
                <w:rFonts w:cs="Arial"/>
              </w:rPr>
            </w:pPr>
            <w:r w:rsidRPr="00E30642">
              <w:rPr>
                <w:rFonts w:cs="Arial"/>
                <w:sz w:val="18"/>
                <w:szCs w:val="18"/>
              </w:rPr>
              <w:t>Bílina</w:t>
            </w:r>
          </w:p>
          <w:p w14:paraId="0D130DC6" w14:textId="77777777" w:rsidR="00CA23D0" w:rsidRPr="00E30642" w:rsidRDefault="00CA23D0" w:rsidP="00CA23D0">
            <w:pPr>
              <w:pStyle w:val="Texttabulky"/>
              <w:spacing w:line="240" w:lineRule="atLeast"/>
              <w:jc w:val="both"/>
              <w:rPr>
                <w:rFonts w:cs="Arial"/>
              </w:rPr>
            </w:pPr>
            <w:r w:rsidRPr="00E30642">
              <w:rPr>
                <w:rFonts w:cs="Arial"/>
                <w:sz w:val="18"/>
                <w:szCs w:val="18"/>
              </w:rPr>
              <w:t>Ústí n/L</w:t>
            </w:r>
          </w:p>
        </w:tc>
        <w:tc>
          <w:tcPr>
            <w:tcW w:w="621" w:type="dxa"/>
            <w:tcBorders>
              <w:top w:val="single" w:sz="6" w:space="0" w:color="auto"/>
              <w:left w:val="nil"/>
              <w:bottom w:val="single" w:sz="6" w:space="0" w:color="auto"/>
              <w:right w:val="single" w:sz="6" w:space="0" w:color="auto"/>
            </w:tcBorders>
          </w:tcPr>
          <w:p w14:paraId="48FE586A" w14:textId="77777777" w:rsidR="00CA23D0" w:rsidRPr="00E30642" w:rsidRDefault="00CA23D0" w:rsidP="00CA23D0">
            <w:pPr>
              <w:pStyle w:val="Texttabulky"/>
              <w:spacing w:line="240" w:lineRule="atLeast"/>
              <w:jc w:val="both"/>
              <w:rPr>
                <w:rFonts w:cs="Arial"/>
              </w:rPr>
            </w:pPr>
            <w:r w:rsidRPr="00E30642">
              <w:rPr>
                <w:rFonts w:cs="Arial"/>
                <w:sz w:val="18"/>
                <w:szCs w:val="18"/>
              </w:rPr>
              <w:t>2,2</w:t>
            </w:r>
          </w:p>
        </w:tc>
        <w:tc>
          <w:tcPr>
            <w:tcW w:w="585" w:type="dxa"/>
            <w:tcBorders>
              <w:top w:val="single" w:sz="6" w:space="0" w:color="auto"/>
              <w:left w:val="single" w:sz="6" w:space="0" w:color="auto"/>
              <w:bottom w:val="single" w:sz="6" w:space="0" w:color="auto"/>
              <w:right w:val="single" w:sz="6" w:space="0" w:color="auto"/>
            </w:tcBorders>
          </w:tcPr>
          <w:p w14:paraId="6092A9A1" w14:textId="77777777" w:rsidR="00CA23D0" w:rsidRPr="00E30642" w:rsidRDefault="00CA23D0" w:rsidP="00CA23D0">
            <w:pPr>
              <w:pStyle w:val="Texttabulky"/>
              <w:spacing w:line="240" w:lineRule="atLeast"/>
              <w:jc w:val="both"/>
              <w:rPr>
                <w:rFonts w:cs="Arial"/>
              </w:rPr>
            </w:pPr>
            <w:r w:rsidRPr="00E30642">
              <w:rPr>
                <w:rFonts w:cs="Arial"/>
                <w:sz w:val="18"/>
                <w:szCs w:val="18"/>
              </w:rPr>
              <w:t>0,5</w:t>
            </w:r>
          </w:p>
        </w:tc>
        <w:tc>
          <w:tcPr>
            <w:tcW w:w="655" w:type="dxa"/>
            <w:tcBorders>
              <w:top w:val="single" w:sz="6" w:space="0" w:color="auto"/>
              <w:left w:val="single" w:sz="6" w:space="0" w:color="auto"/>
              <w:bottom w:val="single" w:sz="6" w:space="0" w:color="auto"/>
              <w:right w:val="single" w:sz="6" w:space="0" w:color="auto"/>
            </w:tcBorders>
          </w:tcPr>
          <w:p w14:paraId="75827E7F" w14:textId="77777777" w:rsidR="00CA23D0" w:rsidRPr="00E30642" w:rsidRDefault="00CA23D0" w:rsidP="00CA23D0">
            <w:pPr>
              <w:pStyle w:val="Texttabulky"/>
              <w:spacing w:line="240" w:lineRule="atLeast"/>
              <w:jc w:val="both"/>
              <w:rPr>
                <w:rFonts w:cs="Arial"/>
              </w:rPr>
            </w:pPr>
            <w:r w:rsidRPr="00E30642">
              <w:rPr>
                <w:rFonts w:cs="Arial"/>
                <w:sz w:val="18"/>
                <w:szCs w:val="18"/>
              </w:rPr>
              <w:t>2,1</w:t>
            </w:r>
          </w:p>
        </w:tc>
        <w:tc>
          <w:tcPr>
            <w:tcW w:w="759" w:type="dxa"/>
            <w:tcBorders>
              <w:top w:val="single" w:sz="6" w:space="0" w:color="auto"/>
              <w:left w:val="single" w:sz="6" w:space="0" w:color="auto"/>
              <w:bottom w:val="single" w:sz="6" w:space="0" w:color="auto"/>
              <w:right w:val="single" w:sz="6" w:space="0" w:color="auto"/>
            </w:tcBorders>
          </w:tcPr>
          <w:p w14:paraId="2A3BB564" w14:textId="77777777" w:rsidR="00CA23D0" w:rsidRPr="00E30642" w:rsidRDefault="00CA23D0" w:rsidP="00CA23D0">
            <w:pPr>
              <w:pStyle w:val="Texttabulky"/>
              <w:spacing w:line="240" w:lineRule="atLeast"/>
              <w:jc w:val="both"/>
              <w:rPr>
                <w:rFonts w:cs="Arial"/>
              </w:rPr>
            </w:pPr>
            <w:r w:rsidRPr="00E30642">
              <w:rPr>
                <w:rFonts w:cs="Arial"/>
                <w:sz w:val="18"/>
                <w:szCs w:val="18"/>
              </w:rPr>
              <w:t>0,72</w:t>
            </w:r>
          </w:p>
        </w:tc>
        <w:tc>
          <w:tcPr>
            <w:tcW w:w="673" w:type="dxa"/>
            <w:tcBorders>
              <w:top w:val="single" w:sz="6" w:space="0" w:color="auto"/>
              <w:left w:val="single" w:sz="6" w:space="0" w:color="auto"/>
              <w:bottom w:val="single" w:sz="6" w:space="0" w:color="auto"/>
              <w:right w:val="single" w:sz="6" w:space="0" w:color="auto"/>
            </w:tcBorders>
          </w:tcPr>
          <w:p w14:paraId="4FAA7C7E" w14:textId="77777777" w:rsidR="00CA23D0" w:rsidRPr="00E30642" w:rsidRDefault="00CA23D0" w:rsidP="00CA23D0">
            <w:pPr>
              <w:pStyle w:val="Texttabulky"/>
              <w:spacing w:line="240" w:lineRule="atLeast"/>
              <w:jc w:val="both"/>
              <w:rPr>
                <w:rFonts w:cs="Arial"/>
              </w:rPr>
            </w:pPr>
            <w:r w:rsidRPr="00E30642">
              <w:rPr>
                <w:rFonts w:cs="Arial"/>
                <w:sz w:val="18"/>
                <w:szCs w:val="18"/>
              </w:rPr>
              <w:t>&lt;0,1</w:t>
            </w:r>
          </w:p>
        </w:tc>
        <w:tc>
          <w:tcPr>
            <w:tcW w:w="759" w:type="dxa"/>
            <w:tcBorders>
              <w:top w:val="single" w:sz="6" w:space="0" w:color="auto"/>
              <w:left w:val="single" w:sz="6" w:space="0" w:color="auto"/>
              <w:bottom w:val="single" w:sz="6" w:space="0" w:color="auto"/>
              <w:right w:val="single" w:sz="6" w:space="0" w:color="auto"/>
            </w:tcBorders>
          </w:tcPr>
          <w:p w14:paraId="5A76CC55" w14:textId="77777777" w:rsidR="00CA23D0" w:rsidRPr="00E30642" w:rsidRDefault="00CA23D0" w:rsidP="00CA23D0">
            <w:pPr>
              <w:pStyle w:val="Texttabulky"/>
              <w:spacing w:line="240" w:lineRule="atLeast"/>
              <w:jc w:val="both"/>
              <w:rPr>
                <w:rFonts w:cs="Arial"/>
              </w:rPr>
            </w:pPr>
            <w:r w:rsidRPr="00E30642">
              <w:rPr>
                <w:rFonts w:cs="Arial"/>
                <w:sz w:val="18"/>
                <w:szCs w:val="18"/>
              </w:rPr>
              <w:t>&lt;0,1</w:t>
            </w:r>
          </w:p>
        </w:tc>
        <w:tc>
          <w:tcPr>
            <w:tcW w:w="638" w:type="dxa"/>
            <w:tcBorders>
              <w:top w:val="single" w:sz="6" w:space="0" w:color="auto"/>
              <w:left w:val="single" w:sz="6" w:space="0" w:color="auto"/>
              <w:bottom w:val="single" w:sz="6" w:space="0" w:color="auto"/>
              <w:right w:val="single" w:sz="6" w:space="0" w:color="auto"/>
            </w:tcBorders>
          </w:tcPr>
          <w:p w14:paraId="1A89BB90" w14:textId="77777777" w:rsidR="00CA23D0" w:rsidRPr="00E30642" w:rsidRDefault="00CA23D0" w:rsidP="00CA23D0">
            <w:pPr>
              <w:pStyle w:val="Texttabulky"/>
              <w:spacing w:line="240" w:lineRule="atLeast"/>
              <w:jc w:val="both"/>
              <w:rPr>
                <w:rFonts w:cs="Arial"/>
              </w:rPr>
            </w:pPr>
            <w:r w:rsidRPr="00E30642">
              <w:rPr>
                <w:rFonts w:cs="Arial"/>
                <w:sz w:val="18"/>
                <w:szCs w:val="18"/>
              </w:rPr>
              <w:t>11</w:t>
            </w:r>
          </w:p>
        </w:tc>
        <w:tc>
          <w:tcPr>
            <w:tcW w:w="673" w:type="dxa"/>
            <w:tcBorders>
              <w:top w:val="single" w:sz="6" w:space="0" w:color="auto"/>
              <w:left w:val="single" w:sz="6" w:space="0" w:color="auto"/>
              <w:bottom w:val="single" w:sz="6" w:space="0" w:color="auto"/>
              <w:right w:val="single" w:sz="6" w:space="0" w:color="auto"/>
            </w:tcBorders>
          </w:tcPr>
          <w:p w14:paraId="30ED3F42" w14:textId="77777777" w:rsidR="00CA23D0" w:rsidRPr="00E30642" w:rsidRDefault="00CA23D0" w:rsidP="00CA23D0">
            <w:pPr>
              <w:pStyle w:val="Texttabulky"/>
              <w:spacing w:line="240" w:lineRule="atLeast"/>
              <w:jc w:val="both"/>
              <w:rPr>
                <w:rFonts w:cs="Arial"/>
              </w:rPr>
            </w:pPr>
            <w:r w:rsidRPr="00E30642">
              <w:rPr>
                <w:rFonts w:cs="Arial"/>
                <w:sz w:val="18"/>
                <w:szCs w:val="18"/>
              </w:rPr>
              <w:t>4,9</w:t>
            </w:r>
          </w:p>
        </w:tc>
        <w:tc>
          <w:tcPr>
            <w:tcW w:w="707" w:type="dxa"/>
            <w:tcBorders>
              <w:top w:val="single" w:sz="6" w:space="0" w:color="auto"/>
              <w:left w:val="single" w:sz="6" w:space="0" w:color="auto"/>
              <w:bottom w:val="single" w:sz="6" w:space="0" w:color="auto"/>
              <w:right w:val="single" w:sz="6" w:space="0" w:color="auto"/>
            </w:tcBorders>
          </w:tcPr>
          <w:p w14:paraId="18A08672" w14:textId="77777777" w:rsidR="00CA23D0" w:rsidRPr="00E30642" w:rsidRDefault="00CA23D0" w:rsidP="00CA23D0">
            <w:pPr>
              <w:pStyle w:val="Texttabulky"/>
              <w:spacing w:line="240" w:lineRule="atLeast"/>
              <w:jc w:val="both"/>
              <w:rPr>
                <w:rFonts w:cs="Arial"/>
              </w:rPr>
            </w:pPr>
            <w:r w:rsidRPr="00E30642">
              <w:rPr>
                <w:rFonts w:cs="Arial"/>
                <w:sz w:val="18"/>
                <w:szCs w:val="18"/>
              </w:rPr>
              <w:t>529,1</w:t>
            </w:r>
          </w:p>
        </w:tc>
        <w:tc>
          <w:tcPr>
            <w:tcW w:w="655" w:type="dxa"/>
            <w:tcBorders>
              <w:top w:val="single" w:sz="6" w:space="0" w:color="auto"/>
              <w:left w:val="single" w:sz="6" w:space="0" w:color="auto"/>
              <w:bottom w:val="single" w:sz="6" w:space="0" w:color="auto"/>
              <w:right w:val="single" w:sz="6" w:space="0" w:color="auto"/>
            </w:tcBorders>
          </w:tcPr>
          <w:p w14:paraId="6152711E" w14:textId="77777777" w:rsidR="00CA23D0" w:rsidRPr="00E30642" w:rsidRDefault="00CA23D0" w:rsidP="00CA23D0">
            <w:pPr>
              <w:pStyle w:val="Texttabulky"/>
              <w:spacing w:line="240" w:lineRule="atLeast"/>
              <w:jc w:val="both"/>
              <w:rPr>
                <w:rFonts w:cs="Arial"/>
              </w:rPr>
            </w:pPr>
            <w:r w:rsidRPr="00E30642">
              <w:rPr>
                <w:rFonts w:cs="Arial"/>
                <w:sz w:val="18"/>
                <w:szCs w:val="18"/>
              </w:rPr>
              <w:t>37,4</w:t>
            </w:r>
          </w:p>
        </w:tc>
        <w:tc>
          <w:tcPr>
            <w:tcW w:w="569" w:type="dxa"/>
            <w:tcBorders>
              <w:top w:val="single" w:sz="6" w:space="0" w:color="auto"/>
              <w:left w:val="single" w:sz="6" w:space="0" w:color="auto"/>
              <w:bottom w:val="single" w:sz="6" w:space="0" w:color="auto"/>
              <w:right w:val="single" w:sz="6" w:space="0" w:color="auto"/>
            </w:tcBorders>
          </w:tcPr>
          <w:p w14:paraId="32CA8476" w14:textId="77777777" w:rsidR="00CA23D0" w:rsidRPr="00E30642" w:rsidRDefault="00CA23D0" w:rsidP="00CA23D0">
            <w:pPr>
              <w:pStyle w:val="Texttabulky"/>
              <w:spacing w:line="240" w:lineRule="atLeast"/>
              <w:jc w:val="both"/>
              <w:rPr>
                <w:rFonts w:cs="Arial"/>
              </w:rPr>
            </w:pPr>
            <w:r w:rsidRPr="00E30642">
              <w:rPr>
                <w:rFonts w:cs="Arial"/>
                <w:sz w:val="18"/>
                <w:szCs w:val="18"/>
              </w:rPr>
              <w:t>1,9</w:t>
            </w:r>
          </w:p>
        </w:tc>
        <w:tc>
          <w:tcPr>
            <w:tcW w:w="793" w:type="dxa"/>
            <w:tcBorders>
              <w:top w:val="single" w:sz="6" w:space="0" w:color="auto"/>
              <w:left w:val="single" w:sz="6" w:space="0" w:color="auto"/>
              <w:bottom w:val="single" w:sz="6" w:space="0" w:color="auto"/>
              <w:right w:val="single" w:sz="6" w:space="0" w:color="auto"/>
            </w:tcBorders>
          </w:tcPr>
          <w:p w14:paraId="1E486050" w14:textId="77777777" w:rsidR="00CA23D0" w:rsidRPr="00E30642" w:rsidRDefault="00CA23D0" w:rsidP="00CA23D0">
            <w:pPr>
              <w:pStyle w:val="Texttabulky"/>
              <w:spacing w:line="240" w:lineRule="atLeast"/>
              <w:jc w:val="both"/>
              <w:rPr>
                <w:rFonts w:cs="Arial"/>
              </w:rPr>
            </w:pPr>
            <w:r w:rsidRPr="00E30642">
              <w:rPr>
                <w:rFonts w:cs="Arial"/>
                <w:sz w:val="18"/>
                <w:szCs w:val="18"/>
              </w:rPr>
              <w:t>&lt;0,005</w:t>
            </w:r>
          </w:p>
        </w:tc>
      </w:tr>
    </w:tbl>
    <w:p w14:paraId="729C536C" w14:textId="77777777" w:rsidR="00CA23D0" w:rsidRPr="00E30642" w:rsidRDefault="00CA23D0" w:rsidP="00CA23D0">
      <w:pPr>
        <w:autoSpaceDE w:val="0"/>
        <w:autoSpaceDN w:val="0"/>
        <w:adjustRightInd w:val="0"/>
        <w:jc w:val="both"/>
        <w:rPr>
          <w:rFonts w:ascii="Arial" w:hAnsi="Arial" w:cs="Arial"/>
          <w:sz w:val="20"/>
        </w:rPr>
      </w:pPr>
    </w:p>
    <w:p w14:paraId="72395649" w14:textId="77777777" w:rsidR="00CA23D0" w:rsidRPr="00E30642" w:rsidRDefault="00CA23D0" w:rsidP="00CA23D0">
      <w:pPr>
        <w:pStyle w:val="Zkladntext"/>
        <w:spacing w:line="240" w:lineRule="atLeast"/>
        <w:ind w:firstLine="720"/>
        <w:jc w:val="both"/>
        <w:rPr>
          <w:rFonts w:ascii="Arial" w:hAnsi="Arial" w:cs="Arial"/>
          <w:sz w:val="22"/>
          <w:szCs w:val="22"/>
        </w:rPr>
      </w:pPr>
      <w:r w:rsidRPr="00E30642">
        <w:rPr>
          <w:rFonts w:ascii="Arial" w:hAnsi="Arial" w:cs="Arial"/>
          <w:b/>
          <w:bCs/>
          <w:sz w:val="22"/>
          <w:szCs w:val="22"/>
        </w:rPr>
        <w:t>Voda je dle různých kritérií znečištěná až velmi silně znečištěná</w:t>
      </w:r>
      <w:r w:rsidRPr="00E30642">
        <w:rPr>
          <w:rFonts w:ascii="Arial" w:hAnsi="Arial" w:cs="Arial"/>
          <w:sz w:val="22"/>
          <w:szCs w:val="22"/>
        </w:rPr>
        <w:t xml:space="preserve"> (ČSN 75 7221). Kvalita se v průběhu let stabilizovala, nevykazuje další prudké zhoršování, naopak trend je ke zlepšování. Širší využití vody ke koupání, rybolovu a závlahám však nelze zatím v daném úseku řeky doporučit. </w:t>
      </w:r>
    </w:p>
    <w:p w14:paraId="1CB018B2" w14:textId="77777777" w:rsidR="00CA23D0" w:rsidRDefault="00CA23D0" w:rsidP="00CA23D0">
      <w:pPr>
        <w:pStyle w:val="Zkladntext"/>
        <w:spacing w:line="240" w:lineRule="atLeast"/>
        <w:jc w:val="both"/>
        <w:rPr>
          <w:rFonts w:ascii="Arial" w:hAnsi="Arial" w:cs="Arial"/>
          <w:sz w:val="22"/>
          <w:szCs w:val="22"/>
        </w:rPr>
      </w:pPr>
    </w:p>
    <w:p w14:paraId="2AB026FA" w14:textId="77777777" w:rsidR="00D3579D" w:rsidRDefault="00D3579D" w:rsidP="00CA23D0">
      <w:pPr>
        <w:pStyle w:val="Zkladntext"/>
        <w:spacing w:line="240" w:lineRule="atLeast"/>
        <w:jc w:val="both"/>
        <w:rPr>
          <w:rFonts w:ascii="Arial" w:hAnsi="Arial" w:cs="Arial"/>
          <w:sz w:val="22"/>
          <w:szCs w:val="22"/>
        </w:rPr>
      </w:pPr>
    </w:p>
    <w:p w14:paraId="42D41525" w14:textId="77777777" w:rsidR="00D3579D" w:rsidRDefault="00D3579D" w:rsidP="00CA23D0">
      <w:pPr>
        <w:pStyle w:val="Zkladntext"/>
        <w:spacing w:line="240" w:lineRule="atLeast"/>
        <w:jc w:val="both"/>
        <w:rPr>
          <w:rFonts w:ascii="Arial" w:hAnsi="Arial" w:cs="Arial"/>
          <w:sz w:val="22"/>
          <w:szCs w:val="22"/>
        </w:rPr>
      </w:pPr>
    </w:p>
    <w:p w14:paraId="5D3BFB7D" w14:textId="77777777" w:rsidR="00D3579D" w:rsidRDefault="00D3579D" w:rsidP="00CA23D0">
      <w:pPr>
        <w:pStyle w:val="Zkladntext"/>
        <w:spacing w:line="240" w:lineRule="atLeast"/>
        <w:jc w:val="both"/>
        <w:rPr>
          <w:rFonts w:ascii="Arial" w:hAnsi="Arial" w:cs="Arial"/>
          <w:sz w:val="22"/>
          <w:szCs w:val="22"/>
        </w:rPr>
      </w:pPr>
    </w:p>
    <w:p w14:paraId="612BDC73" w14:textId="77777777" w:rsidR="00D3579D" w:rsidRPr="00E30642" w:rsidRDefault="00D3579D" w:rsidP="00CA23D0">
      <w:pPr>
        <w:pStyle w:val="Zkladntext"/>
        <w:spacing w:line="240" w:lineRule="atLeast"/>
        <w:jc w:val="both"/>
        <w:rPr>
          <w:rFonts w:ascii="Arial" w:hAnsi="Arial" w:cs="Arial"/>
          <w:sz w:val="22"/>
          <w:szCs w:val="22"/>
        </w:rPr>
      </w:pPr>
    </w:p>
    <w:p w14:paraId="6AB51326" w14:textId="77777777" w:rsidR="00CA23D0" w:rsidRPr="00E30642" w:rsidRDefault="00CA23D0" w:rsidP="00CA23D0">
      <w:pPr>
        <w:pStyle w:val="podnadpis2"/>
        <w:spacing w:line="240" w:lineRule="atLeast"/>
        <w:jc w:val="both"/>
        <w:rPr>
          <w:rFonts w:cs="Arial"/>
          <w:szCs w:val="22"/>
        </w:rPr>
      </w:pPr>
      <w:r w:rsidRPr="00E30642">
        <w:rPr>
          <w:rFonts w:cs="Arial"/>
          <w:szCs w:val="22"/>
        </w:rPr>
        <w:t xml:space="preserve">Ploučnice </w:t>
      </w:r>
    </w:p>
    <w:p w14:paraId="3FAC7DCF" w14:textId="77777777" w:rsidR="00CA23D0" w:rsidRPr="00E30642" w:rsidRDefault="00CA23D0" w:rsidP="00CA23D0">
      <w:pPr>
        <w:pStyle w:val="Zkladntext"/>
        <w:spacing w:line="240" w:lineRule="atLeast"/>
        <w:ind w:firstLine="709"/>
        <w:jc w:val="both"/>
        <w:rPr>
          <w:rFonts w:ascii="Arial" w:hAnsi="Arial" w:cs="Arial"/>
          <w:sz w:val="22"/>
          <w:szCs w:val="22"/>
        </w:rPr>
      </w:pPr>
      <w:r w:rsidRPr="00E30642">
        <w:rPr>
          <w:rFonts w:ascii="Arial" w:hAnsi="Arial" w:cs="Arial"/>
          <w:b/>
          <w:bCs/>
          <w:sz w:val="22"/>
          <w:szCs w:val="22"/>
        </w:rPr>
        <w:t xml:space="preserve">V profilu Děčín má následující znečištění: </w:t>
      </w:r>
    </w:p>
    <w:p w14:paraId="57634258"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sz w:val="22"/>
          <w:szCs w:val="22"/>
        </w:rPr>
        <w:t xml:space="preserve">A (kyslíkový režim) </w:t>
      </w:r>
      <w:r w:rsidRPr="00E30642">
        <w:rPr>
          <w:rFonts w:ascii="Arial" w:hAnsi="Arial" w:cs="Arial"/>
          <w:sz w:val="22"/>
          <w:szCs w:val="22"/>
        </w:rPr>
        <w:tab/>
        <w:t xml:space="preserve">B. (chemické ukazatele) </w:t>
      </w:r>
      <w:r w:rsidRPr="00E30642">
        <w:rPr>
          <w:rFonts w:ascii="Arial" w:hAnsi="Arial" w:cs="Arial"/>
          <w:sz w:val="22"/>
          <w:szCs w:val="22"/>
        </w:rPr>
        <w:tab/>
      </w:r>
      <w:r w:rsidRPr="00E30642">
        <w:rPr>
          <w:rFonts w:ascii="Arial" w:hAnsi="Arial" w:cs="Arial"/>
          <w:sz w:val="22"/>
          <w:szCs w:val="22"/>
        </w:rPr>
        <w:tab/>
        <w:t xml:space="preserve">C. (Chem. ukaz. doplňující) </w:t>
      </w:r>
    </w:p>
    <w:p w14:paraId="15F50323"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sz w:val="22"/>
          <w:szCs w:val="22"/>
        </w:rPr>
        <w:t xml:space="preserve">     </w:t>
      </w:r>
      <w:r w:rsidRPr="00E30642">
        <w:rPr>
          <w:rFonts w:ascii="Arial" w:hAnsi="Arial" w:cs="Arial"/>
          <w:sz w:val="22"/>
          <w:szCs w:val="22"/>
        </w:rPr>
        <w:tab/>
        <w:t xml:space="preserve">III.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III. </w:t>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r>
      <w:r w:rsidRPr="00E30642">
        <w:rPr>
          <w:rFonts w:ascii="Arial" w:hAnsi="Arial" w:cs="Arial"/>
          <w:sz w:val="22"/>
          <w:szCs w:val="22"/>
        </w:rPr>
        <w:tab/>
        <w:t xml:space="preserve">II. </w:t>
      </w:r>
    </w:p>
    <w:p w14:paraId="73860F08"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sz w:val="22"/>
          <w:szCs w:val="22"/>
        </w:rPr>
        <w:t xml:space="preserve">D. (Těžké kovy) </w:t>
      </w:r>
      <w:r w:rsidRPr="00E30642">
        <w:rPr>
          <w:rFonts w:ascii="Arial" w:hAnsi="Arial" w:cs="Arial"/>
          <w:sz w:val="22"/>
          <w:szCs w:val="22"/>
        </w:rPr>
        <w:tab/>
      </w:r>
      <w:r w:rsidRPr="00E30642">
        <w:rPr>
          <w:rFonts w:ascii="Arial" w:hAnsi="Arial" w:cs="Arial"/>
          <w:sz w:val="22"/>
          <w:szCs w:val="22"/>
        </w:rPr>
        <w:tab/>
        <w:t>E. (biolog. a mikrobiol. ukaz.)</w:t>
      </w:r>
      <w:r w:rsidRPr="00E30642">
        <w:rPr>
          <w:rFonts w:ascii="Arial" w:hAnsi="Arial" w:cs="Arial"/>
          <w:sz w:val="22"/>
          <w:szCs w:val="22"/>
        </w:rPr>
        <w:tab/>
      </w:r>
    </w:p>
    <w:p w14:paraId="78FBA462" w14:textId="77777777" w:rsidR="00CA23D0" w:rsidRPr="00E30642" w:rsidRDefault="00CA23D0" w:rsidP="00CA23D0">
      <w:pPr>
        <w:pStyle w:val="Zkladntext"/>
        <w:tabs>
          <w:tab w:val="left" w:pos="3540"/>
        </w:tabs>
        <w:spacing w:line="240" w:lineRule="atLeast"/>
        <w:ind w:left="3540" w:hanging="2835"/>
        <w:jc w:val="both"/>
        <w:rPr>
          <w:rFonts w:ascii="Arial" w:hAnsi="Arial" w:cs="Arial"/>
          <w:sz w:val="22"/>
          <w:szCs w:val="22"/>
        </w:rPr>
      </w:pPr>
      <w:r w:rsidRPr="00E30642">
        <w:rPr>
          <w:rFonts w:ascii="Arial" w:hAnsi="Arial" w:cs="Arial"/>
          <w:sz w:val="22"/>
          <w:szCs w:val="22"/>
        </w:rPr>
        <w:t xml:space="preserve">            III.</w:t>
      </w:r>
      <w:r w:rsidRPr="00E30642">
        <w:rPr>
          <w:rFonts w:ascii="Arial" w:hAnsi="Arial" w:cs="Arial"/>
          <w:sz w:val="22"/>
          <w:szCs w:val="22"/>
        </w:rPr>
        <w:tab/>
        <w:t xml:space="preserve"> III. </w:t>
      </w:r>
    </w:p>
    <w:p w14:paraId="68DE34D1" w14:textId="77777777" w:rsidR="00CA23D0" w:rsidRPr="00E30642" w:rsidRDefault="00CA23D0" w:rsidP="00CA23D0">
      <w:pPr>
        <w:pStyle w:val="Zkladntext"/>
        <w:spacing w:line="240" w:lineRule="atLeast"/>
        <w:jc w:val="both"/>
        <w:rPr>
          <w:rFonts w:ascii="Arial" w:hAnsi="Arial" w:cs="Arial"/>
          <w:b/>
          <w:bCs/>
          <w:sz w:val="22"/>
          <w:szCs w:val="22"/>
        </w:rPr>
      </w:pPr>
      <w:r w:rsidRPr="00E30642">
        <w:rPr>
          <w:rFonts w:ascii="Arial" w:hAnsi="Arial" w:cs="Arial"/>
          <w:b/>
          <w:bCs/>
          <w:sz w:val="22"/>
          <w:szCs w:val="22"/>
        </w:rPr>
        <w:t>Voda je ve všech kritériích klasifikovaná jako znečištěná.</w:t>
      </w:r>
    </w:p>
    <w:p w14:paraId="2F9D2173"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sz w:val="22"/>
          <w:szCs w:val="22"/>
        </w:rPr>
        <w:t>U ostatních toků nejsou soustavné rozbory k dispozici. Pouze však na základě místní prohlídky lze konstatovat, že průtokem přes zastavěné území se kvalita všech toků viditelně zhorší, což je nejvíce patrné u málo vodných toků. Nezbytná je proto dostavba kanalizace a podchycení všech zdrojů znečištění k likvidaci v celém řešeném území.</w:t>
      </w:r>
    </w:p>
    <w:p w14:paraId="3A19055B" w14:textId="77777777" w:rsidR="00CA23D0" w:rsidRPr="00E30642" w:rsidRDefault="00CA23D0" w:rsidP="00CA23D0">
      <w:pPr>
        <w:pStyle w:val="Zkladntext"/>
        <w:spacing w:line="240" w:lineRule="atLeast"/>
        <w:jc w:val="both"/>
        <w:rPr>
          <w:rFonts w:ascii="Arial" w:hAnsi="Arial" w:cs="Arial"/>
          <w:sz w:val="22"/>
          <w:szCs w:val="22"/>
        </w:rPr>
      </w:pPr>
    </w:p>
    <w:p w14:paraId="6CEF3FF5" w14:textId="77777777" w:rsidR="00CA23D0" w:rsidRPr="00E30642" w:rsidRDefault="00CA23D0" w:rsidP="00CA23D0">
      <w:pPr>
        <w:pStyle w:val="Zkladntext"/>
        <w:spacing w:line="240" w:lineRule="atLeast"/>
        <w:jc w:val="both"/>
        <w:rPr>
          <w:rFonts w:ascii="Arial" w:hAnsi="Arial" w:cs="Arial"/>
          <w:sz w:val="22"/>
          <w:szCs w:val="22"/>
        </w:rPr>
      </w:pPr>
    </w:p>
    <w:p w14:paraId="31759A48" w14:textId="77777777" w:rsidR="00CA23D0" w:rsidRPr="00E30642" w:rsidRDefault="00CA23D0" w:rsidP="00CA23D0">
      <w:pPr>
        <w:pStyle w:val="Zkladntext"/>
        <w:spacing w:line="240" w:lineRule="atLeast"/>
        <w:jc w:val="both"/>
        <w:rPr>
          <w:rFonts w:ascii="Arial" w:hAnsi="Arial" w:cs="Arial"/>
          <w:sz w:val="22"/>
          <w:szCs w:val="22"/>
        </w:rPr>
      </w:pPr>
    </w:p>
    <w:p w14:paraId="07AC94CD" w14:textId="77777777" w:rsidR="00CA23D0" w:rsidRPr="00E30642" w:rsidRDefault="00CA23D0" w:rsidP="00CA23D0">
      <w:pPr>
        <w:pStyle w:val="Zkladntext"/>
        <w:spacing w:line="240" w:lineRule="atLeast"/>
        <w:jc w:val="both"/>
        <w:rPr>
          <w:rFonts w:ascii="Arial" w:hAnsi="Arial" w:cs="Arial"/>
          <w:sz w:val="22"/>
          <w:szCs w:val="22"/>
        </w:rPr>
      </w:pPr>
    </w:p>
    <w:p w14:paraId="02D52B62" w14:textId="77777777" w:rsidR="00CA23D0" w:rsidRPr="00E30642" w:rsidRDefault="00CA23D0" w:rsidP="00CA23D0">
      <w:pPr>
        <w:pStyle w:val="Zkladntext"/>
        <w:spacing w:line="240" w:lineRule="atLeast"/>
        <w:jc w:val="both"/>
        <w:rPr>
          <w:rFonts w:ascii="Arial" w:hAnsi="Arial" w:cs="Arial"/>
          <w:sz w:val="22"/>
          <w:szCs w:val="22"/>
        </w:rPr>
      </w:pPr>
    </w:p>
    <w:p w14:paraId="46EDF6D7" w14:textId="77777777" w:rsidR="00CA23D0" w:rsidRPr="00E30642" w:rsidRDefault="00CA23D0" w:rsidP="00CA23D0">
      <w:pPr>
        <w:pStyle w:val="Zkladntext"/>
        <w:spacing w:line="240" w:lineRule="atLeast"/>
        <w:jc w:val="both"/>
        <w:rPr>
          <w:rFonts w:ascii="Arial" w:hAnsi="Arial" w:cs="Arial"/>
          <w:sz w:val="22"/>
          <w:szCs w:val="22"/>
        </w:rPr>
      </w:pPr>
    </w:p>
    <w:p w14:paraId="32235E57" w14:textId="77777777" w:rsidR="00CA23D0" w:rsidRPr="00E30642" w:rsidRDefault="00CA23D0" w:rsidP="00CA23D0">
      <w:pPr>
        <w:pStyle w:val="Zkladntext"/>
        <w:spacing w:line="240" w:lineRule="atLeast"/>
        <w:jc w:val="both"/>
        <w:rPr>
          <w:rFonts w:ascii="Arial" w:hAnsi="Arial" w:cs="Arial"/>
          <w:sz w:val="22"/>
          <w:szCs w:val="22"/>
        </w:rPr>
      </w:pPr>
    </w:p>
    <w:p w14:paraId="11E6FDFC" w14:textId="77777777" w:rsidR="00CA23D0" w:rsidRPr="00E30642" w:rsidRDefault="00CA23D0" w:rsidP="00CA23D0">
      <w:pPr>
        <w:pStyle w:val="Zkladntext"/>
        <w:spacing w:line="240" w:lineRule="atLeast"/>
        <w:jc w:val="both"/>
        <w:rPr>
          <w:rFonts w:ascii="Arial" w:hAnsi="Arial" w:cs="Arial"/>
          <w:sz w:val="22"/>
          <w:szCs w:val="22"/>
        </w:rPr>
      </w:pPr>
    </w:p>
    <w:p w14:paraId="65AA5FDF" w14:textId="77777777" w:rsidR="00CA23D0" w:rsidRPr="00E30642" w:rsidRDefault="00CA23D0" w:rsidP="00CA23D0">
      <w:pPr>
        <w:pStyle w:val="Zkladntext"/>
        <w:spacing w:line="240" w:lineRule="atLeast"/>
        <w:jc w:val="both"/>
        <w:rPr>
          <w:rFonts w:ascii="Arial" w:hAnsi="Arial" w:cs="Arial"/>
          <w:sz w:val="22"/>
          <w:szCs w:val="22"/>
        </w:rPr>
      </w:pPr>
    </w:p>
    <w:p w14:paraId="542CD81C" w14:textId="77777777" w:rsidR="00CA23D0" w:rsidRPr="00E30642" w:rsidRDefault="00CA23D0" w:rsidP="00CA23D0">
      <w:pPr>
        <w:pStyle w:val="Zkladntext"/>
        <w:spacing w:line="240" w:lineRule="atLeast"/>
        <w:jc w:val="both"/>
        <w:rPr>
          <w:rFonts w:ascii="Arial" w:hAnsi="Arial" w:cs="Arial"/>
          <w:sz w:val="22"/>
          <w:szCs w:val="22"/>
        </w:rPr>
      </w:pPr>
    </w:p>
    <w:p w14:paraId="576B8BCD" w14:textId="77777777" w:rsidR="00CA23D0" w:rsidRPr="00E30642" w:rsidRDefault="00CA23D0" w:rsidP="00CA23D0">
      <w:pPr>
        <w:pStyle w:val="Zkladntext"/>
        <w:spacing w:line="240" w:lineRule="atLeast"/>
        <w:jc w:val="both"/>
        <w:rPr>
          <w:rFonts w:ascii="Arial" w:hAnsi="Arial" w:cs="Arial"/>
          <w:sz w:val="22"/>
          <w:szCs w:val="22"/>
        </w:rPr>
      </w:pPr>
    </w:p>
    <w:p w14:paraId="53DF2B50" w14:textId="77777777" w:rsidR="00CA23D0" w:rsidRPr="00E30642" w:rsidRDefault="00CA23D0" w:rsidP="00CA23D0">
      <w:pPr>
        <w:pStyle w:val="Zkladntext"/>
        <w:spacing w:line="240" w:lineRule="atLeast"/>
        <w:jc w:val="both"/>
        <w:rPr>
          <w:rFonts w:ascii="Arial" w:hAnsi="Arial" w:cs="Arial"/>
          <w:sz w:val="22"/>
          <w:szCs w:val="22"/>
        </w:rPr>
      </w:pPr>
    </w:p>
    <w:p w14:paraId="338D6EDC" w14:textId="77777777" w:rsidR="00CA23D0" w:rsidRPr="00E30642" w:rsidRDefault="00CA23D0" w:rsidP="00CA23D0">
      <w:pPr>
        <w:pStyle w:val="Zkladntext"/>
        <w:spacing w:line="240" w:lineRule="atLeast"/>
        <w:jc w:val="both"/>
        <w:rPr>
          <w:rFonts w:ascii="Arial" w:hAnsi="Arial" w:cs="Arial"/>
          <w:sz w:val="22"/>
          <w:szCs w:val="22"/>
        </w:rPr>
      </w:pPr>
    </w:p>
    <w:p w14:paraId="53E2BCBF" w14:textId="77777777" w:rsidR="00CA23D0" w:rsidRPr="00E30642" w:rsidRDefault="00CA23D0" w:rsidP="00CA23D0">
      <w:pPr>
        <w:pStyle w:val="Zkladntext"/>
        <w:spacing w:line="240" w:lineRule="atLeast"/>
        <w:jc w:val="both"/>
        <w:rPr>
          <w:rFonts w:ascii="Arial" w:hAnsi="Arial" w:cs="Arial"/>
          <w:sz w:val="22"/>
          <w:szCs w:val="22"/>
        </w:rPr>
      </w:pPr>
    </w:p>
    <w:p w14:paraId="3C6FC886" w14:textId="77777777" w:rsidR="00CA23D0" w:rsidRPr="00E30642" w:rsidRDefault="00CA23D0" w:rsidP="00CA23D0">
      <w:pPr>
        <w:pStyle w:val="Zkladntext"/>
        <w:spacing w:line="240" w:lineRule="atLeast"/>
        <w:jc w:val="both"/>
        <w:rPr>
          <w:rFonts w:ascii="Arial" w:hAnsi="Arial" w:cs="Arial"/>
          <w:sz w:val="22"/>
          <w:szCs w:val="22"/>
        </w:rPr>
      </w:pPr>
    </w:p>
    <w:p w14:paraId="276C8E0E" w14:textId="77777777" w:rsidR="00CA23D0" w:rsidRPr="00E30642" w:rsidRDefault="00CA23D0" w:rsidP="00CA23D0">
      <w:pPr>
        <w:pStyle w:val="Zkladntext"/>
        <w:spacing w:line="240" w:lineRule="atLeast"/>
        <w:jc w:val="both"/>
        <w:rPr>
          <w:rFonts w:ascii="Arial" w:hAnsi="Arial" w:cs="Arial"/>
          <w:sz w:val="22"/>
          <w:szCs w:val="22"/>
        </w:rPr>
      </w:pPr>
    </w:p>
    <w:p w14:paraId="0A926C9B" w14:textId="77777777" w:rsidR="00CA23D0" w:rsidRDefault="00CA23D0" w:rsidP="00CA23D0">
      <w:pPr>
        <w:pStyle w:val="Zkladntext"/>
        <w:spacing w:line="240" w:lineRule="atLeast"/>
        <w:jc w:val="both"/>
        <w:rPr>
          <w:rFonts w:ascii="Arial" w:hAnsi="Arial" w:cs="Arial"/>
          <w:sz w:val="22"/>
          <w:szCs w:val="22"/>
        </w:rPr>
      </w:pPr>
    </w:p>
    <w:p w14:paraId="2E5D2EA8" w14:textId="77777777" w:rsidR="00D3579D" w:rsidRDefault="00D3579D" w:rsidP="00CA23D0">
      <w:pPr>
        <w:pStyle w:val="Zkladntext"/>
        <w:spacing w:line="240" w:lineRule="atLeast"/>
        <w:jc w:val="both"/>
        <w:rPr>
          <w:rFonts w:ascii="Arial" w:hAnsi="Arial" w:cs="Arial"/>
          <w:sz w:val="22"/>
          <w:szCs w:val="22"/>
        </w:rPr>
      </w:pPr>
    </w:p>
    <w:p w14:paraId="47D3AD49" w14:textId="77777777" w:rsidR="00D3579D" w:rsidRDefault="00D3579D" w:rsidP="00CA23D0">
      <w:pPr>
        <w:pStyle w:val="Zkladntext"/>
        <w:spacing w:line="240" w:lineRule="atLeast"/>
        <w:jc w:val="both"/>
        <w:rPr>
          <w:rFonts w:ascii="Arial" w:hAnsi="Arial" w:cs="Arial"/>
          <w:sz w:val="22"/>
          <w:szCs w:val="22"/>
        </w:rPr>
      </w:pPr>
    </w:p>
    <w:p w14:paraId="1EABA396" w14:textId="77777777" w:rsidR="00D3579D" w:rsidRDefault="00D3579D" w:rsidP="00CA23D0">
      <w:pPr>
        <w:pStyle w:val="Zkladntext"/>
        <w:spacing w:line="240" w:lineRule="atLeast"/>
        <w:jc w:val="both"/>
        <w:rPr>
          <w:rFonts w:ascii="Arial" w:hAnsi="Arial" w:cs="Arial"/>
          <w:sz w:val="22"/>
          <w:szCs w:val="22"/>
        </w:rPr>
      </w:pPr>
    </w:p>
    <w:p w14:paraId="39AF71B5" w14:textId="77777777" w:rsidR="00D3579D" w:rsidRDefault="00D3579D" w:rsidP="00CA23D0">
      <w:pPr>
        <w:pStyle w:val="Zkladntext"/>
        <w:spacing w:line="240" w:lineRule="atLeast"/>
        <w:jc w:val="both"/>
        <w:rPr>
          <w:rFonts w:ascii="Arial" w:hAnsi="Arial" w:cs="Arial"/>
          <w:sz w:val="22"/>
          <w:szCs w:val="22"/>
        </w:rPr>
      </w:pPr>
    </w:p>
    <w:p w14:paraId="1AA9F9C8" w14:textId="77777777" w:rsidR="00D3579D" w:rsidRDefault="00D3579D" w:rsidP="00CA23D0">
      <w:pPr>
        <w:pStyle w:val="Zkladntext"/>
        <w:spacing w:line="240" w:lineRule="atLeast"/>
        <w:jc w:val="both"/>
        <w:rPr>
          <w:rFonts w:ascii="Arial" w:hAnsi="Arial" w:cs="Arial"/>
          <w:sz w:val="22"/>
          <w:szCs w:val="22"/>
        </w:rPr>
      </w:pPr>
    </w:p>
    <w:p w14:paraId="05E03D02" w14:textId="77777777" w:rsidR="00D3579D" w:rsidRDefault="00D3579D" w:rsidP="00CA23D0">
      <w:pPr>
        <w:pStyle w:val="Zkladntext"/>
        <w:spacing w:line="240" w:lineRule="atLeast"/>
        <w:jc w:val="both"/>
        <w:rPr>
          <w:rFonts w:ascii="Arial" w:hAnsi="Arial" w:cs="Arial"/>
          <w:sz w:val="22"/>
          <w:szCs w:val="22"/>
        </w:rPr>
      </w:pPr>
    </w:p>
    <w:p w14:paraId="069136EB" w14:textId="77777777" w:rsidR="00D3579D" w:rsidRDefault="00D3579D" w:rsidP="00CA23D0">
      <w:pPr>
        <w:pStyle w:val="Zkladntext"/>
        <w:spacing w:line="240" w:lineRule="atLeast"/>
        <w:jc w:val="both"/>
        <w:rPr>
          <w:rFonts w:ascii="Arial" w:hAnsi="Arial" w:cs="Arial"/>
          <w:sz w:val="22"/>
          <w:szCs w:val="22"/>
        </w:rPr>
      </w:pPr>
    </w:p>
    <w:p w14:paraId="0BF489E6" w14:textId="77777777" w:rsidR="00D3579D" w:rsidRDefault="00D3579D" w:rsidP="00CA23D0">
      <w:pPr>
        <w:pStyle w:val="Zkladntext"/>
        <w:spacing w:line="240" w:lineRule="atLeast"/>
        <w:jc w:val="both"/>
        <w:rPr>
          <w:rFonts w:ascii="Arial" w:hAnsi="Arial" w:cs="Arial"/>
          <w:sz w:val="22"/>
          <w:szCs w:val="22"/>
        </w:rPr>
      </w:pPr>
    </w:p>
    <w:p w14:paraId="3F5AFCB2" w14:textId="77777777" w:rsidR="00D3579D" w:rsidRDefault="00D3579D" w:rsidP="00CA23D0">
      <w:pPr>
        <w:pStyle w:val="Zkladntext"/>
        <w:spacing w:line="240" w:lineRule="atLeast"/>
        <w:jc w:val="both"/>
        <w:rPr>
          <w:rFonts w:ascii="Arial" w:hAnsi="Arial" w:cs="Arial"/>
          <w:sz w:val="22"/>
          <w:szCs w:val="22"/>
        </w:rPr>
      </w:pPr>
    </w:p>
    <w:p w14:paraId="209CFEB9" w14:textId="77777777" w:rsidR="00D3579D" w:rsidRDefault="00D3579D" w:rsidP="00CA23D0">
      <w:pPr>
        <w:pStyle w:val="Zkladntext"/>
        <w:spacing w:line="240" w:lineRule="atLeast"/>
        <w:jc w:val="both"/>
        <w:rPr>
          <w:rFonts w:ascii="Arial" w:hAnsi="Arial" w:cs="Arial"/>
          <w:sz w:val="22"/>
          <w:szCs w:val="22"/>
        </w:rPr>
      </w:pPr>
    </w:p>
    <w:p w14:paraId="41E4D2AD" w14:textId="77777777" w:rsidR="00D3579D" w:rsidRPr="00E30642" w:rsidRDefault="00D3579D" w:rsidP="00CA23D0">
      <w:pPr>
        <w:pStyle w:val="Zkladntext"/>
        <w:spacing w:line="240" w:lineRule="atLeast"/>
        <w:jc w:val="both"/>
        <w:rPr>
          <w:rFonts w:ascii="Arial" w:hAnsi="Arial" w:cs="Arial"/>
          <w:sz w:val="22"/>
          <w:szCs w:val="22"/>
        </w:rPr>
      </w:pPr>
    </w:p>
    <w:p w14:paraId="02731E07"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noProof/>
          <w:lang w:eastAsia="cs-CZ"/>
        </w:rPr>
        <w:drawing>
          <wp:anchor distT="0" distB="0" distL="114300" distR="114300" simplePos="0" relativeHeight="251684864" behindDoc="0" locked="0" layoutInCell="1" allowOverlap="1" wp14:anchorId="791AADF8" wp14:editId="0F910DF0">
            <wp:simplePos x="0" y="0"/>
            <wp:positionH relativeFrom="margin">
              <wp:align>left</wp:align>
            </wp:positionH>
            <wp:positionV relativeFrom="margin">
              <wp:align>top</wp:align>
            </wp:positionV>
            <wp:extent cx="6033770" cy="8049260"/>
            <wp:effectExtent l="0" t="0" r="5080" b="8890"/>
            <wp:wrapSquare wrapText="bothSides"/>
            <wp:docPr id="5144" name="Obrázek 5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033770" cy="80492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53AA98" w14:textId="77777777" w:rsidR="00D3579D" w:rsidRDefault="00D3579D" w:rsidP="00CA23D0">
      <w:pPr>
        <w:pStyle w:val="Zkladntext"/>
        <w:spacing w:line="240" w:lineRule="atLeast"/>
        <w:jc w:val="both"/>
        <w:rPr>
          <w:rFonts w:ascii="Arial" w:hAnsi="Arial" w:cs="Arial"/>
          <w:sz w:val="22"/>
          <w:szCs w:val="22"/>
        </w:rPr>
      </w:pPr>
    </w:p>
    <w:p w14:paraId="45C4379A" w14:textId="77777777" w:rsidR="00D3579D" w:rsidRDefault="00D3579D" w:rsidP="00CA23D0">
      <w:pPr>
        <w:pStyle w:val="Zkladntext"/>
        <w:spacing w:line="240" w:lineRule="atLeast"/>
        <w:jc w:val="both"/>
        <w:rPr>
          <w:rFonts w:ascii="Arial" w:hAnsi="Arial" w:cs="Arial"/>
          <w:sz w:val="22"/>
          <w:szCs w:val="22"/>
        </w:rPr>
      </w:pPr>
    </w:p>
    <w:p w14:paraId="1395EA23"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noProof/>
          <w:lang w:eastAsia="cs-CZ"/>
        </w:rPr>
        <w:drawing>
          <wp:anchor distT="0" distB="0" distL="114300" distR="114300" simplePos="0" relativeHeight="251685888" behindDoc="0" locked="0" layoutInCell="1" allowOverlap="1" wp14:anchorId="4AD079FE" wp14:editId="3AE4DBE4">
            <wp:simplePos x="0" y="0"/>
            <wp:positionH relativeFrom="margin">
              <wp:posOffset>146685</wp:posOffset>
            </wp:positionH>
            <wp:positionV relativeFrom="margin">
              <wp:posOffset>-81915</wp:posOffset>
            </wp:positionV>
            <wp:extent cx="5627370" cy="8197850"/>
            <wp:effectExtent l="0" t="0" r="0" b="0"/>
            <wp:wrapSquare wrapText="bothSides"/>
            <wp:docPr id="5143" name="Obrázek 5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627370" cy="8197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43F65C"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noProof/>
          <w:lang w:eastAsia="cs-CZ"/>
        </w:rPr>
        <w:lastRenderedPageBreak/>
        <w:drawing>
          <wp:anchor distT="0" distB="0" distL="114300" distR="114300" simplePos="0" relativeHeight="251686912" behindDoc="0" locked="0" layoutInCell="1" allowOverlap="1" wp14:anchorId="78D492C4" wp14:editId="0E0F5A59">
            <wp:simplePos x="0" y="0"/>
            <wp:positionH relativeFrom="margin">
              <wp:align>left</wp:align>
            </wp:positionH>
            <wp:positionV relativeFrom="margin">
              <wp:align>top</wp:align>
            </wp:positionV>
            <wp:extent cx="6149975" cy="8149590"/>
            <wp:effectExtent l="0" t="0" r="3175" b="3810"/>
            <wp:wrapSquare wrapText="bothSides"/>
            <wp:docPr id="5142" name="Obrázek 5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149975" cy="81495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4F29B9" w14:textId="77777777" w:rsidR="00D3579D" w:rsidRDefault="00D3579D" w:rsidP="00CA23D0">
      <w:pPr>
        <w:pStyle w:val="Zkladntext"/>
        <w:spacing w:line="240" w:lineRule="atLeast"/>
        <w:jc w:val="both"/>
        <w:rPr>
          <w:rFonts w:ascii="Arial" w:hAnsi="Arial" w:cs="Arial"/>
          <w:sz w:val="22"/>
          <w:szCs w:val="22"/>
        </w:rPr>
      </w:pPr>
    </w:p>
    <w:p w14:paraId="5B007340" w14:textId="77777777" w:rsidR="00D3579D" w:rsidRDefault="00D3579D" w:rsidP="00CA23D0">
      <w:pPr>
        <w:pStyle w:val="Zkladntext"/>
        <w:spacing w:line="240" w:lineRule="atLeast"/>
        <w:jc w:val="both"/>
        <w:rPr>
          <w:rFonts w:ascii="Arial" w:hAnsi="Arial" w:cs="Arial"/>
          <w:sz w:val="22"/>
          <w:szCs w:val="22"/>
        </w:rPr>
      </w:pPr>
    </w:p>
    <w:p w14:paraId="3B523E4F" w14:textId="77777777" w:rsidR="00D3579D" w:rsidRDefault="00D3579D" w:rsidP="00CA23D0">
      <w:pPr>
        <w:pStyle w:val="Zkladntext"/>
        <w:spacing w:line="240" w:lineRule="atLeast"/>
        <w:jc w:val="both"/>
        <w:rPr>
          <w:rFonts w:ascii="Arial" w:hAnsi="Arial" w:cs="Arial"/>
          <w:sz w:val="22"/>
          <w:szCs w:val="22"/>
        </w:rPr>
      </w:pPr>
    </w:p>
    <w:p w14:paraId="5D2D314B"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noProof/>
          <w:lang w:eastAsia="cs-CZ"/>
        </w:rPr>
        <w:drawing>
          <wp:anchor distT="0" distB="0" distL="114300" distR="114300" simplePos="0" relativeHeight="251687936" behindDoc="0" locked="0" layoutInCell="1" allowOverlap="1" wp14:anchorId="7E09C698" wp14:editId="5814B33F">
            <wp:simplePos x="0" y="0"/>
            <wp:positionH relativeFrom="margin">
              <wp:posOffset>0</wp:posOffset>
            </wp:positionH>
            <wp:positionV relativeFrom="margin">
              <wp:posOffset>-98425</wp:posOffset>
            </wp:positionV>
            <wp:extent cx="6165850" cy="8138795"/>
            <wp:effectExtent l="0" t="0" r="6350" b="0"/>
            <wp:wrapSquare wrapText="bothSides"/>
            <wp:docPr id="5141" name="Obrázek 5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165850" cy="8138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C8E6DC" w14:textId="77777777" w:rsidR="00D3579D" w:rsidRDefault="00D3579D" w:rsidP="00CA23D0">
      <w:pPr>
        <w:pStyle w:val="Zkladntext"/>
        <w:spacing w:line="240" w:lineRule="atLeast"/>
        <w:jc w:val="both"/>
        <w:rPr>
          <w:rFonts w:ascii="Arial" w:hAnsi="Arial" w:cs="Arial"/>
          <w:sz w:val="22"/>
          <w:szCs w:val="22"/>
        </w:rPr>
      </w:pPr>
    </w:p>
    <w:p w14:paraId="1B4D4CE2"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noProof/>
          <w:lang w:eastAsia="cs-CZ"/>
        </w:rPr>
        <w:lastRenderedPageBreak/>
        <w:drawing>
          <wp:anchor distT="0" distB="0" distL="114300" distR="114300" simplePos="0" relativeHeight="251688960" behindDoc="0" locked="0" layoutInCell="1" allowOverlap="1" wp14:anchorId="2D2D65CF" wp14:editId="41A77B95">
            <wp:simplePos x="0" y="0"/>
            <wp:positionH relativeFrom="margin">
              <wp:align>left</wp:align>
            </wp:positionH>
            <wp:positionV relativeFrom="margin">
              <wp:align>top</wp:align>
            </wp:positionV>
            <wp:extent cx="6172200" cy="8117205"/>
            <wp:effectExtent l="0" t="0" r="0" b="0"/>
            <wp:wrapSquare wrapText="bothSides"/>
            <wp:docPr id="5140" name="Obrázek 5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172200" cy="81172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8B2E19" w14:textId="77777777" w:rsidR="00D3579D" w:rsidRDefault="00D3579D" w:rsidP="00CA23D0">
      <w:pPr>
        <w:pStyle w:val="Zkladntext"/>
        <w:spacing w:line="240" w:lineRule="atLeast"/>
        <w:jc w:val="both"/>
        <w:rPr>
          <w:rFonts w:ascii="Arial" w:hAnsi="Arial" w:cs="Arial"/>
          <w:sz w:val="22"/>
          <w:szCs w:val="22"/>
        </w:rPr>
      </w:pPr>
    </w:p>
    <w:p w14:paraId="19747789" w14:textId="77777777" w:rsidR="00D3579D" w:rsidRDefault="00D3579D" w:rsidP="00CA23D0">
      <w:pPr>
        <w:pStyle w:val="Zkladntext"/>
        <w:spacing w:line="240" w:lineRule="atLeast"/>
        <w:jc w:val="both"/>
        <w:rPr>
          <w:rFonts w:ascii="Arial" w:hAnsi="Arial" w:cs="Arial"/>
          <w:sz w:val="22"/>
          <w:szCs w:val="22"/>
        </w:rPr>
      </w:pPr>
    </w:p>
    <w:p w14:paraId="241A7F63" w14:textId="77777777" w:rsidR="00D3579D" w:rsidRDefault="00D3579D" w:rsidP="00CA23D0">
      <w:pPr>
        <w:pStyle w:val="Zkladntext"/>
        <w:spacing w:line="240" w:lineRule="atLeast"/>
        <w:jc w:val="both"/>
        <w:rPr>
          <w:rFonts w:ascii="Arial" w:hAnsi="Arial" w:cs="Arial"/>
          <w:sz w:val="22"/>
          <w:szCs w:val="22"/>
        </w:rPr>
      </w:pPr>
    </w:p>
    <w:p w14:paraId="2795D0C8" w14:textId="77777777" w:rsidR="00D3579D" w:rsidRDefault="00D3579D" w:rsidP="00CA23D0">
      <w:pPr>
        <w:pStyle w:val="Zkladntext"/>
        <w:spacing w:line="240" w:lineRule="atLeast"/>
        <w:jc w:val="both"/>
        <w:rPr>
          <w:rFonts w:ascii="Arial" w:hAnsi="Arial" w:cs="Arial"/>
          <w:sz w:val="22"/>
          <w:szCs w:val="22"/>
        </w:rPr>
      </w:pPr>
    </w:p>
    <w:p w14:paraId="39775E00"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noProof/>
          <w:lang w:eastAsia="cs-CZ"/>
        </w:rPr>
        <w:drawing>
          <wp:anchor distT="0" distB="0" distL="114300" distR="114300" simplePos="0" relativeHeight="251689984" behindDoc="0" locked="0" layoutInCell="1" allowOverlap="1" wp14:anchorId="513CE49C" wp14:editId="281B1A93">
            <wp:simplePos x="0" y="0"/>
            <wp:positionH relativeFrom="margin">
              <wp:posOffset>4445</wp:posOffset>
            </wp:positionH>
            <wp:positionV relativeFrom="margin">
              <wp:posOffset>-97790</wp:posOffset>
            </wp:positionV>
            <wp:extent cx="6186805" cy="8173085"/>
            <wp:effectExtent l="0" t="0" r="4445" b="0"/>
            <wp:wrapSquare wrapText="bothSides"/>
            <wp:docPr id="5139" name="Obrázek 5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6186805" cy="81730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5DFB92"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noProof/>
          <w:lang w:eastAsia="cs-CZ"/>
        </w:rPr>
        <w:lastRenderedPageBreak/>
        <w:drawing>
          <wp:anchor distT="0" distB="0" distL="114300" distR="114300" simplePos="0" relativeHeight="251691008" behindDoc="0" locked="0" layoutInCell="1" allowOverlap="1" wp14:anchorId="32D75471" wp14:editId="09CF4121">
            <wp:simplePos x="0" y="0"/>
            <wp:positionH relativeFrom="margin">
              <wp:posOffset>4445</wp:posOffset>
            </wp:positionH>
            <wp:positionV relativeFrom="margin">
              <wp:posOffset>-93980</wp:posOffset>
            </wp:positionV>
            <wp:extent cx="6104890" cy="8158480"/>
            <wp:effectExtent l="0" t="0" r="0" b="0"/>
            <wp:wrapSquare wrapText="bothSides"/>
            <wp:docPr id="5138" name="Obrázek 5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104890" cy="81584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88D426" w14:textId="77777777" w:rsidR="00D3579D" w:rsidRDefault="00D3579D" w:rsidP="00CA23D0">
      <w:pPr>
        <w:pStyle w:val="Zkladntext"/>
        <w:spacing w:line="240" w:lineRule="atLeast"/>
        <w:jc w:val="both"/>
        <w:rPr>
          <w:rFonts w:ascii="Arial" w:hAnsi="Arial" w:cs="Arial"/>
          <w:sz w:val="22"/>
          <w:szCs w:val="22"/>
        </w:rPr>
      </w:pPr>
    </w:p>
    <w:p w14:paraId="173F93EB" w14:textId="77777777" w:rsidR="00D3579D" w:rsidRDefault="00D3579D" w:rsidP="00CA23D0">
      <w:pPr>
        <w:pStyle w:val="Zkladntext"/>
        <w:spacing w:line="240" w:lineRule="atLeast"/>
        <w:jc w:val="both"/>
        <w:rPr>
          <w:rFonts w:ascii="Arial" w:hAnsi="Arial" w:cs="Arial"/>
          <w:sz w:val="22"/>
          <w:szCs w:val="22"/>
        </w:rPr>
      </w:pPr>
    </w:p>
    <w:p w14:paraId="7D1A573D" w14:textId="77777777" w:rsidR="00D3579D" w:rsidRDefault="00D3579D" w:rsidP="00CA23D0">
      <w:pPr>
        <w:pStyle w:val="Zkladntext"/>
        <w:spacing w:line="240" w:lineRule="atLeast"/>
        <w:jc w:val="both"/>
        <w:rPr>
          <w:rFonts w:ascii="Arial" w:hAnsi="Arial" w:cs="Arial"/>
          <w:sz w:val="22"/>
          <w:szCs w:val="22"/>
        </w:rPr>
      </w:pPr>
    </w:p>
    <w:p w14:paraId="7691BA30" w14:textId="77777777" w:rsidR="00D3579D" w:rsidRDefault="00D3579D" w:rsidP="00CA23D0">
      <w:pPr>
        <w:pStyle w:val="Zkladntext"/>
        <w:spacing w:line="240" w:lineRule="atLeast"/>
        <w:jc w:val="both"/>
        <w:rPr>
          <w:rFonts w:ascii="Arial" w:hAnsi="Arial" w:cs="Arial"/>
          <w:sz w:val="22"/>
          <w:szCs w:val="22"/>
        </w:rPr>
      </w:pPr>
    </w:p>
    <w:p w14:paraId="4FA0CD88"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noProof/>
          <w:lang w:eastAsia="cs-CZ"/>
        </w:rPr>
        <w:drawing>
          <wp:anchor distT="0" distB="0" distL="114300" distR="114300" simplePos="0" relativeHeight="251692032" behindDoc="0" locked="0" layoutInCell="1" allowOverlap="1" wp14:anchorId="6F024CCD" wp14:editId="46494F0E">
            <wp:simplePos x="0" y="0"/>
            <wp:positionH relativeFrom="margin">
              <wp:posOffset>0</wp:posOffset>
            </wp:positionH>
            <wp:positionV relativeFrom="margin">
              <wp:posOffset>-162560</wp:posOffset>
            </wp:positionV>
            <wp:extent cx="6204585" cy="8183245"/>
            <wp:effectExtent l="0" t="0" r="5715" b="8255"/>
            <wp:wrapSquare wrapText="bothSides"/>
            <wp:docPr id="5137" name="Obrázek 5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204585" cy="81832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F9AB40" w14:textId="77777777" w:rsidR="00CA23D0" w:rsidRPr="00E30642" w:rsidRDefault="00CA23D0" w:rsidP="00CA23D0">
      <w:pPr>
        <w:pStyle w:val="Zkladntext"/>
        <w:spacing w:line="240" w:lineRule="atLeast"/>
        <w:jc w:val="both"/>
        <w:rPr>
          <w:rFonts w:ascii="Arial" w:hAnsi="Arial" w:cs="Arial"/>
          <w:sz w:val="22"/>
          <w:szCs w:val="22"/>
        </w:rPr>
      </w:pPr>
      <w:r w:rsidRPr="00E30642">
        <w:rPr>
          <w:rFonts w:ascii="Arial" w:hAnsi="Arial" w:cs="Arial"/>
          <w:noProof/>
          <w:lang w:eastAsia="cs-CZ"/>
        </w:rPr>
        <w:lastRenderedPageBreak/>
        <w:drawing>
          <wp:anchor distT="0" distB="0" distL="114300" distR="114300" simplePos="0" relativeHeight="251693056" behindDoc="0" locked="0" layoutInCell="1" allowOverlap="1" wp14:anchorId="056AAC39" wp14:editId="685DBBE7">
            <wp:simplePos x="0" y="0"/>
            <wp:positionH relativeFrom="margin">
              <wp:posOffset>0</wp:posOffset>
            </wp:positionH>
            <wp:positionV relativeFrom="margin">
              <wp:posOffset>-97790</wp:posOffset>
            </wp:positionV>
            <wp:extent cx="5582920" cy="8242935"/>
            <wp:effectExtent l="0" t="0" r="0" b="5715"/>
            <wp:wrapSquare wrapText="bothSides"/>
            <wp:docPr id="5136" name="Obrázek 5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582920" cy="82429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2BB615" w14:textId="77777777" w:rsidR="00CA23D0" w:rsidRPr="00E30642" w:rsidRDefault="00CA23D0" w:rsidP="00CA23D0">
      <w:pPr>
        <w:pStyle w:val="Zkladntext"/>
        <w:spacing w:line="240" w:lineRule="atLeast"/>
        <w:jc w:val="both"/>
        <w:rPr>
          <w:rFonts w:ascii="Arial" w:hAnsi="Arial" w:cs="Arial"/>
          <w:sz w:val="22"/>
          <w:szCs w:val="22"/>
        </w:rPr>
      </w:pPr>
    </w:p>
    <w:p w14:paraId="0EF4F276" w14:textId="77777777" w:rsidR="00CA23D0" w:rsidRPr="00E30642" w:rsidRDefault="00CA23D0" w:rsidP="00CA23D0">
      <w:pPr>
        <w:pStyle w:val="Zkladntext"/>
        <w:spacing w:line="240" w:lineRule="atLeast"/>
        <w:jc w:val="both"/>
        <w:rPr>
          <w:rFonts w:ascii="Arial" w:hAnsi="Arial" w:cs="Arial"/>
          <w:sz w:val="22"/>
          <w:szCs w:val="22"/>
        </w:rPr>
      </w:pPr>
    </w:p>
    <w:p w14:paraId="6606607F" w14:textId="77777777" w:rsidR="00CA23D0" w:rsidRPr="00D3579D" w:rsidRDefault="00CA23D0" w:rsidP="00CA23D0">
      <w:pPr>
        <w:tabs>
          <w:tab w:val="right" w:pos="2679"/>
        </w:tabs>
        <w:spacing w:before="36" w:line="276" w:lineRule="auto"/>
        <w:ind w:left="72"/>
        <w:jc w:val="both"/>
        <w:rPr>
          <w:rFonts w:ascii="Arial" w:hAnsi="Arial" w:cs="Arial"/>
          <w:b/>
          <w:color w:val="00B050"/>
          <w:spacing w:val="3"/>
          <w:sz w:val="22"/>
          <w:szCs w:val="22"/>
        </w:rPr>
      </w:pPr>
      <w:r w:rsidRPr="00D3579D">
        <w:rPr>
          <w:rFonts w:ascii="Arial" w:hAnsi="Arial" w:cs="Arial"/>
          <w:b/>
          <w:color w:val="00B050"/>
          <w:spacing w:val="3"/>
          <w:sz w:val="22"/>
          <w:szCs w:val="22"/>
        </w:rPr>
        <w:lastRenderedPageBreak/>
        <w:t>(Z1)</w:t>
      </w:r>
      <w:r w:rsidRPr="00D3579D">
        <w:rPr>
          <w:rFonts w:ascii="Arial" w:hAnsi="Arial" w:cs="Arial"/>
          <w:b/>
          <w:spacing w:val="3"/>
          <w:sz w:val="22"/>
          <w:szCs w:val="22"/>
        </w:rPr>
        <w:t xml:space="preserve"> </w:t>
      </w:r>
      <w:r w:rsidRPr="00D3579D">
        <w:rPr>
          <w:rFonts w:ascii="Arial" w:hAnsi="Arial" w:cs="Arial"/>
          <w:b/>
          <w:color w:val="00B050"/>
          <w:spacing w:val="3"/>
          <w:sz w:val="22"/>
          <w:szCs w:val="22"/>
        </w:rPr>
        <w:t>ZÁKLADNÍ PŘEDPOKLADY A PODMÍNKY VÝVOJE OBCE A OCHRANY</w:t>
      </w:r>
    </w:p>
    <w:p w14:paraId="1DB0DADB" w14:textId="77777777" w:rsidR="00CA23D0" w:rsidRPr="00D3579D" w:rsidRDefault="00CA23D0" w:rsidP="00CA23D0">
      <w:pPr>
        <w:tabs>
          <w:tab w:val="right" w:pos="2679"/>
        </w:tabs>
        <w:spacing w:before="36" w:line="276" w:lineRule="auto"/>
        <w:ind w:left="72"/>
        <w:jc w:val="both"/>
        <w:rPr>
          <w:rFonts w:ascii="Arial" w:hAnsi="Arial" w:cs="Arial"/>
          <w:b/>
          <w:color w:val="00B050"/>
          <w:spacing w:val="3"/>
          <w:sz w:val="22"/>
          <w:szCs w:val="22"/>
        </w:rPr>
      </w:pPr>
      <w:r w:rsidRPr="00D3579D">
        <w:rPr>
          <w:rFonts w:ascii="Arial" w:hAnsi="Arial" w:cs="Arial"/>
          <w:b/>
          <w:color w:val="00B050"/>
          <w:spacing w:val="3"/>
          <w:sz w:val="22"/>
          <w:szCs w:val="22"/>
        </w:rPr>
        <w:t>PŘÍRODNÍCH, CLVILIZAČNÍCH A KULTURNÍCH HODNOT ÚZEMÍ</w:t>
      </w:r>
    </w:p>
    <w:p w14:paraId="24C8BA8F"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Základní předpoklady a podmínky rozvoje nových lokalit jsou dány existujícími hodnotami celého správního území města, včetně všech jejich částí. Za nejdůležitější lze považovat hodnoty přírodní a kulturní.</w:t>
      </w:r>
    </w:p>
    <w:p w14:paraId="43A9BFDD" w14:textId="77777777" w:rsidR="00CA23D0" w:rsidRPr="00D3579D" w:rsidRDefault="00CA23D0" w:rsidP="00CA23D0">
      <w:pPr>
        <w:tabs>
          <w:tab w:val="right" w:pos="2679"/>
        </w:tabs>
        <w:spacing w:before="120" w:line="288" w:lineRule="auto"/>
        <w:ind w:left="74"/>
        <w:jc w:val="both"/>
        <w:rPr>
          <w:rFonts w:ascii="Arial" w:hAnsi="Arial" w:cs="Arial"/>
          <w:b/>
          <w:color w:val="00B050"/>
          <w:spacing w:val="3"/>
          <w:sz w:val="22"/>
          <w:szCs w:val="22"/>
          <w:u w:val="single"/>
        </w:rPr>
      </w:pPr>
      <w:r w:rsidRPr="00D3579D">
        <w:rPr>
          <w:rFonts w:ascii="Arial" w:hAnsi="Arial" w:cs="Arial"/>
          <w:b/>
          <w:color w:val="00B050"/>
          <w:spacing w:val="3"/>
          <w:sz w:val="22"/>
          <w:szCs w:val="22"/>
          <w:u w:val="single"/>
        </w:rPr>
        <w:t>Hodnoty přírodní</w:t>
      </w:r>
    </w:p>
    <w:p w14:paraId="623258CD"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Stávající přírodní podmínky - terénní, klimatické, geologické, pedologické jsou podrobně popsány v průzkumech a rozborech ÚPn z roku 2002.</w:t>
      </w:r>
    </w:p>
    <w:p w14:paraId="4085904E"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Řešené území l. změny ÚPn M je převážně situováno do okrajových částí města na stávající zemědělský půdní fond. Nové lokality jsou většinou situovány v CHKO České středohoří a to v jeho lV zóně. Výjimku tvoří část pastevního areálu navrhované farmy (lokalita c. 6 Velka Veleň), kde malá část leží v II. zóně. Část nových lokalit je situována uvnitř ochranného pásma nadregionálního biokoridoru K8. Žádná nová lokalita není umístěna v konfliktu s cenným přírodním prostředím. Část lokality č. 3 - Folknáře leží v ochranném pásmu lesa a v kontaktu s lokálním biocentrum, žádná nová lokalita nezasahuje do územního systému ekologické stability (SES) ani do pozemků určených k plnění funkce lesa.</w:t>
      </w:r>
    </w:p>
    <w:p w14:paraId="5EFDE663"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Lokality 1 a 3 leží částečně v území, kde je orientačně vymezená hranice pasivního sesuvu.</w:t>
      </w:r>
    </w:p>
    <w:p w14:paraId="4D7C4CF0" w14:textId="77777777" w:rsidR="00CA23D0" w:rsidRPr="00D3579D" w:rsidRDefault="00CA23D0" w:rsidP="00CA23D0">
      <w:pPr>
        <w:tabs>
          <w:tab w:val="decimal" w:pos="72"/>
          <w:tab w:val="decimal" w:pos="144"/>
          <w:tab w:val="right" w:pos="2679"/>
        </w:tabs>
        <w:spacing w:before="120" w:line="288" w:lineRule="auto"/>
        <w:ind w:left="74"/>
        <w:jc w:val="both"/>
        <w:rPr>
          <w:rFonts w:ascii="Arial" w:hAnsi="Arial" w:cs="Arial"/>
          <w:b/>
          <w:i/>
          <w:color w:val="00B050"/>
          <w:spacing w:val="3"/>
          <w:sz w:val="22"/>
          <w:szCs w:val="22"/>
        </w:rPr>
      </w:pPr>
      <w:r w:rsidRPr="00D3579D">
        <w:rPr>
          <w:rFonts w:ascii="Arial" w:hAnsi="Arial" w:cs="Arial"/>
          <w:b/>
          <w:i/>
          <w:color w:val="00B050"/>
          <w:spacing w:val="3"/>
          <w:sz w:val="22"/>
          <w:szCs w:val="22"/>
        </w:rPr>
        <w:t>Dochované přírodní hodnoty</w:t>
      </w:r>
    </w:p>
    <w:p w14:paraId="34A07F63"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V řešeném území l. změny nejsou registrovány žádné dochované přírodní hodnoty.</w:t>
      </w:r>
    </w:p>
    <w:p w14:paraId="0C43B789" w14:textId="77777777" w:rsidR="00CA23D0" w:rsidRPr="00D3579D" w:rsidRDefault="00CA23D0" w:rsidP="00CA23D0">
      <w:pPr>
        <w:tabs>
          <w:tab w:val="right" w:pos="2679"/>
        </w:tabs>
        <w:spacing w:before="120" w:line="288" w:lineRule="auto"/>
        <w:ind w:left="74"/>
        <w:jc w:val="both"/>
        <w:rPr>
          <w:rFonts w:ascii="Arial" w:hAnsi="Arial" w:cs="Arial"/>
          <w:b/>
          <w:color w:val="00B050"/>
          <w:spacing w:val="3"/>
          <w:sz w:val="22"/>
          <w:szCs w:val="22"/>
          <w:u w:val="single"/>
        </w:rPr>
      </w:pPr>
      <w:r w:rsidRPr="00D3579D">
        <w:rPr>
          <w:rFonts w:ascii="Arial" w:hAnsi="Arial" w:cs="Arial"/>
          <w:b/>
          <w:color w:val="00B050"/>
          <w:spacing w:val="3"/>
          <w:sz w:val="22"/>
          <w:szCs w:val="22"/>
          <w:u w:val="single"/>
        </w:rPr>
        <w:t>Hodnoty kulturní</w:t>
      </w:r>
    </w:p>
    <w:p w14:paraId="1CE4A996" w14:textId="77777777" w:rsidR="00CA23D0" w:rsidRPr="00D3579D" w:rsidRDefault="00CA23D0" w:rsidP="00CA23D0">
      <w:pPr>
        <w:tabs>
          <w:tab w:val="decimal" w:pos="72"/>
          <w:tab w:val="decimal" w:pos="144"/>
          <w:tab w:val="right" w:pos="2679"/>
        </w:tabs>
        <w:spacing w:before="120" w:line="288" w:lineRule="auto"/>
        <w:ind w:left="74"/>
        <w:jc w:val="both"/>
        <w:rPr>
          <w:rFonts w:ascii="Arial" w:hAnsi="Arial" w:cs="Arial"/>
          <w:b/>
          <w:i/>
          <w:color w:val="00B050"/>
          <w:spacing w:val="3"/>
          <w:sz w:val="22"/>
          <w:szCs w:val="22"/>
        </w:rPr>
      </w:pPr>
      <w:r w:rsidRPr="00D3579D">
        <w:rPr>
          <w:rFonts w:ascii="Arial" w:hAnsi="Arial" w:cs="Arial"/>
          <w:b/>
          <w:i/>
          <w:color w:val="00B050"/>
          <w:spacing w:val="3"/>
          <w:sz w:val="22"/>
          <w:szCs w:val="22"/>
        </w:rPr>
        <w:t>Kulturní památky</w:t>
      </w:r>
    </w:p>
    <w:p w14:paraId="0B4A966B"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V řešeném území l. změny nejsou registrovány žádné nemovité památky ani jiné neregistrované drobné památky.</w:t>
      </w:r>
    </w:p>
    <w:p w14:paraId="47793FD1" w14:textId="77777777" w:rsidR="00CA23D0" w:rsidRPr="00D3579D" w:rsidRDefault="00CA23D0" w:rsidP="00CA23D0">
      <w:pPr>
        <w:tabs>
          <w:tab w:val="decimal" w:pos="72"/>
          <w:tab w:val="decimal" w:pos="144"/>
          <w:tab w:val="right" w:pos="2679"/>
        </w:tabs>
        <w:spacing w:before="120" w:line="288" w:lineRule="auto"/>
        <w:ind w:left="74"/>
        <w:jc w:val="both"/>
        <w:rPr>
          <w:rFonts w:ascii="Arial" w:hAnsi="Arial" w:cs="Arial"/>
          <w:b/>
          <w:i/>
          <w:color w:val="00B050"/>
          <w:spacing w:val="3"/>
          <w:sz w:val="22"/>
          <w:szCs w:val="22"/>
        </w:rPr>
      </w:pPr>
      <w:r w:rsidRPr="00D3579D">
        <w:rPr>
          <w:rFonts w:ascii="Arial" w:hAnsi="Arial" w:cs="Arial"/>
          <w:b/>
          <w:i/>
          <w:color w:val="00B050"/>
          <w:spacing w:val="3"/>
          <w:sz w:val="22"/>
          <w:szCs w:val="22"/>
        </w:rPr>
        <w:t>Hodnoty urbanistické a architektonické</w:t>
      </w:r>
    </w:p>
    <w:p w14:paraId="11921091"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Jak již bylo uvedeno řešené území l, změny je situováno převážně na zemědělský půdní fond (vyjma lokality 9). Řešení nových obytných ploch většinou navazuje na stávající okrajové části města, Charakteristické nízkopodlažní zástavbou s isolovanou rodinnými domy. Nová zástavba musí tyto stávající urbanistické hodnoty respektovat a navázat na ně.</w:t>
      </w:r>
    </w:p>
    <w:p w14:paraId="2B9243C6" w14:textId="77777777" w:rsidR="00CA23D0" w:rsidRPr="00D3579D" w:rsidRDefault="00CA23D0" w:rsidP="00CA23D0">
      <w:pPr>
        <w:tabs>
          <w:tab w:val="right" w:pos="2679"/>
        </w:tabs>
        <w:spacing w:before="120" w:line="288" w:lineRule="auto"/>
        <w:ind w:left="74"/>
        <w:jc w:val="both"/>
        <w:rPr>
          <w:rFonts w:ascii="Arial" w:hAnsi="Arial" w:cs="Arial"/>
          <w:b/>
          <w:color w:val="00B050"/>
          <w:spacing w:val="3"/>
          <w:sz w:val="22"/>
          <w:szCs w:val="22"/>
          <w:u w:val="single"/>
        </w:rPr>
      </w:pPr>
      <w:r w:rsidRPr="00D3579D">
        <w:rPr>
          <w:rFonts w:ascii="Arial" w:hAnsi="Arial" w:cs="Arial"/>
          <w:b/>
          <w:color w:val="00B050"/>
          <w:spacing w:val="3"/>
          <w:sz w:val="22"/>
          <w:szCs w:val="22"/>
          <w:u w:val="single"/>
        </w:rPr>
        <w:t>Životní prostředí</w:t>
      </w:r>
    </w:p>
    <w:p w14:paraId="253EC624"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Celé řešené území 1. změny ÚPn je v oblasti zvýšeného rizika úniku radonového plynu.</w:t>
      </w:r>
    </w:p>
    <w:p w14:paraId="74442A4B" w14:textId="77777777" w:rsidR="00CA23D0" w:rsidRPr="00D3579D" w:rsidRDefault="00CA23D0" w:rsidP="00CA23D0">
      <w:pPr>
        <w:pStyle w:val="Zkladntext"/>
        <w:spacing w:line="240" w:lineRule="atLeast"/>
        <w:jc w:val="both"/>
        <w:rPr>
          <w:rFonts w:ascii="Arial" w:hAnsi="Arial" w:cs="Arial"/>
          <w:color w:val="00B050"/>
          <w:sz w:val="22"/>
          <w:szCs w:val="22"/>
        </w:rPr>
      </w:pPr>
      <w:r w:rsidRPr="00D3579D">
        <w:rPr>
          <w:rFonts w:ascii="Arial" w:hAnsi="Arial" w:cs="Arial"/>
          <w:b/>
          <w:color w:val="00B050"/>
          <w:spacing w:val="3"/>
          <w:sz w:val="22"/>
          <w:szCs w:val="22"/>
        </w:rPr>
        <w:t>NÁVRH URBANISTICKÉ KONCEPCE</w:t>
      </w:r>
    </w:p>
    <w:p w14:paraId="76176991" w14:textId="77777777" w:rsidR="00CA23D0" w:rsidRPr="00D3579D" w:rsidRDefault="00CA23D0" w:rsidP="00CA23D0">
      <w:pPr>
        <w:tabs>
          <w:tab w:val="decimal" w:pos="72"/>
          <w:tab w:val="decimal" w:pos="144"/>
          <w:tab w:val="right" w:pos="2679"/>
        </w:tabs>
        <w:spacing w:before="36" w:line="276" w:lineRule="auto"/>
        <w:jc w:val="both"/>
        <w:rPr>
          <w:rFonts w:ascii="Arial" w:hAnsi="Arial" w:cs="Arial"/>
          <w:b/>
          <w:color w:val="00B050"/>
          <w:spacing w:val="3"/>
          <w:sz w:val="22"/>
          <w:szCs w:val="22"/>
        </w:rPr>
      </w:pPr>
      <w:r w:rsidRPr="00D3579D">
        <w:rPr>
          <w:rFonts w:ascii="Arial" w:hAnsi="Arial" w:cs="Arial"/>
          <w:b/>
          <w:color w:val="00B050"/>
          <w:spacing w:val="3"/>
          <w:sz w:val="22"/>
          <w:szCs w:val="22"/>
        </w:rPr>
        <w:t>1. ZMĚNA ÚZEMNÍHO PLÁNU - PROSTOROVÉ A FUNKČNÍ USPOŘÁDÁNÍ</w:t>
      </w:r>
    </w:p>
    <w:p w14:paraId="7B39D649"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 xml:space="preserve">Urbanistická struktura a koncepce navržená v ÚPn z roku 2002 nebude zásadně 1. změněnou ÚPn měněna. Lokality 2, 3, 5, 8 byly již předmětem návrhu schváleného ÚPn, převážně však v dlouhodobém výhledu nebo s jinou funkční náplní. Vyjma lokality 4 (Horní </w:t>
      </w:r>
      <w:r w:rsidRPr="00D3579D">
        <w:rPr>
          <w:rFonts w:ascii="Arial" w:hAnsi="Arial" w:cs="Arial"/>
          <w:color w:val="00B050"/>
          <w:spacing w:val="3"/>
          <w:sz w:val="22"/>
          <w:szCs w:val="22"/>
        </w:rPr>
        <w:lastRenderedPageBreak/>
        <w:t>Oldřichov) lokality navazují na současně zastavěné území. Urbanistická koncepce l. změny je převážně založena na rozvoji funkčních ploch bydlení, částečně vybavenosti, nerušící výroby (plocha č. 2 a 5) a zemědělské výroby (plocha č. 6). Rozvoj ostatních funkčních ploch se nenavrhuje.</w:t>
      </w:r>
    </w:p>
    <w:p w14:paraId="74DE9D09"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Zástavba nových obytných lokalit vychází z předpokladu převážně izolované zástavby odpovídající měřítku okrajových částí města. Při zpracování dalších stupňů ÚPD bude nutno vycházet ze stávajícího charakteru a měřítka bytových objektů v sousedství nových lokalit (převážně isolovaná nízkopodlažní zástavba) a ze stávajících hodnot území. Předpokladem je že, funkční a prostorové uspořádání každé lokality bude řešeno jednotným urbanistickým konceptem, u větších lokalit nejlépe regulačním plánem.</w:t>
      </w:r>
    </w:p>
    <w:p w14:paraId="1B3B5F7A"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Rozvoj výrobních funkcí (nezávadná výroby, služby a zemědělská výroba- farma) je ve srovnání s rozvojem funkčních ploch bydlení malý. Nerušící výroba služby předpokládá činnosti nerušící na své okolí nad míru obvyklou.</w:t>
      </w:r>
    </w:p>
    <w:p w14:paraId="4FCA92E0" w14:textId="77777777" w:rsidR="00CA23D0" w:rsidRPr="00D3579D" w:rsidRDefault="00CA23D0" w:rsidP="00CA23D0">
      <w:pPr>
        <w:tabs>
          <w:tab w:val="right" w:pos="2679"/>
        </w:tabs>
        <w:spacing w:before="120" w:line="288" w:lineRule="auto"/>
        <w:ind w:left="74" w:firstLine="709"/>
        <w:jc w:val="both"/>
        <w:rPr>
          <w:rFonts w:ascii="Arial" w:hAnsi="Arial" w:cs="Arial"/>
          <w:color w:val="00B050"/>
          <w:spacing w:val="3"/>
          <w:sz w:val="22"/>
          <w:szCs w:val="22"/>
        </w:rPr>
      </w:pPr>
      <w:r w:rsidRPr="00D3579D">
        <w:rPr>
          <w:rFonts w:ascii="Arial" w:hAnsi="Arial" w:cs="Arial"/>
          <w:color w:val="00B050"/>
          <w:spacing w:val="3"/>
          <w:sz w:val="22"/>
          <w:szCs w:val="22"/>
        </w:rPr>
        <w:t>Koncepce rozvoje občanské vybavenosti není navržena v samostatné lokalitě jako monofunkční plocha, ale možnost je dána přípustnými eventuálně podmínečně přípustnými funkcemi v plochách bydlení. Dle zadání se předpokládá větší míra využití pro vybavenost v ploše č. 7 vzhledem ke komplikovanému využití plochy (bezpečnostní pásmo VTL plynovodu a ochranné pásmo železnice).</w:t>
      </w:r>
    </w:p>
    <w:p w14:paraId="29718720" w14:textId="77777777" w:rsidR="00CA23D0" w:rsidRPr="00D3579D" w:rsidRDefault="00CA23D0" w:rsidP="00CA23D0">
      <w:pPr>
        <w:pStyle w:val="Znaka"/>
        <w:spacing w:after="240"/>
        <w:ind w:left="0"/>
        <w:jc w:val="both"/>
        <w:rPr>
          <w:rFonts w:cs="Arial"/>
          <w:b/>
          <w:color w:val="806000"/>
          <w:spacing w:val="3"/>
        </w:rPr>
      </w:pPr>
    </w:p>
    <w:p w14:paraId="035991BF" w14:textId="77777777" w:rsidR="00CA23D0" w:rsidRPr="00D3579D" w:rsidRDefault="00CA23D0" w:rsidP="00CA23D0">
      <w:pPr>
        <w:spacing w:before="120" w:line="288" w:lineRule="auto"/>
        <w:jc w:val="both"/>
        <w:rPr>
          <w:rFonts w:ascii="Arial" w:hAnsi="Arial" w:cs="Arial"/>
          <w:b/>
          <w:color w:val="BF8F00"/>
          <w:spacing w:val="3"/>
          <w:sz w:val="22"/>
          <w:szCs w:val="22"/>
        </w:rPr>
      </w:pPr>
      <w:r w:rsidRPr="00D3579D">
        <w:rPr>
          <w:rFonts w:ascii="Arial" w:hAnsi="Arial" w:cs="Arial"/>
          <w:b/>
          <w:color w:val="BF8F00"/>
          <w:spacing w:val="3"/>
          <w:sz w:val="22"/>
          <w:szCs w:val="22"/>
        </w:rPr>
        <w:t>(Z2) 2. ZMĚNA ÚZEMNÍHO PLÁNU - ZÁSADY CELKOVÉ KONCEPCE ROZVOJE OBCE</w:t>
      </w:r>
    </w:p>
    <w:p w14:paraId="1E390BEE" w14:textId="77777777" w:rsidR="00CA23D0" w:rsidRPr="00D3579D" w:rsidRDefault="00CA23D0" w:rsidP="00CA23D0">
      <w:pPr>
        <w:spacing w:before="120" w:line="288" w:lineRule="auto"/>
        <w:ind w:firstLine="709"/>
        <w:jc w:val="both"/>
        <w:rPr>
          <w:rFonts w:ascii="Arial" w:hAnsi="Arial" w:cs="Arial"/>
          <w:b/>
          <w:color w:val="BF8F00"/>
          <w:sz w:val="22"/>
          <w:szCs w:val="22"/>
        </w:rPr>
      </w:pPr>
      <w:r w:rsidRPr="00D3579D">
        <w:rPr>
          <w:rFonts w:ascii="Arial" w:hAnsi="Arial" w:cs="Arial"/>
          <w:color w:val="BF8F00"/>
          <w:sz w:val="22"/>
          <w:szCs w:val="22"/>
        </w:rPr>
        <w:t>Základní koncepce 2. změny ÚPn M je dána potřebami města, kde 2. změna ÚPn .M doplňuje nové rozvojové plochy obytného území, částečně občanské vybavenosti, výrobního území a zeleně v kontextu s existujícími hodnotami celého správního území. “Návrh řešení 2. změny UPn M vychází z původního územního plánu z roku 2002 a navazuje na něj.</w:t>
      </w:r>
    </w:p>
    <w:p w14:paraId="0D8B5E24" w14:textId="77777777" w:rsidR="00CA23D0" w:rsidRPr="00D3579D" w:rsidRDefault="00CA23D0" w:rsidP="00CA23D0">
      <w:pPr>
        <w:spacing w:before="120" w:line="288" w:lineRule="auto"/>
        <w:ind w:firstLine="709"/>
        <w:jc w:val="both"/>
        <w:rPr>
          <w:rFonts w:ascii="Arial" w:hAnsi="Arial" w:cs="Arial"/>
          <w:color w:val="BF8F00"/>
          <w:sz w:val="22"/>
          <w:szCs w:val="22"/>
        </w:rPr>
      </w:pPr>
      <w:r w:rsidRPr="00D3579D">
        <w:rPr>
          <w:rFonts w:ascii="Arial" w:hAnsi="Arial" w:cs="Arial"/>
          <w:color w:val="BF8F00"/>
          <w:sz w:val="22"/>
          <w:szCs w:val="22"/>
        </w:rPr>
        <w:t xml:space="preserve">(Z2) HODNOTY PŘÍRODNÍ - Zpracovaný návrh klade důraz na uchování hodnot přírodního a kulturního dědictví, které vyplývají ze schválených regulativů ochrany přírody CHKO České středohoří (CS) a CHKO Labské pískovce (LP) z vymezených evropsky významných lokalit EVL dle ustanovení 5 187 odstavce 7, zákona 183/2006 Sb. a schváleného místního systému ekologické stability dle UPn M Děčín z roku2002. Navržené lokality 2. změny leží v II. - IV- zóně CHKO CS a IV. Zóně CHKO LP Podmínky hospodářského smíru jsou řešeny návrhem nových obytných ploch převážně ve vazbě na zastavěné území. </w:t>
      </w:r>
    </w:p>
    <w:p w14:paraId="36A732CB" w14:textId="77777777" w:rsidR="00CA23D0" w:rsidRPr="00E30642" w:rsidRDefault="00CA23D0" w:rsidP="00CA23D0">
      <w:pPr>
        <w:spacing w:before="120" w:line="288" w:lineRule="auto"/>
        <w:jc w:val="both"/>
        <w:rPr>
          <w:rFonts w:ascii="Arial" w:hAnsi="Arial" w:cs="Arial"/>
          <w:b/>
          <w:color w:val="BF8F00"/>
        </w:rPr>
      </w:pPr>
      <w:r w:rsidRPr="00E30642">
        <w:rPr>
          <w:rFonts w:ascii="Arial" w:hAnsi="Arial" w:cs="Arial"/>
          <w:b/>
          <w:color w:val="0066FF"/>
        </w:rPr>
        <w:t xml:space="preserve"> </w:t>
      </w:r>
      <w:r w:rsidRPr="00E30642">
        <w:rPr>
          <w:rFonts w:ascii="Arial" w:hAnsi="Arial" w:cs="Arial"/>
          <w:b/>
          <w:color w:val="BF8F00"/>
        </w:rPr>
        <w:t xml:space="preserve">C) URBANISTICKÁ KONCEPCE, VČETNĚ VYMEZENÍ ZASTAVITELNÝCH PLOCH, </w:t>
      </w:r>
    </w:p>
    <w:p w14:paraId="47545390" w14:textId="77777777" w:rsidR="00CA23D0" w:rsidRPr="00E30642" w:rsidRDefault="00CA23D0" w:rsidP="00CA23D0">
      <w:pPr>
        <w:spacing w:before="120" w:line="288" w:lineRule="auto"/>
        <w:jc w:val="both"/>
        <w:rPr>
          <w:rFonts w:ascii="Arial" w:hAnsi="Arial" w:cs="Arial"/>
          <w:b/>
          <w:color w:val="BF8F00"/>
        </w:rPr>
      </w:pPr>
      <w:r w:rsidRPr="00E30642">
        <w:rPr>
          <w:rFonts w:ascii="Arial" w:hAnsi="Arial" w:cs="Arial"/>
          <w:b/>
          <w:color w:val="BF8F00"/>
        </w:rPr>
        <w:t>PLOCH PŘESTAVBY A SYSTÉMU SÍDELNÍ ZELENĚ.</w:t>
      </w:r>
    </w:p>
    <w:p w14:paraId="09168F89" w14:textId="77777777" w:rsidR="00CA23D0" w:rsidRPr="00E30642" w:rsidRDefault="00CA23D0" w:rsidP="00CA23D0">
      <w:pPr>
        <w:spacing w:before="120" w:line="288" w:lineRule="auto"/>
        <w:jc w:val="both"/>
        <w:rPr>
          <w:rFonts w:ascii="Arial" w:hAnsi="Arial" w:cs="Arial"/>
          <w:b/>
          <w:color w:val="BF8F00"/>
        </w:rPr>
      </w:pPr>
      <w:r w:rsidRPr="00E30642">
        <w:rPr>
          <w:rFonts w:ascii="Arial" w:hAnsi="Arial" w:cs="Arial"/>
          <w:b/>
          <w:color w:val="BF8F00"/>
        </w:rPr>
        <w:t>PŘEDPOKLADY DALŠÍHO DEMOGRAFICKÉHO VÝVOJE OBCE</w:t>
      </w:r>
    </w:p>
    <w:p w14:paraId="418D348A" w14:textId="77777777" w:rsidR="00CA23D0" w:rsidRPr="00E30642" w:rsidRDefault="00CA23D0" w:rsidP="00CA23D0">
      <w:pPr>
        <w:spacing w:before="120" w:line="288" w:lineRule="auto"/>
        <w:ind w:firstLine="709"/>
        <w:jc w:val="both"/>
        <w:rPr>
          <w:rFonts w:ascii="Arial" w:hAnsi="Arial" w:cs="Arial"/>
          <w:color w:val="BF8F00"/>
        </w:rPr>
      </w:pPr>
      <w:r w:rsidRPr="00E30642">
        <w:rPr>
          <w:rFonts w:ascii="Arial" w:hAnsi="Arial" w:cs="Arial"/>
          <w:color w:val="BF8F00"/>
        </w:rPr>
        <w:t>Pokud bychom vycházeli z nabídky rozvojových ploch bydlení 2. změny ÚPn M vycházel by počet obyvatel, při plné realizaci Všech nových ploch 2. změny cca 1 000 – 1 200 obyvatel.</w:t>
      </w:r>
    </w:p>
    <w:p w14:paraId="61256DB2" w14:textId="77777777" w:rsidR="00CA23D0" w:rsidRPr="00E30642" w:rsidRDefault="00CA23D0" w:rsidP="00CA23D0">
      <w:pPr>
        <w:spacing w:before="120" w:line="288" w:lineRule="auto"/>
        <w:jc w:val="both"/>
        <w:rPr>
          <w:rFonts w:ascii="Arial" w:hAnsi="Arial" w:cs="Arial"/>
          <w:b/>
          <w:color w:val="BF8F00"/>
        </w:rPr>
      </w:pPr>
      <w:r w:rsidRPr="00E30642">
        <w:rPr>
          <w:rFonts w:ascii="Arial" w:hAnsi="Arial" w:cs="Arial"/>
          <w:b/>
          <w:color w:val="BF8F00"/>
        </w:rPr>
        <w:t>Prostorové a funkční uspořádání</w:t>
      </w:r>
    </w:p>
    <w:p w14:paraId="73EE1E27" w14:textId="77777777" w:rsidR="00CA23D0" w:rsidRPr="00E30642" w:rsidRDefault="00CA23D0" w:rsidP="00CA23D0">
      <w:pPr>
        <w:spacing w:before="120" w:line="288" w:lineRule="auto"/>
        <w:ind w:firstLine="709"/>
        <w:jc w:val="both"/>
        <w:rPr>
          <w:rFonts w:ascii="Arial" w:hAnsi="Arial" w:cs="Arial"/>
          <w:color w:val="BF8F00"/>
        </w:rPr>
      </w:pPr>
      <w:r w:rsidRPr="00E30642">
        <w:rPr>
          <w:rFonts w:ascii="Arial" w:hAnsi="Arial" w:cs="Arial"/>
          <w:color w:val="BF8F00"/>
        </w:rPr>
        <w:lastRenderedPageBreak/>
        <w:t xml:space="preserve">Urbanistická koncepce 2. změny ÚPn M je založena převážně na rozvoji funkčních ploch bydlení, částečně občanské vybavenosti, výrobního území (nerušící výroba a služby) a zeleně. Rozvoj ostatních funkčních složek se v rámci 2. změny nenavrhuje. </w:t>
      </w:r>
    </w:p>
    <w:p w14:paraId="1107ABDE" w14:textId="77777777" w:rsidR="00CA23D0" w:rsidRPr="00E30642" w:rsidRDefault="00CA23D0" w:rsidP="00CA23D0">
      <w:pPr>
        <w:spacing w:before="120" w:line="288" w:lineRule="auto"/>
        <w:ind w:firstLine="709"/>
        <w:jc w:val="both"/>
        <w:rPr>
          <w:rFonts w:ascii="Arial" w:hAnsi="Arial" w:cs="Arial"/>
          <w:color w:val="BF8F00"/>
        </w:rPr>
      </w:pPr>
      <w:r w:rsidRPr="00E30642">
        <w:rPr>
          <w:rFonts w:ascii="Arial" w:hAnsi="Arial" w:cs="Arial"/>
          <w:color w:val="BF8F00"/>
        </w:rPr>
        <w:t>Návrh nových rozvojových ploch je koncepčně/převážně založen na návrhu nových rozptýlených rozvojových ploch v kontaktu s ZU. Rozvoj ploch bydlení je podstatný ve srovnání s ostatními rozvojovými funkčními plochami nerušící výroby, občanské vybavenosti a výroby.</w:t>
      </w:r>
    </w:p>
    <w:p w14:paraId="6E591420" w14:textId="77777777" w:rsidR="00CA23D0" w:rsidRPr="00E30642" w:rsidRDefault="00CA23D0" w:rsidP="00CA23D0">
      <w:pPr>
        <w:spacing w:before="120" w:line="288" w:lineRule="auto"/>
        <w:ind w:firstLine="709"/>
        <w:jc w:val="both"/>
        <w:rPr>
          <w:rFonts w:ascii="Arial" w:hAnsi="Arial" w:cs="Arial"/>
          <w:color w:val="BF8F00"/>
        </w:rPr>
      </w:pPr>
      <w:r w:rsidRPr="00E30642">
        <w:rPr>
          <w:rFonts w:ascii="Arial" w:hAnsi="Arial" w:cs="Arial"/>
          <w:color w:val="BF8F00"/>
        </w:rPr>
        <w:t>Funkční plochy bydlení jsou rozděleny do dvou kategorií a to na plochy městské a příměstské s vazbou na stávající charakter a hmotové řešení existující zástavby a na plochy venkovské, kde se nepředpokládá přímá vazba na stávající vilové části města.</w:t>
      </w:r>
    </w:p>
    <w:p w14:paraId="6A65FD78" w14:textId="77777777" w:rsidR="00CA23D0" w:rsidRPr="00E30642" w:rsidRDefault="00CA23D0" w:rsidP="00CA23D0">
      <w:pPr>
        <w:spacing w:before="120" w:line="288" w:lineRule="auto"/>
        <w:jc w:val="both"/>
        <w:rPr>
          <w:rFonts w:ascii="Arial" w:hAnsi="Arial" w:cs="Arial"/>
          <w:b/>
          <w:color w:val="0066FF"/>
        </w:rPr>
      </w:pPr>
    </w:p>
    <w:p w14:paraId="65B9C985" w14:textId="77777777" w:rsidR="00CA23D0" w:rsidRPr="00E30642" w:rsidRDefault="00CA23D0" w:rsidP="00CA23D0">
      <w:pPr>
        <w:spacing w:before="120" w:line="288" w:lineRule="auto"/>
        <w:jc w:val="both"/>
        <w:rPr>
          <w:rFonts w:ascii="Arial" w:hAnsi="Arial" w:cs="Arial"/>
          <w:b/>
          <w:color w:val="2E74B5"/>
        </w:rPr>
      </w:pPr>
      <w:r w:rsidRPr="00E30642">
        <w:rPr>
          <w:rFonts w:ascii="Arial" w:hAnsi="Arial" w:cs="Arial"/>
          <w:b/>
          <w:color w:val="2E74B5"/>
        </w:rPr>
        <w:t>(Z4) 4. ZMĚNA ÚZEMNÍHO PLÁNU - ZÁKLADNÍ PŘEDPOKLADY A PODMÍNKY VÝVOJE OBCE A OCHRANY PŘÍRODNÍCH, CIVILIZAČNÍCH A KULTURNÍCH HODNOT ÚZEMÍ</w:t>
      </w:r>
    </w:p>
    <w:p w14:paraId="2374E6DC" w14:textId="77777777" w:rsidR="00CA23D0" w:rsidRPr="00E30642" w:rsidRDefault="00CA23D0" w:rsidP="00CA23D0">
      <w:pPr>
        <w:spacing w:before="120" w:line="288" w:lineRule="auto"/>
        <w:ind w:firstLine="709"/>
        <w:jc w:val="both"/>
        <w:rPr>
          <w:rFonts w:ascii="Arial" w:hAnsi="Arial" w:cs="Arial"/>
          <w:color w:val="2E74B5"/>
        </w:rPr>
      </w:pPr>
      <w:r w:rsidRPr="00E30642">
        <w:rPr>
          <w:rFonts w:ascii="Arial" w:hAnsi="Arial" w:cs="Arial"/>
          <w:color w:val="2E74B5"/>
        </w:rPr>
        <w:t>Základní předpoklady a podmínky rozvoje nové lokality jsou dány existujícími hodnotami celého správního území města, včetně všech jejich částí. Za nejdůležitější lze považovat hodnoty přírodní a kulturní.</w:t>
      </w:r>
    </w:p>
    <w:p w14:paraId="56C93CD8" w14:textId="77777777" w:rsidR="00CA23D0" w:rsidRPr="00E30642" w:rsidRDefault="00CA23D0" w:rsidP="00CA23D0">
      <w:pPr>
        <w:spacing w:before="120" w:line="288" w:lineRule="auto"/>
        <w:ind w:firstLine="709"/>
        <w:jc w:val="both"/>
        <w:rPr>
          <w:rFonts w:ascii="Arial" w:hAnsi="Arial" w:cs="Arial"/>
          <w:color w:val="2E74B5"/>
        </w:rPr>
      </w:pPr>
      <w:r w:rsidRPr="00E30642">
        <w:rPr>
          <w:rFonts w:ascii="Arial" w:hAnsi="Arial" w:cs="Arial"/>
          <w:color w:val="2E74B5"/>
        </w:rPr>
        <w:t>Stávající přírodní podmínky - terénní, klimatické, geologické, pedologické jsou podrobně popsány v průzkumech a rozborech UPn M 2 roku 2002.</w:t>
      </w:r>
    </w:p>
    <w:p w14:paraId="013009C8" w14:textId="77777777" w:rsidR="00CA23D0" w:rsidRPr="00E30642" w:rsidRDefault="00CA23D0" w:rsidP="00CA23D0">
      <w:pPr>
        <w:spacing w:before="120" w:line="288" w:lineRule="auto"/>
        <w:ind w:firstLine="709"/>
        <w:jc w:val="both"/>
        <w:rPr>
          <w:rFonts w:ascii="Arial" w:hAnsi="Arial" w:cs="Arial"/>
          <w:color w:val="2E74B5"/>
        </w:rPr>
      </w:pPr>
      <w:r w:rsidRPr="00E30642">
        <w:rPr>
          <w:rFonts w:ascii="Arial" w:hAnsi="Arial" w:cs="Arial"/>
          <w:color w:val="2E74B5"/>
        </w:rPr>
        <w:t>Řešené území 4. změny ÚPn M je situováno do okrajové části města na stávající zemědělský půdní fond. Nová lokalita leží v CHKO České středohoří a to v jeho IV. zóně. Jedná se o pozměněné ekosystémy a části krajiny, zejména souvisle zastavěná území. Nová lokalita není umístěna v konfliktu s cenným přírodním prostředím a nezasahuje do územního systému ekologické stability (SES), ani do pozemků určených k plnění funkce lesa.</w:t>
      </w:r>
    </w:p>
    <w:p w14:paraId="2AF3F2EF" w14:textId="77777777" w:rsidR="00CA23D0" w:rsidRPr="00E30642" w:rsidRDefault="00CA23D0" w:rsidP="00CA23D0">
      <w:pPr>
        <w:spacing w:before="120" w:line="288" w:lineRule="auto"/>
        <w:jc w:val="both"/>
        <w:rPr>
          <w:rFonts w:ascii="Arial" w:hAnsi="Arial" w:cs="Arial"/>
          <w:color w:val="2E74B5"/>
        </w:rPr>
      </w:pPr>
      <w:r w:rsidRPr="00E30642">
        <w:rPr>
          <w:rFonts w:ascii="Arial" w:hAnsi="Arial" w:cs="Arial"/>
          <w:color w:val="2E74B5"/>
        </w:rPr>
        <w:t>DOCHOVANÉ PŘÍRODNÍ HODNOTY - V řešeném území 4. změny nejsou registrovány žádné dochované přírodní hodnoty.</w:t>
      </w:r>
    </w:p>
    <w:p w14:paraId="6BBB73EB" w14:textId="77777777" w:rsidR="00CA23D0" w:rsidRPr="00E30642" w:rsidRDefault="00CA23D0" w:rsidP="00CA23D0">
      <w:pPr>
        <w:spacing w:before="120" w:line="288" w:lineRule="auto"/>
        <w:jc w:val="both"/>
        <w:rPr>
          <w:rFonts w:ascii="Arial" w:hAnsi="Arial" w:cs="Arial"/>
          <w:color w:val="2E74B5"/>
        </w:rPr>
      </w:pPr>
      <w:r w:rsidRPr="00E30642">
        <w:rPr>
          <w:rFonts w:ascii="Arial" w:hAnsi="Arial" w:cs="Arial"/>
          <w:color w:val="2E74B5"/>
        </w:rPr>
        <w:t>HODNOTY KULTURNÍ - Kulturní památky - V řešeném území 4. změny nejsou registrovány žádné nemovité památky ani jiné neregistrované drobné památky.</w:t>
      </w:r>
    </w:p>
    <w:p w14:paraId="115AF373" w14:textId="77777777" w:rsidR="00CA23D0" w:rsidRPr="00E30642" w:rsidRDefault="00CA23D0" w:rsidP="00CA23D0">
      <w:pPr>
        <w:spacing w:before="120" w:line="288" w:lineRule="auto"/>
        <w:jc w:val="both"/>
        <w:rPr>
          <w:rFonts w:ascii="Arial" w:hAnsi="Arial" w:cs="Arial"/>
          <w:color w:val="2E74B5"/>
        </w:rPr>
      </w:pPr>
      <w:r w:rsidRPr="00E30642">
        <w:rPr>
          <w:rFonts w:ascii="Arial" w:hAnsi="Arial" w:cs="Arial"/>
          <w:color w:val="2E74B5"/>
        </w:rPr>
        <w:t>HODNOTY URBANISTICKÉ A ARCHITEKTONICKÉ - Jak již bylo uvedeno, řešené území 4. změny je navrhováno na pozemcích dnes nevyužívaného zemědělského půdního fondu. Řešení nové obytné plochy navazuje na stávající okrajové části města, charakteristické nízkopodlažní zástavbou s isolovanými rodinnými domy (funkční charakteristika -rodinné domy městského typu). Nová zástavba tyto stávající urbanistické hodnoty respektuje a navazuje nejen navrhovanou charakteristikou nové plochy, ale i dopravní napojení navazuje na stávající uliční skelet.</w:t>
      </w:r>
    </w:p>
    <w:p w14:paraId="693A4264" w14:textId="77777777" w:rsidR="00CA23D0" w:rsidRPr="00E30642" w:rsidRDefault="00CA23D0" w:rsidP="00CA23D0">
      <w:pPr>
        <w:spacing w:before="120" w:line="288" w:lineRule="auto"/>
        <w:jc w:val="both"/>
        <w:rPr>
          <w:rFonts w:ascii="Arial" w:hAnsi="Arial" w:cs="Arial"/>
          <w:color w:val="2E74B5"/>
        </w:rPr>
      </w:pPr>
      <w:r w:rsidRPr="00E30642">
        <w:rPr>
          <w:rFonts w:ascii="Arial" w:hAnsi="Arial" w:cs="Arial"/>
          <w:color w:val="2E74B5"/>
        </w:rPr>
        <w:lastRenderedPageBreak/>
        <w:t>ŽÍVOTNÍ PROSTŘEDÍ - Celé řešené území 4. změny ÚPn M je v oblasti zvýšeného rizika úniku radonového plynu.</w:t>
      </w:r>
    </w:p>
    <w:p w14:paraId="7B11D855" w14:textId="77777777" w:rsidR="00CA23D0" w:rsidRPr="00E30642" w:rsidRDefault="00CA23D0" w:rsidP="00CA23D0">
      <w:pPr>
        <w:spacing w:before="120" w:line="288" w:lineRule="auto"/>
        <w:ind w:firstLine="709"/>
        <w:jc w:val="both"/>
        <w:rPr>
          <w:rFonts w:ascii="Arial" w:hAnsi="Arial" w:cs="Arial"/>
          <w:color w:val="2E74B5"/>
        </w:rPr>
      </w:pPr>
      <w:r w:rsidRPr="00E30642">
        <w:rPr>
          <w:rFonts w:ascii="Arial" w:hAnsi="Arial" w:cs="Arial"/>
          <w:color w:val="2E74B5"/>
        </w:rPr>
        <w:t>Z hlediska ochrany ovzduší jsou navržena v částí energetika opatření na ochranu ovzduší v souladu s emisním stropem a programem na snižování emisí v souladu s §17 odst. a) zákona. 86/2002 Sb.</w:t>
      </w:r>
    </w:p>
    <w:p w14:paraId="76A52532" w14:textId="77777777" w:rsidR="00CA23D0" w:rsidRPr="00E30642" w:rsidRDefault="00CA23D0" w:rsidP="00CA23D0">
      <w:pPr>
        <w:spacing w:before="120" w:line="288" w:lineRule="auto"/>
        <w:jc w:val="both"/>
        <w:rPr>
          <w:rFonts w:ascii="Arial" w:hAnsi="Arial" w:cs="Arial"/>
          <w:b/>
          <w:color w:val="2E74B5"/>
        </w:rPr>
      </w:pPr>
      <w:r w:rsidRPr="00E30642">
        <w:rPr>
          <w:rFonts w:ascii="Arial" w:hAnsi="Arial" w:cs="Arial"/>
          <w:b/>
          <w:color w:val="2E74B5"/>
        </w:rPr>
        <w:t xml:space="preserve">(Z4) Funkční uspořádání - </w:t>
      </w:r>
      <w:r w:rsidRPr="00E30642">
        <w:rPr>
          <w:rFonts w:ascii="Arial" w:hAnsi="Arial" w:cs="Arial"/>
          <w:color w:val="2E74B5"/>
        </w:rPr>
        <w:t>Urbanistická struktura a koncepce navržená v ÚPn M z roku 2002 nebude zásadně 4. změněnou ÚPn M měněna. Lokalita Krásný Studenec byla již předmětem návrhu schváleného ÚPn M 2 roku 2002, v dlouhodobém výhledu se stejnou funkční náplní.</w:t>
      </w:r>
    </w:p>
    <w:p w14:paraId="3890D3CB" w14:textId="77777777" w:rsidR="00CA23D0" w:rsidRPr="00E30642" w:rsidRDefault="00CA23D0" w:rsidP="00CA23D0">
      <w:pPr>
        <w:spacing w:before="120" w:line="288" w:lineRule="auto"/>
        <w:ind w:firstLine="709"/>
        <w:jc w:val="both"/>
        <w:rPr>
          <w:rFonts w:ascii="Arial" w:hAnsi="Arial" w:cs="Arial"/>
          <w:color w:val="2E74B5"/>
        </w:rPr>
      </w:pPr>
      <w:r w:rsidRPr="00E30642">
        <w:rPr>
          <w:rFonts w:ascii="Arial" w:hAnsi="Arial" w:cs="Arial"/>
          <w:color w:val="2E74B5"/>
        </w:rPr>
        <w:t>Urbanistická koncepce 4. změny je převážně založena na rozvoji funkční plochy bydlení. Rozvoj jiných funkčních ploch se nenavrhuje.</w:t>
      </w:r>
    </w:p>
    <w:p w14:paraId="2719EA7D" w14:textId="77777777" w:rsidR="00CA23D0" w:rsidRPr="00E30642" w:rsidRDefault="00CA23D0" w:rsidP="00CA23D0">
      <w:pPr>
        <w:spacing w:before="120" w:line="288" w:lineRule="auto"/>
        <w:ind w:firstLine="709"/>
        <w:jc w:val="both"/>
        <w:rPr>
          <w:rFonts w:ascii="Arial" w:hAnsi="Arial" w:cs="Arial"/>
          <w:color w:val="2E74B5"/>
        </w:rPr>
      </w:pPr>
      <w:r w:rsidRPr="00E30642">
        <w:rPr>
          <w:rFonts w:ascii="Arial" w:hAnsi="Arial" w:cs="Arial"/>
          <w:color w:val="2E74B5"/>
        </w:rPr>
        <w:t>Řešení lokality bylo prověřeno zastavovací studii. Zástavba nové obytné lokality vychází z předpokladu převážně izolované zástavby odpovídající měřítku sousedních částí města. Při zpracování dalších stupňů UPD se doporučuje vycházet ze stávajícího charakteru a měřítka bytových objektů v sousedství, tak jak je řešeno zastavovací studií</w:t>
      </w:r>
    </w:p>
    <w:p w14:paraId="28458BC9" w14:textId="77777777" w:rsidR="00CA23D0" w:rsidRPr="00E30642" w:rsidRDefault="00CA23D0" w:rsidP="00CA23D0">
      <w:pPr>
        <w:spacing w:before="120" w:line="288" w:lineRule="auto"/>
        <w:ind w:firstLine="709"/>
        <w:jc w:val="both"/>
        <w:rPr>
          <w:rFonts w:ascii="Arial" w:hAnsi="Arial" w:cs="Arial"/>
          <w:color w:val="2E74B5"/>
        </w:rPr>
      </w:pPr>
      <w:r w:rsidRPr="00E30642">
        <w:rPr>
          <w:rFonts w:ascii="Arial" w:hAnsi="Arial" w:cs="Arial"/>
          <w:color w:val="2E74B5"/>
        </w:rPr>
        <w:t>Dopravní obsluha celé lokality je dána uličním skeletem sousední zástavby a je zakreslena ve výkresové části (hlavní výkres).</w:t>
      </w:r>
    </w:p>
    <w:p w14:paraId="0F1077B6" w14:textId="77777777" w:rsidR="00CA23D0" w:rsidRPr="00E30642" w:rsidRDefault="00CA23D0" w:rsidP="00CA23D0">
      <w:pPr>
        <w:spacing w:before="120" w:line="288" w:lineRule="auto"/>
        <w:jc w:val="both"/>
        <w:rPr>
          <w:rFonts w:ascii="Arial" w:hAnsi="Arial" w:cs="Arial"/>
          <w:color w:val="CC00FF"/>
        </w:rPr>
      </w:pPr>
    </w:p>
    <w:p w14:paraId="05CD44DB" w14:textId="77777777" w:rsidR="00CA23D0" w:rsidRPr="00E30642" w:rsidRDefault="00CA23D0" w:rsidP="00CA23D0">
      <w:pPr>
        <w:keepNext/>
        <w:spacing w:before="120" w:line="288" w:lineRule="auto"/>
        <w:jc w:val="both"/>
        <w:rPr>
          <w:rFonts w:ascii="Arial" w:hAnsi="Arial" w:cs="Arial"/>
          <w:b/>
          <w:color w:val="D60093"/>
        </w:rPr>
      </w:pPr>
      <w:r w:rsidRPr="00E30642">
        <w:rPr>
          <w:rFonts w:ascii="Arial" w:hAnsi="Arial" w:cs="Arial"/>
          <w:b/>
          <w:color w:val="D60093"/>
        </w:rPr>
        <w:t>(Z6) 6. ZMĚNA ÚZEMNÍHO PLÁNU - ZÁSADY CELKOVÉ KONCEPCE ROZVOJE OBCE</w:t>
      </w:r>
    </w:p>
    <w:p w14:paraId="2ED740D4" w14:textId="77777777" w:rsidR="00CA23D0" w:rsidRPr="00E30642" w:rsidRDefault="00CA23D0" w:rsidP="00CA23D0">
      <w:pPr>
        <w:spacing w:before="120" w:line="288" w:lineRule="auto"/>
        <w:ind w:firstLine="709"/>
        <w:jc w:val="both"/>
        <w:rPr>
          <w:rFonts w:ascii="Arial" w:hAnsi="Arial" w:cs="Arial"/>
          <w:color w:val="D60093"/>
        </w:rPr>
      </w:pPr>
      <w:r w:rsidRPr="00E30642">
        <w:rPr>
          <w:rFonts w:ascii="Arial" w:hAnsi="Arial" w:cs="Arial"/>
          <w:color w:val="D60093"/>
        </w:rPr>
        <w:t>(Z6) Na základě schváleného zadání 6. změny bylo řešeno celkem 82 lokalit 6. změny ÚP M Děčína. Po projednání s DO byly některé lokality vyřazeny a konečná verze návrhu ÚP M Děčína řeší 56 rozvojových lokalit. Číslování lokalit zachovává členění, číselné řady, dle schváleného zadání a neprojednané lokality byly vypuštěny.</w:t>
      </w:r>
    </w:p>
    <w:p w14:paraId="12DED27F" w14:textId="77777777" w:rsidR="00CA23D0" w:rsidRPr="00E30642" w:rsidRDefault="00CA23D0" w:rsidP="00CA23D0">
      <w:pPr>
        <w:spacing w:before="120" w:line="288" w:lineRule="auto"/>
        <w:ind w:firstLine="709"/>
        <w:jc w:val="both"/>
        <w:rPr>
          <w:rFonts w:ascii="Arial" w:hAnsi="Arial" w:cs="Arial"/>
          <w:color w:val="D60093"/>
        </w:rPr>
      </w:pPr>
      <w:r w:rsidRPr="00E30642">
        <w:rPr>
          <w:rFonts w:ascii="Arial" w:hAnsi="Arial" w:cs="Arial"/>
          <w:color w:val="D60093"/>
        </w:rPr>
        <w:t xml:space="preserve">Lokalita 6Z-38 byla, vzhledem k rozsahu, podmíněna zpracováním územní studie v podrobnějším měřítku. Studie zpřesní rozsah navrhované plochy a způsob využití. Studie bude zpracována do 5 let od vydání změny ÚP M Děčína. </w:t>
      </w:r>
    </w:p>
    <w:p w14:paraId="093DFE93" w14:textId="77777777" w:rsidR="00CA23D0" w:rsidRPr="00E30642" w:rsidRDefault="00CA23D0" w:rsidP="00CA23D0">
      <w:pPr>
        <w:spacing w:before="120" w:line="288" w:lineRule="auto"/>
        <w:ind w:firstLine="709"/>
        <w:jc w:val="both"/>
        <w:rPr>
          <w:rFonts w:ascii="Arial" w:hAnsi="Arial" w:cs="Arial"/>
          <w:color w:val="D60093"/>
        </w:rPr>
      </w:pPr>
      <w:r w:rsidRPr="00E30642">
        <w:rPr>
          <w:rFonts w:ascii="Arial" w:hAnsi="Arial" w:cs="Arial"/>
          <w:color w:val="D60093"/>
        </w:rPr>
        <w:t>Celkem pro 10 nových lokalit je navržena změna původní funkce a plochy jsou charakterizovány jako přestavbové (plochy 6Z-15, 6Z-39, 6Z-71., 6Z-81a-d, 6Z-81g, 6Z-8111, 6Z-85).</w:t>
      </w:r>
    </w:p>
    <w:p w14:paraId="2A5BF5DE" w14:textId="77777777" w:rsidR="00CA23D0" w:rsidRPr="00E30642" w:rsidRDefault="00CA23D0" w:rsidP="00CA23D0">
      <w:pPr>
        <w:spacing w:before="120" w:line="288" w:lineRule="auto"/>
        <w:ind w:firstLine="709"/>
        <w:jc w:val="both"/>
        <w:rPr>
          <w:rFonts w:ascii="Arial" w:hAnsi="Arial" w:cs="Arial"/>
          <w:color w:val="D60093"/>
        </w:rPr>
      </w:pPr>
      <w:r w:rsidRPr="00E30642">
        <w:rPr>
          <w:rFonts w:ascii="Arial" w:hAnsi="Arial" w:cs="Arial"/>
          <w:color w:val="D60093"/>
        </w:rPr>
        <w:t>Největší počet nových ploch tvoří lokality bydlení (44 ploch). Celkem 5 lokalit je navrženo v kategorii plochy pro drobnou výrobu a služby (jedná se převážně o plochy přestavbové 6Z-81b-d, 6Z-81g) a lokalitu 6Z-28. Plochy občanského vybavení tvoří 4 lokality (6Z-71, 6Z-81a, 6Z-8111, 6Z-85). Smíšené obytné území je navrženo u lokalit 6Z-39 a 6Z-60.</w:t>
      </w:r>
    </w:p>
    <w:p w14:paraId="24F3FC6C" w14:textId="77777777" w:rsidR="00CA23D0" w:rsidRPr="00E30642" w:rsidRDefault="00CA23D0" w:rsidP="00CA23D0">
      <w:pPr>
        <w:spacing w:before="120" w:line="288" w:lineRule="auto"/>
        <w:ind w:firstLine="709"/>
        <w:jc w:val="both"/>
        <w:rPr>
          <w:rFonts w:ascii="Arial" w:hAnsi="Arial" w:cs="Arial"/>
          <w:color w:val="D60093"/>
        </w:rPr>
      </w:pPr>
      <w:r w:rsidRPr="00E30642">
        <w:rPr>
          <w:rFonts w:ascii="Arial" w:hAnsi="Arial" w:cs="Arial"/>
          <w:color w:val="D60093"/>
        </w:rPr>
        <w:lastRenderedPageBreak/>
        <w:t>Názvosloví nových ploch 6. změny vychází z nového stavebního zákona č. 183/2006 Sb., vyhlášky 501/20068b. Názvosloví nových ploch má provázanost s plochami schváleného územního plánu z roku 2002:</w:t>
      </w:r>
    </w:p>
    <w:p w14:paraId="3F278C9B" w14:textId="77777777" w:rsidR="00CA23D0" w:rsidRPr="00E30642" w:rsidRDefault="00CA23D0" w:rsidP="006031D6">
      <w:pPr>
        <w:pStyle w:val="Odstavecseseznamem"/>
        <w:numPr>
          <w:ilvl w:val="0"/>
          <w:numId w:val="18"/>
        </w:numPr>
        <w:spacing w:before="120" w:after="0" w:line="288" w:lineRule="auto"/>
        <w:ind w:left="426"/>
        <w:jc w:val="both"/>
        <w:rPr>
          <w:rFonts w:ascii="Arial" w:hAnsi="Arial" w:cs="Arial"/>
          <w:color w:val="D60093"/>
        </w:rPr>
      </w:pPr>
      <w:r w:rsidRPr="00E30642">
        <w:rPr>
          <w:rFonts w:ascii="Arial" w:hAnsi="Arial" w:cs="Arial"/>
          <w:color w:val="D60093"/>
        </w:rPr>
        <w:t>Plochy bydlení individuální - obsahově odpovídá plochám -rodinné domy městského typu.</w:t>
      </w:r>
    </w:p>
    <w:p w14:paraId="6B49FA30" w14:textId="77777777" w:rsidR="00CA23D0" w:rsidRPr="00E30642" w:rsidRDefault="00CA23D0" w:rsidP="006031D6">
      <w:pPr>
        <w:pStyle w:val="Odstavecseseznamem"/>
        <w:numPr>
          <w:ilvl w:val="0"/>
          <w:numId w:val="18"/>
        </w:numPr>
        <w:spacing w:before="120" w:after="0" w:line="288" w:lineRule="auto"/>
        <w:ind w:left="426"/>
        <w:jc w:val="both"/>
        <w:rPr>
          <w:rFonts w:ascii="Arial" w:hAnsi="Arial" w:cs="Arial"/>
          <w:color w:val="D60093"/>
        </w:rPr>
      </w:pPr>
      <w:r w:rsidRPr="00E30642">
        <w:rPr>
          <w:rFonts w:ascii="Arial" w:hAnsi="Arial" w:cs="Arial"/>
          <w:color w:val="D60093"/>
        </w:rPr>
        <w:t>Plochy pro drobnou výrobu a Služby - obsahově odpovídá plochám -zóny nerušící výroby a služeb.</w:t>
      </w:r>
    </w:p>
    <w:p w14:paraId="100FE226" w14:textId="77777777" w:rsidR="00CA23D0" w:rsidRPr="00E30642" w:rsidRDefault="00CA23D0" w:rsidP="006031D6">
      <w:pPr>
        <w:pStyle w:val="Odstavecseseznamem"/>
        <w:numPr>
          <w:ilvl w:val="0"/>
          <w:numId w:val="18"/>
        </w:numPr>
        <w:spacing w:before="120" w:after="0" w:line="288" w:lineRule="auto"/>
        <w:ind w:left="426"/>
        <w:jc w:val="both"/>
        <w:rPr>
          <w:rFonts w:ascii="Arial" w:hAnsi="Arial" w:cs="Arial"/>
          <w:color w:val="D60093"/>
        </w:rPr>
      </w:pPr>
      <w:r w:rsidRPr="00E30642">
        <w:rPr>
          <w:rFonts w:ascii="Arial" w:hAnsi="Arial" w:cs="Arial"/>
          <w:color w:val="D60093"/>
        </w:rPr>
        <w:t>Plochy občanského vybavení - obsahově odpovídá plochám – monofunkčními objekty a areály občanského vybavení.</w:t>
      </w:r>
    </w:p>
    <w:p w14:paraId="4C63960F" w14:textId="77777777" w:rsidR="00CA23D0" w:rsidRPr="00E30642" w:rsidRDefault="00CA23D0" w:rsidP="006031D6">
      <w:pPr>
        <w:pStyle w:val="Odstavecseseznamem"/>
        <w:numPr>
          <w:ilvl w:val="0"/>
          <w:numId w:val="18"/>
        </w:numPr>
        <w:spacing w:before="120" w:after="0" w:line="288" w:lineRule="auto"/>
        <w:ind w:left="426"/>
        <w:jc w:val="both"/>
        <w:rPr>
          <w:rFonts w:ascii="Arial" w:hAnsi="Arial" w:cs="Arial"/>
          <w:color w:val="D60093"/>
        </w:rPr>
      </w:pPr>
      <w:r w:rsidRPr="00E30642">
        <w:rPr>
          <w:rFonts w:ascii="Arial" w:hAnsi="Arial" w:cs="Arial"/>
          <w:color w:val="D60093"/>
        </w:rPr>
        <w:t>Plochy obytné smíšené nebyly předmětem návrhu z roku 2002 a nahrazují se nově včetně regulativů.</w:t>
      </w:r>
    </w:p>
    <w:p w14:paraId="23809784" w14:textId="77777777" w:rsidR="00CA23D0" w:rsidRPr="00E30642" w:rsidRDefault="00CA23D0" w:rsidP="00CA23D0">
      <w:pPr>
        <w:spacing w:before="120" w:line="288" w:lineRule="auto"/>
        <w:ind w:firstLine="709"/>
        <w:jc w:val="both"/>
        <w:rPr>
          <w:rFonts w:ascii="Arial" w:hAnsi="Arial" w:cs="Arial"/>
          <w:color w:val="D60093"/>
        </w:rPr>
      </w:pPr>
      <w:r w:rsidRPr="00E30642">
        <w:rPr>
          <w:rFonts w:ascii="Arial" w:hAnsi="Arial" w:cs="Arial"/>
          <w:color w:val="D60093"/>
        </w:rPr>
        <w:t>Původní regulativy ploch ze schváleného územního plánu z roku 2002, jsou u nových ploch 6. změny v zásadě použity, ale byly doplněny konkrétními regulativy, které se vztahují pouze k novým plochám a původní regulativy doplňují. Doplňující regulativy vycházejí ze stanovisek DO.</w:t>
      </w:r>
    </w:p>
    <w:p w14:paraId="1741632B" w14:textId="77777777" w:rsidR="00CA23D0" w:rsidRPr="00E30642" w:rsidRDefault="00CA23D0" w:rsidP="00CA23D0">
      <w:pPr>
        <w:spacing w:before="120" w:line="288" w:lineRule="auto"/>
        <w:ind w:firstLine="709"/>
        <w:jc w:val="both"/>
        <w:rPr>
          <w:rFonts w:ascii="Arial" w:hAnsi="Arial" w:cs="Arial"/>
          <w:color w:val="D60093"/>
        </w:rPr>
      </w:pPr>
      <w:r w:rsidRPr="00E30642">
        <w:rPr>
          <w:rFonts w:ascii="Arial" w:hAnsi="Arial" w:cs="Arial"/>
          <w:color w:val="D60093"/>
        </w:rPr>
        <w:t>Základní koncepce 6. změny ÚPn M je dána potřebami města, kde 6. změna ÚPn M doplňuje nové rozvojové plochy obytného území, výrobního území v kontextu s existujícími hodnotami celého správního území. Návrh řešení 6. změny UPn M vychází z původního územního plánu z roku 2002 a navazuje na něj.</w:t>
      </w:r>
    </w:p>
    <w:p w14:paraId="428635A6" w14:textId="77777777" w:rsidR="00CA23D0" w:rsidRPr="00E30642" w:rsidRDefault="00CA23D0" w:rsidP="00CA23D0">
      <w:pPr>
        <w:spacing w:before="120" w:line="288" w:lineRule="auto"/>
        <w:jc w:val="both"/>
        <w:rPr>
          <w:rFonts w:ascii="Arial" w:hAnsi="Arial" w:cs="Arial"/>
          <w:color w:val="D60093"/>
        </w:rPr>
      </w:pPr>
      <w:r w:rsidRPr="00E30642">
        <w:rPr>
          <w:rFonts w:ascii="Arial" w:hAnsi="Arial" w:cs="Arial"/>
          <w:color w:val="D60093"/>
        </w:rPr>
        <w:t xml:space="preserve">HODNOTY PŘÍRODNÍ - Zpracovaný návrh klade důraz na uchování hodnot přírodního a kulturního dědictví, které vyplývají ze schválených regulativů ochrany přírody CHKO České středohoří (CS) a CHKO Labské pískovce (LP) z vymezených evropsky významných lokalit EVL dle ustanovení 5 187 odstavce 7, zákona 183/2006 Sb. a schváleného místního systému ekologické stability dle UPn M Děčín 2 roku 2006. Navržené lokality 6. změny leží v II. - IV- zóně CHKO CS a IV. Zóně CHKO LP </w:t>
      </w:r>
    </w:p>
    <w:p w14:paraId="31C4F0A8" w14:textId="77777777" w:rsidR="00CA23D0" w:rsidRPr="00E30642" w:rsidRDefault="00CA23D0" w:rsidP="00CA23D0">
      <w:pPr>
        <w:spacing w:before="120" w:line="288" w:lineRule="auto"/>
        <w:ind w:firstLine="709"/>
        <w:jc w:val="both"/>
        <w:rPr>
          <w:rFonts w:ascii="Arial" w:hAnsi="Arial" w:cs="Arial"/>
          <w:color w:val="D60093"/>
        </w:rPr>
      </w:pPr>
      <w:r w:rsidRPr="00E30642">
        <w:rPr>
          <w:rFonts w:ascii="Arial" w:hAnsi="Arial" w:cs="Arial"/>
          <w:color w:val="D60093"/>
        </w:rPr>
        <w:t>Podmínky hospodářského smíru jsou řešeny návrhem nových obytných ploch převážně ve vazbě na zastavěné území.</w:t>
      </w:r>
    </w:p>
    <w:p w14:paraId="6B511E37" w14:textId="77777777" w:rsidR="00CA23D0" w:rsidRPr="00E30642" w:rsidRDefault="00CA23D0" w:rsidP="00CA23D0">
      <w:pPr>
        <w:spacing w:before="120" w:line="288" w:lineRule="auto"/>
        <w:jc w:val="both"/>
        <w:rPr>
          <w:rFonts w:ascii="Arial" w:hAnsi="Arial" w:cs="Arial"/>
          <w:b/>
          <w:color w:val="D60093"/>
        </w:rPr>
      </w:pPr>
      <w:r w:rsidRPr="00E30642">
        <w:rPr>
          <w:rFonts w:ascii="Arial" w:hAnsi="Arial" w:cs="Arial"/>
          <w:b/>
          <w:color w:val="D60093"/>
        </w:rPr>
        <w:t>C) URBANISTICKÁ KONCEPCE, VČETNĚ VYMEZENÍ ZASTAVITELNÝCH PLOCH., PLOCH PŘESTAVBY A SYSTÉMU SÍDELNÍ ZELENÉ.</w:t>
      </w:r>
    </w:p>
    <w:p w14:paraId="2201253C" w14:textId="77777777" w:rsidR="00CA23D0" w:rsidRPr="00E30642" w:rsidRDefault="00CA23D0" w:rsidP="00CA23D0">
      <w:pPr>
        <w:spacing w:before="120" w:line="288" w:lineRule="auto"/>
        <w:jc w:val="both"/>
        <w:rPr>
          <w:rFonts w:ascii="Arial" w:hAnsi="Arial" w:cs="Arial"/>
          <w:b/>
          <w:color w:val="D60093"/>
        </w:rPr>
      </w:pPr>
      <w:r w:rsidRPr="00E30642">
        <w:rPr>
          <w:rFonts w:ascii="Arial" w:hAnsi="Arial" w:cs="Arial"/>
          <w:b/>
          <w:color w:val="D60093"/>
        </w:rPr>
        <w:t>PŘEDPOKLADY DALŠÍHO DEMOGRAFICKÉHO VÝVOJE OBCE</w:t>
      </w:r>
    </w:p>
    <w:p w14:paraId="20FE2F03" w14:textId="77777777" w:rsidR="00CA23D0" w:rsidRPr="00E30642" w:rsidRDefault="00CA23D0" w:rsidP="00CA23D0">
      <w:pPr>
        <w:spacing w:before="120" w:line="288" w:lineRule="auto"/>
        <w:ind w:firstLine="708"/>
        <w:jc w:val="both"/>
        <w:rPr>
          <w:rFonts w:ascii="Arial" w:hAnsi="Arial" w:cs="Arial"/>
          <w:color w:val="D60093"/>
        </w:rPr>
      </w:pPr>
      <w:r w:rsidRPr="00E30642">
        <w:rPr>
          <w:rFonts w:ascii="Arial" w:hAnsi="Arial" w:cs="Arial"/>
          <w:color w:val="D60093"/>
        </w:rPr>
        <w:t xml:space="preserve">Pokud bychom vycházeli z nabídky rozvojových ploch bydlení 6. změny ÚPn M vycházel by počet obyvatel v nových lokalitách při plné realizaci všech nových ploch 6. změny cca </w:t>
      </w:r>
      <w:r w:rsidRPr="00E30642">
        <w:rPr>
          <w:rFonts w:ascii="Arial" w:hAnsi="Arial" w:cs="Arial"/>
          <w:color w:val="D60093"/>
        </w:rPr>
        <w:br/>
        <w:t>250 - 300 obyvatel.</w:t>
      </w:r>
    </w:p>
    <w:p w14:paraId="525E531E" w14:textId="77777777" w:rsidR="00CA23D0" w:rsidRPr="00E30642" w:rsidRDefault="00CA23D0" w:rsidP="00CA23D0">
      <w:pPr>
        <w:spacing w:before="120" w:line="288" w:lineRule="auto"/>
        <w:jc w:val="both"/>
        <w:rPr>
          <w:rFonts w:ascii="Arial" w:hAnsi="Arial" w:cs="Arial"/>
          <w:b/>
          <w:color w:val="D60093"/>
        </w:rPr>
      </w:pPr>
      <w:r w:rsidRPr="00E30642">
        <w:rPr>
          <w:rFonts w:ascii="Arial" w:hAnsi="Arial" w:cs="Arial"/>
          <w:b/>
          <w:color w:val="D60093"/>
        </w:rPr>
        <w:t>Prostorové a funkční uspořádání</w:t>
      </w:r>
    </w:p>
    <w:p w14:paraId="07A77540" w14:textId="77777777" w:rsidR="00CA23D0" w:rsidRPr="00E30642" w:rsidRDefault="00CA23D0" w:rsidP="00CA23D0">
      <w:pPr>
        <w:spacing w:before="120" w:line="288" w:lineRule="auto"/>
        <w:ind w:firstLine="708"/>
        <w:jc w:val="both"/>
        <w:rPr>
          <w:rFonts w:ascii="Arial" w:hAnsi="Arial" w:cs="Arial"/>
          <w:color w:val="D60093"/>
        </w:rPr>
      </w:pPr>
      <w:r w:rsidRPr="00E30642">
        <w:rPr>
          <w:rFonts w:ascii="Arial" w:hAnsi="Arial" w:cs="Arial"/>
          <w:color w:val="D60093"/>
        </w:rPr>
        <w:t>Urbanistická koncepce 6. změny ÚPn M je založena převážně na rozvoji funkčních ploch bydlení, výrobního ú</w:t>
      </w:r>
    </w:p>
    <w:p w14:paraId="3E49D970" w14:textId="77777777" w:rsidR="00CA23D0" w:rsidRPr="00E30642" w:rsidRDefault="00CA23D0" w:rsidP="00CA23D0">
      <w:pPr>
        <w:spacing w:before="120" w:line="288" w:lineRule="auto"/>
        <w:ind w:firstLine="708"/>
        <w:jc w:val="both"/>
        <w:rPr>
          <w:rFonts w:ascii="Arial" w:hAnsi="Arial" w:cs="Arial"/>
          <w:color w:val="D60093"/>
        </w:rPr>
      </w:pPr>
      <w:r w:rsidRPr="00E30642">
        <w:rPr>
          <w:rFonts w:ascii="Arial" w:hAnsi="Arial" w:cs="Arial"/>
          <w:color w:val="D60093"/>
        </w:rPr>
        <w:t>zemí (nerušící výroba a služby) částečně občanské vybavenosti. Rozvoj ostatních funkčních složek se v rámci 6. změny nenavrhuje.</w:t>
      </w:r>
    </w:p>
    <w:p w14:paraId="32277894" w14:textId="77777777" w:rsidR="00CA23D0" w:rsidRPr="00E30642" w:rsidRDefault="00CA23D0" w:rsidP="00CA23D0">
      <w:pPr>
        <w:spacing w:before="120" w:line="288" w:lineRule="auto"/>
        <w:ind w:firstLine="708"/>
        <w:jc w:val="both"/>
        <w:rPr>
          <w:rFonts w:ascii="Arial" w:hAnsi="Arial" w:cs="Arial"/>
          <w:color w:val="D60093"/>
        </w:rPr>
      </w:pPr>
      <w:r w:rsidRPr="00E30642">
        <w:rPr>
          <w:rFonts w:ascii="Arial" w:hAnsi="Arial" w:cs="Arial"/>
          <w:color w:val="D60093"/>
        </w:rPr>
        <w:lastRenderedPageBreak/>
        <w:t>Návrh nových rozvojových ploch je koncepčně převážně založen na návrhu nových rozptýlených rozvojových ploch v kontaktu s ZU. Rozvoj ploch bydlení je podstatný ve srovnání s ostatními rozvojovými funkčními plochami nerušící výroby, občanské vybavenosti a výroby.</w:t>
      </w:r>
    </w:p>
    <w:p w14:paraId="2F4985E8" w14:textId="77777777" w:rsidR="00CA23D0" w:rsidRPr="00E30642" w:rsidRDefault="00CA23D0" w:rsidP="00CA23D0">
      <w:pPr>
        <w:spacing w:before="120" w:line="288" w:lineRule="auto"/>
        <w:ind w:firstLine="708"/>
        <w:jc w:val="both"/>
        <w:rPr>
          <w:rFonts w:ascii="Arial" w:hAnsi="Arial" w:cs="Arial"/>
          <w:color w:val="D60093"/>
        </w:rPr>
      </w:pPr>
      <w:r w:rsidRPr="00E30642">
        <w:rPr>
          <w:rFonts w:ascii="Arial" w:hAnsi="Arial" w:cs="Arial"/>
          <w:color w:val="D60093"/>
        </w:rPr>
        <w:t>Funkční plochy bydleni jsou zařazeny do kategorie bydlení individuálního (dle územního plánu bydlení městské a příměstské). Plochy bydlení jsou dále i součástí smíšeného obytného území. Nové plochy bydlení mají vazbu na stávající charakter a hmotové řešení existující sousedící zástavby.</w:t>
      </w:r>
    </w:p>
    <w:p w14:paraId="32A2DB57" w14:textId="77777777" w:rsidR="00CA23D0" w:rsidRPr="00E30642" w:rsidRDefault="00CA23D0" w:rsidP="00CA23D0">
      <w:pPr>
        <w:spacing w:before="120" w:line="288" w:lineRule="auto"/>
        <w:jc w:val="both"/>
        <w:rPr>
          <w:rFonts w:ascii="Arial" w:hAnsi="Arial" w:cs="Arial"/>
          <w:b/>
          <w:color w:val="D60093"/>
        </w:rPr>
      </w:pPr>
      <w:r w:rsidRPr="00E30642">
        <w:rPr>
          <w:rFonts w:ascii="Arial" w:hAnsi="Arial" w:cs="Arial"/>
          <w:b/>
          <w:color w:val="D60093"/>
        </w:rPr>
        <w:t>VYMEZENÍ PLOCH A KORIDORŮ, VE KTERÝCH JE PROVĚŘENÍ ZMĚN JEJICH VYUŽITÍ ÚZEMNÍ STUDIÍ PODMÍNKOU PRO ROZHODOVÁNÍ A DÁLE STANOVENÍ LHŮTY PRO POŘÍZENÍ STUDIE, JEJÍ SCHVÁLENÍ POŘIZOVATELEM A VLOŽENÍ DAT O TÉTO STUDII DO EVIDENCE ÚZEMNĚ PLÁNOVACÍ ČINNOSTI</w:t>
      </w:r>
    </w:p>
    <w:p w14:paraId="2CC56C14" w14:textId="77777777" w:rsidR="00CA23D0" w:rsidRPr="00E30642" w:rsidRDefault="00CA23D0" w:rsidP="00CA23D0">
      <w:pPr>
        <w:spacing w:before="120" w:line="288" w:lineRule="auto"/>
        <w:ind w:firstLine="708"/>
        <w:jc w:val="both"/>
        <w:rPr>
          <w:rFonts w:ascii="Arial" w:hAnsi="Arial" w:cs="Arial"/>
          <w:color w:val="D60093"/>
        </w:rPr>
      </w:pPr>
      <w:r w:rsidRPr="00E30642">
        <w:rPr>
          <w:rFonts w:ascii="Arial" w:hAnsi="Arial" w:cs="Arial"/>
          <w:color w:val="D60093"/>
        </w:rPr>
        <w:t>Navrhované řešení 6. změny územního plánu podmiňuje realizaci plochy G: 6Z-38 zpracováním územní studie. Územní studie bude zpracována do 5 let od vydání územního plánu.</w:t>
      </w:r>
    </w:p>
    <w:p w14:paraId="2CCFFC15" w14:textId="77777777" w:rsidR="00CA23D0" w:rsidRPr="00E30642" w:rsidRDefault="00CA23D0" w:rsidP="00CA23D0">
      <w:pPr>
        <w:spacing w:before="120" w:line="288" w:lineRule="auto"/>
        <w:jc w:val="both"/>
        <w:rPr>
          <w:rFonts w:ascii="Arial" w:hAnsi="Arial" w:cs="Arial"/>
          <w:color w:val="CC00FF"/>
        </w:rPr>
      </w:pPr>
    </w:p>
    <w:p w14:paraId="420669AD" w14:textId="77777777" w:rsidR="00CA23D0" w:rsidRPr="00E30642" w:rsidRDefault="00CA23D0" w:rsidP="00CA23D0">
      <w:pPr>
        <w:spacing w:before="120" w:line="288" w:lineRule="auto"/>
        <w:jc w:val="both"/>
        <w:rPr>
          <w:rFonts w:ascii="Arial" w:hAnsi="Arial" w:cs="Arial"/>
          <w:b/>
          <w:color w:val="FF0000"/>
        </w:rPr>
      </w:pPr>
      <w:r w:rsidRPr="00E30642">
        <w:rPr>
          <w:rFonts w:ascii="Arial" w:hAnsi="Arial" w:cs="Arial"/>
          <w:b/>
          <w:color w:val="FF0000"/>
        </w:rPr>
        <w:t>(Z8) 8. ZMĚNA ÚZEMNÍHO PLÁNU - ZÁSADY CELKOVÉ KONCEPCE ROZVOJE OBCE</w:t>
      </w:r>
    </w:p>
    <w:p w14:paraId="0B10E698"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t xml:space="preserve">(Z8) Základní koncepce rozvoje nových lokalit 8. změny je dána potřebami města. Nové rozvojové plochy navazují na koncepci územního plánu z roku 2002, eventuálně schválených změny územního plánu č. 1- č. 6. Rozsah lokalit 8. změny vychází ze zadání 8. změny ÚP Děčín, schváleného zastupitelstvem města dne 18. 12. 2008 usnesením č. ZM 08 11 03 01, opětovně jsou však prověřovány i dříve připomínkované lokality. Rozšířením rozsahu o dalších 17 lokalit ze dne 23. 9. 2010 usnesením č. ZM 10 07 08 01 byl celkový počet projednávaných ploch 59. </w:t>
      </w:r>
    </w:p>
    <w:p w14:paraId="226B1968" w14:textId="77777777" w:rsidR="00CA23D0" w:rsidRPr="00E30642" w:rsidRDefault="00CA23D0" w:rsidP="00CA23D0">
      <w:pPr>
        <w:spacing w:before="120" w:line="288" w:lineRule="auto"/>
        <w:ind w:left="1"/>
        <w:jc w:val="both"/>
        <w:rPr>
          <w:rFonts w:ascii="Arial" w:hAnsi="Arial" w:cs="Arial"/>
          <w:color w:val="FF0000"/>
        </w:rPr>
      </w:pPr>
      <w:r w:rsidRPr="00E30642">
        <w:rPr>
          <w:rFonts w:ascii="Arial" w:hAnsi="Arial" w:cs="Arial"/>
          <w:b/>
          <w:color w:val="FF0000"/>
        </w:rPr>
        <w:t>Hodnoty urbanistické a architektonické</w:t>
      </w:r>
      <w:r w:rsidRPr="00E30642">
        <w:rPr>
          <w:rFonts w:ascii="Arial" w:hAnsi="Arial" w:cs="Arial"/>
          <w:color w:val="FF0000"/>
        </w:rPr>
        <w:t xml:space="preserve"> - Urbanistická struktura a koncepce 8. změny ÚP M navazuje na koncepci navrženou v ÚP M z roku </w:t>
      </w:r>
      <w:smartTag w:uri="urn:schemas-microsoft-com:office:smarttags" w:element="metricconverter">
        <w:smartTagPr>
          <w:attr w:name="ProductID" w:val="2002 a"/>
        </w:smartTagPr>
        <w:r w:rsidRPr="00E30642">
          <w:rPr>
            <w:rFonts w:ascii="Arial" w:hAnsi="Arial" w:cs="Arial"/>
            <w:color w:val="FF0000"/>
          </w:rPr>
          <w:t>2002 a</w:t>
        </w:r>
      </w:smartTag>
      <w:r w:rsidRPr="00E30642">
        <w:rPr>
          <w:rFonts w:ascii="Arial" w:hAnsi="Arial" w:cs="Arial"/>
          <w:color w:val="FF0000"/>
        </w:rPr>
        <w:t xml:space="preserve"> na následné schválené změny ÚP M 1- 6. Rozvojové zastavitelné plochy 8. změny převážně navazují na zastavěné území. </w:t>
      </w:r>
    </w:p>
    <w:p w14:paraId="01BA6980" w14:textId="77777777" w:rsidR="00CA23D0" w:rsidRPr="00E30642" w:rsidRDefault="00CA23D0" w:rsidP="00CA23D0">
      <w:pPr>
        <w:keepNext/>
        <w:spacing w:before="120" w:line="288" w:lineRule="auto"/>
        <w:jc w:val="both"/>
        <w:rPr>
          <w:rFonts w:ascii="Arial" w:hAnsi="Arial" w:cs="Arial"/>
          <w:b/>
          <w:color w:val="FF0000"/>
        </w:rPr>
      </w:pPr>
      <w:r w:rsidRPr="00E30642">
        <w:rPr>
          <w:rFonts w:ascii="Arial" w:hAnsi="Arial" w:cs="Arial"/>
          <w:b/>
          <w:color w:val="FF0000"/>
        </w:rPr>
        <w:t>Hodnoty přírodní</w:t>
      </w:r>
    </w:p>
    <w:p w14:paraId="676E083F"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t>Ochrana ZPF - Rozvojové plochy 8. změny územního plánu města Děčín jsou převážně situovány na zemědělském půdním fondu ve vazbě na stávající zástavbu. 8Z -1, -2, -3, -6, -7, -8, -10, -11, -12, -13, -15, -18, -19, -23, -25, -26,-33a, -33b, -33c, -34, -35, -36, -40, -43, -45 -8Z- 47, -48,  -49, -50b, -52,  -55.</w:t>
      </w:r>
    </w:p>
    <w:p w14:paraId="033F544D"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t xml:space="preserve">Ochrana PUPFL  -  Pozemky lesní (PUPFL) nejsou rozvojovými plochami dotčeny. Část navrhovaných ploch leží zcela nebo z části v ochranném pásmu lesa 9Z -10, -11, -34, - 45, -48, -49, </w:t>
      </w:r>
    </w:p>
    <w:p w14:paraId="2F91B84F"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lastRenderedPageBreak/>
        <w:t xml:space="preserve">Dochované přírodní hodnoty - Návrhové lokality leží na území CHKO České středohoří nebo na území CHKO Labské pískovce a respektují jejich zonaci i charakteristiku krajinných celků. </w:t>
      </w:r>
    </w:p>
    <w:p w14:paraId="04587A3C"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t xml:space="preserve">8. změna respektuje nadregionální a regionální systém ekologické stability respektuje rovněž i prvky lokálních ÚSES, schválených v rámci Územního plánu města Děčín. </w:t>
      </w:r>
    </w:p>
    <w:p w14:paraId="5155F782"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t>Dochované přírodní hodnoty území jsou respektovány (významné krajinné prvky, maloplošná chráněná území včetně ochranných pásem apod.), rovněž památné stromy včetně ochranných pásem.</w:t>
      </w:r>
    </w:p>
    <w:p w14:paraId="6A051A67" w14:textId="77777777" w:rsidR="00CA23D0" w:rsidRPr="00E30642" w:rsidRDefault="00CA23D0" w:rsidP="00CA23D0">
      <w:pPr>
        <w:spacing w:before="120" w:line="288" w:lineRule="auto"/>
        <w:ind w:left="1"/>
        <w:jc w:val="both"/>
        <w:rPr>
          <w:rFonts w:ascii="Arial" w:hAnsi="Arial" w:cs="Arial"/>
          <w:b/>
          <w:color w:val="FF0000"/>
        </w:rPr>
      </w:pPr>
      <w:r w:rsidRPr="00E30642">
        <w:rPr>
          <w:rFonts w:ascii="Arial" w:hAnsi="Arial" w:cs="Arial"/>
          <w:b/>
          <w:color w:val="FF0000"/>
        </w:rPr>
        <w:t>Hodnoty kulturní</w:t>
      </w:r>
    </w:p>
    <w:p w14:paraId="60D2DC00"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t xml:space="preserve">Kulturní památky - Řešením 8. změny nejsou dotčeny registrované nemovité památky ani jiné neregistrované drobné památky. </w:t>
      </w:r>
    </w:p>
    <w:p w14:paraId="144ECC23"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t>Část navržených ploch 8. změny leží zcela, nebo z části v místech předpokládaných archeologických nalezišť (8Z- 1, -16, -17,-30, -37, -47). Tyto plochy jsou považovány za podmínečně vhodné.</w:t>
      </w:r>
    </w:p>
    <w:p w14:paraId="2DFA0FEA" w14:textId="77777777" w:rsidR="00CA23D0" w:rsidRPr="00E30642" w:rsidRDefault="00CA23D0" w:rsidP="00CA23D0">
      <w:pPr>
        <w:spacing w:before="120" w:line="288" w:lineRule="auto"/>
        <w:ind w:left="1"/>
        <w:jc w:val="both"/>
        <w:rPr>
          <w:rFonts w:ascii="Arial" w:hAnsi="Arial" w:cs="Arial"/>
          <w:b/>
          <w:color w:val="FF0000"/>
        </w:rPr>
      </w:pPr>
      <w:bookmarkStart w:id="7" w:name="_Toc354838609"/>
      <w:r w:rsidRPr="00E30642">
        <w:rPr>
          <w:rFonts w:ascii="Arial" w:hAnsi="Arial" w:cs="Arial"/>
          <w:b/>
          <w:color w:val="FF0000"/>
        </w:rPr>
        <w:t>Životní prostředí</w:t>
      </w:r>
      <w:bookmarkEnd w:id="7"/>
    </w:p>
    <w:p w14:paraId="6D415C7F"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t>Niva Labe leží v prostoru nízkého radonového indexu. Ve svazích převládá přechodný radonový index, který v místech výstupů hornin přechází do středního radonového indexu. Územím dále probíhá řada tektonických zlomů, nad kterými lze očekávat střední až vysoký radonový index. Vzhledem k proměnlivosti radonového indexu je nutno jeho úroveň prověřit pro každý záměr samostatně.</w:t>
      </w:r>
    </w:p>
    <w:p w14:paraId="7F8661D4"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t>Z hlediska ochrany ovzduší jsou navržena v části energetika opatření na ochranu ovzduší v souladu s emisním stropem a programem na snižování emisí v souladu s § 17 odst. a) zákona. 86/2002 Sb.</w:t>
      </w:r>
    </w:p>
    <w:p w14:paraId="6163FF38"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t xml:space="preserve">U nových lokalit bydlení se nepředpokládá zasažení nepříznivými účinky hluku a vibrací od sousedících komunikací. Ve smyslu nařízení vlády č. 148/2006 Sb., o ochraně zdraví před nepříznivými účinky hluku a vibrací. </w:t>
      </w:r>
    </w:p>
    <w:p w14:paraId="5442F543" w14:textId="77777777" w:rsidR="00CA23D0" w:rsidRPr="00E30642" w:rsidRDefault="00CA23D0" w:rsidP="00CA23D0">
      <w:pPr>
        <w:spacing w:before="120" w:line="288" w:lineRule="auto"/>
        <w:ind w:left="1" w:firstLine="708"/>
        <w:jc w:val="both"/>
        <w:rPr>
          <w:rFonts w:ascii="Arial" w:hAnsi="Arial" w:cs="Arial"/>
          <w:color w:val="FF0000"/>
        </w:rPr>
      </w:pPr>
      <w:r w:rsidRPr="00E30642">
        <w:rPr>
          <w:rFonts w:ascii="Arial" w:hAnsi="Arial" w:cs="Arial"/>
          <w:color w:val="FF0000"/>
        </w:rPr>
        <w:t>Na základě společného jednání s dotčenými orgány o návrhu 8. změny Územního plánu města Děčín došlo na základě jejich nesouhlasu k vyřazení některých lokalit a zmenšení počtu na 40. Na základě veřejného projednání byly na žádost vlastníka vyřazeny plochy 8Z-</w:t>
      </w:r>
      <w:smartTag w:uri="urn:schemas-microsoft-com:office:smarttags" w:element="metricconverter">
        <w:smartTagPr>
          <w:attr w:name="ProductID" w:val="53 a"/>
        </w:smartTagPr>
        <w:r w:rsidRPr="00E30642">
          <w:rPr>
            <w:rFonts w:ascii="Arial" w:hAnsi="Arial" w:cs="Arial"/>
            <w:color w:val="FF0000"/>
          </w:rPr>
          <w:t>53 a</w:t>
        </w:r>
      </w:smartTag>
      <w:r w:rsidRPr="00E30642">
        <w:rPr>
          <w:rFonts w:ascii="Arial" w:hAnsi="Arial" w:cs="Arial"/>
          <w:color w:val="FF0000"/>
        </w:rPr>
        <w:t xml:space="preserve"> 8Z-54, byla zmenšena lokality č. 8Z-55. Do projednání byla vrácena plocha rekreace 8Z-10. Stávající počet je 39 ploch.</w:t>
      </w:r>
    </w:p>
    <w:p w14:paraId="27C7F717" w14:textId="77777777" w:rsidR="00CA23D0" w:rsidRPr="00E30642" w:rsidRDefault="00CA23D0" w:rsidP="00CA23D0">
      <w:pPr>
        <w:pStyle w:val="Nadpis3"/>
        <w:spacing w:before="120" w:line="288" w:lineRule="auto"/>
        <w:jc w:val="both"/>
        <w:rPr>
          <w:rFonts w:ascii="Arial" w:eastAsia="Times New Roman" w:hAnsi="Arial" w:cs="Arial"/>
          <w:bCs/>
          <w:color w:val="FF0000"/>
        </w:rPr>
      </w:pPr>
      <w:bookmarkStart w:id="8" w:name="_Toc354838610"/>
      <w:r w:rsidRPr="00E30642">
        <w:rPr>
          <w:rFonts w:ascii="Arial" w:eastAsia="Times New Roman" w:hAnsi="Arial" w:cs="Arial"/>
          <w:bCs/>
          <w:color w:val="FF0000"/>
        </w:rPr>
        <w:t>URBANISTICKÁ KONCEPCE, VČETNĚ VYMEZENÍ ZASTAVITELNÝCH PLOCH, PLOCH PŘESTAVBY A SYSTÉMU SÍDELNÍ ZELENĚ,</w:t>
      </w:r>
      <w:bookmarkEnd w:id="8"/>
    </w:p>
    <w:p w14:paraId="3D5EE879" w14:textId="77777777" w:rsidR="00CA23D0" w:rsidRPr="00E30642" w:rsidRDefault="00CA23D0" w:rsidP="00CA23D0">
      <w:pPr>
        <w:pStyle w:val="Nadpis3"/>
        <w:spacing w:before="120" w:line="288" w:lineRule="auto"/>
        <w:ind w:left="720" w:hanging="720"/>
        <w:jc w:val="both"/>
        <w:rPr>
          <w:rFonts w:ascii="Arial" w:eastAsia="Times New Roman" w:hAnsi="Arial" w:cs="Arial"/>
          <w:bCs/>
          <w:color w:val="FF0000"/>
        </w:rPr>
      </w:pPr>
      <w:bookmarkStart w:id="9" w:name="_Toc354838611"/>
      <w:r w:rsidRPr="00E30642">
        <w:rPr>
          <w:rFonts w:ascii="Arial" w:eastAsia="Times New Roman" w:hAnsi="Arial" w:cs="Arial"/>
          <w:bCs/>
          <w:color w:val="FF0000"/>
        </w:rPr>
        <w:t>Prostorové a funkční uspořádání</w:t>
      </w:r>
      <w:bookmarkEnd w:id="9"/>
    </w:p>
    <w:p w14:paraId="7D094FDB" w14:textId="77777777" w:rsidR="00CA23D0" w:rsidRPr="00E30642" w:rsidRDefault="00CA23D0" w:rsidP="00CA23D0">
      <w:pPr>
        <w:spacing w:before="120" w:line="288" w:lineRule="auto"/>
        <w:ind w:firstLine="709"/>
        <w:jc w:val="both"/>
        <w:rPr>
          <w:rFonts w:ascii="Arial" w:hAnsi="Arial" w:cs="Arial"/>
          <w:color w:val="FF0000"/>
        </w:rPr>
      </w:pPr>
      <w:r w:rsidRPr="00E30642">
        <w:rPr>
          <w:rFonts w:ascii="Arial" w:hAnsi="Arial" w:cs="Arial"/>
          <w:color w:val="FF0000"/>
        </w:rPr>
        <w:t xml:space="preserve">Urbanistická struktura a koncepce 8. změny ÚP M navazuje na koncepci navrženou územním plánem z roku 2002. Plochy individuálního bydlení byly ÚP </w:t>
      </w:r>
      <w:r w:rsidRPr="00E30642">
        <w:rPr>
          <w:rFonts w:ascii="Arial" w:hAnsi="Arial" w:cs="Arial"/>
          <w:color w:val="FF0000"/>
        </w:rPr>
        <w:lastRenderedPageBreak/>
        <w:t xml:space="preserve">rozděleny na plochy rodinných domů městského typu a venkovského typu. ÚP vymezil katastry, pro které toto členění platí. Změna ÚP toto pravidlo respektuje. Plochy individuálního bydlení tvoří cca 80 % všech ploch 8. změny ÚP. Převážně se jedná o plochy do </w:t>
      </w:r>
      <w:smartTag w:uri="urn:schemas-microsoft-com:office:smarttags" w:element="metricconverter">
        <w:smartTagPr>
          <w:attr w:name="ProductID" w:val="0,5 ha"/>
        </w:smartTagPr>
        <w:r w:rsidRPr="00E30642">
          <w:rPr>
            <w:rFonts w:ascii="Arial" w:hAnsi="Arial" w:cs="Arial"/>
            <w:color w:val="FF0000"/>
          </w:rPr>
          <w:t>0,5 ha</w:t>
        </w:r>
      </w:smartTag>
      <w:r w:rsidRPr="00E30642">
        <w:rPr>
          <w:rFonts w:ascii="Arial" w:hAnsi="Arial" w:cs="Arial"/>
          <w:color w:val="FF0000"/>
        </w:rPr>
        <w:t xml:space="preserve">. Plochy občanské vybavenosti tvoří 5 %. Plochy nerušící výroby a výrobních služeb tvoří 5 %. Plochy bydlení v RD venkovského typu tvoří 5%, plochy bydlení v RD městského typu 74,5 % plochy smíšené městské cca 2,5 % a plochy rekreace 8 %. </w:t>
      </w:r>
    </w:p>
    <w:p w14:paraId="694985F5" w14:textId="77777777" w:rsidR="00CA23D0" w:rsidRPr="00E30642" w:rsidRDefault="00CA23D0" w:rsidP="00CA23D0">
      <w:pPr>
        <w:spacing w:before="120" w:line="288" w:lineRule="auto"/>
        <w:ind w:firstLine="709"/>
        <w:jc w:val="both"/>
        <w:rPr>
          <w:rFonts w:ascii="Arial" w:hAnsi="Arial" w:cs="Arial"/>
          <w:color w:val="FF0000"/>
        </w:rPr>
      </w:pPr>
      <w:r w:rsidRPr="00E30642">
        <w:rPr>
          <w:rFonts w:ascii="Arial" w:hAnsi="Arial" w:cs="Arial"/>
          <w:color w:val="FF0000"/>
        </w:rPr>
        <w:t xml:space="preserve">Rozvojové plochy 8. změny jsou členěny na zastavitelné (29) a přestavbové (10). </w:t>
      </w:r>
    </w:p>
    <w:p w14:paraId="44A4FC84" w14:textId="77777777" w:rsidR="00CA23D0" w:rsidRPr="00E30642" w:rsidRDefault="00CA23D0" w:rsidP="00CA23D0">
      <w:pPr>
        <w:spacing w:before="120" w:line="288" w:lineRule="auto"/>
        <w:ind w:firstLine="709"/>
        <w:jc w:val="both"/>
        <w:rPr>
          <w:rFonts w:ascii="Arial" w:hAnsi="Arial" w:cs="Arial"/>
          <w:color w:val="FF0000"/>
        </w:rPr>
      </w:pPr>
      <w:r w:rsidRPr="00E30642">
        <w:rPr>
          <w:rFonts w:ascii="Arial" w:hAnsi="Arial" w:cs="Arial"/>
          <w:color w:val="FF0000"/>
        </w:rPr>
        <w:t>Řešení nových obytných ploch převážně navazuje na stávající obytné plochy v okrajových částech města a v prolukách, nebo navazuje na navrhované rozvojové plochy předcházejících změn ÚP. Plochy bydlení jsou charakteristické nízkopodlažní zástavbou s převážně isolovanou zástavbou rodinnými domy.</w:t>
      </w:r>
    </w:p>
    <w:p w14:paraId="08783F1B" w14:textId="77777777" w:rsidR="00CA23D0" w:rsidRPr="00E30642" w:rsidRDefault="00CA23D0" w:rsidP="00CA23D0">
      <w:pPr>
        <w:jc w:val="both"/>
        <w:rPr>
          <w:rFonts w:ascii="Arial" w:hAnsi="Arial" w:cs="Arial"/>
        </w:rPr>
      </w:pPr>
    </w:p>
    <w:p w14:paraId="0819988C" w14:textId="77777777" w:rsidR="00CA23D0" w:rsidRDefault="00CA23D0" w:rsidP="00CA23D0">
      <w:pPr>
        <w:jc w:val="both"/>
        <w:rPr>
          <w:rFonts w:ascii="Arial" w:hAnsi="Arial" w:cs="Arial"/>
          <w:sz w:val="22"/>
        </w:rPr>
      </w:pPr>
    </w:p>
    <w:p w14:paraId="58FDED01" w14:textId="77777777" w:rsidR="00C00C57" w:rsidRPr="007B2506" w:rsidRDefault="00C00C57" w:rsidP="00C00C57">
      <w:pPr>
        <w:spacing w:before="120" w:line="288" w:lineRule="auto"/>
        <w:jc w:val="both"/>
        <w:rPr>
          <w:rFonts w:ascii="Arial" w:hAnsi="Arial" w:cs="Arial"/>
          <w:b/>
          <w:color w:val="18B8B0"/>
        </w:rPr>
      </w:pPr>
      <w:r w:rsidRPr="007B2506">
        <w:rPr>
          <w:rFonts w:ascii="Arial" w:hAnsi="Arial" w:cs="Arial"/>
          <w:b/>
          <w:color w:val="18B8B0"/>
        </w:rPr>
        <w:t>(Z12) 12. ZMĚNA ÚZEMNÍHO PLÁNU - ZÁSADY CELKOVÉ KONCEPCE ROZVOJE OBCE</w:t>
      </w:r>
    </w:p>
    <w:p w14:paraId="207A1768" w14:textId="408B3112" w:rsidR="006031D6" w:rsidRPr="006F4120" w:rsidRDefault="006F4120" w:rsidP="00CA23D0">
      <w:pPr>
        <w:jc w:val="both"/>
        <w:rPr>
          <w:rFonts w:ascii="Arial" w:hAnsi="Arial" w:cs="Arial"/>
          <w:color w:val="18B8B0"/>
          <w:sz w:val="22"/>
        </w:rPr>
      </w:pPr>
      <w:r w:rsidRPr="007B2506">
        <w:rPr>
          <w:rFonts w:ascii="Arial" w:hAnsi="Arial" w:cs="Arial"/>
          <w:color w:val="18B8B0"/>
          <w:sz w:val="22"/>
        </w:rPr>
        <w:t>Změna č. 12 ÚP respektuje</w:t>
      </w:r>
      <w:r w:rsidR="00C00C57" w:rsidRPr="007B2506">
        <w:rPr>
          <w:rFonts w:ascii="Arial" w:hAnsi="Arial" w:cs="Arial"/>
          <w:color w:val="18B8B0"/>
          <w:sz w:val="22"/>
        </w:rPr>
        <w:t xml:space="preserve"> zásady ce</w:t>
      </w:r>
      <w:r w:rsidRPr="007B2506">
        <w:rPr>
          <w:rFonts w:ascii="Arial" w:hAnsi="Arial" w:cs="Arial"/>
          <w:color w:val="18B8B0"/>
          <w:sz w:val="22"/>
        </w:rPr>
        <w:t>lkové koncepce rozvoje obce a dále je</w:t>
      </w:r>
      <w:r w:rsidR="00C00C57" w:rsidRPr="007B2506">
        <w:rPr>
          <w:rFonts w:ascii="Arial" w:hAnsi="Arial" w:cs="Arial"/>
          <w:color w:val="18B8B0"/>
          <w:sz w:val="22"/>
        </w:rPr>
        <w:t xml:space="preserve"> nemění. </w:t>
      </w:r>
      <w:r w:rsidRPr="007B2506">
        <w:rPr>
          <w:rFonts w:ascii="Arial" w:hAnsi="Arial" w:cs="Arial"/>
          <w:color w:val="18B8B0"/>
          <w:sz w:val="22"/>
        </w:rPr>
        <w:t>V rámci změny dochází ke zpřesnění vedení</w:t>
      </w:r>
      <w:r w:rsidR="003C1A5C" w:rsidRPr="007B2506">
        <w:rPr>
          <w:rFonts w:ascii="Arial" w:hAnsi="Arial" w:cs="Arial"/>
          <w:color w:val="18B8B0"/>
          <w:sz w:val="22"/>
        </w:rPr>
        <w:t xml:space="preserve"> a vymezení</w:t>
      </w:r>
      <w:r w:rsidRPr="007B2506">
        <w:rPr>
          <w:rFonts w:ascii="Arial" w:hAnsi="Arial" w:cs="Arial"/>
          <w:color w:val="18B8B0"/>
          <w:sz w:val="22"/>
        </w:rPr>
        <w:t xml:space="preserve"> dopravního koridoru silnice I/13</w:t>
      </w:r>
      <w:r w:rsidR="00DD67F1" w:rsidRPr="007B2506">
        <w:rPr>
          <w:rFonts w:ascii="Arial" w:hAnsi="Arial" w:cs="Arial"/>
          <w:color w:val="18B8B0"/>
          <w:sz w:val="22"/>
        </w:rPr>
        <w:t xml:space="preserve"> Děčín - Ludvíkovice </w:t>
      </w:r>
      <w:r w:rsidRPr="007B2506">
        <w:rPr>
          <w:rFonts w:ascii="Arial" w:hAnsi="Arial" w:cs="Arial"/>
          <w:color w:val="18B8B0"/>
          <w:sz w:val="22"/>
        </w:rPr>
        <w:t>(Folknářská spojka)</w:t>
      </w:r>
      <w:r w:rsidR="00E04BFA" w:rsidRPr="007B2506">
        <w:rPr>
          <w:rFonts w:ascii="Arial" w:hAnsi="Arial" w:cs="Arial"/>
          <w:color w:val="18B8B0"/>
          <w:sz w:val="22"/>
        </w:rPr>
        <w:t xml:space="preserve"> a s ní</w:t>
      </w:r>
      <w:r w:rsidR="003C1A5C" w:rsidRPr="007B2506">
        <w:rPr>
          <w:rFonts w:ascii="Arial" w:hAnsi="Arial" w:cs="Arial"/>
          <w:color w:val="18B8B0"/>
          <w:sz w:val="22"/>
        </w:rPr>
        <w:t>m</w:t>
      </w:r>
      <w:r w:rsidR="00E04BFA" w:rsidRPr="007B2506">
        <w:rPr>
          <w:rFonts w:ascii="Arial" w:hAnsi="Arial" w:cs="Arial"/>
          <w:color w:val="18B8B0"/>
          <w:sz w:val="22"/>
        </w:rPr>
        <w:t xml:space="preserve"> </w:t>
      </w:r>
      <w:r w:rsidR="003C1A5C" w:rsidRPr="007B2506">
        <w:rPr>
          <w:rFonts w:ascii="Arial" w:hAnsi="Arial" w:cs="Arial"/>
          <w:color w:val="18B8B0"/>
          <w:sz w:val="22"/>
        </w:rPr>
        <w:t xml:space="preserve">též k </w:t>
      </w:r>
      <w:r w:rsidR="00E04BFA" w:rsidRPr="007B2506">
        <w:rPr>
          <w:rFonts w:ascii="Arial" w:hAnsi="Arial" w:cs="Arial"/>
          <w:color w:val="18B8B0"/>
          <w:sz w:val="22"/>
        </w:rPr>
        <w:t xml:space="preserve">související úpravě </w:t>
      </w:r>
      <w:r w:rsidR="003C1A5C" w:rsidRPr="007B2506">
        <w:rPr>
          <w:rFonts w:ascii="Arial" w:hAnsi="Arial" w:cs="Arial"/>
          <w:color w:val="18B8B0"/>
          <w:sz w:val="22"/>
        </w:rPr>
        <w:t xml:space="preserve">lokálních a nadregionálních prvků </w:t>
      </w:r>
      <w:r w:rsidR="00E04BFA" w:rsidRPr="007B2506">
        <w:rPr>
          <w:rFonts w:ascii="Arial" w:hAnsi="Arial" w:cs="Arial"/>
          <w:color w:val="18B8B0"/>
          <w:sz w:val="22"/>
        </w:rPr>
        <w:t>ÚSES</w:t>
      </w:r>
      <w:r w:rsidRPr="007B2506">
        <w:rPr>
          <w:rFonts w:ascii="Arial" w:hAnsi="Arial" w:cs="Arial"/>
          <w:color w:val="18B8B0"/>
          <w:sz w:val="22"/>
        </w:rPr>
        <w:t>.</w:t>
      </w:r>
      <w:r w:rsidRPr="006F4120">
        <w:rPr>
          <w:rFonts w:ascii="Arial" w:hAnsi="Arial" w:cs="Arial"/>
          <w:color w:val="18B8B0"/>
          <w:sz w:val="22"/>
        </w:rPr>
        <w:t xml:space="preserve"> </w:t>
      </w:r>
    </w:p>
    <w:p w14:paraId="06E0B4AC" w14:textId="77777777" w:rsidR="006031D6" w:rsidRDefault="006031D6" w:rsidP="00CA23D0">
      <w:pPr>
        <w:jc w:val="both"/>
        <w:rPr>
          <w:rFonts w:ascii="Arial" w:hAnsi="Arial" w:cs="Arial"/>
          <w:sz w:val="22"/>
        </w:rPr>
      </w:pPr>
    </w:p>
    <w:p w14:paraId="757FCD53" w14:textId="77777777" w:rsidR="006031D6" w:rsidRDefault="006031D6" w:rsidP="00CA23D0">
      <w:pPr>
        <w:jc w:val="both"/>
        <w:rPr>
          <w:rFonts w:ascii="Arial" w:hAnsi="Arial" w:cs="Arial"/>
          <w:sz w:val="22"/>
        </w:rPr>
      </w:pPr>
    </w:p>
    <w:p w14:paraId="42F4D4C0" w14:textId="77777777" w:rsidR="006031D6" w:rsidRDefault="006031D6" w:rsidP="00CA23D0">
      <w:pPr>
        <w:jc w:val="both"/>
        <w:rPr>
          <w:rFonts w:ascii="Arial" w:hAnsi="Arial" w:cs="Arial"/>
          <w:sz w:val="22"/>
        </w:rPr>
      </w:pPr>
    </w:p>
    <w:p w14:paraId="45929D4C" w14:textId="77777777" w:rsidR="006031D6" w:rsidRDefault="006031D6" w:rsidP="00CA23D0">
      <w:pPr>
        <w:jc w:val="both"/>
        <w:rPr>
          <w:rFonts w:ascii="Arial" w:hAnsi="Arial" w:cs="Arial"/>
          <w:sz w:val="22"/>
        </w:rPr>
      </w:pPr>
    </w:p>
    <w:p w14:paraId="24A93465" w14:textId="77777777" w:rsidR="006031D6" w:rsidRDefault="006031D6" w:rsidP="00CA23D0">
      <w:pPr>
        <w:jc w:val="both"/>
        <w:rPr>
          <w:rFonts w:ascii="Arial" w:hAnsi="Arial" w:cs="Arial"/>
          <w:sz w:val="22"/>
        </w:rPr>
      </w:pPr>
    </w:p>
    <w:p w14:paraId="0A4BBA9F" w14:textId="77777777" w:rsidR="006031D6" w:rsidRDefault="006031D6" w:rsidP="00CA23D0">
      <w:pPr>
        <w:jc w:val="both"/>
        <w:rPr>
          <w:rFonts w:ascii="Arial" w:hAnsi="Arial" w:cs="Arial"/>
          <w:sz w:val="22"/>
        </w:rPr>
      </w:pPr>
    </w:p>
    <w:p w14:paraId="16431485" w14:textId="77777777" w:rsidR="006031D6" w:rsidRDefault="006031D6" w:rsidP="00CA23D0">
      <w:pPr>
        <w:jc w:val="both"/>
        <w:rPr>
          <w:rFonts w:ascii="Arial" w:hAnsi="Arial" w:cs="Arial"/>
          <w:sz w:val="22"/>
        </w:rPr>
      </w:pPr>
    </w:p>
    <w:p w14:paraId="2676F2FB" w14:textId="77777777" w:rsidR="006031D6" w:rsidRDefault="006031D6" w:rsidP="00CA23D0">
      <w:pPr>
        <w:jc w:val="both"/>
        <w:rPr>
          <w:rFonts w:ascii="Arial" w:hAnsi="Arial" w:cs="Arial"/>
          <w:sz w:val="22"/>
        </w:rPr>
      </w:pPr>
    </w:p>
    <w:p w14:paraId="3C5457A8" w14:textId="77777777" w:rsidR="006031D6" w:rsidRDefault="006031D6" w:rsidP="00CA23D0">
      <w:pPr>
        <w:jc w:val="both"/>
        <w:rPr>
          <w:rFonts w:ascii="Arial" w:hAnsi="Arial" w:cs="Arial"/>
          <w:sz w:val="22"/>
        </w:rPr>
      </w:pPr>
    </w:p>
    <w:p w14:paraId="0AB3A505" w14:textId="77777777" w:rsidR="006031D6" w:rsidRDefault="006031D6" w:rsidP="00CA23D0">
      <w:pPr>
        <w:jc w:val="both"/>
        <w:rPr>
          <w:rFonts w:ascii="Arial" w:hAnsi="Arial" w:cs="Arial"/>
          <w:sz w:val="22"/>
        </w:rPr>
      </w:pPr>
    </w:p>
    <w:p w14:paraId="28CE7441" w14:textId="77777777" w:rsidR="006031D6" w:rsidRDefault="006031D6" w:rsidP="00CA23D0">
      <w:pPr>
        <w:jc w:val="both"/>
        <w:rPr>
          <w:rFonts w:ascii="Arial" w:hAnsi="Arial" w:cs="Arial"/>
          <w:sz w:val="22"/>
        </w:rPr>
      </w:pPr>
    </w:p>
    <w:p w14:paraId="134EA760" w14:textId="77777777" w:rsidR="006031D6" w:rsidRDefault="006031D6" w:rsidP="00CA23D0">
      <w:pPr>
        <w:jc w:val="both"/>
        <w:rPr>
          <w:rFonts w:ascii="Arial" w:hAnsi="Arial" w:cs="Arial"/>
          <w:sz w:val="22"/>
        </w:rPr>
      </w:pPr>
    </w:p>
    <w:p w14:paraId="4B77C579" w14:textId="77777777" w:rsidR="006031D6" w:rsidRDefault="006031D6" w:rsidP="00CA23D0">
      <w:pPr>
        <w:jc w:val="both"/>
        <w:rPr>
          <w:rFonts w:ascii="Arial" w:hAnsi="Arial" w:cs="Arial"/>
          <w:sz w:val="22"/>
        </w:rPr>
      </w:pPr>
    </w:p>
    <w:p w14:paraId="4CDF8441" w14:textId="77777777" w:rsidR="006031D6" w:rsidRDefault="006031D6" w:rsidP="00CA23D0">
      <w:pPr>
        <w:jc w:val="both"/>
        <w:rPr>
          <w:rFonts w:ascii="Arial" w:hAnsi="Arial" w:cs="Arial"/>
          <w:sz w:val="22"/>
        </w:rPr>
      </w:pPr>
    </w:p>
    <w:p w14:paraId="35E18E86" w14:textId="77777777" w:rsidR="006031D6" w:rsidRDefault="006031D6" w:rsidP="00CA23D0">
      <w:pPr>
        <w:jc w:val="both"/>
        <w:rPr>
          <w:rFonts w:ascii="Arial" w:hAnsi="Arial" w:cs="Arial"/>
          <w:sz w:val="22"/>
        </w:rPr>
      </w:pPr>
    </w:p>
    <w:p w14:paraId="29258D83" w14:textId="77777777" w:rsidR="006031D6" w:rsidRDefault="006031D6" w:rsidP="00CA23D0">
      <w:pPr>
        <w:jc w:val="both"/>
        <w:rPr>
          <w:rFonts w:ascii="Arial" w:hAnsi="Arial" w:cs="Arial"/>
          <w:sz w:val="22"/>
        </w:rPr>
      </w:pPr>
    </w:p>
    <w:p w14:paraId="20B2A479" w14:textId="77777777" w:rsidR="006031D6" w:rsidRDefault="006031D6" w:rsidP="00CA23D0">
      <w:pPr>
        <w:jc w:val="both"/>
        <w:rPr>
          <w:rFonts w:ascii="Arial" w:hAnsi="Arial" w:cs="Arial"/>
          <w:sz w:val="22"/>
        </w:rPr>
      </w:pPr>
    </w:p>
    <w:p w14:paraId="005C6D2F" w14:textId="77777777" w:rsidR="006031D6" w:rsidRDefault="006031D6" w:rsidP="00CA23D0">
      <w:pPr>
        <w:jc w:val="both"/>
        <w:rPr>
          <w:rFonts w:ascii="Arial" w:hAnsi="Arial" w:cs="Arial"/>
          <w:sz w:val="22"/>
        </w:rPr>
      </w:pPr>
    </w:p>
    <w:p w14:paraId="74D55287" w14:textId="77777777" w:rsidR="006031D6" w:rsidRDefault="006031D6" w:rsidP="00CA23D0">
      <w:pPr>
        <w:jc w:val="both"/>
        <w:rPr>
          <w:rFonts w:ascii="Arial" w:hAnsi="Arial" w:cs="Arial"/>
          <w:sz w:val="22"/>
        </w:rPr>
      </w:pPr>
    </w:p>
    <w:p w14:paraId="36CBF690" w14:textId="77777777" w:rsidR="006031D6" w:rsidRDefault="006031D6" w:rsidP="00361E58">
      <w:pPr>
        <w:jc w:val="center"/>
        <w:rPr>
          <w:rFonts w:ascii="Arial" w:hAnsi="Arial" w:cs="Arial"/>
          <w:sz w:val="22"/>
        </w:rPr>
      </w:pPr>
    </w:p>
    <w:p w14:paraId="49BEBB5E" w14:textId="77777777" w:rsidR="006031D6" w:rsidRDefault="006031D6" w:rsidP="00CA23D0">
      <w:pPr>
        <w:jc w:val="both"/>
        <w:rPr>
          <w:rFonts w:ascii="Arial" w:hAnsi="Arial" w:cs="Arial"/>
          <w:sz w:val="22"/>
        </w:rPr>
      </w:pPr>
    </w:p>
    <w:p w14:paraId="3526E2CF" w14:textId="77777777" w:rsidR="006031D6" w:rsidRDefault="006031D6" w:rsidP="00CA23D0">
      <w:pPr>
        <w:jc w:val="both"/>
        <w:rPr>
          <w:rFonts w:ascii="Arial" w:hAnsi="Arial" w:cs="Arial"/>
          <w:sz w:val="22"/>
        </w:rPr>
      </w:pPr>
    </w:p>
    <w:p w14:paraId="2FD7FAFD" w14:textId="77777777" w:rsidR="006031D6" w:rsidRDefault="006031D6" w:rsidP="00CA23D0">
      <w:pPr>
        <w:jc w:val="both"/>
        <w:rPr>
          <w:rFonts w:ascii="Arial" w:hAnsi="Arial" w:cs="Arial"/>
          <w:sz w:val="22"/>
        </w:rPr>
      </w:pPr>
    </w:p>
    <w:p w14:paraId="0BC482F2" w14:textId="77777777" w:rsidR="006031D6" w:rsidRDefault="006031D6" w:rsidP="00CA23D0">
      <w:pPr>
        <w:jc w:val="both"/>
        <w:rPr>
          <w:rFonts w:ascii="Arial" w:hAnsi="Arial" w:cs="Arial"/>
          <w:sz w:val="22"/>
        </w:rPr>
      </w:pPr>
    </w:p>
    <w:p w14:paraId="0CE038E3" w14:textId="77777777" w:rsidR="006031D6" w:rsidRDefault="006031D6" w:rsidP="00CA23D0">
      <w:pPr>
        <w:jc w:val="both"/>
        <w:rPr>
          <w:rFonts w:ascii="Arial" w:hAnsi="Arial" w:cs="Arial"/>
          <w:sz w:val="22"/>
        </w:rPr>
      </w:pPr>
    </w:p>
    <w:p w14:paraId="10F30E12" w14:textId="77777777" w:rsidR="006031D6" w:rsidRDefault="006031D6" w:rsidP="00CA23D0">
      <w:pPr>
        <w:jc w:val="both"/>
        <w:rPr>
          <w:rFonts w:ascii="Arial" w:hAnsi="Arial" w:cs="Arial"/>
          <w:sz w:val="22"/>
        </w:rPr>
      </w:pPr>
    </w:p>
    <w:p w14:paraId="576F8574" w14:textId="77777777" w:rsidR="006031D6" w:rsidRDefault="006031D6" w:rsidP="00CA23D0">
      <w:pPr>
        <w:jc w:val="both"/>
        <w:rPr>
          <w:rFonts w:ascii="Arial" w:hAnsi="Arial" w:cs="Arial"/>
          <w:sz w:val="22"/>
        </w:rPr>
      </w:pPr>
    </w:p>
    <w:p w14:paraId="6C5FA6D4" w14:textId="77777777" w:rsidR="006031D6" w:rsidRDefault="006031D6" w:rsidP="00CA23D0">
      <w:pPr>
        <w:jc w:val="both"/>
        <w:rPr>
          <w:rFonts w:ascii="Arial" w:hAnsi="Arial" w:cs="Arial"/>
          <w:sz w:val="22"/>
        </w:rPr>
      </w:pPr>
    </w:p>
    <w:p w14:paraId="2C8FFE3D" w14:textId="77777777" w:rsidR="006031D6" w:rsidRDefault="006031D6" w:rsidP="00CA23D0">
      <w:pPr>
        <w:jc w:val="both"/>
        <w:rPr>
          <w:rFonts w:ascii="Arial" w:hAnsi="Arial" w:cs="Arial"/>
          <w:sz w:val="22"/>
        </w:rPr>
      </w:pPr>
    </w:p>
    <w:p w14:paraId="2B19414E" w14:textId="77777777" w:rsidR="006031D6" w:rsidRPr="006031D6" w:rsidRDefault="006031D6" w:rsidP="006031D6">
      <w:pPr>
        <w:keepNext/>
        <w:keepLines/>
        <w:suppressAutoHyphens w:val="0"/>
        <w:autoSpaceDE w:val="0"/>
        <w:autoSpaceDN w:val="0"/>
        <w:adjustRightInd w:val="0"/>
        <w:spacing w:before="141" w:after="73"/>
        <w:jc w:val="both"/>
        <w:rPr>
          <w:rFonts w:ascii="Arial" w:hAnsi="Arial" w:cs="Arial"/>
          <w:b/>
          <w:bCs/>
          <w:caps/>
          <w:color w:val="000000"/>
          <w:sz w:val="44"/>
          <w:szCs w:val="44"/>
          <w:lang w:eastAsia="cs-CZ"/>
        </w:rPr>
      </w:pPr>
      <w:r w:rsidRPr="006031D6">
        <w:rPr>
          <w:rFonts w:ascii="Arial" w:hAnsi="Arial" w:cs="Arial"/>
          <w:b/>
          <w:bCs/>
          <w:caps/>
          <w:color w:val="000000"/>
          <w:sz w:val="48"/>
          <w:szCs w:val="48"/>
          <w:lang w:eastAsia="cs-CZ"/>
        </w:rPr>
        <w:t xml:space="preserve">D. Chráněná území a objekty </w:t>
      </w:r>
      <w:r w:rsidRPr="006031D6">
        <w:rPr>
          <w:rFonts w:ascii="Arial" w:hAnsi="Arial" w:cs="Arial"/>
          <w:b/>
          <w:bCs/>
          <w:caps/>
          <w:color w:val="000000"/>
          <w:sz w:val="48"/>
          <w:szCs w:val="48"/>
          <w:lang w:eastAsia="cs-CZ"/>
        </w:rPr>
        <w:br/>
        <w:t xml:space="preserve">     ochranná pásma</w:t>
      </w:r>
    </w:p>
    <w:p w14:paraId="02EB0A55" w14:textId="77777777" w:rsidR="006031D6" w:rsidRPr="006031D6" w:rsidRDefault="006031D6" w:rsidP="006031D6">
      <w:pPr>
        <w:suppressAutoHyphens w:val="0"/>
        <w:autoSpaceDE w:val="0"/>
        <w:autoSpaceDN w:val="0"/>
        <w:adjustRightInd w:val="0"/>
        <w:ind w:firstLine="567"/>
        <w:jc w:val="both"/>
        <w:rPr>
          <w:rFonts w:ascii="Arial" w:hAnsi="Arial" w:cs="Arial"/>
          <w:color w:val="000000"/>
          <w:sz w:val="20"/>
          <w:szCs w:val="20"/>
          <w:lang w:eastAsia="cs-CZ"/>
        </w:rPr>
      </w:pPr>
    </w:p>
    <w:p w14:paraId="0DF80CD0" w14:textId="77777777" w:rsidR="006031D6" w:rsidRPr="006031D6" w:rsidRDefault="006031D6" w:rsidP="006031D6">
      <w:pPr>
        <w:suppressAutoHyphens w:val="0"/>
        <w:autoSpaceDE w:val="0"/>
        <w:autoSpaceDN w:val="0"/>
        <w:adjustRightInd w:val="0"/>
        <w:ind w:firstLine="567"/>
        <w:jc w:val="both"/>
        <w:rPr>
          <w:rFonts w:ascii="Arial" w:hAnsi="Arial" w:cs="Arial"/>
          <w:color w:val="000000"/>
          <w:sz w:val="20"/>
          <w:szCs w:val="20"/>
          <w:lang w:eastAsia="cs-CZ"/>
        </w:rPr>
      </w:pPr>
    </w:p>
    <w:p w14:paraId="0010484F" w14:textId="77777777" w:rsidR="006031D6" w:rsidRPr="006031D6" w:rsidRDefault="006031D6" w:rsidP="006031D6">
      <w:pPr>
        <w:suppressAutoHyphens w:val="0"/>
        <w:autoSpaceDE w:val="0"/>
        <w:autoSpaceDN w:val="0"/>
        <w:adjustRightInd w:val="0"/>
        <w:spacing w:before="56" w:after="56"/>
        <w:ind w:left="680" w:hanging="680"/>
        <w:jc w:val="both"/>
        <w:rPr>
          <w:rFonts w:ascii="Arial" w:hAnsi="Arial" w:cs="Arial"/>
          <w:b/>
          <w:bCs/>
          <w:caps/>
          <w:color w:val="000000"/>
          <w:sz w:val="32"/>
          <w:szCs w:val="32"/>
          <w:lang w:eastAsia="cs-CZ"/>
        </w:rPr>
      </w:pPr>
      <w:r w:rsidRPr="006031D6">
        <w:rPr>
          <w:rFonts w:ascii="Arial" w:hAnsi="Arial" w:cs="Arial"/>
          <w:b/>
          <w:bCs/>
          <w:caps/>
          <w:color w:val="000000"/>
          <w:sz w:val="32"/>
          <w:szCs w:val="32"/>
          <w:lang w:eastAsia="cs-CZ"/>
        </w:rPr>
        <w:t>d1. Ochrana přírody</w:t>
      </w:r>
    </w:p>
    <w:p w14:paraId="0BB2A06C"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Řešené území města Děčína leží na rozhraní dvou chráněných krajinných oblastí - Českého středohoří a Labských pískovců. Hranice prochází přímo zastavěným územím města. Pro zachování krajinného a přírodního prostředí je veškerá činnost v území regulována. </w:t>
      </w:r>
    </w:p>
    <w:p w14:paraId="5EC0F8AB" w14:textId="77777777" w:rsid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p>
    <w:p w14:paraId="2C10B0C7"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CHKO České středohoří je svojí rozlohou nejrozsáhlejší krajinnou oblastí v republice. Ve značné výškové členitosti v teplé a poměrně suché oblasti se vytvořila velice rozmanitá rostlinná a živočišná společenstva, dochovaly se zde na řadě míst dnes chráněné zbytky původní vegetace. </w:t>
      </w:r>
    </w:p>
    <w:p w14:paraId="175A7ED6" w14:textId="77777777" w:rsid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p>
    <w:p w14:paraId="05C0A898"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Vyhlášené chráněné území přírody je v Březinách - národní přírodní památka Březinské tisy, společenstva břehových porostů v nivě Labe jsou chráněna u Nebočad - přírodní památka Nebočadský luh. V přípravě je vyhlášení chráněného území v  k.ú. Nová Bohyně - orchideové louky, v  k.ú. Dolní Žleb "Štěrkopískový náplav u Dolního Žlebu", přírodní památky "Rybník u Králova mlýna" (Mlýnský rybník v k.ú. Maxičky v přípravě) a národní přírodní rezervace "Kaňon Labe" v  pravobřežní části labského údolí od Loubí až po ústí Suché Kamenice do Labe. Tato rezervace je již mimo řešené území. </w:t>
      </w:r>
    </w:p>
    <w:p w14:paraId="4B108252" w14:textId="77777777" w:rsid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p>
    <w:p w14:paraId="536458FB"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Mimo tato chráněná území přírody je zde ještě řada drobných lokalit s výskytem chráněných druhů rostlin, jako např. Podzimní louky u Popovic, louky u Horního Oldřichova, louky v  Prostředním Žlebu, a v  Maxičkách. U všech těchto lokalit je třeba zajistit pravidelné sečení, které tyto rostliny potřebují ke svému přežití. </w:t>
      </w:r>
    </w:p>
    <w:p w14:paraId="4BB6832E" w14:textId="77777777" w:rsid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33D34810"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0"/>
          <w:szCs w:val="22"/>
          <w:lang w:eastAsia="cs-CZ"/>
        </w:rPr>
      </w:pPr>
      <w:r w:rsidRPr="006031D6">
        <w:rPr>
          <w:rFonts w:ascii="Arial" w:hAnsi="Arial" w:cs="Arial"/>
          <w:b/>
          <w:bCs/>
          <w:color w:val="000000"/>
          <w:sz w:val="20"/>
          <w:szCs w:val="22"/>
          <w:lang w:eastAsia="cs-CZ"/>
        </w:rPr>
        <w:t>V  řešeném území jsou vyhlášené tyto památné stromy:</w:t>
      </w:r>
    </w:p>
    <w:p w14:paraId="4B806B2C"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0"/>
          <w:szCs w:val="22"/>
          <w:lang w:eastAsia="cs-CZ"/>
        </w:rPr>
      </w:pPr>
      <w:r w:rsidRPr="006031D6">
        <w:rPr>
          <w:rFonts w:ascii="Arial" w:hAnsi="Arial" w:cs="Arial"/>
          <w:color w:val="000000"/>
          <w:sz w:val="20"/>
          <w:szCs w:val="22"/>
          <w:lang w:eastAsia="cs-CZ"/>
        </w:rPr>
        <w:t xml:space="preserve">CHKO Labské pískovce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Bynov - dub lesní (pč.1099)</w:t>
      </w:r>
    </w:p>
    <w:p w14:paraId="189C5D44"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Děčín – skupina stromů pod Stoliční horou (pč.655)</w:t>
      </w:r>
    </w:p>
    <w:p w14:paraId="41B2AADB"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t>Děčín – buk lesní (pč.2847)</w:t>
      </w:r>
    </w:p>
    <w:p w14:paraId="7E517363"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t>Podmokly – tis červený (82/1)</w:t>
      </w:r>
    </w:p>
    <w:p w14:paraId="15C4A962"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0"/>
          <w:szCs w:val="22"/>
          <w:lang w:eastAsia="cs-CZ"/>
        </w:rPr>
      </w:pPr>
      <w:r w:rsidRPr="006031D6">
        <w:rPr>
          <w:rFonts w:ascii="Arial" w:hAnsi="Arial" w:cs="Arial"/>
          <w:color w:val="000000"/>
          <w:sz w:val="20"/>
          <w:szCs w:val="22"/>
          <w:lang w:eastAsia="cs-CZ"/>
        </w:rPr>
        <w:t xml:space="preserve">CHKO České středohoří  </w:t>
      </w:r>
      <w:r w:rsidRPr="006031D6">
        <w:rPr>
          <w:rFonts w:ascii="Arial" w:hAnsi="Arial" w:cs="Arial"/>
          <w:color w:val="000000"/>
          <w:sz w:val="20"/>
          <w:szCs w:val="22"/>
          <w:lang w:eastAsia="cs-CZ"/>
        </w:rPr>
        <w:tab/>
        <w:t>Boletice - skupina stromů (pč.16)</w:t>
      </w:r>
    </w:p>
    <w:p w14:paraId="34A2D75D"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Podmokly - platan javorolistý (pč.2660)</w:t>
      </w:r>
    </w:p>
    <w:p w14:paraId="662CDE8E"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Podmokly - jasan dvoulaločný (811)</w:t>
      </w:r>
    </w:p>
    <w:p w14:paraId="6262CA45"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Podmokly - tisovec dvouřadý (821)</w:t>
      </w:r>
    </w:p>
    <w:p w14:paraId="02F6AD5C"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0"/>
          <w:szCs w:val="22"/>
          <w:lang w:eastAsia="cs-CZ"/>
        </w:rPr>
      </w:pPr>
      <w:r w:rsidRPr="006031D6">
        <w:rPr>
          <w:rFonts w:ascii="Arial" w:hAnsi="Arial" w:cs="Arial"/>
          <w:color w:val="000000"/>
          <w:sz w:val="20"/>
          <w:szCs w:val="22"/>
          <w:lang w:eastAsia="cs-CZ"/>
        </w:rPr>
        <w:lastRenderedPageBreak/>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Podmokly - skupina stromů (963,964/1)</w:t>
      </w:r>
    </w:p>
    <w:p w14:paraId="4C65524D"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Děčín – liliovník tulipán. (105)</w:t>
      </w:r>
    </w:p>
    <w:p w14:paraId="6613306F"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18"/>
          <w:szCs w:val="22"/>
          <w:lang w:eastAsia="cs-CZ"/>
        </w:rPr>
      </w:pPr>
      <w:r w:rsidRPr="006031D6">
        <w:rPr>
          <w:rFonts w:ascii="Arial" w:hAnsi="Arial" w:cs="Arial"/>
          <w:color w:val="000000"/>
          <w:sz w:val="20"/>
          <w:szCs w:val="22"/>
          <w:lang w:eastAsia="cs-CZ"/>
        </w:rPr>
        <w:t xml:space="preserve">                                      </w:t>
      </w:r>
      <w:r>
        <w:rPr>
          <w:rFonts w:ascii="Arial" w:hAnsi="Arial" w:cs="Arial"/>
          <w:color w:val="000000"/>
          <w:sz w:val="20"/>
          <w:szCs w:val="22"/>
          <w:lang w:eastAsia="cs-CZ"/>
        </w:rPr>
        <w:tab/>
      </w:r>
      <w:r w:rsidRPr="006031D6">
        <w:rPr>
          <w:rFonts w:ascii="Arial" w:hAnsi="Arial" w:cs="Arial"/>
          <w:color w:val="000000"/>
          <w:sz w:val="20"/>
          <w:szCs w:val="22"/>
          <w:lang w:eastAsia="cs-CZ"/>
        </w:rPr>
        <w:tab/>
        <w:t>Děčín – tis červený (2346)</w:t>
      </w:r>
    </w:p>
    <w:p w14:paraId="093608B7"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Děčín – skupina stromů (2390/1)</w:t>
      </w:r>
    </w:p>
    <w:p w14:paraId="78F907A7"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Děčín – tisovec dvouřadý (2395)</w:t>
      </w:r>
    </w:p>
    <w:p w14:paraId="04A79432"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Děčín – buk lesní (2346)</w:t>
      </w:r>
    </w:p>
    <w:p w14:paraId="2BED05D3"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Děčín – jínan dvoulaločný (2350)</w:t>
      </w:r>
    </w:p>
    <w:p w14:paraId="3F054A51"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Děčín - dub červený (2944)</w:t>
      </w:r>
    </w:p>
    <w:p w14:paraId="4900D706"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Děčín – platan javorolistý, borovice (2401/1)</w:t>
      </w:r>
    </w:p>
    <w:p w14:paraId="4045D39A"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Děčín – jilm vaz (2924)</w:t>
      </w:r>
    </w:p>
    <w:p w14:paraId="51D38D4A"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Březiny – skupina stromů (847/2)</w:t>
      </w:r>
    </w:p>
    <w:p w14:paraId="3BE041A0"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Březiny – skupina stromů (332/1)</w:t>
      </w:r>
    </w:p>
    <w:p w14:paraId="254266A0"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0"/>
          <w:szCs w:val="22"/>
          <w:lang w:eastAsia="cs-CZ"/>
        </w:rPr>
      </w:pP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 xml:space="preserve">    </w:t>
      </w:r>
      <w:r w:rsidRPr="006031D6">
        <w:rPr>
          <w:rFonts w:ascii="Arial" w:hAnsi="Arial" w:cs="Arial"/>
          <w:color w:val="000000"/>
          <w:sz w:val="20"/>
          <w:szCs w:val="22"/>
          <w:lang w:eastAsia="cs-CZ"/>
        </w:rPr>
        <w:tab/>
      </w:r>
      <w:r w:rsidRPr="006031D6">
        <w:rPr>
          <w:rFonts w:ascii="Arial" w:hAnsi="Arial" w:cs="Arial"/>
          <w:color w:val="000000"/>
          <w:sz w:val="20"/>
          <w:szCs w:val="22"/>
          <w:lang w:eastAsia="cs-CZ"/>
        </w:rPr>
        <w:tab/>
        <w:t>Březiny – jínan dvoulaločný (332/1)</w:t>
      </w:r>
    </w:p>
    <w:p w14:paraId="7F67D73F"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Tyto památné stromy mají dle zákona 114/92 Sb., § 46, odst. 3 ochranné pásmo, rovnající se kruhu o poloměru desetinásobku průměru kmene měřeného ve výšce 130 cm nad zemí.</w:t>
      </w:r>
    </w:p>
    <w:p w14:paraId="4DB984E5"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CHKO Labské pískovce je atraktivním územím, s velkým množstvím skalnatých útvarů, vzniklých erozivní činností vody a větru na pískovém podloží. Vegetační kryt není tak bohatý jako v Českém středohoří, na pískovcových hřbetech se vyskytují zbytky původních borových porostů a některé chráněné rostliny. </w:t>
      </w:r>
    </w:p>
    <w:p w14:paraId="612C2C84" w14:textId="77777777" w:rsid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p>
    <w:p w14:paraId="76B4B04C"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p>
    <w:p w14:paraId="0CDC467A" w14:textId="77777777" w:rsidR="006031D6" w:rsidRPr="006031D6" w:rsidRDefault="006031D6" w:rsidP="006031D6">
      <w:pPr>
        <w:suppressAutoHyphens w:val="0"/>
        <w:autoSpaceDE w:val="0"/>
        <w:autoSpaceDN w:val="0"/>
        <w:adjustRightInd w:val="0"/>
        <w:spacing w:before="120" w:line="288" w:lineRule="auto"/>
        <w:jc w:val="both"/>
        <w:rPr>
          <w:rFonts w:ascii="Arial" w:hAnsi="Arial" w:cs="Arial"/>
          <w:b/>
          <w:bCs/>
          <w:caps/>
          <w:color w:val="000000"/>
          <w:sz w:val="22"/>
          <w:szCs w:val="22"/>
          <w:lang w:eastAsia="cs-CZ"/>
        </w:rPr>
      </w:pPr>
      <w:r w:rsidRPr="006031D6">
        <w:rPr>
          <w:rFonts w:ascii="Arial" w:hAnsi="Arial" w:cs="Arial"/>
          <w:b/>
          <w:bCs/>
          <w:caps/>
          <w:color w:val="000000"/>
          <w:sz w:val="22"/>
          <w:szCs w:val="22"/>
          <w:lang w:eastAsia="cs-CZ"/>
        </w:rPr>
        <w:t>Zónování CHKO</w:t>
      </w:r>
    </w:p>
    <w:p w14:paraId="79887B53"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V oborových dokumentech obou CHKO jsou vymezeny zóny, které podle zachovalosti přírodních a krajinářských hodnot rozdělilo celé území </w:t>
      </w:r>
      <w:r w:rsidRPr="006031D6">
        <w:rPr>
          <w:rFonts w:ascii="Arial" w:hAnsi="Arial" w:cs="Arial"/>
          <w:b/>
          <w:bCs/>
          <w:color w:val="000000"/>
          <w:sz w:val="22"/>
          <w:szCs w:val="22"/>
          <w:lang w:eastAsia="cs-CZ"/>
        </w:rPr>
        <w:t>na čtyři základní zóny</w:t>
      </w:r>
      <w:r w:rsidRPr="006031D6">
        <w:rPr>
          <w:rFonts w:ascii="Arial" w:hAnsi="Arial" w:cs="Arial"/>
          <w:color w:val="000000"/>
          <w:sz w:val="22"/>
          <w:szCs w:val="22"/>
          <w:lang w:eastAsia="cs-CZ"/>
        </w:rPr>
        <w:t>. První zóna je nejdochovalejší a nejhodnotnější částí území, s nejvyšší esteticko - krajinářskou úrovní, s převažujícími přirozenými ekosystémy. Ve druhé a třetí zóně tyto hodnoty postupně klesají, čtvrtá zóna je urbanizované území s nejméně dochovalou krajinářskou hodnotou, s větším počtem sídel, zemědělským využitím a technickými díly.</w:t>
      </w:r>
    </w:p>
    <w:p w14:paraId="03F02A86"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Vymezení zón bylo upřesněno správou CHKO a převzato do územního plánu. První zóna v CHKO Labské pískovce je v řešeném území zastoupena prudkým kaňonovitým pravobřežním údolím Labe od Loubí až po Hřensko. Druhá levobřežní část údolí je ve druhé zóně, od Dolního Žlebu pokračuje směrem ke státní hranici jako první zóna. Vrcholové partie jsou ve třetí zóně. Zastavěné území Jílovského potoka, vlastní město Děčín až po Prostřední Žleb a údolí Ploučnice jsou ve čtvrté zóně.</w:t>
      </w:r>
    </w:p>
    <w:p w14:paraId="2F9C0476"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V CHKO České středohoří druhá zóna přechází z okr. Ústí n. Labem po pravé straně labského údolí, kde je velmi členitý terén, přes k.ú. Jakuby, Horní Chlum až k Děčínu. Značná výšková členitost zde vytváří atraktivní krajinu se zachovalým přírodním prostředím. Na </w:t>
      </w:r>
      <w:r w:rsidRPr="006031D6">
        <w:rPr>
          <w:rFonts w:ascii="Arial" w:hAnsi="Arial" w:cs="Arial"/>
          <w:color w:val="000000"/>
          <w:sz w:val="22"/>
          <w:szCs w:val="22"/>
          <w:lang w:eastAsia="cs-CZ"/>
        </w:rPr>
        <w:lastRenderedPageBreak/>
        <w:t>levobřežní části je zalesněná oblast zařazena do třetí zóny /Chmelník, Klobouk/, odkud přechází do okr. Ústí n. L.</w:t>
      </w:r>
    </w:p>
    <w:p w14:paraId="0F63FC09"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Zónování bylo provedeno na základě nového zákona o ochraně přírody č. 114/1992 Sb. Každá zóna má svůj řád, který musí respektovat všichni uživatelé území. Nejpřísnější režim ochrany má první zóna. První a druhá zóna jsou limitujícími faktory pro využití území.</w:t>
      </w:r>
    </w:p>
    <w:p w14:paraId="09C89E98"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Ochranná pásma těžby pro nepřítomnost ložisek nerostných surovin zde nejsou.</w:t>
      </w:r>
    </w:p>
    <w:p w14:paraId="7078DEF8"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b/>
          <w:bCs/>
          <w:color w:val="000000"/>
          <w:sz w:val="22"/>
          <w:szCs w:val="22"/>
          <w:lang w:eastAsia="cs-CZ"/>
        </w:rPr>
        <w:t>Veškeré prvky lokálního i regionálního systému ekologické stability jsou ze zákona chráněny /zákon č. 114/1992 Sb./ a tedy nezastavitelné, limitující jakoukoliv činnost v krajině.</w:t>
      </w:r>
    </w:p>
    <w:p w14:paraId="680EC14F"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p>
    <w:p w14:paraId="191ADF39" w14:textId="77777777" w:rsidR="006031D6" w:rsidRPr="006031D6" w:rsidRDefault="006031D6" w:rsidP="006031D6">
      <w:pPr>
        <w:suppressAutoHyphens w:val="0"/>
        <w:autoSpaceDE w:val="0"/>
        <w:autoSpaceDN w:val="0"/>
        <w:adjustRightInd w:val="0"/>
        <w:spacing w:before="56" w:after="56"/>
        <w:ind w:left="680" w:hanging="680"/>
        <w:jc w:val="both"/>
        <w:rPr>
          <w:rFonts w:ascii="Arial" w:hAnsi="Arial" w:cs="Arial"/>
          <w:b/>
          <w:bCs/>
          <w:caps/>
          <w:color w:val="000000"/>
          <w:sz w:val="32"/>
          <w:szCs w:val="32"/>
          <w:lang w:eastAsia="cs-CZ"/>
        </w:rPr>
      </w:pPr>
      <w:r w:rsidRPr="006031D6">
        <w:rPr>
          <w:rFonts w:ascii="Arial" w:hAnsi="Arial" w:cs="Arial"/>
          <w:b/>
          <w:bCs/>
          <w:caps/>
          <w:color w:val="000000"/>
          <w:sz w:val="32"/>
          <w:szCs w:val="32"/>
          <w:lang w:eastAsia="cs-CZ"/>
        </w:rPr>
        <w:t>d2. KULTURNÍ PAMÁTKY</w:t>
      </w:r>
    </w:p>
    <w:p w14:paraId="36F25A49" w14:textId="77777777" w:rsidR="006031D6" w:rsidRPr="006031D6" w:rsidRDefault="006031D6" w:rsidP="006031D6">
      <w:pPr>
        <w:suppressAutoHyphens w:val="0"/>
        <w:autoSpaceDE w:val="0"/>
        <w:autoSpaceDN w:val="0"/>
        <w:adjustRightInd w:val="0"/>
        <w:ind w:firstLine="567"/>
        <w:jc w:val="both"/>
        <w:rPr>
          <w:rFonts w:ascii="Arial" w:hAnsi="Arial" w:cs="Arial"/>
          <w:color w:val="000000"/>
          <w:sz w:val="20"/>
          <w:szCs w:val="20"/>
          <w:lang w:eastAsia="cs-CZ"/>
        </w:rPr>
      </w:pPr>
      <w:r w:rsidRPr="006031D6">
        <w:rPr>
          <w:rFonts w:ascii="Arial" w:hAnsi="Arial" w:cs="Arial"/>
          <w:b/>
          <w:bCs/>
          <w:color w:val="000000"/>
          <w:sz w:val="20"/>
          <w:szCs w:val="20"/>
          <w:lang w:eastAsia="cs-CZ"/>
        </w:rPr>
        <w:t>(dle ústředního seznamu nemovitých kulturních památek)</w:t>
      </w:r>
    </w:p>
    <w:p w14:paraId="0A7E6E6D"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Bělá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4104</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areál kostela sv. Františka Xaverského</w:t>
      </w:r>
    </w:p>
    <w:p w14:paraId="2F5EFF26"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4104/1</w:t>
      </w:r>
      <w:r w:rsidRPr="006031D6">
        <w:rPr>
          <w:rFonts w:ascii="Arial" w:hAnsi="Arial" w:cs="Arial"/>
          <w:color w:val="000000"/>
          <w:sz w:val="22"/>
          <w:szCs w:val="22"/>
          <w:lang w:eastAsia="cs-CZ"/>
        </w:rPr>
        <w:tab/>
        <w:t xml:space="preserve">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kostel sv. Františka Xaverského</w:t>
      </w:r>
    </w:p>
    <w:p w14:paraId="6A6F2D71"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4104/2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fara č. p. 74 </w:t>
      </w:r>
    </w:p>
    <w:p w14:paraId="462F43AF"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4105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25/65 </w:t>
      </w:r>
    </w:p>
    <w:p w14:paraId="1E445F2D"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4106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30/84 </w:t>
      </w:r>
    </w:p>
    <w:p w14:paraId="40040994"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Březiny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3604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kaple</w:t>
      </w:r>
    </w:p>
    <w:p w14:paraId="75F0507F"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3606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chalupa č. 7</w:t>
      </w:r>
    </w:p>
    <w:p w14:paraId="1F4D2142"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Bynov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boží muka </w:t>
      </w:r>
    </w:p>
    <w:p w14:paraId="6D01A409"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4109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zámek č. p. 8</w:t>
      </w:r>
    </w:p>
    <w:p w14:paraId="72FEDCE9"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5410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dům č. p. 75</w:t>
      </w:r>
    </w:p>
    <w:p w14:paraId="366DC95C"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Děčín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5053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archeolog. památka - lokalita zaniklého města</w:t>
      </w:r>
    </w:p>
    <w:p w14:paraId="2CD2ABDC"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3603</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Matouše </w:t>
      </w:r>
    </w:p>
    <w:p w14:paraId="2917DDCE"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3608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Marka </w:t>
      </w:r>
    </w:p>
    <w:p w14:paraId="13A4FB3C"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3973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Antonína </w:t>
      </w:r>
    </w:p>
    <w:p w14:paraId="3B46E6A4"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areál zámku č. p. 1 </w:t>
      </w:r>
    </w:p>
    <w:p w14:paraId="2A0B041C"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4082/1</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zámek č. p. 1 </w:t>
      </w:r>
    </w:p>
    <w:p w14:paraId="03A97A8C"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4082/2</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most s 2 kašnami a sochami </w:t>
      </w:r>
    </w:p>
    <w:p w14:paraId="17CEEE3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příkop</w:t>
      </w:r>
    </w:p>
    <w:p w14:paraId="7895143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4082/4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mostní cesta </w:t>
      </w:r>
    </w:p>
    <w:p w14:paraId="0A3534DC"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4082/5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terasa tzv. Dělová zahrada </w:t>
      </w:r>
    </w:p>
    <w:p w14:paraId="36399C49"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4082/6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terasa - jižní </w:t>
      </w:r>
    </w:p>
    <w:p w14:paraId="5B2D777B"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terasa - severní</w:t>
      </w:r>
    </w:p>
    <w:p w14:paraId="7A4D9727"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4082/8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hlavní brána </w:t>
      </w:r>
    </w:p>
    <w:p w14:paraId="0DAC9B79"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4082/9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dům č. p. 2 </w:t>
      </w:r>
    </w:p>
    <w:p w14:paraId="31D51E71"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4082/10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dům č. p. 3 </w:t>
      </w:r>
    </w:p>
    <w:p w14:paraId="57FD9257"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4082/11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dům č. p. 4 </w:t>
      </w:r>
    </w:p>
    <w:p w14:paraId="35E403C6"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lastRenderedPageBreak/>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4082/12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dům č. p. 5 </w:t>
      </w:r>
    </w:p>
    <w:p w14:paraId="0771998D"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4082/13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terasy se schodišti </w:t>
      </w:r>
    </w:p>
    <w:p w14:paraId="2C1C68CD"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4082/14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zahrada </w:t>
      </w:r>
    </w:p>
    <w:p w14:paraId="58ED4B40"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4082/15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zahradní pavilon č. p. 17 </w:t>
      </w:r>
    </w:p>
    <w:p w14:paraId="226CBABB"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4082/16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terasní ohradní zeď </w:t>
      </w:r>
    </w:p>
    <w:p w14:paraId="404461AA"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4082/17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soubor 2 zásobních zahrad s ohradními zdmi </w:t>
      </w:r>
    </w:p>
    <w:p w14:paraId="1A638669"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4082/18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jízdárna </w:t>
      </w:r>
    </w:p>
    <w:p w14:paraId="772820D7"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4082/19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sýpka č. p. 21 </w:t>
      </w:r>
    </w:p>
    <w:p w14:paraId="5980C8DF"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4082/20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ohradní zeď </w:t>
      </w:r>
    </w:p>
    <w:p w14:paraId="3CA6FB16"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pacing w:val="-6"/>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4082/21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pacing w:val="-6"/>
          <w:sz w:val="22"/>
          <w:szCs w:val="22"/>
          <w:lang w:eastAsia="cs-CZ"/>
        </w:rPr>
        <w:t xml:space="preserve">komunikace s ohradními zdmi, branami a exedrami zv. </w:t>
      </w:r>
    </w:p>
    <w:p w14:paraId="6CFB604B"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Dlouhá jízda </w:t>
      </w:r>
    </w:p>
    <w:p w14:paraId="02AA0D4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4082/22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Růžová zahrada </w:t>
      </w:r>
    </w:p>
    <w:p w14:paraId="50CBB27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4082/23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salla terrena </w:t>
      </w:r>
    </w:p>
    <w:p w14:paraId="318A1AA8"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4082/24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soubor 3 branek </w:t>
      </w:r>
    </w:p>
    <w:p w14:paraId="1A2D7BF2"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4082/25</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schodiště</w:t>
      </w:r>
    </w:p>
    <w:p w14:paraId="5DF8AF61"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4082/26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jardiniery </w:t>
      </w:r>
    </w:p>
    <w:p w14:paraId="286D0C7C"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4082/27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soubor 4 váz - pův. 3746/6-9 </w:t>
      </w:r>
    </w:p>
    <w:p w14:paraId="7A84A844"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4082/28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balustráda se sochařskou výzdobou</w:t>
      </w:r>
    </w:p>
    <w:p w14:paraId="4E3833E2"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4082/29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gloriet se sochařskou výzdobou </w:t>
      </w:r>
    </w:p>
    <w:p w14:paraId="5D2B569E"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4082/30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hradební zeď se dvěma baštami</w:t>
      </w:r>
    </w:p>
    <w:p w14:paraId="62A6CC5B"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4082/31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spojovací chodba </w:t>
      </w:r>
    </w:p>
    <w:p w14:paraId="33FA9A8C"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4082/32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zámecký park </w:t>
      </w:r>
    </w:p>
    <w:p w14:paraId="3007BE62"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4082/33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řetězová lávka - pův. 4094 </w:t>
      </w:r>
    </w:p>
    <w:p w14:paraId="341F810E"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kostel sv. Kříže </w:t>
      </w:r>
    </w:p>
    <w:p w14:paraId="37A6CC8E"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4084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areál kostela sv. Václava a Blažeje </w:t>
      </w:r>
    </w:p>
    <w:p w14:paraId="15022E98"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4084/1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kostel sv. Václava a Blažeje s náhrobníkem </w:t>
      </w:r>
    </w:p>
    <w:p w14:paraId="0FC229E1"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4084/2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kaple P. Marie</w:t>
      </w:r>
      <w:r w:rsidRPr="006031D6">
        <w:rPr>
          <w:rFonts w:ascii="Arial" w:hAnsi="Arial" w:cs="Arial"/>
          <w:color w:val="000000"/>
          <w:sz w:val="22"/>
          <w:szCs w:val="22"/>
          <w:lang w:eastAsia="cs-CZ"/>
        </w:rPr>
        <w:tab/>
      </w:r>
    </w:p>
    <w:p w14:paraId="26CD5A1B"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4088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dům č. p. 4/5 Masarykovo náměstí </w:t>
      </w:r>
    </w:p>
    <w:p w14:paraId="2F068E9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4089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dům č. p. 21/14 </w:t>
      </w:r>
    </w:p>
    <w:p w14:paraId="2998BCA0"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4091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býv. špitál č. p. 12 </w:t>
      </w:r>
    </w:p>
    <w:p w14:paraId="63891F70"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4092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most se sousoším sv. Víta, sv. Jana Nepomuckého</w:t>
      </w:r>
    </w:p>
    <w:p w14:paraId="1E87F94F" w14:textId="77777777" w:rsidR="006031D6" w:rsidRPr="006031D6" w:rsidRDefault="006031D6" w:rsidP="006031D6">
      <w:pPr>
        <w:suppressAutoHyphens w:val="0"/>
        <w:autoSpaceDE w:val="0"/>
        <w:autoSpaceDN w:val="0"/>
        <w:adjustRightInd w:val="0"/>
        <w:spacing w:before="60" w:line="288" w:lineRule="auto"/>
        <w:ind w:firstLine="4253"/>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a sv. Václava </w:t>
      </w:r>
    </w:p>
    <w:p w14:paraId="61741B92"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4095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P. Marie </w:t>
      </w:r>
    </w:p>
    <w:p w14:paraId="3E52A201"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4098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nádražní budova č. p. 362  </w:t>
      </w:r>
    </w:p>
    <w:p w14:paraId="031DE4C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4747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boží muka </w:t>
      </w:r>
    </w:p>
    <w:p w14:paraId="2CDE1C54"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4748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morový sloup </w:t>
      </w:r>
    </w:p>
    <w:p w14:paraId="5FF19649"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lastRenderedPageBreak/>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4100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morový sloup</w:t>
      </w:r>
    </w:p>
    <w:p w14:paraId="521F623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5025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kašna </w:t>
      </w:r>
    </w:p>
    <w:p w14:paraId="1907767B"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5027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radnice č. p. 1 </w:t>
      </w:r>
    </w:p>
    <w:p w14:paraId="4E58FD63"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5031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30/13 </w:t>
      </w:r>
    </w:p>
    <w:p w14:paraId="46FD9B5A"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5032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29/11 </w:t>
      </w:r>
    </w:p>
    <w:p w14:paraId="0A3DA41D"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5033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chalupa č. p. 33/16</w:t>
      </w:r>
    </w:p>
    <w:p w14:paraId="79CDACE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5302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Floriana </w:t>
      </w:r>
    </w:p>
    <w:p w14:paraId="626ECE84"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5411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sklepy v č. p. 1- 3 </w:t>
      </w:r>
    </w:p>
    <w:p w14:paraId="4FF58B93"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Podmokly </w:t>
      </w:r>
      <w:r w:rsidRPr="006031D6">
        <w:rPr>
          <w:rFonts w:ascii="Arial" w:hAnsi="Arial" w:cs="Arial"/>
          <w:color w:val="000000"/>
          <w:sz w:val="22"/>
          <w:szCs w:val="22"/>
          <w:lang w:eastAsia="cs-CZ"/>
        </w:rPr>
        <w:tab/>
        <w:t xml:space="preserve">4090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mostek sv. Ovčí </w:t>
      </w:r>
    </w:p>
    <w:p w14:paraId="19F85647"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4096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Floriana </w:t>
      </w:r>
    </w:p>
    <w:p w14:paraId="6712AD6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4097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Jana Nepomuckého </w:t>
      </w:r>
    </w:p>
    <w:p w14:paraId="5292E018"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areál hrobní kaple sv. Jana Nepomuckého </w:t>
      </w:r>
    </w:p>
    <w:p w14:paraId="67ABE1D7"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hrobní kaple </w:t>
      </w:r>
    </w:p>
    <w:p w14:paraId="4803EF3D"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4102/2</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Markéty </w:t>
      </w:r>
    </w:p>
    <w:p w14:paraId="59FDD3D8"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Barbory </w:t>
      </w:r>
    </w:p>
    <w:p w14:paraId="79B4F9C1"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4102/4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Achaja </w:t>
      </w:r>
    </w:p>
    <w:p w14:paraId="2EDE5DB8"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4102/5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Blažeje </w:t>
      </w:r>
    </w:p>
    <w:p w14:paraId="23BE3862"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4102/6</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Šebestiana </w:t>
      </w:r>
    </w:p>
    <w:p w14:paraId="5385C797"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socha sv. Kateřiny</w:t>
      </w:r>
    </w:p>
    <w:p w14:paraId="4E46CA57"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4102/8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Jiří </w:t>
      </w:r>
    </w:p>
    <w:p w14:paraId="0CCD4752"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4102/9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Erasma </w:t>
      </w:r>
    </w:p>
    <w:p w14:paraId="3A35D4DA"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4102/10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Cyriaka </w:t>
      </w:r>
    </w:p>
    <w:p w14:paraId="3E3394A6"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4102/11</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socha sv. Víta</w:t>
      </w:r>
    </w:p>
    <w:p w14:paraId="5BDA7BE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4102/12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Diviše </w:t>
      </w:r>
    </w:p>
    <w:p w14:paraId="67CFE6FE"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4102/13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Eustacha </w:t>
      </w:r>
    </w:p>
    <w:p w14:paraId="2DDD803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4102/14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Jiljí </w:t>
      </w:r>
    </w:p>
    <w:p w14:paraId="258C343E"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4102/15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alegorie I. </w:t>
      </w:r>
    </w:p>
    <w:p w14:paraId="0EBCF0D7"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4102/16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alegorie II. </w:t>
      </w:r>
    </w:p>
    <w:p w14:paraId="01701212"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4102/17</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alegorie III. </w:t>
      </w:r>
    </w:p>
    <w:p w14:paraId="4371E53A"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4102/18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schodiště </w:t>
      </w:r>
    </w:p>
    <w:p w14:paraId="0373ADC1"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areál zámečku č. p. 1/31 </w:t>
      </w:r>
    </w:p>
    <w:p w14:paraId="07DD6F3A"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4103/1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zámeček č. p. 1/31 </w:t>
      </w:r>
    </w:p>
    <w:p w14:paraId="5500BAB1"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4103/2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boha Ariona  pův. 3746/10 </w:t>
      </w:r>
    </w:p>
    <w:p w14:paraId="1807021A"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4103/3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historická sadová úprava </w:t>
      </w:r>
    </w:p>
    <w:p w14:paraId="5FE86534"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5026</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evangelický kostel </w:t>
      </w:r>
    </w:p>
    <w:p w14:paraId="717F59D9"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5621, 10163</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Jordánka </w:t>
      </w:r>
    </w:p>
    <w:p w14:paraId="3DA6D17E"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5718, 11106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Synagoga </w:t>
      </w:r>
    </w:p>
    <w:p w14:paraId="43BFABC2"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5765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Restaurace Pastýřská stěna č. p. 236 </w:t>
      </w:r>
    </w:p>
    <w:p w14:paraId="2B2D1B47"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lastRenderedPageBreak/>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Areál městského pivovaru</w:t>
      </w:r>
    </w:p>
    <w:p w14:paraId="7C7C388C"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5830</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budov a hlavního nádraží ČD - v návrhu</w:t>
      </w:r>
    </w:p>
    <w:p w14:paraId="4492572F"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Rozbělesy</w:t>
      </w:r>
      <w:r w:rsidRPr="006031D6">
        <w:rPr>
          <w:rFonts w:ascii="Arial" w:hAnsi="Arial" w:cs="Arial"/>
          <w:color w:val="000000"/>
          <w:sz w:val="22"/>
          <w:szCs w:val="22"/>
          <w:lang w:eastAsia="cs-CZ"/>
        </w:rPr>
        <w:tab/>
        <w:t xml:space="preserve">4101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areál kostela sv. Václava </w:t>
      </w:r>
    </w:p>
    <w:p w14:paraId="3D277786"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4101/1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kostel sv. Václava </w:t>
      </w:r>
    </w:p>
    <w:p w14:paraId="2E21142A"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4101/2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fara č. p. 440 </w:t>
      </w:r>
    </w:p>
    <w:p w14:paraId="460F69D9"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Dolní Žleb </w:t>
      </w:r>
      <w:r w:rsidRPr="006031D6">
        <w:rPr>
          <w:rFonts w:ascii="Arial" w:hAnsi="Arial" w:cs="Arial"/>
          <w:color w:val="000000"/>
          <w:sz w:val="22"/>
          <w:szCs w:val="22"/>
          <w:lang w:eastAsia="cs-CZ"/>
        </w:rPr>
        <w:tab/>
        <w:t xml:space="preserve">3661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kostel Nejsvětější Trojice</w:t>
      </w:r>
    </w:p>
    <w:p w14:paraId="585C7476"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3662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Vojtěcha </w:t>
      </w:r>
    </w:p>
    <w:p w14:paraId="6DECA968"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3663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socha sv. Anny </w:t>
      </w:r>
    </w:p>
    <w:p w14:paraId="2B2BF31E"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3664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boží muka </w:t>
      </w:r>
    </w:p>
    <w:p w14:paraId="501A94F2"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Folknáře </w:t>
      </w:r>
      <w:r w:rsidRPr="006031D6">
        <w:rPr>
          <w:rFonts w:ascii="Arial" w:hAnsi="Arial" w:cs="Arial"/>
          <w:color w:val="000000"/>
          <w:sz w:val="22"/>
          <w:szCs w:val="22"/>
          <w:lang w:eastAsia="cs-CZ"/>
        </w:rPr>
        <w:tab/>
        <w:t xml:space="preserve">3607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13 </w:t>
      </w:r>
    </w:p>
    <w:p w14:paraId="26D0F9F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Horní Chlum </w:t>
      </w:r>
      <w:r w:rsidRPr="006031D6">
        <w:rPr>
          <w:rFonts w:ascii="Arial" w:hAnsi="Arial" w:cs="Arial"/>
          <w:color w:val="000000"/>
          <w:sz w:val="22"/>
          <w:szCs w:val="22"/>
          <w:lang w:eastAsia="cs-CZ"/>
        </w:rPr>
        <w:tab/>
        <w:t xml:space="preserve">3609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milník </w:t>
      </w:r>
    </w:p>
    <w:p w14:paraId="3A11F103"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Horní Oldřichov 4110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chalupa č. p. 34</w:t>
      </w:r>
    </w:p>
    <w:p w14:paraId="5D57E517"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Jalůvčí</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5-4111</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13 </w:t>
      </w:r>
    </w:p>
    <w:p w14:paraId="0FFC9DDE"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Lesná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3805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7 </w:t>
      </w:r>
    </w:p>
    <w:p w14:paraId="69410073"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3806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15 </w:t>
      </w:r>
    </w:p>
    <w:p w14:paraId="7DBB1B7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3807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26 </w:t>
      </w:r>
    </w:p>
    <w:p w14:paraId="0E1955FC"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Nebočady </w:t>
      </w:r>
      <w:r w:rsidRPr="006031D6">
        <w:rPr>
          <w:rFonts w:ascii="Arial" w:hAnsi="Arial" w:cs="Arial"/>
          <w:color w:val="000000"/>
          <w:sz w:val="22"/>
          <w:szCs w:val="22"/>
          <w:lang w:eastAsia="cs-CZ"/>
        </w:rPr>
        <w:tab/>
        <w:t xml:space="preserve">3593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areál kostela sv. Vavřince </w:t>
      </w:r>
    </w:p>
    <w:p w14:paraId="7D046F66"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3593/1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kostel sv. Vavřince s náhrobníky </w:t>
      </w:r>
    </w:p>
    <w:p w14:paraId="2E328781"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3593/2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sousoší Navštívení P. Marie - pův. 3594 </w:t>
      </w:r>
    </w:p>
    <w:p w14:paraId="6385259F"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3593/3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ohradní zeď s branou </w:t>
      </w:r>
    </w:p>
    <w:p w14:paraId="060122BA"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3593/4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márnice </w:t>
      </w:r>
    </w:p>
    <w:p w14:paraId="749DE480"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3595</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kaple Nejsvětější Trojice </w:t>
      </w:r>
    </w:p>
    <w:p w14:paraId="685405C6"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3596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2 </w:t>
      </w:r>
    </w:p>
    <w:p w14:paraId="7A6E5FC2"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3597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25 </w:t>
      </w:r>
    </w:p>
    <w:p w14:paraId="775C85B7"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Prostřední Žleb 4108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podstavec kříže </w:t>
      </w:r>
    </w:p>
    <w:p w14:paraId="3382C195"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Velká Veleň </w:t>
      </w:r>
      <w:r w:rsidRPr="006031D6">
        <w:rPr>
          <w:rFonts w:ascii="Arial" w:hAnsi="Arial" w:cs="Arial"/>
          <w:color w:val="000000"/>
          <w:sz w:val="22"/>
          <w:szCs w:val="22"/>
          <w:lang w:eastAsia="cs-CZ"/>
        </w:rPr>
        <w:tab/>
        <w:t xml:space="preserve">4047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78L, pův. č. p. 23 </w:t>
      </w:r>
    </w:p>
    <w:p w14:paraId="3A492D99" w14:textId="77777777" w:rsidR="006031D6" w:rsidRPr="006031D6" w:rsidRDefault="006031D6" w:rsidP="006031D6">
      <w:pPr>
        <w:suppressAutoHyphens w:val="0"/>
        <w:autoSpaceDE w:val="0"/>
        <w:autoSpaceDN w:val="0"/>
        <w:adjustRightInd w:val="0"/>
        <w:spacing w:before="6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4048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chalupa č. p. 79L, pův. č. p. 27 </w:t>
      </w:r>
    </w:p>
    <w:p w14:paraId="24671077"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20EF5C74"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19BAA2F6"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280A8286"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363E0946"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04F69DEC"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041511E6"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375C49A5"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6A821568"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1B7C2826"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051D0CD4"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4681DE62"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7F3D265F"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67F6035E"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63EC2CE6"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76836824"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2A3F1F32"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529C8D37"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5AE25ED4" w14:textId="77777777" w:rsid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395CE1C7" w14:textId="77777777" w:rsidR="006031D6" w:rsidRPr="006031D6" w:rsidRDefault="006031D6" w:rsidP="006031D6">
      <w:pPr>
        <w:suppressAutoHyphens w:val="0"/>
        <w:autoSpaceDE w:val="0"/>
        <w:autoSpaceDN w:val="0"/>
        <w:adjustRightInd w:val="0"/>
        <w:ind w:firstLine="567"/>
        <w:jc w:val="both"/>
        <w:rPr>
          <w:rFonts w:ascii="Arial" w:hAnsi="Arial" w:cs="Arial"/>
          <w:b/>
          <w:bCs/>
          <w:caps/>
          <w:color w:val="000000"/>
          <w:sz w:val="20"/>
          <w:szCs w:val="20"/>
          <w:lang w:eastAsia="cs-CZ"/>
        </w:rPr>
      </w:pPr>
    </w:p>
    <w:p w14:paraId="3B4E6550" w14:textId="77777777" w:rsidR="006031D6" w:rsidRPr="006031D6" w:rsidRDefault="006031D6" w:rsidP="006031D6">
      <w:pPr>
        <w:keepNext/>
        <w:suppressAutoHyphens w:val="0"/>
        <w:autoSpaceDE w:val="0"/>
        <w:autoSpaceDN w:val="0"/>
        <w:adjustRightInd w:val="0"/>
        <w:ind w:firstLine="567"/>
        <w:jc w:val="both"/>
        <w:rPr>
          <w:rFonts w:ascii="Arial" w:hAnsi="Arial" w:cs="Arial"/>
          <w:color w:val="000000"/>
          <w:sz w:val="20"/>
          <w:szCs w:val="20"/>
          <w:lang w:eastAsia="cs-CZ"/>
        </w:rPr>
      </w:pPr>
      <w:r w:rsidRPr="006031D6">
        <w:rPr>
          <w:rFonts w:ascii="Arial" w:hAnsi="Arial" w:cs="Arial"/>
          <w:b/>
          <w:bCs/>
          <w:caps/>
          <w:color w:val="000000"/>
          <w:sz w:val="20"/>
          <w:szCs w:val="20"/>
          <w:lang w:eastAsia="cs-CZ"/>
        </w:rPr>
        <w:t>Návrh doporučení, opatření</w:t>
      </w:r>
    </w:p>
    <w:p w14:paraId="4991759E"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navržené řešení ÚPN města respektuje v plném rozsahu všechny kulturní památky pro objekty v současné době nefunkční, navrhuje výhledově možné využití (investiční záměry, doporučení orgánů kultury a památkové péče).</w:t>
      </w:r>
    </w:p>
    <w:p w14:paraId="6C5A1A25"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b/>
          <w:bCs/>
          <w:color w:val="000000"/>
          <w:sz w:val="22"/>
          <w:szCs w:val="22"/>
          <w:lang w:eastAsia="cs-CZ"/>
        </w:rPr>
        <w:t>areál zámku</w:t>
      </w:r>
      <w:r w:rsidRPr="006031D6">
        <w:rPr>
          <w:rFonts w:ascii="Arial" w:hAnsi="Arial" w:cs="Arial"/>
          <w:color w:val="000000"/>
          <w:sz w:val="22"/>
          <w:szCs w:val="22"/>
          <w:lang w:eastAsia="cs-CZ"/>
        </w:rPr>
        <w:t xml:space="preserve"> (4082) - pozemek 90 000 m</w:t>
      </w:r>
      <w:r w:rsidRPr="006031D6">
        <w:rPr>
          <w:rFonts w:ascii="Arial" w:hAnsi="Arial" w:cs="Arial"/>
          <w:color w:val="000000"/>
          <w:position w:val="6"/>
          <w:sz w:val="22"/>
          <w:szCs w:val="22"/>
          <w:vertAlign w:val="superscript"/>
          <w:lang w:eastAsia="cs-CZ"/>
        </w:rPr>
        <w:t>2</w:t>
      </w:r>
      <w:r w:rsidRPr="006031D6">
        <w:rPr>
          <w:rFonts w:ascii="Arial" w:hAnsi="Arial" w:cs="Arial"/>
          <w:color w:val="000000"/>
          <w:sz w:val="22"/>
          <w:szCs w:val="22"/>
          <w:lang w:eastAsia="cs-CZ"/>
        </w:rPr>
        <w:t>, zast. pl. 5070 m</w:t>
      </w:r>
      <w:r w:rsidRPr="006031D6">
        <w:rPr>
          <w:rFonts w:ascii="Arial" w:hAnsi="Arial" w:cs="Arial"/>
          <w:color w:val="000000"/>
          <w:position w:val="6"/>
          <w:sz w:val="22"/>
          <w:szCs w:val="22"/>
          <w:vertAlign w:val="superscript"/>
          <w:lang w:eastAsia="cs-CZ"/>
        </w:rPr>
        <w:t>2</w:t>
      </w:r>
      <w:r w:rsidRPr="006031D6">
        <w:rPr>
          <w:rFonts w:ascii="Arial" w:hAnsi="Arial" w:cs="Arial"/>
          <w:color w:val="000000"/>
          <w:sz w:val="22"/>
          <w:szCs w:val="22"/>
          <w:lang w:eastAsia="cs-CZ"/>
        </w:rPr>
        <w:t>, ob. prostor 2 350 m</w:t>
      </w:r>
      <w:r w:rsidRPr="006031D6">
        <w:rPr>
          <w:rFonts w:ascii="Arial" w:hAnsi="Arial" w:cs="Arial"/>
          <w:color w:val="000000"/>
          <w:position w:val="6"/>
          <w:sz w:val="22"/>
          <w:szCs w:val="22"/>
          <w:vertAlign w:val="superscript"/>
          <w:lang w:eastAsia="cs-CZ"/>
        </w:rPr>
        <w:t>2</w:t>
      </w:r>
      <w:r w:rsidRPr="006031D6">
        <w:rPr>
          <w:rFonts w:ascii="Arial" w:hAnsi="Arial" w:cs="Arial"/>
          <w:color w:val="000000"/>
          <w:sz w:val="22"/>
          <w:szCs w:val="22"/>
          <w:lang w:eastAsia="cs-CZ"/>
        </w:rPr>
        <w:t xml:space="preserve"> jedná se v současné době o zčásti využívaný významný historický areál (sýpka - kolej ČVUT, postupné zpřístupnění objektu zámku ) pro který je zpracován následující program využití s komplexní přestavbou: </w:t>
      </w:r>
    </w:p>
    <w:p w14:paraId="57A9DEEC" w14:textId="77777777" w:rsidR="006031D6" w:rsidRPr="006031D6" w:rsidRDefault="006031D6" w:rsidP="006031D6">
      <w:pPr>
        <w:numPr>
          <w:ilvl w:val="0"/>
          <w:numId w:val="28"/>
        </w:numPr>
        <w:tabs>
          <w:tab w:val="left" w:pos="851"/>
          <w:tab w:val="left" w:pos="2438"/>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left="851"/>
        <w:jc w:val="both"/>
        <w:rPr>
          <w:rFonts w:ascii="Arial" w:hAnsi="Arial" w:cs="Arial"/>
          <w:color w:val="000000"/>
          <w:sz w:val="22"/>
          <w:szCs w:val="22"/>
          <w:lang w:eastAsia="cs-CZ"/>
        </w:rPr>
      </w:pPr>
      <w:r w:rsidRPr="006031D6">
        <w:rPr>
          <w:rFonts w:ascii="Arial" w:hAnsi="Arial" w:cs="Arial"/>
          <w:color w:val="000000"/>
          <w:sz w:val="22"/>
          <w:szCs w:val="22"/>
          <w:lang w:eastAsia="cs-CZ"/>
        </w:rPr>
        <w:t>reprezentační prostory města (zasedací místnosti, kanceláře starosty a přednosty, repre salónky - 70 míst);</w:t>
      </w:r>
    </w:p>
    <w:p w14:paraId="2AD9E9B7" w14:textId="77777777" w:rsidR="006031D6" w:rsidRPr="006031D6" w:rsidRDefault="006031D6" w:rsidP="006031D6">
      <w:pPr>
        <w:numPr>
          <w:ilvl w:val="0"/>
          <w:numId w:val="28"/>
        </w:numPr>
        <w:tabs>
          <w:tab w:val="left" w:pos="851"/>
        </w:tabs>
        <w:suppressAutoHyphens w:val="0"/>
        <w:autoSpaceDE w:val="0"/>
        <w:autoSpaceDN w:val="0"/>
        <w:adjustRightInd w:val="0"/>
        <w:spacing w:before="120" w:line="288" w:lineRule="auto"/>
        <w:ind w:left="851"/>
        <w:jc w:val="both"/>
        <w:rPr>
          <w:rFonts w:ascii="Arial" w:hAnsi="Arial" w:cs="Arial"/>
          <w:color w:val="000000"/>
          <w:sz w:val="22"/>
          <w:szCs w:val="22"/>
          <w:lang w:eastAsia="cs-CZ"/>
        </w:rPr>
      </w:pPr>
      <w:r w:rsidRPr="006031D6">
        <w:rPr>
          <w:rFonts w:ascii="Arial" w:hAnsi="Arial" w:cs="Arial"/>
          <w:color w:val="000000"/>
          <w:sz w:val="22"/>
          <w:szCs w:val="22"/>
          <w:lang w:eastAsia="cs-CZ"/>
        </w:rPr>
        <w:t>společenské a kongresové sály - (200  - 270 sedadel/míst);</w:t>
      </w:r>
    </w:p>
    <w:p w14:paraId="04E7CD21" w14:textId="77777777" w:rsidR="006031D6" w:rsidRPr="006031D6" w:rsidRDefault="006031D6" w:rsidP="006031D6">
      <w:pPr>
        <w:numPr>
          <w:ilvl w:val="0"/>
          <w:numId w:val="28"/>
        </w:numPr>
        <w:tabs>
          <w:tab w:val="left" w:pos="851"/>
        </w:tabs>
        <w:suppressAutoHyphens w:val="0"/>
        <w:autoSpaceDE w:val="0"/>
        <w:autoSpaceDN w:val="0"/>
        <w:adjustRightInd w:val="0"/>
        <w:spacing w:before="120" w:line="288" w:lineRule="auto"/>
        <w:ind w:left="851"/>
        <w:jc w:val="both"/>
        <w:rPr>
          <w:rFonts w:ascii="Arial" w:hAnsi="Arial" w:cs="Arial"/>
          <w:color w:val="000000"/>
          <w:sz w:val="22"/>
          <w:szCs w:val="22"/>
          <w:lang w:eastAsia="cs-CZ"/>
        </w:rPr>
      </w:pPr>
      <w:r w:rsidRPr="006031D6">
        <w:rPr>
          <w:rFonts w:ascii="Arial" w:hAnsi="Arial" w:cs="Arial"/>
          <w:color w:val="000000"/>
          <w:sz w:val="22"/>
          <w:szCs w:val="22"/>
          <w:lang w:eastAsia="cs-CZ"/>
        </w:rPr>
        <w:t>víceúčelový sál (konírna 90 - 100 míst);</w:t>
      </w:r>
    </w:p>
    <w:p w14:paraId="4BB50E94" w14:textId="77777777" w:rsidR="006031D6" w:rsidRPr="006031D6" w:rsidRDefault="006031D6" w:rsidP="006031D6">
      <w:pPr>
        <w:numPr>
          <w:ilvl w:val="0"/>
          <w:numId w:val="28"/>
        </w:numPr>
        <w:tabs>
          <w:tab w:val="left" w:pos="851"/>
        </w:tabs>
        <w:suppressAutoHyphens w:val="0"/>
        <w:autoSpaceDE w:val="0"/>
        <w:autoSpaceDN w:val="0"/>
        <w:adjustRightInd w:val="0"/>
        <w:spacing w:before="120" w:line="288" w:lineRule="auto"/>
        <w:ind w:left="851"/>
        <w:jc w:val="both"/>
        <w:rPr>
          <w:rFonts w:ascii="Arial" w:hAnsi="Arial" w:cs="Arial"/>
          <w:color w:val="000000"/>
          <w:sz w:val="22"/>
          <w:szCs w:val="22"/>
          <w:lang w:eastAsia="cs-CZ"/>
        </w:rPr>
      </w:pPr>
      <w:r w:rsidRPr="006031D6">
        <w:rPr>
          <w:rFonts w:ascii="Arial" w:hAnsi="Arial" w:cs="Arial"/>
          <w:color w:val="000000"/>
          <w:sz w:val="22"/>
          <w:szCs w:val="22"/>
          <w:lang w:eastAsia="cs-CZ"/>
        </w:rPr>
        <w:t>pronajímatelné prostory a kanceláře (48 míst);</w:t>
      </w:r>
    </w:p>
    <w:p w14:paraId="7BFD2851" w14:textId="77777777" w:rsidR="006031D6" w:rsidRPr="006031D6" w:rsidRDefault="006031D6" w:rsidP="006031D6">
      <w:pPr>
        <w:numPr>
          <w:ilvl w:val="0"/>
          <w:numId w:val="28"/>
        </w:numPr>
        <w:tabs>
          <w:tab w:val="left" w:pos="851"/>
        </w:tabs>
        <w:suppressAutoHyphens w:val="0"/>
        <w:autoSpaceDE w:val="0"/>
        <w:autoSpaceDN w:val="0"/>
        <w:adjustRightInd w:val="0"/>
        <w:spacing w:before="120" w:line="288" w:lineRule="auto"/>
        <w:ind w:left="851"/>
        <w:jc w:val="both"/>
        <w:rPr>
          <w:rFonts w:ascii="Arial" w:hAnsi="Arial" w:cs="Arial"/>
          <w:color w:val="000000"/>
          <w:sz w:val="22"/>
          <w:szCs w:val="22"/>
          <w:lang w:eastAsia="cs-CZ"/>
        </w:rPr>
      </w:pPr>
      <w:r w:rsidRPr="006031D6">
        <w:rPr>
          <w:rFonts w:ascii="Arial" w:hAnsi="Arial" w:cs="Arial"/>
          <w:color w:val="000000"/>
          <w:sz w:val="22"/>
          <w:szCs w:val="22"/>
          <w:lang w:eastAsia="cs-CZ"/>
        </w:rPr>
        <w:t>archiv (3 600 bm);</w:t>
      </w:r>
    </w:p>
    <w:p w14:paraId="3A00A27D" w14:textId="77777777" w:rsidR="006031D6" w:rsidRPr="006031D6" w:rsidRDefault="006031D6" w:rsidP="006031D6">
      <w:pPr>
        <w:numPr>
          <w:ilvl w:val="0"/>
          <w:numId w:val="28"/>
        </w:numPr>
        <w:tabs>
          <w:tab w:val="left" w:pos="851"/>
        </w:tabs>
        <w:suppressAutoHyphens w:val="0"/>
        <w:autoSpaceDE w:val="0"/>
        <w:autoSpaceDN w:val="0"/>
        <w:adjustRightInd w:val="0"/>
        <w:spacing w:before="120" w:line="288" w:lineRule="auto"/>
        <w:ind w:left="851"/>
        <w:jc w:val="both"/>
        <w:rPr>
          <w:rFonts w:ascii="Arial" w:hAnsi="Arial" w:cs="Arial"/>
          <w:color w:val="000000"/>
          <w:sz w:val="22"/>
          <w:szCs w:val="22"/>
          <w:lang w:eastAsia="cs-CZ"/>
        </w:rPr>
      </w:pPr>
      <w:r w:rsidRPr="006031D6">
        <w:rPr>
          <w:rFonts w:ascii="Arial" w:hAnsi="Arial" w:cs="Arial"/>
          <w:color w:val="000000"/>
          <w:sz w:val="22"/>
          <w:szCs w:val="22"/>
          <w:lang w:eastAsia="cs-CZ"/>
        </w:rPr>
        <w:t>knihovna se sálem (357 m</w:t>
      </w:r>
      <w:r w:rsidRPr="006031D6">
        <w:rPr>
          <w:rFonts w:ascii="Arial" w:hAnsi="Arial" w:cs="Arial"/>
          <w:color w:val="000000"/>
          <w:position w:val="6"/>
          <w:sz w:val="22"/>
          <w:szCs w:val="22"/>
          <w:vertAlign w:val="superscript"/>
          <w:lang w:eastAsia="cs-CZ"/>
        </w:rPr>
        <w:t>2</w:t>
      </w:r>
      <w:r w:rsidRPr="006031D6">
        <w:rPr>
          <w:rFonts w:ascii="Arial" w:hAnsi="Arial" w:cs="Arial"/>
          <w:color w:val="000000"/>
          <w:sz w:val="22"/>
          <w:szCs w:val="22"/>
          <w:lang w:eastAsia="cs-CZ"/>
        </w:rPr>
        <w:t>, 21 000 knih. jednotek);</w:t>
      </w:r>
    </w:p>
    <w:p w14:paraId="45666103" w14:textId="77777777" w:rsidR="006031D6" w:rsidRPr="006031D6" w:rsidRDefault="006031D6" w:rsidP="006031D6">
      <w:pPr>
        <w:numPr>
          <w:ilvl w:val="0"/>
          <w:numId w:val="28"/>
        </w:numPr>
        <w:tabs>
          <w:tab w:val="left" w:pos="851"/>
        </w:tabs>
        <w:suppressAutoHyphens w:val="0"/>
        <w:autoSpaceDE w:val="0"/>
        <w:autoSpaceDN w:val="0"/>
        <w:adjustRightInd w:val="0"/>
        <w:spacing w:before="120" w:line="288" w:lineRule="auto"/>
        <w:ind w:left="851"/>
        <w:jc w:val="both"/>
        <w:rPr>
          <w:rFonts w:ascii="Arial" w:hAnsi="Arial" w:cs="Arial"/>
          <w:color w:val="000000"/>
          <w:sz w:val="22"/>
          <w:szCs w:val="22"/>
          <w:lang w:eastAsia="cs-CZ"/>
        </w:rPr>
      </w:pPr>
      <w:r w:rsidRPr="006031D6">
        <w:rPr>
          <w:rFonts w:ascii="Arial" w:hAnsi="Arial" w:cs="Arial"/>
          <w:color w:val="000000"/>
          <w:sz w:val="22"/>
          <w:szCs w:val="22"/>
          <w:lang w:eastAsia="cs-CZ"/>
        </w:rPr>
        <w:t>kaple (výstavní síň, muzeum 66 m</w:t>
      </w:r>
      <w:r w:rsidRPr="006031D6">
        <w:rPr>
          <w:rFonts w:ascii="Arial" w:hAnsi="Arial" w:cs="Arial"/>
          <w:color w:val="000000"/>
          <w:position w:val="6"/>
          <w:sz w:val="22"/>
          <w:szCs w:val="22"/>
          <w:vertAlign w:val="superscript"/>
          <w:lang w:eastAsia="cs-CZ"/>
        </w:rPr>
        <w:t>2</w:t>
      </w:r>
      <w:r w:rsidRPr="006031D6">
        <w:rPr>
          <w:rFonts w:ascii="Arial" w:hAnsi="Arial" w:cs="Arial"/>
          <w:color w:val="000000"/>
          <w:sz w:val="22"/>
          <w:szCs w:val="22"/>
          <w:lang w:eastAsia="cs-CZ"/>
        </w:rPr>
        <w:t>);</w:t>
      </w:r>
    </w:p>
    <w:p w14:paraId="03A4947F" w14:textId="77777777" w:rsidR="006031D6" w:rsidRPr="006031D6" w:rsidRDefault="006031D6" w:rsidP="006031D6">
      <w:pPr>
        <w:numPr>
          <w:ilvl w:val="0"/>
          <w:numId w:val="28"/>
        </w:numPr>
        <w:tabs>
          <w:tab w:val="left" w:pos="851"/>
        </w:tabs>
        <w:suppressAutoHyphens w:val="0"/>
        <w:autoSpaceDE w:val="0"/>
        <w:autoSpaceDN w:val="0"/>
        <w:adjustRightInd w:val="0"/>
        <w:spacing w:before="120" w:line="288" w:lineRule="auto"/>
        <w:ind w:left="851"/>
        <w:jc w:val="both"/>
        <w:rPr>
          <w:rFonts w:ascii="Arial" w:hAnsi="Arial" w:cs="Arial"/>
          <w:color w:val="000000"/>
          <w:sz w:val="22"/>
          <w:szCs w:val="22"/>
          <w:lang w:eastAsia="cs-CZ"/>
        </w:rPr>
      </w:pPr>
      <w:r w:rsidRPr="006031D6">
        <w:rPr>
          <w:rFonts w:ascii="Arial" w:hAnsi="Arial" w:cs="Arial"/>
          <w:color w:val="000000"/>
          <w:sz w:val="22"/>
          <w:szCs w:val="22"/>
          <w:lang w:eastAsia="cs-CZ"/>
        </w:rPr>
        <w:t>hotel (120 lůžek, restaurace, vinárna, herna, 6 kanceláří);</w:t>
      </w:r>
    </w:p>
    <w:p w14:paraId="5BE18EE5" w14:textId="77777777" w:rsidR="006031D6" w:rsidRPr="006031D6" w:rsidRDefault="006031D6" w:rsidP="006031D6">
      <w:pPr>
        <w:numPr>
          <w:ilvl w:val="0"/>
          <w:numId w:val="28"/>
        </w:numPr>
        <w:tabs>
          <w:tab w:val="left" w:pos="851"/>
        </w:tabs>
        <w:suppressAutoHyphens w:val="0"/>
        <w:autoSpaceDE w:val="0"/>
        <w:autoSpaceDN w:val="0"/>
        <w:adjustRightInd w:val="0"/>
        <w:spacing w:before="120" w:line="288" w:lineRule="auto"/>
        <w:ind w:left="851"/>
        <w:jc w:val="both"/>
        <w:rPr>
          <w:rFonts w:ascii="Arial" w:hAnsi="Arial" w:cs="Arial"/>
          <w:color w:val="000000"/>
          <w:sz w:val="22"/>
          <w:szCs w:val="22"/>
          <w:lang w:eastAsia="cs-CZ"/>
        </w:rPr>
      </w:pPr>
      <w:r w:rsidRPr="006031D6">
        <w:rPr>
          <w:rFonts w:ascii="Arial" w:hAnsi="Arial" w:cs="Arial"/>
          <w:color w:val="000000"/>
          <w:sz w:val="22"/>
          <w:szCs w:val="22"/>
          <w:lang w:eastAsia="cs-CZ"/>
        </w:rPr>
        <w:t>komunikační napojení: Dlouhá jízda, výtahem ve studni, komunikací podle výtopny z ul. U plovárny, z Křížové ul. do Růžové zahrady;</w:t>
      </w:r>
    </w:p>
    <w:p w14:paraId="7733E152" w14:textId="77777777" w:rsidR="006031D6" w:rsidRPr="006031D6" w:rsidRDefault="006031D6" w:rsidP="006031D6">
      <w:pPr>
        <w:numPr>
          <w:ilvl w:val="0"/>
          <w:numId w:val="28"/>
        </w:numPr>
        <w:tabs>
          <w:tab w:val="left" w:pos="851"/>
        </w:tabs>
        <w:suppressAutoHyphens w:val="0"/>
        <w:autoSpaceDE w:val="0"/>
        <w:autoSpaceDN w:val="0"/>
        <w:adjustRightInd w:val="0"/>
        <w:spacing w:before="120" w:line="288" w:lineRule="auto"/>
        <w:ind w:left="851"/>
        <w:jc w:val="both"/>
        <w:rPr>
          <w:rFonts w:ascii="Arial" w:hAnsi="Arial" w:cs="Arial"/>
          <w:color w:val="000000"/>
          <w:sz w:val="22"/>
          <w:szCs w:val="22"/>
          <w:lang w:eastAsia="cs-CZ"/>
        </w:rPr>
      </w:pPr>
      <w:r w:rsidRPr="006031D6">
        <w:rPr>
          <w:rFonts w:ascii="Arial" w:hAnsi="Arial" w:cs="Arial"/>
          <w:color w:val="000000"/>
          <w:sz w:val="22"/>
          <w:szCs w:val="22"/>
          <w:lang w:eastAsia="cs-CZ"/>
        </w:rPr>
        <w:t>vlastní technické zázemí.</w:t>
      </w:r>
    </w:p>
    <w:p w14:paraId="1C5809D7"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b/>
          <w:bCs/>
          <w:color w:val="000000"/>
          <w:sz w:val="22"/>
          <w:szCs w:val="22"/>
          <w:lang w:eastAsia="cs-CZ"/>
        </w:rPr>
        <w:t>mostek zv. Ovčí</w:t>
      </w:r>
      <w:r w:rsidRPr="006031D6">
        <w:rPr>
          <w:rFonts w:ascii="Arial" w:hAnsi="Arial" w:cs="Arial"/>
          <w:color w:val="000000"/>
          <w:sz w:val="22"/>
          <w:szCs w:val="22"/>
          <w:lang w:eastAsia="cs-CZ"/>
        </w:rPr>
        <w:t xml:space="preserve"> (4090) - Jílovský potok.</w:t>
      </w:r>
    </w:p>
    <w:p w14:paraId="787E4B1A" w14:textId="77777777" w:rsidR="006031D6" w:rsidRPr="006031D6" w:rsidRDefault="006031D6" w:rsidP="006031D6">
      <w:p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Z důvodů přestavby křižovatky ul. Teplické a Pivovarské v Podmoklech (směrové a profilové úpravy komunikace) je reálné ohrožení existence této "dopravní stavby", proto je nutno najít takové řešení, které tuto památku zachová v plném rozsahu.</w:t>
      </w:r>
    </w:p>
    <w:p w14:paraId="20142806"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b/>
          <w:bCs/>
          <w:color w:val="000000"/>
          <w:sz w:val="22"/>
          <w:szCs w:val="22"/>
          <w:lang w:eastAsia="cs-CZ"/>
        </w:rPr>
        <w:t>Jordánka</w:t>
      </w:r>
      <w:r w:rsidRPr="006031D6">
        <w:rPr>
          <w:rFonts w:ascii="Arial" w:hAnsi="Arial" w:cs="Arial"/>
          <w:color w:val="000000"/>
          <w:sz w:val="22"/>
          <w:szCs w:val="22"/>
          <w:lang w:eastAsia="cs-CZ"/>
        </w:rPr>
        <w:t xml:space="preserve"> (5621) -  Podmokly.</w:t>
      </w:r>
    </w:p>
    <w:p w14:paraId="40502028" w14:textId="77777777" w:rsidR="006031D6" w:rsidRPr="006031D6" w:rsidRDefault="006031D6" w:rsidP="006031D6">
      <w:p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Rozsáhlá rekonstrukce areálu je již realizována (společensko nákupní centrum, parkové úpravy, parkoviště, halová garáž).</w:t>
      </w:r>
    </w:p>
    <w:p w14:paraId="5CEE7E4A"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w:t>
      </w:r>
      <w:r w:rsidRPr="006031D6">
        <w:rPr>
          <w:rFonts w:ascii="Arial" w:hAnsi="Arial" w:cs="Arial"/>
          <w:b/>
          <w:bCs/>
          <w:color w:val="000000"/>
          <w:sz w:val="22"/>
          <w:szCs w:val="22"/>
          <w:lang w:eastAsia="cs-CZ"/>
        </w:rPr>
        <w:t>Synagoga</w:t>
      </w:r>
      <w:r w:rsidRPr="006031D6">
        <w:rPr>
          <w:rFonts w:ascii="Arial" w:hAnsi="Arial" w:cs="Arial"/>
          <w:color w:val="000000"/>
          <w:sz w:val="22"/>
          <w:szCs w:val="22"/>
          <w:lang w:eastAsia="cs-CZ"/>
        </w:rPr>
        <w:t xml:space="preserve">(5718) </w:t>
      </w:r>
      <w:r w:rsidRPr="006031D6">
        <w:rPr>
          <w:rFonts w:ascii="Arial" w:hAnsi="Arial" w:cs="Arial"/>
          <w:color w:val="000000"/>
          <w:sz w:val="22"/>
          <w:szCs w:val="22"/>
          <w:lang w:eastAsia="cs-CZ"/>
        </w:rPr>
        <w:br/>
        <w:t>Rekonstrukce objektu pro církevní a kulturní účely je realizována.</w:t>
      </w:r>
    </w:p>
    <w:p w14:paraId="446FBBF8"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b/>
          <w:bCs/>
          <w:color w:val="000000"/>
          <w:sz w:val="22"/>
          <w:szCs w:val="22"/>
          <w:lang w:eastAsia="cs-CZ"/>
        </w:rPr>
        <w:t>Areál kostela sv. Václava</w:t>
      </w:r>
      <w:r w:rsidRPr="006031D6">
        <w:rPr>
          <w:rFonts w:ascii="Arial" w:hAnsi="Arial" w:cs="Arial"/>
          <w:color w:val="000000"/>
          <w:sz w:val="22"/>
          <w:szCs w:val="22"/>
          <w:lang w:eastAsia="cs-CZ"/>
        </w:rPr>
        <w:t xml:space="preserve"> (4101) – Rozbělesy</w:t>
      </w:r>
    </w:p>
    <w:p w14:paraId="0D8ADFD4" w14:textId="77777777" w:rsidR="006031D6" w:rsidRPr="006031D6" w:rsidRDefault="006031D6" w:rsidP="006031D6">
      <w:p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S ohledem na stavební stav objektů (kostel, fara) se jedná o mimořádně ohroženou památku i s možnou likvidací. Po odsvěcení areál urychleně rekonstruovat a rozhodnout o možném využití (lapidárium, restaurátorská škola, přípustně i komerční využití).</w:t>
      </w:r>
    </w:p>
    <w:p w14:paraId="23B98D7A"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b/>
          <w:bCs/>
          <w:color w:val="000000"/>
          <w:sz w:val="22"/>
          <w:szCs w:val="22"/>
          <w:lang w:eastAsia="cs-CZ"/>
        </w:rPr>
        <w:t xml:space="preserve">Z ostatních významných objektů města byly v posledním období prohlášeny za kulturní památku: restaurace Pastýřská stěna, areál městského pivovaru, areál </w:t>
      </w:r>
      <w:r w:rsidRPr="006031D6">
        <w:rPr>
          <w:rFonts w:ascii="Arial" w:hAnsi="Arial" w:cs="Arial"/>
          <w:b/>
          <w:bCs/>
          <w:color w:val="000000"/>
          <w:sz w:val="22"/>
          <w:szCs w:val="22"/>
          <w:lang w:eastAsia="cs-CZ"/>
        </w:rPr>
        <w:lastRenderedPageBreak/>
        <w:t xml:space="preserve">Jordánka a budova hlavního nádraží v Podmoklech. Naopak byla zrušena památková ochrana pro objekt na Teplické ulici (osvěta). </w:t>
      </w:r>
    </w:p>
    <w:p w14:paraId="20754369" w14:textId="77777777" w:rsidR="006031D6" w:rsidRPr="006031D6" w:rsidRDefault="006031D6" w:rsidP="006031D6">
      <w:pPr>
        <w:suppressAutoHyphens w:val="0"/>
        <w:autoSpaceDE w:val="0"/>
        <w:autoSpaceDN w:val="0"/>
        <w:adjustRightInd w:val="0"/>
        <w:spacing w:before="56" w:after="56"/>
        <w:ind w:left="680" w:hanging="680"/>
        <w:jc w:val="both"/>
        <w:rPr>
          <w:rFonts w:ascii="Arial" w:hAnsi="Arial" w:cs="Arial"/>
          <w:b/>
          <w:bCs/>
          <w:caps/>
          <w:color w:val="000000"/>
          <w:sz w:val="32"/>
          <w:szCs w:val="32"/>
          <w:lang w:eastAsia="cs-CZ"/>
        </w:rPr>
      </w:pPr>
      <w:r w:rsidRPr="006031D6">
        <w:rPr>
          <w:rFonts w:ascii="Arial" w:hAnsi="Arial" w:cs="Arial"/>
          <w:b/>
          <w:bCs/>
          <w:caps/>
          <w:color w:val="000000"/>
          <w:sz w:val="32"/>
          <w:szCs w:val="32"/>
          <w:lang w:eastAsia="cs-CZ"/>
        </w:rPr>
        <w:t>D3.  Děčín - krajinná památková zóna</w:t>
      </w:r>
    </w:p>
    <w:p w14:paraId="4DA7CE90"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Návrh, zpracovaný v roce 1993 Památkovým ústavem Ústí n. L. (důvodová zpráva, vymezení, návrh podmínek ochrany) nebyl do současné doby dopracován a zóna nebyla vyhlášena. Na základě řady doporučení orgánu kultury a ochrany krajiny, je návrh zóny zahrnut do řešení ÚPN v původním rozsahu, tedy bez rozšíření zástavby městské části Podmokel (možný návrh městské památkové zóny). Urbanisticko krajinná památková zóna zaujímá část města s výrazně dominujícím přírodním prostředím labského údolí, které zůstává dosud prakticky neosídlené, avšak tvůrčími kulturními a technickými zásahy člověka zhodnocené a eopakovatelné.</w:t>
      </w:r>
    </w:p>
    <w:p w14:paraId="39AC45BA"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Nejstarší děčínské hradiště (hrad) lze lokalizovat do prostoru děčínského zámku. V jeho blízkosti se nacházela nejstarší děčínská sídliště - severně a jižně od zámku (město od poloviny 13. stol.). Na skalním ostrohu 50m nad soutokem řek Ploučnice a Labe stával původně románský a gotický hrad (připomínán 1128) s cílem ochrany labské vodní cesty. Od 16. století přestavovaný na renesanční a později barokní zámek s areálem budov, zahrad, příjezdové cesty zv. Dlouhá jízda (ojedinělý stavební prvek v raně barokním stavitelství), je dominující architekturou území, s doplňujícím protějškem romantické stavby výletní restaurace na Pastýřské stěně s okolní zelení.</w:t>
      </w:r>
    </w:p>
    <w:p w14:paraId="20FBBB20"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Neméně významným a ojedinělým fenoménem území je uplatnění, výtvarné pojetí a vhodné začlenění technických děl čtyř století do urbanizované krajiny. </w:t>
      </w:r>
    </w:p>
    <w:p w14:paraId="74468A32"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b/>
          <w:bCs/>
          <w:color w:val="000000"/>
          <w:sz w:val="22"/>
          <w:szCs w:val="22"/>
          <w:lang w:eastAsia="cs-CZ"/>
        </w:rPr>
        <w:t>Jedná se o přehlídku mostů:</w:t>
      </w:r>
    </w:p>
    <w:p w14:paraId="51309C9F"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nejstarší, kamenný most přes Ploučnici, 84m dlouhý, z let 1564 - 67 s barokním sousoším od M. J. Brokoffa z r. 1714;</w:t>
      </w:r>
    </w:p>
    <w:p w14:paraId="50F54E5C"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řetězová lávka, 30m dlouhá, pod zámkem (jediná toho druhu v ČR na původním místě</w:t>
      </w:r>
      <w:r w:rsidRPr="006031D6">
        <w:rPr>
          <w:rFonts w:ascii="Arial" w:hAnsi="Arial" w:cs="Arial"/>
          <w:color w:val="000000"/>
          <w:sz w:val="22"/>
          <w:szCs w:val="22"/>
          <w:lang w:eastAsia="cs-CZ"/>
        </w:rPr>
        <w:br/>
        <w:t>- 1831);</w:t>
      </w:r>
    </w:p>
    <w:p w14:paraId="6DCC0E03"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železobetonový most přes Ploučnici z dvacátých let 20. stol.;</w:t>
      </w:r>
    </w:p>
    <w:p w14:paraId="48428D30"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železniční příhradový most přes Labe z konce 19. století;</w:t>
      </w:r>
    </w:p>
    <w:p w14:paraId="3C2F4D45"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Tyršův most, 179m dlouhý, přes Labe, jehož ocelová nýtovaná konstrukce byla dokončena v roce 1933, umístěná na pilířích původního řetězového mostu z roku 1855;</w:t>
      </w:r>
    </w:p>
    <w:p w14:paraId="7DB419F1" w14:textId="77777777" w:rsidR="006031D6" w:rsidRPr="006031D6" w:rsidRDefault="006031D6" w:rsidP="006031D6">
      <w:pPr>
        <w:numPr>
          <w:ilvl w:val="0"/>
          <w:numId w:val="28"/>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moderní estakáda, přemostění Labe a části obou břehů, zajišťující komunikační průtah městem.</w:t>
      </w:r>
    </w:p>
    <w:p w14:paraId="01543681" w14:textId="77777777" w:rsid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16BBA166" w14:textId="77777777" w:rsid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372B71D1" w14:textId="77777777" w:rsid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18BA20E7" w14:textId="77777777" w:rsid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378D021B" w14:textId="77777777" w:rsid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37968486"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2466E3CB" w14:textId="77777777" w:rsidR="006031D6" w:rsidRPr="006031D6" w:rsidRDefault="006031D6" w:rsidP="006031D6">
      <w:pPr>
        <w:keepNext/>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b/>
          <w:bCs/>
          <w:color w:val="000000"/>
          <w:sz w:val="22"/>
          <w:szCs w:val="22"/>
          <w:lang w:eastAsia="cs-CZ"/>
        </w:rPr>
        <w:lastRenderedPageBreak/>
        <w:t>POPIS HRANICE</w:t>
      </w:r>
    </w:p>
    <w:p w14:paraId="1A3DB7CB"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Hranice urbanisticko krajinné památkové zóny Děčín začíná na pravém břehu Labe, severní stranou Tyršova mostu. Pokračuje jihovýchodním směrem stejnojmennou ulicí, dále ulicí Radniční, pokračuje po jižní straně Masarykova náměstí a ulicí Lázeňskou přechází na Zámecké náměstí. Z tohoto náměstí pokračuje ulicí Obloukovou podél jatek a zimního stadionu až na křižovatku s ulicí Březovou. Pokračuje ulicí Rytířskou, stáčí se k jihu ulicí Polabí, na jejímž konci hranice památkové zóny odbočuje směrem západním, přetíná koryto řeky Labe a po místní komunikaci navazuje na ulici Ústeckou. Prochází železničním podjezdem a za ním odbočuje směrem severním po západním chodníku ulice Čs. mládeže.</w:t>
      </w:r>
    </w:p>
    <w:p w14:paraId="4CC0A071"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Na křižovatce u muzea odbočuje severozápadním směrem, ulicí Prokopa Holého dále přetíná ulici Teplickou, pokračuje Úpatní ulicí, obchází synagogu a ulicí Resslovou, následně Žižkovou ulicí směřuje ke vstupu do zoologické zahrady. Odtud pokračuje po východní hranici areálu zoologické zahrady, severním směrem přetíná svah Červeného Vrchu přímo až na křižovatku ulic Bělské a Puchmajerovy. Ulicí Bělskou se stáčí severovýchodně po jižním okraji lesního porostu k železničnímu tunelu. Po jeho přední hraně směřuje k východu, přechází Labské nábřeží zpět na Tyršův most, kde se hranice zóny uzavírá.  </w:t>
      </w:r>
    </w:p>
    <w:p w14:paraId="14D7E3A6"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39450D8E"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b/>
          <w:bCs/>
          <w:caps/>
          <w:color w:val="000000"/>
          <w:sz w:val="22"/>
          <w:szCs w:val="22"/>
          <w:lang w:eastAsia="cs-CZ"/>
        </w:rPr>
        <w:t>návrh podmínek ochrany</w:t>
      </w:r>
    </w:p>
    <w:p w14:paraId="2925C78B" w14:textId="77777777" w:rsidR="006031D6" w:rsidRPr="006031D6" w:rsidRDefault="006031D6" w:rsidP="006031D6">
      <w:pPr>
        <w:numPr>
          <w:ilvl w:val="0"/>
          <w:numId w:val="29"/>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Předmětem ochrany a péče o KZP Děčín je urbanisticko krajinná kompozice vázaná na architektonické soubory a technické zásahy člověka v území (údolí Labe, areál Pastýřská stěny, areál zámku se zahradou a parkem, soubor technických památek a objektů, ostatní kulturní památky a objekty památkového zájmu se svým přirozeným prostředím včetně přírodních prvků).</w:t>
      </w:r>
    </w:p>
    <w:p w14:paraId="2964F9DC" w14:textId="77777777" w:rsidR="006031D6" w:rsidRPr="006031D6" w:rsidRDefault="006031D6" w:rsidP="006031D6">
      <w:pPr>
        <w:numPr>
          <w:ilvl w:val="0"/>
          <w:numId w:val="29"/>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Při pořizování programů a obnově území a při zpracování ÚPD je nutné vycházet z potřebných průzkumů (stavebně historický, krajinářský, vodohospodářský, dendrologický apod.), jejichž druh a rozsah určí příslušný regionální památkový ústav.</w:t>
      </w:r>
    </w:p>
    <w:p w14:paraId="21D24903" w14:textId="77777777" w:rsidR="006031D6" w:rsidRPr="006031D6" w:rsidRDefault="006031D6" w:rsidP="006031D6">
      <w:pPr>
        <w:numPr>
          <w:ilvl w:val="0"/>
          <w:numId w:val="29"/>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Využití jednotlivých částí území, prostorů a objektů musí odpovídat jejich kapacitě, technickým možnostem a krajinnému charakteru prostředí, musí být v souladu s památkovou hodnotou zóny s cílem celkové rehabilitace území.</w:t>
      </w:r>
    </w:p>
    <w:p w14:paraId="1B47B4A2" w14:textId="77777777" w:rsidR="006031D6" w:rsidRPr="006031D6" w:rsidRDefault="006031D6" w:rsidP="006031D6">
      <w:pPr>
        <w:numPr>
          <w:ilvl w:val="0"/>
          <w:numId w:val="29"/>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Při terénních, sadových a krajinářských úpravách, budování technické infrastruktury, nové výstavbě a výsadbě dřevin je nutné respektovat historický charakter území, jeho prostorové uspořádání, měřítko jednotlivých objektů, historické zástavby a krajinného prostředí.</w:t>
      </w:r>
    </w:p>
    <w:p w14:paraId="28E97BB3" w14:textId="77777777" w:rsidR="006031D6" w:rsidRPr="006031D6" w:rsidRDefault="006031D6" w:rsidP="006031D6">
      <w:pPr>
        <w:numPr>
          <w:ilvl w:val="0"/>
          <w:numId w:val="29"/>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Obnovu nebo restaurování nemovitostí je možno provádět jen na základě předchozího průzkumu a dokumentace, jejichž druh a rozsah určí příslušný regionální památkový ústav.</w:t>
      </w:r>
    </w:p>
    <w:p w14:paraId="203B5B7E" w14:textId="77777777" w:rsidR="006031D6" w:rsidRPr="006031D6" w:rsidRDefault="006031D6" w:rsidP="006031D6">
      <w:pPr>
        <w:numPr>
          <w:ilvl w:val="0"/>
          <w:numId w:val="29"/>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Při provádění zemních a výkopových operací v zóně musí být brán zřetel na ochranu a záchranu archeologických nálezů, na zachování a zhodnocení jejich dokumentární funkce. </w:t>
      </w:r>
    </w:p>
    <w:p w14:paraId="2031C5F8" w14:textId="77777777" w:rsidR="006031D6" w:rsidRPr="006031D6" w:rsidRDefault="006031D6" w:rsidP="006031D6">
      <w:pPr>
        <w:numPr>
          <w:ilvl w:val="0"/>
          <w:numId w:val="29"/>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lastRenderedPageBreak/>
        <w:t>Pro zabezpečení památkových hodnot území, nemovitostí a v zájmu ochrany a zajištění kvality zeleně a cenných architektonických prvků musí být prováděny neodkladné udržovací práce.</w:t>
      </w:r>
    </w:p>
    <w:p w14:paraId="308482BA" w14:textId="77777777" w:rsidR="006031D6" w:rsidRPr="006031D6" w:rsidRDefault="006031D6" w:rsidP="006031D6">
      <w:pPr>
        <w:numPr>
          <w:ilvl w:val="0"/>
          <w:numId w:val="29"/>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Respektovat jedinečnost panoramatu a proto více nezatěžovat hlavní pohledový koridor mezi zámkem a Pastýřskou stěnou další výstavbou.</w:t>
      </w:r>
    </w:p>
    <w:p w14:paraId="6697E5EC" w14:textId="77777777" w:rsidR="006031D6" w:rsidRPr="006031D6" w:rsidRDefault="006031D6" w:rsidP="006031D6">
      <w:pPr>
        <w:numPr>
          <w:ilvl w:val="0"/>
          <w:numId w:val="29"/>
        </w:numPr>
        <w:suppressAutoHyphens w:val="0"/>
        <w:autoSpaceDE w:val="0"/>
        <w:autoSpaceDN w:val="0"/>
        <w:adjustRightInd w:val="0"/>
        <w:spacing w:before="120" w:line="288" w:lineRule="auto"/>
        <w:ind w:left="426"/>
        <w:jc w:val="both"/>
        <w:rPr>
          <w:rFonts w:ascii="Arial" w:hAnsi="Arial" w:cs="Arial"/>
          <w:color w:val="000000"/>
          <w:sz w:val="22"/>
          <w:szCs w:val="22"/>
          <w:lang w:eastAsia="cs-CZ"/>
        </w:rPr>
      </w:pPr>
      <w:r w:rsidRPr="006031D6">
        <w:rPr>
          <w:rFonts w:ascii="Arial" w:hAnsi="Arial" w:cs="Arial"/>
          <w:color w:val="000000"/>
          <w:sz w:val="22"/>
          <w:szCs w:val="22"/>
          <w:lang w:eastAsia="cs-CZ"/>
        </w:rPr>
        <w:t>Vhodnými úpravami a využitím ploch jihozápadní, jižní a jihovýchodní části zóny docílit ozdravění tohoto území.</w:t>
      </w:r>
    </w:p>
    <w:p w14:paraId="6C5C6C18"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30ABBAFF"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b/>
          <w:bCs/>
          <w:caps/>
          <w:color w:val="000000"/>
          <w:sz w:val="22"/>
          <w:szCs w:val="22"/>
          <w:lang w:eastAsia="cs-CZ"/>
        </w:rPr>
        <w:t>doporučení</w:t>
      </w:r>
    </w:p>
    <w:p w14:paraId="4731A03A"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Na základě zpracovaných urbanistických levého a pravého břehu (Podmokly, Děčín-střed) a konzultace s referátem kultury OkÚ v Děčíně se doporučuje rozšířit KPZ města zástavbu zahrnující "děčínskou a podmokelskou secesi". </w:t>
      </w:r>
    </w:p>
    <w:p w14:paraId="55DCB7DF"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Na pravém břehu to znamená zahrnout do zóny i bloky severně od kostela sv. Václava včetně areálu Střelnice (dříve Desta klub).</w:t>
      </w:r>
    </w:p>
    <w:p w14:paraId="0F86C7F2"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Na pravém břehu to znamená zahrnout do zóny i bloky vymezené ul. Teplickou, Máchovou, tělesem dráhy ČD (Děčín-Oldřichov u D.).</w:t>
      </w:r>
    </w:p>
    <w:p w14:paraId="40B151E6"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6D9FCD3A"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chybí schéma</w:t>
      </w:r>
    </w:p>
    <w:p w14:paraId="269120C2"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28A28187"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7D4FE3B8"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7CDFF536"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36CF240F"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43A72EA3"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7FB4FF39"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5DB03001"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4B2E91C5"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549B12A0"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5C2658B8"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46266774"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4A5BBA76"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3C0D1B3B"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5DDA8285" w14:textId="77777777" w:rsid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22CE0B39" w14:textId="77777777" w:rsid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55915A8E"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444BD30D" w14:textId="77777777" w:rsidR="006031D6" w:rsidRPr="002F60B7" w:rsidRDefault="006031D6" w:rsidP="006031D6">
      <w:pPr>
        <w:suppressAutoHyphens w:val="0"/>
        <w:autoSpaceDE w:val="0"/>
        <w:autoSpaceDN w:val="0"/>
        <w:adjustRightInd w:val="0"/>
        <w:spacing w:before="56" w:after="56"/>
        <w:ind w:left="680" w:hanging="680"/>
        <w:jc w:val="both"/>
        <w:rPr>
          <w:rFonts w:ascii="Arial" w:hAnsi="Arial" w:cs="Arial"/>
          <w:b/>
          <w:bCs/>
          <w:caps/>
          <w:color w:val="000000"/>
          <w:sz w:val="32"/>
          <w:szCs w:val="32"/>
          <w:lang w:eastAsia="cs-CZ"/>
        </w:rPr>
      </w:pPr>
      <w:r w:rsidRPr="002F60B7">
        <w:rPr>
          <w:rFonts w:ascii="Arial" w:hAnsi="Arial" w:cs="Arial"/>
          <w:b/>
          <w:bCs/>
          <w:caps/>
          <w:color w:val="000000"/>
          <w:sz w:val="32"/>
          <w:szCs w:val="32"/>
          <w:lang w:eastAsia="cs-CZ"/>
        </w:rPr>
        <w:lastRenderedPageBreak/>
        <w:t xml:space="preserve">D4.  </w:t>
      </w:r>
      <w:r w:rsidRPr="002F60B7">
        <w:rPr>
          <w:rFonts w:ascii="Arial" w:hAnsi="Arial" w:cs="Arial"/>
          <w:b/>
          <w:bCs/>
          <w:caps/>
          <w:color w:val="000000"/>
          <w:sz w:val="36"/>
          <w:szCs w:val="36"/>
          <w:lang w:eastAsia="cs-CZ"/>
        </w:rPr>
        <w:t>OCHRANNÁ PÁSMA dopravy</w:t>
      </w:r>
    </w:p>
    <w:p w14:paraId="2BEC6EEB" w14:textId="77777777" w:rsidR="006031D6" w:rsidRPr="002F60B7" w:rsidRDefault="006031D6" w:rsidP="006031D6">
      <w:pPr>
        <w:suppressAutoHyphens w:val="0"/>
        <w:autoSpaceDE w:val="0"/>
        <w:autoSpaceDN w:val="0"/>
        <w:adjustRightInd w:val="0"/>
        <w:ind w:firstLine="567"/>
        <w:jc w:val="both"/>
        <w:rPr>
          <w:rFonts w:ascii="Arial" w:hAnsi="Arial" w:cs="Arial"/>
          <w:color w:val="000000"/>
          <w:sz w:val="20"/>
          <w:szCs w:val="20"/>
          <w:lang w:eastAsia="cs-CZ"/>
        </w:rPr>
      </w:pPr>
    </w:p>
    <w:p w14:paraId="2867F501" w14:textId="77777777" w:rsidR="006031D6" w:rsidRPr="002F60B7"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2F60B7">
        <w:rPr>
          <w:rFonts w:ascii="Arial" w:hAnsi="Arial" w:cs="Arial"/>
          <w:b/>
          <w:bCs/>
          <w:caps/>
          <w:color w:val="000000"/>
          <w:sz w:val="22"/>
          <w:szCs w:val="22"/>
          <w:lang w:eastAsia="cs-CZ"/>
        </w:rPr>
        <w:t>Silniční ochranné pásmo</w:t>
      </w:r>
      <w:r w:rsidRPr="002F60B7">
        <w:rPr>
          <w:rFonts w:ascii="Arial" w:hAnsi="Arial" w:cs="Arial"/>
          <w:caps/>
          <w:color w:val="000000"/>
          <w:sz w:val="22"/>
          <w:szCs w:val="22"/>
          <w:lang w:eastAsia="cs-CZ"/>
        </w:rPr>
        <w:t xml:space="preserve"> </w:t>
      </w:r>
    </w:p>
    <w:p w14:paraId="372EF3B7" w14:textId="07702C8B" w:rsidR="006031D6" w:rsidRPr="002F60B7"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2F60B7">
        <w:rPr>
          <w:rFonts w:ascii="Arial" w:hAnsi="Arial" w:cs="Arial"/>
          <w:color w:val="000000"/>
          <w:sz w:val="22"/>
          <w:szCs w:val="22"/>
          <w:lang w:eastAsia="cs-CZ"/>
        </w:rPr>
        <w:t>Toto ochranné pásmo upravuje zákon č. 13/1997 Sb. o pozemních komunikacích</w:t>
      </w:r>
      <w:r w:rsidR="002F60B7">
        <w:rPr>
          <w:rFonts w:ascii="Arial" w:hAnsi="Arial" w:cs="Arial"/>
          <w:color w:val="000000"/>
          <w:sz w:val="22"/>
          <w:szCs w:val="22"/>
          <w:lang w:eastAsia="cs-CZ"/>
        </w:rPr>
        <w:t xml:space="preserve"> </w:t>
      </w:r>
      <w:r w:rsidR="002F60B7" w:rsidRPr="007B2506">
        <w:rPr>
          <w:rFonts w:ascii="Arial" w:hAnsi="Arial" w:cs="Arial"/>
          <w:color w:val="18B8B0"/>
          <w:sz w:val="22"/>
          <w:szCs w:val="22"/>
          <w:lang w:eastAsia="cs-CZ"/>
        </w:rPr>
        <w:t>ve znění pozdějších předpisů</w:t>
      </w:r>
      <w:r w:rsidRPr="007B2506">
        <w:rPr>
          <w:rFonts w:ascii="Arial" w:hAnsi="Arial" w:cs="Arial"/>
          <w:color w:val="000000"/>
          <w:sz w:val="22"/>
          <w:szCs w:val="22"/>
          <w:lang w:eastAsia="cs-CZ"/>
        </w:rPr>
        <w:t>.</w:t>
      </w:r>
      <w:r w:rsidRPr="002F60B7">
        <w:rPr>
          <w:rFonts w:ascii="Arial" w:hAnsi="Arial" w:cs="Arial"/>
          <w:color w:val="000000"/>
          <w:sz w:val="22"/>
          <w:szCs w:val="22"/>
          <w:lang w:eastAsia="cs-CZ"/>
        </w:rPr>
        <w:t xml:space="preserve"> Zřizuje se na dálnicích, silnicích a místních komunikacích I. nebo II. třídy mimo zastavěné </w:t>
      </w:r>
      <w:r w:rsidRPr="007B2506">
        <w:rPr>
          <w:rFonts w:ascii="Arial" w:hAnsi="Arial" w:cs="Arial"/>
          <w:color w:val="000000"/>
          <w:sz w:val="22"/>
          <w:szCs w:val="22"/>
          <w:lang w:eastAsia="cs-CZ"/>
        </w:rPr>
        <w:t xml:space="preserve">území </w:t>
      </w:r>
      <w:r w:rsidR="002F60B7" w:rsidRPr="007B2506">
        <w:rPr>
          <w:rFonts w:ascii="Arial" w:hAnsi="Arial" w:cs="Arial"/>
          <w:color w:val="18B8B0"/>
          <w:sz w:val="22"/>
          <w:szCs w:val="22"/>
          <w:lang w:eastAsia="cs-CZ"/>
        </w:rPr>
        <w:t>obce</w:t>
      </w:r>
      <w:r w:rsidRPr="007B2506">
        <w:rPr>
          <w:rFonts w:ascii="Arial" w:hAnsi="Arial" w:cs="Arial"/>
          <w:color w:val="000000"/>
          <w:sz w:val="22"/>
          <w:szCs w:val="22"/>
          <w:lang w:eastAsia="cs-CZ"/>
        </w:rPr>
        <w:t>.</w:t>
      </w:r>
      <w:r w:rsidRPr="002F60B7">
        <w:rPr>
          <w:rFonts w:ascii="Arial" w:hAnsi="Arial" w:cs="Arial"/>
          <w:color w:val="000000"/>
          <w:sz w:val="22"/>
          <w:szCs w:val="22"/>
          <w:lang w:eastAsia="cs-CZ"/>
        </w:rPr>
        <w:t xml:space="preserve"> </w:t>
      </w:r>
    </w:p>
    <w:p w14:paraId="1F4890D8" w14:textId="6BDBFA6B" w:rsidR="006031D6" w:rsidRPr="002F60B7"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2F60B7">
        <w:rPr>
          <w:rFonts w:ascii="Arial" w:hAnsi="Arial" w:cs="Arial"/>
          <w:color w:val="000000"/>
          <w:sz w:val="22"/>
          <w:szCs w:val="22"/>
          <w:lang w:eastAsia="cs-CZ"/>
        </w:rPr>
        <w:t xml:space="preserve">Silniční ochranné pásmo </w:t>
      </w:r>
      <w:r w:rsidR="002F60B7" w:rsidRPr="007B2506">
        <w:rPr>
          <w:rFonts w:ascii="Arial" w:hAnsi="Arial" w:cs="Arial"/>
          <w:color w:val="18B8B0"/>
          <w:sz w:val="22"/>
          <w:szCs w:val="22"/>
          <w:lang w:eastAsia="cs-CZ"/>
        </w:rPr>
        <w:t>představuje prostor ohraničený svislými plochami vedenými do výšky 50 m, pro silnice I. a II. třídy ve vzdálenosti</w:t>
      </w:r>
      <w:r w:rsidRPr="007B2506">
        <w:rPr>
          <w:rFonts w:ascii="Arial" w:hAnsi="Arial" w:cs="Arial"/>
          <w:color w:val="000000"/>
          <w:sz w:val="22"/>
          <w:szCs w:val="22"/>
          <w:lang w:eastAsia="cs-CZ"/>
        </w:rPr>
        <w:t>:</w:t>
      </w:r>
    </w:p>
    <w:p w14:paraId="3DE96E62" w14:textId="7122DD78" w:rsidR="006031D6" w:rsidRPr="007B2506" w:rsidRDefault="006031D6" w:rsidP="00D75F38">
      <w:pPr>
        <w:numPr>
          <w:ilvl w:val="0"/>
          <w:numId w:val="28"/>
        </w:numPr>
        <w:suppressAutoHyphens w:val="0"/>
        <w:autoSpaceDE w:val="0"/>
        <w:autoSpaceDN w:val="0"/>
        <w:adjustRightInd w:val="0"/>
        <w:spacing w:before="120" w:line="288" w:lineRule="auto"/>
        <w:jc w:val="both"/>
        <w:rPr>
          <w:rFonts w:ascii="Arial" w:hAnsi="Arial" w:cs="Arial"/>
          <w:color w:val="000000"/>
          <w:sz w:val="22"/>
          <w:szCs w:val="22"/>
          <w:lang w:eastAsia="cs-CZ"/>
        </w:rPr>
      </w:pPr>
      <w:r w:rsidRPr="002F60B7">
        <w:rPr>
          <w:rFonts w:ascii="Arial" w:hAnsi="Arial" w:cs="Arial"/>
          <w:b/>
          <w:bCs/>
          <w:color w:val="000000"/>
          <w:sz w:val="22"/>
          <w:szCs w:val="22"/>
          <w:lang w:eastAsia="cs-CZ"/>
        </w:rPr>
        <w:t>50 m</w:t>
      </w:r>
      <w:r w:rsidRPr="002F60B7">
        <w:rPr>
          <w:rFonts w:ascii="Arial" w:hAnsi="Arial" w:cs="Arial"/>
          <w:color w:val="000000"/>
          <w:sz w:val="22"/>
          <w:szCs w:val="22"/>
          <w:lang w:eastAsia="cs-CZ"/>
        </w:rPr>
        <w:t xml:space="preserve"> </w:t>
      </w:r>
      <w:r w:rsidR="00D75F38" w:rsidRPr="007B2506">
        <w:rPr>
          <w:rFonts w:ascii="Arial" w:hAnsi="Arial" w:cs="Arial"/>
          <w:color w:val="18B8B0"/>
          <w:sz w:val="22"/>
          <w:szCs w:val="22"/>
          <w:lang w:eastAsia="cs-CZ"/>
        </w:rPr>
        <w:t>od osy vozovky nebo přilehlého jízdního pásu silnice I. třídy nebo místní komunikace I. třídy</w:t>
      </w:r>
      <w:r w:rsidRPr="007B2506">
        <w:rPr>
          <w:rFonts w:ascii="Arial" w:hAnsi="Arial" w:cs="Arial"/>
          <w:color w:val="000000"/>
          <w:sz w:val="22"/>
          <w:szCs w:val="22"/>
          <w:lang w:eastAsia="cs-CZ"/>
        </w:rPr>
        <w:t>;</w:t>
      </w:r>
    </w:p>
    <w:p w14:paraId="3F3C7D1E" w14:textId="61973582" w:rsidR="006031D6" w:rsidRPr="007B2506" w:rsidRDefault="006031D6" w:rsidP="00D75F38">
      <w:pPr>
        <w:numPr>
          <w:ilvl w:val="0"/>
          <w:numId w:val="28"/>
        </w:numPr>
        <w:suppressAutoHyphens w:val="0"/>
        <w:autoSpaceDE w:val="0"/>
        <w:autoSpaceDN w:val="0"/>
        <w:adjustRightInd w:val="0"/>
        <w:spacing w:before="120" w:line="288" w:lineRule="auto"/>
        <w:jc w:val="both"/>
        <w:rPr>
          <w:rFonts w:ascii="Arial" w:hAnsi="Arial" w:cs="Arial"/>
          <w:color w:val="000000"/>
          <w:sz w:val="22"/>
          <w:szCs w:val="22"/>
          <w:lang w:eastAsia="cs-CZ"/>
        </w:rPr>
      </w:pPr>
      <w:r w:rsidRPr="007B2506">
        <w:rPr>
          <w:rFonts w:ascii="Arial" w:hAnsi="Arial" w:cs="Arial"/>
          <w:b/>
          <w:bCs/>
          <w:color w:val="000000"/>
          <w:sz w:val="22"/>
          <w:szCs w:val="22"/>
          <w:lang w:eastAsia="cs-CZ"/>
        </w:rPr>
        <w:t>15 m</w:t>
      </w:r>
      <w:r w:rsidRPr="007B2506">
        <w:rPr>
          <w:rFonts w:ascii="Arial" w:hAnsi="Arial" w:cs="Arial"/>
          <w:color w:val="000000"/>
          <w:sz w:val="22"/>
          <w:szCs w:val="22"/>
          <w:lang w:eastAsia="cs-CZ"/>
        </w:rPr>
        <w:t xml:space="preserve"> </w:t>
      </w:r>
      <w:r w:rsidR="00D75F38" w:rsidRPr="007B2506">
        <w:rPr>
          <w:rFonts w:ascii="Arial" w:hAnsi="Arial" w:cs="Arial"/>
          <w:color w:val="18B8B0"/>
          <w:sz w:val="22"/>
          <w:szCs w:val="22"/>
          <w:lang w:eastAsia="cs-CZ"/>
        </w:rPr>
        <w:t>od osy vozovky nebo od osy přilehlého jízdního pásu silnice II. třídy nebo III. třídy a místní komunikace II. třídy</w:t>
      </w:r>
      <w:r w:rsidRPr="007B2506">
        <w:rPr>
          <w:rFonts w:ascii="Arial" w:hAnsi="Arial" w:cs="Arial"/>
          <w:color w:val="000000"/>
          <w:sz w:val="22"/>
          <w:szCs w:val="22"/>
          <w:lang w:eastAsia="cs-CZ"/>
        </w:rPr>
        <w:t>.</w:t>
      </w:r>
    </w:p>
    <w:p w14:paraId="0E98C7BC" w14:textId="00ECB23E" w:rsidR="006031D6" w:rsidRPr="002F60B7"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2F60B7">
        <w:rPr>
          <w:rFonts w:ascii="Arial" w:hAnsi="Arial" w:cs="Arial"/>
          <w:color w:val="000000"/>
          <w:sz w:val="22"/>
          <w:szCs w:val="22"/>
          <w:lang w:eastAsia="cs-CZ"/>
        </w:rPr>
        <w:t xml:space="preserve">V silničních ochranných </w:t>
      </w:r>
      <w:r w:rsidRPr="007B2506">
        <w:rPr>
          <w:rFonts w:ascii="Arial" w:hAnsi="Arial" w:cs="Arial"/>
          <w:color w:val="000000"/>
          <w:sz w:val="22"/>
          <w:szCs w:val="22"/>
          <w:lang w:eastAsia="cs-CZ"/>
        </w:rPr>
        <w:t xml:space="preserve">pásmech </w:t>
      </w:r>
      <w:r w:rsidR="00D75F38" w:rsidRPr="007B2506">
        <w:rPr>
          <w:rFonts w:ascii="Arial" w:hAnsi="Arial" w:cs="Arial"/>
          <w:color w:val="18B8B0"/>
          <w:sz w:val="22"/>
          <w:szCs w:val="22"/>
          <w:lang w:eastAsia="cs-CZ"/>
        </w:rPr>
        <w:t>lze provádět stavby a nestavební záměry pouze na základě povolení příslušného stavebního úřadu. Vlastník pozemní komunikace je vždy účastníkem řízení o povolení stavby nebo činnosti v ochranném pásmu</w:t>
      </w:r>
      <w:r w:rsidRPr="007B2506">
        <w:rPr>
          <w:rFonts w:ascii="Arial" w:hAnsi="Arial" w:cs="Arial"/>
          <w:color w:val="000000"/>
          <w:sz w:val="22"/>
          <w:szCs w:val="22"/>
          <w:lang w:eastAsia="cs-CZ"/>
        </w:rPr>
        <w:t>.</w:t>
      </w:r>
      <w:r w:rsidRPr="002F60B7">
        <w:rPr>
          <w:rFonts w:ascii="Arial" w:hAnsi="Arial" w:cs="Arial"/>
          <w:color w:val="000000"/>
          <w:sz w:val="22"/>
          <w:szCs w:val="22"/>
          <w:lang w:eastAsia="cs-CZ"/>
        </w:rPr>
        <w:t xml:space="preserve"> </w:t>
      </w:r>
    </w:p>
    <w:p w14:paraId="163336FD"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2F60B7">
        <w:rPr>
          <w:rFonts w:ascii="Arial" w:hAnsi="Arial" w:cs="Arial"/>
          <w:color w:val="000000"/>
          <w:sz w:val="22"/>
          <w:szCs w:val="22"/>
          <w:lang w:eastAsia="cs-CZ"/>
        </w:rPr>
        <w:t>Výjimky z ochranného pásma uděluje silniční správní úřad za podmínek uvedených v zákoně.</w:t>
      </w:r>
    </w:p>
    <w:p w14:paraId="45D14A85" w14:textId="77777777" w:rsidR="00D75F38" w:rsidRDefault="00D75F38" w:rsidP="006031D6">
      <w:pPr>
        <w:suppressAutoHyphens w:val="0"/>
        <w:autoSpaceDE w:val="0"/>
        <w:autoSpaceDN w:val="0"/>
        <w:adjustRightInd w:val="0"/>
        <w:spacing w:before="120" w:line="288" w:lineRule="auto"/>
        <w:ind w:firstLine="567"/>
        <w:jc w:val="both"/>
        <w:rPr>
          <w:rFonts w:ascii="Arial" w:hAnsi="Arial" w:cs="Arial"/>
          <w:b/>
          <w:bCs/>
          <w:caps/>
          <w:color w:val="000000"/>
          <w:sz w:val="22"/>
          <w:szCs w:val="22"/>
          <w:lang w:eastAsia="cs-CZ"/>
        </w:rPr>
      </w:pPr>
    </w:p>
    <w:p w14:paraId="0924BC84"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b/>
          <w:bCs/>
          <w:caps/>
          <w:color w:val="000000"/>
          <w:sz w:val="22"/>
          <w:szCs w:val="22"/>
          <w:lang w:eastAsia="cs-CZ"/>
        </w:rPr>
        <w:t>Ochranné pásmo dráhy</w:t>
      </w:r>
      <w:r w:rsidRPr="006031D6">
        <w:rPr>
          <w:rFonts w:ascii="Arial" w:hAnsi="Arial" w:cs="Arial"/>
          <w:caps/>
          <w:color w:val="000000"/>
          <w:sz w:val="22"/>
          <w:szCs w:val="22"/>
          <w:lang w:eastAsia="cs-CZ"/>
        </w:rPr>
        <w:t xml:space="preserve"> </w:t>
      </w:r>
    </w:p>
    <w:p w14:paraId="6160D284"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Ustanovení o ochranném pásmu obsahuje zákon o drahách.</w:t>
      </w:r>
    </w:p>
    <w:p w14:paraId="5A79057E"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Ochranné pásmo dráhy činí:</w:t>
      </w:r>
    </w:p>
    <w:p w14:paraId="6FD4900E" w14:textId="77777777" w:rsidR="006031D6" w:rsidRPr="006031D6" w:rsidRDefault="006031D6" w:rsidP="006031D6">
      <w:pPr>
        <w:numPr>
          <w:ilvl w:val="0"/>
          <w:numId w:val="28"/>
        </w:numPr>
        <w:suppressAutoHyphens w:val="0"/>
        <w:autoSpaceDE w:val="0"/>
        <w:autoSpaceDN w:val="0"/>
        <w:adjustRightInd w:val="0"/>
        <w:spacing w:before="120" w:line="288" w:lineRule="auto"/>
        <w:ind w:left="1134"/>
        <w:jc w:val="both"/>
        <w:rPr>
          <w:rFonts w:ascii="Arial" w:hAnsi="Arial" w:cs="Arial"/>
          <w:color w:val="000000"/>
          <w:sz w:val="22"/>
          <w:szCs w:val="22"/>
          <w:lang w:eastAsia="cs-CZ"/>
        </w:rPr>
      </w:pPr>
      <w:r w:rsidRPr="006031D6">
        <w:rPr>
          <w:rFonts w:ascii="Arial" w:hAnsi="Arial" w:cs="Arial"/>
          <w:b/>
          <w:bCs/>
          <w:color w:val="000000"/>
          <w:sz w:val="22"/>
          <w:szCs w:val="22"/>
          <w:lang w:eastAsia="cs-CZ"/>
        </w:rPr>
        <w:t>u drah celostátních</w:t>
      </w:r>
      <w:r w:rsidRPr="006031D6">
        <w:rPr>
          <w:rFonts w:ascii="Arial" w:hAnsi="Arial" w:cs="Arial"/>
          <w:color w:val="000000"/>
          <w:sz w:val="22"/>
          <w:szCs w:val="22"/>
          <w:lang w:eastAsia="cs-CZ"/>
        </w:rPr>
        <w:t xml:space="preserve"> (tratě tvořící souvislou železniční síť) </w:t>
      </w:r>
      <w:r w:rsidRPr="006031D6">
        <w:rPr>
          <w:rFonts w:ascii="Arial" w:hAnsi="Arial" w:cs="Arial"/>
          <w:b/>
          <w:bCs/>
          <w:color w:val="000000"/>
          <w:sz w:val="22"/>
          <w:szCs w:val="22"/>
          <w:lang w:eastAsia="cs-CZ"/>
        </w:rPr>
        <w:t>60 m od osy</w:t>
      </w:r>
      <w:r w:rsidRPr="006031D6">
        <w:rPr>
          <w:rFonts w:ascii="Arial" w:hAnsi="Arial" w:cs="Arial"/>
          <w:color w:val="000000"/>
          <w:sz w:val="22"/>
          <w:szCs w:val="22"/>
          <w:lang w:eastAsia="cs-CZ"/>
        </w:rPr>
        <w:t xml:space="preserve"> krajní koleje,</w:t>
      </w:r>
      <w:r w:rsidRPr="006031D6">
        <w:rPr>
          <w:rFonts w:ascii="Arial" w:hAnsi="Arial" w:cs="Arial"/>
          <w:b/>
          <w:bCs/>
          <w:color w:val="000000"/>
          <w:sz w:val="22"/>
          <w:szCs w:val="22"/>
          <w:lang w:eastAsia="cs-CZ"/>
        </w:rPr>
        <w:t xml:space="preserve"> nejméně však 30 m od hranic</w:t>
      </w:r>
      <w:r w:rsidRPr="006031D6">
        <w:rPr>
          <w:rFonts w:ascii="Arial" w:hAnsi="Arial" w:cs="Arial"/>
          <w:color w:val="000000"/>
          <w:sz w:val="22"/>
          <w:szCs w:val="22"/>
          <w:lang w:eastAsia="cs-CZ"/>
        </w:rPr>
        <w:t xml:space="preserve"> obvodu dráhy (tj. od hranic drážních pozemků);</w:t>
      </w:r>
    </w:p>
    <w:p w14:paraId="48A76EC2" w14:textId="77777777" w:rsidR="006031D6" w:rsidRPr="006031D6" w:rsidRDefault="006031D6" w:rsidP="006031D6">
      <w:pPr>
        <w:numPr>
          <w:ilvl w:val="0"/>
          <w:numId w:val="28"/>
        </w:numPr>
        <w:suppressAutoHyphens w:val="0"/>
        <w:autoSpaceDE w:val="0"/>
        <w:autoSpaceDN w:val="0"/>
        <w:adjustRightInd w:val="0"/>
        <w:spacing w:before="120" w:line="288" w:lineRule="auto"/>
        <w:ind w:left="1134"/>
        <w:jc w:val="both"/>
        <w:rPr>
          <w:rFonts w:ascii="Arial" w:hAnsi="Arial" w:cs="Arial"/>
          <w:color w:val="000000"/>
          <w:sz w:val="22"/>
          <w:szCs w:val="22"/>
          <w:lang w:eastAsia="cs-CZ"/>
        </w:rPr>
      </w:pPr>
      <w:r w:rsidRPr="006031D6">
        <w:rPr>
          <w:rFonts w:ascii="Arial" w:hAnsi="Arial" w:cs="Arial"/>
          <w:b/>
          <w:bCs/>
          <w:color w:val="000000"/>
          <w:sz w:val="22"/>
          <w:szCs w:val="22"/>
          <w:lang w:eastAsia="cs-CZ"/>
        </w:rPr>
        <w:t>u vleček</w:t>
      </w:r>
      <w:r w:rsidRPr="006031D6">
        <w:rPr>
          <w:rFonts w:ascii="Arial" w:hAnsi="Arial" w:cs="Arial"/>
          <w:color w:val="000000"/>
          <w:sz w:val="22"/>
          <w:szCs w:val="22"/>
          <w:lang w:eastAsia="cs-CZ"/>
        </w:rPr>
        <w:t xml:space="preserve">, městských rychlodrah a drah zvláštního určení (jako dráhy lesní, důlní, lanové) </w:t>
      </w:r>
      <w:r w:rsidRPr="006031D6">
        <w:rPr>
          <w:rFonts w:ascii="Arial" w:hAnsi="Arial" w:cs="Arial"/>
          <w:b/>
          <w:bCs/>
          <w:color w:val="000000"/>
          <w:sz w:val="22"/>
          <w:szCs w:val="22"/>
          <w:lang w:eastAsia="cs-CZ"/>
        </w:rPr>
        <w:t>30 m od osy</w:t>
      </w:r>
      <w:r w:rsidRPr="006031D6">
        <w:rPr>
          <w:rFonts w:ascii="Arial" w:hAnsi="Arial" w:cs="Arial"/>
          <w:color w:val="000000"/>
          <w:sz w:val="22"/>
          <w:szCs w:val="22"/>
          <w:lang w:eastAsia="cs-CZ"/>
        </w:rPr>
        <w:t xml:space="preserve"> krajní koleje.</w:t>
      </w:r>
    </w:p>
    <w:p w14:paraId="5A50E41D"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Ustanovení o ochranném pásmu se nevztahuje na vlečky v uzavřeném obvodu závodu nebo přístavu, takže v tomto případě není třeba žádat o udělení výjimky z ochranného pásma dráhy.</w:t>
      </w:r>
    </w:p>
    <w:p w14:paraId="6C4C0BFE"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V ochranném pásmu je povoleno stavět pouze drážní stavby. Stavební činnost neželezničního investora je možná pouze s nutným souhlasem Drážního úřadu.</w:t>
      </w:r>
    </w:p>
    <w:p w14:paraId="3C74F8D9" w14:textId="77777777" w:rsid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6E7B741F" w14:textId="77777777" w:rsid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1122BA8E" w14:textId="77777777" w:rsid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7C5BA5A3"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62EE4610" w14:textId="77777777" w:rsidR="006031D6" w:rsidRPr="006031D6" w:rsidRDefault="006031D6" w:rsidP="006031D6">
      <w:pPr>
        <w:keepNext/>
        <w:keepLines/>
        <w:suppressAutoHyphens w:val="0"/>
        <w:autoSpaceDE w:val="0"/>
        <w:autoSpaceDN w:val="0"/>
        <w:adjustRightInd w:val="0"/>
        <w:spacing w:before="141" w:after="73"/>
        <w:jc w:val="both"/>
        <w:rPr>
          <w:rFonts w:ascii="Arial" w:hAnsi="Arial" w:cs="Arial"/>
          <w:b/>
          <w:bCs/>
          <w:caps/>
          <w:color w:val="000000"/>
          <w:sz w:val="44"/>
          <w:szCs w:val="44"/>
          <w:lang w:eastAsia="cs-CZ"/>
        </w:rPr>
      </w:pPr>
      <w:r w:rsidRPr="006031D6">
        <w:rPr>
          <w:rFonts w:ascii="Arial" w:hAnsi="Arial" w:cs="Arial"/>
          <w:b/>
          <w:bCs/>
          <w:caps/>
          <w:color w:val="000000"/>
          <w:sz w:val="32"/>
          <w:szCs w:val="32"/>
          <w:lang w:eastAsia="cs-CZ"/>
        </w:rPr>
        <w:lastRenderedPageBreak/>
        <w:t>D5.  ochranná pásma vodního hospodářství</w:t>
      </w:r>
    </w:p>
    <w:p w14:paraId="6A02CAB9" w14:textId="77777777" w:rsidR="006031D6" w:rsidRPr="006031D6" w:rsidRDefault="006031D6" w:rsidP="006031D6">
      <w:pPr>
        <w:keepNext/>
        <w:suppressAutoHyphens w:val="0"/>
        <w:autoSpaceDE w:val="0"/>
        <w:autoSpaceDN w:val="0"/>
        <w:adjustRightInd w:val="0"/>
        <w:ind w:firstLine="567"/>
        <w:jc w:val="both"/>
        <w:rPr>
          <w:rFonts w:ascii="Arial" w:hAnsi="Arial" w:cs="Arial"/>
          <w:color w:val="000000"/>
          <w:sz w:val="20"/>
          <w:szCs w:val="20"/>
          <w:lang w:eastAsia="cs-CZ"/>
        </w:rPr>
      </w:pPr>
    </w:p>
    <w:p w14:paraId="0827FF2A" w14:textId="77777777" w:rsidR="006031D6" w:rsidRPr="006031D6" w:rsidRDefault="006031D6" w:rsidP="006031D6">
      <w:pPr>
        <w:keepNext/>
        <w:numPr>
          <w:ilvl w:val="0"/>
          <w:numId w:val="30"/>
        </w:numPr>
        <w:tabs>
          <w:tab w:val="left" w:pos="36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CHOPAV Severočeská křída</w:t>
      </w:r>
    </w:p>
    <w:p w14:paraId="0174AD94" w14:textId="77777777" w:rsidR="006031D6" w:rsidRPr="006031D6" w:rsidRDefault="006031D6" w:rsidP="006031D6">
      <w:pPr>
        <w:suppressAutoHyphens w:val="0"/>
        <w:autoSpaceDE w:val="0"/>
        <w:autoSpaceDN w:val="0"/>
        <w:adjustRightInd w:val="0"/>
        <w:spacing w:before="120" w:line="288" w:lineRule="auto"/>
        <w:ind w:left="1134"/>
        <w:jc w:val="both"/>
        <w:rPr>
          <w:rFonts w:ascii="Arial" w:hAnsi="Arial" w:cs="Arial"/>
          <w:color w:val="000000"/>
          <w:sz w:val="22"/>
          <w:szCs w:val="22"/>
          <w:lang w:eastAsia="cs-CZ"/>
        </w:rPr>
      </w:pPr>
      <w:r w:rsidRPr="006031D6">
        <w:rPr>
          <w:rFonts w:ascii="Arial" w:hAnsi="Arial" w:cs="Arial"/>
          <w:color w:val="000000"/>
          <w:sz w:val="22"/>
          <w:szCs w:val="22"/>
          <w:lang w:eastAsia="cs-CZ"/>
        </w:rPr>
        <w:t>Omezení se týká rozsahu lesní těžby, odvodnění, těžby nerostů, vrtných prací a zemědělského využívání.</w:t>
      </w:r>
    </w:p>
    <w:p w14:paraId="7433A688" w14:textId="77777777" w:rsidR="006031D6" w:rsidRPr="006031D6" w:rsidRDefault="006031D6" w:rsidP="006031D6">
      <w:pPr>
        <w:numPr>
          <w:ilvl w:val="0"/>
          <w:numId w:val="30"/>
        </w:numPr>
        <w:tabs>
          <w:tab w:val="left" w:pos="36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PHO vodních zdrojů</w:t>
      </w:r>
    </w:p>
    <w:p w14:paraId="7C88B035" w14:textId="77777777" w:rsidR="006031D6" w:rsidRPr="006031D6" w:rsidRDefault="006031D6" w:rsidP="006031D6">
      <w:pPr>
        <w:suppressAutoHyphens w:val="0"/>
        <w:autoSpaceDE w:val="0"/>
        <w:autoSpaceDN w:val="0"/>
        <w:adjustRightInd w:val="0"/>
        <w:spacing w:before="120" w:line="288" w:lineRule="auto"/>
        <w:ind w:left="1134"/>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PHO I., II.A a II.B stupně mají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prameniště Děčínský Sněžník.</w:t>
      </w:r>
    </w:p>
    <w:p w14:paraId="22DCCFED" w14:textId="77777777" w:rsidR="006031D6" w:rsidRPr="006031D6" w:rsidRDefault="006031D6" w:rsidP="006031D6">
      <w:pPr>
        <w:suppressAutoHyphens w:val="0"/>
        <w:autoSpaceDE w:val="0"/>
        <w:autoSpaceDN w:val="0"/>
        <w:adjustRightInd w:val="0"/>
        <w:spacing w:before="120" w:line="288" w:lineRule="auto"/>
        <w:ind w:left="1134"/>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 </w:t>
      </w:r>
      <w:r w:rsidRPr="006031D6">
        <w:rPr>
          <w:rFonts w:ascii="Arial" w:hAnsi="Arial" w:cs="Arial"/>
          <w:color w:val="000000"/>
          <w:sz w:val="22"/>
          <w:szCs w:val="22"/>
          <w:lang w:eastAsia="cs-CZ"/>
        </w:rPr>
        <w:tab/>
        <w:t>prameniště Bynov</w:t>
      </w:r>
    </w:p>
    <w:p w14:paraId="0C217584" w14:textId="77777777" w:rsidR="006031D6" w:rsidRPr="006031D6" w:rsidRDefault="006031D6" w:rsidP="006031D6">
      <w:pPr>
        <w:suppressAutoHyphens w:val="0"/>
        <w:autoSpaceDE w:val="0"/>
        <w:autoSpaceDN w:val="0"/>
        <w:adjustRightInd w:val="0"/>
        <w:spacing w:before="120" w:line="288" w:lineRule="auto"/>
        <w:ind w:left="1134"/>
        <w:jc w:val="both"/>
        <w:rPr>
          <w:rFonts w:ascii="Arial" w:hAnsi="Arial" w:cs="Arial"/>
          <w:color w:val="000000"/>
          <w:sz w:val="22"/>
          <w:szCs w:val="22"/>
          <w:lang w:eastAsia="cs-CZ"/>
        </w:rPr>
      </w:pP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 xml:space="preserve"> </w:t>
      </w:r>
      <w:r w:rsidRPr="006031D6">
        <w:rPr>
          <w:rFonts w:ascii="Arial" w:hAnsi="Arial" w:cs="Arial"/>
          <w:color w:val="000000"/>
          <w:sz w:val="22"/>
          <w:szCs w:val="22"/>
          <w:lang w:eastAsia="cs-CZ"/>
        </w:rPr>
        <w:tab/>
      </w:r>
      <w:r w:rsidRPr="006031D6">
        <w:rPr>
          <w:rFonts w:ascii="Arial" w:hAnsi="Arial" w:cs="Arial"/>
          <w:color w:val="000000"/>
          <w:sz w:val="22"/>
          <w:szCs w:val="22"/>
          <w:lang w:eastAsia="cs-CZ"/>
        </w:rPr>
        <w:tab/>
        <w:t>prameniště Maxičky</w:t>
      </w:r>
    </w:p>
    <w:p w14:paraId="7AA60830" w14:textId="77777777" w:rsidR="006031D6" w:rsidRPr="006031D6" w:rsidRDefault="006031D6" w:rsidP="006031D6">
      <w:pPr>
        <w:suppressAutoHyphens w:val="0"/>
        <w:autoSpaceDE w:val="0"/>
        <w:autoSpaceDN w:val="0"/>
        <w:adjustRightInd w:val="0"/>
        <w:spacing w:before="120" w:line="288" w:lineRule="auto"/>
        <w:ind w:left="1134"/>
        <w:jc w:val="both"/>
        <w:rPr>
          <w:rFonts w:ascii="Arial" w:hAnsi="Arial" w:cs="Arial"/>
          <w:color w:val="000000"/>
          <w:sz w:val="22"/>
          <w:szCs w:val="22"/>
          <w:lang w:eastAsia="cs-CZ"/>
        </w:rPr>
      </w:pPr>
      <w:r w:rsidRPr="006031D6">
        <w:rPr>
          <w:rFonts w:ascii="Arial" w:hAnsi="Arial" w:cs="Arial"/>
          <w:color w:val="000000"/>
          <w:sz w:val="22"/>
          <w:szCs w:val="22"/>
          <w:lang w:eastAsia="cs-CZ"/>
        </w:rPr>
        <w:t>místní zdroje mají vyhlášena I. PHO.</w:t>
      </w:r>
    </w:p>
    <w:p w14:paraId="4E952554" w14:textId="77777777" w:rsidR="006031D6" w:rsidRPr="006031D6" w:rsidRDefault="006031D6" w:rsidP="006031D6">
      <w:pPr>
        <w:suppressAutoHyphens w:val="0"/>
        <w:autoSpaceDE w:val="0"/>
        <w:autoSpaceDN w:val="0"/>
        <w:adjustRightInd w:val="0"/>
        <w:spacing w:before="120" w:line="288" w:lineRule="auto"/>
        <w:ind w:left="1134"/>
        <w:jc w:val="both"/>
        <w:rPr>
          <w:rFonts w:ascii="Arial" w:hAnsi="Arial" w:cs="Arial"/>
          <w:color w:val="000000"/>
          <w:sz w:val="22"/>
          <w:szCs w:val="22"/>
          <w:lang w:eastAsia="cs-CZ"/>
        </w:rPr>
      </w:pPr>
      <w:r w:rsidRPr="006031D6">
        <w:rPr>
          <w:rFonts w:ascii="Arial" w:hAnsi="Arial" w:cs="Arial"/>
          <w:color w:val="000000"/>
          <w:sz w:val="22"/>
          <w:szCs w:val="22"/>
          <w:lang w:eastAsia="cs-CZ"/>
        </w:rPr>
        <w:t>K  veškeré činnosti v  PHO je nutný souhlas správce a majitele zdrojů a vodohospodářského orgánu.</w:t>
      </w:r>
    </w:p>
    <w:p w14:paraId="4AC5E626" w14:textId="77777777" w:rsidR="006031D6" w:rsidRPr="006031D6" w:rsidRDefault="006031D6" w:rsidP="006031D6">
      <w:pPr>
        <w:numPr>
          <w:ilvl w:val="0"/>
          <w:numId w:val="30"/>
        </w:numPr>
        <w:tabs>
          <w:tab w:val="left" w:pos="36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ab/>
        <w:t>c.)  Ochranné pásmo ČOV Boletice</w:t>
      </w:r>
    </w:p>
    <w:p w14:paraId="251B2975" w14:textId="77777777" w:rsidR="006031D6" w:rsidRPr="006031D6" w:rsidRDefault="006031D6" w:rsidP="006031D6">
      <w:pPr>
        <w:suppressAutoHyphens w:val="0"/>
        <w:autoSpaceDE w:val="0"/>
        <w:autoSpaceDN w:val="0"/>
        <w:adjustRightInd w:val="0"/>
        <w:spacing w:before="120" w:line="288" w:lineRule="auto"/>
        <w:ind w:left="709"/>
        <w:jc w:val="both"/>
        <w:rPr>
          <w:rFonts w:ascii="Arial" w:hAnsi="Arial" w:cs="Arial"/>
          <w:color w:val="000000"/>
          <w:sz w:val="22"/>
          <w:szCs w:val="22"/>
          <w:lang w:eastAsia="cs-CZ"/>
        </w:rPr>
      </w:pPr>
      <w:r w:rsidRPr="006031D6">
        <w:rPr>
          <w:rFonts w:ascii="Arial" w:hAnsi="Arial" w:cs="Arial"/>
          <w:color w:val="000000"/>
          <w:sz w:val="22"/>
          <w:szCs w:val="22"/>
          <w:lang w:eastAsia="cs-CZ"/>
        </w:rPr>
        <w:t>V  OP je vyloučena bytová výstavba.</w:t>
      </w:r>
    </w:p>
    <w:p w14:paraId="1E122554" w14:textId="77777777" w:rsidR="006031D6" w:rsidRPr="006031D6" w:rsidRDefault="006031D6" w:rsidP="006031D6">
      <w:pPr>
        <w:numPr>
          <w:ilvl w:val="0"/>
          <w:numId w:val="30"/>
        </w:numPr>
        <w:tabs>
          <w:tab w:val="left" w:pos="36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Ochranné pásmo vodovodních potrubí dle ČSN 75 5401 je doporučeno 2,0 m od vnějšího okraje horizontálně na obě strany.</w:t>
      </w:r>
    </w:p>
    <w:p w14:paraId="392EC75B" w14:textId="77777777" w:rsidR="006031D6" w:rsidRPr="006031D6" w:rsidRDefault="006031D6" w:rsidP="006031D6">
      <w:pPr>
        <w:numPr>
          <w:ilvl w:val="0"/>
          <w:numId w:val="30"/>
        </w:numPr>
        <w:tabs>
          <w:tab w:val="left" w:pos="36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Ochranné pásmo kanalizace je ve smyslu ČSN 75 6101 v  šířce 3,0 m od vnějšího okraje horizontálně na obě strany. V  ochranném pásmu je možné provádět jakoukoli stavební činnost jen se souhlasem provozovatele kanalizace.</w:t>
      </w:r>
    </w:p>
    <w:p w14:paraId="52A2BE9B" w14:textId="77777777" w:rsidR="006031D6" w:rsidRPr="006031D6" w:rsidRDefault="006031D6" w:rsidP="006031D6">
      <w:pPr>
        <w:numPr>
          <w:ilvl w:val="0"/>
          <w:numId w:val="30"/>
        </w:numPr>
        <w:tabs>
          <w:tab w:val="left" w:pos="36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Správce vodního toku může užívat dle vyhlášky bývalého MLVH č. 19/1978 pozemky podél splavného vodního toku v  šířce 10m, u ostatních toků 6m od břehové čáry k  údržbě a přístupu k  toku.</w:t>
      </w:r>
    </w:p>
    <w:p w14:paraId="48772443" w14:textId="77777777" w:rsidR="006031D6" w:rsidRPr="006031D6" w:rsidRDefault="006031D6" w:rsidP="006031D6">
      <w:pPr>
        <w:numPr>
          <w:ilvl w:val="0"/>
          <w:numId w:val="30"/>
        </w:numPr>
        <w:tabs>
          <w:tab w:val="left" w:pos="36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Jako hranice ochrany termálních vod pro potřeby ÚPN na území města Děčína se přebírá návrh RN dr. Nakládala (ochranné pásmo vrtu DC-6 z  roku 1999 a návrh ochranných pásem z roku 1996). V  ploše ochrany další odběry podzemních vod lze povolovat pouze na základě odborné expertizy, jejíž součástí musí být i návrh optimalizace odběrů podzemní vody z  hlediska kvality, kvality a termální energie podzemní vody.</w:t>
      </w:r>
    </w:p>
    <w:p w14:paraId="1DB70405"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1121F9F4" w14:textId="77777777" w:rsidR="006031D6" w:rsidRPr="006031D6" w:rsidRDefault="006031D6" w:rsidP="006031D6">
      <w:pPr>
        <w:suppressAutoHyphens w:val="0"/>
        <w:autoSpaceDE w:val="0"/>
        <w:autoSpaceDN w:val="0"/>
        <w:adjustRightInd w:val="0"/>
        <w:spacing w:before="56" w:after="56" w:line="240" w:lineRule="atLeast"/>
        <w:ind w:left="680" w:hanging="680"/>
        <w:jc w:val="both"/>
        <w:rPr>
          <w:rFonts w:ascii="Arial" w:hAnsi="Arial" w:cs="Arial"/>
          <w:b/>
          <w:bCs/>
          <w:caps/>
          <w:color w:val="000000"/>
          <w:sz w:val="32"/>
          <w:szCs w:val="32"/>
          <w:lang w:eastAsia="cs-CZ"/>
        </w:rPr>
      </w:pPr>
      <w:r w:rsidRPr="006031D6">
        <w:rPr>
          <w:rFonts w:ascii="Arial" w:hAnsi="Arial" w:cs="Arial"/>
          <w:b/>
          <w:bCs/>
          <w:caps/>
          <w:color w:val="000000"/>
          <w:sz w:val="32"/>
          <w:szCs w:val="32"/>
          <w:lang w:eastAsia="cs-CZ"/>
        </w:rPr>
        <w:t>D6.  ochranná pásma energetiky a spojů</w:t>
      </w:r>
    </w:p>
    <w:p w14:paraId="5F7EB9B7" w14:textId="77777777" w:rsidR="006031D6" w:rsidRPr="006031D6" w:rsidRDefault="006031D6" w:rsidP="006031D6">
      <w:pPr>
        <w:suppressAutoHyphens w:val="0"/>
        <w:autoSpaceDE w:val="0"/>
        <w:autoSpaceDN w:val="0"/>
        <w:adjustRightInd w:val="0"/>
        <w:spacing w:line="240" w:lineRule="atLeast"/>
        <w:ind w:firstLine="567"/>
        <w:jc w:val="both"/>
        <w:rPr>
          <w:rFonts w:ascii="Arial" w:hAnsi="Arial" w:cs="Arial"/>
          <w:color w:val="000000"/>
          <w:sz w:val="20"/>
          <w:szCs w:val="20"/>
          <w:lang w:eastAsia="cs-CZ"/>
        </w:rPr>
      </w:pPr>
    </w:p>
    <w:p w14:paraId="1BA7848A" w14:textId="77777777" w:rsidR="006031D6" w:rsidRDefault="006031D6" w:rsidP="006031D6">
      <w:pPr>
        <w:suppressAutoHyphens w:val="0"/>
        <w:autoSpaceDE w:val="0"/>
        <w:autoSpaceDN w:val="0"/>
        <w:adjustRightInd w:val="0"/>
        <w:spacing w:before="120" w:line="288" w:lineRule="auto"/>
        <w:ind w:firstLine="720"/>
        <w:jc w:val="both"/>
        <w:rPr>
          <w:rFonts w:ascii="Arial" w:hAnsi="Arial" w:cs="Arial"/>
          <w:color w:val="000000"/>
          <w:sz w:val="22"/>
          <w:szCs w:val="22"/>
          <w:lang w:eastAsia="cs-CZ"/>
        </w:rPr>
      </w:pPr>
      <w:r w:rsidRPr="006031D6">
        <w:rPr>
          <w:rFonts w:ascii="Arial" w:hAnsi="Arial" w:cs="Arial"/>
          <w:color w:val="000000"/>
          <w:sz w:val="22"/>
          <w:szCs w:val="22"/>
          <w:lang w:eastAsia="cs-CZ"/>
        </w:rPr>
        <w:t>Níže uvedená ochranná pásma jsou platná pro zařízení vybudovaná po 31. 12. 1994. U zařízení vybudovaných do uvedeného data (elektrorozvodná a plynovodní zařízení) zůstávají v platnosti ochranná pásma dle původní legislativy. Tato ochranná pásma jsou uvedena v závorce kurzívou.</w:t>
      </w:r>
    </w:p>
    <w:p w14:paraId="04945A8F" w14:textId="77777777" w:rsidR="006031D6" w:rsidRDefault="006031D6" w:rsidP="006031D6">
      <w:pPr>
        <w:suppressAutoHyphens w:val="0"/>
        <w:autoSpaceDE w:val="0"/>
        <w:autoSpaceDN w:val="0"/>
        <w:adjustRightInd w:val="0"/>
        <w:spacing w:before="120" w:line="288" w:lineRule="auto"/>
        <w:ind w:firstLine="720"/>
        <w:jc w:val="both"/>
        <w:rPr>
          <w:rFonts w:ascii="Arial" w:hAnsi="Arial" w:cs="Arial"/>
          <w:color w:val="000000"/>
          <w:sz w:val="22"/>
          <w:szCs w:val="22"/>
          <w:lang w:eastAsia="cs-CZ"/>
        </w:rPr>
      </w:pPr>
    </w:p>
    <w:p w14:paraId="4A62CACF" w14:textId="77777777" w:rsidR="006031D6" w:rsidRDefault="006031D6" w:rsidP="006031D6">
      <w:pPr>
        <w:suppressAutoHyphens w:val="0"/>
        <w:autoSpaceDE w:val="0"/>
        <w:autoSpaceDN w:val="0"/>
        <w:adjustRightInd w:val="0"/>
        <w:spacing w:before="120" w:line="288" w:lineRule="auto"/>
        <w:ind w:firstLine="720"/>
        <w:jc w:val="both"/>
        <w:rPr>
          <w:rFonts w:ascii="Arial" w:hAnsi="Arial" w:cs="Arial"/>
          <w:color w:val="000000"/>
          <w:sz w:val="22"/>
          <w:szCs w:val="22"/>
          <w:lang w:eastAsia="cs-CZ"/>
        </w:rPr>
      </w:pPr>
    </w:p>
    <w:p w14:paraId="4B0B3D24" w14:textId="77777777" w:rsidR="006031D6" w:rsidRPr="006031D6" w:rsidRDefault="006031D6" w:rsidP="006031D6">
      <w:pPr>
        <w:suppressAutoHyphens w:val="0"/>
        <w:autoSpaceDE w:val="0"/>
        <w:autoSpaceDN w:val="0"/>
        <w:adjustRightInd w:val="0"/>
        <w:spacing w:before="120" w:line="288" w:lineRule="auto"/>
        <w:jc w:val="both"/>
        <w:rPr>
          <w:rFonts w:ascii="Arial" w:hAnsi="Arial" w:cs="Arial"/>
          <w:b/>
          <w:bCs/>
          <w:caps/>
          <w:color w:val="000000"/>
          <w:lang w:eastAsia="cs-CZ"/>
        </w:rPr>
      </w:pPr>
      <w:r w:rsidRPr="006031D6">
        <w:rPr>
          <w:rFonts w:ascii="Arial" w:hAnsi="Arial" w:cs="Arial"/>
          <w:b/>
          <w:bCs/>
          <w:caps/>
          <w:color w:val="000000"/>
          <w:lang w:eastAsia="cs-CZ"/>
        </w:rPr>
        <w:lastRenderedPageBreak/>
        <w:t>Elektroenergetika</w:t>
      </w:r>
    </w:p>
    <w:p w14:paraId="09357509" w14:textId="77777777" w:rsidR="006031D6" w:rsidRPr="006031D6" w:rsidRDefault="006031D6" w:rsidP="006031D6">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Zařízení pro výrobu elektřiny (dále jen "výrobní zařízení") a rozvodná zařízení jsou chráněna ochrannými pásmy.</w:t>
      </w:r>
    </w:p>
    <w:p w14:paraId="62D77D69"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Ochranným pásmem se rozumí prostor v bezprostřední blízkosti výrobního zařízení a rozvodného zařízení, určený k zajištění jejich spolehlivého provozu a k ochraně života, zdraví a majetku osob. Ochrannými pásmy jsou chráněna venkovní vedení, podzemní vedení a elektrické stanice.</w:t>
      </w:r>
    </w:p>
    <w:p w14:paraId="7FF3063F"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p>
    <w:p w14:paraId="2943AEAD"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b/>
          <w:bCs/>
          <w:caps/>
          <w:color w:val="000000"/>
          <w:sz w:val="22"/>
          <w:szCs w:val="22"/>
          <w:lang w:eastAsia="cs-CZ"/>
        </w:rPr>
      </w:pPr>
      <w:r w:rsidRPr="006031D6">
        <w:rPr>
          <w:rFonts w:ascii="Arial" w:hAnsi="Arial" w:cs="Arial"/>
          <w:b/>
          <w:bCs/>
          <w:caps/>
          <w:color w:val="000000"/>
          <w:sz w:val="22"/>
          <w:szCs w:val="22"/>
          <w:lang w:eastAsia="cs-CZ"/>
        </w:rPr>
        <w:t>Ochranné pásmo venkovního vedení</w:t>
      </w:r>
    </w:p>
    <w:p w14:paraId="2490EC34"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Je vymezeno svislými rovinami vedenými po obou stranách vedení ve vodorovné vzdálenosti měřené kolmo na vedení, která činí od krajního vodiče vedení na každou stranu:</w:t>
      </w:r>
    </w:p>
    <w:p w14:paraId="66C25A0F" w14:textId="77777777" w:rsidR="006031D6" w:rsidRPr="006031D6" w:rsidRDefault="006031D6" w:rsidP="006031D6">
      <w:pPr>
        <w:numPr>
          <w:ilvl w:val="0"/>
          <w:numId w:val="3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u napětí nad 1 kV do 35 kV včetně 7 m </w:t>
      </w:r>
      <w:r w:rsidRPr="006031D6">
        <w:rPr>
          <w:rFonts w:ascii="Arial" w:hAnsi="Arial" w:cs="Arial"/>
          <w:i/>
          <w:iCs/>
          <w:color w:val="000000"/>
          <w:sz w:val="22"/>
          <w:szCs w:val="22"/>
          <w:lang w:eastAsia="cs-CZ"/>
        </w:rPr>
        <w:t>(10 m);</w:t>
      </w:r>
    </w:p>
    <w:p w14:paraId="4905E31D" w14:textId="77777777" w:rsidR="006031D6" w:rsidRPr="006031D6" w:rsidRDefault="006031D6" w:rsidP="006031D6">
      <w:pPr>
        <w:numPr>
          <w:ilvl w:val="0"/>
          <w:numId w:val="3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u napětí nad 35 kV do 110 kV včetně 12 m </w:t>
      </w:r>
      <w:r w:rsidRPr="006031D6">
        <w:rPr>
          <w:rFonts w:ascii="Arial" w:hAnsi="Arial" w:cs="Arial"/>
          <w:i/>
          <w:iCs/>
          <w:color w:val="000000"/>
          <w:sz w:val="22"/>
          <w:szCs w:val="22"/>
          <w:lang w:eastAsia="cs-CZ"/>
        </w:rPr>
        <w:t>(15 m).</w:t>
      </w:r>
    </w:p>
    <w:p w14:paraId="01E6BE6F"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Ochranné pásmo sloupové trafostanice je shodné s ochranným pásmem venkovního vedení vysokého napětí (trafostanici možno považovat za součást venkovního vedení).</w:t>
      </w:r>
    </w:p>
    <w:p w14:paraId="0C245536"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V lesních průsecích jsou vlastníci a uživatelé nemovitostí povinni udržovat volný pruh pozemků o šířce 4 m </w:t>
      </w:r>
      <w:r w:rsidRPr="006031D6">
        <w:rPr>
          <w:rFonts w:ascii="Arial" w:hAnsi="Arial" w:cs="Arial"/>
          <w:i/>
          <w:color w:val="000000"/>
          <w:sz w:val="22"/>
          <w:szCs w:val="22"/>
          <w:lang w:eastAsia="cs-CZ"/>
        </w:rPr>
        <w:t>(4 m)</w:t>
      </w:r>
      <w:r w:rsidRPr="006031D6">
        <w:rPr>
          <w:rFonts w:ascii="Arial" w:hAnsi="Arial" w:cs="Arial"/>
          <w:color w:val="000000"/>
          <w:sz w:val="22"/>
          <w:szCs w:val="22"/>
          <w:lang w:eastAsia="cs-CZ"/>
        </w:rPr>
        <w:t xml:space="preserve"> po jedné straně základů podpěrných bodů.</w:t>
      </w:r>
    </w:p>
    <w:p w14:paraId="68E5A486"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b/>
          <w:bCs/>
          <w:caps/>
          <w:color w:val="000000"/>
          <w:sz w:val="22"/>
          <w:szCs w:val="22"/>
          <w:lang w:eastAsia="cs-CZ"/>
        </w:rPr>
        <w:t xml:space="preserve">V </w:t>
      </w:r>
      <w:r w:rsidRPr="006031D6">
        <w:rPr>
          <w:rFonts w:ascii="Arial" w:hAnsi="Arial" w:cs="Arial"/>
          <w:b/>
          <w:bCs/>
          <w:color w:val="000000"/>
          <w:sz w:val="22"/>
          <w:szCs w:val="22"/>
          <w:lang w:eastAsia="cs-CZ"/>
        </w:rPr>
        <w:t>ochranném pásmu venkovních vedení je zakázáno:</w:t>
      </w:r>
    </w:p>
    <w:p w14:paraId="4CE5AA72" w14:textId="77777777" w:rsidR="006031D6" w:rsidRPr="006031D6" w:rsidRDefault="006031D6" w:rsidP="006031D6">
      <w:pPr>
        <w:numPr>
          <w:ilvl w:val="0"/>
          <w:numId w:val="3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left="1418" w:hanging="499"/>
        <w:jc w:val="both"/>
        <w:rPr>
          <w:rFonts w:ascii="Arial" w:hAnsi="Arial" w:cs="Arial"/>
          <w:color w:val="000000"/>
          <w:sz w:val="22"/>
          <w:szCs w:val="22"/>
          <w:lang w:eastAsia="cs-CZ"/>
        </w:rPr>
      </w:pPr>
      <w:r w:rsidRPr="006031D6">
        <w:rPr>
          <w:rFonts w:ascii="Arial" w:hAnsi="Arial" w:cs="Arial"/>
          <w:color w:val="000000"/>
          <w:sz w:val="22"/>
          <w:szCs w:val="22"/>
          <w:lang w:eastAsia="cs-CZ"/>
        </w:rPr>
        <w:t>zřizovat stavby či umisťovat konstrukce a jiná podobná zařízení, jakož i uskladňovat hořlavé nebo výbušné látky;</w:t>
      </w:r>
    </w:p>
    <w:p w14:paraId="21C8B90C" w14:textId="77777777" w:rsidR="006031D6" w:rsidRPr="006031D6" w:rsidRDefault="006031D6" w:rsidP="006031D6">
      <w:pPr>
        <w:numPr>
          <w:ilvl w:val="0"/>
          <w:numId w:val="3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vysazovat chmelnice a nechávat růst porosty nad výšku 3 m;</w:t>
      </w:r>
    </w:p>
    <w:p w14:paraId="2C6FCED6" w14:textId="77777777" w:rsidR="006031D6" w:rsidRPr="006031D6" w:rsidRDefault="006031D6" w:rsidP="006031D6">
      <w:pPr>
        <w:numPr>
          <w:ilvl w:val="0"/>
          <w:numId w:val="3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left="1418" w:hanging="499"/>
        <w:jc w:val="both"/>
        <w:rPr>
          <w:rFonts w:ascii="Arial" w:hAnsi="Arial" w:cs="Arial"/>
          <w:color w:val="000000"/>
          <w:sz w:val="22"/>
          <w:szCs w:val="22"/>
          <w:lang w:eastAsia="cs-CZ"/>
        </w:rPr>
      </w:pPr>
      <w:r w:rsidRPr="006031D6">
        <w:rPr>
          <w:rFonts w:ascii="Arial" w:hAnsi="Arial" w:cs="Arial"/>
          <w:color w:val="000000"/>
          <w:sz w:val="22"/>
          <w:szCs w:val="22"/>
          <w:lang w:eastAsia="cs-CZ"/>
        </w:rPr>
        <w:t>provádět činnosti ohrožující venkovní vedení, spolehlivost a bezpečnost jeho provozu nebo životy, zdraví a majetek osob.</w:t>
      </w:r>
    </w:p>
    <w:p w14:paraId="585EBA89"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567"/>
        <w:jc w:val="both"/>
        <w:rPr>
          <w:rFonts w:ascii="Arial" w:hAnsi="Arial" w:cs="Arial"/>
          <w:b/>
          <w:bCs/>
          <w:caps/>
          <w:color w:val="000000"/>
          <w:sz w:val="22"/>
          <w:szCs w:val="22"/>
          <w:lang w:eastAsia="cs-CZ"/>
        </w:rPr>
      </w:pPr>
    </w:p>
    <w:p w14:paraId="45270EF5"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b/>
          <w:bCs/>
          <w:caps/>
          <w:color w:val="000000"/>
          <w:sz w:val="22"/>
          <w:szCs w:val="22"/>
          <w:lang w:eastAsia="cs-CZ"/>
        </w:rPr>
        <w:t>Ochranné pásmo podzemního vedení</w:t>
      </w:r>
      <w:r w:rsidRPr="006031D6">
        <w:rPr>
          <w:rFonts w:ascii="Arial" w:hAnsi="Arial" w:cs="Arial"/>
          <w:color w:val="000000"/>
          <w:sz w:val="22"/>
          <w:szCs w:val="22"/>
          <w:lang w:eastAsia="cs-CZ"/>
        </w:rPr>
        <w:t xml:space="preserve"> </w:t>
      </w:r>
    </w:p>
    <w:p w14:paraId="0675AA25"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Do 110 kV včetně a vedení řídící, měřící a zabezpečovací techniky činí 1 m </w:t>
      </w:r>
      <w:r w:rsidRPr="006031D6">
        <w:rPr>
          <w:rFonts w:ascii="Arial" w:hAnsi="Arial" w:cs="Arial"/>
          <w:i/>
          <w:color w:val="000000"/>
          <w:sz w:val="22"/>
          <w:szCs w:val="22"/>
          <w:lang w:eastAsia="cs-CZ"/>
        </w:rPr>
        <w:t>(1 m)</w:t>
      </w:r>
      <w:r w:rsidRPr="006031D6">
        <w:rPr>
          <w:rFonts w:ascii="Arial" w:hAnsi="Arial" w:cs="Arial"/>
          <w:color w:val="000000"/>
          <w:sz w:val="22"/>
          <w:szCs w:val="22"/>
          <w:lang w:eastAsia="cs-CZ"/>
        </w:rPr>
        <w:t xml:space="preserve"> po obou stranách krajního kabelu, nad 110 kV činí 3 m po obou stranách krajního kabelu.</w:t>
      </w:r>
    </w:p>
    <w:p w14:paraId="6B0CF873"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b/>
          <w:bCs/>
          <w:color w:val="000000"/>
          <w:sz w:val="22"/>
          <w:szCs w:val="22"/>
          <w:lang w:eastAsia="cs-CZ"/>
        </w:rPr>
        <w:t>V ochranném pásmu podzemního vedení je zakázáno:</w:t>
      </w:r>
    </w:p>
    <w:p w14:paraId="6BA437A8" w14:textId="77777777" w:rsidR="006031D6" w:rsidRPr="006031D6" w:rsidRDefault="006031D6" w:rsidP="006031D6">
      <w:pPr>
        <w:numPr>
          <w:ilvl w:val="0"/>
          <w:numId w:val="3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provádět bez souhlasu vlastníka zemní práce;</w:t>
      </w:r>
    </w:p>
    <w:p w14:paraId="15F806D2" w14:textId="77777777" w:rsidR="006031D6" w:rsidRPr="006031D6" w:rsidRDefault="006031D6" w:rsidP="006031D6">
      <w:pPr>
        <w:numPr>
          <w:ilvl w:val="0"/>
          <w:numId w:val="3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left="1418" w:hanging="499"/>
        <w:jc w:val="both"/>
        <w:rPr>
          <w:rFonts w:ascii="Arial" w:hAnsi="Arial" w:cs="Arial"/>
          <w:color w:val="000000"/>
          <w:sz w:val="22"/>
          <w:szCs w:val="22"/>
          <w:lang w:eastAsia="cs-CZ"/>
        </w:rPr>
      </w:pPr>
      <w:r w:rsidRPr="006031D6">
        <w:rPr>
          <w:rFonts w:ascii="Arial" w:hAnsi="Arial" w:cs="Arial"/>
          <w:color w:val="000000"/>
          <w:sz w:val="22"/>
          <w:szCs w:val="22"/>
          <w:lang w:eastAsia="cs-CZ"/>
        </w:rPr>
        <w:t>zřizovat stavby či umísťovat konstrukce nebo jiná podobná zařízení a provádět činnosti, které by znemožňovaly nebo podstatně znesnadňovaly přístup k podzemnímu vedení, nebo které by mohly ohrozit bezpečnost a spolehlivost jeho provozu;</w:t>
      </w:r>
    </w:p>
    <w:p w14:paraId="672A5139" w14:textId="77777777" w:rsidR="006031D6" w:rsidRDefault="006031D6" w:rsidP="006031D6">
      <w:pPr>
        <w:numPr>
          <w:ilvl w:val="0"/>
          <w:numId w:val="3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left="1418" w:hanging="499"/>
        <w:jc w:val="both"/>
        <w:rPr>
          <w:rFonts w:ascii="Arial" w:hAnsi="Arial" w:cs="Arial"/>
          <w:color w:val="000000"/>
          <w:sz w:val="22"/>
          <w:szCs w:val="22"/>
          <w:lang w:eastAsia="cs-CZ"/>
        </w:rPr>
      </w:pPr>
      <w:r w:rsidRPr="006031D6">
        <w:rPr>
          <w:rFonts w:ascii="Arial" w:hAnsi="Arial" w:cs="Arial"/>
          <w:color w:val="000000"/>
          <w:sz w:val="22"/>
          <w:szCs w:val="22"/>
          <w:lang w:eastAsia="cs-CZ"/>
        </w:rPr>
        <w:t>vysazovat trvalé porosty a přejíždět vedení mechanismy o celkové hmotnosti nad 3 t.</w:t>
      </w:r>
    </w:p>
    <w:p w14:paraId="5D7AD49E" w14:textId="77777777" w:rsid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p>
    <w:p w14:paraId="4C3B943A"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p>
    <w:p w14:paraId="24B26551"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b/>
          <w:bCs/>
          <w:caps/>
          <w:color w:val="000000"/>
          <w:sz w:val="22"/>
          <w:szCs w:val="22"/>
          <w:lang w:eastAsia="cs-CZ"/>
        </w:rPr>
        <w:lastRenderedPageBreak/>
        <w:t>Ochranné pásmo elektrické stanice</w:t>
      </w:r>
    </w:p>
    <w:p w14:paraId="6AE58BA5"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je vymezeno svislými rovinami vedenými ve vodorovné vzdálenosti 20 m </w:t>
      </w:r>
      <w:r w:rsidRPr="006031D6">
        <w:rPr>
          <w:rFonts w:ascii="Arial" w:hAnsi="Arial" w:cs="Arial"/>
          <w:i/>
          <w:iCs/>
          <w:color w:val="000000"/>
          <w:sz w:val="22"/>
          <w:szCs w:val="22"/>
          <w:lang w:eastAsia="cs-CZ"/>
        </w:rPr>
        <w:t>(30 m)</w:t>
      </w:r>
      <w:r w:rsidRPr="006031D6">
        <w:rPr>
          <w:rFonts w:ascii="Arial" w:hAnsi="Arial" w:cs="Arial"/>
          <w:color w:val="000000"/>
          <w:sz w:val="22"/>
          <w:szCs w:val="22"/>
          <w:lang w:eastAsia="cs-CZ"/>
        </w:rPr>
        <w:t xml:space="preserve"> kolmo na oplocenou nebo obezděnou hranici objektu stanice. Sloupové trafostanice VN mají ochranné pásmo shodné s venkovním vedením VN.</w:t>
      </w:r>
    </w:p>
    <w:p w14:paraId="032B3421"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V ochranném pásmu elektrické stanice je zakázáno provádět činnosti, které by mohly mít za následek ohrožení životů, zdraví či majetku osob, bezpečnosti a spolehlivosti provozu stanice nebo znemožňující či podstatně znesnadňující její údržbu.</w:t>
      </w:r>
    </w:p>
    <w:p w14:paraId="2B7B7AC8"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Fyzické nebo právnické osoby, zřizující zařízení  napájená stejnosměrným proudem v bezprostřední blízkosti ochranného pásma s možností vzniku bludných proudů poškozujících podzemní vedení, jsou povinny tyto skutečnosti oznámit dodavateli a provést opatření k jejich omezení.</w:t>
      </w:r>
    </w:p>
    <w:p w14:paraId="3B220541"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K ochraně výroben elektřiny se přiměřeně použijí ustanovení odstavců 9 a 10.</w:t>
      </w:r>
    </w:p>
    <w:p w14:paraId="23305ABE"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color w:val="000000"/>
          <w:sz w:val="22"/>
          <w:szCs w:val="22"/>
          <w:lang w:eastAsia="cs-CZ"/>
        </w:rPr>
        <w:t>Výjimky z ochranných pásem povoluje ministerstvo.</w:t>
      </w:r>
    </w:p>
    <w:p w14:paraId="1115F37B"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122A81F7"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b/>
          <w:bCs/>
          <w:caps/>
          <w:color w:val="000000"/>
          <w:lang w:eastAsia="cs-CZ"/>
        </w:rPr>
      </w:pPr>
      <w:r w:rsidRPr="006031D6">
        <w:rPr>
          <w:rFonts w:ascii="Arial" w:hAnsi="Arial" w:cs="Arial"/>
          <w:b/>
          <w:bCs/>
          <w:caps/>
          <w:color w:val="000000"/>
          <w:lang w:eastAsia="cs-CZ"/>
        </w:rPr>
        <w:t>Plynárenství</w:t>
      </w:r>
    </w:p>
    <w:p w14:paraId="03C890C3" w14:textId="77777777" w:rsidR="006031D6" w:rsidRPr="006031D6" w:rsidRDefault="006031D6" w:rsidP="006031D6">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p>
    <w:p w14:paraId="40664CE0"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b/>
          <w:bCs/>
          <w:caps/>
          <w:color w:val="000000"/>
          <w:sz w:val="22"/>
          <w:szCs w:val="22"/>
          <w:lang w:eastAsia="cs-CZ"/>
        </w:rPr>
        <w:t>Ochranná pásma</w:t>
      </w:r>
    </w:p>
    <w:p w14:paraId="2FA00485"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Plynárenská zařízení jsou chráněna ochrannými pásmy.</w:t>
      </w:r>
    </w:p>
    <w:p w14:paraId="28DA1F4F"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Plynárenskými zařízeními se rozumí plynovody, přípojky a technologické objekty.</w:t>
      </w:r>
    </w:p>
    <w:p w14:paraId="52EFEDFE"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Ochranným pásmem se rozumí prostor v bezprostřední blízkosti plynárenského zařízení vymezený vodorovnou vzdáleností od půdorysu plynárenského zařízení měřeno kolmo na obrys, určený k zajištění jeho spolehlivého provozu.</w:t>
      </w:r>
    </w:p>
    <w:p w14:paraId="598A1060"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b/>
          <w:bCs/>
          <w:caps/>
          <w:color w:val="000000"/>
          <w:sz w:val="22"/>
          <w:szCs w:val="22"/>
          <w:lang w:eastAsia="cs-CZ"/>
        </w:rPr>
        <w:t>O</w:t>
      </w:r>
      <w:r w:rsidRPr="006031D6">
        <w:rPr>
          <w:rFonts w:ascii="Arial" w:hAnsi="Arial" w:cs="Arial"/>
          <w:b/>
          <w:bCs/>
          <w:color w:val="000000"/>
          <w:sz w:val="22"/>
          <w:szCs w:val="22"/>
          <w:lang w:eastAsia="cs-CZ"/>
        </w:rPr>
        <w:t>chranná pásma činí:</w:t>
      </w:r>
    </w:p>
    <w:p w14:paraId="20A30A52" w14:textId="77777777" w:rsidR="006031D6" w:rsidRPr="006031D6" w:rsidRDefault="006031D6" w:rsidP="006031D6">
      <w:pPr>
        <w:numPr>
          <w:ilvl w:val="0"/>
          <w:numId w:val="3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u plynovodů a přípojek do průměru 200 mm včetně 4 m (20 m)</w:t>
      </w:r>
    </w:p>
    <w:p w14:paraId="29CF9E4B" w14:textId="77777777" w:rsidR="006031D6" w:rsidRPr="006031D6" w:rsidRDefault="006031D6" w:rsidP="006031D6">
      <w:pPr>
        <w:numPr>
          <w:ilvl w:val="0"/>
          <w:numId w:val="3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u plynovodů a přípojek od průměru 200 mm do 500 mm včetně 8 m (50 m)</w:t>
      </w:r>
    </w:p>
    <w:p w14:paraId="1CF8670F" w14:textId="77777777" w:rsidR="006031D6" w:rsidRPr="006031D6" w:rsidRDefault="006031D6" w:rsidP="006031D6">
      <w:pPr>
        <w:numPr>
          <w:ilvl w:val="0"/>
          <w:numId w:val="3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u plynovodů a přípojek nad průměr 500 mm 12 m (50 m)</w:t>
      </w:r>
    </w:p>
    <w:p w14:paraId="00966CB1" w14:textId="77777777" w:rsidR="006031D6" w:rsidRPr="006031D6" w:rsidRDefault="006031D6" w:rsidP="006031D6">
      <w:pPr>
        <w:numPr>
          <w:ilvl w:val="0"/>
          <w:numId w:val="3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left="1418" w:hanging="499"/>
        <w:jc w:val="both"/>
        <w:rPr>
          <w:rFonts w:ascii="Arial" w:hAnsi="Arial" w:cs="Arial"/>
          <w:color w:val="000000"/>
          <w:sz w:val="22"/>
          <w:szCs w:val="22"/>
          <w:lang w:eastAsia="cs-CZ"/>
        </w:rPr>
      </w:pPr>
      <w:r w:rsidRPr="006031D6">
        <w:rPr>
          <w:rFonts w:ascii="Arial" w:hAnsi="Arial" w:cs="Arial"/>
          <w:color w:val="000000"/>
          <w:sz w:val="22"/>
          <w:szCs w:val="22"/>
          <w:lang w:eastAsia="cs-CZ"/>
        </w:rPr>
        <w:t>u nízkotlakých a středotlakých plynovodů a přípojek, jimiž se rozvádějí plyny v zastavěném území obce 1 m</w:t>
      </w:r>
    </w:p>
    <w:p w14:paraId="25D4654B" w14:textId="77777777" w:rsidR="006031D6" w:rsidRPr="006031D6" w:rsidRDefault="006031D6" w:rsidP="006031D6">
      <w:pPr>
        <w:numPr>
          <w:ilvl w:val="0"/>
          <w:numId w:val="3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color w:val="000000"/>
          <w:sz w:val="22"/>
          <w:szCs w:val="22"/>
          <w:lang w:eastAsia="cs-CZ"/>
        </w:rPr>
        <w:t>u technologických objektů 4 m (5 až 20 m)</w:t>
      </w:r>
    </w:p>
    <w:p w14:paraId="603EC16B"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Ve zvláštních případech, zejména v blízkosti těžebních objektů, vodních děl a rozsáhlých podzemních staveb, které mohou ovlivnit stabilitu uložení plynárenských zařízení, může ministerstvo stanovit rozsah ochranných pásem až na 200 m.</w:t>
      </w:r>
    </w:p>
    <w:p w14:paraId="628EFCAC"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Stavební činnost a úpravy terénu v ochranném pásmu lze provádět pouze s předchozím písemným souhlasem dodavatele, který odpovídá za provoz příslušného plynárenského zařízení.</w:t>
      </w:r>
    </w:p>
    <w:p w14:paraId="22805011"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lastRenderedPageBreak/>
        <w:t>U vysokotlakých a velmi vysokotlakých plynovodů v lesních průsecích jsou vlastníci a uživatelé pozemků povinni udržovat volný pruh pozemků o šířce 2 m na obě strany od osy plynovodu.</w:t>
      </w:r>
    </w:p>
    <w:p w14:paraId="2F8C6023"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p>
    <w:p w14:paraId="3750EEE4"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jc w:val="both"/>
        <w:rPr>
          <w:rFonts w:ascii="Arial" w:hAnsi="Arial" w:cs="Arial"/>
          <w:color w:val="000000"/>
          <w:sz w:val="22"/>
          <w:szCs w:val="22"/>
          <w:lang w:eastAsia="cs-CZ"/>
        </w:rPr>
      </w:pPr>
      <w:r w:rsidRPr="006031D6">
        <w:rPr>
          <w:rFonts w:ascii="Arial" w:hAnsi="Arial" w:cs="Arial"/>
          <w:b/>
          <w:bCs/>
          <w:caps/>
          <w:color w:val="000000"/>
          <w:sz w:val="22"/>
          <w:szCs w:val="22"/>
          <w:lang w:eastAsia="cs-CZ"/>
        </w:rPr>
        <w:t>Bezpečnostní pásma</w:t>
      </w:r>
    </w:p>
    <w:p w14:paraId="36E961F1"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Bezpečnostní pásma jsou určena k zamezení nebo zmírnění účinků případných havárií plynových zařízení a k ochraně života, zdraví a majetku osob.</w:t>
      </w:r>
    </w:p>
    <w:p w14:paraId="325F2E79"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Bezpečnostním pásmem se pro účely energetického zákona rozumí prostor vymezený vodorovnou vzdáleností od půdorysu plynového zařízení měřeno kolmo na jeho obrys.</w:t>
      </w:r>
    </w:p>
    <w:p w14:paraId="08869C38"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Plynovými zařízeními se pro účely energetického zákona rozumí zařízení na výrobu a úpravu plynu, podzemní zásobníky, tlakové zásobníky zkapalněných plynů, plynojemy, plnírny, zkapalňovací, odpařovací, kompresorové a regulační stanice, vysokotlaké a velmi vysokotlaké plynovody.</w:t>
      </w:r>
    </w:p>
    <w:p w14:paraId="2F23D607"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Zřizovat stavby v bezpečnostním pásmu lze pouze s písemným předchozím souhlasem fyzické nebo právnické osoby, která odpovídá za provoz příslušného plynového zařízení.</w:t>
      </w:r>
    </w:p>
    <w:p w14:paraId="0CD6A18A"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6031D6">
        <w:rPr>
          <w:rFonts w:ascii="Arial" w:hAnsi="Arial" w:cs="Arial"/>
          <w:b/>
          <w:bCs/>
          <w:color w:val="000000"/>
          <w:sz w:val="22"/>
          <w:szCs w:val="22"/>
          <w:lang w:eastAsia="cs-CZ"/>
        </w:rPr>
        <w:t>Rozsah bezpečnostních pásem:</w:t>
      </w:r>
    </w:p>
    <w:p w14:paraId="20FFDA31"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line="240" w:lineRule="atLeast"/>
        <w:ind w:firstLine="567"/>
        <w:jc w:val="both"/>
        <w:rPr>
          <w:rFonts w:ascii="Arial" w:hAnsi="Arial" w:cs="Arial"/>
          <w:color w:val="000000"/>
          <w:sz w:val="20"/>
          <w:szCs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4268"/>
        <w:gridCol w:w="2604"/>
      </w:tblGrid>
      <w:tr w:rsidR="006031D6" w:rsidRPr="006031D6" w14:paraId="6913F8AE"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12623FFA" w14:textId="77777777" w:rsidR="006031D6" w:rsidRPr="006031D6" w:rsidRDefault="006031D6" w:rsidP="006031D6">
            <w:pPr>
              <w:suppressAutoHyphens w:val="0"/>
              <w:autoSpaceDE w:val="0"/>
              <w:autoSpaceDN w:val="0"/>
              <w:adjustRightInd w:val="0"/>
              <w:spacing w:line="240" w:lineRule="atLeast"/>
              <w:jc w:val="both"/>
              <w:rPr>
                <w:rFonts w:ascii="Arial" w:hAnsi="Arial" w:cs="Arial"/>
                <w:color w:val="000000"/>
                <w:sz w:val="16"/>
                <w:szCs w:val="16"/>
                <w:lang w:eastAsia="cs-CZ"/>
              </w:rPr>
            </w:pPr>
            <w:r w:rsidRPr="006031D6">
              <w:rPr>
                <w:rFonts w:ascii="Arial" w:hAnsi="Arial" w:cs="Arial"/>
                <w:b/>
                <w:bCs/>
                <w:color w:val="000000"/>
                <w:sz w:val="18"/>
                <w:szCs w:val="18"/>
                <w:lang w:eastAsia="cs-CZ"/>
              </w:rPr>
              <w:t>druh zařízení</w:t>
            </w:r>
          </w:p>
        </w:tc>
        <w:tc>
          <w:tcPr>
            <w:tcW w:w="2604" w:type="dxa"/>
            <w:tcBorders>
              <w:top w:val="single" w:sz="6" w:space="0" w:color="auto"/>
              <w:left w:val="single" w:sz="6" w:space="0" w:color="auto"/>
              <w:bottom w:val="single" w:sz="6" w:space="0" w:color="auto"/>
              <w:right w:val="single" w:sz="6" w:space="0" w:color="auto"/>
            </w:tcBorders>
          </w:tcPr>
          <w:p w14:paraId="5E3D19CF" w14:textId="77777777" w:rsidR="006031D6" w:rsidRPr="006031D6" w:rsidRDefault="006031D6" w:rsidP="006031D6">
            <w:pPr>
              <w:suppressAutoHyphens w:val="0"/>
              <w:autoSpaceDE w:val="0"/>
              <w:autoSpaceDN w:val="0"/>
              <w:adjustRightInd w:val="0"/>
              <w:spacing w:line="240" w:lineRule="atLeast"/>
              <w:jc w:val="both"/>
              <w:rPr>
                <w:rFonts w:ascii="Arial" w:hAnsi="Arial" w:cs="Arial"/>
                <w:color w:val="000000"/>
                <w:sz w:val="16"/>
                <w:szCs w:val="16"/>
                <w:lang w:eastAsia="cs-CZ"/>
              </w:rPr>
            </w:pPr>
            <w:r w:rsidRPr="006031D6">
              <w:rPr>
                <w:rFonts w:ascii="Arial" w:hAnsi="Arial" w:cs="Arial"/>
                <w:b/>
                <w:bCs/>
                <w:color w:val="000000"/>
                <w:sz w:val="18"/>
                <w:szCs w:val="18"/>
                <w:lang w:eastAsia="cs-CZ"/>
              </w:rPr>
              <w:t>velikost pásma (m)</w:t>
            </w:r>
          </w:p>
        </w:tc>
      </w:tr>
      <w:tr w:rsidR="006031D6" w:rsidRPr="006031D6" w14:paraId="62F23C5D"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3E382D49" w14:textId="77777777" w:rsidR="006031D6" w:rsidRPr="006031D6" w:rsidRDefault="006031D6" w:rsidP="006031D6">
            <w:pPr>
              <w:suppressAutoHyphens w:val="0"/>
              <w:autoSpaceDE w:val="0"/>
              <w:autoSpaceDN w:val="0"/>
              <w:adjustRightInd w:val="0"/>
              <w:spacing w:line="240" w:lineRule="atLeast"/>
              <w:jc w:val="both"/>
              <w:rPr>
                <w:rFonts w:ascii="Arial" w:hAnsi="Arial" w:cs="Arial"/>
                <w:color w:val="000000"/>
                <w:sz w:val="16"/>
                <w:szCs w:val="16"/>
                <w:lang w:eastAsia="cs-CZ"/>
              </w:rPr>
            </w:pPr>
            <w:r w:rsidRPr="006031D6">
              <w:rPr>
                <w:rFonts w:ascii="Arial" w:hAnsi="Arial" w:cs="Arial"/>
                <w:color w:val="000000"/>
                <w:sz w:val="18"/>
                <w:szCs w:val="18"/>
                <w:lang w:eastAsia="cs-CZ"/>
              </w:rPr>
              <w:t>Odpařovací stanice zkapal. plynů</w:t>
            </w:r>
          </w:p>
        </w:tc>
        <w:tc>
          <w:tcPr>
            <w:tcW w:w="2604" w:type="dxa"/>
            <w:tcBorders>
              <w:top w:val="single" w:sz="6" w:space="0" w:color="auto"/>
              <w:left w:val="single" w:sz="6" w:space="0" w:color="auto"/>
              <w:bottom w:val="single" w:sz="6" w:space="0" w:color="auto"/>
              <w:right w:val="single" w:sz="6" w:space="0" w:color="auto"/>
            </w:tcBorders>
          </w:tcPr>
          <w:p w14:paraId="0C2E2FF3" w14:textId="77777777" w:rsidR="006031D6" w:rsidRPr="006031D6" w:rsidRDefault="006031D6" w:rsidP="006031D6">
            <w:pPr>
              <w:suppressAutoHyphens w:val="0"/>
              <w:autoSpaceDE w:val="0"/>
              <w:autoSpaceDN w:val="0"/>
              <w:adjustRightInd w:val="0"/>
              <w:spacing w:line="240" w:lineRule="atLeast"/>
              <w:jc w:val="center"/>
              <w:rPr>
                <w:rFonts w:ascii="Arial" w:hAnsi="Arial" w:cs="Arial"/>
                <w:color w:val="000000"/>
                <w:sz w:val="16"/>
                <w:szCs w:val="16"/>
                <w:lang w:eastAsia="cs-CZ"/>
              </w:rPr>
            </w:pPr>
            <w:r w:rsidRPr="006031D6">
              <w:rPr>
                <w:rFonts w:ascii="Arial" w:hAnsi="Arial" w:cs="Arial"/>
                <w:color w:val="000000"/>
                <w:sz w:val="18"/>
                <w:szCs w:val="18"/>
                <w:lang w:eastAsia="cs-CZ"/>
              </w:rPr>
              <w:t>100 m</w:t>
            </w:r>
          </w:p>
        </w:tc>
      </w:tr>
      <w:tr w:rsidR="006031D6" w:rsidRPr="006031D6" w14:paraId="354686CD"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0202B9BE" w14:textId="77777777" w:rsidR="006031D6" w:rsidRPr="006031D6" w:rsidRDefault="006031D6" w:rsidP="006031D6">
            <w:pPr>
              <w:suppressAutoHyphens w:val="0"/>
              <w:autoSpaceDE w:val="0"/>
              <w:autoSpaceDN w:val="0"/>
              <w:adjustRightInd w:val="0"/>
              <w:spacing w:line="240" w:lineRule="atLeast"/>
              <w:jc w:val="both"/>
              <w:rPr>
                <w:rFonts w:ascii="Arial" w:hAnsi="Arial" w:cs="Arial"/>
                <w:color w:val="000000"/>
                <w:sz w:val="16"/>
                <w:szCs w:val="16"/>
                <w:lang w:eastAsia="cs-CZ"/>
              </w:rPr>
            </w:pPr>
            <w:r w:rsidRPr="006031D6">
              <w:rPr>
                <w:rFonts w:ascii="Arial" w:hAnsi="Arial" w:cs="Arial"/>
                <w:color w:val="000000"/>
                <w:sz w:val="18"/>
                <w:szCs w:val="18"/>
                <w:lang w:eastAsia="cs-CZ"/>
              </w:rPr>
              <w:t>Regulační stanice vysokotlaké</w:t>
            </w:r>
          </w:p>
        </w:tc>
        <w:tc>
          <w:tcPr>
            <w:tcW w:w="2604" w:type="dxa"/>
            <w:tcBorders>
              <w:top w:val="single" w:sz="6" w:space="0" w:color="auto"/>
              <w:left w:val="single" w:sz="6" w:space="0" w:color="auto"/>
              <w:bottom w:val="single" w:sz="6" w:space="0" w:color="auto"/>
              <w:right w:val="single" w:sz="6" w:space="0" w:color="auto"/>
            </w:tcBorders>
          </w:tcPr>
          <w:p w14:paraId="3D9C6E76" w14:textId="77777777" w:rsidR="006031D6" w:rsidRPr="006031D6" w:rsidRDefault="006031D6" w:rsidP="006031D6">
            <w:pPr>
              <w:suppressAutoHyphens w:val="0"/>
              <w:autoSpaceDE w:val="0"/>
              <w:autoSpaceDN w:val="0"/>
              <w:adjustRightInd w:val="0"/>
              <w:spacing w:line="240" w:lineRule="atLeast"/>
              <w:jc w:val="center"/>
              <w:rPr>
                <w:rFonts w:ascii="Arial" w:hAnsi="Arial" w:cs="Arial"/>
                <w:color w:val="000000"/>
                <w:sz w:val="16"/>
                <w:szCs w:val="16"/>
                <w:lang w:eastAsia="cs-CZ"/>
              </w:rPr>
            </w:pPr>
            <w:r w:rsidRPr="006031D6">
              <w:rPr>
                <w:rFonts w:ascii="Arial" w:hAnsi="Arial" w:cs="Arial"/>
                <w:color w:val="000000"/>
                <w:sz w:val="18"/>
                <w:szCs w:val="18"/>
                <w:lang w:eastAsia="cs-CZ"/>
              </w:rPr>
              <w:t>10 m</w:t>
            </w:r>
          </w:p>
        </w:tc>
      </w:tr>
      <w:tr w:rsidR="006031D6" w:rsidRPr="006031D6" w14:paraId="015CEF79"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6DAE4076" w14:textId="77777777" w:rsidR="006031D6" w:rsidRPr="006031D6" w:rsidRDefault="006031D6" w:rsidP="006031D6">
            <w:pPr>
              <w:suppressAutoHyphens w:val="0"/>
              <w:autoSpaceDE w:val="0"/>
              <w:autoSpaceDN w:val="0"/>
              <w:adjustRightInd w:val="0"/>
              <w:spacing w:line="240" w:lineRule="atLeast"/>
              <w:jc w:val="both"/>
              <w:rPr>
                <w:rFonts w:ascii="Arial" w:hAnsi="Arial" w:cs="Arial"/>
                <w:color w:val="000000"/>
                <w:sz w:val="16"/>
                <w:szCs w:val="16"/>
                <w:lang w:eastAsia="cs-CZ"/>
              </w:rPr>
            </w:pPr>
            <w:r w:rsidRPr="006031D6">
              <w:rPr>
                <w:rFonts w:ascii="Arial" w:hAnsi="Arial" w:cs="Arial"/>
                <w:color w:val="000000"/>
                <w:sz w:val="18"/>
                <w:szCs w:val="18"/>
                <w:lang w:eastAsia="cs-CZ"/>
              </w:rPr>
              <w:t>Vysokotlaké plynovody :</w:t>
            </w:r>
          </w:p>
        </w:tc>
        <w:tc>
          <w:tcPr>
            <w:tcW w:w="2604" w:type="dxa"/>
            <w:tcBorders>
              <w:top w:val="single" w:sz="6" w:space="0" w:color="auto"/>
              <w:left w:val="single" w:sz="6" w:space="0" w:color="auto"/>
              <w:bottom w:val="single" w:sz="6" w:space="0" w:color="auto"/>
              <w:right w:val="single" w:sz="6" w:space="0" w:color="auto"/>
            </w:tcBorders>
          </w:tcPr>
          <w:p w14:paraId="50EBCE7A" w14:textId="77777777" w:rsidR="006031D6" w:rsidRPr="006031D6" w:rsidRDefault="006031D6" w:rsidP="006031D6">
            <w:pPr>
              <w:suppressAutoHyphens w:val="0"/>
              <w:autoSpaceDE w:val="0"/>
              <w:autoSpaceDN w:val="0"/>
              <w:adjustRightInd w:val="0"/>
              <w:ind w:firstLine="567"/>
              <w:jc w:val="center"/>
              <w:rPr>
                <w:rFonts w:ascii="Arial" w:hAnsi="Arial" w:cs="Arial"/>
                <w:color w:val="000000"/>
                <w:sz w:val="20"/>
                <w:szCs w:val="20"/>
                <w:lang w:eastAsia="cs-CZ"/>
              </w:rPr>
            </w:pPr>
          </w:p>
        </w:tc>
      </w:tr>
      <w:tr w:rsidR="006031D6" w:rsidRPr="006031D6" w14:paraId="7614D057"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655B9D91" w14:textId="77777777" w:rsidR="006031D6" w:rsidRPr="006031D6" w:rsidRDefault="006031D6" w:rsidP="006031D6">
            <w:pPr>
              <w:suppressAutoHyphens w:val="0"/>
              <w:autoSpaceDE w:val="0"/>
              <w:autoSpaceDN w:val="0"/>
              <w:adjustRightInd w:val="0"/>
              <w:spacing w:line="240" w:lineRule="atLeast"/>
              <w:jc w:val="both"/>
              <w:rPr>
                <w:rFonts w:ascii="Arial" w:hAnsi="Arial" w:cs="Arial"/>
                <w:color w:val="000000"/>
                <w:sz w:val="16"/>
                <w:szCs w:val="16"/>
                <w:lang w:eastAsia="cs-CZ"/>
              </w:rPr>
            </w:pPr>
            <w:r w:rsidRPr="006031D6">
              <w:rPr>
                <w:rFonts w:ascii="Arial" w:hAnsi="Arial" w:cs="Arial"/>
                <w:color w:val="000000"/>
                <w:sz w:val="18"/>
                <w:szCs w:val="18"/>
                <w:lang w:eastAsia="cs-CZ"/>
              </w:rPr>
              <w:t xml:space="preserve">                                 do DN 100</w:t>
            </w:r>
          </w:p>
        </w:tc>
        <w:tc>
          <w:tcPr>
            <w:tcW w:w="2604" w:type="dxa"/>
            <w:tcBorders>
              <w:top w:val="single" w:sz="6" w:space="0" w:color="auto"/>
              <w:left w:val="single" w:sz="6" w:space="0" w:color="auto"/>
              <w:bottom w:val="single" w:sz="6" w:space="0" w:color="auto"/>
              <w:right w:val="single" w:sz="6" w:space="0" w:color="auto"/>
            </w:tcBorders>
          </w:tcPr>
          <w:p w14:paraId="06B8AEC1" w14:textId="77777777" w:rsidR="006031D6" w:rsidRPr="006031D6" w:rsidRDefault="006031D6" w:rsidP="006031D6">
            <w:pPr>
              <w:suppressAutoHyphens w:val="0"/>
              <w:autoSpaceDE w:val="0"/>
              <w:autoSpaceDN w:val="0"/>
              <w:adjustRightInd w:val="0"/>
              <w:spacing w:line="240" w:lineRule="atLeast"/>
              <w:jc w:val="center"/>
              <w:rPr>
                <w:rFonts w:ascii="Arial" w:hAnsi="Arial" w:cs="Arial"/>
                <w:color w:val="000000"/>
                <w:sz w:val="16"/>
                <w:szCs w:val="16"/>
                <w:lang w:eastAsia="cs-CZ"/>
              </w:rPr>
            </w:pPr>
            <w:r w:rsidRPr="006031D6">
              <w:rPr>
                <w:rFonts w:ascii="Arial" w:hAnsi="Arial" w:cs="Arial"/>
                <w:color w:val="000000"/>
                <w:sz w:val="18"/>
                <w:szCs w:val="18"/>
                <w:lang w:eastAsia="cs-CZ"/>
              </w:rPr>
              <w:t>15 m</w:t>
            </w:r>
          </w:p>
        </w:tc>
      </w:tr>
      <w:tr w:rsidR="006031D6" w:rsidRPr="006031D6" w14:paraId="240A715C"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17899C95" w14:textId="77777777" w:rsidR="006031D6" w:rsidRPr="006031D6" w:rsidRDefault="006031D6" w:rsidP="006031D6">
            <w:pPr>
              <w:suppressAutoHyphens w:val="0"/>
              <w:autoSpaceDE w:val="0"/>
              <w:autoSpaceDN w:val="0"/>
              <w:adjustRightInd w:val="0"/>
              <w:spacing w:line="240" w:lineRule="atLeast"/>
              <w:jc w:val="both"/>
              <w:rPr>
                <w:rFonts w:ascii="Arial" w:hAnsi="Arial" w:cs="Arial"/>
                <w:color w:val="000000"/>
                <w:sz w:val="16"/>
                <w:szCs w:val="16"/>
                <w:lang w:eastAsia="cs-CZ"/>
              </w:rPr>
            </w:pPr>
            <w:r w:rsidRPr="006031D6">
              <w:rPr>
                <w:rFonts w:ascii="Arial" w:hAnsi="Arial" w:cs="Arial"/>
                <w:color w:val="000000"/>
                <w:sz w:val="18"/>
                <w:szCs w:val="18"/>
                <w:lang w:eastAsia="cs-CZ"/>
              </w:rPr>
              <w:t xml:space="preserve">                                 do DN 250</w:t>
            </w:r>
          </w:p>
        </w:tc>
        <w:tc>
          <w:tcPr>
            <w:tcW w:w="2604" w:type="dxa"/>
            <w:tcBorders>
              <w:top w:val="single" w:sz="6" w:space="0" w:color="auto"/>
              <w:left w:val="single" w:sz="6" w:space="0" w:color="auto"/>
              <w:bottom w:val="single" w:sz="6" w:space="0" w:color="auto"/>
              <w:right w:val="single" w:sz="6" w:space="0" w:color="auto"/>
            </w:tcBorders>
          </w:tcPr>
          <w:p w14:paraId="1548C717" w14:textId="77777777" w:rsidR="006031D6" w:rsidRPr="006031D6" w:rsidRDefault="006031D6" w:rsidP="006031D6">
            <w:pPr>
              <w:suppressAutoHyphens w:val="0"/>
              <w:autoSpaceDE w:val="0"/>
              <w:autoSpaceDN w:val="0"/>
              <w:adjustRightInd w:val="0"/>
              <w:spacing w:line="240" w:lineRule="atLeast"/>
              <w:jc w:val="center"/>
              <w:rPr>
                <w:rFonts w:ascii="Arial" w:hAnsi="Arial" w:cs="Arial"/>
                <w:color w:val="000000"/>
                <w:sz w:val="16"/>
                <w:szCs w:val="16"/>
                <w:lang w:eastAsia="cs-CZ"/>
              </w:rPr>
            </w:pPr>
            <w:r w:rsidRPr="006031D6">
              <w:rPr>
                <w:rFonts w:ascii="Arial" w:hAnsi="Arial" w:cs="Arial"/>
                <w:color w:val="000000"/>
                <w:sz w:val="18"/>
                <w:szCs w:val="18"/>
                <w:lang w:eastAsia="cs-CZ"/>
              </w:rPr>
              <w:t>20 m</w:t>
            </w:r>
          </w:p>
        </w:tc>
      </w:tr>
      <w:tr w:rsidR="006031D6" w:rsidRPr="006031D6" w14:paraId="452D092E"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3FAB8C25" w14:textId="77777777" w:rsidR="006031D6" w:rsidRPr="006031D6" w:rsidRDefault="006031D6" w:rsidP="006031D6">
            <w:pPr>
              <w:suppressAutoHyphens w:val="0"/>
              <w:autoSpaceDE w:val="0"/>
              <w:autoSpaceDN w:val="0"/>
              <w:adjustRightInd w:val="0"/>
              <w:spacing w:line="240" w:lineRule="atLeast"/>
              <w:jc w:val="both"/>
              <w:rPr>
                <w:rFonts w:ascii="Arial" w:hAnsi="Arial" w:cs="Arial"/>
                <w:color w:val="000000"/>
                <w:sz w:val="16"/>
                <w:szCs w:val="16"/>
                <w:lang w:eastAsia="cs-CZ"/>
              </w:rPr>
            </w:pPr>
            <w:r w:rsidRPr="006031D6">
              <w:rPr>
                <w:rFonts w:ascii="Arial" w:hAnsi="Arial" w:cs="Arial"/>
                <w:color w:val="000000"/>
                <w:sz w:val="18"/>
                <w:szCs w:val="18"/>
                <w:lang w:eastAsia="cs-CZ"/>
              </w:rPr>
              <w:t xml:space="preserve">                                 nad DN 250</w:t>
            </w:r>
          </w:p>
        </w:tc>
        <w:tc>
          <w:tcPr>
            <w:tcW w:w="2604" w:type="dxa"/>
            <w:tcBorders>
              <w:top w:val="single" w:sz="6" w:space="0" w:color="auto"/>
              <w:left w:val="single" w:sz="6" w:space="0" w:color="auto"/>
              <w:bottom w:val="single" w:sz="6" w:space="0" w:color="auto"/>
              <w:right w:val="single" w:sz="6" w:space="0" w:color="auto"/>
            </w:tcBorders>
          </w:tcPr>
          <w:p w14:paraId="332C4A59" w14:textId="77777777" w:rsidR="006031D6" w:rsidRPr="006031D6" w:rsidRDefault="006031D6" w:rsidP="006031D6">
            <w:pPr>
              <w:suppressAutoHyphens w:val="0"/>
              <w:autoSpaceDE w:val="0"/>
              <w:autoSpaceDN w:val="0"/>
              <w:adjustRightInd w:val="0"/>
              <w:spacing w:line="240" w:lineRule="atLeast"/>
              <w:jc w:val="center"/>
              <w:rPr>
                <w:rFonts w:ascii="Arial" w:hAnsi="Arial" w:cs="Arial"/>
                <w:color w:val="000000"/>
                <w:sz w:val="16"/>
                <w:szCs w:val="16"/>
                <w:lang w:eastAsia="cs-CZ"/>
              </w:rPr>
            </w:pPr>
            <w:r w:rsidRPr="006031D6">
              <w:rPr>
                <w:rFonts w:ascii="Arial" w:hAnsi="Arial" w:cs="Arial"/>
                <w:color w:val="000000"/>
                <w:sz w:val="18"/>
                <w:szCs w:val="18"/>
                <w:lang w:eastAsia="cs-CZ"/>
              </w:rPr>
              <w:t>40 m</w:t>
            </w:r>
          </w:p>
        </w:tc>
      </w:tr>
    </w:tbl>
    <w:p w14:paraId="6BC6032C" w14:textId="77777777" w:rsidR="006031D6" w:rsidRPr="006031D6" w:rsidRDefault="006031D6" w:rsidP="006031D6">
      <w:pPr>
        <w:suppressAutoHyphens w:val="0"/>
        <w:autoSpaceDE w:val="0"/>
        <w:autoSpaceDN w:val="0"/>
        <w:adjustRightInd w:val="0"/>
        <w:jc w:val="both"/>
        <w:rPr>
          <w:rFonts w:ascii="Arial" w:hAnsi="Arial" w:cs="Arial"/>
          <w:sz w:val="20"/>
          <w:lang w:eastAsia="cs-CZ"/>
        </w:rPr>
      </w:pPr>
    </w:p>
    <w:p w14:paraId="2674AA8B"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73" w:after="73" w:line="240" w:lineRule="atLeast"/>
        <w:jc w:val="both"/>
        <w:rPr>
          <w:rFonts w:ascii="Arial" w:hAnsi="Arial" w:cs="Arial"/>
          <w:b/>
          <w:bCs/>
          <w:caps/>
          <w:color w:val="000000"/>
          <w:lang w:eastAsia="cs-CZ"/>
        </w:rPr>
      </w:pPr>
      <w:r w:rsidRPr="006031D6">
        <w:rPr>
          <w:rFonts w:ascii="Arial" w:hAnsi="Arial" w:cs="Arial"/>
          <w:b/>
          <w:bCs/>
          <w:caps/>
          <w:color w:val="000000"/>
          <w:lang w:eastAsia="cs-CZ"/>
        </w:rPr>
        <w:t>Teplárenství</w:t>
      </w:r>
    </w:p>
    <w:p w14:paraId="64BF5E33" w14:textId="77777777" w:rsidR="006031D6" w:rsidRPr="006031D6" w:rsidRDefault="006031D6" w:rsidP="006031D6">
      <w:pPr>
        <w:suppressAutoHyphens w:val="0"/>
        <w:autoSpaceDE w:val="0"/>
        <w:autoSpaceDN w:val="0"/>
        <w:adjustRightInd w:val="0"/>
        <w:spacing w:line="240" w:lineRule="atLeast"/>
        <w:ind w:firstLine="567"/>
        <w:jc w:val="both"/>
        <w:rPr>
          <w:rFonts w:ascii="Arial" w:hAnsi="Arial" w:cs="Arial"/>
          <w:color w:val="000000"/>
          <w:sz w:val="20"/>
          <w:szCs w:val="20"/>
          <w:lang w:eastAsia="cs-CZ"/>
        </w:rPr>
      </w:pPr>
    </w:p>
    <w:p w14:paraId="1C8DC437"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Ochranným pásmem se pro čely energetického zákona rozumí prostor v bezprostřední blízkosti zařízení pro výrobu či rozvod tepla určený k zajištění spolehlivého provozu a ochraně života, zdraví a majetku osob.</w:t>
      </w:r>
    </w:p>
    <w:p w14:paraId="05AD24DC"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Šířka ochranných pásem je vymezena svislými rovinami vedenými po obou stranách zařízení na výrobu či rozvod tepla ve vodorovné vzdálenosti měřené kolmo k tomuto zařízení, která činí 2,5 m.</w:t>
      </w:r>
    </w:p>
    <w:p w14:paraId="5E6BCC35"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U výměníkových stanic určených ke změně parametrů teplonosného média v samostatných budovách je ochranné pásmo vymezeno svislými rovinami vedenými ve vodorovné vzdálenosti 2,5 m kolmo na půdorys těchto stanic.</w:t>
      </w:r>
    </w:p>
    <w:p w14:paraId="6886079C"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Stavební činnosti a úpravy terénu v ochranných pásmech, které by mohly ohrozit bezpečný provoz a údržbu zařízení pro výrobu či rozvod tepla, je možno provádět pouze s předchozím písemným souhlasem příslušného držitele autorizace, který odpovídá za provoz těchto zařízení.</w:t>
      </w:r>
    </w:p>
    <w:p w14:paraId="78DEDD43"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lastRenderedPageBreak/>
        <w:t>Prochází-li zařízení pro rozvod tepla budovami, ochranné pásmo se nevymezuje. Vlastníci budov jsou však povinni umožnit držiteli autorizace přístup a provádění nezbytných prací na tomto zařízení.</w:t>
      </w:r>
    </w:p>
    <w:p w14:paraId="18DB3B45"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line="240" w:lineRule="atLeast"/>
        <w:ind w:firstLine="567"/>
        <w:jc w:val="both"/>
        <w:rPr>
          <w:rFonts w:ascii="Arial" w:hAnsi="Arial" w:cs="Arial"/>
          <w:color w:val="000000"/>
          <w:sz w:val="20"/>
          <w:szCs w:val="20"/>
          <w:lang w:eastAsia="cs-CZ"/>
        </w:rPr>
      </w:pPr>
    </w:p>
    <w:p w14:paraId="2D7D7725"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73" w:after="73" w:line="240" w:lineRule="atLeast"/>
        <w:jc w:val="both"/>
        <w:rPr>
          <w:rFonts w:ascii="Arial" w:hAnsi="Arial" w:cs="Arial"/>
          <w:b/>
          <w:bCs/>
          <w:caps/>
          <w:color w:val="000000"/>
          <w:lang w:eastAsia="cs-CZ"/>
        </w:rPr>
      </w:pPr>
      <w:r w:rsidRPr="006031D6">
        <w:rPr>
          <w:rFonts w:ascii="Arial" w:hAnsi="Arial" w:cs="Arial"/>
          <w:b/>
          <w:bCs/>
          <w:caps/>
          <w:color w:val="000000"/>
          <w:lang w:eastAsia="cs-CZ"/>
        </w:rPr>
        <w:t>Spoje</w:t>
      </w:r>
    </w:p>
    <w:p w14:paraId="41509F4E"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Telekomunikační kabely jsou chráněny ochranným pásmem 1 m na každou stranu od krajního kabelu.</w:t>
      </w:r>
    </w:p>
    <w:p w14:paraId="4CFC5D82"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 xml:space="preserve">U radioreléových tras musí být zachována přímá viditelnost a u jejich koncových bodů je vymezeno ochranné pásmo o poloměru 500 m, kde nesmí být umístěn rušivý zdroj elektromagnetického vlnění. </w:t>
      </w:r>
    </w:p>
    <w:p w14:paraId="089C2CD5" w14:textId="77777777" w:rsidR="006031D6" w:rsidRPr="006031D6" w:rsidRDefault="006031D6" w:rsidP="006031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6031D6">
        <w:rPr>
          <w:rFonts w:ascii="Arial" w:hAnsi="Arial" w:cs="Arial"/>
          <w:color w:val="000000"/>
          <w:sz w:val="22"/>
          <w:szCs w:val="22"/>
          <w:lang w:eastAsia="cs-CZ"/>
        </w:rPr>
        <w:t>Televizní převaděče jsou chráněny kruhovým ochranným pásmem o poloměru 30 m.</w:t>
      </w:r>
    </w:p>
    <w:p w14:paraId="6A708A5E" w14:textId="77777777" w:rsidR="006031D6" w:rsidRPr="006031D6" w:rsidRDefault="006031D6" w:rsidP="006031D6">
      <w:pPr>
        <w:suppressAutoHyphens w:val="0"/>
        <w:autoSpaceDE w:val="0"/>
        <w:autoSpaceDN w:val="0"/>
        <w:adjustRightInd w:val="0"/>
        <w:ind w:firstLine="567"/>
        <w:jc w:val="both"/>
        <w:rPr>
          <w:rFonts w:ascii="Arial" w:hAnsi="Arial" w:cs="Arial"/>
          <w:color w:val="000000"/>
          <w:sz w:val="20"/>
          <w:szCs w:val="20"/>
          <w:lang w:eastAsia="cs-CZ"/>
        </w:rPr>
      </w:pPr>
    </w:p>
    <w:p w14:paraId="7A7931AE" w14:textId="77777777" w:rsidR="006031D6" w:rsidRPr="006031D6" w:rsidRDefault="006031D6" w:rsidP="006031D6">
      <w:pPr>
        <w:tabs>
          <w:tab w:val="decimal" w:pos="72"/>
          <w:tab w:val="decimal" w:pos="144"/>
          <w:tab w:val="right" w:pos="2679"/>
        </w:tabs>
        <w:suppressAutoHyphens w:val="0"/>
        <w:spacing w:before="36" w:line="276" w:lineRule="auto"/>
        <w:ind w:left="72"/>
        <w:jc w:val="both"/>
        <w:rPr>
          <w:rFonts w:ascii="Arial" w:hAnsi="Arial" w:cs="Arial"/>
          <w:b/>
          <w:color w:val="00B050"/>
          <w:spacing w:val="3"/>
          <w:lang w:eastAsia="cs-CZ"/>
        </w:rPr>
      </w:pPr>
      <w:r w:rsidRPr="006031D6">
        <w:rPr>
          <w:rFonts w:ascii="Arial" w:hAnsi="Arial" w:cs="Arial"/>
          <w:b/>
          <w:color w:val="00B050"/>
          <w:spacing w:val="3"/>
          <w:lang w:eastAsia="cs-CZ"/>
        </w:rPr>
        <w:t>(Z1) LIMITY VYUŽITÍ ÚZEMÍ VČETNĚ STANOVENÍ ZÁTOPOVÝCH ÚZEMÍ</w:t>
      </w:r>
    </w:p>
    <w:p w14:paraId="1673D1E1" w14:textId="77777777" w:rsidR="006031D6" w:rsidRPr="006031D6" w:rsidRDefault="006031D6" w:rsidP="006031D6">
      <w:pPr>
        <w:tabs>
          <w:tab w:val="decimal" w:pos="72"/>
          <w:tab w:val="decimal" w:pos="144"/>
          <w:tab w:val="right" w:pos="2679"/>
        </w:tabs>
        <w:suppressAutoHyphens w:val="0"/>
        <w:spacing w:before="36" w:line="276" w:lineRule="auto"/>
        <w:ind w:left="72"/>
        <w:jc w:val="both"/>
        <w:rPr>
          <w:rFonts w:ascii="Arial" w:hAnsi="Arial" w:cs="Arial"/>
          <w:b/>
          <w:color w:val="00B050"/>
          <w:spacing w:val="3"/>
          <w:lang w:eastAsia="cs-CZ"/>
        </w:rPr>
      </w:pPr>
      <w:r w:rsidRPr="006031D6">
        <w:rPr>
          <w:rFonts w:ascii="Arial" w:hAnsi="Arial" w:cs="Arial"/>
          <w:b/>
          <w:color w:val="00B050"/>
          <w:spacing w:val="3"/>
          <w:lang w:eastAsia="cs-CZ"/>
        </w:rPr>
        <w:t>LIMITY VSTUPNÍ</w:t>
      </w:r>
    </w:p>
    <w:p w14:paraId="74476D57" w14:textId="77777777" w:rsidR="006031D6" w:rsidRPr="006031D6" w:rsidRDefault="006031D6" w:rsidP="006031D6">
      <w:pPr>
        <w:tabs>
          <w:tab w:val="decimal" w:pos="72"/>
          <w:tab w:val="decimal" w:pos="144"/>
          <w:tab w:val="right" w:pos="2679"/>
        </w:tabs>
        <w:suppressAutoHyphens w:val="0"/>
        <w:spacing w:before="36" w:line="276" w:lineRule="auto"/>
        <w:ind w:left="72"/>
        <w:jc w:val="both"/>
        <w:rPr>
          <w:rFonts w:ascii="Arial" w:hAnsi="Arial" w:cs="Arial"/>
          <w:b/>
          <w:color w:val="00B050"/>
          <w:spacing w:val="3"/>
          <w:lang w:eastAsia="cs-CZ"/>
        </w:rPr>
      </w:pPr>
    </w:p>
    <w:p w14:paraId="733AA32E" w14:textId="77777777" w:rsidR="006031D6" w:rsidRPr="006031D6" w:rsidRDefault="006031D6" w:rsidP="006031D6">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6031D6">
        <w:rPr>
          <w:rFonts w:ascii="Arial" w:hAnsi="Arial" w:cs="Arial"/>
          <w:b/>
          <w:color w:val="00B050"/>
          <w:spacing w:val="3"/>
          <w:sz w:val="22"/>
          <w:szCs w:val="22"/>
          <w:lang w:eastAsia="cs-CZ"/>
        </w:rPr>
        <w:t>Ochrana přírody</w:t>
      </w:r>
    </w:p>
    <w:p w14:paraId="2B93103A" w14:textId="77777777" w:rsidR="006031D6" w:rsidRPr="006031D6" w:rsidRDefault="006031D6" w:rsidP="006031D6">
      <w:pPr>
        <w:tabs>
          <w:tab w:val="decimal" w:pos="426"/>
          <w:tab w:val="decimal" w:pos="709"/>
          <w:tab w:val="right" w:pos="2679"/>
        </w:tabs>
        <w:suppressAutoHyphens w:val="0"/>
        <w:spacing w:before="36" w:line="276" w:lineRule="auto"/>
        <w:ind w:left="709"/>
        <w:jc w:val="both"/>
        <w:rPr>
          <w:rFonts w:ascii="Arial" w:hAnsi="Arial" w:cs="Arial"/>
          <w:color w:val="00B050"/>
          <w:spacing w:val="3"/>
          <w:sz w:val="22"/>
          <w:szCs w:val="22"/>
          <w:lang w:eastAsia="cs-CZ"/>
        </w:rPr>
      </w:pPr>
      <w:r w:rsidRPr="006031D6">
        <w:rPr>
          <w:rFonts w:ascii="Arial" w:hAnsi="Arial" w:cs="Arial"/>
          <w:color w:val="00B050"/>
          <w:spacing w:val="3"/>
          <w:sz w:val="22"/>
          <w:szCs w:val="22"/>
          <w:lang w:eastAsia="cs-CZ"/>
        </w:rPr>
        <w:t>CHKO České středohoří</w:t>
      </w:r>
    </w:p>
    <w:p w14:paraId="43E245EE" w14:textId="77777777" w:rsidR="006031D6" w:rsidRPr="006031D6" w:rsidRDefault="006031D6" w:rsidP="006031D6">
      <w:pPr>
        <w:tabs>
          <w:tab w:val="decimal" w:pos="426"/>
          <w:tab w:val="decimal" w:pos="709"/>
          <w:tab w:val="right" w:pos="2679"/>
        </w:tabs>
        <w:suppressAutoHyphens w:val="0"/>
        <w:spacing w:before="36" w:line="276" w:lineRule="auto"/>
        <w:ind w:left="709"/>
        <w:jc w:val="both"/>
        <w:rPr>
          <w:rFonts w:ascii="Arial" w:hAnsi="Arial" w:cs="Arial"/>
          <w:color w:val="00B050"/>
          <w:spacing w:val="3"/>
          <w:sz w:val="22"/>
          <w:szCs w:val="22"/>
          <w:lang w:eastAsia="cs-CZ"/>
        </w:rPr>
      </w:pPr>
      <w:r w:rsidRPr="006031D6">
        <w:rPr>
          <w:rFonts w:ascii="Arial" w:hAnsi="Arial" w:cs="Arial"/>
          <w:color w:val="00B050"/>
          <w:spacing w:val="3"/>
          <w:sz w:val="22"/>
          <w:szCs w:val="22"/>
          <w:lang w:eastAsia="cs-CZ"/>
        </w:rPr>
        <w:t>Lokální a nadregionální USES a jeho ochranné pásmo (K 8)</w:t>
      </w:r>
    </w:p>
    <w:p w14:paraId="5AA19287" w14:textId="77777777" w:rsidR="006031D6" w:rsidRPr="006031D6" w:rsidRDefault="006031D6" w:rsidP="006031D6">
      <w:pPr>
        <w:tabs>
          <w:tab w:val="decimal" w:pos="426"/>
          <w:tab w:val="decimal" w:pos="709"/>
          <w:tab w:val="right" w:pos="2679"/>
        </w:tabs>
        <w:suppressAutoHyphens w:val="0"/>
        <w:spacing w:before="36" w:line="276" w:lineRule="auto"/>
        <w:ind w:left="709"/>
        <w:jc w:val="both"/>
        <w:rPr>
          <w:rFonts w:ascii="Arial" w:hAnsi="Arial" w:cs="Arial"/>
          <w:color w:val="00B050"/>
          <w:spacing w:val="3"/>
          <w:sz w:val="22"/>
          <w:szCs w:val="22"/>
          <w:lang w:eastAsia="cs-CZ"/>
        </w:rPr>
      </w:pPr>
      <w:r w:rsidRPr="006031D6">
        <w:rPr>
          <w:rFonts w:ascii="Arial" w:hAnsi="Arial" w:cs="Arial"/>
          <w:color w:val="00B050"/>
          <w:spacing w:val="3"/>
          <w:sz w:val="22"/>
          <w:szCs w:val="22"/>
          <w:lang w:eastAsia="cs-CZ"/>
        </w:rPr>
        <w:t>Ochranné pásmo lesa</w:t>
      </w:r>
    </w:p>
    <w:p w14:paraId="037F216F" w14:textId="77777777" w:rsidR="006031D6" w:rsidRPr="006031D6" w:rsidRDefault="006031D6" w:rsidP="006031D6">
      <w:pPr>
        <w:tabs>
          <w:tab w:val="decimal" w:pos="426"/>
          <w:tab w:val="decimal" w:pos="709"/>
          <w:tab w:val="right" w:pos="2679"/>
        </w:tabs>
        <w:suppressAutoHyphens w:val="0"/>
        <w:spacing w:before="36" w:line="276" w:lineRule="auto"/>
        <w:ind w:left="709"/>
        <w:jc w:val="both"/>
        <w:rPr>
          <w:rFonts w:ascii="Arial" w:hAnsi="Arial" w:cs="Arial"/>
          <w:color w:val="00B050"/>
          <w:spacing w:val="3"/>
          <w:sz w:val="22"/>
          <w:szCs w:val="22"/>
          <w:lang w:eastAsia="cs-CZ"/>
        </w:rPr>
      </w:pPr>
      <w:r w:rsidRPr="006031D6">
        <w:rPr>
          <w:rFonts w:ascii="Arial" w:hAnsi="Arial" w:cs="Arial"/>
          <w:color w:val="00B050"/>
          <w:spacing w:val="3"/>
          <w:sz w:val="22"/>
          <w:szCs w:val="22"/>
          <w:lang w:eastAsia="cs-CZ"/>
        </w:rPr>
        <w:t xml:space="preserve">Hranice záplavy Q </w:t>
      </w:r>
      <w:r w:rsidRPr="006031D6">
        <w:rPr>
          <w:rFonts w:ascii="Arial" w:hAnsi="Arial" w:cs="Arial"/>
          <w:color w:val="00B050"/>
          <w:spacing w:val="3"/>
          <w:sz w:val="22"/>
          <w:szCs w:val="22"/>
          <w:vertAlign w:val="subscript"/>
          <w:lang w:eastAsia="cs-CZ"/>
        </w:rPr>
        <w:t>100</w:t>
      </w:r>
    </w:p>
    <w:p w14:paraId="3F325160" w14:textId="77777777" w:rsidR="006031D6" w:rsidRPr="006031D6" w:rsidRDefault="006031D6" w:rsidP="006031D6">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6031D6">
        <w:rPr>
          <w:rFonts w:ascii="Arial" w:hAnsi="Arial" w:cs="Arial"/>
          <w:b/>
          <w:color w:val="00B050"/>
          <w:spacing w:val="3"/>
          <w:sz w:val="22"/>
          <w:szCs w:val="22"/>
          <w:lang w:eastAsia="cs-CZ"/>
        </w:rPr>
        <w:t>Doprava</w:t>
      </w:r>
    </w:p>
    <w:p w14:paraId="0868B69B" w14:textId="77777777" w:rsidR="006031D6" w:rsidRPr="006031D6" w:rsidRDefault="006031D6" w:rsidP="006031D6">
      <w:pPr>
        <w:tabs>
          <w:tab w:val="decimal" w:pos="72"/>
          <w:tab w:val="decimal" w:pos="144"/>
          <w:tab w:val="right" w:pos="2679"/>
        </w:tabs>
        <w:suppressAutoHyphens w:val="0"/>
        <w:spacing w:before="36" w:line="276" w:lineRule="auto"/>
        <w:ind w:left="72"/>
        <w:jc w:val="both"/>
        <w:rPr>
          <w:rFonts w:ascii="Arial" w:hAnsi="Arial" w:cs="Arial"/>
          <w:b/>
          <w:i/>
          <w:color w:val="00B050"/>
          <w:spacing w:val="3"/>
          <w:sz w:val="22"/>
          <w:szCs w:val="22"/>
          <w:lang w:eastAsia="cs-CZ"/>
        </w:rPr>
      </w:pPr>
      <w:r w:rsidRPr="006031D6">
        <w:rPr>
          <w:rFonts w:ascii="Arial" w:hAnsi="Arial" w:cs="Arial"/>
          <w:b/>
          <w:i/>
          <w:color w:val="00B050"/>
          <w:spacing w:val="3"/>
          <w:sz w:val="22"/>
          <w:szCs w:val="22"/>
          <w:lang w:eastAsia="cs-CZ"/>
        </w:rPr>
        <w:t>Silniční ochranné pásmo</w:t>
      </w:r>
    </w:p>
    <w:p w14:paraId="34320CE9" w14:textId="77777777" w:rsidR="006031D6" w:rsidRPr="006031D6" w:rsidRDefault="006031D6" w:rsidP="006031D6">
      <w:pPr>
        <w:tabs>
          <w:tab w:val="decimal" w:pos="144"/>
          <w:tab w:val="decimal" w:pos="567"/>
          <w:tab w:val="right" w:pos="2679"/>
        </w:tabs>
        <w:suppressAutoHyphens w:val="0"/>
        <w:spacing w:before="36" w:line="276" w:lineRule="auto"/>
        <w:ind w:firstLine="709"/>
        <w:jc w:val="both"/>
        <w:rPr>
          <w:rFonts w:ascii="Arial" w:hAnsi="Arial" w:cs="Arial"/>
          <w:color w:val="00B050"/>
          <w:spacing w:val="3"/>
          <w:sz w:val="22"/>
          <w:szCs w:val="22"/>
          <w:lang w:eastAsia="cs-CZ"/>
        </w:rPr>
      </w:pPr>
      <w:r w:rsidRPr="006031D6">
        <w:rPr>
          <w:rFonts w:ascii="Arial" w:hAnsi="Arial" w:cs="Arial"/>
          <w:color w:val="00B050"/>
          <w:spacing w:val="3"/>
          <w:sz w:val="22"/>
          <w:szCs w:val="22"/>
          <w:lang w:eastAsia="cs-CZ"/>
        </w:rPr>
        <w:t>Toto ochranné pásmo upravuje zákon č. 13/1997 Sb. o pozemních komunikacích.</w:t>
      </w:r>
    </w:p>
    <w:p w14:paraId="7F260DBF" w14:textId="77777777" w:rsidR="006031D6" w:rsidRPr="006031D6" w:rsidRDefault="006031D6" w:rsidP="006031D6">
      <w:pPr>
        <w:tabs>
          <w:tab w:val="decimal" w:pos="144"/>
          <w:tab w:val="decimal" w:pos="567"/>
          <w:tab w:val="right" w:pos="2679"/>
        </w:tabs>
        <w:suppressAutoHyphens w:val="0"/>
        <w:spacing w:before="36" w:line="276" w:lineRule="auto"/>
        <w:ind w:firstLine="709"/>
        <w:jc w:val="both"/>
        <w:rPr>
          <w:rFonts w:ascii="Arial" w:hAnsi="Arial" w:cs="Arial"/>
          <w:color w:val="00B050"/>
          <w:spacing w:val="3"/>
          <w:sz w:val="22"/>
          <w:szCs w:val="22"/>
          <w:lang w:eastAsia="cs-CZ"/>
        </w:rPr>
      </w:pPr>
      <w:r w:rsidRPr="006031D6">
        <w:rPr>
          <w:rFonts w:ascii="Arial" w:hAnsi="Arial" w:cs="Arial"/>
          <w:color w:val="00B050"/>
          <w:spacing w:val="3"/>
          <w:sz w:val="22"/>
          <w:szCs w:val="22"/>
          <w:lang w:eastAsia="cs-CZ"/>
        </w:rPr>
        <w:t>Zřizuje se na dálnicích, silnicích a místních komunikacích I. nebo II. třídy mimo zastavěné území obcí. Silniční ochranné pásmo činí:</w:t>
      </w:r>
    </w:p>
    <w:p w14:paraId="71EA670C" w14:textId="77777777" w:rsidR="006031D6" w:rsidRPr="006031D6" w:rsidRDefault="006031D6" w:rsidP="006031D6">
      <w:pPr>
        <w:numPr>
          <w:ilvl w:val="0"/>
          <w:numId w:val="36"/>
        </w:numPr>
        <w:suppressAutoHyphens w:val="0"/>
        <w:spacing w:before="36" w:line="276" w:lineRule="auto"/>
        <w:ind w:left="426"/>
        <w:jc w:val="both"/>
        <w:rPr>
          <w:rFonts w:ascii="Arial" w:hAnsi="Arial" w:cs="Arial"/>
          <w:color w:val="00B050"/>
          <w:spacing w:val="3"/>
          <w:sz w:val="22"/>
          <w:szCs w:val="22"/>
          <w:lang w:eastAsia="cs-CZ"/>
        </w:rPr>
      </w:pPr>
      <w:r w:rsidRPr="006031D6">
        <w:rPr>
          <w:rFonts w:ascii="Arial" w:hAnsi="Arial" w:cs="Arial"/>
          <w:color w:val="00B050"/>
          <w:spacing w:val="3"/>
          <w:sz w:val="22"/>
          <w:szCs w:val="22"/>
          <w:lang w:eastAsia="cs-CZ"/>
        </w:rPr>
        <w:t>15 m kolmo od osy vozovky nebo od osy přilehlého pásu silnice II. třídy nebo III. třídy a místní komunikace II. třídy.</w:t>
      </w:r>
    </w:p>
    <w:p w14:paraId="48803191" w14:textId="77777777" w:rsidR="006031D6" w:rsidRPr="006031D6" w:rsidRDefault="006031D6" w:rsidP="006031D6">
      <w:pPr>
        <w:tabs>
          <w:tab w:val="decimal" w:pos="144"/>
          <w:tab w:val="decimal" w:pos="567"/>
          <w:tab w:val="right" w:pos="2679"/>
        </w:tabs>
        <w:suppressAutoHyphens w:val="0"/>
        <w:spacing w:before="36" w:line="276" w:lineRule="auto"/>
        <w:ind w:firstLine="709"/>
        <w:jc w:val="both"/>
        <w:rPr>
          <w:rFonts w:ascii="Arial" w:hAnsi="Arial" w:cs="Arial"/>
          <w:color w:val="00B050"/>
          <w:spacing w:val="3"/>
          <w:sz w:val="22"/>
          <w:szCs w:val="22"/>
          <w:lang w:eastAsia="cs-CZ"/>
        </w:rPr>
      </w:pPr>
      <w:r w:rsidRPr="006031D6">
        <w:rPr>
          <w:rFonts w:ascii="Arial" w:hAnsi="Arial" w:cs="Arial"/>
          <w:color w:val="00B050"/>
          <w:spacing w:val="3"/>
          <w:sz w:val="22"/>
          <w:szCs w:val="22"/>
          <w:lang w:eastAsia="cs-CZ"/>
        </w:rPr>
        <w:t>V silničních ochranných pásmech je zakázáno mimo jiné provádět stavby a stavební práce. Výjimky z ochranného pásma uděluje silniční správní úřad za podmínek uvedených v zákoně.</w:t>
      </w:r>
    </w:p>
    <w:p w14:paraId="78FA6B67" w14:textId="77777777" w:rsidR="006031D6" w:rsidRPr="006031D6" w:rsidRDefault="006031D6" w:rsidP="006031D6">
      <w:pPr>
        <w:tabs>
          <w:tab w:val="decimal" w:pos="144"/>
          <w:tab w:val="decimal" w:pos="567"/>
          <w:tab w:val="right" w:pos="2679"/>
        </w:tabs>
        <w:suppressAutoHyphens w:val="0"/>
        <w:spacing w:before="36" w:line="276" w:lineRule="auto"/>
        <w:ind w:left="709"/>
        <w:jc w:val="both"/>
        <w:rPr>
          <w:rFonts w:ascii="Arial" w:hAnsi="Arial" w:cs="Arial"/>
          <w:color w:val="00B050"/>
          <w:spacing w:val="3"/>
          <w:sz w:val="22"/>
          <w:szCs w:val="22"/>
          <w:lang w:eastAsia="cs-CZ"/>
        </w:rPr>
      </w:pPr>
    </w:p>
    <w:p w14:paraId="39F7458E" w14:textId="77777777" w:rsidR="006031D6" w:rsidRPr="006031D6" w:rsidRDefault="006031D6" w:rsidP="006031D6">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6031D6">
        <w:rPr>
          <w:rFonts w:ascii="Arial" w:hAnsi="Arial" w:cs="Arial"/>
          <w:b/>
          <w:color w:val="00B050"/>
          <w:spacing w:val="3"/>
          <w:sz w:val="22"/>
          <w:szCs w:val="22"/>
          <w:lang w:eastAsia="cs-CZ"/>
        </w:rPr>
        <w:t>Ochranné pásmo dráhy</w:t>
      </w:r>
    </w:p>
    <w:p w14:paraId="5E342B3B" w14:textId="77777777" w:rsidR="006031D6" w:rsidRPr="006031D6" w:rsidRDefault="006031D6" w:rsidP="006031D6">
      <w:pPr>
        <w:tabs>
          <w:tab w:val="decimal" w:pos="144"/>
          <w:tab w:val="decimal" w:pos="567"/>
          <w:tab w:val="right" w:pos="2679"/>
        </w:tabs>
        <w:suppressAutoHyphens w:val="0"/>
        <w:spacing w:before="36" w:line="276" w:lineRule="auto"/>
        <w:ind w:firstLine="709"/>
        <w:jc w:val="both"/>
        <w:rPr>
          <w:rFonts w:ascii="Arial" w:hAnsi="Arial" w:cs="Arial"/>
          <w:color w:val="00B050"/>
          <w:spacing w:val="3"/>
          <w:sz w:val="22"/>
          <w:szCs w:val="22"/>
          <w:lang w:eastAsia="cs-CZ"/>
        </w:rPr>
      </w:pPr>
      <w:r w:rsidRPr="006031D6">
        <w:rPr>
          <w:rFonts w:ascii="Arial" w:hAnsi="Arial" w:cs="Arial"/>
          <w:color w:val="00B050"/>
          <w:spacing w:val="3"/>
          <w:sz w:val="22"/>
          <w:szCs w:val="22"/>
          <w:lang w:eastAsia="cs-CZ"/>
        </w:rPr>
        <w:t>Ustanovení o ochranném pásmu obsahuje zákon o drahách. Ochranné pásmo dráhy činí:</w:t>
      </w:r>
    </w:p>
    <w:p w14:paraId="126B5DB0" w14:textId="77777777" w:rsidR="006031D6" w:rsidRPr="006031D6" w:rsidRDefault="006031D6" w:rsidP="006031D6">
      <w:pPr>
        <w:numPr>
          <w:ilvl w:val="0"/>
          <w:numId w:val="35"/>
        </w:numPr>
        <w:suppressAutoHyphens w:val="0"/>
        <w:spacing w:before="36" w:line="276" w:lineRule="auto"/>
        <w:ind w:left="426"/>
        <w:jc w:val="both"/>
        <w:rPr>
          <w:rFonts w:ascii="Arial" w:hAnsi="Arial" w:cs="Arial"/>
          <w:color w:val="00B050"/>
          <w:spacing w:val="3"/>
          <w:sz w:val="22"/>
          <w:szCs w:val="22"/>
          <w:lang w:eastAsia="cs-CZ"/>
        </w:rPr>
      </w:pPr>
      <w:r w:rsidRPr="006031D6">
        <w:rPr>
          <w:rFonts w:ascii="Arial" w:hAnsi="Arial" w:cs="Arial"/>
          <w:color w:val="00B050"/>
          <w:spacing w:val="3"/>
          <w:sz w:val="22"/>
          <w:szCs w:val="22"/>
          <w:lang w:eastAsia="cs-CZ"/>
        </w:rPr>
        <w:t>u drah celostátních (tratě tvořící souvislou železniční síť) 60 m od osy krajní koleje, nejméně však 30 m od hranic obvodu dráhy (tj. od hranic drážních pozemků)</w:t>
      </w:r>
    </w:p>
    <w:p w14:paraId="3BF5E7F4" w14:textId="77777777" w:rsidR="006031D6" w:rsidRPr="006031D6" w:rsidRDefault="006031D6" w:rsidP="006031D6">
      <w:pPr>
        <w:tabs>
          <w:tab w:val="decimal" w:pos="144"/>
          <w:tab w:val="decimal" w:pos="567"/>
          <w:tab w:val="right" w:pos="2679"/>
        </w:tabs>
        <w:suppressAutoHyphens w:val="0"/>
        <w:spacing w:before="36" w:line="276" w:lineRule="auto"/>
        <w:ind w:firstLine="709"/>
        <w:jc w:val="both"/>
        <w:rPr>
          <w:rFonts w:ascii="Arial" w:hAnsi="Arial" w:cs="Arial"/>
          <w:color w:val="00B050"/>
          <w:spacing w:val="3"/>
          <w:sz w:val="22"/>
          <w:szCs w:val="22"/>
          <w:lang w:eastAsia="cs-CZ"/>
        </w:rPr>
      </w:pPr>
      <w:r w:rsidRPr="006031D6">
        <w:rPr>
          <w:rFonts w:ascii="Arial" w:hAnsi="Arial" w:cs="Arial"/>
          <w:color w:val="00B050"/>
          <w:spacing w:val="3"/>
          <w:sz w:val="22"/>
          <w:szCs w:val="22"/>
          <w:lang w:eastAsia="cs-CZ"/>
        </w:rPr>
        <w:t>V ochranném pásmu je povoleno stavět pouze drážní stavby. Stavební činnost neželezničního investora je možná pouze s nutným souhlasem Drážního úřadu.</w:t>
      </w:r>
    </w:p>
    <w:p w14:paraId="63D04C43" w14:textId="77777777" w:rsidR="006031D6" w:rsidRPr="006031D6" w:rsidRDefault="006031D6" w:rsidP="006031D6">
      <w:pPr>
        <w:suppressAutoHyphens w:val="0"/>
        <w:autoSpaceDE w:val="0"/>
        <w:autoSpaceDN w:val="0"/>
        <w:adjustRightInd w:val="0"/>
        <w:jc w:val="both"/>
        <w:rPr>
          <w:rFonts w:ascii="Arial" w:hAnsi="Arial" w:cs="Arial"/>
          <w:color w:val="00B050"/>
          <w:sz w:val="20"/>
          <w:szCs w:val="20"/>
          <w:lang w:eastAsia="cs-CZ"/>
        </w:rPr>
      </w:pPr>
    </w:p>
    <w:p w14:paraId="490A9143" w14:textId="77777777" w:rsidR="006031D6" w:rsidRPr="006031D6" w:rsidRDefault="006031D6" w:rsidP="006031D6">
      <w:pPr>
        <w:suppressAutoHyphens w:val="0"/>
        <w:autoSpaceDE w:val="0"/>
        <w:autoSpaceDN w:val="0"/>
        <w:adjustRightInd w:val="0"/>
        <w:spacing w:before="120" w:line="288" w:lineRule="auto"/>
        <w:jc w:val="both"/>
        <w:rPr>
          <w:rFonts w:ascii="Arial" w:hAnsi="Arial" w:cs="Arial"/>
          <w:b/>
          <w:color w:val="BF8F00"/>
          <w:lang w:eastAsia="cs-CZ"/>
        </w:rPr>
      </w:pPr>
      <w:r w:rsidRPr="006031D6">
        <w:rPr>
          <w:rFonts w:ascii="Arial" w:hAnsi="Arial" w:cs="Arial"/>
          <w:color w:val="BF8F00"/>
          <w:sz w:val="22"/>
          <w:szCs w:val="22"/>
          <w:lang w:eastAsia="cs-CZ"/>
        </w:rPr>
        <w:br w:type="page"/>
      </w:r>
      <w:r w:rsidRPr="006031D6">
        <w:rPr>
          <w:rFonts w:ascii="Arial" w:hAnsi="Arial" w:cs="Arial"/>
          <w:b/>
          <w:color w:val="BF8F00"/>
          <w:lang w:eastAsia="cs-CZ"/>
        </w:rPr>
        <w:lastRenderedPageBreak/>
        <w:t>(Z2) KAPITOLA NENÍ ZASTOUPENA VE ZMĚNĚ Č. 2.</w:t>
      </w:r>
    </w:p>
    <w:p w14:paraId="357398E6" w14:textId="77777777" w:rsidR="006031D6" w:rsidRPr="006031D6" w:rsidRDefault="006031D6" w:rsidP="006031D6">
      <w:pPr>
        <w:suppressAutoHyphens w:val="0"/>
        <w:autoSpaceDE w:val="0"/>
        <w:autoSpaceDN w:val="0"/>
        <w:adjustRightInd w:val="0"/>
        <w:spacing w:before="120" w:line="288" w:lineRule="auto"/>
        <w:jc w:val="both"/>
        <w:rPr>
          <w:rFonts w:ascii="Arial" w:hAnsi="Arial" w:cs="Arial"/>
          <w:b/>
          <w:color w:val="0066FF"/>
          <w:lang w:eastAsia="cs-CZ"/>
        </w:rPr>
      </w:pPr>
      <w:r w:rsidRPr="006031D6">
        <w:rPr>
          <w:rFonts w:ascii="Arial" w:hAnsi="Arial" w:cs="Arial"/>
          <w:b/>
          <w:color w:val="0066FF"/>
          <w:lang w:eastAsia="cs-CZ"/>
        </w:rPr>
        <w:t>(Z4) KAPITOLA NENÍ ZASTOUPENA VE ZMĚNĚ Č. 4.</w:t>
      </w:r>
    </w:p>
    <w:p w14:paraId="2EBD7610" w14:textId="77777777" w:rsidR="006031D6" w:rsidRPr="006031D6" w:rsidRDefault="006031D6" w:rsidP="006031D6">
      <w:pPr>
        <w:suppressAutoHyphens w:val="0"/>
        <w:autoSpaceDE w:val="0"/>
        <w:autoSpaceDN w:val="0"/>
        <w:adjustRightInd w:val="0"/>
        <w:spacing w:before="120" w:line="288" w:lineRule="auto"/>
        <w:jc w:val="both"/>
        <w:rPr>
          <w:rFonts w:ascii="Arial" w:hAnsi="Arial" w:cs="Arial"/>
          <w:b/>
          <w:color w:val="D60093"/>
          <w:lang w:eastAsia="cs-CZ"/>
        </w:rPr>
      </w:pPr>
      <w:r w:rsidRPr="006031D6">
        <w:rPr>
          <w:rFonts w:ascii="Arial" w:hAnsi="Arial" w:cs="Arial"/>
          <w:b/>
          <w:color w:val="D60093"/>
          <w:lang w:eastAsia="cs-CZ"/>
        </w:rPr>
        <w:t>(Z6) KAPITOLA NENÍ ZASTOUPENA VE ZMĚNĚ Č. 6.</w:t>
      </w:r>
    </w:p>
    <w:p w14:paraId="35671ABB" w14:textId="77777777" w:rsidR="006031D6" w:rsidRPr="006031D6" w:rsidRDefault="006031D6" w:rsidP="006031D6">
      <w:pPr>
        <w:suppressAutoHyphens w:val="0"/>
        <w:autoSpaceDE w:val="0"/>
        <w:autoSpaceDN w:val="0"/>
        <w:adjustRightInd w:val="0"/>
        <w:spacing w:before="120" w:line="288" w:lineRule="auto"/>
        <w:jc w:val="both"/>
        <w:rPr>
          <w:rFonts w:ascii="Arial" w:hAnsi="Arial" w:cs="Arial"/>
          <w:b/>
          <w:color w:val="FF0000"/>
          <w:lang w:eastAsia="cs-CZ"/>
        </w:rPr>
      </w:pPr>
      <w:r w:rsidRPr="006031D6">
        <w:rPr>
          <w:rFonts w:ascii="Arial" w:hAnsi="Arial" w:cs="Arial"/>
          <w:b/>
          <w:color w:val="FF0000"/>
          <w:lang w:eastAsia="cs-CZ"/>
        </w:rPr>
        <w:t>(Z8) KAPITOLA NENÍ ZASTOUPENA VE ZMĚNĚ Č. 8.</w:t>
      </w:r>
    </w:p>
    <w:p w14:paraId="4F794662" w14:textId="77777777" w:rsidR="006031D6" w:rsidRDefault="006031D6" w:rsidP="00CA23D0">
      <w:pPr>
        <w:jc w:val="both"/>
        <w:rPr>
          <w:rFonts w:ascii="Arial" w:hAnsi="Arial" w:cs="Arial"/>
          <w:sz w:val="22"/>
        </w:rPr>
      </w:pPr>
    </w:p>
    <w:p w14:paraId="7A8DFE41" w14:textId="1B2F5E34" w:rsidR="006031D6" w:rsidRPr="006F4120" w:rsidRDefault="006F4120" w:rsidP="00CA23D0">
      <w:pPr>
        <w:jc w:val="both"/>
        <w:rPr>
          <w:rFonts w:ascii="Arial" w:hAnsi="Arial" w:cs="Arial"/>
          <w:b/>
          <w:sz w:val="22"/>
        </w:rPr>
      </w:pPr>
      <w:r w:rsidRPr="007B2506">
        <w:rPr>
          <w:rFonts w:ascii="Arial" w:hAnsi="Arial" w:cs="Arial"/>
          <w:b/>
          <w:color w:val="18B8B0"/>
          <w:sz w:val="22"/>
        </w:rPr>
        <w:t xml:space="preserve">(Z12) KAPITOLA </w:t>
      </w:r>
      <w:r w:rsidR="00A808CC" w:rsidRPr="007B2506">
        <w:rPr>
          <w:rFonts w:ascii="Arial" w:hAnsi="Arial" w:cs="Arial"/>
          <w:b/>
          <w:color w:val="18B8B0"/>
          <w:sz w:val="22"/>
        </w:rPr>
        <w:t xml:space="preserve">BYLA VE ZMĚNĚ Č. 12 V ROZSAHU </w:t>
      </w:r>
      <w:r w:rsidRPr="007B2506">
        <w:rPr>
          <w:rFonts w:ascii="Arial" w:hAnsi="Arial" w:cs="Arial"/>
          <w:b/>
          <w:color w:val="18B8B0"/>
          <w:sz w:val="22"/>
        </w:rPr>
        <w:t>ČÁSTI D4 UPRĚSNĚNA DLE PLATNÉ LEGISLATIVY</w:t>
      </w:r>
      <w:r w:rsidR="00A808CC" w:rsidRPr="007B2506">
        <w:rPr>
          <w:rFonts w:ascii="Arial" w:hAnsi="Arial" w:cs="Arial"/>
          <w:b/>
          <w:color w:val="18B8B0"/>
          <w:sz w:val="22"/>
        </w:rPr>
        <w:t>.</w:t>
      </w:r>
    </w:p>
    <w:p w14:paraId="34600FF4" w14:textId="77777777" w:rsidR="006031D6" w:rsidRDefault="006031D6" w:rsidP="00CA23D0">
      <w:pPr>
        <w:jc w:val="both"/>
        <w:rPr>
          <w:rFonts w:ascii="Arial" w:hAnsi="Arial" w:cs="Arial"/>
          <w:sz w:val="22"/>
        </w:rPr>
      </w:pPr>
    </w:p>
    <w:p w14:paraId="6450E5B8" w14:textId="77777777" w:rsidR="006031D6" w:rsidRDefault="006031D6" w:rsidP="00CA23D0">
      <w:pPr>
        <w:jc w:val="both"/>
        <w:rPr>
          <w:rFonts w:ascii="Arial" w:hAnsi="Arial" w:cs="Arial"/>
          <w:sz w:val="22"/>
        </w:rPr>
      </w:pPr>
    </w:p>
    <w:p w14:paraId="0E89BB22" w14:textId="77777777" w:rsidR="006031D6" w:rsidRDefault="006031D6" w:rsidP="00CA23D0">
      <w:pPr>
        <w:jc w:val="both"/>
        <w:rPr>
          <w:rFonts w:ascii="Arial" w:hAnsi="Arial" w:cs="Arial"/>
          <w:sz w:val="22"/>
        </w:rPr>
      </w:pPr>
    </w:p>
    <w:p w14:paraId="54DCC16C" w14:textId="77777777" w:rsidR="006031D6" w:rsidRDefault="006031D6" w:rsidP="00CA23D0">
      <w:pPr>
        <w:jc w:val="both"/>
        <w:rPr>
          <w:rFonts w:ascii="Arial" w:hAnsi="Arial" w:cs="Arial"/>
          <w:sz w:val="22"/>
        </w:rPr>
      </w:pPr>
    </w:p>
    <w:p w14:paraId="33F51D4F" w14:textId="77777777" w:rsidR="006031D6" w:rsidRDefault="006031D6" w:rsidP="00CA23D0">
      <w:pPr>
        <w:jc w:val="both"/>
        <w:rPr>
          <w:rFonts w:ascii="Arial" w:hAnsi="Arial" w:cs="Arial"/>
          <w:sz w:val="22"/>
        </w:rPr>
      </w:pPr>
    </w:p>
    <w:p w14:paraId="5D7227B4" w14:textId="77777777" w:rsidR="006031D6" w:rsidRDefault="006031D6" w:rsidP="00CA23D0">
      <w:pPr>
        <w:jc w:val="both"/>
        <w:rPr>
          <w:rFonts w:ascii="Arial" w:hAnsi="Arial" w:cs="Arial"/>
          <w:sz w:val="22"/>
        </w:rPr>
      </w:pPr>
    </w:p>
    <w:p w14:paraId="7F6A1395" w14:textId="77777777" w:rsidR="006031D6" w:rsidRDefault="006031D6" w:rsidP="00CA23D0">
      <w:pPr>
        <w:jc w:val="both"/>
        <w:rPr>
          <w:rFonts w:ascii="Arial" w:hAnsi="Arial" w:cs="Arial"/>
          <w:sz w:val="22"/>
        </w:rPr>
      </w:pPr>
    </w:p>
    <w:p w14:paraId="237E2A40" w14:textId="77777777" w:rsidR="006031D6" w:rsidRDefault="006031D6" w:rsidP="00CA23D0">
      <w:pPr>
        <w:jc w:val="both"/>
        <w:rPr>
          <w:rFonts w:ascii="Arial" w:hAnsi="Arial" w:cs="Arial"/>
          <w:sz w:val="22"/>
        </w:rPr>
      </w:pPr>
    </w:p>
    <w:p w14:paraId="3A279B1D" w14:textId="77777777" w:rsidR="006031D6" w:rsidRDefault="006031D6" w:rsidP="00CA23D0">
      <w:pPr>
        <w:jc w:val="both"/>
        <w:rPr>
          <w:rFonts w:ascii="Arial" w:hAnsi="Arial" w:cs="Arial"/>
          <w:sz w:val="22"/>
        </w:rPr>
      </w:pPr>
    </w:p>
    <w:p w14:paraId="1C76746A" w14:textId="77777777" w:rsidR="006031D6" w:rsidRDefault="006031D6" w:rsidP="00CA23D0">
      <w:pPr>
        <w:jc w:val="both"/>
        <w:rPr>
          <w:rFonts w:ascii="Arial" w:hAnsi="Arial" w:cs="Arial"/>
          <w:sz w:val="22"/>
        </w:rPr>
      </w:pPr>
    </w:p>
    <w:p w14:paraId="075CC7ED" w14:textId="77777777" w:rsidR="006031D6" w:rsidRDefault="006031D6" w:rsidP="00CA23D0">
      <w:pPr>
        <w:jc w:val="both"/>
        <w:rPr>
          <w:rFonts w:ascii="Arial" w:hAnsi="Arial" w:cs="Arial"/>
          <w:sz w:val="22"/>
        </w:rPr>
      </w:pPr>
    </w:p>
    <w:p w14:paraId="0D6E722B" w14:textId="77777777" w:rsidR="006031D6" w:rsidRDefault="006031D6" w:rsidP="00CA23D0">
      <w:pPr>
        <w:jc w:val="both"/>
        <w:rPr>
          <w:rFonts w:ascii="Arial" w:hAnsi="Arial" w:cs="Arial"/>
          <w:sz w:val="22"/>
        </w:rPr>
      </w:pPr>
    </w:p>
    <w:p w14:paraId="611E8F65" w14:textId="77777777" w:rsidR="006031D6" w:rsidRDefault="006031D6" w:rsidP="00CA23D0">
      <w:pPr>
        <w:jc w:val="both"/>
        <w:rPr>
          <w:rFonts w:ascii="Arial" w:hAnsi="Arial" w:cs="Arial"/>
          <w:sz w:val="22"/>
        </w:rPr>
      </w:pPr>
    </w:p>
    <w:p w14:paraId="6C70033C" w14:textId="77777777" w:rsidR="006031D6" w:rsidRDefault="006031D6" w:rsidP="00CA23D0">
      <w:pPr>
        <w:jc w:val="both"/>
        <w:rPr>
          <w:rFonts w:ascii="Arial" w:hAnsi="Arial" w:cs="Arial"/>
          <w:sz w:val="22"/>
        </w:rPr>
      </w:pPr>
    </w:p>
    <w:p w14:paraId="20390411" w14:textId="77777777" w:rsidR="006031D6" w:rsidRDefault="006031D6" w:rsidP="00CA23D0">
      <w:pPr>
        <w:jc w:val="both"/>
        <w:rPr>
          <w:rFonts w:ascii="Arial" w:hAnsi="Arial" w:cs="Arial"/>
          <w:sz w:val="22"/>
        </w:rPr>
      </w:pPr>
    </w:p>
    <w:p w14:paraId="465DCFF9" w14:textId="77777777" w:rsidR="006031D6" w:rsidRDefault="006031D6" w:rsidP="00CA23D0">
      <w:pPr>
        <w:jc w:val="both"/>
        <w:rPr>
          <w:rFonts w:ascii="Arial" w:hAnsi="Arial" w:cs="Arial"/>
          <w:sz w:val="22"/>
        </w:rPr>
      </w:pPr>
    </w:p>
    <w:p w14:paraId="18006E75" w14:textId="77777777" w:rsidR="006031D6" w:rsidRDefault="006031D6" w:rsidP="00CA23D0">
      <w:pPr>
        <w:jc w:val="both"/>
        <w:rPr>
          <w:rFonts w:ascii="Arial" w:hAnsi="Arial" w:cs="Arial"/>
          <w:sz w:val="22"/>
        </w:rPr>
      </w:pPr>
    </w:p>
    <w:p w14:paraId="639A40AA" w14:textId="77777777" w:rsidR="006031D6" w:rsidRDefault="006031D6" w:rsidP="00CA23D0">
      <w:pPr>
        <w:jc w:val="both"/>
        <w:rPr>
          <w:rFonts w:ascii="Arial" w:hAnsi="Arial" w:cs="Arial"/>
          <w:sz w:val="22"/>
        </w:rPr>
      </w:pPr>
    </w:p>
    <w:p w14:paraId="2FAFA282" w14:textId="77777777" w:rsidR="006031D6" w:rsidRDefault="006031D6" w:rsidP="00CA23D0">
      <w:pPr>
        <w:jc w:val="both"/>
        <w:rPr>
          <w:rFonts w:ascii="Arial" w:hAnsi="Arial" w:cs="Arial"/>
          <w:sz w:val="22"/>
        </w:rPr>
      </w:pPr>
    </w:p>
    <w:p w14:paraId="7FFA2C84" w14:textId="77777777" w:rsidR="006031D6" w:rsidRDefault="006031D6" w:rsidP="00CA23D0">
      <w:pPr>
        <w:jc w:val="both"/>
        <w:rPr>
          <w:rFonts w:ascii="Arial" w:hAnsi="Arial" w:cs="Arial"/>
          <w:sz w:val="22"/>
        </w:rPr>
      </w:pPr>
    </w:p>
    <w:p w14:paraId="3B8AB53F" w14:textId="77777777" w:rsidR="006031D6" w:rsidRDefault="006031D6" w:rsidP="00CA23D0">
      <w:pPr>
        <w:jc w:val="both"/>
        <w:rPr>
          <w:rFonts w:ascii="Arial" w:hAnsi="Arial" w:cs="Arial"/>
          <w:sz w:val="22"/>
        </w:rPr>
      </w:pPr>
    </w:p>
    <w:p w14:paraId="5357FDF0" w14:textId="77777777" w:rsidR="006031D6" w:rsidRDefault="006031D6" w:rsidP="00CA23D0">
      <w:pPr>
        <w:jc w:val="both"/>
        <w:rPr>
          <w:rFonts w:ascii="Arial" w:hAnsi="Arial" w:cs="Arial"/>
          <w:sz w:val="22"/>
        </w:rPr>
      </w:pPr>
    </w:p>
    <w:p w14:paraId="71B5C809" w14:textId="77777777" w:rsidR="006031D6" w:rsidRDefault="006031D6" w:rsidP="00CA23D0">
      <w:pPr>
        <w:jc w:val="both"/>
        <w:rPr>
          <w:rFonts w:ascii="Arial" w:hAnsi="Arial" w:cs="Arial"/>
          <w:sz w:val="22"/>
        </w:rPr>
      </w:pPr>
    </w:p>
    <w:p w14:paraId="65C7F807" w14:textId="77777777" w:rsidR="006031D6" w:rsidRDefault="006031D6" w:rsidP="00CA23D0">
      <w:pPr>
        <w:jc w:val="both"/>
        <w:rPr>
          <w:rFonts w:ascii="Arial" w:hAnsi="Arial" w:cs="Arial"/>
          <w:sz w:val="22"/>
        </w:rPr>
      </w:pPr>
    </w:p>
    <w:p w14:paraId="43832100" w14:textId="77777777" w:rsidR="006031D6" w:rsidRDefault="006031D6" w:rsidP="00CA23D0">
      <w:pPr>
        <w:jc w:val="both"/>
        <w:rPr>
          <w:rFonts w:ascii="Arial" w:hAnsi="Arial" w:cs="Arial"/>
          <w:sz w:val="22"/>
        </w:rPr>
      </w:pPr>
    </w:p>
    <w:p w14:paraId="1895CB87" w14:textId="77777777" w:rsidR="006031D6" w:rsidRDefault="006031D6" w:rsidP="00CA23D0">
      <w:pPr>
        <w:jc w:val="both"/>
        <w:rPr>
          <w:rFonts w:ascii="Arial" w:hAnsi="Arial" w:cs="Arial"/>
          <w:sz w:val="22"/>
        </w:rPr>
      </w:pPr>
    </w:p>
    <w:p w14:paraId="45ADBB4E" w14:textId="77777777" w:rsidR="006031D6" w:rsidRDefault="006031D6" w:rsidP="00CA23D0">
      <w:pPr>
        <w:jc w:val="both"/>
        <w:rPr>
          <w:rFonts w:ascii="Arial" w:hAnsi="Arial" w:cs="Arial"/>
          <w:sz w:val="22"/>
        </w:rPr>
      </w:pPr>
    </w:p>
    <w:p w14:paraId="34F78131" w14:textId="77777777" w:rsidR="006031D6" w:rsidRDefault="006031D6" w:rsidP="00CA23D0">
      <w:pPr>
        <w:jc w:val="both"/>
        <w:rPr>
          <w:rFonts w:ascii="Arial" w:hAnsi="Arial" w:cs="Arial"/>
          <w:sz w:val="22"/>
        </w:rPr>
      </w:pPr>
    </w:p>
    <w:p w14:paraId="1624172F" w14:textId="77777777" w:rsidR="006031D6" w:rsidRDefault="006031D6" w:rsidP="00CA23D0">
      <w:pPr>
        <w:jc w:val="both"/>
        <w:rPr>
          <w:rFonts w:ascii="Arial" w:hAnsi="Arial" w:cs="Arial"/>
          <w:sz w:val="22"/>
        </w:rPr>
      </w:pPr>
    </w:p>
    <w:p w14:paraId="019A2C83" w14:textId="77777777" w:rsidR="006031D6" w:rsidRDefault="006031D6" w:rsidP="00CA23D0">
      <w:pPr>
        <w:jc w:val="both"/>
        <w:rPr>
          <w:rFonts w:ascii="Arial" w:hAnsi="Arial" w:cs="Arial"/>
          <w:sz w:val="22"/>
        </w:rPr>
      </w:pPr>
    </w:p>
    <w:p w14:paraId="12AA472E" w14:textId="77777777" w:rsidR="006031D6" w:rsidRDefault="006031D6" w:rsidP="00CA23D0">
      <w:pPr>
        <w:jc w:val="both"/>
        <w:rPr>
          <w:rFonts w:ascii="Arial" w:hAnsi="Arial" w:cs="Arial"/>
          <w:sz w:val="22"/>
        </w:rPr>
      </w:pPr>
    </w:p>
    <w:p w14:paraId="29795BEC" w14:textId="77777777" w:rsidR="006031D6" w:rsidRDefault="006031D6" w:rsidP="00CA23D0">
      <w:pPr>
        <w:jc w:val="both"/>
        <w:rPr>
          <w:rFonts w:ascii="Arial" w:hAnsi="Arial" w:cs="Arial"/>
          <w:sz w:val="22"/>
        </w:rPr>
      </w:pPr>
    </w:p>
    <w:p w14:paraId="2FC83228" w14:textId="77777777" w:rsidR="006031D6" w:rsidRDefault="006031D6" w:rsidP="00CA23D0">
      <w:pPr>
        <w:jc w:val="both"/>
        <w:rPr>
          <w:rFonts w:ascii="Arial" w:hAnsi="Arial" w:cs="Arial"/>
          <w:sz w:val="22"/>
        </w:rPr>
      </w:pPr>
    </w:p>
    <w:p w14:paraId="2E38FA51" w14:textId="77777777" w:rsidR="006031D6" w:rsidRDefault="006031D6" w:rsidP="00CA23D0">
      <w:pPr>
        <w:jc w:val="both"/>
        <w:rPr>
          <w:rFonts w:ascii="Arial" w:hAnsi="Arial" w:cs="Arial"/>
          <w:sz w:val="22"/>
        </w:rPr>
      </w:pPr>
    </w:p>
    <w:p w14:paraId="5AE7C616" w14:textId="77777777" w:rsidR="006031D6" w:rsidRDefault="006031D6" w:rsidP="00CA23D0">
      <w:pPr>
        <w:jc w:val="both"/>
        <w:rPr>
          <w:rFonts w:ascii="Arial" w:hAnsi="Arial" w:cs="Arial"/>
          <w:sz w:val="22"/>
        </w:rPr>
      </w:pPr>
    </w:p>
    <w:p w14:paraId="08A71539" w14:textId="77777777" w:rsidR="006031D6" w:rsidRDefault="006031D6" w:rsidP="00CA23D0">
      <w:pPr>
        <w:jc w:val="both"/>
        <w:rPr>
          <w:rFonts w:ascii="Arial" w:hAnsi="Arial" w:cs="Arial"/>
          <w:sz w:val="22"/>
        </w:rPr>
      </w:pPr>
    </w:p>
    <w:p w14:paraId="0CE5D1A0" w14:textId="77777777" w:rsidR="006031D6" w:rsidRDefault="006031D6" w:rsidP="00CA23D0">
      <w:pPr>
        <w:jc w:val="both"/>
        <w:rPr>
          <w:rFonts w:ascii="Arial" w:hAnsi="Arial" w:cs="Arial"/>
          <w:sz w:val="22"/>
        </w:rPr>
      </w:pPr>
    </w:p>
    <w:p w14:paraId="67A79727" w14:textId="77777777" w:rsidR="006031D6" w:rsidRDefault="006031D6" w:rsidP="00CA23D0">
      <w:pPr>
        <w:jc w:val="both"/>
        <w:rPr>
          <w:rFonts w:ascii="Arial" w:hAnsi="Arial" w:cs="Arial"/>
          <w:sz w:val="22"/>
        </w:rPr>
      </w:pPr>
    </w:p>
    <w:p w14:paraId="235E9D91" w14:textId="77777777" w:rsidR="006031D6" w:rsidRDefault="006031D6" w:rsidP="00CA23D0">
      <w:pPr>
        <w:jc w:val="both"/>
        <w:rPr>
          <w:rFonts w:ascii="Arial" w:hAnsi="Arial" w:cs="Arial"/>
          <w:sz w:val="22"/>
        </w:rPr>
      </w:pPr>
    </w:p>
    <w:p w14:paraId="7FCF9AD0" w14:textId="77777777" w:rsidR="006031D6" w:rsidRDefault="006031D6" w:rsidP="00CA23D0">
      <w:pPr>
        <w:jc w:val="both"/>
        <w:rPr>
          <w:rFonts w:ascii="Arial" w:hAnsi="Arial" w:cs="Arial"/>
          <w:sz w:val="22"/>
        </w:rPr>
      </w:pPr>
    </w:p>
    <w:p w14:paraId="5A732748" w14:textId="77777777" w:rsidR="006031D6" w:rsidRDefault="006031D6" w:rsidP="00CA23D0">
      <w:pPr>
        <w:jc w:val="both"/>
        <w:rPr>
          <w:rFonts w:ascii="Arial" w:hAnsi="Arial" w:cs="Arial"/>
          <w:sz w:val="22"/>
        </w:rPr>
      </w:pPr>
    </w:p>
    <w:p w14:paraId="0EB6C99B" w14:textId="77777777" w:rsidR="006031D6" w:rsidRDefault="006031D6" w:rsidP="00CA23D0">
      <w:pPr>
        <w:jc w:val="both"/>
        <w:rPr>
          <w:rFonts w:ascii="Arial" w:hAnsi="Arial" w:cs="Arial"/>
          <w:sz w:val="22"/>
        </w:rPr>
      </w:pPr>
    </w:p>
    <w:p w14:paraId="1560E79F" w14:textId="77777777" w:rsidR="006031D6" w:rsidRDefault="006031D6" w:rsidP="00CA23D0">
      <w:pPr>
        <w:jc w:val="both"/>
        <w:rPr>
          <w:rFonts w:ascii="Arial" w:hAnsi="Arial" w:cs="Arial"/>
          <w:sz w:val="22"/>
        </w:rPr>
      </w:pPr>
    </w:p>
    <w:p w14:paraId="41A28DF6" w14:textId="77777777" w:rsidR="006031D6" w:rsidRDefault="006031D6" w:rsidP="00CA23D0">
      <w:pPr>
        <w:jc w:val="both"/>
        <w:rPr>
          <w:rFonts w:ascii="Arial" w:hAnsi="Arial" w:cs="Arial"/>
          <w:sz w:val="22"/>
        </w:rPr>
      </w:pPr>
    </w:p>
    <w:p w14:paraId="142CEFFC" w14:textId="77777777" w:rsidR="006031D6" w:rsidRDefault="006031D6" w:rsidP="00CA23D0">
      <w:pPr>
        <w:jc w:val="both"/>
        <w:rPr>
          <w:rFonts w:ascii="Arial" w:hAnsi="Arial" w:cs="Arial"/>
          <w:sz w:val="22"/>
        </w:rPr>
      </w:pPr>
    </w:p>
    <w:p w14:paraId="1AFF5351" w14:textId="77777777" w:rsidR="006031D6" w:rsidRPr="006031D6" w:rsidRDefault="006031D6" w:rsidP="006031D6">
      <w:pPr>
        <w:pStyle w:val="Nadpis"/>
        <w:jc w:val="both"/>
        <w:rPr>
          <w:sz w:val="46"/>
          <w:szCs w:val="46"/>
        </w:rPr>
      </w:pPr>
      <w:r>
        <w:rPr>
          <w:sz w:val="46"/>
          <w:szCs w:val="46"/>
        </w:rPr>
        <w:lastRenderedPageBreak/>
        <w:t xml:space="preserve">E.  KOMPLEXNÍ VYHODNOCENÍ </w:t>
      </w:r>
      <w:r>
        <w:rPr>
          <w:sz w:val="46"/>
          <w:szCs w:val="46"/>
        </w:rPr>
        <w:tab/>
      </w:r>
      <w:r>
        <w:rPr>
          <w:sz w:val="46"/>
          <w:szCs w:val="46"/>
        </w:rPr>
        <w:tab/>
      </w:r>
      <w:r>
        <w:rPr>
          <w:sz w:val="46"/>
          <w:szCs w:val="46"/>
        </w:rPr>
        <w:tab/>
      </w:r>
      <w:r w:rsidRPr="006031D6">
        <w:rPr>
          <w:sz w:val="46"/>
          <w:szCs w:val="46"/>
        </w:rPr>
        <w:t>KVALITY  ŽIVOTNÍHO PROSTŘEDÍ</w:t>
      </w:r>
    </w:p>
    <w:p w14:paraId="502C09D1" w14:textId="77777777" w:rsidR="006031D6" w:rsidRDefault="006031D6" w:rsidP="006031D6">
      <w:pPr>
        <w:pStyle w:val="Zkladntext"/>
      </w:pPr>
    </w:p>
    <w:p w14:paraId="44816407" w14:textId="77777777" w:rsidR="006031D6" w:rsidRDefault="006031D6" w:rsidP="006031D6">
      <w:pPr>
        <w:pStyle w:val="Zkladntext"/>
      </w:pPr>
    </w:p>
    <w:p w14:paraId="32E736DD" w14:textId="77777777" w:rsidR="006031D6" w:rsidRDefault="006031D6" w:rsidP="006031D6">
      <w:pPr>
        <w:pStyle w:val="podnadpis1"/>
        <w:jc w:val="both"/>
      </w:pPr>
      <w:r>
        <w:t>e.1. Ovzduší</w:t>
      </w:r>
    </w:p>
    <w:p w14:paraId="6B307959"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Řešení otázky životního prostředí ve městě Děčíně a to zejména v oblasti čistoty ovzduší, je bezprostředně spojeno s energetikou. Na znečištění ovzduší se podílejí cca ze 30 % velké elektrárenské a průmyslové zdroje a ze 70 % místní energetické zdroje, které vyrábějí převážně teplo pro vytápění a v menší míře pro technologické účely. Je tedy zcela logické začít řešit problematiku ovzduší u ekologizace místních tepelných zdrojů. V uplynulých letech byla ze strany města realizována řada opatření (plošná plynofikace, výstavba kogenerační jednotky v Bynově a Želenicích, elektrifikace, legislativní opatření ve formě vyhlášek MěÚ), která se pozitivně projevila v kvalitě přízemní vrstvy atmosféry.</w:t>
      </w:r>
    </w:p>
    <w:p w14:paraId="3DAC4CF5"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Pro tuto kapitolu byly použity výsledky z kontinuálního měření znečištění ovzduší OHS a ČHMÚ v Děčíně za posledních 10 let na stanicích č. 1040-ČHÚ Staré Město a č. 576 – OHS Děčín a nemocnice. Údaje z měřící stanice Bynov jsou do roku 1999, kdy byla stanice zrušena. Tímto opatřením bylo vlastně zrušeno sledování znečištění ovzduší v Podmoklech, kde je velká koncentrace průmyslu a automobilového provozu, který negativně ovlivňuje kvalitu ovzduší. </w:t>
      </w:r>
    </w:p>
    <w:p w14:paraId="16113623"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Proto, aby byla možnost kontrolovat hodnoty znečištění ovzduší v Podmoklech (levobřežní část města), je třeba zřídit měřící stanici v centru Podmokel, tzn. v oblasti Mírového nebo Husova náměstí. Stanice na Starém městě nepostihuje přímý vliv dopravy na znečištění ovzduší, i když je pro objektivní hodnocení kvality ovzduší v Děčíně vhodnější než stanice 576 (OHS). </w:t>
      </w:r>
    </w:p>
    <w:p w14:paraId="2D569C1B"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Děčínská kotlina má z hlediska rozptylu exhalací nevýhodnou polohu, kde dno kotliny má nadm. výšku 135 m a je obklopeno terénem s nadm. výškou cca 400-500 m. Kotlina je na severu a jihu uzavřena úzkým údolím Labe a to nezaručuje její dostatečné větrání. Při anticyklóně dochází ke stékání studeného vzduchu na dno kotliny a</w:t>
      </w:r>
      <w:r w:rsidRPr="006031D6">
        <w:rPr>
          <w:rFonts w:ascii="Arial" w:hAnsi="Arial" w:cs="Arial"/>
          <w:b/>
          <w:bCs/>
          <w:sz w:val="22"/>
          <w:szCs w:val="22"/>
        </w:rPr>
        <w:t xml:space="preserve"> vytváří se inverze</w:t>
      </w:r>
      <w:r w:rsidRPr="006031D6">
        <w:rPr>
          <w:rFonts w:ascii="Arial" w:hAnsi="Arial" w:cs="Arial"/>
          <w:sz w:val="22"/>
          <w:szCs w:val="22"/>
        </w:rPr>
        <w:t>, při které zůstává vzduch téměř bez pohybu a dochází ke zvýšení koncentrací škodlivin v ovzduší.</w:t>
      </w:r>
    </w:p>
    <w:p w14:paraId="6EAF84E8"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Podobný efekt, jako má horní hranice přízemní inverze, má i spodní hranice inverze výškové. Ta vzniká tak, že se přízemní inverze začne od spodu vlivem slunečního záření rozpouštět, ve spodní vrstvě nastává vertikální výměna vzduchu a tím se znečištěný vzduch z výšky dostává na dno kotliny a může způsobit vysoké koncentrace znečišťujících látek. Tyto situace nemají dlouhodobé trvání jako inverze přízemní (RNDr. Maňák, rozptylová studie Děčín 1991).</w:t>
      </w:r>
    </w:p>
    <w:p w14:paraId="5E8AB4F6"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Na základě naměřených koncentrací lze zhodnotit vývoj znečištění ovzduší v Děčíně jako zlepšující se, sporné jsou pouze údaje o množství NOX v ovzduší. Podle naměřených hodnot na sledovaných stanicích nelze jednoznačně rozlišit vliv dopravy a topných zdrojů (plyn) na kvalitu ovzduší v Děčíně/ viz tabulky/.</w:t>
      </w:r>
    </w:p>
    <w:p w14:paraId="0A4D24CD" w14:textId="77777777" w:rsidR="006031D6" w:rsidRDefault="006031D6" w:rsidP="006031D6">
      <w:pPr>
        <w:pStyle w:val="Zkladntext"/>
        <w:spacing w:before="120" w:line="288" w:lineRule="auto"/>
        <w:ind w:firstLine="709"/>
        <w:rPr>
          <w:sz w:val="22"/>
          <w:szCs w:val="22"/>
        </w:rPr>
      </w:pPr>
    </w:p>
    <w:p w14:paraId="4C89815F" w14:textId="77777777" w:rsidR="006031D6" w:rsidRPr="006031D6" w:rsidRDefault="006031D6" w:rsidP="006031D6">
      <w:pPr>
        <w:pStyle w:val="Zkladntext"/>
        <w:spacing w:line="240" w:lineRule="atLeast"/>
        <w:rPr>
          <w:rFonts w:ascii="Arial" w:hAnsi="Arial" w:cs="Arial"/>
        </w:rPr>
      </w:pPr>
      <w:r w:rsidRPr="006031D6">
        <w:rPr>
          <w:rFonts w:ascii="Arial" w:hAnsi="Arial" w:cs="Arial"/>
          <w:b/>
          <w:bCs/>
          <w:caps/>
        </w:rPr>
        <w:t>Tabulka 1- průměrné roční koncentrace SO</w:t>
      </w:r>
      <w:r w:rsidRPr="006031D6">
        <w:rPr>
          <w:rFonts w:ascii="Arial" w:hAnsi="Arial" w:cs="Arial"/>
          <w:b/>
          <w:bCs/>
          <w:caps/>
          <w:position w:val="-6"/>
        </w:rPr>
        <w:t>2</w:t>
      </w:r>
      <w:r w:rsidRPr="006031D6">
        <w:rPr>
          <w:rFonts w:ascii="Arial" w:hAnsi="Arial" w:cs="Arial"/>
          <w:b/>
          <w:bCs/>
          <w:caps/>
        </w:rPr>
        <w:t>, NOX, prachu</w:t>
      </w:r>
    </w:p>
    <w:p w14:paraId="5234FC7E" w14:textId="77777777" w:rsidR="006031D6" w:rsidRPr="006031D6" w:rsidRDefault="006031D6" w:rsidP="006031D6">
      <w:pPr>
        <w:pStyle w:val="Zkladntext"/>
        <w:spacing w:line="240" w:lineRule="atLeast"/>
        <w:rPr>
          <w:rFonts w:ascii="Arial" w:hAnsi="Arial" w:cs="Arial"/>
        </w:rPr>
      </w:pPr>
    </w:p>
    <w:p w14:paraId="55C74597" w14:textId="77777777" w:rsidR="006031D6" w:rsidRPr="006031D6" w:rsidRDefault="006031D6" w:rsidP="006031D6">
      <w:pPr>
        <w:pStyle w:val="Zkladntext"/>
        <w:spacing w:line="240" w:lineRule="atLeast"/>
        <w:rPr>
          <w:rFonts w:ascii="Arial" w:hAnsi="Arial" w:cs="Arial"/>
        </w:rPr>
      </w:pPr>
      <w:r w:rsidRPr="006031D6">
        <w:rPr>
          <w:rFonts w:ascii="Arial" w:hAnsi="Arial" w:cs="Arial"/>
          <w:b/>
          <w:bCs/>
          <w:sz w:val="18"/>
          <w:szCs w:val="18"/>
        </w:rPr>
        <w:t>stanice</w:t>
      </w:r>
      <w:r w:rsidRPr="006031D6">
        <w:rPr>
          <w:rFonts w:ascii="Arial" w:hAnsi="Arial" w:cs="Arial"/>
          <w:b/>
          <w:bCs/>
          <w:sz w:val="18"/>
          <w:szCs w:val="18"/>
        </w:rPr>
        <w:tab/>
        <w:t xml:space="preserve">   </w:t>
      </w:r>
      <w:r w:rsidRPr="006031D6">
        <w:rPr>
          <w:rFonts w:ascii="Arial" w:hAnsi="Arial" w:cs="Arial"/>
          <w:b/>
          <w:bCs/>
          <w:sz w:val="18"/>
          <w:szCs w:val="18"/>
        </w:rPr>
        <w:tab/>
        <w:t>90</w:t>
      </w:r>
      <w:r w:rsidRPr="006031D6">
        <w:rPr>
          <w:rFonts w:ascii="Arial" w:hAnsi="Arial" w:cs="Arial"/>
          <w:b/>
          <w:bCs/>
          <w:sz w:val="18"/>
          <w:szCs w:val="18"/>
        </w:rPr>
        <w:tab/>
        <w:t>91</w:t>
      </w:r>
      <w:r w:rsidRPr="006031D6">
        <w:rPr>
          <w:rFonts w:ascii="Arial" w:hAnsi="Arial" w:cs="Arial"/>
          <w:b/>
          <w:bCs/>
          <w:sz w:val="18"/>
          <w:szCs w:val="18"/>
        </w:rPr>
        <w:tab/>
        <w:t>92</w:t>
      </w:r>
      <w:r w:rsidRPr="006031D6">
        <w:rPr>
          <w:rFonts w:ascii="Arial" w:hAnsi="Arial" w:cs="Arial"/>
          <w:b/>
          <w:bCs/>
          <w:sz w:val="18"/>
          <w:szCs w:val="18"/>
        </w:rPr>
        <w:tab/>
        <w:t>93</w:t>
      </w:r>
      <w:r w:rsidRPr="006031D6">
        <w:rPr>
          <w:rFonts w:ascii="Arial" w:hAnsi="Arial" w:cs="Arial"/>
          <w:b/>
          <w:bCs/>
          <w:sz w:val="18"/>
          <w:szCs w:val="18"/>
        </w:rPr>
        <w:tab/>
        <w:t>94</w:t>
      </w:r>
      <w:r w:rsidRPr="006031D6">
        <w:rPr>
          <w:rFonts w:ascii="Arial" w:hAnsi="Arial" w:cs="Arial"/>
          <w:b/>
          <w:bCs/>
          <w:sz w:val="18"/>
          <w:szCs w:val="18"/>
        </w:rPr>
        <w:tab/>
        <w:t>95</w:t>
      </w:r>
      <w:r w:rsidRPr="006031D6">
        <w:rPr>
          <w:rFonts w:ascii="Arial" w:hAnsi="Arial" w:cs="Arial"/>
          <w:b/>
          <w:bCs/>
          <w:sz w:val="18"/>
          <w:szCs w:val="18"/>
        </w:rPr>
        <w:tab/>
        <w:t>96</w:t>
      </w:r>
      <w:r w:rsidRPr="006031D6">
        <w:rPr>
          <w:rFonts w:ascii="Arial" w:hAnsi="Arial" w:cs="Arial"/>
          <w:b/>
          <w:bCs/>
          <w:sz w:val="18"/>
          <w:szCs w:val="18"/>
        </w:rPr>
        <w:tab/>
        <w:t>97</w:t>
      </w:r>
      <w:r w:rsidRPr="006031D6">
        <w:rPr>
          <w:rFonts w:ascii="Arial" w:hAnsi="Arial" w:cs="Arial"/>
          <w:b/>
          <w:bCs/>
          <w:sz w:val="18"/>
          <w:szCs w:val="18"/>
        </w:rPr>
        <w:tab/>
        <w:t>98</w:t>
      </w:r>
      <w:r w:rsidRPr="006031D6">
        <w:rPr>
          <w:rFonts w:ascii="Arial" w:hAnsi="Arial" w:cs="Arial"/>
          <w:b/>
          <w:bCs/>
          <w:sz w:val="18"/>
          <w:szCs w:val="18"/>
        </w:rPr>
        <w:tab/>
        <w:t>99</w:t>
      </w:r>
    </w:p>
    <w:p w14:paraId="58C58733" w14:textId="77777777" w:rsidR="006031D6" w:rsidRPr="006031D6" w:rsidRDefault="006031D6" w:rsidP="006031D6">
      <w:pPr>
        <w:pStyle w:val="Zkladntext"/>
        <w:spacing w:line="240" w:lineRule="atLeast"/>
        <w:rPr>
          <w:rFonts w:ascii="Arial" w:hAnsi="Arial" w:cs="Arial"/>
        </w:rPr>
      </w:pPr>
      <w:r w:rsidRPr="006031D6">
        <w:rPr>
          <w:rFonts w:ascii="Arial" w:hAnsi="Arial" w:cs="Arial"/>
          <w:b/>
          <w:bCs/>
          <w:sz w:val="12"/>
          <w:szCs w:val="12"/>
        </w:rPr>
        <w:t>______________________________________________________________________________________________________________________________</w:t>
      </w:r>
    </w:p>
    <w:p w14:paraId="2CE08519" w14:textId="77777777" w:rsidR="006031D6" w:rsidRPr="006031D6" w:rsidRDefault="006031D6" w:rsidP="006031D6">
      <w:pPr>
        <w:pStyle w:val="Zkladntext"/>
        <w:spacing w:line="240" w:lineRule="atLeast"/>
        <w:rPr>
          <w:rFonts w:ascii="Arial" w:hAnsi="Arial" w:cs="Arial"/>
        </w:rPr>
      </w:pPr>
      <w:r w:rsidRPr="006031D6">
        <w:rPr>
          <w:rFonts w:ascii="Arial" w:hAnsi="Arial" w:cs="Arial"/>
          <w:b/>
          <w:bCs/>
          <w:sz w:val="18"/>
          <w:szCs w:val="18"/>
        </w:rPr>
        <w:t>OHS</w:t>
      </w:r>
    </w:p>
    <w:p w14:paraId="3C5ED431" w14:textId="77777777" w:rsidR="006031D6" w:rsidRPr="006031D6" w:rsidRDefault="006031D6" w:rsidP="006031D6">
      <w:pPr>
        <w:pStyle w:val="Zkladntext"/>
        <w:spacing w:line="240" w:lineRule="atLeast"/>
        <w:rPr>
          <w:rFonts w:ascii="Arial" w:hAnsi="Arial" w:cs="Arial"/>
        </w:rPr>
      </w:pPr>
      <w:r w:rsidRPr="006031D6">
        <w:rPr>
          <w:rFonts w:ascii="Arial" w:hAnsi="Arial" w:cs="Arial"/>
        </w:rPr>
        <w:tab/>
      </w:r>
      <w:r w:rsidRPr="006031D6">
        <w:rPr>
          <w:rFonts w:ascii="Arial" w:hAnsi="Arial" w:cs="Arial"/>
        </w:rPr>
        <w:tab/>
      </w:r>
      <w:r w:rsidRPr="006031D6">
        <w:rPr>
          <w:rFonts w:ascii="Arial" w:hAnsi="Arial" w:cs="Arial"/>
          <w:sz w:val="18"/>
          <w:szCs w:val="18"/>
        </w:rPr>
        <w:t>SO2</w:t>
      </w:r>
      <w:r w:rsidRPr="006031D6">
        <w:rPr>
          <w:rFonts w:ascii="Arial" w:hAnsi="Arial" w:cs="Arial"/>
          <w:sz w:val="18"/>
          <w:szCs w:val="18"/>
        </w:rPr>
        <w:tab/>
        <w:t>89,0</w:t>
      </w:r>
      <w:r w:rsidRPr="006031D6">
        <w:rPr>
          <w:rFonts w:ascii="Arial" w:hAnsi="Arial" w:cs="Arial"/>
          <w:sz w:val="18"/>
          <w:szCs w:val="18"/>
        </w:rPr>
        <w:tab/>
        <w:t>94,8</w:t>
      </w:r>
      <w:r w:rsidRPr="006031D6">
        <w:rPr>
          <w:rFonts w:ascii="Arial" w:hAnsi="Arial" w:cs="Arial"/>
          <w:sz w:val="18"/>
          <w:szCs w:val="18"/>
        </w:rPr>
        <w:tab/>
        <w:t>61,8</w:t>
      </w:r>
      <w:r w:rsidRPr="006031D6">
        <w:rPr>
          <w:rFonts w:ascii="Arial" w:hAnsi="Arial" w:cs="Arial"/>
          <w:sz w:val="18"/>
          <w:szCs w:val="18"/>
        </w:rPr>
        <w:tab/>
        <w:t>70,1</w:t>
      </w:r>
      <w:r w:rsidRPr="006031D6">
        <w:rPr>
          <w:rFonts w:ascii="Arial" w:hAnsi="Arial" w:cs="Arial"/>
          <w:sz w:val="18"/>
          <w:szCs w:val="18"/>
        </w:rPr>
        <w:tab/>
        <w:t>49,4</w:t>
      </w:r>
      <w:r w:rsidRPr="006031D6">
        <w:rPr>
          <w:rFonts w:ascii="Arial" w:hAnsi="Arial" w:cs="Arial"/>
          <w:sz w:val="18"/>
          <w:szCs w:val="18"/>
        </w:rPr>
        <w:tab/>
        <w:t>41</w:t>
      </w:r>
      <w:r w:rsidRPr="006031D6">
        <w:rPr>
          <w:rFonts w:ascii="Arial" w:hAnsi="Arial" w:cs="Arial"/>
          <w:sz w:val="18"/>
          <w:szCs w:val="18"/>
        </w:rPr>
        <w:tab/>
        <w:t>32,5</w:t>
      </w:r>
      <w:r w:rsidRPr="006031D6">
        <w:rPr>
          <w:rFonts w:ascii="Arial" w:hAnsi="Arial" w:cs="Arial"/>
          <w:sz w:val="18"/>
          <w:szCs w:val="18"/>
        </w:rPr>
        <w:tab/>
        <w:t>26</w:t>
      </w:r>
      <w:r w:rsidRPr="006031D6">
        <w:rPr>
          <w:rFonts w:ascii="Arial" w:hAnsi="Arial" w:cs="Arial"/>
          <w:sz w:val="18"/>
          <w:szCs w:val="18"/>
        </w:rPr>
        <w:tab/>
        <w:t>20,4</w:t>
      </w:r>
      <w:r w:rsidRPr="006031D6">
        <w:rPr>
          <w:rFonts w:ascii="Arial" w:hAnsi="Arial" w:cs="Arial"/>
          <w:sz w:val="18"/>
          <w:szCs w:val="18"/>
        </w:rPr>
        <w:tab/>
        <w:t>14,3</w:t>
      </w:r>
    </w:p>
    <w:p w14:paraId="1CFF39EA" w14:textId="77777777" w:rsidR="006031D6" w:rsidRPr="006031D6" w:rsidRDefault="006031D6" w:rsidP="006031D6">
      <w:pPr>
        <w:pStyle w:val="Zkladntext"/>
        <w:spacing w:line="240" w:lineRule="atLeast"/>
        <w:rPr>
          <w:rFonts w:ascii="Arial" w:hAnsi="Arial" w:cs="Arial"/>
        </w:rPr>
      </w:pPr>
    </w:p>
    <w:p w14:paraId="065D7EE2" w14:textId="77777777" w:rsidR="006031D6" w:rsidRPr="006031D6" w:rsidRDefault="006031D6" w:rsidP="006031D6">
      <w:pPr>
        <w:pStyle w:val="Zkladntext"/>
        <w:spacing w:line="240" w:lineRule="atLeast"/>
        <w:rPr>
          <w:rFonts w:ascii="Arial" w:hAnsi="Arial" w:cs="Arial"/>
        </w:rPr>
      </w:pPr>
      <w:r w:rsidRPr="006031D6">
        <w:rPr>
          <w:rFonts w:ascii="Arial" w:hAnsi="Arial" w:cs="Arial"/>
          <w:sz w:val="18"/>
          <w:szCs w:val="18"/>
        </w:rPr>
        <w:tab/>
      </w:r>
      <w:r w:rsidRPr="006031D6">
        <w:rPr>
          <w:rFonts w:ascii="Arial" w:hAnsi="Arial" w:cs="Arial"/>
          <w:sz w:val="18"/>
          <w:szCs w:val="18"/>
        </w:rPr>
        <w:tab/>
        <w:t>NOX</w:t>
      </w:r>
      <w:r w:rsidRPr="006031D6">
        <w:rPr>
          <w:rFonts w:ascii="Arial" w:hAnsi="Arial" w:cs="Arial"/>
          <w:sz w:val="18"/>
          <w:szCs w:val="18"/>
        </w:rPr>
        <w:tab/>
        <w:t>67,9</w:t>
      </w:r>
      <w:r w:rsidRPr="006031D6">
        <w:rPr>
          <w:rFonts w:ascii="Arial" w:hAnsi="Arial" w:cs="Arial"/>
          <w:sz w:val="18"/>
          <w:szCs w:val="18"/>
        </w:rPr>
        <w:tab/>
        <w:t>60,8</w:t>
      </w:r>
      <w:r w:rsidRPr="006031D6">
        <w:rPr>
          <w:rFonts w:ascii="Arial" w:hAnsi="Arial" w:cs="Arial"/>
          <w:sz w:val="18"/>
          <w:szCs w:val="18"/>
        </w:rPr>
        <w:tab/>
        <w:t>53,1</w:t>
      </w:r>
      <w:r w:rsidRPr="006031D6">
        <w:rPr>
          <w:rFonts w:ascii="Arial" w:hAnsi="Arial" w:cs="Arial"/>
          <w:sz w:val="18"/>
          <w:szCs w:val="18"/>
        </w:rPr>
        <w:tab/>
        <w:t>49,1</w:t>
      </w:r>
      <w:r w:rsidRPr="006031D6">
        <w:rPr>
          <w:rFonts w:ascii="Arial" w:hAnsi="Arial" w:cs="Arial"/>
          <w:sz w:val="18"/>
          <w:szCs w:val="18"/>
        </w:rPr>
        <w:tab/>
        <w:t>58,8</w:t>
      </w:r>
      <w:r w:rsidRPr="006031D6">
        <w:rPr>
          <w:rFonts w:ascii="Arial" w:hAnsi="Arial" w:cs="Arial"/>
          <w:sz w:val="18"/>
          <w:szCs w:val="18"/>
        </w:rPr>
        <w:tab/>
        <w:t>147</w:t>
      </w:r>
      <w:r w:rsidRPr="006031D6">
        <w:rPr>
          <w:rFonts w:ascii="Arial" w:hAnsi="Arial" w:cs="Arial"/>
          <w:sz w:val="18"/>
          <w:szCs w:val="18"/>
        </w:rPr>
        <w:tab/>
        <w:t>159</w:t>
      </w:r>
      <w:r w:rsidRPr="006031D6">
        <w:rPr>
          <w:rFonts w:ascii="Arial" w:hAnsi="Arial" w:cs="Arial"/>
          <w:sz w:val="18"/>
          <w:szCs w:val="18"/>
        </w:rPr>
        <w:tab/>
        <w:t>158,8</w:t>
      </w:r>
      <w:r w:rsidRPr="006031D6">
        <w:rPr>
          <w:rFonts w:ascii="Arial" w:hAnsi="Arial" w:cs="Arial"/>
          <w:sz w:val="18"/>
          <w:szCs w:val="18"/>
        </w:rPr>
        <w:tab/>
        <w:t>144,3</w:t>
      </w:r>
      <w:r w:rsidRPr="006031D6">
        <w:rPr>
          <w:rFonts w:ascii="Arial" w:hAnsi="Arial" w:cs="Arial"/>
          <w:sz w:val="18"/>
          <w:szCs w:val="18"/>
        </w:rPr>
        <w:tab/>
        <w:t>157,3</w:t>
      </w:r>
    </w:p>
    <w:p w14:paraId="4BD95268" w14:textId="77777777" w:rsidR="006031D6" w:rsidRPr="006031D6" w:rsidRDefault="006031D6" w:rsidP="006031D6">
      <w:pPr>
        <w:pStyle w:val="Zkladntext"/>
        <w:spacing w:line="240" w:lineRule="atLeast"/>
        <w:rPr>
          <w:rFonts w:ascii="Arial" w:hAnsi="Arial" w:cs="Arial"/>
        </w:rPr>
      </w:pPr>
    </w:p>
    <w:p w14:paraId="6B3B435C" w14:textId="77777777" w:rsidR="006031D6" w:rsidRPr="006031D6" w:rsidRDefault="006031D6" w:rsidP="006031D6">
      <w:pPr>
        <w:pStyle w:val="Zkladntext"/>
        <w:spacing w:line="240" w:lineRule="atLeast"/>
        <w:rPr>
          <w:rFonts w:ascii="Arial" w:hAnsi="Arial" w:cs="Arial"/>
        </w:rPr>
      </w:pPr>
      <w:r w:rsidRPr="006031D6">
        <w:rPr>
          <w:rFonts w:ascii="Arial" w:hAnsi="Arial" w:cs="Arial"/>
          <w:sz w:val="18"/>
          <w:szCs w:val="18"/>
        </w:rPr>
        <w:tab/>
      </w:r>
      <w:r w:rsidRPr="006031D6">
        <w:rPr>
          <w:rFonts w:ascii="Arial" w:hAnsi="Arial" w:cs="Arial"/>
          <w:sz w:val="18"/>
          <w:szCs w:val="18"/>
        </w:rPr>
        <w:tab/>
        <w:t>prach</w:t>
      </w:r>
      <w:r w:rsidRPr="006031D6">
        <w:rPr>
          <w:rFonts w:ascii="Arial" w:hAnsi="Arial" w:cs="Arial"/>
          <w:sz w:val="18"/>
          <w:szCs w:val="18"/>
        </w:rPr>
        <w:tab/>
        <w:t>88,3</w:t>
      </w:r>
      <w:r w:rsidRPr="006031D6">
        <w:rPr>
          <w:rFonts w:ascii="Arial" w:hAnsi="Arial" w:cs="Arial"/>
          <w:sz w:val="18"/>
          <w:szCs w:val="18"/>
        </w:rPr>
        <w:tab/>
        <w:t>93,4</w:t>
      </w:r>
      <w:r w:rsidRPr="006031D6">
        <w:rPr>
          <w:rFonts w:ascii="Arial" w:hAnsi="Arial" w:cs="Arial"/>
          <w:sz w:val="18"/>
          <w:szCs w:val="18"/>
        </w:rPr>
        <w:tab/>
        <w:t>59,7</w:t>
      </w:r>
      <w:r w:rsidRPr="006031D6">
        <w:rPr>
          <w:rFonts w:ascii="Arial" w:hAnsi="Arial" w:cs="Arial"/>
          <w:sz w:val="18"/>
          <w:szCs w:val="18"/>
        </w:rPr>
        <w:tab/>
        <w:t>64,8</w:t>
      </w:r>
      <w:r w:rsidRPr="006031D6">
        <w:rPr>
          <w:rFonts w:ascii="Arial" w:hAnsi="Arial" w:cs="Arial"/>
          <w:sz w:val="18"/>
          <w:szCs w:val="18"/>
        </w:rPr>
        <w:tab/>
        <w:t>45,4</w:t>
      </w:r>
      <w:r w:rsidRPr="006031D6">
        <w:rPr>
          <w:rFonts w:ascii="Arial" w:hAnsi="Arial" w:cs="Arial"/>
          <w:sz w:val="18"/>
          <w:szCs w:val="18"/>
        </w:rPr>
        <w:tab/>
        <w:t>38,9</w:t>
      </w:r>
      <w:r w:rsidRPr="006031D6">
        <w:rPr>
          <w:rFonts w:ascii="Arial" w:hAnsi="Arial" w:cs="Arial"/>
          <w:sz w:val="18"/>
          <w:szCs w:val="18"/>
        </w:rPr>
        <w:tab/>
        <w:t>45,5</w:t>
      </w:r>
      <w:r w:rsidRPr="006031D6">
        <w:rPr>
          <w:rFonts w:ascii="Arial" w:hAnsi="Arial" w:cs="Arial"/>
          <w:sz w:val="18"/>
          <w:szCs w:val="18"/>
        </w:rPr>
        <w:tab/>
        <w:t>48,8</w:t>
      </w:r>
      <w:r w:rsidRPr="006031D6">
        <w:rPr>
          <w:rFonts w:ascii="Arial" w:hAnsi="Arial" w:cs="Arial"/>
          <w:sz w:val="18"/>
          <w:szCs w:val="18"/>
        </w:rPr>
        <w:tab/>
        <w:t>55,1</w:t>
      </w:r>
      <w:r w:rsidRPr="006031D6">
        <w:rPr>
          <w:rFonts w:ascii="Arial" w:hAnsi="Arial" w:cs="Arial"/>
          <w:sz w:val="18"/>
          <w:szCs w:val="18"/>
        </w:rPr>
        <w:tab/>
        <w:t>53,5</w:t>
      </w:r>
    </w:p>
    <w:p w14:paraId="5B94099F" w14:textId="77777777" w:rsidR="006031D6" w:rsidRPr="006031D6" w:rsidRDefault="006031D6" w:rsidP="006031D6">
      <w:pPr>
        <w:pStyle w:val="Zkladntext"/>
        <w:spacing w:line="240" w:lineRule="atLeast"/>
        <w:rPr>
          <w:rFonts w:ascii="Arial" w:hAnsi="Arial" w:cs="Arial"/>
        </w:rPr>
      </w:pPr>
    </w:p>
    <w:p w14:paraId="5941F380" w14:textId="77777777" w:rsidR="006031D6" w:rsidRPr="006031D6" w:rsidRDefault="006031D6" w:rsidP="006031D6">
      <w:pPr>
        <w:pStyle w:val="Zkladntext"/>
        <w:spacing w:line="240" w:lineRule="atLeast"/>
        <w:rPr>
          <w:rFonts w:ascii="Arial" w:hAnsi="Arial" w:cs="Arial"/>
        </w:rPr>
      </w:pPr>
      <w:r w:rsidRPr="006031D6">
        <w:rPr>
          <w:rFonts w:ascii="Arial" w:hAnsi="Arial" w:cs="Arial"/>
          <w:b/>
          <w:bCs/>
          <w:sz w:val="18"/>
          <w:szCs w:val="18"/>
        </w:rPr>
        <w:t>nemocnice</w:t>
      </w:r>
    </w:p>
    <w:p w14:paraId="52274E11" w14:textId="77777777" w:rsidR="006031D6" w:rsidRPr="006031D6" w:rsidRDefault="006031D6" w:rsidP="006031D6">
      <w:pPr>
        <w:pStyle w:val="Zkladntext"/>
        <w:spacing w:line="240" w:lineRule="atLeast"/>
        <w:rPr>
          <w:rFonts w:ascii="Arial" w:hAnsi="Arial" w:cs="Arial"/>
        </w:rPr>
      </w:pPr>
      <w:r w:rsidRPr="006031D6">
        <w:rPr>
          <w:rFonts w:ascii="Arial" w:hAnsi="Arial" w:cs="Arial"/>
          <w:sz w:val="18"/>
          <w:szCs w:val="18"/>
        </w:rPr>
        <w:tab/>
      </w:r>
      <w:r w:rsidRPr="006031D6">
        <w:rPr>
          <w:rFonts w:ascii="Arial" w:hAnsi="Arial" w:cs="Arial"/>
          <w:sz w:val="18"/>
          <w:szCs w:val="18"/>
        </w:rPr>
        <w:tab/>
        <w:t>SO2</w:t>
      </w:r>
      <w:r w:rsidRPr="006031D6">
        <w:rPr>
          <w:rFonts w:ascii="Arial" w:hAnsi="Arial" w:cs="Arial"/>
          <w:sz w:val="18"/>
          <w:szCs w:val="18"/>
        </w:rPr>
        <w:tab/>
        <w:t>99,5</w:t>
      </w:r>
      <w:r w:rsidRPr="006031D6">
        <w:rPr>
          <w:rFonts w:ascii="Arial" w:hAnsi="Arial" w:cs="Arial"/>
          <w:sz w:val="18"/>
          <w:szCs w:val="18"/>
        </w:rPr>
        <w:tab/>
        <w:t>102</w:t>
      </w:r>
      <w:r w:rsidRPr="006031D6">
        <w:rPr>
          <w:rFonts w:ascii="Arial" w:hAnsi="Arial" w:cs="Arial"/>
          <w:sz w:val="18"/>
          <w:szCs w:val="18"/>
        </w:rPr>
        <w:tab/>
        <w:t>56,4</w:t>
      </w:r>
      <w:r w:rsidRPr="006031D6">
        <w:rPr>
          <w:rFonts w:ascii="Arial" w:hAnsi="Arial" w:cs="Arial"/>
          <w:sz w:val="18"/>
          <w:szCs w:val="18"/>
        </w:rPr>
        <w:tab/>
        <w:t>68,1</w:t>
      </w:r>
      <w:r w:rsidRPr="006031D6">
        <w:rPr>
          <w:rFonts w:ascii="Arial" w:hAnsi="Arial" w:cs="Arial"/>
          <w:sz w:val="18"/>
          <w:szCs w:val="18"/>
        </w:rPr>
        <w:tab/>
        <w:t>44,4</w:t>
      </w:r>
      <w:r w:rsidRPr="006031D6">
        <w:rPr>
          <w:rFonts w:ascii="Arial" w:hAnsi="Arial" w:cs="Arial"/>
          <w:sz w:val="18"/>
          <w:szCs w:val="18"/>
        </w:rPr>
        <w:tab/>
        <w:t>48,6</w:t>
      </w:r>
      <w:r w:rsidRPr="006031D6">
        <w:rPr>
          <w:rFonts w:ascii="Arial" w:hAnsi="Arial" w:cs="Arial"/>
          <w:sz w:val="18"/>
          <w:szCs w:val="18"/>
        </w:rPr>
        <w:tab/>
        <w:t>40,3</w:t>
      </w:r>
      <w:r w:rsidRPr="006031D6">
        <w:rPr>
          <w:rFonts w:ascii="Arial" w:hAnsi="Arial" w:cs="Arial"/>
          <w:sz w:val="18"/>
          <w:szCs w:val="18"/>
        </w:rPr>
        <w:tab/>
        <w:t>28,6</w:t>
      </w:r>
      <w:r w:rsidRPr="006031D6">
        <w:rPr>
          <w:rFonts w:ascii="Arial" w:hAnsi="Arial" w:cs="Arial"/>
          <w:sz w:val="18"/>
          <w:szCs w:val="18"/>
        </w:rPr>
        <w:tab/>
        <w:t>13,7</w:t>
      </w:r>
      <w:r w:rsidRPr="006031D6">
        <w:rPr>
          <w:rFonts w:ascii="Arial" w:hAnsi="Arial" w:cs="Arial"/>
          <w:sz w:val="18"/>
          <w:szCs w:val="18"/>
        </w:rPr>
        <w:tab/>
        <w:t>13,1</w:t>
      </w:r>
    </w:p>
    <w:p w14:paraId="48EAB07A" w14:textId="77777777" w:rsidR="006031D6" w:rsidRPr="006031D6" w:rsidRDefault="006031D6" w:rsidP="006031D6">
      <w:pPr>
        <w:pStyle w:val="Zkladntext"/>
        <w:spacing w:line="240" w:lineRule="atLeast"/>
        <w:rPr>
          <w:rFonts w:ascii="Arial" w:hAnsi="Arial" w:cs="Arial"/>
        </w:rPr>
      </w:pPr>
    </w:p>
    <w:p w14:paraId="6E810B0A" w14:textId="77777777" w:rsidR="006031D6" w:rsidRPr="006031D6" w:rsidRDefault="006031D6" w:rsidP="006031D6">
      <w:pPr>
        <w:pStyle w:val="Zkladntext"/>
        <w:spacing w:line="240" w:lineRule="atLeast"/>
        <w:rPr>
          <w:rFonts w:ascii="Arial" w:hAnsi="Arial" w:cs="Arial"/>
        </w:rPr>
      </w:pPr>
      <w:r w:rsidRPr="006031D6">
        <w:rPr>
          <w:rFonts w:ascii="Arial" w:hAnsi="Arial" w:cs="Arial"/>
          <w:sz w:val="18"/>
          <w:szCs w:val="18"/>
        </w:rPr>
        <w:tab/>
      </w:r>
      <w:r w:rsidRPr="006031D6">
        <w:rPr>
          <w:rFonts w:ascii="Arial" w:hAnsi="Arial" w:cs="Arial"/>
          <w:sz w:val="18"/>
          <w:szCs w:val="18"/>
        </w:rPr>
        <w:tab/>
        <w:t>NOX</w:t>
      </w:r>
      <w:r w:rsidRPr="006031D6">
        <w:rPr>
          <w:rFonts w:ascii="Arial" w:hAnsi="Arial" w:cs="Arial"/>
          <w:sz w:val="18"/>
          <w:szCs w:val="18"/>
        </w:rPr>
        <w:tab/>
      </w:r>
      <w:r w:rsidRPr="006031D6">
        <w:rPr>
          <w:rFonts w:ascii="Arial" w:hAnsi="Arial" w:cs="Arial"/>
          <w:sz w:val="18"/>
          <w:szCs w:val="18"/>
        </w:rPr>
        <w:tab/>
      </w:r>
      <w:r w:rsidRPr="006031D6">
        <w:rPr>
          <w:rFonts w:ascii="Arial" w:hAnsi="Arial" w:cs="Arial"/>
          <w:sz w:val="18"/>
          <w:szCs w:val="18"/>
        </w:rPr>
        <w:tab/>
      </w:r>
      <w:r w:rsidRPr="006031D6">
        <w:rPr>
          <w:rFonts w:ascii="Arial" w:hAnsi="Arial" w:cs="Arial"/>
          <w:sz w:val="18"/>
          <w:szCs w:val="18"/>
        </w:rPr>
        <w:tab/>
      </w:r>
      <w:r w:rsidRPr="006031D6">
        <w:rPr>
          <w:rFonts w:ascii="Arial" w:hAnsi="Arial" w:cs="Arial"/>
          <w:sz w:val="18"/>
          <w:szCs w:val="18"/>
        </w:rPr>
        <w:tab/>
        <w:t>27,5</w:t>
      </w:r>
      <w:r w:rsidRPr="006031D6">
        <w:rPr>
          <w:rFonts w:ascii="Arial" w:hAnsi="Arial" w:cs="Arial"/>
          <w:sz w:val="18"/>
          <w:szCs w:val="18"/>
        </w:rPr>
        <w:tab/>
        <w:t>58,6</w:t>
      </w:r>
      <w:r w:rsidRPr="006031D6">
        <w:rPr>
          <w:rFonts w:ascii="Arial" w:hAnsi="Arial" w:cs="Arial"/>
          <w:sz w:val="18"/>
          <w:szCs w:val="18"/>
        </w:rPr>
        <w:tab/>
        <w:t>40,3</w:t>
      </w:r>
      <w:r w:rsidRPr="006031D6">
        <w:rPr>
          <w:rFonts w:ascii="Arial" w:hAnsi="Arial" w:cs="Arial"/>
          <w:sz w:val="18"/>
          <w:szCs w:val="18"/>
        </w:rPr>
        <w:tab/>
        <w:t>36,3</w:t>
      </w:r>
      <w:r w:rsidRPr="006031D6">
        <w:rPr>
          <w:rFonts w:ascii="Arial" w:hAnsi="Arial" w:cs="Arial"/>
          <w:sz w:val="18"/>
          <w:szCs w:val="18"/>
        </w:rPr>
        <w:tab/>
        <w:t>25,2</w:t>
      </w:r>
      <w:r w:rsidRPr="006031D6">
        <w:rPr>
          <w:rFonts w:ascii="Arial" w:hAnsi="Arial" w:cs="Arial"/>
          <w:sz w:val="18"/>
          <w:szCs w:val="18"/>
        </w:rPr>
        <w:tab/>
        <w:t>16,3</w:t>
      </w:r>
    </w:p>
    <w:p w14:paraId="67916CDA" w14:textId="77777777" w:rsidR="006031D6" w:rsidRPr="006031D6" w:rsidRDefault="006031D6" w:rsidP="006031D6">
      <w:pPr>
        <w:pStyle w:val="Zkladntext"/>
        <w:spacing w:line="240" w:lineRule="atLeast"/>
        <w:rPr>
          <w:rFonts w:ascii="Arial" w:hAnsi="Arial" w:cs="Arial"/>
        </w:rPr>
      </w:pPr>
    </w:p>
    <w:p w14:paraId="5109C887" w14:textId="77777777" w:rsidR="006031D6" w:rsidRPr="006031D6" w:rsidRDefault="006031D6" w:rsidP="006031D6">
      <w:pPr>
        <w:pStyle w:val="Zkladntext"/>
        <w:spacing w:line="240" w:lineRule="atLeast"/>
        <w:rPr>
          <w:rFonts w:ascii="Arial" w:hAnsi="Arial" w:cs="Arial"/>
        </w:rPr>
      </w:pPr>
      <w:r w:rsidRPr="006031D6">
        <w:rPr>
          <w:rFonts w:ascii="Arial" w:hAnsi="Arial" w:cs="Arial"/>
          <w:b/>
          <w:bCs/>
          <w:sz w:val="18"/>
          <w:szCs w:val="18"/>
        </w:rPr>
        <w:t>Bynov</w:t>
      </w:r>
    </w:p>
    <w:p w14:paraId="7F5EBB01" w14:textId="77777777" w:rsidR="006031D6" w:rsidRPr="006031D6" w:rsidRDefault="006031D6" w:rsidP="006031D6">
      <w:pPr>
        <w:pStyle w:val="Zkladntext"/>
        <w:spacing w:line="240" w:lineRule="atLeast"/>
        <w:rPr>
          <w:rFonts w:ascii="Arial" w:hAnsi="Arial" w:cs="Arial"/>
        </w:rPr>
      </w:pPr>
      <w:r w:rsidRPr="006031D6">
        <w:rPr>
          <w:rFonts w:ascii="Arial" w:hAnsi="Arial" w:cs="Arial"/>
          <w:sz w:val="18"/>
          <w:szCs w:val="18"/>
        </w:rPr>
        <w:tab/>
      </w:r>
      <w:r w:rsidRPr="006031D6">
        <w:rPr>
          <w:rFonts w:ascii="Arial" w:hAnsi="Arial" w:cs="Arial"/>
          <w:sz w:val="18"/>
          <w:szCs w:val="18"/>
        </w:rPr>
        <w:tab/>
        <w:t>SO2</w:t>
      </w:r>
      <w:r w:rsidRPr="006031D6">
        <w:rPr>
          <w:rFonts w:ascii="Arial" w:hAnsi="Arial" w:cs="Arial"/>
          <w:sz w:val="18"/>
          <w:szCs w:val="18"/>
        </w:rPr>
        <w:tab/>
        <w:t>44,6</w:t>
      </w:r>
      <w:r w:rsidRPr="006031D6">
        <w:rPr>
          <w:rFonts w:ascii="Arial" w:hAnsi="Arial" w:cs="Arial"/>
          <w:sz w:val="18"/>
          <w:szCs w:val="18"/>
        </w:rPr>
        <w:tab/>
        <w:t>44,3</w:t>
      </w:r>
      <w:r w:rsidRPr="006031D6">
        <w:rPr>
          <w:rFonts w:ascii="Arial" w:hAnsi="Arial" w:cs="Arial"/>
          <w:sz w:val="18"/>
          <w:szCs w:val="18"/>
        </w:rPr>
        <w:tab/>
        <w:t>34,5</w:t>
      </w:r>
      <w:r w:rsidRPr="006031D6">
        <w:rPr>
          <w:rFonts w:ascii="Arial" w:hAnsi="Arial" w:cs="Arial"/>
          <w:sz w:val="18"/>
          <w:szCs w:val="18"/>
        </w:rPr>
        <w:tab/>
        <w:t>57,5</w:t>
      </w:r>
      <w:r w:rsidRPr="006031D6">
        <w:rPr>
          <w:rFonts w:ascii="Arial" w:hAnsi="Arial" w:cs="Arial"/>
          <w:sz w:val="18"/>
          <w:szCs w:val="18"/>
        </w:rPr>
        <w:tab/>
        <w:t>40,3</w:t>
      </w:r>
      <w:r w:rsidRPr="006031D6">
        <w:rPr>
          <w:rFonts w:ascii="Arial" w:hAnsi="Arial" w:cs="Arial"/>
          <w:sz w:val="18"/>
          <w:szCs w:val="18"/>
        </w:rPr>
        <w:tab/>
        <w:t>38,6</w:t>
      </w:r>
      <w:r w:rsidRPr="006031D6">
        <w:rPr>
          <w:rFonts w:ascii="Arial" w:hAnsi="Arial" w:cs="Arial"/>
          <w:sz w:val="18"/>
          <w:szCs w:val="18"/>
        </w:rPr>
        <w:tab/>
        <w:t>39,5</w:t>
      </w:r>
      <w:r w:rsidRPr="006031D6">
        <w:rPr>
          <w:rFonts w:ascii="Arial" w:hAnsi="Arial" w:cs="Arial"/>
          <w:sz w:val="18"/>
          <w:szCs w:val="18"/>
        </w:rPr>
        <w:tab/>
        <w:t>36,3</w:t>
      </w:r>
      <w:r w:rsidRPr="006031D6">
        <w:rPr>
          <w:rFonts w:ascii="Arial" w:hAnsi="Arial" w:cs="Arial"/>
          <w:sz w:val="18"/>
          <w:szCs w:val="18"/>
        </w:rPr>
        <w:tab/>
        <w:t>32</w:t>
      </w:r>
      <w:r w:rsidRPr="006031D6">
        <w:rPr>
          <w:rFonts w:ascii="Arial" w:hAnsi="Arial" w:cs="Arial"/>
          <w:sz w:val="18"/>
          <w:szCs w:val="18"/>
        </w:rPr>
        <w:tab/>
        <w:t>16,9</w:t>
      </w:r>
    </w:p>
    <w:p w14:paraId="70391F01" w14:textId="77777777" w:rsidR="006031D6" w:rsidRPr="006031D6" w:rsidRDefault="006031D6" w:rsidP="006031D6">
      <w:pPr>
        <w:pStyle w:val="Zkladntext"/>
        <w:spacing w:line="240" w:lineRule="atLeast"/>
        <w:rPr>
          <w:rFonts w:ascii="Arial" w:hAnsi="Arial" w:cs="Arial"/>
        </w:rPr>
      </w:pPr>
    </w:p>
    <w:p w14:paraId="5A675D20" w14:textId="77777777" w:rsidR="006031D6" w:rsidRPr="006031D6" w:rsidRDefault="006031D6" w:rsidP="006031D6">
      <w:pPr>
        <w:pStyle w:val="Zkladntext"/>
        <w:spacing w:line="240" w:lineRule="atLeast"/>
        <w:rPr>
          <w:rFonts w:ascii="Arial" w:hAnsi="Arial" w:cs="Arial"/>
        </w:rPr>
      </w:pPr>
      <w:r w:rsidRPr="006031D6">
        <w:rPr>
          <w:rFonts w:ascii="Arial" w:hAnsi="Arial" w:cs="Arial"/>
          <w:sz w:val="18"/>
          <w:szCs w:val="18"/>
        </w:rPr>
        <w:tab/>
      </w:r>
      <w:r w:rsidRPr="006031D6">
        <w:rPr>
          <w:rFonts w:ascii="Arial" w:hAnsi="Arial" w:cs="Arial"/>
          <w:sz w:val="18"/>
          <w:szCs w:val="18"/>
        </w:rPr>
        <w:tab/>
        <w:t>NOX</w:t>
      </w:r>
      <w:r w:rsidRPr="006031D6">
        <w:rPr>
          <w:rFonts w:ascii="Arial" w:hAnsi="Arial" w:cs="Arial"/>
          <w:sz w:val="18"/>
          <w:szCs w:val="18"/>
        </w:rPr>
        <w:tab/>
        <w:t>16,8</w:t>
      </w:r>
      <w:r w:rsidRPr="006031D6">
        <w:rPr>
          <w:rFonts w:ascii="Arial" w:hAnsi="Arial" w:cs="Arial"/>
          <w:sz w:val="18"/>
          <w:szCs w:val="18"/>
        </w:rPr>
        <w:tab/>
        <w:t>40,4</w:t>
      </w:r>
      <w:r w:rsidRPr="006031D6">
        <w:rPr>
          <w:rFonts w:ascii="Arial" w:hAnsi="Arial" w:cs="Arial"/>
          <w:sz w:val="18"/>
          <w:szCs w:val="18"/>
        </w:rPr>
        <w:tab/>
        <w:t>17,9</w:t>
      </w:r>
      <w:r w:rsidRPr="006031D6">
        <w:rPr>
          <w:rFonts w:ascii="Arial" w:hAnsi="Arial" w:cs="Arial"/>
          <w:sz w:val="18"/>
          <w:szCs w:val="18"/>
        </w:rPr>
        <w:tab/>
        <w:t>10,4</w:t>
      </w:r>
      <w:r w:rsidRPr="006031D6">
        <w:rPr>
          <w:rFonts w:ascii="Arial" w:hAnsi="Arial" w:cs="Arial"/>
          <w:sz w:val="18"/>
          <w:szCs w:val="18"/>
        </w:rPr>
        <w:tab/>
        <w:t>20</w:t>
      </w:r>
      <w:r w:rsidRPr="006031D6">
        <w:rPr>
          <w:rFonts w:ascii="Arial" w:hAnsi="Arial" w:cs="Arial"/>
          <w:sz w:val="18"/>
          <w:szCs w:val="18"/>
        </w:rPr>
        <w:tab/>
        <w:t>27,5</w:t>
      </w:r>
      <w:r w:rsidRPr="006031D6">
        <w:rPr>
          <w:rFonts w:ascii="Arial" w:hAnsi="Arial" w:cs="Arial"/>
          <w:sz w:val="18"/>
          <w:szCs w:val="18"/>
        </w:rPr>
        <w:tab/>
        <w:t>zrušeno</w:t>
      </w:r>
    </w:p>
    <w:p w14:paraId="4A6C86E4" w14:textId="77777777" w:rsidR="006031D6" w:rsidRPr="006031D6" w:rsidRDefault="006031D6" w:rsidP="006031D6">
      <w:pPr>
        <w:pStyle w:val="Zkladntext"/>
        <w:spacing w:line="240" w:lineRule="atLeast"/>
        <w:rPr>
          <w:rFonts w:ascii="Arial" w:hAnsi="Arial" w:cs="Arial"/>
        </w:rPr>
      </w:pPr>
    </w:p>
    <w:p w14:paraId="407FB2BE" w14:textId="77777777" w:rsidR="006031D6" w:rsidRPr="006031D6" w:rsidRDefault="006031D6" w:rsidP="006031D6">
      <w:pPr>
        <w:pStyle w:val="Zkladntext"/>
        <w:spacing w:line="240" w:lineRule="atLeast"/>
        <w:rPr>
          <w:rFonts w:ascii="Arial" w:hAnsi="Arial" w:cs="Arial"/>
        </w:rPr>
      </w:pPr>
      <w:r w:rsidRPr="006031D6">
        <w:rPr>
          <w:rFonts w:ascii="Arial" w:hAnsi="Arial" w:cs="Arial"/>
          <w:b/>
          <w:bCs/>
          <w:sz w:val="18"/>
          <w:szCs w:val="18"/>
        </w:rPr>
        <w:t>St.Město</w:t>
      </w:r>
    </w:p>
    <w:p w14:paraId="7DF8FBA9" w14:textId="77777777" w:rsidR="006031D6" w:rsidRPr="006031D6" w:rsidRDefault="006031D6" w:rsidP="006031D6">
      <w:pPr>
        <w:pStyle w:val="Zkladntext"/>
        <w:spacing w:line="240" w:lineRule="atLeast"/>
        <w:rPr>
          <w:rFonts w:ascii="Arial" w:hAnsi="Arial" w:cs="Arial"/>
        </w:rPr>
      </w:pPr>
      <w:r w:rsidRPr="006031D6">
        <w:rPr>
          <w:rFonts w:ascii="Arial" w:hAnsi="Arial" w:cs="Arial"/>
          <w:sz w:val="18"/>
          <w:szCs w:val="18"/>
        </w:rPr>
        <w:tab/>
      </w:r>
      <w:r w:rsidRPr="006031D6">
        <w:rPr>
          <w:rFonts w:ascii="Arial" w:hAnsi="Arial" w:cs="Arial"/>
          <w:sz w:val="18"/>
          <w:szCs w:val="18"/>
        </w:rPr>
        <w:tab/>
        <w:t>SO2</w:t>
      </w:r>
      <w:r w:rsidRPr="006031D6">
        <w:rPr>
          <w:rFonts w:ascii="Arial" w:hAnsi="Arial" w:cs="Arial"/>
          <w:sz w:val="18"/>
          <w:szCs w:val="18"/>
        </w:rPr>
        <w:tab/>
        <w:t>80,3</w:t>
      </w:r>
      <w:r w:rsidRPr="006031D6">
        <w:rPr>
          <w:rFonts w:ascii="Arial" w:hAnsi="Arial" w:cs="Arial"/>
          <w:sz w:val="18"/>
          <w:szCs w:val="18"/>
        </w:rPr>
        <w:tab/>
      </w:r>
      <w:r w:rsidRPr="006031D6">
        <w:rPr>
          <w:rFonts w:ascii="Arial" w:hAnsi="Arial" w:cs="Arial"/>
          <w:sz w:val="18"/>
          <w:szCs w:val="18"/>
        </w:rPr>
        <w:tab/>
      </w:r>
      <w:r w:rsidRPr="006031D6">
        <w:rPr>
          <w:rFonts w:ascii="Arial" w:hAnsi="Arial" w:cs="Arial"/>
          <w:sz w:val="18"/>
          <w:szCs w:val="18"/>
        </w:rPr>
        <w:tab/>
        <w:t>48,7</w:t>
      </w:r>
      <w:r w:rsidRPr="006031D6">
        <w:rPr>
          <w:rFonts w:ascii="Arial" w:hAnsi="Arial" w:cs="Arial"/>
          <w:sz w:val="18"/>
          <w:szCs w:val="18"/>
        </w:rPr>
        <w:tab/>
        <w:t>30</w:t>
      </w:r>
      <w:r w:rsidRPr="006031D6">
        <w:rPr>
          <w:rFonts w:ascii="Arial" w:hAnsi="Arial" w:cs="Arial"/>
          <w:sz w:val="18"/>
          <w:szCs w:val="18"/>
        </w:rPr>
        <w:tab/>
        <w:t>48</w:t>
      </w:r>
      <w:r w:rsidRPr="006031D6">
        <w:rPr>
          <w:rFonts w:ascii="Arial" w:hAnsi="Arial" w:cs="Arial"/>
          <w:sz w:val="18"/>
          <w:szCs w:val="18"/>
        </w:rPr>
        <w:tab/>
        <w:t>37,1</w:t>
      </w:r>
      <w:r w:rsidRPr="006031D6">
        <w:rPr>
          <w:rFonts w:ascii="Arial" w:hAnsi="Arial" w:cs="Arial"/>
          <w:sz w:val="18"/>
          <w:szCs w:val="18"/>
        </w:rPr>
        <w:tab/>
        <w:t>30,7</w:t>
      </w:r>
      <w:r w:rsidRPr="006031D6">
        <w:rPr>
          <w:rFonts w:ascii="Arial" w:hAnsi="Arial" w:cs="Arial"/>
          <w:sz w:val="18"/>
          <w:szCs w:val="18"/>
        </w:rPr>
        <w:tab/>
        <w:t>23,5</w:t>
      </w:r>
      <w:r w:rsidRPr="006031D6">
        <w:rPr>
          <w:rFonts w:ascii="Arial" w:hAnsi="Arial" w:cs="Arial"/>
          <w:sz w:val="18"/>
          <w:szCs w:val="18"/>
        </w:rPr>
        <w:tab/>
        <w:t>23,6</w:t>
      </w:r>
    </w:p>
    <w:p w14:paraId="53DB7E06" w14:textId="77777777" w:rsidR="006031D6" w:rsidRPr="006031D6" w:rsidRDefault="006031D6" w:rsidP="006031D6">
      <w:pPr>
        <w:pStyle w:val="Zkladntext"/>
        <w:spacing w:line="240" w:lineRule="atLeast"/>
        <w:rPr>
          <w:rFonts w:ascii="Arial" w:hAnsi="Arial" w:cs="Arial"/>
        </w:rPr>
      </w:pPr>
      <w:r w:rsidRPr="006031D6">
        <w:rPr>
          <w:rFonts w:ascii="Arial" w:hAnsi="Arial" w:cs="Arial"/>
          <w:sz w:val="18"/>
          <w:szCs w:val="18"/>
        </w:rPr>
        <w:tab/>
        <w:t>Poznámka :</w:t>
      </w:r>
    </w:p>
    <w:p w14:paraId="267EA14B" w14:textId="77777777" w:rsidR="006031D6" w:rsidRPr="006031D6" w:rsidRDefault="006031D6" w:rsidP="006031D6">
      <w:pPr>
        <w:pStyle w:val="Zkladntext"/>
        <w:spacing w:line="240" w:lineRule="atLeast"/>
        <w:ind w:left="709" w:hanging="142"/>
        <w:rPr>
          <w:rFonts w:ascii="Arial" w:hAnsi="Arial" w:cs="Arial"/>
        </w:rPr>
      </w:pPr>
      <w:r w:rsidRPr="006031D6">
        <w:rPr>
          <w:rFonts w:ascii="Arial" w:hAnsi="Arial" w:cs="Arial"/>
          <w:sz w:val="18"/>
          <w:szCs w:val="18"/>
        </w:rPr>
        <w:tab/>
        <w:t xml:space="preserve">u měřící stanice OHS byla do 12/94 prováděna měření metodou kolorimetrickou, od 12/94 analyzátorem </w:t>
      </w:r>
      <w:r w:rsidRPr="006031D6">
        <w:rPr>
          <w:rFonts w:ascii="Arial" w:hAnsi="Arial" w:cs="Arial"/>
          <w:sz w:val="18"/>
          <w:szCs w:val="18"/>
        </w:rPr>
        <w:tab/>
        <w:t>O-NO2-NOX Thermo –M 42, kde měření do 12/94 bylo zatíženo chybou na měřícím přístroji (měřeno pravděpodobně jenom NO2). Proto tyto údaje nelze brát jako standardní.</w:t>
      </w:r>
    </w:p>
    <w:p w14:paraId="62FE9069" w14:textId="77777777" w:rsidR="006031D6" w:rsidRPr="006031D6" w:rsidRDefault="006031D6" w:rsidP="006031D6">
      <w:pPr>
        <w:pStyle w:val="Zkladntext"/>
        <w:spacing w:line="240" w:lineRule="atLeast"/>
        <w:rPr>
          <w:rFonts w:ascii="Arial" w:hAnsi="Arial" w:cs="Arial"/>
        </w:rPr>
      </w:pPr>
    </w:p>
    <w:p w14:paraId="5AF70800"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Pro ilustraci hodnot znečištění ovzduší – maximálních denních koncentrací je uvedena tabulka z měřící stanice OHS a Staré Město za období 1990 – 1999.</w:t>
      </w:r>
    </w:p>
    <w:p w14:paraId="51FACB81"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Na základě vyhodnocených naměřených hodnot lze hodnotit znečištění ovzduší ve městě jako klesající u všech sledovaných látek, mimo NOX u stanice OHS. Jak již bylo uvedeno, měřící stanice je umístěna na frekventované ulici, kde je pravděpodobně zvýšené množství NOX způsobeno dopravou. Tyto údaje nejsou standardní pro celé město Děčín.</w:t>
      </w:r>
    </w:p>
    <w:p w14:paraId="1D5DF619"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V roce 1998 bylo uskutečněno v Děčíně </w:t>
      </w:r>
      <w:r w:rsidRPr="006031D6">
        <w:rPr>
          <w:rFonts w:ascii="Arial" w:hAnsi="Arial" w:cs="Arial"/>
          <w:b/>
          <w:bCs/>
          <w:sz w:val="22"/>
          <w:szCs w:val="22"/>
        </w:rPr>
        <w:t xml:space="preserve">mobilní měření SZÚ </w:t>
      </w:r>
      <w:r w:rsidRPr="006031D6">
        <w:rPr>
          <w:rFonts w:ascii="Arial" w:hAnsi="Arial" w:cs="Arial"/>
          <w:sz w:val="22"/>
          <w:szCs w:val="22"/>
        </w:rPr>
        <w:t xml:space="preserve">- "Trendové vyhodnocení dat o kvalitě venkovního ovzduší v Děčíně a vyhodnocení průřezového proměření vybraných devíti lokalit v Děčíně" ve vybraných lokalitách města tak, aby se </w:t>
      </w:r>
      <w:r w:rsidRPr="006031D6">
        <w:rPr>
          <w:rFonts w:ascii="Arial" w:hAnsi="Arial" w:cs="Arial"/>
          <w:sz w:val="22"/>
          <w:szCs w:val="22"/>
        </w:rPr>
        <w:lastRenderedPageBreak/>
        <w:t xml:space="preserve">ověřilo, zda měřící síť dostatečně popisuje rozložení koncentrací sledovaných látek na půdoryse města. </w:t>
      </w:r>
      <w:r w:rsidRPr="006031D6">
        <w:rPr>
          <w:rFonts w:ascii="Arial" w:hAnsi="Arial" w:cs="Arial"/>
          <w:b/>
          <w:bCs/>
          <w:sz w:val="22"/>
          <w:szCs w:val="22"/>
        </w:rPr>
        <w:t>Výsledky ze stanice OHS Děčín</w:t>
      </w:r>
      <w:r w:rsidRPr="006031D6">
        <w:rPr>
          <w:rFonts w:ascii="Arial" w:hAnsi="Arial" w:cs="Arial"/>
          <w:sz w:val="22"/>
          <w:szCs w:val="22"/>
        </w:rPr>
        <w:t xml:space="preserve"> totiž významně zvyšují střední hodnoty imisních charakteristik Děčína, zvláště imisní koncentrace oxidů dusíku a nejsou tudíž reprezentativními ukazateli.</w:t>
      </w:r>
    </w:p>
    <w:p w14:paraId="38B6D594"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Na základě zadání úkolu byly sledovány hodnoty koncentrací vybraných látek v topné, netopné a přechodné sezóně. </w:t>
      </w:r>
    </w:p>
    <w:p w14:paraId="592C66F4"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b/>
          <w:bCs/>
          <w:sz w:val="22"/>
          <w:szCs w:val="22"/>
        </w:rPr>
        <w:t>Výsledky jednotlivých sledovaných látek Staré Město:</w:t>
      </w:r>
    </w:p>
    <w:p w14:paraId="177696D4" w14:textId="77777777" w:rsidR="006031D6" w:rsidRPr="006031D6" w:rsidRDefault="006031D6" w:rsidP="006031D6">
      <w:pPr>
        <w:pStyle w:val="Zkladntext"/>
        <w:numPr>
          <w:ilvl w:val="0"/>
          <w:numId w:val="37"/>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b/>
          <w:bCs/>
          <w:sz w:val="22"/>
          <w:szCs w:val="22"/>
        </w:rPr>
        <w:t>SO</w:t>
      </w:r>
      <w:r w:rsidRPr="006031D6">
        <w:rPr>
          <w:rFonts w:ascii="Arial" w:hAnsi="Arial" w:cs="Arial"/>
          <w:b/>
          <w:bCs/>
          <w:position w:val="-6"/>
          <w:sz w:val="22"/>
          <w:szCs w:val="22"/>
        </w:rPr>
        <w:t>2</w:t>
      </w:r>
      <w:r w:rsidRPr="006031D6">
        <w:rPr>
          <w:rFonts w:ascii="Arial" w:hAnsi="Arial" w:cs="Arial"/>
          <w:sz w:val="22"/>
          <w:szCs w:val="22"/>
        </w:rPr>
        <w:t xml:space="preserve"> vzniká především ze spalovacích procesů fosilních paliv s obsahem síry. Hodnoty koncentrací postupně klesají, z ročního průměru v roce 1990 89,0 ug/m</w:t>
      </w:r>
      <w:r w:rsidRPr="006031D6">
        <w:rPr>
          <w:rFonts w:ascii="Arial" w:hAnsi="Arial" w:cs="Arial"/>
          <w:sz w:val="22"/>
          <w:szCs w:val="22"/>
          <w:vertAlign w:val="superscript"/>
        </w:rPr>
        <w:t>3</w:t>
      </w:r>
      <w:r w:rsidRPr="006031D6">
        <w:rPr>
          <w:rFonts w:ascii="Arial" w:hAnsi="Arial" w:cs="Arial"/>
          <w:sz w:val="22"/>
          <w:szCs w:val="22"/>
        </w:rPr>
        <w:t xml:space="preserve"> je to v roce 1999 již jen 14,3ug/m</w:t>
      </w:r>
      <w:r w:rsidRPr="006031D6">
        <w:rPr>
          <w:rFonts w:ascii="Arial" w:hAnsi="Arial" w:cs="Arial"/>
          <w:sz w:val="22"/>
          <w:szCs w:val="22"/>
          <w:vertAlign w:val="superscript"/>
        </w:rPr>
        <w:t>3</w:t>
      </w:r>
      <w:r w:rsidRPr="006031D6">
        <w:rPr>
          <w:rFonts w:ascii="Arial" w:hAnsi="Arial" w:cs="Arial"/>
          <w:sz w:val="22"/>
          <w:szCs w:val="22"/>
        </w:rPr>
        <w:t>. Podle naměřených půlhodinových hodnot se v topné sezóně pohybují koncentrace mezi 30-40ug/m</w:t>
      </w:r>
      <w:r w:rsidRPr="006031D6">
        <w:rPr>
          <w:rFonts w:ascii="Arial" w:hAnsi="Arial" w:cs="Arial"/>
          <w:sz w:val="22"/>
          <w:szCs w:val="22"/>
          <w:vertAlign w:val="superscript"/>
        </w:rPr>
        <w:t>3</w:t>
      </w:r>
      <w:r w:rsidRPr="006031D6">
        <w:rPr>
          <w:rFonts w:ascii="Arial" w:hAnsi="Arial" w:cs="Arial"/>
          <w:sz w:val="22"/>
          <w:szCs w:val="22"/>
        </w:rPr>
        <w:t>, stanovený imisní limit je 500ug/m</w:t>
      </w:r>
      <w:r w:rsidRPr="006031D6">
        <w:rPr>
          <w:rFonts w:ascii="Arial" w:hAnsi="Arial" w:cs="Arial"/>
          <w:sz w:val="22"/>
          <w:szCs w:val="22"/>
          <w:vertAlign w:val="superscript"/>
        </w:rPr>
        <w:t>3</w:t>
      </w:r>
      <w:r w:rsidRPr="006031D6">
        <w:rPr>
          <w:rFonts w:ascii="Arial" w:hAnsi="Arial" w:cs="Arial"/>
          <w:sz w:val="22"/>
          <w:szCs w:val="22"/>
        </w:rPr>
        <w:t>.</w:t>
      </w:r>
    </w:p>
    <w:p w14:paraId="3B8503FB" w14:textId="77777777" w:rsidR="006031D6" w:rsidRPr="006031D6" w:rsidRDefault="006031D6" w:rsidP="006031D6">
      <w:pPr>
        <w:pStyle w:val="Zkladntext"/>
        <w:numPr>
          <w:ilvl w:val="0"/>
          <w:numId w:val="37"/>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v přechodné sezóně se hodnoty pohybovaly mezi 20-30ug/m</w:t>
      </w:r>
      <w:r w:rsidRPr="006031D6">
        <w:rPr>
          <w:rFonts w:ascii="Arial" w:hAnsi="Arial" w:cs="Arial"/>
          <w:sz w:val="22"/>
          <w:szCs w:val="22"/>
          <w:vertAlign w:val="superscript"/>
        </w:rPr>
        <w:t>3</w:t>
      </w:r>
      <w:r w:rsidRPr="006031D6">
        <w:rPr>
          <w:rFonts w:ascii="Arial" w:hAnsi="Arial" w:cs="Arial"/>
          <w:sz w:val="22"/>
          <w:szCs w:val="22"/>
        </w:rPr>
        <w:t>, v netopné sezóně dosahovaly 10-20ug/m</w:t>
      </w:r>
      <w:r w:rsidRPr="006031D6">
        <w:rPr>
          <w:rFonts w:ascii="Arial" w:hAnsi="Arial" w:cs="Arial"/>
          <w:sz w:val="22"/>
          <w:szCs w:val="22"/>
          <w:vertAlign w:val="superscript"/>
        </w:rPr>
        <w:t>3</w:t>
      </w:r>
      <w:r w:rsidRPr="006031D6">
        <w:rPr>
          <w:rFonts w:ascii="Arial" w:hAnsi="Arial" w:cs="Arial"/>
          <w:sz w:val="22"/>
          <w:szCs w:val="22"/>
        </w:rPr>
        <w:t xml:space="preserve">. </w:t>
      </w:r>
    </w:p>
    <w:p w14:paraId="78F67A2A" w14:textId="77777777" w:rsidR="006031D6" w:rsidRPr="006031D6" w:rsidRDefault="006031D6" w:rsidP="006031D6">
      <w:pPr>
        <w:pStyle w:val="Zkladntext"/>
        <w:spacing w:before="120" w:line="288" w:lineRule="auto"/>
        <w:ind w:left="426"/>
        <w:rPr>
          <w:rFonts w:ascii="Arial" w:hAnsi="Arial" w:cs="Arial"/>
          <w:sz w:val="22"/>
          <w:szCs w:val="22"/>
        </w:rPr>
      </w:pPr>
      <w:r w:rsidRPr="006031D6">
        <w:rPr>
          <w:rFonts w:ascii="Arial" w:hAnsi="Arial" w:cs="Arial"/>
          <w:sz w:val="22"/>
          <w:szCs w:val="22"/>
        </w:rPr>
        <w:t>Oxid siřičitý již nepředstavuje škodlivinu významně zatěžující město, s výjimkou nepříznivých rozptylových situací, kdy může dojít k  překročení 30 minutového limitu.</w:t>
      </w:r>
    </w:p>
    <w:p w14:paraId="22B99020" w14:textId="77777777" w:rsidR="006031D6" w:rsidRPr="006031D6" w:rsidRDefault="006031D6" w:rsidP="006031D6">
      <w:pPr>
        <w:pStyle w:val="Zkladntext"/>
        <w:numPr>
          <w:ilvl w:val="0"/>
          <w:numId w:val="37"/>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b/>
          <w:bCs/>
          <w:sz w:val="22"/>
          <w:szCs w:val="22"/>
        </w:rPr>
        <w:t>NO</w:t>
      </w:r>
      <w:r w:rsidRPr="006031D6">
        <w:rPr>
          <w:rFonts w:ascii="Arial" w:hAnsi="Arial" w:cs="Arial"/>
          <w:sz w:val="22"/>
          <w:szCs w:val="22"/>
        </w:rPr>
        <w:t xml:space="preserve"> – na základě měření je stanice spíš zatížená dopravou, hodnoty mají výrazný denní cyklus a víkendové minimum. Mimo inverzní situace nedochází k  významné zátěži města NO.</w:t>
      </w:r>
    </w:p>
    <w:p w14:paraId="43DAE0A2" w14:textId="77777777" w:rsidR="006031D6" w:rsidRPr="006031D6" w:rsidRDefault="006031D6" w:rsidP="006031D6">
      <w:pPr>
        <w:pStyle w:val="Zkladntext"/>
        <w:numPr>
          <w:ilvl w:val="0"/>
          <w:numId w:val="37"/>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b/>
          <w:bCs/>
          <w:sz w:val="22"/>
          <w:szCs w:val="22"/>
        </w:rPr>
        <w:t>NO</w:t>
      </w:r>
      <w:r w:rsidRPr="006031D6">
        <w:rPr>
          <w:rFonts w:ascii="Arial" w:hAnsi="Arial" w:cs="Arial"/>
          <w:b/>
          <w:bCs/>
          <w:position w:val="-6"/>
          <w:sz w:val="22"/>
          <w:szCs w:val="22"/>
        </w:rPr>
        <w:t>2</w:t>
      </w:r>
      <w:r w:rsidRPr="006031D6">
        <w:rPr>
          <w:rFonts w:ascii="Arial" w:hAnsi="Arial" w:cs="Arial"/>
          <w:sz w:val="22"/>
          <w:szCs w:val="22"/>
        </w:rPr>
        <w:t xml:space="preserve"> - v topné sezóně dochází k  pravidelnému výskytu zvýšení koncentrací dvakrát během dne, pravděpodobně vlivem automobilového provozu a z vyššího stupně plynofikace města. V přechodné sezóně má týdenní cyklus ranní a večerní maxima – po 18. hod. a jejich průběh je strmější. V netopné sezóně dosahují hodnoty minimálních koncentrací. </w:t>
      </w:r>
    </w:p>
    <w:p w14:paraId="3EE88BDB" w14:textId="77777777" w:rsidR="006031D6" w:rsidRPr="006031D6" w:rsidRDefault="006031D6" w:rsidP="006031D6">
      <w:pPr>
        <w:pStyle w:val="Zkladntext"/>
        <w:spacing w:before="120" w:line="288" w:lineRule="auto"/>
        <w:ind w:left="426"/>
        <w:rPr>
          <w:rFonts w:ascii="Arial" w:hAnsi="Arial" w:cs="Arial"/>
          <w:sz w:val="22"/>
          <w:szCs w:val="22"/>
        </w:rPr>
      </w:pPr>
      <w:r w:rsidRPr="006031D6">
        <w:rPr>
          <w:rFonts w:ascii="Arial" w:hAnsi="Arial" w:cs="Arial"/>
          <w:sz w:val="22"/>
          <w:szCs w:val="22"/>
        </w:rPr>
        <w:t>Měřením se potvrdilo, že se v celém městě jedná o látku s homogenním polem koncentrací, v nepříznivých rozptylových situacích může hodnota dosáhnout až</w:t>
      </w:r>
      <w:r w:rsidRPr="006031D6">
        <w:rPr>
          <w:rFonts w:ascii="Arial" w:hAnsi="Arial" w:cs="Arial"/>
          <w:sz w:val="22"/>
          <w:szCs w:val="22"/>
        </w:rPr>
        <w:br/>
        <w:t>150-200 ug/m</w:t>
      </w:r>
      <w:r w:rsidRPr="006031D6">
        <w:rPr>
          <w:rFonts w:ascii="Arial" w:hAnsi="Arial" w:cs="Arial"/>
          <w:sz w:val="22"/>
          <w:szCs w:val="22"/>
          <w:vertAlign w:val="superscript"/>
        </w:rPr>
        <w:t>3</w:t>
      </w:r>
      <w:r w:rsidRPr="006031D6">
        <w:rPr>
          <w:rFonts w:ascii="Arial" w:hAnsi="Arial" w:cs="Arial"/>
          <w:sz w:val="22"/>
          <w:szCs w:val="22"/>
        </w:rPr>
        <w:t xml:space="preserve"> .</w:t>
      </w:r>
    </w:p>
    <w:p w14:paraId="7A4A24B3" w14:textId="77777777" w:rsidR="006031D6" w:rsidRPr="006031D6" w:rsidRDefault="006031D6" w:rsidP="006031D6">
      <w:pPr>
        <w:pStyle w:val="Zkladntext"/>
        <w:numPr>
          <w:ilvl w:val="0"/>
          <w:numId w:val="37"/>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b/>
          <w:bCs/>
          <w:sz w:val="22"/>
          <w:szCs w:val="22"/>
        </w:rPr>
        <w:t>NOX</w:t>
      </w:r>
      <w:r w:rsidRPr="006031D6">
        <w:rPr>
          <w:rFonts w:ascii="Arial" w:hAnsi="Arial" w:cs="Arial"/>
          <w:sz w:val="22"/>
          <w:szCs w:val="22"/>
        </w:rPr>
        <w:t xml:space="preserve"> - suma oxidů dusíku- hodnoty naměřené na této stanici ukazují na výrazný denní cyklus s max. hodnotami od 6. - 8. hod. ranní v topné i netopné sezóně. Průměrné hodnoty NOX svědčí o vyšší zátěži města, kdy při inverzi mohou hodnoty přesahovat 600ug/m</w:t>
      </w:r>
      <w:r w:rsidRPr="006031D6">
        <w:rPr>
          <w:rFonts w:ascii="Arial" w:hAnsi="Arial" w:cs="Arial"/>
          <w:sz w:val="22"/>
          <w:szCs w:val="22"/>
          <w:vertAlign w:val="superscript"/>
        </w:rPr>
        <w:t>3</w:t>
      </w:r>
      <w:r w:rsidRPr="006031D6">
        <w:rPr>
          <w:rFonts w:ascii="Arial" w:hAnsi="Arial" w:cs="Arial"/>
          <w:sz w:val="22"/>
          <w:szCs w:val="22"/>
        </w:rPr>
        <w:t>. V extrémně zatížených lokalitách jsou koncentrace vyšší než hodnoty naměřené na stanici.</w:t>
      </w:r>
    </w:p>
    <w:p w14:paraId="096EE68F" w14:textId="77777777" w:rsidR="006031D6" w:rsidRPr="006031D6" w:rsidRDefault="006031D6" w:rsidP="006031D6">
      <w:pPr>
        <w:pStyle w:val="Zkladntext"/>
        <w:numPr>
          <w:ilvl w:val="0"/>
          <w:numId w:val="37"/>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b/>
          <w:bCs/>
          <w:sz w:val="22"/>
          <w:szCs w:val="22"/>
        </w:rPr>
        <w:t>prach</w:t>
      </w:r>
      <w:r w:rsidRPr="006031D6">
        <w:rPr>
          <w:rFonts w:ascii="Arial" w:hAnsi="Arial" w:cs="Arial"/>
          <w:sz w:val="22"/>
          <w:szCs w:val="22"/>
        </w:rPr>
        <w:t xml:space="preserve"> – existuje vyšší stupeň znečištění s plošným charakterem, daným nevýhodnou údolní polohou města, dopravním systémem a umístěním zdrojů znečištění. </w:t>
      </w:r>
    </w:p>
    <w:p w14:paraId="7E8FB56A"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Ze závěrečné zprávy vyplývá, že morfologie terénu nedovoluje přesné stanovení imisní zátěže, ovlivněné rozložením bodových, liniových a plošných zdrojů ve městě. Údaje ze stanice na Starém Městě je možné použít pro hodnocení kvality ovzduší v Děčíně. Stanice OHS umístěná v extrémně zatíženém dopravním uzlu spíše charakterizuje zvýšené koncentrace škodlivých látek z dopravy. </w:t>
      </w:r>
    </w:p>
    <w:p w14:paraId="6A2FAFEC" w14:textId="77777777" w:rsidR="006031D6" w:rsidRPr="006031D6" w:rsidRDefault="006031D6" w:rsidP="006031D6">
      <w:pPr>
        <w:pStyle w:val="Zkladntext"/>
        <w:spacing w:line="240" w:lineRule="atLeast"/>
        <w:rPr>
          <w:rFonts w:ascii="Arial" w:hAnsi="Arial" w:cs="Arial"/>
          <w:sz w:val="22"/>
          <w:szCs w:val="22"/>
        </w:rPr>
      </w:pPr>
    </w:p>
    <w:p w14:paraId="427CD9DC" w14:textId="77777777" w:rsidR="006031D6" w:rsidRPr="006031D6" w:rsidRDefault="006031D6" w:rsidP="006031D6">
      <w:pPr>
        <w:pStyle w:val="Zkladntext"/>
        <w:spacing w:line="240" w:lineRule="atLeast"/>
        <w:rPr>
          <w:rFonts w:ascii="Arial" w:hAnsi="Arial" w:cs="Arial"/>
          <w:sz w:val="22"/>
          <w:szCs w:val="22"/>
        </w:rPr>
      </w:pPr>
      <w:r w:rsidRPr="006031D6">
        <w:rPr>
          <w:rFonts w:ascii="Arial" w:hAnsi="Arial" w:cs="Arial"/>
          <w:sz w:val="22"/>
          <w:szCs w:val="22"/>
        </w:rPr>
        <w:t>Pro orientaci je přiloženo grafické znázornění naměřených hodnot.</w:t>
      </w:r>
    </w:p>
    <w:p w14:paraId="4ABEA0B1" w14:textId="77777777" w:rsidR="006031D6" w:rsidRPr="006031D6" w:rsidRDefault="006031D6" w:rsidP="006031D6">
      <w:pPr>
        <w:pStyle w:val="Zkladntext"/>
        <w:spacing w:line="240" w:lineRule="atLeast"/>
        <w:rPr>
          <w:rFonts w:ascii="Arial" w:hAnsi="Arial" w:cs="Arial"/>
          <w:sz w:val="22"/>
          <w:szCs w:val="22"/>
        </w:rPr>
      </w:pPr>
    </w:p>
    <w:p w14:paraId="0E2782FE" w14:textId="77777777" w:rsidR="006031D6" w:rsidRPr="006031D6" w:rsidRDefault="006031D6" w:rsidP="006031D6">
      <w:pPr>
        <w:pStyle w:val="Zkladntext"/>
        <w:spacing w:line="240" w:lineRule="atLeast"/>
        <w:rPr>
          <w:rFonts w:ascii="Arial" w:hAnsi="Arial" w:cs="Arial"/>
          <w:sz w:val="22"/>
          <w:szCs w:val="22"/>
        </w:rPr>
      </w:pPr>
      <w:r w:rsidRPr="006031D6">
        <w:rPr>
          <w:rFonts w:ascii="Arial" w:hAnsi="Arial" w:cs="Arial"/>
          <w:b/>
          <w:bCs/>
          <w:caps/>
          <w:sz w:val="22"/>
          <w:szCs w:val="22"/>
        </w:rPr>
        <w:t>Návrh opatření na zlepšení kvality životního prostředí</w:t>
      </w:r>
    </w:p>
    <w:p w14:paraId="1CD8F1D7"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Jak již bylo uvedeno, nelze od sebe odlišit množství výskytu NOX z dopravní zátěže a z plynofikace města. Oba dva zdroje způsobují nárůst NOX, ale v jakém poměru nelze stanovit. Návrh územního plánu obsahuje pro zlepšení kritického stavu </w:t>
      </w:r>
      <w:r w:rsidRPr="006031D6">
        <w:rPr>
          <w:rFonts w:ascii="Arial" w:hAnsi="Arial" w:cs="Arial"/>
          <w:b/>
          <w:bCs/>
          <w:sz w:val="22"/>
          <w:szCs w:val="22"/>
        </w:rPr>
        <w:t>řešení dopravní situace</w:t>
      </w:r>
      <w:r w:rsidRPr="006031D6">
        <w:rPr>
          <w:rFonts w:ascii="Arial" w:hAnsi="Arial" w:cs="Arial"/>
          <w:sz w:val="22"/>
          <w:szCs w:val="22"/>
        </w:rPr>
        <w:t xml:space="preserve"> vybudováním obchvatu města I/13 směrem na Teplice ( křižovatka Vilsnice - Jílové ), z důvodů snížení hlukové hladiny v obytných částech podél průjezdních komunikací, pak vybudováním Folknářské spojky (odklonění dopravy z ul. Kamenické) a přeložky II/261 v Boleticích n. L. </w:t>
      </w:r>
    </w:p>
    <w:p w14:paraId="49C274FC"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Tyto návrhy i přes dílčí problémy jsou studijně ověřeny. Jejich postupná realizace je obsahem návrhu koncepce dopravy.</w:t>
      </w:r>
    </w:p>
    <w:p w14:paraId="440EC402"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Ve stávající zástavbě podél frekventovaných komunikací lze snížit hladinu hluku v obytných budovách pouze technickým opatřením, tzn. použít izolačních trojskel, změnit dispozici bytu a fasády opatřit protihlukovým obkladem a tam, kde to dopravní situace dovolí, zjednosměrnit komunikace.</w:t>
      </w:r>
    </w:p>
    <w:p w14:paraId="0582601D"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Dalším řešením na </w:t>
      </w:r>
      <w:r w:rsidRPr="006031D6">
        <w:rPr>
          <w:rFonts w:ascii="Arial" w:hAnsi="Arial" w:cs="Arial"/>
          <w:b/>
          <w:bCs/>
          <w:sz w:val="22"/>
          <w:szCs w:val="22"/>
        </w:rPr>
        <w:t>snížení imisní zátěže</w:t>
      </w:r>
      <w:r w:rsidRPr="006031D6">
        <w:rPr>
          <w:rFonts w:ascii="Arial" w:hAnsi="Arial" w:cs="Arial"/>
          <w:sz w:val="22"/>
          <w:szCs w:val="22"/>
        </w:rPr>
        <w:t xml:space="preserve"> v ovzduší je vybudování  CZT, pro zásobování města teplem s využitím termálních vod. Instalována budou geotermální čerpadla a kogenerační jednotka. Po jeho spuštění do provozu budou uzavřeny některé sídlištní kotelny ve městě. </w:t>
      </w:r>
    </w:p>
    <w:p w14:paraId="75ADF4C6"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Mimo to je v územním plánu rozděleno město do jednotlivých zón, ve kterých je doporučen způsob vytápění, aby se nezhoršovalo znečištění ovzduší v nejzatíženějších částech města a omezilo budování individuálních plynových kotelen ve více podlažních obytných domech napojených na centrální zdroje.</w:t>
      </w:r>
    </w:p>
    <w:p w14:paraId="2D9451A2"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V rámci zlepšování životního prostředí ve městě jsou postupně jeho jednotlivé složky systematicky řešeny. Prioritně je řešeno snižování množství znečišťujících látek v ovzduší (rozsáhlá plynofikace jak velkých, tak i středních a malých zdrojů znečišťování), prakticky je plošná plynofikace ukončena, výhledově by se jednalo o jednotlivé malé a střední zdroje, které podstatně neovlivní současnou imisní situaci v Děčíně. Z dalších priorit je řešení dopravy ve městě (obytné území), kde dochází k největšímu zatížení obyvatelstva z hlediska NOx, hluku a prachu z automobilového provozu, včetně snížení hlukové hladiny (měření OHS), separace odpadu, budování ČOV atd.</w:t>
      </w:r>
    </w:p>
    <w:p w14:paraId="2E0C7783" w14:textId="77777777" w:rsidR="006031D6" w:rsidRPr="006031D6" w:rsidRDefault="006031D6" w:rsidP="006031D6">
      <w:pPr>
        <w:pStyle w:val="Zkladntext"/>
        <w:spacing w:line="240" w:lineRule="atLeast"/>
        <w:rPr>
          <w:rFonts w:ascii="Arial" w:hAnsi="Arial" w:cs="Arial"/>
          <w:sz w:val="22"/>
          <w:szCs w:val="22"/>
        </w:rPr>
      </w:pPr>
    </w:p>
    <w:p w14:paraId="2F51B741" w14:textId="77777777" w:rsidR="006031D6" w:rsidRPr="006031D6" w:rsidRDefault="006031D6" w:rsidP="006031D6">
      <w:pPr>
        <w:pStyle w:val="podnadpis1"/>
        <w:spacing w:line="240" w:lineRule="atLeast"/>
        <w:jc w:val="both"/>
        <w:rPr>
          <w:rFonts w:cs="Arial"/>
        </w:rPr>
      </w:pPr>
      <w:r w:rsidRPr="006031D6">
        <w:rPr>
          <w:rFonts w:cs="Arial"/>
        </w:rPr>
        <w:t>e</w:t>
      </w:r>
      <w:r>
        <w:rPr>
          <w:rFonts w:cs="Arial"/>
        </w:rPr>
        <w:t>.</w:t>
      </w:r>
      <w:r w:rsidRPr="006031D6">
        <w:rPr>
          <w:rFonts w:cs="Arial"/>
        </w:rPr>
        <w:t xml:space="preserve">2.   Odpadové hospodářství </w:t>
      </w:r>
    </w:p>
    <w:p w14:paraId="6CF00A35" w14:textId="77777777" w:rsidR="006031D6" w:rsidRPr="006031D6" w:rsidRDefault="006031D6" w:rsidP="006031D6">
      <w:pPr>
        <w:pStyle w:val="Zkladntext"/>
        <w:spacing w:line="240" w:lineRule="atLeast"/>
        <w:rPr>
          <w:rFonts w:ascii="Arial" w:hAnsi="Arial" w:cs="Arial"/>
        </w:rPr>
      </w:pPr>
    </w:p>
    <w:p w14:paraId="4FC48C0A" w14:textId="77777777" w:rsidR="006031D6" w:rsidRPr="006031D6" w:rsidRDefault="006031D6" w:rsidP="006031D6">
      <w:pPr>
        <w:pStyle w:val="podnadpis2"/>
        <w:spacing w:line="240" w:lineRule="atLeast"/>
        <w:jc w:val="both"/>
        <w:rPr>
          <w:rFonts w:cs="Arial"/>
        </w:rPr>
      </w:pPr>
      <w:r w:rsidRPr="006031D6">
        <w:rPr>
          <w:rFonts w:cs="Arial"/>
        </w:rPr>
        <w:t xml:space="preserve">nakládání se směsným komunálním odpadem  </w:t>
      </w:r>
    </w:p>
    <w:p w14:paraId="423D2DFB"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Zajišťují pro celé správní území Technické služby Děčín odvozem na skládku Orlík IV. (skládka skupiny S3) v k.ú. Borek, obec Malšovice. Celková kapacita lokality určené pro skládkování je 1,5 mkil. m</w:t>
      </w:r>
      <w:r w:rsidRPr="006031D6">
        <w:rPr>
          <w:rFonts w:ascii="Arial" w:hAnsi="Arial" w:cs="Arial"/>
          <w:sz w:val="22"/>
          <w:szCs w:val="22"/>
          <w:vertAlign w:val="superscript"/>
        </w:rPr>
        <w:t>3</w:t>
      </w:r>
      <w:r w:rsidRPr="006031D6">
        <w:rPr>
          <w:rFonts w:ascii="Arial" w:hAnsi="Arial" w:cs="Arial"/>
          <w:sz w:val="22"/>
          <w:szCs w:val="22"/>
        </w:rPr>
        <w:t>, k 31. 12. 2000 uloženo 140 000 m</w:t>
      </w:r>
      <w:r w:rsidRPr="006031D6">
        <w:rPr>
          <w:rFonts w:ascii="Arial" w:hAnsi="Arial" w:cs="Arial"/>
          <w:sz w:val="22"/>
          <w:szCs w:val="22"/>
          <w:vertAlign w:val="superscript"/>
        </w:rPr>
        <w:t>3</w:t>
      </w:r>
      <w:r w:rsidRPr="006031D6">
        <w:rPr>
          <w:rFonts w:ascii="Arial" w:hAnsi="Arial" w:cs="Arial"/>
          <w:sz w:val="22"/>
          <w:szCs w:val="22"/>
        </w:rPr>
        <w:t>. Skládka se postupně rozšiřuje novými kazetami. První kazeta bude zaplněna v 07-08/2001, kdy bude zprovozněna kazeta č. 2 s kapacitou 220 000 m</w:t>
      </w:r>
      <w:r w:rsidRPr="006031D6">
        <w:rPr>
          <w:rFonts w:ascii="Arial" w:hAnsi="Arial" w:cs="Arial"/>
          <w:sz w:val="22"/>
          <w:szCs w:val="22"/>
          <w:vertAlign w:val="superscript"/>
        </w:rPr>
        <w:t>3</w:t>
      </w:r>
      <w:r w:rsidRPr="006031D6">
        <w:rPr>
          <w:rFonts w:ascii="Arial" w:hAnsi="Arial" w:cs="Arial"/>
          <w:sz w:val="22"/>
          <w:szCs w:val="22"/>
        </w:rPr>
        <w:t xml:space="preserve"> (využití na cca 7 - 9 let). Objem ukládaného odpadu roste rychleji než jeho hmotnost.</w:t>
      </w:r>
    </w:p>
    <w:p w14:paraId="4019C190"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lastRenderedPageBreak/>
        <w:t xml:space="preserve">Množství komunálního odpadu od občanů se pohybuje okolo 9 000 t/rok (2000), včetně podnikatelské sféry je to celkem 10 300 t/rok. Toto množství představuje 192 kg SKO/obyv. </w:t>
      </w:r>
    </w:p>
    <w:p w14:paraId="372380D0"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Na skládku Orlík IV., s velkoobjemným a dalšími odpady kategorie O skupiny 20 00 00 je nakládáno individuálně - úprava a následné využití či zneškodnění.</w:t>
      </w:r>
    </w:p>
    <w:p w14:paraId="68117AAF" w14:textId="77777777" w:rsidR="006031D6" w:rsidRPr="006031D6" w:rsidRDefault="006031D6" w:rsidP="006031D6">
      <w:pPr>
        <w:pStyle w:val="Zkladntext"/>
        <w:spacing w:before="120" w:line="288" w:lineRule="auto"/>
        <w:ind w:firstLine="709"/>
        <w:rPr>
          <w:rFonts w:ascii="Arial" w:hAnsi="Arial" w:cs="Arial"/>
          <w:sz w:val="22"/>
          <w:szCs w:val="22"/>
        </w:rPr>
      </w:pPr>
    </w:p>
    <w:p w14:paraId="019C8496" w14:textId="77777777" w:rsidR="006031D6" w:rsidRPr="006031D6" w:rsidRDefault="006031D6" w:rsidP="006031D6">
      <w:pPr>
        <w:pStyle w:val="podnadpis2"/>
        <w:spacing w:line="240" w:lineRule="atLeast"/>
        <w:jc w:val="both"/>
        <w:rPr>
          <w:rFonts w:cs="Arial"/>
        </w:rPr>
      </w:pPr>
      <w:r w:rsidRPr="006031D6">
        <w:rPr>
          <w:rFonts w:cs="Arial"/>
        </w:rPr>
        <w:t xml:space="preserve">Nebezpečný odpad </w:t>
      </w:r>
    </w:p>
    <w:p w14:paraId="6C972F61"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Nebezpečný odpad je od občanů i od podnikajících subjektů pravidelně sbírán ambulantně a </w:t>
      </w:r>
      <w:r w:rsidRPr="006031D6">
        <w:rPr>
          <w:rFonts w:ascii="Arial" w:hAnsi="Arial" w:cs="Arial"/>
          <w:sz w:val="22"/>
          <w:szCs w:val="22"/>
        </w:rPr>
        <w:tab/>
        <w:t>nebo jej lze předat ve sběrném dvoře, či přímo v Technických službách Děčín a.s.</w:t>
      </w:r>
    </w:p>
    <w:p w14:paraId="7F01819D"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Nebezpečné odpady se přepravují na zařízení mimo okres Děčín - zejména na skládky v okresech Litoměřice a Ústí nad Labem, spalovny v okresech Ústí nad Labem a Mělník a k úpravě v okresech Česká Lípa, Ústí nad Labem, Louny a Praha-sever. </w:t>
      </w:r>
      <w:r w:rsidRPr="006031D6">
        <w:rPr>
          <w:rFonts w:ascii="Arial" w:hAnsi="Arial" w:cs="Arial"/>
          <w:b/>
          <w:sz w:val="22"/>
          <w:szCs w:val="22"/>
        </w:rPr>
        <w:t>Vybudování skládky nebezpečných odpadů v řešeném území města je vyloučeno.</w:t>
      </w:r>
      <w:r w:rsidRPr="006031D6">
        <w:rPr>
          <w:rFonts w:ascii="Arial" w:hAnsi="Arial" w:cs="Arial"/>
          <w:sz w:val="22"/>
          <w:szCs w:val="22"/>
        </w:rPr>
        <w:t xml:space="preserve"> </w:t>
      </w:r>
    </w:p>
    <w:p w14:paraId="77D666A2" w14:textId="77777777" w:rsidR="006031D6" w:rsidRPr="006031D6" w:rsidRDefault="006031D6" w:rsidP="006031D6">
      <w:pPr>
        <w:pStyle w:val="Zkladntext"/>
        <w:spacing w:line="240" w:lineRule="atLeast"/>
        <w:rPr>
          <w:rFonts w:ascii="Arial" w:hAnsi="Arial" w:cs="Arial"/>
        </w:rPr>
      </w:pPr>
    </w:p>
    <w:p w14:paraId="772C45C4" w14:textId="77777777" w:rsidR="006031D6" w:rsidRPr="006031D6" w:rsidRDefault="006031D6" w:rsidP="006031D6">
      <w:pPr>
        <w:pStyle w:val="podnadpis2"/>
        <w:spacing w:line="240" w:lineRule="atLeast"/>
        <w:jc w:val="both"/>
        <w:rPr>
          <w:rFonts w:cs="Arial"/>
        </w:rPr>
      </w:pPr>
      <w:r w:rsidRPr="006031D6">
        <w:rPr>
          <w:rFonts w:cs="Arial"/>
        </w:rPr>
        <w:t>Pro recyklovatelný odpad</w:t>
      </w:r>
    </w:p>
    <w:p w14:paraId="787D6636"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Je ve městě rozmístěno 91 stání (k 31. 12. 2000) 185ti kontejnerů v převážně duálních sestavách duté obaly (plast, sklo, kov) a směsný papír (karton, noviny, jiné). Systém je doplněn sběrným dvorem v Horním Oldřichově (DEPO) jehož provoz bude ukončen v roce 2001 a nahrazen sběrnými dvory v Děčíně IV. "Pískovna" a Centrálním sběrným dvorem (CSD) v Děčíně II. na části pozemků CZT při Benešovské ulici.</w:t>
      </w:r>
    </w:p>
    <w:p w14:paraId="7DC7291D"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Sběrný dvůr Pískovna nahradí stávající sběrný dvůr DEPO pro levobřežní část města s umístěním demontážní linky pro elektro a chladírenská zařízení (2002). CSD bude sloužit zejména pro občany pravobřežní části města, doplněný o sklad nebezpečných odpadů a dekontaminační plochu. Ve druhé etapě (2002) zde bude vybudováno překladiště směsného komunálního odpadu.</w:t>
      </w:r>
    </w:p>
    <w:p w14:paraId="5C813558"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Mimo to uvažuje MěÚ Děčín se zřízením sběrných míst v prostoru panelových sídlišť, kde by se v týdenním, event. čtrnáctidenním intervalu umísťovaly kontejnery na ostatní odpad s obsluhou. Ta by dohlížela na správné rozdělení odpadu do jednotlivých kontejnerů. Tím chce MěÚ zamezit vzniku drobných skládek na území města a zároveň kvalitu separovaných odpadů. Sběrných míst má být 4 – 5. </w:t>
      </w:r>
    </w:p>
    <w:p w14:paraId="63E85BE4" w14:textId="77777777" w:rsidR="006031D6" w:rsidRPr="006031D6" w:rsidRDefault="006031D6" w:rsidP="006031D6">
      <w:pPr>
        <w:pStyle w:val="Zkladntext"/>
        <w:spacing w:line="240" w:lineRule="atLeast"/>
        <w:rPr>
          <w:rFonts w:ascii="Arial" w:hAnsi="Arial" w:cs="Arial"/>
        </w:rPr>
      </w:pPr>
    </w:p>
    <w:p w14:paraId="641A1B62" w14:textId="77777777" w:rsidR="006031D6" w:rsidRPr="006031D6" w:rsidRDefault="006031D6" w:rsidP="006031D6">
      <w:pPr>
        <w:pStyle w:val="podnadpis2"/>
        <w:spacing w:line="240" w:lineRule="atLeast"/>
        <w:jc w:val="both"/>
        <w:rPr>
          <w:rFonts w:cs="Arial"/>
        </w:rPr>
      </w:pPr>
      <w:r w:rsidRPr="006031D6">
        <w:rPr>
          <w:rFonts w:cs="Arial"/>
        </w:rPr>
        <w:t xml:space="preserve">Průmyslové odpady </w:t>
      </w:r>
    </w:p>
    <w:p w14:paraId="58996B79"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Jsou likvidovány podle stanovených pravidel, tzn. že každý producent průmyslového odpadu je povinen každoročně předkládat OkÚ - referátu životního prostředí hlášení o produkci a nakládání s odpady podle limitů stanovených zákonem č. 125/97 Sb. Množství průmyslového odpadu se každoročně zásadně mění, v závislosti na prosperitě jednotlivých podniků a firem a proto nelze s těmito údaji operovat v návrhu územním plánu. Odpad charakteru TKO bude ukládán na skládce Orlík, nebezpečné odpady pak zásadně mimo město i okres.</w:t>
      </w:r>
    </w:p>
    <w:p w14:paraId="10BCD7E1"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lastRenderedPageBreak/>
        <w:t>Nemocniční odpad je likvidován ve spalovně nemocnice, která byla uvedena do provozu v roce 1993. V současné době vznikly problémy s překračováním hygienických limitů podle kontroly České inspekce životního prostředí a provoz bude ukončen 12/2000. Odpad ze zdravotnických zařízení bude proto zneškodňován mimo území okresu Děčín.</w:t>
      </w:r>
    </w:p>
    <w:p w14:paraId="37B27AD3" w14:textId="77777777" w:rsidR="006031D6" w:rsidRPr="006031D6" w:rsidRDefault="006031D6" w:rsidP="006031D6">
      <w:pPr>
        <w:pStyle w:val="Zkladntext"/>
        <w:spacing w:line="240" w:lineRule="atLeast"/>
        <w:rPr>
          <w:rFonts w:ascii="Arial" w:hAnsi="Arial" w:cs="Arial"/>
        </w:rPr>
      </w:pPr>
    </w:p>
    <w:p w14:paraId="551ED14F" w14:textId="77777777" w:rsidR="006031D6" w:rsidRPr="006031D6" w:rsidRDefault="006031D6" w:rsidP="006031D6">
      <w:pPr>
        <w:pStyle w:val="podnadpis2"/>
        <w:spacing w:line="240" w:lineRule="atLeast"/>
        <w:jc w:val="both"/>
        <w:rPr>
          <w:rFonts w:cs="Arial"/>
        </w:rPr>
      </w:pPr>
      <w:r w:rsidRPr="006031D6">
        <w:rPr>
          <w:rFonts w:cs="Arial"/>
        </w:rPr>
        <w:t xml:space="preserve">Biologický odpad </w:t>
      </w:r>
    </w:p>
    <w:p w14:paraId="1A50A9AE"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se z větší části zpracovává v rámci technologií používaných v Technických službách</w:t>
      </w:r>
      <w:r w:rsidRPr="006031D6">
        <w:rPr>
          <w:rFonts w:ascii="Arial" w:hAnsi="Arial" w:cs="Arial"/>
          <w:sz w:val="22"/>
          <w:szCs w:val="22"/>
        </w:rPr>
        <w:tab/>
        <w:t xml:space="preserve"> Děčín a.s. - zahradnictví Folknáře. V tomto areálu je připravena k realizaci kompostárna.</w:t>
      </w:r>
    </w:p>
    <w:p w14:paraId="238A33DB"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Pokud výhledově bude zaveden sběr biologického odpadu z domácností, pak si toto opatření vyžádá zřízení kompostárny, kde by byla ukládána biomasa z města a z domácností. Pro zřízení kompostárny lze doporučit lokalitu v k.ú. Huntířov, kde v minulosti byl proveden geologický a hydrogeologický průzkum pro zřízení kompostárny pro město Děčín. Další vhodná lokalita je v Růžové, kde se dají využít silážní plata a u skládky Orlík III. </w:t>
      </w:r>
    </w:p>
    <w:p w14:paraId="07F42284"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ČOV Boletice nemá vhodnou plochu na likvidaci kalů, kterých podle projektové dokumentace </w:t>
      </w:r>
      <w:r w:rsidRPr="006031D6">
        <w:rPr>
          <w:rFonts w:ascii="Arial" w:hAnsi="Arial" w:cs="Arial"/>
          <w:sz w:val="22"/>
          <w:szCs w:val="22"/>
        </w:rPr>
        <w:tab/>
        <w:t>má být cca 4 000 m</w:t>
      </w:r>
      <w:r w:rsidRPr="006031D6">
        <w:rPr>
          <w:rFonts w:ascii="Arial" w:hAnsi="Arial" w:cs="Arial"/>
          <w:sz w:val="22"/>
          <w:szCs w:val="22"/>
          <w:vertAlign w:val="superscript"/>
        </w:rPr>
        <w:t>3</w:t>
      </w:r>
      <w:r w:rsidRPr="006031D6">
        <w:rPr>
          <w:rFonts w:ascii="Arial" w:hAnsi="Arial" w:cs="Arial"/>
          <w:sz w:val="22"/>
          <w:szCs w:val="22"/>
        </w:rPr>
        <w:t>/rok v první etapě a 4 856 m</w:t>
      </w:r>
      <w:r w:rsidRPr="006031D6">
        <w:rPr>
          <w:rFonts w:ascii="Arial" w:hAnsi="Arial" w:cs="Arial"/>
          <w:sz w:val="22"/>
          <w:szCs w:val="22"/>
          <w:vertAlign w:val="superscript"/>
        </w:rPr>
        <w:t>3</w:t>
      </w:r>
      <w:r w:rsidRPr="006031D6">
        <w:rPr>
          <w:rFonts w:ascii="Arial" w:hAnsi="Arial" w:cs="Arial"/>
          <w:sz w:val="22"/>
          <w:szCs w:val="22"/>
        </w:rPr>
        <w:t xml:space="preserve">/rok ve výhledu. První provozní rok se kaly musí nechat stabilizovat, poté se provede chemický rozbor a na základě obsahu sledovaných látek bude určen způsob likvidace kalů. Pokud kaly splní normu ČSN 465735, pak jich lze použít v zemědělství. Čistírenské kaly budou, na základě výsledků jednání ze dne 05. 09. 2000, smluvně likvidovány firmou oprávněnou k likvidaci mimo areál ČOV i území města. </w:t>
      </w:r>
    </w:p>
    <w:p w14:paraId="3BDCE025" w14:textId="77777777" w:rsidR="006031D6" w:rsidRPr="006031D6" w:rsidRDefault="006031D6" w:rsidP="006031D6">
      <w:pPr>
        <w:pStyle w:val="Zkladntext"/>
        <w:spacing w:line="240" w:lineRule="atLeast"/>
        <w:rPr>
          <w:rFonts w:ascii="Arial" w:hAnsi="Arial" w:cs="Arial"/>
        </w:rPr>
      </w:pPr>
    </w:p>
    <w:p w14:paraId="238FBC24" w14:textId="77777777" w:rsidR="006031D6" w:rsidRPr="006031D6" w:rsidRDefault="006031D6" w:rsidP="006031D6">
      <w:pPr>
        <w:pStyle w:val="podnadpis2"/>
        <w:spacing w:line="240" w:lineRule="atLeast"/>
        <w:jc w:val="both"/>
        <w:rPr>
          <w:rFonts w:cs="Arial"/>
        </w:rPr>
      </w:pPr>
      <w:r w:rsidRPr="006031D6">
        <w:rPr>
          <w:rFonts w:cs="Arial"/>
        </w:rPr>
        <w:t>Likvidaci autovraků</w:t>
      </w:r>
    </w:p>
    <w:p w14:paraId="5C317C9B"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není na řešeném území města zajištěna.</w:t>
      </w:r>
    </w:p>
    <w:p w14:paraId="718623BE" w14:textId="77777777" w:rsidR="006031D6" w:rsidRPr="006031D6" w:rsidRDefault="006031D6" w:rsidP="006031D6">
      <w:pPr>
        <w:pStyle w:val="Zkladntext"/>
        <w:spacing w:line="240" w:lineRule="atLeast"/>
        <w:rPr>
          <w:rFonts w:ascii="Arial" w:hAnsi="Arial" w:cs="Arial"/>
        </w:rPr>
      </w:pPr>
    </w:p>
    <w:p w14:paraId="42161D45" w14:textId="77777777" w:rsidR="006031D6" w:rsidRPr="006031D6" w:rsidRDefault="006031D6" w:rsidP="006031D6">
      <w:pPr>
        <w:pStyle w:val="podnadpis2"/>
        <w:spacing w:line="240" w:lineRule="atLeast"/>
        <w:jc w:val="both"/>
        <w:rPr>
          <w:rFonts w:cs="Arial"/>
        </w:rPr>
      </w:pPr>
      <w:r w:rsidRPr="006031D6">
        <w:rPr>
          <w:rFonts w:cs="Arial"/>
        </w:rPr>
        <w:t>recyklace stavebního odpadu</w:t>
      </w:r>
    </w:p>
    <w:p w14:paraId="656DB39C"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areál je umístěn na k.ú. Malšovice, tedy mimo řešené území města.</w:t>
      </w:r>
    </w:p>
    <w:p w14:paraId="3C9055D1" w14:textId="77777777" w:rsidR="006031D6" w:rsidRPr="006031D6" w:rsidRDefault="006031D6" w:rsidP="006031D6">
      <w:pPr>
        <w:pStyle w:val="Zkladntext"/>
        <w:spacing w:line="240" w:lineRule="atLeast"/>
        <w:rPr>
          <w:rFonts w:ascii="Arial" w:hAnsi="Arial" w:cs="Arial"/>
        </w:rPr>
      </w:pPr>
    </w:p>
    <w:p w14:paraId="08390D38" w14:textId="77777777" w:rsidR="006031D6" w:rsidRPr="006031D6" w:rsidRDefault="006031D6" w:rsidP="006031D6">
      <w:pPr>
        <w:pStyle w:val="podnadpis1"/>
        <w:spacing w:line="240" w:lineRule="atLeast"/>
        <w:jc w:val="both"/>
        <w:rPr>
          <w:rFonts w:cs="Arial"/>
        </w:rPr>
      </w:pPr>
      <w:r w:rsidRPr="006031D6">
        <w:rPr>
          <w:rFonts w:cs="Arial"/>
        </w:rPr>
        <w:t>e</w:t>
      </w:r>
      <w:r>
        <w:rPr>
          <w:rFonts w:cs="Arial"/>
        </w:rPr>
        <w:t>.</w:t>
      </w:r>
      <w:r w:rsidRPr="006031D6">
        <w:rPr>
          <w:rFonts w:cs="Arial"/>
        </w:rPr>
        <w:t xml:space="preserve">3. Kontaminace zeminy </w:t>
      </w:r>
    </w:p>
    <w:p w14:paraId="0FBCCC1A"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podle provedených průzkumů podzemních vod a jejich kontaminace škodlivými látkami (závěrečná zpráva Aquatest - stavební geologie a.s. Praha 1993) je v průmyslové zóně Rozbělesy kontaminováno celé území chemickými a ropnými látkami různého stáří. Spolu se zeminou jsou kontaminované spodní vody, kde byla zjištěna přítomnost těžkých kovů, ropných látek, chlorovaných uhlovodíků, xylenu, toluenu atd. Na základě doporučení této zprávy je nutno provést průzkum i na pravé břehu Labe.</w:t>
      </w:r>
    </w:p>
    <w:p w14:paraId="58EEC21B"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Obdobný stav lze předpokládat i v Boleticích, Křešicích, Dolním Oldřichově a v Bynově (areály původních výroben a továren). Nebezpečné látky se dostávají do spodních vrstev, kde dochází ke kontaminaci spodních vod. To je nebezpečné právě ve štěrkopískovém podloží, které se zde vyskytuje.</w:t>
      </w:r>
    </w:p>
    <w:p w14:paraId="5A997CA5"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lastRenderedPageBreak/>
        <w:t>Likvidace je velice obtížná a náročná, vzhledem k  plošnému zasažení. Nelze jí řešit sanací v jednotlivých podnicích, ale sanací v celé průmyslové zóně. Tomu bude muset předcházet podrobný hydrogeologický průzkum s cílem stanovit rizikové analýzy průmyslové výroby (revize areálů, stanovit historickou rešerži, návrh následné likvidace). Specifikace a možné řešení této problematiky postupně zpracovává OkÜ - RŽP.</w:t>
      </w:r>
    </w:p>
    <w:p w14:paraId="4D4FA2ED" w14:textId="77777777" w:rsidR="006031D6" w:rsidRPr="006031D6" w:rsidRDefault="006031D6" w:rsidP="006031D6">
      <w:pPr>
        <w:pStyle w:val="Zkladntext"/>
        <w:spacing w:line="240" w:lineRule="atLeast"/>
        <w:rPr>
          <w:rFonts w:ascii="Arial" w:hAnsi="Arial" w:cs="Arial"/>
        </w:rPr>
      </w:pPr>
    </w:p>
    <w:p w14:paraId="032A47E7" w14:textId="77777777" w:rsidR="006031D6" w:rsidRPr="006031D6" w:rsidRDefault="006031D6" w:rsidP="006031D6">
      <w:pPr>
        <w:pStyle w:val="Zkladntext"/>
        <w:spacing w:line="240" w:lineRule="atLeast"/>
        <w:rPr>
          <w:rFonts w:ascii="Arial" w:hAnsi="Arial" w:cs="Arial"/>
        </w:rPr>
      </w:pPr>
      <w:r w:rsidRPr="006031D6">
        <w:rPr>
          <w:rFonts w:ascii="Arial" w:hAnsi="Arial" w:cs="Arial"/>
          <w:b/>
          <w:bCs/>
        </w:rPr>
        <w:tab/>
      </w:r>
      <w:r w:rsidRPr="006031D6">
        <w:rPr>
          <w:rFonts w:ascii="Arial" w:hAnsi="Arial" w:cs="Arial"/>
          <w:b/>
          <w:bCs/>
          <w:caps/>
        </w:rPr>
        <w:t>předpoklad výskytu</w:t>
      </w:r>
    </w:p>
    <w:p w14:paraId="08150851" w14:textId="77777777" w:rsidR="006031D6" w:rsidRPr="006031D6" w:rsidRDefault="006031D6" w:rsidP="006031D6">
      <w:pPr>
        <w:pStyle w:val="Zkladntext"/>
        <w:numPr>
          <w:ilvl w:val="0"/>
          <w:numId w:val="37"/>
        </w:numPr>
        <w:suppressAutoHyphens w:val="0"/>
        <w:autoSpaceDE w:val="0"/>
        <w:autoSpaceDN w:val="0"/>
        <w:adjustRightInd w:val="0"/>
        <w:spacing w:before="120" w:after="0" w:line="288" w:lineRule="auto"/>
        <w:ind w:left="425" w:hanging="357"/>
        <w:jc w:val="both"/>
        <w:rPr>
          <w:rFonts w:ascii="Arial" w:hAnsi="Arial" w:cs="Arial"/>
          <w:sz w:val="22"/>
          <w:szCs w:val="22"/>
        </w:rPr>
      </w:pPr>
      <w:r w:rsidRPr="006031D6">
        <w:rPr>
          <w:rFonts w:ascii="Arial" w:hAnsi="Arial" w:cs="Arial"/>
          <w:sz w:val="22"/>
          <w:szCs w:val="22"/>
        </w:rPr>
        <w:t>jatka - sanace již proběhla;</w:t>
      </w:r>
    </w:p>
    <w:p w14:paraId="29ECC307" w14:textId="77777777" w:rsidR="006031D6" w:rsidRPr="006031D6" w:rsidRDefault="006031D6" w:rsidP="006031D6">
      <w:pPr>
        <w:pStyle w:val="Zkladntext"/>
        <w:numPr>
          <w:ilvl w:val="0"/>
          <w:numId w:val="37"/>
        </w:numPr>
        <w:suppressAutoHyphens w:val="0"/>
        <w:autoSpaceDE w:val="0"/>
        <w:autoSpaceDN w:val="0"/>
        <w:adjustRightInd w:val="0"/>
        <w:spacing w:before="120" w:after="0" w:line="288" w:lineRule="auto"/>
        <w:ind w:left="425" w:hanging="357"/>
        <w:jc w:val="both"/>
        <w:rPr>
          <w:rFonts w:ascii="Arial" w:hAnsi="Arial" w:cs="Arial"/>
          <w:sz w:val="22"/>
          <w:szCs w:val="22"/>
        </w:rPr>
      </w:pPr>
      <w:r w:rsidRPr="006031D6">
        <w:rPr>
          <w:rFonts w:ascii="Arial" w:hAnsi="Arial" w:cs="Arial"/>
          <w:sz w:val="22"/>
          <w:szCs w:val="22"/>
        </w:rPr>
        <w:t>Staré Město - Pod Chlumem – vojenské garáže – ropné látky;</w:t>
      </w:r>
    </w:p>
    <w:p w14:paraId="7B02A578" w14:textId="77777777" w:rsidR="006031D6" w:rsidRPr="006031D6" w:rsidRDefault="006031D6" w:rsidP="006031D6">
      <w:pPr>
        <w:pStyle w:val="Zkladntext"/>
        <w:numPr>
          <w:ilvl w:val="0"/>
          <w:numId w:val="37"/>
        </w:numPr>
        <w:suppressAutoHyphens w:val="0"/>
        <w:autoSpaceDE w:val="0"/>
        <w:autoSpaceDN w:val="0"/>
        <w:adjustRightInd w:val="0"/>
        <w:spacing w:before="120" w:after="0" w:line="288" w:lineRule="auto"/>
        <w:ind w:left="425" w:hanging="357"/>
        <w:jc w:val="both"/>
        <w:rPr>
          <w:rFonts w:ascii="Arial" w:hAnsi="Arial" w:cs="Arial"/>
          <w:sz w:val="22"/>
          <w:szCs w:val="22"/>
        </w:rPr>
      </w:pPr>
      <w:r w:rsidRPr="006031D6">
        <w:rPr>
          <w:rFonts w:ascii="Arial" w:hAnsi="Arial" w:cs="Arial"/>
          <w:sz w:val="22"/>
          <w:szCs w:val="22"/>
        </w:rPr>
        <w:t>všechny plochy tratí ČD pod železničním svrškem - ropné látky.</w:t>
      </w:r>
    </w:p>
    <w:p w14:paraId="2F92D78E"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sanace těchto tratí je problematická, zatím bude provedena na nově rekonstruované části Ústí nad Labem – Děčín, kde bude odtěženo téměř celé těleso náspu a vybudováno nové. U ostatních tratí sanace není provedena.</w:t>
      </w:r>
    </w:p>
    <w:p w14:paraId="2F64347C" w14:textId="77777777" w:rsidR="006031D6" w:rsidRPr="006031D6" w:rsidRDefault="006031D6" w:rsidP="006031D6">
      <w:pPr>
        <w:pStyle w:val="Zkladntext"/>
        <w:numPr>
          <w:ilvl w:val="0"/>
          <w:numId w:val="37"/>
        </w:numPr>
        <w:suppressAutoHyphens w:val="0"/>
        <w:autoSpaceDE w:val="0"/>
        <w:autoSpaceDN w:val="0"/>
        <w:adjustRightInd w:val="0"/>
        <w:spacing w:after="0" w:line="288" w:lineRule="auto"/>
        <w:ind w:left="425" w:hanging="357"/>
        <w:jc w:val="both"/>
        <w:rPr>
          <w:rFonts w:ascii="Arial" w:hAnsi="Arial" w:cs="Arial"/>
          <w:sz w:val="22"/>
          <w:szCs w:val="22"/>
        </w:rPr>
      </w:pPr>
      <w:r w:rsidRPr="006031D6">
        <w:rPr>
          <w:rFonts w:ascii="Arial" w:hAnsi="Arial" w:cs="Arial"/>
          <w:sz w:val="22"/>
          <w:szCs w:val="22"/>
        </w:rPr>
        <w:t>loděnice, přístavy - ropné látky;</w:t>
      </w:r>
    </w:p>
    <w:p w14:paraId="323E40FB" w14:textId="77777777" w:rsidR="006031D6" w:rsidRPr="006031D6" w:rsidRDefault="006031D6" w:rsidP="006031D6">
      <w:pPr>
        <w:pStyle w:val="Zkladntext"/>
        <w:numPr>
          <w:ilvl w:val="0"/>
          <w:numId w:val="37"/>
        </w:numPr>
        <w:suppressAutoHyphens w:val="0"/>
        <w:autoSpaceDE w:val="0"/>
        <w:autoSpaceDN w:val="0"/>
        <w:adjustRightInd w:val="0"/>
        <w:spacing w:after="0" w:line="288" w:lineRule="auto"/>
        <w:ind w:left="425" w:hanging="357"/>
        <w:jc w:val="both"/>
        <w:rPr>
          <w:rFonts w:ascii="Arial" w:hAnsi="Arial" w:cs="Arial"/>
          <w:sz w:val="22"/>
          <w:szCs w:val="22"/>
        </w:rPr>
      </w:pPr>
      <w:r w:rsidRPr="006031D6">
        <w:rPr>
          <w:rFonts w:ascii="Arial" w:hAnsi="Arial" w:cs="Arial"/>
          <w:sz w:val="22"/>
          <w:szCs w:val="22"/>
        </w:rPr>
        <w:t>výrobní zóna Rozbělesy;</w:t>
      </w:r>
    </w:p>
    <w:p w14:paraId="194F9F0C" w14:textId="77777777" w:rsidR="006031D6" w:rsidRPr="006031D6" w:rsidRDefault="006031D6" w:rsidP="006031D6">
      <w:pPr>
        <w:pStyle w:val="Zkladntext"/>
        <w:numPr>
          <w:ilvl w:val="0"/>
          <w:numId w:val="37"/>
        </w:numPr>
        <w:suppressAutoHyphens w:val="0"/>
        <w:autoSpaceDE w:val="0"/>
        <w:autoSpaceDN w:val="0"/>
        <w:adjustRightInd w:val="0"/>
        <w:spacing w:after="0" w:line="288" w:lineRule="auto"/>
        <w:ind w:left="425" w:hanging="357"/>
        <w:jc w:val="both"/>
        <w:rPr>
          <w:rFonts w:ascii="Arial" w:hAnsi="Arial" w:cs="Arial"/>
          <w:sz w:val="22"/>
          <w:szCs w:val="22"/>
        </w:rPr>
      </w:pPr>
      <w:r w:rsidRPr="006031D6">
        <w:rPr>
          <w:rFonts w:ascii="Arial" w:hAnsi="Arial" w:cs="Arial"/>
          <w:sz w:val="22"/>
          <w:szCs w:val="22"/>
        </w:rPr>
        <w:t>výrobní zóna Dolní Oldřichov (Netex - netkané textilie);</w:t>
      </w:r>
    </w:p>
    <w:p w14:paraId="1E955C3D" w14:textId="77777777" w:rsidR="006031D6" w:rsidRPr="006031D6" w:rsidRDefault="006031D6" w:rsidP="006031D6">
      <w:pPr>
        <w:pStyle w:val="Zkladntext"/>
        <w:numPr>
          <w:ilvl w:val="0"/>
          <w:numId w:val="37"/>
        </w:numPr>
        <w:suppressAutoHyphens w:val="0"/>
        <w:autoSpaceDE w:val="0"/>
        <w:autoSpaceDN w:val="0"/>
        <w:adjustRightInd w:val="0"/>
        <w:spacing w:after="0" w:line="288" w:lineRule="auto"/>
        <w:ind w:left="425" w:hanging="357"/>
        <w:jc w:val="both"/>
        <w:rPr>
          <w:rFonts w:ascii="Arial" w:hAnsi="Arial" w:cs="Arial"/>
          <w:sz w:val="22"/>
          <w:szCs w:val="22"/>
        </w:rPr>
      </w:pPr>
      <w:r w:rsidRPr="006031D6">
        <w:rPr>
          <w:rFonts w:ascii="Arial" w:hAnsi="Arial" w:cs="Arial"/>
          <w:sz w:val="22"/>
          <w:szCs w:val="22"/>
        </w:rPr>
        <w:t>Armaturka Bynov - těžké kovy, ropné látky;</w:t>
      </w:r>
    </w:p>
    <w:p w14:paraId="63005192" w14:textId="77777777" w:rsidR="006031D6" w:rsidRPr="006031D6" w:rsidRDefault="006031D6" w:rsidP="006031D6">
      <w:pPr>
        <w:pStyle w:val="Zkladntext"/>
        <w:numPr>
          <w:ilvl w:val="0"/>
          <w:numId w:val="37"/>
        </w:numPr>
        <w:suppressAutoHyphens w:val="0"/>
        <w:autoSpaceDE w:val="0"/>
        <w:autoSpaceDN w:val="0"/>
        <w:adjustRightInd w:val="0"/>
        <w:spacing w:after="0" w:line="288" w:lineRule="auto"/>
        <w:ind w:left="425" w:hanging="357"/>
        <w:jc w:val="both"/>
        <w:rPr>
          <w:rFonts w:ascii="Arial" w:hAnsi="Arial" w:cs="Arial"/>
          <w:sz w:val="22"/>
          <w:szCs w:val="22"/>
        </w:rPr>
      </w:pPr>
      <w:r w:rsidRPr="006031D6">
        <w:rPr>
          <w:rFonts w:ascii="Arial" w:hAnsi="Arial" w:cs="Arial"/>
          <w:sz w:val="22"/>
          <w:szCs w:val="22"/>
        </w:rPr>
        <w:t>výrobní zóna Boletice n. L. (organické látky, chlorované uhlovodíky, ropné látky, těžké kovy);</w:t>
      </w:r>
    </w:p>
    <w:p w14:paraId="1E463DD6" w14:textId="77777777" w:rsidR="006031D6" w:rsidRPr="006031D6" w:rsidRDefault="006031D6" w:rsidP="006031D6">
      <w:pPr>
        <w:pStyle w:val="Zkladntext"/>
        <w:numPr>
          <w:ilvl w:val="0"/>
          <w:numId w:val="37"/>
        </w:numPr>
        <w:suppressAutoHyphens w:val="0"/>
        <w:autoSpaceDE w:val="0"/>
        <w:autoSpaceDN w:val="0"/>
        <w:adjustRightInd w:val="0"/>
        <w:spacing w:after="0" w:line="288" w:lineRule="auto"/>
        <w:ind w:left="425" w:hanging="357"/>
        <w:jc w:val="both"/>
        <w:rPr>
          <w:rFonts w:ascii="Arial" w:hAnsi="Arial" w:cs="Arial"/>
          <w:sz w:val="22"/>
          <w:szCs w:val="22"/>
        </w:rPr>
      </w:pPr>
      <w:r w:rsidRPr="006031D6">
        <w:rPr>
          <w:rFonts w:ascii="Arial" w:hAnsi="Arial" w:cs="Arial"/>
          <w:sz w:val="22"/>
          <w:szCs w:val="22"/>
        </w:rPr>
        <w:t>bývalá skládka pod novým mostem na břehu Ploučnice - chlorované uhlovodíky, těžké kovy, kontaminace podzemních vod;</w:t>
      </w:r>
    </w:p>
    <w:p w14:paraId="07BEEE85" w14:textId="77777777" w:rsidR="006031D6" w:rsidRPr="006031D6" w:rsidRDefault="006031D6" w:rsidP="006031D6">
      <w:pPr>
        <w:pStyle w:val="Zkladntext"/>
        <w:numPr>
          <w:ilvl w:val="0"/>
          <w:numId w:val="37"/>
        </w:numPr>
        <w:suppressAutoHyphens w:val="0"/>
        <w:autoSpaceDE w:val="0"/>
        <w:autoSpaceDN w:val="0"/>
        <w:adjustRightInd w:val="0"/>
        <w:spacing w:after="0" w:line="288" w:lineRule="auto"/>
        <w:ind w:left="425" w:hanging="357"/>
        <w:jc w:val="both"/>
        <w:rPr>
          <w:rFonts w:ascii="Arial" w:hAnsi="Arial" w:cs="Arial"/>
          <w:sz w:val="22"/>
          <w:szCs w:val="22"/>
        </w:rPr>
      </w:pPr>
      <w:r w:rsidRPr="006031D6">
        <w:rPr>
          <w:rFonts w:ascii="Arial" w:hAnsi="Arial" w:cs="Arial"/>
          <w:sz w:val="22"/>
          <w:szCs w:val="22"/>
        </w:rPr>
        <w:t>všechny ostatní "historické skládky" na území města.</w:t>
      </w:r>
    </w:p>
    <w:p w14:paraId="42D12B80"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 </w:t>
      </w:r>
    </w:p>
    <w:p w14:paraId="6D7E9667" w14:textId="77777777" w:rsidR="006031D6" w:rsidRPr="006031D6" w:rsidRDefault="006031D6" w:rsidP="006031D6">
      <w:pPr>
        <w:pStyle w:val="podnadpis1"/>
        <w:spacing w:line="240" w:lineRule="atLeast"/>
        <w:jc w:val="both"/>
        <w:rPr>
          <w:rFonts w:cs="Arial"/>
        </w:rPr>
      </w:pPr>
      <w:r w:rsidRPr="006031D6">
        <w:rPr>
          <w:rFonts w:cs="Arial"/>
        </w:rPr>
        <w:t>e.4. vyhlášená Pásma hygienické ochrany -  PHO</w:t>
      </w:r>
    </w:p>
    <w:p w14:paraId="2C5CE382"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ČSPL závod Loděnice Křešice</w:t>
      </w:r>
    </w:p>
    <w:p w14:paraId="0290AFE6"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HOCO s.r.o. Technik Boletice n. L.</w:t>
      </w:r>
    </w:p>
    <w:p w14:paraId="03B8AA7A"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ČSPL tankovací stanice Loubí</w:t>
      </w:r>
    </w:p>
    <w:p w14:paraId="5E70CC55"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Karned a.s. (Nářadí)</w:t>
      </w:r>
    </w:p>
    <w:p w14:paraId="285BCAB0"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Hujo prádelna</w:t>
      </w:r>
    </w:p>
    <w:p w14:paraId="647B891E"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Rukov Děčín, Teplická Ústí nad Labem.</w:t>
      </w:r>
    </w:p>
    <w:p w14:paraId="7248332A"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BP kotelna Zelená</w:t>
      </w:r>
    </w:p>
    <w:p w14:paraId="56DFC858"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Desta - v likvidaci (bude přepracováno dle nového výrobního programu)</w:t>
      </w:r>
    </w:p>
    <w:p w14:paraId="6215BBFF"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kravín Vilsnice</w:t>
      </w:r>
    </w:p>
    <w:p w14:paraId="76DA1248"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ŽOS</w:t>
      </w:r>
    </w:p>
    <w:p w14:paraId="26FC3C89"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BP kotelna Dělnická</w:t>
      </w:r>
    </w:p>
    <w:p w14:paraId="35AB084C"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Dopravní podnik</w:t>
      </w:r>
    </w:p>
    <w:p w14:paraId="7D6A0BBF"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Silike s.r.o. (Keramické Závody)</w:t>
      </w:r>
    </w:p>
    <w:p w14:paraId="68518ACE"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Ferox</w:t>
      </w:r>
    </w:p>
    <w:p w14:paraId="1B46FABF"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Centroflor Děčín</w:t>
      </w:r>
    </w:p>
    <w:p w14:paraId="0D0E392C"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BP kotelna Boletice</w:t>
      </w:r>
    </w:p>
    <w:p w14:paraId="75B400E8"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kravín Nebočady</w:t>
      </w:r>
    </w:p>
    <w:p w14:paraId="1593BFC4"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Armaturka</w:t>
      </w:r>
    </w:p>
    <w:p w14:paraId="603082DD"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lastRenderedPageBreak/>
        <w:tab/>
        <w:t>Kablo</w:t>
      </w:r>
    </w:p>
    <w:p w14:paraId="40194F1F"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Pekárny - St. Město</w:t>
      </w:r>
    </w:p>
    <w:p w14:paraId="25FD3540"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Protektory RTS - Letná</w:t>
      </w:r>
    </w:p>
    <w:p w14:paraId="7DF09BAF" w14:textId="77777777" w:rsidR="006031D6" w:rsidRPr="006031D6" w:rsidRDefault="006031D6" w:rsidP="006031D6">
      <w:pPr>
        <w:pStyle w:val="Zkladntext"/>
        <w:spacing w:after="0" w:line="288" w:lineRule="auto"/>
        <w:rPr>
          <w:rFonts w:ascii="Arial" w:hAnsi="Arial" w:cs="Arial"/>
          <w:sz w:val="22"/>
          <w:szCs w:val="22"/>
        </w:rPr>
      </w:pPr>
      <w:r w:rsidRPr="006031D6">
        <w:rPr>
          <w:rFonts w:ascii="Arial" w:hAnsi="Arial" w:cs="Arial"/>
          <w:sz w:val="22"/>
          <w:szCs w:val="22"/>
        </w:rPr>
        <w:tab/>
        <w:t>Eurotel stanice na Chlumu</w:t>
      </w:r>
    </w:p>
    <w:p w14:paraId="129174B3"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Ve výčtu platných PHO jsou zařazeny i podniky nefunkční nebo i zlikvidované, přesto jejich PHO má platnost, neboť nebylo zrušeno. Stavební úřad vyzve všechny majitele nebo uživatele těchto podniků k  vypracování, úpravě či ke zrušení těchto PHO (nové výrobní zaměření anebo změna technologie). Rovněž tak nově vzniklé podniky a provozovny budou muset předložit ke schválení nová pásma. </w:t>
      </w:r>
    </w:p>
    <w:p w14:paraId="7136AEB2"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Nově by mělo být zejména vymezeno PHO Kovošrotu - Rozbělesy, kde hluk z provozu ohrožuje pravobřežní část města v Křešicích a Boleticích n. L.</w:t>
      </w:r>
    </w:p>
    <w:p w14:paraId="59D8E14B" w14:textId="77777777" w:rsidR="006031D6" w:rsidRPr="006031D6" w:rsidRDefault="006031D6" w:rsidP="006031D6">
      <w:pPr>
        <w:pStyle w:val="Zkladntext"/>
        <w:spacing w:line="240" w:lineRule="atLeast"/>
        <w:rPr>
          <w:rFonts w:ascii="Arial" w:hAnsi="Arial" w:cs="Arial"/>
        </w:rPr>
      </w:pPr>
    </w:p>
    <w:p w14:paraId="7047D32F" w14:textId="77777777" w:rsidR="006031D6" w:rsidRPr="006031D6" w:rsidRDefault="006031D6" w:rsidP="006031D6">
      <w:pPr>
        <w:pStyle w:val="podnadpis1"/>
        <w:spacing w:line="240" w:lineRule="atLeast"/>
        <w:jc w:val="both"/>
        <w:rPr>
          <w:rFonts w:cs="Arial"/>
        </w:rPr>
      </w:pPr>
      <w:r w:rsidRPr="006031D6">
        <w:rPr>
          <w:rFonts w:cs="Arial"/>
        </w:rPr>
        <w:t>e</w:t>
      </w:r>
      <w:r>
        <w:rPr>
          <w:rFonts w:cs="Arial"/>
        </w:rPr>
        <w:t>.</w:t>
      </w:r>
      <w:r w:rsidRPr="006031D6">
        <w:rPr>
          <w:rFonts w:cs="Arial"/>
        </w:rPr>
        <w:t xml:space="preserve">5. ohrožení Hlukem </w:t>
      </w:r>
    </w:p>
    <w:p w14:paraId="0E7DA338"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Doprava ve městech je nezbytnou součástí života, kde jsou nároky na přepravu úměrné velikosti sídla. Pravidlem je, že vnitroměstské přepravní vztahy několikrát převyšují intenzitu tranzitu. Tato skutečnost má samozřejmě vliv na úroveň bydlení v městských centrech, kde doprava svými negativními účinky výrazně narušuje životní prostředí. </w:t>
      </w:r>
    </w:p>
    <w:p w14:paraId="04EB599D"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b/>
          <w:bCs/>
          <w:sz w:val="22"/>
          <w:szCs w:val="22"/>
        </w:rPr>
        <w:t>Jedním z nepříznivých prvků je hluk z dopravy</w:t>
      </w:r>
      <w:r w:rsidRPr="006031D6">
        <w:rPr>
          <w:rFonts w:ascii="Arial" w:hAnsi="Arial" w:cs="Arial"/>
          <w:sz w:val="22"/>
          <w:szCs w:val="22"/>
        </w:rPr>
        <w:t xml:space="preserve">. S rostoucím stupněm automobilizace vzrůstají i jeho ekvivalentní hodnoty, které se stávají z hygienického hlediska nepřijatelnými. </w:t>
      </w:r>
    </w:p>
    <w:p w14:paraId="53D98D56"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Hlukovými vlivy z dopravy jsou postižena území, která těsně přiléhají k exponovaným dopravním trasám. Těmi jsou podle dopravního sčítání silnice a místní komunikace, přesahující intenzitu 30 voz/hod. Všechny jsou v intravilánu těsně obestavěny bytovými objekty, které se pak nacházejí v pásmu s nepřípustnou hlukovou hladinou. Sevřená poloha města nedovoluje vybudování všech obchvatů a přeložek dráhy tak, aby nedošlo k  dotčení jiných zájmů (ochrana přírody, zábor ZPF, PUPFL). </w:t>
      </w:r>
    </w:p>
    <w:p w14:paraId="5C100A03"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b/>
          <w:bCs/>
          <w:sz w:val="22"/>
          <w:szCs w:val="22"/>
        </w:rPr>
        <w:t>Z možných opatření</w:t>
      </w:r>
      <w:r w:rsidRPr="006031D6">
        <w:rPr>
          <w:rFonts w:ascii="Arial" w:hAnsi="Arial" w:cs="Arial"/>
          <w:sz w:val="22"/>
          <w:szCs w:val="22"/>
        </w:rPr>
        <w:t xml:space="preserve">, která připadají v Děčíně v úvahu, je pro postižené objekty aktuální úprava oken situovaných k silnici, snížení rychlosti tranzitní dopravy či její vyloučení, úprava krytu vozovek nebo změna funkce objektů. Protihlukové clony jsou použitelné pouze u novostaveb v extravilánu. Celkové radikální omezení dopravy (s výjimkou pěších a zklidněných zón) není s ohledem na nutnost zajištění kvalitní obsluhy sídla možné. Problém spojený s nepříznivými hlukovými projevy vlivem nárůstu intenzit vnitroměstské a radiální dopravy je charakteristický pro všechna města a v ulicích typu městských tříd dopravního a společenského významu je nutno se zvýšenou ekvivalentní hlukovou hladinou na fasádách objektů počítat a některá z výše uvedených opatření přijmout. </w:t>
      </w:r>
    </w:p>
    <w:p w14:paraId="6E5CF2E6"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Výpočet vzdáleností polohy přípustných izofon byl proveden podle platných předpisů a norem. Bylo použito metodických pokynů pro navrhování sídelních útvarů z hlediska ochrany obyvatelstva před nadměrným hlukem z dopravy, podkladem pro výpočet byly výsledky sčítání automobilové dopravy z roku 1995 resp. podklady studie či expertizy City Planu.</w:t>
      </w:r>
    </w:p>
    <w:p w14:paraId="7EDF4B46"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lastRenderedPageBreak/>
        <w:t xml:space="preserve">Jako jeden z podkladů pořizovatele pro územní plán byla hluková mapa automobilové dopravy, zpracovaná pro město v roce 1996 jako technická expertiza. Je z ní patrné, že hluková zátěž přímo v ulicích dosahuje hodnot 70-75 dB(A) na celém současném průtahu silnice I/13, I/62 (dříve II/253) a II/262 v úseku do Březin. Hodnot 65-70 dB(A) je dosahováno na průtahu sil. II/261 a v ulicích Teplická, Jungmannova, Labské nábřeží, Dělnická, Ruská, část Slovanské, Želenická a Březová. Přípustné normové hodnoty jsou u obou skupin nižší, v těchto ulicích je tedy nutné provést výše zmíněné úpravy a opatření. </w:t>
      </w:r>
    </w:p>
    <w:p w14:paraId="5757C805"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Návrh dopravy v územním plánu zmírňuje u některých nejvíce exponovaných tahů negativní dopady vyvolané hlukem a emisemi.</w:t>
      </w:r>
      <w:r w:rsidRPr="006031D6">
        <w:rPr>
          <w:rFonts w:ascii="Arial" w:hAnsi="Arial" w:cs="Arial"/>
          <w:b/>
          <w:bCs/>
          <w:sz w:val="22"/>
          <w:szCs w:val="22"/>
        </w:rPr>
        <w:t xml:space="preserve"> Zlepšení poměrů umožňují některé zásadní koncepční návrhy, které byly přijaty jako závazné či výhledové záměry na přestavbu dopravního systému města jsou:</w:t>
      </w:r>
    </w:p>
    <w:p w14:paraId="5DA150F0" w14:textId="77777777" w:rsidR="006031D6" w:rsidRPr="006031D6" w:rsidRDefault="006031D6" w:rsidP="006031D6">
      <w:pPr>
        <w:pStyle w:val="Znaka"/>
        <w:numPr>
          <w:ilvl w:val="0"/>
          <w:numId w:val="38"/>
        </w:numPr>
        <w:spacing w:before="120" w:after="0" w:line="288" w:lineRule="auto"/>
        <w:ind w:left="425" w:hanging="357"/>
        <w:jc w:val="both"/>
        <w:rPr>
          <w:rFonts w:cs="Arial"/>
        </w:rPr>
      </w:pPr>
      <w:r w:rsidRPr="006031D6">
        <w:rPr>
          <w:rFonts w:cs="Arial"/>
        </w:rPr>
        <w:t>přeložka silnice I/13 Jílové - Děčín, odlehčí dopravní zátěže a zlepší tak hlukové a emisní poměry v ulicích Teplická, Pivovarská, Podmokelská; přeložka je zařazena ve výhledové etapě a v návrhu je opatřena protihlukovými stěnami;</w:t>
      </w:r>
    </w:p>
    <w:p w14:paraId="10AB0153" w14:textId="77777777" w:rsidR="006031D6" w:rsidRPr="006031D6" w:rsidRDefault="006031D6" w:rsidP="006031D6">
      <w:pPr>
        <w:pStyle w:val="Znaka"/>
        <w:numPr>
          <w:ilvl w:val="0"/>
          <w:numId w:val="38"/>
        </w:numPr>
        <w:spacing w:before="120" w:after="0" w:line="288" w:lineRule="auto"/>
        <w:ind w:left="425" w:hanging="357"/>
        <w:jc w:val="both"/>
        <w:rPr>
          <w:rFonts w:cs="Arial"/>
        </w:rPr>
      </w:pPr>
      <w:r w:rsidRPr="006031D6">
        <w:rPr>
          <w:rFonts w:cs="Arial"/>
        </w:rPr>
        <w:t>přeložka silnice II/261, odlehčí dopravní zátěže a zlepší hlukové a emisní poměry v Křešicích a Boleticích v ulici Vítězství;</w:t>
      </w:r>
    </w:p>
    <w:p w14:paraId="0B5E837B" w14:textId="77777777" w:rsidR="006031D6" w:rsidRPr="006031D6" w:rsidRDefault="006031D6" w:rsidP="006031D6">
      <w:pPr>
        <w:pStyle w:val="Znaka"/>
        <w:numPr>
          <w:ilvl w:val="0"/>
          <w:numId w:val="38"/>
        </w:numPr>
        <w:spacing w:before="120" w:after="0" w:line="288" w:lineRule="auto"/>
        <w:ind w:left="425" w:hanging="357"/>
        <w:jc w:val="both"/>
        <w:rPr>
          <w:rFonts w:cs="Arial"/>
        </w:rPr>
      </w:pPr>
      <w:r w:rsidRPr="006031D6">
        <w:rPr>
          <w:rFonts w:cs="Arial"/>
        </w:rPr>
        <w:t>přeložka silnice I/13 Děčín - Benešov n.Pl., odlehčí dopravní zátěže a zlepší tak hlukové a emisní poměry v ulicích Kamenická a Benešovská;</w:t>
      </w:r>
    </w:p>
    <w:p w14:paraId="43E6AD3F" w14:textId="77777777" w:rsidR="006031D6" w:rsidRPr="006031D6" w:rsidRDefault="006031D6" w:rsidP="006031D6">
      <w:pPr>
        <w:pStyle w:val="Znaka"/>
        <w:numPr>
          <w:ilvl w:val="0"/>
          <w:numId w:val="38"/>
        </w:numPr>
        <w:spacing w:before="120" w:after="0" w:line="288" w:lineRule="auto"/>
        <w:ind w:left="425" w:hanging="357"/>
        <w:jc w:val="both"/>
        <w:rPr>
          <w:rFonts w:cs="Arial"/>
        </w:rPr>
      </w:pPr>
      <w:r w:rsidRPr="006031D6">
        <w:rPr>
          <w:rFonts w:cs="Arial"/>
        </w:rPr>
        <w:t>Folknářská spojka převádí část dopravních intenzit z ulice Kamenická.</w:t>
      </w:r>
    </w:p>
    <w:p w14:paraId="03912022"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V grafické části jsou znázorněny orientační izofony 55 dB(A). Poloha izofon je uvedena i pro hluk od železnice. V prostoru seřaďovacího nádraží nejsou teoretické výhledové ekvivalentní hlukové hladiny určovány.</w:t>
      </w:r>
    </w:p>
    <w:p w14:paraId="718A6E72"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Výsledky výpočtů jsou obsahem tabulkové části dokumentace. </w:t>
      </w:r>
    </w:p>
    <w:p w14:paraId="66BC1129"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Dalším zdrojem hluku jsou některé </w:t>
      </w:r>
      <w:r w:rsidRPr="006031D6">
        <w:rPr>
          <w:rFonts w:ascii="Arial" w:hAnsi="Arial" w:cs="Arial"/>
          <w:b/>
          <w:sz w:val="22"/>
          <w:szCs w:val="22"/>
        </w:rPr>
        <w:t>výrobní podniky</w:t>
      </w:r>
      <w:r w:rsidRPr="006031D6">
        <w:rPr>
          <w:rFonts w:ascii="Arial" w:hAnsi="Arial" w:cs="Arial"/>
          <w:sz w:val="22"/>
          <w:szCs w:val="22"/>
        </w:rPr>
        <w:t xml:space="preserve"> na území Děčína, které musí řešit tuto situaci novým PHO, přičemž nesmí hranice PHO překročit hranici pozemku závodu.</w:t>
      </w:r>
    </w:p>
    <w:p w14:paraId="57EB3493"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U nových lokalit bydlení se nepředpokládá zasažení nepříznivými účinky hluku a vibrací od sousedících komunikací. Ve smyslu nařízení vlády č. 148/2006 Sb., o ochraně zdraví před nepříznivými účinky hluku a vibrací. </w:t>
      </w:r>
    </w:p>
    <w:p w14:paraId="754CCDB5" w14:textId="77777777" w:rsidR="006031D6" w:rsidRPr="006031D6" w:rsidRDefault="006031D6" w:rsidP="006031D6">
      <w:pPr>
        <w:pStyle w:val="Zkladntext"/>
        <w:spacing w:line="240" w:lineRule="atLeast"/>
        <w:rPr>
          <w:rFonts w:ascii="Arial" w:hAnsi="Arial" w:cs="Arial"/>
        </w:rPr>
      </w:pPr>
    </w:p>
    <w:p w14:paraId="1E7C7E95" w14:textId="77777777" w:rsidR="006031D6" w:rsidRPr="006031D6" w:rsidRDefault="006031D6" w:rsidP="006031D6">
      <w:pPr>
        <w:pStyle w:val="podnadpis1"/>
        <w:spacing w:line="240" w:lineRule="atLeast"/>
        <w:jc w:val="both"/>
        <w:rPr>
          <w:rFonts w:cs="Arial"/>
        </w:rPr>
      </w:pPr>
      <w:r w:rsidRPr="006031D6">
        <w:rPr>
          <w:rFonts w:cs="Arial"/>
        </w:rPr>
        <w:t>e</w:t>
      </w:r>
      <w:r>
        <w:rPr>
          <w:rFonts w:cs="Arial"/>
        </w:rPr>
        <w:t>.</w:t>
      </w:r>
      <w:r w:rsidRPr="006031D6">
        <w:rPr>
          <w:rFonts w:cs="Arial"/>
        </w:rPr>
        <w:t>6. Radiační riziko</w:t>
      </w:r>
    </w:p>
    <w:p w14:paraId="2910EE46"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Podle mapy předpokládaného radonového rizika je celé území ve druhém pásmu, tzn. se zvýšeným rizikem úniku radioaktivního radonu z půdního podloží. Poněvadž podrobný průzkum nebyl proveden, musí Stavební úřad vyžadovat na stavebnících ověření přítomnosti půdního radonu na staveništi, ověřeném geologickou sondou. Na základě výsledků naměřených hodnot se určí způsob zakládání stavby a stavební postup při realizaci suterénu domů, aby půdní radon nevnikal do obytného objektu.</w:t>
      </w:r>
    </w:p>
    <w:p w14:paraId="0991CC99" w14:textId="77777777" w:rsidR="006031D6" w:rsidRPr="006031D6" w:rsidRDefault="006031D6" w:rsidP="006031D6">
      <w:pPr>
        <w:pStyle w:val="Zkladntext"/>
        <w:spacing w:line="240" w:lineRule="atLeast"/>
        <w:rPr>
          <w:rFonts w:ascii="Arial" w:hAnsi="Arial" w:cs="Arial"/>
        </w:rPr>
      </w:pPr>
    </w:p>
    <w:p w14:paraId="3962C2E7" w14:textId="77777777" w:rsidR="006031D6" w:rsidRPr="006031D6" w:rsidRDefault="006031D6" w:rsidP="006031D6">
      <w:pPr>
        <w:pStyle w:val="podnadpis1"/>
        <w:keepNext/>
        <w:spacing w:line="240" w:lineRule="atLeast"/>
        <w:jc w:val="both"/>
        <w:rPr>
          <w:rFonts w:cs="Arial"/>
        </w:rPr>
      </w:pPr>
      <w:r w:rsidRPr="006031D6">
        <w:rPr>
          <w:rFonts w:cs="Arial"/>
        </w:rPr>
        <w:lastRenderedPageBreak/>
        <w:t>E.7.  Čistota vody</w:t>
      </w:r>
    </w:p>
    <w:p w14:paraId="1CDBF009" w14:textId="77777777" w:rsidR="006031D6" w:rsidRPr="006031D6" w:rsidRDefault="006031D6" w:rsidP="006031D6">
      <w:pPr>
        <w:pStyle w:val="Zkladntext"/>
        <w:keepNext/>
        <w:spacing w:line="240" w:lineRule="atLeast"/>
        <w:rPr>
          <w:rFonts w:ascii="Arial" w:hAnsi="Arial" w:cs="Arial"/>
        </w:rPr>
      </w:pPr>
    </w:p>
    <w:p w14:paraId="3C945420" w14:textId="77777777" w:rsidR="006031D6" w:rsidRPr="006031D6" w:rsidRDefault="006031D6" w:rsidP="006031D6">
      <w:pPr>
        <w:pStyle w:val="podnadpis2"/>
        <w:keepNext/>
        <w:spacing w:line="240" w:lineRule="atLeast"/>
        <w:jc w:val="both"/>
        <w:rPr>
          <w:rFonts w:cs="Arial"/>
        </w:rPr>
      </w:pPr>
      <w:r w:rsidRPr="006031D6">
        <w:rPr>
          <w:rFonts w:cs="Arial"/>
        </w:rPr>
        <w:t>Labe</w:t>
      </w:r>
    </w:p>
    <w:p w14:paraId="216C14B6"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Dle dokumentace řešící vliv VD Malé Březno na životní prostředí zpracované Severočeským centrem ekologických služeb Ústí n. L. v září 1995:</w:t>
      </w:r>
    </w:p>
    <w:p w14:paraId="4A634FBA"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 xml:space="preserve">Kvalita vody v Labi je doložena výsledky z měření profilu Děčín, který odpovídá mezinárodnímu kontrolnímu profilu (sledovaný MKOL). V tabulce jsou vedeny hodnoty koncentrací vybraných ukazatelů mgfe a třídy čistoty vody v daném ukazateli (stav r. 1992, laboratoře Povodí Labe). </w:t>
      </w:r>
    </w:p>
    <w:p w14:paraId="5EF66298" w14:textId="77777777" w:rsidR="006031D6" w:rsidRPr="006031D6" w:rsidRDefault="006031D6" w:rsidP="006031D6">
      <w:pPr>
        <w:pStyle w:val="Zkladntext"/>
        <w:spacing w:line="240" w:lineRule="atLeast"/>
        <w:rPr>
          <w:rFonts w:ascii="Arial" w:hAnsi="Arial" w:cs="Arial"/>
        </w:rPr>
      </w:pPr>
    </w:p>
    <w:tbl>
      <w:tblPr>
        <w:tblW w:w="0" w:type="auto"/>
        <w:jc w:val="center"/>
        <w:tblLayout w:type="fixed"/>
        <w:tblCellMar>
          <w:left w:w="70" w:type="dxa"/>
          <w:right w:w="70" w:type="dxa"/>
        </w:tblCellMar>
        <w:tblLook w:val="0000" w:firstRow="0" w:lastRow="0" w:firstColumn="0" w:lastColumn="0" w:noHBand="0" w:noVBand="0"/>
      </w:tblPr>
      <w:tblGrid>
        <w:gridCol w:w="1418"/>
        <w:gridCol w:w="573"/>
        <w:gridCol w:w="518"/>
        <w:gridCol w:w="572"/>
        <w:gridCol w:w="532"/>
        <w:gridCol w:w="613"/>
        <w:gridCol w:w="614"/>
        <w:gridCol w:w="600"/>
        <w:gridCol w:w="573"/>
        <w:gridCol w:w="628"/>
        <w:gridCol w:w="627"/>
      </w:tblGrid>
      <w:tr w:rsidR="006031D6" w:rsidRPr="006031D6" w14:paraId="4C161316" w14:textId="77777777" w:rsidTr="002D2D45">
        <w:trPr>
          <w:jc w:val="center"/>
        </w:trPr>
        <w:tc>
          <w:tcPr>
            <w:tcW w:w="1418" w:type="dxa"/>
            <w:tcBorders>
              <w:top w:val="single" w:sz="6" w:space="0" w:color="auto"/>
              <w:left w:val="single" w:sz="6" w:space="0" w:color="auto"/>
              <w:bottom w:val="nil"/>
              <w:right w:val="single" w:sz="6" w:space="0" w:color="auto"/>
            </w:tcBorders>
          </w:tcPr>
          <w:p w14:paraId="2D313AC2" w14:textId="77777777" w:rsidR="006031D6" w:rsidRPr="006031D6" w:rsidRDefault="006031D6" w:rsidP="005179D3">
            <w:pPr>
              <w:pStyle w:val="Texttabulky"/>
              <w:spacing w:after="0" w:line="240" w:lineRule="atLeast"/>
              <w:rPr>
                <w:rFonts w:cs="Arial"/>
              </w:rPr>
            </w:pPr>
            <w:r w:rsidRPr="006031D6">
              <w:rPr>
                <w:rFonts w:cs="Arial"/>
                <w:b/>
                <w:bCs/>
              </w:rPr>
              <w:t>Mezinárodní profil</w:t>
            </w:r>
          </w:p>
        </w:tc>
        <w:tc>
          <w:tcPr>
            <w:tcW w:w="1091" w:type="dxa"/>
            <w:gridSpan w:val="2"/>
            <w:tcBorders>
              <w:top w:val="single" w:sz="6" w:space="0" w:color="auto"/>
              <w:left w:val="single" w:sz="6" w:space="0" w:color="auto"/>
              <w:bottom w:val="single" w:sz="6" w:space="0" w:color="auto"/>
              <w:right w:val="single" w:sz="6" w:space="0" w:color="auto"/>
            </w:tcBorders>
          </w:tcPr>
          <w:p w14:paraId="54A800A3" w14:textId="77777777" w:rsidR="006031D6" w:rsidRPr="006031D6" w:rsidRDefault="006031D6" w:rsidP="005179D3">
            <w:pPr>
              <w:pStyle w:val="Zkladntext"/>
              <w:spacing w:after="0"/>
              <w:rPr>
                <w:rFonts w:ascii="Arial" w:hAnsi="Arial" w:cs="Arial"/>
                <w:sz w:val="16"/>
              </w:rPr>
            </w:pPr>
            <w:r w:rsidRPr="006031D6">
              <w:rPr>
                <w:rFonts w:ascii="Arial" w:hAnsi="Arial" w:cs="Arial"/>
                <w:b/>
                <w:bCs/>
                <w:sz w:val="16"/>
              </w:rPr>
              <w:t>BSK</w:t>
            </w:r>
            <w:r w:rsidRPr="006031D6">
              <w:rPr>
                <w:rFonts w:ascii="Arial" w:hAnsi="Arial" w:cs="Arial"/>
                <w:b/>
                <w:bCs/>
                <w:position w:val="-6"/>
                <w:sz w:val="16"/>
              </w:rPr>
              <w:t>5</w:t>
            </w:r>
          </w:p>
        </w:tc>
        <w:tc>
          <w:tcPr>
            <w:tcW w:w="1104" w:type="dxa"/>
            <w:gridSpan w:val="2"/>
            <w:tcBorders>
              <w:top w:val="single" w:sz="6" w:space="0" w:color="auto"/>
              <w:left w:val="single" w:sz="6" w:space="0" w:color="auto"/>
              <w:bottom w:val="single" w:sz="6" w:space="0" w:color="auto"/>
              <w:right w:val="single" w:sz="6" w:space="0" w:color="auto"/>
            </w:tcBorders>
          </w:tcPr>
          <w:p w14:paraId="4C2D5717" w14:textId="77777777" w:rsidR="006031D6" w:rsidRPr="006031D6" w:rsidRDefault="006031D6" w:rsidP="005179D3">
            <w:pPr>
              <w:pStyle w:val="Zkladntext"/>
              <w:spacing w:after="0"/>
              <w:rPr>
                <w:rFonts w:ascii="Arial" w:hAnsi="Arial" w:cs="Arial"/>
                <w:sz w:val="16"/>
              </w:rPr>
            </w:pPr>
            <w:r w:rsidRPr="006031D6">
              <w:rPr>
                <w:rFonts w:ascii="Arial" w:hAnsi="Arial" w:cs="Arial"/>
                <w:b/>
                <w:bCs/>
                <w:sz w:val="16"/>
              </w:rPr>
              <w:t>CHSK</w:t>
            </w:r>
            <w:r w:rsidRPr="006031D6">
              <w:rPr>
                <w:rFonts w:ascii="Arial" w:hAnsi="Arial" w:cs="Arial"/>
                <w:b/>
                <w:bCs/>
                <w:position w:val="-6"/>
                <w:sz w:val="16"/>
              </w:rPr>
              <w:t>ex</w:t>
            </w:r>
          </w:p>
        </w:tc>
        <w:tc>
          <w:tcPr>
            <w:tcW w:w="1227" w:type="dxa"/>
            <w:gridSpan w:val="2"/>
            <w:tcBorders>
              <w:top w:val="single" w:sz="6" w:space="0" w:color="auto"/>
              <w:left w:val="single" w:sz="6" w:space="0" w:color="auto"/>
              <w:bottom w:val="single" w:sz="6" w:space="0" w:color="auto"/>
              <w:right w:val="single" w:sz="6" w:space="0" w:color="auto"/>
            </w:tcBorders>
          </w:tcPr>
          <w:p w14:paraId="0272DA16" w14:textId="77777777" w:rsidR="006031D6" w:rsidRPr="006031D6" w:rsidRDefault="006031D6" w:rsidP="005179D3">
            <w:pPr>
              <w:pStyle w:val="Zkladntext"/>
              <w:spacing w:after="0"/>
              <w:rPr>
                <w:rFonts w:ascii="Arial" w:hAnsi="Arial" w:cs="Arial"/>
                <w:sz w:val="16"/>
              </w:rPr>
            </w:pPr>
            <w:r w:rsidRPr="006031D6">
              <w:rPr>
                <w:rFonts w:ascii="Arial" w:hAnsi="Arial" w:cs="Arial"/>
                <w:b/>
                <w:bCs/>
                <w:sz w:val="16"/>
              </w:rPr>
              <w:t>A-NH</w:t>
            </w:r>
            <w:r w:rsidRPr="006031D6">
              <w:rPr>
                <w:rFonts w:ascii="Arial" w:hAnsi="Arial" w:cs="Arial"/>
                <w:b/>
                <w:bCs/>
                <w:position w:val="-6"/>
                <w:sz w:val="16"/>
              </w:rPr>
              <w:t>4</w:t>
            </w:r>
          </w:p>
        </w:tc>
        <w:tc>
          <w:tcPr>
            <w:tcW w:w="1173" w:type="dxa"/>
            <w:gridSpan w:val="2"/>
            <w:tcBorders>
              <w:top w:val="single" w:sz="6" w:space="0" w:color="auto"/>
              <w:left w:val="single" w:sz="6" w:space="0" w:color="auto"/>
              <w:bottom w:val="single" w:sz="6" w:space="0" w:color="auto"/>
              <w:right w:val="single" w:sz="6" w:space="0" w:color="auto"/>
            </w:tcBorders>
          </w:tcPr>
          <w:p w14:paraId="0B253179" w14:textId="77777777" w:rsidR="006031D6" w:rsidRPr="006031D6" w:rsidRDefault="006031D6" w:rsidP="005179D3">
            <w:pPr>
              <w:pStyle w:val="Zkladntext"/>
              <w:spacing w:after="0"/>
              <w:rPr>
                <w:rFonts w:ascii="Arial" w:hAnsi="Arial" w:cs="Arial"/>
                <w:sz w:val="16"/>
              </w:rPr>
            </w:pPr>
            <w:r w:rsidRPr="006031D6">
              <w:rPr>
                <w:rFonts w:ascii="Arial" w:hAnsi="Arial" w:cs="Arial"/>
                <w:b/>
                <w:bCs/>
                <w:sz w:val="16"/>
              </w:rPr>
              <w:t>A-NO</w:t>
            </w:r>
            <w:r w:rsidRPr="006031D6">
              <w:rPr>
                <w:rFonts w:ascii="Arial" w:hAnsi="Arial" w:cs="Arial"/>
                <w:b/>
                <w:bCs/>
                <w:position w:val="-6"/>
                <w:sz w:val="16"/>
              </w:rPr>
              <w:t>3</w:t>
            </w:r>
          </w:p>
        </w:tc>
        <w:tc>
          <w:tcPr>
            <w:tcW w:w="1255" w:type="dxa"/>
            <w:gridSpan w:val="2"/>
            <w:tcBorders>
              <w:top w:val="single" w:sz="6" w:space="0" w:color="auto"/>
              <w:left w:val="single" w:sz="6" w:space="0" w:color="auto"/>
              <w:bottom w:val="single" w:sz="6" w:space="0" w:color="auto"/>
              <w:right w:val="single" w:sz="6" w:space="0" w:color="auto"/>
            </w:tcBorders>
          </w:tcPr>
          <w:p w14:paraId="2CE79A45" w14:textId="77777777" w:rsidR="006031D6" w:rsidRPr="006031D6" w:rsidRDefault="006031D6" w:rsidP="005179D3">
            <w:pPr>
              <w:pStyle w:val="Zkladntext"/>
              <w:spacing w:after="0"/>
              <w:rPr>
                <w:rFonts w:ascii="Arial" w:hAnsi="Arial" w:cs="Arial"/>
                <w:sz w:val="16"/>
              </w:rPr>
            </w:pPr>
            <w:r w:rsidRPr="006031D6">
              <w:rPr>
                <w:rFonts w:ascii="Arial" w:hAnsi="Arial" w:cs="Arial"/>
                <w:b/>
                <w:bCs/>
                <w:sz w:val="16"/>
              </w:rPr>
              <w:t>P</w:t>
            </w:r>
            <w:r w:rsidRPr="006031D6">
              <w:rPr>
                <w:rFonts w:ascii="Arial" w:hAnsi="Arial" w:cs="Arial"/>
                <w:b/>
                <w:bCs/>
                <w:position w:val="-6"/>
                <w:sz w:val="16"/>
              </w:rPr>
              <w:t>celk</w:t>
            </w:r>
          </w:p>
        </w:tc>
      </w:tr>
      <w:tr w:rsidR="006031D6" w:rsidRPr="006031D6" w14:paraId="62D5C33D" w14:textId="77777777" w:rsidTr="002D2D45">
        <w:trPr>
          <w:jc w:val="center"/>
        </w:trPr>
        <w:tc>
          <w:tcPr>
            <w:tcW w:w="1418" w:type="dxa"/>
            <w:vMerge w:val="restart"/>
            <w:tcBorders>
              <w:top w:val="single" w:sz="6" w:space="0" w:color="auto"/>
              <w:left w:val="single" w:sz="6" w:space="0" w:color="auto"/>
              <w:right w:val="single" w:sz="6" w:space="0" w:color="auto"/>
            </w:tcBorders>
          </w:tcPr>
          <w:p w14:paraId="05E70F45" w14:textId="77777777" w:rsidR="006031D6" w:rsidRPr="006031D6" w:rsidRDefault="006031D6" w:rsidP="005179D3">
            <w:pPr>
              <w:pStyle w:val="Zkladntext"/>
              <w:spacing w:after="0" w:line="240" w:lineRule="atLeast"/>
              <w:rPr>
                <w:rFonts w:ascii="Arial" w:hAnsi="Arial" w:cs="Arial"/>
              </w:rPr>
            </w:pPr>
          </w:p>
          <w:p w14:paraId="0C4184D0" w14:textId="77777777" w:rsidR="006031D6" w:rsidRPr="006031D6" w:rsidRDefault="006031D6" w:rsidP="005179D3">
            <w:pPr>
              <w:pStyle w:val="Texttabulky"/>
              <w:spacing w:after="0" w:line="240" w:lineRule="atLeast"/>
              <w:rPr>
                <w:rFonts w:cs="Arial"/>
              </w:rPr>
            </w:pPr>
            <w:r w:rsidRPr="006031D6">
              <w:rPr>
                <w:rFonts w:cs="Arial"/>
              </w:rPr>
              <w:t>Děčín</w:t>
            </w:r>
          </w:p>
        </w:tc>
        <w:tc>
          <w:tcPr>
            <w:tcW w:w="573" w:type="dxa"/>
            <w:tcBorders>
              <w:top w:val="nil"/>
              <w:left w:val="nil"/>
              <w:bottom w:val="single" w:sz="6" w:space="0" w:color="auto"/>
              <w:right w:val="single" w:sz="6" w:space="0" w:color="auto"/>
            </w:tcBorders>
          </w:tcPr>
          <w:p w14:paraId="4890E2A0" w14:textId="77777777" w:rsidR="006031D6" w:rsidRPr="006031D6" w:rsidRDefault="006031D6" w:rsidP="005179D3">
            <w:pPr>
              <w:pStyle w:val="Texttabulky"/>
              <w:spacing w:after="0" w:line="240" w:lineRule="atLeast"/>
              <w:rPr>
                <w:rFonts w:cs="Arial"/>
              </w:rPr>
            </w:pPr>
            <w:r w:rsidRPr="006031D6">
              <w:rPr>
                <w:rFonts w:cs="Arial"/>
              </w:rPr>
              <w:t>C90</w:t>
            </w:r>
          </w:p>
        </w:tc>
        <w:tc>
          <w:tcPr>
            <w:tcW w:w="518" w:type="dxa"/>
            <w:tcBorders>
              <w:top w:val="nil"/>
              <w:left w:val="single" w:sz="6" w:space="0" w:color="auto"/>
              <w:bottom w:val="single" w:sz="6" w:space="0" w:color="auto"/>
              <w:right w:val="single" w:sz="6" w:space="0" w:color="auto"/>
            </w:tcBorders>
          </w:tcPr>
          <w:p w14:paraId="7952DD67" w14:textId="77777777" w:rsidR="006031D6" w:rsidRPr="006031D6" w:rsidRDefault="006031D6" w:rsidP="005179D3">
            <w:pPr>
              <w:pStyle w:val="Texttabulky"/>
              <w:spacing w:after="0" w:line="240" w:lineRule="atLeast"/>
              <w:rPr>
                <w:rFonts w:cs="Arial"/>
              </w:rPr>
            </w:pPr>
            <w:r w:rsidRPr="006031D6">
              <w:rPr>
                <w:rFonts w:cs="Arial"/>
              </w:rPr>
              <w:t>třída</w:t>
            </w:r>
          </w:p>
        </w:tc>
        <w:tc>
          <w:tcPr>
            <w:tcW w:w="572" w:type="dxa"/>
            <w:tcBorders>
              <w:top w:val="nil"/>
              <w:left w:val="single" w:sz="6" w:space="0" w:color="auto"/>
              <w:bottom w:val="single" w:sz="6" w:space="0" w:color="auto"/>
              <w:right w:val="single" w:sz="6" w:space="0" w:color="auto"/>
            </w:tcBorders>
          </w:tcPr>
          <w:p w14:paraId="7B04AAFB" w14:textId="77777777" w:rsidR="006031D6" w:rsidRPr="006031D6" w:rsidRDefault="006031D6" w:rsidP="005179D3">
            <w:pPr>
              <w:pStyle w:val="Texttabulky"/>
              <w:spacing w:after="0" w:line="240" w:lineRule="atLeast"/>
              <w:rPr>
                <w:rFonts w:cs="Arial"/>
              </w:rPr>
            </w:pPr>
            <w:r w:rsidRPr="006031D6">
              <w:rPr>
                <w:rFonts w:cs="Arial"/>
              </w:rPr>
              <w:t>C90</w:t>
            </w:r>
          </w:p>
        </w:tc>
        <w:tc>
          <w:tcPr>
            <w:tcW w:w="532" w:type="dxa"/>
            <w:tcBorders>
              <w:top w:val="nil"/>
              <w:left w:val="single" w:sz="6" w:space="0" w:color="auto"/>
              <w:bottom w:val="single" w:sz="6" w:space="0" w:color="auto"/>
              <w:right w:val="single" w:sz="6" w:space="0" w:color="auto"/>
            </w:tcBorders>
          </w:tcPr>
          <w:p w14:paraId="7D20550B" w14:textId="77777777" w:rsidR="006031D6" w:rsidRPr="006031D6" w:rsidRDefault="006031D6" w:rsidP="005179D3">
            <w:pPr>
              <w:pStyle w:val="Texttabulky"/>
              <w:spacing w:after="0" w:line="240" w:lineRule="atLeast"/>
              <w:rPr>
                <w:rFonts w:cs="Arial"/>
              </w:rPr>
            </w:pPr>
            <w:r w:rsidRPr="006031D6">
              <w:rPr>
                <w:rFonts w:cs="Arial"/>
              </w:rPr>
              <w:t>třída</w:t>
            </w:r>
          </w:p>
        </w:tc>
        <w:tc>
          <w:tcPr>
            <w:tcW w:w="613" w:type="dxa"/>
            <w:tcBorders>
              <w:top w:val="nil"/>
              <w:left w:val="single" w:sz="6" w:space="0" w:color="auto"/>
              <w:bottom w:val="single" w:sz="6" w:space="0" w:color="auto"/>
              <w:right w:val="single" w:sz="6" w:space="0" w:color="auto"/>
            </w:tcBorders>
          </w:tcPr>
          <w:p w14:paraId="5C6B7C8F" w14:textId="77777777" w:rsidR="006031D6" w:rsidRPr="006031D6" w:rsidRDefault="006031D6" w:rsidP="005179D3">
            <w:pPr>
              <w:pStyle w:val="Texttabulky"/>
              <w:spacing w:after="0" w:line="240" w:lineRule="atLeast"/>
              <w:rPr>
                <w:rFonts w:cs="Arial"/>
              </w:rPr>
            </w:pPr>
            <w:r w:rsidRPr="006031D6">
              <w:rPr>
                <w:rFonts w:cs="Arial"/>
              </w:rPr>
              <w:t>C90</w:t>
            </w:r>
          </w:p>
        </w:tc>
        <w:tc>
          <w:tcPr>
            <w:tcW w:w="614" w:type="dxa"/>
            <w:tcBorders>
              <w:top w:val="nil"/>
              <w:left w:val="single" w:sz="6" w:space="0" w:color="auto"/>
              <w:bottom w:val="single" w:sz="6" w:space="0" w:color="auto"/>
              <w:right w:val="single" w:sz="6" w:space="0" w:color="auto"/>
            </w:tcBorders>
          </w:tcPr>
          <w:p w14:paraId="229653A4" w14:textId="77777777" w:rsidR="006031D6" w:rsidRPr="006031D6" w:rsidRDefault="006031D6" w:rsidP="005179D3">
            <w:pPr>
              <w:pStyle w:val="Texttabulky"/>
              <w:spacing w:after="0" w:line="240" w:lineRule="atLeast"/>
              <w:rPr>
                <w:rFonts w:cs="Arial"/>
              </w:rPr>
            </w:pPr>
            <w:r w:rsidRPr="006031D6">
              <w:rPr>
                <w:rFonts w:cs="Arial"/>
              </w:rPr>
              <w:t>třída</w:t>
            </w:r>
          </w:p>
        </w:tc>
        <w:tc>
          <w:tcPr>
            <w:tcW w:w="600" w:type="dxa"/>
            <w:tcBorders>
              <w:top w:val="nil"/>
              <w:left w:val="single" w:sz="6" w:space="0" w:color="auto"/>
              <w:bottom w:val="single" w:sz="6" w:space="0" w:color="auto"/>
              <w:right w:val="single" w:sz="6" w:space="0" w:color="auto"/>
            </w:tcBorders>
          </w:tcPr>
          <w:p w14:paraId="7C137E4F" w14:textId="77777777" w:rsidR="006031D6" w:rsidRPr="006031D6" w:rsidRDefault="006031D6" w:rsidP="005179D3">
            <w:pPr>
              <w:pStyle w:val="Texttabulky"/>
              <w:spacing w:after="0" w:line="240" w:lineRule="atLeast"/>
              <w:rPr>
                <w:rFonts w:cs="Arial"/>
              </w:rPr>
            </w:pPr>
            <w:r w:rsidRPr="006031D6">
              <w:rPr>
                <w:rFonts w:cs="Arial"/>
              </w:rPr>
              <w:t>C90</w:t>
            </w:r>
          </w:p>
        </w:tc>
        <w:tc>
          <w:tcPr>
            <w:tcW w:w="573" w:type="dxa"/>
            <w:tcBorders>
              <w:top w:val="nil"/>
              <w:left w:val="single" w:sz="6" w:space="0" w:color="auto"/>
              <w:bottom w:val="single" w:sz="6" w:space="0" w:color="auto"/>
              <w:right w:val="single" w:sz="6" w:space="0" w:color="auto"/>
            </w:tcBorders>
          </w:tcPr>
          <w:p w14:paraId="12E1A4B2" w14:textId="77777777" w:rsidR="006031D6" w:rsidRPr="006031D6" w:rsidRDefault="006031D6" w:rsidP="005179D3">
            <w:pPr>
              <w:pStyle w:val="Texttabulky"/>
              <w:spacing w:after="0" w:line="240" w:lineRule="atLeast"/>
              <w:rPr>
                <w:rFonts w:cs="Arial"/>
              </w:rPr>
            </w:pPr>
            <w:r w:rsidRPr="006031D6">
              <w:rPr>
                <w:rFonts w:cs="Arial"/>
              </w:rPr>
              <w:t>třída</w:t>
            </w:r>
          </w:p>
        </w:tc>
        <w:tc>
          <w:tcPr>
            <w:tcW w:w="628" w:type="dxa"/>
            <w:tcBorders>
              <w:top w:val="nil"/>
              <w:left w:val="single" w:sz="6" w:space="0" w:color="auto"/>
              <w:bottom w:val="single" w:sz="6" w:space="0" w:color="auto"/>
              <w:right w:val="single" w:sz="6" w:space="0" w:color="auto"/>
            </w:tcBorders>
          </w:tcPr>
          <w:p w14:paraId="75780E36" w14:textId="77777777" w:rsidR="006031D6" w:rsidRPr="006031D6" w:rsidRDefault="006031D6" w:rsidP="005179D3">
            <w:pPr>
              <w:pStyle w:val="Texttabulky"/>
              <w:spacing w:after="0" w:line="240" w:lineRule="atLeast"/>
              <w:rPr>
                <w:rFonts w:cs="Arial"/>
              </w:rPr>
            </w:pPr>
            <w:r w:rsidRPr="006031D6">
              <w:rPr>
                <w:rFonts w:cs="Arial"/>
              </w:rPr>
              <w:t>C90</w:t>
            </w:r>
          </w:p>
        </w:tc>
        <w:tc>
          <w:tcPr>
            <w:tcW w:w="627" w:type="dxa"/>
            <w:tcBorders>
              <w:top w:val="nil"/>
              <w:left w:val="single" w:sz="6" w:space="0" w:color="auto"/>
              <w:bottom w:val="single" w:sz="6" w:space="0" w:color="auto"/>
              <w:right w:val="single" w:sz="6" w:space="0" w:color="auto"/>
            </w:tcBorders>
          </w:tcPr>
          <w:p w14:paraId="19C62DBF" w14:textId="77777777" w:rsidR="006031D6" w:rsidRPr="006031D6" w:rsidRDefault="006031D6" w:rsidP="005179D3">
            <w:pPr>
              <w:pStyle w:val="Texttabulky"/>
              <w:spacing w:after="0" w:line="240" w:lineRule="atLeast"/>
              <w:rPr>
                <w:rFonts w:cs="Arial"/>
              </w:rPr>
            </w:pPr>
            <w:r w:rsidRPr="006031D6">
              <w:rPr>
                <w:rFonts w:cs="Arial"/>
              </w:rPr>
              <w:t>třída</w:t>
            </w:r>
          </w:p>
        </w:tc>
      </w:tr>
      <w:tr w:rsidR="006031D6" w:rsidRPr="006031D6" w14:paraId="7FA10EE2" w14:textId="77777777" w:rsidTr="002D2D45">
        <w:trPr>
          <w:jc w:val="center"/>
        </w:trPr>
        <w:tc>
          <w:tcPr>
            <w:tcW w:w="1418" w:type="dxa"/>
            <w:vMerge/>
            <w:tcBorders>
              <w:left w:val="single" w:sz="6" w:space="0" w:color="auto"/>
              <w:bottom w:val="single" w:sz="6" w:space="0" w:color="auto"/>
              <w:right w:val="single" w:sz="6" w:space="0" w:color="auto"/>
            </w:tcBorders>
          </w:tcPr>
          <w:p w14:paraId="3DAFE69C" w14:textId="77777777" w:rsidR="006031D6" w:rsidRPr="006031D6" w:rsidRDefault="006031D6" w:rsidP="005179D3">
            <w:pPr>
              <w:pStyle w:val="Zkladntext"/>
              <w:spacing w:after="0"/>
              <w:rPr>
                <w:rFonts w:ascii="Arial" w:hAnsi="Arial" w:cs="Arial"/>
              </w:rPr>
            </w:pPr>
          </w:p>
        </w:tc>
        <w:tc>
          <w:tcPr>
            <w:tcW w:w="573" w:type="dxa"/>
            <w:tcBorders>
              <w:top w:val="single" w:sz="6" w:space="0" w:color="auto"/>
              <w:left w:val="nil"/>
              <w:bottom w:val="single" w:sz="6" w:space="0" w:color="auto"/>
              <w:right w:val="single" w:sz="6" w:space="0" w:color="auto"/>
            </w:tcBorders>
          </w:tcPr>
          <w:p w14:paraId="202EB448" w14:textId="77777777" w:rsidR="006031D6" w:rsidRPr="006031D6" w:rsidRDefault="006031D6" w:rsidP="005179D3">
            <w:pPr>
              <w:pStyle w:val="Texttabulky"/>
              <w:spacing w:after="0" w:line="240" w:lineRule="atLeast"/>
              <w:rPr>
                <w:rFonts w:cs="Arial"/>
              </w:rPr>
            </w:pPr>
            <w:r w:rsidRPr="006031D6">
              <w:rPr>
                <w:rFonts w:cs="Arial"/>
              </w:rPr>
              <w:t>7,8</w:t>
            </w:r>
          </w:p>
        </w:tc>
        <w:tc>
          <w:tcPr>
            <w:tcW w:w="518" w:type="dxa"/>
            <w:tcBorders>
              <w:top w:val="single" w:sz="6" w:space="0" w:color="auto"/>
              <w:left w:val="single" w:sz="6" w:space="0" w:color="auto"/>
              <w:bottom w:val="single" w:sz="6" w:space="0" w:color="auto"/>
              <w:right w:val="single" w:sz="6" w:space="0" w:color="auto"/>
            </w:tcBorders>
          </w:tcPr>
          <w:p w14:paraId="3AC6FE2E" w14:textId="77777777" w:rsidR="006031D6" w:rsidRPr="006031D6" w:rsidRDefault="006031D6" w:rsidP="005179D3">
            <w:pPr>
              <w:pStyle w:val="Texttabulky"/>
              <w:spacing w:after="0" w:line="240" w:lineRule="atLeast"/>
              <w:rPr>
                <w:rFonts w:cs="Arial"/>
              </w:rPr>
            </w:pPr>
            <w:r w:rsidRPr="006031D6">
              <w:rPr>
                <w:rFonts w:cs="Arial"/>
              </w:rPr>
              <w:t>III</w:t>
            </w:r>
          </w:p>
        </w:tc>
        <w:tc>
          <w:tcPr>
            <w:tcW w:w="572" w:type="dxa"/>
            <w:tcBorders>
              <w:top w:val="single" w:sz="6" w:space="0" w:color="auto"/>
              <w:left w:val="single" w:sz="6" w:space="0" w:color="auto"/>
              <w:bottom w:val="single" w:sz="6" w:space="0" w:color="auto"/>
              <w:right w:val="single" w:sz="6" w:space="0" w:color="auto"/>
            </w:tcBorders>
          </w:tcPr>
          <w:p w14:paraId="7F12043F" w14:textId="77777777" w:rsidR="006031D6" w:rsidRPr="006031D6" w:rsidRDefault="006031D6" w:rsidP="005179D3">
            <w:pPr>
              <w:pStyle w:val="Texttabulky"/>
              <w:spacing w:after="0" w:line="240" w:lineRule="atLeast"/>
              <w:rPr>
                <w:rFonts w:cs="Arial"/>
              </w:rPr>
            </w:pPr>
            <w:r w:rsidRPr="006031D6">
              <w:rPr>
                <w:rFonts w:cs="Arial"/>
              </w:rPr>
              <w:t>43,5</w:t>
            </w:r>
          </w:p>
        </w:tc>
        <w:tc>
          <w:tcPr>
            <w:tcW w:w="532" w:type="dxa"/>
            <w:tcBorders>
              <w:top w:val="single" w:sz="6" w:space="0" w:color="auto"/>
              <w:left w:val="single" w:sz="6" w:space="0" w:color="auto"/>
              <w:bottom w:val="single" w:sz="6" w:space="0" w:color="auto"/>
              <w:right w:val="single" w:sz="6" w:space="0" w:color="auto"/>
            </w:tcBorders>
          </w:tcPr>
          <w:p w14:paraId="7139E769" w14:textId="77777777" w:rsidR="006031D6" w:rsidRPr="006031D6" w:rsidRDefault="006031D6" w:rsidP="005179D3">
            <w:pPr>
              <w:pStyle w:val="Texttabulky"/>
              <w:spacing w:after="0" w:line="240" w:lineRule="atLeast"/>
              <w:rPr>
                <w:rFonts w:cs="Arial"/>
              </w:rPr>
            </w:pPr>
            <w:r w:rsidRPr="006031D6">
              <w:rPr>
                <w:rFonts w:cs="Arial"/>
              </w:rPr>
              <w:t>IV</w:t>
            </w:r>
          </w:p>
        </w:tc>
        <w:tc>
          <w:tcPr>
            <w:tcW w:w="613" w:type="dxa"/>
            <w:tcBorders>
              <w:top w:val="single" w:sz="6" w:space="0" w:color="auto"/>
              <w:left w:val="single" w:sz="6" w:space="0" w:color="auto"/>
              <w:bottom w:val="single" w:sz="6" w:space="0" w:color="auto"/>
              <w:right w:val="single" w:sz="6" w:space="0" w:color="auto"/>
            </w:tcBorders>
          </w:tcPr>
          <w:p w14:paraId="556F912B" w14:textId="77777777" w:rsidR="006031D6" w:rsidRPr="006031D6" w:rsidRDefault="006031D6" w:rsidP="005179D3">
            <w:pPr>
              <w:pStyle w:val="Texttabulky"/>
              <w:spacing w:after="0" w:line="240" w:lineRule="atLeast"/>
              <w:rPr>
                <w:rFonts w:cs="Arial"/>
              </w:rPr>
            </w:pPr>
            <w:r w:rsidRPr="006031D6">
              <w:rPr>
                <w:rFonts w:cs="Arial"/>
              </w:rPr>
              <w:t>1,9</w:t>
            </w:r>
          </w:p>
        </w:tc>
        <w:tc>
          <w:tcPr>
            <w:tcW w:w="614" w:type="dxa"/>
            <w:tcBorders>
              <w:top w:val="single" w:sz="6" w:space="0" w:color="auto"/>
              <w:left w:val="single" w:sz="6" w:space="0" w:color="auto"/>
              <w:bottom w:val="single" w:sz="6" w:space="0" w:color="auto"/>
              <w:right w:val="single" w:sz="6" w:space="0" w:color="auto"/>
            </w:tcBorders>
          </w:tcPr>
          <w:p w14:paraId="3420F95C" w14:textId="77777777" w:rsidR="006031D6" w:rsidRPr="006031D6" w:rsidRDefault="006031D6" w:rsidP="005179D3">
            <w:pPr>
              <w:pStyle w:val="Texttabulky"/>
              <w:spacing w:after="0" w:line="240" w:lineRule="atLeast"/>
              <w:rPr>
                <w:rFonts w:cs="Arial"/>
              </w:rPr>
            </w:pPr>
            <w:r w:rsidRPr="006031D6">
              <w:rPr>
                <w:rFonts w:cs="Arial"/>
              </w:rPr>
              <w:t>IV</w:t>
            </w:r>
          </w:p>
        </w:tc>
        <w:tc>
          <w:tcPr>
            <w:tcW w:w="600" w:type="dxa"/>
            <w:tcBorders>
              <w:top w:val="single" w:sz="6" w:space="0" w:color="auto"/>
              <w:left w:val="single" w:sz="6" w:space="0" w:color="auto"/>
              <w:bottom w:val="single" w:sz="6" w:space="0" w:color="auto"/>
              <w:right w:val="single" w:sz="6" w:space="0" w:color="auto"/>
            </w:tcBorders>
          </w:tcPr>
          <w:p w14:paraId="700B16FC" w14:textId="77777777" w:rsidR="006031D6" w:rsidRPr="006031D6" w:rsidRDefault="006031D6" w:rsidP="005179D3">
            <w:pPr>
              <w:pStyle w:val="Texttabulky"/>
              <w:spacing w:after="0" w:line="240" w:lineRule="atLeast"/>
              <w:rPr>
                <w:rFonts w:cs="Arial"/>
              </w:rPr>
            </w:pPr>
            <w:r w:rsidRPr="006031D6">
              <w:rPr>
                <w:rFonts w:cs="Arial"/>
              </w:rPr>
              <w:t>7,6</w:t>
            </w:r>
          </w:p>
        </w:tc>
        <w:tc>
          <w:tcPr>
            <w:tcW w:w="573" w:type="dxa"/>
            <w:tcBorders>
              <w:top w:val="single" w:sz="6" w:space="0" w:color="auto"/>
              <w:left w:val="single" w:sz="6" w:space="0" w:color="auto"/>
              <w:bottom w:val="single" w:sz="6" w:space="0" w:color="auto"/>
              <w:right w:val="single" w:sz="6" w:space="0" w:color="auto"/>
            </w:tcBorders>
          </w:tcPr>
          <w:p w14:paraId="747DB635" w14:textId="77777777" w:rsidR="006031D6" w:rsidRPr="006031D6" w:rsidRDefault="006031D6" w:rsidP="005179D3">
            <w:pPr>
              <w:pStyle w:val="Texttabulky"/>
              <w:spacing w:after="0" w:line="240" w:lineRule="atLeast"/>
              <w:rPr>
                <w:rFonts w:cs="Arial"/>
              </w:rPr>
            </w:pPr>
            <w:r w:rsidRPr="006031D6">
              <w:rPr>
                <w:rFonts w:cs="Arial"/>
              </w:rPr>
              <w:t>IV</w:t>
            </w:r>
          </w:p>
        </w:tc>
        <w:tc>
          <w:tcPr>
            <w:tcW w:w="628" w:type="dxa"/>
            <w:tcBorders>
              <w:top w:val="single" w:sz="6" w:space="0" w:color="auto"/>
              <w:left w:val="single" w:sz="6" w:space="0" w:color="auto"/>
              <w:bottom w:val="single" w:sz="6" w:space="0" w:color="auto"/>
              <w:right w:val="single" w:sz="6" w:space="0" w:color="auto"/>
            </w:tcBorders>
          </w:tcPr>
          <w:p w14:paraId="15C4086A" w14:textId="77777777" w:rsidR="006031D6" w:rsidRPr="006031D6" w:rsidRDefault="006031D6" w:rsidP="005179D3">
            <w:pPr>
              <w:pStyle w:val="Texttabulky"/>
              <w:spacing w:after="0" w:line="240" w:lineRule="atLeast"/>
              <w:rPr>
                <w:rFonts w:cs="Arial"/>
              </w:rPr>
            </w:pPr>
            <w:r w:rsidRPr="006031D6">
              <w:rPr>
                <w:rFonts w:cs="Arial"/>
              </w:rPr>
              <w:t>0,3</w:t>
            </w:r>
          </w:p>
        </w:tc>
        <w:tc>
          <w:tcPr>
            <w:tcW w:w="627" w:type="dxa"/>
            <w:tcBorders>
              <w:top w:val="single" w:sz="6" w:space="0" w:color="auto"/>
              <w:left w:val="single" w:sz="6" w:space="0" w:color="auto"/>
              <w:bottom w:val="single" w:sz="6" w:space="0" w:color="auto"/>
              <w:right w:val="single" w:sz="6" w:space="0" w:color="auto"/>
            </w:tcBorders>
          </w:tcPr>
          <w:p w14:paraId="1C839969" w14:textId="77777777" w:rsidR="006031D6" w:rsidRPr="006031D6" w:rsidRDefault="006031D6" w:rsidP="005179D3">
            <w:pPr>
              <w:pStyle w:val="Texttabulky"/>
              <w:spacing w:after="0" w:line="240" w:lineRule="atLeast"/>
              <w:rPr>
                <w:rFonts w:cs="Arial"/>
              </w:rPr>
            </w:pPr>
            <w:r w:rsidRPr="006031D6">
              <w:rPr>
                <w:rFonts w:cs="Arial"/>
              </w:rPr>
              <w:t>III</w:t>
            </w:r>
          </w:p>
        </w:tc>
      </w:tr>
    </w:tbl>
    <w:p w14:paraId="60C4E7B7" w14:textId="77777777" w:rsidR="006031D6" w:rsidRPr="006031D6" w:rsidRDefault="006031D6" w:rsidP="006031D6">
      <w:pPr>
        <w:rPr>
          <w:rFonts w:ascii="Arial" w:hAnsi="Arial" w:cs="Arial"/>
          <w:vanish/>
        </w:rPr>
      </w:pPr>
    </w:p>
    <w:tbl>
      <w:tblPr>
        <w:tblpPr w:leftFromText="141" w:rightFromText="141" w:vertAnchor="page" w:horzAnchor="margin" w:tblpY="12831"/>
        <w:tblW w:w="9395" w:type="dxa"/>
        <w:tblLayout w:type="fixed"/>
        <w:tblCellMar>
          <w:left w:w="70" w:type="dxa"/>
          <w:right w:w="70" w:type="dxa"/>
        </w:tblCellMar>
        <w:tblLook w:val="0000" w:firstRow="0" w:lastRow="0" w:firstColumn="0" w:lastColumn="0" w:noHBand="0" w:noVBand="0"/>
      </w:tblPr>
      <w:tblGrid>
        <w:gridCol w:w="1264"/>
        <w:gridCol w:w="624"/>
        <w:gridCol w:w="589"/>
        <w:gridCol w:w="659"/>
        <w:gridCol w:w="763"/>
        <w:gridCol w:w="677"/>
        <w:gridCol w:w="763"/>
        <w:gridCol w:w="641"/>
        <w:gridCol w:w="677"/>
        <w:gridCol w:w="710"/>
        <w:gridCol w:w="659"/>
        <w:gridCol w:w="572"/>
        <w:gridCol w:w="797"/>
      </w:tblGrid>
      <w:tr w:rsidR="006031D6" w:rsidRPr="006031D6" w14:paraId="380D9E2E" w14:textId="77777777" w:rsidTr="006031D6">
        <w:trPr>
          <w:trHeight w:val="608"/>
        </w:trPr>
        <w:tc>
          <w:tcPr>
            <w:tcW w:w="1264" w:type="dxa"/>
            <w:tcBorders>
              <w:top w:val="single" w:sz="6" w:space="0" w:color="auto"/>
              <w:left w:val="single" w:sz="6" w:space="0" w:color="auto"/>
              <w:bottom w:val="nil"/>
              <w:right w:val="single" w:sz="6" w:space="0" w:color="auto"/>
            </w:tcBorders>
          </w:tcPr>
          <w:p w14:paraId="7CFA3BCE" w14:textId="77777777" w:rsidR="006031D6" w:rsidRPr="006031D6" w:rsidRDefault="006031D6" w:rsidP="005179D3">
            <w:pPr>
              <w:pStyle w:val="Texttabulky"/>
              <w:spacing w:after="0" w:line="240" w:lineRule="atLeast"/>
              <w:rPr>
                <w:rFonts w:cs="Arial"/>
              </w:rPr>
            </w:pPr>
            <w:r w:rsidRPr="006031D6">
              <w:rPr>
                <w:rFonts w:cs="Arial"/>
                <w:b/>
                <w:bCs/>
                <w:sz w:val="18"/>
                <w:szCs w:val="18"/>
              </w:rPr>
              <w:t>Profil</w:t>
            </w:r>
          </w:p>
        </w:tc>
        <w:tc>
          <w:tcPr>
            <w:tcW w:w="1213" w:type="dxa"/>
            <w:gridSpan w:val="2"/>
            <w:tcBorders>
              <w:top w:val="single" w:sz="6" w:space="0" w:color="auto"/>
              <w:left w:val="single" w:sz="6" w:space="0" w:color="auto"/>
              <w:bottom w:val="single" w:sz="6" w:space="0" w:color="auto"/>
              <w:right w:val="single" w:sz="6" w:space="0" w:color="auto"/>
            </w:tcBorders>
          </w:tcPr>
          <w:p w14:paraId="26D5565B" w14:textId="77777777" w:rsidR="006031D6" w:rsidRPr="006031D6" w:rsidRDefault="006031D6" w:rsidP="005179D3">
            <w:pPr>
              <w:pStyle w:val="Zkladntext"/>
              <w:spacing w:after="0"/>
              <w:rPr>
                <w:rFonts w:ascii="Arial" w:hAnsi="Arial" w:cs="Arial"/>
              </w:rPr>
            </w:pPr>
            <w:r w:rsidRPr="006031D6">
              <w:rPr>
                <w:rFonts w:ascii="Arial" w:hAnsi="Arial" w:cs="Arial"/>
                <w:b/>
                <w:bCs/>
                <w:sz w:val="18"/>
                <w:szCs w:val="18"/>
              </w:rPr>
              <w:t>chlorbenzen</w:t>
            </w:r>
          </w:p>
        </w:tc>
        <w:tc>
          <w:tcPr>
            <w:tcW w:w="1422" w:type="dxa"/>
            <w:gridSpan w:val="2"/>
            <w:tcBorders>
              <w:top w:val="single" w:sz="6" w:space="0" w:color="auto"/>
              <w:left w:val="single" w:sz="6" w:space="0" w:color="auto"/>
              <w:bottom w:val="single" w:sz="6" w:space="0" w:color="auto"/>
              <w:right w:val="single" w:sz="6" w:space="0" w:color="auto"/>
            </w:tcBorders>
          </w:tcPr>
          <w:p w14:paraId="615EB919" w14:textId="77777777" w:rsidR="006031D6" w:rsidRPr="006031D6" w:rsidRDefault="006031D6" w:rsidP="005179D3">
            <w:pPr>
              <w:pStyle w:val="Zkladntext"/>
              <w:spacing w:after="0"/>
              <w:rPr>
                <w:rFonts w:ascii="Arial" w:hAnsi="Arial" w:cs="Arial"/>
              </w:rPr>
            </w:pPr>
            <w:r w:rsidRPr="006031D6">
              <w:rPr>
                <w:rFonts w:ascii="Arial" w:hAnsi="Arial" w:cs="Arial"/>
                <w:b/>
                <w:bCs/>
                <w:sz w:val="18"/>
                <w:szCs w:val="18"/>
              </w:rPr>
              <w:t>dichlorbenzen</w:t>
            </w:r>
          </w:p>
        </w:tc>
        <w:tc>
          <w:tcPr>
            <w:tcW w:w="1440" w:type="dxa"/>
            <w:gridSpan w:val="2"/>
            <w:tcBorders>
              <w:top w:val="single" w:sz="6" w:space="0" w:color="auto"/>
              <w:left w:val="single" w:sz="6" w:space="0" w:color="auto"/>
              <w:bottom w:val="single" w:sz="6" w:space="0" w:color="auto"/>
              <w:right w:val="single" w:sz="6" w:space="0" w:color="auto"/>
            </w:tcBorders>
          </w:tcPr>
          <w:p w14:paraId="09EFDE55" w14:textId="77777777" w:rsidR="006031D6" w:rsidRPr="006031D6" w:rsidRDefault="006031D6" w:rsidP="005179D3">
            <w:pPr>
              <w:pStyle w:val="Zkladntext"/>
              <w:spacing w:after="0"/>
              <w:rPr>
                <w:rFonts w:ascii="Arial" w:hAnsi="Arial" w:cs="Arial"/>
              </w:rPr>
            </w:pPr>
            <w:r w:rsidRPr="006031D6">
              <w:rPr>
                <w:rFonts w:ascii="Arial" w:hAnsi="Arial" w:cs="Arial"/>
                <w:b/>
                <w:bCs/>
                <w:sz w:val="18"/>
                <w:szCs w:val="18"/>
              </w:rPr>
              <w:t>trichlorbenzen</w:t>
            </w:r>
          </w:p>
        </w:tc>
        <w:tc>
          <w:tcPr>
            <w:tcW w:w="1318" w:type="dxa"/>
            <w:gridSpan w:val="2"/>
            <w:tcBorders>
              <w:top w:val="single" w:sz="6" w:space="0" w:color="auto"/>
              <w:left w:val="single" w:sz="6" w:space="0" w:color="auto"/>
              <w:bottom w:val="single" w:sz="6" w:space="0" w:color="auto"/>
              <w:right w:val="single" w:sz="6" w:space="0" w:color="auto"/>
            </w:tcBorders>
          </w:tcPr>
          <w:p w14:paraId="52312C15" w14:textId="77777777" w:rsidR="006031D6" w:rsidRPr="006031D6" w:rsidRDefault="006031D6" w:rsidP="005179D3">
            <w:pPr>
              <w:pStyle w:val="Zkladntext"/>
              <w:spacing w:after="0"/>
              <w:rPr>
                <w:rFonts w:ascii="Arial" w:hAnsi="Arial" w:cs="Arial"/>
              </w:rPr>
            </w:pPr>
            <w:r w:rsidRPr="006031D6">
              <w:rPr>
                <w:rFonts w:ascii="Arial" w:hAnsi="Arial" w:cs="Arial"/>
                <w:b/>
                <w:bCs/>
                <w:sz w:val="18"/>
                <w:szCs w:val="18"/>
              </w:rPr>
              <w:t>trichloretylen</w:t>
            </w:r>
          </w:p>
        </w:tc>
        <w:tc>
          <w:tcPr>
            <w:tcW w:w="1369" w:type="dxa"/>
            <w:gridSpan w:val="2"/>
            <w:tcBorders>
              <w:top w:val="single" w:sz="6" w:space="0" w:color="auto"/>
              <w:left w:val="single" w:sz="6" w:space="0" w:color="auto"/>
              <w:bottom w:val="single" w:sz="6" w:space="0" w:color="auto"/>
              <w:right w:val="single" w:sz="6" w:space="0" w:color="auto"/>
            </w:tcBorders>
          </w:tcPr>
          <w:p w14:paraId="43750D3A" w14:textId="77777777" w:rsidR="006031D6" w:rsidRPr="006031D6" w:rsidRDefault="006031D6" w:rsidP="005179D3">
            <w:pPr>
              <w:pStyle w:val="Zkladntext"/>
              <w:spacing w:after="0"/>
              <w:rPr>
                <w:rFonts w:ascii="Arial" w:hAnsi="Arial" w:cs="Arial"/>
              </w:rPr>
            </w:pPr>
            <w:r w:rsidRPr="006031D6">
              <w:rPr>
                <w:rFonts w:ascii="Arial" w:hAnsi="Arial" w:cs="Arial"/>
                <w:b/>
                <w:bCs/>
                <w:sz w:val="18"/>
                <w:szCs w:val="18"/>
              </w:rPr>
              <w:t>1,2 trichloretan</w:t>
            </w:r>
          </w:p>
        </w:tc>
        <w:tc>
          <w:tcPr>
            <w:tcW w:w="1369" w:type="dxa"/>
            <w:gridSpan w:val="2"/>
            <w:tcBorders>
              <w:top w:val="single" w:sz="6" w:space="0" w:color="auto"/>
              <w:left w:val="single" w:sz="6" w:space="0" w:color="auto"/>
              <w:bottom w:val="single" w:sz="6" w:space="0" w:color="auto"/>
              <w:right w:val="single" w:sz="6" w:space="0" w:color="auto"/>
            </w:tcBorders>
          </w:tcPr>
          <w:p w14:paraId="7C893D9D" w14:textId="77777777" w:rsidR="006031D6" w:rsidRPr="006031D6" w:rsidRDefault="006031D6" w:rsidP="005179D3">
            <w:pPr>
              <w:pStyle w:val="Zkladntext"/>
              <w:spacing w:after="0"/>
              <w:rPr>
                <w:rFonts w:ascii="Arial" w:hAnsi="Arial" w:cs="Arial"/>
              </w:rPr>
            </w:pPr>
            <w:r w:rsidRPr="006031D6">
              <w:rPr>
                <w:rFonts w:ascii="Arial" w:hAnsi="Arial" w:cs="Arial"/>
                <w:b/>
                <w:bCs/>
                <w:sz w:val="18"/>
                <w:szCs w:val="18"/>
              </w:rPr>
              <w:t>PCB</w:t>
            </w:r>
          </w:p>
        </w:tc>
      </w:tr>
      <w:tr w:rsidR="006031D6" w:rsidRPr="006031D6" w14:paraId="2C639D89" w14:textId="77777777" w:rsidTr="006031D6">
        <w:trPr>
          <w:trHeight w:val="307"/>
        </w:trPr>
        <w:tc>
          <w:tcPr>
            <w:tcW w:w="1264" w:type="dxa"/>
            <w:tcBorders>
              <w:top w:val="single" w:sz="6" w:space="0" w:color="auto"/>
              <w:left w:val="single" w:sz="6" w:space="0" w:color="auto"/>
              <w:bottom w:val="single" w:sz="6" w:space="0" w:color="auto"/>
              <w:right w:val="single" w:sz="6" w:space="0" w:color="auto"/>
            </w:tcBorders>
          </w:tcPr>
          <w:p w14:paraId="7D7A2525" w14:textId="77777777" w:rsidR="006031D6" w:rsidRPr="006031D6" w:rsidRDefault="006031D6" w:rsidP="005179D3">
            <w:pPr>
              <w:pStyle w:val="Texttabulky"/>
              <w:spacing w:after="0" w:line="240" w:lineRule="atLeast"/>
              <w:rPr>
                <w:rFonts w:cs="Arial"/>
              </w:rPr>
            </w:pPr>
            <w:r w:rsidRPr="006031D6">
              <w:rPr>
                <w:rFonts w:cs="Arial"/>
                <w:sz w:val="18"/>
                <w:szCs w:val="18"/>
              </w:rPr>
              <w:t>Labe Vaňov</w:t>
            </w:r>
          </w:p>
        </w:tc>
        <w:tc>
          <w:tcPr>
            <w:tcW w:w="624" w:type="dxa"/>
            <w:tcBorders>
              <w:top w:val="nil"/>
              <w:left w:val="nil"/>
              <w:bottom w:val="single" w:sz="6" w:space="0" w:color="auto"/>
              <w:right w:val="single" w:sz="6" w:space="0" w:color="auto"/>
            </w:tcBorders>
          </w:tcPr>
          <w:p w14:paraId="51F005DC" w14:textId="77777777" w:rsidR="006031D6" w:rsidRPr="006031D6" w:rsidRDefault="006031D6" w:rsidP="005179D3">
            <w:pPr>
              <w:pStyle w:val="Texttabulky"/>
              <w:spacing w:after="0" w:line="240" w:lineRule="atLeast"/>
              <w:rPr>
                <w:rFonts w:cs="Arial"/>
              </w:rPr>
            </w:pPr>
            <w:r w:rsidRPr="006031D6">
              <w:rPr>
                <w:rFonts w:cs="Arial"/>
                <w:sz w:val="18"/>
                <w:szCs w:val="18"/>
              </w:rPr>
              <w:t>0,1</w:t>
            </w:r>
          </w:p>
        </w:tc>
        <w:tc>
          <w:tcPr>
            <w:tcW w:w="589" w:type="dxa"/>
            <w:tcBorders>
              <w:top w:val="nil"/>
              <w:left w:val="single" w:sz="6" w:space="0" w:color="auto"/>
              <w:bottom w:val="single" w:sz="6" w:space="0" w:color="auto"/>
              <w:right w:val="single" w:sz="6" w:space="0" w:color="auto"/>
            </w:tcBorders>
          </w:tcPr>
          <w:p w14:paraId="001DA7DC" w14:textId="77777777" w:rsidR="006031D6" w:rsidRPr="006031D6" w:rsidRDefault="006031D6" w:rsidP="005179D3">
            <w:pPr>
              <w:pStyle w:val="Texttabulky"/>
              <w:spacing w:after="0" w:line="240" w:lineRule="atLeast"/>
              <w:rPr>
                <w:rFonts w:cs="Arial"/>
              </w:rPr>
            </w:pPr>
            <w:r w:rsidRPr="006031D6">
              <w:rPr>
                <w:rFonts w:cs="Arial"/>
                <w:sz w:val="18"/>
                <w:szCs w:val="18"/>
              </w:rPr>
              <w:t>&lt;0,1</w:t>
            </w:r>
          </w:p>
        </w:tc>
        <w:tc>
          <w:tcPr>
            <w:tcW w:w="659" w:type="dxa"/>
            <w:tcBorders>
              <w:top w:val="nil"/>
              <w:left w:val="single" w:sz="6" w:space="0" w:color="auto"/>
              <w:bottom w:val="single" w:sz="6" w:space="0" w:color="auto"/>
              <w:right w:val="single" w:sz="6" w:space="0" w:color="auto"/>
            </w:tcBorders>
          </w:tcPr>
          <w:p w14:paraId="0CBD5BB9" w14:textId="77777777" w:rsidR="006031D6" w:rsidRPr="006031D6" w:rsidRDefault="006031D6" w:rsidP="005179D3">
            <w:pPr>
              <w:pStyle w:val="Texttabulky"/>
              <w:spacing w:after="0" w:line="240" w:lineRule="atLeast"/>
              <w:rPr>
                <w:rFonts w:cs="Arial"/>
              </w:rPr>
            </w:pPr>
            <w:r w:rsidRPr="006031D6">
              <w:rPr>
                <w:rFonts w:cs="Arial"/>
                <w:sz w:val="18"/>
                <w:szCs w:val="18"/>
              </w:rPr>
              <w:t>1,55</w:t>
            </w:r>
          </w:p>
        </w:tc>
        <w:tc>
          <w:tcPr>
            <w:tcW w:w="763" w:type="dxa"/>
            <w:tcBorders>
              <w:top w:val="nil"/>
              <w:left w:val="single" w:sz="6" w:space="0" w:color="auto"/>
              <w:bottom w:val="single" w:sz="6" w:space="0" w:color="auto"/>
              <w:right w:val="single" w:sz="6" w:space="0" w:color="auto"/>
            </w:tcBorders>
          </w:tcPr>
          <w:p w14:paraId="57746F8B" w14:textId="77777777" w:rsidR="006031D6" w:rsidRPr="006031D6" w:rsidRDefault="006031D6" w:rsidP="005179D3">
            <w:pPr>
              <w:pStyle w:val="Texttabulky"/>
              <w:spacing w:after="0" w:line="240" w:lineRule="atLeast"/>
              <w:rPr>
                <w:rFonts w:cs="Arial"/>
              </w:rPr>
            </w:pPr>
            <w:r w:rsidRPr="006031D6">
              <w:rPr>
                <w:rFonts w:cs="Arial"/>
                <w:sz w:val="18"/>
                <w:szCs w:val="18"/>
              </w:rPr>
              <w:t>0,22</w:t>
            </w:r>
          </w:p>
        </w:tc>
        <w:tc>
          <w:tcPr>
            <w:tcW w:w="677" w:type="dxa"/>
            <w:tcBorders>
              <w:top w:val="nil"/>
              <w:left w:val="single" w:sz="6" w:space="0" w:color="auto"/>
              <w:bottom w:val="single" w:sz="6" w:space="0" w:color="auto"/>
              <w:right w:val="single" w:sz="6" w:space="0" w:color="auto"/>
            </w:tcBorders>
          </w:tcPr>
          <w:p w14:paraId="28E81D93" w14:textId="77777777" w:rsidR="006031D6" w:rsidRPr="006031D6" w:rsidRDefault="006031D6" w:rsidP="005179D3">
            <w:pPr>
              <w:pStyle w:val="Texttabulky"/>
              <w:spacing w:after="0" w:line="240" w:lineRule="atLeast"/>
              <w:rPr>
                <w:rFonts w:cs="Arial"/>
              </w:rPr>
            </w:pPr>
            <w:r w:rsidRPr="006031D6">
              <w:rPr>
                <w:rFonts w:cs="Arial"/>
                <w:sz w:val="18"/>
                <w:szCs w:val="18"/>
              </w:rPr>
              <w:t>0,3</w:t>
            </w:r>
          </w:p>
        </w:tc>
        <w:tc>
          <w:tcPr>
            <w:tcW w:w="763" w:type="dxa"/>
            <w:tcBorders>
              <w:top w:val="nil"/>
              <w:left w:val="single" w:sz="6" w:space="0" w:color="auto"/>
              <w:bottom w:val="single" w:sz="6" w:space="0" w:color="auto"/>
              <w:right w:val="single" w:sz="6" w:space="0" w:color="auto"/>
            </w:tcBorders>
          </w:tcPr>
          <w:p w14:paraId="6BC36525" w14:textId="77777777" w:rsidR="006031D6" w:rsidRPr="006031D6" w:rsidRDefault="006031D6" w:rsidP="005179D3">
            <w:pPr>
              <w:pStyle w:val="Texttabulky"/>
              <w:spacing w:after="0" w:line="240" w:lineRule="atLeast"/>
              <w:rPr>
                <w:rFonts w:cs="Arial"/>
              </w:rPr>
            </w:pPr>
            <w:r w:rsidRPr="006031D6">
              <w:rPr>
                <w:rFonts w:cs="Arial"/>
                <w:sz w:val="18"/>
                <w:szCs w:val="18"/>
              </w:rPr>
              <w:t>&lt;0,1</w:t>
            </w:r>
          </w:p>
        </w:tc>
        <w:tc>
          <w:tcPr>
            <w:tcW w:w="641" w:type="dxa"/>
            <w:tcBorders>
              <w:top w:val="nil"/>
              <w:left w:val="single" w:sz="6" w:space="0" w:color="auto"/>
              <w:bottom w:val="single" w:sz="6" w:space="0" w:color="auto"/>
              <w:right w:val="single" w:sz="6" w:space="0" w:color="auto"/>
            </w:tcBorders>
          </w:tcPr>
          <w:p w14:paraId="420C26FD" w14:textId="77777777" w:rsidR="006031D6" w:rsidRPr="006031D6" w:rsidRDefault="006031D6" w:rsidP="005179D3">
            <w:pPr>
              <w:pStyle w:val="Texttabulky"/>
              <w:spacing w:after="0" w:line="240" w:lineRule="atLeast"/>
              <w:rPr>
                <w:rFonts w:cs="Arial"/>
              </w:rPr>
            </w:pPr>
            <w:r w:rsidRPr="006031D6">
              <w:rPr>
                <w:rFonts w:cs="Arial"/>
                <w:sz w:val="18"/>
                <w:szCs w:val="18"/>
              </w:rPr>
              <w:t>0,2</w:t>
            </w:r>
          </w:p>
        </w:tc>
        <w:tc>
          <w:tcPr>
            <w:tcW w:w="677" w:type="dxa"/>
            <w:tcBorders>
              <w:top w:val="nil"/>
              <w:left w:val="single" w:sz="6" w:space="0" w:color="auto"/>
              <w:bottom w:val="single" w:sz="6" w:space="0" w:color="auto"/>
              <w:right w:val="single" w:sz="6" w:space="0" w:color="auto"/>
            </w:tcBorders>
          </w:tcPr>
          <w:p w14:paraId="67409D23" w14:textId="77777777" w:rsidR="006031D6" w:rsidRPr="006031D6" w:rsidRDefault="006031D6" w:rsidP="005179D3">
            <w:pPr>
              <w:pStyle w:val="Texttabulky"/>
              <w:spacing w:after="0" w:line="240" w:lineRule="atLeast"/>
              <w:rPr>
                <w:rFonts w:cs="Arial"/>
              </w:rPr>
            </w:pPr>
            <w:r w:rsidRPr="006031D6">
              <w:rPr>
                <w:rFonts w:cs="Arial"/>
                <w:sz w:val="18"/>
                <w:szCs w:val="18"/>
              </w:rPr>
              <w:t>0,1</w:t>
            </w:r>
          </w:p>
        </w:tc>
        <w:tc>
          <w:tcPr>
            <w:tcW w:w="710" w:type="dxa"/>
            <w:tcBorders>
              <w:top w:val="nil"/>
              <w:left w:val="single" w:sz="6" w:space="0" w:color="auto"/>
              <w:bottom w:val="single" w:sz="6" w:space="0" w:color="auto"/>
              <w:right w:val="single" w:sz="6" w:space="0" w:color="auto"/>
            </w:tcBorders>
          </w:tcPr>
          <w:p w14:paraId="34D930C4" w14:textId="77777777" w:rsidR="006031D6" w:rsidRPr="006031D6" w:rsidRDefault="006031D6" w:rsidP="005179D3">
            <w:pPr>
              <w:pStyle w:val="Texttabulky"/>
              <w:spacing w:after="0" w:line="240" w:lineRule="atLeast"/>
              <w:rPr>
                <w:rFonts w:cs="Arial"/>
              </w:rPr>
            </w:pPr>
            <w:r w:rsidRPr="006031D6">
              <w:rPr>
                <w:rFonts w:cs="Arial"/>
                <w:sz w:val="18"/>
                <w:szCs w:val="18"/>
              </w:rPr>
              <w:t>22,5</w:t>
            </w:r>
          </w:p>
        </w:tc>
        <w:tc>
          <w:tcPr>
            <w:tcW w:w="659" w:type="dxa"/>
            <w:tcBorders>
              <w:top w:val="nil"/>
              <w:left w:val="single" w:sz="6" w:space="0" w:color="auto"/>
              <w:bottom w:val="single" w:sz="6" w:space="0" w:color="auto"/>
              <w:right w:val="single" w:sz="6" w:space="0" w:color="auto"/>
            </w:tcBorders>
          </w:tcPr>
          <w:p w14:paraId="0B309C02" w14:textId="77777777" w:rsidR="006031D6" w:rsidRPr="006031D6" w:rsidRDefault="006031D6" w:rsidP="005179D3">
            <w:pPr>
              <w:pStyle w:val="Texttabulky"/>
              <w:spacing w:after="0" w:line="240" w:lineRule="atLeast"/>
              <w:rPr>
                <w:rFonts w:cs="Arial"/>
              </w:rPr>
            </w:pPr>
            <w:r w:rsidRPr="006031D6">
              <w:rPr>
                <w:rFonts w:cs="Arial"/>
                <w:sz w:val="18"/>
                <w:szCs w:val="18"/>
              </w:rPr>
              <w:t>5,7</w:t>
            </w:r>
          </w:p>
        </w:tc>
        <w:tc>
          <w:tcPr>
            <w:tcW w:w="572" w:type="dxa"/>
            <w:tcBorders>
              <w:top w:val="nil"/>
              <w:left w:val="single" w:sz="6" w:space="0" w:color="auto"/>
              <w:bottom w:val="single" w:sz="6" w:space="0" w:color="auto"/>
              <w:right w:val="single" w:sz="6" w:space="0" w:color="auto"/>
            </w:tcBorders>
          </w:tcPr>
          <w:p w14:paraId="62DDB32B" w14:textId="77777777" w:rsidR="006031D6" w:rsidRPr="006031D6" w:rsidRDefault="006031D6" w:rsidP="005179D3">
            <w:pPr>
              <w:pStyle w:val="Texttabulky"/>
              <w:spacing w:after="0" w:line="240" w:lineRule="atLeast"/>
              <w:rPr>
                <w:rFonts w:cs="Arial"/>
              </w:rPr>
            </w:pPr>
            <w:r w:rsidRPr="006031D6">
              <w:rPr>
                <w:rFonts w:cs="Arial"/>
                <w:sz w:val="18"/>
                <w:szCs w:val="18"/>
              </w:rPr>
              <w:t>0,1</w:t>
            </w:r>
          </w:p>
        </w:tc>
        <w:tc>
          <w:tcPr>
            <w:tcW w:w="797" w:type="dxa"/>
            <w:tcBorders>
              <w:top w:val="nil"/>
              <w:left w:val="single" w:sz="6" w:space="0" w:color="auto"/>
              <w:bottom w:val="single" w:sz="6" w:space="0" w:color="auto"/>
              <w:right w:val="single" w:sz="6" w:space="0" w:color="auto"/>
            </w:tcBorders>
          </w:tcPr>
          <w:p w14:paraId="6E2F6C88" w14:textId="77777777" w:rsidR="006031D6" w:rsidRPr="006031D6" w:rsidRDefault="006031D6" w:rsidP="005179D3">
            <w:pPr>
              <w:pStyle w:val="Texttabulky"/>
              <w:spacing w:after="0" w:line="240" w:lineRule="atLeast"/>
              <w:rPr>
                <w:rFonts w:cs="Arial"/>
              </w:rPr>
            </w:pPr>
            <w:r w:rsidRPr="006031D6">
              <w:rPr>
                <w:rFonts w:cs="Arial"/>
                <w:sz w:val="18"/>
                <w:szCs w:val="18"/>
              </w:rPr>
              <w:t>&lt;0005</w:t>
            </w:r>
          </w:p>
        </w:tc>
      </w:tr>
      <w:tr w:rsidR="006031D6" w:rsidRPr="006031D6" w14:paraId="3ED51B9B" w14:textId="77777777" w:rsidTr="006031D6">
        <w:trPr>
          <w:trHeight w:val="300"/>
        </w:trPr>
        <w:tc>
          <w:tcPr>
            <w:tcW w:w="1264" w:type="dxa"/>
            <w:tcBorders>
              <w:top w:val="single" w:sz="6" w:space="0" w:color="auto"/>
              <w:left w:val="single" w:sz="6" w:space="0" w:color="auto"/>
              <w:bottom w:val="single" w:sz="6" w:space="0" w:color="auto"/>
              <w:right w:val="single" w:sz="6" w:space="0" w:color="auto"/>
            </w:tcBorders>
          </w:tcPr>
          <w:p w14:paraId="049F5BA0" w14:textId="77777777" w:rsidR="006031D6" w:rsidRPr="006031D6" w:rsidRDefault="006031D6" w:rsidP="005179D3">
            <w:pPr>
              <w:pStyle w:val="Texttabulky"/>
              <w:spacing w:after="0" w:line="240" w:lineRule="atLeast"/>
              <w:rPr>
                <w:rFonts w:cs="Arial"/>
              </w:rPr>
            </w:pPr>
            <w:r w:rsidRPr="006031D6">
              <w:rPr>
                <w:rFonts w:cs="Arial"/>
                <w:sz w:val="18"/>
                <w:szCs w:val="18"/>
              </w:rPr>
              <w:t>Labe Děčín</w:t>
            </w:r>
          </w:p>
        </w:tc>
        <w:tc>
          <w:tcPr>
            <w:tcW w:w="624" w:type="dxa"/>
            <w:tcBorders>
              <w:top w:val="single" w:sz="6" w:space="0" w:color="auto"/>
              <w:left w:val="nil"/>
              <w:bottom w:val="single" w:sz="6" w:space="0" w:color="auto"/>
              <w:right w:val="single" w:sz="6" w:space="0" w:color="auto"/>
            </w:tcBorders>
          </w:tcPr>
          <w:p w14:paraId="708ACE35" w14:textId="77777777" w:rsidR="006031D6" w:rsidRPr="006031D6" w:rsidRDefault="006031D6" w:rsidP="005179D3">
            <w:pPr>
              <w:pStyle w:val="Texttabulky"/>
              <w:spacing w:after="0" w:line="240" w:lineRule="atLeast"/>
              <w:rPr>
                <w:rFonts w:cs="Arial"/>
              </w:rPr>
            </w:pPr>
            <w:r w:rsidRPr="006031D6">
              <w:rPr>
                <w:rFonts w:cs="Arial"/>
                <w:sz w:val="18"/>
                <w:szCs w:val="18"/>
              </w:rPr>
              <w:t>0,2</w:t>
            </w:r>
          </w:p>
        </w:tc>
        <w:tc>
          <w:tcPr>
            <w:tcW w:w="589" w:type="dxa"/>
            <w:tcBorders>
              <w:top w:val="single" w:sz="6" w:space="0" w:color="auto"/>
              <w:left w:val="single" w:sz="6" w:space="0" w:color="auto"/>
              <w:bottom w:val="single" w:sz="6" w:space="0" w:color="auto"/>
              <w:right w:val="single" w:sz="6" w:space="0" w:color="auto"/>
            </w:tcBorders>
          </w:tcPr>
          <w:p w14:paraId="1815B33A" w14:textId="77777777" w:rsidR="006031D6" w:rsidRPr="006031D6" w:rsidRDefault="006031D6" w:rsidP="005179D3">
            <w:pPr>
              <w:pStyle w:val="Texttabulky"/>
              <w:spacing w:after="0" w:line="240" w:lineRule="atLeast"/>
              <w:rPr>
                <w:rFonts w:cs="Arial"/>
              </w:rPr>
            </w:pPr>
            <w:r w:rsidRPr="006031D6">
              <w:rPr>
                <w:rFonts w:cs="Arial"/>
                <w:sz w:val="18"/>
                <w:szCs w:val="18"/>
              </w:rPr>
              <w:t>&lt;0,1</w:t>
            </w:r>
          </w:p>
        </w:tc>
        <w:tc>
          <w:tcPr>
            <w:tcW w:w="659" w:type="dxa"/>
            <w:tcBorders>
              <w:top w:val="single" w:sz="6" w:space="0" w:color="auto"/>
              <w:left w:val="single" w:sz="6" w:space="0" w:color="auto"/>
              <w:bottom w:val="single" w:sz="6" w:space="0" w:color="auto"/>
              <w:right w:val="single" w:sz="6" w:space="0" w:color="auto"/>
            </w:tcBorders>
          </w:tcPr>
          <w:p w14:paraId="1389882C" w14:textId="77777777" w:rsidR="006031D6" w:rsidRPr="006031D6" w:rsidRDefault="006031D6" w:rsidP="005179D3">
            <w:pPr>
              <w:pStyle w:val="Texttabulky"/>
              <w:spacing w:after="0" w:line="240" w:lineRule="atLeast"/>
              <w:rPr>
                <w:rFonts w:cs="Arial"/>
              </w:rPr>
            </w:pPr>
            <w:r w:rsidRPr="006031D6">
              <w:rPr>
                <w:rFonts w:cs="Arial"/>
                <w:sz w:val="18"/>
                <w:szCs w:val="18"/>
              </w:rPr>
              <w:t>1,64</w:t>
            </w:r>
          </w:p>
        </w:tc>
        <w:tc>
          <w:tcPr>
            <w:tcW w:w="763" w:type="dxa"/>
            <w:tcBorders>
              <w:top w:val="single" w:sz="6" w:space="0" w:color="auto"/>
              <w:left w:val="single" w:sz="6" w:space="0" w:color="auto"/>
              <w:bottom w:val="single" w:sz="6" w:space="0" w:color="auto"/>
              <w:right w:val="single" w:sz="6" w:space="0" w:color="auto"/>
            </w:tcBorders>
          </w:tcPr>
          <w:p w14:paraId="1E39BA22" w14:textId="77777777" w:rsidR="006031D6" w:rsidRPr="006031D6" w:rsidRDefault="006031D6" w:rsidP="005179D3">
            <w:pPr>
              <w:pStyle w:val="Texttabulky"/>
              <w:spacing w:after="0" w:line="240" w:lineRule="atLeast"/>
              <w:rPr>
                <w:rFonts w:cs="Arial"/>
              </w:rPr>
            </w:pPr>
            <w:r w:rsidRPr="006031D6">
              <w:rPr>
                <w:rFonts w:cs="Arial"/>
                <w:sz w:val="18"/>
                <w:szCs w:val="18"/>
              </w:rPr>
              <w:t>0,2</w:t>
            </w:r>
          </w:p>
        </w:tc>
        <w:tc>
          <w:tcPr>
            <w:tcW w:w="677" w:type="dxa"/>
            <w:tcBorders>
              <w:top w:val="single" w:sz="6" w:space="0" w:color="auto"/>
              <w:left w:val="single" w:sz="6" w:space="0" w:color="auto"/>
              <w:bottom w:val="single" w:sz="6" w:space="0" w:color="auto"/>
              <w:right w:val="single" w:sz="6" w:space="0" w:color="auto"/>
            </w:tcBorders>
          </w:tcPr>
          <w:p w14:paraId="27A65C08" w14:textId="77777777" w:rsidR="006031D6" w:rsidRPr="006031D6" w:rsidRDefault="006031D6" w:rsidP="005179D3">
            <w:pPr>
              <w:pStyle w:val="Texttabulky"/>
              <w:spacing w:after="0" w:line="240" w:lineRule="atLeast"/>
              <w:rPr>
                <w:rFonts w:cs="Arial"/>
              </w:rPr>
            </w:pPr>
            <w:r w:rsidRPr="006031D6">
              <w:rPr>
                <w:rFonts w:cs="Arial"/>
                <w:sz w:val="18"/>
                <w:szCs w:val="18"/>
              </w:rPr>
              <w:t>0,7</w:t>
            </w:r>
          </w:p>
        </w:tc>
        <w:tc>
          <w:tcPr>
            <w:tcW w:w="763" w:type="dxa"/>
            <w:tcBorders>
              <w:top w:val="single" w:sz="6" w:space="0" w:color="auto"/>
              <w:left w:val="single" w:sz="6" w:space="0" w:color="auto"/>
              <w:bottom w:val="single" w:sz="6" w:space="0" w:color="auto"/>
              <w:right w:val="single" w:sz="6" w:space="0" w:color="auto"/>
            </w:tcBorders>
          </w:tcPr>
          <w:p w14:paraId="342562CB" w14:textId="77777777" w:rsidR="006031D6" w:rsidRPr="006031D6" w:rsidRDefault="006031D6" w:rsidP="005179D3">
            <w:pPr>
              <w:pStyle w:val="Texttabulky"/>
              <w:spacing w:after="0" w:line="240" w:lineRule="atLeast"/>
              <w:rPr>
                <w:rFonts w:cs="Arial"/>
              </w:rPr>
            </w:pPr>
            <w:r w:rsidRPr="006031D6">
              <w:rPr>
                <w:rFonts w:cs="Arial"/>
                <w:sz w:val="18"/>
                <w:szCs w:val="18"/>
              </w:rPr>
              <w:t>&lt;0,1</w:t>
            </w:r>
          </w:p>
        </w:tc>
        <w:tc>
          <w:tcPr>
            <w:tcW w:w="641" w:type="dxa"/>
            <w:tcBorders>
              <w:top w:val="single" w:sz="6" w:space="0" w:color="auto"/>
              <w:left w:val="single" w:sz="6" w:space="0" w:color="auto"/>
              <w:bottom w:val="single" w:sz="6" w:space="0" w:color="auto"/>
              <w:right w:val="single" w:sz="6" w:space="0" w:color="auto"/>
            </w:tcBorders>
          </w:tcPr>
          <w:p w14:paraId="194BCEF4" w14:textId="77777777" w:rsidR="006031D6" w:rsidRPr="006031D6" w:rsidRDefault="006031D6" w:rsidP="005179D3">
            <w:pPr>
              <w:pStyle w:val="Texttabulky"/>
              <w:spacing w:after="0" w:line="240" w:lineRule="atLeast"/>
              <w:rPr>
                <w:rFonts w:cs="Arial"/>
              </w:rPr>
            </w:pPr>
            <w:r w:rsidRPr="006031D6">
              <w:rPr>
                <w:rFonts w:cs="Arial"/>
                <w:sz w:val="18"/>
                <w:szCs w:val="18"/>
              </w:rPr>
              <w:t>1</w:t>
            </w:r>
          </w:p>
        </w:tc>
        <w:tc>
          <w:tcPr>
            <w:tcW w:w="677" w:type="dxa"/>
            <w:tcBorders>
              <w:top w:val="single" w:sz="6" w:space="0" w:color="auto"/>
              <w:left w:val="single" w:sz="6" w:space="0" w:color="auto"/>
              <w:bottom w:val="single" w:sz="6" w:space="0" w:color="auto"/>
              <w:right w:val="single" w:sz="6" w:space="0" w:color="auto"/>
            </w:tcBorders>
          </w:tcPr>
          <w:p w14:paraId="0C4F2BE1" w14:textId="77777777" w:rsidR="006031D6" w:rsidRPr="006031D6" w:rsidRDefault="006031D6" w:rsidP="005179D3">
            <w:pPr>
              <w:pStyle w:val="Texttabulky"/>
              <w:spacing w:after="0" w:line="240" w:lineRule="atLeast"/>
              <w:rPr>
                <w:rFonts w:cs="Arial"/>
              </w:rPr>
            </w:pPr>
            <w:r w:rsidRPr="006031D6">
              <w:rPr>
                <w:rFonts w:cs="Arial"/>
                <w:sz w:val="18"/>
                <w:szCs w:val="18"/>
              </w:rPr>
              <w:t>0,3</w:t>
            </w:r>
          </w:p>
        </w:tc>
        <w:tc>
          <w:tcPr>
            <w:tcW w:w="710" w:type="dxa"/>
            <w:tcBorders>
              <w:top w:val="single" w:sz="6" w:space="0" w:color="auto"/>
              <w:left w:val="single" w:sz="6" w:space="0" w:color="auto"/>
              <w:bottom w:val="single" w:sz="6" w:space="0" w:color="auto"/>
              <w:right w:val="single" w:sz="6" w:space="0" w:color="auto"/>
            </w:tcBorders>
          </w:tcPr>
          <w:p w14:paraId="545303EB" w14:textId="77777777" w:rsidR="006031D6" w:rsidRPr="006031D6" w:rsidRDefault="006031D6" w:rsidP="005179D3">
            <w:pPr>
              <w:pStyle w:val="Texttabulky"/>
              <w:spacing w:after="0" w:line="240" w:lineRule="atLeast"/>
              <w:rPr>
                <w:rFonts w:cs="Arial"/>
              </w:rPr>
            </w:pPr>
            <w:r w:rsidRPr="006031D6">
              <w:rPr>
                <w:rFonts w:cs="Arial"/>
                <w:sz w:val="18"/>
                <w:szCs w:val="18"/>
              </w:rPr>
              <w:t>14,3</w:t>
            </w:r>
          </w:p>
        </w:tc>
        <w:tc>
          <w:tcPr>
            <w:tcW w:w="659" w:type="dxa"/>
            <w:tcBorders>
              <w:top w:val="single" w:sz="6" w:space="0" w:color="auto"/>
              <w:left w:val="single" w:sz="6" w:space="0" w:color="auto"/>
              <w:bottom w:val="single" w:sz="6" w:space="0" w:color="auto"/>
              <w:right w:val="single" w:sz="6" w:space="0" w:color="auto"/>
            </w:tcBorders>
          </w:tcPr>
          <w:p w14:paraId="0FCA3C85" w14:textId="77777777" w:rsidR="006031D6" w:rsidRPr="006031D6" w:rsidRDefault="006031D6" w:rsidP="005179D3">
            <w:pPr>
              <w:pStyle w:val="Texttabulky"/>
              <w:spacing w:after="0" w:line="240" w:lineRule="atLeast"/>
              <w:rPr>
                <w:rFonts w:cs="Arial"/>
              </w:rPr>
            </w:pPr>
            <w:r w:rsidRPr="006031D6">
              <w:rPr>
                <w:rFonts w:cs="Arial"/>
                <w:sz w:val="18"/>
                <w:szCs w:val="18"/>
              </w:rPr>
              <w:t>5,2</w:t>
            </w:r>
          </w:p>
        </w:tc>
        <w:tc>
          <w:tcPr>
            <w:tcW w:w="572" w:type="dxa"/>
            <w:tcBorders>
              <w:top w:val="single" w:sz="6" w:space="0" w:color="auto"/>
              <w:left w:val="single" w:sz="6" w:space="0" w:color="auto"/>
              <w:bottom w:val="single" w:sz="6" w:space="0" w:color="auto"/>
              <w:right w:val="single" w:sz="6" w:space="0" w:color="auto"/>
            </w:tcBorders>
          </w:tcPr>
          <w:p w14:paraId="5C806E3E" w14:textId="77777777" w:rsidR="006031D6" w:rsidRPr="006031D6" w:rsidRDefault="006031D6" w:rsidP="005179D3">
            <w:pPr>
              <w:pStyle w:val="Texttabulky"/>
              <w:spacing w:after="0" w:line="240" w:lineRule="atLeast"/>
              <w:rPr>
                <w:rFonts w:cs="Arial"/>
              </w:rPr>
            </w:pPr>
            <w:r w:rsidRPr="006031D6">
              <w:rPr>
                <w:rFonts w:cs="Arial"/>
                <w:sz w:val="18"/>
                <w:szCs w:val="18"/>
              </w:rPr>
              <w:t>0,08</w:t>
            </w:r>
          </w:p>
        </w:tc>
        <w:tc>
          <w:tcPr>
            <w:tcW w:w="797" w:type="dxa"/>
            <w:tcBorders>
              <w:top w:val="single" w:sz="6" w:space="0" w:color="auto"/>
              <w:left w:val="single" w:sz="6" w:space="0" w:color="auto"/>
              <w:bottom w:val="single" w:sz="6" w:space="0" w:color="auto"/>
              <w:right w:val="single" w:sz="6" w:space="0" w:color="auto"/>
            </w:tcBorders>
          </w:tcPr>
          <w:p w14:paraId="461215A4" w14:textId="77777777" w:rsidR="006031D6" w:rsidRPr="006031D6" w:rsidRDefault="006031D6" w:rsidP="005179D3">
            <w:pPr>
              <w:pStyle w:val="Texttabulky"/>
              <w:spacing w:after="0" w:line="240" w:lineRule="atLeast"/>
              <w:rPr>
                <w:rFonts w:cs="Arial"/>
              </w:rPr>
            </w:pPr>
            <w:r w:rsidRPr="006031D6">
              <w:rPr>
                <w:rFonts w:cs="Arial"/>
                <w:sz w:val="18"/>
                <w:szCs w:val="18"/>
              </w:rPr>
              <w:t>0,02</w:t>
            </w:r>
          </w:p>
        </w:tc>
      </w:tr>
      <w:tr w:rsidR="006031D6" w:rsidRPr="006031D6" w14:paraId="2675951A" w14:textId="77777777" w:rsidTr="006031D6">
        <w:trPr>
          <w:trHeight w:val="307"/>
        </w:trPr>
        <w:tc>
          <w:tcPr>
            <w:tcW w:w="1264" w:type="dxa"/>
            <w:tcBorders>
              <w:top w:val="single" w:sz="6" w:space="0" w:color="auto"/>
              <w:left w:val="single" w:sz="6" w:space="0" w:color="auto"/>
              <w:bottom w:val="single" w:sz="6" w:space="0" w:color="auto"/>
              <w:right w:val="single" w:sz="6" w:space="0" w:color="auto"/>
            </w:tcBorders>
          </w:tcPr>
          <w:p w14:paraId="1090D9C9" w14:textId="77777777" w:rsidR="006031D6" w:rsidRPr="006031D6" w:rsidRDefault="006031D6" w:rsidP="005179D3">
            <w:pPr>
              <w:pStyle w:val="Texttabulky"/>
              <w:spacing w:after="0" w:line="240" w:lineRule="atLeast"/>
              <w:rPr>
                <w:rFonts w:cs="Arial"/>
              </w:rPr>
            </w:pPr>
            <w:r w:rsidRPr="006031D6">
              <w:rPr>
                <w:rFonts w:cs="Arial"/>
                <w:sz w:val="18"/>
                <w:szCs w:val="18"/>
              </w:rPr>
              <w:t>Bílina</w:t>
            </w:r>
          </w:p>
          <w:p w14:paraId="1FFFAAA5" w14:textId="77777777" w:rsidR="006031D6" w:rsidRPr="006031D6" w:rsidRDefault="006031D6" w:rsidP="005179D3">
            <w:pPr>
              <w:pStyle w:val="Texttabulky"/>
              <w:spacing w:after="0" w:line="240" w:lineRule="atLeast"/>
              <w:rPr>
                <w:rFonts w:cs="Arial"/>
              </w:rPr>
            </w:pPr>
            <w:r w:rsidRPr="006031D6">
              <w:rPr>
                <w:rFonts w:cs="Arial"/>
                <w:sz w:val="18"/>
                <w:szCs w:val="18"/>
              </w:rPr>
              <w:t>Ústí n/L</w:t>
            </w:r>
          </w:p>
        </w:tc>
        <w:tc>
          <w:tcPr>
            <w:tcW w:w="624" w:type="dxa"/>
            <w:tcBorders>
              <w:top w:val="single" w:sz="6" w:space="0" w:color="auto"/>
              <w:left w:val="nil"/>
              <w:bottom w:val="single" w:sz="6" w:space="0" w:color="auto"/>
              <w:right w:val="single" w:sz="6" w:space="0" w:color="auto"/>
            </w:tcBorders>
          </w:tcPr>
          <w:p w14:paraId="2E423F61" w14:textId="77777777" w:rsidR="006031D6" w:rsidRPr="006031D6" w:rsidRDefault="006031D6" w:rsidP="005179D3">
            <w:pPr>
              <w:pStyle w:val="Texttabulky"/>
              <w:spacing w:after="0" w:line="240" w:lineRule="atLeast"/>
              <w:rPr>
                <w:rFonts w:cs="Arial"/>
              </w:rPr>
            </w:pPr>
            <w:r w:rsidRPr="006031D6">
              <w:rPr>
                <w:rFonts w:cs="Arial"/>
                <w:sz w:val="18"/>
                <w:szCs w:val="18"/>
              </w:rPr>
              <w:t>2,2</w:t>
            </w:r>
          </w:p>
        </w:tc>
        <w:tc>
          <w:tcPr>
            <w:tcW w:w="589" w:type="dxa"/>
            <w:tcBorders>
              <w:top w:val="single" w:sz="6" w:space="0" w:color="auto"/>
              <w:left w:val="single" w:sz="6" w:space="0" w:color="auto"/>
              <w:bottom w:val="single" w:sz="6" w:space="0" w:color="auto"/>
              <w:right w:val="single" w:sz="6" w:space="0" w:color="auto"/>
            </w:tcBorders>
          </w:tcPr>
          <w:p w14:paraId="3E8631FF" w14:textId="77777777" w:rsidR="006031D6" w:rsidRPr="006031D6" w:rsidRDefault="006031D6" w:rsidP="005179D3">
            <w:pPr>
              <w:pStyle w:val="Texttabulky"/>
              <w:spacing w:after="0" w:line="240" w:lineRule="atLeast"/>
              <w:rPr>
                <w:rFonts w:cs="Arial"/>
              </w:rPr>
            </w:pPr>
            <w:r w:rsidRPr="006031D6">
              <w:rPr>
                <w:rFonts w:cs="Arial"/>
                <w:sz w:val="18"/>
                <w:szCs w:val="18"/>
              </w:rPr>
              <w:t>0,5</w:t>
            </w:r>
          </w:p>
        </w:tc>
        <w:tc>
          <w:tcPr>
            <w:tcW w:w="659" w:type="dxa"/>
            <w:tcBorders>
              <w:top w:val="single" w:sz="6" w:space="0" w:color="auto"/>
              <w:left w:val="single" w:sz="6" w:space="0" w:color="auto"/>
              <w:bottom w:val="single" w:sz="6" w:space="0" w:color="auto"/>
              <w:right w:val="single" w:sz="6" w:space="0" w:color="auto"/>
            </w:tcBorders>
          </w:tcPr>
          <w:p w14:paraId="3D38E199" w14:textId="77777777" w:rsidR="006031D6" w:rsidRPr="006031D6" w:rsidRDefault="006031D6" w:rsidP="005179D3">
            <w:pPr>
              <w:pStyle w:val="Texttabulky"/>
              <w:spacing w:after="0" w:line="240" w:lineRule="atLeast"/>
              <w:rPr>
                <w:rFonts w:cs="Arial"/>
              </w:rPr>
            </w:pPr>
            <w:r w:rsidRPr="006031D6">
              <w:rPr>
                <w:rFonts w:cs="Arial"/>
                <w:sz w:val="18"/>
                <w:szCs w:val="18"/>
              </w:rPr>
              <w:t>2,1</w:t>
            </w:r>
          </w:p>
        </w:tc>
        <w:tc>
          <w:tcPr>
            <w:tcW w:w="763" w:type="dxa"/>
            <w:tcBorders>
              <w:top w:val="single" w:sz="6" w:space="0" w:color="auto"/>
              <w:left w:val="single" w:sz="6" w:space="0" w:color="auto"/>
              <w:bottom w:val="single" w:sz="6" w:space="0" w:color="auto"/>
              <w:right w:val="single" w:sz="6" w:space="0" w:color="auto"/>
            </w:tcBorders>
          </w:tcPr>
          <w:p w14:paraId="4A337BE1" w14:textId="77777777" w:rsidR="006031D6" w:rsidRPr="006031D6" w:rsidRDefault="006031D6" w:rsidP="005179D3">
            <w:pPr>
              <w:pStyle w:val="Texttabulky"/>
              <w:spacing w:after="0" w:line="240" w:lineRule="atLeast"/>
              <w:rPr>
                <w:rFonts w:cs="Arial"/>
              </w:rPr>
            </w:pPr>
            <w:r w:rsidRPr="006031D6">
              <w:rPr>
                <w:rFonts w:cs="Arial"/>
                <w:sz w:val="18"/>
                <w:szCs w:val="18"/>
              </w:rPr>
              <w:t>0,72</w:t>
            </w:r>
          </w:p>
        </w:tc>
        <w:tc>
          <w:tcPr>
            <w:tcW w:w="677" w:type="dxa"/>
            <w:tcBorders>
              <w:top w:val="single" w:sz="6" w:space="0" w:color="auto"/>
              <w:left w:val="single" w:sz="6" w:space="0" w:color="auto"/>
              <w:bottom w:val="single" w:sz="6" w:space="0" w:color="auto"/>
              <w:right w:val="single" w:sz="6" w:space="0" w:color="auto"/>
            </w:tcBorders>
          </w:tcPr>
          <w:p w14:paraId="342443A7" w14:textId="77777777" w:rsidR="006031D6" w:rsidRPr="006031D6" w:rsidRDefault="006031D6" w:rsidP="005179D3">
            <w:pPr>
              <w:pStyle w:val="Texttabulky"/>
              <w:spacing w:after="0" w:line="240" w:lineRule="atLeast"/>
              <w:rPr>
                <w:rFonts w:cs="Arial"/>
              </w:rPr>
            </w:pPr>
            <w:r w:rsidRPr="006031D6">
              <w:rPr>
                <w:rFonts w:cs="Arial"/>
                <w:sz w:val="18"/>
                <w:szCs w:val="18"/>
              </w:rPr>
              <w:t>&lt;0,1</w:t>
            </w:r>
          </w:p>
        </w:tc>
        <w:tc>
          <w:tcPr>
            <w:tcW w:w="763" w:type="dxa"/>
            <w:tcBorders>
              <w:top w:val="single" w:sz="6" w:space="0" w:color="auto"/>
              <w:left w:val="single" w:sz="6" w:space="0" w:color="auto"/>
              <w:bottom w:val="single" w:sz="6" w:space="0" w:color="auto"/>
              <w:right w:val="single" w:sz="6" w:space="0" w:color="auto"/>
            </w:tcBorders>
          </w:tcPr>
          <w:p w14:paraId="6E441A22" w14:textId="77777777" w:rsidR="006031D6" w:rsidRPr="006031D6" w:rsidRDefault="006031D6" w:rsidP="005179D3">
            <w:pPr>
              <w:pStyle w:val="Texttabulky"/>
              <w:spacing w:after="0" w:line="240" w:lineRule="atLeast"/>
              <w:rPr>
                <w:rFonts w:cs="Arial"/>
              </w:rPr>
            </w:pPr>
            <w:r w:rsidRPr="006031D6">
              <w:rPr>
                <w:rFonts w:cs="Arial"/>
                <w:sz w:val="18"/>
                <w:szCs w:val="18"/>
              </w:rPr>
              <w:t>&lt;0,1</w:t>
            </w:r>
          </w:p>
        </w:tc>
        <w:tc>
          <w:tcPr>
            <w:tcW w:w="641" w:type="dxa"/>
            <w:tcBorders>
              <w:top w:val="single" w:sz="6" w:space="0" w:color="auto"/>
              <w:left w:val="single" w:sz="6" w:space="0" w:color="auto"/>
              <w:bottom w:val="single" w:sz="6" w:space="0" w:color="auto"/>
              <w:right w:val="single" w:sz="6" w:space="0" w:color="auto"/>
            </w:tcBorders>
          </w:tcPr>
          <w:p w14:paraId="45AB7A98" w14:textId="77777777" w:rsidR="006031D6" w:rsidRPr="006031D6" w:rsidRDefault="006031D6" w:rsidP="005179D3">
            <w:pPr>
              <w:pStyle w:val="Texttabulky"/>
              <w:spacing w:after="0" w:line="240" w:lineRule="atLeast"/>
              <w:rPr>
                <w:rFonts w:cs="Arial"/>
              </w:rPr>
            </w:pPr>
            <w:r w:rsidRPr="006031D6">
              <w:rPr>
                <w:rFonts w:cs="Arial"/>
                <w:sz w:val="18"/>
                <w:szCs w:val="18"/>
              </w:rPr>
              <w:t>11</w:t>
            </w:r>
          </w:p>
        </w:tc>
        <w:tc>
          <w:tcPr>
            <w:tcW w:w="677" w:type="dxa"/>
            <w:tcBorders>
              <w:top w:val="single" w:sz="6" w:space="0" w:color="auto"/>
              <w:left w:val="single" w:sz="6" w:space="0" w:color="auto"/>
              <w:bottom w:val="single" w:sz="6" w:space="0" w:color="auto"/>
              <w:right w:val="single" w:sz="6" w:space="0" w:color="auto"/>
            </w:tcBorders>
          </w:tcPr>
          <w:p w14:paraId="5E8AF6F4" w14:textId="77777777" w:rsidR="006031D6" w:rsidRPr="006031D6" w:rsidRDefault="006031D6" w:rsidP="005179D3">
            <w:pPr>
              <w:pStyle w:val="Texttabulky"/>
              <w:spacing w:after="0" w:line="240" w:lineRule="atLeast"/>
              <w:rPr>
                <w:rFonts w:cs="Arial"/>
              </w:rPr>
            </w:pPr>
            <w:r w:rsidRPr="006031D6">
              <w:rPr>
                <w:rFonts w:cs="Arial"/>
                <w:sz w:val="18"/>
                <w:szCs w:val="18"/>
              </w:rPr>
              <w:t>4,9</w:t>
            </w:r>
          </w:p>
        </w:tc>
        <w:tc>
          <w:tcPr>
            <w:tcW w:w="710" w:type="dxa"/>
            <w:tcBorders>
              <w:top w:val="single" w:sz="6" w:space="0" w:color="auto"/>
              <w:left w:val="single" w:sz="6" w:space="0" w:color="auto"/>
              <w:bottom w:val="single" w:sz="6" w:space="0" w:color="auto"/>
              <w:right w:val="single" w:sz="6" w:space="0" w:color="auto"/>
            </w:tcBorders>
          </w:tcPr>
          <w:p w14:paraId="1430D166" w14:textId="77777777" w:rsidR="006031D6" w:rsidRPr="006031D6" w:rsidRDefault="006031D6" w:rsidP="005179D3">
            <w:pPr>
              <w:pStyle w:val="Texttabulky"/>
              <w:spacing w:after="0" w:line="240" w:lineRule="atLeast"/>
              <w:rPr>
                <w:rFonts w:cs="Arial"/>
              </w:rPr>
            </w:pPr>
            <w:r w:rsidRPr="006031D6">
              <w:rPr>
                <w:rFonts w:cs="Arial"/>
                <w:sz w:val="18"/>
                <w:szCs w:val="18"/>
              </w:rPr>
              <w:t>529,1</w:t>
            </w:r>
          </w:p>
        </w:tc>
        <w:tc>
          <w:tcPr>
            <w:tcW w:w="659" w:type="dxa"/>
            <w:tcBorders>
              <w:top w:val="single" w:sz="6" w:space="0" w:color="auto"/>
              <w:left w:val="single" w:sz="6" w:space="0" w:color="auto"/>
              <w:bottom w:val="single" w:sz="6" w:space="0" w:color="auto"/>
              <w:right w:val="single" w:sz="6" w:space="0" w:color="auto"/>
            </w:tcBorders>
          </w:tcPr>
          <w:p w14:paraId="2FDDF8F8" w14:textId="77777777" w:rsidR="006031D6" w:rsidRPr="006031D6" w:rsidRDefault="006031D6" w:rsidP="005179D3">
            <w:pPr>
              <w:pStyle w:val="Texttabulky"/>
              <w:spacing w:after="0" w:line="240" w:lineRule="atLeast"/>
              <w:rPr>
                <w:rFonts w:cs="Arial"/>
              </w:rPr>
            </w:pPr>
            <w:r w:rsidRPr="006031D6">
              <w:rPr>
                <w:rFonts w:cs="Arial"/>
                <w:sz w:val="18"/>
                <w:szCs w:val="18"/>
              </w:rPr>
              <w:t>37,4</w:t>
            </w:r>
          </w:p>
        </w:tc>
        <w:tc>
          <w:tcPr>
            <w:tcW w:w="572" w:type="dxa"/>
            <w:tcBorders>
              <w:top w:val="single" w:sz="6" w:space="0" w:color="auto"/>
              <w:left w:val="single" w:sz="6" w:space="0" w:color="auto"/>
              <w:bottom w:val="single" w:sz="6" w:space="0" w:color="auto"/>
              <w:right w:val="single" w:sz="6" w:space="0" w:color="auto"/>
            </w:tcBorders>
          </w:tcPr>
          <w:p w14:paraId="71A4FD6F" w14:textId="77777777" w:rsidR="006031D6" w:rsidRPr="006031D6" w:rsidRDefault="006031D6" w:rsidP="005179D3">
            <w:pPr>
              <w:pStyle w:val="Texttabulky"/>
              <w:spacing w:after="0" w:line="240" w:lineRule="atLeast"/>
              <w:rPr>
                <w:rFonts w:cs="Arial"/>
              </w:rPr>
            </w:pPr>
            <w:r w:rsidRPr="006031D6">
              <w:rPr>
                <w:rFonts w:cs="Arial"/>
                <w:sz w:val="18"/>
                <w:szCs w:val="18"/>
              </w:rPr>
              <w:t>1,9</w:t>
            </w:r>
          </w:p>
        </w:tc>
        <w:tc>
          <w:tcPr>
            <w:tcW w:w="797" w:type="dxa"/>
            <w:tcBorders>
              <w:top w:val="single" w:sz="6" w:space="0" w:color="auto"/>
              <w:left w:val="single" w:sz="6" w:space="0" w:color="auto"/>
              <w:bottom w:val="single" w:sz="6" w:space="0" w:color="auto"/>
              <w:right w:val="single" w:sz="6" w:space="0" w:color="auto"/>
            </w:tcBorders>
          </w:tcPr>
          <w:p w14:paraId="619B8621" w14:textId="77777777" w:rsidR="006031D6" w:rsidRPr="006031D6" w:rsidRDefault="006031D6" w:rsidP="005179D3">
            <w:pPr>
              <w:pStyle w:val="Texttabulky"/>
              <w:spacing w:after="0" w:line="240" w:lineRule="atLeast"/>
              <w:rPr>
                <w:rFonts w:cs="Arial"/>
              </w:rPr>
            </w:pPr>
            <w:r w:rsidRPr="006031D6">
              <w:rPr>
                <w:rFonts w:cs="Arial"/>
                <w:sz w:val="18"/>
                <w:szCs w:val="18"/>
              </w:rPr>
              <w:t>&lt;0,005</w:t>
            </w:r>
          </w:p>
        </w:tc>
      </w:tr>
    </w:tbl>
    <w:p w14:paraId="07E5DC9E" w14:textId="77777777" w:rsidR="006031D6" w:rsidRPr="006031D6" w:rsidRDefault="006031D6" w:rsidP="006031D6">
      <w:pPr>
        <w:pStyle w:val="Zkladntext"/>
        <w:spacing w:line="240" w:lineRule="atLeast"/>
        <w:rPr>
          <w:rFonts w:ascii="Arial" w:hAnsi="Arial" w:cs="Arial"/>
        </w:rPr>
      </w:pPr>
      <w:r w:rsidRPr="006031D6">
        <w:rPr>
          <w:rFonts w:ascii="Arial" w:hAnsi="Arial" w:cs="Arial"/>
        </w:rPr>
        <w:tab/>
      </w:r>
      <w:r w:rsidRPr="006031D6">
        <w:rPr>
          <w:rFonts w:ascii="Arial" w:hAnsi="Arial" w:cs="Arial"/>
        </w:rPr>
        <w:tab/>
      </w:r>
      <w:r w:rsidRPr="006031D6">
        <w:rPr>
          <w:rFonts w:ascii="Arial" w:hAnsi="Arial" w:cs="Arial"/>
        </w:rPr>
        <w:tab/>
      </w:r>
      <w:r w:rsidRPr="006031D6">
        <w:rPr>
          <w:rFonts w:ascii="Arial" w:hAnsi="Arial" w:cs="Arial"/>
        </w:rPr>
        <w:tab/>
      </w:r>
      <w:r w:rsidRPr="006031D6">
        <w:rPr>
          <w:rFonts w:ascii="Arial" w:hAnsi="Arial" w:cs="Arial"/>
        </w:rPr>
        <w:tab/>
      </w:r>
      <w:r w:rsidRPr="006031D6">
        <w:rPr>
          <w:rFonts w:ascii="Arial" w:hAnsi="Arial" w:cs="Arial"/>
        </w:rPr>
        <w:tab/>
        <w:t>C</w:t>
      </w:r>
      <w:r w:rsidRPr="006031D6">
        <w:rPr>
          <w:rFonts w:ascii="Arial" w:hAnsi="Arial" w:cs="Arial"/>
          <w:position w:val="-6"/>
        </w:rPr>
        <w:t xml:space="preserve">90 </w:t>
      </w:r>
      <w:r w:rsidRPr="006031D6">
        <w:rPr>
          <w:rFonts w:ascii="Arial" w:hAnsi="Arial" w:cs="Arial"/>
        </w:rPr>
        <w:t xml:space="preserve"> - </w:t>
      </w:r>
      <w:r w:rsidRPr="006031D6">
        <w:rPr>
          <w:rFonts w:ascii="Arial" w:hAnsi="Arial" w:cs="Arial"/>
          <w:sz w:val="18"/>
          <w:szCs w:val="18"/>
        </w:rPr>
        <w:t xml:space="preserve">koncentrace s pravděpodobností nepřekročení 90 %. </w:t>
      </w:r>
    </w:p>
    <w:p w14:paraId="184D4888" w14:textId="77777777" w:rsidR="006031D6" w:rsidRPr="006031D6" w:rsidRDefault="006031D6" w:rsidP="006031D6">
      <w:pPr>
        <w:pStyle w:val="Zkladntext"/>
        <w:keepNext/>
        <w:spacing w:before="120" w:line="288" w:lineRule="auto"/>
        <w:ind w:firstLine="709"/>
        <w:rPr>
          <w:rFonts w:ascii="Arial" w:hAnsi="Arial" w:cs="Arial"/>
          <w:sz w:val="22"/>
          <w:szCs w:val="22"/>
        </w:rPr>
      </w:pPr>
      <w:r w:rsidRPr="006031D6">
        <w:rPr>
          <w:rFonts w:ascii="Arial" w:hAnsi="Arial" w:cs="Arial"/>
          <w:sz w:val="22"/>
          <w:szCs w:val="22"/>
        </w:rPr>
        <w:t>V profilu Vaňova, přítoku Bíliny a Děčína byly zjištěny (r. 1992 Laboratoře Vodní zdroje GLS) dále uvedené koncentrace specifických organických látek ( g.1</w:t>
      </w:r>
      <w:r w:rsidRPr="006031D6">
        <w:rPr>
          <w:rFonts w:ascii="Arial" w:hAnsi="Arial" w:cs="Arial"/>
          <w:position w:val="6"/>
          <w:sz w:val="22"/>
          <w:szCs w:val="22"/>
        </w:rPr>
        <w:t>-1</w:t>
      </w:r>
      <w:r w:rsidRPr="006031D6">
        <w:rPr>
          <w:rFonts w:ascii="Arial" w:hAnsi="Arial" w:cs="Arial"/>
          <w:sz w:val="22"/>
          <w:szCs w:val="22"/>
        </w:rPr>
        <w:t>).</w:t>
      </w:r>
    </w:p>
    <w:p w14:paraId="67E4468C" w14:textId="77777777" w:rsidR="006031D6" w:rsidRPr="006031D6" w:rsidRDefault="006031D6" w:rsidP="006031D6">
      <w:pPr>
        <w:pStyle w:val="Zkladntext"/>
        <w:keepNext/>
        <w:spacing w:before="120" w:line="288" w:lineRule="auto"/>
        <w:ind w:firstLine="709"/>
        <w:rPr>
          <w:rFonts w:ascii="Arial" w:hAnsi="Arial" w:cs="Arial"/>
          <w:sz w:val="22"/>
          <w:szCs w:val="22"/>
        </w:rPr>
      </w:pPr>
      <w:r w:rsidRPr="006031D6">
        <w:rPr>
          <w:rFonts w:ascii="Arial" w:hAnsi="Arial" w:cs="Arial"/>
          <w:b/>
          <w:bCs/>
          <w:sz w:val="22"/>
          <w:szCs w:val="22"/>
        </w:rPr>
        <w:t>Voda je dle různých kritérií znečištěná až velmi silně znečištěná</w:t>
      </w:r>
      <w:r w:rsidRPr="006031D6">
        <w:rPr>
          <w:rFonts w:ascii="Arial" w:hAnsi="Arial" w:cs="Arial"/>
          <w:sz w:val="22"/>
          <w:szCs w:val="22"/>
        </w:rPr>
        <w:t xml:space="preserve"> (ČSN 75 7221). Kvalita se v průběhu let stabilizovala, nevykazuje další prudké zhoršování, naopak trend je ke zlepšování.</w:t>
      </w:r>
    </w:p>
    <w:p w14:paraId="3B734B17" w14:textId="77777777" w:rsidR="006031D6" w:rsidRPr="006031D6" w:rsidRDefault="006031D6" w:rsidP="006031D6">
      <w:pPr>
        <w:pStyle w:val="Zkladntext"/>
        <w:keepNext/>
        <w:spacing w:before="120" w:line="288" w:lineRule="auto"/>
        <w:ind w:firstLine="709"/>
        <w:rPr>
          <w:rFonts w:ascii="Arial" w:hAnsi="Arial" w:cs="Arial"/>
          <w:sz w:val="22"/>
          <w:szCs w:val="22"/>
        </w:rPr>
      </w:pPr>
      <w:r w:rsidRPr="006031D6">
        <w:rPr>
          <w:rFonts w:ascii="Arial" w:hAnsi="Arial" w:cs="Arial"/>
          <w:sz w:val="22"/>
          <w:szCs w:val="22"/>
        </w:rPr>
        <w:t xml:space="preserve">Širší využití vody ke koupání, rybolovu a závlahám však nelze zatím v daném úseku řeky doporučit. </w:t>
      </w:r>
    </w:p>
    <w:p w14:paraId="51149037" w14:textId="77777777" w:rsidR="006031D6" w:rsidRPr="006031D6" w:rsidRDefault="006031D6" w:rsidP="006031D6">
      <w:pPr>
        <w:pStyle w:val="podnadpis2"/>
        <w:spacing w:line="240" w:lineRule="atLeast"/>
        <w:jc w:val="both"/>
        <w:rPr>
          <w:rFonts w:cs="Arial"/>
        </w:rPr>
      </w:pPr>
      <w:r w:rsidRPr="006031D6">
        <w:rPr>
          <w:rFonts w:cs="Arial"/>
        </w:rPr>
        <w:t xml:space="preserve">Ploučnice </w:t>
      </w:r>
    </w:p>
    <w:p w14:paraId="1CED662C" w14:textId="77777777" w:rsidR="006031D6" w:rsidRPr="006031D6" w:rsidRDefault="006031D6" w:rsidP="006031D6">
      <w:pPr>
        <w:pStyle w:val="Zkladntext"/>
        <w:spacing w:line="240" w:lineRule="atLeast"/>
        <w:rPr>
          <w:rFonts w:ascii="Arial" w:hAnsi="Arial" w:cs="Arial"/>
          <w:sz w:val="22"/>
          <w:szCs w:val="22"/>
        </w:rPr>
      </w:pPr>
      <w:r w:rsidRPr="006031D6">
        <w:rPr>
          <w:rFonts w:ascii="Arial" w:hAnsi="Arial" w:cs="Arial"/>
          <w:b/>
          <w:bCs/>
          <w:sz w:val="22"/>
          <w:szCs w:val="22"/>
        </w:rPr>
        <w:t xml:space="preserve">v profilu Děčín má následující znečištění: </w:t>
      </w:r>
    </w:p>
    <w:p w14:paraId="5A7577CE" w14:textId="77777777" w:rsidR="006031D6" w:rsidRPr="006031D6" w:rsidRDefault="006031D6" w:rsidP="006031D6">
      <w:pPr>
        <w:pStyle w:val="Zkladntext"/>
        <w:spacing w:line="240" w:lineRule="atLeast"/>
        <w:rPr>
          <w:rFonts w:ascii="Arial" w:hAnsi="Arial" w:cs="Arial"/>
        </w:rPr>
      </w:pPr>
    </w:p>
    <w:p w14:paraId="67820129" w14:textId="77777777" w:rsidR="006031D6" w:rsidRPr="006031D6" w:rsidRDefault="006031D6" w:rsidP="006031D6">
      <w:pPr>
        <w:pStyle w:val="Zkladntext"/>
        <w:spacing w:line="240" w:lineRule="atLeast"/>
        <w:rPr>
          <w:rFonts w:ascii="Arial" w:hAnsi="Arial" w:cs="Arial"/>
          <w:sz w:val="22"/>
          <w:szCs w:val="22"/>
        </w:rPr>
      </w:pPr>
      <w:r w:rsidRPr="006031D6">
        <w:rPr>
          <w:rFonts w:ascii="Arial" w:hAnsi="Arial" w:cs="Arial"/>
          <w:sz w:val="22"/>
          <w:szCs w:val="22"/>
        </w:rPr>
        <w:t xml:space="preserve">A (kyslíkový režim) </w:t>
      </w:r>
      <w:r w:rsidRPr="006031D6">
        <w:rPr>
          <w:rFonts w:ascii="Arial" w:hAnsi="Arial" w:cs="Arial"/>
          <w:sz w:val="22"/>
          <w:szCs w:val="22"/>
        </w:rPr>
        <w:tab/>
        <w:t xml:space="preserve">B. (chemické ukazatele) </w:t>
      </w:r>
      <w:r w:rsidRPr="006031D6">
        <w:rPr>
          <w:rFonts w:ascii="Arial" w:hAnsi="Arial" w:cs="Arial"/>
          <w:sz w:val="22"/>
          <w:szCs w:val="22"/>
        </w:rPr>
        <w:tab/>
      </w:r>
      <w:r w:rsidRPr="006031D6">
        <w:rPr>
          <w:rFonts w:ascii="Arial" w:hAnsi="Arial" w:cs="Arial"/>
          <w:sz w:val="22"/>
          <w:szCs w:val="22"/>
        </w:rPr>
        <w:tab/>
        <w:t xml:space="preserve">C. (Chem. ukaz. doplňující) </w:t>
      </w:r>
    </w:p>
    <w:p w14:paraId="01736E3F" w14:textId="77777777" w:rsidR="006031D6" w:rsidRPr="006031D6" w:rsidRDefault="006031D6" w:rsidP="006031D6">
      <w:pPr>
        <w:pStyle w:val="Zkladntext"/>
        <w:spacing w:line="240" w:lineRule="atLeast"/>
        <w:rPr>
          <w:rFonts w:ascii="Arial" w:hAnsi="Arial" w:cs="Arial"/>
          <w:sz w:val="22"/>
          <w:szCs w:val="22"/>
        </w:rPr>
      </w:pPr>
      <w:r w:rsidRPr="006031D6">
        <w:rPr>
          <w:rFonts w:ascii="Arial" w:hAnsi="Arial" w:cs="Arial"/>
          <w:sz w:val="22"/>
          <w:szCs w:val="22"/>
        </w:rPr>
        <w:t xml:space="preserve">     </w:t>
      </w:r>
      <w:r w:rsidRPr="006031D6">
        <w:rPr>
          <w:rFonts w:ascii="Arial" w:hAnsi="Arial" w:cs="Arial"/>
          <w:sz w:val="22"/>
          <w:szCs w:val="22"/>
        </w:rPr>
        <w:tab/>
        <w:t xml:space="preserve">III.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III.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II. </w:t>
      </w:r>
    </w:p>
    <w:p w14:paraId="44590D06" w14:textId="77777777" w:rsidR="006031D6" w:rsidRPr="006031D6" w:rsidRDefault="006031D6" w:rsidP="006031D6">
      <w:pPr>
        <w:pStyle w:val="Zkladntext"/>
        <w:spacing w:line="240" w:lineRule="atLeast"/>
        <w:rPr>
          <w:rFonts w:ascii="Arial" w:hAnsi="Arial" w:cs="Arial"/>
          <w:sz w:val="22"/>
          <w:szCs w:val="22"/>
        </w:rPr>
      </w:pPr>
      <w:r w:rsidRPr="006031D6">
        <w:rPr>
          <w:rFonts w:ascii="Arial" w:hAnsi="Arial" w:cs="Arial"/>
          <w:sz w:val="22"/>
          <w:szCs w:val="22"/>
        </w:rPr>
        <w:t xml:space="preserve">D. (Těžké kovy) </w:t>
      </w:r>
      <w:r w:rsidRPr="006031D6">
        <w:rPr>
          <w:rFonts w:ascii="Arial" w:hAnsi="Arial" w:cs="Arial"/>
          <w:sz w:val="22"/>
          <w:szCs w:val="22"/>
        </w:rPr>
        <w:tab/>
      </w:r>
      <w:r w:rsidRPr="006031D6">
        <w:rPr>
          <w:rFonts w:ascii="Arial" w:hAnsi="Arial" w:cs="Arial"/>
          <w:sz w:val="22"/>
          <w:szCs w:val="22"/>
        </w:rPr>
        <w:tab/>
        <w:t>E. (biolog. a mikrobiol. ukaz.)</w:t>
      </w:r>
      <w:r w:rsidRPr="006031D6">
        <w:rPr>
          <w:rFonts w:ascii="Arial" w:hAnsi="Arial" w:cs="Arial"/>
          <w:sz w:val="22"/>
          <w:szCs w:val="22"/>
        </w:rPr>
        <w:tab/>
      </w:r>
    </w:p>
    <w:p w14:paraId="27558A7B" w14:textId="77777777" w:rsidR="006031D6" w:rsidRPr="006031D6" w:rsidRDefault="006031D6" w:rsidP="006031D6">
      <w:pPr>
        <w:pStyle w:val="Zkladntext"/>
        <w:tabs>
          <w:tab w:val="left" w:pos="3540"/>
        </w:tabs>
        <w:spacing w:line="240" w:lineRule="atLeast"/>
        <w:ind w:left="3540" w:hanging="2835"/>
        <w:rPr>
          <w:rFonts w:ascii="Arial" w:hAnsi="Arial" w:cs="Arial"/>
        </w:rPr>
      </w:pPr>
      <w:r w:rsidRPr="006031D6">
        <w:rPr>
          <w:rFonts w:ascii="Arial" w:hAnsi="Arial" w:cs="Arial"/>
        </w:rPr>
        <w:t xml:space="preserve">            III.</w:t>
      </w:r>
      <w:r w:rsidRPr="006031D6">
        <w:rPr>
          <w:rFonts w:ascii="Arial" w:hAnsi="Arial" w:cs="Arial"/>
        </w:rPr>
        <w:tab/>
        <w:t xml:space="preserve"> III. </w:t>
      </w:r>
    </w:p>
    <w:p w14:paraId="17AE53D2" w14:textId="77777777" w:rsidR="006031D6" w:rsidRPr="006031D6" w:rsidRDefault="006031D6" w:rsidP="006031D6">
      <w:pPr>
        <w:pStyle w:val="Zkladntext"/>
        <w:spacing w:line="240" w:lineRule="atLeast"/>
        <w:ind w:firstLine="709"/>
        <w:rPr>
          <w:rFonts w:ascii="Arial" w:hAnsi="Arial" w:cs="Arial"/>
          <w:sz w:val="22"/>
          <w:szCs w:val="22"/>
        </w:rPr>
      </w:pPr>
      <w:r w:rsidRPr="006031D6">
        <w:rPr>
          <w:rFonts w:ascii="Arial" w:hAnsi="Arial" w:cs="Arial"/>
          <w:b/>
          <w:bCs/>
          <w:sz w:val="22"/>
          <w:szCs w:val="22"/>
        </w:rPr>
        <w:t xml:space="preserve">Voda je ve všech kritériích klasifikovaná jako znečištěná. </w:t>
      </w:r>
    </w:p>
    <w:p w14:paraId="15D26F8A" w14:textId="77777777" w:rsidR="006031D6" w:rsidRPr="006031D6" w:rsidRDefault="006031D6" w:rsidP="006031D6">
      <w:pPr>
        <w:pStyle w:val="Zkladntext"/>
        <w:spacing w:line="240" w:lineRule="atLeast"/>
        <w:ind w:firstLine="708"/>
        <w:rPr>
          <w:rFonts w:ascii="Arial" w:hAnsi="Arial" w:cs="Arial"/>
        </w:rPr>
      </w:pPr>
    </w:p>
    <w:p w14:paraId="450DC937" w14:textId="77777777" w:rsidR="006031D6" w:rsidRPr="006031D6" w:rsidRDefault="006031D6" w:rsidP="006031D6">
      <w:pPr>
        <w:pStyle w:val="Zkladntext"/>
        <w:spacing w:before="120" w:line="288" w:lineRule="auto"/>
        <w:ind w:firstLine="708"/>
        <w:rPr>
          <w:rFonts w:ascii="Arial" w:hAnsi="Arial" w:cs="Arial"/>
          <w:sz w:val="22"/>
          <w:szCs w:val="22"/>
        </w:rPr>
      </w:pPr>
      <w:r w:rsidRPr="006031D6">
        <w:rPr>
          <w:rFonts w:ascii="Arial" w:hAnsi="Arial" w:cs="Arial"/>
          <w:sz w:val="22"/>
          <w:szCs w:val="22"/>
        </w:rPr>
        <w:t xml:space="preserve">U ostatních toků nejsou soustavné rozbory k dispozici. Pouze však na základě místní prohlídky lze konstatovat, že průtokem přes zastavěné území se kvalita všech toků viditelně </w:t>
      </w:r>
      <w:r w:rsidRPr="006031D6">
        <w:rPr>
          <w:rFonts w:ascii="Arial" w:hAnsi="Arial" w:cs="Arial"/>
          <w:sz w:val="22"/>
          <w:szCs w:val="22"/>
        </w:rPr>
        <w:lastRenderedPageBreak/>
        <w:t>zhorší, což je nejvíce patrné u málo vodných toků. Nezbytná je proto dostavba kanalizace a podchycení všech zdrojů znečištění k likvidaci v celém řešeném území.</w:t>
      </w:r>
    </w:p>
    <w:p w14:paraId="3CED12C8" w14:textId="77777777" w:rsidR="006031D6" w:rsidRPr="006031D6" w:rsidRDefault="006031D6" w:rsidP="006031D6">
      <w:pPr>
        <w:pStyle w:val="Zkladntext"/>
        <w:spacing w:before="120" w:line="288" w:lineRule="auto"/>
        <w:ind w:firstLine="708"/>
        <w:rPr>
          <w:rFonts w:ascii="Arial" w:hAnsi="Arial" w:cs="Arial"/>
          <w:sz w:val="22"/>
          <w:szCs w:val="22"/>
        </w:rPr>
      </w:pPr>
    </w:p>
    <w:p w14:paraId="6DF6474A" w14:textId="77777777" w:rsidR="006031D6" w:rsidRPr="006031D6" w:rsidRDefault="006031D6" w:rsidP="006031D6">
      <w:pPr>
        <w:pStyle w:val="Zkladntext"/>
        <w:spacing w:before="120" w:line="288" w:lineRule="auto"/>
        <w:rPr>
          <w:rFonts w:ascii="Arial" w:hAnsi="Arial" w:cs="Arial"/>
          <w:b/>
        </w:rPr>
      </w:pPr>
      <w:r w:rsidRPr="006031D6">
        <w:rPr>
          <w:rFonts w:ascii="Arial" w:hAnsi="Arial" w:cs="Arial"/>
          <w:b/>
          <w:color w:val="00B050"/>
          <w:spacing w:val="3"/>
        </w:rPr>
        <w:t xml:space="preserve">(Z1) </w:t>
      </w:r>
      <w:r w:rsidRPr="006031D6">
        <w:rPr>
          <w:rFonts w:ascii="Arial" w:hAnsi="Arial" w:cs="Arial"/>
          <w:b/>
          <w:color w:val="00B050"/>
        </w:rPr>
        <w:t>PŘEDPOKLÁDANÉ DŮSLEDKY NA ŽIVOTNÍ PROSTŘEDÍ</w:t>
      </w:r>
    </w:p>
    <w:p w14:paraId="1C19CA69" w14:textId="77777777" w:rsidR="006031D6" w:rsidRPr="006031D6" w:rsidRDefault="006031D6" w:rsidP="006031D6">
      <w:pPr>
        <w:spacing w:before="120" w:line="288" w:lineRule="auto"/>
        <w:ind w:firstLine="426"/>
        <w:jc w:val="both"/>
        <w:rPr>
          <w:rFonts w:ascii="Arial" w:hAnsi="Arial" w:cs="Arial"/>
          <w:color w:val="00B050"/>
          <w:sz w:val="22"/>
          <w:szCs w:val="22"/>
        </w:rPr>
      </w:pPr>
      <w:r w:rsidRPr="006031D6">
        <w:rPr>
          <w:rFonts w:ascii="Arial" w:hAnsi="Arial" w:cs="Arial"/>
          <w:color w:val="00B050"/>
          <w:sz w:val="22"/>
          <w:szCs w:val="22"/>
        </w:rPr>
        <w:t>V souladu s §17 odst. a) zákona. 86/2002 Sb. nově navržené lokality musí respektovat požadavky na ochranu ovzduší k zabezpečení jeho odpovídající kvality v souladu s emisním stropem a programy snižování emisí znečišťujících látek.</w:t>
      </w:r>
    </w:p>
    <w:p w14:paraId="2476E09C" w14:textId="77777777" w:rsidR="006031D6" w:rsidRPr="006031D6" w:rsidRDefault="006031D6" w:rsidP="006031D6">
      <w:pPr>
        <w:spacing w:before="120" w:line="288" w:lineRule="auto"/>
        <w:ind w:firstLine="426"/>
        <w:jc w:val="both"/>
        <w:rPr>
          <w:rFonts w:ascii="Arial" w:hAnsi="Arial" w:cs="Arial"/>
          <w:color w:val="00B050"/>
          <w:sz w:val="22"/>
          <w:szCs w:val="22"/>
        </w:rPr>
      </w:pPr>
      <w:r w:rsidRPr="006031D6">
        <w:rPr>
          <w:rFonts w:ascii="Arial" w:hAnsi="Arial" w:cs="Arial"/>
          <w:color w:val="00B050"/>
          <w:sz w:val="22"/>
          <w:szCs w:val="22"/>
        </w:rPr>
        <w:t>Z hlediska ochrany ovzduší jsou navržena v části energetika opatření na ochranu ovzduší v souladu s emisním stropem a programem na snižování emisí v souladu s § 17 odst. a) zákona. 86/2002 Sb.</w:t>
      </w:r>
    </w:p>
    <w:p w14:paraId="7F937891" w14:textId="77777777" w:rsidR="006031D6" w:rsidRDefault="006031D6" w:rsidP="006031D6">
      <w:pPr>
        <w:spacing w:before="120" w:line="288" w:lineRule="auto"/>
        <w:ind w:firstLine="426"/>
        <w:jc w:val="both"/>
        <w:rPr>
          <w:rFonts w:ascii="Arial" w:hAnsi="Arial" w:cs="Arial"/>
          <w:color w:val="00B050"/>
          <w:sz w:val="22"/>
          <w:szCs w:val="22"/>
        </w:rPr>
      </w:pPr>
      <w:r w:rsidRPr="006031D6">
        <w:rPr>
          <w:rFonts w:ascii="Arial" w:hAnsi="Arial" w:cs="Arial"/>
          <w:color w:val="00B050"/>
          <w:sz w:val="22"/>
          <w:szCs w:val="22"/>
        </w:rPr>
        <w:t>Nakládání s odpady - beze změny. Likvidace TKO - likvidaci tuhého komunálního odpadu zajišťují TS města Děčín odvozem na skládku Orlík.</w:t>
      </w:r>
    </w:p>
    <w:p w14:paraId="57853FD8" w14:textId="77777777" w:rsidR="004D4721" w:rsidRPr="006031D6" w:rsidRDefault="004D4721" w:rsidP="006031D6">
      <w:pPr>
        <w:spacing w:before="120" w:line="288" w:lineRule="auto"/>
        <w:ind w:firstLine="426"/>
        <w:jc w:val="both"/>
        <w:rPr>
          <w:rFonts w:ascii="Arial" w:hAnsi="Arial" w:cs="Arial"/>
          <w:color w:val="00B050"/>
          <w:sz w:val="22"/>
          <w:szCs w:val="22"/>
        </w:rPr>
      </w:pPr>
    </w:p>
    <w:p w14:paraId="2DEF3456" w14:textId="77777777" w:rsidR="006031D6" w:rsidRPr="006031D6" w:rsidRDefault="006031D6" w:rsidP="006031D6">
      <w:pPr>
        <w:pStyle w:val="Zkladntext"/>
        <w:spacing w:before="120" w:line="288" w:lineRule="auto"/>
        <w:rPr>
          <w:rFonts w:ascii="Arial" w:hAnsi="Arial" w:cs="Arial"/>
          <w:b/>
          <w:color w:val="BF8F00"/>
          <w:sz w:val="22"/>
          <w:szCs w:val="22"/>
        </w:rPr>
      </w:pPr>
      <w:r w:rsidRPr="006031D6">
        <w:rPr>
          <w:rFonts w:ascii="Arial" w:hAnsi="Arial" w:cs="Arial"/>
          <w:b/>
          <w:color w:val="BF8F00"/>
          <w:sz w:val="22"/>
          <w:szCs w:val="22"/>
        </w:rPr>
        <w:t>(Z2) KAPITOLA NENÍ ZASTOUPENA VE ZMĚNĚ Č. 2.</w:t>
      </w:r>
    </w:p>
    <w:p w14:paraId="4CB78C2D" w14:textId="77777777" w:rsidR="006031D6" w:rsidRPr="006031D6" w:rsidRDefault="006031D6" w:rsidP="006031D6">
      <w:pPr>
        <w:pStyle w:val="Zkladntext"/>
        <w:spacing w:before="120" w:line="288" w:lineRule="auto"/>
        <w:ind w:firstLine="708"/>
        <w:rPr>
          <w:rFonts w:ascii="Arial" w:hAnsi="Arial" w:cs="Arial"/>
          <w:color w:val="BF8F00"/>
          <w:sz w:val="22"/>
          <w:szCs w:val="22"/>
        </w:rPr>
      </w:pPr>
    </w:p>
    <w:p w14:paraId="38897862" w14:textId="77777777" w:rsidR="006031D6" w:rsidRPr="006031D6" w:rsidRDefault="006031D6" w:rsidP="006031D6">
      <w:pPr>
        <w:pStyle w:val="Zkladntext"/>
        <w:spacing w:before="120" w:line="288" w:lineRule="auto"/>
        <w:rPr>
          <w:rFonts w:ascii="Arial" w:hAnsi="Arial" w:cs="Arial"/>
          <w:b/>
          <w:color w:val="0066FF"/>
        </w:rPr>
      </w:pPr>
      <w:r w:rsidRPr="006031D6">
        <w:rPr>
          <w:rFonts w:ascii="Arial" w:hAnsi="Arial" w:cs="Arial"/>
          <w:b/>
          <w:color w:val="0066FF"/>
        </w:rPr>
        <w:t>(Z4) NAKLÁDÁNÍ S ODPADY</w:t>
      </w:r>
    </w:p>
    <w:p w14:paraId="0CDC1FDF"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Beze změny. Likvidace tuhého komunálního odpadu bude prováděna na veřejnou skládku.</w:t>
      </w:r>
    </w:p>
    <w:p w14:paraId="73BF6070" w14:textId="77777777" w:rsidR="006031D6" w:rsidRPr="006031D6" w:rsidRDefault="006031D6" w:rsidP="006031D6">
      <w:pPr>
        <w:spacing w:before="120" w:line="288" w:lineRule="auto"/>
        <w:jc w:val="both"/>
        <w:rPr>
          <w:rFonts w:ascii="Arial" w:hAnsi="Arial" w:cs="Arial"/>
          <w:b/>
          <w:color w:val="D60093"/>
        </w:rPr>
      </w:pPr>
      <w:r w:rsidRPr="006031D6">
        <w:rPr>
          <w:rFonts w:ascii="Arial" w:hAnsi="Arial" w:cs="Arial"/>
          <w:b/>
          <w:color w:val="D60093"/>
        </w:rPr>
        <w:t>(Z6) KONCEPCE NAKLÁDÁNÍ S ODPADY</w:t>
      </w:r>
    </w:p>
    <w:p w14:paraId="0FE38BE5" w14:textId="77777777" w:rsidR="006031D6" w:rsidRPr="006031D6" w:rsidRDefault="006031D6" w:rsidP="005179D3">
      <w:pPr>
        <w:spacing w:before="120" w:line="288" w:lineRule="auto"/>
        <w:ind w:firstLine="708"/>
        <w:jc w:val="both"/>
        <w:rPr>
          <w:rFonts w:ascii="Arial" w:hAnsi="Arial" w:cs="Arial"/>
          <w:color w:val="D60093"/>
          <w:sz w:val="22"/>
          <w:szCs w:val="22"/>
        </w:rPr>
      </w:pPr>
      <w:r w:rsidRPr="006031D6">
        <w:rPr>
          <w:rFonts w:ascii="Arial" w:hAnsi="Arial" w:cs="Arial"/>
          <w:color w:val="D60093"/>
          <w:sz w:val="22"/>
          <w:szCs w:val="22"/>
        </w:rPr>
        <w:t xml:space="preserve">Koncepce nakládaní s </w:t>
      </w:r>
      <w:r w:rsidR="005179D3">
        <w:rPr>
          <w:rFonts w:ascii="Arial" w:hAnsi="Arial" w:cs="Arial"/>
          <w:color w:val="D60093"/>
          <w:sz w:val="22"/>
          <w:szCs w:val="22"/>
        </w:rPr>
        <w:t xml:space="preserve">odpady se 6. změnou ÚP nemění. </w:t>
      </w:r>
    </w:p>
    <w:p w14:paraId="277A968D" w14:textId="77777777" w:rsidR="006031D6" w:rsidRPr="006031D6" w:rsidRDefault="006031D6" w:rsidP="006031D6">
      <w:pPr>
        <w:pStyle w:val="Nadpis3"/>
        <w:spacing w:before="120" w:line="288" w:lineRule="auto"/>
        <w:rPr>
          <w:rFonts w:ascii="Arial" w:hAnsi="Arial" w:cs="Arial"/>
          <w:smallCaps/>
          <w:color w:val="FF0000"/>
        </w:rPr>
      </w:pPr>
      <w:r w:rsidRPr="006031D6">
        <w:rPr>
          <w:rFonts w:ascii="Arial" w:hAnsi="Arial" w:cs="Arial"/>
          <w:smallCaps/>
          <w:color w:val="FF0000"/>
        </w:rPr>
        <w:t xml:space="preserve">(Z8) </w:t>
      </w:r>
      <w:r w:rsidRPr="006031D6">
        <w:rPr>
          <w:rFonts w:ascii="Arial" w:hAnsi="Arial" w:cs="Arial"/>
          <w:b/>
          <w:smallCaps/>
          <w:color w:val="FF0000"/>
        </w:rPr>
        <w:t>ŽIVOTNÍ PROSTŘEDÍ</w:t>
      </w:r>
    </w:p>
    <w:p w14:paraId="24EE6834" w14:textId="77777777" w:rsidR="006031D6" w:rsidRP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t xml:space="preserve">Niva Labe leží v prostoru nízkého radonového indexu. Ve svazích převládá přechodný radonový index, který v místech výstupů hornin přechází do středního radonového indexu. Územím dále probíhá řada tektonických zlomů, nad kterými lze očekávat střední až vysoký radonový index. </w:t>
      </w:r>
    </w:p>
    <w:p w14:paraId="69206995" w14:textId="77777777" w:rsidR="006031D6" w:rsidRP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t>Vzhledem k proměnlivosti radonového indexu je nutno jeho úroveň prověřit pro každý záměr samostatně.</w:t>
      </w:r>
    </w:p>
    <w:p w14:paraId="1B7F590A" w14:textId="77777777" w:rsidR="006031D6" w:rsidRP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t>Z hlediska ochrany ovzduší jsou navržena v části energetika opatření na ochranu ovzduší v souladu s emisním stropem a programem na snižování emisí v souladu s § 17 odst. a) zákona. 86/2002 Sb.</w:t>
      </w:r>
    </w:p>
    <w:p w14:paraId="7F879B49" w14:textId="77777777" w:rsidR="006031D6" w:rsidRP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t xml:space="preserve">U nových lokalit bydlení se nepředpokládá zasažení nepříznivými účinky hluku a vibrací od sousedících komunikací. Ve smyslu nařízení vlády č. 148/2006 Sb., o ochraně zdraví před nepříznivými účinky hluku a vibrací. </w:t>
      </w:r>
    </w:p>
    <w:p w14:paraId="105D4ABD" w14:textId="77777777" w:rsid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t>Na základě společného jednání s dotčenými orgány o návrhu 8. změny Územního plánu města Děčín došlo na základě jejich nesouhlasu k vyřazení některých lokalit a zmenšení počtu na 40. Na základě veřejného projednání byly na žádost vlastníka vyřazeny plochy 8Z-53</w:t>
      </w:r>
      <w:r w:rsidRPr="006031D6">
        <w:rPr>
          <w:rFonts w:ascii="Arial" w:hAnsi="Arial" w:cs="Arial"/>
          <w:color w:val="FF0000"/>
          <w:sz w:val="22"/>
          <w:szCs w:val="22"/>
        </w:rPr>
        <w:br/>
      </w:r>
      <w:r w:rsidRPr="006031D6">
        <w:rPr>
          <w:rFonts w:ascii="Arial" w:hAnsi="Arial" w:cs="Arial"/>
          <w:color w:val="FF0000"/>
          <w:sz w:val="22"/>
          <w:szCs w:val="22"/>
        </w:rPr>
        <w:lastRenderedPageBreak/>
        <w:t>a 8Z-54, byla zmenšena lokality č. 8Z-55. Do projednání byla vrácena plocha rekreace 8Z-10. Stávající počet je 39 ploch.</w:t>
      </w:r>
    </w:p>
    <w:p w14:paraId="6608FB04" w14:textId="77777777" w:rsidR="004D4721" w:rsidRDefault="004D4721" w:rsidP="004D4721">
      <w:pPr>
        <w:spacing w:before="120" w:line="288" w:lineRule="auto"/>
        <w:jc w:val="both"/>
        <w:rPr>
          <w:rFonts w:ascii="Arial" w:hAnsi="Arial" w:cs="Arial"/>
          <w:b/>
          <w:color w:val="18B8B0"/>
          <w:sz w:val="22"/>
          <w:szCs w:val="22"/>
        </w:rPr>
      </w:pPr>
      <w:r w:rsidRPr="007E7D7A">
        <w:rPr>
          <w:rFonts w:ascii="Arial" w:hAnsi="Arial" w:cs="Arial"/>
          <w:b/>
          <w:color w:val="18B8B0"/>
          <w:sz w:val="22"/>
          <w:szCs w:val="22"/>
        </w:rPr>
        <w:t>(Z12) KAPITOLA SE ZMĚNOU Č. 12 NEMĚNÍ.</w:t>
      </w:r>
      <w:r w:rsidRPr="004D4721">
        <w:rPr>
          <w:rFonts w:ascii="Arial" w:hAnsi="Arial" w:cs="Arial"/>
          <w:b/>
          <w:color w:val="18B8B0"/>
          <w:sz w:val="22"/>
          <w:szCs w:val="22"/>
        </w:rPr>
        <w:t xml:space="preserve"> </w:t>
      </w:r>
    </w:p>
    <w:p w14:paraId="0192B7CD" w14:textId="77777777" w:rsidR="004D4721" w:rsidRPr="004D4721" w:rsidRDefault="004D4721" w:rsidP="004D4721">
      <w:pPr>
        <w:spacing w:before="120" w:line="288" w:lineRule="auto"/>
        <w:jc w:val="both"/>
        <w:rPr>
          <w:rFonts w:ascii="Arial" w:hAnsi="Arial" w:cs="Arial"/>
          <w:b/>
          <w:color w:val="18B8B0"/>
          <w:sz w:val="22"/>
          <w:szCs w:val="22"/>
        </w:rPr>
      </w:pPr>
    </w:p>
    <w:p w14:paraId="74A1E3CC" w14:textId="77777777" w:rsidR="006031D6" w:rsidRPr="006031D6" w:rsidRDefault="006031D6" w:rsidP="006031D6">
      <w:pPr>
        <w:ind w:right="14"/>
        <w:rPr>
          <w:rFonts w:ascii="Arial" w:hAnsi="Arial" w:cs="Arial"/>
          <w:b/>
          <w:sz w:val="46"/>
          <w:szCs w:val="46"/>
        </w:rPr>
      </w:pPr>
      <w:r w:rsidRPr="006031D6">
        <w:rPr>
          <w:rFonts w:ascii="Arial" w:hAnsi="Arial" w:cs="Arial"/>
          <w:b/>
          <w:sz w:val="46"/>
          <w:szCs w:val="46"/>
        </w:rPr>
        <w:t>F. NÁVRH KONCEPCE DOPRAVY</w:t>
      </w:r>
    </w:p>
    <w:p w14:paraId="01AD0F63" w14:textId="77777777" w:rsidR="006031D6" w:rsidRPr="006031D6" w:rsidRDefault="006031D6" w:rsidP="006031D6">
      <w:pPr>
        <w:spacing w:before="120" w:line="288" w:lineRule="auto"/>
        <w:ind w:left="11" w:right="11" w:firstLine="709"/>
        <w:jc w:val="both"/>
        <w:rPr>
          <w:rFonts w:ascii="Arial" w:hAnsi="Arial" w:cs="Arial"/>
          <w:sz w:val="22"/>
        </w:rPr>
      </w:pPr>
      <w:r w:rsidRPr="006031D6">
        <w:rPr>
          <w:rFonts w:ascii="Arial" w:hAnsi="Arial" w:cs="Arial"/>
          <w:sz w:val="22"/>
        </w:rPr>
        <w:t>Návrh dopravního řešení vychází jednak z podkladů dlouhodobých koncepcí, které se v regionu sledují a které vážou na nadřazený systém dopravy celostátního významu a jednak z podkladů a požadavků zástupců města či dalších orgánů a organizací státní správy a institucí. Vlastní návrh dopravního řešení se snaží tyto aspekty zohlednit a veškeré požadavky na optimální rozvoj území tak v územním plánu uplatnit.</w:t>
      </w:r>
    </w:p>
    <w:p w14:paraId="6733F4CC" w14:textId="77777777" w:rsidR="006031D6" w:rsidRPr="006031D6" w:rsidRDefault="006031D6" w:rsidP="006031D6">
      <w:pPr>
        <w:spacing w:before="120" w:line="288" w:lineRule="auto"/>
        <w:ind w:left="11" w:right="11" w:firstLine="709"/>
        <w:jc w:val="both"/>
        <w:rPr>
          <w:rFonts w:ascii="Arial" w:hAnsi="Arial" w:cs="Arial"/>
          <w:sz w:val="22"/>
        </w:rPr>
      </w:pPr>
      <w:r w:rsidRPr="006031D6">
        <w:rPr>
          <w:rFonts w:ascii="Arial" w:hAnsi="Arial" w:cs="Arial"/>
          <w:noProof/>
          <w:sz w:val="22"/>
          <w:lang w:eastAsia="cs-CZ"/>
        </w:rPr>
        <w:drawing>
          <wp:anchor distT="0" distB="0" distL="114300" distR="114300" simplePos="0" relativeHeight="251696128" behindDoc="0" locked="0" layoutInCell="1" allowOverlap="0" wp14:anchorId="6EFE8BC5" wp14:editId="3644F243">
            <wp:simplePos x="0" y="0"/>
            <wp:positionH relativeFrom="column">
              <wp:posOffset>399415</wp:posOffset>
            </wp:positionH>
            <wp:positionV relativeFrom="paragraph">
              <wp:posOffset>120015</wp:posOffset>
            </wp:positionV>
            <wp:extent cx="6350" cy="12065"/>
            <wp:effectExtent l="0" t="0" r="0" b="0"/>
            <wp:wrapSquare wrapText="bothSides"/>
            <wp:docPr id="34979" name="Obrázek 34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2"/>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6350" cy="12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rPr>
        <w:t>Celá široká problematika je rozdělena do několika okruhů, které mají odlišné základní specifické znaky a různá funkční využití.</w:t>
      </w:r>
    </w:p>
    <w:p w14:paraId="4F4319EA" w14:textId="77777777" w:rsidR="006031D6" w:rsidRPr="00626473" w:rsidRDefault="006031D6" w:rsidP="006031D6">
      <w:pPr>
        <w:pStyle w:val="Nadpis1"/>
        <w:jc w:val="both"/>
        <w:rPr>
          <w:rFonts w:ascii="Arial" w:hAnsi="Arial" w:cs="Arial"/>
          <w:b/>
        </w:rPr>
      </w:pPr>
      <w:r w:rsidRPr="00626473">
        <w:rPr>
          <w:rFonts w:ascii="Arial" w:hAnsi="Arial" w:cs="Arial"/>
          <w:b/>
        </w:rPr>
        <w:t>F1. PROBLEMATIKA SOUČASNÉHO STAVU DOPRAVY</w:t>
      </w:r>
    </w:p>
    <w:p w14:paraId="5C4614C0" w14:textId="77777777" w:rsidR="006031D6" w:rsidRPr="006031D6" w:rsidRDefault="006031D6" w:rsidP="006031D6">
      <w:pPr>
        <w:spacing w:before="120" w:line="288" w:lineRule="auto"/>
        <w:ind w:left="9" w:right="5" w:firstLine="709"/>
        <w:jc w:val="both"/>
        <w:rPr>
          <w:rFonts w:ascii="Arial" w:hAnsi="Arial" w:cs="Arial"/>
          <w:sz w:val="22"/>
          <w:szCs w:val="22"/>
        </w:rPr>
      </w:pPr>
      <w:r w:rsidRPr="006031D6">
        <w:rPr>
          <w:rFonts w:ascii="Arial" w:hAnsi="Arial" w:cs="Arial"/>
          <w:sz w:val="22"/>
          <w:szCs w:val="22"/>
        </w:rPr>
        <w:t>Současný stav dopravní sítě a problematika přepravních vztahů jsou podrobně definovány a popsány v průzkumové a rozborové části územního plánu. Pro ilustraci výchozích podmínek, stanovených pro návrh dopravy, jsou uvedeny některé základní poznatky a závěry, které jsou součástí úvodní rozborové fáze územního plánu, a to včetně podstatných závad a nedostatků v dopravním systému města.</w:t>
      </w:r>
    </w:p>
    <w:p w14:paraId="0796F56D" w14:textId="77777777" w:rsidR="006031D6" w:rsidRPr="006031D6" w:rsidRDefault="006031D6" w:rsidP="006031D6">
      <w:pPr>
        <w:spacing w:before="120" w:line="288" w:lineRule="auto"/>
        <w:ind w:left="9" w:right="5" w:firstLine="709"/>
        <w:jc w:val="both"/>
        <w:rPr>
          <w:rFonts w:ascii="Arial" w:hAnsi="Arial" w:cs="Arial"/>
          <w:sz w:val="22"/>
          <w:szCs w:val="22"/>
        </w:rPr>
      </w:pPr>
      <w:r w:rsidRPr="006031D6">
        <w:rPr>
          <w:rFonts w:ascii="Arial" w:hAnsi="Arial" w:cs="Arial"/>
          <w:sz w:val="22"/>
          <w:szCs w:val="22"/>
        </w:rPr>
        <w:t>Průzkumem bylo zjištěno, že nárůst dopravní intenzity zejména v poslední době výrazně stoupá. Např. na průtahu silnice I/13 v centrální části města na Teplické, Pivovarské a Podmokelské ulici jsou v některých úsecích vykazovány dopravní zátěže tak vysoké hodnoty, že se tento průtah stává obtížně propustným a ve vztahu k městu a nakonec i samotné dopravě vysoce kolizním.</w:t>
      </w:r>
    </w:p>
    <w:p w14:paraId="45520ABF" w14:textId="77777777" w:rsidR="006031D6" w:rsidRPr="006031D6" w:rsidRDefault="006031D6" w:rsidP="006031D6">
      <w:pPr>
        <w:spacing w:before="120" w:line="288" w:lineRule="auto"/>
        <w:ind w:left="14" w:right="14" w:firstLine="709"/>
        <w:jc w:val="both"/>
        <w:rPr>
          <w:rFonts w:ascii="Arial" w:hAnsi="Arial" w:cs="Arial"/>
          <w:sz w:val="22"/>
          <w:szCs w:val="22"/>
        </w:rPr>
      </w:pPr>
      <w:r w:rsidRPr="006031D6">
        <w:rPr>
          <w:rFonts w:ascii="Arial" w:hAnsi="Arial" w:cs="Arial"/>
          <w:noProof/>
          <w:sz w:val="22"/>
          <w:szCs w:val="22"/>
          <w:lang w:eastAsia="cs-CZ"/>
        </w:rPr>
        <w:drawing>
          <wp:anchor distT="0" distB="0" distL="114300" distR="114300" simplePos="0" relativeHeight="251697152" behindDoc="0" locked="0" layoutInCell="1" allowOverlap="0" wp14:anchorId="0E0ECB2F" wp14:editId="6895918E">
            <wp:simplePos x="0" y="0"/>
            <wp:positionH relativeFrom="page">
              <wp:posOffset>6955790</wp:posOffset>
            </wp:positionH>
            <wp:positionV relativeFrom="page">
              <wp:posOffset>1914525</wp:posOffset>
            </wp:positionV>
            <wp:extent cx="6350" cy="6350"/>
            <wp:effectExtent l="0" t="0" r="0" b="0"/>
            <wp:wrapSquare wrapText="bothSides"/>
            <wp:docPr id="34978" name="Obrázek 34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9"/>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698176" behindDoc="0" locked="0" layoutInCell="1" allowOverlap="0" wp14:anchorId="4CFDD95D" wp14:editId="4188AA63">
            <wp:simplePos x="0" y="0"/>
            <wp:positionH relativeFrom="page">
              <wp:posOffset>499745</wp:posOffset>
            </wp:positionH>
            <wp:positionV relativeFrom="page">
              <wp:posOffset>5871845</wp:posOffset>
            </wp:positionV>
            <wp:extent cx="24130" cy="18415"/>
            <wp:effectExtent l="0" t="0" r="0" b="0"/>
            <wp:wrapSquare wrapText="bothSides"/>
            <wp:docPr id="34977" name="Obrázek 34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4"/>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4130" cy="184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699200" behindDoc="0" locked="0" layoutInCell="1" allowOverlap="0" wp14:anchorId="32FD7D7E" wp14:editId="41C42955">
            <wp:simplePos x="0" y="0"/>
            <wp:positionH relativeFrom="page">
              <wp:posOffset>182880</wp:posOffset>
            </wp:positionH>
            <wp:positionV relativeFrom="page">
              <wp:posOffset>8555355</wp:posOffset>
            </wp:positionV>
            <wp:extent cx="12065" cy="6350"/>
            <wp:effectExtent l="0" t="0" r="0" b="0"/>
            <wp:wrapSquare wrapText="bothSides"/>
            <wp:docPr id="34976" name="Obrázek 34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7"/>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2065" cy="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00224" behindDoc="0" locked="0" layoutInCell="1" allowOverlap="0" wp14:anchorId="1D728490" wp14:editId="4D544441">
            <wp:simplePos x="0" y="0"/>
            <wp:positionH relativeFrom="page">
              <wp:posOffset>146050</wp:posOffset>
            </wp:positionH>
            <wp:positionV relativeFrom="page">
              <wp:posOffset>9598025</wp:posOffset>
            </wp:positionV>
            <wp:extent cx="48895" cy="6350"/>
            <wp:effectExtent l="0" t="0" r="0" b="0"/>
            <wp:wrapSquare wrapText="bothSides"/>
            <wp:docPr id="34975" name="Obrázek 34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9"/>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48895" cy="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01248" behindDoc="0" locked="0" layoutInCell="1" allowOverlap="0" wp14:anchorId="34CB5771" wp14:editId="77E65E1E">
            <wp:simplePos x="0" y="0"/>
            <wp:positionH relativeFrom="page">
              <wp:posOffset>130810</wp:posOffset>
            </wp:positionH>
            <wp:positionV relativeFrom="page">
              <wp:posOffset>2149475</wp:posOffset>
            </wp:positionV>
            <wp:extent cx="67310" cy="8890"/>
            <wp:effectExtent l="0" t="0" r="0" b="0"/>
            <wp:wrapTopAndBottom/>
            <wp:docPr id="34974" name="Obrázek 34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62"/>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67310" cy="8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02272" behindDoc="0" locked="0" layoutInCell="1" allowOverlap="0" wp14:anchorId="5BB59D75" wp14:editId="61667562">
            <wp:simplePos x="0" y="0"/>
            <wp:positionH relativeFrom="page">
              <wp:posOffset>4321810</wp:posOffset>
            </wp:positionH>
            <wp:positionV relativeFrom="page">
              <wp:posOffset>10512425</wp:posOffset>
            </wp:positionV>
            <wp:extent cx="15240" cy="12065"/>
            <wp:effectExtent l="0" t="0" r="0" b="0"/>
            <wp:wrapSquare wrapText="bothSides"/>
            <wp:docPr id="34973" name="Obrázek 34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8"/>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5240" cy="12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szCs w:val="22"/>
        </w:rPr>
        <w:t>Dlouhodobé koncepce a rozvojové předpoklady v přestavbě a výstavbě nadřazené dopravní sítě prokazují, že ve výhledu budou intenzity ještě vyšší. Vzhledem k nadregionálnímu významu celého tahu silnice I/13, vedeného z Podkrušnohoří do prostoru liberecké aglomerace, je potřebné realizovat jeho obchvat. K tomu přistupuje fakt, že levobřežní část tahu bude zčásti přebírat zátěž ve směru na plánovanou dálnici D8.</w:t>
      </w:r>
    </w:p>
    <w:p w14:paraId="77732B68" w14:textId="77777777" w:rsidR="006031D6" w:rsidRPr="006031D6" w:rsidRDefault="006031D6" w:rsidP="006031D6">
      <w:pPr>
        <w:spacing w:before="120" w:line="288" w:lineRule="auto"/>
        <w:ind w:firstLine="709"/>
        <w:jc w:val="both"/>
        <w:rPr>
          <w:rFonts w:ascii="Arial" w:hAnsi="Arial" w:cs="Arial"/>
          <w:sz w:val="22"/>
          <w:szCs w:val="22"/>
        </w:rPr>
      </w:pPr>
      <w:r w:rsidRPr="006031D6">
        <w:rPr>
          <w:rFonts w:ascii="Arial" w:hAnsi="Arial" w:cs="Arial"/>
          <w:sz w:val="22"/>
          <w:szCs w:val="22"/>
        </w:rPr>
        <w:t>Pravobřežní část silnice I/13 je vedena po Kamenické ulici ve směru na Nový Bor. Tento úsek je jeden z nejvíce problematických na celém tahu. Plánovaná změna trasy na Benešov n. Pl. je z pohledu rozvoje města nezbytně nutná.</w:t>
      </w:r>
    </w:p>
    <w:p w14:paraId="185535CF" w14:textId="77777777" w:rsidR="006031D6" w:rsidRPr="006031D6" w:rsidRDefault="006031D6" w:rsidP="006031D6">
      <w:pPr>
        <w:tabs>
          <w:tab w:val="left" w:pos="9072"/>
        </w:tabs>
        <w:spacing w:before="120" w:line="288" w:lineRule="auto"/>
        <w:ind w:left="14" w:firstLine="709"/>
        <w:jc w:val="both"/>
        <w:rPr>
          <w:rFonts w:ascii="Arial" w:hAnsi="Arial" w:cs="Arial"/>
          <w:sz w:val="22"/>
          <w:szCs w:val="22"/>
        </w:rPr>
      </w:pPr>
      <w:r w:rsidRPr="006031D6">
        <w:rPr>
          <w:rFonts w:ascii="Arial" w:hAnsi="Arial" w:cs="Arial"/>
          <w:sz w:val="22"/>
          <w:szCs w:val="22"/>
        </w:rPr>
        <w:t>Silnice I/62 (dříve 11/253) je zatížena dopravou, která se odehrává (kromě tranzitu) zejména mezi městy Ústí nad Labem a Děčín. V úseku na Ústecké ulici přichází do konfliktu s činností v průmyslové zóně Rozbělesy (S 9,5/70).</w:t>
      </w:r>
    </w:p>
    <w:p w14:paraId="17FE17F3" w14:textId="77777777" w:rsidR="006031D6" w:rsidRPr="006031D6" w:rsidRDefault="006031D6" w:rsidP="006031D6">
      <w:pPr>
        <w:spacing w:before="120" w:line="288" w:lineRule="auto"/>
        <w:ind w:left="9" w:right="5" w:firstLine="709"/>
        <w:jc w:val="both"/>
        <w:rPr>
          <w:rFonts w:ascii="Arial" w:hAnsi="Arial" w:cs="Arial"/>
          <w:sz w:val="22"/>
          <w:szCs w:val="22"/>
        </w:rPr>
      </w:pPr>
      <w:r w:rsidRPr="006031D6">
        <w:rPr>
          <w:rFonts w:ascii="Arial" w:hAnsi="Arial" w:cs="Arial"/>
          <w:noProof/>
          <w:sz w:val="22"/>
          <w:szCs w:val="22"/>
          <w:lang w:eastAsia="cs-CZ"/>
        </w:rPr>
        <w:drawing>
          <wp:anchor distT="0" distB="0" distL="114300" distR="114300" simplePos="0" relativeHeight="251703296" behindDoc="0" locked="0" layoutInCell="1" allowOverlap="0" wp14:anchorId="32B20F50" wp14:editId="74023A50">
            <wp:simplePos x="0" y="0"/>
            <wp:positionH relativeFrom="column">
              <wp:posOffset>359410</wp:posOffset>
            </wp:positionH>
            <wp:positionV relativeFrom="paragraph">
              <wp:posOffset>118110</wp:posOffset>
            </wp:positionV>
            <wp:extent cx="24130" cy="12065"/>
            <wp:effectExtent l="0" t="0" r="0" b="0"/>
            <wp:wrapSquare wrapText="bothSides"/>
            <wp:docPr id="34972" name="Obrázek 34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64"/>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4130" cy="12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szCs w:val="22"/>
        </w:rPr>
        <w:t>Silniční tahy II. třídy vykazují rozdílné dopravní intenzity a to podle funkce jejich využití. Silnice 11/261 je vedena zástavbou Boletic a Starého města a je současně jedinou přístupovou trasou do prostoru průmyslové zóny v Křešicích a Boleticích. Na Starém Městě přechází nevhodně železniční trať a pokračuje Litoměřickou ulicí, kde nevyhovuje průjezdní profil.</w:t>
      </w:r>
    </w:p>
    <w:p w14:paraId="09E97F47" w14:textId="77777777" w:rsidR="006031D6" w:rsidRPr="006031D6" w:rsidRDefault="006031D6" w:rsidP="006031D6">
      <w:pPr>
        <w:spacing w:before="120" w:line="288" w:lineRule="auto"/>
        <w:ind w:left="14" w:right="14" w:firstLine="709"/>
        <w:jc w:val="both"/>
        <w:rPr>
          <w:rFonts w:ascii="Arial" w:hAnsi="Arial" w:cs="Arial"/>
          <w:sz w:val="22"/>
          <w:szCs w:val="22"/>
        </w:rPr>
      </w:pPr>
      <w:r w:rsidRPr="006031D6">
        <w:rPr>
          <w:rFonts w:ascii="Arial" w:hAnsi="Arial" w:cs="Arial"/>
          <w:sz w:val="22"/>
          <w:szCs w:val="22"/>
        </w:rPr>
        <w:lastRenderedPageBreak/>
        <w:t>Na nadřazené průtahové úseky silničních tahů úzce váže sít hlavních místních komunikací, které mají převážně charakter sběrných tras,</w:t>
      </w:r>
    </w:p>
    <w:p w14:paraId="5DC46A88" w14:textId="77777777" w:rsidR="006031D6" w:rsidRPr="006031D6" w:rsidRDefault="006031D6" w:rsidP="006031D6">
      <w:pPr>
        <w:spacing w:before="120" w:line="288" w:lineRule="auto"/>
        <w:ind w:left="9" w:right="5" w:firstLine="709"/>
        <w:jc w:val="both"/>
        <w:rPr>
          <w:rFonts w:ascii="Arial" w:hAnsi="Arial" w:cs="Arial"/>
          <w:sz w:val="22"/>
          <w:szCs w:val="22"/>
        </w:rPr>
      </w:pPr>
      <w:r w:rsidRPr="006031D6">
        <w:rPr>
          <w:rFonts w:ascii="Arial" w:hAnsi="Arial" w:cs="Arial"/>
          <w:sz w:val="22"/>
          <w:szCs w:val="22"/>
        </w:rPr>
        <w:t>Komplikovaná dopravní situace v Podmoklech vyvolává potřebu přestavby stávající sítě MK. Velmi vysoká přepravní intenzita na Podmokelské ulici vyžaduje řešení problematiky v nejvíce exponovaných úsecích od pošty po Revoluční náměstí a po Ovčí lávku resp. komplexní rekonstrukci této ulice.</w:t>
      </w:r>
    </w:p>
    <w:p w14:paraId="5337D5E5" w14:textId="77777777" w:rsidR="006031D6" w:rsidRPr="006031D6" w:rsidRDefault="006031D6" w:rsidP="006031D6">
      <w:pPr>
        <w:spacing w:before="120" w:line="288" w:lineRule="auto"/>
        <w:ind w:left="14" w:right="14" w:firstLine="709"/>
        <w:jc w:val="both"/>
        <w:rPr>
          <w:rFonts w:ascii="Arial" w:hAnsi="Arial" w:cs="Arial"/>
          <w:sz w:val="22"/>
          <w:szCs w:val="22"/>
        </w:rPr>
      </w:pPr>
      <w:r w:rsidRPr="006031D6">
        <w:rPr>
          <w:rFonts w:ascii="Arial" w:hAnsi="Arial" w:cs="Arial"/>
          <w:sz w:val="22"/>
          <w:szCs w:val="22"/>
        </w:rPr>
        <w:t>Velmi komplikovaný je také prostor hlavního nádraží. Oba podjezdy pod tratí ČD nevyhovují požadavkům na bezkolizní provoz a vyžadují zásadní rekonstrukci.</w:t>
      </w:r>
    </w:p>
    <w:p w14:paraId="2015A103" w14:textId="77777777" w:rsidR="006031D6" w:rsidRPr="006031D6" w:rsidRDefault="006031D6" w:rsidP="006031D6">
      <w:pPr>
        <w:spacing w:before="120" w:line="288" w:lineRule="auto"/>
        <w:ind w:left="14" w:right="14" w:firstLine="709"/>
        <w:jc w:val="both"/>
        <w:rPr>
          <w:rFonts w:ascii="Arial" w:hAnsi="Arial" w:cs="Arial"/>
          <w:sz w:val="22"/>
          <w:szCs w:val="22"/>
        </w:rPr>
      </w:pPr>
      <w:r w:rsidRPr="006031D6">
        <w:rPr>
          <w:rFonts w:ascii="Arial" w:hAnsi="Arial" w:cs="Arial"/>
          <w:noProof/>
          <w:sz w:val="22"/>
          <w:szCs w:val="22"/>
          <w:lang w:eastAsia="cs-CZ"/>
        </w:rPr>
        <w:drawing>
          <wp:inline distT="0" distB="0" distL="0" distR="0" wp14:anchorId="14840F7E" wp14:editId="29531523">
            <wp:extent cx="12065" cy="12065"/>
            <wp:effectExtent l="0" t="0" r="0" b="0"/>
            <wp:docPr id="34946" name="Obrázek 34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8"/>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 xml:space="preserve"> Na druhém břehu řeky v děčínské části města je důležitý záměr na vybudování ”Folknářské spojky”, která má odlehčit současnému provozu na Kamenické ulici. Po odvedení tranzitu ve směru na Benešov bude mít kombinovanou funkci dopravně-obslužnou s určitým podílem tranzitních vztahů ve směru na Českou Kamenici.</w:t>
      </w:r>
    </w:p>
    <w:p w14:paraId="78CEBC5D" w14:textId="77777777" w:rsidR="006031D6" w:rsidRPr="006031D6" w:rsidRDefault="006031D6" w:rsidP="006031D6">
      <w:pPr>
        <w:spacing w:before="120" w:line="288" w:lineRule="auto"/>
        <w:ind w:left="23" w:firstLine="709"/>
        <w:jc w:val="both"/>
        <w:rPr>
          <w:rFonts w:ascii="Arial" w:hAnsi="Arial" w:cs="Arial"/>
          <w:sz w:val="22"/>
          <w:szCs w:val="22"/>
        </w:rPr>
      </w:pPr>
      <w:r w:rsidRPr="006031D6">
        <w:rPr>
          <w:rFonts w:ascii="Arial" w:hAnsi="Arial" w:cs="Arial"/>
          <w:sz w:val="22"/>
          <w:szCs w:val="22"/>
        </w:rPr>
        <w:t>Otázka přestavby železničního uzlu v Děčíně je záležitostí velmi nesnadnou jak z pohledu koncepčního, tak i technického. V celé problematice hraje významnou roli otázka investic. Lze tedy očekávat, že přestavba uzlu bude akcí dlouhodobou a v průběhu rekonstrukce zřejmě dojde k řadě nových úprav a doplňků, které upřesní cílový stav. V každém případě se tak musí dít v součinnosti s územním plánem a se spoluúčastí města.</w:t>
      </w:r>
    </w:p>
    <w:p w14:paraId="2E1D388B" w14:textId="77777777" w:rsidR="006031D6" w:rsidRPr="006031D6" w:rsidRDefault="006031D6" w:rsidP="006031D6">
      <w:pPr>
        <w:spacing w:before="120" w:line="288" w:lineRule="auto"/>
        <w:ind w:left="57" w:firstLine="709"/>
        <w:jc w:val="both"/>
        <w:rPr>
          <w:rFonts w:ascii="Arial" w:hAnsi="Arial" w:cs="Arial"/>
          <w:sz w:val="22"/>
          <w:szCs w:val="22"/>
        </w:rPr>
      </w:pPr>
      <w:r w:rsidRPr="006031D6">
        <w:rPr>
          <w:rFonts w:ascii="Arial" w:hAnsi="Arial" w:cs="Arial"/>
          <w:sz w:val="22"/>
          <w:szCs w:val="22"/>
        </w:rPr>
        <w:t>V současnosti je zřejmé, že původně navrhovaná výměnná pohraniční stanice nebude v Děčíně v plném rozsahu realizována. Bylo potvrzeno, že některými úpravami lze její funkci nahradit i pro výhledový počet zátěže.</w:t>
      </w:r>
    </w:p>
    <w:p w14:paraId="320EF09B" w14:textId="77777777" w:rsidR="006031D6" w:rsidRPr="006031D6" w:rsidRDefault="006031D6" w:rsidP="006031D6">
      <w:pPr>
        <w:spacing w:before="120" w:line="288" w:lineRule="auto"/>
        <w:ind w:left="57" w:firstLine="709"/>
        <w:jc w:val="both"/>
        <w:rPr>
          <w:rFonts w:ascii="Arial" w:hAnsi="Arial" w:cs="Arial"/>
          <w:sz w:val="22"/>
          <w:szCs w:val="22"/>
        </w:rPr>
      </w:pPr>
      <w:r w:rsidRPr="006031D6">
        <w:rPr>
          <w:rFonts w:ascii="Arial" w:hAnsi="Arial" w:cs="Arial"/>
          <w:sz w:val="22"/>
          <w:szCs w:val="22"/>
        </w:rPr>
        <w:t>Zvýšení výkonnosti trati se dotýká území města pouze v místech, kde dojde ke směrovým úpravám poloměrů oblouků. Zásahy do území nevybočují z ochranného pásma dráhy a nejsou plošně náročné.</w:t>
      </w:r>
    </w:p>
    <w:p w14:paraId="0231486C" w14:textId="77777777" w:rsidR="006031D6" w:rsidRPr="006031D6" w:rsidRDefault="006031D6" w:rsidP="006031D6">
      <w:pPr>
        <w:spacing w:before="120" w:line="288" w:lineRule="auto"/>
        <w:ind w:left="-5" w:right="4" w:firstLine="709"/>
        <w:jc w:val="both"/>
        <w:rPr>
          <w:rFonts w:ascii="Arial" w:hAnsi="Arial" w:cs="Arial"/>
          <w:sz w:val="22"/>
          <w:szCs w:val="22"/>
        </w:rPr>
      </w:pPr>
      <w:r w:rsidRPr="006031D6">
        <w:rPr>
          <w:rFonts w:ascii="Arial" w:hAnsi="Arial" w:cs="Arial"/>
          <w:sz w:val="22"/>
          <w:szCs w:val="22"/>
        </w:rPr>
        <w:t>Autobusová doprava ČSAD má lokalizováno autobusové nádraží v Hankově ulici. Jeho poloha a funkce není pro město optimální. V návrhu je nutné nalézt jiné řešení.</w:t>
      </w:r>
    </w:p>
    <w:p w14:paraId="37B4101B" w14:textId="77777777" w:rsidR="006031D6" w:rsidRPr="006031D6" w:rsidRDefault="006031D6" w:rsidP="006031D6">
      <w:pPr>
        <w:tabs>
          <w:tab w:val="left" w:pos="9072"/>
        </w:tabs>
        <w:spacing w:before="120" w:line="288" w:lineRule="auto"/>
        <w:ind w:left="57" w:firstLine="709"/>
        <w:jc w:val="both"/>
        <w:rPr>
          <w:rFonts w:ascii="Arial" w:hAnsi="Arial" w:cs="Arial"/>
          <w:sz w:val="22"/>
          <w:szCs w:val="22"/>
        </w:rPr>
      </w:pPr>
      <w:r w:rsidRPr="006031D6">
        <w:rPr>
          <w:rFonts w:ascii="Arial" w:hAnsi="Arial" w:cs="Arial"/>
          <w:sz w:val="22"/>
          <w:szCs w:val="22"/>
        </w:rPr>
        <w:t>V oblasti klidové dopravy je třeba počítat s deficitem, který bude muset být vykryt novými kapacitami zřejmě v podzemí nebo v hromadných objektech.</w:t>
      </w:r>
    </w:p>
    <w:p w14:paraId="11DAB07C" w14:textId="77777777" w:rsidR="006031D6" w:rsidRPr="006031D6" w:rsidRDefault="006031D6" w:rsidP="006031D6">
      <w:pPr>
        <w:tabs>
          <w:tab w:val="left" w:pos="9072"/>
        </w:tabs>
        <w:spacing w:before="120" w:line="288" w:lineRule="auto"/>
        <w:ind w:left="-5" w:firstLine="709"/>
        <w:jc w:val="both"/>
        <w:rPr>
          <w:rFonts w:ascii="Arial" w:hAnsi="Arial" w:cs="Arial"/>
          <w:sz w:val="22"/>
          <w:szCs w:val="22"/>
        </w:rPr>
      </w:pPr>
      <w:r w:rsidRPr="006031D6">
        <w:rPr>
          <w:rFonts w:ascii="Arial" w:hAnsi="Arial" w:cs="Arial"/>
          <w:sz w:val="22"/>
          <w:szCs w:val="22"/>
        </w:rPr>
        <w:t>Vodní doprava je územně poměrně stabilizována. Plochy přístavů se výrazně nerozšiřují a nejsou ani ve výhledových koncepcích rozvoje.</w:t>
      </w:r>
    </w:p>
    <w:p w14:paraId="0DB132E8" w14:textId="77777777" w:rsidR="006031D6" w:rsidRPr="00626473" w:rsidRDefault="006031D6" w:rsidP="006031D6">
      <w:pPr>
        <w:tabs>
          <w:tab w:val="left" w:pos="9072"/>
        </w:tabs>
        <w:spacing w:before="120" w:line="288" w:lineRule="auto"/>
        <w:ind w:left="-5" w:firstLine="709"/>
        <w:rPr>
          <w:rFonts w:ascii="Arial" w:hAnsi="Arial" w:cs="Arial"/>
        </w:rPr>
      </w:pPr>
    </w:p>
    <w:p w14:paraId="61FAA80D" w14:textId="77777777" w:rsidR="006031D6" w:rsidRPr="00626473" w:rsidRDefault="006031D6" w:rsidP="006031D6">
      <w:pPr>
        <w:pStyle w:val="Nadpis1"/>
        <w:jc w:val="both"/>
        <w:rPr>
          <w:rFonts w:ascii="Arial" w:hAnsi="Arial" w:cs="Arial"/>
          <w:b/>
        </w:rPr>
      </w:pPr>
      <w:r w:rsidRPr="00626473">
        <w:rPr>
          <w:rFonts w:ascii="Arial" w:hAnsi="Arial" w:cs="Arial"/>
          <w:b/>
        </w:rPr>
        <w:t>F2. MĚSTO VE VÝHLEDOVÉM DOPRAVNÍM SYSTÉMU</w:t>
      </w:r>
    </w:p>
    <w:p w14:paraId="680DD648" w14:textId="77777777" w:rsidR="006031D6" w:rsidRPr="006031D6" w:rsidRDefault="006031D6" w:rsidP="006031D6">
      <w:pPr>
        <w:spacing w:before="120" w:line="288" w:lineRule="auto"/>
        <w:ind w:left="23" w:firstLine="709"/>
        <w:jc w:val="both"/>
        <w:rPr>
          <w:rFonts w:ascii="Arial" w:hAnsi="Arial" w:cs="Arial"/>
          <w:sz w:val="22"/>
        </w:rPr>
      </w:pPr>
      <w:r w:rsidRPr="006031D6">
        <w:rPr>
          <w:rFonts w:ascii="Arial" w:hAnsi="Arial" w:cs="Arial"/>
          <w:sz w:val="22"/>
        </w:rPr>
        <w:t>Poloha města Děčína na obou březích řeky Labe při soutoku Ploučnice a Jílovského potoka byla již v minulosti jednoznačně předurčena k vytvoření rozvětvené sítě dopravních cest, které vznikaly zejména podél zmíněných vodních toků. Současně byly tyto dopravní cesty vymezeny přirozenými útvary, patřící do skupiny masivu Českého středohoří a Labských pískovců.</w:t>
      </w:r>
    </w:p>
    <w:p w14:paraId="75E28702" w14:textId="77777777" w:rsidR="006031D6" w:rsidRPr="006031D6" w:rsidRDefault="006031D6" w:rsidP="006031D6">
      <w:pPr>
        <w:spacing w:before="120" w:line="288" w:lineRule="auto"/>
        <w:ind w:left="57" w:firstLine="709"/>
        <w:jc w:val="both"/>
        <w:rPr>
          <w:rFonts w:ascii="Arial" w:hAnsi="Arial" w:cs="Arial"/>
          <w:sz w:val="22"/>
        </w:rPr>
      </w:pPr>
      <w:r w:rsidRPr="006031D6">
        <w:rPr>
          <w:rFonts w:ascii="Arial" w:hAnsi="Arial" w:cs="Arial"/>
          <w:sz w:val="22"/>
        </w:rPr>
        <w:t xml:space="preserve">Hlavním a rozhodujícím prvkem přírodního charakteru je v řešeném území tok řeky Labe, v jehož stopě jsou vedeny nadřazené trasy silniční a železniční dopravy. Další tahy jsou pak směrovány v údolí řeky Ploučnice a Jílovského potoka a na hlavní dopravní koridor jsou napojeny právě v prostoru města Děčína. Významný nositel tranzitních přepravních vztahů, </w:t>
      </w:r>
      <w:r w:rsidRPr="006031D6">
        <w:rPr>
          <w:rFonts w:ascii="Arial" w:hAnsi="Arial" w:cs="Arial"/>
          <w:sz w:val="22"/>
        </w:rPr>
        <w:lastRenderedPageBreak/>
        <w:t>tah silnice I/13, se směrově odchyluje mimo stávající labské údolí a sleduje trasu vedenou Českým středohořím a Děčínskou vrchovinou do prostoru sídel Česká Kamenice, Nový Bor a Liberec.</w:t>
      </w:r>
    </w:p>
    <w:p w14:paraId="0E62456D" w14:textId="77777777" w:rsidR="006031D6" w:rsidRPr="006031D6" w:rsidRDefault="006031D6" w:rsidP="006031D6">
      <w:pPr>
        <w:spacing w:before="120" w:line="288" w:lineRule="auto"/>
        <w:ind w:left="57" w:right="225" w:firstLine="709"/>
        <w:jc w:val="both"/>
        <w:rPr>
          <w:rFonts w:ascii="Arial" w:hAnsi="Arial" w:cs="Arial"/>
          <w:sz w:val="22"/>
        </w:rPr>
      </w:pPr>
      <w:r w:rsidRPr="006031D6">
        <w:rPr>
          <w:rFonts w:ascii="Arial" w:hAnsi="Arial" w:cs="Arial"/>
          <w:sz w:val="22"/>
        </w:rPr>
        <w:t>Ze současného pohledu a i do výhledu lze město Děčín považovat za jedno z nejvýznamnějších dopravních center v celém širokém regionu. Faktem zůstává, že jsou přímo v jeho intravilánu soustředěny tři nejdůležitější druhy doprav včetně svých významných uzlů:</w:t>
      </w:r>
    </w:p>
    <w:p w14:paraId="6B0E1713" w14:textId="77777777" w:rsidR="006031D6" w:rsidRPr="00626473" w:rsidRDefault="006031D6" w:rsidP="006031D6">
      <w:pPr>
        <w:spacing w:before="120" w:line="288" w:lineRule="auto"/>
        <w:ind w:left="57" w:right="225" w:firstLine="709"/>
        <w:rPr>
          <w:rFonts w:ascii="Arial" w:hAnsi="Arial" w:cs="Arial"/>
        </w:rPr>
      </w:pPr>
    </w:p>
    <w:p w14:paraId="169821C0" w14:textId="77777777" w:rsidR="006031D6" w:rsidRPr="00E32007" w:rsidRDefault="006031D6" w:rsidP="006031D6">
      <w:pPr>
        <w:pStyle w:val="Nadpis2"/>
        <w:rPr>
          <w:rFonts w:ascii="Arial" w:hAnsi="Arial" w:cs="Arial"/>
          <w:b/>
          <w:color w:val="auto"/>
          <w:sz w:val="28"/>
          <w:szCs w:val="28"/>
        </w:rPr>
      </w:pPr>
      <w:r w:rsidRPr="00E32007">
        <w:rPr>
          <w:rFonts w:ascii="Arial" w:hAnsi="Arial" w:cs="Arial"/>
          <w:b/>
          <w:color w:val="auto"/>
          <w:sz w:val="28"/>
          <w:szCs w:val="28"/>
        </w:rPr>
        <w:t>SILNIČNÍ DOPRAVA</w:t>
      </w:r>
    </w:p>
    <w:p w14:paraId="65538150" w14:textId="77777777" w:rsidR="006031D6" w:rsidRPr="006031D6" w:rsidRDefault="006031D6" w:rsidP="006031D6">
      <w:pPr>
        <w:spacing w:before="120" w:line="288" w:lineRule="auto"/>
        <w:ind w:left="14" w:right="168" w:firstLine="709"/>
        <w:jc w:val="both"/>
        <w:rPr>
          <w:rFonts w:ascii="Arial" w:hAnsi="Arial" w:cs="Arial"/>
          <w:sz w:val="22"/>
        </w:rPr>
      </w:pPr>
      <w:r w:rsidRPr="006031D6">
        <w:rPr>
          <w:rFonts w:ascii="Arial" w:hAnsi="Arial" w:cs="Arial"/>
          <w:sz w:val="22"/>
        </w:rPr>
        <w:t>Město Děčín patří z pohledu výhledové dopravy ve vztahu k širšímu nadřazenému silničnímu systému k sídelním útvarům, které mají jednak vazbu na preferovanou soustavu vybraných silničních tahů a jednak na dálniční síť resp. její připravovanou trasu Praha - Ústí nad Labem - hranice SRN.</w:t>
      </w:r>
    </w:p>
    <w:p w14:paraId="4F94CD9A" w14:textId="77777777" w:rsidR="006031D6" w:rsidRPr="006031D6" w:rsidRDefault="006031D6" w:rsidP="006031D6">
      <w:pPr>
        <w:spacing w:before="120" w:line="288" w:lineRule="auto"/>
        <w:ind w:left="23" w:firstLine="709"/>
        <w:jc w:val="both"/>
        <w:rPr>
          <w:rFonts w:ascii="Arial" w:hAnsi="Arial" w:cs="Arial"/>
          <w:sz w:val="22"/>
        </w:rPr>
      </w:pPr>
      <w:r w:rsidRPr="006031D6">
        <w:rPr>
          <w:rFonts w:ascii="Arial" w:hAnsi="Arial" w:cs="Arial"/>
          <w:sz w:val="22"/>
        </w:rPr>
        <w:t>Tato vazba je zprostředkována dálkovými a regionálními silničními tahy a připravovanými dálničními přivaděči, které se na dálnici napojují ve významných uzlových bodech s mimoúrovňovými křižovatkami ve vzdáleném zájmovém prostoru na území sousedního okresu.</w:t>
      </w:r>
      <w:r w:rsidRPr="006031D6">
        <w:rPr>
          <w:rFonts w:ascii="Arial" w:hAnsi="Arial" w:cs="Arial"/>
          <w:noProof/>
          <w:sz w:val="22"/>
          <w:lang w:eastAsia="cs-CZ"/>
        </w:rPr>
        <w:drawing>
          <wp:inline distT="0" distB="0" distL="0" distR="0" wp14:anchorId="735EBAAD" wp14:editId="142C6C52">
            <wp:extent cx="12065" cy="12065"/>
            <wp:effectExtent l="0" t="0" r="0" b="0"/>
            <wp:docPr id="34945" name="Obrázek 34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p w14:paraId="1AA06A3C" w14:textId="77777777" w:rsidR="006031D6" w:rsidRPr="006031D6" w:rsidRDefault="006031D6" w:rsidP="006031D6">
      <w:pPr>
        <w:spacing w:before="120" w:line="288" w:lineRule="auto"/>
        <w:ind w:left="-5" w:right="240" w:firstLine="709"/>
        <w:jc w:val="both"/>
        <w:rPr>
          <w:rFonts w:ascii="Arial" w:hAnsi="Arial" w:cs="Arial"/>
          <w:sz w:val="22"/>
        </w:rPr>
      </w:pPr>
      <w:r w:rsidRPr="006031D6">
        <w:rPr>
          <w:rFonts w:ascii="Arial" w:hAnsi="Arial" w:cs="Arial"/>
          <w:sz w:val="22"/>
        </w:rPr>
        <w:t>Dálniční tah D8 je bezesporu nejvýznamnějším dopravním prvkem dotčené oblasti. Pro širší zájmové území mají stěžejní význam dva uzlové body na její trase:</w:t>
      </w:r>
    </w:p>
    <w:p w14:paraId="171838BF" w14:textId="77777777" w:rsidR="006031D6" w:rsidRPr="006031D6" w:rsidRDefault="006031D6" w:rsidP="006031D6">
      <w:pPr>
        <w:spacing w:before="120" w:line="288" w:lineRule="auto"/>
        <w:ind w:left="-5" w:right="4" w:firstLine="709"/>
        <w:jc w:val="both"/>
        <w:rPr>
          <w:rFonts w:ascii="Arial" w:hAnsi="Arial" w:cs="Arial"/>
          <w:sz w:val="22"/>
        </w:rPr>
      </w:pPr>
      <w:r w:rsidRPr="006031D6">
        <w:rPr>
          <w:rFonts w:ascii="Arial" w:hAnsi="Arial" w:cs="Arial"/>
          <w:sz w:val="22"/>
        </w:rPr>
        <w:t>Mimoúrovňová křižovatka v Trmicích, kde se odbočující větev dálnice přímo napojuje na silnici první třídy I/62, vedenou přes Ústí nad Labem do Děčína. Tato pouze zdánlivě nesouvisející skutečnost však znamená pro dopravní situaci v Děčíně řadu změn- Přes veškeré teoretické úvahy o přerozdělení dopravních intenzit v regionu po zprovoznění dálnice D8 zůstává stále aktuální skutečnost, že nejbližší spojnicí mezi prostorem Ústecka a Děčínska je právě regionální tah silnice I/62. Jeho šířkové parametry jsou příznivé a celý tah je vyjma několika problémových míst v Ústí nad Labem a</w:t>
      </w:r>
    </w:p>
    <w:p w14:paraId="1745ACAA" w14:textId="77777777" w:rsidR="006031D6" w:rsidRPr="006031D6" w:rsidRDefault="006031D6" w:rsidP="006031D6">
      <w:pPr>
        <w:spacing w:before="120" w:line="288" w:lineRule="auto"/>
        <w:ind w:left="33" w:right="105" w:firstLine="709"/>
        <w:jc w:val="both"/>
        <w:rPr>
          <w:rFonts w:ascii="Arial" w:hAnsi="Arial" w:cs="Arial"/>
          <w:sz w:val="22"/>
        </w:rPr>
      </w:pPr>
      <w:r w:rsidRPr="006031D6">
        <w:rPr>
          <w:rFonts w:ascii="Arial" w:hAnsi="Arial" w:cs="Arial"/>
          <w:sz w:val="22"/>
        </w:rPr>
        <w:t>Neštěmicích pro toto dopravní spojení velmi atraktivní. Po zprovoznění dálnice D8 je tedy nutné očekávat také zvýšení dopravní zátěže na této trase v řešeném prostoru Děčína.</w:t>
      </w:r>
    </w:p>
    <w:p w14:paraId="66FDAEDA" w14:textId="77777777" w:rsidR="006031D6" w:rsidRPr="006031D6" w:rsidRDefault="006031D6" w:rsidP="006031D6">
      <w:pPr>
        <w:spacing w:before="120" w:line="288" w:lineRule="auto"/>
        <w:ind w:left="86" w:firstLine="709"/>
        <w:jc w:val="both"/>
        <w:rPr>
          <w:rFonts w:ascii="Arial" w:hAnsi="Arial" w:cs="Arial"/>
          <w:sz w:val="22"/>
        </w:rPr>
      </w:pPr>
      <w:r w:rsidRPr="006031D6">
        <w:rPr>
          <w:rFonts w:ascii="Arial" w:hAnsi="Arial" w:cs="Arial"/>
          <w:sz w:val="22"/>
        </w:rPr>
        <w:t xml:space="preserve">Mimoúrovňová křižovatka v Trmicích, kde se napojuje stávající silnice I/13 na dálniční tah. V předchozích koncepčních záměrech byla sledována myšlenka, která je v současnosti zpochybněna a to zejména v souvislosti s koncepčními záměry uvedenými v územním plánu města Ústí n L. Jedná se o </w:t>
      </w:r>
      <w:r w:rsidRPr="006031D6">
        <w:rPr>
          <w:rFonts w:ascii="Arial" w:hAnsi="Arial" w:cs="Arial"/>
          <w:noProof/>
          <w:sz w:val="22"/>
          <w:lang w:eastAsia="cs-CZ"/>
        </w:rPr>
        <w:drawing>
          <wp:inline distT="0" distB="0" distL="0" distR="0" wp14:anchorId="074447CE" wp14:editId="61835E49">
            <wp:extent cx="12065" cy="12065"/>
            <wp:effectExtent l="0" t="0" r="0" b="0"/>
            <wp:docPr id="34944" name="Obrázek 34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6"/>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rPr>
        <w:t xml:space="preserve">vedení silnice 1/1 3, jejíž stopa se proti záměrům, původně uváděných v územně plánovacích dokumentacích, dostává do jiné polohy. Ty předpokládaly vedení tahu v trase Řehlovice - Trmice Ústí n L. - Děčín na levém břehu řeky Labe ve stopě současné silnice první třídy I/62. S přehodnocením celé situace a s přihlédnutím k řadě problémů při trasování silnice zejména v prostoru sídelního útvaru </w:t>
      </w:r>
      <w:r w:rsidRPr="006031D6">
        <w:rPr>
          <w:rFonts w:ascii="Arial" w:hAnsi="Arial" w:cs="Arial"/>
          <w:noProof/>
          <w:sz w:val="22"/>
          <w:lang w:eastAsia="cs-CZ"/>
        </w:rPr>
        <w:drawing>
          <wp:inline distT="0" distB="0" distL="0" distR="0" wp14:anchorId="07C4F60F" wp14:editId="2A204144">
            <wp:extent cx="12065" cy="12065"/>
            <wp:effectExtent l="0" t="0" r="0" b="0"/>
            <wp:docPr id="5183" name="Obrázek 5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rPr>
        <w:t>Ústí nad Labem se začalo opět uvažovat o původní koncepci, která lokalizovala tah do údolí Jílovského potoka. To však znamená navrhnout zcela novou trasu mimo stávající průtah silnice I/13 obcemi Libouchec, Jílové a Děčín, který je již dnes nevyhovující a jako silniční tah napojený přímo na dálnici nevhodný.</w:t>
      </w:r>
      <w:r w:rsidRPr="006031D6">
        <w:rPr>
          <w:rFonts w:ascii="Arial" w:hAnsi="Arial" w:cs="Arial"/>
          <w:noProof/>
          <w:sz w:val="22"/>
          <w:lang w:eastAsia="cs-CZ"/>
        </w:rPr>
        <w:drawing>
          <wp:inline distT="0" distB="0" distL="0" distR="0" wp14:anchorId="3274A0CD" wp14:editId="3F499CCF">
            <wp:extent cx="12065" cy="12065"/>
            <wp:effectExtent l="0" t="0" r="0" b="0"/>
            <wp:docPr id="5182" name="Obrázek 5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8"/>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p w14:paraId="2D29CAC5" w14:textId="77777777" w:rsidR="006031D6" w:rsidRPr="006031D6" w:rsidRDefault="006031D6" w:rsidP="006031D6">
      <w:pPr>
        <w:spacing w:before="120" w:line="288" w:lineRule="auto"/>
        <w:ind w:left="77" w:right="28" w:firstLine="709"/>
        <w:jc w:val="both"/>
        <w:rPr>
          <w:rFonts w:ascii="Arial" w:hAnsi="Arial" w:cs="Arial"/>
          <w:sz w:val="22"/>
        </w:rPr>
      </w:pPr>
      <w:r w:rsidRPr="006031D6">
        <w:rPr>
          <w:rFonts w:ascii="Arial" w:hAnsi="Arial" w:cs="Arial"/>
          <w:sz w:val="22"/>
        </w:rPr>
        <w:t xml:space="preserve">Silniční doprava je tedy v regionu a v nejbližším zájmovém území zastoupena nadřazeným tahem první třídy I/13, který propojuje prostor podkrušnohorské pánevní oblasti </w:t>
      </w:r>
      <w:r w:rsidRPr="006031D6">
        <w:rPr>
          <w:rFonts w:ascii="Arial" w:hAnsi="Arial" w:cs="Arial"/>
          <w:sz w:val="22"/>
        </w:rPr>
        <w:lastRenderedPageBreak/>
        <w:t>s aglomerací Liberecka. Na tento vymezený tah váží regionální silnice, směrované podél toků řek Labe a Ploučnice. Jejich uzlové body se vzájemným křížením jsou situovány na území města.</w:t>
      </w:r>
    </w:p>
    <w:p w14:paraId="3754BEC9" w14:textId="77777777" w:rsidR="006031D6" w:rsidRPr="006031D6" w:rsidRDefault="006031D6" w:rsidP="006031D6">
      <w:pPr>
        <w:spacing w:before="120" w:line="288" w:lineRule="auto"/>
        <w:ind w:left="86" w:right="28" w:firstLine="709"/>
        <w:jc w:val="both"/>
        <w:rPr>
          <w:rFonts w:ascii="Arial" w:hAnsi="Arial" w:cs="Arial"/>
          <w:sz w:val="22"/>
        </w:rPr>
      </w:pPr>
      <w:r w:rsidRPr="006031D6">
        <w:rPr>
          <w:rFonts w:ascii="Arial" w:hAnsi="Arial" w:cs="Arial"/>
          <w:sz w:val="22"/>
        </w:rPr>
        <w:t>Celá trasa silnice I/13 bude přeložena do nové polohy a to jak na levém, tak i na pravém břehu řeky Labe.</w:t>
      </w:r>
    </w:p>
    <w:p w14:paraId="4927E8FB" w14:textId="77777777" w:rsidR="006031D6" w:rsidRPr="00E32007" w:rsidRDefault="006031D6" w:rsidP="006031D6">
      <w:pPr>
        <w:spacing w:before="120" w:line="288" w:lineRule="auto"/>
        <w:ind w:left="86" w:right="28" w:firstLine="709"/>
        <w:rPr>
          <w:rFonts w:ascii="Arial" w:hAnsi="Arial" w:cs="Arial"/>
        </w:rPr>
      </w:pPr>
    </w:p>
    <w:p w14:paraId="1B21B55C" w14:textId="77777777" w:rsidR="006031D6" w:rsidRPr="0015471D" w:rsidRDefault="006031D6" w:rsidP="006031D6">
      <w:pPr>
        <w:pStyle w:val="Nadpis2"/>
        <w:rPr>
          <w:rFonts w:ascii="Arial" w:hAnsi="Arial" w:cs="Arial"/>
          <w:b/>
          <w:color w:val="auto"/>
          <w:sz w:val="28"/>
          <w:szCs w:val="28"/>
        </w:rPr>
      </w:pPr>
      <w:r w:rsidRPr="0015471D">
        <w:rPr>
          <w:rFonts w:ascii="Arial" w:hAnsi="Arial" w:cs="Arial"/>
          <w:b/>
          <w:color w:val="auto"/>
          <w:sz w:val="28"/>
          <w:szCs w:val="28"/>
        </w:rPr>
        <w:t>ŽELEZNIČNÍ DOPRAVA</w:t>
      </w:r>
    </w:p>
    <w:p w14:paraId="77374B88"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noProof/>
          <w:sz w:val="22"/>
          <w:szCs w:val="22"/>
          <w:lang w:eastAsia="cs-CZ"/>
        </w:rPr>
        <w:drawing>
          <wp:anchor distT="0" distB="0" distL="114300" distR="114300" simplePos="0" relativeHeight="251704320" behindDoc="0" locked="0" layoutInCell="1" allowOverlap="0" wp14:anchorId="06117DDB" wp14:editId="6815E710">
            <wp:simplePos x="0" y="0"/>
            <wp:positionH relativeFrom="page">
              <wp:posOffset>140335</wp:posOffset>
            </wp:positionH>
            <wp:positionV relativeFrom="page">
              <wp:posOffset>5368925</wp:posOffset>
            </wp:positionV>
            <wp:extent cx="6350" cy="12065"/>
            <wp:effectExtent l="0" t="0" r="0" b="0"/>
            <wp:wrapSquare wrapText="bothSides"/>
            <wp:docPr id="34971" name="Obrázek 34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2"/>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6350" cy="12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05344" behindDoc="0" locked="0" layoutInCell="1" allowOverlap="0" wp14:anchorId="2B4E4CF8" wp14:editId="75EB9F1B">
            <wp:simplePos x="0" y="0"/>
            <wp:positionH relativeFrom="page">
              <wp:posOffset>194945</wp:posOffset>
            </wp:positionH>
            <wp:positionV relativeFrom="page">
              <wp:posOffset>8158480</wp:posOffset>
            </wp:positionV>
            <wp:extent cx="6350" cy="3175"/>
            <wp:effectExtent l="0" t="0" r="0" b="0"/>
            <wp:wrapSquare wrapText="bothSides"/>
            <wp:docPr id="34970" name="Obrázek 34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6"/>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350"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06368" behindDoc="0" locked="0" layoutInCell="1" allowOverlap="0" wp14:anchorId="6B43C6EB" wp14:editId="223305CE">
            <wp:simplePos x="0" y="0"/>
            <wp:positionH relativeFrom="page">
              <wp:posOffset>594360</wp:posOffset>
            </wp:positionH>
            <wp:positionV relativeFrom="page">
              <wp:posOffset>8296275</wp:posOffset>
            </wp:positionV>
            <wp:extent cx="3175" cy="3175"/>
            <wp:effectExtent l="0" t="0" r="0" b="0"/>
            <wp:wrapSquare wrapText="bothSides"/>
            <wp:docPr id="34969" name="Obrázek 34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7"/>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07392" behindDoc="0" locked="0" layoutInCell="1" allowOverlap="0" wp14:anchorId="1A7280FC" wp14:editId="35CB1286">
            <wp:simplePos x="0" y="0"/>
            <wp:positionH relativeFrom="page">
              <wp:posOffset>204470</wp:posOffset>
            </wp:positionH>
            <wp:positionV relativeFrom="page">
              <wp:posOffset>9698355</wp:posOffset>
            </wp:positionV>
            <wp:extent cx="24130" cy="12065"/>
            <wp:effectExtent l="0" t="0" r="0" b="0"/>
            <wp:wrapSquare wrapText="bothSides"/>
            <wp:docPr id="34968" name="Obrázek 34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0"/>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4130" cy="12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szCs w:val="22"/>
        </w:rPr>
        <w:t xml:space="preserve">Prostory a tratě železniční dopravy vykazují na katastru města rozsáhlé plošné zábory v prostoru železničních uzlů jak na levém tak i na pravém břehu Labe. Funkčně lze oba uzly považovat </w:t>
      </w:r>
      <w:r w:rsidRPr="006031D6">
        <w:rPr>
          <w:rFonts w:ascii="Arial" w:hAnsi="Arial" w:cs="Arial"/>
          <w:noProof/>
          <w:sz w:val="22"/>
          <w:szCs w:val="22"/>
          <w:lang w:eastAsia="cs-CZ"/>
        </w:rPr>
        <w:drawing>
          <wp:inline distT="0" distB="0" distL="0" distR="0" wp14:anchorId="4A926363" wp14:editId="6CFBBC75">
            <wp:extent cx="12065" cy="12065"/>
            <wp:effectExtent l="0" t="0" r="0" b="0"/>
            <wp:docPr id="5179" name="Obrázek 5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9"/>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 xml:space="preserve">za jeden z nejvýznamnějších drážních prvků celostátního významu s nezastupitelnou úlohou stanice mezinárodního charakteru s přechodovou funkcí do SRN a ostatních severských států Evropy, To platí </w:t>
      </w:r>
      <w:r w:rsidRPr="006031D6">
        <w:rPr>
          <w:rFonts w:ascii="Arial" w:hAnsi="Arial" w:cs="Arial"/>
          <w:noProof/>
          <w:sz w:val="22"/>
          <w:szCs w:val="22"/>
          <w:lang w:eastAsia="cs-CZ"/>
        </w:rPr>
        <w:drawing>
          <wp:inline distT="0" distB="0" distL="0" distR="0" wp14:anchorId="1079B923" wp14:editId="28C02518">
            <wp:extent cx="12065" cy="35560"/>
            <wp:effectExtent l="0" t="0" r="6985" b="2540"/>
            <wp:docPr id="5178" name="Obrázek 5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6"/>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065" cy="35560"/>
                    </a:xfrm>
                    <a:prstGeom prst="rect">
                      <a:avLst/>
                    </a:prstGeom>
                    <a:noFill/>
                    <a:ln>
                      <a:noFill/>
                    </a:ln>
                  </pic:spPr>
                </pic:pic>
              </a:graphicData>
            </a:graphic>
          </wp:inline>
        </w:drawing>
      </w:r>
      <w:r w:rsidRPr="006031D6">
        <w:rPr>
          <w:rFonts w:ascii="Arial" w:hAnsi="Arial" w:cs="Arial"/>
          <w:sz w:val="22"/>
          <w:szCs w:val="22"/>
        </w:rPr>
        <w:t>i do výhledu kdy se postupně plánuje zkapacitnění levobřežní trati ČD související se zvýšením rychlosti, komplexní přestavby železniční stanice Děčín včetně výstavby nového mostu přes Labe a úprav v lokalitě Prostřední Žleb. V úvodních etapách však lze počítat pouze s rekonstrukcemi, které budou vymezeny pozemky chráněnými ochranným pásmem dráhy.</w:t>
      </w:r>
      <w:r w:rsidRPr="006031D6">
        <w:rPr>
          <w:rFonts w:ascii="Arial" w:hAnsi="Arial" w:cs="Arial"/>
          <w:noProof/>
          <w:sz w:val="22"/>
          <w:szCs w:val="22"/>
          <w:lang w:eastAsia="cs-CZ"/>
        </w:rPr>
        <w:drawing>
          <wp:inline distT="0" distB="0" distL="0" distR="0" wp14:anchorId="6E5BD817" wp14:editId="547DEA68">
            <wp:extent cx="12065" cy="12065"/>
            <wp:effectExtent l="0" t="0" r="0" b="0"/>
            <wp:docPr id="5177" name="Obrázek 5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3"/>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p w14:paraId="1F599AB1" w14:textId="77777777" w:rsidR="006031D6" w:rsidRPr="0015471D" w:rsidRDefault="006031D6" w:rsidP="006031D6">
      <w:pPr>
        <w:spacing w:before="120" w:line="288" w:lineRule="auto"/>
        <w:ind w:left="86" w:right="28" w:firstLine="709"/>
        <w:rPr>
          <w:rFonts w:ascii="Arial" w:hAnsi="Arial" w:cs="Arial"/>
        </w:rPr>
      </w:pPr>
    </w:p>
    <w:p w14:paraId="4B903C8F" w14:textId="77777777" w:rsidR="006031D6" w:rsidRPr="0015471D" w:rsidRDefault="006031D6" w:rsidP="006031D6">
      <w:pPr>
        <w:pStyle w:val="Nadpis2"/>
        <w:rPr>
          <w:rFonts w:ascii="Arial" w:hAnsi="Arial" w:cs="Arial"/>
          <w:b/>
          <w:color w:val="auto"/>
          <w:sz w:val="28"/>
          <w:szCs w:val="28"/>
        </w:rPr>
      </w:pPr>
      <w:r w:rsidRPr="0015471D">
        <w:rPr>
          <w:rFonts w:ascii="Arial" w:hAnsi="Arial" w:cs="Arial"/>
          <w:b/>
          <w:color w:val="auto"/>
          <w:sz w:val="28"/>
          <w:szCs w:val="28"/>
        </w:rPr>
        <w:t>VODNÍ DOPRAVA</w:t>
      </w:r>
    </w:p>
    <w:p w14:paraId="777025FE"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V Děčíně je provozována nákladní i osobní doprava. K tomu slouží řada zařízení, technického vybavení a provozních ploch, které jsou lokalizovány v přístavu Loubí a Rozbělesy. Ten je rozdělen na Nové Loubí, teminál a Děčín-město. Přístav je veřejný a je přístupný pro všechny zájemce, zabývající </w:t>
      </w:r>
      <w:r w:rsidRPr="006031D6">
        <w:rPr>
          <w:rFonts w:ascii="Arial" w:hAnsi="Arial" w:cs="Arial"/>
          <w:noProof/>
          <w:sz w:val="22"/>
          <w:szCs w:val="22"/>
          <w:lang w:eastAsia="cs-CZ"/>
        </w:rPr>
        <w:drawing>
          <wp:inline distT="0" distB="0" distL="0" distR="0" wp14:anchorId="7D9681F4" wp14:editId="1204563E">
            <wp:extent cx="12065" cy="12065"/>
            <wp:effectExtent l="0" t="0" r="0" b="0"/>
            <wp:docPr id="5176" name="Obrázek 5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4"/>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 xml:space="preserve">se lodní dopravou. Děčínský přístav je v rámci komplexního dopravního systému považován za jeden z nejvýznamnějších prvků republikového významu a s touto jeho funkcí lze počítat i do výhledu. </w:t>
      </w:r>
      <w:r w:rsidRPr="006031D6">
        <w:rPr>
          <w:rFonts w:ascii="Arial" w:hAnsi="Arial" w:cs="Arial"/>
          <w:noProof/>
          <w:sz w:val="22"/>
          <w:szCs w:val="22"/>
          <w:lang w:eastAsia="cs-CZ"/>
        </w:rPr>
        <w:drawing>
          <wp:inline distT="0" distB="0" distL="0" distR="0" wp14:anchorId="4B6D51E1" wp14:editId="3BEAF7E9">
            <wp:extent cx="12065" cy="12065"/>
            <wp:effectExtent l="0" t="0" r="0" b="0"/>
            <wp:docPr id="5175" name="Obrázek 5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5"/>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p w14:paraId="246E7EA1" w14:textId="77777777" w:rsidR="006031D6" w:rsidRPr="0015471D" w:rsidRDefault="006031D6" w:rsidP="006031D6">
      <w:pPr>
        <w:spacing w:before="120" w:line="288" w:lineRule="auto"/>
        <w:ind w:left="86" w:right="28" w:firstLine="709"/>
        <w:rPr>
          <w:rFonts w:ascii="Arial" w:hAnsi="Arial" w:cs="Arial"/>
        </w:rPr>
      </w:pPr>
    </w:p>
    <w:p w14:paraId="3DFCBBFB" w14:textId="77777777" w:rsidR="006031D6" w:rsidRPr="00626473" w:rsidRDefault="006031D6" w:rsidP="006031D6">
      <w:pPr>
        <w:pStyle w:val="Nadpis1"/>
        <w:jc w:val="both"/>
        <w:rPr>
          <w:rFonts w:ascii="Arial" w:hAnsi="Arial" w:cs="Arial"/>
          <w:b/>
        </w:rPr>
      </w:pPr>
      <w:r w:rsidRPr="00626473">
        <w:rPr>
          <w:rFonts w:ascii="Arial" w:hAnsi="Arial" w:cs="Arial"/>
          <w:b/>
        </w:rPr>
        <w:t>F3. DOPRAVNÍ SÍŤ</w:t>
      </w:r>
    </w:p>
    <w:p w14:paraId="23C46FB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Návrh dopravní sítě je rozdělen do několika samostatných částí, týkající se podrobně specifiky vzájemně odlišných druhů doprav. Silniční trasy jsou členěny na vnější silniční a vnitřní komunikační síť, které jsou svou funkcí výrazně rozdílné.</w:t>
      </w:r>
    </w:p>
    <w:p w14:paraId="41FD952B" w14:textId="77777777" w:rsidR="006031D6" w:rsidRPr="00626473" w:rsidRDefault="006031D6" w:rsidP="006031D6">
      <w:pPr>
        <w:spacing w:before="120" w:line="288" w:lineRule="auto"/>
        <w:ind w:left="86" w:right="28" w:firstLine="709"/>
        <w:rPr>
          <w:rFonts w:ascii="Arial" w:hAnsi="Arial" w:cs="Arial"/>
        </w:rPr>
      </w:pPr>
    </w:p>
    <w:p w14:paraId="3850717B" w14:textId="77777777" w:rsidR="006031D6" w:rsidRPr="0015471D" w:rsidRDefault="006031D6" w:rsidP="006031D6">
      <w:pPr>
        <w:pStyle w:val="Nadpis1"/>
        <w:spacing w:after="37"/>
        <w:ind w:left="29"/>
        <w:jc w:val="both"/>
        <w:rPr>
          <w:rFonts w:ascii="Arial" w:hAnsi="Arial" w:cs="Arial"/>
          <w:b/>
          <w:sz w:val="28"/>
          <w:szCs w:val="28"/>
        </w:rPr>
      </w:pPr>
      <w:r w:rsidRPr="0015471D">
        <w:rPr>
          <w:rFonts w:ascii="Arial" w:eastAsia="Calibri" w:hAnsi="Arial" w:cs="Arial"/>
          <w:b/>
          <w:sz w:val="28"/>
          <w:szCs w:val="28"/>
        </w:rPr>
        <w:t>F3.1. VNĚJŠÍ SILNIČNÍ SÍŤ</w:t>
      </w:r>
    </w:p>
    <w:p w14:paraId="011E53E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Vnější silniční síť má z dopravního hlediska na řešeném území města Děčína jedno z </w:t>
      </w:r>
      <w:r w:rsidRPr="006031D6">
        <w:rPr>
          <w:rFonts w:ascii="Arial" w:hAnsi="Arial" w:cs="Arial"/>
          <w:noProof/>
          <w:sz w:val="22"/>
          <w:szCs w:val="22"/>
          <w:lang w:eastAsia="cs-CZ"/>
        </w:rPr>
        <w:drawing>
          <wp:inline distT="0" distB="0" distL="0" distR="0" wp14:anchorId="403570F3" wp14:editId="5D3AE2CE">
            <wp:extent cx="12065" cy="12065"/>
            <wp:effectExtent l="0" t="0" r="0" b="0"/>
            <wp:docPr id="5174" name="Obrázek 5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8"/>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prioritních postavení. Má to přímou souvislost s výrazným rozvojem silniční dopravy zejména v posledním období, kdy zvýšenou mírou vzrůstají potřeby na přepravu zboží a osob.</w:t>
      </w:r>
    </w:p>
    <w:p w14:paraId="03848A33"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noProof/>
          <w:sz w:val="22"/>
          <w:szCs w:val="22"/>
          <w:lang w:eastAsia="cs-CZ"/>
        </w:rPr>
        <w:drawing>
          <wp:inline distT="0" distB="0" distL="0" distR="0" wp14:anchorId="371BF272" wp14:editId="4630D1AF">
            <wp:extent cx="12065" cy="12065"/>
            <wp:effectExtent l="0" t="0" r="0" b="0"/>
            <wp:docPr id="5173" name="Obrázek 5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9"/>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 xml:space="preserve">Územním plánem navrhovaná koncepce rozvoje dopravní sítě nadřazených vnějších silničních tahů vychází z dlouhodobých záměrů, které byly v minulosti několikrát korigovány a k jejich úpravám dochází průběžně i v současné době. Snahou je optimalizovat vnější silniční síť tak, aby respektovala nejen zájmy dopravy ale i zájmy urbanistické a požadavky </w:t>
      </w:r>
      <w:r w:rsidRPr="006031D6">
        <w:rPr>
          <w:rFonts w:ascii="Arial" w:hAnsi="Arial" w:cs="Arial"/>
          <w:sz w:val="22"/>
          <w:szCs w:val="22"/>
        </w:rPr>
        <w:lastRenderedPageBreak/>
        <w:t xml:space="preserve">obyvatel města Děčína. To se týká zejména tras tranzitní dopravy a některých silných regionálních tahů, které se postupně staly pro město a život v něm konfliktní. </w:t>
      </w:r>
      <w:r w:rsidRPr="006031D6">
        <w:rPr>
          <w:rFonts w:ascii="Arial" w:hAnsi="Arial" w:cs="Arial"/>
          <w:noProof/>
          <w:sz w:val="22"/>
          <w:szCs w:val="22"/>
          <w:lang w:eastAsia="cs-CZ"/>
        </w:rPr>
        <w:drawing>
          <wp:inline distT="0" distB="0" distL="0" distR="0" wp14:anchorId="59E91159" wp14:editId="5D4B56F3">
            <wp:extent cx="12065" cy="12065"/>
            <wp:effectExtent l="0" t="0" r="0" b="0"/>
            <wp:docPr id="5172" name="Obrázek 5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p w14:paraId="0EB6877F" w14:textId="77777777" w:rsidR="006031D6" w:rsidRDefault="006031D6" w:rsidP="006031D6">
      <w:pPr>
        <w:spacing w:before="120" w:line="288" w:lineRule="auto"/>
        <w:ind w:left="11" w:right="11"/>
        <w:rPr>
          <w:rFonts w:ascii="Arial" w:hAnsi="Arial" w:cs="Arial"/>
          <w:b/>
        </w:rPr>
      </w:pPr>
    </w:p>
    <w:p w14:paraId="0B78BE42" w14:textId="77777777" w:rsidR="006031D6" w:rsidRPr="00731A94" w:rsidRDefault="006031D6" w:rsidP="006031D6">
      <w:pPr>
        <w:spacing w:before="120" w:line="288" w:lineRule="auto"/>
        <w:ind w:left="11" w:right="11"/>
        <w:rPr>
          <w:rFonts w:ascii="Arial" w:hAnsi="Arial" w:cs="Arial"/>
          <w:b/>
        </w:rPr>
      </w:pPr>
      <w:r w:rsidRPr="00731A94">
        <w:rPr>
          <w:rFonts w:ascii="Arial" w:hAnsi="Arial" w:cs="Arial"/>
          <w:b/>
        </w:rPr>
        <w:t>NADŘAZENÝ SILNIČNÍ TAH I/13</w:t>
      </w:r>
    </w:p>
    <w:p w14:paraId="32279724"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Vedený v současnosti ve směru od Teplic přes Libouchec údolím Jílovského potoka a pokračující přes Nový Bor do Liberce, je rozhodujícím tahem v řešeném i zájmovém prostoru. Je součástí mezinárodní sítě a má označení E 442.</w:t>
      </w:r>
    </w:p>
    <w:p w14:paraId="33DE0FB6"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Výhledově lze oprávněně očekávat posílení jeho významu zejména v oblasti tranzitní přepravy a to v souvislosti s výstavbou dálnice D8 Praha - Drážďany.</w:t>
      </w:r>
    </w:p>
    <w:p w14:paraId="690D77AE"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Návrh předpokládá realizaci nové levobřežní obchvatové silnice, vedené mimo centrální část města. Studijně byla v řadě alternativ a variant prověřena trasa, vedená mimo zastavěnou část jak Děčína a jeho čtvrtí Podmokly, Dolní Oldřichov a Bynov tak i obcí Jílové a Libouchec ležící vně </w:t>
      </w:r>
      <w:r w:rsidRPr="006031D6">
        <w:rPr>
          <w:rFonts w:ascii="Arial" w:hAnsi="Arial" w:cs="Arial"/>
          <w:noProof/>
          <w:sz w:val="22"/>
          <w:szCs w:val="22"/>
          <w:lang w:eastAsia="cs-CZ"/>
        </w:rPr>
        <w:drawing>
          <wp:inline distT="0" distB="0" distL="0" distR="0" wp14:anchorId="2E539D64" wp14:editId="58C9DB7F">
            <wp:extent cx="12065" cy="12065"/>
            <wp:effectExtent l="0" t="0" r="0" b="0"/>
            <wp:docPr id="5171" name="Obrázek 5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řešeného prostoru v širším zájmovém území.</w:t>
      </w:r>
    </w:p>
    <w:p w14:paraId="44B541C0"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Jako optimální se ukazuje varianta situovaná do údolí Chrochvického potoka s mimoúrovňovým překonáním železniční trati a s mimoúrovňovou křižovatkou na silnici I/62 v Želenicích. Trasa je v území vedena tak, aby minimalizovala střet se zástavbou a přitom splňovala podmínku být ještě v kontaktu s vlastním městem.</w:t>
      </w:r>
    </w:p>
    <w:p w14:paraId="78A84008"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Otázka vedení silnice I/13 není dosud zcela jasně definována a závisí na poloze dálnice D8. Existují prakticky dvě možnosti jejího vedení tahu první třídy:</w:t>
      </w:r>
    </w:p>
    <w:p w14:paraId="69AD7893" w14:textId="77777777" w:rsidR="006031D6" w:rsidRPr="006031D6" w:rsidRDefault="006031D6" w:rsidP="006031D6">
      <w:pPr>
        <w:numPr>
          <w:ilvl w:val="0"/>
          <w:numId w:val="46"/>
        </w:numPr>
        <w:suppressAutoHyphens w:val="0"/>
        <w:spacing w:before="120" w:line="288" w:lineRule="auto"/>
        <w:ind w:left="284" w:right="28" w:hanging="360"/>
        <w:jc w:val="both"/>
        <w:rPr>
          <w:rFonts w:ascii="Arial" w:hAnsi="Arial" w:cs="Arial"/>
          <w:sz w:val="22"/>
          <w:szCs w:val="22"/>
        </w:rPr>
      </w:pPr>
      <w:r w:rsidRPr="006031D6">
        <w:rPr>
          <w:rFonts w:ascii="Arial" w:hAnsi="Arial" w:cs="Arial"/>
          <w:sz w:val="22"/>
          <w:szCs w:val="22"/>
        </w:rPr>
        <w:t>Trasu silnice I/13 vést po levém břehu Labe ve stopě stávající silnice I/62 a to ve směru od Trmické mimoúrovňové křižovatky na dálnici D8 až do Děčína na MÚK levého předmostí Nového mostu. Stávající trasa silnice I/13 by měla funkci silnice druhé třídy.</w:t>
      </w:r>
    </w:p>
    <w:p w14:paraId="3EF7A167" w14:textId="77777777" w:rsidR="006031D6" w:rsidRPr="006031D6" w:rsidRDefault="006031D6" w:rsidP="006031D6">
      <w:pPr>
        <w:numPr>
          <w:ilvl w:val="0"/>
          <w:numId w:val="46"/>
        </w:numPr>
        <w:suppressAutoHyphens w:val="0"/>
        <w:spacing w:before="120" w:line="288" w:lineRule="auto"/>
        <w:ind w:left="284" w:right="28" w:hanging="360"/>
        <w:jc w:val="both"/>
        <w:rPr>
          <w:rFonts w:ascii="Arial" w:hAnsi="Arial" w:cs="Arial"/>
          <w:sz w:val="22"/>
          <w:szCs w:val="22"/>
        </w:rPr>
      </w:pPr>
      <w:r w:rsidRPr="006031D6">
        <w:rPr>
          <w:rFonts w:ascii="Arial" w:hAnsi="Arial" w:cs="Arial"/>
          <w:sz w:val="22"/>
          <w:szCs w:val="22"/>
        </w:rPr>
        <w:t>Trasu silnice I/13 vést po navrhované trase přeložky silnice údolím Chrochvického potoka, levobřežní silnice první třídy by zůstala ve stávající podobě a původní trasa I/13 by měla charakter silnice druhé třídy. Toto řešení je v územním plánu preferováno a koncepčně drženo.</w:t>
      </w:r>
    </w:p>
    <w:p w14:paraId="3CF7CBE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Obě uvedené možnosti byly již v minulosti zvažovány. O první bylo diskutováno v souvislosti se zpracováním územního plánu města Ústí nad Labem. Zde bylo koncepčně stanoveno, že silnice 1/13 nebude vedena přes město a její trasa si podrží původní stopu přes katastr obce Libouchec a Jílové. V tomto smyslu je akceptováno i řešení v Děčíně a v územním plánu tedy navrhujeme zařadit přeložku </w:t>
      </w:r>
      <w:r w:rsidRPr="006031D6">
        <w:rPr>
          <w:rFonts w:ascii="Arial" w:hAnsi="Arial" w:cs="Arial"/>
          <w:noProof/>
          <w:sz w:val="22"/>
          <w:szCs w:val="22"/>
          <w:lang w:eastAsia="cs-CZ"/>
        </w:rPr>
        <w:drawing>
          <wp:inline distT="0" distB="0" distL="0" distR="0" wp14:anchorId="52F66CA1" wp14:editId="52B23FFE">
            <wp:extent cx="12065" cy="12065"/>
            <wp:effectExtent l="0" t="0" r="0" b="0"/>
            <wp:docPr id="5170" name="Obrázek 5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0"/>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vedenou údolím Chrochvického potoka mezi silnice první třídy s označením I/13. Tah je navržen v kategorii SI, 5/70 a bude vázat přepravní vztahy ve směru od Liberce, Č. Lípy, Benešova a Děčína.</w:t>
      </w:r>
    </w:p>
    <w:p w14:paraId="095539F4" w14:textId="77777777" w:rsidR="006031D6" w:rsidRPr="00626473" w:rsidRDefault="006031D6" w:rsidP="006031D6">
      <w:pPr>
        <w:spacing w:before="120" w:line="288" w:lineRule="auto"/>
        <w:ind w:left="86" w:right="28" w:firstLine="709"/>
        <w:rPr>
          <w:rFonts w:ascii="Arial" w:hAnsi="Arial" w:cs="Arial"/>
        </w:rPr>
      </w:pPr>
      <w:r w:rsidRPr="00626473">
        <w:rPr>
          <w:rFonts w:ascii="Arial" w:hAnsi="Arial" w:cs="Arial"/>
          <w:noProof/>
          <w:lang w:eastAsia="cs-CZ"/>
        </w:rPr>
        <w:drawing>
          <wp:inline distT="0" distB="0" distL="0" distR="0" wp14:anchorId="1B4DD582" wp14:editId="140494BA">
            <wp:extent cx="47625" cy="12065"/>
            <wp:effectExtent l="0" t="0" r="9525" b="6985"/>
            <wp:docPr id="5169" name="Obrázek 5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2"/>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47625" cy="12065"/>
                    </a:xfrm>
                    <a:prstGeom prst="rect">
                      <a:avLst/>
                    </a:prstGeom>
                    <a:noFill/>
                    <a:ln>
                      <a:noFill/>
                    </a:ln>
                  </pic:spPr>
                </pic:pic>
              </a:graphicData>
            </a:graphic>
          </wp:inline>
        </w:drawing>
      </w:r>
      <w:r w:rsidRPr="0015471D">
        <w:rPr>
          <w:rFonts w:ascii="Arial" w:hAnsi="Arial" w:cs="Arial"/>
        </w:rPr>
        <w:t>U tohoto řešení je zřejmé, že přeložka tahu nebude zdaleka nositelem veškerých přepravních vztahů směřujících k dálnici. Dopravní vazba Děčín - Ústí nad Labem po levobřežní silnici I/62 zůstává i nadále nejkratším spojením a pokud nebude nějakým způsobem na průjezdu v Ústí n L. výrazně komplikována, zůstane pro automobilisty vysoce atraktivní.</w:t>
      </w:r>
    </w:p>
    <w:p w14:paraId="259CF67F" w14:textId="77777777" w:rsidR="006031D6" w:rsidRPr="00626473" w:rsidRDefault="006031D6" w:rsidP="006031D6">
      <w:pPr>
        <w:spacing w:before="120" w:line="288" w:lineRule="auto"/>
        <w:ind w:left="85" w:right="11"/>
        <w:rPr>
          <w:rFonts w:ascii="Arial" w:hAnsi="Arial" w:cs="Arial"/>
          <w:b/>
        </w:rPr>
      </w:pPr>
      <w:r w:rsidRPr="00626473">
        <w:rPr>
          <w:rFonts w:ascii="Arial" w:hAnsi="Arial" w:cs="Arial"/>
          <w:b/>
        </w:rPr>
        <w:t>Výhledové zátěže dosahují v extravilánu hodnot:</w:t>
      </w:r>
    </w:p>
    <w:p w14:paraId="11A92A1A" w14:textId="77777777" w:rsidR="006031D6" w:rsidRPr="006031D6" w:rsidRDefault="006031D6" w:rsidP="006031D6">
      <w:pPr>
        <w:numPr>
          <w:ilvl w:val="0"/>
          <w:numId w:val="46"/>
        </w:numPr>
        <w:tabs>
          <w:tab w:val="left" w:pos="993"/>
        </w:tabs>
        <w:suppressAutoHyphens w:val="0"/>
        <w:spacing w:before="120" w:line="288" w:lineRule="auto"/>
        <w:ind w:left="992" w:right="28" w:hanging="360"/>
        <w:jc w:val="both"/>
        <w:rPr>
          <w:rFonts w:ascii="Arial" w:hAnsi="Arial" w:cs="Arial"/>
          <w:sz w:val="22"/>
          <w:szCs w:val="22"/>
        </w:rPr>
      </w:pPr>
      <w:r w:rsidRPr="006031D6">
        <w:rPr>
          <w:rFonts w:ascii="Arial" w:hAnsi="Arial" w:cs="Arial"/>
          <w:sz w:val="22"/>
          <w:szCs w:val="22"/>
        </w:rPr>
        <w:lastRenderedPageBreak/>
        <w:t>pro úsek Ústecká - Želenická</w:t>
      </w:r>
      <w:r w:rsidRPr="006031D6">
        <w:rPr>
          <w:rFonts w:ascii="Arial" w:hAnsi="Arial" w:cs="Arial"/>
          <w:sz w:val="22"/>
          <w:szCs w:val="22"/>
        </w:rPr>
        <w:tab/>
        <w:t>10 600 voz/den;</w:t>
      </w:r>
    </w:p>
    <w:p w14:paraId="21C0D142" w14:textId="77777777" w:rsidR="006031D6" w:rsidRPr="006031D6" w:rsidRDefault="006031D6" w:rsidP="006031D6">
      <w:pPr>
        <w:numPr>
          <w:ilvl w:val="0"/>
          <w:numId w:val="46"/>
        </w:numPr>
        <w:tabs>
          <w:tab w:val="left" w:pos="993"/>
        </w:tabs>
        <w:suppressAutoHyphens w:val="0"/>
        <w:spacing w:before="120" w:line="288" w:lineRule="auto"/>
        <w:ind w:left="992" w:right="28" w:hanging="360"/>
        <w:jc w:val="both"/>
        <w:rPr>
          <w:rFonts w:ascii="Arial" w:hAnsi="Arial" w:cs="Arial"/>
          <w:sz w:val="22"/>
          <w:szCs w:val="22"/>
        </w:rPr>
      </w:pPr>
      <w:r w:rsidRPr="006031D6">
        <w:rPr>
          <w:rFonts w:ascii="Arial" w:hAnsi="Arial" w:cs="Arial"/>
          <w:sz w:val="22"/>
          <w:szCs w:val="22"/>
        </w:rPr>
        <w:t>pro úsek Želenická - hr. území</w:t>
      </w:r>
      <w:r w:rsidRPr="006031D6">
        <w:rPr>
          <w:rFonts w:ascii="Arial" w:hAnsi="Arial" w:cs="Arial"/>
          <w:sz w:val="22"/>
          <w:szCs w:val="22"/>
        </w:rPr>
        <w:tab/>
        <w:t xml:space="preserve"> 10 000 voz/den.</w:t>
      </w:r>
    </w:p>
    <w:p w14:paraId="7D289216"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Uváděné zátěže jsou stanoveny a upraveny výhledovými nárůstovými koeficienty na základě výsledků sčítání z roku 1995 a na základě expertizy City Planu s.r.o. a jsou informativní (to platí o všech uvedených zátěžích). V současné době není možné výhledové dopravní zátěže určit přesně (otázka vlivu dálnice ap.).</w:t>
      </w:r>
    </w:p>
    <w:p w14:paraId="7A8C3A8E" w14:textId="77777777" w:rsidR="006031D6" w:rsidRPr="00626473" w:rsidRDefault="006031D6" w:rsidP="006031D6">
      <w:pPr>
        <w:spacing w:before="120" w:line="288" w:lineRule="auto"/>
        <w:ind w:left="86" w:right="28" w:firstLine="709"/>
        <w:rPr>
          <w:rFonts w:ascii="Arial" w:hAnsi="Arial" w:cs="Arial"/>
        </w:rPr>
      </w:pPr>
    </w:p>
    <w:p w14:paraId="70AF60D4" w14:textId="77777777" w:rsidR="006031D6" w:rsidRPr="00731A94" w:rsidRDefault="006031D6" w:rsidP="006031D6">
      <w:pPr>
        <w:spacing w:before="120" w:line="288" w:lineRule="auto"/>
        <w:ind w:left="11" w:right="11"/>
        <w:rPr>
          <w:rFonts w:ascii="Arial" w:hAnsi="Arial" w:cs="Arial"/>
          <w:b/>
        </w:rPr>
      </w:pPr>
      <w:r w:rsidRPr="00731A94">
        <w:rPr>
          <w:rFonts w:ascii="Arial" w:hAnsi="Arial" w:cs="Arial"/>
          <w:b/>
        </w:rPr>
        <w:t>SILNICE PRVNÍ TŘÍDY I/62</w:t>
      </w:r>
    </w:p>
    <w:p w14:paraId="13229FFA"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má charakter regionálního tahu a vzájemně propojuje okresní města Děčín a Ústí nad Labem. </w:t>
      </w:r>
      <w:r w:rsidRPr="006031D6">
        <w:rPr>
          <w:rFonts w:ascii="Arial" w:hAnsi="Arial" w:cs="Arial"/>
          <w:noProof/>
          <w:sz w:val="22"/>
          <w:szCs w:val="22"/>
          <w:lang w:eastAsia="cs-CZ"/>
        </w:rPr>
        <w:drawing>
          <wp:inline distT="0" distB="0" distL="0" distR="0" wp14:anchorId="0ECA5567" wp14:editId="033AFBE1">
            <wp:extent cx="12065" cy="12065"/>
            <wp:effectExtent l="0" t="0" r="0" b="0"/>
            <wp:docPr id="5168" name="Obrázek 5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V celém svém úseku má kapacitní dvoupruhové uspořádání a odpovídající kategorii S 11, 5/80. Takto je také vedena v registru silnic Ředitelství silnic a dálnic ČR.</w:t>
      </w:r>
    </w:p>
    <w:p w14:paraId="325FF025"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V návrhu zůstává její funkce zachována. V Děčíně je trasa vedena ulicí Práce v nové rekonstruované trase v kategorii čtyřpruhové komunikace. Napojuje se do připravované mimoúrovňové křižovatky se silnicí I/13 na levém předmostí Nového mostu. Ulice Ústecká v Rozbělesích bude mít funkci místní sběrné komunikace.</w:t>
      </w:r>
    </w:p>
    <w:p w14:paraId="258C895E"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Úsek Děčín - Hřensko vykazuje zejména rekreační charakter dopravní zátěže, směrovaný jak do prostoru Hřenska a Jetřichovická, tak za hranice státu do SRN přes přechod ve Hřensku (severně od Děčína v kateg. S 9,5/70). Vyznačuje se minimálním podílem nákladní přepravy. Výhledová dopravní zátěž není vysoká a nepřekračuje 4 000 voz/den.</w:t>
      </w:r>
    </w:p>
    <w:p w14:paraId="1B7EB165"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Návrh nepředpokládá změny směrového vedení trasy. V rámci prací na konceptu územního plánu byla prověřena možnost nového vedení trasy z Kamenické na Wolkerovu ulici. Toto řešení není z urbanistického hlediska vhodné (zásah do klidové zóny rodinného bydlení, likvidace zařízení tělovýchovy) a technicky by představovalo náročnou investici s velkými zemními pracemi.</w:t>
      </w:r>
    </w:p>
    <w:p w14:paraId="666825CA" w14:textId="77777777" w:rsidR="006031D6" w:rsidRPr="006031D6" w:rsidRDefault="006031D6" w:rsidP="006031D6">
      <w:pPr>
        <w:spacing w:before="120" w:line="288" w:lineRule="auto"/>
        <w:ind w:left="86" w:right="28" w:firstLine="709"/>
        <w:jc w:val="both"/>
        <w:rPr>
          <w:rFonts w:ascii="Arial" w:hAnsi="Arial" w:cs="Arial"/>
          <w:sz w:val="22"/>
          <w:szCs w:val="22"/>
        </w:rPr>
      </w:pPr>
    </w:p>
    <w:p w14:paraId="447E95C4" w14:textId="77777777" w:rsidR="006031D6" w:rsidRPr="00731A94" w:rsidRDefault="006031D6" w:rsidP="006031D6">
      <w:pPr>
        <w:spacing w:before="120" w:line="288" w:lineRule="auto"/>
        <w:ind w:left="11" w:right="11"/>
        <w:rPr>
          <w:rFonts w:ascii="Arial" w:hAnsi="Arial" w:cs="Arial"/>
          <w:b/>
        </w:rPr>
      </w:pPr>
      <w:r w:rsidRPr="00731A94">
        <w:rPr>
          <w:rFonts w:ascii="Arial" w:hAnsi="Arial" w:cs="Arial"/>
          <w:b/>
        </w:rPr>
        <w:t>SILNICE DRUHÉ TŘÍDY II/261</w:t>
      </w:r>
    </w:p>
    <w:p w14:paraId="474462CF"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noProof/>
          <w:sz w:val="22"/>
          <w:szCs w:val="22"/>
          <w:lang w:eastAsia="cs-CZ"/>
        </w:rPr>
        <w:drawing>
          <wp:anchor distT="0" distB="0" distL="114300" distR="114300" simplePos="0" relativeHeight="251708416" behindDoc="0" locked="0" layoutInCell="1" allowOverlap="0" wp14:anchorId="08DDA7B4" wp14:editId="3A776A60">
            <wp:simplePos x="0" y="0"/>
            <wp:positionH relativeFrom="page">
              <wp:posOffset>570230</wp:posOffset>
            </wp:positionH>
            <wp:positionV relativeFrom="page">
              <wp:posOffset>9283700</wp:posOffset>
            </wp:positionV>
            <wp:extent cx="3175" cy="3175"/>
            <wp:effectExtent l="0" t="0" r="0" b="0"/>
            <wp:wrapSquare wrapText="bothSides"/>
            <wp:docPr id="34967" name="Obrázek 34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8"/>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09440" behindDoc="0" locked="0" layoutInCell="1" allowOverlap="0" wp14:anchorId="1238C860" wp14:editId="276BB776">
            <wp:simplePos x="0" y="0"/>
            <wp:positionH relativeFrom="page">
              <wp:posOffset>563880</wp:posOffset>
            </wp:positionH>
            <wp:positionV relativeFrom="page">
              <wp:posOffset>9381490</wp:posOffset>
            </wp:positionV>
            <wp:extent cx="6350" cy="3175"/>
            <wp:effectExtent l="0" t="0" r="0" b="0"/>
            <wp:wrapSquare wrapText="bothSides"/>
            <wp:docPr id="34966" name="Obrázek 34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9"/>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6350"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10464" behindDoc="0" locked="0" layoutInCell="1" allowOverlap="0" wp14:anchorId="6A69E043" wp14:editId="7ACD6598">
            <wp:simplePos x="0" y="0"/>
            <wp:positionH relativeFrom="page">
              <wp:posOffset>189230</wp:posOffset>
            </wp:positionH>
            <wp:positionV relativeFrom="page">
              <wp:posOffset>7497445</wp:posOffset>
            </wp:positionV>
            <wp:extent cx="3175" cy="3175"/>
            <wp:effectExtent l="0" t="0" r="0" b="0"/>
            <wp:wrapSquare wrapText="bothSides"/>
            <wp:docPr id="34965" name="Obrázek 34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6"/>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11488" behindDoc="0" locked="0" layoutInCell="1" allowOverlap="0" wp14:anchorId="34BF70B4" wp14:editId="2F53863A">
            <wp:simplePos x="0" y="0"/>
            <wp:positionH relativeFrom="page">
              <wp:posOffset>133985</wp:posOffset>
            </wp:positionH>
            <wp:positionV relativeFrom="page">
              <wp:posOffset>6985000</wp:posOffset>
            </wp:positionV>
            <wp:extent cx="6350" cy="30480"/>
            <wp:effectExtent l="0" t="0" r="0" b="0"/>
            <wp:wrapSquare wrapText="bothSides"/>
            <wp:docPr id="34964" name="Obrázek 34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80"/>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6350" cy="30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szCs w:val="22"/>
        </w:rPr>
        <w:t xml:space="preserve">Děčín - Boletice - Ústí nad Labem má mimo intravilán relativně nejnižší dopravní zatížení. Silniční tah přebírá komplexní skladbu všech typů doprav regionálního a lokálního významu včetně obvyklého podílu nákladní dopravy. Poměrně silná dopravní intenzita na Litoměřické ulici při vztahu Děčín - Boletice vyvolává nutnost postupného řešení komplikované situace na Starém Městě, kde je stávající trasa vedena zastavěnou částí sídelního útvaru a kde směrové a výškové parametry </w:t>
      </w:r>
      <w:r w:rsidRPr="006031D6">
        <w:rPr>
          <w:rFonts w:ascii="Arial" w:hAnsi="Arial" w:cs="Arial"/>
          <w:noProof/>
          <w:sz w:val="22"/>
          <w:szCs w:val="22"/>
          <w:lang w:eastAsia="cs-CZ"/>
        </w:rPr>
        <w:drawing>
          <wp:inline distT="0" distB="0" distL="0" distR="0" wp14:anchorId="32513AEF" wp14:editId="714EB0D2">
            <wp:extent cx="12065" cy="12065"/>
            <wp:effectExtent l="0" t="0" r="0" b="0"/>
            <wp:docPr id="5167" name="Obrázek 5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neodpovídají požadavkům na bezkonfliktní a plynulý provoz automobilové dopravy. Mezi hlavní dopravní závady se řadí úrovňový železniční přejezd, kde je silnice vedena ve složitých spádových poměrech a v nevhodném směrovém oblouku (nedostatečný rozhled).</w:t>
      </w:r>
    </w:p>
    <w:p w14:paraId="258F7A8A"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Návrh přeložky silnice sleduje řešení dokumentované ve zpracované studii. Předpokládá realizaci trasy v těsném souběhu s tratí ČD, s mimoúrovňovým přechodem dráhy a s opětným napojením na stávající trasu v ul. Vítězství. Úsek trasy vedený kolem Labeny a loděnic až do Nebočad spadá do etapy po návrhovém období a je pro něj držena </w:t>
      </w:r>
      <w:r w:rsidRPr="006031D6">
        <w:rPr>
          <w:rFonts w:ascii="Arial" w:hAnsi="Arial" w:cs="Arial"/>
          <w:sz w:val="22"/>
          <w:szCs w:val="22"/>
        </w:rPr>
        <w:lastRenderedPageBreak/>
        <w:t>územní rezerva. Kategorie komunikace je volena v zástavbě v parametrech M 9/60 s chodníkem, ve volné trase v kat. S 9,5/60. Přeložka má význam zejména pro vztahy Děčín - Boletice, které jsou velmi silné. Ve směru na Ústí n Labem intenzita zřejmě nepřekročí ani ve výhledu hodnotu 3 000 voz/den.</w:t>
      </w:r>
      <w:r w:rsidRPr="006031D6">
        <w:rPr>
          <w:rFonts w:ascii="Arial" w:hAnsi="Arial" w:cs="Arial"/>
          <w:noProof/>
          <w:sz w:val="22"/>
          <w:szCs w:val="22"/>
          <w:lang w:eastAsia="cs-CZ"/>
        </w:rPr>
        <w:drawing>
          <wp:inline distT="0" distB="0" distL="0" distR="0" wp14:anchorId="72E26BDC" wp14:editId="7350D59F">
            <wp:extent cx="12065" cy="12065"/>
            <wp:effectExtent l="0" t="0" r="0" b="0"/>
            <wp:docPr id="5166" name="Obrázek 5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7"/>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p>
    <w:p w14:paraId="0C5CC3B9" w14:textId="77777777" w:rsidR="006031D6" w:rsidRPr="00626473" w:rsidRDefault="006031D6" w:rsidP="006031D6">
      <w:pPr>
        <w:spacing w:before="120" w:line="288" w:lineRule="auto"/>
        <w:ind w:left="86" w:right="28" w:firstLine="709"/>
        <w:rPr>
          <w:rFonts w:ascii="Arial" w:hAnsi="Arial" w:cs="Arial"/>
        </w:rPr>
      </w:pPr>
    </w:p>
    <w:p w14:paraId="5DCD3D8A" w14:textId="77777777" w:rsidR="006031D6" w:rsidRPr="00731A94" w:rsidRDefault="006031D6" w:rsidP="006031D6">
      <w:pPr>
        <w:spacing w:before="120" w:line="288" w:lineRule="auto"/>
        <w:ind w:left="11" w:right="11"/>
        <w:rPr>
          <w:rFonts w:ascii="Arial" w:hAnsi="Arial" w:cs="Arial"/>
          <w:b/>
        </w:rPr>
      </w:pPr>
      <w:r w:rsidRPr="00731A94">
        <w:rPr>
          <w:rFonts w:ascii="Arial" w:hAnsi="Arial" w:cs="Arial"/>
          <w:b/>
        </w:rPr>
        <w:t>SILNICE DRUHÉ TŘÍDY II/262</w:t>
      </w:r>
    </w:p>
    <w:p w14:paraId="25BEACDA"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bude po realizaci nové trasy silnice I/13 výrazně zklidněna, část jejích zátěží právě tato trasa převezme. Sil. 11/262 zůstane zachována v současné podobě a bude přebírat místní zátěže. V intravilánu Děčína bude mít charakter místní komunikace.</w:t>
      </w:r>
    </w:p>
    <w:p w14:paraId="1EF9F93E" w14:textId="77777777" w:rsidR="006031D6" w:rsidRPr="006031D6" w:rsidRDefault="006031D6" w:rsidP="006031D6">
      <w:pPr>
        <w:spacing w:before="120" w:line="288" w:lineRule="auto"/>
        <w:ind w:left="86" w:right="28" w:firstLine="709"/>
        <w:jc w:val="both"/>
        <w:rPr>
          <w:rFonts w:ascii="Arial" w:hAnsi="Arial" w:cs="Arial"/>
          <w:sz w:val="22"/>
          <w:szCs w:val="22"/>
        </w:rPr>
      </w:pPr>
    </w:p>
    <w:p w14:paraId="76DB9563" w14:textId="77777777" w:rsidR="006031D6" w:rsidRPr="00731A94" w:rsidRDefault="006031D6" w:rsidP="006031D6">
      <w:pPr>
        <w:spacing w:before="120" w:line="288" w:lineRule="auto"/>
        <w:ind w:left="11" w:right="11"/>
        <w:rPr>
          <w:rFonts w:ascii="Arial" w:hAnsi="Arial" w:cs="Arial"/>
          <w:b/>
        </w:rPr>
      </w:pPr>
      <w:r w:rsidRPr="00731A94">
        <w:rPr>
          <w:rFonts w:ascii="Arial" w:hAnsi="Arial" w:cs="Arial"/>
          <w:b/>
        </w:rPr>
        <w:t>SILNICE DRUHÉ TŘÍDY II/613</w:t>
      </w:r>
    </w:p>
    <w:p w14:paraId="60FEFD4F"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je původním tahem první třídy I/13, trasa bude takto vyznačena po zprovoznění nové přeložky silnice 1/13. Bude výrazně zklidněna a to zejména pak po realizaci tzv. „Folknářské spojky“, která přebere podstatnou část nákladní a cílové dopravy směřující do Děčína. Těmito úpravami bude docíleno žádoucího zklidnění v současnosti silně frekventované Kamenické ulice, která získá charakter městské komunikace.</w:t>
      </w:r>
    </w:p>
    <w:p w14:paraId="3148B3C4" w14:textId="77777777" w:rsidR="006031D6" w:rsidRPr="00626473" w:rsidRDefault="006031D6" w:rsidP="006031D6">
      <w:pPr>
        <w:spacing w:before="120" w:line="288" w:lineRule="auto"/>
        <w:ind w:left="86" w:right="28" w:firstLine="709"/>
        <w:rPr>
          <w:rFonts w:ascii="Arial" w:hAnsi="Arial" w:cs="Arial"/>
        </w:rPr>
      </w:pPr>
    </w:p>
    <w:p w14:paraId="0886A184" w14:textId="77777777" w:rsidR="006031D6" w:rsidRPr="00731A94" w:rsidRDefault="006031D6" w:rsidP="006031D6">
      <w:pPr>
        <w:spacing w:before="120" w:line="288" w:lineRule="auto"/>
        <w:ind w:left="11" w:right="11"/>
        <w:rPr>
          <w:rFonts w:ascii="Arial" w:hAnsi="Arial" w:cs="Arial"/>
          <w:b/>
        </w:rPr>
      </w:pPr>
      <w:r w:rsidRPr="00731A94">
        <w:rPr>
          <w:rFonts w:ascii="Arial" w:hAnsi="Arial" w:cs="Arial"/>
          <w:b/>
        </w:rPr>
        <w:t>SILNICE TŘETÍ TŘÍDY</w:t>
      </w:r>
    </w:p>
    <w:p w14:paraId="2FEEEB05"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vytvářejí systém radiál, které přivádějí dopravu ze zájmové oblasti nejbližšího okolí do města. V území jsou stabilizovány a případné úpravy na těchto silnicích budou drobného charakteru bez výrazných nároků na zábory území. Návrh pouze předpokládá výhledové rozšíření vozovky silnice 111/25381 na Starou Bohyni.</w:t>
      </w:r>
    </w:p>
    <w:p w14:paraId="7BBADCC7"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Základní návrh uspořádání vnější silniční sítě vychází z dlouhodobě sledovaných koncepcí a navazuje na závěry průzkumových a rozborových prací. Uvedené odhady zátěží silniční dopravy vycházejí z údajů celostátního sčítání dopravy na silniční síti z roku 1995 a ze studie (forma expertizy) City Planu s.r.o. Praha. Údaje jsou upraveny nárůstovými koeficienty k roku 2010. Výsledné přerozdělení zátěží je poměrně komplikované a dá se stanovit pouze orientačně.</w:t>
      </w:r>
    </w:p>
    <w:p w14:paraId="4AB4C6D0" w14:textId="77777777" w:rsidR="006031D6" w:rsidRPr="00626473" w:rsidRDefault="006031D6" w:rsidP="006031D6">
      <w:pPr>
        <w:spacing w:before="120" w:line="288" w:lineRule="auto"/>
        <w:ind w:left="86" w:right="28" w:firstLine="709"/>
        <w:rPr>
          <w:rFonts w:ascii="Arial" w:hAnsi="Arial" w:cs="Arial"/>
        </w:rPr>
      </w:pPr>
    </w:p>
    <w:p w14:paraId="143BF19B" w14:textId="77777777" w:rsidR="006031D6" w:rsidRPr="008D3306" w:rsidRDefault="006031D6" w:rsidP="006031D6">
      <w:pPr>
        <w:pStyle w:val="Nadpis1"/>
        <w:spacing w:before="120" w:line="288" w:lineRule="auto"/>
        <w:ind w:left="85"/>
        <w:jc w:val="both"/>
        <w:rPr>
          <w:rFonts w:ascii="Arial" w:hAnsi="Arial" w:cs="Arial"/>
          <w:b/>
          <w:sz w:val="28"/>
          <w:szCs w:val="28"/>
        </w:rPr>
      </w:pPr>
      <w:r w:rsidRPr="008D3306">
        <w:rPr>
          <w:rFonts w:ascii="Arial" w:hAnsi="Arial" w:cs="Arial"/>
          <w:b/>
          <w:sz w:val="28"/>
          <w:szCs w:val="28"/>
        </w:rPr>
        <w:t>F3.2. MÍSTNÍ KOMUNIKAČNÍ SÍŤ</w:t>
      </w:r>
    </w:p>
    <w:p w14:paraId="5AB08B3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Systém městských ulic je tvořen sběrnými komunikacemi, které jsou doplněny soustavou obslužných ulic a cest. Je vázán na síť vnějších tahů, zejména na průtahy silnic I/13, I/62 a 11/261 .</w:t>
      </w:r>
    </w:p>
    <w:p w14:paraId="41D8C65F"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noProof/>
          <w:sz w:val="22"/>
          <w:szCs w:val="22"/>
          <w:lang w:eastAsia="cs-CZ"/>
        </w:rPr>
        <w:drawing>
          <wp:anchor distT="0" distB="0" distL="114300" distR="114300" simplePos="0" relativeHeight="251712512" behindDoc="0" locked="0" layoutInCell="1" allowOverlap="0" wp14:anchorId="7F203AF4" wp14:editId="1282AF22">
            <wp:simplePos x="0" y="0"/>
            <wp:positionH relativeFrom="page">
              <wp:posOffset>6845935</wp:posOffset>
            </wp:positionH>
            <wp:positionV relativeFrom="page">
              <wp:posOffset>3561080</wp:posOffset>
            </wp:positionV>
            <wp:extent cx="12065" cy="24130"/>
            <wp:effectExtent l="0" t="0" r="0" b="0"/>
            <wp:wrapSquare wrapText="bothSides"/>
            <wp:docPr id="34963" name="Obrázek 34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3"/>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2065" cy="241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szCs w:val="22"/>
        </w:rPr>
        <w:t>Pro vnitroměstské a radiální přepravní vztahy mají rozhodující význam trasy základního komunikačního systému města, kterými jsou místní tahy sběrného typu. Průtah silnice I/13 vykazuje na Novém mostě a jeho estakádě znaky rychlostní komunikace.</w:t>
      </w:r>
    </w:p>
    <w:p w14:paraId="343EEFBF"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Hlavní sběrná komunikace typu BI s převažující dopravní funkcí je zastoupena stávajícím průtahem silnice I/13. Na levém břehu má až na část Podmokelské ulice dvoupruhové uspořádání. Šířkové parametry komunikace jsou vymezené okolní zástavbou a </w:t>
      </w:r>
      <w:r w:rsidRPr="006031D6">
        <w:rPr>
          <w:rFonts w:ascii="Arial" w:hAnsi="Arial" w:cs="Arial"/>
          <w:sz w:val="22"/>
          <w:szCs w:val="22"/>
        </w:rPr>
        <w:lastRenderedPageBreak/>
        <w:t>ani ve výhledu nelze uvažovat s možností výrazného rozšíření trasy. Šířková úprava je plánována pouze v úseku na teplické ulici v Dolním Oldřichově. Po převedení silnice I/13 na přivaděč je možné očekávat snížení podílu tranzitu a zejména pak její nákladní složky. Přesto je nutné počítat s tím, že sběrný tah bude i nadále vysoce zatížen a to až na hranici jeho únosnosti. Proto jsou na trase navrženy následující úpravy:</w:t>
      </w:r>
    </w:p>
    <w:p w14:paraId="6D8045EE" w14:textId="77777777" w:rsidR="006031D6" w:rsidRPr="006031D6" w:rsidRDefault="006031D6" w:rsidP="006031D6">
      <w:pPr>
        <w:pStyle w:val="Odstavecseseznamem"/>
        <w:numPr>
          <w:ilvl w:val="0"/>
          <w:numId w:val="47"/>
        </w:numPr>
        <w:spacing w:before="120" w:after="0" w:line="288" w:lineRule="auto"/>
        <w:ind w:left="426" w:right="210"/>
        <w:jc w:val="both"/>
        <w:rPr>
          <w:rFonts w:ascii="Arial" w:hAnsi="Arial" w:cs="Arial"/>
        </w:rPr>
      </w:pPr>
      <w:r w:rsidRPr="006031D6">
        <w:rPr>
          <w:rFonts w:ascii="Arial" w:hAnsi="Arial" w:cs="Arial"/>
        </w:rPr>
        <w:t>Na Teplické ul. se počítá s místními úpravami, které by zlepšily průjezdnost komunikace (na vybraných úsecích zřízení nouzových či zastavovacích pruhů, úprava kvality vozovky, značení ap.).</w:t>
      </w:r>
    </w:p>
    <w:p w14:paraId="6D07A99A" w14:textId="77777777" w:rsidR="006031D6" w:rsidRPr="006031D6" w:rsidRDefault="006031D6" w:rsidP="006031D6">
      <w:pPr>
        <w:pStyle w:val="Odstavecseseznamem"/>
        <w:numPr>
          <w:ilvl w:val="0"/>
          <w:numId w:val="47"/>
        </w:numPr>
        <w:spacing w:before="120" w:after="0" w:line="288" w:lineRule="auto"/>
        <w:ind w:left="426" w:right="210"/>
        <w:jc w:val="both"/>
        <w:rPr>
          <w:rFonts w:ascii="Arial" w:hAnsi="Arial" w:cs="Arial"/>
        </w:rPr>
      </w:pPr>
      <w:r w:rsidRPr="006031D6">
        <w:rPr>
          <w:rFonts w:ascii="Arial" w:hAnsi="Arial" w:cs="Arial"/>
        </w:rPr>
        <w:t>Rekonstrukce a přestavba křižovatky Teplická - Pivovarská u Ovčí lávky.</w:t>
      </w:r>
    </w:p>
    <w:p w14:paraId="5A0279BF" w14:textId="77777777" w:rsidR="006031D6" w:rsidRPr="006031D6" w:rsidRDefault="006031D6" w:rsidP="006031D6">
      <w:pPr>
        <w:pStyle w:val="Odstavecseseznamem"/>
        <w:numPr>
          <w:ilvl w:val="0"/>
          <w:numId w:val="47"/>
        </w:numPr>
        <w:spacing w:before="120" w:after="0" w:line="288" w:lineRule="auto"/>
        <w:ind w:left="426" w:right="210"/>
        <w:jc w:val="both"/>
        <w:rPr>
          <w:rFonts w:ascii="Arial" w:hAnsi="Arial" w:cs="Arial"/>
        </w:rPr>
      </w:pPr>
      <w:r w:rsidRPr="006031D6">
        <w:rPr>
          <w:rFonts w:ascii="Arial" w:hAnsi="Arial" w:cs="Arial"/>
        </w:rPr>
        <w:t>Úprava křižovatky na Revolučním náměstí, zlepšení její průjezdnosti lokální stavební úpravou (možnost zřízení okružní křižovatky je nutno podrobně prověřit).</w:t>
      </w:r>
    </w:p>
    <w:p w14:paraId="2C057785" w14:textId="77777777" w:rsidR="006031D6" w:rsidRPr="006031D6" w:rsidRDefault="006031D6" w:rsidP="006031D6">
      <w:pPr>
        <w:pStyle w:val="Odstavecseseznamem"/>
        <w:numPr>
          <w:ilvl w:val="0"/>
          <w:numId w:val="47"/>
        </w:numPr>
        <w:spacing w:before="120" w:after="0" w:line="288" w:lineRule="auto"/>
        <w:ind w:left="426" w:right="210"/>
        <w:jc w:val="both"/>
        <w:rPr>
          <w:rFonts w:ascii="Arial" w:hAnsi="Arial" w:cs="Arial"/>
        </w:rPr>
      </w:pPr>
      <w:r w:rsidRPr="006031D6">
        <w:rPr>
          <w:rFonts w:ascii="Arial" w:hAnsi="Arial" w:cs="Arial"/>
        </w:rPr>
        <w:t>Úprava a zkapacitnění Podmokelské ulice.</w:t>
      </w:r>
    </w:p>
    <w:p w14:paraId="68C6E8B4" w14:textId="77777777" w:rsidR="006031D6" w:rsidRPr="006031D6" w:rsidRDefault="006031D6" w:rsidP="006031D6">
      <w:pPr>
        <w:pStyle w:val="Odstavecseseznamem"/>
        <w:numPr>
          <w:ilvl w:val="0"/>
          <w:numId w:val="47"/>
        </w:numPr>
        <w:spacing w:before="120" w:after="0" w:line="288" w:lineRule="auto"/>
        <w:ind w:left="426" w:right="210"/>
        <w:jc w:val="both"/>
        <w:rPr>
          <w:rFonts w:ascii="Arial" w:hAnsi="Arial" w:cs="Arial"/>
        </w:rPr>
      </w:pPr>
      <w:r w:rsidRPr="006031D6">
        <w:rPr>
          <w:rFonts w:ascii="Arial" w:hAnsi="Arial" w:cs="Arial"/>
        </w:rPr>
        <w:t>Rekonstrukce podjezdu pod tratí ČD na Podmokelské ulici.</w:t>
      </w:r>
    </w:p>
    <w:p w14:paraId="31DA34DB" w14:textId="77777777" w:rsidR="006031D6" w:rsidRPr="006031D6" w:rsidRDefault="006031D6" w:rsidP="006031D6">
      <w:pPr>
        <w:pStyle w:val="Odstavecseseznamem"/>
        <w:numPr>
          <w:ilvl w:val="0"/>
          <w:numId w:val="47"/>
        </w:numPr>
        <w:spacing w:before="120" w:after="0" w:line="288" w:lineRule="auto"/>
        <w:ind w:left="426" w:right="210"/>
        <w:jc w:val="both"/>
        <w:rPr>
          <w:rFonts w:ascii="Arial" w:hAnsi="Arial" w:cs="Arial"/>
        </w:rPr>
      </w:pPr>
      <w:r w:rsidRPr="006031D6">
        <w:rPr>
          <w:rFonts w:ascii="Arial" w:hAnsi="Arial" w:cs="Arial"/>
        </w:rPr>
        <w:t>Realizace mimoúrovňové křižovatky na levém předmostí Nového mostu.</w:t>
      </w:r>
    </w:p>
    <w:p w14:paraId="1B2A8BE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V úvahu je brána také skutečnost, že část dopravních intenzit s cílem v centru města bude vedena po Teplické ulici ve směru na Labské nábřeží. Nejvíce kapacitní zátěž se tak před vstupem do centra Podmokel alespoň částečně rozdělí do dvou směrů.</w:t>
      </w:r>
    </w:p>
    <w:p w14:paraId="4A44F3CE"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noProof/>
          <w:sz w:val="22"/>
          <w:szCs w:val="22"/>
          <w:lang w:eastAsia="cs-CZ"/>
        </w:rPr>
        <w:drawing>
          <wp:anchor distT="0" distB="0" distL="114300" distR="114300" simplePos="0" relativeHeight="251713536" behindDoc="0" locked="0" layoutInCell="1" allowOverlap="0" wp14:anchorId="3A857502" wp14:editId="2CE69669">
            <wp:simplePos x="0" y="0"/>
            <wp:positionH relativeFrom="column">
              <wp:posOffset>54610</wp:posOffset>
            </wp:positionH>
            <wp:positionV relativeFrom="paragraph">
              <wp:posOffset>125095</wp:posOffset>
            </wp:positionV>
            <wp:extent cx="250190" cy="12065"/>
            <wp:effectExtent l="0" t="0" r="0" b="6985"/>
            <wp:wrapSquare wrapText="bothSides"/>
            <wp:docPr id="34962" name="Obrázek 34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40"/>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250190" cy="12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szCs w:val="22"/>
        </w:rPr>
        <w:t>Sběrný tah pravého břehu je veden po kapacitní mostní estakádě, která je schopna převést přes 30 000 vozidel. Z mimoúrovňové křižovatky na Benešovské je trasa vedena po Kamenické ulici až na hranici intravilánu. Tento úsek je v současnosti kritický, k výraznému zlepšení dopravních poměrů dojde po realizaci přeložky silnice I/13 a zejména pak Folknářské spojky. Pak je možné považovat Kamenickou ulici již pouze za komunikaci městského typu.</w:t>
      </w:r>
    </w:p>
    <w:p w14:paraId="524A0119"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Ostatní sběrné komunikace funkční třídy B1 v intravilánu města jsou nositelem základní funkce dopravně - obslužného charakteru. Je na nich kladen důraz na dostatečnou přepravní kapacitu, mají dvoupruhové nebo čtyřpruhové šířkové uspořádání. Křižovatky jsou řešeny jako úrovňové a některé jsou světelně řízeny.</w:t>
      </w:r>
    </w:p>
    <w:p w14:paraId="7C18FF0F" w14:textId="77777777" w:rsidR="006031D6" w:rsidRPr="00626473" w:rsidRDefault="006031D6" w:rsidP="006031D6">
      <w:pPr>
        <w:spacing w:after="32" w:line="259" w:lineRule="auto"/>
        <w:ind w:left="-5" w:hanging="10"/>
        <w:rPr>
          <w:rFonts w:ascii="Arial" w:hAnsi="Arial" w:cs="Arial"/>
          <w:sz w:val="26"/>
        </w:rPr>
      </w:pPr>
    </w:p>
    <w:p w14:paraId="65FDE0A0" w14:textId="77777777" w:rsidR="006031D6" w:rsidRPr="00731A94" w:rsidRDefault="006031D6" w:rsidP="006031D6">
      <w:pPr>
        <w:spacing w:after="32" w:line="259" w:lineRule="auto"/>
        <w:ind w:left="142" w:hanging="11"/>
        <w:rPr>
          <w:rFonts w:ascii="Arial" w:hAnsi="Arial" w:cs="Arial"/>
          <w:b/>
        </w:rPr>
      </w:pPr>
      <w:r w:rsidRPr="00731A94">
        <w:rPr>
          <w:rFonts w:ascii="Arial" w:hAnsi="Arial" w:cs="Arial"/>
          <w:b/>
        </w:rPr>
        <w:t>V NÁVRHU JSOU ZAČLENĚNY VE FUNKČNÍ TŘÍDĚ „B1“</w:t>
      </w:r>
      <w:r>
        <w:rPr>
          <w:rFonts w:ascii="Arial" w:hAnsi="Arial" w:cs="Arial"/>
          <w:b/>
        </w:rPr>
        <w:t xml:space="preserve"> TYTO ULICE</w:t>
      </w:r>
    </w:p>
    <w:p w14:paraId="579F55D5"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Průtah sil. I/62 Ústecká - ul. Práce je veden podél nádraží ČD v nové trase, která se připravuje k realizaci. Tah je napojen do mimoúrovňové křižovatky s navrhovanou přeložkou silnice I/13. Přestavba ulice Práce respektuje podjezd do Dělnické ulice, napojení na Ústeckou ulici a napojení plochy nádraží ČD. Vlečku překonává úrovňově. Na průtahu jsou omezeny přímé přístupy do okolí, komunikace je čtyřpruhová a má zejména dopravní funkci.</w:t>
      </w:r>
    </w:p>
    <w:p w14:paraId="16ACA1F3"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Průtah sil. I/62 Děčín - Loubí je veden městskou zástavbou přes nám. Svobody ve směru na</w:t>
      </w:r>
    </w:p>
    <w:p w14:paraId="77CDAB62"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Loubí. V návrhu jeho poloha zůstává zachována. Křižovatka ulic Pohraniční stráže - 28. října Radniční je navržena jako okružní (Duchcovská ulice je obousměrná). Totéž platí i o křižovatce na Nám. Svobody.</w:t>
      </w:r>
    </w:p>
    <w:p w14:paraId="2834D314"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Průtah sil. 11/261 Boletice - Staré Město vykazuje výrazný podíl cílové dopravy do prostoru zástavby v Boleticích. Po realizaci přeložky silnice dojde ke zlepšení dopravních </w:t>
      </w:r>
      <w:r w:rsidRPr="006031D6">
        <w:rPr>
          <w:rFonts w:ascii="Arial" w:hAnsi="Arial" w:cs="Arial"/>
          <w:sz w:val="22"/>
          <w:szCs w:val="22"/>
        </w:rPr>
        <w:lastRenderedPageBreak/>
        <w:t>poměrů na úseku mezi Křešicemi a Starým Městem. V rámci přestavby lokality na Litoměřické ulici v zástavbě Starého Města bude rekonstruována a zkapacitněna i komunikace. Tato úprava je podle očekávaného dopravního zatížení na průtahu pro město nezbytná.</w:t>
      </w:r>
    </w:p>
    <w:p w14:paraId="0D925F24"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noProof/>
          <w:sz w:val="22"/>
          <w:szCs w:val="22"/>
          <w:lang w:eastAsia="cs-CZ"/>
        </w:rPr>
        <w:drawing>
          <wp:anchor distT="0" distB="0" distL="114300" distR="114300" simplePos="0" relativeHeight="251714560" behindDoc="0" locked="0" layoutInCell="1" allowOverlap="0" wp14:anchorId="2524F4F7" wp14:editId="15D671C3">
            <wp:simplePos x="0" y="0"/>
            <wp:positionH relativeFrom="page">
              <wp:posOffset>6839585</wp:posOffset>
            </wp:positionH>
            <wp:positionV relativeFrom="page">
              <wp:posOffset>3549015</wp:posOffset>
            </wp:positionV>
            <wp:extent cx="18415" cy="30480"/>
            <wp:effectExtent l="0" t="0" r="635" b="7620"/>
            <wp:wrapSquare wrapText="bothSides"/>
            <wp:docPr id="34961" name="Obrázek 34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7"/>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18415" cy="30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szCs w:val="22"/>
        </w:rPr>
        <w:t>Průtah sil. 11/262 Děčín - Březiny má zejména dopravní význam s omezeným přístupem do zástavby. V úseku mezi mimoúrovňovou křižovatkou na Kamenické a MOK na Folknářské spojce je nutné počítat se čtyřpruhovým uspořádáním vozovky. Komunikační spojky ulic Příkrá a Lipová budou mít omezený provoz (výhl. zaslepení Příkré). Úsek od okružní křižovatky na Folknářské spojce ve směru na Březiny bude mít po výstavbě přeložky sil. I/13 charakter místní sběrné komunikace.</w:t>
      </w:r>
    </w:p>
    <w:p w14:paraId="43589662" w14:textId="77777777" w:rsidR="006031D6" w:rsidRPr="00626473" w:rsidRDefault="006031D6" w:rsidP="006031D6">
      <w:pPr>
        <w:spacing w:before="120" w:line="288" w:lineRule="auto"/>
        <w:ind w:left="86" w:right="28" w:firstLine="709"/>
        <w:rPr>
          <w:rFonts w:ascii="Arial" w:hAnsi="Arial" w:cs="Arial"/>
        </w:rPr>
      </w:pPr>
    </w:p>
    <w:p w14:paraId="388E112F" w14:textId="77777777" w:rsidR="006031D6" w:rsidRPr="00731A94" w:rsidRDefault="006031D6" w:rsidP="006031D6">
      <w:pPr>
        <w:spacing w:after="32" w:line="259" w:lineRule="auto"/>
        <w:ind w:left="142" w:hanging="11"/>
        <w:rPr>
          <w:rFonts w:ascii="Arial" w:hAnsi="Arial" w:cs="Arial"/>
          <w:b/>
        </w:rPr>
      </w:pPr>
      <w:r w:rsidRPr="00731A94">
        <w:rPr>
          <w:rFonts w:ascii="Arial" w:hAnsi="Arial" w:cs="Arial"/>
          <w:b/>
        </w:rPr>
        <w:t>SBĚRNÉ KOMUNIKACE FUNKČNÍ TŘÍDY ”B2”</w:t>
      </w:r>
    </w:p>
    <w:p w14:paraId="3D35FAE9"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mají dopravní význam a současně přímo obsluhují území. Do této kategorie jsou také začleněny průtahy silnic III. třídy. V Děčíně to jsou:</w:t>
      </w:r>
    </w:p>
    <w:p w14:paraId="5AE79762"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Teplická - Labské nábřeží - Tyršova - Radniční tvoří hlavní dopravní spojovací osu městského typu mezi oběma centry města. Komunikační tah je silně zatížen vnitroměstskými vztahy a vyžaduje zajištění bezkonfliktního průjezdu v celé své trase. Šířkové uspořádání vozovky MK je nutné upravit tak, aby tento požadavek mohl být zajištěn (omezení dalších nových přímých vstupů k objektům, využití volného prostoru - pokud je to možné - k rozšíření vozovky, organizační úpravy).</w:t>
      </w:r>
    </w:p>
    <w:p w14:paraId="01A7632C"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Návrh zahrnuje rekonstrukci podjezdu pod tratí ČD pod Pastýřskou stěnou a úpravu vedení trasy na Masarykově náměstí v rámci jeho komplexní přestavby.</w:t>
      </w:r>
    </w:p>
    <w:p w14:paraId="0D9436ED"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Hankova - Dělnická - Želenická - Vilsnická propojuje osídlení v levobřežní části města za tratí. Má zásadní význam pro lokální vztahy mezi centrem Podmokel a okrajovými částmi města. Návrh předpokládá následující úpravy:</w:t>
      </w:r>
    </w:p>
    <w:p w14:paraId="0A0BCE76" w14:textId="77777777" w:rsidR="006031D6" w:rsidRPr="006031D6" w:rsidRDefault="006031D6" w:rsidP="006031D6">
      <w:pPr>
        <w:pStyle w:val="Odstavecseseznamem"/>
        <w:numPr>
          <w:ilvl w:val="0"/>
          <w:numId w:val="39"/>
        </w:numPr>
        <w:spacing w:before="120" w:after="0" w:line="288" w:lineRule="auto"/>
        <w:ind w:left="426" w:hanging="417"/>
        <w:jc w:val="both"/>
        <w:rPr>
          <w:rFonts w:ascii="Arial" w:hAnsi="Arial" w:cs="Arial"/>
        </w:rPr>
      </w:pPr>
      <w:r w:rsidRPr="006031D6">
        <w:rPr>
          <w:rFonts w:ascii="Arial" w:hAnsi="Arial" w:cs="Arial"/>
        </w:rPr>
        <w:t>zprovoznění Hankovy ulice pro individuální dopravu.</w:t>
      </w:r>
    </w:p>
    <w:p w14:paraId="01FC31DE" w14:textId="77777777" w:rsidR="006031D6" w:rsidRPr="006031D6" w:rsidRDefault="006031D6" w:rsidP="006031D6">
      <w:pPr>
        <w:pStyle w:val="Odstavecseseznamem"/>
        <w:numPr>
          <w:ilvl w:val="0"/>
          <w:numId w:val="39"/>
        </w:numPr>
        <w:spacing w:before="120" w:after="0" w:line="288" w:lineRule="auto"/>
        <w:ind w:left="426" w:hanging="417"/>
        <w:jc w:val="both"/>
        <w:rPr>
          <w:rFonts w:ascii="Arial" w:hAnsi="Arial" w:cs="Arial"/>
        </w:rPr>
      </w:pPr>
      <w:r w:rsidRPr="006031D6">
        <w:rPr>
          <w:rFonts w:ascii="Arial" w:hAnsi="Arial" w:cs="Arial"/>
        </w:rPr>
        <w:t>rekonstrukci křižovatky Dělnická-Ruská-Hankova-Slovanská.</w:t>
      </w:r>
    </w:p>
    <w:p w14:paraId="4311B4D4" w14:textId="77777777" w:rsidR="006031D6" w:rsidRPr="006031D6" w:rsidRDefault="006031D6" w:rsidP="006031D6">
      <w:pPr>
        <w:pStyle w:val="Odstavecseseznamem"/>
        <w:numPr>
          <w:ilvl w:val="0"/>
          <w:numId w:val="39"/>
        </w:numPr>
        <w:spacing w:before="120" w:after="0" w:line="288" w:lineRule="auto"/>
        <w:ind w:left="426" w:hanging="417"/>
        <w:jc w:val="both"/>
        <w:rPr>
          <w:rFonts w:ascii="Arial" w:hAnsi="Arial" w:cs="Arial"/>
        </w:rPr>
      </w:pPr>
      <w:r w:rsidRPr="006031D6">
        <w:rPr>
          <w:rFonts w:ascii="Arial" w:hAnsi="Arial" w:cs="Arial"/>
        </w:rPr>
        <w:t>šířková úprava se změnou základní kategorie na MS 14/50 (alespoň jednostranné zastavovací nebo parkovací pruhy) Dělnické ulice.</w:t>
      </w:r>
    </w:p>
    <w:p w14:paraId="1952FA6E" w14:textId="77777777" w:rsidR="006031D6" w:rsidRPr="006031D6" w:rsidRDefault="006031D6" w:rsidP="006031D6">
      <w:pPr>
        <w:pStyle w:val="Odstavecseseznamem"/>
        <w:numPr>
          <w:ilvl w:val="0"/>
          <w:numId w:val="39"/>
        </w:numPr>
        <w:spacing w:before="120" w:after="0" w:line="288" w:lineRule="auto"/>
        <w:ind w:left="426" w:hanging="417"/>
        <w:jc w:val="both"/>
        <w:rPr>
          <w:rFonts w:ascii="Arial" w:hAnsi="Arial" w:cs="Arial"/>
        </w:rPr>
      </w:pPr>
      <w:r w:rsidRPr="006031D6">
        <w:rPr>
          <w:rFonts w:ascii="Arial" w:hAnsi="Arial" w:cs="Arial"/>
        </w:rPr>
        <w:t>místní úprava profilu (rozšíření, rek, vozovky) v úseku mezi Vilsnicí a Chrochvicemi.</w:t>
      </w:r>
    </w:p>
    <w:p w14:paraId="1F5E12BF"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Ústecká - Předmostí je vedena průmyslovým obvodem Rozbělesy a za křižovatkou levého předmostí se napojuje na Labské nábřeží. V návrhu zůstává bez úprav.</w:t>
      </w:r>
    </w:p>
    <w:p w14:paraId="7701F97B"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Průtah sil. 111/25852 Přípeř - Jalůvčí napojuje části řešeného prostoru v Jalůvčí a Maxičkách. V rámci přestavby železniční trati Děčín - Drážďany bude rekonstruován přejezd.</w:t>
      </w:r>
    </w:p>
    <w:p w14:paraId="21CCEA8F"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Saská - 5. května propojuje centra osídlení v kopcovité části území. Komunikační tah nemá v současnosti optimální šířkové parametry. Návrtl předpokládá šířkovou úpravu v profilech, kde je dostatečný prostor a komunikace není těsně obestavěna. Součástí rekonstrukce je celkové zabezpečení trasy a úprava vozovky. Komunikace má funkci záložní trasy v případě neprůjezdnosti tahu Přípeř - Jalůvčí.</w:t>
      </w:r>
    </w:p>
    <w:p w14:paraId="4D4F21A0"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lastRenderedPageBreak/>
        <w:t>Soustavu městských komunikací sběrných doplňuje řada obslužných ulic, zpřístupňujících území a konkrétní objekty vybavenosti a bydlení. Jedná se vesměs o funkční třídy C2 a C3 v kategorii MO 8 resp. MO 7 s rychlostmi 50-30 km/hod. Intenzity dopravních zátěží nejsou v mnoha případech příliš vysoké. Šířkové parametry odpovídají dané kategorii. Navrhované úpravy a nové trasy jsou dokladovány v grafické části územního plánu a v tabulkové části s komentářem v poznámkách k jednotlivým lokalitám v urbanistických obvodech a sektorech. Kategorie ulic jsou voleny v parametrech MO 8/40-50 resp. MO 7/40.</w:t>
      </w:r>
    </w:p>
    <w:p w14:paraId="6FC9E15F"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K oběma centrům města lze v rámci návrhu komunikační sítě na závěr zdůraznit následující fakta a předpoklady:</w:t>
      </w:r>
    </w:p>
    <w:p w14:paraId="2ED7E915"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Levý břeh </w:t>
      </w:r>
    </w:p>
    <w:p w14:paraId="2C158FF0" w14:textId="77777777" w:rsidR="006031D6" w:rsidRPr="006031D6" w:rsidRDefault="006031D6" w:rsidP="006031D6">
      <w:pPr>
        <w:pStyle w:val="Odstavecseseznamem"/>
        <w:numPr>
          <w:ilvl w:val="0"/>
          <w:numId w:val="48"/>
        </w:numPr>
        <w:spacing w:before="120" w:after="0" w:line="288" w:lineRule="auto"/>
        <w:ind w:left="709" w:hanging="311"/>
        <w:jc w:val="both"/>
        <w:rPr>
          <w:rFonts w:ascii="Arial" w:hAnsi="Arial" w:cs="Arial"/>
        </w:rPr>
      </w:pPr>
      <w:r w:rsidRPr="006031D6">
        <w:rPr>
          <w:rFonts w:ascii="Arial" w:hAnsi="Arial" w:cs="Arial"/>
        </w:rPr>
        <w:t>podmínkou pro výhledovou bezkonfliktní dopravu na Teplické a Podmokelské ulici je realizace dálničního přivaděče Děčín - Knínice. Vyloučení tranzitu a některé cílové dopravy z Teplické ulice výrazně pomůže při odlehčení tohoto tahu, který je i tak téměř kriticky vytížen lokální zátěží. Rozšíření Teplické ul. na čtyřpruh není technicky reálné.</w:t>
      </w:r>
    </w:p>
    <w:p w14:paraId="523FC4B3" w14:textId="77777777" w:rsidR="006031D6" w:rsidRPr="006031D6" w:rsidRDefault="006031D6" w:rsidP="006031D6">
      <w:pPr>
        <w:pStyle w:val="Odstavecseseznamem"/>
        <w:numPr>
          <w:ilvl w:val="0"/>
          <w:numId w:val="48"/>
        </w:numPr>
        <w:spacing w:before="120" w:after="0" w:line="288" w:lineRule="auto"/>
        <w:ind w:left="709" w:hanging="311"/>
        <w:jc w:val="both"/>
        <w:rPr>
          <w:rFonts w:ascii="Arial" w:hAnsi="Arial" w:cs="Arial"/>
        </w:rPr>
      </w:pPr>
      <w:r w:rsidRPr="006031D6">
        <w:rPr>
          <w:rFonts w:ascii="Arial" w:hAnsi="Arial" w:cs="Arial"/>
        </w:rPr>
        <w:t>intenzivní vnitroměstská doprava je v Podmoklech rozdělena do dvou sběrných tahů na Podmokelskou a Teplickou ulici.</w:t>
      </w:r>
    </w:p>
    <w:p w14:paraId="7369F10C" w14:textId="77777777" w:rsidR="006031D6" w:rsidRPr="006031D6" w:rsidRDefault="006031D6" w:rsidP="006031D6">
      <w:pPr>
        <w:pStyle w:val="Odstavecseseznamem"/>
        <w:numPr>
          <w:ilvl w:val="0"/>
          <w:numId w:val="48"/>
        </w:numPr>
        <w:spacing w:before="120" w:after="0" w:line="288" w:lineRule="auto"/>
        <w:ind w:left="709" w:hanging="311"/>
        <w:jc w:val="both"/>
        <w:rPr>
          <w:rFonts w:ascii="Arial" w:hAnsi="Arial" w:cs="Arial"/>
        </w:rPr>
      </w:pPr>
      <w:r w:rsidRPr="006031D6">
        <w:rPr>
          <w:rFonts w:ascii="Arial" w:hAnsi="Arial" w:cs="Arial"/>
        </w:rPr>
        <w:t xml:space="preserve">ulice Čs. mládeže bude zklidněna. Úsek mezi ul. Prokopa Holého a Tržní bude pro individuální dopravu uzavřen (pouze průjezd obsluhy, taxi, BUS), pro veřejnost bude umožněn pouze přístup na parkovací plochy před nádražím. Jako náhrada plně postačuje ulice Předmostí </w:t>
      </w:r>
      <w:r w:rsidRPr="006031D6">
        <w:rPr>
          <w:rFonts w:ascii="Arial" w:hAnsi="Arial" w:cs="Arial"/>
          <w:noProof/>
          <w:lang w:eastAsia="cs-CZ"/>
        </w:rPr>
        <w:drawing>
          <wp:inline distT="0" distB="0" distL="0" distR="0" wp14:anchorId="5ED70AFF" wp14:editId="7ACDCB93">
            <wp:extent cx="59690" cy="59690"/>
            <wp:effectExtent l="0" t="0" r="0" b="0"/>
            <wp:docPr id="5165" name="Obrázek 5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1"/>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9690" cy="59690"/>
                    </a:xfrm>
                    <a:prstGeom prst="rect">
                      <a:avLst/>
                    </a:prstGeom>
                    <a:noFill/>
                    <a:ln>
                      <a:noFill/>
                    </a:ln>
                  </pic:spPr>
                </pic:pic>
              </a:graphicData>
            </a:graphic>
          </wp:inline>
        </w:drawing>
      </w:r>
      <w:r w:rsidRPr="006031D6">
        <w:rPr>
          <w:rFonts w:ascii="Arial" w:hAnsi="Arial" w:cs="Arial"/>
        </w:rPr>
        <w:t xml:space="preserve"> ulice Práce kde v prostoru současného napojení na Ústeckou ulici u podjezdu trati ČD zaslepena. </w:t>
      </w:r>
      <w:r w:rsidRPr="006031D6">
        <w:rPr>
          <w:rFonts w:ascii="Arial" w:hAnsi="Arial" w:cs="Arial"/>
          <w:noProof/>
          <w:lang w:eastAsia="cs-CZ"/>
        </w:rPr>
        <w:drawing>
          <wp:inline distT="0" distB="0" distL="0" distR="0" wp14:anchorId="4407B8AB" wp14:editId="7744521B">
            <wp:extent cx="59690" cy="59690"/>
            <wp:effectExtent l="0" t="0" r="0" b="0"/>
            <wp:docPr id="5164" name="Obrázek 5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2"/>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9690" cy="59690"/>
                    </a:xfrm>
                    <a:prstGeom prst="rect">
                      <a:avLst/>
                    </a:prstGeom>
                    <a:noFill/>
                    <a:ln>
                      <a:noFill/>
                    </a:ln>
                  </pic:spPr>
                </pic:pic>
              </a:graphicData>
            </a:graphic>
          </wp:inline>
        </w:drawing>
      </w:r>
      <w:r w:rsidRPr="006031D6">
        <w:rPr>
          <w:rFonts w:ascii="Arial" w:hAnsi="Arial" w:cs="Arial"/>
        </w:rPr>
        <w:t xml:space="preserve"> budou rekonstruovány oba podjezdy pod tratí ČD.</w:t>
      </w:r>
    </w:p>
    <w:p w14:paraId="42515A63" w14:textId="77777777" w:rsidR="006031D6" w:rsidRPr="006031D6" w:rsidRDefault="006031D6" w:rsidP="006031D6">
      <w:pPr>
        <w:pStyle w:val="Odstavecseseznamem"/>
        <w:numPr>
          <w:ilvl w:val="0"/>
          <w:numId w:val="48"/>
        </w:numPr>
        <w:spacing w:before="120" w:after="0" w:line="288" w:lineRule="auto"/>
        <w:ind w:left="709" w:hanging="311"/>
        <w:jc w:val="both"/>
        <w:rPr>
          <w:rFonts w:ascii="Arial" w:hAnsi="Arial" w:cs="Arial"/>
        </w:rPr>
      </w:pPr>
      <w:r w:rsidRPr="006031D6">
        <w:rPr>
          <w:rFonts w:ascii="Arial" w:hAnsi="Arial" w:cs="Arial"/>
        </w:rPr>
        <w:t>Hankova ulice bude po vymístění autobusového nádraží zařazena do běžného komunikačního systému města s veškerou skladbou dopravy.</w:t>
      </w:r>
    </w:p>
    <w:p w14:paraId="460559B6" w14:textId="77777777" w:rsidR="006031D6" w:rsidRPr="006031D6" w:rsidRDefault="006031D6" w:rsidP="006031D6">
      <w:pPr>
        <w:pStyle w:val="Odstavecseseznamem"/>
        <w:numPr>
          <w:ilvl w:val="0"/>
          <w:numId w:val="48"/>
        </w:numPr>
        <w:spacing w:before="120" w:after="0" w:line="288" w:lineRule="auto"/>
        <w:ind w:left="709" w:hanging="311"/>
        <w:jc w:val="both"/>
        <w:rPr>
          <w:rFonts w:ascii="Arial" w:hAnsi="Arial" w:cs="Arial"/>
        </w:rPr>
      </w:pPr>
      <w:r w:rsidRPr="006031D6">
        <w:rPr>
          <w:rFonts w:ascii="Arial" w:hAnsi="Arial" w:cs="Arial"/>
        </w:rPr>
        <w:t>komunikačně bude propojen Homí Oldřichov a Letná a Letná s Václavovem.</w:t>
      </w:r>
    </w:p>
    <w:p w14:paraId="564F7B79"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Pravý břeh </w:t>
      </w:r>
    </w:p>
    <w:p w14:paraId="4240C16D" w14:textId="77777777" w:rsidR="006031D6" w:rsidRPr="006031D6" w:rsidRDefault="006031D6" w:rsidP="006031D6">
      <w:pPr>
        <w:pStyle w:val="Odstavecseseznamem"/>
        <w:numPr>
          <w:ilvl w:val="0"/>
          <w:numId w:val="48"/>
        </w:numPr>
        <w:spacing w:before="120" w:after="0" w:line="288" w:lineRule="auto"/>
        <w:ind w:left="709" w:hanging="311"/>
        <w:jc w:val="both"/>
        <w:rPr>
          <w:rFonts w:ascii="Arial" w:hAnsi="Arial" w:cs="Arial"/>
        </w:rPr>
      </w:pPr>
      <w:r w:rsidRPr="006031D6">
        <w:rPr>
          <w:rFonts w:ascii="Arial" w:hAnsi="Arial" w:cs="Arial"/>
        </w:rPr>
        <w:t>bude provedena komplexní přestavba Masarykova náměstí.</w:t>
      </w:r>
    </w:p>
    <w:p w14:paraId="49493EB9" w14:textId="77777777" w:rsidR="006031D6" w:rsidRPr="006031D6" w:rsidRDefault="006031D6" w:rsidP="006031D6">
      <w:pPr>
        <w:pStyle w:val="Odstavecseseznamem"/>
        <w:numPr>
          <w:ilvl w:val="0"/>
          <w:numId w:val="48"/>
        </w:numPr>
        <w:spacing w:before="120" w:after="0" w:line="288" w:lineRule="auto"/>
        <w:ind w:left="709" w:hanging="311"/>
        <w:jc w:val="both"/>
        <w:rPr>
          <w:rFonts w:ascii="Arial" w:hAnsi="Arial" w:cs="Arial"/>
        </w:rPr>
      </w:pPr>
      <w:r w:rsidRPr="006031D6">
        <w:rPr>
          <w:rFonts w:ascii="Arial" w:hAnsi="Arial" w:cs="Arial"/>
        </w:rPr>
        <w:t>dojde k rekonstrukci křižovatek Radniční - Pohraniční stráže - 28. října a Nám. Svobody (okružní křižovatky).</w:t>
      </w:r>
    </w:p>
    <w:p w14:paraId="19F82E07" w14:textId="77777777" w:rsidR="006031D6" w:rsidRPr="006031D6" w:rsidRDefault="006031D6" w:rsidP="006031D6">
      <w:pPr>
        <w:pStyle w:val="Odstavecseseznamem"/>
        <w:numPr>
          <w:ilvl w:val="0"/>
          <w:numId w:val="48"/>
        </w:numPr>
        <w:spacing w:before="120" w:after="0" w:line="288" w:lineRule="auto"/>
        <w:ind w:left="709" w:hanging="311"/>
        <w:jc w:val="both"/>
        <w:rPr>
          <w:rFonts w:ascii="Arial" w:hAnsi="Arial" w:cs="Arial"/>
        </w:rPr>
      </w:pPr>
      <w:r w:rsidRPr="006031D6">
        <w:rPr>
          <w:rFonts w:ascii="Arial" w:hAnsi="Arial" w:cs="Arial"/>
        </w:rPr>
        <w:t>v rámci výstavby okružní křižovatky Radniční - Pohraniční stráže - 28-října bude vedena Duchcovská ulice jako obousměrná.</w:t>
      </w:r>
    </w:p>
    <w:p w14:paraId="610A8ED1" w14:textId="77777777" w:rsidR="006031D6" w:rsidRPr="006031D6" w:rsidRDefault="006031D6" w:rsidP="006031D6">
      <w:pPr>
        <w:pStyle w:val="Odstavecseseznamem"/>
        <w:numPr>
          <w:ilvl w:val="0"/>
          <w:numId w:val="48"/>
        </w:numPr>
        <w:spacing w:before="120" w:after="0" w:line="288" w:lineRule="auto"/>
        <w:ind w:left="709" w:hanging="311"/>
        <w:jc w:val="both"/>
        <w:rPr>
          <w:rFonts w:ascii="Arial" w:hAnsi="Arial" w:cs="Arial"/>
        </w:rPr>
      </w:pPr>
      <w:r w:rsidRPr="006031D6">
        <w:rPr>
          <w:rFonts w:ascii="Arial" w:hAnsi="Arial" w:cs="Arial"/>
        </w:rPr>
        <w:t xml:space="preserve">ulice Oblouková bude napojena na ul. 2. polské armády (úprava s ohledem na funkci marketu). </w:t>
      </w:r>
      <w:r w:rsidRPr="006031D6">
        <w:rPr>
          <w:rFonts w:ascii="Arial" w:hAnsi="Arial" w:cs="Arial"/>
          <w:noProof/>
          <w:lang w:eastAsia="cs-CZ"/>
        </w:rPr>
        <w:drawing>
          <wp:inline distT="0" distB="0" distL="0" distR="0" wp14:anchorId="130EDBC9" wp14:editId="3C1258CE">
            <wp:extent cx="59690" cy="59690"/>
            <wp:effectExtent l="0" t="0" r="0" b="0"/>
            <wp:docPr id="5163" name="Obrázek 5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9"/>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9690" cy="59690"/>
                    </a:xfrm>
                    <a:prstGeom prst="rect">
                      <a:avLst/>
                    </a:prstGeom>
                    <a:noFill/>
                    <a:ln>
                      <a:noFill/>
                    </a:ln>
                  </pic:spPr>
                </pic:pic>
              </a:graphicData>
            </a:graphic>
          </wp:inline>
        </w:drawing>
      </w:r>
      <w:r w:rsidRPr="006031D6">
        <w:rPr>
          <w:rFonts w:ascii="Arial" w:hAnsi="Arial" w:cs="Arial"/>
        </w:rPr>
        <w:t xml:space="preserve"> poloha průtahu sil. I/62 ve směru na Hřensko zůstane v současném stavu.</w:t>
      </w:r>
    </w:p>
    <w:p w14:paraId="6D15E4AE" w14:textId="77777777" w:rsidR="006031D6" w:rsidRPr="006031D6" w:rsidRDefault="006031D6" w:rsidP="006031D6">
      <w:pPr>
        <w:pStyle w:val="Odstavecseseznamem"/>
        <w:numPr>
          <w:ilvl w:val="0"/>
          <w:numId w:val="48"/>
        </w:numPr>
        <w:spacing w:before="120" w:after="0" w:line="288" w:lineRule="auto"/>
        <w:ind w:left="709" w:hanging="311"/>
        <w:jc w:val="both"/>
        <w:rPr>
          <w:rFonts w:ascii="Arial" w:hAnsi="Arial" w:cs="Arial"/>
        </w:rPr>
      </w:pPr>
      <w:r w:rsidRPr="006031D6">
        <w:rPr>
          <w:rFonts w:ascii="Arial" w:hAnsi="Arial" w:cs="Arial"/>
        </w:rPr>
        <w:t>ulice Kamenická bude odlehčena realizací Folknářské spojky a to v etapě, která bude předcházet výstavbě přeložky silnice I/13 ve směru na Benešov.</w:t>
      </w:r>
    </w:p>
    <w:p w14:paraId="7BF2D19B" w14:textId="77777777" w:rsidR="006031D6" w:rsidRPr="00632B33" w:rsidRDefault="006031D6" w:rsidP="006031D6">
      <w:pPr>
        <w:pStyle w:val="Odstavecseseznamem"/>
        <w:spacing w:before="120" w:after="0" w:line="288" w:lineRule="auto"/>
        <w:ind w:firstLine="11"/>
        <w:rPr>
          <w:rFonts w:ascii="Arial" w:hAnsi="Arial" w:cs="Arial"/>
        </w:rPr>
      </w:pPr>
    </w:p>
    <w:p w14:paraId="2D6024D1" w14:textId="77777777" w:rsidR="006031D6" w:rsidRPr="00632B33" w:rsidRDefault="006031D6" w:rsidP="006031D6">
      <w:pPr>
        <w:pStyle w:val="Nadpis1"/>
        <w:jc w:val="both"/>
        <w:rPr>
          <w:rFonts w:ascii="Arial" w:hAnsi="Arial" w:cs="Arial"/>
          <w:b/>
          <w:sz w:val="28"/>
          <w:szCs w:val="28"/>
        </w:rPr>
      </w:pPr>
      <w:r w:rsidRPr="00632B33">
        <w:rPr>
          <w:rFonts w:ascii="Arial" w:hAnsi="Arial" w:cs="Arial"/>
          <w:b/>
          <w:sz w:val="28"/>
          <w:szCs w:val="28"/>
        </w:rPr>
        <w:t>F3.3. ŽELEZNIČNÍ SÍŤ</w:t>
      </w:r>
    </w:p>
    <w:p w14:paraId="5C7122FE"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Železniční doprava vykazuje jeden z rozhodujících podílů přepravních výkonů a i ve výhledu bude hlavním nositelem přepravy nákladů. Určitý pokles je střídavě zaznamenáván v přepravě osob, </w:t>
      </w:r>
      <w:r w:rsidRPr="006031D6">
        <w:rPr>
          <w:rFonts w:ascii="Arial" w:hAnsi="Arial" w:cs="Arial"/>
          <w:noProof/>
          <w:sz w:val="22"/>
          <w:szCs w:val="22"/>
          <w:lang w:eastAsia="cs-CZ"/>
        </w:rPr>
        <w:drawing>
          <wp:inline distT="0" distB="0" distL="0" distR="0" wp14:anchorId="26E5A5D0" wp14:editId="5316E145">
            <wp:extent cx="12065" cy="12065"/>
            <wp:effectExtent l="0" t="0" r="0" b="0"/>
            <wp:docPr id="5162" name="Obrázek 5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1"/>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 xml:space="preserve">kde důležitou roli sehrává otázka tarifů, kvalita služeb, rychlost a dostupnost v území. Předpokládá se, že tento trend nebude mít všeobecně trvalý </w:t>
      </w:r>
      <w:r w:rsidRPr="006031D6">
        <w:rPr>
          <w:rFonts w:ascii="Arial" w:hAnsi="Arial" w:cs="Arial"/>
          <w:sz w:val="22"/>
          <w:szCs w:val="22"/>
        </w:rPr>
        <w:lastRenderedPageBreak/>
        <w:t>charakter a že se zkvalitněním dopravní obsluhy ČD dojde postupně k celkovému zatraktivnění přepravy osob po železnici.</w:t>
      </w:r>
    </w:p>
    <w:p w14:paraId="7B584588"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Významným dopravním prvkem v intravilánu města jsou železniční stanice Děčín - hl. nádraží a Děčín-východ. Vytvářejí spolu s tratěmi a vlečkami jeden železniční uzel, jehož jednotlivé prvky jsou navzájem úzce provázány. Uzel zaujímá rozsáhlé plošné zábory cenného území městského intravilánu. Důležitost děčínského dopravního uzlu je zřejmá. Vyžaduje nezbytně nutné plošné nároky, avšak v žádném případě není žádoucí je rozšiřovat a to zejména ve vnitřní části města.</w:t>
      </w:r>
    </w:p>
    <w:p w14:paraId="04707BC1" w14:textId="77777777" w:rsidR="006031D6" w:rsidRPr="00626473" w:rsidRDefault="006031D6" w:rsidP="006031D6">
      <w:pPr>
        <w:spacing w:before="120" w:line="288" w:lineRule="auto"/>
        <w:ind w:left="86" w:right="28" w:firstLine="709"/>
        <w:rPr>
          <w:rFonts w:ascii="Arial" w:hAnsi="Arial" w:cs="Arial"/>
        </w:rPr>
      </w:pPr>
    </w:p>
    <w:p w14:paraId="6A484CA3" w14:textId="77777777" w:rsidR="006031D6" w:rsidRPr="00632B33" w:rsidRDefault="006031D6" w:rsidP="006031D6">
      <w:pPr>
        <w:spacing w:before="120" w:line="288" w:lineRule="auto"/>
        <w:ind w:left="79"/>
        <w:rPr>
          <w:rFonts w:ascii="Arial" w:hAnsi="Arial" w:cs="Arial"/>
          <w:b/>
        </w:rPr>
      </w:pPr>
      <w:r w:rsidRPr="00632B33">
        <w:rPr>
          <w:rFonts w:ascii="Arial" w:hAnsi="Arial" w:cs="Arial"/>
          <w:b/>
        </w:rPr>
        <w:t>MĚSTEM JSOU VEDENY CELKEM 4 ŽELEZNIČNÍ TRATĚ:</w:t>
      </w:r>
    </w:p>
    <w:p w14:paraId="72B10BE3"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Trať č. 090 Praha - Ústí n. Labem - Děčín, vytváří jeden tah s tratí č. 098 Děčín - Bad Schandau, na kterou v ŽST Děčín navazuje. Trať je dvojkolejná, elektrifikovaná, rychlíková s mezinárodním provozem. Spadá do kategorie státních drah, je součástí nadřazené dopravní sítě celorepublikového významu a přenáší významný podíl tranzitu za hranice do SRN.</w:t>
      </w:r>
    </w:p>
    <w:p w14:paraId="0D21FB47"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Trať č. 072 Lysá -Všetaty - Děčín je dvojkolejná elektrifikovaná a má vazbu na železniční stanici Děčín - východ. Mostním objektem přes Labe je napojena na ŽST Děčín - hlavní nádraží. Spadá do kategorie státních drah. Trať je zařazena do Dohody AGTC a předpokládá se na ní výhledově provést optimalizace s cílem dosažení parametrů daných touto dohodou.</w:t>
      </w:r>
    </w:p>
    <w:p w14:paraId="6BB1975A"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Trať č. 082 Česká Lípa - Děčín je neelektrifikovaná železniční trať vedlejšího významu s vazbou na obě železniční stanice. Spadá do kategorie celostátních drah a podle koncepce rozvoje dopravních sítí ČR se řadí mezi významné spojovací tratě.</w:t>
      </w:r>
    </w:p>
    <w:p w14:paraId="1708394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Trať č. 132 Děčín hl. n. - Oldřichov u Duchcova je jednokolejná a neelektrifikovaná trať vedlejšího významu, vedená pod masivem Krušných hor. Spadá do kategorie regionálních drah.</w:t>
      </w:r>
    </w:p>
    <w:p w14:paraId="31893946"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Děčínský železniční uzel má bezpochyby celostátní význam. Jeho součástí je železniční pohraniční přechod Děčín - Bad Schandau, ležící na tahu propojujícím jihovýchod a jih Evropy se severskými státy a jejich přístavy. V nákladní dopravě patří k nejzatíženějším pohraničním přechodům v Evropě.</w:t>
      </w:r>
    </w:p>
    <w:p w14:paraId="7866F0EB"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noProof/>
          <w:sz w:val="22"/>
          <w:szCs w:val="22"/>
          <w:lang w:eastAsia="cs-CZ"/>
        </w:rPr>
        <w:drawing>
          <wp:anchor distT="0" distB="0" distL="114300" distR="114300" simplePos="0" relativeHeight="251715584" behindDoc="0" locked="0" layoutInCell="1" allowOverlap="0" wp14:anchorId="2FCD0390" wp14:editId="670E6993">
            <wp:simplePos x="0" y="0"/>
            <wp:positionH relativeFrom="page">
              <wp:posOffset>167640</wp:posOffset>
            </wp:positionH>
            <wp:positionV relativeFrom="page">
              <wp:posOffset>5027295</wp:posOffset>
            </wp:positionV>
            <wp:extent cx="3175" cy="3175"/>
            <wp:effectExtent l="0" t="0" r="0" b="0"/>
            <wp:wrapSquare wrapText="bothSides"/>
            <wp:docPr id="34960" name="Obrázek 34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6"/>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16608" behindDoc="0" locked="0" layoutInCell="1" allowOverlap="0" wp14:anchorId="2EF52A6F" wp14:editId="0E69ABBC">
            <wp:simplePos x="0" y="0"/>
            <wp:positionH relativeFrom="page">
              <wp:posOffset>115570</wp:posOffset>
            </wp:positionH>
            <wp:positionV relativeFrom="page">
              <wp:posOffset>7061200</wp:posOffset>
            </wp:positionV>
            <wp:extent cx="21590" cy="21590"/>
            <wp:effectExtent l="0" t="0" r="0" b="0"/>
            <wp:wrapSquare wrapText="bothSides"/>
            <wp:docPr id="34959" name="Obrázek 34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8"/>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1590" cy="21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17632" behindDoc="0" locked="0" layoutInCell="1" allowOverlap="0" wp14:anchorId="06EE02BF" wp14:editId="73EC1CBF">
            <wp:simplePos x="0" y="0"/>
            <wp:positionH relativeFrom="page">
              <wp:posOffset>499745</wp:posOffset>
            </wp:positionH>
            <wp:positionV relativeFrom="page">
              <wp:posOffset>8381365</wp:posOffset>
            </wp:positionV>
            <wp:extent cx="27305" cy="36830"/>
            <wp:effectExtent l="0" t="0" r="0" b="1270"/>
            <wp:wrapSquare wrapText="bothSides"/>
            <wp:docPr id="34958" name="Obrázek 34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2"/>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7305" cy="368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szCs w:val="22"/>
        </w:rPr>
        <w:t>Veškeré funkce jsou v rámci celého uzlu rozděleny na mezinárodní přepravu osob a zavazadel, kde hlavní nádraží je pohraniční stanicí pro vlaky v obou směrech na ČD.</w:t>
      </w:r>
    </w:p>
    <w:p w14:paraId="203553F2"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Železniční stanice Děčín hl. n. a Děčín východ jsou určeny jako pohraniční stanice na ČD pro mezistátní přepravu zboží, železniční stanice Děčín východ je výměnnou stanicí pro směr ČR - SRN.</w:t>
      </w:r>
    </w:p>
    <w:p w14:paraId="38E22609"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Železniční stanice Děčín - hlavní nádraží disponuje čtyřmi propojenými obvody, kterými jsou osobní nádraží, staniční střed, nákladní nádraží a západní nádraží.</w:t>
      </w:r>
    </w:p>
    <w:p w14:paraId="56D9E6CF"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ŽST Děčín - východní nádraží má tři obvody a to horní nádraží, dolní nádraží a přechodní nádraží, které propojuje oba obvody. Říční překladiště Děčín - Loubí, propojené spojovací kolejí s dolním nádražím, je obvodem navazujícím na východní nádraží.</w:t>
      </w:r>
    </w:p>
    <w:p w14:paraId="00786E3E"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noProof/>
          <w:sz w:val="22"/>
          <w:szCs w:val="22"/>
          <w:lang w:eastAsia="cs-CZ"/>
        </w:rPr>
        <w:lastRenderedPageBreak/>
        <w:drawing>
          <wp:inline distT="0" distB="0" distL="0" distR="0" wp14:anchorId="4417B08A" wp14:editId="5BDC805D">
            <wp:extent cx="12065" cy="12065"/>
            <wp:effectExtent l="0" t="0" r="0" b="0"/>
            <wp:docPr id="5161" name="Obrázek 5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V železniční stanici Prostřední Žleb je jeden svazek kolejí, kde se neprovádějí žádné ložné manipulace ale jen pobyty při úvraťových jízdách mezi hlavním nádražím a DC - východem.</w:t>
      </w:r>
    </w:p>
    <w:p w14:paraId="2729E83D"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Návrh předpokládá realizaci dvou zásadních staveb a rekonstrukcí:</w:t>
      </w:r>
    </w:p>
    <w:p w14:paraId="0DBF29FB" w14:textId="77777777" w:rsidR="006031D6" w:rsidRPr="006031D6" w:rsidRDefault="006031D6" w:rsidP="006031D6">
      <w:pPr>
        <w:pStyle w:val="Odstavecseseznamem"/>
        <w:numPr>
          <w:ilvl w:val="0"/>
          <w:numId w:val="41"/>
        </w:numPr>
        <w:spacing w:before="120" w:after="0" w:line="288" w:lineRule="auto"/>
        <w:ind w:left="426"/>
        <w:jc w:val="both"/>
        <w:rPr>
          <w:rFonts w:ascii="Arial" w:hAnsi="Arial" w:cs="Arial"/>
        </w:rPr>
      </w:pPr>
      <w:r w:rsidRPr="006031D6">
        <w:rPr>
          <w:rFonts w:ascii="Arial" w:hAnsi="Arial" w:cs="Arial"/>
        </w:rPr>
        <w:t xml:space="preserve">Modernizace I. železničního koridoru Břeclav - Brno - Praha - Děčín - Berlín, který je prvou prioritou při realizaci záměrů modernizace sítě ČD. Limitní výška traťové rychlosti je 160km/hod a její reálná velikost je v daném místě dána obtížností terénu. Modernizace uzlu Děčín není v </w:t>
      </w:r>
      <w:r w:rsidRPr="006031D6">
        <w:rPr>
          <w:rFonts w:ascii="Arial" w:hAnsi="Arial" w:cs="Arial"/>
          <w:noProof/>
          <w:lang w:eastAsia="cs-CZ"/>
        </w:rPr>
        <w:drawing>
          <wp:inline distT="0" distB="0" distL="0" distR="0" wp14:anchorId="35354EA5" wp14:editId="5916E821">
            <wp:extent cx="12065" cy="12065"/>
            <wp:effectExtent l="0" t="0" r="0" b="0"/>
            <wp:docPr id="5160" name="Obrázek 5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0"/>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rPr>
        <w:t>rámci této stavby řešena. Cílem je zkrátit cestovní doby a zvýšení kapacity cestujících.</w:t>
      </w:r>
    </w:p>
    <w:p w14:paraId="79BA3B8A" w14:textId="77777777" w:rsidR="006031D6" w:rsidRPr="006031D6" w:rsidRDefault="006031D6" w:rsidP="006031D6">
      <w:pPr>
        <w:spacing w:before="120" w:line="288" w:lineRule="auto"/>
        <w:ind w:left="426"/>
        <w:jc w:val="both"/>
        <w:rPr>
          <w:rFonts w:ascii="Arial" w:hAnsi="Arial" w:cs="Arial"/>
          <w:sz w:val="22"/>
          <w:szCs w:val="22"/>
        </w:rPr>
      </w:pPr>
      <w:r w:rsidRPr="006031D6">
        <w:rPr>
          <w:rFonts w:ascii="Arial" w:hAnsi="Arial" w:cs="Arial"/>
          <w:noProof/>
          <w:sz w:val="22"/>
          <w:szCs w:val="22"/>
          <w:lang w:eastAsia="cs-CZ"/>
        </w:rPr>
        <w:drawing>
          <wp:inline distT="0" distB="0" distL="0" distR="0" wp14:anchorId="5ED4322C" wp14:editId="0D95A950">
            <wp:extent cx="12065" cy="12065"/>
            <wp:effectExtent l="0" t="0" r="0" b="0"/>
            <wp:docPr id="5159" name="Obrázek 5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 xml:space="preserve">Železniční stanice budou vybaveny peronizací. Zásadou je zavádět vyšší rychlosti na dostatečně </w:t>
      </w:r>
      <w:r w:rsidRPr="006031D6">
        <w:rPr>
          <w:rFonts w:ascii="Arial" w:hAnsi="Arial" w:cs="Arial"/>
          <w:noProof/>
          <w:sz w:val="22"/>
          <w:szCs w:val="22"/>
          <w:lang w:eastAsia="cs-CZ"/>
        </w:rPr>
        <w:drawing>
          <wp:inline distT="0" distB="0" distL="0" distR="0" wp14:anchorId="418D280C" wp14:editId="5F4620DC">
            <wp:extent cx="12065" cy="12065"/>
            <wp:effectExtent l="0" t="0" r="0" b="0"/>
            <wp:docPr id="5158" name="Obrázek 5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3"/>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noProof/>
          <w:sz w:val="22"/>
          <w:szCs w:val="22"/>
          <w:lang w:eastAsia="cs-CZ"/>
        </w:rPr>
        <w:drawing>
          <wp:inline distT="0" distB="0" distL="0" distR="0" wp14:anchorId="20678339" wp14:editId="3E21D961">
            <wp:extent cx="83185" cy="35560"/>
            <wp:effectExtent l="0" t="0" r="0" b="2540"/>
            <wp:docPr id="5157" name="Obrázek 5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17"/>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83185" cy="35560"/>
                    </a:xfrm>
                    <a:prstGeom prst="rect">
                      <a:avLst/>
                    </a:prstGeom>
                    <a:noFill/>
                    <a:ln>
                      <a:noFill/>
                    </a:ln>
                  </pic:spPr>
                </pic:pic>
              </a:graphicData>
            </a:graphic>
          </wp:inline>
        </w:drawing>
      </w:r>
      <w:r w:rsidRPr="006031D6">
        <w:rPr>
          <w:rFonts w:ascii="Arial" w:hAnsi="Arial" w:cs="Arial"/>
          <w:sz w:val="22"/>
          <w:szCs w:val="22"/>
        </w:rPr>
        <w:t>dlouhých úsecích, aby bylo možno vysoké rychlosti efektně využít. Stavební práce zahrnují činnost, týkající se ochranného pásma dráhy. Nový tunel pod Pastýřskou stěnou není součástí výstavby l. koridoru, spadá do výhledového období. V rámci modernizace budou provedeny některé úpravy, týkající se mimo jiné některých korekcí směrového vedení trati v úseku Děčín státní hranice SRN. Realizace spadá do etapy návrhového období.</w:t>
      </w:r>
    </w:p>
    <w:p w14:paraId="788B0BE9" w14:textId="77777777" w:rsidR="006031D6" w:rsidRPr="006031D6" w:rsidRDefault="006031D6" w:rsidP="006031D6">
      <w:pPr>
        <w:pStyle w:val="Odstavecseseznamem"/>
        <w:numPr>
          <w:ilvl w:val="0"/>
          <w:numId w:val="41"/>
        </w:numPr>
        <w:spacing w:before="120" w:after="0" w:line="288" w:lineRule="auto"/>
        <w:ind w:left="426" w:hanging="426"/>
        <w:jc w:val="both"/>
        <w:rPr>
          <w:rFonts w:ascii="Arial" w:hAnsi="Arial" w:cs="Arial"/>
        </w:rPr>
      </w:pPr>
      <w:r w:rsidRPr="006031D6">
        <w:rPr>
          <w:rFonts w:ascii="Arial" w:hAnsi="Arial" w:cs="Arial"/>
        </w:rPr>
        <w:t>Na základě množství zpracované dokumentace a řady projednání vyplynulo, že přechod Děčín Bad Schandau je provozně a ekonomicky nejvýhodnějším mezi oběma sousedními státy a že obě strany budou sledovat jeho maximální využití. Současné vybavení a uspořádání železničního uzlu Děčín neodpovídá požadavkům na tuto funkci. Je potřeba realizovat takové řešení, které by v poměrně krátké době a co nejefektivněji s minimálními náklady přineslo výrazné zkvalitnění práce a odstranilo stávající problémy v železniční dopravě. Návrh vychází z těchto předpokladů a zahrnuje řadu úprav, jako je např. zdvoukolejnění spojky DC hl. n. - DC východ, etapovitá přestavba hlavního nádraží včetně peronizace a podchodu pro pěší z přednádražního prostoru do ulice Práce, úpravy uvnitř areálu dráhy P. Žleb aj. V návrhovém období je možné počítat s první etapou přestavby osobního nádraží. Výstavba mostní spojky přes Labe Děčín hl. n. - Děčín východ je v každém případě nutná, spadá však do horizontu po návrhovém období. Přestavba a rozšíření kolejiště v Prostředním Žlebu váže na rekonstrukci ŽST Děčín východ. Dá se říci, že úpravy v Prostředním žlebu jsou variantním řešením. Komplexní přestavba železničního uzlu vyžaduje buď rekonstrukci a přestavbu východního nádraží v rámci vlastních pozemků nebo výstavbu nových železničních ploch v Prostředním Žlebu. V každém případě úpravy spadají do horizontu po návrhovém období. Návrh územního plánu preferuje řešení přestavby ŽST Děčín východ bez úprav v Prostředním Žlebu. Přesto je nutné v lokalitě Pr. žleb držet pro tento záměr územní rezervu.</w:t>
      </w:r>
    </w:p>
    <w:p w14:paraId="0954EC19"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Na území sídla Boletice n. Labem je navržena na železniční trati č. 072 v prostoru za úrovňovým přejezdem ul. Spojenců nová zastávka Boletice - město.</w:t>
      </w:r>
    </w:p>
    <w:p w14:paraId="19F237B4" w14:textId="77777777" w:rsidR="006031D6" w:rsidRPr="00632B33" w:rsidRDefault="006031D6" w:rsidP="006031D6">
      <w:pPr>
        <w:pStyle w:val="Nadpis1"/>
        <w:spacing w:before="120" w:line="288" w:lineRule="auto"/>
        <w:ind w:left="45"/>
        <w:jc w:val="both"/>
        <w:rPr>
          <w:rFonts w:ascii="Arial" w:hAnsi="Arial" w:cs="Arial"/>
          <w:b/>
          <w:sz w:val="24"/>
          <w:szCs w:val="24"/>
        </w:rPr>
      </w:pPr>
      <w:r w:rsidRPr="00632B33">
        <w:rPr>
          <w:rFonts w:ascii="Arial" w:hAnsi="Arial" w:cs="Arial"/>
          <w:b/>
          <w:sz w:val="24"/>
          <w:szCs w:val="24"/>
        </w:rPr>
        <w:t>ŽELEZNIČNÍ VLEČKY</w:t>
      </w:r>
    </w:p>
    <w:p w14:paraId="7C4FA5D7"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Řešené území je také obsluhováno vlečkami. Jedná se o lokality, podniky a provozovny, umístěné v průmyslových a výrobních zónách v blízkosti železničních stanic. Jsou to zejména prostory a území:</w:t>
      </w:r>
    </w:p>
    <w:p w14:paraId="169A24D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noProof/>
          <w:sz w:val="22"/>
          <w:szCs w:val="22"/>
          <w:lang w:eastAsia="cs-CZ"/>
        </w:rPr>
        <w:lastRenderedPageBreak/>
        <w:drawing>
          <wp:anchor distT="0" distB="0" distL="114300" distR="114300" simplePos="0" relativeHeight="251718656" behindDoc="0" locked="0" layoutInCell="1" allowOverlap="0" wp14:anchorId="339D3681" wp14:editId="3140CBA8">
            <wp:simplePos x="0" y="0"/>
            <wp:positionH relativeFrom="page">
              <wp:posOffset>7345680</wp:posOffset>
            </wp:positionH>
            <wp:positionV relativeFrom="page">
              <wp:posOffset>890270</wp:posOffset>
            </wp:positionV>
            <wp:extent cx="12065" cy="12065"/>
            <wp:effectExtent l="0" t="0" r="0" b="0"/>
            <wp:wrapSquare wrapText="bothSides"/>
            <wp:docPr id="34957" name="Obrázek 34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6"/>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szCs w:val="22"/>
        </w:rPr>
        <w:t>Průmyslový obvod Rozbělesy - napojení na vlečku vedenou ze železniční stanice Děčín hl. nádraží. V rámci přestavby ulice Práce je navrženo nové vlečkové napojení s úrovňovým křížením zmíněné ulice.</w:t>
      </w:r>
    </w:p>
    <w:p w14:paraId="32831535"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Průmyslový obvod Boletice - napojení na vlečku vedenou ze železniční stanice Boletice n. L. V návrhu zůstává vlečka bez úprav.</w:t>
      </w:r>
    </w:p>
    <w:p w14:paraId="69D15D54"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Přístav Loubí - napojení na vlečku vedenou ze železniční stanice Děčín východ. Kolejiště není součástí ČD, jde o vlečku ve správě přístavu. Vnitřní vlečkový provoz provádějí ČD. Staré Loubí slouží pro překládku velkých kontejnerů a Nové Loubí pro sestavu kusovek a substrátů. V návrhu zůstává vlečka beze změny.</w:t>
      </w:r>
    </w:p>
    <w:p w14:paraId="1FF65FDF"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ČOV Boletice - v Boleticích je navržena vlečka k objektu ČOV.</w:t>
      </w:r>
    </w:p>
    <w:p w14:paraId="49C8A742" w14:textId="77777777" w:rsidR="006031D6" w:rsidRPr="006031D6" w:rsidRDefault="006031D6" w:rsidP="006031D6">
      <w:pPr>
        <w:spacing w:before="120" w:line="288" w:lineRule="auto"/>
        <w:ind w:left="86" w:right="28" w:firstLine="709"/>
        <w:jc w:val="both"/>
        <w:rPr>
          <w:rFonts w:ascii="Arial" w:hAnsi="Arial" w:cs="Arial"/>
          <w:sz w:val="22"/>
          <w:szCs w:val="22"/>
        </w:rPr>
      </w:pPr>
    </w:p>
    <w:p w14:paraId="31C56020" w14:textId="77777777" w:rsidR="006031D6" w:rsidRPr="00632B33" w:rsidRDefault="006031D6" w:rsidP="006031D6">
      <w:pPr>
        <w:pStyle w:val="Nadpis1"/>
        <w:spacing w:after="91"/>
        <w:jc w:val="both"/>
        <w:rPr>
          <w:rFonts w:ascii="Arial" w:hAnsi="Arial" w:cs="Arial"/>
          <w:b/>
          <w:sz w:val="28"/>
          <w:szCs w:val="28"/>
        </w:rPr>
      </w:pPr>
      <w:r w:rsidRPr="00632B33">
        <w:rPr>
          <w:rFonts w:ascii="Arial" w:hAnsi="Arial" w:cs="Arial"/>
          <w:b/>
          <w:sz w:val="28"/>
          <w:szCs w:val="28"/>
        </w:rPr>
        <w:t>F3.4. OSTATNÍ SÍŤ</w:t>
      </w:r>
    </w:p>
    <w:p w14:paraId="7C057A99" w14:textId="77777777" w:rsidR="006031D6" w:rsidRPr="00632B33" w:rsidRDefault="006031D6" w:rsidP="006031D6">
      <w:pPr>
        <w:spacing w:after="143"/>
        <w:rPr>
          <w:rFonts w:ascii="Arial" w:hAnsi="Arial" w:cs="Arial"/>
          <w:b/>
        </w:rPr>
      </w:pPr>
      <w:r w:rsidRPr="00632B33">
        <w:rPr>
          <w:rFonts w:ascii="Arial" w:hAnsi="Arial" w:cs="Arial"/>
          <w:b/>
        </w:rPr>
        <w:t>VODNÍ DOPRAVA</w:t>
      </w:r>
    </w:p>
    <w:p w14:paraId="793D2AA7"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Město Děčín má jeden z jmenovitě uvedených veřejných přístavů ČR, kde je provozována jak prioritní nákladní, tak i osobní doprava.</w:t>
      </w:r>
    </w:p>
    <w:p w14:paraId="3A9A383D"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Přístav Loubí má několik částí - Nové Loubí, terminál a Děčín-město. Jeho součástí je rovněž kontejnerový terminál a tankovací stanice ropných produktů. Využíván je zejména Československou plavbou labskou a.s., přístav je však veřejný a je určen pro všechny provozovatele lodní dopravy.</w:t>
      </w:r>
    </w:p>
    <w:p w14:paraId="496C4178"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Přístav v Rozbělesích má funkci ochranného přístavu.</w:t>
      </w:r>
    </w:p>
    <w:p w14:paraId="5918731B"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Nákladní doprava je provozována převážně tlačnými čluny a motorovými nákladními loděmi.</w:t>
      </w:r>
    </w:p>
    <w:p w14:paraId="1A04BCD6"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Provoz osobní dopravy není v současnosti na Labi pravidelný a je omezen na jízdy zejména zahraničních společností. Osobní přístav je v prostoru Tyršova mostu.</w:t>
      </w:r>
    </w:p>
    <w:p w14:paraId="42CD120B"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Návrh územního plánu ponechává osobní přístav u Tyršova mostu (pod zámkem)a další umisťuje na levý břeh na Labské nábřeží. Sportovní přístav pro motorový a bezmotorový provoz bude umístěn v rámci lokality č. 17 v urbanistickém obvodu č. 11 sektoru I. v prostoru soutoku Labe s Ploučnicí. Lokalizace a režim provozu v osobních přístavech bude upraven současně s výstavbou vodního stupně Prostřední žleb. V Rozbělesech je navržen přívoz přes Labe.</w:t>
      </w:r>
    </w:p>
    <w:p w14:paraId="503A0198"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Výstavba vodního stupně Prostřední Žleb spadá do návrhového období a je veřejně prospěšnou stavbou.</w:t>
      </w:r>
    </w:p>
    <w:p w14:paraId="5C5BF6A3" w14:textId="77777777" w:rsidR="006031D6" w:rsidRPr="006031D6" w:rsidRDefault="006031D6" w:rsidP="006031D6">
      <w:pPr>
        <w:spacing w:before="120" w:line="288" w:lineRule="auto"/>
        <w:ind w:left="86" w:right="28" w:firstLine="709"/>
        <w:jc w:val="both"/>
        <w:rPr>
          <w:rFonts w:ascii="Arial" w:hAnsi="Arial" w:cs="Arial"/>
          <w:sz w:val="22"/>
          <w:szCs w:val="22"/>
        </w:rPr>
      </w:pPr>
    </w:p>
    <w:p w14:paraId="4F11C3EC" w14:textId="77777777" w:rsidR="006031D6" w:rsidRPr="00632B33" w:rsidRDefault="006031D6" w:rsidP="006031D6">
      <w:pPr>
        <w:pStyle w:val="Nadpis1"/>
        <w:jc w:val="both"/>
        <w:rPr>
          <w:rFonts w:ascii="Arial" w:hAnsi="Arial" w:cs="Arial"/>
          <w:b/>
          <w:sz w:val="24"/>
          <w:szCs w:val="24"/>
        </w:rPr>
      </w:pPr>
      <w:r w:rsidRPr="00632B33">
        <w:rPr>
          <w:rFonts w:ascii="Arial" w:hAnsi="Arial" w:cs="Arial"/>
          <w:b/>
          <w:sz w:val="24"/>
          <w:szCs w:val="24"/>
        </w:rPr>
        <w:t>REKREAČNÍ, PĚŠÍ A CYKLISTICKÁ DOPRAVA</w:t>
      </w:r>
    </w:p>
    <w:p w14:paraId="77962679" w14:textId="77777777" w:rsidR="006031D6" w:rsidRPr="00626473" w:rsidRDefault="006031D6" w:rsidP="006031D6">
      <w:pPr>
        <w:spacing w:after="155" w:line="259" w:lineRule="auto"/>
        <w:ind w:left="110"/>
        <w:rPr>
          <w:rFonts w:ascii="Arial" w:hAnsi="Arial" w:cs="Arial"/>
          <w:sz w:val="26"/>
        </w:rPr>
      </w:pPr>
    </w:p>
    <w:p w14:paraId="564EE5D1" w14:textId="77777777" w:rsidR="006031D6" w:rsidRPr="00632B33" w:rsidRDefault="006031D6" w:rsidP="006031D6">
      <w:pPr>
        <w:spacing w:before="120" w:line="288" w:lineRule="auto"/>
        <w:ind w:left="108"/>
        <w:rPr>
          <w:rFonts w:ascii="Arial" w:hAnsi="Arial" w:cs="Arial"/>
          <w:b/>
        </w:rPr>
      </w:pPr>
      <w:r w:rsidRPr="00632B33">
        <w:rPr>
          <w:rFonts w:ascii="Arial" w:hAnsi="Arial" w:cs="Arial"/>
          <w:b/>
        </w:rPr>
        <w:t>REKREAČNÍ DOPRAVA</w:t>
      </w:r>
    </w:p>
    <w:p w14:paraId="2BD3787D" w14:textId="77777777" w:rsidR="006031D6" w:rsidRPr="00626473" w:rsidRDefault="006031D6" w:rsidP="006031D6">
      <w:pPr>
        <w:spacing w:before="120" w:line="288" w:lineRule="auto"/>
        <w:ind w:left="86" w:right="28" w:firstLine="709"/>
        <w:rPr>
          <w:rFonts w:ascii="Arial" w:hAnsi="Arial" w:cs="Arial"/>
        </w:rPr>
      </w:pPr>
      <w:r w:rsidRPr="00626473">
        <w:rPr>
          <w:rFonts w:ascii="Arial" w:hAnsi="Arial" w:cs="Arial"/>
        </w:rPr>
        <w:t>Tento druh dopravy je vázán na přírodní atraktivity na území města a zejména pak v</w:t>
      </w:r>
      <w:r>
        <w:rPr>
          <w:rFonts w:ascii="Arial" w:hAnsi="Arial" w:cs="Arial"/>
        </w:rPr>
        <w:t> </w:t>
      </w:r>
      <w:r w:rsidRPr="00626473">
        <w:rPr>
          <w:rFonts w:ascii="Arial" w:hAnsi="Arial" w:cs="Arial"/>
        </w:rPr>
        <w:t xml:space="preserve">jeho nejbližším okolí. Návrh respektuje záměry obsažené v ÚPn </w:t>
      </w:r>
      <w:r w:rsidRPr="00626473">
        <w:rPr>
          <w:rFonts w:ascii="Arial" w:hAnsi="Arial" w:cs="Arial"/>
        </w:rPr>
        <w:lastRenderedPageBreak/>
        <w:t>VÚC Labské pískovce a</w:t>
      </w:r>
      <w:r>
        <w:rPr>
          <w:rFonts w:ascii="Arial" w:hAnsi="Arial" w:cs="Arial"/>
        </w:rPr>
        <w:t> </w:t>
      </w:r>
      <w:r w:rsidRPr="00626473">
        <w:rPr>
          <w:rFonts w:ascii="Arial" w:hAnsi="Arial" w:cs="Arial"/>
        </w:rPr>
        <w:t>Šluknovsko, kde je držena koncepce dvou dopravních polookruhů. Záměrem je v</w:t>
      </w:r>
      <w:r>
        <w:rPr>
          <w:rFonts w:ascii="Arial" w:hAnsi="Arial" w:cs="Arial"/>
        </w:rPr>
        <w:t> </w:t>
      </w:r>
      <w:r w:rsidRPr="00626473">
        <w:rPr>
          <w:rFonts w:ascii="Arial" w:hAnsi="Arial" w:cs="Arial"/>
        </w:rPr>
        <w:t>maximální míře chránit zmíněnou oblast. Tzv. ”vnější ” okruh je veden v trase Petrovice - Děčín - Hřensko - Dolní Poustevna, ”vnitřní ” okruh v trase Hřensko - Jetřichovice - Doubice. Oba okruhy jsou doplněny kolejovým polookruhem. Tzv. „zelený vlak" je veden v trase Dolní Žleb - Děčín - Č. Kamenice - Jedlová - Dolní Poustevna.</w:t>
      </w:r>
    </w:p>
    <w:p w14:paraId="6AC22D06" w14:textId="77777777" w:rsidR="006031D6" w:rsidRDefault="006031D6" w:rsidP="006031D6">
      <w:pPr>
        <w:spacing w:before="120" w:line="288" w:lineRule="auto"/>
        <w:ind w:left="86" w:right="28" w:firstLine="709"/>
        <w:rPr>
          <w:rFonts w:ascii="Arial" w:hAnsi="Arial" w:cs="Arial"/>
        </w:rPr>
      </w:pPr>
      <w:r w:rsidRPr="00626473">
        <w:rPr>
          <w:rFonts w:ascii="Arial" w:hAnsi="Arial" w:cs="Arial"/>
        </w:rPr>
        <w:t>Všechny uvedené tahy jsou vzájemně propojeny s pěšími a cyklistickými trasami a</w:t>
      </w:r>
      <w:r>
        <w:rPr>
          <w:rFonts w:ascii="Arial" w:hAnsi="Arial" w:cs="Arial"/>
        </w:rPr>
        <w:t> </w:t>
      </w:r>
      <w:r w:rsidRPr="00626473">
        <w:rPr>
          <w:rFonts w:ascii="Arial" w:hAnsi="Arial" w:cs="Arial"/>
        </w:rPr>
        <w:t>mají vazbu na hraniční přechody Sněžník - Rosenthal, Hřensko - Schona (přívoz) a</w:t>
      </w:r>
      <w:r>
        <w:rPr>
          <w:rFonts w:ascii="Arial" w:hAnsi="Arial" w:cs="Arial"/>
        </w:rPr>
        <w:t> </w:t>
      </w:r>
      <w:r w:rsidRPr="00626473">
        <w:rPr>
          <w:rFonts w:ascii="Arial" w:hAnsi="Arial" w:cs="Arial"/>
        </w:rPr>
        <w:t>Hřensko - Shona levý břeh.</w:t>
      </w:r>
    </w:p>
    <w:p w14:paraId="36462250" w14:textId="77777777" w:rsidR="006031D6" w:rsidRPr="00626473" w:rsidRDefault="006031D6" w:rsidP="006031D6">
      <w:pPr>
        <w:spacing w:before="120" w:line="288" w:lineRule="auto"/>
        <w:ind w:left="86" w:right="28" w:firstLine="709"/>
        <w:rPr>
          <w:rFonts w:ascii="Arial" w:hAnsi="Arial" w:cs="Arial"/>
        </w:rPr>
      </w:pPr>
    </w:p>
    <w:p w14:paraId="3B9F1674" w14:textId="77777777" w:rsidR="006031D6" w:rsidRPr="00632B33" w:rsidRDefault="006031D6" w:rsidP="006031D6">
      <w:pPr>
        <w:spacing w:before="120" w:line="288" w:lineRule="auto"/>
        <w:ind w:left="108"/>
        <w:rPr>
          <w:rFonts w:ascii="Arial" w:hAnsi="Arial" w:cs="Arial"/>
          <w:b/>
        </w:rPr>
      </w:pPr>
      <w:r w:rsidRPr="00632B33">
        <w:rPr>
          <w:rFonts w:ascii="Arial" w:hAnsi="Arial" w:cs="Arial"/>
          <w:b/>
        </w:rPr>
        <w:t>PĚŠÍ TRASY</w:t>
      </w:r>
    </w:p>
    <w:p w14:paraId="612D2D3D"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Návrh dopravy stanovuje zásady pro pěší provoz a následné vymezení hlavních tras, užívaných chodci. Síť pěších cest, chodníků a komunikací je v centru města již v zásadě vybudována a soustřeďuje se do hlavních ulic s vysokou společenskou aktivitou. Významným místem s výraznou koncentrací pěších jsou obě historická jádra města.</w:t>
      </w:r>
    </w:p>
    <w:p w14:paraId="1D2D79D8"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Silné pěší vztahy jsou také mezi městským jádrem v Podmoklech a lokalitou v Želenicích, na pravém břehu pak vztahy mezi centrem a Starým a Novým městem. Přirozenými zdroji a cíli jsou pak dále prostory autobusového a vlakového nádraží, nemocnice a školských areálů.</w:t>
      </w:r>
    </w:p>
    <w:p w14:paraId="74A81088"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V kategorii pěších tras a prostranství je v územním plánu navrženo:</w:t>
      </w:r>
    </w:p>
    <w:p w14:paraId="6E8F3308" w14:textId="77777777" w:rsidR="006031D6" w:rsidRPr="006031D6" w:rsidRDefault="006031D6" w:rsidP="006031D6">
      <w:pPr>
        <w:pStyle w:val="Odstavecseseznamem"/>
        <w:numPr>
          <w:ilvl w:val="0"/>
          <w:numId w:val="49"/>
        </w:numPr>
        <w:spacing w:before="120" w:after="0" w:line="288" w:lineRule="auto"/>
        <w:ind w:left="426" w:right="85"/>
        <w:jc w:val="both"/>
        <w:rPr>
          <w:rFonts w:ascii="Arial" w:hAnsi="Arial" w:cs="Arial"/>
        </w:rPr>
      </w:pPr>
      <w:r w:rsidRPr="006031D6">
        <w:rPr>
          <w:rFonts w:ascii="Arial" w:hAnsi="Arial" w:cs="Arial"/>
        </w:rPr>
        <w:t>Úprava a rekonstrukce stávající pěší zóny v Podmoklech v ulici Prokopa Holého, rozšíření do části ulice Plzeňská. Linka hromadné dopravy na pěší zóně zůstává zachována.</w:t>
      </w:r>
    </w:p>
    <w:p w14:paraId="06A59D0A" w14:textId="77777777" w:rsidR="006031D6" w:rsidRPr="006031D6" w:rsidRDefault="006031D6" w:rsidP="006031D6">
      <w:pPr>
        <w:pStyle w:val="Odstavecseseznamem"/>
        <w:numPr>
          <w:ilvl w:val="0"/>
          <w:numId w:val="49"/>
        </w:numPr>
        <w:spacing w:before="120" w:after="0" w:line="288" w:lineRule="auto"/>
        <w:ind w:left="426" w:right="85"/>
        <w:jc w:val="both"/>
        <w:rPr>
          <w:rFonts w:ascii="Arial" w:hAnsi="Arial" w:cs="Arial"/>
        </w:rPr>
      </w:pPr>
      <w:r w:rsidRPr="006031D6">
        <w:rPr>
          <w:rFonts w:ascii="Arial" w:hAnsi="Arial" w:cs="Arial"/>
        </w:rPr>
        <w:t>Vytvoření pěšího tahu podél Jílovského potoka v centru Podmokel, kombinace s cyklistickou dopravou. Realizace v rámci rekonstrukce a obnovy zadních traktů obytných bloků, situovaných u potoka.</w:t>
      </w:r>
    </w:p>
    <w:p w14:paraId="1A86481A" w14:textId="77777777" w:rsidR="006031D6" w:rsidRPr="006031D6" w:rsidRDefault="006031D6" w:rsidP="006031D6">
      <w:pPr>
        <w:pStyle w:val="Odstavecseseznamem"/>
        <w:numPr>
          <w:ilvl w:val="0"/>
          <w:numId w:val="49"/>
        </w:numPr>
        <w:spacing w:before="120" w:after="0" w:line="288" w:lineRule="auto"/>
        <w:ind w:left="426" w:right="85"/>
        <w:jc w:val="both"/>
        <w:rPr>
          <w:rFonts w:ascii="Arial" w:hAnsi="Arial" w:cs="Arial"/>
        </w:rPr>
      </w:pPr>
      <w:r w:rsidRPr="006031D6">
        <w:rPr>
          <w:rFonts w:ascii="Arial" w:hAnsi="Arial" w:cs="Arial"/>
        </w:rPr>
        <w:t>Pěší podchod pod nádražím ČD s propojením do ulice Práce.</w:t>
      </w:r>
    </w:p>
    <w:p w14:paraId="2C88BB27" w14:textId="77777777" w:rsidR="006031D6" w:rsidRPr="006031D6" w:rsidRDefault="006031D6" w:rsidP="006031D6">
      <w:pPr>
        <w:pStyle w:val="Odstavecseseznamem"/>
        <w:numPr>
          <w:ilvl w:val="0"/>
          <w:numId w:val="49"/>
        </w:numPr>
        <w:spacing w:before="120" w:after="0" w:line="288" w:lineRule="auto"/>
        <w:ind w:left="426" w:right="85"/>
        <w:jc w:val="both"/>
        <w:rPr>
          <w:rFonts w:ascii="Arial" w:hAnsi="Arial" w:cs="Arial"/>
        </w:rPr>
      </w:pPr>
      <w:r w:rsidRPr="006031D6">
        <w:rPr>
          <w:rFonts w:ascii="Arial" w:hAnsi="Arial" w:cs="Arial"/>
        </w:rPr>
        <w:t>Pěší stezka kombinovaná s cyklistickou podél břehu Labe od navrhovaného přívozu v Rozbělesech po Tyršův most.</w:t>
      </w:r>
    </w:p>
    <w:p w14:paraId="1480995E" w14:textId="77777777" w:rsidR="006031D6" w:rsidRPr="006031D6" w:rsidRDefault="006031D6" w:rsidP="006031D6">
      <w:pPr>
        <w:pStyle w:val="Odstavecseseznamem"/>
        <w:numPr>
          <w:ilvl w:val="0"/>
          <w:numId w:val="49"/>
        </w:numPr>
        <w:spacing w:before="120" w:after="0" w:line="288" w:lineRule="auto"/>
        <w:ind w:left="426" w:right="85"/>
        <w:jc w:val="both"/>
        <w:rPr>
          <w:rFonts w:ascii="Arial" w:hAnsi="Arial" w:cs="Arial"/>
        </w:rPr>
      </w:pPr>
      <w:r w:rsidRPr="006031D6">
        <w:rPr>
          <w:rFonts w:ascii="Arial" w:hAnsi="Arial" w:cs="Arial"/>
        </w:rPr>
        <w:t>Rekonstrukce Masarykova náměstí v Děčíně s preferencí pěší dopravy a s vytvořením nových úseků pěší zóny.</w:t>
      </w:r>
    </w:p>
    <w:p w14:paraId="24886897" w14:textId="77777777" w:rsidR="006031D6" w:rsidRPr="006031D6" w:rsidRDefault="006031D6" w:rsidP="006031D6">
      <w:pPr>
        <w:pStyle w:val="Odstavecseseznamem"/>
        <w:numPr>
          <w:ilvl w:val="0"/>
          <w:numId w:val="49"/>
        </w:numPr>
        <w:spacing w:before="120" w:after="0" w:line="288" w:lineRule="auto"/>
        <w:ind w:left="426" w:right="85"/>
        <w:jc w:val="both"/>
        <w:rPr>
          <w:rFonts w:ascii="Arial" w:hAnsi="Arial" w:cs="Arial"/>
        </w:rPr>
      </w:pPr>
      <w:r w:rsidRPr="006031D6">
        <w:rPr>
          <w:rFonts w:ascii="Arial" w:hAnsi="Arial" w:cs="Arial"/>
        </w:rPr>
        <w:t>Systém pěších chodníků rekreačního charakteru na pravém břehu Labe v prostoru koupaliště a soutoku s Ploučnicí (kombinace s cyklotrasami).</w:t>
      </w:r>
    </w:p>
    <w:p w14:paraId="20214099" w14:textId="77777777" w:rsidR="006031D6" w:rsidRPr="006031D6" w:rsidRDefault="006031D6" w:rsidP="006031D6">
      <w:pPr>
        <w:pStyle w:val="Odstavecseseznamem"/>
        <w:numPr>
          <w:ilvl w:val="0"/>
          <w:numId w:val="49"/>
        </w:numPr>
        <w:spacing w:before="120" w:after="0" w:line="288" w:lineRule="auto"/>
        <w:ind w:left="426" w:right="85"/>
        <w:jc w:val="both"/>
        <w:rPr>
          <w:rFonts w:ascii="Arial" w:hAnsi="Arial" w:cs="Arial"/>
        </w:rPr>
      </w:pPr>
      <w:r w:rsidRPr="006031D6">
        <w:rPr>
          <w:rFonts w:ascii="Arial" w:hAnsi="Arial" w:cs="Arial"/>
        </w:rPr>
        <w:t>Pěší napojení objektu zámku ve směru od Zámecké ulice a od koupaliště s vazbou na výtahy navržené přímo v budově zámku.</w:t>
      </w:r>
    </w:p>
    <w:p w14:paraId="36B7FBF5" w14:textId="77777777" w:rsidR="006031D6" w:rsidRPr="006031D6" w:rsidRDefault="006031D6" w:rsidP="006031D6">
      <w:pPr>
        <w:pStyle w:val="Odstavecseseznamem"/>
        <w:numPr>
          <w:ilvl w:val="0"/>
          <w:numId w:val="49"/>
        </w:numPr>
        <w:spacing w:before="120" w:after="0" w:line="288" w:lineRule="auto"/>
        <w:ind w:left="426" w:right="85"/>
        <w:jc w:val="both"/>
        <w:rPr>
          <w:rFonts w:ascii="Arial" w:hAnsi="Arial" w:cs="Arial"/>
        </w:rPr>
      </w:pPr>
      <w:r w:rsidRPr="006031D6">
        <w:rPr>
          <w:rFonts w:ascii="Arial" w:hAnsi="Arial" w:cs="Arial"/>
        </w:rPr>
        <w:t>Chodník podél místní komunikace vedený od MŠ v Březinách do Libverdy.</w:t>
      </w:r>
    </w:p>
    <w:p w14:paraId="4B49BFB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Děčín má k dispozici řadu atraktivních míst v okolí, která jsou hojně navštěvována turisty. Přístup do těchto lokalit je možný po četných stávajících chodnících a pěšinách. Takto jsou jak v současnosti, tak i v návrhu zpřístupněny prostory zoologické zahrady, Pastýřské stěny, Maxiček, Horního Chlumu a Prostředního či Dolního Žlebu.</w:t>
      </w:r>
    </w:p>
    <w:p w14:paraId="674BD366" w14:textId="77777777" w:rsidR="006031D6" w:rsidRPr="006031D6" w:rsidRDefault="006031D6" w:rsidP="006031D6">
      <w:pPr>
        <w:spacing w:before="120" w:line="288" w:lineRule="auto"/>
        <w:ind w:left="86" w:right="28" w:firstLine="709"/>
        <w:jc w:val="both"/>
        <w:rPr>
          <w:rFonts w:ascii="Arial" w:hAnsi="Arial" w:cs="Arial"/>
          <w:sz w:val="22"/>
          <w:szCs w:val="22"/>
        </w:rPr>
      </w:pPr>
    </w:p>
    <w:p w14:paraId="62F9D1AF" w14:textId="77777777" w:rsidR="006031D6" w:rsidRPr="00632B33" w:rsidRDefault="006031D6" w:rsidP="006031D6">
      <w:pPr>
        <w:spacing w:before="120" w:line="288" w:lineRule="auto"/>
        <w:ind w:left="108"/>
        <w:rPr>
          <w:rFonts w:ascii="Arial" w:hAnsi="Arial" w:cs="Arial"/>
          <w:b/>
        </w:rPr>
      </w:pPr>
      <w:r w:rsidRPr="00632B33">
        <w:rPr>
          <w:rFonts w:ascii="Arial" w:hAnsi="Arial" w:cs="Arial"/>
          <w:b/>
        </w:rPr>
        <w:t>CYKLISTICKÉ TRASY</w:t>
      </w:r>
    </w:p>
    <w:p w14:paraId="24EE1A6A"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Výstavba cyklistických tras je v Děčíně podstatně ztížena vzhledem k reliéfu krajiny s hluboce zaříznutým údolím Labe do okolního terénu a k hustě obestavěným komunikacím. Přesto je možné využít zejména volných prostorů podél říčních toků a potoků, kde jsou podmínky pro vedení stezek poměrně příhodné. Cyklotrasy turistického charakteru lze pak vést prakticky neomezeně po četných stávajících málo frekventovaných silnicích, místních komunikacích a účelových cestách ve volné přírodě.</w:t>
      </w:r>
    </w:p>
    <w:p w14:paraId="5D78274D"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Prudký rozvoj cyklistické dopravy vyžaduje zřízení odpovídajících cest a tras. Na to reaguje územní plán návrhem řady cyklistických tras. Doplní se tak již stávající systém funkčních tras, jako je např. cyklistický okruh vedený kolem masivu Děčínského Sněžníku po stávajících zpevněných </w:t>
      </w:r>
      <w:r w:rsidRPr="006031D6">
        <w:rPr>
          <w:rFonts w:ascii="Arial" w:hAnsi="Arial" w:cs="Arial"/>
          <w:noProof/>
          <w:sz w:val="22"/>
          <w:szCs w:val="22"/>
          <w:lang w:eastAsia="cs-CZ"/>
        </w:rPr>
        <w:drawing>
          <wp:inline distT="0" distB="0" distL="0" distR="0" wp14:anchorId="1DD1A8E0" wp14:editId="0F485FBC">
            <wp:extent cx="59690" cy="12065"/>
            <wp:effectExtent l="0" t="0" r="0" b="6985"/>
            <wp:docPr id="5156" name="Obrázek 5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0"/>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59690" cy="12065"/>
                    </a:xfrm>
                    <a:prstGeom prst="rect">
                      <a:avLst/>
                    </a:prstGeom>
                    <a:noFill/>
                    <a:ln>
                      <a:noFill/>
                    </a:ln>
                  </pic:spPr>
                </pic:pic>
              </a:graphicData>
            </a:graphic>
          </wp:inline>
        </w:drawing>
      </w:r>
      <w:r w:rsidRPr="006031D6">
        <w:rPr>
          <w:rFonts w:ascii="Arial" w:hAnsi="Arial" w:cs="Arial"/>
          <w:sz w:val="22"/>
          <w:szCs w:val="22"/>
        </w:rPr>
        <w:t xml:space="preserve">účelových komunikacích, trasa vedená od Sněžníku pod Maxičkami přes Čertův hřbet do Dolního žlebu, trasa vedená z Jalůvčí a Přípeře do Prostředního a Dolního Žlebu podél toku řeky Labe nebo </w:t>
      </w:r>
      <w:r w:rsidRPr="006031D6">
        <w:rPr>
          <w:rFonts w:ascii="Arial" w:hAnsi="Arial" w:cs="Arial"/>
          <w:noProof/>
          <w:sz w:val="22"/>
          <w:szCs w:val="22"/>
          <w:lang w:eastAsia="cs-CZ"/>
        </w:rPr>
        <w:drawing>
          <wp:inline distT="0" distB="0" distL="0" distR="0" wp14:anchorId="668D7846" wp14:editId="5C4C127C">
            <wp:extent cx="12065" cy="12065"/>
            <wp:effectExtent l="0" t="0" r="0" b="0"/>
            <wp:docPr id="5155" name="Obrázek 5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8"/>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12065" cy="12065"/>
                    </a:xfrm>
                    <a:prstGeom prst="rect">
                      <a:avLst/>
                    </a:prstGeom>
                    <a:noFill/>
                    <a:ln>
                      <a:noFill/>
                    </a:ln>
                  </pic:spPr>
                </pic:pic>
              </a:graphicData>
            </a:graphic>
          </wp:inline>
        </w:drawing>
      </w:r>
      <w:r w:rsidRPr="006031D6">
        <w:rPr>
          <w:rFonts w:ascii="Arial" w:hAnsi="Arial" w:cs="Arial"/>
          <w:sz w:val="22"/>
          <w:szCs w:val="22"/>
        </w:rPr>
        <w:t>nově zřízená trasa vedená z Dolního žlebu podél Labe ke státní hranici se SRN, kde je otevřen přechod pro cyklisty a chodce s vazbou na systém cyklotras v sousedním Německu-</w:t>
      </w:r>
    </w:p>
    <w:p w14:paraId="6588AA29"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Prostorem města je vedena mezinárodní cyklistická trasa č. 2. trasovaná z Vídně přes Prahu a Děčín do Berlína a dálková trasa č. 53, vedená po Krušných horách přes Sněžník a Děčín na Liberec.</w:t>
      </w:r>
    </w:p>
    <w:p w14:paraId="46F4C408" w14:textId="77777777" w:rsidR="006031D6" w:rsidRPr="006031D6" w:rsidRDefault="006031D6" w:rsidP="006031D6">
      <w:pPr>
        <w:keepNext/>
        <w:spacing w:before="120" w:line="288" w:lineRule="auto"/>
        <w:ind w:left="85" w:right="28" w:firstLine="709"/>
        <w:jc w:val="both"/>
        <w:rPr>
          <w:rFonts w:ascii="Arial" w:hAnsi="Arial" w:cs="Arial"/>
          <w:b/>
          <w:sz w:val="22"/>
          <w:szCs w:val="22"/>
        </w:rPr>
      </w:pPr>
      <w:r w:rsidRPr="006031D6">
        <w:rPr>
          <w:rFonts w:ascii="Arial" w:hAnsi="Arial" w:cs="Arial"/>
          <w:b/>
          <w:sz w:val="22"/>
          <w:szCs w:val="22"/>
        </w:rPr>
        <w:t>Předmětem návrhu jsou:</w:t>
      </w:r>
    </w:p>
    <w:p w14:paraId="37113847"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Cyklistická trasa vedená po pravém břehu řeky Labe ve směru od Těchlovic do Děčína. Je součástí mezinárodní trasy č. 2, vedené a projekčně připravené resp. zčásti již realizované v úseku od Litoměřic přes Ústí nad Labem do Děčína s vazbou na sousední SRN-</w:t>
      </w:r>
    </w:p>
    <w:p w14:paraId="2AA8DFAD"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Cyklistická trasa vedená od Tyršova mostu podél Labe (levý břeh) na Dolní žleb s vazbou na hranici SRN s přechodem.</w:t>
      </w:r>
    </w:p>
    <w:p w14:paraId="2B99A832"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Cyklistická trasa vedená údolím Jílovského potoka od nábřeží po Ovčí lávku, je součástí komplexní přestavby celého prostoru.</w:t>
      </w:r>
    </w:p>
    <w:p w14:paraId="40D6506B"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Cyklistická trasa směřující z Podmokel přes Horní Oldřichov do Jílového. Je vedena po stávajících místních komunikacích a nezpevněných cestách.</w:t>
      </w:r>
    </w:p>
    <w:p w14:paraId="78D7F2EF"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Cyklistická trasa vedená po levém břehu Labe od přívozu po Tyršův most a s vazbou na hlavní trasu vedenou k přechodu se SRN.</w:t>
      </w:r>
    </w:p>
    <w:p w14:paraId="0F8FA168"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noProof/>
          <w:sz w:val="22"/>
          <w:szCs w:val="22"/>
          <w:lang w:eastAsia="cs-CZ"/>
        </w:rPr>
        <w:drawing>
          <wp:anchor distT="0" distB="0" distL="114300" distR="114300" simplePos="0" relativeHeight="251719680" behindDoc="0" locked="0" layoutInCell="1" allowOverlap="0" wp14:anchorId="6D6DFEF4" wp14:editId="2FDAC3AA">
            <wp:simplePos x="0" y="0"/>
            <wp:positionH relativeFrom="page">
              <wp:posOffset>685800</wp:posOffset>
            </wp:positionH>
            <wp:positionV relativeFrom="page">
              <wp:posOffset>8451215</wp:posOffset>
            </wp:positionV>
            <wp:extent cx="18415" cy="21590"/>
            <wp:effectExtent l="0" t="0" r="0" b="0"/>
            <wp:wrapSquare wrapText="bothSides"/>
            <wp:docPr id="34956" name="Obrázek 34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5"/>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18415" cy="21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20704" behindDoc="0" locked="0" layoutInCell="1" allowOverlap="0" wp14:anchorId="76910F52" wp14:editId="3605B054">
            <wp:simplePos x="0" y="0"/>
            <wp:positionH relativeFrom="page">
              <wp:posOffset>5010785</wp:posOffset>
            </wp:positionH>
            <wp:positionV relativeFrom="page">
              <wp:posOffset>426720</wp:posOffset>
            </wp:positionV>
            <wp:extent cx="3175" cy="3175"/>
            <wp:effectExtent l="0" t="0" r="0" b="0"/>
            <wp:wrapSquare wrapText="bothSides"/>
            <wp:docPr id="34955" name="Obrázek 34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5"/>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szCs w:val="22"/>
        </w:rPr>
        <w:t>Cyklistická trasa vedená podél Ploučnice ve směru na Benešov.</w:t>
      </w:r>
    </w:p>
    <w:p w14:paraId="142FB986"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Cyklistická trasa vedená po pravém břehu řeky Labe ve směru od Těchlovic do Děčína, dále od Tyršova mostu podél Labe (levý břeh) na Dolní žleb s vazbou na hranici SRN s přechodem ( HI - 17 400 m).</w:t>
      </w:r>
    </w:p>
    <w:p w14:paraId="05ECF9A3"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Cyklistická trasa vedená podél Ploučnice ve směru na Benešov (H3 - 6400 m).</w:t>
      </w:r>
    </w:p>
    <w:p w14:paraId="6F319F47"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Cyklistická trasa vedená údolím Jílovského potoka z Podmokel přes Homí Oldřichov do Jílového (H2 - 7300 m).</w:t>
      </w:r>
    </w:p>
    <w:p w14:paraId="5DB8686B" w14:textId="77777777" w:rsidR="006031D6" w:rsidRPr="00632B33" w:rsidRDefault="006031D6" w:rsidP="006031D6">
      <w:pPr>
        <w:spacing w:before="120" w:line="288" w:lineRule="auto"/>
        <w:ind w:left="108"/>
        <w:rPr>
          <w:rFonts w:ascii="Arial" w:hAnsi="Arial" w:cs="Arial"/>
          <w:b/>
        </w:rPr>
      </w:pPr>
      <w:r w:rsidRPr="00632B33">
        <w:rPr>
          <w:rFonts w:ascii="Arial" w:hAnsi="Arial" w:cs="Arial"/>
          <w:b/>
        </w:rPr>
        <w:lastRenderedPageBreak/>
        <w:t>LETECKÁ DOPRAVA</w:t>
      </w:r>
    </w:p>
    <w:p w14:paraId="068AB40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Město Děčín nemá letiště. V současné době je k dispozici pouze heliport umístěný u nemocnice. V návrhu územního plánu uvádíme jako další možnost využití pro heliport plochu u Labského nábřeží nebo pro případ nouze kterékoliv hřiště v Podmoklech.</w:t>
      </w:r>
    </w:p>
    <w:p w14:paraId="122849C1" w14:textId="77777777" w:rsidR="006031D6" w:rsidRPr="00626473" w:rsidRDefault="006031D6" w:rsidP="006031D6">
      <w:pPr>
        <w:spacing w:before="120" w:line="288" w:lineRule="auto"/>
        <w:ind w:left="86" w:right="28" w:firstLine="709"/>
        <w:rPr>
          <w:rFonts w:ascii="Arial" w:hAnsi="Arial" w:cs="Arial"/>
        </w:rPr>
      </w:pPr>
    </w:p>
    <w:p w14:paraId="2EA23E37" w14:textId="77777777" w:rsidR="006031D6" w:rsidRPr="00626473" w:rsidRDefault="006031D6" w:rsidP="006031D6">
      <w:pPr>
        <w:pStyle w:val="Nadpis1"/>
        <w:jc w:val="both"/>
        <w:rPr>
          <w:rFonts w:ascii="Arial" w:hAnsi="Arial" w:cs="Arial"/>
          <w:b/>
        </w:rPr>
      </w:pPr>
      <w:r w:rsidRPr="00626473">
        <w:rPr>
          <w:rFonts w:ascii="Arial" w:hAnsi="Arial" w:cs="Arial"/>
          <w:b/>
        </w:rPr>
        <w:t>F4. HROMADNÁ DOPRAVA</w:t>
      </w:r>
    </w:p>
    <w:p w14:paraId="21399A4D"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V Děčíně a v jeho řešeném prostoru je hromadná doprava osob zajištována autobusovou a železniční dopravou.</w:t>
      </w:r>
    </w:p>
    <w:p w14:paraId="39E1390A"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Městskou hromadnou dopravu provozuje Dopravní podnik města Děčína a.s., nosným systémem je a zůstane i do výhledu doprava autobusová. Rozhodující zdroje a cíle jsou v obou centrech města. Z periferních oblastí města hromadná doprava obsluhuje Maxičky, Jalůvčí, Bělou, H. Oldřichov, Letnou, Kr. Studenec, Chrochvice, Vilsnici, V. Veleň, Březiny, Folknáře, Javory a Podskalí. V rámci integrované příměstské dopravy jsou rovněž obsluhovány sídla Libouchec, Jílové a Sněžník přes Jalůvčí.</w:t>
      </w:r>
    </w:p>
    <w:p w14:paraId="10560FE6"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Objekty dopravního podniku jsou situovány v Dělnické ulici.</w:t>
      </w:r>
    </w:p>
    <w:p w14:paraId="50ACA72C" w14:textId="77777777" w:rsidR="006031D6" w:rsidRPr="00626473" w:rsidRDefault="006031D6" w:rsidP="006031D6">
      <w:pPr>
        <w:spacing w:after="149"/>
        <w:ind w:left="72" w:hanging="10"/>
        <w:rPr>
          <w:rFonts w:ascii="Arial" w:hAnsi="Arial" w:cs="Arial"/>
          <w:b/>
        </w:rPr>
      </w:pPr>
    </w:p>
    <w:p w14:paraId="0A961ACE" w14:textId="77777777" w:rsidR="006031D6" w:rsidRPr="00626473" w:rsidRDefault="006031D6" w:rsidP="006031D6">
      <w:pPr>
        <w:spacing w:after="149"/>
        <w:ind w:left="72" w:hanging="10"/>
        <w:rPr>
          <w:rFonts w:ascii="Arial" w:hAnsi="Arial" w:cs="Arial"/>
          <w:b/>
        </w:rPr>
      </w:pPr>
    </w:p>
    <w:p w14:paraId="3B8EFFD1" w14:textId="77777777" w:rsidR="006031D6" w:rsidRPr="00626473" w:rsidRDefault="006031D6" w:rsidP="006031D6">
      <w:pPr>
        <w:keepNext/>
        <w:spacing w:before="120" w:line="288" w:lineRule="auto"/>
        <w:ind w:left="85" w:right="28" w:firstLine="709"/>
        <w:rPr>
          <w:rFonts w:ascii="Arial" w:hAnsi="Arial" w:cs="Arial"/>
          <w:b/>
        </w:rPr>
      </w:pPr>
      <w:r w:rsidRPr="00892132">
        <w:rPr>
          <w:rFonts w:ascii="Arial" w:hAnsi="Arial" w:cs="Arial"/>
          <w:b/>
        </w:rPr>
        <w:t>Předmětem návrhu je:</w:t>
      </w:r>
    </w:p>
    <w:p w14:paraId="77F8CA7E" w14:textId="77777777" w:rsidR="006031D6" w:rsidRPr="006031D6" w:rsidRDefault="006031D6" w:rsidP="006031D6">
      <w:pPr>
        <w:numPr>
          <w:ilvl w:val="0"/>
          <w:numId w:val="40"/>
        </w:numPr>
        <w:suppressAutoHyphens w:val="0"/>
        <w:spacing w:before="120" w:line="288" w:lineRule="auto"/>
        <w:ind w:left="636" w:hanging="301"/>
        <w:jc w:val="both"/>
        <w:rPr>
          <w:rFonts w:ascii="Arial" w:hAnsi="Arial" w:cs="Arial"/>
          <w:sz w:val="22"/>
          <w:szCs w:val="22"/>
        </w:rPr>
      </w:pPr>
      <w:r w:rsidRPr="006031D6">
        <w:rPr>
          <w:rFonts w:ascii="Arial" w:hAnsi="Arial" w:cs="Arial"/>
          <w:sz w:val="22"/>
          <w:szCs w:val="22"/>
        </w:rPr>
        <w:t>zřízení linek integrované příměstské dopravy do lokalit Ludvíkovice, Kámen</w:t>
      </w:r>
      <w:r w:rsidRPr="00892132">
        <w:rPr>
          <w:rFonts w:ascii="Arial" w:hAnsi="Arial" w:cs="Arial"/>
        </w:rPr>
        <w:t xml:space="preserve">, </w:t>
      </w:r>
      <w:r w:rsidRPr="006031D6">
        <w:rPr>
          <w:rFonts w:ascii="Arial" w:hAnsi="Arial" w:cs="Arial"/>
          <w:sz w:val="22"/>
          <w:szCs w:val="22"/>
        </w:rPr>
        <w:t>Bynovec, Arnoltice, Labská stráň, Růžová, Janov a Těchlovice. Výhledově lze uvažovat s obsluhou Hřenska a české Kamenice.</w:t>
      </w:r>
    </w:p>
    <w:p w14:paraId="1E7D2E40" w14:textId="77777777" w:rsidR="006031D6" w:rsidRPr="006031D6" w:rsidRDefault="006031D6" w:rsidP="006031D6">
      <w:pPr>
        <w:numPr>
          <w:ilvl w:val="0"/>
          <w:numId w:val="40"/>
        </w:numPr>
        <w:suppressAutoHyphens w:val="0"/>
        <w:spacing w:before="120" w:line="288" w:lineRule="auto"/>
        <w:ind w:left="636" w:hanging="301"/>
        <w:jc w:val="both"/>
        <w:rPr>
          <w:rFonts w:ascii="Arial" w:hAnsi="Arial" w:cs="Arial"/>
          <w:sz w:val="22"/>
          <w:szCs w:val="22"/>
        </w:rPr>
      </w:pPr>
      <w:r w:rsidRPr="006031D6">
        <w:rPr>
          <w:rFonts w:ascii="Arial" w:hAnsi="Arial" w:cs="Arial"/>
          <w:sz w:val="22"/>
          <w:szCs w:val="22"/>
        </w:rPr>
        <w:t>zřízení nové linky vedené Vilsnickou ulicí.</w:t>
      </w:r>
    </w:p>
    <w:p w14:paraId="43640512" w14:textId="77777777" w:rsidR="006031D6" w:rsidRPr="006031D6" w:rsidRDefault="006031D6" w:rsidP="006031D6">
      <w:pPr>
        <w:numPr>
          <w:ilvl w:val="0"/>
          <w:numId w:val="40"/>
        </w:numPr>
        <w:suppressAutoHyphens w:val="0"/>
        <w:spacing w:before="120" w:line="288" w:lineRule="auto"/>
        <w:ind w:left="636" w:hanging="301"/>
        <w:jc w:val="both"/>
        <w:rPr>
          <w:rFonts w:ascii="Arial" w:hAnsi="Arial" w:cs="Arial"/>
          <w:sz w:val="22"/>
          <w:szCs w:val="22"/>
        </w:rPr>
      </w:pPr>
      <w:r w:rsidRPr="006031D6">
        <w:rPr>
          <w:rFonts w:ascii="Arial" w:hAnsi="Arial" w:cs="Arial"/>
          <w:sz w:val="22"/>
          <w:szCs w:val="22"/>
        </w:rPr>
        <w:t>zřízení otočky ve Slovanské ulici na Letné, v Želenicích v ul. U Tvrze a v Jakubech.</w:t>
      </w:r>
    </w:p>
    <w:p w14:paraId="6F2369BD" w14:textId="77777777" w:rsidR="006031D6" w:rsidRPr="006031D6" w:rsidRDefault="006031D6" w:rsidP="006031D6">
      <w:pPr>
        <w:numPr>
          <w:ilvl w:val="0"/>
          <w:numId w:val="40"/>
        </w:numPr>
        <w:suppressAutoHyphens w:val="0"/>
        <w:spacing w:before="120" w:line="288" w:lineRule="auto"/>
        <w:ind w:left="636" w:hanging="301"/>
        <w:jc w:val="both"/>
        <w:rPr>
          <w:rFonts w:ascii="Arial" w:hAnsi="Arial" w:cs="Arial"/>
          <w:sz w:val="22"/>
          <w:szCs w:val="22"/>
        </w:rPr>
      </w:pPr>
      <w:r w:rsidRPr="006031D6">
        <w:rPr>
          <w:rFonts w:ascii="Arial" w:hAnsi="Arial" w:cs="Arial"/>
          <w:sz w:val="22"/>
          <w:szCs w:val="22"/>
        </w:rPr>
        <w:t>zřízení nové linky vedené Rudolfovou ulicí a Na Vyhlídce v Bynově s výstavbou otočky.</w:t>
      </w:r>
    </w:p>
    <w:p w14:paraId="3C9C6E92"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ČSAD a.s. BUS Ústí n. Labem obsluhuje obce a sídla na území okresu- Autobusová doprava je vedena po státních silnicích a vzájemně propojuje sídelní lokality v celém zájmovém území. Děčínem jsou vedeny některé tranzitní a dálkové spoje regionálního charakteru. Současná poloha autobusového nádraží v Hankově ulici není pro město vhodná a vyžaduje náhradní řešení.</w:t>
      </w:r>
    </w:p>
    <w:p w14:paraId="584ABB1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Navrhuje se přemístění autobusového nádraží a vznik nového terminálu hromadné dopravy mimo Hankovu ulici do prostoru za poštu. Při výběru lokality byly zohledněny některé urbanistické aspekty, které jsou příznivé pro výběr této lokality a terminál začleňují do zóny vybavenosti s výrazným zdrojem a cílem pěších. Vjezd je navržen z nové komunikace, která je napojena na Hankovu ulici. Přístupová MK je současně určena pro obsluhu obch. střediska v prostoru dnešních uhelných skladů. Přístup do Poštovní ulice je z Podmokelské uzavřen.</w:t>
      </w:r>
    </w:p>
    <w:p w14:paraId="45F767D2"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Pro nové řešení se předpokládá sdružení některých funkcí dopravy ČSAD a MHD. Prostorové poměry neumožňují návrh kapacitnějších odstavných a manipulačních ploch. Pro případ nutnosti zřídit další nezbytná vyčkávací stání pro autobusy, kterým se nevyplatí </w:t>
      </w:r>
      <w:r w:rsidRPr="006031D6">
        <w:rPr>
          <w:rFonts w:ascii="Arial" w:hAnsi="Arial" w:cs="Arial"/>
          <w:sz w:val="22"/>
          <w:szCs w:val="22"/>
        </w:rPr>
        <w:lastRenderedPageBreak/>
        <w:t>zajíždět do vozovny (otázka časových ztrát, spotřeby paliva, zvýšení úrovně exhalací), je v územním ptánu navržena vyčkávací plocha na pozemku ČD naproti uhelným skladům.</w:t>
      </w:r>
    </w:p>
    <w:p w14:paraId="3F56CBAA"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noProof/>
          <w:sz w:val="22"/>
          <w:szCs w:val="22"/>
          <w:lang w:eastAsia="cs-CZ"/>
        </w:rPr>
        <w:drawing>
          <wp:anchor distT="0" distB="0" distL="114300" distR="114300" simplePos="0" relativeHeight="251721728" behindDoc="0" locked="0" layoutInCell="1" allowOverlap="0" wp14:anchorId="134A63F4" wp14:editId="27E94E86">
            <wp:simplePos x="0" y="0"/>
            <wp:positionH relativeFrom="page">
              <wp:posOffset>133985</wp:posOffset>
            </wp:positionH>
            <wp:positionV relativeFrom="page">
              <wp:posOffset>4250055</wp:posOffset>
            </wp:positionV>
            <wp:extent cx="6350" cy="6350"/>
            <wp:effectExtent l="0" t="0" r="0" b="0"/>
            <wp:wrapSquare wrapText="bothSides"/>
            <wp:docPr id="34954" name="Obrázek 34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2"/>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22752" behindDoc="0" locked="0" layoutInCell="1" allowOverlap="0" wp14:anchorId="3C763E13" wp14:editId="1F383F1D">
            <wp:simplePos x="0" y="0"/>
            <wp:positionH relativeFrom="page">
              <wp:posOffset>140335</wp:posOffset>
            </wp:positionH>
            <wp:positionV relativeFrom="page">
              <wp:posOffset>2731770</wp:posOffset>
            </wp:positionV>
            <wp:extent cx="24130" cy="12065"/>
            <wp:effectExtent l="0" t="0" r="0" b="0"/>
            <wp:wrapSquare wrapText="bothSides"/>
            <wp:docPr id="34953" name="Obrázek 34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6"/>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24130" cy="12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23776" behindDoc="0" locked="0" layoutInCell="1" allowOverlap="0" wp14:anchorId="4BD9F7B4" wp14:editId="040088C4">
            <wp:simplePos x="0" y="0"/>
            <wp:positionH relativeFrom="page">
              <wp:posOffset>133985</wp:posOffset>
            </wp:positionH>
            <wp:positionV relativeFrom="page">
              <wp:posOffset>3750310</wp:posOffset>
            </wp:positionV>
            <wp:extent cx="12065" cy="6350"/>
            <wp:effectExtent l="0" t="0" r="0" b="0"/>
            <wp:wrapSquare wrapText="bothSides"/>
            <wp:docPr id="34952" name="Obrázek 34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1"/>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12065" cy="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24800" behindDoc="0" locked="0" layoutInCell="1" allowOverlap="0" wp14:anchorId="238B688C" wp14:editId="3636962E">
            <wp:simplePos x="0" y="0"/>
            <wp:positionH relativeFrom="page">
              <wp:posOffset>121920</wp:posOffset>
            </wp:positionH>
            <wp:positionV relativeFrom="page">
              <wp:posOffset>4530725</wp:posOffset>
            </wp:positionV>
            <wp:extent cx="6350" cy="6350"/>
            <wp:effectExtent l="0" t="0" r="0" b="0"/>
            <wp:wrapSquare wrapText="bothSides"/>
            <wp:docPr id="34951" name="Obrázek 34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3"/>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25824" behindDoc="0" locked="0" layoutInCell="1" allowOverlap="0" wp14:anchorId="672C3BF3" wp14:editId="2704BFEE">
            <wp:simplePos x="0" y="0"/>
            <wp:positionH relativeFrom="page">
              <wp:posOffset>140335</wp:posOffset>
            </wp:positionH>
            <wp:positionV relativeFrom="page">
              <wp:posOffset>4530725</wp:posOffset>
            </wp:positionV>
            <wp:extent cx="6350" cy="6350"/>
            <wp:effectExtent l="0" t="0" r="0" b="0"/>
            <wp:wrapSquare wrapText="bothSides"/>
            <wp:docPr id="34950" name="Obrázek 34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4"/>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26848" behindDoc="0" locked="0" layoutInCell="1" allowOverlap="0" wp14:anchorId="7C43E174" wp14:editId="532D10BB">
            <wp:simplePos x="0" y="0"/>
            <wp:positionH relativeFrom="page">
              <wp:posOffset>158750</wp:posOffset>
            </wp:positionH>
            <wp:positionV relativeFrom="page">
              <wp:posOffset>5268595</wp:posOffset>
            </wp:positionV>
            <wp:extent cx="6350" cy="12065"/>
            <wp:effectExtent l="0" t="0" r="0" b="0"/>
            <wp:wrapSquare wrapText="bothSides"/>
            <wp:docPr id="34949" name="Obrázek 34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5"/>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6350" cy="12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noProof/>
          <w:sz w:val="22"/>
          <w:szCs w:val="22"/>
          <w:lang w:eastAsia="cs-CZ"/>
        </w:rPr>
        <w:drawing>
          <wp:anchor distT="0" distB="0" distL="114300" distR="114300" simplePos="0" relativeHeight="251727872" behindDoc="0" locked="0" layoutInCell="1" allowOverlap="0" wp14:anchorId="02E7BDDD" wp14:editId="0F6B784B">
            <wp:simplePos x="0" y="0"/>
            <wp:positionH relativeFrom="page">
              <wp:posOffset>164465</wp:posOffset>
            </wp:positionH>
            <wp:positionV relativeFrom="page">
              <wp:posOffset>5287010</wp:posOffset>
            </wp:positionV>
            <wp:extent cx="6350" cy="30480"/>
            <wp:effectExtent l="0" t="0" r="0" b="0"/>
            <wp:wrapSquare wrapText="bothSides"/>
            <wp:docPr id="34948" name="Obrázek 34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6"/>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6350" cy="30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31D6">
        <w:rPr>
          <w:rFonts w:ascii="Arial" w:hAnsi="Arial" w:cs="Arial"/>
          <w:sz w:val="22"/>
          <w:szCs w:val="22"/>
        </w:rPr>
        <w:t>Dráhy ČD využívají obyvatelé města na obou březích města. Ze stanice Děčín - hl. nádraží převažují vztahy na Ústí nad Labem, z Děčína - východu ve směru na Benešov a Českou Lípu. Trať ve směru na Jílové je poměrně málo vytížena, má však nezastupitelnou roli doplňkového systému k autobusové obsluze. Hlavním dopravním prostředkem do prostoru Dolního Žlebu je i nadále železnice.</w:t>
      </w:r>
    </w:p>
    <w:p w14:paraId="7FD0139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Po přestavbě železničního uzlu Děčín a zvýšení výkonnosti trati Praha - Drážďany dojde v oblasti osobní dopravy k výraznému zlepšení kultury cestování.</w:t>
      </w:r>
    </w:p>
    <w:p w14:paraId="6C8BA792" w14:textId="77777777" w:rsidR="006031D6" w:rsidRPr="00731A94" w:rsidRDefault="006031D6" w:rsidP="006031D6">
      <w:pPr>
        <w:spacing w:before="120" w:line="288" w:lineRule="auto"/>
        <w:ind w:left="86" w:right="28" w:firstLine="709"/>
        <w:rPr>
          <w:rFonts w:ascii="Arial" w:hAnsi="Arial" w:cs="Arial"/>
        </w:rPr>
      </w:pPr>
    </w:p>
    <w:p w14:paraId="44A87CA8" w14:textId="77777777" w:rsidR="006031D6" w:rsidRPr="00626473" w:rsidRDefault="006031D6" w:rsidP="006031D6">
      <w:pPr>
        <w:pStyle w:val="Nadpis1"/>
        <w:jc w:val="both"/>
        <w:rPr>
          <w:rFonts w:ascii="Arial" w:hAnsi="Arial" w:cs="Arial"/>
          <w:b/>
        </w:rPr>
      </w:pPr>
      <w:r w:rsidRPr="00626473">
        <w:rPr>
          <w:rFonts w:ascii="Arial" w:hAnsi="Arial" w:cs="Arial"/>
          <w:b/>
        </w:rPr>
        <w:t>F.5. DOPRAVNÍ VYBAVENOST</w:t>
      </w:r>
    </w:p>
    <w:p w14:paraId="0EC3132C"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Do objektů a zařízení dopravní vybavenosti se řadí opravárenské provozovny a objekty poskytující služby motoristům. Jedná se jak o větší, tak i o drobné privátní firmy. Jejich rozvoj popř. vznik nových drobných služeb je podmíněn poptávkou. Jejich vznik je možný na územních rezervách, které jsou určeny územním plánem pro drobnou podnikatelskou činnost.</w:t>
      </w:r>
    </w:p>
    <w:p w14:paraId="6CC3462A"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Autoservisy a objekty sloužící motoristům jsou rozptýleny v okrajových částech sídla a v městské zástavbě.</w:t>
      </w:r>
    </w:p>
    <w:p w14:paraId="1A67A887" w14:textId="77777777" w:rsidR="006031D6" w:rsidRPr="006031D6" w:rsidRDefault="006031D6" w:rsidP="006031D6">
      <w:pPr>
        <w:keepNext/>
        <w:spacing w:before="120" w:line="288" w:lineRule="auto"/>
        <w:ind w:left="85" w:right="28" w:firstLine="709"/>
        <w:jc w:val="both"/>
        <w:rPr>
          <w:rFonts w:ascii="Arial" w:hAnsi="Arial" w:cs="Arial"/>
          <w:b/>
          <w:sz w:val="22"/>
          <w:szCs w:val="22"/>
        </w:rPr>
      </w:pPr>
      <w:r w:rsidRPr="006031D6">
        <w:rPr>
          <w:rFonts w:ascii="Arial" w:hAnsi="Arial" w:cs="Arial"/>
          <w:b/>
          <w:sz w:val="22"/>
          <w:szCs w:val="22"/>
        </w:rPr>
        <w:t>Čerpací stanice pohonných hmot jsou lokalizovány v místech:</w:t>
      </w:r>
    </w:p>
    <w:p w14:paraId="15B912D8"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v prostoru MÚK levého předmostí;</w:t>
      </w:r>
    </w:p>
    <w:p w14:paraId="7814AD1A"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na Benešovské ulici - na Teplické ul. v Bynově - v Boleticích n. L.;</w:t>
      </w:r>
    </w:p>
    <w:p w14:paraId="4C41A6F8"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v Loubí;</w:t>
      </w:r>
    </w:p>
    <w:p w14:paraId="0DAF60EC"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na Kamenické;</w:t>
      </w:r>
    </w:p>
    <w:p w14:paraId="1C25F5A2"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na Teplické;</w:t>
      </w:r>
    </w:p>
    <w:p w14:paraId="774D0EA8" w14:textId="77777777" w:rsidR="006031D6" w:rsidRPr="006031D6" w:rsidRDefault="006031D6" w:rsidP="006031D6">
      <w:pPr>
        <w:numPr>
          <w:ilvl w:val="0"/>
          <w:numId w:val="50"/>
        </w:numPr>
        <w:suppressAutoHyphens w:val="0"/>
        <w:spacing w:before="120" w:line="288" w:lineRule="auto"/>
        <w:jc w:val="both"/>
        <w:rPr>
          <w:rFonts w:ascii="Arial" w:hAnsi="Arial" w:cs="Arial"/>
          <w:sz w:val="22"/>
          <w:szCs w:val="22"/>
        </w:rPr>
      </w:pPr>
      <w:r w:rsidRPr="006031D6">
        <w:rPr>
          <w:rFonts w:ascii="Arial" w:hAnsi="Arial" w:cs="Arial"/>
          <w:sz w:val="22"/>
          <w:szCs w:val="22"/>
        </w:rPr>
        <w:t>v oku MÚK na Litoměřické ulici v rámci integrovaného záchranného systému.</w:t>
      </w:r>
    </w:p>
    <w:p w14:paraId="623835D2" w14:textId="77777777" w:rsidR="006031D6" w:rsidRPr="00626473" w:rsidRDefault="006031D6" w:rsidP="006031D6">
      <w:pPr>
        <w:spacing w:before="120" w:line="288" w:lineRule="auto"/>
        <w:rPr>
          <w:rFonts w:ascii="Arial" w:hAnsi="Arial" w:cs="Arial"/>
        </w:rPr>
      </w:pPr>
    </w:p>
    <w:p w14:paraId="21759D9F" w14:textId="77777777" w:rsidR="006031D6" w:rsidRPr="00626473" w:rsidRDefault="006031D6" w:rsidP="006031D6">
      <w:pPr>
        <w:pStyle w:val="Nadpis1"/>
        <w:jc w:val="both"/>
        <w:rPr>
          <w:rFonts w:ascii="Arial" w:hAnsi="Arial" w:cs="Arial"/>
          <w:b/>
        </w:rPr>
      </w:pPr>
      <w:r>
        <w:rPr>
          <w:rFonts w:ascii="Arial" w:hAnsi="Arial" w:cs="Arial"/>
          <w:b/>
        </w:rPr>
        <w:t>F</w:t>
      </w:r>
      <w:r w:rsidRPr="00626473">
        <w:rPr>
          <w:rFonts w:ascii="Arial" w:hAnsi="Arial" w:cs="Arial"/>
          <w:b/>
        </w:rPr>
        <w:t>6. KLIDOVÁ DOPRAVA</w:t>
      </w:r>
    </w:p>
    <w:p w14:paraId="382C988E"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Plošné a kapacitní nároky na klidovou dopravu jsou jedním z hlavních faktorů v dopravní části územního plánu. Návrh parkovacích a odstavných ploch ve větších městech je spojen vždy se značnými problémy. Nedostatek vhodných kapacit pro dopravu v klidu je patrný zejména v centrálních zónách městského intravilánu a dále pak v historických částech sídla, kde se s vyloučením individuální dopravy nedá zcela počítat.</w:t>
      </w:r>
    </w:p>
    <w:p w14:paraId="21E5577B"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 xml:space="preserve">Zdánlivě příznivější je situace v urbanistických obvodech, kde převažuje bytová výstavba v panelových domech. Zde jsou odstavná a parkovací stání zčásti již realizována. Přesto však průzkumy prokázaly, že pro konečný výhledový stupeň automobilizace vzniká značný deficit, který je třeba po etapách v závislosti na růstu stupně automobilizace vyloučit. </w:t>
      </w:r>
      <w:r w:rsidRPr="006031D6">
        <w:rPr>
          <w:rFonts w:ascii="Arial" w:hAnsi="Arial" w:cs="Arial"/>
          <w:sz w:val="22"/>
          <w:szCs w:val="22"/>
        </w:rPr>
        <w:lastRenderedPageBreak/>
        <w:t>Všeobecnou snahou je minimalizovat zábory ploch městské zeleně a tak jako optimální řešení se nabízí výstavba objektů hromadných garáží a podzemních parkovišť, které jsou z hlediska záboru cenných ploch v intravilánu výhodné. Návrh objektů představuje nabídku, která zabezpečuje potřebu odstavných a parkovacích stání pro návrhový stupeň automobilizace 1 :3,5.</w:t>
      </w:r>
    </w:p>
    <w:p w14:paraId="7659BFA1"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Bezkolizní je situace v oblastech zástavby rodinných domků. Zde se předpokládá umístění vozidel individuální automobilové dopravy v garážích a na odstavných plochách na vlastních pozemcích.</w:t>
      </w:r>
    </w:p>
    <w:p w14:paraId="6C197B4C"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Celkové nároky na odstavná a parkovací stání včetně deficitů jsou uvedeny v tabulkové části dokumentace. Nedílnou součástí tabulek je komentář, ve kterém jsou zdůvodněny úvahy o přerozdělení stávajících i navrhovaných kapacitách klidové dopravy po urbanistických sektorech popř. po urbanistických obvodech.</w:t>
      </w:r>
    </w:p>
    <w:p w14:paraId="289BFD89" w14:textId="77777777" w:rsidR="006031D6" w:rsidRPr="006031D6" w:rsidRDefault="006031D6" w:rsidP="006031D6">
      <w:pPr>
        <w:spacing w:before="120" w:line="288" w:lineRule="auto"/>
        <w:ind w:left="86" w:right="28" w:firstLine="709"/>
        <w:jc w:val="both"/>
        <w:rPr>
          <w:rFonts w:ascii="Arial" w:hAnsi="Arial" w:cs="Arial"/>
          <w:sz w:val="22"/>
          <w:szCs w:val="22"/>
        </w:rPr>
      </w:pPr>
      <w:r w:rsidRPr="006031D6">
        <w:rPr>
          <w:rFonts w:ascii="Arial" w:hAnsi="Arial" w:cs="Arial"/>
          <w:sz w:val="22"/>
          <w:szCs w:val="22"/>
        </w:rPr>
        <w:t>Bilance potřeb klidové dopravy byly stanoveny podle ČSN 73 6110.</w:t>
      </w:r>
    </w:p>
    <w:p w14:paraId="035A2C0B" w14:textId="77777777" w:rsidR="006031D6" w:rsidRPr="00731A94" w:rsidRDefault="006031D6" w:rsidP="006031D6">
      <w:pPr>
        <w:spacing w:before="120" w:line="288" w:lineRule="auto"/>
        <w:ind w:left="86" w:right="28" w:firstLine="709"/>
        <w:rPr>
          <w:rFonts w:ascii="Arial" w:hAnsi="Arial" w:cs="Arial"/>
        </w:rPr>
      </w:pPr>
    </w:p>
    <w:p w14:paraId="3558491C" w14:textId="77777777" w:rsidR="006031D6" w:rsidRPr="00626473" w:rsidRDefault="006031D6" w:rsidP="006031D6">
      <w:pPr>
        <w:spacing w:line="216" w:lineRule="auto"/>
        <w:ind w:left="754"/>
        <w:rPr>
          <w:rFonts w:ascii="Arial" w:hAnsi="Arial" w:cs="Arial"/>
        </w:rPr>
      </w:pPr>
    </w:p>
    <w:p w14:paraId="16F989F8" w14:textId="77777777" w:rsidR="006031D6" w:rsidRPr="00626473" w:rsidRDefault="006031D6" w:rsidP="006031D6">
      <w:pPr>
        <w:spacing w:after="3364" w:line="216" w:lineRule="auto"/>
        <w:rPr>
          <w:rFonts w:ascii="Arial" w:hAnsi="Arial" w:cs="Arial"/>
        </w:rPr>
      </w:pPr>
      <w:r w:rsidRPr="00626473">
        <w:rPr>
          <w:rFonts w:ascii="Arial" w:hAnsi="Arial" w:cs="Arial"/>
          <w:noProof/>
          <w:lang w:eastAsia="cs-CZ"/>
        </w:rPr>
        <w:drawing>
          <wp:inline distT="0" distB="0" distL="0" distR="0" wp14:anchorId="28F280C9" wp14:editId="7A435796">
            <wp:extent cx="6068060" cy="3099435"/>
            <wp:effectExtent l="0" t="0" r="8890" b="5715"/>
            <wp:docPr id="5154" name="Obrázek 5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6068060" cy="3099435"/>
                    </a:xfrm>
                    <a:prstGeom prst="rect">
                      <a:avLst/>
                    </a:prstGeom>
                    <a:noFill/>
                    <a:ln>
                      <a:noFill/>
                    </a:ln>
                  </pic:spPr>
                </pic:pic>
              </a:graphicData>
            </a:graphic>
          </wp:inline>
        </w:drawing>
      </w:r>
    </w:p>
    <w:p w14:paraId="7E2EBDEA" w14:textId="77777777" w:rsidR="006031D6" w:rsidRPr="00626473" w:rsidRDefault="006031D6" w:rsidP="006031D6">
      <w:pPr>
        <w:spacing w:after="3364" w:line="216" w:lineRule="auto"/>
        <w:rPr>
          <w:rFonts w:ascii="Arial" w:hAnsi="Arial" w:cs="Arial"/>
        </w:rPr>
      </w:pPr>
      <w:r w:rsidRPr="00626473">
        <w:rPr>
          <w:rFonts w:ascii="Arial" w:hAnsi="Arial" w:cs="Arial"/>
          <w:noProof/>
          <w:lang w:eastAsia="cs-CZ"/>
        </w:rPr>
        <w:lastRenderedPageBreak/>
        <w:drawing>
          <wp:inline distT="0" distB="0" distL="0" distR="0" wp14:anchorId="04841B05" wp14:editId="5B0D364D">
            <wp:extent cx="5759450" cy="9060815"/>
            <wp:effectExtent l="0" t="0" r="0" b="6985"/>
            <wp:docPr id="5153" name="Obrázek 5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8"/>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759450" cy="9060815"/>
                    </a:xfrm>
                    <a:prstGeom prst="rect">
                      <a:avLst/>
                    </a:prstGeom>
                    <a:noFill/>
                    <a:ln>
                      <a:noFill/>
                    </a:ln>
                  </pic:spPr>
                </pic:pic>
              </a:graphicData>
            </a:graphic>
          </wp:inline>
        </w:drawing>
      </w:r>
    </w:p>
    <w:p w14:paraId="6238BD81" w14:textId="77777777" w:rsidR="006031D6" w:rsidRPr="00626473" w:rsidRDefault="006031D6" w:rsidP="006031D6">
      <w:pPr>
        <w:spacing w:after="3364" w:line="216" w:lineRule="auto"/>
        <w:rPr>
          <w:rFonts w:ascii="Arial" w:hAnsi="Arial" w:cs="Arial"/>
        </w:rPr>
      </w:pPr>
      <w:r w:rsidRPr="00626473">
        <w:rPr>
          <w:rFonts w:ascii="Arial" w:hAnsi="Arial" w:cs="Arial"/>
          <w:noProof/>
          <w:lang w:eastAsia="cs-CZ"/>
        </w:rPr>
        <w:lastRenderedPageBreak/>
        <w:drawing>
          <wp:inline distT="0" distB="0" distL="0" distR="0" wp14:anchorId="24E91D9D" wp14:editId="1E21CA42">
            <wp:extent cx="5759450" cy="8977630"/>
            <wp:effectExtent l="0" t="0" r="0" b="0"/>
            <wp:docPr id="5152" name="Obrázek 5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759450" cy="8977630"/>
                    </a:xfrm>
                    <a:prstGeom prst="rect">
                      <a:avLst/>
                    </a:prstGeom>
                    <a:noFill/>
                    <a:ln>
                      <a:noFill/>
                    </a:ln>
                  </pic:spPr>
                </pic:pic>
              </a:graphicData>
            </a:graphic>
          </wp:inline>
        </w:drawing>
      </w:r>
    </w:p>
    <w:p w14:paraId="35CAF5AD" w14:textId="77777777" w:rsidR="006031D6" w:rsidRPr="00626473" w:rsidRDefault="006031D6" w:rsidP="006031D6">
      <w:pPr>
        <w:spacing w:after="3364" w:line="216" w:lineRule="auto"/>
        <w:rPr>
          <w:rFonts w:ascii="Arial" w:hAnsi="Arial" w:cs="Arial"/>
        </w:rPr>
      </w:pPr>
      <w:r>
        <w:rPr>
          <w:noProof/>
          <w:lang w:eastAsia="cs-CZ"/>
        </w:rPr>
        <w:lastRenderedPageBreak/>
        <w:drawing>
          <wp:anchor distT="0" distB="0" distL="114300" distR="114300" simplePos="0" relativeHeight="251728896" behindDoc="0" locked="0" layoutInCell="1" allowOverlap="1" wp14:anchorId="1158FEA0" wp14:editId="1E2CFFE4">
            <wp:simplePos x="0" y="0"/>
            <wp:positionH relativeFrom="margin">
              <wp:posOffset>-210185</wp:posOffset>
            </wp:positionH>
            <wp:positionV relativeFrom="margin">
              <wp:posOffset>-383540</wp:posOffset>
            </wp:positionV>
            <wp:extent cx="5758180" cy="9119235"/>
            <wp:effectExtent l="0" t="0" r="0" b="5715"/>
            <wp:wrapSquare wrapText="bothSides"/>
            <wp:docPr id="34947" name="Obrázek 34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0"/>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758180" cy="9119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3FB255" w14:textId="77777777" w:rsidR="006031D6" w:rsidRPr="00626473" w:rsidRDefault="006031D6" w:rsidP="006031D6">
      <w:pPr>
        <w:spacing w:before="36" w:line="276" w:lineRule="auto"/>
        <w:rPr>
          <w:rFonts w:ascii="Arial" w:hAnsi="Arial" w:cs="Arial"/>
          <w:b/>
          <w:color w:val="00B050"/>
          <w:spacing w:val="3"/>
        </w:rPr>
      </w:pPr>
      <w:r w:rsidRPr="00626473">
        <w:rPr>
          <w:rFonts w:ascii="Arial" w:hAnsi="Arial" w:cs="Arial"/>
          <w:b/>
          <w:color w:val="00B050"/>
          <w:spacing w:val="3"/>
        </w:rPr>
        <w:lastRenderedPageBreak/>
        <w:t>(Z1) KONCEPCE DOPRAVY</w:t>
      </w:r>
    </w:p>
    <w:p w14:paraId="14A94178" w14:textId="77777777" w:rsidR="006031D6" w:rsidRPr="00892132" w:rsidRDefault="006031D6" w:rsidP="006031D6">
      <w:pPr>
        <w:tabs>
          <w:tab w:val="decimal" w:pos="567"/>
          <w:tab w:val="right" w:pos="2679"/>
        </w:tabs>
        <w:spacing w:before="120" w:line="288" w:lineRule="auto"/>
        <w:ind w:firstLine="731"/>
        <w:rPr>
          <w:rFonts w:ascii="Arial" w:hAnsi="Arial" w:cs="Arial"/>
          <w:color w:val="00B050"/>
          <w:spacing w:val="3"/>
        </w:rPr>
      </w:pPr>
      <w:r w:rsidRPr="00892132">
        <w:rPr>
          <w:rFonts w:ascii="Arial" w:hAnsi="Arial" w:cs="Arial"/>
          <w:color w:val="00B050"/>
          <w:spacing w:val="3"/>
        </w:rPr>
        <w:t>Návrh dopravního řešení v rámci změny č. 1 ÚPn M Děčína vychází ze zásad, které jsou pokládány v současnosti za koncepčně stabilizované a jsou doplněny o další některé změny.</w:t>
      </w:r>
    </w:p>
    <w:p w14:paraId="3C416339" w14:textId="77777777" w:rsidR="006031D6" w:rsidRPr="00892132" w:rsidRDefault="006031D6" w:rsidP="006031D6">
      <w:pPr>
        <w:tabs>
          <w:tab w:val="decimal" w:pos="567"/>
          <w:tab w:val="right" w:pos="2679"/>
        </w:tabs>
        <w:spacing w:before="120" w:line="288" w:lineRule="auto"/>
        <w:ind w:firstLine="731"/>
        <w:rPr>
          <w:rFonts w:ascii="Arial" w:hAnsi="Arial" w:cs="Arial"/>
          <w:color w:val="00B050"/>
          <w:spacing w:val="3"/>
        </w:rPr>
      </w:pPr>
      <w:r w:rsidRPr="00892132">
        <w:rPr>
          <w:rFonts w:ascii="Arial" w:hAnsi="Arial" w:cs="Arial"/>
          <w:color w:val="00B050"/>
          <w:spacing w:val="3"/>
        </w:rPr>
        <w:t>Jsou to:</w:t>
      </w:r>
    </w:p>
    <w:p w14:paraId="33885840" w14:textId="77777777" w:rsidR="006031D6" w:rsidRPr="00892132" w:rsidRDefault="006031D6" w:rsidP="006031D6">
      <w:pPr>
        <w:pStyle w:val="Odstavecseseznamem"/>
        <w:numPr>
          <w:ilvl w:val="0"/>
          <w:numId w:val="42"/>
        </w:numPr>
        <w:spacing w:before="120" w:after="0" w:line="288" w:lineRule="auto"/>
        <w:ind w:left="0"/>
        <w:jc w:val="both"/>
        <w:rPr>
          <w:rFonts w:ascii="Arial" w:hAnsi="Arial" w:cs="Arial"/>
          <w:color w:val="00B050"/>
          <w:spacing w:val="3"/>
        </w:rPr>
      </w:pPr>
      <w:r w:rsidRPr="00892132">
        <w:rPr>
          <w:rFonts w:ascii="Arial" w:hAnsi="Arial" w:cs="Arial"/>
          <w:color w:val="00B050"/>
          <w:spacing w:val="3"/>
        </w:rPr>
        <w:t>Úpravy stávajících místních komunikací rozšíření profilu MK, umožňující bezkonfliktní provoz ve vazbě na nově vzniklé lokality výstavby.</w:t>
      </w:r>
    </w:p>
    <w:p w14:paraId="10AE613A" w14:textId="77777777" w:rsidR="006031D6" w:rsidRPr="00892132" w:rsidRDefault="006031D6" w:rsidP="006031D6">
      <w:pPr>
        <w:pStyle w:val="Odstavecseseznamem"/>
        <w:numPr>
          <w:ilvl w:val="0"/>
          <w:numId w:val="42"/>
        </w:numPr>
        <w:spacing w:before="120" w:after="0" w:line="288" w:lineRule="auto"/>
        <w:ind w:left="0"/>
        <w:jc w:val="both"/>
        <w:rPr>
          <w:rFonts w:ascii="Arial" w:hAnsi="Arial" w:cs="Arial"/>
          <w:color w:val="00B050"/>
          <w:spacing w:val="3"/>
        </w:rPr>
      </w:pPr>
      <w:r w:rsidRPr="00892132">
        <w:rPr>
          <w:rFonts w:ascii="Arial" w:hAnsi="Arial" w:cs="Arial"/>
          <w:color w:val="00B050"/>
          <w:spacing w:val="3"/>
        </w:rPr>
        <w:t xml:space="preserve">Návrh dopravy v řešeném území města Děčína závisí v rámci změny č. </w:t>
      </w:r>
      <w:r>
        <w:rPr>
          <w:rFonts w:ascii="Arial" w:hAnsi="Arial" w:cs="Arial"/>
          <w:color w:val="00B050"/>
          <w:spacing w:val="3"/>
        </w:rPr>
        <w:t>1</w:t>
      </w:r>
      <w:r w:rsidRPr="00892132">
        <w:rPr>
          <w:rFonts w:ascii="Arial" w:hAnsi="Arial" w:cs="Arial"/>
          <w:color w:val="00B050"/>
          <w:spacing w:val="3"/>
        </w:rPr>
        <w:t xml:space="preserve"> na několika základních faktorech, které jsou považovány v současné době za koncepčně ustálené. Podle současných znalostí o území a vývojových předpokladů lze za stabilní označit následující:</w:t>
      </w:r>
    </w:p>
    <w:p w14:paraId="0CD4969C" w14:textId="77777777" w:rsidR="006031D6" w:rsidRPr="00892132" w:rsidRDefault="006031D6" w:rsidP="006031D6">
      <w:pPr>
        <w:spacing w:before="120" w:line="288" w:lineRule="auto"/>
        <w:rPr>
          <w:rFonts w:ascii="Arial" w:hAnsi="Arial" w:cs="Arial"/>
          <w:color w:val="00B050"/>
          <w:spacing w:val="3"/>
        </w:rPr>
      </w:pPr>
      <w:r w:rsidRPr="00892132">
        <w:rPr>
          <w:rFonts w:ascii="Arial" w:hAnsi="Arial" w:cs="Arial"/>
          <w:color w:val="00B050"/>
          <w:spacing w:val="3"/>
        </w:rPr>
        <w:t>Návrh dopravního řešení vychází z podkladů a požadavků zástupců města. Vlastní návrh dopravního řešení tyto aspekty zohledňuje a veškeré požadavky na optimální rozvoj území uplatňuje.</w:t>
      </w:r>
    </w:p>
    <w:p w14:paraId="52A29C69" w14:textId="77777777" w:rsidR="006031D6" w:rsidRPr="00892132" w:rsidRDefault="006031D6" w:rsidP="006031D6">
      <w:pPr>
        <w:tabs>
          <w:tab w:val="decimal" w:pos="72"/>
          <w:tab w:val="decimal" w:pos="144"/>
          <w:tab w:val="right" w:pos="2679"/>
        </w:tabs>
        <w:spacing w:before="120" w:line="288" w:lineRule="auto"/>
        <w:rPr>
          <w:rFonts w:ascii="Arial" w:hAnsi="Arial" w:cs="Arial"/>
          <w:b/>
          <w:color w:val="00B050"/>
          <w:spacing w:val="3"/>
        </w:rPr>
      </w:pPr>
    </w:p>
    <w:p w14:paraId="43575BC2"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SILNIČNÍ SÍŤ</w:t>
      </w:r>
    </w:p>
    <w:p w14:paraId="096805BC" w14:textId="77777777" w:rsidR="006031D6" w:rsidRPr="00892132" w:rsidRDefault="006031D6" w:rsidP="006031D6">
      <w:pPr>
        <w:tabs>
          <w:tab w:val="decimal" w:pos="567"/>
          <w:tab w:val="right" w:pos="2679"/>
        </w:tabs>
        <w:spacing w:before="120" w:line="288" w:lineRule="auto"/>
        <w:ind w:firstLine="731"/>
        <w:rPr>
          <w:rFonts w:ascii="Arial" w:hAnsi="Arial" w:cs="Arial"/>
          <w:color w:val="00B050"/>
          <w:spacing w:val="3"/>
        </w:rPr>
      </w:pPr>
      <w:r w:rsidRPr="00892132">
        <w:rPr>
          <w:rFonts w:ascii="Arial" w:hAnsi="Arial" w:cs="Arial"/>
          <w:color w:val="00B050"/>
          <w:spacing w:val="3"/>
        </w:rPr>
        <w:tab/>
        <w:t>Změna č.</w:t>
      </w:r>
      <w:r>
        <w:rPr>
          <w:rFonts w:ascii="Arial" w:hAnsi="Arial" w:cs="Arial"/>
          <w:color w:val="00B050"/>
          <w:spacing w:val="3"/>
        </w:rPr>
        <w:t xml:space="preserve"> </w:t>
      </w:r>
      <w:r w:rsidRPr="00892132">
        <w:rPr>
          <w:rFonts w:ascii="Arial" w:hAnsi="Arial" w:cs="Arial"/>
          <w:color w:val="00B050"/>
          <w:spacing w:val="3"/>
        </w:rPr>
        <w:t>1 ÚPn M Děčína se silniční sítě netýká.</w:t>
      </w:r>
    </w:p>
    <w:p w14:paraId="76B0B21E" w14:textId="77777777" w:rsidR="006031D6" w:rsidRPr="00892132" w:rsidRDefault="006031D6" w:rsidP="006031D6">
      <w:pPr>
        <w:tabs>
          <w:tab w:val="decimal" w:pos="72"/>
          <w:tab w:val="decimal" w:pos="144"/>
          <w:tab w:val="right" w:pos="2679"/>
        </w:tabs>
        <w:spacing w:before="120" w:line="288" w:lineRule="auto"/>
        <w:rPr>
          <w:rFonts w:ascii="Arial" w:hAnsi="Arial" w:cs="Arial"/>
          <w:b/>
          <w:color w:val="00B050"/>
          <w:spacing w:val="3"/>
        </w:rPr>
      </w:pPr>
    </w:p>
    <w:p w14:paraId="73AE2B45"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SÍŤ MÍSTNÍCH KOMUNIKACÍ</w:t>
      </w:r>
    </w:p>
    <w:p w14:paraId="7BBEF85D" w14:textId="77777777" w:rsidR="006031D6" w:rsidRPr="00892132" w:rsidRDefault="006031D6" w:rsidP="006031D6">
      <w:pPr>
        <w:tabs>
          <w:tab w:val="decimal" w:pos="567"/>
          <w:tab w:val="right" w:pos="2679"/>
        </w:tabs>
        <w:spacing w:before="120" w:line="288" w:lineRule="auto"/>
        <w:ind w:firstLine="731"/>
        <w:rPr>
          <w:rFonts w:ascii="Arial" w:hAnsi="Arial" w:cs="Arial"/>
          <w:color w:val="00B050"/>
          <w:spacing w:val="3"/>
        </w:rPr>
      </w:pPr>
      <w:r w:rsidRPr="00892132">
        <w:rPr>
          <w:rFonts w:ascii="Arial" w:hAnsi="Arial" w:cs="Arial"/>
          <w:color w:val="00B050"/>
          <w:spacing w:val="3"/>
        </w:rPr>
        <w:t>Síť místních komunikací (MK) zahrnuje systém obslužných MK, zpřístupňujících detailně obytné objekty</w:t>
      </w:r>
      <w:r>
        <w:rPr>
          <w:rFonts w:ascii="Arial" w:hAnsi="Arial" w:cs="Arial"/>
          <w:color w:val="00B050"/>
          <w:spacing w:val="3"/>
        </w:rPr>
        <w:t xml:space="preserve"> </w:t>
      </w:r>
      <w:r w:rsidRPr="00892132">
        <w:rPr>
          <w:rFonts w:ascii="Arial" w:hAnsi="Arial" w:cs="Arial"/>
          <w:color w:val="00B050"/>
          <w:spacing w:val="3"/>
        </w:rPr>
        <w:t>(rodinné domy) a objekty provozoven.</w:t>
      </w:r>
    </w:p>
    <w:p w14:paraId="684B0331" w14:textId="77777777" w:rsidR="006031D6" w:rsidRPr="00892132" w:rsidRDefault="006031D6" w:rsidP="006031D6">
      <w:pPr>
        <w:tabs>
          <w:tab w:val="decimal" w:pos="567"/>
          <w:tab w:val="right" w:pos="2679"/>
        </w:tabs>
        <w:spacing w:before="120" w:line="288" w:lineRule="auto"/>
        <w:ind w:firstLine="731"/>
        <w:rPr>
          <w:rFonts w:ascii="Arial" w:hAnsi="Arial" w:cs="Arial"/>
          <w:color w:val="00B050"/>
          <w:spacing w:val="3"/>
        </w:rPr>
      </w:pPr>
      <w:r w:rsidRPr="00892132">
        <w:rPr>
          <w:rFonts w:ascii="Arial" w:hAnsi="Arial" w:cs="Arial"/>
          <w:color w:val="00B050"/>
          <w:spacing w:val="3"/>
        </w:rPr>
        <w:t>Obslužné komunikace mají funkční třídu C3 a zpřístupňují jednotlivé části území a</w:t>
      </w:r>
      <w:r>
        <w:rPr>
          <w:rFonts w:ascii="Arial" w:hAnsi="Arial" w:cs="Arial"/>
          <w:color w:val="00B050"/>
          <w:spacing w:val="3"/>
        </w:rPr>
        <w:t> </w:t>
      </w:r>
      <w:r w:rsidRPr="00892132">
        <w:rPr>
          <w:rFonts w:ascii="Arial" w:hAnsi="Arial" w:cs="Arial"/>
          <w:color w:val="00B050"/>
          <w:spacing w:val="3"/>
        </w:rPr>
        <w:t>konkrétní objekty rodinných domů. Odpovídají základní kategorii MO 7/30.</w:t>
      </w:r>
    </w:p>
    <w:p w14:paraId="20C64EF0" w14:textId="77777777" w:rsidR="006031D6" w:rsidRPr="00892132" w:rsidRDefault="006031D6" w:rsidP="006031D6">
      <w:pPr>
        <w:spacing w:before="120" w:line="288" w:lineRule="auto"/>
        <w:ind w:firstLine="731"/>
        <w:rPr>
          <w:rFonts w:ascii="Arial" w:hAnsi="Arial" w:cs="Arial"/>
          <w:color w:val="00B050"/>
          <w:spacing w:val="3"/>
        </w:rPr>
      </w:pPr>
      <w:r w:rsidRPr="00892132">
        <w:rPr>
          <w:rFonts w:ascii="Arial" w:hAnsi="Arial" w:cs="Arial"/>
          <w:color w:val="00B050"/>
          <w:spacing w:val="3"/>
        </w:rPr>
        <w:t>Ve změně č.</w:t>
      </w:r>
      <w:r>
        <w:rPr>
          <w:rFonts w:ascii="Arial" w:hAnsi="Arial" w:cs="Arial"/>
          <w:color w:val="00B050"/>
          <w:spacing w:val="3"/>
        </w:rPr>
        <w:t xml:space="preserve"> </w:t>
      </w:r>
      <w:r w:rsidRPr="00892132">
        <w:rPr>
          <w:rFonts w:ascii="Arial" w:hAnsi="Arial" w:cs="Arial"/>
          <w:color w:val="00B050"/>
          <w:spacing w:val="3"/>
        </w:rPr>
        <w:t>1 územního plánu města Děčína jsou navrženy:</w:t>
      </w:r>
    </w:p>
    <w:p w14:paraId="72CF0262"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Lokalita č. 1 - Stará Chmelnice</w:t>
      </w:r>
    </w:p>
    <w:p w14:paraId="0A9B6875" w14:textId="77777777" w:rsidR="006031D6" w:rsidRPr="00892132" w:rsidRDefault="006031D6" w:rsidP="006031D6">
      <w:pPr>
        <w:spacing w:before="120" w:line="288" w:lineRule="auto"/>
        <w:ind w:firstLine="731"/>
        <w:rPr>
          <w:rFonts w:ascii="Arial" w:hAnsi="Arial" w:cs="Arial"/>
          <w:color w:val="00B050"/>
          <w:spacing w:val="3"/>
        </w:rPr>
      </w:pPr>
      <w:r w:rsidRPr="00892132">
        <w:rPr>
          <w:rFonts w:ascii="Arial" w:hAnsi="Arial" w:cs="Arial"/>
          <w:color w:val="00B050"/>
          <w:spacing w:val="3"/>
        </w:rPr>
        <w:t xml:space="preserve">Lokalita je určena pro výstavbu rodinných domů. </w:t>
      </w:r>
      <w:r>
        <w:rPr>
          <w:rFonts w:ascii="Arial" w:hAnsi="Arial" w:cs="Arial"/>
          <w:color w:val="00B050"/>
          <w:spacing w:val="3"/>
        </w:rPr>
        <w:t xml:space="preserve">Přístupná je z ulice V Lukách. </w:t>
      </w:r>
      <w:r w:rsidRPr="00892132">
        <w:rPr>
          <w:rFonts w:ascii="Arial" w:hAnsi="Arial" w:cs="Arial"/>
          <w:color w:val="00B050"/>
          <w:spacing w:val="3"/>
        </w:rPr>
        <w:t>Vjezd do lokality je veden z křižovatky s ulicí Višňová. Navržená komunikace je obousměrná a odpovídá funkční třídě C 3 základní kategorie MO 7/30. Původní návrh na</w:t>
      </w:r>
      <w:r>
        <w:rPr>
          <w:rFonts w:ascii="Arial" w:hAnsi="Arial" w:cs="Arial"/>
          <w:color w:val="00B050"/>
          <w:spacing w:val="3"/>
        </w:rPr>
        <w:t> </w:t>
      </w:r>
      <w:r w:rsidRPr="00892132">
        <w:rPr>
          <w:rFonts w:ascii="Arial" w:hAnsi="Arial" w:cs="Arial"/>
          <w:color w:val="00B050"/>
          <w:spacing w:val="3"/>
        </w:rPr>
        <w:t>rozšíření ulice Višňová, uvedený v územním plánu, zůstává v platnosti.</w:t>
      </w:r>
    </w:p>
    <w:p w14:paraId="070317EA"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Lokalita č. 2 - Křešice</w:t>
      </w:r>
    </w:p>
    <w:p w14:paraId="1CB92375" w14:textId="77777777" w:rsidR="006031D6" w:rsidRPr="00892132" w:rsidRDefault="006031D6" w:rsidP="006031D6">
      <w:pPr>
        <w:spacing w:before="120" w:line="288" w:lineRule="auto"/>
        <w:ind w:firstLine="731"/>
        <w:rPr>
          <w:rFonts w:ascii="Arial" w:hAnsi="Arial" w:cs="Arial"/>
          <w:color w:val="00B050"/>
          <w:spacing w:val="3"/>
        </w:rPr>
      </w:pPr>
      <w:r w:rsidRPr="00892132">
        <w:rPr>
          <w:rFonts w:ascii="Arial" w:hAnsi="Arial" w:cs="Arial"/>
          <w:color w:val="00B050"/>
          <w:spacing w:val="3"/>
        </w:rPr>
        <w:t>Lokalita je určena pro nerušící výrobu, služby a obchod. Má vazbu na ulici Vítězství (průtah silnice druhé třídy 11/261) a Klicperova. Pro dopravní obsluhu lokality je navržena nová místní komunikace vedená zhruba středem území. J e napojená na průtah silnice II. třídy a na cestu navrženou k rozšíření a zpevnění, která se napojuje na ulici Klicperovu.</w:t>
      </w:r>
    </w:p>
    <w:p w14:paraId="059202DE" w14:textId="77777777" w:rsidR="006031D6" w:rsidRPr="00892132" w:rsidRDefault="006031D6" w:rsidP="006031D6">
      <w:pPr>
        <w:spacing w:before="120" w:line="288" w:lineRule="auto"/>
        <w:ind w:firstLine="731"/>
        <w:rPr>
          <w:rFonts w:ascii="Arial" w:hAnsi="Arial" w:cs="Arial"/>
          <w:color w:val="00B050"/>
          <w:spacing w:val="3"/>
        </w:rPr>
      </w:pPr>
      <w:r w:rsidRPr="00892132">
        <w:rPr>
          <w:rFonts w:ascii="Arial" w:hAnsi="Arial" w:cs="Arial"/>
          <w:color w:val="00B050"/>
          <w:spacing w:val="3"/>
        </w:rPr>
        <w:lastRenderedPageBreak/>
        <w:t>Navržená komunikace je obousměrná a odpovídá funkční třídě C 3 základní kategorie MO 7/30. Lokalita je dotčena ochrannými pásmy silnice a železnice.</w:t>
      </w:r>
    </w:p>
    <w:p w14:paraId="4D84BD70" w14:textId="77777777" w:rsidR="006031D6" w:rsidRPr="00892132" w:rsidRDefault="006031D6" w:rsidP="006031D6">
      <w:pPr>
        <w:tabs>
          <w:tab w:val="decimal" w:pos="72"/>
          <w:tab w:val="decimal" w:pos="144"/>
          <w:tab w:val="right" w:pos="2679"/>
        </w:tabs>
        <w:spacing w:before="120" w:line="288" w:lineRule="auto"/>
        <w:rPr>
          <w:rFonts w:ascii="Arial" w:hAnsi="Arial" w:cs="Arial"/>
          <w:b/>
          <w:color w:val="00B050"/>
          <w:spacing w:val="3"/>
        </w:rPr>
      </w:pPr>
    </w:p>
    <w:p w14:paraId="786453C4"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Lokalita č. 3 - Folknáře I</w:t>
      </w:r>
    </w:p>
    <w:p w14:paraId="3BEE7D7D" w14:textId="77777777" w:rsidR="006031D6" w:rsidRPr="00892132" w:rsidRDefault="006031D6" w:rsidP="006031D6">
      <w:pPr>
        <w:spacing w:before="120" w:line="288" w:lineRule="auto"/>
        <w:ind w:firstLine="731"/>
        <w:rPr>
          <w:rFonts w:ascii="Arial" w:hAnsi="Arial" w:cs="Arial"/>
          <w:color w:val="00B050"/>
          <w:spacing w:val="3"/>
        </w:rPr>
      </w:pPr>
      <w:r w:rsidRPr="00892132">
        <w:rPr>
          <w:rFonts w:ascii="Arial" w:hAnsi="Arial" w:cs="Arial"/>
          <w:color w:val="00B050"/>
          <w:spacing w:val="3"/>
        </w:rPr>
        <w:t>Lokalita je určena pro výstavbu rodinných domů. Má vazbu na místní komunikaci vedenou od hřbitova na Folknáře. Vjezdy do jednotlivých částí lokality jsou navrženy</w:t>
      </w:r>
      <w:r>
        <w:rPr>
          <w:rFonts w:ascii="Arial" w:hAnsi="Arial" w:cs="Arial"/>
          <w:color w:val="00B050"/>
          <w:spacing w:val="3"/>
        </w:rPr>
        <w:t xml:space="preserve"> </w:t>
      </w:r>
      <w:r w:rsidRPr="00892132">
        <w:rPr>
          <w:rFonts w:ascii="Arial" w:hAnsi="Arial" w:cs="Arial"/>
          <w:color w:val="00B050"/>
          <w:spacing w:val="3"/>
        </w:rPr>
        <w:t>jako obousměrné &amp; odpovídají funkční třídě C 3 základní kategorie MO 7/30. Stávající obousměrná místní komunikace, vedená od hřbitova na Folknáře, má nevyhovující šířkové parametry. Vozovka má šířku pouze 3-4 m a v návrhu změny je</w:t>
      </w:r>
      <w:r>
        <w:rPr>
          <w:rFonts w:ascii="Arial" w:hAnsi="Arial" w:cs="Arial"/>
          <w:color w:val="00B050"/>
          <w:spacing w:val="3"/>
        </w:rPr>
        <w:t xml:space="preserve"> </w:t>
      </w:r>
      <w:r w:rsidRPr="00892132">
        <w:rPr>
          <w:rFonts w:ascii="Arial" w:hAnsi="Arial" w:cs="Arial"/>
          <w:color w:val="00B050"/>
          <w:spacing w:val="3"/>
        </w:rPr>
        <w:t>rozšířena.</w:t>
      </w:r>
    </w:p>
    <w:p w14:paraId="475104D8"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Lokalita č. 4 - Letná</w:t>
      </w:r>
    </w:p>
    <w:p w14:paraId="0A33A38B" w14:textId="77777777" w:rsidR="006031D6" w:rsidRPr="00892132" w:rsidRDefault="006031D6" w:rsidP="006031D6">
      <w:pPr>
        <w:spacing w:before="120" w:line="288" w:lineRule="auto"/>
        <w:ind w:firstLine="731"/>
        <w:rPr>
          <w:rFonts w:ascii="Arial" w:hAnsi="Arial" w:cs="Arial"/>
          <w:color w:val="00B050"/>
          <w:spacing w:val="3"/>
        </w:rPr>
      </w:pPr>
      <w:r w:rsidRPr="00892132">
        <w:rPr>
          <w:rFonts w:ascii="Arial" w:hAnsi="Arial" w:cs="Arial"/>
          <w:color w:val="00B050"/>
          <w:spacing w:val="3"/>
        </w:rPr>
        <w:t>Lokalita je určena pro výstavbu rodinných domů. Má vazbu na stávající nezpevněnou polní cestu, zpřístupňující zahrádky. Vjezdy do jednotlivých částí lokality jsou navrženy jako obousměrné &amp; odpovídají funkční třídě C 3 základní kategorie MO</w:t>
      </w:r>
      <w:r>
        <w:rPr>
          <w:rFonts w:ascii="Arial" w:hAnsi="Arial" w:cs="Arial"/>
          <w:color w:val="00B050"/>
          <w:spacing w:val="3"/>
        </w:rPr>
        <w:t> </w:t>
      </w:r>
      <w:r w:rsidRPr="00892132">
        <w:rPr>
          <w:rFonts w:ascii="Arial" w:hAnsi="Arial" w:cs="Arial"/>
          <w:color w:val="00B050"/>
          <w:spacing w:val="3"/>
        </w:rPr>
        <w:t>7/30.</w:t>
      </w:r>
    </w:p>
    <w:p w14:paraId="7A15D380" w14:textId="77777777" w:rsidR="006031D6" w:rsidRPr="00892132" w:rsidRDefault="006031D6" w:rsidP="006031D6">
      <w:pPr>
        <w:spacing w:before="120" w:line="288" w:lineRule="auto"/>
        <w:ind w:firstLine="731"/>
        <w:rPr>
          <w:rFonts w:ascii="Arial" w:hAnsi="Arial" w:cs="Arial"/>
          <w:color w:val="00B050"/>
          <w:spacing w:val="3"/>
        </w:rPr>
      </w:pPr>
      <w:r w:rsidRPr="00892132">
        <w:rPr>
          <w:rFonts w:ascii="Arial" w:hAnsi="Arial" w:cs="Arial"/>
          <w:color w:val="00B050"/>
          <w:spacing w:val="3"/>
        </w:rPr>
        <w:t>Stávající prašná cesta, vedená podél zahrádek, má nevyhovující šířkové parametry. Vozovka má šířku pouze 3-4 m a v návrhu změny je rozšířena a zpevněna. Její rozšíření je navrženo v celém jejím úseku a to od Slovanské ulice na Letné po ulici Jelení v Dolním Oldřichově. Uprava je nezbytná pro optimální provoz individuální automobilové dopravy (zajištění přístupu od Letné i Oldřichova). Navrženo je také rozšíření stávajících místních komunikací (Jelení, prodloužená Slovanská), které je v</w:t>
      </w:r>
      <w:r>
        <w:rPr>
          <w:rFonts w:ascii="Arial" w:hAnsi="Arial" w:cs="Arial"/>
          <w:color w:val="00B050"/>
          <w:spacing w:val="3"/>
        </w:rPr>
        <w:t> </w:t>
      </w:r>
      <w:r w:rsidRPr="00892132">
        <w:rPr>
          <w:rFonts w:ascii="Arial" w:hAnsi="Arial" w:cs="Arial"/>
          <w:color w:val="00B050"/>
          <w:spacing w:val="3"/>
        </w:rPr>
        <w:t>souladu s územním plánem a které je pro uvedený záměr nezbytné.</w:t>
      </w:r>
    </w:p>
    <w:p w14:paraId="325FC4B2"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Lokalita č. 5 - Folknáře</w:t>
      </w:r>
    </w:p>
    <w:p w14:paraId="1F09A96C" w14:textId="77777777" w:rsidR="006031D6" w:rsidRPr="00892132" w:rsidRDefault="006031D6" w:rsidP="006031D6">
      <w:pPr>
        <w:spacing w:before="120" w:line="288" w:lineRule="auto"/>
        <w:ind w:firstLine="731"/>
        <w:rPr>
          <w:rFonts w:ascii="Arial" w:hAnsi="Arial" w:cs="Arial"/>
          <w:color w:val="00B050"/>
          <w:spacing w:val="3"/>
        </w:rPr>
      </w:pPr>
      <w:r w:rsidRPr="00892132">
        <w:rPr>
          <w:rFonts w:ascii="Arial" w:hAnsi="Arial" w:cs="Arial"/>
          <w:color w:val="00B050"/>
          <w:spacing w:val="3"/>
        </w:rPr>
        <w:t>Lokalita je určena pro lehkou výrobu bez rušivých účinků na okolní zástavbu. Má vazbu na silnici třetí třídy III/26228. Její hranice sleduje záměr na výstavbu „Folknářské spojky“. Dopravní napojení lokality je navrženo přímo ze stávající silnice třetí třídy, řešení je v souladu s návrhem přeložky silnice a neomezuje ji.</w:t>
      </w:r>
    </w:p>
    <w:p w14:paraId="50B55605"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Lokalita č. 6 - Velká Veleň</w:t>
      </w:r>
    </w:p>
    <w:p w14:paraId="57B1EA16" w14:textId="77777777" w:rsidR="006031D6" w:rsidRPr="00892132" w:rsidRDefault="006031D6" w:rsidP="006031D6">
      <w:pPr>
        <w:tabs>
          <w:tab w:val="decimal" w:pos="144"/>
          <w:tab w:val="decimal" w:pos="426"/>
          <w:tab w:val="right" w:pos="2679"/>
        </w:tabs>
        <w:spacing w:before="120" w:line="288" w:lineRule="auto"/>
        <w:rPr>
          <w:rFonts w:ascii="Arial" w:hAnsi="Arial" w:cs="Arial"/>
          <w:color w:val="00B050"/>
          <w:spacing w:val="3"/>
        </w:rPr>
      </w:pPr>
      <w:r w:rsidRPr="00892132">
        <w:rPr>
          <w:rFonts w:ascii="Arial" w:hAnsi="Arial" w:cs="Arial"/>
          <w:color w:val="00B050"/>
          <w:spacing w:val="3"/>
        </w:rPr>
        <w:t>Lokalita je určena pro výstavbu zemědělského areálu. Komunikačně je napojena na stávající průtah silnice třetí třídy III/25851.</w:t>
      </w:r>
    </w:p>
    <w:p w14:paraId="5F6E39E3"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Lokalita č. 7 - Staré Město</w:t>
      </w:r>
    </w:p>
    <w:p w14:paraId="22AFA8E3" w14:textId="77777777" w:rsidR="006031D6" w:rsidRPr="00892132" w:rsidRDefault="006031D6" w:rsidP="006031D6">
      <w:pPr>
        <w:tabs>
          <w:tab w:val="decimal" w:pos="144"/>
          <w:tab w:val="decimal" w:pos="709"/>
          <w:tab w:val="right" w:pos="2679"/>
        </w:tabs>
        <w:spacing w:before="120" w:line="288" w:lineRule="auto"/>
        <w:rPr>
          <w:rFonts w:ascii="Arial" w:hAnsi="Arial" w:cs="Arial"/>
          <w:color w:val="00B050"/>
          <w:spacing w:val="3"/>
        </w:rPr>
      </w:pPr>
      <w:r w:rsidRPr="00892132">
        <w:rPr>
          <w:rFonts w:ascii="Arial" w:hAnsi="Arial" w:cs="Arial"/>
          <w:color w:val="00B050"/>
          <w:spacing w:val="3"/>
        </w:rPr>
        <w:t xml:space="preserve">Lokalita je určena pro výstavbu rodinných domů a občanské vybavenosti. Má vazbu na místní komunikaci vedenou k pekárně &amp; řadovým garážím. Stávající úsek ke garážím je rozšířen na šířku odpovídající bezkonfliktnímu obousměrnému provozu vozidel individuální automobilové dopravy. Nová přístupová komunikace je </w:t>
      </w:r>
      <w:r w:rsidRPr="00892132">
        <w:rPr>
          <w:rFonts w:ascii="Arial" w:hAnsi="Arial" w:cs="Arial"/>
          <w:color w:val="00B050"/>
          <w:spacing w:val="3"/>
        </w:rPr>
        <w:lastRenderedPageBreak/>
        <w:t>navržena</w:t>
      </w:r>
      <w:r>
        <w:rPr>
          <w:rFonts w:ascii="Arial" w:hAnsi="Arial" w:cs="Arial"/>
          <w:color w:val="00B050"/>
          <w:spacing w:val="3"/>
        </w:rPr>
        <w:t xml:space="preserve"> </w:t>
      </w:r>
      <w:r w:rsidRPr="00892132">
        <w:rPr>
          <w:rFonts w:ascii="Arial" w:hAnsi="Arial" w:cs="Arial"/>
          <w:color w:val="00B050"/>
          <w:spacing w:val="3"/>
        </w:rPr>
        <w:t>jako slepá. Je obousměrná a odpovídá funkční třídě C 3 základní kategorie MO 7/30.</w:t>
      </w:r>
    </w:p>
    <w:p w14:paraId="47EEC3C3"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Lokalita č. 8 - Chrochvice</w:t>
      </w:r>
    </w:p>
    <w:p w14:paraId="2DD8EBA1" w14:textId="77777777" w:rsidR="006031D6" w:rsidRPr="00892132" w:rsidRDefault="006031D6" w:rsidP="006031D6">
      <w:pPr>
        <w:tabs>
          <w:tab w:val="decimal" w:pos="144"/>
          <w:tab w:val="decimal" w:pos="567"/>
          <w:tab w:val="right" w:pos="2679"/>
        </w:tabs>
        <w:spacing w:before="120" w:line="288" w:lineRule="auto"/>
        <w:rPr>
          <w:rFonts w:ascii="Arial" w:hAnsi="Arial" w:cs="Arial"/>
          <w:color w:val="00B050"/>
          <w:spacing w:val="3"/>
        </w:rPr>
      </w:pPr>
      <w:r w:rsidRPr="00892132">
        <w:rPr>
          <w:rFonts w:ascii="Arial" w:hAnsi="Arial" w:cs="Arial"/>
          <w:color w:val="00B050"/>
          <w:spacing w:val="3"/>
        </w:rPr>
        <w:t>Lokalita je určena pro výstavbu rodinných domů. Má vazbu na ulici U Obory, která je navržena k rozšíření. Při severním okraji lokality je v původním územním plánu navržena nová místní komunikace ve výhledové etapě. Ve změně územního plánu je část této komunikace zařazena do návrhového období územního plánu. Navržené místní komunikace jsou obousměrné a odpovídají funkční třídě C 3 základní kategorie MO 7/30.</w:t>
      </w:r>
    </w:p>
    <w:p w14:paraId="75D44684" w14:textId="77777777" w:rsidR="006031D6" w:rsidRPr="00892132" w:rsidRDefault="006031D6" w:rsidP="006031D6">
      <w:pPr>
        <w:tabs>
          <w:tab w:val="decimal" w:pos="72"/>
          <w:tab w:val="decimal" w:pos="144"/>
          <w:tab w:val="right" w:pos="2679"/>
        </w:tabs>
        <w:spacing w:before="120" w:line="288" w:lineRule="auto"/>
        <w:rPr>
          <w:rFonts w:ascii="Arial" w:hAnsi="Arial" w:cs="Arial"/>
          <w:b/>
          <w:color w:val="00B050"/>
          <w:spacing w:val="3"/>
        </w:rPr>
      </w:pPr>
    </w:p>
    <w:p w14:paraId="6BA23DA5"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Lokalita č.9 - ulice Březová (Staré Město)</w:t>
      </w:r>
    </w:p>
    <w:p w14:paraId="4A23E158" w14:textId="77777777" w:rsidR="006031D6" w:rsidRPr="00892132" w:rsidRDefault="006031D6" w:rsidP="006031D6">
      <w:pPr>
        <w:tabs>
          <w:tab w:val="decimal" w:pos="144"/>
          <w:tab w:val="decimal" w:pos="567"/>
          <w:tab w:val="right" w:pos="2679"/>
        </w:tabs>
        <w:spacing w:before="120" w:line="288" w:lineRule="auto"/>
        <w:rPr>
          <w:rFonts w:ascii="Arial" w:hAnsi="Arial" w:cs="Arial"/>
          <w:color w:val="00B050"/>
          <w:spacing w:val="3"/>
        </w:rPr>
      </w:pPr>
      <w:r w:rsidRPr="00892132">
        <w:rPr>
          <w:rFonts w:ascii="Arial" w:hAnsi="Arial" w:cs="Arial"/>
          <w:color w:val="00B050"/>
          <w:spacing w:val="3"/>
        </w:rPr>
        <w:t>Lokalita je v ulici Kubelíkova a je určena pro výstavbu jednoho rodinného domu. Přístup je přímo z ulice Kubelíkova.</w:t>
      </w:r>
    </w:p>
    <w:p w14:paraId="5D88D74A"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Lokalita č. 10 - Staré Město 1 (nad pekárnou)</w:t>
      </w:r>
    </w:p>
    <w:p w14:paraId="65B8286B" w14:textId="77777777" w:rsidR="006031D6" w:rsidRPr="00892132" w:rsidRDefault="006031D6" w:rsidP="006031D6">
      <w:pPr>
        <w:tabs>
          <w:tab w:val="decimal" w:pos="144"/>
          <w:tab w:val="decimal" w:pos="709"/>
          <w:tab w:val="right" w:pos="2679"/>
        </w:tabs>
        <w:spacing w:before="120" w:line="288" w:lineRule="auto"/>
        <w:rPr>
          <w:rFonts w:ascii="Arial" w:hAnsi="Arial" w:cs="Arial"/>
          <w:color w:val="00B050"/>
          <w:spacing w:val="3"/>
        </w:rPr>
      </w:pPr>
      <w:r w:rsidRPr="00892132">
        <w:rPr>
          <w:rFonts w:ascii="Arial" w:hAnsi="Arial" w:cs="Arial"/>
          <w:color w:val="00B050"/>
          <w:spacing w:val="3"/>
        </w:rPr>
        <w:t>Lokalita je určena pro výstavbu rodinných domů. Má vazbu na místní komunikaci vedenou k pekárně a řadovým garážím. Stávající úsek ke garážím je rozšířen na šířku odpovídající bezkonfliktnímu obousměrnému provozu vozidel individuální automobilové dopravy. Nová přístupová komunikace je navržena jako slepá. Je obousměrná a odpovídá funkční třídě C 3 základní kategorie MO 7/30.</w:t>
      </w:r>
    </w:p>
    <w:p w14:paraId="64F37858" w14:textId="77777777" w:rsidR="006031D6" w:rsidRPr="00892132" w:rsidRDefault="006031D6" w:rsidP="006031D6">
      <w:pPr>
        <w:tabs>
          <w:tab w:val="decimal" w:pos="72"/>
          <w:tab w:val="decimal" w:pos="144"/>
          <w:tab w:val="right" w:pos="2679"/>
        </w:tabs>
        <w:spacing w:before="120" w:line="288" w:lineRule="auto"/>
        <w:rPr>
          <w:rFonts w:ascii="Arial" w:hAnsi="Arial" w:cs="Arial"/>
          <w:color w:val="00B050"/>
          <w:spacing w:val="3"/>
        </w:rPr>
      </w:pPr>
    </w:p>
    <w:p w14:paraId="6B5CC240"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ŽELEZNIČNÍ SÍŤ</w:t>
      </w:r>
    </w:p>
    <w:p w14:paraId="6094FBDF" w14:textId="77777777" w:rsidR="006031D6" w:rsidRPr="00892132" w:rsidRDefault="006031D6" w:rsidP="006031D6">
      <w:pPr>
        <w:tabs>
          <w:tab w:val="decimal" w:pos="144"/>
          <w:tab w:val="decimal" w:pos="709"/>
          <w:tab w:val="right" w:pos="2679"/>
        </w:tabs>
        <w:spacing w:before="120" w:line="288" w:lineRule="auto"/>
        <w:rPr>
          <w:rFonts w:ascii="Arial" w:hAnsi="Arial" w:cs="Arial"/>
          <w:color w:val="00B050"/>
          <w:spacing w:val="3"/>
        </w:rPr>
      </w:pPr>
      <w:r w:rsidRPr="00892132">
        <w:rPr>
          <w:rFonts w:ascii="Arial" w:hAnsi="Arial" w:cs="Arial"/>
          <w:color w:val="00B050"/>
          <w:spacing w:val="3"/>
        </w:rPr>
        <w:t>Železniční síť je v kontaktu pouze s lokalitami výstavby č.</w:t>
      </w:r>
      <w:r>
        <w:rPr>
          <w:rFonts w:ascii="Arial" w:hAnsi="Arial" w:cs="Arial"/>
          <w:color w:val="00B050"/>
          <w:spacing w:val="3"/>
        </w:rPr>
        <w:t xml:space="preserve"> </w:t>
      </w:r>
      <w:r w:rsidRPr="00892132">
        <w:rPr>
          <w:rFonts w:ascii="Arial" w:hAnsi="Arial" w:cs="Arial"/>
          <w:color w:val="00B050"/>
          <w:spacing w:val="3"/>
        </w:rPr>
        <w:t>2, 4 a 7. Jedná se o</w:t>
      </w:r>
      <w:r>
        <w:rPr>
          <w:rFonts w:ascii="Arial" w:hAnsi="Arial" w:cs="Arial"/>
          <w:color w:val="00B050"/>
          <w:spacing w:val="3"/>
        </w:rPr>
        <w:t> </w:t>
      </w:r>
      <w:r w:rsidRPr="00892132">
        <w:rPr>
          <w:rFonts w:ascii="Arial" w:hAnsi="Arial" w:cs="Arial"/>
          <w:color w:val="00B050"/>
          <w:spacing w:val="3"/>
        </w:rPr>
        <w:t>železniční trati č. 132 a č. 072. Změna územního plánu se těchto tratí netýká, lokality jsou pouze zčásti v jejich ochranných pásmech.</w:t>
      </w:r>
    </w:p>
    <w:p w14:paraId="4E8F8622" w14:textId="77777777" w:rsidR="006031D6" w:rsidRPr="00892132" w:rsidRDefault="006031D6" w:rsidP="006031D6">
      <w:pPr>
        <w:tabs>
          <w:tab w:val="decimal" w:pos="72"/>
          <w:tab w:val="decimal" w:pos="144"/>
          <w:tab w:val="right" w:pos="2679"/>
        </w:tabs>
        <w:spacing w:before="120" w:line="288" w:lineRule="auto"/>
        <w:rPr>
          <w:rFonts w:ascii="Arial" w:hAnsi="Arial" w:cs="Arial"/>
          <w:color w:val="00B050"/>
          <w:spacing w:val="3"/>
        </w:rPr>
      </w:pPr>
    </w:p>
    <w:p w14:paraId="7319A44F"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OSTATNÍ DOPRAVNÍ SÍŤ</w:t>
      </w:r>
    </w:p>
    <w:p w14:paraId="39C1625C" w14:textId="77777777" w:rsidR="006031D6" w:rsidRPr="00892132" w:rsidRDefault="006031D6" w:rsidP="006031D6">
      <w:pPr>
        <w:tabs>
          <w:tab w:val="decimal" w:pos="144"/>
          <w:tab w:val="decimal" w:pos="709"/>
          <w:tab w:val="right" w:pos="2679"/>
        </w:tabs>
        <w:spacing w:before="120" w:line="288" w:lineRule="auto"/>
        <w:rPr>
          <w:rFonts w:ascii="Arial" w:hAnsi="Arial" w:cs="Arial"/>
          <w:color w:val="00B050"/>
          <w:spacing w:val="3"/>
        </w:rPr>
      </w:pPr>
      <w:r w:rsidRPr="00892132">
        <w:rPr>
          <w:rFonts w:ascii="Arial" w:hAnsi="Arial" w:cs="Arial"/>
          <w:color w:val="00B050"/>
          <w:spacing w:val="3"/>
        </w:rPr>
        <w:t>Změna č.</w:t>
      </w:r>
      <w:r>
        <w:rPr>
          <w:rFonts w:ascii="Arial" w:hAnsi="Arial" w:cs="Arial"/>
          <w:color w:val="00B050"/>
          <w:spacing w:val="3"/>
        </w:rPr>
        <w:t xml:space="preserve"> </w:t>
      </w:r>
      <w:r w:rsidRPr="00892132">
        <w:rPr>
          <w:rFonts w:ascii="Arial" w:hAnsi="Arial" w:cs="Arial"/>
          <w:color w:val="00B050"/>
          <w:spacing w:val="3"/>
        </w:rPr>
        <w:t>1 ÚPn M Děčína se netýká zemědělské, pěší ani cyklistické dopravy.</w:t>
      </w:r>
    </w:p>
    <w:p w14:paraId="4AE74068" w14:textId="77777777" w:rsidR="006031D6" w:rsidRPr="00892132" w:rsidRDefault="006031D6" w:rsidP="006031D6">
      <w:pPr>
        <w:tabs>
          <w:tab w:val="decimal" w:pos="72"/>
          <w:tab w:val="decimal" w:pos="144"/>
          <w:tab w:val="right" w:pos="2679"/>
        </w:tabs>
        <w:spacing w:before="120" w:line="288" w:lineRule="auto"/>
        <w:rPr>
          <w:rFonts w:ascii="Arial" w:hAnsi="Arial" w:cs="Arial"/>
          <w:color w:val="00B050"/>
          <w:spacing w:val="3"/>
        </w:rPr>
      </w:pPr>
    </w:p>
    <w:p w14:paraId="249EBF95"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KLIDOVÁ DOPRAVA</w:t>
      </w:r>
    </w:p>
    <w:p w14:paraId="79287CE2" w14:textId="77777777" w:rsidR="006031D6" w:rsidRPr="00892132" w:rsidRDefault="006031D6" w:rsidP="006031D6">
      <w:pPr>
        <w:tabs>
          <w:tab w:val="decimal" w:pos="144"/>
          <w:tab w:val="decimal" w:pos="709"/>
          <w:tab w:val="right" w:pos="2679"/>
        </w:tabs>
        <w:spacing w:before="120" w:line="288" w:lineRule="auto"/>
        <w:rPr>
          <w:rFonts w:ascii="Arial" w:hAnsi="Arial" w:cs="Arial"/>
          <w:color w:val="00B050"/>
          <w:spacing w:val="3"/>
        </w:rPr>
      </w:pPr>
      <w:r w:rsidRPr="00892132">
        <w:rPr>
          <w:rFonts w:ascii="Arial" w:hAnsi="Arial" w:cs="Arial"/>
          <w:color w:val="00B050"/>
          <w:spacing w:val="3"/>
        </w:rPr>
        <w:t>U výstavby rodinných domů je držena zásada, že parkování a odstavování vozidel u rodinných domů bude prováděno na vlastních pozemcích majitelů domů. Změna č.</w:t>
      </w:r>
      <w:r>
        <w:rPr>
          <w:rFonts w:ascii="Arial" w:hAnsi="Arial" w:cs="Arial"/>
          <w:color w:val="00B050"/>
          <w:spacing w:val="3"/>
        </w:rPr>
        <w:t xml:space="preserve"> </w:t>
      </w:r>
      <w:r w:rsidRPr="00892132">
        <w:rPr>
          <w:rFonts w:ascii="Arial" w:hAnsi="Arial" w:cs="Arial"/>
          <w:color w:val="00B050"/>
          <w:spacing w:val="3"/>
        </w:rPr>
        <w:t>1 ÚPn M Děčína se klidové dopravy netýká.</w:t>
      </w:r>
    </w:p>
    <w:p w14:paraId="214BEE6D" w14:textId="77777777" w:rsidR="006031D6" w:rsidRPr="00892132" w:rsidRDefault="006031D6" w:rsidP="006031D6">
      <w:pPr>
        <w:tabs>
          <w:tab w:val="decimal" w:pos="72"/>
          <w:tab w:val="decimal" w:pos="144"/>
          <w:tab w:val="right" w:pos="2679"/>
        </w:tabs>
        <w:spacing w:before="120" w:line="288" w:lineRule="auto"/>
        <w:rPr>
          <w:rFonts w:ascii="Arial" w:hAnsi="Arial" w:cs="Arial"/>
          <w:b/>
          <w:color w:val="00B050"/>
          <w:spacing w:val="3"/>
        </w:rPr>
      </w:pPr>
    </w:p>
    <w:p w14:paraId="79069D0B"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HROMADNÁ DOPRAVA OSOB</w:t>
      </w:r>
    </w:p>
    <w:p w14:paraId="0DC399D9" w14:textId="77777777" w:rsidR="006031D6" w:rsidRPr="00892132" w:rsidRDefault="006031D6" w:rsidP="006031D6">
      <w:pPr>
        <w:tabs>
          <w:tab w:val="decimal" w:pos="144"/>
          <w:tab w:val="decimal" w:pos="709"/>
          <w:tab w:val="right" w:pos="2679"/>
        </w:tabs>
        <w:spacing w:before="120" w:line="288" w:lineRule="auto"/>
        <w:rPr>
          <w:rFonts w:ascii="Arial" w:hAnsi="Arial" w:cs="Arial"/>
          <w:color w:val="00B050"/>
          <w:spacing w:val="3"/>
        </w:rPr>
      </w:pPr>
      <w:r w:rsidRPr="00892132">
        <w:rPr>
          <w:rFonts w:ascii="Arial" w:hAnsi="Arial" w:cs="Arial"/>
          <w:color w:val="00B050"/>
          <w:spacing w:val="3"/>
        </w:rPr>
        <w:t>Změna č.</w:t>
      </w:r>
      <w:r>
        <w:rPr>
          <w:rFonts w:ascii="Arial" w:hAnsi="Arial" w:cs="Arial"/>
          <w:color w:val="00B050"/>
          <w:spacing w:val="3"/>
        </w:rPr>
        <w:t xml:space="preserve"> </w:t>
      </w:r>
      <w:r w:rsidRPr="00892132">
        <w:rPr>
          <w:rFonts w:ascii="Arial" w:hAnsi="Arial" w:cs="Arial"/>
          <w:color w:val="00B050"/>
          <w:spacing w:val="3"/>
        </w:rPr>
        <w:t>1 ÚPn M Děčína se hromadné dopravy osob netýká.</w:t>
      </w:r>
    </w:p>
    <w:p w14:paraId="23F1CE35" w14:textId="77777777" w:rsidR="006031D6" w:rsidRPr="00892132" w:rsidRDefault="006031D6" w:rsidP="006031D6">
      <w:pPr>
        <w:tabs>
          <w:tab w:val="decimal" w:pos="72"/>
          <w:tab w:val="decimal" w:pos="144"/>
          <w:tab w:val="right" w:pos="2679"/>
        </w:tabs>
        <w:spacing w:before="120" w:line="288" w:lineRule="auto"/>
        <w:rPr>
          <w:rFonts w:ascii="Arial" w:hAnsi="Arial" w:cs="Arial"/>
          <w:color w:val="00B050"/>
          <w:spacing w:val="3"/>
        </w:rPr>
      </w:pPr>
    </w:p>
    <w:p w14:paraId="0E809FD3"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DOPRAVNÍ VYBAVENOST</w:t>
      </w:r>
    </w:p>
    <w:p w14:paraId="77800996" w14:textId="77777777" w:rsidR="006031D6" w:rsidRPr="00892132" w:rsidRDefault="006031D6" w:rsidP="006031D6">
      <w:pPr>
        <w:tabs>
          <w:tab w:val="decimal" w:pos="144"/>
          <w:tab w:val="decimal" w:pos="709"/>
          <w:tab w:val="right" w:pos="2679"/>
        </w:tabs>
        <w:spacing w:before="120" w:line="288" w:lineRule="auto"/>
        <w:rPr>
          <w:rFonts w:ascii="Arial" w:hAnsi="Arial" w:cs="Arial"/>
          <w:color w:val="00B050"/>
          <w:spacing w:val="3"/>
        </w:rPr>
      </w:pPr>
      <w:r w:rsidRPr="00892132">
        <w:rPr>
          <w:rFonts w:ascii="Arial" w:hAnsi="Arial" w:cs="Arial"/>
          <w:color w:val="00B050"/>
          <w:spacing w:val="3"/>
        </w:rPr>
        <w:t>Změna č.</w:t>
      </w:r>
      <w:r>
        <w:rPr>
          <w:rFonts w:ascii="Arial" w:hAnsi="Arial" w:cs="Arial"/>
          <w:color w:val="00B050"/>
          <w:spacing w:val="3"/>
        </w:rPr>
        <w:t xml:space="preserve"> </w:t>
      </w:r>
      <w:r w:rsidRPr="00892132">
        <w:rPr>
          <w:rFonts w:ascii="Arial" w:hAnsi="Arial" w:cs="Arial"/>
          <w:color w:val="00B050"/>
          <w:spacing w:val="3"/>
        </w:rPr>
        <w:t>1 ÚPn M Děčína se dopravní vybavenosti netýká.</w:t>
      </w:r>
    </w:p>
    <w:p w14:paraId="05FCB895" w14:textId="77777777" w:rsidR="006031D6" w:rsidRPr="00892132" w:rsidRDefault="006031D6" w:rsidP="006031D6">
      <w:pPr>
        <w:tabs>
          <w:tab w:val="decimal" w:pos="72"/>
          <w:tab w:val="decimal" w:pos="144"/>
          <w:tab w:val="right" w:pos="2679"/>
        </w:tabs>
        <w:spacing w:before="120" w:line="288" w:lineRule="auto"/>
        <w:rPr>
          <w:rFonts w:ascii="Arial" w:hAnsi="Arial" w:cs="Arial"/>
          <w:color w:val="00B050"/>
          <w:spacing w:val="3"/>
        </w:rPr>
      </w:pPr>
    </w:p>
    <w:p w14:paraId="4B41CD9F" w14:textId="77777777" w:rsidR="006031D6" w:rsidRPr="00892132" w:rsidRDefault="006031D6" w:rsidP="006031D6">
      <w:pPr>
        <w:spacing w:before="120" w:line="288" w:lineRule="auto"/>
        <w:rPr>
          <w:rFonts w:ascii="Arial" w:hAnsi="Arial" w:cs="Arial"/>
          <w:b/>
          <w:color w:val="00B050"/>
          <w:spacing w:val="3"/>
        </w:rPr>
      </w:pPr>
      <w:r w:rsidRPr="00892132">
        <w:rPr>
          <w:rFonts w:ascii="Arial" w:hAnsi="Arial" w:cs="Arial"/>
          <w:b/>
          <w:color w:val="00B050"/>
          <w:spacing w:val="3"/>
        </w:rPr>
        <w:t>HLUKOVÉ VLNY DOPRAVY</w:t>
      </w:r>
    </w:p>
    <w:p w14:paraId="367A2E05" w14:textId="77777777" w:rsidR="006031D6" w:rsidRPr="00892132" w:rsidRDefault="006031D6" w:rsidP="006031D6">
      <w:pPr>
        <w:tabs>
          <w:tab w:val="decimal" w:pos="144"/>
          <w:tab w:val="decimal" w:pos="709"/>
          <w:tab w:val="right" w:pos="2679"/>
        </w:tabs>
        <w:spacing w:before="120" w:line="288" w:lineRule="auto"/>
        <w:rPr>
          <w:rFonts w:ascii="Arial" w:hAnsi="Arial" w:cs="Arial"/>
          <w:color w:val="00B050"/>
          <w:spacing w:val="3"/>
        </w:rPr>
      </w:pPr>
      <w:r w:rsidRPr="00892132">
        <w:rPr>
          <w:rFonts w:ascii="Arial" w:hAnsi="Arial" w:cs="Arial"/>
          <w:color w:val="00B050"/>
          <w:spacing w:val="3"/>
        </w:rPr>
        <w:t>Jako zdroj hluku se posuzují komunikace (železnice), kde intenzity přesahují 30 vozidel/hod. V řešeném prostoru týkající se změny územního plánu to jsou lokality č. 2, 4 a 7.</w:t>
      </w:r>
    </w:p>
    <w:p w14:paraId="084446D1" w14:textId="77777777" w:rsidR="006031D6" w:rsidRPr="00892132" w:rsidRDefault="006031D6" w:rsidP="006031D6">
      <w:pPr>
        <w:tabs>
          <w:tab w:val="decimal" w:pos="144"/>
          <w:tab w:val="decimal" w:pos="709"/>
          <w:tab w:val="right" w:pos="2679"/>
        </w:tabs>
        <w:spacing w:before="120" w:line="288" w:lineRule="auto"/>
        <w:rPr>
          <w:rFonts w:ascii="Arial" w:hAnsi="Arial" w:cs="Arial"/>
          <w:color w:val="00B050"/>
          <w:spacing w:val="3"/>
        </w:rPr>
      </w:pPr>
      <w:r w:rsidRPr="00892132">
        <w:rPr>
          <w:rFonts w:ascii="Arial" w:hAnsi="Arial" w:cs="Arial"/>
          <w:color w:val="00B050"/>
          <w:spacing w:val="3"/>
        </w:rPr>
        <w:t>Použité údaje jsou převzaty z celostátního sčítání dopravy na silniční sítí 2 roku 2000, vypracované Ředitelstvím silnic a dálnic CR Praha. V rámci hlukového posouzení byla uvažována také železnice.</w:t>
      </w:r>
    </w:p>
    <w:p w14:paraId="3E5D80F7" w14:textId="77777777" w:rsidR="006031D6" w:rsidRPr="00892132" w:rsidRDefault="006031D6" w:rsidP="006031D6">
      <w:pPr>
        <w:tabs>
          <w:tab w:val="decimal" w:pos="144"/>
          <w:tab w:val="decimal" w:pos="709"/>
          <w:tab w:val="right" w:pos="2679"/>
        </w:tabs>
        <w:spacing w:before="120" w:line="288" w:lineRule="auto"/>
        <w:rPr>
          <w:rFonts w:ascii="Arial" w:hAnsi="Arial" w:cs="Arial"/>
          <w:color w:val="00B050"/>
          <w:spacing w:val="3"/>
        </w:rPr>
      </w:pPr>
      <w:r w:rsidRPr="00892132">
        <w:rPr>
          <w:rFonts w:ascii="Arial" w:hAnsi="Arial" w:cs="Arial"/>
          <w:color w:val="00B050"/>
          <w:spacing w:val="3"/>
        </w:rPr>
        <w:t>Pro výpočet bylo použito nařízení vlády č. 502/2000 Sb., částka č. 146 Sb. z</w:t>
      </w:r>
      <w:r>
        <w:rPr>
          <w:rFonts w:ascii="Arial" w:hAnsi="Arial" w:cs="Arial"/>
          <w:color w:val="00B050"/>
          <w:spacing w:val="3"/>
        </w:rPr>
        <w:t> </w:t>
      </w:r>
      <w:r w:rsidRPr="00892132">
        <w:rPr>
          <w:rFonts w:ascii="Arial" w:hAnsi="Arial" w:cs="Arial"/>
          <w:color w:val="00B050"/>
          <w:spacing w:val="3"/>
        </w:rPr>
        <w:t>27.</w:t>
      </w:r>
      <w:r>
        <w:rPr>
          <w:rFonts w:ascii="Arial" w:hAnsi="Arial" w:cs="Arial"/>
          <w:color w:val="00B050"/>
          <w:spacing w:val="3"/>
        </w:rPr>
        <w:t> </w:t>
      </w:r>
      <w:r w:rsidRPr="00892132">
        <w:rPr>
          <w:rFonts w:ascii="Arial" w:hAnsi="Arial" w:cs="Arial"/>
          <w:color w:val="00B050"/>
          <w:spacing w:val="3"/>
        </w:rPr>
        <w:t>11.</w:t>
      </w:r>
      <w:r>
        <w:rPr>
          <w:rFonts w:ascii="Arial" w:hAnsi="Arial" w:cs="Arial"/>
          <w:color w:val="00B050"/>
          <w:spacing w:val="3"/>
        </w:rPr>
        <w:t xml:space="preserve"> </w:t>
      </w:r>
      <w:r w:rsidRPr="00892132">
        <w:rPr>
          <w:rFonts w:ascii="Arial" w:hAnsi="Arial" w:cs="Arial"/>
          <w:color w:val="00B050"/>
          <w:spacing w:val="3"/>
        </w:rPr>
        <w:t xml:space="preserve">2000 (nařízení nabylo účinnosti </w:t>
      </w:r>
      <w:r>
        <w:rPr>
          <w:rFonts w:ascii="Arial" w:hAnsi="Arial" w:cs="Arial"/>
          <w:color w:val="00B050"/>
          <w:spacing w:val="3"/>
        </w:rPr>
        <w:t>1</w:t>
      </w:r>
      <w:r w:rsidRPr="00892132">
        <w:rPr>
          <w:rFonts w:ascii="Arial" w:hAnsi="Arial" w:cs="Arial"/>
          <w:color w:val="00B050"/>
          <w:spacing w:val="3"/>
        </w:rPr>
        <w:t>. ledna 2000) a pro zjednodušení metodických pokynů pro navrhování sídelních útvarů z hlediska ochrany obyvatelstva před nadměrným hlukem z dopravy. Výpočet je proveden v tabulkové části dokumentace.</w:t>
      </w:r>
    </w:p>
    <w:p w14:paraId="242950AF" w14:textId="77777777" w:rsidR="006031D6" w:rsidRPr="00892132" w:rsidRDefault="006031D6" w:rsidP="006031D6">
      <w:pPr>
        <w:spacing w:before="120" w:line="288" w:lineRule="auto"/>
        <w:rPr>
          <w:rFonts w:ascii="Arial" w:hAnsi="Arial" w:cs="Arial"/>
          <w:color w:val="00B050"/>
          <w:spacing w:val="3"/>
        </w:rPr>
      </w:pPr>
      <w:r w:rsidRPr="00892132">
        <w:rPr>
          <w:rFonts w:ascii="Arial" w:hAnsi="Arial" w:cs="Arial"/>
          <w:color w:val="00B050"/>
          <w:spacing w:val="3"/>
        </w:rPr>
        <w:br w:type="page"/>
      </w:r>
    </w:p>
    <w:p w14:paraId="600911F4" w14:textId="77777777" w:rsidR="006031D6" w:rsidRPr="00626473" w:rsidRDefault="006031D6" w:rsidP="006031D6">
      <w:pPr>
        <w:tabs>
          <w:tab w:val="decimal" w:pos="72"/>
          <w:tab w:val="decimal" w:pos="144"/>
          <w:tab w:val="right" w:pos="2679"/>
        </w:tabs>
        <w:spacing w:before="36" w:line="276" w:lineRule="auto"/>
        <w:ind w:left="72" w:hanging="72"/>
        <w:rPr>
          <w:rFonts w:ascii="Arial" w:hAnsi="Arial" w:cs="Arial"/>
          <w:b/>
          <w:color w:val="00B050"/>
          <w:spacing w:val="3"/>
          <w:sz w:val="28"/>
        </w:rPr>
      </w:pPr>
      <w:r w:rsidRPr="00626473">
        <w:rPr>
          <w:rFonts w:ascii="Arial" w:hAnsi="Arial" w:cs="Arial"/>
          <w:b/>
          <w:color w:val="00B050"/>
          <w:spacing w:val="3"/>
          <w:sz w:val="28"/>
        </w:rPr>
        <w:lastRenderedPageBreak/>
        <w:t>TABULKOVÁ ČÁST DOPRAVA</w:t>
      </w:r>
    </w:p>
    <w:p w14:paraId="5702A950" w14:textId="77777777" w:rsidR="006031D6" w:rsidRPr="00626473" w:rsidRDefault="006031D6" w:rsidP="006031D6">
      <w:pPr>
        <w:spacing w:before="36" w:line="276" w:lineRule="auto"/>
        <w:ind w:left="284" w:hanging="284"/>
        <w:rPr>
          <w:rFonts w:ascii="Arial" w:hAnsi="Arial" w:cs="Arial"/>
          <w:color w:val="00B050"/>
          <w:spacing w:val="3"/>
        </w:rPr>
      </w:pPr>
      <w:r w:rsidRPr="006C1318">
        <w:rPr>
          <w:rFonts w:ascii="Arial" w:hAnsi="Arial" w:cs="Arial"/>
          <w:noProof/>
          <w:color w:val="00B050"/>
          <w:spacing w:val="3"/>
          <w:lang w:eastAsia="cs-CZ"/>
        </w:rPr>
        <w:drawing>
          <wp:inline distT="0" distB="0" distL="0" distR="0" wp14:anchorId="3F619768" wp14:editId="1DFA58DC">
            <wp:extent cx="5759450" cy="5260975"/>
            <wp:effectExtent l="38100" t="38100" r="31750" b="34925"/>
            <wp:docPr id="5151" name="Obrázek 5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759450" cy="5260975"/>
                    </a:xfrm>
                    <a:prstGeom prst="rect">
                      <a:avLst/>
                    </a:prstGeom>
                    <a:noFill/>
                    <a:ln w="38100" cmpd="sng">
                      <a:solidFill>
                        <a:srgbClr val="00B050"/>
                      </a:solidFill>
                      <a:miter lim="800000"/>
                      <a:headEnd/>
                      <a:tailEnd/>
                    </a:ln>
                    <a:effectLst/>
                  </pic:spPr>
                </pic:pic>
              </a:graphicData>
            </a:graphic>
          </wp:inline>
        </w:drawing>
      </w:r>
    </w:p>
    <w:p w14:paraId="1C263C94" w14:textId="77777777" w:rsidR="006031D6" w:rsidRPr="00626473" w:rsidRDefault="006031D6" w:rsidP="006031D6">
      <w:pPr>
        <w:tabs>
          <w:tab w:val="decimal" w:pos="72"/>
          <w:tab w:val="decimal" w:pos="144"/>
          <w:tab w:val="right" w:pos="2679"/>
        </w:tabs>
        <w:spacing w:before="36" w:line="276" w:lineRule="auto"/>
        <w:ind w:left="72"/>
        <w:rPr>
          <w:rFonts w:ascii="Arial" w:hAnsi="Arial" w:cs="Arial"/>
          <w:b/>
          <w:color w:val="00B050"/>
          <w:spacing w:val="3"/>
        </w:rPr>
      </w:pPr>
    </w:p>
    <w:p w14:paraId="01EEBD6E" w14:textId="77777777" w:rsidR="006031D6" w:rsidRPr="00542EB3" w:rsidRDefault="006031D6" w:rsidP="006031D6">
      <w:pPr>
        <w:spacing w:before="120" w:line="288" w:lineRule="auto"/>
        <w:ind w:hanging="29"/>
        <w:rPr>
          <w:rFonts w:ascii="Arial" w:hAnsi="Arial" w:cs="Arial"/>
          <w:b/>
          <w:color w:val="BF8F00"/>
        </w:rPr>
      </w:pPr>
      <w:r w:rsidRPr="00542EB3">
        <w:rPr>
          <w:rFonts w:ascii="Arial" w:hAnsi="Arial" w:cs="Arial"/>
          <w:b/>
          <w:color w:val="BF8F00"/>
        </w:rPr>
        <w:t>(Z2) KONCEPCE DOPRAVY</w:t>
      </w:r>
    </w:p>
    <w:p w14:paraId="3EE5D943" w14:textId="77777777" w:rsidR="006031D6" w:rsidRPr="00542EB3" w:rsidRDefault="006031D6" w:rsidP="006031D6">
      <w:pPr>
        <w:spacing w:before="120" w:line="288" w:lineRule="auto"/>
        <w:rPr>
          <w:rFonts w:ascii="Arial" w:hAnsi="Arial" w:cs="Arial"/>
          <w:b/>
          <w:color w:val="BF8F00"/>
        </w:rPr>
      </w:pPr>
      <w:r w:rsidRPr="00542EB3">
        <w:rPr>
          <w:rFonts w:ascii="Arial" w:hAnsi="Arial" w:cs="Arial"/>
          <w:b/>
          <w:color w:val="BF8F00"/>
        </w:rPr>
        <w:t>DÁLNIČNÍ A SILNIČNÍ SÍŤ</w:t>
      </w:r>
    </w:p>
    <w:p w14:paraId="12CCB0F1" w14:textId="77777777" w:rsidR="006031D6" w:rsidRPr="00542EB3" w:rsidRDefault="006031D6" w:rsidP="006031D6">
      <w:pPr>
        <w:spacing w:before="120" w:line="288" w:lineRule="auto"/>
        <w:ind w:firstLine="709"/>
        <w:rPr>
          <w:rFonts w:ascii="Arial" w:hAnsi="Arial" w:cs="Arial"/>
          <w:color w:val="BF8F00"/>
        </w:rPr>
      </w:pPr>
      <w:r w:rsidRPr="00542EB3">
        <w:rPr>
          <w:rFonts w:ascii="Arial" w:hAnsi="Arial" w:cs="Arial"/>
          <w:color w:val="BF8F00"/>
        </w:rPr>
        <w:t>Územím města jsou vedeny silnice I., II. a III. třídy. Úpravy na silniční síti nejsou předmětem řešení změny č. 2 územního plánu města Děčína.</w:t>
      </w:r>
    </w:p>
    <w:p w14:paraId="51ACD09C" w14:textId="77777777" w:rsidR="006031D6" w:rsidRPr="00542EB3" w:rsidRDefault="006031D6" w:rsidP="006031D6">
      <w:pPr>
        <w:spacing w:before="120" w:line="288" w:lineRule="auto"/>
        <w:ind w:firstLine="709"/>
        <w:rPr>
          <w:rFonts w:ascii="Arial" w:hAnsi="Arial" w:cs="Arial"/>
          <w:color w:val="BF8F00"/>
        </w:rPr>
      </w:pPr>
      <w:r w:rsidRPr="00542EB3">
        <w:rPr>
          <w:rFonts w:ascii="Arial" w:hAnsi="Arial" w:cs="Arial"/>
          <w:color w:val="BF8F00"/>
        </w:rPr>
        <w:t>Řešení „Folknářské spojky“ navržené územním plánem V roce 2002 se 2. změnou UPn M nemění. Koncepce směrového řešení silnice I/13 bude předmětem řešení nového územního plánu kraje. Do doby konečného řešení zůstává „Folknářská spojka součástí závazné části “UPn M z roku 2002.</w:t>
      </w:r>
    </w:p>
    <w:p w14:paraId="6DCBE050" w14:textId="77777777" w:rsidR="006031D6" w:rsidRPr="00542EB3" w:rsidRDefault="006031D6" w:rsidP="006031D6">
      <w:pPr>
        <w:spacing w:before="120" w:line="288" w:lineRule="auto"/>
        <w:rPr>
          <w:rFonts w:ascii="Arial" w:hAnsi="Arial" w:cs="Arial"/>
          <w:b/>
          <w:color w:val="BF8F00"/>
        </w:rPr>
      </w:pPr>
      <w:r w:rsidRPr="00542EB3">
        <w:rPr>
          <w:rFonts w:ascii="Arial" w:hAnsi="Arial" w:cs="Arial"/>
          <w:b/>
          <w:color w:val="BF8F00"/>
        </w:rPr>
        <w:t>SÍŤ MÍSTNÍCH KO</w:t>
      </w:r>
      <w:r>
        <w:rPr>
          <w:rFonts w:ascii="Arial" w:hAnsi="Arial" w:cs="Arial"/>
          <w:b/>
          <w:color w:val="BF8F00"/>
        </w:rPr>
        <w:t>MUNIKACÍ</w:t>
      </w:r>
    </w:p>
    <w:p w14:paraId="41694FA1" w14:textId="77777777" w:rsidR="006031D6" w:rsidRPr="00542EB3" w:rsidRDefault="006031D6" w:rsidP="006031D6">
      <w:pPr>
        <w:spacing w:before="120" w:line="288" w:lineRule="auto"/>
        <w:ind w:firstLine="709"/>
        <w:rPr>
          <w:rFonts w:ascii="Arial" w:hAnsi="Arial" w:cs="Arial"/>
          <w:color w:val="BF8F00"/>
        </w:rPr>
      </w:pPr>
      <w:r w:rsidRPr="00542EB3">
        <w:rPr>
          <w:rFonts w:ascii="Arial" w:hAnsi="Arial" w:cs="Arial"/>
          <w:color w:val="BF8F00"/>
        </w:rPr>
        <w:t>Všechny plochy určené pro výstavbu rodinných domů a objektů vybavenosti mají navrženy komunikační přístupy</w:t>
      </w:r>
    </w:p>
    <w:p w14:paraId="0020A2FE" w14:textId="77777777" w:rsidR="006031D6" w:rsidRPr="00542EB3" w:rsidRDefault="006031D6" w:rsidP="006031D6">
      <w:pPr>
        <w:spacing w:before="120" w:line="288" w:lineRule="auto"/>
        <w:ind w:firstLine="709"/>
        <w:rPr>
          <w:rFonts w:ascii="Arial" w:hAnsi="Arial" w:cs="Arial"/>
          <w:color w:val="BF8F00"/>
        </w:rPr>
      </w:pPr>
      <w:r w:rsidRPr="00542EB3">
        <w:rPr>
          <w:rFonts w:ascii="Arial" w:hAnsi="Arial" w:cs="Arial"/>
          <w:color w:val="BF8F00"/>
        </w:rPr>
        <w:lastRenderedPageBreak/>
        <w:t>V územním plánu jsou navrženy:</w:t>
      </w:r>
    </w:p>
    <w:p w14:paraId="7F199308" w14:textId="77777777" w:rsidR="006031D6" w:rsidRPr="00542EB3" w:rsidRDefault="006031D6" w:rsidP="006031D6">
      <w:pPr>
        <w:pStyle w:val="Odstavecseseznamem"/>
        <w:numPr>
          <w:ilvl w:val="0"/>
          <w:numId w:val="43"/>
        </w:numPr>
        <w:spacing w:before="120" w:after="0" w:line="288" w:lineRule="auto"/>
        <w:ind w:left="426"/>
        <w:jc w:val="both"/>
        <w:rPr>
          <w:rFonts w:ascii="Arial" w:hAnsi="Arial" w:cs="Arial"/>
          <w:color w:val="BF8F00"/>
        </w:rPr>
      </w:pPr>
      <w:r w:rsidRPr="00542EB3">
        <w:rPr>
          <w:rFonts w:ascii="Arial" w:hAnsi="Arial" w:cs="Arial"/>
          <w:color w:val="BF8F00"/>
        </w:rPr>
        <w:t>Přístupové komunikace k nově navrženým pozemkům a i nemovitostem v lokalitách č.</w:t>
      </w:r>
      <w:r>
        <w:rPr>
          <w:rFonts w:ascii="Arial" w:hAnsi="Arial" w:cs="Arial"/>
          <w:color w:val="BF8F00"/>
        </w:rPr>
        <w:t> </w:t>
      </w:r>
      <w:r w:rsidRPr="00542EB3">
        <w:rPr>
          <w:rFonts w:ascii="Arial" w:hAnsi="Arial" w:cs="Arial"/>
          <w:color w:val="BF8F00"/>
        </w:rPr>
        <w:t>2Z5a, 2Z18, 2Z21a, b, 2Z31, 2Z1, 2Z8, 2Z9, 2Z20, 2Z28, 2Z3, 2Z27, 2Z25a, 2Z2 a</w:t>
      </w:r>
      <w:r>
        <w:rPr>
          <w:rFonts w:ascii="Arial" w:hAnsi="Arial" w:cs="Arial"/>
          <w:color w:val="BF8F00"/>
        </w:rPr>
        <w:t> </w:t>
      </w:r>
      <w:r w:rsidRPr="00542EB3">
        <w:rPr>
          <w:rFonts w:ascii="Arial" w:hAnsi="Arial" w:cs="Arial"/>
          <w:color w:val="BF8F00"/>
        </w:rPr>
        <w:t>2Z13.</w:t>
      </w:r>
    </w:p>
    <w:p w14:paraId="132A92EC" w14:textId="77777777" w:rsidR="006031D6" w:rsidRPr="00542EB3" w:rsidRDefault="006031D6" w:rsidP="006031D6">
      <w:pPr>
        <w:pStyle w:val="Odstavecseseznamem"/>
        <w:numPr>
          <w:ilvl w:val="0"/>
          <w:numId w:val="43"/>
        </w:numPr>
        <w:spacing w:before="120" w:after="0" w:line="288" w:lineRule="auto"/>
        <w:ind w:left="426"/>
        <w:jc w:val="both"/>
        <w:rPr>
          <w:rFonts w:ascii="Arial" w:hAnsi="Arial" w:cs="Arial"/>
          <w:color w:val="BF8F00"/>
        </w:rPr>
      </w:pPr>
      <w:r w:rsidRPr="00542EB3">
        <w:rPr>
          <w:rFonts w:ascii="Arial" w:hAnsi="Arial" w:cs="Arial"/>
          <w:color w:val="BF8F00"/>
        </w:rPr>
        <w:t>Ostatní lokality jsou zpřístupněny ze stávajících místních komunikací.</w:t>
      </w:r>
    </w:p>
    <w:p w14:paraId="635310B8" w14:textId="77777777" w:rsidR="006031D6" w:rsidRPr="00542EB3" w:rsidRDefault="006031D6" w:rsidP="006031D6">
      <w:pPr>
        <w:pStyle w:val="Odstavecseseznamem"/>
        <w:numPr>
          <w:ilvl w:val="0"/>
          <w:numId w:val="43"/>
        </w:numPr>
        <w:spacing w:before="120" w:after="0" w:line="288" w:lineRule="auto"/>
        <w:ind w:left="426"/>
        <w:jc w:val="both"/>
        <w:rPr>
          <w:rFonts w:ascii="Arial" w:hAnsi="Arial" w:cs="Arial"/>
          <w:color w:val="BF8F00"/>
        </w:rPr>
      </w:pPr>
      <w:r w:rsidRPr="00542EB3">
        <w:rPr>
          <w:rFonts w:ascii="Arial" w:hAnsi="Arial" w:cs="Arial"/>
          <w:color w:val="BF8F00"/>
        </w:rPr>
        <w:t>Výstavba na nových lokalitách</w:t>
      </w:r>
      <w:r>
        <w:rPr>
          <w:rFonts w:ascii="Arial" w:hAnsi="Arial" w:cs="Arial"/>
          <w:color w:val="BF8F00"/>
        </w:rPr>
        <w:t xml:space="preserve"> je podmíněna řešením vazeb na </w:t>
      </w:r>
      <w:r w:rsidRPr="00542EB3">
        <w:rPr>
          <w:rFonts w:ascii="Arial" w:hAnsi="Arial" w:cs="Arial"/>
          <w:color w:val="BF8F00"/>
        </w:rPr>
        <w:t>stávající komunikační síť a nebude na navrhovaných plochách 2. změny realizována bez vyřešení potřebných vazeb v území.</w:t>
      </w:r>
    </w:p>
    <w:p w14:paraId="04B54A66" w14:textId="77777777" w:rsidR="006031D6" w:rsidRPr="00542EB3" w:rsidRDefault="006031D6" w:rsidP="006031D6">
      <w:pPr>
        <w:spacing w:before="120" w:line="288" w:lineRule="auto"/>
        <w:rPr>
          <w:rFonts w:ascii="Arial" w:hAnsi="Arial" w:cs="Arial"/>
          <w:b/>
          <w:color w:val="BF8F00"/>
        </w:rPr>
      </w:pPr>
      <w:r w:rsidRPr="00542EB3">
        <w:rPr>
          <w:rFonts w:ascii="Arial" w:hAnsi="Arial" w:cs="Arial"/>
          <w:b/>
          <w:color w:val="BF8F00"/>
        </w:rPr>
        <w:t>CYKLISTICKÉ TRASY</w:t>
      </w:r>
    </w:p>
    <w:p w14:paraId="39F3DF95" w14:textId="77777777" w:rsidR="006031D6" w:rsidRPr="00542EB3" w:rsidRDefault="006031D6" w:rsidP="006031D6">
      <w:pPr>
        <w:spacing w:before="120" w:line="288" w:lineRule="auto"/>
        <w:ind w:firstLine="709"/>
        <w:rPr>
          <w:rFonts w:ascii="Arial" w:hAnsi="Arial" w:cs="Arial"/>
          <w:color w:val="BF8F00"/>
        </w:rPr>
      </w:pPr>
      <w:r w:rsidRPr="00542EB3">
        <w:rPr>
          <w:rFonts w:ascii="Arial" w:hAnsi="Arial" w:cs="Arial"/>
          <w:color w:val="BF8F00"/>
        </w:rPr>
        <w:t>V územním plánu je navrženo:</w:t>
      </w:r>
    </w:p>
    <w:p w14:paraId="5BD51744" w14:textId="77777777" w:rsidR="006031D6" w:rsidRPr="00542EB3" w:rsidRDefault="006031D6" w:rsidP="006031D6">
      <w:pPr>
        <w:pStyle w:val="Odstavecseseznamem"/>
        <w:numPr>
          <w:ilvl w:val="0"/>
          <w:numId w:val="43"/>
        </w:numPr>
        <w:spacing w:before="120" w:after="0" w:line="288" w:lineRule="auto"/>
        <w:ind w:left="426"/>
        <w:jc w:val="both"/>
        <w:rPr>
          <w:rFonts w:ascii="Arial" w:hAnsi="Arial" w:cs="Arial"/>
          <w:color w:val="BF8F00"/>
        </w:rPr>
      </w:pPr>
      <w:r>
        <w:rPr>
          <w:rFonts w:ascii="Arial" w:hAnsi="Arial" w:cs="Arial"/>
          <w:color w:val="BF8F00"/>
        </w:rPr>
        <w:t>C</w:t>
      </w:r>
      <w:r w:rsidRPr="00542EB3">
        <w:rPr>
          <w:rFonts w:ascii="Arial" w:hAnsi="Arial" w:cs="Arial"/>
          <w:color w:val="BF8F00"/>
        </w:rPr>
        <w:t>yklistická stezka podél Jílovského potoka.</w:t>
      </w:r>
    </w:p>
    <w:p w14:paraId="18EA7821" w14:textId="77777777" w:rsidR="006031D6" w:rsidRPr="00542EB3" w:rsidRDefault="006031D6" w:rsidP="006031D6">
      <w:pPr>
        <w:spacing w:before="120" w:line="288" w:lineRule="auto"/>
        <w:rPr>
          <w:rFonts w:ascii="Arial" w:hAnsi="Arial" w:cs="Arial"/>
          <w:b/>
          <w:color w:val="0066FF"/>
        </w:rPr>
      </w:pPr>
    </w:p>
    <w:p w14:paraId="760F3718" w14:textId="77777777" w:rsidR="006031D6" w:rsidRPr="00542EB3" w:rsidRDefault="006031D6" w:rsidP="006031D6">
      <w:pPr>
        <w:spacing w:before="120" w:line="288" w:lineRule="auto"/>
        <w:rPr>
          <w:rFonts w:ascii="Arial" w:hAnsi="Arial" w:cs="Arial"/>
          <w:b/>
          <w:color w:val="0066FF"/>
        </w:rPr>
      </w:pPr>
      <w:r w:rsidRPr="00542EB3">
        <w:rPr>
          <w:rFonts w:ascii="Arial" w:hAnsi="Arial" w:cs="Arial"/>
          <w:b/>
          <w:color w:val="0066FF"/>
        </w:rPr>
        <w:t>(Z4) KONCEPCE DOPRAVY</w:t>
      </w:r>
    </w:p>
    <w:p w14:paraId="40C17AE5" w14:textId="77777777" w:rsidR="006031D6" w:rsidRPr="00542EB3" w:rsidRDefault="006031D6" w:rsidP="006031D6">
      <w:pPr>
        <w:spacing w:before="120" w:line="288" w:lineRule="auto"/>
        <w:rPr>
          <w:rFonts w:ascii="Arial" w:hAnsi="Arial" w:cs="Arial"/>
          <w:b/>
          <w:color w:val="0066FF"/>
        </w:rPr>
      </w:pPr>
      <w:r w:rsidRPr="00542EB3">
        <w:rPr>
          <w:rFonts w:ascii="Arial" w:hAnsi="Arial" w:cs="Arial"/>
          <w:b/>
          <w:color w:val="0066FF"/>
        </w:rPr>
        <w:t>ÚVODEM</w:t>
      </w:r>
    </w:p>
    <w:p w14:paraId="599481AD"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Návrh dopravy v řešeném území města Děčína vychází v rámci změny č.</w:t>
      </w:r>
      <w:r>
        <w:rPr>
          <w:rFonts w:ascii="Arial" w:hAnsi="Arial" w:cs="Arial"/>
          <w:color w:val="0066FF"/>
        </w:rPr>
        <w:t xml:space="preserve"> </w:t>
      </w:r>
      <w:r w:rsidRPr="00542EB3">
        <w:rPr>
          <w:rFonts w:ascii="Arial" w:hAnsi="Arial" w:cs="Arial"/>
          <w:color w:val="0066FF"/>
        </w:rPr>
        <w:t>4 z</w:t>
      </w:r>
      <w:r>
        <w:rPr>
          <w:rFonts w:ascii="Arial" w:hAnsi="Arial" w:cs="Arial"/>
          <w:color w:val="0066FF"/>
        </w:rPr>
        <w:t> </w:t>
      </w:r>
      <w:r w:rsidRPr="00542EB3">
        <w:rPr>
          <w:rFonts w:ascii="Arial" w:hAnsi="Arial" w:cs="Arial"/>
          <w:color w:val="0066FF"/>
        </w:rPr>
        <w:t>koncepčních zásad, které jsou považovány v současné době v území za ustálené. Na</w:t>
      </w:r>
      <w:r>
        <w:rPr>
          <w:rFonts w:ascii="Arial" w:hAnsi="Arial" w:cs="Arial"/>
          <w:color w:val="0066FF"/>
        </w:rPr>
        <w:t> </w:t>
      </w:r>
      <w:r w:rsidRPr="00542EB3">
        <w:rPr>
          <w:rFonts w:ascii="Arial" w:hAnsi="Arial" w:cs="Arial"/>
          <w:color w:val="0066FF"/>
        </w:rPr>
        <w:t>základě současných znalostí o území a vývojových předp</w:t>
      </w:r>
      <w:r>
        <w:rPr>
          <w:rFonts w:ascii="Arial" w:hAnsi="Arial" w:cs="Arial"/>
          <w:color w:val="0066FF"/>
        </w:rPr>
        <w:t>okladů lze za stabilní označit</w:t>
      </w:r>
      <w:r w:rsidRPr="00542EB3">
        <w:rPr>
          <w:rFonts w:ascii="Arial" w:hAnsi="Arial" w:cs="Arial"/>
          <w:color w:val="0066FF"/>
        </w:rPr>
        <w:t xml:space="preserve"> 3</w:t>
      </w:r>
      <w:r>
        <w:rPr>
          <w:rFonts w:ascii="Arial" w:hAnsi="Arial" w:cs="Arial"/>
          <w:color w:val="0066FF"/>
        </w:rPr>
        <w:t> </w:t>
      </w:r>
      <w:r w:rsidRPr="00542EB3">
        <w:rPr>
          <w:rFonts w:ascii="Arial" w:hAnsi="Arial" w:cs="Arial"/>
          <w:color w:val="0066FF"/>
        </w:rPr>
        <w:t>následující:</w:t>
      </w:r>
    </w:p>
    <w:p w14:paraId="313FA590"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Síť stávajících místních komunikací je V řešené lokalitě, týkajících se změny územního plánu stabilizovaná &amp; plně funkční. V souvislosti s novou výstavbou však budou některé komunikace intenzivněji zatížené a budou vyžadovat úpravu šířkových parametrů.</w:t>
      </w:r>
    </w:p>
    <w:p w14:paraId="71BF4560"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Železniční síť je na území města stabilizovaná &amp; změnou územního plánu nebude dotčena.</w:t>
      </w:r>
      <w:r w:rsidRPr="00542EB3">
        <w:rPr>
          <w:rFonts w:ascii="Arial" w:hAnsi="Arial" w:cs="Arial"/>
          <w:noProof/>
          <w:color w:val="0066FF"/>
        </w:rPr>
        <w:t xml:space="preserve"> </w:t>
      </w:r>
    </w:p>
    <w:p w14:paraId="51D55954" w14:textId="77777777" w:rsidR="006031D6" w:rsidRPr="00542EB3" w:rsidRDefault="006031D6" w:rsidP="006031D6">
      <w:pPr>
        <w:spacing w:before="120" w:line="288" w:lineRule="auto"/>
        <w:rPr>
          <w:rFonts w:ascii="Arial" w:hAnsi="Arial" w:cs="Arial"/>
          <w:color w:val="0066FF"/>
        </w:rPr>
      </w:pPr>
    </w:p>
    <w:p w14:paraId="00D0C343" w14:textId="77777777" w:rsidR="006031D6" w:rsidRPr="00542EB3" w:rsidRDefault="006031D6" w:rsidP="006031D6">
      <w:pPr>
        <w:spacing w:before="120" w:line="288" w:lineRule="auto"/>
        <w:rPr>
          <w:rFonts w:ascii="Arial" w:hAnsi="Arial" w:cs="Arial"/>
          <w:b/>
          <w:color w:val="0066FF"/>
        </w:rPr>
      </w:pPr>
      <w:r w:rsidRPr="00542EB3">
        <w:rPr>
          <w:rFonts w:ascii="Arial" w:hAnsi="Arial" w:cs="Arial"/>
          <w:b/>
          <w:color w:val="0066FF"/>
        </w:rPr>
        <w:t>NÁVRH KONCEPCE DOPRAVY</w:t>
      </w:r>
    </w:p>
    <w:p w14:paraId="63DF895A"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Návrh dopravního řešení vychází z podkladů a požadavků zástupce pořizovatele dokumentace. Návrh dopravního řešení 4. změny tyto aspekty zohledňuje a požadavky na</w:t>
      </w:r>
      <w:r>
        <w:rPr>
          <w:rFonts w:ascii="Arial" w:hAnsi="Arial" w:cs="Arial"/>
          <w:color w:val="0066FF"/>
        </w:rPr>
        <w:t> </w:t>
      </w:r>
      <w:r w:rsidRPr="00542EB3">
        <w:rPr>
          <w:rFonts w:ascii="Arial" w:hAnsi="Arial" w:cs="Arial"/>
          <w:color w:val="0066FF"/>
        </w:rPr>
        <w:t>optimální rozvoj území uplatňuje.</w:t>
      </w:r>
    </w:p>
    <w:p w14:paraId="11A51B64" w14:textId="77777777" w:rsidR="006031D6" w:rsidRPr="00542EB3" w:rsidRDefault="006031D6" w:rsidP="006031D6">
      <w:pPr>
        <w:spacing w:before="120" w:line="288" w:lineRule="auto"/>
        <w:rPr>
          <w:rFonts w:ascii="Arial" w:hAnsi="Arial" w:cs="Arial"/>
          <w:b/>
          <w:color w:val="0066FF"/>
        </w:rPr>
      </w:pPr>
      <w:r w:rsidRPr="00542EB3">
        <w:rPr>
          <w:rFonts w:ascii="Arial" w:hAnsi="Arial" w:cs="Arial"/>
          <w:b/>
          <w:color w:val="0066FF"/>
        </w:rPr>
        <w:t>Silniční sít'</w:t>
      </w:r>
    </w:p>
    <w:p w14:paraId="0618742B"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Změna č.</w:t>
      </w:r>
      <w:r>
        <w:rPr>
          <w:rFonts w:ascii="Arial" w:hAnsi="Arial" w:cs="Arial"/>
          <w:color w:val="0066FF"/>
        </w:rPr>
        <w:t xml:space="preserve"> </w:t>
      </w:r>
      <w:r w:rsidRPr="00542EB3">
        <w:rPr>
          <w:rFonts w:ascii="Arial" w:hAnsi="Arial" w:cs="Arial"/>
          <w:color w:val="0066FF"/>
        </w:rPr>
        <w:t>4 ÚPn M Děčína se silniční sítě netýká.</w:t>
      </w:r>
    </w:p>
    <w:p w14:paraId="732D48DF" w14:textId="77777777" w:rsidR="006031D6" w:rsidRPr="00542EB3" w:rsidRDefault="006031D6" w:rsidP="006031D6">
      <w:pPr>
        <w:spacing w:before="120" w:line="288" w:lineRule="auto"/>
        <w:rPr>
          <w:rFonts w:ascii="Arial" w:hAnsi="Arial" w:cs="Arial"/>
          <w:b/>
          <w:color w:val="0066FF"/>
        </w:rPr>
      </w:pPr>
      <w:r w:rsidRPr="00542EB3">
        <w:rPr>
          <w:rFonts w:ascii="Arial" w:hAnsi="Arial" w:cs="Arial"/>
          <w:b/>
          <w:color w:val="0066FF"/>
        </w:rPr>
        <w:t>Síť místních komunikací</w:t>
      </w:r>
    </w:p>
    <w:p w14:paraId="2B517625"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Síť místních komunikací (MK) zahrnuje systém obslužných MK, zpřístupňujících detailně obytné objekty (rodinné domy).</w:t>
      </w:r>
    </w:p>
    <w:p w14:paraId="6F2E28E7"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lastRenderedPageBreak/>
        <w:t>Obslužné komunikace mají funkční třídu C a zpřístupňují jednotlivé části území a</w:t>
      </w:r>
      <w:r>
        <w:rPr>
          <w:rFonts w:ascii="Arial" w:hAnsi="Arial" w:cs="Arial"/>
          <w:color w:val="0066FF"/>
        </w:rPr>
        <w:t> </w:t>
      </w:r>
      <w:r w:rsidRPr="00542EB3">
        <w:rPr>
          <w:rFonts w:ascii="Arial" w:hAnsi="Arial" w:cs="Arial"/>
          <w:color w:val="0066FF"/>
        </w:rPr>
        <w:t xml:space="preserve">konkrétní objekty rodinných domů. Odpovídají základní kategorii MO2 10,6/6,5/30. </w:t>
      </w:r>
    </w:p>
    <w:p w14:paraId="58E4205A"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Ve změně č.</w:t>
      </w:r>
      <w:r>
        <w:rPr>
          <w:rFonts w:ascii="Arial" w:hAnsi="Arial" w:cs="Arial"/>
          <w:color w:val="0066FF"/>
        </w:rPr>
        <w:t xml:space="preserve"> </w:t>
      </w:r>
      <w:r w:rsidRPr="00542EB3">
        <w:rPr>
          <w:rFonts w:ascii="Arial" w:hAnsi="Arial" w:cs="Arial"/>
          <w:color w:val="0066FF"/>
        </w:rPr>
        <w:t>4 územního plánu města Děčína jsou navrženy:</w:t>
      </w:r>
    </w:p>
    <w:p w14:paraId="42B9EF0B"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Rozšíření a komplexní rekonstrukce Albánské ulice; komunikace zpřístupňuje severní část lokality určené pro výstavbu RD. Navržená komunikace je obousměrná a odpovídá funkční třídě C základní kategorie MO2 10,6/6,5/30.</w:t>
      </w:r>
    </w:p>
    <w:p w14:paraId="7214445F"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Nová místní komunikace, zpřístupňující severní část lokality RD; je navržena jako pokračování Albánské ulice. Komunikace je obousměrná a odpovídá funkční třídě C základní kategorie Mo2 10,6/6,5/30.</w:t>
      </w:r>
    </w:p>
    <w:p w14:paraId="0E8FE661"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Vjezd do lokality RD na konci MK navržené v původním územním plánu; propojení z</w:t>
      </w:r>
      <w:r>
        <w:rPr>
          <w:rFonts w:ascii="Arial" w:hAnsi="Arial" w:cs="Arial"/>
          <w:color w:val="0066FF"/>
        </w:rPr>
        <w:t> </w:t>
      </w:r>
      <w:r w:rsidRPr="00542EB3">
        <w:rPr>
          <w:rFonts w:ascii="Arial" w:hAnsi="Arial" w:cs="Arial"/>
          <w:color w:val="0066FF"/>
        </w:rPr>
        <w:t>této komunikace do ulice Polská je zrušeno.</w:t>
      </w:r>
    </w:p>
    <w:p w14:paraId="4185C013" w14:textId="77777777" w:rsidR="006031D6" w:rsidRPr="00542EB3" w:rsidRDefault="006031D6" w:rsidP="006031D6">
      <w:pPr>
        <w:spacing w:before="120" w:line="288" w:lineRule="auto"/>
        <w:rPr>
          <w:rFonts w:ascii="Arial" w:hAnsi="Arial" w:cs="Arial"/>
          <w:b/>
          <w:color w:val="0066FF"/>
        </w:rPr>
      </w:pPr>
      <w:r w:rsidRPr="00542EB3">
        <w:rPr>
          <w:rFonts w:ascii="Arial" w:hAnsi="Arial" w:cs="Arial"/>
          <w:b/>
          <w:color w:val="0066FF"/>
        </w:rPr>
        <w:t>Železniční síť</w:t>
      </w:r>
    </w:p>
    <w:p w14:paraId="43267284"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Změna územního plánu se železniční sítě netýká, lokalita je pouze zčásti v ochranném pásmu železniční tratě č. 132 Děčín - Oldřichov.</w:t>
      </w:r>
    </w:p>
    <w:p w14:paraId="35041516" w14:textId="77777777" w:rsidR="006031D6" w:rsidRPr="00542EB3" w:rsidRDefault="006031D6" w:rsidP="006031D6">
      <w:pPr>
        <w:spacing w:before="120" w:line="288" w:lineRule="auto"/>
        <w:rPr>
          <w:rFonts w:ascii="Arial" w:hAnsi="Arial" w:cs="Arial"/>
          <w:b/>
          <w:color w:val="0066FF"/>
        </w:rPr>
      </w:pPr>
      <w:r w:rsidRPr="00542EB3">
        <w:rPr>
          <w:rFonts w:ascii="Arial" w:hAnsi="Arial" w:cs="Arial"/>
          <w:b/>
          <w:color w:val="0066FF"/>
        </w:rPr>
        <w:t>Ostatní dopravní síť</w:t>
      </w:r>
    </w:p>
    <w:p w14:paraId="78A9AC61"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Podél východního okraje lokality určené pro výstavbu RD je navržen chodník pro pěší. Původní navržená místní komunikace je zrušena. Cyklistická trasa (navržená v</w:t>
      </w:r>
      <w:r>
        <w:rPr>
          <w:rFonts w:ascii="Arial" w:hAnsi="Arial" w:cs="Arial"/>
          <w:color w:val="0066FF"/>
        </w:rPr>
        <w:t> </w:t>
      </w:r>
      <w:r w:rsidRPr="00542EB3">
        <w:rPr>
          <w:rFonts w:ascii="Arial" w:hAnsi="Arial" w:cs="Arial"/>
          <w:color w:val="0066FF"/>
        </w:rPr>
        <w:t>původním územním plánu) vedená ulicí Albánská je zachována. Změna č.</w:t>
      </w:r>
      <w:r>
        <w:rPr>
          <w:rFonts w:ascii="Arial" w:hAnsi="Arial" w:cs="Arial"/>
          <w:color w:val="0066FF"/>
        </w:rPr>
        <w:t xml:space="preserve"> </w:t>
      </w:r>
      <w:r w:rsidRPr="00542EB3">
        <w:rPr>
          <w:rFonts w:ascii="Arial" w:hAnsi="Arial" w:cs="Arial"/>
          <w:color w:val="0066FF"/>
        </w:rPr>
        <w:t>4 ÚPn M Děčína se netýká zemědělské dopravy.</w:t>
      </w:r>
    </w:p>
    <w:p w14:paraId="2046F8B4" w14:textId="77777777" w:rsidR="006031D6" w:rsidRPr="00542EB3" w:rsidRDefault="006031D6" w:rsidP="006031D6">
      <w:pPr>
        <w:spacing w:before="120" w:line="288" w:lineRule="auto"/>
        <w:rPr>
          <w:rFonts w:ascii="Arial" w:hAnsi="Arial" w:cs="Arial"/>
          <w:b/>
          <w:color w:val="0066FF"/>
        </w:rPr>
      </w:pPr>
      <w:r w:rsidRPr="00542EB3">
        <w:rPr>
          <w:rFonts w:ascii="Arial" w:hAnsi="Arial" w:cs="Arial"/>
          <w:b/>
          <w:color w:val="0066FF"/>
        </w:rPr>
        <w:t>Klidová doprava</w:t>
      </w:r>
    </w:p>
    <w:p w14:paraId="5DBFE7C8"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U výstavby rodinných domů je držena zásada, že pro parkování a odstavování vozidel jsou určeny plochy před vjezdy do [garáží u jednotlivých RD nebo na vlastních pozemcích těchto objektů. Změna č.</w:t>
      </w:r>
      <w:r>
        <w:rPr>
          <w:rFonts w:ascii="Arial" w:hAnsi="Arial" w:cs="Arial"/>
          <w:color w:val="0066FF"/>
        </w:rPr>
        <w:t xml:space="preserve"> </w:t>
      </w:r>
      <w:r w:rsidRPr="00542EB3">
        <w:rPr>
          <w:rFonts w:ascii="Arial" w:hAnsi="Arial" w:cs="Arial"/>
          <w:color w:val="0066FF"/>
        </w:rPr>
        <w:t>4 UPn M Děčína se klidové dopravy netýká.</w:t>
      </w:r>
    </w:p>
    <w:p w14:paraId="262BCE0E" w14:textId="77777777" w:rsidR="006031D6" w:rsidRPr="00542EB3" w:rsidRDefault="006031D6" w:rsidP="006031D6">
      <w:pPr>
        <w:spacing w:before="120" w:line="288" w:lineRule="auto"/>
        <w:rPr>
          <w:rFonts w:ascii="Arial" w:hAnsi="Arial" w:cs="Arial"/>
          <w:b/>
          <w:color w:val="0066FF"/>
        </w:rPr>
      </w:pPr>
      <w:r w:rsidRPr="00542EB3">
        <w:rPr>
          <w:rFonts w:ascii="Arial" w:hAnsi="Arial" w:cs="Arial"/>
          <w:b/>
          <w:color w:val="0066FF"/>
        </w:rPr>
        <w:t>Hromadná doprava osob</w:t>
      </w:r>
    </w:p>
    <w:p w14:paraId="798CC639"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Změna č.</w:t>
      </w:r>
      <w:r>
        <w:rPr>
          <w:rFonts w:ascii="Arial" w:hAnsi="Arial" w:cs="Arial"/>
          <w:color w:val="0066FF"/>
        </w:rPr>
        <w:t xml:space="preserve"> </w:t>
      </w:r>
      <w:r w:rsidRPr="00542EB3">
        <w:rPr>
          <w:rFonts w:ascii="Arial" w:hAnsi="Arial" w:cs="Arial"/>
          <w:color w:val="0066FF"/>
        </w:rPr>
        <w:t>4 ÚPn M Děčína se hromadné dopravy osob netýká.</w:t>
      </w:r>
    </w:p>
    <w:p w14:paraId="289D826D" w14:textId="77777777" w:rsidR="006031D6" w:rsidRPr="00542EB3" w:rsidRDefault="006031D6" w:rsidP="006031D6">
      <w:pPr>
        <w:spacing w:before="120" w:line="288" w:lineRule="auto"/>
        <w:rPr>
          <w:rFonts w:ascii="Arial" w:hAnsi="Arial" w:cs="Arial"/>
          <w:b/>
          <w:color w:val="0066FF"/>
        </w:rPr>
      </w:pPr>
      <w:r w:rsidRPr="00542EB3">
        <w:rPr>
          <w:rFonts w:ascii="Arial" w:hAnsi="Arial" w:cs="Arial"/>
          <w:b/>
          <w:color w:val="0066FF"/>
        </w:rPr>
        <w:t>Dopravní vybavenost</w:t>
      </w:r>
    </w:p>
    <w:p w14:paraId="3DA1640B" w14:textId="77777777" w:rsidR="006031D6" w:rsidRPr="00542EB3" w:rsidRDefault="006031D6" w:rsidP="006031D6">
      <w:pPr>
        <w:spacing w:before="120" w:line="288" w:lineRule="auto"/>
        <w:ind w:firstLine="709"/>
        <w:rPr>
          <w:rFonts w:ascii="Arial" w:hAnsi="Arial" w:cs="Arial"/>
          <w:color w:val="0066FF"/>
        </w:rPr>
      </w:pPr>
      <w:r w:rsidRPr="00542EB3">
        <w:rPr>
          <w:rFonts w:ascii="Arial" w:hAnsi="Arial" w:cs="Arial"/>
          <w:color w:val="0066FF"/>
        </w:rPr>
        <w:t>Změna č.</w:t>
      </w:r>
      <w:r>
        <w:rPr>
          <w:rFonts w:ascii="Arial" w:hAnsi="Arial" w:cs="Arial"/>
          <w:color w:val="0066FF"/>
        </w:rPr>
        <w:t xml:space="preserve"> </w:t>
      </w:r>
      <w:r w:rsidRPr="00542EB3">
        <w:rPr>
          <w:rFonts w:ascii="Arial" w:hAnsi="Arial" w:cs="Arial"/>
          <w:color w:val="0066FF"/>
        </w:rPr>
        <w:t>4 ÚPn M Děčína se dopravní vybavenosti netýká.</w:t>
      </w:r>
    </w:p>
    <w:p w14:paraId="7387C8AB" w14:textId="77777777" w:rsidR="006031D6" w:rsidRPr="00542EB3" w:rsidRDefault="006031D6" w:rsidP="006031D6">
      <w:pPr>
        <w:spacing w:before="120" w:line="288" w:lineRule="auto"/>
        <w:ind w:firstLine="709"/>
        <w:rPr>
          <w:rFonts w:ascii="Arial" w:hAnsi="Arial" w:cs="Arial"/>
          <w:color w:val="0066FF"/>
        </w:rPr>
      </w:pPr>
    </w:p>
    <w:p w14:paraId="3B2A3DAF" w14:textId="77777777" w:rsidR="006031D6" w:rsidRPr="00542EB3" w:rsidRDefault="006031D6" w:rsidP="006031D6">
      <w:pPr>
        <w:spacing w:before="120" w:line="288" w:lineRule="auto"/>
        <w:rPr>
          <w:rFonts w:ascii="Arial" w:hAnsi="Arial" w:cs="Arial"/>
          <w:b/>
          <w:color w:val="D60093"/>
        </w:rPr>
      </w:pPr>
      <w:r w:rsidRPr="00542EB3">
        <w:rPr>
          <w:rFonts w:ascii="Arial" w:hAnsi="Arial" w:cs="Arial"/>
          <w:b/>
          <w:color w:val="D60093"/>
        </w:rPr>
        <w:t>(Z6) KONCEPCE DOPRAVY</w:t>
      </w:r>
    </w:p>
    <w:p w14:paraId="5E8D3C43" w14:textId="77777777" w:rsidR="006031D6" w:rsidRPr="00542EB3" w:rsidRDefault="006031D6" w:rsidP="006031D6">
      <w:pPr>
        <w:spacing w:before="120" w:line="288" w:lineRule="auto"/>
        <w:rPr>
          <w:rFonts w:ascii="Arial" w:hAnsi="Arial" w:cs="Arial"/>
          <w:b/>
          <w:color w:val="D60093"/>
        </w:rPr>
      </w:pPr>
      <w:r w:rsidRPr="00542EB3">
        <w:rPr>
          <w:rFonts w:ascii="Arial" w:hAnsi="Arial" w:cs="Arial"/>
          <w:b/>
          <w:color w:val="D60093"/>
        </w:rPr>
        <w:t>KONCEPT ROZVOJE ÚZEMÍ OBCE, OCHRANY A ROZVOJE HODNOT</w:t>
      </w:r>
    </w:p>
    <w:p w14:paraId="6B4DC070" w14:textId="77777777" w:rsidR="006031D6" w:rsidRPr="00542EB3" w:rsidRDefault="006031D6" w:rsidP="006031D6">
      <w:pPr>
        <w:spacing w:before="120" w:line="288" w:lineRule="auto"/>
        <w:ind w:firstLine="709"/>
        <w:rPr>
          <w:rFonts w:ascii="Arial" w:hAnsi="Arial" w:cs="Arial"/>
          <w:color w:val="D60093"/>
        </w:rPr>
      </w:pPr>
      <w:r w:rsidRPr="00542EB3">
        <w:rPr>
          <w:rFonts w:ascii="Arial" w:hAnsi="Arial" w:cs="Arial"/>
          <w:color w:val="D60093"/>
        </w:rPr>
        <w:t xml:space="preserve">Dopravní řešení 6. změny ÚP M Děčín je v souladu s navrženou koncepcí rozvoje města, prezentovanou v původním platném územním plánu včetně všech jeho předchozích změn. Prvky dopravní infrastruktury doplňují urbanistické řešení </w:t>
      </w:r>
      <w:r w:rsidRPr="00542EB3">
        <w:rPr>
          <w:rFonts w:ascii="Arial" w:hAnsi="Arial" w:cs="Arial"/>
          <w:color w:val="D60093"/>
        </w:rPr>
        <w:lastRenderedPageBreak/>
        <w:t>rozvojových lokalit tak, aby každá z lokalit byla dopravně napojena na stávající komunikační síť. Návrh dopravní sítě neomezuje prostupnost územím.</w:t>
      </w:r>
    </w:p>
    <w:p w14:paraId="20DC6A52" w14:textId="77777777" w:rsidR="006031D6" w:rsidRPr="00542EB3" w:rsidRDefault="006031D6" w:rsidP="006031D6">
      <w:pPr>
        <w:spacing w:before="120" w:line="288" w:lineRule="auto"/>
        <w:ind w:firstLine="709"/>
        <w:rPr>
          <w:rFonts w:ascii="Arial" w:hAnsi="Arial" w:cs="Arial"/>
          <w:color w:val="D60093"/>
        </w:rPr>
      </w:pPr>
      <w:r w:rsidRPr="00542EB3">
        <w:rPr>
          <w:rFonts w:ascii="Arial" w:hAnsi="Arial" w:cs="Arial"/>
          <w:color w:val="D60093"/>
        </w:rPr>
        <w:t>Koncepce veřejné infrastruktury a dalšího občanského vybavení včetně podmínek pro jejich umisťování</w:t>
      </w:r>
    </w:p>
    <w:p w14:paraId="42E79957" w14:textId="77777777" w:rsidR="006031D6" w:rsidRPr="00542EB3" w:rsidRDefault="006031D6" w:rsidP="006031D6">
      <w:pPr>
        <w:spacing w:before="120" w:line="288" w:lineRule="auto"/>
        <w:ind w:firstLine="709"/>
        <w:rPr>
          <w:rFonts w:ascii="Arial" w:hAnsi="Arial" w:cs="Arial"/>
          <w:i/>
          <w:color w:val="D60093"/>
        </w:rPr>
      </w:pPr>
    </w:p>
    <w:p w14:paraId="49F2785F" w14:textId="77777777" w:rsidR="006031D6" w:rsidRPr="00542EB3" w:rsidRDefault="006031D6" w:rsidP="006031D6">
      <w:pPr>
        <w:keepNext/>
        <w:spacing w:before="120" w:line="288" w:lineRule="auto"/>
        <w:rPr>
          <w:rFonts w:ascii="Arial" w:hAnsi="Arial" w:cs="Arial"/>
          <w:b/>
          <w:color w:val="D60093"/>
        </w:rPr>
      </w:pPr>
      <w:r w:rsidRPr="00542EB3">
        <w:rPr>
          <w:rFonts w:ascii="Arial" w:hAnsi="Arial" w:cs="Arial"/>
          <w:b/>
          <w:color w:val="D60093"/>
        </w:rPr>
        <w:t>Dopravní infrastruktura</w:t>
      </w:r>
    </w:p>
    <w:p w14:paraId="76009F36" w14:textId="77777777" w:rsidR="006031D6" w:rsidRPr="00542EB3" w:rsidRDefault="006031D6" w:rsidP="006031D6">
      <w:pPr>
        <w:spacing w:before="120" w:line="288" w:lineRule="auto"/>
        <w:rPr>
          <w:rFonts w:ascii="Arial" w:hAnsi="Arial" w:cs="Arial"/>
          <w:color w:val="D60093"/>
        </w:rPr>
      </w:pPr>
      <w:r w:rsidRPr="00542EB3">
        <w:rPr>
          <w:rFonts w:ascii="Arial" w:hAnsi="Arial" w:cs="Arial"/>
          <w:color w:val="D60093"/>
        </w:rPr>
        <w:t>Návrh dopravního řešení vychází z výsledků průzkumu a z podkladů a požadavků zástupců města. Konkrétní návrh dopravního řešení požadavky města zohledňuje a v 6. změně územním plánu je uplatňuje.</w:t>
      </w:r>
    </w:p>
    <w:p w14:paraId="10E8DE7F" w14:textId="77777777" w:rsidR="006031D6" w:rsidRPr="00542EB3" w:rsidRDefault="006031D6" w:rsidP="006031D6">
      <w:pPr>
        <w:keepNext/>
        <w:spacing w:before="120" w:line="288" w:lineRule="auto"/>
        <w:rPr>
          <w:rFonts w:ascii="Arial" w:hAnsi="Arial" w:cs="Arial"/>
          <w:b/>
          <w:color w:val="D60093"/>
        </w:rPr>
      </w:pPr>
      <w:r w:rsidRPr="00542EB3">
        <w:rPr>
          <w:rFonts w:ascii="Arial" w:hAnsi="Arial" w:cs="Arial"/>
          <w:b/>
          <w:color w:val="D60093"/>
        </w:rPr>
        <w:t>Silniční síť</w:t>
      </w:r>
    </w:p>
    <w:p w14:paraId="50AC55A0" w14:textId="77777777" w:rsidR="006031D6" w:rsidRPr="00542EB3" w:rsidRDefault="006031D6" w:rsidP="006031D6">
      <w:pPr>
        <w:spacing w:before="120" w:line="288" w:lineRule="auto"/>
        <w:rPr>
          <w:rFonts w:ascii="Arial" w:hAnsi="Arial" w:cs="Arial"/>
          <w:color w:val="D60093"/>
        </w:rPr>
      </w:pPr>
      <w:r w:rsidRPr="00542EB3">
        <w:rPr>
          <w:rFonts w:ascii="Arial" w:hAnsi="Arial" w:cs="Arial"/>
          <w:color w:val="D60093"/>
        </w:rPr>
        <w:t>Na katastru města Děčín je zastoupena kategorie silnic I., II. a III. třídy., jejich trasy a poloha v území se 6. změnou nemění. Nové úseky silnic se v 6. změně nenavrhují.</w:t>
      </w:r>
    </w:p>
    <w:p w14:paraId="7E5DAA65" w14:textId="77777777" w:rsidR="006031D6" w:rsidRPr="00542EB3" w:rsidRDefault="006031D6" w:rsidP="006031D6">
      <w:pPr>
        <w:keepNext/>
        <w:spacing w:before="120" w:line="288" w:lineRule="auto"/>
        <w:rPr>
          <w:rFonts w:ascii="Arial" w:hAnsi="Arial" w:cs="Arial"/>
          <w:b/>
          <w:color w:val="D60093"/>
        </w:rPr>
      </w:pPr>
      <w:r w:rsidRPr="00542EB3">
        <w:rPr>
          <w:rFonts w:ascii="Arial" w:hAnsi="Arial" w:cs="Arial"/>
          <w:b/>
          <w:color w:val="D60093"/>
        </w:rPr>
        <w:t>Síť místních komunikací</w:t>
      </w:r>
    </w:p>
    <w:p w14:paraId="6A5EEBA3" w14:textId="77777777" w:rsidR="006031D6" w:rsidRPr="00542EB3" w:rsidRDefault="006031D6" w:rsidP="006031D6">
      <w:pPr>
        <w:spacing w:before="120" w:line="288" w:lineRule="auto"/>
        <w:rPr>
          <w:rFonts w:ascii="Arial" w:hAnsi="Arial" w:cs="Arial"/>
          <w:color w:val="D60093"/>
        </w:rPr>
      </w:pPr>
      <w:r w:rsidRPr="00542EB3">
        <w:rPr>
          <w:rFonts w:ascii="Arial" w:hAnsi="Arial" w:cs="Arial"/>
          <w:color w:val="D60093"/>
        </w:rPr>
        <w:t>Všechny plochy určené pro výstavbu mají navrženy přístupové komunikace.</w:t>
      </w:r>
    </w:p>
    <w:p w14:paraId="5682AB4C" w14:textId="77777777" w:rsidR="006031D6" w:rsidRPr="00542EB3" w:rsidRDefault="006031D6" w:rsidP="006031D6">
      <w:pPr>
        <w:spacing w:before="120" w:line="288" w:lineRule="auto"/>
        <w:rPr>
          <w:rFonts w:ascii="Arial" w:hAnsi="Arial" w:cs="Arial"/>
          <w:color w:val="D60093"/>
          <w:u w:val="single"/>
        </w:rPr>
      </w:pPr>
      <w:r w:rsidRPr="00542EB3">
        <w:rPr>
          <w:rFonts w:ascii="Arial" w:hAnsi="Arial" w:cs="Arial"/>
          <w:color w:val="D60093"/>
          <w:u w:val="single"/>
        </w:rPr>
        <w:t>V územním plánu je navrženo:</w:t>
      </w:r>
    </w:p>
    <w:p w14:paraId="6DF26FB4"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t>Přímé vjezdy k lokalitám ze stávajících místních komunikací, kde jednotlivé lokality navazují převážně na místní komunikace a jen částečně na silniční sít'.</w:t>
      </w:r>
    </w:p>
    <w:p w14:paraId="08B43837"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t>Možnost dopravního napojení některých rozvojových ploch byla prokázána zpracovanými dopravními studiemi 62-4, 62-10, 62-23b, 62-26, 62-27a, 62-27b, 62- 27c, 62-32, 62-40, 62-45, 62-47, 62-60, 62-82, 62-86, 62-87.</w:t>
      </w:r>
    </w:p>
    <w:p w14:paraId="04DD5825"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t>Přímé vjezdy k lokalitám z místních komunikací, které byly navrženy v původním územním plánu nebo v jeho následných změnách;6Z-38, 62-40.</w:t>
      </w:r>
    </w:p>
    <w:p w14:paraId="3A8B45D4"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t>Přímé vjezdy k lokalitám ze silnic II. a III. třídy v zastavěném území sídla: 6-21, 62-29, 62-34, 62-43, 62-70, 62-87.</w:t>
      </w:r>
    </w:p>
    <w:p w14:paraId="0C02AD50"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t>Samostatné, nově navržené přístupové komunikace k lokalitám výstavby spadají do místních komunikací obslužných, funkční skupiny C. Jsou to přístupové komunikace k lokalitán1:62-2(), 62-27a, 62-28, 62-57, 62-75.</w:t>
      </w:r>
    </w:p>
    <w:p w14:paraId="5DBF7AA0"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t>Místní komunikace funkční skupiny „C“ jako samostatné lokality; 62-63, 62- 72.</w:t>
      </w:r>
    </w:p>
    <w:p w14:paraId="15D03E8B"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t>Lokality s přímou vazbou na sít' stávajících místních komunikací. Kde samostatné vjezdy nejsou navrženy (většinou objekty občanské vybavenosti a objekty se změnou funkčního využití; 62-15, 62-39, 62-71, 62-81a-c, 62-81d, 62-85.</w:t>
      </w:r>
    </w:p>
    <w:p w14:paraId="70FC1BFB" w14:textId="77777777" w:rsidR="006031D6" w:rsidRPr="00542EB3" w:rsidRDefault="006031D6" w:rsidP="006031D6">
      <w:pPr>
        <w:spacing w:before="120" w:line="288" w:lineRule="auto"/>
        <w:rPr>
          <w:rFonts w:ascii="Arial" w:hAnsi="Arial" w:cs="Arial"/>
          <w:color w:val="D60093"/>
        </w:rPr>
      </w:pPr>
    </w:p>
    <w:p w14:paraId="12CA62F3" w14:textId="77777777" w:rsidR="006031D6" w:rsidRPr="00542EB3" w:rsidRDefault="006031D6" w:rsidP="006031D6">
      <w:pPr>
        <w:spacing w:before="120" w:line="288" w:lineRule="auto"/>
        <w:rPr>
          <w:rFonts w:ascii="Arial" w:hAnsi="Arial" w:cs="Arial"/>
          <w:color w:val="D60093"/>
          <w:u w:val="single"/>
        </w:rPr>
      </w:pPr>
      <w:r w:rsidRPr="00542EB3">
        <w:rPr>
          <w:rFonts w:ascii="Arial" w:hAnsi="Arial" w:cs="Arial"/>
          <w:color w:val="D60093"/>
          <w:u w:val="single"/>
        </w:rPr>
        <w:t>Podmínečně vhodné jsou lokality:</w:t>
      </w:r>
    </w:p>
    <w:p w14:paraId="7942B401"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t>Lokalita 62-87 je. podmíněna splněním hygienických limitů vůči navrhované trase „Folknářské“ spojky (návrh UP M 2 roku 2002).</w:t>
      </w:r>
    </w:p>
    <w:p w14:paraId="0F007F41"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t>Lokalita 27a_b„c je podmíněna nutnou úpravou napojení ulice Třešňová na ulici Vilsnická (úprava rozhledových poměrů).</w:t>
      </w:r>
    </w:p>
    <w:p w14:paraId="211EA1E1"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lastRenderedPageBreak/>
        <w:t>Lokalita 47 bude napojena jedním vjezdem s obratištěm o minimální šíři 8111 mezi oplocením, pro celou plochu.</w:t>
      </w:r>
    </w:p>
    <w:p w14:paraId="2F34F03C"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t>Lokalita 6Z -80 je podmíněna napojením na MK na parcele 1575/2.</w:t>
      </w:r>
    </w:p>
    <w:p w14:paraId="1CF0E9D1" w14:textId="77777777" w:rsidR="006031D6" w:rsidRPr="00542EB3" w:rsidRDefault="006031D6" w:rsidP="006031D6">
      <w:pPr>
        <w:pStyle w:val="Odstavecseseznamem"/>
        <w:numPr>
          <w:ilvl w:val="0"/>
          <w:numId w:val="44"/>
        </w:numPr>
        <w:spacing w:before="120" w:after="0" w:line="288" w:lineRule="auto"/>
        <w:ind w:left="426"/>
        <w:jc w:val="both"/>
        <w:rPr>
          <w:rFonts w:ascii="Arial" w:hAnsi="Arial" w:cs="Arial"/>
          <w:color w:val="D60093"/>
        </w:rPr>
      </w:pPr>
      <w:r w:rsidRPr="00542EB3">
        <w:rPr>
          <w:rFonts w:ascii="Arial" w:hAnsi="Arial" w:cs="Arial"/>
          <w:color w:val="D60093"/>
        </w:rPr>
        <w:t>Plochy 62-20, 62-21, 62- 30, 62- 50, 62- 79, 62- 83. jsou podmíněny kladným výsledkem následných dopravních studií, které navrhnou opatření pro bezkonfliktní napojení lokalit na MK.</w:t>
      </w:r>
    </w:p>
    <w:p w14:paraId="6146BD5B" w14:textId="77777777" w:rsidR="006031D6" w:rsidRPr="00626473" w:rsidRDefault="006031D6" w:rsidP="006031D6">
      <w:pPr>
        <w:keepNext/>
        <w:spacing w:line="276" w:lineRule="auto"/>
        <w:ind w:left="28" w:hanging="28"/>
        <w:rPr>
          <w:rFonts w:ascii="Arial" w:hAnsi="Arial" w:cs="Arial"/>
          <w:b/>
          <w:color w:val="D60093"/>
        </w:rPr>
      </w:pPr>
      <w:r w:rsidRPr="00626473">
        <w:rPr>
          <w:rFonts w:ascii="Arial" w:hAnsi="Arial" w:cs="Arial"/>
          <w:b/>
          <w:color w:val="D60093"/>
        </w:rPr>
        <w:t>Podmínky napojení jednotlivých lokalit na komunikační síť</w:t>
      </w:r>
    </w:p>
    <w:p w14:paraId="71DB425E" w14:textId="77777777" w:rsidR="006031D6" w:rsidRPr="00626473" w:rsidRDefault="006031D6" w:rsidP="006031D6">
      <w:pPr>
        <w:spacing w:line="276" w:lineRule="auto"/>
        <w:ind w:hanging="29"/>
        <w:rPr>
          <w:rFonts w:ascii="Arial" w:hAnsi="Arial" w:cs="Arial"/>
          <w:color w:val="D60093"/>
        </w:rPr>
      </w:pPr>
      <w:r w:rsidRPr="006C1318">
        <w:rPr>
          <w:rFonts w:ascii="Arial" w:hAnsi="Arial" w:cs="Arial"/>
          <w:noProof/>
          <w:color w:val="D60093"/>
          <w:lang w:eastAsia="cs-CZ"/>
        </w:rPr>
        <w:drawing>
          <wp:inline distT="0" distB="0" distL="0" distR="0" wp14:anchorId="282FAEDD" wp14:editId="48541DF1">
            <wp:extent cx="5759450" cy="5747385"/>
            <wp:effectExtent l="38100" t="38100" r="31750" b="43815"/>
            <wp:docPr id="5150" name="Obrázek 5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759450" cy="5747385"/>
                    </a:xfrm>
                    <a:prstGeom prst="rect">
                      <a:avLst/>
                    </a:prstGeom>
                    <a:noFill/>
                    <a:ln w="38100" cmpd="sng">
                      <a:solidFill>
                        <a:srgbClr val="D60093"/>
                      </a:solidFill>
                      <a:miter lim="800000"/>
                      <a:headEnd/>
                      <a:tailEnd/>
                    </a:ln>
                    <a:effectLst/>
                  </pic:spPr>
                </pic:pic>
              </a:graphicData>
            </a:graphic>
          </wp:inline>
        </w:drawing>
      </w:r>
    </w:p>
    <w:p w14:paraId="038E0916" w14:textId="77777777" w:rsidR="006031D6" w:rsidRPr="00626473" w:rsidRDefault="006031D6" w:rsidP="006031D6">
      <w:pPr>
        <w:spacing w:line="276" w:lineRule="auto"/>
        <w:ind w:hanging="29"/>
        <w:rPr>
          <w:rFonts w:ascii="Arial" w:hAnsi="Arial" w:cs="Arial"/>
          <w:color w:val="D60093"/>
        </w:rPr>
      </w:pPr>
      <w:r w:rsidRPr="006C1318">
        <w:rPr>
          <w:rFonts w:ascii="Arial" w:hAnsi="Arial" w:cs="Arial"/>
          <w:noProof/>
          <w:color w:val="D60093"/>
          <w:lang w:eastAsia="cs-CZ"/>
        </w:rPr>
        <w:lastRenderedPageBreak/>
        <w:drawing>
          <wp:inline distT="0" distB="0" distL="0" distR="0" wp14:anchorId="5E0D6F3B" wp14:editId="44710B9E">
            <wp:extent cx="5759450" cy="8039735"/>
            <wp:effectExtent l="38100" t="38100" r="31750" b="37465"/>
            <wp:docPr id="5149" name="Obrázek 5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759450" cy="8039735"/>
                    </a:xfrm>
                    <a:prstGeom prst="rect">
                      <a:avLst/>
                    </a:prstGeom>
                    <a:noFill/>
                    <a:ln w="38100" cmpd="sng">
                      <a:solidFill>
                        <a:srgbClr val="D60093"/>
                      </a:solidFill>
                      <a:miter lim="800000"/>
                      <a:headEnd/>
                      <a:tailEnd/>
                    </a:ln>
                    <a:effectLst/>
                  </pic:spPr>
                </pic:pic>
              </a:graphicData>
            </a:graphic>
          </wp:inline>
        </w:drawing>
      </w:r>
    </w:p>
    <w:p w14:paraId="7AFF4B0F" w14:textId="77777777" w:rsidR="006031D6" w:rsidRPr="00626473" w:rsidRDefault="006031D6" w:rsidP="006031D6">
      <w:pPr>
        <w:spacing w:line="276" w:lineRule="auto"/>
        <w:ind w:hanging="29"/>
        <w:rPr>
          <w:rFonts w:ascii="Arial" w:hAnsi="Arial" w:cs="Arial"/>
          <w:color w:val="D60093"/>
        </w:rPr>
      </w:pPr>
      <w:r w:rsidRPr="006C1318">
        <w:rPr>
          <w:rFonts w:ascii="Arial" w:hAnsi="Arial" w:cs="Arial"/>
          <w:noProof/>
          <w:color w:val="D60093"/>
          <w:lang w:eastAsia="cs-CZ"/>
        </w:rPr>
        <w:lastRenderedPageBreak/>
        <w:drawing>
          <wp:inline distT="0" distB="0" distL="0" distR="0" wp14:anchorId="3FD7766E" wp14:editId="47E71F1F">
            <wp:extent cx="5759450" cy="7790180"/>
            <wp:effectExtent l="38100" t="38100" r="31750" b="39370"/>
            <wp:docPr id="5148" name="Obrázek 5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759450" cy="7790180"/>
                    </a:xfrm>
                    <a:prstGeom prst="rect">
                      <a:avLst/>
                    </a:prstGeom>
                    <a:noFill/>
                    <a:ln w="38100" cmpd="sng">
                      <a:solidFill>
                        <a:srgbClr val="D60093"/>
                      </a:solidFill>
                      <a:miter lim="800000"/>
                      <a:headEnd/>
                      <a:tailEnd/>
                    </a:ln>
                    <a:effectLst/>
                  </pic:spPr>
                </pic:pic>
              </a:graphicData>
            </a:graphic>
          </wp:inline>
        </w:drawing>
      </w:r>
    </w:p>
    <w:p w14:paraId="2EEF75E3" w14:textId="77777777" w:rsidR="006031D6" w:rsidRPr="00626473" w:rsidRDefault="006031D6" w:rsidP="006031D6">
      <w:pPr>
        <w:spacing w:line="276" w:lineRule="auto"/>
        <w:ind w:left="708"/>
        <w:rPr>
          <w:rFonts w:ascii="Arial" w:hAnsi="Arial" w:cs="Arial"/>
          <w:color w:val="D60093"/>
        </w:rPr>
      </w:pPr>
    </w:p>
    <w:p w14:paraId="338A4D9F" w14:textId="77777777" w:rsidR="006031D6" w:rsidRPr="00626473" w:rsidRDefault="006031D6" w:rsidP="006031D6">
      <w:pPr>
        <w:spacing w:before="120" w:line="288" w:lineRule="auto"/>
        <w:ind w:firstLine="709"/>
        <w:rPr>
          <w:rFonts w:ascii="Arial" w:hAnsi="Arial" w:cs="Arial"/>
          <w:color w:val="D60093"/>
        </w:rPr>
      </w:pPr>
      <w:r w:rsidRPr="00626473">
        <w:rPr>
          <w:rFonts w:ascii="Arial" w:hAnsi="Arial" w:cs="Arial"/>
          <w:color w:val="D60093"/>
        </w:rPr>
        <w:t>Součástí dopravního řešení je cyklistická stezka Křešicích, přeložená resp. Upřesněná (ve vztahu k původnímu územnímu plánu) do nové polohy, která není v rozporu s</w:t>
      </w:r>
      <w:r>
        <w:rPr>
          <w:rFonts w:ascii="Arial" w:hAnsi="Arial" w:cs="Arial"/>
          <w:color w:val="D60093"/>
        </w:rPr>
        <w:t> </w:t>
      </w:r>
      <w:r w:rsidRPr="00626473">
        <w:rPr>
          <w:rFonts w:ascii="Arial" w:hAnsi="Arial" w:cs="Arial"/>
          <w:color w:val="D60093"/>
        </w:rPr>
        <w:t>koncepčním záměrem vedení trasy v původním územním plánu.</w:t>
      </w:r>
    </w:p>
    <w:p w14:paraId="5BD0A387" w14:textId="77777777" w:rsidR="006031D6" w:rsidRPr="00626473" w:rsidRDefault="006031D6" w:rsidP="006031D6">
      <w:pPr>
        <w:spacing w:before="120" w:line="288" w:lineRule="auto"/>
        <w:rPr>
          <w:rFonts w:ascii="Arial" w:hAnsi="Arial" w:cs="Arial"/>
          <w:b/>
          <w:color w:val="D60093"/>
        </w:rPr>
      </w:pPr>
      <w:r w:rsidRPr="00626473">
        <w:rPr>
          <w:rFonts w:ascii="Arial" w:hAnsi="Arial" w:cs="Arial"/>
          <w:b/>
          <w:color w:val="D60093"/>
        </w:rPr>
        <w:lastRenderedPageBreak/>
        <w:t>Plochy klidové dopravy</w:t>
      </w:r>
    </w:p>
    <w:p w14:paraId="6E1E58EB" w14:textId="77777777" w:rsidR="006031D6" w:rsidRPr="00626473" w:rsidRDefault="006031D6" w:rsidP="006031D6">
      <w:pPr>
        <w:spacing w:before="120" w:line="288" w:lineRule="auto"/>
        <w:ind w:firstLine="709"/>
        <w:rPr>
          <w:rFonts w:ascii="Arial" w:hAnsi="Arial" w:cs="Arial"/>
          <w:color w:val="D60093"/>
        </w:rPr>
      </w:pPr>
      <w:r w:rsidRPr="00626473">
        <w:rPr>
          <w:rFonts w:ascii="Arial" w:hAnsi="Arial" w:cs="Arial"/>
          <w:color w:val="D60093"/>
        </w:rPr>
        <w:t>Samostatné plochy klidové dopravy vozidla individuální automobilové dopravy nejsou v dopravní části 6. změny územního plánu navrženy. Odstavování a parkování vozidel je na pozemcích určených pro výstavbu rodinných domů.</w:t>
      </w:r>
    </w:p>
    <w:p w14:paraId="1D461846" w14:textId="77777777" w:rsidR="006031D6" w:rsidRDefault="006031D6" w:rsidP="006031D6">
      <w:pPr>
        <w:pStyle w:val="Nadpis4"/>
        <w:spacing w:before="120" w:after="0" w:line="288" w:lineRule="auto"/>
        <w:rPr>
          <w:color w:val="FF0000"/>
          <w:sz w:val="22"/>
          <w:szCs w:val="22"/>
        </w:rPr>
      </w:pPr>
      <w:bookmarkStart w:id="10" w:name="_Toc354838614"/>
    </w:p>
    <w:p w14:paraId="251DF44C" w14:textId="77777777" w:rsidR="006031D6" w:rsidRPr="00940580" w:rsidRDefault="006031D6" w:rsidP="006031D6">
      <w:pPr>
        <w:pStyle w:val="Nadpis4"/>
        <w:spacing w:before="120" w:after="0" w:line="288" w:lineRule="auto"/>
        <w:rPr>
          <w:szCs w:val="24"/>
        </w:rPr>
      </w:pPr>
      <w:r w:rsidRPr="00940580">
        <w:rPr>
          <w:color w:val="FF0000"/>
          <w:szCs w:val="24"/>
        </w:rPr>
        <w:t>(Z8) DOPRAVA</w:t>
      </w:r>
    </w:p>
    <w:p w14:paraId="0931CA4D" w14:textId="77777777" w:rsidR="006031D6" w:rsidRPr="00940580" w:rsidRDefault="006031D6" w:rsidP="006031D6">
      <w:pPr>
        <w:spacing w:before="120" w:line="288" w:lineRule="auto"/>
        <w:ind w:firstLine="709"/>
        <w:rPr>
          <w:rFonts w:ascii="Arial" w:hAnsi="Arial" w:cs="Arial"/>
          <w:color w:val="FF0000"/>
        </w:rPr>
      </w:pPr>
      <w:r w:rsidRPr="00940580">
        <w:rPr>
          <w:rFonts w:ascii="Arial" w:hAnsi="Arial" w:cs="Arial"/>
          <w:color w:val="FF0000"/>
        </w:rPr>
        <w:t>Dopravní řešení 8. změny územního plánu města Děčín je v souladu s navrženou koncepcí rozvoje města. Prvky dopravní infrastruktury doplňují urbanistické řešení rozvojových lokalit tak, aby lokality byly dopravně napojitelné na stávající komunikační síť. Dopravní přístupnost některých ploch je podmíněna řešením úpravy na stávajících místních komunikacích i mimo plochy navržené k rozvoji, nebo prověřením dopravní napojitelnosti. Koncepce dopravního řešení 8. změny územního plánu města Děčín navazuje na návrhy, projednané v rámci 6. změny Územního plánu města Děčín.</w:t>
      </w:r>
    </w:p>
    <w:p w14:paraId="562A9269" w14:textId="77777777" w:rsidR="006031D6" w:rsidRPr="00940580" w:rsidRDefault="006031D6" w:rsidP="006031D6">
      <w:pPr>
        <w:pStyle w:val="Nadpis3"/>
        <w:spacing w:before="120" w:line="288" w:lineRule="auto"/>
        <w:ind w:hanging="29"/>
        <w:rPr>
          <w:rFonts w:ascii="Arial" w:hAnsi="Arial" w:cs="Arial"/>
          <w:color w:val="FF0000"/>
          <w:sz w:val="22"/>
          <w:szCs w:val="22"/>
        </w:rPr>
      </w:pPr>
      <w:r w:rsidRPr="00940580">
        <w:rPr>
          <w:rFonts w:ascii="Arial" w:hAnsi="Arial" w:cs="Arial"/>
          <w:color w:val="FF0000"/>
          <w:sz w:val="22"/>
          <w:szCs w:val="22"/>
        </w:rPr>
        <w:t>NÁVRH 8.</w:t>
      </w:r>
      <w:r>
        <w:rPr>
          <w:rFonts w:ascii="Arial" w:hAnsi="Arial" w:cs="Arial"/>
          <w:color w:val="FF0000"/>
          <w:sz w:val="22"/>
          <w:szCs w:val="22"/>
        </w:rPr>
        <w:t xml:space="preserve"> </w:t>
      </w:r>
      <w:r w:rsidRPr="00940580">
        <w:rPr>
          <w:rFonts w:ascii="Arial" w:hAnsi="Arial" w:cs="Arial"/>
          <w:color w:val="FF0000"/>
          <w:sz w:val="22"/>
          <w:szCs w:val="22"/>
        </w:rPr>
        <w:t>ZMĚNY - SILNIČNÍ SÍŤ</w:t>
      </w:r>
      <w:bookmarkEnd w:id="10"/>
    </w:p>
    <w:p w14:paraId="3A3FA6F4" w14:textId="77777777" w:rsidR="006031D6" w:rsidRPr="00940580" w:rsidRDefault="006031D6" w:rsidP="006031D6">
      <w:pPr>
        <w:spacing w:before="120" w:line="288" w:lineRule="auto"/>
        <w:ind w:firstLine="731"/>
        <w:rPr>
          <w:rFonts w:ascii="Arial" w:hAnsi="Arial" w:cs="Arial"/>
          <w:color w:val="FF0000"/>
        </w:rPr>
      </w:pPr>
      <w:r w:rsidRPr="00940580">
        <w:rPr>
          <w:rFonts w:ascii="Arial" w:hAnsi="Arial" w:cs="Arial"/>
          <w:color w:val="FF0000"/>
        </w:rPr>
        <w:t xml:space="preserve">Na katastru města Děčín je zastoupena kategorie silnic I., II. a III. třídy, jejich trasy a poloha v území se 8. změnou nemění. Nové úseky silnic se ve 8. změně nenavrhují. </w:t>
      </w:r>
    </w:p>
    <w:p w14:paraId="36F4AC31" w14:textId="77777777" w:rsidR="006031D6" w:rsidRPr="00940580" w:rsidRDefault="006031D6" w:rsidP="006031D6">
      <w:pPr>
        <w:pStyle w:val="Nadpis3"/>
        <w:spacing w:before="120" w:line="288" w:lineRule="auto"/>
        <w:rPr>
          <w:rFonts w:ascii="Arial" w:hAnsi="Arial" w:cs="Arial"/>
          <w:color w:val="FF0000"/>
          <w:sz w:val="22"/>
          <w:szCs w:val="22"/>
        </w:rPr>
      </w:pPr>
      <w:bookmarkStart w:id="11" w:name="_Toc354838615"/>
      <w:r w:rsidRPr="00940580">
        <w:rPr>
          <w:rFonts w:ascii="Arial" w:hAnsi="Arial" w:cs="Arial"/>
          <w:color w:val="FF0000"/>
          <w:sz w:val="22"/>
          <w:szCs w:val="22"/>
        </w:rPr>
        <w:t>Síť místních komunikací</w:t>
      </w:r>
      <w:bookmarkEnd w:id="11"/>
    </w:p>
    <w:p w14:paraId="637EAD90" w14:textId="77777777" w:rsidR="006031D6" w:rsidRPr="00940580" w:rsidRDefault="006031D6" w:rsidP="006031D6">
      <w:pPr>
        <w:spacing w:before="120" w:line="288" w:lineRule="auto"/>
        <w:rPr>
          <w:rFonts w:ascii="Arial" w:hAnsi="Arial" w:cs="Arial"/>
          <w:color w:val="FF0000"/>
        </w:rPr>
      </w:pPr>
      <w:r w:rsidRPr="00940580">
        <w:rPr>
          <w:rFonts w:ascii="Arial" w:hAnsi="Arial" w:cs="Arial"/>
          <w:color w:val="FF0000"/>
        </w:rPr>
        <w:t>Nové přístupové komunikace jsou navrženy k následujícím lokalitám 8Z -:</w:t>
      </w:r>
    </w:p>
    <w:p w14:paraId="0DD55E62"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w:t>
      </w:r>
      <w:r>
        <w:rPr>
          <w:rFonts w:ascii="Arial" w:hAnsi="Arial" w:cs="Arial"/>
          <w:color w:val="FF0000"/>
        </w:rPr>
        <w:t xml:space="preserve"> </w:t>
      </w:r>
      <w:r w:rsidRPr="00940580">
        <w:rPr>
          <w:rFonts w:ascii="Arial" w:hAnsi="Arial" w:cs="Arial"/>
          <w:color w:val="FF0000"/>
        </w:rPr>
        <w:t>20 – Vjezd do lokality</w:t>
      </w:r>
      <w:r>
        <w:rPr>
          <w:rFonts w:ascii="Arial" w:hAnsi="Arial" w:cs="Arial"/>
          <w:color w:val="FF0000"/>
        </w:rPr>
        <w:t>;</w:t>
      </w:r>
    </w:p>
    <w:p w14:paraId="4D928CC0"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w:t>
      </w:r>
      <w:r>
        <w:rPr>
          <w:rFonts w:ascii="Arial" w:hAnsi="Arial" w:cs="Arial"/>
          <w:color w:val="FF0000"/>
        </w:rPr>
        <w:t xml:space="preserve"> </w:t>
      </w:r>
      <w:r w:rsidRPr="00940580">
        <w:rPr>
          <w:rFonts w:ascii="Arial" w:hAnsi="Arial" w:cs="Arial"/>
          <w:color w:val="FF0000"/>
        </w:rPr>
        <w:t>34 – Vjezdy z ulice Luční a přístupová komunikace k lokalitě, napojená na ulici Pod Úvozem. Podmínkou výstavby v lokalitě je úprava s územním dopadem mimo řešené území 8.</w:t>
      </w:r>
      <w:r>
        <w:rPr>
          <w:rFonts w:ascii="Arial" w:hAnsi="Arial" w:cs="Arial"/>
          <w:color w:val="FF0000"/>
        </w:rPr>
        <w:t xml:space="preserve"> změny ÚP Děčín v ulici Luční;</w:t>
      </w:r>
    </w:p>
    <w:p w14:paraId="0A2E6F9B"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w:t>
      </w:r>
      <w:r>
        <w:rPr>
          <w:rFonts w:ascii="Arial" w:hAnsi="Arial" w:cs="Arial"/>
          <w:color w:val="FF0000"/>
        </w:rPr>
        <w:t>. 18 – Navržen vjezd do lokality;</w:t>
      </w:r>
    </w:p>
    <w:p w14:paraId="327C3638"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w:t>
      </w:r>
      <w:r>
        <w:rPr>
          <w:rFonts w:ascii="Arial" w:hAnsi="Arial" w:cs="Arial"/>
          <w:color w:val="FF0000"/>
        </w:rPr>
        <w:t xml:space="preserve"> </w:t>
      </w:r>
      <w:r w:rsidRPr="00940580">
        <w:rPr>
          <w:rFonts w:ascii="Arial" w:hAnsi="Arial" w:cs="Arial"/>
          <w:color w:val="FF0000"/>
        </w:rPr>
        <w:t>16 – Navržen vjezd d</w:t>
      </w:r>
      <w:r>
        <w:rPr>
          <w:rFonts w:ascii="Arial" w:hAnsi="Arial" w:cs="Arial"/>
          <w:color w:val="FF0000"/>
        </w:rPr>
        <w:t>o lokality;</w:t>
      </w:r>
    </w:p>
    <w:p w14:paraId="6238E2ED"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w:t>
      </w:r>
      <w:r>
        <w:rPr>
          <w:rFonts w:ascii="Arial" w:hAnsi="Arial" w:cs="Arial"/>
          <w:color w:val="FF0000"/>
        </w:rPr>
        <w:t>. 11 – Navržen vjezd do lokality;</w:t>
      </w:r>
    </w:p>
    <w:p w14:paraId="3B667D1B"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w:t>
      </w:r>
      <w:r>
        <w:rPr>
          <w:rFonts w:ascii="Arial" w:hAnsi="Arial" w:cs="Arial"/>
          <w:color w:val="FF0000"/>
        </w:rPr>
        <w:t xml:space="preserve"> </w:t>
      </w:r>
      <w:r w:rsidRPr="00940580">
        <w:rPr>
          <w:rFonts w:ascii="Arial" w:hAnsi="Arial" w:cs="Arial"/>
          <w:color w:val="FF0000"/>
        </w:rPr>
        <w:t xml:space="preserve">43– Vjezd z ulice Albánská. Podmínkou výstavby v lokalitě je úprava s územním dopadem mimo řešené území 8. změny ÚP Děčín v ulici Jelení a Albánská. </w:t>
      </w:r>
    </w:p>
    <w:p w14:paraId="65DA5AEF"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 8 – Navržen vjezd do lokalit</w:t>
      </w:r>
      <w:r>
        <w:rPr>
          <w:rFonts w:ascii="Arial" w:hAnsi="Arial" w:cs="Arial"/>
          <w:color w:val="FF0000"/>
        </w:rPr>
        <w:t>y;</w:t>
      </w:r>
    </w:p>
    <w:p w14:paraId="04DF72C5"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w:t>
      </w:r>
      <w:r>
        <w:rPr>
          <w:rFonts w:ascii="Arial" w:hAnsi="Arial" w:cs="Arial"/>
          <w:color w:val="FF0000"/>
        </w:rPr>
        <w:t xml:space="preserve"> </w:t>
      </w:r>
      <w:r w:rsidRPr="00940580">
        <w:rPr>
          <w:rFonts w:ascii="Arial" w:hAnsi="Arial" w:cs="Arial"/>
          <w:color w:val="FF0000"/>
        </w:rPr>
        <w:t>40, č.</w:t>
      </w:r>
      <w:r>
        <w:rPr>
          <w:rFonts w:ascii="Arial" w:hAnsi="Arial" w:cs="Arial"/>
          <w:color w:val="FF0000"/>
        </w:rPr>
        <w:t xml:space="preserve"> </w:t>
      </w:r>
      <w:r w:rsidRPr="00940580">
        <w:rPr>
          <w:rFonts w:ascii="Arial" w:hAnsi="Arial" w:cs="Arial"/>
          <w:color w:val="FF0000"/>
        </w:rPr>
        <w:t>6, č.</w:t>
      </w:r>
      <w:r>
        <w:rPr>
          <w:rFonts w:ascii="Arial" w:hAnsi="Arial" w:cs="Arial"/>
          <w:color w:val="FF0000"/>
        </w:rPr>
        <w:t xml:space="preserve"> </w:t>
      </w:r>
      <w:r w:rsidRPr="00940580">
        <w:rPr>
          <w:rFonts w:ascii="Arial" w:hAnsi="Arial" w:cs="Arial"/>
          <w:color w:val="FF0000"/>
        </w:rPr>
        <w:t>50b– navržené pří</w:t>
      </w:r>
      <w:r>
        <w:rPr>
          <w:rFonts w:ascii="Arial" w:hAnsi="Arial" w:cs="Arial"/>
          <w:color w:val="FF0000"/>
        </w:rPr>
        <w:t>stupové komunikace k lokalitám;</w:t>
      </w:r>
    </w:p>
    <w:p w14:paraId="0B42B148"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w:t>
      </w:r>
      <w:r>
        <w:rPr>
          <w:rFonts w:ascii="Arial" w:hAnsi="Arial" w:cs="Arial"/>
          <w:color w:val="FF0000"/>
        </w:rPr>
        <w:t xml:space="preserve"> 48 – Navržen vjezd do lokality;</w:t>
      </w:r>
    </w:p>
    <w:p w14:paraId="1897D619"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w:t>
      </w:r>
      <w:r>
        <w:rPr>
          <w:rFonts w:ascii="Arial" w:hAnsi="Arial" w:cs="Arial"/>
          <w:color w:val="FF0000"/>
        </w:rPr>
        <w:t xml:space="preserve"> 31 – Navržen vjezd do lokality;</w:t>
      </w:r>
    </w:p>
    <w:p w14:paraId="13FD46BD"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 33a,</w:t>
      </w:r>
      <w:r>
        <w:rPr>
          <w:rFonts w:ascii="Arial" w:hAnsi="Arial" w:cs="Arial"/>
          <w:color w:val="FF0000"/>
        </w:rPr>
        <w:t>b,c – Navržen vjezd do lokality;</w:t>
      </w:r>
    </w:p>
    <w:p w14:paraId="768F8956"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návrh přístupové komunikace s územním dopadem mimo řeš</w:t>
      </w:r>
      <w:r>
        <w:rPr>
          <w:rFonts w:ascii="Arial" w:hAnsi="Arial" w:cs="Arial"/>
          <w:color w:val="FF0000"/>
        </w:rPr>
        <w:t>ený prostor 8. změny ÚP Děčín;</w:t>
      </w:r>
    </w:p>
    <w:p w14:paraId="7B94AFC9"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w:t>
      </w:r>
      <w:r>
        <w:rPr>
          <w:rFonts w:ascii="Arial" w:hAnsi="Arial" w:cs="Arial"/>
          <w:color w:val="FF0000"/>
        </w:rPr>
        <w:t xml:space="preserve"> 46 – Navržen vjezd do lokality;</w:t>
      </w:r>
    </w:p>
    <w:p w14:paraId="1228A27D"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w:t>
      </w:r>
      <w:r>
        <w:rPr>
          <w:rFonts w:ascii="Arial" w:hAnsi="Arial" w:cs="Arial"/>
          <w:color w:val="FF0000"/>
        </w:rPr>
        <w:t xml:space="preserve"> 32 – Navržen vjezd do lokality;</w:t>
      </w:r>
    </w:p>
    <w:p w14:paraId="3BEE619D"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Lokality č.</w:t>
      </w:r>
      <w:r>
        <w:rPr>
          <w:rFonts w:ascii="Arial" w:hAnsi="Arial" w:cs="Arial"/>
          <w:color w:val="FF0000"/>
        </w:rPr>
        <w:t xml:space="preserve"> </w:t>
      </w:r>
      <w:r w:rsidRPr="00940580">
        <w:rPr>
          <w:rFonts w:ascii="Arial" w:hAnsi="Arial" w:cs="Arial"/>
          <w:color w:val="FF0000"/>
        </w:rPr>
        <w:t>7, č.</w:t>
      </w:r>
      <w:r>
        <w:rPr>
          <w:rFonts w:ascii="Arial" w:hAnsi="Arial" w:cs="Arial"/>
          <w:color w:val="FF0000"/>
        </w:rPr>
        <w:t xml:space="preserve"> </w:t>
      </w:r>
      <w:r w:rsidRPr="00940580">
        <w:rPr>
          <w:rFonts w:ascii="Arial" w:hAnsi="Arial" w:cs="Arial"/>
          <w:color w:val="FF0000"/>
        </w:rPr>
        <w:t>19 a č.</w:t>
      </w:r>
      <w:r>
        <w:rPr>
          <w:rFonts w:ascii="Arial" w:hAnsi="Arial" w:cs="Arial"/>
          <w:color w:val="FF0000"/>
        </w:rPr>
        <w:t xml:space="preserve"> 35  - Navržen vjezd do lokality;</w:t>
      </w:r>
    </w:p>
    <w:p w14:paraId="43239376"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lastRenderedPageBreak/>
        <w:t>Lokality č.</w:t>
      </w:r>
      <w:r>
        <w:rPr>
          <w:rFonts w:ascii="Arial" w:hAnsi="Arial" w:cs="Arial"/>
          <w:color w:val="FF0000"/>
        </w:rPr>
        <w:t xml:space="preserve"> </w:t>
      </w:r>
      <w:r w:rsidRPr="00940580">
        <w:rPr>
          <w:rFonts w:ascii="Arial" w:hAnsi="Arial" w:cs="Arial"/>
          <w:color w:val="FF0000"/>
        </w:rPr>
        <w:t>36 a č.</w:t>
      </w:r>
      <w:r>
        <w:rPr>
          <w:rFonts w:ascii="Arial" w:hAnsi="Arial" w:cs="Arial"/>
          <w:color w:val="FF0000"/>
        </w:rPr>
        <w:t xml:space="preserve"> </w:t>
      </w:r>
      <w:r w:rsidRPr="00940580">
        <w:rPr>
          <w:rFonts w:ascii="Arial" w:hAnsi="Arial" w:cs="Arial"/>
          <w:color w:val="FF0000"/>
        </w:rPr>
        <w:t>12 – Přístupové komunikace k lokalitám, napojené na Ka</w:t>
      </w:r>
      <w:r>
        <w:rPr>
          <w:rFonts w:ascii="Arial" w:hAnsi="Arial" w:cs="Arial"/>
          <w:color w:val="FF0000"/>
        </w:rPr>
        <w:t>lišní ulici a na Vřesovou ulici;</w:t>
      </w:r>
    </w:p>
    <w:p w14:paraId="46DCDE06"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nových přístupových komunikací s územním dopadem mimo ře</w:t>
      </w:r>
      <w:r>
        <w:rPr>
          <w:rFonts w:ascii="Arial" w:hAnsi="Arial" w:cs="Arial"/>
          <w:color w:val="FF0000"/>
        </w:rPr>
        <w:t>šený prostor 8. změny ÚP Děčín;</w:t>
      </w:r>
    </w:p>
    <w:p w14:paraId="223E62F3"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 xml:space="preserve">Lokalita č. </w:t>
      </w:r>
      <w:r>
        <w:rPr>
          <w:rFonts w:ascii="Arial" w:hAnsi="Arial" w:cs="Arial"/>
          <w:color w:val="FF0000"/>
        </w:rPr>
        <w:t>52 – Navržen vjezd do lokality;</w:t>
      </w:r>
    </w:p>
    <w:p w14:paraId="4E66C4CA"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 23 – Vjezd do lokality</w:t>
      </w:r>
      <w:r>
        <w:rPr>
          <w:rFonts w:ascii="Arial" w:hAnsi="Arial" w:cs="Arial"/>
          <w:color w:val="FF0000"/>
        </w:rPr>
        <w:t>;</w:t>
      </w:r>
    </w:p>
    <w:p w14:paraId="57986248"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 45 – Vjezd do lokality</w:t>
      </w:r>
      <w:r>
        <w:rPr>
          <w:rFonts w:ascii="Arial" w:hAnsi="Arial" w:cs="Arial"/>
          <w:color w:val="FF0000"/>
        </w:rPr>
        <w:t>;</w:t>
      </w:r>
    </w:p>
    <w:p w14:paraId="0BFF4963"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 15 – P</w:t>
      </w:r>
      <w:r>
        <w:rPr>
          <w:rFonts w:ascii="Arial" w:hAnsi="Arial" w:cs="Arial"/>
          <w:color w:val="FF0000"/>
        </w:rPr>
        <w:t>řístupová komunikace k lokalitě;</w:t>
      </w:r>
    </w:p>
    <w:p w14:paraId="5BAF1DA6"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 10 – Vjezd do lokality</w:t>
      </w:r>
      <w:r>
        <w:rPr>
          <w:rFonts w:ascii="Arial" w:hAnsi="Arial" w:cs="Arial"/>
          <w:color w:val="FF0000"/>
        </w:rPr>
        <w:t>;</w:t>
      </w:r>
    </w:p>
    <w:p w14:paraId="68115C78"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Lokalita č. 47 – P</w:t>
      </w:r>
      <w:r>
        <w:rPr>
          <w:rFonts w:ascii="Arial" w:hAnsi="Arial" w:cs="Arial"/>
          <w:color w:val="FF0000"/>
        </w:rPr>
        <w:t>řístupová komunikace k lokalitě;</w:t>
      </w:r>
    </w:p>
    <w:p w14:paraId="7D154866" w14:textId="77777777" w:rsidR="006031D6" w:rsidRPr="00940580" w:rsidRDefault="006031D6" w:rsidP="006031D6">
      <w:pPr>
        <w:pStyle w:val="Odstavecseseznamem"/>
        <w:numPr>
          <w:ilvl w:val="0"/>
          <w:numId w:val="45"/>
        </w:numPr>
        <w:spacing w:before="120" w:after="0" w:line="288" w:lineRule="auto"/>
        <w:ind w:left="426"/>
        <w:jc w:val="both"/>
        <w:rPr>
          <w:rFonts w:ascii="Arial" w:hAnsi="Arial" w:cs="Arial"/>
          <w:color w:val="FF0000"/>
        </w:rPr>
      </w:pPr>
      <w:r w:rsidRPr="00940580">
        <w:rPr>
          <w:rFonts w:ascii="Arial" w:hAnsi="Arial" w:cs="Arial"/>
          <w:color w:val="FF0000"/>
        </w:rPr>
        <w:t>Lok</w:t>
      </w:r>
      <w:r>
        <w:rPr>
          <w:rFonts w:ascii="Arial" w:hAnsi="Arial" w:cs="Arial"/>
          <w:color w:val="FF0000"/>
        </w:rPr>
        <w:t>alita č. 5 – Vjezd do lokality.</w:t>
      </w:r>
    </w:p>
    <w:p w14:paraId="348764F8" w14:textId="77777777" w:rsidR="006031D6" w:rsidRPr="00940580" w:rsidRDefault="006031D6" w:rsidP="006031D6">
      <w:pPr>
        <w:spacing w:before="120" w:line="288" w:lineRule="auto"/>
        <w:rPr>
          <w:rFonts w:ascii="Arial" w:hAnsi="Arial" w:cs="Arial"/>
          <w:color w:val="FF0000"/>
        </w:rPr>
      </w:pPr>
      <w:r w:rsidRPr="00940580">
        <w:rPr>
          <w:rFonts w:ascii="Arial" w:hAnsi="Arial" w:cs="Arial"/>
          <w:color w:val="FF0000"/>
        </w:rPr>
        <w:t>Napojení lokalit 8Z – 2, -13, je podmíněno prověřením dopravní napojitelnosti v</w:t>
      </w:r>
      <w:r>
        <w:rPr>
          <w:rFonts w:ascii="Arial" w:hAnsi="Arial" w:cs="Arial"/>
          <w:color w:val="FF0000"/>
        </w:rPr>
        <w:t> </w:t>
      </w:r>
      <w:r w:rsidRPr="00940580">
        <w:rPr>
          <w:rFonts w:ascii="Arial" w:hAnsi="Arial" w:cs="Arial"/>
          <w:color w:val="FF0000"/>
        </w:rPr>
        <w:t>detailu.</w:t>
      </w:r>
    </w:p>
    <w:p w14:paraId="493957EF" w14:textId="77777777" w:rsidR="006031D6" w:rsidRPr="00940580" w:rsidRDefault="006031D6" w:rsidP="006031D6">
      <w:pPr>
        <w:pStyle w:val="Nadpis3"/>
        <w:spacing w:before="120" w:line="288" w:lineRule="auto"/>
        <w:rPr>
          <w:rFonts w:ascii="Arial" w:hAnsi="Arial" w:cs="Arial"/>
          <w:color w:val="FF0000"/>
          <w:sz w:val="22"/>
          <w:szCs w:val="22"/>
        </w:rPr>
      </w:pPr>
      <w:bookmarkStart w:id="12" w:name="_Toc354838616"/>
      <w:r w:rsidRPr="00940580">
        <w:rPr>
          <w:rFonts w:ascii="Arial" w:hAnsi="Arial" w:cs="Arial"/>
          <w:color w:val="FF0000"/>
          <w:sz w:val="22"/>
          <w:szCs w:val="22"/>
        </w:rPr>
        <w:t>Plochy klidové dopravy</w:t>
      </w:r>
      <w:bookmarkEnd w:id="12"/>
    </w:p>
    <w:p w14:paraId="37EF3D7F" w14:textId="77777777" w:rsidR="006031D6" w:rsidRPr="00940580" w:rsidRDefault="006031D6" w:rsidP="006031D6">
      <w:pPr>
        <w:spacing w:before="120" w:line="288" w:lineRule="auto"/>
        <w:rPr>
          <w:rFonts w:ascii="Arial" w:hAnsi="Arial" w:cs="Arial"/>
          <w:color w:val="FF0000"/>
        </w:rPr>
      </w:pPr>
      <w:r w:rsidRPr="00940580">
        <w:rPr>
          <w:rFonts w:ascii="Arial" w:hAnsi="Arial" w:cs="Arial"/>
          <w:color w:val="FF0000"/>
        </w:rPr>
        <w:t xml:space="preserve">Samostatné plochy klidové dopravy vozidel individuální automobilové dopravy nejsou v dopravní části 8. změny územního plánu navrženy. Odstavování a parkování vozidel je na pozemcích určených pro výstavbu rodinných domů, pouze podmínečně na veřejných pozemcích v případě svažitých pozemků a nepřístupných pozemků. </w:t>
      </w:r>
    </w:p>
    <w:p w14:paraId="70170A86" w14:textId="77777777" w:rsidR="006031D6" w:rsidRPr="00940580" w:rsidRDefault="006031D6" w:rsidP="006031D6">
      <w:pPr>
        <w:spacing w:before="120" w:line="288" w:lineRule="auto"/>
        <w:rPr>
          <w:rFonts w:ascii="Arial" w:hAnsi="Arial" w:cs="Arial"/>
        </w:rPr>
      </w:pPr>
    </w:p>
    <w:p w14:paraId="07C43183" w14:textId="77777777" w:rsidR="00F0187A" w:rsidRPr="007E7D7A" w:rsidRDefault="00F0187A" w:rsidP="00F0187A">
      <w:pPr>
        <w:jc w:val="both"/>
        <w:rPr>
          <w:rFonts w:ascii="Arial" w:hAnsi="Arial" w:cs="Arial"/>
          <w:color w:val="009999"/>
          <w:sz w:val="22"/>
        </w:rPr>
      </w:pPr>
      <w:r w:rsidRPr="007E7D7A">
        <w:rPr>
          <w:rFonts w:ascii="Arial" w:hAnsi="Arial" w:cs="Arial"/>
          <w:b/>
          <w:color w:val="009999"/>
          <w:sz w:val="22"/>
        </w:rPr>
        <w:t>(Z12) KONCEPCE DOPRAVY</w:t>
      </w:r>
    </w:p>
    <w:p w14:paraId="0CAC2A3C" w14:textId="79B6CAA5" w:rsidR="00F0187A" w:rsidRPr="007E7D7A" w:rsidRDefault="00F0187A" w:rsidP="00F0187A">
      <w:pPr>
        <w:jc w:val="both"/>
        <w:rPr>
          <w:rFonts w:ascii="Arial" w:hAnsi="Arial" w:cs="Arial"/>
          <w:color w:val="009999"/>
          <w:sz w:val="22"/>
        </w:rPr>
      </w:pPr>
      <w:r w:rsidRPr="007E7D7A">
        <w:rPr>
          <w:rFonts w:ascii="Arial" w:hAnsi="Arial" w:cs="Arial"/>
          <w:color w:val="009999"/>
          <w:sz w:val="22"/>
        </w:rPr>
        <w:t>Koncepce dopravy se Změnou ÚP č. 12 nemění. Změnou se upravuje vymezení koridoru CNZ.D(12) pro umístění silnice I/13</w:t>
      </w:r>
      <w:r w:rsidR="00682E20" w:rsidRPr="007E7D7A">
        <w:t xml:space="preserve"> </w:t>
      </w:r>
      <w:r w:rsidR="00682E20" w:rsidRPr="007E7D7A">
        <w:rPr>
          <w:rFonts w:ascii="Arial" w:hAnsi="Arial" w:cs="Arial"/>
          <w:color w:val="009999"/>
          <w:sz w:val="22"/>
        </w:rPr>
        <w:t>Děčín - Ludvíkovice</w:t>
      </w:r>
      <w:r w:rsidRPr="007E7D7A">
        <w:rPr>
          <w:rFonts w:ascii="Arial" w:hAnsi="Arial" w:cs="Arial"/>
          <w:color w:val="009999"/>
          <w:sz w:val="22"/>
        </w:rPr>
        <w:t xml:space="preserve"> (Folknářská spojka) dle aktuálních územně-technických podkladů (ŘSD, 2024). </w:t>
      </w:r>
    </w:p>
    <w:p w14:paraId="43DD09C0" w14:textId="77777777" w:rsidR="00F0187A" w:rsidRPr="007E7D7A" w:rsidRDefault="00F0187A" w:rsidP="00F0187A">
      <w:pPr>
        <w:jc w:val="both"/>
        <w:rPr>
          <w:rFonts w:ascii="Arial" w:hAnsi="Arial" w:cs="Arial"/>
          <w:color w:val="009999"/>
          <w:sz w:val="22"/>
        </w:rPr>
      </w:pPr>
    </w:p>
    <w:p w14:paraId="11CBEF4F" w14:textId="77777777" w:rsidR="00F0187A" w:rsidRPr="007E7D7A" w:rsidRDefault="00F0187A" w:rsidP="00F0187A">
      <w:pPr>
        <w:jc w:val="both"/>
        <w:rPr>
          <w:rFonts w:ascii="Arial" w:hAnsi="Arial" w:cs="Arial"/>
          <w:b/>
          <w:color w:val="009999"/>
          <w:sz w:val="22"/>
        </w:rPr>
      </w:pPr>
      <w:r w:rsidRPr="007E7D7A">
        <w:rPr>
          <w:rFonts w:ascii="Arial" w:hAnsi="Arial" w:cs="Arial"/>
          <w:b/>
          <w:color w:val="009999"/>
          <w:sz w:val="22"/>
        </w:rPr>
        <w:t>KORIDOR CNZ.D(12)</w:t>
      </w:r>
    </w:p>
    <w:p w14:paraId="57A85408" w14:textId="77777777" w:rsidR="00F0187A" w:rsidRPr="007E7D7A" w:rsidRDefault="00F0187A" w:rsidP="00F0187A">
      <w:pPr>
        <w:spacing w:after="240"/>
        <w:jc w:val="both"/>
        <w:rPr>
          <w:rFonts w:ascii="Arial" w:hAnsi="Arial" w:cs="Arial"/>
          <w:b/>
          <w:color w:val="009999"/>
          <w:sz w:val="22"/>
        </w:rPr>
      </w:pPr>
      <w:r w:rsidRPr="007E7D7A">
        <w:rPr>
          <w:rFonts w:ascii="Arial" w:hAnsi="Arial" w:cs="Arial"/>
          <w:b/>
          <w:color w:val="009999"/>
          <w:sz w:val="22"/>
        </w:rPr>
        <w:t xml:space="preserve">SILNICE I/13 – FOLKNÁŘSKÁ SPOJKA </w:t>
      </w:r>
    </w:p>
    <w:p w14:paraId="6FACA8CB" w14:textId="77777777" w:rsidR="00F0187A" w:rsidRPr="007E7D7A" w:rsidRDefault="00F0187A" w:rsidP="00F0187A">
      <w:pPr>
        <w:spacing w:after="240"/>
        <w:jc w:val="both"/>
        <w:rPr>
          <w:rFonts w:ascii="Arial" w:hAnsi="Arial" w:cs="Arial"/>
          <w:color w:val="009999"/>
          <w:sz w:val="22"/>
        </w:rPr>
      </w:pPr>
      <w:r w:rsidRPr="007E7D7A">
        <w:rPr>
          <w:rFonts w:ascii="Arial" w:hAnsi="Arial" w:cs="Arial"/>
          <w:color w:val="009999"/>
          <w:sz w:val="22"/>
        </w:rPr>
        <w:t xml:space="preserve">Silnice I/13 v úseku Děčín – Ludvíkovice, dále na Nový Bor a Liberec patří spolu se silnicí II/262 k základnímu komunikačnímu systému města Děčín a jeho pravobřežní části. Navrhovaný záměr navazuje na předchozí stavbu I/13 - „Děčín, OK Benešovská“ v blízkosti mimoúrovňové křižovatky silnic  I/13 a II/262, který končí v místní části Březiny na silnici II//262. Navrhovaný záměr je vedený v počátečním úseku společně se silnicí II/262 a dále ve větvi  Folknářské spojky“ přeložka  silnice I/13 prochází volným terénem mimo zastavěné území ve směru na Ludvíkovice.  Navazující úsek mimo města Děčín je součástí sledované přestavby celého úseku Děčín – Okrouhlá u Nového Boru. </w:t>
      </w:r>
    </w:p>
    <w:p w14:paraId="4DD4778B" w14:textId="77777777" w:rsidR="00F0187A" w:rsidRPr="007E7D7A" w:rsidRDefault="00F0187A" w:rsidP="00F0187A">
      <w:pPr>
        <w:spacing w:after="240"/>
        <w:jc w:val="both"/>
        <w:rPr>
          <w:rFonts w:ascii="Arial" w:hAnsi="Arial" w:cs="Arial"/>
          <w:color w:val="009999"/>
          <w:sz w:val="22"/>
        </w:rPr>
      </w:pPr>
      <w:r w:rsidRPr="007E7D7A">
        <w:rPr>
          <w:rFonts w:ascii="Arial" w:hAnsi="Arial" w:cs="Arial"/>
          <w:color w:val="009999"/>
          <w:sz w:val="22"/>
        </w:rPr>
        <w:t xml:space="preserve">Změna č. 12 ÚP upravuje vedení koridoru CNZ.D(12) pro přeložku silnice I/13 v úseku Děčín – Ludvíkovice v nové stopě. Začátek řešeného úseku je v mimoúrovňové křižovatce silnic I/13 a II/262 v Děčíně, konec řešeného úseku je na hranici správního území města Děčín, Ludvíkovice. Realizací záměru dojde ke zkvalitnění dopravního systému města, výraznému odlehčení dopravní zátěže v ul. Kamenická a vymístění komunikace mimo zastavěnou část města Děčín a obce Ludvíkovice. Silnice je navržena  jako dvoupruhová  (úsek Děčín – Březiny v kat. S11,5/90, úsek „Folknářská spojka“ v kat. S9,5/90). </w:t>
      </w:r>
    </w:p>
    <w:p w14:paraId="6AFAFCD0" w14:textId="77777777" w:rsidR="00F0187A" w:rsidRPr="00C43A5A" w:rsidRDefault="00F0187A" w:rsidP="00F0187A">
      <w:pPr>
        <w:pStyle w:val="Default"/>
        <w:spacing w:after="133"/>
        <w:jc w:val="both"/>
        <w:rPr>
          <w:rFonts w:ascii="Arial" w:hAnsi="Arial" w:cs="Arial"/>
          <w:color w:val="009999"/>
          <w:sz w:val="22"/>
          <w:szCs w:val="22"/>
        </w:rPr>
      </w:pPr>
      <w:r w:rsidRPr="007E7D7A">
        <w:rPr>
          <w:rFonts w:ascii="Arial" w:hAnsi="Arial" w:cs="Arial"/>
          <w:color w:val="009999"/>
          <w:sz w:val="22"/>
          <w:szCs w:val="22"/>
        </w:rPr>
        <w:t xml:space="preserve">Koridor CNZ.D(12) je vymezen v proměnlivé šířce tak, že v něm lze umístit stavbu hlavní, všechny stavby související a zařízení nezbytné pro realizaci a provoz stavby hlavní s tím, že stavby vedlejší, též nezbytné pro realizaci a provoz předmětného záměru, mohou být umístěny i s přesahem mimo koridor. Mimo zastavěné území Děčína a Ludvíkovic nebudou v návaznosti </w:t>
      </w:r>
      <w:r w:rsidRPr="007E7D7A">
        <w:rPr>
          <w:rFonts w:ascii="Arial" w:hAnsi="Arial" w:cs="Arial"/>
          <w:color w:val="009999"/>
          <w:sz w:val="22"/>
          <w:szCs w:val="22"/>
        </w:rPr>
        <w:lastRenderedPageBreak/>
        <w:t>na přeložku silnice I/13 umísťovány doplňkové stavby dopravní infrastruktury, typu - odpočívadla, čerpací stanice, reklamní panely apod.</w:t>
      </w:r>
      <w:r w:rsidRPr="00C43A5A">
        <w:rPr>
          <w:rFonts w:ascii="Arial" w:hAnsi="Arial" w:cs="Arial"/>
          <w:color w:val="009999"/>
          <w:sz w:val="22"/>
          <w:szCs w:val="22"/>
        </w:rPr>
        <w:t xml:space="preserve"> </w:t>
      </w:r>
    </w:p>
    <w:p w14:paraId="40431680" w14:textId="77777777" w:rsidR="00A43469" w:rsidRPr="00A43469" w:rsidRDefault="00A43469" w:rsidP="00A43469">
      <w:pPr>
        <w:jc w:val="both"/>
        <w:rPr>
          <w:rFonts w:ascii="Arial" w:hAnsi="Arial" w:cs="Arial"/>
          <w:color w:val="009999"/>
          <w:sz w:val="22"/>
        </w:rPr>
      </w:pPr>
    </w:p>
    <w:p w14:paraId="03F20C45" w14:textId="77777777" w:rsidR="006031D6" w:rsidRPr="00183BDD" w:rsidRDefault="006031D6" w:rsidP="006031D6">
      <w:pPr>
        <w:pStyle w:val="Nadpis"/>
        <w:jc w:val="both"/>
      </w:pPr>
      <w:r w:rsidRPr="00183BDD">
        <w:rPr>
          <w:sz w:val="48"/>
          <w:szCs w:val="48"/>
        </w:rPr>
        <w:t>G. NÁVRH ZÁSOBOVÁNÍ VODOU</w:t>
      </w:r>
    </w:p>
    <w:p w14:paraId="77CD75C0" w14:textId="77777777" w:rsidR="006031D6" w:rsidRPr="00183BDD" w:rsidRDefault="006031D6" w:rsidP="006031D6">
      <w:pPr>
        <w:pStyle w:val="podnadpis1"/>
        <w:jc w:val="both"/>
        <w:rPr>
          <w:rFonts w:cs="Arial"/>
        </w:rPr>
      </w:pPr>
    </w:p>
    <w:p w14:paraId="202B39EB" w14:textId="77777777" w:rsidR="006031D6" w:rsidRPr="00183BDD" w:rsidRDefault="006031D6" w:rsidP="006031D6">
      <w:pPr>
        <w:pStyle w:val="podnadpis2"/>
        <w:jc w:val="both"/>
        <w:rPr>
          <w:rFonts w:cs="Arial"/>
        </w:rPr>
      </w:pPr>
      <w:r w:rsidRPr="00183BDD">
        <w:rPr>
          <w:rFonts w:cs="Arial"/>
          <w:sz w:val="32"/>
          <w:szCs w:val="32"/>
        </w:rPr>
        <w:t>g1</w:t>
      </w:r>
      <w:r>
        <w:rPr>
          <w:rFonts w:cs="Arial"/>
          <w:sz w:val="32"/>
          <w:szCs w:val="32"/>
        </w:rPr>
        <w:t>. Návrh zásobování pitnou vodou</w:t>
      </w:r>
    </w:p>
    <w:p w14:paraId="3559A6E4" w14:textId="77777777" w:rsidR="006031D6" w:rsidRPr="00183BDD" w:rsidRDefault="006031D6" w:rsidP="006031D6">
      <w:pPr>
        <w:pStyle w:val="Nadpis"/>
        <w:jc w:val="both"/>
      </w:pPr>
    </w:p>
    <w:p w14:paraId="4B644D59" w14:textId="77777777" w:rsidR="006031D6" w:rsidRPr="00183BDD" w:rsidRDefault="006031D6" w:rsidP="006031D6">
      <w:pPr>
        <w:pStyle w:val="podnadpis2"/>
        <w:jc w:val="both"/>
        <w:rPr>
          <w:rFonts w:cs="Arial"/>
          <w:sz w:val="28"/>
          <w:szCs w:val="28"/>
        </w:rPr>
      </w:pPr>
      <w:r w:rsidRPr="00183BDD">
        <w:rPr>
          <w:rFonts w:cs="Arial"/>
          <w:sz w:val="28"/>
          <w:szCs w:val="28"/>
        </w:rPr>
        <w:t>g1.1.  Stručný popis stavu a zhodnocení systému</w:t>
      </w:r>
    </w:p>
    <w:p w14:paraId="61F824F9" w14:textId="77777777" w:rsidR="006031D6" w:rsidRPr="006031D6" w:rsidRDefault="006031D6" w:rsidP="006031D6">
      <w:pPr>
        <w:pStyle w:val="Zkladntext"/>
        <w:spacing w:before="120" w:line="288" w:lineRule="auto"/>
        <w:ind w:firstLine="709"/>
        <w:jc w:val="both"/>
        <w:rPr>
          <w:rFonts w:ascii="Arial" w:hAnsi="Arial" w:cs="Arial"/>
        </w:rPr>
      </w:pPr>
      <w:r w:rsidRPr="006031D6">
        <w:rPr>
          <w:rFonts w:ascii="Arial" w:hAnsi="Arial" w:cs="Arial"/>
        </w:rPr>
        <w:t xml:space="preserve">Převážná část řešeného území sídelního útvaru Děčín je zásobována pitnou vodou v rámci skupinového vodovodu Děčín. Pouze Velká Veleň, Lesná, Jakuby, Maxičky a Chlum mají samostatné vodovody. </w:t>
      </w:r>
    </w:p>
    <w:p w14:paraId="07AF55E7" w14:textId="77777777" w:rsidR="006031D6" w:rsidRPr="006031D6" w:rsidRDefault="006031D6" w:rsidP="006031D6">
      <w:pPr>
        <w:pStyle w:val="Zkladntext"/>
        <w:spacing w:before="120" w:line="288" w:lineRule="auto"/>
        <w:ind w:firstLine="709"/>
        <w:jc w:val="both"/>
        <w:rPr>
          <w:rFonts w:ascii="Arial" w:hAnsi="Arial" w:cs="Arial"/>
        </w:rPr>
      </w:pPr>
      <w:r w:rsidRPr="006031D6">
        <w:rPr>
          <w:rFonts w:ascii="Arial" w:hAnsi="Arial" w:cs="Arial"/>
        </w:rPr>
        <w:t xml:space="preserve">Skupinový vodovod zahrnuje oblast Děčína a pás obcí na Arnoltické plošině podél přivaděče z úpravny vody Hřensko do města. </w:t>
      </w:r>
    </w:p>
    <w:p w14:paraId="6C7F328B" w14:textId="77777777" w:rsidR="006031D6" w:rsidRPr="006031D6" w:rsidRDefault="006031D6" w:rsidP="006031D6">
      <w:pPr>
        <w:pStyle w:val="Zkladntext"/>
        <w:spacing w:before="120" w:line="288" w:lineRule="auto"/>
        <w:ind w:firstLine="709"/>
        <w:jc w:val="both"/>
        <w:rPr>
          <w:rFonts w:ascii="Arial" w:hAnsi="Arial" w:cs="Arial"/>
        </w:rPr>
      </w:pPr>
      <w:r w:rsidRPr="006031D6">
        <w:rPr>
          <w:rFonts w:ascii="Arial" w:hAnsi="Arial" w:cs="Arial"/>
        </w:rPr>
        <w:t xml:space="preserve">Celou vodárenskou soustavu lze označit za značně komplikovanou, hlavně s ohledem na její postupný vývoj. Postupem doby byly do soustavy integrovány původně samostatné vodovody jako Folknáře, Březiny, Nebočady, Krásný Studenec, Horní Oldřichov, Boletice atd. </w:t>
      </w:r>
    </w:p>
    <w:p w14:paraId="66C2DE1A" w14:textId="77777777" w:rsidR="006031D6" w:rsidRPr="006031D6" w:rsidRDefault="006031D6" w:rsidP="006031D6">
      <w:pPr>
        <w:pStyle w:val="Zkladntext"/>
        <w:spacing w:before="120" w:line="288" w:lineRule="auto"/>
        <w:ind w:firstLine="709"/>
        <w:jc w:val="both"/>
        <w:rPr>
          <w:rFonts w:ascii="Arial" w:hAnsi="Arial" w:cs="Arial"/>
        </w:rPr>
      </w:pPr>
      <w:r w:rsidRPr="006031D6">
        <w:rPr>
          <w:rFonts w:ascii="Arial" w:hAnsi="Arial" w:cs="Arial"/>
        </w:rPr>
        <w:t xml:space="preserve">Vzhledem k velice členitému terénu sestával téměř každý ze jmenovaných vodovodů z několika tlakových pásem, využívajících obvykle vlastní zdroje vody. Soustavy byly od sebe odděleny terénními překážkami. V současné době je většina těchto systémů alespoň částečně hydraulicky propojena. </w:t>
      </w:r>
    </w:p>
    <w:p w14:paraId="5CCF82F4" w14:textId="77777777" w:rsidR="006031D6" w:rsidRPr="006031D6" w:rsidRDefault="006031D6" w:rsidP="006031D6">
      <w:pPr>
        <w:pStyle w:val="Zkladntext"/>
        <w:spacing w:before="120" w:line="288" w:lineRule="auto"/>
        <w:ind w:firstLine="709"/>
        <w:jc w:val="both"/>
        <w:rPr>
          <w:rFonts w:ascii="Arial" w:hAnsi="Arial" w:cs="Arial"/>
        </w:rPr>
      </w:pPr>
    </w:p>
    <w:p w14:paraId="1FDFBFFB" w14:textId="77777777" w:rsidR="006031D6" w:rsidRPr="006031D6" w:rsidRDefault="006031D6" w:rsidP="006031D6">
      <w:pPr>
        <w:pStyle w:val="Zkladntext"/>
        <w:spacing w:before="120" w:line="288" w:lineRule="auto"/>
        <w:rPr>
          <w:rFonts w:ascii="Arial" w:hAnsi="Arial" w:cs="Arial"/>
        </w:rPr>
      </w:pPr>
      <w:r w:rsidRPr="006031D6">
        <w:rPr>
          <w:rFonts w:ascii="Arial" w:hAnsi="Arial" w:cs="Arial"/>
          <w:b/>
          <w:bCs/>
          <w:caps/>
        </w:rPr>
        <w:t>Hlavní zdroje vody</w:t>
      </w:r>
    </w:p>
    <w:p w14:paraId="65D4C4E4"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b/>
          <w:bCs/>
          <w:sz w:val="22"/>
          <w:szCs w:val="22"/>
        </w:rPr>
        <w:t xml:space="preserve">Největšími zdroji vody pro město jsou následující oblasti: </w:t>
      </w:r>
    </w:p>
    <w:p w14:paraId="2E924E53"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w:t>
      </w:r>
      <w:r w:rsidRPr="006031D6">
        <w:rPr>
          <w:rFonts w:ascii="Arial" w:hAnsi="Arial" w:cs="Arial"/>
          <w:sz w:val="22"/>
          <w:szCs w:val="22"/>
        </w:rPr>
        <w:tab/>
      </w:r>
      <w:r w:rsidRPr="006031D6">
        <w:rPr>
          <w:rFonts w:ascii="Arial" w:hAnsi="Arial" w:cs="Arial"/>
          <w:b/>
          <w:bCs/>
          <w:sz w:val="22"/>
          <w:szCs w:val="22"/>
        </w:rPr>
        <w:t>jímací území Děčínský Sněžník</w:t>
      </w:r>
      <w:r w:rsidRPr="006031D6">
        <w:rPr>
          <w:rFonts w:ascii="Arial" w:hAnsi="Arial" w:cs="Arial"/>
          <w:sz w:val="22"/>
          <w:szCs w:val="22"/>
        </w:rPr>
        <w:t xml:space="preserve"> s celkovou kapacitou 58 - 123 l/s. Rozsáhlá oblast s řadou pramenů, které vykazují značné výkyvy vydatnosti v čase. Kvalita vody je vysoká;</w:t>
      </w:r>
    </w:p>
    <w:p w14:paraId="3DD3846B"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w:t>
      </w:r>
      <w:r w:rsidRPr="006031D6">
        <w:rPr>
          <w:rFonts w:ascii="Arial" w:hAnsi="Arial" w:cs="Arial"/>
          <w:sz w:val="22"/>
          <w:szCs w:val="22"/>
        </w:rPr>
        <w:tab/>
      </w:r>
      <w:r w:rsidRPr="006031D6">
        <w:rPr>
          <w:rFonts w:ascii="Arial" w:hAnsi="Arial" w:cs="Arial"/>
          <w:b/>
          <w:bCs/>
          <w:sz w:val="22"/>
          <w:szCs w:val="22"/>
        </w:rPr>
        <w:t xml:space="preserve">jímací území Bynov </w:t>
      </w:r>
      <w:r w:rsidRPr="006031D6">
        <w:rPr>
          <w:rFonts w:ascii="Arial" w:hAnsi="Arial" w:cs="Arial"/>
          <w:sz w:val="22"/>
          <w:szCs w:val="22"/>
        </w:rPr>
        <w:t>s kapacitou 25 l/s. Jde o jímací vrt DN 3 s velmi kvalitní vodou. Vrt MITOP (DN - 3a) dodává vodu do sítě bez úpravy;</w:t>
      </w:r>
    </w:p>
    <w:p w14:paraId="768BD489"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w:t>
      </w:r>
      <w:r w:rsidRPr="006031D6">
        <w:rPr>
          <w:rFonts w:ascii="Arial" w:hAnsi="Arial" w:cs="Arial"/>
          <w:sz w:val="22"/>
          <w:szCs w:val="22"/>
        </w:rPr>
        <w:tab/>
      </w:r>
      <w:r w:rsidRPr="006031D6">
        <w:rPr>
          <w:rFonts w:ascii="Arial" w:hAnsi="Arial" w:cs="Arial"/>
          <w:b/>
          <w:bCs/>
          <w:sz w:val="22"/>
          <w:szCs w:val="22"/>
        </w:rPr>
        <w:t>jímací území Hřensko</w:t>
      </w:r>
      <w:r w:rsidRPr="006031D6">
        <w:rPr>
          <w:rFonts w:ascii="Arial" w:hAnsi="Arial" w:cs="Arial"/>
          <w:sz w:val="22"/>
          <w:szCs w:val="22"/>
        </w:rPr>
        <w:t xml:space="preserve"> s kapacitou 110 až 140 l/s. Oblast je vzdálená cca 15 km od středu města. Voda odebíraná z vrtů (125 l/s) a pramenů (15 l/s) se upravuje v ÚV Hřensko. Voda je čerpána do vodojemů Kámen – Hřensko;</w:t>
      </w:r>
    </w:p>
    <w:p w14:paraId="6D657989"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 xml:space="preserve">- </w:t>
      </w:r>
      <w:r w:rsidRPr="006031D6">
        <w:rPr>
          <w:rFonts w:ascii="Arial" w:hAnsi="Arial" w:cs="Arial"/>
          <w:sz w:val="22"/>
          <w:szCs w:val="22"/>
        </w:rPr>
        <w:tab/>
        <w:t>pro úplnost se uvádí přehled o zdrojích převzatý z bilance ve skupinovém vodovodu Děčín – Hřensko, zpracované SčVaK Teplice 12/99.</w:t>
      </w:r>
    </w:p>
    <w:p w14:paraId="68F48104" w14:textId="77777777" w:rsidR="006031D6" w:rsidRPr="006031D6" w:rsidRDefault="006031D6" w:rsidP="006031D6">
      <w:pPr>
        <w:pStyle w:val="Zkladntext"/>
        <w:spacing w:before="120" w:line="288" w:lineRule="auto"/>
        <w:jc w:val="both"/>
        <w:rPr>
          <w:rFonts w:ascii="Arial" w:hAnsi="Arial" w:cs="Arial"/>
          <w:sz w:val="22"/>
          <w:szCs w:val="22"/>
        </w:rPr>
      </w:pPr>
    </w:p>
    <w:p w14:paraId="07066739"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br w:type="page"/>
      </w:r>
      <w:r w:rsidRPr="006031D6">
        <w:rPr>
          <w:rFonts w:ascii="Arial" w:hAnsi="Arial" w:cs="Arial"/>
          <w:b/>
          <w:bCs/>
          <w:caps/>
          <w:sz w:val="22"/>
          <w:szCs w:val="22"/>
        </w:rPr>
        <w:lastRenderedPageBreak/>
        <w:t>Přehled o zdrojích provozovaných v roce 1998 ve skupině Děčín</w:t>
      </w:r>
    </w:p>
    <w:tbl>
      <w:tblPr>
        <w:tblW w:w="0" w:type="auto"/>
        <w:tblLayout w:type="fixed"/>
        <w:tblCellMar>
          <w:left w:w="70" w:type="dxa"/>
          <w:right w:w="70" w:type="dxa"/>
        </w:tblCellMar>
        <w:tblLook w:val="0000" w:firstRow="0" w:lastRow="0" w:firstColumn="0" w:lastColumn="0" w:noHBand="0" w:noVBand="0"/>
      </w:tblPr>
      <w:tblGrid>
        <w:gridCol w:w="1789"/>
        <w:gridCol w:w="946"/>
        <w:gridCol w:w="672"/>
        <w:gridCol w:w="946"/>
        <w:gridCol w:w="704"/>
        <w:gridCol w:w="946"/>
        <w:gridCol w:w="768"/>
        <w:gridCol w:w="657"/>
        <w:gridCol w:w="610"/>
        <w:gridCol w:w="112"/>
        <w:gridCol w:w="851"/>
      </w:tblGrid>
      <w:tr w:rsidR="006031D6" w:rsidRPr="006031D6" w14:paraId="16727ED6" w14:textId="77777777" w:rsidTr="002D2D45">
        <w:trPr>
          <w:trHeight w:val="687"/>
        </w:trPr>
        <w:tc>
          <w:tcPr>
            <w:tcW w:w="1789" w:type="dxa"/>
            <w:vMerge w:val="restart"/>
            <w:tcBorders>
              <w:top w:val="single" w:sz="6" w:space="0" w:color="auto"/>
              <w:left w:val="single" w:sz="6" w:space="0" w:color="auto"/>
              <w:right w:val="single" w:sz="6" w:space="0" w:color="auto"/>
            </w:tcBorders>
          </w:tcPr>
          <w:p w14:paraId="1BB2B759" w14:textId="77777777" w:rsidR="006031D6" w:rsidRPr="006031D6" w:rsidRDefault="006031D6" w:rsidP="006031D6">
            <w:pPr>
              <w:pStyle w:val="Texttabulky"/>
              <w:spacing w:after="0" w:line="240" w:lineRule="atLeast"/>
              <w:rPr>
                <w:rFonts w:cs="Arial"/>
              </w:rPr>
            </w:pPr>
            <w:r w:rsidRPr="006031D6">
              <w:rPr>
                <w:rFonts w:cs="Arial"/>
                <w:b/>
                <w:bCs/>
              </w:rPr>
              <w:t>Název zdroje</w:t>
            </w:r>
          </w:p>
        </w:tc>
        <w:tc>
          <w:tcPr>
            <w:tcW w:w="1618" w:type="dxa"/>
            <w:gridSpan w:val="2"/>
            <w:vMerge w:val="restart"/>
            <w:tcBorders>
              <w:top w:val="single" w:sz="6" w:space="0" w:color="auto"/>
              <w:left w:val="single" w:sz="6" w:space="0" w:color="auto"/>
              <w:right w:val="single" w:sz="6" w:space="0" w:color="auto"/>
            </w:tcBorders>
          </w:tcPr>
          <w:p w14:paraId="3230894E" w14:textId="77777777" w:rsidR="006031D6" w:rsidRPr="006031D6" w:rsidRDefault="006031D6" w:rsidP="006031D6">
            <w:pPr>
              <w:pStyle w:val="Zkladntext"/>
              <w:spacing w:after="0"/>
              <w:rPr>
                <w:rFonts w:ascii="Arial" w:hAnsi="Arial" w:cs="Arial"/>
              </w:rPr>
            </w:pPr>
            <w:r w:rsidRPr="006031D6">
              <w:rPr>
                <w:rFonts w:ascii="Arial" w:hAnsi="Arial" w:cs="Arial"/>
                <w:b/>
                <w:bCs/>
              </w:rPr>
              <w:t>VH1 - 1998</w:t>
            </w:r>
          </w:p>
        </w:tc>
        <w:tc>
          <w:tcPr>
            <w:tcW w:w="1650" w:type="dxa"/>
            <w:gridSpan w:val="2"/>
            <w:vMerge w:val="restart"/>
            <w:tcBorders>
              <w:top w:val="single" w:sz="6" w:space="0" w:color="auto"/>
              <w:left w:val="single" w:sz="6" w:space="0" w:color="auto"/>
              <w:right w:val="single" w:sz="6" w:space="0" w:color="auto"/>
            </w:tcBorders>
          </w:tcPr>
          <w:p w14:paraId="0B10431D" w14:textId="77777777" w:rsidR="006031D6" w:rsidRPr="006031D6" w:rsidRDefault="006031D6" w:rsidP="006031D6">
            <w:pPr>
              <w:pStyle w:val="Zkladntext"/>
              <w:spacing w:after="0"/>
              <w:rPr>
                <w:rFonts w:ascii="Arial" w:hAnsi="Arial" w:cs="Arial"/>
              </w:rPr>
            </w:pPr>
            <w:r w:rsidRPr="006031D6">
              <w:rPr>
                <w:rFonts w:ascii="Arial" w:hAnsi="Arial" w:cs="Arial"/>
                <w:b/>
                <w:bCs/>
              </w:rPr>
              <w:t>průměrná roční vydatnost v I. 75-98</w:t>
            </w:r>
          </w:p>
        </w:tc>
        <w:tc>
          <w:tcPr>
            <w:tcW w:w="1714" w:type="dxa"/>
            <w:gridSpan w:val="2"/>
            <w:vMerge w:val="restart"/>
            <w:tcBorders>
              <w:top w:val="single" w:sz="6" w:space="0" w:color="auto"/>
              <w:left w:val="single" w:sz="6" w:space="0" w:color="auto"/>
              <w:right w:val="single" w:sz="6" w:space="0" w:color="auto"/>
            </w:tcBorders>
          </w:tcPr>
          <w:p w14:paraId="09EB77D8" w14:textId="77777777" w:rsidR="006031D6" w:rsidRPr="006031D6" w:rsidRDefault="006031D6" w:rsidP="006031D6">
            <w:pPr>
              <w:pStyle w:val="Zkladntext"/>
              <w:spacing w:after="0"/>
              <w:rPr>
                <w:rFonts w:ascii="Arial" w:hAnsi="Arial" w:cs="Arial"/>
              </w:rPr>
            </w:pPr>
            <w:r w:rsidRPr="006031D6">
              <w:rPr>
                <w:rFonts w:ascii="Arial" w:hAnsi="Arial" w:cs="Arial"/>
                <w:b/>
                <w:bCs/>
              </w:rPr>
              <w:t>průměrná roční vydatnost v I. 86-98</w:t>
            </w:r>
          </w:p>
        </w:tc>
        <w:tc>
          <w:tcPr>
            <w:tcW w:w="2230" w:type="dxa"/>
            <w:gridSpan w:val="4"/>
            <w:tcBorders>
              <w:top w:val="single" w:sz="6" w:space="0" w:color="auto"/>
              <w:left w:val="single" w:sz="6" w:space="0" w:color="auto"/>
              <w:bottom w:val="single" w:sz="6" w:space="0" w:color="auto"/>
              <w:right w:val="single" w:sz="6" w:space="0" w:color="auto"/>
            </w:tcBorders>
          </w:tcPr>
          <w:p w14:paraId="296157D0" w14:textId="77777777" w:rsidR="006031D6" w:rsidRPr="006031D6" w:rsidRDefault="006031D6" w:rsidP="006031D6">
            <w:pPr>
              <w:pStyle w:val="Zkladntext"/>
              <w:spacing w:after="0"/>
              <w:rPr>
                <w:rFonts w:ascii="Arial" w:hAnsi="Arial" w:cs="Arial"/>
              </w:rPr>
            </w:pPr>
            <w:r w:rsidRPr="006031D6">
              <w:rPr>
                <w:rFonts w:ascii="Arial" w:hAnsi="Arial" w:cs="Arial"/>
                <w:b/>
                <w:bCs/>
              </w:rPr>
              <w:t>Povolení k  nakl. s vodami ze 16.1.1989</w:t>
            </w:r>
          </w:p>
        </w:tc>
      </w:tr>
      <w:tr w:rsidR="006031D6" w:rsidRPr="006031D6" w14:paraId="5DB567C6" w14:textId="77777777" w:rsidTr="002D2D45">
        <w:trPr>
          <w:trHeight w:val="629"/>
        </w:trPr>
        <w:tc>
          <w:tcPr>
            <w:tcW w:w="1789" w:type="dxa"/>
            <w:vMerge/>
            <w:tcBorders>
              <w:left w:val="single" w:sz="6" w:space="0" w:color="auto"/>
              <w:right w:val="single" w:sz="6" w:space="0" w:color="auto"/>
            </w:tcBorders>
          </w:tcPr>
          <w:p w14:paraId="41789B07" w14:textId="77777777" w:rsidR="006031D6" w:rsidRPr="006031D6" w:rsidRDefault="006031D6" w:rsidP="006031D6">
            <w:pPr>
              <w:pStyle w:val="Zkladntext"/>
              <w:spacing w:after="0"/>
              <w:rPr>
                <w:rFonts w:ascii="Arial" w:hAnsi="Arial" w:cs="Arial"/>
              </w:rPr>
            </w:pPr>
          </w:p>
        </w:tc>
        <w:tc>
          <w:tcPr>
            <w:tcW w:w="1618" w:type="dxa"/>
            <w:gridSpan w:val="2"/>
            <w:vMerge/>
            <w:tcBorders>
              <w:left w:val="single" w:sz="6" w:space="0" w:color="auto"/>
              <w:bottom w:val="single" w:sz="6" w:space="0" w:color="auto"/>
              <w:right w:val="single" w:sz="6" w:space="0" w:color="auto"/>
            </w:tcBorders>
          </w:tcPr>
          <w:p w14:paraId="4AE039BA" w14:textId="77777777" w:rsidR="006031D6" w:rsidRPr="006031D6" w:rsidRDefault="006031D6" w:rsidP="006031D6">
            <w:pPr>
              <w:pStyle w:val="Zkladntext"/>
              <w:spacing w:after="0"/>
              <w:rPr>
                <w:rFonts w:ascii="Arial" w:hAnsi="Arial" w:cs="Arial"/>
              </w:rPr>
            </w:pPr>
          </w:p>
        </w:tc>
        <w:tc>
          <w:tcPr>
            <w:tcW w:w="1650" w:type="dxa"/>
            <w:gridSpan w:val="2"/>
            <w:vMerge/>
            <w:tcBorders>
              <w:left w:val="single" w:sz="6" w:space="0" w:color="auto"/>
              <w:bottom w:val="single" w:sz="6" w:space="0" w:color="auto"/>
              <w:right w:val="single" w:sz="6" w:space="0" w:color="auto"/>
            </w:tcBorders>
          </w:tcPr>
          <w:p w14:paraId="17137AC6" w14:textId="77777777" w:rsidR="006031D6" w:rsidRPr="006031D6" w:rsidRDefault="006031D6" w:rsidP="006031D6">
            <w:pPr>
              <w:pStyle w:val="Zkladntext"/>
              <w:spacing w:after="0"/>
              <w:rPr>
                <w:rFonts w:ascii="Arial" w:hAnsi="Arial" w:cs="Arial"/>
              </w:rPr>
            </w:pPr>
          </w:p>
        </w:tc>
        <w:tc>
          <w:tcPr>
            <w:tcW w:w="1714" w:type="dxa"/>
            <w:gridSpan w:val="2"/>
            <w:vMerge/>
            <w:tcBorders>
              <w:left w:val="single" w:sz="6" w:space="0" w:color="auto"/>
              <w:bottom w:val="single" w:sz="6" w:space="0" w:color="auto"/>
              <w:right w:val="single" w:sz="6" w:space="0" w:color="auto"/>
            </w:tcBorders>
          </w:tcPr>
          <w:p w14:paraId="6159CE7A" w14:textId="77777777" w:rsidR="006031D6" w:rsidRPr="006031D6" w:rsidRDefault="006031D6" w:rsidP="006031D6">
            <w:pPr>
              <w:pStyle w:val="Zkladntext"/>
              <w:spacing w:after="0"/>
              <w:rPr>
                <w:rFonts w:ascii="Arial" w:hAnsi="Arial" w:cs="Arial"/>
              </w:rPr>
            </w:pPr>
          </w:p>
        </w:tc>
        <w:tc>
          <w:tcPr>
            <w:tcW w:w="657" w:type="dxa"/>
            <w:tcBorders>
              <w:top w:val="single" w:sz="6" w:space="0" w:color="auto"/>
              <w:left w:val="single" w:sz="6" w:space="0" w:color="auto"/>
              <w:bottom w:val="single" w:sz="6" w:space="0" w:color="auto"/>
              <w:right w:val="single" w:sz="6" w:space="0" w:color="auto"/>
            </w:tcBorders>
          </w:tcPr>
          <w:p w14:paraId="4D530246" w14:textId="77777777" w:rsidR="006031D6" w:rsidRPr="006031D6" w:rsidRDefault="006031D6" w:rsidP="006031D6">
            <w:pPr>
              <w:pStyle w:val="Texttabulky"/>
              <w:spacing w:after="0" w:line="240" w:lineRule="atLeast"/>
              <w:rPr>
                <w:rFonts w:cs="Arial"/>
              </w:rPr>
            </w:pPr>
            <w:r w:rsidRPr="006031D6">
              <w:rPr>
                <w:rFonts w:cs="Arial"/>
                <w:b/>
                <w:bCs/>
              </w:rPr>
              <w:t>Q</w:t>
            </w:r>
            <w:r w:rsidRPr="006031D6">
              <w:rPr>
                <w:rFonts w:cs="Arial"/>
                <w:b/>
                <w:bCs/>
                <w:vertAlign w:val="subscript"/>
              </w:rPr>
              <w:t>min</w:t>
            </w:r>
          </w:p>
        </w:tc>
        <w:tc>
          <w:tcPr>
            <w:tcW w:w="722" w:type="dxa"/>
            <w:gridSpan w:val="2"/>
            <w:tcBorders>
              <w:top w:val="single" w:sz="6" w:space="0" w:color="auto"/>
              <w:left w:val="single" w:sz="6" w:space="0" w:color="auto"/>
              <w:bottom w:val="single" w:sz="6" w:space="0" w:color="auto"/>
              <w:right w:val="single" w:sz="6" w:space="0" w:color="auto"/>
            </w:tcBorders>
          </w:tcPr>
          <w:p w14:paraId="048B1D1D" w14:textId="77777777" w:rsidR="006031D6" w:rsidRPr="006031D6" w:rsidRDefault="006031D6" w:rsidP="006031D6">
            <w:pPr>
              <w:pStyle w:val="Texttabulky"/>
              <w:spacing w:after="0" w:line="240" w:lineRule="atLeast"/>
              <w:rPr>
                <w:rFonts w:cs="Arial"/>
              </w:rPr>
            </w:pPr>
            <w:r w:rsidRPr="006031D6">
              <w:rPr>
                <w:rFonts w:cs="Arial"/>
                <w:b/>
                <w:bCs/>
              </w:rPr>
              <w:t>Q</w:t>
            </w:r>
            <w:r w:rsidRPr="006031D6">
              <w:rPr>
                <w:rFonts w:cs="Arial"/>
                <w:b/>
                <w:bCs/>
                <w:vertAlign w:val="subscript"/>
              </w:rPr>
              <w:t>prům</w:t>
            </w:r>
          </w:p>
        </w:tc>
        <w:tc>
          <w:tcPr>
            <w:tcW w:w="851" w:type="dxa"/>
            <w:tcBorders>
              <w:top w:val="single" w:sz="6" w:space="0" w:color="auto"/>
              <w:left w:val="single" w:sz="6" w:space="0" w:color="auto"/>
              <w:bottom w:val="single" w:sz="6" w:space="0" w:color="auto"/>
              <w:right w:val="single" w:sz="6" w:space="0" w:color="auto"/>
            </w:tcBorders>
          </w:tcPr>
          <w:p w14:paraId="67E8814D" w14:textId="77777777" w:rsidR="006031D6" w:rsidRPr="006031D6" w:rsidRDefault="006031D6" w:rsidP="006031D6">
            <w:pPr>
              <w:pStyle w:val="Texttabulky"/>
              <w:spacing w:after="0" w:line="240" w:lineRule="atLeast"/>
              <w:rPr>
                <w:rFonts w:cs="Arial"/>
              </w:rPr>
            </w:pPr>
            <w:r w:rsidRPr="006031D6">
              <w:rPr>
                <w:rFonts w:cs="Arial"/>
                <w:b/>
                <w:bCs/>
              </w:rPr>
              <w:t>Q</w:t>
            </w:r>
            <w:r w:rsidRPr="006031D6">
              <w:rPr>
                <w:rFonts w:cs="Arial"/>
                <w:b/>
                <w:bCs/>
                <w:vertAlign w:val="subscript"/>
              </w:rPr>
              <w:t>max</w:t>
            </w:r>
          </w:p>
        </w:tc>
      </w:tr>
      <w:tr w:rsidR="006031D6" w:rsidRPr="006031D6" w14:paraId="1981D174" w14:textId="77777777" w:rsidTr="002D2D45">
        <w:trPr>
          <w:trHeight w:val="341"/>
        </w:trPr>
        <w:tc>
          <w:tcPr>
            <w:tcW w:w="1789" w:type="dxa"/>
            <w:vMerge/>
            <w:tcBorders>
              <w:left w:val="single" w:sz="6" w:space="0" w:color="auto"/>
              <w:bottom w:val="nil"/>
              <w:right w:val="single" w:sz="6" w:space="0" w:color="auto"/>
            </w:tcBorders>
          </w:tcPr>
          <w:p w14:paraId="135AF9FD" w14:textId="77777777" w:rsidR="006031D6" w:rsidRPr="006031D6" w:rsidRDefault="006031D6" w:rsidP="006031D6">
            <w:pPr>
              <w:pStyle w:val="Zkladntext"/>
              <w:spacing w:after="0"/>
              <w:rPr>
                <w:rFonts w:ascii="Arial" w:hAnsi="Arial" w:cs="Arial"/>
              </w:rPr>
            </w:pPr>
          </w:p>
        </w:tc>
        <w:tc>
          <w:tcPr>
            <w:tcW w:w="946" w:type="dxa"/>
            <w:tcBorders>
              <w:top w:val="single" w:sz="6" w:space="0" w:color="auto"/>
              <w:left w:val="single" w:sz="6" w:space="0" w:color="auto"/>
              <w:bottom w:val="single" w:sz="6" w:space="0" w:color="auto"/>
              <w:right w:val="single" w:sz="6" w:space="0" w:color="auto"/>
            </w:tcBorders>
          </w:tcPr>
          <w:p w14:paraId="24351755" w14:textId="77777777" w:rsidR="006031D6" w:rsidRPr="006031D6" w:rsidRDefault="006031D6" w:rsidP="006031D6">
            <w:pPr>
              <w:pStyle w:val="Texttabulky"/>
              <w:spacing w:after="0" w:line="240" w:lineRule="atLeast"/>
              <w:rPr>
                <w:rFonts w:cs="Arial"/>
              </w:rPr>
            </w:pPr>
            <w:r w:rsidRPr="006031D6">
              <w:rPr>
                <w:rFonts w:cs="Arial"/>
                <w:b/>
                <w:bCs/>
              </w:rPr>
              <w:t>m</w:t>
            </w:r>
            <w:r w:rsidRPr="006031D6">
              <w:rPr>
                <w:rFonts w:cs="Arial"/>
                <w:b/>
                <w:bCs/>
                <w:vertAlign w:val="superscript"/>
              </w:rPr>
              <w:t>3</w:t>
            </w:r>
            <w:r w:rsidRPr="006031D6">
              <w:rPr>
                <w:rFonts w:cs="Arial"/>
                <w:b/>
                <w:bCs/>
              </w:rPr>
              <w:t>/rok</w:t>
            </w:r>
          </w:p>
        </w:tc>
        <w:tc>
          <w:tcPr>
            <w:tcW w:w="672" w:type="dxa"/>
            <w:tcBorders>
              <w:top w:val="single" w:sz="6" w:space="0" w:color="auto"/>
              <w:left w:val="single" w:sz="6" w:space="0" w:color="auto"/>
              <w:bottom w:val="single" w:sz="6" w:space="0" w:color="auto"/>
              <w:right w:val="single" w:sz="6" w:space="0" w:color="auto"/>
            </w:tcBorders>
          </w:tcPr>
          <w:p w14:paraId="23CCE91A" w14:textId="77777777" w:rsidR="006031D6" w:rsidRPr="006031D6" w:rsidRDefault="006031D6" w:rsidP="006031D6">
            <w:pPr>
              <w:pStyle w:val="Texttabulky"/>
              <w:spacing w:after="0" w:line="240" w:lineRule="atLeast"/>
              <w:rPr>
                <w:rFonts w:cs="Arial"/>
              </w:rPr>
            </w:pPr>
            <w:r w:rsidRPr="006031D6">
              <w:rPr>
                <w:rFonts w:cs="Arial"/>
                <w:b/>
                <w:bCs/>
              </w:rPr>
              <w:t>l/s</w:t>
            </w:r>
          </w:p>
        </w:tc>
        <w:tc>
          <w:tcPr>
            <w:tcW w:w="946" w:type="dxa"/>
            <w:tcBorders>
              <w:top w:val="single" w:sz="6" w:space="0" w:color="auto"/>
              <w:left w:val="single" w:sz="6" w:space="0" w:color="auto"/>
              <w:bottom w:val="single" w:sz="6" w:space="0" w:color="auto"/>
              <w:right w:val="single" w:sz="6" w:space="0" w:color="auto"/>
            </w:tcBorders>
          </w:tcPr>
          <w:p w14:paraId="07176064" w14:textId="77777777" w:rsidR="006031D6" w:rsidRPr="006031D6" w:rsidRDefault="006031D6" w:rsidP="006031D6">
            <w:pPr>
              <w:pStyle w:val="Texttabulky"/>
              <w:spacing w:after="0" w:line="240" w:lineRule="atLeast"/>
              <w:rPr>
                <w:rFonts w:cs="Arial"/>
              </w:rPr>
            </w:pPr>
            <w:r w:rsidRPr="006031D6">
              <w:rPr>
                <w:rFonts w:cs="Arial"/>
                <w:b/>
                <w:bCs/>
              </w:rPr>
              <w:t>m</w:t>
            </w:r>
            <w:r w:rsidRPr="006031D6">
              <w:rPr>
                <w:rFonts w:cs="Arial"/>
                <w:b/>
                <w:bCs/>
                <w:vertAlign w:val="superscript"/>
              </w:rPr>
              <w:t>3</w:t>
            </w:r>
            <w:r w:rsidRPr="006031D6">
              <w:rPr>
                <w:rFonts w:cs="Arial"/>
                <w:b/>
                <w:bCs/>
              </w:rPr>
              <w:t>/rok</w:t>
            </w:r>
          </w:p>
        </w:tc>
        <w:tc>
          <w:tcPr>
            <w:tcW w:w="704" w:type="dxa"/>
            <w:tcBorders>
              <w:top w:val="single" w:sz="6" w:space="0" w:color="auto"/>
              <w:left w:val="single" w:sz="6" w:space="0" w:color="auto"/>
              <w:bottom w:val="single" w:sz="6" w:space="0" w:color="auto"/>
              <w:right w:val="single" w:sz="6" w:space="0" w:color="auto"/>
            </w:tcBorders>
          </w:tcPr>
          <w:p w14:paraId="26D99CEB" w14:textId="77777777" w:rsidR="006031D6" w:rsidRPr="006031D6" w:rsidRDefault="006031D6" w:rsidP="006031D6">
            <w:pPr>
              <w:pStyle w:val="Texttabulky"/>
              <w:spacing w:after="0" w:line="240" w:lineRule="atLeast"/>
              <w:rPr>
                <w:rFonts w:cs="Arial"/>
              </w:rPr>
            </w:pPr>
            <w:r w:rsidRPr="006031D6">
              <w:rPr>
                <w:rFonts w:cs="Arial"/>
                <w:b/>
                <w:bCs/>
              </w:rPr>
              <w:t>l/s</w:t>
            </w:r>
          </w:p>
        </w:tc>
        <w:tc>
          <w:tcPr>
            <w:tcW w:w="946" w:type="dxa"/>
            <w:tcBorders>
              <w:top w:val="single" w:sz="6" w:space="0" w:color="auto"/>
              <w:left w:val="single" w:sz="6" w:space="0" w:color="auto"/>
              <w:bottom w:val="single" w:sz="6" w:space="0" w:color="auto"/>
              <w:right w:val="single" w:sz="6" w:space="0" w:color="auto"/>
            </w:tcBorders>
          </w:tcPr>
          <w:p w14:paraId="0565ACE1" w14:textId="77777777" w:rsidR="006031D6" w:rsidRPr="006031D6" w:rsidRDefault="006031D6" w:rsidP="006031D6">
            <w:pPr>
              <w:pStyle w:val="Texttabulky"/>
              <w:spacing w:after="0" w:line="240" w:lineRule="atLeast"/>
              <w:rPr>
                <w:rFonts w:cs="Arial"/>
              </w:rPr>
            </w:pPr>
            <w:r w:rsidRPr="006031D6">
              <w:rPr>
                <w:rFonts w:cs="Arial"/>
                <w:b/>
                <w:bCs/>
              </w:rPr>
              <w:t>m</w:t>
            </w:r>
            <w:r w:rsidRPr="006031D6">
              <w:rPr>
                <w:rFonts w:cs="Arial"/>
                <w:b/>
                <w:bCs/>
                <w:vertAlign w:val="superscript"/>
              </w:rPr>
              <w:t>3</w:t>
            </w:r>
            <w:r w:rsidRPr="006031D6">
              <w:rPr>
                <w:rFonts w:cs="Arial"/>
                <w:b/>
                <w:bCs/>
              </w:rPr>
              <w:t>/rok</w:t>
            </w:r>
          </w:p>
        </w:tc>
        <w:tc>
          <w:tcPr>
            <w:tcW w:w="768" w:type="dxa"/>
            <w:tcBorders>
              <w:top w:val="single" w:sz="6" w:space="0" w:color="auto"/>
              <w:left w:val="single" w:sz="6" w:space="0" w:color="auto"/>
              <w:bottom w:val="single" w:sz="6" w:space="0" w:color="auto"/>
              <w:right w:val="single" w:sz="6" w:space="0" w:color="auto"/>
            </w:tcBorders>
          </w:tcPr>
          <w:p w14:paraId="28A5EE7C" w14:textId="77777777" w:rsidR="006031D6" w:rsidRPr="006031D6" w:rsidRDefault="006031D6" w:rsidP="006031D6">
            <w:pPr>
              <w:pStyle w:val="Texttabulky"/>
              <w:spacing w:after="0" w:line="240" w:lineRule="atLeast"/>
              <w:rPr>
                <w:rFonts w:cs="Arial"/>
              </w:rPr>
            </w:pPr>
            <w:r w:rsidRPr="006031D6">
              <w:rPr>
                <w:rFonts w:cs="Arial"/>
                <w:b/>
                <w:bCs/>
              </w:rPr>
              <w:t>l/s</w:t>
            </w:r>
          </w:p>
        </w:tc>
        <w:tc>
          <w:tcPr>
            <w:tcW w:w="2230" w:type="dxa"/>
            <w:gridSpan w:val="4"/>
            <w:tcBorders>
              <w:top w:val="single" w:sz="6" w:space="0" w:color="auto"/>
              <w:left w:val="single" w:sz="6" w:space="0" w:color="auto"/>
              <w:bottom w:val="single" w:sz="6" w:space="0" w:color="auto"/>
              <w:right w:val="single" w:sz="6" w:space="0" w:color="auto"/>
            </w:tcBorders>
          </w:tcPr>
          <w:p w14:paraId="00BACE1D" w14:textId="77777777" w:rsidR="006031D6" w:rsidRPr="006031D6" w:rsidRDefault="006031D6" w:rsidP="006031D6">
            <w:pPr>
              <w:pStyle w:val="Zkladntext"/>
              <w:spacing w:after="0"/>
              <w:rPr>
                <w:rFonts w:ascii="Arial" w:hAnsi="Arial" w:cs="Arial"/>
              </w:rPr>
            </w:pPr>
            <w:r w:rsidRPr="006031D6">
              <w:rPr>
                <w:rFonts w:ascii="Arial" w:hAnsi="Arial" w:cs="Arial"/>
                <w:b/>
                <w:bCs/>
              </w:rPr>
              <w:t>l/s</w:t>
            </w:r>
          </w:p>
        </w:tc>
      </w:tr>
      <w:tr w:rsidR="006031D6" w:rsidRPr="006031D6" w14:paraId="18170420" w14:textId="77777777" w:rsidTr="002D2D45">
        <w:trPr>
          <w:trHeight w:val="481"/>
        </w:trPr>
        <w:tc>
          <w:tcPr>
            <w:tcW w:w="1789" w:type="dxa"/>
            <w:tcBorders>
              <w:top w:val="single" w:sz="6" w:space="0" w:color="auto"/>
              <w:left w:val="single" w:sz="6" w:space="0" w:color="auto"/>
              <w:bottom w:val="single" w:sz="6" w:space="0" w:color="auto"/>
              <w:right w:val="single" w:sz="6" w:space="0" w:color="auto"/>
            </w:tcBorders>
          </w:tcPr>
          <w:p w14:paraId="244D1B59" w14:textId="77777777" w:rsidR="006031D6" w:rsidRPr="006031D6" w:rsidRDefault="006031D6" w:rsidP="006031D6">
            <w:pPr>
              <w:pStyle w:val="Texttabulky"/>
              <w:spacing w:after="0" w:line="240" w:lineRule="atLeast"/>
              <w:rPr>
                <w:rFonts w:cs="Arial"/>
              </w:rPr>
            </w:pPr>
            <w:r w:rsidRPr="006031D6">
              <w:rPr>
                <w:rFonts w:cs="Arial"/>
                <w:b/>
                <w:bCs/>
                <w:caps/>
              </w:rPr>
              <w:t>Hřensko  ÚV</w:t>
            </w:r>
          </w:p>
        </w:tc>
        <w:tc>
          <w:tcPr>
            <w:tcW w:w="946" w:type="dxa"/>
            <w:tcBorders>
              <w:top w:val="nil"/>
              <w:left w:val="nil"/>
              <w:bottom w:val="single" w:sz="6" w:space="0" w:color="auto"/>
              <w:right w:val="single" w:sz="6" w:space="0" w:color="auto"/>
            </w:tcBorders>
          </w:tcPr>
          <w:p w14:paraId="3D1ED9E5" w14:textId="77777777" w:rsidR="006031D6" w:rsidRPr="006031D6" w:rsidRDefault="006031D6" w:rsidP="006031D6">
            <w:pPr>
              <w:pStyle w:val="Texttabulky"/>
              <w:spacing w:after="0" w:line="240" w:lineRule="atLeast"/>
              <w:rPr>
                <w:rFonts w:cs="Arial"/>
              </w:rPr>
            </w:pPr>
            <w:r w:rsidRPr="006031D6">
              <w:rPr>
                <w:rFonts w:cs="Arial"/>
              </w:rPr>
              <w:t>2 831 100</w:t>
            </w:r>
          </w:p>
        </w:tc>
        <w:tc>
          <w:tcPr>
            <w:tcW w:w="672" w:type="dxa"/>
            <w:tcBorders>
              <w:top w:val="nil"/>
              <w:left w:val="single" w:sz="6" w:space="0" w:color="auto"/>
              <w:bottom w:val="single" w:sz="6" w:space="0" w:color="auto"/>
              <w:right w:val="single" w:sz="6" w:space="0" w:color="auto"/>
            </w:tcBorders>
          </w:tcPr>
          <w:p w14:paraId="6399FCFE" w14:textId="77777777" w:rsidR="006031D6" w:rsidRPr="006031D6" w:rsidRDefault="006031D6" w:rsidP="006031D6">
            <w:pPr>
              <w:pStyle w:val="Texttabulky"/>
              <w:spacing w:after="0" w:line="240" w:lineRule="atLeast"/>
              <w:rPr>
                <w:rFonts w:cs="Arial"/>
              </w:rPr>
            </w:pPr>
            <w:r w:rsidRPr="006031D6">
              <w:rPr>
                <w:rFonts w:cs="Arial"/>
              </w:rPr>
              <w:t>89,77</w:t>
            </w:r>
          </w:p>
        </w:tc>
        <w:tc>
          <w:tcPr>
            <w:tcW w:w="946" w:type="dxa"/>
            <w:tcBorders>
              <w:top w:val="nil"/>
              <w:left w:val="single" w:sz="6" w:space="0" w:color="auto"/>
              <w:bottom w:val="single" w:sz="6" w:space="0" w:color="auto"/>
              <w:right w:val="single" w:sz="6" w:space="0" w:color="auto"/>
            </w:tcBorders>
          </w:tcPr>
          <w:p w14:paraId="258B99DB" w14:textId="77777777" w:rsidR="006031D6" w:rsidRPr="006031D6" w:rsidRDefault="006031D6" w:rsidP="006031D6">
            <w:pPr>
              <w:pStyle w:val="Texttabulky"/>
              <w:spacing w:after="0" w:line="240" w:lineRule="atLeast"/>
              <w:rPr>
                <w:rFonts w:cs="Arial"/>
              </w:rPr>
            </w:pPr>
            <w:r w:rsidRPr="006031D6">
              <w:rPr>
                <w:rFonts w:cs="Arial"/>
              </w:rPr>
              <w:t>3 007 986</w:t>
            </w:r>
          </w:p>
        </w:tc>
        <w:tc>
          <w:tcPr>
            <w:tcW w:w="704" w:type="dxa"/>
            <w:tcBorders>
              <w:top w:val="nil"/>
              <w:left w:val="single" w:sz="6" w:space="0" w:color="auto"/>
              <w:bottom w:val="single" w:sz="6" w:space="0" w:color="auto"/>
              <w:right w:val="single" w:sz="6" w:space="0" w:color="auto"/>
            </w:tcBorders>
          </w:tcPr>
          <w:p w14:paraId="779A2A84" w14:textId="77777777" w:rsidR="006031D6" w:rsidRPr="006031D6" w:rsidRDefault="006031D6" w:rsidP="006031D6">
            <w:pPr>
              <w:pStyle w:val="Texttabulky"/>
              <w:spacing w:after="0" w:line="240" w:lineRule="atLeast"/>
              <w:rPr>
                <w:rFonts w:cs="Arial"/>
              </w:rPr>
            </w:pPr>
            <w:r w:rsidRPr="006031D6">
              <w:rPr>
                <w:rFonts w:cs="Arial"/>
              </w:rPr>
              <w:t>95,38</w:t>
            </w:r>
          </w:p>
        </w:tc>
        <w:tc>
          <w:tcPr>
            <w:tcW w:w="946" w:type="dxa"/>
            <w:tcBorders>
              <w:top w:val="nil"/>
              <w:left w:val="single" w:sz="6" w:space="0" w:color="auto"/>
              <w:bottom w:val="single" w:sz="6" w:space="0" w:color="auto"/>
              <w:right w:val="single" w:sz="6" w:space="0" w:color="auto"/>
            </w:tcBorders>
          </w:tcPr>
          <w:p w14:paraId="705E007D" w14:textId="77777777" w:rsidR="006031D6" w:rsidRPr="006031D6" w:rsidRDefault="006031D6" w:rsidP="006031D6">
            <w:pPr>
              <w:pStyle w:val="Texttabulky"/>
              <w:spacing w:after="0" w:line="240" w:lineRule="atLeast"/>
              <w:rPr>
                <w:rFonts w:cs="Arial"/>
              </w:rPr>
            </w:pPr>
            <w:r w:rsidRPr="006031D6">
              <w:rPr>
                <w:rFonts w:cs="Arial"/>
              </w:rPr>
              <w:t>3 662 796</w:t>
            </w:r>
          </w:p>
        </w:tc>
        <w:tc>
          <w:tcPr>
            <w:tcW w:w="768" w:type="dxa"/>
            <w:tcBorders>
              <w:top w:val="nil"/>
              <w:left w:val="single" w:sz="6" w:space="0" w:color="auto"/>
              <w:bottom w:val="single" w:sz="6" w:space="0" w:color="auto"/>
              <w:right w:val="single" w:sz="6" w:space="0" w:color="auto"/>
            </w:tcBorders>
          </w:tcPr>
          <w:p w14:paraId="6145A309" w14:textId="77777777" w:rsidR="006031D6" w:rsidRPr="006031D6" w:rsidRDefault="006031D6" w:rsidP="006031D6">
            <w:pPr>
              <w:pStyle w:val="Texttabulky"/>
              <w:spacing w:after="0" w:line="240" w:lineRule="atLeast"/>
              <w:rPr>
                <w:rFonts w:cs="Arial"/>
              </w:rPr>
            </w:pPr>
            <w:r w:rsidRPr="006031D6">
              <w:rPr>
                <w:rFonts w:cs="Arial"/>
              </w:rPr>
              <w:t>116,15</w:t>
            </w:r>
          </w:p>
        </w:tc>
        <w:tc>
          <w:tcPr>
            <w:tcW w:w="657" w:type="dxa"/>
            <w:tcBorders>
              <w:top w:val="nil"/>
              <w:left w:val="single" w:sz="6" w:space="0" w:color="auto"/>
              <w:bottom w:val="single" w:sz="6" w:space="0" w:color="auto"/>
              <w:right w:val="single" w:sz="6" w:space="0" w:color="auto"/>
            </w:tcBorders>
          </w:tcPr>
          <w:p w14:paraId="478C7233" w14:textId="77777777" w:rsidR="006031D6" w:rsidRPr="006031D6" w:rsidRDefault="006031D6" w:rsidP="006031D6">
            <w:pPr>
              <w:pStyle w:val="Texttabulky"/>
              <w:spacing w:after="0" w:line="240" w:lineRule="atLeast"/>
              <w:rPr>
                <w:rFonts w:cs="Arial"/>
              </w:rPr>
            </w:pPr>
            <w:r w:rsidRPr="006031D6">
              <w:rPr>
                <w:rFonts w:cs="Arial"/>
              </w:rPr>
              <w:t>110</w:t>
            </w:r>
          </w:p>
        </w:tc>
        <w:tc>
          <w:tcPr>
            <w:tcW w:w="722" w:type="dxa"/>
            <w:gridSpan w:val="2"/>
            <w:tcBorders>
              <w:top w:val="nil"/>
              <w:left w:val="single" w:sz="6" w:space="0" w:color="auto"/>
              <w:bottom w:val="single" w:sz="6" w:space="0" w:color="auto"/>
              <w:right w:val="single" w:sz="6" w:space="0" w:color="auto"/>
            </w:tcBorders>
          </w:tcPr>
          <w:p w14:paraId="7205F7E0" w14:textId="77777777" w:rsidR="006031D6" w:rsidRPr="006031D6" w:rsidRDefault="006031D6" w:rsidP="006031D6">
            <w:pPr>
              <w:pStyle w:val="Texttabulky"/>
              <w:spacing w:after="0" w:line="240" w:lineRule="atLeast"/>
              <w:rPr>
                <w:rFonts w:cs="Arial"/>
              </w:rPr>
            </w:pPr>
            <w:r w:rsidRPr="006031D6">
              <w:rPr>
                <w:rFonts w:cs="Arial"/>
              </w:rPr>
              <w:t>120</w:t>
            </w:r>
          </w:p>
        </w:tc>
        <w:tc>
          <w:tcPr>
            <w:tcW w:w="851" w:type="dxa"/>
            <w:tcBorders>
              <w:top w:val="nil"/>
              <w:left w:val="single" w:sz="6" w:space="0" w:color="auto"/>
              <w:bottom w:val="single" w:sz="6" w:space="0" w:color="auto"/>
              <w:right w:val="single" w:sz="6" w:space="0" w:color="auto"/>
            </w:tcBorders>
          </w:tcPr>
          <w:p w14:paraId="6A03350C" w14:textId="77777777" w:rsidR="006031D6" w:rsidRPr="006031D6" w:rsidRDefault="006031D6" w:rsidP="006031D6">
            <w:pPr>
              <w:pStyle w:val="Texttabulky"/>
              <w:spacing w:after="0" w:line="240" w:lineRule="atLeast"/>
              <w:rPr>
                <w:rFonts w:cs="Arial"/>
              </w:rPr>
            </w:pPr>
            <w:r w:rsidRPr="006031D6">
              <w:rPr>
                <w:rFonts w:cs="Arial"/>
              </w:rPr>
              <w:t>140</w:t>
            </w:r>
          </w:p>
        </w:tc>
      </w:tr>
      <w:tr w:rsidR="006031D6" w:rsidRPr="006031D6" w14:paraId="6CB964B6" w14:textId="77777777" w:rsidTr="002D2D45">
        <w:trPr>
          <w:trHeight w:val="228"/>
        </w:trPr>
        <w:tc>
          <w:tcPr>
            <w:tcW w:w="9001" w:type="dxa"/>
            <w:gridSpan w:val="11"/>
            <w:tcBorders>
              <w:top w:val="single" w:sz="6" w:space="0" w:color="auto"/>
              <w:left w:val="single" w:sz="6" w:space="0" w:color="auto"/>
              <w:bottom w:val="single" w:sz="6" w:space="0" w:color="auto"/>
              <w:right w:val="single" w:sz="6" w:space="0" w:color="auto"/>
            </w:tcBorders>
          </w:tcPr>
          <w:p w14:paraId="4605EF48" w14:textId="77777777" w:rsidR="006031D6" w:rsidRPr="006031D6" w:rsidRDefault="006031D6" w:rsidP="006031D6">
            <w:pPr>
              <w:pStyle w:val="Zkladntext"/>
              <w:spacing w:after="0"/>
              <w:rPr>
                <w:rFonts w:ascii="Arial" w:hAnsi="Arial" w:cs="Arial"/>
              </w:rPr>
            </w:pPr>
            <w:r w:rsidRPr="006031D6">
              <w:rPr>
                <w:rFonts w:ascii="Arial" w:hAnsi="Arial" w:cs="Arial"/>
                <w:b/>
                <w:bCs/>
                <w:caps/>
              </w:rPr>
              <w:t>Zdroje město Děčín</w:t>
            </w:r>
          </w:p>
        </w:tc>
      </w:tr>
      <w:tr w:rsidR="006031D6" w:rsidRPr="006031D6" w14:paraId="7E851AD1"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1F5985DE" w14:textId="77777777" w:rsidR="006031D6" w:rsidRPr="006031D6" w:rsidRDefault="006031D6" w:rsidP="006031D6">
            <w:pPr>
              <w:pStyle w:val="Texttabulky"/>
              <w:spacing w:after="0" w:line="240" w:lineRule="atLeast"/>
              <w:rPr>
                <w:rFonts w:cs="Arial"/>
              </w:rPr>
            </w:pPr>
            <w:r w:rsidRPr="006031D6">
              <w:rPr>
                <w:rFonts w:cs="Arial"/>
              </w:rPr>
              <w:t>Studený pramen</w:t>
            </w:r>
          </w:p>
        </w:tc>
        <w:tc>
          <w:tcPr>
            <w:tcW w:w="946" w:type="dxa"/>
            <w:tcBorders>
              <w:top w:val="single" w:sz="6" w:space="0" w:color="auto"/>
              <w:left w:val="nil"/>
              <w:bottom w:val="single" w:sz="6" w:space="0" w:color="auto"/>
              <w:right w:val="single" w:sz="6" w:space="0" w:color="auto"/>
            </w:tcBorders>
          </w:tcPr>
          <w:p w14:paraId="487150EB" w14:textId="77777777" w:rsidR="006031D6" w:rsidRPr="006031D6" w:rsidRDefault="006031D6" w:rsidP="006031D6">
            <w:pPr>
              <w:pStyle w:val="Texttabulky"/>
              <w:spacing w:after="0" w:line="240" w:lineRule="atLeast"/>
              <w:rPr>
                <w:rFonts w:cs="Arial"/>
              </w:rPr>
            </w:pPr>
            <w:r w:rsidRPr="006031D6">
              <w:rPr>
                <w:rFonts w:cs="Arial"/>
              </w:rPr>
              <w:t>156 400</w:t>
            </w:r>
          </w:p>
        </w:tc>
        <w:tc>
          <w:tcPr>
            <w:tcW w:w="672" w:type="dxa"/>
            <w:tcBorders>
              <w:top w:val="single" w:sz="6" w:space="0" w:color="auto"/>
              <w:left w:val="single" w:sz="6" w:space="0" w:color="auto"/>
              <w:bottom w:val="single" w:sz="6" w:space="0" w:color="auto"/>
              <w:right w:val="single" w:sz="6" w:space="0" w:color="auto"/>
            </w:tcBorders>
          </w:tcPr>
          <w:p w14:paraId="3E3A14D9" w14:textId="77777777" w:rsidR="006031D6" w:rsidRPr="006031D6" w:rsidRDefault="006031D6" w:rsidP="006031D6">
            <w:pPr>
              <w:pStyle w:val="Texttabulky"/>
              <w:spacing w:after="0" w:line="240" w:lineRule="atLeast"/>
              <w:rPr>
                <w:rFonts w:cs="Arial"/>
              </w:rPr>
            </w:pPr>
            <w:r w:rsidRPr="006031D6">
              <w:rPr>
                <w:rFonts w:cs="Arial"/>
              </w:rPr>
              <w:t>4,96</w:t>
            </w:r>
          </w:p>
        </w:tc>
        <w:tc>
          <w:tcPr>
            <w:tcW w:w="946" w:type="dxa"/>
            <w:tcBorders>
              <w:top w:val="single" w:sz="6" w:space="0" w:color="auto"/>
              <w:left w:val="single" w:sz="6" w:space="0" w:color="auto"/>
              <w:bottom w:val="single" w:sz="6" w:space="0" w:color="auto"/>
              <w:right w:val="single" w:sz="6" w:space="0" w:color="auto"/>
            </w:tcBorders>
          </w:tcPr>
          <w:p w14:paraId="553E9BA0" w14:textId="77777777" w:rsidR="006031D6" w:rsidRPr="006031D6" w:rsidRDefault="006031D6" w:rsidP="006031D6">
            <w:pPr>
              <w:pStyle w:val="Texttabulky"/>
              <w:spacing w:after="0" w:line="240" w:lineRule="atLeast"/>
              <w:rPr>
                <w:rFonts w:cs="Arial"/>
              </w:rPr>
            </w:pPr>
            <w:r w:rsidRPr="006031D6">
              <w:rPr>
                <w:rFonts w:cs="Arial"/>
              </w:rPr>
              <w:t>213 907</w:t>
            </w:r>
          </w:p>
        </w:tc>
        <w:tc>
          <w:tcPr>
            <w:tcW w:w="704" w:type="dxa"/>
            <w:tcBorders>
              <w:top w:val="single" w:sz="6" w:space="0" w:color="auto"/>
              <w:left w:val="single" w:sz="6" w:space="0" w:color="auto"/>
              <w:bottom w:val="single" w:sz="6" w:space="0" w:color="auto"/>
              <w:right w:val="single" w:sz="6" w:space="0" w:color="auto"/>
            </w:tcBorders>
          </w:tcPr>
          <w:p w14:paraId="5DE53E50" w14:textId="77777777" w:rsidR="006031D6" w:rsidRPr="006031D6" w:rsidRDefault="006031D6" w:rsidP="006031D6">
            <w:pPr>
              <w:pStyle w:val="Texttabulky"/>
              <w:spacing w:after="0" w:line="240" w:lineRule="atLeast"/>
              <w:rPr>
                <w:rFonts w:cs="Arial"/>
              </w:rPr>
            </w:pPr>
            <w:r w:rsidRPr="006031D6">
              <w:rPr>
                <w:rFonts w:cs="Arial"/>
              </w:rPr>
              <w:t>6,78</w:t>
            </w:r>
          </w:p>
        </w:tc>
        <w:tc>
          <w:tcPr>
            <w:tcW w:w="946" w:type="dxa"/>
            <w:tcBorders>
              <w:top w:val="single" w:sz="6" w:space="0" w:color="auto"/>
              <w:left w:val="single" w:sz="6" w:space="0" w:color="auto"/>
              <w:bottom w:val="single" w:sz="6" w:space="0" w:color="auto"/>
              <w:right w:val="single" w:sz="6" w:space="0" w:color="auto"/>
            </w:tcBorders>
          </w:tcPr>
          <w:p w14:paraId="3E946033" w14:textId="77777777" w:rsidR="006031D6" w:rsidRPr="006031D6" w:rsidRDefault="006031D6" w:rsidP="006031D6">
            <w:pPr>
              <w:pStyle w:val="Texttabulky"/>
              <w:spacing w:after="0" w:line="240" w:lineRule="atLeast"/>
              <w:rPr>
                <w:rFonts w:cs="Arial"/>
              </w:rPr>
            </w:pPr>
            <w:r w:rsidRPr="006031D6">
              <w:rPr>
                <w:rFonts w:cs="Arial"/>
              </w:rPr>
              <w:t>202 496</w:t>
            </w:r>
          </w:p>
        </w:tc>
        <w:tc>
          <w:tcPr>
            <w:tcW w:w="768" w:type="dxa"/>
            <w:tcBorders>
              <w:top w:val="single" w:sz="6" w:space="0" w:color="auto"/>
              <w:left w:val="single" w:sz="6" w:space="0" w:color="auto"/>
              <w:bottom w:val="single" w:sz="6" w:space="0" w:color="auto"/>
              <w:right w:val="single" w:sz="6" w:space="0" w:color="auto"/>
            </w:tcBorders>
          </w:tcPr>
          <w:p w14:paraId="5D3B55E6" w14:textId="77777777" w:rsidR="006031D6" w:rsidRPr="006031D6" w:rsidRDefault="006031D6" w:rsidP="006031D6">
            <w:pPr>
              <w:pStyle w:val="Texttabulky"/>
              <w:spacing w:after="0" w:line="240" w:lineRule="atLeast"/>
              <w:rPr>
                <w:rFonts w:cs="Arial"/>
              </w:rPr>
            </w:pPr>
            <w:r w:rsidRPr="006031D6">
              <w:rPr>
                <w:rFonts w:cs="Arial"/>
              </w:rPr>
              <w:t>6,42</w:t>
            </w:r>
          </w:p>
        </w:tc>
        <w:tc>
          <w:tcPr>
            <w:tcW w:w="657" w:type="dxa"/>
            <w:tcBorders>
              <w:top w:val="single" w:sz="6" w:space="0" w:color="auto"/>
              <w:left w:val="single" w:sz="6" w:space="0" w:color="auto"/>
              <w:bottom w:val="single" w:sz="6" w:space="0" w:color="auto"/>
              <w:right w:val="single" w:sz="6" w:space="0" w:color="auto"/>
            </w:tcBorders>
          </w:tcPr>
          <w:p w14:paraId="485B3C6F" w14:textId="77777777" w:rsidR="006031D6" w:rsidRPr="006031D6" w:rsidRDefault="006031D6" w:rsidP="006031D6">
            <w:pPr>
              <w:pStyle w:val="Texttabulky"/>
              <w:spacing w:after="0" w:line="240" w:lineRule="atLeast"/>
              <w:rPr>
                <w:rFonts w:cs="Arial"/>
              </w:rPr>
            </w:pPr>
            <w:r w:rsidRPr="006031D6">
              <w:rPr>
                <w:rFonts w:cs="Arial"/>
              </w:rPr>
              <w:t>10</w:t>
            </w:r>
          </w:p>
        </w:tc>
        <w:tc>
          <w:tcPr>
            <w:tcW w:w="722" w:type="dxa"/>
            <w:gridSpan w:val="2"/>
            <w:tcBorders>
              <w:top w:val="single" w:sz="6" w:space="0" w:color="auto"/>
              <w:left w:val="single" w:sz="6" w:space="0" w:color="auto"/>
              <w:bottom w:val="single" w:sz="6" w:space="0" w:color="auto"/>
              <w:right w:val="single" w:sz="6" w:space="0" w:color="auto"/>
            </w:tcBorders>
          </w:tcPr>
          <w:p w14:paraId="6F2A4D08" w14:textId="77777777" w:rsidR="006031D6" w:rsidRPr="006031D6" w:rsidRDefault="006031D6" w:rsidP="006031D6">
            <w:pPr>
              <w:pStyle w:val="Texttabulky"/>
              <w:spacing w:after="0" w:line="240" w:lineRule="atLeast"/>
              <w:rPr>
                <w:rFonts w:cs="Arial"/>
              </w:rPr>
            </w:pPr>
            <w:r w:rsidRPr="006031D6">
              <w:rPr>
                <w:rFonts w:cs="Arial"/>
              </w:rPr>
              <w:t>11</w:t>
            </w:r>
          </w:p>
        </w:tc>
        <w:tc>
          <w:tcPr>
            <w:tcW w:w="851" w:type="dxa"/>
            <w:tcBorders>
              <w:top w:val="single" w:sz="6" w:space="0" w:color="auto"/>
              <w:left w:val="single" w:sz="6" w:space="0" w:color="auto"/>
              <w:bottom w:val="single" w:sz="6" w:space="0" w:color="auto"/>
              <w:right w:val="single" w:sz="6" w:space="0" w:color="auto"/>
            </w:tcBorders>
          </w:tcPr>
          <w:p w14:paraId="44DA1C86" w14:textId="77777777" w:rsidR="006031D6" w:rsidRPr="006031D6" w:rsidRDefault="006031D6" w:rsidP="006031D6">
            <w:pPr>
              <w:pStyle w:val="Texttabulky"/>
              <w:spacing w:after="0" w:line="240" w:lineRule="atLeast"/>
              <w:rPr>
                <w:rFonts w:cs="Arial"/>
              </w:rPr>
            </w:pPr>
            <w:r w:rsidRPr="006031D6">
              <w:rPr>
                <w:rFonts w:cs="Arial"/>
              </w:rPr>
              <w:t>15</w:t>
            </w:r>
          </w:p>
        </w:tc>
      </w:tr>
      <w:tr w:rsidR="006031D6" w:rsidRPr="006031D6" w14:paraId="452A18DB"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5362B178" w14:textId="77777777" w:rsidR="006031D6" w:rsidRPr="006031D6" w:rsidRDefault="006031D6" w:rsidP="006031D6">
            <w:pPr>
              <w:pStyle w:val="Texttabulky"/>
              <w:spacing w:after="0" w:line="240" w:lineRule="atLeast"/>
              <w:rPr>
                <w:rFonts w:cs="Arial"/>
              </w:rPr>
            </w:pPr>
            <w:r w:rsidRPr="006031D6">
              <w:rPr>
                <w:rFonts w:cs="Arial"/>
              </w:rPr>
              <w:t>Vlčí pramen</w:t>
            </w:r>
          </w:p>
        </w:tc>
        <w:tc>
          <w:tcPr>
            <w:tcW w:w="946" w:type="dxa"/>
            <w:tcBorders>
              <w:top w:val="single" w:sz="6" w:space="0" w:color="auto"/>
              <w:left w:val="nil"/>
              <w:bottom w:val="single" w:sz="6" w:space="0" w:color="auto"/>
              <w:right w:val="single" w:sz="6" w:space="0" w:color="auto"/>
            </w:tcBorders>
          </w:tcPr>
          <w:p w14:paraId="0C3F3804" w14:textId="77777777" w:rsidR="006031D6" w:rsidRPr="006031D6" w:rsidRDefault="006031D6" w:rsidP="006031D6">
            <w:pPr>
              <w:pStyle w:val="Texttabulky"/>
              <w:spacing w:after="0" w:line="240" w:lineRule="atLeast"/>
              <w:rPr>
                <w:rFonts w:cs="Arial"/>
              </w:rPr>
            </w:pPr>
            <w:r w:rsidRPr="006031D6">
              <w:rPr>
                <w:rFonts w:cs="Arial"/>
              </w:rPr>
              <w:t>115 800</w:t>
            </w:r>
          </w:p>
        </w:tc>
        <w:tc>
          <w:tcPr>
            <w:tcW w:w="672" w:type="dxa"/>
            <w:tcBorders>
              <w:top w:val="single" w:sz="6" w:space="0" w:color="auto"/>
              <w:left w:val="single" w:sz="6" w:space="0" w:color="auto"/>
              <w:bottom w:val="single" w:sz="6" w:space="0" w:color="auto"/>
              <w:right w:val="single" w:sz="6" w:space="0" w:color="auto"/>
            </w:tcBorders>
          </w:tcPr>
          <w:p w14:paraId="7054A8BF" w14:textId="77777777" w:rsidR="006031D6" w:rsidRPr="006031D6" w:rsidRDefault="006031D6" w:rsidP="006031D6">
            <w:pPr>
              <w:pStyle w:val="Texttabulky"/>
              <w:spacing w:after="0" w:line="240" w:lineRule="atLeast"/>
              <w:rPr>
                <w:rFonts w:cs="Arial"/>
              </w:rPr>
            </w:pPr>
            <w:r w:rsidRPr="006031D6">
              <w:rPr>
                <w:rFonts w:cs="Arial"/>
              </w:rPr>
              <w:t>3,67</w:t>
            </w:r>
          </w:p>
        </w:tc>
        <w:tc>
          <w:tcPr>
            <w:tcW w:w="946" w:type="dxa"/>
            <w:tcBorders>
              <w:top w:val="single" w:sz="6" w:space="0" w:color="auto"/>
              <w:left w:val="single" w:sz="6" w:space="0" w:color="auto"/>
              <w:bottom w:val="single" w:sz="6" w:space="0" w:color="auto"/>
              <w:right w:val="single" w:sz="6" w:space="0" w:color="auto"/>
            </w:tcBorders>
          </w:tcPr>
          <w:p w14:paraId="7ADAA989" w14:textId="77777777" w:rsidR="006031D6" w:rsidRPr="006031D6" w:rsidRDefault="006031D6" w:rsidP="006031D6">
            <w:pPr>
              <w:pStyle w:val="Texttabulky"/>
              <w:spacing w:after="0" w:line="240" w:lineRule="atLeast"/>
              <w:rPr>
                <w:rFonts w:cs="Arial"/>
              </w:rPr>
            </w:pPr>
            <w:r w:rsidRPr="006031D6">
              <w:rPr>
                <w:rFonts w:cs="Arial"/>
              </w:rPr>
              <w:t>171 716</w:t>
            </w:r>
          </w:p>
        </w:tc>
        <w:tc>
          <w:tcPr>
            <w:tcW w:w="704" w:type="dxa"/>
            <w:tcBorders>
              <w:top w:val="single" w:sz="6" w:space="0" w:color="auto"/>
              <w:left w:val="single" w:sz="6" w:space="0" w:color="auto"/>
              <w:bottom w:val="single" w:sz="6" w:space="0" w:color="auto"/>
              <w:right w:val="single" w:sz="6" w:space="0" w:color="auto"/>
            </w:tcBorders>
          </w:tcPr>
          <w:p w14:paraId="31A6DA3E" w14:textId="77777777" w:rsidR="006031D6" w:rsidRPr="006031D6" w:rsidRDefault="006031D6" w:rsidP="006031D6">
            <w:pPr>
              <w:pStyle w:val="Texttabulky"/>
              <w:spacing w:after="0" w:line="240" w:lineRule="atLeast"/>
              <w:rPr>
                <w:rFonts w:cs="Arial"/>
              </w:rPr>
            </w:pPr>
            <w:r w:rsidRPr="006031D6">
              <w:rPr>
                <w:rFonts w:cs="Arial"/>
              </w:rPr>
              <w:t>5,45</w:t>
            </w:r>
          </w:p>
        </w:tc>
        <w:tc>
          <w:tcPr>
            <w:tcW w:w="946" w:type="dxa"/>
            <w:tcBorders>
              <w:top w:val="single" w:sz="6" w:space="0" w:color="auto"/>
              <w:left w:val="single" w:sz="6" w:space="0" w:color="auto"/>
              <w:bottom w:val="single" w:sz="6" w:space="0" w:color="auto"/>
              <w:right w:val="single" w:sz="6" w:space="0" w:color="auto"/>
            </w:tcBorders>
          </w:tcPr>
          <w:p w14:paraId="690F3E88" w14:textId="77777777" w:rsidR="006031D6" w:rsidRPr="006031D6" w:rsidRDefault="006031D6" w:rsidP="006031D6">
            <w:pPr>
              <w:pStyle w:val="Texttabulky"/>
              <w:spacing w:after="0" w:line="240" w:lineRule="atLeast"/>
              <w:rPr>
                <w:rFonts w:cs="Arial"/>
              </w:rPr>
            </w:pPr>
            <w:r w:rsidRPr="006031D6">
              <w:rPr>
                <w:rFonts w:cs="Arial"/>
              </w:rPr>
              <w:t>166 871</w:t>
            </w:r>
          </w:p>
        </w:tc>
        <w:tc>
          <w:tcPr>
            <w:tcW w:w="768" w:type="dxa"/>
            <w:tcBorders>
              <w:top w:val="single" w:sz="6" w:space="0" w:color="auto"/>
              <w:left w:val="single" w:sz="6" w:space="0" w:color="auto"/>
              <w:bottom w:val="single" w:sz="6" w:space="0" w:color="auto"/>
              <w:right w:val="single" w:sz="6" w:space="0" w:color="auto"/>
            </w:tcBorders>
          </w:tcPr>
          <w:p w14:paraId="08DEE896" w14:textId="77777777" w:rsidR="006031D6" w:rsidRPr="006031D6" w:rsidRDefault="006031D6" w:rsidP="006031D6">
            <w:pPr>
              <w:pStyle w:val="Texttabulky"/>
              <w:spacing w:after="0" w:line="240" w:lineRule="atLeast"/>
              <w:rPr>
                <w:rFonts w:cs="Arial"/>
              </w:rPr>
            </w:pPr>
            <w:r w:rsidRPr="006031D6">
              <w:rPr>
                <w:rFonts w:cs="Arial"/>
              </w:rPr>
              <w:t>5,29</w:t>
            </w:r>
          </w:p>
        </w:tc>
        <w:tc>
          <w:tcPr>
            <w:tcW w:w="657" w:type="dxa"/>
            <w:tcBorders>
              <w:top w:val="single" w:sz="6" w:space="0" w:color="auto"/>
              <w:left w:val="single" w:sz="6" w:space="0" w:color="auto"/>
              <w:bottom w:val="single" w:sz="6" w:space="0" w:color="auto"/>
              <w:right w:val="single" w:sz="6" w:space="0" w:color="auto"/>
            </w:tcBorders>
          </w:tcPr>
          <w:p w14:paraId="6A8D7BA9" w14:textId="77777777" w:rsidR="006031D6" w:rsidRPr="006031D6" w:rsidRDefault="006031D6" w:rsidP="006031D6">
            <w:pPr>
              <w:pStyle w:val="Texttabulky"/>
              <w:spacing w:after="0" w:line="240" w:lineRule="atLeast"/>
              <w:rPr>
                <w:rFonts w:cs="Arial"/>
              </w:rPr>
            </w:pPr>
            <w:r w:rsidRPr="006031D6">
              <w:rPr>
                <w:rFonts w:cs="Arial"/>
              </w:rPr>
              <w:t>5</w:t>
            </w:r>
          </w:p>
        </w:tc>
        <w:tc>
          <w:tcPr>
            <w:tcW w:w="722" w:type="dxa"/>
            <w:gridSpan w:val="2"/>
            <w:tcBorders>
              <w:top w:val="single" w:sz="6" w:space="0" w:color="auto"/>
              <w:left w:val="single" w:sz="6" w:space="0" w:color="auto"/>
              <w:bottom w:val="single" w:sz="6" w:space="0" w:color="auto"/>
              <w:right w:val="single" w:sz="6" w:space="0" w:color="auto"/>
            </w:tcBorders>
          </w:tcPr>
          <w:p w14:paraId="50CDF2F0" w14:textId="77777777" w:rsidR="006031D6" w:rsidRPr="006031D6" w:rsidRDefault="006031D6" w:rsidP="006031D6">
            <w:pPr>
              <w:pStyle w:val="Texttabulky"/>
              <w:spacing w:after="0" w:line="240" w:lineRule="atLeast"/>
              <w:rPr>
                <w:rFonts w:cs="Arial"/>
              </w:rPr>
            </w:pPr>
            <w:r w:rsidRPr="006031D6">
              <w:rPr>
                <w:rFonts w:cs="Arial"/>
              </w:rPr>
              <w:t>7</w:t>
            </w:r>
          </w:p>
        </w:tc>
        <w:tc>
          <w:tcPr>
            <w:tcW w:w="851" w:type="dxa"/>
            <w:tcBorders>
              <w:top w:val="single" w:sz="6" w:space="0" w:color="auto"/>
              <w:left w:val="single" w:sz="6" w:space="0" w:color="auto"/>
              <w:bottom w:val="single" w:sz="6" w:space="0" w:color="auto"/>
              <w:right w:val="single" w:sz="6" w:space="0" w:color="auto"/>
            </w:tcBorders>
          </w:tcPr>
          <w:p w14:paraId="07EDB449" w14:textId="77777777" w:rsidR="006031D6" w:rsidRPr="006031D6" w:rsidRDefault="006031D6" w:rsidP="006031D6">
            <w:pPr>
              <w:pStyle w:val="Texttabulky"/>
              <w:spacing w:after="0" w:line="240" w:lineRule="atLeast"/>
              <w:rPr>
                <w:rFonts w:cs="Arial"/>
              </w:rPr>
            </w:pPr>
            <w:r w:rsidRPr="006031D6">
              <w:rPr>
                <w:rFonts w:cs="Arial"/>
              </w:rPr>
              <w:t>10</w:t>
            </w:r>
          </w:p>
        </w:tc>
      </w:tr>
      <w:tr w:rsidR="006031D6" w:rsidRPr="006031D6" w14:paraId="78D5AB3B" w14:textId="77777777" w:rsidTr="002D2D45">
        <w:trPr>
          <w:trHeight w:val="251"/>
        </w:trPr>
        <w:tc>
          <w:tcPr>
            <w:tcW w:w="1789" w:type="dxa"/>
            <w:tcBorders>
              <w:top w:val="single" w:sz="6" w:space="0" w:color="auto"/>
              <w:left w:val="single" w:sz="6" w:space="0" w:color="auto"/>
              <w:bottom w:val="single" w:sz="6" w:space="0" w:color="auto"/>
              <w:right w:val="single" w:sz="6" w:space="0" w:color="auto"/>
            </w:tcBorders>
          </w:tcPr>
          <w:p w14:paraId="7B085635" w14:textId="77777777" w:rsidR="006031D6" w:rsidRPr="006031D6" w:rsidRDefault="006031D6" w:rsidP="006031D6">
            <w:pPr>
              <w:pStyle w:val="Texttabulky"/>
              <w:spacing w:after="0" w:line="240" w:lineRule="atLeast"/>
              <w:rPr>
                <w:rFonts w:cs="Arial"/>
              </w:rPr>
            </w:pPr>
            <w:r w:rsidRPr="006031D6">
              <w:rPr>
                <w:rFonts w:cs="Arial"/>
              </w:rPr>
              <w:t>Bělá pod Sněžníkem</w:t>
            </w:r>
          </w:p>
        </w:tc>
        <w:tc>
          <w:tcPr>
            <w:tcW w:w="946" w:type="dxa"/>
            <w:tcBorders>
              <w:top w:val="single" w:sz="6" w:space="0" w:color="auto"/>
              <w:left w:val="nil"/>
              <w:bottom w:val="single" w:sz="6" w:space="0" w:color="auto"/>
              <w:right w:val="single" w:sz="6" w:space="0" w:color="auto"/>
            </w:tcBorders>
          </w:tcPr>
          <w:p w14:paraId="09E0287E" w14:textId="77777777" w:rsidR="006031D6" w:rsidRPr="006031D6" w:rsidRDefault="006031D6" w:rsidP="006031D6">
            <w:pPr>
              <w:pStyle w:val="Texttabulky"/>
              <w:spacing w:after="0" w:line="240" w:lineRule="atLeast"/>
              <w:rPr>
                <w:rFonts w:cs="Arial"/>
              </w:rPr>
            </w:pPr>
            <w:r w:rsidRPr="006031D6">
              <w:rPr>
                <w:rFonts w:cs="Arial"/>
              </w:rPr>
              <w:t>249 500</w:t>
            </w:r>
          </w:p>
        </w:tc>
        <w:tc>
          <w:tcPr>
            <w:tcW w:w="672" w:type="dxa"/>
            <w:tcBorders>
              <w:top w:val="single" w:sz="6" w:space="0" w:color="auto"/>
              <w:left w:val="single" w:sz="6" w:space="0" w:color="auto"/>
              <w:bottom w:val="single" w:sz="6" w:space="0" w:color="auto"/>
              <w:right w:val="single" w:sz="6" w:space="0" w:color="auto"/>
            </w:tcBorders>
          </w:tcPr>
          <w:p w14:paraId="777E195A" w14:textId="77777777" w:rsidR="006031D6" w:rsidRPr="006031D6" w:rsidRDefault="006031D6" w:rsidP="006031D6">
            <w:pPr>
              <w:pStyle w:val="Texttabulky"/>
              <w:spacing w:after="0" w:line="240" w:lineRule="atLeast"/>
              <w:rPr>
                <w:rFonts w:cs="Arial"/>
              </w:rPr>
            </w:pPr>
            <w:r w:rsidRPr="006031D6">
              <w:rPr>
                <w:rFonts w:cs="Arial"/>
              </w:rPr>
              <w:t>7,91</w:t>
            </w:r>
          </w:p>
        </w:tc>
        <w:tc>
          <w:tcPr>
            <w:tcW w:w="946" w:type="dxa"/>
            <w:tcBorders>
              <w:top w:val="single" w:sz="6" w:space="0" w:color="auto"/>
              <w:left w:val="single" w:sz="6" w:space="0" w:color="auto"/>
              <w:bottom w:val="single" w:sz="6" w:space="0" w:color="auto"/>
              <w:right w:val="single" w:sz="6" w:space="0" w:color="auto"/>
            </w:tcBorders>
          </w:tcPr>
          <w:p w14:paraId="3B9F78A6" w14:textId="77777777" w:rsidR="006031D6" w:rsidRPr="006031D6" w:rsidRDefault="006031D6" w:rsidP="006031D6">
            <w:pPr>
              <w:pStyle w:val="Texttabulky"/>
              <w:spacing w:after="0" w:line="240" w:lineRule="atLeast"/>
              <w:rPr>
                <w:rFonts w:cs="Arial"/>
              </w:rPr>
            </w:pPr>
            <w:r w:rsidRPr="006031D6">
              <w:rPr>
                <w:rFonts w:cs="Arial"/>
              </w:rPr>
              <w:t>400 510</w:t>
            </w:r>
          </w:p>
        </w:tc>
        <w:tc>
          <w:tcPr>
            <w:tcW w:w="704" w:type="dxa"/>
            <w:tcBorders>
              <w:top w:val="single" w:sz="6" w:space="0" w:color="auto"/>
              <w:left w:val="single" w:sz="6" w:space="0" w:color="auto"/>
              <w:bottom w:val="single" w:sz="6" w:space="0" w:color="auto"/>
              <w:right w:val="single" w:sz="6" w:space="0" w:color="auto"/>
            </w:tcBorders>
          </w:tcPr>
          <w:p w14:paraId="6FE441F5" w14:textId="77777777" w:rsidR="006031D6" w:rsidRPr="006031D6" w:rsidRDefault="006031D6" w:rsidP="006031D6">
            <w:pPr>
              <w:pStyle w:val="Texttabulky"/>
              <w:spacing w:after="0" w:line="240" w:lineRule="atLeast"/>
              <w:rPr>
                <w:rFonts w:cs="Arial"/>
              </w:rPr>
            </w:pPr>
            <w:r w:rsidRPr="006031D6">
              <w:rPr>
                <w:rFonts w:cs="Arial"/>
              </w:rPr>
              <w:t>12,7</w:t>
            </w:r>
          </w:p>
        </w:tc>
        <w:tc>
          <w:tcPr>
            <w:tcW w:w="946" w:type="dxa"/>
            <w:tcBorders>
              <w:top w:val="single" w:sz="6" w:space="0" w:color="auto"/>
              <w:left w:val="single" w:sz="6" w:space="0" w:color="auto"/>
              <w:bottom w:val="single" w:sz="6" w:space="0" w:color="auto"/>
              <w:right w:val="single" w:sz="6" w:space="0" w:color="auto"/>
            </w:tcBorders>
          </w:tcPr>
          <w:p w14:paraId="22C3430D" w14:textId="77777777" w:rsidR="006031D6" w:rsidRPr="006031D6" w:rsidRDefault="006031D6" w:rsidP="006031D6">
            <w:pPr>
              <w:pStyle w:val="Texttabulky"/>
              <w:spacing w:after="0" w:line="240" w:lineRule="atLeast"/>
              <w:rPr>
                <w:rFonts w:cs="Arial"/>
              </w:rPr>
            </w:pPr>
            <w:r w:rsidRPr="006031D6">
              <w:rPr>
                <w:rFonts w:cs="Arial"/>
              </w:rPr>
              <w:t>253 477</w:t>
            </w:r>
          </w:p>
        </w:tc>
        <w:tc>
          <w:tcPr>
            <w:tcW w:w="768" w:type="dxa"/>
            <w:tcBorders>
              <w:top w:val="single" w:sz="6" w:space="0" w:color="auto"/>
              <w:left w:val="single" w:sz="6" w:space="0" w:color="auto"/>
              <w:bottom w:val="single" w:sz="6" w:space="0" w:color="auto"/>
              <w:right w:val="single" w:sz="6" w:space="0" w:color="auto"/>
            </w:tcBorders>
          </w:tcPr>
          <w:p w14:paraId="37F004B1" w14:textId="77777777" w:rsidR="006031D6" w:rsidRPr="006031D6" w:rsidRDefault="006031D6" w:rsidP="006031D6">
            <w:pPr>
              <w:pStyle w:val="Texttabulky"/>
              <w:spacing w:after="0" w:line="240" w:lineRule="atLeast"/>
              <w:rPr>
                <w:rFonts w:cs="Arial"/>
              </w:rPr>
            </w:pPr>
            <w:r w:rsidRPr="006031D6">
              <w:rPr>
                <w:rFonts w:cs="Arial"/>
              </w:rPr>
              <w:t>80,4</w:t>
            </w:r>
          </w:p>
        </w:tc>
        <w:tc>
          <w:tcPr>
            <w:tcW w:w="657" w:type="dxa"/>
            <w:tcBorders>
              <w:top w:val="single" w:sz="6" w:space="0" w:color="auto"/>
              <w:left w:val="single" w:sz="6" w:space="0" w:color="auto"/>
              <w:bottom w:val="single" w:sz="6" w:space="0" w:color="auto"/>
              <w:right w:val="single" w:sz="6" w:space="0" w:color="auto"/>
            </w:tcBorders>
          </w:tcPr>
          <w:p w14:paraId="0DF0D245" w14:textId="77777777" w:rsidR="006031D6" w:rsidRPr="006031D6" w:rsidRDefault="006031D6" w:rsidP="006031D6">
            <w:pPr>
              <w:pStyle w:val="Texttabulky"/>
              <w:spacing w:after="0" w:line="240" w:lineRule="atLeast"/>
              <w:rPr>
                <w:rFonts w:cs="Arial"/>
              </w:rPr>
            </w:pPr>
            <w:r w:rsidRPr="006031D6">
              <w:rPr>
                <w:rFonts w:cs="Arial"/>
              </w:rPr>
              <w:t>23</w:t>
            </w:r>
          </w:p>
        </w:tc>
        <w:tc>
          <w:tcPr>
            <w:tcW w:w="722" w:type="dxa"/>
            <w:gridSpan w:val="2"/>
            <w:tcBorders>
              <w:top w:val="single" w:sz="6" w:space="0" w:color="auto"/>
              <w:left w:val="single" w:sz="6" w:space="0" w:color="auto"/>
              <w:bottom w:val="single" w:sz="6" w:space="0" w:color="auto"/>
              <w:right w:val="single" w:sz="6" w:space="0" w:color="auto"/>
            </w:tcBorders>
          </w:tcPr>
          <w:p w14:paraId="6ABF5DFB" w14:textId="77777777" w:rsidR="006031D6" w:rsidRPr="006031D6" w:rsidRDefault="006031D6" w:rsidP="006031D6">
            <w:pPr>
              <w:pStyle w:val="Texttabulky"/>
              <w:spacing w:after="0" w:line="240" w:lineRule="atLeast"/>
              <w:rPr>
                <w:rFonts w:cs="Arial"/>
              </w:rPr>
            </w:pPr>
            <w:r w:rsidRPr="006031D6">
              <w:rPr>
                <w:rFonts w:cs="Arial"/>
              </w:rPr>
              <w:t>32</w:t>
            </w:r>
          </w:p>
        </w:tc>
        <w:tc>
          <w:tcPr>
            <w:tcW w:w="851" w:type="dxa"/>
            <w:tcBorders>
              <w:top w:val="single" w:sz="6" w:space="0" w:color="auto"/>
              <w:left w:val="single" w:sz="6" w:space="0" w:color="auto"/>
              <w:bottom w:val="single" w:sz="6" w:space="0" w:color="auto"/>
              <w:right w:val="single" w:sz="6" w:space="0" w:color="auto"/>
            </w:tcBorders>
          </w:tcPr>
          <w:p w14:paraId="4A8559DF" w14:textId="77777777" w:rsidR="006031D6" w:rsidRPr="006031D6" w:rsidRDefault="006031D6" w:rsidP="006031D6">
            <w:pPr>
              <w:pStyle w:val="Texttabulky"/>
              <w:spacing w:after="0" w:line="240" w:lineRule="atLeast"/>
              <w:rPr>
                <w:rFonts w:cs="Arial"/>
              </w:rPr>
            </w:pPr>
            <w:r w:rsidRPr="006031D6">
              <w:rPr>
                <w:rFonts w:cs="Arial"/>
              </w:rPr>
              <w:t>50</w:t>
            </w:r>
          </w:p>
        </w:tc>
      </w:tr>
      <w:tr w:rsidR="006031D6" w:rsidRPr="006031D6" w14:paraId="3D3EE86B" w14:textId="77777777" w:rsidTr="002D2D45">
        <w:trPr>
          <w:trHeight w:val="481"/>
        </w:trPr>
        <w:tc>
          <w:tcPr>
            <w:tcW w:w="1789" w:type="dxa"/>
            <w:tcBorders>
              <w:top w:val="single" w:sz="6" w:space="0" w:color="auto"/>
              <w:left w:val="single" w:sz="6" w:space="0" w:color="auto"/>
              <w:bottom w:val="single" w:sz="6" w:space="0" w:color="auto"/>
              <w:right w:val="single" w:sz="6" w:space="0" w:color="auto"/>
            </w:tcBorders>
          </w:tcPr>
          <w:p w14:paraId="3816F3DD" w14:textId="77777777" w:rsidR="006031D6" w:rsidRPr="006031D6" w:rsidRDefault="006031D6" w:rsidP="006031D6">
            <w:pPr>
              <w:pStyle w:val="Texttabulky"/>
              <w:spacing w:after="0" w:line="240" w:lineRule="atLeast"/>
              <w:rPr>
                <w:rFonts w:cs="Arial"/>
              </w:rPr>
            </w:pPr>
            <w:r w:rsidRPr="006031D6">
              <w:rPr>
                <w:rFonts w:cs="Arial"/>
              </w:rPr>
              <w:t>Bělá pod Maxičkami</w:t>
            </w:r>
          </w:p>
        </w:tc>
        <w:tc>
          <w:tcPr>
            <w:tcW w:w="946" w:type="dxa"/>
            <w:tcBorders>
              <w:top w:val="single" w:sz="6" w:space="0" w:color="auto"/>
              <w:left w:val="nil"/>
              <w:bottom w:val="single" w:sz="6" w:space="0" w:color="auto"/>
              <w:right w:val="single" w:sz="6" w:space="0" w:color="auto"/>
            </w:tcBorders>
          </w:tcPr>
          <w:p w14:paraId="639641D2" w14:textId="77777777" w:rsidR="006031D6" w:rsidRPr="006031D6" w:rsidRDefault="006031D6" w:rsidP="006031D6">
            <w:pPr>
              <w:pStyle w:val="Texttabulky"/>
              <w:spacing w:after="0" w:line="240" w:lineRule="atLeast"/>
              <w:rPr>
                <w:rFonts w:cs="Arial"/>
              </w:rPr>
            </w:pPr>
            <w:r w:rsidRPr="006031D6">
              <w:rPr>
                <w:rFonts w:cs="Arial"/>
              </w:rPr>
              <w:t>168 400</w:t>
            </w:r>
          </w:p>
        </w:tc>
        <w:tc>
          <w:tcPr>
            <w:tcW w:w="672" w:type="dxa"/>
            <w:tcBorders>
              <w:top w:val="single" w:sz="6" w:space="0" w:color="auto"/>
              <w:left w:val="single" w:sz="6" w:space="0" w:color="auto"/>
              <w:bottom w:val="single" w:sz="6" w:space="0" w:color="auto"/>
              <w:right w:val="single" w:sz="6" w:space="0" w:color="auto"/>
            </w:tcBorders>
          </w:tcPr>
          <w:p w14:paraId="1667FBA5" w14:textId="77777777" w:rsidR="006031D6" w:rsidRPr="006031D6" w:rsidRDefault="006031D6" w:rsidP="006031D6">
            <w:pPr>
              <w:pStyle w:val="Texttabulky"/>
              <w:spacing w:after="0" w:line="240" w:lineRule="atLeast"/>
              <w:rPr>
                <w:rFonts w:cs="Arial"/>
              </w:rPr>
            </w:pPr>
            <w:r w:rsidRPr="006031D6">
              <w:rPr>
                <w:rFonts w:cs="Arial"/>
              </w:rPr>
              <w:t>5,34</w:t>
            </w:r>
          </w:p>
        </w:tc>
        <w:tc>
          <w:tcPr>
            <w:tcW w:w="946" w:type="dxa"/>
            <w:tcBorders>
              <w:top w:val="single" w:sz="6" w:space="0" w:color="auto"/>
              <w:left w:val="single" w:sz="6" w:space="0" w:color="auto"/>
              <w:bottom w:val="single" w:sz="6" w:space="0" w:color="auto"/>
              <w:right w:val="single" w:sz="6" w:space="0" w:color="auto"/>
            </w:tcBorders>
          </w:tcPr>
          <w:p w14:paraId="2E2DA110" w14:textId="77777777" w:rsidR="006031D6" w:rsidRPr="006031D6" w:rsidRDefault="006031D6" w:rsidP="006031D6">
            <w:pPr>
              <w:pStyle w:val="Texttabulky"/>
              <w:spacing w:after="0" w:line="240" w:lineRule="atLeast"/>
              <w:rPr>
                <w:rFonts w:cs="Arial"/>
              </w:rPr>
            </w:pPr>
            <w:r w:rsidRPr="006031D6">
              <w:rPr>
                <w:rFonts w:cs="Arial"/>
              </w:rPr>
              <w:t>242 721</w:t>
            </w:r>
          </w:p>
        </w:tc>
        <w:tc>
          <w:tcPr>
            <w:tcW w:w="704" w:type="dxa"/>
            <w:tcBorders>
              <w:top w:val="single" w:sz="6" w:space="0" w:color="auto"/>
              <w:left w:val="single" w:sz="6" w:space="0" w:color="auto"/>
              <w:bottom w:val="single" w:sz="6" w:space="0" w:color="auto"/>
              <w:right w:val="single" w:sz="6" w:space="0" w:color="auto"/>
            </w:tcBorders>
          </w:tcPr>
          <w:p w14:paraId="2788BE87" w14:textId="77777777" w:rsidR="006031D6" w:rsidRPr="006031D6" w:rsidRDefault="006031D6" w:rsidP="006031D6">
            <w:pPr>
              <w:pStyle w:val="Texttabulky"/>
              <w:spacing w:after="0" w:line="240" w:lineRule="atLeast"/>
              <w:rPr>
                <w:rFonts w:cs="Arial"/>
              </w:rPr>
            </w:pPr>
            <w:r w:rsidRPr="006031D6">
              <w:rPr>
                <w:rFonts w:cs="Arial"/>
              </w:rPr>
              <w:t>7,7</w:t>
            </w:r>
          </w:p>
        </w:tc>
        <w:tc>
          <w:tcPr>
            <w:tcW w:w="946" w:type="dxa"/>
            <w:tcBorders>
              <w:top w:val="single" w:sz="6" w:space="0" w:color="auto"/>
              <w:left w:val="single" w:sz="6" w:space="0" w:color="auto"/>
              <w:bottom w:val="single" w:sz="6" w:space="0" w:color="auto"/>
              <w:right w:val="single" w:sz="6" w:space="0" w:color="auto"/>
            </w:tcBorders>
          </w:tcPr>
          <w:p w14:paraId="4402011B" w14:textId="77777777" w:rsidR="006031D6" w:rsidRPr="006031D6" w:rsidRDefault="006031D6" w:rsidP="006031D6">
            <w:pPr>
              <w:pStyle w:val="Texttabulky"/>
              <w:spacing w:after="0" w:line="240" w:lineRule="atLeast"/>
              <w:rPr>
                <w:rFonts w:cs="Arial"/>
              </w:rPr>
            </w:pPr>
            <w:r w:rsidRPr="006031D6">
              <w:rPr>
                <w:rFonts w:cs="Arial"/>
              </w:rPr>
              <w:t>178 989</w:t>
            </w:r>
          </w:p>
        </w:tc>
        <w:tc>
          <w:tcPr>
            <w:tcW w:w="768" w:type="dxa"/>
            <w:tcBorders>
              <w:top w:val="single" w:sz="6" w:space="0" w:color="auto"/>
              <w:left w:val="single" w:sz="6" w:space="0" w:color="auto"/>
              <w:bottom w:val="single" w:sz="6" w:space="0" w:color="auto"/>
              <w:right w:val="single" w:sz="6" w:space="0" w:color="auto"/>
            </w:tcBorders>
          </w:tcPr>
          <w:p w14:paraId="1BF14E44" w14:textId="77777777" w:rsidR="006031D6" w:rsidRPr="006031D6" w:rsidRDefault="006031D6" w:rsidP="006031D6">
            <w:pPr>
              <w:pStyle w:val="Texttabulky"/>
              <w:spacing w:after="0" w:line="240" w:lineRule="atLeast"/>
              <w:rPr>
                <w:rFonts w:cs="Arial"/>
              </w:rPr>
            </w:pPr>
            <w:r w:rsidRPr="006031D6">
              <w:rPr>
                <w:rFonts w:cs="Arial"/>
              </w:rPr>
              <w:t>5,68</w:t>
            </w:r>
          </w:p>
        </w:tc>
        <w:tc>
          <w:tcPr>
            <w:tcW w:w="657" w:type="dxa"/>
            <w:tcBorders>
              <w:top w:val="single" w:sz="6" w:space="0" w:color="auto"/>
              <w:left w:val="single" w:sz="6" w:space="0" w:color="auto"/>
              <w:bottom w:val="single" w:sz="6" w:space="0" w:color="auto"/>
              <w:right w:val="single" w:sz="6" w:space="0" w:color="auto"/>
            </w:tcBorders>
          </w:tcPr>
          <w:p w14:paraId="135437EF" w14:textId="77777777" w:rsidR="006031D6" w:rsidRPr="006031D6" w:rsidRDefault="006031D6" w:rsidP="006031D6">
            <w:pPr>
              <w:pStyle w:val="Texttabulky"/>
              <w:spacing w:after="0" w:line="240" w:lineRule="atLeast"/>
              <w:rPr>
                <w:rFonts w:cs="Arial"/>
              </w:rPr>
            </w:pPr>
            <w:r w:rsidRPr="006031D6">
              <w:rPr>
                <w:rFonts w:cs="Arial"/>
              </w:rPr>
              <w:t>15</w:t>
            </w:r>
          </w:p>
        </w:tc>
        <w:tc>
          <w:tcPr>
            <w:tcW w:w="722" w:type="dxa"/>
            <w:gridSpan w:val="2"/>
            <w:tcBorders>
              <w:top w:val="single" w:sz="6" w:space="0" w:color="auto"/>
              <w:left w:val="single" w:sz="6" w:space="0" w:color="auto"/>
              <w:bottom w:val="single" w:sz="6" w:space="0" w:color="auto"/>
              <w:right w:val="single" w:sz="6" w:space="0" w:color="auto"/>
            </w:tcBorders>
          </w:tcPr>
          <w:p w14:paraId="20F28C44" w14:textId="77777777" w:rsidR="006031D6" w:rsidRPr="006031D6" w:rsidRDefault="006031D6" w:rsidP="006031D6">
            <w:pPr>
              <w:pStyle w:val="Texttabulky"/>
              <w:spacing w:after="0" w:line="240" w:lineRule="atLeast"/>
              <w:rPr>
                <w:rFonts w:cs="Arial"/>
              </w:rPr>
            </w:pPr>
            <w:r w:rsidRPr="006031D6">
              <w:rPr>
                <w:rFonts w:cs="Arial"/>
              </w:rPr>
              <w:t>18</w:t>
            </w:r>
          </w:p>
        </w:tc>
        <w:tc>
          <w:tcPr>
            <w:tcW w:w="851" w:type="dxa"/>
            <w:tcBorders>
              <w:top w:val="single" w:sz="6" w:space="0" w:color="auto"/>
              <w:left w:val="single" w:sz="6" w:space="0" w:color="auto"/>
              <w:bottom w:val="single" w:sz="6" w:space="0" w:color="auto"/>
              <w:right w:val="single" w:sz="6" w:space="0" w:color="auto"/>
            </w:tcBorders>
          </w:tcPr>
          <w:p w14:paraId="13FBC846" w14:textId="77777777" w:rsidR="006031D6" w:rsidRPr="006031D6" w:rsidRDefault="006031D6" w:rsidP="006031D6">
            <w:pPr>
              <w:pStyle w:val="Texttabulky"/>
              <w:spacing w:after="0" w:line="240" w:lineRule="atLeast"/>
              <w:rPr>
                <w:rFonts w:cs="Arial"/>
              </w:rPr>
            </w:pPr>
            <w:r w:rsidRPr="006031D6">
              <w:rPr>
                <w:rFonts w:cs="Arial"/>
              </w:rPr>
              <w:t>25</w:t>
            </w:r>
          </w:p>
        </w:tc>
      </w:tr>
      <w:tr w:rsidR="006031D6" w:rsidRPr="006031D6" w14:paraId="64BCE5DD"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3167132F" w14:textId="77777777" w:rsidR="006031D6" w:rsidRPr="006031D6" w:rsidRDefault="006031D6" w:rsidP="006031D6">
            <w:pPr>
              <w:pStyle w:val="Texttabulky"/>
              <w:spacing w:after="0" w:line="240" w:lineRule="atLeast"/>
              <w:rPr>
                <w:rFonts w:cs="Arial"/>
              </w:rPr>
            </w:pPr>
            <w:r w:rsidRPr="006031D6">
              <w:rPr>
                <w:rFonts w:cs="Arial"/>
              </w:rPr>
              <w:t>Chrochvice</w:t>
            </w:r>
          </w:p>
        </w:tc>
        <w:tc>
          <w:tcPr>
            <w:tcW w:w="946" w:type="dxa"/>
            <w:tcBorders>
              <w:top w:val="single" w:sz="6" w:space="0" w:color="auto"/>
              <w:left w:val="nil"/>
              <w:bottom w:val="single" w:sz="6" w:space="0" w:color="auto"/>
              <w:right w:val="single" w:sz="6" w:space="0" w:color="auto"/>
            </w:tcBorders>
          </w:tcPr>
          <w:p w14:paraId="5A57C265" w14:textId="77777777" w:rsidR="006031D6" w:rsidRPr="006031D6" w:rsidRDefault="006031D6" w:rsidP="006031D6">
            <w:pPr>
              <w:pStyle w:val="Texttabulky"/>
              <w:spacing w:after="0" w:line="240" w:lineRule="atLeast"/>
              <w:rPr>
                <w:rFonts w:cs="Arial"/>
              </w:rPr>
            </w:pPr>
            <w:r w:rsidRPr="006031D6">
              <w:rPr>
                <w:rFonts w:cs="Arial"/>
              </w:rPr>
              <w:t>1 500</w:t>
            </w:r>
          </w:p>
        </w:tc>
        <w:tc>
          <w:tcPr>
            <w:tcW w:w="672" w:type="dxa"/>
            <w:tcBorders>
              <w:top w:val="single" w:sz="6" w:space="0" w:color="auto"/>
              <w:left w:val="single" w:sz="6" w:space="0" w:color="auto"/>
              <w:bottom w:val="single" w:sz="6" w:space="0" w:color="auto"/>
              <w:right w:val="single" w:sz="6" w:space="0" w:color="auto"/>
            </w:tcBorders>
          </w:tcPr>
          <w:p w14:paraId="73C9921A" w14:textId="77777777" w:rsidR="006031D6" w:rsidRPr="006031D6" w:rsidRDefault="006031D6" w:rsidP="006031D6">
            <w:pPr>
              <w:pStyle w:val="Texttabulky"/>
              <w:spacing w:after="0" w:line="240" w:lineRule="atLeast"/>
              <w:rPr>
                <w:rFonts w:cs="Arial"/>
              </w:rPr>
            </w:pPr>
            <w:r w:rsidRPr="006031D6">
              <w:rPr>
                <w:rFonts w:cs="Arial"/>
              </w:rPr>
              <w:t>0,05</w:t>
            </w:r>
          </w:p>
        </w:tc>
        <w:tc>
          <w:tcPr>
            <w:tcW w:w="946" w:type="dxa"/>
            <w:tcBorders>
              <w:top w:val="single" w:sz="6" w:space="0" w:color="auto"/>
              <w:left w:val="single" w:sz="6" w:space="0" w:color="auto"/>
              <w:bottom w:val="single" w:sz="6" w:space="0" w:color="auto"/>
              <w:right w:val="single" w:sz="6" w:space="0" w:color="auto"/>
            </w:tcBorders>
          </w:tcPr>
          <w:p w14:paraId="16F6E17D" w14:textId="77777777" w:rsidR="006031D6" w:rsidRPr="006031D6" w:rsidRDefault="006031D6" w:rsidP="006031D6">
            <w:pPr>
              <w:pStyle w:val="Texttabulky"/>
              <w:spacing w:after="0" w:line="240" w:lineRule="atLeast"/>
              <w:rPr>
                <w:rFonts w:cs="Arial"/>
              </w:rPr>
            </w:pPr>
            <w:r w:rsidRPr="006031D6">
              <w:rPr>
                <w:rFonts w:cs="Arial"/>
              </w:rPr>
              <w:t>4 095</w:t>
            </w:r>
          </w:p>
        </w:tc>
        <w:tc>
          <w:tcPr>
            <w:tcW w:w="704" w:type="dxa"/>
            <w:tcBorders>
              <w:top w:val="single" w:sz="6" w:space="0" w:color="auto"/>
              <w:left w:val="single" w:sz="6" w:space="0" w:color="auto"/>
              <w:bottom w:val="single" w:sz="6" w:space="0" w:color="auto"/>
              <w:right w:val="single" w:sz="6" w:space="0" w:color="auto"/>
            </w:tcBorders>
          </w:tcPr>
          <w:p w14:paraId="18353D92" w14:textId="77777777" w:rsidR="006031D6" w:rsidRPr="006031D6" w:rsidRDefault="006031D6" w:rsidP="006031D6">
            <w:pPr>
              <w:pStyle w:val="Texttabulky"/>
              <w:spacing w:after="0" w:line="240" w:lineRule="atLeast"/>
              <w:rPr>
                <w:rFonts w:cs="Arial"/>
              </w:rPr>
            </w:pPr>
            <w:r w:rsidRPr="006031D6">
              <w:rPr>
                <w:rFonts w:cs="Arial"/>
              </w:rPr>
              <w:t>0,13</w:t>
            </w:r>
          </w:p>
        </w:tc>
        <w:tc>
          <w:tcPr>
            <w:tcW w:w="946" w:type="dxa"/>
            <w:tcBorders>
              <w:top w:val="single" w:sz="6" w:space="0" w:color="auto"/>
              <w:left w:val="single" w:sz="6" w:space="0" w:color="auto"/>
              <w:bottom w:val="single" w:sz="6" w:space="0" w:color="auto"/>
              <w:right w:val="single" w:sz="6" w:space="0" w:color="auto"/>
            </w:tcBorders>
          </w:tcPr>
          <w:p w14:paraId="4D87D69E" w14:textId="77777777" w:rsidR="006031D6" w:rsidRPr="006031D6" w:rsidRDefault="006031D6" w:rsidP="006031D6">
            <w:pPr>
              <w:pStyle w:val="Texttabulky"/>
              <w:spacing w:after="0" w:line="240" w:lineRule="atLeast"/>
              <w:rPr>
                <w:rFonts w:cs="Arial"/>
              </w:rPr>
            </w:pPr>
            <w:r w:rsidRPr="006031D6">
              <w:rPr>
                <w:rFonts w:cs="Arial"/>
              </w:rPr>
              <w:t>3 015</w:t>
            </w:r>
          </w:p>
        </w:tc>
        <w:tc>
          <w:tcPr>
            <w:tcW w:w="768" w:type="dxa"/>
            <w:tcBorders>
              <w:top w:val="single" w:sz="6" w:space="0" w:color="auto"/>
              <w:left w:val="single" w:sz="6" w:space="0" w:color="auto"/>
              <w:bottom w:val="single" w:sz="6" w:space="0" w:color="auto"/>
              <w:right w:val="single" w:sz="6" w:space="0" w:color="auto"/>
            </w:tcBorders>
          </w:tcPr>
          <w:p w14:paraId="6F41374C" w14:textId="77777777" w:rsidR="006031D6" w:rsidRPr="006031D6" w:rsidRDefault="006031D6" w:rsidP="006031D6">
            <w:pPr>
              <w:pStyle w:val="Texttabulky"/>
              <w:spacing w:after="0" w:line="240" w:lineRule="atLeast"/>
              <w:rPr>
                <w:rFonts w:cs="Arial"/>
              </w:rPr>
            </w:pPr>
            <w:r w:rsidRPr="006031D6">
              <w:rPr>
                <w:rFonts w:cs="Arial"/>
              </w:rPr>
              <w:t>0,1</w:t>
            </w:r>
          </w:p>
        </w:tc>
        <w:tc>
          <w:tcPr>
            <w:tcW w:w="657" w:type="dxa"/>
            <w:tcBorders>
              <w:top w:val="single" w:sz="6" w:space="0" w:color="auto"/>
              <w:left w:val="single" w:sz="6" w:space="0" w:color="auto"/>
              <w:bottom w:val="single" w:sz="6" w:space="0" w:color="auto"/>
              <w:right w:val="single" w:sz="6" w:space="0" w:color="auto"/>
            </w:tcBorders>
          </w:tcPr>
          <w:p w14:paraId="33F35EE3" w14:textId="77777777" w:rsidR="006031D6" w:rsidRPr="006031D6" w:rsidRDefault="006031D6" w:rsidP="006031D6">
            <w:pPr>
              <w:pStyle w:val="Texttabulky"/>
              <w:spacing w:after="0" w:line="240" w:lineRule="atLeast"/>
              <w:rPr>
                <w:rFonts w:cs="Arial"/>
              </w:rPr>
            </w:pPr>
            <w:r w:rsidRPr="006031D6">
              <w:rPr>
                <w:rFonts w:cs="Arial"/>
              </w:rPr>
              <w:t>5</w:t>
            </w:r>
          </w:p>
        </w:tc>
        <w:tc>
          <w:tcPr>
            <w:tcW w:w="722" w:type="dxa"/>
            <w:gridSpan w:val="2"/>
            <w:tcBorders>
              <w:top w:val="single" w:sz="6" w:space="0" w:color="auto"/>
              <w:left w:val="single" w:sz="6" w:space="0" w:color="auto"/>
              <w:bottom w:val="single" w:sz="6" w:space="0" w:color="auto"/>
              <w:right w:val="single" w:sz="6" w:space="0" w:color="auto"/>
            </w:tcBorders>
          </w:tcPr>
          <w:p w14:paraId="1A8C031C" w14:textId="77777777" w:rsidR="006031D6" w:rsidRPr="006031D6" w:rsidRDefault="006031D6" w:rsidP="006031D6">
            <w:pPr>
              <w:pStyle w:val="Texttabulky"/>
              <w:spacing w:after="0" w:line="240" w:lineRule="atLeast"/>
              <w:rPr>
                <w:rFonts w:cs="Arial"/>
              </w:rPr>
            </w:pPr>
            <w:r w:rsidRPr="006031D6">
              <w:rPr>
                <w:rFonts w:cs="Arial"/>
              </w:rPr>
              <w:t>1</w:t>
            </w:r>
          </w:p>
        </w:tc>
        <w:tc>
          <w:tcPr>
            <w:tcW w:w="851" w:type="dxa"/>
            <w:tcBorders>
              <w:top w:val="single" w:sz="6" w:space="0" w:color="auto"/>
              <w:left w:val="single" w:sz="6" w:space="0" w:color="auto"/>
              <w:bottom w:val="single" w:sz="6" w:space="0" w:color="auto"/>
              <w:right w:val="single" w:sz="6" w:space="0" w:color="auto"/>
            </w:tcBorders>
          </w:tcPr>
          <w:p w14:paraId="085FF815" w14:textId="77777777" w:rsidR="006031D6" w:rsidRPr="006031D6" w:rsidRDefault="006031D6" w:rsidP="006031D6">
            <w:pPr>
              <w:pStyle w:val="Texttabulky"/>
              <w:spacing w:after="0" w:line="240" w:lineRule="atLeast"/>
              <w:rPr>
                <w:rFonts w:cs="Arial"/>
              </w:rPr>
            </w:pPr>
            <w:r w:rsidRPr="006031D6">
              <w:rPr>
                <w:rFonts w:cs="Arial"/>
              </w:rPr>
              <w:t>2</w:t>
            </w:r>
          </w:p>
        </w:tc>
      </w:tr>
      <w:tr w:rsidR="006031D6" w:rsidRPr="006031D6" w14:paraId="3DA497D1" w14:textId="77777777" w:rsidTr="002D2D45">
        <w:trPr>
          <w:trHeight w:val="481"/>
        </w:trPr>
        <w:tc>
          <w:tcPr>
            <w:tcW w:w="1789" w:type="dxa"/>
            <w:tcBorders>
              <w:top w:val="single" w:sz="6" w:space="0" w:color="auto"/>
              <w:left w:val="single" w:sz="6" w:space="0" w:color="auto"/>
              <w:bottom w:val="single" w:sz="6" w:space="0" w:color="auto"/>
              <w:right w:val="single" w:sz="6" w:space="0" w:color="auto"/>
            </w:tcBorders>
          </w:tcPr>
          <w:p w14:paraId="3DCB3DE1" w14:textId="77777777" w:rsidR="006031D6" w:rsidRPr="006031D6" w:rsidRDefault="006031D6" w:rsidP="006031D6">
            <w:pPr>
              <w:pStyle w:val="Texttabulky"/>
              <w:spacing w:after="0" w:line="240" w:lineRule="atLeast"/>
              <w:rPr>
                <w:rFonts w:cs="Arial"/>
              </w:rPr>
            </w:pPr>
            <w:r w:rsidRPr="006031D6">
              <w:rPr>
                <w:rFonts w:cs="Arial"/>
              </w:rPr>
              <w:t>Č. Voda, D.Žleb</w:t>
            </w:r>
          </w:p>
        </w:tc>
        <w:tc>
          <w:tcPr>
            <w:tcW w:w="946" w:type="dxa"/>
            <w:tcBorders>
              <w:top w:val="single" w:sz="6" w:space="0" w:color="auto"/>
              <w:left w:val="nil"/>
              <w:bottom w:val="single" w:sz="6" w:space="0" w:color="auto"/>
              <w:right w:val="single" w:sz="6" w:space="0" w:color="auto"/>
            </w:tcBorders>
          </w:tcPr>
          <w:p w14:paraId="3911BE79" w14:textId="77777777" w:rsidR="006031D6" w:rsidRPr="006031D6" w:rsidRDefault="006031D6" w:rsidP="006031D6">
            <w:pPr>
              <w:pStyle w:val="Texttabulky"/>
              <w:spacing w:after="0" w:line="240" w:lineRule="atLeast"/>
              <w:rPr>
                <w:rFonts w:cs="Arial"/>
              </w:rPr>
            </w:pPr>
            <w:r w:rsidRPr="006031D6">
              <w:rPr>
                <w:rFonts w:cs="Arial"/>
              </w:rPr>
              <w:t>1 025 200</w:t>
            </w:r>
          </w:p>
        </w:tc>
        <w:tc>
          <w:tcPr>
            <w:tcW w:w="672" w:type="dxa"/>
            <w:tcBorders>
              <w:top w:val="single" w:sz="6" w:space="0" w:color="auto"/>
              <w:left w:val="single" w:sz="6" w:space="0" w:color="auto"/>
              <w:bottom w:val="single" w:sz="6" w:space="0" w:color="auto"/>
              <w:right w:val="single" w:sz="6" w:space="0" w:color="auto"/>
            </w:tcBorders>
          </w:tcPr>
          <w:p w14:paraId="78C50AB6" w14:textId="77777777" w:rsidR="006031D6" w:rsidRPr="006031D6" w:rsidRDefault="006031D6" w:rsidP="006031D6">
            <w:pPr>
              <w:pStyle w:val="Texttabulky"/>
              <w:spacing w:after="0" w:line="240" w:lineRule="atLeast"/>
              <w:rPr>
                <w:rFonts w:cs="Arial"/>
              </w:rPr>
            </w:pPr>
            <w:r w:rsidRPr="006031D6">
              <w:rPr>
                <w:rFonts w:cs="Arial"/>
              </w:rPr>
              <w:t>32,51</w:t>
            </w:r>
          </w:p>
        </w:tc>
        <w:tc>
          <w:tcPr>
            <w:tcW w:w="946" w:type="dxa"/>
            <w:tcBorders>
              <w:top w:val="single" w:sz="6" w:space="0" w:color="auto"/>
              <w:left w:val="single" w:sz="6" w:space="0" w:color="auto"/>
              <w:bottom w:val="single" w:sz="6" w:space="0" w:color="auto"/>
              <w:right w:val="single" w:sz="6" w:space="0" w:color="auto"/>
            </w:tcBorders>
          </w:tcPr>
          <w:p w14:paraId="3A38D164" w14:textId="77777777" w:rsidR="006031D6" w:rsidRPr="006031D6" w:rsidRDefault="006031D6" w:rsidP="006031D6">
            <w:pPr>
              <w:pStyle w:val="Texttabulky"/>
              <w:spacing w:after="0" w:line="240" w:lineRule="atLeast"/>
              <w:rPr>
                <w:rFonts w:cs="Arial"/>
              </w:rPr>
            </w:pPr>
            <w:r w:rsidRPr="006031D6">
              <w:rPr>
                <w:rFonts w:cs="Arial"/>
              </w:rPr>
              <w:t>1 012 226</w:t>
            </w:r>
          </w:p>
        </w:tc>
        <w:tc>
          <w:tcPr>
            <w:tcW w:w="704" w:type="dxa"/>
            <w:tcBorders>
              <w:top w:val="single" w:sz="6" w:space="0" w:color="auto"/>
              <w:left w:val="single" w:sz="6" w:space="0" w:color="auto"/>
              <w:bottom w:val="single" w:sz="6" w:space="0" w:color="auto"/>
              <w:right w:val="single" w:sz="6" w:space="0" w:color="auto"/>
            </w:tcBorders>
          </w:tcPr>
          <w:p w14:paraId="30C5CB1C" w14:textId="77777777" w:rsidR="006031D6" w:rsidRPr="006031D6" w:rsidRDefault="006031D6" w:rsidP="006031D6">
            <w:pPr>
              <w:pStyle w:val="Texttabulky"/>
              <w:spacing w:after="0" w:line="240" w:lineRule="atLeast"/>
              <w:rPr>
                <w:rFonts w:cs="Arial"/>
              </w:rPr>
            </w:pPr>
            <w:r w:rsidRPr="006031D6">
              <w:rPr>
                <w:rFonts w:cs="Arial"/>
              </w:rPr>
              <w:t>32,1</w:t>
            </w:r>
          </w:p>
        </w:tc>
        <w:tc>
          <w:tcPr>
            <w:tcW w:w="946" w:type="dxa"/>
            <w:tcBorders>
              <w:top w:val="single" w:sz="6" w:space="0" w:color="auto"/>
              <w:left w:val="single" w:sz="6" w:space="0" w:color="auto"/>
              <w:bottom w:val="single" w:sz="6" w:space="0" w:color="auto"/>
              <w:right w:val="single" w:sz="6" w:space="0" w:color="auto"/>
            </w:tcBorders>
          </w:tcPr>
          <w:p w14:paraId="2F0DCC96" w14:textId="77777777" w:rsidR="006031D6" w:rsidRPr="006031D6" w:rsidRDefault="006031D6" w:rsidP="006031D6">
            <w:pPr>
              <w:pStyle w:val="Texttabulky"/>
              <w:spacing w:after="0" w:line="240" w:lineRule="atLeast"/>
              <w:rPr>
                <w:rFonts w:cs="Arial"/>
              </w:rPr>
            </w:pPr>
            <w:r w:rsidRPr="006031D6">
              <w:rPr>
                <w:rFonts w:cs="Arial"/>
              </w:rPr>
              <w:t>1 004 719</w:t>
            </w:r>
          </w:p>
        </w:tc>
        <w:tc>
          <w:tcPr>
            <w:tcW w:w="768" w:type="dxa"/>
            <w:tcBorders>
              <w:top w:val="single" w:sz="6" w:space="0" w:color="auto"/>
              <w:left w:val="single" w:sz="6" w:space="0" w:color="auto"/>
              <w:bottom w:val="single" w:sz="6" w:space="0" w:color="auto"/>
              <w:right w:val="single" w:sz="6" w:space="0" w:color="auto"/>
            </w:tcBorders>
          </w:tcPr>
          <w:p w14:paraId="3F6E610C" w14:textId="77777777" w:rsidR="006031D6" w:rsidRPr="006031D6" w:rsidRDefault="006031D6" w:rsidP="006031D6">
            <w:pPr>
              <w:pStyle w:val="Texttabulky"/>
              <w:spacing w:after="0" w:line="240" w:lineRule="atLeast"/>
              <w:rPr>
                <w:rFonts w:cs="Arial"/>
              </w:rPr>
            </w:pPr>
            <w:r w:rsidRPr="006031D6">
              <w:rPr>
                <w:rFonts w:cs="Arial"/>
              </w:rPr>
              <w:t>31,86</w:t>
            </w:r>
          </w:p>
        </w:tc>
        <w:tc>
          <w:tcPr>
            <w:tcW w:w="657" w:type="dxa"/>
            <w:tcBorders>
              <w:top w:val="single" w:sz="6" w:space="0" w:color="auto"/>
              <w:left w:val="single" w:sz="6" w:space="0" w:color="auto"/>
              <w:bottom w:val="single" w:sz="6" w:space="0" w:color="auto"/>
              <w:right w:val="single" w:sz="6" w:space="0" w:color="auto"/>
            </w:tcBorders>
          </w:tcPr>
          <w:p w14:paraId="088DD8F0" w14:textId="77777777" w:rsidR="006031D6" w:rsidRPr="006031D6" w:rsidRDefault="006031D6" w:rsidP="006031D6">
            <w:pPr>
              <w:pStyle w:val="Texttabulky"/>
              <w:spacing w:after="0" w:line="240" w:lineRule="atLeast"/>
              <w:rPr>
                <w:rFonts w:cs="Arial"/>
              </w:rPr>
            </w:pPr>
            <w:r w:rsidRPr="006031D6">
              <w:rPr>
                <w:rFonts w:cs="Arial"/>
              </w:rPr>
              <w:t>30</w:t>
            </w:r>
          </w:p>
        </w:tc>
        <w:tc>
          <w:tcPr>
            <w:tcW w:w="722" w:type="dxa"/>
            <w:gridSpan w:val="2"/>
            <w:tcBorders>
              <w:top w:val="single" w:sz="6" w:space="0" w:color="auto"/>
              <w:left w:val="single" w:sz="6" w:space="0" w:color="auto"/>
              <w:bottom w:val="single" w:sz="6" w:space="0" w:color="auto"/>
              <w:right w:val="single" w:sz="6" w:space="0" w:color="auto"/>
            </w:tcBorders>
          </w:tcPr>
          <w:p w14:paraId="44C81EEB" w14:textId="77777777" w:rsidR="006031D6" w:rsidRPr="006031D6" w:rsidRDefault="006031D6" w:rsidP="006031D6">
            <w:pPr>
              <w:pStyle w:val="Texttabulky"/>
              <w:spacing w:after="0" w:line="240" w:lineRule="atLeast"/>
              <w:rPr>
                <w:rFonts w:cs="Arial"/>
              </w:rPr>
            </w:pPr>
            <w:r w:rsidRPr="006031D6">
              <w:rPr>
                <w:rFonts w:cs="Arial"/>
              </w:rPr>
              <w:t>32</w:t>
            </w:r>
          </w:p>
        </w:tc>
        <w:tc>
          <w:tcPr>
            <w:tcW w:w="851" w:type="dxa"/>
            <w:tcBorders>
              <w:top w:val="single" w:sz="6" w:space="0" w:color="auto"/>
              <w:left w:val="single" w:sz="6" w:space="0" w:color="auto"/>
              <w:bottom w:val="single" w:sz="6" w:space="0" w:color="auto"/>
              <w:right w:val="single" w:sz="6" w:space="0" w:color="auto"/>
            </w:tcBorders>
          </w:tcPr>
          <w:p w14:paraId="4C56EBE5" w14:textId="77777777" w:rsidR="006031D6" w:rsidRPr="006031D6" w:rsidRDefault="006031D6" w:rsidP="006031D6">
            <w:pPr>
              <w:pStyle w:val="Texttabulky"/>
              <w:spacing w:after="0" w:line="240" w:lineRule="atLeast"/>
              <w:rPr>
                <w:rFonts w:cs="Arial"/>
              </w:rPr>
            </w:pPr>
            <w:r w:rsidRPr="006031D6">
              <w:rPr>
                <w:rFonts w:cs="Arial"/>
              </w:rPr>
              <w:t>36</w:t>
            </w:r>
          </w:p>
        </w:tc>
      </w:tr>
      <w:tr w:rsidR="006031D6" w:rsidRPr="006031D6" w14:paraId="1453840A" w14:textId="77777777" w:rsidTr="002D2D45">
        <w:trPr>
          <w:trHeight w:val="481"/>
        </w:trPr>
        <w:tc>
          <w:tcPr>
            <w:tcW w:w="1789" w:type="dxa"/>
            <w:tcBorders>
              <w:top w:val="single" w:sz="6" w:space="0" w:color="auto"/>
              <w:left w:val="single" w:sz="6" w:space="0" w:color="auto"/>
              <w:bottom w:val="single" w:sz="6" w:space="0" w:color="auto"/>
              <w:right w:val="single" w:sz="6" w:space="0" w:color="auto"/>
            </w:tcBorders>
          </w:tcPr>
          <w:p w14:paraId="6E610EC8" w14:textId="77777777" w:rsidR="006031D6" w:rsidRPr="006031D6" w:rsidRDefault="006031D6" w:rsidP="006031D6">
            <w:pPr>
              <w:pStyle w:val="Texttabulky"/>
              <w:spacing w:after="0" w:line="240" w:lineRule="atLeast"/>
              <w:rPr>
                <w:rFonts w:cs="Arial"/>
              </w:rPr>
            </w:pPr>
            <w:r w:rsidRPr="006031D6">
              <w:rPr>
                <w:rFonts w:cs="Arial"/>
              </w:rPr>
              <w:t>St.město                    Nad zastávkou</w:t>
            </w:r>
          </w:p>
        </w:tc>
        <w:tc>
          <w:tcPr>
            <w:tcW w:w="946" w:type="dxa"/>
            <w:tcBorders>
              <w:top w:val="single" w:sz="6" w:space="0" w:color="auto"/>
              <w:left w:val="nil"/>
              <w:bottom w:val="single" w:sz="6" w:space="0" w:color="auto"/>
              <w:right w:val="single" w:sz="6" w:space="0" w:color="auto"/>
            </w:tcBorders>
          </w:tcPr>
          <w:p w14:paraId="1C80F10A" w14:textId="77777777" w:rsidR="006031D6" w:rsidRPr="006031D6" w:rsidRDefault="006031D6" w:rsidP="006031D6">
            <w:pPr>
              <w:pStyle w:val="Texttabulky"/>
              <w:spacing w:after="0" w:line="240" w:lineRule="atLeast"/>
              <w:rPr>
                <w:rFonts w:cs="Arial"/>
              </w:rPr>
            </w:pPr>
            <w:r w:rsidRPr="006031D6">
              <w:rPr>
                <w:rFonts w:cs="Arial"/>
              </w:rPr>
              <w:t>14 800</w:t>
            </w:r>
          </w:p>
        </w:tc>
        <w:tc>
          <w:tcPr>
            <w:tcW w:w="672" w:type="dxa"/>
            <w:tcBorders>
              <w:top w:val="single" w:sz="6" w:space="0" w:color="auto"/>
              <w:left w:val="single" w:sz="6" w:space="0" w:color="auto"/>
              <w:bottom w:val="single" w:sz="6" w:space="0" w:color="auto"/>
              <w:right w:val="single" w:sz="6" w:space="0" w:color="auto"/>
            </w:tcBorders>
          </w:tcPr>
          <w:p w14:paraId="19ABD325" w14:textId="77777777" w:rsidR="006031D6" w:rsidRPr="006031D6" w:rsidRDefault="006031D6" w:rsidP="006031D6">
            <w:pPr>
              <w:pStyle w:val="Texttabulky"/>
              <w:spacing w:after="0" w:line="240" w:lineRule="atLeast"/>
              <w:rPr>
                <w:rFonts w:cs="Arial"/>
              </w:rPr>
            </w:pPr>
            <w:r w:rsidRPr="006031D6">
              <w:rPr>
                <w:rFonts w:cs="Arial"/>
              </w:rPr>
              <w:t>0,47</w:t>
            </w:r>
          </w:p>
        </w:tc>
        <w:tc>
          <w:tcPr>
            <w:tcW w:w="946" w:type="dxa"/>
            <w:tcBorders>
              <w:top w:val="single" w:sz="6" w:space="0" w:color="auto"/>
              <w:left w:val="single" w:sz="6" w:space="0" w:color="auto"/>
              <w:bottom w:val="single" w:sz="6" w:space="0" w:color="auto"/>
              <w:right w:val="single" w:sz="6" w:space="0" w:color="auto"/>
            </w:tcBorders>
          </w:tcPr>
          <w:p w14:paraId="6FCFE2FE" w14:textId="77777777" w:rsidR="006031D6" w:rsidRPr="006031D6" w:rsidRDefault="006031D6" w:rsidP="006031D6">
            <w:pPr>
              <w:pStyle w:val="Texttabulky"/>
              <w:spacing w:after="0" w:line="240" w:lineRule="atLeast"/>
              <w:rPr>
                <w:rFonts w:cs="Arial"/>
              </w:rPr>
            </w:pPr>
            <w:r w:rsidRPr="006031D6">
              <w:rPr>
                <w:rFonts w:cs="Arial"/>
              </w:rPr>
              <w:t>16 345</w:t>
            </w:r>
          </w:p>
        </w:tc>
        <w:tc>
          <w:tcPr>
            <w:tcW w:w="704" w:type="dxa"/>
            <w:tcBorders>
              <w:top w:val="single" w:sz="6" w:space="0" w:color="auto"/>
              <w:left w:val="single" w:sz="6" w:space="0" w:color="auto"/>
              <w:bottom w:val="single" w:sz="6" w:space="0" w:color="auto"/>
              <w:right w:val="single" w:sz="6" w:space="0" w:color="auto"/>
            </w:tcBorders>
          </w:tcPr>
          <w:p w14:paraId="15441F17" w14:textId="77777777" w:rsidR="006031D6" w:rsidRPr="006031D6" w:rsidRDefault="006031D6" w:rsidP="006031D6">
            <w:pPr>
              <w:pStyle w:val="Texttabulky"/>
              <w:spacing w:after="0" w:line="240" w:lineRule="atLeast"/>
              <w:rPr>
                <w:rFonts w:cs="Arial"/>
              </w:rPr>
            </w:pPr>
            <w:r w:rsidRPr="006031D6">
              <w:rPr>
                <w:rFonts w:cs="Arial"/>
              </w:rPr>
              <w:t>0,52</w:t>
            </w:r>
          </w:p>
        </w:tc>
        <w:tc>
          <w:tcPr>
            <w:tcW w:w="946" w:type="dxa"/>
            <w:tcBorders>
              <w:top w:val="single" w:sz="6" w:space="0" w:color="auto"/>
              <w:left w:val="single" w:sz="6" w:space="0" w:color="auto"/>
              <w:bottom w:val="single" w:sz="6" w:space="0" w:color="auto"/>
              <w:right w:val="single" w:sz="6" w:space="0" w:color="auto"/>
            </w:tcBorders>
          </w:tcPr>
          <w:p w14:paraId="71696FB9" w14:textId="77777777" w:rsidR="006031D6" w:rsidRPr="006031D6" w:rsidRDefault="006031D6" w:rsidP="006031D6">
            <w:pPr>
              <w:pStyle w:val="Texttabulky"/>
              <w:spacing w:after="0" w:line="240" w:lineRule="atLeast"/>
              <w:rPr>
                <w:rFonts w:cs="Arial"/>
              </w:rPr>
            </w:pPr>
            <w:r w:rsidRPr="006031D6">
              <w:rPr>
                <w:rFonts w:cs="Arial"/>
              </w:rPr>
              <w:t>25 146</w:t>
            </w:r>
          </w:p>
        </w:tc>
        <w:tc>
          <w:tcPr>
            <w:tcW w:w="768" w:type="dxa"/>
            <w:tcBorders>
              <w:top w:val="single" w:sz="6" w:space="0" w:color="auto"/>
              <w:left w:val="single" w:sz="6" w:space="0" w:color="auto"/>
              <w:bottom w:val="single" w:sz="6" w:space="0" w:color="auto"/>
              <w:right w:val="single" w:sz="6" w:space="0" w:color="auto"/>
            </w:tcBorders>
          </w:tcPr>
          <w:p w14:paraId="74EFF926" w14:textId="77777777" w:rsidR="006031D6" w:rsidRPr="006031D6" w:rsidRDefault="006031D6" w:rsidP="006031D6">
            <w:pPr>
              <w:pStyle w:val="Texttabulky"/>
              <w:spacing w:after="0" w:line="240" w:lineRule="atLeast"/>
              <w:rPr>
                <w:rFonts w:cs="Arial"/>
              </w:rPr>
            </w:pPr>
            <w:r w:rsidRPr="006031D6">
              <w:rPr>
                <w:rFonts w:cs="Arial"/>
              </w:rPr>
              <w:t>0,8</w:t>
            </w:r>
          </w:p>
        </w:tc>
        <w:tc>
          <w:tcPr>
            <w:tcW w:w="657" w:type="dxa"/>
            <w:tcBorders>
              <w:top w:val="single" w:sz="6" w:space="0" w:color="auto"/>
              <w:left w:val="single" w:sz="6" w:space="0" w:color="auto"/>
              <w:bottom w:val="single" w:sz="6" w:space="0" w:color="auto"/>
              <w:right w:val="single" w:sz="6" w:space="0" w:color="auto"/>
            </w:tcBorders>
          </w:tcPr>
          <w:p w14:paraId="35362B34" w14:textId="77777777" w:rsidR="006031D6" w:rsidRPr="006031D6" w:rsidRDefault="006031D6" w:rsidP="006031D6">
            <w:pPr>
              <w:pStyle w:val="Texttabulky"/>
              <w:spacing w:after="0" w:line="240" w:lineRule="atLeast"/>
              <w:rPr>
                <w:rFonts w:cs="Arial"/>
              </w:rPr>
            </w:pPr>
            <w:r w:rsidRPr="006031D6">
              <w:rPr>
                <w:rFonts w:cs="Arial"/>
              </w:rPr>
              <w:t>1</w:t>
            </w:r>
          </w:p>
        </w:tc>
        <w:tc>
          <w:tcPr>
            <w:tcW w:w="722" w:type="dxa"/>
            <w:gridSpan w:val="2"/>
            <w:tcBorders>
              <w:top w:val="single" w:sz="6" w:space="0" w:color="auto"/>
              <w:left w:val="single" w:sz="6" w:space="0" w:color="auto"/>
              <w:bottom w:val="single" w:sz="6" w:space="0" w:color="auto"/>
              <w:right w:val="single" w:sz="6" w:space="0" w:color="auto"/>
            </w:tcBorders>
          </w:tcPr>
          <w:p w14:paraId="7A24423A" w14:textId="77777777" w:rsidR="006031D6" w:rsidRPr="006031D6" w:rsidRDefault="006031D6" w:rsidP="006031D6">
            <w:pPr>
              <w:pStyle w:val="Texttabulky"/>
              <w:spacing w:after="0" w:line="240" w:lineRule="atLeast"/>
              <w:rPr>
                <w:rFonts w:cs="Arial"/>
              </w:rPr>
            </w:pPr>
            <w:r w:rsidRPr="006031D6">
              <w:rPr>
                <w:rFonts w:cs="Arial"/>
              </w:rPr>
              <w:t>1,5</w:t>
            </w:r>
          </w:p>
        </w:tc>
        <w:tc>
          <w:tcPr>
            <w:tcW w:w="851" w:type="dxa"/>
            <w:tcBorders>
              <w:top w:val="single" w:sz="6" w:space="0" w:color="auto"/>
              <w:left w:val="single" w:sz="6" w:space="0" w:color="auto"/>
              <w:bottom w:val="single" w:sz="6" w:space="0" w:color="auto"/>
              <w:right w:val="single" w:sz="6" w:space="0" w:color="auto"/>
            </w:tcBorders>
          </w:tcPr>
          <w:p w14:paraId="5C0DB131" w14:textId="77777777" w:rsidR="006031D6" w:rsidRPr="006031D6" w:rsidRDefault="006031D6" w:rsidP="006031D6">
            <w:pPr>
              <w:pStyle w:val="Texttabulky"/>
              <w:spacing w:after="0" w:line="240" w:lineRule="atLeast"/>
              <w:rPr>
                <w:rFonts w:cs="Arial"/>
              </w:rPr>
            </w:pPr>
            <w:r w:rsidRPr="006031D6">
              <w:rPr>
                <w:rFonts w:cs="Arial"/>
              </w:rPr>
              <w:t>2</w:t>
            </w:r>
          </w:p>
        </w:tc>
      </w:tr>
      <w:tr w:rsidR="006031D6" w:rsidRPr="006031D6" w14:paraId="6975AC0D" w14:textId="77777777" w:rsidTr="002D2D45">
        <w:trPr>
          <w:trHeight w:val="481"/>
        </w:trPr>
        <w:tc>
          <w:tcPr>
            <w:tcW w:w="1789" w:type="dxa"/>
            <w:tcBorders>
              <w:top w:val="single" w:sz="6" w:space="0" w:color="auto"/>
              <w:left w:val="single" w:sz="6" w:space="0" w:color="auto"/>
              <w:bottom w:val="single" w:sz="6" w:space="0" w:color="auto"/>
              <w:right w:val="single" w:sz="6" w:space="0" w:color="auto"/>
            </w:tcBorders>
          </w:tcPr>
          <w:p w14:paraId="62FD21F0" w14:textId="77777777" w:rsidR="006031D6" w:rsidRPr="006031D6" w:rsidRDefault="006031D6" w:rsidP="006031D6">
            <w:pPr>
              <w:pStyle w:val="Texttabulky"/>
              <w:spacing w:after="0" w:line="240" w:lineRule="atLeast"/>
              <w:rPr>
                <w:rFonts w:cs="Arial"/>
              </w:rPr>
            </w:pPr>
            <w:r w:rsidRPr="006031D6">
              <w:rPr>
                <w:rFonts w:cs="Arial"/>
              </w:rPr>
              <w:t>St.Město                    Pod Chlumem</w:t>
            </w:r>
          </w:p>
        </w:tc>
        <w:tc>
          <w:tcPr>
            <w:tcW w:w="946" w:type="dxa"/>
            <w:tcBorders>
              <w:top w:val="single" w:sz="6" w:space="0" w:color="auto"/>
              <w:left w:val="nil"/>
              <w:bottom w:val="single" w:sz="6" w:space="0" w:color="auto"/>
              <w:right w:val="single" w:sz="6" w:space="0" w:color="auto"/>
            </w:tcBorders>
          </w:tcPr>
          <w:p w14:paraId="240BD7C5" w14:textId="77777777" w:rsidR="006031D6" w:rsidRPr="006031D6" w:rsidRDefault="006031D6" w:rsidP="006031D6">
            <w:pPr>
              <w:pStyle w:val="Texttabulky"/>
              <w:spacing w:after="0" w:line="240" w:lineRule="atLeast"/>
              <w:rPr>
                <w:rFonts w:cs="Arial"/>
              </w:rPr>
            </w:pPr>
            <w:r w:rsidRPr="006031D6">
              <w:rPr>
                <w:rFonts w:cs="Arial"/>
              </w:rPr>
              <w:t>16 200</w:t>
            </w:r>
          </w:p>
        </w:tc>
        <w:tc>
          <w:tcPr>
            <w:tcW w:w="672" w:type="dxa"/>
            <w:tcBorders>
              <w:top w:val="single" w:sz="6" w:space="0" w:color="auto"/>
              <w:left w:val="single" w:sz="6" w:space="0" w:color="auto"/>
              <w:bottom w:val="single" w:sz="6" w:space="0" w:color="auto"/>
              <w:right w:val="single" w:sz="6" w:space="0" w:color="auto"/>
            </w:tcBorders>
          </w:tcPr>
          <w:p w14:paraId="75616366" w14:textId="77777777" w:rsidR="006031D6" w:rsidRPr="006031D6" w:rsidRDefault="006031D6" w:rsidP="006031D6">
            <w:pPr>
              <w:pStyle w:val="Texttabulky"/>
              <w:spacing w:after="0" w:line="240" w:lineRule="atLeast"/>
              <w:rPr>
                <w:rFonts w:cs="Arial"/>
              </w:rPr>
            </w:pPr>
            <w:r w:rsidRPr="006031D6">
              <w:rPr>
                <w:rFonts w:cs="Arial"/>
              </w:rPr>
              <w:t>0,51</w:t>
            </w:r>
          </w:p>
        </w:tc>
        <w:tc>
          <w:tcPr>
            <w:tcW w:w="946" w:type="dxa"/>
            <w:tcBorders>
              <w:top w:val="single" w:sz="6" w:space="0" w:color="auto"/>
              <w:left w:val="single" w:sz="6" w:space="0" w:color="auto"/>
              <w:bottom w:val="single" w:sz="6" w:space="0" w:color="auto"/>
              <w:right w:val="single" w:sz="6" w:space="0" w:color="auto"/>
            </w:tcBorders>
          </w:tcPr>
          <w:p w14:paraId="342F4128" w14:textId="77777777" w:rsidR="006031D6" w:rsidRPr="006031D6" w:rsidRDefault="006031D6" w:rsidP="006031D6">
            <w:pPr>
              <w:pStyle w:val="Texttabulky"/>
              <w:spacing w:after="0" w:line="240" w:lineRule="atLeast"/>
              <w:rPr>
                <w:rFonts w:cs="Arial"/>
              </w:rPr>
            </w:pPr>
            <w:r w:rsidRPr="006031D6">
              <w:rPr>
                <w:rFonts w:cs="Arial"/>
              </w:rPr>
              <w:t>19 455</w:t>
            </w:r>
          </w:p>
        </w:tc>
        <w:tc>
          <w:tcPr>
            <w:tcW w:w="704" w:type="dxa"/>
            <w:tcBorders>
              <w:top w:val="single" w:sz="6" w:space="0" w:color="auto"/>
              <w:left w:val="single" w:sz="6" w:space="0" w:color="auto"/>
              <w:bottom w:val="single" w:sz="6" w:space="0" w:color="auto"/>
              <w:right w:val="single" w:sz="6" w:space="0" w:color="auto"/>
            </w:tcBorders>
          </w:tcPr>
          <w:p w14:paraId="13E3742D" w14:textId="77777777" w:rsidR="006031D6" w:rsidRPr="006031D6" w:rsidRDefault="006031D6" w:rsidP="006031D6">
            <w:pPr>
              <w:pStyle w:val="Texttabulky"/>
              <w:spacing w:after="0" w:line="240" w:lineRule="atLeast"/>
              <w:rPr>
                <w:rFonts w:cs="Arial"/>
              </w:rPr>
            </w:pPr>
            <w:r w:rsidRPr="006031D6">
              <w:rPr>
                <w:rFonts w:cs="Arial"/>
              </w:rPr>
              <w:t>0,62</w:t>
            </w:r>
          </w:p>
        </w:tc>
        <w:tc>
          <w:tcPr>
            <w:tcW w:w="946" w:type="dxa"/>
            <w:tcBorders>
              <w:top w:val="single" w:sz="6" w:space="0" w:color="auto"/>
              <w:left w:val="single" w:sz="6" w:space="0" w:color="auto"/>
              <w:bottom w:val="single" w:sz="6" w:space="0" w:color="auto"/>
              <w:right w:val="single" w:sz="6" w:space="0" w:color="auto"/>
            </w:tcBorders>
          </w:tcPr>
          <w:p w14:paraId="17EC9141" w14:textId="77777777" w:rsidR="006031D6" w:rsidRPr="006031D6" w:rsidRDefault="006031D6" w:rsidP="006031D6">
            <w:pPr>
              <w:pStyle w:val="Texttabulky"/>
              <w:spacing w:after="0" w:line="240" w:lineRule="atLeast"/>
              <w:rPr>
                <w:rFonts w:cs="Arial"/>
              </w:rPr>
            </w:pPr>
            <w:r w:rsidRPr="006031D6">
              <w:rPr>
                <w:rFonts w:cs="Arial"/>
              </w:rPr>
              <w:t>9 615</w:t>
            </w:r>
          </w:p>
        </w:tc>
        <w:tc>
          <w:tcPr>
            <w:tcW w:w="768" w:type="dxa"/>
            <w:tcBorders>
              <w:top w:val="single" w:sz="6" w:space="0" w:color="auto"/>
              <w:left w:val="single" w:sz="6" w:space="0" w:color="auto"/>
              <w:bottom w:val="single" w:sz="6" w:space="0" w:color="auto"/>
              <w:right w:val="single" w:sz="6" w:space="0" w:color="auto"/>
            </w:tcBorders>
          </w:tcPr>
          <w:p w14:paraId="698D3936" w14:textId="77777777" w:rsidR="006031D6" w:rsidRPr="006031D6" w:rsidRDefault="006031D6" w:rsidP="006031D6">
            <w:pPr>
              <w:pStyle w:val="Texttabulky"/>
              <w:spacing w:after="0" w:line="240" w:lineRule="atLeast"/>
              <w:rPr>
                <w:rFonts w:cs="Arial"/>
              </w:rPr>
            </w:pPr>
            <w:r w:rsidRPr="006031D6">
              <w:rPr>
                <w:rFonts w:cs="Arial"/>
              </w:rPr>
              <w:t>0,3</w:t>
            </w:r>
          </w:p>
        </w:tc>
        <w:tc>
          <w:tcPr>
            <w:tcW w:w="657" w:type="dxa"/>
            <w:tcBorders>
              <w:top w:val="single" w:sz="6" w:space="0" w:color="auto"/>
              <w:left w:val="single" w:sz="6" w:space="0" w:color="auto"/>
              <w:bottom w:val="single" w:sz="6" w:space="0" w:color="auto"/>
              <w:right w:val="single" w:sz="6" w:space="0" w:color="auto"/>
            </w:tcBorders>
          </w:tcPr>
          <w:p w14:paraId="69D8BB36" w14:textId="77777777" w:rsidR="006031D6" w:rsidRPr="006031D6" w:rsidRDefault="006031D6" w:rsidP="006031D6">
            <w:pPr>
              <w:pStyle w:val="Texttabulky"/>
              <w:spacing w:after="0" w:line="240" w:lineRule="atLeast"/>
              <w:rPr>
                <w:rFonts w:cs="Arial"/>
              </w:rPr>
            </w:pPr>
            <w:r w:rsidRPr="006031D6">
              <w:rPr>
                <w:rFonts w:cs="Arial"/>
              </w:rPr>
              <w:t>1,2</w:t>
            </w:r>
          </w:p>
        </w:tc>
        <w:tc>
          <w:tcPr>
            <w:tcW w:w="722" w:type="dxa"/>
            <w:gridSpan w:val="2"/>
            <w:tcBorders>
              <w:top w:val="single" w:sz="6" w:space="0" w:color="auto"/>
              <w:left w:val="single" w:sz="6" w:space="0" w:color="auto"/>
              <w:bottom w:val="single" w:sz="6" w:space="0" w:color="auto"/>
              <w:right w:val="single" w:sz="6" w:space="0" w:color="auto"/>
            </w:tcBorders>
          </w:tcPr>
          <w:p w14:paraId="3A92E45A" w14:textId="77777777" w:rsidR="006031D6" w:rsidRPr="006031D6" w:rsidRDefault="006031D6" w:rsidP="006031D6">
            <w:pPr>
              <w:pStyle w:val="Texttabulky"/>
              <w:spacing w:after="0" w:line="240" w:lineRule="atLeast"/>
              <w:rPr>
                <w:rFonts w:cs="Arial"/>
              </w:rPr>
            </w:pPr>
            <w:r w:rsidRPr="006031D6">
              <w:rPr>
                <w:rFonts w:cs="Arial"/>
              </w:rPr>
              <w:t>2,8</w:t>
            </w:r>
          </w:p>
        </w:tc>
        <w:tc>
          <w:tcPr>
            <w:tcW w:w="851" w:type="dxa"/>
            <w:tcBorders>
              <w:top w:val="single" w:sz="6" w:space="0" w:color="auto"/>
              <w:left w:val="single" w:sz="6" w:space="0" w:color="auto"/>
              <w:bottom w:val="single" w:sz="6" w:space="0" w:color="auto"/>
              <w:right w:val="single" w:sz="6" w:space="0" w:color="auto"/>
            </w:tcBorders>
          </w:tcPr>
          <w:p w14:paraId="304F3374" w14:textId="77777777" w:rsidR="006031D6" w:rsidRPr="006031D6" w:rsidRDefault="006031D6" w:rsidP="006031D6">
            <w:pPr>
              <w:pStyle w:val="Texttabulky"/>
              <w:spacing w:after="0" w:line="240" w:lineRule="atLeast"/>
              <w:rPr>
                <w:rFonts w:cs="Arial"/>
              </w:rPr>
            </w:pPr>
            <w:r w:rsidRPr="006031D6">
              <w:rPr>
                <w:rFonts w:cs="Arial"/>
              </w:rPr>
              <w:t>3</w:t>
            </w:r>
          </w:p>
        </w:tc>
      </w:tr>
      <w:tr w:rsidR="006031D6" w:rsidRPr="006031D6" w14:paraId="2D8BFFB3"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6256506D" w14:textId="77777777" w:rsidR="006031D6" w:rsidRPr="006031D6" w:rsidRDefault="006031D6" w:rsidP="006031D6">
            <w:pPr>
              <w:pStyle w:val="Texttabulky"/>
              <w:spacing w:after="0" w:line="240" w:lineRule="atLeast"/>
              <w:rPr>
                <w:rFonts w:cs="Arial"/>
              </w:rPr>
            </w:pPr>
            <w:r w:rsidRPr="006031D6">
              <w:rPr>
                <w:rFonts w:cs="Arial"/>
              </w:rPr>
              <w:t>Bynov N.Ves</w:t>
            </w:r>
          </w:p>
        </w:tc>
        <w:tc>
          <w:tcPr>
            <w:tcW w:w="946" w:type="dxa"/>
            <w:tcBorders>
              <w:top w:val="single" w:sz="6" w:space="0" w:color="auto"/>
              <w:left w:val="nil"/>
              <w:bottom w:val="single" w:sz="6" w:space="0" w:color="auto"/>
              <w:right w:val="single" w:sz="6" w:space="0" w:color="auto"/>
            </w:tcBorders>
          </w:tcPr>
          <w:p w14:paraId="24586068" w14:textId="77777777" w:rsidR="006031D6" w:rsidRPr="006031D6" w:rsidRDefault="006031D6" w:rsidP="006031D6">
            <w:pPr>
              <w:pStyle w:val="Texttabulky"/>
              <w:spacing w:after="0" w:line="240" w:lineRule="atLeast"/>
              <w:rPr>
                <w:rFonts w:cs="Arial"/>
              </w:rPr>
            </w:pPr>
            <w:r w:rsidRPr="006031D6">
              <w:rPr>
                <w:rFonts w:cs="Arial"/>
              </w:rPr>
              <w:t>10 300</w:t>
            </w:r>
          </w:p>
        </w:tc>
        <w:tc>
          <w:tcPr>
            <w:tcW w:w="672" w:type="dxa"/>
            <w:tcBorders>
              <w:top w:val="single" w:sz="6" w:space="0" w:color="auto"/>
              <w:left w:val="single" w:sz="6" w:space="0" w:color="auto"/>
              <w:bottom w:val="single" w:sz="6" w:space="0" w:color="auto"/>
              <w:right w:val="single" w:sz="6" w:space="0" w:color="auto"/>
            </w:tcBorders>
          </w:tcPr>
          <w:p w14:paraId="6D774474" w14:textId="77777777" w:rsidR="006031D6" w:rsidRPr="006031D6" w:rsidRDefault="006031D6" w:rsidP="006031D6">
            <w:pPr>
              <w:pStyle w:val="Texttabulky"/>
              <w:spacing w:after="0" w:line="240" w:lineRule="atLeast"/>
              <w:rPr>
                <w:rFonts w:cs="Arial"/>
              </w:rPr>
            </w:pPr>
            <w:r w:rsidRPr="006031D6">
              <w:rPr>
                <w:rFonts w:cs="Arial"/>
              </w:rPr>
              <w:t>0,33</w:t>
            </w:r>
          </w:p>
        </w:tc>
        <w:tc>
          <w:tcPr>
            <w:tcW w:w="946" w:type="dxa"/>
            <w:tcBorders>
              <w:top w:val="single" w:sz="6" w:space="0" w:color="auto"/>
              <w:left w:val="single" w:sz="6" w:space="0" w:color="auto"/>
              <w:bottom w:val="single" w:sz="6" w:space="0" w:color="auto"/>
              <w:right w:val="single" w:sz="6" w:space="0" w:color="auto"/>
            </w:tcBorders>
          </w:tcPr>
          <w:p w14:paraId="138A0BB5" w14:textId="77777777" w:rsidR="006031D6" w:rsidRPr="006031D6" w:rsidRDefault="006031D6" w:rsidP="006031D6">
            <w:pPr>
              <w:pStyle w:val="Texttabulky"/>
              <w:spacing w:after="0" w:line="240" w:lineRule="atLeast"/>
              <w:rPr>
                <w:rFonts w:cs="Arial"/>
              </w:rPr>
            </w:pPr>
            <w:r w:rsidRPr="006031D6">
              <w:rPr>
                <w:rFonts w:cs="Arial"/>
              </w:rPr>
              <w:t>16 445</w:t>
            </w:r>
          </w:p>
        </w:tc>
        <w:tc>
          <w:tcPr>
            <w:tcW w:w="704" w:type="dxa"/>
            <w:tcBorders>
              <w:top w:val="single" w:sz="6" w:space="0" w:color="auto"/>
              <w:left w:val="single" w:sz="6" w:space="0" w:color="auto"/>
              <w:bottom w:val="single" w:sz="6" w:space="0" w:color="auto"/>
              <w:right w:val="single" w:sz="6" w:space="0" w:color="auto"/>
            </w:tcBorders>
          </w:tcPr>
          <w:p w14:paraId="31EFD215" w14:textId="77777777" w:rsidR="006031D6" w:rsidRPr="006031D6" w:rsidRDefault="006031D6" w:rsidP="006031D6">
            <w:pPr>
              <w:pStyle w:val="Texttabulky"/>
              <w:spacing w:after="0" w:line="240" w:lineRule="atLeast"/>
              <w:rPr>
                <w:rFonts w:cs="Arial"/>
              </w:rPr>
            </w:pPr>
            <w:r w:rsidRPr="006031D6">
              <w:rPr>
                <w:rFonts w:cs="Arial"/>
              </w:rPr>
              <w:t>0,52</w:t>
            </w:r>
          </w:p>
        </w:tc>
        <w:tc>
          <w:tcPr>
            <w:tcW w:w="946" w:type="dxa"/>
            <w:tcBorders>
              <w:top w:val="single" w:sz="6" w:space="0" w:color="auto"/>
              <w:left w:val="single" w:sz="6" w:space="0" w:color="auto"/>
              <w:bottom w:val="single" w:sz="6" w:space="0" w:color="auto"/>
              <w:right w:val="single" w:sz="6" w:space="0" w:color="auto"/>
            </w:tcBorders>
          </w:tcPr>
          <w:p w14:paraId="585B335D" w14:textId="77777777" w:rsidR="006031D6" w:rsidRPr="006031D6" w:rsidRDefault="006031D6" w:rsidP="006031D6">
            <w:pPr>
              <w:pStyle w:val="Texttabulky"/>
              <w:spacing w:after="0" w:line="240" w:lineRule="atLeast"/>
              <w:rPr>
                <w:rFonts w:cs="Arial"/>
              </w:rPr>
            </w:pPr>
            <w:r w:rsidRPr="006031D6">
              <w:rPr>
                <w:rFonts w:cs="Arial"/>
              </w:rPr>
              <w:t>12 838</w:t>
            </w:r>
          </w:p>
        </w:tc>
        <w:tc>
          <w:tcPr>
            <w:tcW w:w="768" w:type="dxa"/>
            <w:tcBorders>
              <w:top w:val="single" w:sz="6" w:space="0" w:color="auto"/>
              <w:left w:val="single" w:sz="6" w:space="0" w:color="auto"/>
              <w:bottom w:val="single" w:sz="6" w:space="0" w:color="auto"/>
              <w:right w:val="single" w:sz="6" w:space="0" w:color="auto"/>
            </w:tcBorders>
          </w:tcPr>
          <w:p w14:paraId="3DCE586B" w14:textId="77777777" w:rsidR="006031D6" w:rsidRPr="006031D6" w:rsidRDefault="006031D6" w:rsidP="006031D6">
            <w:pPr>
              <w:pStyle w:val="Texttabulky"/>
              <w:spacing w:after="0" w:line="240" w:lineRule="atLeast"/>
              <w:rPr>
                <w:rFonts w:cs="Arial"/>
              </w:rPr>
            </w:pPr>
            <w:r w:rsidRPr="006031D6">
              <w:rPr>
                <w:rFonts w:cs="Arial"/>
              </w:rPr>
              <w:t>0,41</w:t>
            </w:r>
          </w:p>
        </w:tc>
        <w:tc>
          <w:tcPr>
            <w:tcW w:w="657" w:type="dxa"/>
            <w:tcBorders>
              <w:top w:val="single" w:sz="6" w:space="0" w:color="auto"/>
              <w:left w:val="single" w:sz="6" w:space="0" w:color="auto"/>
              <w:bottom w:val="single" w:sz="6" w:space="0" w:color="auto"/>
              <w:right w:val="single" w:sz="6" w:space="0" w:color="auto"/>
            </w:tcBorders>
          </w:tcPr>
          <w:p w14:paraId="3022CE59" w14:textId="77777777" w:rsidR="006031D6" w:rsidRPr="006031D6" w:rsidRDefault="006031D6" w:rsidP="006031D6">
            <w:pPr>
              <w:pStyle w:val="Texttabulky"/>
              <w:spacing w:after="0" w:line="240" w:lineRule="atLeast"/>
              <w:rPr>
                <w:rFonts w:cs="Arial"/>
              </w:rPr>
            </w:pPr>
            <w:r w:rsidRPr="006031D6">
              <w:rPr>
                <w:rFonts w:cs="Arial"/>
              </w:rPr>
              <w:t>0,6</w:t>
            </w:r>
          </w:p>
        </w:tc>
        <w:tc>
          <w:tcPr>
            <w:tcW w:w="722" w:type="dxa"/>
            <w:gridSpan w:val="2"/>
            <w:tcBorders>
              <w:top w:val="single" w:sz="6" w:space="0" w:color="auto"/>
              <w:left w:val="single" w:sz="6" w:space="0" w:color="auto"/>
              <w:bottom w:val="single" w:sz="6" w:space="0" w:color="auto"/>
              <w:right w:val="single" w:sz="6" w:space="0" w:color="auto"/>
            </w:tcBorders>
          </w:tcPr>
          <w:p w14:paraId="4252FF21" w14:textId="77777777" w:rsidR="006031D6" w:rsidRPr="006031D6" w:rsidRDefault="006031D6" w:rsidP="006031D6">
            <w:pPr>
              <w:pStyle w:val="Texttabulky"/>
              <w:spacing w:after="0" w:line="240" w:lineRule="atLeast"/>
              <w:rPr>
                <w:rFonts w:cs="Arial"/>
              </w:rPr>
            </w:pPr>
            <w:r w:rsidRPr="006031D6">
              <w:rPr>
                <w:rFonts w:cs="Arial"/>
              </w:rPr>
              <w:t>0,85</w:t>
            </w:r>
          </w:p>
        </w:tc>
        <w:tc>
          <w:tcPr>
            <w:tcW w:w="851" w:type="dxa"/>
            <w:tcBorders>
              <w:top w:val="single" w:sz="6" w:space="0" w:color="auto"/>
              <w:left w:val="single" w:sz="6" w:space="0" w:color="auto"/>
              <w:bottom w:val="single" w:sz="6" w:space="0" w:color="auto"/>
              <w:right w:val="single" w:sz="6" w:space="0" w:color="auto"/>
            </w:tcBorders>
          </w:tcPr>
          <w:p w14:paraId="051263D1" w14:textId="77777777" w:rsidR="006031D6" w:rsidRPr="006031D6" w:rsidRDefault="006031D6" w:rsidP="006031D6">
            <w:pPr>
              <w:pStyle w:val="Texttabulky"/>
              <w:spacing w:after="0" w:line="240" w:lineRule="atLeast"/>
              <w:rPr>
                <w:rFonts w:cs="Arial"/>
              </w:rPr>
            </w:pPr>
            <w:r w:rsidRPr="006031D6">
              <w:rPr>
                <w:rFonts w:cs="Arial"/>
              </w:rPr>
              <w:t>1,1</w:t>
            </w:r>
          </w:p>
        </w:tc>
      </w:tr>
      <w:tr w:rsidR="006031D6" w:rsidRPr="006031D6" w14:paraId="50BB62FF"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6EDD4766" w14:textId="77777777" w:rsidR="006031D6" w:rsidRPr="006031D6" w:rsidRDefault="006031D6" w:rsidP="006031D6">
            <w:pPr>
              <w:pStyle w:val="Texttabulky"/>
              <w:spacing w:after="0" w:line="240" w:lineRule="atLeast"/>
              <w:rPr>
                <w:rFonts w:cs="Arial"/>
              </w:rPr>
            </w:pPr>
            <w:r w:rsidRPr="006031D6">
              <w:rPr>
                <w:rFonts w:cs="Arial"/>
              </w:rPr>
              <w:t>Bynov stř.pásmo</w:t>
            </w:r>
          </w:p>
        </w:tc>
        <w:tc>
          <w:tcPr>
            <w:tcW w:w="946" w:type="dxa"/>
            <w:tcBorders>
              <w:top w:val="single" w:sz="6" w:space="0" w:color="auto"/>
              <w:left w:val="nil"/>
              <w:bottom w:val="single" w:sz="6" w:space="0" w:color="auto"/>
              <w:right w:val="single" w:sz="6" w:space="0" w:color="auto"/>
            </w:tcBorders>
          </w:tcPr>
          <w:p w14:paraId="3A08F7EF" w14:textId="77777777" w:rsidR="006031D6" w:rsidRPr="006031D6" w:rsidRDefault="006031D6" w:rsidP="006031D6">
            <w:pPr>
              <w:pStyle w:val="Texttabulky"/>
              <w:spacing w:after="0" w:line="240" w:lineRule="atLeast"/>
              <w:rPr>
                <w:rFonts w:cs="Arial"/>
              </w:rPr>
            </w:pPr>
            <w:r w:rsidRPr="006031D6">
              <w:rPr>
                <w:rFonts w:cs="Arial"/>
              </w:rPr>
              <w:t>10 200</w:t>
            </w:r>
          </w:p>
        </w:tc>
        <w:tc>
          <w:tcPr>
            <w:tcW w:w="672" w:type="dxa"/>
            <w:tcBorders>
              <w:top w:val="single" w:sz="6" w:space="0" w:color="auto"/>
              <w:left w:val="single" w:sz="6" w:space="0" w:color="auto"/>
              <w:bottom w:val="single" w:sz="6" w:space="0" w:color="auto"/>
              <w:right w:val="single" w:sz="6" w:space="0" w:color="auto"/>
            </w:tcBorders>
          </w:tcPr>
          <w:p w14:paraId="051C6A9D" w14:textId="77777777" w:rsidR="006031D6" w:rsidRPr="006031D6" w:rsidRDefault="006031D6" w:rsidP="006031D6">
            <w:pPr>
              <w:pStyle w:val="Texttabulky"/>
              <w:spacing w:after="0" w:line="240" w:lineRule="atLeast"/>
              <w:rPr>
                <w:rFonts w:cs="Arial"/>
              </w:rPr>
            </w:pPr>
            <w:r w:rsidRPr="006031D6">
              <w:rPr>
                <w:rFonts w:cs="Arial"/>
              </w:rPr>
              <w:t>0,32</w:t>
            </w:r>
          </w:p>
        </w:tc>
        <w:tc>
          <w:tcPr>
            <w:tcW w:w="946" w:type="dxa"/>
            <w:tcBorders>
              <w:top w:val="single" w:sz="6" w:space="0" w:color="auto"/>
              <w:left w:val="single" w:sz="6" w:space="0" w:color="auto"/>
              <w:bottom w:val="single" w:sz="6" w:space="0" w:color="auto"/>
              <w:right w:val="single" w:sz="6" w:space="0" w:color="auto"/>
            </w:tcBorders>
          </w:tcPr>
          <w:p w14:paraId="2E32B3E5" w14:textId="77777777" w:rsidR="006031D6" w:rsidRPr="006031D6" w:rsidRDefault="006031D6" w:rsidP="006031D6">
            <w:pPr>
              <w:pStyle w:val="Texttabulky"/>
              <w:spacing w:after="0" w:line="240" w:lineRule="atLeast"/>
              <w:rPr>
                <w:rFonts w:cs="Arial"/>
              </w:rPr>
            </w:pPr>
            <w:r w:rsidRPr="006031D6">
              <w:rPr>
                <w:rFonts w:cs="Arial"/>
              </w:rPr>
              <w:t>24 647</w:t>
            </w:r>
          </w:p>
        </w:tc>
        <w:tc>
          <w:tcPr>
            <w:tcW w:w="704" w:type="dxa"/>
            <w:tcBorders>
              <w:top w:val="single" w:sz="6" w:space="0" w:color="auto"/>
              <w:left w:val="single" w:sz="6" w:space="0" w:color="auto"/>
              <w:bottom w:val="single" w:sz="6" w:space="0" w:color="auto"/>
              <w:right w:val="single" w:sz="6" w:space="0" w:color="auto"/>
            </w:tcBorders>
          </w:tcPr>
          <w:p w14:paraId="6A2C2E22" w14:textId="77777777" w:rsidR="006031D6" w:rsidRPr="006031D6" w:rsidRDefault="006031D6" w:rsidP="006031D6">
            <w:pPr>
              <w:pStyle w:val="Texttabulky"/>
              <w:spacing w:after="0" w:line="240" w:lineRule="atLeast"/>
              <w:rPr>
                <w:rFonts w:cs="Arial"/>
              </w:rPr>
            </w:pPr>
            <w:r w:rsidRPr="006031D6">
              <w:rPr>
                <w:rFonts w:cs="Arial"/>
              </w:rPr>
              <w:t>0,78</w:t>
            </w:r>
          </w:p>
        </w:tc>
        <w:tc>
          <w:tcPr>
            <w:tcW w:w="946" w:type="dxa"/>
            <w:tcBorders>
              <w:top w:val="single" w:sz="6" w:space="0" w:color="auto"/>
              <w:left w:val="single" w:sz="6" w:space="0" w:color="auto"/>
              <w:bottom w:val="single" w:sz="6" w:space="0" w:color="auto"/>
              <w:right w:val="single" w:sz="6" w:space="0" w:color="auto"/>
            </w:tcBorders>
          </w:tcPr>
          <w:p w14:paraId="3BF2B54E" w14:textId="77777777" w:rsidR="006031D6" w:rsidRPr="006031D6" w:rsidRDefault="006031D6" w:rsidP="006031D6">
            <w:pPr>
              <w:pStyle w:val="Texttabulky"/>
              <w:spacing w:after="0" w:line="240" w:lineRule="atLeast"/>
              <w:rPr>
                <w:rFonts w:cs="Arial"/>
              </w:rPr>
            </w:pPr>
            <w:r w:rsidRPr="006031D6">
              <w:rPr>
                <w:rFonts w:cs="Arial"/>
              </w:rPr>
              <w:t>14 738</w:t>
            </w:r>
          </w:p>
        </w:tc>
        <w:tc>
          <w:tcPr>
            <w:tcW w:w="768" w:type="dxa"/>
            <w:tcBorders>
              <w:top w:val="single" w:sz="6" w:space="0" w:color="auto"/>
              <w:left w:val="single" w:sz="6" w:space="0" w:color="auto"/>
              <w:bottom w:val="single" w:sz="6" w:space="0" w:color="auto"/>
              <w:right w:val="single" w:sz="6" w:space="0" w:color="auto"/>
            </w:tcBorders>
          </w:tcPr>
          <w:p w14:paraId="69223AD7" w14:textId="77777777" w:rsidR="006031D6" w:rsidRPr="006031D6" w:rsidRDefault="006031D6" w:rsidP="006031D6">
            <w:pPr>
              <w:pStyle w:val="Texttabulky"/>
              <w:spacing w:after="0" w:line="240" w:lineRule="atLeast"/>
              <w:rPr>
                <w:rFonts w:cs="Arial"/>
              </w:rPr>
            </w:pPr>
            <w:r w:rsidRPr="006031D6">
              <w:rPr>
                <w:rFonts w:cs="Arial"/>
              </w:rPr>
              <w:t>0,47</w:t>
            </w:r>
          </w:p>
        </w:tc>
        <w:tc>
          <w:tcPr>
            <w:tcW w:w="657" w:type="dxa"/>
            <w:tcBorders>
              <w:top w:val="single" w:sz="6" w:space="0" w:color="auto"/>
              <w:left w:val="single" w:sz="6" w:space="0" w:color="auto"/>
              <w:bottom w:val="single" w:sz="6" w:space="0" w:color="auto"/>
              <w:right w:val="single" w:sz="6" w:space="0" w:color="auto"/>
            </w:tcBorders>
          </w:tcPr>
          <w:p w14:paraId="61382B36" w14:textId="77777777" w:rsidR="006031D6" w:rsidRPr="006031D6" w:rsidRDefault="006031D6" w:rsidP="006031D6">
            <w:pPr>
              <w:pStyle w:val="Texttabulky"/>
              <w:spacing w:after="0" w:line="240" w:lineRule="atLeast"/>
              <w:rPr>
                <w:rFonts w:cs="Arial"/>
              </w:rPr>
            </w:pPr>
            <w:r w:rsidRPr="006031D6">
              <w:rPr>
                <w:rFonts w:cs="Arial"/>
              </w:rPr>
              <w:t>1</w:t>
            </w:r>
          </w:p>
        </w:tc>
        <w:tc>
          <w:tcPr>
            <w:tcW w:w="722" w:type="dxa"/>
            <w:gridSpan w:val="2"/>
            <w:tcBorders>
              <w:top w:val="single" w:sz="6" w:space="0" w:color="auto"/>
              <w:left w:val="single" w:sz="6" w:space="0" w:color="auto"/>
              <w:bottom w:val="single" w:sz="6" w:space="0" w:color="auto"/>
              <w:right w:val="single" w:sz="6" w:space="0" w:color="auto"/>
            </w:tcBorders>
          </w:tcPr>
          <w:p w14:paraId="42DEA00B" w14:textId="77777777" w:rsidR="006031D6" w:rsidRPr="006031D6" w:rsidRDefault="006031D6" w:rsidP="006031D6">
            <w:pPr>
              <w:pStyle w:val="Texttabulky"/>
              <w:spacing w:after="0" w:line="240" w:lineRule="atLeast"/>
              <w:rPr>
                <w:rFonts w:cs="Arial"/>
              </w:rPr>
            </w:pPr>
            <w:r w:rsidRPr="006031D6">
              <w:rPr>
                <w:rFonts w:cs="Arial"/>
              </w:rPr>
              <w:t>1,2</w:t>
            </w:r>
          </w:p>
        </w:tc>
        <w:tc>
          <w:tcPr>
            <w:tcW w:w="851" w:type="dxa"/>
            <w:tcBorders>
              <w:top w:val="single" w:sz="6" w:space="0" w:color="auto"/>
              <w:left w:val="single" w:sz="6" w:space="0" w:color="auto"/>
              <w:bottom w:val="single" w:sz="6" w:space="0" w:color="auto"/>
              <w:right w:val="single" w:sz="6" w:space="0" w:color="auto"/>
            </w:tcBorders>
          </w:tcPr>
          <w:p w14:paraId="71AE8F46" w14:textId="77777777" w:rsidR="006031D6" w:rsidRPr="006031D6" w:rsidRDefault="006031D6" w:rsidP="006031D6">
            <w:pPr>
              <w:pStyle w:val="Texttabulky"/>
              <w:spacing w:after="0" w:line="240" w:lineRule="atLeast"/>
              <w:rPr>
                <w:rFonts w:cs="Arial"/>
              </w:rPr>
            </w:pPr>
            <w:r w:rsidRPr="006031D6">
              <w:rPr>
                <w:rFonts w:cs="Arial"/>
              </w:rPr>
              <w:t>1,8</w:t>
            </w:r>
          </w:p>
        </w:tc>
      </w:tr>
      <w:tr w:rsidR="006031D6" w:rsidRPr="006031D6" w14:paraId="5B360A07" w14:textId="77777777" w:rsidTr="002D2D45">
        <w:trPr>
          <w:trHeight w:val="251"/>
        </w:trPr>
        <w:tc>
          <w:tcPr>
            <w:tcW w:w="1789" w:type="dxa"/>
            <w:tcBorders>
              <w:top w:val="single" w:sz="6" w:space="0" w:color="auto"/>
              <w:left w:val="single" w:sz="6" w:space="0" w:color="auto"/>
              <w:bottom w:val="single" w:sz="6" w:space="0" w:color="auto"/>
              <w:right w:val="single" w:sz="6" w:space="0" w:color="auto"/>
            </w:tcBorders>
          </w:tcPr>
          <w:p w14:paraId="3FD1A023" w14:textId="77777777" w:rsidR="006031D6" w:rsidRPr="006031D6" w:rsidRDefault="006031D6" w:rsidP="006031D6">
            <w:pPr>
              <w:pStyle w:val="Texttabulky"/>
              <w:spacing w:after="0" w:line="240" w:lineRule="atLeast"/>
              <w:rPr>
                <w:rFonts w:cs="Arial"/>
              </w:rPr>
            </w:pPr>
            <w:r w:rsidRPr="006031D6">
              <w:rPr>
                <w:rFonts w:cs="Arial"/>
              </w:rPr>
              <w:t>Jalůvčí</w:t>
            </w:r>
          </w:p>
        </w:tc>
        <w:tc>
          <w:tcPr>
            <w:tcW w:w="946" w:type="dxa"/>
            <w:tcBorders>
              <w:top w:val="single" w:sz="6" w:space="0" w:color="auto"/>
              <w:left w:val="nil"/>
              <w:bottom w:val="single" w:sz="6" w:space="0" w:color="auto"/>
              <w:right w:val="single" w:sz="6" w:space="0" w:color="auto"/>
            </w:tcBorders>
          </w:tcPr>
          <w:p w14:paraId="67F92DD6" w14:textId="77777777" w:rsidR="006031D6" w:rsidRPr="006031D6" w:rsidRDefault="006031D6" w:rsidP="006031D6">
            <w:pPr>
              <w:pStyle w:val="Texttabulky"/>
              <w:spacing w:after="0" w:line="240" w:lineRule="atLeast"/>
              <w:rPr>
                <w:rFonts w:cs="Arial"/>
              </w:rPr>
            </w:pPr>
            <w:r w:rsidRPr="006031D6">
              <w:rPr>
                <w:rFonts w:cs="Arial"/>
              </w:rPr>
              <w:t>9 400</w:t>
            </w:r>
          </w:p>
        </w:tc>
        <w:tc>
          <w:tcPr>
            <w:tcW w:w="672" w:type="dxa"/>
            <w:tcBorders>
              <w:top w:val="single" w:sz="6" w:space="0" w:color="auto"/>
              <w:left w:val="single" w:sz="6" w:space="0" w:color="auto"/>
              <w:bottom w:val="single" w:sz="6" w:space="0" w:color="auto"/>
              <w:right w:val="single" w:sz="6" w:space="0" w:color="auto"/>
            </w:tcBorders>
          </w:tcPr>
          <w:p w14:paraId="5D6063C0" w14:textId="77777777" w:rsidR="006031D6" w:rsidRPr="006031D6" w:rsidRDefault="006031D6" w:rsidP="006031D6">
            <w:pPr>
              <w:pStyle w:val="Texttabulky"/>
              <w:spacing w:after="0" w:line="240" w:lineRule="atLeast"/>
              <w:rPr>
                <w:rFonts w:cs="Arial"/>
              </w:rPr>
            </w:pPr>
            <w:r w:rsidRPr="006031D6">
              <w:rPr>
                <w:rFonts w:cs="Arial"/>
              </w:rPr>
              <w:t>0,3</w:t>
            </w:r>
          </w:p>
        </w:tc>
        <w:tc>
          <w:tcPr>
            <w:tcW w:w="946" w:type="dxa"/>
            <w:tcBorders>
              <w:top w:val="single" w:sz="6" w:space="0" w:color="auto"/>
              <w:left w:val="single" w:sz="6" w:space="0" w:color="auto"/>
              <w:bottom w:val="single" w:sz="6" w:space="0" w:color="auto"/>
              <w:right w:val="single" w:sz="6" w:space="0" w:color="auto"/>
            </w:tcBorders>
          </w:tcPr>
          <w:p w14:paraId="55DFA400" w14:textId="77777777" w:rsidR="006031D6" w:rsidRPr="006031D6" w:rsidRDefault="006031D6" w:rsidP="006031D6">
            <w:pPr>
              <w:pStyle w:val="Texttabulky"/>
              <w:spacing w:after="0" w:line="240" w:lineRule="atLeast"/>
              <w:rPr>
                <w:rFonts w:cs="Arial"/>
              </w:rPr>
            </w:pPr>
            <w:r w:rsidRPr="006031D6">
              <w:rPr>
                <w:rFonts w:cs="Arial"/>
              </w:rPr>
              <w:t>16 226</w:t>
            </w:r>
          </w:p>
        </w:tc>
        <w:tc>
          <w:tcPr>
            <w:tcW w:w="704" w:type="dxa"/>
            <w:tcBorders>
              <w:top w:val="single" w:sz="6" w:space="0" w:color="auto"/>
              <w:left w:val="single" w:sz="6" w:space="0" w:color="auto"/>
              <w:bottom w:val="single" w:sz="6" w:space="0" w:color="auto"/>
              <w:right w:val="single" w:sz="6" w:space="0" w:color="auto"/>
            </w:tcBorders>
          </w:tcPr>
          <w:p w14:paraId="7FA37960" w14:textId="77777777" w:rsidR="006031D6" w:rsidRPr="006031D6" w:rsidRDefault="006031D6" w:rsidP="006031D6">
            <w:pPr>
              <w:pStyle w:val="Texttabulky"/>
              <w:spacing w:after="0" w:line="240" w:lineRule="atLeast"/>
              <w:rPr>
                <w:rFonts w:cs="Arial"/>
              </w:rPr>
            </w:pPr>
            <w:r w:rsidRPr="006031D6">
              <w:rPr>
                <w:rFonts w:cs="Arial"/>
              </w:rPr>
              <w:t>0,51</w:t>
            </w:r>
          </w:p>
        </w:tc>
        <w:tc>
          <w:tcPr>
            <w:tcW w:w="946" w:type="dxa"/>
            <w:tcBorders>
              <w:top w:val="single" w:sz="6" w:space="0" w:color="auto"/>
              <w:left w:val="single" w:sz="6" w:space="0" w:color="auto"/>
              <w:bottom w:val="single" w:sz="6" w:space="0" w:color="auto"/>
              <w:right w:val="single" w:sz="6" w:space="0" w:color="auto"/>
            </w:tcBorders>
          </w:tcPr>
          <w:p w14:paraId="3D744EDD" w14:textId="77777777" w:rsidR="006031D6" w:rsidRPr="006031D6" w:rsidRDefault="006031D6" w:rsidP="006031D6">
            <w:pPr>
              <w:pStyle w:val="Texttabulky"/>
              <w:spacing w:after="0" w:line="240" w:lineRule="atLeast"/>
              <w:rPr>
                <w:rFonts w:cs="Arial"/>
              </w:rPr>
            </w:pPr>
            <w:r w:rsidRPr="006031D6">
              <w:rPr>
                <w:rFonts w:cs="Arial"/>
              </w:rPr>
              <w:t>11 069</w:t>
            </w:r>
          </w:p>
        </w:tc>
        <w:tc>
          <w:tcPr>
            <w:tcW w:w="768" w:type="dxa"/>
            <w:tcBorders>
              <w:top w:val="single" w:sz="6" w:space="0" w:color="auto"/>
              <w:left w:val="single" w:sz="6" w:space="0" w:color="auto"/>
              <w:bottom w:val="single" w:sz="6" w:space="0" w:color="auto"/>
              <w:right w:val="single" w:sz="6" w:space="0" w:color="auto"/>
            </w:tcBorders>
          </w:tcPr>
          <w:p w14:paraId="320238D9" w14:textId="77777777" w:rsidR="006031D6" w:rsidRPr="006031D6" w:rsidRDefault="006031D6" w:rsidP="006031D6">
            <w:pPr>
              <w:pStyle w:val="Texttabulky"/>
              <w:spacing w:after="0" w:line="240" w:lineRule="atLeast"/>
              <w:rPr>
                <w:rFonts w:cs="Arial"/>
              </w:rPr>
            </w:pPr>
            <w:r w:rsidRPr="006031D6">
              <w:rPr>
                <w:rFonts w:cs="Arial"/>
              </w:rPr>
              <w:t>0,35</w:t>
            </w:r>
          </w:p>
        </w:tc>
        <w:tc>
          <w:tcPr>
            <w:tcW w:w="657" w:type="dxa"/>
            <w:tcBorders>
              <w:top w:val="single" w:sz="6" w:space="0" w:color="auto"/>
              <w:left w:val="single" w:sz="6" w:space="0" w:color="auto"/>
              <w:bottom w:val="single" w:sz="6" w:space="0" w:color="auto"/>
              <w:right w:val="single" w:sz="6" w:space="0" w:color="auto"/>
            </w:tcBorders>
          </w:tcPr>
          <w:p w14:paraId="1A4B9807" w14:textId="77777777" w:rsidR="006031D6" w:rsidRPr="006031D6" w:rsidRDefault="006031D6" w:rsidP="006031D6">
            <w:pPr>
              <w:pStyle w:val="Texttabulky"/>
              <w:spacing w:after="0" w:line="240" w:lineRule="atLeast"/>
              <w:rPr>
                <w:rFonts w:cs="Arial"/>
              </w:rPr>
            </w:pPr>
            <w:r w:rsidRPr="006031D6">
              <w:rPr>
                <w:rFonts w:cs="Arial"/>
              </w:rPr>
              <w:t>0,4</w:t>
            </w:r>
          </w:p>
        </w:tc>
        <w:tc>
          <w:tcPr>
            <w:tcW w:w="722" w:type="dxa"/>
            <w:gridSpan w:val="2"/>
            <w:tcBorders>
              <w:top w:val="single" w:sz="6" w:space="0" w:color="auto"/>
              <w:left w:val="single" w:sz="6" w:space="0" w:color="auto"/>
              <w:bottom w:val="single" w:sz="6" w:space="0" w:color="auto"/>
              <w:right w:val="single" w:sz="6" w:space="0" w:color="auto"/>
            </w:tcBorders>
          </w:tcPr>
          <w:p w14:paraId="61140B0C" w14:textId="77777777" w:rsidR="006031D6" w:rsidRPr="006031D6" w:rsidRDefault="006031D6" w:rsidP="006031D6">
            <w:pPr>
              <w:pStyle w:val="Texttabulky"/>
              <w:spacing w:after="0" w:line="240" w:lineRule="atLeast"/>
              <w:rPr>
                <w:rFonts w:cs="Arial"/>
              </w:rPr>
            </w:pPr>
            <w:r w:rsidRPr="006031D6">
              <w:rPr>
                <w:rFonts w:cs="Arial"/>
              </w:rPr>
              <w:t>0,5</w:t>
            </w:r>
          </w:p>
        </w:tc>
        <w:tc>
          <w:tcPr>
            <w:tcW w:w="851" w:type="dxa"/>
            <w:tcBorders>
              <w:top w:val="single" w:sz="6" w:space="0" w:color="auto"/>
              <w:left w:val="single" w:sz="6" w:space="0" w:color="auto"/>
              <w:bottom w:val="single" w:sz="6" w:space="0" w:color="auto"/>
              <w:right w:val="single" w:sz="6" w:space="0" w:color="auto"/>
            </w:tcBorders>
          </w:tcPr>
          <w:p w14:paraId="58F8C8A3" w14:textId="77777777" w:rsidR="006031D6" w:rsidRPr="006031D6" w:rsidRDefault="006031D6" w:rsidP="006031D6">
            <w:pPr>
              <w:pStyle w:val="Texttabulky"/>
              <w:spacing w:after="0" w:line="240" w:lineRule="atLeast"/>
              <w:rPr>
                <w:rFonts w:cs="Arial"/>
              </w:rPr>
            </w:pPr>
            <w:r w:rsidRPr="006031D6">
              <w:rPr>
                <w:rFonts w:cs="Arial"/>
              </w:rPr>
              <w:t>0,8</w:t>
            </w:r>
          </w:p>
        </w:tc>
      </w:tr>
      <w:tr w:rsidR="006031D6" w:rsidRPr="006031D6" w14:paraId="3363E498"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432B8F33" w14:textId="77777777" w:rsidR="006031D6" w:rsidRPr="006031D6" w:rsidRDefault="006031D6" w:rsidP="006031D6">
            <w:pPr>
              <w:pStyle w:val="Texttabulky"/>
              <w:spacing w:after="0" w:line="240" w:lineRule="atLeast"/>
              <w:rPr>
                <w:rFonts w:cs="Arial"/>
              </w:rPr>
            </w:pPr>
            <w:r w:rsidRPr="006031D6">
              <w:rPr>
                <w:rFonts w:cs="Arial"/>
              </w:rPr>
              <w:t>Mitop vrt DN3</w:t>
            </w:r>
          </w:p>
        </w:tc>
        <w:tc>
          <w:tcPr>
            <w:tcW w:w="946" w:type="dxa"/>
            <w:tcBorders>
              <w:top w:val="single" w:sz="6" w:space="0" w:color="auto"/>
              <w:left w:val="nil"/>
              <w:bottom w:val="single" w:sz="6" w:space="0" w:color="auto"/>
              <w:right w:val="single" w:sz="6" w:space="0" w:color="auto"/>
            </w:tcBorders>
          </w:tcPr>
          <w:p w14:paraId="79217D80" w14:textId="77777777" w:rsidR="006031D6" w:rsidRPr="006031D6" w:rsidRDefault="006031D6" w:rsidP="006031D6">
            <w:pPr>
              <w:pStyle w:val="Texttabulky"/>
              <w:spacing w:after="0" w:line="240" w:lineRule="atLeast"/>
              <w:rPr>
                <w:rFonts w:cs="Arial"/>
              </w:rPr>
            </w:pPr>
            <w:r w:rsidRPr="006031D6">
              <w:rPr>
                <w:rFonts w:cs="Arial"/>
              </w:rPr>
              <w:t>95 700</w:t>
            </w:r>
          </w:p>
        </w:tc>
        <w:tc>
          <w:tcPr>
            <w:tcW w:w="672" w:type="dxa"/>
            <w:tcBorders>
              <w:top w:val="single" w:sz="6" w:space="0" w:color="auto"/>
              <w:left w:val="single" w:sz="6" w:space="0" w:color="auto"/>
              <w:bottom w:val="single" w:sz="6" w:space="0" w:color="auto"/>
              <w:right w:val="single" w:sz="6" w:space="0" w:color="auto"/>
            </w:tcBorders>
          </w:tcPr>
          <w:p w14:paraId="14D89FDF" w14:textId="77777777" w:rsidR="006031D6" w:rsidRPr="006031D6" w:rsidRDefault="006031D6" w:rsidP="006031D6">
            <w:pPr>
              <w:pStyle w:val="Texttabulky"/>
              <w:spacing w:after="0" w:line="240" w:lineRule="atLeast"/>
              <w:rPr>
                <w:rFonts w:cs="Arial"/>
              </w:rPr>
            </w:pPr>
            <w:r w:rsidRPr="006031D6">
              <w:rPr>
                <w:rFonts w:cs="Arial"/>
              </w:rPr>
              <w:t>3,03</w:t>
            </w:r>
          </w:p>
        </w:tc>
        <w:tc>
          <w:tcPr>
            <w:tcW w:w="946" w:type="dxa"/>
            <w:tcBorders>
              <w:top w:val="single" w:sz="6" w:space="0" w:color="auto"/>
              <w:left w:val="single" w:sz="6" w:space="0" w:color="auto"/>
              <w:bottom w:val="single" w:sz="6" w:space="0" w:color="auto"/>
              <w:right w:val="single" w:sz="6" w:space="0" w:color="auto"/>
            </w:tcBorders>
          </w:tcPr>
          <w:p w14:paraId="5579F7F7" w14:textId="77777777" w:rsidR="006031D6" w:rsidRPr="006031D6" w:rsidRDefault="006031D6" w:rsidP="006031D6">
            <w:pPr>
              <w:pStyle w:val="Texttabulky"/>
              <w:spacing w:after="0" w:line="240" w:lineRule="atLeast"/>
              <w:rPr>
                <w:rFonts w:cs="Arial"/>
              </w:rPr>
            </w:pPr>
            <w:r w:rsidRPr="006031D6">
              <w:rPr>
                <w:rFonts w:cs="Arial"/>
              </w:rPr>
              <w:t>741 355</w:t>
            </w:r>
          </w:p>
        </w:tc>
        <w:tc>
          <w:tcPr>
            <w:tcW w:w="704" w:type="dxa"/>
            <w:tcBorders>
              <w:top w:val="single" w:sz="6" w:space="0" w:color="auto"/>
              <w:left w:val="single" w:sz="6" w:space="0" w:color="auto"/>
              <w:bottom w:val="single" w:sz="6" w:space="0" w:color="auto"/>
              <w:right w:val="single" w:sz="6" w:space="0" w:color="auto"/>
            </w:tcBorders>
          </w:tcPr>
          <w:p w14:paraId="432AA349" w14:textId="77777777" w:rsidR="006031D6" w:rsidRPr="006031D6" w:rsidRDefault="006031D6" w:rsidP="006031D6">
            <w:pPr>
              <w:pStyle w:val="Texttabulky"/>
              <w:spacing w:after="0" w:line="240" w:lineRule="atLeast"/>
              <w:rPr>
                <w:rFonts w:cs="Arial"/>
              </w:rPr>
            </w:pPr>
            <w:r w:rsidRPr="006031D6">
              <w:rPr>
                <w:rFonts w:cs="Arial"/>
              </w:rPr>
              <w:t>23,51</w:t>
            </w:r>
          </w:p>
        </w:tc>
        <w:tc>
          <w:tcPr>
            <w:tcW w:w="946" w:type="dxa"/>
            <w:tcBorders>
              <w:top w:val="single" w:sz="6" w:space="0" w:color="auto"/>
              <w:left w:val="single" w:sz="6" w:space="0" w:color="auto"/>
              <w:bottom w:val="single" w:sz="6" w:space="0" w:color="auto"/>
              <w:right w:val="single" w:sz="6" w:space="0" w:color="auto"/>
            </w:tcBorders>
          </w:tcPr>
          <w:p w14:paraId="55C6F837" w14:textId="77777777" w:rsidR="006031D6" w:rsidRPr="006031D6" w:rsidRDefault="006031D6" w:rsidP="006031D6">
            <w:pPr>
              <w:pStyle w:val="Texttabulky"/>
              <w:spacing w:after="0" w:line="240" w:lineRule="atLeast"/>
              <w:rPr>
                <w:rFonts w:cs="Arial"/>
              </w:rPr>
            </w:pPr>
            <w:r w:rsidRPr="006031D6">
              <w:rPr>
                <w:rFonts w:cs="Arial"/>
              </w:rPr>
              <w:t>613 407</w:t>
            </w:r>
          </w:p>
        </w:tc>
        <w:tc>
          <w:tcPr>
            <w:tcW w:w="768" w:type="dxa"/>
            <w:tcBorders>
              <w:top w:val="single" w:sz="6" w:space="0" w:color="auto"/>
              <w:left w:val="single" w:sz="6" w:space="0" w:color="auto"/>
              <w:bottom w:val="single" w:sz="6" w:space="0" w:color="auto"/>
              <w:right w:val="single" w:sz="6" w:space="0" w:color="auto"/>
            </w:tcBorders>
          </w:tcPr>
          <w:p w14:paraId="4D2D47DF" w14:textId="77777777" w:rsidR="006031D6" w:rsidRPr="006031D6" w:rsidRDefault="006031D6" w:rsidP="006031D6">
            <w:pPr>
              <w:pStyle w:val="Texttabulky"/>
              <w:spacing w:after="0" w:line="240" w:lineRule="atLeast"/>
              <w:rPr>
                <w:rFonts w:cs="Arial"/>
              </w:rPr>
            </w:pPr>
            <w:r w:rsidRPr="006031D6">
              <w:rPr>
                <w:rFonts w:cs="Arial"/>
              </w:rPr>
              <w:t>19,45</w:t>
            </w:r>
          </w:p>
        </w:tc>
        <w:tc>
          <w:tcPr>
            <w:tcW w:w="657" w:type="dxa"/>
            <w:tcBorders>
              <w:top w:val="single" w:sz="6" w:space="0" w:color="auto"/>
              <w:left w:val="single" w:sz="6" w:space="0" w:color="auto"/>
              <w:bottom w:val="single" w:sz="6" w:space="0" w:color="auto"/>
              <w:right w:val="single" w:sz="6" w:space="0" w:color="auto"/>
            </w:tcBorders>
          </w:tcPr>
          <w:p w14:paraId="5D2B1372" w14:textId="77777777" w:rsidR="006031D6" w:rsidRPr="006031D6" w:rsidRDefault="006031D6" w:rsidP="006031D6">
            <w:pPr>
              <w:pStyle w:val="Texttabulky"/>
              <w:spacing w:after="0" w:line="240" w:lineRule="atLeast"/>
              <w:rPr>
                <w:rFonts w:cs="Arial"/>
              </w:rPr>
            </w:pPr>
            <w:r w:rsidRPr="006031D6">
              <w:rPr>
                <w:rFonts w:cs="Arial"/>
              </w:rPr>
              <w:t>25</w:t>
            </w:r>
          </w:p>
        </w:tc>
        <w:tc>
          <w:tcPr>
            <w:tcW w:w="722" w:type="dxa"/>
            <w:gridSpan w:val="2"/>
            <w:tcBorders>
              <w:top w:val="single" w:sz="6" w:space="0" w:color="auto"/>
              <w:left w:val="single" w:sz="6" w:space="0" w:color="auto"/>
              <w:bottom w:val="single" w:sz="6" w:space="0" w:color="auto"/>
              <w:right w:val="single" w:sz="6" w:space="0" w:color="auto"/>
            </w:tcBorders>
          </w:tcPr>
          <w:p w14:paraId="5895E9A9" w14:textId="77777777" w:rsidR="006031D6" w:rsidRPr="006031D6" w:rsidRDefault="006031D6" w:rsidP="006031D6">
            <w:pPr>
              <w:pStyle w:val="Texttabulky"/>
              <w:spacing w:after="0" w:line="240" w:lineRule="atLeast"/>
              <w:rPr>
                <w:rFonts w:cs="Arial"/>
              </w:rPr>
            </w:pPr>
            <w:r w:rsidRPr="006031D6">
              <w:rPr>
                <w:rFonts w:cs="Arial"/>
              </w:rPr>
              <w:t>25</w:t>
            </w:r>
          </w:p>
        </w:tc>
        <w:tc>
          <w:tcPr>
            <w:tcW w:w="851" w:type="dxa"/>
            <w:tcBorders>
              <w:top w:val="single" w:sz="6" w:space="0" w:color="auto"/>
              <w:left w:val="single" w:sz="6" w:space="0" w:color="auto"/>
              <w:bottom w:val="single" w:sz="6" w:space="0" w:color="auto"/>
              <w:right w:val="single" w:sz="6" w:space="0" w:color="auto"/>
            </w:tcBorders>
          </w:tcPr>
          <w:p w14:paraId="0A31CBCB" w14:textId="77777777" w:rsidR="006031D6" w:rsidRPr="006031D6" w:rsidRDefault="006031D6" w:rsidP="006031D6">
            <w:pPr>
              <w:pStyle w:val="Texttabulky"/>
              <w:spacing w:after="0" w:line="240" w:lineRule="atLeast"/>
              <w:rPr>
                <w:rFonts w:cs="Arial"/>
              </w:rPr>
            </w:pPr>
            <w:r w:rsidRPr="006031D6">
              <w:rPr>
                <w:rFonts w:cs="Arial"/>
              </w:rPr>
              <w:t>25</w:t>
            </w:r>
          </w:p>
        </w:tc>
      </w:tr>
      <w:tr w:rsidR="006031D6" w:rsidRPr="006031D6" w14:paraId="11FE97C4"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1A455764" w14:textId="77777777" w:rsidR="006031D6" w:rsidRPr="006031D6" w:rsidRDefault="006031D6" w:rsidP="006031D6">
            <w:pPr>
              <w:pStyle w:val="Texttabulky"/>
              <w:spacing w:after="0" w:line="240" w:lineRule="atLeast"/>
              <w:rPr>
                <w:rFonts w:cs="Arial"/>
              </w:rPr>
            </w:pPr>
            <w:r w:rsidRPr="006031D6">
              <w:rPr>
                <w:rFonts w:cs="Arial"/>
              </w:rPr>
              <w:t>Vilsnice</w:t>
            </w:r>
          </w:p>
        </w:tc>
        <w:tc>
          <w:tcPr>
            <w:tcW w:w="946" w:type="dxa"/>
            <w:tcBorders>
              <w:top w:val="single" w:sz="6" w:space="0" w:color="auto"/>
              <w:left w:val="nil"/>
              <w:bottom w:val="nil"/>
              <w:right w:val="single" w:sz="6" w:space="0" w:color="auto"/>
            </w:tcBorders>
          </w:tcPr>
          <w:p w14:paraId="71364555" w14:textId="77777777" w:rsidR="006031D6" w:rsidRPr="006031D6" w:rsidRDefault="006031D6" w:rsidP="006031D6">
            <w:pPr>
              <w:pStyle w:val="Texttabulky"/>
              <w:spacing w:after="0" w:line="240" w:lineRule="atLeast"/>
              <w:rPr>
                <w:rFonts w:cs="Arial"/>
              </w:rPr>
            </w:pPr>
            <w:r w:rsidRPr="006031D6">
              <w:rPr>
                <w:rFonts w:cs="Arial"/>
              </w:rPr>
              <w:t>7 900</w:t>
            </w:r>
          </w:p>
        </w:tc>
        <w:tc>
          <w:tcPr>
            <w:tcW w:w="672" w:type="dxa"/>
            <w:tcBorders>
              <w:top w:val="single" w:sz="6" w:space="0" w:color="auto"/>
              <w:left w:val="single" w:sz="6" w:space="0" w:color="auto"/>
              <w:bottom w:val="nil"/>
              <w:right w:val="single" w:sz="6" w:space="0" w:color="auto"/>
            </w:tcBorders>
          </w:tcPr>
          <w:p w14:paraId="4A0EBBF3" w14:textId="77777777" w:rsidR="006031D6" w:rsidRPr="006031D6" w:rsidRDefault="006031D6" w:rsidP="006031D6">
            <w:pPr>
              <w:pStyle w:val="Texttabulky"/>
              <w:spacing w:after="0" w:line="240" w:lineRule="atLeast"/>
              <w:rPr>
                <w:rFonts w:cs="Arial"/>
              </w:rPr>
            </w:pPr>
            <w:r w:rsidRPr="006031D6">
              <w:rPr>
                <w:rFonts w:cs="Arial"/>
              </w:rPr>
              <w:t>0,25</w:t>
            </w:r>
          </w:p>
        </w:tc>
        <w:tc>
          <w:tcPr>
            <w:tcW w:w="946" w:type="dxa"/>
            <w:tcBorders>
              <w:top w:val="single" w:sz="6" w:space="0" w:color="auto"/>
              <w:left w:val="single" w:sz="6" w:space="0" w:color="auto"/>
              <w:bottom w:val="nil"/>
              <w:right w:val="single" w:sz="6" w:space="0" w:color="auto"/>
            </w:tcBorders>
          </w:tcPr>
          <w:p w14:paraId="324D2CAC" w14:textId="77777777" w:rsidR="006031D6" w:rsidRPr="006031D6" w:rsidRDefault="006031D6" w:rsidP="006031D6">
            <w:pPr>
              <w:pStyle w:val="Texttabulky"/>
              <w:spacing w:after="0" w:line="240" w:lineRule="atLeast"/>
              <w:rPr>
                <w:rFonts w:cs="Arial"/>
              </w:rPr>
            </w:pPr>
            <w:r w:rsidRPr="006031D6">
              <w:rPr>
                <w:rFonts w:cs="Arial"/>
              </w:rPr>
              <w:t>25 619</w:t>
            </w:r>
          </w:p>
        </w:tc>
        <w:tc>
          <w:tcPr>
            <w:tcW w:w="704" w:type="dxa"/>
            <w:tcBorders>
              <w:top w:val="single" w:sz="6" w:space="0" w:color="auto"/>
              <w:left w:val="single" w:sz="6" w:space="0" w:color="auto"/>
              <w:bottom w:val="nil"/>
              <w:right w:val="single" w:sz="6" w:space="0" w:color="auto"/>
            </w:tcBorders>
          </w:tcPr>
          <w:p w14:paraId="55B7A2B1" w14:textId="77777777" w:rsidR="006031D6" w:rsidRPr="006031D6" w:rsidRDefault="006031D6" w:rsidP="006031D6">
            <w:pPr>
              <w:pStyle w:val="Texttabulky"/>
              <w:spacing w:after="0" w:line="240" w:lineRule="atLeast"/>
              <w:rPr>
                <w:rFonts w:cs="Arial"/>
              </w:rPr>
            </w:pPr>
            <w:r w:rsidRPr="006031D6">
              <w:rPr>
                <w:rFonts w:cs="Arial"/>
              </w:rPr>
              <w:t>0,81</w:t>
            </w:r>
          </w:p>
        </w:tc>
        <w:tc>
          <w:tcPr>
            <w:tcW w:w="946" w:type="dxa"/>
            <w:tcBorders>
              <w:top w:val="single" w:sz="6" w:space="0" w:color="auto"/>
              <w:left w:val="single" w:sz="6" w:space="0" w:color="auto"/>
              <w:bottom w:val="nil"/>
              <w:right w:val="single" w:sz="6" w:space="0" w:color="auto"/>
            </w:tcBorders>
          </w:tcPr>
          <w:p w14:paraId="00E942D6" w14:textId="77777777" w:rsidR="006031D6" w:rsidRPr="006031D6" w:rsidRDefault="006031D6" w:rsidP="006031D6">
            <w:pPr>
              <w:pStyle w:val="Texttabulky"/>
              <w:spacing w:after="0" w:line="240" w:lineRule="atLeast"/>
              <w:rPr>
                <w:rFonts w:cs="Arial"/>
              </w:rPr>
            </w:pPr>
            <w:r w:rsidRPr="006031D6">
              <w:rPr>
                <w:rFonts w:cs="Arial"/>
              </w:rPr>
              <w:t>15 363</w:t>
            </w:r>
          </w:p>
        </w:tc>
        <w:tc>
          <w:tcPr>
            <w:tcW w:w="768" w:type="dxa"/>
            <w:tcBorders>
              <w:top w:val="single" w:sz="6" w:space="0" w:color="auto"/>
              <w:left w:val="single" w:sz="6" w:space="0" w:color="auto"/>
              <w:bottom w:val="nil"/>
              <w:right w:val="single" w:sz="6" w:space="0" w:color="auto"/>
            </w:tcBorders>
          </w:tcPr>
          <w:p w14:paraId="0FB5B9C0" w14:textId="77777777" w:rsidR="006031D6" w:rsidRPr="006031D6" w:rsidRDefault="006031D6" w:rsidP="006031D6">
            <w:pPr>
              <w:pStyle w:val="Texttabulky"/>
              <w:spacing w:after="0" w:line="240" w:lineRule="atLeast"/>
              <w:rPr>
                <w:rFonts w:cs="Arial"/>
              </w:rPr>
            </w:pPr>
            <w:r w:rsidRPr="006031D6">
              <w:rPr>
                <w:rFonts w:cs="Arial"/>
              </w:rPr>
              <w:t>0,49</w:t>
            </w:r>
          </w:p>
        </w:tc>
        <w:tc>
          <w:tcPr>
            <w:tcW w:w="657" w:type="dxa"/>
            <w:tcBorders>
              <w:top w:val="single" w:sz="6" w:space="0" w:color="auto"/>
              <w:left w:val="single" w:sz="6" w:space="0" w:color="auto"/>
              <w:bottom w:val="nil"/>
              <w:right w:val="single" w:sz="6" w:space="0" w:color="auto"/>
            </w:tcBorders>
          </w:tcPr>
          <w:p w14:paraId="49A3C275" w14:textId="77777777" w:rsidR="006031D6" w:rsidRPr="006031D6" w:rsidRDefault="006031D6" w:rsidP="006031D6">
            <w:pPr>
              <w:pStyle w:val="Texttabulky"/>
              <w:spacing w:after="0" w:line="240" w:lineRule="atLeast"/>
              <w:rPr>
                <w:rFonts w:cs="Arial"/>
              </w:rPr>
            </w:pPr>
            <w:r w:rsidRPr="006031D6">
              <w:rPr>
                <w:rFonts w:cs="Arial"/>
              </w:rPr>
              <w:t>1,1</w:t>
            </w:r>
          </w:p>
        </w:tc>
        <w:tc>
          <w:tcPr>
            <w:tcW w:w="722" w:type="dxa"/>
            <w:gridSpan w:val="2"/>
            <w:tcBorders>
              <w:top w:val="single" w:sz="6" w:space="0" w:color="auto"/>
              <w:left w:val="single" w:sz="6" w:space="0" w:color="auto"/>
              <w:bottom w:val="nil"/>
              <w:right w:val="single" w:sz="6" w:space="0" w:color="auto"/>
            </w:tcBorders>
          </w:tcPr>
          <w:p w14:paraId="2A67E154" w14:textId="77777777" w:rsidR="006031D6" w:rsidRPr="006031D6" w:rsidRDefault="006031D6" w:rsidP="006031D6">
            <w:pPr>
              <w:pStyle w:val="Texttabulky"/>
              <w:spacing w:after="0" w:line="240" w:lineRule="atLeast"/>
              <w:rPr>
                <w:rFonts w:cs="Arial"/>
              </w:rPr>
            </w:pPr>
            <w:r w:rsidRPr="006031D6">
              <w:rPr>
                <w:rFonts w:cs="Arial"/>
              </w:rPr>
              <w:t>1,6</w:t>
            </w:r>
          </w:p>
        </w:tc>
        <w:tc>
          <w:tcPr>
            <w:tcW w:w="851" w:type="dxa"/>
            <w:tcBorders>
              <w:top w:val="single" w:sz="6" w:space="0" w:color="auto"/>
              <w:left w:val="single" w:sz="6" w:space="0" w:color="auto"/>
              <w:bottom w:val="nil"/>
              <w:right w:val="single" w:sz="6" w:space="0" w:color="auto"/>
            </w:tcBorders>
          </w:tcPr>
          <w:p w14:paraId="6E3C1500" w14:textId="77777777" w:rsidR="006031D6" w:rsidRPr="006031D6" w:rsidRDefault="006031D6" w:rsidP="006031D6">
            <w:pPr>
              <w:pStyle w:val="Texttabulky"/>
              <w:spacing w:after="0" w:line="240" w:lineRule="atLeast"/>
              <w:rPr>
                <w:rFonts w:cs="Arial"/>
              </w:rPr>
            </w:pPr>
            <w:r w:rsidRPr="006031D6">
              <w:rPr>
                <w:rFonts w:cs="Arial"/>
              </w:rPr>
              <w:t>3,5</w:t>
            </w:r>
          </w:p>
        </w:tc>
      </w:tr>
      <w:tr w:rsidR="006031D6" w:rsidRPr="006031D6" w14:paraId="20893BD2" w14:textId="77777777" w:rsidTr="002D2D45">
        <w:trPr>
          <w:trHeight w:val="255"/>
        </w:trPr>
        <w:tc>
          <w:tcPr>
            <w:tcW w:w="1789" w:type="dxa"/>
            <w:tcBorders>
              <w:top w:val="single" w:sz="6" w:space="0" w:color="auto"/>
              <w:left w:val="single" w:sz="6" w:space="0" w:color="auto"/>
              <w:bottom w:val="single" w:sz="6" w:space="0" w:color="auto"/>
              <w:right w:val="single" w:sz="6" w:space="0" w:color="auto"/>
            </w:tcBorders>
          </w:tcPr>
          <w:p w14:paraId="6F10E9EE" w14:textId="77777777" w:rsidR="006031D6" w:rsidRPr="006031D6" w:rsidRDefault="006031D6" w:rsidP="006031D6">
            <w:pPr>
              <w:pStyle w:val="Texttabulky"/>
              <w:spacing w:after="0" w:line="240" w:lineRule="atLeast"/>
              <w:rPr>
                <w:rFonts w:cs="Arial"/>
              </w:rPr>
            </w:pPr>
            <w:r w:rsidRPr="006031D6">
              <w:rPr>
                <w:rFonts w:cs="Arial"/>
                <w:b/>
                <w:bCs/>
              </w:rPr>
              <w:t>Celkem</w:t>
            </w:r>
          </w:p>
        </w:tc>
        <w:tc>
          <w:tcPr>
            <w:tcW w:w="946" w:type="dxa"/>
            <w:tcBorders>
              <w:top w:val="single" w:sz="6" w:space="0" w:color="auto"/>
              <w:left w:val="nil"/>
              <w:bottom w:val="single" w:sz="6" w:space="0" w:color="auto"/>
              <w:right w:val="single" w:sz="6" w:space="0" w:color="auto"/>
            </w:tcBorders>
          </w:tcPr>
          <w:p w14:paraId="76EB4459" w14:textId="77777777" w:rsidR="006031D6" w:rsidRPr="006031D6" w:rsidRDefault="006031D6" w:rsidP="006031D6">
            <w:pPr>
              <w:pStyle w:val="Zkladntext"/>
              <w:spacing w:after="0"/>
              <w:rPr>
                <w:rFonts w:ascii="Arial" w:hAnsi="Arial" w:cs="Arial"/>
              </w:rPr>
            </w:pPr>
          </w:p>
        </w:tc>
        <w:tc>
          <w:tcPr>
            <w:tcW w:w="672" w:type="dxa"/>
            <w:tcBorders>
              <w:top w:val="single" w:sz="6" w:space="0" w:color="auto"/>
              <w:left w:val="single" w:sz="6" w:space="0" w:color="auto"/>
              <w:bottom w:val="single" w:sz="6" w:space="0" w:color="auto"/>
              <w:right w:val="single" w:sz="6" w:space="0" w:color="auto"/>
            </w:tcBorders>
          </w:tcPr>
          <w:p w14:paraId="3AA9F1F5" w14:textId="77777777" w:rsidR="006031D6" w:rsidRPr="006031D6" w:rsidRDefault="006031D6" w:rsidP="006031D6">
            <w:pPr>
              <w:pStyle w:val="Texttabulky"/>
              <w:spacing w:after="0" w:line="240" w:lineRule="atLeast"/>
              <w:rPr>
                <w:rFonts w:cs="Arial"/>
              </w:rPr>
            </w:pPr>
            <w:r w:rsidRPr="006031D6">
              <w:rPr>
                <w:rFonts w:cs="Arial"/>
                <w:b/>
                <w:bCs/>
              </w:rPr>
              <w:t>59,66</w:t>
            </w:r>
          </w:p>
        </w:tc>
        <w:tc>
          <w:tcPr>
            <w:tcW w:w="946" w:type="dxa"/>
            <w:tcBorders>
              <w:top w:val="single" w:sz="6" w:space="0" w:color="auto"/>
              <w:left w:val="single" w:sz="6" w:space="0" w:color="auto"/>
              <w:bottom w:val="single" w:sz="6" w:space="0" w:color="auto"/>
              <w:right w:val="single" w:sz="6" w:space="0" w:color="auto"/>
            </w:tcBorders>
          </w:tcPr>
          <w:p w14:paraId="24B425F0" w14:textId="77777777" w:rsidR="006031D6" w:rsidRPr="006031D6" w:rsidRDefault="006031D6" w:rsidP="006031D6">
            <w:pPr>
              <w:pStyle w:val="Zkladntext"/>
              <w:spacing w:after="0"/>
              <w:rPr>
                <w:rFonts w:ascii="Arial" w:hAnsi="Arial" w:cs="Arial"/>
              </w:rPr>
            </w:pPr>
          </w:p>
        </w:tc>
        <w:tc>
          <w:tcPr>
            <w:tcW w:w="704" w:type="dxa"/>
            <w:tcBorders>
              <w:top w:val="single" w:sz="6" w:space="0" w:color="auto"/>
              <w:left w:val="single" w:sz="6" w:space="0" w:color="auto"/>
              <w:bottom w:val="single" w:sz="6" w:space="0" w:color="auto"/>
              <w:right w:val="single" w:sz="6" w:space="0" w:color="auto"/>
            </w:tcBorders>
          </w:tcPr>
          <w:p w14:paraId="2E202B2D" w14:textId="77777777" w:rsidR="006031D6" w:rsidRPr="006031D6" w:rsidRDefault="006031D6" w:rsidP="006031D6">
            <w:pPr>
              <w:pStyle w:val="Texttabulky"/>
              <w:spacing w:after="0" w:line="240" w:lineRule="atLeast"/>
              <w:rPr>
                <w:rFonts w:cs="Arial"/>
              </w:rPr>
            </w:pPr>
            <w:r w:rsidRPr="006031D6">
              <w:rPr>
                <w:rFonts w:cs="Arial"/>
                <w:b/>
                <w:bCs/>
              </w:rPr>
              <w:t>92,13</w:t>
            </w:r>
          </w:p>
        </w:tc>
        <w:tc>
          <w:tcPr>
            <w:tcW w:w="946" w:type="dxa"/>
            <w:tcBorders>
              <w:top w:val="single" w:sz="6" w:space="0" w:color="auto"/>
              <w:left w:val="single" w:sz="6" w:space="0" w:color="auto"/>
              <w:bottom w:val="single" w:sz="6" w:space="0" w:color="auto"/>
              <w:right w:val="single" w:sz="6" w:space="0" w:color="auto"/>
            </w:tcBorders>
          </w:tcPr>
          <w:p w14:paraId="23251FA9" w14:textId="77777777" w:rsidR="006031D6" w:rsidRPr="006031D6" w:rsidRDefault="006031D6" w:rsidP="006031D6">
            <w:pPr>
              <w:pStyle w:val="Zkladntext"/>
              <w:spacing w:after="0"/>
              <w:rPr>
                <w:rFonts w:ascii="Arial" w:hAnsi="Arial" w:cs="Arial"/>
              </w:rPr>
            </w:pPr>
          </w:p>
        </w:tc>
        <w:tc>
          <w:tcPr>
            <w:tcW w:w="768" w:type="dxa"/>
            <w:tcBorders>
              <w:top w:val="single" w:sz="6" w:space="0" w:color="auto"/>
              <w:left w:val="single" w:sz="6" w:space="0" w:color="auto"/>
              <w:bottom w:val="single" w:sz="6" w:space="0" w:color="auto"/>
              <w:right w:val="single" w:sz="6" w:space="0" w:color="auto"/>
            </w:tcBorders>
          </w:tcPr>
          <w:p w14:paraId="623C66B7" w14:textId="77777777" w:rsidR="006031D6" w:rsidRPr="006031D6" w:rsidRDefault="006031D6" w:rsidP="006031D6">
            <w:pPr>
              <w:pStyle w:val="Texttabulky"/>
              <w:spacing w:after="0" w:line="240" w:lineRule="atLeast"/>
              <w:rPr>
                <w:rFonts w:cs="Arial"/>
              </w:rPr>
            </w:pPr>
            <w:r w:rsidRPr="006031D6">
              <w:rPr>
                <w:rFonts w:cs="Arial"/>
                <w:b/>
                <w:bCs/>
              </w:rPr>
              <w:t>79,66</w:t>
            </w:r>
          </w:p>
        </w:tc>
        <w:tc>
          <w:tcPr>
            <w:tcW w:w="657" w:type="dxa"/>
            <w:tcBorders>
              <w:top w:val="single" w:sz="6" w:space="0" w:color="auto"/>
              <w:left w:val="single" w:sz="6" w:space="0" w:color="auto"/>
              <w:bottom w:val="single" w:sz="6" w:space="0" w:color="auto"/>
              <w:right w:val="single" w:sz="6" w:space="0" w:color="auto"/>
            </w:tcBorders>
          </w:tcPr>
          <w:p w14:paraId="423D6FE5" w14:textId="77777777" w:rsidR="006031D6" w:rsidRPr="006031D6" w:rsidRDefault="006031D6" w:rsidP="006031D6">
            <w:pPr>
              <w:pStyle w:val="Texttabulky"/>
              <w:spacing w:after="0" w:line="240" w:lineRule="atLeast"/>
              <w:rPr>
                <w:rFonts w:cs="Arial"/>
              </w:rPr>
            </w:pPr>
            <w:r w:rsidRPr="006031D6">
              <w:rPr>
                <w:rFonts w:cs="Arial"/>
                <w:b/>
                <w:bCs/>
              </w:rPr>
              <w:t>113,8</w:t>
            </w:r>
          </w:p>
        </w:tc>
        <w:tc>
          <w:tcPr>
            <w:tcW w:w="722" w:type="dxa"/>
            <w:gridSpan w:val="2"/>
            <w:tcBorders>
              <w:top w:val="single" w:sz="6" w:space="0" w:color="auto"/>
              <w:left w:val="single" w:sz="6" w:space="0" w:color="auto"/>
              <w:bottom w:val="single" w:sz="6" w:space="0" w:color="auto"/>
              <w:right w:val="single" w:sz="6" w:space="0" w:color="auto"/>
            </w:tcBorders>
          </w:tcPr>
          <w:p w14:paraId="49FA6FDE" w14:textId="77777777" w:rsidR="006031D6" w:rsidRPr="006031D6" w:rsidRDefault="006031D6" w:rsidP="006031D6">
            <w:pPr>
              <w:pStyle w:val="Texttabulky"/>
              <w:spacing w:after="0" w:line="240" w:lineRule="atLeast"/>
              <w:rPr>
                <w:rFonts w:cs="Arial"/>
              </w:rPr>
            </w:pPr>
            <w:r w:rsidRPr="006031D6">
              <w:rPr>
                <w:rFonts w:cs="Arial"/>
                <w:b/>
                <w:bCs/>
              </w:rPr>
              <w:t>134,45</w:t>
            </w:r>
          </w:p>
        </w:tc>
        <w:tc>
          <w:tcPr>
            <w:tcW w:w="851" w:type="dxa"/>
            <w:tcBorders>
              <w:top w:val="single" w:sz="6" w:space="0" w:color="auto"/>
              <w:left w:val="single" w:sz="6" w:space="0" w:color="auto"/>
              <w:bottom w:val="single" w:sz="6" w:space="0" w:color="auto"/>
              <w:right w:val="single" w:sz="6" w:space="0" w:color="auto"/>
            </w:tcBorders>
          </w:tcPr>
          <w:p w14:paraId="27A28306" w14:textId="77777777" w:rsidR="006031D6" w:rsidRPr="006031D6" w:rsidRDefault="006031D6" w:rsidP="006031D6">
            <w:pPr>
              <w:pStyle w:val="Texttabulky"/>
              <w:spacing w:after="0" w:line="240" w:lineRule="atLeast"/>
              <w:rPr>
                <w:rFonts w:cs="Arial"/>
              </w:rPr>
            </w:pPr>
            <w:r w:rsidRPr="006031D6">
              <w:rPr>
                <w:rFonts w:cs="Arial"/>
                <w:b/>
                <w:bCs/>
              </w:rPr>
              <w:t>175,2</w:t>
            </w:r>
          </w:p>
        </w:tc>
      </w:tr>
      <w:tr w:rsidR="006031D6" w:rsidRPr="006031D6" w14:paraId="6ECB6A7D" w14:textId="77777777" w:rsidTr="002D2D45">
        <w:trPr>
          <w:trHeight w:val="206"/>
        </w:trPr>
        <w:tc>
          <w:tcPr>
            <w:tcW w:w="9001" w:type="dxa"/>
            <w:gridSpan w:val="11"/>
            <w:tcBorders>
              <w:top w:val="single" w:sz="6" w:space="0" w:color="auto"/>
              <w:left w:val="single" w:sz="6" w:space="0" w:color="auto"/>
              <w:bottom w:val="single" w:sz="6" w:space="0" w:color="auto"/>
              <w:right w:val="single" w:sz="6" w:space="0" w:color="auto"/>
            </w:tcBorders>
          </w:tcPr>
          <w:p w14:paraId="4BC8BB6F" w14:textId="77777777" w:rsidR="006031D6" w:rsidRPr="006031D6" w:rsidRDefault="006031D6" w:rsidP="006031D6">
            <w:pPr>
              <w:pStyle w:val="Zkladntext"/>
              <w:spacing w:after="0"/>
              <w:rPr>
                <w:rFonts w:ascii="Arial" w:hAnsi="Arial" w:cs="Arial"/>
              </w:rPr>
            </w:pPr>
            <w:r w:rsidRPr="006031D6">
              <w:rPr>
                <w:rFonts w:ascii="Arial" w:hAnsi="Arial" w:cs="Arial"/>
                <w:b/>
                <w:bCs/>
                <w:caps/>
                <w:sz w:val="18"/>
                <w:szCs w:val="18"/>
              </w:rPr>
              <w:t>Zdroje venkov</w:t>
            </w:r>
          </w:p>
        </w:tc>
      </w:tr>
      <w:tr w:rsidR="006031D6" w:rsidRPr="006031D6" w14:paraId="04687F1F" w14:textId="77777777" w:rsidTr="002D2D45">
        <w:trPr>
          <w:trHeight w:val="481"/>
        </w:trPr>
        <w:tc>
          <w:tcPr>
            <w:tcW w:w="1789" w:type="dxa"/>
            <w:tcBorders>
              <w:top w:val="single" w:sz="6" w:space="0" w:color="auto"/>
              <w:left w:val="single" w:sz="6" w:space="0" w:color="auto"/>
              <w:bottom w:val="single" w:sz="6" w:space="0" w:color="auto"/>
              <w:right w:val="single" w:sz="6" w:space="0" w:color="auto"/>
            </w:tcBorders>
          </w:tcPr>
          <w:p w14:paraId="0CC11D19" w14:textId="77777777" w:rsidR="006031D6" w:rsidRPr="006031D6" w:rsidRDefault="006031D6" w:rsidP="006031D6">
            <w:pPr>
              <w:pStyle w:val="Texttabulky"/>
              <w:spacing w:after="0" w:line="240" w:lineRule="atLeast"/>
              <w:rPr>
                <w:rFonts w:cs="Arial"/>
              </w:rPr>
            </w:pPr>
            <w:r w:rsidRPr="006031D6">
              <w:rPr>
                <w:rFonts w:cs="Arial"/>
              </w:rPr>
              <w:t>Pod Velení – Jasanka</w:t>
            </w:r>
          </w:p>
        </w:tc>
        <w:tc>
          <w:tcPr>
            <w:tcW w:w="946" w:type="dxa"/>
            <w:tcBorders>
              <w:top w:val="single" w:sz="6" w:space="0" w:color="auto"/>
              <w:left w:val="nil"/>
              <w:bottom w:val="single" w:sz="6" w:space="0" w:color="auto"/>
              <w:right w:val="single" w:sz="6" w:space="0" w:color="auto"/>
            </w:tcBorders>
          </w:tcPr>
          <w:p w14:paraId="6785F9E8" w14:textId="77777777" w:rsidR="006031D6" w:rsidRPr="006031D6" w:rsidRDefault="006031D6" w:rsidP="006031D6">
            <w:pPr>
              <w:pStyle w:val="Texttabulky"/>
              <w:spacing w:after="0" w:line="240" w:lineRule="atLeast"/>
              <w:rPr>
                <w:rFonts w:cs="Arial"/>
              </w:rPr>
            </w:pPr>
            <w:r w:rsidRPr="006031D6">
              <w:rPr>
                <w:rFonts w:cs="Arial"/>
              </w:rPr>
              <w:t>32 400</w:t>
            </w:r>
          </w:p>
        </w:tc>
        <w:tc>
          <w:tcPr>
            <w:tcW w:w="672" w:type="dxa"/>
            <w:tcBorders>
              <w:top w:val="single" w:sz="6" w:space="0" w:color="auto"/>
              <w:left w:val="single" w:sz="6" w:space="0" w:color="auto"/>
              <w:bottom w:val="single" w:sz="6" w:space="0" w:color="auto"/>
              <w:right w:val="single" w:sz="6" w:space="0" w:color="auto"/>
            </w:tcBorders>
          </w:tcPr>
          <w:p w14:paraId="19D13178" w14:textId="77777777" w:rsidR="006031D6" w:rsidRPr="006031D6" w:rsidRDefault="006031D6" w:rsidP="006031D6">
            <w:pPr>
              <w:pStyle w:val="Texttabulky"/>
              <w:spacing w:after="0" w:line="240" w:lineRule="atLeast"/>
              <w:rPr>
                <w:rFonts w:cs="Arial"/>
              </w:rPr>
            </w:pPr>
            <w:r w:rsidRPr="006031D6">
              <w:rPr>
                <w:rFonts w:cs="Arial"/>
              </w:rPr>
              <w:t>1,03</w:t>
            </w:r>
          </w:p>
        </w:tc>
        <w:tc>
          <w:tcPr>
            <w:tcW w:w="946" w:type="dxa"/>
            <w:tcBorders>
              <w:top w:val="single" w:sz="6" w:space="0" w:color="auto"/>
              <w:left w:val="single" w:sz="6" w:space="0" w:color="auto"/>
              <w:bottom w:val="single" w:sz="6" w:space="0" w:color="auto"/>
              <w:right w:val="single" w:sz="6" w:space="0" w:color="auto"/>
            </w:tcBorders>
          </w:tcPr>
          <w:p w14:paraId="0963898F" w14:textId="77777777" w:rsidR="006031D6" w:rsidRPr="006031D6" w:rsidRDefault="006031D6" w:rsidP="006031D6">
            <w:pPr>
              <w:pStyle w:val="Texttabulky"/>
              <w:spacing w:after="0" w:line="240" w:lineRule="atLeast"/>
              <w:rPr>
                <w:rFonts w:cs="Arial"/>
              </w:rPr>
            </w:pPr>
            <w:r w:rsidRPr="006031D6">
              <w:rPr>
                <w:rFonts w:cs="Arial"/>
              </w:rPr>
              <w:t>43 484</w:t>
            </w:r>
          </w:p>
        </w:tc>
        <w:tc>
          <w:tcPr>
            <w:tcW w:w="704" w:type="dxa"/>
            <w:tcBorders>
              <w:top w:val="single" w:sz="6" w:space="0" w:color="auto"/>
              <w:left w:val="single" w:sz="6" w:space="0" w:color="auto"/>
              <w:bottom w:val="single" w:sz="6" w:space="0" w:color="auto"/>
              <w:right w:val="single" w:sz="6" w:space="0" w:color="auto"/>
            </w:tcBorders>
          </w:tcPr>
          <w:p w14:paraId="4AA0F8EF" w14:textId="77777777" w:rsidR="006031D6" w:rsidRPr="006031D6" w:rsidRDefault="006031D6" w:rsidP="006031D6">
            <w:pPr>
              <w:pStyle w:val="Texttabulky"/>
              <w:spacing w:after="0" w:line="240" w:lineRule="atLeast"/>
              <w:rPr>
                <w:rFonts w:cs="Arial"/>
              </w:rPr>
            </w:pPr>
            <w:r w:rsidRPr="006031D6">
              <w:rPr>
                <w:rFonts w:cs="Arial"/>
              </w:rPr>
              <w:t>1,38</w:t>
            </w:r>
          </w:p>
        </w:tc>
        <w:tc>
          <w:tcPr>
            <w:tcW w:w="946" w:type="dxa"/>
            <w:tcBorders>
              <w:top w:val="single" w:sz="6" w:space="0" w:color="auto"/>
              <w:left w:val="single" w:sz="6" w:space="0" w:color="auto"/>
              <w:bottom w:val="single" w:sz="6" w:space="0" w:color="auto"/>
              <w:right w:val="single" w:sz="6" w:space="0" w:color="auto"/>
            </w:tcBorders>
          </w:tcPr>
          <w:p w14:paraId="1C7AB554" w14:textId="77777777" w:rsidR="006031D6" w:rsidRPr="006031D6" w:rsidRDefault="006031D6" w:rsidP="006031D6">
            <w:pPr>
              <w:pStyle w:val="Texttabulky"/>
              <w:spacing w:after="0" w:line="240" w:lineRule="atLeast"/>
              <w:rPr>
                <w:rFonts w:cs="Arial"/>
              </w:rPr>
            </w:pPr>
            <w:r w:rsidRPr="006031D6">
              <w:rPr>
                <w:rFonts w:cs="Arial"/>
              </w:rPr>
              <w:t>37 215</w:t>
            </w:r>
          </w:p>
        </w:tc>
        <w:tc>
          <w:tcPr>
            <w:tcW w:w="768" w:type="dxa"/>
            <w:tcBorders>
              <w:top w:val="single" w:sz="6" w:space="0" w:color="auto"/>
              <w:left w:val="single" w:sz="6" w:space="0" w:color="auto"/>
              <w:bottom w:val="single" w:sz="6" w:space="0" w:color="auto"/>
              <w:right w:val="single" w:sz="6" w:space="0" w:color="auto"/>
            </w:tcBorders>
          </w:tcPr>
          <w:p w14:paraId="2A8B1C74" w14:textId="77777777" w:rsidR="006031D6" w:rsidRPr="006031D6" w:rsidRDefault="006031D6" w:rsidP="006031D6">
            <w:pPr>
              <w:pStyle w:val="Texttabulky"/>
              <w:spacing w:after="0" w:line="240" w:lineRule="atLeast"/>
              <w:rPr>
                <w:rFonts w:cs="Arial"/>
              </w:rPr>
            </w:pPr>
            <w:r w:rsidRPr="006031D6">
              <w:rPr>
                <w:rFonts w:cs="Arial"/>
              </w:rPr>
              <w:t>1,18</w:t>
            </w:r>
          </w:p>
        </w:tc>
        <w:tc>
          <w:tcPr>
            <w:tcW w:w="657" w:type="dxa"/>
            <w:tcBorders>
              <w:top w:val="single" w:sz="6" w:space="0" w:color="auto"/>
              <w:left w:val="single" w:sz="6" w:space="0" w:color="auto"/>
              <w:bottom w:val="single" w:sz="6" w:space="0" w:color="auto"/>
              <w:right w:val="single" w:sz="6" w:space="0" w:color="auto"/>
            </w:tcBorders>
          </w:tcPr>
          <w:p w14:paraId="35CF45D0" w14:textId="77777777" w:rsidR="006031D6" w:rsidRPr="006031D6" w:rsidRDefault="006031D6" w:rsidP="006031D6">
            <w:pPr>
              <w:pStyle w:val="Texttabulky"/>
              <w:spacing w:after="0" w:line="240" w:lineRule="atLeast"/>
              <w:rPr>
                <w:rFonts w:cs="Arial"/>
              </w:rPr>
            </w:pPr>
            <w:r w:rsidRPr="006031D6">
              <w:rPr>
                <w:rFonts w:cs="Arial"/>
              </w:rPr>
              <w:t>1,2</w:t>
            </w:r>
          </w:p>
        </w:tc>
        <w:tc>
          <w:tcPr>
            <w:tcW w:w="610" w:type="dxa"/>
            <w:tcBorders>
              <w:top w:val="single" w:sz="6" w:space="0" w:color="auto"/>
              <w:left w:val="single" w:sz="6" w:space="0" w:color="auto"/>
              <w:bottom w:val="single" w:sz="6" w:space="0" w:color="auto"/>
              <w:right w:val="single" w:sz="6" w:space="0" w:color="auto"/>
            </w:tcBorders>
          </w:tcPr>
          <w:p w14:paraId="6BB614D3" w14:textId="77777777" w:rsidR="006031D6" w:rsidRPr="006031D6" w:rsidRDefault="006031D6" w:rsidP="006031D6">
            <w:pPr>
              <w:pStyle w:val="Texttabulky"/>
              <w:spacing w:after="0" w:line="240" w:lineRule="atLeast"/>
              <w:rPr>
                <w:rFonts w:cs="Arial"/>
              </w:rPr>
            </w:pPr>
            <w:r w:rsidRPr="006031D6">
              <w:rPr>
                <w:rFonts w:cs="Arial"/>
              </w:rPr>
              <w:t>1,5</w:t>
            </w:r>
          </w:p>
        </w:tc>
        <w:tc>
          <w:tcPr>
            <w:tcW w:w="963" w:type="dxa"/>
            <w:gridSpan w:val="2"/>
            <w:tcBorders>
              <w:top w:val="single" w:sz="6" w:space="0" w:color="auto"/>
              <w:left w:val="single" w:sz="6" w:space="0" w:color="auto"/>
              <w:bottom w:val="single" w:sz="6" w:space="0" w:color="auto"/>
              <w:right w:val="single" w:sz="6" w:space="0" w:color="auto"/>
            </w:tcBorders>
          </w:tcPr>
          <w:p w14:paraId="4349E1CE" w14:textId="77777777" w:rsidR="006031D6" w:rsidRPr="006031D6" w:rsidRDefault="006031D6" w:rsidP="006031D6">
            <w:pPr>
              <w:pStyle w:val="Texttabulky"/>
              <w:spacing w:after="0" w:line="240" w:lineRule="atLeast"/>
              <w:rPr>
                <w:rFonts w:cs="Arial"/>
              </w:rPr>
            </w:pPr>
            <w:r w:rsidRPr="006031D6">
              <w:rPr>
                <w:rFonts w:cs="Arial"/>
              </w:rPr>
              <w:t>2</w:t>
            </w:r>
          </w:p>
        </w:tc>
      </w:tr>
      <w:tr w:rsidR="006031D6" w:rsidRPr="006031D6" w14:paraId="3F92CC39"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37E16F3A" w14:textId="77777777" w:rsidR="006031D6" w:rsidRPr="006031D6" w:rsidRDefault="006031D6" w:rsidP="006031D6">
            <w:pPr>
              <w:pStyle w:val="Texttabulky"/>
              <w:spacing w:after="0" w:line="240" w:lineRule="atLeast"/>
              <w:rPr>
                <w:rFonts w:cs="Arial"/>
              </w:rPr>
            </w:pPr>
            <w:r w:rsidRPr="006031D6">
              <w:rPr>
                <w:rFonts w:cs="Arial"/>
              </w:rPr>
              <w:t>U Polanských</w:t>
            </w:r>
          </w:p>
        </w:tc>
        <w:tc>
          <w:tcPr>
            <w:tcW w:w="946" w:type="dxa"/>
            <w:tcBorders>
              <w:top w:val="single" w:sz="6" w:space="0" w:color="auto"/>
              <w:left w:val="nil"/>
              <w:bottom w:val="single" w:sz="6" w:space="0" w:color="auto"/>
              <w:right w:val="single" w:sz="6" w:space="0" w:color="auto"/>
            </w:tcBorders>
          </w:tcPr>
          <w:p w14:paraId="5E74C8EE" w14:textId="77777777" w:rsidR="006031D6" w:rsidRPr="006031D6" w:rsidRDefault="006031D6" w:rsidP="006031D6">
            <w:pPr>
              <w:pStyle w:val="Texttabulky"/>
              <w:spacing w:after="0" w:line="240" w:lineRule="atLeast"/>
              <w:rPr>
                <w:rFonts w:cs="Arial"/>
              </w:rPr>
            </w:pPr>
            <w:r w:rsidRPr="006031D6">
              <w:rPr>
                <w:rFonts w:cs="Arial"/>
              </w:rPr>
              <w:t>4 500</w:t>
            </w:r>
          </w:p>
        </w:tc>
        <w:tc>
          <w:tcPr>
            <w:tcW w:w="672" w:type="dxa"/>
            <w:tcBorders>
              <w:top w:val="single" w:sz="6" w:space="0" w:color="auto"/>
              <w:left w:val="single" w:sz="6" w:space="0" w:color="auto"/>
              <w:bottom w:val="single" w:sz="6" w:space="0" w:color="auto"/>
              <w:right w:val="single" w:sz="6" w:space="0" w:color="auto"/>
            </w:tcBorders>
          </w:tcPr>
          <w:p w14:paraId="414D2987" w14:textId="77777777" w:rsidR="006031D6" w:rsidRPr="006031D6" w:rsidRDefault="006031D6" w:rsidP="006031D6">
            <w:pPr>
              <w:pStyle w:val="Texttabulky"/>
              <w:spacing w:after="0" w:line="240" w:lineRule="atLeast"/>
              <w:rPr>
                <w:rFonts w:cs="Arial"/>
              </w:rPr>
            </w:pPr>
            <w:r w:rsidRPr="006031D6">
              <w:rPr>
                <w:rFonts w:cs="Arial"/>
              </w:rPr>
              <w:t>0,14</w:t>
            </w:r>
          </w:p>
        </w:tc>
        <w:tc>
          <w:tcPr>
            <w:tcW w:w="946" w:type="dxa"/>
            <w:tcBorders>
              <w:top w:val="single" w:sz="6" w:space="0" w:color="auto"/>
              <w:left w:val="single" w:sz="6" w:space="0" w:color="auto"/>
              <w:bottom w:val="single" w:sz="6" w:space="0" w:color="auto"/>
              <w:right w:val="single" w:sz="6" w:space="0" w:color="auto"/>
            </w:tcBorders>
          </w:tcPr>
          <w:p w14:paraId="483EFC6E" w14:textId="77777777" w:rsidR="006031D6" w:rsidRPr="006031D6" w:rsidRDefault="006031D6" w:rsidP="006031D6">
            <w:pPr>
              <w:pStyle w:val="Texttabulky"/>
              <w:spacing w:after="0" w:line="240" w:lineRule="atLeast"/>
              <w:rPr>
                <w:rFonts w:cs="Arial"/>
              </w:rPr>
            </w:pPr>
            <w:r w:rsidRPr="006031D6">
              <w:rPr>
                <w:rFonts w:cs="Arial"/>
              </w:rPr>
              <w:t>2 460</w:t>
            </w:r>
          </w:p>
        </w:tc>
        <w:tc>
          <w:tcPr>
            <w:tcW w:w="704" w:type="dxa"/>
            <w:tcBorders>
              <w:top w:val="single" w:sz="6" w:space="0" w:color="auto"/>
              <w:left w:val="single" w:sz="6" w:space="0" w:color="auto"/>
              <w:bottom w:val="single" w:sz="6" w:space="0" w:color="auto"/>
              <w:right w:val="single" w:sz="6" w:space="0" w:color="auto"/>
            </w:tcBorders>
          </w:tcPr>
          <w:p w14:paraId="3366E061" w14:textId="77777777" w:rsidR="006031D6" w:rsidRPr="006031D6" w:rsidRDefault="006031D6" w:rsidP="006031D6">
            <w:pPr>
              <w:pStyle w:val="Texttabulky"/>
              <w:spacing w:after="0" w:line="240" w:lineRule="atLeast"/>
              <w:rPr>
                <w:rFonts w:cs="Arial"/>
              </w:rPr>
            </w:pPr>
            <w:r w:rsidRPr="006031D6">
              <w:rPr>
                <w:rFonts w:cs="Arial"/>
              </w:rPr>
              <w:t>0,08</w:t>
            </w:r>
          </w:p>
        </w:tc>
        <w:tc>
          <w:tcPr>
            <w:tcW w:w="946" w:type="dxa"/>
            <w:tcBorders>
              <w:top w:val="single" w:sz="6" w:space="0" w:color="auto"/>
              <w:left w:val="single" w:sz="6" w:space="0" w:color="auto"/>
              <w:bottom w:val="single" w:sz="6" w:space="0" w:color="auto"/>
              <w:right w:val="single" w:sz="6" w:space="0" w:color="auto"/>
            </w:tcBorders>
          </w:tcPr>
          <w:p w14:paraId="0CBAA99B" w14:textId="77777777" w:rsidR="006031D6" w:rsidRPr="006031D6" w:rsidRDefault="006031D6" w:rsidP="006031D6">
            <w:pPr>
              <w:pStyle w:val="Texttabulky"/>
              <w:spacing w:after="0" w:line="240" w:lineRule="atLeast"/>
              <w:rPr>
                <w:rFonts w:cs="Arial"/>
              </w:rPr>
            </w:pPr>
            <w:r w:rsidRPr="006031D6">
              <w:rPr>
                <w:rFonts w:cs="Arial"/>
              </w:rPr>
              <w:t>715</w:t>
            </w:r>
          </w:p>
        </w:tc>
        <w:tc>
          <w:tcPr>
            <w:tcW w:w="768" w:type="dxa"/>
            <w:tcBorders>
              <w:top w:val="single" w:sz="6" w:space="0" w:color="auto"/>
              <w:left w:val="single" w:sz="6" w:space="0" w:color="auto"/>
              <w:bottom w:val="single" w:sz="6" w:space="0" w:color="auto"/>
              <w:right w:val="single" w:sz="6" w:space="0" w:color="auto"/>
            </w:tcBorders>
          </w:tcPr>
          <w:p w14:paraId="700953E8" w14:textId="77777777" w:rsidR="006031D6" w:rsidRPr="006031D6" w:rsidRDefault="006031D6" w:rsidP="006031D6">
            <w:pPr>
              <w:pStyle w:val="Texttabulky"/>
              <w:spacing w:after="0" w:line="240" w:lineRule="atLeast"/>
              <w:rPr>
                <w:rFonts w:cs="Arial"/>
              </w:rPr>
            </w:pPr>
            <w:r w:rsidRPr="006031D6">
              <w:rPr>
                <w:rFonts w:cs="Arial"/>
              </w:rPr>
              <w:t>0,02</w:t>
            </w:r>
          </w:p>
        </w:tc>
        <w:tc>
          <w:tcPr>
            <w:tcW w:w="657" w:type="dxa"/>
            <w:tcBorders>
              <w:top w:val="single" w:sz="6" w:space="0" w:color="auto"/>
              <w:left w:val="single" w:sz="6" w:space="0" w:color="auto"/>
              <w:bottom w:val="single" w:sz="6" w:space="0" w:color="auto"/>
              <w:right w:val="single" w:sz="6" w:space="0" w:color="auto"/>
            </w:tcBorders>
          </w:tcPr>
          <w:p w14:paraId="30E4D8C1" w14:textId="77777777" w:rsidR="006031D6" w:rsidRPr="006031D6" w:rsidRDefault="006031D6" w:rsidP="006031D6">
            <w:pPr>
              <w:pStyle w:val="Texttabulky"/>
              <w:spacing w:after="0" w:line="240" w:lineRule="atLeast"/>
              <w:rPr>
                <w:rFonts w:cs="Arial"/>
              </w:rPr>
            </w:pPr>
            <w:r w:rsidRPr="006031D6">
              <w:rPr>
                <w:rFonts w:cs="Arial"/>
              </w:rPr>
              <w:t>0,3</w:t>
            </w:r>
          </w:p>
        </w:tc>
        <w:tc>
          <w:tcPr>
            <w:tcW w:w="610" w:type="dxa"/>
            <w:tcBorders>
              <w:top w:val="single" w:sz="6" w:space="0" w:color="auto"/>
              <w:left w:val="single" w:sz="6" w:space="0" w:color="auto"/>
              <w:bottom w:val="single" w:sz="6" w:space="0" w:color="auto"/>
              <w:right w:val="single" w:sz="6" w:space="0" w:color="auto"/>
            </w:tcBorders>
          </w:tcPr>
          <w:p w14:paraId="565C2620" w14:textId="77777777" w:rsidR="006031D6" w:rsidRPr="006031D6" w:rsidRDefault="006031D6" w:rsidP="006031D6">
            <w:pPr>
              <w:pStyle w:val="Texttabulky"/>
              <w:spacing w:after="0" w:line="240" w:lineRule="atLeast"/>
              <w:rPr>
                <w:rFonts w:cs="Arial"/>
              </w:rPr>
            </w:pPr>
            <w:r w:rsidRPr="006031D6">
              <w:rPr>
                <w:rFonts w:cs="Arial"/>
              </w:rPr>
              <w:t>0,3</w:t>
            </w:r>
          </w:p>
        </w:tc>
        <w:tc>
          <w:tcPr>
            <w:tcW w:w="963" w:type="dxa"/>
            <w:gridSpan w:val="2"/>
            <w:tcBorders>
              <w:top w:val="single" w:sz="6" w:space="0" w:color="auto"/>
              <w:left w:val="single" w:sz="6" w:space="0" w:color="auto"/>
              <w:bottom w:val="single" w:sz="6" w:space="0" w:color="auto"/>
              <w:right w:val="single" w:sz="6" w:space="0" w:color="auto"/>
            </w:tcBorders>
          </w:tcPr>
          <w:p w14:paraId="282F7471" w14:textId="77777777" w:rsidR="006031D6" w:rsidRPr="006031D6" w:rsidRDefault="006031D6" w:rsidP="006031D6">
            <w:pPr>
              <w:pStyle w:val="Texttabulky"/>
              <w:spacing w:after="0" w:line="240" w:lineRule="atLeast"/>
              <w:rPr>
                <w:rFonts w:cs="Arial"/>
              </w:rPr>
            </w:pPr>
            <w:r w:rsidRPr="006031D6">
              <w:rPr>
                <w:rFonts w:cs="Arial"/>
              </w:rPr>
              <w:t>0,3</w:t>
            </w:r>
          </w:p>
        </w:tc>
      </w:tr>
      <w:tr w:rsidR="006031D6" w:rsidRPr="006031D6" w14:paraId="660723EC"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7DB170E2" w14:textId="77777777" w:rsidR="006031D6" w:rsidRPr="006031D6" w:rsidRDefault="006031D6" w:rsidP="006031D6">
            <w:pPr>
              <w:pStyle w:val="Texttabulky"/>
              <w:spacing w:after="0" w:line="240" w:lineRule="atLeast"/>
              <w:rPr>
                <w:rFonts w:cs="Arial"/>
              </w:rPr>
            </w:pPr>
            <w:r w:rsidRPr="006031D6">
              <w:rPr>
                <w:rFonts w:cs="Arial"/>
              </w:rPr>
              <w:t>Lesní Mlýn</w:t>
            </w:r>
          </w:p>
        </w:tc>
        <w:tc>
          <w:tcPr>
            <w:tcW w:w="946" w:type="dxa"/>
            <w:tcBorders>
              <w:top w:val="single" w:sz="6" w:space="0" w:color="auto"/>
              <w:left w:val="nil"/>
              <w:bottom w:val="single" w:sz="6" w:space="0" w:color="auto"/>
              <w:right w:val="single" w:sz="6" w:space="0" w:color="auto"/>
            </w:tcBorders>
          </w:tcPr>
          <w:p w14:paraId="1B448790" w14:textId="77777777" w:rsidR="006031D6" w:rsidRPr="006031D6" w:rsidRDefault="006031D6" w:rsidP="006031D6">
            <w:pPr>
              <w:pStyle w:val="Texttabulky"/>
              <w:spacing w:after="0" w:line="240" w:lineRule="atLeast"/>
              <w:rPr>
                <w:rFonts w:cs="Arial"/>
              </w:rPr>
            </w:pPr>
            <w:r w:rsidRPr="006031D6">
              <w:rPr>
                <w:rFonts w:cs="Arial"/>
              </w:rPr>
              <w:t>3 300</w:t>
            </w:r>
          </w:p>
        </w:tc>
        <w:tc>
          <w:tcPr>
            <w:tcW w:w="672" w:type="dxa"/>
            <w:tcBorders>
              <w:top w:val="single" w:sz="6" w:space="0" w:color="auto"/>
              <w:left w:val="single" w:sz="6" w:space="0" w:color="auto"/>
              <w:bottom w:val="single" w:sz="6" w:space="0" w:color="auto"/>
              <w:right w:val="single" w:sz="6" w:space="0" w:color="auto"/>
            </w:tcBorders>
          </w:tcPr>
          <w:p w14:paraId="2F1163B9" w14:textId="77777777" w:rsidR="006031D6" w:rsidRPr="006031D6" w:rsidRDefault="006031D6" w:rsidP="006031D6">
            <w:pPr>
              <w:pStyle w:val="Texttabulky"/>
              <w:spacing w:after="0" w:line="240" w:lineRule="atLeast"/>
              <w:rPr>
                <w:rFonts w:cs="Arial"/>
              </w:rPr>
            </w:pPr>
            <w:r w:rsidRPr="006031D6">
              <w:rPr>
                <w:rFonts w:cs="Arial"/>
              </w:rPr>
              <w:t>0,1</w:t>
            </w:r>
          </w:p>
        </w:tc>
        <w:tc>
          <w:tcPr>
            <w:tcW w:w="946" w:type="dxa"/>
            <w:tcBorders>
              <w:top w:val="single" w:sz="6" w:space="0" w:color="auto"/>
              <w:left w:val="single" w:sz="6" w:space="0" w:color="auto"/>
              <w:bottom w:val="single" w:sz="6" w:space="0" w:color="auto"/>
              <w:right w:val="single" w:sz="6" w:space="0" w:color="auto"/>
            </w:tcBorders>
          </w:tcPr>
          <w:p w14:paraId="492B83D4" w14:textId="77777777" w:rsidR="006031D6" w:rsidRPr="006031D6" w:rsidRDefault="006031D6" w:rsidP="006031D6">
            <w:pPr>
              <w:pStyle w:val="Texttabulky"/>
              <w:spacing w:after="0" w:line="240" w:lineRule="atLeast"/>
              <w:rPr>
                <w:rFonts w:cs="Arial"/>
              </w:rPr>
            </w:pPr>
            <w:r w:rsidRPr="006031D6">
              <w:rPr>
                <w:rFonts w:cs="Arial"/>
              </w:rPr>
              <w:t>9 781</w:t>
            </w:r>
          </w:p>
        </w:tc>
        <w:tc>
          <w:tcPr>
            <w:tcW w:w="704" w:type="dxa"/>
            <w:tcBorders>
              <w:top w:val="single" w:sz="6" w:space="0" w:color="auto"/>
              <w:left w:val="single" w:sz="6" w:space="0" w:color="auto"/>
              <w:bottom w:val="single" w:sz="6" w:space="0" w:color="auto"/>
              <w:right w:val="single" w:sz="6" w:space="0" w:color="auto"/>
            </w:tcBorders>
          </w:tcPr>
          <w:p w14:paraId="256D2AC4" w14:textId="77777777" w:rsidR="006031D6" w:rsidRPr="006031D6" w:rsidRDefault="006031D6" w:rsidP="006031D6">
            <w:pPr>
              <w:pStyle w:val="Texttabulky"/>
              <w:spacing w:after="0" w:line="240" w:lineRule="atLeast"/>
              <w:rPr>
                <w:rFonts w:cs="Arial"/>
              </w:rPr>
            </w:pPr>
            <w:r w:rsidRPr="006031D6">
              <w:rPr>
                <w:rFonts w:cs="Arial"/>
              </w:rPr>
              <w:t>0,31</w:t>
            </w:r>
          </w:p>
        </w:tc>
        <w:tc>
          <w:tcPr>
            <w:tcW w:w="946" w:type="dxa"/>
            <w:tcBorders>
              <w:top w:val="single" w:sz="6" w:space="0" w:color="auto"/>
              <w:left w:val="single" w:sz="6" w:space="0" w:color="auto"/>
              <w:bottom w:val="single" w:sz="6" w:space="0" w:color="auto"/>
              <w:right w:val="single" w:sz="6" w:space="0" w:color="auto"/>
            </w:tcBorders>
          </w:tcPr>
          <w:p w14:paraId="680E775E" w14:textId="77777777" w:rsidR="006031D6" w:rsidRPr="006031D6" w:rsidRDefault="006031D6" w:rsidP="006031D6">
            <w:pPr>
              <w:pStyle w:val="Texttabulky"/>
              <w:spacing w:after="0" w:line="240" w:lineRule="atLeast"/>
              <w:rPr>
                <w:rFonts w:cs="Arial"/>
              </w:rPr>
            </w:pPr>
            <w:r w:rsidRPr="006031D6">
              <w:rPr>
                <w:rFonts w:cs="Arial"/>
              </w:rPr>
              <w:t>5 058</w:t>
            </w:r>
          </w:p>
        </w:tc>
        <w:tc>
          <w:tcPr>
            <w:tcW w:w="768" w:type="dxa"/>
            <w:tcBorders>
              <w:top w:val="single" w:sz="6" w:space="0" w:color="auto"/>
              <w:left w:val="single" w:sz="6" w:space="0" w:color="auto"/>
              <w:bottom w:val="single" w:sz="6" w:space="0" w:color="auto"/>
              <w:right w:val="single" w:sz="6" w:space="0" w:color="auto"/>
            </w:tcBorders>
          </w:tcPr>
          <w:p w14:paraId="0E064D02" w14:textId="77777777" w:rsidR="006031D6" w:rsidRPr="006031D6" w:rsidRDefault="006031D6" w:rsidP="006031D6">
            <w:pPr>
              <w:pStyle w:val="Texttabulky"/>
              <w:spacing w:after="0" w:line="240" w:lineRule="atLeast"/>
              <w:rPr>
                <w:rFonts w:cs="Arial"/>
              </w:rPr>
            </w:pPr>
            <w:r w:rsidRPr="006031D6">
              <w:rPr>
                <w:rFonts w:cs="Arial"/>
              </w:rPr>
              <w:t>0,16</w:t>
            </w:r>
          </w:p>
        </w:tc>
        <w:tc>
          <w:tcPr>
            <w:tcW w:w="657" w:type="dxa"/>
            <w:tcBorders>
              <w:top w:val="single" w:sz="6" w:space="0" w:color="auto"/>
              <w:left w:val="single" w:sz="6" w:space="0" w:color="auto"/>
              <w:bottom w:val="single" w:sz="6" w:space="0" w:color="auto"/>
              <w:right w:val="single" w:sz="6" w:space="0" w:color="auto"/>
            </w:tcBorders>
          </w:tcPr>
          <w:p w14:paraId="22C502DF" w14:textId="77777777" w:rsidR="006031D6" w:rsidRPr="006031D6" w:rsidRDefault="006031D6" w:rsidP="006031D6">
            <w:pPr>
              <w:pStyle w:val="Texttabulky"/>
              <w:spacing w:after="0" w:line="240" w:lineRule="atLeast"/>
              <w:rPr>
                <w:rFonts w:cs="Arial"/>
              </w:rPr>
            </w:pPr>
            <w:r w:rsidRPr="006031D6">
              <w:rPr>
                <w:rFonts w:cs="Arial"/>
              </w:rPr>
              <w:t>0,7</w:t>
            </w:r>
          </w:p>
        </w:tc>
        <w:tc>
          <w:tcPr>
            <w:tcW w:w="610" w:type="dxa"/>
            <w:tcBorders>
              <w:top w:val="single" w:sz="6" w:space="0" w:color="auto"/>
              <w:left w:val="single" w:sz="6" w:space="0" w:color="auto"/>
              <w:bottom w:val="single" w:sz="6" w:space="0" w:color="auto"/>
              <w:right w:val="single" w:sz="6" w:space="0" w:color="auto"/>
            </w:tcBorders>
          </w:tcPr>
          <w:p w14:paraId="7B0BE0E0" w14:textId="77777777" w:rsidR="006031D6" w:rsidRPr="006031D6" w:rsidRDefault="006031D6" w:rsidP="006031D6">
            <w:pPr>
              <w:pStyle w:val="Texttabulky"/>
              <w:spacing w:after="0" w:line="240" w:lineRule="atLeast"/>
              <w:rPr>
                <w:rFonts w:cs="Arial"/>
              </w:rPr>
            </w:pPr>
            <w:r w:rsidRPr="006031D6">
              <w:rPr>
                <w:rFonts w:cs="Arial"/>
              </w:rPr>
              <w:t>0,8</w:t>
            </w:r>
          </w:p>
        </w:tc>
        <w:tc>
          <w:tcPr>
            <w:tcW w:w="963" w:type="dxa"/>
            <w:gridSpan w:val="2"/>
            <w:tcBorders>
              <w:top w:val="single" w:sz="6" w:space="0" w:color="auto"/>
              <w:left w:val="single" w:sz="6" w:space="0" w:color="auto"/>
              <w:bottom w:val="single" w:sz="6" w:space="0" w:color="auto"/>
              <w:right w:val="single" w:sz="6" w:space="0" w:color="auto"/>
            </w:tcBorders>
          </w:tcPr>
          <w:p w14:paraId="11BEF69A" w14:textId="77777777" w:rsidR="006031D6" w:rsidRPr="006031D6" w:rsidRDefault="006031D6" w:rsidP="006031D6">
            <w:pPr>
              <w:pStyle w:val="Texttabulky"/>
              <w:spacing w:after="0" w:line="240" w:lineRule="atLeast"/>
              <w:rPr>
                <w:rFonts w:cs="Arial"/>
              </w:rPr>
            </w:pPr>
            <w:r w:rsidRPr="006031D6">
              <w:rPr>
                <w:rFonts w:cs="Arial"/>
              </w:rPr>
              <w:t>1</w:t>
            </w:r>
          </w:p>
        </w:tc>
      </w:tr>
      <w:tr w:rsidR="006031D6" w:rsidRPr="006031D6" w14:paraId="1FBC259E"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3AF9F47E" w14:textId="77777777" w:rsidR="006031D6" w:rsidRPr="006031D6" w:rsidRDefault="006031D6" w:rsidP="006031D6">
            <w:pPr>
              <w:pStyle w:val="Texttabulky"/>
              <w:spacing w:after="0" w:line="240" w:lineRule="atLeast"/>
              <w:rPr>
                <w:rFonts w:cs="Arial"/>
              </w:rPr>
            </w:pPr>
            <w:r w:rsidRPr="006031D6">
              <w:rPr>
                <w:rFonts w:cs="Arial"/>
              </w:rPr>
              <w:t>Nad Němcem</w:t>
            </w:r>
          </w:p>
        </w:tc>
        <w:tc>
          <w:tcPr>
            <w:tcW w:w="946" w:type="dxa"/>
            <w:tcBorders>
              <w:top w:val="single" w:sz="6" w:space="0" w:color="auto"/>
              <w:left w:val="nil"/>
              <w:bottom w:val="single" w:sz="6" w:space="0" w:color="auto"/>
              <w:right w:val="single" w:sz="6" w:space="0" w:color="auto"/>
            </w:tcBorders>
          </w:tcPr>
          <w:p w14:paraId="222564DC" w14:textId="77777777" w:rsidR="006031D6" w:rsidRPr="006031D6" w:rsidRDefault="006031D6" w:rsidP="006031D6">
            <w:pPr>
              <w:pStyle w:val="Texttabulky"/>
              <w:spacing w:after="0" w:line="240" w:lineRule="atLeast"/>
              <w:rPr>
                <w:rFonts w:cs="Arial"/>
              </w:rPr>
            </w:pPr>
            <w:r w:rsidRPr="006031D6">
              <w:rPr>
                <w:rFonts w:cs="Arial"/>
              </w:rPr>
              <w:t>12 900</w:t>
            </w:r>
          </w:p>
        </w:tc>
        <w:tc>
          <w:tcPr>
            <w:tcW w:w="672" w:type="dxa"/>
            <w:tcBorders>
              <w:top w:val="single" w:sz="6" w:space="0" w:color="auto"/>
              <w:left w:val="single" w:sz="6" w:space="0" w:color="auto"/>
              <w:bottom w:val="single" w:sz="6" w:space="0" w:color="auto"/>
              <w:right w:val="single" w:sz="6" w:space="0" w:color="auto"/>
            </w:tcBorders>
          </w:tcPr>
          <w:p w14:paraId="0F9B12A8" w14:textId="77777777" w:rsidR="006031D6" w:rsidRPr="006031D6" w:rsidRDefault="006031D6" w:rsidP="006031D6">
            <w:pPr>
              <w:pStyle w:val="Texttabulky"/>
              <w:spacing w:after="0" w:line="240" w:lineRule="atLeast"/>
              <w:rPr>
                <w:rFonts w:cs="Arial"/>
              </w:rPr>
            </w:pPr>
            <w:r w:rsidRPr="006031D6">
              <w:rPr>
                <w:rFonts w:cs="Arial"/>
              </w:rPr>
              <w:t>0,41</w:t>
            </w:r>
          </w:p>
        </w:tc>
        <w:tc>
          <w:tcPr>
            <w:tcW w:w="946" w:type="dxa"/>
            <w:tcBorders>
              <w:top w:val="single" w:sz="6" w:space="0" w:color="auto"/>
              <w:left w:val="single" w:sz="6" w:space="0" w:color="auto"/>
              <w:bottom w:val="single" w:sz="6" w:space="0" w:color="auto"/>
              <w:right w:val="single" w:sz="6" w:space="0" w:color="auto"/>
            </w:tcBorders>
          </w:tcPr>
          <w:p w14:paraId="4B277C7D" w14:textId="77777777" w:rsidR="006031D6" w:rsidRPr="006031D6" w:rsidRDefault="006031D6" w:rsidP="006031D6">
            <w:pPr>
              <w:pStyle w:val="Texttabulky"/>
              <w:spacing w:after="0" w:line="240" w:lineRule="atLeast"/>
              <w:rPr>
                <w:rFonts w:cs="Arial"/>
              </w:rPr>
            </w:pPr>
            <w:r w:rsidRPr="006031D6">
              <w:rPr>
                <w:rFonts w:cs="Arial"/>
              </w:rPr>
              <w:t>36 420</w:t>
            </w:r>
          </w:p>
        </w:tc>
        <w:tc>
          <w:tcPr>
            <w:tcW w:w="704" w:type="dxa"/>
            <w:tcBorders>
              <w:top w:val="single" w:sz="6" w:space="0" w:color="auto"/>
              <w:left w:val="single" w:sz="6" w:space="0" w:color="auto"/>
              <w:bottom w:val="single" w:sz="6" w:space="0" w:color="auto"/>
              <w:right w:val="single" w:sz="6" w:space="0" w:color="auto"/>
            </w:tcBorders>
          </w:tcPr>
          <w:p w14:paraId="44DFAFDC" w14:textId="77777777" w:rsidR="006031D6" w:rsidRPr="006031D6" w:rsidRDefault="006031D6" w:rsidP="006031D6">
            <w:pPr>
              <w:pStyle w:val="Texttabulky"/>
              <w:spacing w:after="0" w:line="240" w:lineRule="atLeast"/>
              <w:rPr>
                <w:rFonts w:cs="Arial"/>
              </w:rPr>
            </w:pPr>
            <w:r w:rsidRPr="006031D6">
              <w:rPr>
                <w:rFonts w:cs="Arial"/>
              </w:rPr>
              <w:t>1,15</w:t>
            </w:r>
          </w:p>
        </w:tc>
        <w:tc>
          <w:tcPr>
            <w:tcW w:w="946" w:type="dxa"/>
            <w:tcBorders>
              <w:top w:val="single" w:sz="6" w:space="0" w:color="auto"/>
              <w:left w:val="single" w:sz="6" w:space="0" w:color="auto"/>
              <w:bottom w:val="single" w:sz="6" w:space="0" w:color="auto"/>
              <w:right w:val="single" w:sz="6" w:space="0" w:color="auto"/>
            </w:tcBorders>
          </w:tcPr>
          <w:p w14:paraId="546A6CB4" w14:textId="77777777" w:rsidR="006031D6" w:rsidRPr="006031D6" w:rsidRDefault="006031D6" w:rsidP="006031D6">
            <w:pPr>
              <w:pStyle w:val="Texttabulky"/>
              <w:spacing w:after="0" w:line="240" w:lineRule="atLeast"/>
              <w:rPr>
                <w:rFonts w:cs="Arial"/>
              </w:rPr>
            </w:pPr>
            <w:r w:rsidRPr="006031D6">
              <w:rPr>
                <w:rFonts w:cs="Arial"/>
              </w:rPr>
              <w:t>27 862</w:t>
            </w:r>
          </w:p>
        </w:tc>
        <w:tc>
          <w:tcPr>
            <w:tcW w:w="768" w:type="dxa"/>
            <w:tcBorders>
              <w:top w:val="single" w:sz="6" w:space="0" w:color="auto"/>
              <w:left w:val="single" w:sz="6" w:space="0" w:color="auto"/>
              <w:bottom w:val="single" w:sz="6" w:space="0" w:color="auto"/>
              <w:right w:val="single" w:sz="6" w:space="0" w:color="auto"/>
            </w:tcBorders>
          </w:tcPr>
          <w:p w14:paraId="11D910CE" w14:textId="77777777" w:rsidR="006031D6" w:rsidRPr="006031D6" w:rsidRDefault="006031D6" w:rsidP="006031D6">
            <w:pPr>
              <w:pStyle w:val="Texttabulky"/>
              <w:spacing w:after="0" w:line="240" w:lineRule="atLeast"/>
              <w:rPr>
                <w:rFonts w:cs="Arial"/>
              </w:rPr>
            </w:pPr>
            <w:r w:rsidRPr="006031D6">
              <w:rPr>
                <w:rFonts w:cs="Arial"/>
              </w:rPr>
              <w:t>0,88</w:t>
            </w:r>
          </w:p>
        </w:tc>
        <w:tc>
          <w:tcPr>
            <w:tcW w:w="657" w:type="dxa"/>
            <w:tcBorders>
              <w:top w:val="single" w:sz="6" w:space="0" w:color="auto"/>
              <w:left w:val="single" w:sz="6" w:space="0" w:color="auto"/>
              <w:bottom w:val="single" w:sz="6" w:space="0" w:color="auto"/>
              <w:right w:val="single" w:sz="6" w:space="0" w:color="auto"/>
            </w:tcBorders>
          </w:tcPr>
          <w:p w14:paraId="4F667964" w14:textId="77777777" w:rsidR="006031D6" w:rsidRPr="006031D6" w:rsidRDefault="006031D6" w:rsidP="006031D6">
            <w:pPr>
              <w:pStyle w:val="Texttabulky"/>
              <w:spacing w:after="0" w:line="240" w:lineRule="atLeast"/>
              <w:rPr>
                <w:rFonts w:cs="Arial"/>
              </w:rPr>
            </w:pPr>
            <w:r w:rsidRPr="006031D6">
              <w:rPr>
                <w:rFonts w:cs="Arial"/>
              </w:rPr>
              <w:t>0,7</w:t>
            </w:r>
          </w:p>
        </w:tc>
        <w:tc>
          <w:tcPr>
            <w:tcW w:w="610" w:type="dxa"/>
            <w:tcBorders>
              <w:top w:val="single" w:sz="6" w:space="0" w:color="auto"/>
              <w:left w:val="single" w:sz="6" w:space="0" w:color="auto"/>
              <w:bottom w:val="single" w:sz="6" w:space="0" w:color="auto"/>
              <w:right w:val="single" w:sz="6" w:space="0" w:color="auto"/>
            </w:tcBorders>
          </w:tcPr>
          <w:p w14:paraId="294BC0E7" w14:textId="77777777" w:rsidR="006031D6" w:rsidRPr="006031D6" w:rsidRDefault="006031D6" w:rsidP="006031D6">
            <w:pPr>
              <w:pStyle w:val="Texttabulky"/>
              <w:spacing w:after="0" w:line="240" w:lineRule="atLeast"/>
              <w:rPr>
                <w:rFonts w:cs="Arial"/>
              </w:rPr>
            </w:pPr>
            <w:r w:rsidRPr="006031D6">
              <w:rPr>
                <w:rFonts w:cs="Arial"/>
              </w:rPr>
              <w:t>1</w:t>
            </w:r>
          </w:p>
        </w:tc>
        <w:tc>
          <w:tcPr>
            <w:tcW w:w="963" w:type="dxa"/>
            <w:gridSpan w:val="2"/>
            <w:tcBorders>
              <w:top w:val="single" w:sz="6" w:space="0" w:color="auto"/>
              <w:left w:val="single" w:sz="6" w:space="0" w:color="auto"/>
              <w:bottom w:val="single" w:sz="6" w:space="0" w:color="auto"/>
              <w:right w:val="single" w:sz="6" w:space="0" w:color="auto"/>
            </w:tcBorders>
          </w:tcPr>
          <w:p w14:paraId="5A343402" w14:textId="77777777" w:rsidR="006031D6" w:rsidRPr="006031D6" w:rsidRDefault="006031D6" w:rsidP="006031D6">
            <w:pPr>
              <w:pStyle w:val="Texttabulky"/>
              <w:spacing w:after="0" w:line="240" w:lineRule="atLeast"/>
              <w:rPr>
                <w:rFonts w:cs="Arial"/>
              </w:rPr>
            </w:pPr>
            <w:r w:rsidRPr="006031D6">
              <w:rPr>
                <w:rFonts w:cs="Arial"/>
              </w:rPr>
              <w:t>1,7</w:t>
            </w:r>
          </w:p>
        </w:tc>
      </w:tr>
      <w:tr w:rsidR="006031D6" w:rsidRPr="006031D6" w14:paraId="6A4DA794" w14:textId="77777777" w:rsidTr="002D2D45">
        <w:trPr>
          <w:trHeight w:val="251"/>
        </w:trPr>
        <w:tc>
          <w:tcPr>
            <w:tcW w:w="1789" w:type="dxa"/>
            <w:tcBorders>
              <w:top w:val="single" w:sz="6" w:space="0" w:color="auto"/>
              <w:left w:val="single" w:sz="6" w:space="0" w:color="auto"/>
              <w:bottom w:val="single" w:sz="6" w:space="0" w:color="auto"/>
              <w:right w:val="single" w:sz="6" w:space="0" w:color="auto"/>
            </w:tcBorders>
          </w:tcPr>
          <w:p w14:paraId="0FFBDFAA" w14:textId="77777777" w:rsidR="006031D6" w:rsidRPr="006031D6" w:rsidRDefault="006031D6" w:rsidP="006031D6">
            <w:pPr>
              <w:pStyle w:val="Texttabulky"/>
              <w:spacing w:after="0" w:line="240" w:lineRule="atLeast"/>
              <w:rPr>
                <w:rFonts w:cs="Arial"/>
              </w:rPr>
            </w:pPr>
            <w:r w:rsidRPr="006031D6">
              <w:rPr>
                <w:rFonts w:cs="Arial"/>
              </w:rPr>
              <w:t>Nad hostincem</w:t>
            </w:r>
          </w:p>
        </w:tc>
        <w:tc>
          <w:tcPr>
            <w:tcW w:w="946" w:type="dxa"/>
            <w:tcBorders>
              <w:top w:val="single" w:sz="6" w:space="0" w:color="auto"/>
              <w:left w:val="nil"/>
              <w:bottom w:val="single" w:sz="6" w:space="0" w:color="auto"/>
              <w:right w:val="single" w:sz="6" w:space="0" w:color="auto"/>
            </w:tcBorders>
          </w:tcPr>
          <w:p w14:paraId="4CC03840" w14:textId="77777777" w:rsidR="006031D6" w:rsidRPr="006031D6" w:rsidRDefault="006031D6" w:rsidP="006031D6">
            <w:pPr>
              <w:pStyle w:val="Texttabulky"/>
              <w:spacing w:after="0" w:line="240" w:lineRule="atLeast"/>
              <w:rPr>
                <w:rFonts w:cs="Arial"/>
              </w:rPr>
            </w:pPr>
            <w:r w:rsidRPr="006031D6">
              <w:rPr>
                <w:rFonts w:cs="Arial"/>
              </w:rPr>
              <w:t>4 300</w:t>
            </w:r>
          </w:p>
        </w:tc>
        <w:tc>
          <w:tcPr>
            <w:tcW w:w="672" w:type="dxa"/>
            <w:tcBorders>
              <w:top w:val="single" w:sz="6" w:space="0" w:color="auto"/>
              <w:left w:val="single" w:sz="6" w:space="0" w:color="auto"/>
              <w:bottom w:val="single" w:sz="6" w:space="0" w:color="auto"/>
              <w:right w:val="single" w:sz="6" w:space="0" w:color="auto"/>
            </w:tcBorders>
          </w:tcPr>
          <w:p w14:paraId="053AD1A2" w14:textId="77777777" w:rsidR="006031D6" w:rsidRPr="006031D6" w:rsidRDefault="006031D6" w:rsidP="006031D6">
            <w:pPr>
              <w:pStyle w:val="Texttabulky"/>
              <w:spacing w:after="0" w:line="240" w:lineRule="atLeast"/>
              <w:rPr>
                <w:rFonts w:cs="Arial"/>
              </w:rPr>
            </w:pPr>
            <w:r w:rsidRPr="006031D6">
              <w:rPr>
                <w:rFonts w:cs="Arial"/>
              </w:rPr>
              <w:t>0,14</w:t>
            </w:r>
          </w:p>
        </w:tc>
        <w:tc>
          <w:tcPr>
            <w:tcW w:w="946" w:type="dxa"/>
            <w:tcBorders>
              <w:top w:val="single" w:sz="6" w:space="0" w:color="auto"/>
              <w:left w:val="single" w:sz="6" w:space="0" w:color="auto"/>
              <w:bottom w:val="single" w:sz="6" w:space="0" w:color="auto"/>
              <w:right w:val="single" w:sz="6" w:space="0" w:color="auto"/>
            </w:tcBorders>
          </w:tcPr>
          <w:p w14:paraId="3C88FA49" w14:textId="77777777" w:rsidR="006031D6" w:rsidRPr="006031D6" w:rsidRDefault="006031D6" w:rsidP="006031D6">
            <w:pPr>
              <w:pStyle w:val="Texttabulky"/>
              <w:spacing w:after="0" w:line="240" w:lineRule="atLeast"/>
              <w:rPr>
                <w:rFonts w:cs="Arial"/>
              </w:rPr>
            </w:pPr>
            <w:r w:rsidRPr="006031D6">
              <w:rPr>
                <w:rFonts w:cs="Arial"/>
              </w:rPr>
              <w:t>4 105</w:t>
            </w:r>
          </w:p>
        </w:tc>
        <w:tc>
          <w:tcPr>
            <w:tcW w:w="704" w:type="dxa"/>
            <w:tcBorders>
              <w:top w:val="single" w:sz="6" w:space="0" w:color="auto"/>
              <w:left w:val="single" w:sz="6" w:space="0" w:color="auto"/>
              <w:bottom w:val="single" w:sz="6" w:space="0" w:color="auto"/>
              <w:right w:val="single" w:sz="6" w:space="0" w:color="auto"/>
            </w:tcBorders>
          </w:tcPr>
          <w:p w14:paraId="6DF69277" w14:textId="77777777" w:rsidR="006031D6" w:rsidRPr="006031D6" w:rsidRDefault="006031D6" w:rsidP="006031D6">
            <w:pPr>
              <w:pStyle w:val="Texttabulky"/>
              <w:spacing w:after="0" w:line="240" w:lineRule="atLeast"/>
              <w:rPr>
                <w:rFonts w:cs="Arial"/>
              </w:rPr>
            </w:pPr>
            <w:r w:rsidRPr="006031D6">
              <w:rPr>
                <w:rFonts w:cs="Arial"/>
              </w:rPr>
              <w:t>0,13</w:t>
            </w:r>
          </w:p>
        </w:tc>
        <w:tc>
          <w:tcPr>
            <w:tcW w:w="946" w:type="dxa"/>
            <w:tcBorders>
              <w:top w:val="single" w:sz="6" w:space="0" w:color="auto"/>
              <w:left w:val="single" w:sz="6" w:space="0" w:color="auto"/>
              <w:bottom w:val="single" w:sz="6" w:space="0" w:color="auto"/>
              <w:right w:val="single" w:sz="6" w:space="0" w:color="auto"/>
            </w:tcBorders>
          </w:tcPr>
          <w:p w14:paraId="275DD82B" w14:textId="77777777" w:rsidR="006031D6" w:rsidRPr="006031D6" w:rsidRDefault="006031D6" w:rsidP="006031D6">
            <w:pPr>
              <w:pStyle w:val="Texttabulky"/>
              <w:spacing w:after="0" w:line="240" w:lineRule="atLeast"/>
              <w:rPr>
                <w:rFonts w:cs="Arial"/>
              </w:rPr>
            </w:pPr>
            <w:r w:rsidRPr="006031D6">
              <w:rPr>
                <w:rFonts w:cs="Arial"/>
              </w:rPr>
              <w:t>4 315</w:t>
            </w:r>
          </w:p>
        </w:tc>
        <w:tc>
          <w:tcPr>
            <w:tcW w:w="768" w:type="dxa"/>
            <w:tcBorders>
              <w:top w:val="single" w:sz="6" w:space="0" w:color="auto"/>
              <w:left w:val="single" w:sz="6" w:space="0" w:color="auto"/>
              <w:bottom w:val="single" w:sz="6" w:space="0" w:color="auto"/>
              <w:right w:val="single" w:sz="6" w:space="0" w:color="auto"/>
            </w:tcBorders>
          </w:tcPr>
          <w:p w14:paraId="563AA3B1" w14:textId="77777777" w:rsidR="006031D6" w:rsidRPr="006031D6" w:rsidRDefault="006031D6" w:rsidP="006031D6">
            <w:pPr>
              <w:pStyle w:val="Texttabulky"/>
              <w:spacing w:after="0" w:line="240" w:lineRule="atLeast"/>
              <w:rPr>
                <w:rFonts w:cs="Arial"/>
              </w:rPr>
            </w:pPr>
            <w:r w:rsidRPr="006031D6">
              <w:rPr>
                <w:rFonts w:cs="Arial"/>
              </w:rPr>
              <w:t>0,14</w:t>
            </w:r>
          </w:p>
        </w:tc>
        <w:tc>
          <w:tcPr>
            <w:tcW w:w="657" w:type="dxa"/>
            <w:tcBorders>
              <w:top w:val="single" w:sz="6" w:space="0" w:color="auto"/>
              <w:left w:val="single" w:sz="6" w:space="0" w:color="auto"/>
              <w:bottom w:val="single" w:sz="6" w:space="0" w:color="auto"/>
              <w:right w:val="single" w:sz="6" w:space="0" w:color="auto"/>
            </w:tcBorders>
          </w:tcPr>
          <w:p w14:paraId="22A68E60" w14:textId="77777777" w:rsidR="006031D6" w:rsidRPr="006031D6" w:rsidRDefault="006031D6" w:rsidP="006031D6">
            <w:pPr>
              <w:pStyle w:val="Texttabulky"/>
              <w:spacing w:after="0" w:line="240" w:lineRule="atLeast"/>
              <w:rPr>
                <w:rFonts w:cs="Arial"/>
              </w:rPr>
            </w:pPr>
            <w:r w:rsidRPr="006031D6">
              <w:rPr>
                <w:rFonts w:cs="Arial"/>
              </w:rPr>
              <w:t>0,2</w:t>
            </w:r>
          </w:p>
        </w:tc>
        <w:tc>
          <w:tcPr>
            <w:tcW w:w="610" w:type="dxa"/>
            <w:tcBorders>
              <w:top w:val="single" w:sz="6" w:space="0" w:color="auto"/>
              <w:left w:val="single" w:sz="6" w:space="0" w:color="auto"/>
              <w:bottom w:val="single" w:sz="6" w:space="0" w:color="auto"/>
              <w:right w:val="single" w:sz="6" w:space="0" w:color="auto"/>
            </w:tcBorders>
          </w:tcPr>
          <w:p w14:paraId="6AB0C0E1" w14:textId="77777777" w:rsidR="006031D6" w:rsidRPr="006031D6" w:rsidRDefault="006031D6" w:rsidP="006031D6">
            <w:pPr>
              <w:pStyle w:val="Texttabulky"/>
              <w:spacing w:after="0" w:line="240" w:lineRule="atLeast"/>
              <w:rPr>
                <w:rFonts w:cs="Arial"/>
              </w:rPr>
            </w:pPr>
            <w:r w:rsidRPr="006031D6">
              <w:rPr>
                <w:rFonts w:cs="Arial"/>
              </w:rPr>
              <w:t>0,7</w:t>
            </w:r>
          </w:p>
        </w:tc>
        <w:tc>
          <w:tcPr>
            <w:tcW w:w="963" w:type="dxa"/>
            <w:gridSpan w:val="2"/>
            <w:tcBorders>
              <w:top w:val="single" w:sz="6" w:space="0" w:color="auto"/>
              <w:left w:val="single" w:sz="6" w:space="0" w:color="auto"/>
              <w:bottom w:val="single" w:sz="6" w:space="0" w:color="auto"/>
              <w:right w:val="single" w:sz="6" w:space="0" w:color="auto"/>
            </w:tcBorders>
          </w:tcPr>
          <w:p w14:paraId="19E466EF" w14:textId="77777777" w:rsidR="006031D6" w:rsidRPr="006031D6" w:rsidRDefault="006031D6" w:rsidP="006031D6">
            <w:pPr>
              <w:pStyle w:val="Texttabulky"/>
              <w:spacing w:after="0" w:line="240" w:lineRule="atLeast"/>
              <w:rPr>
                <w:rFonts w:cs="Arial"/>
              </w:rPr>
            </w:pPr>
            <w:r w:rsidRPr="006031D6">
              <w:rPr>
                <w:rFonts w:cs="Arial"/>
              </w:rPr>
              <w:t>2</w:t>
            </w:r>
          </w:p>
        </w:tc>
      </w:tr>
      <w:tr w:rsidR="006031D6" w:rsidRPr="006031D6" w14:paraId="32C4D554"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4022C0EB" w14:textId="77777777" w:rsidR="006031D6" w:rsidRPr="006031D6" w:rsidRDefault="006031D6" w:rsidP="006031D6">
            <w:pPr>
              <w:pStyle w:val="Texttabulky"/>
              <w:spacing w:after="0" w:line="240" w:lineRule="atLeast"/>
              <w:rPr>
                <w:rFonts w:cs="Arial"/>
              </w:rPr>
            </w:pPr>
            <w:r w:rsidRPr="006031D6">
              <w:rPr>
                <w:rFonts w:cs="Arial"/>
              </w:rPr>
              <w:t>Rybníček</w:t>
            </w:r>
          </w:p>
        </w:tc>
        <w:tc>
          <w:tcPr>
            <w:tcW w:w="946" w:type="dxa"/>
            <w:tcBorders>
              <w:top w:val="single" w:sz="6" w:space="0" w:color="auto"/>
              <w:left w:val="nil"/>
              <w:bottom w:val="single" w:sz="6" w:space="0" w:color="auto"/>
              <w:right w:val="single" w:sz="6" w:space="0" w:color="auto"/>
            </w:tcBorders>
          </w:tcPr>
          <w:p w14:paraId="104FBD48" w14:textId="77777777" w:rsidR="006031D6" w:rsidRPr="006031D6" w:rsidRDefault="006031D6" w:rsidP="006031D6">
            <w:pPr>
              <w:pStyle w:val="Texttabulky"/>
              <w:spacing w:after="0" w:line="240" w:lineRule="atLeast"/>
              <w:rPr>
                <w:rFonts w:cs="Arial"/>
              </w:rPr>
            </w:pPr>
            <w:r w:rsidRPr="006031D6">
              <w:rPr>
                <w:rFonts w:cs="Arial"/>
              </w:rPr>
              <w:t>4 400</w:t>
            </w:r>
          </w:p>
        </w:tc>
        <w:tc>
          <w:tcPr>
            <w:tcW w:w="672" w:type="dxa"/>
            <w:tcBorders>
              <w:top w:val="single" w:sz="6" w:space="0" w:color="auto"/>
              <w:left w:val="single" w:sz="6" w:space="0" w:color="auto"/>
              <w:bottom w:val="single" w:sz="6" w:space="0" w:color="auto"/>
              <w:right w:val="single" w:sz="6" w:space="0" w:color="auto"/>
            </w:tcBorders>
          </w:tcPr>
          <w:p w14:paraId="5E1D38B0" w14:textId="77777777" w:rsidR="006031D6" w:rsidRPr="006031D6" w:rsidRDefault="006031D6" w:rsidP="006031D6">
            <w:pPr>
              <w:pStyle w:val="Texttabulky"/>
              <w:spacing w:after="0" w:line="240" w:lineRule="atLeast"/>
              <w:rPr>
                <w:rFonts w:cs="Arial"/>
              </w:rPr>
            </w:pPr>
            <w:r w:rsidRPr="006031D6">
              <w:rPr>
                <w:rFonts w:cs="Arial"/>
              </w:rPr>
              <w:t>0,14</w:t>
            </w:r>
          </w:p>
        </w:tc>
        <w:tc>
          <w:tcPr>
            <w:tcW w:w="946" w:type="dxa"/>
            <w:tcBorders>
              <w:top w:val="single" w:sz="6" w:space="0" w:color="auto"/>
              <w:left w:val="single" w:sz="6" w:space="0" w:color="auto"/>
              <w:bottom w:val="single" w:sz="6" w:space="0" w:color="auto"/>
              <w:right w:val="single" w:sz="6" w:space="0" w:color="auto"/>
            </w:tcBorders>
          </w:tcPr>
          <w:p w14:paraId="2214A75C" w14:textId="77777777" w:rsidR="006031D6" w:rsidRPr="006031D6" w:rsidRDefault="006031D6" w:rsidP="006031D6">
            <w:pPr>
              <w:pStyle w:val="Texttabulky"/>
              <w:spacing w:after="0" w:line="240" w:lineRule="atLeast"/>
              <w:rPr>
                <w:rFonts w:cs="Arial"/>
              </w:rPr>
            </w:pPr>
            <w:r w:rsidRPr="006031D6">
              <w:rPr>
                <w:rFonts w:cs="Arial"/>
              </w:rPr>
              <w:t>8 755</w:t>
            </w:r>
          </w:p>
        </w:tc>
        <w:tc>
          <w:tcPr>
            <w:tcW w:w="704" w:type="dxa"/>
            <w:tcBorders>
              <w:top w:val="single" w:sz="6" w:space="0" w:color="auto"/>
              <w:left w:val="single" w:sz="6" w:space="0" w:color="auto"/>
              <w:bottom w:val="single" w:sz="6" w:space="0" w:color="auto"/>
              <w:right w:val="single" w:sz="6" w:space="0" w:color="auto"/>
            </w:tcBorders>
          </w:tcPr>
          <w:p w14:paraId="0D652BB9" w14:textId="77777777" w:rsidR="006031D6" w:rsidRPr="006031D6" w:rsidRDefault="006031D6" w:rsidP="006031D6">
            <w:pPr>
              <w:pStyle w:val="Texttabulky"/>
              <w:spacing w:after="0" w:line="240" w:lineRule="atLeast"/>
              <w:rPr>
                <w:rFonts w:cs="Arial"/>
              </w:rPr>
            </w:pPr>
            <w:r w:rsidRPr="006031D6">
              <w:rPr>
                <w:rFonts w:cs="Arial"/>
              </w:rPr>
              <w:t>0,28</w:t>
            </w:r>
          </w:p>
        </w:tc>
        <w:tc>
          <w:tcPr>
            <w:tcW w:w="946" w:type="dxa"/>
            <w:tcBorders>
              <w:top w:val="single" w:sz="6" w:space="0" w:color="auto"/>
              <w:left w:val="single" w:sz="6" w:space="0" w:color="auto"/>
              <w:bottom w:val="single" w:sz="6" w:space="0" w:color="auto"/>
              <w:right w:val="single" w:sz="6" w:space="0" w:color="auto"/>
            </w:tcBorders>
          </w:tcPr>
          <w:p w14:paraId="7D4B0DA1" w14:textId="77777777" w:rsidR="006031D6" w:rsidRPr="006031D6" w:rsidRDefault="006031D6" w:rsidP="006031D6">
            <w:pPr>
              <w:pStyle w:val="Texttabulky"/>
              <w:spacing w:after="0" w:line="240" w:lineRule="atLeast"/>
              <w:rPr>
                <w:rFonts w:cs="Arial"/>
              </w:rPr>
            </w:pPr>
            <w:r w:rsidRPr="006031D6">
              <w:rPr>
                <w:rFonts w:cs="Arial"/>
              </w:rPr>
              <w:t>7 115</w:t>
            </w:r>
          </w:p>
        </w:tc>
        <w:tc>
          <w:tcPr>
            <w:tcW w:w="768" w:type="dxa"/>
            <w:tcBorders>
              <w:top w:val="single" w:sz="6" w:space="0" w:color="auto"/>
              <w:left w:val="single" w:sz="6" w:space="0" w:color="auto"/>
              <w:bottom w:val="single" w:sz="6" w:space="0" w:color="auto"/>
              <w:right w:val="single" w:sz="6" w:space="0" w:color="auto"/>
            </w:tcBorders>
          </w:tcPr>
          <w:p w14:paraId="4356C6E2" w14:textId="77777777" w:rsidR="006031D6" w:rsidRPr="006031D6" w:rsidRDefault="006031D6" w:rsidP="006031D6">
            <w:pPr>
              <w:pStyle w:val="Texttabulky"/>
              <w:spacing w:after="0" w:line="240" w:lineRule="atLeast"/>
              <w:rPr>
                <w:rFonts w:cs="Arial"/>
              </w:rPr>
            </w:pPr>
            <w:r w:rsidRPr="006031D6">
              <w:rPr>
                <w:rFonts w:cs="Arial"/>
              </w:rPr>
              <w:t>0,23</w:t>
            </w:r>
          </w:p>
        </w:tc>
        <w:tc>
          <w:tcPr>
            <w:tcW w:w="657" w:type="dxa"/>
            <w:tcBorders>
              <w:top w:val="single" w:sz="6" w:space="0" w:color="auto"/>
              <w:left w:val="single" w:sz="6" w:space="0" w:color="auto"/>
              <w:bottom w:val="single" w:sz="6" w:space="0" w:color="auto"/>
              <w:right w:val="single" w:sz="6" w:space="0" w:color="auto"/>
            </w:tcBorders>
          </w:tcPr>
          <w:p w14:paraId="7318AD6E" w14:textId="77777777" w:rsidR="006031D6" w:rsidRPr="006031D6" w:rsidRDefault="006031D6" w:rsidP="006031D6">
            <w:pPr>
              <w:pStyle w:val="Texttabulky"/>
              <w:spacing w:after="0" w:line="240" w:lineRule="atLeast"/>
              <w:rPr>
                <w:rFonts w:cs="Arial"/>
              </w:rPr>
            </w:pPr>
            <w:r w:rsidRPr="006031D6">
              <w:rPr>
                <w:rFonts w:cs="Arial"/>
              </w:rPr>
              <w:t>0,3</w:t>
            </w:r>
          </w:p>
        </w:tc>
        <w:tc>
          <w:tcPr>
            <w:tcW w:w="610" w:type="dxa"/>
            <w:tcBorders>
              <w:top w:val="single" w:sz="6" w:space="0" w:color="auto"/>
              <w:left w:val="single" w:sz="6" w:space="0" w:color="auto"/>
              <w:bottom w:val="single" w:sz="6" w:space="0" w:color="auto"/>
              <w:right w:val="single" w:sz="6" w:space="0" w:color="auto"/>
            </w:tcBorders>
          </w:tcPr>
          <w:p w14:paraId="14C2534B" w14:textId="77777777" w:rsidR="006031D6" w:rsidRPr="006031D6" w:rsidRDefault="006031D6" w:rsidP="006031D6">
            <w:pPr>
              <w:pStyle w:val="Texttabulky"/>
              <w:spacing w:after="0" w:line="240" w:lineRule="atLeast"/>
              <w:rPr>
                <w:rFonts w:cs="Arial"/>
              </w:rPr>
            </w:pPr>
            <w:r w:rsidRPr="006031D6">
              <w:rPr>
                <w:rFonts w:cs="Arial"/>
              </w:rPr>
              <w:t>0,4</w:t>
            </w:r>
          </w:p>
        </w:tc>
        <w:tc>
          <w:tcPr>
            <w:tcW w:w="963" w:type="dxa"/>
            <w:gridSpan w:val="2"/>
            <w:tcBorders>
              <w:top w:val="single" w:sz="6" w:space="0" w:color="auto"/>
              <w:left w:val="single" w:sz="6" w:space="0" w:color="auto"/>
              <w:bottom w:val="single" w:sz="6" w:space="0" w:color="auto"/>
              <w:right w:val="single" w:sz="6" w:space="0" w:color="auto"/>
            </w:tcBorders>
          </w:tcPr>
          <w:p w14:paraId="7E02214F" w14:textId="77777777" w:rsidR="006031D6" w:rsidRPr="006031D6" w:rsidRDefault="006031D6" w:rsidP="006031D6">
            <w:pPr>
              <w:pStyle w:val="Texttabulky"/>
              <w:spacing w:after="0" w:line="240" w:lineRule="atLeast"/>
              <w:rPr>
                <w:rFonts w:cs="Arial"/>
              </w:rPr>
            </w:pPr>
            <w:r w:rsidRPr="006031D6">
              <w:rPr>
                <w:rFonts w:cs="Arial"/>
              </w:rPr>
              <w:t>0,6</w:t>
            </w:r>
          </w:p>
        </w:tc>
      </w:tr>
      <w:tr w:rsidR="006031D6" w:rsidRPr="006031D6" w14:paraId="3B2BF3FB"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4438B448" w14:textId="77777777" w:rsidR="006031D6" w:rsidRPr="006031D6" w:rsidRDefault="006031D6" w:rsidP="006031D6">
            <w:pPr>
              <w:pStyle w:val="Texttabulky"/>
              <w:spacing w:after="0" w:line="240" w:lineRule="atLeast"/>
              <w:rPr>
                <w:rFonts w:cs="Arial"/>
              </w:rPr>
            </w:pPr>
            <w:r w:rsidRPr="006031D6">
              <w:rPr>
                <w:rFonts w:cs="Arial"/>
              </w:rPr>
              <w:t>Pod Chlumem</w:t>
            </w:r>
          </w:p>
        </w:tc>
        <w:tc>
          <w:tcPr>
            <w:tcW w:w="946" w:type="dxa"/>
            <w:tcBorders>
              <w:top w:val="single" w:sz="6" w:space="0" w:color="auto"/>
              <w:left w:val="nil"/>
              <w:bottom w:val="single" w:sz="6" w:space="0" w:color="auto"/>
              <w:right w:val="single" w:sz="6" w:space="0" w:color="auto"/>
            </w:tcBorders>
          </w:tcPr>
          <w:p w14:paraId="4E6913E9" w14:textId="77777777" w:rsidR="006031D6" w:rsidRPr="006031D6" w:rsidRDefault="006031D6" w:rsidP="006031D6">
            <w:pPr>
              <w:pStyle w:val="Texttabulky"/>
              <w:spacing w:after="0" w:line="240" w:lineRule="atLeast"/>
              <w:rPr>
                <w:rFonts w:cs="Arial"/>
              </w:rPr>
            </w:pPr>
            <w:r w:rsidRPr="006031D6">
              <w:rPr>
                <w:rFonts w:cs="Arial"/>
              </w:rPr>
              <w:t>3 000</w:t>
            </w:r>
          </w:p>
        </w:tc>
        <w:tc>
          <w:tcPr>
            <w:tcW w:w="672" w:type="dxa"/>
            <w:tcBorders>
              <w:top w:val="single" w:sz="6" w:space="0" w:color="auto"/>
              <w:left w:val="single" w:sz="6" w:space="0" w:color="auto"/>
              <w:bottom w:val="single" w:sz="6" w:space="0" w:color="auto"/>
              <w:right w:val="single" w:sz="6" w:space="0" w:color="auto"/>
            </w:tcBorders>
          </w:tcPr>
          <w:p w14:paraId="302D9EBF" w14:textId="77777777" w:rsidR="006031D6" w:rsidRPr="006031D6" w:rsidRDefault="006031D6" w:rsidP="006031D6">
            <w:pPr>
              <w:pStyle w:val="Texttabulky"/>
              <w:spacing w:after="0" w:line="240" w:lineRule="atLeast"/>
              <w:rPr>
                <w:rFonts w:cs="Arial"/>
              </w:rPr>
            </w:pPr>
            <w:r w:rsidRPr="006031D6">
              <w:rPr>
                <w:rFonts w:cs="Arial"/>
              </w:rPr>
              <w:t>0,1</w:t>
            </w:r>
          </w:p>
        </w:tc>
        <w:tc>
          <w:tcPr>
            <w:tcW w:w="946" w:type="dxa"/>
            <w:tcBorders>
              <w:top w:val="single" w:sz="6" w:space="0" w:color="auto"/>
              <w:left w:val="single" w:sz="6" w:space="0" w:color="auto"/>
              <w:bottom w:val="single" w:sz="6" w:space="0" w:color="auto"/>
              <w:right w:val="single" w:sz="6" w:space="0" w:color="auto"/>
            </w:tcBorders>
          </w:tcPr>
          <w:p w14:paraId="612FDBB4" w14:textId="77777777" w:rsidR="006031D6" w:rsidRPr="006031D6" w:rsidRDefault="006031D6" w:rsidP="006031D6">
            <w:pPr>
              <w:pStyle w:val="Texttabulky"/>
              <w:spacing w:after="0" w:line="240" w:lineRule="atLeast"/>
              <w:rPr>
                <w:rFonts w:cs="Arial"/>
              </w:rPr>
            </w:pPr>
            <w:r w:rsidRPr="006031D6">
              <w:rPr>
                <w:rFonts w:cs="Arial"/>
              </w:rPr>
              <w:t>445</w:t>
            </w:r>
          </w:p>
        </w:tc>
        <w:tc>
          <w:tcPr>
            <w:tcW w:w="704" w:type="dxa"/>
            <w:tcBorders>
              <w:top w:val="single" w:sz="6" w:space="0" w:color="auto"/>
              <w:left w:val="single" w:sz="6" w:space="0" w:color="auto"/>
              <w:bottom w:val="single" w:sz="6" w:space="0" w:color="auto"/>
              <w:right w:val="single" w:sz="6" w:space="0" w:color="auto"/>
            </w:tcBorders>
          </w:tcPr>
          <w:p w14:paraId="040C6BD3" w14:textId="77777777" w:rsidR="006031D6" w:rsidRPr="006031D6" w:rsidRDefault="006031D6" w:rsidP="006031D6">
            <w:pPr>
              <w:pStyle w:val="Texttabulky"/>
              <w:spacing w:after="0" w:line="240" w:lineRule="atLeast"/>
              <w:rPr>
                <w:rFonts w:cs="Arial"/>
              </w:rPr>
            </w:pPr>
            <w:r w:rsidRPr="006031D6">
              <w:rPr>
                <w:rFonts w:cs="Arial"/>
              </w:rPr>
              <w:t>0,01</w:t>
            </w:r>
          </w:p>
        </w:tc>
        <w:tc>
          <w:tcPr>
            <w:tcW w:w="946" w:type="dxa"/>
            <w:tcBorders>
              <w:top w:val="single" w:sz="6" w:space="0" w:color="auto"/>
              <w:left w:val="single" w:sz="6" w:space="0" w:color="auto"/>
              <w:bottom w:val="single" w:sz="6" w:space="0" w:color="auto"/>
              <w:right w:val="single" w:sz="6" w:space="0" w:color="auto"/>
            </w:tcBorders>
          </w:tcPr>
          <w:p w14:paraId="6B91328D" w14:textId="77777777" w:rsidR="006031D6" w:rsidRPr="006031D6" w:rsidRDefault="006031D6" w:rsidP="006031D6">
            <w:pPr>
              <w:pStyle w:val="Texttabulky"/>
              <w:spacing w:after="0" w:line="240" w:lineRule="atLeast"/>
              <w:rPr>
                <w:rFonts w:cs="Arial"/>
              </w:rPr>
            </w:pPr>
            <w:r w:rsidRPr="006031D6">
              <w:rPr>
                <w:rFonts w:cs="Arial"/>
              </w:rPr>
              <w:t>685</w:t>
            </w:r>
          </w:p>
        </w:tc>
        <w:tc>
          <w:tcPr>
            <w:tcW w:w="768" w:type="dxa"/>
            <w:tcBorders>
              <w:top w:val="single" w:sz="6" w:space="0" w:color="auto"/>
              <w:left w:val="single" w:sz="6" w:space="0" w:color="auto"/>
              <w:bottom w:val="single" w:sz="6" w:space="0" w:color="auto"/>
              <w:right w:val="single" w:sz="6" w:space="0" w:color="auto"/>
            </w:tcBorders>
          </w:tcPr>
          <w:p w14:paraId="3C4D2E34" w14:textId="77777777" w:rsidR="006031D6" w:rsidRPr="006031D6" w:rsidRDefault="006031D6" w:rsidP="006031D6">
            <w:pPr>
              <w:pStyle w:val="Texttabulky"/>
              <w:spacing w:after="0" w:line="240" w:lineRule="atLeast"/>
              <w:rPr>
                <w:rFonts w:cs="Arial"/>
              </w:rPr>
            </w:pPr>
            <w:r w:rsidRPr="006031D6">
              <w:rPr>
                <w:rFonts w:cs="Arial"/>
              </w:rPr>
              <w:t>0,02</w:t>
            </w:r>
          </w:p>
        </w:tc>
        <w:tc>
          <w:tcPr>
            <w:tcW w:w="657" w:type="dxa"/>
            <w:tcBorders>
              <w:top w:val="single" w:sz="6" w:space="0" w:color="auto"/>
              <w:left w:val="single" w:sz="6" w:space="0" w:color="auto"/>
              <w:bottom w:val="single" w:sz="6" w:space="0" w:color="auto"/>
              <w:right w:val="single" w:sz="6" w:space="0" w:color="auto"/>
            </w:tcBorders>
          </w:tcPr>
          <w:p w14:paraId="77F258C7" w14:textId="77777777" w:rsidR="006031D6" w:rsidRPr="006031D6" w:rsidRDefault="006031D6" w:rsidP="006031D6">
            <w:pPr>
              <w:pStyle w:val="Zkladntext"/>
              <w:spacing w:after="0"/>
              <w:rPr>
                <w:rFonts w:ascii="Arial" w:hAnsi="Arial" w:cs="Arial"/>
              </w:rPr>
            </w:pPr>
          </w:p>
        </w:tc>
        <w:tc>
          <w:tcPr>
            <w:tcW w:w="610" w:type="dxa"/>
            <w:tcBorders>
              <w:top w:val="single" w:sz="6" w:space="0" w:color="auto"/>
              <w:left w:val="single" w:sz="6" w:space="0" w:color="auto"/>
              <w:bottom w:val="single" w:sz="6" w:space="0" w:color="auto"/>
              <w:right w:val="single" w:sz="6" w:space="0" w:color="auto"/>
            </w:tcBorders>
          </w:tcPr>
          <w:p w14:paraId="2744CCF8" w14:textId="77777777" w:rsidR="006031D6" w:rsidRPr="006031D6" w:rsidRDefault="006031D6" w:rsidP="006031D6">
            <w:pPr>
              <w:pStyle w:val="Zkladntext"/>
              <w:spacing w:after="0"/>
              <w:rPr>
                <w:rFonts w:ascii="Arial" w:hAnsi="Arial" w:cs="Arial"/>
              </w:rPr>
            </w:pPr>
          </w:p>
        </w:tc>
        <w:tc>
          <w:tcPr>
            <w:tcW w:w="963" w:type="dxa"/>
            <w:gridSpan w:val="2"/>
            <w:tcBorders>
              <w:top w:val="single" w:sz="6" w:space="0" w:color="auto"/>
              <w:left w:val="single" w:sz="6" w:space="0" w:color="auto"/>
              <w:bottom w:val="single" w:sz="6" w:space="0" w:color="auto"/>
              <w:right w:val="single" w:sz="6" w:space="0" w:color="auto"/>
            </w:tcBorders>
          </w:tcPr>
          <w:p w14:paraId="1578178B" w14:textId="77777777" w:rsidR="006031D6" w:rsidRPr="006031D6" w:rsidRDefault="006031D6" w:rsidP="006031D6">
            <w:pPr>
              <w:pStyle w:val="Zkladntext"/>
              <w:spacing w:after="0"/>
              <w:rPr>
                <w:rFonts w:ascii="Arial" w:hAnsi="Arial" w:cs="Arial"/>
              </w:rPr>
            </w:pPr>
          </w:p>
        </w:tc>
      </w:tr>
      <w:tr w:rsidR="006031D6" w:rsidRPr="006031D6" w14:paraId="663EE7AA"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203BBEC6" w14:textId="77777777" w:rsidR="006031D6" w:rsidRPr="006031D6" w:rsidRDefault="006031D6" w:rsidP="006031D6">
            <w:pPr>
              <w:pStyle w:val="Texttabulky"/>
              <w:spacing w:after="0" w:line="240" w:lineRule="atLeast"/>
              <w:rPr>
                <w:rFonts w:cs="Arial"/>
              </w:rPr>
            </w:pPr>
            <w:r w:rsidRPr="006031D6">
              <w:rPr>
                <w:rFonts w:cs="Arial"/>
              </w:rPr>
              <w:t>Bejchejovice</w:t>
            </w:r>
          </w:p>
        </w:tc>
        <w:tc>
          <w:tcPr>
            <w:tcW w:w="946" w:type="dxa"/>
            <w:tcBorders>
              <w:top w:val="single" w:sz="6" w:space="0" w:color="auto"/>
              <w:left w:val="nil"/>
              <w:bottom w:val="single" w:sz="6" w:space="0" w:color="auto"/>
              <w:right w:val="single" w:sz="6" w:space="0" w:color="auto"/>
            </w:tcBorders>
          </w:tcPr>
          <w:p w14:paraId="2F127C8F" w14:textId="77777777" w:rsidR="006031D6" w:rsidRPr="006031D6" w:rsidRDefault="006031D6" w:rsidP="006031D6">
            <w:pPr>
              <w:pStyle w:val="Texttabulky"/>
              <w:spacing w:after="0" w:line="240" w:lineRule="atLeast"/>
              <w:rPr>
                <w:rFonts w:cs="Arial"/>
              </w:rPr>
            </w:pPr>
            <w:r w:rsidRPr="006031D6">
              <w:rPr>
                <w:rFonts w:cs="Arial"/>
              </w:rPr>
              <w:t>4 600</w:t>
            </w:r>
          </w:p>
        </w:tc>
        <w:tc>
          <w:tcPr>
            <w:tcW w:w="672" w:type="dxa"/>
            <w:tcBorders>
              <w:top w:val="single" w:sz="6" w:space="0" w:color="auto"/>
              <w:left w:val="single" w:sz="6" w:space="0" w:color="auto"/>
              <w:bottom w:val="single" w:sz="6" w:space="0" w:color="auto"/>
              <w:right w:val="single" w:sz="6" w:space="0" w:color="auto"/>
            </w:tcBorders>
          </w:tcPr>
          <w:p w14:paraId="7341507D" w14:textId="77777777" w:rsidR="006031D6" w:rsidRPr="006031D6" w:rsidRDefault="006031D6" w:rsidP="006031D6">
            <w:pPr>
              <w:pStyle w:val="Texttabulky"/>
              <w:spacing w:after="0" w:line="240" w:lineRule="atLeast"/>
              <w:rPr>
                <w:rFonts w:cs="Arial"/>
              </w:rPr>
            </w:pPr>
            <w:r w:rsidRPr="006031D6">
              <w:rPr>
                <w:rFonts w:cs="Arial"/>
              </w:rPr>
              <w:t>0,15</w:t>
            </w:r>
          </w:p>
        </w:tc>
        <w:tc>
          <w:tcPr>
            <w:tcW w:w="946" w:type="dxa"/>
            <w:tcBorders>
              <w:top w:val="single" w:sz="6" w:space="0" w:color="auto"/>
              <w:left w:val="single" w:sz="6" w:space="0" w:color="auto"/>
              <w:bottom w:val="single" w:sz="6" w:space="0" w:color="auto"/>
              <w:right w:val="single" w:sz="6" w:space="0" w:color="auto"/>
            </w:tcBorders>
          </w:tcPr>
          <w:p w14:paraId="2BB9C3BF" w14:textId="77777777" w:rsidR="006031D6" w:rsidRPr="006031D6" w:rsidRDefault="006031D6" w:rsidP="006031D6">
            <w:pPr>
              <w:pStyle w:val="Texttabulky"/>
              <w:spacing w:after="0" w:line="240" w:lineRule="atLeast"/>
              <w:rPr>
                <w:rFonts w:cs="Arial"/>
              </w:rPr>
            </w:pPr>
            <w:r w:rsidRPr="006031D6">
              <w:rPr>
                <w:rFonts w:cs="Arial"/>
              </w:rPr>
              <w:t>6 315</w:t>
            </w:r>
          </w:p>
        </w:tc>
        <w:tc>
          <w:tcPr>
            <w:tcW w:w="704" w:type="dxa"/>
            <w:tcBorders>
              <w:top w:val="single" w:sz="6" w:space="0" w:color="auto"/>
              <w:left w:val="single" w:sz="6" w:space="0" w:color="auto"/>
              <w:bottom w:val="single" w:sz="6" w:space="0" w:color="auto"/>
              <w:right w:val="single" w:sz="6" w:space="0" w:color="auto"/>
            </w:tcBorders>
          </w:tcPr>
          <w:p w14:paraId="10974570" w14:textId="77777777" w:rsidR="006031D6" w:rsidRPr="006031D6" w:rsidRDefault="006031D6" w:rsidP="006031D6">
            <w:pPr>
              <w:pStyle w:val="Texttabulky"/>
              <w:spacing w:after="0" w:line="240" w:lineRule="atLeast"/>
              <w:rPr>
                <w:rFonts w:cs="Arial"/>
              </w:rPr>
            </w:pPr>
            <w:r w:rsidRPr="006031D6">
              <w:rPr>
                <w:rFonts w:cs="Arial"/>
              </w:rPr>
              <w:t>0,2</w:t>
            </w:r>
          </w:p>
        </w:tc>
        <w:tc>
          <w:tcPr>
            <w:tcW w:w="946" w:type="dxa"/>
            <w:tcBorders>
              <w:top w:val="single" w:sz="6" w:space="0" w:color="auto"/>
              <w:left w:val="single" w:sz="6" w:space="0" w:color="auto"/>
              <w:bottom w:val="single" w:sz="6" w:space="0" w:color="auto"/>
              <w:right w:val="single" w:sz="6" w:space="0" w:color="auto"/>
            </w:tcBorders>
          </w:tcPr>
          <w:p w14:paraId="164FA55E" w14:textId="77777777" w:rsidR="006031D6" w:rsidRPr="006031D6" w:rsidRDefault="006031D6" w:rsidP="006031D6">
            <w:pPr>
              <w:pStyle w:val="Texttabulky"/>
              <w:spacing w:after="0" w:line="240" w:lineRule="atLeast"/>
              <w:rPr>
                <w:rFonts w:cs="Arial"/>
              </w:rPr>
            </w:pPr>
            <w:r w:rsidRPr="006031D6">
              <w:rPr>
                <w:rFonts w:cs="Arial"/>
              </w:rPr>
              <w:t>6 408</w:t>
            </w:r>
          </w:p>
        </w:tc>
        <w:tc>
          <w:tcPr>
            <w:tcW w:w="768" w:type="dxa"/>
            <w:tcBorders>
              <w:top w:val="single" w:sz="6" w:space="0" w:color="auto"/>
              <w:left w:val="single" w:sz="6" w:space="0" w:color="auto"/>
              <w:bottom w:val="single" w:sz="6" w:space="0" w:color="auto"/>
              <w:right w:val="single" w:sz="6" w:space="0" w:color="auto"/>
            </w:tcBorders>
          </w:tcPr>
          <w:p w14:paraId="0887CC29" w14:textId="77777777" w:rsidR="006031D6" w:rsidRPr="006031D6" w:rsidRDefault="006031D6" w:rsidP="006031D6">
            <w:pPr>
              <w:pStyle w:val="Texttabulky"/>
              <w:spacing w:after="0" w:line="240" w:lineRule="atLeast"/>
              <w:rPr>
                <w:rFonts w:cs="Arial"/>
              </w:rPr>
            </w:pPr>
            <w:r w:rsidRPr="006031D6">
              <w:rPr>
                <w:rFonts w:cs="Arial"/>
              </w:rPr>
              <w:t>0,2</w:t>
            </w:r>
          </w:p>
        </w:tc>
        <w:tc>
          <w:tcPr>
            <w:tcW w:w="657" w:type="dxa"/>
            <w:tcBorders>
              <w:top w:val="single" w:sz="6" w:space="0" w:color="auto"/>
              <w:left w:val="single" w:sz="6" w:space="0" w:color="auto"/>
              <w:bottom w:val="single" w:sz="6" w:space="0" w:color="auto"/>
              <w:right w:val="single" w:sz="6" w:space="0" w:color="auto"/>
            </w:tcBorders>
          </w:tcPr>
          <w:p w14:paraId="5CAFFF88" w14:textId="77777777" w:rsidR="006031D6" w:rsidRPr="006031D6" w:rsidRDefault="006031D6" w:rsidP="006031D6">
            <w:pPr>
              <w:pStyle w:val="Texttabulky"/>
              <w:spacing w:after="0" w:line="240" w:lineRule="atLeast"/>
              <w:rPr>
                <w:rFonts w:cs="Arial"/>
              </w:rPr>
            </w:pPr>
            <w:r w:rsidRPr="006031D6">
              <w:rPr>
                <w:rFonts w:cs="Arial"/>
              </w:rPr>
              <w:t>0,3</w:t>
            </w:r>
          </w:p>
        </w:tc>
        <w:tc>
          <w:tcPr>
            <w:tcW w:w="610" w:type="dxa"/>
            <w:tcBorders>
              <w:top w:val="single" w:sz="6" w:space="0" w:color="auto"/>
              <w:left w:val="single" w:sz="6" w:space="0" w:color="auto"/>
              <w:bottom w:val="single" w:sz="6" w:space="0" w:color="auto"/>
              <w:right w:val="single" w:sz="6" w:space="0" w:color="auto"/>
            </w:tcBorders>
          </w:tcPr>
          <w:p w14:paraId="66EAFEE9" w14:textId="77777777" w:rsidR="006031D6" w:rsidRPr="006031D6" w:rsidRDefault="006031D6" w:rsidP="006031D6">
            <w:pPr>
              <w:pStyle w:val="Texttabulky"/>
              <w:spacing w:after="0" w:line="240" w:lineRule="atLeast"/>
              <w:rPr>
                <w:rFonts w:cs="Arial"/>
              </w:rPr>
            </w:pPr>
            <w:r w:rsidRPr="006031D6">
              <w:rPr>
                <w:rFonts w:cs="Arial"/>
              </w:rPr>
              <w:t>0,5</w:t>
            </w:r>
          </w:p>
        </w:tc>
        <w:tc>
          <w:tcPr>
            <w:tcW w:w="963" w:type="dxa"/>
            <w:gridSpan w:val="2"/>
            <w:tcBorders>
              <w:top w:val="single" w:sz="6" w:space="0" w:color="auto"/>
              <w:left w:val="single" w:sz="6" w:space="0" w:color="auto"/>
              <w:bottom w:val="single" w:sz="6" w:space="0" w:color="auto"/>
              <w:right w:val="single" w:sz="6" w:space="0" w:color="auto"/>
            </w:tcBorders>
          </w:tcPr>
          <w:p w14:paraId="6042302C" w14:textId="77777777" w:rsidR="006031D6" w:rsidRPr="006031D6" w:rsidRDefault="006031D6" w:rsidP="006031D6">
            <w:pPr>
              <w:pStyle w:val="Texttabulky"/>
              <w:spacing w:after="0" w:line="240" w:lineRule="atLeast"/>
              <w:rPr>
                <w:rFonts w:cs="Arial"/>
              </w:rPr>
            </w:pPr>
            <w:r w:rsidRPr="006031D6">
              <w:rPr>
                <w:rFonts w:cs="Arial"/>
              </w:rPr>
              <w:t>0,6</w:t>
            </w:r>
          </w:p>
        </w:tc>
      </w:tr>
      <w:tr w:rsidR="006031D6" w:rsidRPr="006031D6" w14:paraId="6083F6BF" w14:textId="77777777" w:rsidTr="002D2D45">
        <w:trPr>
          <w:trHeight w:val="227"/>
        </w:trPr>
        <w:tc>
          <w:tcPr>
            <w:tcW w:w="1789" w:type="dxa"/>
            <w:tcBorders>
              <w:top w:val="single" w:sz="6" w:space="0" w:color="auto"/>
              <w:left w:val="single" w:sz="6" w:space="0" w:color="auto"/>
              <w:bottom w:val="single" w:sz="6" w:space="0" w:color="auto"/>
              <w:right w:val="single" w:sz="6" w:space="0" w:color="auto"/>
            </w:tcBorders>
          </w:tcPr>
          <w:p w14:paraId="164A633D" w14:textId="77777777" w:rsidR="006031D6" w:rsidRPr="006031D6" w:rsidRDefault="006031D6" w:rsidP="006031D6">
            <w:pPr>
              <w:pStyle w:val="Texttabulky"/>
              <w:spacing w:after="0" w:line="240" w:lineRule="atLeast"/>
              <w:rPr>
                <w:rFonts w:cs="Arial"/>
              </w:rPr>
            </w:pPr>
            <w:r w:rsidRPr="006031D6">
              <w:rPr>
                <w:rFonts w:cs="Arial"/>
              </w:rPr>
              <w:t>Pod Dobrnou – štola</w:t>
            </w:r>
          </w:p>
        </w:tc>
        <w:tc>
          <w:tcPr>
            <w:tcW w:w="946" w:type="dxa"/>
            <w:tcBorders>
              <w:top w:val="single" w:sz="6" w:space="0" w:color="auto"/>
              <w:left w:val="nil"/>
              <w:bottom w:val="single" w:sz="6" w:space="0" w:color="auto"/>
              <w:right w:val="single" w:sz="6" w:space="0" w:color="auto"/>
            </w:tcBorders>
          </w:tcPr>
          <w:p w14:paraId="3ECDE604" w14:textId="77777777" w:rsidR="006031D6" w:rsidRPr="006031D6" w:rsidRDefault="006031D6" w:rsidP="006031D6">
            <w:pPr>
              <w:pStyle w:val="Texttabulky"/>
              <w:spacing w:after="0" w:line="240" w:lineRule="atLeast"/>
              <w:rPr>
                <w:rFonts w:cs="Arial"/>
              </w:rPr>
            </w:pPr>
            <w:r w:rsidRPr="006031D6">
              <w:rPr>
                <w:rFonts w:cs="Arial"/>
              </w:rPr>
              <w:t>17 500</w:t>
            </w:r>
          </w:p>
        </w:tc>
        <w:tc>
          <w:tcPr>
            <w:tcW w:w="672" w:type="dxa"/>
            <w:tcBorders>
              <w:top w:val="single" w:sz="6" w:space="0" w:color="auto"/>
              <w:left w:val="single" w:sz="6" w:space="0" w:color="auto"/>
              <w:bottom w:val="single" w:sz="6" w:space="0" w:color="auto"/>
              <w:right w:val="single" w:sz="6" w:space="0" w:color="auto"/>
            </w:tcBorders>
          </w:tcPr>
          <w:p w14:paraId="7BFDEC89" w14:textId="77777777" w:rsidR="006031D6" w:rsidRPr="006031D6" w:rsidRDefault="006031D6" w:rsidP="006031D6">
            <w:pPr>
              <w:pStyle w:val="Texttabulky"/>
              <w:spacing w:after="0" w:line="240" w:lineRule="atLeast"/>
              <w:rPr>
                <w:rFonts w:cs="Arial"/>
              </w:rPr>
            </w:pPr>
            <w:r w:rsidRPr="006031D6">
              <w:rPr>
                <w:rFonts w:cs="Arial"/>
              </w:rPr>
              <w:t>0,55</w:t>
            </w:r>
          </w:p>
        </w:tc>
        <w:tc>
          <w:tcPr>
            <w:tcW w:w="946" w:type="dxa"/>
            <w:tcBorders>
              <w:top w:val="single" w:sz="6" w:space="0" w:color="auto"/>
              <w:left w:val="single" w:sz="6" w:space="0" w:color="auto"/>
              <w:bottom w:val="single" w:sz="6" w:space="0" w:color="auto"/>
              <w:right w:val="single" w:sz="6" w:space="0" w:color="auto"/>
            </w:tcBorders>
          </w:tcPr>
          <w:p w14:paraId="57682FBD" w14:textId="77777777" w:rsidR="006031D6" w:rsidRPr="006031D6" w:rsidRDefault="006031D6" w:rsidP="006031D6">
            <w:pPr>
              <w:pStyle w:val="Texttabulky"/>
              <w:spacing w:after="0" w:line="240" w:lineRule="atLeast"/>
              <w:rPr>
                <w:rFonts w:cs="Arial"/>
              </w:rPr>
            </w:pPr>
            <w:r w:rsidRPr="006031D6">
              <w:rPr>
                <w:rFonts w:cs="Arial"/>
              </w:rPr>
              <w:t>21 165</w:t>
            </w:r>
          </w:p>
        </w:tc>
        <w:tc>
          <w:tcPr>
            <w:tcW w:w="704" w:type="dxa"/>
            <w:tcBorders>
              <w:top w:val="single" w:sz="6" w:space="0" w:color="auto"/>
              <w:left w:val="single" w:sz="6" w:space="0" w:color="auto"/>
              <w:bottom w:val="single" w:sz="6" w:space="0" w:color="auto"/>
              <w:right w:val="single" w:sz="6" w:space="0" w:color="auto"/>
            </w:tcBorders>
          </w:tcPr>
          <w:p w14:paraId="52FC5C1F" w14:textId="77777777" w:rsidR="006031D6" w:rsidRPr="006031D6" w:rsidRDefault="006031D6" w:rsidP="006031D6">
            <w:pPr>
              <w:pStyle w:val="Texttabulky"/>
              <w:spacing w:after="0" w:line="240" w:lineRule="atLeast"/>
              <w:rPr>
                <w:rFonts w:cs="Arial"/>
              </w:rPr>
            </w:pPr>
            <w:r w:rsidRPr="006031D6">
              <w:rPr>
                <w:rFonts w:cs="Arial"/>
              </w:rPr>
              <w:t>0,67</w:t>
            </w:r>
          </w:p>
        </w:tc>
        <w:tc>
          <w:tcPr>
            <w:tcW w:w="946" w:type="dxa"/>
            <w:tcBorders>
              <w:top w:val="single" w:sz="6" w:space="0" w:color="auto"/>
              <w:left w:val="single" w:sz="6" w:space="0" w:color="auto"/>
              <w:bottom w:val="single" w:sz="6" w:space="0" w:color="auto"/>
              <w:right w:val="single" w:sz="6" w:space="0" w:color="auto"/>
            </w:tcBorders>
          </w:tcPr>
          <w:p w14:paraId="3666F1C5" w14:textId="77777777" w:rsidR="006031D6" w:rsidRPr="006031D6" w:rsidRDefault="006031D6" w:rsidP="006031D6">
            <w:pPr>
              <w:pStyle w:val="Texttabulky"/>
              <w:spacing w:after="0" w:line="240" w:lineRule="atLeast"/>
              <w:rPr>
                <w:rFonts w:cs="Arial"/>
              </w:rPr>
            </w:pPr>
            <w:r w:rsidRPr="006031D6">
              <w:rPr>
                <w:rFonts w:cs="Arial"/>
              </w:rPr>
              <w:t>22 169</w:t>
            </w:r>
          </w:p>
        </w:tc>
        <w:tc>
          <w:tcPr>
            <w:tcW w:w="768" w:type="dxa"/>
            <w:tcBorders>
              <w:top w:val="single" w:sz="6" w:space="0" w:color="auto"/>
              <w:left w:val="single" w:sz="6" w:space="0" w:color="auto"/>
              <w:bottom w:val="single" w:sz="6" w:space="0" w:color="auto"/>
              <w:right w:val="single" w:sz="6" w:space="0" w:color="auto"/>
            </w:tcBorders>
          </w:tcPr>
          <w:p w14:paraId="2655EA9C" w14:textId="77777777" w:rsidR="006031D6" w:rsidRPr="006031D6" w:rsidRDefault="006031D6" w:rsidP="006031D6">
            <w:pPr>
              <w:pStyle w:val="Texttabulky"/>
              <w:spacing w:after="0" w:line="240" w:lineRule="atLeast"/>
              <w:rPr>
                <w:rFonts w:cs="Arial"/>
              </w:rPr>
            </w:pPr>
            <w:r w:rsidRPr="006031D6">
              <w:rPr>
                <w:rFonts w:cs="Arial"/>
              </w:rPr>
              <w:t>0,7</w:t>
            </w:r>
          </w:p>
        </w:tc>
        <w:tc>
          <w:tcPr>
            <w:tcW w:w="657" w:type="dxa"/>
            <w:tcBorders>
              <w:top w:val="single" w:sz="6" w:space="0" w:color="auto"/>
              <w:left w:val="single" w:sz="6" w:space="0" w:color="auto"/>
              <w:bottom w:val="single" w:sz="6" w:space="0" w:color="auto"/>
              <w:right w:val="single" w:sz="6" w:space="0" w:color="auto"/>
            </w:tcBorders>
          </w:tcPr>
          <w:p w14:paraId="4916268F" w14:textId="77777777" w:rsidR="006031D6" w:rsidRPr="006031D6" w:rsidRDefault="006031D6" w:rsidP="006031D6">
            <w:pPr>
              <w:pStyle w:val="Texttabulky"/>
              <w:spacing w:after="0" w:line="240" w:lineRule="atLeast"/>
              <w:rPr>
                <w:rFonts w:cs="Arial"/>
              </w:rPr>
            </w:pPr>
            <w:r w:rsidRPr="006031D6">
              <w:rPr>
                <w:rFonts w:cs="Arial"/>
              </w:rPr>
              <w:t>1</w:t>
            </w:r>
          </w:p>
        </w:tc>
        <w:tc>
          <w:tcPr>
            <w:tcW w:w="610" w:type="dxa"/>
            <w:tcBorders>
              <w:top w:val="single" w:sz="6" w:space="0" w:color="auto"/>
              <w:left w:val="single" w:sz="6" w:space="0" w:color="auto"/>
              <w:bottom w:val="single" w:sz="6" w:space="0" w:color="auto"/>
              <w:right w:val="single" w:sz="6" w:space="0" w:color="auto"/>
            </w:tcBorders>
          </w:tcPr>
          <w:p w14:paraId="71D20527" w14:textId="77777777" w:rsidR="006031D6" w:rsidRPr="006031D6" w:rsidRDefault="006031D6" w:rsidP="006031D6">
            <w:pPr>
              <w:pStyle w:val="Texttabulky"/>
              <w:spacing w:after="0" w:line="240" w:lineRule="atLeast"/>
              <w:rPr>
                <w:rFonts w:cs="Arial"/>
              </w:rPr>
            </w:pPr>
            <w:r w:rsidRPr="006031D6">
              <w:rPr>
                <w:rFonts w:cs="Arial"/>
              </w:rPr>
              <w:t>1,2</w:t>
            </w:r>
          </w:p>
        </w:tc>
        <w:tc>
          <w:tcPr>
            <w:tcW w:w="963" w:type="dxa"/>
            <w:gridSpan w:val="2"/>
            <w:tcBorders>
              <w:top w:val="single" w:sz="6" w:space="0" w:color="auto"/>
              <w:left w:val="single" w:sz="6" w:space="0" w:color="auto"/>
              <w:bottom w:val="single" w:sz="6" w:space="0" w:color="auto"/>
              <w:right w:val="single" w:sz="6" w:space="0" w:color="auto"/>
            </w:tcBorders>
          </w:tcPr>
          <w:p w14:paraId="211C94C4" w14:textId="77777777" w:rsidR="006031D6" w:rsidRPr="006031D6" w:rsidRDefault="006031D6" w:rsidP="006031D6">
            <w:pPr>
              <w:pStyle w:val="Texttabulky"/>
              <w:spacing w:after="0" w:line="240" w:lineRule="atLeast"/>
              <w:rPr>
                <w:rFonts w:cs="Arial"/>
              </w:rPr>
            </w:pPr>
            <w:r w:rsidRPr="006031D6">
              <w:rPr>
                <w:rFonts w:cs="Arial"/>
              </w:rPr>
              <w:t>1,6</w:t>
            </w:r>
          </w:p>
        </w:tc>
      </w:tr>
      <w:tr w:rsidR="006031D6" w:rsidRPr="006031D6" w14:paraId="5977D84A"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419DEB88" w14:textId="77777777" w:rsidR="006031D6" w:rsidRPr="006031D6" w:rsidRDefault="006031D6" w:rsidP="006031D6">
            <w:pPr>
              <w:pStyle w:val="Texttabulky"/>
              <w:spacing w:after="0" w:line="240" w:lineRule="atLeast"/>
              <w:rPr>
                <w:rFonts w:cs="Arial"/>
              </w:rPr>
            </w:pPr>
            <w:r w:rsidRPr="006031D6">
              <w:rPr>
                <w:rFonts w:cs="Arial"/>
              </w:rPr>
              <w:t>Beckel</w:t>
            </w:r>
          </w:p>
        </w:tc>
        <w:tc>
          <w:tcPr>
            <w:tcW w:w="946" w:type="dxa"/>
            <w:tcBorders>
              <w:top w:val="single" w:sz="6" w:space="0" w:color="auto"/>
              <w:left w:val="nil"/>
              <w:bottom w:val="single" w:sz="6" w:space="0" w:color="auto"/>
              <w:right w:val="single" w:sz="6" w:space="0" w:color="auto"/>
            </w:tcBorders>
          </w:tcPr>
          <w:p w14:paraId="62619AB1" w14:textId="77777777" w:rsidR="006031D6" w:rsidRPr="006031D6" w:rsidRDefault="006031D6" w:rsidP="006031D6">
            <w:pPr>
              <w:pStyle w:val="Texttabulky"/>
              <w:spacing w:after="0" w:line="240" w:lineRule="atLeast"/>
              <w:rPr>
                <w:rFonts w:cs="Arial"/>
              </w:rPr>
            </w:pPr>
            <w:r w:rsidRPr="006031D6">
              <w:rPr>
                <w:rFonts w:cs="Arial"/>
              </w:rPr>
              <w:t>2 000</w:t>
            </w:r>
          </w:p>
        </w:tc>
        <w:tc>
          <w:tcPr>
            <w:tcW w:w="672" w:type="dxa"/>
            <w:tcBorders>
              <w:top w:val="single" w:sz="6" w:space="0" w:color="auto"/>
              <w:left w:val="single" w:sz="6" w:space="0" w:color="auto"/>
              <w:bottom w:val="single" w:sz="6" w:space="0" w:color="auto"/>
              <w:right w:val="single" w:sz="6" w:space="0" w:color="auto"/>
            </w:tcBorders>
          </w:tcPr>
          <w:p w14:paraId="557873C8" w14:textId="77777777" w:rsidR="006031D6" w:rsidRPr="006031D6" w:rsidRDefault="006031D6" w:rsidP="006031D6">
            <w:pPr>
              <w:pStyle w:val="Texttabulky"/>
              <w:spacing w:after="0" w:line="240" w:lineRule="atLeast"/>
              <w:rPr>
                <w:rFonts w:cs="Arial"/>
              </w:rPr>
            </w:pPr>
            <w:r w:rsidRPr="006031D6">
              <w:rPr>
                <w:rFonts w:cs="Arial"/>
              </w:rPr>
              <w:t>0,06</w:t>
            </w:r>
          </w:p>
        </w:tc>
        <w:tc>
          <w:tcPr>
            <w:tcW w:w="946" w:type="dxa"/>
            <w:tcBorders>
              <w:top w:val="single" w:sz="6" w:space="0" w:color="auto"/>
              <w:left w:val="single" w:sz="6" w:space="0" w:color="auto"/>
              <w:bottom w:val="single" w:sz="6" w:space="0" w:color="auto"/>
              <w:right w:val="single" w:sz="6" w:space="0" w:color="auto"/>
            </w:tcBorders>
          </w:tcPr>
          <w:p w14:paraId="08FEA6B0" w14:textId="77777777" w:rsidR="006031D6" w:rsidRPr="006031D6" w:rsidRDefault="006031D6" w:rsidP="006031D6">
            <w:pPr>
              <w:pStyle w:val="Texttabulky"/>
              <w:spacing w:after="0" w:line="240" w:lineRule="atLeast"/>
              <w:rPr>
                <w:rFonts w:cs="Arial"/>
              </w:rPr>
            </w:pPr>
            <w:r w:rsidRPr="006031D6">
              <w:rPr>
                <w:rFonts w:cs="Arial"/>
              </w:rPr>
              <w:t>780</w:t>
            </w:r>
          </w:p>
        </w:tc>
        <w:tc>
          <w:tcPr>
            <w:tcW w:w="704" w:type="dxa"/>
            <w:tcBorders>
              <w:top w:val="single" w:sz="6" w:space="0" w:color="auto"/>
              <w:left w:val="single" w:sz="6" w:space="0" w:color="auto"/>
              <w:bottom w:val="single" w:sz="6" w:space="0" w:color="auto"/>
              <w:right w:val="single" w:sz="6" w:space="0" w:color="auto"/>
            </w:tcBorders>
          </w:tcPr>
          <w:p w14:paraId="2C4D580C" w14:textId="77777777" w:rsidR="006031D6" w:rsidRPr="006031D6" w:rsidRDefault="006031D6" w:rsidP="006031D6">
            <w:pPr>
              <w:pStyle w:val="Texttabulky"/>
              <w:spacing w:after="0" w:line="240" w:lineRule="atLeast"/>
              <w:rPr>
                <w:rFonts w:cs="Arial"/>
              </w:rPr>
            </w:pPr>
            <w:r w:rsidRPr="006031D6">
              <w:rPr>
                <w:rFonts w:cs="Arial"/>
              </w:rPr>
              <w:t>0,02</w:t>
            </w:r>
          </w:p>
        </w:tc>
        <w:tc>
          <w:tcPr>
            <w:tcW w:w="946" w:type="dxa"/>
            <w:tcBorders>
              <w:top w:val="single" w:sz="6" w:space="0" w:color="auto"/>
              <w:left w:val="single" w:sz="6" w:space="0" w:color="auto"/>
              <w:bottom w:val="single" w:sz="6" w:space="0" w:color="auto"/>
              <w:right w:val="single" w:sz="6" w:space="0" w:color="auto"/>
            </w:tcBorders>
          </w:tcPr>
          <w:p w14:paraId="2E37A159" w14:textId="77777777" w:rsidR="006031D6" w:rsidRPr="006031D6" w:rsidRDefault="006031D6" w:rsidP="006031D6">
            <w:pPr>
              <w:pStyle w:val="Texttabulky"/>
              <w:spacing w:after="0" w:line="240" w:lineRule="atLeast"/>
              <w:rPr>
                <w:rFonts w:cs="Arial"/>
              </w:rPr>
            </w:pPr>
            <w:r w:rsidRPr="006031D6">
              <w:rPr>
                <w:rFonts w:cs="Arial"/>
              </w:rPr>
              <w:t>315</w:t>
            </w:r>
          </w:p>
        </w:tc>
        <w:tc>
          <w:tcPr>
            <w:tcW w:w="768" w:type="dxa"/>
            <w:tcBorders>
              <w:top w:val="single" w:sz="6" w:space="0" w:color="auto"/>
              <w:left w:val="single" w:sz="6" w:space="0" w:color="auto"/>
              <w:bottom w:val="single" w:sz="6" w:space="0" w:color="auto"/>
              <w:right w:val="single" w:sz="6" w:space="0" w:color="auto"/>
            </w:tcBorders>
          </w:tcPr>
          <w:p w14:paraId="273596C5" w14:textId="77777777" w:rsidR="006031D6" w:rsidRPr="006031D6" w:rsidRDefault="006031D6" w:rsidP="006031D6">
            <w:pPr>
              <w:pStyle w:val="Texttabulky"/>
              <w:spacing w:after="0" w:line="240" w:lineRule="atLeast"/>
              <w:rPr>
                <w:rFonts w:cs="Arial"/>
              </w:rPr>
            </w:pPr>
            <w:r w:rsidRPr="006031D6">
              <w:rPr>
                <w:rFonts w:cs="Arial"/>
              </w:rPr>
              <w:t>0,01</w:t>
            </w:r>
          </w:p>
        </w:tc>
        <w:tc>
          <w:tcPr>
            <w:tcW w:w="657" w:type="dxa"/>
            <w:tcBorders>
              <w:top w:val="single" w:sz="6" w:space="0" w:color="auto"/>
              <w:left w:val="single" w:sz="6" w:space="0" w:color="auto"/>
              <w:bottom w:val="single" w:sz="6" w:space="0" w:color="auto"/>
              <w:right w:val="single" w:sz="6" w:space="0" w:color="auto"/>
            </w:tcBorders>
          </w:tcPr>
          <w:p w14:paraId="4DE5C953" w14:textId="77777777" w:rsidR="006031D6" w:rsidRPr="006031D6" w:rsidRDefault="006031D6" w:rsidP="006031D6">
            <w:pPr>
              <w:pStyle w:val="Texttabulky"/>
              <w:spacing w:after="0" w:line="240" w:lineRule="atLeast"/>
              <w:rPr>
                <w:rFonts w:cs="Arial"/>
              </w:rPr>
            </w:pPr>
            <w:r w:rsidRPr="006031D6">
              <w:rPr>
                <w:rFonts w:cs="Arial"/>
              </w:rPr>
              <w:t>0,5</w:t>
            </w:r>
          </w:p>
        </w:tc>
        <w:tc>
          <w:tcPr>
            <w:tcW w:w="610" w:type="dxa"/>
            <w:tcBorders>
              <w:top w:val="single" w:sz="6" w:space="0" w:color="auto"/>
              <w:left w:val="single" w:sz="6" w:space="0" w:color="auto"/>
              <w:bottom w:val="single" w:sz="6" w:space="0" w:color="auto"/>
              <w:right w:val="single" w:sz="6" w:space="0" w:color="auto"/>
            </w:tcBorders>
          </w:tcPr>
          <w:p w14:paraId="0369531E" w14:textId="77777777" w:rsidR="006031D6" w:rsidRPr="006031D6" w:rsidRDefault="006031D6" w:rsidP="006031D6">
            <w:pPr>
              <w:pStyle w:val="Texttabulky"/>
              <w:spacing w:after="0" w:line="240" w:lineRule="atLeast"/>
              <w:rPr>
                <w:rFonts w:cs="Arial"/>
              </w:rPr>
            </w:pPr>
            <w:r w:rsidRPr="006031D6">
              <w:rPr>
                <w:rFonts w:cs="Arial"/>
              </w:rPr>
              <w:t>0,6</w:t>
            </w:r>
          </w:p>
        </w:tc>
        <w:tc>
          <w:tcPr>
            <w:tcW w:w="963" w:type="dxa"/>
            <w:gridSpan w:val="2"/>
            <w:tcBorders>
              <w:top w:val="single" w:sz="6" w:space="0" w:color="auto"/>
              <w:left w:val="single" w:sz="6" w:space="0" w:color="auto"/>
              <w:bottom w:val="single" w:sz="6" w:space="0" w:color="auto"/>
              <w:right w:val="single" w:sz="6" w:space="0" w:color="auto"/>
            </w:tcBorders>
          </w:tcPr>
          <w:p w14:paraId="7AA650D4" w14:textId="77777777" w:rsidR="006031D6" w:rsidRPr="006031D6" w:rsidRDefault="006031D6" w:rsidP="006031D6">
            <w:pPr>
              <w:pStyle w:val="Texttabulky"/>
              <w:spacing w:after="0" w:line="240" w:lineRule="atLeast"/>
              <w:rPr>
                <w:rFonts w:cs="Arial"/>
              </w:rPr>
            </w:pPr>
            <w:r w:rsidRPr="006031D6">
              <w:rPr>
                <w:rFonts w:cs="Arial"/>
              </w:rPr>
              <w:t>1</w:t>
            </w:r>
          </w:p>
        </w:tc>
      </w:tr>
      <w:tr w:rsidR="006031D6" w:rsidRPr="006031D6" w14:paraId="14BFACBB"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65B171B6" w14:textId="77777777" w:rsidR="006031D6" w:rsidRPr="006031D6" w:rsidRDefault="006031D6" w:rsidP="006031D6">
            <w:pPr>
              <w:pStyle w:val="Texttabulky"/>
              <w:spacing w:after="0" w:line="240" w:lineRule="atLeast"/>
              <w:rPr>
                <w:rFonts w:cs="Arial"/>
              </w:rPr>
            </w:pPr>
            <w:r w:rsidRPr="006031D6">
              <w:rPr>
                <w:rFonts w:cs="Arial"/>
              </w:rPr>
              <w:t>Hlavní Waltrův</w:t>
            </w:r>
          </w:p>
        </w:tc>
        <w:tc>
          <w:tcPr>
            <w:tcW w:w="946" w:type="dxa"/>
            <w:tcBorders>
              <w:top w:val="single" w:sz="6" w:space="0" w:color="auto"/>
              <w:left w:val="nil"/>
              <w:bottom w:val="single" w:sz="6" w:space="0" w:color="auto"/>
              <w:right w:val="single" w:sz="6" w:space="0" w:color="auto"/>
            </w:tcBorders>
          </w:tcPr>
          <w:p w14:paraId="6364435C" w14:textId="77777777" w:rsidR="006031D6" w:rsidRPr="006031D6" w:rsidRDefault="006031D6" w:rsidP="006031D6">
            <w:pPr>
              <w:pStyle w:val="Texttabulky"/>
              <w:spacing w:after="0" w:line="240" w:lineRule="atLeast"/>
              <w:rPr>
                <w:rFonts w:cs="Arial"/>
              </w:rPr>
            </w:pPr>
            <w:r w:rsidRPr="006031D6">
              <w:rPr>
                <w:rFonts w:cs="Arial"/>
              </w:rPr>
              <w:t>6 100</w:t>
            </w:r>
          </w:p>
        </w:tc>
        <w:tc>
          <w:tcPr>
            <w:tcW w:w="672" w:type="dxa"/>
            <w:tcBorders>
              <w:top w:val="single" w:sz="6" w:space="0" w:color="auto"/>
              <w:left w:val="single" w:sz="6" w:space="0" w:color="auto"/>
              <w:bottom w:val="single" w:sz="6" w:space="0" w:color="auto"/>
              <w:right w:val="single" w:sz="6" w:space="0" w:color="auto"/>
            </w:tcBorders>
          </w:tcPr>
          <w:p w14:paraId="1878FE03" w14:textId="77777777" w:rsidR="006031D6" w:rsidRPr="006031D6" w:rsidRDefault="006031D6" w:rsidP="006031D6">
            <w:pPr>
              <w:pStyle w:val="Texttabulky"/>
              <w:spacing w:after="0" w:line="240" w:lineRule="atLeast"/>
              <w:rPr>
                <w:rFonts w:cs="Arial"/>
              </w:rPr>
            </w:pPr>
            <w:r w:rsidRPr="006031D6">
              <w:rPr>
                <w:rFonts w:cs="Arial"/>
              </w:rPr>
              <w:t>0,19</w:t>
            </w:r>
          </w:p>
        </w:tc>
        <w:tc>
          <w:tcPr>
            <w:tcW w:w="946" w:type="dxa"/>
            <w:tcBorders>
              <w:top w:val="single" w:sz="6" w:space="0" w:color="auto"/>
              <w:left w:val="single" w:sz="6" w:space="0" w:color="auto"/>
              <w:bottom w:val="single" w:sz="6" w:space="0" w:color="auto"/>
              <w:right w:val="single" w:sz="6" w:space="0" w:color="auto"/>
            </w:tcBorders>
          </w:tcPr>
          <w:p w14:paraId="74B5678B" w14:textId="77777777" w:rsidR="006031D6" w:rsidRPr="006031D6" w:rsidRDefault="006031D6" w:rsidP="006031D6">
            <w:pPr>
              <w:pStyle w:val="Texttabulky"/>
              <w:spacing w:after="0" w:line="240" w:lineRule="atLeast"/>
              <w:rPr>
                <w:rFonts w:cs="Arial"/>
              </w:rPr>
            </w:pPr>
            <w:r w:rsidRPr="006031D6">
              <w:rPr>
                <w:rFonts w:cs="Arial"/>
              </w:rPr>
              <w:t>3 712</w:t>
            </w:r>
          </w:p>
        </w:tc>
        <w:tc>
          <w:tcPr>
            <w:tcW w:w="704" w:type="dxa"/>
            <w:tcBorders>
              <w:top w:val="single" w:sz="6" w:space="0" w:color="auto"/>
              <w:left w:val="single" w:sz="6" w:space="0" w:color="auto"/>
              <w:bottom w:val="single" w:sz="6" w:space="0" w:color="auto"/>
              <w:right w:val="single" w:sz="6" w:space="0" w:color="auto"/>
            </w:tcBorders>
          </w:tcPr>
          <w:p w14:paraId="6E523103" w14:textId="77777777" w:rsidR="006031D6" w:rsidRPr="006031D6" w:rsidRDefault="006031D6" w:rsidP="006031D6">
            <w:pPr>
              <w:pStyle w:val="Texttabulky"/>
              <w:spacing w:after="0" w:line="240" w:lineRule="atLeast"/>
              <w:rPr>
                <w:rFonts w:cs="Arial"/>
              </w:rPr>
            </w:pPr>
            <w:r w:rsidRPr="006031D6">
              <w:rPr>
                <w:rFonts w:cs="Arial"/>
              </w:rPr>
              <w:t>0,12</w:t>
            </w:r>
          </w:p>
        </w:tc>
        <w:tc>
          <w:tcPr>
            <w:tcW w:w="946" w:type="dxa"/>
            <w:tcBorders>
              <w:top w:val="single" w:sz="6" w:space="0" w:color="auto"/>
              <w:left w:val="single" w:sz="6" w:space="0" w:color="auto"/>
              <w:bottom w:val="single" w:sz="6" w:space="0" w:color="auto"/>
              <w:right w:val="single" w:sz="6" w:space="0" w:color="auto"/>
            </w:tcBorders>
          </w:tcPr>
          <w:p w14:paraId="622F211F" w14:textId="77777777" w:rsidR="006031D6" w:rsidRPr="006031D6" w:rsidRDefault="006031D6" w:rsidP="006031D6">
            <w:pPr>
              <w:pStyle w:val="Texttabulky"/>
              <w:spacing w:after="0" w:line="240" w:lineRule="atLeast"/>
              <w:rPr>
                <w:rFonts w:cs="Arial"/>
              </w:rPr>
            </w:pPr>
            <w:r w:rsidRPr="006031D6">
              <w:rPr>
                <w:rFonts w:cs="Arial"/>
              </w:rPr>
              <w:t>3 792</w:t>
            </w:r>
          </w:p>
        </w:tc>
        <w:tc>
          <w:tcPr>
            <w:tcW w:w="768" w:type="dxa"/>
            <w:tcBorders>
              <w:top w:val="single" w:sz="6" w:space="0" w:color="auto"/>
              <w:left w:val="single" w:sz="6" w:space="0" w:color="auto"/>
              <w:bottom w:val="single" w:sz="6" w:space="0" w:color="auto"/>
              <w:right w:val="single" w:sz="6" w:space="0" w:color="auto"/>
            </w:tcBorders>
          </w:tcPr>
          <w:p w14:paraId="451684CB" w14:textId="77777777" w:rsidR="006031D6" w:rsidRPr="006031D6" w:rsidRDefault="006031D6" w:rsidP="006031D6">
            <w:pPr>
              <w:pStyle w:val="Texttabulky"/>
              <w:spacing w:after="0" w:line="240" w:lineRule="atLeast"/>
              <w:rPr>
                <w:rFonts w:cs="Arial"/>
              </w:rPr>
            </w:pPr>
            <w:r w:rsidRPr="006031D6">
              <w:rPr>
                <w:rFonts w:cs="Arial"/>
              </w:rPr>
              <w:t>0,12</w:t>
            </w:r>
          </w:p>
        </w:tc>
        <w:tc>
          <w:tcPr>
            <w:tcW w:w="657" w:type="dxa"/>
            <w:tcBorders>
              <w:top w:val="single" w:sz="6" w:space="0" w:color="auto"/>
              <w:left w:val="single" w:sz="6" w:space="0" w:color="auto"/>
              <w:bottom w:val="single" w:sz="6" w:space="0" w:color="auto"/>
              <w:right w:val="single" w:sz="6" w:space="0" w:color="auto"/>
            </w:tcBorders>
          </w:tcPr>
          <w:p w14:paraId="0BF1341E" w14:textId="77777777" w:rsidR="006031D6" w:rsidRPr="006031D6" w:rsidRDefault="006031D6" w:rsidP="006031D6">
            <w:pPr>
              <w:pStyle w:val="Texttabulky"/>
              <w:spacing w:after="0" w:line="240" w:lineRule="atLeast"/>
              <w:rPr>
                <w:rFonts w:cs="Arial"/>
              </w:rPr>
            </w:pPr>
            <w:r w:rsidRPr="006031D6">
              <w:rPr>
                <w:rFonts w:cs="Arial"/>
              </w:rPr>
              <w:t>0,15</w:t>
            </w:r>
          </w:p>
        </w:tc>
        <w:tc>
          <w:tcPr>
            <w:tcW w:w="610" w:type="dxa"/>
            <w:tcBorders>
              <w:top w:val="single" w:sz="6" w:space="0" w:color="auto"/>
              <w:left w:val="single" w:sz="6" w:space="0" w:color="auto"/>
              <w:bottom w:val="single" w:sz="6" w:space="0" w:color="auto"/>
              <w:right w:val="single" w:sz="6" w:space="0" w:color="auto"/>
            </w:tcBorders>
          </w:tcPr>
          <w:p w14:paraId="3F692A9B" w14:textId="77777777" w:rsidR="006031D6" w:rsidRPr="006031D6" w:rsidRDefault="006031D6" w:rsidP="006031D6">
            <w:pPr>
              <w:pStyle w:val="Texttabulky"/>
              <w:spacing w:after="0" w:line="240" w:lineRule="atLeast"/>
              <w:rPr>
                <w:rFonts w:cs="Arial"/>
              </w:rPr>
            </w:pPr>
            <w:r w:rsidRPr="006031D6">
              <w:rPr>
                <w:rFonts w:cs="Arial"/>
              </w:rPr>
              <w:t>0,2</w:t>
            </w:r>
          </w:p>
        </w:tc>
        <w:tc>
          <w:tcPr>
            <w:tcW w:w="963" w:type="dxa"/>
            <w:gridSpan w:val="2"/>
            <w:tcBorders>
              <w:top w:val="single" w:sz="6" w:space="0" w:color="auto"/>
              <w:left w:val="single" w:sz="6" w:space="0" w:color="auto"/>
              <w:bottom w:val="single" w:sz="6" w:space="0" w:color="auto"/>
              <w:right w:val="single" w:sz="6" w:space="0" w:color="auto"/>
            </w:tcBorders>
          </w:tcPr>
          <w:p w14:paraId="40944FA1" w14:textId="77777777" w:rsidR="006031D6" w:rsidRPr="006031D6" w:rsidRDefault="006031D6" w:rsidP="006031D6">
            <w:pPr>
              <w:pStyle w:val="Texttabulky"/>
              <w:spacing w:after="0" w:line="240" w:lineRule="atLeast"/>
              <w:rPr>
                <w:rFonts w:cs="Arial"/>
              </w:rPr>
            </w:pPr>
            <w:r w:rsidRPr="006031D6">
              <w:rPr>
                <w:rFonts w:cs="Arial"/>
              </w:rPr>
              <w:t>0,4</w:t>
            </w:r>
          </w:p>
        </w:tc>
      </w:tr>
      <w:tr w:rsidR="006031D6" w:rsidRPr="006031D6" w14:paraId="41F8BBD8"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1852423A" w14:textId="77777777" w:rsidR="006031D6" w:rsidRPr="006031D6" w:rsidRDefault="006031D6" w:rsidP="006031D6">
            <w:pPr>
              <w:pStyle w:val="Texttabulky"/>
              <w:spacing w:after="0" w:line="240" w:lineRule="atLeast"/>
              <w:rPr>
                <w:rFonts w:cs="Arial"/>
              </w:rPr>
            </w:pPr>
            <w:r w:rsidRPr="006031D6">
              <w:rPr>
                <w:rFonts w:cs="Arial"/>
              </w:rPr>
              <w:t>U tří bříz</w:t>
            </w:r>
          </w:p>
        </w:tc>
        <w:tc>
          <w:tcPr>
            <w:tcW w:w="946" w:type="dxa"/>
            <w:tcBorders>
              <w:top w:val="single" w:sz="6" w:space="0" w:color="auto"/>
              <w:left w:val="nil"/>
              <w:bottom w:val="single" w:sz="6" w:space="0" w:color="auto"/>
              <w:right w:val="single" w:sz="6" w:space="0" w:color="auto"/>
            </w:tcBorders>
          </w:tcPr>
          <w:p w14:paraId="26C358B4" w14:textId="77777777" w:rsidR="006031D6" w:rsidRPr="006031D6" w:rsidRDefault="006031D6" w:rsidP="006031D6">
            <w:pPr>
              <w:pStyle w:val="Texttabulky"/>
              <w:spacing w:after="0" w:line="240" w:lineRule="atLeast"/>
              <w:rPr>
                <w:rFonts w:cs="Arial"/>
              </w:rPr>
            </w:pPr>
            <w:r w:rsidRPr="006031D6">
              <w:rPr>
                <w:rFonts w:cs="Arial"/>
              </w:rPr>
              <w:t>6 200</w:t>
            </w:r>
          </w:p>
        </w:tc>
        <w:tc>
          <w:tcPr>
            <w:tcW w:w="672" w:type="dxa"/>
            <w:tcBorders>
              <w:top w:val="single" w:sz="6" w:space="0" w:color="auto"/>
              <w:left w:val="single" w:sz="6" w:space="0" w:color="auto"/>
              <w:bottom w:val="single" w:sz="6" w:space="0" w:color="auto"/>
              <w:right w:val="single" w:sz="6" w:space="0" w:color="auto"/>
            </w:tcBorders>
          </w:tcPr>
          <w:p w14:paraId="2F2EBC9F" w14:textId="77777777" w:rsidR="006031D6" w:rsidRPr="006031D6" w:rsidRDefault="006031D6" w:rsidP="006031D6">
            <w:pPr>
              <w:pStyle w:val="Texttabulky"/>
              <w:spacing w:after="0" w:line="240" w:lineRule="atLeast"/>
              <w:rPr>
                <w:rFonts w:cs="Arial"/>
              </w:rPr>
            </w:pPr>
            <w:r w:rsidRPr="006031D6">
              <w:rPr>
                <w:rFonts w:cs="Arial"/>
              </w:rPr>
              <w:t>0,2</w:t>
            </w:r>
          </w:p>
        </w:tc>
        <w:tc>
          <w:tcPr>
            <w:tcW w:w="946" w:type="dxa"/>
            <w:tcBorders>
              <w:top w:val="single" w:sz="6" w:space="0" w:color="auto"/>
              <w:left w:val="single" w:sz="6" w:space="0" w:color="auto"/>
              <w:bottom w:val="single" w:sz="6" w:space="0" w:color="auto"/>
              <w:right w:val="single" w:sz="6" w:space="0" w:color="auto"/>
            </w:tcBorders>
          </w:tcPr>
          <w:p w14:paraId="2F06E153" w14:textId="77777777" w:rsidR="006031D6" w:rsidRPr="006031D6" w:rsidRDefault="006031D6" w:rsidP="006031D6">
            <w:pPr>
              <w:pStyle w:val="Texttabulky"/>
              <w:spacing w:after="0" w:line="240" w:lineRule="atLeast"/>
              <w:rPr>
                <w:rFonts w:cs="Arial"/>
              </w:rPr>
            </w:pPr>
            <w:r w:rsidRPr="006031D6">
              <w:rPr>
                <w:rFonts w:cs="Arial"/>
              </w:rPr>
              <w:t>5 000</w:t>
            </w:r>
          </w:p>
        </w:tc>
        <w:tc>
          <w:tcPr>
            <w:tcW w:w="704" w:type="dxa"/>
            <w:tcBorders>
              <w:top w:val="single" w:sz="6" w:space="0" w:color="auto"/>
              <w:left w:val="single" w:sz="6" w:space="0" w:color="auto"/>
              <w:bottom w:val="single" w:sz="6" w:space="0" w:color="auto"/>
              <w:right w:val="single" w:sz="6" w:space="0" w:color="auto"/>
            </w:tcBorders>
          </w:tcPr>
          <w:p w14:paraId="35FF0485" w14:textId="77777777" w:rsidR="006031D6" w:rsidRPr="006031D6" w:rsidRDefault="006031D6" w:rsidP="006031D6">
            <w:pPr>
              <w:pStyle w:val="Texttabulky"/>
              <w:spacing w:after="0" w:line="240" w:lineRule="atLeast"/>
              <w:rPr>
                <w:rFonts w:cs="Arial"/>
              </w:rPr>
            </w:pPr>
            <w:r w:rsidRPr="006031D6">
              <w:rPr>
                <w:rFonts w:cs="Arial"/>
              </w:rPr>
              <w:t>0,16</w:t>
            </w:r>
          </w:p>
        </w:tc>
        <w:tc>
          <w:tcPr>
            <w:tcW w:w="946" w:type="dxa"/>
            <w:tcBorders>
              <w:top w:val="single" w:sz="6" w:space="0" w:color="auto"/>
              <w:left w:val="single" w:sz="6" w:space="0" w:color="auto"/>
              <w:bottom w:val="single" w:sz="6" w:space="0" w:color="auto"/>
              <w:right w:val="single" w:sz="6" w:space="0" w:color="auto"/>
            </w:tcBorders>
          </w:tcPr>
          <w:p w14:paraId="135D3437" w14:textId="77777777" w:rsidR="006031D6" w:rsidRPr="006031D6" w:rsidRDefault="006031D6" w:rsidP="006031D6">
            <w:pPr>
              <w:pStyle w:val="Texttabulky"/>
              <w:spacing w:after="0" w:line="240" w:lineRule="atLeast"/>
              <w:rPr>
                <w:rFonts w:cs="Arial"/>
              </w:rPr>
            </w:pPr>
            <w:r w:rsidRPr="006031D6">
              <w:rPr>
                <w:rFonts w:cs="Arial"/>
              </w:rPr>
              <w:t>4 338</w:t>
            </w:r>
          </w:p>
        </w:tc>
        <w:tc>
          <w:tcPr>
            <w:tcW w:w="768" w:type="dxa"/>
            <w:tcBorders>
              <w:top w:val="single" w:sz="6" w:space="0" w:color="auto"/>
              <w:left w:val="single" w:sz="6" w:space="0" w:color="auto"/>
              <w:bottom w:val="single" w:sz="6" w:space="0" w:color="auto"/>
              <w:right w:val="single" w:sz="6" w:space="0" w:color="auto"/>
            </w:tcBorders>
          </w:tcPr>
          <w:p w14:paraId="79A8E9E9" w14:textId="77777777" w:rsidR="006031D6" w:rsidRPr="006031D6" w:rsidRDefault="006031D6" w:rsidP="006031D6">
            <w:pPr>
              <w:pStyle w:val="Texttabulky"/>
              <w:spacing w:after="0" w:line="240" w:lineRule="atLeast"/>
              <w:rPr>
                <w:rFonts w:cs="Arial"/>
              </w:rPr>
            </w:pPr>
            <w:r w:rsidRPr="006031D6">
              <w:rPr>
                <w:rFonts w:cs="Arial"/>
              </w:rPr>
              <w:t>0,14</w:t>
            </w:r>
          </w:p>
        </w:tc>
        <w:tc>
          <w:tcPr>
            <w:tcW w:w="657" w:type="dxa"/>
            <w:tcBorders>
              <w:top w:val="single" w:sz="6" w:space="0" w:color="auto"/>
              <w:left w:val="single" w:sz="6" w:space="0" w:color="auto"/>
              <w:bottom w:val="single" w:sz="6" w:space="0" w:color="auto"/>
              <w:right w:val="single" w:sz="6" w:space="0" w:color="auto"/>
            </w:tcBorders>
          </w:tcPr>
          <w:p w14:paraId="602277DE" w14:textId="77777777" w:rsidR="006031D6" w:rsidRPr="006031D6" w:rsidRDefault="006031D6" w:rsidP="006031D6">
            <w:pPr>
              <w:pStyle w:val="Texttabulky"/>
              <w:spacing w:after="0" w:line="240" w:lineRule="atLeast"/>
              <w:rPr>
                <w:rFonts w:cs="Arial"/>
              </w:rPr>
            </w:pPr>
            <w:r w:rsidRPr="006031D6">
              <w:rPr>
                <w:rFonts w:cs="Arial"/>
              </w:rPr>
              <w:t>0,1</w:t>
            </w:r>
          </w:p>
        </w:tc>
        <w:tc>
          <w:tcPr>
            <w:tcW w:w="610" w:type="dxa"/>
            <w:tcBorders>
              <w:top w:val="single" w:sz="6" w:space="0" w:color="auto"/>
              <w:left w:val="single" w:sz="6" w:space="0" w:color="auto"/>
              <w:bottom w:val="single" w:sz="6" w:space="0" w:color="auto"/>
              <w:right w:val="single" w:sz="6" w:space="0" w:color="auto"/>
            </w:tcBorders>
          </w:tcPr>
          <w:p w14:paraId="255D72F7" w14:textId="77777777" w:rsidR="006031D6" w:rsidRPr="006031D6" w:rsidRDefault="006031D6" w:rsidP="006031D6">
            <w:pPr>
              <w:pStyle w:val="Texttabulky"/>
              <w:spacing w:after="0" w:line="240" w:lineRule="atLeast"/>
              <w:rPr>
                <w:rFonts w:cs="Arial"/>
              </w:rPr>
            </w:pPr>
            <w:r w:rsidRPr="006031D6">
              <w:rPr>
                <w:rFonts w:cs="Arial"/>
              </w:rPr>
              <w:t>0,15</w:t>
            </w:r>
          </w:p>
        </w:tc>
        <w:tc>
          <w:tcPr>
            <w:tcW w:w="963" w:type="dxa"/>
            <w:gridSpan w:val="2"/>
            <w:tcBorders>
              <w:top w:val="single" w:sz="6" w:space="0" w:color="auto"/>
              <w:left w:val="single" w:sz="6" w:space="0" w:color="auto"/>
              <w:bottom w:val="single" w:sz="6" w:space="0" w:color="auto"/>
              <w:right w:val="single" w:sz="6" w:space="0" w:color="auto"/>
            </w:tcBorders>
          </w:tcPr>
          <w:p w14:paraId="0D10361D" w14:textId="77777777" w:rsidR="006031D6" w:rsidRPr="006031D6" w:rsidRDefault="006031D6" w:rsidP="006031D6">
            <w:pPr>
              <w:pStyle w:val="Texttabulky"/>
              <w:spacing w:after="0" w:line="240" w:lineRule="atLeast"/>
              <w:rPr>
                <w:rFonts w:cs="Arial"/>
              </w:rPr>
            </w:pPr>
            <w:r w:rsidRPr="006031D6">
              <w:rPr>
                <w:rFonts w:cs="Arial"/>
              </w:rPr>
              <w:t>0,3</w:t>
            </w:r>
          </w:p>
        </w:tc>
      </w:tr>
      <w:tr w:rsidR="006031D6" w:rsidRPr="006031D6" w14:paraId="48D96E17"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7E4B27FB" w14:textId="77777777" w:rsidR="006031D6" w:rsidRPr="006031D6" w:rsidRDefault="006031D6" w:rsidP="006031D6">
            <w:pPr>
              <w:pStyle w:val="Texttabulky"/>
              <w:spacing w:after="0" w:line="240" w:lineRule="atLeast"/>
              <w:rPr>
                <w:rFonts w:cs="Arial"/>
              </w:rPr>
            </w:pPr>
            <w:r w:rsidRPr="006031D6">
              <w:rPr>
                <w:rFonts w:cs="Arial"/>
              </w:rPr>
              <w:t>Kamenná</w:t>
            </w:r>
          </w:p>
        </w:tc>
        <w:tc>
          <w:tcPr>
            <w:tcW w:w="946" w:type="dxa"/>
            <w:tcBorders>
              <w:top w:val="single" w:sz="6" w:space="0" w:color="auto"/>
              <w:left w:val="nil"/>
              <w:bottom w:val="single" w:sz="6" w:space="0" w:color="auto"/>
              <w:right w:val="single" w:sz="6" w:space="0" w:color="auto"/>
            </w:tcBorders>
          </w:tcPr>
          <w:p w14:paraId="2449B236" w14:textId="77777777" w:rsidR="006031D6" w:rsidRPr="006031D6" w:rsidRDefault="006031D6" w:rsidP="006031D6">
            <w:pPr>
              <w:pStyle w:val="Texttabulky"/>
              <w:spacing w:after="0" w:line="240" w:lineRule="atLeast"/>
              <w:rPr>
                <w:rFonts w:cs="Arial"/>
              </w:rPr>
            </w:pPr>
            <w:r w:rsidRPr="006031D6">
              <w:rPr>
                <w:rFonts w:cs="Arial"/>
              </w:rPr>
              <w:t>6 800</w:t>
            </w:r>
          </w:p>
        </w:tc>
        <w:tc>
          <w:tcPr>
            <w:tcW w:w="672" w:type="dxa"/>
            <w:tcBorders>
              <w:top w:val="single" w:sz="6" w:space="0" w:color="auto"/>
              <w:left w:val="single" w:sz="6" w:space="0" w:color="auto"/>
              <w:bottom w:val="single" w:sz="6" w:space="0" w:color="auto"/>
              <w:right w:val="single" w:sz="6" w:space="0" w:color="auto"/>
            </w:tcBorders>
          </w:tcPr>
          <w:p w14:paraId="3A4675FE" w14:textId="77777777" w:rsidR="006031D6" w:rsidRPr="006031D6" w:rsidRDefault="006031D6" w:rsidP="006031D6">
            <w:pPr>
              <w:pStyle w:val="Texttabulky"/>
              <w:spacing w:after="0" w:line="240" w:lineRule="atLeast"/>
              <w:rPr>
                <w:rFonts w:cs="Arial"/>
              </w:rPr>
            </w:pPr>
            <w:r w:rsidRPr="006031D6">
              <w:rPr>
                <w:rFonts w:cs="Arial"/>
              </w:rPr>
              <w:t>0,22</w:t>
            </w:r>
          </w:p>
        </w:tc>
        <w:tc>
          <w:tcPr>
            <w:tcW w:w="946" w:type="dxa"/>
            <w:tcBorders>
              <w:top w:val="single" w:sz="6" w:space="0" w:color="auto"/>
              <w:left w:val="single" w:sz="6" w:space="0" w:color="auto"/>
              <w:bottom w:val="single" w:sz="6" w:space="0" w:color="auto"/>
              <w:right w:val="single" w:sz="6" w:space="0" w:color="auto"/>
            </w:tcBorders>
          </w:tcPr>
          <w:p w14:paraId="3C2969D7" w14:textId="77777777" w:rsidR="006031D6" w:rsidRPr="006031D6" w:rsidRDefault="006031D6" w:rsidP="006031D6">
            <w:pPr>
              <w:pStyle w:val="Texttabulky"/>
              <w:spacing w:after="0" w:line="240" w:lineRule="atLeast"/>
              <w:rPr>
                <w:rFonts w:cs="Arial"/>
              </w:rPr>
            </w:pPr>
            <w:r w:rsidRPr="006031D6">
              <w:rPr>
                <w:rFonts w:cs="Arial"/>
              </w:rPr>
              <w:t>25 560</w:t>
            </w:r>
          </w:p>
        </w:tc>
        <w:tc>
          <w:tcPr>
            <w:tcW w:w="704" w:type="dxa"/>
            <w:tcBorders>
              <w:top w:val="single" w:sz="6" w:space="0" w:color="auto"/>
              <w:left w:val="single" w:sz="6" w:space="0" w:color="auto"/>
              <w:bottom w:val="single" w:sz="6" w:space="0" w:color="auto"/>
              <w:right w:val="single" w:sz="6" w:space="0" w:color="auto"/>
            </w:tcBorders>
          </w:tcPr>
          <w:p w14:paraId="1BCE2B68" w14:textId="77777777" w:rsidR="006031D6" w:rsidRPr="006031D6" w:rsidRDefault="006031D6" w:rsidP="006031D6">
            <w:pPr>
              <w:pStyle w:val="Texttabulky"/>
              <w:spacing w:after="0" w:line="240" w:lineRule="atLeast"/>
              <w:rPr>
                <w:rFonts w:cs="Arial"/>
              </w:rPr>
            </w:pPr>
            <w:r w:rsidRPr="006031D6">
              <w:rPr>
                <w:rFonts w:cs="Arial"/>
              </w:rPr>
              <w:t>0,81</w:t>
            </w:r>
          </w:p>
        </w:tc>
        <w:tc>
          <w:tcPr>
            <w:tcW w:w="946" w:type="dxa"/>
            <w:tcBorders>
              <w:top w:val="single" w:sz="6" w:space="0" w:color="auto"/>
              <w:left w:val="single" w:sz="6" w:space="0" w:color="auto"/>
              <w:bottom w:val="single" w:sz="6" w:space="0" w:color="auto"/>
              <w:right w:val="single" w:sz="6" w:space="0" w:color="auto"/>
            </w:tcBorders>
          </w:tcPr>
          <w:p w14:paraId="4F640780" w14:textId="77777777" w:rsidR="006031D6" w:rsidRPr="006031D6" w:rsidRDefault="006031D6" w:rsidP="006031D6">
            <w:pPr>
              <w:pStyle w:val="Texttabulky"/>
              <w:spacing w:after="0" w:line="240" w:lineRule="atLeast"/>
              <w:rPr>
                <w:rFonts w:cs="Arial"/>
              </w:rPr>
            </w:pPr>
            <w:r w:rsidRPr="006031D6">
              <w:rPr>
                <w:rFonts w:cs="Arial"/>
              </w:rPr>
              <w:t>11 615</w:t>
            </w:r>
          </w:p>
        </w:tc>
        <w:tc>
          <w:tcPr>
            <w:tcW w:w="768" w:type="dxa"/>
            <w:tcBorders>
              <w:top w:val="single" w:sz="6" w:space="0" w:color="auto"/>
              <w:left w:val="single" w:sz="6" w:space="0" w:color="auto"/>
              <w:bottom w:val="single" w:sz="6" w:space="0" w:color="auto"/>
              <w:right w:val="single" w:sz="6" w:space="0" w:color="auto"/>
            </w:tcBorders>
          </w:tcPr>
          <w:p w14:paraId="4B80A7B8" w14:textId="77777777" w:rsidR="006031D6" w:rsidRPr="006031D6" w:rsidRDefault="006031D6" w:rsidP="006031D6">
            <w:pPr>
              <w:pStyle w:val="Texttabulky"/>
              <w:spacing w:after="0" w:line="240" w:lineRule="atLeast"/>
              <w:rPr>
                <w:rFonts w:cs="Arial"/>
              </w:rPr>
            </w:pPr>
            <w:r w:rsidRPr="006031D6">
              <w:rPr>
                <w:rFonts w:cs="Arial"/>
              </w:rPr>
              <w:t>0,37</w:t>
            </w:r>
          </w:p>
        </w:tc>
        <w:tc>
          <w:tcPr>
            <w:tcW w:w="657" w:type="dxa"/>
            <w:tcBorders>
              <w:top w:val="single" w:sz="6" w:space="0" w:color="auto"/>
              <w:left w:val="single" w:sz="6" w:space="0" w:color="auto"/>
              <w:bottom w:val="single" w:sz="6" w:space="0" w:color="auto"/>
              <w:right w:val="single" w:sz="6" w:space="0" w:color="auto"/>
            </w:tcBorders>
          </w:tcPr>
          <w:p w14:paraId="21AF1F1A" w14:textId="77777777" w:rsidR="006031D6" w:rsidRPr="006031D6" w:rsidRDefault="006031D6" w:rsidP="006031D6">
            <w:pPr>
              <w:pStyle w:val="Texttabulky"/>
              <w:spacing w:after="0" w:line="240" w:lineRule="atLeast"/>
              <w:rPr>
                <w:rFonts w:cs="Arial"/>
              </w:rPr>
            </w:pPr>
            <w:r w:rsidRPr="006031D6">
              <w:rPr>
                <w:rFonts w:cs="Arial"/>
              </w:rPr>
              <w:t>2</w:t>
            </w:r>
          </w:p>
        </w:tc>
        <w:tc>
          <w:tcPr>
            <w:tcW w:w="610" w:type="dxa"/>
            <w:tcBorders>
              <w:top w:val="single" w:sz="6" w:space="0" w:color="auto"/>
              <w:left w:val="single" w:sz="6" w:space="0" w:color="auto"/>
              <w:bottom w:val="single" w:sz="6" w:space="0" w:color="auto"/>
              <w:right w:val="single" w:sz="6" w:space="0" w:color="auto"/>
            </w:tcBorders>
          </w:tcPr>
          <w:p w14:paraId="5648F971" w14:textId="77777777" w:rsidR="006031D6" w:rsidRPr="006031D6" w:rsidRDefault="006031D6" w:rsidP="006031D6">
            <w:pPr>
              <w:pStyle w:val="Texttabulky"/>
              <w:spacing w:after="0" w:line="240" w:lineRule="atLeast"/>
              <w:rPr>
                <w:rFonts w:cs="Arial"/>
              </w:rPr>
            </w:pPr>
            <w:r w:rsidRPr="006031D6">
              <w:rPr>
                <w:rFonts w:cs="Arial"/>
              </w:rPr>
              <w:t>2,5</w:t>
            </w:r>
          </w:p>
        </w:tc>
        <w:tc>
          <w:tcPr>
            <w:tcW w:w="963" w:type="dxa"/>
            <w:gridSpan w:val="2"/>
            <w:tcBorders>
              <w:top w:val="single" w:sz="6" w:space="0" w:color="auto"/>
              <w:left w:val="single" w:sz="6" w:space="0" w:color="auto"/>
              <w:bottom w:val="single" w:sz="6" w:space="0" w:color="auto"/>
              <w:right w:val="single" w:sz="6" w:space="0" w:color="auto"/>
            </w:tcBorders>
          </w:tcPr>
          <w:p w14:paraId="48964B74" w14:textId="77777777" w:rsidR="006031D6" w:rsidRPr="006031D6" w:rsidRDefault="006031D6" w:rsidP="006031D6">
            <w:pPr>
              <w:pStyle w:val="Texttabulky"/>
              <w:spacing w:after="0" w:line="240" w:lineRule="atLeast"/>
              <w:rPr>
                <w:rFonts w:cs="Arial"/>
              </w:rPr>
            </w:pPr>
            <w:r w:rsidRPr="006031D6">
              <w:rPr>
                <w:rFonts w:cs="Arial"/>
              </w:rPr>
              <w:t>5</w:t>
            </w:r>
          </w:p>
        </w:tc>
      </w:tr>
      <w:tr w:rsidR="006031D6" w:rsidRPr="006031D6" w14:paraId="3302E80F" w14:textId="77777777" w:rsidTr="002D2D45">
        <w:trPr>
          <w:trHeight w:val="251"/>
        </w:trPr>
        <w:tc>
          <w:tcPr>
            <w:tcW w:w="1789" w:type="dxa"/>
            <w:tcBorders>
              <w:top w:val="single" w:sz="6" w:space="0" w:color="auto"/>
              <w:left w:val="single" w:sz="6" w:space="0" w:color="auto"/>
              <w:bottom w:val="single" w:sz="6" w:space="0" w:color="auto"/>
              <w:right w:val="single" w:sz="6" w:space="0" w:color="auto"/>
            </w:tcBorders>
          </w:tcPr>
          <w:p w14:paraId="58615719" w14:textId="77777777" w:rsidR="006031D6" w:rsidRPr="006031D6" w:rsidRDefault="006031D6" w:rsidP="006031D6">
            <w:pPr>
              <w:pStyle w:val="Texttabulky"/>
              <w:spacing w:after="0" w:line="240" w:lineRule="atLeast"/>
              <w:rPr>
                <w:rFonts w:cs="Arial"/>
              </w:rPr>
            </w:pPr>
            <w:r w:rsidRPr="006031D6">
              <w:rPr>
                <w:rFonts w:cs="Arial"/>
              </w:rPr>
              <w:t>Nové Jílové</w:t>
            </w:r>
          </w:p>
        </w:tc>
        <w:tc>
          <w:tcPr>
            <w:tcW w:w="946" w:type="dxa"/>
            <w:tcBorders>
              <w:top w:val="single" w:sz="6" w:space="0" w:color="auto"/>
              <w:left w:val="nil"/>
              <w:bottom w:val="single" w:sz="6" w:space="0" w:color="auto"/>
              <w:right w:val="single" w:sz="6" w:space="0" w:color="auto"/>
            </w:tcBorders>
          </w:tcPr>
          <w:p w14:paraId="295745C1" w14:textId="77777777" w:rsidR="006031D6" w:rsidRPr="006031D6" w:rsidRDefault="006031D6" w:rsidP="006031D6">
            <w:pPr>
              <w:pStyle w:val="Texttabulky"/>
              <w:spacing w:after="0" w:line="240" w:lineRule="atLeast"/>
              <w:rPr>
                <w:rFonts w:cs="Arial"/>
              </w:rPr>
            </w:pPr>
            <w:r w:rsidRPr="006031D6">
              <w:rPr>
                <w:rFonts w:cs="Arial"/>
              </w:rPr>
              <w:t>11 900</w:t>
            </w:r>
          </w:p>
        </w:tc>
        <w:tc>
          <w:tcPr>
            <w:tcW w:w="672" w:type="dxa"/>
            <w:tcBorders>
              <w:top w:val="single" w:sz="6" w:space="0" w:color="auto"/>
              <w:left w:val="single" w:sz="6" w:space="0" w:color="auto"/>
              <w:bottom w:val="single" w:sz="6" w:space="0" w:color="auto"/>
              <w:right w:val="single" w:sz="6" w:space="0" w:color="auto"/>
            </w:tcBorders>
          </w:tcPr>
          <w:p w14:paraId="141BD7A1" w14:textId="77777777" w:rsidR="006031D6" w:rsidRPr="006031D6" w:rsidRDefault="006031D6" w:rsidP="006031D6">
            <w:pPr>
              <w:pStyle w:val="Texttabulky"/>
              <w:spacing w:after="0" w:line="240" w:lineRule="atLeast"/>
              <w:rPr>
                <w:rFonts w:cs="Arial"/>
              </w:rPr>
            </w:pPr>
            <w:r w:rsidRPr="006031D6">
              <w:rPr>
                <w:rFonts w:cs="Arial"/>
              </w:rPr>
              <w:t>0,38</w:t>
            </w:r>
          </w:p>
        </w:tc>
        <w:tc>
          <w:tcPr>
            <w:tcW w:w="946" w:type="dxa"/>
            <w:tcBorders>
              <w:top w:val="single" w:sz="6" w:space="0" w:color="auto"/>
              <w:left w:val="single" w:sz="6" w:space="0" w:color="auto"/>
              <w:bottom w:val="single" w:sz="6" w:space="0" w:color="auto"/>
              <w:right w:val="single" w:sz="6" w:space="0" w:color="auto"/>
            </w:tcBorders>
          </w:tcPr>
          <w:p w14:paraId="0B2BFF27" w14:textId="77777777" w:rsidR="006031D6" w:rsidRPr="006031D6" w:rsidRDefault="006031D6" w:rsidP="006031D6">
            <w:pPr>
              <w:pStyle w:val="Texttabulky"/>
              <w:spacing w:after="0" w:line="240" w:lineRule="atLeast"/>
              <w:rPr>
                <w:rFonts w:cs="Arial"/>
              </w:rPr>
            </w:pPr>
            <w:r w:rsidRPr="006031D6">
              <w:rPr>
                <w:rFonts w:cs="Arial"/>
              </w:rPr>
              <w:t>24 910</w:t>
            </w:r>
          </w:p>
        </w:tc>
        <w:tc>
          <w:tcPr>
            <w:tcW w:w="704" w:type="dxa"/>
            <w:tcBorders>
              <w:top w:val="single" w:sz="6" w:space="0" w:color="auto"/>
              <w:left w:val="single" w:sz="6" w:space="0" w:color="auto"/>
              <w:bottom w:val="single" w:sz="6" w:space="0" w:color="auto"/>
              <w:right w:val="single" w:sz="6" w:space="0" w:color="auto"/>
            </w:tcBorders>
          </w:tcPr>
          <w:p w14:paraId="31E82F78" w14:textId="77777777" w:rsidR="006031D6" w:rsidRPr="006031D6" w:rsidRDefault="006031D6" w:rsidP="006031D6">
            <w:pPr>
              <w:pStyle w:val="Texttabulky"/>
              <w:spacing w:after="0" w:line="240" w:lineRule="atLeast"/>
              <w:rPr>
                <w:rFonts w:cs="Arial"/>
              </w:rPr>
            </w:pPr>
            <w:r w:rsidRPr="006031D6">
              <w:rPr>
                <w:rFonts w:cs="Arial"/>
              </w:rPr>
              <w:t>0,79</w:t>
            </w:r>
          </w:p>
        </w:tc>
        <w:tc>
          <w:tcPr>
            <w:tcW w:w="946" w:type="dxa"/>
            <w:tcBorders>
              <w:top w:val="single" w:sz="6" w:space="0" w:color="auto"/>
              <w:left w:val="single" w:sz="6" w:space="0" w:color="auto"/>
              <w:bottom w:val="single" w:sz="6" w:space="0" w:color="auto"/>
              <w:right w:val="single" w:sz="6" w:space="0" w:color="auto"/>
            </w:tcBorders>
          </w:tcPr>
          <w:p w14:paraId="3371E031" w14:textId="77777777" w:rsidR="006031D6" w:rsidRPr="006031D6" w:rsidRDefault="006031D6" w:rsidP="006031D6">
            <w:pPr>
              <w:pStyle w:val="Texttabulky"/>
              <w:spacing w:after="0" w:line="240" w:lineRule="atLeast"/>
              <w:rPr>
                <w:rFonts w:cs="Arial"/>
              </w:rPr>
            </w:pPr>
            <w:r w:rsidRPr="006031D6">
              <w:rPr>
                <w:rFonts w:cs="Arial"/>
              </w:rPr>
              <w:t>25 492</w:t>
            </w:r>
          </w:p>
        </w:tc>
        <w:tc>
          <w:tcPr>
            <w:tcW w:w="768" w:type="dxa"/>
            <w:tcBorders>
              <w:top w:val="single" w:sz="6" w:space="0" w:color="auto"/>
              <w:left w:val="single" w:sz="6" w:space="0" w:color="auto"/>
              <w:bottom w:val="single" w:sz="6" w:space="0" w:color="auto"/>
              <w:right w:val="single" w:sz="6" w:space="0" w:color="auto"/>
            </w:tcBorders>
          </w:tcPr>
          <w:p w14:paraId="32B28A39" w14:textId="77777777" w:rsidR="006031D6" w:rsidRPr="006031D6" w:rsidRDefault="006031D6" w:rsidP="006031D6">
            <w:pPr>
              <w:pStyle w:val="Texttabulky"/>
              <w:spacing w:after="0" w:line="240" w:lineRule="atLeast"/>
              <w:rPr>
                <w:rFonts w:cs="Arial"/>
              </w:rPr>
            </w:pPr>
            <w:r w:rsidRPr="006031D6">
              <w:rPr>
                <w:rFonts w:cs="Arial"/>
              </w:rPr>
              <w:t>0,81</w:t>
            </w:r>
          </w:p>
        </w:tc>
        <w:tc>
          <w:tcPr>
            <w:tcW w:w="657" w:type="dxa"/>
            <w:tcBorders>
              <w:top w:val="single" w:sz="6" w:space="0" w:color="auto"/>
              <w:left w:val="single" w:sz="6" w:space="0" w:color="auto"/>
              <w:bottom w:val="single" w:sz="6" w:space="0" w:color="auto"/>
              <w:right w:val="single" w:sz="6" w:space="0" w:color="auto"/>
            </w:tcBorders>
          </w:tcPr>
          <w:p w14:paraId="066D7F0F" w14:textId="77777777" w:rsidR="006031D6" w:rsidRPr="006031D6" w:rsidRDefault="006031D6" w:rsidP="006031D6">
            <w:pPr>
              <w:pStyle w:val="Texttabulky"/>
              <w:spacing w:after="0" w:line="240" w:lineRule="atLeast"/>
              <w:rPr>
                <w:rFonts w:cs="Arial"/>
              </w:rPr>
            </w:pPr>
            <w:r w:rsidRPr="006031D6">
              <w:rPr>
                <w:rFonts w:cs="Arial"/>
              </w:rPr>
              <w:t>0,6</w:t>
            </w:r>
          </w:p>
        </w:tc>
        <w:tc>
          <w:tcPr>
            <w:tcW w:w="610" w:type="dxa"/>
            <w:tcBorders>
              <w:top w:val="single" w:sz="6" w:space="0" w:color="auto"/>
              <w:left w:val="single" w:sz="6" w:space="0" w:color="auto"/>
              <w:bottom w:val="single" w:sz="6" w:space="0" w:color="auto"/>
              <w:right w:val="single" w:sz="6" w:space="0" w:color="auto"/>
            </w:tcBorders>
          </w:tcPr>
          <w:p w14:paraId="31B00777" w14:textId="77777777" w:rsidR="006031D6" w:rsidRPr="006031D6" w:rsidRDefault="006031D6" w:rsidP="006031D6">
            <w:pPr>
              <w:pStyle w:val="Texttabulky"/>
              <w:spacing w:after="0" w:line="240" w:lineRule="atLeast"/>
              <w:rPr>
                <w:rFonts w:cs="Arial"/>
              </w:rPr>
            </w:pPr>
            <w:r w:rsidRPr="006031D6">
              <w:rPr>
                <w:rFonts w:cs="Arial"/>
              </w:rPr>
              <w:t>1,5</w:t>
            </w:r>
          </w:p>
        </w:tc>
        <w:tc>
          <w:tcPr>
            <w:tcW w:w="963" w:type="dxa"/>
            <w:gridSpan w:val="2"/>
            <w:tcBorders>
              <w:top w:val="single" w:sz="6" w:space="0" w:color="auto"/>
              <w:left w:val="single" w:sz="6" w:space="0" w:color="auto"/>
              <w:bottom w:val="single" w:sz="6" w:space="0" w:color="auto"/>
              <w:right w:val="single" w:sz="6" w:space="0" w:color="auto"/>
            </w:tcBorders>
          </w:tcPr>
          <w:p w14:paraId="491B2FBB" w14:textId="77777777" w:rsidR="006031D6" w:rsidRPr="006031D6" w:rsidRDefault="006031D6" w:rsidP="006031D6">
            <w:pPr>
              <w:pStyle w:val="Texttabulky"/>
              <w:spacing w:after="0" w:line="240" w:lineRule="atLeast"/>
              <w:rPr>
                <w:rFonts w:cs="Arial"/>
              </w:rPr>
            </w:pPr>
            <w:r w:rsidRPr="006031D6">
              <w:rPr>
                <w:rFonts w:cs="Arial"/>
              </w:rPr>
              <w:t>2,5</w:t>
            </w:r>
          </w:p>
        </w:tc>
      </w:tr>
      <w:tr w:rsidR="006031D6" w:rsidRPr="006031D6" w14:paraId="04B7BC87"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118D5A19" w14:textId="77777777" w:rsidR="006031D6" w:rsidRPr="006031D6" w:rsidRDefault="006031D6" w:rsidP="006031D6">
            <w:pPr>
              <w:pStyle w:val="Texttabulky"/>
              <w:spacing w:after="0" w:line="240" w:lineRule="atLeast"/>
              <w:rPr>
                <w:rFonts w:cs="Arial"/>
              </w:rPr>
            </w:pPr>
            <w:r w:rsidRPr="006031D6">
              <w:rPr>
                <w:rFonts w:cs="Arial"/>
              </w:rPr>
              <w:t>U rybníka</w:t>
            </w:r>
          </w:p>
        </w:tc>
        <w:tc>
          <w:tcPr>
            <w:tcW w:w="946" w:type="dxa"/>
            <w:tcBorders>
              <w:top w:val="single" w:sz="6" w:space="0" w:color="auto"/>
              <w:left w:val="nil"/>
              <w:bottom w:val="single" w:sz="6" w:space="0" w:color="auto"/>
              <w:right w:val="single" w:sz="6" w:space="0" w:color="auto"/>
            </w:tcBorders>
          </w:tcPr>
          <w:p w14:paraId="76C631F8" w14:textId="77777777" w:rsidR="006031D6" w:rsidRPr="006031D6" w:rsidRDefault="006031D6" w:rsidP="006031D6">
            <w:pPr>
              <w:pStyle w:val="Texttabulky"/>
              <w:spacing w:after="0" w:line="240" w:lineRule="atLeast"/>
              <w:rPr>
                <w:rFonts w:cs="Arial"/>
              </w:rPr>
            </w:pPr>
            <w:r w:rsidRPr="006031D6">
              <w:rPr>
                <w:rFonts w:cs="Arial"/>
              </w:rPr>
              <w:t>3 400</w:t>
            </w:r>
          </w:p>
        </w:tc>
        <w:tc>
          <w:tcPr>
            <w:tcW w:w="672" w:type="dxa"/>
            <w:tcBorders>
              <w:top w:val="single" w:sz="6" w:space="0" w:color="auto"/>
              <w:left w:val="single" w:sz="6" w:space="0" w:color="auto"/>
              <w:bottom w:val="single" w:sz="6" w:space="0" w:color="auto"/>
              <w:right w:val="single" w:sz="6" w:space="0" w:color="auto"/>
            </w:tcBorders>
          </w:tcPr>
          <w:p w14:paraId="2C77DC79" w14:textId="77777777" w:rsidR="006031D6" w:rsidRPr="006031D6" w:rsidRDefault="006031D6" w:rsidP="006031D6">
            <w:pPr>
              <w:pStyle w:val="Texttabulky"/>
              <w:spacing w:after="0" w:line="240" w:lineRule="atLeast"/>
              <w:rPr>
                <w:rFonts w:cs="Arial"/>
              </w:rPr>
            </w:pPr>
            <w:r w:rsidRPr="006031D6">
              <w:rPr>
                <w:rFonts w:cs="Arial"/>
              </w:rPr>
              <w:t>0,11</w:t>
            </w:r>
          </w:p>
        </w:tc>
        <w:tc>
          <w:tcPr>
            <w:tcW w:w="946" w:type="dxa"/>
            <w:tcBorders>
              <w:top w:val="single" w:sz="6" w:space="0" w:color="auto"/>
              <w:left w:val="single" w:sz="6" w:space="0" w:color="auto"/>
              <w:bottom w:val="single" w:sz="6" w:space="0" w:color="auto"/>
              <w:right w:val="single" w:sz="6" w:space="0" w:color="auto"/>
            </w:tcBorders>
          </w:tcPr>
          <w:p w14:paraId="0D51DEA9" w14:textId="77777777" w:rsidR="006031D6" w:rsidRPr="006031D6" w:rsidRDefault="006031D6" w:rsidP="006031D6">
            <w:pPr>
              <w:pStyle w:val="Texttabulky"/>
              <w:spacing w:after="0" w:line="240" w:lineRule="atLeast"/>
              <w:rPr>
                <w:rFonts w:cs="Arial"/>
              </w:rPr>
            </w:pPr>
            <w:r w:rsidRPr="006031D6">
              <w:rPr>
                <w:rFonts w:cs="Arial"/>
              </w:rPr>
              <w:t>10 415</w:t>
            </w:r>
          </w:p>
        </w:tc>
        <w:tc>
          <w:tcPr>
            <w:tcW w:w="704" w:type="dxa"/>
            <w:tcBorders>
              <w:top w:val="single" w:sz="6" w:space="0" w:color="auto"/>
              <w:left w:val="single" w:sz="6" w:space="0" w:color="auto"/>
              <w:bottom w:val="single" w:sz="6" w:space="0" w:color="auto"/>
              <w:right w:val="single" w:sz="6" w:space="0" w:color="auto"/>
            </w:tcBorders>
          </w:tcPr>
          <w:p w14:paraId="18D79E90" w14:textId="77777777" w:rsidR="006031D6" w:rsidRPr="006031D6" w:rsidRDefault="006031D6" w:rsidP="006031D6">
            <w:pPr>
              <w:pStyle w:val="Texttabulky"/>
              <w:spacing w:after="0" w:line="240" w:lineRule="atLeast"/>
              <w:rPr>
                <w:rFonts w:cs="Arial"/>
              </w:rPr>
            </w:pPr>
            <w:r w:rsidRPr="006031D6">
              <w:rPr>
                <w:rFonts w:cs="Arial"/>
              </w:rPr>
              <w:t>0,33</w:t>
            </w:r>
          </w:p>
        </w:tc>
        <w:tc>
          <w:tcPr>
            <w:tcW w:w="946" w:type="dxa"/>
            <w:tcBorders>
              <w:top w:val="single" w:sz="6" w:space="0" w:color="auto"/>
              <w:left w:val="single" w:sz="6" w:space="0" w:color="auto"/>
              <w:bottom w:val="single" w:sz="6" w:space="0" w:color="auto"/>
              <w:right w:val="single" w:sz="6" w:space="0" w:color="auto"/>
            </w:tcBorders>
          </w:tcPr>
          <w:p w14:paraId="22EAB163" w14:textId="77777777" w:rsidR="006031D6" w:rsidRPr="006031D6" w:rsidRDefault="006031D6" w:rsidP="006031D6">
            <w:pPr>
              <w:pStyle w:val="Texttabulky"/>
              <w:spacing w:after="0" w:line="240" w:lineRule="atLeast"/>
              <w:rPr>
                <w:rFonts w:cs="Arial"/>
              </w:rPr>
            </w:pPr>
            <w:r w:rsidRPr="006031D6">
              <w:rPr>
                <w:rFonts w:cs="Arial"/>
              </w:rPr>
              <w:t>9 100</w:t>
            </w:r>
          </w:p>
        </w:tc>
        <w:tc>
          <w:tcPr>
            <w:tcW w:w="768" w:type="dxa"/>
            <w:tcBorders>
              <w:top w:val="single" w:sz="6" w:space="0" w:color="auto"/>
              <w:left w:val="single" w:sz="6" w:space="0" w:color="auto"/>
              <w:bottom w:val="single" w:sz="6" w:space="0" w:color="auto"/>
              <w:right w:val="single" w:sz="6" w:space="0" w:color="auto"/>
            </w:tcBorders>
          </w:tcPr>
          <w:p w14:paraId="20A3E9D9" w14:textId="77777777" w:rsidR="006031D6" w:rsidRPr="006031D6" w:rsidRDefault="006031D6" w:rsidP="006031D6">
            <w:pPr>
              <w:pStyle w:val="Texttabulky"/>
              <w:spacing w:after="0" w:line="240" w:lineRule="atLeast"/>
              <w:rPr>
                <w:rFonts w:cs="Arial"/>
              </w:rPr>
            </w:pPr>
            <w:r w:rsidRPr="006031D6">
              <w:rPr>
                <w:rFonts w:cs="Arial"/>
              </w:rPr>
              <w:t>0,29</w:t>
            </w:r>
          </w:p>
        </w:tc>
        <w:tc>
          <w:tcPr>
            <w:tcW w:w="657" w:type="dxa"/>
            <w:tcBorders>
              <w:top w:val="single" w:sz="6" w:space="0" w:color="auto"/>
              <w:left w:val="single" w:sz="6" w:space="0" w:color="auto"/>
              <w:bottom w:val="single" w:sz="6" w:space="0" w:color="auto"/>
              <w:right w:val="single" w:sz="6" w:space="0" w:color="auto"/>
            </w:tcBorders>
          </w:tcPr>
          <w:p w14:paraId="4B4EFD3A" w14:textId="77777777" w:rsidR="006031D6" w:rsidRPr="006031D6" w:rsidRDefault="006031D6" w:rsidP="006031D6">
            <w:pPr>
              <w:pStyle w:val="Texttabulky"/>
              <w:spacing w:after="0" w:line="240" w:lineRule="atLeast"/>
              <w:rPr>
                <w:rFonts w:cs="Arial"/>
              </w:rPr>
            </w:pPr>
            <w:r w:rsidRPr="006031D6">
              <w:rPr>
                <w:rFonts w:cs="Arial"/>
              </w:rPr>
              <w:t>1,4</w:t>
            </w:r>
          </w:p>
        </w:tc>
        <w:tc>
          <w:tcPr>
            <w:tcW w:w="610" w:type="dxa"/>
            <w:tcBorders>
              <w:top w:val="single" w:sz="6" w:space="0" w:color="auto"/>
              <w:left w:val="single" w:sz="6" w:space="0" w:color="auto"/>
              <w:bottom w:val="single" w:sz="6" w:space="0" w:color="auto"/>
              <w:right w:val="single" w:sz="6" w:space="0" w:color="auto"/>
            </w:tcBorders>
          </w:tcPr>
          <w:p w14:paraId="30557A48" w14:textId="77777777" w:rsidR="006031D6" w:rsidRPr="006031D6" w:rsidRDefault="006031D6" w:rsidP="006031D6">
            <w:pPr>
              <w:pStyle w:val="Texttabulky"/>
              <w:spacing w:after="0" w:line="240" w:lineRule="atLeast"/>
              <w:rPr>
                <w:rFonts w:cs="Arial"/>
              </w:rPr>
            </w:pPr>
            <w:r w:rsidRPr="006031D6">
              <w:rPr>
                <w:rFonts w:cs="Arial"/>
              </w:rPr>
              <w:t>1,6</w:t>
            </w:r>
          </w:p>
        </w:tc>
        <w:tc>
          <w:tcPr>
            <w:tcW w:w="963" w:type="dxa"/>
            <w:gridSpan w:val="2"/>
            <w:tcBorders>
              <w:top w:val="single" w:sz="6" w:space="0" w:color="auto"/>
              <w:left w:val="single" w:sz="6" w:space="0" w:color="auto"/>
              <w:bottom w:val="single" w:sz="6" w:space="0" w:color="auto"/>
              <w:right w:val="single" w:sz="6" w:space="0" w:color="auto"/>
            </w:tcBorders>
          </w:tcPr>
          <w:p w14:paraId="5A40D853" w14:textId="77777777" w:rsidR="006031D6" w:rsidRPr="006031D6" w:rsidRDefault="006031D6" w:rsidP="006031D6">
            <w:pPr>
              <w:pStyle w:val="Texttabulky"/>
              <w:spacing w:after="0" w:line="240" w:lineRule="atLeast"/>
              <w:rPr>
                <w:rFonts w:cs="Arial"/>
              </w:rPr>
            </w:pPr>
            <w:r w:rsidRPr="006031D6">
              <w:rPr>
                <w:rFonts w:cs="Arial"/>
              </w:rPr>
              <w:t>3</w:t>
            </w:r>
          </w:p>
        </w:tc>
      </w:tr>
      <w:tr w:rsidR="006031D6" w:rsidRPr="006031D6" w14:paraId="3BCD13D3"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17C82864" w14:textId="77777777" w:rsidR="006031D6" w:rsidRPr="006031D6" w:rsidRDefault="006031D6" w:rsidP="006031D6">
            <w:pPr>
              <w:pStyle w:val="Texttabulky"/>
              <w:spacing w:after="0" w:line="240" w:lineRule="atLeast"/>
              <w:rPr>
                <w:rFonts w:cs="Arial"/>
              </w:rPr>
            </w:pPr>
            <w:r w:rsidRPr="006031D6">
              <w:rPr>
                <w:rFonts w:cs="Arial"/>
              </w:rPr>
              <w:t>U Majerika</w:t>
            </w:r>
          </w:p>
        </w:tc>
        <w:tc>
          <w:tcPr>
            <w:tcW w:w="946" w:type="dxa"/>
            <w:tcBorders>
              <w:top w:val="single" w:sz="6" w:space="0" w:color="auto"/>
              <w:left w:val="nil"/>
              <w:bottom w:val="single" w:sz="6" w:space="0" w:color="auto"/>
              <w:right w:val="single" w:sz="6" w:space="0" w:color="auto"/>
            </w:tcBorders>
          </w:tcPr>
          <w:p w14:paraId="74C23148" w14:textId="77777777" w:rsidR="006031D6" w:rsidRPr="006031D6" w:rsidRDefault="006031D6" w:rsidP="006031D6">
            <w:pPr>
              <w:pStyle w:val="Texttabulky"/>
              <w:spacing w:after="0" w:line="240" w:lineRule="atLeast"/>
              <w:rPr>
                <w:rFonts w:cs="Arial"/>
              </w:rPr>
            </w:pPr>
            <w:r w:rsidRPr="006031D6">
              <w:rPr>
                <w:rFonts w:cs="Arial"/>
              </w:rPr>
              <w:t>12 200</w:t>
            </w:r>
          </w:p>
        </w:tc>
        <w:tc>
          <w:tcPr>
            <w:tcW w:w="672" w:type="dxa"/>
            <w:tcBorders>
              <w:top w:val="single" w:sz="6" w:space="0" w:color="auto"/>
              <w:left w:val="single" w:sz="6" w:space="0" w:color="auto"/>
              <w:bottom w:val="single" w:sz="6" w:space="0" w:color="auto"/>
              <w:right w:val="single" w:sz="6" w:space="0" w:color="auto"/>
            </w:tcBorders>
          </w:tcPr>
          <w:p w14:paraId="58E996C2" w14:textId="77777777" w:rsidR="006031D6" w:rsidRPr="006031D6" w:rsidRDefault="006031D6" w:rsidP="006031D6">
            <w:pPr>
              <w:pStyle w:val="Texttabulky"/>
              <w:spacing w:after="0" w:line="240" w:lineRule="atLeast"/>
              <w:rPr>
                <w:rFonts w:cs="Arial"/>
              </w:rPr>
            </w:pPr>
            <w:r w:rsidRPr="006031D6">
              <w:rPr>
                <w:rFonts w:cs="Arial"/>
              </w:rPr>
              <w:t>0,39</w:t>
            </w:r>
          </w:p>
        </w:tc>
        <w:tc>
          <w:tcPr>
            <w:tcW w:w="946" w:type="dxa"/>
            <w:tcBorders>
              <w:top w:val="single" w:sz="6" w:space="0" w:color="auto"/>
              <w:left w:val="single" w:sz="6" w:space="0" w:color="auto"/>
              <w:bottom w:val="single" w:sz="6" w:space="0" w:color="auto"/>
              <w:right w:val="single" w:sz="6" w:space="0" w:color="auto"/>
            </w:tcBorders>
          </w:tcPr>
          <w:p w14:paraId="14497735" w14:textId="77777777" w:rsidR="006031D6" w:rsidRPr="006031D6" w:rsidRDefault="006031D6" w:rsidP="006031D6">
            <w:pPr>
              <w:pStyle w:val="Texttabulky"/>
              <w:spacing w:after="0" w:line="240" w:lineRule="atLeast"/>
              <w:rPr>
                <w:rFonts w:cs="Arial"/>
              </w:rPr>
            </w:pPr>
            <w:r w:rsidRPr="006031D6">
              <w:rPr>
                <w:rFonts w:cs="Arial"/>
              </w:rPr>
              <w:t>43 700</w:t>
            </w:r>
          </w:p>
        </w:tc>
        <w:tc>
          <w:tcPr>
            <w:tcW w:w="704" w:type="dxa"/>
            <w:tcBorders>
              <w:top w:val="single" w:sz="6" w:space="0" w:color="auto"/>
              <w:left w:val="single" w:sz="6" w:space="0" w:color="auto"/>
              <w:bottom w:val="single" w:sz="6" w:space="0" w:color="auto"/>
              <w:right w:val="single" w:sz="6" w:space="0" w:color="auto"/>
            </w:tcBorders>
          </w:tcPr>
          <w:p w14:paraId="616EE0DA" w14:textId="77777777" w:rsidR="006031D6" w:rsidRPr="006031D6" w:rsidRDefault="006031D6" w:rsidP="006031D6">
            <w:pPr>
              <w:pStyle w:val="Texttabulky"/>
              <w:spacing w:after="0" w:line="240" w:lineRule="atLeast"/>
              <w:rPr>
                <w:rFonts w:cs="Arial"/>
              </w:rPr>
            </w:pPr>
            <w:r w:rsidRPr="006031D6">
              <w:rPr>
                <w:rFonts w:cs="Arial"/>
              </w:rPr>
              <w:t>1,39</w:t>
            </w:r>
          </w:p>
        </w:tc>
        <w:tc>
          <w:tcPr>
            <w:tcW w:w="946" w:type="dxa"/>
            <w:tcBorders>
              <w:top w:val="single" w:sz="6" w:space="0" w:color="auto"/>
              <w:left w:val="single" w:sz="6" w:space="0" w:color="auto"/>
              <w:bottom w:val="single" w:sz="6" w:space="0" w:color="auto"/>
              <w:right w:val="single" w:sz="6" w:space="0" w:color="auto"/>
            </w:tcBorders>
          </w:tcPr>
          <w:p w14:paraId="75B4F8AA" w14:textId="77777777" w:rsidR="006031D6" w:rsidRPr="006031D6" w:rsidRDefault="006031D6" w:rsidP="006031D6">
            <w:pPr>
              <w:pStyle w:val="Texttabulky"/>
              <w:spacing w:after="0" w:line="240" w:lineRule="atLeast"/>
              <w:rPr>
                <w:rFonts w:cs="Arial"/>
              </w:rPr>
            </w:pPr>
            <w:r w:rsidRPr="006031D6">
              <w:rPr>
                <w:rFonts w:cs="Arial"/>
              </w:rPr>
              <w:t>31 446</w:t>
            </w:r>
          </w:p>
        </w:tc>
        <w:tc>
          <w:tcPr>
            <w:tcW w:w="768" w:type="dxa"/>
            <w:tcBorders>
              <w:top w:val="single" w:sz="6" w:space="0" w:color="auto"/>
              <w:left w:val="single" w:sz="6" w:space="0" w:color="auto"/>
              <w:bottom w:val="single" w:sz="6" w:space="0" w:color="auto"/>
              <w:right w:val="single" w:sz="6" w:space="0" w:color="auto"/>
            </w:tcBorders>
          </w:tcPr>
          <w:p w14:paraId="3AB47A0F" w14:textId="77777777" w:rsidR="006031D6" w:rsidRPr="006031D6" w:rsidRDefault="006031D6" w:rsidP="006031D6">
            <w:pPr>
              <w:pStyle w:val="Texttabulky"/>
              <w:spacing w:after="0" w:line="240" w:lineRule="atLeast"/>
              <w:rPr>
                <w:rFonts w:cs="Arial"/>
              </w:rPr>
            </w:pPr>
            <w:r w:rsidRPr="006031D6">
              <w:rPr>
                <w:rFonts w:cs="Arial"/>
              </w:rPr>
              <w:t>1</w:t>
            </w:r>
          </w:p>
        </w:tc>
        <w:tc>
          <w:tcPr>
            <w:tcW w:w="657" w:type="dxa"/>
            <w:tcBorders>
              <w:top w:val="single" w:sz="6" w:space="0" w:color="auto"/>
              <w:left w:val="single" w:sz="6" w:space="0" w:color="auto"/>
              <w:bottom w:val="single" w:sz="6" w:space="0" w:color="auto"/>
              <w:right w:val="single" w:sz="6" w:space="0" w:color="auto"/>
            </w:tcBorders>
          </w:tcPr>
          <w:p w14:paraId="38BB654B" w14:textId="77777777" w:rsidR="006031D6" w:rsidRPr="006031D6" w:rsidRDefault="006031D6" w:rsidP="006031D6">
            <w:pPr>
              <w:pStyle w:val="Texttabulky"/>
              <w:spacing w:after="0" w:line="240" w:lineRule="atLeast"/>
              <w:rPr>
                <w:rFonts w:cs="Arial"/>
              </w:rPr>
            </w:pPr>
            <w:r w:rsidRPr="006031D6">
              <w:rPr>
                <w:rFonts w:cs="Arial"/>
              </w:rPr>
              <w:t>3,1</w:t>
            </w:r>
          </w:p>
        </w:tc>
        <w:tc>
          <w:tcPr>
            <w:tcW w:w="610" w:type="dxa"/>
            <w:tcBorders>
              <w:top w:val="single" w:sz="6" w:space="0" w:color="auto"/>
              <w:left w:val="single" w:sz="6" w:space="0" w:color="auto"/>
              <w:bottom w:val="single" w:sz="6" w:space="0" w:color="auto"/>
              <w:right w:val="single" w:sz="6" w:space="0" w:color="auto"/>
            </w:tcBorders>
          </w:tcPr>
          <w:p w14:paraId="0829D1E8" w14:textId="77777777" w:rsidR="006031D6" w:rsidRPr="006031D6" w:rsidRDefault="006031D6" w:rsidP="006031D6">
            <w:pPr>
              <w:pStyle w:val="Texttabulky"/>
              <w:spacing w:after="0" w:line="240" w:lineRule="atLeast"/>
              <w:rPr>
                <w:rFonts w:cs="Arial"/>
              </w:rPr>
            </w:pPr>
            <w:r w:rsidRPr="006031D6">
              <w:rPr>
                <w:rFonts w:cs="Arial"/>
              </w:rPr>
              <w:t>4</w:t>
            </w:r>
          </w:p>
        </w:tc>
        <w:tc>
          <w:tcPr>
            <w:tcW w:w="963" w:type="dxa"/>
            <w:gridSpan w:val="2"/>
            <w:tcBorders>
              <w:top w:val="single" w:sz="6" w:space="0" w:color="auto"/>
              <w:left w:val="single" w:sz="6" w:space="0" w:color="auto"/>
              <w:bottom w:val="single" w:sz="6" w:space="0" w:color="auto"/>
              <w:right w:val="single" w:sz="6" w:space="0" w:color="auto"/>
            </w:tcBorders>
          </w:tcPr>
          <w:p w14:paraId="476654B9" w14:textId="77777777" w:rsidR="006031D6" w:rsidRPr="006031D6" w:rsidRDefault="006031D6" w:rsidP="006031D6">
            <w:pPr>
              <w:pStyle w:val="Texttabulky"/>
              <w:spacing w:after="0" w:line="240" w:lineRule="atLeast"/>
              <w:rPr>
                <w:rFonts w:cs="Arial"/>
              </w:rPr>
            </w:pPr>
            <w:r w:rsidRPr="006031D6">
              <w:rPr>
                <w:rFonts w:cs="Arial"/>
              </w:rPr>
              <w:t>7</w:t>
            </w:r>
          </w:p>
        </w:tc>
      </w:tr>
      <w:tr w:rsidR="006031D6" w:rsidRPr="006031D6" w14:paraId="7EFB9F9D" w14:textId="77777777" w:rsidTr="002D2D45">
        <w:trPr>
          <w:trHeight w:val="240"/>
        </w:trPr>
        <w:tc>
          <w:tcPr>
            <w:tcW w:w="1789" w:type="dxa"/>
            <w:tcBorders>
              <w:top w:val="single" w:sz="6" w:space="0" w:color="auto"/>
              <w:left w:val="single" w:sz="6" w:space="0" w:color="auto"/>
              <w:bottom w:val="single" w:sz="6" w:space="0" w:color="auto"/>
              <w:right w:val="single" w:sz="6" w:space="0" w:color="auto"/>
            </w:tcBorders>
          </w:tcPr>
          <w:p w14:paraId="457E5E98" w14:textId="77777777" w:rsidR="006031D6" w:rsidRPr="006031D6" w:rsidRDefault="006031D6" w:rsidP="006031D6">
            <w:pPr>
              <w:pStyle w:val="Texttabulky"/>
              <w:spacing w:after="0" w:line="240" w:lineRule="atLeast"/>
              <w:rPr>
                <w:rFonts w:cs="Arial"/>
              </w:rPr>
            </w:pPr>
            <w:r w:rsidRPr="006031D6">
              <w:rPr>
                <w:rFonts w:cs="Arial"/>
              </w:rPr>
              <w:t>Pod lesem</w:t>
            </w:r>
          </w:p>
        </w:tc>
        <w:tc>
          <w:tcPr>
            <w:tcW w:w="946" w:type="dxa"/>
            <w:tcBorders>
              <w:top w:val="single" w:sz="6" w:space="0" w:color="auto"/>
              <w:left w:val="nil"/>
              <w:bottom w:val="nil"/>
              <w:right w:val="single" w:sz="6" w:space="0" w:color="auto"/>
            </w:tcBorders>
          </w:tcPr>
          <w:p w14:paraId="1BFFB800" w14:textId="77777777" w:rsidR="006031D6" w:rsidRPr="006031D6" w:rsidRDefault="006031D6" w:rsidP="006031D6">
            <w:pPr>
              <w:pStyle w:val="Texttabulky"/>
              <w:spacing w:after="0" w:line="240" w:lineRule="atLeast"/>
              <w:rPr>
                <w:rFonts w:cs="Arial"/>
              </w:rPr>
            </w:pPr>
            <w:r w:rsidRPr="006031D6">
              <w:rPr>
                <w:rFonts w:cs="Arial"/>
              </w:rPr>
              <w:t>1 100</w:t>
            </w:r>
          </w:p>
        </w:tc>
        <w:tc>
          <w:tcPr>
            <w:tcW w:w="672" w:type="dxa"/>
            <w:tcBorders>
              <w:top w:val="single" w:sz="6" w:space="0" w:color="auto"/>
              <w:left w:val="single" w:sz="6" w:space="0" w:color="auto"/>
              <w:bottom w:val="nil"/>
              <w:right w:val="single" w:sz="6" w:space="0" w:color="auto"/>
            </w:tcBorders>
          </w:tcPr>
          <w:p w14:paraId="3C42961E" w14:textId="77777777" w:rsidR="006031D6" w:rsidRPr="006031D6" w:rsidRDefault="006031D6" w:rsidP="006031D6">
            <w:pPr>
              <w:pStyle w:val="Texttabulky"/>
              <w:spacing w:after="0" w:line="240" w:lineRule="atLeast"/>
              <w:rPr>
                <w:rFonts w:cs="Arial"/>
              </w:rPr>
            </w:pPr>
            <w:r w:rsidRPr="006031D6">
              <w:rPr>
                <w:rFonts w:cs="Arial"/>
              </w:rPr>
              <w:t>0,03</w:t>
            </w:r>
          </w:p>
        </w:tc>
        <w:tc>
          <w:tcPr>
            <w:tcW w:w="946" w:type="dxa"/>
            <w:tcBorders>
              <w:top w:val="single" w:sz="6" w:space="0" w:color="auto"/>
              <w:left w:val="single" w:sz="6" w:space="0" w:color="auto"/>
              <w:bottom w:val="nil"/>
              <w:right w:val="single" w:sz="6" w:space="0" w:color="auto"/>
            </w:tcBorders>
          </w:tcPr>
          <w:p w14:paraId="6185C6A0" w14:textId="77777777" w:rsidR="006031D6" w:rsidRPr="006031D6" w:rsidRDefault="006031D6" w:rsidP="006031D6">
            <w:pPr>
              <w:pStyle w:val="Texttabulky"/>
              <w:spacing w:after="0" w:line="240" w:lineRule="atLeast"/>
              <w:rPr>
                <w:rFonts w:cs="Arial"/>
              </w:rPr>
            </w:pPr>
            <w:r w:rsidRPr="006031D6">
              <w:rPr>
                <w:rFonts w:cs="Arial"/>
              </w:rPr>
              <w:t>4 275</w:t>
            </w:r>
          </w:p>
        </w:tc>
        <w:tc>
          <w:tcPr>
            <w:tcW w:w="704" w:type="dxa"/>
            <w:tcBorders>
              <w:top w:val="single" w:sz="6" w:space="0" w:color="auto"/>
              <w:left w:val="single" w:sz="6" w:space="0" w:color="auto"/>
              <w:bottom w:val="nil"/>
              <w:right w:val="single" w:sz="6" w:space="0" w:color="auto"/>
            </w:tcBorders>
          </w:tcPr>
          <w:p w14:paraId="6421DE23" w14:textId="77777777" w:rsidR="006031D6" w:rsidRPr="006031D6" w:rsidRDefault="006031D6" w:rsidP="006031D6">
            <w:pPr>
              <w:pStyle w:val="Texttabulky"/>
              <w:spacing w:after="0" w:line="240" w:lineRule="atLeast"/>
              <w:rPr>
                <w:rFonts w:cs="Arial"/>
              </w:rPr>
            </w:pPr>
            <w:r w:rsidRPr="006031D6">
              <w:rPr>
                <w:rFonts w:cs="Arial"/>
              </w:rPr>
              <w:t>0,14</w:t>
            </w:r>
          </w:p>
        </w:tc>
        <w:tc>
          <w:tcPr>
            <w:tcW w:w="946" w:type="dxa"/>
            <w:tcBorders>
              <w:top w:val="single" w:sz="6" w:space="0" w:color="auto"/>
              <w:left w:val="single" w:sz="6" w:space="0" w:color="auto"/>
              <w:bottom w:val="nil"/>
              <w:right w:val="single" w:sz="6" w:space="0" w:color="auto"/>
            </w:tcBorders>
          </w:tcPr>
          <w:p w14:paraId="0253C1C8" w14:textId="77777777" w:rsidR="006031D6" w:rsidRPr="006031D6" w:rsidRDefault="006031D6" w:rsidP="006031D6">
            <w:pPr>
              <w:pStyle w:val="Texttabulky"/>
              <w:spacing w:after="0" w:line="240" w:lineRule="atLeast"/>
              <w:rPr>
                <w:rFonts w:cs="Arial"/>
              </w:rPr>
            </w:pPr>
            <w:r w:rsidRPr="006031D6">
              <w:rPr>
                <w:rFonts w:cs="Arial"/>
              </w:rPr>
              <w:t>3 700</w:t>
            </w:r>
          </w:p>
        </w:tc>
        <w:tc>
          <w:tcPr>
            <w:tcW w:w="768" w:type="dxa"/>
            <w:tcBorders>
              <w:top w:val="single" w:sz="6" w:space="0" w:color="auto"/>
              <w:left w:val="single" w:sz="6" w:space="0" w:color="auto"/>
              <w:bottom w:val="nil"/>
              <w:right w:val="single" w:sz="6" w:space="0" w:color="auto"/>
            </w:tcBorders>
          </w:tcPr>
          <w:p w14:paraId="623DB9B2" w14:textId="77777777" w:rsidR="006031D6" w:rsidRPr="006031D6" w:rsidRDefault="006031D6" w:rsidP="006031D6">
            <w:pPr>
              <w:pStyle w:val="Texttabulky"/>
              <w:spacing w:after="0" w:line="240" w:lineRule="atLeast"/>
              <w:rPr>
                <w:rFonts w:cs="Arial"/>
              </w:rPr>
            </w:pPr>
            <w:r w:rsidRPr="006031D6">
              <w:rPr>
                <w:rFonts w:cs="Arial"/>
              </w:rPr>
              <w:t>0,12</w:t>
            </w:r>
          </w:p>
        </w:tc>
        <w:tc>
          <w:tcPr>
            <w:tcW w:w="657" w:type="dxa"/>
            <w:tcBorders>
              <w:top w:val="single" w:sz="6" w:space="0" w:color="auto"/>
              <w:left w:val="single" w:sz="6" w:space="0" w:color="auto"/>
              <w:bottom w:val="nil"/>
              <w:right w:val="single" w:sz="6" w:space="0" w:color="auto"/>
            </w:tcBorders>
          </w:tcPr>
          <w:p w14:paraId="7509C9AA" w14:textId="77777777" w:rsidR="006031D6" w:rsidRPr="006031D6" w:rsidRDefault="006031D6" w:rsidP="006031D6">
            <w:pPr>
              <w:pStyle w:val="Zkladntext"/>
              <w:spacing w:after="0"/>
              <w:rPr>
                <w:rFonts w:ascii="Arial" w:hAnsi="Arial" w:cs="Arial"/>
              </w:rPr>
            </w:pPr>
          </w:p>
        </w:tc>
        <w:tc>
          <w:tcPr>
            <w:tcW w:w="610" w:type="dxa"/>
            <w:tcBorders>
              <w:top w:val="single" w:sz="6" w:space="0" w:color="auto"/>
              <w:left w:val="single" w:sz="6" w:space="0" w:color="auto"/>
              <w:bottom w:val="nil"/>
              <w:right w:val="single" w:sz="6" w:space="0" w:color="auto"/>
            </w:tcBorders>
          </w:tcPr>
          <w:p w14:paraId="138A7419" w14:textId="77777777" w:rsidR="006031D6" w:rsidRPr="006031D6" w:rsidRDefault="006031D6" w:rsidP="006031D6">
            <w:pPr>
              <w:pStyle w:val="Zkladntext"/>
              <w:spacing w:after="0"/>
              <w:rPr>
                <w:rFonts w:ascii="Arial" w:hAnsi="Arial" w:cs="Arial"/>
              </w:rPr>
            </w:pPr>
          </w:p>
        </w:tc>
        <w:tc>
          <w:tcPr>
            <w:tcW w:w="963" w:type="dxa"/>
            <w:gridSpan w:val="2"/>
            <w:tcBorders>
              <w:top w:val="single" w:sz="6" w:space="0" w:color="auto"/>
              <w:left w:val="single" w:sz="6" w:space="0" w:color="auto"/>
              <w:bottom w:val="nil"/>
              <w:right w:val="single" w:sz="6" w:space="0" w:color="auto"/>
            </w:tcBorders>
          </w:tcPr>
          <w:p w14:paraId="4194A7F1" w14:textId="77777777" w:rsidR="006031D6" w:rsidRPr="006031D6" w:rsidRDefault="006031D6" w:rsidP="006031D6">
            <w:pPr>
              <w:pStyle w:val="Zkladntext"/>
              <w:spacing w:after="0"/>
              <w:rPr>
                <w:rFonts w:ascii="Arial" w:hAnsi="Arial" w:cs="Arial"/>
              </w:rPr>
            </w:pPr>
          </w:p>
        </w:tc>
      </w:tr>
      <w:tr w:rsidR="006031D6" w:rsidRPr="006031D6" w14:paraId="413303B2" w14:textId="77777777" w:rsidTr="002D2D45">
        <w:trPr>
          <w:trHeight w:val="338"/>
        </w:trPr>
        <w:tc>
          <w:tcPr>
            <w:tcW w:w="1789" w:type="dxa"/>
            <w:tcBorders>
              <w:top w:val="single" w:sz="6" w:space="0" w:color="auto"/>
              <w:left w:val="single" w:sz="6" w:space="0" w:color="auto"/>
              <w:bottom w:val="single" w:sz="4" w:space="0" w:color="auto"/>
              <w:right w:val="single" w:sz="6" w:space="0" w:color="auto"/>
            </w:tcBorders>
          </w:tcPr>
          <w:p w14:paraId="16274CCA" w14:textId="77777777" w:rsidR="006031D6" w:rsidRPr="006031D6" w:rsidRDefault="006031D6" w:rsidP="006031D6">
            <w:pPr>
              <w:pStyle w:val="Texttabulky"/>
              <w:spacing w:after="0" w:line="240" w:lineRule="atLeast"/>
              <w:rPr>
                <w:rFonts w:cs="Arial"/>
              </w:rPr>
            </w:pPr>
            <w:r w:rsidRPr="006031D6">
              <w:rPr>
                <w:rFonts w:cs="Arial"/>
                <w:b/>
                <w:bCs/>
              </w:rPr>
              <w:t>Celkem</w:t>
            </w:r>
          </w:p>
        </w:tc>
        <w:tc>
          <w:tcPr>
            <w:tcW w:w="946" w:type="dxa"/>
            <w:tcBorders>
              <w:top w:val="single" w:sz="6" w:space="0" w:color="auto"/>
              <w:left w:val="nil"/>
              <w:bottom w:val="single" w:sz="4" w:space="0" w:color="auto"/>
              <w:right w:val="single" w:sz="6" w:space="0" w:color="auto"/>
            </w:tcBorders>
          </w:tcPr>
          <w:p w14:paraId="7CB99382" w14:textId="77777777" w:rsidR="006031D6" w:rsidRPr="006031D6" w:rsidRDefault="006031D6" w:rsidP="006031D6">
            <w:pPr>
              <w:pStyle w:val="Zkladntext"/>
              <w:spacing w:after="0"/>
              <w:rPr>
                <w:rFonts w:ascii="Arial" w:hAnsi="Arial" w:cs="Arial"/>
              </w:rPr>
            </w:pPr>
          </w:p>
        </w:tc>
        <w:tc>
          <w:tcPr>
            <w:tcW w:w="672" w:type="dxa"/>
            <w:tcBorders>
              <w:top w:val="single" w:sz="6" w:space="0" w:color="auto"/>
              <w:left w:val="single" w:sz="6" w:space="0" w:color="auto"/>
              <w:bottom w:val="single" w:sz="4" w:space="0" w:color="auto"/>
              <w:right w:val="single" w:sz="6" w:space="0" w:color="auto"/>
            </w:tcBorders>
          </w:tcPr>
          <w:p w14:paraId="765CCFEB" w14:textId="77777777" w:rsidR="006031D6" w:rsidRPr="006031D6" w:rsidRDefault="006031D6" w:rsidP="006031D6">
            <w:pPr>
              <w:pStyle w:val="Texttabulky"/>
              <w:spacing w:after="0" w:line="240" w:lineRule="atLeast"/>
              <w:rPr>
                <w:rFonts w:cs="Arial"/>
              </w:rPr>
            </w:pPr>
            <w:r w:rsidRPr="006031D6">
              <w:rPr>
                <w:rFonts w:cs="Arial"/>
                <w:b/>
                <w:bCs/>
              </w:rPr>
              <w:t>4,33</w:t>
            </w:r>
          </w:p>
        </w:tc>
        <w:tc>
          <w:tcPr>
            <w:tcW w:w="946" w:type="dxa"/>
            <w:tcBorders>
              <w:top w:val="single" w:sz="6" w:space="0" w:color="auto"/>
              <w:left w:val="single" w:sz="6" w:space="0" w:color="auto"/>
              <w:bottom w:val="single" w:sz="4" w:space="0" w:color="auto"/>
              <w:right w:val="single" w:sz="6" w:space="0" w:color="auto"/>
            </w:tcBorders>
          </w:tcPr>
          <w:p w14:paraId="61A16793" w14:textId="77777777" w:rsidR="006031D6" w:rsidRPr="006031D6" w:rsidRDefault="006031D6" w:rsidP="006031D6">
            <w:pPr>
              <w:pStyle w:val="Zkladntext"/>
              <w:spacing w:after="0"/>
              <w:rPr>
                <w:rFonts w:ascii="Arial" w:hAnsi="Arial" w:cs="Arial"/>
              </w:rPr>
            </w:pPr>
          </w:p>
        </w:tc>
        <w:tc>
          <w:tcPr>
            <w:tcW w:w="704" w:type="dxa"/>
            <w:tcBorders>
              <w:top w:val="single" w:sz="6" w:space="0" w:color="auto"/>
              <w:left w:val="single" w:sz="6" w:space="0" w:color="auto"/>
              <w:bottom w:val="single" w:sz="4" w:space="0" w:color="auto"/>
              <w:right w:val="single" w:sz="6" w:space="0" w:color="auto"/>
            </w:tcBorders>
          </w:tcPr>
          <w:p w14:paraId="080F6053" w14:textId="77777777" w:rsidR="006031D6" w:rsidRPr="006031D6" w:rsidRDefault="006031D6" w:rsidP="006031D6">
            <w:pPr>
              <w:pStyle w:val="Zkladntext"/>
              <w:spacing w:after="0"/>
              <w:rPr>
                <w:rFonts w:ascii="Arial" w:hAnsi="Arial" w:cs="Arial"/>
              </w:rPr>
            </w:pPr>
          </w:p>
        </w:tc>
        <w:tc>
          <w:tcPr>
            <w:tcW w:w="946" w:type="dxa"/>
            <w:tcBorders>
              <w:top w:val="single" w:sz="6" w:space="0" w:color="auto"/>
              <w:left w:val="single" w:sz="6" w:space="0" w:color="auto"/>
              <w:bottom w:val="single" w:sz="4" w:space="0" w:color="auto"/>
              <w:right w:val="single" w:sz="6" w:space="0" w:color="auto"/>
            </w:tcBorders>
          </w:tcPr>
          <w:p w14:paraId="50EF1589" w14:textId="77777777" w:rsidR="006031D6" w:rsidRPr="006031D6" w:rsidRDefault="006031D6" w:rsidP="006031D6">
            <w:pPr>
              <w:pStyle w:val="Zkladntext"/>
              <w:spacing w:after="0"/>
              <w:rPr>
                <w:rFonts w:ascii="Arial" w:hAnsi="Arial" w:cs="Arial"/>
              </w:rPr>
            </w:pPr>
          </w:p>
        </w:tc>
        <w:tc>
          <w:tcPr>
            <w:tcW w:w="768" w:type="dxa"/>
            <w:tcBorders>
              <w:top w:val="single" w:sz="6" w:space="0" w:color="auto"/>
              <w:left w:val="single" w:sz="6" w:space="0" w:color="auto"/>
              <w:bottom w:val="single" w:sz="4" w:space="0" w:color="auto"/>
              <w:right w:val="single" w:sz="6" w:space="0" w:color="auto"/>
            </w:tcBorders>
          </w:tcPr>
          <w:p w14:paraId="7F1A0A3F" w14:textId="77777777" w:rsidR="006031D6" w:rsidRPr="006031D6" w:rsidRDefault="006031D6" w:rsidP="006031D6">
            <w:pPr>
              <w:pStyle w:val="Zkladntext"/>
              <w:spacing w:after="0"/>
              <w:rPr>
                <w:rFonts w:ascii="Arial" w:hAnsi="Arial" w:cs="Arial"/>
              </w:rPr>
            </w:pPr>
          </w:p>
        </w:tc>
        <w:tc>
          <w:tcPr>
            <w:tcW w:w="657" w:type="dxa"/>
            <w:tcBorders>
              <w:top w:val="single" w:sz="6" w:space="0" w:color="auto"/>
              <w:left w:val="single" w:sz="6" w:space="0" w:color="auto"/>
              <w:bottom w:val="single" w:sz="4" w:space="0" w:color="auto"/>
              <w:right w:val="single" w:sz="6" w:space="0" w:color="auto"/>
            </w:tcBorders>
          </w:tcPr>
          <w:p w14:paraId="25081F28" w14:textId="77777777" w:rsidR="006031D6" w:rsidRPr="006031D6" w:rsidRDefault="006031D6" w:rsidP="006031D6">
            <w:pPr>
              <w:pStyle w:val="Texttabulky"/>
              <w:spacing w:after="0" w:line="240" w:lineRule="atLeast"/>
              <w:rPr>
                <w:rFonts w:cs="Arial"/>
              </w:rPr>
            </w:pPr>
            <w:r w:rsidRPr="006031D6">
              <w:rPr>
                <w:rFonts w:cs="Arial"/>
                <w:b/>
                <w:bCs/>
              </w:rPr>
              <w:t>12,55</w:t>
            </w:r>
          </w:p>
        </w:tc>
        <w:tc>
          <w:tcPr>
            <w:tcW w:w="610" w:type="dxa"/>
            <w:tcBorders>
              <w:top w:val="single" w:sz="6" w:space="0" w:color="auto"/>
              <w:left w:val="single" w:sz="6" w:space="0" w:color="auto"/>
              <w:bottom w:val="single" w:sz="4" w:space="0" w:color="auto"/>
              <w:right w:val="single" w:sz="6" w:space="0" w:color="auto"/>
            </w:tcBorders>
          </w:tcPr>
          <w:p w14:paraId="439FF635" w14:textId="77777777" w:rsidR="006031D6" w:rsidRPr="006031D6" w:rsidRDefault="006031D6" w:rsidP="006031D6">
            <w:pPr>
              <w:pStyle w:val="Texttabulky"/>
              <w:spacing w:after="0" w:line="240" w:lineRule="atLeast"/>
              <w:rPr>
                <w:rFonts w:cs="Arial"/>
              </w:rPr>
            </w:pPr>
            <w:r w:rsidRPr="006031D6">
              <w:rPr>
                <w:rFonts w:cs="Arial"/>
                <w:b/>
                <w:bCs/>
              </w:rPr>
              <w:t>16,95</w:t>
            </w:r>
          </w:p>
        </w:tc>
        <w:tc>
          <w:tcPr>
            <w:tcW w:w="963" w:type="dxa"/>
            <w:gridSpan w:val="2"/>
            <w:tcBorders>
              <w:top w:val="single" w:sz="6" w:space="0" w:color="auto"/>
              <w:left w:val="single" w:sz="6" w:space="0" w:color="auto"/>
              <w:bottom w:val="single" w:sz="4" w:space="0" w:color="auto"/>
              <w:right w:val="single" w:sz="6" w:space="0" w:color="auto"/>
            </w:tcBorders>
          </w:tcPr>
          <w:p w14:paraId="6AB51D54" w14:textId="77777777" w:rsidR="006031D6" w:rsidRPr="006031D6" w:rsidRDefault="006031D6" w:rsidP="006031D6">
            <w:pPr>
              <w:pStyle w:val="Texttabulky"/>
              <w:spacing w:after="0" w:line="240" w:lineRule="atLeast"/>
              <w:rPr>
                <w:rFonts w:cs="Arial"/>
              </w:rPr>
            </w:pPr>
            <w:r w:rsidRPr="006031D6">
              <w:rPr>
                <w:rFonts w:cs="Arial"/>
                <w:b/>
                <w:bCs/>
              </w:rPr>
              <w:t>29</w:t>
            </w:r>
          </w:p>
        </w:tc>
      </w:tr>
      <w:tr w:rsidR="006031D6" w:rsidRPr="006031D6" w14:paraId="1A4CCC2C" w14:textId="77777777" w:rsidTr="002D2D45">
        <w:trPr>
          <w:trHeight w:val="481"/>
        </w:trPr>
        <w:tc>
          <w:tcPr>
            <w:tcW w:w="1789" w:type="dxa"/>
            <w:tcBorders>
              <w:top w:val="single" w:sz="4" w:space="0" w:color="auto"/>
              <w:left w:val="single" w:sz="4" w:space="0" w:color="auto"/>
              <w:bottom w:val="single" w:sz="4" w:space="0" w:color="auto"/>
              <w:right w:val="single" w:sz="4" w:space="0" w:color="auto"/>
            </w:tcBorders>
          </w:tcPr>
          <w:p w14:paraId="5D2197E2" w14:textId="77777777" w:rsidR="006031D6" w:rsidRPr="006031D6" w:rsidRDefault="006031D6" w:rsidP="006031D6">
            <w:pPr>
              <w:pStyle w:val="Texttabulky"/>
              <w:spacing w:after="0" w:line="240" w:lineRule="atLeast"/>
              <w:rPr>
                <w:rFonts w:cs="Arial"/>
              </w:rPr>
            </w:pPr>
            <w:r w:rsidRPr="006031D6">
              <w:rPr>
                <w:rFonts w:cs="Arial"/>
                <w:caps/>
              </w:rPr>
              <w:t>Převod z okr.Ústí n/L</w:t>
            </w:r>
          </w:p>
        </w:tc>
        <w:tc>
          <w:tcPr>
            <w:tcW w:w="946" w:type="dxa"/>
            <w:tcBorders>
              <w:top w:val="single" w:sz="4" w:space="0" w:color="auto"/>
              <w:left w:val="single" w:sz="4" w:space="0" w:color="auto"/>
              <w:bottom w:val="single" w:sz="4" w:space="0" w:color="auto"/>
              <w:right w:val="single" w:sz="4" w:space="0" w:color="auto"/>
            </w:tcBorders>
          </w:tcPr>
          <w:p w14:paraId="6CCC993B" w14:textId="77777777" w:rsidR="006031D6" w:rsidRPr="006031D6" w:rsidRDefault="006031D6" w:rsidP="006031D6">
            <w:pPr>
              <w:pStyle w:val="Texttabulky"/>
              <w:spacing w:after="0" w:line="240" w:lineRule="atLeast"/>
              <w:rPr>
                <w:rFonts w:cs="Arial"/>
              </w:rPr>
            </w:pPr>
            <w:r w:rsidRPr="006031D6">
              <w:rPr>
                <w:rFonts w:cs="Arial"/>
              </w:rPr>
              <w:t>328 700</w:t>
            </w:r>
          </w:p>
        </w:tc>
        <w:tc>
          <w:tcPr>
            <w:tcW w:w="672" w:type="dxa"/>
            <w:tcBorders>
              <w:top w:val="single" w:sz="4" w:space="0" w:color="auto"/>
              <w:left w:val="single" w:sz="4" w:space="0" w:color="auto"/>
              <w:bottom w:val="single" w:sz="4" w:space="0" w:color="auto"/>
              <w:right w:val="single" w:sz="4" w:space="0" w:color="auto"/>
            </w:tcBorders>
          </w:tcPr>
          <w:p w14:paraId="001F6E5D" w14:textId="77777777" w:rsidR="006031D6" w:rsidRPr="006031D6" w:rsidRDefault="006031D6" w:rsidP="006031D6">
            <w:pPr>
              <w:pStyle w:val="Texttabulky"/>
              <w:spacing w:after="0" w:line="240" w:lineRule="atLeast"/>
              <w:rPr>
                <w:rFonts w:cs="Arial"/>
              </w:rPr>
            </w:pPr>
            <w:r w:rsidRPr="006031D6">
              <w:rPr>
                <w:rFonts w:cs="Arial"/>
              </w:rPr>
              <w:t>10,42</w:t>
            </w:r>
          </w:p>
        </w:tc>
        <w:tc>
          <w:tcPr>
            <w:tcW w:w="946" w:type="dxa"/>
            <w:tcBorders>
              <w:top w:val="single" w:sz="4" w:space="0" w:color="auto"/>
              <w:left w:val="single" w:sz="4" w:space="0" w:color="auto"/>
              <w:bottom w:val="single" w:sz="4" w:space="0" w:color="auto"/>
              <w:right w:val="single" w:sz="4" w:space="0" w:color="auto"/>
            </w:tcBorders>
          </w:tcPr>
          <w:p w14:paraId="50D99810" w14:textId="77777777" w:rsidR="006031D6" w:rsidRPr="006031D6" w:rsidRDefault="006031D6" w:rsidP="006031D6">
            <w:pPr>
              <w:pStyle w:val="Zkladntext"/>
              <w:spacing w:after="0"/>
              <w:rPr>
                <w:rFonts w:ascii="Arial" w:hAnsi="Arial" w:cs="Arial"/>
              </w:rPr>
            </w:pPr>
          </w:p>
        </w:tc>
        <w:tc>
          <w:tcPr>
            <w:tcW w:w="704" w:type="dxa"/>
            <w:tcBorders>
              <w:top w:val="single" w:sz="4" w:space="0" w:color="auto"/>
              <w:left w:val="single" w:sz="4" w:space="0" w:color="auto"/>
              <w:bottom w:val="single" w:sz="4" w:space="0" w:color="auto"/>
              <w:right w:val="single" w:sz="4" w:space="0" w:color="auto"/>
            </w:tcBorders>
          </w:tcPr>
          <w:p w14:paraId="46AB7315" w14:textId="77777777" w:rsidR="006031D6" w:rsidRPr="006031D6" w:rsidRDefault="006031D6" w:rsidP="006031D6">
            <w:pPr>
              <w:pStyle w:val="Zkladntext"/>
              <w:spacing w:after="0"/>
              <w:rPr>
                <w:rFonts w:ascii="Arial" w:hAnsi="Arial" w:cs="Arial"/>
              </w:rPr>
            </w:pPr>
          </w:p>
        </w:tc>
        <w:tc>
          <w:tcPr>
            <w:tcW w:w="946" w:type="dxa"/>
            <w:tcBorders>
              <w:top w:val="single" w:sz="4" w:space="0" w:color="auto"/>
              <w:left w:val="single" w:sz="4" w:space="0" w:color="auto"/>
              <w:bottom w:val="single" w:sz="4" w:space="0" w:color="auto"/>
              <w:right w:val="single" w:sz="4" w:space="0" w:color="auto"/>
            </w:tcBorders>
          </w:tcPr>
          <w:p w14:paraId="3A6AC99E" w14:textId="77777777" w:rsidR="006031D6" w:rsidRPr="006031D6" w:rsidRDefault="006031D6" w:rsidP="006031D6">
            <w:pPr>
              <w:pStyle w:val="Zkladntext"/>
              <w:spacing w:after="0"/>
              <w:rPr>
                <w:rFonts w:ascii="Arial" w:hAnsi="Arial" w:cs="Arial"/>
              </w:rPr>
            </w:pPr>
          </w:p>
        </w:tc>
        <w:tc>
          <w:tcPr>
            <w:tcW w:w="768" w:type="dxa"/>
            <w:tcBorders>
              <w:top w:val="single" w:sz="4" w:space="0" w:color="auto"/>
              <w:left w:val="single" w:sz="4" w:space="0" w:color="auto"/>
              <w:bottom w:val="single" w:sz="4" w:space="0" w:color="auto"/>
              <w:right w:val="single" w:sz="4" w:space="0" w:color="auto"/>
            </w:tcBorders>
          </w:tcPr>
          <w:p w14:paraId="2DC575D6" w14:textId="77777777" w:rsidR="006031D6" w:rsidRPr="006031D6" w:rsidRDefault="006031D6" w:rsidP="006031D6">
            <w:pPr>
              <w:pStyle w:val="Zkladntext"/>
              <w:spacing w:after="0"/>
              <w:rPr>
                <w:rFonts w:ascii="Arial" w:hAnsi="Arial" w:cs="Arial"/>
              </w:rPr>
            </w:pPr>
          </w:p>
        </w:tc>
        <w:tc>
          <w:tcPr>
            <w:tcW w:w="657" w:type="dxa"/>
            <w:tcBorders>
              <w:top w:val="single" w:sz="4" w:space="0" w:color="auto"/>
              <w:left w:val="single" w:sz="4" w:space="0" w:color="auto"/>
              <w:bottom w:val="single" w:sz="4" w:space="0" w:color="auto"/>
              <w:right w:val="single" w:sz="4" w:space="0" w:color="auto"/>
            </w:tcBorders>
          </w:tcPr>
          <w:p w14:paraId="0B465881" w14:textId="77777777" w:rsidR="006031D6" w:rsidRPr="006031D6" w:rsidRDefault="006031D6" w:rsidP="006031D6">
            <w:pPr>
              <w:pStyle w:val="Texttabulky"/>
              <w:spacing w:after="0" w:line="240" w:lineRule="atLeast"/>
              <w:rPr>
                <w:rFonts w:cs="Arial"/>
              </w:rPr>
            </w:pPr>
            <w:r w:rsidRPr="006031D6">
              <w:rPr>
                <w:rFonts w:cs="Arial"/>
              </w:rPr>
              <w:t>15</w:t>
            </w:r>
          </w:p>
        </w:tc>
        <w:tc>
          <w:tcPr>
            <w:tcW w:w="610" w:type="dxa"/>
            <w:tcBorders>
              <w:top w:val="single" w:sz="4" w:space="0" w:color="auto"/>
              <w:left w:val="single" w:sz="4" w:space="0" w:color="auto"/>
              <w:bottom w:val="single" w:sz="4" w:space="0" w:color="auto"/>
              <w:right w:val="single" w:sz="4" w:space="0" w:color="auto"/>
            </w:tcBorders>
          </w:tcPr>
          <w:p w14:paraId="24BE0476" w14:textId="77777777" w:rsidR="006031D6" w:rsidRPr="006031D6" w:rsidRDefault="006031D6" w:rsidP="006031D6">
            <w:pPr>
              <w:pStyle w:val="Texttabulky"/>
              <w:spacing w:after="0" w:line="240" w:lineRule="atLeast"/>
              <w:rPr>
                <w:rFonts w:cs="Arial"/>
              </w:rPr>
            </w:pPr>
            <w:r w:rsidRPr="006031D6">
              <w:rPr>
                <w:rFonts w:cs="Arial"/>
              </w:rPr>
              <w:t>17,5</w:t>
            </w:r>
          </w:p>
        </w:tc>
        <w:tc>
          <w:tcPr>
            <w:tcW w:w="963" w:type="dxa"/>
            <w:gridSpan w:val="2"/>
            <w:tcBorders>
              <w:top w:val="single" w:sz="4" w:space="0" w:color="auto"/>
              <w:left w:val="single" w:sz="4" w:space="0" w:color="auto"/>
              <w:bottom w:val="single" w:sz="4" w:space="0" w:color="auto"/>
              <w:right w:val="single" w:sz="4" w:space="0" w:color="auto"/>
            </w:tcBorders>
          </w:tcPr>
          <w:p w14:paraId="28BDF42B" w14:textId="77777777" w:rsidR="006031D6" w:rsidRPr="006031D6" w:rsidRDefault="006031D6" w:rsidP="006031D6">
            <w:pPr>
              <w:pStyle w:val="Texttabulky"/>
              <w:spacing w:after="0" w:line="240" w:lineRule="atLeast"/>
              <w:rPr>
                <w:rFonts w:cs="Arial"/>
              </w:rPr>
            </w:pPr>
            <w:r w:rsidRPr="006031D6">
              <w:rPr>
                <w:rFonts w:cs="Arial"/>
              </w:rPr>
              <w:t>20</w:t>
            </w:r>
          </w:p>
        </w:tc>
      </w:tr>
      <w:tr w:rsidR="006031D6" w:rsidRPr="006031D6" w14:paraId="3A7F3450" w14:textId="77777777" w:rsidTr="002D2D45">
        <w:trPr>
          <w:trHeight w:val="260"/>
        </w:trPr>
        <w:tc>
          <w:tcPr>
            <w:tcW w:w="6771" w:type="dxa"/>
            <w:gridSpan w:val="7"/>
            <w:tcBorders>
              <w:top w:val="single" w:sz="4" w:space="0" w:color="auto"/>
              <w:left w:val="single" w:sz="6" w:space="0" w:color="auto"/>
              <w:bottom w:val="single" w:sz="6" w:space="0" w:color="auto"/>
              <w:right w:val="single" w:sz="6" w:space="0" w:color="auto"/>
            </w:tcBorders>
          </w:tcPr>
          <w:p w14:paraId="0F417074" w14:textId="77777777" w:rsidR="006031D6" w:rsidRPr="006031D6" w:rsidRDefault="006031D6" w:rsidP="006031D6">
            <w:pPr>
              <w:pStyle w:val="Zkladntext"/>
              <w:spacing w:after="0"/>
              <w:rPr>
                <w:rFonts w:ascii="Arial" w:hAnsi="Arial" w:cs="Arial"/>
              </w:rPr>
            </w:pPr>
            <w:r w:rsidRPr="006031D6">
              <w:rPr>
                <w:rFonts w:ascii="Arial" w:hAnsi="Arial" w:cs="Arial"/>
                <w:b/>
                <w:bCs/>
                <w:caps/>
                <w:sz w:val="18"/>
                <w:szCs w:val="18"/>
              </w:rPr>
              <w:t>Zdroje celkem</w:t>
            </w:r>
          </w:p>
        </w:tc>
        <w:tc>
          <w:tcPr>
            <w:tcW w:w="657" w:type="dxa"/>
            <w:tcBorders>
              <w:top w:val="single" w:sz="4" w:space="0" w:color="auto"/>
              <w:left w:val="single" w:sz="6" w:space="0" w:color="auto"/>
              <w:bottom w:val="single" w:sz="6" w:space="0" w:color="auto"/>
              <w:right w:val="single" w:sz="6" w:space="0" w:color="auto"/>
            </w:tcBorders>
          </w:tcPr>
          <w:p w14:paraId="5C83DC05" w14:textId="77777777" w:rsidR="006031D6" w:rsidRPr="006031D6" w:rsidRDefault="006031D6" w:rsidP="006031D6">
            <w:pPr>
              <w:pStyle w:val="Texttabulky"/>
              <w:spacing w:after="0" w:line="240" w:lineRule="atLeast"/>
              <w:rPr>
                <w:rFonts w:cs="Arial"/>
              </w:rPr>
            </w:pPr>
            <w:r w:rsidRPr="006031D6">
              <w:rPr>
                <w:rFonts w:cs="Arial"/>
                <w:b/>
                <w:bCs/>
                <w:sz w:val="18"/>
                <w:szCs w:val="18"/>
              </w:rPr>
              <w:t>251,4</w:t>
            </w:r>
          </w:p>
        </w:tc>
        <w:tc>
          <w:tcPr>
            <w:tcW w:w="610" w:type="dxa"/>
            <w:tcBorders>
              <w:top w:val="single" w:sz="4" w:space="0" w:color="auto"/>
              <w:left w:val="single" w:sz="6" w:space="0" w:color="auto"/>
              <w:bottom w:val="single" w:sz="6" w:space="0" w:color="auto"/>
              <w:right w:val="single" w:sz="6" w:space="0" w:color="auto"/>
            </w:tcBorders>
          </w:tcPr>
          <w:p w14:paraId="499C8967" w14:textId="77777777" w:rsidR="006031D6" w:rsidRPr="006031D6" w:rsidRDefault="006031D6" w:rsidP="006031D6">
            <w:pPr>
              <w:pStyle w:val="Texttabulky"/>
              <w:spacing w:after="0" w:line="240" w:lineRule="atLeast"/>
              <w:rPr>
                <w:rFonts w:cs="Arial"/>
              </w:rPr>
            </w:pPr>
            <w:r w:rsidRPr="006031D6">
              <w:rPr>
                <w:rFonts w:cs="Arial"/>
                <w:b/>
                <w:bCs/>
                <w:sz w:val="18"/>
                <w:szCs w:val="18"/>
              </w:rPr>
              <w:t>288,9</w:t>
            </w:r>
          </w:p>
        </w:tc>
        <w:tc>
          <w:tcPr>
            <w:tcW w:w="963" w:type="dxa"/>
            <w:gridSpan w:val="2"/>
            <w:tcBorders>
              <w:top w:val="single" w:sz="4" w:space="0" w:color="auto"/>
              <w:left w:val="single" w:sz="6" w:space="0" w:color="auto"/>
              <w:bottom w:val="single" w:sz="6" w:space="0" w:color="auto"/>
              <w:right w:val="single" w:sz="6" w:space="0" w:color="auto"/>
            </w:tcBorders>
          </w:tcPr>
          <w:p w14:paraId="1550093D" w14:textId="77777777" w:rsidR="006031D6" w:rsidRPr="006031D6" w:rsidRDefault="006031D6" w:rsidP="006031D6">
            <w:pPr>
              <w:pStyle w:val="Texttabulky"/>
              <w:spacing w:after="0" w:line="240" w:lineRule="atLeast"/>
              <w:rPr>
                <w:rFonts w:cs="Arial"/>
              </w:rPr>
            </w:pPr>
            <w:r w:rsidRPr="006031D6">
              <w:rPr>
                <w:rFonts w:cs="Arial"/>
                <w:b/>
                <w:bCs/>
                <w:sz w:val="18"/>
                <w:szCs w:val="18"/>
              </w:rPr>
              <w:t>364,2</w:t>
            </w:r>
          </w:p>
        </w:tc>
      </w:tr>
    </w:tbl>
    <w:p w14:paraId="3D06C205" w14:textId="77777777" w:rsidR="006031D6" w:rsidRPr="006031D6" w:rsidRDefault="006031D6" w:rsidP="006031D6">
      <w:pPr>
        <w:autoSpaceDE w:val="0"/>
        <w:autoSpaceDN w:val="0"/>
        <w:adjustRightInd w:val="0"/>
        <w:jc w:val="both"/>
        <w:rPr>
          <w:rFonts w:ascii="Arial" w:hAnsi="Arial" w:cs="Arial"/>
          <w:sz w:val="20"/>
        </w:rPr>
      </w:pPr>
    </w:p>
    <w:p w14:paraId="474E154E" w14:textId="77777777" w:rsidR="006031D6" w:rsidRPr="006031D6" w:rsidRDefault="006031D6" w:rsidP="006031D6">
      <w:pPr>
        <w:pStyle w:val="Zkladntext"/>
        <w:spacing w:line="240" w:lineRule="atLeast"/>
        <w:rPr>
          <w:rFonts w:ascii="Arial" w:hAnsi="Arial" w:cs="Arial"/>
        </w:rPr>
      </w:pPr>
      <w:r w:rsidRPr="006031D6">
        <w:rPr>
          <w:rFonts w:ascii="Arial" w:hAnsi="Arial" w:cs="Arial"/>
          <w:sz w:val="18"/>
          <w:szCs w:val="18"/>
        </w:rPr>
        <w:tab/>
      </w:r>
      <w:r w:rsidRPr="006031D6">
        <w:rPr>
          <w:rFonts w:ascii="Arial" w:hAnsi="Arial" w:cs="Arial"/>
          <w:sz w:val="18"/>
          <w:szCs w:val="18"/>
        </w:rPr>
        <w:tab/>
      </w:r>
      <w:r w:rsidRPr="006031D6">
        <w:rPr>
          <w:rFonts w:ascii="Arial" w:hAnsi="Arial" w:cs="Arial"/>
          <w:sz w:val="18"/>
          <w:szCs w:val="18"/>
        </w:rPr>
        <w:tab/>
      </w:r>
      <w:r w:rsidRPr="006031D6">
        <w:rPr>
          <w:rFonts w:ascii="Arial" w:hAnsi="Arial" w:cs="Arial"/>
          <w:sz w:val="18"/>
          <w:szCs w:val="18"/>
        </w:rPr>
        <w:tab/>
      </w:r>
      <w:r w:rsidRPr="006031D6">
        <w:rPr>
          <w:rFonts w:ascii="Arial" w:hAnsi="Arial" w:cs="Arial"/>
          <w:sz w:val="18"/>
          <w:szCs w:val="18"/>
        </w:rPr>
        <w:tab/>
        <w:t>Poznámka: Bynov vrt DN 2 byl odpojen, v součtu již není zahrnut.</w:t>
      </w:r>
    </w:p>
    <w:p w14:paraId="199422DC" w14:textId="77777777" w:rsidR="006031D6" w:rsidRPr="006031D6" w:rsidRDefault="006031D6" w:rsidP="006031D6">
      <w:pPr>
        <w:pStyle w:val="Zkladntext"/>
        <w:spacing w:line="240" w:lineRule="atLeast"/>
        <w:rPr>
          <w:rFonts w:ascii="Arial" w:hAnsi="Arial" w:cs="Arial"/>
          <w:b/>
          <w:bCs/>
          <w:caps/>
        </w:rPr>
      </w:pPr>
    </w:p>
    <w:p w14:paraId="630A1D5F" w14:textId="77777777" w:rsidR="006031D6" w:rsidRPr="006031D6" w:rsidRDefault="006031D6" w:rsidP="006031D6">
      <w:pPr>
        <w:pStyle w:val="Zkladntext"/>
        <w:spacing w:line="240" w:lineRule="atLeast"/>
        <w:rPr>
          <w:rFonts w:ascii="Arial" w:hAnsi="Arial" w:cs="Arial"/>
        </w:rPr>
      </w:pPr>
      <w:r w:rsidRPr="006031D6">
        <w:rPr>
          <w:rFonts w:ascii="Arial" w:hAnsi="Arial" w:cs="Arial"/>
          <w:b/>
          <w:bCs/>
          <w:caps/>
        </w:rPr>
        <w:t>V přehledu nejsou uvedeny zdroje:</w:t>
      </w:r>
    </w:p>
    <w:tbl>
      <w:tblPr>
        <w:tblW w:w="0" w:type="auto"/>
        <w:tblInd w:w="70" w:type="dxa"/>
        <w:tblLayout w:type="fixed"/>
        <w:tblCellMar>
          <w:left w:w="70" w:type="dxa"/>
          <w:right w:w="70" w:type="dxa"/>
        </w:tblCellMar>
        <w:tblLook w:val="0000" w:firstRow="0" w:lastRow="0" w:firstColumn="0" w:lastColumn="0" w:noHBand="0" w:noVBand="0"/>
      </w:tblPr>
      <w:tblGrid>
        <w:gridCol w:w="2359"/>
        <w:gridCol w:w="2468"/>
        <w:gridCol w:w="2414"/>
      </w:tblGrid>
      <w:tr w:rsidR="006031D6" w:rsidRPr="006031D6" w14:paraId="3C7BF70D" w14:textId="77777777" w:rsidTr="002D2D45">
        <w:tc>
          <w:tcPr>
            <w:tcW w:w="2359" w:type="dxa"/>
            <w:tcBorders>
              <w:top w:val="single" w:sz="6" w:space="0" w:color="auto"/>
              <w:left w:val="single" w:sz="6" w:space="0" w:color="auto"/>
              <w:bottom w:val="nil"/>
              <w:right w:val="single" w:sz="6" w:space="0" w:color="auto"/>
            </w:tcBorders>
          </w:tcPr>
          <w:p w14:paraId="1615C258" w14:textId="77777777" w:rsidR="006031D6" w:rsidRPr="006031D6" w:rsidRDefault="006031D6" w:rsidP="006031D6">
            <w:pPr>
              <w:pStyle w:val="Texttabulky"/>
              <w:spacing w:after="0"/>
              <w:rPr>
                <w:rFonts w:cs="Arial"/>
              </w:rPr>
            </w:pPr>
            <w:r w:rsidRPr="006031D6">
              <w:rPr>
                <w:rFonts w:cs="Arial"/>
                <w:b/>
                <w:bCs/>
              </w:rPr>
              <w:t>l o k a l i t a</w:t>
            </w:r>
          </w:p>
        </w:tc>
        <w:tc>
          <w:tcPr>
            <w:tcW w:w="2468" w:type="dxa"/>
            <w:tcBorders>
              <w:top w:val="single" w:sz="6" w:space="0" w:color="auto"/>
              <w:left w:val="single" w:sz="6" w:space="0" w:color="auto"/>
              <w:bottom w:val="single" w:sz="6" w:space="0" w:color="auto"/>
              <w:right w:val="single" w:sz="6" w:space="0" w:color="auto"/>
            </w:tcBorders>
          </w:tcPr>
          <w:p w14:paraId="5BCD74F8" w14:textId="77777777" w:rsidR="006031D6" w:rsidRPr="006031D6" w:rsidRDefault="006031D6" w:rsidP="006031D6">
            <w:pPr>
              <w:pStyle w:val="Texttabulky"/>
              <w:spacing w:after="0" w:line="240" w:lineRule="atLeast"/>
              <w:rPr>
                <w:rFonts w:cs="Arial"/>
              </w:rPr>
            </w:pPr>
            <w:r w:rsidRPr="006031D6">
              <w:rPr>
                <w:rFonts w:cs="Arial"/>
                <w:b/>
                <w:bCs/>
              </w:rPr>
              <w:t>Vydatnost 94</w:t>
            </w:r>
          </w:p>
        </w:tc>
        <w:tc>
          <w:tcPr>
            <w:tcW w:w="2414" w:type="dxa"/>
            <w:tcBorders>
              <w:top w:val="single" w:sz="6" w:space="0" w:color="auto"/>
              <w:left w:val="single" w:sz="6" w:space="0" w:color="auto"/>
              <w:bottom w:val="single" w:sz="6" w:space="0" w:color="auto"/>
              <w:right w:val="single" w:sz="6" w:space="0" w:color="auto"/>
            </w:tcBorders>
          </w:tcPr>
          <w:p w14:paraId="740D477A" w14:textId="77777777" w:rsidR="006031D6" w:rsidRPr="006031D6" w:rsidRDefault="006031D6" w:rsidP="006031D6">
            <w:pPr>
              <w:pStyle w:val="Texttabulky"/>
              <w:spacing w:after="0" w:line="240" w:lineRule="atLeast"/>
              <w:rPr>
                <w:rFonts w:cs="Arial"/>
              </w:rPr>
            </w:pPr>
            <w:r w:rsidRPr="006031D6">
              <w:rPr>
                <w:rFonts w:cs="Arial"/>
                <w:b/>
                <w:bCs/>
              </w:rPr>
              <w:t>Vydatnost 98</w:t>
            </w:r>
          </w:p>
        </w:tc>
      </w:tr>
      <w:tr w:rsidR="006031D6" w:rsidRPr="006031D6" w14:paraId="5DCD88E5" w14:textId="77777777" w:rsidTr="002D2D45">
        <w:tc>
          <w:tcPr>
            <w:tcW w:w="2359" w:type="dxa"/>
            <w:tcBorders>
              <w:top w:val="single" w:sz="6" w:space="0" w:color="auto"/>
              <w:left w:val="single" w:sz="6" w:space="0" w:color="auto"/>
              <w:bottom w:val="single" w:sz="6" w:space="0" w:color="auto"/>
              <w:right w:val="single" w:sz="6" w:space="0" w:color="auto"/>
            </w:tcBorders>
          </w:tcPr>
          <w:p w14:paraId="7AC17E91" w14:textId="77777777" w:rsidR="006031D6" w:rsidRPr="006031D6" w:rsidRDefault="006031D6" w:rsidP="006031D6">
            <w:pPr>
              <w:pStyle w:val="Texttabulky"/>
              <w:spacing w:after="0" w:line="240" w:lineRule="atLeast"/>
              <w:rPr>
                <w:rFonts w:cs="Arial"/>
              </w:rPr>
            </w:pPr>
            <w:r w:rsidRPr="006031D6">
              <w:rPr>
                <w:rFonts w:cs="Arial"/>
              </w:rPr>
              <w:t>Maxičky</w:t>
            </w:r>
          </w:p>
        </w:tc>
        <w:tc>
          <w:tcPr>
            <w:tcW w:w="2468" w:type="dxa"/>
            <w:tcBorders>
              <w:top w:val="nil"/>
              <w:left w:val="nil"/>
              <w:bottom w:val="single" w:sz="6" w:space="0" w:color="auto"/>
              <w:right w:val="single" w:sz="6" w:space="0" w:color="auto"/>
            </w:tcBorders>
          </w:tcPr>
          <w:p w14:paraId="6C218080" w14:textId="77777777" w:rsidR="006031D6" w:rsidRPr="006031D6" w:rsidRDefault="006031D6" w:rsidP="006031D6">
            <w:pPr>
              <w:pStyle w:val="Texttabulky"/>
              <w:spacing w:after="0" w:line="240" w:lineRule="atLeast"/>
              <w:rPr>
                <w:rFonts w:cs="Arial"/>
              </w:rPr>
            </w:pPr>
            <w:r w:rsidRPr="006031D6">
              <w:rPr>
                <w:rFonts w:cs="Arial"/>
              </w:rPr>
              <w:t>1,7 l/s</w:t>
            </w:r>
          </w:p>
        </w:tc>
        <w:tc>
          <w:tcPr>
            <w:tcW w:w="2414" w:type="dxa"/>
            <w:tcBorders>
              <w:top w:val="nil"/>
              <w:left w:val="single" w:sz="6" w:space="0" w:color="auto"/>
              <w:bottom w:val="single" w:sz="6" w:space="0" w:color="auto"/>
              <w:right w:val="single" w:sz="6" w:space="0" w:color="auto"/>
            </w:tcBorders>
          </w:tcPr>
          <w:p w14:paraId="5C4BAA35" w14:textId="77777777" w:rsidR="006031D6" w:rsidRPr="006031D6" w:rsidRDefault="006031D6" w:rsidP="006031D6">
            <w:pPr>
              <w:pStyle w:val="Texttabulky"/>
              <w:spacing w:after="0" w:line="240" w:lineRule="atLeast"/>
              <w:rPr>
                <w:rFonts w:cs="Arial"/>
              </w:rPr>
            </w:pPr>
            <w:r w:rsidRPr="006031D6">
              <w:rPr>
                <w:rFonts w:cs="Arial"/>
              </w:rPr>
              <w:t>0,35l/s</w:t>
            </w:r>
          </w:p>
        </w:tc>
      </w:tr>
      <w:tr w:rsidR="006031D6" w:rsidRPr="006031D6" w14:paraId="64BA0AA0" w14:textId="77777777" w:rsidTr="002D2D45">
        <w:tc>
          <w:tcPr>
            <w:tcW w:w="2359" w:type="dxa"/>
            <w:tcBorders>
              <w:top w:val="single" w:sz="6" w:space="0" w:color="auto"/>
              <w:left w:val="single" w:sz="6" w:space="0" w:color="auto"/>
              <w:bottom w:val="single" w:sz="6" w:space="0" w:color="auto"/>
              <w:right w:val="single" w:sz="6" w:space="0" w:color="auto"/>
            </w:tcBorders>
          </w:tcPr>
          <w:p w14:paraId="3109AAA2" w14:textId="77777777" w:rsidR="006031D6" w:rsidRPr="006031D6" w:rsidRDefault="006031D6" w:rsidP="006031D6">
            <w:pPr>
              <w:pStyle w:val="Texttabulky"/>
              <w:spacing w:after="0" w:line="240" w:lineRule="atLeast"/>
              <w:rPr>
                <w:rFonts w:cs="Arial"/>
              </w:rPr>
            </w:pPr>
            <w:r w:rsidRPr="006031D6">
              <w:rPr>
                <w:rFonts w:cs="Arial"/>
              </w:rPr>
              <w:t>Chlum</w:t>
            </w:r>
          </w:p>
        </w:tc>
        <w:tc>
          <w:tcPr>
            <w:tcW w:w="2468" w:type="dxa"/>
            <w:tcBorders>
              <w:top w:val="single" w:sz="6" w:space="0" w:color="auto"/>
              <w:left w:val="nil"/>
              <w:bottom w:val="single" w:sz="6" w:space="0" w:color="auto"/>
              <w:right w:val="single" w:sz="6" w:space="0" w:color="auto"/>
            </w:tcBorders>
          </w:tcPr>
          <w:p w14:paraId="5AE3E2D7" w14:textId="77777777" w:rsidR="006031D6" w:rsidRPr="006031D6" w:rsidRDefault="006031D6" w:rsidP="006031D6">
            <w:pPr>
              <w:pStyle w:val="Texttabulky"/>
              <w:spacing w:after="0" w:line="240" w:lineRule="atLeast"/>
              <w:rPr>
                <w:rFonts w:cs="Arial"/>
              </w:rPr>
            </w:pPr>
            <w:r w:rsidRPr="006031D6">
              <w:rPr>
                <w:rFonts w:cs="Arial"/>
              </w:rPr>
              <w:t>0,7 l/s</w:t>
            </w:r>
          </w:p>
        </w:tc>
        <w:tc>
          <w:tcPr>
            <w:tcW w:w="2414" w:type="dxa"/>
            <w:tcBorders>
              <w:top w:val="single" w:sz="6" w:space="0" w:color="auto"/>
              <w:left w:val="single" w:sz="6" w:space="0" w:color="auto"/>
              <w:bottom w:val="single" w:sz="6" w:space="0" w:color="auto"/>
              <w:right w:val="single" w:sz="6" w:space="0" w:color="auto"/>
            </w:tcBorders>
          </w:tcPr>
          <w:p w14:paraId="738231B6" w14:textId="77777777" w:rsidR="006031D6" w:rsidRPr="006031D6" w:rsidRDefault="006031D6" w:rsidP="006031D6">
            <w:pPr>
              <w:pStyle w:val="Texttabulky"/>
              <w:spacing w:after="0" w:line="240" w:lineRule="atLeast"/>
              <w:rPr>
                <w:rFonts w:cs="Arial"/>
              </w:rPr>
            </w:pPr>
            <w:r w:rsidRPr="006031D6">
              <w:rPr>
                <w:rFonts w:cs="Arial"/>
              </w:rPr>
              <w:t>0,07l/s</w:t>
            </w:r>
          </w:p>
        </w:tc>
      </w:tr>
      <w:tr w:rsidR="006031D6" w:rsidRPr="006031D6" w14:paraId="7FAECC0A" w14:textId="77777777" w:rsidTr="002D2D45">
        <w:tc>
          <w:tcPr>
            <w:tcW w:w="2359" w:type="dxa"/>
            <w:tcBorders>
              <w:top w:val="single" w:sz="6" w:space="0" w:color="auto"/>
              <w:left w:val="single" w:sz="6" w:space="0" w:color="auto"/>
              <w:bottom w:val="single" w:sz="6" w:space="0" w:color="auto"/>
              <w:right w:val="single" w:sz="6" w:space="0" w:color="auto"/>
            </w:tcBorders>
          </w:tcPr>
          <w:p w14:paraId="50369189" w14:textId="77777777" w:rsidR="006031D6" w:rsidRPr="006031D6" w:rsidRDefault="006031D6" w:rsidP="006031D6">
            <w:pPr>
              <w:pStyle w:val="Texttabulky"/>
              <w:spacing w:after="0" w:line="240" w:lineRule="atLeast"/>
              <w:rPr>
                <w:rFonts w:cs="Arial"/>
              </w:rPr>
            </w:pPr>
            <w:r w:rsidRPr="006031D6">
              <w:rPr>
                <w:rFonts w:cs="Arial"/>
              </w:rPr>
              <w:t>Jakuby - Všeraz</w:t>
            </w:r>
          </w:p>
        </w:tc>
        <w:tc>
          <w:tcPr>
            <w:tcW w:w="2468" w:type="dxa"/>
            <w:tcBorders>
              <w:top w:val="single" w:sz="6" w:space="0" w:color="auto"/>
              <w:left w:val="nil"/>
              <w:bottom w:val="single" w:sz="6" w:space="0" w:color="auto"/>
              <w:right w:val="single" w:sz="6" w:space="0" w:color="auto"/>
            </w:tcBorders>
          </w:tcPr>
          <w:p w14:paraId="587A26CF" w14:textId="77777777" w:rsidR="006031D6" w:rsidRPr="006031D6" w:rsidRDefault="006031D6" w:rsidP="006031D6">
            <w:pPr>
              <w:pStyle w:val="Texttabulky"/>
              <w:spacing w:after="0" w:line="240" w:lineRule="atLeast"/>
              <w:rPr>
                <w:rFonts w:cs="Arial"/>
              </w:rPr>
            </w:pPr>
            <w:r w:rsidRPr="006031D6">
              <w:rPr>
                <w:rFonts w:cs="Arial"/>
              </w:rPr>
              <w:t>0,48 l/s</w:t>
            </w:r>
          </w:p>
        </w:tc>
        <w:tc>
          <w:tcPr>
            <w:tcW w:w="2414" w:type="dxa"/>
            <w:tcBorders>
              <w:top w:val="single" w:sz="6" w:space="0" w:color="auto"/>
              <w:left w:val="single" w:sz="6" w:space="0" w:color="auto"/>
              <w:bottom w:val="single" w:sz="6" w:space="0" w:color="auto"/>
              <w:right w:val="single" w:sz="6" w:space="0" w:color="auto"/>
            </w:tcBorders>
          </w:tcPr>
          <w:p w14:paraId="612FBE92" w14:textId="77777777" w:rsidR="006031D6" w:rsidRPr="006031D6" w:rsidRDefault="006031D6" w:rsidP="006031D6">
            <w:pPr>
              <w:pStyle w:val="Texttabulky"/>
              <w:spacing w:after="0" w:line="240" w:lineRule="atLeast"/>
              <w:rPr>
                <w:rFonts w:cs="Arial"/>
              </w:rPr>
            </w:pPr>
            <w:r w:rsidRPr="006031D6">
              <w:rPr>
                <w:rFonts w:cs="Arial"/>
              </w:rPr>
              <w:t>0,40l/s</w:t>
            </w:r>
          </w:p>
        </w:tc>
      </w:tr>
      <w:tr w:rsidR="006031D6" w:rsidRPr="006031D6" w14:paraId="1C20F122" w14:textId="77777777" w:rsidTr="002D2D45">
        <w:tc>
          <w:tcPr>
            <w:tcW w:w="2359" w:type="dxa"/>
            <w:tcBorders>
              <w:top w:val="single" w:sz="6" w:space="0" w:color="auto"/>
              <w:left w:val="single" w:sz="6" w:space="0" w:color="auto"/>
              <w:bottom w:val="single" w:sz="6" w:space="0" w:color="auto"/>
              <w:right w:val="single" w:sz="6" w:space="0" w:color="auto"/>
            </w:tcBorders>
          </w:tcPr>
          <w:p w14:paraId="6FD69623" w14:textId="77777777" w:rsidR="006031D6" w:rsidRPr="006031D6" w:rsidRDefault="006031D6" w:rsidP="006031D6">
            <w:pPr>
              <w:pStyle w:val="Texttabulky"/>
              <w:spacing w:after="0" w:line="240" w:lineRule="atLeast"/>
              <w:rPr>
                <w:rFonts w:cs="Arial"/>
              </w:rPr>
            </w:pPr>
            <w:r w:rsidRPr="006031D6">
              <w:rPr>
                <w:rFonts w:cs="Arial"/>
              </w:rPr>
              <w:t>Velká Veleň</w:t>
            </w:r>
          </w:p>
        </w:tc>
        <w:tc>
          <w:tcPr>
            <w:tcW w:w="2468" w:type="dxa"/>
            <w:tcBorders>
              <w:top w:val="single" w:sz="6" w:space="0" w:color="auto"/>
              <w:left w:val="nil"/>
              <w:bottom w:val="nil"/>
              <w:right w:val="single" w:sz="6" w:space="0" w:color="auto"/>
            </w:tcBorders>
          </w:tcPr>
          <w:p w14:paraId="164ABC52" w14:textId="77777777" w:rsidR="006031D6" w:rsidRPr="006031D6" w:rsidRDefault="006031D6" w:rsidP="006031D6">
            <w:pPr>
              <w:pStyle w:val="Texttabulky"/>
              <w:spacing w:after="0" w:line="240" w:lineRule="atLeast"/>
              <w:rPr>
                <w:rFonts w:cs="Arial"/>
              </w:rPr>
            </w:pPr>
            <w:r w:rsidRPr="006031D6">
              <w:rPr>
                <w:rFonts w:cs="Arial"/>
              </w:rPr>
              <w:t>0,61 l/s</w:t>
            </w:r>
          </w:p>
        </w:tc>
        <w:tc>
          <w:tcPr>
            <w:tcW w:w="2414" w:type="dxa"/>
            <w:tcBorders>
              <w:top w:val="single" w:sz="6" w:space="0" w:color="auto"/>
              <w:left w:val="single" w:sz="6" w:space="0" w:color="auto"/>
              <w:bottom w:val="nil"/>
              <w:right w:val="single" w:sz="6" w:space="0" w:color="auto"/>
            </w:tcBorders>
          </w:tcPr>
          <w:p w14:paraId="4C275627" w14:textId="77777777" w:rsidR="006031D6" w:rsidRPr="006031D6" w:rsidRDefault="006031D6" w:rsidP="006031D6">
            <w:pPr>
              <w:pStyle w:val="Texttabulky"/>
              <w:spacing w:after="0" w:line="240" w:lineRule="atLeast"/>
              <w:rPr>
                <w:rFonts w:cs="Arial"/>
              </w:rPr>
            </w:pPr>
            <w:r w:rsidRPr="006031D6">
              <w:rPr>
                <w:rFonts w:cs="Arial"/>
              </w:rPr>
              <w:t>0,50l/s</w:t>
            </w:r>
          </w:p>
        </w:tc>
      </w:tr>
      <w:tr w:rsidR="006031D6" w:rsidRPr="006031D6" w14:paraId="6C75ACDD" w14:textId="77777777" w:rsidTr="002D2D45">
        <w:tc>
          <w:tcPr>
            <w:tcW w:w="2359" w:type="dxa"/>
            <w:tcBorders>
              <w:top w:val="single" w:sz="6" w:space="0" w:color="auto"/>
              <w:left w:val="single" w:sz="6" w:space="0" w:color="auto"/>
              <w:bottom w:val="single" w:sz="6" w:space="0" w:color="auto"/>
              <w:right w:val="single" w:sz="6" w:space="0" w:color="auto"/>
            </w:tcBorders>
          </w:tcPr>
          <w:p w14:paraId="36CF6C76" w14:textId="77777777" w:rsidR="006031D6" w:rsidRPr="006031D6" w:rsidRDefault="006031D6" w:rsidP="006031D6">
            <w:pPr>
              <w:pStyle w:val="Texttabulky"/>
              <w:spacing w:after="0" w:line="240" w:lineRule="atLeast"/>
              <w:rPr>
                <w:rFonts w:cs="Arial"/>
              </w:rPr>
            </w:pPr>
            <w:r w:rsidRPr="006031D6">
              <w:rPr>
                <w:rFonts w:cs="Arial"/>
                <w:b/>
                <w:bCs/>
              </w:rPr>
              <w:t>Celkem</w:t>
            </w:r>
          </w:p>
        </w:tc>
        <w:tc>
          <w:tcPr>
            <w:tcW w:w="2468" w:type="dxa"/>
            <w:tcBorders>
              <w:top w:val="single" w:sz="6" w:space="0" w:color="auto"/>
              <w:left w:val="nil"/>
              <w:bottom w:val="single" w:sz="6" w:space="0" w:color="auto"/>
              <w:right w:val="single" w:sz="6" w:space="0" w:color="auto"/>
            </w:tcBorders>
          </w:tcPr>
          <w:p w14:paraId="4E80ACCE" w14:textId="77777777" w:rsidR="006031D6" w:rsidRPr="006031D6" w:rsidRDefault="006031D6" w:rsidP="006031D6">
            <w:pPr>
              <w:pStyle w:val="Texttabulky"/>
              <w:spacing w:after="0" w:line="240" w:lineRule="atLeast"/>
              <w:rPr>
                <w:rFonts w:cs="Arial"/>
              </w:rPr>
            </w:pPr>
            <w:r w:rsidRPr="006031D6">
              <w:rPr>
                <w:rFonts w:cs="Arial"/>
                <w:b/>
                <w:bCs/>
              </w:rPr>
              <w:t>3,49 l/s</w:t>
            </w:r>
          </w:p>
        </w:tc>
        <w:tc>
          <w:tcPr>
            <w:tcW w:w="2414" w:type="dxa"/>
            <w:tcBorders>
              <w:top w:val="single" w:sz="6" w:space="0" w:color="auto"/>
              <w:left w:val="single" w:sz="6" w:space="0" w:color="auto"/>
              <w:bottom w:val="single" w:sz="6" w:space="0" w:color="auto"/>
              <w:right w:val="single" w:sz="6" w:space="0" w:color="auto"/>
            </w:tcBorders>
          </w:tcPr>
          <w:p w14:paraId="39722EAE" w14:textId="77777777" w:rsidR="006031D6" w:rsidRPr="006031D6" w:rsidRDefault="006031D6" w:rsidP="006031D6">
            <w:pPr>
              <w:pStyle w:val="Texttabulky"/>
              <w:spacing w:after="0" w:line="240" w:lineRule="atLeast"/>
              <w:rPr>
                <w:rFonts w:cs="Arial"/>
              </w:rPr>
            </w:pPr>
            <w:r w:rsidRPr="006031D6">
              <w:rPr>
                <w:rFonts w:cs="Arial"/>
                <w:b/>
                <w:bCs/>
              </w:rPr>
              <w:t>1,32l/s</w:t>
            </w:r>
          </w:p>
        </w:tc>
      </w:tr>
    </w:tbl>
    <w:p w14:paraId="79758A73" w14:textId="77777777" w:rsidR="006031D6" w:rsidRPr="006031D6" w:rsidRDefault="006031D6" w:rsidP="006031D6">
      <w:pPr>
        <w:autoSpaceDE w:val="0"/>
        <w:autoSpaceDN w:val="0"/>
        <w:adjustRightInd w:val="0"/>
        <w:jc w:val="both"/>
        <w:rPr>
          <w:rFonts w:ascii="Arial" w:hAnsi="Arial" w:cs="Arial"/>
          <w:sz w:val="20"/>
        </w:rPr>
      </w:pPr>
    </w:p>
    <w:p w14:paraId="2D4D5AD6" w14:textId="77777777" w:rsidR="006031D6" w:rsidRPr="006031D6" w:rsidRDefault="006031D6" w:rsidP="006031D6">
      <w:pPr>
        <w:pStyle w:val="Zkladntext"/>
        <w:spacing w:line="240" w:lineRule="atLeast"/>
        <w:rPr>
          <w:rFonts w:ascii="Arial" w:hAnsi="Arial" w:cs="Arial"/>
        </w:rPr>
      </w:pPr>
    </w:p>
    <w:p w14:paraId="0BA27D5E" w14:textId="77777777" w:rsidR="006031D6" w:rsidRPr="006031D6" w:rsidRDefault="006031D6" w:rsidP="006031D6">
      <w:pPr>
        <w:pStyle w:val="podnadpis2"/>
        <w:spacing w:before="120" w:after="0" w:line="288" w:lineRule="auto"/>
        <w:jc w:val="both"/>
        <w:rPr>
          <w:rFonts w:cs="Arial"/>
          <w:szCs w:val="22"/>
        </w:rPr>
      </w:pPr>
      <w:r w:rsidRPr="006031D6">
        <w:rPr>
          <w:rFonts w:cs="Arial"/>
          <w:szCs w:val="22"/>
        </w:rPr>
        <w:t xml:space="preserve">Tlaková pásma, vodojemy </w:t>
      </w:r>
    </w:p>
    <w:p w14:paraId="73B02668"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V celé soustavě si pouze Čertovy vodojemy, vodojem Kamenická s vodojemem Studený a vodojem Vysoký (Bynov) s vodojemem Pastýřská stěna odpovídají kótou hladiny. Velmi zhruba lze soustavu rozdělit do 7 tlakových pásem, přesněji do 7 skupin vodojemů, zhruba si odpovídajících svými hladinami. Ve středu města po obou stranách Labe dosahuje tlak 70 m v. sl. </w:t>
      </w:r>
    </w:p>
    <w:p w14:paraId="47BE6AE0"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Celková akumulační kapacita v současnosti provozovaných vodojemů včetně vodojemů lokálních vodovodů činí 31.220 m</w:t>
      </w:r>
      <w:r w:rsidRPr="006031D6">
        <w:rPr>
          <w:rFonts w:ascii="Arial" w:hAnsi="Arial" w:cs="Arial"/>
          <w:sz w:val="22"/>
          <w:szCs w:val="22"/>
          <w:vertAlign w:val="superscript"/>
        </w:rPr>
        <w:t>3</w:t>
      </w:r>
      <w:r w:rsidRPr="006031D6">
        <w:rPr>
          <w:rFonts w:ascii="Arial" w:hAnsi="Arial" w:cs="Arial"/>
          <w:sz w:val="22"/>
          <w:szCs w:val="22"/>
        </w:rPr>
        <w:t>.</w:t>
      </w:r>
    </w:p>
    <w:p w14:paraId="6F170065"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Malé vodojemy zásobují většinou malá tlaková pásma v okrajových čtvrtích: Bechlejovice, Nebočady, Křešice, Krásný Studenec, Folknáře, Jalůvčí, Přípeř, Loubí, Horní Oldřichov, atd. Některé z těchto vodojemů byly již propojeny přímo na hlavní síť přivaděčů. </w:t>
      </w:r>
    </w:p>
    <w:p w14:paraId="6077078B"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Informace o vodojemech jsou shrnuty v tabulce "Seznam vodojemů ve skupin. vodovodu Děčín" (převzato z 1. etapy generelu vodovodu Děčín - SčVaK Teplice, projekce Liberec 12/95, Ing. Nevole). </w:t>
      </w:r>
    </w:p>
    <w:p w14:paraId="51694C37" w14:textId="77777777" w:rsidR="006031D6" w:rsidRPr="006031D6" w:rsidRDefault="006031D6" w:rsidP="006031D6">
      <w:pPr>
        <w:pStyle w:val="Zkladntext"/>
        <w:spacing w:before="120" w:line="288" w:lineRule="auto"/>
        <w:jc w:val="both"/>
        <w:rPr>
          <w:rFonts w:ascii="Arial" w:hAnsi="Arial" w:cs="Arial"/>
          <w:sz w:val="22"/>
          <w:szCs w:val="22"/>
        </w:rPr>
      </w:pPr>
    </w:p>
    <w:p w14:paraId="4F9DC953"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Seznam vodojemů v sídelním útvaru Děčín</w:t>
      </w:r>
    </w:p>
    <w:tbl>
      <w:tblPr>
        <w:tblW w:w="0" w:type="auto"/>
        <w:jc w:val="center"/>
        <w:tblLayout w:type="fixed"/>
        <w:tblCellMar>
          <w:left w:w="70" w:type="dxa"/>
          <w:right w:w="70" w:type="dxa"/>
        </w:tblCellMar>
        <w:tblLook w:val="0000" w:firstRow="0" w:lastRow="0" w:firstColumn="0" w:lastColumn="0" w:noHBand="0" w:noVBand="0"/>
      </w:tblPr>
      <w:tblGrid>
        <w:gridCol w:w="1895"/>
        <w:gridCol w:w="1050"/>
        <w:gridCol w:w="886"/>
        <w:gridCol w:w="778"/>
        <w:gridCol w:w="993"/>
        <w:gridCol w:w="969"/>
        <w:gridCol w:w="845"/>
      </w:tblGrid>
      <w:tr w:rsidR="006031D6" w:rsidRPr="006031D6" w14:paraId="5219AB78"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73414BD7" w14:textId="77777777" w:rsidR="006031D6" w:rsidRPr="006031D6" w:rsidRDefault="006031D6" w:rsidP="006031D6">
            <w:pPr>
              <w:pStyle w:val="Texttabulky"/>
              <w:spacing w:after="0" w:line="240" w:lineRule="atLeast"/>
              <w:rPr>
                <w:rFonts w:cs="Arial"/>
              </w:rPr>
            </w:pPr>
            <w:r w:rsidRPr="006031D6">
              <w:rPr>
                <w:rFonts w:cs="Arial"/>
                <w:b/>
                <w:bCs/>
              </w:rPr>
              <w:t>vodojem</w:t>
            </w:r>
          </w:p>
        </w:tc>
        <w:tc>
          <w:tcPr>
            <w:tcW w:w="1050" w:type="dxa"/>
            <w:tcBorders>
              <w:top w:val="single" w:sz="6" w:space="0" w:color="auto"/>
              <w:left w:val="single" w:sz="6" w:space="0" w:color="auto"/>
              <w:bottom w:val="single" w:sz="6" w:space="0" w:color="auto"/>
              <w:right w:val="single" w:sz="6" w:space="0" w:color="auto"/>
            </w:tcBorders>
          </w:tcPr>
          <w:p w14:paraId="2B077D61" w14:textId="77777777" w:rsidR="006031D6" w:rsidRPr="006031D6" w:rsidRDefault="006031D6" w:rsidP="006031D6">
            <w:pPr>
              <w:pStyle w:val="Texttabulky"/>
              <w:spacing w:after="0" w:line="240" w:lineRule="atLeast"/>
              <w:rPr>
                <w:rFonts w:cs="Arial"/>
              </w:rPr>
            </w:pPr>
            <w:r w:rsidRPr="006031D6">
              <w:rPr>
                <w:rFonts w:cs="Arial"/>
                <w:b/>
                <w:bCs/>
              </w:rPr>
              <w:t>tl. pásmo</w:t>
            </w:r>
          </w:p>
        </w:tc>
        <w:tc>
          <w:tcPr>
            <w:tcW w:w="886" w:type="dxa"/>
            <w:tcBorders>
              <w:top w:val="single" w:sz="6" w:space="0" w:color="auto"/>
              <w:left w:val="single" w:sz="6" w:space="0" w:color="auto"/>
              <w:bottom w:val="single" w:sz="6" w:space="0" w:color="auto"/>
              <w:right w:val="single" w:sz="6" w:space="0" w:color="auto"/>
            </w:tcBorders>
          </w:tcPr>
          <w:p w14:paraId="5961B8E5" w14:textId="77777777" w:rsidR="006031D6" w:rsidRPr="006031D6" w:rsidRDefault="006031D6" w:rsidP="006031D6">
            <w:pPr>
              <w:pStyle w:val="Texttabulky"/>
              <w:spacing w:after="0" w:line="240" w:lineRule="atLeast"/>
              <w:rPr>
                <w:rFonts w:cs="Arial"/>
              </w:rPr>
            </w:pPr>
            <w:r w:rsidRPr="006031D6">
              <w:rPr>
                <w:rFonts w:cs="Arial"/>
                <w:b/>
                <w:bCs/>
              </w:rPr>
              <w:t>objem m</w:t>
            </w:r>
            <w:r w:rsidRPr="006031D6">
              <w:rPr>
                <w:rFonts w:cs="Arial"/>
                <w:b/>
                <w:bCs/>
                <w:position w:val="6"/>
              </w:rPr>
              <w:t>3</w:t>
            </w:r>
          </w:p>
        </w:tc>
        <w:tc>
          <w:tcPr>
            <w:tcW w:w="778" w:type="dxa"/>
            <w:tcBorders>
              <w:top w:val="single" w:sz="6" w:space="0" w:color="auto"/>
              <w:left w:val="single" w:sz="6" w:space="0" w:color="auto"/>
              <w:bottom w:val="single" w:sz="6" w:space="0" w:color="auto"/>
              <w:right w:val="single" w:sz="6" w:space="0" w:color="auto"/>
            </w:tcBorders>
          </w:tcPr>
          <w:p w14:paraId="14FF0E0C" w14:textId="77777777" w:rsidR="006031D6" w:rsidRPr="006031D6" w:rsidRDefault="006031D6" w:rsidP="006031D6">
            <w:pPr>
              <w:pStyle w:val="Texttabulky"/>
              <w:spacing w:after="0" w:line="240" w:lineRule="atLeast"/>
              <w:rPr>
                <w:rFonts w:cs="Arial"/>
              </w:rPr>
            </w:pPr>
            <w:r w:rsidRPr="006031D6">
              <w:rPr>
                <w:rFonts w:cs="Arial"/>
                <w:b/>
                <w:bCs/>
              </w:rPr>
              <w:t>komor</w:t>
            </w:r>
          </w:p>
        </w:tc>
        <w:tc>
          <w:tcPr>
            <w:tcW w:w="993" w:type="dxa"/>
            <w:tcBorders>
              <w:top w:val="single" w:sz="6" w:space="0" w:color="auto"/>
              <w:left w:val="single" w:sz="6" w:space="0" w:color="auto"/>
              <w:bottom w:val="single" w:sz="6" w:space="0" w:color="auto"/>
              <w:right w:val="single" w:sz="6" w:space="0" w:color="auto"/>
            </w:tcBorders>
          </w:tcPr>
          <w:p w14:paraId="17CAA892" w14:textId="77777777" w:rsidR="006031D6" w:rsidRPr="006031D6" w:rsidRDefault="006031D6" w:rsidP="006031D6">
            <w:pPr>
              <w:pStyle w:val="Texttabulky"/>
              <w:spacing w:after="0" w:line="240" w:lineRule="atLeast"/>
              <w:rPr>
                <w:rFonts w:cs="Arial"/>
              </w:rPr>
            </w:pPr>
            <w:r w:rsidRPr="006031D6">
              <w:rPr>
                <w:rFonts w:cs="Arial"/>
                <w:b/>
                <w:bCs/>
              </w:rPr>
              <w:t>horní</w:t>
            </w:r>
          </w:p>
        </w:tc>
        <w:tc>
          <w:tcPr>
            <w:tcW w:w="969" w:type="dxa"/>
            <w:tcBorders>
              <w:top w:val="single" w:sz="6" w:space="0" w:color="auto"/>
              <w:left w:val="single" w:sz="6" w:space="0" w:color="auto"/>
              <w:bottom w:val="single" w:sz="6" w:space="0" w:color="auto"/>
              <w:right w:val="single" w:sz="6" w:space="0" w:color="auto"/>
            </w:tcBorders>
          </w:tcPr>
          <w:p w14:paraId="54B1A415" w14:textId="77777777" w:rsidR="006031D6" w:rsidRPr="006031D6" w:rsidRDefault="006031D6" w:rsidP="006031D6">
            <w:pPr>
              <w:pStyle w:val="Texttabulky"/>
              <w:spacing w:after="0" w:line="240" w:lineRule="atLeast"/>
              <w:rPr>
                <w:rFonts w:cs="Arial"/>
              </w:rPr>
            </w:pPr>
            <w:r w:rsidRPr="006031D6">
              <w:rPr>
                <w:rFonts w:cs="Arial"/>
                <w:b/>
                <w:bCs/>
              </w:rPr>
              <w:t>dolní</w:t>
            </w:r>
          </w:p>
        </w:tc>
        <w:tc>
          <w:tcPr>
            <w:tcW w:w="845" w:type="dxa"/>
            <w:tcBorders>
              <w:top w:val="single" w:sz="6" w:space="0" w:color="auto"/>
              <w:left w:val="single" w:sz="6" w:space="0" w:color="auto"/>
              <w:bottom w:val="single" w:sz="6" w:space="0" w:color="auto"/>
              <w:right w:val="single" w:sz="6" w:space="0" w:color="auto"/>
            </w:tcBorders>
          </w:tcPr>
          <w:p w14:paraId="3DF09890" w14:textId="77777777" w:rsidR="006031D6" w:rsidRPr="006031D6" w:rsidRDefault="006031D6" w:rsidP="006031D6">
            <w:pPr>
              <w:pStyle w:val="Texttabulky"/>
              <w:spacing w:after="0" w:line="240" w:lineRule="atLeast"/>
              <w:rPr>
                <w:rFonts w:cs="Arial"/>
              </w:rPr>
            </w:pPr>
            <w:r w:rsidRPr="006031D6">
              <w:rPr>
                <w:rFonts w:cs="Arial"/>
                <w:b/>
                <w:bCs/>
              </w:rPr>
              <w:t>hřeb</w:t>
            </w:r>
          </w:p>
        </w:tc>
      </w:tr>
      <w:tr w:rsidR="006031D6" w:rsidRPr="006031D6" w14:paraId="72AFE698"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3DD40EA8" w14:textId="77777777" w:rsidR="006031D6" w:rsidRPr="006031D6" w:rsidRDefault="006031D6" w:rsidP="006031D6">
            <w:pPr>
              <w:pStyle w:val="Texttabulky"/>
              <w:spacing w:after="0" w:line="240" w:lineRule="atLeast"/>
              <w:rPr>
                <w:rFonts w:cs="Arial"/>
              </w:rPr>
            </w:pPr>
            <w:r w:rsidRPr="006031D6">
              <w:rPr>
                <w:rFonts w:cs="Arial"/>
              </w:rPr>
              <w:t>Bechlejovice</w:t>
            </w:r>
          </w:p>
        </w:tc>
        <w:tc>
          <w:tcPr>
            <w:tcW w:w="1050" w:type="dxa"/>
            <w:tcBorders>
              <w:top w:val="single" w:sz="6" w:space="0" w:color="auto"/>
              <w:left w:val="single" w:sz="6" w:space="0" w:color="auto"/>
              <w:bottom w:val="single" w:sz="6" w:space="0" w:color="auto"/>
              <w:right w:val="single" w:sz="6" w:space="0" w:color="auto"/>
            </w:tcBorders>
          </w:tcPr>
          <w:p w14:paraId="0B432ABC"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2ACB30C3" w14:textId="77777777" w:rsidR="006031D6" w:rsidRPr="006031D6" w:rsidRDefault="006031D6" w:rsidP="006031D6">
            <w:pPr>
              <w:pStyle w:val="Texttabulky"/>
              <w:spacing w:after="0" w:line="240" w:lineRule="atLeast"/>
              <w:rPr>
                <w:rFonts w:cs="Arial"/>
              </w:rPr>
            </w:pPr>
            <w:r w:rsidRPr="006031D6">
              <w:rPr>
                <w:rFonts w:cs="Arial"/>
              </w:rPr>
              <w:t>20</w:t>
            </w:r>
          </w:p>
        </w:tc>
        <w:tc>
          <w:tcPr>
            <w:tcW w:w="778" w:type="dxa"/>
            <w:tcBorders>
              <w:top w:val="single" w:sz="6" w:space="0" w:color="auto"/>
              <w:left w:val="single" w:sz="6" w:space="0" w:color="auto"/>
              <w:bottom w:val="single" w:sz="6" w:space="0" w:color="auto"/>
              <w:right w:val="single" w:sz="6" w:space="0" w:color="auto"/>
            </w:tcBorders>
          </w:tcPr>
          <w:p w14:paraId="501A60BC"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1EFDF978" w14:textId="77777777" w:rsidR="006031D6" w:rsidRPr="006031D6" w:rsidRDefault="006031D6" w:rsidP="006031D6">
            <w:pPr>
              <w:pStyle w:val="Zkladntext"/>
              <w:spacing w:after="0"/>
              <w:rPr>
                <w:rFonts w:ascii="Arial" w:hAnsi="Arial" w:cs="Arial"/>
              </w:rPr>
            </w:pPr>
          </w:p>
        </w:tc>
        <w:tc>
          <w:tcPr>
            <w:tcW w:w="969" w:type="dxa"/>
            <w:tcBorders>
              <w:top w:val="single" w:sz="6" w:space="0" w:color="auto"/>
              <w:left w:val="single" w:sz="6" w:space="0" w:color="auto"/>
              <w:bottom w:val="single" w:sz="6" w:space="0" w:color="auto"/>
              <w:right w:val="single" w:sz="6" w:space="0" w:color="auto"/>
            </w:tcBorders>
          </w:tcPr>
          <w:p w14:paraId="10583D06"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2429CD26" w14:textId="77777777" w:rsidR="006031D6" w:rsidRPr="006031D6" w:rsidRDefault="006031D6" w:rsidP="006031D6">
            <w:pPr>
              <w:pStyle w:val="Texttabulky"/>
              <w:spacing w:after="0" w:line="240" w:lineRule="atLeast"/>
              <w:rPr>
                <w:rFonts w:cs="Arial"/>
              </w:rPr>
            </w:pPr>
            <w:r w:rsidRPr="006031D6">
              <w:rPr>
                <w:rFonts w:cs="Arial"/>
              </w:rPr>
              <w:t>191,7</w:t>
            </w:r>
          </w:p>
        </w:tc>
      </w:tr>
      <w:tr w:rsidR="006031D6" w:rsidRPr="006031D6" w14:paraId="6E2C4D61"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612E5379" w14:textId="77777777" w:rsidR="006031D6" w:rsidRPr="006031D6" w:rsidRDefault="006031D6" w:rsidP="006031D6">
            <w:pPr>
              <w:pStyle w:val="Texttabulky"/>
              <w:spacing w:after="0" w:line="240" w:lineRule="atLeast"/>
              <w:rPr>
                <w:rFonts w:cs="Arial"/>
              </w:rPr>
            </w:pPr>
            <w:r w:rsidRPr="006031D6">
              <w:rPr>
                <w:rFonts w:cs="Arial"/>
              </w:rPr>
              <w:t>Boletice NP</w:t>
            </w:r>
          </w:p>
        </w:tc>
        <w:tc>
          <w:tcPr>
            <w:tcW w:w="1050" w:type="dxa"/>
            <w:tcBorders>
              <w:top w:val="single" w:sz="6" w:space="0" w:color="auto"/>
              <w:left w:val="single" w:sz="6" w:space="0" w:color="auto"/>
              <w:bottom w:val="single" w:sz="6" w:space="0" w:color="auto"/>
              <w:right w:val="single" w:sz="6" w:space="0" w:color="auto"/>
            </w:tcBorders>
          </w:tcPr>
          <w:p w14:paraId="49452558"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7CB67961" w14:textId="77777777" w:rsidR="006031D6" w:rsidRPr="006031D6" w:rsidRDefault="006031D6" w:rsidP="006031D6">
            <w:pPr>
              <w:pStyle w:val="Texttabulky"/>
              <w:spacing w:after="0" w:line="240" w:lineRule="atLeast"/>
              <w:rPr>
                <w:rFonts w:cs="Arial"/>
              </w:rPr>
            </w:pPr>
            <w:r w:rsidRPr="006031D6">
              <w:rPr>
                <w:rFonts w:cs="Arial"/>
              </w:rPr>
              <w:t>1 300</w:t>
            </w:r>
          </w:p>
        </w:tc>
        <w:tc>
          <w:tcPr>
            <w:tcW w:w="778" w:type="dxa"/>
            <w:tcBorders>
              <w:top w:val="single" w:sz="6" w:space="0" w:color="auto"/>
              <w:left w:val="single" w:sz="6" w:space="0" w:color="auto"/>
              <w:bottom w:val="single" w:sz="6" w:space="0" w:color="auto"/>
              <w:right w:val="single" w:sz="6" w:space="0" w:color="auto"/>
            </w:tcBorders>
          </w:tcPr>
          <w:p w14:paraId="7F5B8B53"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75FCF08D" w14:textId="77777777" w:rsidR="006031D6" w:rsidRPr="006031D6" w:rsidRDefault="006031D6" w:rsidP="006031D6">
            <w:pPr>
              <w:pStyle w:val="Texttabulky"/>
              <w:spacing w:after="0" w:line="240" w:lineRule="atLeast"/>
              <w:rPr>
                <w:rFonts w:cs="Arial"/>
              </w:rPr>
            </w:pPr>
            <w:r w:rsidRPr="006031D6">
              <w:rPr>
                <w:rFonts w:cs="Arial"/>
              </w:rPr>
              <w:t xml:space="preserve"> 209,0</w:t>
            </w:r>
          </w:p>
        </w:tc>
        <w:tc>
          <w:tcPr>
            <w:tcW w:w="969" w:type="dxa"/>
            <w:tcBorders>
              <w:top w:val="single" w:sz="6" w:space="0" w:color="auto"/>
              <w:left w:val="single" w:sz="6" w:space="0" w:color="auto"/>
              <w:bottom w:val="single" w:sz="6" w:space="0" w:color="auto"/>
              <w:right w:val="single" w:sz="6" w:space="0" w:color="auto"/>
            </w:tcBorders>
          </w:tcPr>
          <w:p w14:paraId="03A545BD" w14:textId="77777777" w:rsidR="006031D6" w:rsidRPr="006031D6" w:rsidRDefault="006031D6" w:rsidP="006031D6">
            <w:pPr>
              <w:pStyle w:val="Texttabulky"/>
              <w:spacing w:after="0" w:line="240" w:lineRule="atLeast"/>
              <w:rPr>
                <w:rFonts w:cs="Arial"/>
              </w:rPr>
            </w:pPr>
            <w:r w:rsidRPr="006031D6">
              <w:rPr>
                <w:rFonts w:cs="Arial"/>
              </w:rPr>
              <w:t xml:space="preserve"> 204,0</w:t>
            </w:r>
          </w:p>
        </w:tc>
        <w:tc>
          <w:tcPr>
            <w:tcW w:w="845" w:type="dxa"/>
            <w:tcBorders>
              <w:top w:val="single" w:sz="6" w:space="0" w:color="auto"/>
              <w:left w:val="single" w:sz="6" w:space="0" w:color="auto"/>
              <w:bottom w:val="single" w:sz="6" w:space="0" w:color="auto"/>
              <w:right w:val="single" w:sz="6" w:space="0" w:color="auto"/>
            </w:tcBorders>
          </w:tcPr>
          <w:p w14:paraId="76712884" w14:textId="77777777" w:rsidR="006031D6" w:rsidRPr="006031D6" w:rsidRDefault="006031D6" w:rsidP="006031D6">
            <w:pPr>
              <w:pStyle w:val="Zkladntext"/>
              <w:spacing w:after="0"/>
              <w:rPr>
                <w:rFonts w:ascii="Arial" w:hAnsi="Arial" w:cs="Arial"/>
              </w:rPr>
            </w:pPr>
          </w:p>
        </w:tc>
      </w:tr>
      <w:tr w:rsidR="006031D6" w:rsidRPr="006031D6" w14:paraId="60862143"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34A18524" w14:textId="77777777" w:rsidR="006031D6" w:rsidRPr="006031D6" w:rsidRDefault="006031D6" w:rsidP="006031D6">
            <w:pPr>
              <w:pStyle w:val="Texttabulky"/>
              <w:spacing w:after="0" w:line="240" w:lineRule="atLeast"/>
              <w:rPr>
                <w:rFonts w:cs="Arial"/>
              </w:rPr>
            </w:pPr>
            <w:r w:rsidRPr="006031D6">
              <w:rPr>
                <w:rFonts w:cs="Arial"/>
              </w:rPr>
              <w:t>Boletice VP</w:t>
            </w:r>
          </w:p>
        </w:tc>
        <w:tc>
          <w:tcPr>
            <w:tcW w:w="1050" w:type="dxa"/>
            <w:tcBorders>
              <w:top w:val="single" w:sz="6" w:space="0" w:color="auto"/>
              <w:left w:val="single" w:sz="6" w:space="0" w:color="auto"/>
              <w:bottom w:val="single" w:sz="6" w:space="0" w:color="auto"/>
              <w:right w:val="single" w:sz="6" w:space="0" w:color="auto"/>
            </w:tcBorders>
          </w:tcPr>
          <w:p w14:paraId="337D7625"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6F2A2887" w14:textId="77777777" w:rsidR="006031D6" w:rsidRPr="006031D6" w:rsidRDefault="006031D6" w:rsidP="006031D6">
            <w:pPr>
              <w:pStyle w:val="Texttabulky"/>
              <w:spacing w:after="0" w:line="240" w:lineRule="atLeast"/>
              <w:rPr>
                <w:rFonts w:cs="Arial"/>
              </w:rPr>
            </w:pPr>
            <w:r w:rsidRPr="006031D6">
              <w:rPr>
                <w:rFonts w:cs="Arial"/>
              </w:rPr>
              <w:t>2 000</w:t>
            </w:r>
          </w:p>
        </w:tc>
        <w:tc>
          <w:tcPr>
            <w:tcW w:w="778" w:type="dxa"/>
            <w:tcBorders>
              <w:top w:val="single" w:sz="6" w:space="0" w:color="auto"/>
              <w:left w:val="single" w:sz="6" w:space="0" w:color="auto"/>
              <w:bottom w:val="single" w:sz="6" w:space="0" w:color="auto"/>
              <w:right w:val="single" w:sz="6" w:space="0" w:color="auto"/>
            </w:tcBorders>
          </w:tcPr>
          <w:p w14:paraId="3F61C0FF"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2435DD84" w14:textId="77777777" w:rsidR="006031D6" w:rsidRPr="006031D6" w:rsidRDefault="006031D6" w:rsidP="006031D6">
            <w:pPr>
              <w:pStyle w:val="Texttabulky"/>
              <w:spacing w:after="0" w:line="240" w:lineRule="atLeast"/>
              <w:rPr>
                <w:rFonts w:cs="Arial"/>
              </w:rPr>
            </w:pPr>
            <w:r w:rsidRPr="006031D6">
              <w:rPr>
                <w:rFonts w:cs="Arial"/>
              </w:rPr>
              <w:t>245,5</w:t>
            </w:r>
          </w:p>
        </w:tc>
        <w:tc>
          <w:tcPr>
            <w:tcW w:w="969" w:type="dxa"/>
            <w:tcBorders>
              <w:top w:val="single" w:sz="6" w:space="0" w:color="auto"/>
              <w:left w:val="single" w:sz="6" w:space="0" w:color="auto"/>
              <w:bottom w:val="single" w:sz="6" w:space="0" w:color="auto"/>
              <w:right w:val="single" w:sz="6" w:space="0" w:color="auto"/>
            </w:tcBorders>
          </w:tcPr>
          <w:p w14:paraId="417FD37D" w14:textId="77777777" w:rsidR="006031D6" w:rsidRPr="006031D6" w:rsidRDefault="006031D6" w:rsidP="006031D6">
            <w:pPr>
              <w:pStyle w:val="Texttabulky"/>
              <w:spacing w:after="0" w:line="240" w:lineRule="atLeast"/>
              <w:rPr>
                <w:rFonts w:cs="Arial"/>
              </w:rPr>
            </w:pPr>
            <w:r w:rsidRPr="006031D6">
              <w:rPr>
                <w:rFonts w:cs="Arial"/>
              </w:rPr>
              <w:t>240,5</w:t>
            </w:r>
          </w:p>
        </w:tc>
        <w:tc>
          <w:tcPr>
            <w:tcW w:w="845" w:type="dxa"/>
            <w:tcBorders>
              <w:top w:val="single" w:sz="6" w:space="0" w:color="auto"/>
              <w:left w:val="single" w:sz="6" w:space="0" w:color="auto"/>
              <w:bottom w:val="single" w:sz="6" w:space="0" w:color="auto"/>
              <w:right w:val="single" w:sz="6" w:space="0" w:color="auto"/>
            </w:tcBorders>
          </w:tcPr>
          <w:p w14:paraId="5FE147A3" w14:textId="77777777" w:rsidR="006031D6" w:rsidRPr="006031D6" w:rsidRDefault="006031D6" w:rsidP="006031D6">
            <w:pPr>
              <w:pStyle w:val="Zkladntext"/>
              <w:spacing w:after="0"/>
              <w:rPr>
                <w:rFonts w:ascii="Arial" w:hAnsi="Arial" w:cs="Arial"/>
              </w:rPr>
            </w:pPr>
          </w:p>
        </w:tc>
      </w:tr>
      <w:tr w:rsidR="006031D6" w:rsidRPr="006031D6" w14:paraId="0C202831"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14B6FA82" w14:textId="77777777" w:rsidR="006031D6" w:rsidRPr="006031D6" w:rsidRDefault="006031D6" w:rsidP="006031D6">
            <w:pPr>
              <w:pStyle w:val="Texttabulky"/>
              <w:spacing w:after="0" w:line="240" w:lineRule="atLeast"/>
              <w:rPr>
                <w:rFonts w:cs="Arial"/>
              </w:rPr>
            </w:pPr>
            <w:r w:rsidRPr="006031D6">
              <w:rPr>
                <w:rFonts w:cs="Arial"/>
              </w:rPr>
              <w:t>Čechy</w:t>
            </w:r>
          </w:p>
        </w:tc>
        <w:tc>
          <w:tcPr>
            <w:tcW w:w="1050" w:type="dxa"/>
            <w:tcBorders>
              <w:top w:val="single" w:sz="6" w:space="0" w:color="auto"/>
              <w:left w:val="single" w:sz="6" w:space="0" w:color="auto"/>
              <w:bottom w:val="single" w:sz="6" w:space="0" w:color="auto"/>
              <w:right w:val="single" w:sz="6" w:space="0" w:color="auto"/>
            </w:tcBorders>
          </w:tcPr>
          <w:p w14:paraId="4AB507AC" w14:textId="77777777" w:rsidR="006031D6" w:rsidRPr="006031D6" w:rsidRDefault="006031D6" w:rsidP="006031D6">
            <w:pPr>
              <w:pStyle w:val="Texttabulky"/>
              <w:spacing w:after="0" w:line="240" w:lineRule="atLeast"/>
              <w:rPr>
                <w:rFonts w:cs="Arial"/>
              </w:rPr>
            </w:pPr>
            <w:r w:rsidRPr="006031D6">
              <w:rPr>
                <w:rFonts w:cs="Arial"/>
              </w:rPr>
              <w:t>4</w:t>
            </w:r>
          </w:p>
        </w:tc>
        <w:tc>
          <w:tcPr>
            <w:tcW w:w="886" w:type="dxa"/>
            <w:tcBorders>
              <w:top w:val="single" w:sz="6" w:space="0" w:color="auto"/>
              <w:left w:val="single" w:sz="6" w:space="0" w:color="auto"/>
              <w:bottom w:val="single" w:sz="6" w:space="0" w:color="auto"/>
              <w:right w:val="single" w:sz="6" w:space="0" w:color="auto"/>
            </w:tcBorders>
          </w:tcPr>
          <w:p w14:paraId="1DF41F0A" w14:textId="77777777" w:rsidR="006031D6" w:rsidRPr="006031D6" w:rsidRDefault="006031D6" w:rsidP="006031D6">
            <w:pPr>
              <w:pStyle w:val="Texttabulky"/>
              <w:spacing w:after="0" w:line="240" w:lineRule="atLeast"/>
              <w:rPr>
                <w:rFonts w:cs="Arial"/>
              </w:rPr>
            </w:pPr>
            <w:r w:rsidRPr="006031D6">
              <w:rPr>
                <w:rFonts w:cs="Arial"/>
              </w:rPr>
              <w:t>1 320</w:t>
            </w:r>
          </w:p>
        </w:tc>
        <w:tc>
          <w:tcPr>
            <w:tcW w:w="778" w:type="dxa"/>
            <w:tcBorders>
              <w:top w:val="single" w:sz="6" w:space="0" w:color="auto"/>
              <w:left w:val="single" w:sz="6" w:space="0" w:color="auto"/>
              <w:bottom w:val="single" w:sz="6" w:space="0" w:color="auto"/>
              <w:right w:val="single" w:sz="6" w:space="0" w:color="auto"/>
            </w:tcBorders>
          </w:tcPr>
          <w:p w14:paraId="39577609"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6B5801F9" w14:textId="77777777" w:rsidR="006031D6" w:rsidRPr="006031D6" w:rsidRDefault="006031D6" w:rsidP="006031D6">
            <w:pPr>
              <w:pStyle w:val="Texttabulky"/>
              <w:spacing w:after="0" w:line="240" w:lineRule="atLeast"/>
              <w:rPr>
                <w:rFonts w:cs="Arial"/>
              </w:rPr>
            </w:pPr>
            <w:r w:rsidRPr="006031D6">
              <w:rPr>
                <w:rFonts w:cs="Arial"/>
              </w:rPr>
              <w:t xml:space="preserve"> 306,0</w:t>
            </w:r>
          </w:p>
        </w:tc>
        <w:tc>
          <w:tcPr>
            <w:tcW w:w="969" w:type="dxa"/>
            <w:tcBorders>
              <w:top w:val="single" w:sz="6" w:space="0" w:color="auto"/>
              <w:left w:val="single" w:sz="6" w:space="0" w:color="auto"/>
              <w:bottom w:val="single" w:sz="6" w:space="0" w:color="auto"/>
              <w:right w:val="single" w:sz="6" w:space="0" w:color="auto"/>
            </w:tcBorders>
          </w:tcPr>
          <w:p w14:paraId="2A508AF8" w14:textId="77777777" w:rsidR="006031D6" w:rsidRPr="006031D6" w:rsidRDefault="006031D6" w:rsidP="006031D6">
            <w:pPr>
              <w:pStyle w:val="Texttabulky"/>
              <w:spacing w:after="0" w:line="240" w:lineRule="atLeast"/>
              <w:rPr>
                <w:rFonts w:cs="Arial"/>
              </w:rPr>
            </w:pPr>
            <w:r w:rsidRPr="006031D6">
              <w:rPr>
                <w:rFonts w:cs="Arial"/>
              </w:rPr>
              <w:t xml:space="preserve"> 301,0</w:t>
            </w:r>
          </w:p>
        </w:tc>
        <w:tc>
          <w:tcPr>
            <w:tcW w:w="845" w:type="dxa"/>
            <w:tcBorders>
              <w:top w:val="single" w:sz="6" w:space="0" w:color="auto"/>
              <w:left w:val="single" w:sz="6" w:space="0" w:color="auto"/>
              <w:bottom w:val="single" w:sz="6" w:space="0" w:color="auto"/>
              <w:right w:val="single" w:sz="6" w:space="0" w:color="auto"/>
            </w:tcBorders>
          </w:tcPr>
          <w:p w14:paraId="6EF019F1" w14:textId="77777777" w:rsidR="006031D6" w:rsidRPr="006031D6" w:rsidRDefault="006031D6" w:rsidP="006031D6">
            <w:pPr>
              <w:pStyle w:val="Zkladntext"/>
              <w:spacing w:after="0"/>
              <w:rPr>
                <w:rFonts w:ascii="Arial" w:hAnsi="Arial" w:cs="Arial"/>
              </w:rPr>
            </w:pPr>
          </w:p>
        </w:tc>
      </w:tr>
      <w:tr w:rsidR="006031D6" w:rsidRPr="006031D6" w14:paraId="682B503A"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48B29A2B" w14:textId="77777777" w:rsidR="006031D6" w:rsidRPr="006031D6" w:rsidRDefault="006031D6" w:rsidP="006031D6">
            <w:pPr>
              <w:pStyle w:val="Texttabulky"/>
              <w:spacing w:after="0" w:line="240" w:lineRule="atLeast"/>
              <w:rPr>
                <w:rFonts w:cs="Arial"/>
              </w:rPr>
            </w:pPr>
            <w:r w:rsidRPr="006031D6">
              <w:rPr>
                <w:rFonts w:cs="Arial"/>
              </w:rPr>
              <w:t>Čertův</w:t>
            </w:r>
          </w:p>
        </w:tc>
        <w:tc>
          <w:tcPr>
            <w:tcW w:w="1050" w:type="dxa"/>
            <w:tcBorders>
              <w:top w:val="single" w:sz="6" w:space="0" w:color="auto"/>
              <w:left w:val="single" w:sz="6" w:space="0" w:color="auto"/>
              <w:bottom w:val="single" w:sz="6" w:space="0" w:color="auto"/>
              <w:right w:val="single" w:sz="6" w:space="0" w:color="auto"/>
            </w:tcBorders>
          </w:tcPr>
          <w:p w14:paraId="06D15092"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270CA890" w14:textId="77777777" w:rsidR="006031D6" w:rsidRPr="006031D6" w:rsidRDefault="006031D6" w:rsidP="006031D6">
            <w:pPr>
              <w:pStyle w:val="Texttabulky"/>
              <w:spacing w:after="0" w:line="240" w:lineRule="atLeast"/>
              <w:rPr>
                <w:rFonts w:cs="Arial"/>
              </w:rPr>
            </w:pPr>
            <w:r w:rsidRPr="006031D6">
              <w:rPr>
                <w:rFonts w:cs="Arial"/>
              </w:rPr>
              <w:t>1 130</w:t>
            </w:r>
          </w:p>
        </w:tc>
        <w:tc>
          <w:tcPr>
            <w:tcW w:w="778" w:type="dxa"/>
            <w:tcBorders>
              <w:top w:val="single" w:sz="6" w:space="0" w:color="auto"/>
              <w:left w:val="single" w:sz="6" w:space="0" w:color="auto"/>
              <w:bottom w:val="single" w:sz="6" w:space="0" w:color="auto"/>
              <w:right w:val="single" w:sz="6" w:space="0" w:color="auto"/>
            </w:tcBorders>
          </w:tcPr>
          <w:p w14:paraId="2BAB66A5"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698D829C" w14:textId="77777777" w:rsidR="006031D6" w:rsidRPr="006031D6" w:rsidRDefault="006031D6" w:rsidP="006031D6">
            <w:pPr>
              <w:pStyle w:val="Texttabulky"/>
              <w:spacing w:after="0" w:line="240" w:lineRule="atLeast"/>
              <w:rPr>
                <w:rFonts w:cs="Arial"/>
              </w:rPr>
            </w:pPr>
            <w:r w:rsidRPr="006031D6">
              <w:rPr>
                <w:rFonts w:cs="Arial"/>
              </w:rPr>
              <w:t>203,78</w:t>
            </w:r>
          </w:p>
        </w:tc>
        <w:tc>
          <w:tcPr>
            <w:tcW w:w="969" w:type="dxa"/>
            <w:tcBorders>
              <w:top w:val="single" w:sz="6" w:space="0" w:color="auto"/>
              <w:left w:val="single" w:sz="6" w:space="0" w:color="auto"/>
              <w:bottom w:val="single" w:sz="6" w:space="0" w:color="auto"/>
              <w:right w:val="single" w:sz="6" w:space="0" w:color="auto"/>
            </w:tcBorders>
          </w:tcPr>
          <w:p w14:paraId="74D87D20" w14:textId="77777777" w:rsidR="006031D6" w:rsidRPr="006031D6" w:rsidRDefault="006031D6" w:rsidP="006031D6">
            <w:pPr>
              <w:pStyle w:val="Texttabulky"/>
              <w:spacing w:after="0" w:line="240" w:lineRule="atLeast"/>
              <w:rPr>
                <w:rFonts w:cs="Arial"/>
              </w:rPr>
            </w:pPr>
            <w:r w:rsidRPr="006031D6">
              <w:rPr>
                <w:rFonts w:cs="Arial"/>
              </w:rPr>
              <w:t>199,78</w:t>
            </w:r>
          </w:p>
        </w:tc>
        <w:tc>
          <w:tcPr>
            <w:tcW w:w="845" w:type="dxa"/>
            <w:tcBorders>
              <w:top w:val="single" w:sz="6" w:space="0" w:color="auto"/>
              <w:left w:val="single" w:sz="6" w:space="0" w:color="auto"/>
              <w:bottom w:val="single" w:sz="6" w:space="0" w:color="auto"/>
              <w:right w:val="single" w:sz="6" w:space="0" w:color="auto"/>
            </w:tcBorders>
          </w:tcPr>
          <w:p w14:paraId="30452864" w14:textId="77777777" w:rsidR="006031D6" w:rsidRPr="006031D6" w:rsidRDefault="006031D6" w:rsidP="006031D6">
            <w:pPr>
              <w:pStyle w:val="Zkladntext"/>
              <w:spacing w:after="0"/>
              <w:rPr>
                <w:rFonts w:ascii="Arial" w:hAnsi="Arial" w:cs="Arial"/>
              </w:rPr>
            </w:pPr>
          </w:p>
        </w:tc>
      </w:tr>
      <w:tr w:rsidR="006031D6" w:rsidRPr="006031D6" w14:paraId="4A859F46"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60B1C159" w14:textId="77777777" w:rsidR="006031D6" w:rsidRPr="006031D6" w:rsidRDefault="006031D6" w:rsidP="006031D6">
            <w:pPr>
              <w:pStyle w:val="Texttabulky"/>
              <w:spacing w:after="0" w:line="240" w:lineRule="atLeast"/>
              <w:rPr>
                <w:rFonts w:cs="Arial"/>
              </w:rPr>
            </w:pPr>
            <w:r w:rsidRPr="006031D6">
              <w:rPr>
                <w:rFonts w:cs="Arial"/>
              </w:rPr>
              <w:t>Čertův nový</w:t>
            </w:r>
          </w:p>
        </w:tc>
        <w:tc>
          <w:tcPr>
            <w:tcW w:w="1050" w:type="dxa"/>
            <w:tcBorders>
              <w:top w:val="single" w:sz="6" w:space="0" w:color="auto"/>
              <w:left w:val="single" w:sz="6" w:space="0" w:color="auto"/>
              <w:bottom w:val="single" w:sz="6" w:space="0" w:color="auto"/>
              <w:right w:val="single" w:sz="6" w:space="0" w:color="auto"/>
            </w:tcBorders>
          </w:tcPr>
          <w:p w14:paraId="1E534BF9"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7C9664B9" w14:textId="77777777" w:rsidR="006031D6" w:rsidRPr="006031D6" w:rsidRDefault="006031D6" w:rsidP="006031D6">
            <w:pPr>
              <w:pStyle w:val="Texttabulky"/>
              <w:spacing w:after="0" w:line="240" w:lineRule="atLeast"/>
              <w:rPr>
                <w:rFonts w:cs="Arial"/>
              </w:rPr>
            </w:pPr>
            <w:r w:rsidRPr="006031D6">
              <w:rPr>
                <w:rFonts w:cs="Arial"/>
              </w:rPr>
              <w:t>3 000</w:t>
            </w:r>
          </w:p>
        </w:tc>
        <w:tc>
          <w:tcPr>
            <w:tcW w:w="778" w:type="dxa"/>
            <w:tcBorders>
              <w:top w:val="single" w:sz="6" w:space="0" w:color="auto"/>
              <w:left w:val="single" w:sz="6" w:space="0" w:color="auto"/>
              <w:bottom w:val="single" w:sz="6" w:space="0" w:color="auto"/>
              <w:right w:val="single" w:sz="6" w:space="0" w:color="auto"/>
            </w:tcBorders>
          </w:tcPr>
          <w:p w14:paraId="30A3022C"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78971A49" w14:textId="77777777" w:rsidR="006031D6" w:rsidRPr="006031D6" w:rsidRDefault="006031D6" w:rsidP="006031D6">
            <w:pPr>
              <w:pStyle w:val="Texttabulky"/>
              <w:spacing w:after="0" w:line="240" w:lineRule="atLeast"/>
              <w:rPr>
                <w:rFonts w:cs="Arial"/>
              </w:rPr>
            </w:pPr>
            <w:r w:rsidRPr="006031D6">
              <w:rPr>
                <w:rFonts w:cs="Arial"/>
              </w:rPr>
              <w:t>203,79</w:t>
            </w:r>
          </w:p>
        </w:tc>
        <w:tc>
          <w:tcPr>
            <w:tcW w:w="969" w:type="dxa"/>
            <w:tcBorders>
              <w:top w:val="single" w:sz="6" w:space="0" w:color="auto"/>
              <w:left w:val="single" w:sz="6" w:space="0" w:color="auto"/>
              <w:bottom w:val="single" w:sz="6" w:space="0" w:color="auto"/>
              <w:right w:val="single" w:sz="6" w:space="0" w:color="auto"/>
            </w:tcBorders>
          </w:tcPr>
          <w:p w14:paraId="57D86D96" w14:textId="77777777" w:rsidR="006031D6" w:rsidRPr="006031D6" w:rsidRDefault="006031D6" w:rsidP="006031D6">
            <w:pPr>
              <w:pStyle w:val="Texttabulky"/>
              <w:spacing w:after="0" w:line="240" w:lineRule="atLeast"/>
              <w:rPr>
                <w:rFonts w:cs="Arial"/>
              </w:rPr>
            </w:pPr>
            <w:r w:rsidRPr="006031D6">
              <w:rPr>
                <w:rFonts w:cs="Arial"/>
              </w:rPr>
              <w:t>198,79</w:t>
            </w:r>
          </w:p>
        </w:tc>
        <w:tc>
          <w:tcPr>
            <w:tcW w:w="845" w:type="dxa"/>
            <w:tcBorders>
              <w:top w:val="single" w:sz="6" w:space="0" w:color="auto"/>
              <w:left w:val="single" w:sz="6" w:space="0" w:color="auto"/>
              <w:bottom w:val="single" w:sz="6" w:space="0" w:color="auto"/>
              <w:right w:val="single" w:sz="6" w:space="0" w:color="auto"/>
            </w:tcBorders>
          </w:tcPr>
          <w:p w14:paraId="24F0F221" w14:textId="77777777" w:rsidR="006031D6" w:rsidRPr="006031D6" w:rsidRDefault="006031D6" w:rsidP="006031D6">
            <w:pPr>
              <w:pStyle w:val="Zkladntext"/>
              <w:spacing w:after="0"/>
              <w:rPr>
                <w:rFonts w:ascii="Arial" w:hAnsi="Arial" w:cs="Arial"/>
              </w:rPr>
            </w:pPr>
          </w:p>
        </w:tc>
      </w:tr>
      <w:tr w:rsidR="006031D6" w:rsidRPr="006031D6" w14:paraId="4DE913E3"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033C1E9E" w14:textId="77777777" w:rsidR="006031D6" w:rsidRPr="006031D6" w:rsidRDefault="006031D6" w:rsidP="006031D6">
            <w:pPr>
              <w:pStyle w:val="Texttabulky"/>
              <w:spacing w:after="0" w:line="240" w:lineRule="atLeast"/>
              <w:rPr>
                <w:rFonts w:cs="Arial"/>
              </w:rPr>
            </w:pPr>
            <w:r w:rsidRPr="006031D6">
              <w:rPr>
                <w:rFonts w:cs="Arial"/>
              </w:rPr>
              <w:t>Jakuby</w:t>
            </w:r>
          </w:p>
        </w:tc>
        <w:tc>
          <w:tcPr>
            <w:tcW w:w="1050" w:type="dxa"/>
            <w:tcBorders>
              <w:top w:val="single" w:sz="6" w:space="0" w:color="auto"/>
              <w:left w:val="single" w:sz="6" w:space="0" w:color="auto"/>
              <w:bottom w:val="single" w:sz="6" w:space="0" w:color="auto"/>
              <w:right w:val="single" w:sz="6" w:space="0" w:color="auto"/>
            </w:tcBorders>
          </w:tcPr>
          <w:p w14:paraId="346F533D" w14:textId="77777777" w:rsidR="006031D6" w:rsidRPr="006031D6" w:rsidRDefault="006031D6" w:rsidP="006031D6">
            <w:pPr>
              <w:pStyle w:val="Texttabulky"/>
              <w:spacing w:after="0" w:line="240" w:lineRule="atLeast"/>
              <w:rPr>
                <w:rFonts w:cs="Arial"/>
              </w:rPr>
            </w:pPr>
            <w:r w:rsidRPr="006031D6">
              <w:rPr>
                <w:rFonts w:cs="Arial"/>
              </w:rPr>
              <w:t>vlastní</w:t>
            </w:r>
          </w:p>
        </w:tc>
        <w:tc>
          <w:tcPr>
            <w:tcW w:w="886" w:type="dxa"/>
            <w:tcBorders>
              <w:top w:val="single" w:sz="6" w:space="0" w:color="auto"/>
              <w:left w:val="single" w:sz="6" w:space="0" w:color="auto"/>
              <w:bottom w:val="single" w:sz="6" w:space="0" w:color="auto"/>
              <w:right w:val="single" w:sz="6" w:space="0" w:color="auto"/>
            </w:tcBorders>
          </w:tcPr>
          <w:p w14:paraId="2DD91BB6" w14:textId="77777777" w:rsidR="006031D6" w:rsidRPr="006031D6" w:rsidRDefault="006031D6" w:rsidP="006031D6">
            <w:pPr>
              <w:pStyle w:val="Texttabulky"/>
              <w:spacing w:after="0" w:line="240" w:lineRule="atLeast"/>
              <w:rPr>
                <w:rFonts w:cs="Arial"/>
              </w:rPr>
            </w:pPr>
            <w:r w:rsidRPr="006031D6">
              <w:rPr>
                <w:rFonts w:cs="Arial"/>
              </w:rPr>
              <w:t>30</w:t>
            </w:r>
          </w:p>
        </w:tc>
        <w:tc>
          <w:tcPr>
            <w:tcW w:w="778" w:type="dxa"/>
            <w:tcBorders>
              <w:top w:val="single" w:sz="6" w:space="0" w:color="auto"/>
              <w:left w:val="single" w:sz="6" w:space="0" w:color="auto"/>
              <w:bottom w:val="single" w:sz="6" w:space="0" w:color="auto"/>
              <w:right w:val="single" w:sz="6" w:space="0" w:color="auto"/>
            </w:tcBorders>
          </w:tcPr>
          <w:p w14:paraId="7D08E9B5" w14:textId="77777777" w:rsidR="006031D6" w:rsidRPr="006031D6" w:rsidRDefault="006031D6" w:rsidP="006031D6">
            <w:pPr>
              <w:pStyle w:val="Zkladntext"/>
              <w:spacing w:after="0"/>
              <w:rPr>
                <w:rFonts w:ascii="Arial" w:hAnsi="Arial" w:cs="Arial"/>
              </w:rPr>
            </w:pPr>
          </w:p>
        </w:tc>
        <w:tc>
          <w:tcPr>
            <w:tcW w:w="993" w:type="dxa"/>
            <w:tcBorders>
              <w:top w:val="single" w:sz="6" w:space="0" w:color="auto"/>
              <w:left w:val="single" w:sz="6" w:space="0" w:color="auto"/>
              <w:bottom w:val="single" w:sz="6" w:space="0" w:color="auto"/>
              <w:right w:val="single" w:sz="6" w:space="0" w:color="auto"/>
            </w:tcBorders>
          </w:tcPr>
          <w:p w14:paraId="59FAC7BA" w14:textId="77777777" w:rsidR="006031D6" w:rsidRPr="006031D6" w:rsidRDefault="006031D6" w:rsidP="006031D6">
            <w:pPr>
              <w:pStyle w:val="Texttabulky"/>
              <w:spacing w:after="0" w:line="240" w:lineRule="atLeast"/>
              <w:rPr>
                <w:rFonts w:cs="Arial"/>
              </w:rPr>
            </w:pPr>
            <w:r w:rsidRPr="006031D6">
              <w:rPr>
                <w:rFonts w:cs="Arial"/>
              </w:rPr>
              <w:t>178,78</w:t>
            </w:r>
          </w:p>
        </w:tc>
        <w:tc>
          <w:tcPr>
            <w:tcW w:w="969" w:type="dxa"/>
            <w:tcBorders>
              <w:top w:val="single" w:sz="6" w:space="0" w:color="auto"/>
              <w:left w:val="single" w:sz="6" w:space="0" w:color="auto"/>
              <w:bottom w:val="single" w:sz="6" w:space="0" w:color="auto"/>
              <w:right w:val="single" w:sz="6" w:space="0" w:color="auto"/>
            </w:tcBorders>
          </w:tcPr>
          <w:p w14:paraId="04CD17E5" w14:textId="77777777" w:rsidR="006031D6" w:rsidRPr="006031D6" w:rsidRDefault="006031D6" w:rsidP="006031D6">
            <w:pPr>
              <w:pStyle w:val="Texttabulky"/>
              <w:spacing w:after="0" w:line="240" w:lineRule="atLeast"/>
              <w:rPr>
                <w:rFonts w:cs="Arial"/>
              </w:rPr>
            </w:pPr>
            <w:r w:rsidRPr="006031D6">
              <w:rPr>
                <w:rFonts w:cs="Arial"/>
              </w:rPr>
              <w:t>176,2</w:t>
            </w:r>
          </w:p>
        </w:tc>
        <w:tc>
          <w:tcPr>
            <w:tcW w:w="845" w:type="dxa"/>
            <w:tcBorders>
              <w:top w:val="single" w:sz="6" w:space="0" w:color="auto"/>
              <w:left w:val="single" w:sz="6" w:space="0" w:color="auto"/>
              <w:bottom w:val="single" w:sz="6" w:space="0" w:color="auto"/>
              <w:right w:val="single" w:sz="6" w:space="0" w:color="auto"/>
            </w:tcBorders>
          </w:tcPr>
          <w:p w14:paraId="4B1A6031" w14:textId="77777777" w:rsidR="006031D6" w:rsidRPr="006031D6" w:rsidRDefault="006031D6" w:rsidP="006031D6">
            <w:pPr>
              <w:pStyle w:val="Zkladntext"/>
              <w:spacing w:after="0"/>
              <w:rPr>
                <w:rFonts w:ascii="Arial" w:hAnsi="Arial" w:cs="Arial"/>
              </w:rPr>
            </w:pPr>
          </w:p>
        </w:tc>
      </w:tr>
      <w:tr w:rsidR="006031D6" w:rsidRPr="006031D6" w14:paraId="604A70C8"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01ACCE60" w14:textId="77777777" w:rsidR="006031D6" w:rsidRPr="006031D6" w:rsidRDefault="006031D6" w:rsidP="006031D6">
            <w:pPr>
              <w:pStyle w:val="Texttabulky"/>
              <w:spacing w:after="0" w:line="240" w:lineRule="atLeast"/>
              <w:rPr>
                <w:rFonts w:cs="Arial"/>
              </w:rPr>
            </w:pPr>
            <w:r w:rsidRPr="006031D6">
              <w:rPr>
                <w:rFonts w:cs="Arial"/>
              </w:rPr>
              <w:t>Hlavní ( Kr.Studenec )</w:t>
            </w:r>
          </w:p>
        </w:tc>
        <w:tc>
          <w:tcPr>
            <w:tcW w:w="1050" w:type="dxa"/>
            <w:tcBorders>
              <w:top w:val="single" w:sz="6" w:space="0" w:color="auto"/>
              <w:left w:val="single" w:sz="6" w:space="0" w:color="auto"/>
              <w:bottom w:val="single" w:sz="6" w:space="0" w:color="auto"/>
              <w:right w:val="single" w:sz="6" w:space="0" w:color="auto"/>
            </w:tcBorders>
          </w:tcPr>
          <w:p w14:paraId="5D75E35C" w14:textId="77777777" w:rsidR="006031D6" w:rsidRPr="006031D6" w:rsidRDefault="006031D6" w:rsidP="006031D6">
            <w:pPr>
              <w:pStyle w:val="Texttabulky"/>
              <w:spacing w:after="0" w:line="240" w:lineRule="atLeast"/>
              <w:rPr>
                <w:rFonts w:cs="Arial"/>
              </w:rPr>
            </w:pPr>
            <w:r w:rsidRPr="006031D6">
              <w:rPr>
                <w:rFonts w:cs="Arial"/>
              </w:rPr>
              <w:t>5</w:t>
            </w:r>
          </w:p>
        </w:tc>
        <w:tc>
          <w:tcPr>
            <w:tcW w:w="886" w:type="dxa"/>
            <w:tcBorders>
              <w:top w:val="single" w:sz="6" w:space="0" w:color="auto"/>
              <w:left w:val="single" w:sz="6" w:space="0" w:color="auto"/>
              <w:bottom w:val="single" w:sz="6" w:space="0" w:color="auto"/>
              <w:right w:val="single" w:sz="6" w:space="0" w:color="auto"/>
            </w:tcBorders>
          </w:tcPr>
          <w:p w14:paraId="0EA019E4" w14:textId="77777777" w:rsidR="006031D6" w:rsidRPr="006031D6" w:rsidRDefault="006031D6" w:rsidP="006031D6">
            <w:pPr>
              <w:pStyle w:val="Texttabulky"/>
              <w:spacing w:after="0" w:line="240" w:lineRule="atLeast"/>
              <w:rPr>
                <w:rFonts w:cs="Arial"/>
              </w:rPr>
            </w:pPr>
            <w:r w:rsidRPr="006031D6">
              <w:rPr>
                <w:rFonts w:cs="Arial"/>
              </w:rPr>
              <w:t>80</w:t>
            </w:r>
          </w:p>
        </w:tc>
        <w:tc>
          <w:tcPr>
            <w:tcW w:w="778" w:type="dxa"/>
            <w:tcBorders>
              <w:top w:val="single" w:sz="6" w:space="0" w:color="auto"/>
              <w:left w:val="single" w:sz="6" w:space="0" w:color="auto"/>
              <w:bottom w:val="single" w:sz="6" w:space="0" w:color="auto"/>
              <w:right w:val="single" w:sz="6" w:space="0" w:color="auto"/>
            </w:tcBorders>
          </w:tcPr>
          <w:p w14:paraId="2F0E05AA"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47FC0953" w14:textId="77777777" w:rsidR="006031D6" w:rsidRPr="006031D6" w:rsidRDefault="006031D6" w:rsidP="006031D6">
            <w:pPr>
              <w:pStyle w:val="Texttabulky"/>
              <w:spacing w:after="0" w:line="240" w:lineRule="atLeast"/>
              <w:rPr>
                <w:rFonts w:cs="Arial"/>
              </w:rPr>
            </w:pPr>
            <w:r w:rsidRPr="006031D6">
              <w:rPr>
                <w:rFonts w:cs="Arial"/>
              </w:rPr>
              <w:t>352,85</w:t>
            </w:r>
          </w:p>
        </w:tc>
        <w:tc>
          <w:tcPr>
            <w:tcW w:w="969" w:type="dxa"/>
            <w:tcBorders>
              <w:top w:val="single" w:sz="6" w:space="0" w:color="auto"/>
              <w:left w:val="single" w:sz="6" w:space="0" w:color="auto"/>
              <w:bottom w:val="single" w:sz="6" w:space="0" w:color="auto"/>
              <w:right w:val="single" w:sz="6" w:space="0" w:color="auto"/>
            </w:tcBorders>
          </w:tcPr>
          <w:p w14:paraId="2AFE8255"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00DAADCE" w14:textId="77777777" w:rsidR="006031D6" w:rsidRPr="006031D6" w:rsidRDefault="006031D6" w:rsidP="006031D6">
            <w:pPr>
              <w:pStyle w:val="Zkladntext"/>
              <w:spacing w:after="0"/>
              <w:rPr>
                <w:rFonts w:ascii="Arial" w:hAnsi="Arial" w:cs="Arial"/>
              </w:rPr>
            </w:pPr>
          </w:p>
        </w:tc>
      </w:tr>
      <w:tr w:rsidR="006031D6" w:rsidRPr="006031D6" w14:paraId="74924D99"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22D5844C" w14:textId="77777777" w:rsidR="006031D6" w:rsidRPr="006031D6" w:rsidRDefault="006031D6" w:rsidP="006031D6">
            <w:pPr>
              <w:pStyle w:val="Texttabulky"/>
              <w:spacing w:after="0" w:line="240" w:lineRule="atLeast"/>
              <w:rPr>
                <w:rFonts w:cs="Arial"/>
              </w:rPr>
            </w:pPr>
            <w:r w:rsidRPr="006031D6">
              <w:rPr>
                <w:rFonts w:cs="Arial"/>
              </w:rPr>
              <w:t>Horní  Oldřichov</w:t>
            </w:r>
          </w:p>
        </w:tc>
        <w:tc>
          <w:tcPr>
            <w:tcW w:w="1050" w:type="dxa"/>
            <w:tcBorders>
              <w:top w:val="single" w:sz="6" w:space="0" w:color="auto"/>
              <w:left w:val="single" w:sz="6" w:space="0" w:color="auto"/>
              <w:bottom w:val="single" w:sz="6" w:space="0" w:color="auto"/>
              <w:right w:val="single" w:sz="6" w:space="0" w:color="auto"/>
            </w:tcBorders>
          </w:tcPr>
          <w:p w14:paraId="74411C2A" w14:textId="77777777" w:rsidR="006031D6" w:rsidRPr="006031D6" w:rsidRDefault="006031D6" w:rsidP="006031D6">
            <w:pPr>
              <w:pStyle w:val="Texttabulky"/>
              <w:spacing w:after="0" w:line="240" w:lineRule="atLeast"/>
              <w:rPr>
                <w:rFonts w:cs="Arial"/>
              </w:rPr>
            </w:pPr>
            <w:r w:rsidRPr="006031D6">
              <w:rPr>
                <w:rFonts w:cs="Arial"/>
              </w:rPr>
              <w:t>4</w:t>
            </w:r>
          </w:p>
        </w:tc>
        <w:tc>
          <w:tcPr>
            <w:tcW w:w="886" w:type="dxa"/>
            <w:tcBorders>
              <w:top w:val="single" w:sz="6" w:space="0" w:color="auto"/>
              <w:left w:val="single" w:sz="6" w:space="0" w:color="auto"/>
              <w:bottom w:val="single" w:sz="6" w:space="0" w:color="auto"/>
              <w:right w:val="single" w:sz="6" w:space="0" w:color="auto"/>
            </w:tcBorders>
          </w:tcPr>
          <w:p w14:paraId="00E27F2F" w14:textId="77777777" w:rsidR="006031D6" w:rsidRPr="006031D6" w:rsidRDefault="006031D6" w:rsidP="006031D6">
            <w:pPr>
              <w:pStyle w:val="Texttabulky"/>
              <w:spacing w:after="0" w:line="240" w:lineRule="atLeast"/>
              <w:rPr>
                <w:rFonts w:cs="Arial"/>
              </w:rPr>
            </w:pPr>
            <w:r w:rsidRPr="006031D6">
              <w:rPr>
                <w:rFonts w:cs="Arial"/>
              </w:rPr>
              <w:t>100</w:t>
            </w:r>
          </w:p>
        </w:tc>
        <w:tc>
          <w:tcPr>
            <w:tcW w:w="778" w:type="dxa"/>
            <w:tcBorders>
              <w:top w:val="single" w:sz="6" w:space="0" w:color="auto"/>
              <w:left w:val="single" w:sz="6" w:space="0" w:color="auto"/>
              <w:bottom w:val="single" w:sz="6" w:space="0" w:color="auto"/>
              <w:right w:val="single" w:sz="6" w:space="0" w:color="auto"/>
            </w:tcBorders>
          </w:tcPr>
          <w:p w14:paraId="0C35CE5F"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073AD102" w14:textId="77777777" w:rsidR="006031D6" w:rsidRPr="006031D6" w:rsidRDefault="006031D6" w:rsidP="006031D6">
            <w:pPr>
              <w:pStyle w:val="Texttabulky"/>
              <w:spacing w:after="0" w:line="240" w:lineRule="atLeast"/>
              <w:rPr>
                <w:rFonts w:cs="Arial"/>
              </w:rPr>
            </w:pPr>
            <w:r w:rsidRPr="006031D6">
              <w:rPr>
                <w:rFonts w:cs="Arial"/>
              </w:rPr>
              <w:t>283,9</w:t>
            </w:r>
          </w:p>
        </w:tc>
        <w:tc>
          <w:tcPr>
            <w:tcW w:w="969" w:type="dxa"/>
            <w:tcBorders>
              <w:top w:val="single" w:sz="6" w:space="0" w:color="auto"/>
              <w:left w:val="single" w:sz="6" w:space="0" w:color="auto"/>
              <w:bottom w:val="single" w:sz="6" w:space="0" w:color="auto"/>
              <w:right w:val="single" w:sz="6" w:space="0" w:color="auto"/>
            </w:tcBorders>
          </w:tcPr>
          <w:p w14:paraId="7670E512" w14:textId="77777777" w:rsidR="006031D6" w:rsidRPr="006031D6" w:rsidRDefault="006031D6" w:rsidP="006031D6">
            <w:pPr>
              <w:pStyle w:val="Texttabulky"/>
              <w:spacing w:after="0" w:line="240" w:lineRule="atLeast"/>
              <w:rPr>
                <w:rFonts w:cs="Arial"/>
              </w:rPr>
            </w:pPr>
            <w:r w:rsidRPr="006031D6">
              <w:rPr>
                <w:rFonts w:cs="Arial"/>
              </w:rPr>
              <w:t>280,9</w:t>
            </w:r>
          </w:p>
        </w:tc>
        <w:tc>
          <w:tcPr>
            <w:tcW w:w="845" w:type="dxa"/>
            <w:tcBorders>
              <w:top w:val="single" w:sz="6" w:space="0" w:color="auto"/>
              <w:left w:val="single" w:sz="6" w:space="0" w:color="auto"/>
              <w:bottom w:val="single" w:sz="6" w:space="0" w:color="auto"/>
              <w:right w:val="single" w:sz="6" w:space="0" w:color="auto"/>
            </w:tcBorders>
          </w:tcPr>
          <w:p w14:paraId="6410D398" w14:textId="77777777" w:rsidR="006031D6" w:rsidRPr="006031D6" w:rsidRDefault="006031D6" w:rsidP="006031D6">
            <w:pPr>
              <w:pStyle w:val="Zkladntext"/>
              <w:spacing w:after="0"/>
              <w:rPr>
                <w:rFonts w:ascii="Arial" w:hAnsi="Arial" w:cs="Arial"/>
              </w:rPr>
            </w:pPr>
          </w:p>
        </w:tc>
      </w:tr>
      <w:tr w:rsidR="006031D6" w:rsidRPr="006031D6" w14:paraId="1AA9D345"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2BB7EF8D" w14:textId="77777777" w:rsidR="006031D6" w:rsidRPr="006031D6" w:rsidRDefault="006031D6" w:rsidP="006031D6">
            <w:pPr>
              <w:pStyle w:val="Texttabulky"/>
              <w:spacing w:after="0" w:line="240" w:lineRule="atLeast"/>
              <w:rPr>
                <w:rFonts w:cs="Arial"/>
              </w:rPr>
            </w:pPr>
            <w:r w:rsidRPr="006031D6">
              <w:rPr>
                <w:rFonts w:cs="Arial"/>
              </w:rPr>
              <w:t>Jalůvčí</w:t>
            </w:r>
          </w:p>
        </w:tc>
        <w:tc>
          <w:tcPr>
            <w:tcW w:w="1050" w:type="dxa"/>
            <w:tcBorders>
              <w:top w:val="single" w:sz="6" w:space="0" w:color="auto"/>
              <w:left w:val="single" w:sz="6" w:space="0" w:color="auto"/>
              <w:bottom w:val="single" w:sz="6" w:space="0" w:color="auto"/>
              <w:right w:val="single" w:sz="6" w:space="0" w:color="auto"/>
            </w:tcBorders>
          </w:tcPr>
          <w:p w14:paraId="4A6DCF8F" w14:textId="77777777" w:rsidR="006031D6" w:rsidRPr="006031D6" w:rsidRDefault="006031D6" w:rsidP="006031D6">
            <w:pPr>
              <w:pStyle w:val="Texttabulky"/>
              <w:spacing w:after="0" w:line="240" w:lineRule="atLeast"/>
              <w:rPr>
                <w:rFonts w:cs="Arial"/>
              </w:rPr>
            </w:pPr>
            <w:r w:rsidRPr="006031D6">
              <w:rPr>
                <w:rFonts w:cs="Arial"/>
              </w:rPr>
              <w:t>4</w:t>
            </w:r>
          </w:p>
        </w:tc>
        <w:tc>
          <w:tcPr>
            <w:tcW w:w="886" w:type="dxa"/>
            <w:tcBorders>
              <w:top w:val="single" w:sz="6" w:space="0" w:color="auto"/>
              <w:left w:val="single" w:sz="6" w:space="0" w:color="auto"/>
              <w:bottom w:val="single" w:sz="6" w:space="0" w:color="auto"/>
              <w:right w:val="single" w:sz="6" w:space="0" w:color="auto"/>
            </w:tcBorders>
          </w:tcPr>
          <w:p w14:paraId="71C08AE5" w14:textId="77777777" w:rsidR="006031D6" w:rsidRPr="006031D6" w:rsidRDefault="006031D6" w:rsidP="006031D6">
            <w:pPr>
              <w:pStyle w:val="Texttabulky"/>
              <w:spacing w:after="0" w:line="240" w:lineRule="atLeast"/>
              <w:rPr>
                <w:rFonts w:cs="Arial"/>
              </w:rPr>
            </w:pPr>
            <w:r w:rsidRPr="006031D6">
              <w:rPr>
                <w:rFonts w:cs="Arial"/>
              </w:rPr>
              <w:t>300</w:t>
            </w:r>
          </w:p>
        </w:tc>
        <w:tc>
          <w:tcPr>
            <w:tcW w:w="778" w:type="dxa"/>
            <w:tcBorders>
              <w:top w:val="single" w:sz="6" w:space="0" w:color="auto"/>
              <w:left w:val="single" w:sz="6" w:space="0" w:color="auto"/>
              <w:bottom w:val="single" w:sz="6" w:space="0" w:color="auto"/>
              <w:right w:val="single" w:sz="6" w:space="0" w:color="auto"/>
            </w:tcBorders>
          </w:tcPr>
          <w:p w14:paraId="029D6D41"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6C75060A" w14:textId="77777777" w:rsidR="006031D6" w:rsidRPr="006031D6" w:rsidRDefault="006031D6" w:rsidP="006031D6">
            <w:pPr>
              <w:pStyle w:val="Texttabulky"/>
              <w:spacing w:after="0" w:line="240" w:lineRule="atLeast"/>
              <w:rPr>
                <w:rFonts w:cs="Arial"/>
              </w:rPr>
            </w:pPr>
            <w:r w:rsidRPr="006031D6">
              <w:rPr>
                <w:rFonts w:cs="Arial"/>
              </w:rPr>
              <w:t>327,67</w:t>
            </w:r>
          </w:p>
        </w:tc>
        <w:tc>
          <w:tcPr>
            <w:tcW w:w="969" w:type="dxa"/>
            <w:tcBorders>
              <w:top w:val="single" w:sz="6" w:space="0" w:color="auto"/>
              <w:left w:val="single" w:sz="6" w:space="0" w:color="auto"/>
              <w:bottom w:val="single" w:sz="6" w:space="0" w:color="auto"/>
              <w:right w:val="single" w:sz="6" w:space="0" w:color="auto"/>
            </w:tcBorders>
          </w:tcPr>
          <w:p w14:paraId="6075AD03" w14:textId="77777777" w:rsidR="006031D6" w:rsidRPr="006031D6" w:rsidRDefault="006031D6" w:rsidP="006031D6">
            <w:pPr>
              <w:pStyle w:val="Texttabulky"/>
              <w:spacing w:after="0" w:line="240" w:lineRule="atLeast"/>
              <w:rPr>
                <w:rFonts w:cs="Arial"/>
              </w:rPr>
            </w:pPr>
            <w:r w:rsidRPr="006031D6">
              <w:rPr>
                <w:rFonts w:cs="Arial"/>
              </w:rPr>
              <w:t>323,95</w:t>
            </w:r>
          </w:p>
        </w:tc>
        <w:tc>
          <w:tcPr>
            <w:tcW w:w="845" w:type="dxa"/>
            <w:tcBorders>
              <w:top w:val="single" w:sz="6" w:space="0" w:color="auto"/>
              <w:left w:val="single" w:sz="6" w:space="0" w:color="auto"/>
              <w:bottom w:val="single" w:sz="6" w:space="0" w:color="auto"/>
              <w:right w:val="single" w:sz="6" w:space="0" w:color="auto"/>
            </w:tcBorders>
          </w:tcPr>
          <w:p w14:paraId="1D7B34EB" w14:textId="77777777" w:rsidR="006031D6" w:rsidRPr="006031D6" w:rsidRDefault="006031D6" w:rsidP="006031D6">
            <w:pPr>
              <w:pStyle w:val="Texttabulky"/>
              <w:spacing w:after="0" w:line="240" w:lineRule="atLeast"/>
              <w:rPr>
                <w:rFonts w:cs="Arial"/>
              </w:rPr>
            </w:pPr>
            <w:r w:rsidRPr="006031D6">
              <w:rPr>
                <w:rFonts w:cs="Arial"/>
              </w:rPr>
              <w:t>329,6</w:t>
            </w:r>
          </w:p>
        </w:tc>
      </w:tr>
      <w:tr w:rsidR="006031D6" w:rsidRPr="006031D6" w14:paraId="46711039"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001AC4E1" w14:textId="77777777" w:rsidR="006031D6" w:rsidRPr="006031D6" w:rsidRDefault="006031D6" w:rsidP="006031D6">
            <w:pPr>
              <w:pStyle w:val="Texttabulky"/>
              <w:spacing w:after="0" w:line="240" w:lineRule="atLeast"/>
              <w:rPr>
                <w:rFonts w:cs="Arial"/>
              </w:rPr>
            </w:pPr>
            <w:r w:rsidRPr="006031D6">
              <w:rPr>
                <w:rFonts w:cs="Arial"/>
              </w:rPr>
              <w:t>Kámen</w:t>
            </w:r>
          </w:p>
        </w:tc>
        <w:tc>
          <w:tcPr>
            <w:tcW w:w="1050" w:type="dxa"/>
            <w:tcBorders>
              <w:top w:val="single" w:sz="6" w:space="0" w:color="auto"/>
              <w:left w:val="single" w:sz="6" w:space="0" w:color="auto"/>
              <w:bottom w:val="single" w:sz="6" w:space="0" w:color="auto"/>
              <w:right w:val="single" w:sz="6" w:space="0" w:color="auto"/>
            </w:tcBorders>
          </w:tcPr>
          <w:p w14:paraId="1DFF91CE" w14:textId="77777777" w:rsidR="006031D6" w:rsidRPr="006031D6" w:rsidRDefault="006031D6" w:rsidP="006031D6">
            <w:pPr>
              <w:pStyle w:val="Texttabulky"/>
              <w:spacing w:after="0" w:line="240" w:lineRule="atLeast"/>
              <w:rPr>
                <w:rFonts w:cs="Arial"/>
              </w:rPr>
            </w:pPr>
            <w:r w:rsidRPr="006031D6">
              <w:rPr>
                <w:rFonts w:cs="Arial"/>
              </w:rPr>
              <w:t>6</w:t>
            </w:r>
          </w:p>
        </w:tc>
        <w:tc>
          <w:tcPr>
            <w:tcW w:w="886" w:type="dxa"/>
            <w:tcBorders>
              <w:top w:val="single" w:sz="6" w:space="0" w:color="auto"/>
              <w:left w:val="single" w:sz="6" w:space="0" w:color="auto"/>
              <w:bottom w:val="single" w:sz="6" w:space="0" w:color="auto"/>
              <w:right w:val="single" w:sz="6" w:space="0" w:color="auto"/>
            </w:tcBorders>
          </w:tcPr>
          <w:p w14:paraId="708949CD" w14:textId="77777777" w:rsidR="006031D6" w:rsidRPr="006031D6" w:rsidRDefault="006031D6" w:rsidP="006031D6">
            <w:pPr>
              <w:pStyle w:val="Texttabulky"/>
              <w:spacing w:after="0" w:line="240" w:lineRule="atLeast"/>
              <w:rPr>
                <w:rFonts w:cs="Arial"/>
              </w:rPr>
            </w:pPr>
            <w:r w:rsidRPr="006031D6">
              <w:rPr>
                <w:rFonts w:cs="Arial"/>
              </w:rPr>
              <w:t>30</w:t>
            </w:r>
          </w:p>
        </w:tc>
        <w:tc>
          <w:tcPr>
            <w:tcW w:w="778" w:type="dxa"/>
            <w:tcBorders>
              <w:top w:val="single" w:sz="6" w:space="0" w:color="auto"/>
              <w:left w:val="single" w:sz="6" w:space="0" w:color="auto"/>
              <w:bottom w:val="single" w:sz="6" w:space="0" w:color="auto"/>
              <w:right w:val="single" w:sz="6" w:space="0" w:color="auto"/>
            </w:tcBorders>
          </w:tcPr>
          <w:p w14:paraId="5DE12E03"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22AF22B3" w14:textId="77777777" w:rsidR="006031D6" w:rsidRPr="006031D6" w:rsidRDefault="006031D6" w:rsidP="006031D6">
            <w:pPr>
              <w:pStyle w:val="Texttabulky"/>
              <w:spacing w:after="0" w:line="240" w:lineRule="atLeast"/>
              <w:rPr>
                <w:rFonts w:cs="Arial"/>
              </w:rPr>
            </w:pPr>
            <w:r w:rsidRPr="006031D6">
              <w:rPr>
                <w:rFonts w:cs="Arial"/>
              </w:rPr>
              <w:t>385,24</w:t>
            </w:r>
          </w:p>
        </w:tc>
        <w:tc>
          <w:tcPr>
            <w:tcW w:w="969" w:type="dxa"/>
            <w:tcBorders>
              <w:top w:val="single" w:sz="6" w:space="0" w:color="auto"/>
              <w:left w:val="single" w:sz="6" w:space="0" w:color="auto"/>
              <w:bottom w:val="single" w:sz="6" w:space="0" w:color="auto"/>
              <w:right w:val="single" w:sz="6" w:space="0" w:color="auto"/>
            </w:tcBorders>
          </w:tcPr>
          <w:p w14:paraId="33D2FF4D"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4098F162" w14:textId="77777777" w:rsidR="006031D6" w:rsidRPr="006031D6" w:rsidRDefault="006031D6" w:rsidP="006031D6">
            <w:pPr>
              <w:pStyle w:val="Zkladntext"/>
              <w:spacing w:after="0"/>
              <w:rPr>
                <w:rFonts w:ascii="Arial" w:hAnsi="Arial" w:cs="Arial"/>
              </w:rPr>
            </w:pPr>
          </w:p>
        </w:tc>
      </w:tr>
      <w:tr w:rsidR="006031D6" w:rsidRPr="006031D6" w14:paraId="4D103E15"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7A882974" w14:textId="77777777" w:rsidR="006031D6" w:rsidRPr="006031D6" w:rsidRDefault="006031D6" w:rsidP="006031D6">
            <w:pPr>
              <w:pStyle w:val="Texttabulky"/>
              <w:spacing w:after="0" w:line="240" w:lineRule="atLeast"/>
              <w:rPr>
                <w:rFonts w:cs="Arial"/>
              </w:rPr>
            </w:pPr>
            <w:r w:rsidRPr="006031D6">
              <w:rPr>
                <w:rFonts w:cs="Arial"/>
              </w:rPr>
              <w:t>Kámen Hřensko nový</w:t>
            </w:r>
          </w:p>
        </w:tc>
        <w:tc>
          <w:tcPr>
            <w:tcW w:w="1050" w:type="dxa"/>
            <w:tcBorders>
              <w:top w:val="single" w:sz="6" w:space="0" w:color="auto"/>
              <w:left w:val="single" w:sz="6" w:space="0" w:color="auto"/>
              <w:bottom w:val="single" w:sz="6" w:space="0" w:color="auto"/>
              <w:right w:val="single" w:sz="6" w:space="0" w:color="auto"/>
            </w:tcBorders>
          </w:tcPr>
          <w:p w14:paraId="54AB43AC" w14:textId="77777777" w:rsidR="006031D6" w:rsidRPr="006031D6" w:rsidRDefault="006031D6" w:rsidP="006031D6">
            <w:pPr>
              <w:pStyle w:val="Texttabulky"/>
              <w:spacing w:after="0" w:line="240" w:lineRule="atLeast"/>
              <w:rPr>
                <w:rFonts w:cs="Arial"/>
              </w:rPr>
            </w:pPr>
            <w:r w:rsidRPr="006031D6">
              <w:rPr>
                <w:rFonts w:cs="Arial"/>
              </w:rPr>
              <w:t>7</w:t>
            </w:r>
          </w:p>
        </w:tc>
        <w:tc>
          <w:tcPr>
            <w:tcW w:w="886" w:type="dxa"/>
            <w:tcBorders>
              <w:top w:val="single" w:sz="6" w:space="0" w:color="auto"/>
              <w:left w:val="single" w:sz="6" w:space="0" w:color="auto"/>
              <w:bottom w:val="single" w:sz="6" w:space="0" w:color="auto"/>
              <w:right w:val="single" w:sz="6" w:space="0" w:color="auto"/>
            </w:tcBorders>
          </w:tcPr>
          <w:p w14:paraId="494FF321" w14:textId="77777777" w:rsidR="006031D6" w:rsidRPr="006031D6" w:rsidRDefault="006031D6" w:rsidP="006031D6">
            <w:pPr>
              <w:pStyle w:val="Texttabulky"/>
              <w:spacing w:after="0" w:line="240" w:lineRule="atLeast"/>
              <w:rPr>
                <w:rFonts w:cs="Arial"/>
              </w:rPr>
            </w:pPr>
            <w:r w:rsidRPr="006031D6">
              <w:rPr>
                <w:rFonts w:cs="Arial"/>
              </w:rPr>
              <w:t>5 000</w:t>
            </w:r>
          </w:p>
        </w:tc>
        <w:tc>
          <w:tcPr>
            <w:tcW w:w="778" w:type="dxa"/>
            <w:tcBorders>
              <w:top w:val="single" w:sz="6" w:space="0" w:color="auto"/>
              <w:left w:val="single" w:sz="6" w:space="0" w:color="auto"/>
              <w:bottom w:val="single" w:sz="6" w:space="0" w:color="auto"/>
              <w:right w:val="single" w:sz="6" w:space="0" w:color="auto"/>
            </w:tcBorders>
          </w:tcPr>
          <w:p w14:paraId="1B2F0412"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75BBDA29" w14:textId="77777777" w:rsidR="006031D6" w:rsidRPr="006031D6" w:rsidRDefault="006031D6" w:rsidP="006031D6">
            <w:pPr>
              <w:pStyle w:val="Texttabulky"/>
              <w:spacing w:after="0" w:line="240" w:lineRule="atLeast"/>
              <w:rPr>
                <w:rFonts w:cs="Arial"/>
              </w:rPr>
            </w:pPr>
            <w:r w:rsidRPr="006031D6">
              <w:rPr>
                <w:rFonts w:cs="Arial"/>
              </w:rPr>
              <w:t xml:space="preserve"> 404,0</w:t>
            </w:r>
          </w:p>
        </w:tc>
        <w:tc>
          <w:tcPr>
            <w:tcW w:w="969" w:type="dxa"/>
            <w:tcBorders>
              <w:top w:val="single" w:sz="6" w:space="0" w:color="auto"/>
              <w:left w:val="single" w:sz="6" w:space="0" w:color="auto"/>
              <w:bottom w:val="single" w:sz="6" w:space="0" w:color="auto"/>
              <w:right w:val="single" w:sz="6" w:space="0" w:color="auto"/>
            </w:tcBorders>
          </w:tcPr>
          <w:p w14:paraId="42AD5CDE" w14:textId="77777777" w:rsidR="006031D6" w:rsidRPr="006031D6" w:rsidRDefault="006031D6" w:rsidP="006031D6">
            <w:pPr>
              <w:pStyle w:val="Texttabulky"/>
              <w:spacing w:after="0" w:line="240" w:lineRule="atLeast"/>
              <w:rPr>
                <w:rFonts w:cs="Arial"/>
              </w:rPr>
            </w:pPr>
            <w:r w:rsidRPr="006031D6">
              <w:rPr>
                <w:rFonts w:cs="Arial"/>
              </w:rPr>
              <w:t xml:space="preserve"> 399,0</w:t>
            </w:r>
          </w:p>
        </w:tc>
        <w:tc>
          <w:tcPr>
            <w:tcW w:w="845" w:type="dxa"/>
            <w:tcBorders>
              <w:top w:val="single" w:sz="6" w:space="0" w:color="auto"/>
              <w:left w:val="single" w:sz="6" w:space="0" w:color="auto"/>
              <w:bottom w:val="single" w:sz="6" w:space="0" w:color="auto"/>
              <w:right w:val="single" w:sz="6" w:space="0" w:color="auto"/>
            </w:tcBorders>
          </w:tcPr>
          <w:p w14:paraId="0FD081CD" w14:textId="77777777" w:rsidR="006031D6" w:rsidRPr="006031D6" w:rsidRDefault="006031D6" w:rsidP="006031D6">
            <w:pPr>
              <w:pStyle w:val="Zkladntext"/>
              <w:spacing w:after="0"/>
              <w:rPr>
                <w:rFonts w:ascii="Arial" w:hAnsi="Arial" w:cs="Arial"/>
              </w:rPr>
            </w:pPr>
          </w:p>
        </w:tc>
      </w:tr>
      <w:tr w:rsidR="006031D6" w:rsidRPr="006031D6" w14:paraId="1297AACB"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032A96B5" w14:textId="77777777" w:rsidR="006031D6" w:rsidRPr="006031D6" w:rsidRDefault="006031D6" w:rsidP="006031D6">
            <w:pPr>
              <w:pStyle w:val="Texttabulky"/>
              <w:spacing w:after="0" w:line="240" w:lineRule="atLeast"/>
              <w:rPr>
                <w:rFonts w:cs="Arial"/>
              </w:rPr>
            </w:pPr>
            <w:r w:rsidRPr="006031D6">
              <w:rPr>
                <w:rFonts w:cs="Arial"/>
              </w:rPr>
              <w:t>Kámen Hřensko starý</w:t>
            </w:r>
          </w:p>
        </w:tc>
        <w:tc>
          <w:tcPr>
            <w:tcW w:w="1050" w:type="dxa"/>
            <w:tcBorders>
              <w:top w:val="single" w:sz="6" w:space="0" w:color="auto"/>
              <w:left w:val="single" w:sz="6" w:space="0" w:color="auto"/>
              <w:bottom w:val="single" w:sz="6" w:space="0" w:color="auto"/>
              <w:right w:val="single" w:sz="6" w:space="0" w:color="auto"/>
            </w:tcBorders>
          </w:tcPr>
          <w:p w14:paraId="13E44086" w14:textId="77777777" w:rsidR="006031D6" w:rsidRPr="006031D6" w:rsidRDefault="006031D6" w:rsidP="006031D6">
            <w:pPr>
              <w:pStyle w:val="Texttabulky"/>
              <w:spacing w:after="0" w:line="240" w:lineRule="atLeast"/>
              <w:rPr>
                <w:rFonts w:cs="Arial"/>
              </w:rPr>
            </w:pPr>
            <w:r w:rsidRPr="006031D6">
              <w:rPr>
                <w:rFonts w:cs="Arial"/>
              </w:rPr>
              <w:t>7</w:t>
            </w:r>
          </w:p>
        </w:tc>
        <w:tc>
          <w:tcPr>
            <w:tcW w:w="886" w:type="dxa"/>
            <w:tcBorders>
              <w:top w:val="single" w:sz="6" w:space="0" w:color="auto"/>
              <w:left w:val="single" w:sz="6" w:space="0" w:color="auto"/>
              <w:bottom w:val="single" w:sz="6" w:space="0" w:color="auto"/>
              <w:right w:val="single" w:sz="6" w:space="0" w:color="auto"/>
            </w:tcBorders>
          </w:tcPr>
          <w:p w14:paraId="368C12F3" w14:textId="77777777" w:rsidR="006031D6" w:rsidRPr="006031D6" w:rsidRDefault="006031D6" w:rsidP="006031D6">
            <w:pPr>
              <w:pStyle w:val="Texttabulky"/>
              <w:spacing w:after="0" w:line="240" w:lineRule="atLeast"/>
              <w:rPr>
                <w:rFonts w:cs="Arial"/>
              </w:rPr>
            </w:pPr>
            <w:r w:rsidRPr="006031D6">
              <w:rPr>
                <w:rFonts w:cs="Arial"/>
              </w:rPr>
              <w:t>1 000</w:t>
            </w:r>
          </w:p>
        </w:tc>
        <w:tc>
          <w:tcPr>
            <w:tcW w:w="778" w:type="dxa"/>
            <w:tcBorders>
              <w:top w:val="single" w:sz="6" w:space="0" w:color="auto"/>
              <w:left w:val="single" w:sz="6" w:space="0" w:color="auto"/>
              <w:bottom w:val="single" w:sz="6" w:space="0" w:color="auto"/>
              <w:right w:val="single" w:sz="6" w:space="0" w:color="auto"/>
            </w:tcBorders>
          </w:tcPr>
          <w:p w14:paraId="36BFBC96"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74B284D4" w14:textId="77777777" w:rsidR="006031D6" w:rsidRPr="006031D6" w:rsidRDefault="006031D6" w:rsidP="006031D6">
            <w:pPr>
              <w:pStyle w:val="Texttabulky"/>
              <w:spacing w:after="0" w:line="240" w:lineRule="atLeast"/>
              <w:rPr>
                <w:rFonts w:cs="Arial"/>
              </w:rPr>
            </w:pPr>
            <w:r w:rsidRPr="006031D6">
              <w:rPr>
                <w:rFonts w:cs="Arial"/>
              </w:rPr>
              <w:t xml:space="preserve"> 404,0</w:t>
            </w:r>
          </w:p>
        </w:tc>
        <w:tc>
          <w:tcPr>
            <w:tcW w:w="969" w:type="dxa"/>
            <w:tcBorders>
              <w:top w:val="single" w:sz="6" w:space="0" w:color="auto"/>
              <w:left w:val="single" w:sz="6" w:space="0" w:color="auto"/>
              <w:bottom w:val="single" w:sz="6" w:space="0" w:color="auto"/>
              <w:right w:val="single" w:sz="6" w:space="0" w:color="auto"/>
            </w:tcBorders>
          </w:tcPr>
          <w:p w14:paraId="7F9EBE03" w14:textId="77777777" w:rsidR="006031D6" w:rsidRPr="006031D6" w:rsidRDefault="006031D6" w:rsidP="006031D6">
            <w:pPr>
              <w:pStyle w:val="Texttabulky"/>
              <w:spacing w:after="0" w:line="240" w:lineRule="atLeast"/>
              <w:rPr>
                <w:rFonts w:cs="Arial"/>
              </w:rPr>
            </w:pPr>
            <w:r w:rsidRPr="006031D6">
              <w:rPr>
                <w:rFonts w:cs="Arial"/>
              </w:rPr>
              <w:t xml:space="preserve"> 399,0</w:t>
            </w:r>
          </w:p>
        </w:tc>
        <w:tc>
          <w:tcPr>
            <w:tcW w:w="845" w:type="dxa"/>
            <w:tcBorders>
              <w:top w:val="single" w:sz="6" w:space="0" w:color="auto"/>
              <w:left w:val="single" w:sz="6" w:space="0" w:color="auto"/>
              <w:bottom w:val="single" w:sz="6" w:space="0" w:color="auto"/>
              <w:right w:val="single" w:sz="6" w:space="0" w:color="auto"/>
            </w:tcBorders>
          </w:tcPr>
          <w:p w14:paraId="07EC62D1" w14:textId="77777777" w:rsidR="006031D6" w:rsidRPr="006031D6" w:rsidRDefault="006031D6" w:rsidP="006031D6">
            <w:pPr>
              <w:pStyle w:val="Zkladntext"/>
              <w:spacing w:after="0"/>
              <w:rPr>
                <w:rFonts w:ascii="Arial" w:hAnsi="Arial" w:cs="Arial"/>
              </w:rPr>
            </w:pPr>
          </w:p>
        </w:tc>
      </w:tr>
      <w:tr w:rsidR="006031D6" w:rsidRPr="006031D6" w14:paraId="68DC5D78"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5F7FF06E" w14:textId="77777777" w:rsidR="006031D6" w:rsidRPr="006031D6" w:rsidRDefault="006031D6" w:rsidP="006031D6">
            <w:pPr>
              <w:pStyle w:val="Texttabulky"/>
              <w:spacing w:after="0" w:line="240" w:lineRule="atLeast"/>
              <w:rPr>
                <w:rFonts w:cs="Arial"/>
              </w:rPr>
            </w:pPr>
            <w:r w:rsidRPr="006031D6">
              <w:rPr>
                <w:rFonts w:cs="Arial"/>
              </w:rPr>
              <w:t>Kamenická</w:t>
            </w:r>
          </w:p>
        </w:tc>
        <w:tc>
          <w:tcPr>
            <w:tcW w:w="1050" w:type="dxa"/>
            <w:tcBorders>
              <w:top w:val="single" w:sz="6" w:space="0" w:color="auto"/>
              <w:left w:val="single" w:sz="6" w:space="0" w:color="auto"/>
              <w:bottom w:val="single" w:sz="6" w:space="0" w:color="auto"/>
              <w:right w:val="single" w:sz="6" w:space="0" w:color="auto"/>
            </w:tcBorders>
          </w:tcPr>
          <w:p w14:paraId="4A379F20" w14:textId="77777777" w:rsidR="006031D6" w:rsidRPr="006031D6" w:rsidRDefault="006031D6" w:rsidP="006031D6">
            <w:pPr>
              <w:pStyle w:val="Texttabulky"/>
              <w:spacing w:after="0" w:line="240" w:lineRule="atLeast"/>
              <w:rPr>
                <w:rFonts w:cs="Arial"/>
              </w:rPr>
            </w:pPr>
            <w:r w:rsidRPr="006031D6">
              <w:rPr>
                <w:rFonts w:cs="Arial"/>
              </w:rPr>
              <w:t>3</w:t>
            </w:r>
          </w:p>
        </w:tc>
        <w:tc>
          <w:tcPr>
            <w:tcW w:w="886" w:type="dxa"/>
            <w:tcBorders>
              <w:top w:val="single" w:sz="6" w:space="0" w:color="auto"/>
              <w:left w:val="single" w:sz="6" w:space="0" w:color="auto"/>
              <w:bottom w:val="single" w:sz="6" w:space="0" w:color="auto"/>
              <w:right w:val="single" w:sz="6" w:space="0" w:color="auto"/>
            </w:tcBorders>
          </w:tcPr>
          <w:p w14:paraId="52E06F6E" w14:textId="77777777" w:rsidR="006031D6" w:rsidRPr="006031D6" w:rsidRDefault="006031D6" w:rsidP="006031D6">
            <w:pPr>
              <w:pStyle w:val="Texttabulky"/>
              <w:spacing w:after="0" w:line="240" w:lineRule="atLeast"/>
              <w:rPr>
                <w:rFonts w:cs="Arial"/>
              </w:rPr>
            </w:pPr>
            <w:r w:rsidRPr="006031D6">
              <w:rPr>
                <w:rFonts w:cs="Arial"/>
              </w:rPr>
              <w:t>3 000</w:t>
            </w:r>
          </w:p>
        </w:tc>
        <w:tc>
          <w:tcPr>
            <w:tcW w:w="778" w:type="dxa"/>
            <w:tcBorders>
              <w:top w:val="single" w:sz="6" w:space="0" w:color="auto"/>
              <w:left w:val="single" w:sz="6" w:space="0" w:color="auto"/>
              <w:bottom w:val="single" w:sz="6" w:space="0" w:color="auto"/>
              <w:right w:val="single" w:sz="6" w:space="0" w:color="auto"/>
            </w:tcBorders>
          </w:tcPr>
          <w:p w14:paraId="071FC2E1"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6883E523" w14:textId="77777777" w:rsidR="006031D6" w:rsidRPr="006031D6" w:rsidRDefault="006031D6" w:rsidP="006031D6">
            <w:pPr>
              <w:pStyle w:val="Texttabulky"/>
              <w:spacing w:after="0" w:line="240" w:lineRule="atLeast"/>
              <w:rPr>
                <w:rFonts w:cs="Arial"/>
              </w:rPr>
            </w:pPr>
            <w:r w:rsidRPr="006031D6">
              <w:rPr>
                <w:rFonts w:cs="Arial"/>
              </w:rPr>
              <w:t>274,12</w:t>
            </w:r>
          </w:p>
        </w:tc>
        <w:tc>
          <w:tcPr>
            <w:tcW w:w="969" w:type="dxa"/>
            <w:tcBorders>
              <w:top w:val="single" w:sz="6" w:space="0" w:color="auto"/>
              <w:left w:val="single" w:sz="6" w:space="0" w:color="auto"/>
              <w:bottom w:val="single" w:sz="6" w:space="0" w:color="auto"/>
              <w:right w:val="single" w:sz="6" w:space="0" w:color="auto"/>
            </w:tcBorders>
          </w:tcPr>
          <w:p w14:paraId="26FA60C9" w14:textId="77777777" w:rsidR="006031D6" w:rsidRPr="006031D6" w:rsidRDefault="006031D6" w:rsidP="006031D6">
            <w:pPr>
              <w:pStyle w:val="Texttabulky"/>
              <w:spacing w:after="0" w:line="240" w:lineRule="atLeast"/>
              <w:rPr>
                <w:rFonts w:cs="Arial"/>
              </w:rPr>
            </w:pPr>
            <w:r w:rsidRPr="006031D6">
              <w:rPr>
                <w:rFonts w:cs="Arial"/>
              </w:rPr>
              <w:t>269,12</w:t>
            </w:r>
          </w:p>
        </w:tc>
        <w:tc>
          <w:tcPr>
            <w:tcW w:w="845" w:type="dxa"/>
            <w:tcBorders>
              <w:top w:val="single" w:sz="6" w:space="0" w:color="auto"/>
              <w:left w:val="single" w:sz="6" w:space="0" w:color="auto"/>
              <w:bottom w:val="single" w:sz="6" w:space="0" w:color="auto"/>
              <w:right w:val="single" w:sz="6" w:space="0" w:color="auto"/>
            </w:tcBorders>
          </w:tcPr>
          <w:p w14:paraId="6E5FB62A" w14:textId="77777777" w:rsidR="006031D6" w:rsidRPr="006031D6" w:rsidRDefault="006031D6" w:rsidP="006031D6">
            <w:pPr>
              <w:pStyle w:val="Zkladntext"/>
              <w:spacing w:after="0"/>
              <w:rPr>
                <w:rFonts w:ascii="Arial" w:hAnsi="Arial" w:cs="Arial"/>
              </w:rPr>
            </w:pPr>
          </w:p>
        </w:tc>
      </w:tr>
      <w:tr w:rsidR="006031D6" w:rsidRPr="006031D6" w14:paraId="654B8C46"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68FABA4E" w14:textId="77777777" w:rsidR="006031D6" w:rsidRPr="006031D6" w:rsidRDefault="006031D6" w:rsidP="006031D6">
            <w:pPr>
              <w:pStyle w:val="Texttabulky"/>
              <w:spacing w:after="0" w:line="240" w:lineRule="atLeast"/>
              <w:rPr>
                <w:rFonts w:cs="Arial"/>
              </w:rPr>
            </w:pPr>
            <w:r w:rsidRPr="006031D6">
              <w:rPr>
                <w:rFonts w:cs="Arial"/>
              </w:rPr>
              <w:lastRenderedPageBreak/>
              <w:t>Libverda</w:t>
            </w:r>
          </w:p>
        </w:tc>
        <w:tc>
          <w:tcPr>
            <w:tcW w:w="1050" w:type="dxa"/>
            <w:tcBorders>
              <w:top w:val="single" w:sz="6" w:space="0" w:color="auto"/>
              <w:left w:val="single" w:sz="6" w:space="0" w:color="auto"/>
              <w:bottom w:val="single" w:sz="6" w:space="0" w:color="auto"/>
              <w:right w:val="single" w:sz="6" w:space="0" w:color="auto"/>
            </w:tcBorders>
          </w:tcPr>
          <w:p w14:paraId="75CA29E2"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67B5C45A" w14:textId="77777777" w:rsidR="006031D6" w:rsidRPr="006031D6" w:rsidRDefault="006031D6" w:rsidP="006031D6">
            <w:pPr>
              <w:pStyle w:val="Texttabulky"/>
              <w:spacing w:after="0" w:line="240" w:lineRule="atLeast"/>
              <w:rPr>
                <w:rFonts w:cs="Arial"/>
              </w:rPr>
            </w:pPr>
            <w:r w:rsidRPr="006031D6">
              <w:rPr>
                <w:rFonts w:cs="Arial"/>
              </w:rPr>
              <w:t>40</w:t>
            </w:r>
          </w:p>
        </w:tc>
        <w:tc>
          <w:tcPr>
            <w:tcW w:w="778" w:type="dxa"/>
            <w:tcBorders>
              <w:top w:val="single" w:sz="6" w:space="0" w:color="auto"/>
              <w:left w:val="single" w:sz="6" w:space="0" w:color="auto"/>
              <w:bottom w:val="single" w:sz="6" w:space="0" w:color="auto"/>
              <w:right w:val="single" w:sz="6" w:space="0" w:color="auto"/>
            </w:tcBorders>
          </w:tcPr>
          <w:p w14:paraId="433A9746" w14:textId="77777777" w:rsidR="006031D6" w:rsidRPr="006031D6" w:rsidRDefault="006031D6" w:rsidP="006031D6">
            <w:pPr>
              <w:pStyle w:val="Texttabulky"/>
              <w:spacing w:after="0" w:line="240" w:lineRule="atLeast"/>
              <w:rPr>
                <w:rFonts w:cs="Arial"/>
              </w:rPr>
            </w:pPr>
            <w:r w:rsidRPr="006031D6">
              <w:rPr>
                <w:rFonts w:cs="Arial"/>
              </w:rPr>
              <w:t>-</w:t>
            </w:r>
          </w:p>
        </w:tc>
        <w:tc>
          <w:tcPr>
            <w:tcW w:w="993" w:type="dxa"/>
            <w:tcBorders>
              <w:top w:val="single" w:sz="6" w:space="0" w:color="auto"/>
              <w:left w:val="single" w:sz="6" w:space="0" w:color="auto"/>
              <w:bottom w:val="single" w:sz="6" w:space="0" w:color="auto"/>
              <w:right w:val="single" w:sz="6" w:space="0" w:color="auto"/>
            </w:tcBorders>
          </w:tcPr>
          <w:p w14:paraId="39CA2575" w14:textId="77777777" w:rsidR="006031D6" w:rsidRPr="006031D6" w:rsidRDefault="006031D6" w:rsidP="006031D6">
            <w:pPr>
              <w:pStyle w:val="Texttabulky"/>
              <w:spacing w:after="0" w:line="240" w:lineRule="atLeast"/>
              <w:rPr>
                <w:rFonts w:cs="Arial"/>
              </w:rPr>
            </w:pPr>
            <w:r w:rsidRPr="006031D6">
              <w:rPr>
                <w:rFonts w:cs="Arial"/>
              </w:rPr>
              <w:t>138,4</w:t>
            </w:r>
          </w:p>
        </w:tc>
        <w:tc>
          <w:tcPr>
            <w:tcW w:w="969" w:type="dxa"/>
            <w:tcBorders>
              <w:top w:val="single" w:sz="6" w:space="0" w:color="auto"/>
              <w:left w:val="single" w:sz="6" w:space="0" w:color="auto"/>
              <w:bottom w:val="single" w:sz="6" w:space="0" w:color="auto"/>
              <w:right w:val="single" w:sz="6" w:space="0" w:color="auto"/>
            </w:tcBorders>
          </w:tcPr>
          <w:p w14:paraId="1B0BC8DB" w14:textId="77777777" w:rsidR="006031D6" w:rsidRPr="006031D6" w:rsidRDefault="006031D6" w:rsidP="006031D6">
            <w:pPr>
              <w:pStyle w:val="Texttabulky"/>
              <w:spacing w:after="0" w:line="240" w:lineRule="atLeast"/>
              <w:rPr>
                <w:rFonts w:cs="Arial"/>
              </w:rPr>
            </w:pPr>
            <w:r w:rsidRPr="006031D6">
              <w:rPr>
                <w:rFonts w:cs="Arial"/>
              </w:rPr>
              <w:t>136,6</w:t>
            </w:r>
          </w:p>
        </w:tc>
        <w:tc>
          <w:tcPr>
            <w:tcW w:w="845" w:type="dxa"/>
            <w:tcBorders>
              <w:top w:val="single" w:sz="6" w:space="0" w:color="auto"/>
              <w:left w:val="single" w:sz="6" w:space="0" w:color="auto"/>
              <w:bottom w:val="single" w:sz="6" w:space="0" w:color="auto"/>
              <w:right w:val="single" w:sz="6" w:space="0" w:color="auto"/>
            </w:tcBorders>
          </w:tcPr>
          <w:p w14:paraId="2E253ABF" w14:textId="77777777" w:rsidR="006031D6" w:rsidRPr="006031D6" w:rsidRDefault="006031D6" w:rsidP="006031D6">
            <w:pPr>
              <w:pStyle w:val="Zkladntext"/>
              <w:spacing w:after="0"/>
              <w:rPr>
                <w:rFonts w:ascii="Arial" w:hAnsi="Arial" w:cs="Arial"/>
              </w:rPr>
            </w:pPr>
          </w:p>
        </w:tc>
      </w:tr>
      <w:tr w:rsidR="006031D6" w:rsidRPr="006031D6" w14:paraId="25912546"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1E513FEF" w14:textId="77777777" w:rsidR="006031D6" w:rsidRPr="006031D6" w:rsidRDefault="006031D6" w:rsidP="006031D6">
            <w:pPr>
              <w:pStyle w:val="Texttabulky"/>
              <w:spacing w:after="0" w:line="240" w:lineRule="atLeast"/>
              <w:rPr>
                <w:rFonts w:cs="Arial"/>
              </w:rPr>
            </w:pPr>
            <w:r w:rsidRPr="006031D6">
              <w:rPr>
                <w:rFonts w:cs="Arial"/>
              </w:rPr>
              <w:t>Loubí</w:t>
            </w:r>
          </w:p>
        </w:tc>
        <w:tc>
          <w:tcPr>
            <w:tcW w:w="1050" w:type="dxa"/>
            <w:tcBorders>
              <w:top w:val="single" w:sz="6" w:space="0" w:color="auto"/>
              <w:left w:val="single" w:sz="6" w:space="0" w:color="auto"/>
              <w:bottom w:val="single" w:sz="6" w:space="0" w:color="auto"/>
              <w:right w:val="single" w:sz="6" w:space="0" w:color="auto"/>
            </w:tcBorders>
          </w:tcPr>
          <w:p w14:paraId="2E0E79E2"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7C66A691" w14:textId="77777777" w:rsidR="006031D6" w:rsidRPr="006031D6" w:rsidRDefault="006031D6" w:rsidP="006031D6">
            <w:pPr>
              <w:pStyle w:val="Texttabulky"/>
              <w:spacing w:after="0" w:line="240" w:lineRule="atLeast"/>
              <w:rPr>
                <w:rFonts w:cs="Arial"/>
              </w:rPr>
            </w:pPr>
            <w:r w:rsidRPr="006031D6">
              <w:rPr>
                <w:rFonts w:cs="Arial"/>
              </w:rPr>
              <w:t>40</w:t>
            </w:r>
          </w:p>
        </w:tc>
        <w:tc>
          <w:tcPr>
            <w:tcW w:w="778" w:type="dxa"/>
            <w:tcBorders>
              <w:top w:val="single" w:sz="6" w:space="0" w:color="auto"/>
              <w:left w:val="single" w:sz="6" w:space="0" w:color="auto"/>
              <w:bottom w:val="single" w:sz="6" w:space="0" w:color="auto"/>
              <w:right w:val="single" w:sz="6" w:space="0" w:color="auto"/>
            </w:tcBorders>
          </w:tcPr>
          <w:p w14:paraId="09111638"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6F8E1A76" w14:textId="77777777" w:rsidR="006031D6" w:rsidRPr="006031D6" w:rsidRDefault="006031D6" w:rsidP="006031D6">
            <w:pPr>
              <w:pStyle w:val="Texttabulky"/>
              <w:spacing w:after="0" w:line="240" w:lineRule="atLeast"/>
              <w:rPr>
                <w:rFonts w:cs="Arial"/>
              </w:rPr>
            </w:pPr>
            <w:r w:rsidRPr="006031D6">
              <w:rPr>
                <w:rFonts w:cs="Arial"/>
              </w:rPr>
              <w:t>153,3</w:t>
            </w:r>
          </w:p>
        </w:tc>
        <w:tc>
          <w:tcPr>
            <w:tcW w:w="969" w:type="dxa"/>
            <w:tcBorders>
              <w:top w:val="single" w:sz="6" w:space="0" w:color="auto"/>
              <w:left w:val="single" w:sz="6" w:space="0" w:color="auto"/>
              <w:bottom w:val="single" w:sz="6" w:space="0" w:color="auto"/>
              <w:right w:val="single" w:sz="6" w:space="0" w:color="auto"/>
            </w:tcBorders>
          </w:tcPr>
          <w:p w14:paraId="399A22F2" w14:textId="77777777" w:rsidR="006031D6" w:rsidRPr="006031D6" w:rsidRDefault="006031D6" w:rsidP="006031D6">
            <w:pPr>
              <w:pStyle w:val="Texttabulky"/>
              <w:spacing w:after="0" w:line="240" w:lineRule="atLeast"/>
              <w:rPr>
                <w:rFonts w:cs="Arial"/>
              </w:rPr>
            </w:pPr>
            <w:r w:rsidRPr="006031D6">
              <w:rPr>
                <w:rFonts w:cs="Arial"/>
              </w:rPr>
              <w:t>150,3</w:t>
            </w:r>
          </w:p>
        </w:tc>
        <w:tc>
          <w:tcPr>
            <w:tcW w:w="845" w:type="dxa"/>
            <w:tcBorders>
              <w:top w:val="single" w:sz="6" w:space="0" w:color="auto"/>
              <w:left w:val="single" w:sz="6" w:space="0" w:color="auto"/>
              <w:bottom w:val="single" w:sz="6" w:space="0" w:color="auto"/>
              <w:right w:val="single" w:sz="6" w:space="0" w:color="auto"/>
            </w:tcBorders>
          </w:tcPr>
          <w:p w14:paraId="693B5DFA" w14:textId="77777777" w:rsidR="006031D6" w:rsidRPr="006031D6" w:rsidRDefault="006031D6" w:rsidP="006031D6">
            <w:pPr>
              <w:pStyle w:val="Zkladntext"/>
              <w:spacing w:after="0"/>
              <w:rPr>
                <w:rFonts w:ascii="Arial" w:hAnsi="Arial" w:cs="Arial"/>
              </w:rPr>
            </w:pPr>
          </w:p>
        </w:tc>
      </w:tr>
      <w:tr w:rsidR="006031D6" w:rsidRPr="006031D6" w14:paraId="258B42C8"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4C4FC605" w14:textId="77777777" w:rsidR="006031D6" w:rsidRPr="006031D6" w:rsidRDefault="006031D6" w:rsidP="006031D6">
            <w:pPr>
              <w:pStyle w:val="Texttabulky"/>
              <w:spacing w:after="0" w:line="240" w:lineRule="atLeast"/>
              <w:rPr>
                <w:rFonts w:cs="Arial"/>
              </w:rPr>
            </w:pPr>
            <w:r w:rsidRPr="006031D6">
              <w:rPr>
                <w:rFonts w:cs="Arial"/>
              </w:rPr>
              <w:t>Marjanin vrch</w:t>
            </w:r>
          </w:p>
        </w:tc>
        <w:tc>
          <w:tcPr>
            <w:tcW w:w="1050" w:type="dxa"/>
            <w:tcBorders>
              <w:top w:val="single" w:sz="6" w:space="0" w:color="auto"/>
              <w:left w:val="single" w:sz="6" w:space="0" w:color="auto"/>
              <w:bottom w:val="single" w:sz="6" w:space="0" w:color="auto"/>
              <w:right w:val="single" w:sz="6" w:space="0" w:color="auto"/>
            </w:tcBorders>
          </w:tcPr>
          <w:p w14:paraId="2B6C949F"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7F8E5353" w14:textId="77777777" w:rsidR="006031D6" w:rsidRPr="006031D6" w:rsidRDefault="006031D6" w:rsidP="006031D6">
            <w:pPr>
              <w:pStyle w:val="Texttabulky"/>
              <w:spacing w:after="0" w:line="240" w:lineRule="atLeast"/>
              <w:rPr>
                <w:rFonts w:cs="Arial"/>
              </w:rPr>
            </w:pPr>
            <w:r w:rsidRPr="006031D6">
              <w:rPr>
                <w:rFonts w:cs="Arial"/>
              </w:rPr>
              <w:t>150</w:t>
            </w:r>
          </w:p>
        </w:tc>
        <w:tc>
          <w:tcPr>
            <w:tcW w:w="778" w:type="dxa"/>
            <w:tcBorders>
              <w:top w:val="single" w:sz="6" w:space="0" w:color="auto"/>
              <w:left w:val="single" w:sz="6" w:space="0" w:color="auto"/>
              <w:bottom w:val="single" w:sz="6" w:space="0" w:color="auto"/>
              <w:right w:val="single" w:sz="6" w:space="0" w:color="auto"/>
            </w:tcBorders>
          </w:tcPr>
          <w:p w14:paraId="121FA6DE"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6351551C" w14:textId="77777777" w:rsidR="006031D6" w:rsidRPr="006031D6" w:rsidRDefault="006031D6" w:rsidP="006031D6">
            <w:pPr>
              <w:pStyle w:val="Texttabulky"/>
              <w:spacing w:after="0" w:line="240" w:lineRule="atLeast"/>
              <w:rPr>
                <w:rFonts w:cs="Arial"/>
              </w:rPr>
            </w:pPr>
            <w:r w:rsidRPr="006031D6">
              <w:rPr>
                <w:rFonts w:cs="Arial"/>
              </w:rPr>
              <w:t>229,75</w:t>
            </w:r>
          </w:p>
        </w:tc>
        <w:tc>
          <w:tcPr>
            <w:tcW w:w="969" w:type="dxa"/>
            <w:tcBorders>
              <w:top w:val="single" w:sz="6" w:space="0" w:color="auto"/>
              <w:left w:val="single" w:sz="6" w:space="0" w:color="auto"/>
              <w:bottom w:val="single" w:sz="6" w:space="0" w:color="auto"/>
              <w:right w:val="single" w:sz="6" w:space="0" w:color="auto"/>
            </w:tcBorders>
          </w:tcPr>
          <w:p w14:paraId="423AF16F" w14:textId="77777777" w:rsidR="006031D6" w:rsidRPr="006031D6" w:rsidRDefault="006031D6" w:rsidP="006031D6">
            <w:pPr>
              <w:pStyle w:val="Texttabulky"/>
              <w:spacing w:after="0" w:line="240" w:lineRule="atLeast"/>
              <w:rPr>
                <w:rFonts w:cs="Arial"/>
              </w:rPr>
            </w:pPr>
            <w:r w:rsidRPr="006031D6">
              <w:rPr>
                <w:rFonts w:cs="Arial"/>
              </w:rPr>
              <w:t>226,6</w:t>
            </w:r>
          </w:p>
        </w:tc>
        <w:tc>
          <w:tcPr>
            <w:tcW w:w="845" w:type="dxa"/>
            <w:tcBorders>
              <w:top w:val="single" w:sz="6" w:space="0" w:color="auto"/>
              <w:left w:val="single" w:sz="6" w:space="0" w:color="auto"/>
              <w:bottom w:val="single" w:sz="6" w:space="0" w:color="auto"/>
              <w:right w:val="single" w:sz="6" w:space="0" w:color="auto"/>
            </w:tcBorders>
          </w:tcPr>
          <w:p w14:paraId="6A4CF621" w14:textId="77777777" w:rsidR="006031D6" w:rsidRPr="006031D6" w:rsidRDefault="006031D6" w:rsidP="006031D6">
            <w:pPr>
              <w:pStyle w:val="Zkladntext"/>
              <w:spacing w:after="0"/>
              <w:rPr>
                <w:rFonts w:ascii="Arial" w:hAnsi="Arial" w:cs="Arial"/>
              </w:rPr>
            </w:pPr>
          </w:p>
        </w:tc>
      </w:tr>
      <w:tr w:rsidR="006031D6" w:rsidRPr="006031D6" w14:paraId="5D65DD6E"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6A8DB09F" w14:textId="77777777" w:rsidR="006031D6" w:rsidRPr="006031D6" w:rsidRDefault="006031D6" w:rsidP="006031D6">
            <w:pPr>
              <w:pStyle w:val="Texttabulky"/>
              <w:spacing w:after="0" w:line="240" w:lineRule="atLeast"/>
              <w:rPr>
                <w:rFonts w:cs="Arial"/>
              </w:rPr>
            </w:pPr>
            <w:r w:rsidRPr="006031D6">
              <w:rPr>
                <w:rFonts w:cs="Arial"/>
              </w:rPr>
              <w:t>Nad hostincem (Folknáře)</w:t>
            </w:r>
          </w:p>
        </w:tc>
        <w:tc>
          <w:tcPr>
            <w:tcW w:w="1050" w:type="dxa"/>
            <w:tcBorders>
              <w:top w:val="single" w:sz="6" w:space="0" w:color="auto"/>
              <w:left w:val="single" w:sz="6" w:space="0" w:color="auto"/>
              <w:bottom w:val="single" w:sz="6" w:space="0" w:color="auto"/>
              <w:right w:val="single" w:sz="6" w:space="0" w:color="auto"/>
            </w:tcBorders>
          </w:tcPr>
          <w:p w14:paraId="58BDA5EB" w14:textId="77777777" w:rsidR="006031D6" w:rsidRPr="006031D6" w:rsidRDefault="006031D6" w:rsidP="006031D6">
            <w:pPr>
              <w:pStyle w:val="Texttabulky"/>
              <w:spacing w:after="0" w:line="240" w:lineRule="atLeast"/>
              <w:rPr>
                <w:rFonts w:cs="Arial"/>
              </w:rPr>
            </w:pPr>
            <w:r w:rsidRPr="006031D6">
              <w:rPr>
                <w:rFonts w:cs="Arial"/>
              </w:rPr>
              <w:t>5</w:t>
            </w:r>
          </w:p>
        </w:tc>
        <w:tc>
          <w:tcPr>
            <w:tcW w:w="886" w:type="dxa"/>
            <w:tcBorders>
              <w:top w:val="single" w:sz="6" w:space="0" w:color="auto"/>
              <w:left w:val="single" w:sz="6" w:space="0" w:color="auto"/>
              <w:bottom w:val="single" w:sz="6" w:space="0" w:color="auto"/>
              <w:right w:val="single" w:sz="6" w:space="0" w:color="auto"/>
            </w:tcBorders>
          </w:tcPr>
          <w:p w14:paraId="7E930042" w14:textId="77777777" w:rsidR="006031D6" w:rsidRPr="006031D6" w:rsidRDefault="006031D6" w:rsidP="006031D6">
            <w:pPr>
              <w:pStyle w:val="Texttabulky"/>
              <w:spacing w:after="0" w:line="240" w:lineRule="atLeast"/>
              <w:rPr>
                <w:rFonts w:cs="Arial"/>
              </w:rPr>
            </w:pPr>
            <w:r w:rsidRPr="006031D6">
              <w:rPr>
                <w:rFonts w:cs="Arial"/>
              </w:rPr>
              <w:t>30</w:t>
            </w:r>
          </w:p>
        </w:tc>
        <w:tc>
          <w:tcPr>
            <w:tcW w:w="778" w:type="dxa"/>
            <w:tcBorders>
              <w:top w:val="single" w:sz="6" w:space="0" w:color="auto"/>
              <w:left w:val="single" w:sz="6" w:space="0" w:color="auto"/>
              <w:bottom w:val="single" w:sz="6" w:space="0" w:color="auto"/>
              <w:right w:val="single" w:sz="6" w:space="0" w:color="auto"/>
            </w:tcBorders>
          </w:tcPr>
          <w:p w14:paraId="687DE6A6"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4106661E" w14:textId="77777777" w:rsidR="006031D6" w:rsidRPr="006031D6" w:rsidRDefault="006031D6" w:rsidP="006031D6">
            <w:pPr>
              <w:pStyle w:val="Texttabulky"/>
              <w:spacing w:after="0" w:line="240" w:lineRule="atLeast"/>
              <w:rPr>
                <w:rFonts w:cs="Arial"/>
              </w:rPr>
            </w:pPr>
            <w:r w:rsidRPr="006031D6">
              <w:rPr>
                <w:rFonts w:cs="Arial"/>
              </w:rPr>
              <w:t>358,54</w:t>
            </w:r>
          </w:p>
        </w:tc>
        <w:tc>
          <w:tcPr>
            <w:tcW w:w="969" w:type="dxa"/>
            <w:tcBorders>
              <w:top w:val="single" w:sz="6" w:space="0" w:color="auto"/>
              <w:left w:val="single" w:sz="6" w:space="0" w:color="auto"/>
              <w:bottom w:val="single" w:sz="6" w:space="0" w:color="auto"/>
              <w:right w:val="single" w:sz="6" w:space="0" w:color="auto"/>
            </w:tcBorders>
          </w:tcPr>
          <w:p w14:paraId="2D885162" w14:textId="77777777" w:rsidR="006031D6" w:rsidRPr="006031D6" w:rsidRDefault="006031D6" w:rsidP="006031D6">
            <w:pPr>
              <w:pStyle w:val="Texttabulky"/>
              <w:spacing w:after="0" w:line="240" w:lineRule="atLeast"/>
              <w:rPr>
                <w:rFonts w:cs="Arial"/>
              </w:rPr>
            </w:pPr>
            <w:r w:rsidRPr="006031D6">
              <w:rPr>
                <w:rFonts w:cs="Arial"/>
              </w:rPr>
              <w:t>356,84</w:t>
            </w:r>
          </w:p>
        </w:tc>
        <w:tc>
          <w:tcPr>
            <w:tcW w:w="845" w:type="dxa"/>
            <w:tcBorders>
              <w:top w:val="single" w:sz="6" w:space="0" w:color="auto"/>
              <w:left w:val="single" w:sz="6" w:space="0" w:color="auto"/>
              <w:bottom w:val="single" w:sz="6" w:space="0" w:color="auto"/>
              <w:right w:val="single" w:sz="6" w:space="0" w:color="auto"/>
            </w:tcBorders>
          </w:tcPr>
          <w:p w14:paraId="61A6F730" w14:textId="77777777" w:rsidR="006031D6" w:rsidRPr="006031D6" w:rsidRDefault="006031D6" w:rsidP="006031D6">
            <w:pPr>
              <w:pStyle w:val="Zkladntext"/>
              <w:spacing w:after="0"/>
              <w:rPr>
                <w:rFonts w:ascii="Arial" w:hAnsi="Arial" w:cs="Arial"/>
              </w:rPr>
            </w:pPr>
          </w:p>
        </w:tc>
      </w:tr>
      <w:tr w:rsidR="006031D6" w:rsidRPr="006031D6" w14:paraId="7A28BE9A"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27EC9B81" w14:textId="77777777" w:rsidR="006031D6" w:rsidRPr="006031D6" w:rsidRDefault="006031D6" w:rsidP="006031D6">
            <w:pPr>
              <w:pStyle w:val="Texttabulky"/>
              <w:spacing w:after="0" w:line="240" w:lineRule="atLeast"/>
              <w:rPr>
                <w:rFonts w:cs="Arial"/>
              </w:rPr>
            </w:pPr>
            <w:r w:rsidRPr="006031D6">
              <w:rPr>
                <w:rFonts w:cs="Arial"/>
              </w:rPr>
              <w:t>Nad Kmentem</w:t>
            </w:r>
          </w:p>
        </w:tc>
        <w:tc>
          <w:tcPr>
            <w:tcW w:w="1050" w:type="dxa"/>
            <w:tcBorders>
              <w:top w:val="single" w:sz="6" w:space="0" w:color="auto"/>
              <w:left w:val="single" w:sz="6" w:space="0" w:color="auto"/>
              <w:bottom w:val="single" w:sz="6" w:space="0" w:color="auto"/>
              <w:right w:val="single" w:sz="6" w:space="0" w:color="auto"/>
            </w:tcBorders>
          </w:tcPr>
          <w:p w14:paraId="3B1675D6" w14:textId="77777777" w:rsidR="006031D6" w:rsidRPr="006031D6" w:rsidRDefault="006031D6" w:rsidP="006031D6">
            <w:pPr>
              <w:pStyle w:val="Texttabulky"/>
              <w:spacing w:after="0" w:line="240" w:lineRule="atLeast"/>
              <w:rPr>
                <w:rFonts w:cs="Arial"/>
              </w:rPr>
            </w:pPr>
            <w:r w:rsidRPr="006031D6">
              <w:rPr>
                <w:rFonts w:cs="Arial"/>
              </w:rPr>
              <w:t>6</w:t>
            </w:r>
          </w:p>
        </w:tc>
        <w:tc>
          <w:tcPr>
            <w:tcW w:w="886" w:type="dxa"/>
            <w:tcBorders>
              <w:top w:val="single" w:sz="6" w:space="0" w:color="auto"/>
              <w:left w:val="single" w:sz="6" w:space="0" w:color="auto"/>
              <w:bottom w:val="single" w:sz="6" w:space="0" w:color="auto"/>
              <w:right w:val="single" w:sz="6" w:space="0" w:color="auto"/>
            </w:tcBorders>
          </w:tcPr>
          <w:p w14:paraId="67B361A4" w14:textId="77777777" w:rsidR="006031D6" w:rsidRPr="006031D6" w:rsidRDefault="006031D6" w:rsidP="006031D6">
            <w:pPr>
              <w:pStyle w:val="Texttabulky"/>
              <w:spacing w:after="0" w:line="240" w:lineRule="atLeast"/>
              <w:rPr>
                <w:rFonts w:cs="Arial"/>
              </w:rPr>
            </w:pPr>
            <w:r w:rsidRPr="006031D6">
              <w:rPr>
                <w:rFonts w:cs="Arial"/>
              </w:rPr>
              <w:t>20</w:t>
            </w:r>
          </w:p>
        </w:tc>
        <w:tc>
          <w:tcPr>
            <w:tcW w:w="778" w:type="dxa"/>
            <w:tcBorders>
              <w:top w:val="single" w:sz="6" w:space="0" w:color="auto"/>
              <w:left w:val="single" w:sz="6" w:space="0" w:color="auto"/>
              <w:bottom w:val="single" w:sz="6" w:space="0" w:color="auto"/>
              <w:right w:val="single" w:sz="6" w:space="0" w:color="auto"/>
            </w:tcBorders>
          </w:tcPr>
          <w:p w14:paraId="67B5B4AE"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40E16AD3" w14:textId="77777777" w:rsidR="006031D6" w:rsidRPr="006031D6" w:rsidRDefault="006031D6" w:rsidP="006031D6">
            <w:pPr>
              <w:pStyle w:val="Texttabulky"/>
              <w:spacing w:after="0" w:line="240" w:lineRule="atLeast"/>
              <w:rPr>
                <w:rFonts w:cs="Arial"/>
              </w:rPr>
            </w:pPr>
            <w:r w:rsidRPr="006031D6">
              <w:rPr>
                <w:rFonts w:cs="Arial"/>
              </w:rPr>
              <w:t>3 980,93</w:t>
            </w:r>
          </w:p>
        </w:tc>
        <w:tc>
          <w:tcPr>
            <w:tcW w:w="969" w:type="dxa"/>
            <w:tcBorders>
              <w:top w:val="single" w:sz="6" w:space="0" w:color="auto"/>
              <w:left w:val="single" w:sz="6" w:space="0" w:color="auto"/>
              <w:bottom w:val="single" w:sz="6" w:space="0" w:color="auto"/>
              <w:right w:val="single" w:sz="6" w:space="0" w:color="auto"/>
            </w:tcBorders>
          </w:tcPr>
          <w:p w14:paraId="22CC04E9"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07E51379" w14:textId="77777777" w:rsidR="006031D6" w:rsidRPr="006031D6" w:rsidRDefault="006031D6" w:rsidP="006031D6">
            <w:pPr>
              <w:pStyle w:val="Zkladntext"/>
              <w:spacing w:after="0"/>
              <w:rPr>
                <w:rFonts w:ascii="Arial" w:hAnsi="Arial" w:cs="Arial"/>
              </w:rPr>
            </w:pPr>
          </w:p>
        </w:tc>
      </w:tr>
      <w:tr w:rsidR="006031D6" w:rsidRPr="006031D6" w14:paraId="552506BA"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08251C40" w14:textId="77777777" w:rsidR="006031D6" w:rsidRPr="006031D6" w:rsidRDefault="006031D6" w:rsidP="006031D6">
            <w:pPr>
              <w:pStyle w:val="Texttabulky"/>
              <w:spacing w:after="0" w:line="240" w:lineRule="atLeast"/>
              <w:rPr>
                <w:rFonts w:cs="Arial"/>
              </w:rPr>
            </w:pPr>
            <w:r w:rsidRPr="006031D6">
              <w:rPr>
                <w:rFonts w:cs="Arial"/>
              </w:rPr>
              <w:t>Nad kravínem</w:t>
            </w:r>
          </w:p>
        </w:tc>
        <w:tc>
          <w:tcPr>
            <w:tcW w:w="1050" w:type="dxa"/>
            <w:tcBorders>
              <w:top w:val="single" w:sz="6" w:space="0" w:color="auto"/>
              <w:left w:val="single" w:sz="6" w:space="0" w:color="auto"/>
              <w:bottom w:val="single" w:sz="6" w:space="0" w:color="auto"/>
              <w:right w:val="single" w:sz="6" w:space="0" w:color="auto"/>
            </w:tcBorders>
          </w:tcPr>
          <w:p w14:paraId="12B971EF" w14:textId="77777777" w:rsidR="006031D6" w:rsidRPr="006031D6" w:rsidRDefault="006031D6" w:rsidP="006031D6">
            <w:pPr>
              <w:pStyle w:val="Texttabulky"/>
              <w:spacing w:after="0" w:line="240" w:lineRule="atLeast"/>
              <w:rPr>
                <w:rFonts w:cs="Arial"/>
              </w:rPr>
            </w:pPr>
            <w:r w:rsidRPr="006031D6">
              <w:rPr>
                <w:rFonts w:cs="Arial"/>
              </w:rPr>
              <w:t>6</w:t>
            </w:r>
          </w:p>
        </w:tc>
        <w:tc>
          <w:tcPr>
            <w:tcW w:w="886" w:type="dxa"/>
            <w:tcBorders>
              <w:top w:val="single" w:sz="6" w:space="0" w:color="auto"/>
              <w:left w:val="single" w:sz="6" w:space="0" w:color="auto"/>
              <w:bottom w:val="single" w:sz="6" w:space="0" w:color="auto"/>
              <w:right w:val="single" w:sz="6" w:space="0" w:color="auto"/>
            </w:tcBorders>
          </w:tcPr>
          <w:p w14:paraId="6F549784" w14:textId="77777777" w:rsidR="006031D6" w:rsidRPr="006031D6" w:rsidRDefault="006031D6" w:rsidP="006031D6">
            <w:pPr>
              <w:pStyle w:val="Texttabulky"/>
              <w:spacing w:after="0" w:line="240" w:lineRule="atLeast"/>
              <w:rPr>
                <w:rFonts w:cs="Arial"/>
              </w:rPr>
            </w:pPr>
            <w:r w:rsidRPr="006031D6">
              <w:rPr>
                <w:rFonts w:cs="Arial"/>
              </w:rPr>
              <w:t>14</w:t>
            </w:r>
          </w:p>
        </w:tc>
        <w:tc>
          <w:tcPr>
            <w:tcW w:w="778" w:type="dxa"/>
            <w:tcBorders>
              <w:top w:val="single" w:sz="6" w:space="0" w:color="auto"/>
              <w:left w:val="single" w:sz="6" w:space="0" w:color="auto"/>
              <w:bottom w:val="single" w:sz="6" w:space="0" w:color="auto"/>
              <w:right w:val="single" w:sz="6" w:space="0" w:color="auto"/>
            </w:tcBorders>
          </w:tcPr>
          <w:p w14:paraId="1B459DEA" w14:textId="77777777" w:rsidR="006031D6" w:rsidRPr="006031D6" w:rsidRDefault="006031D6" w:rsidP="006031D6">
            <w:pPr>
              <w:pStyle w:val="Zkladntext"/>
              <w:spacing w:after="0"/>
              <w:rPr>
                <w:rFonts w:ascii="Arial" w:hAnsi="Arial" w:cs="Arial"/>
              </w:rPr>
            </w:pPr>
          </w:p>
        </w:tc>
        <w:tc>
          <w:tcPr>
            <w:tcW w:w="993" w:type="dxa"/>
            <w:tcBorders>
              <w:top w:val="single" w:sz="6" w:space="0" w:color="auto"/>
              <w:left w:val="single" w:sz="6" w:space="0" w:color="auto"/>
              <w:bottom w:val="single" w:sz="6" w:space="0" w:color="auto"/>
              <w:right w:val="single" w:sz="6" w:space="0" w:color="auto"/>
            </w:tcBorders>
          </w:tcPr>
          <w:p w14:paraId="58C7D054" w14:textId="77777777" w:rsidR="006031D6" w:rsidRPr="006031D6" w:rsidRDefault="006031D6" w:rsidP="006031D6">
            <w:pPr>
              <w:pStyle w:val="Texttabulky"/>
              <w:spacing w:after="0" w:line="240" w:lineRule="atLeast"/>
              <w:rPr>
                <w:rFonts w:cs="Arial"/>
              </w:rPr>
            </w:pPr>
            <w:r w:rsidRPr="006031D6">
              <w:rPr>
                <w:rFonts w:cs="Arial"/>
              </w:rPr>
              <w:t>395,68</w:t>
            </w:r>
          </w:p>
        </w:tc>
        <w:tc>
          <w:tcPr>
            <w:tcW w:w="969" w:type="dxa"/>
            <w:tcBorders>
              <w:top w:val="single" w:sz="6" w:space="0" w:color="auto"/>
              <w:left w:val="single" w:sz="6" w:space="0" w:color="auto"/>
              <w:bottom w:val="single" w:sz="6" w:space="0" w:color="auto"/>
              <w:right w:val="single" w:sz="6" w:space="0" w:color="auto"/>
            </w:tcBorders>
          </w:tcPr>
          <w:p w14:paraId="04901ACF"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27612715" w14:textId="77777777" w:rsidR="006031D6" w:rsidRPr="006031D6" w:rsidRDefault="006031D6" w:rsidP="006031D6">
            <w:pPr>
              <w:pStyle w:val="Zkladntext"/>
              <w:spacing w:after="0"/>
              <w:rPr>
                <w:rFonts w:ascii="Arial" w:hAnsi="Arial" w:cs="Arial"/>
              </w:rPr>
            </w:pPr>
          </w:p>
        </w:tc>
      </w:tr>
      <w:tr w:rsidR="006031D6" w:rsidRPr="006031D6" w14:paraId="3CDF8C54"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087FECF5" w14:textId="77777777" w:rsidR="006031D6" w:rsidRPr="006031D6" w:rsidRDefault="006031D6" w:rsidP="006031D6">
            <w:pPr>
              <w:pStyle w:val="Texttabulky"/>
              <w:spacing w:after="0" w:line="240" w:lineRule="atLeast"/>
              <w:rPr>
                <w:rFonts w:cs="Arial"/>
              </w:rPr>
            </w:pPr>
            <w:r w:rsidRPr="006031D6">
              <w:rPr>
                <w:rFonts w:cs="Arial"/>
              </w:rPr>
              <w:t>Nad motorestem</w:t>
            </w:r>
          </w:p>
        </w:tc>
        <w:tc>
          <w:tcPr>
            <w:tcW w:w="1050" w:type="dxa"/>
            <w:tcBorders>
              <w:top w:val="single" w:sz="6" w:space="0" w:color="auto"/>
              <w:left w:val="single" w:sz="6" w:space="0" w:color="auto"/>
              <w:bottom w:val="single" w:sz="6" w:space="0" w:color="auto"/>
              <w:right w:val="single" w:sz="6" w:space="0" w:color="auto"/>
            </w:tcBorders>
          </w:tcPr>
          <w:p w14:paraId="2EB22F3F" w14:textId="77777777" w:rsidR="006031D6" w:rsidRPr="006031D6" w:rsidRDefault="006031D6" w:rsidP="006031D6">
            <w:pPr>
              <w:pStyle w:val="Texttabulky"/>
              <w:spacing w:after="0" w:line="240" w:lineRule="atLeast"/>
              <w:rPr>
                <w:rFonts w:cs="Arial"/>
              </w:rPr>
            </w:pPr>
            <w:r w:rsidRPr="006031D6">
              <w:rPr>
                <w:rFonts w:cs="Arial"/>
              </w:rPr>
              <w:t>5</w:t>
            </w:r>
          </w:p>
        </w:tc>
        <w:tc>
          <w:tcPr>
            <w:tcW w:w="886" w:type="dxa"/>
            <w:tcBorders>
              <w:top w:val="single" w:sz="6" w:space="0" w:color="auto"/>
              <w:left w:val="single" w:sz="6" w:space="0" w:color="auto"/>
              <w:bottom w:val="single" w:sz="6" w:space="0" w:color="auto"/>
              <w:right w:val="single" w:sz="6" w:space="0" w:color="auto"/>
            </w:tcBorders>
          </w:tcPr>
          <w:p w14:paraId="04CB5F3A" w14:textId="77777777" w:rsidR="006031D6" w:rsidRPr="006031D6" w:rsidRDefault="006031D6" w:rsidP="006031D6">
            <w:pPr>
              <w:pStyle w:val="Texttabulky"/>
              <w:spacing w:after="0" w:line="240" w:lineRule="atLeast"/>
              <w:rPr>
                <w:rFonts w:cs="Arial"/>
              </w:rPr>
            </w:pPr>
            <w:r w:rsidRPr="006031D6">
              <w:rPr>
                <w:rFonts w:cs="Arial"/>
              </w:rPr>
              <w:t>10</w:t>
            </w:r>
          </w:p>
        </w:tc>
        <w:tc>
          <w:tcPr>
            <w:tcW w:w="778" w:type="dxa"/>
            <w:tcBorders>
              <w:top w:val="single" w:sz="6" w:space="0" w:color="auto"/>
              <w:left w:val="single" w:sz="6" w:space="0" w:color="auto"/>
              <w:bottom w:val="single" w:sz="6" w:space="0" w:color="auto"/>
              <w:right w:val="single" w:sz="6" w:space="0" w:color="auto"/>
            </w:tcBorders>
          </w:tcPr>
          <w:p w14:paraId="0910F7A9"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6AF9BBB9" w14:textId="77777777" w:rsidR="006031D6" w:rsidRPr="006031D6" w:rsidRDefault="006031D6" w:rsidP="006031D6">
            <w:pPr>
              <w:pStyle w:val="Texttabulky"/>
              <w:spacing w:after="0" w:line="240" w:lineRule="atLeast"/>
              <w:rPr>
                <w:rFonts w:cs="Arial"/>
              </w:rPr>
            </w:pPr>
            <w:r w:rsidRPr="006031D6">
              <w:rPr>
                <w:rFonts w:cs="Arial"/>
              </w:rPr>
              <w:t>354,46</w:t>
            </w:r>
          </w:p>
        </w:tc>
        <w:tc>
          <w:tcPr>
            <w:tcW w:w="969" w:type="dxa"/>
            <w:tcBorders>
              <w:top w:val="single" w:sz="6" w:space="0" w:color="auto"/>
              <w:left w:val="single" w:sz="6" w:space="0" w:color="auto"/>
              <w:bottom w:val="single" w:sz="6" w:space="0" w:color="auto"/>
              <w:right w:val="single" w:sz="6" w:space="0" w:color="auto"/>
            </w:tcBorders>
          </w:tcPr>
          <w:p w14:paraId="09A3A44B" w14:textId="77777777" w:rsidR="006031D6" w:rsidRPr="006031D6" w:rsidRDefault="006031D6" w:rsidP="006031D6">
            <w:pPr>
              <w:pStyle w:val="Texttabulky"/>
              <w:spacing w:after="0" w:line="240" w:lineRule="atLeast"/>
              <w:rPr>
                <w:rFonts w:cs="Arial"/>
              </w:rPr>
            </w:pPr>
            <w:r w:rsidRPr="006031D6">
              <w:rPr>
                <w:rFonts w:cs="Arial"/>
              </w:rPr>
              <w:t>352,46</w:t>
            </w:r>
          </w:p>
        </w:tc>
        <w:tc>
          <w:tcPr>
            <w:tcW w:w="845" w:type="dxa"/>
            <w:tcBorders>
              <w:top w:val="single" w:sz="6" w:space="0" w:color="auto"/>
              <w:left w:val="single" w:sz="6" w:space="0" w:color="auto"/>
              <w:bottom w:val="single" w:sz="6" w:space="0" w:color="auto"/>
              <w:right w:val="single" w:sz="6" w:space="0" w:color="auto"/>
            </w:tcBorders>
          </w:tcPr>
          <w:p w14:paraId="65E27CED" w14:textId="77777777" w:rsidR="006031D6" w:rsidRPr="006031D6" w:rsidRDefault="006031D6" w:rsidP="006031D6">
            <w:pPr>
              <w:pStyle w:val="Zkladntext"/>
              <w:spacing w:after="0"/>
              <w:rPr>
                <w:rFonts w:ascii="Arial" w:hAnsi="Arial" w:cs="Arial"/>
              </w:rPr>
            </w:pPr>
          </w:p>
        </w:tc>
      </w:tr>
      <w:tr w:rsidR="006031D6" w:rsidRPr="006031D6" w14:paraId="4AEEE991"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6717527F" w14:textId="77777777" w:rsidR="006031D6" w:rsidRPr="006031D6" w:rsidRDefault="006031D6" w:rsidP="006031D6">
            <w:pPr>
              <w:pStyle w:val="Texttabulky"/>
              <w:spacing w:after="0" w:line="240" w:lineRule="atLeast"/>
              <w:rPr>
                <w:rFonts w:cs="Arial"/>
              </w:rPr>
            </w:pPr>
            <w:r w:rsidRPr="006031D6">
              <w:rPr>
                <w:rFonts w:cs="Arial"/>
              </w:rPr>
              <w:t>Nad němcem</w:t>
            </w:r>
          </w:p>
        </w:tc>
        <w:tc>
          <w:tcPr>
            <w:tcW w:w="1050" w:type="dxa"/>
            <w:tcBorders>
              <w:top w:val="single" w:sz="6" w:space="0" w:color="auto"/>
              <w:left w:val="single" w:sz="6" w:space="0" w:color="auto"/>
              <w:bottom w:val="single" w:sz="6" w:space="0" w:color="auto"/>
              <w:right w:val="single" w:sz="6" w:space="0" w:color="auto"/>
            </w:tcBorders>
          </w:tcPr>
          <w:p w14:paraId="04C4C621"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0BF19A5C" w14:textId="77777777" w:rsidR="006031D6" w:rsidRPr="006031D6" w:rsidRDefault="006031D6" w:rsidP="006031D6">
            <w:pPr>
              <w:pStyle w:val="Texttabulky"/>
              <w:spacing w:after="0" w:line="240" w:lineRule="atLeast"/>
              <w:rPr>
                <w:rFonts w:cs="Arial"/>
              </w:rPr>
            </w:pPr>
            <w:r w:rsidRPr="006031D6">
              <w:rPr>
                <w:rFonts w:cs="Arial"/>
              </w:rPr>
              <w:t>70</w:t>
            </w:r>
          </w:p>
        </w:tc>
        <w:tc>
          <w:tcPr>
            <w:tcW w:w="778" w:type="dxa"/>
            <w:tcBorders>
              <w:top w:val="single" w:sz="6" w:space="0" w:color="auto"/>
              <w:left w:val="single" w:sz="6" w:space="0" w:color="auto"/>
              <w:bottom w:val="single" w:sz="6" w:space="0" w:color="auto"/>
              <w:right w:val="single" w:sz="6" w:space="0" w:color="auto"/>
            </w:tcBorders>
          </w:tcPr>
          <w:p w14:paraId="4EBB8201" w14:textId="77777777" w:rsidR="006031D6" w:rsidRPr="006031D6" w:rsidRDefault="006031D6" w:rsidP="006031D6">
            <w:pPr>
              <w:pStyle w:val="Zkladntext"/>
              <w:spacing w:after="0"/>
              <w:rPr>
                <w:rFonts w:ascii="Arial" w:hAnsi="Arial" w:cs="Arial"/>
              </w:rPr>
            </w:pPr>
          </w:p>
        </w:tc>
        <w:tc>
          <w:tcPr>
            <w:tcW w:w="993" w:type="dxa"/>
            <w:tcBorders>
              <w:top w:val="single" w:sz="6" w:space="0" w:color="auto"/>
              <w:left w:val="single" w:sz="6" w:space="0" w:color="auto"/>
              <w:bottom w:val="single" w:sz="6" w:space="0" w:color="auto"/>
              <w:right w:val="single" w:sz="6" w:space="0" w:color="auto"/>
            </w:tcBorders>
          </w:tcPr>
          <w:p w14:paraId="0A773E41" w14:textId="77777777" w:rsidR="006031D6" w:rsidRPr="006031D6" w:rsidRDefault="006031D6" w:rsidP="006031D6">
            <w:pPr>
              <w:pStyle w:val="Texttabulky"/>
              <w:spacing w:after="0" w:line="240" w:lineRule="atLeast"/>
              <w:rPr>
                <w:rFonts w:cs="Arial"/>
              </w:rPr>
            </w:pPr>
            <w:r w:rsidRPr="006031D6">
              <w:rPr>
                <w:rFonts w:cs="Arial"/>
              </w:rPr>
              <w:t>232,39</w:t>
            </w:r>
          </w:p>
        </w:tc>
        <w:tc>
          <w:tcPr>
            <w:tcW w:w="969" w:type="dxa"/>
            <w:tcBorders>
              <w:top w:val="single" w:sz="6" w:space="0" w:color="auto"/>
              <w:left w:val="single" w:sz="6" w:space="0" w:color="auto"/>
              <w:bottom w:val="single" w:sz="6" w:space="0" w:color="auto"/>
              <w:right w:val="single" w:sz="6" w:space="0" w:color="auto"/>
            </w:tcBorders>
          </w:tcPr>
          <w:p w14:paraId="1B9BE795" w14:textId="77777777" w:rsidR="006031D6" w:rsidRPr="006031D6" w:rsidRDefault="006031D6" w:rsidP="006031D6">
            <w:pPr>
              <w:pStyle w:val="Texttabulky"/>
              <w:spacing w:after="0" w:line="240" w:lineRule="atLeast"/>
              <w:rPr>
                <w:rFonts w:cs="Arial"/>
              </w:rPr>
            </w:pPr>
            <w:r w:rsidRPr="006031D6">
              <w:rPr>
                <w:rFonts w:cs="Arial"/>
              </w:rPr>
              <w:t>229,09</w:t>
            </w:r>
          </w:p>
        </w:tc>
        <w:tc>
          <w:tcPr>
            <w:tcW w:w="845" w:type="dxa"/>
            <w:tcBorders>
              <w:top w:val="single" w:sz="6" w:space="0" w:color="auto"/>
              <w:left w:val="single" w:sz="6" w:space="0" w:color="auto"/>
              <w:bottom w:val="single" w:sz="6" w:space="0" w:color="auto"/>
              <w:right w:val="single" w:sz="6" w:space="0" w:color="auto"/>
            </w:tcBorders>
          </w:tcPr>
          <w:p w14:paraId="470FF9CC" w14:textId="77777777" w:rsidR="006031D6" w:rsidRPr="006031D6" w:rsidRDefault="006031D6" w:rsidP="006031D6">
            <w:pPr>
              <w:pStyle w:val="Zkladntext"/>
              <w:spacing w:after="0"/>
              <w:rPr>
                <w:rFonts w:ascii="Arial" w:hAnsi="Arial" w:cs="Arial"/>
              </w:rPr>
            </w:pPr>
          </w:p>
        </w:tc>
      </w:tr>
      <w:tr w:rsidR="006031D6" w:rsidRPr="006031D6" w14:paraId="2F498000"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4A832D14" w14:textId="77777777" w:rsidR="006031D6" w:rsidRPr="006031D6" w:rsidRDefault="006031D6" w:rsidP="006031D6">
            <w:pPr>
              <w:pStyle w:val="Texttabulky"/>
              <w:spacing w:after="0" w:line="240" w:lineRule="atLeast"/>
              <w:rPr>
                <w:rFonts w:cs="Arial"/>
              </w:rPr>
            </w:pPr>
            <w:r w:rsidRPr="006031D6">
              <w:rPr>
                <w:rFonts w:cs="Arial"/>
              </w:rPr>
              <w:t>Nad zastávkou</w:t>
            </w:r>
          </w:p>
        </w:tc>
        <w:tc>
          <w:tcPr>
            <w:tcW w:w="1050" w:type="dxa"/>
            <w:tcBorders>
              <w:top w:val="single" w:sz="6" w:space="0" w:color="auto"/>
              <w:left w:val="single" w:sz="6" w:space="0" w:color="auto"/>
              <w:bottom w:val="single" w:sz="6" w:space="0" w:color="auto"/>
              <w:right w:val="single" w:sz="6" w:space="0" w:color="auto"/>
            </w:tcBorders>
          </w:tcPr>
          <w:p w14:paraId="25652418"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34267FAA" w14:textId="77777777" w:rsidR="006031D6" w:rsidRPr="006031D6" w:rsidRDefault="006031D6" w:rsidP="006031D6">
            <w:pPr>
              <w:pStyle w:val="Texttabulky"/>
              <w:spacing w:after="0" w:line="240" w:lineRule="atLeast"/>
              <w:rPr>
                <w:rFonts w:cs="Arial"/>
              </w:rPr>
            </w:pPr>
            <w:r w:rsidRPr="006031D6">
              <w:rPr>
                <w:rFonts w:cs="Arial"/>
              </w:rPr>
              <w:t>80</w:t>
            </w:r>
          </w:p>
        </w:tc>
        <w:tc>
          <w:tcPr>
            <w:tcW w:w="778" w:type="dxa"/>
            <w:tcBorders>
              <w:top w:val="single" w:sz="6" w:space="0" w:color="auto"/>
              <w:left w:val="single" w:sz="6" w:space="0" w:color="auto"/>
              <w:bottom w:val="single" w:sz="6" w:space="0" w:color="auto"/>
              <w:right w:val="single" w:sz="6" w:space="0" w:color="auto"/>
            </w:tcBorders>
          </w:tcPr>
          <w:p w14:paraId="43FC7985" w14:textId="77777777" w:rsidR="006031D6" w:rsidRPr="006031D6" w:rsidRDefault="006031D6" w:rsidP="006031D6">
            <w:pPr>
              <w:pStyle w:val="Zkladntext"/>
              <w:spacing w:after="0"/>
              <w:rPr>
                <w:rFonts w:ascii="Arial" w:hAnsi="Arial" w:cs="Arial"/>
              </w:rPr>
            </w:pPr>
          </w:p>
        </w:tc>
        <w:tc>
          <w:tcPr>
            <w:tcW w:w="993" w:type="dxa"/>
            <w:tcBorders>
              <w:top w:val="single" w:sz="6" w:space="0" w:color="auto"/>
              <w:left w:val="single" w:sz="6" w:space="0" w:color="auto"/>
              <w:bottom w:val="single" w:sz="6" w:space="0" w:color="auto"/>
              <w:right w:val="single" w:sz="6" w:space="0" w:color="auto"/>
            </w:tcBorders>
          </w:tcPr>
          <w:p w14:paraId="47CEB836" w14:textId="77777777" w:rsidR="006031D6" w:rsidRPr="006031D6" w:rsidRDefault="006031D6" w:rsidP="006031D6">
            <w:pPr>
              <w:pStyle w:val="Texttabulky"/>
              <w:spacing w:after="0" w:line="240" w:lineRule="atLeast"/>
              <w:rPr>
                <w:rFonts w:cs="Arial"/>
              </w:rPr>
            </w:pPr>
            <w:r w:rsidRPr="006031D6">
              <w:rPr>
                <w:rFonts w:cs="Arial"/>
              </w:rPr>
              <w:t>155,85</w:t>
            </w:r>
          </w:p>
        </w:tc>
        <w:tc>
          <w:tcPr>
            <w:tcW w:w="969" w:type="dxa"/>
            <w:tcBorders>
              <w:top w:val="single" w:sz="6" w:space="0" w:color="auto"/>
              <w:left w:val="single" w:sz="6" w:space="0" w:color="auto"/>
              <w:bottom w:val="single" w:sz="6" w:space="0" w:color="auto"/>
              <w:right w:val="single" w:sz="6" w:space="0" w:color="auto"/>
            </w:tcBorders>
          </w:tcPr>
          <w:p w14:paraId="607DC1BD" w14:textId="77777777" w:rsidR="006031D6" w:rsidRPr="006031D6" w:rsidRDefault="006031D6" w:rsidP="006031D6">
            <w:pPr>
              <w:pStyle w:val="Texttabulky"/>
              <w:spacing w:after="0" w:line="240" w:lineRule="atLeast"/>
              <w:rPr>
                <w:rFonts w:cs="Arial"/>
              </w:rPr>
            </w:pPr>
            <w:r w:rsidRPr="006031D6">
              <w:rPr>
                <w:rFonts w:cs="Arial"/>
              </w:rPr>
              <w:t>152,85</w:t>
            </w:r>
          </w:p>
        </w:tc>
        <w:tc>
          <w:tcPr>
            <w:tcW w:w="845" w:type="dxa"/>
            <w:tcBorders>
              <w:top w:val="single" w:sz="6" w:space="0" w:color="auto"/>
              <w:left w:val="single" w:sz="6" w:space="0" w:color="auto"/>
              <w:bottom w:val="single" w:sz="6" w:space="0" w:color="auto"/>
              <w:right w:val="single" w:sz="6" w:space="0" w:color="auto"/>
            </w:tcBorders>
          </w:tcPr>
          <w:p w14:paraId="537E4C7F" w14:textId="77777777" w:rsidR="006031D6" w:rsidRPr="006031D6" w:rsidRDefault="006031D6" w:rsidP="006031D6">
            <w:pPr>
              <w:pStyle w:val="Zkladntext"/>
              <w:spacing w:after="0"/>
              <w:rPr>
                <w:rFonts w:ascii="Arial" w:hAnsi="Arial" w:cs="Arial"/>
              </w:rPr>
            </w:pPr>
          </w:p>
        </w:tc>
      </w:tr>
      <w:tr w:rsidR="006031D6" w:rsidRPr="006031D6" w14:paraId="51442B31"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31C04E00" w14:textId="77777777" w:rsidR="006031D6" w:rsidRPr="006031D6" w:rsidRDefault="006031D6" w:rsidP="006031D6">
            <w:pPr>
              <w:pStyle w:val="Texttabulky"/>
              <w:spacing w:after="0" w:line="240" w:lineRule="atLeast"/>
              <w:rPr>
                <w:rFonts w:cs="Arial"/>
              </w:rPr>
            </w:pPr>
            <w:r w:rsidRPr="006031D6">
              <w:rPr>
                <w:rFonts w:cs="Arial"/>
              </w:rPr>
              <w:t>Nad zast.(Březiny)</w:t>
            </w:r>
          </w:p>
        </w:tc>
        <w:tc>
          <w:tcPr>
            <w:tcW w:w="1050" w:type="dxa"/>
            <w:tcBorders>
              <w:top w:val="single" w:sz="6" w:space="0" w:color="auto"/>
              <w:left w:val="single" w:sz="6" w:space="0" w:color="auto"/>
              <w:bottom w:val="single" w:sz="6" w:space="0" w:color="auto"/>
              <w:right w:val="single" w:sz="6" w:space="0" w:color="auto"/>
            </w:tcBorders>
          </w:tcPr>
          <w:p w14:paraId="397D3336"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132276F6" w14:textId="77777777" w:rsidR="006031D6" w:rsidRPr="006031D6" w:rsidRDefault="006031D6" w:rsidP="006031D6">
            <w:pPr>
              <w:pStyle w:val="Texttabulky"/>
              <w:spacing w:after="0" w:line="240" w:lineRule="atLeast"/>
              <w:rPr>
                <w:rFonts w:cs="Arial"/>
              </w:rPr>
            </w:pPr>
            <w:r w:rsidRPr="006031D6">
              <w:rPr>
                <w:rFonts w:cs="Arial"/>
              </w:rPr>
              <w:t>100</w:t>
            </w:r>
          </w:p>
        </w:tc>
        <w:tc>
          <w:tcPr>
            <w:tcW w:w="778" w:type="dxa"/>
            <w:tcBorders>
              <w:top w:val="single" w:sz="6" w:space="0" w:color="auto"/>
              <w:left w:val="single" w:sz="6" w:space="0" w:color="auto"/>
              <w:bottom w:val="single" w:sz="6" w:space="0" w:color="auto"/>
              <w:right w:val="single" w:sz="6" w:space="0" w:color="auto"/>
            </w:tcBorders>
          </w:tcPr>
          <w:p w14:paraId="2C3A74C4"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599E3BEC" w14:textId="77777777" w:rsidR="006031D6" w:rsidRPr="006031D6" w:rsidRDefault="006031D6" w:rsidP="006031D6">
            <w:pPr>
              <w:pStyle w:val="Texttabulky"/>
              <w:spacing w:after="0" w:line="240" w:lineRule="atLeast"/>
              <w:rPr>
                <w:rFonts w:cs="Arial"/>
              </w:rPr>
            </w:pPr>
            <w:r w:rsidRPr="006031D6">
              <w:rPr>
                <w:rFonts w:cs="Arial"/>
              </w:rPr>
              <w:t>193,45</w:t>
            </w:r>
          </w:p>
        </w:tc>
        <w:tc>
          <w:tcPr>
            <w:tcW w:w="969" w:type="dxa"/>
            <w:tcBorders>
              <w:top w:val="single" w:sz="6" w:space="0" w:color="auto"/>
              <w:left w:val="single" w:sz="6" w:space="0" w:color="auto"/>
              <w:bottom w:val="single" w:sz="6" w:space="0" w:color="auto"/>
              <w:right w:val="single" w:sz="6" w:space="0" w:color="auto"/>
            </w:tcBorders>
          </w:tcPr>
          <w:p w14:paraId="266DB9D5" w14:textId="77777777" w:rsidR="006031D6" w:rsidRPr="006031D6" w:rsidRDefault="006031D6" w:rsidP="006031D6">
            <w:pPr>
              <w:pStyle w:val="Texttabulky"/>
              <w:spacing w:after="0" w:line="240" w:lineRule="atLeast"/>
              <w:rPr>
                <w:rFonts w:cs="Arial"/>
              </w:rPr>
            </w:pPr>
            <w:r w:rsidRPr="006031D6">
              <w:rPr>
                <w:rFonts w:cs="Arial"/>
              </w:rPr>
              <w:t>191,4</w:t>
            </w:r>
          </w:p>
        </w:tc>
        <w:tc>
          <w:tcPr>
            <w:tcW w:w="845" w:type="dxa"/>
            <w:tcBorders>
              <w:top w:val="single" w:sz="6" w:space="0" w:color="auto"/>
              <w:left w:val="single" w:sz="6" w:space="0" w:color="auto"/>
              <w:bottom w:val="single" w:sz="6" w:space="0" w:color="auto"/>
              <w:right w:val="single" w:sz="6" w:space="0" w:color="auto"/>
            </w:tcBorders>
          </w:tcPr>
          <w:p w14:paraId="5A7EE5D6" w14:textId="77777777" w:rsidR="006031D6" w:rsidRPr="006031D6" w:rsidRDefault="006031D6" w:rsidP="006031D6">
            <w:pPr>
              <w:pStyle w:val="Zkladntext"/>
              <w:spacing w:after="0"/>
              <w:rPr>
                <w:rFonts w:ascii="Arial" w:hAnsi="Arial" w:cs="Arial"/>
              </w:rPr>
            </w:pPr>
          </w:p>
        </w:tc>
      </w:tr>
      <w:tr w:rsidR="006031D6" w:rsidRPr="006031D6" w14:paraId="0B8E80B6"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3F39D895" w14:textId="77777777" w:rsidR="006031D6" w:rsidRPr="006031D6" w:rsidRDefault="006031D6" w:rsidP="006031D6">
            <w:pPr>
              <w:pStyle w:val="Texttabulky"/>
              <w:spacing w:after="0" w:line="240" w:lineRule="atLeast"/>
              <w:rPr>
                <w:rFonts w:cs="Arial"/>
              </w:rPr>
            </w:pPr>
            <w:r w:rsidRPr="006031D6">
              <w:rPr>
                <w:rFonts w:cs="Arial"/>
              </w:rPr>
              <w:t>Nová Ves</w:t>
            </w:r>
          </w:p>
        </w:tc>
        <w:tc>
          <w:tcPr>
            <w:tcW w:w="1050" w:type="dxa"/>
            <w:tcBorders>
              <w:top w:val="single" w:sz="6" w:space="0" w:color="auto"/>
              <w:left w:val="single" w:sz="6" w:space="0" w:color="auto"/>
              <w:bottom w:val="single" w:sz="6" w:space="0" w:color="auto"/>
              <w:right w:val="single" w:sz="6" w:space="0" w:color="auto"/>
            </w:tcBorders>
          </w:tcPr>
          <w:p w14:paraId="2936A78B" w14:textId="77777777" w:rsidR="006031D6" w:rsidRPr="006031D6" w:rsidRDefault="006031D6" w:rsidP="006031D6">
            <w:pPr>
              <w:pStyle w:val="Texttabulky"/>
              <w:spacing w:after="0" w:line="240" w:lineRule="atLeast"/>
              <w:rPr>
                <w:rFonts w:cs="Arial"/>
              </w:rPr>
            </w:pPr>
            <w:r w:rsidRPr="006031D6">
              <w:rPr>
                <w:rFonts w:cs="Arial"/>
              </w:rPr>
              <w:t>4</w:t>
            </w:r>
          </w:p>
        </w:tc>
        <w:tc>
          <w:tcPr>
            <w:tcW w:w="886" w:type="dxa"/>
            <w:tcBorders>
              <w:top w:val="single" w:sz="6" w:space="0" w:color="auto"/>
              <w:left w:val="single" w:sz="6" w:space="0" w:color="auto"/>
              <w:bottom w:val="single" w:sz="6" w:space="0" w:color="auto"/>
              <w:right w:val="single" w:sz="6" w:space="0" w:color="auto"/>
            </w:tcBorders>
          </w:tcPr>
          <w:p w14:paraId="30C64A0D" w14:textId="77777777" w:rsidR="006031D6" w:rsidRPr="006031D6" w:rsidRDefault="006031D6" w:rsidP="006031D6">
            <w:pPr>
              <w:pStyle w:val="Texttabulky"/>
              <w:spacing w:after="0" w:line="240" w:lineRule="atLeast"/>
              <w:rPr>
                <w:rFonts w:cs="Arial"/>
              </w:rPr>
            </w:pPr>
            <w:r w:rsidRPr="006031D6">
              <w:rPr>
                <w:rFonts w:cs="Arial"/>
              </w:rPr>
              <w:t>80</w:t>
            </w:r>
          </w:p>
        </w:tc>
        <w:tc>
          <w:tcPr>
            <w:tcW w:w="778" w:type="dxa"/>
            <w:tcBorders>
              <w:top w:val="single" w:sz="6" w:space="0" w:color="auto"/>
              <w:left w:val="single" w:sz="6" w:space="0" w:color="auto"/>
              <w:bottom w:val="single" w:sz="6" w:space="0" w:color="auto"/>
              <w:right w:val="single" w:sz="6" w:space="0" w:color="auto"/>
            </w:tcBorders>
          </w:tcPr>
          <w:p w14:paraId="4213A44C"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0692CDB5" w14:textId="77777777" w:rsidR="006031D6" w:rsidRPr="006031D6" w:rsidRDefault="006031D6" w:rsidP="006031D6">
            <w:pPr>
              <w:pStyle w:val="Texttabulky"/>
              <w:spacing w:after="0" w:line="240" w:lineRule="atLeast"/>
              <w:rPr>
                <w:rFonts w:cs="Arial"/>
              </w:rPr>
            </w:pPr>
            <w:r w:rsidRPr="006031D6">
              <w:rPr>
                <w:rFonts w:cs="Arial"/>
              </w:rPr>
              <w:t>297,4</w:t>
            </w:r>
          </w:p>
        </w:tc>
        <w:tc>
          <w:tcPr>
            <w:tcW w:w="969" w:type="dxa"/>
            <w:tcBorders>
              <w:top w:val="single" w:sz="6" w:space="0" w:color="auto"/>
              <w:left w:val="single" w:sz="6" w:space="0" w:color="auto"/>
              <w:bottom w:val="single" w:sz="6" w:space="0" w:color="auto"/>
              <w:right w:val="single" w:sz="6" w:space="0" w:color="auto"/>
            </w:tcBorders>
          </w:tcPr>
          <w:p w14:paraId="48EA40EA" w14:textId="77777777" w:rsidR="006031D6" w:rsidRPr="006031D6" w:rsidRDefault="006031D6" w:rsidP="006031D6">
            <w:pPr>
              <w:pStyle w:val="Texttabulky"/>
              <w:spacing w:after="0" w:line="240" w:lineRule="atLeast"/>
              <w:rPr>
                <w:rFonts w:cs="Arial"/>
              </w:rPr>
            </w:pPr>
            <w:r w:rsidRPr="006031D6">
              <w:rPr>
                <w:rFonts w:cs="Arial"/>
              </w:rPr>
              <w:t>294,5</w:t>
            </w:r>
          </w:p>
        </w:tc>
        <w:tc>
          <w:tcPr>
            <w:tcW w:w="845" w:type="dxa"/>
            <w:tcBorders>
              <w:top w:val="single" w:sz="6" w:space="0" w:color="auto"/>
              <w:left w:val="single" w:sz="6" w:space="0" w:color="auto"/>
              <w:bottom w:val="single" w:sz="6" w:space="0" w:color="auto"/>
              <w:right w:val="single" w:sz="6" w:space="0" w:color="auto"/>
            </w:tcBorders>
          </w:tcPr>
          <w:p w14:paraId="5DC938A2" w14:textId="77777777" w:rsidR="006031D6" w:rsidRPr="006031D6" w:rsidRDefault="006031D6" w:rsidP="006031D6">
            <w:pPr>
              <w:pStyle w:val="Zkladntext"/>
              <w:spacing w:after="0"/>
              <w:rPr>
                <w:rFonts w:ascii="Arial" w:hAnsi="Arial" w:cs="Arial"/>
              </w:rPr>
            </w:pPr>
          </w:p>
        </w:tc>
      </w:tr>
      <w:tr w:rsidR="006031D6" w:rsidRPr="006031D6" w14:paraId="7BD7101B"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74EC8222" w14:textId="77777777" w:rsidR="006031D6" w:rsidRPr="006031D6" w:rsidRDefault="006031D6" w:rsidP="006031D6">
            <w:pPr>
              <w:pStyle w:val="Texttabulky"/>
              <w:spacing w:after="0" w:line="240" w:lineRule="atLeast"/>
              <w:rPr>
                <w:rFonts w:cs="Arial"/>
              </w:rPr>
            </w:pPr>
            <w:r w:rsidRPr="006031D6">
              <w:rPr>
                <w:rFonts w:cs="Arial"/>
              </w:rPr>
              <w:t>Nový ( Březiny )</w:t>
            </w:r>
          </w:p>
        </w:tc>
        <w:tc>
          <w:tcPr>
            <w:tcW w:w="1050" w:type="dxa"/>
            <w:tcBorders>
              <w:top w:val="single" w:sz="6" w:space="0" w:color="auto"/>
              <w:left w:val="single" w:sz="6" w:space="0" w:color="auto"/>
              <w:bottom w:val="single" w:sz="6" w:space="0" w:color="auto"/>
              <w:right w:val="single" w:sz="6" w:space="0" w:color="auto"/>
            </w:tcBorders>
          </w:tcPr>
          <w:p w14:paraId="30493F26"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050864C2" w14:textId="77777777" w:rsidR="006031D6" w:rsidRPr="006031D6" w:rsidRDefault="006031D6" w:rsidP="006031D6">
            <w:pPr>
              <w:pStyle w:val="Texttabulky"/>
              <w:spacing w:after="0" w:line="240" w:lineRule="atLeast"/>
              <w:rPr>
                <w:rFonts w:cs="Arial"/>
              </w:rPr>
            </w:pPr>
            <w:r w:rsidRPr="006031D6">
              <w:rPr>
                <w:rFonts w:cs="Arial"/>
              </w:rPr>
              <w:t>1 300</w:t>
            </w:r>
          </w:p>
        </w:tc>
        <w:tc>
          <w:tcPr>
            <w:tcW w:w="778" w:type="dxa"/>
            <w:tcBorders>
              <w:top w:val="single" w:sz="6" w:space="0" w:color="auto"/>
              <w:left w:val="single" w:sz="6" w:space="0" w:color="auto"/>
              <w:bottom w:val="single" w:sz="6" w:space="0" w:color="auto"/>
              <w:right w:val="single" w:sz="6" w:space="0" w:color="auto"/>
            </w:tcBorders>
          </w:tcPr>
          <w:p w14:paraId="2E0E12B0"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6CEFA3DB" w14:textId="77777777" w:rsidR="006031D6" w:rsidRPr="006031D6" w:rsidRDefault="006031D6" w:rsidP="006031D6">
            <w:pPr>
              <w:pStyle w:val="Texttabulky"/>
              <w:spacing w:after="0" w:line="240" w:lineRule="atLeast"/>
              <w:rPr>
                <w:rFonts w:cs="Arial"/>
              </w:rPr>
            </w:pPr>
            <w:r w:rsidRPr="006031D6">
              <w:rPr>
                <w:rFonts w:cs="Arial"/>
              </w:rPr>
              <w:t xml:space="preserve"> 230,0</w:t>
            </w:r>
          </w:p>
        </w:tc>
        <w:tc>
          <w:tcPr>
            <w:tcW w:w="969" w:type="dxa"/>
            <w:tcBorders>
              <w:top w:val="single" w:sz="6" w:space="0" w:color="auto"/>
              <w:left w:val="single" w:sz="6" w:space="0" w:color="auto"/>
              <w:bottom w:val="single" w:sz="6" w:space="0" w:color="auto"/>
              <w:right w:val="single" w:sz="6" w:space="0" w:color="auto"/>
            </w:tcBorders>
          </w:tcPr>
          <w:p w14:paraId="406DF20F" w14:textId="77777777" w:rsidR="006031D6" w:rsidRPr="006031D6" w:rsidRDefault="006031D6" w:rsidP="006031D6">
            <w:pPr>
              <w:pStyle w:val="Texttabulky"/>
              <w:spacing w:after="0" w:line="240" w:lineRule="atLeast"/>
              <w:rPr>
                <w:rFonts w:cs="Arial"/>
              </w:rPr>
            </w:pPr>
            <w:r w:rsidRPr="006031D6">
              <w:rPr>
                <w:rFonts w:cs="Arial"/>
              </w:rPr>
              <w:t xml:space="preserve"> 225,0</w:t>
            </w:r>
          </w:p>
        </w:tc>
        <w:tc>
          <w:tcPr>
            <w:tcW w:w="845" w:type="dxa"/>
            <w:tcBorders>
              <w:top w:val="single" w:sz="6" w:space="0" w:color="auto"/>
              <w:left w:val="single" w:sz="6" w:space="0" w:color="auto"/>
              <w:bottom w:val="single" w:sz="6" w:space="0" w:color="auto"/>
              <w:right w:val="single" w:sz="6" w:space="0" w:color="auto"/>
            </w:tcBorders>
          </w:tcPr>
          <w:p w14:paraId="54EBF9B2" w14:textId="77777777" w:rsidR="006031D6" w:rsidRPr="006031D6" w:rsidRDefault="006031D6" w:rsidP="006031D6">
            <w:pPr>
              <w:pStyle w:val="Zkladntext"/>
              <w:spacing w:after="0"/>
              <w:rPr>
                <w:rFonts w:ascii="Arial" w:hAnsi="Arial" w:cs="Arial"/>
              </w:rPr>
            </w:pPr>
          </w:p>
        </w:tc>
      </w:tr>
      <w:tr w:rsidR="006031D6" w:rsidRPr="006031D6" w14:paraId="6A2C631C"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0491D1F9" w14:textId="77777777" w:rsidR="006031D6" w:rsidRPr="006031D6" w:rsidRDefault="006031D6" w:rsidP="006031D6">
            <w:pPr>
              <w:pStyle w:val="Texttabulky"/>
              <w:spacing w:after="0" w:line="240" w:lineRule="atLeast"/>
              <w:rPr>
                <w:rFonts w:cs="Arial"/>
              </w:rPr>
            </w:pPr>
            <w:r w:rsidRPr="006031D6">
              <w:rPr>
                <w:rFonts w:cs="Arial"/>
              </w:rPr>
              <w:t>Pastýřská stěna</w:t>
            </w:r>
          </w:p>
        </w:tc>
        <w:tc>
          <w:tcPr>
            <w:tcW w:w="1050" w:type="dxa"/>
            <w:tcBorders>
              <w:top w:val="single" w:sz="6" w:space="0" w:color="auto"/>
              <w:left w:val="single" w:sz="6" w:space="0" w:color="auto"/>
              <w:bottom w:val="single" w:sz="6" w:space="0" w:color="auto"/>
              <w:right w:val="single" w:sz="6" w:space="0" w:color="auto"/>
            </w:tcBorders>
          </w:tcPr>
          <w:p w14:paraId="6931022A" w14:textId="77777777" w:rsidR="006031D6" w:rsidRPr="006031D6" w:rsidRDefault="006031D6" w:rsidP="006031D6">
            <w:pPr>
              <w:pStyle w:val="Texttabulky"/>
              <w:spacing w:after="0" w:line="240" w:lineRule="atLeast"/>
              <w:rPr>
                <w:rFonts w:cs="Arial"/>
              </w:rPr>
            </w:pPr>
            <w:r w:rsidRPr="006031D6">
              <w:rPr>
                <w:rFonts w:cs="Arial"/>
              </w:rPr>
              <w:t>3</w:t>
            </w:r>
          </w:p>
        </w:tc>
        <w:tc>
          <w:tcPr>
            <w:tcW w:w="886" w:type="dxa"/>
            <w:tcBorders>
              <w:top w:val="single" w:sz="6" w:space="0" w:color="auto"/>
              <w:left w:val="single" w:sz="6" w:space="0" w:color="auto"/>
              <w:bottom w:val="single" w:sz="6" w:space="0" w:color="auto"/>
              <w:right w:val="single" w:sz="6" w:space="0" w:color="auto"/>
            </w:tcBorders>
          </w:tcPr>
          <w:p w14:paraId="182CF4C1" w14:textId="77777777" w:rsidR="006031D6" w:rsidRPr="006031D6" w:rsidRDefault="006031D6" w:rsidP="006031D6">
            <w:pPr>
              <w:pStyle w:val="Texttabulky"/>
              <w:spacing w:after="0" w:line="240" w:lineRule="atLeast"/>
              <w:rPr>
                <w:rFonts w:cs="Arial"/>
              </w:rPr>
            </w:pPr>
            <w:r w:rsidRPr="006031D6">
              <w:rPr>
                <w:rFonts w:cs="Arial"/>
              </w:rPr>
              <w:t>400</w:t>
            </w:r>
          </w:p>
        </w:tc>
        <w:tc>
          <w:tcPr>
            <w:tcW w:w="778" w:type="dxa"/>
            <w:tcBorders>
              <w:top w:val="single" w:sz="6" w:space="0" w:color="auto"/>
              <w:left w:val="single" w:sz="6" w:space="0" w:color="auto"/>
              <w:bottom w:val="single" w:sz="6" w:space="0" w:color="auto"/>
              <w:right w:val="single" w:sz="6" w:space="0" w:color="auto"/>
            </w:tcBorders>
          </w:tcPr>
          <w:p w14:paraId="0FB64E62"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5FE9B6E7" w14:textId="77777777" w:rsidR="006031D6" w:rsidRPr="006031D6" w:rsidRDefault="006031D6" w:rsidP="006031D6">
            <w:pPr>
              <w:pStyle w:val="Texttabulky"/>
              <w:spacing w:after="0" w:line="240" w:lineRule="atLeast"/>
              <w:rPr>
                <w:rFonts w:cs="Arial"/>
              </w:rPr>
            </w:pPr>
            <w:r w:rsidRPr="006031D6">
              <w:rPr>
                <w:rFonts w:cs="Arial"/>
              </w:rPr>
              <w:t>266,85</w:t>
            </w:r>
          </w:p>
        </w:tc>
        <w:tc>
          <w:tcPr>
            <w:tcW w:w="969" w:type="dxa"/>
            <w:tcBorders>
              <w:top w:val="single" w:sz="6" w:space="0" w:color="auto"/>
              <w:left w:val="single" w:sz="6" w:space="0" w:color="auto"/>
              <w:bottom w:val="single" w:sz="6" w:space="0" w:color="auto"/>
              <w:right w:val="single" w:sz="6" w:space="0" w:color="auto"/>
            </w:tcBorders>
          </w:tcPr>
          <w:p w14:paraId="241AA9B1" w14:textId="77777777" w:rsidR="006031D6" w:rsidRPr="006031D6" w:rsidRDefault="006031D6" w:rsidP="006031D6">
            <w:pPr>
              <w:pStyle w:val="Texttabulky"/>
              <w:spacing w:after="0" w:line="240" w:lineRule="atLeast"/>
              <w:rPr>
                <w:rFonts w:cs="Arial"/>
              </w:rPr>
            </w:pPr>
            <w:r w:rsidRPr="006031D6">
              <w:rPr>
                <w:rFonts w:cs="Arial"/>
              </w:rPr>
              <w:t>263,35</w:t>
            </w:r>
          </w:p>
        </w:tc>
        <w:tc>
          <w:tcPr>
            <w:tcW w:w="845" w:type="dxa"/>
            <w:tcBorders>
              <w:top w:val="single" w:sz="6" w:space="0" w:color="auto"/>
              <w:left w:val="single" w:sz="6" w:space="0" w:color="auto"/>
              <w:bottom w:val="single" w:sz="6" w:space="0" w:color="auto"/>
              <w:right w:val="single" w:sz="6" w:space="0" w:color="auto"/>
            </w:tcBorders>
          </w:tcPr>
          <w:p w14:paraId="2DECA2C0" w14:textId="77777777" w:rsidR="006031D6" w:rsidRPr="006031D6" w:rsidRDefault="006031D6" w:rsidP="006031D6">
            <w:pPr>
              <w:pStyle w:val="Zkladntext"/>
              <w:spacing w:after="0"/>
              <w:rPr>
                <w:rFonts w:ascii="Arial" w:hAnsi="Arial" w:cs="Arial"/>
              </w:rPr>
            </w:pPr>
          </w:p>
        </w:tc>
      </w:tr>
      <w:tr w:rsidR="006031D6" w:rsidRPr="006031D6" w14:paraId="3C3F38FD"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43E30E53" w14:textId="77777777" w:rsidR="006031D6" w:rsidRPr="006031D6" w:rsidRDefault="006031D6" w:rsidP="006031D6">
            <w:pPr>
              <w:pStyle w:val="Texttabulky"/>
              <w:spacing w:after="0" w:line="240" w:lineRule="atLeast"/>
              <w:rPr>
                <w:rFonts w:cs="Arial"/>
              </w:rPr>
            </w:pPr>
            <w:r w:rsidRPr="006031D6">
              <w:rPr>
                <w:rFonts w:cs="Arial"/>
              </w:rPr>
              <w:t>Pastýřská stěna n.</w:t>
            </w:r>
          </w:p>
        </w:tc>
        <w:tc>
          <w:tcPr>
            <w:tcW w:w="1050" w:type="dxa"/>
            <w:tcBorders>
              <w:top w:val="single" w:sz="6" w:space="0" w:color="auto"/>
              <w:left w:val="single" w:sz="6" w:space="0" w:color="auto"/>
              <w:bottom w:val="single" w:sz="6" w:space="0" w:color="auto"/>
              <w:right w:val="single" w:sz="6" w:space="0" w:color="auto"/>
            </w:tcBorders>
          </w:tcPr>
          <w:p w14:paraId="78A9683B" w14:textId="77777777" w:rsidR="006031D6" w:rsidRPr="006031D6" w:rsidRDefault="006031D6" w:rsidP="006031D6">
            <w:pPr>
              <w:pStyle w:val="Texttabulky"/>
              <w:spacing w:after="0" w:line="240" w:lineRule="atLeast"/>
              <w:rPr>
                <w:rFonts w:cs="Arial"/>
              </w:rPr>
            </w:pPr>
            <w:r w:rsidRPr="006031D6">
              <w:rPr>
                <w:rFonts w:cs="Arial"/>
              </w:rPr>
              <w:t>3</w:t>
            </w:r>
          </w:p>
        </w:tc>
        <w:tc>
          <w:tcPr>
            <w:tcW w:w="886" w:type="dxa"/>
            <w:tcBorders>
              <w:top w:val="single" w:sz="6" w:space="0" w:color="auto"/>
              <w:left w:val="single" w:sz="6" w:space="0" w:color="auto"/>
              <w:bottom w:val="single" w:sz="6" w:space="0" w:color="auto"/>
              <w:right w:val="single" w:sz="6" w:space="0" w:color="auto"/>
            </w:tcBorders>
          </w:tcPr>
          <w:p w14:paraId="161096B9" w14:textId="77777777" w:rsidR="006031D6" w:rsidRPr="006031D6" w:rsidRDefault="006031D6" w:rsidP="006031D6">
            <w:pPr>
              <w:pStyle w:val="Texttabulky"/>
              <w:spacing w:after="0" w:line="240" w:lineRule="atLeast"/>
              <w:rPr>
                <w:rFonts w:cs="Arial"/>
              </w:rPr>
            </w:pPr>
            <w:r w:rsidRPr="006031D6">
              <w:rPr>
                <w:rFonts w:cs="Arial"/>
              </w:rPr>
              <w:t>650</w:t>
            </w:r>
          </w:p>
        </w:tc>
        <w:tc>
          <w:tcPr>
            <w:tcW w:w="778" w:type="dxa"/>
            <w:tcBorders>
              <w:top w:val="single" w:sz="6" w:space="0" w:color="auto"/>
              <w:left w:val="single" w:sz="6" w:space="0" w:color="auto"/>
              <w:bottom w:val="single" w:sz="6" w:space="0" w:color="auto"/>
              <w:right w:val="single" w:sz="6" w:space="0" w:color="auto"/>
            </w:tcBorders>
          </w:tcPr>
          <w:p w14:paraId="1572F148"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759F01DD" w14:textId="77777777" w:rsidR="006031D6" w:rsidRPr="006031D6" w:rsidRDefault="006031D6" w:rsidP="006031D6">
            <w:pPr>
              <w:pStyle w:val="Texttabulky"/>
              <w:spacing w:after="0" w:line="240" w:lineRule="atLeast"/>
              <w:rPr>
                <w:rFonts w:cs="Arial"/>
              </w:rPr>
            </w:pPr>
            <w:r w:rsidRPr="006031D6">
              <w:rPr>
                <w:rFonts w:cs="Arial"/>
              </w:rPr>
              <w:t>266,85</w:t>
            </w:r>
          </w:p>
        </w:tc>
        <w:tc>
          <w:tcPr>
            <w:tcW w:w="969" w:type="dxa"/>
            <w:tcBorders>
              <w:top w:val="single" w:sz="6" w:space="0" w:color="auto"/>
              <w:left w:val="single" w:sz="6" w:space="0" w:color="auto"/>
              <w:bottom w:val="single" w:sz="6" w:space="0" w:color="auto"/>
              <w:right w:val="single" w:sz="6" w:space="0" w:color="auto"/>
            </w:tcBorders>
          </w:tcPr>
          <w:p w14:paraId="701769A7" w14:textId="77777777" w:rsidR="006031D6" w:rsidRPr="006031D6" w:rsidRDefault="006031D6" w:rsidP="006031D6">
            <w:pPr>
              <w:pStyle w:val="Texttabulky"/>
              <w:spacing w:after="0" w:line="240" w:lineRule="atLeast"/>
              <w:rPr>
                <w:rFonts w:cs="Arial"/>
              </w:rPr>
            </w:pPr>
            <w:r w:rsidRPr="006031D6">
              <w:rPr>
                <w:rFonts w:cs="Arial"/>
              </w:rPr>
              <w:t>263,35</w:t>
            </w:r>
          </w:p>
        </w:tc>
        <w:tc>
          <w:tcPr>
            <w:tcW w:w="845" w:type="dxa"/>
            <w:tcBorders>
              <w:top w:val="single" w:sz="6" w:space="0" w:color="auto"/>
              <w:left w:val="single" w:sz="6" w:space="0" w:color="auto"/>
              <w:bottom w:val="single" w:sz="6" w:space="0" w:color="auto"/>
              <w:right w:val="single" w:sz="6" w:space="0" w:color="auto"/>
            </w:tcBorders>
          </w:tcPr>
          <w:p w14:paraId="4D3D1AF0" w14:textId="77777777" w:rsidR="006031D6" w:rsidRPr="006031D6" w:rsidRDefault="006031D6" w:rsidP="006031D6">
            <w:pPr>
              <w:pStyle w:val="Zkladntext"/>
              <w:spacing w:after="0"/>
              <w:rPr>
                <w:rFonts w:ascii="Arial" w:hAnsi="Arial" w:cs="Arial"/>
              </w:rPr>
            </w:pPr>
          </w:p>
        </w:tc>
      </w:tr>
      <w:tr w:rsidR="006031D6" w:rsidRPr="006031D6" w14:paraId="18308B12"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607A068B" w14:textId="77777777" w:rsidR="006031D6" w:rsidRPr="006031D6" w:rsidRDefault="006031D6" w:rsidP="006031D6">
            <w:pPr>
              <w:pStyle w:val="Texttabulky"/>
              <w:spacing w:after="0" w:line="240" w:lineRule="atLeast"/>
              <w:rPr>
                <w:rFonts w:cs="Arial"/>
              </w:rPr>
            </w:pPr>
            <w:r w:rsidRPr="006031D6">
              <w:rPr>
                <w:rFonts w:cs="Arial"/>
              </w:rPr>
              <w:t>PK Kamenická</w:t>
            </w:r>
          </w:p>
        </w:tc>
        <w:tc>
          <w:tcPr>
            <w:tcW w:w="1050" w:type="dxa"/>
            <w:tcBorders>
              <w:top w:val="single" w:sz="6" w:space="0" w:color="auto"/>
              <w:left w:val="single" w:sz="6" w:space="0" w:color="auto"/>
              <w:bottom w:val="single" w:sz="6" w:space="0" w:color="auto"/>
              <w:right w:val="single" w:sz="6" w:space="0" w:color="auto"/>
            </w:tcBorders>
          </w:tcPr>
          <w:p w14:paraId="4459EB05"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489A0791" w14:textId="77777777" w:rsidR="006031D6" w:rsidRPr="006031D6" w:rsidRDefault="006031D6" w:rsidP="006031D6">
            <w:pPr>
              <w:pStyle w:val="Texttabulky"/>
              <w:spacing w:after="0" w:line="240" w:lineRule="atLeast"/>
              <w:rPr>
                <w:rFonts w:cs="Arial"/>
              </w:rPr>
            </w:pPr>
            <w:r w:rsidRPr="006031D6">
              <w:rPr>
                <w:rFonts w:cs="Arial"/>
              </w:rPr>
              <w:t>100</w:t>
            </w:r>
          </w:p>
        </w:tc>
        <w:tc>
          <w:tcPr>
            <w:tcW w:w="778" w:type="dxa"/>
            <w:tcBorders>
              <w:top w:val="single" w:sz="6" w:space="0" w:color="auto"/>
              <w:left w:val="single" w:sz="6" w:space="0" w:color="auto"/>
              <w:bottom w:val="single" w:sz="6" w:space="0" w:color="auto"/>
              <w:right w:val="single" w:sz="6" w:space="0" w:color="auto"/>
            </w:tcBorders>
          </w:tcPr>
          <w:p w14:paraId="58211CF7"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09612107" w14:textId="77777777" w:rsidR="006031D6" w:rsidRPr="006031D6" w:rsidRDefault="006031D6" w:rsidP="006031D6">
            <w:pPr>
              <w:pStyle w:val="Texttabulky"/>
              <w:spacing w:after="0" w:line="240" w:lineRule="atLeast"/>
              <w:rPr>
                <w:rFonts w:cs="Arial"/>
              </w:rPr>
            </w:pPr>
            <w:r w:rsidRPr="006031D6">
              <w:rPr>
                <w:rFonts w:cs="Arial"/>
              </w:rPr>
              <w:t xml:space="preserve"> 238,0</w:t>
            </w:r>
          </w:p>
        </w:tc>
        <w:tc>
          <w:tcPr>
            <w:tcW w:w="969" w:type="dxa"/>
            <w:tcBorders>
              <w:top w:val="single" w:sz="6" w:space="0" w:color="auto"/>
              <w:left w:val="single" w:sz="6" w:space="0" w:color="auto"/>
              <w:bottom w:val="single" w:sz="6" w:space="0" w:color="auto"/>
              <w:right w:val="single" w:sz="6" w:space="0" w:color="auto"/>
            </w:tcBorders>
          </w:tcPr>
          <w:p w14:paraId="6E3CAF3B" w14:textId="77777777" w:rsidR="006031D6" w:rsidRPr="006031D6" w:rsidRDefault="006031D6" w:rsidP="006031D6">
            <w:pPr>
              <w:pStyle w:val="Texttabulky"/>
              <w:spacing w:after="0" w:line="240" w:lineRule="atLeast"/>
              <w:rPr>
                <w:rFonts w:cs="Arial"/>
              </w:rPr>
            </w:pPr>
            <w:r w:rsidRPr="006031D6">
              <w:rPr>
                <w:rFonts w:cs="Arial"/>
              </w:rPr>
              <w:t xml:space="preserve"> 235,0</w:t>
            </w:r>
          </w:p>
        </w:tc>
        <w:tc>
          <w:tcPr>
            <w:tcW w:w="845" w:type="dxa"/>
            <w:tcBorders>
              <w:top w:val="single" w:sz="6" w:space="0" w:color="auto"/>
              <w:left w:val="single" w:sz="6" w:space="0" w:color="auto"/>
              <w:bottom w:val="single" w:sz="6" w:space="0" w:color="auto"/>
              <w:right w:val="single" w:sz="6" w:space="0" w:color="auto"/>
            </w:tcBorders>
          </w:tcPr>
          <w:p w14:paraId="291B5249" w14:textId="77777777" w:rsidR="006031D6" w:rsidRPr="006031D6" w:rsidRDefault="006031D6" w:rsidP="006031D6">
            <w:pPr>
              <w:pStyle w:val="Zkladntext"/>
              <w:spacing w:after="0"/>
              <w:rPr>
                <w:rFonts w:ascii="Arial" w:hAnsi="Arial" w:cs="Arial"/>
              </w:rPr>
            </w:pPr>
          </w:p>
        </w:tc>
      </w:tr>
      <w:tr w:rsidR="006031D6" w:rsidRPr="006031D6" w14:paraId="0CC2635B"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1953EF22" w14:textId="77777777" w:rsidR="006031D6" w:rsidRPr="006031D6" w:rsidRDefault="006031D6" w:rsidP="006031D6">
            <w:pPr>
              <w:pStyle w:val="Texttabulky"/>
              <w:spacing w:after="0" w:line="240" w:lineRule="atLeast"/>
              <w:rPr>
                <w:rFonts w:cs="Arial"/>
              </w:rPr>
            </w:pPr>
            <w:r w:rsidRPr="006031D6">
              <w:rPr>
                <w:rFonts w:cs="Arial"/>
              </w:rPr>
              <w:t>PK Pod Chlumem</w:t>
            </w:r>
          </w:p>
        </w:tc>
        <w:tc>
          <w:tcPr>
            <w:tcW w:w="1050" w:type="dxa"/>
            <w:tcBorders>
              <w:top w:val="single" w:sz="6" w:space="0" w:color="auto"/>
              <w:left w:val="single" w:sz="6" w:space="0" w:color="auto"/>
              <w:bottom w:val="single" w:sz="6" w:space="0" w:color="auto"/>
              <w:right w:val="single" w:sz="6" w:space="0" w:color="auto"/>
            </w:tcBorders>
          </w:tcPr>
          <w:p w14:paraId="4409AAAB" w14:textId="77777777" w:rsidR="006031D6" w:rsidRPr="006031D6" w:rsidRDefault="006031D6" w:rsidP="006031D6">
            <w:pPr>
              <w:pStyle w:val="Texttabulky"/>
              <w:spacing w:after="0" w:line="240" w:lineRule="atLeast"/>
              <w:rPr>
                <w:rFonts w:cs="Arial"/>
              </w:rPr>
            </w:pPr>
            <w:r w:rsidRPr="006031D6">
              <w:rPr>
                <w:rFonts w:cs="Arial"/>
              </w:rPr>
              <w:t>3</w:t>
            </w:r>
          </w:p>
        </w:tc>
        <w:tc>
          <w:tcPr>
            <w:tcW w:w="886" w:type="dxa"/>
            <w:tcBorders>
              <w:top w:val="single" w:sz="6" w:space="0" w:color="auto"/>
              <w:left w:val="single" w:sz="6" w:space="0" w:color="auto"/>
              <w:bottom w:val="single" w:sz="6" w:space="0" w:color="auto"/>
              <w:right w:val="single" w:sz="6" w:space="0" w:color="auto"/>
            </w:tcBorders>
          </w:tcPr>
          <w:p w14:paraId="41E52841" w14:textId="77777777" w:rsidR="006031D6" w:rsidRPr="006031D6" w:rsidRDefault="006031D6" w:rsidP="006031D6">
            <w:pPr>
              <w:pStyle w:val="Texttabulky"/>
              <w:spacing w:after="0" w:line="240" w:lineRule="atLeast"/>
              <w:rPr>
                <w:rFonts w:cs="Arial"/>
              </w:rPr>
            </w:pPr>
            <w:r w:rsidRPr="006031D6">
              <w:rPr>
                <w:rFonts w:cs="Arial"/>
              </w:rPr>
              <w:t>50</w:t>
            </w:r>
          </w:p>
        </w:tc>
        <w:tc>
          <w:tcPr>
            <w:tcW w:w="778" w:type="dxa"/>
            <w:tcBorders>
              <w:top w:val="single" w:sz="6" w:space="0" w:color="auto"/>
              <w:left w:val="single" w:sz="6" w:space="0" w:color="auto"/>
              <w:bottom w:val="single" w:sz="6" w:space="0" w:color="auto"/>
              <w:right w:val="single" w:sz="6" w:space="0" w:color="auto"/>
            </w:tcBorders>
          </w:tcPr>
          <w:p w14:paraId="0F46200E" w14:textId="77777777" w:rsidR="006031D6" w:rsidRPr="006031D6" w:rsidRDefault="006031D6" w:rsidP="006031D6">
            <w:pPr>
              <w:pStyle w:val="Texttabulky"/>
              <w:spacing w:after="0" w:line="240" w:lineRule="atLeast"/>
              <w:rPr>
                <w:rFonts w:cs="Arial"/>
              </w:rPr>
            </w:pPr>
            <w:r w:rsidRPr="006031D6">
              <w:rPr>
                <w:rFonts w:cs="Arial"/>
              </w:rPr>
              <w:t>-</w:t>
            </w:r>
          </w:p>
        </w:tc>
        <w:tc>
          <w:tcPr>
            <w:tcW w:w="993" w:type="dxa"/>
            <w:tcBorders>
              <w:top w:val="single" w:sz="6" w:space="0" w:color="auto"/>
              <w:left w:val="single" w:sz="6" w:space="0" w:color="auto"/>
              <w:bottom w:val="single" w:sz="6" w:space="0" w:color="auto"/>
              <w:right w:val="single" w:sz="6" w:space="0" w:color="auto"/>
            </w:tcBorders>
          </w:tcPr>
          <w:p w14:paraId="104875C8" w14:textId="77777777" w:rsidR="006031D6" w:rsidRPr="006031D6" w:rsidRDefault="006031D6" w:rsidP="006031D6">
            <w:pPr>
              <w:pStyle w:val="Texttabulky"/>
              <w:spacing w:after="0" w:line="240" w:lineRule="atLeast"/>
              <w:rPr>
                <w:rFonts w:cs="Arial"/>
              </w:rPr>
            </w:pPr>
            <w:r w:rsidRPr="006031D6">
              <w:rPr>
                <w:rFonts w:cs="Arial"/>
              </w:rPr>
              <w:t xml:space="preserve"> 276,0</w:t>
            </w:r>
          </w:p>
        </w:tc>
        <w:tc>
          <w:tcPr>
            <w:tcW w:w="969" w:type="dxa"/>
            <w:tcBorders>
              <w:top w:val="single" w:sz="6" w:space="0" w:color="auto"/>
              <w:left w:val="single" w:sz="6" w:space="0" w:color="auto"/>
              <w:bottom w:val="single" w:sz="6" w:space="0" w:color="auto"/>
              <w:right w:val="single" w:sz="6" w:space="0" w:color="auto"/>
            </w:tcBorders>
          </w:tcPr>
          <w:p w14:paraId="46DB3214" w14:textId="77777777" w:rsidR="006031D6" w:rsidRPr="006031D6" w:rsidRDefault="006031D6" w:rsidP="006031D6">
            <w:pPr>
              <w:pStyle w:val="Texttabulky"/>
              <w:spacing w:after="0" w:line="240" w:lineRule="atLeast"/>
              <w:rPr>
                <w:rFonts w:cs="Arial"/>
              </w:rPr>
            </w:pPr>
            <w:r w:rsidRPr="006031D6">
              <w:rPr>
                <w:rFonts w:cs="Arial"/>
              </w:rPr>
              <w:t xml:space="preserve"> 273,0</w:t>
            </w:r>
          </w:p>
        </w:tc>
        <w:tc>
          <w:tcPr>
            <w:tcW w:w="845" w:type="dxa"/>
            <w:tcBorders>
              <w:top w:val="single" w:sz="6" w:space="0" w:color="auto"/>
              <w:left w:val="single" w:sz="6" w:space="0" w:color="auto"/>
              <w:bottom w:val="single" w:sz="6" w:space="0" w:color="auto"/>
              <w:right w:val="single" w:sz="6" w:space="0" w:color="auto"/>
            </w:tcBorders>
          </w:tcPr>
          <w:p w14:paraId="621CFA7C" w14:textId="77777777" w:rsidR="006031D6" w:rsidRPr="006031D6" w:rsidRDefault="006031D6" w:rsidP="006031D6">
            <w:pPr>
              <w:pStyle w:val="Zkladntext"/>
              <w:spacing w:after="0"/>
              <w:rPr>
                <w:rFonts w:ascii="Arial" w:hAnsi="Arial" w:cs="Arial"/>
              </w:rPr>
            </w:pPr>
          </w:p>
        </w:tc>
      </w:tr>
      <w:tr w:rsidR="006031D6" w:rsidRPr="006031D6" w14:paraId="0A59D9F9"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186A5AA6" w14:textId="77777777" w:rsidR="006031D6" w:rsidRPr="006031D6" w:rsidRDefault="006031D6" w:rsidP="006031D6">
            <w:pPr>
              <w:pStyle w:val="Texttabulky"/>
              <w:spacing w:after="0" w:line="240" w:lineRule="atLeast"/>
              <w:rPr>
                <w:rFonts w:cs="Arial"/>
              </w:rPr>
            </w:pPr>
            <w:r w:rsidRPr="006031D6">
              <w:rPr>
                <w:rFonts w:cs="Arial"/>
              </w:rPr>
              <w:t>Pod Dobrnou</w:t>
            </w:r>
          </w:p>
        </w:tc>
        <w:tc>
          <w:tcPr>
            <w:tcW w:w="1050" w:type="dxa"/>
            <w:tcBorders>
              <w:top w:val="single" w:sz="6" w:space="0" w:color="auto"/>
              <w:left w:val="single" w:sz="6" w:space="0" w:color="auto"/>
              <w:bottom w:val="single" w:sz="6" w:space="0" w:color="auto"/>
              <w:right w:val="single" w:sz="6" w:space="0" w:color="auto"/>
            </w:tcBorders>
          </w:tcPr>
          <w:p w14:paraId="43245BCF"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64E2F54E" w14:textId="77777777" w:rsidR="006031D6" w:rsidRPr="006031D6" w:rsidRDefault="006031D6" w:rsidP="006031D6">
            <w:pPr>
              <w:pStyle w:val="Texttabulky"/>
              <w:spacing w:after="0" w:line="240" w:lineRule="atLeast"/>
              <w:rPr>
                <w:rFonts w:cs="Arial"/>
              </w:rPr>
            </w:pPr>
            <w:r w:rsidRPr="006031D6">
              <w:rPr>
                <w:rFonts w:cs="Arial"/>
              </w:rPr>
              <w:t>50</w:t>
            </w:r>
          </w:p>
        </w:tc>
        <w:tc>
          <w:tcPr>
            <w:tcW w:w="778" w:type="dxa"/>
            <w:tcBorders>
              <w:top w:val="single" w:sz="6" w:space="0" w:color="auto"/>
              <w:left w:val="single" w:sz="6" w:space="0" w:color="auto"/>
              <w:bottom w:val="single" w:sz="6" w:space="0" w:color="auto"/>
              <w:right w:val="single" w:sz="6" w:space="0" w:color="auto"/>
            </w:tcBorders>
          </w:tcPr>
          <w:p w14:paraId="71E99AC2"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29E2F41F" w14:textId="77777777" w:rsidR="006031D6" w:rsidRPr="006031D6" w:rsidRDefault="006031D6" w:rsidP="006031D6">
            <w:pPr>
              <w:pStyle w:val="Zkladntext"/>
              <w:spacing w:after="0"/>
              <w:rPr>
                <w:rFonts w:ascii="Arial" w:hAnsi="Arial" w:cs="Arial"/>
              </w:rPr>
            </w:pPr>
          </w:p>
        </w:tc>
        <w:tc>
          <w:tcPr>
            <w:tcW w:w="969" w:type="dxa"/>
            <w:tcBorders>
              <w:top w:val="single" w:sz="6" w:space="0" w:color="auto"/>
              <w:left w:val="single" w:sz="6" w:space="0" w:color="auto"/>
              <w:bottom w:val="single" w:sz="6" w:space="0" w:color="auto"/>
              <w:right w:val="single" w:sz="6" w:space="0" w:color="auto"/>
            </w:tcBorders>
          </w:tcPr>
          <w:p w14:paraId="02BC159E"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04960566" w14:textId="77777777" w:rsidR="006031D6" w:rsidRPr="006031D6" w:rsidRDefault="006031D6" w:rsidP="006031D6">
            <w:pPr>
              <w:pStyle w:val="Texttabulky"/>
              <w:spacing w:after="0" w:line="240" w:lineRule="atLeast"/>
              <w:rPr>
                <w:rFonts w:cs="Arial"/>
              </w:rPr>
            </w:pPr>
            <w:r w:rsidRPr="006031D6">
              <w:rPr>
                <w:rFonts w:cs="Arial"/>
              </w:rPr>
              <w:t>245,01</w:t>
            </w:r>
          </w:p>
        </w:tc>
      </w:tr>
      <w:tr w:rsidR="006031D6" w:rsidRPr="006031D6" w14:paraId="21EBFB8A"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340BED9B" w14:textId="77777777" w:rsidR="006031D6" w:rsidRPr="006031D6" w:rsidRDefault="006031D6" w:rsidP="006031D6">
            <w:pPr>
              <w:pStyle w:val="Texttabulky"/>
              <w:spacing w:after="0" w:line="240" w:lineRule="atLeast"/>
              <w:rPr>
                <w:rFonts w:cs="Arial"/>
              </w:rPr>
            </w:pPr>
            <w:r w:rsidRPr="006031D6">
              <w:rPr>
                <w:rFonts w:cs="Arial"/>
              </w:rPr>
              <w:t>Pod Dobrnou</w:t>
            </w:r>
          </w:p>
        </w:tc>
        <w:tc>
          <w:tcPr>
            <w:tcW w:w="1050" w:type="dxa"/>
            <w:tcBorders>
              <w:top w:val="single" w:sz="6" w:space="0" w:color="auto"/>
              <w:left w:val="single" w:sz="6" w:space="0" w:color="auto"/>
              <w:bottom w:val="single" w:sz="6" w:space="0" w:color="auto"/>
              <w:right w:val="single" w:sz="6" w:space="0" w:color="auto"/>
            </w:tcBorders>
          </w:tcPr>
          <w:p w14:paraId="48A71AD1"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4DBCB01F" w14:textId="77777777" w:rsidR="006031D6" w:rsidRPr="006031D6" w:rsidRDefault="006031D6" w:rsidP="006031D6">
            <w:pPr>
              <w:pStyle w:val="Texttabulky"/>
              <w:spacing w:after="0" w:line="240" w:lineRule="atLeast"/>
              <w:rPr>
                <w:rFonts w:cs="Arial"/>
              </w:rPr>
            </w:pPr>
            <w:r w:rsidRPr="006031D6">
              <w:rPr>
                <w:rFonts w:cs="Arial"/>
              </w:rPr>
              <w:t>100</w:t>
            </w:r>
          </w:p>
        </w:tc>
        <w:tc>
          <w:tcPr>
            <w:tcW w:w="778" w:type="dxa"/>
            <w:tcBorders>
              <w:top w:val="single" w:sz="6" w:space="0" w:color="auto"/>
              <w:left w:val="single" w:sz="6" w:space="0" w:color="auto"/>
              <w:bottom w:val="single" w:sz="6" w:space="0" w:color="auto"/>
              <w:right w:val="single" w:sz="6" w:space="0" w:color="auto"/>
            </w:tcBorders>
          </w:tcPr>
          <w:p w14:paraId="5ABD7A30"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320576FA" w14:textId="77777777" w:rsidR="006031D6" w:rsidRPr="006031D6" w:rsidRDefault="006031D6" w:rsidP="006031D6">
            <w:pPr>
              <w:pStyle w:val="Zkladntext"/>
              <w:spacing w:after="0"/>
              <w:rPr>
                <w:rFonts w:ascii="Arial" w:hAnsi="Arial" w:cs="Arial"/>
              </w:rPr>
            </w:pPr>
          </w:p>
        </w:tc>
        <w:tc>
          <w:tcPr>
            <w:tcW w:w="969" w:type="dxa"/>
            <w:tcBorders>
              <w:top w:val="single" w:sz="6" w:space="0" w:color="auto"/>
              <w:left w:val="single" w:sz="6" w:space="0" w:color="auto"/>
              <w:bottom w:val="single" w:sz="6" w:space="0" w:color="auto"/>
              <w:right w:val="single" w:sz="6" w:space="0" w:color="auto"/>
            </w:tcBorders>
          </w:tcPr>
          <w:p w14:paraId="16B2321C"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4D39151E" w14:textId="77777777" w:rsidR="006031D6" w:rsidRPr="006031D6" w:rsidRDefault="006031D6" w:rsidP="006031D6">
            <w:pPr>
              <w:pStyle w:val="Texttabulky"/>
              <w:spacing w:after="0" w:line="240" w:lineRule="atLeast"/>
              <w:rPr>
                <w:rFonts w:cs="Arial"/>
              </w:rPr>
            </w:pPr>
            <w:r w:rsidRPr="006031D6">
              <w:rPr>
                <w:rFonts w:cs="Arial"/>
              </w:rPr>
              <w:t>245,01</w:t>
            </w:r>
          </w:p>
        </w:tc>
      </w:tr>
      <w:tr w:rsidR="006031D6" w:rsidRPr="006031D6" w14:paraId="24FB1A58"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751D963A" w14:textId="77777777" w:rsidR="006031D6" w:rsidRPr="006031D6" w:rsidRDefault="006031D6" w:rsidP="006031D6">
            <w:pPr>
              <w:pStyle w:val="Texttabulky"/>
              <w:spacing w:after="0" w:line="240" w:lineRule="atLeast"/>
              <w:rPr>
                <w:rFonts w:cs="Arial"/>
              </w:rPr>
            </w:pPr>
            <w:r w:rsidRPr="006031D6">
              <w:rPr>
                <w:rFonts w:cs="Arial"/>
              </w:rPr>
              <w:t>Pod Chlumem</w:t>
            </w:r>
          </w:p>
        </w:tc>
        <w:tc>
          <w:tcPr>
            <w:tcW w:w="1050" w:type="dxa"/>
            <w:tcBorders>
              <w:top w:val="single" w:sz="6" w:space="0" w:color="auto"/>
              <w:left w:val="single" w:sz="6" w:space="0" w:color="auto"/>
              <w:bottom w:val="single" w:sz="6" w:space="0" w:color="auto"/>
              <w:right w:val="single" w:sz="6" w:space="0" w:color="auto"/>
            </w:tcBorders>
          </w:tcPr>
          <w:p w14:paraId="0B1918A6"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5CD3493B" w14:textId="77777777" w:rsidR="006031D6" w:rsidRPr="006031D6" w:rsidRDefault="006031D6" w:rsidP="006031D6">
            <w:pPr>
              <w:pStyle w:val="Texttabulky"/>
              <w:spacing w:after="0" w:line="240" w:lineRule="atLeast"/>
              <w:rPr>
                <w:rFonts w:cs="Arial"/>
              </w:rPr>
            </w:pPr>
            <w:r w:rsidRPr="006031D6">
              <w:rPr>
                <w:rFonts w:cs="Arial"/>
              </w:rPr>
              <w:t>230</w:t>
            </w:r>
          </w:p>
        </w:tc>
        <w:tc>
          <w:tcPr>
            <w:tcW w:w="778" w:type="dxa"/>
            <w:tcBorders>
              <w:top w:val="single" w:sz="6" w:space="0" w:color="auto"/>
              <w:left w:val="single" w:sz="6" w:space="0" w:color="auto"/>
              <w:bottom w:val="single" w:sz="6" w:space="0" w:color="auto"/>
              <w:right w:val="single" w:sz="6" w:space="0" w:color="auto"/>
            </w:tcBorders>
          </w:tcPr>
          <w:p w14:paraId="30AD4DBA"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038BA4A0" w14:textId="77777777" w:rsidR="006031D6" w:rsidRPr="006031D6" w:rsidRDefault="006031D6" w:rsidP="006031D6">
            <w:pPr>
              <w:pStyle w:val="Texttabulky"/>
              <w:spacing w:after="0" w:line="240" w:lineRule="atLeast"/>
              <w:rPr>
                <w:rFonts w:cs="Arial"/>
              </w:rPr>
            </w:pPr>
            <w:r w:rsidRPr="006031D6">
              <w:rPr>
                <w:rFonts w:cs="Arial"/>
              </w:rPr>
              <w:t>187,64</w:t>
            </w:r>
          </w:p>
        </w:tc>
        <w:tc>
          <w:tcPr>
            <w:tcW w:w="969" w:type="dxa"/>
            <w:tcBorders>
              <w:top w:val="single" w:sz="6" w:space="0" w:color="auto"/>
              <w:left w:val="single" w:sz="6" w:space="0" w:color="auto"/>
              <w:bottom w:val="single" w:sz="6" w:space="0" w:color="auto"/>
              <w:right w:val="single" w:sz="6" w:space="0" w:color="auto"/>
            </w:tcBorders>
          </w:tcPr>
          <w:p w14:paraId="1F374F9D" w14:textId="77777777" w:rsidR="006031D6" w:rsidRPr="006031D6" w:rsidRDefault="006031D6" w:rsidP="006031D6">
            <w:pPr>
              <w:pStyle w:val="Texttabulky"/>
              <w:spacing w:after="0" w:line="240" w:lineRule="atLeast"/>
              <w:rPr>
                <w:rFonts w:cs="Arial"/>
              </w:rPr>
            </w:pPr>
            <w:r w:rsidRPr="006031D6">
              <w:rPr>
                <w:rFonts w:cs="Arial"/>
              </w:rPr>
              <w:t>184,64</w:t>
            </w:r>
          </w:p>
        </w:tc>
        <w:tc>
          <w:tcPr>
            <w:tcW w:w="845" w:type="dxa"/>
            <w:tcBorders>
              <w:top w:val="single" w:sz="6" w:space="0" w:color="auto"/>
              <w:left w:val="single" w:sz="6" w:space="0" w:color="auto"/>
              <w:bottom w:val="single" w:sz="6" w:space="0" w:color="auto"/>
              <w:right w:val="single" w:sz="6" w:space="0" w:color="auto"/>
            </w:tcBorders>
          </w:tcPr>
          <w:p w14:paraId="27F60A6F" w14:textId="77777777" w:rsidR="006031D6" w:rsidRPr="006031D6" w:rsidRDefault="006031D6" w:rsidP="006031D6">
            <w:pPr>
              <w:pStyle w:val="Zkladntext"/>
              <w:spacing w:after="0"/>
              <w:rPr>
                <w:rFonts w:ascii="Arial" w:hAnsi="Arial" w:cs="Arial"/>
              </w:rPr>
            </w:pPr>
          </w:p>
        </w:tc>
      </w:tr>
      <w:tr w:rsidR="006031D6" w:rsidRPr="006031D6" w14:paraId="49846539"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502E6986" w14:textId="77777777" w:rsidR="006031D6" w:rsidRPr="006031D6" w:rsidRDefault="006031D6" w:rsidP="006031D6">
            <w:pPr>
              <w:pStyle w:val="Texttabulky"/>
              <w:spacing w:after="0" w:line="240" w:lineRule="atLeast"/>
              <w:rPr>
                <w:rFonts w:cs="Arial"/>
              </w:rPr>
            </w:pPr>
            <w:r w:rsidRPr="006031D6">
              <w:rPr>
                <w:rFonts w:cs="Arial"/>
              </w:rPr>
              <w:t>Popovice</w:t>
            </w:r>
          </w:p>
        </w:tc>
        <w:tc>
          <w:tcPr>
            <w:tcW w:w="1050" w:type="dxa"/>
            <w:tcBorders>
              <w:top w:val="single" w:sz="6" w:space="0" w:color="auto"/>
              <w:left w:val="single" w:sz="6" w:space="0" w:color="auto"/>
              <w:bottom w:val="single" w:sz="6" w:space="0" w:color="auto"/>
              <w:right w:val="single" w:sz="6" w:space="0" w:color="auto"/>
            </w:tcBorders>
          </w:tcPr>
          <w:p w14:paraId="1F93256E" w14:textId="77777777" w:rsidR="006031D6" w:rsidRPr="006031D6" w:rsidRDefault="006031D6" w:rsidP="006031D6">
            <w:pPr>
              <w:pStyle w:val="Texttabulky"/>
              <w:spacing w:after="0" w:line="240" w:lineRule="atLeast"/>
              <w:rPr>
                <w:rFonts w:cs="Arial"/>
              </w:rPr>
            </w:pPr>
            <w:r w:rsidRPr="006031D6">
              <w:rPr>
                <w:rFonts w:cs="Arial"/>
              </w:rPr>
              <w:t>4</w:t>
            </w:r>
          </w:p>
        </w:tc>
        <w:tc>
          <w:tcPr>
            <w:tcW w:w="886" w:type="dxa"/>
            <w:tcBorders>
              <w:top w:val="single" w:sz="6" w:space="0" w:color="auto"/>
              <w:left w:val="single" w:sz="6" w:space="0" w:color="auto"/>
              <w:bottom w:val="single" w:sz="6" w:space="0" w:color="auto"/>
              <w:right w:val="single" w:sz="6" w:space="0" w:color="auto"/>
            </w:tcBorders>
          </w:tcPr>
          <w:p w14:paraId="6B0FA814" w14:textId="77777777" w:rsidR="006031D6" w:rsidRPr="006031D6" w:rsidRDefault="006031D6" w:rsidP="006031D6">
            <w:pPr>
              <w:pStyle w:val="Texttabulky"/>
              <w:spacing w:after="0" w:line="240" w:lineRule="atLeast"/>
              <w:rPr>
                <w:rFonts w:cs="Arial"/>
              </w:rPr>
            </w:pPr>
            <w:r w:rsidRPr="006031D6">
              <w:rPr>
                <w:rFonts w:cs="Arial"/>
              </w:rPr>
              <w:t>150</w:t>
            </w:r>
          </w:p>
        </w:tc>
        <w:tc>
          <w:tcPr>
            <w:tcW w:w="778" w:type="dxa"/>
            <w:tcBorders>
              <w:top w:val="single" w:sz="6" w:space="0" w:color="auto"/>
              <w:left w:val="single" w:sz="6" w:space="0" w:color="auto"/>
              <w:bottom w:val="single" w:sz="6" w:space="0" w:color="auto"/>
              <w:right w:val="single" w:sz="6" w:space="0" w:color="auto"/>
            </w:tcBorders>
          </w:tcPr>
          <w:p w14:paraId="52AFED2B"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422A65A9" w14:textId="77777777" w:rsidR="006031D6" w:rsidRPr="006031D6" w:rsidRDefault="006031D6" w:rsidP="006031D6">
            <w:pPr>
              <w:pStyle w:val="Texttabulky"/>
              <w:spacing w:after="0" w:line="240" w:lineRule="atLeast"/>
              <w:rPr>
                <w:rFonts w:cs="Arial"/>
              </w:rPr>
            </w:pPr>
            <w:r w:rsidRPr="006031D6">
              <w:rPr>
                <w:rFonts w:cs="Arial"/>
              </w:rPr>
              <w:t>326,03</w:t>
            </w:r>
          </w:p>
        </w:tc>
        <w:tc>
          <w:tcPr>
            <w:tcW w:w="969" w:type="dxa"/>
            <w:tcBorders>
              <w:top w:val="single" w:sz="6" w:space="0" w:color="auto"/>
              <w:left w:val="single" w:sz="6" w:space="0" w:color="auto"/>
              <w:bottom w:val="single" w:sz="6" w:space="0" w:color="auto"/>
              <w:right w:val="single" w:sz="6" w:space="0" w:color="auto"/>
            </w:tcBorders>
          </w:tcPr>
          <w:p w14:paraId="6F8AD278" w14:textId="77777777" w:rsidR="006031D6" w:rsidRPr="006031D6" w:rsidRDefault="006031D6" w:rsidP="006031D6">
            <w:pPr>
              <w:pStyle w:val="Texttabulky"/>
              <w:spacing w:after="0" w:line="240" w:lineRule="atLeast"/>
              <w:rPr>
                <w:rFonts w:cs="Arial"/>
              </w:rPr>
            </w:pPr>
            <w:r w:rsidRPr="006031D6">
              <w:rPr>
                <w:rFonts w:cs="Arial"/>
              </w:rPr>
              <w:t>323,03</w:t>
            </w:r>
          </w:p>
        </w:tc>
        <w:tc>
          <w:tcPr>
            <w:tcW w:w="845" w:type="dxa"/>
            <w:tcBorders>
              <w:top w:val="single" w:sz="6" w:space="0" w:color="auto"/>
              <w:left w:val="single" w:sz="6" w:space="0" w:color="auto"/>
              <w:bottom w:val="single" w:sz="6" w:space="0" w:color="auto"/>
              <w:right w:val="single" w:sz="6" w:space="0" w:color="auto"/>
            </w:tcBorders>
          </w:tcPr>
          <w:p w14:paraId="3BB929C6" w14:textId="77777777" w:rsidR="006031D6" w:rsidRPr="006031D6" w:rsidRDefault="006031D6" w:rsidP="006031D6">
            <w:pPr>
              <w:pStyle w:val="Zkladntext"/>
              <w:spacing w:after="0"/>
              <w:rPr>
                <w:rFonts w:ascii="Arial" w:hAnsi="Arial" w:cs="Arial"/>
              </w:rPr>
            </w:pPr>
          </w:p>
        </w:tc>
      </w:tr>
      <w:tr w:rsidR="006031D6" w:rsidRPr="006031D6" w14:paraId="414BBDB5"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772C22CE" w14:textId="77777777" w:rsidR="006031D6" w:rsidRPr="006031D6" w:rsidRDefault="006031D6" w:rsidP="006031D6">
            <w:pPr>
              <w:pStyle w:val="Texttabulky"/>
              <w:spacing w:after="0" w:line="240" w:lineRule="atLeast"/>
              <w:rPr>
                <w:rFonts w:cs="Arial"/>
              </w:rPr>
            </w:pPr>
            <w:r w:rsidRPr="006031D6">
              <w:rPr>
                <w:rFonts w:cs="Arial"/>
              </w:rPr>
              <w:t>Přípeř</w:t>
            </w:r>
          </w:p>
        </w:tc>
        <w:tc>
          <w:tcPr>
            <w:tcW w:w="1050" w:type="dxa"/>
            <w:tcBorders>
              <w:top w:val="single" w:sz="6" w:space="0" w:color="auto"/>
              <w:left w:val="single" w:sz="6" w:space="0" w:color="auto"/>
              <w:bottom w:val="single" w:sz="6" w:space="0" w:color="auto"/>
              <w:right w:val="single" w:sz="6" w:space="0" w:color="auto"/>
            </w:tcBorders>
          </w:tcPr>
          <w:p w14:paraId="734036A3"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017D0A86" w14:textId="77777777" w:rsidR="006031D6" w:rsidRPr="006031D6" w:rsidRDefault="006031D6" w:rsidP="006031D6">
            <w:pPr>
              <w:pStyle w:val="Texttabulky"/>
              <w:spacing w:after="0" w:line="240" w:lineRule="atLeast"/>
              <w:rPr>
                <w:rFonts w:cs="Arial"/>
              </w:rPr>
            </w:pPr>
            <w:r w:rsidRPr="006031D6">
              <w:rPr>
                <w:rFonts w:cs="Arial"/>
              </w:rPr>
              <w:t>500</w:t>
            </w:r>
          </w:p>
        </w:tc>
        <w:tc>
          <w:tcPr>
            <w:tcW w:w="778" w:type="dxa"/>
            <w:tcBorders>
              <w:top w:val="single" w:sz="6" w:space="0" w:color="auto"/>
              <w:left w:val="single" w:sz="6" w:space="0" w:color="auto"/>
              <w:bottom w:val="single" w:sz="6" w:space="0" w:color="auto"/>
              <w:right w:val="single" w:sz="6" w:space="0" w:color="auto"/>
            </w:tcBorders>
          </w:tcPr>
          <w:p w14:paraId="35095B2C"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42FB6C12" w14:textId="77777777" w:rsidR="006031D6" w:rsidRPr="006031D6" w:rsidRDefault="006031D6" w:rsidP="006031D6">
            <w:pPr>
              <w:pStyle w:val="Texttabulky"/>
              <w:spacing w:after="0" w:line="240" w:lineRule="atLeast"/>
              <w:rPr>
                <w:rFonts w:cs="Arial"/>
              </w:rPr>
            </w:pPr>
            <w:r w:rsidRPr="006031D6">
              <w:rPr>
                <w:rFonts w:cs="Arial"/>
              </w:rPr>
              <w:t>199,1</w:t>
            </w:r>
          </w:p>
        </w:tc>
        <w:tc>
          <w:tcPr>
            <w:tcW w:w="969" w:type="dxa"/>
            <w:tcBorders>
              <w:top w:val="single" w:sz="6" w:space="0" w:color="auto"/>
              <w:left w:val="single" w:sz="6" w:space="0" w:color="auto"/>
              <w:bottom w:val="single" w:sz="6" w:space="0" w:color="auto"/>
              <w:right w:val="single" w:sz="6" w:space="0" w:color="auto"/>
            </w:tcBorders>
          </w:tcPr>
          <w:p w14:paraId="426DBFA6" w14:textId="77777777" w:rsidR="006031D6" w:rsidRPr="006031D6" w:rsidRDefault="006031D6" w:rsidP="006031D6">
            <w:pPr>
              <w:pStyle w:val="Texttabulky"/>
              <w:spacing w:after="0" w:line="240" w:lineRule="atLeast"/>
              <w:rPr>
                <w:rFonts w:cs="Arial"/>
              </w:rPr>
            </w:pPr>
            <w:r w:rsidRPr="006031D6">
              <w:rPr>
                <w:rFonts w:cs="Arial"/>
              </w:rPr>
              <w:t>196,1</w:t>
            </w:r>
          </w:p>
        </w:tc>
        <w:tc>
          <w:tcPr>
            <w:tcW w:w="845" w:type="dxa"/>
            <w:tcBorders>
              <w:top w:val="single" w:sz="6" w:space="0" w:color="auto"/>
              <w:left w:val="single" w:sz="6" w:space="0" w:color="auto"/>
              <w:bottom w:val="single" w:sz="6" w:space="0" w:color="auto"/>
              <w:right w:val="single" w:sz="6" w:space="0" w:color="auto"/>
            </w:tcBorders>
          </w:tcPr>
          <w:p w14:paraId="075E2205" w14:textId="77777777" w:rsidR="006031D6" w:rsidRPr="006031D6" w:rsidRDefault="006031D6" w:rsidP="006031D6">
            <w:pPr>
              <w:pStyle w:val="Zkladntext"/>
              <w:spacing w:after="0"/>
              <w:rPr>
                <w:rFonts w:ascii="Arial" w:hAnsi="Arial" w:cs="Arial"/>
              </w:rPr>
            </w:pPr>
          </w:p>
        </w:tc>
      </w:tr>
      <w:tr w:rsidR="006031D6" w:rsidRPr="006031D6" w14:paraId="1C8672A5"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11B9A2D2" w14:textId="77777777" w:rsidR="006031D6" w:rsidRPr="006031D6" w:rsidRDefault="006031D6" w:rsidP="006031D6">
            <w:pPr>
              <w:pStyle w:val="Texttabulky"/>
              <w:spacing w:after="0" w:line="240" w:lineRule="atLeast"/>
              <w:rPr>
                <w:rFonts w:cs="Arial"/>
              </w:rPr>
            </w:pPr>
            <w:r w:rsidRPr="006031D6">
              <w:rPr>
                <w:rFonts w:cs="Arial"/>
              </w:rPr>
              <w:t>Staré město</w:t>
            </w:r>
          </w:p>
        </w:tc>
        <w:tc>
          <w:tcPr>
            <w:tcW w:w="1050" w:type="dxa"/>
            <w:tcBorders>
              <w:top w:val="single" w:sz="6" w:space="0" w:color="auto"/>
              <w:left w:val="single" w:sz="6" w:space="0" w:color="auto"/>
              <w:bottom w:val="single" w:sz="6" w:space="0" w:color="auto"/>
              <w:right w:val="single" w:sz="6" w:space="0" w:color="auto"/>
            </w:tcBorders>
          </w:tcPr>
          <w:p w14:paraId="19A81281"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5FDAABE3" w14:textId="77777777" w:rsidR="006031D6" w:rsidRPr="006031D6" w:rsidRDefault="006031D6" w:rsidP="006031D6">
            <w:pPr>
              <w:pStyle w:val="Texttabulky"/>
              <w:spacing w:after="0" w:line="240" w:lineRule="atLeast"/>
              <w:rPr>
                <w:rFonts w:cs="Arial"/>
              </w:rPr>
            </w:pPr>
            <w:r w:rsidRPr="006031D6">
              <w:rPr>
                <w:rFonts w:cs="Arial"/>
              </w:rPr>
              <w:t>1 300</w:t>
            </w:r>
          </w:p>
        </w:tc>
        <w:tc>
          <w:tcPr>
            <w:tcW w:w="778" w:type="dxa"/>
            <w:tcBorders>
              <w:top w:val="single" w:sz="6" w:space="0" w:color="auto"/>
              <w:left w:val="single" w:sz="6" w:space="0" w:color="auto"/>
              <w:bottom w:val="single" w:sz="6" w:space="0" w:color="auto"/>
              <w:right w:val="single" w:sz="6" w:space="0" w:color="auto"/>
            </w:tcBorders>
          </w:tcPr>
          <w:p w14:paraId="6301192D"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3C2FBAE6" w14:textId="77777777" w:rsidR="006031D6" w:rsidRPr="006031D6" w:rsidRDefault="006031D6" w:rsidP="006031D6">
            <w:pPr>
              <w:pStyle w:val="Texttabulky"/>
              <w:spacing w:after="0" w:line="240" w:lineRule="atLeast"/>
              <w:rPr>
                <w:rFonts w:cs="Arial"/>
              </w:rPr>
            </w:pPr>
            <w:r w:rsidRPr="006031D6">
              <w:rPr>
                <w:rFonts w:cs="Arial"/>
              </w:rPr>
              <w:t xml:space="preserve"> 205,0</w:t>
            </w:r>
          </w:p>
        </w:tc>
        <w:tc>
          <w:tcPr>
            <w:tcW w:w="969" w:type="dxa"/>
            <w:tcBorders>
              <w:top w:val="single" w:sz="6" w:space="0" w:color="auto"/>
              <w:left w:val="single" w:sz="6" w:space="0" w:color="auto"/>
              <w:bottom w:val="single" w:sz="6" w:space="0" w:color="auto"/>
              <w:right w:val="single" w:sz="6" w:space="0" w:color="auto"/>
            </w:tcBorders>
          </w:tcPr>
          <w:p w14:paraId="0E21E472" w14:textId="77777777" w:rsidR="006031D6" w:rsidRPr="006031D6" w:rsidRDefault="006031D6" w:rsidP="006031D6">
            <w:pPr>
              <w:pStyle w:val="Texttabulky"/>
              <w:spacing w:after="0" w:line="240" w:lineRule="atLeast"/>
              <w:rPr>
                <w:rFonts w:cs="Arial"/>
              </w:rPr>
            </w:pPr>
            <w:r w:rsidRPr="006031D6">
              <w:rPr>
                <w:rFonts w:cs="Arial"/>
              </w:rPr>
              <w:t xml:space="preserve"> 202,0</w:t>
            </w:r>
          </w:p>
        </w:tc>
        <w:tc>
          <w:tcPr>
            <w:tcW w:w="845" w:type="dxa"/>
            <w:tcBorders>
              <w:top w:val="single" w:sz="6" w:space="0" w:color="auto"/>
              <w:left w:val="single" w:sz="6" w:space="0" w:color="auto"/>
              <w:bottom w:val="single" w:sz="6" w:space="0" w:color="auto"/>
              <w:right w:val="single" w:sz="6" w:space="0" w:color="auto"/>
            </w:tcBorders>
          </w:tcPr>
          <w:p w14:paraId="4545A98D" w14:textId="77777777" w:rsidR="006031D6" w:rsidRPr="006031D6" w:rsidRDefault="006031D6" w:rsidP="006031D6">
            <w:pPr>
              <w:pStyle w:val="Zkladntext"/>
              <w:spacing w:after="0"/>
              <w:rPr>
                <w:rFonts w:ascii="Arial" w:hAnsi="Arial" w:cs="Arial"/>
              </w:rPr>
            </w:pPr>
          </w:p>
        </w:tc>
      </w:tr>
      <w:tr w:rsidR="006031D6" w:rsidRPr="006031D6" w14:paraId="65D5F925"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6CE8F769" w14:textId="77777777" w:rsidR="006031D6" w:rsidRPr="006031D6" w:rsidRDefault="006031D6" w:rsidP="006031D6">
            <w:pPr>
              <w:pStyle w:val="Texttabulky"/>
              <w:spacing w:after="0" w:line="240" w:lineRule="atLeast"/>
              <w:rPr>
                <w:rFonts w:cs="Arial"/>
              </w:rPr>
            </w:pPr>
            <w:r w:rsidRPr="006031D6">
              <w:rPr>
                <w:rFonts w:cs="Arial"/>
              </w:rPr>
              <w:t>Střední ( Bynov )</w:t>
            </w:r>
          </w:p>
        </w:tc>
        <w:tc>
          <w:tcPr>
            <w:tcW w:w="1050" w:type="dxa"/>
            <w:tcBorders>
              <w:top w:val="single" w:sz="6" w:space="0" w:color="auto"/>
              <w:left w:val="single" w:sz="6" w:space="0" w:color="auto"/>
              <w:bottom w:val="single" w:sz="6" w:space="0" w:color="auto"/>
              <w:right w:val="single" w:sz="6" w:space="0" w:color="auto"/>
            </w:tcBorders>
          </w:tcPr>
          <w:p w14:paraId="40685E52"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7EF74E45" w14:textId="77777777" w:rsidR="006031D6" w:rsidRPr="006031D6" w:rsidRDefault="006031D6" w:rsidP="006031D6">
            <w:pPr>
              <w:pStyle w:val="Texttabulky"/>
              <w:spacing w:after="0" w:line="240" w:lineRule="atLeast"/>
              <w:rPr>
                <w:rFonts w:cs="Arial"/>
              </w:rPr>
            </w:pPr>
            <w:r w:rsidRPr="006031D6">
              <w:rPr>
                <w:rFonts w:cs="Arial"/>
              </w:rPr>
              <w:t>100</w:t>
            </w:r>
          </w:p>
        </w:tc>
        <w:tc>
          <w:tcPr>
            <w:tcW w:w="778" w:type="dxa"/>
            <w:tcBorders>
              <w:top w:val="single" w:sz="6" w:space="0" w:color="auto"/>
              <w:left w:val="single" w:sz="6" w:space="0" w:color="auto"/>
              <w:bottom w:val="single" w:sz="6" w:space="0" w:color="auto"/>
              <w:right w:val="single" w:sz="6" w:space="0" w:color="auto"/>
            </w:tcBorders>
          </w:tcPr>
          <w:p w14:paraId="7082AF24"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6085DE81" w14:textId="77777777" w:rsidR="006031D6" w:rsidRPr="006031D6" w:rsidRDefault="006031D6" w:rsidP="006031D6">
            <w:pPr>
              <w:pStyle w:val="Texttabulky"/>
              <w:spacing w:after="0" w:line="240" w:lineRule="atLeast"/>
              <w:rPr>
                <w:rFonts w:cs="Arial"/>
              </w:rPr>
            </w:pPr>
            <w:r w:rsidRPr="006031D6">
              <w:rPr>
                <w:rFonts w:cs="Arial"/>
              </w:rPr>
              <w:t>233,05</w:t>
            </w:r>
          </w:p>
        </w:tc>
        <w:tc>
          <w:tcPr>
            <w:tcW w:w="969" w:type="dxa"/>
            <w:tcBorders>
              <w:top w:val="single" w:sz="6" w:space="0" w:color="auto"/>
              <w:left w:val="single" w:sz="6" w:space="0" w:color="auto"/>
              <w:bottom w:val="single" w:sz="6" w:space="0" w:color="auto"/>
              <w:right w:val="single" w:sz="6" w:space="0" w:color="auto"/>
            </w:tcBorders>
          </w:tcPr>
          <w:p w14:paraId="0AB5E065" w14:textId="77777777" w:rsidR="006031D6" w:rsidRPr="006031D6" w:rsidRDefault="006031D6" w:rsidP="006031D6">
            <w:pPr>
              <w:pStyle w:val="Texttabulky"/>
              <w:spacing w:after="0" w:line="240" w:lineRule="atLeast"/>
              <w:rPr>
                <w:rFonts w:cs="Arial"/>
              </w:rPr>
            </w:pPr>
            <w:r w:rsidRPr="006031D6">
              <w:rPr>
                <w:rFonts w:cs="Arial"/>
              </w:rPr>
              <w:t>230,35</w:t>
            </w:r>
          </w:p>
        </w:tc>
        <w:tc>
          <w:tcPr>
            <w:tcW w:w="845" w:type="dxa"/>
            <w:tcBorders>
              <w:top w:val="single" w:sz="6" w:space="0" w:color="auto"/>
              <w:left w:val="single" w:sz="6" w:space="0" w:color="auto"/>
              <w:bottom w:val="single" w:sz="6" w:space="0" w:color="auto"/>
              <w:right w:val="single" w:sz="6" w:space="0" w:color="auto"/>
            </w:tcBorders>
          </w:tcPr>
          <w:p w14:paraId="7E6E3AE2" w14:textId="77777777" w:rsidR="006031D6" w:rsidRPr="006031D6" w:rsidRDefault="006031D6" w:rsidP="006031D6">
            <w:pPr>
              <w:pStyle w:val="Zkladntext"/>
              <w:spacing w:after="0"/>
              <w:rPr>
                <w:rFonts w:ascii="Arial" w:hAnsi="Arial" w:cs="Arial"/>
              </w:rPr>
            </w:pPr>
          </w:p>
        </w:tc>
      </w:tr>
      <w:tr w:rsidR="006031D6" w:rsidRPr="006031D6" w14:paraId="7F584E9E"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5CC3E2D2" w14:textId="77777777" w:rsidR="006031D6" w:rsidRPr="006031D6" w:rsidRDefault="006031D6" w:rsidP="006031D6">
            <w:pPr>
              <w:pStyle w:val="Texttabulky"/>
              <w:spacing w:after="0" w:line="240" w:lineRule="atLeast"/>
              <w:rPr>
                <w:rFonts w:cs="Arial"/>
              </w:rPr>
            </w:pPr>
            <w:r w:rsidRPr="006031D6">
              <w:rPr>
                <w:rFonts w:cs="Arial"/>
              </w:rPr>
              <w:t>Studený</w:t>
            </w:r>
          </w:p>
        </w:tc>
        <w:tc>
          <w:tcPr>
            <w:tcW w:w="1050" w:type="dxa"/>
            <w:tcBorders>
              <w:top w:val="single" w:sz="6" w:space="0" w:color="auto"/>
              <w:left w:val="single" w:sz="6" w:space="0" w:color="auto"/>
              <w:bottom w:val="single" w:sz="6" w:space="0" w:color="auto"/>
              <w:right w:val="single" w:sz="6" w:space="0" w:color="auto"/>
            </w:tcBorders>
          </w:tcPr>
          <w:p w14:paraId="61E17F15" w14:textId="77777777" w:rsidR="006031D6" w:rsidRPr="006031D6" w:rsidRDefault="006031D6" w:rsidP="006031D6">
            <w:pPr>
              <w:pStyle w:val="Texttabulky"/>
              <w:spacing w:after="0" w:line="240" w:lineRule="atLeast"/>
              <w:rPr>
                <w:rFonts w:cs="Arial"/>
              </w:rPr>
            </w:pPr>
            <w:r w:rsidRPr="006031D6">
              <w:rPr>
                <w:rFonts w:cs="Arial"/>
              </w:rPr>
              <w:t>3</w:t>
            </w:r>
          </w:p>
        </w:tc>
        <w:tc>
          <w:tcPr>
            <w:tcW w:w="886" w:type="dxa"/>
            <w:tcBorders>
              <w:top w:val="single" w:sz="6" w:space="0" w:color="auto"/>
              <w:left w:val="single" w:sz="6" w:space="0" w:color="auto"/>
              <w:bottom w:val="single" w:sz="6" w:space="0" w:color="auto"/>
              <w:right w:val="single" w:sz="6" w:space="0" w:color="auto"/>
            </w:tcBorders>
          </w:tcPr>
          <w:p w14:paraId="22D53EF1" w14:textId="77777777" w:rsidR="006031D6" w:rsidRPr="006031D6" w:rsidRDefault="006031D6" w:rsidP="006031D6">
            <w:pPr>
              <w:pStyle w:val="Texttabulky"/>
              <w:spacing w:after="0" w:line="240" w:lineRule="atLeast"/>
              <w:rPr>
                <w:rFonts w:cs="Arial"/>
              </w:rPr>
            </w:pPr>
            <w:r w:rsidRPr="006031D6">
              <w:rPr>
                <w:rFonts w:cs="Arial"/>
              </w:rPr>
              <w:t>1 000</w:t>
            </w:r>
          </w:p>
        </w:tc>
        <w:tc>
          <w:tcPr>
            <w:tcW w:w="778" w:type="dxa"/>
            <w:tcBorders>
              <w:top w:val="single" w:sz="6" w:space="0" w:color="auto"/>
              <w:left w:val="single" w:sz="6" w:space="0" w:color="auto"/>
              <w:bottom w:val="single" w:sz="6" w:space="0" w:color="auto"/>
              <w:right w:val="single" w:sz="6" w:space="0" w:color="auto"/>
            </w:tcBorders>
          </w:tcPr>
          <w:p w14:paraId="69DC761F"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49AC638B" w14:textId="77777777" w:rsidR="006031D6" w:rsidRPr="006031D6" w:rsidRDefault="006031D6" w:rsidP="006031D6">
            <w:pPr>
              <w:pStyle w:val="Texttabulky"/>
              <w:spacing w:after="0" w:line="240" w:lineRule="atLeast"/>
              <w:rPr>
                <w:rFonts w:cs="Arial"/>
              </w:rPr>
            </w:pPr>
            <w:r w:rsidRPr="006031D6">
              <w:rPr>
                <w:rFonts w:cs="Arial"/>
              </w:rPr>
              <w:t>274,12</w:t>
            </w:r>
          </w:p>
        </w:tc>
        <w:tc>
          <w:tcPr>
            <w:tcW w:w="969" w:type="dxa"/>
            <w:tcBorders>
              <w:top w:val="single" w:sz="6" w:space="0" w:color="auto"/>
              <w:left w:val="single" w:sz="6" w:space="0" w:color="auto"/>
              <w:bottom w:val="single" w:sz="6" w:space="0" w:color="auto"/>
              <w:right w:val="single" w:sz="6" w:space="0" w:color="auto"/>
            </w:tcBorders>
          </w:tcPr>
          <w:p w14:paraId="7573B4FE" w14:textId="77777777" w:rsidR="006031D6" w:rsidRPr="006031D6" w:rsidRDefault="006031D6" w:rsidP="006031D6">
            <w:pPr>
              <w:pStyle w:val="Texttabulky"/>
              <w:spacing w:after="0" w:line="240" w:lineRule="atLeast"/>
              <w:rPr>
                <w:rFonts w:cs="Arial"/>
              </w:rPr>
            </w:pPr>
            <w:r w:rsidRPr="006031D6">
              <w:rPr>
                <w:rFonts w:cs="Arial"/>
              </w:rPr>
              <w:t>270,62</w:t>
            </w:r>
          </w:p>
        </w:tc>
        <w:tc>
          <w:tcPr>
            <w:tcW w:w="845" w:type="dxa"/>
            <w:tcBorders>
              <w:top w:val="single" w:sz="6" w:space="0" w:color="auto"/>
              <w:left w:val="single" w:sz="6" w:space="0" w:color="auto"/>
              <w:bottom w:val="single" w:sz="6" w:space="0" w:color="auto"/>
              <w:right w:val="single" w:sz="6" w:space="0" w:color="auto"/>
            </w:tcBorders>
          </w:tcPr>
          <w:p w14:paraId="72F36AE2" w14:textId="77777777" w:rsidR="006031D6" w:rsidRPr="006031D6" w:rsidRDefault="006031D6" w:rsidP="006031D6">
            <w:pPr>
              <w:pStyle w:val="Zkladntext"/>
              <w:spacing w:after="0"/>
              <w:rPr>
                <w:rFonts w:ascii="Arial" w:hAnsi="Arial" w:cs="Arial"/>
              </w:rPr>
            </w:pPr>
          </w:p>
        </w:tc>
      </w:tr>
      <w:tr w:rsidR="006031D6" w:rsidRPr="006031D6" w14:paraId="0A2C6712"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79CD009A" w14:textId="77777777" w:rsidR="006031D6" w:rsidRPr="006031D6" w:rsidRDefault="006031D6" w:rsidP="006031D6">
            <w:pPr>
              <w:pStyle w:val="Texttabulky"/>
              <w:spacing w:after="0" w:line="240" w:lineRule="atLeast"/>
              <w:rPr>
                <w:rFonts w:cs="Arial"/>
              </w:rPr>
            </w:pPr>
            <w:r w:rsidRPr="006031D6">
              <w:rPr>
                <w:rFonts w:cs="Arial"/>
              </w:rPr>
              <w:t>Škrabky</w:t>
            </w:r>
          </w:p>
        </w:tc>
        <w:tc>
          <w:tcPr>
            <w:tcW w:w="1050" w:type="dxa"/>
            <w:tcBorders>
              <w:top w:val="single" w:sz="6" w:space="0" w:color="auto"/>
              <w:left w:val="single" w:sz="6" w:space="0" w:color="auto"/>
              <w:bottom w:val="single" w:sz="6" w:space="0" w:color="auto"/>
              <w:right w:val="single" w:sz="6" w:space="0" w:color="auto"/>
            </w:tcBorders>
          </w:tcPr>
          <w:p w14:paraId="489D01DD"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4A5D671B" w14:textId="77777777" w:rsidR="006031D6" w:rsidRPr="006031D6" w:rsidRDefault="006031D6" w:rsidP="006031D6">
            <w:pPr>
              <w:pStyle w:val="Texttabulky"/>
              <w:spacing w:after="0" w:line="240" w:lineRule="atLeast"/>
              <w:rPr>
                <w:rFonts w:cs="Arial"/>
              </w:rPr>
            </w:pPr>
            <w:r w:rsidRPr="006031D6">
              <w:rPr>
                <w:rFonts w:cs="Arial"/>
              </w:rPr>
              <w:t>1 100</w:t>
            </w:r>
          </w:p>
        </w:tc>
        <w:tc>
          <w:tcPr>
            <w:tcW w:w="778" w:type="dxa"/>
            <w:tcBorders>
              <w:top w:val="single" w:sz="6" w:space="0" w:color="auto"/>
              <w:left w:val="single" w:sz="6" w:space="0" w:color="auto"/>
              <w:bottom w:val="single" w:sz="6" w:space="0" w:color="auto"/>
              <w:right w:val="single" w:sz="6" w:space="0" w:color="auto"/>
            </w:tcBorders>
          </w:tcPr>
          <w:p w14:paraId="7C495F41"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25D848C3" w14:textId="77777777" w:rsidR="006031D6" w:rsidRPr="006031D6" w:rsidRDefault="006031D6" w:rsidP="006031D6">
            <w:pPr>
              <w:pStyle w:val="Texttabulky"/>
              <w:spacing w:after="0" w:line="240" w:lineRule="atLeast"/>
              <w:rPr>
                <w:rFonts w:cs="Arial"/>
              </w:rPr>
            </w:pPr>
            <w:r w:rsidRPr="006031D6">
              <w:rPr>
                <w:rFonts w:cs="Arial"/>
              </w:rPr>
              <w:t>198,94</w:t>
            </w:r>
          </w:p>
        </w:tc>
        <w:tc>
          <w:tcPr>
            <w:tcW w:w="969" w:type="dxa"/>
            <w:tcBorders>
              <w:top w:val="single" w:sz="6" w:space="0" w:color="auto"/>
              <w:left w:val="single" w:sz="6" w:space="0" w:color="auto"/>
              <w:bottom w:val="single" w:sz="6" w:space="0" w:color="auto"/>
              <w:right w:val="single" w:sz="6" w:space="0" w:color="auto"/>
            </w:tcBorders>
          </w:tcPr>
          <w:p w14:paraId="756C15F6" w14:textId="77777777" w:rsidR="006031D6" w:rsidRPr="006031D6" w:rsidRDefault="006031D6" w:rsidP="006031D6">
            <w:pPr>
              <w:pStyle w:val="Texttabulky"/>
              <w:spacing w:after="0" w:line="240" w:lineRule="atLeast"/>
              <w:rPr>
                <w:rFonts w:cs="Arial"/>
              </w:rPr>
            </w:pPr>
            <w:r w:rsidRPr="006031D6">
              <w:rPr>
                <w:rFonts w:cs="Arial"/>
              </w:rPr>
              <w:t>195,44</w:t>
            </w:r>
          </w:p>
        </w:tc>
        <w:tc>
          <w:tcPr>
            <w:tcW w:w="845" w:type="dxa"/>
            <w:tcBorders>
              <w:top w:val="single" w:sz="6" w:space="0" w:color="auto"/>
              <w:left w:val="single" w:sz="6" w:space="0" w:color="auto"/>
              <w:bottom w:val="single" w:sz="6" w:space="0" w:color="auto"/>
              <w:right w:val="single" w:sz="6" w:space="0" w:color="auto"/>
            </w:tcBorders>
          </w:tcPr>
          <w:p w14:paraId="4E937640" w14:textId="77777777" w:rsidR="006031D6" w:rsidRPr="006031D6" w:rsidRDefault="006031D6" w:rsidP="006031D6">
            <w:pPr>
              <w:pStyle w:val="Zkladntext"/>
              <w:spacing w:after="0"/>
              <w:rPr>
                <w:rFonts w:ascii="Arial" w:hAnsi="Arial" w:cs="Arial"/>
              </w:rPr>
            </w:pPr>
          </w:p>
        </w:tc>
      </w:tr>
      <w:tr w:rsidR="006031D6" w:rsidRPr="006031D6" w14:paraId="72C50923"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647ACDA4" w14:textId="77777777" w:rsidR="006031D6" w:rsidRPr="006031D6" w:rsidRDefault="006031D6" w:rsidP="006031D6">
            <w:pPr>
              <w:pStyle w:val="Texttabulky"/>
              <w:spacing w:after="0" w:line="240" w:lineRule="atLeast"/>
              <w:rPr>
                <w:rFonts w:cs="Arial"/>
              </w:rPr>
            </w:pPr>
            <w:r w:rsidRPr="006031D6">
              <w:rPr>
                <w:rFonts w:cs="Arial"/>
              </w:rPr>
              <w:t>U Bačkovských</w:t>
            </w:r>
          </w:p>
        </w:tc>
        <w:tc>
          <w:tcPr>
            <w:tcW w:w="1050" w:type="dxa"/>
            <w:tcBorders>
              <w:top w:val="single" w:sz="6" w:space="0" w:color="auto"/>
              <w:left w:val="single" w:sz="6" w:space="0" w:color="auto"/>
              <w:bottom w:val="single" w:sz="6" w:space="0" w:color="auto"/>
              <w:right w:val="single" w:sz="6" w:space="0" w:color="auto"/>
            </w:tcBorders>
          </w:tcPr>
          <w:p w14:paraId="562FFDF2"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0A2DFFF0" w14:textId="77777777" w:rsidR="006031D6" w:rsidRPr="006031D6" w:rsidRDefault="006031D6" w:rsidP="006031D6">
            <w:pPr>
              <w:pStyle w:val="Texttabulky"/>
              <w:spacing w:after="0" w:line="240" w:lineRule="atLeast"/>
              <w:rPr>
                <w:rFonts w:cs="Arial"/>
              </w:rPr>
            </w:pPr>
            <w:r w:rsidRPr="006031D6">
              <w:rPr>
                <w:rFonts w:cs="Arial"/>
              </w:rPr>
              <w:t>25</w:t>
            </w:r>
          </w:p>
        </w:tc>
        <w:tc>
          <w:tcPr>
            <w:tcW w:w="778" w:type="dxa"/>
            <w:tcBorders>
              <w:top w:val="single" w:sz="6" w:space="0" w:color="auto"/>
              <w:left w:val="single" w:sz="6" w:space="0" w:color="auto"/>
              <w:bottom w:val="single" w:sz="6" w:space="0" w:color="auto"/>
              <w:right w:val="single" w:sz="6" w:space="0" w:color="auto"/>
            </w:tcBorders>
          </w:tcPr>
          <w:p w14:paraId="21C0578E"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6AEBB35B" w14:textId="77777777" w:rsidR="006031D6" w:rsidRPr="006031D6" w:rsidRDefault="006031D6" w:rsidP="006031D6">
            <w:pPr>
              <w:pStyle w:val="Texttabulky"/>
              <w:spacing w:after="0" w:line="240" w:lineRule="atLeast"/>
              <w:rPr>
                <w:rFonts w:cs="Arial"/>
              </w:rPr>
            </w:pPr>
            <w:r w:rsidRPr="006031D6">
              <w:rPr>
                <w:rFonts w:cs="Arial"/>
              </w:rPr>
              <w:t>189,4</w:t>
            </w:r>
          </w:p>
        </w:tc>
        <w:tc>
          <w:tcPr>
            <w:tcW w:w="969" w:type="dxa"/>
            <w:tcBorders>
              <w:top w:val="single" w:sz="6" w:space="0" w:color="auto"/>
              <w:left w:val="single" w:sz="6" w:space="0" w:color="auto"/>
              <w:bottom w:val="single" w:sz="6" w:space="0" w:color="auto"/>
              <w:right w:val="single" w:sz="6" w:space="0" w:color="auto"/>
            </w:tcBorders>
          </w:tcPr>
          <w:p w14:paraId="6F4CA2EA" w14:textId="77777777" w:rsidR="006031D6" w:rsidRPr="006031D6" w:rsidRDefault="006031D6" w:rsidP="006031D6">
            <w:pPr>
              <w:pStyle w:val="Texttabulky"/>
              <w:spacing w:after="0" w:line="240" w:lineRule="atLeast"/>
              <w:rPr>
                <w:rFonts w:cs="Arial"/>
              </w:rPr>
            </w:pPr>
            <w:r w:rsidRPr="006031D6">
              <w:rPr>
                <w:rFonts w:cs="Arial"/>
              </w:rPr>
              <w:t>188</w:t>
            </w:r>
          </w:p>
        </w:tc>
        <w:tc>
          <w:tcPr>
            <w:tcW w:w="845" w:type="dxa"/>
            <w:tcBorders>
              <w:top w:val="single" w:sz="6" w:space="0" w:color="auto"/>
              <w:left w:val="single" w:sz="6" w:space="0" w:color="auto"/>
              <w:bottom w:val="single" w:sz="6" w:space="0" w:color="auto"/>
              <w:right w:val="single" w:sz="6" w:space="0" w:color="auto"/>
            </w:tcBorders>
          </w:tcPr>
          <w:p w14:paraId="6A12EAC2" w14:textId="77777777" w:rsidR="006031D6" w:rsidRPr="006031D6" w:rsidRDefault="006031D6" w:rsidP="006031D6">
            <w:pPr>
              <w:pStyle w:val="Zkladntext"/>
              <w:spacing w:after="0"/>
              <w:rPr>
                <w:rFonts w:ascii="Arial" w:hAnsi="Arial" w:cs="Arial"/>
              </w:rPr>
            </w:pPr>
          </w:p>
        </w:tc>
      </w:tr>
      <w:tr w:rsidR="006031D6" w:rsidRPr="006031D6" w14:paraId="0D4D07BB"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0BFC7CCD" w14:textId="77777777" w:rsidR="006031D6" w:rsidRPr="006031D6" w:rsidRDefault="006031D6" w:rsidP="006031D6">
            <w:pPr>
              <w:pStyle w:val="Texttabulky"/>
              <w:spacing w:after="0" w:line="240" w:lineRule="atLeast"/>
              <w:rPr>
                <w:rFonts w:cs="Arial"/>
              </w:rPr>
            </w:pPr>
            <w:r w:rsidRPr="006031D6">
              <w:rPr>
                <w:rFonts w:cs="Arial"/>
              </w:rPr>
              <w:t>U Dubce</w:t>
            </w:r>
          </w:p>
        </w:tc>
        <w:tc>
          <w:tcPr>
            <w:tcW w:w="1050" w:type="dxa"/>
            <w:tcBorders>
              <w:top w:val="single" w:sz="6" w:space="0" w:color="auto"/>
              <w:left w:val="single" w:sz="6" w:space="0" w:color="auto"/>
              <w:bottom w:val="single" w:sz="6" w:space="0" w:color="auto"/>
              <w:right w:val="single" w:sz="6" w:space="0" w:color="auto"/>
            </w:tcBorders>
          </w:tcPr>
          <w:p w14:paraId="704C8C54"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43B053C6" w14:textId="77777777" w:rsidR="006031D6" w:rsidRPr="006031D6" w:rsidRDefault="006031D6" w:rsidP="006031D6">
            <w:pPr>
              <w:pStyle w:val="Texttabulky"/>
              <w:spacing w:after="0" w:line="240" w:lineRule="atLeast"/>
              <w:rPr>
                <w:rFonts w:cs="Arial"/>
              </w:rPr>
            </w:pPr>
            <w:r w:rsidRPr="006031D6">
              <w:rPr>
                <w:rFonts w:cs="Arial"/>
              </w:rPr>
              <w:t>10</w:t>
            </w:r>
          </w:p>
        </w:tc>
        <w:tc>
          <w:tcPr>
            <w:tcW w:w="778" w:type="dxa"/>
            <w:tcBorders>
              <w:top w:val="single" w:sz="6" w:space="0" w:color="auto"/>
              <w:left w:val="single" w:sz="6" w:space="0" w:color="auto"/>
              <w:bottom w:val="single" w:sz="6" w:space="0" w:color="auto"/>
              <w:right w:val="single" w:sz="6" w:space="0" w:color="auto"/>
            </w:tcBorders>
          </w:tcPr>
          <w:p w14:paraId="5E8AA413" w14:textId="77777777" w:rsidR="006031D6" w:rsidRPr="006031D6" w:rsidRDefault="006031D6" w:rsidP="006031D6">
            <w:pPr>
              <w:pStyle w:val="Zkladntext"/>
              <w:spacing w:after="0"/>
              <w:rPr>
                <w:rFonts w:ascii="Arial" w:hAnsi="Arial" w:cs="Arial"/>
              </w:rPr>
            </w:pPr>
          </w:p>
        </w:tc>
        <w:tc>
          <w:tcPr>
            <w:tcW w:w="993" w:type="dxa"/>
            <w:tcBorders>
              <w:top w:val="single" w:sz="6" w:space="0" w:color="auto"/>
              <w:left w:val="single" w:sz="6" w:space="0" w:color="auto"/>
              <w:bottom w:val="single" w:sz="6" w:space="0" w:color="auto"/>
              <w:right w:val="single" w:sz="6" w:space="0" w:color="auto"/>
            </w:tcBorders>
          </w:tcPr>
          <w:p w14:paraId="07C5623E" w14:textId="77777777" w:rsidR="006031D6" w:rsidRPr="006031D6" w:rsidRDefault="006031D6" w:rsidP="006031D6">
            <w:pPr>
              <w:pStyle w:val="Texttabulky"/>
              <w:spacing w:after="0" w:line="240" w:lineRule="atLeast"/>
              <w:rPr>
                <w:rFonts w:cs="Arial"/>
              </w:rPr>
            </w:pPr>
            <w:r w:rsidRPr="006031D6">
              <w:rPr>
                <w:rFonts w:cs="Arial"/>
              </w:rPr>
              <w:t>198,64</w:t>
            </w:r>
          </w:p>
        </w:tc>
        <w:tc>
          <w:tcPr>
            <w:tcW w:w="969" w:type="dxa"/>
            <w:tcBorders>
              <w:top w:val="single" w:sz="6" w:space="0" w:color="auto"/>
              <w:left w:val="single" w:sz="6" w:space="0" w:color="auto"/>
              <w:bottom w:val="single" w:sz="6" w:space="0" w:color="auto"/>
              <w:right w:val="single" w:sz="6" w:space="0" w:color="auto"/>
            </w:tcBorders>
          </w:tcPr>
          <w:p w14:paraId="3A56A93C" w14:textId="77777777" w:rsidR="006031D6" w:rsidRPr="006031D6" w:rsidRDefault="006031D6" w:rsidP="006031D6">
            <w:pPr>
              <w:pStyle w:val="Texttabulky"/>
              <w:spacing w:after="0" w:line="240" w:lineRule="atLeast"/>
              <w:rPr>
                <w:rFonts w:cs="Arial"/>
              </w:rPr>
            </w:pPr>
            <w:r w:rsidRPr="006031D6">
              <w:rPr>
                <w:rFonts w:cs="Arial"/>
              </w:rPr>
              <w:t>197,39</w:t>
            </w:r>
          </w:p>
        </w:tc>
        <w:tc>
          <w:tcPr>
            <w:tcW w:w="845" w:type="dxa"/>
            <w:tcBorders>
              <w:top w:val="single" w:sz="6" w:space="0" w:color="auto"/>
              <w:left w:val="single" w:sz="6" w:space="0" w:color="auto"/>
              <w:bottom w:val="single" w:sz="6" w:space="0" w:color="auto"/>
              <w:right w:val="single" w:sz="6" w:space="0" w:color="auto"/>
            </w:tcBorders>
          </w:tcPr>
          <w:p w14:paraId="29A72BEE" w14:textId="77777777" w:rsidR="006031D6" w:rsidRPr="006031D6" w:rsidRDefault="006031D6" w:rsidP="006031D6">
            <w:pPr>
              <w:pStyle w:val="Zkladntext"/>
              <w:spacing w:after="0"/>
              <w:rPr>
                <w:rFonts w:ascii="Arial" w:hAnsi="Arial" w:cs="Arial"/>
              </w:rPr>
            </w:pPr>
          </w:p>
        </w:tc>
      </w:tr>
      <w:tr w:rsidR="006031D6" w:rsidRPr="006031D6" w14:paraId="74919A3F"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5F2E423C" w14:textId="77777777" w:rsidR="006031D6" w:rsidRPr="006031D6" w:rsidRDefault="006031D6" w:rsidP="006031D6">
            <w:pPr>
              <w:pStyle w:val="Texttabulky"/>
              <w:spacing w:after="0" w:line="240" w:lineRule="atLeast"/>
              <w:rPr>
                <w:rFonts w:cs="Arial"/>
              </w:rPr>
            </w:pPr>
            <w:r w:rsidRPr="006031D6">
              <w:rPr>
                <w:rFonts w:cs="Arial"/>
              </w:rPr>
              <w:t>U hřbitova ( Bynov )</w:t>
            </w:r>
          </w:p>
        </w:tc>
        <w:tc>
          <w:tcPr>
            <w:tcW w:w="1050" w:type="dxa"/>
            <w:tcBorders>
              <w:top w:val="single" w:sz="6" w:space="0" w:color="auto"/>
              <w:left w:val="single" w:sz="6" w:space="0" w:color="auto"/>
              <w:bottom w:val="single" w:sz="6" w:space="0" w:color="auto"/>
              <w:right w:val="single" w:sz="6" w:space="0" w:color="auto"/>
            </w:tcBorders>
          </w:tcPr>
          <w:p w14:paraId="0CAFE592"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5306C97C" w14:textId="77777777" w:rsidR="006031D6" w:rsidRPr="006031D6" w:rsidRDefault="006031D6" w:rsidP="006031D6">
            <w:pPr>
              <w:pStyle w:val="Texttabulky"/>
              <w:spacing w:after="0" w:line="240" w:lineRule="atLeast"/>
              <w:rPr>
                <w:rFonts w:cs="Arial"/>
              </w:rPr>
            </w:pPr>
            <w:r w:rsidRPr="006031D6">
              <w:rPr>
                <w:rFonts w:cs="Arial"/>
              </w:rPr>
              <w:t>100</w:t>
            </w:r>
          </w:p>
        </w:tc>
        <w:tc>
          <w:tcPr>
            <w:tcW w:w="778" w:type="dxa"/>
            <w:tcBorders>
              <w:top w:val="single" w:sz="6" w:space="0" w:color="auto"/>
              <w:left w:val="single" w:sz="6" w:space="0" w:color="auto"/>
              <w:bottom w:val="single" w:sz="6" w:space="0" w:color="auto"/>
              <w:right w:val="single" w:sz="6" w:space="0" w:color="auto"/>
            </w:tcBorders>
          </w:tcPr>
          <w:p w14:paraId="466C83C5"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4C0801B8" w14:textId="77777777" w:rsidR="006031D6" w:rsidRPr="006031D6" w:rsidRDefault="006031D6" w:rsidP="006031D6">
            <w:pPr>
              <w:pStyle w:val="Texttabulky"/>
              <w:spacing w:after="0" w:line="240" w:lineRule="atLeast"/>
              <w:rPr>
                <w:rFonts w:cs="Arial"/>
              </w:rPr>
            </w:pPr>
            <w:r w:rsidRPr="006031D6">
              <w:rPr>
                <w:rFonts w:cs="Arial"/>
              </w:rPr>
              <w:t>230,52</w:t>
            </w:r>
          </w:p>
        </w:tc>
        <w:tc>
          <w:tcPr>
            <w:tcW w:w="969" w:type="dxa"/>
            <w:tcBorders>
              <w:top w:val="single" w:sz="6" w:space="0" w:color="auto"/>
              <w:left w:val="single" w:sz="6" w:space="0" w:color="auto"/>
              <w:bottom w:val="single" w:sz="6" w:space="0" w:color="auto"/>
              <w:right w:val="single" w:sz="6" w:space="0" w:color="auto"/>
            </w:tcBorders>
          </w:tcPr>
          <w:p w14:paraId="6A36D1EC" w14:textId="77777777" w:rsidR="006031D6" w:rsidRPr="006031D6" w:rsidRDefault="006031D6" w:rsidP="006031D6">
            <w:pPr>
              <w:pStyle w:val="Texttabulky"/>
              <w:spacing w:after="0" w:line="240" w:lineRule="atLeast"/>
              <w:rPr>
                <w:rFonts w:cs="Arial"/>
              </w:rPr>
            </w:pPr>
            <w:r w:rsidRPr="006031D6">
              <w:rPr>
                <w:rFonts w:cs="Arial"/>
              </w:rPr>
              <w:t>228,52</w:t>
            </w:r>
          </w:p>
        </w:tc>
        <w:tc>
          <w:tcPr>
            <w:tcW w:w="845" w:type="dxa"/>
            <w:tcBorders>
              <w:top w:val="single" w:sz="6" w:space="0" w:color="auto"/>
              <w:left w:val="single" w:sz="6" w:space="0" w:color="auto"/>
              <w:bottom w:val="single" w:sz="6" w:space="0" w:color="auto"/>
              <w:right w:val="single" w:sz="6" w:space="0" w:color="auto"/>
            </w:tcBorders>
          </w:tcPr>
          <w:p w14:paraId="54204205" w14:textId="77777777" w:rsidR="006031D6" w:rsidRPr="006031D6" w:rsidRDefault="006031D6" w:rsidP="006031D6">
            <w:pPr>
              <w:pStyle w:val="Zkladntext"/>
              <w:spacing w:after="0"/>
              <w:rPr>
                <w:rFonts w:ascii="Arial" w:hAnsi="Arial" w:cs="Arial"/>
              </w:rPr>
            </w:pPr>
          </w:p>
        </w:tc>
      </w:tr>
      <w:tr w:rsidR="006031D6" w:rsidRPr="006031D6" w14:paraId="15AEDF9A"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10D75A53" w14:textId="77777777" w:rsidR="006031D6" w:rsidRPr="006031D6" w:rsidRDefault="006031D6" w:rsidP="006031D6">
            <w:pPr>
              <w:pStyle w:val="Texttabulky"/>
              <w:spacing w:after="0" w:line="240" w:lineRule="atLeast"/>
              <w:rPr>
                <w:rFonts w:cs="Arial"/>
              </w:rPr>
            </w:pPr>
            <w:r w:rsidRPr="006031D6">
              <w:rPr>
                <w:rFonts w:cs="Arial"/>
              </w:rPr>
              <w:t>U hřbitova ( Folknáře )</w:t>
            </w:r>
          </w:p>
        </w:tc>
        <w:tc>
          <w:tcPr>
            <w:tcW w:w="1050" w:type="dxa"/>
            <w:tcBorders>
              <w:top w:val="single" w:sz="6" w:space="0" w:color="auto"/>
              <w:left w:val="single" w:sz="6" w:space="0" w:color="auto"/>
              <w:bottom w:val="single" w:sz="6" w:space="0" w:color="auto"/>
              <w:right w:val="single" w:sz="6" w:space="0" w:color="auto"/>
            </w:tcBorders>
          </w:tcPr>
          <w:p w14:paraId="30B0EA4F" w14:textId="77777777" w:rsidR="006031D6" w:rsidRPr="006031D6" w:rsidRDefault="006031D6" w:rsidP="006031D6">
            <w:pPr>
              <w:pStyle w:val="Texttabulky"/>
              <w:spacing w:after="0" w:line="240" w:lineRule="atLeast"/>
              <w:rPr>
                <w:rFonts w:cs="Arial"/>
              </w:rPr>
            </w:pPr>
            <w:r w:rsidRPr="006031D6">
              <w:rPr>
                <w:rFonts w:cs="Arial"/>
              </w:rPr>
              <w:t>3</w:t>
            </w:r>
          </w:p>
        </w:tc>
        <w:tc>
          <w:tcPr>
            <w:tcW w:w="886" w:type="dxa"/>
            <w:tcBorders>
              <w:top w:val="single" w:sz="6" w:space="0" w:color="auto"/>
              <w:left w:val="single" w:sz="6" w:space="0" w:color="auto"/>
              <w:bottom w:val="single" w:sz="6" w:space="0" w:color="auto"/>
              <w:right w:val="single" w:sz="6" w:space="0" w:color="auto"/>
            </w:tcBorders>
          </w:tcPr>
          <w:p w14:paraId="0E19AF78" w14:textId="77777777" w:rsidR="006031D6" w:rsidRPr="006031D6" w:rsidRDefault="006031D6" w:rsidP="006031D6">
            <w:pPr>
              <w:pStyle w:val="Texttabulky"/>
              <w:spacing w:after="0" w:line="240" w:lineRule="atLeast"/>
              <w:rPr>
                <w:rFonts w:cs="Arial"/>
              </w:rPr>
            </w:pPr>
            <w:r w:rsidRPr="006031D6">
              <w:rPr>
                <w:rFonts w:cs="Arial"/>
              </w:rPr>
              <w:t>24</w:t>
            </w:r>
          </w:p>
        </w:tc>
        <w:tc>
          <w:tcPr>
            <w:tcW w:w="778" w:type="dxa"/>
            <w:tcBorders>
              <w:top w:val="single" w:sz="6" w:space="0" w:color="auto"/>
              <w:left w:val="single" w:sz="6" w:space="0" w:color="auto"/>
              <w:bottom w:val="single" w:sz="6" w:space="0" w:color="auto"/>
              <w:right w:val="single" w:sz="6" w:space="0" w:color="auto"/>
            </w:tcBorders>
          </w:tcPr>
          <w:p w14:paraId="0A6D4F1C"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1E80A7B6" w14:textId="77777777" w:rsidR="006031D6" w:rsidRPr="006031D6" w:rsidRDefault="006031D6" w:rsidP="006031D6">
            <w:pPr>
              <w:pStyle w:val="Texttabulky"/>
              <w:spacing w:after="0" w:line="240" w:lineRule="atLeast"/>
              <w:rPr>
                <w:rFonts w:cs="Arial"/>
              </w:rPr>
            </w:pPr>
            <w:r w:rsidRPr="006031D6">
              <w:rPr>
                <w:rFonts w:cs="Arial"/>
              </w:rPr>
              <w:t>268,84</w:t>
            </w:r>
          </w:p>
        </w:tc>
        <w:tc>
          <w:tcPr>
            <w:tcW w:w="969" w:type="dxa"/>
            <w:tcBorders>
              <w:top w:val="single" w:sz="6" w:space="0" w:color="auto"/>
              <w:left w:val="single" w:sz="6" w:space="0" w:color="auto"/>
              <w:bottom w:val="single" w:sz="6" w:space="0" w:color="auto"/>
              <w:right w:val="single" w:sz="6" w:space="0" w:color="auto"/>
            </w:tcBorders>
          </w:tcPr>
          <w:p w14:paraId="48AEAFFB" w14:textId="77777777" w:rsidR="006031D6" w:rsidRPr="006031D6" w:rsidRDefault="006031D6" w:rsidP="006031D6">
            <w:pPr>
              <w:pStyle w:val="Texttabulky"/>
              <w:spacing w:after="0" w:line="240" w:lineRule="atLeast"/>
              <w:rPr>
                <w:rFonts w:cs="Arial"/>
              </w:rPr>
            </w:pPr>
            <w:r w:rsidRPr="006031D6">
              <w:rPr>
                <w:rFonts w:cs="Arial"/>
              </w:rPr>
              <w:t>263,88</w:t>
            </w:r>
          </w:p>
        </w:tc>
        <w:tc>
          <w:tcPr>
            <w:tcW w:w="845" w:type="dxa"/>
            <w:tcBorders>
              <w:top w:val="single" w:sz="6" w:space="0" w:color="auto"/>
              <w:left w:val="single" w:sz="6" w:space="0" w:color="auto"/>
              <w:bottom w:val="single" w:sz="6" w:space="0" w:color="auto"/>
              <w:right w:val="single" w:sz="6" w:space="0" w:color="auto"/>
            </w:tcBorders>
          </w:tcPr>
          <w:p w14:paraId="70A2193B" w14:textId="77777777" w:rsidR="006031D6" w:rsidRPr="006031D6" w:rsidRDefault="006031D6" w:rsidP="006031D6">
            <w:pPr>
              <w:pStyle w:val="Zkladntext"/>
              <w:spacing w:after="0"/>
              <w:rPr>
                <w:rFonts w:ascii="Arial" w:hAnsi="Arial" w:cs="Arial"/>
              </w:rPr>
            </w:pPr>
          </w:p>
        </w:tc>
      </w:tr>
      <w:tr w:rsidR="006031D6" w:rsidRPr="006031D6" w14:paraId="664D9B09"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70C4D176" w14:textId="77777777" w:rsidR="006031D6" w:rsidRPr="006031D6" w:rsidRDefault="006031D6" w:rsidP="006031D6">
            <w:pPr>
              <w:pStyle w:val="Texttabulky"/>
              <w:spacing w:after="0" w:line="240" w:lineRule="atLeast"/>
              <w:rPr>
                <w:rFonts w:cs="Arial"/>
              </w:rPr>
            </w:pPr>
            <w:r w:rsidRPr="006031D6">
              <w:rPr>
                <w:rFonts w:cs="Arial"/>
              </w:rPr>
              <w:t>U hřbit. nový ( Bynov )</w:t>
            </w:r>
          </w:p>
        </w:tc>
        <w:tc>
          <w:tcPr>
            <w:tcW w:w="1050" w:type="dxa"/>
            <w:tcBorders>
              <w:top w:val="single" w:sz="6" w:space="0" w:color="auto"/>
              <w:left w:val="single" w:sz="6" w:space="0" w:color="auto"/>
              <w:bottom w:val="single" w:sz="6" w:space="0" w:color="auto"/>
              <w:right w:val="single" w:sz="6" w:space="0" w:color="auto"/>
            </w:tcBorders>
          </w:tcPr>
          <w:p w14:paraId="49A496C0"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4A381965" w14:textId="77777777" w:rsidR="006031D6" w:rsidRPr="006031D6" w:rsidRDefault="006031D6" w:rsidP="006031D6">
            <w:pPr>
              <w:pStyle w:val="Texttabulky"/>
              <w:spacing w:after="0" w:line="240" w:lineRule="atLeast"/>
              <w:rPr>
                <w:rFonts w:cs="Arial"/>
              </w:rPr>
            </w:pPr>
            <w:r w:rsidRPr="006031D6">
              <w:rPr>
                <w:rFonts w:cs="Arial"/>
              </w:rPr>
              <w:t>300</w:t>
            </w:r>
          </w:p>
        </w:tc>
        <w:tc>
          <w:tcPr>
            <w:tcW w:w="778" w:type="dxa"/>
            <w:tcBorders>
              <w:top w:val="single" w:sz="6" w:space="0" w:color="auto"/>
              <w:left w:val="single" w:sz="6" w:space="0" w:color="auto"/>
              <w:bottom w:val="single" w:sz="6" w:space="0" w:color="auto"/>
              <w:right w:val="single" w:sz="6" w:space="0" w:color="auto"/>
            </w:tcBorders>
          </w:tcPr>
          <w:p w14:paraId="653302C5"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70FE198D" w14:textId="77777777" w:rsidR="006031D6" w:rsidRPr="006031D6" w:rsidRDefault="006031D6" w:rsidP="006031D6">
            <w:pPr>
              <w:pStyle w:val="Texttabulky"/>
              <w:spacing w:after="0" w:line="240" w:lineRule="atLeast"/>
              <w:rPr>
                <w:rFonts w:cs="Arial"/>
              </w:rPr>
            </w:pPr>
            <w:r w:rsidRPr="006031D6">
              <w:rPr>
                <w:rFonts w:cs="Arial"/>
              </w:rPr>
              <w:t>231,3</w:t>
            </w:r>
          </w:p>
        </w:tc>
        <w:tc>
          <w:tcPr>
            <w:tcW w:w="969" w:type="dxa"/>
            <w:tcBorders>
              <w:top w:val="single" w:sz="6" w:space="0" w:color="auto"/>
              <w:left w:val="single" w:sz="6" w:space="0" w:color="auto"/>
              <w:bottom w:val="single" w:sz="6" w:space="0" w:color="auto"/>
              <w:right w:val="single" w:sz="6" w:space="0" w:color="auto"/>
            </w:tcBorders>
          </w:tcPr>
          <w:p w14:paraId="5F273C31" w14:textId="77777777" w:rsidR="006031D6" w:rsidRPr="006031D6" w:rsidRDefault="006031D6" w:rsidP="006031D6">
            <w:pPr>
              <w:pStyle w:val="Texttabulky"/>
              <w:spacing w:after="0" w:line="240" w:lineRule="atLeast"/>
              <w:rPr>
                <w:rFonts w:cs="Arial"/>
              </w:rPr>
            </w:pPr>
            <w:r w:rsidRPr="006031D6">
              <w:rPr>
                <w:rFonts w:cs="Arial"/>
              </w:rPr>
              <w:t>226,3</w:t>
            </w:r>
          </w:p>
        </w:tc>
        <w:tc>
          <w:tcPr>
            <w:tcW w:w="845" w:type="dxa"/>
            <w:tcBorders>
              <w:top w:val="single" w:sz="6" w:space="0" w:color="auto"/>
              <w:left w:val="single" w:sz="6" w:space="0" w:color="auto"/>
              <w:bottom w:val="single" w:sz="6" w:space="0" w:color="auto"/>
              <w:right w:val="single" w:sz="6" w:space="0" w:color="auto"/>
            </w:tcBorders>
          </w:tcPr>
          <w:p w14:paraId="7F3D1B4F" w14:textId="77777777" w:rsidR="006031D6" w:rsidRPr="006031D6" w:rsidRDefault="006031D6" w:rsidP="006031D6">
            <w:pPr>
              <w:pStyle w:val="Zkladntext"/>
              <w:spacing w:after="0"/>
              <w:rPr>
                <w:rFonts w:ascii="Arial" w:hAnsi="Arial" w:cs="Arial"/>
              </w:rPr>
            </w:pPr>
          </w:p>
        </w:tc>
      </w:tr>
      <w:tr w:rsidR="006031D6" w:rsidRPr="006031D6" w14:paraId="3A64700D"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4A41937E" w14:textId="77777777" w:rsidR="006031D6" w:rsidRPr="006031D6" w:rsidRDefault="006031D6" w:rsidP="006031D6">
            <w:pPr>
              <w:pStyle w:val="Texttabulky"/>
              <w:spacing w:after="0" w:line="240" w:lineRule="atLeast"/>
              <w:rPr>
                <w:rFonts w:cs="Arial"/>
              </w:rPr>
            </w:pPr>
            <w:r w:rsidRPr="006031D6">
              <w:rPr>
                <w:rFonts w:cs="Arial"/>
              </w:rPr>
              <w:t>Velká Veleň</w:t>
            </w:r>
          </w:p>
        </w:tc>
        <w:tc>
          <w:tcPr>
            <w:tcW w:w="1050" w:type="dxa"/>
            <w:tcBorders>
              <w:top w:val="single" w:sz="6" w:space="0" w:color="auto"/>
              <w:left w:val="single" w:sz="6" w:space="0" w:color="auto"/>
              <w:bottom w:val="single" w:sz="6" w:space="0" w:color="auto"/>
              <w:right w:val="single" w:sz="6" w:space="0" w:color="auto"/>
            </w:tcBorders>
          </w:tcPr>
          <w:p w14:paraId="50C41FD7" w14:textId="77777777" w:rsidR="006031D6" w:rsidRPr="006031D6" w:rsidRDefault="006031D6" w:rsidP="006031D6">
            <w:pPr>
              <w:pStyle w:val="Texttabulky"/>
              <w:spacing w:after="0" w:line="240" w:lineRule="atLeast"/>
              <w:rPr>
                <w:rFonts w:cs="Arial"/>
              </w:rPr>
            </w:pPr>
            <w:r w:rsidRPr="006031D6">
              <w:rPr>
                <w:rFonts w:cs="Arial"/>
              </w:rPr>
              <w:t>vlastní</w:t>
            </w:r>
          </w:p>
        </w:tc>
        <w:tc>
          <w:tcPr>
            <w:tcW w:w="886" w:type="dxa"/>
            <w:tcBorders>
              <w:top w:val="single" w:sz="6" w:space="0" w:color="auto"/>
              <w:left w:val="single" w:sz="6" w:space="0" w:color="auto"/>
              <w:bottom w:val="single" w:sz="6" w:space="0" w:color="auto"/>
              <w:right w:val="single" w:sz="6" w:space="0" w:color="auto"/>
            </w:tcBorders>
          </w:tcPr>
          <w:p w14:paraId="0F06577F" w14:textId="77777777" w:rsidR="006031D6" w:rsidRPr="006031D6" w:rsidRDefault="006031D6" w:rsidP="006031D6">
            <w:pPr>
              <w:pStyle w:val="Texttabulky"/>
              <w:spacing w:after="0" w:line="240" w:lineRule="atLeast"/>
              <w:rPr>
                <w:rFonts w:cs="Arial"/>
              </w:rPr>
            </w:pPr>
            <w:r w:rsidRPr="006031D6">
              <w:rPr>
                <w:rFonts w:cs="Arial"/>
              </w:rPr>
              <w:t>25</w:t>
            </w:r>
          </w:p>
        </w:tc>
        <w:tc>
          <w:tcPr>
            <w:tcW w:w="778" w:type="dxa"/>
            <w:tcBorders>
              <w:top w:val="single" w:sz="6" w:space="0" w:color="auto"/>
              <w:left w:val="single" w:sz="6" w:space="0" w:color="auto"/>
              <w:bottom w:val="single" w:sz="6" w:space="0" w:color="auto"/>
              <w:right w:val="single" w:sz="6" w:space="0" w:color="auto"/>
            </w:tcBorders>
          </w:tcPr>
          <w:p w14:paraId="01575531" w14:textId="77777777" w:rsidR="006031D6" w:rsidRPr="006031D6" w:rsidRDefault="006031D6" w:rsidP="006031D6">
            <w:pPr>
              <w:pStyle w:val="Zkladntext"/>
              <w:spacing w:after="0"/>
              <w:rPr>
                <w:rFonts w:ascii="Arial" w:hAnsi="Arial" w:cs="Arial"/>
              </w:rPr>
            </w:pPr>
          </w:p>
        </w:tc>
        <w:tc>
          <w:tcPr>
            <w:tcW w:w="993" w:type="dxa"/>
            <w:tcBorders>
              <w:top w:val="single" w:sz="6" w:space="0" w:color="auto"/>
              <w:left w:val="single" w:sz="6" w:space="0" w:color="auto"/>
              <w:bottom w:val="single" w:sz="6" w:space="0" w:color="auto"/>
              <w:right w:val="single" w:sz="6" w:space="0" w:color="auto"/>
            </w:tcBorders>
          </w:tcPr>
          <w:p w14:paraId="0E6BF92B" w14:textId="77777777" w:rsidR="006031D6" w:rsidRPr="006031D6" w:rsidRDefault="006031D6" w:rsidP="006031D6">
            <w:pPr>
              <w:pStyle w:val="Zkladntext"/>
              <w:spacing w:after="0"/>
              <w:rPr>
                <w:rFonts w:ascii="Arial" w:hAnsi="Arial" w:cs="Arial"/>
              </w:rPr>
            </w:pPr>
          </w:p>
        </w:tc>
        <w:tc>
          <w:tcPr>
            <w:tcW w:w="969" w:type="dxa"/>
            <w:tcBorders>
              <w:top w:val="single" w:sz="6" w:space="0" w:color="auto"/>
              <w:left w:val="single" w:sz="6" w:space="0" w:color="auto"/>
              <w:bottom w:val="single" w:sz="6" w:space="0" w:color="auto"/>
              <w:right w:val="single" w:sz="6" w:space="0" w:color="auto"/>
            </w:tcBorders>
          </w:tcPr>
          <w:p w14:paraId="5F429B38"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1949AC51" w14:textId="77777777" w:rsidR="006031D6" w:rsidRPr="006031D6" w:rsidRDefault="006031D6" w:rsidP="006031D6">
            <w:pPr>
              <w:pStyle w:val="Texttabulky"/>
              <w:spacing w:after="0" w:line="240" w:lineRule="atLeast"/>
              <w:rPr>
                <w:rFonts w:cs="Arial"/>
              </w:rPr>
            </w:pPr>
            <w:r w:rsidRPr="006031D6">
              <w:rPr>
                <w:rFonts w:cs="Arial"/>
              </w:rPr>
              <w:t>455,95</w:t>
            </w:r>
          </w:p>
        </w:tc>
      </w:tr>
      <w:tr w:rsidR="006031D6" w:rsidRPr="006031D6" w14:paraId="1D8DFF0F"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3A2B6748" w14:textId="77777777" w:rsidR="006031D6" w:rsidRPr="006031D6" w:rsidRDefault="006031D6" w:rsidP="006031D6">
            <w:pPr>
              <w:pStyle w:val="Texttabulky"/>
              <w:spacing w:after="0" w:line="240" w:lineRule="atLeast"/>
              <w:rPr>
                <w:rFonts w:cs="Arial"/>
              </w:rPr>
            </w:pPr>
            <w:r w:rsidRPr="006031D6">
              <w:rPr>
                <w:rFonts w:cs="Arial"/>
              </w:rPr>
              <w:t>Lesná</w:t>
            </w:r>
          </w:p>
        </w:tc>
        <w:tc>
          <w:tcPr>
            <w:tcW w:w="1050" w:type="dxa"/>
            <w:tcBorders>
              <w:top w:val="single" w:sz="6" w:space="0" w:color="auto"/>
              <w:left w:val="single" w:sz="6" w:space="0" w:color="auto"/>
              <w:bottom w:val="single" w:sz="6" w:space="0" w:color="auto"/>
              <w:right w:val="single" w:sz="6" w:space="0" w:color="auto"/>
            </w:tcBorders>
          </w:tcPr>
          <w:p w14:paraId="2E2616B7" w14:textId="77777777" w:rsidR="006031D6" w:rsidRPr="006031D6" w:rsidRDefault="006031D6" w:rsidP="006031D6">
            <w:pPr>
              <w:pStyle w:val="Texttabulky"/>
              <w:spacing w:after="0" w:line="240" w:lineRule="atLeast"/>
              <w:rPr>
                <w:rFonts w:cs="Arial"/>
              </w:rPr>
            </w:pPr>
            <w:r w:rsidRPr="006031D6">
              <w:rPr>
                <w:rFonts w:cs="Arial"/>
              </w:rPr>
              <w:t>vlastní</w:t>
            </w:r>
          </w:p>
        </w:tc>
        <w:tc>
          <w:tcPr>
            <w:tcW w:w="886" w:type="dxa"/>
            <w:tcBorders>
              <w:top w:val="single" w:sz="6" w:space="0" w:color="auto"/>
              <w:left w:val="single" w:sz="6" w:space="0" w:color="auto"/>
              <w:bottom w:val="single" w:sz="6" w:space="0" w:color="auto"/>
              <w:right w:val="single" w:sz="6" w:space="0" w:color="auto"/>
            </w:tcBorders>
          </w:tcPr>
          <w:p w14:paraId="064230FE" w14:textId="77777777" w:rsidR="006031D6" w:rsidRPr="006031D6" w:rsidRDefault="006031D6" w:rsidP="006031D6">
            <w:pPr>
              <w:pStyle w:val="Texttabulky"/>
              <w:spacing w:after="0" w:line="240" w:lineRule="atLeast"/>
              <w:rPr>
                <w:rFonts w:cs="Arial"/>
              </w:rPr>
            </w:pPr>
            <w:r w:rsidRPr="006031D6">
              <w:rPr>
                <w:rFonts w:cs="Arial"/>
              </w:rPr>
              <w:t>60</w:t>
            </w:r>
          </w:p>
        </w:tc>
        <w:tc>
          <w:tcPr>
            <w:tcW w:w="778" w:type="dxa"/>
            <w:tcBorders>
              <w:top w:val="single" w:sz="6" w:space="0" w:color="auto"/>
              <w:left w:val="single" w:sz="6" w:space="0" w:color="auto"/>
              <w:bottom w:val="single" w:sz="6" w:space="0" w:color="auto"/>
              <w:right w:val="single" w:sz="6" w:space="0" w:color="auto"/>
            </w:tcBorders>
          </w:tcPr>
          <w:p w14:paraId="345E30D4" w14:textId="77777777" w:rsidR="006031D6" w:rsidRPr="006031D6" w:rsidRDefault="006031D6" w:rsidP="006031D6">
            <w:pPr>
              <w:pStyle w:val="Zkladntext"/>
              <w:spacing w:after="0"/>
              <w:rPr>
                <w:rFonts w:ascii="Arial" w:hAnsi="Arial" w:cs="Arial"/>
              </w:rPr>
            </w:pPr>
          </w:p>
        </w:tc>
        <w:tc>
          <w:tcPr>
            <w:tcW w:w="993" w:type="dxa"/>
            <w:tcBorders>
              <w:top w:val="single" w:sz="6" w:space="0" w:color="auto"/>
              <w:left w:val="single" w:sz="6" w:space="0" w:color="auto"/>
              <w:bottom w:val="single" w:sz="6" w:space="0" w:color="auto"/>
              <w:right w:val="single" w:sz="6" w:space="0" w:color="auto"/>
            </w:tcBorders>
          </w:tcPr>
          <w:p w14:paraId="1C840378" w14:textId="77777777" w:rsidR="006031D6" w:rsidRPr="006031D6" w:rsidRDefault="006031D6" w:rsidP="006031D6">
            <w:pPr>
              <w:pStyle w:val="Zkladntext"/>
              <w:spacing w:after="0"/>
              <w:rPr>
                <w:rFonts w:ascii="Arial" w:hAnsi="Arial" w:cs="Arial"/>
              </w:rPr>
            </w:pPr>
          </w:p>
        </w:tc>
        <w:tc>
          <w:tcPr>
            <w:tcW w:w="969" w:type="dxa"/>
            <w:tcBorders>
              <w:top w:val="single" w:sz="6" w:space="0" w:color="auto"/>
              <w:left w:val="single" w:sz="6" w:space="0" w:color="auto"/>
              <w:bottom w:val="single" w:sz="6" w:space="0" w:color="auto"/>
              <w:right w:val="single" w:sz="6" w:space="0" w:color="auto"/>
            </w:tcBorders>
          </w:tcPr>
          <w:p w14:paraId="0F85CCE4"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1B120672" w14:textId="77777777" w:rsidR="006031D6" w:rsidRPr="006031D6" w:rsidRDefault="006031D6" w:rsidP="006031D6">
            <w:pPr>
              <w:pStyle w:val="Texttabulky"/>
              <w:spacing w:after="0" w:line="240" w:lineRule="atLeast"/>
              <w:rPr>
                <w:rFonts w:cs="Arial"/>
              </w:rPr>
            </w:pPr>
            <w:r w:rsidRPr="006031D6">
              <w:rPr>
                <w:rFonts w:cs="Arial"/>
              </w:rPr>
              <w:t>439,22</w:t>
            </w:r>
          </w:p>
        </w:tc>
      </w:tr>
      <w:tr w:rsidR="006031D6" w:rsidRPr="006031D6" w14:paraId="34E29EF6"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6B7EAC67" w14:textId="77777777" w:rsidR="006031D6" w:rsidRPr="006031D6" w:rsidRDefault="006031D6" w:rsidP="006031D6">
            <w:pPr>
              <w:pStyle w:val="Texttabulky"/>
              <w:spacing w:after="0" w:line="240" w:lineRule="atLeast"/>
              <w:rPr>
                <w:rFonts w:cs="Arial"/>
              </w:rPr>
            </w:pPr>
            <w:r w:rsidRPr="006031D6">
              <w:rPr>
                <w:rFonts w:cs="Arial"/>
              </w:rPr>
              <w:t>U obory</w:t>
            </w:r>
          </w:p>
        </w:tc>
        <w:tc>
          <w:tcPr>
            <w:tcW w:w="1050" w:type="dxa"/>
            <w:tcBorders>
              <w:top w:val="single" w:sz="6" w:space="0" w:color="auto"/>
              <w:left w:val="single" w:sz="6" w:space="0" w:color="auto"/>
              <w:bottom w:val="single" w:sz="6" w:space="0" w:color="auto"/>
              <w:right w:val="single" w:sz="6" w:space="0" w:color="auto"/>
            </w:tcBorders>
          </w:tcPr>
          <w:p w14:paraId="75A8CFF8"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683F544D" w14:textId="77777777" w:rsidR="006031D6" w:rsidRPr="006031D6" w:rsidRDefault="006031D6" w:rsidP="006031D6">
            <w:pPr>
              <w:pStyle w:val="Texttabulky"/>
              <w:spacing w:after="0" w:line="240" w:lineRule="atLeast"/>
              <w:rPr>
                <w:rFonts w:cs="Arial"/>
              </w:rPr>
            </w:pPr>
            <w:r w:rsidRPr="006031D6">
              <w:rPr>
                <w:rFonts w:cs="Arial"/>
              </w:rPr>
              <w:t>75</w:t>
            </w:r>
          </w:p>
        </w:tc>
        <w:tc>
          <w:tcPr>
            <w:tcW w:w="778" w:type="dxa"/>
            <w:tcBorders>
              <w:top w:val="single" w:sz="6" w:space="0" w:color="auto"/>
              <w:left w:val="single" w:sz="6" w:space="0" w:color="auto"/>
              <w:bottom w:val="single" w:sz="6" w:space="0" w:color="auto"/>
              <w:right w:val="single" w:sz="6" w:space="0" w:color="auto"/>
            </w:tcBorders>
          </w:tcPr>
          <w:p w14:paraId="60920DE0"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5E2B2689" w14:textId="77777777" w:rsidR="006031D6" w:rsidRPr="006031D6" w:rsidRDefault="006031D6" w:rsidP="006031D6">
            <w:pPr>
              <w:pStyle w:val="Texttabulky"/>
              <w:spacing w:after="0" w:line="240" w:lineRule="atLeast"/>
              <w:rPr>
                <w:rFonts w:cs="Arial"/>
              </w:rPr>
            </w:pPr>
            <w:r w:rsidRPr="006031D6">
              <w:rPr>
                <w:rFonts w:cs="Arial"/>
              </w:rPr>
              <w:t>218,7</w:t>
            </w:r>
          </w:p>
        </w:tc>
        <w:tc>
          <w:tcPr>
            <w:tcW w:w="969" w:type="dxa"/>
            <w:tcBorders>
              <w:top w:val="single" w:sz="6" w:space="0" w:color="auto"/>
              <w:left w:val="single" w:sz="6" w:space="0" w:color="auto"/>
              <w:bottom w:val="single" w:sz="6" w:space="0" w:color="auto"/>
              <w:right w:val="single" w:sz="6" w:space="0" w:color="auto"/>
            </w:tcBorders>
          </w:tcPr>
          <w:p w14:paraId="38723FA5" w14:textId="77777777" w:rsidR="006031D6" w:rsidRPr="006031D6" w:rsidRDefault="006031D6" w:rsidP="006031D6">
            <w:pPr>
              <w:pStyle w:val="Texttabulky"/>
              <w:spacing w:after="0" w:line="240" w:lineRule="atLeast"/>
              <w:rPr>
                <w:rFonts w:cs="Arial"/>
              </w:rPr>
            </w:pPr>
            <w:r w:rsidRPr="006031D6">
              <w:rPr>
                <w:rFonts w:cs="Arial"/>
              </w:rPr>
              <w:t>215,7</w:t>
            </w:r>
          </w:p>
        </w:tc>
        <w:tc>
          <w:tcPr>
            <w:tcW w:w="845" w:type="dxa"/>
            <w:tcBorders>
              <w:top w:val="single" w:sz="6" w:space="0" w:color="auto"/>
              <w:left w:val="single" w:sz="6" w:space="0" w:color="auto"/>
              <w:bottom w:val="single" w:sz="6" w:space="0" w:color="auto"/>
              <w:right w:val="single" w:sz="6" w:space="0" w:color="auto"/>
            </w:tcBorders>
          </w:tcPr>
          <w:p w14:paraId="120069AC" w14:textId="77777777" w:rsidR="006031D6" w:rsidRPr="006031D6" w:rsidRDefault="006031D6" w:rsidP="006031D6">
            <w:pPr>
              <w:pStyle w:val="Texttabulky"/>
              <w:spacing w:after="0" w:line="240" w:lineRule="atLeast"/>
              <w:rPr>
                <w:rFonts w:cs="Arial"/>
              </w:rPr>
            </w:pPr>
            <w:r w:rsidRPr="006031D6">
              <w:rPr>
                <w:rFonts w:cs="Arial"/>
              </w:rPr>
              <w:t>217</w:t>
            </w:r>
          </w:p>
        </w:tc>
      </w:tr>
      <w:tr w:rsidR="006031D6" w:rsidRPr="006031D6" w14:paraId="3C9C900B"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74F91509" w14:textId="77777777" w:rsidR="006031D6" w:rsidRPr="006031D6" w:rsidRDefault="006031D6" w:rsidP="006031D6">
            <w:pPr>
              <w:pStyle w:val="Texttabulky"/>
              <w:spacing w:after="0" w:line="240" w:lineRule="atLeast"/>
              <w:rPr>
                <w:rFonts w:cs="Arial"/>
              </w:rPr>
            </w:pPr>
            <w:r w:rsidRPr="006031D6">
              <w:rPr>
                <w:rFonts w:cs="Arial"/>
              </w:rPr>
              <w:t>U Polanských</w:t>
            </w:r>
          </w:p>
        </w:tc>
        <w:tc>
          <w:tcPr>
            <w:tcW w:w="1050" w:type="dxa"/>
            <w:tcBorders>
              <w:top w:val="single" w:sz="6" w:space="0" w:color="auto"/>
              <w:left w:val="single" w:sz="6" w:space="0" w:color="auto"/>
              <w:bottom w:val="single" w:sz="6" w:space="0" w:color="auto"/>
              <w:right w:val="single" w:sz="6" w:space="0" w:color="auto"/>
            </w:tcBorders>
          </w:tcPr>
          <w:p w14:paraId="12A8FA06"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778C867A" w14:textId="77777777" w:rsidR="006031D6" w:rsidRPr="006031D6" w:rsidRDefault="006031D6" w:rsidP="006031D6">
            <w:pPr>
              <w:pStyle w:val="Texttabulky"/>
              <w:spacing w:after="0" w:line="240" w:lineRule="atLeast"/>
              <w:rPr>
                <w:rFonts w:cs="Arial"/>
              </w:rPr>
            </w:pPr>
            <w:r w:rsidRPr="006031D6">
              <w:rPr>
                <w:rFonts w:cs="Arial"/>
              </w:rPr>
              <w:t>210</w:t>
            </w:r>
          </w:p>
        </w:tc>
        <w:tc>
          <w:tcPr>
            <w:tcW w:w="778" w:type="dxa"/>
            <w:tcBorders>
              <w:top w:val="single" w:sz="6" w:space="0" w:color="auto"/>
              <w:left w:val="single" w:sz="6" w:space="0" w:color="auto"/>
              <w:bottom w:val="single" w:sz="6" w:space="0" w:color="auto"/>
              <w:right w:val="single" w:sz="6" w:space="0" w:color="auto"/>
            </w:tcBorders>
          </w:tcPr>
          <w:p w14:paraId="650FEF67"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2F6030A4" w14:textId="77777777" w:rsidR="006031D6" w:rsidRPr="006031D6" w:rsidRDefault="006031D6" w:rsidP="006031D6">
            <w:pPr>
              <w:pStyle w:val="Texttabulky"/>
              <w:spacing w:after="0" w:line="240" w:lineRule="atLeast"/>
              <w:rPr>
                <w:rFonts w:cs="Arial"/>
              </w:rPr>
            </w:pPr>
            <w:r w:rsidRPr="006031D6">
              <w:rPr>
                <w:rFonts w:cs="Arial"/>
              </w:rPr>
              <w:t>239,09</w:t>
            </w:r>
          </w:p>
        </w:tc>
        <w:tc>
          <w:tcPr>
            <w:tcW w:w="969" w:type="dxa"/>
            <w:tcBorders>
              <w:top w:val="single" w:sz="6" w:space="0" w:color="auto"/>
              <w:left w:val="single" w:sz="6" w:space="0" w:color="auto"/>
              <w:bottom w:val="single" w:sz="6" w:space="0" w:color="auto"/>
              <w:right w:val="single" w:sz="6" w:space="0" w:color="auto"/>
            </w:tcBorders>
          </w:tcPr>
          <w:p w14:paraId="1836BE79" w14:textId="77777777" w:rsidR="006031D6" w:rsidRPr="006031D6" w:rsidRDefault="006031D6" w:rsidP="006031D6">
            <w:pPr>
              <w:pStyle w:val="Texttabulky"/>
              <w:spacing w:after="0" w:line="240" w:lineRule="atLeast"/>
              <w:rPr>
                <w:rFonts w:cs="Arial"/>
              </w:rPr>
            </w:pPr>
            <w:r w:rsidRPr="006031D6">
              <w:rPr>
                <w:rFonts w:cs="Arial"/>
              </w:rPr>
              <w:t>236,09</w:t>
            </w:r>
          </w:p>
        </w:tc>
        <w:tc>
          <w:tcPr>
            <w:tcW w:w="845" w:type="dxa"/>
            <w:tcBorders>
              <w:top w:val="single" w:sz="6" w:space="0" w:color="auto"/>
              <w:left w:val="single" w:sz="6" w:space="0" w:color="auto"/>
              <w:bottom w:val="single" w:sz="6" w:space="0" w:color="auto"/>
              <w:right w:val="single" w:sz="6" w:space="0" w:color="auto"/>
            </w:tcBorders>
          </w:tcPr>
          <w:p w14:paraId="0735F8F5" w14:textId="77777777" w:rsidR="006031D6" w:rsidRPr="006031D6" w:rsidRDefault="006031D6" w:rsidP="006031D6">
            <w:pPr>
              <w:pStyle w:val="Zkladntext"/>
              <w:spacing w:after="0"/>
              <w:rPr>
                <w:rFonts w:ascii="Arial" w:hAnsi="Arial" w:cs="Arial"/>
              </w:rPr>
            </w:pPr>
          </w:p>
        </w:tc>
      </w:tr>
      <w:tr w:rsidR="006031D6" w:rsidRPr="006031D6" w14:paraId="16021531"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5D4EC2F2" w14:textId="77777777" w:rsidR="006031D6" w:rsidRPr="006031D6" w:rsidRDefault="006031D6" w:rsidP="006031D6">
            <w:pPr>
              <w:pStyle w:val="Texttabulky"/>
              <w:spacing w:after="0" w:line="240" w:lineRule="atLeast"/>
              <w:rPr>
                <w:rFonts w:cs="Arial"/>
              </w:rPr>
            </w:pPr>
            <w:r w:rsidRPr="006031D6">
              <w:rPr>
                <w:rFonts w:cs="Arial"/>
              </w:rPr>
              <w:t>U Poustků</w:t>
            </w:r>
          </w:p>
        </w:tc>
        <w:tc>
          <w:tcPr>
            <w:tcW w:w="1050" w:type="dxa"/>
            <w:tcBorders>
              <w:top w:val="single" w:sz="6" w:space="0" w:color="auto"/>
              <w:left w:val="single" w:sz="6" w:space="0" w:color="auto"/>
              <w:bottom w:val="single" w:sz="6" w:space="0" w:color="auto"/>
              <w:right w:val="single" w:sz="6" w:space="0" w:color="auto"/>
            </w:tcBorders>
          </w:tcPr>
          <w:p w14:paraId="3199ACA9" w14:textId="77777777" w:rsidR="006031D6" w:rsidRPr="006031D6" w:rsidRDefault="006031D6" w:rsidP="006031D6">
            <w:pPr>
              <w:pStyle w:val="Texttabulky"/>
              <w:spacing w:after="0" w:line="240" w:lineRule="atLeast"/>
              <w:rPr>
                <w:rFonts w:cs="Arial"/>
              </w:rPr>
            </w:pPr>
            <w:r w:rsidRPr="006031D6">
              <w:rPr>
                <w:rFonts w:cs="Arial"/>
              </w:rPr>
              <w:t>1</w:t>
            </w:r>
          </w:p>
        </w:tc>
        <w:tc>
          <w:tcPr>
            <w:tcW w:w="886" w:type="dxa"/>
            <w:tcBorders>
              <w:top w:val="single" w:sz="6" w:space="0" w:color="auto"/>
              <w:left w:val="single" w:sz="6" w:space="0" w:color="auto"/>
              <w:bottom w:val="single" w:sz="6" w:space="0" w:color="auto"/>
              <w:right w:val="single" w:sz="6" w:space="0" w:color="auto"/>
            </w:tcBorders>
          </w:tcPr>
          <w:p w14:paraId="6F8194B3" w14:textId="77777777" w:rsidR="006031D6" w:rsidRPr="006031D6" w:rsidRDefault="006031D6" w:rsidP="006031D6">
            <w:pPr>
              <w:pStyle w:val="Texttabulky"/>
              <w:spacing w:after="0" w:line="240" w:lineRule="atLeast"/>
              <w:rPr>
                <w:rFonts w:cs="Arial"/>
              </w:rPr>
            </w:pPr>
            <w:r w:rsidRPr="006031D6">
              <w:rPr>
                <w:rFonts w:cs="Arial"/>
              </w:rPr>
              <w:t>60</w:t>
            </w:r>
          </w:p>
        </w:tc>
        <w:tc>
          <w:tcPr>
            <w:tcW w:w="778" w:type="dxa"/>
            <w:tcBorders>
              <w:top w:val="single" w:sz="6" w:space="0" w:color="auto"/>
              <w:left w:val="single" w:sz="6" w:space="0" w:color="auto"/>
              <w:bottom w:val="single" w:sz="6" w:space="0" w:color="auto"/>
              <w:right w:val="single" w:sz="6" w:space="0" w:color="auto"/>
            </w:tcBorders>
          </w:tcPr>
          <w:p w14:paraId="593297E7"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04FA62F2" w14:textId="77777777" w:rsidR="006031D6" w:rsidRPr="006031D6" w:rsidRDefault="006031D6" w:rsidP="006031D6">
            <w:pPr>
              <w:pStyle w:val="Texttabulky"/>
              <w:spacing w:after="0" w:line="240" w:lineRule="atLeast"/>
              <w:rPr>
                <w:rFonts w:cs="Arial"/>
              </w:rPr>
            </w:pPr>
            <w:r w:rsidRPr="006031D6">
              <w:rPr>
                <w:rFonts w:cs="Arial"/>
              </w:rPr>
              <w:t>179,95</w:t>
            </w:r>
          </w:p>
        </w:tc>
        <w:tc>
          <w:tcPr>
            <w:tcW w:w="969" w:type="dxa"/>
            <w:tcBorders>
              <w:top w:val="single" w:sz="6" w:space="0" w:color="auto"/>
              <w:left w:val="single" w:sz="6" w:space="0" w:color="auto"/>
              <w:bottom w:val="single" w:sz="6" w:space="0" w:color="auto"/>
              <w:right w:val="single" w:sz="6" w:space="0" w:color="auto"/>
            </w:tcBorders>
          </w:tcPr>
          <w:p w14:paraId="14B29238" w14:textId="77777777" w:rsidR="006031D6" w:rsidRPr="006031D6" w:rsidRDefault="006031D6" w:rsidP="006031D6">
            <w:pPr>
              <w:pStyle w:val="Texttabulky"/>
              <w:spacing w:after="0" w:line="240" w:lineRule="atLeast"/>
              <w:rPr>
                <w:rFonts w:cs="Arial"/>
              </w:rPr>
            </w:pPr>
            <w:r w:rsidRPr="006031D6">
              <w:rPr>
                <w:rFonts w:cs="Arial"/>
              </w:rPr>
              <w:t>178,05</w:t>
            </w:r>
          </w:p>
        </w:tc>
        <w:tc>
          <w:tcPr>
            <w:tcW w:w="845" w:type="dxa"/>
            <w:tcBorders>
              <w:top w:val="single" w:sz="6" w:space="0" w:color="auto"/>
              <w:left w:val="single" w:sz="6" w:space="0" w:color="auto"/>
              <w:bottom w:val="single" w:sz="6" w:space="0" w:color="auto"/>
              <w:right w:val="single" w:sz="6" w:space="0" w:color="auto"/>
            </w:tcBorders>
          </w:tcPr>
          <w:p w14:paraId="21A01994" w14:textId="77777777" w:rsidR="006031D6" w:rsidRPr="006031D6" w:rsidRDefault="006031D6" w:rsidP="006031D6">
            <w:pPr>
              <w:pStyle w:val="Zkladntext"/>
              <w:spacing w:after="0"/>
              <w:rPr>
                <w:rFonts w:ascii="Arial" w:hAnsi="Arial" w:cs="Arial"/>
              </w:rPr>
            </w:pPr>
          </w:p>
        </w:tc>
      </w:tr>
      <w:tr w:rsidR="006031D6" w:rsidRPr="006031D6" w14:paraId="5877ABEB"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68F3A4C8" w14:textId="77777777" w:rsidR="006031D6" w:rsidRPr="006031D6" w:rsidRDefault="006031D6" w:rsidP="006031D6">
            <w:pPr>
              <w:pStyle w:val="Texttabulky"/>
              <w:spacing w:after="0" w:line="240" w:lineRule="atLeast"/>
              <w:rPr>
                <w:rFonts w:cs="Arial"/>
              </w:rPr>
            </w:pPr>
            <w:r w:rsidRPr="006031D6">
              <w:rPr>
                <w:rFonts w:cs="Arial"/>
              </w:rPr>
              <w:t>U statku</w:t>
            </w:r>
          </w:p>
        </w:tc>
        <w:tc>
          <w:tcPr>
            <w:tcW w:w="1050" w:type="dxa"/>
            <w:tcBorders>
              <w:top w:val="single" w:sz="6" w:space="0" w:color="auto"/>
              <w:left w:val="single" w:sz="6" w:space="0" w:color="auto"/>
              <w:bottom w:val="single" w:sz="6" w:space="0" w:color="auto"/>
              <w:right w:val="single" w:sz="6" w:space="0" w:color="auto"/>
            </w:tcBorders>
          </w:tcPr>
          <w:p w14:paraId="66057E65" w14:textId="77777777" w:rsidR="006031D6" w:rsidRPr="006031D6" w:rsidRDefault="006031D6" w:rsidP="006031D6">
            <w:pPr>
              <w:pStyle w:val="Texttabulky"/>
              <w:spacing w:after="0" w:line="240" w:lineRule="atLeast"/>
              <w:rPr>
                <w:rFonts w:cs="Arial"/>
              </w:rPr>
            </w:pPr>
            <w:r w:rsidRPr="006031D6">
              <w:rPr>
                <w:rFonts w:cs="Arial"/>
              </w:rPr>
              <w:t>4</w:t>
            </w:r>
          </w:p>
        </w:tc>
        <w:tc>
          <w:tcPr>
            <w:tcW w:w="886" w:type="dxa"/>
            <w:tcBorders>
              <w:top w:val="single" w:sz="6" w:space="0" w:color="auto"/>
              <w:left w:val="single" w:sz="6" w:space="0" w:color="auto"/>
              <w:bottom w:val="single" w:sz="6" w:space="0" w:color="auto"/>
              <w:right w:val="single" w:sz="6" w:space="0" w:color="auto"/>
            </w:tcBorders>
          </w:tcPr>
          <w:p w14:paraId="7BCEDE8D" w14:textId="77777777" w:rsidR="006031D6" w:rsidRPr="006031D6" w:rsidRDefault="006031D6" w:rsidP="006031D6">
            <w:pPr>
              <w:pStyle w:val="Zkladntext"/>
              <w:spacing w:after="0"/>
              <w:rPr>
                <w:rFonts w:ascii="Arial" w:hAnsi="Arial" w:cs="Arial"/>
              </w:rPr>
            </w:pPr>
          </w:p>
        </w:tc>
        <w:tc>
          <w:tcPr>
            <w:tcW w:w="778" w:type="dxa"/>
            <w:tcBorders>
              <w:top w:val="single" w:sz="6" w:space="0" w:color="auto"/>
              <w:left w:val="single" w:sz="6" w:space="0" w:color="auto"/>
              <w:bottom w:val="single" w:sz="6" w:space="0" w:color="auto"/>
              <w:right w:val="single" w:sz="6" w:space="0" w:color="auto"/>
            </w:tcBorders>
          </w:tcPr>
          <w:p w14:paraId="4A3CBCB6" w14:textId="77777777" w:rsidR="006031D6" w:rsidRPr="006031D6" w:rsidRDefault="006031D6" w:rsidP="006031D6">
            <w:pPr>
              <w:pStyle w:val="Zkladntext"/>
              <w:spacing w:after="0"/>
              <w:rPr>
                <w:rFonts w:ascii="Arial" w:hAnsi="Arial" w:cs="Arial"/>
              </w:rPr>
            </w:pPr>
          </w:p>
        </w:tc>
        <w:tc>
          <w:tcPr>
            <w:tcW w:w="993" w:type="dxa"/>
            <w:tcBorders>
              <w:top w:val="single" w:sz="6" w:space="0" w:color="auto"/>
              <w:left w:val="single" w:sz="6" w:space="0" w:color="auto"/>
              <w:bottom w:val="single" w:sz="6" w:space="0" w:color="auto"/>
              <w:right w:val="single" w:sz="6" w:space="0" w:color="auto"/>
            </w:tcBorders>
          </w:tcPr>
          <w:p w14:paraId="172064C4" w14:textId="77777777" w:rsidR="006031D6" w:rsidRPr="006031D6" w:rsidRDefault="006031D6" w:rsidP="006031D6">
            <w:pPr>
              <w:pStyle w:val="Texttabulky"/>
              <w:spacing w:after="0" w:line="240" w:lineRule="atLeast"/>
              <w:rPr>
                <w:rFonts w:cs="Arial"/>
              </w:rPr>
            </w:pPr>
            <w:r w:rsidRPr="006031D6">
              <w:rPr>
                <w:rFonts w:cs="Arial"/>
              </w:rPr>
              <w:t>294,34</w:t>
            </w:r>
          </w:p>
        </w:tc>
        <w:tc>
          <w:tcPr>
            <w:tcW w:w="969" w:type="dxa"/>
            <w:tcBorders>
              <w:top w:val="single" w:sz="6" w:space="0" w:color="auto"/>
              <w:left w:val="single" w:sz="6" w:space="0" w:color="auto"/>
              <w:bottom w:val="single" w:sz="6" w:space="0" w:color="auto"/>
              <w:right w:val="single" w:sz="6" w:space="0" w:color="auto"/>
            </w:tcBorders>
          </w:tcPr>
          <w:p w14:paraId="50C67417"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68607BBB" w14:textId="77777777" w:rsidR="006031D6" w:rsidRPr="006031D6" w:rsidRDefault="006031D6" w:rsidP="006031D6">
            <w:pPr>
              <w:pStyle w:val="Zkladntext"/>
              <w:spacing w:after="0"/>
              <w:rPr>
                <w:rFonts w:ascii="Arial" w:hAnsi="Arial" w:cs="Arial"/>
              </w:rPr>
            </w:pPr>
          </w:p>
        </w:tc>
      </w:tr>
      <w:tr w:rsidR="006031D6" w:rsidRPr="006031D6" w14:paraId="37CFABCB"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020B414C" w14:textId="77777777" w:rsidR="006031D6" w:rsidRPr="006031D6" w:rsidRDefault="006031D6" w:rsidP="006031D6">
            <w:pPr>
              <w:pStyle w:val="Texttabulky"/>
              <w:spacing w:after="0" w:line="240" w:lineRule="atLeast"/>
              <w:rPr>
                <w:rFonts w:cs="Arial"/>
              </w:rPr>
            </w:pPr>
            <w:r w:rsidRPr="006031D6">
              <w:rPr>
                <w:rFonts w:cs="Arial"/>
              </w:rPr>
              <w:t>U tří dubů</w:t>
            </w:r>
          </w:p>
        </w:tc>
        <w:tc>
          <w:tcPr>
            <w:tcW w:w="1050" w:type="dxa"/>
            <w:tcBorders>
              <w:top w:val="single" w:sz="6" w:space="0" w:color="auto"/>
              <w:left w:val="single" w:sz="6" w:space="0" w:color="auto"/>
              <w:bottom w:val="single" w:sz="6" w:space="0" w:color="auto"/>
              <w:right w:val="single" w:sz="6" w:space="0" w:color="auto"/>
            </w:tcBorders>
          </w:tcPr>
          <w:p w14:paraId="04D4BBCF" w14:textId="77777777" w:rsidR="006031D6" w:rsidRPr="006031D6" w:rsidRDefault="006031D6" w:rsidP="006031D6">
            <w:pPr>
              <w:pStyle w:val="Texttabulky"/>
              <w:spacing w:after="0" w:line="240" w:lineRule="atLeast"/>
              <w:rPr>
                <w:rFonts w:cs="Arial"/>
              </w:rPr>
            </w:pPr>
            <w:r w:rsidRPr="006031D6">
              <w:rPr>
                <w:rFonts w:cs="Arial"/>
              </w:rPr>
              <w:t>3</w:t>
            </w:r>
          </w:p>
        </w:tc>
        <w:tc>
          <w:tcPr>
            <w:tcW w:w="886" w:type="dxa"/>
            <w:tcBorders>
              <w:top w:val="single" w:sz="6" w:space="0" w:color="auto"/>
              <w:left w:val="single" w:sz="6" w:space="0" w:color="auto"/>
              <w:bottom w:val="single" w:sz="6" w:space="0" w:color="auto"/>
              <w:right w:val="single" w:sz="6" w:space="0" w:color="auto"/>
            </w:tcBorders>
          </w:tcPr>
          <w:p w14:paraId="70359458" w14:textId="77777777" w:rsidR="006031D6" w:rsidRPr="006031D6" w:rsidRDefault="006031D6" w:rsidP="006031D6">
            <w:pPr>
              <w:pStyle w:val="Texttabulky"/>
              <w:spacing w:after="0" w:line="240" w:lineRule="atLeast"/>
              <w:rPr>
                <w:rFonts w:cs="Arial"/>
              </w:rPr>
            </w:pPr>
            <w:r w:rsidRPr="006031D6">
              <w:rPr>
                <w:rFonts w:cs="Arial"/>
              </w:rPr>
              <w:t>25</w:t>
            </w:r>
          </w:p>
        </w:tc>
        <w:tc>
          <w:tcPr>
            <w:tcW w:w="778" w:type="dxa"/>
            <w:tcBorders>
              <w:top w:val="single" w:sz="6" w:space="0" w:color="auto"/>
              <w:left w:val="single" w:sz="6" w:space="0" w:color="auto"/>
              <w:bottom w:val="single" w:sz="6" w:space="0" w:color="auto"/>
              <w:right w:val="single" w:sz="6" w:space="0" w:color="auto"/>
            </w:tcBorders>
          </w:tcPr>
          <w:p w14:paraId="5288E1E1"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684E5146" w14:textId="77777777" w:rsidR="006031D6" w:rsidRPr="006031D6" w:rsidRDefault="006031D6" w:rsidP="006031D6">
            <w:pPr>
              <w:pStyle w:val="Texttabulky"/>
              <w:spacing w:after="0" w:line="240" w:lineRule="atLeast"/>
              <w:rPr>
                <w:rFonts w:cs="Arial"/>
              </w:rPr>
            </w:pPr>
            <w:r w:rsidRPr="006031D6">
              <w:rPr>
                <w:rFonts w:cs="Arial"/>
              </w:rPr>
              <w:t>257,46</w:t>
            </w:r>
          </w:p>
        </w:tc>
        <w:tc>
          <w:tcPr>
            <w:tcW w:w="969" w:type="dxa"/>
            <w:tcBorders>
              <w:top w:val="single" w:sz="6" w:space="0" w:color="auto"/>
              <w:left w:val="single" w:sz="6" w:space="0" w:color="auto"/>
              <w:bottom w:val="single" w:sz="6" w:space="0" w:color="auto"/>
              <w:right w:val="single" w:sz="6" w:space="0" w:color="auto"/>
            </w:tcBorders>
          </w:tcPr>
          <w:p w14:paraId="1F90D0C9" w14:textId="77777777" w:rsidR="006031D6" w:rsidRPr="006031D6" w:rsidRDefault="006031D6" w:rsidP="006031D6">
            <w:pPr>
              <w:pStyle w:val="Texttabulky"/>
              <w:spacing w:after="0" w:line="240" w:lineRule="atLeast"/>
              <w:rPr>
                <w:rFonts w:cs="Arial"/>
              </w:rPr>
            </w:pPr>
            <w:r w:rsidRPr="006031D6">
              <w:rPr>
                <w:rFonts w:cs="Arial"/>
              </w:rPr>
              <w:t>256,46</w:t>
            </w:r>
          </w:p>
        </w:tc>
        <w:tc>
          <w:tcPr>
            <w:tcW w:w="845" w:type="dxa"/>
            <w:tcBorders>
              <w:top w:val="single" w:sz="6" w:space="0" w:color="auto"/>
              <w:left w:val="single" w:sz="6" w:space="0" w:color="auto"/>
              <w:bottom w:val="single" w:sz="6" w:space="0" w:color="auto"/>
              <w:right w:val="single" w:sz="6" w:space="0" w:color="auto"/>
            </w:tcBorders>
          </w:tcPr>
          <w:p w14:paraId="11A66725" w14:textId="77777777" w:rsidR="006031D6" w:rsidRPr="006031D6" w:rsidRDefault="006031D6" w:rsidP="006031D6">
            <w:pPr>
              <w:pStyle w:val="Zkladntext"/>
              <w:spacing w:after="0"/>
              <w:rPr>
                <w:rFonts w:ascii="Arial" w:hAnsi="Arial" w:cs="Arial"/>
              </w:rPr>
            </w:pPr>
          </w:p>
        </w:tc>
      </w:tr>
      <w:tr w:rsidR="006031D6" w:rsidRPr="006031D6" w14:paraId="27C85A2A"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34FE4AD0" w14:textId="77777777" w:rsidR="006031D6" w:rsidRPr="006031D6" w:rsidRDefault="006031D6" w:rsidP="006031D6">
            <w:pPr>
              <w:pStyle w:val="Texttabulky"/>
              <w:spacing w:after="0" w:line="240" w:lineRule="atLeast"/>
              <w:rPr>
                <w:rFonts w:cs="Arial"/>
              </w:rPr>
            </w:pPr>
            <w:r w:rsidRPr="006031D6">
              <w:rPr>
                <w:rFonts w:cs="Arial"/>
              </w:rPr>
              <w:t>U Turečka</w:t>
            </w:r>
          </w:p>
        </w:tc>
        <w:tc>
          <w:tcPr>
            <w:tcW w:w="1050" w:type="dxa"/>
            <w:tcBorders>
              <w:top w:val="single" w:sz="6" w:space="0" w:color="auto"/>
              <w:left w:val="single" w:sz="6" w:space="0" w:color="auto"/>
              <w:bottom w:val="single" w:sz="6" w:space="0" w:color="auto"/>
              <w:right w:val="single" w:sz="6" w:space="0" w:color="auto"/>
            </w:tcBorders>
          </w:tcPr>
          <w:p w14:paraId="1A88CCA8" w14:textId="77777777" w:rsidR="006031D6" w:rsidRPr="006031D6" w:rsidRDefault="006031D6" w:rsidP="006031D6">
            <w:pPr>
              <w:pStyle w:val="Texttabulky"/>
              <w:spacing w:after="0" w:line="240" w:lineRule="atLeast"/>
              <w:rPr>
                <w:rFonts w:cs="Arial"/>
              </w:rPr>
            </w:pPr>
            <w:r w:rsidRPr="006031D6">
              <w:rPr>
                <w:rFonts w:cs="Arial"/>
              </w:rPr>
              <w:t>5</w:t>
            </w:r>
          </w:p>
        </w:tc>
        <w:tc>
          <w:tcPr>
            <w:tcW w:w="886" w:type="dxa"/>
            <w:tcBorders>
              <w:top w:val="single" w:sz="6" w:space="0" w:color="auto"/>
              <w:left w:val="single" w:sz="6" w:space="0" w:color="auto"/>
              <w:bottom w:val="single" w:sz="6" w:space="0" w:color="auto"/>
              <w:right w:val="single" w:sz="6" w:space="0" w:color="auto"/>
            </w:tcBorders>
          </w:tcPr>
          <w:p w14:paraId="0D1FFA43" w14:textId="77777777" w:rsidR="006031D6" w:rsidRPr="006031D6" w:rsidRDefault="006031D6" w:rsidP="006031D6">
            <w:pPr>
              <w:pStyle w:val="Texttabulky"/>
              <w:spacing w:after="0" w:line="240" w:lineRule="atLeast"/>
              <w:rPr>
                <w:rFonts w:cs="Arial"/>
              </w:rPr>
            </w:pPr>
            <w:r w:rsidRPr="006031D6">
              <w:rPr>
                <w:rFonts w:cs="Arial"/>
              </w:rPr>
              <w:t>3</w:t>
            </w:r>
          </w:p>
        </w:tc>
        <w:tc>
          <w:tcPr>
            <w:tcW w:w="778" w:type="dxa"/>
            <w:tcBorders>
              <w:top w:val="single" w:sz="6" w:space="0" w:color="auto"/>
              <w:left w:val="single" w:sz="6" w:space="0" w:color="auto"/>
              <w:bottom w:val="single" w:sz="6" w:space="0" w:color="auto"/>
              <w:right w:val="single" w:sz="6" w:space="0" w:color="auto"/>
            </w:tcBorders>
          </w:tcPr>
          <w:p w14:paraId="1ED09CC8" w14:textId="77777777" w:rsidR="006031D6" w:rsidRPr="006031D6" w:rsidRDefault="006031D6" w:rsidP="006031D6">
            <w:pPr>
              <w:pStyle w:val="Zkladntext"/>
              <w:spacing w:after="0"/>
              <w:rPr>
                <w:rFonts w:ascii="Arial" w:hAnsi="Arial" w:cs="Arial"/>
              </w:rPr>
            </w:pPr>
          </w:p>
        </w:tc>
        <w:tc>
          <w:tcPr>
            <w:tcW w:w="993" w:type="dxa"/>
            <w:tcBorders>
              <w:top w:val="single" w:sz="6" w:space="0" w:color="auto"/>
              <w:left w:val="single" w:sz="6" w:space="0" w:color="auto"/>
              <w:bottom w:val="single" w:sz="6" w:space="0" w:color="auto"/>
              <w:right w:val="single" w:sz="6" w:space="0" w:color="auto"/>
            </w:tcBorders>
          </w:tcPr>
          <w:p w14:paraId="441B6039" w14:textId="77777777" w:rsidR="006031D6" w:rsidRPr="006031D6" w:rsidRDefault="006031D6" w:rsidP="006031D6">
            <w:pPr>
              <w:pStyle w:val="Zkladntext"/>
              <w:spacing w:after="0"/>
              <w:rPr>
                <w:rFonts w:ascii="Arial" w:hAnsi="Arial" w:cs="Arial"/>
              </w:rPr>
            </w:pPr>
          </w:p>
        </w:tc>
        <w:tc>
          <w:tcPr>
            <w:tcW w:w="969" w:type="dxa"/>
            <w:tcBorders>
              <w:top w:val="single" w:sz="6" w:space="0" w:color="auto"/>
              <w:left w:val="single" w:sz="6" w:space="0" w:color="auto"/>
              <w:bottom w:val="single" w:sz="6" w:space="0" w:color="auto"/>
              <w:right w:val="single" w:sz="6" w:space="0" w:color="auto"/>
            </w:tcBorders>
          </w:tcPr>
          <w:p w14:paraId="6947540E"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707085C2" w14:textId="77777777" w:rsidR="006031D6" w:rsidRPr="006031D6" w:rsidRDefault="006031D6" w:rsidP="006031D6">
            <w:pPr>
              <w:pStyle w:val="Zkladntext"/>
              <w:spacing w:after="0"/>
              <w:rPr>
                <w:rFonts w:ascii="Arial" w:hAnsi="Arial" w:cs="Arial"/>
              </w:rPr>
            </w:pPr>
          </w:p>
        </w:tc>
      </w:tr>
      <w:tr w:rsidR="006031D6" w:rsidRPr="006031D6" w14:paraId="2A944488"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4C37CC4F" w14:textId="77777777" w:rsidR="006031D6" w:rsidRPr="006031D6" w:rsidRDefault="006031D6" w:rsidP="006031D6">
            <w:pPr>
              <w:pStyle w:val="Texttabulky"/>
              <w:spacing w:after="0" w:line="240" w:lineRule="atLeast"/>
              <w:rPr>
                <w:rFonts w:cs="Arial"/>
              </w:rPr>
            </w:pPr>
            <w:r w:rsidRPr="006031D6">
              <w:rPr>
                <w:rFonts w:cs="Arial"/>
              </w:rPr>
              <w:t>Václavov</w:t>
            </w:r>
          </w:p>
        </w:tc>
        <w:tc>
          <w:tcPr>
            <w:tcW w:w="1050" w:type="dxa"/>
            <w:tcBorders>
              <w:top w:val="single" w:sz="6" w:space="0" w:color="auto"/>
              <w:left w:val="single" w:sz="6" w:space="0" w:color="auto"/>
              <w:bottom w:val="single" w:sz="6" w:space="0" w:color="auto"/>
              <w:right w:val="single" w:sz="6" w:space="0" w:color="auto"/>
            </w:tcBorders>
          </w:tcPr>
          <w:p w14:paraId="13A5BE61"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5885543F" w14:textId="77777777" w:rsidR="006031D6" w:rsidRPr="006031D6" w:rsidRDefault="006031D6" w:rsidP="006031D6">
            <w:pPr>
              <w:pStyle w:val="Texttabulky"/>
              <w:spacing w:after="0" w:line="240" w:lineRule="atLeast"/>
              <w:rPr>
                <w:rFonts w:cs="Arial"/>
              </w:rPr>
            </w:pPr>
            <w:r w:rsidRPr="006031D6">
              <w:rPr>
                <w:rFonts w:cs="Arial"/>
              </w:rPr>
              <w:t>500</w:t>
            </w:r>
          </w:p>
        </w:tc>
        <w:tc>
          <w:tcPr>
            <w:tcW w:w="778" w:type="dxa"/>
            <w:tcBorders>
              <w:top w:val="single" w:sz="6" w:space="0" w:color="auto"/>
              <w:left w:val="single" w:sz="6" w:space="0" w:color="auto"/>
              <w:bottom w:val="single" w:sz="6" w:space="0" w:color="auto"/>
              <w:right w:val="single" w:sz="6" w:space="0" w:color="auto"/>
            </w:tcBorders>
          </w:tcPr>
          <w:p w14:paraId="0DFDD9E5"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5E9CD3F9" w14:textId="77777777" w:rsidR="006031D6" w:rsidRPr="006031D6" w:rsidRDefault="006031D6" w:rsidP="006031D6">
            <w:pPr>
              <w:pStyle w:val="Texttabulky"/>
              <w:spacing w:after="0" w:line="240" w:lineRule="atLeast"/>
              <w:rPr>
                <w:rFonts w:cs="Arial"/>
              </w:rPr>
            </w:pPr>
            <w:r w:rsidRPr="006031D6">
              <w:rPr>
                <w:rFonts w:cs="Arial"/>
              </w:rPr>
              <w:t>235,57</w:t>
            </w:r>
          </w:p>
        </w:tc>
        <w:tc>
          <w:tcPr>
            <w:tcW w:w="969" w:type="dxa"/>
            <w:tcBorders>
              <w:top w:val="single" w:sz="6" w:space="0" w:color="auto"/>
              <w:left w:val="single" w:sz="6" w:space="0" w:color="auto"/>
              <w:bottom w:val="single" w:sz="6" w:space="0" w:color="auto"/>
              <w:right w:val="single" w:sz="6" w:space="0" w:color="auto"/>
            </w:tcBorders>
          </w:tcPr>
          <w:p w14:paraId="417CD09F" w14:textId="77777777" w:rsidR="006031D6" w:rsidRPr="006031D6" w:rsidRDefault="006031D6" w:rsidP="006031D6">
            <w:pPr>
              <w:pStyle w:val="Texttabulky"/>
              <w:spacing w:after="0" w:line="240" w:lineRule="atLeast"/>
              <w:rPr>
                <w:rFonts w:cs="Arial"/>
              </w:rPr>
            </w:pPr>
            <w:r w:rsidRPr="006031D6">
              <w:rPr>
                <w:rFonts w:cs="Arial"/>
              </w:rPr>
              <w:t>231,07</w:t>
            </w:r>
          </w:p>
        </w:tc>
        <w:tc>
          <w:tcPr>
            <w:tcW w:w="845" w:type="dxa"/>
            <w:tcBorders>
              <w:top w:val="single" w:sz="6" w:space="0" w:color="auto"/>
              <w:left w:val="single" w:sz="6" w:space="0" w:color="auto"/>
              <w:bottom w:val="single" w:sz="6" w:space="0" w:color="auto"/>
              <w:right w:val="single" w:sz="6" w:space="0" w:color="auto"/>
            </w:tcBorders>
          </w:tcPr>
          <w:p w14:paraId="6C5C4371" w14:textId="77777777" w:rsidR="006031D6" w:rsidRPr="006031D6" w:rsidRDefault="006031D6" w:rsidP="006031D6">
            <w:pPr>
              <w:pStyle w:val="Zkladntext"/>
              <w:spacing w:after="0"/>
              <w:rPr>
                <w:rFonts w:ascii="Arial" w:hAnsi="Arial" w:cs="Arial"/>
              </w:rPr>
            </w:pPr>
          </w:p>
        </w:tc>
      </w:tr>
      <w:tr w:rsidR="006031D6" w:rsidRPr="006031D6" w14:paraId="3CE607DB"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1515E043" w14:textId="77777777" w:rsidR="006031D6" w:rsidRPr="006031D6" w:rsidRDefault="006031D6" w:rsidP="006031D6">
            <w:pPr>
              <w:pStyle w:val="Texttabulky"/>
              <w:spacing w:after="0" w:line="240" w:lineRule="atLeast"/>
              <w:rPr>
                <w:rFonts w:cs="Arial"/>
              </w:rPr>
            </w:pPr>
            <w:r w:rsidRPr="006031D6">
              <w:rPr>
                <w:rFonts w:cs="Arial"/>
              </w:rPr>
              <w:t>Václavov n.</w:t>
            </w:r>
          </w:p>
        </w:tc>
        <w:tc>
          <w:tcPr>
            <w:tcW w:w="1050" w:type="dxa"/>
            <w:tcBorders>
              <w:top w:val="single" w:sz="6" w:space="0" w:color="auto"/>
              <w:left w:val="single" w:sz="6" w:space="0" w:color="auto"/>
              <w:bottom w:val="single" w:sz="6" w:space="0" w:color="auto"/>
              <w:right w:val="single" w:sz="6" w:space="0" w:color="auto"/>
            </w:tcBorders>
          </w:tcPr>
          <w:p w14:paraId="03492F6E"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29AD2E35" w14:textId="77777777" w:rsidR="006031D6" w:rsidRPr="006031D6" w:rsidRDefault="006031D6" w:rsidP="006031D6">
            <w:pPr>
              <w:pStyle w:val="Texttabulky"/>
              <w:spacing w:after="0" w:line="240" w:lineRule="atLeast"/>
              <w:rPr>
                <w:rFonts w:cs="Arial"/>
              </w:rPr>
            </w:pPr>
            <w:r w:rsidRPr="006031D6">
              <w:rPr>
                <w:rFonts w:cs="Arial"/>
              </w:rPr>
              <w:t>650</w:t>
            </w:r>
          </w:p>
        </w:tc>
        <w:tc>
          <w:tcPr>
            <w:tcW w:w="778" w:type="dxa"/>
            <w:tcBorders>
              <w:top w:val="single" w:sz="6" w:space="0" w:color="auto"/>
              <w:left w:val="single" w:sz="6" w:space="0" w:color="auto"/>
              <w:bottom w:val="single" w:sz="6" w:space="0" w:color="auto"/>
              <w:right w:val="single" w:sz="6" w:space="0" w:color="auto"/>
            </w:tcBorders>
          </w:tcPr>
          <w:p w14:paraId="73D27747"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6C36CF55" w14:textId="77777777" w:rsidR="006031D6" w:rsidRPr="006031D6" w:rsidRDefault="006031D6" w:rsidP="006031D6">
            <w:pPr>
              <w:pStyle w:val="Texttabulky"/>
              <w:spacing w:after="0" w:line="240" w:lineRule="atLeast"/>
              <w:rPr>
                <w:rFonts w:cs="Arial"/>
              </w:rPr>
            </w:pPr>
            <w:r w:rsidRPr="006031D6">
              <w:rPr>
                <w:rFonts w:cs="Arial"/>
              </w:rPr>
              <w:t>235,57</w:t>
            </w:r>
          </w:p>
        </w:tc>
        <w:tc>
          <w:tcPr>
            <w:tcW w:w="969" w:type="dxa"/>
            <w:tcBorders>
              <w:top w:val="single" w:sz="6" w:space="0" w:color="auto"/>
              <w:left w:val="single" w:sz="6" w:space="0" w:color="auto"/>
              <w:bottom w:val="single" w:sz="6" w:space="0" w:color="auto"/>
              <w:right w:val="single" w:sz="6" w:space="0" w:color="auto"/>
            </w:tcBorders>
          </w:tcPr>
          <w:p w14:paraId="0DBCE97E" w14:textId="77777777" w:rsidR="006031D6" w:rsidRPr="006031D6" w:rsidRDefault="006031D6" w:rsidP="006031D6">
            <w:pPr>
              <w:pStyle w:val="Texttabulky"/>
              <w:spacing w:after="0" w:line="240" w:lineRule="atLeast"/>
              <w:rPr>
                <w:rFonts w:cs="Arial"/>
              </w:rPr>
            </w:pPr>
            <w:r w:rsidRPr="006031D6">
              <w:rPr>
                <w:rFonts w:cs="Arial"/>
              </w:rPr>
              <w:t>231,07</w:t>
            </w:r>
          </w:p>
        </w:tc>
        <w:tc>
          <w:tcPr>
            <w:tcW w:w="845" w:type="dxa"/>
            <w:tcBorders>
              <w:top w:val="single" w:sz="6" w:space="0" w:color="auto"/>
              <w:left w:val="single" w:sz="6" w:space="0" w:color="auto"/>
              <w:bottom w:val="single" w:sz="6" w:space="0" w:color="auto"/>
              <w:right w:val="single" w:sz="6" w:space="0" w:color="auto"/>
            </w:tcBorders>
          </w:tcPr>
          <w:p w14:paraId="235632C2" w14:textId="77777777" w:rsidR="006031D6" w:rsidRPr="006031D6" w:rsidRDefault="006031D6" w:rsidP="006031D6">
            <w:pPr>
              <w:pStyle w:val="Zkladntext"/>
              <w:spacing w:after="0"/>
              <w:rPr>
                <w:rFonts w:ascii="Arial" w:hAnsi="Arial" w:cs="Arial"/>
              </w:rPr>
            </w:pPr>
          </w:p>
        </w:tc>
      </w:tr>
      <w:tr w:rsidR="006031D6" w:rsidRPr="006031D6" w14:paraId="0591F0AF"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5FC82C0E" w14:textId="77777777" w:rsidR="006031D6" w:rsidRPr="006031D6" w:rsidRDefault="006031D6" w:rsidP="006031D6">
            <w:pPr>
              <w:pStyle w:val="Texttabulky"/>
              <w:spacing w:after="0" w:line="240" w:lineRule="atLeast"/>
              <w:rPr>
                <w:rFonts w:cs="Arial"/>
              </w:rPr>
            </w:pPr>
            <w:r w:rsidRPr="006031D6">
              <w:rPr>
                <w:rFonts w:cs="Arial"/>
              </w:rPr>
              <w:t>Vilsnice NP</w:t>
            </w:r>
          </w:p>
        </w:tc>
        <w:tc>
          <w:tcPr>
            <w:tcW w:w="1050" w:type="dxa"/>
            <w:tcBorders>
              <w:top w:val="single" w:sz="6" w:space="0" w:color="auto"/>
              <w:left w:val="single" w:sz="6" w:space="0" w:color="auto"/>
              <w:bottom w:val="single" w:sz="6" w:space="0" w:color="auto"/>
              <w:right w:val="single" w:sz="6" w:space="0" w:color="auto"/>
            </w:tcBorders>
          </w:tcPr>
          <w:p w14:paraId="1D4F0A93" w14:textId="77777777" w:rsidR="006031D6" w:rsidRPr="006031D6" w:rsidRDefault="006031D6" w:rsidP="006031D6">
            <w:pPr>
              <w:pStyle w:val="Texttabulky"/>
              <w:spacing w:after="0" w:line="240" w:lineRule="atLeast"/>
              <w:rPr>
                <w:rFonts w:cs="Arial"/>
              </w:rPr>
            </w:pPr>
            <w:r w:rsidRPr="006031D6">
              <w:rPr>
                <w:rFonts w:cs="Arial"/>
              </w:rPr>
              <w:t>2</w:t>
            </w:r>
          </w:p>
        </w:tc>
        <w:tc>
          <w:tcPr>
            <w:tcW w:w="886" w:type="dxa"/>
            <w:tcBorders>
              <w:top w:val="single" w:sz="6" w:space="0" w:color="auto"/>
              <w:left w:val="single" w:sz="6" w:space="0" w:color="auto"/>
              <w:bottom w:val="single" w:sz="6" w:space="0" w:color="auto"/>
              <w:right w:val="single" w:sz="6" w:space="0" w:color="auto"/>
            </w:tcBorders>
          </w:tcPr>
          <w:p w14:paraId="7C557C0B" w14:textId="77777777" w:rsidR="006031D6" w:rsidRPr="006031D6" w:rsidRDefault="006031D6" w:rsidP="006031D6">
            <w:pPr>
              <w:pStyle w:val="Texttabulky"/>
              <w:spacing w:after="0" w:line="240" w:lineRule="atLeast"/>
              <w:rPr>
                <w:rFonts w:cs="Arial"/>
              </w:rPr>
            </w:pPr>
            <w:r w:rsidRPr="006031D6">
              <w:rPr>
                <w:rFonts w:cs="Arial"/>
              </w:rPr>
              <w:t>100</w:t>
            </w:r>
          </w:p>
        </w:tc>
        <w:tc>
          <w:tcPr>
            <w:tcW w:w="778" w:type="dxa"/>
            <w:tcBorders>
              <w:top w:val="single" w:sz="6" w:space="0" w:color="auto"/>
              <w:left w:val="single" w:sz="6" w:space="0" w:color="auto"/>
              <w:bottom w:val="single" w:sz="6" w:space="0" w:color="auto"/>
              <w:right w:val="single" w:sz="6" w:space="0" w:color="auto"/>
            </w:tcBorders>
          </w:tcPr>
          <w:p w14:paraId="7684BF9C"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5DB7A933" w14:textId="77777777" w:rsidR="006031D6" w:rsidRPr="006031D6" w:rsidRDefault="006031D6" w:rsidP="006031D6">
            <w:pPr>
              <w:pStyle w:val="Texttabulky"/>
              <w:spacing w:after="0" w:line="240" w:lineRule="atLeast"/>
              <w:rPr>
                <w:rFonts w:cs="Arial"/>
              </w:rPr>
            </w:pPr>
            <w:r w:rsidRPr="006031D6">
              <w:rPr>
                <w:rFonts w:cs="Arial"/>
              </w:rPr>
              <w:t>234,25</w:t>
            </w:r>
          </w:p>
        </w:tc>
        <w:tc>
          <w:tcPr>
            <w:tcW w:w="969" w:type="dxa"/>
            <w:tcBorders>
              <w:top w:val="single" w:sz="6" w:space="0" w:color="auto"/>
              <w:left w:val="single" w:sz="6" w:space="0" w:color="auto"/>
              <w:bottom w:val="single" w:sz="6" w:space="0" w:color="auto"/>
              <w:right w:val="single" w:sz="6" w:space="0" w:color="auto"/>
            </w:tcBorders>
          </w:tcPr>
          <w:p w14:paraId="69E2E829" w14:textId="77777777" w:rsidR="006031D6" w:rsidRPr="006031D6" w:rsidRDefault="006031D6" w:rsidP="006031D6">
            <w:pPr>
              <w:pStyle w:val="Texttabulky"/>
              <w:spacing w:after="0" w:line="240" w:lineRule="atLeast"/>
              <w:rPr>
                <w:rFonts w:cs="Arial"/>
              </w:rPr>
            </w:pPr>
            <w:r w:rsidRPr="006031D6">
              <w:rPr>
                <w:rFonts w:cs="Arial"/>
              </w:rPr>
              <w:t>232</w:t>
            </w:r>
          </w:p>
        </w:tc>
        <w:tc>
          <w:tcPr>
            <w:tcW w:w="845" w:type="dxa"/>
            <w:tcBorders>
              <w:top w:val="single" w:sz="6" w:space="0" w:color="auto"/>
              <w:left w:val="single" w:sz="6" w:space="0" w:color="auto"/>
              <w:bottom w:val="single" w:sz="6" w:space="0" w:color="auto"/>
              <w:right w:val="single" w:sz="6" w:space="0" w:color="auto"/>
            </w:tcBorders>
          </w:tcPr>
          <w:p w14:paraId="40F1568B" w14:textId="77777777" w:rsidR="006031D6" w:rsidRPr="006031D6" w:rsidRDefault="006031D6" w:rsidP="006031D6">
            <w:pPr>
              <w:pStyle w:val="Zkladntext"/>
              <w:spacing w:after="0"/>
              <w:rPr>
                <w:rFonts w:ascii="Arial" w:hAnsi="Arial" w:cs="Arial"/>
              </w:rPr>
            </w:pPr>
          </w:p>
        </w:tc>
      </w:tr>
      <w:tr w:rsidR="006031D6" w:rsidRPr="006031D6" w14:paraId="346CB586"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4ACB296A" w14:textId="77777777" w:rsidR="006031D6" w:rsidRPr="006031D6" w:rsidRDefault="006031D6" w:rsidP="006031D6">
            <w:pPr>
              <w:pStyle w:val="Texttabulky"/>
              <w:spacing w:after="0" w:line="240" w:lineRule="atLeast"/>
              <w:rPr>
                <w:rFonts w:cs="Arial"/>
              </w:rPr>
            </w:pPr>
            <w:r w:rsidRPr="006031D6">
              <w:rPr>
                <w:rFonts w:cs="Arial"/>
              </w:rPr>
              <w:t>Vilsnice VP</w:t>
            </w:r>
          </w:p>
        </w:tc>
        <w:tc>
          <w:tcPr>
            <w:tcW w:w="1050" w:type="dxa"/>
            <w:tcBorders>
              <w:top w:val="single" w:sz="6" w:space="0" w:color="auto"/>
              <w:left w:val="single" w:sz="6" w:space="0" w:color="auto"/>
              <w:bottom w:val="single" w:sz="6" w:space="0" w:color="auto"/>
              <w:right w:val="single" w:sz="6" w:space="0" w:color="auto"/>
            </w:tcBorders>
          </w:tcPr>
          <w:p w14:paraId="6F00980E" w14:textId="77777777" w:rsidR="006031D6" w:rsidRPr="006031D6" w:rsidRDefault="006031D6" w:rsidP="006031D6">
            <w:pPr>
              <w:pStyle w:val="Texttabulky"/>
              <w:spacing w:after="0" w:line="240" w:lineRule="atLeast"/>
              <w:rPr>
                <w:rFonts w:cs="Arial"/>
              </w:rPr>
            </w:pPr>
            <w:r w:rsidRPr="006031D6">
              <w:rPr>
                <w:rFonts w:cs="Arial"/>
              </w:rPr>
              <w:t>4</w:t>
            </w:r>
          </w:p>
        </w:tc>
        <w:tc>
          <w:tcPr>
            <w:tcW w:w="886" w:type="dxa"/>
            <w:tcBorders>
              <w:top w:val="single" w:sz="6" w:space="0" w:color="auto"/>
              <w:left w:val="single" w:sz="6" w:space="0" w:color="auto"/>
              <w:bottom w:val="single" w:sz="6" w:space="0" w:color="auto"/>
              <w:right w:val="single" w:sz="6" w:space="0" w:color="auto"/>
            </w:tcBorders>
          </w:tcPr>
          <w:p w14:paraId="04D6350B" w14:textId="77777777" w:rsidR="006031D6" w:rsidRPr="006031D6" w:rsidRDefault="006031D6" w:rsidP="006031D6">
            <w:pPr>
              <w:pStyle w:val="Texttabulky"/>
              <w:spacing w:after="0" w:line="240" w:lineRule="atLeast"/>
              <w:rPr>
                <w:rFonts w:cs="Arial"/>
              </w:rPr>
            </w:pPr>
            <w:r w:rsidRPr="006031D6">
              <w:rPr>
                <w:rFonts w:cs="Arial"/>
              </w:rPr>
              <w:t>40</w:t>
            </w:r>
          </w:p>
        </w:tc>
        <w:tc>
          <w:tcPr>
            <w:tcW w:w="778" w:type="dxa"/>
            <w:tcBorders>
              <w:top w:val="single" w:sz="6" w:space="0" w:color="auto"/>
              <w:left w:val="single" w:sz="6" w:space="0" w:color="auto"/>
              <w:bottom w:val="single" w:sz="6" w:space="0" w:color="auto"/>
              <w:right w:val="single" w:sz="6" w:space="0" w:color="auto"/>
            </w:tcBorders>
          </w:tcPr>
          <w:p w14:paraId="28BDA676" w14:textId="77777777" w:rsidR="006031D6" w:rsidRPr="006031D6" w:rsidRDefault="006031D6" w:rsidP="006031D6">
            <w:pPr>
              <w:pStyle w:val="Texttabulky"/>
              <w:spacing w:after="0" w:line="240" w:lineRule="atLeast"/>
              <w:rPr>
                <w:rFonts w:cs="Arial"/>
              </w:rPr>
            </w:pPr>
            <w:r w:rsidRPr="006031D6">
              <w:rPr>
                <w:rFonts w:cs="Arial"/>
              </w:rPr>
              <w:t>1</w:t>
            </w:r>
          </w:p>
        </w:tc>
        <w:tc>
          <w:tcPr>
            <w:tcW w:w="993" w:type="dxa"/>
            <w:tcBorders>
              <w:top w:val="single" w:sz="6" w:space="0" w:color="auto"/>
              <w:left w:val="single" w:sz="6" w:space="0" w:color="auto"/>
              <w:bottom w:val="single" w:sz="6" w:space="0" w:color="auto"/>
              <w:right w:val="single" w:sz="6" w:space="0" w:color="auto"/>
            </w:tcBorders>
          </w:tcPr>
          <w:p w14:paraId="0EA7D0F1" w14:textId="77777777" w:rsidR="006031D6" w:rsidRPr="006031D6" w:rsidRDefault="006031D6" w:rsidP="006031D6">
            <w:pPr>
              <w:pStyle w:val="Texttabulky"/>
              <w:spacing w:after="0" w:line="240" w:lineRule="atLeast"/>
              <w:rPr>
                <w:rFonts w:cs="Arial"/>
              </w:rPr>
            </w:pPr>
            <w:r w:rsidRPr="006031D6">
              <w:rPr>
                <w:rFonts w:cs="Arial"/>
              </w:rPr>
              <w:t>307,1</w:t>
            </w:r>
          </w:p>
        </w:tc>
        <w:tc>
          <w:tcPr>
            <w:tcW w:w="969" w:type="dxa"/>
            <w:tcBorders>
              <w:top w:val="single" w:sz="6" w:space="0" w:color="auto"/>
              <w:left w:val="single" w:sz="6" w:space="0" w:color="auto"/>
              <w:bottom w:val="single" w:sz="6" w:space="0" w:color="auto"/>
              <w:right w:val="single" w:sz="6" w:space="0" w:color="auto"/>
            </w:tcBorders>
          </w:tcPr>
          <w:p w14:paraId="57075962" w14:textId="77777777" w:rsidR="006031D6" w:rsidRPr="006031D6" w:rsidRDefault="006031D6" w:rsidP="006031D6">
            <w:pPr>
              <w:pStyle w:val="Texttabulky"/>
              <w:spacing w:after="0" w:line="240" w:lineRule="atLeast"/>
              <w:rPr>
                <w:rFonts w:cs="Arial"/>
              </w:rPr>
            </w:pPr>
            <w:r w:rsidRPr="006031D6">
              <w:rPr>
                <w:rFonts w:cs="Arial"/>
              </w:rPr>
              <w:t>305,1</w:t>
            </w:r>
          </w:p>
        </w:tc>
        <w:tc>
          <w:tcPr>
            <w:tcW w:w="845" w:type="dxa"/>
            <w:tcBorders>
              <w:top w:val="single" w:sz="6" w:space="0" w:color="auto"/>
              <w:left w:val="single" w:sz="6" w:space="0" w:color="auto"/>
              <w:bottom w:val="single" w:sz="6" w:space="0" w:color="auto"/>
              <w:right w:val="single" w:sz="6" w:space="0" w:color="auto"/>
            </w:tcBorders>
          </w:tcPr>
          <w:p w14:paraId="4FFCE868" w14:textId="77777777" w:rsidR="006031D6" w:rsidRPr="006031D6" w:rsidRDefault="006031D6" w:rsidP="006031D6">
            <w:pPr>
              <w:pStyle w:val="Zkladntext"/>
              <w:spacing w:after="0"/>
              <w:rPr>
                <w:rFonts w:ascii="Arial" w:hAnsi="Arial" w:cs="Arial"/>
              </w:rPr>
            </w:pPr>
          </w:p>
        </w:tc>
      </w:tr>
      <w:tr w:rsidR="006031D6" w:rsidRPr="006031D6" w14:paraId="0E7924F5"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497CA40E" w14:textId="77777777" w:rsidR="006031D6" w:rsidRPr="006031D6" w:rsidRDefault="006031D6" w:rsidP="006031D6">
            <w:pPr>
              <w:pStyle w:val="Texttabulky"/>
              <w:spacing w:after="0" w:line="240" w:lineRule="atLeast"/>
              <w:rPr>
                <w:rFonts w:cs="Arial"/>
              </w:rPr>
            </w:pPr>
            <w:r w:rsidRPr="006031D6">
              <w:rPr>
                <w:rFonts w:cs="Arial"/>
              </w:rPr>
              <w:t>Vysoký ( Bynov ) n.</w:t>
            </w:r>
          </w:p>
        </w:tc>
        <w:tc>
          <w:tcPr>
            <w:tcW w:w="1050" w:type="dxa"/>
            <w:tcBorders>
              <w:top w:val="single" w:sz="6" w:space="0" w:color="auto"/>
              <w:left w:val="single" w:sz="6" w:space="0" w:color="auto"/>
              <w:bottom w:val="single" w:sz="6" w:space="0" w:color="auto"/>
              <w:right w:val="single" w:sz="6" w:space="0" w:color="auto"/>
            </w:tcBorders>
          </w:tcPr>
          <w:p w14:paraId="4DAE86C6" w14:textId="77777777" w:rsidR="006031D6" w:rsidRPr="006031D6" w:rsidRDefault="006031D6" w:rsidP="006031D6">
            <w:pPr>
              <w:pStyle w:val="Texttabulky"/>
              <w:spacing w:after="0" w:line="240" w:lineRule="atLeast"/>
              <w:rPr>
                <w:rFonts w:cs="Arial"/>
              </w:rPr>
            </w:pPr>
            <w:r w:rsidRPr="006031D6">
              <w:rPr>
                <w:rFonts w:cs="Arial"/>
              </w:rPr>
              <w:t>3</w:t>
            </w:r>
          </w:p>
        </w:tc>
        <w:tc>
          <w:tcPr>
            <w:tcW w:w="886" w:type="dxa"/>
            <w:tcBorders>
              <w:top w:val="single" w:sz="6" w:space="0" w:color="auto"/>
              <w:left w:val="single" w:sz="6" w:space="0" w:color="auto"/>
              <w:bottom w:val="single" w:sz="6" w:space="0" w:color="auto"/>
              <w:right w:val="single" w:sz="6" w:space="0" w:color="auto"/>
            </w:tcBorders>
          </w:tcPr>
          <w:p w14:paraId="3B754407" w14:textId="77777777" w:rsidR="006031D6" w:rsidRPr="006031D6" w:rsidRDefault="006031D6" w:rsidP="006031D6">
            <w:pPr>
              <w:pStyle w:val="Texttabulky"/>
              <w:spacing w:after="0" w:line="240" w:lineRule="atLeast"/>
              <w:rPr>
                <w:rFonts w:cs="Arial"/>
              </w:rPr>
            </w:pPr>
            <w:r w:rsidRPr="006031D6">
              <w:rPr>
                <w:rFonts w:cs="Arial"/>
              </w:rPr>
              <w:t>2 000</w:t>
            </w:r>
          </w:p>
        </w:tc>
        <w:tc>
          <w:tcPr>
            <w:tcW w:w="778" w:type="dxa"/>
            <w:tcBorders>
              <w:top w:val="single" w:sz="6" w:space="0" w:color="auto"/>
              <w:left w:val="single" w:sz="6" w:space="0" w:color="auto"/>
              <w:bottom w:val="single" w:sz="6" w:space="0" w:color="auto"/>
              <w:right w:val="single" w:sz="6" w:space="0" w:color="auto"/>
            </w:tcBorders>
          </w:tcPr>
          <w:p w14:paraId="1CBFA22D" w14:textId="77777777" w:rsidR="006031D6" w:rsidRPr="006031D6" w:rsidRDefault="006031D6" w:rsidP="006031D6">
            <w:pPr>
              <w:pStyle w:val="Texttabulky"/>
              <w:spacing w:after="0" w:line="240" w:lineRule="atLeast"/>
              <w:rPr>
                <w:rFonts w:cs="Arial"/>
              </w:rPr>
            </w:pPr>
            <w:r w:rsidRPr="006031D6">
              <w:rPr>
                <w:rFonts w:cs="Arial"/>
              </w:rPr>
              <w:t>2</w:t>
            </w:r>
          </w:p>
        </w:tc>
        <w:tc>
          <w:tcPr>
            <w:tcW w:w="993" w:type="dxa"/>
            <w:tcBorders>
              <w:top w:val="single" w:sz="6" w:space="0" w:color="auto"/>
              <w:left w:val="single" w:sz="6" w:space="0" w:color="auto"/>
              <w:bottom w:val="single" w:sz="6" w:space="0" w:color="auto"/>
              <w:right w:val="single" w:sz="6" w:space="0" w:color="auto"/>
            </w:tcBorders>
          </w:tcPr>
          <w:p w14:paraId="7EBD65D2" w14:textId="77777777" w:rsidR="006031D6" w:rsidRPr="006031D6" w:rsidRDefault="006031D6" w:rsidP="006031D6">
            <w:pPr>
              <w:pStyle w:val="Texttabulky"/>
              <w:spacing w:after="0" w:line="240" w:lineRule="atLeast"/>
              <w:rPr>
                <w:rFonts w:cs="Arial"/>
              </w:rPr>
            </w:pPr>
            <w:r w:rsidRPr="006031D6">
              <w:rPr>
                <w:rFonts w:cs="Arial"/>
              </w:rPr>
              <w:t xml:space="preserve"> 267,0</w:t>
            </w:r>
          </w:p>
        </w:tc>
        <w:tc>
          <w:tcPr>
            <w:tcW w:w="969" w:type="dxa"/>
            <w:tcBorders>
              <w:top w:val="single" w:sz="6" w:space="0" w:color="auto"/>
              <w:left w:val="single" w:sz="6" w:space="0" w:color="auto"/>
              <w:bottom w:val="single" w:sz="6" w:space="0" w:color="auto"/>
              <w:right w:val="single" w:sz="6" w:space="0" w:color="auto"/>
            </w:tcBorders>
          </w:tcPr>
          <w:p w14:paraId="42F82273" w14:textId="77777777" w:rsidR="006031D6" w:rsidRPr="006031D6" w:rsidRDefault="006031D6" w:rsidP="006031D6">
            <w:pPr>
              <w:pStyle w:val="Texttabulky"/>
              <w:spacing w:after="0" w:line="240" w:lineRule="atLeast"/>
              <w:rPr>
                <w:rFonts w:cs="Arial"/>
              </w:rPr>
            </w:pPr>
            <w:r w:rsidRPr="006031D6">
              <w:rPr>
                <w:rFonts w:cs="Arial"/>
              </w:rPr>
              <w:t xml:space="preserve"> 262,0</w:t>
            </w:r>
          </w:p>
        </w:tc>
        <w:tc>
          <w:tcPr>
            <w:tcW w:w="845" w:type="dxa"/>
            <w:tcBorders>
              <w:top w:val="single" w:sz="6" w:space="0" w:color="auto"/>
              <w:left w:val="single" w:sz="6" w:space="0" w:color="auto"/>
              <w:bottom w:val="single" w:sz="6" w:space="0" w:color="auto"/>
              <w:right w:val="single" w:sz="6" w:space="0" w:color="auto"/>
            </w:tcBorders>
          </w:tcPr>
          <w:p w14:paraId="444E64AD" w14:textId="77777777" w:rsidR="006031D6" w:rsidRPr="006031D6" w:rsidRDefault="006031D6" w:rsidP="006031D6">
            <w:pPr>
              <w:pStyle w:val="Zkladntext"/>
              <w:spacing w:after="0"/>
              <w:rPr>
                <w:rFonts w:ascii="Arial" w:hAnsi="Arial" w:cs="Arial"/>
              </w:rPr>
            </w:pPr>
          </w:p>
        </w:tc>
      </w:tr>
      <w:tr w:rsidR="006031D6" w:rsidRPr="006031D6" w14:paraId="5E40DEC8" w14:textId="77777777" w:rsidTr="002D2D45">
        <w:trPr>
          <w:jc w:val="center"/>
        </w:trPr>
        <w:tc>
          <w:tcPr>
            <w:tcW w:w="1895" w:type="dxa"/>
            <w:tcBorders>
              <w:top w:val="single" w:sz="6" w:space="0" w:color="auto"/>
              <w:left w:val="single" w:sz="6" w:space="0" w:color="auto"/>
              <w:bottom w:val="single" w:sz="6" w:space="0" w:color="auto"/>
              <w:right w:val="single" w:sz="6" w:space="0" w:color="auto"/>
            </w:tcBorders>
          </w:tcPr>
          <w:p w14:paraId="588B71E4" w14:textId="77777777" w:rsidR="006031D6" w:rsidRPr="006031D6" w:rsidRDefault="006031D6" w:rsidP="006031D6">
            <w:pPr>
              <w:pStyle w:val="Texttabulky"/>
              <w:spacing w:after="0" w:line="240" w:lineRule="atLeast"/>
              <w:rPr>
                <w:rFonts w:cs="Arial"/>
              </w:rPr>
            </w:pPr>
            <w:r w:rsidRPr="006031D6">
              <w:rPr>
                <w:rFonts w:cs="Arial"/>
              </w:rPr>
              <w:t>Maxičky</w:t>
            </w:r>
          </w:p>
        </w:tc>
        <w:tc>
          <w:tcPr>
            <w:tcW w:w="1050" w:type="dxa"/>
            <w:tcBorders>
              <w:top w:val="single" w:sz="6" w:space="0" w:color="auto"/>
              <w:left w:val="single" w:sz="6" w:space="0" w:color="auto"/>
              <w:bottom w:val="single" w:sz="6" w:space="0" w:color="auto"/>
              <w:right w:val="single" w:sz="6" w:space="0" w:color="auto"/>
            </w:tcBorders>
          </w:tcPr>
          <w:p w14:paraId="789D1C14" w14:textId="77777777" w:rsidR="006031D6" w:rsidRPr="006031D6" w:rsidRDefault="006031D6" w:rsidP="006031D6">
            <w:pPr>
              <w:pStyle w:val="Texttabulky"/>
              <w:spacing w:after="0" w:line="240" w:lineRule="atLeast"/>
              <w:rPr>
                <w:rFonts w:cs="Arial"/>
              </w:rPr>
            </w:pPr>
            <w:r w:rsidRPr="006031D6">
              <w:rPr>
                <w:rFonts w:cs="Arial"/>
              </w:rPr>
              <w:t>vlastní</w:t>
            </w:r>
          </w:p>
        </w:tc>
        <w:tc>
          <w:tcPr>
            <w:tcW w:w="886" w:type="dxa"/>
            <w:tcBorders>
              <w:top w:val="single" w:sz="6" w:space="0" w:color="auto"/>
              <w:left w:val="single" w:sz="6" w:space="0" w:color="auto"/>
              <w:bottom w:val="single" w:sz="6" w:space="0" w:color="auto"/>
              <w:right w:val="single" w:sz="6" w:space="0" w:color="auto"/>
            </w:tcBorders>
          </w:tcPr>
          <w:p w14:paraId="3E4B2CD1" w14:textId="77777777" w:rsidR="006031D6" w:rsidRPr="006031D6" w:rsidRDefault="006031D6" w:rsidP="006031D6">
            <w:pPr>
              <w:pStyle w:val="Texttabulky"/>
              <w:spacing w:after="0" w:line="240" w:lineRule="atLeast"/>
              <w:rPr>
                <w:rFonts w:cs="Arial"/>
              </w:rPr>
            </w:pPr>
            <w:r w:rsidRPr="006031D6">
              <w:rPr>
                <w:rFonts w:cs="Arial"/>
              </w:rPr>
              <w:t>40</w:t>
            </w:r>
          </w:p>
        </w:tc>
        <w:tc>
          <w:tcPr>
            <w:tcW w:w="778" w:type="dxa"/>
            <w:tcBorders>
              <w:top w:val="single" w:sz="6" w:space="0" w:color="auto"/>
              <w:left w:val="single" w:sz="6" w:space="0" w:color="auto"/>
              <w:bottom w:val="single" w:sz="6" w:space="0" w:color="auto"/>
              <w:right w:val="single" w:sz="6" w:space="0" w:color="auto"/>
            </w:tcBorders>
          </w:tcPr>
          <w:p w14:paraId="65032A03" w14:textId="77777777" w:rsidR="006031D6" w:rsidRPr="006031D6" w:rsidRDefault="006031D6" w:rsidP="006031D6">
            <w:pPr>
              <w:pStyle w:val="Zkladntext"/>
              <w:spacing w:after="0"/>
              <w:rPr>
                <w:rFonts w:ascii="Arial" w:hAnsi="Arial" w:cs="Arial"/>
              </w:rPr>
            </w:pPr>
          </w:p>
        </w:tc>
        <w:tc>
          <w:tcPr>
            <w:tcW w:w="993" w:type="dxa"/>
            <w:tcBorders>
              <w:top w:val="single" w:sz="6" w:space="0" w:color="auto"/>
              <w:left w:val="single" w:sz="6" w:space="0" w:color="auto"/>
              <w:bottom w:val="single" w:sz="6" w:space="0" w:color="auto"/>
              <w:right w:val="single" w:sz="6" w:space="0" w:color="auto"/>
            </w:tcBorders>
          </w:tcPr>
          <w:p w14:paraId="456F97FF" w14:textId="77777777" w:rsidR="006031D6" w:rsidRPr="006031D6" w:rsidRDefault="006031D6" w:rsidP="006031D6">
            <w:pPr>
              <w:pStyle w:val="Zkladntext"/>
              <w:spacing w:after="0"/>
              <w:rPr>
                <w:rFonts w:ascii="Arial" w:hAnsi="Arial" w:cs="Arial"/>
              </w:rPr>
            </w:pPr>
          </w:p>
        </w:tc>
        <w:tc>
          <w:tcPr>
            <w:tcW w:w="969" w:type="dxa"/>
            <w:tcBorders>
              <w:top w:val="single" w:sz="6" w:space="0" w:color="auto"/>
              <w:left w:val="single" w:sz="6" w:space="0" w:color="auto"/>
              <w:bottom w:val="single" w:sz="6" w:space="0" w:color="auto"/>
              <w:right w:val="single" w:sz="6" w:space="0" w:color="auto"/>
            </w:tcBorders>
          </w:tcPr>
          <w:p w14:paraId="6526E27B" w14:textId="77777777" w:rsidR="006031D6" w:rsidRPr="006031D6" w:rsidRDefault="006031D6" w:rsidP="006031D6">
            <w:pPr>
              <w:pStyle w:val="Zkladntext"/>
              <w:spacing w:after="0"/>
              <w:rPr>
                <w:rFonts w:ascii="Arial" w:hAnsi="Arial" w:cs="Arial"/>
              </w:rPr>
            </w:pPr>
          </w:p>
        </w:tc>
        <w:tc>
          <w:tcPr>
            <w:tcW w:w="845" w:type="dxa"/>
            <w:tcBorders>
              <w:top w:val="single" w:sz="6" w:space="0" w:color="auto"/>
              <w:left w:val="single" w:sz="6" w:space="0" w:color="auto"/>
              <w:bottom w:val="single" w:sz="6" w:space="0" w:color="auto"/>
              <w:right w:val="single" w:sz="6" w:space="0" w:color="auto"/>
            </w:tcBorders>
          </w:tcPr>
          <w:p w14:paraId="1FCB8883" w14:textId="77777777" w:rsidR="006031D6" w:rsidRPr="006031D6" w:rsidRDefault="006031D6" w:rsidP="006031D6">
            <w:pPr>
              <w:pStyle w:val="Texttabulky"/>
              <w:spacing w:after="0" w:line="240" w:lineRule="atLeast"/>
              <w:rPr>
                <w:rFonts w:cs="Arial"/>
              </w:rPr>
            </w:pPr>
            <w:r w:rsidRPr="006031D6">
              <w:rPr>
                <w:rFonts w:cs="Arial"/>
              </w:rPr>
              <w:t>473,31</w:t>
            </w:r>
          </w:p>
        </w:tc>
      </w:tr>
    </w:tbl>
    <w:p w14:paraId="79AF8CA6" w14:textId="77777777" w:rsidR="006031D6" w:rsidRDefault="006031D6" w:rsidP="006031D6">
      <w:pPr>
        <w:pStyle w:val="Zkladntext"/>
        <w:rPr>
          <w:rFonts w:ascii="Arial" w:hAnsi="Arial" w:cs="Arial"/>
        </w:rPr>
      </w:pPr>
    </w:p>
    <w:p w14:paraId="5EB3AF05" w14:textId="77777777" w:rsidR="006031D6" w:rsidRDefault="006031D6" w:rsidP="006031D6">
      <w:pPr>
        <w:pStyle w:val="Zkladntext"/>
        <w:rPr>
          <w:rFonts w:ascii="Arial" w:hAnsi="Arial" w:cs="Arial"/>
        </w:rPr>
      </w:pPr>
    </w:p>
    <w:p w14:paraId="2E4E3041" w14:textId="77777777" w:rsidR="006031D6" w:rsidRPr="006031D6" w:rsidRDefault="006031D6" w:rsidP="006031D6">
      <w:pPr>
        <w:pStyle w:val="Zkladntext"/>
        <w:rPr>
          <w:rFonts w:ascii="Arial" w:hAnsi="Arial" w:cs="Arial"/>
        </w:rPr>
      </w:pPr>
    </w:p>
    <w:p w14:paraId="089DF480" w14:textId="77777777" w:rsidR="006031D6" w:rsidRPr="006031D6" w:rsidRDefault="006031D6" w:rsidP="006031D6">
      <w:pPr>
        <w:pStyle w:val="podnadpis2"/>
        <w:spacing w:before="120" w:after="0" w:line="288" w:lineRule="auto"/>
        <w:jc w:val="both"/>
        <w:rPr>
          <w:rFonts w:cs="Arial"/>
          <w:szCs w:val="22"/>
        </w:rPr>
      </w:pPr>
      <w:r w:rsidRPr="006031D6">
        <w:rPr>
          <w:rFonts w:cs="Arial"/>
          <w:szCs w:val="22"/>
        </w:rPr>
        <w:t>Hlavní přívodní řady</w:t>
      </w:r>
    </w:p>
    <w:p w14:paraId="2EB97F89"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V rámci skupinového vodovodu lze za hlavní zdroje považovat jímací území Děčínský Sněžník, Bynov a Hřensko. Zdroj Bynov leží přímo ve městě. </w:t>
      </w:r>
    </w:p>
    <w:p w14:paraId="1D5E649E"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a)</w:t>
      </w:r>
      <w:r w:rsidRPr="006031D6">
        <w:rPr>
          <w:rFonts w:ascii="Arial" w:hAnsi="Arial" w:cs="Arial"/>
          <w:sz w:val="22"/>
          <w:szCs w:val="22"/>
        </w:rPr>
        <w:tab/>
        <w:t>voda z vrtu MITOP se voda čerpá potrubím DN 350 na vodojem Škrabky a do 1. pásma v Podmoklech.</w:t>
      </w:r>
    </w:p>
    <w:p w14:paraId="4946BD91"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b)</w:t>
      </w:r>
      <w:r w:rsidRPr="006031D6">
        <w:rPr>
          <w:rFonts w:ascii="Arial" w:hAnsi="Arial" w:cs="Arial"/>
          <w:sz w:val="22"/>
          <w:szCs w:val="22"/>
        </w:rPr>
        <w:tab/>
        <w:t>voda z Děčínského Sněžníku je do města přiváděna z jednotlivých pramenišť. Zejména přívody z Bělé pro vodojem Škrabky a vodojem Pastýřská stěna a přívod z Dolního Žlebu přes ČS Žleb do vodojemu Čertův jsou ve velmi špatném stavu. Prameniště Bělá pod Sněžníkem zásobuje oblast Bělé a přes vodojem Škrabky nejnižší pásmo ve středu města na levém břehu. Vlčí pramen dodává vodu do Přípeře a přes ČS i do vodojemu Jalůvčí. Studený pramen, Čertova voda a Dolní Žleb zásobují mimo lokality, jimiž je voda vedena hlavně Čertovy vodojemy na pravém břehu Labe a vodojem Loubí.</w:t>
      </w:r>
    </w:p>
    <w:p w14:paraId="39E3380C"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c)</w:t>
      </w:r>
      <w:r w:rsidRPr="006031D6">
        <w:rPr>
          <w:rFonts w:ascii="Arial" w:hAnsi="Arial" w:cs="Arial"/>
          <w:sz w:val="22"/>
          <w:szCs w:val="22"/>
        </w:rPr>
        <w:tab/>
        <w:t>ÚV Hřensko dodává vodu přes ČS Janov do vodojemu Kámen - Hřensko (1000 + 5000 m3), z něhož se odebírá voda pro obce Arnoltické plošiny a hlavním přivaděčem DN 300 se voda dodává do vodojemů Kamenická, Přerušovací komora Kamenická a Studený.</w:t>
      </w:r>
    </w:p>
    <w:p w14:paraId="5CE9EC10"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Z přivaděče odbočuje větev DN 500 k vodojemu Staré město, po trase jsou odbočky do vodojemů ve Folknářích a vodojemu Nový v Březinách. Před vodojemem Staré město se opět přivaděč větví. Část vody pokračuje do Boletic a Křešic, část na vodojem Staré město a část přechází po Novém mostě na levý břeh do vodojemů Václavice, Popovice a Horní Oldřichov. Od posledního vodojemu přivaděč vede dále na Martiněves. Přívodní řady jsou ze 70. a 80. let, vesměs vyhovují. </w:t>
      </w:r>
    </w:p>
    <w:p w14:paraId="15121B80" w14:textId="77777777" w:rsidR="006031D6" w:rsidRPr="006031D6" w:rsidRDefault="006031D6" w:rsidP="006031D6">
      <w:pPr>
        <w:pStyle w:val="Zkladntext"/>
        <w:spacing w:before="120" w:line="288" w:lineRule="auto"/>
        <w:ind w:firstLine="709"/>
        <w:jc w:val="both"/>
        <w:rPr>
          <w:rFonts w:ascii="Arial" w:hAnsi="Arial" w:cs="Arial"/>
          <w:sz w:val="22"/>
          <w:szCs w:val="22"/>
        </w:rPr>
      </w:pPr>
    </w:p>
    <w:p w14:paraId="72B5B060" w14:textId="77777777" w:rsidR="006031D6" w:rsidRPr="006031D6" w:rsidRDefault="006031D6" w:rsidP="006031D6">
      <w:pPr>
        <w:pStyle w:val="podnadpis2"/>
        <w:spacing w:before="120" w:after="0" w:line="288" w:lineRule="auto"/>
        <w:jc w:val="both"/>
        <w:rPr>
          <w:rFonts w:cs="Arial"/>
          <w:szCs w:val="22"/>
        </w:rPr>
      </w:pPr>
      <w:r w:rsidRPr="006031D6">
        <w:rPr>
          <w:rFonts w:cs="Arial"/>
          <w:szCs w:val="22"/>
        </w:rPr>
        <w:t>Zásobní síť</w:t>
      </w:r>
    </w:p>
    <w:p w14:paraId="3F3C3987"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Dle generelu vodovodu (SčVaK Teplice, projekce Liberec 1995) je plná třetina vodovodní sítě ve městě starší než 75 let. Jde vesměs o zásobní řady v centru města a ve staré zástavbě okrajových čtvrtí. Další více než třetinu tvoří řady vybudované od roku 1975. Rekonstrukci vyžadují vodovody v Lesné, Velké Veleni a Vilsnici. </w:t>
      </w:r>
    </w:p>
    <w:p w14:paraId="0477C431" w14:textId="77777777" w:rsidR="006031D6" w:rsidRDefault="006031D6" w:rsidP="006031D6">
      <w:pPr>
        <w:pStyle w:val="Zkladntext"/>
        <w:spacing w:before="120" w:line="288" w:lineRule="auto"/>
        <w:ind w:firstLine="709"/>
        <w:jc w:val="both"/>
        <w:rPr>
          <w:rFonts w:ascii="Arial" w:hAnsi="Arial" w:cs="Arial"/>
          <w:sz w:val="22"/>
          <w:szCs w:val="22"/>
        </w:rPr>
      </w:pPr>
    </w:p>
    <w:p w14:paraId="01AE3E9B" w14:textId="77777777" w:rsidR="006031D6" w:rsidRPr="006031D6" w:rsidRDefault="006031D6" w:rsidP="006031D6">
      <w:pPr>
        <w:pStyle w:val="Zkladntext"/>
        <w:spacing w:before="120" w:line="288" w:lineRule="auto"/>
        <w:ind w:firstLine="709"/>
        <w:jc w:val="both"/>
        <w:rPr>
          <w:rFonts w:ascii="Arial" w:hAnsi="Arial" w:cs="Arial"/>
          <w:sz w:val="22"/>
          <w:szCs w:val="22"/>
        </w:rPr>
      </w:pPr>
    </w:p>
    <w:p w14:paraId="14A479A2" w14:textId="77777777" w:rsidR="006031D6" w:rsidRPr="006031D6" w:rsidRDefault="006031D6" w:rsidP="006031D6">
      <w:pPr>
        <w:pStyle w:val="podnadpis2"/>
        <w:spacing w:before="120" w:after="0" w:line="288" w:lineRule="auto"/>
        <w:jc w:val="both"/>
        <w:rPr>
          <w:rFonts w:cs="Arial"/>
          <w:sz w:val="28"/>
          <w:szCs w:val="28"/>
        </w:rPr>
      </w:pPr>
      <w:r w:rsidRPr="006031D6">
        <w:rPr>
          <w:rFonts w:cs="Arial"/>
          <w:sz w:val="28"/>
          <w:szCs w:val="28"/>
        </w:rPr>
        <w:t>G1.2. Výpočet potřeby pitné vody</w:t>
      </w:r>
    </w:p>
    <w:p w14:paraId="04DAED9C"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V rámci konceptu návrhu ÚPN byla zpracovaná výhledová bilance potřeb vycházející z normativní metody dle směrnice č. 9/73 Ústředního věstníku ČSR, avšak redukovaná s ohledem na snížené odběry pitné vody po zavedení ekonomické ceny vody. V prosinci 1999 vlastní bilance pro skupinový vodovod Děčín – Hřensko byla zpracována SčVaK Teplice. Bilance zpracovaná na základě trendů ve vývoji skutečné potřeby vody v zásadě potvrdila závěry bilance obsažené v konceptu. Protože se jedná o zcela aktuální materiál a použitá metodika je majiteli i správci vodovodů preferována, pro sjednocení hledisek se po souhlasu zpracovatelů SčVaK v ÚPN používá tento materiál převzatý prakticky v plném znění.</w:t>
      </w:r>
    </w:p>
    <w:p w14:paraId="5DDA352A" w14:textId="77777777" w:rsidR="006031D6" w:rsidRDefault="006031D6" w:rsidP="006031D6">
      <w:pPr>
        <w:pStyle w:val="Zkladntext"/>
        <w:spacing w:before="120" w:line="288" w:lineRule="auto"/>
        <w:jc w:val="both"/>
        <w:rPr>
          <w:rFonts w:ascii="Arial" w:hAnsi="Arial" w:cs="Arial"/>
          <w:b/>
          <w:bCs/>
          <w:caps/>
          <w:sz w:val="22"/>
          <w:szCs w:val="22"/>
        </w:rPr>
      </w:pPr>
    </w:p>
    <w:p w14:paraId="17366EA4" w14:textId="77777777" w:rsidR="006031D6" w:rsidRDefault="006031D6" w:rsidP="006031D6">
      <w:pPr>
        <w:pStyle w:val="Zkladntext"/>
        <w:spacing w:before="120" w:line="288" w:lineRule="auto"/>
        <w:jc w:val="both"/>
        <w:rPr>
          <w:rFonts w:ascii="Arial" w:hAnsi="Arial" w:cs="Arial"/>
          <w:b/>
          <w:bCs/>
          <w:caps/>
          <w:sz w:val="22"/>
          <w:szCs w:val="22"/>
        </w:rPr>
      </w:pPr>
    </w:p>
    <w:p w14:paraId="1E3F5003" w14:textId="77777777" w:rsidR="006031D6" w:rsidRPr="006031D6" w:rsidRDefault="006031D6" w:rsidP="006031D6">
      <w:pPr>
        <w:pStyle w:val="Zkladntext"/>
        <w:spacing w:before="120" w:line="288" w:lineRule="auto"/>
        <w:jc w:val="both"/>
        <w:rPr>
          <w:rFonts w:ascii="Arial" w:hAnsi="Arial" w:cs="Arial"/>
          <w:b/>
          <w:bCs/>
          <w:caps/>
          <w:sz w:val="22"/>
          <w:szCs w:val="22"/>
        </w:rPr>
      </w:pPr>
      <w:r w:rsidRPr="006031D6">
        <w:rPr>
          <w:rFonts w:ascii="Arial" w:hAnsi="Arial" w:cs="Arial"/>
          <w:b/>
          <w:bCs/>
          <w:caps/>
          <w:sz w:val="22"/>
          <w:szCs w:val="22"/>
        </w:rPr>
        <w:t>Bilance vody ve skupinovém vodovodu Děčín – Hřensko:</w:t>
      </w:r>
    </w:p>
    <w:p w14:paraId="7DED5309" w14:textId="77777777" w:rsidR="006031D6" w:rsidRDefault="006031D6" w:rsidP="006031D6">
      <w:pPr>
        <w:pStyle w:val="Zkladntext"/>
        <w:spacing w:before="120" w:line="288" w:lineRule="auto"/>
        <w:jc w:val="both"/>
        <w:rPr>
          <w:rFonts w:ascii="Arial" w:hAnsi="Arial" w:cs="Arial"/>
          <w:sz w:val="22"/>
          <w:szCs w:val="22"/>
        </w:rPr>
      </w:pPr>
      <w:r w:rsidRPr="006031D6">
        <w:rPr>
          <w:rFonts w:ascii="Arial" w:hAnsi="Arial" w:cs="Arial"/>
          <w:caps/>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p>
    <w:p w14:paraId="14977935"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(zpracovatel SčVaK Teplice 12/1999)</w:t>
      </w:r>
    </w:p>
    <w:p w14:paraId="1211A054"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Účelem předkládané práce je stanovení potřeby vody v souvislosti s požadovanou rekonstrukcí </w:t>
      </w:r>
      <w:r w:rsidRPr="006031D6">
        <w:rPr>
          <w:rFonts w:ascii="Arial" w:hAnsi="Arial" w:cs="Arial"/>
          <w:sz w:val="22"/>
          <w:szCs w:val="22"/>
        </w:rPr>
        <w:tab/>
        <w:t>čerpadel v čerpacích stanicích Hřensko a Janov z důvodů snižování spotřeby vody.</w:t>
      </w:r>
    </w:p>
    <w:p w14:paraId="49406139"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Pro výpočet spotřeby vody ve skupinovém vodovodu Děčín – ÚV Hřensko bylo vycházeno z těchto předpokladů:</w:t>
      </w:r>
    </w:p>
    <w:p w14:paraId="45DEB614"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b/>
          <w:bCs/>
          <w:sz w:val="22"/>
          <w:szCs w:val="22"/>
        </w:rPr>
        <w:t>Rozsah skupiny</w:t>
      </w:r>
    </w:p>
    <w:p w14:paraId="0BFBE619"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Dle "Přehledu o roční výrobě a spotřebě vody" (VH1) je skupina rozdělena na jednotlivé vodovody:</w:t>
      </w:r>
    </w:p>
    <w:p w14:paraId="59B715D6" w14:textId="77777777" w:rsidR="006031D6" w:rsidRPr="006031D6" w:rsidRDefault="006031D6" w:rsidP="006031D6">
      <w:pPr>
        <w:pStyle w:val="Zkladntext"/>
        <w:numPr>
          <w:ilvl w:val="0"/>
          <w:numId w:val="53"/>
        </w:numPr>
        <w:tabs>
          <w:tab w:val="left" w:pos="360"/>
        </w:tabs>
        <w:suppressAutoHyphens w:val="0"/>
        <w:autoSpaceDE w:val="0"/>
        <w:autoSpaceDN w:val="0"/>
        <w:adjustRightInd w:val="0"/>
        <w:spacing w:before="120" w:after="0" w:line="288" w:lineRule="auto"/>
        <w:jc w:val="both"/>
        <w:rPr>
          <w:rFonts w:ascii="Arial" w:hAnsi="Arial" w:cs="Arial"/>
          <w:sz w:val="22"/>
          <w:szCs w:val="22"/>
        </w:rPr>
      </w:pPr>
      <w:r w:rsidRPr="006031D6">
        <w:rPr>
          <w:rFonts w:ascii="Arial" w:hAnsi="Arial" w:cs="Arial"/>
          <w:sz w:val="22"/>
          <w:szCs w:val="22"/>
        </w:rPr>
        <w:t>Děčín – město;</w:t>
      </w:r>
    </w:p>
    <w:p w14:paraId="5FCD9AE4" w14:textId="77777777" w:rsidR="006031D6" w:rsidRPr="006031D6" w:rsidRDefault="006031D6" w:rsidP="006031D6">
      <w:pPr>
        <w:pStyle w:val="Zkladntext"/>
        <w:numPr>
          <w:ilvl w:val="0"/>
          <w:numId w:val="53"/>
        </w:numPr>
        <w:tabs>
          <w:tab w:val="left" w:pos="360"/>
        </w:tabs>
        <w:suppressAutoHyphens w:val="0"/>
        <w:autoSpaceDE w:val="0"/>
        <w:autoSpaceDN w:val="0"/>
        <w:adjustRightInd w:val="0"/>
        <w:spacing w:before="120" w:after="0" w:line="288" w:lineRule="auto"/>
        <w:jc w:val="both"/>
        <w:rPr>
          <w:rFonts w:ascii="Arial" w:hAnsi="Arial" w:cs="Arial"/>
          <w:sz w:val="22"/>
          <w:szCs w:val="22"/>
        </w:rPr>
      </w:pPr>
      <w:r w:rsidRPr="006031D6">
        <w:rPr>
          <w:rFonts w:ascii="Arial" w:hAnsi="Arial" w:cs="Arial"/>
          <w:sz w:val="22"/>
          <w:szCs w:val="22"/>
        </w:rPr>
        <w:t>Skupina - Arnoltice, L. Stráň, Bynovec, Růžová a Janov;</w:t>
      </w:r>
    </w:p>
    <w:p w14:paraId="6DBC0919" w14:textId="77777777" w:rsidR="006031D6" w:rsidRPr="006031D6" w:rsidRDefault="006031D6" w:rsidP="006031D6">
      <w:pPr>
        <w:pStyle w:val="Zkladntext"/>
        <w:numPr>
          <w:ilvl w:val="0"/>
          <w:numId w:val="53"/>
        </w:numPr>
        <w:tabs>
          <w:tab w:val="left" w:pos="360"/>
        </w:tabs>
        <w:suppressAutoHyphens w:val="0"/>
        <w:autoSpaceDE w:val="0"/>
        <w:autoSpaceDN w:val="0"/>
        <w:adjustRightInd w:val="0"/>
        <w:spacing w:before="120" w:after="0" w:line="288" w:lineRule="auto"/>
        <w:jc w:val="both"/>
        <w:rPr>
          <w:rFonts w:ascii="Arial" w:hAnsi="Arial" w:cs="Arial"/>
          <w:sz w:val="22"/>
          <w:szCs w:val="22"/>
        </w:rPr>
      </w:pPr>
      <w:r w:rsidRPr="006031D6">
        <w:rPr>
          <w:rFonts w:ascii="Arial" w:hAnsi="Arial" w:cs="Arial"/>
          <w:sz w:val="22"/>
          <w:szCs w:val="22"/>
        </w:rPr>
        <w:t>Kámen;</w:t>
      </w:r>
    </w:p>
    <w:p w14:paraId="61B5EFFA" w14:textId="77777777" w:rsidR="006031D6" w:rsidRPr="006031D6" w:rsidRDefault="006031D6" w:rsidP="006031D6">
      <w:pPr>
        <w:pStyle w:val="Zkladntext"/>
        <w:numPr>
          <w:ilvl w:val="0"/>
          <w:numId w:val="53"/>
        </w:numPr>
        <w:tabs>
          <w:tab w:val="left" w:pos="360"/>
        </w:tabs>
        <w:suppressAutoHyphens w:val="0"/>
        <w:autoSpaceDE w:val="0"/>
        <w:autoSpaceDN w:val="0"/>
        <w:adjustRightInd w:val="0"/>
        <w:spacing w:before="120" w:after="0" w:line="288" w:lineRule="auto"/>
        <w:jc w:val="both"/>
        <w:rPr>
          <w:rFonts w:ascii="Arial" w:hAnsi="Arial" w:cs="Arial"/>
          <w:sz w:val="22"/>
          <w:szCs w:val="22"/>
        </w:rPr>
      </w:pPr>
      <w:r w:rsidRPr="006031D6">
        <w:rPr>
          <w:rFonts w:ascii="Arial" w:hAnsi="Arial" w:cs="Arial"/>
          <w:sz w:val="22"/>
          <w:szCs w:val="22"/>
        </w:rPr>
        <w:t>Folknáře;</w:t>
      </w:r>
    </w:p>
    <w:p w14:paraId="1BC4393E" w14:textId="77777777" w:rsidR="006031D6" w:rsidRPr="006031D6" w:rsidRDefault="006031D6" w:rsidP="006031D6">
      <w:pPr>
        <w:pStyle w:val="Zkladntext"/>
        <w:numPr>
          <w:ilvl w:val="0"/>
          <w:numId w:val="53"/>
        </w:numPr>
        <w:tabs>
          <w:tab w:val="left" w:pos="360"/>
        </w:tabs>
        <w:suppressAutoHyphens w:val="0"/>
        <w:autoSpaceDE w:val="0"/>
        <w:autoSpaceDN w:val="0"/>
        <w:adjustRightInd w:val="0"/>
        <w:spacing w:before="120" w:after="0" w:line="288" w:lineRule="auto"/>
        <w:jc w:val="both"/>
        <w:rPr>
          <w:rFonts w:ascii="Arial" w:hAnsi="Arial" w:cs="Arial"/>
          <w:sz w:val="22"/>
          <w:szCs w:val="22"/>
        </w:rPr>
      </w:pPr>
      <w:r w:rsidRPr="006031D6">
        <w:rPr>
          <w:rFonts w:ascii="Arial" w:hAnsi="Arial" w:cs="Arial"/>
          <w:sz w:val="22"/>
          <w:szCs w:val="22"/>
        </w:rPr>
        <w:t>Skupina – Boletice, Křešice a Nebočady</w:t>
      </w:r>
      <w:r w:rsidRPr="006031D6">
        <w:rPr>
          <w:rFonts w:ascii="Arial" w:hAnsi="Arial" w:cs="Arial"/>
          <w:sz w:val="22"/>
          <w:szCs w:val="22"/>
        </w:rPr>
        <w:tab/>
      </w:r>
      <w:r w:rsidRPr="006031D6">
        <w:rPr>
          <w:rFonts w:ascii="Arial" w:hAnsi="Arial" w:cs="Arial"/>
          <w:sz w:val="22"/>
          <w:szCs w:val="22"/>
        </w:rPr>
        <w:tab/>
        <w:t>-     Krásný Studenec;</w:t>
      </w:r>
    </w:p>
    <w:p w14:paraId="51D4B6D2" w14:textId="77777777" w:rsidR="006031D6" w:rsidRPr="006031D6" w:rsidRDefault="006031D6" w:rsidP="006031D6">
      <w:pPr>
        <w:pStyle w:val="Zkladntext"/>
        <w:numPr>
          <w:ilvl w:val="0"/>
          <w:numId w:val="53"/>
        </w:numPr>
        <w:tabs>
          <w:tab w:val="left" w:pos="360"/>
        </w:tabs>
        <w:suppressAutoHyphens w:val="0"/>
        <w:autoSpaceDE w:val="0"/>
        <w:autoSpaceDN w:val="0"/>
        <w:adjustRightInd w:val="0"/>
        <w:spacing w:before="120" w:after="0" w:line="288" w:lineRule="auto"/>
        <w:jc w:val="both"/>
        <w:rPr>
          <w:rFonts w:ascii="Arial" w:hAnsi="Arial" w:cs="Arial"/>
          <w:sz w:val="22"/>
          <w:szCs w:val="22"/>
        </w:rPr>
      </w:pPr>
      <w:r w:rsidRPr="006031D6">
        <w:rPr>
          <w:rFonts w:ascii="Arial" w:hAnsi="Arial" w:cs="Arial"/>
          <w:sz w:val="22"/>
          <w:szCs w:val="22"/>
        </w:rPr>
        <w:t>Skupina – Jílové, Martiněves, Modrá, Kamenec a Kamenná.</w:t>
      </w:r>
    </w:p>
    <w:p w14:paraId="68767213"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V přiložené tabulce č. 1 "Vývoj spotřeby vody v domácnostech na obyvatele v letech 1991 – 1998" je patrný vývoj spotřeby vody v uvedených letech. Ze 178 l/os/den v roce 1991 poklesla spotřeba na 106 l/os/den v roce 1998.</w:t>
      </w:r>
    </w:p>
    <w:p w14:paraId="2303304D" w14:textId="77777777" w:rsidR="006031D6" w:rsidRPr="006031D6" w:rsidRDefault="006031D6" w:rsidP="006031D6">
      <w:pPr>
        <w:pStyle w:val="Zkladntext"/>
        <w:spacing w:before="120" w:line="288" w:lineRule="auto"/>
        <w:ind w:left="360"/>
        <w:jc w:val="both"/>
        <w:rPr>
          <w:rFonts w:ascii="Arial" w:hAnsi="Arial" w:cs="Arial"/>
          <w:b/>
          <w:sz w:val="22"/>
          <w:szCs w:val="22"/>
        </w:rPr>
      </w:pPr>
      <w:r w:rsidRPr="006031D6">
        <w:rPr>
          <w:rFonts w:ascii="Arial" w:hAnsi="Arial" w:cs="Arial"/>
          <w:b/>
          <w:caps/>
          <w:sz w:val="22"/>
          <w:szCs w:val="22"/>
        </w:rPr>
        <w:t xml:space="preserve"> </w:t>
      </w:r>
      <w:r w:rsidRPr="006031D6">
        <w:rPr>
          <w:rFonts w:ascii="Arial" w:hAnsi="Arial" w:cs="Arial"/>
          <w:b/>
          <w:caps/>
          <w:sz w:val="22"/>
          <w:szCs w:val="22"/>
        </w:rPr>
        <w:tab/>
      </w:r>
      <w:r w:rsidRPr="006031D6">
        <w:rPr>
          <w:rFonts w:ascii="Arial" w:hAnsi="Arial" w:cs="Arial"/>
          <w:b/>
          <w:caps/>
          <w:sz w:val="22"/>
          <w:szCs w:val="22"/>
        </w:rPr>
        <w:tab/>
      </w:r>
      <w:r w:rsidRPr="006031D6">
        <w:rPr>
          <w:rFonts w:ascii="Arial" w:hAnsi="Arial" w:cs="Arial"/>
          <w:b/>
          <w:caps/>
          <w:sz w:val="22"/>
          <w:szCs w:val="22"/>
        </w:rPr>
        <w:tab/>
      </w:r>
      <w:r w:rsidRPr="006031D6">
        <w:rPr>
          <w:rFonts w:ascii="Arial" w:hAnsi="Arial" w:cs="Arial"/>
          <w:b/>
          <w:caps/>
          <w:sz w:val="22"/>
          <w:szCs w:val="22"/>
        </w:rPr>
        <w:tab/>
      </w:r>
      <w:r w:rsidRPr="006031D6">
        <w:rPr>
          <w:rFonts w:ascii="Arial" w:hAnsi="Arial" w:cs="Arial"/>
          <w:b/>
          <w:caps/>
          <w:sz w:val="22"/>
          <w:szCs w:val="22"/>
        </w:rPr>
        <w:tab/>
      </w:r>
      <w:r w:rsidRPr="006031D6">
        <w:rPr>
          <w:rFonts w:ascii="Arial" w:hAnsi="Arial" w:cs="Arial"/>
          <w:b/>
          <w:caps/>
          <w:sz w:val="22"/>
          <w:szCs w:val="22"/>
        </w:rPr>
        <w:tab/>
      </w:r>
      <w:r w:rsidRPr="006031D6">
        <w:rPr>
          <w:rFonts w:ascii="Arial" w:hAnsi="Arial" w:cs="Arial"/>
          <w:b/>
          <w:caps/>
          <w:sz w:val="22"/>
          <w:szCs w:val="22"/>
        </w:rPr>
        <w:tab/>
      </w:r>
      <w:r w:rsidRPr="006031D6">
        <w:rPr>
          <w:rFonts w:ascii="Arial" w:hAnsi="Arial" w:cs="Arial"/>
          <w:b/>
          <w:caps/>
          <w:sz w:val="22"/>
          <w:szCs w:val="22"/>
        </w:rPr>
        <w:tab/>
      </w:r>
      <w:r w:rsidRPr="006031D6">
        <w:rPr>
          <w:rFonts w:ascii="Arial" w:hAnsi="Arial" w:cs="Arial"/>
          <w:b/>
          <w:caps/>
          <w:sz w:val="22"/>
          <w:szCs w:val="22"/>
        </w:rPr>
        <w:tab/>
      </w:r>
      <w:r w:rsidRPr="006031D6">
        <w:rPr>
          <w:rFonts w:ascii="Arial" w:hAnsi="Arial" w:cs="Arial"/>
          <w:b/>
          <w:caps/>
          <w:sz w:val="22"/>
          <w:szCs w:val="22"/>
        </w:rPr>
        <w:tab/>
        <w:t xml:space="preserve">        Tabulka č. 1</w:t>
      </w:r>
    </w:p>
    <w:p w14:paraId="4C60B4F1"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Vývoj spotřeby vody v domácnostech na obyvatele v letech 1991 – 1998</w:t>
      </w:r>
    </w:p>
    <w:tbl>
      <w:tblPr>
        <w:tblW w:w="0" w:type="auto"/>
        <w:tblLayout w:type="fixed"/>
        <w:tblCellMar>
          <w:left w:w="70" w:type="dxa"/>
          <w:right w:w="70" w:type="dxa"/>
        </w:tblCellMar>
        <w:tblLook w:val="0000" w:firstRow="0" w:lastRow="0" w:firstColumn="0" w:lastColumn="0" w:noHBand="0" w:noVBand="0"/>
      </w:tblPr>
      <w:tblGrid>
        <w:gridCol w:w="1205"/>
        <w:gridCol w:w="810"/>
        <w:gridCol w:w="992"/>
        <w:gridCol w:w="910"/>
        <w:gridCol w:w="942"/>
        <w:gridCol w:w="1001"/>
        <w:gridCol w:w="877"/>
        <w:gridCol w:w="760"/>
        <w:gridCol w:w="1001"/>
        <w:gridCol w:w="728"/>
      </w:tblGrid>
      <w:tr w:rsidR="006031D6" w:rsidRPr="006031D6" w14:paraId="71591F30" w14:textId="77777777" w:rsidTr="002D2D45">
        <w:trPr>
          <w:trHeight w:val="233"/>
        </w:trPr>
        <w:tc>
          <w:tcPr>
            <w:tcW w:w="1205" w:type="dxa"/>
            <w:tcBorders>
              <w:top w:val="single" w:sz="6" w:space="0" w:color="auto"/>
              <w:left w:val="single" w:sz="6" w:space="0" w:color="auto"/>
              <w:bottom w:val="single" w:sz="6" w:space="0" w:color="auto"/>
              <w:right w:val="single" w:sz="6" w:space="0" w:color="auto"/>
            </w:tcBorders>
          </w:tcPr>
          <w:p w14:paraId="350A5985" w14:textId="77777777" w:rsidR="006031D6" w:rsidRPr="006031D6" w:rsidRDefault="006031D6" w:rsidP="006031D6">
            <w:pPr>
              <w:pStyle w:val="Texttabulky"/>
              <w:spacing w:after="0" w:line="240" w:lineRule="atLeast"/>
              <w:rPr>
                <w:rFonts w:cs="Arial"/>
              </w:rPr>
            </w:pPr>
            <w:r w:rsidRPr="006031D6">
              <w:rPr>
                <w:rFonts w:cs="Arial"/>
                <w:b/>
                <w:bCs/>
              </w:rPr>
              <w:t>rok</w:t>
            </w:r>
          </w:p>
        </w:tc>
        <w:tc>
          <w:tcPr>
            <w:tcW w:w="2712" w:type="dxa"/>
            <w:gridSpan w:val="3"/>
            <w:tcBorders>
              <w:top w:val="single" w:sz="6" w:space="0" w:color="auto"/>
              <w:left w:val="single" w:sz="6" w:space="0" w:color="auto"/>
              <w:bottom w:val="single" w:sz="6" w:space="0" w:color="auto"/>
              <w:right w:val="single" w:sz="6" w:space="0" w:color="auto"/>
            </w:tcBorders>
            <w:vAlign w:val="center"/>
          </w:tcPr>
          <w:p w14:paraId="6919003B" w14:textId="77777777" w:rsidR="006031D6" w:rsidRPr="006031D6" w:rsidRDefault="006031D6" w:rsidP="006031D6">
            <w:pPr>
              <w:pStyle w:val="Zkladntext"/>
              <w:spacing w:after="0"/>
              <w:rPr>
                <w:rFonts w:ascii="Arial" w:hAnsi="Arial" w:cs="Arial"/>
              </w:rPr>
            </w:pPr>
            <w:r w:rsidRPr="006031D6">
              <w:rPr>
                <w:rFonts w:ascii="Arial" w:hAnsi="Arial" w:cs="Arial"/>
                <w:b/>
                <w:bCs/>
              </w:rPr>
              <w:t>1 991</w:t>
            </w:r>
          </w:p>
        </w:tc>
        <w:tc>
          <w:tcPr>
            <w:tcW w:w="2820" w:type="dxa"/>
            <w:gridSpan w:val="3"/>
            <w:tcBorders>
              <w:top w:val="single" w:sz="6" w:space="0" w:color="auto"/>
              <w:left w:val="single" w:sz="6" w:space="0" w:color="auto"/>
              <w:bottom w:val="single" w:sz="6" w:space="0" w:color="auto"/>
              <w:right w:val="single" w:sz="6" w:space="0" w:color="auto"/>
            </w:tcBorders>
            <w:vAlign w:val="center"/>
          </w:tcPr>
          <w:p w14:paraId="7F2ACB1F" w14:textId="77777777" w:rsidR="006031D6" w:rsidRPr="006031D6" w:rsidRDefault="006031D6" w:rsidP="006031D6">
            <w:pPr>
              <w:pStyle w:val="Zkladntext"/>
              <w:spacing w:after="0"/>
              <w:rPr>
                <w:rFonts w:ascii="Arial" w:hAnsi="Arial" w:cs="Arial"/>
              </w:rPr>
            </w:pPr>
            <w:r w:rsidRPr="006031D6">
              <w:rPr>
                <w:rFonts w:ascii="Arial" w:hAnsi="Arial" w:cs="Arial"/>
                <w:b/>
                <w:bCs/>
              </w:rPr>
              <w:t>1 993</w:t>
            </w:r>
          </w:p>
        </w:tc>
        <w:tc>
          <w:tcPr>
            <w:tcW w:w="2489" w:type="dxa"/>
            <w:gridSpan w:val="3"/>
            <w:tcBorders>
              <w:top w:val="single" w:sz="6" w:space="0" w:color="auto"/>
              <w:left w:val="single" w:sz="6" w:space="0" w:color="auto"/>
              <w:bottom w:val="single" w:sz="6" w:space="0" w:color="auto"/>
              <w:right w:val="single" w:sz="6" w:space="0" w:color="auto"/>
            </w:tcBorders>
            <w:vAlign w:val="center"/>
          </w:tcPr>
          <w:p w14:paraId="27BF4F7C" w14:textId="77777777" w:rsidR="006031D6" w:rsidRPr="006031D6" w:rsidRDefault="006031D6" w:rsidP="006031D6">
            <w:pPr>
              <w:pStyle w:val="Zkladntext"/>
              <w:spacing w:after="0"/>
              <w:rPr>
                <w:rFonts w:ascii="Arial" w:hAnsi="Arial" w:cs="Arial"/>
              </w:rPr>
            </w:pPr>
            <w:r w:rsidRPr="006031D6">
              <w:rPr>
                <w:rFonts w:ascii="Arial" w:hAnsi="Arial" w:cs="Arial"/>
                <w:b/>
                <w:bCs/>
              </w:rPr>
              <w:t>1 998</w:t>
            </w:r>
          </w:p>
        </w:tc>
      </w:tr>
      <w:tr w:rsidR="006031D6" w:rsidRPr="006031D6" w14:paraId="2C97120E" w14:textId="77777777" w:rsidTr="002D2D45">
        <w:trPr>
          <w:trHeight w:val="538"/>
        </w:trPr>
        <w:tc>
          <w:tcPr>
            <w:tcW w:w="1205" w:type="dxa"/>
            <w:vMerge w:val="restart"/>
            <w:tcBorders>
              <w:top w:val="single" w:sz="6" w:space="0" w:color="auto"/>
              <w:left w:val="single" w:sz="6" w:space="0" w:color="auto"/>
              <w:right w:val="single" w:sz="6" w:space="0" w:color="auto"/>
            </w:tcBorders>
          </w:tcPr>
          <w:p w14:paraId="030E57CC" w14:textId="77777777" w:rsidR="006031D6" w:rsidRPr="006031D6" w:rsidRDefault="006031D6" w:rsidP="006031D6">
            <w:pPr>
              <w:pStyle w:val="Texttabulky"/>
              <w:spacing w:after="0" w:line="240" w:lineRule="atLeast"/>
              <w:rPr>
                <w:rFonts w:cs="Arial"/>
              </w:rPr>
            </w:pPr>
            <w:r w:rsidRPr="006031D6">
              <w:rPr>
                <w:rFonts w:cs="Arial"/>
                <w:b/>
                <w:bCs/>
              </w:rPr>
              <w:t>obec</w:t>
            </w:r>
          </w:p>
        </w:tc>
        <w:tc>
          <w:tcPr>
            <w:tcW w:w="810" w:type="dxa"/>
            <w:vMerge w:val="restart"/>
            <w:tcBorders>
              <w:top w:val="single" w:sz="6" w:space="0" w:color="auto"/>
              <w:left w:val="single" w:sz="6" w:space="0" w:color="auto"/>
              <w:right w:val="single" w:sz="6" w:space="0" w:color="auto"/>
            </w:tcBorders>
          </w:tcPr>
          <w:p w14:paraId="584ADB30" w14:textId="77777777" w:rsidR="006031D6" w:rsidRPr="006031D6" w:rsidRDefault="006031D6" w:rsidP="006031D6">
            <w:pPr>
              <w:pStyle w:val="Texttabulky"/>
              <w:spacing w:after="0" w:line="240" w:lineRule="atLeast"/>
              <w:rPr>
                <w:rFonts w:cs="Arial"/>
              </w:rPr>
            </w:pPr>
            <w:r w:rsidRPr="006031D6">
              <w:rPr>
                <w:rFonts w:cs="Arial"/>
                <w:b/>
                <w:bCs/>
              </w:rPr>
              <w:t>počet obyvatel</w:t>
            </w:r>
          </w:p>
        </w:tc>
        <w:tc>
          <w:tcPr>
            <w:tcW w:w="1902" w:type="dxa"/>
            <w:gridSpan w:val="2"/>
            <w:tcBorders>
              <w:top w:val="single" w:sz="6" w:space="0" w:color="auto"/>
              <w:left w:val="single" w:sz="6" w:space="0" w:color="auto"/>
              <w:bottom w:val="single" w:sz="6" w:space="0" w:color="auto"/>
              <w:right w:val="single" w:sz="6" w:space="0" w:color="auto"/>
            </w:tcBorders>
          </w:tcPr>
          <w:p w14:paraId="4AC7B57A" w14:textId="77777777" w:rsidR="006031D6" w:rsidRPr="006031D6" w:rsidRDefault="006031D6" w:rsidP="006031D6">
            <w:pPr>
              <w:pStyle w:val="Zkladntext"/>
              <w:spacing w:after="0"/>
              <w:rPr>
                <w:rFonts w:ascii="Arial" w:hAnsi="Arial" w:cs="Arial"/>
              </w:rPr>
            </w:pPr>
            <w:r w:rsidRPr="006031D6">
              <w:rPr>
                <w:rFonts w:ascii="Arial" w:hAnsi="Arial" w:cs="Arial"/>
                <w:b/>
                <w:bCs/>
              </w:rPr>
              <w:t>voda fakturovaná domácnosti</w:t>
            </w:r>
          </w:p>
        </w:tc>
        <w:tc>
          <w:tcPr>
            <w:tcW w:w="942" w:type="dxa"/>
            <w:vMerge w:val="restart"/>
            <w:tcBorders>
              <w:top w:val="single" w:sz="6" w:space="0" w:color="auto"/>
              <w:left w:val="single" w:sz="6" w:space="0" w:color="auto"/>
              <w:right w:val="single" w:sz="6" w:space="0" w:color="auto"/>
            </w:tcBorders>
          </w:tcPr>
          <w:p w14:paraId="6A89EF85" w14:textId="77777777" w:rsidR="006031D6" w:rsidRPr="006031D6" w:rsidRDefault="006031D6" w:rsidP="006031D6">
            <w:pPr>
              <w:pStyle w:val="Texttabulky"/>
              <w:spacing w:after="0" w:line="240" w:lineRule="atLeast"/>
              <w:rPr>
                <w:rFonts w:cs="Arial"/>
              </w:rPr>
            </w:pPr>
            <w:r w:rsidRPr="006031D6">
              <w:rPr>
                <w:rFonts w:cs="Arial"/>
                <w:b/>
                <w:bCs/>
              </w:rPr>
              <w:t>počet obyvatel</w:t>
            </w:r>
          </w:p>
        </w:tc>
        <w:tc>
          <w:tcPr>
            <w:tcW w:w="1878" w:type="dxa"/>
            <w:gridSpan w:val="2"/>
            <w:tcBorders>
              <w:top w:val="single" w:sz="6" w:space="0" w:color="auto"/>
              <w:left w:val="single" w:sz="6" w:space="0" w:color="auto"/>
              <w:bottom w:val="single" w:sz="6" w:space="0" w:color="auto"/>
              <w:right w:val="single" w:sz="6" w:space="0" w:color="auto"/>
            </w:tcBorders>
          </w:tcPr>
          <w:p w14:paraId="48B6B83A" w14:textId="77777777" w:rsidR="006031D6" w:rsidRPr="006031D6" w:rsidRDefault="006031D6" w:rsidP="006031D6">
            <w:pPr>
              <w:pStyle w:val="Zkladntext"/>
              <w:spacing w:after="0"/>
              <w:rPr>
                <w:rFonts w:ascii="Arial" w:hAnsi="Arial" w:cs="Arial"/>
              </w:rPr>
            </w:pPr>
            <w:r w:rsidRPr="006031D6">
              <w:rPr>
                <w:rFonts w:ascii="Arial" w:hAnsi="Arial" w:cs="Arial"/>
                <w:b/>
                <w:bCs/>
              </w:rPr>
              <w:t>voda fakturovaná domácnosti</w:t>
            </w:r>
          </w:p>
        </w:tc>
        <w:tc>
          <w:tcPr>
            <w:tcW w:w="760" w:type="dxa"/>
            <w:vMerge w:val="restart"/>
            <w:tcBorders>
              <w:top w:val="single" w:sz="6" w:space="0" w:color="auto"/>
              <w:left w:val="single" w:sz="6" w:space="0" w:color="auto"/>
              <w:right w:val="single" w:sz="6" w:space="0" w:color="auto"/>
            </w:tcBorders>
          </w:tcPr>
          <w:p w14:paraId="24C66D07" w14:textId="77777777" w:rsidR="006031D6" w:rsidRPr="006031D6" w:rsidRDefault="006031D6" w:rsidP="006031D6">
            <w:pPr>
              <w:pStyle w:val="Texttabulky"/>
              <w:spacing w:after="0" w:line="240" w:lineRule="atLeast"/>
              <w:rPr>
                <w:rFonts w:cs="Arial"/>
              </w:rPr>
            </w:pPr>
            <w:r w:rsidRPr="006031D6">
              <w:rPr>
                <w:rFonts w:cs="Arial"/>
                <w:b/>
                <w:bCs/>
              </w:rPr>
              <w:t>počet obyvatel</w:t>
            </w:r>
          </w:p>
        </w:tc>
        <w:tc>
          <w:tcPr>
            <w:tcW w:w="1729" w:type="dxa"/>
            <w:gridSpan w:val="2"/>
            <w:tcBorders>
              <w:top w:val="single" w:sz="6" w:space="0" w:color="auto"/>
              <w:left w:val="single" w:sz="6" w:space="0" w:color="auto"/>
              <w:bottom w:val="single" w:sz="6" w:space="0" w:color="auto"/>
              <w:right w:val="single" w:sz="6" w:space="0" w:color="auto"/>
            </w:tcBorders>
          </w:tcPr>
          <w:p w14:paraId="6B5164DB" w14:textId="77777777" w:rsidR="006031D6" w:rsidRPr="006031D6" w:rsidRDefault="006031D6" w:rsidP="006031D6">
            <w:pPr>
              <w:pStyle w:val="Zkladntext"/>
              <w:spacing w:after="0"/>
              <w:rPr>
                <w:rFonts w:ascii="Arial" w:hAnsi="Arial" w:cs="Arial"/>
              </w:rPr>
            </w:pPr>
            <w:r w:rsidRPr="006031D6">
              <w:rPr>
                <w:rFonts w:ascii="Arial" w:hAnsi="Arial" w:cs="Arial"/>
                <w:b/>
                <w:bCs/>
              </w:rPr>
              <w:t>voda fakturovaná domácnosti</w:t>
            </w:r>
          </w:p>
        </w:tc>
      </w:tr>
      <w:tr w:rsidR="006031D6" w:rsidRPr="006031D6" w14:paraId="4FFBF5D4" w14:textId="77777777" w:rsidTr="002D2D45">
        <w:trPr>
          <w:trHeight w:val="466"/>
        </w:trPr>
        <w:tc>
          <w:tcPr>
            <w:tcW w:w="1205" w:type="dxa"/>
            <w:vMerge/>
            <w:tcBorders>
              <w:left w:val="single" w:sz="6" w:space="0" w:color="auto"/>
              <w:bottom w:val="nil"/>
              <w:right w:val="single" w:sz="6" w:space="0" w:color="auto"/>
            </w:tcBorders>
          </w:tcPr>
          <w:p w14:paraId="3A9C7D86" w14:textId="77777777" w:rsidR="006031D6" w:rsidRPr="006031D6" w:rsidRDefault="006031D6" w:rsidP="006031D6">
            <w:pPr>
              <w:pStyle w:val="Zkladntext"/>
              <w:spacing w:after="0"/>
              <w:rPr>
                <w:rFonts w:ascii="Arial" w:hAnsi="Arial" w:cs="Arial"/>
              </w:rPr>
            </w:pPr>
          </w:p>
        </w:tc>
        <w:tc>
          <w:tcPr>
            <w:tcW w:w="810" w:type="dxa"/>
            <w:vMerge/>
            <w:tcBorders>
              <w:left w:val="single" w:sz="6" w:space="0" w:color="auto"/>
              <w:bottom w:val="single" w:sz="6" w:space="0" w:color="auto"/>
              <w:right w:val="single" w:sz="6" w:space="0" w:color="auto"/>
            </w:tcBorders>
          </w:tcPr>
          <w:p w14:paraId="208860BD" w14:textId="77777777" w:rsidR="006031D6" w:rsidRPr="006031D6" w:rsidRDefault="006031D6" w:rsidP="006031D6">
            <w:pPr>
              <w:pStyle w:val="Zkladntext"/>
              <w:spacing w:after="0"/>
              <w:rPr>
                <w:rFonts w:ascii="Arial" w:hAnsi="Arial" w:cs="Arial"/>
              </w:rPr>
            </w:pPr>
          </w:p>
        </w:tc>
        <w:tc>
          <w:tcPr>
            <w:tcW w:w="992" w:type="dxa"/>
            <w:tcBorders>
              <w:top w:val="single" w:sz="6" w:space="0" w:color="auto"/>
              <w:left w:val="single" w:sz="6" w:space="0" w:color="auto"/>
              <w:bottom w:val="single" w:sz="6" w:space="0" w:color="auto"/>
              <w:right w:val="single" w:sz="6" w:space="0" w:color="auto"/>
            </w:tcBorders>
          </w:tcPr>
          <w:p w14:paraId="2AF3EB15" w14:textId="77777777" w:rsidR="006031D6" w:rsidRPr="006031D6" w:rsidRDefault="006031D6" w:rsidP="006031D6">
            <w:pPr>
              <w:pStyle w:val="Texttabulky"/>
              <w:spacing w:after="0" w:line="240" w:lineRule="atLeast"/>
              <w:rPr>
                <w:rFonts w:cs="Arial"/>
              </w:rPr>
            </w:pPr>
            <w:r w:rsidRPr="006031D6">
              <w:rPr>
                <w:rFonts w:cs="Arial"/>
                <w:b/>
                <w:bCs/>
              </w:rPr>
              <w:t>m</w:t>
            </w:r>
            <w:r w:rsidRPr="006031D6">
              <w:rPr>
                <w:rFonts w:cs="Arial"/>
                <w:b/>
                <w:bCs/>
                <w:vertAlign w:val="superscript"/>
              </w:rPr>
              <w:t>3</w:t>
            </w:r>
            <w:r w:rsidRPr="006031D6">
              <w:rPr>
                <w:rFonts w:cs="Arial"/>
                <w:b/>
                <w:bCs/>
              </w:rPr>
              <w:t>/rok</w:t>
            </w:r>
          </w:p>
        </w:tc>
        <w:tc>
          <w:tcPr>
            <w:tcW w:w="910" w:type="dxa"/>
            <w:tcBorders>
              <w:top w:val="single" w:sz="6" w:space="0" w:color="auto"/>
              <w:left w:val="single" w:sz="6" w:space="0" w:color="auto"/>
              <w:bottom w:val="single" w:sz="6" w:space="0" w:color="auto"/>
              <w:right w:val="single" w:sz="6" w:space="0" w:color="auto"/>
            </w:tcBorders>
          </w:tcPr>
          <w:p w14:paraId="6A8E55D9" w14:textId="77777777" w:rsidR="006031D6" w:rsidRPr="006031D6" w:rsidRDefault="006031D6" w:rsidP="006031D6">
            <w:pPr>
              <w:pStyle w:val="Texttabulky"/>
              <w:spacing w:after="0" w:line="240" w:lineRule="atLeast"/>
              <w:rPr>
                <w:rFonts w:cs="Arial"/>
              </w:rPr>
            </w:pPr>
            <w:r w:rsidRPr="006031D6">
              <w:rPr>
                <w:rFonts w:cs="Arial"/>
                <w:b/>
                <w:bCs/>
              </w:rPr>
              <w:t>l/os/den</w:t>
            </w:r>
          </w:p>
        </w:tc>
        <w:tc>
          <w:tcPr>
            <w:tcW w:w="942" w:type="dxa"/>
            <w:vMerge/>
            <w:tcBorders>
              <w:left w:val="single" w:sz="6" w:space="0" w:color="auto"/>
              <w:bottom w:val="single" w:sz="6" w:space="0" w:color="auto"/>
              <w:right w:val="single" w:sz="6" w:space="0" w:color="auto"/>
            </w:tcBorders>
          </w:tcPr>
          <w:p w14:paraId="71806223" w14:textId="77777777" w:rsidR="006031D6" w:rsidRPr="006031D6" w:rsidRDefault="006031D6" w:rsidP="006031D6">
            <w:pPr>
              <w:pStyle w:val="Zkladntext"/>
              <w:spacing w:after="0"/>
              <w:rPr>
                <w:rFonts w:ascii="Arial" w:hAnsi="Arial" w:cs="Arial"/>
              </w:rPr>
            </w:pPr>
          </w:p>
        </w:tc>
        <w:tc>
          <w:tcPr>
            <w:tcW w:w="1001" w:type="dxa"/>
            <w:tcBorders>
              <w:top w:val="single" w:sz="6" w:space="0" w:color="auto"/>
              <w:left w:val="single" w:sz="6" w:space="0" w:color="auto"/>
              <w:bottom w:val="single" w:sz="6" w:space="0" w:color="auto"/>
              <w:right w:val="single" w:sz="6" w:space="0" w:color="auto"/>
            </w:tcBorders>
          </w:tcPr>
          <w:p w14:paraId="6541BFAA" w14:textId="77777777" w:rsidR="006031D6" w:rsidRPr="006031D6" w:rsidRDefault="006031D6" w:rsidP="006031D6">
            <w:pPr>
              <w:pStyle w:val="Texttabulky"/>
              <w:spacing w:after="0" w:line="240" w:lineRule="atLeast"/>
              <w:rPr>
                <w:rFonts w:cs="Arial"/>
              </w:rPr>
            </w:pPr>
            <w:r w:rsidRPr="006031D6">
              <w:rPr>
                <w:rFonts w:cs="Arial"/>
                <w:b/>
                <w:bCs/>
              </w:rPr>
              <w:t>m</w:t>
            </w:r>
            <w:r w:rsidRPr="006031D6">
              <w:rPr>
                <w:rFonts w:cs="Arial"/>
                <w:b/>
                <w:bCs/>
                <w:vertAlign w:val="superscript"/>
              </w:rPr>
              <w:t>3</w:t>
            </w:r>
            <w:r w:rsidRPr="006031D6">
              <w:rPr>
                <w:rFonts w:cs="Arial"/>
                <w:b/>
                <w:bCs/>
              </w:rPr>
              <w:t>/rok</w:t>
            </w:r>
          </w:p>
        </w:tc>
        <w:tc>
          <w:tcPr>
            <w:tcW w:w="877" w:type="dxa"/>
            <w:tcBorders>
              <w:top w:val="single" w:sz="6" w:space="0" w:color="auto"/>
              <w:left w:val="single" w:sz="6" w:space="0" w:color="auto"/>
              <w:bottom w:val="single" w:sz="6" w:space="0" w:color="auto"/>
              <w:right w:val="single" w:sz="6" w:space="0" w:color="auto"/>
            </w:tcBorders>
          </w:tcPr>
          <w:p w14:paraId="2662CCC7" w14:textId="77777777" w:rsidR="006031D6" w:rsidRPr="006031D6" w:rsidRDefault="006031D6" w:rsidP="006031D6">
            <w:pPr>
              <w:pStyle w:val="Texttabulky"/>
              <w:spacing w:after="0" w:line="240" w:lineRule="atLeast"/>
              <w:rPr>
                <w:rFonts w:cs="Arial"/>
              </w:rPr>
            </w:pPr>
            <w:r w:rsidRPr="006031D6">
              <w:rPr>
                <w:rFonts w:cs="Arial"/>
                <w:b/>
                <w:bCs/>
              </w:rPr>
              <w:t>l/os/den</w:t>
            </w:r>
          </w:p>
        </w:tc>
        <w:tc>
          <w:tcPr>
            <w:tcW w:w="760" w:type="dxa"/>
            <w:vMerge/>
            <w:tcBorders>
              <w:left w:val="single" w:sz="6" w:space="0" w:color="auto"/>
              <w:bottom w:val="single" w:sz="6" w:space="0" w:color="auto"/>
              <w:right w:val="single" w:sz="6" w:space="0" w:color="auto"/>
            </w:tcBorders>
          </w:tcPr>
          <w:p w14:paraId="3756B6F9" w14:textId="77777777" w:rsidR="006031D6" w:rsidRPr="006031D6" w:rsidRDefault="006031D6" w:rsidP="006031D6">
            <w:pPr>
              <w:pStyle w:val="Zkladntext"/>
              <w:spacing w:after="0"/>
              <w:rPr>
                <w:rFonts w:ascii="Arial" w:hAnsi="Arial" w:cs="Arial"/>
              </w:rPr>
            </w:pPr>
          </w:p>
        </w:tc>
        <w:tc>
          <w:tcPr>
            <w:tcW w:w="1001" w:type="dxa"/>
            <w:tcBorders>
              <w:top w:val="single" w:sz="6" w:space="0" w:color="auto"/>
              <w:left w:val="single" w:sz="6" w:space="0" w:color="auto"/>
              <w:bottom w:val="single" w:sz="6" w:space="0" w:color="auto"/>
              <w:right w:val="single" w:sz="6" w:space="0" w:color="auto"/>
            </w:tcBorders>
          </w:tcPr>
          <w:p w14:paraId="14B64FA4" w14:textId="77777777" w:rsidR="006031D6" w:rsidRPr="006031D6" w:rsidRDefault="006031D6" w:rsidP="006031D6">
            <w:pPr>
              <w:pStyle w:val="Texttabulky"/>
              <w:spacing w:after="0" w:line="240" w:lineRule="atLeast"/>
              <w:rPr>
                <w:rFonts w:cs="Arial"/>
              </w:rPr>
            </w:pPr>
            <w:r w:rsidRPr="006031D6">
              <w:rPr>
                <w:rFonts w:cs="Arial"/>
                <w:b/>
                <w:bCs/>
              </w:rPr>
              <w:t>m</w:t>
            </w:r>
            <w:r w:rsidRPr="006031D6">
              <w:rPr>
                <w:rFonts w:cs="Arial"/>
                <w:b/>
                <w:bCs/>
                <w:vertAlign w:val="superscript"/>
              </w:rPr>
              <w:t>3</w:t>
            </w:r>
            <w:r w:rsidRPr="006031D6">
              <w:rPr>
                <w:rFonts w:cs="Arial"/>
                <w:b/>
                <w:bCs/>
              </w:rPr>
              <w:t>/rok</w:t>
            </w:r>
          </w:p>
        </w:tc>
        <w:tc>
          <w:tcPr>
            <w:tcW w:w="728" w:type="dxa"/>
            <w:tcBorders>
              <w:top w:val="single" w:sz="6" w:space="0" w:color="auto"/>
              <w:left w:val="single" w:sz="6" w:space="0" w:color="auto"/>
              <w:bottom w:val="single" w:sz="6" w:space="0" w:color="auto"/>
              <w:right w:val="single" w:sz="6" w:space="0" w:color="auto"/>
            </w:tcBorders>
          </w:tcPr>
          <w:p w14:paraId="311A109C" w14:textId="77777777" w:rsidR="006031D6" w:rsidRPr="006031D6" w:rsidRDefault="006031D6" w:rsidP="006031D6">
            <w:pPr>
              <w:pStyle w:val="Texttabulky"/>
              <w:spacing w:after="0" w:line="240" w:lineRule="atLeast"/>
              <w:rPr>
                <w:rFonts w:cs="Arial"/>
              </w:rPr>
            </w:pPr>
            <w:r w:rsidRPr="006031D6">
              <w:rPr>
                <w:rFonts w:cs="Arial"/>
                <w:b/>
                <w:bCs/>
              </w:rPr>
              <w:t>l/os/den</w:t>
            </w:r>
          </w:p>
        </w:tc>
      </w:tr>
      <w:tr w:rsidR="006031D6" w:rsidRPr="006031D6" w14:paraId="66F671E7" w14:textId="77777777" w:rsidTr="002D2D45">
        <w:trPr>
          <w:trHeight w:val="233"/>
        </w:trPr>
        <w:tc>
          <w:tcPr>
            <w:tcW w:w="1205" w:type="dxa"/>
            <w:tcBorders>
              <w:top w:val="single" w:sz="6" w:space="0" w:color="auto"/>
              <w:left w:val="single" w:sz="6" w:space="0" w:color="auto"/>
              <w:bottom w:val="single" w:sz="6" w:space="0" w:color="auto"/>
              <w:right w:val="single" w:sz="6" w:space="0" w:color="auto"/>
            </w:tcBorders>
          </w:tcPr>
          <w:p w14:paraId="1012B8F5" w14:textId="77777777" w:rsidR="006031D6" w:rsidRPr="006031D6" w:rsidRDefault="006031D6" w:rsidP="006031D6">
            <w:pPr>
              <w:pStyle w:val="Texttabulky"/>
              <w:spacing w:after="0" w:line="240" w:lineRule="atLeast"/>
              <w:rPr>
                <w:rFonts w:cs="Arial"/>
              </w:rPr>
            </w:pPr>
            <w:r w:rsidRPr="006031D6">
              <w:rPr>
                <w:rFonts w:cs="Arial"/>
              </w:rPr>
              <w:t>Březiny</w:t>
            </w:r>
          </w:p>
        </w:tc>
        <w:tc>
          <w:tcPr>
            <w:tcW w:w="810" w:type="dxa"/>
            <w:tcBorders>
              <w:top w:val="single" w:sz="6" w:space="0" w:color="auto"/>
              <w:left w:val="single" w:sz="6" w:space="0" w:color="auto"/>
              <w:bottom w:val="single" w:sz="6" w:space="0" w:color="auto"/>
              <w:right w:val="single" w:sz="6" w:space="0" w:color="auto"/>
            </w:tcBorders>
          </w:tcPr>
          <w:p w14:paraId="394E5AE8" w14:textId="77777777" w:rsidR="006031D6" w:rsidRPr="006031D6" w:rsidRDefault="006031D6" w:rsidP="006031D6">
            <w:pPr>
              <w:pStyle w:val="Texttabulky"/>
              <w:spacing w:after="0" w:line="240" w:lineRule="atLeast"/>
              <w:rPr>
                <w:rFonts w:cs="Arial"/>
              </w:rPr>
            </w:pPr>
            <w:r w:rsidRPr="006031D6">
              <w:rPr>
                <w:rFonts w:cs="Arial"/>
              </w:rPr>
              <w:t>2 224</w:t>
            </w:r>
          </w:p>
        </w:tc>
        <w:tc>
          <w:tcPr>
            <w:tcW w:w="992" w:type="dxa"/>
            <w:tcBorders>
              <w:top w:val="single" w:sz="6" w:space="0" w:color="auto"/>
              <w:left w:val="single" w:sz="6" w:space="0" w:color="auto"/>
              <w:bottom w:val="single" w:sz="6" w:space="0" w:color="auto"/>
              <w:right w:val="single" w:sz="6" w:space="0" w:color="auto"/>
            </w:tcBorders>
          </w:tcPr>
          <w:p w14:paraId="0E025033" w14:textId="77777777" w:rsidR="006031D6" w:rsidRPr="006031D6" w:rsidRDefault="006031D6" w:rsidP="006031D6">
            <w:pPr>
              <w:pStyle w:val="Texttabulky"/>
              <w:spacing w:after="0" w:line="240" w:lineRule="atLeast"/>
              <w:rPr>
                <w:rFonts w:cs="Arial"/>
              </w:rPr>
            </w:pPr>
            <w:r w:rsidRPr="006031D6">
              <w:rPr>
                <w:rFonts w:cs="Arial"/>
              </w:rPr>
              <w:t>137 891</w:t>
            </w:r>
          </w:p>
        </w:tc>
        <w:tc>
          <w:tcPr>
            <w:tcW w:w="910" w:type="dxa"/>
            <w:tcBorders>
              <w:top w:val="single" w:sz="6" w:space="0" w:color="auto"/>
              <w:left w:val="single" w:sz="6" w:space="0" w:color="auto"/>
              <w:bottom w:val="single" w:sz="6" w:space="0" w:color="auto"/>
              <w:right w:val="single" w:sz="6" w:space="0" w:color="auto"/>
            </w:tcBorders>
          </w:tcPr>
          <w:p w14:paraId="09CB66CF" w14:textId="77777777" w:rsidR="006031D6" w:rsidRPr="006031D6" w:rsidRDefault="006031D6" w:rsidP="006031D6">
            <w:pPr>
              <w:pStyle w:val="Texttabulky"/>
              <w:spacing w:after="0" w:line="240" w:lineRule="atLeast"/>
              <w:rPr>
                <w:rFonts w:cs="Arial"/>
              </w:rPr>
            </w:pPr>
            <w:r w:rsidRPr="006031D6">
              <w:rPr>
                <w:rFonts w:cs="Arial"/>
              </w:rPr>
              <w:t>170</w:t>
            </w:r>
          </w:p>
        </w:tc>
        <w:tc>
          <w:tcPr>
            <w:tcW w:w="942" w:type="dxa"/>
            <w:tcBorders>
              <w:top w:val="single" w:sz="6" w:space="0" w:color="auto"/>
              <w:left w:val="single" w:sz="6" w:space="0" w:color="auto"/>
              <w:bottom w:val="single" w:sz="6" w:space="0" w:color="auto"/>
              <w:right w:val="single" w:sz="6" w:space="0" w:color="auto"/>
            </w:tcBorders>
          </w:tcPr>
          <w:p w14:paraId="5B33C21A" w14:textId="77777777" w:rsidR="006031D6" w:rsidRPr="006031D6" w:rsidRDefault="006031D6" w:rsidP="006031D6">
            <w:pPr>
              <w:pStyle w:val="Texttabulky"/>
              <w:spacing w:after="0" w:line="240" w:lineRule="atLeast"/>
              <w:rPr>
                <w:rFonts w:cs="Arial"/>
              </w:rPr>
            </w:pPr>
            <w:r w:rsidRPr="006031D6">
              <w:rPr>
                <w:rFonts w:cs="Arial"/>
              </w:rPr>
              <w:t>2 224</w:t>
            </w:r>
          </w:p>
        </w:tc>
        <w:tc>
          <w:tcPr>
            <w:tcW w:w="1001" w:type="dxa"/>
            <w:tcBorders>
              <w:top w:val="single" w:sz="6" w:space="0" w:color="auto"/>
              <w:left w:val="single" w:sz="6" w:space="0" w:color="auto"/>
              <w:bottom w:val="single" w:sz="6" w:space="0" w:color="auto"/>
              <w:right w:val="single" w:sz="6" w:space="0" w:color="auto"/>
            </w:tcBorders>
          </w:tcPr>
          <w:p w14:paraId="6BAA5468" w14:textId="77777777" w:rsidR="006031D6" w:rsidRPr="006031D6" w:rsidRDefault="006031D6" w:rsidP="006031D6">
            <w:pPr>
              <w:pStyle w:val="Texttabulky"/>
              <w:spacing w:after="0" w:line="240" w:lineRule="atLeast"/>
              <w:rPr>
                <w:rFonts w:cs="Arial"/>
              </w:rPr>
            </w:pPr>
            <w:r w:rsidRPr="006031D6">
              <w:rPr>
                <w:rFonts w:cs="Arial"/>
              </w:rPr>
              <w:t>141 750</w:t>
            </w:r>
          </w:p>
        </w:tc>
        <w:tc>
          <w:tcPr>
            <w:tcW w:w="877" w:type="dxa"/>
            <w:tcBorders>
              <w:top w:val="single" w:sz="6" w:space="0" w:color="auto"/>
              <w:left w:val="single" w:sz="6" w:space="0" w:color="auto"/>
              <w:bottom w:val="single" w:sz="6" w:space="0" w:color="auto"/>
              <w:right w:val="single" w:sz="6" w:space="0" w:color="auto"/>
            </w:tcBorders>
          </w:tcPr>
          <w:p w14:paraId="00750861" w14:textId="77777777" w:rsidR="006031D6" w:rsidRPr="006031D6" w:rsidRDefault="006031D6" w:rsidP="006031D6">
            <w:pPr>
              <w:pStyle w:val="Texttabulky"/>
              <w:spacing w:after="0" w:line="240" w:lineRule="atLeast"/>
              <w:rPr>
                <w:rFonts w:cs="Arial"/>
              </w:rPr>
            </w:pPr>
            <w:r w:rsidRPr="006031D6">
              <w:rPr>
                <w:rFonts w:cs="Arial"/>
              </w:rPr>
              <w:t>175</w:t>
            </w:r>
          </w:p>
        </w:tc>
        <w:tc>
          <w:tcPr>
            <w:tcW w:w="760" w:type="dxa"/>
            <w:tcBorders>
              <w:top w:val="single" w:sz="6" w:space="0" w:color="auto"/>
              <w:left w:val="single" w:sz="6" w:space="0" w:color="auto"/>
              <w:bottom w:val="single" w:sz="6" w:space="0" w:color="auto"/>
              <w:right w:val="single" w:sz="6" w:space="0" w:color="auto"/>
            </w:tcBorders>
          </w:tcPr>
          <w:p w14:paraId="24CF289D" w14:textId="77777777" w:rsidR="006031D6" w:rsidRPr="006031D6" w:rsidRDefault="006031D6" w:rsidP="006031D6">
            <w:pPr>
              <w:pStyle w:val="Texttabulky"/>
              <w:spacing w:after="0" w:line="240" w:lineRule="atLeast"/>
              <w:rPr>
                <w:rFonts w:cs="Arial"/>
              </w:rPr>
            </w:pPr>
            <w:r w:rsidRPr="006031D6">
              <w:rPr>
                <w:rFonts w:cs="Arial"/>
              </w:rPr>
              <w:t>2 220</w:t>
            </w:r>
          </w:p>
        </w:tc>
        <w:tc>
          <w:tcPr>
            <w:tcW w:w="1001" w:type="dxa"/>
            <w:tcBorders>
              <w:top w:val="single" w:sz="6" w:space="0" w:color="auto"/>
              <w:left w:val="single" w:sz="6" w:space="0" w:color="auto"/>
              <w:bottom w:val="single" w:sz="6" w:space="0" w:color="auto"/>
              <w:right w:val="single" w:sz="6" w:space="0" w:color="auto"/>
            </w:tcBorders>
          </w:tcPr>
          <w:p w14:paraId="3A55CB6E" w14:textId="77777777" w:rsidR="006031D6" w:rsidRPr="006031D6" w:rsidRDefault="006031D6" w:rsidP="006031D6">
            <w:pPr>
              <w:pStyle w:val="Texttabulky"/>
              <w:spacing w:after="0" w:line="240" w:lineRule="atLeast"/>
              <w:rPr>
                <w:rFonts w:cs="Arial"/>
              </w:rPr>
            </w:pPr>
            <w:r w:rsidRPr="006031D6">
              <w:rPr>
                <w:rFonts w:cs="Arial"/>
              </w:rPr>
              <w:t>62 344</w:t>
            </w:r>
          </w:p>
        </w:tc>
        <w:tc>
          <w:tcPr>
            <w:tcW w:w="728" w:type="dxa"/>
            <w:tcBorders>
              <w:top w:val="single" w:sz="6" w:space="0" w:color="auto"/>
              <w:left w:val="single" w:sz="6" w:space="0" w:color="auto"/>
              <w:bottom w:val="single" w:sz="6" w:space="0" w:color="auto"/>
              <w:right w:val="single" w:sz="6" w:space="0" w:color="auto"/>
            </w:tcBorders>
          </w:tcPr>
          <w:p w14:paraId="086A0961" w14:textId="77777777" w:rsidR="006031D6" w:rsidRPr="006031D6" w:rsidRDefault="006031D6" w:rsidP="006031D6">
            <w:pPr>
              <w:pStyle w:val="Texttabulky"/>
              <w:spacing w:after="0" w:line="240" w:lineRule="atLeast"/>
              <w:rPr>
                <w:rFonts w:cs="Arial"/>
              </w:rPr>
            </w:pPr>
            <w:r w:rsidRPr="006031D6">
              <w:rPr>
                <w:rFonts w:cs="Arial"/>
              </w:rPr>
              <w:t>77</w:t>
            </w:r>
          </w:p>
        </w:tc>
      </w:tr>
      <w:tr w:rsidR="006031D6" w:rsidRPr="006031D6" w14:paraId="553FF1DB" w14:textId="77777777" w:rsidTr="002D2D45">
        <w:trPr>
          <w:trHeight w:val="466"/>
        </w:trPr>
        <w:tc>
          <w:tcPr>
            <w:tcW w:w="1205" w:type="dxa"/>
            <w:tcBorders>
              <w:top w:val="single" w:sz="6" w:space="0" w:color="auto"/>
              <w:left w:val="single" w:sz="6" w:space="0" w:color="auto"/>
              <w:bottom w:val="single" w:sz="6" w:space="0" w:color="auto"/>
              <w:right w:val="single" w:sz="6" w:space="0" w:color="auto"/>
            </w:tcBorders>
          </w:tcPr>
          <w:p w14:paraId="177C9671" w14:textId="77777777" w:rsidR="006031D6" w:rsidRPr="006031D6" w:rsidRDefault="006031D6" w:rsidP="006031D6">
            <w:pPr>
              <w:pStyle w:val="Texttabulky"/>
              <w:spacing w:after="0" w:line="240" w:lineRule="atLeast"/>
              <w:rPr>
                <w:rFonts w:cs="Arial"/>
              </w:rPr>
            </w:pPr>
            <w:r w:rsidRPr="006031D6">
              <w:rPr>
                <w:rFonts w:cs="Arial"/>
              </w:rPr>
              <w:t>Děčín</w:t>
            </w:r>
          </w:p>
        </w:tc>
        <w:tc>
          <w:tcPr>
            <w:tcW w:w="810" w:type="dxa"/>
            <w:tcBorders>
              <w:top w:val="single" w:sz="6" w:space="0" w:color="auto"/>
              <w:left w:val="single" w:sz="6" w:space="0" w:color="auto"/>
              <w:bottom w:val="single" w:sz="6" w:space="0" w:color="auto"/>
              <w:right w:val="single" w:sz="6" w:space="0" w:color="auto"/>
            </w:tcBorders>
          </w:tcPr>
          <w:p w14:paraId="21A439A1" w14:textId="77777777" w:rsidR="006031D6" w:rsidRPr="006031D6" w:rsidRDefault="006031D6" w:rsidP="006031D6">
            <w:pPr>
              <w:pStyle w:val="Texttabulky"/>
              <w:spacing w:after="0" w:line="240" w:lineRule="atLeast"/>
              <w:rPr>
                <w:rFonts w:cs="Arial"/>
              </w:rPr>
            </w:pPr>
            <w:r w:rsidRPr="006031D6">
              <w:rPr>
                <w:rFonts w:cs="Arial"/>
              </w:rPr>
              <w:t>43 448</w:t>
            </w:r>
          </w:p>
        </w:tc>
        <w:tc>
          <w:tcPr>
            <w:tcW w:w="992" w:type="dxa"/>
            <w:tcBorders>
              <w:top w:val="single" w:sz="6" w:space="0" w:color="auto"/>
              <w:left w:val="single" w:sz="6" w:space="0" w:color="auto"/>
              <w:bottom w:val="single" w:sz="6" w:space="0" w:color="auto"/>
              <w:right w:val="single" w:sz="6" w:space="0" w:color="auto"/>
            </w:tcBorders>
          </w:tcPr>
          <w:p w14:paraId="3443A164" w14:textId="77777777" w:rsidR="006031D6" w:rsidRPr="006031D6" w:rsidRDefault="006031D6" w:rsidP="006031D6">
            <w:pPr>
              <w:pStyle w:val="Texttabulky"/>
              <w:spacing w:after="0" w:line="240" w:lineRule="atLeast"/>
              <w:rPr>
                <w:rFonts w:cs="Arial"/>
              </w:rPr>
            </w:pPr>
            <w:r w:rsidRPr="006031D6">
              <w:rPr>
                <w:rFonts w:cs="Arial"/>
              </w:rPr>
              <w:t>2 901 181</w:t>
            </w:r>
          </w:p>
        </w:tc>
        <w:tc>
          <w:tcPr>
            <w:tcW w:w="910" w:type="dxa"/>
            <w:tcBorders>
              <w:top w:val="single" w:sz="6" w:space="0" w:color="auto"/>
              <w:left w:val="single" w:sz="6" w:space="0" w:color="auto"/>
              <w:bottom w:val="single" w:sz="6" w:space="0" w:color="auto"/>
              <w:right w:val="single" w:sz="6" w:space="0" w:color="auto"/>
            </w:tcBorders>
          </w:tcPr>
          <w:p w14:paraId="2193533F" w14:textId="77777777" w:rsidR="006031D6" w:rsidRPr="006031D6" w:rsidRDefault="006031D6" w:rsidP="006031D6">
            <w:pPr>
              <w:pStyle w:val="Texttabulky"/>
              <w:spacing w:after="0" w:line="240" w:lineRule="atLeast"/>
              <w:rPr>
                <w:rFonts w:cs="Arial"/>
              </w:rPr>
            </w:pPr>
            <w:r w:rsidRPr="006031D6">
              <w:rPr>
                <w:rFonts w:cs="Arial"/>
              </w:rPr>
              <w:t>183</w:t>
            </w:r>
          </w:p>
        </w:tc>
        <w:tc>
          <w:tcPr>
            <w:tcW w:w="942" w:type="dxa"/>
            <w:tcBorders>
              <w:top w:val="single" w:sz="6" w:space="0" w:color="auto"/>
              <w:left w:val="single" w:sz="6" w:space="0" w:color="auto"/>
              <w:bottom w:val="single" w:sz="6" w:space="0" w:color="auto"/>
              <w:right w:val="single" w:sz="6" w:space="0" w:color="auto"/>
            </w:tcBorders>
          </w:tcPr>
          <w:p w14:paraId="2BED4A2A" w14:textId="77777777" w:rsidR="006031D6" w:rsidRPr="006031D6" w:rsidRDefault="006031D6" w:rsidP="006031D6">
            <w:pPr>
              <w:pStyle w:val="Texttabulky"/>
              <w:spacing w:after="0" w:line="240" w:lineRule="atLeast"/>
              <w:rPr>
                <w:rFonts w:cs="Arial"/>
              </w:rPr>
            </w:pPr>
            <w:r w:rsidRPr="006031D6">
              <w:rPr>
                <w:rFonts w:cs="Arial"/>
              </w:rPr>
              <w:t>43 448</w:t>
            </w:r>
          </w:p>
        </w:tc>
        <w:tc>
          <w:tcPr>
            <w:tcW w:w="1001" w:type="dxa"/>
            <w:tcBorders>
              <w:top w:val="single" w:sz="6" w:space="0" w:color="auto"/>
              <w:left w:val="single" w:sz="6" w:space="0" w:color="auto"/>
              <w:bottom w:val="single" w:sz="6" w:space="0" w:color="auto"/>
              <w:right w:val="single" w:sz="6" w:space="0" w:color="auto"/>
            </w:tcBorders>
          </w:tcPr>
          <w:p w14:paraId="49430287" w14:textId="77777777" w:rsidR="006031D6" w:rsidRPr="006031D6" w:rsidRDefault="006031D6" w:rsidP="006031D6">
            <w:pPr>
              <w:pStyle w:val="Texttabulky"/>
              <w:spacing w:after="0" w:line="240" w:lineRule="atLeast"/>
              <w:rPr>
                <w:rFonts w:cs="Arial"/>
              </w:rPr>
            </w:pPr>
            <w:r w:rsidRPr="006031D6">
              <w:rPr>
                <w:rFonts w:cs="Arial"/>
              </w:rPr>
              <w:t>2 214 320</w:t>
            </w:r>
          </w:p>
        </w:tc>
        <w:tc>
          <w:tcPr>
            <w:tcW w:w="877" w:type="dxa"/>
            <w:tcBorders>
              <w:top w:val="single" w:sz="6" w:space="0" w:color="auto"/>
              <w:left w:val="single" w:sz="6" w:space="0" w:color="auto"/>
              <w:bottom w:val="single" w:sz="6" w:space="0" w:color="auto"/>
              <w:right w:val="single" w:sz="6" w:space="0" w:color="auto"/>
            </w:tcBorders>
          </w:tcPr>
          <w:p w14:paraId="2AC4C3A5" w14:textId="77777777" w:rsidR="006031D6" w:rsidRPr="006031D6" w:rsidRDefault="006031D6" w:rsidP="006031D6">
            <w:pPr>
              <w:pStyle w:val="Texttabulky"/>
              <w:spacing w:after="0" w:line="240" w:lineRule="atLeast"/>
              <w:rPr>
                <w:rFonts w:cs="Arial"/>
              </w:rPr>
            </w:pPr>
            <w:r w:rsidRPr="006031D6">
              <w:rPr>
                <w:rFonts w:cs="Arial"/>
              </w:rPr>
              <w:t>140</w:t>
            </w:r>
          </w:p>
        </w:tc>
        <w:tc>
          <w:tcPr>
            <w:tcW w:w="760" w:type="dxa"/>
            <w:tcBorders>
              <w:top w:val="single" w:sz="6" w:space="0" w:color="auto"/>
              <w:left w:val="single" w:sz="6" w:space="0" w:color="auto"/>
              <w:bottom w:val="single" w:sz="6" w:space="0" w:color="auto"/>
              <w:right w:val="single" w:sz="6" w:space="0" w:color="auto"/>
            </w:tcBorders>
          </w:tcPr>
          <w:p w14:paraId="5992592C" w14:textId="77777777" w:rsidR="006031D6" w:rsidRPr="006031D6" w:rsidRDefault="006031D6" w:rsidP="006031D6">
            <w:pPr>
              <w:pStyle w:val="Texttabulky"/>
              <w:spacing w:after="0" w:line="240" w:lineRule="atLeast"/>
              <w:rPr>
                <w:rFonts w:cs="Arial"/>
              </w:rPr>
            </w:pPr>
            <w:r w:rsidRPr="006031D6">
              <w:rPr>
                <w:rFonts w:cs="Arial"/>
              </w:rPr>
              <w:t>53 276</w:t>
            </w:r>
          </w:p>
        </w:tc>
        <w:tc>
          <w:tcPr>
            <w:tcW w:w="1001" w:type="dxa"/>
            <w:tcBorders>
              <w:top w:val="single" w:sz="6" w:space="0" w:color="auto"/>
              <w:left w:val="single" w:sz="6" w:space="0" w:color="auto"/>
              <w:bottom w:val="single" w:sz="6" w:space="0" w:color="auto"/>
              <w:right w:val="single" w:sz="6" w:space="0" w:color="auto"/>
            </w:tcBorders>
          </w:tcPr>
          <w:p w14:paraId="5E73CAB8" w14:textId="77777777" w:rsidR="006031D6" w:rsidRPr="006031D6" w:rsidRDefault="006031D6" w:rsidP="006031D6">
            <w:pPr>
              <w:pStyle w:val="Texttabulky"/>
              <w:spacing w:after="0" w:line="240" w:lineRule="atLeast"/>
              <w:rPr>
                <w:rFonts w:cs="Arial"/>
              </w:rPr>
            </w:pPr>
            <w:r w:rsidRPr="006031D6">
              <w:rPr>
                <w:rFonts w:cs="Arial"/>
              </w:rPr>
              <w:t>2 032 602</w:t>
            </w:r>
          </w:p>
        </w:tc>
        <w:tc>
          <w:tcPr>
            <w:tcW w:w="728" w:type="dxa"/>
            <w:tcBorders>
              <w:top w:val="single" w:sz="6" w:space="0" w:color="auto"/>
              <w:left w:val="single" w:sz="6" w:space="0" w:color="auto"/>
              <w:bottom w:val="single" w:sz="6" w:space="0" w:color="auto"/>
              <w:right w:val="single" w:sz="6" w:space="0" w:color="auto"/>
            </w:tcBorders>
          </w:tcPr>
          <w:p w14:paraId="1B34D79A" w14:textId="77777777" w:rsidR="006031D6" w:rsidRPr="006031D6" w:rsidRDefault="006031D6" w:rsidP="006031D6">
            <w:pPr>
              <w:pStyle w:val="Texttabulky"/>
              <w:spacing w:after="0" w:line="240" w:lineRule="atLeast"/>
              <w:rPr>
                <w:rFonts w:cs="Arial"/>
              </w:rPr>
            </w:pPr>
            <w:r w:rsidRPr="006031D6">
              <w:rPr>
                <w:rFonts w:cs="Arial"/>
              </w:rPr>
              <w:t>105</w:t>
            </w:r>
          </w:p>
        </w:tc>
      </w:tr>
      <w:tr w:rsidR="006031D6" w:rsidRPr="006031D6" w14:paraId="31072A36" w14:textId="77777777" w:rsidTr="002D2D45">
        <w:trPr>
          <w:trHeight w:val="233"/>
        </w:trPr>
        <w:tc>
          <w:tcPr>
            <w:tcW w:w="1205" w:type="dxa"/>
            <w:tcBorders>
              <w:top w:val="single" w:sz="6" w:space="0" w:color="auto"/>
              <w:left w:val="single" w:sz="6" w:space="0" w:color="auto"/>
              <w:bottom w:val="single" w:sz="6" w:space="0" w:color="auto"/>
              <w:right w:val="single" w:sz="6" w:space="0" w:color="auto"/>
            </w:tcBorders>
          </w:tcPr>
          <w:p w14:paraId="112E4045" w14:textId="77777777" w:rsidR="006031D6" w:rsidRPr="006031D6" w:rsidRDefault="006031D6" w:rsidP="006031D6">
            <w:pPr>
              <w:pStyle w:val="Texttabulky"/>
              <w:spacing w:after="0" w:line="240" w:lineRule="atLeast"/>
              <w:rPr>
                <w:rFonts w:cs="Arial"/>
              </w:rPr>
            </w:pPr>
            <w:r w:rsidRPr="006031D6">
              <w:rPr>
                <w:rFonts w:cs="Arial"/>
              </w:rPr>
              <w:t>Folknáře</w:t>
            </w:r>
          </w:p>
        </w:tc>
        <w:tc>
          <w:tcPr>
            <w:tcW w:w="810" w:type="dxa"/>
            <w:tcBorders>
              <w:top w:val="single" w:sz="6" w:space="0" w:color="auto"/>
              <w:left w:val="single" w:sz="6" w:space="0" w:color="auto"/>
              <w:bottom w:val="single" w:sz="6" w:space="0" w:color="auto"/>
              <w:right w:val="single" w:sz="6" w:space="0" w:color="auto"/>
            </w:tcBorders>
          </w:tcPr>
          <w:p w14:paraId="36644526" w14:textId="77777777" w:rsidR="006031D6" w:rsidRPr="006031D6" w:rsidRDefault="006031D6" w:rsidP="006031D6">
            <w:pPr>
              <w:pStyle w:val="Texttabulky"/>
              <w:spacing w:after="0" w:line="240" w:lineRule="atLeast"/>
              <w:rPr>
                <w:rFonts w:cs="Arial"/>
              </w:rPr>
            </w:pPr>
            <w:r w:rsidRPr="006031D6">
              <w:rPr>
                <w:rFonts w:cs="Arial"/>
              </w:rPr>
              <w:t>214</w:t>
            </w:r>
          </w:p>
        </w:tc>
        <w:tc>
          <w:tcPr>
            <w:tcW w:w="992" w:type="dxa"/>
            <w:tcBorders>
              <w:top w:val="single" w:sz="6" w:space="0" w:color="auto"/>
              <w:left w:val="single" w:sz="6" w:space="0" w:color="auto"/>
              <w:bottom w:val="single" w:sz="6" w:space="0" w:color="auto"/>
              <w:right w:val="single" w:sz="6" w:space="0" w:color="auto"/>
            </w:tcBorders>
          </w:tcPr>
          <w:p w14:paraId="3FBD917B" w14:textId="77777777" w:rsidR="006031D6" w:rsidRPr="006031D6" w:rsidRDefault="006031D6" w:rsidP="006031D6">
            <w:pPr>
              <w:pStyle w:val="Texttabulky"/>
              <w:spacing w:after="0" w:line="240" w:lineRule="atLeast"/>
              <w:rPr>
                <w:rFonts w:cs="Arial"/>
              </w:rPr>
            </w:pPr>
            <w:r w:rsidRPr="006031D6">
              <w:rPr>
                <w:rFonts w:cs="Arial"/>
              </w:rPr>
              <w:t>6 333</w:t>
            </w:r>
          </w:p>
        </w:tc>
        <w:tc>
          <w:tcPr>
            <w:tcW w:w="910" w:type="dxa"/>
            <w:tcBorders>
              <w:top w:val="single" w:sz="6" w:space="0" w:color="auto"/>
              <w:left w:val="single" w:sz="6" w:space="0" w:color="auto"/>
              <w:bottom w:val="single" w:sz="6" w:space="0" w:color="auto"/>
              <w:right w:val="single" w:sz="6" w:space="0" w:color="auto"/>
            </w:tcBorders>
          </w:tcPr>
          <w:p w14:paraId="6682EAE1" w14:textId="77777777" w:rsidR="006031D6" w:rsidRPr="006031D6" w:rsidRDefault="006031D6" w:rsidP="006031D6">
            <w:pPr>
              <w:pStyle w:val="Texttabulky"/>
              <w:spacing w:after="0" w:line="240" w:lineRule="atLeast"/>
              <w:rPr>
                <w:rFonts w:cs="Arial"/>
              </w:rPr>
            </w:pPr>
            <w:r w:rsidRPr="006031D6">
              <w:rPr>
                <w:rFonts w:cs="Arial"/>
              </w:rPr>
              <w:t>81</w:t>
            </w:r>
          </w:p>
        </w:tc>
        <w:tc>
          <w:tcPr>
            <w:tcW w:w="942" w:type="dxa"/>
            <w:tcBorders>
              <w:top w:val="single" w:sz="6" w:space="0" w:color="auto"/>
              <w:left w:val="single" w:sz="6" w:space="0" w:color="auto"/>
              <w:bottom w:val="single" w:sz="6" w:space="0" w:color="auto"/>
              <w:right w:val="single" w:sz="6" w:space="0" w:color="auto"/>
            </w:tcBorders>
          </w:tcPr>
          <w:p w14:paraId="4779B9B7" w14:textId="77777777" w:rsidR="006031D6" w:rsidRPr="006031D6" w:rsidRDefault="006031D6" w:rsidP="006031D6">
            <w:pPr>
              <w:pStyle w:val="Texttabulky"/>
              <w:spacing w:after="0" w:line="240" w:lineRule="atLeast"/>
              <w:rPr>
                <w:rFonts w:cs="Arial"/>
              </w:rPr>
            </w:pPr>
            <w:r w:rsidRPr="006031D6">
              <w:rPr>
                <w:rFonts w:cs="Arial"/>
              </w:rPr>
              <w:t>214</w:t>
            </w:r>
          </w:p>
        </w:tc>
        <w:tc>
          <w:tcPr>
            <w:tcW w:w="1001" w:type="dxa"/>
            <w:tcBorders>
              <w:top w:val="single" w:sz="6" w:space="0" w:color="auto"/>
              <w:left w:val="single" w:sz="6" w:space="0" w:color="auto"/>
              <w:bottom w:val="single" w:sz="6" w:space="0" w:color="auto"/>
              <w:right w:val="single" w:sz="6" w:space="0" w:color="auto"/>
            </w:tcBorders>
          </w:tcPr>
          <w:p w14:paraId="23D6849D" w14:textId="77777777" w:rsidR="006031D6" w:rsidRPr="006031D6" w:rsidRDefault="006031D6" w:rsidP="006031D6">
            <w:pPr>
              <w:pStyle w:val="Texttabulky"/>
              <w:spacing w:after="0" w:line="240" w:lineRule="atLeast"/>
              <w:rPr>
                <w:rFonts w:cs="Arial"/>
              </w:rPr>
            </w:pPr>
            <w:r w:rsidRPr="006031D6">
              <w:rPr>
                <w:rFonts w:cs="Arial"/>
              </w:rPr>
              <w:t>6 489</w:t>
            </w:r>
          </w:p>
        </w:tc>
        <w:tc>
          <w:tcPr>
            <w:tcW w:w="877" w:type="dxa"/>
            <w:tcBorders>
              <w:top w:val="single" w:sz="6" w:space="0" w:color="auto"/>
              <w:left w:val="single" w:sz="6" w:space="0" w:color="auto"/>
              <w:bottom w:val="single" w:sz="6" w:space="0" w:color="auto"/>
              <w:right w:val="single" w:sz="6" w:space="0" w:color="auto"/>
            </w:tcBorders>
          </w:tcPr>
          <w:p w14:paraId="77AA3A6C" w14:textId="77777777" w:rsidR="006031D6" w:rsidRPr="006031D6" w:rsidRDefault="006031D6" w:rsidP="006031D6">
            <w:pPr>
              <w:pStyle w:val="Texttabulky"/>
              <w:spacing w:after="0" w:line="240" w:lineRule="atLeast"/>
              <w:rPr>
                <w:rFonts w:cs="Arial"/>
              </w:rPr>
            </w:pPr>
            <w:r w:rsidRPr="006031D6">
              <w:rPr>
                <w:rFonts w:cs="Arial"/>
              </w:rPr>
              <w:t>83</w:t>
            </w:r>
          </w:p>
        </w:tc>
        <w:tc>
          <w:tcPr>
            <w:tcW w:w="760" w:type="dxa"/>
            <w:tcBorders>
              <w:top w:val="single" w:sz="6" w:space="0" w:color="auto"/>
              <w:left w:val="single" w:sz="6" w:space="0" w:color="auto"/>
              <w:bottom w:val="single" w:sz="6" w:space="0" w:color="auto"/>
              <w:right w:val="single" w:sz="6" w:space="0" w:color="auto"/>
            </w:tcBorders>
          </w:tcPr>
          <w:p w14:paraId="589034B3" w14:textId="77777777" w:rsidR="006031D6" w:rsidRPr="006031D6" w:rsidRDefault="006031D6" w:rsidP="006031D6">
            <w:pPr>
              <w:pStyle w:val="Texttabulky"/>
              <w:spacing w:after="0" w:line="240" w:lineRule="atLeast"/>
              <w:rPr>
                <w:rFonts w:cs="Arial"/>
              </w:rPr>
            </w:pPr>
            <w:r w:rsidRPr="006031D6">
              <w:rPr>
                <w:rFonts w:cs="Arial"/>
              </w:rPr>
              <w:t>212</w:t>
            </w:r>
          </w:p>
        </w:tc>
        <w:tc>
          <w:tcPr>
            <w:tcW w:w="1001" w:type="dxa"/>
            <w:tcBorders>
              <w:top w:val="single" w:sz="6" w:space="0" w:color="auto"/>
              <w:left w:val="single" w:sz="6" w:space="0" w:color="auto"/>
              <w:bottom w:val="single" w:sz="6" w:space="0" w:color="auto"/>
              <w:right w:val="single" w:sz="6" w:space="0" w:color="auto"/>
            </w:tcBorders>
          </w:tcPr>
          <w:p w14:paraId="2F428D6C" w14:textId="77777777" w:rsidR="006031D6" w:rsidRPr="006031D6" w:rsidRDefault="006031D6" w:rsidP="006031D6">
            <w:pPr>
              <w:pStyle w:val="Texttabulky"/>
              <w:spacing w:after="0" w:line="240" w:lineRule="atLeast"/>
              <w:rPr>
                <w:rFonts w:cs="Arial"/>
              </w:rPr>
            </w:pPr>
            <w:r w:rsidRPr="006031D6">
              <w:rPr>
                <w:rFonts w:cs="Arial"/>
              </w:rPr>
              <w:t>6 483</w:t>
            </w:r>
          </w:p>
        </w:tc>
        <w:tc>
          <w:tcPr>
            <w:tcW w:w="728" w:type="dxa"/>
            <w:tcBorders>
              <w:top w:val="single" w:sz="6" w:space="0" w:color="auto"/>
              <w:left w:val="single" w:sz="6" w:space="0" w:color="auto"/>
              <w:bottom w:val="single" w:sz="6" w:space="0" w:color="auto"/>
              <w:right w:val="single" w:sz="6" w:space="0" w:color="auto"/>
            </w:tcBorders>
          </w:tcPr>
          <w:p w14:paraId="27382C45" w14:textId="77777777" w:rsidR="006031D6" w:rsidRPr="006031D6" w:rsidRDefault="006031D6" w:rsidP="006031D6">
            <w:pPr>
              <w:pStyle w:val="Texttabulky"/>
              <w:spacing w:after="0" w:line="240" w:lineRule="atLeast"/>
              <w:rPr>
                <w:rFonts w:cs="Arial"/>
              </w:rPr>
            </w:pPr>
            <w:r w:rsidRPr="006031D6">
              <w:rPr>
                <w:rFonts w:cs="Arial"/>
              </w:rPr>
              <w:t>84</w:t>
            </w:r>
          </w:p>
        </w:tc>
      </w:tr>
      <w:tr w:rsidR="006031D6" w:rsidRPr="006031D6" w14:paraId="25F5C22B" w14:textId="77777777" w:rsidTr="002D2D45">
        <w:trPr>
          <w:trHeight w:val="233"/>
        </w:trPr>
        <w:tc>
          <w:tcPr>
            <w:tcW w:w="1205" w:type="dxa"/>
            <w:tcBorders>
              <w:top w:val="single" w:sz="6" w:space="0" w:color="auto"/>
              <w:left w:val="single" w:sz="6" w:space="0" w:color="auto"/>
              <w:bottom w:val="single" w:sz="6" w:space="0" w:color="auto"/>
              <w:right w:val="single" w:sz="6" w:space="0" w:color="auto"/>
            </w:tcBorders>
          </w:tcPr>
          <w:p w14:paraId="7AEB169B" w14:textId="77777777" w:rsidR="006031D6" w:rsidRPr="006031D6" w:rsidRDefault="006031D6" w:rsidP="006031D6">
            <w:pPr>
              <w:pStyle w:val="Texttabulky"/>
              <w:spacing w:after="0" w:line="240" w:lineRule="atLeast"/>
              <w:rPr>
                <w:rFonts w:cs="Arial"/>
              </w:rPr>
            </w:pPr>
            <w:r w:rsidRPr="006031D6">
              <w:rPr>
                <w:rFonts w:cs="Arial"/>
              </w:rPr>
              <w:t>Křešice</w:t>
            </w:r>
          </w:p>
        </w:tc>
        <w:tc>
          <w:tcPr>
            <w:tcW w:w="810" w:type="dxa"/>
            <w:tcBorders>
              <w:top w:val="single" w:sz="6" w:space="0" w:color="auto"/>
              <w:left w:val="single" w:sz="6" w:space="0" w:color="auto"/>
              <w:bottom w:val="single" w:sz="6" w:space="0" w:color="auto"/>
              <w:right w:val="single" w:sz="6" w:space="0" w:color="auto"/>
            </w:tcBorders>
          </w:tcPr>
          <w:p w14:paraId="27CF32F8" w14:textId="77777777" w:rsidR="006031D6" w:rsidRPr="006031D6" w:rsidRDefault="006031D6" w:rsidP="006031D6">
            <w:pPr>
              <w:pStyle w:val="Texttabulky"/>
              <w:spacing w:after="0" w:line="240" w:lineRule="atLeast"/>
              <w:rPr>
                <w:rFonts w:cs="Arial"/>
              </w:rPr>
            </w:pPr>
            <w:r w:rsidRPr="006031D6">
              <w:rPr>
                <w:rFonts w:cs="Arial"/>
              </w:rPr>
              <w:t>821</w:t>
            </w:r>
          </w:p>
        </w:tc>
        <w:tc>
          <w:tcPr>
            <w:tcW w:w="992" w:type="dxa"/>
            <w:tcBorders>
              <w:top w:val="single" w:sz="6" w:space="0" w:color="auto"/>
              <w:left w:val="single" w:sz="6" w:space="0" w:color="auto"/>
              <w:bottom w:val="single" w:sz="6" w:space="0" w:color="auto"/>
              <w:right w:val="single" w:sz="6" w:space="0" w:color="auto"/>
            </w:tcBorders>
          </w:tcPr>
          <w:p w14:paraId="52E314E8" w14:textId="77777777" w:rsidR="006031D6" w:rsidRPr="006031D6" w:rsidRDefault="006031D6" w:rsidP="006031D6">
            <w:pPr>
              <w:pStyle w:val="Texttabulky"/>
              <w:spacing w:after="0" w:line="240" w:lineRule="atLeast"/>
              <w:rPr>
                <w:rFonts w:cs="Arial"/>
              </w:rPr>
            </w:pPr>
            <w:r w:rsidRPr="006031D6">
              <w:rPr>
                <w:rFonts w:cs="Arial"/>
              </w:rPr>
              <w:t>43 213</w:t>
            </w:r>
          </w:p>
        </w:tc>
        <w:tc>
          <w:tcPr>
            <w:tcW w:w="910" w:type="dxa"/>
            <w:tcBorders>
              <w:top w:val="single" w:sz="6" w:space="0" w:color="auto"/>
              <w:left w:val="single" w:sz="6" w:space="0" w:color="auto"/>
              <w:bottom w:val="single" w:sz="6" w:space="0" w:color="auto"/>
              <w:right w:val="single" w:sz="6" w:space="0" w:color="auto"/>
            </w:tcBorders>
          </w:tcPr>
          <w:p w14:paraId="6CA5E6B0" w14:textId="77777777" w:rsidR="006031D6" w:rsidRPr="006031D6" w:rsidRDefault="006031D6" w:rsidP="006031D6">
            <w:pPr>
              <w:pStyle w:val="Texttabulky"/>
              <w:spacing w:after="0" w:line="240" w:lineRule="atLeast"/>
              <w:rPr>
                <w:rFonts w:cs="Arial"/>
              </w:rPr>
            </w:pPr>
            <w:r w:rsidRPr="006031D6">
              <w:rPr>
                <w:rFonts w:cs="Arial"/>
              </w:rPr>
              <w:t>144</w:t>
            </w:r>
          </w:p>
        </w:tc>
        <w:tc>
          <w:tcPr>
            <w:tcW w:w="942" w:type="dxa"/>
            <w:tcBorders>
              <w:top w:val="single" w:sz="6" w:space="0" w:color="auto"/>
              <w:left w:val="single" w:sz="6" w:space="0" w:color="auto"/>
              <w:bottom w:val="single" w:sz="6" w:space="0" w:color="auto"/>
              <w:right w:val="single" w:sz="6" w:space="0" w:color="auto"/>
            </w:tcBorders>
          </w:tcPr>
          <w:p w14:paraId="338FE90C" w14:textId="77777777" w:rsidR="006031D6" w:rsidRPr="006031D6" w:rsidRDefault="006031D6" w:rsidP="006031D6">
            <w:pPr>
              <w:pStyle w:val="Texttabulky"/>
              <w:spacing w:after="0" w:line="240" w:lineRule="atLeast"/>
              <w:rPr>
                <w:rFonts w:cs="Arial"/>
              </w:rPr>
            </w:pPr>
            <w:r w:rsidRPr="006031D6">
              <w:rPr>
                <w:rFonts w:cs="Arial"/>
              </w:rPr>
              <w:t>821</w:t>
            </w:r>
          </w:p>
        </w:tc>
        <w:tc>
          <w:tcPr>
            <w:tcW w:w="1001" w:type="dxa"/>
            <w:tcBorders>
              <w:top w:val="single" w:sz="6" w:space="0" w:color="auto"/>
              <w:left w:val="single" w:sz="6" w:space="0" w:color="auto"/>
              <w:bottom w:val="single" w:sz="6" w:space="0" w:color="auto"/>
              <w:right w:val="single" w:sz="6" w:space="0" w:color="auto"/>
            </w:tcBorders>
          </w:tcPr>
          <w:p w14:paraId="32EC359F" w14:textId="77777777" w:rsidR="006031D6" w:rsidRPr="006031D6" w:rsidRDefault="006031D6" w:rsidP="006031D6">
            <w:pPr>
              <w:pStyle w:val="Texttabulky"/>
              <w:spacing w:after="0" w:line="240" w:lineRule="atLeast"/>
              <w:rPr>
                <w:rFonts w:cs="Arial"/>
              </w:rPr>
            </w:pPr>
            <w:r w:rsidRPr="006031D6">
              <w:rPr>
                <w:rFonts w:cs="Arial"/>
              </w:rPr>
              <w:t>31 244</w:t>
            </w:r>
          </w:p>
        </w:tc>
        <w:tc>
          <w:tcPr>
            <w:tcW w:w="877" w:type="dxa"/>
            <w:tcBorders>
              <w:top w:val="single" w:sz="6" w:space="0" w:color="auto"/>
              <w:left w:val="single" w:sz="6" w:space="0" w:color="auto"/>
              <w:bottom w:val="single" w:sz="6" w:space="0" w:color="auto"/>
              <w:right w:val="single" w:sz="6" w:space="0" w:color="auto"/>
            </w:tcBorders>
          </w:tcPr>
          <w:p w14:paraId="2AD1DA72" w14:textId="77777777" w:rsidR="006031D6" w:rsidRPr="006031D6" w:rsidRDefault="006031D6" w:rsidP="006031D6">
            <w:pPr>
              <w:pStyle w:val="Texttabulky"/>
              <w:spacing w:after="0" w:line="240" w:lineRule="atLeast"/>
              <w:rPr>
                <w:rFonts w:cs="Arial"/>
              </w:rPr>
            </w:pPr>
            <w:r w:rsidRPr="006031D6">
              <w:rPr>
                <w:rFonts w:cs="Arial"/>
              </w:rPr>
              <w:t>104</w:t>
            </w:r>
          </w:p>
        </w:tc>
        <w:tc>
          <w:tcPr>
            <w:tcW w:w="760" w:type="dxa"/>
            <w:tcBorders>
              <w:top w:val="single" w:sz="6" w:space="0" w:color="auto"/>
              <w:left w:val="single" w:sz="6" w:space="0" w:color="auto"/>
              <w:bottom w:val="single" w:sz="6" w:space="0" w:color="auto"/>
              <w:right w:val="single" w:sz="6" w:space="0" w:color="auto"/>
            </w:tcBorders>
          </w:tcPr>
          <w:p w14:paraId="4FB61E68" w14:textId="77777777" w:rsidR="006031D6" w:rsidRPr="006031D6" w:rsidRDefault="006031D6" w:rsidP="006031D6">
            <w:pPr>
              <w:pStyle w:val="Texttabulky"/>
              <w:spacing w:after="0" w:line="240" w:lineRule="atLeast"/>
              <w:rPr>
                <w:rFonts w:cs="Arial"/>
              </w:rPr>
            </w:pPr>
            <w:r w:rsidRPr="006031D6">
              <w:rPr>
                <w:rFonts w:cs="Arial"/>
              </w:rPr>
              <w:t>819</w:t>
            </w:r>
          </w:p>
        </w:tc>
        <w:tc>
          <w:tcPr>
            <w:tcW w:w="1001" w:type="dxa"/>
            <w:tcBorders>
              <w:top w:val="single" w:sz="6" w:space="0" w:color="auto"/>
              <w:left w:val="single" w:sz="6" w:space="0" w:color="auto"/>
              <w:bottom w:val="single" w:sz="6" w:space="0" w:color="auto"/>
              <w:right w:val="single" w:sz="6" w:space="0" w:color="auto"/>
            </w:tcBorders>
          </w:tcPr>
          <w:p w14:paraId="18B95134" w14:textId="77777777" w:rsidR="006031D6" w:rsidRPr="006031D6" w:rsidRDefault="006031D6" w:rsidP="006031D6">
            <w:pPr>
              <w:pStyle w:val="Texttabulky"/>
              <w:spacing w:after="0" w:line="240" w:lineRule="atLeast"/>
              <w:rPr>
                <w:rFonts w:cs="Arial"/>
              </w:rPr>
            </w:pPr>
            <w:r w:rsidRPr="006031D6">
              <w:rPr>
                <w:rFonts w:cs="Arial"/>
              </w:rPr>
              <w:t>40 834</w:t>
            </w:r>
          </w:p>
        </w:tc>
        <w:tc>
          <w:tcPr>
            <w:tcW w:w="728" w:type="dxa"/>
            <w:tcBorders>
              <w:top w:val="single" w:sz="6" w:space="0" w:color="auto"/>
              <w:left w:val="single" w:sz="6" w:space="0" w:color="auto"/>
              <w:bottom w:val="single" w:sz="6" w:space="0" w:color="auto"/>
              <w:right w:val="single" w:sz="6" w:space="0" w:color="auto"/>
            </w:tcBorders>
          </w:tcPr>
          <w:p w14:paraId="186CEE11" w14:textId="77777777" w:rsidR="006031D6" w:rsidRPr="006031D6" w:rsidRDefault="006031D6" w:rsidP="006031D6">
            <w:pPr>
              <w:pStyle w:val="Texttabulky"/>
              <w:spacing w:after="0" w:line="240" w:lineRule="atLeast"/>
              <w:rPr>
                <w:rFonts w:cs="Arial"/>
              </w:rPr>
            </w:pPr>
            <w:r w:rsidRPr="006031D6">
              <w:rPr>
                <w:rFonts w:cs="Arial"/>
              </w:rPr>
              <w:t>137</w:t>
            </w:r>
          </w:p>
        </w:tc>
      </w:tr>
      <w:tr w:rsidR="006031D6" w:rsidRPr="006031D6" w14:paraId="122D1861" w14:textId="77777777" w:rsidTr="002D2D45">
        <w:trPr>
          <w:trHeight w:val="243"/>
        </w:trPr>
        <w:tc>
          <w:tcPr>
            <w:tcW w:w="1205" w:type="dxa"/>
            <w:tcBorders>
              <w:top w:val="single" w:sz="6" w:space="0" w:color="auto"/>
              <w:left w:val="single" w:sz="6" w:space="0" w:color="auto"/>
              <w:bottom w:val="single" w:sz="6" w:space="0" w:color="auto"/>
              <w:right w:val="single" w:sz="6" w:space="0" w:color="auto"/>
            </w:tcBorders>
          </w:tcPr>
          <w:p w14:paraId="6026A3BE" w14:textId="77777777" w:rsidR="006031D6" w:rsidRPr="006031D6" w:rsidRDefault="006031D6" w:rsidP="006031D6">
            <w:pPr>
              <w:pStyle w:val="Texttabulky"/>
              <w:spacing w:after="0" w:line="240" w:lineRule="atLeast"/>
              <w:rPr>
                <w:rFonts w:cs="Arial"/>
              </w:rPr>
            </w:pPr>
            <w:r w:rsidRPr="006031D6">
              <w:rPr>
                <w:rFonts w:cs="Arial"/>
              </w:rPr>
              <w:t>Nebočady</w:t>
            </w:r>
          </w:p>
        </w:tc>
        <w:tc>
          <w:tcPr>
            <w:tcW w:w="810" w:type="dxa"/>
            <w:tcBorders>
              <w:top w:val="single" w:sz="6" w:space="0" w:color="auto"/>
              <w:left w:val="single" w:sz="6" w:space="0" w:color="auto"/>
              <w:bottom w:val="single" w:sz="6" w:space="0" w:color="auto"/>
              <w:right w:val="single" w:sz="6" w:space="0" w:color="auto"/>
            </w:tcBorders>
          </w:tcPr>
          <w:p w14:paraId="45648BBC" w14:textId="77777777" w:rsidR="006031D6" w:rsidRPr="006031D6" w:rsidRDefault="006031D6" w:rsidP="006031D6">
            <w:pPr>
              <w:pStyle w:val="Texttabulky"/>
              <w:spacing w:after="0" w:line="240" w:lineRule="atLeast"/>
              <w:rPr>
                <w:rFonts w:cs="Arial"/>
              </w:rPr>
            </w:pPr>
            <w:r w:rsidRPr="006031D6">
              <w:rPr>
                <w:rFonts w:cs="Arial"/>
              </w:rPr>
              <w:t>363</w:t>
            </w:r>
          </w:p>
        </w:tc>
        <w:tc>
          <w:tcPr>
            <w:tcW w:w="992" w:type="dxa"/>
            <w:tcBorders>
              <w:top w:val="single" w:sz="6" w:space="0" w:color="auto"/>
              <w:left w:val="single" w:sz="6" w:space="0" w:color="auto"/>
              <w:bottom w:val="single" w:sz="6" w:space="0" w:color="auto"/>
              <w:right w:val="single" w:sz="6" w:space="0" w:color="auto"/>
            </w:tcBorders>
          </w:tcPr>
          <w:p w14:paraId="3D5191B9" w14:textId="77777777" w:rsidR="006031D6" w:rsidRPr="006031D6" w:rsidRDefault="006031D6" w:rsidP="006031D6">
            <w:pPr>
              <w:pStyle w:val="Texttabulky"/>
              <w:spacing w:after="0" w:line="240" w:lineRule="atLeast"/>
              <w:rPr>
                <w:rFonts w:cs="Arial"/>
              </w:rPr>
            </w:pPr>
            <w:r w:rsidRPr="006031D6">
              <w:rPr>
                <w:rFonts w:cs="Arial"/>
              </w:rPr>
              <w:t>17 603</w:t>
            </w:r>
          </w:p>
        </w:tc>
        <w:tc>
          <w:tcPr>
            <w:tcW w:w="910" w:type="dxa"/>
            <w:tcBorders>
              <w:top w:val="single" w:sz="6" w:space="0" w:color="auto"/>
              <w:left w:val="single" w:sz="6" w:space="0" w:color="auto"/>
              <w:bottom w:val="single" w:sz="6" w:space="0" w:color="auto"/>
              <w:right w:val="single" w:sz="6" w:space="0" w:color="auto"/>
            </w:tcBorders>
          </w:tcPr>
          <w:p w14:paraId="7D504BA8" w14:textId="77777777" w:rsidR="006031D6" w:rsidRPr="006031D6" w:rsidRDefault="006031D6" w:rsidP="006031D6">
            <w:pPr>
              <w:pStyle w:val="Texttabulky"/>
              <w:spacing w:after="0" w:line="240" w:lineRule="atLeast"/>
              <w:rPr>
                <w:rFonts w:cs="Arial"/>
              </w:rPr>
            </w:pPr>
            <w:r w:rsidRPr="006031D6">
              <w:rPr>
                <w:rFonts w:cs="Arial"/>
              </w:rPr>
              <w:t>133</w:t>
            </w:r>
          </w:p>
        </w:tc>
        <w:tc>
          <w:tcPr>
            <w:tcW w:w="942" w:type="dxa"/>
            <w:tcBorders>
              <w:top w:val="single" w:sz="6" w:space="0" w:color="auto"/>
              <w:left w:val="single" w:sz="6" w:space="0" w:color="auto"/>
              <w:bottom w:val="single" w:sz="6" w:space="0" w:color="auto"/>
              <w:right w:val="single" w:sz="6" w:space="0" w:color="auto"/>
            </w:tcBorders>
          </w:tcPr>
          <w:p w14:paraId="0C7369FD" w14:textId="77777777" w:rsidR="006031D6" w:rsidRPr="006031D6" w:rsidRDefault="006031D6" w:rsidP="006031D6">
            <w:pPr>
              <w:pStyle w:val="Texttabulky"/>
              <w:spacing w:after="0" w:line="240" w:lineRule="atLeast"/>
              <w:rPr>
                <w:rFonts w:cs="Arial"/>
              </w:rPr>
            </w:pPr>
            <w:r w:rsidRPr="006031D6">
              <w:rPr>
                <w:rFonts w:cs="Arial"/>
              </w:rPr>
              <w:t>363</w:t>
            </w:r>
          </w:p>
        </w:tc>
        <w:tc>
          <w:tcPr>
            <w:tcW w:w="1001" w:type="dxa"/>
            <w:tcBorders>
              <w:top w:val="single" w:sz="6" w:space="0" w:color="auto"/>
              <w:left w:val="single" w:sz="6" w:space="0" w:color="auto"/>
              <w:bottom w:val="single" w:sz="6" w:space="0" w:color="auto"/>
              <w:right w:val="single" w:sz="6" w:space="0" w:color="auto"/>
            </w:tcBorders>
          </w:tcPr>
          <w:p w14:paraId="42B5CF6C" w14:textId="77777777" w:rsidR="006031D6" w:rsidRPr="006031D6" w:rsidRDefault="006031D6" w:rsidP="006031D6">
            <w:pPr>
              <w:pStyle w:val="Texttabulky"/>
              <w:spacing w:after="0" w:line="240" w:lineRule="atLeast"/>
              <w:rPr>
                <w:rFonts w:cs="Arial"/>
              </w:rPr>
            </w:pPr>
            <w:r w:rsidRPr="006031D6">
              <w:rPr>
                <w:rFonts w:cs="Arial"/>
              </w:rPr>
              <w:t>15 532</w:t>
            </w:r>
          </w:p>
        </w:tc>
        <w:tc>
          <w:tcPr>
            <w:tcW w:w="877" w:type="dxa"/>
            <w:tcBorders>
              <w:top w:val="single" w:sz="6" w:space="0" w:color="auto"/>
              <w:left w:val="single" w:sz="6" w:space="0" w:color="auto"/>
              <w:bottom w:val="single" w:sz="6" w:space="0" w:color="auto"/>
              <w:right w:val="single" w:sz="6" w:space="0" w:color="auto"/>
            </w:tcBorders>
          </w:tcPr>
          <w:p w14:paraId="53E34B22" w14:textId="77777777" w:rsidR="006031D6" w:rsidRPr="006031D6" w:rsidRDefault="006031D6" w:rsidP="006031D6">
            <w:pPr>
              <w:pStyle w:val="Texttabulky"/>
              <w:spacing w:after="0" w:line="240" w:lineRule="atLeast"/>
              <w:rPr>
                <w:rFonts w:cs="Arial"/>
              </w:rPr>
            </w:pPr>
            <w:r w:rsidRPr="006031D6">
              <w:rPr>
                <w:rFonts w:cs="Arial"/>
              </w:rPr>
              <w:t>117</w:t>
            </w:r>
          </w:p>
        </w:tc>
        <w:tc>
          <w:tcPr>
            <w:tcW w:w="760" w:type="dxa"/>
            <w:tcBorders>
              <w:top w:val="single" w:sz="6" w:space="0" w:color="auto"/>
              <w:left w:val="single" w:sz="6" w:space="0" w:color="auto"/>
              <w:bottom w:val="single" w:sz="6" w:space="0" w:color="auto"/>
              <w:right w:val="single" w:sz="6" w:space="0" w:color="auto"/>
            </w:tcBorders>
          </w:tcPr>
          <w:p w14:paraId="51C63C94" w14:textId="77777777" w:rsidR="006031D6" w:rsidRPr="006031D6" w:rsidRDefault="006031D6" w:rsidP="006031D6">
            <w:pPr>
              <w:pStyle w:val="Texttabulky"/>
              <w:spacing w:after="0" w:line="240" w:lineRule="atLeast"/>
              <w:rPr>
                <w:rFonts w:cs="Arial"/>
              </w:rPr>
            </w:pPr>
            <w:r w:rsidRPr="006031D6">
              <w:rPr>
                <w:rFonts w:cs="Arial"/>
              </w:rPr>
              <w:t>383</w:t>
            </w:r>
          </w:p>
        </w:tc>
        <w:tc>
          <w:tcPr>
            <w:tcW w:w="1001" w:type="dxa"/>
            <w:tcBorders>
              <w:top w:val="single" w:sz="6" w:space="0" w:color="auto"/>
              <w:left w:val="single" w:sz="6" w:space="0" w:color="auto"/>
              <w:bottom w:val="single" w:sz="6" w:space="0" w:color="auto"/>
              <w:right w:val="single" w:sz="6" w:space="0" w:color="auto"/>
            </w:tcBorders>
          </w:tcPr>
          <w:p w14:paraId="3D0EE2D1" w14:textId="77777777" w:rsidR="006031D6" w:rsidRPr="006031D6" w:rsidRDefault="006031D6" w:rsidP="006031D6">
            <w:pPr>
              <w:pStyle w:val="Texttabulky"/>
              <w:spacing w:after="0" w:line="240" w:lineRule="atLeast"/>
              <w:rPr>
                <w:rFonts w:cs="Arial"/>
              </w:rPr>
            </w:pPr>
            <w:r w:rsidRPr="006031D6">
              <w:rPr>
                <w:rFonts w:cs="Arial"/>
              </w:rPr>
              <w:t>13 717</w:t>
            </w:r>
          </w:p>
        </w:tc>
        <w:tc>
          <w:tcPr>
            <w:tcW w:w="728" w:type="dxa"/>
            <w:tcBorders>
              <w:top w:val="single" w:sz="6" w:space="0" w:color="auto"/>
              <w:left w:val="single" w:sz="6" w:space="0" w:color="auto"/>
              <w:bottom w:val="single" w:sz="6" w:space="0" w:color="auto"/>
              <w:right w:val="single" w:sz="6" w:space="0" w:color="auto"/>
            </w:tcBorders>
          </w:tcPr>
          <w:p w14:paraId="7F2038B9" w14:textId="77777777" w:rsidR="006031D6" w:rsidRPr="006031D6" w:rsidRDefault="006031D6" w:rsidP="006031D6">
            <w:pPr>
              <w:pStyle w:val="Texttabulky"/>
              <w:spacing w:after="0" w:line="240" w:lineRule="atLeast"/>
              <w:rPr>
                <w:rFonts w:cs="Arial"/>
              </w:rPr>
            </w:pPr>
            <w:r w:rsidRPr="006031D6">
              <w:rPr>
                <w:rFonts w:cs="Arial"/>
              </w:rPr>
              <w:t>98</w:t>
            </w:r>
          </w:p>
        </w:tc>
      </w:tr>
      <w:tr w:rsidR="006031D6" w:rsidRPr="006031D6" w14:paraId="265AAA5D" w14:textId="77777777" w:rsidTr="002D2D45">
        <w:trPr>
          <w:trHeight w:val="466"/>
        </w:trPr>
        <w:tc>
          <w:tcPr>
            <w:tcW w:w="1205" w:type="dxa"/>
            <w:tcBorders>
              <w:top w:val="single" w:sz="6" w:space="0" w:color="auto"/>
              <w:left w:val="single" w:sz="6" w:space="0" w:color="auto"/>
              <w:bottom w:val="single" w:sz="6" w:space="0" w:color="auto"/>
              <w:right w:val="single" w:sz="6" w:space="0" w:color="auto"/>
            </w:tcBorders>
          </w:tcPr>
          <w:p w14:paraId="670D0EC9" w14:textId="77777777" w:rsidR="006031D6" w:rsidRPr="006031D6" w:rsidRDefault="006031D6" w:rsidP="006031D6">
            <w:pPr>
              <w:pStyle w:val="Texttabulky"/>
              <w:spacing w:after="0" w:line="240" w:lineRule="atLeast"/>
              <w:rPr>
                <w:rFonts w:cs="Arial"/>
              </w:rPr>
            </w:pPr>
            <w:r w:rsidRPr="006031D6">
              <w:rPr>
                <w:rFonts w:cs="Arial"/>
              </w:rPr>
              <w:t>Kr.  Studenec</w:t>
            </w:r>
          </w:p>
        </w:tc>
        <w:tc>
          <w:tcPr>
            <w:tcW w:w="810" w:type="dxa"/>
            <w:tcBorders>
              <w:top w:val="single" w:sz="6" w:space="0" w:color="auto"/>
              <w:left w:val="single" w:sz="6" w:space="0" w:color="auto"/>
              <w:bottom w:val="single" w:sz="6" w:space="0" w:color="auto"/>
              <w:right w:val="single" w:sz="6" w:space="0" w:color="auto"/>
            </w:tcBorders>
          </w:tcPr>
          <w:p w14:paraId="7AFD3525" w14:textId="77777777" w:rsidR="006031D6" w:rsidRPr="006031D6" w:rsidRDefault="006031D6" w:rsidP="006031D6">
            <w:pPr>
              <w:pStyle w:val="Texttabulky"/>
              <w:spacing w:after="0" w:line="240" w:lineRule="atLeast"/>
              <w:rPr>
                <w:rFonts w:cs="Arial"/>
              </w:rPr>
            </w:pPr>
            <w:r w:rsidRPr="006031D6">
              <w:rPr>
                <w:rFonts w:cs="Arial"/>
              </w:rPr>
              <w:t>401</w:t>
            </w:r>
          </w:p>
        </w:tc>
        <w:tc>
          <w:tcPr>
            <w:tcW w:w="992" w:type="dxa"/>
            <w:tcBorders>
              <w:top w:val="single" w:sz="6" w:space="0" w:color="auto"/>
              <w:left w:val="single" w:sz="6" w:space="0" w:color="auto"/>
              <w:bottom w:val="single" w:sz="6" w:space="0" w:color="auto"/>
              <w:right w:val="single" w:sz="6" w:space="0" w:color="auto"/>
            </w:tcBorders>
          </w:tcPr>
          <w:p w14:paraId="5EECBD82" w14:textId="77777777" w:rsidR="006031D6" w:rsidRPr="006031D6" w:rsidRDefault="006031D6" w:rsidP="006031D6">
            <w:pPr>
              <w:pStyle w:val="Texttabulky"/>
              <w:spacing w:after="0" w:line="240" w:lineRule="atLeast"/>
              <w:rPr>
                <w:rFonts w:cs="Arial"/>
              </w:rPr>
            </w:pPr>
            <w:r w:rsidRPr="006031D6">
              <w:rPr>
                <w:rFonts w:cs="Arial"/>
              </w:rPr>
              <w:t>14 443</w:t>
            </w:r>
          </w:p>
        </w:tc>
        <w:tc>
          <w:tcPr>
            <w:tcW w:w="910" w:type="dxa"/>
            <w:tcBorders>
              <w:top w:val="single" w:sz="6" w:space="0" w:color="auto"/>
              <w:left w:val="single" w:sz="6" w:space="0" w:color="auto"/>
              <w:bottom w:val="single" w:sz="6" w:space="0" w:color="auto"/>
              <w:right w:val="single" w:sz="6" w:space="0" w:color="auto"/>
            </w:tcBorders>
          </w:tcPr>
          <w:p w14:paraId="3B2F01D0" w14:textId="77777777" w:rsidR="006031D6" w:rsidRPr="006031D6" w:rsidRDefault="006031D6" w:rsidP="006031D6">
            <w:pPr>
              <w:pStyle w:val="Texttabulky"/>
              <w:spacing w:after="0" w:line="240" w:lineRule="atLeast"/>
              <w:rPr>
                <w:rFonts w:cs="Arial"/>
              </w:rPr>
            </w:pPr>
            <w:r w:rsidRPr="006031D6">
              <w:rPr>
                <w:rFonts w:cs="Arial"/>
              </w:rPr>
              <w:t>99</w:t>
            </w:r>
          </w:p>
        </w:tc>
        <w:tc>
          <w:tcPr>
            <w:tcW w:w="942" w:type="dxa"/>
            <w:tcBorders>
              <w:top w:val="single" w:sz="6" w:space="0" w:color="auto"/>
              <w:left w:val="single" w:sz="6" w:space="0" w:color="auto"/>
              <w:bottom w:val="single" w:sz="6" w:space="0" w:color="auto"/>
              <w:right w:val="single" w:sz="6" w:space="0" w:color="auto"/>
            </w:tcBorders>
          </w:tcPr>
          <w:p w14:paraId="15655D62" w14:textId="77777777" w:rsidR="006031D6" w:rsidRPr="006031D6" w:rsidRDefault="006031D6" w:rsidP="006031D6">
            <w:pPr>
              <w:pStyle w:val="Texttabulky"/>
              <w:spacing w:after="0" w:line="240" w:lineRule="atLeast"/>
              <w:rPr>
                <w:rFonts w:cs="Arial"/>
              </w:rPr>
            </w:pPr>
            <w:r w:rsidRPr="006031D6">
              <w:rPr>
                <w:rFonts w:cs="Arial"/>
              </w:rPr>
              <w:t>401</w:t>
            </w:r>
          </w:p>
        </w:tc>
        <w:tc>
          <w:tcPr>
            <w:tcW w:w="1001" w:type="dxa"/>
            <w:tcBorders>
              <w:top w:val="single" w:sz="6" w:space="0" w:color="auto"/>
              <w:left w:val="single" w:sz="6" w:space="0" w:color="auto"/>
              <w:bottom w:val="single" w:sz="6" w:space="0" w:color="auto"/>
              <w:right w:val="single" w:sz="6" w:space="0" w:color="auto"/>
            </w:tcBorders>
          </w:tcPr>
          <w:p w14:paraId="6CBC43C1" w14:textId="77777777" w:rsidR="006031D6" w:rsidRPr="006031D6" w:rsidRDefault="006031D6" w:rsidP="006031D6">
            <w:pPr>
              <w:pStyle w:val="Texttabulky"/>
              <w:spacing w:after="0" w:line="240" w:lineRule="atLeast"/>
              <w:rPr>
                <w:rFonts w:cs="Arial"/>
              </w:rPr>
            </w:pPr>
            <w:r w:rsidRPr="006031D6">
              <w:rPr>
                <w:rFonts w:cs="Arial"/>
              </w:rPr>
              <w:t>14 526</w:t>
            </w:r>
          </w:p>
        </w:tc>
        <w:tc>
          <w:tcPr>
            <w:tcW w:w="877" w:type="dxa"/>
            <w:tcBorders>
              <w:top w:val="single" w:sz="6" w:space="0" w:color="auto"/>
              <w:left w:val="single" w:sz="6" w:space="0" w:color="auto"/>
              <w:bottom w:val="single" w:sz="6" w:space="0" w:color="auto"/>
              <w:right w:val="single" w:sz="6" w:space="0" w:color="auto"/>
            </w:tcBorders>
          </w:tcPr>
          <w:p w14:paraId="0D802413" w14:textId="77777777" w:rsidR="006031D6" w:rsidRPr="006031D6" w:rsidRDefault="006031D6" w:rsidP="006031D6">
            <w:pPr>
              <w:pStyle w:val="Texttabulky"/>
              <w:spacing w:after="0" w:line="240" w:lineRule="atLeast"/>
              <w:rPr>
                <w:rFonts w:cs="Arial"/>
              </w:rPr>
            </w:pPr>
            <w:r w:rsidRPr="006031D6">
              <w:rPr>
                <w:rFonts w:cs="Arial"/>
              </w:rPr>
              <w:t>99</w:t>
            </w:r>
          </w:p>
        </w:tc>
        <w:tc>
          <w:tcPr>
            <w:tcW w:w="760" w:type="dxa"/>
            <w:tcBorders>
              <w:top w:val="single" w:sz="6" w:space="0" w:color="auto"/>
              <w:left w:val="single" w:sz="6" w:space="0" w:color="auto"/>
              <w:bottom w:val="single" w:sz="6" w:space="0" w:color="auto"/>
              <w:right w:val="single" w:sz="6" w:space="0" w:color="auto"/>
            </w:tcBorders>
          </w:tcPr>
          <w:p w14:paraId="07F4A22E" w14:textId="77777777" w:rsidR="006031D6" w:rsidRPr="006031D6" w:rsidRDefault="006031D6" w:rsidP="006031D6">
            <w:pPr>
              <w:pStyle w:val="Texttabulky"/>
              <w:spacing w:after="0" w:line="240" w:lineRule="atLeast"/>
              <w:rPr>
                <w:rFonts w:cs="Arial"/>
              </w:rPr>
            </w:pPr>
            <w:r w:rsidRPr="006031D6">
              <w:rPr>
                <w:rFonts w:cs="Arial"/>
              </w:rPr>
              <w:t>388</w:t>
            </w:r>
          </w:p>
        </w:tc>
        <w:tc>
          <w:tcPr>
            <w:tcW w:w="1001" w:type="dxa"/>
            <w:tcBorders>
              <w:top w:val="single" w:sz="6" w:space="0" w:color="auto"/>
              <w:left w:val="single" w:sz="6" w:space="0" w:color="auto"/>
              <w:bottom w:val="single" w:sz="6" w:space="0" w:color="auto"/>
              <w:right w:val="single" w:sz="6" w:space="0" w:color="auto"/>
            </w:tcBorders>
          </w:tcPr>
          <w:p w14:paraId="4EFE77CE" w14:textId="77777777" w:rsidR="006031D6" w:rsidRPr="006031D6" w:rsidRDefault="006031D6" w:rsidP="006031D6">
            <w:pPr>
              <w:pStyle w:val="Texttabulky"/>
              <w:spacing w:after="0" w:line="240" w:lineRule="atLeast"/>
              <w:rPr>
                <w:rFonts w:cs="Arial"/>
              </w:rPr>
            </w:pPr>
            <w:r w:rsidRPr="006031D6">
              <w:rPr>
                <w:rFonts w:cs="Arial"/>
              </w:rPr>
              <w:t>16 082</w:t>
            </w:r>
          </w:p>
        </w:tc>
        <w:tc>
          <w:tcPr>
            <w:tcW w:w="728" w:type="dxa"/>
            <w:tcBorders>
              <w:top w:val="single" w:sz="6" w:space="0" w:color="auto"/>
              <w:left w:val="single" w:sz="6" w:space="0" w:color="auto"/>
              <w:bottom w:val="single" w:sz="6" w:space="0" w:color="auto"/>
              <w:right w:val="single" w:sz="6" w:space="0" w:color="auto"/>
            </w:tcBorders>
          </w:tcPr>
          <w:p w14:paraId="1347036A" w14:textId="77777777" w:rsidR="006031D6" w:rsidRPr="006031D6" w:rsidRDefault="006031D6" w:rsidP="006031D6">
            <w:pPr>
              <w:pStyle w:val="Texttabulky"/>
              <w:spacing w:after="0" w:line="240" w:lineRule="atLeast"/>
              <w:rPr>
                <w:rFonts w:cs="Arial"/>
              </w:rPr>
            </w:pPr>
            <w:r w:rsidRPr="006031D6">
              <w:rPr>
                <w:rFonts w:cs="Arial"/>
              </w:rPr>
              <w:t>114</w:t>
            </w:r>
          </w:p>
        </w:tc>
      </w:tr>
      <w:tr w:rsidR="006031D6" w:rsidRPr="006031D6" w14:paraId="4B95C535" w14:textId="77777777" w:rsidTr="002D2D45">
        <w:trPr>
          <w:trHeight w:val="233"/>
        </w:trPr>
        <w:tc>
          <w:tcPr>
            <w:tcW w:w="1205" w:type="dxa"/>
            <w:tcBorders>
              <w:top w:val="single" w:sz="6" w:space="0" w:color="auto"/>
              <w:left w:val="single" w:sz="6" w:space="0" w:color="auto"/>
              <w:bottom w:val="single" w:sz="6" w:space="0" w:color="auto"/>
              <w:right w:val="single" w:sz="6" w:space="0" w:color="auto"/>
            </w:tcBorders>
          </w:tcPr>
          <w:p w14:paraId="7F4675BE" w14:textId="77777777" w:rsidR="006031D6" w:rsidRPr="006031D6" w:rsidRDefault="006031D6" w:rsidP="006031D6">
            <w:pPr>
              <w:pStyle w:val="Texttabulky"/>
              <w:spacing w:after="0" w:line="240" w:lineRule="atLeast"/>
              <w:rPr>
                <w:rFonts w:cs="Arial"/>
              </w:rPr>
            </w:pPr>
            <w:r w:rsidRPr="006031D6">
              <w:rPr>
                <w:rFonts w:cs="Arial"/>
              </w:rPr>
              <w:t>Boletice n/L</w:t>
            </w:r>
          </w:p>
        </w:tc>
        <w:tc>
          <w:tcPr>
            <w:tcW w:w="810" w:type="dxa"/>
            <w:tcBorders>
              <w:top w:val="single" w:sz="6" w:space="0" w:color="auto"/>
              <w:left w:val="single" w:sz="6" w:space="0" w:color="auto"/>
              <w:bottom w:val="single" w:sz="6" w:space="0" w:color="auto"/>
              <w:right w:val="single" w:sz="6" w:space="0" w:color="auto"/>
            </w:tcBorders>
          </w:tcPr>
          <w:p w14:paraId="4D1FF08F" w14:textId="77777777" w:rsidR="006031D6" w:rsidRPr="006031D6" w:rsidRDefault="006031D6" w:rsidP="006031D6">
            <w:pPr>
              <w:pStyle w:val="Texttabulky"/>
              <w:spacing w:after="0" w:line="240" w:lineRule="atLeast"/>
              <w:rPr>
                <w:rFonts w:cs="Arial"/>
              </w:rPr>
            </w:pPr>
            <w:r w:rsidRPr="006031D6">
              <w:rPr>
                <w:rFonts w:cs="Arial"/>
              </w:rPr>
              <w:t>5 238</w:t>
            </w:r>
          </w:p>
        </w:tc>
        <w:tc>
          <w:tcPr>
            <w:tcW w:w="992" w:type="dxa"/>
            <w:tcBorders>
              <w:top w:val="single" w:sz="6" w:space="0" w:color="auto"/>
              <w:left w:val="single" w:sz="6" w:space="0" w:color="auto"/>
              <w:bottom w:val="single" w:sz="6" w:space="0" w:color="auto"/>
              <w:right w:val="single" w:sz="6" w:space="0" w:color="auto"/>
            </w:tcBorders>
          </w:tcPr>
          <w:p w14:paraId="5D5C8593" w14:textId="77777777" w:rsidR="006031D6" w:rsidRPr="006031D6" w:rsidRDefault="006031D6" w:rsidP="006031D6">
            <w:pPr>
              <w:pStyle w:val="Texttabulky"/>
              <w:spacing w:after="0" w:line="240" w:lineRule="atLeast"/>
              <w:rPr>
                <w:rFonts w:cs="Arial"/>
              </w:rPr>
            </w:pPr>
            <w:r w:rsidRPr="006031D6">
              <w:rPr>
                <w:rFonts w:cs="Arial"/>
              </w:rPr>
              <w:t>303 726</w:t>
            </w:r>
          </w:p>
        </w:tc>
        <w:tc>
          <w:tcPr>
            <w:tcW w:w="910" w:type="dxa"/>
            <w:tcBorders>
              <w:top w:val="single" w:sz="6" w:space="0" w:color="auto"/>
              <w:left w:val="single" w:sz="6" w:space="0" w:color="auto"/>
              <w:bottom w:val="single" w:sz="6" w:space="0" w:color="auto"/>
              <w:right w:val="single" w:sz="6" w:space="0" w:color="auto"/>
            </w:tcBorders>
          </w:tcPr>
          <w:p w14:paraId="417D3A42" w14:textId="77777777" w:rsidR="006031D6" w:rsidRPr="006031D6" w:rsidRDefault="006031D6" w:rsidP="006031D6">
            <w:pPr>
              <w:pStyle w:val="Texttabulky"/>
              <w:spacing w:after="0" w:line="240" w:lineRule="atLeast"/>
              <w:rPr>
                <w:rFonts w:cs="Arial"/>
              </w:rPr>
            </w:pPr>
            <w:r w:rsidRPr="006031D6">
              <w:rPr>
                <w:rFonts w:cs="Arial"/>
              </w:rPr>
              <w:t>159</w:t>
            </w:r>
          </w:p>
        </w:tc>
        <w:tc>
          <w:tcPr>
            <w:tcW w:w="942" w:type="dxa"/>
            <w:tcBorders>
              <w:top w:val="single" w:sz="6" w:space="0" w:color="auto"/>
              <w:left w:val="single" w:sz="6" w:space="0" w:color="auto"/>
              <w:bottom w:val="single" w:sz="6" w:space="0" w:color="auto"/>
              <w:right w:val="single" w:sz="6" w:space="0" w:color="auto"/>
            </w:tcBorders>
          </w:tcPr>
          <w:p w14:paraId="7C30D85B" w14:textId="77777777" w:rsidR="006031D6" w:rsidRPr="006031D6" w:rsidRDefault="006031D6" w:rsidP="006031D6">
            <w:pPr>
              <w:pStyle w:val="Texttabulky"/>
              <w:spacing w:after="0" w:line="240" w:lineRule="atLeast"/>
              <w:rPr>
                <w:rFonts w:cs="Arial"/>
              </w:rPr>
            </w:pPr>
            <w:r w:rsidRPr="006031D6">
              <w:rPr>
                <w:rFonts w:cs="Arial"/>
              </w:rPr>
              <w:t>5 238</w:t>
            </w:r>
          </w:p>
        </w:tc>
        <w:tc>
          <w:tcPr>
            <w:tcW w:w="1001" w:type="dxa"/>
            <w:tcBorders>
              <w:top w:val="single" w:sz="6" w:space="0" w:color="auto"/>
              <w:left w:val="single" w:sz="6" w:space="0" w:color="auto"/>
              <w:bottom w:val="single" w:sz="6" w:space="0" w:color="auto"/>
              <w:right w:val="single" w:sz="6" w:space="0" w:color="auto"/>
            </w:tcBorders>
          </w:tcPr>
          <w:p w14:paraId="78E907DA" w14:textId="77777777" w:rsidR="006031D6" w:rsidRPr="006031D6" w:rsidRDefault="006031D6" w:rsidP="006031D6">
            <w:pPr>
              <w:pStyle w:val="Texttabulky"/>
              <w:spacing w:after="0" w:line="240" w:lineRule="atLeast"/>
              <w:rPr>
                <w:rFonts w:cs="Arial"/>
              </w:rPr>
            </w:pPr>
            <w:r w:rsidRPr="006031D6">
              <w:rPr>
                <w:rFonts w:cs="Arial"/>
              </w:rPr>
              <w:t>269 736</w:t>
            </w:r>
          </w:p>
        </w:tc>
        <w:tc>
          <w:tcPr>
            <w:tcW w:w="877" w:type="dxa"/>
            <w:tcBorders>
              <w:top w:val="single" w:sz="6" w:space="0" w:color="auto"/>
              <w:left w:val="single" w:sz="6" w:space="0" w:color="auto"/>
              <w:bottom w:val="single" w:sz="6" w:space="0" w:color="auto"/>
              <w:right w:val="single" w:sz="6" w:space="0" w:color="auto"/>
            </w:tcBorders>
          </w:tcPr>
          <w:p w14:paraId="1EDF2C82" w14:textId="77777777" w:rsidR="006031D6" w:rsidRPr="006031D6" w:rsidRDefault="006031D6" w:rsidP="006031D6">
            <w:pPr>
              <w:pStyle w:val="Texttabulky"/>
              <w:spacing w:after="0" w:line="240" w:lineRule="atLeast"/>
              <w:rPr>
                <w:rFonts w:cs="Arial"/>
              </w:rPr>
            </w:pPr>
            <w:r w:rsidRPr="006031D6">
              <w:rPr>
                <w:rFonts w:cs="Arial"/>
              </w:rPr>
              <w:t>141</w:t>
            </w:r>
          </w:p>
        </w:tc>
        <w:tc>
          <w:tcPr>
            <w:tcW w:w="760" w:type="dxa"/>
            <w:tcBorders>
              <w:top w:val="single" w:sz="6" w:space="0" w:color="auto"/>
              <w:left w:val="single" w:sz="6" w:space="0" w:color="auto"/>
              <w:bottom w:val="single" w:sz="6" w:space="0" w:color="auto"/>
              <w:right w:val="single" w:sz="6" w:space="0" w:color="auto"/>
            </w:tcBorders>
          </w:tcPr>
          <w:p w14:paraId="72BB49DF" w14:textId="77777777" w:rsidR="006031D6" w:rsidRPr="006031D6" w:rsidRDefault="006031D6" w:rsidP="006031D6">
            <w:pPr>
              <w:pStyle w:val="Texttabulky"/>
              <w:spacing w:after="0" w:line="240" w:lineRule="atLeast"/>
              <w:rPr>
                <w:rFonts w:cs="Arial"/>
              </w:rPr>
            </w:pPr>
            <w:r w:rsidRPr="006031D6">
              <w:rPr>
                <w:rFonts w:cs="Arial"/>
              </w:rPr>
              <w:t>5 224</w:t>
            </w:r>
          </w:p>
        </w:tc>
        <w:tc>
          <w:tcPr>
            <w:tcW w:w="1001" w:type="dxa"/>
            <w:tcBorders>
              <w:top w:val="single" w:sz="6" w:space="0" w:color="auto"/>
              <w:left w:val="single" w:sz="6" w:space="0" w:color="auto"/>
              <w:bottom w:val="single" w:sz="6" w:space="0" w:color="auto"/>
              <w:right w:val="single" w:sz="6" w:space="0" w:color="auto"/>
            </w:tcBorders>
          </w:tcPr>
          <w:p w14:paraId="160DD744" w14:textId="77777777" w:rsidR="006031D6" w:rsidRPr="006031D6" w:rsidRDefault="006031D6" w:rsidP="006031D6">
            <w:pPr>
              <w:pStyle w:val="Texttabulky"/>
              <w:spacing w:after="0" w:line="240" w:lineRule="atLeast"/>
              <w:rPr>
                <w:rFonts w:cs="Arial"/>
              </w:rPr>
            </w:pPr>
            <w:r w:rsidRPr="006031D6">
              <w:rPr>
                <w:rFonts w:cs="Arial"/>
              </w:rPr>
              <w:t>240 302</w:t>
            </w:r>
          </w:p>
        </w:tc>
        <w:tc>
          <w:tcPr>
            <w:tcW w:w="728" w:type="dxa"/>
            <w:tcBorders>
              <w:top w:val="single" w:sz="6" w:space="0" w:color="auto"/>
              <w:left w:val="single" w:sz="6" w:space="0" w:color="auto"/>
              <w:bottom w:val="single" w:sz="6" w:space="0" w:color="auto"/>
              <w:right w:val="single" w:sz="6" w:space="0" w:color="auto"/>
            </w:tcBorders>
          </w:tcPr>
          <w:p w14:paraId="2C080ADF" w14:textId="77777777" w:rsidR="006031D6" w:rsidRPr="006031D6" w:rsidRDefault="006031D6" w:rsidP="006031D6">
            <w:pPr>
              <w:pStyle w:val="Texttabulky"/>
              <w:spacing w:after="0" w:line="240" w:lineRule="atLeast"/>
              <w:rPr>
                <w:rFonts w:cs="Arial"/>
              </w:rPr>
            </w:pPr>
            <w:r w:rsidRPr="006031D6">
              <w:rPr>
                <w:rFonts w:cs="Arial"/>
              </w:rPr>
              <w:t>126</w:t>
            </w:r>
          </w:p>
        </w:tc>
      </w:tr>
      <w:tr w:rsidR="006031D6" w:rsidRPr="006031D6" w14:paraId="7B54049F" w14:textId="77777777" w:rsidTr="002D2D45">
        <w:trPr>
          <w:trHeight w:val="466"/>
        </w:trPr>
        <w:tc>
          <w:tcPr>
            <w:tcW w:w="1205" w:type="dxa"/>
            <w:tcBorders>
              <w:top w:val="single" w:sz="6" w:space="0" w:color="auto"/>
              <w:left w:val="single" w:sz="6" w:space="0" w:color="auto"/>
              <w:bottom w:val="single" w:sz="6" w:space="0" w:color="auto"/>
              <w:right w:val="single" w:sz="6" w:space="0" w:color="auto"/>
            </w:tcBorders>
          </w:tcPr>
          <w:p w14:paraId="4BBB64EF" w14:textId="77777777" w:rsidR="006031D6" w:rsidRPr="006031D6" w:rsidRDefault="006031D6" w:rsidP="006031D6">
            <w:pPr>
              <w:pStyle w:val="Texttabulky"/>
              <w:spacing w:after="0" w:line="240" w:lineRule="atLeast"/>
              <w:rPr>
                <w:rFonts w:cs="Arial"/>
              </w:rPr>
            </w:pPr>
            <w:r w:rsidRPr="006031D6">
              <w:rPr>
                <w:rFonts w:cs="Arial"/>
                <w:b/>
                <w:bCs/>
              </w:rPr>
              <w:t>Celkem</w:t>
            </w:r>
          </w:p>
        </w:tc>
        <w:tc>
          <w:tcPr>
            <w:tcW w:w="810" w:type="dxa"/>
            <w:tcBorders>
              <w:top w:val="single" w:sz="6" w:space="0" w:color="auto"/>
              <w:left w:val="single" w:sz="6" w:space="0" w:color="auto"/>
              <w:bottom w:val="single" w:sz="6" w:space="0" w:color="auto"/>
              <w:right w:val="single" w:sz="6" w:space="0" w:color="auto"/>
            </w:tcBorders>
          </w:tcPr>
          <w:p w14:paraId="6F1C0721" w14:textId="77777777" w:rsidR="006031D6" w:rsidRPr="006031D6" w:rsidRDefault="006031D6" w:rsidP="006031D6">
            <w:pPr>
              <w:pStyle w:val="Texttabulky"/>
              <w:spacing w:after="0" w:line="240" w:lineRule="atLeast"/>
              <w:rPr>
                <w:rFonts w:cs="Arial"/>
              </w:rPr>
            </w:pPr>
            <w:r w:rsidRPr="006031D6">
              <w:rPr>
                <w:rFonts w:cs="Arial"/>
                <w:b/>
                <w:bCs/>
              </w:rPr>
              <w:t>52 709</w:t>
            </w:r>
          </w:p>
        </w:tc>
        <w:tc>
          <w:tcPr>
            <w:tcW w:w="992" w:type="dxa"/>
            <w:tcBorders>
              <w:top w:val="single" w:sz="6" w:space="0" w:color="auto"/>
              <w:left w:val="single" w:sz="6" w:space="0" w:color="auto"/>
              <w:bottom w:val="single" w:sz="6" w:space="0" w:color="auto"/>
              <w:right w:val="single" w:sz="6" w:space="0" w:color="auto"/>
            </w:tcBorders>
          </w:tcPr>
          <w:p w14:paraId="214A62D1" w14:textId="77777777" w:rsidR="006031D6" w:rsidRPr="006031D6" w:rsidRDefault="006031D6" w:rsidP="006031D6">
            <w:pPr>
              <w:pStyle w:val="Texttabulky"/>
              <w:spacing w:after="0" w:line="240" w:lineRule="atLeast"/>
              <w:rPr>
                <w:rFonts w:cs="Arial"/>
              </w:rPr>
            </w:pPr>
            <w:r w:rsidRPr="006031D6">
              <w:rPr>
                <w:rFonts w:cs="Arial"/>
                <w:b/>
                <w:bCs/>
              </w:rPr>
              <w:t>3 424 390</w:t>
            </w:r>
          </w:p>
        </w:tc>
        <w:tc>
          <w:tcPr>
            <w:tcW w:w="910" w:type="dxa"/>
            <w:tcBorders>
              <w:top w:val="single" w:sz="6" w:space="0" w:color="auto"/>
              <w:left w:val="single" w:sz="6" w:space="0" w:color="auto"/>
              <w:bottom w:val="single" w:sz="6" w:space="0" w:color="auto"/>
              <w:right w:val="single" w:sz="6" w:space="0" w:color="auto"/>
            </w:tcBorders>
          </w:tcPr>
          <w:p w14:paraId="3DBDC012" w14:textId="77777777" w:rsidR="006031D6" w:rsidRPr="006031D6" w:rsidRDefault="006031D6" w:rsidP="006031D6">
            <w:pPr>
              <w:pStyle w:val="Texttabulky"/>
              <w:spacing w:after="0" w:line="240" w:lineRule="atLeast"/>
              <w:rPr>
                <w:rFonts w:cs="Arial"/>
              </w:rPr>
            </w:pPr>
            <w:r w:rsidRPr="006031D6">
              <w:rPr>
                <w:rFonts w:cs="Arial"/>
                <w:b/>
                <w:bCs/>
              </w:rPr>
              <w:t>178</w:t>
            </w:r>
          </w:p>
        </w:tc>
        <w:tc>
          <w:tcPr>
            <w:tcW w:w="942" w:type="dxa"/>
            <w:tcBorders>
              <w:top w:val="single" w:sz="6" w:space="0" w:color="auto"/>
              <w:left w:val="single" w:sz="6" w:space="0" w:color="auto"/>
              <w:bottom w:val="single" w:sz="6" w:space="0" w:color="auto"/>
              <w:right w:val="single" w:sz="6" w:space="0" w:color="auto"/>
            </w:tcBorders>
          </w:tcPr>
          <w:p w14:paraId="337E4BB4" w14:textId="77777777" w:rsidR="006031D6" w:rsidRPr="006031D6" w:rsidRDefault="006031D6" w:rsidP="006031D6">
            <w:pPr>
              <w:pStyle w:val="Texttabulky"/>
              <w:spacing w:after="0" w:line="240" w:lineRule="atLeast"/>
              <w:rPr>
                <w:rFonts w:cs="Arial"/>
              </w:rPr>
            </w:pPr>
            <w:r w:rsidRPr="006031D6">
              <w:rPr>
                <w:rFonts w:cs="Arial"/>
                <w:b/>
                <w:bCs/>
              </w:rPr>
              <w:t>52 709</w:t>
            </w:r>
          </w:p>
        </w:tc>
        <w:tc>
          <w:tcPr>
            <w:tcW w:w="1001" w:type="dxa"/>
            <w:tcBorders>
              <w:top w:val="single" w:sz="6" w:space="0" w:color="auto"/>
              <w:left w:val="single" w:sz="6" w:space="0" w:color="auto"/>
              <w:bottom w:val="single" w:sz="6" w:space="0" w:color="auto"/>
              <w:right w:val="single" w:sz="6" w:space="0" w:color="auto"/>
            </w:tcBorders>
          </w:tcPr>
          <w:p w14:paraId="0F2B1814" w14:textId="77777777" w:rsidR="006031D6" w:rsidRPr="006031D6" w:rsidRDefault="006031D6" w:rsidP="006031D6">
            <w:pPr>
              <w:pStyle w:val="Texttabulky"/>
              <w:spacing w:after="0" w:line="240" w:lineRule="atLeast"/>
              <w:rPr>
                <w:rFonts w:cs="Arial"/>
              </w:rPr>
            </w:pPr>
            <w:r w:rsidRPr="006031D6">
              <w:rPr>
                <w:rFonts w:cs="Arial"/>
                <w:b/>
                <w:bCs/>
              </w:rPr>
              <w:t>2 693 597</w:t>
            </w:r>
          </w:p>
        </w:tc>
        <w:tc>
          <w:tcPr>
            <w:tcW w:w="877" w:type="dxa"/>
            <w:tcBorders>
              <w:top w:val="single" w:sz="6" w:space="0" w:color="auto"/>
              <w:left w:val="single" w:sz="6" w:space="0" w:color="auto"/>
              <w:bottom w:val="single" w:sz="6" w:space="0" w:color="auto"/>
              <w:right w:val="single" w:sz="6" w:space="0" w:color="auto"/>
            </w:tcBorders>
          </w:tcPr>
          <w:p w14:paraId="03476906" w14:textId="77777777" w:rsidR="006031D6" w:rsidRPr="006031D6" w:rsidRDefault="006031D6" w:rsidP="006031D6">
            <w:pPr>
              <w:pStyle w:val="Texttabulky"/>
              <w:spacing w:after="0" w:line="240" w:lineRule="atLeast"/>
              <w:rPr>
                <w:rFonts w:cs="Arial"/>
              </w:rPr>
            </w:pPr>
            <w:r w:rsidRPr="006031D6">
              <w:rPr>
                <w:rFonts w:cs="Arial"/>
                <w:b/>
                <w:bCs/>
              </w:rPr>
              <w:t>140</w:t>
            </w:r>
          </w:p>
        </w:tc>
        <w:tc>
          <w:tcPr>
            <w:tcW w:w="760" w:type="dxa"/>
            <w:tcBorders>
              <w:top w:val="single" w:sz="6" w:space="0" w:color="auto"/>
              <w:left w:val="single" w:sz="6" w:space="0" w:color="auto"/>
              <w:bottom w:val="single" w:sz="6" w:space="0" w:color="auto"/>
              <w:right w:val="single" w:sz="6" w:space="0" w:color="auto"/>
            </w:tcBorders>
          </w:tcPr>
          <w:p w14:paraId="6594AFAB" w14:textId="77777777" w:rsidR="006031D6" w:rsidRPr="006031D6" w:rsidRDefault="006031D6" w:rsidP="006031D6">
            <w:pPr>
              <w:pStyle w:val="Texttabulky"/>
              <w:spacing w:after="0" w:line="240" w:lineRule="atLeast"/>
              <w:rPr>
                <w:rFonts w:cs="Arial"/>
              </w:rPr>
            </w:pPr>
            <w:r w:rsidRPr="006031D6">
              <w:rPr>
                <w:rFonts w:cs="Arial"/>
                <w:b/>
                <w:bCs/>
              </w:rPr>
              <w:t>62 522</w:t>
            </w:r>
          </w:p>
        </w:tc>
        <w:tc>
          <w:tcPr>
            <w:tcW w:w="1001" w:type="dxa"/>
            <w:tcBorders>
              <w:top w:val="single" w:sz="6" w:space="0" w:color="auto"/>
              <w:left w:val="single" w:sz="6" w:space="0" w:color="auto"/>
              <w:bottom w:val="single" w:sz="6" w:space="0" w:color="auto"/>
              <w:right w:val="single" w:sz="6" w:space="0" w:color="auto"/>
            </w:tcBorders>
          </w:tcPr>
          <w:p w14:paraId="14241E93" w14:textId="77777777" w:rsidR="006031D6" w:rsidRPr="006031D6" w:rsidRDefault="006031D6" w:rsidP="006031D6">
            <w:pPr>
              <w:pStyle w:val="Texttabulky"/>
              <w:spacing w:after="0" w:line="240" w:lineRule="atLeast"/>
              <w:rPr>
                <w:rFonts w:cs="Arial"/>
              </w:rPr>
            </w:pPr>
            <w:r w:rsidRPr="006031D6">
              <w:rPr>
                <w:rFonts w:cs="Arial"/>
                <w:b/>
                <w:bCs/>
              </w:rPr>
              <w:t>2 412 364</w:t>
            </w:r>
          </w:p>
        </w:tc>
        <w:tc>
          <w:tcPr>
            <w:tcW w:w="728" w:type="dxa"/>
            <w:tcBorders>
              <w:top w:val="single" w:sz="6" w:space="0" w:color="auto"/>
              <w:left w:val="single" w:sz="6" w:space="0" w:color="auto"/>
              <w:bottom w:val="single" w:sz="6" w:space="0" w:color="auto"/>
              <w:right w:val="single" w:sz="6" w:space="0" w:color="auto"/>
            </w:tcBorders>
          </w:tcPr>
          <w:p w14:paraId="48B5A3A6" w14:textId="77777777" w:rsidR="006031D6" w:rsidRPr="006031D6" w:rsidRDefault="006031D6" w:rsidP="006031D6">
            <w:pPr>
              <w:pStyle w:val="Texttabulky"/>
              <w:spacing w:after="0" w:line="240" w:lineRule="atLeast"/>
              <w:rPr>
                <w:rFonts w:cs="Arial"/>
              </w:rPr>
            </w:pPr>
            <w:r w:rsidRPr="006031D6">
              <w:rPr>
                <w:rFonts w:cs="Arial"/>
                <w:b/>
                <w:bCs/>
              </w:rPr>
              <w:t>106</w:t>
            </w:r>
          </w:p>
        </w:tc>
      </w:tr>
    </w:tbl>
    <w:p w14:paraId="6142487D" w14:textId="77777777" w:rsidR="006031D6" w:rsidRPr="006031D6" w:rsidRDefault="006031D6" w:rsidP="006031D6">
      <w:pPr>
        <w:autoSpaceDE w:val="0"/>
        <w:autoSpaceDN w:val="0"/>
        <w:adjustRightInd w:val="0"/>
        <w:jc w:val="both"/>
        <w:rPr>
          <w:rFonts w:ascii="Arial" w:hAnsi="Arial" w:cs="Arial"/>
          <w:sz w:val="20"/>
        </w:rPr>
      </w:pPr>
    </w:p>
    <w:p w14:paraId="46E3BFA6" w14:textId="77777777" w:rsidR="006031D6" w:rsidRDefault="006031D6" w:rsidP="006031D6">
      <w:pPr>
        <w:pStyle w:val="Zkladntext"/>
        <w:spacing w:before="120" w:line="288" w:lineRule="auto"/>
        <w:ind w:firstLine="709"/>
        <w:rPr>
          <w:rFonts w:ascii="Arial" w:hAnsi="Arial" w:cs="Arial"/>
          <w:sz w:val="22"/>
          <w:szCs w:val="22"/>
        </w:rPr>
      </w:pPr>
    </w:p>
    <w:p w14:paraId="2A3C0DC9" w14:textId="77777777" w:rsidR="006031D6" w:rsidRPr="006031D6" w:rsidRDefault="006031D6" w:rsidP="006031D6">
      <w:pPr>
        <w:pStyle w:val="Zkladntext"/>
        <w:spacing w:before="120" w:line="288" w:lineRule="auto"/>
        <w:ind w:firstLine="709"/>
        <w:rPr>
          <w:rFonts w:ascii="Arial" w:hAnsi="Arial" w:cs="Arial"/>
          <w:sz w:val="22"/>
          <w:szCs w:val="22"/>
        </w:rPr>
      </w:pPr>
      <w:r w:rsidRPr="006031D6">
        <w:rPr>
          <w:rFonts w:ascii="Arial" w:hAnsi="Arial" w:cs="Arial"/>
          <w:sz w:val="22"/>
          <w:szCs w:val="22"/>
        </w:rPr>
        <w:t>Výpočet potřeby vody vychází z hodnot VH1 za rok 1998 viz tabulka č.  2 Údaje z VH1¨ za rok 1998"</w:t>
      </w:r>
    </w:p>
    <w:p w14:paraId="5CE9A0A0" w14:textId="77777777" w:rsidR="006031D6" w:rsidRPr="006031D6" w:rsidRDefault="006031D6" w:rsidP="006031D6">
      <w:pPr>
        <w:pStyle w:val="Zkladntext"/>
        <w:spacing w:line="240" w:lineRule="atLeast"/>
        <w:rPr>
          <w:rFonts w:ascii="Arial" w:hAnsi="Arial" w:cs="Arial"/>
        </w:rPr>
      </w:pPr>
    </w:p>
    <w:p w14:paraId="09C3F458" w14:textId="77777777" w:rsidR="006031D6" w:rsidRPr="006031D6" w:rsidRDefault="006031D6" w:rsidP="006031D6">
      <w:pPr>
        <w:pStyle w:val="Zkladntext"/>
        <w:spacing w:line="240" w:lineRule="atLeast"/>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w:t>
      </w:r>
      <w:r>
        <w:rPr>
          <w:rFonts w:ascii="Arial" w:hAnsi="Arial" w:cs="Arial"/>
          <w:sz w:val="22"/>
          <w:szCs w:val="22"/>
        </w:rPr>
        <w:tab/>
        <w:t xml:space="preserve"> </w:t>
      </w:r>
      <w:r w:rsidRPr="006031D6">
        <w:rPr>
          <w:rFonts w:ascii="Arial" w:hAnsi="Arial" w:cs="Arial"/>
          <w:sz w:val="22"/>
          <w:szCs w:val="22"/>
        </w:rPr>
        <w:t xml:space="preserve">     </w:t>
      </w:r>
      <w:r w:rsidRPr="006031D6">
        <w:rPr>
          <w:rFonts w:ascii="Arial" w:hAnsi="Arial" w:cs="Arial"/>
          <w:b/>
          <w:bCs/>
          <w:sz w:val="22"/>
          <w:szCs w:val="22"/>
        </w:rPr>
        <w:t xml:space="preserve"> </w:t>
      </w:r>
      <w:r w:rsidRPr="006031D6">
        <w:rPr>
          <w:rFonts w:ascii="Arial" w:hAnsi="Arial" w:cs="Arial"/>
          <w:b/>
          <w:bCs/>
          <w:caps/>
          <w:sz w:val="22"/>
          <w:szCs w:val="22"/>
        </w:rPr>
        <w:t>Tabulka č. 2</w:t>
      </w:r>
    </w:p>
    <w:tbl>
      <w:tblPr>
        <w:tblW w:w="0" w:type="auto"/>
        <w:jc w:val="center"/>
        <w:tblLayout w:type="fixed"/>
        <w:tblCellMar>
          <w:left w:w="70" w:type="dxa"/>
          <w:right w:w="70" w:type="dxa"/>
        </w:tblCellMar>
        <w:tblLook w:val="0000" w:firstRow="0" w:lastRow="0" w:firstColumn="0" w:lastColumn="0" w:noHBand="0" w:noVBand="0"/>
      </w:tblPr>
      <w:tblGrid>
        <w:gridCol w:w="1186"/>
        <w:gridCol w:w="915"/>
        <w:gridCol w:w="628"/>
        <w:gridCol w:w="930"/>
        <w:gridCol w:w="532"/>
        <w:gridCol w:w="915"/>
        <w:gridCol w:w="655"/>
        <w:gridCol w:w="915"/>
        <w:gridCol w:w="930"/>
      </w:tblGrid>
      <w:tr w:rsidR="006031D6" w:rsidRPr="006031D6" w14:paraId="41CF8334" w14:textId="77777777" w:rsidTr="002D2D45">
        <w:trPr>
          <w:jc w:val="center"/>
        </w:trPr>
        <w:tc>
          <w:tcPr>
            <w:tcW w:w="1186" w:type="dxa"/>
            <w:vMerge w:val="restart"/>
            <w:tcBorders>
              <w:top w:val="single" w:sz="6" w:space="0" w:color="auto"/>
              <w:left w:val="single" w:sz="6" w:space="0" w:color="auto"/>
              <w:right w:val="single" w:sz="6" w:space="0" w:color="auto"/>
            </w:tcBorders>
          </w:tcPr>
          <w:p w14:paraId="3D817BC2" w14:textId="77777777" w:rsidR="006031D6" w:rsidRPr="006031D6" w:rsidRDefault="006031D6" w:rsidP="006031D6">
            <w:pPr>
              <w:pStyle w:val="Texttabulky"/>
              <w:spacing w:after="0" w:line="240" w:lineRule="atLeast"/>
              <w:rPr>
                <w:rFonts w:cs="Arial"/>
              </w:rPr>
            </w:pPr>
            <w:r w:rsidRPr="006031D6">
              <w:rPr>
                <w:rFonts w:cs="Arial"/>
                <w:b/>
                <w:bCs/>
              </w:rPr>
              <w:t>Skupina</w:t>
            </w:r>
          </w:p>
        </w:tc>
        <w:tc>
          <w:tcPr>
            <w:tcW w:w="1543" w:type="dxa"/>
            <w:gridSpan w:val="2"/>
            <w:vMerge w:val="restart"/>
            <w:tcBorders>
              <w:top w:val="single" w:sz="6" w:space="0" w:color="auto"/>
              <w:left w:val="single" w:sz="6" w:space="0" w:color="auto"/>
              <w:right w:val="single" w:sz="6" w:space="0" w:color="auto"/>
            </w:tcBorders>
          </w:tcPr>
          <w:p w14:paraId="2B758643" w14:textId="77777777" w:rsidR="006031D6" w:rsidRPr="006031D6" w:rsidRDefault="006031D6" w:rsidP="006031D6">
            <w:pPr>
              <w:pStyle w:val="Zkladntext"/>
              <w:spacing w:after="0"/>
              <w:rPr>
                <w:rFonts w:ascii="Arial" w:hAnsi="Arial" w:cs="Arial"/>
              </w:rPr>
            </w:pPr>
            <w:r w:rsidRPr="006031D6">
              <w:rPr>
                <w:rFonts w:ascii="Arial" w:hAnsi="Arial" w:cs="Arial"/>
                <w:b/>
                <w:bCs/>
              </w:rPr>
              <w:t>voda vyrobená</w:t>
            </w:r>
          </w:p>
        </w:tc>
        <w:tc>
          <w:tcPr>
            <w:tcW w:w="1462" w:type="dxa"/>
            <w:gridSpan w:val="2"/>
            <w:vMerge w:val="restart"/>
            <w:tcBorders>
              <w:top w:val="single" w:sz="6" w:space="0" w:color="auto"/>
              <w:left w:val="single" w:sz="6" w:space="0" w:color="auto"/>
              <w:right w:val="single" w:sz="6" w:space="0" w:color="auto"/>
            </w:tcBorders>
          </w:tcPr>
          <w:p w14:paraId="56AC8870" w14:textId="77777777" w:rsidR="006031D6" w:rsidRPr="006031D6" w:rsidRDefault="006031D6" w:rsidP="006031D6">
            <w:pPr>
              <w:pStyle w:val="Zkladntext"/>
              <w:spacing w:after="0"/>
              <w:rPr>
                <w:rFonts w:ascii="Arial" w:hAnsi="Arial" w:cs="Arial"/>
              </w:rPr>
            </w:pPr>
            <w:r w:rsidRPr="006031D6">
              <w:rPr>
                <w:rFonts w:ascii="Arial" w:hAnsi="Arial" w:cs="Arial"/>
                <w:b/>
                <w:bCs/>
              </w:rPr>
              <w:t>voda převzatá</w:t>
            </w:r>
          </w:p>
        </w:tc>
        <w:tc>
          <w:tcPr>
            <w:tcW w:w="3415" w:type="dxa"/>
            <w:gridSpan w:val="4"/>
            <w:tcBorders>
              <w:top w:val="single" w:sz="6" w:space="0" w:color="auto"/>
              <w:left w:val="single" w:sz="6" w:space="0" w:color="auto"/>
              <w:bottom w:val="single" w:sz="6" w:space="0" w:color="auto"/>
              <w:right w:val="single" w:sz="6" w:space="0" w:color="auto"/>
            </w:tcBorders>
          </w:tcPr>
          <w:p w14:paraId="33FB1132" w14:textId="77777777" w:rsidR="006031D6" w:rsidRPr="006031D6" w:rsidRDefault="006031D6" w:rsidP="006031D6">
            <w:pPr>
              <w:pStyle w:val="Zkladntext"/>
              <w:spacing w:after="0"/>
              <w:rPr>
                <w:rFonts w:ascii="Arial" w:hAnsi="Arial" w:cs="Arial"/>
              </w:rPr>
            </w:pPr>
            <w:r w:rsidRPr="006031D6">
              <w:rPr>
                <w:rFonts w:ascii="Arial" w:hAnsi="Arial" w:cs="Arial"/>
                <w:b/>
                <w:bCs/>
              </w:rPr>
              <w:t>voda fakturovaná</w:t>
            </w:r>
          </w:p>
        </w:tc>
      </w:tr>
      <w:tr w:rsidR="006031D6" w:rsidRPr="006031D6" w14:paraId="6A0EEF13" w14:textId="77777777" w:rsidTr="002D2D45">
        <w:trPr>
          <w:jc w:val="center"/>
        </w:trPr>
        <w:tc>
          <w:tcPr>
            <w:tcW w:w="1186" w:type="dxa"/>
            <w:vMerge/>
            <w:tcBorders>
              <w:left w:val="single" w:sz="6" w:space="0" w:color="auto"/>
              <w:right w:val="single" w:sz="6" w:space="0" w:color="auto"/>
            </w:tcBorders>
          </w:tcPr>
          <w:p w14:paraId="50E94C23" w14:textId="77777777" w:rsidR="006031D6" w:rsidRPr="006031D6" w:rsidRDefault="006031D6" w:rsidP="006031D6">
            <w:pPr>
              <w:pStyle w:val="Zkladntext"/>
              <w:spacing w:after="0"/>
              <w:rPr>
                <w:rFonts w:ascii="Arial" w:hAnsi="Arial" w:cs="Arial"/>
              </w:rPr>
            </w:pPr>
          </w:p>
        </w:tc>
        <w:tc>
          <w:tcPr>
            <w:tcW w:w="1543" w:type="dxa"/>
            <w:gridSpan w:val="2"/>
            <w:vMerge/>
            <w:tcBorders>
              <w:left w:val="single" w:sz="6" w:space="0" w:color="auto"/>
              <w:bottom w:val="single" w:sz="6" w:space="0" w:color="auto"/>
              <w:right w:val="single" w:sz="6" w:space="0" w:color="auto"/>
            </w:tcBorders>
          </w:tcPr>
          <w:p w14:paraId="211ACA49" w14:textId="77777777" w:rsidR="006031D6" w:rsidRPr="006031D6" w:rsidRDefault="006031D6" w:rsidP="006031D6">
            <w:pPr>
              <w:pStyle w:val="Zkladntext"/>
              <w:spacing w:after="0"/>
              <w:rPr>
                <w:rFonts w:ascii="Arial" w:hAnsi="Arial" w:cs="Arial"/>
              </w:rPr>
            </w:pPr>
          </w:p>
        </w:tc>
        <w:tc>
          <w:tcPr>
            <w:tcW w:w="1462" w:type="dxa"/>
            <w:gridSpan w:val="2"/>
            <w:vMerge/>
            <w:tcBorders>
              <w:left w:val="single" w:sz="6" w:space="0" w:color="auto"/>
              <w:bottom w:val="single" w:sz="6" w:space="0" w:color="auto"/>
              <w:right w:val="single" w:sz="6" w:space="0" w:color="auto"/>
            </w:tcBorders>
          </w:tcPr>
          <w:p w14:paraId="1BCF17C1" w14:textId="77777777" w:rsidR="006031D6" w:rsidRPr="006031D6" w:rsidRDefault="006031D6" w:rsidP="006031D6">
            <w:pPr>
              <w:pStyle w:val="Zkladntext"/>
              <w:spacing w:after="0"/>
              <w:rPr>
                <w:rFonts w:ascii="Arial" w:hAnsi="Arial" w:cs="Arial"/>
              </w:rPr>
            </w:pPr>
          </w:p>
        </w:tc>
        <w:tc>
          <w:tcPr>
            <w:tcW w:w="1570" w:type="dxa"/>
            <w:gridSpan w:val="2"/>
            <w:tcBorders>
              <w:top w:val="single" w:sz="6" w:space="0" w:color="auto"/>
              <w:left w:val="single" w:sz="6" w:space="0" w:color="auto"/>
              <w:bottom w:val="single" w:sz="6" w:space="0" w:color="auto"/>
              <w:right w:val="single" w:sz="6" w:space="0" w:color="auto"/>
            </w:tcBorders>
          </w:tcPr>
          <w:p w14:paraId="72CF1AA8" w14:textId="77777777" w:rsidR="006031D6" w:rsidRPr="006031D6" w:rsidRDefault="006031D6" w:rsidP="006031D6">
            <w:pPr>
              <w:pStyle w:val="Zkladntext"/>
              <w:spacing w:after="0"/>
              <w:rPr>
                <w:rFonts w:ascii="Arial" w:hAnsi="Arial" w:cs="Arial"/>
              </w:rPr>
            </w:pPr>
            <w:r w:rsidRPr="006031D6">
              <w:rPr>
                <w:rFonts w:ascii="Arial" w:hAnsi="Arial" w:cs="Arial"/>
                <w:b/>
                <w:bCs/>
              </w:rPr>
              <w:t>celkem</w:t>
            </w:r>
          </w:p>
        </w:tc>
        <w:tc>
          <w:tcPr>
            <w:tcW w:w="915" w:type="dxa"/>
            <w:tcBorders>
              <w:top w:val="single" w:sz="6" w:space="0" w:color="auto"/>
              <w:left w:val="single" w:sz="6" w:space="0" w:color="auto"/>
              <w:bottom w:val="single" w:sz="6" w:space="0" w:color="auto"/>
              <w:right w:val="single" w:sz="6" w:space="0" w:color="auto"/>
            </w:tcBorders>
          </w:tcPr>
          <w:p w14:paraId="0E3E8D2E" w14:textId="77777777" w:rsidR="006031D6" w:rsidRPr="006031D6" w:rsidRDefault="006031D6" w:rsidP="006031D6">
            <w:pPr>
              <w:pStyle w:val="Texttabulky"/>
              <w:spacing w:after="0" w:line="240" w:lineRule="atLeast"/>
              <w:rPr>
                <w:rFonts w:cs="Arial"/>
              </w:rPr>
            </w:pPr>
            <w:r w:rsidRPr="006031D6">
              <w:rPr>
                <w:rFonts w:cs="Arial"/>
                <w:b/>
                <w:bCs/>
              </w:rPr>
              <w:t>domácnost</w:t>
            </w:r>
          </w:p>
        </w:tc>
        <w:tc>
          <w:tcPr>
            <w:tcW w:w="930" w:type="dxa"/>
            <w:tcBorders>
              <w:top w:val="single" w:sz="6" w:space="0" w:color="auto"/>
              <w:left w:val="single" w:sz="6" w:space="0" w:color="auto"/>
              <w:bottom w:val="single" w:sz="6" w:space="0" w:color="auto"/>
              <w:right w:val="single" w:sz="6" w:space="0" w:color="auto"/>
            </w:tcBorders>
          </w:tcPr>
          <w:p w14:paraId="10BAD1CA" w14:textId="77777777" w:rsidR="006031D6" w:rsidRPr="006031D6" w:rsidRDefault="006031D6" w:rsidP="006031D6">
            <w:pPr>
              <w:pStyle w:val="Texttabulky"/>
              <w:spacing w:after="0" w:line="240" w:lineRule="atLeast"/>
              <w:rPr>
                <w:rFonts w:cs="Arial"/>
              </w:rPr>
            </w:pPr>
            <w:r w:rsidRPr="006031D6">
              <w:rPr>
                <w:rFonts w:cs="Arial"/>
                <w:b/>
                <w:bCs/>
              </w:rPr>
              <w:t>ostatní</w:t>
            </w:r>
          </w:p>
        </w:tc>
      </w:tr>
      <w:tr w:rsidR="006031D6" w:rsidRPr="006031D6" w14:paraId="17631113" w14:textId="77777777" w:rsidTr="002D2D45">
        <w:trPr>
          <w:jc w:val="center"/>
        </w:trPr>
        <w:tc>
          <w:tcPr>
            <w:tcW w:w="1186" w:type="dxa"/>
            <w:vMerge/>
            <w:tcBorders>
              <w:left w:val="single" w:sz="6" w:space="0" w:color="auto"/>
              <w:bottom w:val="nil"/>
              <w:right w:val="single" w:sz="6" w:space="0" w:color="auto"/>
            </w:tcBorders>
          </w:tcPr>
          <w:p w14:paraId="59F68AAF" w14:textId="77777777" w:rsidR="006031D6" w:rsidRPr="006031D6" w:rsidRDefault="006031D6" w:rsidP="006031D6">
            <w:pPr>
              <w:pStyle w:val="Zkladntext"/>
              <w:spacing w:after="0"/>
              <w:rPr>
                <w:rFonts w:ascii="Arial" w:hAnsi="Arial" w:cs="Arial"/>
              </w:rPr>
            </w:pPr>
          </w:p>
        </w:tc>
        <w:tc>
          <w:tcPr>
            <w:tcW w:w="915" w:type="dxa"/>
            <w:tcBorders>
              <w:top w:val="single" w:sz="6" w:space="0" w:color="auto"/>
              <w:left w:val="single" w:sz="6" w:space="0" w:color="auto"/>
              <w:bottom w:val="single" w:sz="6" w:space="0" w:color="auto"/>
              <w:right w:val="single" w:sz="6" w:space="0" w:color="auto"/>
            </w:tcBorders>
          </w:tcPr>
          <w:p w14:paraId="62335328" w14:textId="77777777" w:rsidR="006031D6" w:rsidRPr="006031D6" w:rsidRDefault="006031D6" w:rsidP="006031D6">
            <w:pPr>
              <w:pStyle w:val="Texttabulky"/>
              <w:spacing w:after="0" w:line="240" w:lineRule="atLeast"/>
              <w:rPr>
                <w:rFonts w:cs="Arial"/>
              </w:rPr>
            </w:pPr>
            <w:r w:rsidRPr="006031D6">
              <w:rPr>
                <w:rFonts w:cs="Arial"/>
              </w:rPr>
              <w:t>m</w:t>
            </w:r>
            <w:r w:rsidRPr="006031D6">
              <w:rPr>
                <w:rFonts w:cs="Arial"/>
                <w:vertAlign w:val="superscript"/>
              </w:rPr>
              <w:t>3</w:t>
            </w:r>
            <w:r w:rsidRPr="006031D6">
              <w:rPr>
                <w:rFonts w:cs="Arial"/>
              </w:rPr>
              <w:t>/rok</w:t>
            </w:r>
          </w:p>
        </w:tc>
        <w:tc>
          <w:tcPr>
            <w:tcW w:w="628" w:type="dxa"/>
            <w:tcBorders>
              <w:top w:val="single" w:sz="6" w:space="0" w:color="auto"/>
              <w:left w:val="single" w:sz="6" w:space="0" w:color="auto"/>
              <w:bottom w:val="single" w:sz="6" w:space="0" w:color="auto"/>
              <w:right w:val="single" w:sz="6" w:space="0" w:color="auto"/>
            </w:tcBorders>
          </w:tcPr>
          <w:p w14:paraId="660A21D6" w14:textId="77777777" w:rsidR="006031D6" w:rsidRPr="006031D6" w:rsidRDefault="006031D6" w:rsidP="006031D6">
            <w:pPr>
              <w:pStyle w:val="Texttabulky"/>
              <w:spacing w:after="0" w:line="240" w:lineRule="atLeast"/>
              <w:rPr>
                <w:rFonts w:cs="Arial"/>
              </w:rPr>
            </w:pPr>
            <w:r w:rsidRPr="006031D6">
              <w:rPr>
                <w:rFonts w:cs="Arial"/>
              </w:rPr>
              <w:t>l/s</w:t>
            </w:r>
          </w:p>
        </w:tc>
        <w:tc>
          <w:tcPr>
            <w:tcW w:w="930" w:type="dxa"/>
            <w:tcBorders>
              <w:top w:val="single" w:sz="6" w:space="0" w:color="auto"/>
              <w:left w:val="single" w:sz="6" w:space="0" w:color="auto"/>
              <w:bottom w:val="single" w:sz="6" w:space="0" w:color="auto"/>
              <w:right w:val="single" w:sz="6" w:space="0" w:color="auto"/>
            </w:tcBorders>
          </w:tcPr>
          <w:p w14:paraId="2DC0F5B2" w14:textId="77777777" w:rsidR="006031D6" w:rsidRPr="006031D6" w:rsidRDefault="006031D6" w:rsidP="006031D6">
            <w:pPr>
              <w:pStyle w:val="Texttabulky"/>
              <w:spacing w:after="0" w:line="240" w:lineRule="atLeast"/>
              <w:rPr>
                <w:rFonts w:cs="Arial"/>
              </w:rPr>
            </w:pPr>
            <w:r w:rsidRPr="006031D6">
              <w:rPr>
                <w:rFonts w:cs="Arial"/>
              </w:rPr>
              <w:t>m</w:t>
            </w:r>
            <w:r w:rsidRPr="006031D6">
              <w:rPr>
                <w:rFonts w:cs="Arial"/>
                <w:vertAlign w:val="superscript"/>
              </w:rPr>
              <w:t>3</w:t>
            </w:r>
            <w:r w:rsidRPr="006031D6">
              <w:rPr>
                <w:rFonts w:cs="Arial"/>
              </w:rPr>
              <w:t>/rok</w:t>
            </w:r>
          </w:p>
        </w:tc>
        <w:tc>
          <w:tcPr>
            <w:tcW w:w="532" w:type="dxa"/>
            <w:tcBorders>
              <w:top w:val="single" w:sz="6" w:space="0" w:color="auto"/>
              <w:left w:val="single" w:sz="6" w:space="0" w:color="auto"/>
              <w:bottom w:val="single" w:sz="6" w:space="0" w:color="auto"/>
              <w:right w:val="single" w:sz="6" w:space="0" w:color="auto"/>
            </w:tcBorders>
          </w:tcPr>
          <w:p w14:paraId="5E9E772B" w14:textId="77777777" w:rsidR="006031D6" w:rsidRPr="006031D6" w:rsidRDefault="006031D6" w:rsidP="006031D6">
            <w:pPr>
              <w:pStyle w:val="Texttabulky"/>
              <w:spacing w:after="0" w:line="240" w:lineRule="atLeast"/>
              <w:rPr>
                <w:rFonts w:cs="Arial"/>
              </w:rPr>
            </w:pPr>
            <w:r w:rsidRPr="006031D6">
              <w:rPr>
                <w:rFonts w:cs="Arial"/>
              </w:rPr>
              <w:t>l/s</w:t>
            </w:r>
          </w:p>
        </w:tc>
        <w:tc>
          <w:tcPr>
            <w:tcW w:w="915" w:type="dxa"/>
            <w:tcBorders>
              <w:top w:val="single" w:sz="6" w:space="0" w:color="auto"/>
              <w:left w:val="single" w:sz="6" w:space="0" w:color="auto"/>
              <w:bottom w:val="single" w:sz="6" w:space="0" w:color="auto"/>
              <w:right w:val="single" w:sz="6" w:space="0" w:color="auto"/>
            </w:tcBorders>
          </w:tcPr>
          <w:p w14:paraId="004E8DBB" w14:textId="77777777" w:rsidR="006031D6" w:rsidRPr="006031D6" w:rsidRDefault="006031D6" w:rsidP="006031D6">
            <w:pPr>
              <w:pStyle w:val="Texttabulky"/>
              <w:spacing w:after="0" w:line="240" w:lineRule="atLeast"/>
              <w:rPr>
                <w:rFonts w:cs="Arial"/>
              </w:rPr>
            </w:pPr>
            <w:r w:rsidRPr="006031D6">
              <w:rPr>
                <w:rFonts w:cs="Arial"/>
              </w:rPr>
              <w:t>m</w:t>
            </w:r>
            <w:r w:rsidRPr="006031D6">
              <w:rPr>
                <w:rFonts w:cs="Arial"/>
                <w:vertAlign w:val="superscript"/>
              </w:rPr>
              <w:t>3</w:t>
            </w:r>
            <w:r w:rsidRPr="006031D6">
              <w:rPr>
                <w:rFonts w:cs="Arial"/>
              </w:rPr>
              <w:t>/rok</w:t>
            </w:r>
          </w:p>
        </w:tc>
        <w:tc>
          <w:tcPr>
            <w:tcW w:w="655" w:type="dxa"/>
            <w:tcBorders>
              <w:top w:val="single" w:sz="6" w:space="0" w:color="auto"/>
              <w:left w:val="single" w:sz="6" w:space="0" w:color="auto"/>
              <w:bottom w:val="single" w:sz="6" w:space="0" w:color="auto"/>
              <w:right w:val="single" w:sz="6" w:space="0" w:color="auto"/>
            </w:tcBorders>
          </w:tcPr>
          <w:p w14:paraId="60A001FE" w14:textId="77777777" w:rsidR="006031D6" w:rsidRPr="006031D6" w:rsidRDefault="006031D6" w:rsidP="006031D6">
            <w:pPr>
              <w:pStyle w:val="Texttabulky"/>
              <w:spacing w:after="0" w:line="240" w:lineRule="atLeast"/>
              <w:rPr>
                <w:rFonts w:cs="Arial"/>
              </w:rPr>
            </w:pPr>
            <w:r w:rsidRPr="006031D6">
              <w:rPr>
                <w:rFonts w:cs="Arial"/>
              </w:rPr>
              <w:t>l/s</w:t>
            </w:r>
          </w:p>
        </w:tc>
        <w:tc>
          <w:tcPr>
            <w:tcW w:w="915" w:type="dxa"/>
            <w:tcBorders>
              <w:top w:val="single" w:sz="6" w:space="0" w:color="auto"/>
              <w:left w:val="single" w:sz="6" w:space="0" w:color="auto"/>
              <w:bottom w:val="single" w:sz="6" w:space="0" w:color="auto"/>
              <w:right w:val="single" w:sz="6" w:space="0" w:color="auto"/>
            </w:tcBorders>
          </w:tcPr>
          <w:p w14:paraId="75795CEA" w14:textId="77777777" w:rsidR="006031D6" w:rsidRPr="006031D6" w:rsidRDefault="006031D6" w:rsidP="006031D6">
            <w:pPr>
              <w:pStyle w:val="Texttabulky"/>
              <w:spacing w:after="0" w:line="240" w:lineRule="atLeast"/>
              <w:rPr>
                <w:rFonts w:cs="Arial"/>
              </w:rPr>
            </w:pPr>
            <w:r w:rsidRPr="006031D6">
              <w:rPr>
                <w:rFonts w:cs="Arial"/>
              </w:rPr>
              <w:t>m</w:t>
            </w:r>
            <w:r w:rsidRPr="006031D6">
              <w:rPr>
                <w:rFonts w:cs="Arial"/>
                <w:vertAlign w:val="superscript"/>
              </w:rPr>
              <w:t>3</w:t>
            </w:r>
            <w:r w:rsidRPr="006031D6">
              <w:rPr>
                <w:rFonts w:cs="Arial"/>
              </w:rPr>
              <w:t>/rok</w:t>
            </w:r>
          </w:p>
        </w:tc>
        <w:tc>
          <w:tcPr>
            <w:tcW w:w="930" w:type="dxa"/>
            <w:tcBorders>
              <w:top w:val="single" w:sz="6" w:space="0" w:color="auto"/>
              <w:left w:val="single" w:sz="6" w:space="0" w:color="auto"/>
              <w:bottom w:val="single" w:sz="6" w:space="0" w:color="auto"/>
              <w:right w:val="single" w:sz="6" w:space="0" w:color="auto"/>
            </w:tcBorders>
          </w:tcPr>
          <w:p w14:paraId="4BEE7DF6" w14:textId="77777777" w:rsidR="006031D6" w:rsidRPr="006031D6" w:rsidRDefault="006031D6" w:rsidP="006031D6">
            <w:pPr>
              <w:pStyle w:val="Texttabulky"/>
              <w:spacing w:after="0" w:line="240" w:lineRule="atLeast"/>
              <w:rPr>
                <w:rFonts w:cs="Arial"/>
              </w:rPr>
            </w:pPr>
            <w:r w:rsidRPr="006031D6">
              <w:rPr>
                <w:rFonts w:cs="Arial"/>
              </w:rPr>
              <w:t>l/s</w:t>
            </w:r>
          </w:p>
        </w:tc>
      </w:tr>
      <w:tr w:rsidR="006031D6" w:rsidRPr="006031D6" w14:paraId="233CC362" w14:textId="77777777" w:rsidTr="002D2D45">
        <w:trPr>
          <w:jc w:val="center"/>
        </w:trPr>
        <w:tc>
          <w:tcPr>
            <w:tcW w:w="1186" w:type="dxa"/>
            <w:tcBorders>
              <w:top w:val="single" w:sz="6" w:space="0" w:color="auto"/>
              <w:left w:val="single" w:sz="6" w:space="0" w:color="auto"/>
              <w:bottom w:val="single" w:sz="6" w:space="0" w:color="auto"/>
              <w:right w:val="single" w:sz="6" w:space="0" w:color="auto"/>
            </w:tcBorders>
          </w:tcPr>
          <w:p w14:paraId="4E92BD0D" w14:textId="77777777" w:rsidR="006031D6" w:rsidRPr="006031D6" w:rsidRDefault="006031D6" w:rsidP="006031D6">
            <w:pPr>
              <w:pStyle w:val="Texttabulky"/>
              <w:spacing w:after="0" w:line="240" w:lineRule="atLeast"/>
              <w:rPr>
                <w:rFonts w:cs="Arial"/>
              </w:rPr>
            </w:pPr>
            <w:r w:rsidRPr="006031D6">
              <w:rPr>
                <w:rFonts w:cs="Arial"/>
                <w:b/>
                <w:bCs/>
              </w:rPr>
              <w:t>Děčín</w:t>
            </w:r>
          </w:p>
        </w:tc>
        <w:tc>
          <w:tcPr>
            <w:tcW w:w="915" w:type="dxa"/>
            <w:tcBorders>
              <w:top w:val="single" w:sz="6" w:space="0" w:color="auto"/>
              <w:left w:val="single" w:sz="6" w:space="0" w:color="auto"/>
              <w:bottom w:val="single" w:sz="6" w:space="0" w:color="auto"/>
              <w:right w:val="single" w:sz="6" w:space="0" w:color="auto"/>
            </w:tcBorders>
          </w:tcPr>
          <w:p w14:paraId="6E6B6992" w14:textId="77777777" w:rsidR="006031D6" w:rsidRPr="006031D6" w:rsidRDefault="006031D6" w:rsidP="006031D6">
            <w:pPr>
              <w:pStyle w:val="Texttabulky"/>
              <w:spacing w:after="0" w:line="240" w:lineRule="atLeast"/>
              <w:rPr>
                <w:rFonts w:cs="Arial"/>
              </w:rPr>
            </w:pPr>
            <w:r w:rsidRPr="006031D6">
              <w:rPr>
                <w:rFonts w:cs="Arial"/>
              </w:rPr>
              <w:t>5 297 100</w:t>
            </w:r>
          </w:p>
        </w:tc>
        <w:tc>
          <w:tcPr>
            <w:tcW w:w="628" w:type="dxa"/>
            <w:tcBorders>
              <w:top w:val="single" w:sz="6" w:space="0" w:color="auto"/>
              <w:left w:val="single" w:sz="6" w:space="0" w:color="auto"/>
              <w:bottom w:val="single" w:sz="6" w:space="0" w:color="auto"/>
              <w:right w:val="single" w:sz="6" w:space="0" w:color="auto"/>
            </w:tcBorders>
          </w:tcPr>
          <w:p w14:paraId="29BDFBAE" w14:textId="77777777" w:rsidR="006031D6" w:rsidRPr="006031D6" w:rsidRDefault="006031D6" w:rsidP="006031D6">
            <w:pPr>
              <w:pStyle w:val="Texttabulky"/>
              <w:spacing w:after="0" w:line="240" w:lineRule="atLeast"/>
              <w:rPr>
                <w:rFonts w:cs="Arial"/>
              </w:rPr>
            </w:pPr>
            <w:r w:rsidRPr="006031D6">
              <w:rPr>
                <w:rFonts w:cs="Arial"/>
              </w:rPr>
              <w:t>168</w:t>
            </w:r>
          </w:p>
        </w:tc>
        <w:tc>
          <w:tcPr>
            <w:tcW w:w="930" w:type="dxa"/>
            <w:tcBorders>
              <w:top w:val="single" w:sz="6" w:space="0" w:color="auto"/>
              <w:left w:val="single" w:sz="6" w:space="0" w:color="auto"/>
              <w:bottom w:val="single" w:sz="6" w:space="0" w:color="auto"/>
              <w:right w:val="single" w:sz="6" w:space="0" w:color="auto"/>
            </w:tcBorders>
          </w:tcPr>
          <w:p w14:paraId="786CFC94" w14:textId="77777777" w:rsidR="006031D6" w:rsidRPr="006031D6" w:rsidRDefault="006031D6" w:rsidP="006031D6">
            <w:pPr>
              <w:pStyle w:val="Texttabulky"/>
              <w:spacing w:after="0" w:line="240" w:lineRule="atLeast"/>
              <w:rPr>
                <w:rFonts w:cs="Arial"/>
              </w:rPr>
            </w:pPr>
            <w:r w:rsidRPr="006031D6">
              <w:rPr>
                <w:rFonts w:cs="Arial"/>
              </w:rPr>
              <w:t>0</w:t>
            </w:r>
          </w:p>
        </w:tc>
        <w:tc>
          <w:tcPr>
            <w:tcW w:w="532" w:type="dxa"/>
            <w:tcBorders>
              <w:top w:val="single" w:sz="6" w:space="0" w:color="auto"/>
              <w:left w:val="single" w:sz="6" w:space="0" w:color="auto"/>
              <w:bottom w:val="single" w:sz="6" w:space="0" w:color="auto"/>
              <w:right w:val="single" w:sz="6" w:space="0" w:color="auto"/>
            </w:tcBorders>
          </w:tcPr>
          <w:p w14:paraId="0822A6B7" w14:textId="77777777" w:rsidR="006031D6" w:rsidRPr="006031D6" w:rsidRDefault="006031D6" w:rsidP="006031D6">
            <w:pPr>
              <w:pStyle w:val="Texttabulky"/>
              <w:spacing w:after="0" w:line="240" w:lineRule="atLeast"/>
              <w:rPr>
                <w:rFonts w:cs="Arial"/>
              </w:rPr>
            </w:pPr>
            <w:r w:rsidRPr="006031D6">
              <w:rPr>
                <w:rFonts w:cs="Arial"/>
              </w:rPr>
              <w:t>0</w:t>
            </w:r>
          </w:p>
        </w:tc>
        <w:tc>
          <w:tcPr>
            <w:tcW w:w="915" w:type="dxa"/>
            <w:tcBorders>
              <w:top w:val="single" w:sz="6" w:space="0" w:color="auto"/>
              <w:left w:val="single" w:sz="6" w:space="0" w:color="auto"/>
              <w:bottom w:val="single" w:sz="6" w:space="0" w:color="auto"/>
              <w:right w:val="single" w:sz="6" w:space="0" w:color="auto"/>
            </w:tcBorders>
          </w:tcPr>
          <w:p w14:paraId="34627227" w14:textId="77777777" w:rsidR="006031D6" w:rsidRPr="006031D6" w:rsidRDefault="006031D6" w:rsidP="006031D6">
            <w:pPr>
              <w:pStyle w:val="Texttabulky"/>
              <w:spacing w:after="0" w:line="240" w:lineRule="atLeast"/>
              <w:rPr>
                <w:rFonts w:cs="Arial"/>
              </w:rPr>
            </w:pPr>
            <w:r w:rsidRPr="006031D6">
              <w:rPr>
                <w:rFonts w:cs="Arial"/>
              </w:rPr>
              <w:t>2 894 512</w:t>
            </w:r>
          </w:p>
        </w:tc>
        <w:tc>
          <w:tcPr>
            <w:tcW w:w="655" w:type="dxa"/>
            <w:tcBorders>
              <w:top w:val="single" w:sz="6" w:space="0" w:color="auto"/>
              <w:left w:val="single" w:sz="6" w:space="0" w:color="auto"/>
              <w:bottom w:val="single" w:sz="6" w:space="0" w:color="auto"/>
              <w:right w:val="single" w:sz="6" w:space="0" w:color="auto"/>
            </w:tcBorders>
          </w:tcPr>
          <w:p w14:paraId="3FC21A6F" w14:textId="77777777" w:rsidR="006031D6" w:rsidRPr="006031D6" w:rsidRDefault="006031D6" w:rsidP="006031D6">
            <w:pPr>
              <w:pStyle w:val="Texttabulky"/>
              <w:spacing w:after="0" w:line="240" w:lineRule="atLeast"/>
              <w:rPr>
                <w:rFonts w:cs="Arial"/>
              </w:rPr>
            </w:pPr>
            <w:r w:rsidRPr="006031D6">
              <w:rPr>
                <w:rFonts w:cs="Arial"/>
              </w:rPr>
              <w:t>91,8</w:t>
            </w:r>
          </w:p>
        </w:tc>
        <w:tc>
          <w:tcPr>
            <w:tcW w:w="915" w:type="dxa"/>
            <w:tcBorders>
              <w:top w:val="single" w:sz="6" w:space="0" w:color="auto"/>
              <w:left w:val="single" w:sz="6" w:space="0" w:color="auto"/>
              <w:bottom w:val="single" w:sz="6" w:space="0" w:color="auto"/>
              <w:right w:val="single" w:sz="6" w:space="0" w:color="auto"/>
            </w:tcBorders>
          </w:tcPr>
          <w:p w14:paraId="147CED1E" w14:textId="77777777" w:rsidR="006031D6" w:rsidRPr="006031D6" w:rsidRDefault="006031D6" w:rsidP="006031D6">
            <w:pPr>
              <w:pStyle w:val="Texttabulky"/>
              <w:spacing w:after="0" w:line="240" w:lineRule="atLeast"/>
              <w:rPr>
                <w:rFonts w:cs="Arial"/>
              </w:rPr>
            </w:pPr>
            <w:r w:rsidRPr="006031D6">
              <w:rPr>
                <w:rFonts w:cs="Arial"/>
              </w:rPr>
              <w:t>2 032 602</w:t>
            </w:r>
          </w:p>
        </w:tc>
        <w:tc>
          <w:tcPr>
            <w:tcW w:w="930" w:type="dxa"/>
            <w:tcBorders>
              <w:top w:val="single" w:sz="6" w:space="0" w:color="auto"/>
              <w:left w:val="single" w:sz="6" w:space="0" w:color="auto"/>
              <w:bottom w:val="single" w:sz="6" w:space="0" w:color="auto"/>
              <w:right w:val="single" w:sz="6" w:space="0" w:color="auto"/>
            </w:tcBorders>
          </w:tcPr>
          <w:p w14:paraId="17A154BE" w14:textId="77777777" w:rsidR="006031D6" w:rsidRPr="006031D6" w:rsidRDefault="006031D6" w:rsidP="006031D6">
            <w:pPr>
              <w:pStyle w:val="Texttabulky"/>
              <w:spacing w:after="0" w:line="240" w:lineRule="atLeast"/>
              <w:rPr>
                <w:rFonts w:cs="Arial"/>
              </w:rPr>
            </w:pPr>
            <w:r w:rsidRPr="006031D6">
              <w:rPr>
                <w:rFonts w:cs="Arial"/>
              </w:rPr>
              <w:t>861 910</w:t>
            </w:r>
          </w:p>
        </w:tc>
      </w:tr>
      <w:tr w:rsidR="006031D6" w:rsidRPr="006031D6" w14:paraId="19AC79E3" w14:textId="77777777" w:rsidTr="002D2D45">
        <w:trPr>
          <w:jc w:val="center"/>
        </w:trPr>
        <w:tc>
          <w:tcPr>
            <w:tcW w:w="1186" w:type="dxa"/>
            <w:tcBorders>
              <w:top w:val="single" w:sz="6" w:space="0" w:color="auto"/>
              <w:left w:val="single" w:sz="6" w:space="0" w:color="auto"/>
              <w:bottom w:val="single" w:sz="6" w:space="0" w:color="auto"/>
              <w:right w:val="single" w:sz="6" w:space="0" w:color="auto"/>
            </w:tcBorders>
          </w:tcPr>
          <w:p w14:paraId="6D204F94" w14:textId="77777777" w:rsidR="006031D6" w:rsidRPr="006031D6" w:rsidRDefault="006031D6" w:rsidP="006031D6">
            <w:pPr>
              <w:pStyle w:val="Texttabulky"/>
              <w:spacing w:after="0" w:line="240" w:lineRule="atLeast"/>
              <w:rPr>
                <w:rFonts w:cs="Arial"/>
              </w:rPr>
            </w:pPr>
            <w:r w:rsidRPr="006031D6">
              <w:rPr>
                <w:rFonts w:cs="Arial"/>
                <w:b/>
                <w:bCs/>
              </w:rPr>
              <w:t>Arnoltice</w:t>
            </w:r>
          </w:p>
        </w:tc>
        <w:tc>
          <w:tcPr>
            <w:tcW w:w="915" w:type="dxa"/>
            <w:tcBorders>
              <w:top w:val="single" w:sz="6" w:space="0" w:color="auto"/>
              <w:left w:val="single" w:sz="6" w:space="0" w:color="auto"/>
              <w:bottom w:val="single" w:sz="6" w:space="0" w:color="auto"/>
              <w:right w:val="single" w:sz="6" w:space="0" w:color="auto"/>
            </w:tcBorders>
          </w:tcPr>
          <w:p w14:paraId="0B99DDD3" w14:textId="77777777" w:rsidR="006031D6" w:rsidRPr="006031D6" w:rsidRDefault="006031D6" w:rsidP="006031D6">
            <w:pPr>
              <w:pStyle w:val="Texttabulky"/>
              <w:spacing w:after="0" w:line="240" w:lineRule="atLeast"/>
              <w:rPr>
                <w:rFonts w:cs="Arial"/>
              </w:rPr>
            </w:pPr>
            <w:r w:rsidRPr="006031D6">
              <w:rPr>
                <w:rFonts w:cs="Arial"/>
              </w:rPr>
              <w:t>0</w:t>
            </w:r>
          </w:p>
        </w:tc>
        <w:tc>
          <w:tcPr>
            <w:tcW w:w="628" w:type="dxa"/>
            <w:tcBorders>
              <w:top w:val="single" w:sz="6" w:space="0" w:color="auto"/>
              <w:left w:val="single" w:sz="6" w:space="0" w:color="auto"/>
              <w:bottom w:val="single" w:sz="6" w:space="0" w:color="auto"/>
              <w:right w:val="single" w:sz="6" w:space="0" w:color="auto"/>
            </w:tcBorders>
          </w:tcPr>
          <w:p w14:paraId="28DFA146" w14:textId="77777777" w:rsidR="006031D6" w:rsidRPr="006031D6" w:rsidRDefault="006031D6" w:rsidP="006031D6">
            <w:pPr>
              <w:pStyle w:val="Texttabulky"/>
              <w:spacing w:after="0" w:line="240" w:lineRule="atLeast"/>
              <w:rPr>
                <w:rFonts w:cs="Arial"/>
              </w:rPr>
            </w:pPr>
            <w:r w:rsidRPr="006031D6">
              <w:rPr>
                <w:rFonts w:cs="Arial"/>
              </w:rPr>
              <w:t>0</w:t>
            </w:r>
          </w:p>
        </w:tc>
        <w:tc>
          <w:tcPr>
            <w:tcW w:w="930" w:type="dxa"/>
            <w:tcBorders>
              <w:top w:val="single" w:sz="6" w:space="0" w:color="auto"/>
              <w:left w:val="single" w:sz="6" w:space="0" w:color="auto"/>
              <w:bottom w:val="single" w:sz="6" w:space="0" w:color="auto"/>
              <w:right w:val="single" w:sz="6" w:space="0" w:color="auto"/>
            </w:tcBorders>
          </w:tcPr>
          <w:p w14:paraId="263AC80F" w14:textId="77777777" w:rsidR="006031D6" w:rsidRPr="006031D6" w:rsidRDefault="006031D6" w:rsidP="006031D6">
            <w:pPr>
              <w:pStyle w:val="Texttabulky"/>
              <w:spacing w:after="0" w:line="240" w:lineRule="atLeast"/>
              <w:rPr>
                <w:rFonts w:cs="Arial"/>
              </w:rPr>
            </w:pPr>
            <w:r w:rsidRPr="006031D6">
              <w:rPr>
                <w:rFonts w:cs="Arial"/>
              </w:rPr>
              <w:t>77 400</w:t>
            </w:r>
          </w:p>
        </w:tc>
        <w:tc>
          <w:tcPr>
            <w:tcW w:w="532" w:type="dxa"/>
            <w:tcBorders>
              <w:top w:val="single" w:sz="6" w:space="0" w:color="auto"/>
              <w:left w:val="single" w:sz="6" w:space="0" w:color="auto"/>
              <w:bottom w:val="single" w:sz="6" w:space="0" w:color="auto"/>
              <w:right w:val="single" w:sz="6" w:space="0" w:color="auto"/>
            </w:tcBorders>
          </w:tcPr>
          <w:p w14:paraId="3819A1D2" w14:textId="77777777" w:rsidR="006031D6" w:rsidRPr="006031D6" w:rsidRDefault="006031D6" w:rsidP="006031D6">
            <w:pPr>
              <w:pStyle w:val="Texttabulky"/>
              <w:spacing w:after="0" w:line="240" w:lineRule="atLeast"/>
              <w:rPr>
                <w:rFonts w:cs="Arial"/>
              </w:rPr>
            </w:pPr>
            <w:r w:rsidRPr="006031D6">
              <w:rPr>
                <w:rFonts w:cs="Arial"/>
              </w:rPr>
              <w:t>2,5</w:t>
            </w:r>
          </w:p>
        </w:tc>
        <w:tc>
          <w:tcPr>
            <w:tcW w:w="915" w:type="dxa"/>
            <w:tcBorders>
              <w:top w:val="single" w:sz="6" w:space="0" w:color="auto"/>
              <w:left w:val="single" w:sz="6" w:space="0" w:color="auto"/>
              <w:bottom w:val="single" w:sz="6" w:space="0" w:color="auto"/>
              <w:right w:val="single" w:sz="6" w:space="0" w:color="auto"/>
            </w:tcBorders>
          </w:tcPr>
          <w:p w14:paraId="4A61BBDF" w14:textId="77777777" w:rsidR="006031D6" w:rsidRPr="006031D6" w:rsidRDefault="006031D6" w:rsidP="006031D6">
            <w:pPr>
              <w:pStyle w:val="Texttabulky"/>
              <w:spacing w:after="0" w:line="240" w:lineRule="atLeast"/>
              <w:rPr>
                <w:rFonts w:cs="Arial"/>
              </w:rPr>
            </w:pPr>
            <w:r w:rsidRPr="006031D6">
              <w:rPr>
                <w:rFonts w:cs="Arial"/>
              </w:rPr>
              <w:t>67 777</w:t>
            </w:r>
          </w:p>
        </w:tc>
        <w:tc>
          <w:tcPr>
            <w:tcW w:w="655" w:type="dxa"/>
            <w:tcBorders>
              <w:top w:val="single" w:sz="6" w:space="0" w:color="auto"/>
              <w:left w:val="single" w:sz="6" w:space="0" w:color="auto"/>
              <w:bottom w:val="single" w:sz="6" w:space="0" w:color="auto"/>
              <w:right w:val="single" w:sz="6" w:space="0" w:color="auto"/>
            </w:tcBorders>
          </w:tcPr>
          <w:p w14:paraId="227137E6" w14:textId="77777777" w:rsidR="006031D6" w:rsidRPr="006031D6" w:rsidRDefault="006031D6" w:rsidP="006031D6">
            <w:pPr>
              <w:pStyle w:val="Texttabulky"/>
              <w:spacing w:after="0" w:line="240" w:lineRule="atLeast"/>
              <w:rPr>
                <w:rFonts w:cs="Arial"/>
              </w:rPr>
            </w:pPr>
            <w:r w:rsidRPr="006031D6">
              <w:rPr>
                <w:rFonts w:cs="Arial"/>
              </w:rPr>
              <w:t>2,1</w:t>
            </w:r>
          </w:p>
        </w:tc>
        <w:tc>
          <w:tcPr>
            <w:tcW w:w="915" w:type="dxa"/>
            <w:tcBorders>
              <w:top w:val="single" w:sz="6" w:space="0" w:color="auto"/>
              <w:left w:val="single" w:sz="6" w:space="0" w:color="auto"/>
              <w:bottom w:val="single" w:sz="6" w:space="0" w:color="auto"/>
              <w:right w:val="single" w:sz="6" w:space="0" w:color="auto"/>
            </w:tcBorders>
          </w:tcPr>
          <w:p w14:paraId="6C7A3CE2" w14:textId="77777777" w:rsidR="006031D6" w:rsidRPr="006031D6" w:rsidRDefault="006031D6" w:rsidP="006031D6">
            <w:pPr>
              <w:pStyle w:val="Texttabulky"/>
              <w:spacing w:after="0" w:line="240" w:lineRule="atLeast"/>
              <w:rPr>
                <w:rFonts w:cs="Arial"/>
              </w:rPr>
            </w:pPr>
            <w:r w:rsidRPr="006031D6">
              <w:rPr>
                <w:rFonts w:cs="Arial"/>
              </w:rPr>
              <w:t>54 476</w:t>
            </w:r>
          </w:p>
        </w:tc>
        <w:tc>
          <w:tcPr>
            <w:tcW w:w="930" w:type="dxa"/>
            <w:tcBorders>
              <w:top w:val="single" w:sz="6" w:space="0" w:color="auto"/>
              <w:left w:val="single" w:sz="6" w:space="0" w:color="auto"/>
              <w:bottom w:val="single" w:sz="6" w:space="0" w:color="auto"/>
              <w:right w:val="single" w:sz="6" w:space="0" w:color="auto"/>
            </w:tcBorders>
          </w:tcPr>
          <w:p w14:paraId="287E8B23" w14:textId="77777777" w:rsidR="006031D6" w:rsidRPr="006031D6" w:rsidRDefault="006031D6" w:rsidP="006031D6">
            <w:pPr>
              <w:pStyle w:val="Texttabulky"/>
              <w:spacing w:after="0" w:line="240" w:lineRule="atLeast"/>
              <w:rPr>
                <w:rFonts w:cs="Arial"/>
              </w:rPr>
            </w:pPr>
            <w:r w:rsidRPr="006031D6">
              <w:rPr>
                <w:rFonts w:cs="Arial"/>
              </w:rPr>
              <w:t>13 301</w:t>
            </w:r>
          </w:p>
        </w:tc>
      </w:tr>
      <w:tr w:rsidR="006031D6" w:rsidRPr="006031D6" w14:paraId="1677DFDA" w14:textId="77777777" w:rsidTr="002D2D45">
        <w:trPr>
          <w:jc w:val="center"/>
        </w:trPr>
        <w:tc>
          <w:tcPr>
            <w:tcW w:w="1186" w:type="dxa"/>
            <w:tcBorders>
              <w:top w:val="single" w:sz="6" w:space="0" w:color="auto"/>
              <w:left w:val="single" w:sz="6" w:space="0" w:color="auto"/>
              <w:bottom w:val="single" w:sz="6" w:space="0" w:color="auto"/>
              <w:right w:val="single" w:sz="6" w:space="0" w:color="auto"/>
            </w:tcBorders>
          </w:tcPr>
          <w:p w14:paraId="08CCA779" w14:textId="77777777" w:rsidR="006031D6" w:rsidRPr="006031D6" w:rsidRDefault="006031D6" w:rsidP="006031D6">
            <w:pPr>
              <w:pStyle w:val="Texttabulky"/>
              <w:spacing w:after="0" w:line="240" w:lineRule="atLeast"/>
              <w:rPr>
                <w:rFonts w:cs="Arial"/>
              </w:rPr>
            </w:pPr>
            <w:r w:rsidRPr="006031D6">
              <w:rPr>
                <w:rFonts w:cs="Arial"/>
                <w:b/>
                <w:bCs/>
              </w:rPr>
              <w:t>Boletice</w:t>
            </w:r>
          </w:p>
        </w:tc>
        <w:tc>
          <w:tcPr>
            <w:tcW w:w="915" w:type="dxa"/>
            <w:tcBorders>
              <w:top w:val="single" w:sz="6" w:space="0" w:color="auto"/>
              <w:left w:val="single" w:sz="6" w:space="0" w:color="auto"/>
              <w:bottom w:val="single" w:sz="6" w:space="0" w:color="auto"/>
              <w:right w:val="single" w:sz="6" w:space="0" w:color="auto"/>
            </w:tcBorders>
          </w:tcPr>
          <w:p w14:paraId="2E4194AA" w14:textId="77777777" w:rsidR="006031D6" w:rsidRPr="006031D6" w:rsidRDefault="006031D6" w:rsidP="006031D6">
            <w:pPr>
              <w:pStyle w:val="Texttabulky"/>
              <w:spacing w:after="0" w:line="240" w:lineRule="atLeast"/>
              <w:rPr>
                <w:rFonts w:cs="Arial"/>
              </w:rPr>
            </w:pPr>
            <w:r w:rsidRPr="006031D6">
              <w:rPr>
                <w:rFonts w:cs="Arial"/>
              </w:rPr>
              <w:t>53 100</w:t>
            </w:r>
          </w:p>
        </w:tc>
        <w:tc>
          <w:tcPr>
            <w:tcW w:w="628" w:type="dxa"/>
            <w:tcBorders>
              <w:top w:val="single" w:sz="6" w:space="0" w:color="auto"/>
              <w:left w:val="single" w:sz="6" w:space="0" w:color="auto"/>
              <w:bottom w:val="single" w:sz="6" w:space="0" w:color="auto"/>
              <w:right w:val="single" w:sz="6" w:space="0" w:color="auto"/>
            </w:tcBorders>
          </w:tcPr>
          <w:p w14:paraId="24F11114" w14:textId="77777777" w:rsidR="006031D6" w:rsidRPr="006031D6" w:rsidRDefault="006031D6" w:rsidP="006031D6">
            <w:pPr>
              <w:pStyle w:val="Texttabulky"/>
              <w:spacing w:after="0" w:line="240" w:lineRule="atLeast"/>
              <w:rPr>
                <w:rFonts w:cs="Arial"/>
              </w:rPr>
            </w:pPr>
            <w:r w:rsidRPr="006031D6">
              <w:rPr>
                <w:rFonts w:cs="Arial"/>
              </w:rPr>
              <w:t>1,7</w:t>
            </w:r>
          </w:p>
        </w:tc>
        <w:tc>
          <w:tcPr>
            <w:tcW w:w="930" w:type="dxa"/>
            <w:tcBorders>
              <w:top w:val="single" w:sz="6" w:space="0" w:color="auto"/>
              <w:left w:val="single" w:sz="6" w:space="0" w:color="auto"/>
              <w:bottom w:val="single" w:sz="6" w:space="0" w:color="auto"/>
              <w:right w:val="single" w:sz="6" w:space="0" w:color="auto"/>
            </w:tcBorders>
          </w:tcPr>
          <w:p w14:paraId="4F290581" w14:textId="77777777" w:rsidR="006031D6" w:rsidRPr="006031D6" w:rsidRDefault="006031D6" w:rsidP="006031D6">
            <w:pPr>
              <w:pStyle w:val="Texttabulky"/>
              <w:spacing w:after="0" w:line="240" w:lineRule="atLeast"/>
              <w:rPr>
                <w:rFonts w:cs="Arial"/>
              </w:rPr>
            </w:pPr>
            <w:r w:rsidRPr="006031D6">
              <w:rPr>
                <w:rFonts w:cs="Arial"/>
              </w:rPr>
              <w:t>312 400</w:t>
            </w:r>
          </w:p>
        </w:tc>
        <w:tc>
          <w:tcPr>
            <w:tcW w:w="532" w:type="dxa"/>
            <w:tcBorders>
              <w:top w:val="single" w:sz="6" w:space="0" w:color="auto"/>
              <w:left w:val="single" w:sz="6" w:space="0" w:color="auto"/>
              <w:bottom w:val="single" w:sz="6" w:space="0" w:color="auto"/>
              <w:right w:val="single" w:sz="6" w:space="0" w:color="auto"/>
            </w:tcBorders>
          </w:tcPr>
          <w:p w14:paraId="73C50C83" w14:textId="77777777" w:rsidR="006031D6" w:rsidRPr="006031D6" w:rsidRDefault="006031D6" w:rsidP="006031D6">
            <w:pPr>
              <w:pStyle w:val="Texttabulky"/>
              <w:spacing w:after="0" w:line="240" w:lineRule="atLeast"/>
              <w:rPr>
                <w:rFonts w:cs="Arial"/>
              </w:rPr>
            </w:pPr>
            <w:r w:rsidRPr="006031D6">
              <w:rPr>
                <w:rFonts w:cs="Arial"/>
              </w:rPr>
              <w:t>9,9</w:t>
            </w:r>
          </w:p>
        </w:tc>
        <w:tc>
          <w:tcPr>
            <w:tcW w:w="915" w:type="dxa"/>
            <w:tcBorders>
              <w:top w:val="single" w:sz="6" w:space="0" w:color="auto"/>
              <w:left w:val="single" w:sz="6" w:space="0" w:color="auto"/>
              <w:bottom w:val="single" w:sz="6" w:space="0" w:color="auto"/>
              <w:right w:val="single" w:sz="6" w:space="0" w:color="auto"/>
            </w:tcBorders>
          </w:tcPr>
          <w:p w14:paraId="697DF7F2" w14:textId="77777777" w:rsidR="006031D6" w:rsidRPr="006031D6" w:rsidRDefault="006031D6" w:rsidP="006031D6">
            <w:pPr>
              <w:pStyle w:val="Texttabulky"/>
              <w:spacing w:after="0" w:line="240" w:lineRule="atLeast"/>
              <w:rPr>
                <w:rFonts w:cs="Arial"/>
              </w:rPr>
            </w:pPr>
            <w:r w:rsidRPr="006031D6">
              <w:rPr>
                <w:rFonts w:cs="Arial"/>
              </w:rPr>
              <w:t>343 643</w:t>
            </w:r>
          </w:p>
        </w:tc>
        <w:tc>
          <w:tcPr>
            <w:tcW w:w="655" w:type="dxa"/>
            <w:tcBorders>
              <w:top w:val="single" w:sz="6" w:space="0" w:color="auto"/>
              <w:left w:val="single" w:sz="6" w:space="0" w:color="auto"/>
              <w:bottom w:val="single" w:sz="6" w:space="0" w:color="auto"/>
              <w:right w:val="single" w:sz="6" w:space="0" w:color="auto"/>
            </w:tcBorders>
          </w:tcPr>
          <w:p w14:paraId="209DF095" w14:textId="77777777" w:rsidR="006031D6" w:rsidRPr="006031D6" w:rsidRDefault="006031D6" w:rsidP="006031D6">
            <w:pPr>
              <w:pStyle w:val="Texttabulky"/>
              <w:spacing w:after="0" w:line="240" w:lineRule="atLeast"/>
              <w:rPr>
                <w:rFonts w:cs="Arial"/>
              </w:rPr>
            </w:pPr>
            <w:r w:rsidRPr="006031D6">
              <w:rPr>
                <w:rFonts w:cs="Arial"/>
              </w:rPr>
              <w:t>10,9</w:t>
            </w:r>
          </w:p>
        </w:tc>
        <w:tc>
          <w:tcPr>
            <w:tcW w:w="915" w:type="dxa"/>
            <w:tcBorders>
              <w:top w:val="single" w:sz="6" w:space="0" w:color="auto"/>
              <w:left w:val="single" w:sz="6" w:space="0" w:color="auto"/>
              <w:bottom w:val="single" w:sz="6" w:space="0" w:color="auto"/>
              <w:right w:val="single" w:sz="6" w:space="0" w:color="auto"/>
            </w:tcBorders>
          </w:tcPr>
          <w:p w14:paraId="66234CA8" w14:textId="77777777" w:rsidR="006031D6" w:rsidRPr="006031D6" w:rsidRDefault="006031D6" w:rsidP="006031D6">
            <w:pPr>
              <w:pStyle w:val="Texttabulky"/>
              <w:spacing w:after="0" w:line="240" w:lineRule="atLeast"/>
              <w:rPr>
                <w:rFonts w:cs="Arial"/>
              </w:rPr>
            </w:pPr>
            <w:r w:rsidRPr="006031D6">
              <w:rPr>
                <w:rFonts w:cs="Arial"/>
              </w:rPr>
              <w:t>285 339</w:t>
            </w:r>
          </w:p>
        </w:tc>
        <w:tc>
          <w:tcPr>
            <w:tcW w:w="930" w:type="dxa"/>
            <w:tcBorders>
              <w:top w:val="single" w:sz="6" w:space="0" w:color="auto"/>
              <w:left w:val="single" w:sz="6" w:space="0" w:color="auto"/>
              <w:bottom w:val="single" w:sz="6" w:space="0" w:color="auto"/>
              <w:right w:val="single" w:sz="6" w:space="0" w:color="auto"/>
            </w:tcBorders>
          </w:tcPr>
          <w:p w14:paraId="7340C2A3" w14:textId="77777777" w:rsidR="006031D6" w:rsidRPr="006031D6" w:rsidRDefault="006031D6" w:rsidP="006031D6">
            <w:pPr>
              <w:pStyle w:val="Texttabulky"/>
              <w:spacing w:after="0" w:line="240" w:lineRule="atLeast"/>
              <w:rPr>
                <w:rFonts w:cs="Arial"/>
              </w:rPr>
            </w:pPr>
            <w:r w:rsidRPr="006031D6">
              <w:rPr>
                <w:rFonts w:cs="Arial"/>
              </w:rPr>
              <w:t>58 304</w:t>
            </w:r>
          </w:p>
        </w:tc>
      </w:tr>
      <w:tr w:rsidR="006031D6" w:rsidRPr="006031D6" w14:paraId="1979420E" w14:textId="77777777" w:rsidTr="002D2D45">
        <w:trPr>
          <w:jc w:val="center"/>
        </w:trPr>
        <w:tc>
          <w:tcPr>
            <w:tcW w:w="1186" w:type="dxa"/>
            <w:tcBorders>
              <w:top w:val="single" w:sz="6" w:space="0" w:color="auto"/>
              <w:left w:val="single" w:sz="6" w:space="0" w:color="auto"/>
              <w:bottom w:val="single" w:sz="6" w:space="0" w:color="auto"/>
              <w:right w:val="single" w:sz="6" w:space="0" w:color="auto"/>
            </w:tcBorders>
          </w:tcPr>
          <w:p w14:paraId="0FD372C2" w14:textId="77777777" w:rsidR="006031D6" w:rsidRPr="006031D6" w:rsidRDefault="006031D6" w:rsidP="006031D6">
            <w:pPr>
              <w:pStyle w:val="Texttabulky"/>
              <w:spacing w:after="0" w:line="240" w:lineRule="atLeast"/>
              <w:rPr>
                <w:rFonts w:cs="Arial"/>
              </w:rPr>
            </w:pPr>
            <w:r w:rsidRPr="006031D6">
              <w:rPr>
                <w:rFonts w:cs="Arial"/>
                <w:b/>
                <w:bCs/>
              </w:rPr>
              <w:t>Kámen</w:t>
            </w:r>
          </w:p>
        </w:tc>
        <w:tc>
          <w:tcPr>
            <w:tcW w:w="915" w:type="dxa"/>
            <w:tcBorders>
              <w:top w:val="single" w:sz="6" w:space="0" w:color="auto"/>
              <w:left w:val="single" w:sz="6" w:space="0" w:color="auto"/>
              <w:bottom w:val="single" w:sz="6" w:space="0" w:color="auto"/>
              <w:right w:val="single" w:sz="6" w:space="0" w:color="auto"/>
            </w:tcBorders>
          </w:tcPr>
          <w:p w14:paraId="3DE637AC" w14:textId="77777777" w:rsidR="006031D6" w:rsidRPr="006031D6" w:rsidRDefault="006031D6" w:rsidP="006031D6">
            <w:pPr>
              <w:pStyle w:val="Texttabulky"/>
              <w:spacing w:after="0" w:line="240" w:lineRule="atLeast"/>
              <w:rPr>
                <w:rFonts w:cs="Arial"/>
              </w:rPr>
            </w:pPr>
            <w:r w:rsidRPr="006031D6">
              <w:rPr>
                <w:rFonts w:cs="Arial"/>
              </w:rPr>
              <w:t>0</w:t>
            </w:r>
          </w:p>
        </w:tc>
        <w:tc>
          <w:tcPr>
            <w:tcW w:w="628" w:type="dxa"/>
            <w:tcBorders>
              <w:top w:val="single" w:sz="6" w:space="0" w:color="auto"/>
              <w:left w:val="single" w:sz="6" w:space="0" w:color="auto"/>
              <w:bottom w:val="single" w:sz="6" w:space="0" w:color="auto"/>
              <w:right w:val="single" w:sz="6" w:space="0" w:color="auto"/>
            </w:tcBorders>
          </w:tcPr>
          <w:p w14:paraId="43F287FE" w14:textId="77777777" w:rsidR="006031D6" w:rsidRPr="006031D6" w:rsidRDefault="006031D6" w:rsidP="006031D6">
            <w:pPr>
              <w:pStyle w:val="Texttabulky"/>
              <w:spacing w:after="0" w:line="240" w:lineRule="atLeast"/>
              <w:rPr>
                <w:rFonts w:cs="Arial"/>
              </w:rPr>
            </w:pPr>
            <w:r w:rsidRPr="006031D6">
              <w:rPr>
                <w:rFonts w:cs="Arial"/>
              </w:rPr>
              <w:t>0</w:t>
            </w:r>
          </w:p>
        </w:tc>
        <w:tc>
          <w:tcPr>
            <w:tcW w:w="930" w:type="dxa"/>
            <w:tcBorders>
              <w:top w:val="single" w:sz="6" w:space="0" w:color="auto"/>
              <w:left w:val="single" w:sz="6" w:space="0" w:color="auto"/>
              <w:bottom w:val="single" w:sz="6" w:space="0" w:color="auto"/>
              <w:right w:val="single" w:sz="6" w:space="0" w:color="auto"/>
            </w:tcBorders>
          </w:tcPr>
          <w:p w14:paraId="4A57F231" w14:textId="77777777" w:rsidR="006031D6" w:rsidRPr="006031D6" w:rsidRDefault="006031D6" w:rsidP="006031D6">
            <w:pPr>
              <w:pStyle w:val="Texttabulky"/>
              <w:spacing w:after="0" w:line="240" w:lineRule="atLeast"/>
              <w:rPr>
                <w:rFonts w:cs="Arial"/>
              </w:rPr>
            </w:pPr>
            <w:r w:rsidRPr="006031D6">
              <w:rPr>
                <w:rFonts w:cs="Arial"/>
              </w:rPr>
              <w:t>7 300</w:t>
            </w:r>
          </w:p>
        </w:tc>
        <w:tc>
          <w:tcPr>
            <w:tcW w:w="532" w:type="dxa"/>
            <w:tcBorders>
              <w:top w:val="single" w:sz="6" w:space="0" w:color="auto"/>
              <w:left w:val="single" w:sz="6" w:space="0" w:color="auto"/>
              <w:bottom w:val="single" w:sz="6" w:space="0" w:color="auto"/>
              <w:right w:val="single" w:sz="6" w:space="0" w:color="auto"/>
            </w:tcBorders>
          </w:tcPr>
          <w:p w14:paraId="2AF31041" w14:textId="77777777" w:rsidR="006031D6" w:rsidRPr="006031D6" w:rsidRDefault="006031D6" w:rsidP="006031D6">
            <w:pPr>
              <w:pStyle w:val="Texttabulky"/>
              <w:spacing w:after="0" w:line="240" w:lineRule="atLeast"/>
              <w:rPr>
                <w:rFonts w:cs="Arial"/>
              </w:rPr>
            </w:pPr>
            <w:r w:rsidRPr="006031D6">
              <w:rPr>
                <w:rFonts w:cs="Arial"/>
              </w:rPr>
              <w:t>0,2</w:t>
            </w:r>
          </w:p>
        </w:tc>
        <w:tc>
          <w:tcPr>
            <w:tcW w:w="915" w:type="dxa"/>
            <w:tcBorders>
              <w:top w:val="single" w:sz="6" w:space="0" w:color="auto"/>
              <w:left w:val="single" w:sz="6" w:space="0" w:color="auto"/>
              <w:bottom w:val="single" w:sz="6" w:space="0" w:color="auto"/>
              <w:right w:val="single" w:sz="6" w:space="0" w:color="auto"/>
            </w:tcBorders>
          </w:tcPr>
          <w:p w14:paraId="49C347E8" w14:textId="77777777" w:rsidR="006031D6" w:rsidRPr="006031D6" w:rsidRDefault="006031D6" w:rsidP="006031D6">
            <w:pPr>
              <w:pStyle w:val="Texttabulky"/>
              <w:spacing w:after="0" w:line="240" w:lineRule="atLeast"/>
              <w:rPr>
                <w:rFonts w:cs="Arial"/>
              </w:rPr>
            </w:pPr>
            <w:r w:rsidRPr="006031D6">
              <w:rPr>
                <w:rFonts w:cs="Arial"/>
              </w:rPr>
              <w:t>5 937</w:t>
            </w:r>
          </w:p>
        </w:tc>
        <w:tc>
          <w:tcPr>
            <w:tcW w:w="655" w:type="dxa"/>
            <w:tcBorders>
              <w:top w:val="single" w:sz="6" w:space="0" w:color="auto"/>
              <w:left w:val="single" w:sz="6" w:space="0" w:color="auto"/>
              <w:bottom w:val="single" w:sz="6" w:space="0" w:color="auto"/>
              <w:right w:val="single" w:sz="6" w:space="0" w:color="auto"/>
            </w:tcBorders>
          </w:tcPr>
          <w:p w14:paraId="63AA7542" w14:textId="77777777" w:rsidR="006031D6" w:rsidRPr="006031D6" w:rsidRDefault="006031D6" w:rsidP="006031D6">
            <w:pPr>
              <w:pStyle w:val="Texttabulky"/>
              <w:spacing w:after="0" w:line="240" w:lineRule="atLeast"/>
              <w:rPr>
                <w:rFonts w:cs="Arial"/>
              </w:rPr>
            </w:pPr>
            <w:r w:rsidRPr="006031D6">
              <w:rPr>
                <w:rFonts w:cs="Arial"/>
              </w:rPr>
              <w:t>0,2</w:t>
            </w:r>
          </w:p>
        </w:tc>
        <w:tc>
          <w:tcPr>
            <w:tcW w:w="915" w:type="dxa"/>
            <w:tcBorders>
              <w:top w:val="single" w:sz="6" w:space="0" w:color="auto"/>
              <w:left w:val="single" w:sz="6" w:space="0" w:color="auto"/>
              <w:bottom w:val="single" w:sz="6" w:space="0" w:color="auto"/>
              <w:right w:val="single" w:sz="6" w:space="0" w:color="auto"/>
            </w:tcBorders>
          </w:tcPr>
          <w:p w14:paraId="1D6146FC" w14:textId="77777777" w:rsidR="006031D6" w:rsidRPr="006031D6" w:rsidRDefault="006031D6" w:rsidP="006031D6">
            <w:pPr>
              <w:pStyle w:val="Texttabulky"/>
              <w:spacing w:after="0" w:line="240" w:lineRule="atLeast"/>
              <w:rPr>
                <w:rFonts w:cs="Arial"/>
              </w:rPr>
            </w:pPr>
            <w:r w:rsidRPr="006031D6">
              <w:rPr>
                <w:rFonts w:cs="Arial"/>
              </w:rPr>
              <w:t>5 763</w:t>
            </w:r>
          </w:p>
        </w:tc>
        <w:tc>
          <w:tcPr>
            <w:tcW w:w="930" w:type="dxa"/>
            <w:tcBorders>
              <w:top w:val="single" w:sz="6" w:space="0" w:color="auto"/>
              <w:left w:val="single" w:sz="6" w:space="0" w:color="auto"/>
              <w:bottom w:val="single" w:sz="6" w:space="0" w:color="auto"/>
              <w:right w:val="single" w:sz="6" w:space="0" w:color="auto"/>
            </w:tcBorders>
          </w:tcPr>
          <w:p w14:paraId="37ECFB80" w14:textId="77777777" w:rsidR="006031D6" w:rsidRPr="006031D6" w:rsidRDefault="006031D6" w:rsidP="006031D6">
            <w:pPr>
              <w:pStyle w:val="Texttabulky"/>
              <w:spacing w:after="0" w:line="240" w:lineRule="atLeast"/>
              <w:rPr>
                <w:rFonts w:cs="Arial"/>
              </w:rPr>
            </w:pPr>
            <w:r w:rsidRPr="006031D6">
              <w:rPr>
                <w:rFonts w:cs="Arial"/>
              </w:rPr>
              <w:t>174</w:t>
            </w:r>
          </w:p>
        </w:tc>
      </w:tr>
      <w:tr w:rsidR="006031D6" w:rsidRPr="006031D6" w14:paraId="3F7FB44A" w14:textId="77777777" w:rsidTr="002D2D45">
        <w:trPr>
          <w:jc w:val="center"/>
        </w:trPr>
        <w:tc>
          <w:tcPr>
            <w:tcW w:w="1186" w:type="dxa"/>
            <w:tcBorders>
              <w:top w:val="single" w:sz="6" w:space="0" w:color="auto"/>
              <w:left w:val="single" w:sz="6" w:space="0" w:color="auto"/>
              <w:bottom w:val="single" w:sz="6" w:space="0" w:color="auto"/>
              <w:right w:val="single" w:sz="6" w:space="0" w:color="auto"/>
            </w:tcBorders>
          </w:tcPr>
          <w:p w14:paraId="5BE7E3C8" w14:textId="77777777" w:rsidR="006031D6" w:rsidRPr="006031D6" w:rsidRDefault="006031D6" w:rsidP="006031D6">
            <w:pPr>
              <w:pStyle w:val="Texttabulky"/>
              <w:spacing w:after="0" w:line="240" w:lineRule="atLeast"/>
              <w:rPr>
                <w:rFonts w:cs="Arial"/>
              </w:rPr>
            </w:pPr>
            <w:r w:rsidRPr="006031D6">
              <w:rPr>
                <w:rFonts w:cs="Arial"/>
                <w:b/>
                <w:bCs/>
              </w:rPr>
              <w:t>Březiny</w:t>
            </w:r>
          </w:p>
        </w:tc>
        <w:tc>
          <w:tcPr>
            <w:tcW w:w="915" w:type="dxa"/>
            <w:tcBorders>
              <w:top w:val="single" w:sz="6" w:space="0" w:color="auto"/>
              <w:left w:val="single" w:sz="6" w:space="0" w:color="auto"/>
              <w:bottom w:val="single" w:sz="6" w:space="0" w:color="auto"/>
              <w:right w:val="single" w:sz="6" w:space="0" w:color="auto"/>
            </w:tcBorders>
          </w:tcPr>
          <w:p w14:paraId="6A1A618C" w14:textId="77777777" w:rsidR="006031D6" w:rsidRPr="006031D6" w:rsidRDefault="006031D6" w:rsidP="006031D6">
            <w:pPr>
              <w:pStyle w:val="Texttabulky"/>
              <w:spacing w:after="0" w:line="240" w:lineRule="atLeast"/>
              <w:rPr>
                <w:rFonts w:cs="Arial"/>
              </w:rPr>
            </w:pPr>
            <w:r w:rsidRPr="006031D6">
              <w:rPr>
                <w:rFonts w:cs="Arial"/>
              </w:rPr>
              <w:t>31 500</w:t>
            </w:r>
          </w:p>
        </w:tc>
        <w:tc>
          <w:tcPr>
            <w:tcW w:w="628" w:type="dxa"/>
            <w:tcBorders>
              <w:top w:val="single" w:sz="6" w:space="0" w:color="auto"/>
              <w:left w:val="single" w:sz="6" w:space="0" w:color="auto"/>
              <w:bottom w:val="single" w:sz="6" w:space="0" w:color="auto"/>
              <w:right w:val="single" w:sz="6" w:space="0" w:color="auto"/>
            </w:tcBorders>
          </w:tcPr>
          <w:p w14:paraId="111D154C" w14:textId="77777777" w:rsidR="006031D6" w:rsidRPr="006031D6" w:rsidRDefault="006031D6" w:rsidP="006031D6">
            <w:pPr>
              <w:pStyle w:val="Texttabulky"/>
              <w:spacing w:after="0" w:line="240" w:lineRule="atLeast"/>
              <w:rPr>
                <w:rFonts w:cs="Arial"/>
              </w:rPr>
            </w:pPr>
            <w:r w:rsidRPr="006031D6">
              <w:rPr>
                <w:rFonts w:cs="Arial"/>
              </w:rPr>
              <w:t>1</w:t>
            </w:r>
          </w:p>
        </w:tc>
        <w:tc>
          <w:tcPr>
            <w:tcW w:w="930" w:type="dxa"/>
            <w:tcBorders>
              <w:top w:val="single" w:sz="6" w:space="0" w:color="auto"/>
              <w:left w:val="single" w:sz="6" w:space="0" w:color="auto"/>
              <w:bottom w:val="single" w:sz="6" w:space="0" w:color="auto"/>
              <w:right w:val="single" w:sz="6" w:space="0" w:color="auto"/>
            </w:tcBorders>
          </w:tcPr>
          <w:p w14:paraId="23C6CB7E" w14:textId="77777777" w:rsidR="006031D6" w:rsidRPr="006031D6" w:rsidRDefault="006031D6" w:rsidP="006031D6">
            <w:pPr>
              <w:pStyle w:val="Texttabulky"/>
              <w:spacing w:after="0" w:line="240" w:lineRule="atLeast"/>
              <w:rPr>
                <w:rFonts w:cs="Arial"/>
              </w:rPr>
            </w:pPr>
            <w:r w:rsidRPr="006031D6">
              <w:rPr>
                <w:rFonts w:cs="Arial"/>
              </w:rPr>
              <w:t>58 900</w:t>
            </w:r>
          </w:p>
        </w:tc>
        <w:tc>
          <w:tcPr>
            <w:tcW w:w="532" w:type="dxa"/>
            <w:tcBorders>
              <w:top w:val="single" w:sz="6" w:space="0" w:color="auto"/>
              <w:left w:val="single" w:sz="6" w:space="0" w:color="auto"/>
              <w:bottom w:val="single" w:sz="6" w:space="0" w:color="auto"/>
              <w:right w:val="single" w:sz="6" w:space="0" w:color="auto"/>
            </w:tcBorders>
          </w:tcPr>
          <w:p w14:paraId="1C79742C" w14:textId="77777777" w:rsidR="006031D6" w:rsidRPr="006031D6" w:rsidRDefault="006031D6" w:rsidP="006031D6">
            <w:pPr>
              <w:pStyle w:val="Texttabulky"/>
              <w:spacing w:after="0" w:line="240" w:lineRule="atLeast"/>
              <w:rPr>
                <w:rFonts w:cs="Arial"/>
              </w:rPr>
            </w:pPr>
            <w:r w:rsidRPr="006031D6">
              <w:rPr>
                <w:rFonts w:cs="Arial"/>
              </w:rPr>
              <w:t>1,9</w:t>
            </w:r>
          </w:p>
        </w:tc>
        <w:tc>
          <w:tcPr>
            <w:tcW w:w="915" w:type="dxa"/>
            <w:tcBorders>
              <w:top w:val="single" w:sz="6" w:space="0" w:color="auto"/>
              <w:left w:val="single" w:sz="6" w:space="0" w:color="auto"/>
              <w:bottom w:val="single" w:sz="6" w:space="0" w:color="auto"/>
              <w:right w:val="single" w:sz="6" w:space="0" w:color="auto"/>
            </w:tcBorders>
          </w:tcPr>
          <w:p w14:paraId="7A6A75D3" w14:textId="77777777" w:rsidR="006031D6" w:rsidRPr="006031D6" w:rsidRDefault="006031D6" w:rsidP="006031D6">
            <w:pPr>
              <w:pStyle w:val="Texttabulky"/>
              <w:spacing w:after="0" w:line="240" w:lineRule="atLeast"/>
              <w:rPr>
                <w:rFonts w:cs="Arial"/>
              </w:rPr>
            </w:pPr>
            <w:r w:rsidRPr="006031D6">
              <w:rPr>
                <w:rFonts w:cs="Arial"/>
              </w:rPr>
              <w:t>74 970</w:t>
            </w:r>
          </w:p>
        </w:tc>
        <w:tc>
          <w:tcPr>
            <w:tcW w:w="655" w:type="dxa"/>
            <w:tcBorders>
              <w:top w:val="single" w:sz="6" w:space="0" w:color="auto"/>
              <w:left w:val="single" w:sz="6" w:space="0" w:color="auto"/>
              <w:bottom w:val="single" w:sz="6" w:space="0" w:color="auto"/>
              <w:right w:val="single" w:sz="6" w:space="0" w:color="auto"/>
            </w:tcBorders>
          </w:tcPr>
          <w:p w14:paraId="6137288B" w14:textId="77777777" w:rsidR="006031D6" w:rsidRPr="006031D6" w:rsidRDefault="006031D6" w:rsidP="006031D6">
            <w:pPr>
              <w:pStyle w:val="Texttabulky"/>
              <w:spacing w:after="0" w:line="240" w:lineRule="atLeast"/>
              <w:rPr>
                <w:rFonts w:cs="Arial"/>
              </w:rPr>
            </w:pPr>
            <w:r w:rsidRPr="006031D6">
              <w:rPr>
                <w:rFonts w:cs="Arial"/>
              </w:rPr>
              <w:t>2,4</w:t>
            </w:r>
          </w:p>
        </w:tc>
        <w:tc>
          <w:tcPr>
            <w:tcW w:w="915" w:type="dxa"/>
            <w:tcBorders>
              <w:top w:val="single" w:sz="6" w:space="0" w:color="auto"/>
              <w:left w:val="single" w:sz="6" w:space="0" w:color="auto"/>
              <w:bottom w:val="single" w:sz="6" w:space="0" w:color="auto"/>
              <w:right w:val="single" w:sz="6" w:space="0" w:color="auto"/>
            </w:tcBorders>
          </w:tcPr>
          <w:p w14:paraId="1C1B574E" w14:textId="77777777" w:rsidR="006031D6" w:rsidRPr="006031D6" w:rsidRDefault="006031D6" w:rsidP="006031D6">
            <w:pPr>
              <w:pStyle w:val="Texttabulky"/>
              <w:spacing w:after="0" w:line="240" w:lineRule="atLeast"/>
              <w:rPr>
                <w:rFonts w:cs="Arial"/>
              </w:rPr>
            </w:pPr>
            <w:r w:rsidRPr="006031D6">
              <w:rPr>
                <w:rFonts w:cs="Arial"/>
              </w:rPr>
              <w:t>62 344</w:t>
            </w:r>
          </w:p>
        </w:tc>
        <w:tc>
          <w:tcPr>
            <w:tcW w:w="930" w:type="dxa"/>
            <w:tcBorders>
              <w:top w:val="single" w:sz="6" w:space="0" w:color="auto"/>
              <w:left w:val="single" w:sz="6" w:space="0" w:color="auto"/>
              <w:bottom w:val="single" w:sz="6" w:space="0" w:color="auto"/>
              <w:right w:val="single" w:sz="6" w:space="0" w:color="auto"/>
            </w:tcBorders>
          </w:tcPr>
          <w:p w14:paraId="5FF11A02" w14:textId="77777777" w:rsidR="006031D6" w:rsidRPr="006031D6" w:rsidRDefault="006031D6" w:rsidP="006031D6">
            <w:pPr>
              <w:pStyle w:val="Texttabulky"/>
              <w:spacing w:after="0" w:line="240" w:lineRule="atLeast"/>
              <w:rPr>
                <w:rFonts w:cs="Arial"/>
              </w:rPr>
            </w:pPr>
            <w:r w:rsidRPr="006031D6">
              <w:rPr>
                <w:rFonts w:cs="Arial"/>
              </w:rPr>
              <w:t>12 626</w:t>
            </w:r>
          </w:p>
        </w:tc>
      </w:tr>
      <w:tr w:rsidR="006031D6" w:rsidRPr="006031D6" w14:paraId="1FB96211" w14:textId="77777777" w:rsidTr="002D2D45">
        <w:trPr>
          <w:jc w:val="center"/>
        </w:trPr>
        <w:tc>
          <w:tcPr>
            <w:tcW w:w="1186" w:type="dxa"/>
            <w:tcBorders>
              <w:top w:val="single" w:sz="6" w:space="0" w:color="auto"/>
              <w:left w:val="single" w:sz="6" w:space="0" w:color="auto"/>
              <w:bottom w:val="single" w:sz="6" w:space="0" w:color="auto"/>
              <w:right w:val="single" w:sz="6" w:space="0" w:color="auto"/>
            </w:tcBorders>
          </w:tcPr>
          <w:p w14:paraId="21345480" w14:textId="77777777" w:rsidR="006031D6" w:rsidRPr="006031D6" w:rsidRDefault="006031D6" w:rsidP="006031D6">
            <w:pPr>
              <w:pStyle w:val="Texttabulky"/>
              <w:spacing w:after="0" w:line="240" w:lineRule="atLeast"/>
              <w:rPr>
                <w:rFonts w:cs="Arial"/>
              </w:rPr>
            </w:pPr>
            <w:r w:rsidRPr="006031D6">
              <w:rPr>
                <w:rFonts w:cs="Arial"/>
                <w:b/>
                <w:bCs/>
              </w:rPr>
              <w:t>Folknáře</w:t>
            </w:r>
          </w:p>
        </w:tc>
        <w:tc>
          <w:tcPr>
            <w:tcW w:w="915" w:type="dxa"/>
            <w:tcBorders>
              <w:top w:val="single" w:sz="6" w:space="0" w:color="auto"/>
              <w:left w:val="single" w:sz="6" w:space="0" w:color="auto"/>
              <w:bottom w:val="single" w:sz="6" w:space="0" w:color="auto"/>
              <w:right w:val="single" w:sz="6" w:space="0" w:color="auto"/>
            </w:tcBorders>
          </w:tcPr>
          <w:p w14:paraId="6F9A6F44" w14:textId="77777777" w:rsidR="006031D6" w:rsidRPr="006031D6" w:rsidRDefault="006031D6" w:rsidP="006031D6">
            <w:pPr>
              <w:pStyle w:val="Texttabulky"/>
              <w:spacing w:after="0" w:line="240" w:lineRule="atLeast"/>
              <w:rPr>
                <w:rFonts w:cs="Arial"/>
              </w:rPr>
            </w:pPr>
            <w:r w:rsidRPr="006031D6">
              <w:rPr>
                <w:rFonts w:cs="Arial"/>
              </w:rPr>
              <w:t>4 300</w:t>
            </w:r>
          </w:p>
        </w:tc>
        <w:tc>
          <w:tcPr>
            <w:tcW w:w="628" w:type="dxa"/>
            <w:tcBorders>
              <w:top w:val="single" w:sz="6" w:space="0" w:color="auto"/>
              <w:left w:val="single" w:sz="6" w:space="0" w:color="auto"/>
              <w:bottom w:val="single" w:sz="6" w:space="0" w:color="auto"/>
              <w:right w:val="single" w:sz="6" w:space="0" w:color="auto"/>
            </w:tcBorders>
          </w:tcPr>
          <w:p w14:paraId="12AB6975" w14:textId="77777777" w:rsidR="006031D6" w:rsidRPr="006031D6" w:rsidRDefault="006031D6" w:rsidP="006031D6">
            <w:pPr>
              <w:pStyle w:val="Texttabulky"/>
              <w:spacing w:after="0" w:line="240" w:lineRule="atLeast"/>
              <w:rPr>
                <w:rFonts w:cs="Arial"/>
              </w:rPr>
            </w:pPr>
            <w:r w:rsidRPr="006031D6">
              <w:rPr>
                <w:rFonts w:cs="Arial"/>
              </w:rPr>
              <w:t>0,1</w:t>
            </w:r>
          </w:p>
        </w:tc>
        <w:tc>
          <w:tcPr>
            <w:tcW w:w="930" w:type="dxa"/>
            <w:tcBorders>
              <w:top w:val="single" w:sz="6" w:space="0" w:color="auto"/>
              <w:left w:val="single" w:sz="6" w:space="0" w:color="auto"/>
              <w:bottom w:val="single" w:sz="6" w:space="0" w:color="auto"/>
              <w:right w:val="single" w:sz="6" w:space="0" w:color="auto"/>
            </w:tcBorders>
          </w:tcPr>
          <w:p w14:paraId="54F97AC1" w14:textId="77777777" w:rsidR="006031D6" w:rsidRPr="006031D6" w:rsidRDefault="006031D6" w:rsidP="006031D6">
            <w:pPr>
              <w:pStyle w:val="Texttabulky"/>
              <w:spacing w:after="0" w:line="240" w:lineRule="atLeast"/>
              <w:rPr>
                <w:rFonts w:cs="Arial"/>
              </w:rPr>
            </w:pPr>
            <w:r w:rsidRPr="006031D6">
              <w:rPr>
                <w:rFonts w:cs="Arial"/>
              </w:rPr>
              <w:t>3 400</w:t>
            </w:r>
          </w:p>
        </w:tc>
        <w:tc>
          <w:tcPr>
            <w:tcW w:w="532" w:type="dxa"/>
            <w:tcBorders>
              <w:top w:val="single" w:sz="6" w:space="0" w:color="auto"/>
              <w:left w:val="single" w:sz="6" w:space="0" w:color="auto"/>
              <w:bottom w:val="single" w:sz="6" w:space="0" w:color="auto"/>
              <w:right w:val="single" w:sz="6" w:space="0" w:color="auto"/>
            </w:tcBorders>
          </w:tcPr>
          <w:p w14:paraId="01E7225F" w14:textId="77777777" w:rsidR="006031D6" w:rsidRPr="006031D6" w:rsidRDefault="006031D6" w:rsidP="006031D6">
            <w:pPr>
              <w:pStyle w:val="Texttabulky"/>
              <w:spacing w:after="0" w:line="240" w:lineRule="atLeast"/>
              <w:rPr>
                <w:rFonts w:cs="Arial"/>
              </w:rPr>
            </w:pPr>
            <w:r w:rsidRPr="006031D6">
              <w:rPr>
                <w:rFonts w:cs="Arial"/>
              </w:rPr>
              <w:t>0,1</w:t>
            </w:r>
          </w:p>
        </w:tc>
        <w:tc>
          <w:tcPr>
            <w:tcW w:w="915" w:type="dxa"/>
            <w:tcBorders>
              <w:top w:val="single" w:sz="6" w:space="0" w:color="auto"/>
              <w:left w:val="single" w:sz="6" w:space="0" w:color="auto"/>
              <w:bottom w:val="single" w:sz="6" w:space="0" w:color="auto"/>
              <w:right w:val="single" w:sz="6" w:space="0" w:color="auto"/>
            </w:tcBorders>
          </w:tcPr>
          <w:p w14:paraId="1B1E4B57" w14:textId="77777777" w:rsidR="006031D6" w:rsidRPr="006031D6" w:rsidRDefault="006031D6" w:rsidP="006031D6">
            <w:pPr>
              <w:pStyle w:val="Texttabulky"/>
              <w:spacing w:after="0" w:line="240" w:lineRule="atLeast"/>
              <w:rPr>
                <w:rFonts w:cs="Arial"/>
              </w:rPr>
            </w:pPr>
            <w:r w:rsidRPr="006031D6">
              <w:rPr>
                <w:rFonts w:cs="Arial"/>
              </w:rPr>
              <w:t>6 814</w:t>
            </w:r>
          </w:p>
        </w:tc>
        <w:tc>
          <w:tcPr>
            <w:tcW w:w="655" w:type="dxa"/>
            <w:tcBorders>
              <w:top w:val="single" w:sz="6" w:space="0" w:color="auto"/>
              <w:left w:val="single" w:sz="6" w:space="0" w:color="auto"/>
              <w:bottom w:val="single" w:sz="6" w:space="0" w:color="auto"/>
              <w:right w:val="single" w:sz="6" w:space="0" w:color="auto"/>
            </w:tcBorders>
          </w:tcPr>
          <w:p w14:paraId="743CFE41" w14:textId="77777777" w:rsidR="006031D6" w:rsidRPr="006031D6" w:rsidRDefault="006031D6" w:rsidP="006031D6">
            <w:pPr>
              <w:pStyle w:val="Texttabulky"/>
              <w:spacing w:after="0" w:line="240" w:lineRule="atLeast"/>
              <w:rPr>
                <w:rFonts w:cs="Arial"/>
              </w:rPr>
            </w:pPr>
            <w:r w:rsidRPr="006031D6">
              <w:rPr>
                <w:rFonts w:cs="Arial"/>
              </w:rPr>
              <w:t>0,2</w:t>
            </w:r>
          </w:p>
        </w:tc>
        <w:tc>
          <w:tcPr>
            <w:tcW w:w="915" w:type="dxa"/>
            <w:tcBorders>
              <w:top w:val="single" w:sz="6" w:space="0" w:color="auto"/>
              <w:left w:val="single" w:sz="6" w:space="0" w:color="auto"/>
              <w:bottom w:val="single" w:sz="6" w:space="0" w:color="auto"/>
              <w:right w:val="single" w:sz="6" w:space="0" w:color="auto"/>
            </w:tcBorders>
          </w:tcPr>
          <w:p w14:paraId="62F2F68D" w14:textId="77777777" w:rsidR="006031D6" w:rsidRPr="006031D6" w:rsidRDefault="006031D6" w:rsidP="006031D6">
            <w:pPr>
              <w:pStyle w:val="Texttabulky"/>
              <w:spacing w:after="0" w:line="240" w:lineRule="atLeast"/>
              <w:rPr>
                <w:rFonts w:cs="Arial"/>
              </w:rPr>
            </w:pPr>
            <w:r w:rsidRPr="006031D6">
              <w:rPr>
                <w:rFonts w:cs="Arial"/>
              </w:rPr>
              <w:t>6 483</w:t>
            </w:r>
          </w:p>
        </w:tc>
        <w:tc>
          <w:tcPr>
            <w:tcW w:w="930" w:type="dxa"/>
            <w:tcBorders>
              <w:top w:val="single" w:sz="6" w:space="0" w:color="auto"/>
              <w:left w:val="single" w:sz="6" w:space="0" w:color="auto"/>
              <w:bottom w:val="single" w:sz="6" w:space="0" w:color="auto"/>
              <w:right w:val="single" w:sz="6" w:space="0" w:color="auto"/>
            </w:tcBorders>
          </w:tcPr>
          <w:p w14:paraId="1DE971A4" w14:textId="77777777" w:rsidR="006031D6" w:rsidRPr="006031D6" w:rsidRDefault="006031D6" w:rsidP="006031D6">
            <w:pPr>
              <w:pStyle w:val="Texttabulky"/>
              <w:spacing w:after="0" w:line="240" w:lineRule="atLeast"/>
              <w:rPr>
                <w:rFonts w:cs="Arial"/>
              </w:rPr>
            </w:pPr>
            <w:r w:rsidRPr="006031D6">
              <w:rPr>
                <w:rFonts w:cs="Arial"/>
              </w:rPr>
              <w:t>331</w:t>
            </w:r>
          </w:p>
        </w:tc>
      </w:tr>
      <w:tr w:rsidR="006031D6" w:rsidRPr="006031D6" w14:paraId="574212CD" w14:textId="77777777" w:rsidTr="002D2D45">
        <w:trPr>
          <w:jc w:val="center"/>
        </w:trPr>
        <w:tc>
          <w:tcPr>
            <w:tcW w:w="1186" w:type="dxa"/>
            <w:tcBorders>
              <w:top w:val="single" w:sz="6" w:space="0" w:color="auto"/>
              <w:left w:val="single" w:sz="6" w:space="0" w:color="auto"/>
              <w:bottom w:val="single" w:sz="6" w:space="0" w:color="auto"/>
              <w:right w:val="single" w:sz="6" w:space="0" w:color="auto"/>
            </w:tcBorders>
          </w:tcPr>
          <w:p w14:paraId="25F3F693" w14:textId="77777777" w:rsidR="006031D6" w:rsidRPr="006031D6" w:rsidRDefault="006031D6" w:rsidP="006031D6">
            <w:pPr>
              <w:pStyle w:val="Texttabulky"/>
              <w:spacing w:after="0" w:line="240" w:lineRule="atLeast"/>
              <w:rPr>
                <w:rFonts w:cs="Arial"/>
              </w:rPr>
            </w:pPr>
            <w:r w:rsidRPr="006031D6">
              <w:rPr>
                <w:rFonts w:cs="Arial"/>
                <w:b/>
                <w:bCs/>
              </w:rPr>
              <w:t>Jílové</w:t>
            </w:r>
          </w:p>
        </w:tc>
        <w:tc>
          <w:tcPr>
            <w:tcW w:w="915" w:type="dxa"/>
            <w:tcBorders>
              <w:top w:val="single" w:sz="6" w:space="0" w:color="auto"/>
              <w:left w:val="single" w:sz="6" w:space="0" w:color="auto"/>
              <w:bottom w:val="single" w:sz="6" w:space="0" w:color="auto"/>
              <w:right w:val="single" w:sz="6" w:space="0" w:color="auto"/>
            </w:tcBorders>
          </w:tcPr>
          <w:p w14:paraId="1B473B6C" w14:textId="77777777" w:rsidR="006031D6" w:rsidRPr="006031D6" w:rsidRDefault="006031D6" w:rsidP="006031D6">
            <w:pPr>
              <w:pStyle w:val="Texttabulky"/>
              <w:spacing w:after="0" w:line="240" w:lineRule="atLeast"/>
              <w:rPr>
                <w:rFonts w:cs="Arial"/>
              </w:rPr>
            </w:pPr>
            <w:r w:rsidRPr="006031D6">
              <w:rPr>
                <w:rFonts w:cs="Arial"/>
              </w:rPr>
              <w:t>43 900</w:t>
            </w:r>
          </w:p>
        </w:tc>
        <w:tc>
          <w:tcPr>
            <w:tcW w:w="628" w:type="dxa"/>
            <w:tcBorders>
              <w:top w:val="single" w:sz="6" w:space="0" w:color="auto"/>
              <w:left w:val="single" w:sz="6" w:space="0" w:color="auto"/>
              <w:bottom w:val="single" w:sz="6" w:space="0" w:color="auto"/>
              <w:right w:val="single" w:sz="6" w:space="0" w:color="auto"/>
            </w:tcBorders>
          </w:tcPr>
          <w:p w14:paraId="16BF65CB" w14:textId="77777777" w:rsidR="006031D6" w:rsidRPr="006031D6" w:rsidRDefault="006031D6" w:rsidP="006031D6">
            <w:pPr>
              <w:pStyle w:val="Texttabulky"/>
              <w:spacing w:after="0" w:line="240" w:lineRule="atLeast"/>
              <w:rPr>
                <w:rFonts w:cs="Arial"/>
              </w:rPr>
            </w:pPr>
            <w:r w:rsidRPr="006031D6">
              <w:rPr>
                <w:rFonts w:cs="Arial"/>
              </w:rPr>
              <w:t>1,4</w:t>
            </w:r>
          </w:p>
        </w:tc>
        <w:tc>
          <w:tcPr>
            <w:tcW w:w="930" w:type="dxa"/>
            <w:tcBorders>
              <w:top w:val="single" w:sz="6" w:space="0" w:color="auto"/>
              <w:left w:val="single" w:sz="6" w:space="0" w:color="auto"/>
              <w:bottom w:val="single" w:sz="6" w:space="0" w:color="auto"/>
              <w:right w:val="single" w:sz="6" w:space="0" w:color="auto"/>
            </w:tcBorders>
          </w:tcPr>
          <w:p w14:paraId="47B0E221" w14:textId="77777777" w:rsidR="006031D6" w:rsidRPr="006031D6" w:rsidRDefault="006031D6" w:rsidP="006031D6">
            <w:pPr>
              <w:pStyle w:val="Texttabulky"/>
              <w:spacing w:after="0" w:line="240" w:lineRule="atLeast"/>
              <w:rPr>
                <w:rFonts w:cs="Arial"/>
              </w:rPr>
            </w:pPr>
            <w:r w:rsidRPr="006031D6">
              <w:rPr>
                <w:rFonts w:cs="Arial"/>
              </w:rPr>
              <w:t>328 700</w:t>
            </w:r>
          </w:p>
        </w:tc>
        <w:tc>
          <w:tcPr>
            <w:tcW w:w="532" w:type="dxa"/>
            <w:tcBorders>
              <w:top w:val="single" w:sz="6" w:space="0" w:color="auto"/>
              <w:left w:val="single" w:sz="6" w:space="0" w:color="auto"/>
              <w:bottom w:val="single" w:sz="6" w:space="0" w:color="auto"/>
              <w:right w:val="single" w:sz="6" w:space="0" w:color="auto"/>
            </w:tcBorders>
          </w:tcPr>
          <w:p w14:paraId="67DFED78" w14:textId="77777777" w:rsidR="006031D6" w:rsidRPr="006031D6" w:rsidRDefault="006031D6" w:rsidP="006031D6">
            <w:pPr>
              <w:pStyle w:val="Texttabulky"/>
              <w:spacing w:after="0" w:line="240" w:lineRule="atLeast"/>
              <w:rPr>
                <w:rFonts w:cs="Arial"/>
              </w:rPr>
            </w:pPr>
            <w:r w:rsidRPr="006031D6">
              <w:rPr>
                <w:rFonts w:cs="Arial"/>
              </w:rPr>
              <w:t>10,4</w:t>
            </w:r>
          </w:p>
        </w:tc>
        <w:tc>
          <w:tcPr>
            <w:tcW w:w="915" w:type="dxa"/>
            <w:tcBorders>
              <w:top w:val="single" w:sz="6" w:space="0" w:color="auto"/>
              <w:left w:val="single" w:sz="6" w:space="0" w:color="auto"/>
              <w:bottom w:val="single" w:sz="6" w:space="0" w:color="auto"/>
              <w:right w:val="single" w:sz="6" w:space="0" w:color="auto"/>
            </w:tcBorders>
          </w:tcPr>
          <w:p w14:paraId="14A5FA80" w14:textId="77777777" w:rsidR="006031D6" w:rsidRPr="006031D6" w:rsidRDefault="006031D6" w:rsidP="006031D6">
            <w:pPr>
              <w:pStyle w:val="Texttabulky"/>
              <w:spacing w:after="0" w:line="240" w:lineRule="atLeast"/>
              <w:rPr>
                <w:rFonts w:cs="Arial"/>
              </w:rPr>
            </w:pPr>
            <w:r w:rsidRPr="006031D6">
              <w:rPr>
                <w:rFonts w:cs="Arial"/>
              </w:rPr>
              <w:t>253 555</w:t>
            </w:r>
          </w:p>
        </w:tc>
        <w:tc>
          <w:tcPr>
            <w:tcW w:w="655" w:type="dxa"/>
            <w:tcBorders>
              <w:top w:val="single" w:sz="6" w:space="0" w:color="auto"/>
              <w:left w:val="single" w:sz="6" w:space="0" w:color="auto"/>
              <w:bottom w:val="single" w:sz="6" w:space="0" w:color="auto"/>
              <w:right w:val="single" w:sz="6" w:space="0" w:color="auto"/>
            </w:tcBorders>
          </w:tcPr>
          <w:p w14:paraId="3E87B52D" w14:textId="77777777" w:rsidR="006031D6" w:rsidRPr="006031D6" w:rsidRDefault="006031D6" w:rsidP="006031D6">
            <w:pPr>
              <w:pStyle w:val="Texttabulky"/>
              <w:spacing w:after="0" w:line="240" w:lineRule="atLeast"/>
              <w:rPr>
                <w:rFonts w:cs="Arial"/>
              </w:rPr>
            </w:pPr>
            <w:r w:rsidRPr="006031D6">
              <w:rPr>
                <w:rFonts w:cs="Arial"/>
              </w:rPr>
              <w:t>8</w:t>
            </w:r>
          </w:p>
        </w:tc>
        <w:tc>
          <w:tcPr>
            <w:tcW w:w="915" w:type="dxa"/>
            <w:tcBorders>
              <w:top w:val="single" w:sz="6" w:space="0" w:color="auto"/>
              <w:left w:val="single" w:sz="6" w:space="0" w:color="auto"/>
              <w:bottom w:val="single" w:sz="6" w:space="0" w:color="auto"/>
              <w:right w:val="single" w:sz="6" w:space="0" w:color="auto"/>
            </w:tcBorders>
          </w:tcPr>
          <w:p w14:paraId="773E4D6B" w14:textId="77777777" w:rsidR="006031D6" w:rsidRPr="006031D6" w:rsidRDefault="006031D6" w:rsidP="006031D6">
            <w:pPr>
              <w:pStyle w:val="Texttabulky"/>
              <w:spacing w:after="0" w:line="240" w:lineRule="atLeast"/>
              <w:rPr>
                <w:rFonts w:cs="Arial"/>
              </w:rPr>
            </w:pPr>
            <w:r w:rsidRPr="006031D6">
              <w:rPr>
                <w:rFonts w:cs="Arial"/>
              </w:rPr>
              <w:t>193 593</w:t>
            </w:r>
          </w:p>
        </w:tc>
        <w:tc>
          <w:tcPr>
            <w:tcW w:w="930" w:type="dxa"/>
            <w:tcBorders>
              <w:top w:val="single" w:sz="6" w:space="0" w:color="auto"/>
              <w:left w:val="single" w:sz="6" w:space="0" w:color="auto"/>
              <w:bottom w:val="single" w:sz="6" w:space="0" w:color="auto"/>
              <w:right w:val="single" w:sz="6" w:space="0" w:color="auto"/>
            </w:tcBorders>
          </w:tcPr>
          <w:p w14:paraId="2C2D0C6A" w14:textId="77777777" w:rsidR="006031D6" w:rsidRPr="006031D6" w:rsidRDefault="006031D6" w:rsidP="006031D6">
            <w:pPr>
              <w:pStyle w:val="Texttabulky"/>
              <w:spacing w:after="0" w:line="240" w:lineRule="atLeast"/>
              <w:rPr>
                <w:rFonts w:cs="Arial"/>
              </w:rPr>
            </w:pPr>
            <w:r w:rsidRPr="006031D6">
              <w:rPr>
                <w:rFonts w:cs="Arial"/>
              </w:rPr>
              <w:t>57 962</w:t>
            </w:r>
          </w:p>
        </w:tc>
      </w:tr>
      <w:tr w:rsidR="006031D6" w:rsidRPr="006031D6" w14:paraId="6B424ACA" w14:textId="77777777" w:rsidTr="002D2D45">
        <w:trPr>
          <w:jc w:val="center"/>
        </w:trPr>
        <w:tc>
          <w:tcPr>
            <w:tcW w:w="1186" w:type="dxa"/>
            <w:tcBorders>
              <w:top w:val="single" w:sz="6" w:space="0" w:color="auto"/>
              <w:left w:val="single" w:sz="6" w:space="0" w:color="auto"/>
              <w:bottom w:val="single" w:sz="6" w:space="0" w:color="auto"/>
              <w:right w:val="single" w:sz="6" w:space="0" w:color="auto"/>
            </w:tcBorders>
          </w:tcPr>
          <w:p w14:paraId="1CD82994" w14:textId="77777777" w:rsidR="006031D6" w:rsidRPr="006031D6" w:rsidRDefault="006031D6" w:rsidP="006031D6">
            <w:pPr>
              <w:pStyle w:val="Texttabulky"/>
              <w:spacing w:after="0" w:line="240" w:lineRule="atLeast"/>
              <w:rPr>
                <w:rFonts w:cs="Arial"/>
              </w:rPr>
            </w:pPr>
            <w:r w:rsidRPr="006031D6">
              <w:rPr>
                <w:rFonts w:cs="Arial"/>
                <w:b/>
                <w:bCs/>
              </w:rPr>
              <w:t>Kr. Studenec</w:t>
            </w:r>
          </w:p>
        </w:tc>
        <w:tc>
          <w:tcPr>
            <w:tcW w:w="915" w:type="dxa"/>
            <w:tcBorders>
              <w:top w:val="single" w:sz="6" w:space="0" w:color="auto"/>
              <w:left w:val="single" w:sz="6" w:space="0" w:color="auto"/>
              <w:bottom w:val="single" w:sz="6" w:space="0" w:color="auto"/>
              <w:right w:val="single" w:sz="6" w:space="0" w:color="auto"/>
            </w:tcBorders>
          </w:tcPr>
          <w:p w14:paraId="2BBFC3D8" w14:textId="77777777" w:rsidR="006031D6" w:rsidRPr="006031D6" w:rsidRDefault="006031D6" w:rsidP="006031D6">
            <w:pPr>
              <w:pStyle w:val="Texttabulky"/>
              <w:spacing w:after="0" w:line="240" w:lineRule="atLeast"/>
              <w:rPr>
                <w:rFonts w:cs="Arial"/>
              </w:rPr>
            </w:pPr>
            <w:r w:rsidRPr="006031D6">
              <w:rPr>
                <w:rFonts w:cs="Arial"/>
              </w:rPr>
              <w:t>12 300</w:t>
            </w:r>
          </w:p>
        </w:tc>
        <w:tc>
          <w:tcPr>
            <w:tcW w:w="628" w:type="dxa"/>
            <w:tcBorders>
              <w:top w:val="single" w:sz="6" w:space="0" w:color="auto"/>
              <w:left w:val="single" w:sz="6" w:space="0" w:color="auto"/>
              <w:bottom w:val="single" w:sz="6" w:space="0" w:color="auto"/>
              <w:right w:val="single" w:sz="6" w:space="0" w:color="auto"/>
            </w:tcBorders>
          </w:tcPr>
          <w:p w14:paraId="76C90E55" w14:textId="77777777" w:rsidR="006031D6" w:rsidRPr="006031D6" w:rsidRDefault="006031D6" w:rsidP="006031D6">
            <w:pPr>
              <w:pStyle w:val="Texttabulky"/>
              <w:spacing w:after="0" w:line="240" w:lineRule="atLeast"/>
              <w:rPr>
                <w:rFonts w:cs="Arial"/>
              </w:rPr>
            </w:pPr>
            <w:r w:rsidRPr="006031D6">
              <w:rPr>
                <w:rFonts w:cs="Arial"/>
              </w:rPr>
              <w:t>0,4</w:t>
            </w:r>
          </w:p>
        </w:tc>
        <w:tc>
          <w:tcPr>
            <w:tcW w:w="930" w:type="dxa"/>
            <w:tcBorders>
              <w:top w:val="single" w:sz="6" w:space="0" w:color="auto"/>
              <w:left w:val="single" w:sz="6" w:space="0" w:color="auto"/>
              <w:bottom w:val="single" w:sz="6" w:space="0" w:color="auto"/>
              <w:right w:val="single" w:sz="6" w:space="0" w:color="auto"/>
            </w:tcBorders>
          </w:tcPr>
          <w:p w14:paraId="1A37BD0E" w14:textId="77777777" w:rsidR="006031D6" w:rsidRPr="006031D6" w:rsidRDefault="006031D6" w:rsidP="006031D6">
            <w:pPr>
              <w:pStyle w:val="Texttabulky"/>
              <w:spacing w:after="0" w:line="240" w:lineRule="atLeast"/>
              <w:rPr>
                <w:rFonts w:cs="Arial"/>
              </w:rPr>
            </w:pPr>
            <w:r w:rsidRPr="006031D6">
              <w:rPr>
                <w:rFonts w:cs="Arial"/>
              </w:rPr>
              <w:t>6 100</w:t>
            </w:r>
          </w:p>
        </w:tc>
        <w:tc>
          <w:tcPr>
            <w:tcW w:w="532" w:type="dxa"/>
            <w:tcBorders>
              <w:top w:val="single" w:sz="6" w:space="0" w:color="auto"/>
              <w:left w:val="single" w:sz="6" w:space="0" w:color="auto"/>
              <w:bottom w:val="single" w:sz="6" w:space="0" w:color="auto"/>
              <w:right w:val="single" w:sz="6" w:space="0" w:color="auto"/>
            </w:tcBorders>
          </w:tcPr>
          <w:p w14:paraId="675C8465" w14:textId="77777777" w:rsidR="006031D6" w:rsidRPr="006031D6" w:rsidRDefault="006031D6" w:rsidP="006031D6">
            <w:pPr>
              <w:pStyle w:val="Texttabulky"/>
              <w:spacing w:after="0" w:line="240" w:lineRule="atLeast"/>
              <w:rPr>
                <w:rFonts w:cs="Arial"/>
              </w:rPr>
            </w:pPr>
            <w:r w:rsidRPr="006031D6">
              <w:rPr>
                <w:rFonts w:cs="Arial"/>
              </w:rPr>
              <w:t>0,2</w:t>
            </w:r>
          </w:p>
        </w:tc>
        <w:tc>
          <w:tcPr>
            <w:tcW w:w="915" w:type="dxa"/>
            <w:tcBorders>
              <w:top w:val="single" w:sz="6" w:space="0" w:color="auto"/>
              <w:left w:val="single" w:sz="6" w:space="0" w:color="auto"/>
              <w:bottom w:val="single" w:sz="6" w:space="0" w:color="auto"/>
              <w:right w:val="single" w:sz="6" w:space="0" w:color="auto"/>
            </w:tcBorders>
          </w:tcPr>
          <w:p w14:paraId="63500D60" w14:textId="77777777" w:rsidR="006031D6" w:rsidRPr="006031D6" w:rsidRDefault="006031D6" w:rsidP="006031D6">
            <w:pPr>
              <w:pStyle w:val="Texttabulky"/>
              <w:spacing w:after="0" w:line="240" w:lineRule="atLeast"/>
              <w:rPr>
                <w:rFonts w:cs="Arial"/>
              </w:rPr>
            </w:pPr>
            <w:r w:rsidRPr="006031D6">
              <w:rPr>
                <w:rFonts w:cs="Arial"/>
              </w:rPr>
              <w:t>17 552</w:t>
            </w:r>
          </w:p>
        </w:tc>
        <w:tc>
          <w:tcPr>
            <w:tcW w:w="655" w:type="dxa"/>
            <w:tcBorders>
              <w:top w:val="single" w:sz="6" w:space="0" w:color="auto"/>
              <w:left w:val="single" w:sz="6" w:space="0" w:color="auto"/>
              <w:bottom w:val="single" w:sz="6" w:space="0" w:color="auto"/>
              <w:right w:val="single" w:sz="6" w:space="0" w:color="auto"/>
            </w:tcBorders>
          </w:tcPr>
          <w:p w14:paraId="111E114A" w14:textId="77777777" w:rsidR="006031D6" w:rsidRPr="006031D6" w:rsidRDefault="006031D6" w:rsidP="006031D6">
            <w:pPr>
              <w:pStyle w:val="Texttabulky"/>
              <w:spacing w:after="0" w:line="240" w:lineRule="atLeast"/>
              <w:rPr>
                <w:rFonts w:cs="Arial"/>
              </w:rPr>
            </w:pPr>
            <w:r w:rsidRPr="006031D6">
              <w:rPr>
                <w:rFonts w:cs="Arial"/>
              </w:rPr>
              <w:t>0,6</w:t>
            </w:r>
          </w:p>
        </w:tc>
        <w:tc>
          <w:tcPr>
            <w:tcW w:w="915" w:type="dxa"/>
            <w:tcBorders>
              <w:top w:val="single" w:sz="6" w:space="0" w:color="auto"/>
              <w:left w:val="single" w:sz="6" w:space="0" w:color="auto"/>
              <w:bottom w:val="single" w:sz="6" w:space="0" w:color="auto"/>
              <w:right w:val="single" w:sz="6" w:space="0" w:color="auto"/>
            </w:tcBorders>
          </w:tcPr>
          <w:p w14:paraId="498A0F8F" w14:textId="77777777" w:rsidR="006031D6" w:rsidRPr="006031D6" w:rsidRDefault="006031D6" w:rsidP="006031D6">
            <w:pPr>
              <w:pStyle w:val="Texttabulky"/>
              <w:spacing w:after="0" w:line="240" w:lineRule="atLeast"/>
              <w:rPr>
                <w:rFonts w:cs="Arial"/>
              </w:rPr>
            </w:pPr>
            <w:r w:rsidRPr="006031D6">
              <w:rPr>
                <w:rFonts w:cs="Arial"/>
              </w:rPr>
              <w:t>16 082</w:t>
            </w:r>
          </w:p>
        </w:tc>
        <w:tc>
          <w:tcPr>
            <w:tcW w:w="930" w:type="dxa"/>
            <w:tcBorders>
              <w:top w:val="single" w:sz="6" w:space="0" w:color="auto"/>
              <w:left w:val="single" w:sz="6" w:space="0" w:color="auto"/>
              <w:bottom w:val="single" w:sz="6" w:space="0" w:color="auto"/>
              <w:right w:val="single" w:sz="6" w:space="0" w:color="auto"/>
            </w:tcBorders>
          </w:tcPr>
          <w:p w14:paraId="5083CC52" w14:textId="77777777" w:rsidR="006031D6" w:rsidRPr="006031D6" w:rsidRDefault="006031D6" w:rsidP="006031D6">
            <w:pPr>
              <w:pStyle w:val="Texttabulky"/>
              <w:spacing w:after="0" w:line="240" w:lineRule="atLeast"/>
              <w:rPr>
                <w:rFonts w:cs="Arial"/>
              </w:rPr>
            </w:pPr>
            <w:r w:rsidRPr="006031D6">
              <w:rPr>
                <w:rFonts w:cs="Arial"/>
              </w:rPr>
              <w:t>1 470</w:t>
            </w:r>
          </w:p>
        </w:tc>
      </w:tr>
      <w:tr w:rsidR="006031D6" w:rsidRPr="006031D6" w14:paraId="6199BE5D" w14:textId="77777777" w:rsidTr="002D2D45">
        <w:trPr>
          <w:jc w:val="center"/>
        </w:trPr>
        <w:tc>
          <w:tcPr>
            <w:tcW w:w="1186" w:type="dxa"/>
            <w:tcBorders>
              <w:top w:val="single" w:sz="6" w:space="0" w:color="auto"/>
              <w:left w:val="single" w:sz="6" w:space="0" w:color="auto"/>
              <w:bottom w:val="single" w:sz="6" w:space="0" w:color="auto"/>
              <w:right w:val="single" w:sz="6" w:space="0" w:color="auto"/>
            </w:tcBorders>
          </w:tcPr>
          <w:p w14:paraId="693C21E3" w14:textId="77777777" w:rsidR="006031D6" w:rsidRPr="006031D6" w:rsidRDefault="006031D6" w:rsidP="006031D6">
            <w:pPr>
              <w:pStyle w:val="Texttabulky"/>
              <w:spacing w:after="0" w:line="240" w:lineRule="atLeast"/>
              <w:rPr>
                <w:rFonts w:cs="Arial"/>
              </w:rPr>
            </w:pPr>
            <w:r w:rsidRPr="006031D6">
              <w:rPr>
                <w:rFonts w:cs="Arial"/>
                <w:b/>
                <w:bCs/>
                <w:sz w:val="18"/>
                <w:szCs w:val="18"/>
              </w:rPr>
              <w:t>Celkem</w:t>
            </w:r>
          </w:p>
        </w:tc>
        <w:tc>
          <w:tcPr>
            <w:tcW w:w="915" w:type="dxa"/>
            <w:tcBorders>
              <w:top w:val="single" w:sz="6" w:space="0" w:color="auto"/>
              <w:left w:val="single" w:sz="6" w:space="0" w:color="auto"/>
              <w:bottom w:val="single" w:sz="6" w:space="0" w:color="auto"/>
              <w:right w:val="single" w:sz="6" w:space="0" w:color="auto"/>
            </w:tcBorders>
          </w:tcPr>
          <w:p w14:paraId="42ED0111" w14:textId="77777777" w:rsidR="006031D6" w:rsidRPr="006031D6" w:rsidRDefault="006031D6" w:rsidP="006031D6">
            <w:pPr>
              <w:pStyle w:val="Texttabulky"/>
              <w:spacing w:after="0" w:line="240" w:lineRule="atLeast"/>
              <w:rPr>
                <w:rFonts w:cs="Arial"/>
              </w:rPr>
            </w:pPr>
            <w:r w:rsidRPr="006031D6">
              <w:rPr>
                <w:rFonts w:cs="Arial"/>
                <w:b/>
                <w:bCs/>
                <w:sz w:val="18"/>
                <w:szCs w:val="18"/>
              </w:rPr>
              <w:t>5 442 200</w:t>
            </w:r>
          </w:p>
        </w:tc>
        <w:tc>
          <w:tcPr>
            <w:tcW w:w="628" w:type="dxa"/>
            <w:tcBorders>
              <w:top w:val="single" w:sz="6" w:space="0" w:color="auto"/>
              <w:left w:val="single" w:sz="6" w:space="0" w:color="auto"/>
              <w:bottom w:val="single" w:sz="6" w:space="0" w:color="auto"/>
              <w:right w:val="single" w:sz="6" w:space="0" w:color="auto"/>
            </w:tcBorders>
          </w:tcPr>
          <w:p w14:paraId="194ECFD5" w14:textId="77777777" w:rsidR="006031D6" w:rsidRPr="006031D6" w:rsidRDefault="006031D6" w:rsidP="006031D6">
            <w:pPr>
              <w:pStyle w:val="Texttabulky"/>
              <w:spacing w:after="0" w:line="240" w:lineRule="atLeast"/>
              <w:rPr>
                <w:rFonts w:cs="Arial"/>
              </w:rPr>
            </w:pPr>
            <w:r w:rsidRPr="006031D6">
              <w:rPr>
                <w:rFonts w:cs="Arial"/>
                <w:b/>
                <w:bCs/>
                <w:sz w:val="18"/>
                <w:szCs w:val="18"/>
              </w:rPr>
              <w:t>173</w:t>
            </w:r>
          </w:p>
        </w:tc>
        <w:tc>
          <w:tcPr>
            <w:tcW w:w="930" w:type="dxa"/>
            <w:tcBorders>
              <w:top w:val="single" w:sz="6" w:space="0" w:color="auto"/>
              <w:left w:val="single" w:sz="6" w:space="0" w:color="auto"/>
              <w:bottom w:val="single" w:sz="6" w:space="0" w:color="auto"/>
              <w:right w:val="single" w:sz="6" w:space="0" w:color="auto"/>
            </w:tcBorders>
          </w:tcPr>
          <w:p w14:paraId="7F87CC02" w14:textId="77777777" w:rsidR="006031D6" w:rsidRPr="006031D6" w:rsidRDefault="006031D6" w:rsidP="006031D6">
            <w:pPr>
              <w:pStyle w:val="Texttabulky"/>
              <w:spacing w:after="0" w:line="240" w:lineRule="atLeast"/>
              <w:rPr>
                <w:rFonts w:cs="Arial"/>
              </w:rPr>
            </w:pPr>
            <w:r w:rsidRPr="006031D6">
              <w:rPr>
                <w:rFonts w:cs="Arial"/>
                <w:b/>
                <w:bCs/>
                <w:sz w:val="18"/>
                <w:szCs w:val="18"/>
              </w:rPr>
              <w:t>794 200</w:t>
            </w:r>
          </w:p>
        </w:tc>
        <w:tc>
          <w:tcPr>
            <w:tcW w:w="532" w:type="dxa"/>
            <w:tcBorders>
              <w:top w:val="single" w:sz="6" w:space="0" w:color="auto"/>
              <w:left w:val="single" w:sz="6" w:space="0" w:color="auto"/>
              <w:bottom w:val="single" w:sz="6" w:space="0" w:color="auto"/>
              <w:right w:val="single" w:sz="6" w:space="0" w:color="auto"/>
            </w:tcBorders>
          </w:tcPr>
          <w:p w14:paraId="17AA5A52" w14:textId="77777777" w:rsidR="006031D6" w:rsidRPr="006031D6" w:rsidRDefault="006031D6" w:rsidP="006031D6">
            <w:pPr>
              <w:pStyle w:val="Texttabulky"/>
              <w:spacing w:after="0" w:line="240" w:lineRule="atLeast"/>
              <w:rPr>
                <w:rFonts w:cs="Arial"/>
              </w:rPr>
            </w:pPr>
            <w:r w:rsidRPr="006031D6">
              <w:rPr>
                <w:rFonts w:cs="Arial"/>
                <w:b/>
                <w:bCs/>
                <w:sz w:val="18"/>
                <w:szCs w:val="18"/>
              </w:rPr>
              <w:t>25</w:t>
            </w:r>
          </w:p>
        </w:tc>
        <w:tc>
          <w:tcPr>
            <w:tcW w:w="915" w:type="dxa"/>
            <w:tcBorders>
              <w:top w:val="single" w:sz="6" w:space="0" w:color="auto"/>
              <w:left w:val="single" w:sz="6" w:space="0" w:color="auto"/>
              <w:bottom w:val="single" w:sz="6" w:space="0" w:color="auto"/>
              <w:right w:val="single" w:sz="6" w:space="0" w:color="auto"/>
            </w:tcBorders>
          </w:tcPr>
          <w:p w14:paraId="7D57BD59" w14:textId="77777777" w:rsidR="006031D6" w:rsidRPr="006031D6" w:rsidRDefault="006031D6" w:rsidP="006031D6">
            <w:pPr>
              <w:pStyle w:val="Texttabulky"/>
              <w:spacing w:after="0" w:line="240" w:lineRule="atLeast"/>
              <w:rPr>
                <w:rFonts w:cs="Arial"/>
              </w:rPr>
            </w:pPr>
            <w:r w:rsidRPr="006031D6">
              <w:rPr>
                <w:rFonts w:cs="Arial"/>
                <w:b/>
                <w:bCs/>
                <w:sz w:val="18"/>
                <w:szCs w:val="18"/>
              </w:rPr>
              <w:t>3 664 760</w:t>
            </w:r>
          </w:p>
        </w:tc>
        <w:tc>
          <w:tcPr>
            <w:tcW w:w="655" w:type="dxa"/>
            <w:tcBorders>
              <w:top w:val="single" w:sz="6" w:space="0" w:color="auto"/>
              <w:left w:val="single" w:sz="6" w:space="0" w:color="auto"/>
              <w:bottom w:val="single" w:sz="6" w:space="0" w:color="auto"/>
              <w:right w:val="single" w:sz="6" w:space="0" w:color="auto"/>
            </w:tcBorders>
          </w:tcPr>
          <w:p w14:paraId="2A07FD10" w14:textId="77777777" w:rsidR="006031D6" w:rsidRPr="006031D6" w:rsidRDefault="006031D6" w:rsidP="006031D6">
            <w:pPr>
              <w:pStyle w:val="Texttabulky"/>
              <w:spacing w:after="0" w:line="240" w:lineRule="atLeast"/>
              <w:rPr>
                <w:rFonts w:cs="Arial"/>
              </w:rPr>
            </w:pPr>
            <w:r w:rsidRPr="006031D6">
              <w:rPr>
                <w:rFonts w:cs="Arial"/>
                <w:b/>
                <w:bCs/>
                <w:sz w:val="18"/>
                <w:szCs w:val="18"/>
              </w:rPr>
              <w:t>116</w:t>
            </w:r>
          </w:p>
        </w:tc>
        <w:tc>
          <w:tcPr>
            <w:tcW w:w="915" w:type="dxa"/>
            <w:tcBorders>
              <w:top w:val="single" w:sz="6" w:space="0" w:color="auto"/>
              <w:left w:val="single" w:sz="6" w:space="0" w:color="auto"/>
              <w:bottom w:val="single" w:sz="6" w:space="0" w:color="auto"/>
              <w:right w:val="single" w:sz="6" w:space="0" w:color="auto"/>
            </w:tcBorders>
          </w:tcPr>
          <w:p w14:paraId="0F8420DD" w14:textId="77777777" w:rsidR="006031D6" w:rsidRPr="006031D6" w:rsidRDefault="006031D6" w:rsidP="006031D6">
            <w:pPr>
              <w:pStyle w:val="Texttabulky"/>
              <w:spacing w:after="0" w:line="240" w:lineRule="atLeast"/>
              <w:rPr>
                <w:rFonts w:cs="Arial"/>
              </w:rPr>
            </w:pPr>
            <w:r w:rsidRPr="006031D6">
              <w:rPr>
                <w:rFonts w:cs="Arial"/>
                <w:b/>
                <w:bCs/>
                <w:sz w:val="18"/>
                <w:szCs w:val="18"/>
              </w:rPr>
              <w:t>2 656 682</w:t>
            </w:r>
          </w:p>
        </w:tc>
        <w:tc>
          <w:tcPr>
            <w:tcW w:w="930" w:type="dxa"/>
            <w:tcBorders>
              <w:top w:val="single" w:sz="6" w:space="0" w:color="auto"/>
              <w:left w:val="single" w:sz="6" w:space="0" w:color="auto"/>
              <w:bottom w:val="single" w:sz="6" w:space="0" w:color="auto"/>
              <w:right w:val="single" w:sz="6" w:space="0" w:color="auto"/>
            </w:tcBorders>
          </w:tcPr>
          <w:p w14:paraId="5AED6DCA" w14:textId="77777777" w:rsidR="006031D6" w:rsidRPr="006031D6" w:rsidRDefault="006031D6" w:rsidP="006031D6">
            <w:pPr>
              <w:pStyle w:val="Texttabulky"/>
              <w:spacing w:after="0" w:line="240" w:lineRule="atLeast"/>
              <w:rPr>
                <w:rFonts w:cs="Arial"/>
              </w:rPr>
            </w:pPr>
            <w:r w:rsidRPr="006031D6">
              <w:rPr>
                <w:rFonts w:cs="Arial"/>
                <w:b/>
                <w:bCs/>
                <w:sz w:val="18"/>
                <w:szCs w:val="18"/>
              </w:rPr>
              <w:t>1 006 078</w:t>
            </w:r>
          </w:p>
        </w:tc>
      </w:tr>
    </w:tbl>
    <w:p w14:paraId="6228E9C6" w14:textId="77777777" w:rsidR="006031D6" w:rsidRPr="006031D6" w:rsidRDefault="006031D6" w:rsidP="006031D6">
      <w:pPr>
        <w:autoSpaceDE w:val="0"/>
        <w:autoSpaceDN w:val="0"/>
        <w:adjustRightInd w:val="0"/>
        <w:jc w:val="both"/>
        <w:rPr>
          <w:rFonts w:ascii="Arial" w:hAnsi="Arial" w:cs="Arial"/>
          <w:sz w:val="20"/>
        </w:rPr>
      </w:pPr>
    </w:p>
    <w:p w14:paraId="569D31A9" w14:textId="77777777" w:rsidR="006031D6" w:rsidRPr="006031D6" w:rsidRDefault="006031D6" w:rsidP="006031D6">
      <w:pPr>
        <w:pStyle w:val="Zkladntext"/>
        <w:rPr>
          <w:rFonts w:ascii="Arial" w:hAnsi="Arial" w:cs="Arial"/>
        </w:rPr>
      </w:pPr>
    </w:p>
    <w:p w14:paraId="67870D57"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Za základ byla vzata voda fakturovaná celkem + 30% na ztráty.</w:t>
      </w:r>
    </w:p>
    <w:p w14:paraId="4317A07E" w14:textId="77777777" w:rsidR="006031D6" w:rsidRPr="006031D6" w:rsidRDefault="006031D6" w:rsidP="006031D6">
      <w:pPr>
        <w:pStyle w:val="Zkladntext"/>
        <w:spacing w:before="120" w:line="288" w:lineRule="auto"/>
        <w:jc w:val="both"/>
        <w:rPr>
          <w:rFonts w:ascii="Arial" w:hAnsi="Arial" w:cs="Arial"/>
          <w:sz w:val="22"/>
          <w:szCs w:val="22"/>
        </w:rPr>
      </w:pPr>
    </w:p>
    <w:p w14:paraId="7C74CC19"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V tabulce č. 3 "Stanovení výhledové spotřeby pro jednotlivé části" byl proveden výpočet výhledové spotřeby pro různé hodnoty specifické spotřeby na obyvatele a den.</w:t>
      </w:r>
    </w:p>
    <w:p w14:paraId="27C6E27B" w14:textId="77777777" w:rsidR="006031D6" w:rsidRPr="006031D6" w:rsidRDefault="006031D6" w:rsidP="006031D6">
      <w:pPr>
        <w:pStyle w:val="Zkladntext"/>
        <w:numPr>
          <w:ilvl w:val="0"/>
          <w:numId w:val="54"/>
        </w:numPr>
        <w:tabs>
          <w:tab w:val="left" w:pos="360"/>
        </w:tabs>
        <w:suppressAutoHyphens w:val="0"/>
        <w:autoSpaceDE w:val="0"/>
        <w:autoSpaceDN w:val="0"/>
        <w:adjustRightInd w:val="0"/>
        <w:spacing w:before="120" w:after="0" w:line="288" w:lineRule="auto"/>
        <w:jc w:val="both"/>
        <w:rPr>
          <w:rFonts w:ascii="Arial" w:hAnsi="Arial" w:cs="Arial"/>
          <w:sz w:val="22"/>
          <w:szCs w:val="22"/>
        </w:rPr>
      </w:pPr>
      <w:r w:rsidRPr="006031D6">
        <w:rPr>
          <w:rFonts w:ascii="Arial" w:hAnsi="Arial" w:cs="Arial"/>
          <w:sz w:val="22"/>
          <w:szCs w:val="22"/>
        </w:rPr>
        <w:t>-průměr za ČR;</w:t>
      </w:r>
    </w:p>
    <w:p w14:paraId="13EB44DB" w14:textId="77777777" w:rsidR="006031D6" w:rsidRPr="006031D6" w:rsidRDefault="006031D6" w:rsidP="006031D6">
      <w:pPr>
        <w:pStyle w:val="Zkladntext"/>
        <w:numPr>
          <w:ilvl w:val="0"/>
          <w:numId w:val="54"/>
        </w:numPr>
        <w:tabs>
          <w:tab w:val="left" w:pos="360"/>
        </w:tabs>
        <w:suppressAutoHyphens w:val="0"/>
        <w:autoSpaceDE w:val="0"/>
        <w:autoSpaceDN w:val="0"/>
        <w:adjustRightInd w:val="0"/>
        <w:spacing w:before="120" w:after="0" w:line="288" w:lineRule="auto"/>
        <w:jc w:val="both"/>
        <w:rPr>
          <w:rFonts w:ascii="Arial" w:hAnsi="Arial" w:cs="Arial"/>
          <w:sz w:val="22"/>
          <w:szCs w:val="22"/>
        </w:rPr>
      </w:pPr>
      <w:r w:rsidRPr="006031D6">
        <w:rPr>
          <w:rFonts w:ascii="Arial" w:hAnsi="Arial" w:cs="Arial"/>
          <w:sz w:val="22"/>
          <w:szCs w:val="22"/>
        </w:rPr>
        <w:t>-průměr za SČVK Teplice a.s.;</w:t>
      </w:r>
    </w:p>
    <w:p w14:paraId="43BD3391" w14:textId="77777777" w:rsidR="006031D6" w:rsidRPr="006031D6" w:rsidRDefault="006031D6" w:rsidP="006031D6">
      <w:pPr>
        <w:pStyle w:val="Zkladntext"/>
        <w:numPr>
          <w:ilvl w:val="0"/>
          <w:numId w:val="54"/>
        </w:numPr>
        <w:tabs>
          <w:tab w:val="left" w:pos="360"/>
        </w:tabs>
        <w:suppressAutoHyphens w:val="0"/>
        <w:autoSpaceDE w:val="0"/>
        <w:autoSpaceDN w:val="0"/>
        <w:adjustRightInd w:val="0"/>
        <w:spacing w:before="120" w:after="0" w:line="288" w:lineRule="auto"/>
        <w:jc w:val="both"/>
        <w:rPr>
          <w:rFonts w:ascii="Arial" w:hAnsi="Arial" w:cs="Arial"/>
          <w:sz w:val="22"/>
          <w:szCs w:val="22"/>
        </w:rPr>
      </w:pPr>
      <w:r w:rsidRPr="006031D6">
        <w:rPr>
          <w:rFonts w:ascii="Arial" w:hAnsi="Arial" w:cs="Arial"/>
          <w:sz w:val="22"/>
          <w:szCs w:val="22"/>
        </w:rPr>
        <w:t>-průměr za závod Děčín (bez okresu Č. Lípa);</w:t>
      </w:r>
    </w:p>
    <w:p w14:paraId="4C700962" w14:textId="77777777" w:rsidR="006031D6" w:rsidRPr="006031D6" w:rsidRDefault="006031D6" w:rsidP="006031D6">
      <w:pPr>
        <w:pStyle w:val="Zkladntext"/>
        <w:numPr>
          <w:ilvl w:val="0"/>
          <w:numId w:val="54"/>
        </w:numPr>
        <w:tabs>
          <w:tab w:val="left" w:pos="360"/>
        </w:tabs>
        <w:suppressAutoHyphens w:val="0"/>
        <w:autoSpaceDE w:val="0"/>
        <w:autoSpaceDN w:val="0"/>
        <w:adjustRightInd w:val="0"/>
        <w:spacing w:before="120" w:after="0" w:line="288" w:lineRule="auto"/>
        <w:jc w:val="both"/>
        <w:rPr>
          <w:rFonts w:ascii="Arial" w:hAnsi="Arial" w:cs="Arial"/>
          <w:sz w:val="22"/>
          <w:szCs w:val="22"/>
        </w:rPr>
      </w:pPr>
      <w:r w:rsidRPr="006031D6">
        <w:rPr>
          <w:rFonts w:ascii="Arial" w:hAnsi="Arial" w:cs="Arial"/>
          <w:sz w:val="22"/>
          <w:szCs w:val="22"/>
        </w:rPr>
        <w:t>-průměr za Děčín – skupina Hřensko;</w:t>
      </w:r>
    </w:p>
    <w:p w14:paraId="0124C7ED" w14:textId="77777777" w:rsidR="006031D6" w:rsidRPr="006031D6" w:rsidRDefault="006031D6" w:rsidP="006031D6">
      <w:pPr>
        <w:pStyle w:val="Zkladntext"/>
        <w:numPr>
          <w:ilvl w:val="0"/>
          <w:numId w:val="54"/>
        </w:numPr>
        <w:tabs>
          <w:tab w:val="left" w:pos="360"/>
        </w:tabs>
        <w:suppressAutoHyphens w:val="0"/>
        <w:autoSpaceDE w:val="0"/>
        <w:autoSpaceDN w:val="0"/>
        <w:adjustRightInd w:val="0"/>
        <w:spacing w:before="120" w:after="0" w:line="288" w:lineRule="auto"/>
        <w:jc w:val="both"/>
        <w:rPr>
          <w:rFonts w:ascii="Arial" w:hAnsi="Arial" w:cs="Arial"/>
          <w:sz w:val="22"/>
          <w:szCs w:val="22"/>
        </w:rPr>
      </w:pPr>
      <w:r w:rsidRPr="006031D6">
        <w:rPr>
          <w:rFonts w:ascii="Arial" w:hAnsi="Arial" w:cs="Arial"/>
          <w:sz w:val="22"/>
          <w:szCs w:val="22"/>
        </w:rPr>
        <w:t>-pro hygienické minimum pro obyvatelstvo = 80 l/os/den.</w:t>
      </w:r>
    </w:p>
    <w:p w14:paraId="7B1681F8" w14:textId="77777777" w:rsidR="006031D6" w:rsidRPr="006031D6" w:rsidRDefault="006031D6" w:rsidP="006031D6">
      <w:pPr>
        <w:pStyle w:val="Zkladntext"/>
        <w:tabs>
          <w:tab w:val="left" w:pos="360"/>
        </w:tabs>
        <w:spacing w:line="240" w:lineRule="atLeast"/>
        <w:ind w:left="360" w:hanging="360"/>
        <w:rPr>
          <w:rFonts w:ascii="Arial" w:hAnsi="Arial" w:cs="Arial"/>
        </w:rPr>
      </w:pPr>
    </w:p>
    <w:p w14:paraId="2985141D" w14:textId="77777777" w:rsidR="006031D6" w:rsidRPr="006031D6" w:rsidRDefault="006031D6" w:rsidP="006031D6">
      <w:pPr>
        <w:pStyle w:val="Zkladntext"/>
        <w:spacing w:line="240" w:lineRule="atLeast"/>
        <w:ind w:left="6480"/>
        <w:rPr>
          <w:rFonts w:ascii="Arial" w:hAnsi="Arial" w:cs="Arial"/>
          <w:sz w:val="22"/>
          <w:szCs w:val="22"/>
        </w:rPr>
      </w:pPr>
      <w:r w:rsidRPr="006031D6">
        <w:rPr>
          <w:rFonts w:ascii="Arial" w:hAnsi="Arial" w:cs="Arial"/>
          <w:sz w:val="22"/>
          <w:szCs w:val="22"/>
        </w:rPr>
        <w:t xml:space="preserve">              </w:t>
      </w:r>
      <w:r w:rsidRPr="006031D6">
        <w:rPr>
          <w:rFonts w:ascii="Arial" w:hAnsi="Arial" w:cs="Arial"/>
          <w:b/>
          <w:bCs/>
          <w:caps/>
          <w:sz w:val="22"/>
          <w:szCs w:val="22"/>
        </w:rPr>
        <w:t xml:space="preserve"> Tabulka č. 3</w:t>
      </w:r>
    </w:p>
    <w:tbl>
      <w:tblPr>
        <w:tblW w:w="0" w:type="auto"/>
        <w:jc w:val="center"/>
        <w:tblLayout w:type="fixed"/>
        <w:tblCellMar>
          <w:left w:w="70" w:type="dxa"/>
          <w:right w:w="70" w:type="dxa"/>
        </w:tblCellMar>
        <w:tblLook w:val="0000" w:firstRow="0" w:lastRow="0" w:firstColumn="0" w:lastColumn="0" w:noHBand="0" w:noVBand="0"/>
      </w:tblPr>
      <w:tblGrid>
        <w:gridCol w:w="1155"/>
        <w:gridCol w:w="1225"/>
        <w:gridCol w:w="1118"/>
        <w:gridCol w:w="900"/>
        <w:gridCol w:w="1050"/>
        <w:gridCol w:w="1036"/>
        <w:gridCol w:w="1230"/>
      </w:tblGrid>
      <w:tr w:rsidR="006031D6" w:rsidRPr="006031D6" w14:paraId="5C500304" w14:textId="77777777" w:rsidTr="002D2D45">
        <w:trPr>
          <w:jc w:val="center"/>
        </w:trPr>
        <w:tc>
          <w:tcPr>
            <w:tcW w:w="1155" w:type="dxa"/>
            <w:vMerge w:val="restart"/>
            <w:tcBorders>
              <w:top w:val="single" w:sz="6" w:space="0" w:color="auto"/>
              <w:left w:val="single" w:sz="6" w:space="0" w:color="auto"/>
              <w:right w:val="single" w:sz="6" w:space="0" w:color="auto"/>
            </w:tcBorders>
          </w:tcPr>
          <w:p w14:paraId="716155B4" w14:textId="77777777" w:rsidR="006031D6" w:rsidRPr="006031D6" w:rsidRDefault="006031D6" w:rsidP="006031D6">
            <w:pPr>
              <w:pStyle w:val="Zkladntext"/>
              <w:spacing w:after="0" w:line="240" w:lineRule="atLeast"/>
              <w:rPr>
                <w:rFonts w:ascii="Arial" w:hAnsi="Arial" w:cs="Arial"/>
              </w:rPr>
            </w:pPr>
          </w:p>
          <w:p w14:paraId="3E21CAEF" w14:textId="77777777" w:rsidR="006031D6" w:rsidRPr="006031D6" w:rsidRDefault="006031D6" w:rsidP="006031D6">
            <w:pPr>
              <w:pStyle w:val="Texttabulky"/>
              <w:spacing w:after="0" w:line="240" w:lineRule="atLeast"/>
              <w:rPr>
                <w:rFonts w:cs="Arial"/>
              </w:rPr>
            </w:pPr>
            <w:r w:rsidRPr="006031D6">
              <w:rPr>
                <w:rFonts w:cs="Arial"/>
                <w:b/>
                <w:bCs/>
              </w:rPr>
              <w:t>Průměr za</w:t>
            </w:r>
          </w:p>
        </w:tc>
        <w:tc>
          <w:tcPr>
            <w:tcW w:w="1225" w:type="dxa"/>
            <w:vMerge w:val="restart"/>
            <w:tcBorders>
              <w:top w:val="single" w:sz="6" w:space="0" w:color="auto"/>
              <w:left w:val="single" w:sz="6" w:space="0" w:color="auto"/>
              <w:right w:val="single" w:sz="6" w:space="0" w:color="auto"/>
            </w:tcBorders>
          </w:tcPr>
          <w:p w14:paraId="31730612" w14:textId="77777777" w:rsidR="006031D6" w:rsidRPr="006031D6" w:rsidRDefault="006031D6" w:rsidP="006031D6">
            <w:pPr>
              <w:pStyle w:val="Zkladntext"/>
              <w:spacing w:after="0" w:line="240" w:lineRule="atLeast"/>
              <w:rPr>
                <w:rFonts w:ascii="Arial" w:hAnsi="Arial" w:cs="Arial"/>
              </w:rPr>
            </w:pPr>
          </w:p>
          <w:p w14:paraId="24BCB2D0" w14:textId="77777777" w:rsidR="006031D6" w:rsidRPr="006031D6" w:rsidRDefault="006031D6" w:rsidP="006031D6">
            <w:pPr>
              <w:pStyle w:val="Texttabulky"/>
              <w:spacing w:after="0" w:line="240" w:lineRule="atLeast"/>
              <w:rPr>
                <w:rFonts w:cs="Arial"/>
              </w:rPr>
            </w:pPr>
            <w:r w:rsidRPr="006031D6">
              <w:rPr>
                <w:rFonts w:cs="Arial"/>
                <w:b/>
                <w:bCs/>
              </w:rPr>
              <w:t>část skupiny</w:t>
            </w:r>
          </w:p>
        </w:tc>
        <w:tc>
          <w:tcPr>
            <w:tcW w:w="2018" w:type="dxa"/>
            <w:gridSpan w:val="2"/>
            <w:tcBorders>
              <w:top w:val="single" w:sz="6" w:space="0" w:color="auto"/>
              <w:left w:val="single" w:sz="6" w:space="0" w:color="auto"/>
              <w:bottom w:val="single" w:sz="6" w:space="0" w:color="auto"/>
              <w:right w:val="single" w:sz="6" w:space="0" w:color="auto"/>
            </w:tcBorders>
          </w:tcPr>
          <w:p w14:paraId="762499F8" w14:textId="77777777" w:rsidR="006031D6" w:rsidRPr="006031D6" w:rsidRDefault="006031D6" w:rsidP="006031D6">
            <w:pPr>
              <w:pStyle w:val="Zkladntext"/>
              <w:spacing w:after="0"/>
              <w:rPr>
                <w:rFonts w:ascii="Arial" w:hAnsi="Arial" w:cs="Arial"/>
              </w:rPr>
            </w:pPr>
            <w:r w:rsidRPr="006031D6">
              <w:rPr>
                <w:rFonts w:ascii="Arial" w:hAnsi="Arial" w:cs="Arial"/>
                <w:b/>
                <w:bCs/>
              </w:rPr>
              <w:t>1 998</w:t>
            </w:r>
          </w:p>
        </w:tc>
        <w:tc>
          <w:tcPr>
            <w:tcW w:w="3316" w:type="dxa"/>
            <w:gridSpan w:val="3"/>
            <w:tcBorders>
              <w:top w:val="single" w:sz="6" w:space="0" w:color="auto"/>
              <w:left w:val="single" w:sz="6" w:space="0" w:color="auto"/>
              <w:bottom w:val="single" w:sz="6" w:space="0" w:color="auto"/>
              <w:right w:val="single" w:sz="6" w:space="0" w:color="auto"/>
            </w:tcBorders>
          </w:tcPr>
          <w:p w14:paraId="7533B913" w14:textId="77777777" w:rsidR="006031D6" w:rsidRPr="006031D6" w:rsidRDefault="006031D6" w:rsidP="006031D6">
            <w:pPr>
              <w:pStyle w:val="Zkladntext"/>
              <w:spacing w:after="0"/>
              <w:rPr>
                <w:rFonts w:ascii="Arial" w:hAnsi="Arial" w:cs="Arial"/>
              </w:rPr>
            </w:pPr>
            <w:r w:rsidRPr="006031D6">
              <w:rPr>
                <w:rFonts w:ascii="Arial" w:hAnsi="Arial" w:cs="Arial"/>
                <w:b/>
                <w:bCs/>
              </w:rPr>
              <w:t>výhled</w:t>
            </w:r>
          </w:p>
        </w:tc>
      </w:tr>
      <w:tr w:rsidR="006031D6" w:rsidRPr="006031D6" w14:paraId="6A083E3F" w14:textId="77777777" w:rsidTr="002D2D45">
        <w:trPr>
          <w:jc w:val="center"/>
        </w:trPr>
        <w:tc>
          <w:tcPr>
            <w:tcW w:w="1155" w:type="dxa"/>
            <w:vMerge/>
            <w:tcBorders>
              <w:left w:val="single" w:sz="6" w:space="0" w:color="auto"/>
              <w:right w:val="single" w:sz="6" w:space="0" w:color="auto"/>
            </w:tcBorders>
          </w:tcPr>
          <w:p w14:paraId="049086B3" w14:textId="77777777" w:rsidR="006031D6" w:rsidRPr="006031D6" w:rsidRDefault="006031D6" w:rsidP="006031D6">
            <w:pPr>
              <w:pStyle w:val="Zkladntext"/>
              <w:spacing w:after="0"/>
              <w:rPr>
                <w:rFonts w:ascii="Arial" w:hAnsi="Arial" w:cs="Arial"/>
              </w:rPr>
            </w:pPr>
          </w:p>
        </w:tc>
        <w:tc>
          <w:tcPr>
            <w:tcW w:w="1225" w:type="dxa"/>
            <w:vMerge/>
            <w:tcBorders>
              <w:left w:val="single" w:sz="6" w:space="0" w:color="auto"/>
              <w:right w:val="single" w:sz="6" w:space="0" w:color="auto"/>
            </w:tcBorders>
          </w:tcPr>
          <w:p w14:paraId="378C3720" w14:textId="77777777" w:rsidR="006031D6" w:rsidRPr="006031D6" w:rsidRDefault="006031D6" w:rsidP="006031D6">
            <w:pPr>
              <w:pStyle w:val="Zkladntext"/>
              <w:spacing w:after="0"/>
              <w:rPr>
                <w:rFonts w:ascii="Arial" w:hAnsi="Arial" w:cs="Arial"/>
              </w:rPr>
            </w:pPr>
          </w:p>
        </w:tc>
        <w:tc>
          <w:tcPr>
            <w:tcW w:w="1118" w:type="dxa"/>
            <w:tcBorders>
              <w:top w:val="single" w:sz="6" w:space="0" w:color="auto"/>
              <w:left w:val="single" w:sz="6" w:space="0" w:color="auto"/>
              <w:bottom w:val="single" w:sz="6" w:space="0" w:color="auto"/>
              <w:right w:val="single" w:sz="6" w:space="0" w:color="auto"/>
            </w:tcBorders>
          </w:tcPr>
          <w:p w14:paraId="192BA603" w14:textId="77777777" w:rsidR="006031D6" w:rsidRPr="006031D6" w:rsidRDefault="006031D6" w:rsidP="006031D6">
            <w:pPr>
              <w:pStyle w:val="Texttabulky"/>
              <w:spacing w:after="0" w:line="240" w:lineRule="atLeast"/>
              <w:rPr>
                <w:rFonts w:cs="Arial"/>
              </w:rPr>
            </w:pPr>
            <w:r w:rsidRPr="006031D6">
              <w:rPr>
                <w:rFonts w:cs="Arial"/>
                <w:b/>
                <w:bCs/>
              </w:rPr>
              <w:t>Qd</w:t>
            </w:r>
          </w:p>
        </w:tc>
        <w:tc>
          <w:tcPr>
            <w:tcW w:w="900" w:type="dxa"/>
            <w:tcBorders>
              <w:top w:val="single" w:sz="6" w:space="0" w:color="auto"/>
              <w:left w:val="single" w:sz="6" w:space="0" w:color="auto"/>
              <w:bottom w:val="single" w:sz="6" w:space="0" w:color="auto"/>
              <w:right w:val="single" w:sz="6" w:space="0" w:color="auto"/>
            </w:tcBorders>
          </w:tcPr>
          <w:p w14:paraId="3A8C7D55" w14:textId="77777777" w:rsidR="006031D6" w:rsidRPr="006031D6" w:rsidRDefault="006031D6" w:rsidP="006031D6">
            <w:pPr>
              <w:pStyle w:val="Texttabulky"/>
              <w:spacing w:after="0" w:line="240" w:lineRule="atLeast"/>
              <w:rPr>
                <w:rFonts w:cs="Arial"/>
              </w:rPr>
            </w:pPr>
            <w:r w:rsidRPr="006031D6">
              <w:rPr>
                <w:rFonts w:cs="Arial"/>
                <w:b/>
                <w:bCs/>
              </w:rPr>
              <w:t>Qmax</w:t>
            </w:r>
          </w:p>
        </w:tc>
        <w:tc>
          <w:tcPr>
            <w:tcW w:w="1050" w:type="dxa"/>
            <w:tcBorders>
              <w:top w:val="single" w:sz="6" w:space="0" w:color="auto"/>
              <w:left w:val="single" w:sz="6" w:space="0" w:color="auto"/>
              <w:bottom w:val="single" w:sz="6" w:space="0" w:color="auto"/>
              <w:right w:val="single" w:sz="6" w:space="0" w:color="auto"/>
            </w:tcBorders>
          </w:tcPr>
          <w:p w14:paraId="3AB10138" w14:textId="77777777" w:rsidR="006031D6" w:rsidRPr="006031D6" w:rsidRDefault="006031D6" w:rsidP="006031D6">
            <w:pPr>
              <w:pStyle w:val="Texttabulky"/>
              <w:spacing w:after="0" w:line="240" w:lineRule="atLeast"/>
              <w:rPr>
                <w:rFonts w:cs="Arial"/>
              </w:rPr>
            </w:pPr>
            <w:r w:rsidRPr="006031D6">
              <w:rPr>
                <w:rFonts w:cs="Arial"/>
                <w:b/>
                <w:bCs/>
              </w:rPr>
              <w:t>Qd</w:t>
            </w:r>
          </w:p>
        </w:tc>
        <w:tc>
          <w:tcPr>
            <w:tcW w:w="1036" w:type="dxa"/>
            <w:vMerge w:val="restart"/>
            <w:tcBorders>
              <w:top w:val="single" w:sz="6" w:space="0" w:color="auto"/>
              <w:left w:val="single" w:sz="6" w:space="0" w:color="auto"/>
              <w:right w:val="single" w:sz="6" w:space="0" w:color="auto"/>
            </w:tcBorders>
          </w:tcPr>
          <w:p w14:paraId="338884EE" w14:textId="77777777" w:rsidR="006031D6" w:rsidRPr="006031D6" w:rsidRDefault="006031D6" w:rsidP="006031D6">
            <w:pPr>
              <w:pStyle w:val="Texttabulky"/>
              <w:spacing w:after="0" w:line="240" w:lineRule="atLeast"/>
              <w:rPr>
                <w:rFonts w:cs="Arial"/>
              </w:rPr>
            </w:pPr>
            <w:r w:rsidRPr="006031D6">
              <w:rPr>
                <w:rFonts w:cs="Arial"/>
                <w:b/>
                <w:bCs/>
              </w:rPr>
              <w:t>kd = 1,5</w:t>
            </w:r>
          </w:p>
        </w:tc>
        <w:tc>
          <w:tcPr>
            <w:tcW w:w="1230" w:type="dxa"/>
            <w:tcBorders>
              <w:top w:val="single" w:sz="6" w:space="0" w:color="auto"/>
              <w:left w:val="single" w:sz="6" w:space="0" w:color="auto"/>
              <w:bottom w:val="single" w:sz="6" w:space="0" w:color="auto"/>
              <w:right w:val="single" w:sz="6" w:space="0" w:color="auto"/>
            </w:tcBorders>
          </w:tcPr>
          <w:p w14:paraId="17607229" w14:textId="77777777" w:rsidR="006031D6" w:rsidRPr="006031D6" w:rsidRDefault="006031D6" w:rsidP="006031D6">
            <w:pPr>
              <w:pStyle w:val="Texttabulky"/>
              <w:spacing w:after="0" w:line="240" w:lineRule="atLeast"/>
              <w:rPr>
                <w:rFonts w:cs="Arial"/>
              </w:rPr>
            </w:pPr>
            <w:r w:rsidRPr="006031D6">
              <w:rPr>
                <w:rFonts w:cs="Arial"/>
                <w:b/>
                <w:bCs/>
              </w:rPr>
              <w:t>Qmax</w:t>
            </w:r>
          </w:p>
        </w:tc>
      </w:tr>
      <w:tr w:rsidR="006031D6" w:rsidRPr="006031D6" w14:paraId="5B94B554" w14:textId="77777777" w:rsidTr="002D2D45">
        <w:trPr>
          <w:jc w:val="center"/>
        </w:trPr>
        <w:tc>
          <w:tcPr>
            <w:tcW w:w="1155" w:type="dxa"/>
            <w:vMerge/>
            <w:tcBorders>
              <w:left w:val="single" w:sz="6" w:space="0" w:color="auto"/>
              <w:bottom w:val="nil"/>
              <w:right w:val="single" w:sz="6" w:space="0" w:color="auto"/>
            </w:tcBorders>
          </w:tcPr>
          <w:p w14:paraId="5948EF4C" w14:textId="77777777" w:rsidR="006031D6" w:rsidRPr="006031D6" w:rsidRDefault="006031D6" w:rsidP="006031D6">
            <w:pPr>
              <w:pStyle w:val="Zkladntext"/>
              <w:spacing w:after="0"/>
              <w:rPr>
                <w:rFonts w:ascii="Arial" w:hAnsi="Arial" w:cs="Arial"/>
              </w:rPr>
            </w:pPr>
          </w:p>
        </w:tc>
        <w:tc>
          <w:tcPr>
            <w:tcW w:w="1225" w:type="dxa"/>
            <w:vMerge/>
            <w:tcBorders>
              <w:left w:val="single" w:sz="6" w:space="0" w:color="auto"/>
              <w:bottom w:val="single" w:sz="6" w:space="0" w:color="auto"/>
              <w:right w:val="single" w:sz="6" w:space="0" w:color="auto"/>
            </w:tcBorders>
          </w:tcPr>
          <w:p w14:paraId="5E110C7A" w14:textId="77777777" w:rsidR="006031D6" w:rsidRPr="006031D6" w:rsidRDefault="006031D6" w:rsidP="006031D6">
            <w:pPr>
              <w:pStyle w:val="Zkladntext"/>
              <w:spacing w:after="0"/>
              <w:rPr>
                <w:rFonts w:ascii="Arial" w:hAnsi="Arial" w:cs="Arial"/>
              </w:rPr>
            </w:pPr>
          </w:p>
        </w:tc>
        <w:tc>
          <w:tcPr>
            <w:tcW w:w="1118" w:type="dxa"/>
            <w:tcBorders>
              <w:top w:val="single" w:sz="6" w:space="0" w:color="auto"/>
              <w:left w:val="single" w:sz="6" w:space="0" w:color="auto"/>
              <w:bottom w:val="single" w:sz="6" w:space="0" w:color="auto"/>
              <w:right w:val="single" w:sz="6" w:space="0" w:color="auto"/>
            </w:tcBorders>
          </w:tcPr>
          <w:p w14:paraId="4F18844E" w14:textId="77777777" w:rsidR="006031D6" w:rsidRPr="006031D6" w:rsidRDefault="006031D6" w:rsidP="006031D6">
            <w:pPr>
              <w:pStyle w:val="Texttabulky"/>
              <w:spacing w:after="0" w:line="240" w:lineRule="atLeast"/>
              <w:rPr>
                <w:rFonts w:cs="Arial"/>
              </w:rPr>
            </w:pPr>
            <w:r w:rsidRPr="006031D6">
              <w:rPr>
                <w:rFonts w:cs="Arial"/>
                <w:b/>
                <w:bCs/>
              </w:rPr>
              <w:t>l/s</w:t>
            </w:r>
          </w:p>
        </w:tc>
        <w:tc>
          <w:tcPr>
            <w:tcW w:w="900" w:type="dxa"/>
            <w:tcBorders>
              <w:top w:val="single" w:sz="6" w:space="0" w:color="auto"/>
              <w:left w:val="single" w:sz="6" w:space="0" w:color="auto"/>
              <w:bottom w:val="single" w:sz="6" w:space="0" w:color="auto"/>
              <w:right w:val="single" w:sz="6" w:space="0" w:color="auto"/>
            </w:tcBorders>
          </w:tcPr>
          <w:p w14:paraId="7A9871F5" w14:textId="77777777" w:rsidR="006031D6" w:rsidRPr="006031D6" w:rsidRDefault="006031D6" w:rsidP="006031D6">
            <w:pPr>
              <w:pStyle w:val="Texttabulky"/>
              <w:spacing w:after="0" w:line="240" w:lineRule="atLeast"/>
              <w:rPr>
                <w:rFonts w:cs="Arial"/>
              </w:rPr>
            </w:pPr>
            <w:r w:rsidRPr="006031D6">
              <w:rPr>
                <w:rFonts w:cs="Arial"/>
                <w:b/>
                <w:bCs/>
              </w:rPr>
              <w:t>l/s</w:t>
            </w:r>
          </w:p>
        </w:tc>
        <w:tc>
          <w:tcPr>
            <w:tcW w:w="1050" w:type="dxa"/>
            <w:tcBorders>
              <w:top w:val="single" w:sz="6" w:space="0" w:color="auto"/>
              <w:left w:val="single" w:sz="6" w:space="0" w:color="auto"/>
              <w:bottom w:val="single" w:sz="6" w:space="0" w:color="auto"/>
              <w:right w:val="single" w:sz="6" w:space="0" w:color="auto"/>
            </w:tcBorders>
          </w:tcPr>
          <w:p w14:paraId="4558CB1A" w14:textId="77777777" w:rsidR="006031D6" w:rsidRPr="006031D6" w:rsidRDefault="006031D6" w:rsidP="006031D6">
            <w:pPr>
              <w:pStyle w:val="Texttabulky"/>
              <w:spacing w:after="0" w:line="240" w:lineRule="atLeast"/>
              <w:rPr>
                <w:rFonts w:cs="Arial"/>
              </w:rPr>
            </w:pPr>
            <w:r w:rsidRPr="006031D6">
              <w:rPr>
                <w:rFonts w:cs="Arial"/>
                <w:b/>
                <w:bCs/>
              </w:rPr>
              <w:t>l/s</w:t>
            </w:r>
          </w:p>
        </w:tc>
        <w:tc>
          <w:tcPr>
            <w:tcW w:w="1036" w:type="dxa"/>
            <w:vMerge/>
            <w:tcBorders>
              <w:left w:val="single" w:sz="6" w:space="0" w:color="auto"/>
              <w:bottom w:val="nil"/>
              <w:right w:val="single" w:sz="6" w:space="0" w:color="auto"/>
            </w:tcBorders>
          </w:tcPr>
          <w:p w14:paraId="7A746B19" w14:textId="77777777" w:rsidR="006031D6" w:rsidRPr="006031D6" w:rsidRDefault="006031D6" w:rsidP="006031D6">
            <w:pPr>
              <w:pStyle w:val="Zkladntext"/>
              <w:spacing w:after="0"/>
              <w:rPr>
                <w:rFonts w:ascii="Arial" w:hAnsi="Arial" w:cs="Arial"/>
              </w:rPr>
            </w:pPr>
          </w:p>
        </w:tc>
        <w:tc>
          <w:tcPr>
            <w:tcW w:w="1230" w:type="dxa"/>
            <w:tcBorders>
              <w:top w:val="single" w:sz="6" w:space="0" w:color="auto"/>
              <w:left w:val="single" w:sz="6" w:space="0" w:color="auto"/>
              <w:bottom w:val="single" w:sz="6" w:space="0" w:color="auto"/>
              <w:right w:val="single" w:sz="6" w:space="0" w:color="auto"/>
            </w:tcBorders>
          </w:tcPr>
          <w:p w14:paraId="5F3DA94C" w14:textId="77777777" w:rsidR="006031D6" w:rsidRPr="006031D6" w:rsidRDefault="006031D6" w:rsidP="006031D6">
            <w:pPr>
              <w:pStyle w:val="Texttabulky"/>
              <w:spacing w:after="0" w:line="240" w:lineRule="atLeast"/>
              <w:rPr>
                <w:rFonts w:cs="Arial"/>
              </w:rPr>
            </w:pPr>
            <w:r w:rsidRPr="006031D6">
              <w:rPr>
                <w:rFonts w:cs="Arial"/>
                <w:b/>
                <w:bCs/>
              </w:rPr>
              <w:t>l/s</w:t>
            </w:r>
          </w:p>
        </w:tc>
      </w:tr>
      <w:tr w:rsidR="006031D6" w:rsidRPr="006031D6" w14:paraId="3C3B07F2" w14:textId="77777777" w:rsidTr="002D2D45">
        <w:trPr>
          <w:jc w:val="center"/>
        </w:trPr>
        <w:tc>
          <w:tcPr>
            <w:tcW w:w="1155" w:type="dxa"/>
            <w:vMerge w:val="restart"/>
            <w:tcBorders>
              <w:top w:val="single" w:sz="6" w:space="0" w:color="auto"/>
              <w:left w:val="single" w:sz="6" w:space="0" w:color="auto"/>
              <w:right w:val="single" w:sz="6" w:space="0" w:color="auto"/>
            </w:tcBorders>
          </w:tcPr>
          <w:p w14:paraId="72FD46DB" w14:textId="77777777" w:rsidR="006031D6" w:rsidRPr="006031D6" w:rsidRDefault="006031D6" w:rsidP="006031D6">
            <w:pPr>
              <w:pStyle w:val="Texttabulky"/>
              <w:spacing w:after="0" w:line="240" w:lineRule="atLeast"/>
              <w:rPr>
                <w:rFonts w:cs="Arial"/>
              </w:rPr>
            </w:pPr>
            <w:r w:rsidRPr="006031D6">
              <w:rPr>
                <w:rFonts w:cs="Arial"/>
                <w:b/>
                <w:bCs/>
              </w:rPr>
              <w:t>ČR</w:t>
            </w:r>
          </w:p>
        </w:tc>
        <w:tc>
          <w:tcPr>
            <w:tcW w:w="1225" w:type="dxa"/>
            <w:tcBorders>
              <w:top w:val="single" w:sz="6" w:space="0" w:color="auto"/>
              <w:left w:val="single" w:sz="6" w:space="0" w:color="auto"/>
              <w:bottom w:val="single" w:sz="6" w:space="0" w:color="auto"/>
              <w:right w:val="single" w:sz="6" w:space="0" w:color="auto"/>
            </w:tcBorders>
          </w:tcPr>
          <w:p w14:paraId="79943C9C" w14:textId="77777777" w:rsidR="006031D6" w:rsidRPr="006031D6" w:rsidRDefault="006031D6" w:rsidP="006031D6">
            <w:pPr>
              <w:pStyle w:val="Texttabulky"/>
              <w:spacing w:after="0" w:line="240" w:lineRule="atLeast"/>
              <w:rPr>
                <w:rFonts w:cs="Arial"/>
              </w:rPr>
            </w:pPr>
            <w:r w:rsidRPr="006031D6">
              <w:rPr>
                <w:rFonts w:cs="Arial"/>
              </w:rPr>
              <w:t>Dc – město</w:t>
            </w:r>
          </w:p>
        </w:tc>
        <w:tc>
          <w:tcPr>
            <w:tcW w:w="1118" w:type="dxa"/>
            <w:tcBorders>
              <w:top w:val="single" w:sz="6" w:space="0" w:color="auto"/>
              <w:left w:val="single" w:sz="6" w:space="0" w:color="auto"/>
              <w:bottom w:val="single" w:sz="6" w:space="0" w:color="auto"/>
              <w:right w:val="single" w:sz="6" w:space="0" w:color="auto"/>
            </w:tcBorders>
          </w:tcPr>
          <w:p w14:paraId="46E63305" w14:textId="77777777" w:rsidR="006031D6" w:rsidRPr="006031D6" w:rsidRDefault="006031D6" w:rsidP="006031D6">
            <w:pPr>
              <w:pStyle w:val="Texttabulky"/>
              <w:spacing w:after="0" w:line="240" w:lineRule="atLeast"/>
              <w:rPr>
                <w:rFonts w:cs="Arial"/>
              </w:rPr>
            </w:pPr>
            <w:r w:rsidRPr="006031D6">
              <w:rPr>
                <w:rFonts w:cs="Arial"/>
              </w:rPr>
              <w:t>153</w:t>
            </w:r>
          </w:p>
        </w:tc>
        <w:tc>
          <w:tcPr>
            <w:tcW w:w="900" w:type="dxa"/>
            <w:tcBorders>
              <w:top w:val="single" w:sz="6" w:space="0" w:color="auto"/>
              <w:left w:val="single" w:sz="6" w:space="0" w:color="auto"/>
              <w:bottom w:val="single" w:sz="6" w:space="0" w:color="auto"/>
              <w:right w:val="single" w:sz="6" w:space="0" w:color="auto"/>
            </w:tcBorders>
          </w:tcPr>
          <w:p w14:paraId="08401485" w14:textId="77777777" w:rsidR="006031D6" w:rsidRPr="006031D6" w:rsidRDefault="006031D6" w:rsidP="006031D6">
            <w:pPr>
              <w:pStyle w:val="Texttabulky"/>
              <w:spacing w:after="0" w:line="240" w:lineRule="atLeast"/>
              <w:rPr>
                <w:rFonts w:cs="Arial"/>
              </w:rPr>
            </w:pPr>
            <w:r w:rsidRPr="006031D6">
              <w:rPr>
                <w:rFonts w:cs="Arial"/>
              </w:rPr>
              <w:t>214</w:t>
            </w:r>
          </w:p>
        </w:tc>
        <w:tc>
          <w:tcPr>
            <w:tcW w:w="1050" w:type="dxa"/>
            <w:tcBorders>
              <w:top w:val="single" w:sz="6" w:space="0" w:color="auto"/>
              <w:left w:val="single" w:sz="6" w:space="0" w:color="auto"/>
              <w:bottom w:val="single" w:sz="6" w:space="0" w:color="auto"/>
              <w:right w:val="single" w:sz="6" w:space="0" w:color="auto"/>
            </w:tcBorders>
          </w:tcPr>
          <w:p w14:paraId="1D5FF3A8" w14:textId="77777777" w:rsidR="006031D6" w:rsidRPr="006031D6" w:rsidRDefault="006031D6" w:rsidP="006031D6">
            <w:pPr>
              <w:pStyle w:val="Texttabulky"/>
              <w:spacing w:after="0" w:line="240" w:lineRule="atLeast"/>
              <w:rPr>
                <w:rFonts w:cs="Arial"/>
              </w:rPr>
            </w:pPr>
            <w:r w:rsidRPr="006031D6">
              <w:rPr>
                <w:rFonts w:cs="Arial"/>
              </w:rPr>
              <w:t>154</w:t>
            </w:r>
          </w:p>
        </w:tc>
        <w:tc>
          <w:tcPr>
            <w:tcW w:w="1036" w:type="dxa"/>
            <w:vMerge w:val="restart"/>
            <w:tcBorders>
              <w:top w:val="single" w:sz="6" w:space="0" w:color="auto"/>
              <w:left w:val="single" w:sz="6" w:space="0" w:color="auto"/>
              <w:right w:val="single" w:sz="6" w:space="0" w:color="auto"/>
            </w:tcBorders>
          </w:tcPr>
          <w:p w14:paraId="0513367F" w14:textId="77777777" w:rsidR="006031D6" w:rsidRPr="006031D6" w:rsidRDefault="006031D6" w:rsidP="006031D6">
            <w:pPr>
              <w:pStyle w:val="Zkladntext"/>
              <w:spacing w:after="0" w:line="240" w:lineRule="atLeast"/>
              <w:rPr>
                <w:rFonts w:ascii="Arial" w:hAnsi="Arial" w:cs="Arial"/>
              </w:rPr>
            </w:pPr>
          </w:p>
          <w:p w14:paraId="4D1E5E08" w14:textId="77777777" w:rsidR="006031D6" w:rsidRPr="006031D6" w:rsidRDefault="006031D6" w:rsidP="006031D6">
            <w:pPr>
              <w:pStyle w:val="Zkladntext"/>
              <w:spacing w:after="0" w:line="240" w:lineRule="atLeast"/>
              <w:rPr>
                <w:rFonts w:ascii="Arial" w:hAnsi="Arial" w:cs="Arial"/>
              </w:rPr>
            </w:pPr>
          </w:p>
          <w:p w14:paraId="210A4614" w14:textId="77777777" w:rsidR="006031D6" w:rsidRPr="006031D6" w:rsidRDefault="006031D6" w:rsidP="006031D6">
            <w:pPr>
              <w:pStyle w:val="Zkladntext"/>
              <w:spacing w:after="0" w:line="240" w:lineRule="atLeast"/>
              <w:rPr>
                <w:rFonts w:ascii="Arial" w:hAnsi="Arial" w:cs="Arial"/>
              </w:rPr>
            </w:pPr>
          </w:p>
          <w:p w14:paraId="222F39B2" w14:textId="77777777" w:rsidR="006031D6" w:rsidRPr="006031D6" w:rsidRDefault="006031D6" w:rsidP="006031D6">
            <w:pPr>
              <w:pStyle w:val="Zkladntext"/>
              <w:spacing w:after="0" w:line="240" w:lineRule="atLeast"/>
              <w:rPr>
                <w:rFonts w:ascii="Arial" w:hAnsi="Arial" w:cs="Arial"/>
              </w:rPr>
            </w:pPr>
          </w:p>
          <w:p w14:paraId="08C51FA2" w14:textId="77777777" w:rsidR="006031D6" w:rsidRPr="006031D6" w:rsidRDefault="006031D6" w:rsidP="006031D6">
            <w:pPr>
              <w:pStyle w:val="Zkladntext"/>
              <w:spacing w:after="0" w:line="240" w:lineRule="atLeast"/>
              <w:rPr>
                <w:rFonts w:ascii="Arial" w:hAnsi="Arial" w:cs="Arial"/>
              </w:rPr>
            </w:pPr>
          </w:p>
          <w:p w14:paraId="0D5B45A6" w14:textId="77777777" w:rsidR="006031D6" w:rsidRPr="006031D6" w:rsidRDefault="006031D6" w:rsidP="006031D6">
            <w:pPr>
              <w:pStyle w:val="Zkladntext"/>
              <w:spacing w:after="0" w:line="240" w:lineRule="atLeast"/>
              <w:rPr>
                <w:rFonts w:ascii="Arial" w:hAnsi="Arial" w:cs="Arial"/>
              </w:rPr>
            </w:pPr>
          </w:p>
          <w:p w14:paraId="018BA2D6" w14:textId="77777777" w:rsidR="006031D6" w:rsidRPr="006031D6" w:rsidRDefault="006031D6" w:rsidP="006031D6">
            <w:pPr>
              <w:pStyle w:val="Zkladntext"/>
              <w:spacing w:after="0" w:line="240" w:lineRule="atLeast"/>
              <w:rPr>
                <w:rFonts w:ascii="Arial" w:hAnsi="Arial" w:cs="Arial"/>
              </w:rPr>
            </w:pPr>
          </w:p>
          <w:p w14:paraId="64F2A1B0" w14:textId="77777777" w:rsidR="006031D6" w:rsidRPr="006031D6" w:rsidRDefault="006031D6" w:rsidP="006031D6">
            <w:pPr>
              <w:pStyle w:val="Zkladntext"/>
              <w:spacing w:after="0" w:line="240" w:lineRule="atLeast"/>
              <w:rPr>
                <w:rFonts w:ascii="Arial" w:hAnsi="Arial" w:cs="Arial"/>
              </w:rPr>
            </w:pPr>
          </w:p>
          <w:p w14:paraId="4B31D4C0" w14:textId="77777777" w:rsidR="006031D6" w:rsidRPr="006031D6" w:rsidRDefault="006031D6" w:rsidP="006031D6">
            <w:pPr>
              <w:pStyle w:val="Zkladntext"/>
              <w:spacing w:after="0" w:line="240" w:lineRule="atLeast"/>
              <w:rPr>
                <w:rFonts w:ascii="Arial" w:hAnsi="Arial" w:cs="Arial"/>
              </w:rPr>
            </w:pPr>
          </w:p>
          <w:p w14:paraId="51BB99B3" w14:textId="77777777" w:rsidR="006031D6" w:rsidRPr="006031D6" w:rsidRDefault="006031D6" w:rsidP="006031D6">
            <w:pPr>
              <w:pStyle w:val="Zkladntext"/>
              <w:spacing w:after="0" w:line="240" w:lineRule="atLeast"/>
              <w:rPr>
                <w:rFonts w:ascii="Arial" w:hAnsi="Arial" w:cs="Arial"/>
              </w:rPr>
            </w:pPr>
          </w:p>
          <w:p w14:paraId="25043A9A" w14:textId="77777777" w:rsidR="006031D6" w:rsidRPr="006031D6" w:rsidRDefault="006031D6" w:rsidP="006031D6">
            <w:pPr>
              <w:pStyle w:val="Zkladntext"/>
              <w:spacing w:after="0" w:line="240" w:lineRule="atLeast"/>
              <w:rPr>
                <w:rFonts w:ascii="Arial" w:hAnsi="Arial" w:cs="Arial"/>
              </w:rPr>
            </w:pPr>
          </w:p>
          <w:p w14:paraId="2E48DFDE" w14:textId="77777777" w:rsidR="006031D6" w:rsidRPr="006031D6" w:rsidRDefault="006031D6" w:rsidP="006031D6">
            <w:pPr>
              <w:pStyle w:val="Zkladntext"/>
              <w:spacing w:after="0" w:line="240" w:lineRule="atLeast"/>
              <w:rPr>
                <w:rFonts w:ascii="Arial" w:hAnsi="Arial" w:cs="Arial"/>
              </w:rPr>
            </w:pPr>
          </w:p>
          <w:p w14:paraId="3CC10AC9" w14:textId="77777777" w:rsidR="006031D6" w:rsidRPr="006031D6" w:rsidRDefault="006031D6" w:rsidP="006031D6">
            <w:pPr>
              <w:pStyle w:val="Zkladntext"/>
              <w:spacing w:after="0" w:line="240" w:lineRule="atLeast"/>
              <w:rPr>
                <w:rFonts w:ascii="Arial" w:hAnsi="Arial" w:cs="Arial"/>
              </w:rPr>
            </w:pPr>
          </w:p>
          <w:p w14:paraId="54C79144" w14:textId="77777777" w:rsidR="006031D6" w:rsidRPr="006031D6" w:rsidRDefault="006031D6" w:rsidP="006031D6">
            <w:pPr>
              <w:pStyle w:val="Zkladntext"/>
              <w:spacing w:after="0" w:line="240" w:lineRule="atLeast"/>
              <w:rPr>
                <w:rFonts w:ascii="Arial" w:hAnsi="Arial" w:cs="Arial"/>
              </w:rPr>
            </w:pPr>
          </w:p>
          <w:p w14:paraId="071CCC27" w14:textId="77777777" w:rsidR="006031D6" w:rsidRPr="006031D6" w:rsidRDefault="006031D6" w:rsidP="006031D6">
            <w:pPr>
              <w:pStyle w:val="Texttabulky"/>
              <w:spacing w:after="0" w:line="240" w:lineRule="atLeast"/>
              <w:rPr>
                <w:rFonts w:cs="Arial"/>
              </w:rPr>
            </w:pPr>
            <w:r w:rsidRPr="006031D6">
              <w:rPr>
                <w:rFonts w:cs="Arial"/>
              </w:rPr>
              <w:t>1,5</w:t>
            </w:r>
          </w:p>
        </w:tc>
        <w:tc>
          <w:tcPr>
            <w:tcW w:w="1230" w:type="dxa"/>
            <w:tcBorders>
              <w:top w:val="single" w:sz="6" w:space="0" w:color="auto"/>
              <w:left w:val="single" w:sz="6" w:space="0" w:color="auto"/>
              <w:bottom w:val="single" w:sz="6" w:space="0" w:color="auto"/>
              <w:right w:val="single" w:sz="6" w:space="0" w:color="auto"/>
            </w:tcBorders>
          </w:tcPr>
          <w:p w14:paraId="76D09D9A" w14:textId="77777777" w:rsidR="006031D6" w:rsidRPr="006031D6" w:rsidRDefault="006031D6" w:rsidP="006031D6">
            <w:pPr>
              <w:pStyle w:val="Texttabulky"/>
              <w:spacing w:after="0" w:line="240" w:lineRule="atLeast"/>
              <w:rPr>
                <w:rFonts w:cs="Arial"/>
              </w:rPr>
            </w:pPr>
            <w:r w:rsidRPr="006031D6">
              <w:rPr>
                <w:rFonts w:cs="Arial"/>
              </w:rPr>
              <w:lastRenderedPageBreak/>
              <w:t>231</w:t>
            </w:r>
          </w:p>
        </w:tc>
      </w:tr>
      <w:tr w:rsidR="006031D6" w:rsidRPr="006031D6" w14:paraId="7D59E05A" w14:textId="77777777" w:rsidTr="002D2D45">
        <w:trPr>
          <w:jc w:val="center"/>
        </w:trPr>
        <w:tc>
          <w:tcPr>
            <w:tcW w:w="1155" w:type="dxa"/>
            <w:vMerge/>
            <w:tcBorders>
              <w:left w:val="single" w:sz="6" w:space="0" w:color="auto"/>
              <w:right w:val="single" w:sz="6" w:space="0" w:color="auto"/>
            </w:tcBorders>
          </w:tcPr>
          <w:p w14:paraId="3FAC9113" w14:textId="77777777" w:rsidR="006031D6" w:rsidRPr="006031D6" w:rsidRDefault="006031D6" w:rsidP="006031D6">
            <w:pPr>
              <w:pStyle w:val="Zkladntext"/>
              <w:spacing w:after="0"/>
              <w:rPr>
                <w:rFonts w:ascii="Arial" w:hAnsi="Arial" w:cs="Arial"/>
              </w:rPr>
            </w:pPr>
          </w:p>
        </w:tc>
        <w:tc>
          <w:tcPr>
            <w:tcW w:w="1225" w:type="dxa"/>
            <w:tcBorders>
              <w:top w:val="single" w:sz="6" w:space="0" w:color="auto"/>
              <w:left w:val="single" w:sz="6" w:space="0" w:color="auto"/>
              <w:bottom w:val="single" w:sz="6" w:space="0" w:color="auto"/>
              <w:right w:val="single" w:sz="6" w:space="0" w:color="auto"/>
            </w:tcBorders>
          </w:tcPr>
          <w:p w14:paraId="5A466EA7" w14:textId="77777777" w:rsidR="006031D6" w:rsidRPr="006031D6" w:rsidRDefault="006031D6" w:rsidP="006031D6">
            <w:pPr>
              <w:pStyle w:val="Texttabulky"/>
              <w:spacing w:after="0" w:line="240" w:lineRule="atLeast"/>
              <w:rPr>
                <w:rFonts w:cs="Arial"/>
              </w:rPr>
            </w:pPr>
            <w:r w:rsidRPr="006031D6">
              <w:rPr>
                <w:rFonts w:cs="Arial"/>
              </w:rPr>
              <w:t>venkov</w:t>
            </w:r>
          </w:p>
        </w:tc>
        <w:tc>
          <w:tcPr>
            <w:tcW w:w="1118" w:type="dxa"/>
            <w:tcBorders>
              <w:top w:val="single" w:sz="6" w:space="0" w:color="auto"/>
              <w:left w:val="single" w:sz="6" w:space="0" w:color="auto"/>
              <w:bottom w:val="single" w:sz="6" w:space="0" w:color="auto"/>
              <w:right w:val="single" w:sz="6" w:space="0" w:color="auto"/>
            </w:tcBorders>
          </w:tcPr>
          <w:p w14:paraId="5B0FD3F5" w14:textId="77777777" w:rsidR="006031D6" w:rsidRPr="006031D6" w:rsidRDefault="006031D6" w:rsidP="006031D6">
            <w:pPr>
              <w:pStyle w:val="Texttabulky"/>
              <w:spacing w:after="0" w:line="240" w:lineRule="atLeast"/>
              <w:rPr>
                <w:rFonts w:cs="Arial"/>
              </w:rPr>
            </w:pPr>
            <w:r w:rsidRPr="006031D6">
              <w:rPr>
                <w:rFonts w:cs="Arial"/>
              </w:rPr>
              <w:t>18</w:t>
            </w:r>
          </w:p>
        </w:tc>
        <w:tc>
          <w:tcPr>
            <w:tcW w:w="900" w:type="dxa"/>
            <w:tcBorders>
              <w:top w:val="single" w:sz="6" w:space="0" w:color="auto"/>
              <w:left w:val="single" w:sz="6" w:space="0" w:color="auto"/>
              <w:bottom w:val="single" w:sz="6" w:space="0" w:color="auto"/>
              <w:right w:val="single" w:sz="6" w:space="0" w:color="auto"/>
            </w:tcBorders>
          </w:tcPr>
          <w:p w14:paraId="09434F4D" w14:textId="77777777" w:rsidR="006031D6" w:rsidRPr="006031D6" w:rsidRDefault="006031D6" w:rsidP="006031D6">
            <w:pPr>
              <w:pStyle w:val="Texttabulky"/>
              <w:spacing w:after="0" w:line="240" w:lineRule="atLeast"/>
              <w:rPr>
                <w:rFonts w:cs="Arial"/>
              </w:rPr>
            </w:pPr>
            <w:r w:rsidRPr="006031D6">
              <w:rPr>
                <w:rFonts w:cs="Arial"/>
              </w:rPr>
              <w:t>25</w:t>
            </w:r>
          </w:p>
        </w:tc>
        <w:tc>
          <w:tcPr>
            <w:tcW w:w="1050" w:type="dxa"/>
            <w:tcBorders>
              <w:top w:val="single" w:sz="6" w:space="0" w:color="auto"/>
              <w:left w:val="single" w:sz="6" w:space="0" w:color="auto"/>
              <w:bottom w:val="single" w:sz="6" w:space="0" w:color="auto"/>
              <w:right w:val="single" w:sz="6" w:space="0" w:color="auto"/>
            </w:tcBorders>
          </w:tcPr>
          <w:p w14:paraId="7645E2A9" w14:textId="77777777" w:rsidR="006031D6" w:rsidRPr="006031D6" w:rsidRDefault="006031D6" w:rsidP="006031D6">
            <w:pPr>
              <w:pStyle w:val="Texttabulky"/>
              <w:spacing w:after="0" w:line="240" w:lineRule="atLeast"/>
              <w:rPr>
                <w:rFonts w:cs="Arial"/>
              </w:rPr>
            </w:pPr>
            <w:r w:rsidRPr="006031D6">
              <w:rPr>
                <w:rFonts w:cs="Arial"/>
              </w:rPr>
              <w:t>18</w:t>
            </w:r>
          </w:p>
        </w:tc>
        <w:tc>
          <w:tcPr>
            <w:tcW w:w="1036" w:type="dxa"/>
            <w:vMerge/>
            <w:tcBorders>
              <w:left w:val="single" w:sz="6" w:space="0" w:color="auto"/>
              <w:right w:val="single" w:sz="6" w:space="0" w:color="auto"/>
            </w:tcBorders>
          </w:tcPr>
          <w:p w14:paraId="7215553E" w14:textId="77777777" w:rsidR="006031D6" w:rsidRPr="006031D6" w:rsidRDefault="006031D6" w:rsidP="006031D6">
            <w:pPr>
              <w:pStyle w:val="Zkladntext"/>
              <w:spacing w:after="0"/>
              <w:rPr>
                <w:rFonts w:ascii="Arial" w:hAnsi="Arial" w:cs="Arial"/>
              </w:rPr>
            </w:pPr>
          </w:p>
        </w:tc>
        <w:tc>
          <w:tcPr>
            <w:tcW w:w="1230" w:type="dxa"/>
            <w:tcBorders>
              <w:top w:val="single" w:sz="6" w:space="0" w:color="auto"/>
              <w:left w:val="single" w:sz="6" w:space="0" w:color="auto"/>
              <w:bottom w:val="single" w:sz="6" w:space="0" w:color="auto"/>
              <w:right w:val="single" w:sz="6" w:space="0" w:color="auto"/>
            </w:tcBorders>
          </w:tcPr>
          <w:p w14:paraId="3774226F" w14:textId="77777777" w:rsidR="006031D6" w:rsidRPr="006031D6" w:rsidRDefault="006031D6" w:rsidP="006031D6">
            <w:pPr>
              <w:pStyle w:val="Texttabulky"/>
              <w:spacing w:after="0" w:line="240" w:lineRule="atLeast"/>
              <w:rPr>
                <w:rFonts w:cs="Arial"/>
              </w:rPr>
            </w:pPr>
            <w:r w:rsidRPr="006031D6">
              <w:rPr>
                <w:rFonts w:cs="Arial"/>
              </w:rPr>
              <w:t>27</w:t>
            </w:r>
          </w:p>
        </w:tc>
      </w:tr>
      <w:tr w:rsidR="006031D6" w:rsidRPr="006031D6" w14:paraId="4AC1BC8F" w14:textId="77777777" w:rsidTr="002D2D45">
        <w:trPr>
          <w:jc w:val="center"/>
        </w:trPr>
        <w:tc>
          <w:tcPr>
            <w:tcW w:w="1155" w:type="dxa"/>
            <w:vMerge/>
            <w:tcBorders>
              <w:left w:val="single" w:sz="6" w:space="0" w:color="auto"/>
              <w:right w:val="single" w:sz="6" w:space="0" w:color="auto"/>
            </w:tcBorders>
          </w:tcPr>
          <w:p w14:paraId="7C00C957" w14:textId="77777777" w:rsidR="006031D6" w:rsidRPr="006031D6" w:rsidRDefault="006031D6" w:rsidP="006031D6">
            <w:pPr>
              <w:pStyle w:val="Zkladntext"/>
              <w:spacing w:after="0"/>
              <w:rPr>
                <w:rFonts w:ascii="Arial" w:hAnsi="Arial" w:cs="Arial"/>
              </w:rPr>
            </w:pPr>
          </w:p>
        </w:tc>
        <w:tc>
          <w:tcPr>
            <w:tcW w:w="1225" w:type="dxa"/>
            <w:tcBorders>
              <w:top w:val="single" w:sz="6" w:space="0" w:color="auto"/>
              <w:left w:val="single" w:sz="6" w:space="0" w:color="auto"/>
              <w:bottom w:val="single" w:sz="6" w:space="0" w:color="auto"/>
              <w:right w:val="single" w:sz="6" w:space="0" w:color="auto"/>
            </w:tcBorders>
          </w:tcPr>
          <w:p w14:paraId="4538F721" w14:textId="77777777" w:rsidR="006031D6" w:rsidRPr="006031D6" w:rsidRDefault="006031D6" w:rsidP="006031D6">
            <w:pPr>
              <w:pStyle w:val="Texttabulky"/>
              <w:spacing w:after="0" w:line="240" w:lineRule="atLeast"/>
              <w:rPr>
                <w:rFonts w:cs="Arial"/>
              </w:rPr>
            </w:pPr>
            <w:r w:rsidRPr="006031D6">
              <w:rPr>
                <w:rFonts w:cs="Arial"/>
              </w:rPr>
              <w:t>Jílové</w:t>
            </w:r>
          </w:p>
        </w:tc>
        <w:tc>
          <w:tcPr>
            <w:tcW w:w="1118" w:type="dxa"/>
            <w:tcBorders>
              <w:top w:val="single" w:sz="6" w:space="0" w:color="auto"/>
              <w:left w:val="single" w:sz="6" w:space="0" w:color="auto"/>
              <w:bottom w:val="single" w:sz="6" w:space="0" w:color="auto"/>
              <w:right w:val="single" w:sz="6" w:space="0" w:color="auto"/>
            </w:tcBorders>
          </w:tcPr>
          <w:p w14:paraId="356D95D0" w14:textId="77777777" w:rsidR="006031D6" w:rsidRPr="006031D6" w:rsidRDefault="006031D6" w:rsidP="006031D6">
            <w:pPr>
              <w:pStyle w:val="Texttabulky"/>
              <w:spacing w:after="0" w:line="240" w:lineRule="atLeast"/>
              <w:rPr>
                <w:rFonts w:cs="Arial"/>
              </w:rPr>
            </w:pPr>
            <w:r w:rsidRPr="006031D6">
              <w:rPr>
                <w:rFonts w:cs="Arial"/>
              </w:rPr>
              <w:t>12</w:t>
            </w:r>
          </w:p>
        </w:tc>
        <w:tc>
          <w:tcPr>
            <w:tcW w:w="900" w:type="dxa"/>
            <w:tcBorders>
              <w:top w:val="single" w:sz="6" w:space="0" w:color="auto"/>
              <w:left w:val="single" w:sz="6" w:space="0" w:color="auto"/>
              <w:bottom w:val="single" w:sz="6" w:space="0" w:color="auto"/>
              <w:right w:val="single" w:sz="6" w:space="0" w:color="auto"/>
            </w:tcBorders>
          </w:tcPr>
          <w:p w14:paraId="48192AD2" w14:textId="77777777" w:rsidR="006031D6" w:rsidRPr="006031D6" w:rsidRDefault="006031D6" w:rsidP="006031D6">
            <w:pPr>
              <w:pStyle w:val="Texttabulky"/>
              <w:spacing w:after="0" w:line="240" w:lineRule="atLeast"/>
              <w:rPr>
                <w:rFonts w:cs="Arial"/>
              </w:rPr>
            </w:pPr>
            <w:r w:rsidRPr="006031D6">
              <w:rPr>
                <w:rFonts w:cs="Arial"/>
              </w:rPr>
              <w:t>12</w:t>
            </w:r>
          </w:p>
        </w:tc>
        <w:tc>
          <w:tcPr>
            <w:tcW w:w="1050" w:type="dxa"/>
            <w:tcBorders>
              <w:top w:val="single" w:sz="6" w:space="0" w:color="auto"/>
              <w:left w:val="single" w:sz="6" w:space="0" w:color="auto"/>
              <w:bottom w:val="single" w:sz="6" w:space="0" w:color="auto"/>
              <w:right w:val="single" w:sz="6" w:space="0" w:color="auto"/>
            </w:tcBorders>
          </w:tcPr>
          <w:p w14:paraId="088CA777" w14:textId="77777777" w:rsidR="006031D6" w:rsidRPr="006031D6" w:rsidRDefault="006031D6" w:rsidP="006031D6">
            <w:pPr>
              <w:pStyle w:val="Texttabulky"/>
              <w:spacing w:after="0" w:line="240" w:lineRule="atLeast"/>
              <w:rPr>
                <w:rFonts w:cs="Arial"/>
              </w:rPr>
            </w:pPr>
            <w:r w:rsidRPr="006031D6">
              <w:rPr>
                <w:rFonts w:cs="Arial"/>
              </w:rPr>
              <w:t>12</w:t>
            </w:r>
          </w:p>
        </w:tc>
        <w:tc>
          <w:tcPr>
            <w:tcW w:w="1036" w:type="dxa"/>
            <w:vMerge/>
            <w:tcBorders>
              <w:left w:val="single" w:sz="6" w:space="0" w:color="auto"/>
              <w:right w:val="single" w:sz="6" w:space="0" w:color="auto"/>
            </w:tcBorders>
          </w:tcPr>
          <w:p w14:paraId="1701264C" w14:textId="77777777" w:rsidR="006031D6" w:rsidRPr="006031D6" w:rsidRDefault="006031D6" w:rsidP="006031D6">
            <w:pPr>
              <w:pStyle w:val="Zkladntext"/>
              <w:spacing w:after="0"/>
              <w:rPr>
                <w:rFonts w:ascii="Arial" w:hAnsi="Arial" w:cs="Arial"/>
              </w:rPr>
            </w:pPr>
          </w:p>
        </w:tc>
        <w:tc>
          <w:tcPr>
            <w:tcW w:w="1230" w:type="dxa"/>
            <w:tcBorders>
              <w:top w:val="single" w:sz="6" w:space="0" w:color="auto"/>
              <w:left w:val="single" w:sz="6" w:space="0" w:color="auto"/>
              <w:bottom w:val="single" w:sz="6" w:space="0" w:color="auto"/>
              <w:right w:val="single" w:sz="6" w:space="0" w:color="auto"/>
            </w:tcBorders>
          </w:tcPr>
          <w:p w14:paraId="2226EF94" w14:textId="77777777" w:rsidR="006031D6" w:rsidRPr="006031D6" w:rsidRDefault="006031D6" w:rsidP="006031D6">
            <w:pPr>
              <w:pStyle w:val="Texttabulky"/>
              <w:spacing w:after="0" w:line="240" w:lineRule="atLeast"/>
              <w:rPr>
                <w:rFonts w:cs="Arial"/>
              </w:rPr>
            </w:pPr>
            <w:r w:rsidRPr="006031D6">
              <w:rPr>
                <w:rFonts w:cs="Arial"/>
              </w:rPr>
              <w:t>17</w:t>
            </w:r>
          </w:p>
        </w:tc>
      </w:tr>
      <w:tr w:rsidR="006031D6" w:rsidRPr="006031D6" w14:paraId="0C105CBE" w14:textId="77777777" w:rsidTr="002D2D45">
        <w:trPr>
          <w:jc w:val="center"/>
        </w:trPr>
        <w:tc>
          <w:tcPr>
            <w:tcW w:w="1155" w:type="dxa"/>
            <w:vMerge/>
            <w:tcBorders>
              <w:left w:val="single" w:sz="6" w:space="0" w:color="auto"/>
              <w:bottom w:val="single" w:sz="4" w:space="0" w:color="auto"/>
              <w:right w:val="single" w:sz="6" w:space="0" w:color="auto"/>
            </w:tcBorders>
          </w:tcPr>
          <w:p w14:paraId="056B91D8" w14:textId="77777777" w:rsidR="006031D6" w:rsidRPr="006031D6" w:rsidRDefault="006031D6" w:rsidP="006031D6">
            <w:pPr>
              <w:pStyle w:val="Zkladntext"/>
              <w:spacing w:after="0"/>
              <w:rPr>
                <w:rFonts w:ascii="Arial" w:hAnsi="Arial" w:cs="Arial"/>
              </w:rPr>
            </w:pPr>
          </w:p>
        </w:tc>
        <w:tc>
          <w:tcPr>
            <w:tcW w:w="1225" w:type="dxa"/>
            <w:tcBorders>
              <w:top w:val="single" w:sz="6" w:space="0" w:color="auto"/>
              <w:left w:val="single" w:sz="6" w:space="0" w:color="auto"/>
              <w:bottom w:val="single" w:sz="4" w:space="0" w:color="auto"/>
              <w:right w:val="single" w:sz="6" w:space="0" w:color="auto"/>
            </w:tcBorders>
          </w:tcPr>
          <w:p w14:paraId="0AC6C16C" w14:textId="77777777" w:rsidR="006031D6" w:rsidRPr="006031D6" w:rsidRDefault="006031D6" w:rsidP="006031D6">
            <w:pPr>
              <w:pStyle w:val="Texttabulky"/>
              <w:spacing w:after="0" w:line="240" w:lineRule="atLeast"/>
              <w:rPr>
                <w:rFonts w:cs="Arial"/>
              </w:rPr>
            </w:pPr>
            <w:r w:rsidRPr="006031D6">
              <w:rPr>
                <w:rFonts w:cs="Arial"/>
                <w:b/>
                <w:bCs/>
              </w:rPr>
              <w:t>Celkem</w:t>
            </w:r>
          </w:p>
        </w:tc>
        <w:tc>
          <w:tcPr>
            <w:tcW w:w="1118" w:type="dxa"/>
            <w:tcBorders>
              <w:top w:val="single" w:sz="6" w:space="0" w:color="auto"/>
              <w:left w:val="single" w:sz="6" w:space="0" w:color="auto"/>
              <w:bottom w:val="single" w:sz="4" w:space="0" w:color="auto"/>
              <w:right w:val="single" w:sz="6" w:space="0" w:color="auto"/>
            </w:tcBorders>
          </w:tcPr>
          <w:p w14:paraId="05F6F752" w14:textId="77777777" w:rsidR="006031D6" w:rsidRPr="006031D6" w:rsidRDefault="006031D6" w:rsidP="006031D6">
            <w:pPr>
              <w:pStyle w:val="Texttabulky"/>
              <w:spacing w:after="0" w:line="240" w:lineRule="atLeast"/>
              <w:rPr>
                <w:rFonts w:cs="Arial"/>
              </w:rPr>
            </w:pPr>
            <w:r w:rsidRPr="006031D6">
              <w:rPr>
                <w:rFonts w:cs="Arial"/>
                <w:b/>
                <w:bCs/>
              </w:rPr>
              <w:t>183</w:t>
            </w:r>
          </w:p>
        </w:tc>
        <w:tc>
          <w:tcPr>
            <w:tcW w:w="900" w:type="dxa"/>
            <w:tcBorders>
              <w:top w:val="single" w:sz="6" w:space="0" w:color="auto"/>
              <w:left w:val="single" w:sz="6" w:space="0" w:color="auto"/>
              <w:bottom w:val="single" w:sz="4" w:space="0" w:color="auto"/>
              <w:right w:val="single" w:sz="6" w:space="0" w:color="auto"/>
            </w:tcBorders>
          </w:tcPr>
          <w:p w14:paraId="6E7AC945" w14:textId="77777777" w:rsidR="006031D6" w:rsidRPr="006031D6" w:rsidRDefault="006031D6" w:rsidP="006031D6">
            <w:pPr>
              <w:pStyle w:val="Texttabulky"/>
              <w:spacing w:after="0" w:line="240" w:lineRule="atLeast"/>
              <w:rPr>
                <w:rFonts w:cs="Arial"/>
              </w:rPr>
            </w:pPr>
            <w:r w:rsidRPr="006031D6">
              <w:rPr>
                <w:rFonts w:cs="Arial"/>
                <w:b/>
                <w:bCs/>
              </w:rPr>
              <w:t>256</w:t>
            </w:r>
          </w:p>
        </w:tc>
        <w:tc>
          <w:tcPr>
            <w:tcW w:w="1050" w:type="dxa"/>
            <w:tcBorders>
              <w:top w:val="single" w:sz="6" w:space="0" w:color="auto"/>
              <w:left w:val="single" w:sz="6" w:space="0" w:color="auto"/>
              <w:bottom w:val="single" w:sz="4" w:space="0" w:color="auto"/>
              <w:right w:val="single" w:sz="6" w:space="0" w:color="auto"/>
            </w:tcBorders>
          </w:tcPr>
          <w:p w14:paraId="77885D04" w14:textId="77777777" w:rsidR="006031D6" w:rsidRPr="006031D6" w:rsidRDefault="006031D6" w:rsidP="006031D6">
            <w:pPr>
              <w:pStyle w:val="Texttabulky"/>
              <w:spacing w:after="0" w:line="240" w:lineRule="atLeast"/>
              <w:rPr>
                <w:rFonts w:cs="Arial"/>
              </w:rPr>
            </w:pPr>
            <w:r w:rsidRPr="006031D6">
              <w:rPr>
                <w:rFonts w:cs="Arial"/>
                <w:b/>
                <w:bCs/>
              </w:rPr>
              <w:t>184</w:t>
            </w:r>
          </w:p>
        </w:tc>
        <w:tc>
          <w:tcPr>
            <w:tcW w:w="1036" w:type="dxa"/>
            <w:vMerge/>
            <w:tcBorders>
              <w:left w:val="single" w:sz="6" w:space="0" w:color="auto"/>
              <w:bottom w:val="single" w:sz="4" w:space="0" w:color="auto"/>
              <w:right w:val="single" w:sz="6" w:space="0" w:color="auto"/>
            </w:tcBorders>
          </w:tcPr>
          <w:p w14:paraId="45655385" w14:textId="77777777" w:rsidR="006031D6" w:rsidRPr="006031D6" w:rsidRDefault="006031D6" w:rsidP="006031D6">
            <w:pPr>
              <w:pStyle w:val="Zkladntext"/>
              <w:spacing w:after="0"/>
              <w:rPr>
                <w:rFonts w:ascii="Arial" w:hAnsi="Arial" w:cs="Arial"/>
              </w:rPr>
            </w:pPr>
          </w:p>
        </w:tc>
        <w:tc>
          <w:tcPr>
            <w:tcW w:w="1230" w:type="dxa"/>
            <w:tcBorders>
              <w:top w:val="single" w:sz="6" w:space="0" w:color="auto"/>
              <w:left w:val="single" w:sz="6" w:space="0" w:color="auto"/>
              <w:bottom w:val="single" w:sz="4" w:space="0" w:color="auto"/>
              <w:right w:val="single" w:sz="6" w:space="0" w:color="auto"/>
            </w:tcBorders>
          </w:tcPr>
          <w:p w14:paraId="5B41F2E7" w14:textId="77777777" w:rsidR="006031D6" w:rsidRPr="006031D6" w:rsidRDefault="006031D6" w:rsidP="006031D6">
            <w:pPr>
              <w:pStyle w:val="Texttabulky"/>
              <w:spacing w:after="0" w:line="240" w:lineRule="atLeast"/>
              <w:rPr>
                <w:rFonts w:cs="Arial"/>
              </w:rPr>
            </w:pPr>
            <w:r w:rsidRPr="006031D6">
              <w:rPr>
                <w:rFonts w:cs="Arial"/>
                <w:b/>
                <w:bCs/>
              </w:rPr>
              <w:t>276</w:t>
            </w:r>
          </w:p>
        </w:tc>
      </w:tr>
      <w:tr w:rsidR="006031D6" w:rsidRPr="006031D6" w14:paraId="70F5CAFA" w14:textId="77777777" w:rsidTr="002D2D45">
        <w:trPr>
          <w:jc w:val="center"/>
        </w:trPr>
        <w:tc>
          <w:tcPr>
            <w:tcW w:w="1155" w:type="dxa"/>
            <w:vMerge w:val="restart"/>
            <w:tcBorders>
              <w:top w:val="single" w:sz="4" w:space="0" w:color="auto"/>
              <w:left w:val="single" w:sz="4" w:space="0" w:color="auto"/>
              <w:bottom w:val="single" w:sz="4" w:space="0" w:color="auto"/>
              <w:right w:val="single" w:sz="4" w:space="0" w:color="auto"/>
            </w:tcBorders>
          </w:tcPr>
          <w:p w14:paraId="6AC289D0" w14:textId="77777777" w:rsidR="006031D6" w:rsidRPr="006031D6" w:rsidRDefault="006031D6" w:rsidP="006031D6">
            <w:pPr>
              <w:pStyle w:val="Texttabulky"/>
              <w:spacing w:after="0" w:line="240" w:lineRule="atLeast"/>
              <w:rPr>
                <w:rFonts w:cs="Arial"/>
              </w:rPr>
            </w:pPr>
            <w:r w:rsidRPr="006031D6">
              <w:rPr>
                <w:rFonts w:cs="Arial"/>
                <w:b/>
                <w:bCs/>
              </w:rPr>
              <w:t>SčVK</w:t>
            </w:r>
          </w:p>
        </w:tc>
        <w:tc>
          <w:tcPr>
            <w:tcW w:w="1225" w:type="dxa"/>
            <w:tcBorders>
              <w:top w:val="single" w:sz="4" w:space="0" w:color="auto"/>
              <w:left w:val="single" w:sz="4" w:space="0" w:color="auto"/>
              <w:bottom w:val="single" w:sz="4" w:space="0" w:color="auto"/>
              <w:right w:val="single" w:sz="4" w:space="0" w:color="auto"/>
            </w:tcBorders>
          </w:tcPr>
          <w:p w14:paraId="442DD185" w14:textId="77777777" w:rsidR="006031D6" w:rsidRPr="006031D6" w:rsidRDefault="006031D6" w:rsidP="006031D6">
            <w:pPr>
              <w:pStyle w:val="Texttabulky"/>
              <w:spacing w:after="0" w:line="240" w:lineRule="atLeast"/>
              <w:rPr>
                <w:rFonts w:cs="Arial"/>
              </w:rPr>
            </w:pPr>
            <w:r w:rsidRPr="006031D6">
              <w:rPr>
                <w:rFonts w:cs="Arial"/>
              </w:rPr>
              <w:t>Dc – město</w:t>
            </w:r>
          </w:p>
        </w:tc>
        <w:tc>
          <w:tcPr>
            <w:tcW w:w="1118" w:type="dxa"/>
            <w:tcBorders>
              <w:top w:val="single" w:sz="4" w:space="0" w:color="auto"/>
              <w:left w:val="single" w:sz="4" w:space="0" w:color="auto"/>
              <w:bottom w:val="single" w:sz="4" w:space="0" w:color="auto"/>
              <w:right w:val="single" w:sz="4" w:space="0" w:color="auto"/>
            </w:tcBorders>
          </w:tcPr>
          <w:p w14:paraId="2CCBB6CE" w14:textId="77777777" w:rsidR="006031D6" w:rsidRPr="006031D6" w:rsidRDefault="006031D6" w:rsidP="006031D6">
            <w:pPr>
              <w:pStyle w:val="Texttabulky"/>
              <w:spacing w:after="0" w:line="240" w:lineRule="atLeast"/>
              <w:rPr>
                <w:rFonts w:cs="Arial"/>
              </w:rPr>
            </w:pPr>
            <w:r w:rsidRPr="006031D6">
              <w:rPr>
                <w:rFonts w:cs="Arial"/>
              </w:rPr>
              <w:t>153</w:t>
            </w:r>
          </w:p>
        </w:tc>
        <w:tc>
          <w:tcPr>
            <w:tcW w:w="900" w:type="dxa"/>
            <w:tcBorders>
              <w:top w:val="single" w:sz="4" w:space="0" w:color="auto"/>
              <w:left w:val="single" w:sz="4" w:space="0" w:color="auto"/>
              <w:bottom w:val="single" w:sz="4" w:space="0" w:color="auto"/>
              <w:right w:val="single" w:sz="4" w:space="0" w:color="auto"/>
            </w:tcBorders>
          </w:tcPr>
          <w:p w14:paraId="1E30CE5C" w14:textId="77777777" w:rsidR="006031D6" w:rsidRPr="006031D6" w:rsidRDefault="006031D6" w:rsidP="006031D6">
            <w:pPr>
              <w:pStyle w:val="Texttabulky"/>
              <w:spacing w:after="0" w:line="240" w:lineRule="atLeast"/>
              <w:rPr>
                <w:rFonts w:cs="Arial"/>
              </w:rPr>
            </w:pPr>
            <w:r w:rsidRPr="006031D6">
              <w:rPr>
                <w:rFonts w:cs="Arial"/>
              </w:rPr>
              <w:t>214</w:t>
            </w:r>
          </w:p>
        </w:tc>
        <w:tc>
          <w:tcPr>
            <w:tcW w:w="1050" w:type="dxa"/>
            <w:tcBorders>
              <w:top w:val="single" w:sz="4" w:space="0" w:color="auto"/>
              <w:left w:val="single" w:sz="4" w:space="0" w:color="auto"/>
              <w:bottom w:val="single" w:sz="4" w:space="0" w:color="auto"/>
              <w:right w:val="single" w:sz="4" w:space="0" w:color="auto"/>
            </w:tcBorders>
          </w:tcPr>
          <w:p w14:paraId="51696AE0" w14:textId="77777777" w:rsidR="006031D6" w:rsidRPr="006031D6" w:rsidRDefault="006031D6" w:rsidP="006031D6">
            <w:pPr>
              <w:pStyle w:val="Texttabulky"/>
              <w:spacing w:after="0" w:line="240" w:lineRule="atLeast"/>
              <w:rPr>
                <w:rFonts w:cs="Arial"/>
              </w:rPr>
            </w:pPr>
            <w:r w:rsidRPr="006031D6">
              <w:rPr>
                <w:rFonts w:cs="Arial"/>
              </w:rPr>
              <w:t>167</w:t>
            </w:r>
          </w:p>
        </w:tc>
        <w:tc>
          <w:tcPr>
            <w:tcW w:w="1036" w:type="dxa"/>
            <w:vMerge/>
            <w:tcBorders>
              <w:top w:val="single" w:sz="4" w:space="0" w:color="auto"/>
              <w:left w:val="single" w:sz="4" w:space="0" w:color="auto"/>
              <w:bottom w:val="single" w:sz="4" w:space="0" w:color="auto"/>
              <w:right w:val="single" w:sz="4" w:space="0" w:color="auto"/>
            </w:tcBorders>
          </w:tcPr>
          <w:p w14:paraId="5435E9D7"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3358CE79" w14:textId="77777777" w:rsidR="006031D6" w:rsidRPr="006031D6" w:rsidRDefault="006031D6" w:rsidP="006031D6">
            <w:pPr>
              <w:pStyle w:val="Texttabulky"/>
              <w:spacing w:after="0" w:line="240" w:lineRule="atLeast"/>
              <w:rPr>
                <w:rFonts w:cs="Arial"/>
              </w:rPr>
            </w:pPr>
            <w:r w:rsidRPr="006031D6">
              <w:rPr>
                <w:rFonts w:cs="Arial"/>
              </w:rPr>
              <w:t>251</w:t>
            </w:r>
          </w:p>
        </w:tc>
      </w:tr>
      <w:tr w:rsidR="006031D6" w:rsidRPr="006031D6" w14:paraId="57A2E646"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2078BC8D"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52E63E12" w14:textId="77777777" w:rsidR="006031D6" w:rsidRPr="006031D6" w:rsidRDefault="006031D6" w:rsidP="006031D6">
            <w:pPr>
              <w:pStyle w:val="Texttabulky"/>
              <w:spacing w:after="0" w:line="240" w:lineRule="atLeast"/>
              <w:rPr>
                <w:rFonts w:cs="Arial"/>
              </w:rPr>
            </w:pPr>
            <w:r w:rsidRPr="006031D6">
              <w:rPr>
                <w:rFonts w:cs="Arial"/>
              </w:rPr>
              <w:t>venkov</w:t>
            </w:r>
          </w:p>
        </w:tc>
        <w:tc>
          <w:tcPr>
            <w:tcW w:w="1118" w:type="dxa"/>
            <w:tcBorders>
              <w:top w:val="single" w:sz="4" w:space="0" w:color="auto"/>
              <w:left w:val="single" w:sz="4" w:space="0" w:color="auto"/>
              <w:bottom w:val="single" w:sz="4" w:space="0" w:color="auto"/>
              <w:right w:val="single" w:sz="4" w:space="0" w:color="auto"/>
            </w:tcBorders>
          </w:tcPr>
          <w:p w14:paraId="65E81200" w14:textId="77777777" w:rsidR="006031D6" w:rsidRPr="006031D6" w:rsidRDefault="006031D6" w:rsidP="006031D6">
            <w:pPr>
              <w:pStyle w:val="Texttabulky"/>
              <w:spacing w:after="0" w:line="240" w:lineRule="atLeast"/>
              <w:rPr>
                <w:rFonts w:cs="Arial"/>
              </w:rPr>
            </w:pPr>
            <w:r w:rsidRPr="006031D6">
              <w:rPr>
                <w:rFonts w:cs="Arial"/>
              </w:rPr>
              <w:t>18</w:t>
            </w:r>
          </w:p>
        </w:tc>
        <w:tc>
          <w:tcPr>
            <w:tcW w:w="900" w:type="dxa"/>
            <w:tcBorders>
              <w:top w:val="single" w:sz="4" w:space="0" w:color="auto"/>
              <w:left w:val="single" w:sz="4" w:space="0" w:color="auto"/>
              <w:bottom w:val="single" w:sz="4" w:space="0" w:color="auto"/>
              <w:right w:val="single" w:sz="4" w:space="0" w:color="auto"/>
            </w:tcBorders>
          </w:tcPr>
          <w:p w14:paraId="1307858F" w14:textId="77777777" w:rsidR="006031D6" w:rsidRPr="006031D6" w:rsidRDefault="006031D6" w:rsidP="006031D6">
            <w:pPr>
              <w:pStyle w:val="Texttabulky"/>
              <w:spacing w:after="0" w:line="240" w:lineRule="atLeast"/>
              <w:rPr>
                <w:rFonts w:cs="Arial"/>
              </w:rPr>
            </w:pPr>
            <w:r w:rsidRPr="006031D6">
              <w:rPr>
                <w:rFonts w:cs="Arial"/>
              </w:rPr>
              <w:t>25</w:t>
            </w:r>
          </w:p>
        </w:tc>
        <w:tc>
          <w:tcPr>
            <w:tcW w:w="1050" w:type="dxa"/>
            <w:tcBorders>
              <w:top w:val="single" w:sz="4" w:space="0" w:color="auto"/>
              <w:left w:val="single" w:sz="4" w:space="0" w:color="auto"/>
              <w:bottom w:val="single" w:sz="4" w:space="0" w:color="auto"/>
              <w:right w:val="single" w:sz="4" w:space="0" w:color="auto"/>
            </w:tcBorders>
          </w:tcPr>
          <w:p w14:paraId="229B8695" w14:textId="77777777" w:rsidR="006031D6" w:rsidRPr="006031D6" w:rsidRDefault="006031D6" w:rsidP="006031D6">
            <w:pPr>
              <w:pStyle w:val="Texttabulky"/>
              <w:spacing w:after="0" w:line="240" w:lineRule="atLeast"/>
              <w:rPr>
                <w:rFonts w:cs="Arial"/>
              </w:rPr>
            </w:pPr>
            <w:r w:rsidRPr="006031D6">
              <w:rPr>
                <w:rFonts w:cs="Arial"/>
              </w:rPr>
              <w:t>20</w:t>
            </w:r>
          </w:p>
        </w:tc>
        <w:tc>
          <w:tcPr>
            <w:tcW w:w="1036" w:type="dxa"/>
            <w:vMerge/>
            <w:tcBorders>
              <w:top w:val="single" w:sz="4" w:space="0" w:color="auto"/>
              <w:left w:val="single" w:sz="4" w:space="0" w:color="auto"/>
              <w:bottom w:val="single" w:sz="4" w:space="0" w:color="auto"/>
              <w:right w:val="single" w:sz="4" w:space="0" w:color="auto"/>
            </w:tcBorders>
          </w:tcPr>
          <w:p w14:paraId="4386CE7B"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25AC220C" w14:textId="77777777" w:rsidR="006031D6" w:rsidRPr="006031D6" w:rsidRDefault="006031D6" w:rsidP="006031D6">
            <w:pPr>
              <w:pStyle w:val="Texttabulky"/>
              <w:spacing w:after="0" w:line="240" w:lineRule="atLeast"/>
              <w:rPr>
                <w:rFonts w:cs="Arial"/>
              </w:rPr>
            </w:pPr>
            <w:r w:rsidRPr="006031D6">
              <w:rPr>
                <w:rFonts w:cs="Arial"/>
              </w:rPr>
              <w:t>29</w:t>
            </w:r>
          </w:p>
        </w:tc>
      </w:tr>
      <w:tr w:rsidR="006031D6" w:rsidRPr="006031D6" w14:paraId="6831A6A7"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1F68E2F3"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15D73DC0" w14:textId="77777777" w:rsidR="006031D6" w:rsidRPr="006031D6" w:rsidRDefault="006031D6" w:rsidP="006031D6">
            <w:pPr>
              <w:pStyle w:val="Texttabulky"/>
              <w:spacing w:after="0" w:line="240" w:lineRule="atLeast"/>
              <w:rPr>
                <w:rFonts w:cs="Arial"/>
              </w:rPr>
            </w:pPr>
            <w:r w:rsidRPr="006031D6">
              <w:rPr>
                <w:rFonts w:cs="Arial"/>
              </w:rPr>
              <w:t>Jílové</w:t>
            </w:r>
          </w:p>
        </w:tc>
        <w:tc>
          <w:tcPr>
            <w:tcW w:w="1118" w:type="dxa"/>
            <w:tcBorders>
              <w:top w:val="single" w:sz="4" w:space="0" w:color="auto"/>
              <w:left w:val="single" w:sz="4" w:space="0" w:color="auto"/>
              <w:bottom w:val="single" w:sz="4" w:space="0" w:color="auto"/>
              <w:right w:val="single" w:sz="4" w:space="0" w:color="auto"/>
            </w:tcBorders>
          </w:tcPr>
          <w:p w14:paraId="7D68AE70" w14:textId="77777777" w:rsidR="006031D6" w:rsidRPr="006031D6" w:rsidRDefault="006031D6" w:rsidP="006031D6">
            <w:pPr>
              <w:pStyle w:val="Texttabulky"/>
              <w:spacing w:after="0" w:line="240" w:lineRule="atLeast"/>
              <w:rPr>
                <w:rFonts w:cs="Arial"/>
              </w:rPr>
            </w:pPr>
            <w:r w:rsidRPr="006031D6">
              <w:rPr>
                <w:rFonts w:cs="Arial"/>
              </w:rPr>
              <w:t>12</w:t>
            </w:r>
          </w:p>
        </w:tc>
        <w:tc>
          <w:tcPr>
            <w:tcW w:w="900" w:type="dxa"/>
            <w:tcBorders>
              <w:top w:val="single" w:sz="4" w:space="0" w:color="auto"/>
              <w:left w:val="single" w:sz="4" w:space="0" w:color="auto"/>
              <w:bottom w:val="single" w:sz="4" w:space="0" w:color="auto"/>
              <w:right w:val="single" w:sz="4" w:space="0" w:color="auto"/>
            </w:tcBorders>
          </w:tcPr>
          <w:p w14:paraId="33F8E7AA" w14:textId="77777777" w:rsidR="006031D6" w:rsidRPr="006031D6" w:rsidRDefault="006031D6" w:rsidP="006031D6">
            <w:pPr>
              <w:pStyle w:val="Texttabulky"/>
              <w:spacing w:after="0" w:line="240" w:lineRule="atLeast"/>
              <w:rPr>
                <w:rFonts w:cs="Arial"/>
              </w:rPr>
            </w:pPr>
            <w:r w:rsidRPr="006031D6">
              <w:rPr>
                <w:rFonts w:cs="Arial"/>
              </w:rPr>
              <w:t>12</w:t>
            </w:r>
          </w:p>
        </w:tc>
        <w:tc>
          <w:tcPr>
            <w:tcW w:w="1050" w:type="dxa"/>
            <w:tcBorders>
              <w:top w:val="single" w:sz="4" w:space="0" w:color="auto"/>
              <w:left w:val="single" w:sz="4" w:space="0" w:color="auto"/>
              <w:bottom w:val="single" w:sz="4" w:space="0" w:color="auto"/>
              <w:right w:val="single" w:sz="4" w:space="0" w:color="auto"/>
            </w:tcBorders>
          </w:tcPr>
          <w:p w14:paraId="6EDC2AAA" w14:textId="77777777" w:rsidR="006031D6" w:rsidRPr="006031D6" w:rsidRDefault="006031D6" w:rsidP="006031D6">
            <w:pPr>
              <w:pStyle w:val="Texttabulky"/>
              <w:spacing w:after="0" w:line="240" w:lineRule="atLeast"/>
              <w:rPr>
                <w:rFonts w:cs="Arial"/>
              </w:rPr>
            </w:pPr>
            <w:r w:rsidRPr="006031D6">
              <w:rPr>
                <w:rFonts w:cs="Arial"/>
              </w:rPr>
              <w:t>13</w:t>
            </w:r>
          </w:p>
        </w:tc>
        <w:tc>
          <w:tcPr>
            <w:tcW w:w="1036" w:type="dxa"/>
            <w:vMerge/>
            <w:tcBorders>
              <w:top w:val="single" w:sz="4" w:space="0" w:color="auto"/>
              <w:left w:val="single" w:sz="4" w:space="0" w:color="auto"/>
              <w:bottom w:val="single" w:sz="4" w:space="0" w:color="auto"/>
              <w:right w:val="single" w:sz="4" w:space="0" w:color="auto"/>
            </w:tcBorders>
          </w:tcPr>
          <w:p w14:paraId="0F5DA7A8"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16F5A117" w14:textId="77777777" w:rsidR="006031D6" w:rsidRPr="006031D6" w:rsidRDefault="006031D6" w:rsidP="006031D6">
            <w:pPr>
              <w:pStyle w:val="Texttabulky"/>
              <w:spacing w:after="0" w:line="240" w:lineRule="atLeast"/>
              <w:rPr>
                <w:rFonts w:cs="Arial"/>
              </w:rPr>
            </w:pPr>
            <w:r w:rsidRPr="006031D6">
              <w:rPr>
                <w:rFonts w:cs="Arial"/>
              </w:rPr>
              <w:t>19</w:t>
            </w:r>
          </w:p>
        </w:tc>
      </w:tr>
      <w:tr w:rsidR="006031D6" w:rsidRPr="006031D6" w14:paraId="4D041714"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53D33074"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67F6BF89" w14:textId="77777777" w:rsidR="006031D6" w:rsidRPr="006031D6" w:rsidRDefault="006031D6" w:rsidP="006031D6">
            <w:pPr>
              <w:pStyle w:val="Texttabulky"/>
              <w:spacing w:after="0" w:line="240" w:lineRule="atLeast"/>
              <w:rPr>
                <w:rFonts w:cs="Arial"/>
              </w:rPr>
            </w:pPr>
            <w:r w:rsidRPr="006031D6">
              <w:rPr>
                <w:rFonts w:cs="Arial"/>
                <w:b/>
                <w:bCs/>
              </w:rPr>
              <w:t>Celkem</w:t>
            </w:r>
          </w:p>
        </w:tc>
        <w:tc>
          <w:tcPr>
            <w:tcW w:w="1118" w:type="dxa"/>
            <w:tcBorders>
              <w:top w:val="single" w:sz="4" w:space="0" w:color="auto"/>
              <w:left w:val="single" w:sz="4" w:space="0" w:color="auto"/>
              <w:bottom w:val="single" w:sz="4" w:space="0" w:color="auto"/>
              <w:right w:val="single" w:sz="4" w:space="0" w:color="auto"/>
            </w:tcBorders>
          </w:tcPr>
          <w:p w14:paraId="001ECC1B" w14:textId="77777777" w:rsidR="006031D6" w:rsidRPr="006031D6" w:rsidRDefault="006031D6" w:rsidP="006031D6">
            <w:pPr>
              <w:pStyle w:val="Texttabulky"/>
              <w:spacing w:after="0" w:line="240" w:lineRule="atLeast"/>
              <w:rPr>
                <w:rFonts w:cs="Arial"/>
              </w:rPr>
            </w:pPr>
            <w:r w:rsidRPr="006031D6">
              <w:rPr>
                <w:rFonts w:cs="Arial"/>
                <w:b/>
                <w:bCs/>
              </w:rPr>
              <w:t>183</w:t>
            </w:r>
          </w:p>
        </w:tc>
        <w:tc>
          <w:tcPr>
            <w:tcW w:w="900" w:type="dxa"/>
            <w:tcBorders>
              <w:top w:val="single" w:sz="4" w:space="0" w:color="auto"/>
              <w:left w:val="single" w:sz="4" w:space="0" w:color="auto"/>
              <w:bottom w:val="single" w:sz="4" w:space="0" w:color="auto"/>
              <w:right w:val="single" w:sz="4" w:space="0" w:color="auto"/>
            </w:tcBorders>
          </w:tcPr>
          <w:p w14:paraId="3888D969" w14:textId="77777777" w:rsidR="006031D6" w:rsidRPr="006031D6" w:rsidRDefault="006031D6" w:rsidP="006031D6">
            <w:pPr>
              <w:pStyle w:val="Texttabulky"/>
              <w:spacing w:after="0" w:line="240" w:lineRule="atLeast"/>
              <w:rPr>
                <w:rFonts w:cs="Arial"/>
              </w:rPr>
            </w:pPr>
            <w:r w:rsidRPr="006031D6">
              <w:rPr>
                <w:rFonts w:cs="Arial"/>
                <w:b/>
                <w:bCs/>
              </w:rPr>
              <w:t>256</w:t>
            </w:r>
          </w:p>
        </w:tc>
        <w:tc>
          <w:tcPr>
            <w:tcW w:w="1050" w:type="dxa"/>
            <w:tcBorders>
              <w:top w:val="single" w:sz="4" w:space="0" w:color="auto"/>
              <w:left w:val="single" w:sz="4" w:space="0" w:color="auto"/>
              <w:bottom w:val="single" w:sz="4" w:space="0" w:color="auto"/>
              <w:right w:val="single" w:sz="4" w:space="0" w:color="auto"/>
            </w:tcBorders>
          </w:tcPr>
          <w:p w14:paraId="7509746C" w14:textId="77777777" w:rsidR="006031D6" w:rsidRPr="006031D6" w:rsidRDefault="006031D6" w:rsidP="006031D6">
            <w:pPr>
              <w:pStyle w:val="Texttabulky"/>
              <w:spacing w:after="0" w:line="240" w:lineRule="atLeast"/>
              <w:rPr>
                <w:rFonts w:cs="Arial"/>
              </w:rPr>
            </w:pPr>
            <w:r w:rsidRPr="006031D6">
              <w:rPr>
                <w:rFonts w:cs="Arial"/>
                <w:b/>
                <w:bCs/>
              </w:rPr>
              <w:t>199</w:t>
            </w:r>
          </w:p>
        </w:tc>
        <w:tc>
          <w:tcPr>
            <w:tcW w:w="1036" w:type="dxa"/>
            <w:vMerge/>
            <w:tcBorders>
              <w:top w:val="single" w:sz="4" w:space="0" w:color="auto"/>
              <w:left w:val="single" w:sz="4" w:space="0" w:color="auto"/>
              <w:bottom w:val="single" w:sz="4" w:space="0" w:color="auto"/>
              <w:right w:val="single" w:sz="4" w:space="0" w:color="auto"/>
            </w:tcBorders>
          </w:tcPr>
          <w:p w14:paraId="06C45550"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35099E21" w14:textId="77777777" w:rsidR="006031D6" w:rsidRPr="006031D6" w:rsidRDefault="006031D6" w:rsidP="006031D6">
            <w:pPr>
              <w:pStyle w:val="Texttabulky"/>
              <w:spacing w:after="0" w:line="240" w:lineRule="atLeast"/>
              <w:rPr>
                <w:rFonts w:cs="Arial"/>
              </w:rPr>
            </w:pPr>
            <w:r w:rsidRPr="006031D6">
              <w:rPr>
                <w:rFonts w:cs="Arial"/>
                <w:b/>
                <w:bCs/>
              </w:rPr>
              <w:t>299</w:t>
            </w:r>
          </w:p>
        </w:tc>
      </w:tr>
      <w:tr w:rsidR="006031D6" w:rsidRPr="006031D6" w14:paraId="399DB0AC" w14:textId="77777777" w:rsidTr="002D2D45">
        <w:trPr>
          <w:jc w:val="center"/>
        </w:trPr>
        <w:tc>
          <w:tcPr>
            <w:tcW w:w="1155" w:type="dxa"/>
            <w:vMerge w:val="restart"/>
            <w:tcBorders>
              <w:top w:val="single" w:sz="4" w:space="0" w:color="auto"/>
              <w:left w:val="single" w:sz="4" w:space="0" w:color="auto"/>
              <w:bottom w:val="single" w:sz="4" w:space="0" w:color="auto"/>
              <w:right w:val="single" w:sz="4" w:space="0" w:color="auto"/>
            </w:tcBorders>
          </w:tcPr>
          <w:p w14:paraId="30F631DC" w14:textId="77777777" w:rsidR="006031D6" w:rsidRPr="006031D6" w:rsidRDefault="006031D6" w:rsidP="006031D6">
            <w:pPr>
              <w:pStyle w:val="Texttabulky"/>
              <w:spacing w:after="0" w:line="240" w:lineRule="atLeast"/>
              <w:rPr>
                <w:rFonts w:cs="Arial"/>
              </w:rPr>
            </w:pPr>
            <w:r w:rsidRPr="006031D6">
              <w:rPr>
                <w:rFonts w:cs="Arial"/>
                <w:b/>
                <w:bCs/>
              </w:rPr>
              <w:t xml:space="preserve">Děčín </w:t>
            </w:r>
          </w:p>
          <w:p w14:paraId="6FE3855C" w14:textId="77777777" w:rsidR="006031D6" w:rsidRPr="006031D6" w:rsidRDefault="006031D6" w:rsidP="006031D6">
            <w:pPr>
              <w:pStyle w:val="Texttabulky"/>
              <w:spacing w:after="0" w:line="240" w:lineRule="atLeast"/>
              <w:rPr>
                <w:rFonts w:cs="Arial"/>
              </w:rPr>
            </w:pPr>
            <w:r w:rsidRPr="006031D6">
              <w:rPr>
                <w:rFonts w:cs="Arial"/>
                <w:b/>
                <w:bCs/>
              </w:rPr>
              <w:t>závod</w:t>
            </w:r>
          </w:p>
        </w:tc>
        <w:tc>
          <w:tcPr>
            <w:tcW w:w="1225" w:type="dxa"/>
            <w:tcBorders>
              <w:top w:val="single" w:sz="4" w:space="0" w:color="auto"/>
              <w:left w:val="single" w:sz="4" w:space="0" w:color="auto"/>
              <w:bottom w:val="single" w:sz="4" w:space="0" w:color="auto"/>
              <w:right w:val="single" w:sz="4" w:space="0" w:color="auto"/>
            </w:tcBorders>
          </w:tcPr>
          <w:p w14:paraId="067FFC5B" w14:textId="77777777" w:rsidR="006031D6" w:rsidRPr="006031D6" w:rsidRDefault="006031D6" w:rsidP="006031D6">
            <w:pPr>
              <w:pStyle w:val="Texttabulky"/>
              <w:spacing w:after="0" w:line="240" w:lineRule="atLeast"/>
              <w:rPr>
                <w:rFonts w:cs="Arial"/>
              </w:rPr>
            </w:pPr>
            <w:r w:rsidRPr="006031D6">
              <w:rPr>
                <w:rFonts w:cs="Arial"/>
              </w:rPr>
              <w:t>Dc – město</w:t>
            </w:r>
          </w:p>
        </w:tc>
        <w:tc>
          <w:tcPr>
            <w:tcW w:w="1118" w:type="dxa"/>
            <w:tcBorders>
              <w:top w:val="single" w:sz="4" w:space="0" w:color="auto"/>
              <w:left w:val="single" w:sz="4" w:space="0" w:color="auto"/>
              <w:bottom w:val="single" w:sz="4" w:space="0" w:color="auto"/>
              <w:right w:val="single" w:sz="4" w:space="0" w:color="auto"/>
            </w:tcBorders>
          </w:tcPr>
          <w:p w14:paraId="7700F21E" w14:textId="77777777" w:rsidR="006031D6" w:rsidRPr="006031D6" w:rsidRDefault="006031D6" w:rsidP="006031D6">
            <w:pPr>
              <w:pStyle w:val="Texttabulky"/>
              <w:spacing w:after="0" w:line="240" w:lineRule="atLeast"/>
              <w:rPr>
                <w:rFonts w:cs="Arial"/>
              </w:rPr>
            </w:pPr>
            <w:r w:rsidRPr="006031D6">
              <w:rPr>
                <w:rFonts w:cs="Arial"/>
              </w:rPr>
              <w:t>153</w:t>
            </w:r>
          </w:p>
        </w:tc>
        <w:tc>
          <w:tcPr>
            <w:tcW w:w="900" w:type="dxa"/>
            <w:tcBorders>
              <w:top w:val="single" w:sz="4" w:space="0" w:color="auto"/>
              <w:left w:val="single" w:sz="4" w:space="0" w:color="auto"/>
              <w:bottom w:val="single" w:sz="4" w:space="0" w:color="auto"/>
              <w:right w:val="single" w:sz="4" w:space="0" w:color="auto"/>
            </w:tcBorders>
          </w:tcPr>
          <w:p w14:paraId="7A55588A" w14:textId="77777777" w:rsidR="006031D6" w:rsidRPr="006031D6" w:rsidRDefault="006031D6" w:rsidP="006031D6">
            <w:pPr>
              <w:pStyle w:val="Texttabulky"/>
              <w:spacing w:after="0" w:line="240" w:lineRule="atLeast"/>
              <w:rPr>
                <w:rFonts w:cs="Arial"/>
              </w:rPr>
            </w:pPr>
            <w:r w:rsidRPr="006031D6">
              <w:rPr>
                <w:rFonts w:cs="Arial"/>
              </w:rPr>
              <w:t>214</w:t>
            </w:r>
          </w:p>
        </w:tc>
        <w:tc>
          <w:tcPr>
            <w:tcW w:w="1050" w:type="dxa"/>
            <w:tcBorders>
              <w:top w:val="single" w:sz="4" w:space="0" w:color="auto"/>
              <w:left w:val="single" w:sz="4" w:space="0" w:color="auto"/>
              <w:bottom w:val="single" w:sz="4" w:space="0" w:color="auto"/>
              <w:right w:val="single" w:sz="4" w:space="0" w:color="auto"/>
            </w:tcBorders>
          </w:tcPr>
          <w:p w14:paraId="373298D9" w14:textId="77777777" w:rsidR="006031D6" w:rsidRPr="006031D6" w:rsidRDefault="006031D6" w:rsidP="006031D6">
            <w:pPr>
              <w:pStyle w:val="Texttabulky"/>
              <w:spacing w:after="0" w:line="240" w:lineRule="atLeast"/>
              <w:rPr>
                <w:rFonts w:cs="Arial"/>
              </w:rPr>
            </w:pPr>
            <w:r w:rsidRPr="006031D6">
              <w:rPr>
                <w:rFonts w:cs="Arial"/>
              </w:rPr>
              <w:t>135</w:t>
            </w:r>
          </w:p>
        </w:tc>
        <w:tc>
          <w:tcPr>
            <w:tcW w:w="1036" w:type="dxa"/>
            <w:vMerge/>
            <w:tcBorders>
              <w:top w:val="single" w:sz="4" w:space="0" w:color="auto"/>
              <w:left w:val="single" w:sz="4" w:space="0" w:color="auto"/>
              <w:bottom w:val="single" w:sz="4" w:space="0" w:color="auto"/>
              <w:right w:val="single" w:sz="4" w:space="0" w:color="auto"/>
            </w:tcBorders>
          </w:tcPr>
          <w:p w14:paraId="2B1E9A45"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50110FF3" w14:textId="77777777" w:rsidR="006031D6" w:rsidRPr="006031D6" w:rsidRDefault="006031D6" w:rsidP="006031D6">
            <w:pPr>
              <w:pStyle w:val="Texttabulky"/>
              <w:spacing w:after="0" w:line="240" w:lineRule="atLeast"/>
              <w:rPr>
                <w:rFonts w:cs="Arial"/>
              </w:rPr>
            </w:pPr>
            <w:r w:rsidRPr="006031D6">
              <w:rPr>
                <w:rFonts w:cs="Arial"/>
              </w:rPr>
              <w:t>202</w:t>
            </w:r>
          </w:p>
        </w:tc>
      </w:tr>
      <w:tr w:rsidR="006031D6" w:rsidRPr="006031D6" w14:paraId="215B4E96"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718F96B1"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2C94E6D5" w14:textId="77777777" w:rsidR="006031D6" w:rsidRPr="006031D6" w:rsidRDefault="006031D6" w:rsidP="006031D6">
            <w:pPr>
              <w:pStyle w:val="Texttabulky"/>
              <w:spacing w:after="0" w:line="240" w:lineRule="atLeast"/>
              <w:rPr>
                <w:rFonts w:cs="Arial"/>
              </w:rPr>
            </w:pPr>
            <w:r w:rsidRPr="006031D6">
              <w:rPr>
                <w:rFonts w:cs="Arial"/>
              </w:rPr>
              <w:t>venkov</w:t>
            </w:r>
          </w:p>
        </w:tc>
        <w:tc>
          <w:tcPr>
            <w:tcW w:w="1118" w:type="dxa"/>
            <w:tcBorders>
              <w:top w:val="single" w:sz="4" w:space="0" w:color="auto"/>
              <w:left w:val="single" w:sz="4" w:space="0" w:color="auto"/>
              <w:bottom w:val="single" w:sz="4" w:space="0" w:color="auto"/>
              <w:right w:val="single" w:sz="4" w:space="0" w:color="auto"/>
            </w:tcBorders>
          </w:tcPr>
          <w:p w14:paraId="67684DD2" w14:textId="77777777" w:rsidR="006031D6" w:rsidRPr="006031D6" w:rsidRDefault="006031D6" w:rsidP="006031D6">
            <w:pPr>
              <w:pStyle w:val="Texttabulky"/>
              <w:spacing w:after="0" w:line="240" w:lineRule="atLeast"/>
              <w:rPr>
                <w:rFonts w:cs="Arial"/>
              </w:rPr>
            </w:pPr>
            <w:r w:rsidRPr="006031D6">
              <w:rPr>
                <w:rFonts w:cs="Arial"/>
              </w:rPr>
              <w:t>18</w:t>
            </w:r>
          </w:p>
        </w:tc>
        <w:tc>
          <w:tcPr>
            <w:tcW w:w="900" w:type="dxa"/>
            <w:tcBorders>
              <w:top w:val="single" w:sz="4" w:space="0" w:color="auto"/>
              <w:left w:val="single" w:sz="4" w:space="0" w:color="auto"/>
              <w:bottom w:val="single" w:sz="4" w:space="0" w:color="auto"/>
              <w:right w:val="single" w:sz="4" w:space="0" w:color="auto"/>
            </w:tcBorders>
          </w:tcPr>
          <w:p w14:paraId="277E6654" w14:textId="77777777" w:rsidR="006031D6" w:rsidRPr="006031D6" w:rsidRDefault="006031D6" w:rsidP="006031D6">
            <w:pPr>
              <w:pStyle w:val="Texttabulky"/>
              <w:spacing w:after="0" w:line="240" w:lineRule="atLeast"/>
              <w:rPr>
                <w:rFonts w:cs="Arial"/>
              </w:rPr>
            </w:pPr>
            <w:r w:rsidRPr="006031D6">
              <w:rPr>
                <w:rFonts w:cs="Arial"/>
              </w:rPr>
              <w:t>25</w:t>
            </w:r>
          </w:p>
        </w:tc>
        <w:tc>
          <w:tcPr>
            <w:tcW w:w="1050" w:type="dxa"/>
            <w:tcBorders>
              <w:top w:val="single" w:sz="4" w:space="0" w:color="auto"/>
              <w:left w:val="single" w:sz="4" w:space="0" w:color="auto"/>
              <w:bottom w:val="single" w:sz="4" w:space="0" w:color="auto"/>
              <w:right w:val="single" w:sz="4" w:space="0" w:color="auto"/>
            </w:tcBorders>
          </w:tcPr>
          <w:p w14:paraId="372873B7" w14:textId="77777777" w:rsidR="006031D6" w:rsidRPr="006031D6" w:rsidRDefault="006031D6" w:rsidP="006031D6">
            <w:pPr>
              <w:pStyle w:val="Texttabulky"/>
              <w:spacing w:after="0" w:line="240" w:lineRule="atLeast"/>
              <w:rPr>
                <w:rFonts w:cs="Arial"/>
              </w:rPr>
            </w:pPr>
            <w:r w:rsidRPr="006031D6">
              <w:rPr>
                <w:rFonts w:cs="Arial"/>
              </w:rPr>
              <w:t>16</w:t>
            </w:r>
          </w:p>
        </w:tc>
        <w:tc>
          <w:tcPr>
            <w:tcW w:w="1036" w:type="dxa"/>
            <w:vMerge/>
            <w:tcBorders>
              <w:top w:val="single" w:sz="4" w:space="0" w:color="auto"/>
              <w:left w:val="single" w:sz="4" w:space="0" w:color="auto"/>
              <w:bottom w:val="single" w:sz="4" w:space="0" w:color="auto"/>
              <w:right w:val="single" w:sz="4" w:space="0" w:color="auto"/>
            </w:tcBorders>
          </w:tcPr>
          <w:p w14:paraId="25EC0D19"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6BBF34D9" w14:textId="77777777" w:rsidR="006031D6" w:rsidRPr="006031D6" w:rsidRDefault="006031D6" w:rsidP="006031D6">
            <w:pPr>
              <w:pStyle w:val="Texttabulky"/>
              <w:spacing w:after="0" w:line="240" w:lineRule="atLeast"/>
              <w:rPr>
                <w:rFonts w:cs="Arial"/>
              </w:rPr>
            </w:pPr>
            <w:r w:rsidRPr="006031D6">
              <w:rPr>
                <w:rFonts w:cs="Arial"/>
              </w:rPr>
              <w:t>24</w:t>
            </w:r>
          </w:p>
        </w:tc>
      </w:tr>
      <w:tr w:rsidR="006031D6" w:rsidRPr="006031D6" w14:paraId="28EFBDAB"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46E29DBE"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7ECA6646" w14:textId="77777777" w:rsidR="006031D6" w:rsidRPr="006031D6" w:rsidRDefault="006031D6" w:rsidP="006031D6">
            <w:pPr>
              <w:pStyle w:val="Texttabulky"/>
              <w:spacing w:after="0" w:line="240" w:lineRule="atLeast"/>
              <w:rPr>
                <w:rFonts w:cs="Arial"/>
              </w:rPr>
            </w:pPr>
            <w:r w:rsidRPr="006031D6">
              <w:rPr>
                <w:rFonts w:cs="Arial"/>
              </w:rPr>
              <w:t>Jílové</w:t>
            </w:r>
          </w:p>
        </w:tc>
        <w:tc>
          <w:tcPr>
            <w:tcW w:w="1118" w:type="dxa"/>
            <w:tcBorders>
              <w:top w:val="single" w:sz="4" w:space="0" w:color="auto"/>
              <w:left w:val="single" w:sz="4" w:space="0" w:color="auto"/>
              <w:bottom w:val="single" w:sz="4" w:space="0" w:color="auto"/>
              <w:right w:val="single" w:sz="4" w:space="0" w:color="auto"/>
            </w:tcBorders>
          </w:tcPr>
          <w:p w14:paraId="35C28CFB" w14:textId="77777777" w:rsidR="006031D6" w:rsidRPr="006031D6" w:rsidRDefault="006031D6" w:rsidP="006031D6">
            <w:pPr>
              <w:pStyle w:val="Texttabulky"/>
              <w:spacing w:after="0" w:line="240" w:lineRule="atLeast"/>
              <w:rPr>
                <w:rFonts w:cs="Arial"/>
              </w:rPr>
            </w:pPr>
            <w:r w:rsidRPr="006031D6">
              <w:rPr>
                <w:rFonts w:cs="Arial"/>
              </w:rPr>
              <w:t>12</w:t>
            </w:r>
          </w:p>
        </w:tc>
        <w:tc>
          <w:tcPr>
            <w:tcW w:w="900" w:type="dxa"/>
            <w:tcBorders>
              <w:top w:val="single" w:sz="4" w:space="0" w:color="auto"/>
              <w:left w:val="single" w:sz="4" w:space="0" w:color="auto"/>
              <w:bottom w:val="single" w:sz="4" w:space="0" w:color="auto"/>
              <w:right w:val="single" w:sz="4" w:space="0" w:color="auto"/>
            </w:tcBorders>
          </w:tcPr>
          <w:p w14:paraId="03A75546" w14:textId="77777777" w:rsidR="006031D6" w:rsidRPr="006031D6" w:rsidRDefault="006031D6" w:rsidP="006031D6">
            <w:pPr>
              <w:pStyle w:val="Texttabulky"/>
              <w:spacing w:after="0" w:line="240" w:lineRule="atLeast"/>
              <w:rPr>
                <w:rFonts w:cs="Arial"/>
              </w:rPr>
            </w:pPr>
            <w:r w:rsidRPr="006031D6">
              <w:rPr>
                <w:rFonts w:cs="Arial"/>
              </w:rPr>
              <w:t>12</w:t>
            </w:r>
          </w:p>
        </w:tc>
        <w:tc>
          <w:tcPr>
            <w:tcW w:w="1050" w:type="dxa"/>
            <w:tcBorders>
              <w:top w:val="single" w:sz="4" w:space="0" w:color="auto"/>
              <w:left w:val="single" w:sz="4" w:space="0" w:color="auto"/>
              <w:bottom w:val="single" w:sz="4" w:space="0" w:color="auto"/>
              <w:right w:val="single" w:sz="4" w:space="0" w:color="auto"/>
            </w:tcBorders>
          </w:tcPr>
          <w:p w14:paraId="457F1AF9" w14:textId="77777777" w:rsidR="006031D6" w:rsidRPr="006031D6" w:rsidRDefault="006031D6" w:rsidP="006031D6">
            <w:pPr>
              <w:pStyle w:val="Texttabulky"/>
              <w:spacing w:after="0" w:line="240" w:lineRule="atLeast"/>
              <w:rPr>
                <w:rFonts w:cs="Arial"/>
              </w:rPr>
            </w:pPr>
            <w:r w:rsidRPr="006031D6">
              <w:rPr>
                <w:rFonts w:cs="Arial"/>
              </w:rPr>
              <w:t>10</w:t>
            </w:r>
          </w:p>
        </w:tc>
        <w:tc>
          <w:tcPr>
            <w:tcW w:w="1036" w:type="dxa"/>
            <w:vMerge/>
            <w:tcBorders>
              <w:top w:val="single" w:sz="4" w:space="0" w:color="auto"/>
              <w:left w:val="single" w:sz="4" w:space="0" w:color="auto"/>
              <w:bottom w:val="single" w:sz="4" w:space="0" w:color="auto"/>
              <w:right w:val="single" w:sz="4" w:space="0" w:color="auto"/>
            </w:tcBorders>
          </w:tcPr>
          <w:p w14:paraId="383A934E"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3A31F0CD" w14:textId="77777777" w:rsidR="006031D6" w:rsidRPr="006031D6" w:rsidRDefault="006031D6" w:rsidP="006031D6">
            <w:pPr>
              <w:pStyle w:val="Texttabulky"/>
              <w:spacing w:after="0" w:line="240" w:lineRule="atLeast"/>
              <w:rPr>
                <w:rFonts w:cs="Arial"/>
              </w:rPr>
            </w:pPr>
            <w:r w:rsidRPr="006031D6">
              <w:rPr>
                <w:rFonts w:cs="Arial"/>
              </w:rPr>
              <w:t>15</w:t>
            </w:r>
          </w:p>
        </w:tc>
      </w:tr>
      <w:tr w:rsidR="006031D6" w:rsidRPr="006031D6" w14:paraId="5017D145"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104C10C1"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512B8877" w14:textId="77777777" w:rsidR="006031D6" w:rsidRPr="006031D6" w:rsidRDefault="006031D6" w:rsidP="006031D6">
            <w:pPr>
              <w:pStyle w:val="Texttabulky"/>
              <w:spacing w:after="0" w:line="240" w:lineRule="atLeast"/>
              <w:rPr>
                <w:rFonts w:cs="Arial"/>
              </w:rPr>
            </w:pPr>
            <w:r w:rsidRPr="006031D6">
              <w:rPr>
                <w:rFonts w:cs="Arial"/>
                <w:b/>
                <w:bCs/>
              </w:rPr>
              <w:t>Celkem</w:t>
            </w:r>
          </w:p>
        </w:tc>
        <w:tc>
          <w:tcPr>
            <w:tcW w:w="1118" w:type="dxa"/>
            <w:tcBorders>
              <w:top w:val="single" w:sz="4" w:space="0" w:color="auto"/>
              <w:left w:val="single" w:sz="4" w:space="0" w:color="auto"/>
              <w:bottom w:val="single" w:sz="4" w:space="0" w:color="auto"/>
              <w:right w:val="single" w:sz="4" w:space="0" w:color="auto"/>
            </w:tcBorders>
          </w:tcPr>
          <w:p w14:paraId="0E1F1A98" w14:textId="77777777" w:rsidR="006031D6" w:rsidRPr="006031D6" w:rsidRDefault="006031D6" w:rsidP="006031D6">
            <w:pPr>
              <w:pStyle w:val="Texttabulky"/>
              <w:spacing w:after="0" w:line="240" w:lineRule="atLeast"/>
              <w:rPr>
                <w:rFonts w:cs="Arial"/>
              </w:rPr>
            </w:pPr>
            <w:r w:rsidRPr="006031D6">
              <w:rPr>
                <w:rFonts w:cs="Arial"/>
                <w:b/>
                <w:bCs/>
              </w:rPr>
              <w:t>183</w:t>
            </w:r>
          </w:p>
        </w:tc>
        <w:tc>
          <w:tcPr>
            <w:tcW w:w="900" w:type="dxa"/>
            <w:tcBorders>
              <w:top w:val="single" w:sz="4" w:space="0" w:color="auto"/>
              <w:left w:val="single" w:sz="4" w:space="0" w:color="auto"/>
              <w:bottom w:val="single" w:sz="4" w:space="0" w:color="auto"/>
              <w:right w:val="single" w:sz="4" w:space="0" w:color="auto"/>
            </w:tcBorders>
          </w:tcPr>
          <w:p w14:paraId="5A4BF922" w14:textId="77777777" w:rsidR="006031D6" w:rsidRPr="006031D6" w:rsidRDefault="006031D6" w:rsidP="006031D6">
            <w:pPr>
              <w:pStyle w:val="Texttabulky"/>
              <w:spacing w:after="0" w:line="240" w:lineRule="atLeast"/>
              <w:rPr>
                <w:rFonts w:cs="Arial"/>
              </w:rPr>
            </w:pPr>
            <w:r w:rsidRPr="006031D6">
              <w:rPr>
                <w:rFonts w:cs="Arial"/>
                <w:b/>
                <w:bCs/>
              </w:rPr>
              <w:t>256</w:t>
            </w:r>
          </w:p>
        </w:tc>
        <w:tc>
          <w:tcPr>
            <w:tcW w:w="1050" w:type="dxa"/>
            <w:tcBorders>
              <w:top w:val="single" w:sz="4" w:space="0" w:color="auto"/>
              <w:left w:val="single" w:sz="4" w:space="0" w:color="auto"/>
              <w:bottom w:val="single" w:sz="4" w:space="0" w:color="auto"/>
              <w:right w:val="single" w:sz="4" w:space="0" w:color="auto"/>
            </w:tcBorders>
          </w:tcPr>
          <w:p w14:paraId="2FA164DE" w14:textId="77777777" w:rsidR="006031D6" w:rsidRPr="006031D6" w:rsidRDefault="006031D6" w:rsidP="006031D6">
            <w:pPr>
              <w:pStyle w:val="Texttabulky"/>
              <w:spacing w:after="0" w:line="240" w:lineRule="atLeast"/>
              <w:rPr>
                <w:rFonts w:cs="Arial"/>
              </w:rPr>
            </w:pPr>
            <w:r w:rsidRPr="006031D6">
              <w:rPr>
                <w:rFonts w:cs="Arial"/>
                <w:b/>
                <w:bCs/>
              </w:rPr>
              <w:t>161</w:t>
            </w:r>
          </w:p>
        </w:tc>
        <w:tc>
          <w:tcPr>
            <w:tcW w:w="1036" w:type="dxa"/>
            <w:vMerge/>
            <w:tcBorders>
              <w:top w:val="single" w:sz="4" w:space="0" w:color="auto"/>
              <w:left w:val="single" w:sz="4" w:space="0" w:color="auto"/>
              <w:bottom w:val="single" w:sz="4" w:space="0" w:color="auto"/>
              <w:right w:val="single" w:sz="4" w:space="0" w:color="auto"/>
            </w:tcBorders>
          </w:tcPr>
          <w:p w14:paraId="5DA7787B"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7CC5ECBC" w14:textId="77777777" w:rsidR="006031D6" w:rsidRPr="006031D6" w:rsidRDefault="006031D6" w:rsidP="006031D6">
            <w:pPr>
              <w:pStyle w:val="Texttabulky"/>
              <w:spacing w:after="0" w:line="240" w:lineRule="atLeast"/>
              <w:rPr>
                <w:rFonts w:cs="Arial"/>
              </w:rPr>
            </w:pPr>
            <w:r w:rsidRPr="006031D6">
              <w:rPr>
                <w:rFonts w:cs="Arial"/>
                <w:b/>
                <w:bCs/>
              </w:rPr>
              <w:t>241</w:t>
            </w:r>
          </w:p>
        </w:tc>
      </w:tr>
      <w:tr w:rsidR="006031D6" w:rsidRPr="006031D6" w14:paraId="771FBF8F" w14:textId="77777777" w:rsidTr="002D2D45">
        <w:trPr>
          <w:jc w:val="center"/>
        </w:trPr>
        <w:tc>
          <w:tcPr>
            <w:tcW w:w="1155" w:type="dxa"/>
            <w:vMerge w:val="restart"/>
            <w:tcBorders>
              <w:top w:val="single" w:sz="4" w:space="0" w:color="auto"/>
              <w:left w:val="single" w:sz="4" w:space="0" w:color="auto"/>
              <w:bottom w:val="single" w:sz="4" w:space="0" w:color="auto"/>
              <w:right w:val="single" w:sz="4" w:space="0" w:color="auto"/>
            </w:tcBorders>
          </w:tcPr>
          <w:p w14:paraId="3CC43057" w14:textId="77777777" w:rsidR="006031D6" w:rsidRPr="006031D6" w:rsidRDefault="006031D6" w:rsidP="006031D6">
            <w:pPr>
              <w:pStyle w:val="Texttabulky"/>
              <w:spacing w:after="0" w:line="240" w:lineRule="atLeast"/>
              <w:rPr>
                <w:rFonts w:cs="Arial"/>
              </w:rPr>
            </w:pPr>
            <w:r w:rsidRPr="006031D6">
              <w:rPr>
                <w:rFonts w:cs="Arial"/>
                <w:b/>
                <w:bCs/>
              </w:rPr>
              <w:t xml:space="preserve">Děčín </w:t>
            </w:r>
          </w:p>
          <w:p w14:paraId="4D7F3F23" w14:textId="77777777" w:rsidR="006031D6" w:rsidRPr="006031D6" w:rsidRDefault="006031D6" w:rsidP="006031D6">
            <w:pPr>
              <w:pStyle w:val="Texttabulky"/>
              <w:spacing w:after="0" w:line="240" w:lineRule="atLeast"/>
              <w:rPr>
                <w:rFonts w:cs="Arial"/>
              </w:rPr>
            </w:pPr>
            <w:r w:rsidRPr="006031D6">
              <w:rPr>
                <w:rFonts w:cs="Arial"/>
                <w:b/>
                <w:bCs/>
              </w:rPr>
              <w:t xml:space="preserve"> skupina Hřensko</w:t>
            </w:r>
          </w:p>
        </w:tc>
        <w:tc>
          <w:tcPr>
            <w:tcW w:w="1225" w:type="dxa"/>
            <w:tcBorders>
              <w:top w:val="single" w:sz="4" w:space="0" w:color="auto"/>
              <w:left w:val="single" w:sz="4" w:space="0" w:color="auto"/>
              <w:bottom w:val="single" w:sz="4" w:space="0" w:color="auto"/>
              <w:right w:val="single" w:sz="4" w:space="0" w:color="auto"/>
            </w:tcBorders>
          </w:tcPr>
          <w:p w14:paraId="25A61123" w14:textId="77777777" w:rsidR="006031D6" w:rsidRPr="006031D6" w:rsidRDefault="006031D6" w:rsidP="006031D6">
            <w:pPr>
              <w:pStyle w:val="Texttabulky"/>
              <w:spacing w:after="0" w:line="240" w:lineRule="atLeast"/>
              <w:rPr>
                <w:rFonts w:cs="Arial"/>
              </w:rPr>
            </w:pPr>
            <w:r w:rsidRPr="006031D6">
              <w:rPr>
                <w:rFonts w:cs="Arial"/>
              </w:rPr>
              <w:t>Dc – město</w:t>
            </w:r>
          </w:p>
        </w:tc>
        <w:tc>
          <w:tcPr>
            <w:tcW w:w="1118" w:type="dxa"/>
            <w:tcBorders>
              <w:top w:val="single" w:sz="4" w:space="0" w:color="auto"/>
              <w:left w:val="single" w:sz="4" w:space="0" w:color="auto"/>
              <w:bottom w:val="single" w:sz="4" w:space="0" w:color="auto"/>
              <w:right w:val="single" w:sz="4" w:space="0" w:color="auto"/>
            </w:tcBorders>
          </w:tcPr>
          <w:p w14:paraId="6EEC2302" w14:textId="77777777" w:rsidR="006031D6" w:rsidRPr="006031D6" w:rsidRDefault="006031D6" w:rsidP="006031D6">
            <w:pPr>
              <w:pStyle w:val="Texttabulky"/>
              <w:spacing w:after="0" w:line="240" w:lineRule="atLeast"/>
              <w:rPr>
                <w:rFonts w:cs="Arial"/>
              </w:rPr>
            </w:pPr>
            <w:r w:rsidRPr="006031D6">
              <w:rPr>
                <w:rFonts w:cs="Arial"/>
              </w:rPr>
              <w:t>153</w:t>
            </w:r>
          </w:p>
        </w:tc>
        <w:tc>
          <w:tcPr>
            <w:tcW w:w="900" w:type="dxa"/>
            <w:tcBorders>
              <w:top w:val="single" w:sz="4" w:space="0" w:color="auto"/>
              <w:left w:val="single" w:sz="4" w:space="0" w:color="auto"/>
              <w:bottom w:val="single" w:sz="4" w:space="0" w:color="auto"/>
              <w:right w:val="single" w:sz="4" w:space="0" w:color="auto"/>
            </w:tcBorders>
          </w:tcPr>
          <w:p w14:paraId="740805E0" w14:textId="77777777" w:rsidR="006031D6" w:rsidRPr="006031D6" w:rsidRDefault="006031D6" w:rsidP="006031D6">
            <w:pPr>
              <w:pStyle w:val="Texttabulky"/>
              <w:spacing w:after="0" w:line="240" w:lineRule="atLeast"/>
              <w:rPr>
                <w:rFonts w:cs="Arial"/>
              </w:rPr>
            </w:pPr>
            <w:r w:rsidRPr="006031D6">
              <w:rPr>
                <w:rFonts w:cs="Arial"/>
              </w:rPr>
              <w:t>214</w:t>
            </w:r>
          </w:p>
        </w:tc>
        <w:tc>
          <w:tcPr>
            <w:tcW w:w="1050" w:type="dxa"/>
            <w:tcBorders>
              <w:top w:val="single" w:sz="4" w:space="0" w:color="auto"/>
              <w:left w:val="single" w:sz="4" w:space="0" w:color="auto"/>
              <w:bottom w:val="single" w:sz="4" w:space="0" w:color="auto"/>
              <w:right w:val="single" w:sz="4" w:space="0" w:color="auto"/>
            </w:tcBorders>
          </w:tcPr>
          <w:p w14:paraId="72D64FD8" w14:textId="77777777" w:rsidR="006031D6" w:rsidRPr="006031D6" w:rsidRDefault="006031D6" w:rsidP="006031D6">
            <w:pPr>
              <w:pStyle w:val="Texttabulky"/>
              <w:spacing w:after="0" w:line="240" w:lineRule="atLeast"/>
              <w:rPr>
                <w:rFonts w:cs="Arial"/>
              </w:rPr>
            </w:pPr>
            <w:r w:rsidRPr="006031D6">
              <w:rPr>
                <w:rFonts w:cs="Arial"/>
              </w:rPr>
              <w:t>127</w:t>
            </w:r>
          </w:p>
        </w:tc>
        <w:tc>
          <w:tcPr>
            <w:tcW w:w="1036" w:type="dxa"/>
            <w:vMerge/>
            <w:tcBorders>
              <w:top w:val="single" w:sz="4" w:space="0" w:color="auto"/>
              <w:left w:val="single" w:sz="4" w:space="0" w:color="auto"/>
              <w:bottom w:val="single" w:sz="4" w:space="0" w:color="auto"/>
              <w:right w:val="single" w:sz="4" w:space="0" w:color="auto"/>
            </w:tcBorders>
          </w:tcPr>
          <w:p w14:paraId="22C1F9D9"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069AAE5C" w14:textId="77777777" w:rsidR="006031D6" w:rsidRPr="006031D6" w:rsidRDefault="006031D6" w:rsidP="006031D6">
            <w:pPr>
              <w:pStyle w:val="Texttabulky"/>
              <w:spacing w:after="0" w:line="240" w:lineRule="atLeast"/>
              <w:rPr>
                <w:rFonts w:cs="Arial"/>
              </w:rPr>
            </w:pPr>
            <w:r w:rsidRPr="006031D6">
              <w:rPr>
                <w:rFonts w:cs="Arial"/>
              </w:rPr>
              <w:t>191</w:t>
            </w:r>
          </w:p>
        </w:tc>
      </w:tr>
      <w:tr w:rsidR="006031D6" w:rsidRPr="006031D6" w14:paraId="344ACB10"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1804BD60"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08E1B90F" w14:textId="77777777" w:rsidR="006031D6" w:rsidRPr="006031D6" w:rsidRDefault="006031D6" w:rsidP="006031D6">
            <w:pPr>
              <w:pStyle w:val="Texttabulky"/>
              <w:spacing w:after="0" w:line="240" w:lineRule="atLeast"/>
              <w:rPr>
                <w:rFonts w:cs="Arial"/>
              </w:rPr>
            </w:pPr>
            <w:r w:rsidRPr="006031D6">
              <w:rPr>
                <w:rFonts w:cs="Arial"/>
              </w:rPr>
              <w:t>venkov</w:t>
            </w:r>
          </w:p>
        </w:tc>
        <w:tc>
          <w:tcPr>
            <w:tcW w:w="1118" w:type="dxa"/>
            <w:tcBorders>
              <w:top w:val="single" w:sz="4" w:space="0" w:color="auto"/>
              <w:left w:val="single" w:sz="4" w:space="0" w:color="auto"/>
              <w:bottom w:val="single" w:sz="4" w:space="0" w:color="auto"/>
              <w:right w:val="single" w:sz="4" w:space="0" w:color="auto"/>
            </w:tcBorders>
          </w:tcPr>
          <w:p w14:paraId="56853C3B" w14:textId="77777777" w:rsidR="006031D6" w:rsidRPr="006031D6" w:rsidRDefault="006031D6" w:rsidP="006031D6">
            <w:pPr>
              <w:pStyle w:val="Texttabulky"/>
              <w:spacing w:after="0" w:line="240" w:lineRule="atLeast"/>
              <w:rPr>
                <w:rFonts w:cs="Arial"/>
              </w:rPr>
            </w:pPr>
            <w:r w:rsidRPr="006031D6">
              <w:rPr>
                <w:rFonts w:cs="Arial"/>
              </w:rPr>
              <w:t>18</w:t>
            </w:r>
          </w:p>
        </w:tc>
        <w:tc>
          <w:tcPr>
            <w:tcW w:w="900" w:type="dxa"/>
            <w:tcBorders>
              <w:top w:val="single" w:sz="4" w:space="0" w:color="auto"/>
              <w:left w:val="single" w:sz="4" w:space="0" w:color="auto"/>
              <w:bottom w:val="single" w:sz="4" w:space="0" w:color="auto"/>
              <w:right w:val="single" w:sz="4" w:space="0" w:color="auto"/>
            </w:tcBorders>
          </w:tcPr>
          <w:p w14:paraId="50647DB9" w14:textId="77777777" w:rsidR="006031D6" w:rsidRPr="006031D6" w:rsidRDefault="006031D6" w:rsidP="006031D6">
            <w:pPr>
              <w:pStyle w:val="Texttabulky"/>
              <w:spacing w:after="0" w:line="240" w:lineRule="atLeast"/>
              <w:rPr>
                <w:rFonts w:cs="Arial"/>
              </w:rPr>
            </w:pPr>
            <w:r w:rsidRPr="006031D6">
              <w:rPr>
                <w:rFonts w:cs="Arial"/>
              </w:rPr>
              <w:t>25</w:t>
            </w:r>
          </w:p>
        </w:tc>
        <w:tc>
          <w:tcPr>
            <w:tcW w:w="1050" w:type="dxa"/>
            <w:tcBorders>
              <w:top w:val="single" w:sz="4" w:space="0" w:color="auto"/>
              <w:left w:val="single" w:sz="4" w:space="0" w:color="auto"/>
              <w:bottom w:val="single" w:sz="4" w:space="0" w:color="auto"/>
              <w:right w:val="single" w:sz="4" w:space="0" w:color="auto"/>
            </w:tcBorders>
          </w:tcPr>
          <w:p w14:paraId="3A37F754" w14:textId="77777777" w:rsidR="006031D6" w:rsidRPr="006031D6" w:rsidRDefault="006031D6" w:rsidP="006031D6">
            <w:pPr>
              <w:pStyle w:val="Texttabulky"/>
              <w:spacing w:after="0" w:line="240" w:lineRule="atLeast"/>
              <w:rPr>
                <w:rFonts w:cs="Arial"/>
              </w:rPr>
            </w:pPr>
            <w:r w:rsidRPr="006031D6">
              <w:rPr>
                <w:rFonts w:cs="Arial"/>
              </w:rPr>
              <w:t>15</w:t>
            </w:r>
          </w:p>
        </w:tc>
        <w:tc>
          <w:tcPr>
            <w:tcW w:w="1036" w:type="dxa"/>
            <w:vMerge/>
            <w:tcBorders>
              <w:top w:val="single" w:sz="4" w:space="0" w:color="auto"/>
              <w:left w:val="single" w:sz="4" w:space="0" w:color="auto"/>
              <w:bottom w:val="single" w:sz="4" w:space="0" w:color="auto"/>
              <w:right w:val="single" w:sz="4" w:space="0" w:color="auto"/>
            </w:tcBorders>
          </w:tcPr>
          <w:p w14:paraId="1018122F"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067E3F30" w14:textId="77777777" w:rsidR="006031D6" w:rsidRPr="006031D6" w:rsidRDefault="006031D6" w:rsidP="006031D6">
            <w:pPr>
              <w:pStyle w:val="Texttabulky"/>
              <w:spacing w:after="0" w:line="240" w:lineRule="atLeast"/>
              <w:rPr>
                <w:rFonts w:cs="Arial"/>
              </w:rPr>
            </w:pPr>
            <w:r w:rsidRPr="006031D6">
              <w:rPr>
                <w:rFonts w:cs="Arial"/>
              </w:rPr>
              <w:t>22</w:t>
            </w:r>
          </w:p>
        </w:tc>
      </w:tr>
      <w:tr w:rsidR="006031D6" w:rsidRPr="006031D6" w14:paraId="4C9950D6"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345CE840"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6B46A502" w14:textId="77777777" w:rsidR="006031D6" w:rsidRPr="006031D6" w:rsidRDefault="006031D6" w:rsidP="006031D6">
            <w:pPr>
              <w:pStyle w:val="Texttabulky"/>
              <w:spacing w:after="0" w:line="240" w:lineRule="atLeast"/>
              <w:rPr>
                <w:rFonts w:cs="Arial"/>
              </w:rPr>
            </w:pPr>
            <w:r w:rsidRPr="006031D6">
              <w:rPr>
                <w:rFonts w:cs="Arial"/>
              </w:rPr>
              <w:t>Jílové</w:t>
            </w:r>
          </w:p>
        </w:tc>
        <w:tc>
          <w:tcPr>
            <w:tcW w:w="1118" w:type="dxa"/>
            <w:tcBorders>
              <w:top w:val="single" w:sz="4" w:space="0" w:color="auto"/>
              <w:left w:val="single" w:sz="4" w:space="0" w:color="auto"/>
              <w:bottom w:val="single" w:sz="4" w:space="0" w:color="auto"/>
              <w:right w:val="single" w:sz="4" w:space="0" w:color="auto"/>
            </w:tcBorders>
          </w:tcPr>
          <w:p w14:paraId="10351BB1" w14:textId="77777777" w:rsidR="006031D6" w:rsidRPr="006031D6" w:rsidRDefault="006031D6" w:rsidP="006031D6">
            <w:pPr>
              <w:pStyle w:val="Texttabulky"/>
              <w:spacing w:after="0" w:line="240" w:lineRule="atLeast"/>
              <w:rPr>
                <w:rFonts w:cs="Arial"/>
              </w:rPr>
            </w:pPr>
            <w:r w:rsidRPr="006031D6">
              <w:rPr>
                <w:rFonts w:cs="Arial"/>
              </w:rPr>
              <w:t>12</w:t>
            </w:r>
          </w:p>
        </w:tc>
        <w:tc>
          <w:tcPr>
            <w:tcW w:w="900" w:type="dxa"/>
            <w:tcBorders>
              <w:top w:val="single" w:sz="4" w:space="0" w:color="auto"/>
              <w:left w:val="single" w:sz="4" w:space="0" w:color="auto"/>
              <w:bottom w:val="single" w:sz="4" w:space="0" w:color="auto"/>
              <w:right w:val="single" w:sz="4" w:space="0" w:color="auto"/>
            </w:tcBorders>
          </w:tcPr>
          <w:p w14:paraId="60740062" w14:textId="77777777" w:rsidR="006031D6" w:rsidRPr="006031D6" w:rsidRDefault="006031D6" w:rsidP="006031D6">
            <w:pPr>
              <w:pStyle w:val="Texttabulky"/>
              <w:spacing w:after="0" w:line="240" w:lineRule="atLeast"/>
              <w:rPr>
                <w:rFonts w:cs="Arial"/>
              </w:rPr>
            </w:pPr>
            <w:r w:rsidRPr="006031D6">
              <w:rPr>
                <w:rFonts w:cs="Arial"/>
              </w:rPr>
              <w:t>12</w:t>
            </w:r>
          </w:p>
        </w:tc>
        <w:tc>
          <w:tcPr>
            <w:tcW w:w="1050" w:type="dxa"/>
            <w:tcBorders>
              <w:top w:val="single" w:sz="4" w:space="0" w:color="auto"/>
              <w:left w:val="single" w:sz="4" w:space="0" w:color="auto"/>
              <w:bottom w:val="single" w:sz="4" w:space="0" w:color="auto"/>
              <w:right w:val="single" w:sz="4" w:space="0" w:color="auto"/>
            </w:tcBorders>
          </w:tcPr>
          <w:p w14:paraId="5D3F9A73" w14:textId="77777777" w:rsidR="006031D6" w:rsidRPr="006031D6" w:rsidRDefault="006031D6" w:rsidP="006031D6">
            <w:pPr>
              <w:pStyle w:val="Texttabulky"/>
              <w:spacing w:after="0" w:line="240" w:lineRule="atLeast"/>
              <w:rPr>
                <w:rFonts w:cs="Arial"/>
              </w:rPr>
            </w:pPr>
            <w:r w:rsidRPr="006031D6">
              <w:rPr>
                <w:rFonts w:cs="Arial"/>
              </w:rPr>
              <w:t>10</w:t>
            </w:r>
          </w:p>
        </w:tc>
        <w:tc>
          <w:tcPr>
            <w:tcW w:w="1036" w:type="dxa"/>
            <w:vMerge/>
            <w:tcBorders>
              <w:top w:val="single" w:sz="4" w:space="0" w:color="auto"/>
              <w:left w:val="single" w:sz="4" w:space="0" w:color="auto"/>
              <w:bottom w:val="single" w:sz="4" w:space="0" w:color="auto"/>
              <w:right w:val="single" w:sz="4" w:space="0" w:color="auto"/>
            </w:tcBorders>
          </w:tcPr>
          <w:p w14:paraId="6C15085D"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7DEEC8C6" w14:textId="77777777" w:rsidR="006031D6" w:rsidRPr="006031D6" w:rsidRDefault="006031D6" w:rsidP="006031D6">
            <w:pPr>
              <w:pStyle w:val="Texttabulky"/>
              <w:spacing w:after="0" w:line="240" w:lineRule="atLeast"/>
              <w:rPr>
                <w:rFonts w:cs="Arial"/>
              </w:rPr>
            </w:pPr>
            <w:r w:rsidRPr="006031D6">
              <w:rPr>
                <w:rFonts w:cs="Arial"/>
              </w:rPr>
              <w:t>14</w:t>
            </w:r>
          </w:p>
        </w:tc>
      </w:tr>
      <w:tr w:rsidR="006031D6" w:rsidRPr="006031D6" w14:paraId="60A5F584"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30BEF3CA"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289B6241" w14:textId="77777777" w:rsidR="006031D6" w:rsidRPr="006031D6" w:rsidRDefault="006031D6" w:rsidP="006031D6">
            <w:pPr>
              <w:pStyle w:val="Texttabulky"/>
              <w:spacing w:after="0" w:line="240" w:lineRule="atLeast"/>
              <w:rPr>
                <w:rFonts w:cs="Arial"/>
              </w:rPr>
            </w:pPr>
            <w:r w:rsidRPr="006031D6">
              <w:rPr>
                <w:rFonts w:cs="Arial"/>
                <w:b/>
                <w:bCs/>
              </w:rPr>
              <w:t>Celkem</w:t>
            </w:r>
          </w:p>
        </w:tc>
        <w:tc>
          <w:tcPr>
            <w:tcW w:w="1118" w:type="dxa"/>
            <w:tcBorders>
              <w:top w:val="single" w:sz="4" w:space="0" w:color="auto"/>
              <w:left w:val="single" w:sz="4" w:space="0" w:color="auto"/>
              <w:bottom w:val="single" w:sz="4" w:space="0" w:color="auto"/>
              <w:right w:val="single" w:sz="4" w:space="0" w:color="auto"/>
            </w:tcBorders>
          </w:tcPr>
          <w:p w14:paraId="6C15113B" w14:textId="77777777" w:rsidR="006031D6" w:rsidRPr="006031D6" w:rsidRDefault="006031D6" w:rsidP="006031D6">
            <w:pPr>
              <w:pStyle w:val="Texttabulky"/>
              <w:spacing w:after="0" w:line="240" w:lineRule="atLeast"/>
              <w:rPr>
                <w:rFonts w:cs="Arial"/>
              </w:rPr>
            </w:pPr>
            <w:r w:rsidRPr="006031D6">
              <w:rPr>
                <w:rFonts w:cs="Arial"/>
                <w:b/>
                <w:bCs/>
              </w:rPr>
              <w:t>183</w:t>
            </w:r>
          </w:p>
        </w:tc>
        <w:tc>
          <w:tcPr>
            <w:tcW w:w="900" w:type="dxa"/>
            <w:tcBorders>
              <w:top w:val="single" w:sz="4" w:space="0" w:color="auto"/>
              <w:left w:val="single" w:sz="4" w:space="0" w:color="auto"/>
              <w:bottom w:val="single" w:sz="4" w:space="0" w:color="auto"/>
              <w:right w:val="single" w:sz="4" w:space="0" w:color="auto"/>
            </w:tcBorders>
          </w:tcPr>
          <w:p w14:paraId="7F42F86B" w14:textId="77777777" w:rsidR="006031D6" w:rsidRPr="006031D6" w:rsidRDefault="006031D6" w:rsidP="006031D6">
            <w:pPr>
              <w:pStyle w:val="Texttabulky"/>
              <w:spacing w:after="0" w:line="240" w:lineRule="atLeast"/>
              <w:rPr>
                <w:rFonts w:cs="Arial"/>
              </w:rPr>
            </w:pPr>
            <w:r w:rsidRPr="006031D6">
              <w:rPr>
                <w:rFonts w:cs="Arial"/>
                <w:b/>
                <w:bCs/>
              </w:rPr>
              <w:t>256</w:t>
            </w:r>
          </w:p>
        </w:tc>
        <w:tc>
          <w:tcPr>
            <w:tcW w:w="1050" w:type="dxa"/>
            <w:tcBorders>
              <w:top w:val="single" w:sz="4" w:space="0" w:color="auto"/>
              <w:left w:val="single" w:sz="4" w:space="0" w:color="auto"/>
              <w:bottom w:val="single" w:sz="4" w:space="0" w:color="auto"/>
              <w:right w:val="single" w:sz="4" w:space="0" w:color="auto"/>
            </w:tcBorders>
          </w:tcPr>
          <w:p w14:paraId="474127F7" w14:textId="77777777" w:rsidR="006031D6" w:rsidRPr="006031D6" w:rsidRDefault="006031D6" w:rsidP="006031D6">
            <w:pPr>
              <w:pStyle w:val="Texttabulky"/>
              <w:spacing w:after="0" w:line="240" w:lineRule="atLeast"/>
              <w:rPr>
                <w:rFonts w:cs="Arial"/>
              </w:rPr>
            </w:pPr>
            <w:r w:rsidRPr="006031D6">
              <w:rPr>
                <w:rFonts w:cs="Arial"/>
                <w:b/>
                <w:bCs/>
              </w:rPr>
              <w:t>152</w:t>
            </w:r>
          </w:p>
        </w:tc>
        <w:tc>
          <w:tcPr>
            <w:tcW w:w="1036" w:type="dxa"/>
            <w:vMerge/>
            <w:tcBorders>
              <w:top w:val="single" w:sz="4" w:space="0" w:color="auto"/>
              <w:left w:val="single" w:sz="4" w:space="0" w:color="auto"/>
              <w:bottom w:val="single" w:sz="4" w:space="0" w:color="auto"/>
              <w:right w:val="single" w:sz="4" w:space="0" w:color="auto"/>
            </w:tcBorders>
          </w:tcPr>
          <w:p w14:paraId="29A71BC1"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0AE0799B" w14:textId="77777777" w:rsidR="006031D6" w:rsidRPr="006031D6" w:rsidRDefault="006031D6" w:rsidP="006031D6">
            <w:pPr>
              <w:pStyle w:val="Texttabulky"/>
              <w:spacing w:after="0" w:line="240" w:lineRule="atLeast"/>
              <w:rPr>
                <w:rFonts w:cs="Arial"/>
              </w:rPr>
            </w:pPr>
            <w:r w:rsidRPr="006031D6">
              <w:rPr>
                <w:rFonts w:cs="Arial"/>
                <w:b/>
                <w:bCs/>
              </w:rPr>
              <w:t>227</w:t>
            </w:r>
          </w:p>
        </w:tc>
      </w:tr>
      <w:tr w:rsidR="006031D6" w:rsidRPr="006031D6" w14:paraId="1BD5948B" w14:textId="77777777" w:rsidTr="002D2D45">
        <w:trPr>
          <w:jc w:val="center"/>
        </w:trPr>
        <w:tc>
          <w:tcPr>
            <w:tcW w:w="1155" w:type="dxa"/>
            <w:vMerge w:val="restart"/>
            <w:tcBorders>
              <w:top w:val="single" w:sz="4" w:space="0" w:color="auto"/>
              <w:left w:val="single" w:sz="4" w:space="0" w:color="auto"/>
              <w:bottom w:val="single" w:sz="4" w:space="0" w:color="auto"/>
              <w:right w:val="single" w:sz="4" w:space="0" w:color="auto"/>
            </w:tcBorders>
          </w:tcPr>
          <w:p w14:paraId="59C8AA5C" w14:textId="77777777" w:rsidR="006031D6" w:rsidRPr="006031D6" w:rsidRDefault="006031D6" w:rsidP="006031D6">
            <w:pPr>
              <w:pStyle w:val="Texttabulky"/>
              <w:spacing w:after="0" w:line="240" w:lineRule="atLeast"/>
              <w:rPr>
                <w:rFonts w:cs="Arial"/>
              </w:rPr>
            </w:pPr>
            <w:r w:rsidRPr="006031D6">
              <w:rPr>
                <w:rFonts w:cs="Arial"/>
                <w:b/>
                <w:bCs/>
              </w:rPr>
              <w:t>při hygienickém minimu pro  obyv atele     80 l  / os / den</w:t>
            </w:r>
          </w:p>
        </w:tc>
        <w:tc>
          <w:tcPr>
            <w:tcW w:w="1225" w:type="dxa"/>
            <w:tcBorders>
              <w:top w:val="single" w:sz="4" w:space="0" w:color="auto"/>
              <w:left w:val="single" w:sz="4" w:space="0" w:color="auto"/>
              <w:bottom w:val="single" w:sz="4" w:space="0" w:color="auto"/>
              <w:right w:val="single" w:sz="4" w:space="0" w:color="auto"/>
            </w:tcBorders>
          </w:tcPr>
          <w:p w14:paraId="023C6A5C" w14:textId="77777777" w:rsidR="006031D6" w:rsidRPr="006031D6" w:rsidRDefault="006031D6" w:rsidP="006031D6">
            <w:pPr>
              <w:pStyle w:val="Texttabulky"/>
              <w:spacing w:after="0" w:line="240" w:lineRule="atLeast"/>
              <w:rPr>
                <w:rFonts w:cs="Arial"/>
              </w:rPr>
            </w:pPr>
            <w:r w:rsidRPr="006031D6">
              <w:rPr>
                <w:rFonts w:cs="Arial"/>
              </w:rPr>
              <w:t>Dc – město</w:t>
            </w:r>
          </w:p>
        </w:tc>
        <w:tc>
          <w:tcPr>
            <w:tcW w:w="1118" w:type="dxa"/>
            <w:tcBorders>
              <w:top w:val="single" w:sz="4" w:space="0" w:color="auto"/>
              <w:left w:val="single" w:sz="4" w:space="0" w:color="auto"/>
              <w:bottom w:val="single" w:sz="4" w:space="0" w:color="auto"/>
              <w:right w:val="single" w:sz="4" w:space="0" w:color="auto"/>
            </w:tcBorders>
          </w:tcPr>
          <w:p w14:paraId="62C90437" w14:textId="77777777" w:rsidR="006031D6" w:rsidRPr="006031D6" w:rsidRDefault="006031D6" w:rsidP="006031D6">
            <w:pPr>
              <w:pStyle w:val="Texttabulky"/>
              <w:spacing w:after="0" w:line="240" w:lineRule="atLeast"/>
              <w:rPr>
                <w:rFonts w:cs="Arial"/>
              </w:rPr>
            </w:pPr>
            <w:r w:rsidRPr="006031D6">
              <w:rPr>
                <w:rFonts w:cs="Arial"/>
              </w:rPr>
              <w:t>153</w:t>
            </w:r>
          </w:p>
        </w:tc>
        <w:tc>
          <w:tcPr>
            <w:tcW w:w="900" w:type="dxa"/>
            <w:tcBorders>
              <w:top w:val="single" w:sz="4" w:space="0" w:color="auto"/>
              <w:left w:val="single" w:sz="4" w:space="0" w:color="auto"/>
              <w:bottom w:val="single" w:sz="4" w:space="0" w:color="auto"/>
              <w:right w:val="single" w:sz="4" w:space="0" w:color="auto"/>
            </w:tcBorders>
          </w:tcPr>
          <w:p w14:paraId="54B3A60C" w14:textId="77777777" w:rsidR="006031D6" w:rsidRPr="006031D6" w:rsidRDefault="006031D6" w:rsidP="006031D6">
            <w:pPr>
              <w:pStyle w:val="Texttabulky"/>
              <w:spacing w:after="0" w:line="240" w:lineRule="atLeast"/>
              <w:rPr>
                <w:rFonts w:cs="Arial"/>
              </w:rPr>
            </w:pPr>
            <w:r w:rsidRPr="006031D6">
              <w:rPr>
                <w:rFonts w:cs="Arial"/>
              </w:rPr>
              <w:t>214</w:t>
            </w:r>
          </w:p>
        </w:tc>
        <w:tc>
          <w:tcPr>
            <w:tcW w:w="1050" w:type="dxa"/>
            <w:tcBorders>
              <w:top w:val="single" w:sz="4" w:space="0" w:color="auto"/>
              <w:left w:val="single" w:sz="4" w:space="0" w:color="auto"/>
              <w:bottom w:val="single" w:sz="4" w:space="0" w:color="auto"/>
              <w:right w:val="single" w:sz="4" w:space="0" w:color="auto"/>
            </w:tcBorders>
          </w:tcPr>
          <w:p w14:paraId="0AF5F2B4" w14:textId="77777777" w:rsidR="006031D6" w:rsidRPr="006031D6" w:rsidRDefault="006031D6" w:rsidP="006031D6">
            <w:pPr>
              <w:pStyle w:val="Texttabulky"/>
              <w:spacing w:after="0" w:line="240" w:lineRule="atLeast"/>
              <w:rPr>
                <w:rFonts w:cs="Arial"/>
              </w:rPr>
            </w:pPr>
            <w:r w:rsidRPr="006031D6">
              <w:rPr>
                <w:rFonts w:cs="Arial"/>
              </w:rPr>
              <w:t>104</w:t>
            </w:r>
          </w:p>
        </w:tc>
        <w:tc>
          <w:tcPr>
            <w:tcW w:w="1036" w:type="dxa"/>
            <w:vMerge/>
            <w:tcBorders>
              <w:top w:val="single" w:sz="4" w:space="0" w:color="auto"/>
              <w:left w:val="single" w:sz="4" w:space="0" w:color="auto"/>
              <w:bottom w:val="single" w:sz="4" w:space="0" w:color="auto"/>
              <w:right w:val="single" w:sz="4" w:space="0" w:color="auto"/>
            </w:tcBorders>
          </w:tcPr>
          <w:p w14:paraId="186C9CCA"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19C7AA1B" w14:textId="77777777" w:rsidR="006031D6" w:rsidRPr="006031D6" w:rsidRDefault="006031D6" w:rsidP="006031D6">
            <w:pPr>
              <w:pStyle w:val="Texttabulky"/>
              <w:spacing w:after="0" w:line="240" w:lineRule="atLeast"/>
              <w:rPr>
                <w:rFonts w:cs="Arial"/>
              </w:rPr>
            </w:pPr>
            <w:r w:rsidRPr="006031D6">
              <w:rPr>
                <w:rFonts w:cs="Arial"/>
              </w:rPr>
              <w:t>157</w:t>
            </w:r>
          </w:p>
        </w:tc>
      </w:tr>
      <w:tr w:rsidR="006031D6" w:rsidRPr="006031D6" w14:paraId="6A6F8398"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6BB05DF4"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68114217" w14:textId="77777777" w:rsidR="006031D6" w:rsidRPr="006031D6" w:rsidRDefault="006031D6" w:rsidP="006031D6">
            <w:pPr>
              <w:pStyle w:val="Texttabulky"/>
              <w:spacing w:after="0" w:line="240" w:lineRule="atLeast"/>
              <w:rPr>
                <w:rFonts w:cs="Arial"/>
              </w:rPr>
            </w:pPr>
            <w:r w:rsidRPr="006031D6">
              <w:rPr>
                <w:rFonts w:cs="Arial"/>
              </w:rPr>
              <w:t>venkov</w:t>
            </w:r>
          </w:p>
        </w:tc>
        <w:tc>
          <w:tcPr>
            <w:tcW w:w="1118" w:type="dxa"/>
            <w:tcBorders>
              <w:top w:val="single" w:sz="4" w:space="0" w:color="auto"/>
              <w:left w:val="single" w:sz="4" w:space="0" w:color="auto"/>
              <w:bottom w:val="single" w:sz="4" w:space="0" w:color="auto"/>
              <w:right w:val="single" w:sz="4" w:space="0" w:color="auto"/>
            </w:tcBorders>
          </w:tcPr>
          <w:p w14:paraId="79214E49" w14:textId="77777777" w:rsidR="006031D6" w:rsidRPr="006031D6" w:rsidRDefault="006031D6" w:rsidP="006031D6">
            <w:pPr>
              <w:pStyle w:val="Texttabulky"/>
              <w:spacing w:after="0" w:line="240" w:lineRule="atLeast"/>
              <w:rPr>
                <w:rFonts w:cs="Arial"/>
              </w:rPr>
            </w:pPr>
            <w:r w:rsidRPr="006031D6">
              <w:rPr>
                <w:rFonts w:cs="Arial"/>
              </w:rPr>
              <w:t>18</w:t>
            </w:r>
          </w:p>
        </w:tc>
        <w:tc>
          <w:tcPr>
            <w:tcW w:w="900" w:type="dxa"/>
            <w:tcBorders>
              <w:top w:val="single" w:sz="4" w:space="0" w:color="auto"/>
              <w:left w:val="single" w:sz="4" w:space="0" w:color="auto"/>
              <w:bottom w:val="single" w:sz="4" w:space="0" w:color="auto"/>
              <w:right w:val="single" w:sz="4" w:space="0" w:color="auto"/>
            </w:tcBorders>
          </w:tcPr>
          <w:p w14:paraId="0DC52FDF" w14:textId="77777777" w:rsidR="006031D6" w:rsidRPr="006031D6" w:rsidRDefault="006031D6" w:rsidP="006031D6">
            <w:pPr>
              <w:pStyle w:val="Texttabulky"/>
              <w:spacing w:after="0" w:line="240" w:lineRule="atLeast"/>
              <w:rPr>
                <w:rFonts w:cs="Arial"/>
              </w:rPr>
            </w:pPr>
            <w:r w:rsidRPr="006031D6">
              <w:rPr>
                <w:rFonts w:cs="Arial"/>
              </w:rPr>
              <w:t>25</w:t>
            </w:r>
          </w:p>
        </w:tc>
        <w:tc>
          <w:tcPr>
            <w:tcW w:w="1050" w:type="dxa"/>
            <w:tcBorders>
              <w:top w:val="single" w:sz="4" w:space="0" w:color="auto"/>
              <w:left w:val="single" w:sz="4" w:space="0" w:color="auto"/>
              <w:bottom w:val="single" w:sz="4" w:space="0" w:color="auto"/>
              <w:right w:val="single" w:sz="4" w:space="0" w:color="auto"/>
            </w:tcBorders>
          </w:tcPr>
          <w:p w14:paraId="60CA4079" w14:textId="77777777" w:rsidR="006031D6" w:rsidRPr="006031D6" w:rsidRDefault="006031D6" w:rsidP="006031D6">
            <w:pPr>
              <w:pStyle w:val="Texttabulky"/>
              <w:spacing w:after="0" w:line="240" w:lineRule="atLeast"/>
              <w:rPr>
                <w:rFonts w:cs="Arial"/>
              </w:rPr>
            </w:pPr>
            <w:r w:rsidRPr="006031D6">
              <w:rPr>
                <w:rFonts w:cs="Arial"/>
              </w:rPr>
              <w:t>12</w:t>
            </w:r>
          </w:p>
        </w:tc>
        <w:tc>
          <w:tcPr>
            <w:tcW w:w="1036" w:type="dxa"/>
            <w:vMerge/>
            <w:tcBorders>
              <w:top w:val="single" w:sz="4" w:space="0" w:color="auto"/>
              <w:left w:val="single" w:sz="4" w:space="0" w:color="auto"/>
              <w:bottom w:val="single" w:sz="4" w:space="0" w:color="auto"/>
              <w:right w:val="single" w:sz="4" w:space="0" w:color="auto"/>
            </w:tcBorders>
          </w:tcPr>
          <w:p w14:paraId="4A184037"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1F646B27" w14:textId="77777777" w:rsidR="006031D6" w:rsidRPr="006031D6" w:rsidRDefault="006031D6" w:rsidP="006031D6">
            <w:pPr>
              <w:pStyle w:val="Texttabulky"/>
              <w:spacing w:after="0" w:line="240" w:lineRule="atLeast"/>
              <w:rPr>
                <w:rFonts w:cs="Arial"/>
              </w:rPr>
            </w:pPr>
            <w:r w:rsidRPr="006031D6">
              <w:rPr>
                <w:rFonts w:cs="Arial"/>
              </w:rPr>
              <w:t>18</w:t>
            </w:r>
          </w:p>
        </w:tc>
      </w:tr>
      <w:tr w:rsidR="006031D6" w:rsidRPr="006031D6" w14:paraId="1F4BF8E0"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5318428C"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64BDD703" w14:textId="77777777" w:rsidR="006031D6" w:rsidRPr="006031D6" w:rsidRDefault="006031D6" w:rsidP="006031D6">
            <w:pPr>
              <w:pStyle w:val="Texttabulky"/>
              <w:spacing w:after="0" w:line="240" w:lineRule="atLeast"/>
              <w:rPr>
                <w:rFonts w:cs="Arial"/>
              </w:rPr>
            </w:pPr>
            <w:r w:rsidRPr="006031D6">
              <w:rPr>
                <w:rFonts w:cs="Arial"/>
              </w:rPr>
              <w:t>Jílové</w:t>
            </w:r>
          </w:p>
        </w:tc>
        <w:tc>
          <w:tcPr>
            <w:tcW w:w="1118" w:type="dxa"/>
            <w:tcBorders>
              <w:top w:val="single" w:sz="4" w:space="0" w:color="auto"/>
              <w:left w:val="single" w:sz="4" w:space="0" w:color="auto"/>
              <w:bottom w:val="single" w:sz="4" w:space="0" w:color="auto"/>
              <w:right w:val="single" w:sz="4" w:space="0" w:color="auto"/>
            </w:tcBorders>
          </w:tcPr>
          <w:p w14:paraId="61EE8C58" w14:textId="77777777" w:rsidR="006031D6" w:rsidRPr="006031D6" w:rsidRDefault="006031D6" w:rsidP="006031D6">
            <w:pPr>
              <w:pStyle w:val="Texttabulky"/>
              <w:spacing w:after="0" w:line="240" w:lineRule="atLeast"/>
              <w:rPr>
                <w:rFonts w:cs="Arial"/>
              </w:rPr>
            </w:pPr>
            <w:r w:rsidRPr="006031D6">
              <w:rPr>
                <w:rFonts w:cs="Arial"/>
              </w:rPr>
              <w:t>12</w:t>
            </w:r>
          </w:p>
        </w:tc>
        <w:tc>
          <w:tcPr>
            <w:tcW w:w="900" w:type="dxa"/>
            <w:tcBorders>
              <w:top w:val="single" w:sz="4" w:space="0" w:color="auto"/>
              <w:left w:val="single" w:sz="4" w:space="0" w:color="auto"/>
              <w:bottom w:val="single" w:sz="4" w:space="0" w:color="auto"/>
              <w:right w:val="single" w:sz="4" w:space="0" w:color="auto"/>
            </w:tcBorders>
          </w:tcPr>
          <w:p w14:paraId="178AE848" w14:textId="77777777" w:rsidR="006031D6" w:rsidRPr="006031D6" w:rsidRDefault="006031D6" w:rsidP="006031D6">
            <w:pPr>
              <w:pStyle w:val="Texttabulky"/>
              <w:spacing w:after="0" w:line="240" w:lineRule="atLeast"/>
              <w:rPr>
                <w:rFonts w:cs="Arial"/>
              </w:rPr>
            </w:pPr>
            <w:r w:rsidRPr="006031D6">
              <w:rPr>
                <w:rFonts w:cs="Arial"/>
              </w:rPr>
              <w:t>12</w:t>
            </w:r>
          </w:p>
        </w:tc>
        <w:tc>
          <w:tcPr>
            <w:tcW w:w="1050" w:type="dxa"/>
            <w:tcBorders>
              <w:top w:val="single" w:sz="4" w:space="0" w:color="auto"/>
              <w:left w:val="single" w:sz="4" w:space="0" w:color="auto"/>
              <w:bottom w:val="single" w:sz="4" w:space="0" w:color="auto"/>
              <w:right w:val="single" w:sz="4" w:space="0" w:color="auto"/>
            </w:tcBorders>
          </w:tcPr>
          <w:p w14:paraId="46FDE39A" w14:textId="77777777" w:rsidR="006031D6" w:rsidRPr="006031D6" w:rsidRDefault="006031D6" w:rsidP="006031D6">
            <w:pPr>
              <w:pStyle w:val="Texttabulky"/>
              <w:spacing w:after="0" w:line="240" w:lineRule="atLeast"/>
              <w:rPr>
                <w:rFonts w:cs="Arial"/>
              </w:rPr>
            </w:pPr>
            <w:r w:rsidRPr="006031D6">
              <w:rPr>
                <w:rFonts w:cs="Arial"/>
              </w:rPr>
              <w:t>8</w:t>
            </w:r>
          </w:p>
        </w:tc>
        <w:tc>
          <w:tcPr>
            <w:tcW w:w="1036" w:type="dxa"/>
            <w:vMerge/>
            <w:tcBorders>
              <w:top w:val="single" w:sz="4" w:space="0" w:color="auto"/>
              <w:left w:val="single" w:sz="4" w:space="0" w:color="auto"/>
              <w:bottom w:val="single" w:sz="4" w:space="0" w:color="auto"/>
              <w:right w:val="single" w:sz="4" w:space="0" w:color="auto"/>
            </w:tcBorders>
          </w:tcPr>
          <w:p w14:paraId="151175CC"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59E0C755" w14:textId="77777777" w:rsidR="006031D6" w:rsidRPr="006031D6" w:rsidRDefault="006031D6" w:rsidP="006031D6">
            <w:pPr>
              <w:pStyle w:val="Texttabulky"/>
              <w:spacing w:after="0" w:line="240" w:lineRule="atLeast"/>
              <w:rPr>
                <w:rFonts w:cs="Arial"/>
              </w:rPr>
            </w:pPr>
            <w:r w:rsidRPr="006031D6">
              <w:rPr>
                <w:rFonts w:cs="Arial"/>
              </w:rPr>
              <w:t>12</w:t>
            </w:r>
          </w:p>
        </w:tc>
      </w:tr>
      <w:tr w:rsidR="006031D6" w:rsidRPr="006031D6" w14:paraId="4C5058AC" w14:textId="77777777" w:rsidTr="002D2D45">
        <w:trPr>
          <w:jc w:val="center"/>
        </w:trPr>
        <w:tc>
          <w:tcPr>
            <w:tcW w:w="1155" w:type="dxa"/>
            <w:vMerge/>
            <w:tcBorders>
              <w:top w:val="single" w:sz="4" w:space="0" w:color="auto"/>
              <w:left w:val="single" w:sz="4" w:space="0" w:color="auto"/>
              <w:bottom w:val="single" w:sz="4" w:space="0" w:color="auto"/>
              <w:right w:val="single" w:sz="4" w:space="0" w:color="auto"/>
            </w:tcBorders>
          </w:tcPr>
          <w:p w14:paraId="4097598E" w14:textId="77777777" w:rsidR="006031D6" w:rsidRPr="006031D6" w:rsidRDefault="006031D6" w:rsidP="006031D6">
            <w:pPr>
              <w:pStyle w:val="Zkladntext"/>
              <w:spacing w:after="0"/>
              <w:rPr>
                <w:rFonts w:ascii="Arial" w:hAnsi="Arial" w:cs="Arial"/>
              </w:rPr>
            </w:pPr>
          </w:p>
        </w:tc>
        <w:tc>
          <w:tcPr>
            <w:tcW w:w="1225" w:type="dxa"/>
            <w:tcBorders>
              <w:top w:val="single" w:sz="4" w:space="0" w:color="auto"/>
              <w:left w:val="single" w:sz="4" w:space="0" w:color="auto"/>
              <w:bottom w:val="single" w:sz="4" w:space="0" w:color="auto"/>
              <w:right w:val="single" w:sz="4" w:space="0" w:color="auto"/>
            </w:tcBorders>
          </w:tcPr>
          <w:p w14:paraId="09536E90" w14:textId="77777777" w:rsidR="006031D6" w:rsidRPr="006031D6" w:rsidRDefault="006031D6" w:rsidP="006031D6">
            <w:pPr>
              <w:pStyle w:val="Texttabulky"/>
              <w:spacing w:after="0" w:line="240" w:lineRule="atLeast"/>
              <w:rPr>
                <w:rFonts w:cs="Arial"/>
              </w:rPr>
            </w:pPr>
            <w:r w:rsidRPr="006031D6">
              <w:rPr>
                <w:rFonts w:cs="Arial"/>
                <w:b/>
                <w:bCs/>
              </w:rPr>
              <w:t>Celkem</w:t>
            </w:r>
          </w:p>
        </w:tc>
        <w:tc>
          <w:tcPr>
            <w:tcW w:w="1118" w:type="dxa"/>
            <w:tcBorders>
              <w:top w:val="single" w:sz="4" w:space="0" w:color="auto"/>
              <w:left w:val="single" w:sz="4" w:space="0" w:color="auto"/>
              <w:bottom w:val="single" w:sz="4" w:space="0" w:color="auto"/>
              <w:right w:val="single" w:sz="4" w:space="0" w:color="auto"/>
            </w:tcBorders>
          </w:tcPr>
          <w:p w14:paraId="60C532D9" w14:textId="77777777" w:rsidR="006031D6" w:rsidRPr="006031D6" w:rsidRDefault="006031D6" w:rsidP="006031D6">
            <w:pPr>
              <w:pStyle w:val="Texttabulky"/>
              <w:spacing w:after="0" w:line="240" w:lineRule="atLeast"/>
              <w:rPr>
                <w:rFonts w:cs="Arial"/>
              </w:rPr>
            </w:pPr>
            <w:r w:rsidRPr="006031D6">
              <w:rPr>
                <w:rFonts w:cs="Arial"/>
                <w:b/>
                <w:bCs/>
              </w:rPr>
              <w:t>183</w:t>
            </w:r>
          </w:p>
        </w:tc>
        <w:tc>
          <w:tcPr>
            <w:tcW w:w="900" w:type="dxa"/>
            <w:tcBorders>
              <w:top w:val="single" w:sz="4" w:space="0" w:color="auto"/>
              <w:left w:val="single" w:sz="4" w:space="0" w:color="auto"/>
              <w:bottom w:val="single" w:sz="4" w:space="0" w:color="auto"/>
              <w:right w:val="single" w:sz="4" w:space="0" w:color="auto"/>
            </w:tcBorders>
          </w:tcPr>
          <w:p w14:paraId="083C92F1" w14:textId="77777777" w:rsidR="006031D6" w:rsidRPr="006031D6" w:rsidRDefault="006031D6" w:rsidP="006031D6">
            <w:pPr>
              <w:pStyle w:val="Texttabulky"/>
              <w:spacing w:after="0" w:line="240" w:lineRule="atLeast"/>
              <w:rPr>
                <w:rFonts w:cs="Arial"/>
              </w:rPr>
            </w:pPr>
            <w:r w:rsidRPr="006031D6">
              <w:rPr>
                <w:rFonts w:cs="Arial"/>
                <w:b/>
                <w:bCs/>
              </w:rPr>
              <w:t>256</w:t>
            </w:r>
          </w:p>
        </w:tc>
        <w:tc>
          <w:tcPr>
            <w:tcW w:w="1050" w:type="dxa"/>
            <w:tcBorders>
              <w:top w:val="single" w:sz="4" w:space="0" w:color="auto"/>
              <w:left w:val="single" w:sz="4" w:space="0" w:color="auto"/>
              <w:bottom w:val="single" w:sz="4" w:space="0" w:color="auto"/>
              <w:right w:val="single" w:sz="4" w:space="0" w:color="auto"/>
            </w:tcBorders>
          </w:tcPr>
          <w:p w14:paraId="16DDCE71" w14:textId="77777777" w:rsidR="006031D6" w:rsidRPr="006031D6" w:rsidRDefault="006031D6" w:rsidP="006031D6">
            <w:pPr>
              <w:pStyle w:val="Texttabulky"/>
              <w:spacing w:after="0" w:line="240" w:lineRule="atLeast"/>
              <w:rPr>
                <w:rFonts w:cs="Arial"/>
              </w:rPr>
            </w:pPr>
            <w:r w:rsidRPr="006031D6">
              <w:rPr>
                <w:rFonts w:cs="Arial"/>
                <w:b/>
                <w:bCs/>
              </w:rPr>
              <w:t>125</w:t>
            </w:r>
          </w:p>
        </w:tc>
        <w:tc>
          <w:tcPr>
            <w:tcW w:w="1036" w:type="dxa"/>
            <w:vMerge/>
            <w:tcBorders>
              <w:top w:val="single" w:sz="4" w:space="0" w:color="auto"/>
              <w:left w:val="single" w:sz="4" w:space="0" w:color="auto"/>
              <w:bottom w:val="single" w:sz="4" w:space="0" w:color="auto"/>
              <w:right w:val="single" w:sz="4" w:space="0" w:color="auto"/>
            </w:tcBorders>
          </w:tcPr>
          <w:p w14:paraId="564582F1" w14:textId="77777777" w:rsidR="006031D6" w:rsidRPr="006031D6" w:rsidRDefault="006031D6" w:rsidP="006031D6">
            <w:pPr>
              <w:pStyle w:val="Zkladntext"/>
              <w:spacing w:after="0"/>
              <w:rPr>
                <w:rFonts w:ascii="Arial" w:hAnsi="Arial" w:cs="Arial"/>
              </w:rPr>
            </w:pPr>
          </w:p>
        </w:tc>
        <w:tc>
          <w:tcPr>
            <w:tcW w:w="1230" w:type="dxa"/>
            <w:tcBorders>
              <w:top w:val="single" w:sz="4" w:space="0" w:color="auto"/>
              <w:left w:val="single" w:sz="4" w:space="0" w:color="auto"/>
              <w:bottom w:val="single" w:sz="4" w:space="0" w:color="auto"/>
              <w:right w:val="single" w:sz="4" w:space="0" w:color="auto"/>
            </w:tcBorders>
          </w:tcPr>
          <w:p w14:paraId="43BD32BD" w14:textId="77777777" w:rsidR="006031D6" w:rsidRPr="006031D6" w:rsidRDefault="006031D6" w:rsidP="006031D6">
            <w:pPr>
              <w:pStyle w:val="Texttabulky"/>
              <w:spacing w:after="0" w:line="240" w:lineRule="atLeast"/>
              <w:rPr>
                <w:rFonts w:cs="Arial"/>
              </w:rPr>
            </w:pPr>
            <w:r w:rsidRPr="006031D6">
              <w:rPr>
                <w:rFonts w:cs="Arial"/>
                <w:b/>
                <w:bCs/>
              </w:rPr>
              <w:t>187</w:t>
            </w:r>
          </w:p>
        </w:tc>
      </w:tr>
    </w:tbl>
    <w:p w14:paraId="41669A6C" w14:textId="77777777" w:rsidR="006031D6" w:rsidRPr="006031D6" w:rsidRDefault="006031D6" w:rsidP="006031D6">
      <w:pPr>
        <w:autoSpaceDE w:val="0"/>
        <w:autoSpaceDN w:val="0"/>
        <w:adjustRightInd w:val="0"/>
        <w:jc w:val="both"/>
        <w:rPr>
          <w:rFonts w:ascii="Arial" w:hAnsi="Arial" w:cs="Arial"/>
          <w:sz w:val="20"/>
        </w:rPr>
      </w:pPr>
    </w:p>
    <w:p w14:paraId="183EF635" w14:textId="77777777" w:rsidR="006031D6" w:rsidRPr="006031D6" w:rsidRDefault="006031D6" w:rsidP="006031D6">
      <w:pPr>
        <w:pStyle w:val="Zkladntext"/>
        <w:rPr>
          <w:rFonts w:ascii="Arial" w:hAnsi="Arial" w:cs="Arial"/>
        </w:rPr>
      </w:pPr>
    </w:p>
    <w:p w14:paraId="427801FB"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b/>
          <w:bCs/>
          <w:sz w:val="22"/>
          <w:szCs w:val="22"/>
        </w:rPr>
        <w:t>Z provedeného výpočtu je patrno, že by minimální množství pro skupinu nemělo poklesnout pod Q</w:t>
      </w:r>
      <w:r w:rsidRPr="006031D6">
        <w:rPr>
          <w:rFonts w:ascii="Arial" w:hAnsi="Arial" w:cs="Arial"/>
          <w:b/>
          <w:bCs/>
          <w:sz w:val="22"/>
          <w:szCs w:val="22"/>
          <w:vertAlign w:val="subscript"/>
        </w:rPr>
        <w:t>max</w:t>
      </w:r>
      <w:r w:rsidRPr="006031D6">
        <w:rPr>
          <w:rFonts w:ascii="Arial" w:hAnsi="Arial" w:cs="Arial"/>
          <w:b/>
          <w:bCs/>
          <w:sz w:val="22"/>
          <w:szCs w:val="22"/>
        </w:rPr>
        <w:t xml:space="preserve"> = 187l/s.</w:t>
      </w:r>
    </w:p>
    <w:p w14:paraId="10F0D2E7"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b/>
          <w:bCs/>
          <w:sz w:val="22"/>
          <w:szCs w:val="22"/>
        </w:rPr>
        <w:t>Po dohodě se závodem Děčín je pro další výpočet uvažováno s hodnotami – průměr SčVK, což představuje  Q</w:t>
      </w:r>
      <w:r w:rsidRPr="006031D6">
        <w:rPr>
          <w:rFonts w:ascii="Arial" w:hAnsi="Arial" w:cs="Arial"/>
          <w:b/>
          <w:bCs/>
          <w:sz w:val="22"/>
          <w:szCs w:val="22"/>
          <w:vertAlign w:val="subscript"/>
        </w:rPr>
        <w:t xml:space="preserve">max </w:t>
      </w:r>
      <w:r w:rsidRPr="006031D6">
        <w:rPr>
          <w:rFonts w:ascii="Arial" w:hAnsi="Arial" w:cs="Arial"/>
          <w:b/>
          <w:bCs/>
          <w:sz w:val="22"/>
          <w:szCs w:val="22"/>
        </w:rPr>
        <w:t>= 299l/s.</w:t>
      </w:r>
    </w:p>
    <w:p w14:paraId="01D79DCC" w14:textId="77777777" w:rsidR="006031D6" w:rsidRPr="006031D6" w:rsidRDefault="006031D6" w:rsidP="006031D6">
      <w:pPr>
        <w:pStyle w:val="podnadpis2"/>
        <w:spacing w:line="240" w:lineRule="atLeast"/>
        <w:jc w:val="both"/>
        <w:rPr>
          <w:rFonts w:cs="Arial"/>
          <w:szCs w:val="22"/>
        </w:rPr>
      </w:pPr>
    </w:p>
    <w:p w14:paraId="47CD3F3A" w14:textId="77777777" w:rsidR="006031D6" w:rsidRPr="006031D6" w:rsidRDefault="006031D6" w:rsidP="006031D6">
      <w:pPr>
        <w:pStyle w:val="podnadpis2"/>
        <w:spacing w:line="240" w:lineRule="atLeast"/>
        <w:jc w:val="both"/>
        <w:rPr>
          <w:rFonts w:cs="Arial"/>
        </w:rPr>
      </w:pPr>
      <w:r w:rsidRPr="006031D6">
        <w:rPr>
          <w:rFonts w:cs="Arial"/>
          <w:szCs w:val="22"/>
        </w:rPr>
        <w:t>Zdroje</w:t>
      </w:r>
    </w:p>
    <w:p w14:paraId="27FF5CAE"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Vydatnost zdrojů je převzata z "Povolení k  nakládání s vodami ze dne 16. 01. 1989.</w:t>
      </w:r>
    </w:p>
    <w:p w14:paraId="0A934A11"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V tabulce č. 4 jsou uvedeny hodnoty zdrojů, které byly provozovány v roce 1998.</w:t>
      </w:r>
    </w:p>
    <w:p w14:paraId="4F8D3342"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V dalším pak je uvažováno s využíváním zdrojů: Tabulka č. 5 (dle čísl. SčVaK)</w:t>
      </w:r>
    </w:p>
    <w:p w14:paraId="76F456F2" w14:textId="77777777" w:rsidR="006031D6" w:rsidRPr="006031D6" w:rsidRDefault="006031D6" w:rsidP="006031D6">
      <w:pPr>
        <w:pStyle w:val="Zkladntext"/>
        <w:numPr>
          <w:ilvl w:val="0"/>
          <w:numId w:val="55"/>
        </w:numPr>
        <w:suppressAutoHyphens w:val="0"/>
        <w:autoSpaceDE w:val="0"/>
        <w:autoSpaceDN w:val="0"/>
        <w:adjustRightInd w:val="0"/>
        <w:spacing w:after="0" w:line="288" w:lineRule="auto"/>
        <w:ind w:left="426"/>
        <w:jc w:val="both"/>
        <w:rPr>
          <w:rFonts w:ascii="Arial" w:hAnsi="Arial" w:cs="Arial"/>
          <w:sz w:val="22"/>
          <w:szCs w:val="22"/>
        </w:rPr>
      </w:pPr>
      <w:r w:rsidRPr="006031D6">
        <w:rPr>
          <w:rFonts w:ascii="Arial" w:hAnsi="Arial" w:cs="Arial"/>
          <w:sz w:val="22"/>
          <w:szCs w:val="22"/>
        </w:rPr>
        <w:t>ÚV Hřensko – Děčín Bělá, Kristin Hrádek, Mitop vrt DN 3, Studený pramen, Č. voda, D. Žleb, Vlčí pramen, Chrochvice, Staré město Nad zastávkou, St. Město Pod Chlumem, Bynov N.Ves, Bynov stř. pásmo, Vilsnice, Jalůvčí;</w:t>
      </w:r>
    </w:p>
    <w:p w14:paraId="16B8784E" w14:textId="77777777" w:rsidR="006031D6" w:rsidRPr="006031D6" w:rsidRDefault="006031D6" w:rsidP="006031D6">
      <w:pPr>
        <w:pStyle w:val="Zkladntext"/>
        <w:numPr>
          <w:ilvl w:val="0"/>
          <w:numId w:val="55"/>
        </w:numPr>
        <w:suppressAutoHyphens w:val="0"/>
        <w:autoSpaceDE w:val="0"/>
        <w:autoSpaceDN w:val="0"/>
        <w:adjustRightInd w:val="0"/>
        <w:spacing w:after="0" w:line="288" w:lineRule="auto"/>
        <w:ind w:left="426"/>
        <w:jc w:val="both"/>
        <w:rPr>
          <w:rFonts w:ascii="Arial" w:hAnsi="Arial" w:cs="Arial"/>
          <w:sz w:val="22"/>
          <w:szCs w:val="22"/>
        </w:rPr>
      </w:pPr>
      <w:r w:rsidRPr="006031D6">
        <w:rPr>
          <w:rFonts w:ascii="Arial" w:hAnsi="Arial" w:cs="Arial"/>
          <w:sz w:val="22"/>
          <w:szCs w:val="22"/>
        </w:rPr>
        <w:t>Boletice – Pod Velení, Jasanka, U Polanských, Lesní Mlýn, Nad Němcem;</w:t>
      </w:r>
    </w:p>
    <w:p w14:paraId="3DEBFB83" w14:textId="77777777" w:rsidR="006031D6" w:rsidRPr="006031D6" w:rsidRDefault="006031D6" w:rsidP="006031D6">
      <w:pPr>
        <w:pStyle w:val="Zkladntext"/>
        <w:numPr>
          <w:ilvl w:val="0"/>
          <w:numId w:val="55"/>
        </w:numPr>
        <w:suppressAutoHyphens w:val="0"/>
        <w:autoSpaceDE w:val="0"/>
        <w:autoSpaceDN w:val="0"/>
        <w:adjustRightInd w:val="0"/>
        <w:spacing w:after="0" w:line="288" w:lineRule="auto"/>
        <w:ind w:left="426"/>
        <w:jc w:val="both"/>
        <w:rPr>
          <w:rFonts w:ascii="Arial" w:hAnsi="Arial" w:cs="Arial"/>
          <w:sz w:val="22"/>
          <w:szCs w:val="22"/>
        </w:rPr>
      </w:pPr>
      <w:r w:rsidRPr="006031D6">
        <w:rPr>
          <w:rFonts w:ascii="Arial" w:hAnsi="Arial" w:cs="Arial"/>
          <w:sz w:val="22"/>
          <w:szCs w:val="22"/>
        </w:rPr>
        <w:t>Folknáře – nad hostincem;</w:t>
      </w:r>
    </w:p>
    <w:p w14:paraId="211CACC1" w14:textId="77777777" w:rsidR="006031D6" w:rsidRPr="006031D6" w:rsidRDefault="006031D6" w:rsidP="006031D6">
      <w:pPr>
        <w:pStyle w:val="Zkladntext"/>
        <w:numPr>
          <w:ilvl w:val="0"/>
          <w:numId w:val="55"/>
        </w:numPr>
        <w:suppressAutoHyphens w:val="0"/>
        <w:autoSpaceDE w:val="0"/>
        <w:autoSpaceDN w:val="0"/>
        <w:adjustRightInd w:val="0"/>
        <w:spacing w:after="0" w:line="288" w:lineRule="auto"/>
        <w:ind w:left="426"/>
        <w:jc w:val="both"/>
        <w:rPr>
          <w:rFonts w:ascii="Arial" w:hAnsi="Arial" w:cs="Arial"/>
          <w:sz w:val="22"/>
          <w:szCs w:val="22"/>
        </w:rPr>
      </w:pPr>
      <w:r w:rsidRPr="006031D6">
        <w:rPr>
          <w:rFonts w:ascii="Arial" w:hAnsi="Arial" w:cs="Arial"/>
          <w:sz w:val="22"/>
          <w:szCs w:val="22"/>
        </w:rPr>
        <w:t>Březiny – Rybníček, Pod Chlumem, Bechlejovice, Pod Dobrnou – škola, Beckel;</w:t>
      </w:r>
    </w:p>
    <w:p w14:paraId="641C2B9F" w14:textId="77777777" w:rsidR="006031D6" w:rsidRPr="006031D6" w:rsidRDefault="006031D6" w:rsidP="006031D6">
      <w:pPr>
        <w:pStyle w:val="Zkladntext"/>
        <w:numPr>
          <w:ilvl w:val="0"/>
          <w:numId w:val="55"/>
        </w:numPr>
        <w:suppressAutoHyphens w:val="0"/>
        <w:autoSpaceDE w:val="0"/>
        <w:autoSpaceDN w:val="0"/>
        <w:adjustRightInd w:val="0"/>
        <w:spacing w:after="0" w:line="288" w:lineRule="auto"/>
        <w:ind w:left="426"/>
        <w:jc w:val="both"/>
        <w:rPr>
          <w:rFonts w:ascii="Arial" w:hAnsi="Arial" w:cs="Arial"/>
          <w:sz w:val="22"/>
          <w:szCs w:val="22"/>
        </w:rPr>
      </w:pPr>
      <w:r w:rsidRPr="006031D6">
        <w:rPr>
          <w:rFonts w:ascii="Arial" w:hAnsi="Arial" w:cs="Arial"/>
          <w:sz w:val="22"/>
          <w:szCs w:val="22"/>
        </w:rPr>
        <w:t>Kr. Studenec – Hlavní Waltrův, U tří bříz;</w:t>
      </w:r>
    </w:p>
    <w:p w14:paraId="27C265DA" w14:textId="77777777" w:rsidR="006031D6" w:rsidRPr="006031D6" w:rsidRDefault="006031D6" w:rsidP="006031D6">
      <w:pPr>
        <w:pStyle w:val="Zkladntext"/>
        <w:numPr>
          <w:ilvl w:val="0"/>
          <w:numId w:val="55"/>
        </w:numPr>
        <w:suppressAutoHyphens w:val="0"/>
        <w:autoSpaceDE w:val="0"/>
        <w:autoSpaceDN w:val="0"/>
        <w:adjustRightInd w:val="0"/>
        <w:spacing w:after="0" w:line="288" w:lineRule="auto"/>
        <w:ind w:left="426"/>
        <w:jc w:val="both"/>
        <w:rPr>
          <w:rFonts w:ascii="Arial" w:hAnsi="Arial" w:cs="Arial"/>
          <w:sz w:val="22"/>
          <w:szCs w:val="22"/>
        </w:rPr>
      </w:pPr>
      <w:r w:rsidRPr="006031D6">
        <w:rPr>
          <w:rFonts w:ascii="Arial" w:hAnsi="Arial" w:cs="Arial"/>
          <w:sz w:val="22"/>
          <w:szCs w:val="22"/>
        </w:rPr>
        <w:t>Jílové – Kamenná, Nové Jílové, U rybníka (Modrá), U Majerika, Pod lesem, převod z okresu Ústí n/L.</w:t>
      </w:r>
    </w:p>
    <w:p w14:paraId="67CA3608"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sz w:val="22"/>
          <w:szCs w:val="22"/>
        </w:rPr>
        <w:t>U malých zdrojů se jedná převážně o zdroje vzdálené, nebo vyšších tlakových pásem, jejichž náhrada ze skupiny by byla finančně nákladná.</w:t>
      </w:r>
    </w:p>
    <w:p w14:paraId="5387C8F1" w14:textId="77777777" w:rsidR="006031D6" w:rsidRPr="006031D6" w:rsidRDefault="006031D6" w:rsidP="006031D6">
      <w:pPr>
        <w:pStyle w:val="Zkladntext"/>
        <w:spacing w:line="288" w:lineRule="auto"/>
        <w:jc w:val="both"/>
        <w:rPr>
          <w:rFonts w:ascii="Arial" w:hAnsi="Arial" w:cs="Arial"/>
          <w:sz w:val="22"/>
          <w:szCs w:val="22"/>
        </w:rPr>
      </w:pPr>
    </w:p>
    <w:p w14:paraId="1B349EF1"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b/>
          <w:bCs/>
          <w:sz w:val="22"/>
          <w:szCs w:val="22"/>
        </w:rPr>
        <w:t>Z výpočtu spotřeby a zdrojového krytí vyplývá:</w:t>
      </w:r>
    </w:p>
    <w:p w14:paraId="4CC251C7"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sz w:val="22"/>
          <w:szCs w:val="22"/>
        </w:rPr>
        <w:t>Vlastní skupina je z hlediska zdrojového krytí rozdělena na tři základní části (viz Tabulka č. 5 a Bilanční schéma – výhled):</w:t>
      </w:r>
    </w:p>
    <w:p w14:paraId="55C80B0B"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sz w:val="22"/>
          <w:szCs w:val="22"/>
        </w:rPr>
        <w:t>Děčín město</w:t>
      </w:r>
    </w:p>
    <w:p w14:paraId="765C9755"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sz w:val="22"/>
          <w:szCs w:val="22"/>
        </w:rPr>
        <w:t>Venkov</w:t>
      </w:r>
    </w:p>
    <w:p w14:paraId="59269F20"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sz w:val="22"/>
          <w:szCs w:val="22"/>
        </w:rPr>
        <w:t>Skupina Jílové</w:t>
      </w:r>
    </w:p>
    <w:p w14:paraId="39B36338" w14:textId="77777777" w:rsidR="006031D6" w:rsidRDefault="006031D6" w:rsidP="006031D6">
      <w:pPr>
        <w:pStyle w:val="Zkladntext"/>
        <w:spacing w:line="288" w:lineRule="auto"/>
        <w:jc w:val="both"/>
        <w:rPr>
          <w:rFonts w:ascii="Arial" w:hAnsi="Arial" w:cs="Arial"/>
          <w:sz w:val="22"/>
          <w:szCs w:val="22"/>
        </w:rPr>
      </w:pPr>
      <w:r w:rsidRPr="006031D6">
        <w:rPr>
          <w:rFonts w:ascii="Arial" w:hAnsi="Arial" w:cs="Arial"/>
          <w:sz w:val="22"/>
          <w:szCs w:val="22"/>
        </w:rPr>
        <w:t>Celkové množství vody pro celou skupinu činí Q</w:t>
      </w:r>
      <w:r w:rsidRPr="006031D6">
        <w:rPr>
          <w:rFonts w:ascii="Arial" w:hAnsi="Arial" w:cs="Arial"/>
          <w:position w:val="-6"/>
          <w:sz w:val="22"/>
          <w:szCs w:val="22"/>
          <w:vertAlign w:val="subscript"/>
        </w:rPr>
        <w:t>max</w:t>
      </w:r>
      <w:r w:rsidRPr="006031D6">
        <w:rPr>
          <w:rFonts w:ascii="Arial" w:hAnsi="Arial" w:cs="Arial"/>
          <w:sz w:val="22"/>
          <w:szCs w:val="22"/>
          <w:vertAlign w:val="subscript"/>
        </w:rPr>
        <w:t xml:space="preserve"> </w:t>
      </w:r>
      <w:r w:rsidRPr="006031D6">
        <w:rPr>
          <w:rFonts w:ascii="Arial" w:hAnsi="Arial" w:cs="Arial"/>
          <w:sz w:val="22"/>
          <w:szCs w:val="22"/>
        </w:rPr>
        <w:t>= 299 l/s</w:t>
      </w:r>
    </w:p>
    <w:p w14:paraId="31F237F5" w14:textId="77777777" w:rsidR="006031D6" w:rsidRPr="006031D6" w:rsidRDefault="006031D6" w:rsidP="006031D6">
      <w:pPr>
        <w:pStyle w:val="Zkladntext"/>
        <w:spacing w:line="288" w:lineRule="auto"/>
        <w:jc w:val="both"/>
        <w:rPr>
          <w:rFonts w:ascii="Arial" w:hAnsi="Arial" w:cs="Arial"/>
          <w:sz w:val="22"/>
          <w:szCs w:val="22"/>
        </w:rPr>
      </w:pPr>
    </w:p>
    <w:p w14:paraId="345978F6"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sz w:val="22"/>
          <w:szCs w:val="22"/>
        </w:rPr>
        <w:t>• Skupina Jílové - Q</w:t>
      </w:r>
      <w:r w:rsidRPr="006031D6">
        <w:rPr>
          <w:rFonts w:ascii="Arial" w:hAnsi="Arial" w:cs="Arial"/>
          <w:position w:val="-6"/>
          <w:sz w:val="22"/>
          <w:szCs w:val="22"/>
          <w:vertAlign w:val="subscript"/>
        </w:rPr>
        <w:t>max</w:t>
      </w:r>
      <w:r w:rsidRPr="006031D6">
        <w:rPr>
          <w:rFonts w:ascii="Arial" w:hAnsi="Arial" w:cs="Arial"/>
          <w:sz w:val="22"/>
          <w:szCs w:val="22"/>
        </w:rPr>
        <w:t xml:space="preserve"> = 19 l/s bude i nadále zásobena z okresu Ústí nad Labem</w:t>
      </w:r>
    </w:p>
    <w:p w14:paraId="67824FBB"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sz w:val="22"/>
          <w:szCs w:val="22"/>
        </w:rPr>
        <w:t xml:space="preserve">• Skupina Děčín - Děčín město </w:t>
      </w:r>
      <w:r w:rsidRPr="006031D6">
        <w:rPr>
          <w:rFonts w:ascii="Arial" w:hAnsi="Arial" w:cs="Arial"/>
          <w:sz w:val="22"/>
          <w:szCs w:val="22"/>
        </w:rPr>
        <w:tab/>
        <w:t>Q</w:t>
      </w:r>
      <w:r w:rsidRPr="006031D6">
        <w:rPr>
          <w:rFonts w:ascii="Arial" w:hAnsi="Arial" w:cs="Arial"/>
          <w:position w:val="-6"/>
          <w:sz w:val="22"/>
          <w:szCs w:val="22"/>
          <w:vertAlign w:val="subscript"/>
        </w:rPr>
        <w:t>max</w:t>
      </w:r>
      <w:r w:rsidRPr="006031D6">
        <w:rPr>
          <w:rFonts w:ascii="Arial" w:hAnsi="Arial" w:cs="Arial"/>
          <w:position w:val="-6"/>
          <w:sz w:val="22"/>
          <w:szCs w:val="22"/>
        </w:rPr>
        <w:t xml:space="preserve"> </w:t>
      </w:r>
      <w:r w:rsidRPr="006031D6">
        <w:rPr>
          <w:rFonts w:ascii="Arial" w:hAnsi="Arial" w:cs="Arial"/>
          <w:sz w:val="22"/>
          <w:szCs w:val="22"/>
        </w:rPr>
        <w:t>= 251 l/s, vlastní zdroje Q</w:t>
      </w:r>
      <w:r w:rsidRPr="006031D6">
        <w:rPr>
          <w:rFonts w:ascii="Arial" w:hAnsi="Arial" w:cs="Arial"/>
          <w:position w:val="-6"/>
          <w:sz w:val="22"/>
          <w:szCs w:val="22"/>
          <w:vertAlign w:val="subscript"/>
        </w:rPr>
        <w:t>min</w:t>
      </w:r>
      <w:r w:rsidRPr="006031D6">
        <w:rPr>
          <w:rFonts w:ascii="Arial" w:hAnsi="Arial" w:cs="Arial"/>
          <w:sz w:val="22"/>
          <w:szCs w:val="22"/>
          <w:vertAlign w:val="subscript"/>
        </w:rPr>
        <w:t xml:space="preserve"> </w:t>
      </w:r>
      <w:r w:rsidRPr="006031D6">
        <w:rPr>
          <w:rFonts w:ascii="Arial" w:hAnsi="Arial" w:cs="Arial"/>
          <w:sz w:val="22"/>
          <w:szCs w:val="22"/>
        </w:rPr>
        <w:t>= 121,0 l/s</w:t>
      </w:r>
    </w:p>
    <w:p w14:paraId="0D399506"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venkov</w:t>
      </w:r>
      <w:r w:rsidRPr="006031D6">
        <w:rPr>
          <w:rFonts w:ascii="Arial" w:hAnsi="Arial" w:cs="Arial"/>
          <w:sz w:val="22"/>
          <w:szCs w:val="22"/>
        </w:rPr>
        <w:tab/>
      </w:r>
      <w:r w:rsidRPr="006031D6">
        <w:rPr>
          <w:rFonts w:ascii="Arial" w:hAnsi="Arial" w:cs="Arial"/>
          <w:sz w:val="22"/>
          <w:szCs w:val="22"/>
        </w:rPr>
        <w:tab/>
        <w:t>Q</w:t>
      </w:r>
      <w:r w:rsidRPr="006031D6">
        <w:rPr>
          <w:rFonts w:ascii="Arial" w:hAnsi="Arial" w:cs="Arial"/>
          <w:position w:val="-6"/>
          <w:sz w:val="22"/>
          <w:szCs w:val="22"/>
          <w:vertAlign w:val="subscript"/>
        </w:rPr>
        <w:t>max</w:t>
      </w:r>
      <w:r w:rsidRPr="006031D6">
        <w:rPr>
          <w:rFonts w:ascii="Arial" w:hAnsi="Arial" w:cs="Arial"/>
          <w:sz w:val="22"/>
          <w:szCs w:val="22"/>
        </w:rPr>
        <w:t xml:space="preserve"> =   29 l/s, vlastní zdroje Q</w:t>
      </w:r>
      <w:r w:rsidRPr="006031D6">
        <w:rPr>
          <w:rFonts w:ascii="Arial" w:hAnsi="Arial" w:cs="Arial"/>
          <w:position w:val="-6"/>
          <w:sz w:val="22"/>
          <w:szCs w:val="22"/>
          <w:vertAlign w:val="subscript"/>
        </w:rPr>
        <w:t>min</w:t>
      </w:r>
      <w:r w:rsidRPr="006031D6">
        <w:rPr>
          <w:rFonts w:ascii="Arial" w:hAnsi="Arial" w:cs="Arial"/>
          <w:sz w:val="22"/>
          <w:szCs w:val="22"/>
        </w:rPr>
        <w:t xml:space="preserve"> =     5,5 l/s</w:t>
      </w:r>
    </w:p>
    <w:p w14:paraId="7516C3B8"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celkem</w:t>
      </w:r>
      <w:r w:rsidRPr="006031D6">
        <w:rPr>
          <w:rFonts w:ascii="Arial" w:hAnsi="Arial" w:cs="Arial"/>
          <w:sz w:val="22"/>
          <w:szCs w:val="22"/>
        </w:rPr>
        <w:tab/>
      </w:r>
      <w:r w:rsidRPr="006031D6">
        <w:rPr>
          <w:rFonts w:ascii="Arial" w:hAnsi="Arial" w:cs="Arial"/>
          <w:sz w:val="22"/>
          <w:szCs w:val="22"/>
        </w:rPr>
        <w:tab/>
        <w:t>Q</w:t>
      </w:r>
      <w:r w:rsidRPr="006031D6">
        <w:rPr>
          <w:rFonts w:ascii="Arial" w:hAnsi="Arial" w:cs="Arial"/>
          <w:position w:val="-6"/>
          <w:sz w:val="22"/>
          <w:szCs w:val="22"/>
          <w:vertAlign w:val="subscript"/>
        </w:rPr>
        <w:t>max</w:t>
      </w:r>
      <w:r w:rsidRPr="006031D6">
        <w:rPr>
          <w:rFonts w:ascii="Arial" w:hAnsi="Arial" w:cs="Arial"/>
          <w:sz w:val="22"/>
          <w:szCs w:val="22"/>
        </w:rPr>
        <w:t xml:space="preserve"> = 280 l/s, vlastní zdroje Q</w:t>
      </w:r>
      <w:r w:rsidRPr="006031D6">
        <w:rPr>
          <w:rFonts w:ascii="Arial" w:hAnsi="Arial" w:cs="Arial"/>
          <w:position w:val="-6"/>
          <w:sz w:val="22"/>
          <w:szCs w:val="22"/>
          <w:vertAlign w:val="subscript"/>
        </w:rPr>
        <w:t>min</w:t>
      </w:r>
      <w:r w:rsidRPr="006031D6">
        <w:rPr>
          <w:rFonts w:ascii="Arial" w:hAnsi="Arial" w:cs="Arial"/>
          <w:sz w:val="22"/>
          <w:szCs w:val="22"/>
        </w:rPr>
        <w:t xml:space="preserve"> = 126,5 l/s</w:t>
      </w:r>
    </w:p>
    <w:p w14:paraId="055F610F" w14:textId="77777777" w:rsidR="006031D6" w:rsidRPr="006031D6" w:rsidRDefault="006031D6" w:rsidP="006031D6">
      <w:pPr>
        <w:pStyle w:val="Zkladntext"/>
        <w:spacing w:line="288" w:lineRule="auto"/>
        <w:ind w:left="5688"/>
        <w:jc w:val="both"/>
        <w:rPr>
          <w:rFonts w:ascii="Arial" w:hAnsi="Arial" w:cs="Arial"/>
          <w:sz w:val="22"/>
          <w:szCs w:val="22"/>
        </w:rPr>
      </w:pPr>
      <w:r w:rsidRPr="006031D6">
        <w:rPr>
          <w:rFonts w:ascii="Arial" w:hAnsi="Arial" w:cs="Arial"/>
          <w:sz w:val="22"/>
          <w:szCs w:val="22"/>
        </w:rPr>
        <w:t>- ÚV Hřensko Q</w:t>
      </w:r>
      <w:r w:rsidRPr="006031D6">
        <w:rPr>
          <w:rFonts w:ascii="Arial" w:hAnsi="Arial" w:cs="Arial"/>
          <w:position w:val="-6"/>
          <w:sz w:val="22"/>
          <w:szCs w:val="22"/>
          <w:vertAlign w:val="subscript"/>
        </w:rPr>
        <w:t>min</w:t>
      </w:r>
      <w:r w:rsidRPr="006031D6">
        <w:rPr>
          <w:rFonts w:ascii="Arial" w:hAnsi="Arial" w:cs="Arial"/>
          <w:sz w:val="22"/>
          <w:szCs w:val="22"/>
        </w:rPr>
        <w:t xml:space="preserve"> 110 l/s</w:t>
      </w:r>
    </w:p>
    <w:p w14:paraId="371B2FA0" w14:textId="77777777" w:rsidR="006031D6" w:rsidRPr="006031D6" w:rsidRDefault="006031D6" w:rsidP="006031D6">
      <w:pPr>
        <w:pStyle w:val="Zkladntext"/>
        <w:spacing w:line="288" w:lineRule="auto"/>
        <w:ind w:left="1440"/>
        <w:jc w:val="both"/>
        <w:rPr>
          <w:rFonts w:ascii="Arial" w:hAnsi="Arial" w:cs="Arial"/>
          <w:sz w:val="22"/>
          <w:szCs w:val="22"/>
        </w:rPr>
      </w:pPr>
    </w:p>
    <w:p w14:paraId="28FEE94A"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b/>
          <w:bCs/>
          <w:caps/>
          <w:sz w:val="22"/>
          <w:szCs w:val="22"/>
        </w:rPr>
        <w:t>Přehled krytí spotřeby ve skupině Děčín</w:t>
      </w:r>
    </w:p>
    <w:p w14:paraId="56487F64" w14:textId="77777777" w:rsidR="006031D6" w:rsidRPr="006031D6" w:rsidRDefault="006031D6" w:rsidP="006031D6">
      <w:pPr>
        <w:pStyle w:val="Zkladntext"/>
        <w:spacing w:line="288" w:lineRule="auto"/>
        <w:jc w:val="both"/>
        <w:rPr>
          <w:rFonts w:ascii="Arial" w:hAnsi="Arial" w:cs="Arial"/>
          <w:sz w:val="22"/>
          <w:szCs w:val="22"/>
        </w:rPr>
      </w:pPr>
      <w:r w:rsidRPr="006031D6">
        <w:rPr>
          <w:rFonts w:ascii="Arial" w:hAnsi="Arial" w:cs="Arial"/>
          <w:sz w:val="22"/>
          <w:szCs w:val="22"/>
        </w:rPr>
        <w:t>dle prům. – SčVK – spec spotřeba VFC 192 l/os/den</w:t>
      </w:r>
    </w:p>
    <w:p w14:paraId="364C126B" w14:textId="77777777" w:rsidR="006031D6" w:rsidRPr="006031D6" w:rsidRDefault="006031D6" w:rsidP="006031D6">
      <w:pPr>
        <w:pStyle w:val="Zkladntext"/>
        <w:spacing w:line="288" w:lineRule="auto"/>
        <w:jc w:val="both"/>
        <w:rPr>
          <w:rFonts w:ascii="Arial" w:hAnsi="Arial" w:cs="Arial"/>
          <w:b/>
          <w:sz w:val="22"/>
          <w:szCs w:val="22"/>
        </w:rPr>
      </w:pPr>
      <w:r w:rsidRPr="006031D6">
        <w:rPr>
          <w:rFonts w:ascii="Arial" w:hAnsi="Arial" w:cs="Arial"/>
          <w:b/>
          <w:sz w:val="22"/>
          <w:szCs w:val="22"/>
        </w:rPr>
        <w:tab/>
      </w:r>
      <w:r w:rsidRPr="006031D6">
        <w:rPr>
          <w:rFonts w:ascii="Arial" w:hAnsi="Arial" w:cs="Arial"/>
          <w:b/>
          <w:sz w:val="22"/>
          <w:szCs w:val="22"/>
        </w:rPr>
        <w:tab/>
      </w:r>
      <w:r w:rsidRPr="006031D6">
        <w:rPr>
          <w:rFonts w:ascii="Arial" w:hAnsi="Arial" w:cs="Arial"/>
          <w:b/>
          <w:sz w:val="22"/>
          <w:szCs w:val="22"/>
        </w:rPr>
        <w:tab/>
      </w:r>
      <w:r w:rsidRPr="006031D6">
        <w:rPr>
          <w:rFonts w:ascii="Arial" w:hAnsi="Arial" w:cs="Arial"/>
          <w:b/>
          <w:sz w:val="22"/>
          <w:szCs w:val="22"/>
        </w:rPr>
        <w:tab/>
      </w:r>
      <w:r w:rsidRPr="006031D6">
        <w:rPr>
          <w:rFonts w:ascii="Arial" w:hAnsi="Arial" w:cs="Arial"/>
          <w:b/>
          <w:sz w:val="22"/>
          <w:szCs w:val="22"/>
        </w:rPr>
        <w:tab/>
      </w:r>
      <w:r w:rsidRPr="006031D6">
        <w:rPr>
          <w:rFonts w:ascii="Arial" w:hAnsi="Arial" w:cs="Arial"/>
          <w:b/>
          <w:caps/>
          <w:sz w:val="22"/>
          <w:szCs w:val="22"/>
        </w:rPr>
        <w:tab/>
      </w:r>
      <w:r w:rsidRPr="006031D6">
        <w:rPr>
          <w:rFonts w:ascii="Arial" w:hAnsi="Arial" w:cs="Arial"/>
          <w:b/>
          <w:caps/>
          <w:sz w:val="22"/>
          <w:szCs w:val="22"/>
        </w:rPr>
        <w:tab/>
      </w:r>
      <w:r w:rsidRPr="006031D6">
        <w:rPr>
          <w:rFonts w:ascii="Arial" w:hAnsi="Arial" w:cs="Arial"/>
          <w:b/>
          <w:caps/>
          <w:sz w:val="22"/>
          <w:szCs w:val="22"/>
        </w:rPr>
        <w:tab/>
      </w:r>
      <w:r w:rsidRPr="006031D6">
        <w:rPr>
          <w:rFonts w:ascii="Arial" w:hAnsi="Arial" w:cs="Arial"/>
          <w:b/>
          <w:caps/>
          <w:sz w:val="22"/>
          <w:szCs w:val="22"/>
        </w:rPr>
        <w:tab/>
      </w:r>
      <w:r w:rsidRPr="006031D6">
        <w:rPr>
          <w:rFonts w:ascii="Arial" w:hAnsi="Arial" w:cs="Arial"/>
          <w:b/>
          <w:caps/>
          <w:sz w:val="22"/>
          <w:szCs w:val="22"/>
        </w:rPr>
        <w:tab/>
        <w:t xml:space="preserve">   Tabulka č. 5</w:t>
      </w:r>
    </w:p>
    <w:tbl>
      <w:tblPr>
        <w:tblW w:w="0" w:type="auto"/>
        <w:jc w:val="center"/>
        <w:tblLayout w:type="fixed"/>
        <w:tblCellMar>
          <w:left w:w="70" w:type="dxa"/>
          <w:right w:w="70" w:type="dxa"/>
        </w:tblCellMar>
        <w:tblLook w:val="0000" w:firstRow="0" w:lastRow="0" w:firstColumn="0" w:lastColumn="0" w:noHBand="0" w:noVBand="0"/>
      </w:tblPr>
      <w:tblGrid>
        <w:gridCol w:w="1964"/>
        <w:gridCol w:w="1440"/>
        <w:gridCol w:w="1009"/>
        <w:gridCol w:w="1228"/>
        <w:gridCol w:w="865"/>
        <w:gridCol w:w="839"/>
      </w:tblGrid>
      <w:tr w:rsidR="006031D6" w:rsidRPr="006031D6" w14:paraId="5FA28B42" w14:textId="77777777" w:rsidTr="002D2D45">
        <w:trPr>
          <w:jc w:val="center"/>
        </w:trPr>
        <w:tc>
          <w:tcPr>
            <w:tcW w:w="1964" w:type="dxa"/>
            <w:vMerge w:val="restart"/>
            <w:tcBorders>
              <w:top w:val="single" w:sz="6" w:space="0" w:color="auto"/>
              <w:left w:val="single" w:sz="6" w:space="0" w:color="auto"/>
              <w:right w:val="single" w:sz="6" w:space="0" w:color="auto"/>
            </w:tcBorders>
          </w:tcPr>
          <w:p w14:paraId="1F6B6CB6" w14:textId="77777777" w:rsidR="006031D6" w:rsidRPr="006031D6" w:rsidRDefault="006031D6" w:rsidP="006031D6">
            <w:pPr>
              <w:pStyle w:val="Zkladntext"/>
              <w:spacing w:after="0" w:line="240" w:lineRule="atLeast"/>
              <w:rPr>
                <w:rFonts w:ascii="Arial" w:hAnsi="Arial" w:cs="Arial"/>
              </w:rPr>
            </w:pPr>
          </w:p>
          <w:p w14:paraId="773653C9" w14:textId="77777777" w:rsidR="006031D6" w:rsidRPr="006031D6" w:rsidRDefault="006031D6" w:rsidP="006031D6">
            <w:pPr>
              <w:pStyle w:val="Zkladntext"/>
              <w:spacing w:after="0" w:line="240" w:lineRule="atLeast"/>
              <w:rPr>
                <w:rFonts w:ascii="Arial" w:hAnsi="Arial" w:cs="Arial"/>
              </w:rPr>
            </w:pPr>
          </w:p>
          <w:p w14:paraId="7A3945C5" w14:textId="77777777" w:rsidR="006031D6" w:rsidRPr="006031D6" w:rsidRDefault="006031D6" w:rsidP="006031D6">
            <w:pPr>
              <w:pStyle w:val="Texttabulky"/>
              <w:spacing w:after="0" w:line="240" w:lineRule="atLeast"/>
              <w:rPr>
                <w:rFonts w:cs="Arial"/>
              </w:rPr>
            </w:pPr>
            <w:r w:rsidRPr="006031D6">
              <w:rPr>
                <w:rFonts w:cs="Arial"/>
                <w:b/>
                <w:bCs/>
              </w:rPr>
              <w:t>Název zdroje</w:t>
            </w:r>
          </w:p>
        </w:tc>
        <w:tc>
          <w:tcPr>
            <w:tcW w:w="3677" w:type="dxa"/>
            <w:gridSpan w:val="3"/>
            <w:vMerge w:val="restart"/>
            <w:tcBorders>
              <w:top w:val="single" w:sz="6" w:space="0" w:color="auto"/>
              <w:left w:val="single" w:sz="6" w:space="0" w:color="auto"/>
              <w:right w:val="single" w:sz="6" w:space="0" w:color="auto"/>
            </w:tcBorders>
          </w:tcPr>
          <w:p w14:paraId="02368B3C" w14:textId="77777777" w:rsidR="006031D6" w:rsidRPr="006031D6" w:rsidRDefault="006031D6" w:rsidP="006031D6">
            <w:pPr>
              <w:pStyle w:val="Zkladntext"/>
              <w:spacing w:after="0"/>
              <w:rPr>
                <w:rFonts w:ascii="Arial" w:hAnsi="Arial" w:cs="Arial"/>
              </w:rPr>
            </w:pPr>
            <w:r w:rsidRPr="006031D6">
              <w:rPr>
                <w:rFonts w:ascii="Arial" w:hAnsi="Arial" w:cs="Arial"/>
                <w:b/>
                <w:bCs/>
              </w:rPr>
              <w:t>Vydatnost dle Povolení k  nakl. s vodami ze 16.1.1989</w:t>
            </w:r>
          </w:p>
        </w:tc>
        <w:tc>
          <w:tcPr>
            <w:tcW w:w="1704" w:type="dxa"/>
            <w:gridSpan w:val="2"/>
            <w:tcBorders>
              <w:top w:val="single" w:sz="6" w:space="0" w:color="auto"/>
              <w:left w:val="single" w:sz="6" w:space="0" w:color="auto"/>
              <w:bottom w:val="single" w:sz="6" w:space="0" w:color="auto"/>
              <w:right w:val="single" w:sz="6" w:space="0" w:color="auto"/>
            </w:tcBorders>
          </w:tcPr>
          <w:p w14:paraId="0188293C" w14:textId="77777777" w:rsidR="006031D6" w:rsidRPr="006031D6" w:rsidRDefault="006031D6" w:rsidP="006031D6">
            <w:pPr>
              <w:pStyle w:val="Zkladntext"/>
              <w:spacing w:after="0"/>
              <w:rPr>
                <w:rFonts w:ascii="Arial" w:hAnsi="Arial" w:cs="Arial"/>
              </w:rPr>
            </w:pPr>
            <w:r w:rsidRPr="006031D6">
              <w:rPr>
                <w:rFonts w:ascii="Arial" w:hAnsi="Arial" w:cs="Arial"/>
                <w:b/>
                <w:bCs/>
              </w:rPr>
              <w:t>spotřeba</w:t>
            </w:r>
          </w:p>
        </w:tc>
      </w:tr>
      <w:tr w:rsidR="006031D6" w:rsidRPr="006031D6" w14:paraId="11E2DF1B" w14:textId="77777777" w:rsidTr="002D2D45">
        <w:trPr>
          <w:jc w:val="center"/>
        </w:trPr>
        <w:tc>
          <w:tcPr>
            <w:tcW w:w="1964" w:type="dxa"/>
            <w:vMerge/>
            <w:tcBorders>
              <w:left w:val="single" w:sz="6" w:space="0" w:color="auto"/>
              <w:right w:val="single" w:sz="6" w:space="0" w:color="auto"/>
            </w:tcBorders>
          </w:tcPr>
          <w:p w14:paraId="79C5571B" w14:textId="77777777" w:rsidR="006031D6" w:rsidRPr="006031D6" w:rsidRDefault="006031D6" w:rsidP="006031D6">
            <w:pPr>
              <w:pStyle w:val="Zkladntext"/>
              <w:spacing w:after="0"/>
              <w:rPr>
                <w:rFonts w:ascii="Arial" w:hAnsi="Arial" w:cs="Arial"/>
              </w:rPr>
            </w:pPr>
          </w:p>
        </w:tc>
        <w:tc>
          <w:tcPr>
            <w:tcW w:w="3677" w:type="dxa"/>
            <w:gridSpan w:val="3"/>
            <w:vMerge/>
            <w:tcBorders>
              <w:left w:val="single" w:sz="6" w:space="0" w:color="auto"/>
              <w:bottom w:val="single" w:sz="6" w:space="0" w:color="auto"/>
              <w:right w:val="single" w:sz="6" w:space="0" w:color="auto"/>
            </w:tcBorders>
          </w:tcPr>
          <w:p w14:paraId="22ABA8BD" w14:textId="77777777" w:rsidR="006031D6" w:rsidRPr="006031D6" w:rsidRDefault="006031D6" w:rsidP="006031D6">
            <w:pPr>
              <w:pStyle w:val="Zkladntext"/>
              <w:spacing w:after="0"/>
              <w:rPr>
                <w:rFonts w:ascii="Arial" w:hAnsi="Arial" w:cs="Arial"/>
              </w:rPr>
            </w:pPr>
          </w:p>
        </w:tc>
        <w:tc>
          <w:tcPr>
            <w:tcW w:w="865" w:type="dxa"/>
            <w:tcBorders>
              <w:top w:val="single" w:sz="6" w:space="0" w:color="auto"/>
              <w:left w:val="single" w:sz="6" w:space="0" w:color="auto"/>
              <w:bottom w:val="single" w:sz="6" w:space="0" w:color="auto"/>
              <w:right w:val="single" w:sz="6" w:space="0" w:color="auto"/>
            </w:tcBorders>
          </w:tcPr>
          <w:p w14:paraId="2E750CF0" w14:textId="77777777" w:rsidR="006031D6" w:rsidRPr="006031D6" w:rsidRDefault="006031D6" w:rsidP="006031D6">
            <w:pPr>
              <w:pStyle w:val="Texttabulky"/>
              <w:spacing w:after="0" w:line="240" w:lineRule="atLeast"/>
              <w:rPr>
                <w:rFonts w:cs="Arial"/>
              </w:rPr>
            </w:pPr>
            <w:r w:rsidRPr="006031D6">
              <w:rPr>
                <w:rFonts w:cs="Arial"/>
                <w:b/>
                <w:bCs/>
              </w:rPr>
              <w:t>Výhled</w:t>
            </w:r>
          </w:p>
        </w:tc>
        <w:tc>
          <w:tcPr>
            <w:tcW w:w="839" w:type="dxa"/>
            <w:tcBorders>
              <w:top w:val="single" w:sz="6" w:space="0" w:color="auto"/>
              <w:left w:val="single" w:sz="6" w:space="0" w:color="auto"/>
              <w:bottom w:val="single" w:sz="6" w:space="0" w:color="auto"/>
              <w:right w:val="single" w:sz="6" w:space="0" w:color="auto"/>
            </w:tcBorders>
          </w:tcPr>
          <w:p w14:paraId="5B7E2874" w14:textId="77777777" w:rsidR="006031D6" w:rsidRPr="006031D6" w:rsidRDefault="006031D6" w:rsidP="006031D6">
            <w:pPr>
              <w:pStyle w:val="Zkladntext"/>
              <w:spacing w:after="0"/>
              <w:rPr>
                <w:rFonts w:ascii="Arial" w:hAnsi="Arial" w:cs="Arial"/>
              </w:rPr>
            </w:pPr>
          </w:p>
        </w:tc>
      </w:tr>
      <w:tr w:rsidR="006031D6" w:rsidRPr="006031D6" w14:paraId="20AF3C29" w14:textId="77777777" w:rsidTr="002D2D45">
        <w:trPr>
          <w:jc w:val="center"/>
        </w:trPr>
        <w:tc>
          <w:tcPr>
            <w:tcW w:w="1964" w:type="dxa"/>
            <w:vMerge/>
            <w:tcBorders>
              <w:left w:val="single" w:sz="6" w:space="0" w:color="auto"/>
              <w:right w:val="single" w:sz="6" w:space="0" w:color="auto"/>
            </w:tcBorders>
          </w:tcPr>
          <w:p w14:paraId="4795D70A" w14:textId="77777777" w:rsidR="006031D6" w:rsidRPr="006031D6" w:rsidRDefault="006031D6" w:rsidP="006031D6">
            <w:pPr>
              <w:pStyle w:val="Zkladntext"/>
              <w:spacing w:after="0"/>
              <w:rPr>
                <w:rFonts w:ascii="Arial" w:hAnsi="Arial" w:cs="Arial"/>
              </w:rPr>
            </w:pPr>
          </w:p>
        </w:tc>
        <w:tc>
          <w:tcPr>
            <w:tcW w:w="1440" w:type="dxa"/>
            <w:tcBorders>
              <w:top w:val="single" w:sz="6" w:space="0" w:color="auto"/>
              <w:left w:val="single" w:sz="6" w:space="0" w:color="auto"/>
              <w:bottom w:val="single" w:sz="6" w:space="0" w:color="auto"/>
              <w:right w:val="single" w:sz="6" w:space="0" w:color="auto"/>
            </w:tcBorders>
          </w:tcPr>
          <w:p w14:paraId="5A67785E" w14:textId="77777777" w:rsidR="006031D6" w:rsidRPr="006031D6" w:rsidRDefault="006031D6" w:rsidP="006031D6">
            <w:pPr>
              <w:pStyle w:val="Texttabulky"/>
              <w:spacing w:after="0" w:line="240" w:lineRule="atLeast"/>
              <w:rPr>
                <w:rFonts w:cs="Arial"/>
              </w:rPr>
            </w:pPr>
            <w:r w:rsidRPr="006031D6">
              <w:rPr>
                <w:rFonts w:cs="Arial"/>
                <w:b/>
                <w:bCs/>
              </w:rPr>
              <w:t>Qmin</w:t>
            </w:r>
          </w:p>
        </w:tc>
        <w:tc>
          <w:tcPr>
            <w:tcW w:w="1009" w:type="dxa"/>
            <w:tcBorders>
              <w:top w:val="single" w:sz="6" w:space="0" w:color="auto"/>
              <w:left w:val="single" w:sz="6" w:space="0" w:color="auto"/>
              <w:bottom w:val="single" w:sz="6" w:space="0" w:color="auto"/>
              <w:right w:val="single" w:sz="6" w:space="0" w:color="auto"/>
            </w:tcBorders>
          </w:tcPr>
          <w:p w14:paraId="4E8190E7" w14:textId="77777777" w:rsidR="006031D6" w:rsidRPr="006031D6" w:rsidRDefault="006031D6" w:rsidP="006031D6">
            <w:pPr>
              <w:pStyle w:val="Texttabulky"/>
              <w:spacing w:after="0" w:line="240" w:lineRule="atLeast"/>
              <w:rPr>
                <w:rFonts w:cs="Arial"/>
              </w:rPr>
            </w:pPr>
            <w:r w:rsidRPr="006031D6">
              <w:rPr>
                <w:rFonts w:cs="Arial"/>
                <w:b/>
                <w:bCs/>
              </w:rPr>
              <w:t>Qprům</w:t>
            </w:r>
          </w:p>
        </w:tc>
        <w:tc>
          <w:tcPr>
            <w:tcW w:w="1228" w:type="dxa"/>
            <w:tcBorders>
              <w:top w:val="single" w:sz="6" w:space="0" w:color="auto"/>
              <w:left w:val="single" w:sz="6" w:space="0" w:color="auto"/>
              <w:bottom w:val="single" w:sz="6" w:space="0" w:color="auto"/>
              <w:right w:val="single" w:sz="6" w:space="0" w:color="auto"/>
            </w:tcBorders>
          </w:tcPr>
          <w:p w14:paraId="5BA0D731" w14:textId="77777777" w:rsidR="006031D6" w:rsidRPr="006031D6" w:rsidRDefault="006031D6" w:rsidP="006031D6">
            <w:pPr>
              <w:pStyle w:val="Texttabulky"/>
              <w:spacing w:after="0" w:line="240" w:lineRule="atLeast"/>
              <w:rPr>
                <w:rFonts w:cs="Arial"/>
              </w:rPr>
            </w:pPr>
            <w:r w:rsidRPr="006031D6">
              <w:rPr>
                <w:rFonts w:cs="Arial"/>
                <w:b/>
                <w:bCs/>
              </w:rPr>
              <w:t>Qmax</w:t>
            </w:r>
          </w:p>
        </w:tc>
        <w:tc>
          <w:tcPr>
            <w:tcW w:w="865" w:type="dxa"/>
            <w:tcBorders>
              <w:top w:val="single" w:sz="6" w:space="0" w:color="auto"/>
              <w:left w:val="single" w:sz="6" w:space="0" w:color="auto"/>
              <w:bottom w:val="single" w:sz="6" w:space="0" w:color="auto"/>
              <w:right w:val="single" w:sz="6" w:space="0" w:color="auto"/>
            </w:tcBorders>
          </w:tcPr>
          <w:p w14:paraId="446C5482" w14:textId="77777777" w:rsidR="006031D6" w:rsidRPr="006031D6" w:rsidRDefault="006031D6" w:rsidP="006031D6">
            <w:pPr>
              <w:pStyle w:val="Texttabulky"/>
              <w:spacing w:after="0" w:line="240" w:lineRule="atLeast"/>
              <w:rPr>
                <w:rFonts w:cs="Arial"/>
              </w:rPr>
            </w:pPr>
            <w:r w:rsidRPr="006031D6">
              <w:rPr>
                <w:rFonts w:cs="Arial"/>
                <w:b/>
                <w:bCs/>
              </w:rPr>
              <w:t>Qd</w:t>
            </w:r>
          </w:p>
        </w:tc>
        <w:tc>
          <w:tcPr>
            <w:tcW w:w="839" w:type="dxa"/>
            <w:tcBorders>
              <w:top w:val="single" w:sz="6" w:space="0" w:color="auto"/>
              <w:left w:val="single" w:sz="6" w:space="0" w:color="auto"/>
              <w:bottom w:val="single" w:sz="6" w:space="0" w:color="auto"/>
              <w:right w:val="single" w:sz="6" w:space="0" w:color="auto"/>
            </w:tcBorders>
          </w:tcPr>
          <w:p w14:paraId="0AF2D3AD" w14:textId="77777777" w:rsidR="006031D6" w:rsidRPr="006031D6" w:rsidRDefault="006031D6" w:rsidP="006031D6">
            <w:pPr>
              <w:pStyle w:val="Texttabulky"/>
              <w:spacing w:after="0" w:line="240" w:lineRule="atLeast"/>
              <w:rPr>
                <w:rFonts w:cs="Arial"/>
              </w:rPr>
            </w:pPr>
            <w:r w:rsidRPr="006031D6">
              <w:rPr>
                <w:rFonts w:cs="Arial"/>
                <w:b/>
                <w:bCs/>
              </w:rPr>
              <w:t>Qmax</w:t>
            </w:r>
          </w:p>
        </w:tc>
      </w:tr>
      <w:tr w:rsidR="006031D6" w:rsidRPr="006031D6" w14:paraId="5562947A" w14:textId="77777777" w:rsidTr="002D2D45">
        <w:trPr>
          <w:jc w:val="center"/>
        </w:trPr>
        <w:tc>
          <w:tcPr>
            <w:tcW w:w="1964" w:type="dxa"/>
            <w:vMerge/>
            <w:tcBorders>
              <w:left w:val="single" w:sz="6" w:space="0" w:color="auto"/>
              <w:bottom w:val="single" w:sz="6" w:space="0" w:color="auto"/>
              <w:right w:val="single" w:sz="6" w:space="0" w:color="auto"/>
            </w:tcBorders>
          </w:tcPr>
          <w:p w14:paraId="7DA3C017" w14:textId="77777777" w:rsidR="006031D6" w:rsidRPr="006031D6" w:rsidRDefault="006031D6" w:rsidP="006031D6">
            <w:pPr>
              <w:pStyle w:val="Zkladntext"/>
              <w:spacing w:after="0"/>
              <w:rPr>
                <w:rFonts w:ascii="Arial" w:hAnsi="Arial" w:cs="Arial"/>
              </w:rPr>
            </w:pPr>
          </w:p>
        </w:tc>
        <w:tc>
          <w:tcPr>
            <w:tcW w:w="3677" w:type="dxa"/>
            <w:gridSpan w:val="3"/>
            <w:tcBorders>
              <w:top w:val="single" w:sz="6" w:space="0" w:color="auto"/>
              <w:left w:val="single" w:sz="6" w:space="0" w:color="auto"/>
              <w:bottom w:val="single" w:sz="6" w:space="0" w:color="auto"/>
              <w:right w:val="single" w:sz="6" w:space="0" w:color="auto"/>
            </w:tcBorders>
            <w:vAlign w:val="center"/>
          </w:tcPr>
          <w:p w14:paraId="0E0D3256" w14:textId="77777777" w:rsidR="006031D6" w:rsidRPr="006031D6" w:rsidRDefault="006031D6" w:rsidP="006031D6">
            <w:pPr>
              <w:pStyle w:val="Zkladntext"/>
              <w:spacing w:after="0"/>
              <w:rPr>
                <w:rFonts w:ascii="Arial" w:hAnsi="Arial" w:cs="Arial"/>
              </w:rPr>
            </w:pPr>
            <w:r w:rsidRPr="006031D6">
              <w:rPr>
                <w:rFonts w:ascii="Arial" w:hAnsi="Arial" w:cs="Arial"/>
                <w:b/>
                <w:bCs/>
              </w:rPr>
              <w:t>l/s</w:t>
            </w:r>
          </w:p>
        </w:tc>
        <w:tc>
          <w:tcPr>
            <w:tcW w:w="1704" w:type="dxa"/>
            <w:gridSpan w:val="2"/>
            <w:tcBorders>
              <w:top w:val="single" w:sz="6" w:space="0" w:color="auto"/>
              <w:left w:val="single" w:sz="6" w:space="0" w:color="auto"/>
              <w:bottom w:val="single" w:sz="6" w:space="0" w:color="auto"/>
              <w:right w:val="single" w:sz="6" w:space="0" w:color="auto"/>
            </w:tcBorders>
          </w:tcPr>
          <w:p w14:paraId="2B50CA03" w14:textId="77777777" w:rsidR="006031D6" w:rsidRPr="006031D6" w:rsidRDefault="006031D6" w:rsidP="006031D6">
            <w:pPr>
              <w:pStyle w:val="Zkladntext"/>
              <w:spacing w:after="0"/>
              <w:rPr>
                <w:rFonts w:ascii="Arial" w:hAnsi="Arial" w:cs="Arial"/>
              </w:rPr>
            </w:pPr>
            <w:r w:rsidRPr="006031D6">
              <w:rPr>
                <w:rFonts w:ascii="Arial" w:hAnsi="Arial" w:cs="Arial"/>
                <w:b/>
                <w:bCs/>
              </w:rPr>
              <w:t>l/s</w:t>
            </w:r>
          </w:p>
        </w:tc>
      </w:tr>
      <w:tr w:rsidR="006031D6" w:rsidRPr="006031D6" w14:paraId="63668712"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41E6FFC9" w14:textId="77777777" w:rsidR="006031D6" w:rsidRPr="006031D6" w:rsidRDefault="006031D6" w:rsidP="006031D6">
            <w:pPr>
              <w:pStyle w:val="Texttabulky"/>
              <w:spacing w:after="0" w:line="240" w:lineRule="atLeast"/>
              <w:rPr>
                <w:rFonts w:cs="Arial"/>
              </w:rPr>
            </w:pPr>
            <w:r w:rsidRPr="006031D6">
              <w:rPr>
                <w:rFonts w:cs="Arial"/>
              </w:rPr>
              <w:t>Hřensko ÚV</w:t>
            </w:r>
          </w:p>
        </w:tc>
        <w:tc>
          <w:tcPr>
            <w:tcW w:w="1440" w:type="dxa"/>
            <w:tcBorders>
              <w:top w:val="single" w:sz="6" w:space="0" w:color="auto"/>
              <w:left w:val="single" w:sz="6" w:space="0" w:color="auto"/>
              <w:bottom w:val="single" w:sz="6" w:space="0" w:color="auto"/>
              <w:right w:val="single" w:sz="6" w:space="0" w:color="auto"/>
            </w:tcBorders>
          </w:tcPr>
          <w:p w14:paraId="55EF9856" w14:textId="77777777" w:rsidR="006031D6" w:rsidRPr="006031D6" w:rsidRDefault="006031D6" w:rsidP="006031D6">
            <w:pPr>
              <w:pStyle w:val="Texttabulky"/>
              <w:spacing w:after="0" w:line="240" w:lineRule="atLeast"/>
              <w:rPr>
                <w:rFonts w:cs="Arial"/>
              </w:rPr>
            </w:pPr>
            <w:r w:rsidRPr="006031D6">
              <w:rPr>
                <w:rFonts w:cs="Arial"/>
              </w:rPr>
              <w:t>110</w:t>
            </w:r>
          </w:p>
        </w:tc>
        <w:tc>
          <w:tcPr>
            <w:tcW w:w="1009" w:type="dxa"/>
            <w:tcBorders>
              <w:top w:val="single" w:sz="6" w:space="0" w:color="auto"/>
              <w:left w:val="single" w:sz="6" w:space="0" w:color="auto"/>
              <w:bottom w:val="single" w:sz="6" w:space="0" w:color="auto"/>
              <w:right w:val="single" w:sz="6" w:space="0" w:color="auto"/>
            </w:tcBorders>
          </w:tcPr>
          <w:p w14:paraId="63B3FEAC" w14:textId="77777777" w:rsidR="006031D6" w:rsidRPr="006031D6" w:rsidRDefault="006031D6" w:rsidP="006031D6">
            <w:pPr>
              <w:pStyle w:val="Texttabulky"/>
              <w:spacing w:after="0" w:line="240" w:lineRule="atLeast"/>
              <w:rPr>
                <w:rFonts w:cs="Arial"/>
              </w:rPr>
            </w:pPr>
            <w:r w:rsidRPr="006031D6">
              <w:rPr>
                <w:rFonts w:cs="Arial"/>
              </w:rPr>
              <w:t>120</w:t>
            </w:r>
          </w:p>
        </w:tc>
        <w:tc>
          <w:tcPr>
            <w:tcW w:w="1228" w:type="dxa"/>
            <w:tcBorders>
              <w:top w:val="single" w:sz="6" w:space="0" w:color="auto"/>
              <w:left w:val="single" w:sz="6" w:space="0" w:color="auto"/>
              <w:bottom w:val="single" w:sz="6" w:space="0" w:color="auto"/>
              <w:right w:val="single" w:sz="6" w:space="0" w:color="auto"/>
            </w:tcBorders>
          </w:tcPr>
          <w:p w14:paraId="0B3DE7C0" w14:textId="77777777" w:rsidR="006031D6" w:rsidRPr="006031D6" w:rsidRDefault="006031D6" w:rsidP="006031D6">
            <w:pPr>
              <w:pStyle w:val="Texttabulky"/>
              <w:spacing w:after="0" w:line="240" w:lineRule="atLeast"/>
              <w:rPr>
                <w:rFonts w:cs="Arial"/>
              </w:rPr>
            </w:pPr>
            <w:r w:rsidRPr="006031D6">
              <w:rPr>
                <w:rFonts w:cs="Arial"/>
              </w:rPr>
              <w:t>140</w:t>
            </w:r>
          </w:p>
        </w:tc>
        <w:tc>
          <w:tcPr>
            <w:tcW w:w="865" w:type="dxa"/>
            <w:tcBorders>
              <w:top w:val="single" w:sz="6" w:space="0" w:color="auto"/>
              <w:left w:val="single" w:sz="6" w:space="0" w:color="auto"/>
              <w:bottom w:val="single" w:sz="6" w:space="0" w:color="auto"/>
              <w:right w:val="single" w:sz="6" w:space="0" w:color="auto"/>
            </w:tcBorders>
          </w:tcPr>
          <w:p w14:paraId="60F06D5E"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02A086F8" w14:textId="77777777" w:rsidR="006031D6" w:rsidRPr="006031D6" w:rsidRDefault="006031D6" w:rsidP="006031D6">
            <w:pPr>
              <w:pStyle w:val="Zkladntext"/>
              <w:spacing w:after="0"/>
              <w:rPr>
                <w:rFonts w:ascii="Arial" w:hAnsi="Arial" w:cs="Arial"/>
              </w:rPr>
            </w:pPr>
          </w:p>
        </w:tc>
      </w:tr>
      <w:tr w:rsidR="006031D6" w:rsidRPr="006031D6" w14:paraId="39D03212" w14:textId="77777777" w:rsidTr="002D2D45">
        <w:trPr>
          <w:jc w:val="center"/>
        </w:trPr>
        <w:tc>
          <w:tcPr>
            <w:tcW w:w="7345" w:type="dxa"/>
            <w:gridSpan w:val="6"/>
            <w:tcBorders>
              <w:top w:val="single" w:sz="6" w:space="0" w:color="auto"/>
              <w:left w:val="single" w:sz="6" w:space="0" w:color="auto"/>
              <w:bottom w:val="single" w:sz="6" w:space="0" w:color="auto"/>
              <w:right w:val="single" w:sz="6" w:space="0" w:color="auto"/>
            </w:tcBorders>
          </w:tcPr>
          <w:p w14:paraId="6F58B978" w14:textId="77777777" w:rsidR="006031D6" w:rsidRPr="006031D6" w:rsidRDefault="006031D6" w:rsidP="006031D6">
            <w:pPr>
              <w:pStyle w:val="Zkladntext"/>
              <w:spacing w:after="0"/>
              <w:rPr>
                <w:rFonts w:ascii="Arial" w:hAnsi="Arial" w:cs="Arial"/>
              </w:rPr>
            </w:pPr>
            <w:r w:rsidRPr="006031D6">
              <w:rPr>
                <w:rFonts w:ascii="Arial" w:hAnsi="Arial" w:cs="Arial"/>
                <w:b/>
                <w:bCs/>
              </w:rPr>
              <w:t>Město Děčín</w:t>
            </w:r>
          </w:p>
        </w:tc>
      </w:tr>
      <w:tr w:rsidR="006031D6" w:rsidRPr="006031D6" w14:paraId="59A1CC15"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031DB196" w14:textId="77777777" w:rsidR="006031D6" w:rsidRPr="006031D6" w:rsidRDefault="006031D6" w:rsidP="006031D6">
            <w:pPr>
              <w:pStyle w:val="Texttabulky"/>
              <w:spacing w:after="0" w:line="240" w:lineRule="atLeast"/>
              <w:rPr>
                <w:rFonts w:cs="Arial"/>
              </w:rPr>
            </w:pPr>
            <w:r w:rsidRPr="006031D6">
              <w:rPr>
                <w:rFonts w:cs="Arial"/>
              </w:rPr>
              <w:t>Bělápod Sněžníkem</w:t>
            </w:r>
          </w:p>
        </w:tc>
        <w:tc>
          <w:tcPr>
            <w:tcW w:w="1440" w:type="dxa"/>
            <w:tcBorders>
              <w:top w:val="single" w:sz="6" w:space="0" w:color="auto"/>
              <w:left w:val="single" w:sz="6" w:space="0" w:color="auto"/>
              <w:bottom w:val="single" w:sz="6" w:space="0" w:color="auto"/>
              <w:right w:val="single" w:sz="6" w:space="0" w:color="auto"/>
            </w:tcBorders>
          </w:tcPr>
          <w:p w14:paraId="25328130" w14:textId="77777777" w:rsidR="006031D6" w:rsidRPr="006031D6" w:rsidRDefault="006031D6" w:rsidP="006031D6">
            <w:pPr>
              <w:pStyle w:val="Texttabulky"/>
              <w:spacing w:after="0" w:line="240" w:lineRule="atLeast"/>
              <w:rPr>
                <w:rFonts w:cs="Arial"/>
              </w:rPr>
            </w:pPr>
            <w:r w:rsidRPr="006031D6">
              <w:rPr>
                <w:rFonts w:cs="Arial"/>
              </w:rPr>
              <w:t>38</w:t>
            </w:r>
          </w:p>
        </w:tc>
        <w:tc>
          <w:tcPr>
            <w:tcW w:w="1009" w:type="dxa"/>
            <w:tcBorders>
              <w:top w:val="single" w:sz="6" w:space="0" w:color="auto"/>
              <w:left w:val="single" w:sz="6" w:space="0" w:color="auto"/>
              <w:bottom w:val="single" w:sz="6" w:space="0" w:color="auto"/>
              <w:right w:val="single" w:sz="6" w:space="0" w:color="auto"/>
            </w:tcBorders>
          </w:tcPr>
          <w:p w14:paraId="1D92E309" w14:textId="77777777" w:rsidR="006031D6" w:rsidRPr="006031D6" w:rsidRDefault="006031D6" w:rsidP="006031D6">
            <w:pPr>
              <w:pStyle w:val="Texttabulky"/>
              <w:spacing w:after="0" w:line="240" w:lineRule="atLeast"/>
              <w:rPr>
                <w:rFonts w:cs="Arial"/>
              </w:rPr>
            </w:pPr>
            <w:r w:rsidRPr="006031D6">
              <w:rPr>
                <w:rFonts w:cs="Arial"/>
              </w:rPr>
              <w:t>50</w:t>
            </w:r>
          </w:p>
        </w:tc>
        <w:tc>
          <w:tcPr>
            <w:tcW w:w="1228" w:type="dxa"/>
            <w:tcBorders>
              <w:top w:val="single" w:sz="6" w:space="0" w:color="auto"/>
              <w:left w:val="single" w:sz="6" w:space="0" w:color="auto"/>
              <w:bottom w:val="single" w:sz="6" w:space="0" w:color="auto"/>
              <w:right w:val="single" w:sz="6" w:space="0" w:color="auto"/>
            </w:tcBorders>
          </w:tcPr>
          <w:p w14:paraId="271C9D86" w14:textId="77777777" w:rsidR="006031D6" w:rsidRPr="006031D6" w:rsidRDefault="006031D6" w:rsidP="006031D6">
            <w:pPr>
              <w:pStyle w:val="Texttabulky"/>
              <w:spacing w:after="0" w:line="240" w:lineRule="atLeast"/>
              <w:rPr>
                <w:rFonts w:cs="Arial"/>
              </w:rPr>
            </w:pPr>
            <w:r w:rsidRPr="006031D6">
              <w:rPr>
                <w:rFonts w:cs="Arial"/>
              </w:rPr>
              <w:t>75</w:t>
            </w:r>
          </w:p>
        </w:tc>
        <w:tc>
          <w:tcPr>
            <w:tcW w:w="865" w:type="dxa"/>
            <w:tcBorders>
              <w:top w:val="single" w:sz="6" w:space="0" w:color="auto"/>
              <w:left w:val="single" w:sz="6" w:space="0" w:color="auto"/>
              <w:bottom w:val="single" w:sz="6" w:space="0" w:color="auto"/>
              <w:right w:val="single" w:sz="6" w:space="0" w:color="auto"/>
            </w:tcBorders>
          </w:tcPr>
          <w:p w14:paraId="0FD3DB93"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4D9B4B3A" w14:textId="77777777" w:rsidR="006031D6" w:rsidRPr="006031D6" w:rsidRDefault="006031D6" w:rsidP="006031D6">
            <w:pPr>
              <w:pStyle w:val="Zkladntext"/>
              <w:spacing w:after="0"/>
              <w:rPr>
                <w:rFonts w:ascii="Arial" w:hAnsi="Arial" w:cs="Arial"/>
              </w:rPr>
            </w:pPr>
          </w:p>
        </w:tc>
      </w:tr>
      <w:tr w:rsidR="006031D6" w:rsidRPr="006031D6" w14:paraId="67CB3B49"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2F1F1D91" w14:textId="77777777" w:rsidR="006031D6" w:rsidRPr="006031D6" w:rsidRDefault="006031D6" w:rsidP="006031D6">
            <w:pPr>
              <w:pStyle w:val="Texttabulky"/>
              <w:spacing w:after="0" w:line="240" w:lineRule="atLeast"/>
              <w:rPr>
                <w:rFonts w:cs="Arial"/>
              </w:rPr>
            </w:pPr>
            <w:r w:rsidRPr="006031D6">
              <w:rPr>
                <w:rFonts w:cs="Arial"/>
              </w:rPr>
              <w:t>Kristin Hrádek</w:t>
            </w:r>
          </w:p>
        </w:tc>
        <w:tc>
          <w:tcPr>
            <w:tcW w:w="1440" w:type="dxa"/>
            <w:tcBorders>
              <w:top w:val="single" w:sz="6" w:space="0" w:color="auto"/>
              <w:left w:val="single" w:sz="6" w:space="0" w:color="auto"/>
              <w:bottom w:val="single" w:sz="6" w:space="0" w:color="auto"/>
              <w:right w:val="single" w:sz="6" w:space="0" w:color="auto"/>
            </w:tcBorders>
          </w:tcPr>
          <w:p w14:paraId="57BE18A5" w14:textId="77777777" w:rsidR="006031D6" w:rsidRPr="006031D6" w:rsidRDefault="006031D6" w:rsidP="006031D6">
            <w:pPr>
              <w:pStyle w:val="Texttabulky"/>
              <w:spacing w:after="0" w:line="240" w:lineRule="atLeast"/>
              <w:rPr>
                <w:rFonts w:cs="Arial"/>
              </w:rPr>
            </w:pPr>
            <w:r w:rsidRPr="006031D6">
              <w:rPr>
                <w:rFonts w:cs="Arial"/>
              </w:rPr>
              <w:t>8</w:t>
            </w:r>
          </w:p>
        </w:tc>
        <w:tc>
          <w:tcPr>
            <w:tcW w:w="1009" w:type="dxa"/>
            <w:tcBorders>
              <w:top w:val="single" w:sz="6" w:space="0" w:color="auto"/>
              <w:left w:val="single" w:sz="6" w:space="0" w:color="auto"/>
              <w:bottom w:val="single" w:sz="6" w:space="0" w:color="auto"/>
              <w:right w:val="single" w:sz="6" w:space="0" w:color="auto"/>
            </w:tcBorders>
          </w:tcPr>
          <w:p w14:paraId="32C44B08" w14:textId="77777777" w:rsidR="006031D6" w:rsidRPr="006031D6" w:rsidRDefault="006031D6" w:rsidP="006031D6">
            <w:pPr>
              <w:pStyle w:val="Texttabulky"/>
              <w:spacing w:after="0" w:line="240" w:lineRule="atLeast"/>
              <w:rPr>
                <w:rFonts w:cs="Arial"/>
              </w:rPr>
            </w:pPr>
            <w:r w:rsidRPr="006031D6">
              <w:rPr>
                <w:rFonts w:cs="Arial"/>
              </w:rPr>
              <w:t>8</w:t>
            </w:r>
          </w:p>
        </w:tc>
        <w:tc>
          <w:tcPr>
            <w:tcW w:w="1228" w:type="dxa"/>
            <w:tcBorders>
              <w:top w:val="single" w:sz="6" w:space="0" w:color="auto"/>
              <w:left w:val="single" w:sz="6" w:space="0" w:color="auto"/>
              <w:bottom w:val="single" w:sz="6" w:space="0" w:color="auto"/>
              <w:right w:val="single" w:sz="6" w:space="0" w:color="auto"/>
            </w:tcBorders>
          </w:tcPr>
          <w:p w14:paraId="2F7F4A9F" w14:textId="77777777" w:rsidR="006031D6" w:rsidRPr="006031D6" w:rsidRDefault="006031D6" w:rsidP="006031D6">
            <w:pPr>
              <w:pStyle w:val="Texttabulky"/>
              <w:spacing w:after="0" w:line="240" w:lineRule="atLeast"/>
              <w:rPr>
                <w:rFonts w:cs="Arial"/>
              </w:rPr>
            </w:pPr>
            <w:r w:rsidRPr="006031D6">
              <w:rPr>
                <w:rFonts w:cs="Arial"/>
              </w:rPr>
              <w:t>8</w:t>
            </w:r>
          </w:p>
        </w:tc>
        <w:tc>
          <w:tcPr>
            <w:tcW w:w="865" w:type="dxa"/>
            <w:tcBorders>
              <w:top w:val="single" w:sz="6" w:space="0" w:color="auto"/>
              <w:left w:val="single" w:sz="6" w:space="0" w:color="auto"/>
              <w:bottom w:val="single" w:sz="6" w:space="0" w:color="auto"/>
              <w:right w:val="single" w:sz="6" w:space="0" w:color="auto"/>
            </w:tcBorders>
          </w:tcPr>
          <w:p w14:paraId="415E9200"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6413D47A" w14:textId="77777777" w:rsidR="006031D6" w:rsidRPr="006031D6" w:rsidRDefault="006031D6" w:rsidP="006031D6">
            <w:pPr>
              <w:pStyle w:val="Zkladntext"/>
              <w:spacing w:after="0"/>
              <w:rPr>
                <w:rFonts w:ascii="Arial" w:hAnsi="Arial" w:cs="Arial"/>
              </w:rPr>
            </w:pPr>
          </w:p>
        </w:tc>
      </w:tr>
      <w:tr w:rsidR="006031D6" w:rsidRPr="006031D6" w14:paraId="69C64973"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AAE6018" w14:textId="77777777" w:rsidR="006031D6" w:rsidRPr="006031D6" w:rsidRDefault="006031D6" w:rsidP="006031D6">
            <w:pPr>
              <w:pStyle w:val="Texttabulky"/>
              <w:spacing w:after="0" w:line="240" w:lineRule="atLeast"/>
              <w:rPr>
                <w:rFonts w:cs="Arial"/>
              </w:rPr>
            </w:pPr>
            <w:r w:rsidRPr="006031D6">
              <w:rPr>
                <w:rFonts w:cs="Arial"/>
              </w:rPr>
              <w:t>mezisoučet</w:t>
            </w:r>
          </w:p>
        </w:tc>
        <w:tc>
          <w:tcPr>
            <w:tcW w:w="1440" w:type="dxa"/>
            <w:tcBorders>
              <w:top w:val="single" w:sz="6" w:space="0" w:color="auto"/>
              <w:left w:val="single" w:sz="6" w:space="0" w:color="auto"/>
              <w:bottom w:val="single" w:sz="6" w:space="0" w:color="auto"/>
              <w:right w:val="single" w:sz="6" w:space="0" w:color="auto"/>
            </w:tcBorders>
          </w:tcPr>
          <w:p w14:paraId="0EA96D3C" w14:textId="77777777" w:rsidR="006031D6" w:rsidRPr="006031D6" w:rsidRDefault="006031D6" w:rsidP="006031D6">
            <w:pPr>
              <w:pStyle w:val="Texttabulky"/>
              <w:spacing w:after="0" w:line="240" w:lineRule="atLeast"/>
              <w:rPr>
                <w:rFonts w:cs="Arial"/>
              </w:rPr>
            </w:pPr>
            <w:r w:rsidRPr="006031D6">
              <w:rPr>
                <w:rFonts w:cs="Arial"/>
              </w:rPr>
              <w:t>46</w:t>
            </w:r>
          </w:p>
        </w:tc>
        <w:tc>
          <w:tcPr>
            <w:tcW w:w="1009" w:type="dxa"/>
            <w:tcBorders>
              <w:top w:val="single" w:sz="6" w:space="0" w:color="auto"/>
              <w:left w:val="single" w:sz="6" w:space="0" w:color="auto"/>
              <w:bottom w:val="single" w:sz="6" w:space="0" w:color="auto"/>
              <w:right w:val="single" w:sz="6" w:space="0" w:color="auto"/>
            </w:tcBorders>
          </w:tcPr>
          <w:p w14:paraId="14D05BA9" w14:textId="77777777" w:rsidR="006031D6" w:rsidRPr="006031D6" w:rsidRDefault="006031D6" w:rsidP="006031D6">
            <w:pPr>
              <w:pStyle w:val="Texttabulky"/>
              <w:spacing w:after="0" w:line="240" w:lineRule="atLeast"/>
              <w:rPr>
                <w:rFonts w:cs="Arial"/>
              </w:rPr>
            </w:pPr>
            <w:r w:rsidRPr="006031D6">
              <w:rPr>
                <w:rFonts w:cs="Arial"/>
              </w:rPr>
              <w:t>58</w:t>
            </w:r>
          </w:p>
        </w:tc>
        <w:tc>
          <w:tcPr>
            <w:tcW w:w="1228" w:type="dxa"/>
            <w:tcBorders>
              <w:top w:val="single" w:sz="6" w:space="0" w:color="auto"/>
              <w:left w:val="single" w:sz="6" w:space="0" w:color="auto"/>
              <w:bottom w:val="single" w:sz="6" w:space="0" w:color="auto"/>
              <w:right w:val="single" w:sz="6" w:space="0" w:color="auto"/>
            </w:tcBorders>
          </w:tcPr>
          <w:p w14:paraId="1859131A" w14:textId="77777777" w:rsidR="006031D6" w:rsidRPr="006031D6" w:rsidRDefault="006031D6" w:rsidP="006031D6">
            <w:pPr>
              <w:pStyle w:val="Texttabulky"/>
              <w:spacing w:after="0" w:line="240" w:lineRule="atLeast"/>
              <w:rPr>
                <w:rFonts w:cs="Arial"/>
              </w:rPr>
            </w:pPr>
            <w:r w:rsidRPr="006031D6">
              <w:rPr>
                <w:rFonts w:cs="Arial"/>
              </w:rPr>
              <w:t>83</w:t>
            </w:r>
          </w:p>
        </w:tc>
        <w:tc>
          <w:tcPr>
            <w:tcW w:w="865" w:type="dxa"/>
            <w:tcBorders>
              <w:top w:val="single" w:sz="6" w:space="0" w:color="auto"/>
              <w:left w:val="single" w:sz="6" w:space="0" w:color="auto"/>
              <w:bottom w:val="single" w:sz="6" w:space="0" w:color="auto"/>
              <w:right w:val="single" w:sz="6" w:space="0" w:color="auto"/>
            </w:tcBorders>
          </w:tcPr>
          <w:p w14:paraId="2C3E8278"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75200E02" w14:textId="77777777" w:rsidR="006031D6" w:rsidRPr="006031D6" w:rsidRDefault="006031D6" w:rsidP="006031D6">
            <w:pPr>
              <w:pStyle w:val="Zkladntext"/>
              <w:spacing w:after="0"/>
              <w:rPr>
                <w:rFonts w:ascii="Arial" w:hAnsi="Arial" w:cs="Arial"/>
              </w:rPr>
            </w:pPr>
          </w:p>
        </w:tc>
      </w:tr>
      <w:tr w:rsidR="006031D6" w:rsidRPr="006031D6" w14:paraId="2C4281F8"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6FCC22D" w14:textId="77777777" w:rsidR="006031D6" w:rsidRPr="006031D6" w:rsidRDefault="006031D6" w:rsidP="006031D6">
            <w:pPr>
              <w:pStyle w:val="Texttabulky"/>
              <w:spacing w:after="0" w:line="240" w:lineRule="atLeast"/>
              <w:rPr>
                <w:rFonts w:cs="Arial"/>
              </w:rPr>
            </w:pPr>
            <w:r w:rsidRPr="006031D6">
              <w:rPr>
                <w:rFonts w:cs="Arial"/>
              </w:rPr>
              <w:t>Mitop vrt DN3</w:t>
            </w:r>
          </w:p>
        </w:tc>
        <w:tc>
          <w:tcPr>
            <w:tcW w:w="1440" w:type="dxa"/>
            <w:tcBorders>
              <w:top w:val="single" w:sz="6" w:space="0" w:color="auto"/>
              <w:left w:val="single" w:sz="6" w:space="0" w:color="auto"/>
              <w:bottom w:val="single" w:sz="6" w:space="0" w:color="auto"/>
              <w:right w:val="single" w:sz="6" w:space="0" w:color="auto"/>
            </w:tcBorders>
          </w:tcPr>
          <w:p w14:paraId="59B22CC9" w14:textId="77777777" w:rsidR="006031D6" w:rsidRPr="006031D6" w:rsidRDefault="006031D6" w:rsidP="006031D6">
            <w:pPr>
              <w:pStyle w:val="Texttabulky"/>
              <w:spacing w:after="0" w:line="240" w:lineRule="atLeast"/>
              <w:rPr>
                <w:rFonts w:cs="Arial"/>
              </w:rPr>
            </w:pPr>
            <w:r w:rsidRPr="006031D6">
              <w:rPr>
                <w:rFonts w:cs="Arial"/>
              </w:rPr>
              <w:t>25</w:t>
            </w:r>
          </w:p>
        </w:tc>
        <w:tc>
          <w:tcPr>
            <w:tcW w:w="1009" w:type="dxa"/>
            <w:tcBorders>
              <w:top w:val="single" w:sz="6" w:space="0" w:color="auto"/>
              <w:left w:val="single" w:sz="6" w:space="0" w:color="auto"/>
              <w:bottom w:val="single" w:sz="6" w:space="0" w:color="auto"/>
              <w:right w:val="single" w:sz="6" w:space="0" w:color="auto"/>
            </w:tcBorders>
          </w:tcPr>
          <w:p w14:paraId="236CFF5A" w14:textId="77777777" w:rsidR="006031D6" w:rsidRPr="006031D6" w:rsidRDefault="006031D6" w:rsidP="006031D6">
            <w:pPr>
              <w:pStyle w:val="Texttabulky"/>
              <w:spacing w:after="0" w:line="240" w:lineRule="atLeast"/>
              <w:rPr>
                <w:rFonts w:cs="Arial"/>
              </w:rPr>
            </w:pPr>
            <w:r w:rsidRPr="006031D6">
              <w:rPr>
                <w:rFonts w:cs="Arial"/>
              </w:rPr>
              <w:t>25</w:t>
            </w:r>
          </w:p>
        </w:tc>
        <w:tc>
          <w:tcPr>
            <w:tcW w:w="1228" w:type="dxa"/>
            <w:tcBorders>
              <w:top w:val="single" w:sz="6" w:space="0" w:color="auto"/>
              <w:left w:val="single" w:sz="6" w:space="0" w:color="auto"/>
              <w:bottom w:val="single" w:sz="6" w:space="0" w:color="auto"/>
              <w:right w:val="single" w:sz="6" w:space="0" w:color="auto"/>
            </w:tcBorders>
          </w:tcPr>
          <w:p w14:paraId="278CDB7D" w14:textId="77777777" w:rsidR="006031D6" w:rsidRPr="006031D6" w:rsidRDefault="006031D6" w:rsidP="006031D6">
            <w:pPr>
              <w:pStyle w:val="Texttabulky"/>
              <w:spacing w:after="0" w:line="240" w:lineRule="atLeast"/>
              <w:rPr>
                <w:rFonts w:cs="Arial"/>
              </w:rPr>
            </w:pPr>
            <w:r w:rsidRPr="006031D6">
              <w:rPr>
                <w:rFonts w:cs="Arial"/>
              </w:rPr>
              <w:t>25</w:t>
            </w:r>
          </w:p>
        </w:tc>
        <w:tc>
          <w:tcPr>
            <w:tcW w:w="865" w:type="dxa"/>
            <w:tcBorders>
              <w:top w:val="single" w:sz="6" w:space="0" w:color="auto"/>
              <w:left w:val="single" w:sz="6" w:space="0" w:color="auto"/>
              <w:bottom w:val="single" w:sz="6" w:space="0" w:color="auto"/>
              <w:right w:val="single" w:sz="6" w:space="0" w:color="auto"/>
            </w:tcBorders>
          </w:tcPr>
          <w:p w14:paraId="61CD224D"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15A9C04A" w14:textId="77777777" w:rsidR="006031D6" w:rsidRPr="006031D6" w:rsidRDefault="006031D6" w:rsidP="006031D6">
            <w:pPr>
              <w:pStyle w:val="Zkladntext"/>
              <w:spacing w:after="0"/>
              <w:rPr>
                <w:rFonts w:ascii="Arial" w:hAnsi="Arial" w:cs="Arial"/>
              </w:rPr>
            </w:pPr>
          </w:p>
        </w:tc>
      </w:tr>
      <w:tr w:rsidR="006031D6" w:rsidRPr="006031D6" w14:paraId="173C43A5"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0E80CB95" w14:textId="77777777" w:rsidR="006031D6" w:rsidRPr="006031D6" w:rsidRDefault="006031D6" w:rsidP="006031D6">
            <w:pPr>
              <w:pStyle w:val="Texttabulky"/>
              <w:spacing w:after="0" w:line="240" w:lineRule="atLeast"/>
              <w:rPr>
                <w:rFonts w:cs="Arial"/>
              </w:rPr>
            </w:pPr>
            <w:r w:rsidRPr="006031D6">
              <w:rPr>
                <w:rFonts w:cs="Arial"/>
              </w:rPr>
              <w:t>Studený pramen</w:t>
            </w:r>
          </w:p>
        </w:tc>
        <w:tc>
          <w:tcPr>
            <w:tcW w:w="1440" w:type="dxa"/>
            <w:tcBorders>
              <w:top w:val="single" w:sz="6" w:space="0" w:color="auto"/>
              <w:left w:val="single" w:sz="6" w:space="0" w:color="auto"/>
              <w:bottom w:val="single" w:sz="6" w:space="0" w:color="auto"/>
              <w:right w:val="single" w:sz="6" w:space="0" w:color="auto"/>
            </w:tcBorders>
          </w:tcPr>
          <w:p w14:paraId="7E0EC75A" w14:textId="77777777" w:rsidR="006031D6" w:rsidRPr="006031D6" w:rsidRDefault="006031D6" w:rsidP="006031D6">
            <w:pPr>
              <w:pStyle w:val="Texttabulky"/>
              <w:spacing w:after="0" w:line="240" w:lineRule="atLeast"/>
              <w:rPr>
                <w:rFonts w:cs="Arial"/>
              </w:rPr>
            </w:pPr>
            <w:r w:rsidRPr="006031D6">
              <w:rPr>
                <w:rFonts w:cs="Arial"/>
              </w:rPr>
              <w:t>10</w:t>
            </w:r>
          </w:p>
        </w:tc>
        <w:tc>
          <w:tcPr>
            <w:tcW w:w="1009" w:type="dxa"/>
            <w:tcBorders>
              <w:top w:val="single" w:sz="6" w:space="0" w:color="auto"/>
              <w:left w:val="single" w:sz="6" w:space="0" w:color="auto"/>
              <w:bottom w:val="single" w:sz="6" w:space="0" w:color="auto"/>
              <w:right w:val="single" w:sz="6" w:space="0" w:color="auto"/>
            </w:tcBorders>
          </w:tcPr>
          <w:p w14:paraId="1802B8B1" w14:textId="77777777" w:rsidR="006031D6" w:rsidRPr="006031D6" w:rsidRDefault="006031D6" w:rsidP="006031D6">
            <w:pPr>
              <w:pStyle w:val="Texttabulky"/>
              <w:spacing w:after="0" w:line="240" w:lineRule="atLeast"/>
              <w:rPr>
                <w:rFonts w:cs="Arial"/>
              </w:rPr>
            </w:pPr>
            <w:r w:rsidRPr="006031D6">
              <w:rPr>
                <w:rFonts w:cs="Arial"/>
              </w:rPr>
              <w:t>11</w:t>
            </w:r>
          </w:p>
        </w:tc>
        <w:tc>
          <w:tcPr>
            <w:tcW w:w="1228" w:type="dxa"/>
            <w:tcBorders>
              <w:top w:val="single" w:sz="6" w:space="0" w:color="auto"/>
              <w:left w:val="single" w:sz="6" w:space="0" w:color="auto"/>
              <w:bottom w:val="single" w:sz="6" w:space="0" w:color="auto"/>
              <w:right w:val="single" w:sz="6" w:space="0" w:color="auto"/>
            </w:tcBorders>
          </w:tcPr>
          <w:p w14:paraId="3B740E7B" w14:textId="77777777" w:rsidR="006031D6" w:rsidRPr="006031D6" w:rsidRDefault="006031D6" w:rsidP="006031D6">
            <w:pPr>
              <w:pStyle w:val="Texttabulky"/>
              <w:spacing w:after="0" w:line="240" w:lineRule="atLeast"/>
              <w:rPr>
                <w:rFonts w:cs="Arial"/>
              </w:rPr>
            </w:pPr>
            <w:r w:rsidRPr="006031D6">
              <w:rPr>
                <w:rFonts w:cs="Arial"/>
              </w:rPr>
              <w:t>15</w:t>
            </w:r>
          </w:p>
        </w:tc>
        <w:tc>
          <w:tcPr>
            <w:tcW w:w="865" w:type="dxa"/>
            <w:tcBorders>
              <w:top w:val="single" w:sz="6" w:space="0" w:color="auto"/>
              <w:left w:val="single" w:sz="6" w:space="0" w:color="auto"/>
              <w:bottom w:val="single" w:sz="6" w:space="0" w:color="auto"/>
              <w:right w:val="single" w:sz="6" w:space="0" w:color="auto"/>
            </w:tcBorders>
          </w:tcPr>
          <w:p w14:paraId="6E5C56A7"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677539EE" w14:textId="77777777" w:rsidR="006031D6" w:rsidRPr="006031D6" w:rsidRDefault="006031D6" w:rsidP="006031D6">
            <w:pPr>
              <w:pStyle w:val="Zkladntext"/>
              <w:spacing w:after="0"/>
              <w:rPr>
                <w:rFonts w:ascii="Arial" w:hAnsi="Arial" w:cs="Arial"/>
              </w:rPr>
            </w:pPr>
          </w:p>
        </w:tc>
      </w:tr>
      <w:tr w:rsidR="006031D6" w:rsidRPr="006031D6" w14:paraId="2CB36622"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DFBBECB" w14:textId="77777777" w:rsidR="006031D6" w:rsidRPr="006031D6" w:rsidRDefault="006031D6" w:rsidP="006031D6">
            <w:pPr>
              <w:pStyle w:val="Texttabulky"/>
              <w:spacing w:after="0" w:line="240" w:lineRule="atLeast"/>
              <w:rPr>
                <w:rFonts w:cs="Arial"/>
              </w:rPr>
            </w:pPr>
            <w:r w:rsidRPr="006031D6">
              <w:rPr>
                <w:rFonts w:cs="Arial"/>
              </w:rPr>
              <w:t>Č. Voda, D.Žleb</w:t>
            </w:r>
          </w:p>
        </w:tc>
        <w:tc>
          <w:tcPr>
            <w:tcW w:w="1440" w:type="dxa"/>
            <w:tcBorders>
              <w:top w:val="single" w:sz="6" w:space="0" w:color="auto"/>
              <w:left w:val="single" w:sz="6" w:space="0" w:color="auto"/>
              <w:bottom w:val="single" w:sz="6" w:space="0" w:color="auto"/>
              <w:right w:val="single" w:sz="6" w:space="0" w:color="auto"/>
            </w:tcBorders>
          </w:tcPr>
          <w:p w14:paraId="3DD3783E" w14:textId="77777777" w:rsidR="006031D6" w:rsidRPr="006031D6" w:rsidRDefault="006031D6" w:rsidP="006031D6">
            <w:pPr>
              <w:pStyle w:val="Texttabulky"/>
              <w:spacing w:after="0" w:line="240" w:lineRule="atLeast"/>
              <w:rPr>
                <w:rFonts w:cs="Arial"/>
              </w:rPr>
            </w:pPr>
            <w:r w:rsidRPr="006031D6">
              <w:rPr>
                <w:rFonts w:cs="Arial"/>
              </w:rPr>
              <w:t>30</w:t>
            </w:r>
          </w:p>
        </w:tc>
        <w:tc>
          <w:tcPr>
            <w:tcW w:w="1009" w:type="dxa"/>
            <w:tcBorders>
              <w:top w:val="single" w:sz="6" w:space="0" w:color="auto"/>
              <w:left w:val="single" w:sz="6" w:space="0" w:color="auto"/>
              <w:bottom w:val="single" w:sz="6" w:space="0" w:color="auto"/>
              <w:right w:val="single" w:sz="6" w:space="0" w:color="auto"/>
            </w:tcBorders>
          </w:tcPr>
          <w:p w14:paraId="74B8BE28" w14:textId="77777777" w:rsidR="006031D6" w:rsidRPr="006031D6" w:rsidRDefault="006031D6" w:rsidP="006031D6">
            <w:pPr>
              <w:pStyle w:val="Texttabulky"/>
              <w:spacing w:after="0" w:line="240" w:lineRule="atLeast"/>
              <w:rPr>
                <w:rFonts w:cs="Arial"/>
              </w:rPr>
            </w:pPr>
            <w:r w:rsidRPr="006031D6">
              <w:rPr>
                <w:rFonts w:cs="Arial"/>
              </w:rPr>
              <w:t>32</w:t>
            </w:r>
          </w:p>
        </w:tc>
        <w:tc>
          <w:tcPr>
            <w:tcW w:w="1228" w:type="dxa"/>
            <w:tcBorders>
              <w:top w:val="single" w:sz="6" w:space="0" w:color="auto"/>
              <w:left w:val="single" w:sz="6" w:space="0" w:color="auto"/>
              <w:bottom w:val="single" w:sz="6" w:space="0" w:color="auto"/>
              <w:right w:val="single" w:sz="6" w:space="0" w:color="auto"/>
            </w:tcBorders>
          </w:tcPr>
          <w:p w14:paraId="6E640A5A" w14:textId="77777777" w:rsidR="006031D6" w:rsidRPr="006031D6" w:rsidRDefault="006031D6" w:rsidP="006031D6">
            <w:pPr>
              <w:pStyle w:val="Texttabulky"/>
              <w:spacing w:after="0" w:line="240" w:lineRule="atLeast"/>
              <w:rPr>
                <w:rFonts w:cs="Arial"/>
              </w:rPr>
            </w:pPr>
            <w:r w:rsidRPr="006031D6">
              <w:rPr>
                <w:rFonts w:cs="Arial"/>
              </w:rPr>
              <w:t>36</w:t>
            </w:r>
          </w:p>
        </w:tc>
        <w:tc>
          <w:tcPr>
            <w:tcW w:w="865" w:type="dxa"/>
            <w:tcBorders>
              <w:top w:val="single" w:sz="6" w:space="0" w:color="auto"/>
              <w:left w:val="single" w:sz="6" w:space="0" w:color="auto"/>
              <w:bottom w:val="single" w:sz="6" w:space="0" w:color="auto"/>
              <w:right w:val="single" w:sz="6" w:space="0" w:color="auto"/>
            </w:tcBorders>
          </w:tcPr>
          <w:p w14:paraId="0EEE086C"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5CC5D619" w14:textId="77777777" w:rsidR="006031D6" w:rsidRPr="006031D6" w:rsidRDefault="006031D6" w:rsidP="006031D6">
            <w:pPr>
              <w:pStyle w:val="Zkladntext"/>
              <w:spacing w:after="0"/>
              <w:rPr>
                <w:rFonts w:ascii="Arial" w:hAnsi="Arial" w:cs="Arial"/>
              </w:rPr>
            </w:pPr>
          </w:p>
        </w:tc>
      </w:tr>
      <w:tr w:rsidR="006031D6" w:rsidRPr="006031D6" w14:paraId="23EA2207"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961F326" w14:textId="77777777" w:rsidR="006031D6" w:rsidRPr="006031D6" w:rsidRDefault="006031D6" w:rsidP="006031D6">
            <w:pPr>
              <w:pStyle w:val="Texttabulky"/>
              <w:spacing w:after="0" w:line="240" w:lineRule="atLeast"/>
              <w:rPr>
                <w:rFonts w:cs="Arial"/>
              </w:rPr>
            </w:pPr>
            <w:r w:rsidRPr="006031D6">
              <w:rPr>
                <w:rFonts w:cs="Arial"/>
              </w:rPr>
              <w:t>Ostatní zdroje</w:t>
            </w:r>
          </w:p>
        </w:tc>
        <w:tc>
          <w:tcPr>
            <w:tcW w:w="1440" w:type="dxa"/>
            <w:tcBorders>
              <w:top w:val="single" w:sz="6" w:space="0" w:color="auto"/>
              <w:left w:val="single" w:sz="6" w:space="0" w:color="auto"/>
              <w:bottom w:val="single" w:sz="6" w:space="0" w:color="auto"/>
              <w:right w:val="single" w:sz="6" w:space="0" w:color="auto"/>
            </w:tcBorders>
          </w:tcPr>
          <w:p w14:paraId="3DB9FFFA" w14:textId="77777777" w:rsidR="006031D6" w:rsidRPr="006031D6" w:rsidRDefault="006031D6" w:rsidP="006031D6">
            <w:pPr>
              <w:pStyle w:val="Zkladntext"/>
              <w:spacing w:after="0"/>
              <w:rPr>
                <w:rFonts w:ascii="Arial" w:hAnsi="Arial" w:cs="Arial"/>
              </w:rPr>
            </w:pPr>
          </w:p>
        </w:tc>
        <w:tc>
          <w:tcPr>
            <w:tcW w:w="1009" w:type="dxa"/>
            <w:tcBorders>
              <w:top w:val="single" w:sz="6" w:space="0" w:color="auto"/>
              <w:left w:val="single" w:sz="6" w:space="0" w:color="auto"/>
              <w:bottom w:val="single" w:sz="6" w:space="0" w:color="auto"/>
              <w:right w:val="single" w:sz="6" w:space="0" w:color="auto"/>
            </w:tcBorders>
          </w:tcPr>
          <w:p w14:paraId="239DE760" w14:textId="77777777" w:rsidR="006031D6" w:rsidRPr="006031D6" w:rsidRDefault="006031D6" w:rsidP="006031D6">
            <w:pPr>
              <w:pStyle w:val="Zkladntext"/>
              <w:spacing w:after="0"/>
              <w:rPr>
                <w:rFonts w:ascii="Arial" w:hAnsi="Arial" w:cs="Arial"/>
              </w:rPr>
            </w:pPr>
          </w:p>
        </w:tc>
        <w:tc>
          <w:tcPr>
            <w:tcW w:w="1228" w:type="dxa"/>
            <w:tcBorders>
              <w:top w:val="single" w:sz="6" w:space="0" w:color="auto"/>
              <w:left w:val="single" w:sz="6" w:space="0" w:color="auto"/>
              <w:bottom w:val="single" w:sz="6" w:space="0" w:color="auto"/>
              <w:right w:val="single" w:sz="6" w:space="0" w:color="auto"/>
            </w:tcBorders>
          </w:tcPr>
          <w:p w14:paraId="7BC20146" w14:textId="77777777" w:rsidR="006031D6" w:rsidRPr="006031D6" w:rsidRDefault="006031D6" w:rsidP="006031D6">
            <w:pPr>
              <w:pStyle w:val="Zkladntext"/>
              <w:spacing w:after="0"/>
              <w:rPr>
                <w:rFonts w:ascii="Arial" w:hAnsi="Arial" w:cs="Arial"/>
              </w:rPr>
            </w:pPr>
          </w:p>
        </w:tc>
        <w:tc>
          <w:tcPr>
            <w:tcW w:w="865" w:type="dxa"/>
            <w:tcBorders>
              <w:top w:val="single" w:sz="6" w:space="0" w:color="auto"/>
              <w:left w:val="single" w:sz="6" w:space="0" w:color="auto"/>
              <w:bottom w:val="single" w:sz="6" w:space="0" w:color="auto"/>
              <w:right w:val="single" w:sz="6" w:space="0" w:color="auto"/>
            </w:tcBorders>
          </w:tcPr>
          <w:p w14:paraId="5CB7CB7F"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1206A4BA" w14:textId="77777777" w:rsidR="006031D6" w:rsidRPr="006031D6" w:rsidRDefault="006031D6" w:rsidP="006031D6">
            <w:pPr>
              <w:pStyle w:val="Zkladntext"/>
              <w:spacing w:after="0"/>
              <w:rPr>
                <w:rFonts w:ascii="Arial" w:hAnsi="Arial" w:cs="Arial"/>
              </w:rPr>
            </w:pPr>
          </w:p>
        </w:tc>
      </w:tr>
      <w:tr w:rsidR="006031D6" w:rsidRPr="006031D6" w14:paraId="5B1AB369"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682831B2" w14:textId="77777777" w:rsidR="006031D6" w:rsidRPr="006031D6" w:rsidRDefault="006031D6" w:rsidP="006031D6">
            <w:pPr>
              <w:pStyle w:val="Texttabulky"/>
              <w:spacing w:after="0" w:line="240" w:lineRule="atLeast"/>
              <w:rPr>
                <w:rFonts w:cs="Arial"/>
              </w:rPr>
            </w:pPr>
            <w:r w:rsidRPr="006031D6">
              <w:rPr>
                <w:rFonts w:cs="Arial"/>
              </w:rPr>
              <w:t>Vlčí pramen</w:t>
            </w:r>
          </w:p>
        </w:tc>
        <w:tc>
          <w:tcPr>
            <w:tcW w:w="1440" w:type="dxa"/>
            <w:tcBorders>
              <w:top w:val="single" w:sz="6" w:space="0" w:color="auto"/>
              <w:left w:val="single" w:sz="6" w:space="0" w:color="auto"/>
              <w:bottom w:val="single" w:sz="6" w:space="0" w:color="auto"/>
              <w:right w:val="single" w:sz="6" w:space="0" w:color="auto"/>
            </w:tcBorders>
          </w:tcPr>
          <w:p w14:paraId="69075A9E" w14:textId="77777777" w:rsidR="006031D6" w:rsidRPr="006031D6" w:rsidRDefault="006031D6" w:rsidP="006031D6">
            <w:pPr>
              <w:pStyle w:val="Texttabulky"/>
              <w:spacing w:after="0" w:line="240" w:lineRule="atLeast"/>
              <w:rPr>
                <w:rFonts w:cs="Arial"/>
              </w:rPr>
            </w:pPr>
            <w:r w:rsidRPr="006031D6">
              <w:rPr>
                <w:rFonts w:cs="Arial"/>
              </w:rPr>
              <w:t>5</w:t>
            </w:r>
          </w:p>
        </w:tc>
        <w:tc>
          <w:tcPr>
            <w:tcW w:w="1009" w:type="dxa"/>
            <w:tcBorders>
              <w:top w:val="single" w:sz="6" w:space="0" w:color="auto"/>
              <w:left w:val="single" w:sz="6" w:space="0" w:color="auto"/>
              <w:bottom w:val="single" w:sz="6" w:space="0" w:color="auto"/>
              <w:right w:val="single" w:sz="6" w:space="0" w:color="auto"/>
            </w:tcBorders>
          </w:tcPr>
          <w:p w14:paraId="5A2C613F" w14:textId="77777777" w:rsidR="006031D6" w:rsidRPr="006031D6" w:rsidRDefault="006031D6" w:rsidP="006031D6">
            <w:pPr>
              <w:pStyle w:val="Texttabulky"/>
              <w:spacing w:after="0" w:line="240" w:lineRule="atLeast"/>
              <w:rPr>
                <w:rFonts w:cs="Arial"/>
              </w:rPr>
            </w:pPr>
            <w:r w:rsidRPr="006031D6">
              <w:rPr>
                <w:rFonts w:cs="Arial"/>
              </w:rPr>
              <w:t>7</w:t>
            </w:r>
          </w:p>
        </w:tc>
        <w:tc>
          <w:tcPr>
            <w:tcW w:w="1228" w:type="dxa"/>
            <w:tcBorders>
              <w:top w:val="single" w:sz="6" w:space="0" w:color="auto"/>
              <w:left w:val="single" w:sz="6" w:space="0" w:color="auto"/>
              <w:bottom w:val="single" w:sz="6" w:space="0" w:color="auto"/>
              <w:right w:val="single" w:sz="6" w:space="0" w:color="auto"/>
            </w:tcBorders>
          </w:tcPr>
          <w:p w14:paraId="739BA5C5" w14:textId="77777777" w:rsidR="006031D6" w:rsidRPr="006031D6" w:rsidRDefault="006031D6" w:rsidP="006031D6">
            <w:pPr>
              <w:pStyle w:val="Texttabulky"/>
              <w:spacing w:after="0" w:line="240" w:lineRule="atLeast"/>
              <w:rPr>
                <w:rFonts w:cs="Arial"/>
              </w:rPr>
            </w:pPr>
            <w:r w:rsidRPr="006031D6">
              <w:rPr>
                <w:rFonts w:cs="Arial"/>
              </w:rPr>
              <w:t>10</w:t>
            </w:r>
          </w:p>
        </w:tc>
        <w:tc>
          <w:tcPr>
            <w:tcW w:w="865" w:type="dxa"/>
            <w:tcBorders>
              <w:top w:val="single" w:sz="6" w:space="0" w:color="auto"/>
              <w:left w:val="single" w:sz="6" w:space="0" w:color="auto"/>
              <w:bottom w:val="single" w:sz="6" w:space="0" w:color="auto"/>
              <w:right w:val="single" w:sz="6" w:space="0" w:color="auto"/>
            </w:tcBorders>
          </w:tcPr>
          <w:p w14:paraId="35336862"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10384E26" w14:textId="77777777" w:rsidR="006031D6" w:rsidRPr="006031D6" w:rsidRDefault="006031D6" w:rsidP="006031D6">
            <w:pPr>
              <w:pStyle w:val="Zkladntext"/>
              <w:spacing w:after="0"/>
              <w:rPr>
                <w:rFonts w:ascii="Arial" w:hAnsi="Arial" w:cs="Arial"/>
              </w:rPr>
            </w:pPr>
          </w:p>
        </w:tc>
      </w:tr>
      <w:tr w:rsidR="006031D6" w:rsidRPr="006031D6" w14:paraId="33EFD1D2"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2A61B869" w14:textId="77777777" w:rsidR="006031D6" w:rsidRPr="006031D6" w:rsidRDefault="006031D6" w:rsidP="006031D6">
            <w:pPr>
              <w:pStyle w:val="Texttabulky"/>
              <w:spacing w:after="0" w:line="240" w:lineRule="atLeast"/>
              <w:rPr>
                <w:rFonts w:cs="Arial"/>
              </w:rPr>
            </w:pPr>
            <w:r w:rsidRPr="006031D6">
              <w:rPr>
                <w:rFonts w:cs="Arial"/>
              </w:rPr>
              <w:t>Chrochvice</w:t>
            </w:r>
          </w:p>
        </w:tc>
        <w:tc>
          <w:tcPr>
            <w:tcW w:w="1440" w:type="dxa"/>
            <w:tcBorders>
              <w:top w:val="single" w:sz="6" w:space="0" w:color="auto"/>
              <w:left w:val="single" w:sz="6" w:space="0" w:color="auto"/>
              <w:bottom w:val="single" w:sz="6" w:space="0" w:color="auto"/>
              <w:right w:val="single" w:sz="6" w:space="0" w:color="auto"/>
            </w:tcBorders>
          </w:tcPr>
          <w:p w14:paraId="01EC51E4" w14:textId="77777777" w:rsidR="006031D6" w:rsidRPr="006031D6" w:rsidRDefault="006031D6" w:rsidP="006031D6">
            <w:pPr>
              <w:pStyle w:val="Texttabulky"/>
              <w:spacing w:after="0" w:line="240" w:lineRule="atLeast"/>
              <w:rPr>
                <w:rFonts w:cs="Arial"/>
              </w:rPr>
            </w:pPr>
            <w:r w:rsidRPr="006031D6">
              <w:rPr>
                <w:rFonts w:cs="Arial"/>
              </w:rPr>
              <w:t>0,5</w:t>
            </w:r>
          </w:p>
        </w:tc>
        <w:tc>
          <w:tcPr>
            <w:tcW w:w="1009" w:type="dxa"/>
            <w:tcBorders>
              <w:top w:val="single" w:sz="6" w:space="0" w:color="auto"/>
              <w:left w:val="single" w:sz="6" w:space="0" w:color="auto"/>
              <w:bottom w:val="single" w:sz="6" w:space="0" w:color="auto"/>
              <w:right w:val="single" w:sz="6" w:space="0" w:color="auto"/>
            </w:tcBorders>
          </w:tcPr>
          <w:p w14:paraId="620E3EB7" w14:textId="77777777" w:rsidR="006031D6" w:rsidRPr="006031D6" w:rsidRDefault="006031D6" w:rsidP="006031D6">
            <w:pPr>
              <w:pStyle w:val="Texttabulky"/>
              <w:spacing w:after="0" w:line="240" w:lineRule="atLeast"/>
              <w:rPr>
                <w:rFonts w:cs="Arial"/>
              </w:rPr>
            </w:pPr>
            <w:r w:rsidRPr="006031D6">
              <w:rPr>
                <w:rFonts w:cs="Arial"/>
              </w:rPr>
              <w:t>1</w:t>
            </w:r>
          </w:p>
        </w:tc>
        <w:tc>
          <w:tcPr>
            <w:tcW w:w="1228" w:type="dxa"/>
            <w:tcBorders>
              <w:top w:val="single" w:sz="6" w:space="0" w:color="auto"/>
              <w:left w:val="single" w:sz="6" w:space="0" w:color="auto"/>
              <w:bottom w:val="single" w:sz="6" w:space="0" w:color="auto"/>
              <w:right w:val="single" w:sz="6" w:space="0" w:color="auto"/>
            </w:tcBorders>
          </w:tcPr>
          <w:p w14:paraId="5788D6BC" w14:textId="77777777" w:rsidR="006031D6" w:rsidRPr="006031D6" w:rsidRDefault="006031D6" w:rsidP="006031D6">
            <w:pPr>
              <w:pStyle w:val="Texttabulky"/>
              <w:spacing w:after="0" w:line="240" w:lineRule="atLeast"/>
              <w:rPr>
                <w:rFonts w:cs="Arial"/>
              </w:rPr>
            </w:pPr>
            <w:r w:rsidRPr="006031D6">
              <w:rPr>
                <w:rFonts w:cs="Arial"/>
              </w:rPr>
              <w:t>2</w:t>
            </w:r>
          </w:p>
        </w:tc>
        <w:tc>
          <w:tcPr>
            <w:tcW w:w="865" w:type="dxa"/>
            <w:tcBorders>
              <w:top w:val="single" w:sz="6" w:space="0" w:color="auto"/>
              <w:left w:val="single" w:sz="6" w:space="0" w:color="auto"/>
              <w:bottom w:val="single" w:sz="6" w:space="0" w:color="auto"/>
              <w:right w:val="single" w:sz="6" w:space="0" w:color="auto"/>
            </w:tcBorders>
          </w:tcPr>
          <w:p w14:paraId="37A2DC7D"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7DF17A5A" w14:textId="77777777" w:rsidR="006031D6" w:rsidRPr="006031D6" w:rsidRDefault="006031D6" w:rsidP="006031D6">
            <w:pPr>
              <w:pStyle w:val="Zkladntext"/>
              <w:spacing w:after="0"/>
              <w:rPr>
                <w:rFonts w:ascii="Arial" w:hAnsi="Arial" w:cs="Arial"/>
              </w:rPr>
            </w:pPr>
          </w:p>
        </w:tc>
      </w:tr>
      <w:tr w:rsidR="006031D6" w:rsidRPr="006031D6" w14:paraId="4C04D874"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12513A56" w14:textId="77777777" w:rsidR="006031D6" w:rsidRPr="006031D6" w:rsidRDefault="006031D6" w:rsidP="006031D6">
            <w:pPr>
              <w:pStyle w:val="Texttabulky"/>
              <w:spacing w:after="0" w:line="240" w:lineRule="atLeast"/>
              <w:rPr>
                <w:rFonts w:cs="Arial"/>
              </w:rPr>
            </w:pPr>
            <w:r w:rsidRPr="006031D6">
              <w:rPr>
                <w:rFonts w:cs="Arial"/>
              </w:rPr>
              <w:t>St.město Nad zastáv.</w:t>
            </w:r>
          </w:p>
        </w:tc>
        <w:tc>
          <w:tcPr>
            <w:tcW w:w="1440" w:type="dxa"/>
            <w:tcBorders>
              <w:top w:val="single" w:sz="6" w:space="0" w:color="auto"/>
              <w:left w:val="single" w:sz="6" w:space="0" w:color="auto"/>
              <w:bottom w:val="single" w:sz="6" w:space="0" w:color="auto"/>
              <w:right w:val="single" w:sz="6" w:space="0" w:color="auto"/>
            </w:tcBorders>
          </w:tcPr>
          <w:p w14:paraId="5137AEF0" w14:textId="77777777" w:rsidR="006031D6" w:rsidRPr="006031D6" w:rsidRDefault="006031D6" w:rsidP="006031D6">
            <w:pPr>
              <w:pStyle w:val="Texttabulky"/>
              <w:spacing w:after="0" w:line="240" w:lineRule="atLeast"/>
              <w:rPr>
                <w:rFonts w:cs="Arial"/>
              </w:rPr>
            </w:pPr>
            <w:r w:rsidRPr="006031D6">
              <w:rPr>
                <w:rFonts w:cs="Arial"/>
              </w:rPr>
              <w:t>1</w:t>
            </w:r>
          </w:p>
        </w:tc>
        <w:tc>
          <w:tcPr>
            <w:tcW w:w="1009" w:type="dxa"/>
            <w:tcBorders>
              <w:top w:val="single" w:sz="6" w:space="0" w:color="auto"/>
              <w:left w:val="single" w:sz="6" w:space="0" w:color="auto"/>
              <w:bottom w:val="single" w:sz="6" w:space="0" w:color="auto"/>
              <w:right w:val="single" w:sz="6" w:space="0" w:color="auto"/>
            </w:tcBorders>
          </w:tcPr>
          <w:p w14:paraId="603F01C8" w14:textId="77777777" w:rsidR="006031D6" w:rsidRPr="006031D6" w:rsidRDefault="006031D6" w:rsidP="006031D6">
            <w:pPr>
              <w:pStyle w:val="Texttabulky"/>
              <w:spacing w:after="0" w:line="240" w:lineRule="atLeast"/>
              <w:rPr>
                <w:rFonts w:cs="Arial"/>
              </w:rPr>
            </w:pPr>
            <w:r w:rsidRPr="006031D6">
              <w:rPr>
                <w:rFonts w:cs="Arial"/>
              </w:rPr>
              <w:t>1,5</w:t>
            </w:r>
          </w:p>
        </w:tc>
        <w:tc>
          <w:tcPr>
            <w:tcW w:w="1228" w:type="dxa"/>
            <w:tcBorders>
              <w:top w:val="single" w:sz="6" w:space="0" w:color="auto"/>
              <w:left w:val="single" w:sz="6" w:space="0" w:color="auto"/>
              <w:bottom w:val="single" w:sz="6" w:space="0" w:color="auto"/>
              <w:right w:val="single" w:sz="6" w:space="0" w:color="auto"/>
            </w:tcBorders>
          </w:tcPr>
          <w:p w14:paraId="6C343244" w14:textId="77777777" w:rsidR="006031D6" w:rsidRPr="006031D6" w:rsidRDefault="006031D6" w:rsidP="006031D6">
            <w:pPr>
              <w:pStyle w:val="Texttabulky"/>
              <w:spacing w:after="0" w:line="240" w:lineRule="atLeast"/>
              <w:rPr>
                <w:rFonts w:cs="Arial"/>
              </w:rPr>
            </w:pPr>
            <w:r w:rsidRPr="006031D6">
              <w:rPr>
                <w:rFonts w:cs="Arial"/>
              </w:rPr>
              <w:t>2</w:t>
            </w:r>
          </w:p>
        </w:tc>
        <w:tc>
          <w:tcPr>
            <w:tcW w:w="865" w:type="dxa"/>
            <w:tcBorders>
              <w:top w:val="single" w:sz="6" w:space="0" w:color="auto"/>
              <w:left w:val="single" w:sz="6" w:space="0" w:color="auto"/>
              <w:bottom w:val="single" w:sz="6" w:space="0" w:color="auto"/>
              <w:right w:val="single" w:sz="6" w:space="0" w:color="auto"/>
            </w:tcBorders>
          </w:tcPr>
          <w:p w14:paraId="29794806"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2CCCE89F" w14:textId="77777777" w:rsidR="006031D6" w:rsidRPr="006031D6" w:rsidRDefault="006031D6" w:rsidP="006031D6">
            <w:pPr>
              <w:pStyle w:val="Zkladntext"/>
              <w:spacing w:after="0"/>
              <w:rPr>
                <w:rFonts w:ascii="Arial" w:hAnsi="Arial" w:cs="Arial"/>
              </w:rPr>
            </w:pPr>
          </w:p>
        </w:tc>
      </w:tr>
      <w:tr w:rsidR="006031D6" w:rsidRPr="006031D6" w14:paraId="065115F5"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0F0B8EC" w14:textId="77777777" w:rsidR="006031D6" w:rsidRPr="006031D6" w:rsidRDefault="006031D6" w:rsidP="006031D6">
            <w:pPr>
              <w:pStyle w:val="Texttabulky"/>
              <w:spacing w:after="0" w:line="240" w:lineRule="atLeast"/>
              <w:rPr>
                <w:rFonts w:cs="Arial"/>
              </w:rPr>
            </w:pPr>
            <w:r w:rsidRPr="006031D6">
              <w:rPr>
                <w:rFonts w:cs="Arial"/>
              </w:rPr>
              <w:t>St.Město Pod Chlumem</w:t>
            </w:r>
          </w:p>
        </w:tc>
        <w:tc>
          <w:tcPr>
            <w:tcW w:w="1440" w:type="dxa"/>
            <w:tcBorders>
              <w:top w:val="single" w:sz="6" w:space="0" w:color="auto"/>
              <w:left w:val="single" w:sz="6" w:space="0" w:color="auto"/>
              <w:bottom w:val="single" w:sz="6" w:space="0" w:color="auto"/>
              <w:right w:val="single" w:sz="6" w:space="0" w:color="auto"/>
            </w:tcBorders>
          </w:tcPr>
          <w:p w14:paraId="5DF32D52" w14:textId="77777777" w:rsidR="006031D6" w:rsidRPr="006031D6" w:rsidRDefault="006031D6" w:rsidP="006031D6">
            <w:pPr>
              <w:pStyle w:val="Texttabulky"/>
              <w:spacing w:after="0" w:line="240" w:lineRule="atLeast"/>
              <w:rPr>
                <w:rFonts w:cs="Arial"/>
              </w:rPr>
            </w:pPr>
            <w:r w:rsidRPr="006031D6">
              <w:rPr>
                <w:rFonts w:cs="Arial"/>
              </w:rPr>
              <w:t>1,2</w:t>
            </w:r>
          </w:p>
        </w:tc>
        <w:tc>
          <w:tcPr>
            <w:tcW w:w="1009" w:type="dxa"/>
            <w:tcBorders>
              <w:top w:val="single" w:sz="6" w:space="0" w:color="auto"/>
              <w:left w:val="single" w:sz="6" w:space="0" w:color="auto"/>
              <w:bottom w:val="single" w:sz="6" w:space="0" w:color="auto"/>
              <w:right w:val="single" w:sz="6" w:space="0" w:color="auto"/>
            </w:tcBorders>
          </w:tcPr>
          <w:p w14:paraId="551E78BB" w14:textId="77777777" w:rsidR="006031D6" w:rsidRPr="006031D6" w:rsidRDefault="006031D6" w:rsidP="006031D6">
            <w:pPr>
              <w:pStyle w:val="Texttabulky"/>
              <w:spacing w:after="0" w:line="240" w:lineRule="atLeast"/>
              <w:rPr>
                <w:rFonts w:cs="Arial"/>
              </w:rPr>
            </w:pPr>
            <w:r w:rsidRPr="006031D6">
              <w:rPr>
                <w:rFonts w:cs="Arial"/>
              </w:rPr>
              <w:t>2,8</w:t>
            </w:r>
          </w:p>
        </w:tc>
        <w:tc>
          <w:tcPr>
            <w:tcW w:w="1228" w:type="dxa"/>
            <w:tcBorders>
              <w:top w:val="single" w:sz="6" w:space="0" w:color="auto"/>
              <w:left w:val="single" w:sz="6" w:space="0" w:color="auto"/>
              <w:bottom w:val="single" w:sz="6" w:space="0" w:color="auto"/>
              <w:right w:val="single" w:sz="6" w:space="0" w:color="auto"/>
            </w:tcBorders>
          </w:tcPr>
          <w:p w14:paraId="0D0A84E3" w14:textId="77777777" w:rsidR="006031D6" w:rsidRPr="006031D6" w:rsidRDefault="006031D6" w:rsidP="006031D6">
            <w:pPr>
              <w:pStyle w:val="Texttabulky"/>
              <w:spacing w:after="0" w:line="240" w:lineRule="atLeast"/>
              <w:rPr>
                <w:rFonts w:cs="Arial"/>
              </w:rPr>
            </w:pPr>
            <w:r w:rsidRPr="006031D6">
              <w:rPr>
                <w:rFonts w:cs="Arial"/>
              </w:rPr>
              <w:t>3</w:t>
            </w:r>
          </w:p>
        </w:tc>
        <w:tc>
          <w:tcPr>
            <w:tcW w:w="865" w:type="dxa"/>
            <w:tcBorders>
              <w:top w:val="single" w:sz="6" w:space="0" w:color="auto"/>
              <w:left w:val="single" w:sz="6" w:space="0" w:color="auto"/>
              <w:bottom w:val="single" w:sz="6" w:space="0" w:color="auto"/>
              <w:right w:val="single" w:sz="6" w:space="0" w:color="auto"/>
            </w:tcBorders>
          </w:tcPr>
          <w:p w14:paraId="6798C1F8"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6A562833" w14:textId="77777777" w:rsidR="006031D6" w:rsidRPr="006031D6" w:rsidRDefault="006031D6" w:rsidP="006031D6">
            <w:pPr>
              <w:pStyle w:val="Zkladntext"/>
              <w:spacing w:after="0"/>
              <w:rPr>
                <w:rFonts w:ascii="Arial" w:hAnsi="Arial" w:cs="Arial"/>
              </w:rPr>
            </w:pPr>
          </w:p>
        </w:tc>
      </w:tr>
      <w:tr w:rsidR="006031D6" w:rsidRPr="006031D6" w14:paraId="1FEA0C7E"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6FC3FAEB" w14:textId="77777777" w:rsidR="006031D6" w:rsidRPr="006031D6" w:rsidRDefault="006031D6" w:rsidP="006031D6">
            <w:pPr>
              <w:pStyle w:val="Texttabulky"/>
              <w:spacing w:after="0" w:line="240" w:lineRule="atLeast"/>
              <w:rPr>
                <w:rFonts w:cs="Arial"/>
              </w:rPr>
            </w:pPr>
            <w:r w:rsidRPr="006031D6">
              <w:rPr>
                <w:rFonts w:cs="Arial"/>
              </w:rPr>
              <w:t>Bynov N.Ves</w:t>
            </w:r>
          </w:p>
        </w:tc>
        <w:tc>
          <w:tcPr>
            <w:tcW w:w="1440" w:type="dxa"/>
            <w:tcBorders>
              <w:top w:val="single" w:sz="6" w:space="0" w:color="auto"/>
              <w:left w:val="single" w:sz="6" w:space="0" w:color="auto"/>
              <w:bottom w:val="single" w:sz="6" w:space="0" w:color="auto"/>
              <w:right w:val="single" w:sz="6" w:space="0" w:color="auto"/>
            </w:tcBorders>
          </w:tcPr>
          <w:p w14:paraId="4C7DFBF0" w14:textId="77777777" w:rsidR="006031D6" w:rsidRPr="006031D6" w:rsidRDefault="006031D6" w:rsidP="006031D6">
            <w:pPr>
              <w:pStyle w:val="Texttabulky"/>
              <w:spacing w:after="0" w:line="240" w:lineRule="atLeast"/>
              <w:rPr>
                <w:rFonts w:cs="Arial"/>
              </w:rPr>
            </w:pPr>
            <w:r w:rsidRPr="006031D6">
              <w:rPr>
                <w:rFonts w:cs="Arial"/>
              </w:rPr>
              <w:t>0,6</w:t>
            </w:r>
          </w:p>
        </w:tc>
        <w:tc>
          <w:tcPr>
            <w:tcW w:w="1009" w:type="dxa"/>
            <w:tcBorders>
              <w:top w:val="single" w:sz="6" w:space="0" w:color="auto"/>
              <w:left w:val="single" w:sz="6" w:space="0" w:color="auto"/>
              <w:bottom w:val="single" w:sz="6" w:space="0" w:color="auto"/>
              <w:right w:val="single" w:sz="6" w:space="0" w:color="auto"/>
            </w:tcBorders>
          </w:tcPr>
          <w:p w14:paraId="1836F5B0" w14:textId="77777777" w:rsidR="006031D6" w:rsidRPr="006031D6" w:rsidRDefault="006031D6" w:rsidP="006031D6">
            <w:pPr>
              <w:pStyle w:val="Texttabulky"/>
              <w:spacing w:after="0" w:line="240" w:lineRule="atLeast"/>
              <w:rPr>
                <w:rFonts w:cs="Arial"/>
              </w:rPr>
            </w:pPr>
            <w:r w:rsidRPr="006031D6">
              <w:rPr>
                <w:rFonts w:cs="Arial"/>
              </w:rPr>
              <w:t>0,85</w:t>
            </w:r>
          </w:p>
        </w:tc>
        <w:tc>
          <w:tcPr>
            <w:tcW w:w="1228" w:type="dxa"/>
            <w:tcBorders>
              <w:top w:val="single" w:sz="6" w:space="0" w:color="auto"/>
              <w:left w:val="single" w:sz="6" w:space="0" w:color="auto"/>
              <w:bottom w:val="single" w:sz="6" w:space="0" w:color="auto"/>
              <w:right w:val="single" w:sz="6" w:space="0" w:color="auto"/>
            </w:tcBorders>
          </w:tcPr>
          <w:p w14:paraId="0F7C3011" w14:textId="77777777" w:rsidR="006031D6" w:rsidRPr="006031D6" w:rsidRDefault="006031D6" w:rsidP="006031D6">
            <w:pPr>
              <w:pStyle w:val="Texttabulky"/>
              <w:spacing w:after="0" w:line="240" w:lineRule="atLeast"/>
              <w:rPr>
                <w:rFonts w:cs="Arial"/>
              </w:rPr>
            </w:pPr>
            <w:r w:rsidRPr="006031D6">
              <w:rPr>
                <w:rFonts w:cs="Arial"/>
              </w:rPr>
              <w:t>1,1</w:t>
            </w:r>
          </w:p>
        </w:tc>
        <w:tc>
          <w:tcPr>
            <w:tcW w:w="865" w:type="dxa"/>
            <w:tcBorders>
              <w:top w:val="single" w:sz="6" w:space="0" w:color="auto"/>
              <w:left w:val="single" w:sz="6" w:space="0" w:color="auto"/>
              <w:bottom w:val="single" w:sz="6" w:space="0" w:color="auto"/>
              <w:right w:val="single" w:sz="6" w:space="0" w:color="auto"/>
            </w:tcBorders>
          </w:tcPr>
          <w:p w14:paraId="2A4CA876"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59E777C1" w14:textId="77777777" w:rsidR="006031D6" w:rsidRPr="006031D6" w:rsidRDefault="006031D6" w:rsidP="006031D6">
            <w:pPr>
              <w:pStyle w:val="Zkladntext"/>
              <w:spacing w:after="0"/>
              <w:rPr>
                <w:rFonts w:ascii="Arial" w:hAnsi="Arial" w:cs="Arial"/>
              </w:rPr>
            </w:pPr>
          </w:p>
        </w:tc>
      </w:tr>
      <w:tr w:rsidR="006031D6" w:rsidRPr="006031D6" w14:paraId="5C0F250A"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0EE0E65" w14:textId="77777777" w:rsidR="006031D6" w:rsidRPr="006031D6" w:rsidRDefault="006031D6" w:rsidP="006031D6">
            <w:pPr>
              <w:pStyle w:val="Texttabulky"/>
              <w:spacing w:after="0" w:line="240" w:lineRule="atLeast"/>
              <w:rPr>
                <w:rFonts w:cs="Arial"/>
              </w:rPr>
            </w:pPr>
            <w:r w:rsidRPr="006031D6">
              <w:rPr>
                <w:rFonts w:cs="Arial"/>
              </w:rPr>
              <w:t>Bynov stř.pásmo</w:t>
            </w:r>
          </w:p>
        </w:tc>
        <w:tc>
          <w:tcPr>
            <w:tcW w:w="1440" w:type="dxa"/>
            <w:tcBorders>
              <w:top w:val="single" w:sz="6" w:space="0" w:color="auto"/>
              <w:left w:val="single" w:sz="6" w:space="0" w:color="auto"/>
              <w:bottom w:val="single" w:sz="6" w:space="0" w:color="auto"/>
              <w:right w:val="single" w:sz="6" w:space="0" w:color="auto"/>
            </w:tcBorders>
          </w:tcPr>
          <w:p w14:paraId="77AB239C" w14:textId="77777777" w:rsidR="006031D6" w:rsidRPr="006031D6" w:rsidRDefault="006031D6" w:rsidP="006031D6">
            <w:pPr>
              <w:pStyle w:val="Texttabulky"/>
              <w:spacing w:after="0" w:line="240" w:lineRule="atLeast"/>
              <w:rPr>
                <w:rFonts w:cs="Arial"/>
              </w:rPr>
            </w:pPr>
            <w:r w:rsidRPr="006031D6">
              <w:rPr>
                <w:rFonts w:cs="Arial"/>
              </w:rPr>
              <w:t>1</w:t>
            </w:r>
          </w:p>
        </w:tc>
        <w:tc>
          <w:tcPr>
            <w:tcW w:w="1009" w:type="dxa"/>
            <w:tcBorders>
              <w:top w:val="single" w:sz="6" w:space="0" w:color="auto"/>
              <w:left w:val="single" w:sz="6" w:space="0" w:color="auto"/>
              <w:bottom w:val="single" w:sz="6" w:space="0" w:color="auto"/>
              <w:right w:val="single" w:sz="6" w:space="0" w:color="auto"/>
            </w:tcBorders>
          </w:tcPr>
          <w:p w14:paraId="7B821FAA" w14:textId="77777777" w:rsidR="006031D6" w:rsidRPr="006031D6" w:rsidRDefault="006031D6" w:rsidP="006031D6">
            <w:pPr>
              <w:pStyle w:val="Texttabulky"/>
              <w:spacing w:after="0" w:line="240" w:lineRule="atLeast"/>
              <w:rPr>
                <w:rFonts w:cs="Arial"/>
              </w:rPr>
            </w:pPr>
            <w:r w:rsidRPr="006031D6">
              <w:rPr>
                <w:rFonts w:cs="Arial"/>
              </w:rPr>
              <w:t>1,2</w:t>
            </w:r>
          </w:p>
        </w:tc>
        <w:tc>
          <w:tcPr>
            <w:tcW w:w="1228" w:type="dxa"/>
            <w:tcBorders>
              <w:top w:val="single" w:sz="6" w:space="0" w:color="auto"/>
              <w:left w:val="single" w:sz="6" w:space="0" w:color="auto"/>
              <w:bottom w:val="single" w:sz="6" w:space="0" w:color="auto"/>
              <w:right w:val="single" w:sz="6" w:space="0" w:color="auto"/>
            </w:tcBorders>
          </w:tcPr>
          <w:p w14:paraId="4A05B0AC" w14:textId="77777777" w:rsidR="006031D6" w:rsidRPr="006031D6" w:rsidRDefault="006031D6" w:rsidP="006031D6">
            <w:pPr>
              <w:pStyle w:val="Texttabulky"/>
              <w:spacing w:after="0" w:line="240" w:lineRule="atLeast"/>
              <w:rPr>
                <w:rFonts w:cs="Arial"/>
              </w:rPr>
            </w:pPr>
            <w:r w:rsidRPr="006031D6">
              <w:rPr>
                <w:rFonts w:cs="Arial"/>
              </w:rPr>
              <w:t>1,8</w:t>
            </w:r>
          </w:p>
        </w:tc>
        <w:tc>
          <w:tcPr>
            <w:tcW w:w="865" w:type="dxa"/>
            <w:tcBorders>
              <w:top w:val="single" w:sz="6" w:space="0" w:color="auto"/>
              <w:left w:val="single" w:sz="6" w:space="0" w:color="auto"/>
              <w:bottom w:val="single" w:sz="6" w:space="0" w:color="auto"/>
              <w:right w:val="single" w:sz="6" w:space="0" w:color="auto"/>
            </w:tcBorders>
          </w:tcPr>
          <w:p w14:paraId="57579053"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554891D3" w14:textId="77777777" w:rsidR="006031D6" w:rsidRPr="006031D6" w:rsidRDefault="006031D6" w:rsidP="006031D6">
            <w:pPr>
              <w:pStyle w:val="Zkladntext"/>
              <w:spacing w:after="0"/>
              <w:rPr>
                <w:rFonts w:ascii="Arial" w:hAnsi="Arial" w:cs="Arial"/>
              </w:rPr>
            </w:pPr>
          </w:p>
        </w:tc>
      </w:tr>
      <w:tr w:rsidR="006031D6" w:rsidRPr="006031D6" w14:paraId="3E621547"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4C0CE539" w14:textId="77777777" w:rsidR="006031D6" w:rsidRPr="006031D6" w:rsidRDefault="006031D6" w:rsidP="006031D6">
            <w:pPr>
              <w:pStyle w:val="Texttabulky"/>
              <w:spacing w:after="0" w:line="240" w:lineRule="atLeast"/>
              <w:rPr>
                <w:rFonts w:cs="Arial"/>
              </w:rPr>
            </w:pPr>
            <w:r w:rsidRPr="006031D6">
              <w:rPr>
                <w:rFonts w:cs="Arial"/>
              </w:rPr>
              <w:t>Vilsnice</w:t>
            </w:r>
          </w:p>
        </w:tc>
        <w:tc>
          <w:tcPr>
            <w:tcW w:w="1440" w:type="dxa"/>
            <w:tcBorders>
              <w:top w:val="single" w:sz="6" w:space="0" w:color="auto"/>
              <w:left w:val="single" w:sz="6" w:space="0" w:color="auto"/>
              <w:bottom w:val="single" w:sz="6" w:space="0" w:color="auto"/>
              <w:right w:val="single" w:sz="6" w:space="0" w:color="auto"/>
            </w:tcBorders>
          </w:tcPr>
          <w:p w14:paraId="25C28776" w14:textId="77777777" w:rsidR="006031D6" w:rsidRPr="006031D6" w:rsidRDefault="006031D6" w:rsidP="006031D6">
            <w:pPr>
              <w:pStyle w:val="Texttabulky"/>
              <w:spacing w:after="0" w:line="240" w:lineRule="atLeast"/>
              <w:rPr>
                <w:rFonts w:cs="Arial"/>
              </w:rPr>
            </w:pPr>
            <w:r w:rsidRPr="006031D6">
              <w:rPr>
                <w:rFonts w:cs="Arial"/>
              </w:rPr>
              <w:t>1,1</w:t>
            </w:r>
          </w:p>
        </w:tc>
        <w:tc>
          <w:tcPr>
            <w:tcW w:w="1009" w:type="dxa"/>
            <w:tcBorders>
              <w:top w:val="single" w:sz="6" w:space="0" w:color="auto"/>
              <w:left w:val="single" w:sz="6" w:space="0" w:color="auto"/>
              <w:bottom w:val="single" w:sz="6" w:space="0" w:color="auto"/>
              <w:right w:val="single" w:sz="6" w:space="0" w:color="auto"/>
            </w:tcBorders>
          </w:tcPr>
          <w:p w14:paraId="32D385D8" w14:textId="77777777" w:rsidR="006031D6" w:rsidRPr="006031D6" w:rsidRDefault="006031D6" w:rsidP="006031D6">
            <w:pPr>
              <w:pStyle w:val="Texttabulky"/>
              <w:spacing w:after="0" w:line="240" w:lineRule="atLeast"/>
              <w:rPr>
                <w:rFonts w:cs="Arial"/>
              </w:rPr>
            </w:pPr>
            <w:r w:rsidRPr="006031D6">
              <w:rPr>
                <w:rFonts w:cs="Arial"/>
              </w:rPr>
              <w:t>1,6</w:t>
            </w:r>
          </w:p>
        </w:tc>
        <w:tc>
          <w:tcPr>
            <w:tcW w:w="1228" w:type="dxa"/>
            <w:tcBorders>
              <w:top w:val="single" w:sz="6" w:space="0" w:color="auto"/>
              <w:left w:val="single" w:sz="6" w:space="0" w:color="auto"/>
              <w:bottom w:val="single" w:sz="6" w:space="0" w:color="auto"/>
              <w:right w:val="single" w:sz="6" w:space="0" w:color="auto"/>
            </w:tcBorders>
          </w:tcPr>
          <w:p w14:paraId="77C29059" w14:textId="77777777" w:rsidR="006031D6" w:rsidRPr="006031D6" w:rsidRDefault="006031D6" w:rsidP="006031D6">
            <w:pPr>
              <w:pStyle w:val="Texttabulky"/>
              <w:spacing w:after="0" w:line="240" w:lineRule="atLeast"/>
              <w:rPr>
                <w:rFonts w:cs="Arial"/>
              </w:rPr>
            </w:pPr>
            <w:r w:rsidRPr="006031D6">
              <w:rPr>
                <w:rFonts w:cs="Arial"/>
              </w:rPr>
              <w:t>3,5</w:t>
            </w:r>
          </w:p>
        </w:tc>
        <w:tc>
          <w:tcPr>
            <w:tcW w:w="865" w:type="dxa"/>
            <w:tcBorders>
              <w:top w:val="single" w:sz="6" w:space="0" w:color="auto"/>
              <w:left w:val="single" w:sz="6" w:space="0" w:color="auto"/>
              <w:bottom w:val="single" w:sz="6" w:space="0" w:color="auto"/>
              <w:right w:val="single" w:sz="6" w:space="0" w:color="auto"/>
            </w:tcBorders>
          </w:tcPr>
          <w:p w14:paraId="7E28A136"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77BD909F" w14:textId="77777777" w:rsidR="006031D6" w:rsidRPr="006031D6" w:rsidRDefault="006031D6" w:rsidP="006031D6">
            <w:pPr>
              <w:pStyle w:val="Zkladntext"/>
              <w:spacing w:after="0"/>
              <w:rPr>
                <w:rFonts w:ascii="Arial" w:hAnsi="Arial" w:cs="Arial"/>
              </w:rPr>
            </w:pPr>
          </w:p>
        </w:tc>
      </w:tr>
      <w:tr w:rsidR="006031D6" w:rsidRPr="006031D6" w14:paraId="51F7052C"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53D725D3" w14:textId="77777777" w:rsidR="006031D6" w:rsidRPr="006031D6" w:rsidRDefault="006031D6" w:rsidP="006031D6">
            <w:pPr>
              <w:pStyle w:val="Texttabulky"/>
              <w:spacing w:after="0" w:line="240" w:lineRule="atLeast"/>
              <w:rPr>
                <w:rFonts w:cs="Arial"/>
              </w:rPr>
            </w:pPr>
            <w:r w:rsidRPr="006031D6">
              <w:rPr>
                <w:rFonts w:cs="Arial"/>
              </w:rPr>
              <w:t>Jalůvčí</w:t>
            </w:r>
          </w:p>
        </w:tc>
        <w:tc>
          <w:tcPr>
            <w:tcW w:w="1440" w:type="dxa"/>
            <w:tcBorders>
              <w:top w:val="single" w:sz="6" w:space="0" w:color="auto"/>
              <w:left w:val="single" w:sz="6" w:space="0" w:color="auto"/>
              <w:bottom w:val="single" w:sz="6" w:space="0" w:color="auto"/>
              <w:right w:val="single" w:sz="6" w:space="0" w:color="auto"/>
            </w:tcBorders>
          </w:tcPr>
          <w:p w14:paraId="7FD2F21B" w14:textId="77777777" w:rsidR="006031D6" w:rsidRPr="006031D6" w:rsidRDefault="006031D6" w:rsidP="006031D6">
            <w:pPr>
              <w:pStyle w:val="Texttabulky"/>
              <w:spacing w:after="0" w:line="240" w:lineRule="atLeast"/>
              <w:rPr>
                <w:rFonts w:cs="Arial"/>
              </w:rPr>
            </w:pPr>
            <w:r w:rsidRPr="006031D6">
              <w:rPr>
                <w:rFonts w:cs="Arial"/>
              </w:rPr>
              <w:t>0,4</w:t>
            </w:r>
          </w:p>
        </w:tc>
        <w:tc>
          <w:tcPr>
            <w:tcW w:w="1009" w:type="dxa"/>
            <w:tcBorders>
              <w:top w:val="single" w:sz="6" w:space="0" w:color="auto"/>
              <w:left w:val="single" w:sz="6" w:space="0" w:color="auto"/>
              <w:bottom w:val="single" w:sz="6" w:space="0" w:color="auto"/>
              <w:right w:val="single" w:sz="6" w:space="0" w:color="auto"/>
            </w:tcBorders>
          </w:tcPr>
          <w:p w14:paraId="5A9EE992" w14:textId="77777777" w:rsidR="006031D6" w:rsidRPr="006031D6" w:rsidRDefault="006031D6" w:rsidP="006031D6">
            <w:pPr>
              <w:pStyle w:val="Texttabulky"/>
              <w:spacing w:after="0" w:line="240" w:lineRule="atLeast"/>
              <w:rPr>
                <w:rFonts w:cs="Arial"/>
              </w:rPr>
            </w:pPr>
            <w:r w:rsidRPr="006031D6">
              <w:rPr>
                <w:rFonts w:cs="Arial"/>
              </w:rPr>
              <w:t>0,5</w:t>
            </w:r>
          </w:p>
        </w:tc>
        <w:tc>
          <w:tcPr>
            <w:tcW w:w="1228" w:type="dxa"/>
            <w:tcBorders>
              <w:top w:val="single" w:sz="6" w:space="0" w:color="auto"/>
              <w:left w:val="single" w:sz="6" w:space="0" w:color="auto"/>
              <w:bottom w:val="single" w:sz="6" w:space="0" w:color="auto"/>
              <w:right w:val="single" w:sz="6" w:space="0" w:color="auto"/>
            </w:tcBorders>
          </w:tcPr>
          <w:p w14:paraId="1D73784F" w14:textId="77777777" w:rsidR="006031D6" w:rsidRPr="006031D6" w:rsidRDefault="006031D6" w:rsidP="006031D6">
            <w:pPr>
              <w:pStyle w:val="Texttabulky"/>
              <w:spacing w:after="0" w:line="240" w:lineRule="atLeast"/>
              <w:rPr>
                <w:rFonts w:cs="Arial"/>
              </w:rPr>
            </w:pPr>
            <w:r w:rsidRPr="006031D6">
              <w:rPr>
                <w:rFonts w:cs="Arial"/>
              </w:rPr>
              <w:t>0,8</w:t>
            </w:r>
          </w:p>
        </w:tc>
        <w:tc>
          <w:tcPr>
            <w:tcW w:w="865" w:type="dxa"/>
            <w:tcBorders>
              <w:top w:val="single" w:sz="6" w:space="0" w:color="auto"/>
              <w:left w:val="single" w:sz="6" w:space="0" w:color="auto"/>
              <w:bottom w:val="single" w:sz="6" w:space="0" w:color="auto"/>
              <w:right w:val="single" w:sz="6" w:space="0" w:color="auto"/>
            </w:tcBorders>
          </w:tcPr>
          <w:p w14:paraId="71DB223F"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7EBDC9E3" w14:textId="77777777" w:rsidR="006031D6" w:rsidRPr="006031D6" w:rsidRDefault="006031D6" w:rsidP="006031D6">
            <w:pPr>
              <w:pStyle w:val="Zkladntext"/>
              <w:spacing w:after="0"/>
              <w:rPr>
                <w:rFonts w:ascii="Arial" w:hAnsi="Arial" w:cs="Arial"/>
              </w:rPr>
            </w:pPr>
          </w:p>
        </w:tc>
      </w:tr>
      <w:tr w:rsidR="006031D6" w:rsidRPr="006031D6" w14:paraId="6B1AD612"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0C8E3EA2" w14:textId="77777777" w:rsidR="006031D6" w:rsidRPr="006031D6" w:rsidRDefault="006031D6" w:rsidP="006031D6">
            <w:pPr>
              <w:pStyle w:val="Texttabulky"/>
              <w:spacing w:after="0" w:line="240" w:lineRule="atLeast"/>
              <w:rPr>
                <w:rFonts w:cs="Arial"/>
              </w:rPr>
            </w:pPr>
            <w:r w:rsidRPr="006031D6">
              <w:rPr>
                <w:rFonts w:cs="Arial"/>
              </w:rPr>
              <w:t>mezisoučet</w:t>
            </w:r>
          </w:p>
        </w:tc>
        <w:tc>
          <w:tcPr>
            <w:tcW w:w="1440" w:type="dxa"/>
            <w:tcBorders>
              <w:top w:val="single" w:sz="6" w:space="0" w:color="auto"/>
              <w:left w:val="single" w:sz="6" w:space="0" w:color="auto"/>
              <w:bottom w:val="single" w:sz="6" w:space="0" w:color="auto"/>
              <w:right w:val="single" w:sz="6" w:space="0" w:color="auto"/>
            </w:tcBorders>
          </w:tcPr>
          <w:p w14:paraId="48057191" w14:textId="77777777" w:rsidR="006031D6" w:rsidRPr="006031D6" w:rsidRDefault="006031D6" w:rsidP="006031D6">
            <w:pPr>
              <w:pStyle w:val="Texttabulky"/>
              <w:spacing w:after="0" w:line="240" w:lineRule="atLeast"/>
              <w:rPr>
                <w:rFonts w:cs="Arial"/>
              </w:rPr>
            </w:pPr>
            <w:r w:rsidRPr="006031D6">
              <w:rPr>
                <w:rFonts w:cs="Arial"/>
              </w:rPr>
              <w:t>10,8</w:t>
            </w:r>
          </w:p>
        </w:tc>
        <w:tc>
          <w:tcPr>
            <w:tcW w:w="1009" w:type="dxa"/>
            <w:tcBorders>
              <w:top w:val="single" w:sz="6" w:space="0" w:color="auto"/>
              <w:left w:val="single" w:sz="6" w:space="0" w:color="auto"/>
              <w:bottom w:val="single" w:sz="6" w:space="0" w:color="auto"/>
              <w:right w:val="single" w:sz="6" w:space="0" w:color="auto"/>
            </w:tcBorders>
          </w:tcPr>
          <w:p w14:paraId="13E2A1AB" w14:textId="77777777" w:rsidR="006031D6" w:rsidRPr="006031D6" w:rsidRDefault="006031D6" w:rsidP="006031D6">
            <w:pPr>
              <w:pStyle w:val="Texttabulky"/>
              <w:spacing w:after="0" w:line="240" w:lineRule="atLeast"/>
              <w:rPr>
                <w:rFonts w:cs="Arial"/>
              </w:rPr>
            </w:pPr>
            <w:r w:rsidRPr="006031D6">
              <w:rPr>
                <w:rFonts w:cs="Arial"/>
              </w:rPr>
              <w:t>16,45</w:t>
            </w:r>
          </w:p>
        </w:tc>
        <w:tc>
          <w:tcPr>
            <w:tcW w:w="1228" w:type="dxa"/>
            <w:tcBorders>
              <w:top w:val="single" w:sz="6" w:space="0" w:color="auto"/>
              <w:left w:val="single" w:sz="6" w:space="0" w:color="auto"/>
              <w:bottom w:val="single" w:sz="6" w:space="0" w:color="auto"/>
              <w:right w:val="single" w:sz="6" w:space="0" w:color="auto"/>
            </w:tcBorders>
          </w:tcPr>
          <w:p w14:paraId="7860D65D" w14:textId="77777777" w:rsidR="006031D6" w:rsidRPr="006031D6" w:rsidRDefault="006031D6" w:rsidP="006031D6">
            <w:pPr>
              <w:pStyle w:val="Texttabulky"/>
              <w:spacing w:after="0" w:line="240" w:lineRule="atLeast"/>
              <w:rPr>
                <w:rFonts w:cs="Arial"/>
              </w:rPr>
            </w:pPr>
            <w:r w:rsidRPr="006031D6">
              <w:rPr>
                <w:rFonts w:cs="Arial"/>
              </w:rPr>
              <w:t>24,2</w:t>
            </w:r>
          </w:p>
        </w:tc>
        <w:tc>
          <w:tcPr>
            <w:tcW w:w="865" w:type="dxa"/>
            <w:tcBorders>
              <w:top w:val="single" w:sz="6" w:space="0" w:color="auto"/>
              <w:left w:val="single" w:sz="6" w:space="0" w:color="auto"/>
              <w:bottom w:val="single" w:sz="6" w:space="0" w:color="auto"/>
              <w:right w:val="single" w:sz="6" w:space="0" w:color="auto"/>
            </w:tcBorders>
          </w:tcPr>
          <w:p w14:paraId="360CA54C"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1E2E23A9" w14:textId="77777777" w:rsidR="006031D6" w:rsidRPr="006031D6" w:rsidRDefault="006031D6" w:rsidP="006031D6">
            <w:pPr>
              <w:pStyle w:val="Zkladntext"/>
              <w:spacing w:after="0"/>
              <w:rPr>
                <w:rFonts w:ascii="Arial" w:hAnsi="Arial" w:cs="Arial"/>
              </w:rPr>
            </w:pPr>
          </w:p>
        </w:tc>
      </w:tr>
      <w:tr w:rsidR="006031D6" w:rsidRPr="006031D6" w14:paraId="0E07DA24"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F935BE8" w14:textId="77777777" w:rsidR="006031D6" w:rsidRPr="006031D6" w:rsidRDefault="006031D6" w:rsidP="006031D6">
            <w:pPr>
              <w:pStyle w:val="Texttabulky"/>
              <w:spacing w:after="0" w:line="240" w:lineRule="atLeast"/>
              <w:rPr>
                <w:rFonts w:cs="Arial"/>
              </w:rPr>
            </w:pPr>
            <w:r w:rsidRPr="006031D6">
              <w:rPr>
                <w:rFonts w:cs="Arial"/>
                <w:b/>
                <w:bCs/>
                <w:sz w:val="18"/>
                <w:szCs w:val="18"/>
              </w:rPr>
              <w:t>Celkem město</w:t>
            </w:r>
          </w:p>
        </w:tc>
        <w:tc>
          <w:tcPr>
            <w:tcW w:w="1440" w:type="dxa"/>
            <w:tcBorders>
              <w:top w:val="single" w:sz="6" w:space="0" w:color="auto"/>
              <w:left w:val="single" w:sz="6" w:space="0" w:color="auto"/>
              <w:bottom w:val="single" w:sz="6" w:space="0" w:color="auto"/>
              <w:right w:val="single" w:sz="6" w:space="0" w:color="auto"/>
            </w:tcBorders>
          </w:tcPr>
          <w:p w14:paraId="5339DEB9" w14:textId="77777777" w:rsidR="006031D6" w:rsidRPr="006031D6" w:rsidRDefault="006031D6" w:rsidP="006031D6">
            <w:pPr>
              <w:pStyle w:val="Texttabulky"/>
              <w:spacing w:after="0" w:line="240" w:lineRule="atLeast"/>
              <w:rPr>
                <w:rFonts w:cs="Arial"/>
              </w:rPr>
            </w:pPr>
            <w:r w:rsidRPr="006031D6">
              <w:rPr>
                <w:rFonts w:cs="Arial"/>
                <w:b/>
                <w:bCs/>
                <w:sz w:val="18"/>
                <w:szCs w:val="18"/>
              </w:rPr>
              <w:t>122</w:t>
            </w:r>
          </w:p>
        </w:tc>
        <w:tc>
          <w:tcPr>
            <w:tcW w:w="1009" w:type="dxa"/>
            <w:tcBorders>
              <w:top w:val="single" w:sz="6" w:space="0" w:color="auto"/>
              <w:left w:val="single" w:sz="6" w:space="0" w:color="auto"/>
              <w:bottom w:val="single" w:sz="6" w:space="0" w:color="auto"/>
              <w:right w:val="single" w:sz="6" w:space="0" w:color="auto"/>
            </w:tcBorders>
          </w:tcPr>
          <w:p w14:paraId="6E223A64" w14:textId="77777777" w:rsidR="006031D6" w:rsidRPr="006031D6" w:rsidRDefault="006031D6" w:rsidP="006031D6">
            <w:pPr>
              <w:pStyle w:val="Texttabulky"/>
              <w:spacing w:after="0" w:line="240" w:lineRule="atLeast"/>
              <w:rPr>
                <w:rFonts w:cs="Arial"/>
              </w:rPr>
            </w:pPr>
            <w:r w:rsidRPr="006031D6">
              <w:rPr>
                <w:rFonts w:cs="Arial"/>
                <w:b/>
                <w:bCs/>
                <w:sz w:val="18"/>
                <w:szCs w:val="18"/>
              </w:rPr>
              <w:t>142</w:t>
            </w:r>
          </w:p>
        </w:tc>
        <w:tc>
          <w:tcPr>
            <w:tcW w:w="1228" w:type="dxa"/>
            <w:tcBorders>
              <w:top w:val="single" w:sz="6" w:space="0" w:color="auto"/>
              <w:left w:val="single" w:sz="6" w:space="0" w:color="auto"/>
              <w:bottom w:val="single" w:sz="6" w:space="0" w:color="auto"/>
              <w:right w:val="single" w:sz="6" w:space="0" w:color="auto"/>
            </w:tcBorders>
          </w:tcPr>
          <w:p w14:paraId="322710B4" w14:textId="77777777" w:rsidR="006031D6" w:rsidRPr="006031D6" w:rsidRDefault="006031D6" w:rsidP="006031D6">
            <w:pPr>
              <w:pStyle w:val="Texttabulky"/>
              <w:spacing w:after="0" w:line="240" w:lineRule="atLeast"/>
              <w:rPr>
                <w:rFonts w:cs="Arial"/>
              </w:rPr>
            </w:pPr>
            <w:r w:rsidRPr="006031D6">
              <w:rPr>
                <w:rFonts w:cs="Arial"/>
                <w:b/>
                <w:bCs/>
                <w:sz w:val="18"/>
                <w:szCs w:val="18"/>
              </w:rPr>
              <w:t>183</w:t>
            </w:r>
          </w:p>
        </w:tc>
        <w:tc>
          <w:tcPr>
            <w:tcW w:w="865" w:type="dxa"/>
            <w:tcBorders>
              <w:top w:val="single" w:sz="6" w:space="0" w:color="auto"/>
              <w:left w:val="single" w:sz="6" w:space="0" w:color="auto"/>
              <w:bottom w:val="single" w:sz="6" w:space="0" w:color="auto"/>
              <w:right w:val="single" w:sz="6" w:space="0" w:color="auto"/>
            </w:tcBorders>
          </w:tcPr>
          <w:p w14:paraId="1FB8A554" w14:textId="77777777" w:rsidR="006031D6" w:rsidRPr="006031D6" w:rsidRDefault="006031D6" w:rsidP="006031D6">
            <w:pPr>
              <w:pStyle w:val="Texttabulky"/>
              <w:spacing w:after="0" w:line="240" w:lineRule="atLeast"/>
              <w:rPr>
                <w:rFonts w:cs="Arial"/>
              </w:rPr>
            </w:pPr>
            <w:r w:rsidRPr="006031D6">
              <w:rPr>
                <w:rFonts w:cs="Arial"/>
                <w:b/>
                <w:bCs/>
                <w:sz w:val="18"/>
                <w:szCs w:val="18"/>
              </w:rPr>
              <w:t>167</w:t>
            </w:r>
          </w:p>
        </w:tc>
        <w:tc>
          <w:tcPr>
            <w:tcW w:w="839" w:type="dxa"/>
            <w:tcBorders>
              <w:top w:val="single" w:sz="6" w:space="0" w:color="auto"/>
              <w:left w:val="single" w:sz="6" w:space="0" w:color="auto"/>
              <w:bottom w:val="single" w:sz="6" w:space="0" w:color="auto"/>
              <w:right w:val="single" w:sz="6" w:space="0" w:color="auto"/>
            </w:tcBorders>
          </w:tcPr>
          <w:p w14:paraId="09AB5C7D" w14:textId="77777777" w:rsidR="006031D6" w:rsidRPr="006031D6" w:rsidRDefault="006031D6" w:rsidP="006031D6">
            <w:pPr>
              <w:pStyle w:val="Texttabulky"/>
              <w:spacing w:after="0" w:line="240" w:lineRule="atLeast"/>
              <w:rPr>
                <w:rFonts w:cs="Arial"/>
              </w:rPr>
            </w:pPr>
            <w:r w:rsidRPr="006031D6">
              <w:rPr>
                <w:rFonts w:cs="Arial"/>
                <w:b/>
                <w:bCs/>
                <w:sz w:val="18"/>
                <w:szCs w:val="18"/>
              </w:rPr>
              <w:t>251</w:t>
            </w:r>
          </w:p>
        </w:tc>
      </w:tr>
      <w:tr w:rsidR="006031D6" w:rsidRPr="006031D6" w14:paraId="1635DD33" w14:textId="77777777" w:rsidTr="002D2D45">
        <w:trPr>
          <w:jc w:val="center"/>
        </w:trPr>
        <w:tc>
          <w:tcPr>
            <w:tcW w:w="7345" w:type="dxa"/>
            <w:gridSpan w:val="6"/>
            <w:tcBorders>
              <w:top w:val="single" w:sz="6" w:space="0" w:color="auto"/>
              <w:left w:val="single" w:sz="6" w:space="0" w:color="auto"/>
              <w:bottom w:val="single" w:sz="6" w:space="0" w:color="auto"/>
              <w:right w:val="single" w:sz="6" w:space="0" w:color="auto"/>
            </w:tcBorders>
          </w:tcPr>
          <w:p w14:paraId="5E48496E" w14:textId="77777777" w:rsidR="006031D6" w:rsidRPr="006031D6" w:rsidRDefault="006031D6" w:rsidP="006031D6">
            <w:pPr>
              <w:pStyle w:val="Zkladntext"/>
              <w:spacing w:after="0"/>
              <w:rPr>
                <w:rFonts w:ascii="Arial" w:hAnsi="Arial" w:cs="Arial"/>
              </w:rPr>
            </w:pPr>
            <w:r w:rsidRPr="006031D6">
              <w:rPr>
                <w:rFonts w:ascii="Arial" w:hAnsi="Arial" w:cs="Arial"/>
                <w:b/>
                <w:bCs/>
                <w:caps/>
                <w:sz w:val="18"/>
                <w:szCs w:val="18"/>
              </w:rPr>
              <w:t>V e n k o v</w:t>
            </w:r>
          </w:p>
        </w:tc>
      </w:tr>
      <w:tr w:rsidR="006031D6" w:rsidRPr="006031D6" w14:paraId="685600C2"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2B73B802" w14:textId="77777777" w:rsidR="006031D6" w:rsidRPr="006031D6" w:rsidRDefault="006031D6" w:rsidP="006031D6">
            <w:pPr>
              <w:pStyle w:val="Texttabulky"/>
              <w:spacing w:after="0" w:line="240" w:lineRule="atLeast"/>
              <w:rPr>
                <w:rFonts w:cs="Arial"/>
              </w:rPr>
            </w:pPr>
            <w:r w:rsidRPr="006031D6">
              <w:rPr>
                <w:rFonts w:cs="Arial"/>
                <w:b/>
                <w:bCs/>
              </w:rPr>
              <w:t>Boletice</w:t>
            </w:r>
          </w:p>
        </w:tc>
        <w:tc>
          <w:tcPr>
            <w:tcW w:w="1440" w:type="dxa"/>
            <w:tcBorders>
              <w:top w:val="single" w:sz="6" w:space="0" w:color="auto"/>
              <w:left w:val="single" w:sz="6" w:space="0" w:color="auto"/>
              <w:bottom w:val="single" w:sz="6" w:space="0" w:color="auto"/>
              <w:right w:val="single" w:sz="6" w:space="0" w:color="auto"/>
            </w:tcBorders>
          </w:tcPr>
          <w:p w14:paraId="1166ED56" w14:textId="77777777" w:rsidR="006031D6" w:rsidRPr="006031D6" w:rsidRDefault="006031D6" w:rsidP="006031D6">
            <w:pPr>
              <w:pStyle w:val="Zkladntext"/>
              <w:spacing w:after="0"/>
              <w:rPr>
                <w:rFonts w:ascii="Arial" w:hAnsi="Arial" w:cs="Arial"/>
              </w:rPr>
            </w:pPr>
          </w:p>
        </w:tc>
        <w:tc>
          <w:tcPr>
            <w:tcW w:w="1009" w:type="dxa"/>
            <w:tcBorders>
              <w:top w:val="single" w:sz="6" w:space="0" w:color="auto"/>
              <w:left w:val="single" w:sz="6" w:space="0" w:color="auto"/>
              <w:bottom w:val="single" w:sz="6" w:space="0" w:color="auto"/>
              <w:right w:val="single" w:sz="6" w:space="0" w:color="auto"/>
            </w:tcBorders>
          </w:tcPr>
          <w:p w14:paraId="34ABB018" w14:textId="77777777" w:rsidR="006031D6" w:rsidRPr="006031D6" w:rsidRDefault="006031D6" w:rsidP="006031D6">
            <w:pPr>
              <w:pStyle w:val="Zkladntext"/>
              <w:spacing w:after="0"/>
              <w:rPr>
                <w:rFonts w:ascii="Arial" w:hAnsi="Arial" w:cs="Arial"/>
              </w:rPr>
            </w:pPr>
          </w:p>
        </w:tc>
        <w:tc>
          <w:tcPr>
            <w:tcW w:w="1228" w:type="dxa"/>
            <w:tcBorders>
              <w:top w:val="single" w:sz="6" w:space="0" w:color="auto"/>
              <w:left w:val="single" w:sz="6" w:space="0" w:color="auto"/>
              <w:bottom w:val="single" w:sz="6" w:space="0" w:color="auto"/>
              <w:right w:val="single" w:sz="6" w:space="0" w:color="auto"/>
            </w:tcBorders>
          </w:tcPr>
          <w:p w14:paraId="398F56DF" w14:textId="77777777" w:rsidR="006031D6" w:rsidRPr="006031D6" w:rsidRDefault="006031D6" w:rsidP="006031D6">
            <w:pPr>
              <w:pStyle w:val="Zkladntext"/>
              <w:spacing w:after="0"/>
              <w:rPr>
                <w:rFonts w:ascii="Arial" w:hAnsi="Arial" w:cs="Arial"/>
              </w:rPr>
            </w:pPr>
          </w:p>
        </w:tc>
        <w:tc>
          <w:tcPr>
            <w:tcW w:w="865" w:type="dxa"/>
            <w:tcBorders>
              <w:top w:val="single" w:sz="6" w:space="0" w:color="auto"/>
              <w:left w:val="single" w:sz="6" w:space="0" w:color="auto"/>
              <w:bottom w:val="single" w:sz="6" w:space="0" w:color="auto"/>
              <w:right w:val="single" w:sz="6" w:space="0" w:color="auto"/>
            </w:tcBorders>
          </w:tcPr>
          <w:p w14:paraId="4B046DCC"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03F4FB36" w14:textId="77777777" w:rsidR="006031D6" w:rsidRPr="006031D6" w:rsidRDefault="006031D6" w:rsidP="006031D6">
            <w:pPr>
              <w:pStyle w:val="Zkladntext"/>
              <w:spacing w:after="0"/>
              <w:rPr>
                <w:rFonts w:ascii="Arial" w:hAnsi="Arial" w:cs="Arial"/>
              </w:rPr>
            </w:pPr>
          </w:p>
        </w:tc>
      </w:tr>
      <w:tr w:rsidR="006031D6" w:rsidRPr="006031D6" w14:paraId="6D9E3787"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466810E1" w14:textId="77777777" w:rsidR="006031D6" w:rsidRPr="006031D6" w:rsidRDefault="006031D6" w:rsidP="006031D6">
            <w:pPr>
              <w:pStyle w:val="Texttabulky"/>
              <w:spacing w:after="0" w:line="240" w:lineRule="atLeast"/>
              <w:rPr>
                <w:rFonts w:cs="Arial"/>
              </w:rPr>
            </w:pPr>
            <w:r w:rsidRPr="006031D6">
              <w:rPr>
                <w:rFonts w:cs="Arial"/>
              </w:rPr>
              <w:t>Pod Velení – Jasanka</w:t>
            </w:r>
          </w:p>
        </w:tc>
        <w:tc>
          <w:tcPr>
            <w:tcW w:w="1440" w:type="dxa"/>
            <w:tcBorders>
              <w:top w:val="single" w:sz="6" w:space="0" w:color="auto"/>
              <w:left w:val="single" w:sz="6" w:space="0" w:color="auto"/>
              <w:bottom w:val="single" w:sz="6" w:space="0" w:color="auto"/>
              <w:right w:val="single" w:sz="6" w:space="0" w:color="auto"/>
            </w:tcBorders>
          </w:tcPr>
          <w:p w14:paraId="215C71FD" w14:textId="77777777" w:rsidR="006031D6" w:rsidRPr="006031D6" w:rsidRDefault="006031D6" w:rsidP="006031D6">
            <w:pPr>
              <w:pStyle w:val="Texttabulky"/>
              <w:spacing w:after="0" w:line="240" w:lineRule="atLeast"/>
              <w:rPr>
                <w:rFonts w:cs="Arial"/>
              </w:rPr>
            </w:pPr>
            <w:r w:rsidRPr="006031D6">
              <w:rPr>
                <w:rFonts w:cs="Arial"/>
              </w:rPr>
              <w:t>1,2</w:t>
            </w:r>
          </w:p>
        </w:tc>
        <w:tc>
          <w:tcPr>
            <w:tcW w:w="1009" w:type="dxa"/>
            <w:tcBorders>
              <w:top w:val="single" w:sz="6" w:space="0" w:color="auto"/>
              <w:left w:val="single" w:sz="6" w:space="0" w:color="auto"/>
              <w:bottom w:val="single" w:sz="6" w:space="0" w:color="auto"/>
              <w:right w:val="single" w:sz="6" w:space="0" w:color="auto"/>
            </w:tcBorders>
          </w:tcPr>
          <w:p w14:paraId="728DC01D" w14:textId="77777777" w:rsidR="006031D6" w:rsidRPr="006031D6" w:rsidRDefault="006031D6" w:rsidP="006031D6">
            <w:pPr>
              <w:pStyle w:val="Texttabulky"/>
              <w:spacing w:after="0" w:line="240" w:lineRule="atLeast"/>
              <w:rPr>
                <w:rFonts w:cs="Arial"/>
              </w:rPr>
            </w:pPr>
            <w:r w:rsidRPr="006031D6">
              <w:rPr>
                <w:rFonts w:cs="Arial"/>
              </w:rPr>
              <w:t>1,5</w:t>
            </w:r>
          </w:p>
        </w:tc>
        <w:tc>
          <w:tcPr>
            <w:tcW w:w="1228" w:type="dxa"/>
            <w:tcBorders>
              <w:top w:val="single" w:sz="6" w:space="0" w:color="auto"/>
              <w:left w:val="single" w:sz="6" w:space="0" w:color="auto"/>
              <w:bottom w:val="single" w:sz="6" w:space="0" w:color="auto"/>
              <w:right w:val="single" w:sz="6" w:space="0" w:color="auto"/>
            </w:tcBorders>
          </w:tcPr>
          <w:p w14:paraId="43100422" w14:textId="77777777" w:rsidR="006031D6" w:rsidRPr="006031D6" w:rsidRDefault="006031D6" w:rsidP="006031D6">
            <w:pPr>
              <w:pStyle w:val="Texttabulky"/>
              <w:spacing w:after="0" w:line="240" w:lineRule="atLeast"/>
              <w:rPr>
                <w:rFonts w:cs="Arial"/>
              </w:rPr>
            </w:pPr>
            <w:r w:rsidRPr="006031D6">
              <w:rPr>
                <w:rFonts w:cs="Arial"/>
              </w:rPr>
              <w:t>2</w:t>
            </w:r>
          </w:p>
        </w:tc>
        <w:tc>
          <w:tcPr>
            <w:tcW w:w="865" w:type="dxa"/>
            <w:tcBorders>
              <w:top w:val="single" w:sz="6" w:space="0" w:color="auto"/>
              <w:left w:val="single" w:sz="6" w:space="0" w:color="auto"/>
              <w:bottom w:val="single" w:sz="6" w:space="0" w:color="auto"/>
              <w:right w:val="single" w:sz="6" w:space="0" w:color="auto"/>
            </w:tcBorders>
          </w:tcPr>
          <w:p w14:paraId="587B5FE5"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101AC257" w14:textId="77777777" w:rsidR="006031D6" w:rsidRPr="006031D6" w:rsidRDefault="006031D6" w:rsidP="006031D6">
            <w:pPr>
              <w:pStyle w:val="Zkladntext"/>
              <w:spacing w:after="0"/>
              <w:rPr>
                <w:rFonts w:ascii="Arial" w:hAnsi="Arial" w:cs="Arial"/>
              </w:rPr>
            </w:pPr>
          </w:p>
        </w:tc>
      </w:tr>
      <w:tr w:rsidR="006031D6" w:rsidRPr="006031D6" w14:paraId="54C83AAB"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69C53186" w14:textId="77777777" w:rsidR="006031D6" w:rsidRPr="006031D6" w:rsidRDefault="006031D6" w:rsidP="006031D6">
            <w:pPr>
              <w:pStyle w:val="Texttabulky"/>
              <w:spacing w:after="0" w:line="240" w:lineRule="atLeast"/>
              <w:rPr>
                <w:rFonts w:cs="Arial"/>
              </w:rPr>
            </w:pPr>
            <w:r w:rsidRPr="006031D6">
              <w:rPr>
                <w:rFonts w:cs="Arial"/>
              </w:rPr>
              <w:t>U Polanských</w:t>
            </w:r>
          </w:p>
        </w:tc>
        <w:tc>
          <w:tcPr>
            <w:tcW w:w="1440" w:type="dxa"/>
            <w:tcBorders>
              <w:top w:val="single" w:sz="6" w:space="0" w:color="auto"/>
              <w:left w:val="single" w:sz="6" w:space="0" w:color="auto"/>
              <w:bottom w:val="single" w:sz="6" w:space="0" w:color="auto"/>
              <w:right w:val="single" w:sz="6" w:space="0" w:color="auto"/>
            </w:tcBorders>
          </w:tcPr>
          <w:p w14:paraId="4D09C8B5" w14:textId="77777777" w:rsidR="006031D6" w:rsidRPr="006031D6" w:rsidRDefault="006031D6" w:rsidP="006031D6">
            <w:pPr>
              <w:pStyle w:val="Texttabulky"/>
              <w:spacing w:after="0" w:line="240" w:lineRule="atLeast"/>
              <w:rPr>
                <w:rFonts w:cs="Arial"/>
              </w:rPr>
            </w:pPr>
            <w:r w:rsidRPr="006031D6">
              <w:rPr>
                <w:rFonts w:cs="Arial"/>
              </w:rPr>
              <w:t>0,3</w:t>
            </w:r>
          </w:p>
        </w:tc>
        <w:tc>
          <w:tcPr>
            <w:tcW w:w="1009" w:type="dxa"/>
            <w:tcBorders>
              <w:top w:val="single" w:sz="6" w:space="0" w:color="auto"/>
              <w:left w:val="single" w:sz="6" w:space="0" w:color="auto"/>
              <w:bottom w:val="single" w:sz="6" w:space="0" w:color="auto"/>
              <w:right w:val="single" w:sz="6" w:space="0" w:color="auto"/>
            </w:tcBorders>
          </w:tcPr>
          <w:p w14:paraId="0B65983B" w14:textId="77777777" w:rsidR="006031D6" w:rsidRPr="006031D6" w:rsidRDefault="006031D6" w:rsidP="006031D6">
            <w:pPr>
              <w:pStyle w:val="Texttabulky"/>
              <w:spacing w:after="0" w:line="240" w:lineRule="atLeast"/>
              <w:rPr>
                <w:rFonts w:cs="Arial"/>
              </w:rPr>
            </w:pPr>
            <w:r w:rsidRPr="006031D6">
              <w:rPr>
                <w:rFonts w:cs="Arial"/>
              </w:rPr>
              <w:t>0,3</w:t>
            </w:r>
          </w:p>
        </w:tc>
        <w:tc>
          <w:tcPr>
            <w:tcW w:w="1228" w:type="dxa"/>
            <w:tcBorders>
              <w:top w:val="single" w:sz="6" w:space="0" w:color="auto"/>
              <w:left w:val="single" w:sz="6" w:space="0" w:color="auto"/>
              <w:bottom w:val="single" w:sz="6" w:space="0" w:color="auto"/>
              <w:right w:val="single" w:sz="6" w:space="0" w:color="auto"/>
            </w:tcBorders>
          </w:tcPr>
          <w:p w14:paraId="538DC60E" w14:textId="77777777" w:rsidR="006031D6" w:rsidRPr="006031D6" w:rsidRDefault="006031D6" w:rsidP="006031D6">
            <w:pPr>
              <w:pStyle w:val="Texttabulky"/>
              <w:spacing w:after="0" w:line="240" w:lineRule="atLeast"/>
              <w:rPr>
                <w:rFonts w:cs="Arial"/>
              </w:rPr>
            </w:pPr>
            <w:r w:rsidRPr="006031D6">
              <w:rPr>
                <w:rFonts w:cs="Arial"/>
              </w:rPr>
              <w:t>0,3</w:t>
            </w:r>
          </w:p>
        </w:tc>
        <w:tc>
          <w:tcPr>
            <w:tcW w:w="865" w:type="dxa"/>
            <w:tcBorders>
              <w:top w:val="single" w:sz="6" w:space="0" w:color="auto"/>
              <w:left w:val="single" w:sz="6" w:space="0" w:color="auto"/>
              <w:bottom w:val="single" w:sz="6" w:space="0" w:color="auto"/>
              <w:right w:val="single" w:sz="6" w:space="0" w:color="auto"/>
            </w:tcBorders>
          </w:tcPr>
          <w:p w14:paraId="00F3F0E4"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296CFA3A" w14:textId="77777777" w:rsidR="006031D6" w:rsidRPr="006031D6" w:rsidRDefault="006031D6" w:rsidP="006031D6">
            <w:pPr>
              <w:pStyle w:val="Zkladntext"/>
              <w:spacing w:after="0"/>
              <w:rPr>
                <w:rFonts w:ascii="Arial" w:hAnsi="Arial" w:cs="Arial"/>
              </w:rPr>
            </w:pPr>
          </w:p>
        </w:tc>
      </w:tr>
      <w:tr w:rsidR="006031D6" w:rsidRPr="006031D6" w14:paraId="5AB73AB1"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207F8EEC" w14:textId="77777777" w:rsidR="006031D6" w:rsidRPr="006031D6" w:rsidRDefault="006031D6" w:rsidP="006031D6">
            <w:pPr>
              <w:pStyle w:val="Texttabulky"/>
              <w:spacing w:after="0" w:line="240" w:lineRule="atLeast"/>
              <w:rPr>
                <w:rFonts w:cs="Arial"/>
              </w:rPr>
            </w:pPr>
            <w:r w:rsidRPr="006031D6">
              <w:rPr>
                <w:rFonts w:cs="Arial"/>
              </w:rPr>
              <w:t>Lesní Mlýn</w:t>
            </w:r>
          </w:p>
        </w:tc>
        <w:tc>
          <w:tcPr>
            <w:tcW w:w="1440" w:type="dxa"/>
            <w:tcBorders>
              <w:top w:val="single" w:sz="6" w:space="0" w:color="auto"/>
              <w:left w:val="single" w:sz="6" w:space="0" w:color="auto"/>
              <w:bottom w:val="single" w:sz="6" w:space="0" w:color="auto"/>
              <w:right w:val="single" w:sz="6" w:space="0" w:color="auto"/>
            </w:tcBorders>
          </w:tcPr>
          <w:p w14:paraId="589AB8F8" w14:textId="77777777" w:rsidR="006031D6" w:rsidRPr="006031D6" w:rsidRDefault="006031D6" w:rsidP="006031D6">
            <w:pPr>
              <w:pStyle w:val="Texttabulky"/>
              <w:spacing w:after="0" w:line="240" w:lineRule="atLeast"/>
              <w:rPr>
                <w:rFonts w:cs="Arial"/>
              </w:rPr>
            </w:pPr>
            <w:r w:rsidRPr="006031D6">
              <w:rPr>
                <w:rFonts w:cs="Arial"/>
              </w:rPr>
              <w:t>0,7</w:t>
            </w:r>
          </w:p>
        </w:tc>
        <w:tc>
          <w:tcPr>
            <w:tcW w:w="1009" w:type="dxa"/>
            <w:tcBorders>
              <w:top w:val="single" w:sz="6" w:space="0" w:color="auto"/>
              <w:left w:val="single" w:sz="6" w:space="0" w:color="auto"/>
              <w:bottom w:val="single" w:sz="6" w:space="0" w:color="auto"/>
              <w:right w:val="single" w:sz="6" w:space="0" w:color="auto"/>
            </w:tcBorders>
          </w:tcPr>
          <w:p w14:paraId="42B6D5A4" w14:textId="77777777" w:rsidR="006031D6" w:rsidRPr="006031D6" w:rsidRDefault="006031D6" w:rsidP="006031D6">
            <w:pPr>
              <w:pStyle w:val="Texttabulky"/>
              <w:spacing w:after="0" w:line="240" w:lineRule="atLeast"/>
              <w:rPr>
                <w:rFonts w:cs="Arial"/>
              </w:rPr>
            </w:pPr>
            <w:r w:rsidRPr="006031D6">
              <w:rPr>
                <w:rFonts w:cs="Arial"/>
              </w:rPr>
              <w:t>0,8</w:t>
            </w:r>
          </w:p>
        </w:tc>
        <w:tc>
          <w:tcPr>
            <w:tcW w:w="1228" w:type="dxa"/>
            <w:tcBorders>
              <w:top w:val="single" w:sz="6" w:space="0" w:color="auto"/>
              <w:left w:val="single" w:sz="6" w:space="0" w:color="auto"/>
              <w:bottom w:val="single" w:sz="6" w:space="0" w:color="auto"/>
              <w:right w:val="single" w:sz="6" w:space="0" w:color="auto"/>
            </w:tcBorders>
          </w:tcPr>
          <w:p w14:paraId="7B2EBC5B" w14:textId="77777777" w:rsidR="006031D6" w:rsidRPr="006031D6" w:rsidRDefault="006031D6" w:rsidP="006031D6">
            <w:pPr>
              <w:pStyle w:val="Texttabulky"/>
              <w:spacing w:after="0" w:line="240" w:lineRule="atLeast"/>
              <w:rPr>
                <w:rFonts w:cs="Arial"/>
              </w:rPr>
            </w:pPr>
            <w:r w:rsidRPr="006031D6">
              <w:rPr>
                <w:rFonts w:cs="Arial"/>
              </w:rPr>
              <w:t>1</w:t>
            </w:r>
          </w:p>
        </w:tc>
        <w:tc>
          <w:tcPr>
            <w:tcW w:w="865" w:type="dxa"/>
            <w:tcBorders>
              <w:top w:val="single" w:sz="6" w:space="0" w:color="auto"/>
              <w:left w:val="single" w:sz="6" w:space="0" w:color="auto"/>
              <w:bottom w:val="single" w:sz="6" w:space="0" w:color="auto"/>
              <w:right w:val="single" w:sz="6" w:space="0" w:color="auto"/>
            </w:tcBorders>
          </w:tcPr>
          <w:p w14:paraId="4AFCEFB6"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6484EE4F" w14:textId="77777777" w:rsidR="006031D6" w:rsidRPr="006031D6" w:rsidRDefault="006031D6" w:rsidP="006031D6">
            <w:pPr>
              <w:pStyle w:val="Zkladntext"/>
              <w:spacing w:after="0"/>
              <w:rPr>
                <w:rFonts w:ascii="Arial" w:hAnsi="Arial" w:cs="Arial"/>
              </w:rPr>
            </w:pPr>
          </w:p>
        </w:tc>
      </w:tr>
      <w:tr w:rsidR="006031D6" w:rsidRPr="006031D6" w14:paraId="0E53A10B"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42538B04" w14:textId="77777777" w:rsidR="006031D6" w:rsidRPr="006031D6" w:rsidRDefault="006031D6" w:rsidP="006031D6">
            <w:pPr>
              <w:pStyle w:val="Texttabulky"/>
              <w:spacing w:after="0" w:line="240" w:lineRule="atLeast"/>
              <w:rPr>
                <w:rFonts w:cs="Arial"/>
              </w:rPr>
            </w:pPr>
            <w:r w:rsidRPr="006031D6">
              <w:rPr>
                <w:rFonts w:cs="Arial"/>
              </w:rPr>
              <w:t>Nad Němcem</w:t>
            </w:r>
          </w:p>
        </w:tc>
        <w:tc>
          <w:tcPr>
            <w:tcW w:w="1440" w:type="dxa"/>
            <w:tcBorders>
              <w:top w:val="single" w:sz="6" w:space="0" w:color="auto"/>
              <w:left w:val="single" w:sz="6" w:space="0" w:color="auto"/>
              <w:bottom w:val="single" w:sz="6" w:space="0" w:color="auto"/>
              <w:right w:val="single" w:sz="6" w:space="0" w:color="auto"/>
            </w:tcBorders>
          </w:tcPr>
          <w:p w14:paraId="1A08F5D1" w14:textId="77777777" w:rsidR="006031D6" w:rsidRPr="006031D6" w:rsidRDefault="006031D6" w:rsidP="006031D6">
            <w:pPr>
              <w:pStyle w:val="Texttabulky"/>
              <w:spacing w:after="0" w:line="240" w:lineRule="atLeast"/>
              <w:rPr>
                <w:rFonts w:cs="Arial"/>
              </w:rPr>
            </w:pPr>
            <w:r w:rsidRPr="006031D6">
              <w:rPr>
                <w:rFonts w:cs="Arial"/>
              </w:rPr>
              <w:t>0,7</w:t>
            </w:r>
          </w:p>
        </w:tc>
        <w:tc>
          <w:tcPr>
            <w:tcW w:w="1009" w:type="dxa"/>
            <w:tcBorders>
              <w:top w:val="single" w:sz="6" w:space="0" w:color="auto"/>
              <w:left w:val="single" w:sz="6" w:space="0" w:color="auto"/>
              <w:bottom w:val="single" w:sz="6" w:space="0" w:color="auto"/>
              <w:right w:val="single" w:sz="6" w:space="0" w:color="auto"/>
            </w:tcBorders>
          </w:tcPr>
          <w:p w14:paraId="64CB12D6" w14:textId="77777777" w:rsidR="006031D6" w:rsidRPr="006031D6" w:rsidRDefault="006031D6" w:rsidP="006031D6">
            <w:pPr>
              <w:pStyle w:val="Texttabulky"/>
              <w:spacing w:after="0" w:line="240" w:lineRule="atLeast"/>
              <w:rPr>
                <w:rFonts w:cs="Arial"/>
              </w:rPr>
            </w:pPr>
            <w:r w:rsidRPr="006031D6">
              <w:rPr>
                <w:rFonts w:cs="Arial"/>
              </w:rPr>
              <w:t>1</w:t>
            </w:r>
          </w:p>
        </w:tc>
        <w:tc>
          <w:tcPr>
            <w:tcW w:w="1228" w:type="dxa"/>
            <w:tcBorders>
              <w:top w:val="single" w:sz="6" w:space="0" w:color="auto"/>
              <w:left w:val="single" w:sz="6" w:space="0" w:color="auto"/>
              <w:bottom w:val="single" w:sz="6" w:space="0" w:color="auto"/>
              <w:right w:val="single" w:sz="6" w:space="0" w:color="auto"/>
            </w:tcBorders>
          </w:tcPr>
          <w:p w14:paraId="5D9E999F" w14:textId="77777777" w:rsidR="006031D6" w:rsidRPr="006031D6" w:rsidRDefault="006031D6" w:rsidP="006031D6">
            <w:pPr>
              <w:pStyle w:val="Texttabulky"/>
              <w:spacing w:after="0" w:line="240" w:lineRule="atLeast"/>
              <w:rPr>
                <w:rFonts w:cs="Arial"/>
              </w:rPr>
            </w:pPr>
            <w:r w:rsidRPr="006031D6">
              <w:rPr>
                <w:rFonts w:cs="Arial"/>
              </w:rPr>
              <w:t>1,7</w:t>
            </w:r>
          </w:p>
        </w:tc>
        <w:tc>
          <w:tcPr>
            <w:tcW w:w="865" w:type="dxa"/>
            <w:tcBorders>
              <w:top w:val="single" w:sz="6" w:space="0" w:color="auto"/>
              <w:left w:val="single" w:sz="6" w:space="0" w:color="auto"/>
              <w:bottom w:val="single" w:sz="6" w:space="0" w:color="auto"/>
              <w:right w:val="single" w:sz="6" w:space="0" w:color="auto"/>
            </w:tcBorders>
          </w:tcPr>
          <w:p w14:paraId="28784899"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2985D546" w14:textId="77777777" w:rsidR="006031D6" w:rsidRPr="006031D6" w:rsidRDefault="006031D6" w:rsidP="006031D6">
            <w:pPr>
              <w:pStyle w:val="Zkladntext"/>
              <w:spacing w:after="0"/>
              <w:rPr>
                <w:rFonts w:ascii="Arial" w:hAnsi="Arial" w:cs="Arial"/>
              </w:rPr>
            </w:pPr>
          </w:p>
        </w:tc>
      </w:tr>
      <w:tr w:rsidR="006031D6" w:rsidRPr="006031D6" w14:paraId="27302FE8"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3955E8D4" w14:textId="77777777" w:rsidR="006031D6" w:rsidRPr="006031D6" w:rsidRDefault="006031D6" w:rsidP="006031D6">
            <w:pPr>
              <w:pStyle w:val="Texttabulky"/>
              <w:spacing w:after="0" w:line="240" w:lineRule="atLeast"/>
              <w:rPr>
                <w:rFonts w:cs="Arial"/>
              </w:rPr>
            </w:pPr>
            <w:r w:rsidRPr="006031D6">
              <w:rPr>
                <w:rFonts w:cs="Arial"/>
              </w:rPr>
              <w:t>mezisoučet</w:t>
            </w:r>
          </w:p>
        </w:tc>
        <w:tc>
          <w:tcPr>
            <w:tcW w:w="1440" w:type="dxa"/>
            <w:tcBorders>
              <w:top w:val="single" w:sz="6" w:space="0" w:color="auto"/>
              <w:left w:val="single" w:sz="6" w:space="0" w:color="auto"/>
              <w:bottom w:val="single" w:sz="6" w:space="0" w:color="auto"/>
              <w:right w:val="single" w:sz="6" w:space="0" w:color="auto"/>
            </w:tcBorders>
          </w:tcPr>
          <w:p w14:paraId="2FD1F1F2" w14:textId="77777777" w:rsidR="006031D6" w:rsidRPr="006031D6" w:rsidRDefault="006031D6" w:rsidP="006031D6">
            <w:pPr>
              <w:pStyle w:val="Texttabulky"/>
              <w:spacing w:after="0" w:line="240" w:lineRule="atLeast"/>
              <w:rPr>
                <w:rFonts w:cs="Arial"/>
              </w:rPr>
            </w:pPr>
            <w:r w:rsidRPr="006031D6">
              <w:rPr>
                <w:rFonts w:cs="Arial"/>
              </w:rPr>
              <w:t>2,9</w:t>
            </w:r>
          </w:p>
        </w:tc>
        <w:tc>
          <w:tcPr>
            <w:tcW w:w="1009" w:type="dxa"/>
            <w:tcBorders>
              <w:top w:val="single" w:sz="6" w:space="0" w:color="auto"/>
              <w:left w:val="single" w:sz="6" w:space="0" w:color="auto"/>
              <w:bottom w:val="single" w:sz="6" w:space="0" w:color="auto"/>
              <w:right w:val="single" w:sz="6" w:space="0" w:color="auto"/>
            </w:tcBorders>
          </w:tcPr>
          <w:p w14:paraId="243B9E18" w14:textId="77777777" w:rsidR="006031D6" w:rsidRPr="006031D6" w:rsidRDefault="006031D6" w:rsidP="006031D6">
            <w:pPr>
              <w:pStyle w:val="Texttabulky"/>
              <w:spacing w:after="0" w:line="240" w:lineRule="atLeast"/>
              <w:rPr>
                <w:rFonts w:cs="Arial"/>
              </w:rPr>
            </w:pPr>
            <w:r w:rsidRPr="006031D6">
              <w:rPr>
                <w:rFonts w:cs="Arial"/>
              </w:rPr>
              <w:t>3,6</w:t>
            </w:r>
          </w:p>
        </w:tc>
        <w:tc>
          <w:tcPr>
            <w:tcW w:w="1228" w:type="dxa"/>
            <w:tcBorders>
              <w:top w:val="single" w:sz="6" w:space="0" w:color="auto"/>
              <w:left w:val="single" w:sz="6" w:space="0" w:color="auto"/>
              <w:bottom w:val="single" w:sz="6" w:space="0" w:color="auto"/>
              <w:right w:val="single" w:sz="6" w:space="0" w:color="auto"/>
            </w:tcBorders>
          </w:tcPr>
          <w:p w14:paraId="1E2CB5A5" w14:textId="77777777" w:rsidR="006031D6" w:rsidRPr="006031D6" w:rsidRDefault="006031D6" w:rsidP="006031D6">
            <w:pPr>
              <w:pStyle w:val="Texttabulky"/>
              <w:spacing w:after="0" w:line="240" w:lineRule="atLeast"/>
              <w:rPr>
                <w:rFonts w:cs="Arial"/>
              </w:rPr>
            </w:pPr>
            <w:r w:rsidRPr="006031D6">
              <w:rPr>
                <w:rFonts w:cs="Arial"/>
              </w:rPr>
              <w:t>5</w:t>
            </w:r>
          </w:p>
        </w:tc>
        <w:tc>
          <w:tcPr>
            <w:tcW w:w="865" w:type="dxa"/>
            <w:tcBorders>
              <w:top w:val="single" w:sz="6" w:space="0" w:color="auto"/>
              <w:left w:val="single" w:sz="6" w:space="0" w:color="auto"/>
              <w:bottom w:val="single" w:sz="6" w:space="0" w:color="auto"/>
              <w:right w:val="single" w:sz="6" w:space="0" w:color="auto"/>
            </w:tcBorders>
          </w:tcPr>
          <w:p w14:paraId="344133E3"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4470671A" w14:textId="77777777" w:rsidR="006031D6" w:rsidRPr="006031D6" w:rsidRDefault="006031D6" w:rsidP="006031D6">
            <w:pPr>
              <w:pStyle w:val="Zkladntext"/>
              <w:spacing w:after="0"/>
              <w:rPr>
                <w:rFonts w:ascii="Arial" w:hAnsi="Arial" w:cs="Arial"/>
              </w:rPr>
            </w:pPr>
          </w:p>
        </w:tc>
      </w:tr>
      <w:tr w:rsidR="006031D6" w:rsidRPr="006031D6" w14:paraId="71F5AAFD" w14:textId="77777777" w:rsidTr="002D2D45">
        <w:trPr>
          <w:jc w:val="center"/>
        </w:trPr>
        <w:tc>
          <w:tcPr>
            <w:tcW w:w="7345" w:type="dxa"/>
            <w:gridSpan w:val="6"/>
            <w:tcBorders>
              <w:top w:val="single" w:sz="6" w:space="0" w:color="auto"/>
              <w:left w:val="single" w:sz="6" w:space="0" w:color="auto"/>
              <w:bottom w:val="single" w:sz="6" w:space="0" w:color="auto"/>
              <w:right w:val="single" w:sz="6" w:space="0" w:color="auto"/>
            </w:tcBorders>
          </w:tcPr>
          <w:p w14:paraId="7EAA9A7D" w14:textId="77777777" w:rsidR="006031D6" w:rsidRPr="006031D6" w:rsidRDefault="006031D6" w:rsidP="006031D6">
            <w:pPr>
              <w:pStyle w:val="Zkladntext"/>
              <w:spacing w:after="0"/>
              <w:rPr>
                <w:rFonts w:ascii="Arial" w:hAnsi="Arial" w:cs="Arial"/>
                <w:sz w:val="16"/>
              </w:rPr>
            </w:pPr>
            <w:r w:rsidRPr="006031D6">
              <w:rPr>
                <w:rFonts w:ascii="Arial" w:hAnsi="Arial" w:cs="Arial"/>
                <w:b/>
                <w:bCs/>
                <w:sz w:val="16"/>
              </w:rPr>
              <w:t>Arnoltice</w:t>
            </w:r>
          </w:p>
        </w:tc>
      </w:tr>
      <w:tr w:rsidR="006031D6" w:rsidRPr="006031D6" w14:paraId="36694C0C" w14:textId="77777777" w:rsidTr="002D2D45">
        <w:trPr>
          <w:jc w:val="center"/>
        </w:trPr>
        <w:tc>
          <w:tcPr>
            <w:tcW w:w="7345" w:type="dxa"/>
            <w:gridSpan w:val="6"/>
            <w:tcBorders>
              <w:top w:val="single" w:sz="6" w:space="0" w:color="auto"/>
              <w:left w:val="single" w:sz="6" w:space="0" w:color="auto"/>
              <w:bottom w:val="single" w:sz="6" w:space="0" w:color="auto"/>
              <w:right w:val="single" w:sz="6" w:space="0" w:color="auto"/>
            </w:tcBorders>
          </w:tcPr>
          <w:p w14:paraId="78AD963B" w14:textId="77777777" w:rsidR="006031D6" w:rsidRPr="006031D6" w:rsidRDefault="006031D6" w:rsidP="006031D6">
            <w:pPr>
              <w:pStyle w:val="Zkladntext"/>
              <w:spacing w:after="0"/>
              <w:rPr>
                <w:rFonts w:ascii="Arial" w:hAnsi="Arial" w:cs="Arial"/>
                <w:sz w:val="16"/>
              </w:rPr>
            </w:pPr>
            <w:r w:rsidRPr="006031D6">
              <w:rPr>
                <w:rFonts w:ascii="Arial" w:hAnsi="Arial" w:cs="Arial"/>
                <w:b/>
                <w:bCs/>
                <w:sz w:val="16"/>
              </w:rPr>
              <w:t>Kámen</w:t>
            </w:r>
          </w:p>
        </w:tc>
      </w:tr>
      <w:tr w:rsidR="006031D6" w:rsidRPr="006031D6" w14:paraId="432D0EB8" w14:textId="77777777" w:rsidTr="002D2D45">
        <w:trPr>
          <w:jc w:val="center"/>
        </w:trPr>
        <w:tc>
          <w:tcPr>
            <w:tcW w:w="7345" w:type="dxa"/>
            <w:gridSpan w:val="6"/>
            <w:tcBorders>
              <w:top w:val="single" w:sz="6" w:space="0" w:color="auto"/>
              <w:left w:val="single" w:sz="6" w:space="0" w:color="auto"/>
              <w:bottom w:val="single" w:sz="6" w:space="0" w:color="auto"/>
              <w:right w:val="single" w:sz="6" w:space="0" w:color="auto"/>
            </w:tcBorders>
          </w:tcPr>
          <w:p w14:paraId="00973085" w14:textId="77777777" w:rsidR="006031D6" w:rsidRPr="006031D6" w:rsidRDefault="006031D6" w:rsidP="006031D6">
            <w:pPr>
              <w:pStyle w:val="Zkladntext"/>
              <w:spacing w:after="0"/>
              <w:rPr>
                <w:rFonts w:ascii="Arial" w:hAnsi="Arial" w:cs="Arial"/>
                <w:sz w:val="16"/>
              </w:rPr>
            </w:pPr>
            <w:r w:rsidRPr="006031D6">
              <w:rPr>
                <w:rFonts w:ascii="Arial" w:hAnsi="Arial" w:cs="Arial"/>
                <w:b/>
                <w:bCs/>
                <w:sz w:val="16"/>
              </w:rPr>
              <w:t>Folknáře</w:t>
            </w:r>
          </w:p>
        </w:tc>
      </w:tr>
      <w:tr w:rsidR="006031D6" w:rsidRPr="006031D6" w14:paraId="6D3B92E5"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329A8FB9" w14:textId="77777777" w:rsidR="006031D6" w:rsidRPr="006031D6" w:rsidRDefault="006031D6" w:rsidP="006031D6">
            <w:pPr>
              <w:pStyle w:val="Texttabulky"/>
              <w:spacing w:after="0" w:line="240" w:lineRule="atLeast"/>
              <w:rPr>
                <w:rFonts w:cs="Arial"/>
              </w:rPr>
            </w:pPr>
            <w:r w:rsidRPr="006031D6">
              <w:rPr>
                <w:rFonts w:cs="Arial"/>
              </w:rPr>
              <w:lastRenderedPageBreak/>
              <w:t>Nad hostincem</w:t>
            </w:r>
          </w:p>
        </w:tc>
        <w:tc>
          <w:tcPr>
            <w:tcW w:w="1440" w:type="dxa"/>
            <w:tcBorders>
              <w:top w:val="single" w:sz="6" w:space="0" w:color="auto"/>
              <w:left w:val="single" w:sz="6" w:space="0" w:color="auto"/>
              <w:bottom w:val="single" w:sz="6" w:space="0" w:color="auto"/>
              <w:right w:val="single" w:sz="6" w:space="0" w:color="auto"/>
            </w:tcBorders>
          </w:tcPr>
          <w:p w14:paraId="6E887A34" w14:textId="77777777" w:rsidR="006031D6" w:rsidRPr="006031D6" w:rsidRDefault="006031D6" w:rsidP="006031D6">
            <w:pPr>
              <w:pStyle w:val="Texttabulky"/>
              <w:spacing w:after="0" w:line="240" w:lineRule="atLeast"/>
              <w:rPr>
                <w:rFonts w:cs="Arial"/>
              </w:rPr>
            </w:pPr>
            <w:r w:rsidRPr="006031D6">
              <w:rPr>
                <w:rFonts w:cs="Arial"/>
              </w:rPr>
              <w:t>0,2</w:t>
            </w:r>
          </w:p>
        </w:tc>
        <w:tc>
          <w:tcPr>
            <w:tcW w:w="1009" w:type="dxa"/>
            <w:tcBorders>
              <w:top w:val="single" w:sz="6" w:space="0" w:color="auto"/>
              <w:left w:val="single" w:sz="6" w:space="0" w:color="auto"/>
              <w:bottom w:val="single" w:sz="6" w:space="0" w:color="auto"/>
              <w:right w:val="single" w:sz="6" w:space="0" w:color="auto"/>
            </w:tcBorders>
          </w:tcPr>
          <w:p w14:paraId="04C52078" w14:textId="77777777" w:rsidR="006031D6" w:rsidRPr="006031D6" w:rsidRDefault="006031D6" w:rsidP="006031D6">
            <w:pPr>
              <w:pStyle w:val="Texttabulky"/>
              <w:spacing w:after="0" w:line="240" w:lineRule="atLeast"/>
              <w:rPr>
                <w:rFonts w:cs="Arial"/>
              </w:rPr>
            </w:pPr>
            <w:r w:rsidRPr="006031D6">
              <w:rPr>
                <w:rFonts w:cs="Arial"/>
              </w:rPr>
              <w:t>0,7</w:t>
            </w:r>
          </w:p>
        </w:tc>
        <w:tc>
          <w:tcPr>
            <w:tcW w:w="1228" w:type="dxa"/>
            <w:tcBorders>
              <w:top w:val="single" w:sz="6" w:space="0" w:color="auto"/>
              <w:left w:val="single" w:sz="6" w:space="0" w:color="auto"/>
              <w:bottom w:val="single" w:sz="6" w:space="0" w:color="auto"/>
              <w:right w:val="single" w:sz="6" w:space="0" w:color="auto"/>
            </w:tcBorders>
          </w:tcPr>
          <w:p w14:paraId="197B4D93" w14:textId="77777777" w:rsidR="006031D6" w:rsidRPr="006031D6" w:rsidRDefault="006031D6" w:rsidP="006031D6">
            <w:pPr>
              <w:pStyle w:val="Texttabulky"/>
              <w:spacing w:after="0" w:line="240" w:lineRule="atLeast"/>
              <w:rPr>
                <w:rFonts w:cs="Arial"/>
              </w:rPr>
            </w:pPr>
            <w:r w:rsidRPr="006031D6">
              <w:rPr>
                <w:rFonts w:cs="Arial"/>
              </w:rPr>
              <w:t>2</w:t>
            </w:r>
          </w:p>
        </w:tc>
        <w:tc>
          <w:tcPr>
            <w:tcW w:w="865" w:type="dxa"/>
            <w:tcBorders>
              <w:top w:val="single" w:sz="6" w:space="0" w:color="auto"/>
              <w:left w:val="single" w:sz="6" w:space="0" w:color="auto"/>
              <w:bottom w:val="single" w:sz="6" w:space="0" w:color="auto"/>
              <w:right w:val="single" w:sz="6" w:space="0" w:color="auto"/>
            </w:tcBorders>
          </w:tcPr>
          <w:p w14:paraId="2A5BB9CD"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1BF3A632" w14:textId="77777777" w:rsidR="006031D6" w:rsidRPr="006031D6" w:rsidRDefault="006031D6" w:rsidP="006031D6">
            <w:pPr>
              <w:pStyle w:val="Zkladntext"/>
              <w:spacing w:after="0"/>
              <w:rPr>
                <w:rFonts w:ascii="Arial" w:hAnsi="Arial" w:cs="Arial"/>
              </w:rPr>
            </w:pPr>
          </w:p>
        </w:tc>
      </w:tr>
      <w:tr w:rsidR="006031D6" w:rsidRPr="006031D6" w14:paraId="2AD4269E" w14:textId="77777777" w:rsidTr="002D2D45">
        <w:trPr>
          <w:jc w:val="center"/>
        </w:trPr>
        <w:tc>
          <w:tcPr>
            <w:tcW w:w="7345" w:type="dxa"/>
            <w:gridSpan w:val="6"/>
            <w:tcBorders>
              <w:top w:val="single" w:sz="6" w:space="0" w:color="auto"/>
              <w:left w:val="single" w:sz="6" w:space="0" w:color="auto"/>
              <w:bottom w:val="single" w:sz="6" w:space="0" w:color="auto"/>
              <w:right w:val="single" w:sz="6" w:space="0" w:color="auto"/>
            </w:tcBorders>
          </w:tcPr>
          <w:p w14:paraId="217F4704" w14:textId="77777777" w:rsidR="006031D6" w:rsidRPr="006031D6" w:rsidRDefault="006031D6" w:rsidP="006031D6">
            <w:pPr>
              <w:pStyle w:val="Zkladntext"/>
              <w:spacing w:after="0"/>
              <w:rPr>
                <w:rFonts w:ascii="Arial" w:hAnsi="Arial" w:cs="Arial"/>
              </w:rPr>
            </w:pPr>
            <w:r w:rsidRPr="006031D6">
              <w:rPr>
                <w:rFonts w:ascii="Arial" w:hAnsi="Arial" w:cs="Arial"/>
                <w:b/>
                <w:bCs/>
                <w:sz w:val="16"/>
              </w:rPr>
              <w:t>Březiny</w:t>
            </w:r>
          </w:p>
        </w:tc>
      </w:tr>
      <w:tr w:rsidR="006031D6" w:rsidRPr="006031D6" w14:paraId="5DB8FADB"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27DA3DC9" w14:textId="77777777" w:rsidR="006031D6" w:rsidRPr="006031D6" w:rsidRDefault="006031D6" w:rsidP="006031D6">
            <w:pPr>
              <w:pStyle w:val="Texttabulky"/>
              <w:spacing w:after="0" w:line="240" w:lineRule="atLeast"/>
              <w:rPr>
                <w:rFonts w:cs="Arial"/>
              </w:rPr>
            </w:pPr>
            <w:r w:rsidRPr="006031D6">
              <w:rPr>
                <w:rFonts w:cs="Arial"/>
              </w:rPr>
              <w:t>Rybníček</w:t>
            </w:r>
          </w:p>
        </w:tc>
        <w:tc>
          <w:tcPr>
            <w:tcW w:w="1440" w:type="dxa"/>
            <w:tcBorders>
              <w:top w:val="single" w:sz="6" w:space="0" w:color="auto"/>
              <w:left w:val="single" w:sz="6" w:space="0" w:color="auto"/>
              <w:bottom w:val="single" w:sz="6" w:space="0" w:color="auto"/>
              <w:right w:val="single" w:sz="6" w:space="0" w:color="auto"/>
            </w:tcBorders>
          </w:tcPr>
          <w:p w14:paraId="7A811F4F" w14:textId="77777777" w:rsidR="006031D6" w:rsidRPr="006031D6" w:rsidRDefault="006031D6" w:rsidP="006031D6">
            <w:pPr>
              <w:pStyle w:val="Texttabulky"/>
              <w:spacing w:after="0" w:line="240" w:lineRule="atLeast"/>
              <w:rPr>
                <w:rFonts w:cs="Arial"/>
              </w:rPr>
            </w:pPr>
            <w:r w:rsidRPr="006031D6">
              <w:rPr>
                <w:rFonts w:cs="Arial"/>
              </w:rPr>
              <w:t>0,3</w:t>
            </w:r>
          </w:p>
        </w:tc>
        <w:tc>
          <w:tcPr>
            <w:tcW w:w="1009" w:type="dxa"/>
            <w:tcBorders>
              <w:top w:val="single" w:sz="6" w:space="0" w:color="auto"/>
              <w:left w:val="single" w:sz="6" w:space="0" w:color="auto"/>
              <w:bottom w:val="single" w:sz="6" w:space="0" w:color="auto"/>
              <w:right w:val="single" w:sz="6" w:space="0" w:color="auto"/>
            </w:tcBorders>
          </w:tcPr>
          <w:p w14:paraId="469B0AFE" w14:textId="77777777" w:rsidR="006031D6" w:rsidRPr="006031D6" w:rsidRDefault="006031D6" w:rsidP="006031D6">
            <w:pPr>
              <w:pStyle w:val="Texttabulky"/>
              <w:spacing w:after="0" w:line="240" w:lineRule="atLeast"/>
              <w:rPr>
                <w:rFonts w:cs="Arial"/>
              </w:rPr>
            </w:pPr>
            <w:r w:rsidRPr="006031D6">
              <w:rPr>
                <w:rFonts w:cs="Arial"/>
              </w:rPr>
              <w:t>0,4</w:t>
            </w:r>
          </w:p>
        </w:tc>
        <w:tc>
          <w:tcPr>
            <w:tcW w:w="1228" w:type="dxa"/>
            <w:tcBorders>
              <w:top w:val="single" w:sz="6" w:space="0" w:color="auto"/>
              <w:left w:val="single" w:sz="6" w:space="0" w:color="auto"/>
              <w:bottom w:val="single" w:sz="6" w:space="0" w:color="auto"/>
              <w:right w:val="single" w:sz="6" w:space="0" w:color="auto"/>
            </w:tcBorders>
          </w:tcPr>
          <w:p w14:paraId="45017E53" w14:textId="77777777" w:rsidR="006031D6" w:rsidRPr="006031D6" w:rsidRDefault="006031D6" w:rsidP="006031D6">
            <w:pPr>
              <w:pStyle w:val="Texttabulky"/>
              <w:spacing w:after="0" w:line="240" w:lineRule="atLeast"/>
              <w:rPr>
                <w:rFonts w:cs="Arial"/>
              </w:rPr>
            </w:pPr>
            <w:r w:rsidRPr="006031D6">
              <w:rPr>
                <w:rFonts w:cs="Arial"/>
              </w:rPr>
              <w:t>0,6</w:t>
            </w:r>
          </w:p>
        </w:tc>
        <w:tc>
          <w:tcPr>
            <w:tcW w:w="865" w:type="dxa"/>
            <w:tcBorders>
              <w:top w:val="single" w:sz="6" w:space="0" w:color="auto"/>
              <w:left w:val="single" w:sz="6" w:space="0" w:color="auto"/>
              <w:bottom w:val="single" w:sz="6" w:space="0" w:color="auto"/>
              <w:right w:val="single" w:sz="6" w:space="0" w:color="auto"/>
            </w:tcBorders>
          </w:tcPr>
          <w:p w14:paraId="65581E00"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0083DCC4" w14:textId="77777777" w:rsidR="006031D6" w:rsidRPr="006031D6" w:rsidRDefault="006031D6" w:rsidP="006031D6">
            <w:pPr>
              <w:pStyle w:val="Zkladntext"/>
              <w:spacing w:after="0"/>
              <w:rPr>
                <w:rFonts w:ascii="Arial" w:hAnsi="Arial" w:cs="Arial"/>
              </w:rPr>
            </w:pPr>
          </w:p>
        </w:tc>
      </w:tr>
      <w:tr w:rsidR="006031D6" w:rsidRPr="006031D6" w14:paraId="2D4BEDB2"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1C7C917B" w14:textId="77777777" w:rsidR="006031D6" w:rsidRPr="006031D6" w:rsidRDefault="006031D6" w:rsidP="006031D6">
            <w:pPr>
              <w:pStyle w:val="Texttabulky"/>
              <w:spacing w:after="0" w:line="240" w:lineRule="atLeast"/>
              <w:rPr>
                <w:rFonts w:cs="Arial"/>
              </w:rPr>
            </w:pPr>
            <w:r w:rsidRPr="006031D6">
              <w:rPr>
                <w:rFonts w:cs="Arial"/>
              </w:rPr>
              <w:t>Pod Chlumem</w:t>
            </w:r>
          </w:p>
        </w:tc>
        <w:tc>
          <w:tcPr>
            <w:tcW w:w="1440" w:type="dxa"/>
            <w:tcBorders>
              <w:top w:val="single" w:sz="6" w:space="0" w:color="auto"/>
              <w:left w:val="single" w:sz="6" w:space="0" w:color="auto"/>
              <w:bottom w:val="single" w:sz="6" w:space="0" w:color="auto"/>
              <w:right w:val="single" w:sz="6" w:space="0" w:color="auto"/>
            </w:tcBorders>
          </w:tcPr>
          <w:p w14:paraId="71E5EC87" w14:textId="77777777" w:rsidR="006031D6" w:rsidRPr="006031D6" w:rsidRDefault="006031D6" w:rsidP="006031D6">
            <w:pPr>
              <w:pStyle w:val="Zkladntext"/>
              <w:spacing w:after="0"/>
              <w:rPr>
                <w:rFonts w:ascii="Arial" w:hAnsi="Arial" w:cs="Arial"/>
              </w:rPr>
            </w:pPr>
          </w:p>
        </w:tc>
        <w:tc>
          <w:tcPr>
            <w:tcW w:w="1009" w:type="dxa"/>
            <w:tcBorders>
              <w:top w:val="single" w:sz="6" w:space="0" w:color="auto"/>
              <w:left w:val="single" w:sz="6" w:space="0" w:color="auto"/>
              <w:bottom w:val="single" w:sz="6" w:space="0" w:color="auto"/>
              <w:right w:val="single" w:sz="6" w:space="0" w:color="auto"/>
            </w:tcBorders>
          </w:tcPr>
          <w:p w14:paraId="1CAFF6E0" w14:textId="77777777" w:rsidR="006031D6" w:rsidRPr="006031D6" w:rsidRDefault="006031D6" w:rsidP="006031D6">
            <w:pPr>
              <w:pStyle w:val="Zkladntext"/>
              <w:spacing w:after="0"/>
              <w:rPr>
                <w:rFonts w:ascii="Arial" w:hAnsi="Arial" w:cs="Arial"/>
              </w:rPr>
            </w:pPr>
          </w:p>
        </w:tc>
        <w:tc>
          <w:tcPr>
            <w:tcW w:w="1228" w:type="dxa"/>
            <w:tcBorders>
              <w:top w:val="single" w:sz="6" w:space="0" w:color="auto"/>
              <w:left w:val="single" w:sz="6" w:space="0" w:color="auto"/>
              <w:bottom w:val="single" w:sz="6" w:space="0" w:color="auto"/>
              <w:right w:val="single" w:sz="6" w:space="0" w:color="auto"/>
            </w:tcBorders>
          </w:tcPr>
          <w:p w14:paraId="259E9E5B" w14:textId="77777777" w:rsidR="006031D6" w:rsidRPr="006031D6" w:rsidRDefault="006031D6" w:rsidP="006031D6">
            <w:pPr>
              <w:pStyle w:val="Zkladntext"/>
              <w:spacing w:after="0"/>
              <w:rPr>
                <w:rFonts w:ascii="Arial" w:hAnsi="Arial" w:cs="Arial"/>
              </w:rPr>
            </w:pPr>
          </w:p>
        </w:tc>
        <w:tc>
          <w:tcPr>
            <w:tcW w:w="865" w:type="dxa"/>
            <w:tcBorders>
              <w:top w:val="single" w:sz="6" w:space="0" w:color="auto"/>
              <w:left w:val="single" w:sz="6" w:space="0" w:color="auto"/>
              <w:bottom w:val="single" w:sz="6" w:space="0" w:color="auto"/>
              <w:right w:val="single" w:sz="6" w:space="0" w:color="auto"/>
            </w:tcBorders>
          </w:tcPr>
          <w:p w14:paraId="512DDEA0"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67C28A99" w14:textId="77777777" w:rsidR="006031D6" w:rsidRPr="006031D6" w:rsidRDefault="006031D6" w:rsidP="006031D6">
            <w:pPr>
              <w:pStyle w:val="Zkladntext"/>
              <w:spacing w:after="0"/>
              <w:rPr>
                <w:rFonts w:ascii="Arial" w:hAnsi="Arial" w:cs="Arial"/>
              </w:rPr>
            </w:pPr>
          </w:p>
        </w:tc>
      </w:tr>
      <w:tr w:rsidR="006031D6" w:rsidRPr="006031D6" w14:paraId="36B027E2"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54EA7E89" w14:textId="77777777" w:rsidR="006031D6" w:rsidRPr="006031D6" w:rsidRDefault="006031D6" w:rsidP="006031D6">
            <w:pPr>
              <w:pStyle w:val="Texttabulky"/>
              <w:spacing w:after="0" w:line="240" w:lineRule="atLeast"/>
              <w:rPr>
                <w:rFonts w:cs="Arial"/>
              </w:rPr>
            </w:pPr>
            <w:r w:rsidRPr="006031D6">
              <w:rPr>
                <w:rFonts w:cs="Arial"/>
              </w:rPr>
              <w:t>Bechlejovice</w:t>
            </w:r>
          </w:p>
        </w:tc>
        <w:tc>
          <w:tcPr>
            <w:tcW w:w="1440" w:type="dxa"/>
            <w:tcBorders>
              <w:top w:val="single" w:sz="6" w:space="0" w:color="auto"/>
              <w:left w:val="single" w:sz="6" w:space="0" w:color="auto"/>
              <w:bottom w:val="single" w:sz="6" w:space="0" w:color="auto"/>
              <w:right w:val="single" w:sz="6" w:space="0" w:color="auto"/>
            </w:tcBorders>
          </w:tcPr>
          <w:p w14:paraId="43052270" w14:textId="77777777" w:rsidR="006031D6" w:rsidRPr="006031D6" w:rsidRDefault="006031D6" w:rsidP="006031D6">
            <w:pPr>
              <w:pStyle w:val="Texttabulky"/>
              <w:spacing w:after="0" w:line="240" w:lineRule="atLeast"/>
              <w:rPr>
                <w:rFonts w:cs="Arial"/>
              </w:rPr>
            </w:pPr>
            <w:r w:rsidRPr="006031D6">
              <w:rPr>
                <w:rFonts w:cs="Arial"/>
              </w:rPr>
              <w:t>0,3</w:t>
            </w:r>
          </w:p>
        </w:tc>
        <w:tc>
          <w:tcPr>
            <w:tcW w:w="1009" w:type="dxa"/>
            <w:tcBorders>
              <w:top w:val="single" w:sz="6" w:space="0" w:color="auto"/>
              <w:left w:val="single" w:sz="6" w:space="0" w:color="auto"/>
              <w:bottom w:val="single" w:sz="6" w:space="0" w:color="auto"/>
              <w:right w:val="single" w:sz="6" w:space="0" w:color="auto"/>
            </w:tcBorders>
          </w:tcPr>
          <w:p w14:paraId="37070645" w14:textId="77777777" w:rsidR="006031D6" w:rsidRPr="006031D6" w:rsidRDefault="006031D6" w:rsidP="006031D6">
            <w:pPr>
              <w:pStyle w:val="Texttabulky"/>
              <w:spacing w:after="0" w:line="240" w:lineRule="atLeast"/>
              <w:rPr>
                <w:rFonts w:cs="Arial"/>
              </w:rPr>
            </w:pPr>
            <w:r w:rsidRPr="006031D6">
              <w:rPr>
                <w:rFonts w:cs="Arial"/>
              </w:rPr>
              <w:t>0,5</w:t>
            </w:r>
          </w:p>
        </w:tc>
        <w:tc>
          <w:tcPr>
            <w:tcW w:w="1228" w:type="dxa"/>
            <w:tcBorders>
              <w:top w:val="single" w:sz="6" w:space="0" w:color="auto"/>
              <w:left w:val="single" w:sz="6" w:space="0" w:color="auto"/>
              <w:bottom w:val="single" w:sz="6" w:space="0" w:color="auto"/>
              <w:right w:val="single" w:sz="6" w:space="0" w:color="auto"/>
            </w:tcBorders>
          </w:tcPr>
          <w:p w14:paraId="238847E8" w14:textId="77777777" w:rsidR="006031D6" w:rsidRPr="006031D6" w:rsidRDefault="006031D6" w:rsidP="006031D6">
            <w:pPr>
              <w:pStyle w:val="Texttabulky"/>
              <w:spacing w:after="0" w:line="240" w:lineRule="atLeast"/>
              <w:rPr>
                <w:rFonts w:cs="Arial"/>
              </w:rPr>
            </w:pPr>
            <w:r w:rsidRPr="006031D6">
              <w:rPr>
                <w:rFonts w:cs="Arial"/>
              </w:rPr>
              <w:t>0,6</w:t>
            </w:r>
          </w:p>
        </w:tc>
        <w:tc>
          <w:tcPr>
            <w:tcW w:w="865" w:type="dxa"/>
            <w:tcBorders>
              <w:top w:val="single" w:sz="6" w:space="0" w:color="auto"/>
              <w:left w:val="single" w:sz="6" w:space="0" w:color="auto"/>
              <w:bottom w:val="single" w:sz="6" w:space="0" w:color="auto"/>
              <w:right w:val="single" w:sz="6" w:space="0" w:color="auto"/>
            </w:tcBorders>
          </w:tcPr>
          <w:p w14:paraId="3E3B43A8"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029F5C9A" w14:textId="77777777" w:rsidR="006031D6" w:rsidRPr="006031D6" w:rsidRDefault="006031D6" w:rsidP="006031D6">
            <w:pPr>
              <w:pStyle w:val="Zkladntext"/>
              <w:spacing w:after="0"/>
              <w:rPr>
                <w:rFonts w:ascii="Arial" w:hAnsi="Arial" w:cs="Arial"/>
              </w:rPr>
            </w:pPr>
          </w:p>
        </w:tc>
      </w:tr>
      <w:tr w:rsidR="006031D6" w:rsidRPr="006031D6" w14:paraId="66C33F96"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1EF6DBD4" w14:textId="77777777" w:rsidR="006031D6" w:rsidRPr="006031D6" w:rsidRDefault="006031D6" w:rsidP="006031D6">
            <w:pPr>
              <w:pStyle w:val="Texttabulky"/>
              <w:spacing w:after="0" w:line="240" w:lineRule="atLeast"/>
              <w:rPr>
                <w:rFonts w:cs="Arial"/>
              </w:rPr>
            </w:pPr>
            <w:r w:rsidRPr="006031D6">
              <w:rPr>
                <w:rFonts w:cs="Arial"/>
              </w:rPr>
              <w:t>Pod Dobrnou – štola</w:t>
            </w:r>
          </w:p>
        </w:tc>
        <w:tc>
          <w:tcPr>
            <w:tcW w:w="1440" w:type="dxa"/>
            <w:tcBorders>
              <w:top w:val="single" w:sz="6" w:space="0" w:color="auto"/>
              <w:left w:val="single" w:sz="6" w:space="0" w:color="auto"/>
              <w:bottom w:val="single" w:sz="6" w:space="0" w:color="auto"/>
              <w:right w:val="single" w:sz="6" w:space="0" w:color="auto"/>
            </w:tcBorders>
          </w:tcPr>
          <w:p w14:paraId="7F5C0C82" w14:textId="77777777" w:rsidR="006031D6" w:rsidRPr="006031D6" w:rsidRDefault="006031D6" w:rsidP="006031D6">
            <w:pPr>
              <w:pStyle w:val="Texttabulky"/>
              <w:spacing w:after="0" w:line="240" w:lineRule="atLeast"/>
              <w:rPr>
                <w:rFonts w:cs="Arial"/>
              </w:rPr>
            </w:pPr>
            <w:r w:rsidRPr="006031D6">
              <w:rPr>
                <w:rFonts w:cs="Arial"/>
              </w:rPr>
              <w:t>1</w:t>
            </w:r>
          </w:p>
        </w:tc>
        <w:tc>
          <w:tcPr>
            <w:tcW w:w="1009" w:type="dxa"/>
            <w:tcBorders>
              <w:top w:val="single" w:sz="6" w:space="0" w:color="auto"/>
              <w:left w:val="single" w:sz="6" w:space="0" w:color="auto"/>
              <w:bottom w:val="single" w:sz="6" w:space="0" w:color="auto"/>
              <w:right w:val="single" w:sz="6" w:space="0" w:color="auto"/>
            </w:tcBorders>
          </w:tcPr>
          <w:p w14:paraId="0958D5C9" w14:textId="77777777" w:rsidR="006031D6" w:rsidRPr="006031D6" w:rsidRDefault="006031D6" w:rsidP="006031D6">
            <w:pPr>
              <w:pStyle w:val="Texttabulky"/>
              <w:spacing w:after="0" w:line="240" w:lineRule="atLeast"/>
              <w:rPr>
                <w:rFonts w:cs="Arial"/>
              </w:rPr>
            </w:pPr>
            <w:r w:rsidRPr="006031D6">
              <w:rPr>
                <w:rFonts w:cs="Arial"/>
              </w:rPr>
              <w:t>1,2</w:t>
            </w:r>
          </w:p>
        </w:tc>
        <w:tc>
          <w:tcPr>
            <w:tcW w:w="1228" w:type="dxa"/>
            <w:tcBorders>
              <w:top w:val="single" w:sz="6" w:space="0" w:color="auto"/>
              <w:left w:val="single" w:sz="6" w:space="0" w:color="auto"/>
              <w:bottom w:val="single" w:sz="6" w:space="0" w:color="auto"/>
              <w:right w:val="single" w:sz="6" w:space="0" w:color="auto"/>
            </w:tcBorders>
          </w:tcPr>
          <w:p w14:paraId="300E2B8E" w14:textId="77777777" w:rsidR="006031D6" w:rsidRPr="006031D6" w:rsidRDefault="006031D6" w:rsidP="006031D6">
            <w:pPr>
              <w:pStyle w:val="Texttabulky"/>
              <w:spacing w:after="0" w:line="240" w:lineRule="atLeast"/>
              <w:rPr>
                <w:rFonts w:cs="Arial"/>
              </w:rPr>
            </w:pPr>
            <w:r w:rsidRPr="006031D6">
              <w:rPr>
                <w:rFonts w:cs="Arial"/>
              </w:rPr>
              <w:t>1,6</w:t>
            </w:r>
          </w:p>
        </w:tc>
        <w:tc>
          <w:tcPr>
            <w:tcW w:w="865" w:type="dxa"/>
            <w:tcBorders>
              <w:top w:val="single" w:sz="6" w:space="0" w:color="auto"/>
              <w:left w:val="single" w:sz="6" w:space="0" w:color="auto"/>
              <w:bottom w:val="single" w:sz="6" w:space="0" w:color="auto"/>
              <w:right w:val="single" w:sz="6" w:space="0" w:color="auto"/>
            </w:tcBorders>
          </w:tcPr>
          <w:p w14:paraId="2AA9AE85"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4A98E62E" w14:textId="77777777" w:rsidR="006031D6" w:rsidRPr="006031D6" w:rsidRDefault="006031D6" w:rsidP="006031D6">
            <w:pPr>
              <w:pStyle w:val="Zkladntext"/>
              <w:spacing w:after="0"/>
              <w:rPr>
                <w:rFonts w:ascii="Arial" w:hAnsi="Arial" w:cs="Arial"/>
              </w:rPr>
            </w:pPr>
          </w:p>
        </w:tc>
      </w:tr>
      <w:tr w:rsidR="006031D6" w:rsidRPr="006031D6" w14:paraId="2E7D1C47"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6B6B4544" w14:textId="77777777" w:rsidR="006031D6" w:rsidRPr="006031D6" w:rsidRDefault="006031D6" w:rsidP="006031D6">
            <w:pPr>
              <w:pStyle w:val="Texttabulky"/>
              <w:spacing w:after="0" w:line="240" w:lineRule="atLeast"/>
              <w:rPr>
                <w:rFonts w:cs="Arial"/>
              </w:rPr>
            </w:pPr>
            <w:r w:rsidRPr="006031D6">
              <w:rPr>
                <w:rFonts w:cs="Arial"/>
              </w:rPr>
              <w:t>Beckel</w:t>
            </w:r>
          </w:p>
        </w:tc>
        <w:tc>
          <w:tcPr>
            <w:tcW w:w="1440" w:type="dxa"/>
            <w:tcBorders>
              <w:top w:val="single" w:sz="6" w:space="0" w:color="auto"/>
              <w:left w:val="single" w:sz="6" w:space="0" w:color="auto"/>
              <w:bottom w:val="single" w:sz="6" w:space="0" w:color="auto"/>
              <w:right w:val="single" w:sz="6" w:space="0" w:color="auto"/>
            </w:tcBorders>
          </w:tcPr>
          <w:p w14:paraId="0D4D3180" w14:textId="77777777" w:rsidR="006031D6" w:rsidRPr="006031D6" w:rsidRDefault="006031D6" w:rsidP="006031D6">
            <w:pPr>
              <w:pStyle w:val="Texttabulky"/>
              <w:spacing w:after="0" w:line="240" w:lineRule="atLeast"/>
              <w:rPr>
                <w:rFonts w:cs="Arial"/>
              </w:rPr>
            </w:pPr>
            <w:r w:rsidRPr="006031D6">
              <w:rPr>
                <w:rFonts w:cs="Arial"/>
              </w:rPr>
              <w:t>0,5</w:t>
            </w:r>
          </w:p>
        </w:tc>
        <w:tc>
          <w:tcPr>
            <w:tcW w:w="1009" w:type="dxa"/>
            <w:tcBorders>
              <w:top w:val="single" w:sz="6" w:space="0" w:color="auto"/>
              <w:left w:val="single" w:sz="6" w:space="0" w:color="auto"/>
              <w:bottom w:val="single" w:sz="6" w:space="0" w:color="auto"/>
              <w:right w:val="single" w:sz="6" w:space="0" w:color="auto"/>
            </w:tcBorders>
          </w:tcPr>
          <w:p w14:paraId="6570AF46" w14:textId="77777777" w:rsidR="006031D6" w:rsidRPr="006031D6" w:rsidRDefault="006031D6" w:rsidP="006031D6">
            <w:pPr>
              <w:pStyle w:val="Texttabulky"/>
              <w:spacing w:after="0" w:line="240" w:lineRule="atLeast"/>
              <w:rPr>
                <w:rFonts w:cs="Arial"/>
              </w:rPr>
            </w:pPr>
            <w:r w:rsidRPr="006031D6">
              <w:rPr>
                <w:rFonts w:cs="Arial"/>
              </w:rPr>
              <w:t>0,6</w:t>
            </w:r>
          </w:p>
        </w:tc>
        <w:tc>
          <w:tcPr>
            <w:tcW w:w="1228" w:type="dxa"/>
            <w:tcBorders>
              <w:top w:val="single" w:sz="6" w:space="0" w:color="auto"/>
              <w:left w:val="single" w:sz="6" w:space="0" w:color="auto"/>
              <w:bottom w:val="single" w:sz="6" w:space="0" w:color="auto"/>
              <w:right w:val="single" w:sz="6" w:space="0" w:color="auto"/>
            </w:tcBorders>
          </w:tcPr>
          <w:p w14:paraId="2F00FDFA" w14:textId="77777777" w:rsidR="006031D6" w:rsidRPr="006031D6" w:rsidRDefault="006031D6" w:rsidP="006031D6">
            <w:pPr>
              <w:pStyle w:val="Texttabulky"/>
              <w:spacing w:after="0" w:line="240" w:lineRule="atLeast"/>
              <w:rPr>
                <w:rFonts w:cs="Arial"/>
              </w:rPr>
            </w:pPr>
            <w:r w:rsidRPr="006031D6">
              <w:rPr>
                <w:rFonts w:cs="Arial"/>
              </w:rPr>
              <w:t>1</w:t>
            </w:r>
          </w:p>
        </w:tc>
        <w:tc>
          <w:tcPr>
            <w:tcW w:w="865" w:type="dxa"/>
            <w:tcBorders>
              <w:top w:val="single" w:sz="6" w:space="0" w:color="auto"/>
              <w:left w:val="single" w:sz="6" w:space="0" w:color="auto"/>
              <w:bottom w:val="single" w:sz="6" w:space="0" w:color="auto"/>
              <w:right w:val="single" w:sz="6" w:space="0" w:color="auto"/>
            </w:tcBorders>
          </w:tcPr>
          <w:p w14:paraId="541C28BA"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5753374B" w14:textId="77777777" w:rsidR="006031D6" w:rsidRPr="006031D6" w:rsidRDefault="006031D6" w:rsidP="006031D6">
            <w:pPr>
              <w:pStyle w:val="Zkladntext"/>
              <w:spacing w:after="0"/>
              <w:rPr>
                <w:rFonts w:ascii="Arial" w:hAnsi="Arial" w:cs="Arial"/>
              </w:rPr>
            </w:pPr>
          </w:p>
        </w:tc>
      </w:tr>
      <w:tr w:rsidR="006031D6" w:rsidRPr="006031D6" w14:paraId="341B50C1"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10B29614" w14:textId="77777777" w:rsidR="006031D6" w:rsidRPr="006031D6" w:rsidRDefault="006031D6" w:rsidP="006031D6">
            <w:pPr>
              <w:pStyle w:val="Texttabulky"/>
              <w:spacing w:after="0" w:line="240" w:lineRule="atLeast"/>
              <w:rPr>
                <w:rFonts w:cs="Arial"/>
              </w:rPr>
            </w:pPr>
            <w:r w:rsidRPr="006031D6">
              <w:rPr>
                <w:rFonts w:cs="Arial"/>
                <w:b/>
                <w:bCs/>
                <w:sz w:val="18"/>
                <w:szCs w:val="18"/>
              </w:rPr>
              <w:t>mezisoučet</w:t>
            </w:r>
          </w:p>
        </w:tc>
        <w:tc>
          <w:tcPr>
            <w:tcW w:w="1440" w:type="dxa"/>
            <w:tcBorders>
              <w:top w:val="single" w:sz="6" w:space="0" w:color="auto"/>
              <w:left w:val="single" w:sz="6" w:space="0" w:color="auto"/>
              <w:bottom w:val="single" w:sz="6" w:space="0" w:color="auto"/>
              <w:right w:val="single" w:sz="6" w:space="0" w:color="auto"/>
            </w:tcBorders>
          </w:tcPr>
          <w:p w14:paraId="2E343F47" w14:textId="77777777" w:rsidR="006031D6" w:rsidRPr="006031D6" w:rsidRDefault="006031D6" w:rsidP="006031D6">
            <w:pPr>
              <w:pStyle w:val="Texttabulky"/>
              <w:spacing w:after="0" w:line="240" w:lineRule="atLeast"/>
              <w:rPr>
                <w:rFonts w:cs="Arial"/>
              </w:rPr>
            </w:pPr>
            <w:r w:rsidRPr="006031D6">
              <w:rPr>
                <w:rFonts w:cs="Arial"/>
                <w:b/>
                <w:bCs/>
                <w:sz w:val="18"/>
                <w:szCs w:val="18"/>
              </w:rPr>
              <w:t>2,1</w:t>
            </w:r>
          </w:p>
        </w:tc>
        <w:tc>
          <w:tcPr>
            <w:tcW w:w="1009" w:type="dxa"/>
            <w:tcBorders>
              <w:top w:val="single" w:sz="6" w:space="0" w:color="auto"/>
              <w:left w:val="single" w:sz="6" w:space="0" w:color="auto"/>
              <w:bottom w:val="single" w:sz="6" w:space="0" w:color="auto"/>
              <w:right w:val="single" w:sz="6" w:space="0" w:color="auto"/>
            </w:tcBorders>
          </w:tcPr>
          <w:p w14:paraId="256C619C" w14:textId="77777777" w:rsidR="006031D6" w:rsidRPr="006031D6" w:rsidRDefault="006031D6" w:rsidP="006031D6">
            <w:pPr>
              <w:pStyle w:val="Texttabulky"/>
              <w:spacing w:after="0" w:line="240" w:lineRule="atLeast"/>
              <w:rPr>
                <w:rFonts w:cs="Arial"/>
              </w:rPr>
            </w:pPr>
            <w:r w:rsidRPr="006031D6">
              <w:rPr>
                <w:rFonts w:cs="Arial"/>
                <w:b/>
                <w:bCs/>
                <w:sz w:val="18"/>
                <w:szCs w:val="18"/>
              </w:rPr>
              <w:t>2,3</w:t>
            </w:r>
          </w:p>
        </w:tc>
        <w:tc>
          <w:tcPr>
            <w:tcW w:w="1228" w:type="dxa"/>
            <w:tcBorders>
              <w:top w:val="single" w:sz="6" w:space="0" w:color="auto"/>
              <w:left w:val="single" w:sz="6" w:space="0" w:color="auto"/>
              <w:bottom w:val="single" w:sz="6" w:space="0" w:color="auto"/>
              <w:right w:val="single" w:sz="6" w:space="0" w:color="auto"/>
            </w:tcBorders>
          </w:tcPr>
          <w:p w14:paraId="49E956D8" w14:textId="77777777" w:rsidR="006031D6" w:rsidRPr="006031D6" w:rsidRDefault="006031D6" w:rsidP="006031D6">
            <w:pPr>
              <w:pStyle w:val="Texttabulky"/>
              <w:spacing w:after="0" w:line="240" w:lineRule="atLeast"/>
              <w:rPr>
                <w:rFonts w:cs="Arial"/>
              </w:rPr>
            </w:pPr>
            <w:r w:rsidRPr="006031D6">
              <w:rPr>
                <w:rFonts w:cs="Arial"/>
                <w:b/>
                <w:bCs/>
                <w:sz w:val="18"/>
                <w:szCs w:val="18"/>
              </w:rPr>
              <w:t>3,8</w:t>
            </w:r>
          </w:p>
        </w:tc>
        <w:tc>
          <w:tcPr>
            <w:tcW w:w="865" w:type="dxa"/>
            <w:tcBorders>
              <w:top w:val="single" w:sz="6" w:space="0" w:color="auto"/>
              <w:left w:val="single" w:sz="6" w:space="0" w:color="auto"/>
              <w:bottom w:val="single" w:sz="6" w:space="0" w:color="auto"/>
              <w:right w:val="single" w:sz="6" w:space="0" w:color="auto"/>
            </w:tcBorders>
          </w:tcPr>
          <w:p w14:paraId="17B566A7"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252FC167" w14:textId="77777777" w:rsidR="006031D6" w:rsidRPr="006031D6" w:rsidRDefault="006031D6" w:rsidP="006031D6">
            <w:pPr>
              <w:pStyle w:val="Zkladntext"/>
              <w:spacing w:after="0"/>
              <w:rPr>
                <w:rFonts w:ascii="Arial" w:hAnsi="Arial" w:cs="Arial"/>
              </w:rPr>
            </w:pPr>
          </w:p>
        </w:tc>
      </w:tr>
      <w:tr w:rsidR="006031D6" w:rsidRPr="006031D6" w14:paraId="6E23DA12" w14:textId="77777777" w:rsidTr="002D2D45">
        <w:trPr>
          <w:jc w:val="center"/>
        </w:trPr>
        <w:tc>
          <w:tcPr>
            <w:tcW w:w="7345" w:type="dxa"/>
            <w:gridSpan w:val="6"/>
            <w:tcBorders>
              <w:top w:val="single" w:sz="6" w:space="0" w:color="auto"/>
              <w:left w:val="single" w:sz="6" w:space="0" w:color="auto"/>
              <w:bottom w:val="single" w:sz="6" w:space="0" w:color="auto"/>
              <w:right w:val="single" w:sz="6" w:space="0" w:color="auto"/>
            </w:tcBorders>
          </w:tcPr>
          <w:p w14:paraId="16F5C8C5" w14:textId="77777777" w:rsidR="006031D6" w:rsidRPr="006031D6" w:rsidRDefault="006031D6" w:rsidP="006031D6">
            <w:pPr>
              <w:pStyle w:val="Zkladntext"/>
              <w:spacing w:after="0"/>
              <w:rPr>
                <w:rFonts w:ascii="Arial" w:hAnsi="Arial" w:cs="Arial"/>
              </w:rPr>
            </w:pPr>
            <w:r w:rsidRPr="006031D6">
              <w:rPr>
                <w:rFonts w:ascii="Arial" w:hAnsi="Arial" w:cs="Arial"/>
                <w:b/>
                <w:bCs/>
              </w:rPr>
              <w:t>Kr.Studenec</w:t>
            </w:r>
          </w:p>
        </w:tc>
      </w:tr>
      <w:tr w:rsidR="006031D6" w:rsidRPr="006031D6" w14:paraId="482950BC"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071E0B1" w14:textId="77777777" w:rsidR="006031D6" w:rsidRPr="006031D6" w:rsidRDefault="006031D6" w:rsidP="006031D6">
            <w:pPr>
              <w:pStyle w:val="Texttabulky"/>
              <w:spacing w:after="0" w:line="240" w:lineRule="atLeast"/>
              <w:rPr>
                <w:rFonts w:cs="Arial"/>
              </w:rPr>
            </w:pPr>
            <w:r w:rsidRPr="006031D6">
              <w:rPr>
                <w:rFonts w:cs="Arial"/>
              </w:rPr>
              <w:t>Hlavní Waltrův</w:t>
            </w:r>
          </w:p>
        </w:tc>
        <w:tc>
          <w:tcPr>
            <w:tcW w:w="1440" w:type="dxa"/>
            <w:tcBorders>
              <w:top w:val="single" w:sz="6" w:space="0" w:color="auto"/>
              <w:left w:val="single" w:sz="6" w:space="0" w:color="auto"/>
              <w:bottom w:val="single" w:sz="6" w:space="0" w:color="auto"/>
              <w:right w:val="single" w:sz="6" w:space="0" w:color="auto"/>
            </w:tcBorders>
          </w:tcPr>
          <w:p w14:paraId="5BC5E5C1" w14:textId="77777777" w:rsidR="006031D6" w:rsidRPr="006031D6" w:rsidRDefault="006031D6" w:rsidP="006031D6">
            <w:pPr>
              <w:pStyle w:val="Texttabulky"/>
              <w:spacing w:after="0" w:line="240" w:lineRule="atLeast"/>
              <w:rPr>
                <w:rFonts w:cs="Arial"/>
              </w:rPr>
            </w:pPr>
            <w:r w:rsidRPr="006031D6">
              <w:rPr>
                <w:rFonts w:cs="Arial"/>
              </w:rPr>
              <w:t>0,15</w:t>
            </w:r>
          </w:p>
        </w:tc>
        <w:tc>
          <w:tcPr>
            <w:tcW w:w="1009" w:type="dxa"/>
            <w:tcBorders>
              <w:top w:val="single" w:sz="6" w:space="0" w:color="auto"/>
              <w:left w:val="single" w:sz="6" w:space="0" w:color="auto"/>
              <w:bottom w:val="single" w:sz="6" w:space="0" w:color="auto"/>
              <w:right w:val="single" w:sz="6" w:space="0" w:color="auto"/>
            </w:tcBorders>
          </w:tcPr>
          <w:p w14:paraId="520BF5E7" w14:textId="77777777" w:rsidR="006031D6" w:rsidRPr="006031D6" w:rsidRDefault="006031D6" w:rsidP="006031D6">
            <w:pPr>
              <w:pStyle w:val="Texttabulky"/>
              <w:spacing w:after="0" w:line="240" w:lineRule="atLeast"/>
              <w:rPr>
                <w:rFonts w:cs="Arial"/>
              </w:rPr>
            </w:pPr>
            <w:r w:rsidRPr="006031D6">
              <w:rPr>
                <w:rFonts w:cs="Arial"/>
              </w:rPr>
              <w:t>0,2</w:t>
            </w:r>
          </w:p>
        </w:tc>
        <w:tc>
          <w:tcPr>
            <w:tcW w:w="1228" w:type="dxa"/>
            <w:tcBorders>
              <w:top w:val="single" w:sz="6" w:space="0" w:color="auto"/>
              <w:left w:val="single" w:sz="6" w:space="0" w:color="auto"/>
              <w:bottom w:val="single" w:sz="6" w:space="0" w:color="auto"/>
              <w:right w:val="single" w:sz="6" w:space="0" w:color="auto"/>
            </w:tcBorders>
          </w:tcPr>
          <w:p w14:paraId="2FE58220" w14:textId="77777777" w:rsidR="006031D6" w:rsidRPr="006031D6" w:rsidRDefault="006031D6" w:rsidP="006031D6">
            <w:pPr>
              <w:pStyle w:val="Texttabulky"/>
              <w:spacing w:after="0" w:line="240" w:lineRule="atLeast"/>
              <w:rPr>
                <w:rFonts w:cs="Arial"/>
              </w:rPr>
            </w:pPr>
            <w:r w:rsidRPr="006031D6">
              <w:rPr>
                <w:rFonts w:cs="Arial"/>
              </w:rPr>
              <w:t>0,4</w:t>
            </w:r>
          </w:p>
        </w:tc>
        <w:tc>
          <w:tcPr>
            <w:tcW w:w="865" w:type="dxa"/>
            <w:tcBorders>
              <w:top w:val="single" w:sz="6" w:space="0" w:color="auto"/>
              <w:left w:val="single" w:sz="6" w:space="0" w:color="auto"/>
              <w:bottom w:val="single" w:sz="6" w:space="0" w:color="auto"/>
              <w:right w:val="single" w:sz="6" w:space="0" w:color="auto"/>
            </w:tcBorders>
          </w:tcPr>
          <w:p w14:paraId="12BDCBFC"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16474B88" w14:textId="77777777" w:rsidR="006031D6" w:rsidRPr="006031D6" w:rsidRDefault="006031D6" w:rsidP="006031D6">
            <w:pPr>
              <w:pStyle w:val="Zkladntext"/>
              <w:spacing w:after="0"/>
              <w:rPr>
                <w:rFonts w:ascii="Arial" w:hAnsi="Arial" w:cs="Arial"/>
              </w:rPr>
            </w:pPr>
          </w:p>
        </w:tc>
      </w:tr>
      <w:tr w:rsidR="006031D6" w:rsidRPr="006031D6" w14:paraId="5F45458B"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40B1C34" w14:textId="77777777" w:rsidR="006031D6" w:rsidRPr="006031D6" w:rsidRDefault="006031D6" w:rsidP="006031D6">
            <w:pPr>
              <w:pStyle w:val="Texttabulky"/>
              <w:spacing w:after="0" w:line="240" w:lineRule="atLeast"/>
              <w:rPr>
                <w:rFonts w:cs="Arial"/>
              </w:rPr>
            </w:pPr>
            <w:r w:rsidRPr="006031D6">
              <w:rPr>
                <w:rFonts w:cs="Arial"/>
              </w:rPr>
              <w:t>U tří bříz</w:t>
            </w:r>
          </w:p>
        </w:tc>
        <w:tc>
          <w:tcPr>
            <w:tcW w:w="1440" w:type="dxa"/>
            <w:tcBorders>
              <w:top w:val="single" w:sz="6" w:space="0" w:color="auto"/>
              <w:left w:val="single" w:sz="6" w:space="0" w:color="auto"/>
              <w:bottom w:val="single" w:sz="6" w:space="0" w:color="auto"/>
              <w:right w:val="single" w:sz="6" w:space="0" w:color="auto"/>
            </w:tcBorders>
          </w:tcPr>
          <w:p w14:paraId="6945E3E9" w14:textId="77777777" w:rsidR="006031D6" w:rsidRPr="006031D6" w:rsidRDefault="006031D6" w:rsidP="006031D6">
            <w:pPr>
              <w:pStyle w:val="Texttabulky"/>
              <w:spacing w:after="0" w:line="240" w:lineRule="atLeast"/>
              <w:rPr>
                <w:rFonts w:cs="Arial"/>
              </w:rPr>
            </w:pPr>
            <w:r w:rsidRPr="006031D6">
              <w:rPr>
                <w:rFonts w:cs="Arial"/>
              </w:rPr>
              <w:t>0,1</w:t>
            </w:r>
          </w:p>
        </w:tc>
        <w:tc>
          <w:tcPr>
            <w:tcW w:w="1009" w:type="dxa"/>
            <w:tcBorders>
              <w:top w:val="single" w:sz="6" w:space="0" w:color="auto"/>
              <w:left w:val="single" w:sz="6" w:space="0" w:color="auto"/>
              <w:bottom w:val="single" w:sz="6" w:space="0" w:color="auto"/>
              <w:right w:val="single" w:sz="6" w:space="0" w:color="auto"/>
            </w:tcBorders>
          </w:tcPr>
          <w:p w14:paraId="39454693" w14:textId="77777777" w:rsidR="006031D6" w:rsidRPr="006031D6" w:rsidRDefault="006031D6" w:rsidP="006031D6">
            <w:pPr>
              <w:pStyle w:val="Texttabulky"/>
              <w:spacing w:after="0" w:line="240" w:lineRule="atLeast"/>
              <w:rPr>
                <w:rFonts w:cs="Arial"/>
              </w:rPr>
            </w:pPr>
            <w:r w:rsidRPr="006031D6">
              <w:rPr>
                <w:rFonts w:cs="Arial"/>
              </w:rPr>
              <w:t>0,15</w:t>
            </w:r>
          </w:p>
        </w:tc>
        <w:tc>
          <w:tcPr>
            <w:tcW w:w="1228" w:type="dxa"/>
            <w:tcBorders>
              <w:top w:val="single" w:sz="6" w:space="0" w:color="auto"/>
              <w:left w:val="single" w:sz="6" w:space="0" w:color="auto"/>
              <w:bottom w:val="single" w:sz="6" w:space="0" w:color="auto"/>
              <w:right w:val="single" w:sz="6" w:space="0" w:color="auto"/>
            </w:tcBorders>
          </w:tcPr>
          <w:p w14:paraId="31B14294" w14:textId="77777777" w:rsidR="006031D6" w:rsidRPr="006031D6" w:rsidRDefault="006031D6" w:rsidP="006031D6">
            <w:pPr>
              <w:pStyle w:val="Texttabulky"/>
              <w:spacing w:after="0" w:line="240" w:lineRule="atLeast"/>
              <w:rPr>
                <w:rFonts w:cs="Arial"/>
              </w:rPr>
            </w:pPr>
            <w:r w:rsidRPr="006031D6">
              <w:rPr>
                <w:rFonts w:cs="Arial"/>
              </w:rPr>
              <w:t>0,3</w:t>
            </w:r>
          </w:p>
        </w:tc>
        <w:tc>
          <w:tcPr>
            <w:tcW w:w="865" w:type="dxa"/>
            <w:tcBorders>
              <w:top w:val="single" w:sz="6" w:space="0" w:color="auto"/>
              <w:left w:val="single" w:sz="6" w:space="0" w:color="auto"/>
              <w:bottom w:val="single" w:sz="6" w:space="0" w:color="auto"/>
              <w:right w:val="single" w:sz="6" w:space="0" w:color="auto"/>
            </w:tcBorders>
          </w:tcPr>
          <w:p w14:paraId="7854050C"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4A52A308" w14:textId="77777777" w:rsidR="006031D6" w:rsidRPr="006031D6" w:rsidRDefault="006031D6" w:rsidP="006031D6">
            <w:pPr>
              <w:pStyle w:val="Zkladntext"/>
              <w:spacing w:after="0"/>
              <w:rPr>
                <w:rFonts w:ascii="Arial" w:hAnsi="Arial" w:cs="Arial"/>
              </w:rPr>
            </w:pPr>
          </w:p>
        </w:tc>
      </w:tr>
      <w:tr w:rsidR="006031D6" w:rsidRPr="006031D6" w14:paraId="111FBA9A"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F89C4F4" w14:textId="77777777" w:rsidR="006031D6" w:rsidRPr="006031D6" w:rsidRDefault="006031D6" w:rsidP="006031D6">
            <w:pPr>
              <w:pStyle w:val="Texttabulky"/>
              <w:spacing w:after="0" w:line="240" w:lineRule="atLeast"/>
              <w:rPr>
                <w:rFonts w:cs="Arial"/>
              </w:rPr>
            </w:pPr>
            <w:r w:rsidRPr="006031D6">
              <w:rPr>
                <w:rFonts w:cs="Arial"/>
              </w:rPr>
              <w:t>mezisoučet</w:t>
            </w:r>
          </w:p>
        </w:tc>
        <w:tc>
          <w:tcPr>
            <w:tcW w:w="1440" w:type="dxa"/>
            <w:tcBorders>
              <w:top w:val="single" w:sz="6" w:space="0" w:color="auto"/>
              <w:left w:val="single" w:sz="6" w:space="0" w:color="auto"/>
              <w:bottom w:val="single" w:sz="6" w:space="0" w:color="auto"/>
              <w:right w:val="single" w:sz="6" w:space="0" w:color="auto"/>
            </w:tcBorders>
          </w:tcPr>
          <w:p w14:paraId="6355AE36" w14:textId="77777777" w:rsidR="006031D6" w:rsidRPr="006031D6" w:rsidRDefault="006031D6" w:rsidP="006031D6">
            <w:pPr>
              <w:pStyle w:val="Texttabulky"/>
              <w:spacing w:after="0" w:line="240" w:lineRule="atLeast"/>
              <w:rPr>
                <w:rFonts w:cs="Arial"/>
              </w:rPr>
            </w:pPr>
            <w:r w:rsidRPr="006031D6">
              <w:rPr>
                <w:rFonts w:cs="Arial"/>
              </w:rPr>
              <w:t>0,25</w:t>
            </w:r>
          </w:p>
        </w:tc>
        <w:tc>
          <w:tcPr>
            <w:tcW w:w="1009" w:type="dxa"/>
            <w:tcBorders>
              <w:top w:val="single" w:sz="6" w:space="0" w:color="auto"/>
              <w:left w:val="single" w:sz="6" w:space="0" w:color="auto"/>
              <w:bottom w:val="single" w:sz="6" w:space="0" w:color="auto"/>
              <w:right w:val="single" w:sz="6" w:space="0" w:color="auto"/>
            </w:tcBorders>
          </w:tcPr>
          <w:p w14:paraId="69094B45" w14:textId="77777777" w:rsidR="006031D6" w:rsidRPr="006031D6" w:rsidRDefault="006031D6" w:rsidP="006031D6">
            <w:pPr>
              <w:pStyle w:val="Texttabulky"/>
              <w:spacing w:after="0" w:line="240" w:lineRule="atLeast"/>
              <w:rPr>
                <w:rFonts w:cs="Arial"/>
              </w:rPr>
            </w:pPr>
            <w:r w:rsidRPr="006031D6">
              <w:rPr>
                <w:rFonts w:cs="Arial"/>
              </w:rPr>
              <w:t>0,35</w:t>
            </w:r>
          </w:p>
        </w:tc>
        <w:tc>
          <w:tcPr>
            <w:tcW w:w="1228" w:type="dxa"/>
            <w:tcBorders>
              <w:top w:val="single" w:sz="6" w:space="0" w:color="auto"/>
              <w:left w:val="single" w:sz="6" w:space="0" w:color="auto"/>
              <w:bottom w:val="single" w:sz="6" w:space="0" w:color="auto"/>
              <w:right w:val="single" w:sz="6" w:space="0" w:color="auto"/>
            </w:tcBorders>
          </w:tcPr>
          <w:p w14:paraId="2499875C" w14:textId="77777777" w:rsidR="006031D6" w:rsidRPr="006031D6" w:rsidRDefault="006031D6" w:rsidP="006031D6">
            <w:pPr>
              <w:pStyle w:val="Texttabulky"/>
              <w:spacing w:after="0" w:line="240" w:lineRule="atLeast"/>
              <w:rPr>
                <w:rFonts w:cs="Arial"/>
              </w:rPr>
            </w:pPr>
            <w:r w:rsidRPr="006031D6">
              <w:rPr>
                <w:rFonts w:cs="Arial"/>
              </w:rPr>
              <w:t>0,7</w:t>
            </w:r>
          </w:p>
        </w:tc>
        <w:tc>
          <w:tcPr>
            <w:tcW w:w="865" w:type="dxa"/>
            <w:tcBorders>
              <w:top w:val="single" w:sz="6" w:space="0" w:color="auto"/>
              <w:left w:val="single" w:sz="6" w:space="0" w:color="auto"/>
              <w:bottom w:val="single" w:sz="6" w:space="0" w:color="auto"/>
              <w:right w:val="single" w:sz="6" w:space="0" w:color="auto"/>
            </w:tcBorders>
          </w:tcPr>
          <w:p w14:paraId="30EAA07A"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341B29CF" w14:textId="77777777" w:rsidR="006031D6" w:rsidRPr="006031D6" w:rsidRDefault="006031D6" w:rsidP="006031D6">
            <w:pPr>
              <w:pStyle w:val="Zkladntext"/>
              <w:spacing w:after="0"/>
              <w:rPr>
                <w:rFonts w:ascii="Arial" w:hAnsi="Arial" w:cs="Arial"/>
              </w:rPr>
            </w:pPr>
          </w:p>
        </w:tc>
      </w:tr>
      <w:tr w:rsidR="006031D6" w:rsidRPr="006031D6" w14:paraId="3C533BEA"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0946559A" w14:textId="77777777" w:rsidR="006031D6" w:rsidRPr="006031D6" w:rsidRDefault="006031D6" w:rsidP="006031D6">
            <w:pPr>
              <w:pStyle w:val="Texttabulky"/>
              <w:spacing w:after="0" w:line="240" w:lineRule="atLeast"/>
              <w:rPr>
                <w:rFonts w:cs="Arial"/>
              </w:rPr>
            </w:pPr>
            <w:r w:rsidRPr="006031D6">
              <w:rPr>
                <w:rFonts w:cs="Arial"/>
                <w:b/>
                <w:bCs/>
                <w:sz w:val="18"/>
                <w:szCs w:val="18"/>
              </w:rPr>
              <w:t>Celkem venkov</w:t>
            </w:r>
          </w:p>
        </w:tc>
        <w:tc>
          <w:tcPr>
            <w:tcW w:w="1440" w:type="dxa"/>
            <w:tcBorders>
              <w:top w:val="single" w:sz="6" w:space="0" w:color="auto"/>
              <w:left w:val="single" w:sz="6" w:space="0" w:color="auto"/>
              <w:bottom w:val="single" w:sz="6" w:space="0" w:color="auto"/>
              <w:right w:val="single" w:sz="6" w:space="0" w:color="auto"/>
            </w:tcBorders>
          </w:tcPr>
          <w:p w14:paraId="6A4EBC80" w14:textId="77777777" w:rsidR="006031D6" w:rsidRPr="006031D6" w:rsidRDefault="006031D6" w:rsidP="006031D6">
            <w:pPr>
              <w:pStyle w:val="Texttabulky"/>
              <w:spacing w:after="0" w:line="240" w:lineRule="atLeast"/>
              <w:rPr>
                <w:rFonts w:cs="Arial"/>
              </w:rPr>
            </w:pPr>
            <w:r w:rsidRPr="006031D6">
              <w:rPr>
                <w:rFonts w:cs="Arial"/>
                <w:b/>
                <w:bCs/>
                <w:sz w:val="18"/>
                <w:szCs w:val="18"/>
              </w:rPr>
              <w:t>5,45</w:t>
            </w:r>
          </w:p>
        </w:tc>
        <w:tc>
          <w:tcPr>
            <w:tcW w:w="1009" w:type="dxa"/>
            <w:tcBorders>
              <w:top w:val="single" w:sz="6" w:space="0" w:color="auto"/>
              <w:left w:val="single" w:sz="6" w:space="0" w:color="auto"/>
              <w:bottom w:val="single" w:sz="6" w:space="0" w:color="auto"/>
              <w:right w:val="single" w:sz="6" w:space="0" w:color="auto"/>
            </w:tcBorders>
          </w:tcPr>
          <w:p w14:paraId="69A2663F" w14:textId="77777777" w:rsidR="006031D6" w:rsidRPr="006031D6" w:rsidRDefault="006031D6" w:rsidP="006031D6">
            <w:pPr>
              <w:pStyle w:val="Texttabulky"/>
              <w:spacing w:after="0" w:line="240" w:lineRule="atLeast"/>
              <w:rPr>
                <w:rFonts w:cs="Arial"/>
              </w:rPr>
            </w:pPr>
            <w:r w:rsidRPr="006031D6">
              <w:rPr>
                <w:rFonts w:cs="Arial"/>
                <w:b/>
                <w:bCs/>
                <w:sz w:val="18"/>
                <w:szCs w:val="18"/>
              </w:rPr>
              <w:t>6,95</w:t>
            </w:r>
          </w:p>
        </w:tc>
        <w:tc>
          <w:tcPr>
            <w:tcW w:w="1228" w:type="dxa"/>
            <w:tcBorders>
              <w:top w:val="single" w:sz="6" w:space="0" w:color="auto"/>
              <w:left w:val="single" w:sz="6" w:space="0" w:color="auto"/>
              <w:bottom w:val="single" w:sz="6" w:space="0" w:color="auto"/>
              <w:right w:val="single" w:sz="6" w:space="0" w:color="auto"/>
            </w:tcBorders>
          </w:tcPr>
          <w:p w14:paraId="1639605F" w14:textId="77777777" w:rsidR="006031D6" w:rsidRPr="006031D6" w:rsidRDefault="006031D6" w:rsidP="006031D6">
            <w:pPr>
              <w:pStyle w:val="Texttabulky"/>
              <w:spacing w:after="0" w:line="240" w:lineRule="atLeast"/>
              <w:rPr>
                <w:rFonts w:cs="Arial"/>
              </w:rPr>
            </w:pPr>
            <w:r w:rsidRPr="006031D6">
              <w:rPr>
                <w:rFonts w:cs="Arial"/>
                <w:b/>
                <w:bCs/>
                <w:sz w:val="18"/>
                <w:szCs w:val="18"/>
              </w:rPr>
              <w:t>11,5</w:t>
            </w:r>
          </w:p>
        </w:tc>
        <w:tc>
          <w:tcPr>
            <w:tcW w:w="865" w:type="dxa"/>
            <w:tcBorders>
              <w:top w:val="single" w:sz="6" w:space="0" w:color="auto"/>
              <w:left w:val="single" w:sz="6" w:space="0" w:color="auto"/>
              <w:bottom w:val="single" w:sz="6" w:space="0" w:color="auto"/>
              <w:right w:val="single" w:sz="6" w:space="0" w:color="auto"/>
            </w:tcBorders>
          </w:tcPr>
          <w:p w14:paraId="3232DC0D" w14:textId="77777777" w:rsidR="006031D6" w:rsidRPr="006031D6" w:rsidRDefault="006031D6" w:rsidP="006031D6">
            <w:pPr>
              <w:pStyle w:val="Texttabulky"/>
              <w:spacing w:after="0" w:line="240" w:lineRule="atLeast"/>
              <w:rPr>
                <w:rFonts w:cs="Arial"/>
              </w:rPr>
            </w:pPr>
            <w:r w:rsidRPr="006031D6">
              <w:rPr>
                <w:rFonts w:cs="Arial"/>
                <w:b/>
                <w:bCs/>
                <w:sz w:val="18"/>
                <w:szCs w:val="18"/>
              </w:rPr>
              <w:t>20</w:t>
            </w:r>
          </w:p>
        </w:tc>
        <w:tc>
          <w:tcPr>
            <w:tcW w:w="839" w:type="dxa"/>
            <w:tcBorders>
              <w:top w:val="single" w:sz="6" w:space="0" w:color="auto"/>
              <w:left w:val="single" w:sz="6" w:space="0" w:color="auto"/>
              <w:bottom w:val="single" w:sz="6" w:space="0" w:color="auto"/>
              <w:right w:val="single" w:sz="6" w:space="0" w:color="auto"/>
            </w:tcBorders>
          </w:tcPr>
          <w:p w14:paraId="6430B9C2" w14:textId="77777777" w:rsidR="006031D6" w:rsidRPr="006031D6" w:rsidRDefault="006031D6" w:rsidP="006031D6">
            <w:pPr>
              <w:pStyle w:val="Texttabulky"/>
              <w:spacing w:after="0" w:line="240" w:lineRule="atLeast"/>
              <w:rPr>
                <w:rFonts w:cs="Arial"/>
              </w:rPr>
            </w:pPr>
            <w:r w:rsidRPr="006031D6">
              <w:rPr>
                <w:rFonts w:cs="Arial"/>
                <w:b/>
                <w:bCs/>
                <w:sz w:val="18"/>
                <w:szCs w:val="18"/>
              </w:rPr>
              <w:t>29</w:t>
            </w:r>
          </w:p>
        </w:tc>
      </w:tr>
      <w:tr w:rsidR="006031D6" w:rsidRPr="006031D6" w14:paraId="2F98C3B3"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602E642F" w14:textId="77777777" w:rsidR="006031D6" w:rsidRPr="006031D6" w:rsidRDefault="006031D6" w:rsidP="006031D6">
            <w:pPr>
              <w:pStyle w:val="Texttabulky"/>
              <w:spacing w:after="0" w:line="240" w:lineRule="atLeast"/>
              <w:rPr>
                <w:rFonts w:cs="Arial"/>
              </w:rPr>
            </w:pPr>
            <w:r w:rsidRPr="006031D6">
              <w:rPr>
                <w:rFonts w:cs="Arial"/>
                <w:b/>
                <w:bCs/>
                <w:caps/>
                <w:sz w:val="18"/>
                <w:szCs w:val="18"/>
              </w:rPr>
              <w:t>Celkem skupina  Děčín</w:t>
            </w:r>
          </w:p>
        </w:tc>
        <w:tc>
          <w:tcPr>
            <w:tcW w:w="1440" w:type="dxa"/>
            <w:tcBorders>
              <w:top w:val="single" w:sz="6" w:space="0" w:color="auto"/>
              <w:left w:val="single" w:sz="6" w:space="0" w:color="auto"/>
              <w:bottom w:val="single" w:sz="6" w:space="0" w:color="auto"/>
              <w:right w:val="single" w:sz="6" w:space="0" w:color="auto"/>
            </w:tcBorders>
          </w:tcPr>
          <w:p w14:paraId="6EC659A8" w14:textId="77777777" w:rsidR="006031D6" w:rsidRPr="006031D6" w:rsidRDefault="006031D6" w:rsidP="006031D6">
            <w:pPr>
              <w:pStyle w:val="Texttabulky"/>
              <w:spacing w:after="0" w:line="240" w:lineRule="atLeast"/>
              <w:rPr>
                <w:rFonts w:cs="Arial"/>
              </w:rPr>
            </w:pPr>
            <w:r w:rsidRPr="006031D6">
              <w:rPr>
                <w:rFonts w:cs="Arial"/>
                <w:b/>
                <w:bCs/>
                <w:caps/>
                <w:sz w:val="18"/>
                <w:szCs w:val="18"/>
              </w:rPr>
              <w:t>237</w:t>
            </w:r>
          </w:p>
        </w:tc>
        <w:tc>
          <w:tcPr>
            <w:tcW w:w="1009" w:type="dxa"/>
            <w:tcBorders>
              <w:top w:val="single" w:sz="6" w:space="0" w:color="auto"/>
              <w:left w:val="single" w:sz="6" w:space="0" w:color="auto"/>
              <w:bottom w:val="single" w:sz="6" w:space="0" w:color="auto"/>
              <w:right w:val="single" w:sz="6" w:space="0" w:color="auto"/>
            </w:tcBorders>
          </w:tcPr>
          <w:p w14:paraId="4A6A622A" w14:textId="77777777" w:rsidR="006031D6" w:rsidRPr="006031D6" w:rsidRDefault="006031D6" w:rsidP="006031D6">
            <w:pPr>
              <w:pStyle w:val="Texttabulky"/>
              <w:spacing w:after="0" w:line="240" w:lineRule="atLeast"/>
              <w:rPr>
                <w:rFonts w:cs="Arial"/>
              </w:rPr>
            </w:pPr>
            <w:r w:rsidRPr="006031D6">
              <w:rPr>
                <w:rFonts w:cs="Arial"/>
                <w:b/>
                <w:bCs/>
                <w:caps/>
                <w:sz w:val="18"/>
                <w:szCs w:val="18"/>
              </w:rPr>
              <w:t>269</w:t>
            </w:r>
          </w:p>
        </w:tc>
        <w:tc>
          <w:tcPr>
            <w:tcW w:w="1228" w:type="dxa"/>
            <w:tcBorders>
              <w:top w:val="single" w:sz="6" w:space="0" w:color="auto"/>
              <w:left w:val="single" w:sz="6" w:space="0" w:color="auto"/>
              <w:bottom w:val="single" w:sz="6" w:space="0" w:color="auto"/>
              <w:right w:val="single" w:sz="6" w:space="0" w:color="auto"/>
            </w:tcBorders>
          </w:tcPr>
          <w:p w14:paraId="6E44C0E5" w14:textId="77777777" w:rsidR="006031D6" w:rsidRPr="006031D6" w:rsidRDefault="006031D6" w:rsidP="006031D6">
            <w:pPr>
              <w:pStyle w:val="Texttabulky"/>
              <w:spacing w:after="0" w:line="240" w:lineRule="atLeast"/>
              <w:rPr>
                <w:rFonts w:cs="Arial"/>
              </w:rPr>
            </w:pPr>
            <w:r w:rsidRPr="006031D6">
              <w:rPr>
                <w:rFonts w:cs="Arial"/>
                <w:b/>
                <w:bCs/>
                <w:caps/>
                <w:sz w:val="18"/>
                <w:szCs w:val="18"/>
              </w:rPr>
              <w:t>335</w:t>
            </w:r>
          </w:p>
        </w:tc>
        <w:tc>
          <w:tcPr>
            <w:tcW w:w="865" w:type="dxa"/>
            <w:tcBorders>
              <w:top w:val="single" w:sz="6" w:space="0" w:color="auto"/>
              <w:left w:val="single" w:sz="6" w:space="0" w:color="auto"/>
              <w:bottom w:val="single" w:sz="6" w:space="0" w:color="auto"/>
              <w:right w:val="single" w:sz="6" w:space="0" w:color="auto"/>
            </w:tcBorders>
          </w:tcPr>
          <w:p w14:paraId="5EA8F0A6" w14:textId="77777777" w:rsidR="006031D6" w:rsidRPr="006031D6" w:rsidRDefault="006031D6" w:rsidP="006031D6">
            <w:pPr>
              <w:pStyle w:val="Texttabulky"/>
              <w:spacing w:after="0" w:line="240" w:lineRule="atLeast"/>
              <w:rPr>
                <w:rFonts w:cs="Arial"/>
              </w:rPr>
            </w:pPr>
            <w:r w:rsidRPr="006031D6">
              <w:rPr>
                <w:rFonts w:cs="Arial"/>
                <w:b/>
                <w:bCs/>
                <w:caps/>
                <w:sz w:val="18"/>
                <w:szCs w:val="18"/>
              </w:rPr>
              <w:t>187</w:t>
            </w:r>
          </w:p>
        </w:tc>
        <w:tc>
          <w:tcPr>
            <w:tcW w:w="839" w:type="dxa"/>
            <w:tcBorders>
              <w:top w:val="single" w:sz="6" w:space="0" w:color="auto"/>
              <w:left w:val="single" w:sz="6" w:space="0" w:color="auto"/>
              <w:bottom w:val="single" w:sz="6" w:space="0" w:color="auto"/>
              <w:right w:val="single" w:sz="6" w:space="0" w:color="auto"/>
            </w:tcBorders>
          </w:tcPr>
          <w:p w14:paraId="1224FA08" w14:textId="77777777" w:rsidR="006031D6" w:rsidRPr="006031D6" w:rsidRDefault="006031D6" w:rsidP="006031D6">
            <w:pPr>
              <w:pStyle w:val="Texttabulky"/>
              <w:spacing w:after="0" w:line="240" w:lineRule="atLeast"/>
              <w:rPr>
                <w:rFonts w:cs="Arial"/>
              </w:rPr>
            </w:pPr>
            <w:r w:rsidRPr="006031D6">
              <w:rPr>
                <w:rFonts w:cs="Arial"/>
                <w:b/>
                <w:bCs/>
                <w:caps/>
                <w:sz w:val="18"/>
                <w:szCs w:val="18"/>
              </w:rPr>
              <w:t>280</w:t>
            </w:r>
          </w:p>
        </w:tc>
      </w:tr>
      <w:tr w:rsidR="006031D6" w:rsidRPr="006031D6" w14:paraId="7B84214E" w14:textId="77777777" w:rsidTr="002D2D45">
        <w:trPr>
          <w:jc w:val="center"/>
        </w:trPr>
        <w:tc>
          <w:tcPr>
            <w:tcW w:w="7345" w:type="dxa"/>
            <w:gridSpan w:val="6"/>
            <w:tcBorders>
              <w:top w:val="single" w:sz="6" w:space="0" w:color="auto"/>
              <w:left w:val="single" w:sz="6" w:space="0" w:color="auto"/>
              <w:bottom w:val="single" w:sz="6" w:space="0" w:color="auto"/>
              <w:right w:val="single" w:sz="6" w:space="0" w:color="auto"/>
            </w:tcBorders>
          </w:tcPr>
          <w:p w14:paraId="129865C0" w14:textId="77777777" w:rsidR="006031D6" w:rsidRPr="006031D6" w:rsidRDefault="006031D6" w:rsidP="006031D6">
            <w:pPr>
              <w:pStyle w:val="Zkladntext"/>
              <w:spacing w:after="0"/>
              <w:rPr>
                <w:rFonts w:ascii="Arial" w:hAnsi="Arial" w:cs="Arial"/>
              </w:rPr>
            </w:pPr>
            <w:r w:rsidRPr="006031D6">
              <w:rPr>
                <w:rFonts w:ascii="Arial" w:hAnsi="Arial" w:cs="Arial"/>
                <w:b/>
                <w:bCs/>
              </w:rPr>
              <w:t>Jílové</w:t>
            </w:r>
          </w:p>
        </w:tc>
      </w:tr>
      <w:tr w:rsidR="006031D6" w:rsidRPr="006031D6" w14:paraId="7E32D51C"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16FEB423" w14:textId="77777777" w:rsidR="006031D6" w:rsidRPr="006031D6" w:rsidRDefault="006031D6" w:rsidP="006031D6">
            <w:pPr>
              <w:pStyle w:val="Texttabulky"/>
              <w:spacing w:after="0" w:line="240" w:lineRule="atLeast"/>
              <w:rPr>
                <w:rFonts w:cs="Arial"/>
              </w:rPr>
            </w:pPr>
            <w:r w:rsidRPr="006031D6">
              <w:rPr>
                <w:rFonts w:cs="Arial"/>
              </w:rPr>
              <w:t>kamenná</w:t>
            </w:r>
          </w:p>
        </w:tc>
        <w:tc>
          <w:tcPr>
            <w:tcW w:w="1440" w:type="dxa"/>
            <w:tcBorders>
              <w:top w:val="single" w:sz="6" w:space="0" w:color="auto"/>
              <w:left w:val="single" w:sz="6" w:space="0" w:color="auto"/>
              <w:bottom w:val="single" w:sz="6" w:space="0" w:color="auto"/>
              <w:right w:val="single" w:sz="6" w:space="0" w:color="auto"/>
            </w:tcBorders>
          </w:tcPr>
          <w:p w14:paraId="44514D80" w14:textId="77777777" w:rsidR="006031D6" w:rsidRPr="006031D6" w:rsidRDefault="006031D6" w:rsidP="006031D6">
            <w:pPr>
              <w:pStyle w:val="Texttabulky"/>
              <w:spacing w:after="0" w:line="240" w:lineRule="atLeast"/>
              <w:rPr>
                <w:rFonts w:cs="Arial"/>
              </w:rPr>
            </w:pPr>
            <w:r w:rsidRPr="006031D6">
              <w:rPr>
                <w:rFonts w:cs="Arial"/>
              </w:rPr>
              <w:t>2</w:t>
            </w:r>
          </w:p>
        </w:tc>
        <w:tc>
          <w:tcPr>
            <w:tcW w:w="1009" w:type="dxa"/>
            <w:tcBorders>
              <w:top w:val="single" w:sz="6" w:space="0" w:color="auto"/>
              <w:left w:val="single" w:sz="6" w:space="0" w:color="auto"/>
              <w:bottom w:val="single" w:sz="6" w:space="0" w:color="auto"/>
              <w:right w:val="single" w:sz="6" w:space="0" w:color="auto"/>
            </w:tcBorders>
          </w:tcPr>
          <w:p w14:paraId="7E16F679" w14:textId="77777777" w:rsidR="006031D6" w:rsidRPr="006031D6" w:rsidRDefault="006031D6" w:rsidP="006031D6">
            <w:pPr>
              <w:pStyle w:val="Texttabulky"/>
              <w:spacing w:after="0" w:line="240" w:lineRule="atLeast"/>
              <w:rPr>
                <w:rFonts w:cs="Arial"/>
              </w:rPr>
            </w:pPr>
            <w:r w:rsidRPr="006031D6">
              <w:rPr>
                <w:rFonts w:cs="Arial"/>
              </w:rPr>
              <w:t>2,5</w:t>
            </w:r>
          </w:p>
        </w:tc>
        <w:tc>
          <w:tcPr>
            <w:tcW w:w="1228" w:type="dxa"/>
            <w:tcBorders>
              <w:top w:val="single" w:sz="6" w:space="0" w:color="auto"/>
              <w:left w:val="single" w:sz="6" w:space="0" w:color="auto"/>
              <w:bottom w:val="single" w:sz="6" w:space="0" w:color="auto"/>
              <w:right w:val="single" w:sz="6" w:space="0" w:color="auto"/>
            </w:tcBorders>
          </w:tcPr>
          <w:p w14:paraId="51FA6B07" w14:textId="77777777" w:rsidR="006031D6" w:rsidRPr="006031D6" w:rsidRDefault="006031D6" w:rsidP="006031D6">
            <w:pPr>
              <w:pStyle w:val="Texttabulky"/>
              <w:spacing w:after="0" w:line="240" w:lineRule="atLeast"/>
              <w:rPr>
                <w:rFonts w:cs="Arial"/>
              </w:rPr>
            </w:pPr>
            <w:r w:rsidRPr="006031D6">
              <w:rPr>
                <w:rFonts w:cs="Arial"/>
              </w:rPr>
              <w:t>5</w:t>
            </w:r>
          </w:p>
        </w:tc>
        <w:tc>
          <w:tcPr>
            <w:tcW w:w="865" w:type="dxa"/>
            <w:tcBorders>
              <w:top w:val="single" w:sz="6" w:space="0" w:color="auto"/>
              <w:left w:val="single" w:sz="6" w:space="0" w:color="auto"/>
              <w:bottom w:val="single" w:sz="6" w:space="0" w:color="auto"/>
              <w:right w:val="single" w:sz="6" w:space="0" w:color="auto"/>
            </w:tcBorders>
          </w:tcPr>
          <w:p w14:paraId="0EE8DB1D"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162AACC6" w14:textId="77777777" w:rsidR="006031D6" w:rsidRPr="006031D6" w:rsidRDefault="006031D6" w:rsidP="006031D6">
            <w:pPr>
              <w:pStyle w:val="Zkladntext"/>
              <w:spacing w:after="0"/>
              <w:rPr>
                <w:rFonts w:ascii="Arial" w:hAnsi="Arial" w:cs="Arial"/>
              </w:rPr>
            </w:pPr>
          </w:p>
        </w:tc>
      </w:tr>
      <w:tr w:rsidR="006031D6" w:rsidRPr="006031D6" w14:paraId="768AE102"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F268150" w14:textId="77777777" w:rsidR="006031D6" w:rsidRPr="006031D6" w:rsidRDefault="006031D6" w:rsidP="006031D6">
            <w:pPr>
              <w:pStyle w:val="Texttabulky"/>
              <w:spacing w:after="0" w:line="240" w:lineRule="atLeast"/>
              <w:rPr>
                <w:rFonts w:cs="Arial"/>
              </w:rPr>
            </w:pPr>
            <w:r w:rsidRPr="006031D6">
              <w:rPr>
                <w:rFonts w:cs="Arial"/>
              </w:rPr>
              <w:t>Nové Jílové</w:t>
            </w:r>
          </w:p>
        </w:tc>
        <w:tc>
          <w:tcPr>
            <w:tcW w:w="1440" w:type="dxa"/>
            <w:tcBorders>
              <w:top w:val="single" w:sz="6" w:space="0" w:color="auto"/>
              <w:left w:val="single" w:sz="6" w:space="0" w:color="auto"/>
              <w:bottom w:val="single" w:sz="6" w:space="0" w:color="auto"/>
              <w:right w:val="single" w:sz="6" w:space="0" w:color="auto"/>
            </w:tcBorders>
          </w:tcPr>
          <w:p w14:paraId="033BDADE" w14:textId="77777777" w:rsidR="006031D6" w:rsidRPr="006031D6" w:rsidRDefault="006031D6" w:rsidP="006031D6">
            <w:pPr>
              <w:pStyle w:val="Texttabulky"/>
              <w:spacing w:after="0" w:line="240" w:lineRule="atLeast"/>
              <w:rPr>
                <w:rFonts w:cs="Arial"/>
              </w:rPr>
            </w:pPr>
            <w:r w:rsidRPr="006031D6">
              <w:rPr>
                <w:rFonts w:cs="Arial"/>
              </w:rPr>
              <w:t>0,6</w:t>
            </w:r>
          </w:p>
        </w:tc>
        <w:tc>
          <w:tcPr>
            <w:tcW w:w="1009" w:type="dxa"/>
            <w:tcBorders>
              <w:top w:val="single" w:sz="6" w:space="0" w:color="auto"/>
              <w:left w:val="single" w:sz="6" w:space="0" w:color="auto"/>
              <w:bottom w:val="single" w:sz="6" w:space="0" w:color="auto"/>
              <w:right w:val="single" w:sz="6" w:space="0" w:color="auto"/>
            </w:tcBorders>
          </w:tcPr>
          <w:p w14:paraId="2A48336B" w14:textId="77777777" w:rsidR="006031D6" w:rsidRPr="006031D6" w:rsidRDefault="006031D6" w:rsidP="006031D6">
            <w:pPr>
              <w:pStyle w:val="Texttabulky"/>
              <w:spacing w:after="0" w:line="240" w:lineRule="atLeast"/>
              <w:rPr>
                <w:rFonts w:cs="Arial"/>
              </w:rPr>
            </w:pPr>
            <w:r w:rsidRPr="006031D6">
              <w:rPr>
                <w:rFonts w:cs="Arial"/>
              </w:rPr>
              <w:t>1,5</w:t>
            </w:r>
          </w:p>
        </w:tc>
        <w:tc>
          <w:tcPr>
            <w:tcW w:w="1228" w:type="dxa"/>
            <w:tcBorders>
              <w:top w:val="single" w:sz="6" w:space="0" w:color="auto"/>
              <w:left w:val="single" w:sz="6" w:space="0" w:color="auto"/>
              <w:bottom w:val="single" w:sz="6" w:space="0" w:color="auto"/>
              <w:right w:val="single" w:sz="6" w:space="0" w:color="auto"/>
            </w:tcBorders>
          </w:tcPr>
          <w:p w14:paraId="2EE94F44" w14:textId="77777777" w:rsidR="006031D6" w:rsidRPr="006031D6" w:rsidRDefault="006031D6" w:rsidP="006031D6">
            <w:pPr>
              <w:pStyle w:val="Texttabulky"/>
              <w:spacing w:after="0" w:line="240" w:lineRule="atLeast"/>
              <w:rPr>
                <w:rFonts w:cs="Arial"/>
              </w:rPr>
            </w:pPr>
            <w:r w:rsidRPr="006031D6">
              <w:rPr>
                <w:rFonts w:cs="Arial"/>
              </w:rPr>
              <w:t>2,5</w:t>
            </w:r>
          </w:p>
        </w:tc>
        <w:tc>
          <w:tcPr>
            <w:tcW w:w="865" w:type="dxa"/>
            <w:tcBorders>
              <w:top w:val="single" w:sz="6" w:space="0" w:color="auto"/>
              <w:left w:val="single" w:sz="6" w:space="0" w:color="auto"/>
              <w:bottom w:val="single" w:sz="6" w:space="0" w:color="auto"/>
              <w:right w:val="single" w:sz="6" w:space="0" w:color="auto"/>
            </w:tcBorders>
          </w:tcPr>
          <w:p w14:paraId="4792A172"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5F485FAA" w14:textId="77777777" w:rsidR="006031D6" w:rsidRPr="006031D6" w:rsidRDefault="006031D6" w:rsidP="006031D6">
            <w:pPr>
              <w:pStyle w:val="Zkladntext"/>
              <w:spacing w:after="0"/>
              <w:rPr>
                <w:rFonts w:ascii="Arial" w:hAnsi="Arial" w:cs="Arial"/>
              </w:rPr>
            </w:pPr>
          </w:p>
        </w:tc>
      </w:tr>
      <w:tr w:rsidR="006031D6" w:rsidRPr="006031D6" w14:paraId="313C9011"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48E70B47" w14:textId="77777777" w:rsidR="006031D6" w:rsidRPr="006031D6" w:rsidRDefault="006031D6" w:rsidP="006031D6">
            <w:pPr>
              <w:pStyle w:val="Texttabulky"/>
              <w:spacing w:after="0" w:line="240" w:lineRule="atLeast"/>
              <w:rPr>
                <w:rFonts w:cs="Arial"/>
              </w:rPr>
            </w:pPr>
            <w:r w:rsidRPr="006031D6">
              <w:rPr>
                <w:rFonts w:cs="Arial"/>
              </w:rPr>
              <w:t>U rybníka (Modrá)</w:t>
            </w:r>
          </w:p>
        </w:tc>
        <w:tc>
          <w:tcPr>
            <w:tcW w:w="1440" w:type="dxa"/>
            <w:tcBorders>
              <w:top w:val="single" w:sz="6" w:space="0" w:color="auto"/>
              <w:left w:val="single" w:sz="6" w:space="0" w:color="auto"/>
              <w:bottom w:val="single" w:sz="6" w:space="0" w:color="auto"/>
              <w:right w:val="single" w:sz="6" w:space="0" w:color="auto"/>
            </w:tcBorders>
          </w:tcPr>
          <w:p w14:paraId="62A87EE1" w14:textId="77777777" w:rsidR="006031D6" w:rsidRPr="006031D6" w:rsidRDefault="006031D6" w:rsidP="006031D6">
            <w:pPr>
              <w:pStyle w:val="Texttabulky"/>
              <w:spacing w:after="0" w:line="240" w:lineRule="atLeast"/>
              <w:rPr>
                <w:rFonts w:cs="Arial"/>
              </w:rPr>
            </w:pPr>
            <w:r w:rsidRPr="006031D6">
              <w:rPr>
                <w:rFonts w:cs="Arial"/>
              </w:rPr>
              <w:t>1,4</w:t>
            </w:r>
          </w:p>
        </w:tc>
        <w:tc>
          <w:tcPr>
            <w:tcW w:w="1009" w:type="dxa"/>
            <w:tcBorders>
              <w:top w:val="single" w:sz="6" w:space="0" w:color="auto"/>
              <w:left w:val="single" w:sz="6" w:space="0" w:color="auto"/>
              <w:bottom w:val="single" w:sz="6" w:space="0" w:color="auto"/>
              <w:right w:val="single" w:sz="6" w:space="0" w:color="auto"/>
            </w:tcBorders>
          </w:tcPr>
          <w:p w14:paraId="751860A4" w14:textId="77777777" w:rsidR="006031D6" w:rsidRPr="006031D6" w:rsidRDefault="006031D6" w:rsidP="006031D6">
            <w:pPr>
              <w:pStyle w:val="Texttabulky"/>
              <w:spacing w:after="0" w:line="240" w:lineRule="atLeast"/>
              <w:rPr>
                <w:rFonts w:cs="Arial"/>
              </w:rPr>
            </w:pPr>
            <w:r w:rsidRPr="006031D6">
              <w:rPr>
                <w:rFonts w:cs="Arial"/>
              </w:rPr>
              <w:t>1,6</w:t>
            </w:r>
          </w:p>
        </w:tc>
        <w:tc>
          <w:tcPr>
            <w:tcW w:w="1228" w:type="dxa"/>
            <w:tcBorders>
              <w:top w:val="single" w:sz="6" w:space="0" w:color="auto"/>
              <w:left w:val="single" w:sz="6" w:space="0" w:color="auto"/>
              <w:bottom w:val="single" w:sz="6" w:space="0" w:color="auto"/>
              <w:right w:val="single" w:sz="6" w:space="0" w:color="auto"/>
            </w:tcBorders>
          </w:tcPr>
          <w:p w14:paraId="43406ACA" w14:textId="77777777" w:rsidR="006031D6" w:rsidRPr="006031D6" w:rsidRDefault="006031D6" w:rsidP="006031D6">
            <w:pPr>
              <w:pStyle w:val="Texttabulky"/>
              <w:spacing w:after="0" w:line="240" w:lineRule="atLeast"/>
              <w:rPr>
                <w:rFonts w:cs="Arial"/>
              </w:rPr>
            </w:pPr>
            <w:r w:rsidRPr="006031D6">
              <w:rPr>
                <w:rFonts w:cs="Arial"/>
              </w:rPr>
              <w:t>3</w:t>
            </w:r>
          </w:p>
        </w:tc>
        <w:tc>
          <w:tcPr>
            <w:tcW w:w="865" w:type="dxa"/>
            <w:tcBorders>
              <w:top w:val="single" w:sz="6" w:space="0" w:color="auto"/>
              <w:left w:val="single" w:sz="6" w:space="0" w:color="auto"/>
              <w:bottom w:val="single" w:sz="6" w:space="0" w:color="auto"/>
              <w:right w:val="single" w:sz="6" w:space="0" w:color="auto"/>
            </w:tcBorders>
          </w:tcPr>
          <w:p w14:paraId="194DA0ED"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522359E5" w14:textId="77777777" w:rsidR="006031D6" w:rsidRPr="006031D6" w:rsidRDefault="006031D6" w:rsidP="006031D6">
            <w:pPr>
              <w:pStyle w:val="Zkladntext"/>
              <w:spacing w:after="0"/>
              <w:rPr>
                <w:rFonts w:ascii="Arial" w:hAnsi="Arial" w:cs="Arial"/>
              </w:rPr>
            </w:pPr>
          </w:p>
        </w:tc>
      </w:tr>
      <w:tr w:rsidR="006031D6" w:rsidRPr="006031D6" w14:paraId="21276AD9"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7B6FA8E6" w14:textId="77777777" w:rsidR="006031D6" w:rsidRPr="006031D6" w:rsidRDefault="006031D6" w:rsidP="006031D6">
            <w:pPr>
              <w:pStyle w:val="Texttabulky"/>
              <w:spacing w:after="0" w:line="240" w:lineRule="atLeast"/>
              <w:rPr>
                <w:rFonts w:cs="Arial"/>
              </w:rPr>
            </w:pPr>
            <w:r w:rsidRPr="006031D6">
              <w:rPr>
                <w:rFonts w:cs="Arial"/>
              </w:rPr>
              <w:t>U Majerika</w:t>
            </w:r>
          </w:p>
        </w:tc>
        <w:tc>
          <w:tcPr>
            <w:tcW w:w="1440" w:type="dxa"/>
            <w:tcBorders>
              <w:top w:val="single" w:sz="6" w:space="0" w:color="auto"/>
              <w:left w:val="single" w:sz="6" w:space="0" w:color="auto"/>
              <w:bottom w:val="single" w:sz="6" w:space="0" w:color="auto"/>
              <w:right w:val="single" w:sz="6" w:space="0" w:color="auto"/>
            </w:tcBorders>
          </w:tcPr>
          <w:p w14:paraId="05AF7FC3" w14:textId="77777777" w:rsidR="006031D6" w:rsidRPr="006031D6" w:rsidRDefault="006031D6" w:rsidP="006031D6">
            <w:pPr>
              <w:pStyle w:val="Texttabulky"/>
              <w:spacing w:after="0" w:line="240" w:lineRule="atLeast"/>
              <w:rPr>
                <w:rFonts w:cs="Arial"/>
              </w:rPr>
            </w:pPr>
            <w:r w:rsidRPr="006031D6">
              <w:rPr>
                <w:rFonts w:cs="Arial"/>
              </w:rPr>
              <w:t>3,1</w:t>
            </w:r>
          </w:p>
        </w:tc>
        <w:tc>
          <w:tcPr>
            <w:tcW w:w="1009" w:type="dxa"/>
            <w:tcBorders>
              <w:top w:val="single" w:sz="6" w:space="0" w:color="auto"/>
              <w:left w:val="single" w:sz="6" w:space="0" w:color="auto"/>
              <w:bottom w:val="single" w:sz="6" w:space="0" w:color="auto"/>
              <w:right w:val="single" w:sz="6" w:space="0" w:color="auto"/>
            </w:tcBorders>
          </w:tcPr>
          <w:p w14:paraId="38C50739" w14:textId="77777777" w:rsidR="006031D6" w:rsidRPr="006031D6" w:rsidRDefault="006031D6" w:rsidP="006031D6">
            <w:pPr>
              <w:pStyle w:val="Texttabulky"/>
              <w:spacing w:after="0" w:line="240" w:lineRule="atLeast"/>
              <w:rPr>
                <w:rFonts w:cs="Arial"/>
              </w:rPr>
            </w:pPr>
            <w:r w:rsidRPr="006031D6">
              <w:rPr>
                <w:rFonts w:cs="Arial"/>
              </w:rPr>
              <w:t>4</w:t>
            </w:r>
          </w:p>
        </w:tc>
        <w:tc>
          <w:tcPr>
            <w:tcW w:w="1228" w:type="dxa"/>
            <w:tcBorders>
              <w:top w:val="single" w:sz="6" w:space="0" w:color="auto"/>
              <w:left w:val="single" w:sz="6" w:space="0" w:color="auto"/>
              <w:bottom w:val="single" w:sz="6" w:space="0" w:color="auto"/>
              <w:right w:val="single" w:sz="6" w:space="0" w:color="auto"/>
            </w:tcBorders>
          </w:tcPr>
          <w:p w14:paraId="79B2F610" w14:textId="77777777" w:rsidR="006031D6" w:rsidRPr="006031D6" w:rsidRDefault="006031D6" w:rsidP="006031D6">
            <w:pPr>
              <w:pStyle w:val="Texttabulky"/>
              <w:spacing w:after="0" w:line="240" w:lineRule="atLeast"/>
              <w:rPr>
                <w:rFonts w:cs="Arial"/>
              </w:rPr>
            </w:pPr>
            <w:r w:rsidRPr="006031D6">
              <w:rPr>
                <w:rFonts w:cs="Arial"/>
              </w:rPr>
              <w:t>7</w:t>
            </w:r>
          </w:p>
        </w:tc>
        <w:tc>
          <w:tcPr>
            <w:tcW w:w="865" w:type="dxa"/>
            <w:tcBorders>
              <w:top w:val="single" w:sz="6" w:space="0" w:color="auto"/>
              <w:left w:val="single" w:sz="6" w:space="0" w:color="auto"/>
              <w:bottom w:val="single" w:sz="6" w:space="0" w:color="auto"/>
              <w:right w:val="single" w:sz="6" w:space="0" w:color="auto"/>
            </w:tcBorders>
          </w:tcPr>
          <w:p w14:paraId="6196B447"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6D8EFA5B" w14:textId="77777777" w:rsidR="006031D6" w:rsidRPr="006031D6" w:rsidRDefault="006031D6" w:rsidP="006031D6">
            <w:pPr>
              <w:pStyle w:val="Zkladntext"/>
              <w:spacing w:after="0"/>
              <w:rPr>
                <w:rFonts w:ascii="Arial" w:hAnsi="Arial" w:cs="Arial"/>
              </w:rPr>
            </w:pPr>
          </w:p>
        </w:tc>
      </w:tr>
      <w:tr w:rsidR="006031D6" w:rsidRPr="006031D6" w14:paraId="56E20BCC"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003ACEFE" w14:textId="77777777" w:rsidR="006031D6" w:rsidRPr="006031D6" w:rsidRDefault="006031D6" w:rsidP="006031D6">
            <w:pPr>
              <w:pStyle w:val="Texttabulky"/>
              <w:spacing w:after="0" w:line="240" w:lineRule="atLeast"/>
              <w:rPr>
                <w:rFonts w:cs="Arial"/>
              </w:rPr>
            </w:pPr>
            <w:r w:rsidRPr="006031D6">
              <w:rPr>
                <w:rFonts w:cs="Arial"/>
              </w:rPr>
              <w:t>Pod lesem</w:t>
            </w:r>
          </w:p>
        </w:tc>
        <w:tc>
          <w:tcPr>
            <w:tcW w:w="1440" w:type="dxa"/>
            <w:tcBorders>
              <w:top w:val="single" w:sz="6" w:space="0" w:color="auto"/>
              <w:left w:val="single" w:sz="6" w:space="0" w:color="auto"/>
              <w:bottom w:val="single" w:sz="6" w:space="0" w:color="auto"/>
              <w:right w:val="single" w:sz="6" w:space="0" w:color="auto"/>
            </w:tcBorders>
          </w:tcPr>
          <w:p w14:paraId="6B2396AD" w14:textId="77777777" w:rsidR="006031D6" w:rsidRPr="006031D6" w:rsidRDefault="006031D6" w:rsidP="006031D6">
            <w:pPr>
              <w:pStyle w:val="Zkladntext"/>
              <w:spacing w:after="0"/>
              <w:rPr>
                <w:rFonts w:ascii="Arial" w:hAnsi="Arial" w:cs="Arial"/>
              </w:rPr>
            </w:pPr>
          </w:p>
        </w:tc>
        <w:tc>
          <w:tcPr>
            <w:tcW w:w="1009" w:type="dxa"/>
            <w:tcBorders>
              <w:top w:val="single" w:sz="6" w:space="0" w:color="auto"/>
              <w:left w:val="single" w:sz="6" w:space="0" w:color="auto"/>
              <w:bottom w:val="single" w:sz="6" w:space="0" w:color="auto"/>
              <w:right w:val="single" w:sz="6" w:space="0" w:color="auto"/>
            </w:tcBorders>
          </w:tcPr>
          <w:p w14:paraId="4F5851BA" w14:textId="77777777" w:rsidR="006031D6" w:rsidRPr="006031D6" w:rsidRDefault="006031D6" w:rsidP="006031D6">
            <w:pPr>
              <w:pStyle w:val="Zkladntext"/>
              <w:spacing w:after="0"/>
              <w:rPr>
                <w:rFonts w:ascii="Arial" w:hAnsi="Arial" w:cs="Arial"/>
              </w:rPr>
            </w:pPr>
          </w:p>
        </w:tc>
        <w:tc>
          <w:tcPr>
            <w:tcW w:w="1228" w:type="dxa"/>
            <w:tcBorders>
              <w:top w:val="single" w:sz="6" w:space="0" w:color="auto"/>
              <w:left w:val="single" w:sz="6" w:space="0" w:color="auto"/>
              <w:bottom w:val="single" w:sz="6" w:space="0" w:color="auto"/>
              <w:right w:val="single" w:sz="6" w:space="0" w:color="auto"/>
            </w:tcBorders>
          </w:tcPr>
          <w:p w14:paraId="0A441D92" w14:textId="77777777" w:rsidR="006031D6" w:rsidRPr="006031D6" w:rsidRDefault="006031D6" w:rsidP="006031D6">
            <w:pPr>
              <w:pStyle w:val="Zkladntext"/>
              <w:spacing w:after="0"/>
              <w:rPr>
                <w:rFonts w:ascii="Arial" w:hAnsi="Arial" w:cs="Arial"/>
              </w:rPr>
            </w:pPr>
          </w:p>
        </w:tc>
        <w:tc>
          <w:tcPr>
            <w:tcW w:w="865" w:type="dxa"/>
            <w:tcBorders>
              <w:top w:val="single" w:sz="6" w:space="0" w:color="auto"/>
              <w:left w:val="single" w:sz="6" w:space="0" w:color="auto"/>
              <w:bottom w:val="single" w:sz="6" w:space="0" w:color="auto"/>
              <w:right w:val="single" w:sz="6" w:space="0" w:color="auto"/>
            </w:tcBorders>
          </w:tcPr>
          <w:p w14:paraId="722F2B13"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16946B38" w14:textId="77777777" w:rsidR="006031D6" w:rsidRPr="006031D6" w:rsidRDefault="006031D6" w:rsidP="006031D6">
            <w:pPr>
              <w:pStyle w:val="Zkladntext"/>
              <w:spacing w:after="0"/>
              <w:rPr>
                <w:rFonts w:ascii="Arial" w:hAnsi="Arial" w:cs="Arial"/>
              </w:rPr>
            </w:pPr>
          </w:p>
        </w:tc>
      </w:tr>
      <w:tr w:rsidR="006031D6" w:rsidRPr="006031D6" w14:paraId="480FC6FF"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38EB83C0" w14:textId="77777777" w:rsidR="006031D6" w:rsidRPr="006031D6" w:rsidRDefault="006031D6" w:rsidP="006031D6">
            <w:pPr>
              <w:pStyle w:val="Texttabulky"/>
              <w:spacing w:after="0" w:line="240" w:lineRule="atLeast"/>
              <w:rPr>
                <w:rFonts w:cs="Arial"/>
              </w:rPr>
            </w:pPr>
            <w:r w:rsidRPr="006031D6">
              <w:rPr>
                <w:rFonts w:cs="Arial"/>
              </w:rPr>
              <w:t>mezisoučet</w:t>
            </w:r>
          </w:p>
        </w:tc>
        <w:tc>
          <w:tcPr>
            <w:tcW w:w="1440" w:type="dxa"/>
            <w:tcBorders>
              <w:top w:val="single" w:sz="6" w:space="0" w:color="auto"/>
              <w:left w:val="single" w:sz="6" w:space="0" w:color="auto"/>
              <w:bottom w:val="single" w:sz="6" w:space="0" w:color="auto"/>
              <w:right w:val="single" w:sz="6" w:space="0" w:color="auto"/>
            </w:tcBorders>
          </w:tcPr>
          <w:p w14:paraId="3E2A3325" w14:textId="77777777" w:rsidR="006031D6" w:rsidRPr="006031D6" w:rsidRDefault="006031D6" w:rsidP="006031D6">
            <w:pPr>
              <w:pStyle w:val="Texttabulky"/>
              <w:spacing w:after="0" w:line="240" w:lineRule="atLeast"/>
              <w:rPr>
                <w:rFonts w:cs="Arial"/>
              </w:rPr>
            </w:pPr>
            <w:r w:rsidRPr="006031D6">
              <w:rPr>
                <w:rFonts w:cs="Arial"/>
              </w:rPr>
              <w:t>7,1</w:t>
            </w:r>
          </w:p>
        </w:tc>
        <w:tc>
          <w:tcPr>
            <w:tcW w:w="1009" w:type="dxa"/>
            <w:tcBorders>
              <w:top w:val="single" w:sz="6" w:space="0" w:color="auto"/>
              <w:left w:val="single" w:sz="6" w:space="0" w:color="auto"/>
              <w:bottom w:val="single" w:sz="6" w:space="0" w:color="auto"/>
              <w:right w:val="single" w:sz="6" w:space="0" w:color="auto"/>
            </w:tcBorders>
          </w:tcPr>
          <w:p w14:paraId="73F8D679" w14:textId="77777777" w:rsidR="006031D6" w:rsidRPr="006031D6" w:rsidRDefault="006031D6" w:rsidP="006031D6">
            <w:pPr>
              <w:pStyle w:val="Texttabulky"/>
              <w:spacing w:after="0" w:line="240" w:lineRule="atLeast"/>
              <w:rPr>
                <w:rFonts w:cs="Arial"/>
              </w:rPr>
            </w:pPr>
            <w:r w:rsidRPr="006031D6">
              <w:rPr>
                <w:rFonts w:cs="Arial"/>
              </w:rPr>
              <w:t>9,6</w:t>
            </w:r>
          </w:p>
        </w:tc>
        <w:tc>
          <w:tcPr>
            <w:tcW w:w="1228" w:type="dxa"/>
            <w:tcBorders>
              <w:top w:val="single" w:sz="6" w:space="0" w:color="auto"/>
              <w:left w:val="single" w:sz="6" w:space="0" w:color="auto"/>
              <w:bottom w:val="single" w:sz="6" w:space="0" w:color="auto"/>
              <w:right w:val="single" w:sz="6" w:space="0" w:color="auto"/>
            </w:tcBorders>
          </w:tcPr>
          <w:p w14:paraId="2C48DD77" w14:textId="77777777" w:rsidR="006031D6" w:rsidRPr="006031D6" w:rsidRDefault="006031D6" w:rsidP="006031D6">
            <w:pPr>
              <w:pStyle w:val="Texttabulky"/>
              <w:spacing w:after="0" w:line="240" w:lineRule="atLeast"/>
              <w:rPr>
                <w:rFonts w:cs="Arial"/>
              </w:rPr>
            </w:pPr>
            <w:r w:rsidRPr="006031D6">
              <w:rPr>
                <w:rFonts w:cs="Arial"/>
              </w:rPr>
              <w:t>17,5</w:t>
            </w:r>
          </w:p>
        </w:tc>
        <w:tc>
          <w:tcPr>
            <w:tcW w:w="865" w:type="dxa"/>
            <w:tcBorders>
              <w:top w:val="single" w:sz="6" w:space="0" w:color="auto"/>
              <w:left w:val="single" w:sz="6" w:space="0" w:color="auto"/>
              <w:bottom w:val="single" w:sz="6" w:space="0" w:color="auto"/>
              <w:right w:val="single" w:sz="6" w:space="0" w:color="auto"/>
            </w:tcBorders>
          </w:tcPr>
          <w:p w14:paraId="0264DB4D"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723DCDDF" w14:textId="77777777" w:rsidR="006031D6" w:rsidRPr="006031D6" w:rsidRDefault="006031D6" w:rsidP="006031D6">
            <w:pPr>
              <w:pStyle w:val="Zkladntext"/>
              <w:spacing w:after="0"/>
              <w:rPr>
                <w:rFonts w:ascii="Arial" w:hAnsi="Arial" w:cs="Arial"/>
              </w:rPr>
            </w:pPr>
          </w:p>
        </w:tc>
      </w:tr>
      <w:tr w:rsidR="006031D6" w:rsidRPr="006031D6" w14:paraId="13A29A94"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2051ED18" w14:textId="77777777" w:rsidR="006031D6" w:rsidRPr="006031D6" w:rsidRDefault="006031D6" w:rsidP="006031D6">
            <w:pPr>
              <w:pStyle w:val="Texttabulky"/>
              <w:spacing w:after="0" w:line="240" w:lineRule="atLeast"/>
              <w:rPr>
                <w:rFonts w:cs="Arial"/>
              </w:rPr>
            </w:pPr>
            <w:r w:rsidRPr="006031D6">
              <w:rPr>
                <w:rFonts w:cs="Arial"/>
              </w:rPr>
              <w:t>převod z okr.Ústí n/L</w:t>
            </w:r>
          </w:p>
        </w:tc>
        <w:tc>
          <w:tcPr>
            <w:tcW w:w="1440" w:type="dxa"/>
            <w:tcBorders>
              <w:top w:val="single" w:sz="6" w:space="0" w:color="auto"/>
              <w:left w:val="single" w:sz="6" w:space="0" w:color="auto"/>
              <w:bottom w:val="single" w:sz="6" w:space="0" w:color="auto"/>
              <w:right w:val="single" w:sz="6" w:space="0" w:color="auto"/>
            </w:tcBorders>
          </w:tcPr>
          <w:p w14:paraId="02017E00" w14:textId="77777777" w:rsidR="006031D6" w:rsidRPr="006031D6" w:rsidRDefault="006031D6" w:rsidP="006031D6">
            <w:pPr>
              <w:pStyle w:val="Texttabulky"/>
              <w:spacing w:after="0" w:line="240" w:lineRule="atLeast"/>
              <w:rPr>
                <w:rFonts w:cs="Arial"/>
              </w:rPr>
            </w:pPr>
            <w:r w:rsidRPr="006031D6">
              <w:rPr>
                <w:rFonts w:cs="Arial"/>
              </w:rPr>
              <w:t>15</w:t>
            </w:r>
          </w:p>
        </w:tc>
        <w:tc>
          <w:tcPr>
            <w:tcW w:w="1009" w:type="dxa"/>
            <w:tcBorders>
              <w:top w:val="single" w:sz="6" w:space="0" w:color="auto"/>
              <w:left w:val="single" w:sz="6" w:space="0" w:color="auto"/>
              <w:bottom w:val="single" w:sz="6" w:space="0" w:color="auto"/>
              <w:right w:val="single" w:sz="6" w:space="0" w:color="auto"/>
            </w:tcBorders>
          </w:tcPr>
          <w:p w14:paraId="0E4B7608" w14:textId="77777777" w:rsidR="006031D6" w:rsidRPr="006031D6" w:rsidRDefault="006031D6" w:rsidP="006031D6">
            <w:pPr>
              <w:pStyle w:val="Texttabulky"/>
              <w:spacing w:after="0" w:line="240" w:lineRule="atLeast"/>
              <w:rPr>
                <w:rFonts w:cs="Arial"/>
              </w:rPr>
            </w:pPr>
            <w:r w:rsidRPr="006031D6">
              <w:rPr>
                <w:rFonts w:cs="Arial"/>
              </w:rPr>
              <w:t>17,5</w:t>
            </w:r>
          </w:p>
        </w:tc>
        <w:tc>
          <w:tcPr>
            <w:tcW w:w="1228" w:type="dxa"/>
            <w:tcBorders>
              <w:top w:val="single" w:sz="6" w:space="0" w:color="auto"/>
              <w:left w:val="single" w:sz="6" w:space="0" w:color="auto"/>
              <w:bottom w:val="single" w:sz="6" w:space="0" w:color="auto"/>
              <w:right w:val="single" w:sz="6" w:space="0" w:color="auto"/>
            </w:tcBorders>
          </w:tcPr>
          <w:p w14:paraId="7FFBD4F1" w14:textId="77777777" w:rsidR="006031D6" w:rsidRPr="006031D6" w:rsidRDefault="006031D6" w:rsidP="006031D6">
            <w:pPr>
              <w:pStyle w:val="Texttabulky"/>
              <w:spacing w:after="0" w:line="240" w:lineRule="atLeast"/>
              <w:rPr>
                <w:rFonts w:cs="Arial"/>
              </w:rPr>
            </w:pPr>
            <w:r w:rsidRPr="006031D6">
              <w:rPr>
                <w:rFonts w:cs="Arial"/>
              </w:rPr>
              <w:t>20</w:t>
            </w:r>
          </w:p>
        </w:tc>
        <w:tc>
          <w:tcPr>
            <w:tcW w:w="865" w:type="dxa"/>
            <w:tcBorders>
              <w:top w:val="single" w:sz="6" w:space="0" w:color="auto"/>
              <w:left w:val="single" w:sz="6" w:space="0" w:color="auto"/>
              <w:bottom w:val="single" w:sz="6" w:space="0" w:color="auto"/>
              <w:right w:val="single" w:sz="6" w:space="0" w:color="auto"/>
            </w:tcBorders>
          </w:tcPr>
          <w:p w14:paraId="7B250FB1" w14:textId="77777777" w:rsidR="006031D6" w:rsidRPr="006031D6" w:rsidRDefault="006031D6" w:rsidP="006031D6">
            <w:pPr>
              <w:pStyle w:val="Zkladntext"/>
              <w:spacing w:after="0"/>
              <w:rPr>
                <w:rFonts w:ascii="Arial" w:hAnsi="Arial" w:cs="Arial"/>
              </w:rPr>
            </w:pPr>
          </w:p>
        </w:tc>
        <w:tc>
          <w:tcPr>
            <w:tcW w:w="839" w:type="dxa"/>
            <w:tcBorders>
              <w:top w:val="single" w:sz="6" w:space="0" w:color="auto"/>
              <w:left w:val="single" w:sz="6" w:space="0" w:color="auto"/>
              <w:bottom w:val="single" w:sz="6" w:space="0" w:color="auto"/>
              <w:right w:val="single" w:sz="6" w:space="0" w:color="auto"/>
            </w:tcBorders>
          </w:tcPr>
          <w:p w14:paraId="57D7FA1A" w14:textId="77777777" w:rsidR="006031D6" w:rsidRPr="006031D6" w:rsidRDefault="006031D6" w:rsidP="006031D6">
            <w:pPr>
              <w:pStyle w:val="Zkladntext"/>
              <w:spacing w:after="0"/>
              <w:rPr>
                <w:rFonts w:ascii="Arial" w:hAnsi="Arial" w:cs="Arial"/>
              </w:rPr>
            </w:pPr>
          </w:p>
        </w:tc>
      </w:tr>
      <w:tr w:rsidR="006031D6" w:rsidRPr="006031D6" w14:paraId="10A73E2B" w14:textId="77777777" w:rsidTr="002D2D45">
        <w:trPr>
          <w:jc w:val="center"/>
        </w:trPr>
        <w:tc>
          <w:tcPr>
            <w:tcW w:w="1964" w:type="dxa"/>
            <w:tcBorders>
              <w:top w:val="single" w:sz="6" w:space="0" w:color="auto"/>
              <w:left w:val="single" w:sz="6" w:space="0" w:color="auto"/>
              <w:bottom w:val="single" w:sz="6" w:space="0" w:color="auto"/>
              <w:right w:val="single" w:sz="6" w:space="0" w:color="auto"/>
            </w:tcBorders>
          </w:tcPr>
          <w:p w14:paraId="6010DF27" w14:textId="77777777" w:rsidR="006031D6" w:rsidRPr="006031D6" w:rsidRDefault="006031D6" w:rsidP="006031D6">
            <w:pPr>
              <w:pStyle w:val="Texttabulky"/>
              <w:spacing w:after="0" w:line="240" w:lineRule="atLeast"/>
              <w:rPr>
                <w:rFonts w:cs="Arial"/>
              </w:rPr>
            </w:pPr>
            <w:r w:rsidRPr="006031D6">
              <w:rPr>
                <w:rFonts w:cs="Arial"/>
                <w:b/>
                <w:bCs/>
                <w:sz w:val="18"/>
                <w:szCs w:val="18"/>
              </w:rPr>
              <w:t>Celkem Jílové</w:t>
            </w:r>
          </w:p>
        </w:tc>
        <w:tc>
          <w:tcPr>
            <w:tcW w:w="1440" w:type="dxa"/>
            <w:tcBorders>
              <w:top w:val="single" w:sz="6" w:space="0" w:color="auto"/>
              <w:left w:val="single" w:sz="6" w:space="0" w:color="auto"/>
              <w:bottom w:val="single" w:sz="6" w:space="0" w:color="auto"/>
              <w:right w:val="single" w:sz="6" w:space="0" w:color="auto"/>
            </w:tcBorders>
          </w:tcPr>
          <w:p w14:paraId="024DCEA3" w14:textId="77777777" w:rsidR="006031D6" w:rsidRPr="006031D6" w:rsidRDefault="006031D6" w:rsidP="006031D6">
            <w:pPr>
              <w:pStyle w:val="Texttabulky"/>
              <w:spacing w:after="0" w:line="240" w:lineRule="atLeast"/>
              <w:rPr>
                <w:rFonts w:cs="Arial"/>
              </w:rPr>
            </w:pPr>
            <w:r w:rsidRPr="006031D6">
              <w:rPr>
                <w:rFonts w:cs="Arial"/>
                <w:b/>
                <w:bCs/>
                <w:sz w:val="18"/>
                <w:szCs w:val="18"/>
              </w:rPr>
              <w:t>22,1</w:t>
            </w:r>
          </w:p>
        </w:tc>
        <w:tc>
          <w:tcPr>
            <w:tcW w:w="1009" w:type="dxa"/>
            <w:tcBorders>
              <w:top w:val="single" w:sz="6" w:space="0" w:color="auto"/>
              <w:left w:val="single" w:sz="6" w:space="0" w:color="auto"/>
              <w:bottom w:val="single" w:sz="6" w:space="0" w:color="auto"/>
              <w:right w:val="single" w:sz="6" w:space="0" w:color="auto"/>
            </w:tcBorders>
          </w:tcPr>
          <w:p w14:paraId="7DFCF32A" w14:textId="77777777" w:rsidR="006031D6" w:rsidRPr="006031D6" w:rsidRDefault="006031D6" w:rsidP="006031D6">
            <w:pPr>
              <w:pStyle w:val="Texttabulky"/>
              <w:spacing w:after="0" w:line="240" w:lineRule="atLeast"/>
              <w:rPr>
                <w:rFonts w:cs="Arial"/>
              </w:rPr>
            </w:pPr>
            <w:r w:rsidRPr="006031D6">
              <w:rPr>
                <w:rFonts w:cs="Arial"/>
                <w:b/>
                <w:bCs/>
                <w:sz w:val="18"/>
                <w:szCs w:val="18"/>
              </w:rPr>
              <w:t>27,1</w:t>
            </w:r>
          </w:p>
        </w:tc>
        <w:tc>
          <w:tcPr>
            <w:tcW w:w="1228" w:type="dxa"/>
            <w:tcBorders>
              <w:top w:val="single" w:sz="6" w:space="0" w:color="auto"/>
              <w:left w:val="single" w:sz="6" w:space="0" w:color="auto"/>
              <w:bottom w:val="single" w:sz="6" w:space="0" w:color="auto"/>
              <w:right w:val="single" w:sz="6" w:space="0" w:color="auto"/>
            </w:tcBorders>
          </w:tcPr>
          <w:p w14:paraId="6C099C0D" w14:textId="77777777" w:rsidR="006031D6" w:rsidRPr="006031D6" w:rsidRDefault="006031D6" w:rsidP="006031D6">
            <w:pPr>
              <w:pStyle w:val="Texttabulky"/>
              <w:spacing w:after="0" w:line="240" w:lineRule="atLeast"/>
              <w:rPr>
                <w:rFonts w:cs="Arial"/>
              </w:rPr>
            </w:pPr>
            <w:r w:rsidRPr="006031D6">
              <w:rPr>
                <w:rFonts w:cs="Arial"/>
                <w:b/>
                <w:bCs/>
                <w:sz w:val="18"/>
                <w:szCs w:val="18"/>
              </w:rPr>
              <w:t>37,5</w:t>
            </w:r>
          </w:p>
        </w:tc>
        <w:tc>
          <w:tcPr>
            <w:tcW w:w="865" w:type="dxa"/>
            <w:tcBorders>
              <w:top w:val="single" w:sz="6" w:space="0" w:color="auto"/>
              <w:left w:val="single" w:sz="6" w:space="0" w:color="auto"/>
              <w:bottom w:val="single" w:sz="6" w:space="0" w:color="auto"/>
              <w:right w:val="single" w:sz="6" w:space="0" w:color="auto"/>
            </w:tcBorders>
          </w:tcPr>
          <w:p w14:paraId="47B490FD" w14:textId="77777777" w:rsidR="006031D6" w:rsidRPr="006031D6" w:rsidRDefault="006031D6" w:rsidP="006031D6">
            <w:pPr>
              <w:pStyle w:val="Texttabulky"/>
              <w:spacing w:after="0" w:line="240" w:lineRule="atLeast"/>
              <w:rPr>
                <w:rFonts w:cs="Arial"/>
              </w:rPr>
            </w:pPr>
            <w:r w:rsidRPr="006031D6">
              <w:rPr>
                <w:rFonts w:cs="Arial"/>
                <w:b/>
                <w:bCs/>
                <w:sz w:val="18"/>
                <w:szCs w:val="18"/>
              </w:rPr>
              <w:t>13</w:t>
            </w:r>
          </w:p>
        </w:tc>
        <w:tc>
          <w:tcPr>
            <w:tcW w:w="839" w:type="dxa"/>
            <w:tcBorders>
              <w:top w:val="single" w:sz="6" w:space="0" w:color="auto"/>
              <w:left w:val="single" w:sz="6" w:space="0" w:color="auto"/>
              <w:bottom w:val="single" w:sz="6" w:space="0" w:color="auto"/>
              <w:right w:val="single" w:sz="6" w:space="0" w:color="auto"/>
            </w:tcBorders>
          </w:tcPr>
          <w:p w14:paraId="752B13E5" w14:textId="77777777" w:rsidR="006031D6" w:rsidRPr="006031D6" w:rsidRDefault="006031D6" w:rsidP="006031D6">
            <w:pPr>
              <w:pStyle w:val="Texttabulky"/>
              <w:spacing w:after="0" w:line="240" w:lineRule="atLeast"/>
              <w:rPr>
                <w:rFonts w:cs="Arial"/>
              </w:rPr>
            </w:pPr>
            <w:r w:rsidRPr="006031D6">
              <w:rPr>
                <w:rFonts w:cs="Arial"/>
                <w:b/>
                <w:bCs/>
                <w:sz w:val="18"/>
                <w:szCs w:val="18"/>
              </w:rPr>
              <w:t>19</w:t>
            </w:r>
          </w:p>
        </w:tc>
      </w:tr>
    </w:tbl>
    <w:p w14:paraId="7B08A267" w14:textId="77777777" w:rsidR="006031D6" w:rsidRPr="006031D6" w:rsidRDefault="006031D6" w:rsidP="006031D6">
      <w:pPr>
        <w:autoSpaceDE w:val="0"/>
        <w:autoSpaceDN w:val="0"/>
        <w:adjustRightInd w:val="0"/>
        <w:spacing w:before="120" w:line="288" w:lineRule="auto"/>
        <w:ind w:firstLine="709"/>
        <w:jc w:val="both"/>
        <w:rPr>
          <w:rFonts w:ascii="Arial" w:hAnsi="Arial" w:cs="Arial"/>
          <w:sz w:val="20"/>
        </w:rPr>
      </w:pPr>
    </w:p>
    <w:p w14:paraId="154B3EC2" w14:textId="77777777" w:rsidR="006031D6" w:rsidRPr="006031D6" w:rsidRDefault="006031D6" w:rsidP="006031D6">
      <w:pPr>
        <w:pStyle w:val="podnadpis2"/>
        <w:spacing w:before="120" w:after="0" w:line="288" w:lineRule="auto"/>
        <w:ind w:firstLine="709"/>
        <w:jc w:val="both"/>
        <w:rPr>
          <w:rFonts w:cs="Arial"/>
          <w:sz w:val="28"/>
          <w:szCs w:val="28"/>
        </w:rPr>
      </w:pPr>
      <w:r w:rsidRPr="006031D6">
        <w:rPr>
          <w:rFonts w:cs="Arial"/>
          <w:sz w:val="28"/>
          <w:szCs w:val="28"/>
        </w:rPr>
        <w:t>G1.3. Posouzení a návrh zdrojového krytí sídelního útvaru a posouzení velikosti vodojemů, návrh rozšíření</w:t>
      </w:r>
    </w:p>
    <w:p w14:paraId="02B35D57" w14:textId="77777777" w:rsidR="006031D6" w:rsidRPr="006031D6" w:rsidRDefault="006031D6" w:rsidP="006031D6">
      <w:pPr>
        <w:pStyle w:val="podnadpis2"/>
        <w:spacing w:before="120" w:after="0" w:line="288" w:lineRule="auto"/>
        <w:jc w:val="both"/>
        <w:rPr>
          <w:rFonts w:cs="Arial"/>
        </w:rPr>
      </w:pPr>
      <w:r w:rsidRPr="006031D6">
        <w:rPr>
          <w:rFonts w:cs="Arial"/>
          <w:szCs w:val="22"/>
        </w:rPr>
        <w:t>Zdrojové krytí</w:t>
      </w:r>
    </w:p>
    <w:p w14:paraId="3610834F"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Celková potřeba ve vlastním Děčíně činí tedy ke konci návrhového období 251 l/s (Q</w:t>
      </w:r>
      <w:r w:rsidRPr="006031D6">
        <w:rPr>
          <w:rFonts w:ascii="Arial" w:hAnsi="Arial" w:cs="Arial"/>
          <w:position w:val="-6"/>
          <w:sz w:val="22"/>
          <w:szCs w:val="22"/>
          <w:vertAlign w:val="subscript"/>
        </w:rPr>
        <w:t>max</w:t>
      </w:r>
      <w:r w:rsidRPr="006031D6">
        <w:rPr>
          <w:rFonts w:ascii="Arial" w:hAnsi="Arial" w:cs="Arial"/>
          <w:sz w:val="22"/>
          <w:szCs w:val="22"/>
        </w:rPr>
        <w:t>) při započtení zbytku řešeného území města 280 l/s (Q</w:t>
      </w:r>
      <w:r w:rsidRPr="006031D6">
        <w:rPr>
          <w:rFonts w:ascii="Arial" w:hAnsi="Arial" w:cs="Arial"/>
          <w:position w:val="-6"/>
          <w:sz w:val="22"/>
          <w:szCs w:val="22"/>
          <w:vertAlign w:val="subscript"/>
        </w:rPr>
        <w:t>max</w:t>
      </w:r>
      <w:r w:rsidRPr="006031D6">
        <w:rPr>
          <w:rFonts w:ascii="Arial" w:hAnsi="Arial" w:cs="Arial"/>
          <w:sz w:val="22"/>
          <w:szCs w:val="22"/>
        </w:rPr>
        <w:t>). V této hodnotě není započítána potřeba Jílového. Zdroje, které jsou v řešeném území k  dispozici, mají minimální vydatnost 237l/s. Bude tedy chybět v extrémním období cca 43 l/s.</w:t>
      </w:r>
    </w:p>
    <w:p w14:paraId="328A4A17"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Dalším důvodem pro nárokování nové kapacity zdrojů pro Děčín je skutečnost, že přívod vody ze Hřenska pokrývá cca 50% potřeby. Jakákoli kolize způsobí vážné problémy v zabezpečenosti dodávky. Exploatace stávajících zdrojů na maximálně možnou kapacitu se jeví jako riziková. Navrhuje se proto pro Děčín zajistit nový zdroj v maximální kapacitě 40 – 50 l/s k závěru návrhového období. </w:t>
      </w:r>
    </w:p>
    <w:p w14:paraId="7E491D68"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b/>
          <w:bCs/>
          <w:sz w:val="22"/>
          <w:szCs w:val="22"/>
        </w:rPr>
        <w:t>Jako potenciální zdroje připadají v úvahu následující kapacity:</w:t>
      </w:r>
    </w:p>
    <w:p w14:paraId="55FA22CE"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Stará Oleška SO – 1</w:t>
      </w:r>
    </w:p>
    <w:p w14:paraId="781614C5"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Všemily HV – 3, DK j – 1</w:t>
      </w:r>
    </w:p>
    <w:p w14:paraId="0227C4E7"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Děčínské termy</w:t>
      </w:r>
    </w:p>
    <w:p w14:paraId="4AB984CB"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Podzemní voda z povodí Bynovského potoka</w:t>
      </w:r>
    </w:p>
    <w:p w14:paraId="4A284666"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lastRenderedPageBreak/>
        <w:t xml:space="preserve">Konečné řešení je podmíněno hlavně dokončením průzkumných prací a ekonomickou rozvahou. </w:t>
      </w:r>
    </w:p>
    <w:p w14:paraId="0621A20E" w14:textId="77777777" w:rsidR="006031D6" w:rsidRPr="006031D6" w:rsidRDefault="006031D6" w:rsidP="006031D6">
      <w:pPr>
        <w:pStyle w:val="podnadpis2"/>
        <w:keepNext/>
        <w:spacing w:before="120" w:after="0" w:line="288" w:lineRule="auto"/>
        <w:jc w:val="both"/>
        <w:rPr>
          <w:rFonts w:cs="Arial"/>
        </w:rPr>
      </w:pPr>
      <w:r w:rsidRPr="006031D6">
        <w:rPr>
          <w:rFonts w:cs="Arial"/>
          <w:szCs w:val="22"/>
        </w:rPr>
        <w:t>Vodojemy</w:t>
      </w:r>
    </w:p>
    <w:p w14:paraId="5352B53F"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Celková maximální denní potřeba v Děčíně (Q</w:t>
      </w:r>
      <w:r w:rsidRPr="006031D6">
        <w:rPr>
          <w:rFonts w:ascii="Arial" w:hAnsi="Arial" w:cs="Arial"/>
          <w:position w:val="-6"/>
          <w:sz w:val="22"/>
          <w:szCs w:val="22"/>
          <w:vertAlign w:val="subscript"/>
        </w:rPr>
        <w:t>max</w:t>
      </w:r>
      <w:r w:rsidRPr="006031D6">
        <w:rPr>
          <w:rFonts w:ascii="Arial" w:hAnsi="Arial" w:cs="Arial"/>
          <w:sz w:val="22"/>
          <w:szCs w:val="22"/>
        </w:rPr>
        <w:t>) v návrhovém období byla vypočtena na 24 200 m</w:t>
      </w:r>
      <w:r w:rsidRPr="006031D6">
        <w:rPr>
          <w:rFonts w:ascii="Arial" w:hAnsi="Arial" w:cs="Arial"/>
          <w:position w:val="6"/>
          <w:sz w:val="22"/>
          <w:szCs w:val="22"/>
          <w:vertAlign w:val="superscript"/>
        </w:rPr>
        <w:t>3</w:t>
      </w:r>
      <w:r w:rsidRPr="006031D6">
        <w:rPr>
          <w:rFonts w:ascii="Arial" w:hAnsi="Arial" w:cs="Arial"/>
          <w:sz w:val="22"/>
          <w:szCs w:val="22"/>
        </w:rPr>
        <w:t>/den. Současná kapacita vodojemů činí 31.220 m</w:t>
      </w:r>
      <w:r w:rsidRPr="006031D6">
        <w:rPr>
          <w:rFonts w:ascii="Arial" w:hAnsi="Arial" w:cs="Arial"/>
          <w:position w:val="6"/>
          <w:sz w:val="22"/>
          <w:szCs w:val="22"/>
        </w:rPr>
        <w:t>3</w:t>
      </w:r>
      <w:r w:rsidRPr="006031D6">
        <w:rPr>
          <w:rFonts w:ascii="Arial" w:hAnsi="Arial" w:cs="Arial"/>
          <w:sz w:val="22"/>
          <w:szCs w:val="22"/>
        </w:rPr>
        <w:t>/den, což je cca 129% Q</w:t>
      </w:r>
      <w:r w:rsidRPr="006031D6">
        <w:rPr>
          <w:rFonts w:ascii="Arial" w:hAnsi="Arial" w:cs="Arial"/>
          <w:position w:val="-6"/>
          <w:sz w:val="22"/>
          <w:szCs w:val="22"/>
          <w:vertAlign w:val="subscript"/>
        </w:rPr>
        <w:t>max</w:t>
      </w:r>
      <w:r w:rsidRPr="006031D6">
        <w:rPr>
          <w:rFonts w:ascii="Arial" w:hAnsi="Arial" w:cs="Arial"/>
          <w:sz w:val="22"/>
          <w:szCs w:val="22"/>
        </w:rPr>
        <w:t xml:space="preserve">. Z tohoto důvodu se jeví rozšiřování akumulace jako zbytečné, neboť je spíše předimenzované. </w:t>
      </w:r>
    </w:p>
    <w:p w14:paraId="27001AA3"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Problémem je rozložení akumulací v jednotlivých tlakových pásmech, či spíše zásobních oblastech vodojemu.</w:t>
      </w:r>
    </w:p>
    <w:p w14:paraId="4A0AB682"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Markantní je </w:t>
      </w:r>
      <w:r w:rsidRPr="006031D6">
        <w:rPr>
          <w:rFonts w:ascii="Arial" w:hAnsi="Arial" w:cs="Arial"/>
          <w:b/>
          <w:bCs/>
          <w:sz w:val="22"/>
          <w:szCs w:val="22"/>
        </w:rPr>
        <w:t>deficit v zásobní oblasti vodojemu Škrabky</w:t>
      </w:r>
      <w:r w:rsidRPr="006031D6">
        <w:rPr>
          <w:rFonts w:ascii="Arial" w:hAnsi="Arial" w:cs="Arial"/>
          <w:sz w:val="22"/>
          <w:szCs w:val="22"/>
        </w:rPr>
        <w:t xml:space="preserve">; naopak přebytky jsou v pásmu vodojemů Kamenická a Studený a vodojemů Čertův nový a starý. Z tohoto důvodu se navrhuje pro lepší využití stávajících akumulací zkapacitnění řadu DN 200 přes Tyršův most: zdvojení, či nahrazení kapacitnějším profilem. </w:t>
      </w:r>
    </w:p>
    <w:p w14:paraId="18086428"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Z provozních důvodů se pro pásmo vodojemu Pastýřská stěna na Letné pod Popovickým vrchem navrhuje vybudování nového vodojemu 100 - 150 m</w:t>
      </w:r>
      <w:r w:rsidRPr="006031D6">
        <w:rPr>
          <w:rFonts w:ascii="Arial" w:hAnsi="Arial" w:cs="Arial"/>
          <w:position w:val="6"/>
          <w:sz w:val="22"/>
          <w:szCs w:val="22"/>
          <w:vertAlign w:val="superscript"/>
        </w:rPr>
        <w:t>3</w:t>
      </w:r>
      <w:r w:rsidRPr="006031D6">
        <w:rPr>
          <w:rFonts w:ascii="Arial" w:hAnsi="Arial" w:cs="Arial"/>
          <w:sz w:val="22"/>
          <w:szCs w:val="22"/>
        </w:rPr>
        <w:t xml:space="preserve"> na výšce vodojemu Pastýřská stěna (266,85 / 263,35 m n. m.) s plněním z řadu DN 400 z vodojemu Kámen - Hřensko. </w:t>
      </w:r>
    </w:p>
    <w:p w14:paraId="14F71E96"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Jiné rozšíření akumulace se nenavrhují. </w:t>
      </w:r>
    </w:p>
    <w:p w14:paraId="675D21FA" w14:textId="77777777" w:rsidR="006031D6" w:rsidRPr="006031D6" w:rsidRDefault="006031D6" w:rsidP="006031D6">
      <w:pPr>
        <w:pStyle w:val="Zkladntext"/>
        <w:spacing w:before="120" w:line="288" w:lineRule="auto"/>
        <w:rPr>
          <w:rFonts w:ascii="Arial" w:hAnsi="Arial" w:cs="Arial"/>
        </w:rPr>
      </w:pPr>
    </w:p>
    <w:p w14:paraId="7AED6A94" w14:textId="77777777" w:rsidR="006031D6" w:rsidRPr="006031D6" w:rsidRDefault="006031D6" w:rsidP="006031D6">
      <w:pPr>
        <w:pStyle w:val="podnadpis2"/>
        <w:spacing w:before="120" w:after="0" w:line="288" w:lineRule="auto"/>
        <w:jc w:val="both"/>
        <w:rPr>
          <w:rFonts w:cs="Arial"/>
          <w:sz w:val="28"/>
          <w:szCs w:val="28"/>
        </w:rPr>
      </w:pPr>
      <w:r w:rsidRPr="006031D6">
        <w:rPr>
          <w:rFonts w:cs="Arial"/>
          <w:sz w:val="28"/>
          <w:szCs w:val="28"/>
        </w:rPr>
        <w:t>G1.4. Návrh doplnění a rekonstrukce stávajících řadů</w:t>
      </w:r>
    </w:p>
    <w:p w14:paraId="011EAC27" w14:textId="77777777" w:rsidR="006031D6" w:rsidRPr="006031D6" w:rsidRDefault="006031D6" w:rsidP="006031D6">
      <w:pPr>
        <w:pStyle w:val="podnadpis2"/>
        <w:spacing w:before="120" w:after="0" w:line="288" w:lineRule="auto"/>
        <w:jc w:val="both"/>
        <w:rPr>
          <w:rFonts w:cs="Arial"/>
        </w:rPr>
      </w:pPr>
      <w:r w:rsidRPr="006031D6">
        <w:rPr>
          <w:rFonts w:cs="Arial"/>
          <w:szCs w:val="22"/>
        </w:rPr>
        <w:t>Rekonstrukce zlepšující využití zdrojů a provozní podmínky vodovodu</w:t>
      </w:r>
    </w:p>
    <w:p w14:paraId="10BEF55D" w14:textId="77777777" w:rsidR="006031D6" w:rsidRPr="006031D6" w:rsidRDefault="006031D6" w:rsidP="006031D6">
      <w:pPr>
        <w:pStyle w:val="Zkladntext"/>
        <w:spacing w:before="120" w:line="288" w:lineRule="auto"/>
        <w:rPr>
          <w:rFonts w:ascii="Arial" w:hAnsi="Arial" w:cs="Arial"/>
          <w:sz w:val="22"/>
          <w:szCs w:val="22"/>
        </w:rPr>
      </w:pPr>
      <w:r w:rsidRPr="006031D6">
        <w:rPr>
          <w:rFonts w:ascii="Arial" w:hAnsi="Arial" w:cs="Arial"/>
          <w:b/>
          <w:bCs/>
          <w:sz w:val="22"/>
          <w:szCs w:val="22"/>
        </w:rPr>
        <w:t>Nezbytné jsou následující úpravy:</w:t>
      </w:r>
    </w:p>
    <w:p w14:paraId="08D7B62C"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1.</w:t>
      </w:r>
      <w:r w:rsidRPr="006031D6">
        <w:rPr>
          <w:rFonts w:ascii="Arial" w:hAnsi="Arial" w:cs="Arial"/>
          <w:sz w:val="22"/>
          <w:szCs w:val="22"/>
        </w:rPr>
        <w:tab/>
        <w:t>Rekonstrukce přívodního řadu z pramenišť v Dolním Žlebu a Čertovy vody na DN 300 do vodojemu Čertův - starý.</w:t>
      </w:r>
    </w:p>
    <w:p w14:paraId="56747C9A"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2.</w:t>
      </w:r>
      <w:r w:rsidRPr="006031D6">
        <w:rPr>
          <w:rFonts w:ascii="Arial" w:hAnsi="Arial" w:cs="Arial"/>
          <w:sz w:val="22"/>
          <w:szCs w:val="22"/>
        </w:rPr>
        <w:tab/>
        <w:t>Výměna přívodního řadu z prameniště Bělá DN 200 ze sběrny vysokého pásma pod Sněžníkem do vodojemu Škrabky. Zároveň se navrhuje výměna souběžného řadu DN 300 (část přívodu již byla rekonstruovaná, viz situace)</w:t>
      </w:r>
    </w:p>
    <w:p w14:paraId="4DDD147F"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3.</w:t>
      </w:r>
      <w:r w:rsidRPr="006031D6">
        <w:rPr>
          <w:rFonts w:ascii="Arial" w:hAnsi="Arial" w:cs="Arial"/>
          <w:sz w:val="22"/>
          <w:szCs w:val="22"/>
        </w:rPr>
        <w:tab/>
        <w:t>Propojení řadů na Ústecké ulici novým řadem DN 200 (viz situace).</w:t>
      </w:r>
    </w:p>
    <w:p w14:paraId="3568278D"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4.</w:t>
      </w:r>
      <w:r w:rsidRPr="006031D6">
        <w:rPr>
          <w:rFonts w:ascii="Arial" w:hAnsi="Arial" w:cs="Arial"/>
          <w:sz w:val="22"/>
          <w:szCs w:val="22"/>
        </w:rPr>
        <w:tab/>
        <w:t>Na pravém břehu Labe postupně vyměnit řad DN 80 na DN 110 v trase po ulici Vítězství.</w:t>
      </w:r>
    </w:p>
    <w:p w14:paraId="77C216C6"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5.</w:t>
      </w:r>
      <w:r w:rsidRPr="006031D6">
        <w:rPr>
          <w:rFonts w:ascii="Arial" w:hAnsi="Arial" w:cs="Arial"/>
          <w:sz w:val="22"/>
          <w:szCs w:val="22"/>
        </w:rPr>
        <w:tab/>
        <w:t>Zkapacitnění řadu DN 80 podél Dopravního podniku do Dělnické ulice na DN 150.</w:t>
      </w:r>
    </w:p>
    <w:p w14:paraId="6BF09FDD"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6.</w:t>
      </w:r>
      <w:r w:rsidRPr="006031D6">
        <w:rPr>
          <w:rFonts w:ascii="Arial" w:hAnsi="Arial" w:cs="Arial"/>
          <w:sz w:val="22"/>
          <w:szCs w:val="22"/>
        </w:rPr>
        <w:tab/>
        <w:t>Kompletní rekonstrukce vodovodu Vilsnice.</w:t>
      </w:r>
    </w:p>
    <w:p w14:paraId="0931DDE5"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7.</w:t>
      </w:r>
      <w:r w:rsidRPr="006031D6">
        <w:rPr>
          <w:rFonts w:ascii="Arial" w:hAnsi="Arial" w:cs="Arial"/>
          <w:sz w:val="22"/>
          <w:szCs w:val="22"/>
        </w:rPr>
        <w:tab/>
        <w:t>Rekonstrukce vodovodu Lesná.</w:t>
      </w:r>
    </w:p>
    <w:p w14:paraId="591A505D"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8.</w:t>
      </w:r>
      <w:r w:rsidRPr="006031D6">
        <w:rPr>
          <w:rFonts w:ascii="Arial" w:hAnsi="Arial" w:cs="Arial"/>
          <w:sz w:val="22"/>
          <w:szCs w:val="22"/>
        </w:rPr>
        <w:tab/>
        <w:t>Rekonstrukce vodovodu Velká Veleň.</w:t>
      </w:r>
    </w:p>
    <w:p w14:paraId="6189E623"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9.</w:t>
      </w:r>
      <w:r w:rsidRPr="006031D6">
        <w:rPr>
          <w:rFonts w:ascii="Arial" w:hAnsi="Arial" w:cs="Arial"/>
          <w:sz w:val="22"/>
          <w:szCs w:val="22"/>
        </w:rPr>
        <w:tab/>
        <w:t>Rekonstrukce přivaděčů pramenišť Kristin Hrádek a Vlčí pramen.</w:t>
      </w:r>
    </w:p>
    <w:p w14:paraId="024EAB34"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10.</w:t>
      </w:r>
      <w:r w:rsidRPr="006031D6">
        <w:rPr>
          <w:rFonts w:ascii="Arial" w:hAnsi="Arial" w:cs="Arial"/>
          <w:sz w:val="22"/>
          <w:szCs w:val="22"/>
        </w:rPr>
        <w:tab/>
        <w:t>Postupná výměna starých řadů v Podmoklech a Děčíně.</w:t>
      </w:r>
    </w:p>
    <w:p w14:paraId="1F0A9F3E" w14:textId="77777777" w:rsidR="006031D6" w:rsidRPr="006031D6" w:rsidRDefault="006031D6" w:rsidP="006031D6">
      <w:pPr>
        <w:pStyle w:val="Zkladntext"/>
        <w:spacing w:before="120" w:line="288" w:lineRule="auto"/>
        <w:rPr>
          <w:rFonts w:ascii="Arial" w:hAnsi="Arial" w:cs="Arial"/>
        </w:rPr>
      </w:pPr>
    </w:p>
    <w:p w14:paraId="758BCD96" w14:textId="77777777" w:rsidR="006031D6" w:rsidRPr="006031D6" w:rsidRDefault="006031D6" w:rsidP="006031D6">
      <w:pPr>
        <w:pStyle w:val="podnadpis2"/>
        <w:keepNext/>
        <w:spacing w:before="120" w:after="0" w:line="288" w:lineRule="auto"/>
        <w:jc w:val="both"/>
        <w:rPr>
          <w:rFonts w:cs="Arial"/>
        </w:rPr>
      </w:pPr>
      <w:r w:rsidRPr="006031D6">
        <w:rPr>
          <w:rFonts w:cs="Arial"/>
          <w:szCs w:val="22"/>
        </w:rPr>
        <w:lastRenderedPageBreak/>
        <w:t>Návrh napojení nové zástavby na vodovod</w:t>
      </w:r>
    </w:p>
    <w:p w14:paraId="0F5AEFF4"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Návrh napojení je řešen s přihlédnutím k  požadavkům ČSN 73 08 73 čl. 3 a 4 "Zásobování požární vodou" tak aby pitný vodovod plnil zároveň funkci požárního vodovodu.</w:t>
      </w:r>
    </w:p>
    <w:p w14:paraId="2EB40BE1" w14:textId="77777777" w:rsidR="006031D6" w:rsidRPr="006031D6" w:rsidRDefault="006031D6" w:rsidP="006031D6">
      <w:pPr>
        <w:pStyle w:val="Zkladntext"/>
        <w:spacing w:before="120" w:line="288" w:lineRule="auto"/>
        <w:rPr>
          <w:rFonts w:ascii="Arial" w:hAnsi="Arial" w:cs="Arial"/>
          <w:sz w:val="22"/>
          <w:szCs w:val="22"/>
        </w:rPr>
      </w:pPr>
    </w:p>
    <w:p w14:paraId="4C387EF8" w14:textId="77777777" w:rsidR="006031D6" w:rsidRPr="006031D6" w:rsidRDefault="006031D6" w:rsidP="006031D6">
      <w:pPr>
        <w:pStyle w:val="podnadpis2"/>
        <w:spacing w:before="120" w:after="0" w:line="288" w:lineRule="auto"/>
        <w:jc w:val="both"/>
        <w:rPr>
          <w:rFonts w:cs="Arial"/>
          <w:sz w:val="28"/>
          <w:szCs w:val="28"/>
        </w:rPr>
      </w:pPr>
      <w:r w:rsidRPr="006031D6">
        <w:rPr>
          <w:rFonts w:cs="Arial"/>
          <w:sz w:val="28"/>
          <w:szCs w:val="28"/>
        </w:rPr>
        <w:t>G1.5. Ochrana vodních zdrojů</w:t>
      </w:r>
    </w:p>
    <w:p w14:paraId="2E6BCDD5" w14:textId="77777777" w:rsidR="006031D6" w:rsidRPr="006031D6" w:rsidRDefault="006031D6" w:rsidP="006031D6">
      <w:pPr>
        <w:pStyle w:val="Zkladntext"/>
        <w:spacing w:before="120" w:line="288" w:lineRule="auto"/>
        <w:rPr>
          <w:rFonts w:ascii="Arial" w:hAnsi="Arial" w:cs="Arial"/>
          <w:sz w:val="22"/>
          <w:szCs w:val="22"/>
        </w:rPr>
      </w:pPr>
      <w:r w:rsidRPr="006031D6">
        <w:rPr>
          <w:rFonts w:ascii="Arial" w:hAnsi="Arial" w:cs="Arial"/>
          <w:b/>
          <w:bCs/>
          <w:sz w:val="22"/>
          <w:szCs w:val="22"/>
        </w:rPr>
        <w:t xml:space="preserve">a) </w:t>
      </w:r>
      <w:r w:rsidRPr="006031D6">
        <w:rPr>
          <w:rFonts w:ascii="Arial" w:hAnsi="Arial" w:cs="Arial"/>
          <w:b/>
          <w:bCs/>
          <w:caps/>
          <w:sz w:val="22"/>
          <w:szCs w:val="22"/>
        </w:rPr>
        <w:t>CHOPAV Severočeská křída</w:t>
      </w:r>
    </w:p>
    <w:p w14:paraId="78C420C5"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V roce 1981 byla vládním nařízením č. 85 vyhlášena Chráněná oblast přirozené akumulace vod (CHOPAV) Severočeská křída. Část řešeného území do této oblasti spadá. V chráněných vodohospodářských oblastech se (mimo jiné) zakazuje:</w:t>
      </w:r>
    </w:p>
    <w:p w14:paraId="172A0ED8" w14:textId="77777777" w:rsidR="006031D6" w:rsidRPr="006031D6" w:rsidRDefault="006031D6" w:rsidP="006031D6">
      <w:pPr>
        <w:pStyle w:val="Zkladntext"/>
        <w:numPr>
          <w:ilvl w:val="0"/>
          <w:numId w:val="56"/>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zmenšovat rozsah lesních pozemků v jednotlivých případech o více než 25 ha, celkově smí být rozsah lesních pozemků snížen maximálně o 500 ha;</w:t>
      </w:r>
    </w:p>
    <w:p w14:paraId="43882FE3" w14:textId="77777777" w:rsidR="006031D6" w:rsidRPr="006031D6" w:rsidRDefault="006031D6" w:rsidP="006031D6">
      <w:pPr>
        <w:pStyle w:val="Zkladntext"/>
        <w:numPr>
          <w:ilvl w:val="0"/>
          <w:numId w:val="56"/>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odvodňovat více než 250 ha souvislé plochy lesních pozemků, zemědělských více než 50 ha.</w:t>
      </w:r>
    </w:p>
    <w:p w14:paraId="5AA1F2E0"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Vládní nařízení omezuje těžbu nerostů, rašeliny, radioaktivních surovin. Omezení se vztahuje na vrtné práce a zemědělskou velkovýrobu. Přesná citace podmínek je ve shora uvedeném vládním nařízení.</w:t>
      </w:r>
    </w:p>
    <w:p w14:paraId="11EF6C4C" w14:textId="77777777" w:rsidR="006031D6" w:rsidRPr="006031D6" w:rsidRDefault="006031D6" w:rsidP="006031D6">
      <w:pPr>
        <w:pStyle w:val="Zkladntext"/>
        <w:tabs>
          <w:tab w:val="left" w:pos="360"/>
        </w:tabs>
        <w:spacing w:before="120" w:line="288" w:lineRule="auto"/>
        <w:ind w:left="360" w:hanging="360"/>
        <w:rPr>
          <w:rFonts w:ascii="Arial" w:hAnsi="Arial" w:cs="Arial"/>
          <w:sz w:val="22"/>
          <w:szCs w:val="22"/>
        </w:rPr>
      </w:pPr>
    </w:p>
    <w:p w14:paraId="291A48D2" w14:textId="77777777" w:rsidR="006031D6" w:rsidRPr="006031D6" w:rsidRDefault="006031D6" w:rsidP="006031D6">
      <w:pPr>
        <w:pStyle w:val="Zkladntext"/>
        <w:spacing w:before="120" w:line="288" w:lineRule="auto"/>
        <w:rPr>
          <w:rFonts w:ascii="Arial" w:hAnsi="Arial" w:cs="Arial"/>
          <w:sz w:val="22"/>
          <w:szCs w:val="22"/>
        </w:rPr>
      </w:pPr>
      <w:r w:rsidRPr="006031D6">
        <w:rPr>
          <w:rFonts w:ascii="Arial" w:hAnsi="Arial" w:cs="Arial"/>
          <w:b/>
          <w:bCs/>
          <w:sz w:val="22"/>
          <w:szCs w:val="22"/>
        </w:rPr>
        <w:t xml:space="preserve">b) </w:t>
      </w:r>
      <w:r w:rsidRPr="006031D6">
        <w:rPr>
          <w:rFonts w:ascii="Arial" w:hAnsi="Arial" w:cs="Arial"/>
          <w:b/>
          <w:bCs/>
          <w:caps/>
          <w:sz w:val="22"/>
          <w:szCs w:val="22"/>
        </w:rPr>
        <w:t>ochranná pásma vodních zdrojů</w:t>
      </w:r>
    </w:p>
    <w:p w14:paraId="70687661"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Pásma hygienické ochrany jsou vyhlášena pro:</w:t>
      </w:r>
    </w:p>
    <w:p w14:paraId="72925C20"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1.)</w:t>
      </w:r>
      <w:r w:rsidRPr="006031D6">
        <w:rPr>
          <w:rFonts w:ascii="Arial" w:hAnsi="Arial" w:cs="Arial"/>
          <w:sz w:val="22"/>
          <w:szCs w:val="22"/>
        </w:rPr>
        <w:tab/>
        <w:t>Prameniště Děčínský Sněžník - toto prameniště zahrnuje dílčí prameniště Studený pramen, Vlčí pramen, Bělou, Čertovu vodu, Dolní Žleb, Kristin hrádek. Všechna dílčí prameniště mají vyhlášena I. a II. A pásma hygienické ochrany (PHO) vlastní, PHO II. B je společné. (Rozhodnutí VLHZ 1339/85/235/KL z 28. 1. 1986. Dodatek rozhodnutí je z roku 1990).</w:t>
      </w:r>
    </w:p>
    <w:p w14:paraId="73E51F3F"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2.)</w:t>
      </w:r>
      <w:r w:rsidRPr="006031D6">
        <w:rPr>
          <w:rFonts w:ascii="Arial" w:hAnsi="Arial" w:cs="Arial"/>
          <w:sz w:val="22"/>
          <w:szCs w:val="22"/>
        </w:rPr>
        <w:tab/>
        <w:t>Prameniště Bynov - PHO I., II. A a II. B jsou stanovena rozhodnutím VLHZ 249 / 86 /2 35 /KL z 15.7. 1986.</w:t>
      </w:r>
    </w:p>
    <w:p w14:paraId="37ECBC2F"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3.)</w:t>
      </w:r>
      <w:r w:rsidRPr="006031D6">
        <w:rPr>
          <w:rFonts w:ascii="Arial" w:hAnsi="Arial" w:cs="Arial"/>
          <w:sz w:val="22"/>
          <w:szCs w:val="22"/>
        </w:rPr>
        <w:tab/>
        <w:t>Prameniště Maxičky má stanoveno PHO I. stupně z 20. 9. 1984. Ostatní místní zdroje mají vyhlášena pouze I. PHO. Mimo území je prameniště Hřensko. PHO má vyhlášena z r. 1970.</w:t>
      </w:r>
    </w:p>
    <w:p w14:paraId="0FFC1A23" w14:textId="77777777" w:rsid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K  veškeré činnosti v PHO je nutný souhlas správce a majitele zdrojů a vodohospodářského orgánu.</w:t>
      </w:r>
    </w:p>
    <w:p w14:paraId="558379FE" w14:textId="77777777" w:rsidR="006031D6" w:rsidRPr="006031D6" w:rsidRDefault="006031D6" w:rsidP="006031D6">
      <w:pPr>
        <w:pStyle w:val="Zkladntext"/>
        <w:spacing w:before="120" w:line="288" w:lineRule="auto"/>
        <w:ind w:firstLine="709"/>
        <w:jc w:val="both"/>
        <w:rPr>
          <w:rFonts w:ascii="Arial" w:hAnsi="Arial" w:cs="Arial"/>
          <w:sz w:val="22"/>
          <w:szCs w:val="22"/>
        </w:rPr>
      </w:pPr>
    </w:p>
    <w:p w14:paraId="2FEBF7D7" w14:textId="77777777" w:rsidR="006031D6" w:rsidRPr="006031D6" w:rsidRDefault="006031D6" w:rsidP="006031D6">
      <w:pPr>
        <w:pStyle w:val="Zkladntext"/>
        <w:spacing w:before="120" w:line="288" w:lineRule="auto"/>
        <w:jc w:val="both"/>
        <w:rPr>
          <w:rFonts w:ascii="Arial" w:hAnsi="Arial" w:cs="Arial"/>
          <w:sz w:val="22"/>
          <w:szCs w:val="22"/>
        </w:rPr>
      </w:pPr>
    </w:p>
    <w:p w14:paraId="0A8FC288" w14:textId="77777777" w:rsidR="006031D6" w:rsidRPr="006031D6" w:rsidRDefault="006031D6" w:rsidP="006031D6">
      <w:pPr>
        <w:pStyle w:val="podnadpis1"/>
        <w:spacing w:before="120" w:after="0" w:line="288" w:lineRule="auto"/>
        <w:jc w:val="both"/>
        <w:rPr>
          <w:rFonts w:cs="Arial"/>
        </w:rPr>
      </w:pPr>
      <w:r w:rsidRPr="006031D6">
        <w:rPr>
          <w:rFonts w:cs="Arial"/>
        </w:rPr>
        <w:t>G2. Zásobování užitkovou vodou</w:t>
      </w:r>
    </w:p>
    <w:p w14:paraId="4826A390"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Průmyslové podniky řeší krytí potřeby užitkové vody jednak odběrem podzemní vody z vlastních vrtů a studní, nebo odběry povrchové vody z toků na území sídelního útvaru.</w:t>
      </w:r>
    </w:p>
    <w:p w14:paraId="0D5DA215" w14:textId="77777777" w:rsidR="006031D6" w:rsidRDefault="006031D6" w:rsidP="006031D6">
      <w:pPr>
        <w:pStyle w:val="Zkladntext"/>
        <w:spacing w:before="120" w:line="288" w:lineRule="auto"/>
        <w:rPr>
          <w:rFonts w:ascii="Arial" w:hAnsi="Arial" w:cs="Arial"/>
        </w:rPr>
      </w:pPr>
    </w:p>
    <w:p w14:paraId="5C1FC024" w14:textId="77777777" w:rsidR="006031D6" w:rsidRPr="006031D6" w:rsidRDefault="006031D6" w:rsidP="006031D6">
      <w:pPr>
        <w:pStyle w:val="podnadpis2"/>
        <w:spacing w:before="120" w:after="0" w:line="288" w:lineRule="auto"/>
        <w:jc w:val="both"/>
        <w:rPr>
          <w:rFonts w:cs="Arial"/>
          <w:sz w:val="28"/>
          <w:szCs w:val="28"/>
        </w:rPr>
      </w:pPr>
      <w:r w:rsidRPr="006031D6">
        <w:rPr>
          <w:rFonts w:cs="Arial"/>
          <w:sz w:val="28"/>
          <w:szCs w:val="28"/>
        </w:rPr>
        <w:lastRenderedPageBreak/>
        <w:t>G2.1. Odběry podzemní vody</w:t>
      </w:r>
    </w:p>
    <w:p w14:paraId="491B0DFA"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sz w:val="22"/>
          <w:szCs w:val="22"/>
        </w:rPr>
        <w:t xml:space="preserve">byly stanoveny dle elaborátů návrhu pásem hygienické ochrany závodů a v některých případech vlastním šetřením. Údaje byly aktualizovány dle šetření SčVaK, projektový odbor Liberec z března 1996. </w:t>
      </w:r>
    </w:p>
    <w:tbl>
      <w:tblPr>
        <w:tblW w:w="0" w:type="auto"/>
        <w:jc w:val="center"/>
        <w:tblLayout w:type="fixed"/>
        <w:tblCellMar>
          <w:left w:w="70" w:type="dxa"/>
          <w:right w:w="70" w:type="dxa"/>
        </w:tblCellMar>
        <w:tblLook w:val="0000" w:firstRow="0" w:lastRow="0" w:firstColumn="0" w:lastColumn="0" w:noHBand="0" w:noVBand="0"/>
      </w:tblPr>
      <w:tblGrid>
        <w:gridCol w:w="2825"/>
        <w:gridCol w:w="2318"/>
        <w:gridCol w:w="1759"/>
      </w:tblGrid>
      <w:tr w:rsidR="006031D6" w:rsidRPr="006031D6" w14:paraId="3B1812B9"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2DF4150D" w14:textId="77777777" w:rsidR="006031D6" w:rsidRPr="006031D6" w:rsidRDefault="006031D6" w:rsidP="006031D6">
            <w:pPr>
              <w:pStyle w:val="Texttabulky"/>
              <w:spacing w:after="0" w:line="240" w:lineRule="atLeast"/>
              <w:rPr>
                <w:rFonts w:cs="Arial"/>
              </w:rPr>
            </w:pPr>
            <w:r w:rsidRPr="006031D6">
              <w:rPr>
                <w:rFonts w:cs="Arial"/>
                <w:b/>
                <w:bCs/>
                <w:sz w:val="18"/>
                <w:szCs w:val="18"/>
              </w:rPr>
              <w:t>Závod</w:t>
            </w:r>
          </w:p>
        </w:tc>
        <w:tc>
          <w:tcPr>
            <w:tcW w:w="2318" w:type="dxa"/>
            <w:tcBorders>
              <w:top w:val="single" w:sz="6" w:space="0" w:color="auto"/>
              <w:left w:val="single" w:sz="6" w:space="0" w:color="auto"/>
              <w:bottom w:val="single" w:sz="6" w:space="0" w:color="auto"/>
              <w:right w:val="single" w:sz="6" w:space="0" w:color="auto"/>
            </w:tcBorders>
          </w:tcPr>
          <w:p w14:paraId="07D8566A" w14:textId="77777777" w:rsidR="006031D6" w:rsidRPr="006031D6" w:rsidRDefault="006031D6" w:rsidP="006031D6">
            <w:pPr>
              <w:pStyle w:val="Texttabulky"/>
              <w:spacing w:after="0" w:line="240" w:lineRule="atLeast"/>
              <w:rPr>
                <w:rFonts w:cs="Arial"/>
              </w:rPr>
            </w:pPr>
            <w:r w:rsidRPr="006031D6">
              <w:rPr>
                <w:rFonts w:cs="Arial"/>
                <w:b/>
                <w:bCs/>
                <w:sz w:val="18"/>
                <w:szCs w:val="18"/>
              </w:rPr>
              <w:t>množství tis. m</w:t>
            </w:r>
            <w:r w:rsidRPr="006031D6">
              <w:rPr>
                <w:rFonts w:cs="Arial"/>
                <w:b/>
                <w:bCs/>
                <w:position w:val="6"/>
                <w:sz w:val="18"/>
                <w:szCs w:val="18"/>
              </w:rPr>
              <w:t>3</w:t>
            </w:r>
            <w:r w:rsidRPr="006031D6">
              <w:rPr>
                <w:rFonts w:cs="Arial"/>
                <w:b/>
                <w:bCs/>
                <w:sz w:val="18"/>
                <w:szCs w:val="18"/>
              </w:rPr>
              <w:t>/den</w:t>
            </w:r>
          </w:p>
        </w:tc>
        <w:tc>
          <w:tcPr>
            <w:tcW w:w="1759" w:type="dxa"/>
            <w:tcBorders>
              <w:top w:val="single" w:sz="6" w:space="0" w:color="auto"/>
              <w:left w:val="single" w:sz="6" w:space="0" w:color="auto"/>
              <w:bottom w:val="single" w:sz="6" w:space="0" w:color="auto"/>
              <w:right w:val="single" w:sz="6" w:space="0" w:color="auto"/>
            </w:tcBorders>
          </w:tcPr>
          <w:p w14:paraId="1177C6F3" w14:textId="77777777" w:rsidR="006031D6" w:rsidRPr="006031D6" w:rsidRDefault="006031D6" w:rsidP="006031D6">
            <w:pPr>
              <w:pStyle w:val="Texttabulky"/>
              <w:spacing w:after="0" w:line="240" w:lineRule="atLeast"/>
              <w:rPr>
                <w:rFonts w:cs="Arial"/>
              </w:rPr>
            </w:pPr>
            <w:r w:rsidRPr="006031D6">
              <w:rPr>
                <w:rFonts w:cs="Arial"/>
                <w:b/>
                <w:bCs/>
                <w:sz w:val="18"/>
                <w:szCs w:val="18"/>
              </w:rPr>
              <w:t>l/s</w:t>
            </w:r>
          </w:p>
        </w:tc>
      </w:tr>
      <w:tr w:rsidR="006031D6" w:rsidRPr="006031D6" w14:paraId="64BECB94"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259310C2" w14:textId="77777777" w:rsidR="006031D6" w:rsidRPr="006031D6" w:rsidRDefault="006031D6" w:rsidP="006031D6">
            <w:pPr>
              <w:pStyle w:val="Texttabulky"/>
              <w:spacing w:after="0" w:line="240" w:lineRule="atLeast"/>
              <w:rPr>
                <w:rFonts w:cs="Arial"/>
              </w:rPr>
            </w:pPr>
            <w:r w:rsidRPr="006031D6">
              <w:rPr>
                <w:rFonts w:cs="Arial"/>
                <w:sz w:val="18"/>
                <w:szCs w:val="18"/>
              </w:rPr>
              <w:t>Pivovar (výroba ukončena)</w:t>
            </w:r>
          </w:p>
        </w:tc>
        <w:tc>
          <w:tcPr>
            <w:tcW w:w="2318" w:type="dxa"/>
            <w:tcBorders>
              <w:top w:val="single" w:sz="6" w:space="0" w:color="auto"/>
              <w:left w:val="single" w:sz="6" w:space="0" w:color="auto"/>
              <w:bottom w:val="single" w:sz="6" w:space="0" w:color="auto"/>
              <w:right w:val="single" w:sz="6" w:space="0" w:color="auto"/>
            </w:tcBorders>
          </w:tcPr>
          <w:p w14:paraId="15F6BC3E" w14:textId="77777777" w:rsidR="006031D6" w:rsidRPr="006031D6" w:rsidRDefault="006031D6" w:rsidP="006031D6">
            <w:pPr>
              <w:pStyle w:val="Texttabulky"/>
              <w:spacing w:after="0" w:line="240" w:lineRule="atLeast"/>
              <w:rPr>
                <w:rFonts w:cs="Arial"/>
              </w:rPr>
            </w:pPr>
            <w:r w:rsidRPr="006031D6">
              <w:rPr>
                <w:rFonts w:cs="Arial"/>
                <w:sz w:val="18"/>
                <w:szCs w:val="18"/>
              </w:rPr>
              <w:t>150</w:t>
            </w:r>
          </w:p>
        </w:tc>
        <w:tc>
          <w:tcPr>
            <w:tcW w:w="1759" w:type="dxa"/>
            <w:tcBorders>
              <w:top w:val="single" w:sz="6" w:space="0" w:color="auto"/>
              <w:left w:val="single" w:sz="6" w:space="0" w:color="auto"/>
              <w:bottom w:val="single" w:sz="6" w:space="0" w:color="auto"/>
              <w:right w:val="single" w:sz="6" w:space="0" w:color="auto"/>
            </w:tcBorders>
          </w:tcPr>
          <w:p w14:paraId="35A0613A" w14:textId="77777777" w:rsidR="006031D6" w:rsidRPr="006031D6" w:rsidRDefault="006031D6" w:rsidP="006031D6">
            <w:pPr>
              <w:pStyle w:val="Texttabulky"/>
              <w:spacing w:after="0" w:line="240" w:lineRule="atLeast"/>
              <w:rPr>
                <w:rFonts w:cs="Arial"/>
              </w:rPr>
            </w:pPr>
            <w:r w:rsidRPr="006031D6">
              <w:rPr>
                <w:rFonts w:cs="Arial"/>
                <w:sz w:val="18"/>
                <w:szCs w:val="18"/>
              </w:rPr>
              <w:t>4,7</w:t>
            </w:r>
          </w:p>
        </w:tc>
      </w:tr>
      <w:tr w:rsidR="006031D6" w:rsidRPr="006031D6" w14:paraId="30ED7C01"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0694E0FC" w14:textId="77777777" w:rsidR="006031D6" w:rsidRPr="006031D6" w:rsidRDefault="006031D6" w:rsidP="006031D6">
            <w:pPr>
              <w:pStyle w:val="Texttabulky"/>
              <w:spacing w:after="0" w:line="240" w:lineRule="atLeast"/>
              <w:rPr>
                <w:rFonts w:cs="Arial"/>
              </w:rPr>
            </w:pPr>
            <w:r w:rsidRPr="006031D6">
              <w:rPr>
                <w:rFonts w:cs="Arial"/>
                <w:caps/>
                <w:sz w:val="18"/>
                <w:szCs w:val="18"/>
              </w:rPr>
              <w:t>Kablo</w:t>
            </w:r>
          </w:p>
        </w:tc>
        <w:tc>
          <w:tcPr>
            <w:tcW w:w="2318" w:type="dxa"/>
            <w:tcBorders>
              <w:top w:val="single" w:sz="6" w:space="0" w:color="auto"/>
              <w:left w:val="single" w:sz="6" w:space="0" w:color="auto"/>
              <w:bottom w:val="single" w:sz="6" w:space="0" w:color="auto"/>
              <w:right w:val="single" w:sz="6" w:space="0" w:color="auto"/>
            </w:tcBorders>
          </w:tcPr>
          <w:p w14:paraId="1887CC76" w14:textId="77777777" w:rsidR="006031D6" w:rsidRPr="006031D6" w:rsidRDefault="006031D6" w:rsidP="006031D6">
            <w:pPr>
              <w:pStyle w:val="Texttabulky"/>
              <w:spacing w:after="0" w:line="240" w:lineRule="atLeast"/>
              <w:rPr>
                <w:rFonts w:cs="Arial"/>
              </w:rPr>
            </w:pPr>
            <w:r w:rsidRPr="006031D6">
              <w:rPr>
                <w:rFonts w:cs="Arial"/>
                <w:sz w:val="18"/>
                <w:szCs w:val="18"/>
              </w:rPr>
              <w:t>550</w:t>
            </w:r>
          </w:p>
        </w:tc>
        <w:tc>
          <w:tcPr>
            <w:tcW w:w="1759" w:type="dxa"/>
            <w:tcBorders>
              <w:top w:val="single" w:sz="6" w:space="0" w:color="auto"/>
              <w:left w:val="single" w:sz="6" w:space="0" w:color="auto"/>
              <w:bottom w:val="single" w:sz="6" w:space="0" w:color="auto"/>
              <w:right w:val="single" w:sz="6" w:space="0" w:color="auto"/>
            </w:tcBorders>
          </w:tcPr>
          <w:p w14:paraId="2CBB8517" w14:textId="77777777" w:rsidR="006031D6" w:rsidRPr="006031D6" w:rsidRDefault="006031D6" w:rsidP="006031D6">
            <w:pPr>
              <w:pStyle w:val="Texttabulky"/>
              <w:spacing w:after="0" w:line="240" w:lineRule="atLeast"/>
              <w:rPr>
                <w:rFonts w:cs="Arial"/>
              </w:rPr>
            </w:pPr>
            <w:r w:rsidRPr="006031D6">
              <w:rPr>
                <w:rFonts w:cs="Arial"/>
                <w:sz w:val="18"/>
                <w:szCs w:val="18"/>
              </w:rPr>
              <w:t>24,5</w:t>
            </w:r>
          </w:p>
        </w:tc>
      </w:tr>
      <w:tr w:rsidR="006031D6" w:rsidRPr="006031D6" w14:paraId="237C120E"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21BAF221" w14:textId="77777777" w:rsidR="006031D6" w:rsidRPr="006031D6" w:rsidRDefault="006031D6" w:rsidP="006031D6">
            <w:pPr>
              <w:pStyle w:val="Texttabulky"/>
              <w:spacing w:after="0" w:line="240" w:lineRule="atLeast"/>
              <w:rPr>
                <w:rFonts w:cs="Arial"/>
              </w:rPr>
            </w:pPr>
            <w:r w:rsidRPr="006031D6">
              <w:rPr>
                <w:rFonts w:cs="Arial"/>
                <w:sz w:val="18"/>
                <w:szCs w:val="18"/>
              </w:rPr>
              <w:t>Přádelny Boletice (VLNAP)</w:t>
            </w:r>
          </w:p>
        </w:tc>
        <w:tc>
          <w:tcPr>
            <w:tcW w:w="2318" w:type="dxa"/>
            <w:tcBorders>
              <w:top w:val="single" w:sz="6" w:space="0" w:color="auto"/>
              <w:left w:val="single" w:sz="6" w:space="0" w:color="auto"/>
              <w:bottom w:val="single" w:sz="6" w:space="0" w:color="auto"/>
              <w:right w:val="single" w:sz="6" w:space="0" w:color="auto"/>
            </w:tcBorders>
          </w:tcPr>
          <w:p w14:paraId="1BE7A592" w14:textId="77777777" w:rsidR="006031D6" w:rsidRPr="006031D6" w:rsidRDefault="006031D6" w:rsidP="006031D6">
            <w:pPr>
              <w:pStyle w:val="Texttabulky"/>
              <w:spacing w:after="0" w:line="240" w:lineRule="atLeast"/>
              <w:rPr>
                <w:rFonts w:cs="Arial"/>
              </w:rPr>
            </w:pPr>
            <w:r w:rsidRPr="006031D6">
              <w:rPr>
                <w:rFonts w:cs="Arial"/>
                <w:sz w:val="18"/>
                <w:szCs w:val="18"/>
              </w:rPr>
              <w:t>20</w:t>
            </w:r>
          </w:p>
        </w:tc>
        <w:tc>
          <w:tcPr>
            <w:tcW w:w="1759" w:type="dxa"/>
            <w:tcBorders>
              <w:top w:val="single" w:sz="6" w:space="0" w:color="auto"/>
              <w:left w:val="single" w:sz="6" w:space="0" w:color="auto"/>
              <w:bottom w:val="single" w:sz="6" w:space="0" w:color="auto"/>
              <w:right w:val="single" w:sz="6" w:space="0" w:color="auto"/>
            </w:tcBorders>
          </w:tcPr>
          <w:p w14:paraId="20C793C1" w14:textId="77777777" w:rsidR="006031D6" w:rsidRPr="006031D6" w:rsidRDefault="006031D6" w:rsidP="006031D6">
            <w:pPr>
              <w:pStyle w:val="Texttabulky"/>
              <w:spacing w:after="0" w:line="240" w:lineRule="atLeast"/>
              <w:rPr>
                <w:rFonts w:cs="Arial"/>
              </w:rPr>
            </w:pPr>
            <w:r w:rsidRPr="006031D6">
              <w:rPr>
                <w:rFonts w:cs="Arial"/>
                <w:sz w:val="18"/>
                <w:szCs w:val="18"/>
              </w:rPr>
              <w:t>2,4</w:t>
            </w:r>
          </w:p>
        </w:tc>
      </w:tr>
      <w:tr w:rsidR="006031D6" w:rsidRPr="006031D6" w14:paraId="3BBD286F"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69CD6CBD" w14:textId="77777777" w:rsidR="006031D6" w:rsidRPr="006031D6" w:rsidRDefault="006031D6" w:rsidP="006031D6">
            <w:pPr>
              <w:pStyle w:val="Texttabulky"/>
              <w:spacing w:after="0" w:line="240" w:lineRule="atLeast"/>
              <w:rPr>
                <w:rFonts w:cs="Arial"/>
              </w:rPr>
            </w:pPr>
            <w:r w:rsidRPr="006031D6">
              <w:rPr>
                <w:rFonts w:cs="Arial"/>
                <w:sz w:val="18"/>
                <w:szCs w:val="18"/>
              </w:rPr>
              <w:t>ČD Děčín</w:t>
            </w:r>
          </w:p>
        </w:tc>
        <w:tc>
          <w:tcPr>
            <w:tcW w:w="2318" w:type="dxa"/>
            <w:tcBorders>
              <w:top w:val="single" w:sz="6" w:space="0" w:color="auto"/>
              <w:left w:val="single" w:sz="6" w:space="0" w:color="auto"/>
              <w:bottom w:val="single" w:sz="6" w:space="0" w:color="auto"/>
              <w:right w:val="single" w:sz="6" w:space="0" w:color="auto"/>
            </w:tcBorders>
          </w:tcPr>
          <w:p w14:paraId="08D17DB5" w14:textId="77777777" w:rsidR="006031D6" w:rsidRPr="006031D6" w:rsidRDefault="006031D6" w:rsidP="006031D6">
            <w:pPr>
              <w:pStyle w:val="Texttabulky"/>
              <w:spacing w:after="0" w:line="240" w:lineRule="atLeast"/>
              <w:rPr>
                <w:rFonts w:cs="Arial"/>
              </w:rPr>
            </w:pPr>
            <w:r w:rsidRPr="006031D6">
              <w:rPr>
                <w:rFonts w:cs="Arial"/>
                <w:sz w:val="18"/>
                <w:szCs w:val="18"/>
              </w:rPr>
              <w:t>150</w:t>
            </w:r>
          </w:p>
        </w:tc>
        <w:tc>
          <w:tcPr>
            <w:tcW w:w="1759" w:type="dxa"/>
            <w:tcBorders>
              <w:top w:val="single" w:sz="6" w:space="0" w:color="auto"/>
              <w:left w:val="single" w:sz="6" w:space="0" w:color="auto"/>
              <w:bottom w:val="single" w:sz="6" w:space="0" w:color="auto"/>
              <w:right w:val="single" w:sz="6" w:space="0" w:color="auto"/>
            </w:tcBorders>
          </w:tcPr>
          <w:p w14:paraId="67D04392" w14:textId="77777777" w:rsidR="006031D6" w:rsidRPr="006031D6" w:rsidRDefault="006031D6" w:rsidP="006031D6">
            <w:pPr>
              <w:pStyle w:val="Texttabulky"/>
              <w:spacing w:after="0" w:line="240" w:lineRule="atLeast"/>
              <w:rPr>
                <w:rFonts w:cs="Arial"/>
              </w:rPr>
            </w:pPr>
            <w:r w:rsidRPr="006031D6">
              <w:rPr>
                <w:rFonts w:cs="Arial"/>
                <w:sz w:val="18"/>
                <w:szCs w:val="18"/>
              </w:rPr>
              <w:t>4,7</w:t>
            </w:r>
          </w:p>
        </w:tc>
      </w:tr>
      <w:tr w:rsidR="006031D6" w:rsidRPr="006031D6" w14:paraId="079EA876"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62C4EF7B" w14:textId="77777777" w:rsidR="006031D6" w:rsidRPr="006031D6" w:rsidRDefault="006031D6" w:rsidP="006031D6">
            <w:pPr>
              <w:pStyle w:val="Texttabulky"/>
              <w:spacing w:after="0" w:line="240" w:lineRule="atLeast"/>
              <w:rPr>
                <w:rFonts w:cs="Arial"/>
              </w:rPr>
            </w:pPr>
            <w:r w:rsidRPr="006031D6">
              <w:rPr>
                <w:rFonts w:cs="Arial"/>
                <w:sz w:val="18"/>
                <w:szCs w:val="18"/>
              </w:rPr>
              <w:t>FEROX</w:t>
            </w:r>
          </w:p>
        </w:tc>
        <w:tc>
          <w:tcPr>
            <w:tcW w:w="2318" w:type="dxa"/>
            <w:tcBorders>
              <w:top w:val="single" w:sz="6" w:space="0" w:color="auto"/>
              <w:left w:val="single" w:sz="6" w:space="0" w:color="auto"/>
              <w:bottom w:val="single" w:sz="6" w:space="0" w:color="auto"/>
              <w:right w:val="single" w:sz="6" w:space="0" w:color="auto"/>
            </w:tcBorders>
          </w:tcPr>
          <w:p w14:paraId="382434A0" w14:textId="77777777" w:rsidR="006031D6" w:rsidRPr="006031D6" w:rsidRDefault="006031D6" w:rsidP="006031D6">
            <w:pPr>
              <w:pStyle w:val="Texttabulky"/>
              <w:spacing w:after="0" w:line="240" w:lineRule="atLeast"/>
              <w:rPr>
                <w:rFonts w:cs="Arial"/>
              </w:rPr>
            </w:pPr>
            <w:r w:rsidRPr="006031D6">
              <w:rPr>
                <w:rFonts w:cs="Arial"/>
                <w:sz w:val="18"/>
                <w:szCs w:val="18"/>
              </w:rPr>
              <w:t>52</w:t>
            </w:r>
          </w:p>
        </w:tc>
        <w:tc>
          <w:tcPr>
            <w:tcW w:w="1759" w:type="dxa"/>
            <w:tcBorders>
              <w:top w:val="single" w:sz="6" w:space="0" w:color="auto"/>
              <w:left w:val="single" w:sz="6" w:space="0" w:color="auto"/>
              <w:bottom w:val="single" w:sz="6" w:space="0" w:color="auto"/>
              <w:right w:val="single" w:sz="6" w:space="0" w:color="auto"/>
            </w:tcBorders>
          </w:tcPr>
          <w:p w14:paraId="6003AA07" w14:textId="77777777" w:rsidR="006031D6" w:rsidRPr="006031D6" w:rsidRDefault="006031D6" w:rsidP="006031D6">
            <w:pPr>
              <w:pStyle w:val="Texttabulky"/>
              <w:spacing w:after="0" w:line="240" w:lineRule="atLeast"/>
              <w:rPr>
                <w:rFonts w:cs="Arial"/>
              </w:rPr>
            </w:pPr>
            <w:r w:rsidRPr="006031D6">
              <w:rPr>
                <w:rFonts w:cs="Arial"/>
                <w:sz w:val="18"/>
                <w:szCs w:val="18"/>
              </w:rPr>
              <w:t>2,3</w:t>
            </w:r>
          </w:p>
        </w:tc>
      </w:tr>
      <w:tr w:rsidR="006031D6" w:rsidRPr="006031D6" w14:paraId="2281CBE5"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6CB16924" w14:textId="77777777" w:rsidR="006031D6" w:rsidRPr="006031D6" w:rsidRDefault="006031D6" w:rsidP="006031D6">
            <w:pPr>
              <w:pStyle w:val="Texttabulky"/>
              <w:spacing w:after="0" w:line="240" w:lineRule="atLeast"/>
              <w:rPr>
                <w:rFonts w:cs="Arial"/>
              </w:rPr>
            </w:pPr>
            <w:r w:rsidRPr="006031D6">
              <w:rPr>
                <w:rFonts w:cs="Arial"/>
                <w:caps/>
                <w:sz w:val="18"/>
                <w:szCs w:val="18"/>
              </w:rPr>
              <w:t>Aluminium</w:t>
            </w:r>
          </w:p>
        </w:tc>
        <w:tc>
          <w:tcPr>
            <w:tcW w:w="2318" w:type="dxa"/>
            <w:tcBorders>
              <w:top w:val="single" w:sz="6" w:space="0" w:color="auto"/>
              <w:left w:val="single" w:sz="6" w:space="0" w:color="auto"/>
              <w:bottom w:val="single" w:sz="6" w:space="0" w:color="auto"/>
              <w:right w:val="single" w:sz="6" w:space="0" w:color="auto"/>
            </w:tcBorders>
          </w:tcPr>
          <w:p w14:paraId="6D1B85B5" w14:textId="77777777" w:rsidR="006031D6" w:rsidRPr="006031D6" w:rsidRDefault="006031D6" w:rsidP="006031D6">
            <w:pPr>
              <w:pStyle w:val="Texttabulky"/>
              <w:spacing w:after="0" w:line="240" w:lineRule="atLeast"/>
              <w:rPr>
                <w:rFonts w:cs="Arial"/>
              </w:rPr>
            </w:pPr>
            <w:r w:rsidRPr="006031D6">
              <w:rPr>
                <w:rFonts w:cs="Arial"/>
                <w:sz w:val="18"/>
                <w:szCs w:val="18"/>
              </w:rPr>
              <w:t>455</w:t>
            </w:r>
          </w:p>
        </w:tc>
        <w:tc>
          <w:tcPr>
            <w:tcW w:w="1759" w:type="dxa"/>
            <w:tcBorders>
              <w:top w:val="single" w:sz="6" w:space="0" w:color="auto"/>
              <w:left w:val="single" w:sz="6" w:space="0" w:color="auto"/>
              <w:bottom w:val="single" w:sz="6" w:space="0" w:color="auto"/>
              <w:right w:val="single" w:sz="6" w:space="0" w:color="auto"/>
            </w:tcBorders>
          </w:tcPr>
          <w:p w14:paraId="53E565DE" w14:textId="77777777" w:rsidR="006031D6" w:rsidRPr="006031D6" w:rsidRDefault="006031D6" w:rsidP="006031D6">
            <w:pPr>
              <w:pStyle w:val="Texttabulky"/>
              <w:spacing w:after="0" w:line="240" w:lineRule="atLeast"/>
              <w:rPr>
                <w:rFonts w:cs="Arial"/>
              </w:rPr>
            </w:pPr>
            <w:r w:rsidRPr="006031D6">
              <w:rPr>
                <w:rFonts w:cs="Arial"/>
                <w:sz w:val="18"/>
                <w:szCs w:val="18"/>
              </w:rPr>
              <w:t>20,25</w:t>
            </w:r>
          </w:p>
        </w:tc>
      </w:tr>
      <w:tr w:rsidR="006031D6" w:rsidRPr="006031D6" w14:paraId="2EC19D0A"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6877C64A" w14:textId="77777777" w:rsidR="006031D6" w:rsidRPr="006031D6" w:rsidRDefault="006031D6" w:rsidP="006031D6">
            <w:pPr>
              <w:pStyle w:val="Texttabulky"/>
              <w:spacing w:after="0" w:line="240" w:lineRule="atLeast"/>
              <w:rPr>
                <w:rFonts w:cs="Arial"/>
              </w:rPr>
            </w:pPr>
            <w:r w:rsidRPr="006031D6">
              <w:rPr>
                <w:rFonts w:cs="Arial"/>
                <w:sz w:val="18"/>
                <w:szCs w:val="18"/>
              </w:rPr>
              <w:t>ČSPLO Děčín</w:t>
            </w:r>
          </w:p>
        </w:tc>
        <w:tc>
          <w:tcPr>
            <w:tcW w:w="2318" w:type="dxa"/>
            <w:tcBorders>
              <w:top w:val="single" w:sz="6" w:space="0" w:color="auto"/>
              <w:left w:val="single" w:sz="6" w:space="0" w:color="auto"/>
              <w:bottom w:val="single" w:sz="6" w:space="0" w:color="auto"/>
              <w:right w:val="single" w:sz="6" w:space="0" w:color="auto"/>
            </w:tcBorders>
          </w:tcPr>
          <w:p w14:paraId="55FEE444" w14:textId="77777777" w:rsidR="006031D6" w:rsidRPr="006031D6" w:rsidRDefault="006031D6" w:rsidP="006031D6">
            <w:pPr>
              <w:pStyle w:val="Texttabulky"/>
              <w:spacing w:after="0" w:line="240" w:lineRule="atLeast"/>
              <w:rPr>
                <w:rFonts w:cs="Arial"/>
              </w:rPr>
            </w:pPr>
            <w:r w:rsidRPr="006031D6">
              <w:rPr>
                <w:rFonts w:cs="Arial"/>
                <w:sz w:val="18"/>
                <w:szCs w:val="18"/>
              </w:rPr>
              <w:t>15</w:t>
            </w:r>
          </w:p>
        </w:tc>
        <w:tc>
          <w:tcPr>
            <w:tcW w:w="1759" w:type="dxa"/>
            <w:tcBorders>
              <w:top w:val="single" w:sz="6" w:space="0" w:color="auto"/>
              <w:left w:val="single" w:sz="6" w:space="0" w:color="auto"/>
              <w:bottom w:val="single" w:sz="6" w:space="0" w:color="auto"/>
              <w:right w:val="single" w:sz="6" w:space="0" w:color="auto"/>
            </w:tcBorders>
          </w:tcPr>
          <w:p w14:paraId="2E87E74F" w14:textId="77777777" w:rsidR="006031D6" w:rsidRPr="006031D6" w:rsidRDefault="006031D6" w:rsidP="006031D6">
            <w:pPr>
              <w:pStyle w:val="Texttabulky"/>
              <w:spacing w:after="0" w:line="240" w:lineRule="atLeast"/>
              <w:rPr>
                <w:rFonts w:cs="Arial"/>
              </w:rPr>
            </w:pPr>
            <w:r w:rsidRPr="006031D6">
              <w:rPr>
                <w:rFonts w:cs="Arial"/>
                <w:sz w:val="18"/>
                <w:szCs w:val="18"/>
              </w:rPr>
              <w:t>0,5</w:t>
            </w:r>
          </w:p>
        </w:tc>
      </w:tr>
      <w:tr w:rsidR="006031D6" w:rsidRPr="006031D6" w14:paraId="5CC9A3BE"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54B24C38" w14:textId="77777777" w:rsidR="006031D6" w:rsidRPr="006031D6" w:rsidRDefault="006031D6" w:rsidP="006031D6">
            <w:pPr>
              <w:pStyle w:val="Texttabulky"/>
              <w:spacing w:after="0" w:line="240" w:lineRule="atLeast"/>
              <w:rPr>
                <w:rFonts w:cs="Arial"/>
              </w:rPr>
            </w:pPr>
            <w:r w:rsidRPr="006031D6">
              <w:rPr>
                <w:rFonts w:cs="Arial"/>
                <w:sz w:val="18"/>
                <w:szCs w:val="18"/>
              </w:rPr>
              <w:t>SEMPRA Děčín</w:t>
            </w:r>
          </w:p>
        </w:tc>
        <w:tc>
          <w:tcPr>
            <w:tcW w:w="2318" w:type="dxa"/>
            <w:tcBorders>
              <w:top w:val="single" w:sz="6" w:space="0" w:color="auto"/>
              <w:left w:val="single" w:sz="6" w:space="0" w:color="auto"/>
              <w:bottom w:val="single" w:sz="6" w:space="0" w:color="auto"/>
              <w:right w:val="single" w:sz="6" w:space="0" w:color="auto"/>
            </w:tcBorders>
          </w:tcPr>
          <w:p w14:paraId="5722D40A" w14:textId="77777777" w:rsidR="006031D6" w:rsidRPr="006031D6" w:rsidRDefault="006031D6" w:rsidP="006031D6">
            <w:pPr>
              <w:pStyle w:val="Texttabulky"/>
              <w:spacing w:after="0" w:line="240" w:lineRule="atLeast"/>
              <w:rPr>
                <w:rFonts w:cs="Arial"/>
              </w:rPr>
            </w:pPr>
            <w:r w:rsidRPr="006031D6">
              <w:rPr>
                <w:rFonts w:cs="Arial"/>
                <w:sz w:val="18"/>
                <w:szCs w:val="18"/>
              </w:rPr>
              <w:t>17</w:t>
            </w:r>
          </w:p>
        </w:tc>
        <w:tc>
          <w:tcPr>
            <w:tcW w:w="1759" w:type="dxa"/>
            <w:tcBorders>
              <w:top w:val="single" w:sz="6" w:space="0" w:color="auto"/>
              <w:left w:val="single" w:sz="6" w:space="0" w:color="auto"/>
              <w:bottom w:val="single" w:sz="6" w:space="0" w:color="auto"/>
              <w:right w:val="single" w:sz="6" w:space="0" w:color="auto"/>
            </w:tcBorders>
          </w:tcPr>
          <w:p w14:paraId="6E2D5959" w14:textId="77777777" w:rsidR="006031D6" w:rsidRPr="006031D6" w:rsidRDefault="006031D6" w:rsidP="006031D6">
            <w:pPr>
              <w:pStyle w:val="Texttabulky"/>
              <w:spacing w:after="0" w:line="240" w:lineRule="atLeast"/>
              <w:rPr>
                <w:rFonts w:cs="Arial"/>
              </w:rPr>
            </w:pPr>
            <w:r w:rsidRPr="006031D6">
              <w:rPr>
                <w:rFonts w:cs="Arial"/>
                <w:sz w:val="18"/>
                <w:szCs w:val="18"/>
              </w:rPr>
              <w:t>0,3</w:t>
            </w:r>
          </w:p>
        </w:tc>
      </w:tr>
      <w:tr w:rsidR="006031D6" w:rsidRPr="006031D6" w14:paraId="64924A72"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3E9B85F7" w14:textId="77777777" w:rsidR="006031D6" w:rsidRPr="006031D6" w:rsidRDefault="006031D6" w:rsidP="006031D6">
            <w:pPr>
              <w:pStyle w:val="Texttabulky"/>
              <w:spacing w:after="0" w:line="240" w:lineRule="atLeast"/>
              <w:rPr>
                <w:rFonts w:cs="Arial"/>
              </w:rPr>
            </w:pPr>
            <w:r w:rsidRPr="006031D6">
              <w:rPr>
                <w:rFonts w:cs="Arial"/>
                <w:sz w:val="18"/>
                <w:szCs w:val="18"/>
              </w:rPr>
              <w:t>Sč.  keramické závody</w:t>
            </w:r>
          </w:p>
        </w:tc>
        <w:tc>
          <w:tcPr>
            <w:tcW w:w="2318" w:type="dxa"/>
            <w:tcBorders>
              <w:top w:val="single" w:sz="6" w:space="0" w:color="auto"/>
              <w:left w:val="single" w:sz="6" w:space="0" w:color="auto"/>
              <w:bottom w:val="single" w:sz="6" w:space="0" w:color="auto"/>
              <w:right w:val="single" w:sz="6" w:space="0" w:color="auto"/>
            </w:tcBorders>
          </w:tcPr>
          <w:p w14:paraId="6F6F3BAE" w14:textId="77777777" w:rsidR="006031D6" w:rsidRPr="006031D6" w:rsidRDefault="006031D6" w:rsidP="006031D6">
            <w:pPr>
              <w:pStyle w:val="Texttabulky"/>
              <w:spacing w:after="0" w:line="240" w:lineRule="atLeast"/>
              <w:rPr>
                <w:rFonts w:cs="Arial"/>
              </w:rPr>
            </w:pPr>
            <w:r w:rsidRPr="006031D6">
              <w:rPr>
                <w:rFonts w:cs="Arial"/>
                <w:sz w:val="18"/>
                <w:szCs w:val="18"/>
              </w:rPr>
              <w:t>16</w:t>
            </w:r>
          </w:p>
        </w:tc>
        <w:tc>
          <w:tcPr>
            <w:tcW w:w="1759" w:type="dxa"/>
            <w:tcBorders>
              <w:top w:val="single" w:sz="6" w:space="0" w:color="auto"/>
              <w:left w:val="single" w:sz="6" w:space="0" w:color="auto"/>
              <w:bottom w:val="single" w:sz="6" w:space="0" w:color="auto"/>
              <w:right w:val="single" w:sz="6" w:space="0" w:color="auto"/>
            </w:tcBorders>
          </w:tcPr>
          <w:p w14:paraId="19517215" w14:textId="77777777" w:rsidR="006031D6" w:rsidRPr="006031D6" w:rsidRDefault="006031D6" w:rsidP="006031D6">
            <w:pPr>
              <w:pStyle w:val="Texttabulky"/>
              <w:spacing w:after="0" w:line="240" w:lineRule="atLeast"/>
              <w:rPr>
                <w:rFonts w:cs="Arial"/>
              </w:rPr>
            </w:pPr>
            <w:r w:rsidRPr="006031D6">
              <w:rPr>
                <w:rFonts w:cs="Arial"/>
                <w:sz w:val="18"/>
                <w:szCs w:val="18"/>
              </w:rPr>
              <w:t>0,7</w:t>
            </w:r>
          </w:p>
        </w:tc>
      </w:tr>
      <w:tr w:rsidR="006031D6" w:rsidRPr="006031D6" w14:paraId="172F66E8"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5B3EE7CE" w14:textId="77777777" w:rsidR="006031D6" w:rsidRPr="006031D6" w:rsidRDefault="006031D6" w:rsidP="006031D6">
            <w:pPr>
              <w:pStyle w:val="Texttabulky"/>
              <w:spacing w:after="0" w:line="240" w:lineRule="atLeast"/>
              <w:rPr>
                <w:rFonts w:cs="Arial"/>
              </w:rPr>
            </w:pPr>
            <w:r w:rsidRPr="006031D6">
              <w:rPr>
                <w:rFonts w:cs="Arial"/>
                <w:sz w:val="18"/>
                <w:szCs w:val="18"/>
              </w:rPr>
              <w:t>OBALEX Boletice</w:t>
            </w:r>
          </w:p>
        </w:tc>
        <w:tc>
          <w:tcPr>
            <w:tcW w:w="2318" w:type="dxa"/>
            <w:tcBorders>
              <w:top w:val="single" w:sz="6" w:space="0" w:color="auto"/>
              <w:left w:val="single" w:sz="6" w:space="0" w:color="auto"/>
              <w:bottom w:val="single" w:sz="6" w:space="0" w:color="auto"/>
              <w:right w:val="single" w:sz="6" w:space="0" w:color="auto"/>
            </w:tcBorders>
          </w:tcPr>
          <w:p w14:paraId="174FB55C" w14:textId="77777777" w:rsidR="006031D6" w:rsidRPr="006031D6" w:rsidRDefault="006031D6" w:rsidP="006031D6">
            <w:pPr>
              <w:pStyle w:val="Texttabulky"/>
              <w:spacing w:after="0" w:line="240" w:lineRule="atLeast"/>
              <w:rPr>
                <w:rFonts w:cs="Arial"/>
              </w:rPr>
            </w:pPr>
            <w:r w:rsidRPr="006031D6">
              <w:rPr>
                <w:rFonts w:cs="Arial"/>
                <w:sz w:val="18"/>
                <w:szCs w:val="18"/>
              </w:rPr>
              <w:t>35</w:t>
            </w:r>
          </w:p>
        </w:tc>
        <w:tc>
          <w:tcPr>
            <w:tcW w:w="1759" w:type="dxa"/>
            <w:tcBorders>
              <w:top w:val="single" w:sz="6" w:space="0" w:color="auto"/>
              <w:left w:val="single" w:sz="6" w:space="0" w:color="auto"/>
              <w:bottom w:val="single" w:sz="6" w:space="0" w:color="auto"/>
              <w:right w:val="single" w:sz="6" w:space="0" w:color="auto"/>
            </w:tcBorders>
          </w:tcPr>
          <w:p w14:paraId="67ED56FF" w14:textId="77777777" w:rsidR="006031D6" w:rsidRPr="006031D6" w:rsidRDefault="006031D6" w:rsidP="006031D6">
            <w:pPr>
              <w:pStyle w:val="Texttabulky"/>
              <w:spacing w:after="0" w:line="240" w:lineRule="atLeast"/>
              <w:rPr>
                <w:rFonts w:cs="Arial"/>
              </w:rPr>
            </w:pPr>
            <w:r w:rsidRPr="006031D6">
              <w:rPr>
                <w:rFonts w:cs="Arial"/>
                <w:sz w:val="18"/>
                <w:szCs w:val="18"/>
              </w:rPr>
              <w:t>1,55</w:t>
            </w:r>
          </w:p>
        </w:tc>
      </w:tr>
      <w:tr w:rsidR="006031D6" w:rsidRPr="006031D6" w14:paraId="0398B899"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108B85D6" w14:textId="77777777" w:rsidR="006031D6" w:rsidRPr="006031D6" w:rsidRDefault="006031D6" w:rsidP="006031D6">
            <w:pPr>
              <w:pStyle w:val="Texttabulky"/>
              <w:spacing w:after="0" w:line="240" w:lineRule="atLeast"/>
              <w:rPr>
                <w:rFonts w:cs="Arial"/>
              </w:rPr>
            </w:pPr>
            <w:r w:rsidRPr="006031D6">
              <w:rPr>
                <w:rFonts w:cs="Arial"/>
                <w:sz w:val="18"/>
                <w:szCs w:val="18"/>
              </w:rPr>
              <w:t>CHEMOTEX Děčín</w:t>
            </w:r>
          </w:p>
        </w:tc>
        <w:tc>
          <w:tcPr>
            <w:tcW w:w="2318" w:type="dxa"/>
            <w:tcBorders>
              <w:top w:val="single" w:sz="6" w:space="0" w:color="auto"/>
              <w:left w:val="single" w:sz="6" w:space="0" w:color="auto"/>
              <w:bottom w:val="single" w:sz="6" w:space="0" w:color="auto"/>
              <w:right w:val="single" w:sz="6" w:space="0" w:color="auto"/>
            </w:tcBorders>
          </w:tcPr>
          <w:p w14:paraId="539A1505" w14:textId="77777777" w:rsidR="006031D6" w:rsidRPr="006031D6" w:rsidRDefault="006031D6" w:rsidP="006031D6">
            <w:pPr>
              <w:pStyle w:val="Texttabulky"/>
              <w:spacing w:after="0" w:line="240" w:lineRule="atLeast"/>
              <w:rPr>
                <w:rFonts w:cs="Arial"/>
              </w:rPr>
            </w:pPr>
            <w:r w:rsidRPr="006031D6">
              <w:rPr>
                <w:rFonts w:cs="Arial"/>
                <w:sz w:val="18"/>
                <w:szCs w:val="18"/>
              </w:rPr>
              <w:t>120</w:t>
            </w:r>
          </w:p>
        </w:tc>
        <w:tc>
          <w:tcPr>
            <w:tcW w:w="1759" w:type="dxa"/>
            <w:tcBorders>
              <w:top w:val="single" w:sz="6" w:space="0" w:color="auto"/>
              <w:left w:val="single" w:sz="6" w:space="0" w:color="auto"/>
              <w:bottom w:val="single" w:sz="6" w:space="0" w:color="auto"/>
              <w:right w:val="single" w:sz="6" w:space="0" w:color="auto"/>
            </w:tcBorders>
          </w:tcPr>
          <w:p w14:paraId="59253615" w14:textId="77777777" w:rsidR="006031D6" w:rsidRPr="006031D6" w:rsidRDefault="006031D6" w:rsidP="006031D6">
            <w:pPr>
              <w:pStyle w:val="Texttabulky"/>
              <w:spacing w:after="0" w:line="240" w:lineRule="atLeast"/>
              <w:rPr>
                <w:rFonts w:cs="Arial"/>
              </w:rPr>
            </w:pPr>
            <w:r w:rsidRPr="006031D6">
              <w:rPr>
                <w:rFonts w:cs="Arial"/>
                <w:sz w:val="18"/>
                <w:szCs w:val="18"/>
              </w:rPr>
              <w:t>4,4</w:t>
            </w:r>
          </w:p>
        </w:tc>
      </w:tr>
      <w:tr w:rsidR="006031D6" w:rsidRPr="006031D6" w14:paraId="01B8B13F"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14EE6774" w14:textId="77777777" w:rsidR="006031D6" w:rsidRPr="006031D6" w:rsidRDefault="006031D6" w:rsidP="006031D6">
            <w:pPr>
              <w:pStyle w:val="Texttabulky"/>
              <w:spacing w:after="0" w:line="240" w:lineRule="atLeast"/>
              <w:rPr>
                <w:rFonts w:cs="Arial"/>
              </w:rPr>
            </w:pPr>
            <w:r w:rsidRPr="006031D6">
              <w:rPr>
                <w:rFonts w:cs="Arial"/>
                <w:sz w:val="18"/>
                <w:szCs w:val="18"/>
              </w:rPr>
              <w:t>Jatky (likvidace provozu)</w:t>
            </w:r>
          </w:p>
        </w:tc>
        <w:tc>
          <w:tcPr>
            <w:tcW w:w="2318" w:type="dxa"/>
            <w:tcBorders>
              <w:top w:val="single" w:sz="6" w:space="0" w:color="auto"/>
              <w:left w:val="single" w:sz="6" w:space="0" w:color="auto"/>
              <w:bottom w:val="single" w:sz="6" w:space="0" w:color="auto"/>
              <w:right w:val="single" w:sz="6" w:space="0" w:color="auto"/>
            </w:tcBorders>
          </w:tcPr>
          <w:p w14:paraId="19038484" w14:textId="77777777" w:rsidR="006031D6" w:rsidRPr="006031D6" w:rsidRDefault="006031D6" w:rsidP="006031D6">
            <w:pPr>
              <w:pStyle w:val="Texttabulky"/>
              <w:spacing w:after="0" w:line="240" w:lineRule="atLeast"/>
              <w:rPr>
                <w:rFonts w:cs="Arial"/>
              </w:rPr>
            </w:pPr>
            <w:r w:rsidRPr="006031D6">
              <w:rPr>
                <w:rFonts w:cs="Arial"/>
                <w:sz w:val="18"/>
                <w:szCs w:val="18"/>
              </w:rPr>
              <w:t>neměřeno</w:t>
            </w:r>
          </w:p>
        </w:tc>
        <w:tc>
          <w:tcPr>
            <w:tcW w:w="1759" w:type="dxa"/>
            <w:tcBorders>
              <w:top w:val="single" w:sz="6" w:space="0" w:color="auto"/>
              <w:left w:val="single" w:sz="6" w:space="0" w:color="auto"/>
              <w:bottom w:val="single" w:sz="6" w:space="0" w:color="auto"/>
              <w:right w:val="single" w:sz="6" w:space="0" w:color="auto"/>
            </w:tcBorders>
          </w:tcPr>
          <w:p w14:paraId="36FF7859" w14:textId="77777777" w:rsidR="006031D6" w:rsidRPr="006031D6" w:rsidRDefault="006031D6" w:rsidP="006031D6">
            <w:pPr>
              <w:pStyle w:val="Zkladntext"/>
              <w:spacing w:after="0"/>
              <w:rPr>
                <w:rFonts w:ascii="Arial" w:hAnsi="Arial" w:cs="Arial"/>
              </w:rPr>
            </w:pPr>
          </w:p>
        </w:tc>
      </w:tr>
    </w:tbl>
    <w:p w14:paraId="2574793B" w14:textId="77777777" w:rsidR="006031D6" w:rsidRPr="006031D6" w:rsidRDefault="006031D6" w:rsidP="006031D6">
      <w:pPr>
        <w:pStyle w:val="Zkladntext"/>
        <w:rPr>
          <w:rFonts w:ascii="Arial" w:hAnsi="Arial" w:cs="Arial"/>
        </w:rPr>
      </w:pPr>
    </w:p>
    <w:p w14:paraId="005BA0E2"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sz w:val="22"/>
          <w:szCs w:val="22"/>
        </w:rPr>
        <w:t xml:space="preserve">V Rozbělesích je podzemní voda kontaminována látkami PCE a TCE. Některé podniky jako DESTA a Dopravní podnik odebírají vodu zatím výhradně z pitného vodovodu. Vlastní zdroj, zatím odstavený, chce ve větší míře využívat SEMPRA. PHO jsou stanovena. </w:t>
      </w:r>
    </w:p>
    <w:p w14:paraId="5637BD6A" w14:textId="77777777" w:rsidR="006031D6" w:rsidRPr="006031D6" w:rsidRDefault="006031D6" w:rsidP="006031D6">
      <w:pPr>
        <w:pStyle w:val="Zkladntext"/>
        <w:spacing w:before="120" w:line="288" w:lineRule="auto"/>
        <w:ind w:firstLine="708"/>
        <w:jc w:val="both"/>
        <w:rPr>
          <w:rFonts w:ascii="Arial" w:hAnsi="Arial" w:cs="Arial"/>
          <w:sz w:val="22"/>
          <w:szCs w:val="22"/>
        </w:rPr>
      </w:pPr>
    </w:p>
    <w:p w14:paraId="336A7802" w14:textId="77777777" w:rsidR="006031D6" w:rsidRPr="006031D6" w:rsidRDefault="006031D6" w:rsidP="006031D6">
      <w:pPr>
        <w:pStyle w:val="podnadpis2"/>
        <w:spacing w:before="120" w:after="0" w:line="288" w:lineRule="auto"/>
        <w:jc w:val="both"/>
        <w:rPr>
          <w:rFonts w:cs="Arial"/>
          <w:sz w:val="28"/>
          <w:szCs w:val="28"/>
        </w:rPr>
      </w:pPr>
      <w:r w:rsidRPr="006031D6">
        <w:rPr>
          <w:rFonts w:cs="Arial"/>
          <w:sz w:val="28"/>
          <w:szCs w:val="28"/>
        </w:rPr>
        <w:t xml:space="preserve">G2.2. Odběry povrchové vody </w:t>
      </w:r>
    </w:p>
    <w:tbl>
      <w:tblPr>
        <w:tblW w:w="0" w:type="auto"/>
        <w:jc w:val="center"/>
        <w:tblLayout w:type="fixed"/>
        <w:tblCellMar>
          <w:left w:w="70" w:type="dxa"/>
          <w:right w:w="70" w:type="dxa"/>
        </w:tblCellMar>
        <w:tblLook w:val="0000" w:firstRow="0" w:lastRow="0" w:firstColumn="0" w:lastColumn="0" w:noHBand="0" w:noVBand="0"/>
      </w:tblPr>
      <w:tblGrid>
        <w:gridCol w:w="2825"/>
        <w:gridCol w:w="2345"/>
        <w:gridCol w:w="2332"/>
      </w:tblGrid>
      <w:tr w:rsidR="006031D6" w:rsidRPr="006031D6" w14:paraId="04457D2C"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168AA731" w14:textId="77777777" w:rsidR="006031D6" w:rsidRPr="006031D6" w:rsidRDefault="006031D6" w:rsidP="006031D6">
            <w:pPr>
              <w:pStyle w:val="Texttabulky"/>
              <w:spacing w:after="0" w:line="240" w:lineRule="atLeast"/>
              <w:rPr>
                <w:rFonts w:cs="Arial"/>
              </w:rPr>
            </w:pPr>
            <w:r w:rsidRPr="006031D6">
              <w:rPr>
                <w:rFonts w:cs="Arial"/>
                <w:b/>
                <w:bCs/>
                <w:sz w:val="18"/>
                <w:szCs w:val="18"/>
              </w:rPr>
              <w:t>Podnik</w:t>
            </w:r>
          </w:p>
        </w:tc>
        <w:tc>
          <w:tcPr>
            <w:tcW w:w="2345" w:type="dxa"/>
            <w:tcBorders>
              <w:top w:val="single" w:sz="6" w:space="0" w:color="auto"/>
              <w:left w:val="single" w:sz="6" w:space="0" w:color="auto"/>
              <w:bottom w:val="single" w:sz="6" w:space="0" w:color="auto"/>
              <w:right w:val="single" w:sz="6" w:space="0" w:color="auto"/>
            </w:tcBorders>
          </w:tcPr>
          <w:p w14:paraId="603CBAB2" w14:textId="77777777" w:rsidR="006031D6" w:rsidRPr="006031D6" w:rsidRDefault="006031D6" w:rsidP="006031D6">
            <w:pPr>
              <w:pStyle w:val="Texttabulky"/>
              <w:spacing w:after="0" w:line="240" w:lineRule="atLeast"/>
              <w:rPr>
                <w:rFonts w:cs="Arial"/>
              </w:rPr>
            </w:pPr>
            <w:r w:rsidRPr="006031D6">
              <w:rPr>
                <w:rFonts w:cs="Arial"/>
                <w:b/>
                <w:bCs/>
                <w:sz w:val="18"/>
                <w:szCs w:val="18"/>
              </w:rPr>
              <w:t>množství tis. m3/den</w:t>
            </w:r>
          </w:p>
        </w:tc>
        <w:tc>
          <w:tcPr>
            <w:tcW w:w="2332" w:type="dxa"/>
            <w:tcBorders>
              <w:top w:val="single" w:sz="6" w:space="0" w:color="auto"/>
              <w:left w:val="single" w:sz="6" w:space="0" w:color="auto"/>
              <w:bottom w:val="single" w:sz="6" w:space="0" w:color="auto"/>
              <w:right w:val="single" w:sz="6" w:space="0" w:color="auto"/>
            </w:tcBorders>
          </w:tcPr>
          <w:p w14:paraId="14D32BD6" w14:textId="77777777" w:rsidR="006031D6" w:rsidRPr="006031D6" w:rsidRDefault="006031D6" w:rsidP="006031D6">
            <w:pPr>
              <w:pStyle w:val="Texttabulky"/>
              <w:spacing w:after="0" w:line="240" w:lineRule="atLeast"/>
              <w:rPr>
                <w:rFonts w:cs="Arial"/>
              </w:rPr>
            </w:pPr>
            <w:r w:rsidRPr="006031D6">
              <w:rPr>
                <w:rFonts w:cs="Arial"/>
                <w:b/>
                <w:bCs/>
                <w:sz w:val="18"/>
                <w:szCs w:val="18"/>
              </w:rPr>
              <w:t>tok</w:t>
            </w:r>
          </w:p>
        </w:tc>
      </w:tr>
      <w:tr w:rsidR="006031D6" w:rsidRPr="006031D6" w14:paraId="0A8B8E09"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78DFBEF2" w14:textId="77777777" w:rsidR="006031D6" w:rsidRPr="006031D6" w:rsidRDefault="006031D6" w:rsidP="006031D6">
            <w:pPr>
              <w:pStyle w:val="Texttabulky"/>
              <w:spacing w:after="0" w:line="240" w:lineRule="atLeast"/>
              <w:rPr>
                <w:rFonts w:cs="Arial"/>
              </w:rPr>
            </w:pPr>
            <w:r w:rsidRPr="006031D6">
              <w:rPr>
                <w:rFonts w:cs="Arial"/>
                <w:sz w:val="18"/>
                <w:szCs w:val="18"/>
              </w:rPr>
              <w:t>ČD LOKO DEPO + ŽOS</w:t>
            </w:r>
          </w:p>
        </w:tc>
        <w:tc>
          <w:tcPr>
            <w:tcW w:w="2345" w:type="dxa"/>
            <w:tcBorders>
              <w:top w:val="single" w:sz="6" w:space="0" w:color="auto"/>
              <w:left w:val="single" w:sz="6" w:space="0" w:color="auto"/>
              <w:bottom w:val="single" w:sz="6" w:space="0" w:color="auto"/>
              <w:right w:val="single" w:sz="6" w:space="0" w:color="auto"/>
            </w:tcBorders>
          </w:tcPr>
          <w:p w14:paraId="3AAD526F" w14:textId="77777777" w:rsidR="006031D6" w:rsidRPr="006031D6" w:rsidRDefault="006031D6" w:rsidP="006031D6">
            <w:pPr>
              <w:pStyle w:val="Texttabulky"/>
              <w:spacing w:after="0" w:line="240" w:lineRule="atLeast"/>
              <w:rPr>
                <w:rFonts w:cs="Arial"/>
              </w:rPr>
            </w:pPr>
            <w:r w:rsidRPr="006031D6">
              <w:rPr>
                <w:rFonts w:cs="Arial"/>
                <w:sz w:val="18"/>
                <w:szCs w:val="18"/>
              </w:rPr>
              <w:t>12,5</w:t>
            </w:r>
          </w:p>
        </w:tc>
        <w:tc>
          <w:tcPr>
            <w:tcW w:w="2332" w:type="dxa"/>
            <w:tcBorders>
              <w:top w:val="single" w:sz="6" w:space="0" w:color="auto"/>
              <w:left w:val="single" w:sz="6" w:space="0" w:color="auto"/>
              <w:bottom w:val="single" w:sz="6" w:space="0" w:color="auto"/>
              <w:right w:val="single" w:sz="6" w:space="0" w:color="auto"/>
            </w:tcBorders>
          </w:tcPr>
          <w:p w14:paraId="2640445E" w14:textId="77777777" w:rsidR="006031D6" w:rsidRPr="006031D6" w:rsidRDefault="006031D6" w:rsidP="006031D6">
            <w:pPr>
              <w:pStyle w:val="Texttabulky"/>
              <w:spacing w:after="0" w:line="240" w:lineRule="atLeast"/>
              <w:rPr>
                <w:rFonts w:cs="Arial"/>
              </w:rPr>
            </w:pPr>
            <w:r w:rsidRPr="006031D6">
              <w:rPr>
                <w:rFonts w:cs="Arial"/>
                <w:sz w:val="18"/>
                <w:szCs w:val="18"/>
              </w:rPr>
              <w:t>Jílovský potok</w:t>
            </w:r>
          </w:p>
        </w:tc>
      </w:tr>
      <w:tr w:rsidR="006031D6" w:rsidRPr="006031D6" w14:paraId="0B597C23"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26D4B87A" w14:textId="77777777" w:rsidR="006031D6" w:rsidRPr="006031D6" w:rsidRDefault="006031D6" w:rsidP="006031D6">
            <w:pPr>
              <w:pStyle w:val="Texttabulky"/>
              <w:spacing w:after="0" w:line="240" w:lineRule="atLeast"/>
              <w:rPr>
                <w:rFonts w:cs="Arial"/>
              </w:rPr>
            </w:pPr>
            <w:r w:rsidRPr="006031D6">
              <w:rPr>
                <w:rFonts w:cs="Arial"/>
                <w:sz w:val="18"/>
                <w:szCs w:val="18"/>
              </w:rPr>
              <w:t>SEMPRA</w:t>
            </w:r>
          </w:p>
        </w:tc>
        <w:tc>
          <w:tcPr>
            <w:tcW w:w="2345" w:type="dxa"/>
            <w:tcBorders>
              <w:top w:val="single" w:sz="6" w:space="0" w:color="auto"/>
              <w:left w:val="single" w:sz="6" w:space="0" w:color="auto"/>
              <w:bottom w:val="single" w:sz="6" w:space="0" w:color="auto"/>
              <w:right w:val="single" w:sz="6" w:space="0" w:color="auto"/>
            </w:tcBorders>
          </w:tcPr>
          <w:p w14:paraId="49B5E58E" w14:textId="77777777" w:rsidR="006031D6" w:rsidRPr="006031D6" w:rsidRDefault="006031D6" w:rsidP="006031D6">
            <w:pPr>
              <w:pStyle w:val="Texttabulky"/>
              <w:spacing w:after="0" w:line="240" w:lineRule="atLeast"/>
              <w:rPr>
                <w:rFonts w:cs="Arial"/>
              </w:rPr>
            </w:pPr>
            <w:r w:rsidRPr="006031D6">
              <w:rPr>
                <w:rFonts w:cs="Arial"/>
                <w:sz w:val="18"/>
                <w:szCs w:val="18"/>
              </w:rPr>
              <w:t>8,9</w:t>
            </w:r>
          </w:p>
        </w:tc>
        <w:tc>
          <w:tcPr>
            <w:tcW w:w="2332" w:type="dxa"/>
            <w:tcBorders>
              <w:top w:val="single" w:sz="6" w:space="0" w:color="auto"/>
              <w:left w:val="single" w:sz="6" w:space="0" w:color="auto"/>
              <w:bottom w:val="single" w:sz="6" w:space="0" w:color="auto"/>
              <w:right w:val="single" w:sz="6" w:space="0" w:color="auto"/>
            </w:tcBorders>
          </w:tcPr>
          <w:p w14:paraId="62344C21" w14:textId="77777777" w:rsidR="006031D6" w:rsidRPr="006031D6" w:rsidRDefault="006031D6" w:rsidP="006031D6">
            <w:pPr>
              <w:pStyle w:val="Texttabulky"/>
              <w:spacing w:after="0" w:line="240" w:lineRule="atLeast"/>
              <w:rPr>
                <w:rFonts w:cs="Arial"/>
              </w:rPr>
            </w:pPr>
            <w:r w:rsidRPr="006031D6">
              <w:rPr>
                <w:rFonts w:cs="Arial"/>
                <w:sz w:val="18"/>
                <w:szCs w:val="18"/>
              </w:rPr>
              <w:t>Ploučnice</w:t>
            </w:r>
          </w:p>
        </w:tc>
      </w:tr>
      <w:tr w:rsidR="006031D6" w:rsidRPr="006031D6" w14:paraId="25DC72C7"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02FBFEA5" w14:textId="77777777" w:rsidR="006031D6" w:rsidRPr="006031D6" w:rsidRDefault="006031D6" w:rsidP="006031D6">
            <w:pPr>
              <w:pStyle w:val="Texttabulky"/>
              <w:spacing w:after="0" w:line="240" w:lineRule="atLeast"/>
              <w:rPr>
                <w:rFonts w:cs="Arial"/>
              </w:rPr>
            </w:pPr>
            <w:r w:rsidRPr="006031D6">
              <w:rPr>
                <w:rFonts w:cs="Arial"/>
                <w:sz w:val="18"/>
                <w:szCs w:val="18"/>
              </w:rPr>
              <w:t xml:space="preserve">NETEX  (MITOP)  </w:t>
            </w:r>
          </w:p>
        </w:tc>
        <w:tc>
          <w:tcPr>
            <w:tcW w:w="2345" w:type="dxa"/>
            <w:tcBorders>
              <w:top w:val="single" w:sz="6" w:space="0" w:color="auto"/>
              <w:left w:val="single" w:sz="6" w:space="0" w:color="auto"/>
              <w:bottom w:val="single" w:sz="6" w:space="0" w:color="auto"/>
              <w:right w:val="single" w:sz="6" w:space="0" w:color="auto"/>
            </w:tcBorders>
          </w:tcPr>
          <w:p w14:paraId="1864AEB3" w14:textId="77777777" w:rsidR="006031D6" w:rsidRPr="006031D6" w:rsidRDefault="006031D6" w:rsidP="006031D6">
            <w:pPr>
              <w:pStyle w:val="Texttabulky"/>
              <w:spacing w:after="0" w:line="240" w:lineRule="atLeast"/>
              <w:rPr>
                <w:rFonts w:cs="Arial"/>
              </w:rPr>
            </w:pPr>
            <w:r w:rsidRPr="006031D6">
              <w:rPr>
                <w:rFonts w:cs="Arial"/>
                <w:sz w:val="18"/>
                <w:szCs w:val="18"/>
              </w:rPr>
              <w:t>30</w:t>
            </w:r>
          </w:p>
        </w:tc>
        <w:tc>
          <w:tcPr>
            <w:tcW w:w="2332" w:type="dxa"/>
            <w:tcBorders>
              <w:top w:val="single" w:sz="6" w:space="0" w:color="auto"/>
              <w:left w:val="single" w:sz="6" w:space="0" w:color="auto"/>
              <w:bottom w:val="single" w:sz="6" w:space="0" w:color="auto"/>
              <w:right w:val="single" w:sz="6" w:space="0" w:color="auto"/>
            </w:tcBorders>
          </w:tcPr>
          <w:p w14:paraId="698EC9B1" w14:textId="77777777" w:rsidR="006031D6" w:rsidRPr="006031D6" w:rsidRDefault="006031D6" w:rsidP="006031D6">
            <w:pPr>
              <w:pStyle w:val="Texttabulky"/>
              <w:spacing w:after="0" w:line="240" w:lineRule="atLeast"/>
              <w:rPr>
                <w:rFonts w:cs="Arial"/>
              </w:rPr>
            </w:pPr>
            <w:r w:rsidRPr="006031D6">
              <w:rPr>
                <w:rFonts w:cs="Arial"/>
                <w:sz w:val="18"/>
                <w:szCs w:val="18"/>
              </w:rPr>
              <w:t>Jílovský potok</w:t>
            </w:r>
          </w:p>
        </w:tc>
      </w:tr>
      <w:tr w:rsidR="006031D6" w:rsidRPr="006031D6" w14:paraId="02CD7A40"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152C1037" w14:textId="77777777" w:rsidR="006031D6" w:rsidRPr="006031D6" w:rsidRDefault="006031D6" w:rsidP="006031D6">
            <w:pPr>
              <w:pStyle w:val="Texttabulky"/>
              <w:spacing w:after="0" w:line="240" w:lineRule="atLeast"/>
              <w:rPr>
                <w:rFonts w:cs="Arial"/>
              </w:rPr>
            </w:pPr>
            <w:r w:rsidRPr="006031D6">
              <w:rPr>
                <w:rFonts w:cs="Arial"/>
                <w:sz w:val="18"/>
                <w:szCs w:val="18"/>
              </w:rPr>
              <w:t xml:space="preserve">WICO (KOH-I-NOOR) </w:t>
            </w:r>
          </w:p>
        </w:tc>
        <w:tc>
          <w:tcPr>
            <w:tcW w:w="2345" w:type="dxa"/>
            <w:tcBorders>
              <w:top w:val="single" w:sz="6" w:space="0" w:color="auto"/>
              <w:left w:val="single" w:sz="6" w:space="0" w:color="auto"/>
              <w:bottom w:val="single" w:sz="6" w:space="0" w:color="auto"/>
              <w:right w:val="single" w:sz="6" w:space="0" w:color="auto"/>
            </w:tcBorders>
          </w:tcPr>
          <w:p w14:paraId="5676D23D" w14:textId="77777777" w:rsidR="006031D6" w:rsidRPr="006031D6" w:rsidRDefault="006031D6" w:rsidP="006031D6">
            <w:pPr>
              <w:pStyle w:val="Texttabulky"/>
              <w:spacing w:after="0" w:line="240" w:lineRule="atLeast"/>
              <w:rPr>
                <w:rFonts w:cs="Arial"/>
              </w:rPr>
            </w:pPr>
            <w:r w:rsidRPr="006031D6">
              <w:rPr>
                <w:rFonts w:cs="Arial"/>
                <w:sz w:val="18"/>
                <w:szCs w:val="18"/>
              </w:rPr>
              <w:t>120</w:t>
            </w:r>
          </w:p>
        </w:tc>
        <w:tc>
          <w:tcPr>
            <w:tcW w:w="2332" w:type="dxa"/>
            <w:tcBorders>
              <w:top w:val="single" w:sz="6" w:space="0" w:color="auto"/>
              <w:left w:val="single" w:sz="6" w:space="0" w:color="auto"/>
              <w:bottom w:val="single" w:sz="6" w:space="0" w:color="auto"/>
              <w:right w:val="single" w:sz="6" w:space="0" w:color="auto"/>
            </w:tcBorders>
          </w:tcPr>
          <w:p w14:paraId="276C5A35" w14:textId="77777777" w:rsidR="006031D6" w:rsidRPr="006031D6" w:rsidRDefault="006031D6" w:rsidP="006031D6">
            <w:pPr>
              <w:pStyle w:val="Texttabulky"/>
              <w:spacing w:after="0" w:line="240" w:lineRule="atLeast"/>
              <w:rPr>
                <w:rFonts w:cs="Arial"/>
              </w:rPr>
            </w:pPr>
            <w:r w:rsidRPr="006031D6">
              <w:rPr>
                <w:rFonts w:cs="Arial"/>
                <w:sz w:val="18"/>
                <w:szCs w:val="18"/>
              </w:rPr>
              <w:t>Ploučnice</w:t>
            </w:r>
          </w:p>
        </w:tc>
      </w:tr>
      <w:tr w:rsidR="006031D6" w:rsidRPr="006031D6" w14:paraId="0DFE9792"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1FD7984F" w14:textId="77777777" w:rsidR="006031D6" w:rsidRPr="006031D6" w:rsidRDefault="006031D6" w:rsidP="006031D6">
            <w:pPr>
              <w:pStyle w:val="Texttabulky"/>
              <w:spacing w:after="0" w:line="240" w:lineRule="atLeast"/>
              <w:rPr>
                <w:rFonts w:cs="Arial"/>
              </w:rPr>
            </w:pPr>
            <w:r w:rsidRPr="006031D6">
              <w:rPr>
                <w:rFonts w:cs="Arial"/>
                <w:sz w:val="18"/>
                <w:szCs w:val="18"/>
              </w:rPr>
              <w:t>TS Děčín</w:t>
            </w:r>
          </w:p>
        </w:tc>
        <w:tc>
          <w:tcPr>
            <w:tcW w:w="2345" w:type="dxa"/>
            <w:tcBorders>
              <w:top w:val="single" w:sz="6" w:space="0" w:color="auto"/>
              <w:left w:val="single" w:sz="6" w:space="0" w:color="auto"/>
              <w:bottom w:val="single" w:sz="6" w:space="0" w:color="auto"/>
              <w:right w:val="single" w:sz="6" w:space="0" w:color="auto"/>
            </w:tcBorders>
          </w:tcPr>
          <w:p w14:paraId="2CFAC4E0" w14:textId="77777777" w:rsidR="006031D6" w:rsidRPr="006031D6" w:rsidRDefault="006031D6" w:rsidP="006031D6">
            <w:pPr>
              <w:pStyle w:val="Texttabulky"/>
              <w:spacing w:after="0" w:line="240" w:lineRule="atLeast"/>
              <w:rPr>
                <w:rFonts w:cs="Arial"/>
              </w:rPr>
            </w:pPr>
            <w:r w:rsidRPr="006031D6">
              <w:rPr>
                <w:rFonts w:cs="Arial"/>
                <w:sz w:val="18"/>
                <w:szCs w:val="18"/>
              </w:rPr>
              <w:t>70</w:t>
            </w:r>
          </w:p>
        </w:tc>
        <w:tc>
          <w:tcPr>
            <w:tcW w:w="2332" w:type="dxa"/>
            <w:tcBorders>
              <w:top w:val="single" w:sz="6" w:space="0" w:color="auto"/>
              <w:left w:val="single" w:sz="6" w:space="0" w:color="auto"/>
              <w:bottom w:val="single" w:sz="6" w:space="0" w:color="auto"/>
              <w:right w:val="single" w:sz="6" w:space="0" w:color="auto"/>
            </w:tcBorders>
          </w:tcPr>
          <w:p w14:paraId="2B5F9C5E" w14:textId="77777777" w:rsidR="006031D6" w:rsidRPr="006031D6" w:rsidRDefault="006031D6" w:rsidP="006031D6">
            <w:pPr>
              <w:pStyle w:val="Texttabulky"/>
              <w:spacing w:after="0" w:line="240" w:lineRule="atLeast"/>
              <w:rPr>
                <w:rFonts w:cs="Arial"/>
              </w:rPr>
            </w:pPr>
            <w:r w:rsidRPr="006031D6">
              <w:rPr>
                <w:rFonts w:cs="Arial"/>
                <w:sz w:val="18"/>
                <w:szCs w:val="18"/>
              </w:rPr>
              <w:t>Ploučnice</w:t>
            </w:r>
          </w:p>
        </w:tc>
      </w:tr>
      <w:tr w:rsidR="006031D6" w:rsidRPr="006031D6" w14:paraId="2D089038"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7B097235" w14:textId="77777777" w:rsidR="006031D6" w:rsidRPr="006031D6" w:rsidRDefault="006031D6" w:rsidP="006031D6">
            <w:pPr>
              <w:pStyle w:val="Texttabulky"/>
              <w:spacing w:after="0" w:line="240" w:lineRule="atLeast"/>
              <w:rPr>
                <w:rFonts w:cs="Arial"/>
              </w:rPr>
            </w:pPr>
            <w:r w:rsidRPr="006031D6">
              <w:rPr>
                <w:rFonts w:cs="Arial"/>
                <w:caps/>
                <w:sz w:val="18"/>
                <w:szCs w:val="18"/>
              </w:rPr>
              <w:t xml:space="preserve">karned </w:t>
            </w:r>
            <w:r w:rsidRPr="006031D6">
              <w:rPr>
                <w:rFonts w:cs="Arial"/>
                <w:sz w:val="18"/>
                <w:szCs w:val="18"/>
              </w:rPr>
              <w:t>(Nářadí</w:t>
            </w:r>
            <w:r w:rsidRPr="006031D6">
              <w:rPr>
                <w:rFonts w:cs="Arial"/>
              </w:rPr>
              <w:t>)</w:t>
            </w:r>
          </w:p>
        </w:tc>
        <w:tc>
          <w:tcPr>
            <w:tcW w:w="2345" w:type="dxa"/>
            <w:tcBorders>
              <w:top w:val="single" w:sz="6" w:space="0" w:color="auto"/>
              <w:left w:val="single" w:sz="6" w:space="0" w:color="auto"/>
              <w:bottom w:val="single" w:sz="6" w:space="0" w:color="auto"/>
              <w:right w:val="single" w:sz="6" w:space="0" w:color="auto"/>
            </w:tcBorders>
          </w:tcPr>
          <w:p w14:paraId="346F67F8" w14:textId="77777777" w:rsidR="006031D6" w:rsidRPr="006031D6" w:rsidRDefault="006031D6" w:rsidP="006031D6">
            <w:pPr>
              <w:pStyle w:val="Texttabulky"/>
              <w:spacing w:after="0" w:line="240" w:lineRule="atLeast"/>
              <w:rPr>
                <w:rFonts w:cs="Arial"/>
              </w:rPr>
            </w:pPr>
            <w:r w:rsidRPr="006031D6">
              <w:rPr>
                <w:rFonts w:cs="Arial"/>
                <w:sz w:val="18"/>
                <w:szCs w:val="18"/>
              </w:rPr>
              <w:t>30</w:t>
            </w:r>
          </w:p>
        </w:tc>
        <w:tc>
          <w:tcPr>
            <w:tcW w:w="2332" w:type="dxa"/>
            <w:tcBorders>
              <w:top w:val="single" w:sz="6" w:space="0" w:color="auto"/>
              <w:left w:val="single" w:sz="6" w:space="0" w:color="auto"/>
              <w:bottom w:val="single" w:sz="6" w:space="0" w:color="auto"/>
              <w:right w:val="single" w:sz="6" w:space="0" w:color="auto"/>
            </w:tcBorders>
          </w:tcPr>
          <w:p w14:paraId="30F473BB" w14:textId="77777777" w:rsidR="006031D6" w:rsidRPr="006031D6" w:rsidRDefault="006031D6" w:rsidP="006031D6">
            <w:pPr>
              <w:pStyle w:val="Texttabulky"/>
              <w:spacing w:after="0" w:line="240" w:lineRule="atLeast"/>
              <w:rPr>
                <w:rFonts w:cs="Arial"/>
              </w:rPr>
            </w:pPr>
            <w:r w:rsidRPr="006031D6">
              <w:rPr>
                <w:rFonts w:cs="Arial"/>
                <w:sz w:val="18"/>
                <w:szCs w:val="18"/>
              </w:rPr>
              <w:t>Ploučnice</w:t>
            </w:r>
          </w:p>
        </w:tc>
      </w:tr>
      <w:tr w:rsidR="006031D6" w:rsidRPr="006031D6" w14:paraId="6020E647"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3C919287" w14:textId="77777777" w:rsidR="006031D6" w:rsidRPr="006031D6" w:rsidRDefault="006031D6" w:rsidP="006031D6">
            <w:pPr>
              <w:pStyle w:val="Texttabulky"/>
              <w:spacing w:after="0" w:line="240" w:lineRule="atLeast"/>
              <w:rPr>
                <w:rFonts w:cs="Arial"/>
              </w:rPr>
            </w:pPr>
            <w:r w:rsidRPr="006031D6">
              <w:rPr>
                <w:rFonts w:cs="Arial"/>
                <w:caps/>
                <w:sz w:val="18"/>
                <w:szCs w:val="18"/>
              </w:rPr>
              <w:t>Lineta</w:t>
            </w:r>
            <w:r w:rsidRPr="006031D6">
              <w:rPr>
                <w:rFonts w:cs="Arial"/>
                <w:sz w:val="18"/>
                <w:szCs w:val="18"/>
              </w:rPr>
              <w:t xml:space="preserve"> (Dřevařské závody) </w:t>
            </w:r>
          </w:p>
        </w:tc>
        <w:tc>
          <w:tcPr>
            <w:tcW w:w="2345" w:type="dxa"/>
            <w:tcBorders>
              <w:top w:val="single" w:sz="6" w:space="0" w:color="auto"/>
              <w:left w:val="single" w:sz="6" w:space="0" w:color="auto"/>
              <w:bottom w:val="single" w:sz="6" w:space="0" w:color="auto"/>
              <w:right w:val="single" w:sz="6" w:space="0" w:color="auto"/>
            </w:tcBorders>
          </w:tcPr>
          <w:p w14:paraId="37AF2B3F" w14:textId="77777777" w:rsidR="006031D6" w:rsidRPr="006031D6" w:rsidRDefault="006031D6" w:rsidP="006031D6">
            <w:pPr>
              <w:pStyle w:val="Texttabulky"/>
              <w:spacing w:after="0" w:line="240" w:lineRule="atLeast"/>
              <w:rPr>
                <w:rFonts w:cs="Arial"/>
              </w:rPr>
            </w:pPr>
            <w:r w:rsidRPr="006031D6">
              <w:rPr>
                <w:rFonts w:cs="Arial"/>
                <w:sz w:val="18"/>
                <w:szCs w:val="18"/>
              </w:rPr>
              <w:t>9,2</w:t>
            </w:r>
          </w:p>
        </w:tc>
        <w:tc>
          <w:tcPr>
            <w:tcW w:w="2332" w:type="dxa"/>
            <w:tcBorders>
              <w:top w:val="single" w:sz="6" w:space="0" w:color="auto"/>
              <w:left w:val="single" w:sz="6" w:space="0" w:color="auto"/>
              <w:bottom w:val="single" w:sz="6" w:space="0" w:color="auto"/>
              <w:right w:val="single" w:sz="6" w:space="0" w:color="auto"/>
            </w:tcBorders>
          </w:tcPr>
          <w:p w14:paraId="561AE06F" w14:textId="77777777" w:rsidR="006031D6" w:rsidRPr="006031D6" w:rsidRDefault="006031D6" w:rsidP="006031D6">
            <w:pPr>
              <w:pStyle w:val="Texttabulky"/>
              <w:spacing w:after="0" w:line="240" w:lineRule="atLeast"/>
              <w:rPr>
                <w:rFonts w:cs="Arial"/>
              </w:rPr>
            </w:pPr>
            <w:r w:rsidRPr="006031D6">
              <w:rPr>
                <w:rFonts w:cs="Arial"/>
                <w:sz w:val="18"/>
                <w:szCs w:val="18"/>
              </w:rPr>
              <w:t>Folknářský potok</w:t>
            </w:r>
          </w:p>
        </w:tc>
      </w:tr>
      <w:tr w:rsidR="006031D6" w:rsidRPr="006031D6" w14:paraId="5CCE85CD"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692F1778" w14:textId="77777777" w:rsidR="006031D6" w:rsidRPr="006031D6" w:rsidRDefault="006031D6" w:rsidP="006031D6">
            <w:pPr>
              <w:pStyle w:val="Texttabulky"/>
              <w:spacing w:after="0" w:line="240" w:lineRule="atLeast"/>
              <w:rPr>
                <w:rFonts w:cs="Arial"/>
              </w:rPr>
            </w:pPr>
            <w:r w:rsidRPr="006031D6">
              <w:rPr>
                <w:rFonts w:cs="Arial"/>
                <w:sz w:val="18"/>
                <w:szCs w:val="18"/>
              </w:rPr>
              <w:t>Sběrné suroviny Bynov</w:t>
            </w:r>
          </w:p>
        </w:tc>
        <w:tc>
          <w:tcPr>
            <w:tcW w:w="2345" w:type="dxa"/>
            <w:tcBorders>
              <w:top w:val="single" w:sz="6" w:space="0" w:color="auto"/>
              <w:left w:val="single" w:sz="6" w:space="0" w:color="auto"/>
              <w:bottom w:val="single" w:sz="6" w:space="0" w:color="auto"/>
              <w:right w:val="single" w:sz="6" w:space="0" w:color="auto"/>
            </w:tcBorders>
          </w:tcPr>
          <w:p w14:paraId="4EA44317" w14:textId="77777777" w:rsidR="006031D6" w:rsidRPr="006031D6" w:rsidRDefault="006031D6" w:rsidP="006031D6">
            <w:pPr>
              <w:pStyle w:val="Texttabulky"/>
              <w:spacing w:after="0" w:line="240" w:lineRule="atLeast"/>
              <w:rPr>
                <w:rFonts w:cs="Arial"/>
              </w:rPr>
            </w:pPr>
            <w:r w:rsidRPr="006031D6">
              <w:rPr>
                <w:rFonts w:cs="Arial"/>
                <w:sz w:val="18"/>
                <w:szCs w:val="18"/>
              </w:rPr>
              <w:t>44</w:t>
            </w:r>
          </w:p>
        </w:tc>
        <w:tc>
          <w:tcPr>
            <w:tcW w:w="2332" w:type="dxa"/>
            <w:tcBorders>
              <w:top w:val="single" w:sz="6" w:space="0" w:color="auto"/>
              <w:left w:val="single" w:sz="6" w:space="0" w:color="auto"/>
              <w:bottom w:val="single" w:sz="6" w:space="0" w:color="auto"/>
              <w:right w:val="single" w:sz="6" w:space="0" w:color="auto"/>
            </w:tcBorders>
          </w:tcPr>
          <w:p w14:paraId="0EAEA3CC" w14:textId="77777777" w:rsidR="006031D6" w:rsidRPr="006031D6" w:rsidRDefault="006031D6" w:rsidP="006031D6">
            <w:pPr>
              <w:pStyle w:val="Texttabulky"/>
              <w:spacing w:after="0" w:line="240" w:lineRule="atLeast"/>
              <w:rPr>
                <w:rFonts w:cs="Arial"/>
              </w:rPr>
            </w:pPr>
            <w:r w:rsidRPr="006031D6">
              <w:rPr>
                <w:rFonts w:cs="Arial"/>
                <w:sz w:val="18"/>
                <w:szCs w:val="18"/>
              </w:rPr>
              <w:t>Jílovský potok</w:t>
            </w:r>
          </w:p>
        </w:tc>
      </w:tr>
      <w:tr w:rsidR="006031D6" w:rsidRPr="006031D6" w14:paraId="160FD98C"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79EFE841" w14:textId="77777777" w:rsidR="006031D6" w:rsidRPr="006031D6" w:rsidRDefault="006031D6" w:rsidP="006031D6">
            <w:pPr>
              <w:pStyle w:val="Texttabulky"/>
              <w:spacing w:after="0" w:line="240" w:lineRule="atLeast"/>
              <w:rPr>
                <w:rFonts w:cs="Arial"/>
              </w:rPr>
            </w:pPr>
            <w:r w:rsidRPr="006031D6">
              <w:rPr>
                <w:rFonts w:cs="Arial"/>
                <w:caps/>
                <w:sz w:val="18"/>
                <w:szCs w:val="18"/>
              </w:rPr>
              <w:t>Kovočas</w:t>
            </w:r>
          </w:p>
        </w:tc>
        <w:tc>
          <w:tcPr>
            <w:tcW w:w="2345" w:type="dxa"/>
            <w:tcBorders>
              <w:top w:val="single" w:sz="6" w:space="0" w:color="auto"/>
              <w:left w:val="single" w:sz="6" w:space="0" w:color="auto"/>
              <w:bottom w:val="single" w:sz="6" w:space="0" w:color="auto"/>
              <w:right w:val="single" w:sz="6" w:space="0" w:color="auto"/>
            </w:tcBorders>
          </w:tcPr>
          <w:p w14:paraId="03ADFD34" w14:textId="77777777" w:rsidR="006031D6" w:rsidRPr="006031D6" w:rsidRDefault="006031D6" w:rsidP="006031D6">
            <w:pPr>
              <w:pStyle w:val="Texttabulky"/>
              <w:spacing w:after="0" w:line="240" w:lineRule="atLeast"/>
              <w:rPr>
                <w:rFonts w:cs="Arial"/>
              </w:rPr>
            </w:pPr>
            <w:r w:rsidRPr="006031D6">
              <w:rPr>
                <w:rFonts w:cs="Arial"/>
                <w:sz w:val="18"/>
                <w:szCs w:val="18"/>
              </w:rPr>
              <w:t>15</w:t>
            </w:r>
          </w:p>
        </w:tc>
        <w:tc>
          <w:tcPr>
            <w:tcW w:w="2332" w:type="dxa"/>
            <w:tcBorders>
              <w:top w:val="single" w:sz="6" w:space="0" w:color="auto"/>
              <w:left w:val="single" w:sz="6" w:space="0" w:color="auto"/>
              <w:bottom w:val="single" w:sz="6" w:space="0" w:color="auto"/>
              <w:right w:val="single" w:sz="6" w:space="0" w:color="auto"/>
            </w:tcBorders>
          </w:tcPr>
          <w:p w14:paraId="44D76378" w14:textId="77777777" w:rsidR="006031D6" w:rsidRPr="006031D6" w:rsidRDefault="006031D6" w:rsidP="006031D6">
            <w:pPr>
              <w:pStyle w:val="Texttabulky"/>
              <w:spacing w:after="0" w:line="240" w:lineRule="atLeast"/>
              <w:rPr>
                <w:rFonts w:cs="Arial"/>
              </w:rPr>
            </w:pPr>
            <w:r w:rsidRPr="006031D6">
              <w:rPr>
                <w:rFonts w:cs="Arial"/>
                <w:sz w:val="18"/>
                <w:szCs w:val="18"/>
              </w:rPr>
              <w:t>Jílovský potok</w:t>
            </w:r>
          </w:p>
        </w:tc>
      </w:tr>
      <w:tr w:rsidR="006031D6" w:rsidRPr="006031D6" w14:paraId="33CE17E5"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7919995C" w14:textId="77777777" w:rsidR="006031D6" w:rsidRPr="006031D6" w:rsidRDefault="006031D6" w:rsidP="006031D6">
            <w:pPr>
              <w:pStyle w:val="Texttabulky"/>
              <w:spacing w:after="0" w:line="240" w:lineRule="atLeast"/>
              <w:rPr>
                <w:rFonts w:cs="Arial"/>
              </w:rPr>
            </w:pPr>
            <w:r w:rsidRPr="006031D6">
              <w:rPr>
                <w:rFonts w:cs="Arial"/>
                <w:sz w:val="18"/>
                <w:szCs w:val="18"/>
              </w:rPr>
              <w:t>Výtopna</w:t>
            </w:r>
          </w:p>
        </w:tc>
        <w:tc>
          <w:tcPr>
            <w:tcW w:w="2345" w:type="dxa"/>
            <w:tcBorders>
              <w:top w:val="single" w:sz="6" w:space="0" w:color="auto"/>
              <w:left w:val="single" w:sz="6" w:space="0" w:color="auto"/>
              <w:bottom w:val="single" w:sz="6" w:space="0" w:color="auto"/>
              <w:right w:val="single" w:sz="6" w:space="0" w:color="auto"/>
            </w:tcBorders>
          </w:tcPr>
          <w:p w14:paraId="661D65E4" w14:textId="77777777" w:rsidR="006031D6" w:rsidRPr="006031D6" w:rsidRDefault="006031D6" w:rsidP="006031D6">
            <w:pPr>
              <w:pStyle w:val="Texttabulky"/>
              <w:spacing w:after="0" w:line="240" w:lineRule="atLeast"/>
              <w:rPr>
                <w:rFonts w:cs="Arial"/>
              </w:rPr>
            </w:pPr>
            <w:r w:rsidRPr="006031D6">
              <w:rPr>
                <w:rFonts w:cs="Arial"/>
                <w:sz w:val="18"/>
                <w:szCs w:val="18"/>
              </w:rPr>
              <w:t>70</w:t>
            </w:r>
          </w:p>
        </w:tc>
        <w:tc>
          <w:tcPr>
            <w:tcW w:w="2332" w:type="dxa"/>
            <w:tcBorders>
              <w:top w:val="single" w:sz="6" w:space="0" w:color="auto"/>
              <w:left w:val="single" w:sz="6" w:space="0" w:color="auto"/>
              <w:bottom w:val="single" w:sz="6" w:space="0" w:color="auto"/>
              <w:right w:val="single" w:sz="6" w:space="0" w:color="auto"/>
            </w:tcBorders>
          </w:tcPr>
          <w:p w14:paraId="10DAC541" w14:textId="77777777" w:rsidR="006031D6" w:rsidRPr="006031D6" w:rsidRDefault="006031D6" w:rsidP="006031D6">
            <w:pPr>
              <w:pStyle w:val="Texttabulky"/>
              <w:spacing w:after="0" w:line="240" w:lineRule="atLeast"/>
              <w:rPr>
                <w:rFonts w:cs="Arial"/>
              </w:rPr>
            </w:pPr>
            <w:r w:rsidRPr="006031D6">
              <w:rPr>
                <w:rFonts w:cs="Arial"/>
                <w:sz w:val="18"/>
                <w:szCs w:val="18"/>
              </w:rPr>
              <w:t>Ploučnice</w:t>
            </w:r>
          </w:p>
        </w:tc>
      </w:tr>
      <w:tr w:rsidR="006031D6" w:rsidRPr="006031D6" w14:paraId="4D9014ED" w14:textId="77777777" w:rsidTr="002D2D45">
        <w:trPr>
          <w:jc w:val="center"/>
        </w:trPr>
        <w:tc>
          <w:tcPr>
            <w:tcW w:w="2825" w:type="dxa"/>
            <w:tcBorders>
              <w:top w:val="single" w:sz="6" w:space="0" w:color="auto"/>
              <w:left w:val="single" w:sz="6" w:space="0" w:color="auto"/>
              <w:bottom w:val="single" w:sz="6" w:space="0" w:color="auto"/>
              <w:right w:val="single" w:sz="6" w:space="0" w:color="auto"/>
            </w:tcBorders>
          </w:tcPr>
          <w:p w14:paraId="04777866" w14:textId="77777777" w:rsidR="006031D6" w:rsidRPr="006031D6" w:rsidRDefault="006031D6" w:rsidP="006031D6">
            <w:pPr>
              <w:pStyle w:val="Texttabulky"/>
              <w:spacing w:after="0" w:line="240" w:lineRule="atLeast"/>
              <w:rPr>
                <w:rFonts w:cs="Arial"/>
              </w:rPr>
            </w:pPr>
            <w:r w:rsidRPr="006031D6">
              <w:rPr>
                <w:rFonts w:cs="Arial"/>
                <w:sz w:val="18"/>
                <w:szCs w:val="18"/>
              </w:rPr>
              <w:t>SČA</w:t>
            </w:r>
          </w:p>
        </w:tc>
        <w:tc>
          <w:tcPr>
            <w:tcW w:w="2345" w:type="dxa"/>
            <w:tcBorders>
              <w:top w:val="single" w:sz="6" w:space="0" w:color="auto"/>
              <w:left w:val="single" w:sz="6" w:space="0" w:color="auto"/>
              <w:bottom w:val="single" w:sz="6" w:space="0" w:color="auto"/>
              <w:right w:val="single" w:sz="6" w:space="0" w:color="auto"/>
            </w:tcBorders>
          </w:tcPr>
          <w:p w14:paraId="76528A1D" w14:textId="77777777" w:rsidR="006031D6" w:rsidRPr="006031D6" w:rsidRDefault="006031D6" w:rsidP="006031D6">
            <w:pPr>
              <w:pStyle w:val="Texttabulky"/>
              <w:spacing w:after="0" w:line="240" w:lineRule="atLeast"/>
              <w:rPr>
                <w:rFonts w:cs="Arial"/>
              </w:rPr>
            </w:pPr>
            <w:r w:rsidRPr="006031D6">
              <w:rPr>
                <w:rFonts w:cs="Arial"/>
                <w:sz w:val="18"/>
                <w:szCs w:val="18"/>
              </w:rPr>
              <w:t>8,95</w:t>
            </w:r>
          </w:p>
        </w:tc>
        <w:tc>
          <w:tcPr>
            <w:tcW w:w="2332" w:type="dxa"/>
            <w:tcBorders>
              <w:top w:val="single" w:sz="6" w:space="0" w:color="auto"/>
              <w:left w:val="single" w:sz="6" w:space="0" w:color="auto"/>
              <w:bottom w:val="single" w:sz="6" w:space="0" w:color="auto"/>
              <w:right w:val="single" w:sz="6" w:space="0" w:color="auto"/>
            </w:tcBorders>
          </w:tcPr>
          <w:p w14:paraId="5789690E" w14:textId="77777777" w:rsidR="006031D6" w:rsidRPr="006031D6" w:rsidRDefault="006031D6" w:rsidP="006031D6">
            <w:pPr>
              <w:pStyle w:val="Texttabulky"/>
              <w:spacing w:after="0" w:line="240" w:lineRule="atLeast"/>
              <w:rPr>
                <w:rFonts w:cs="Arial"/>
              </w:rPr>
            </w:pPr>
            <w:r w:rsidRPr="006031D6">
              <w:rPr>
                <w:rFonts w:cs="Arial"/>
                <w:sz w:val="18"/>
                <w:szCs w:val="18"/>
              </w:rPr>
              <w:t>Jílovský potok</w:t>
            </w:r>
          </w:p>
        </w:tc>
      </w:tr>
    </w:tbl>
    <w:p w14:paraId="2B7FB5F2" w14:textId="77777777" w:rsidR="006031D6" w:rsidRPr="006031D6" w:rsidRDefault="006031D6" w:rsidP="006031D6">
      <w:pPr>
        <w:autoSpaceDE w:val="0"/>
        <w:autoSpaceDN w:val="0"/>
        <w:adjustRightInd w:val="0"/>
        <w:jc w:val="both"/>
        <w:rPr>
          <w:rFonts w:ascii="Arial" w:hAnsi="Arial" w:cs="Arial"/>
          <w:sz w:val="20"/>
        </w:rPr>
      </w:pPr>
    </w:p>
    <w:p w14:paraId="5D73C354"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sz w:val="22"/>
          <w:szCs w:val="22"/>
        </w:rPr>
        <w:t xml:space="preserve">Předpokládá se, že vlastní zdroje si vybudují i nově navržené provozy. Vodní toky i zvodnění v jejich sousedství dávají předpoklady bezproblémového zajištění užitkové vody v potřebných množstvích. Děčín v tomto směru má dobré podmínky. </w:t>
      </w:r>
    </w:p>
    <w:p w14:paraId="3D19531E"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sz w:val="22"/>
          <w:szCs w:val="22"/>
        </w:rPr>
        <w:t xml:space="preserve">Uvedené odběry nutno pokládat za orientační, neboť se mění v závislosti na výrobě a úsporných opatřeních závodu. </w:t>
      </w:r>
    </w:p>
    <w:p w14:paraId="0F968B6E" w14:textId="77777777" w:rsidR="006031D6" w:rsidRDefault="006031D6" w:rsidP="006031D6">
      <w:pPr>
        <w:pStyle w:val="Zkladntext"/>
        <w:spacing w:before="120" w:line="288" w:lineRule="auto"/>
        <w:ind w:firstLine="708"/>
        <w:jc w:val="both"/>
        <w:rPr>
          <w:rFonts w:ascii="Arial" w:hAnsi="Arial" w:cs="Arial"/>
          <w:sz w:val="22"/>
          <w:szCs w:val="22"/>
        </w:rPr>
      </w:pPr>
    </w:p>
    <w:p w14:paraId="1D6FB329" w14:textId="77777777" w:rsidR="006031D6" w:rsidRPr="006031D6" w:rsidRDefault="006031D6" w:rsidP="006031D6">
      <w:pPr>
        <w:pStyle w:val="podnadpis1"/>
        <w:spacing w:line="240" w:lineRule="atLeast"/>
        <w:jc w:val="both"/>
        <w:rPr>
          <w:rFonts w:cs="Arial"/>
        </w:rPr>
      </w:pPr>
      <w:r w:rsidRPr="006031D6">
        <w:rPr>
          <w:rFonts w:cs="Arial"/>
        </w:rPr>
        <w:t>G3. Termální vody</w:t>
      </w:r>
    </w:p>
    <w:p w14:paraId="6138E836"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sz w:val="22"/>
          <w:szCs w:val="22"/>
        </w:rPr>
        <w:t xml:space="preserve">Na území sídelního útvaru Děčín se vyskytuje struktura podzemních křídových termálních vod. Termální vody děčínské termální struktury se řadí k  podzemním vodám křídy </w:t>
      </w:r>
      <w:r w:rsidRPr="006031D6">
        <w:rPr>
          <w:rFonts w:ascii="Arial" w:hAnsi="Arial" w:cs="Arial"/>
          <w:sz w:val="22"/>
          <w:szCs w:val="22"/>
        </w:rPr>
        <w:lastRenderedPageBreak/>
        <w:t xml:space="preserve">ohřátých vlivem přísunu tepla z podložního krystalinika jako pozůstatek vulkanické činnosti Českého středohoří. Komunikačním a akumulačním prostředím nízkotermální vody jsou křídové horniny, konkrétně pískovcové sedimenty cenomansko - turonského souvrství o mocnosti až 300 m. Nadloží uvedeného kolektoru je chráněno 100 až 160 m mocným stropním izolátorem. Tento strop zajišťuje hydrostatický tlak podzemní vody kolektoru do min. úrovně 150 m n. m. a zabraňuje spontánnímu odvodnění kolektoru do Labe a současně plní i funkci ochrany před vnějšími negativními vlivy. Teplota vody se pohybuje v rozmezí 24°C až 33°C. Využitelné množství stanovil orientačně RNDr. Nakládal na 150 - 160 l/s dle současných znalostí. </w:t>
      </w:r>
    </w:p>
    <w:p w14:paraId="5F3141EC" w14:textId="77777777" w:rsidR="006031D6" w:rsidRPr="006031D6" w:rsidRDefault="006031D6" w:rsidP="006031D6">
      <w:pPr>
        <w:pStyle w:val="Zkladntext"/>
        <w:spacing w:line="240" w:lineRule="atLeast"/>
        <w:rPr>
          <w:rFonts w:ascii="Arial" w:hAnsi="Arial" w:cs="Arial"/>
        </w:rPr>
      </w:pPr>
    </w:p>
    <w:p w14:paraId="7FBAE08F"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Přehled známých vrtů a jejich využívání a orientační vydatnost</w:t>
      </w:r>
      <w:r w:rsidRPr="006031D6">
        <w:rPr>
          <w:rFonts w:ascii="Arial" w:hAnsi="Arial" w:cs="Arial"/>
          <w:b/>
          <w:bCs/>
          <w:sz w:val="22"/>
          <w:szCs w:val="22"/>
        </w:rPr>
        <w:t xml:space="preserve"> </w:t>
      </w:r>
    </w:p>
    <w:p w14:paraId="3F45C862"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1.)</w:t>
      </w:r>
      <w:r w:rsidRPr="006031D6">
        <w:rPr>
          <w:rFonts w:ascii="Arial" w:hAnsi="Arial" w:cs="Arial"/>
          <w:sz w:val="22"/>
          <w:szCs w:val="22"/>
        </w:rPr>
        <w:tab/>
        <w:t>JUSTRA Vilsnice (dř. Strojobal) - voda nevyužívaná, odtéká bez užitku do Labe</w:t>
      </w:r>
    </w:p>
    <w:p w14:paraId="732529F2"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2.)</w:t>
      </w:r>
      <w:r w:rsidRPr="006031D6">
        <w:rPr>
          <w:rFonts w:ascii="Arial" w:hAnsi="Arial" w:cs="Arial"/>
          <w:sz w:val="22"/>
          <w:szCs w:val="22"/>
        </w:rPr>
        <w:tab/>
      </w:r>
      <w:r w:rsidRPr="006031D6">
        <w:rPr>
          <w:rFonts w:ascii="Arial" w:hAnsi="Arial" w:cs="Arial"/>
          <w:caps/>
          <w:sz w:val="22"/>
          <w:szCs w:val="22"/>
        </w:rPr>
        <w:t xml:space="preserve">Alusuisse </w:t>
      </w:r>
      <w:r w:rsidRPr="006031D6">
        <w:rPr>
          <w:rFonts w:ascii="Arial" w:hAnsi="Arial" w:cs="Arial"/>
          <w:sz w:val="22"/>
          <w:szCs w:val="22"/>
        </w:rPr>
        <w:t>(dř. Aluminium) voda 25°C. Původní vrt byl tamponován a nahrazen novým vrtem. Využívá se jako voda užitková</w:t>
      </w:r>
    </w:p>
    <w:p w14:paraId="73C71AA7"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3.)</w:t>
      </w:r>
      <w:r w:rsidRPr="006031D6">
        <w:rPr>
          <w:rFonts w:ascii="Arial" w:hAnsi="Arial" w:cs="Arial"/>
          <w:sz w:val="22"/>
          <w:szCs w:val="22"/>
        </w:rPr>
        <w:tab/>
        <w:t>ČD Lokodepo Rozbělesy – zdroj likvidován, tamponování není doloženo</w:t>
      </w:r>
    </w:p>
    <w:p w14:paraId="38566EAE"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4.)</w:t>
      </w:r>
      <w:r w:rsidRPr="006031D6">
        <w:rPr>
          <w:rFonts w:ascii="Arial" w:hAnsi="Arial" w:cs="Arial"/>
          <w:sz w:val="22"/>
          <w:szCs w:val="22"/>
        </w:rPr>
        <w:tab/>
        <w:t>Vrty DC-1 a DC-4 jsou využívány pro koupaliště Děčín. Teplota 27,2° C.</w:t>
      </w:r>
    </w:p>
    <w:p w14:paraId="66E0E658"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5.)</w:t>
      </w:r>
      <w:r w:rsidRPr="006031D6">
        <w:rPr>
          <w:rFonts w:ascii="Arial" w:hAnsi="Arial" w:cs="Arial"/>
          <w:sz w:val="22"/>
          <w:szCs w:val="22"/>
        </w:rPr>
        <w:tab/>
        <w:t xml:space="preserve">Vrt DC-5 využívaný společností </w:t>
      </w:r>
      <w:r w:rsidRPr="006031D6">
        <w:rPr>
          <w:rFonts w:ascii="Arial" w:hAnsi="Arial" w:cs="Arial"/>
          <w:caps/>
          <w:sz w:val="22"/>
          <w:szCs w:val="22"/>
        </w:rPr>
        <w:t>Termo</w:t>
      </w:r>
    </w:p>
    <w:p w14:paraId="5CF1B5B4"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6.)</w:t>
      </w:r>
      <w:r w:rsidRPr="006031D6">
        <w:rPr>
          <w:rFonts w:ascii="Arial" w:hAnsi="Arial" w:cs="Arial"/>
          <w:sz w:val="22"/>
          <w:szCs w:val="22"/>
        </w:rPr>
        <w:tab/>
        <w:t xml:space="preserve">Vrt DC-6 zatím zprovozněný zkušebně bude využíván spol. </w:t>
      </w:r>
      <w:r w:rsidRPr="006031D6">
        <w:rPr>
          <w:rFonts w:ascii="Arial" w:hAnsi="Arial" w:cs="Arial"/>
          <w:caps/>
          <w:sz w:val="22"/>
          <w:szCs w:val="22"/>
        </w:rPr>
        <w:t>Termo</w:t>
      </w:r>
      <w:r w:rsidRPr="006031D6">
        <w:rPr>
          <w:rFonts w:ascii="Arial" w:hAnsi="Arial" w:cs="Arial"/>
          <w:sz w:val="22"/>
          <w:szCs w:val="22"/>
        </w:rPr>
        <w:t xml:space="preserve"> hlavně v nově budované kogenerační teplárně.</w:t>
      </w:r>
    </w:p>
    <w:p w14:paraId="3FD49E45"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b/>
          <w:bCs/>
          <w:sz w:val="22"/>
          <w:szCs w:val="22"/>
        </w:rPr>
        <w:t xml:space="preserve">Následující vrty byly provedeny v rámci průzkumu, nejsou využity. </w:t>
      </w:r>
    </w:p>
    <w:p w14:paraId="5AC89BC6"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7.)</w:t>
      </w:r>
      <w:r w:rsidRPr="006031D6">
        <w:rPr>
          <w:rFonts w:ascii="Arial" w:hAnsi="Arial" w:cs="Arial"/>
          <w:sz w:val="22"/>
          <w:szCs w:val="22"/>
        </w:rPr>
        <w:tab/>
        <w:t>DC-2 vrt</w:t>
      </w:r>
    </w:p>
    <w:p w14:paraId="5D0CEB8C"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8.)</w:t>
      </w:r>
      <w:r w:rsidRPr="006031D6">
        <w:rPr>
          <w:rFonts w:ascii="Arial" w:hAnsi="Arial" w:cs="Arial"/>
          <w:sz w:val="22"/>
          <w:szCs w:val="22"/>
        </w:rPr>
        <w:tab/>
        <w:t>DC-3 vrt</w:t>
      </w:r>
    </w:p>
    <w:p w14:paraId="53B533EC" w14:textId="77777777" w:rsidR="006031D6" w:rsidRPr="006031D6" w:rsidRDefault="006031D6" w:rsidP="006031D6">
      <w:pPr>
        <w:pStyle w:val="Zkladntext"/>
        <w:spacing w:before="120" w:line="288" w:lineRule="auto"/>
        <w:ind w:firstLine="360"/>
        <w:jc w:val="both"/>
        <w:rPr>
          <w:rFonts w:ascii="Arial" w:hAnsi="Arial" w:cs="Arial"/>
          <w:sz w:val="22"/>
          <w:szCs w:val="22"/>
        </w:rPr>
      </w:pPr>
      <w:r w:rsidRPr="006031D6">
        <w:rPr>
          <w:rFonts w:ascii="Arial" w:hAnsi="Arial" w:cs="Arial"/>
          <w:sz w:val="22"/>
          <w:szCs w:val="22"/>
        </w:rPr>
        <w:t>Oba vrty se využívají jako monitorovací objekty.</w:t>
      </w:r>
    </w:p>
    <w:p w14:paraId="6995CB4F"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b/>
          <w:bCs/>
          <w:sz w:val="22"/>
          <w:szCs w:val="22"/>
        </w:rPr>
        <w:t>Dále jsou na území Děčína starší nevyužívané vrty, které nejsou blíže dokumentovány:</w:t>
      </w:r>
    </w:p>
    <w:p w14:paraId="32A58917"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9.)</w:t>
      </w:r>
      <w:r w:rsidRPr="006031D6">
        <w:rPr>
          <w:rFonts w:ascii="Arial" w:hAnsi="Arial" w:cs="Arial"/>
          <w:sz w:val="22"/>
          <w:szCs w:val="22"/>
        </w:rPr>
        <w:tab/>
      </w:r>
      <w:r w:rsidRPr="006031D6">
        <w:rPr>
          <w:rFonts w:ascii="Arial" w:hAnsi="Arial" w:cs="Arial"/>
          <w:caps/>
          <w:sz w:val="22"/>
          <w:szCs w:val="22"/>
        </w:rPr>
        <w:t xml:space="preserve">Desta </w:t>
      </w:r>
      <w:r w:rsidRPr="006031D6">
        <w:rPr>
          <w:rFonts w:ascii="Arial" w:hAnsi="Arial" w:cs="Arial"/>
          <w:sz w:val="22"/>
          <w:szCs w:val="22"/>
        </w:rPr>
        <w:t>Club</w:t>
      </w:r>
    </w:p>
    <w:p w14:paraId="138906B5"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10.) UJP 527 303 – je likvidován, chybí likvidační protokol. (ŠŮLA)</w:t>
      </w:r>
    </w:p>
    <w:p w14:paraId="0AD30EF2"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p>
    <w:p w14:paraId="5DF10E70" w14:textId="77777777" w:rsidR="006031D6" w:rsidRPr="006031D6" w:rsidRDefault="006031D6" w:rsidP="006031D6">
      <w:pPr>
        <w:pStyle w:val="Zkladntext"/>
        <w:spacing w:before="120" w:line="288" w:lineRule="auto"/>
        <w:ind w:firstLine="709"/>
        <w:jc w:val="both"/>
        <w:rPr>
          <w:rFonts w:ascii="Arial" w:hAnsi="Arial" w:cs="Arial"/>
          <w:b/>
          <w:bCs/>
          <w:sz w:val="22"/>
          <w:szCs w:val="22"/>
        </w:rPr>
      </w:pPr>
      <w:r w:rsidRPr="006031D6">
        <w:rPr>
          <w:rFonts w:ascii="Arial" w:hAnsi="Arial" w:cs="Arial"/>
          <w:b/>
          <w:bCs/>
          <w:sz w:val="22"/>
          <w:szCs w:val="22"/>
        </w:rPr>
        <w:t>Dle RNDr. Nakládala je současná bilance (2000) využití následující:</w:t>
      </w:r>
    </w:p>
    <w:p w14:paraId="03C3C532"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Vrty</w:t>
      </w:r>
      <w:r w:rsidRPr="006031D6">
        <w:rPr>
          <w:rFonts w:ascii="Arial" w:hAnsi="Arial" w:cs="Arial"/>
          <w:sz w:val="22"/>
          <w:szCs w:val="22"/>
        </w:rPr>
        <w:tab/>
        <w:t>DC-1</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 </w:t>
      </w:r>
      <w:r w:rsidRPr="006031D6">
        <w:rPr>
          <w:rFonts w:ascii="Arial" w:hAnsi="Arial" w:cs="Arial"/>
          <w:sz w:val="22"/>
          <w:szCs w:val="22"/>
        </w:rPr>
        <w:tab/>
        <w:t xml:space="preserve"> 55,0 l/s</w:t>
      </w:r>
    </w:p>
    <w:p w14:paraId="0870AEDD"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r>
      <w:r w:rsidRPr="006031D6">
        <w:rPr>
          <w:rFonts w:ascii="Arial" w:hAnsi="Arial" w:cs="Arial"/>
          <w:sz w:val="22"/>
          <w:szCs w:val="22"/>
        </w:rPr>
        <w:tab/>
        <w:t>DC-4</w:t>
      </w:r>
    </w:p>
    <w:p w14:paraId="65F10164"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Vrt</w:t>
      </w:r>
      <w:r w:rsidRPr="006031D6">
        <w:rPr>
          <w:rFonts w:ascii="Arial" w:hAnsi="Arial" w:cs="Arial"/>
          <w:sz w:val="22"/>
          <w:szCs w:val="22"/>
        </w:rPr>
        <w:tab/>
      </w:r>
      <w:r w:rsidRPr="006031D6">
        <w:rPr>
          <w:rFonts w:ascii="Arial" w:hAnsi="Arial" w:cs="Arial"/>
          <w:caps/>
          <w:sz w:val="22"/>
          <w:szCs w:val="22"/>
        </w:rPr>
        <w:t>Alusuisse</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  </w:t>
      </w:r>
      <w:r w:rsidRPr="006031D6">
        <w:rPr>
          <w:rFonts w:ascii="Arial" w:hAnsi="Arial" w:cs="Arial"/>
          <w:sz w:val="22"/>
          <w:szCs w:val="22"/>
        </w:rPr>
        <w:tab/>
        <w:t>10,0 l/s</w:t>
      </w:r>
    </w:p>
    <w:p w14:paraId="69CF4081"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Vrt</w:t>
      </w:r>
      <w:r w:rsidRPr="006031D6">
        <w:rPr>
          <w:rFonts w:ascii="Arial" w:hAnsi="Arial" w:cs="Arial"/>
          <w:sz w:val="22"/>
          <w:szCs w:val="22"/>
        </w:rPr>
        <w:tab/>
        <w:t>Vilsnice</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    </w:t>
      </w:r>
      <w:r w:rsidRPr="006031D6">
        <w:rPr>
          <w:rFonts w:ascii="Arial" w:hAnsi="Arial" w:cs="Arial"/>
          <w:sz w:val="22"/>
          <w:szCs w:val="22"/>
        </w:rPr>
        <w:tab/>
        <w:t xml:space="preserve">  5,0 l/s</w:t>
      </w:r>
    </w:p>
    <w:p w14:paraId="4EEA7346"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Vrt</w:t>
      </w:r>
      <w:r w:rsidRPr="006031D6">
        <w:rPr>
          <w:rFonts w:ascii="Arial" w:hAnsi="Arial" w:cs="Arial"/>
          <w:sz w:val="22"/>
          <w:szCs w:val="22"/>
        </w:rPr>
        <w:tab/>
        <w:t>SK-1 (mimo řešené území Děčín)</w:t>
      </w:r>
      <w:r w:rsidRPr="006031D6">
        <w:rPr>
          <w:rFonts w:ascii="Arial" w:hAnsi="Arial" w:cs="Arial"/>
          <w:sz w:val="22"/>
          <w:szCs w:val="22"/>
        </w:rPr>
        <w:tab/>
        <w:t xml:space="preserve">  4,0 l/s</w:t>
      </w:r>
    </w:p>
    <w:p w14:paraId="1355192D"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Vrt</w:t>
      </w:r>
      <w:r w:rsidRPr="006031D6">
        <w:rPr>
          <w:rFonts w:ascii="Arial" w:hAnsi="Arial" w:cs="Arial"/>
          <w:sz w:val="22"/>
          <w:szCs w:val="22"/>
        </w:rPr>
        <w:tab/>
        <w:t>DC-5</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    </w:t>
      </w:r>
      <w:r w:rsidRPr="006031D6">
        <w:rPr>
          <w:rFonts w:ascii="Arial" w:hAnsi="Arial" w:cs="Arial"/>
          <w:sz w:val="22"/>
          <w:szCs w:val="22"/>
        </w:rPr>
        <w:tab/>
        <w:t xml:space="preserve">  7,8l /s</w:t>
      </w:r>
    </w:p>
    <w:p w14:paraId="42B39788"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Vrt</w:t>
      </w:r>
      <w:r w:rsidRPr="006031D6">
        <w:rPr>
          <w:rFonts w:ascii="Arial" w:hAnsi="Arial" w:cs="Arial"/>
          <w:sz w:val="22"/>
          <w:szCs w:val="22"/>
        </w:rPr>
        <w:tab/>
        <w:t>DC-6</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 </w:t>
      </w:r>
      <w:r w:rsidRPr="006031D6">
        <w:rPr>
          <w:rFonts w:ascii="Arial" w:hAnsi="Arial" w:cs="Arial"/>
          <w:sz w:val="22"/>
          <w:szCs w:val="22"/>
        </w:rPr>
        <w:tab/>
        <w:t xml:space="preserve"> 53,0 l/s</w:t>
      </w:r>
    </w:p>
    <w:p w14:paraId="7EC9217B"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sz w:val="22"/>
          <w:szCs w:val="22"/>
        </w:rPr>
        <w:lastRenderedPageBreak/>
        <w:t>Celkem</w:t>
      </w:r>
      <w:r w:rsidRPr="006031D6">
        <w:rPr>
          <w:rFonts w:ascii="Arial" w:hAnsi="Arial" w:cs="Arial"/>
          <w:b/>
          <w:bCs/>
          <w:sz w:val="22"/>
          <w:szCs w:val="22"/>
        </w:rPr>
        <w:tab/>
      </w:r>
      <w:r w:rsidRPr="006031D6">
        <w:rPr>
          <w:rFonts w:ascii="Arial" w:hAnsi="Arial" w:cs="Arial"/>
          <w:b/>
          <w:bCs/>
          <w:sz w:val="22"/>
          <w:szCs w:val="22"/>
        </w:rPr>
        <w:tab/>
      </w:r>
      <w:r w:rsidRPr="006031D6">
        <w:rPr>
          <w:rFonts w:ascii="Arial" w:hAnsi="Arial" w:cs="Arial"/>
          <w:b/>
          <w:bCs/>
          <w:sz w:val="22"/>
          <w:szCs w:val="22"/>
        </w:rPr>
        <w:tab/>
      </w:r>
      <w:r w:rsidRPr="006031D6">
        <w:rPr>
          <w:rFonts w:ascii="Arial" w:hAnsi="Arial" w:cs="Arial"/>
          <w:b/>
          <w:bCs/>
          <w:sz w:val="22"/>
          <w:szCs w:val="22"/>
        </w:rPr>
        <w:tab/>
      </w:r>
      <w:r w:rsidRPr="006031D6">
        <w:rPr>
          <w:rFonts w:ascii="Arial" w:hAnsi="Arial" w:cs="Arial"/>
          <w:b/>
          <w:bCs/>
          <w:sz w:val="22"/>
          <w:szCs w:val="22"/>
        </w:rPr>
        <w:tab/>
      </w:r>
      <w:r w:rsidRPr="006031D6">
        <w:rPr>
          <w:rFonts w:ascii="Arial" w:hAnsi="Arial" w:cs="Arial"/>
          <w:b/>
          <w:bCs/>
          <w:sz w:val="22"/>
          <w:szCs w:val="22"/>
        </w:rPr>
        <w:tab/>
        <w:t>134,8 l/s</w:t>
      </w:r>
    </w:p>
    <w:p w14:paraId="05166D2A" w14:textId="77777777" w:rsidR="006031D6" w:rsidRPr="006031D6" w:rsidRDefault="006031D6" w:rsidP="006031D6">
      <w:pPr>
        <w:pStyle w:val="Zkladntext"/>
        <w:spacing w:before="120" w:line="288" w:lineRule="auto"/>
        <w:jc w:val="both"/>
        <w:rPr>
          <w:rFonts w:ascii="Arial" w:hAnsi="Arial" w:cs="Arial"/>
          <w:sz w:val="22"/>
          <w:szCs w:val="22"/>
        </w:rPr>
      </w:pPr>
    </w:p>
    <w:p w14:paraId="486692F0"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Prozatím povolená a nárokovaná maximální množství tuto hodnotu převyšují.</w:t>
      </w:r>
    </w:p>
    <w:p w14:paraId="221FE13F"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sz w:val="22"/>
          <w:szCs w:val="22"/>
        </w:rPr>
        <w:t>Jako limitní odběr v celé struktuře OkÚ Děčín stanovil 150l/s.</w:t>
      </w:r>
    </w:p>
    <w:p w14:paraId="3C11027B"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sz w:val="22"/>
          <w:szCs w:val="22"/>
        </w:rPr>
        <w:t>Z hlediska potřeby ochrany navrhuje se přijmout následující opatření vedoucí k  promyšlenému využití termálních vod a zamezení destrukce struktury:</w:t>
      </w:r>
    </w:p>
    <w:p w14:paraId="7399054B"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1.)</w:t>
      </w:r>
      <w:r w:rsidRPr="006031D6">
        <w:rPr>
          <w:rFonts w:ascii="Arial" w:hAnsi="Arial" w:cs="Arial"/>
          <w:sz w:val="22"/>
          <w:szCs w:val="22"/>
        </w:rPr>
        <w:tab/>
        <w:t>Prověřit všechny objekty pro odběr termální vody, tj. prověřit odebíraná množství, povolení, stav objektů. Návazně vypracovat plán a časový harmonogram nápravných opatření. V prvé řadě nutno přistoupit k likvidaci vrtů, které nejvíce ohrožují strukturu termálních vod (Vilsnice). Za kontrolu by měl být odpovědný příslušný vodohospodářský orgán.</w:t>
      </w:r>
    </w:p>
    <w:p w14:paraId="506CFB91"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2.)</w:t>
      </w:r>
      <w:r w:rsidRPr="006031D6">
        <w:rPr>
          <w:rFonts w:ascii="Arial" w:hAnsi="Arial" w:cs="Arial"/>
          <w:sz w:val="22"/>
          <w:szCs w:val="22"/>
        </w:rPr>
        <w:tab/>
        <w:t>Je nutno zavést režimní sledování hladin podzemní vody na objektech souvisejících s Děčínskou termální strukturou.</w:t>
      </w:r>
    </w:p>
    <w:p w14:paraId="7FFBC41C"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3.)</w:t>
      </w:r>
      <w:r w:rsidRPr="006031D6">
        <w:rPr>
          <w:rFonts w:ascii="Arial" w:hAnsi="Arial" w:cs="Arial"/>
          <w:sz w:val="22"/>
          <w:szCs w:val="22"/>
        </w:rPr>
        <w:tab/>
        <w:t>Do doby realizace navržených opatření je třeba respektovat vodohospodářská rozhodnutí OKÚ Děčín.</w:t>
      </w:r>
    </w:p>
    <w:p w14:paraId="789F6F96"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4.)</w:t>
      </w:r>
      <w:r w:rsidRPr="006031D6">
        <w:rPr>
          <w:rFonts w:ascii="Arial" w:hAnsi="Arial" w:cs="Arial"/>
          <w:sz w:val="22"/>
          <w:szCs w:val="22"/>
        </w:rPr>
        <w:tab/>
        <w:t>Další odběry podzemních vod nad rámec dosud povolených OKÚ Děčín, lze povolovat v ploše ochrany pouze na základě odborné expertizy, jejíž součástí musí být i návrh optimalizace odběrů podzemní vody z hlediska kvantity, kvality a termální energie podzemní vody. Jako hranice ochrany pro potřeby ÚPN na území města Děčína se přebírá návrh RNDr. Nakládala (ochranné pásmo vrtu DC-6 z roku 1996 a návrh ochranných pásem termálních vod z roku 1996).</w:t>
      </w:r>
    </w:p>
    <w:p w14:paraId="1788D2CB" w14:textId="77777777" w:rsidR="006031D6" w:rsidRPr="006031D6" w:rsidRDefault="006031D6" w:rsidP="006031D6">
      <w:pPr>
        <w:pStyle w:val="Zkladntext"/>
        <w:tabs>
          <w:tab w:val="left" w:pos="360"/>
        </w:tabs>
        <w:spacing w:before="120" w:line="288" w:lineRule="auto"/>
        <w:ind w:left="360" w:hanging="360"/>
        <w:jc w:val="both"/>
        <w:rPr>
          <w:rFonts w:ascii="Arial" w:hAnsi="Arial" w:cs="Arial"/>
          <w:sz w:val="22"/>
          <w:szCs w:val="22"/>
        </w:rPr>
      </w:pPr>
      <w:r w:rsidRPr="006031D6">
        <w:rPr>
          <w:rFonts w:ascii="Arial" w:hAnsi="Arial" w:cs="Arial"/>
          <w:sz w:val="22"/>
          <w:szCs w:val="22"/>
        </w:rPr>
        <w:t>5.)</w:t>
      </w:r>
      <w:r w:rsidRPr="006031D6">
        <w:rPr>
          <w:rFonts w:ascii="Arial" w:hAnsi="Arial" w:cs="Arial"/>
          <w:sz w:val="22"/>
          <w:szCs w:val="22"/>
        </w:rPr>
        <w:tab/>
        <w:t>Doposud není zcela dořešena otázka ochrany Děčínské termální struktury (DTS) v rozsahu navrhovaném RNDr. Nakládalem z roku 1990. V návaznosti na výše uvedené a výsledky nejnovějších monitorovacích prací v celé ploše výskytu Děčínských termálních vod se doporučuje urychleně stanovit a legislativně odsouhlasit ochranu celé DTS z pohledu kvality, množství a stability teploty, která s největší pravděpodobností bude rozsáhlejší než hranice města.</w:t>
      </w:r>
    </w:p>
    <w:p w14:paraId="770B6E9D" w14:textId="77777777" w:rsidR="006031D6" w:rsidRPr="006031D6" w:rsidRDefault="006031D6" w:rsidP="006031D6">
      <w:pPr>
        <w:pStyle w:val="Zkladntext"/>
        <w:spacing w:before="120" w:line="288" w:lineRule="auto"/>
        <w:jc w:val="both"/>
        <w:rPr>
          <w:rFonts w:ascii="Arial" w:hAnsi="Arial" w:cs="Arial"/>
          <w:sz w:val="22"/>
          <w:szCs w:val="22"/>
        </w:rPr>
      </w:pPr>
    </w:p>
    <w:p w14:paraId="0C9F7812" w14:textId="77777777" w:rsid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Pro hospodárné využití vrtů DC -1 a DC - 4 pro koupaliště se doporučuje zavedení recirkulace vody.</w:t>
      </w:r>
    </w:p>
    <w:p w14:paraId="5CCE07E7" w14:textId="77777777" w:rsidR="006031D6" w:rsidRDefault="006031D6" w:rsidP="006031D6">
      <w:pPr>
        <w:pStyle w:val="Zkladntext"/>
        <w:spacing w:before="120" w:line="288" w:lineRule="auto"/>
        <w:ind w:firstLine="709"/>
        <w:jc w:val="both"/>
        <w:rPr>
          <w:rFonts w:ascii="Arial" w:hAnsi="Arial" w:cs="Arial"/>
          <w:sz w:val="22"/>
          <w:szCs w:val="22"/>
        </w:rPr>
      </w:pPr>
    </w:p>
    <w:p w14:paraId="6712200D" w14:textId="77777777" w:rsidR="006031D6" w:rsidRDefault="006031D6" w:rsidP="006031D6">
      <w:pPr>
        <w:pStyle w:val="Zkladntext"/>
        <w:spacing w:before="120" w:line="288" w:lineRule="auto"/>
        <w:ind w:firstLine="709"/>
        <w:jc w:val="both"/>
        <w:rPr>
          <w:rFonts w:ascii="Arial" w:hAnsi="Arial" w:cs="Arial"/>
          <w:sz w:val="22"/>
          <w:szCs w:val="22"/>
        </w:rPr>
      </w:pPr>
    </w:p>
    <w:p w14:paraId="3D648B95" w14:textId="77777777" w:rsidR="006031D6" w:rsidRDefault="006031D6" w:rsidP="006031D6">
      <w:pPr>
        <w:pStyle w:val="Zkladntext"/>
        <w:spacing w:before="120" w:line="288" w:lineRule="auto"/>
        <w:ind w:firstLine="709"/>
        <w:jc w:val="both"/>
        <w:rPr>
          <w:rFonts w:ascii="Arial" w:hAnsi="Arial" w:cs="Arial"/>
          <w:sz w:val="22"/>
          <w:szCs w:val="22"/>
        </w:rPr>
      </w:pPr>
    </w:p>
    <w:p w14:paraId="554BAC71" w14:textId="77777777" w:rsidR="006031D6" w:rsidRDefault="006031D6" w:rsidP="006031D6">
      <w:pPr>
        <w:pStyle w:val="Zkladntext"/>
        <w:spacing w:before="120" w:line="288" w:lineRule="auto"/>
        <w:ind w:firstLine="709"/>
        <w:jc w:val="both"/>
        <w:rPr>
          <w:rFonts w:ascii="Arial" w:hAnsi="Arial" w:cs="Arial"/>
          <w:sz w:val="22"/>
          <w:szCs w:val="22"/>
        </w:rPr>
      </w:pPr>
    </w:p>
    <w:p w14:paraId="532358AC" w14:textId="77777777" w:rsidR="005179D3" w:rsidRDefault="005179D3" w:rsidP="006031D6">
      <w:pPr>
        <w:pStyle w:val="Zkladntext"/>
        <w:spacing w:before="120" w:line="288" w:lineRule="auto"/>
        <w:ind w:firstLine="709"/>
        <w:jc w:val="both"/>
        <w:rPr>
          <w:rFonts w:ascii="Arial" w:hAnsi="Arial" w:cs="Arial"/>
          <w:sz w:val="22"/>
          <w:szCs w:val="22"/>
        </w:rPr>
      </w:pPr>
    </w:p>
    <w:p w14:paraId="0E0D8E5C" w14:textId="77777777" w:rsidR="005179D3" w:rsidRDefault="005179D3" w:rsidP="006031D6">
      <w:pPr>
        <w:pStyle w:val="Zkladntext"/>
        <w:spacing w:before="120" w:line="288" w:lineRule="auto"/>
        <w:ind w:firstLine="709"/>
        <w:jc w:val="both"/>
        <w:rPr>
          <w:rFonts w:ascii="Arial" w:hAnsi="Arial" w:cs="Arial"/>
          <w:sz w:val="22"/>
          <w:szCs w:val="22"/>
        </w:rPr>
      </w:pPr>
    </w:p>
    <w:p w14:paraId="391B2B06" w14:textId="77777777" w:rsidR="006031D6" w:rsidRDefault="006031D6" w:rsidP="006031D6">
      <w:pPr>
        <w:pStyle w:val="Zkladntext"/>
        <w:spacing w:before="120" w:line="288" w:lineRule="auto"/>
        <w:ind w:firstLine="709"/>
        <w:jc w:val="both"/>
        <w:rPr>
          <w:rFonts w:ascii="Arial" w:hAnsi="Arial" w:cs="Arial"/>
          <w:sz w:val="22"/>
          <w:szCs w:val="22"/>
        </w:rPr>
      </w:pPr>
    </w:p>
    <w:p w14:paraId="624E6995" w14:textId="77777777" w:rsidR="006031D6" w:rsidRPr="006031D6" w:rsidRDefault="006031D6" w:rsidP="006031D6">
      <w:pPr>
        <w:pStyle w:val="Zkladntext"/>
        <w:spacing w:before="120" w:line="288" w:lineRule="auto"/>
        <w:ind w:firstLine="709"/>
        <w:jc w:val="both"/>
        <w:rPr>
          <w:rFonts w:ascii="Arial" w:hAnsi="Arial" w:cs="Arial"/>
          <w:sz w:val="22"/>
          <w:szCs w:val="22"/>
        </w:rPr>
      </w:pPr>
    </w:p>
    <w:p w14:paraId="75356240" w14:textId="77777777" w:rsidR="006031D6" w:rsidRPr="006031D6" w:rsidRDefault="006031D6" w:rsidP="006031D6">
      <w:pPr>
        <w:pStyle w:val="Nadpis"/>
        <w:jc w:val="both"/>
        <w:rPr>
          <w:sz w:val="46"/>
          <w:szCs w:val="46"/>
        </w:rPr>
      </w:pPr>
      <w:r w:rsidRPr="006031D6">
        <w:rPr>
          <w:sz w:val="46"/>
          <w:szCs w:val="46"/>
        </w:rPr>
        <w:lastRenderedPageBreak/>
        <w:t xml:space="preserve">H.  NÁVRH LIKVIDACE ODPADNÍCH VOD </w:t>
      </w:r>
    </w:p>
    <w:p w14:paraId="1C072B63" w14:textId="77777777" w:rsidR="006031D6" w:rsidRPr="006031D6" w:rsidRDefault="006031D6" w:rsidP="006031D6">
      <w:pPr>
        <w:pStyle w:val="Zkladntext"/>
        <w:spacing w:line="240" w:lineRule="atLeast"/>
        <w:jc w:val="both"/>
        <w:rPr>
          <w:rFonts w:ascii="Arial" w:hAnsi="Arial" w:cs="Arial"/>
        </w:rPr>
      </w:pPr>
    </w:p>
    <w:p w14:paraId="5A182B70" w14:textId="77777777" w:rsidR="006031D6" w:rsidRPr="006031D6" w:rsidRDefault="006031D6" w:rsidP="006031D6">
      <w:pPr>
        <w:pStyle w:val="podnadpis1"/>
        <w:spacing w:line="240" w:lineRule="atLeast"/>
        <w:jc w:val="both"/>
        <w:rPr>
          <w:rFonts w:cs="Arial"/>
        </w:rPr>
      </w:pPr>
      <w:r w:rsidRPr="006031D6">
        <w:rPr>
          <w:rFonts w:cs="Arial"/>
        </w:rPr>
        <w:t>h1. Popis současného stavu</w:t>
      </w:r>
    </w:p>
    <w:p w14:paraId="6C47438C"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V současné době je v Děčíně vybudován </w:t>
      </w:r>
      <w:r w:rsidRPr="006031D6">
        <w:rPr>
          <w:rFonts w:ascii="Arial" w:hAnsi="Arial" w:cs="Arial"/>
          <w:b/>
          <w:bCs/>
          <w:sz w:val="22"/>
          <w:szCs w:val="22"/>
        </w:rPr>
        <w:t>systém jednotné kanalizace</w:t>
      </w:r>
      <w:r w:rsidRPr="006031D6">
        <w:rPr>
          <w:rFonts w:ascii="Arial" w:hAnsi="Arial" w:cs="Arial"/>
          <w:sz w:val="22"/>
          <w:szCs w:val="22"/>
        </w:rPr>
        <w:t xml:space="preserve"> s kmenovými stokami, které převážně bez předčištění odvádějí odpadní vody do Labe a Ploučnice.  Na celém území existují dvě oblasti s oddílnou kanalizací - v Březinách a v Boleticích. </w:t>
      </w:r>
    </w:p>
    <w:p w14:paraId="04F7463A"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V Březinách je před vyústěním oddílné kanalizace mechanicko-biologická ČOV s kapacitou pro cca 3500 EO. Využita je odhadem na 50 %. MČOV VHS -1 je pro omezený počet objektů v Bělé. Na čistírně je volná kapacita. </w:t>
      </w:r>
    </w:p>
    <w:p w14:paraId="1D4DD5FF"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V Boleticích je v současné době před vyústěním do Labe pouze hrubé předčištění. Od samostatné ČOV Boletice bylo upuštěno. </w:t>
      </w:r>
    </w:p>
    <w:p w14:paraId="4E175095"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Dále je v provozu po celém městě před vyústěním do kanalizace přesněji nezjistitelný počet biologických septiků. Z průmyslových podniků mají vlastní čištění odpadních vod firmy OBALEX, HOCO, CHEMOTEX, VLNAP a ČSPL. Ostatní průmyslové závody vypouštějí odpadní vody buď do kanalizace nebo přímo do recipientu. </w:t>
      </w:r>
    </w:p>
    <w:p w14:paraId="6F7B3FC3" w14:textId="77777777" w:rsidR="006031D6" w:rsidRDefault="006031D6" w:rsidP="006031D6">
      <w:pPr>
        <w:pStyle w:val="Zkladntext"/>
        <w:spacing w:before="120" w:line="288" w:lineRule="auto"/>
        <w:ind w:firstLine="709"/>
        <w:jc w:val="both"/>
        <w:rPr>
          <w:rFonts w:ascii="Arial" w:hAnsi="Arial" w:cs="Arial"/>
          <w:sz w:val="22"/>
          <w:szCs w:val="22"/>
        </w:rPr>
      </w:pPr>
    </w:p>
    <w:p w14:paraId="664A21A9" w14:textId="77777777" w:rsidR="006031D6" w:rsidRPr="006031D6" w:rsidRDefault="006031D6" w:rsidP="006031D6">
      <w:pPr>
        <w:pStyle w:val="Zkladntext"/>
        <w:spacing w:before="120" w:line="288" w:lineRule="auto"/>
        <w:ind w:firstLine="709"/>
        <w:jc w:val="both"/>
        <w:rPr>
          <w:rFonts w:ascii="Arial" w:hAnsi="Arial" w:cs="Arial"/>
          <w:sz w:val="22"/>
          <w:szCs w:val="22"/>
        </w:rPr>
      </w:pPr>
    </w:p>
    <w:p w14:paraId="44FA3A1E" w14:textId="77777777" w:rsidR="006031D6" w:rsidRPr="006031D6" w:rsidRDefault="006031D6" w:rsidP="006031D6">
      <w:pPr>
        <w:pStyle w:val="podnadpis2"/>
        <w:spacing w:before="120" w:after="0" w:line="288" w:lineRule="auto"/>
        <w:jc w:val="both"/>
        <w:rPr>
          <w:rFonts w:cs="Arial"/>
          <w:szCs w:val="22"/>
        </w:rPr>
      </w:pPr>
      <w:r w:rsidRPr="006031D6">
        <w:rPr>
          <w:rFonts w:cs="Arial"/>
          <w:szCs w:val="22"/>
        </w:rPr>
        <w:t xml:space="preserve">Popis hlavních stok a problematiky v jejich povodí </w:t>
      </w:r>
    </w:p>
    <w:p w14:paraId="4E94760D"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 xml:space="preserve">Stoka I - </w:t>
      </w:r>
      <w:r w:rsidRPr="006031D6">
        <w:rPr>
          <w:rFonts w:ascii="Arial" w:hAnsi="Arial" w:cs="Arial"/>
          <w:b/>
          <w:bCs/>
          <w:sz w:val="22"/>
          <w:szCs w:val="22"/>
        </w:rPr>
        <w:t xml:space="preserve">výúsť č. 1, 1a, 1b, 1c s vyústěním na levém břehu Labe. </w:t>
      </w:r>
    </w:p>
    <w:p w14:paraId="3081B2CE" w14:textId="77777777" w:rsidR="006031D6" w:rsidRPr="006031D6" w:rsidRDefault="006031D6" w:rsidP="006031D6">
      <w:pPr>
        <w:pStyle w:val="Zkladntext"/>
        <w:numPr>
          <w:ilvl w:val="0"/>
          <w:numId w:val="57"/>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b/>
          <w:bCs/>
          <w:sz w:val="22"/>
          <w:szCs w:val="22"/>
        </w:rPr>
        <w:t>výúsť I</w:t>
      </w:r>
      <w:r w:rsidRPr="006031D6">
        <w:rPr>
          <w:rFonts w:ascii="Arial" w:hAnsi="Arial" w:cs="Arial"/>
          <w:sz w:val="22"/>
          <w:szCs w:val="22"/>
        </w:rPr>
        <w:t xml:space="preserve">    říční km 18,663, plavební km 90,600;</w:t>
      </w:r>
    </w:p>
    <w:p w14:paraId="7AB559C1" w14:textId="77777777" w:rsidR="006031D6" w:rsidRPr="006031D6" w:rsidRDefault="006031D6" w:rsidP="006031D6">
      <w:pPr>
        <w:pStyle w:val="Zkladntext"/>
        <w:numPr>
          <w:ilvl w:val="0"/>
          <w:numId w:val="57"/>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b/>
          <w:bCs/>
          <w:sz w:val="22"/>
          <w:szCs w:val="22"/>
        </w:rPr>
        <w:t>výúsť 1a</w:t>
      </w:r>
      <w:r w:rsidRPr="006031D6">
        <w:rPr>
          <w:rFonts w:ascii="Arial" w:hAnsi="Arial" w:cs="Arial"/>
          <w:sz w:val="22"/>
          <w:szCs w:val="22"/>
        </w:rPr>
        <w:t xml:space="preserve"> říční km 18,020, plavební km 91,260 do stoky je zaústěn potok;</w:t>
      </w:r>
    </w:p>
    <w:p w14:paraId="1A4147E9" w14:textId="77777777" w:rsidR="006031D6" w:rsidRPr="006031D6" w:rsidRDefault="006031D6" w:rsidP="006031D6">
      <w:pPr>
        <w:pStyle w:val="Zkladntext"/>
        <w:numPr>
          <w:ilvl w:val="0"/>
          <w:numId w:val="57"/>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b/>
          <w:bCs/>
          <w:sz w:val="22"/>
          <w:szCs w:val="22"/>
        </w:rPr>
        <w:t>výúsť 1b</w:t>
      </w:r>
      <w:r w:rsidRPr="006031D6">
        <w:rPr>
          <w:rFonts w:ascii="Arial" w:hAnsi="Arial" w:cs="Arial"/>
          <w:sz w:val="22"/>
          <w:szCs w:val="22"/>
        </w:rPr>
        <w:t xml:space="preserve"> říční km 17,700, plavební km 91,580;</w:t>
      </w:r>
    </w:p>
    <w:p w14:paraId="557086CA" w14:textId="77777777" w:rsidR="006031D6" w:rsidRPr="006031D6" w:rsidRDefault="006031D6" w:rsidP="006031D6">
      <w:pPr>
        <w:pStyle w:val="Zkladntext"/>
        <w:numPr>
          <w:ilvl w:val="0"/>
          <w:numId w:val="57"/>
        </w:numPr>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b/>
          <w:bCs/>
          <w:sz w:val="22"/>
          <w:szCs w:val="22"/>
        </w:rPr>
        <w:t>výúsť 1c</w:t>
      </w:r>
      <w:r w:rsidRPr="006031D6">
        <w:rPr>
          <w:rFonts w:ascii="Arial" w:hAnsi="Arial" w:cs="Arial"/>
          <w:sz w:val="22"/>
          <w:szCs w:val="22"/>
        </w:rPr>
        <w:t xml:space="preserve"> říční km 18,552, plavební km 90,740.</w:t>
      </w:r>
    </w:p>
    <w:p w14:paraId="58EFE8B8"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Jednotlivé kanalizační svody odvádí odpadní vody z části čtvrti Vilsnice a Nové Chmelnice. Jedná se o charakteristické osídlení venkovského typu s orientací na rodinné bydlení. Stávající kanalizace je nesoustavná, převážně ji tvoří zatrubněné silniční příkopy betonovým potrubím DN 300 - 400 mm. </w:t>
      </w:r>
    </w:p>
    <w:p w14:paraId="06BFC5EC"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II</w:t>
      </w:r>
      <w:r w:rsidRPr="006031D6">
        <w:rPr>
          <w:rFonts w:ascii="Arial" w:hAnsi="Arial" w:cs="Arial"/>
          <w:b/>
          <w:bCs/>
          <w:sz w:val="22"/>
          <w:szCs w:val="22"/>
        </w:rPr>
        <w:t xml:space="preserve"> - výúsť č. 2</w:t>
      </w:r>
      <w:r w:rsidRPr="006031D6">
        <w:rPr>
          <w:rFonts w:ascii="Arial" w:hAnsi="Arial" w:cs="Arial"/>
          <w:sz w:val="22"/>
          <w:szCs w:val="22"/>
        </w:rPr>
        <w:t xml:space="preserve"> s vyústěním na levém břehu Labe říční km 17,339, plavební km 91,945. Odvádí odpadní vody z převážné části Chrochvic s osídlením venkovského typu. Stávající kanalizace je stará v běžném provozu. </w:t>
      </w:r>
    </w:p>
    <w:p w14:paraId="06189181" w14:textId="77777777" w:rsid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III</w:t>
      </w:r>
      <w:r w:rsidRPr="006031D6">
        <w:rPr>
          <w:rFonts w:ascii="Arial" w:hAnsi="Arial" w:cs="Arial"/>
          <w:sz w:val="22"/>
          <w:szCs w:val="22"/>
        </w:rPr>
        <w:t xml:space="preserve"> </w:t>
      </w:r>
      <w:r w:rsidRPr="006031D6">
        <w:rPr>
          <w:rFonts w:ascii="Arial" w:hAnsi="Arial" w:cs="Arial"/>
          <w:b/>
          <w:bCs/>
          <w:sz w:val="22"/>
          <w:szCs w:val="22"/>
        </w:rPr>
        <w:t>- výúsť č. 3</w:t>
      </w:r>
      <w:r w:rsidRPr="006031D6">
        <w:rPr>
          <w:rFonts w:ascii="Arial" w:hAnsi="Arial" w:cs="Arial"/>
          <w:sz w:val="22"/>
          <w:szCs w:val="22"/>
        </w:rPr>
        <w:t xml:space="preserve"> s vyústěním na levém břehu Labe pod areálem Kovošrotu, říční km 16,765, plavební km 92,525. Odvádí odpadní vody ze sídliště Želenice, průmyslové části Rozběles a z části zástavby rodinných domů Letná. Hlavní stoka 500/750 je stará, stejně jako uliční stoky ve staré zástavbě, pouze stoky v sídlišti jsou nové, v horní části do kanalizace jsou zaústěny výustě drenáží. </w:t>
      </w:r>
    </w:p>
    <w:p w14:paraId="7792C020" w14:textId="77777777" w:rsidR="006031D6" w:rsidRPr="006031D6" w:rsidRDefault="006031D6" w:rsidP="006031D6">
      <w:pPr>
        <w:pStyle w:val="Zkladntext"/>
        <w:spacing w:before="120" w:line="288" w:lineRule="auto"/>
        <w:jc w:val="both"/>
        <w:rPr>
          <w:rFonts w:ascii="Arial" w:hAnsi="Arial" w:cs="Arial"/>
          <w:sz w:val="22"/>
          <w:szCs w:val="22"/>
        </w:rPr>
      </w:pPr>
    </w:p>
    <w:p w14:paraId="53E189A7"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lastRenderedPageBreak/>
        <w:t>Stoka IV</w:t>
      </w:r>
      <w:r w:rsidRPr="006031D6">
        <w:rPr>
          <w:rFonts w:ascii="Arial" w:hAnsi="Arial" w:cs="Arial"/>
          <w:b/>
          <w:bCs/>
          <w:sz w:val="22"/>
          <w:szCs w:val="22"/>
        </w:rPr>
        <w:t xml:space="preserve"> - výúsť č. 4</w:t>
      </w:r>
      <w:r w:rsidRPr="006031D6">
        <w:rPr>
          <w:rFonts w:ascii="Arial" w:hAnsi="Arial" w:cs="Arial"/>
          <w:sz w:val="22"/>
          <w:szCs w:val="22"/>
        </w:rPr>
        <w:t xml:space="preserve"> s vyústěním na levém břehu Labe u Zimního přístavu říční km 16,460, plavební km 92,820. Odvádí odpadní vody z průmyslové části Rozběles, hlavně ze závodů v Ústecké ulici. Stoky jsou staré v běžném provozu, umístěny hluboko pod terénem (5 - 6 m). </w:t>
      </w:r>
    </w:p>
    <w:p w14:paraId="0E6AB997"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V</w:t>
      </w:r>
      <w:r w:rsidRPr="006031D6">
        <w:rPr>
          <w:rFonts w:ascii="Arial" w:hAnsi="Arial" w:cs="Arial"/>
          <w:caps/>
          <w:sz w:val="22"/>
          <w:szCs w:val="22"/>
        </w:rPr>
        <w:t xml:space="preserve"> </w:t>
      </w:r>
      <w:r w:rsidRPr="006031D6">
        <w:rPr>
          <w:rFonts w:ascii="Arial" w:hAnsi="Arial" w:cs="Arial"/>
          <w:b/>
          <w:bCs/>
          <w:sz w:val="22"/>
          <w:szCs w:val="22"/>
        </w:rPr>
        <w:t>- sběrač Jílové - Bynov - Podmokly výúsť č. 5</w:t>
      </w:r>
      <w:r w:rsidRPr="006031D6">
        <w:rPr>
          <w:rFonts w:ascii="Arial" w:hAnsi="Arial" w:cs="Arial"/>
          <w:sz w:val="22"/>
          <w:szCs w:val="22"/>
        </w:rPr>
        <w:t xml:space="preserve"> s vyústěním na levém břehu Labe cca 100 m od mostu Budovatelů, říční km 14,542, plavební km 94,700. Odvádí odpadní vody z Jílového (sídliště Kamenná), Martiněvsi (zástavba venkovského typu),  Bynova (sídliště), Nové Vsi (zástavba venkovského typu),  Dolního Oldřichova (zástavba rod. domky), část Bělé (zástavba rod. domky), části Škrabek (zástavba rod. domky), části Podmokel (průmyslová zástavba), Letné, Václavova a Chrástu (zástavba rod. domky). </w:t>
      </w:r>
    </w:p>
    <w:p w14:paraId="2F5E9B3E"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 xml:space="preserve">Kanalizační sběrač Jílové - Děčín je nově vybudovaný podél Jílovského potoka z Jílového, ulicí Na hrázi, až k ulici Saské (DN 800 - 1000). Odtud dolů až do Labe je sběrač starý a ve špatném stavu. V sídlištích je nově vybudována kanalizační síť, zbývající uliční rozvody jsou staré. Do sběrače jsou zaústěny potoky v Jílovém a Bynově (balastní vody, které zbytečně odebírají kapacitu). </w:t>
      </w:r>
    </w:p>
    <w:p w14:paraId="5B7654A4"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VI</w:t>
      </w:r>
      <w:r w:rsidRPr="006031D6">
        <w:rPr>
          <w:rFonts w:ascii="Arial" w:hAnsi="Arial" w:cs="Arial"/>
          <w:b/>
          <w:bCs/>
          <w:sz w:val="22"/>
          <w:szCs w:val="22"/>
        </w:rPr>
        <w:t xml:space="preserve"> - výúsť č. 6</w:t>
      </w:r>
      <w:r w:rsidRPr="006031D6">
        <w:rPr>
          <w:rFonts w:ascii="Arial" w:hAnsi="Arial" w:cs="Arial"/>
          <w:sz w:val="22"/>
          <w:szCs w:val="22"/>
        </w:rPr>
        <w:t xml:space="preserve"> vyúsťuje na levém břehu Labe pod Pastýřskou stěnou cca 100 m od restaurace U přístavu, říční km 14,100, plavební km 95,160. Odvádí odpadní vody z části Podmokel. Podmokly jsou přirozené centrum města se zachovalým charakterem blokové výstavby. Kanalizační rozvody jsou zde staré v běžném provozu. </w:t>
      </w:r>
    </w:p>
    <w:p w14:paraId="6599FD7B"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VII</w:t>
      </w:r>
      <w:r w:rsidRPr="006031D6">
        <w:rPr>
          <w:rFonts w:ascii="Arial" w:hAnsi="Arial" w:cs="Arial"/>
          <w:b/>
          <w:bCs/>
          <w:sz w:val="22"/>
          <w:szCs w:val="22"/>
        </w:rPr>
        <w:t xml:space="preserve"> - výúsť č. 7</w:t>
      </w:r>
      <w:r w:rsidRPr="006031D6">
        <w:rPr>
          <w:rFonts w:ascii="Arial" w:hAnsi="Arial" w:cs="Arial"/>
          <w:sz w:val="22"/>
          <w:szCs w:val="22"/>
        </w:rPr>
        <w:t xml:space="preserve"> s vyústěním na levém břehu Labe cca 150 m pod železničním přejezdem, říční km 13,330, plavební km 95,920. Odvádí odpadní vody z Přípeře (Drážďanská ulice) a z části Jalůvčí. Jedná se o charakteristické osídlení venkovského typu. Kanalizace je převážně nová pouze spodní část hlavní stoky je stará. </w:t>
      </w:r>
    </w:p>
    <w:p w14:paraId="5F9E32B8"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VIII</w:t>
      </w:r>
      <w:r w:rsidRPr="006031D6">
        <w:rPr>
          <w:rFonts w:ascii="Arial" w:hAnsi="Arial" w:cs="Arial"/>
          <w:caps/>
          <w:sz w:val="22"/>
          <w:szCs w:val="22"/>
        </w:rPr>
        <w:t xml:space="preserve"> -</w:t>
      </w:r>
      <w:r w:rsidRPr="006031D6">
        <w:rPr>
          <w:rFonts w:ascii="Arial" w:hAnsi="Arial" w:cs="Arial"/>
          <w:sz w:val="22"/>
          <w:szCs w:val="22"/>
        </w:rPr>
        <w:t xml:space="preserve"> jedná se pouze o místní svod s výustí č. 8 na levém břehu Labe, říční km 13,100, plavební km 96,180. Odvádí odpadní vody z části Horního Žlebu v ul. Pod Svahem a Slepé.</w:t>
      </w:r>
    </w:p>
    <w:p w14:paraId="530CB148"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IX</w:t>
      </w:r>
      <w:r w:rsidRPr="006031D6">
        <w:rPr>
          <w:rFonts w:ascii="Arial" w:hAnsi="Arial" w:cs="Arial"/>
          <w:b/>
          <w:bCs/>
          <w:sz w:val="22"/>
          <w:szCs w:val="22"/>
        </w:rPr>
        <w:t xml:space="preserve"> - výúsť č. 9</w:t>
      </w:r>
      <w:r w:rsidRPr="006031D6">
        <w:rPr>
          <w:rFonts w:ascii="Arial" w:hAnsi="Arial" w:cs="Arial"/>
          <w:sz w:val="22"/>
          <w:szCs w:val="22"/>
        </w:rPr>
        <w:t xml:space="preserve">, s vyústěním na pravém břehu Labe, cca 140 m u závodu CHEMOTEX, říční km 19,910, plavební km 89,370. Odvádí odpadní vody z části Nebočad. Jedná se o osídlení venkovského typu s převahou zemědělské půdy. Stávající kanalizace je stará ve špatném stavu. </w:t>
      </w:r>
    </w:p>
    <w:p w14:paraId="28F9FB56"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w:t>
      </w:r>
      <w:r w:rsidRPr="006031D6">
        <w:rPr>
          <w:rFonts w:ascii="Arial" w:hAnsi="Arial" w:cs="Arial"/>
          <w:b/>
          <w:bCs/>
          <w:sz w:val="22"/>
          <w:szCs w:val="22"/>
        </w:rPr>
        <w:t>-  výúsť č. 10</w:t>
      </w:r>
      <w:r w:rsidRPr="006031D6">
        <w:rPr>
          <w:rFonts w:ascii="Arial" w:hAnsi="Arial" w:cs="Arial"/>
          <w:sz w:val="22"/>
          <w:szCs w:val="22"/>
        </w:rPr>
        <w:t xml:space="preserve"> s vyústěním na pravém břehu Labe pod střediskem SčVaK a. s., říční km 19,000, plavební km 90,280. Odvádí odpadní vody ze sídliště Boletice (oddílná kanalizace) a převážné části starší zástavby. Před vyústěním je osazeno hrubé předčištění - česle. Od samostatné ČOV pro Boletice bylo upuštěno. Kanalizační rozvody v sídlišti jsou nové, ostatní jsou staré. </w:t>
      </w:r>
    </w:p>
    <w:p w14:paraId="192BE677" w14:textId="77777777" w:rsid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XI</w:t>
      </w:r>
      <w:r w:rsidRPr="006031D6">
        <w:rPr>
          <w:rFonts w:ascii="Arial" w:hAnsi="Arial" w:cs="Arial"/>
          <w:sz w:val="22"/>
          <w:szCs w:val="22"/>
        </w:rPr>
        <w:t xml:space="preserve"> </w:t>
      </w:r>
      <w:r w:rsidRPr="006031D6">
        <w:rPr>
          <w:rFonts w:ascii="Arial" w:hAnsi="Arial" w:cs="Arial"/>
          <w:b/>
          <w:bCs/>
          <w:sz w:val="22"/>
          <w:szCs w:val="22"/>
        </w:rPr>
        <w:t>- výúsť č. 11</w:t>
      </w:r>
      <w:r w:rsidRPr="006031D6">
        <w:rPr>
          <w:rFonts w:ascii="Arial" w:hAnsi="Arial" w:cs="Arial"/>
          <w:sz w:val="22"/>
          <w:szCs w:val="22"/>
        </w:rPr>
        <w:t xml:space="preserve"> vyúsťuje do otevřeného příkopu nad závodem ČSPL, příkop je zaústěn do pravého břehu Labe, říční km 17,360, plavební km 91,920. Odvádí odpadní vody z Křešic i ze starší zástavby nad statkem včetně ZŠ. Stávající rozvody kanalizace jsou staré, zatrubněnou část stoky je nutné prodloužit až k vyústění. </w:t>
      </w:r>
    </w:p>
    <w:p w14:paraId="44351D00" w14:textId="77777777" w:rsidR="006031D6" w:rsidRDefault="006031D6" w:rsidP="006031D6">
      <w:pPr>
        <w:pStyle w:val="Zkladntext"/>
        <w:spacing w:before="120" w:line="288" w:lineRule="auto"/>
        <w:jc w:val="both"/>
        <w:rPr>
          <w:rFonts w:ascii="Arial" w:hAnsi="Arial" w:cs="Arial"/>
          <w:sz w:val="22"/>
          <w:szCs w:val="22"/>
        </w:rPr>
      </w:pPr>
    </w:p>
    <w:p w14:paraId="44A66490" w14:textId="77777777" w:rsidR="006031D6" w:rsidRDefault="006031D6" w:rsidP="006031D6">
      <w:pPr>
        <w:pStyle w:val="Zkladntext"/>
        <w:spacing w:before="120" w:line="288" w:lineRule="auto"/>
        <w:jc w:val="both"/>
        <w:rPr>
          <w:rFonts w:ascii="Arial" w:hAnsi="Arial" w:cs="Arial"/>
          <w:sz w:val="22"/>
          <w:szCs w:val="22"/>
        </w:rPr>
      </w:pPr>
    </w:p>
    <w:p w14:paraId="3E6CC0CE" w14:textId="77777777" w:rsidR="006031D6" w:rsidRPr="006031D6" w:rsidRDefault="006031D6" w:rsidP="006031D6">
      <w:pPr>
        <w:pStyle w:val="Zkladntext"/>
        <w:spacing w:before="120" w:line="288" w:lineRule="auto"/>
        <w:jc w:val="both"/>
        <w:rPr>
          <w:rFonts w:ascii="Arial" w:hAnsi="Arial" w:cs="Arial"/>
          <w:sz w:val="22"/>
          <w:szCs w:val="22"/>
        </w:rPr>
      </w:pPr>
    </w:p>
    <w:p w14:paraId="6D2D662A"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lastRenderedPageBreak/>
        <w:t>Stoka XII</w:t>
      </w:r>
      <w:r w:rsidRPr="006031D6">
        <w:rPr>
          <w:rFonts w:ascii="Arial" w:hAnsi="Arial" w:cs="Arial"/>
          <w:sz w:val="22"/>
          <w:szCs w:val="22"/>
        </w:rPr>
        <w:t xml:space="preserve"> </w:t>
      </w:r>
      <w:r w:rsidRPr="006031D6">
        <w:rPr>
          <w:rFonts w:ascii="Arial" w:hAnsi="Arial" w:cs="Arial"/>
          <w:b/>
          <w:bCs/>
          <w:sz w:val="22"/>
          <w:szCs w:val="22"/>
        </w:rPr>
        <w:t>- výúsť č. 12</w:t>
      </w:r>
      <w:r w:rsidRPr="006031D6">
        <w:rPr>
          <w:rFonts w:ascii="Arial" w:hAnsi="Arial" w:cs="Arial"/>
          <w:sz w:val="22"/>
          <w:szCs w:val="22"/>
        </w:rPr>
        <w:t xml:space="preserve"> vyúsťuje pod areálem LABENA na pravém břehu Labe, říční km 16,715, plavební km 92,570. Odvádí odpadní vody ze starší zástavby nad </w:t>
      </w:r>
      <w:r w:rsidRPr="006031D6">
        <w:rPr>
          <w:rFonts w:ascii="Arial" w:hAnsi="Arial" w:cs="Arial"/>
          <w:caps/>
          <w:sz w:val="22"/>
          <w:szCs w:val="22"/>
        </w:rPr>
        <w:t>Labenou</w:t>
      </w:r>
      <w:r w:rsidRPr="006031D6">
        <w:rPr>
          <w:rFonts w:ascii="Arial" w:hAnsi="Arial" w:cs="Arial"/>
          <w:sz w:val="22"/>
          <w:szCs w:val="22"/>
        </w:rPr>
        <w:t xml:space="preserve">. Charakter zástavby je smíšený, původní zástavba venkovského typu a drobný průmysl. Stávající kanalizační rozvody jsou staré, jsou ve velmi špatném stavu. </w:t>
      </w:r>
    </w:p>
    <w:p w14:paraId="01B55678"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XIV</w:t>
      </w:r>
      <w:r w:rsidRPr="006031D6">
        <w:rPr>
          <w:rFonts w:ascii="Arial" w:hAnsi="Arial" w:cs="Arial"/>
          <w:caps/>
          <w:sz w:val="22"/>
          <w:szCs w:val="22"/>
        </w:rPr>
        <w:t xml:space="preserve"> </w:t>
      </w:r>
      <w:r w:rsidRPr="006031D6">
        <w:rPr>
          <w:rFonts w:ascii="Arial" w:hAnsi="Arial" w:cs="Arial"/>
          <w:b/>
          <w:bCs/>
          <w:sz w:val="22"/>
          <w:szCs w:val="22"/>
        </w:rPr>
        <w:t>- výúsť č. 14</w:t>
      </w:r>
      <w:r w:rsidRPr="006031D6">
        <w:rPr>
          <w:rFonts w:ascii="Arial" w:hAnsi="Arial" w:cs="Arial"/>
          <w:sz w:val="22"/>
          <w:szCs w:val="22"/>
        </w:rPr>
        <w:t xml:space="preserve"> vyúsťuje na pravém břehu Labe cca 50 m před mostem Budovatelů, říční km 14,750, plavební km 94,500. Odvádí odpadní vody ze starého města - Chlum (ul. Březová, Žerotínova, Zelená). Zástavba je zde smíšená - sídliště, stará bloková zástavba a průmyslová zóna. Kanalizace v sídlišti je nová, zbývající stoky staré. Do stoky se dostávají balastní vody z prostoru nad </w:t>
      </w:r>
      <w:r w:rsidRPr="006031D6">
        <w:rPr>
          <w:rFonts w:ascii="Arial" w:hAnsi="Arial" w:cs="Arial"/>
          <w:caps/>
          <w:sz w:val="22"/>
          <w:szCs w:val="22"/>
        </w:rPr>
        <w:t>Semprou</w:t>
      </w:r>
      <w:r w:rsidRPr="006031D6">
        <w:rPr>
          <w:rFonts w:ascii="Arial" w:hAnsi="Arial" w:cs="Arial"/>
          <w:sz w:val="22"/>
          <w:szCs w:val="22"/>
        </w:rPr>
        <w:t xml:space="preserve"> (potok) a z náhonu v Březové ulici.</w:t>
      </w:r>
    </w:p>
    <w:p w14:paraId="24C2DACA"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XV</w:t>
      </w:r>
      <w:r w:rsidRPr="006031D6">
        <w:rPr>
          <w:rFonts w:ascii="Arial" w:hAnsi="Arial" w:cs="Arial"/>
          <w:sz w:val="22"/>
          <w:szCs w:val="22"/>
        </w:rPr>
        <w:t xml:space="preserve"> </w:t>
      </w:r>
      <w:r w:rsidRPr="006031D6">
        <w:rPr>
          <w:rFonts w:ascii="Arial" w:hAnsi="Arial" w:cs="Arial"/>
          <w:b/>
          <w:bCs/>
          <w:sz w:val="22"/>
          <w:szCs w:val="22"/>
        </w:rPr>
        <w:t xml:space="preserve">- výúsť č. 15 </w:t>
      </w:r>
      <w:r w:rsidRPr="006031D6">
        <w:rPr>
          <w:rFonts w:ascii="Arial" w:hAnsi="Arial" w:cs="Arial"/>
          <w:sz w:val="22"/>
          <w:szCs w:val="22"/>
        </w:rPr>
        <w:t xml:space="preserve">vyúsťuje na pravém břehu Labe u paty pilíře Tyršova mostu, říční km 13,780, plavební km 95,480. Odvádí odpadní vody ze staré činžovní zástavby pod děčínským zámkem. Stará stoka 500/750. </w:t>
      </w:r>
    </w:p>
    <w:p w14:paraId="62503CC4"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XVI</w:t>
      </w:r>
      <w:r w:rsidRPr="006031D6">
        <w:rPr>
          <w:rFonts w:ascii="Arial" w:hAnsi="Arial" w:cs="Arial"/>
          <w:b/>
          <w:bCs/>
          <w:sz w:val="22"/>
          <w:szCs w:val="22"/>
        </w:rPr>
        <w:t xml:space="preserve"> - výúsť č. 16</w:t>
      </w:r>
      <w:r w:rsidRPr="006031D6">
        <w:rPr>
          <w:rFonts w:ascii="Arial" w:hAnsi="Arial" w:cs="Arial"/>
          <w:sz w:val="22"/>
          <w:szCs w:val="22"/>
        </w:rPr>
        <w:t xml:space="preserve"> vyúsťuje do pravého břehu Labe u nástupiště parníků, říční km 13,665, plavební 95,590. Odvádí odpadní vody z oblasti Tyršovy ul. Bloková zástavba. Stávající stoka je stará. </w:t>
      </w:r>
    </w:p>
    <w:p w14:paraId="3B3823B0"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XVII</w:t>
      </w:r>
      <w:r w:rsidRPr="006031D6">
        <w:rPr>
          <w:rFonts w:ascii="Arial" w:hAnsi="Arial" w:cs="Arial"/>
          <w:sz w:val="22"/>
          <w:szCs w:val="22"/>
        </w:rPr>
        <w:t xml:space="preserve"> </w:t>
      </w:r>
      <w:r w:rsidRPr="006031D6">
        <w:rPr>
          <w:rFonts w:ascii="Arial" w:hAnsi="Arial" w:cs="Arial"/>
          <w:b/>
          <w:bCs/>
          <w:sz w:val="22"/>
          <w:szCs w:val="22"/>
        </w:rPr>
        <w:t>- výúsť č. 17</w:t>
      </w:r>
      <w:r w:rsidRPr="006031D6">
        <w:rPr>
          <w:rFonts w:ascii="Arial" w:hAnsi="Arial" w:cs="Arial"/>
          <w:sz w:val="22"/>
          <w:szCs w:val="22"/>
        </w:rPr>
        <w:t xml:space="preserve"> vyúsťuje do pravého břehu Labe, říční km 13,480, plavební km 95,770. Odvádí odpadní vody z Plavební ul. a Masarykova nám. Bloková zástavba. Stávající stoka je stará. </w:t>
      </w:r>
    </w:p>
    <w:p w14:paraId="73BDF3C5"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XVIII</w:t>
      </w:r>
      <w:r w:rsidRPr="006031D6">
        <w:rPr>
          <w:rFonts w:ascii="Arial" w:hAnsi="Arial" w:cs="Arial"/>
          <w:sz w:val="22"/>
          <w:szCs w:val="22"/>
        </w:rPr>
        <w:t xml:space="preserve"> </w:t>
      </w:r>
      <w:r w:rsidRPr="006031D6">
        <w:rPr>
          <w:rFonts w:ascii="Arial" w:hAnsi="Arial" w:cs="Arial"/>
          <w:b/>
          <w:bCs/>
          <w:sz w:val="22"/>
          <w:szCs w:val="22"/>
        </w:rPr>
        <w:t>- výúsť č. 18</w:t>
      </w:r>
      <w:r w:rsidRPr="006031D6">
        <w:rPr>
          <w:rFonts w:ascii="Arial" w:hAnsi="Arial" w:cs="Arial"/>
          <w:sz w:val="22"/>
          <w:szCs w:val="22"/>
        </w:rPr>
        <w:t xml:space="preserve"> vyúsťuje do pravého břehu Labe, říční km 13,360, plavební km 95,890. Odvádí odpadní vody z ulice Duchcovské a Labské. Zástavba panelová. Stávající stoka je stará. </w:t>
      </w:r>
    </w:p>
    <w:p w14:paraId="593DCECA"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XIX</w:t>
      </w:r>
      <w:r w:rsidRPr="006031D6">
        <w:rPr>
          <w:rFonts w:ascii="Arial" w:hAnsi="Arial" w:cs="Arial"/>
          <w:caps/>
          <w:sz w:val="22"/>
          <w:szCs w:val="22"/>
        </w:rPr>
        <w:t xml:space="preserve"> </w:t>
      </w:r>
      <w:r w:rsidRPr="006031D6">
        <w:rPr>
          <w:rFonts w:ascii="Arial" w:hAnsi="Arial" w:cs="Arial"/>
          <w:b/>
          <w:bCs/>
          <w:sz w:val="22"/>
          <w:szCs w:val="22"/>
        </w:rPr>
        <w:t>- výúsť č. 19</w:t>
      </w:r>
      <w:r w:rsidRPr="006031D6">
        <w:rPr>
          <w:rFonts w:ascii="Arial" w:hAnsi="Arial" w:cs="Arial"/>
          <w:sz w:val="22"/>
          <w:szCs w:val="22"/>
        </w:rPr>
        <w:t xml:space="preserve">, vyúsťuje do pravého břehu Labe pod internátem stavební průmyslovky, říční km 13,080, plavební km 96,200. Odvádí odpadní vody z oblasti ul. Čs. armády s panelovou a blokovou zástavbou. Stoka je stará. </w:t>
      </w:r>
    </w:p>
    <w:p w14:paraId="33330FE6"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XX</w:t>
      </w:r>
      <w:r w:rsidRPr="006031D6">
        <w:rPr>
          <w:rFonts w:ascii="Arial" w:hAnsi="Arial" w:cs="Arial"/>
          <w:b/>
          <w:bCs/>
          <w:sz w:val="22"/>
          <w:szCs w:val="22"/>
        </w:rPr>
        <w:t xml:space="preserve"> - štola Maroldova, výúsť č. 20</w:t>
      </w:r>
      <w:r w:rsidRPr="006031D6">
        <w:rPr>
          <w:rFonts w:ascii="Arial" w:hAnsi="Arial" w:cs="Arial"/>
          <w:sz w:val="22"/>
          <w:szCs w:val="22"/>
        </w:rPr>
        <w:t xml:space="preserve"> s vyústěním do pravého břehu Labe, říční km 12,990, plavební km 96,300. Kmenová stoka vede přes Nové Město ze zastoupením bydlení všech forem, dále jsou zde lokalizovány prostory výroby, skladového hospodářství a železniční dopravy. Stoka odvádí odpadní vody z ulic Sládkova, Maroldova, Myslbekova, Anenská, Riegrova a okolí, náměstí Komenského, Svobody a dále část ul. 17. listopadu, ul. Benešovská, Liberecká a Liliová se sídlištěm OK 5. Kmenová stoka od vyústění do Labe přes náměstí Svobody, ul. 17. listopadu, Benešovskou a Libereckou je vybudována nová v profilech DN 2200, štola 1800/1900, DN 1200 a DN 600 mm nádraží Děčín - východ má svoji ČOV. Napojené uliční stoky jsou staré. Je třeba připojit novou kanalizaci u hřiště "Slovanka" (přechod Folknářského potoka). </w:t>
      </w:r>
    </w:p>
    <w:p w14:paraId="48F5AF57" w14:textId="77777777" w:rsid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XXI</w:t>
      </w:r>
      <w:r w:rsidRPr="006031D6">
        <w:rPr>
          <w:rFonts w:ascii="Arial" w:hAnsi="Arial" w:cs="Arial"/>
          <w:b/>
          <w:bCs/>
          <w:sz w:val="22"/>
          <w:szCs w:val="22"/>
        </w:rPr>
        <w:t xml:space="preserve"> - výúsť č. 21</w:t>
      </w:r>
      <w:r w:rsidRPr="006031D6">
        <w:rPr>
          <w:rFonts w:ascii="Arial" w:hAnsi="Arial" w:cs="Arial"/>
          <w:sz w:val="22"/>
          <w:szCs w:val="22"/>
        </w:rPr>
        <w:t xml:space="preserve"> s vyústěním na pravém břehu Labe (přístav), říční km 12,820, plavební km 96,460. Stará stoka v havarijním stavu, která byla z velké části nahrazena stokou XX - štola Maroldova. </w:t>
      </w:r>
    </w:p>
    <w:p w14:paraId="14546CB5" w14:textId="77777777" w:rsidR="006031D6" w:rsidRDefault="006031D6" w:rsidP="006031D6">
      <w:pPr>
        <w:pStyle w:val="Zkladntext"/>
        <w:spacing w:before="120" w:line="288" w:lineRule="auto"/>
        <w:jc w:val="both"/>
        <w:rPr>
          <w:rFonts w:ascii="Arial" w:hAnsi="Arial" w:cs="Arial"/>
          <w:sz w:val="22"/>
          <w:szCs w:val="22"/>
        </w:rPr>
      </w:pPr>
    </w:p>
    <w:p w14:paraId="05DB15E7" w14:textId="77777777" w:rsidR="006031D6" w:rsidRDefault="006031D6" w:rsidP="006031D6">
      <w:pPr>
        <w:pStyle w:val="Zkladntext"/>
        <w:spacing w:before="120" w:line="288" w:lineRule="auto"/>
        <w:jc w:val="both"/>
        <w:rPr>
          <w:rFonts w:ascii="Arial" w:hAnsi="Arial" w:cs="Arial"/>
          <w:sz w:val="22"/>
          <w:szCs w:val="22"/>
        </w:rPr>
      </w:pPr>
    </w:p>
    <w:p w14:paraId="40E3F098" w14:textId="77777777" w:rsidR="006031D6" w:rsidRPr="006031D6" w:rsidRDefault="006031D6" w:rsidP="006031D6">
      <w:pPr>
        <w:pStyle w:val="Zkladntext"/>
        <w:spacing w:before="120" w:line="288" w:lineRule="auto"/>
        <w:jc w:val="both"/>
        <w:rPr>
          <w:rFonts w:ascii="Arial" w:hAnsi="Arial" w:cs="Arial"/>
          <w:sz w:val="22"/>
          <w:szCs w:val="22"/>
        </w:rPr>
      </w:pPr>
    </w:p>
    <w:p w14:paraId="0391E179"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lastRenderedPageBreak/>
        <w:t xml:space="preserve">Pouze spodní část stoky mezi ulicí Kaštanovou a vyústěním do Labe zůstává ve funkci a odvádí odpadní vody z okolí ul. Nerudovy, část ul. 28. října a Kaštanové. Při výstavbě nové stoky XX. nebyla provedena všechna přepojení staré stoky nad Kaštanovou ulicí dosti důsledně, což je do dnešního dne zdrojem mnoha provozních problémů. Jedná se o samostatné přípojky na novou stoku z objektů policie, školní družiny, SEŠ, Autoškoly. Dále je především třeba revize a případná rekonstrukce stoky v ul. Pohraniční stráže a Maroldově, připojení MŠ a Radioopravny KNEŘ. </w:t>
      </w:r>
    </w:p>
    <w:p w14:paraId="0E8381CD"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XXII</w:t>
      </w:r>
      <w:r w:rsidRPr="006031D6">
        <w:rPr>
          <w:rFonts w:ascii="Arial" w:hAnsi="Arial" w:cs="Arial"/>
          <w:b/>
          <w:bCs/>
          <w:sz w:val="22"/>
          <w:szCs w:val="22"/>
        </w:rPr>
        <w:t xml:space="preserve"> - výúsť č. 22 </w:t>
      </w:r>
      <w:r w:rsidRPr="006031D6">
        <w:rPr>
          <w:rFonts w:ascii="Arial" w:hAnsi="Arial" w:cs="Arial"/>
          <w:sz w:val="22"/>
          <w:szCs w:val="22"/>
        </w:rPr>
        <w:t xml:space="preserve">s vyústěním do pravého břehu Labe Labskou ulicí, říční km 12,705, plavební km 96,580. Odvádí odpadní vody z oblasti ulice Lužické včetně nemocnice. Stoka je stará ve velmi špatném stavu. </w:t>
      </w:r>
    </w:p>
    <w:p w14:paraId="66175AB4"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XXIII</w:t>
      </w:r>
      <w:r w:rsidRPr="006031D6">
        <w:rPr>
          <w:rFonts w:ascii="Arial" w:hAnsi="Arial" w:cs="Arial"/>
          <w:sz w:val="22"/>
          <w:szCs w:val="22"/>
        </w:rPr>
        <w:t xml:space="preserve"> </w:t>
      </w:r>
      <w:r w:rsidRPr="006031D6">
        <w:rPr>
          <w:rFonts w:ascii="Arial" w:hAnsi="Arial" w:cs="Arial"/>
          <w:b/>
          <w:bCs/>
          <w:sz w:val="22"/>
          <w:szCs w:val="22"/>
        </w:rPr>
        <w:t>- výúsť č. 23</w:t>
      </w:r>
      <w:r w:rsidRPr="006031D6">
        <w:rPr>
          <w:rFonts w:ascii="Arial" w:hAnsi="Arial" w:cs="Arial"/>
          <w:sz w:val="22"/>
          <w:szCs w:val="22"/>
        </w:rPr>
        <w:t xml:space="preserve"> s vyústěním do pravého břehu Labe u lávky u tankovací stanice ČSPL. Odvádí odpadní vody z části oblasti Loubí. Stará kanalizace místní svod s napojením cca 100 obyvatel. </w:t>
      </w:r>
    </w:p>
    <w:p w14:paraId="28FFA54D"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 xml:space="preserve">Stoka XXIV </w:t>
      </w:r>
      <w:r w:rsidRPr="006031D6">
        <w:rPr>
          <w:rFonts w:ascii="Arial" w:hAnsi="Arial" w:cs="Arial"/>
          <w:b/>
          <w:bCs/>
          <w:sz w:val="22"/>
          <w:szCs w:val="22"/>
        </w:rPr>
        <w:t xml:space="preserve">- výúsť č. 24 </w:t>
      </w:r>
      <w:r w:rsidRPr="006031D6">
        <w:rPr>
          <w:rFonts w:ascii="Arial" w:hAnsi="Arial" w:cs="Arial"/>
          <w:sz w:val="22"/>
          <w:szCs w:val="22"/>
        </w:rPr>
        <w:t xml:space="preserve">s vyústěním do pravého břehu Ploučnice u mostu Budovatelů pod areálem koupaliště. Odvádí odpadní vody z části nového města. Z okolí ulic Provaznická, Dvořákova, Fügnerova, Zámecké náměstí a stará zástavba z ulic Kamenická. Sídliště Kamenická OK 5 je převedena ulicí Liliovou do nové stoky XX. ul.. U plovárny (výhledové napojení zámku). V sídlišti je nová kanalizace. Stará stoka DN 600/900 vede ul. Kamenickou a v parku podél ulice a Provaznické až k vyústění DN 1200/1800 mm. Stoka je v běžném provozu. </w:t>
      </w:r>
    </w:p>
    <w:p w14:paraId="727542C0"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XXV</w:t>
      </w:r>
      <w:r w:rsidRPr="006031D6">
        <w:rPr>
          <w:rFonts w:ascii="Arial" w:hAnsi="Arial" w:cs="Arial"/>
          <w:sz w:val="22"/>
          <w:szCs w:val="22"/>
        </w:rPr>
        <w:t xml:space="preserve"> - </w:t>
      </w:r>
      <w:r w:rsidRPr="006031D6">
        <w:rPr>
          <w:rFonts w:ascii="Arial" w:hAnsi="Arial" w:cs="Arial"/>
          <w:b/>
          <w:bCs/>
          <w:sz w:val="22"/>
          <w:szCs w:val="22"/>
        </w:rPr>
        <w:t>výúsť č. 25</w:t>
      </w:r>
      <w:r w:rsidRPr="006031D6">
        <w:rPr>
          <w:rFonts w:ascii="Arial" w:hAnsi="Arial" w:cs="Arial"/>
          <w:sz w:val="22"/>
          <w:szCs w:val="22"/>
        </w:rPr>
        <w:t xml:space="preserve"> s vyústěním do levého břehu Ploučnice před mostem v Ploučnické ulici. Odvádí odpadní vody z oblasti ulice Ploučnické. Stará stoka DN 400, pouze kanalizační svod. </w:t>
      </w:r>
    </w:p>
    <w:p w14:paraId="178EC068"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XXVI</w:t>
      </w:r>
      <w:r w:rsidRPr="006031D6">
        <w:rPr>
          <w:rFonts w:ascii="Arial" w:hAnsi="Arial" w:cs="Arial"/>
          <w:b/>
          <w:bCs/>
          <w:sz w:val="22"/>
          <w:szCs w:val="22"/>
        </w:rPr>
        <w:t xml:space="preserve"> - výúsť č. 26</w:t>
      </w:r>
      <w:r w:rsidRPr="006031D6">
        <w:rPr>
          <w:rFonts w:ascii="Arial" w:hAnsi="Arial" w:cs="Arial"/>
          <w:sz w:val="22"/>
          <w:szCs w:val="22"/>
        </w:rPr>
        <w:t xml:space="preserve"> s vyústěním na levém břehu Ploučnice před areálem zimního stadionu u mostu. Odvádí odpadní vody z části vilové zástavby u zimního stadionu. Stoky jsou staré v běžném provozu. </w:t>
      </w:r>
    </w:p>
    <w:p w14:paraId="5A78049C"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Stoka XXVII</w:t>
      </w:r>
      <w:r w:rsidRPr="006031D6">
        <w:rPr>
          <w:rFonts w:ascii="Arial" w:hAnsi="Arial" w:cs="Arial"/>
          <w:sz w:val="22"/>
          <w:szCs w:val="22"/>
        </w:rPr>
        <w:t xml:space="preserve"> </w:t>
      </w:r>
      <w:r w:rsidRPr="006031D6">
        <w:rPr>
          <w:rFonts w:ascii="Arial" w:hAnsi="Arial" w:cs="Arial"/>
          <w:b/>
          <w:bCs/>
          <w:sz w:val="22"/>
          <w:szCs w:val="22"/>
        </w:rPr>
        <w:t>- výúsť č. 27, 27a, 27b</w:t>
      </w:r>
      <w:r w:rsidRPr="006031D6">
        <w:rPr>
          <w:rFonts w:ascii="Arial" w:hAnsi="Arial" w:cs="Arial"/>
          <w:sz w:val="22"/>
          <w:szCs w:val="22"/>
        </w:rPr>
        <w:t xml:space="preserve">. Výúsť č. 27 je odpad z ČOV Březiny, který je sveden do pravého břehu Ploučnice. Na čistírně odpadních vod Březiny jsou čištěny odpadní vody ze sídliště v Březinách. Kanalizace je oddílná, nová. </w:t>
      </w:r>
    </w:p>
    <w:p w14:paraId="4955C2AB"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 xml:space="preserve">Výúsť č. 27a pouze kanalizační svod se zaústěním do pravého břehu Ploučnice. Odvádí odpadní vody z části staré zástavby. Stará stoka, která potřebuje jen propojit na kanalizaci sídliště. </w:t>
      </w:r>
    </w:p>
    <w:p w14:paraId="7A19E678"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 xml:space="preserve">Výúsť č. 27b pouze kanalizační svod se zaústěním do levého břehu Ploučnice. Odvádí odpadní vody z části staré zástavby. </w:t>
      </w:r>
    </w:p>
    <w:p w14:paraId="4EAB8D51" w14:textId="77777777" w:rsidR="006031D6" w:rsidRPr="006031D6" w:rsidRDefault="006031D6" w:rsidP="006031D6">
      <w:pPr>
        <w:pStyle w:val="Zkladntext"/>
        <w:spacing w:before="120" w:line="288" w:lineRule="auto"/>
        <w:ind w:firstLine="720"/>
        <w:jc w:val="both"/>
        <w:rPr>
          <w:rFonts w:ascii="Arial" w:hAnsi="Arial" w:cs="Arial"/>
          <w:sz w:val="22"/>
          <w:szCs w:val="22"/>
        </w:rPr>
      </w:pPr>
    </w:p>
    <w:p w14:paraId="265942DB"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b/>
          <w:bCs/>
          <w:sz w:val="22"/>
          <w:szCs w:val="22"/>
        </w:rPr>
        <w:t>Na kanalizaci je v současné době napojeno cca 47 000 obyvatel Děčína, což je 87 % z celkového počtu. Bez kanalizace jsou dnes Krásný Studenec, Horní Oldřichov, Horní Žleb, Folknáře a okrajové části v Bělé, Čechách, části Jalůvčí, Červeném vrchu.</w:t>
      </w:r>
    </w:p>
    <w:p w14:paraId="49668AA6" w14:textId="77777777" w:rsidR="006031D6" w:rsidRPr="006031D6" w:rsidRDefault="006031D6" w:rsidP="006031D6">
      <w:pPr>
        <w:pStyle w:val="podnadpis1"/>
        <w:spacing w:line="240" w:lineRule="atLeast"/>
        <w:jc w:val="both"/>
        <w:rPr>
          <w:rFonts w:cs="Arial"/>
        </w:rPr>
      </w:pPr>
      <w:r w:rsidRPr="006031D6">
        <w:rPr>
          <w:rFonts w:cs="Arial"/>
        </w:rPr>
        <w:t>h2. Návrh hlavních zásad koncepčního řešení dostavby a rekonstrukce kanalizace a ČOV</w:t>
      </w:r>
    </w:p>
    <w:p w14:paraId="7DE1D9E4" w14:textId="77777777" w:rsidR="006031D6" w:rsidRPr="006031D6" w:rsidRDefault="006031D6" w:rsidP="006031D6">
      <w:pPr>
        <w:pStyle w:val="podnadpis2"/>
        <w:spacing w:before="120" w:after="0" w:line="288" w:lineRule="auto"/>
        <w:jc w:val="both"/>
        <w:rPr>
          <w:rFonts w:cs="Arial"/>
          <w:szCs w:val="22"/>
        </w:rPr>
      </w:pPr>
      <w:r w:rsidRPr="006031D6">
        <w:rPr>
          <w:rFonts w:cs="Arial"/>
          <w:szCs w:val="22"/>
        </w:rPr>
        <w:lastRenderedPageBreak/>
        <w:t>Dostavba kanalizace</w:t>
      </w:r>
    </w:p>
    <w:p w14:paraId="5C710CFE"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Dostavba kanalizační sítě v Děčíně si vyžádala náročnou vodohospodářskou investici, kterou je</w:t>
      </w:r>
      <w:r w:rsidRPr="006031D6">
        <w:rPr>
          <w:rFonts w:ascii="Arial" w:hAnsi="Arial" w:cs="Arial"/>
          <w:b/>
          <w:bCs/>
          <w:sz w:val="22"/>
          <w:szCs w:val="22"/>
        </w:rPr>
        <w:t xml:space="preserve"> městská čistírna odpadních vod </w:t>
      </w:r>
      <w:r w:rsidRPr="006031D6">
        <w:rPr>
          <w:rFonts w:ascii="Arial" w:hAnsi="Arial" w:cs="Arial"/>
          <w:sz w:val="22"/>
          <w:szCs w:val="22"/>
        </w:rPr>
        <w:t>s hlavním kanalizačním sběračem A a sběračem B ve smyslu přijaté koncepce Severočeské vodárenské společnosti a. s. a SčVaK a. s. Teplice. Uvedený záměr, který vytvoří základ pro soustředění odpadních vod z celého města na ČOV,</w:t>
      </w:r>
      <w:r w:rsidRPr="006031D6">
        <w:rPr>
          <w:rFonts w:ascii="Arial" w:hAnsi="Arial" w:cs="Arial"/>
          <w:b/>
          <w:bCs/>
          <w:sz w:val="22"/>
          <w:szCs w:val="22"/>
        </w:rPr>
        <w:t xml:space="preserve"> je ve stavbě.</w:t>
      </w:r>
    </w:p>
    <w:p w14:paraId="780C4E34"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Čištění odpadních vod bude probíhat na centrální ČOV, která je situována na pravém břehu Labe</w:t>
      </w:r>
      <w:r w:rsidRPr="006031D6">
        <w:rPr>
          <w:rFonts w:ascii="Arial" w:hAnsi="Arial" w:cs="Arial"/>
          <w:b/>
          <w:bCs/>
          <w:sz w:val="22"/>
          <w:szCs w:val="22"/>
        </w:rPr>
        <w:t xml:space="preserve"> v Boleticích n. L.</w:t>
      </w:r>
      <w:r w:rsidRPr="006031D6">
        <w:rPr>
          <w:rFonts w:ascii="Arial" w:hAnsi="Arial" w:cs="Arial"/>
          <w:sz w:val="22"/>
          <w:szCs w:val="22"/>
        </w:rPr>
        <w:t xml:space="preserve">. ČOV bude klasická mechanicko-biologická s odstraňováním uhlíkatého znečištění, odstraňováním sloučenin dusíku a též s odstraňováním fosforu. </w:t>
      </w:r>
      <w:r w:rsidRPr="006031D6">
        <w:rPr>
          <w:rFonts w:ascii="Arial" w:hAnsi="Arial" w:cs="Arial"/>
          <w:b/>
          <w:bCs/>
          <w:sz w:val="22"/>
          <w:szCs w:val="22"/>
        </w:rPr>
        <w:t>Čistírenské kaly budou</w:t>
      </w:r>
      <w:r w:rsidRPr="006031D6">
        <w:rPr>
          <w:rFonts w:ascii="Arial" w:hAnsi="Arial" w:cs="Arial"/>
          <w:sz w:val="22"/>
          <w:szCs w:val="22"/>
        </w:rPr>
        <w:t xml:space="preserve">, na základě výsledků jednání ze dne 05. 09. 2000, smluvně likvidovány firmou oprávněnou k likvidaci </w:t>
      </w:r>
      <w:r w:rsidRPr="006031D6">
        <w:rPr>
          <w:rFonts w:ascii="Arial" w:hAnsi="Arial" w:cs="Arial"/>
          <w:b/>
          <w:bCs/>
          <w:sz w:val="22"/>
          <w:szCs w:val="22"/>
        </w:rPr>
        <w:t xml:space="preserve">mimo areál ČOV i území města. </w:t>
      </w:r>
    </w:p>
    <w:p w14:paraId="0B210A3E"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Čistírna má navrženo ochranné pásmo, v kterém není možno lokalizovat bytovou zástavbu. Rozsah je patrný ze situace. ČOV není zatím dokončená. </w:t>
      </w:r>
    </w:p>
    <w:p w14:paraId="0D92AEFD"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Plocha čistírny včetně místa pro rozšíření ve výhledu činí 2,85 ha.</w:t>
      </w:r>
    </w:p>
    <w:p w14:paraId="4F4FD7CE" w14:textId="77777777" w:rsidR="006031D6" w:rsidRPr="006031D6" w:rsidRDefault="006031D6" w:rsidP="006031D6">
      <w:pPr>
        <w:pStyle w:val="Zkladntext"/>
        <w:spacing w:before="120" w:line="288" w:lineRule="auto"/>
        <w:jc w:val="both"/>
        <w:rPr>
          <w:rFonts w:ascii="Arial" w:hAnsi="Arial" w:cs="Arial"/>
          <w:sz w:val="22"/>
          <w:szCs w:val="22"/>
        </w:rPr>
      </w:pPr>
    </w:p>
    <w:p w14:paraId="4516E702"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Návrhové parametry ČOV pro Děčín v Boleticích.</w:t>
      </w:r>
    </w:p>
    <w:p w14:paraId="1AA90428"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r>
      <w:r w:rsidRPr="006031D6">
        <w:rPr>
          <w:rFonts w:ascii="Arial" w:hAnsi="Arial" w:cs="Arial"/>
          <w:b/>
          <w:bCs/>
          <w:sz w:val="22"/>
          <w:szCs w:val="22"/>
        </w:rPr>
        <w:t xml:space="preserve">Celkem </w:t>
      </w:r>
      <w:r w:rsidRPr="006031D6">
        <w:rPr>
          <w:rFonts w:ascii="Arial" w:hAnsi="Arial" w:cs="Arial"/>
          <w:b/>
          <w:bCs/>
          <w:sz w:val="22"/>
          <w:szCs w:val="22"/>
        </w:rPr>
        <w:tab/>
      </w:r>
      <w:r w:rsidRPr="006031D6">
        <w:rPr>
          <w:rFonts w:ascii="Arial" w:hAnsi="Arial" w:cs="Arial"/>
          <w:b/>
          <w:bCs/>
          <w:sz w:val="22"/>
          <w:szCs w:val="22"/>
        </w:rPr>
        <w:tab/>
      </w:r>
      <w:r w:rsidRPr="006031D6">
        <w:rPr>
          <w:rFonts w:ascii="Arial" w:hAnsi="Arial" w:cs="Arial"/>
          <w:b/>
          <w:bCs/>
          <w:sz w:val="22"/>
          <w:szCs w:val="22"/>
        </w:rPr>
        <w:tab/>
        <w:t>Q24 m</w:t>
      </w:r>
      <w:r w:rsidRPr="006031D6">
        <w:rPr>
          <w:rFonts w:ascii="Arial" w:hAnsi="Arial" w:cs="Arial"/>
          <w:b/>
          <w:bCs/>
          <w:position w:val="6"/>
          <w:sz w:val="22"/>
          <w:szCs w:val="22"/>
        </w:rPr>
        <w:t>3</w:t>
      </w:r>
      <w:r w:rsidRPr="006031D6">
        <w:rPr>
          <w:rFonts w:ascii="Arial" w:hAnsi="Arial" w:cs="Arial"/>
          <w:b/>
          <w:bCs/>
          <w:sz w:val="22"/>
          <w:szCs w:val="22"/>
        </w:rPr>
        <w:t xml:space="preserve">/s </w:t>
      </w:r>
      <w:r w:rsidRPr="006031D6">
        <w:rPr>
          <w:rFonts w:ascii="Arial" w:hAnsi="Arial" w:cs="Arial"/>
          <w:b/>
          <w:bCs/>
          <w:sz w:val="22"/>
          <w:szCs w:val="22"/>
        </w:rPr>
        <w:tab/>
        <w:t xml:space="preserve">BSK 5 kg/den </w:t>
      </w:r>
      <w:r w:rsidRPr="006031D6">
        <w:rPr>
          <w:rFonts w:ascii="Arial" w:hAnsi="Arial" w:cs="Arial"/>
          <w:b/>
          <w:bCs/>
          <w:sz w:val="22"/>
          <w:szCs w:val="22"/>
        </w:rPr>
        <w:tab/>
      </w:r>
      <w:r w:rsidRPr="006031D6">
        <w:rPr>
          <w:rFonts w:ascii="Arial" w:hAnsi="Arial" w:cs="Arial"/>
          <w:b/>
          <w:bCs/>
          <w:sz w:val="22"/>
          <w:szCs w:val="22"/>
        </w:rPr>
        <w:tab/>
        <w:t xml:space="preserve">EO </w:t>
      </w:r>
    </w:p>
    <w:p w14:paraId="6111307F"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r>
      <w:r w:rsidRPr="006031D6">
        <w:rPr>
          <w:rFonts w:ascii="Arial" w:hAnsi="Arial" w:cs="Arial"/>
          <w:b/>
          <w:bCs/>
          <w:sz w:val="22"/>
          <w:szCs w:val="22"/>
        </w:rPr>
        <w:t xml:space="preserve">1. etapa </w:t>
      </w:r>
      <w:r w:rsidRPr="006031D6">
        <w:rPr>
          <w:rFonts w:ascii="Arial" w:hAnsi="Arial" w:cs="Arial"/>
          <w:b/>
          <w:bCs/>
          <w:sz w:val="22"/>
          <w:szCs w:val="22"/>
        </w:rPr>
        <w:tab/>
      </w:r>
      <w:r w:rsidRPr="006031D6">
        <w:rPr>
          <w:rFonts w:ascii="Arial" w:hAnsi="Arial" w:cs="Arial"/>
          <w:b/>
          <w:bCs/>
          <w:sz w:val="22"/>
          <w:szCs w:val="22"/>
        </w:rPr>
        <w:tab/>
      </w:r>
      <w:r w:rsidRPr="006031D6">
        <w:rPr>
          <w:rFonts w:ascii="Arial" w:hAnsi="Arial" w:cs="Arial"/>
          <w:b/>
          <w:bCs/>
          <w:sz w:val="22"/>
          <w:szCs w:val="22"/>
        </w:rPr>
        <w:tab/>
        <w:t xml:space="preserve">13 610,8 </w:t>
      </w:r>
      <w:r w:rsidRPr="006031D6">
        <w:rPr>
          <w:rFonts w:ascii="Arial" w:hAnsi="Arial" w:cs="Arial"/>
          <w:b/>
          <w:bCs/>
          <w:sz w:val="22"/>
          <w:szCs w:val="22"/>
        </w:rPr>
        <w:tab/>
        <w:t xml:space="preserve">     4.097 </w:t>
      </w:r>
      <w:r w:rsidRPr="006031D6">
        <w:rPr>
          <w:rFonts w:ascii="Arial" w:hAnsi="Arial" w:cs="Arial"/>
          <w:b/>
          <w:bCs/>
          <w:sz w:val="22"/>
          <w:szCs w:val="22"/>
        </w:rPr>
        <w:tab/>
      </w:r>
      <w:r w:rsidRPr="006031D6">
        <w:rPr>
          <w:rFonts w:ascii="Arial" w:hAnsi="Arial" w:cs="Arial"/>
          <w:b/>
          <w:bCs/>
          <w:sz w:val="22"/>
          <w:szCs w:val="22"/>
        </w:rPr>
        <w:tab/>
        <w:t xml:space="preserve">68 285 </w:t>
      </w:r>
    </w:p>
    <w:p w14:paraId="6B7E5A4A"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sz w:val="22"/>
          <w:szCs w:val="22"/>
        </w:rPr>
        <w:tab/>
        <w:t xml:space="preserve">výhled </w:t>
      </w:r>
      <w:r w:rsidRPr="006031D6">
        <w:rPr>
          <w:rFonts w:ascii="Arial" w:hAnsi="Arial" w:cs="Arial"/>
          <w:b/>
          <w:bCs/>
          <w:sz w:val="22"/>
          <w:szCs w:val="22"/>
        </w:rPr>
        <w:tab/>
      </w:r>
      <w:r w:rsidRPr="006031D6">
        <w:rPr>
          <w:rFonts w:ascii="Arial" w:hAnsi="Arial" w:cs="Arial"/>
          <w:b/>
          <w:bCs/>
          <w:sz w:val="22"/>
          <w:szCs w:val="22"/>
        </w:rPr>
        <w:tab/>
      </w:r>
      <w:r w:rsidRPr="006031D6">
        <w:rPr>
          <w:rFonts w:ascii="Arial" w:hAnsi="Arial" w:cs="Arial"/>
          <w:b/>
          <w:bCs/>
          <w:sz w:val="22"/>
          <w:szCs w:val="22"/>
        </w:rPr>
        <w:tab/>
        <w:t xml:space="preserve">17.949 </w:t>
      </w:r>
      <w:r w:rsidRPr="006031D6">
        <w:rPr>
          <w:rFonts w:ascii="Arial" w:hAnsi="Arial" w:cs="Arial"/>
          <w:b/>
          <w:bCs/>
          <w:sz w:val="22"/>
          <w:szCs w:val="22"/>
        </w:rPr>
        <w:tab/>
        <w:t xml:space="preserve">     5.580 </w:t>
      </w:r>
      <w:r w:rsidRPr="006031D6">
        <w:rPr>
          <w:rFonts w:ascii="Arial" w:hAnsi="Arial" w:cs="Arial"/>
          <w:b/>
          <w:bCs/>
          <w:sz w:val="22"/>
          <w:szCs w:val="22"/>
        </w:rPr>
        <w:tab/>
      </w:r>
      <w:r w:rsidRPr="006031D6">
        <w:rPr>
          <w:rFonts w:ascii="Arial" w:hAnsi="Arial" w:cs="Arial"/>
          <w:b/>
          <w:bCs/>
          <w:sz w:val="22"/>
          <w:szCs w:val="22"/>
        </w:rPr>
        <w:tab/>
        <w:t>92 998</w:t>
      </w:r>
    </w:p>
    <w:p w14:paraId="695AC723"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z toho</w:t>
      </w:r>
    </w:p>
    <w:p w14:paraId="5A96661A"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domácnosti </w:t>
      </w:r>
    </w:p>
    <w:p w14:paraId="56D7CBDC"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1. etapa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5.531 </w:t>
      </w:r>
      <w:r w:rsidRPr="006031D6">
        <w:rPr>
          <w:rFonts w:ascii="Arial" w:hAnsi="Arial" w:cs="Arial"/>
          <w:sz w:val="22"/>
          <w:szCs w:val="22"/>
        </w:rPr>
        <w:tab/>
      </w:r>
      <w:r w:rsidRPr="006031D6">
        <w:rPr>
          <w:rFonts w:ascii="Arial" w:hAnsi="Arial" w:cs="Arial"/>
          <w:sz w:val="22"/>
          <w:szCs w:val="22"/>
        </w:rPr>
        <w:tab/>
        <w:t xml:space="preserve">     2.181 </w:t>
      </w:r>
      <w:r w:rsidRPr="006031D6">
        <w:rPr>
          <w:rFonts w:ascii="Arial" w:hAnsi="Arial" w:cs="Arial"/>
          <w:sz w:val="22"/>
          <w:szCs w:val="22"/>
        </w:rPr>
        <w:tab/>
      </w:r>
      <w:r w:rsidRPr="006031D6">
        <w:rPr>
          <w:rFonts w:ascii="Arial" w:hAnsi="Arial" w:cs="Arial"/>
          <w:sz w:val="22"/>
          <w:szCs w:val="22"/>
        </w:rPr>
        <w:tab/>
        <w:t xml:space="preserve">36.349 </w:t>
      </w:r>
    </w:p>
    <w:p w14:paraId="2FB49DA6"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výhled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8.553 </w:t>
      </w:r>
      <w:r w:rsidRPr="006031D6">
        <w:rPr>
          <w:rFonts w:ascii="Arial" w:hAnsi="Arial" w:cs="Arial"/>
          <w:sz w:val="22"/>
          <w:szCs w:val="22"/>
        </w:rPr>
        <w:tab/>
      </w:r>
      <w:r w:rsidRPr="006031D6">
        <w:rPr>
          <w:rFonts w:ascii="Arial" w:hAnsi="Arial" w:cs="Arial"/>
          <w:sz w:val="22"/>
          <w:szCs w:val="22"/>
        </w:rPr>
        <w:tab/>
        <w:t xml:space="preserve">     3.439 </w:t>
      </w:r>
      <w:r w:rsidRPr="006031D6">
        <w:rPr>
          <w:rFonts w:ascii="Arial" w:hAnsi="Arial" w:cs="Arial"/>
          <w:sz w:val="22"/>
          <w:szCs w:val="22"/>
        </w:rPr>
        <w:tab/>
      </w:r>
      <w:r w:rsidRPr="006031D6">
        <w:rPr>
          <w:rFonts w:ascii="Arial" w:hAnsi="Arial" w:cs="Arial"/>
          <w:sz w:val="22"/>
          <w:szCs w:val="22"/>
        </w:rPr>
        <w:tab/>
        <w:t xml:space="preserve">57.314 </w:t>
      </w:r>
    </w:p>
    <w:p w14:paraId="3F10C445"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nespecifikované </w:t>
      </w:r>
    </w:p>
    <w:p w14:paraId="0146522D"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živnosti a vybavenost </w:t>
      </w:r>
    </w:p>
    <w:p w14:paraId="01CB4A4A"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1. etapa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1.197 </w:t>
      </w:r>
      <w:r w:rsidRPr="006031D6">
        <w:rPr>
          <w:rFonts w:ascii="Arial" w:hAnsi="Arial" w:cs="Arial"/>
          <w:sz w:val="22"/>
          <w:szCs w:val="22"/>
        </w:rPr>
        <w:tab/>
      </w:r>
      <w:r w:rsidRPr="006031D6">
        <w:rPr>
          <w:rFonts w:ascii="Arial" w:hAnsi="Arial" w:cs="Arial"/>
          <w:sz w:val="22"/>
          <w:szCs w:val="22"/>
        </w:rPr>
        <w:tab/>
        <w:t xml:space="preserve">     351</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5.850 </w:t>
      </w:r>
    </w:p>
    <w:p w14:paraId="6EEDA65D"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výhled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2.122 </w:t>
      </w:r>
      <w:r w:rsidRPr="006031D6">
        <w:rPr>
          <w:rFonts w:ascii="Arial" w:hAnsi="Arial" w:cs="Arial"/>
          <w:sz w:val="22"/>
          <w:szCs w:val="22"/>
        </w:rPr>
        <w:tab/>
      </w:r>
      <w:r w:rsidRPr="006031D6">
        <w:rPr>
          <w:rFonts w:ascii="Arial" w:hAnsi="Arial" w:cs="Arial"/>
          <w:sz w:val="22"/>
          <w:szCs w:val="22"/>
        </w:rPr>
        <w:tab/>
        <w:t xml:space="preserve">     516 </w:t>
      </w:r>
      <w:r w:rsidRPr="006031D6">
        <w:rPr>
          <w:rFonts w:ascii="Arial" w:hAnsi="Arial" w:cs="Arial"/>
          <w:sz w:val="22"/>
          <w:szCs w:val="22"/>
        </w:rPr>
        <w:tab/>
      </w:r>
      <w:r w:rsidRPr="006031D6">
        <w:rPr>
          <w:rFonts w:ascii="Arial" w:hAnsi="Arial" w:cs="Arial"/>
          <w:sz w:val="22"/>
          <w:szCs w:val="22"/>
        </w:rPr>
        <w:tab/>
        <w:t xml:space="preserve">8.600 </w:t>
      </w:r>
    </w:p>
    <w:p w14:paraId="2E142CF1"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průmysl a živnosti </w:t>
      </w:r>
    </w:p>
    <w:p w14:paraId="570CDB1D"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1. etapa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3.762 </w:t>
      </w:r>
      <w:r w:rsidRPr="006031D6">
        <w:rPr>
          <w:rFonts w:ascii="Arial" w:hAnsi="Arial" w:cs="Arial"/>
          <w:sz w:val="22"/>
          <w:szCs w:val="22"/>
        </w:rPr>
        <w:tab/>
      </w:r>
      <w:r w:rsidRPr="006031D6">
        <w:rPr>
          <w:rFonts w:ascii="Arial" w:hAnsi="Arial" w:cs="Arial"/>
          <w:sz w:val="22"/>
          <w:szCs w:val="22"/>
        </w:rPr>
        <w:tab/>
        <w:t xml:space="preserve">     1.565 </w:t>
      </w:r>
      <w:r w:rsidRPr="006031D6">
        <w:rPr>
          <w:rFonts w:ascii="Arial" w:hAnsi="Arial" w:cs="Arial"/>
          <w:sz w:val="22"/>
          <w:szCs w:val="22"/>
        </w:rPr>
        <w:tab/>
      </w:r>
      <w:r w:rsidRPr="006031D6">
        <w:rPr>
          <w:rFonts w:ascii="Arial" w:hAnsi="Arial" w:cs="Arial"/>
          <w:sz w:val="22"/>
          <w:szCs w:val="22"/>
        </w:rPr>
        <w:tab/>
        <w:t xml:space="preserve">26.086 </w:t>
      </w:r>
    </w:p>
    <w:p w14:paraId="233EBEE7"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výhled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4.196 </w:t>
      </w:r>
      <w:r w:rsidRPr="006031D6">
        <w:rPr>
          <w:rFonts w:ascii="Arial" w:hAnsi="Arial" w:cs="Arial"/>
          <w:sz w:val="22"/>
          <w:szCs w:val="22"/>
        </w:rPr>
        <w:tab/>
      </w:r>
      <w:r w:rsidRPr="006031D6">
        <w:rPr>
          <w:rFonts w:ascii="Arial" w:hAnsi="Arial" w:cs="Arial"/>
          <w:sz w:val="22"/>
          <w:szCs w:val="22"/>
        </w:rPr>
        <w:tab/>
        <w:t xml:space="preserve">     1.625 </w:t>
      </w:r>
      <w:r w:rsidRPr="006031D6">
        <w:rPr>
          <w:rFonts w:ascii="Arial" w:hAnsi="Arial" w:cs="Arial"/>
          <w:sz w:val="22"/>
          <w:szCs w:val="22"/>
        </w:rPr>
        <w:tab/>
      </w:r>
      <w:r w:rsidRPr="006031D6">
        <w:rPr>
          <w:rFonts w:ascii="Arial" w:hAnsi="Arial" w:cs="Arial"/>
          <w:sz w:val="22"/>
          <w:szCs w:val="22"/>
        </w:rPr>
        <w:tab/>
        <w:t xml:space="preserve">27.084 </w:t>
      </w:r>
    </w:p>
    <w:p w14:paraId="392E75D1"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balastní vody </w:t>
      </w:r>
    </w:p>
    <w:p w14:paraId="466A9ADB"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1. etapa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3.120 </w:t>
      </w:r>
      <w:r w:rsidRPr="006031D6">
        <w:rPr>
          <w:rFonts w:ascii="Arial" w:hAnsi="Arial" w:cs="Arial"/>
          <w:sz w:val="22"/>
          <w:szCs w:val="22"/>
        </w:rPr>
        <w:tab/>
      </w:r>
      <w:r w:rsidRPr="006031D6">
        <w:rPr>
          <w:rFonts w:ascii="Arial" w:hAnsi="Arial" w:cs="Arial"/>
          <w:sz w:val="22"/>
          <w:szCs w:val="22"/>
        </w:rPr>
        <w:tab/>
        <w:t xml:space="preserve">        -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    - </w:t>
      </w:r>
    </w:p>
    <w:p w14:paraId="02C3ABCA"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t xml:space="preserve">výhled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3.078 </w:t>
      </w:r>
      <w:r w:rsidRPr="006031D6">
        <w:rPr>
          <w:rFonts w:ascii="Arial" w:hAnsi="Arial" w:cs="Arial"/>
          <w:sz w:val="22"/>
          <w:szCs w:val="22"/>
        </w:rPr>
        <w:tab/>
      </w:r>
      <w:r w:rsidRPr="006031D6">
        <w:rPr>
          <w:rFonts w:ascii="Arial" w:hAnsi="Arial" w:cs="Arial"/>
          <w:sz w:val="22"/>
          <w:szCs w:val="22"/>
        </w:rPr>
        <w:tab/>
        <w:t xml:space="preserve">        - </w:t>
      </w:r>
      <w:r w:rsidRPr="006031D6">
        <w:rPr>
          <w:rFonts w:ascii="Arial" w:hAnsi="Arial" w:cs="Arial"/>
          <w:sz w:val="22"/>
          <w:szCs w:val="22"/>
        </w:rPr>
        <w:tab/>
      </w:r>
      <w:r w:rsidRPr="006031D6">
        <w:rPr>
          <w:rFonts w:ascii="Arial" w:hAnsi="Arial" w:cs="Arial"/>
          <w:sz w:val="22"/>
          <w:szCs w:val="22"/>
        </w:rPr>
        <w:tab/>
      </w:r>
      <w:r w:rsidRPr="006031D6">
        <w:rPr>
          <w:rFonts w:ascii="Arial" w:hAnsi="Arial" w:cs="Arial"/>
          <w:sz w:val="22"/>
          <w:szCs w:val="22"/>
        </w:rPr>
        <w:tab/>
        <w:t xml:space="preserve">    - </w:t>
      </w:r>
      <w:r w:rsidRPr="006031D6">
        <w:rPr>
          <w:rFonts w:ascii="Arial" w:hAnsi="Arial" w:cs="Arial"/>
          <w:sz w:val="22"/>
          <w:szCs w:val="22"/>
        </w:rPr>
        <w:tab/>
      </w:r>
    </w:p>
    <w:p w14:paraId="27A20AE6" w14:textId="77777777" w:rsidR="006031D6" w:rsidRPr="006031D6" w:rsidRDefault="006031D6" w:rsidP="006031D6">
      <w:pPr>
        <w:pStyle w:val="Zkladntext"/>
        <w:spacing w:before="120" w:line="288" w:lineRule="auto"/>
        <w:jc w:val="both"/>
        <w:rPr>
          <w:rFonts w:ascii="Arial" w:hAnsi="Arial" w:cs="Arial"/>
          <w:sz w:val="22"/>
          <w:szCs w:val="22"/>
        </w:rPr>
      </w:pPr>
    </w:p>
    <w:p w14:paraId="0E88DAF9" w14:textId="77777777" w:rsidR="006031D6" w:rsidRPr="006031D6" w:rsidRDefault="006031D6" w:rsidP="006031D6">
      <w:pPr>
        <w:pStyle w:val="Zkladntext"/>
        <w:spacing w:before="120" w:line="288" w:lineRule="auto"/>
        <w:ind w:left="68" w:firstLine="709"/>
        <w:jc w:val="both"/>
        <w:rPr>
          <w:rFonts w:ascii="Arial" w:hAnsi="Arial" w:cs="Arial"/>
          <w:sz w:val="22"/>
          <w:szCs w:val="22"/>
        </w:rPr>
      </w:pPr>
      <w:r w:rsidRPr="006031D6">
        <w:rPr>
          <w:rFonts w:ascii="Arial" w:hAnsi="Arial" w:cs="Arial"/>
          <w:b/>
          <w:bCs/>
          <w:sz w:val="22"/>
          <w:szCs w:val="22"/>
        </w:rPr>
        <w:lastRenderedPageBreak/>
        <w:t>Probíhající stavbu sběrače A a výtlaku A ze  sběrače "B" i ČOV v Boleticích je nutno chápat jako nezbytnou I. etapu dostavby. Kanalizační systém města Děčína je převážně jednotný, jako jednotná kanalizace je budována i I. etapa.</w:t>
      </w:r>
    </w:p>
    <w:p w14:paraId="33453C87" w14:textId="77777777" w:rsidR="006031D6" w:rsidRPr="006031D6" w:rsidRDefault="006031D6" w:rsidP="006031D6">
      <w:pPr>
        <w:pStyle w:val="Zkladntext"/>
        <w:spacing w:before="120" w:line="288" w:lineRule="auto"/>
        <w:jc w:val="both"/>
        <w:rPr>
          <w:rFonts w:ascii="Arial" w:hAnsi="Arial" w:cs="Arial"/>
          <w:b/>
          <w:bCs/>
          <w:caps/>
          <w:sz w:val="22"/>
          <w:szCs w:val="22"/>
        </w:rPr>
      </w:pPr>
    </w:p>
    <w:p w14:paraId="022FD81F"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Popis I. etapy:</w:t>
      </w:r>
    </w:p>
    <w:p w14:paraId="0082BEE9"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sz w:val="22"/>
          <w:szCs w:val="22"/>
        </w:rPr>
        <w:t xml:space="preserve">Sběrač "A": </w:t>
      </w:r>
    </w:p>
    <w:p w14:paraId="32E2931D"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Sběrač začíná v hlavní čerpací stanici odpadních vod</w:t>
      </w:r>
      <w:r w:rsidRPr="006031D6">
        <w:rPr>
          <w:rFonts w:ascii="Arial" w:hAnsi="Arial" w:cs="Arial"/>
          <w:color w:val="FF0000"/>
          <w:sz w:val="22"/>
          <w:szCs w:val="22"/>
        </w:rPr>
        <w:t xml:space="preserve"> </w:t>
      </w:r>
      <w:r w:rsidRPr="006031D6">
        <w:rPr>
          <w:rFonts w:ascii="Arial" w:hAnsi="Arial" w:cs="Arial"/>
          <w:sz w:val="22"/>
          <w:szCs w:val="22"/>
        </w:rPr>
        <w:t>situované u vjezdu do přístavu Rozbělesy a vede podél Ústecké ulice až na křižovatku s ulicí J.Š.Baara, kde podchycuje stoku V.</w:t>
      </w:r>
    </w:p>
    <w:p w14:paraId="39329F4A"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Výtlačný řad "A" 2x DN600 začíná v ČSOV V. Trasa výtlaku podchází zimní přístav a vede v patě ochranné hráze přístavu. Dále prochází areálem Kovošrotu a pokračuje pruhem mezi starou a novou Ústeckou ulicí cca 250m. Zde se výtlak lomí a podchází silnici a Labe na pravý břeh. Po pravém břehu Labe vede výtlak po zemědělských pozemcích na čistírnu odpadních vod. Délka výtlaku je cca 3900m. V místech kanalizačních stok IV., III., II. budou čerpací stanice, které budou odpadní vody z těchto stok přečerpávat do výtlaku. ČSOV IV je situován na břehu Labe, ČSOV III je situována v areálu Kovošrotu a ČSOV II je situovaná v blízkosti Chrochvického potoka mezi novou a starou Ústeckou ulicí.</w:t>
      </w:r>
    </w:p>
    <w:p w14:paraId="6615A5D2"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sz w:val="22"/>
          <w:szCs w:val="22"/>
        </w:rPr>
        <w:t xml:space="preserve">Sběrač "B": </w:t>
      </w:r>
    </w:p>
    <w:p w14:paraId="678759D4"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Sběrač ústí do gravitační části sběrače "A" v Ústecké ulici, podchází areál Desty směrem ke břehu Labe. Podchod Labe je dvouramenná shybka o celkové délce 200m.</w:t>
      </w:r>
    </w:p>
    <w:p w14:paraId="4E8E1379"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Dále trasa sběrače vede směrem k  Rytířské ulici, kde je sběrač ukončen v regulační komoře. Celková délka sběrače B je cca 337m. Do sběrače B budou napojeny stoky XIV a XIII. Dále budou do sběrače B napojeny přečerpáním odpadní vody ze stoky XXIV a části stoky XX. čerpací stanicí odpadních vod Kamenická. Výtlačný řad z ČSOV Kamenická do sběrače B má délku 417m. Součástí stoky je i rekonstrukce stoky XXIV od náměstí Svobody do čerpací stanice.</w:t>
      </w:r>
    </w:p>
    <w:p w14:paraId="3B8DF3A8"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V přípravě jsou další stavby:</w:t>
      </w:r>
      <w:r w:rsidRPr="006031D6">
        <w:rPr>
          <w:rFonts w:ascii="Arial" w:hAnsi="Arial" w:cs="Arial"/>
          <w:b/>
          <w:bCs/>
          <w:sz w:val="22"/>
          <w:szCs w:val="22"/>
        </w:rPr>
        <w:t xml:space="preserve"> na pravém břehu Labe</w:t>
      </w:r>
      <w:r w:rsidRPr="006031D6">
        <w:rPr>
          <w:rFonts w:ascii="Arial" w:hAnsi="Arial" w:cs="Arial"/>
          <w:sz w:val="22"/>
          <w:szCs w:val="22"/>
        </w:rPr>
        <w:t xml:space="preserve"> se jedná o "Napojení kanalizace Nového města". Účelem této stavby je podchycení odpadních vod ze stávajících vyústí a jejich přečerpání do stoky XXIV propojené předchozí etapou na ČOV. V rámci stavby bude vybudován kombinovaný systém sběračů B1, B2 a B3 a dílčího výtlaku z čerpací stanice Plavební, který podchytí stoky XV., XVI., XVII., XVIII., XIX., XX., XXI., XXII. a převede do hlavní čerpací stanice Maroldova. Odtud výtlakem "V1" budou odpadní vody přečerpány do stoky do stoky XXIV.</w:t>
      </w:r>
    </w:p>
    <w:p w14:paraId="4FC940AF"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 xml:space="preserve">Na </w:t>
      </w:r>
      <w:r w:rsidRPr="006031D6">
        <w:rPr>
          <w:rFonts w:ascii="Arial" w:hAnsi="Arial" w:cs="Arial"/>
          <w:b/>
          <w:bCs/>
          <w:sz w:val="22"/>
          <w:szCs w:val="22"/>
        </w:rPr>
        <w:t>levém břehu Labe</w:t>
      </w:r>
      <w:r w:rsidRPr="006031D6">
        <w:rPr>
          <w:rFonts w:ascii="Arial" w:hAnsi="Arial" w:cs="Arial"/>
          <w:sz w:val="22"/>
          <w:szCs w:val="22"/>
        </w:rPr>
        <w:t xml:space="preserve"> se jedná o "napojení Teplické ulice". Účelem stavby je podchycení odpadních vod ze stávající vyústí stoky VI. pod Pastýřskou stěnou a přečerpání do nového sběrače B. Součástí této stavby je čerpací stanice odpadních vod Teplická, kam bude přepojena stávající stoka a výtlak odpadních vod V3 do sběrače B. Zbytek stoky slouží pro odkanalizování ulice Labské nábřeží bude sveden do čerpací stanice odpadních vod Pastýřská a výtlakem V4 budou odpadní vody z této části přečerpány do ČSOV Teplická. </w:t>
      </w:r>
    </w:p>
    <w:p w14:paraId="76C34C71"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lastRenderedPageBreak/>
        <w:t xml:space="preserve">Návazně na daný základ, který dá předpoklad k  integraci kanalizačního systému Děčína, se navrhují </w:t>
      </w:r>
      <w:r w:rsidRPr="006031D6">
        <w:rPr>
          <w:rFonts w:ascii="Arial" w:hAnsi="Arial" w:cs="Arial"/>
          <w:b/>
          <w:bCs/>
          <w:sz w:val="22"/>
          <w:szCs w:val="22"/>
        </w:rPr>
        <w:t>další následující úpravy a dostavby</w:t>
      </w:r>
      <w:r w:rsidRPr="006031D6">
        <w:rPr>
          <w:rFonts w:ascii="Arial" w:hAnsi="Arial" w:cs="Arial"/>
          <w:sz w:val="22"/>
          <w:szCs w:val="22"/>
        </w:rPr>
        <w:t>, jejichž účelem je vybudování kanalizace pokud možno ve všech částech města a převedení odpadních vod na ČOV v Boleticích:</w:t>
      </w:r>
    </w:p>
    <w:p w14:paraId="3D588735"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rekonstrukce kmenové stoky V. od konce nového úseku DN 1000 po křižovatku Podmokelské ulice s ulicí Čs. mládeže (bezvýkopovou technologií).</w:t>
      </w:r>
    </w:p>
    <w:p w14:paraId="0847D559"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 xml:space="preserve">vybudovat nový úsek stoky V. od křižovatky Písecké ulice s Teplickou v Bynově ulicí Na hrázi po křižovatku s ulicí Oseckou, kde se napojí na nový sběrač. Novou stoku se navrhuje vybudovat jako DN 800 jednotné kanalizace. </w:t>
      </w:r>
    </w:p>
    <w:p w14:paraId="46D069AF"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pro podchycení stok VII. (Jalůvčí, Přípeř), a vyústění navržené kanalizace z Červeného vrchu se navrhuje svedení odpadních vod do čerpacích stanic situovaných v sousedství vyústí a společným výtlačným řadem do čerpací stanice Pastýřská.</w:t>
      </w:r>
    </w:p>
    <w:p w14:paraId="44733AD0"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 xml:space="preserve">vybudování nové splaškové kanalizace v Křešicích a přečerpání do ČOV Boletice. </w:t>
      </w:r>
    </w:p>
    <w:p w14:paraId="13A4080B"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odpadní vody ze stoky XXV. po oddělení přečerpat do stoky XIV.</w:t>
      </w:r>
    </w:p>
    <w:p w14:paraId="16D5569B"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 xml:space="preserve">odpadní vody ze stoky XXVI. po oddělení přečerpat do stoky v Provaznické ulici. </w:t>
      </w:r>
    </w:p>
    <w:p w14:paraId="11682C2A"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 xml:space="preserve">vybudovat splaškovou kanalizaci ve Folknářích. </w:t>
      </w:r>
    </w:p>
    <w:p w14:paraId="6472EF0B"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v Březinách dobudovat splaškovou kanalizaci. Prvořadě podchytit část nové zástavby nedokonale čištěnou do přívodu na ČOV  Březiny. Po dožití ČOV (po návrhovém období) přečerpat splašky do nově navržené splaškové kanalizace v Benešovské ulici.</w:t>
      </w:r>
    </w:p>
    <w:p w14:paraId="28496425"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 xml:space="preserve">vybudovat splaškovou kanalizaci v Horním Oldřichově s napojením do stávající kanalizace na Teplické ulici (sběrač V.) a Oldřichovské ulici. </w:t>
      </w:r>
    </w:p>
    <w:p w14:paraId="2293AF8B"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vybudovat novou jednotnou kanalizaci ve Sněžnické ulici návazně na hotový úsek DN 600.</w:t>
      </w:r>
    </w:p>
    <w:p w14:paraId="16C221A5"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 xml:space="preserve">vybudovat oddílnou kanalizaci v Jalůvčí; splašky přečerpat do povodí stoky VII. </w:t>
      </w:r>
    </w:p>
    <w:p w14:paraId="3091689F"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 xml:space="preserve">vybudovat splaškovou kanalizaci v Bělé (po vybudování event. svést odpadní vody i z přilehlého povodí v Jalůvčí). </w:t>
      </w:r>
    </w:p>
    <w:p w14:paraId="55675FA5"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 xml:space="preserve">vybudovat splaškovou kanalizaci na Červeném vrchu. </w:t>
      </w:r>
    </w:p>
    <w:p w14:paraId="79CD2C82"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vybudovat splaškovou kanalizaci v Krásném Studenci a svést ji do sběrače III. nad SČE. Zároveň nutno rekonstruovat stoku III. v Krásnostudenecké a Novoměské ulici.</w:t>
      </w:r>
    </w:p>
    <w:p w14:paraId="4F3162D3"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vybudovat splaškovou kanalizaci ve Vilsnici a přečerpat do výtlaku A.</w:t>
      </w:r>
    </w:p>
    <w:p w14:paraId="34A90C33"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vybudovat splaškovou kanalizaci v Nebočadech a splašky přečerpat do kanalizace Boletice.</w:t>
      </w:r>
    </w:p>
    <w:p w14:paraId="5445C84F" w14:textId="77777777" w:rsidR="006031D6" w:rsidRPr="006031D6" w:rsidRDefault="006031D6" w:rsidP="006031D6">
      <w:pPr>
        <w:pStyle w:val="Zkladntext"/>
        <w:numPr>
          <w:ilvl w:val="0"/>
          <w:numId w:val="58"/>
        </w:numPr>
        <w:tabs>
          <w:tab w:val="left" w:pos="426"/>
          <w:tab w:val="left" w:pos="567"/>
        </w:tabs>
        <w:suppressAutoHyphens w:val="0"/>
        <w:autoSpaceDE w:val="0"/>
        <w:autoSpaceDN w:val="0"/>
        <w:adjustRightInd w:val="0"/>
        <w:spacing w:before="120" w:after="0" w:line="288" w:lineRule="auto"/>
        <w:ind w:left="426"/>
        <w:jc w:val="both"/>
        <w:rPr>
          <w:rFonts w:ascii="Arial" w:hAnsi="Arial" w:cs="Arial"/>
          <w:sz w:val="22"/>
          <w:szCs w:val="22"/>
        </w:rPr>
      </w:pPr>
      <w:r w:rsidRPr="006031D6">
        <w:rPr>
          <w:rFonts w:ascii="Arial" w:hAnsi="Arial" w:cs="Arial"/>
          <w:sz w:val="22"/>
          <w:szCs w:val="22"/>
        </w:rPr>
        <w:t>výstavba splaškové kanalizace v Chmelnici.</w:t>
      </w:r>
    </w:p>
    <w:p w14:paraId="142258FE"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sz w:val="22"/>
          <w:szCs w:val="22"/>
        </w:rPr>
        <w:t>Z daného přehledu je patrný obrovský rozsah prací pro dokončení celého kanalizačního systému tak, aby byly všechny odpadní vody odvedeny z celého sídelního útvaru k vyčištění.</w:t>
      </w:r>
    </w:p>
    <w:p w14:paraId="04BCB708"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sz w:val="22"/>
          <w:szCs w:val="22"/>
        </w:rPr>
        <w:t>Podrobný seznam dostavby je obsahem návrhu veřejně prospěšných staveb VH s uvedením charakterem kanalizace a uvedením i jednotlivě navrhovaných uličních stok (K1 – K41).</w:t>
      </w:r>
    </w:p>
    <w:p w14:paraId="56C66E91"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sz w:val="22"/>
          <w:szCs w:val="22"/>
        </w:rPr>
        <w:lastRenderedPageBreak/>
        <w:t>Požadovaný rozsah bytové výstavby v návrhovém období kromě základní I. etapy výstavby kanalizace, která zahrnuje ČOV, sběrač A a sběrač B a dále "napojení" kanalizace Nového města a napojení Teplické ulice podmiňují stavby uvedené v bodech a.) b.) c.) d.) g.) h.) ch.) i.) j.). Tento program je třeba chápat jako minimální k  realizaci do roku 2010.</w:t>
      </w:r>
    </w:p>
    <w:p w14:paraId="158CA784" w14:textId="77777777" w:rsidR="006031D6" w:rsidRPr="006031D6" w:rsidRDefault="006031D6" w:rsidP="006031D6">
      <w:pPr>
        <w:pStyle w:val="podnadpis2"/>
        <w:spacing w:before="120" w:after="0" w:line="288" w:lineRule="auto"/>
        <w:jc w:val="both"/>
        <w:rPr>
          <w:rFonts w:cs="Arial"/>
          <w:szCs w:val="22"/>
        </w:rPr>
      </w:pPr>
    </w:p>
    <w:p w14:paraId="50032993" w14:textId="77777777" w:rsidR="006031D6" w:rsidRPr="006031D6" w:rsidRDefault="006031D6" w:rsidP="006031D6">
      <w:pPr>
        <w:pStyle w:val="podnadpis2"/>
        <w:spacing w:before="120" w:after="0" w:line="288" w:lineRule="auto"/>
        <w:jc w:val="both"/>
        <w:rPr>
          <w:rFonts w:cs="Arial"/>
          <w:szCs w:val="22"/>
        </w:rPr>
      </w:pPr>
      <w:r w:rsidRPr="006031D6">
        <w:rPr>
          <w:rFonts w:cs="Arial"/>
          <w:szCs w:val="22"/>
        </w:rPr>
        <w:t xml:space="preserve">Rekonstrukce stávající kanalizační sítě </w:t>
      </w:r>
    </w:p>
    <w:p w14:paraId="245ED634" w14:textId="77777777" w:rsidR="006031D6" w:rsidRPr="006031D6" w:rsidRDefault="006031D6" w:rsidP="006031D6">
      <w:pPr>
        <w:pStyle w:val="Zkladntext"/>
        <w:spacing w:before="120" w:line="288" w:lineRule="auto"/>
        <w:ind w:firstLine="709"/>
        <w:jc w:val="both"/>
        <w:rPr>
          <w:rFonts w:ascii="Arial" w:hAnsi="Arial" w:cs="Arial"/>
          <w:sz w:val="22"/>
          <w:szCs w:val="22"/>
        </w:rPr>
      </w:pPr>
      <w:r w:rsidRPr="006031D6">
        <w:rPr>
          <w:rFonts w:ascii="Arial" w:hAnsi="Arial" w:cs="Arial"/>
          <w:sz w:val="22"/>
          <w:szCs w:val="22"/>
        </w:rPr>
        <w:t xml:space="preserve">Značná část uličních stok vyžaduje dle provozovatele rekonstrukci. Jedná se zejména o stoky v okrajových částech města (problematiku řeší navržené dostavby), a kanalizace v obou centrech, t.j. Podmoklech a v Děčíně. Zde je třeba přistoupit k rekonstrukci stávající sítě na základě podrobného průzkumu, kterým se určí nutný rozsah a způsob rekonstrukce. </w:t>
      </w:r>
    </w:p>
    <w:p w14:paraId="654C4EA6" w14:textId="77777777" w:rsidR="006031D6" w:rsidRPr="006031D6" w:rsidRDefault="006031D6" w:rsidP="006031D6">
      <w:pPr>
        <w:pStyle w:val="Zkladntext"/>
        <w:spacing w:before="120" w:line="288" w:lineRule="auto"/>
        <w:ind w:firstLine="708"/>
        <w:jc w:val="both"/>
        <w:rPr>
          <w:rFonts w:ascii="Arial" w:hAnsi="Arial" w:cs="Arial"/>
          <w:sz w:val="22"/>
          <w:szCs w:val="22"/>
        </w:rPr>
      </w:pPr>
    </w:p>
    <w:p w14:paraId="3B721444" w14:textId="77777777" w:rsidR="006031D6" w:rsidRPr="006031D6" w:rsidRDefault="006031D6" w:rsidP="006031D6">
      <w:pPr>
        <w:pStyle w:val="podnadpis2"/>
        <w:spacing w:before="120" w:after="0" w:line="288" w:lineRule="auto"/>
        <w:jc w:val="both"/>
        <w:rPr>
          <w:rFonts w:cs="Arial"/>
          <w:szCs w:val="22"/>
        </w:rPr>
      </w:pPr>
      <w:r w:rsidRPr="006031D6">
        <w:rPr>
          <w:rFonts w:cs="Arial"/>
          <w:szCs w:val="22"/>
        </w:rPr>
        <w:t>Problematika balastních vod</w:t>
      </w:r>
    </w:p>
    <w:p w14:paraId="22804601"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sz w:val="22"/>
          <w:szCs w:val="22"/>
        </w:rPr>
        <w:t xml:space="preserve">V řešeném SÚ se jedná dle provozovatele o následující lokality, kde jsou do kanalizačního systému napojeny povrchové vody. </w:t>
      </w:r>
    </w:p>
    <w:p w14:paraId="2E0A4AEA" w14:textId="77777777" w:rsidR="006031D6" w:rsidRPr="006031D6" w:rsidRDefault="006031D6" w:rsidP="006031D6">
      <w:pPr>
        <w:pStyle w:val="Zkladntext"/>
        <w:spacing w:before="120" w:line="288" w:lineRule="auto"/>
        <w:ind w:firstLine="708"/>
        <w:jc w:val="both"/>
        <w:rPr>
          <w:rFonts w:ascii="Arial" w:hAnsi="Arial" w:cs="Arial"/>
          <w:sz w:val="22"/>
          <w:szCs w:val="22"/>
        </w:rPr>
      </w:pPr>
    </w:p>
    <w:p w14:paraId="5BE8AF79"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Želenice</w:t>
      </w:r>
      <w:r w:rsidRPr="006031D6">
        <w:rPr>
          <w:rFonts w:ascii="Arial" w:hAnsi="Arial" w:cs="Arial"/>
          <w:sz w:val="22"/>
          <w:szCs w:val="22"/>
        </w:rPr>
        <w:t xml:space="preserve"> - napojení drenážního systému nad elektrárnou do stoky III. Navrhuje se vybudování dešťové stoky v daném místě, kterou budou podchyceny i povrchové odtoky a svedeny do Chrochvického potoka. </w:t>
      </w:r>
    </w:p>
    <w:p w14:paraId="08A0A534"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Letná</w:t>
      </w:r>
      <w:r w:rsidRPr="006031D6">
        <w:rPr>
          <w:rFonts w:ascii="Arial" w:hAnsi="Arial" w:cs="Arial"/>
          <w:sz w:val="22"/>
          <w:szCs w:val="22"/>
        </w:rPr>
        <w:t xml:space="preserve"> - extravilánové vody svedené do stoky v Slovanské ulici. Navrhuje se vybudování dešťové stoky svedené do Jílovského potoka. </w:t>
      </w:r>
    </w:p>
    <w:p w14:paraId="15EE731E"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Vilsnice</w:t>
      </w:r>
      <w:r w:rsidRPr="006031D6">
        <w:rPr>
          <w:rFonts w:ascii="Arial" w:hAnsi="Arial" w:cs="Arial"/>
          <w:sz w:val="22"/>
          <w:szCs w:val="22"/>
        </w:rPr>
        <w:t xml:space="preserve"> - Květinová ulice. Zde je navrženo vybudovat novou splaškovou kanalizaci. Starý systém bude sloužit pro odvedení povrchových a dešťových vod a nebude do sběrače A zaústěno. </w:t>
      </w:r>
    </w:p>
    <w:p w14:paraId="77C2F45A"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Staré Město</w:t>
      </w:r>
      <w:r w:rsidRPr="006031D6">
        <w:rPr>
          <w:rFonts w:ascii="Arial" w:hAnsi="Arial" w:cs="Arial"/>
          <w:sz w:val="22"/>
          <w:szCs w:val="22"/>
        </w:rPr>
        <w:t xml:space="preserve"> - místní vodoteč u závodu </w:t>
      </w:r>
      <w:r w:rsidRPr="006031D6">
        <w:rPr>
          <w:rFonts w:ascii="Arial" w:hAnsi="Arial" w:cs="Arial"/>
          <w:caps/>
          <w:sz w:val="22"/>
          <w:szCs w:val="22"/>
        </w:rPr>
        <w:t>Sempra</w:t>
      </w:r>
      <w:r w:rsidRPr="006031D6">
        <w:rPr>
          <w:rFonts w:ascii="Arial" w:hAnsi="Arial" w:cs="Arial"/>
          <w:sz w:val="22"/>
          <w:szCs w:val="22"/>
        </w:rPr>
        <w:t xml:space="preserve">. Navrhuje se podchycení a svedení do Ploučnice. </w:t>
      </w:r>
    </w:p>
    <w:p w14:paraId="0D251237"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Staré Město</w:t>
      </w:r>
      <w:r w:rsidRPr="006031D6">
        <w:rPr>
          <w:rFonts w:ascii="Arial" w:hAnsi="Arial" w:cs="Arial"/>
          <w:sz w:val="22"/>
          <w:szCs w:val="22"/>
        </w:rPr>
        <w:t xml:space="preserve"> - náhon z </w:t>
      </w:r>
      <w:r w:rsidRPr="006031D6">
        <w:rPr>
          <w:rFonts w:ascii="Arial" w:hAnsi="Arial" w:cs="Arial"/>
          <w:caps/>
          <w:sz w:val="22"/>
          <w:szCs w:val="22"/>
        </w:rPr>
        <w:t>Benaru</w:t>
      </w:r>
      <w:r w:rsidRPr="006031D6">
        <w:rPr>
          <w:rFonts w:ascii="Arial" w:hAnsi="Arial" w:cs="Arial"/>
          <w:sz w:val="22"/>
          <w:szCs w:val="22"/>
        </w:rPr>
        <w:t>, v Březové ulici není provozován a způsobuje problémy. Do stávajícího náhonu je nutné zabetonovat přítok a zrušit ho. Zbylou část povodí stáhnout do navržené dešťové stoky od Sempry.</w:t>
      </w:r>
    </w:p>
    <w:p w14:paraId="623882A6" w14:textId="77777777" w:rsidR="006031D6" w:rsidRPr="006031D6" w:rsidRDefault="006031D6" w:rsidP="006031D6">
      <w:pPr>
        <w:pStyle w:val="Zkladntext"/>
        <w:spacing w:before="120" w:line="288" w:lineRule="auto"/>
        <w:jc w:val="both"/>
        <w:rPr>
          <w:rFonts w:ascii="Arial" w:hAnsi="Arial" w:cs="Arial"/>
          <w:sz w:val="22"/>
          <w:szCs w:val="22"/>
        </w:rPr>
      </w:pPr>
    </w:p>
    <w:p w14:paraId="2CF8FCC3"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 xml:space="preserve">Bynov </w:t>
      </w:r>
      <w:r w:rsidRPr="006031D6">
        <w:rPr>
          <w:rFonts w:ascii="Arial" w:hAnsi="Arial" w:cs="Arial"/>
          <w:sz w:val="22"/>
          <w:szCs w:val="22"/>
        </w:rPr>
        <w:t xml:space="preserve">- zaústěný potok v ulici "U korkárny" je navrženo svést do nově navržené dešťové stoky a do Jílovského potoka. </w:t>
      </w:r>
    </w:p>
    <w:p w14:paraId="6705923D"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b/>
          <w:bCs/>
          <w:caps/>
          <w:sz w:val="22"/>
          <w:szCs w:val="22"/>
        </w:rPr>
        <w:t>boletice</w:t>
      </w:r>
      <w:r w:rsidRPr="006031D6">
        <w:rPr>
          <w:rFonts w:ascii="Arial" w:hAnsi="Arial" w:cs="Arial"/>
          <w:sz w:val="22"/>
          <w:szCs w:val="22"/>
        </w:rPr>
        <w:t xml:space="preserve"> </w:t>
      </w:r>
      <w:r w:rsidRPr="006031D6">
        <w:rPr>
          <w:rFonts w:ascii="Arial" w:hAnsi="Arial" w:cs="Arial"/>
          <w:b/>
          <w:bCs/>
          <w:sz w:val="22"/>
          <w:szCs w:val="22"/>
        </w:rPr>
        <w:t>n. L.</w:t>
      </w:r>
      <w:r w:rsidRPr="006031D6">
        <w:rPr>
          <w:rFonts w:ascii="Arial" w:hAnsi="Arial" w:cs="Arial"/>
          <w:sz w:val="22"/>
          <w:szCs w:val="22"/>
        </w:rPr>
        <w:t xml:space="preserve"> - vybudování příkopu podél Kostelní ul., podchycené povrchové odtoky svést do potoka. </w:t>
      </w:r>
    </w:p>
    <w:p w14:paraId="5BC82059"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sz w:val="22"/>
          <w:szCs w:val="22"/>
        </w:rPr>
        <w:t>Navržená řešení nejsou samoúčelná. V prostoru Vilsnice, Bynova, Letné a Želenic bude položen základ oddílné, v tomto případě dešťové kanalizace. Nezbytná je obnova dešťového odvodnění Oldřichov. Navrhuje se dešťové odvodnění Lesní cesty Bynov, dešťová kanalizace Červený vrch. Dešťová kanalizace v ulici Pod svahem, Odvodnění Březiny, odvodnění ulic Zabořova, Kotlářská, u Dvora.</w:t>
      </w:r>
    </w:p>
    <w:p w14:paraId="278DEFA5"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sz w:val="22"/>
          <w:szCs w:val="22"/>
        </w:rPr>
        <w:lastRenderedPageBreak/>
        <w:t>Dešťové odvodnění je navrženo i z potřeby ochrany zástavby před extravilánovými vodami. Podrobný seznam navrženého odvodnění je obsahem návrhu veřejně prospěšných staveb.</w:t>
      </w:r>
    </w:p>
    <w:p w14:paraId="0B2F4358" w14:textId="77777777" w:rsidR="006031D6" w:rsidRPr="006031D6" w:rsidRDefault="006031D6" w:rsidP="006031D6">
      <w:pPr>
        <w:pStyle w:val="Zkladntext"/>
        <w:spacing w:before="120" w:line="288" w:lineRule="auto"/>
        <w:ind w:firstLine="708"/>
        <w:jc w:val="both"/>
        <w:rPr>
          <w:rFonts w:ascii="Arial" w:hAnsi="Arial" w:cs="Arial"/>
          <w:sz w:val="22"/>
          <w:szCs w:val="22"/>
        </w:rPr>
      </w:pPr>
      <w:r w:rsidRPr="006031D6">
        <w:rPr>
          <w:rFonts w:ascii="Arial" w:hAnsi="Arial" w:cs="Arial"/>
          <w:b/>
          <w:bCs/>
          <w:sz w:val="22"/>
          <w:szCs w:val="22"/>
        </w:rPr>
        <w:t>V Lesné, Lesním Mlýnu, Velké Veleni, Loubí, Horním Žlebu, Prostředním Žlebu, Dolním Žlebu, Horním Chlumu a Maxičkách je navrženo řešit likvidaci odpadních vod individuelně v souladu s vodním zákonem.</w:t>
      </w:r>
    </w:p>
    <w:p w14:paraId="2F373580" w14:textId="77777777" w:rsidR="006031D6" w:rsidRDefault="006031D6" w:rsidP="006031D6">
      <w:pPr>
        <w:pStyle w:val="Zkladntext"/>
        <w:spacing w:before="120" w:line="288" w:lineRule="auto"/>
        <w:ind w:firstLine="708"/>
        <w:jc w:val="both"/>
        <w:rPr>
          <w:rFonts w:ascii="Arial" w:hAnsi="Arial" w:cs="Arial"/>
          <w:sz w:val="22"/>
          <w:szCs w:val="22"/>
        </w:rPr>
      </w:pPr>
    </w:p>
    <w:p w14:paraId="740C419E" w14:textId="77777777" w:rsidR="005179D3" w:rsidRDefault="005179D3" w:rsidP="006031D6">
      <w:pPr>
        <w:pStyle w:val="Zkladntext"/>
        <w:spacing w:before="120" w:line="288" w:lineRule="auto"/>
        <w:ind w:firstLine="708"/>
        <w:jc w:val="both"/>
        <w:rPr>
          <w:rFonts w:ascii="Arial" w:hAnsi="Arial" w:cs="Arial"/>
          <w:sz w:val="22"/>
          <w:szCs w:val="22"/>
        </w:rPr>
      </w:pPr>
    </w:p>
    <w:p w14:paraId="153E4D9A" w14:textId="77777777" w:rsidR="005179D3" w:rsidRPr="006031D6" w:rsidRDefault="005179D3" w:rsidP="006031D6">
      <w:pPr>
        <w:pStyle w:val="Zkladntext"/>
        <w:spacing w:before="120" w:line="288" w:lineRule="auto"/>
        <w:ind w:firstLine="708"/>
        <w:jc w:val="both"/>
        <w:rPr>
          <w:rFonts w:ascii="Arial" w:hAnsi="Arial" w:cs="Arial"/>
          <w:sz w:val="22"/>
          <w:szCs w:val="22"/>
        </w:rPr>
      </w:pPr>
    </w:p>
    <w:p w14:paraId="1233C286" w14:textId="77777777" w:rsidR="006031D6" w:rsidRPr="006031D6" w:rsidRDefault="006031D6" w:rsidP="006031D6">
      <w:pPr>
        <w:pStyle w:val="podnadpis1"/>
        <w:spacing w:line="240" w:lineRule="atLeast"/>
        <w:jc w:val="both"/>
        <w:rPr>
          <w:rFonts w:cs="Arial"/>
        </w:rPr>
      </w:pPr>
      <w:r w:rsidRPr="006031D6">
        <w:rPr>
          <w:rFonts w:cs="Arial"/>
          <w:sz w:val="48"/>
          <w:szCs w:val="48"/>
        </w:rPr>
        <w:t>ch. vodohospodářská koncepce napojení rozvojových ploch</w:t>
      </w:r>
    </w:p>
    <w:p w14:paraId="66BA3D48" w14:textId="77777777" w:rsidR="006031D6" w:rsidRPr="006031D6" w:rsidRDefault="006031D6" w:rsidP="006031D6">
      <w:pPr>
        <w:pStyle w:val="Zkladntext"/>
        <w:spacing w:line="240" w:lineRule="atLeast"/>
        <w:jc w:val="both"/>
        <w:rPr>
          <w:rFonts w:ascii="Arial" w:hAnsi="Arial" w:cs="Arial"/>
        </w:rPr>
      </w:pPr>
    </w:p>
    <w:p w14:paraId="11CDF29D" w14:textId="77777777" w:rsidR="006031D6" w:rsidRPr="006031D6" w:rsidRDefault="006031D6" w:rsidP="006031D6">
      <w:pPr>
        <w:pStyle w:val="podnadpis2"/>
        <w:spacing w:before="120" w:after="0" w:line="288" w:lineRule="auto"/>
        <w:jc w:val="both"/>
        <w:rPr>
          <w:rFonts w:cs="Arial"/>
          <w:szCs w:val="22"/>
        </w:rPr>
      </w:pPr>
      <w:r w:rsidRPr="006031D6">
        <w:rPr>
          <w:rFonts w:cs="Arial"/>
          <w:szCs w:val="22"/>
        </w:rPr>
        <w:tab/>
        <w:t>a. zásobování vodou</w:t>
      </w:r>
    </w:p>
    <w:p w14:paraId="24E12364" w14:textId="77777777" w:rsidR="006031D6" w:rsidRPr="006031D6" w:rsidRDefault="006031D6" w:rsidP="006031D6">
      <w:pPr>
        <w:pStyle w:val="podnadpis2"/>
        <w:spacing w:before="120" w:after="0" w:line="288" w:lineRule="auto"/>
        <w:jc w:val="both"/>
        <w:rPr>
          <w:rFonts w:cs="Arial"/>
          <w:szCs w:val="22"/>
        </w:rPr>
      </w:pPr>
      <w:r w:rsidRPr="006031D6">
        <w:rPr>
          <w:rFonts w:cs="Arial"/>
          <w:szCs w:val="22"/>
        </w:rPr>
        <w:tab/>
        <w:t>b. likvidace odpadních vod</w:t>
      </w:r>
    </w:p>
    <w:p w14:paraId="6C176933" w14:textId="77777777" w:rsidR="006031D6" w:rsidRPr="006031D6" w:rsidRDefault="006031D6" w:rsidP="006031D6">
      <w:pPr>
        <w:pStyle w:val="Zkladntext"/>
        <w:spacing w:before="120" w:line="288" w:lineRule="auto"/>
        <w:jc w:val="both"/>
        <w:rPr>
          <w:rFonts w:ascii="Arial" w:hAnsi="Arial" w:cs="Arial"/>
          <w:sz w:val="22"/>
          <w:szCs w:val="22"/>
        </w:rPr>
      </w:pPr>
      <w:r w:rsidRPr="006031D6">
        <w:rPr>
          <w:rFonts w:ascii="Arial" w:hAnsi="Arial" w:cs="Arial"/>
          <w:sz w:val="22"/>
          <w:szCs w:val="22"/>
        </w:rPr>
        <w:tab/>
      </w:r>
      <w:r w:rsidRPr="006031D6">
        <w:rPr>
          <w:rFonts w:ascii="Arial" w:hAnsi="Arial" w:cs="Arial"/>
          <w:b/>
          <w:bCs/>
          <w:caps/>
          <w:sz w:val="22"/>
          <w:szCs w:val="22"/>
        </w:rPr>
        <w:t>specifikace použitých zkratek</w:t>
      </w:r>
    </w:p>
    <w:tbl>
      <w:tblPr>
        <w:tblW w:w="0" w:type="auto"/>
        <w:jc w:val="center"/>
        <w:tblLayout w:type="fixed"/>
        <w:tblCellMar>
          <w:left w:w="30" w:type="dxa"/>
          <w:right w:w="30" w:type="dxa"/>
        </w:tblCellMar>
        <w:tblLook w:val="0000" w:firstRow="0" w:lastRow="0" w:firstColumn="0" w:lastColumn="0" w:noHBand="0" w:noVBand="0"/>
      </w:tblPr>
      <w:tblGrid>
        <w:gridCol w:w="914"/>
        <w:gridCol w:w="6905"/>
      </w:tblGrid>
      <w:tr w:rsidR="006031D6" w:rsidRPr="006031D6" w14:paraId="084CF3DB" w14:textId="77777777" w:rsidTr="002D2D45">
        <w:trPr>
          <w:jc w:val="center"/>
        </w:trPr>
        <w:tc>
          <w:tcPr>
            <w:tcW w:w="914" w:type="dxa"/>
            <w:tcBorders>
              <w:top w:val="nil"/>
              <w:left w:val="nil"/>
              <w:bottom w:val="nil"/>
              <w:right w:val="nil"/>
            </w:tcBorders>
          </w:tcPr>
          <w:p w14:paraId="592BBA5E" w14:textId="77777777" w:rsidR="006031D6" w:rsidRPr="006031D6" w:rsidRDefault="006031D6" w:rsidP="002D2D45">
            <w:pPr>
              <w:pStyle w:val="Texttabulky"/>
              <w:spacing w:before="60" w:line="288" w:lineRule="auto"/>
              <w:jc w:val="both"/>
              <w:rPr>
                <w:rFonts w:cs="Arial"/>
                <w:sz w:val="22"/>
                <w:szCs w:val="22"/>
              </w:rPr>
            </w:pPr>
            <w:r w:rsidRPr="006031D6">
              <w:rPr>
                <w:rFonts w:cs="Arial"/>
                <w:b/>
                <w:bCs/>
                <w:sz w:val="22"/>
                <w:szCs w:val="22"/>
              </w:rPr>
              <w:t>RD</w:t>
            </w:r>
          </w:p>
        </w:tc>
        <w:tc>
          <w:tcPr>
            <w:tcW w:w="6905" w:type="dxa"/>
            <w:tcBorders>
              <w:top w:val="nil"/>
              <w:left w:val="nil"/>
              <w:bottom w:val="nil"/>
              <w:right w:val="nil"/>
            </w:tcBorders>
          </w:tcPr>
          <w:p w14:paraId="7D999743" w14:textId="77777777" w:rsidR="006031D6" w:rsidRPr="006031D6" w:rsidRDefault="006031D6" w:rsidP="002D2D45">
            <w:pPr>
              <w:pStyle w:val="Texttabulky"/>
              <w:spacing w:before="60" w:line="288" w:lineRule="auto"/>
              <w:jc w:val="both"/>
              <w:rPr>
                <w:rFonts w:cs="Arial"/>
                <w:sz w:val="22"/>
                <w:szCs w:val="22"/>
              </w:rPr>
            </w:pPr>
            <w:r w:rsidRPr="006031D6">
              <w:rPr>
                <w:rFonts w:cs="Arial"/>
                <w:sz w:val="22"/>
                <w:szCs w:val="22"/>
              </w:rPr>
              <w:t>rodinný dům</w:t>
            </w:r>
          </w:p>
        </w:tc>
      </w:tr>
      <w:tr w:rsidR="006031D6" w:rsidRPr="006031D6" w14:paraId="1B0FF9D4" w14:textId="77777777" w:rsidTr="002D2D45">
        <w:trPr>
          <w:jc w:val="center"/>
        </w:trPr>
        <w:tc>
          <w:tcPr>
            <w:tcW w:w="914" w:type="dxa"/>
            <w:tcBorders>
              <w:top w:val="nil"/>
              <w:left w:val="nil"/>
              <w:bottom w:val="nil"/>
              <w:right w:val="nil"/>
            </w:tcBorders>
          </w:tcPr>
          <w:p w14:paraId="0B33DE9F" w14:textId="77777777" w:rsidR="006031D6" w:rsidRPr="006031D6" w:rsidRDefault="006031D6" w:rsidP="002D2D45">
            <w:pPr>
              <w:pStyle w:val="Texttabulky"/>
              <w:spacing w:before="60" w:line="288" w:lineRule="auto"/>
              <w:jc w:val="both"/>
              <w:rPr>
                <w:rFonts w:cs="Arial"/>
                <w:sz w:val="22"/>
                <w:szCs w:val="22"/>
              </w:rPr>
            </w:pPr>
            <w:r w:rsidRPr="006031D6">
              <w:rPr>
                <w:rFonts w:cs="Arial"/>
                <w:b/>
                <w:bCs/>
                <w:sz w:val="22"/>
                <w:szCs w:val="22"/>
              </w:rPr>
              <w:t>MD</w:t>
            </w:r>
          </w:p>
        </w:tc>
        <w:tc>
          <w:tcPr>
            <w:tcW w:w="6905" w:type="dxa"/>
            <w:tcBorders>
              <w:top w:val="nil"/>
              <w:left w:val="nil"/>
              <w:bottom w:val="nil"/>
              <w:right w:val="nil"/>
            </w:tcBorders>
          </w:tcPr>
          <w:p w14:paraId="5FF026DE" w14:textId="77777777" w:rsidR="006031D6" w:rsidRPr="006031D6" w:rsidRDefault="006031D6" w:rsidP="002D2D45">
            <w:pPr>
              <w:pStyle w:val="Texttabulky"/>
              <w:spacing w:before="60" w:line="288" w:lineRule="auto"/>
              <w:jc w:val="both"/>
              <w:rPr>
                <w:rFonts w:cs="Arial"/>
                <w:sz w:val="22"/>
                <w:szCs w:val="22"/>
              </w:rPr>
            </w:pPr>
            <w:r w:rsidRPr="006031D6">
              <w:rPr>
                <w:rFonts w:cs="Arial"/>
                <w:sz w:val="22"/>
                <w:szCs w:val="22"/>
              </w:rPr>
              <w:t>městský polyfunkční dům (trvalé bydlení + vybavenost, komerce)</w:t>
            </w:r>
          </w:p>
        </w:tc>
      </w:tr>
      <w:tr w:rsidR="006031D6" w:rsidRPr="006031D6" w14:paraId="60554622" w14:textId="77777777" w:rsidTr="002D2D45">
        <w:trPr>
          <w:jc w:val="center"/>
        </w:trPr>
        <w:tc>
          <w:tcPr>
            <w:tcW w:w="914" w:type="dxa"/>
            <w:tcBorders>
              <w:top w:val="nil"/>
              <w:left w:val="nil"/>
              <w:bottom w:val="nil"/>
              <w:right w:val="nil"/>
            </w:tcBorders>
          </w:tcPr>
          <w:p w14:paraId="4EEFF210" w14:textId="77777777" w:rsidR="006031D6" w:rsidRPr="006031D6" w:rsidRDefault="006031D6" w:rsidP="002D2D45">
            <w:pPr>
              <w:pStyle w:val="Texttabulky"/>
              <w:spacing w:before="60" w:line="288" w:lineRule="auto"/>
              <w:jc w:val="both"/>
              <w:rPr>
                <w:rFonts w:cs="Arial"/>
                <w:sz w:val="22"/>
                <w:szCs w:val="22"/>
              </w:rPr>
            </w:pPr>
            <w:r w:rsidRPr="006031D6">
              <w:rPr>
                <w:rFonts w:cs="Arial"/>
                <w:b/>
                <w:bCs/>
                <w:sz w:val="22"/>
                <w:szCs w:val="22"/>
              </w:rPr>
              <w:t>BD</w:t>
            </w:r>
          </w:p>
        </w:tc>
        <w:tc>
          <w:tcPr>
            <w:tcW w:w="6905" w:type="dxa"/>
            <w:tcBorders>
              <w:top w:val="nil"/>
              <w:left w:val="nil"/>
              <w:bottom w:val="nil"/>
              <w:right w:val="nil"/>
            </w:tcBorders>
          </w:tcPr>
          <w:p w14:paraId="6626248E" w14:textId="77777777" w:rsidR="006031D6" w:rsidRPr="006031D6" w:rsidRDefault="006031D6" w:rsidP="002D2D45">
            <w:pPr>
              <w:pStyle w:val="Texttabulky"/>
              <w:spacing w:before="60" w:line="288" w:lineRule="auto"/>
              <w:jc w:val="both"/>
              <w:rPr>
                <w:rFonts w:cs="Arial"/>
                <w:sz w:val="22"/>
                <w:szCs w:val="22"/>
              </w:rPr>
            </w:pPr>
            <w:r w:rsidRPr="006031D6">
              <w:rPr>
                <w:rFonts w:cs="Arial"/>
                <w:sz w:val="22"/>
                <w:szCs w:val="22"/>
              </w:rPr>
              <w:t>monofunkční bytový dům (čisté kolektivní bydlení)</w:t>
            </w:r>
          </w:p>
        </w:tc>
      </w:tr>
      <w:tr w:rsidR="006031D6" w:rsidRPr="006031D6" w14:paraId="4DE54BF2" w14:textId="77777777" w:rsidTr="002D2D45">
        <w:trPr>
          <w:jc w:val="center"/>
        </w:trPr>
        <w:tc>
          <w:tcPr>
            <w:tcW w:w="914" w:type="dxa"/>
            <w:tcBorders>
              <w:top w:val="nil"/>
              <w:left w:val="nil"/>
              <w:bottom w:val="nil"/>
              <w:right w:val="nil"/>
            </w:tcBorders>
          </w:tcPr>
          <w:p w14:paraId="42706B6E" w14:textId="77777777" w:rsidR="006031D6" w:rsidRPr="006031D6" w:rsidRDefault="006031D6" w:rsidP="002D2D45">
            <w:pPr>
              <w:pStyle w:val="Texttabulky"/>
              <w:spacing w:before="60" w:line="288" w:lineRule="auto"/>
              <w:jc w:val="both"/>
              <w:rPr>
                <w:rFonts w:cs="Arial"/>
                <w:sz w:val="22"/>
                <w:szCs w:val="22"/>
              </w:rPr>
            </w:pPr>
            <w:r w:rsidRPr="006031D6">
              <w:rPr>
                <w:rFonts w:cs="Arial"/>
                <w:b/>
                <w:bCs/>
                <w:sz w:val="22"/>
                <w:szCs w:val="22"/>
              </w:rPr>
              <w:t>OV</w:t>
            </w:r>
          </w:p>
        </w:tc>
        <w:tc>
          <w:tcPr>
            <w:tcW w:w="6905" w:type="dxa"/>
            <w:tcBorders>
              <w:top w:val="nil"/>
              <w:left w:val="nil"/>
              <w:bottom w:val="nil"/>
              <w:right w:val="nil"/>
            </w:tcBorders>
          </w:tcPr>
          <w:p w14:paraId="6DD63612" w14:textId="77777777" w:rsidR="006031D6" w:rsidRPr="006031D6" w:rsidRDefault="006031D6" w:rsidP="002D2D45">
            <w:pPr>
              <w:pStyle w:val="Texttabulky"/>
              <w:spacing w:before="60" w:line="288" w:lineRule="auto"/>
              <w:jc w:val="both"/>
              <w:rPr>
                <w:rFonts w:cs="Arial"/>
                <w:sz w:val="22"/>
                <w:szCs w:val="22"/>
              </w:rPr>
            </w:pPr>
            <w:r w:rsidRPr="006031D6">
              <w:rPr>
                <w:rFonts w:cs="Arial"/>
                <w:sz w:val="22"/>
                <w:szCs w:val="22"/>
              </w:rPr>
              <w:t xml:space="preserve">zařízení občanského vybavení  </w:t>
            </w:r>
          </w:p>
        </w:tc>
      </w:tr>
      <w:tr w:rsidR="006031D6" w:rsidRPr="006031D6" w14:paraId="12889C61" w14:textId="77777777" w:rsidTr="002D2D45">
        <w:trPr>
          <w:jc w:val="center"/>
        </w:trPr>
        <w:tc>
          <w:tcPr>
            <w:tcW w:w="914" w:type="dxa"/>
            <w:tcBorders>
              <w:top w:val="nil"/>
              <w:left w:val="nil"/>
              <w:bottom w:val="nil"/>
              <w:right w:val="nil"/>
            </w:tcBorders>
          </w:tcPr>
          <w:p w14:paraId="709F630B" w14:textId="77777777" w:rsidR="006031D6" w:rsidRPr="006031D6" w:rsidRDefault="006031D6" w:rsidP="002D2D45">
            <w:pPr>
              <w:pStyle w:val="Texttabulky"/>
              <w:spacing w:before="60" w:line="288" w:lineRule="auto"/>
              <w:jc w:val="both"/>
              <w:rPr>
                <w:rFonts w:cs="Arial"/>
                <w:sz w:val="22"/>
                <w:szCs w:val="22"/>
              </w:rPr>
            </w:pPr>
            <w:r w:rsidRPr="006031D6">
              <w:rPr>
                <w:rFonts w:cs="Arial"/>
                <w:b/>
                <w:bCs/>
                <w:sz w:val="22"/>
                <w:szCs w:val="22"/>
              </w:rPr>
              <w:t>R</w:t>
            </w:r>
          </w:p>
        </w:tc>
        <w:tc>
          <w:tcPr>
            <w:tcW w:w="6905" w:type="dxa"/>
            <w:tcBorders>
              <w:top w:val="nil"/>
              <w:left w:val="nil"/>
              <w:bottom w:val="nil"/>
              <w:right w:val="nil"/>
            </w:tcBorders>
          </w:tcPr>
          <w:p w14:paraId="2DA79EEC" w14:textId="77777777" w:rsidR="006031D6" w:rsidRPr="006031D6" w:rsidRDefault="006031D6" w:rsidP="002D2D45">
            <w:pPr>
              <w:pStyle w:val="Texttabulky"/>
              <w:spacing w:before="60" w:line="288" w:lineRule="auto"/>
              <w:jc w:val="both"/>
              <w:rPr>
                <w:rFonts w:cs="Arial"/>
                <w:sz w:val="22"/>
                <w:szCs w:val="22"/>
              </w:rPr>
            </w:pPr>
            <w:r w:rsidRPr="006031D6">
              <w:rPr>
                <w:rFonts w:cs="Arial"/>
                <w:sz w:val="22"/>
                <w:szCs w:val="22"/>
              </w:rPr>
              <w:t>lokalita realizována</w:t>
            </w:r>
          </w:p>
        </w:tc>
      </w:tr>
      <w:tr w:rsidR="006031D6" w:rsidRPr="006031D6" w14:paraId="7D572439" w14:textId="77777777" w:rsidTr="002D2D45">
        <w:trPr>
          <w:jc w:val="center"/>
        </w:trPr>
        <w:tc>
          <w:tcPr>
            <w:tcW w:w="914" w:type="dxa"/>
            <w:tcBorders>
              <w:top w:val="nil"/>
              <w:left w:val="nil"/>
              <w:bottom w:val="nil"/>
              <w:right w:val="nil"/>
            </w:tcBorders>
          </w:tcPr>
          <w:p w14:paraId="1DE3E425" w14:textId="77777777" w:rsidR="006031D6" w:rsidRPr="006031D6" w:rsidRDefault="006031D6" w:rsidP="002D2D45">
            <w:pPr>
              <w:pStyle w:val="Texttabulky"/>
              <w:spacing w:before="60" w:line="288" w:lineRule="auto"/>
              <w:jc w:val="both"/>
              <w:rPr>
                <w:rFonts w:cs="Arial"/>
                <w:sz w:val="22"/>
                <w:szCs w:val="22"/>
              </w:rPr>
            </w:pPr>
            <w:r w:rsidRPr="006031D6">
              <w:rPr>
                <w:rFonts w:cs="Arial"/>
                <w:b/>
                <w:bCs/>
                <w:sz w:val="22"/>
                <w:szCs w:val="22"/>
              </w:rPr>
              <w:t>V</w:t>
            </w:r>
          </w:p>
        </w:tc>
        <w:tc>
          <w:tcPr>
            <w:tcW w:w="6905" w:type="dxa"/>
            <w:tcBorders>
              <w:top w:val="nil"/>
              <w:left w:val="nil"/>
              <w:bottom w:val="nil"/>
              <w:right w:val="nil"/>
            </w:tcBorders>
          </w:tcPr>
          <w:p w14:paraId="4AB42E0A" w14:textId="77777777" w:rsidR="006031D6" w:rsidRPr="006031D6" w:rsidRDefault="006031D6" w:rsidP="002D2D45">
            <w:pPr>
              <w:pStyle w:val="Texttabulky"/>
              <w:spacing w:before="60" w:line="288" w:lineRule="auto"/>
              <w:jc w:val="both"/>
              <w:rPr>
                <w:rFonts w:cs="Arial"/>
                <w:sz w:val="22"/>
                <w:szCs w:val="22"/>
              </w:rPr>
            </w:pPr>
            <w:r w:rsidRPr="006031D6">
              <w:rPr>
                <w:rFonts w:cs="Arial"/>
                <w:sz w:val="22"/>
                <w:szCs w:val="22"/>
              </w:rPr>
              <w:t>výhledová územní rezerva</w:t>
            </w:r>
          </w:p>
        </w:tc>
      </w:tr>
      <w:tr w:rsidR="006031D6" w:rsidRPr="006031D6" w14:paraId="4B47B900" w14:textId="77777777" w:rsidTr="002D2D45">
        <w:trPr>
          <w:jc w:val="center"/>
        </w:trPr>
        <w:tc>
          <w:tcPr>
            <w:tcW w:w="914" w:type="dxa"/>
            <w:tcBorders>
              <w:top w:val="nil"/>
              <w:left w:val="nil"/>
              <w:bottom w:val="nil"/>
              <w:right w:val="nil"/>
            </w:tcBorders>
          </w:tcPr>
          <w:p w14:paraId="1315A2CF" w14:textId="77777777" w:rsidR="006031D6" w:rsidRPr="006031D6" w:rsidRDefault="006031D6" w:rsidP="002D2D45">
            <w:pPr>
              <w:pStyle w:val="Texttabulky"/>
              <w:spacing w:before="60" w:line="288" w:lineRule="auto"/>
              <w:jc w:val="both"/>
              <w:rPr>
                <w:rFonts w:cs="Arial"/>
                <w:sz w:val="22"/>
                <w:szCs w:val="22"/>
              </w:rPr>
            </w:pPr>
            <w:r w:rsidRPr="006031D6">
              <w:rPr>
                <w:rFonts w:cs="Arial"/>
                <w:b/>
                <w:bCs/>
                <w:sz w:val="22"/>
                <w:szCs w:val="22"/>
              </w:rPr>
              <w:t>P</w:t>
            </w:r>
          </w:p>
        </w:tc>
        <w:tc>
          <w:tcPr>
            <w:tcW w:w="6905" w:type="dxa"/>
            <w:tcBorders>
              <w:top w:val="nil"/>
              <w:left w:val="nil"/>
              <w:bottom w:val="nil"/>
              <w:right w:val="nil"/>
            </w:tcBorders>
          </w:tcPr>
          <w:p w14:paraId="40139BAB" w14:textId="77777777" w:rsidR="006031D6" w:rsidRPr="006031D6" w:rsidRDefault="006031D6" w:rsidP="002D2D45">
            <w:pPr>
              <w:pStyle w:val="Texttabulky"/>
              <w:spacing w:before="60" w:line="288" w:lineRule="auto"/>
              <w:jc w:val="both"/>
              <w:rPr>
                <w:rFonts w:cs="Arial"/>
                <w:sz w:val="22"/>
                <w:szCs w:val="22"/>
              </w:rPr>
            </w:pPr>
            <w:r w:rsidRPr="006031D6">
              <w:rPr>
                <w:rFonts w:cs="Arial"/>
                <w:sz w:val="22"/>
                <w:szCs w:val="22"/>
              </w:rPr>
              <w:t>povrchové stání - parkoviště</w:t>
            </w:r>
          </w:p>
        </w:tc>
      </w:tr>
      <w:tr w:rsidR="006031D6" w:rsidRPr="006031D6" w14:paraId="4FD79D37" w14:textId="77777777" w:rsidTr="002D2D45">
        <w:trPr>
          <w:jc w:val="center"/>
        </w:trPr>
        <w:tc>
          <w:tcPr>
            <w:tcW w:w="914" w:type="dxa"/>
            <w:tcBorders>
              <w:top w:val="nil"/>
              <w:left w:val="nil"/>
              <w:bottom w:val="nil"/>
              <w:right w:val="nil"/>
            </w:tcBorders>
          </w:tcPr>
          <w:p w14:paraId="19911297" w14:textId="77777777" w:rsidR="006031D6" w:rsidRPr="006031D6" w:rsidRDefault="006031D6" w:rsidP="002D2D45">
            <w:pPr>
              <w:pStyle w:val="Texttabulky"/>
              <w:spacing w:before="60" w:line="288" w:lineRule="auto"/>
              <w:jc w:val="both"/>
              <w:rPr>
                <w:rFonts w:cs="Arial"/>
                <w:sz w:val="22"/>
                <w:szCs w:val="22"/>
              </w:rPr>
            </w:pPr>
            <w:r w:rsidRPr="006031D6">
              <w:rPr>
                <w:rFonts w:cs="Arial"/>
                <w:b/>
                <w:bCs/>
                <w:sz w:val="22"/>
                <w:szCs w:val="22"/>
              </w:rPr>
              <w:t>PP</w:t>
            </w:r>
          </w:p>
        </w:tc>
        <w:tc>
          <w:tcPr>
            <w:tcW w:w="6905" w:type="dxa"/>
            <w:tcBorders>
              <w:top w:val="nil"/>
              <w:left w:val="nil"/>
              <w:bottom w:val="nil"/>
              <w:right w:val="nil"/>
            </w:tcBorders>
          </w:tcPr>
          <w:p w14:paraId="6D82D94F" w14:textId="77777777" w:rsidR="006031D6" w:rsidRPr="006031D6" w:rsidRDefault="006031D6" w:rsidP="002D2D45">
            <w:pPr>
              <w:pStyle w:val="Texttabulky"/>
              <w:spacing w:before="60" w:line="288" w:lineRule="auto"/>
              <w:jc w:val="both"/>
              <w:rPr>
                <w:rFonts w:cs="Arial"/>
                <w:sz w:val="22"/>
                <w:szCs w:val="22"/>
              </w:rPr>
            </w:pPr>
            <w:r w:rsidRPr="006031D6">
              <w:rPr>
                <w:rFonts w:cs="Arial"/>
                <w:sz w:val="22"/>
                <w:szCs w:val="22"/>
              </w:rPr>
              <w:t>podzemní stání - parkoviště, garáže</w:t>
            </w:r>
          </w:p>
        </w:tc>
      </w:tr>
      <w:tr w:rsidR="006031D6" w:rsidRPr="006031D6" w14:paraId="4EEE1142" w14:textId="77777777" w:rsidTr="002D2D45">
        <w:trPr>
          <w:jc w:val="center"/>
        </w:trPr>
        <w:tc>
          <w:tcPr>
            <w:tcW w:w="914" w:type="dxa"/>
            <w:tcBorders>
              <w:top w:val="nil"/>
              <w:left w:val="nil"/>
              <w:bottom w:val="nil"/>
              <w:right w:val="nil"/>
            </w:tcBorders>
          </w:tcPr>
          <w:p w14:paraId="1DB72804" w14:textId="77777777" w:rsidR="006031D6" w:rsidRPr="006031D6" w:rsidRDefault="006031D6" w:rsidP="002D2D45">
            <w:pPr>
              <w:pStyle w:val="Texttabulky"/>
              <w:spacing w:before="60" w:line="288" w:lineRule="auto"/>
              <w:jc w:val="both"/>
              <w:rPr>
                <w:rFonts w:cs="Arial"/>
                <w:sz w:val="22"/>
                <w:szCs w:val="22"/>
              </w:rPr>
            </w:pPr>
            <w:r w:rsidRPr="006031D6">
              <w:rPr>
                <w:rFonts w:cs="Arial"/>
                <w:b/>
                <w:bCs/>
                <w:sz w:val="22"/>
                <w:szCs w:val="22"/>
              </w:rPr>
              <w:t>HG</w:t>
            </w:r>
          </w:p>
        </w:tc>
        <w:tc>
          <w:tcPr>
            <w:tcW w:w="6905" w:type="dxa"/>
            <w:tcBorders>
              <w:top w:val="nil"/>
              <w:left w:val="nil"/>
              <w:bottom w:val="nil"/>
              <w:right w:val="nil"/>
            </w:tcBorders>
          </w:tcPr>
          <w:p w14:paraId="1686DD8C" w14:textId="77777777" w:rsidR="006031D6" w:rsidRPr="006031D6" w:rsidRDefault="006031D6" w:rsidP="002D2D45">
            <w:pPr>
              <w:pStyle w:val="Texttabulky"/>
              <w:spacing w:before="60" w:line="288" w:lineRule="auto"/>
              <w:jc w:val="both"/>
              <w:rPr>
                <w:rFonts w:cs="Arial"/>
                <w:sz w:val="22"/>
                <w:szCs w:val="22"/>
              </w:rPr>
            </w:pPr>
            <w:r w:rsidRPr="006031D6">
              <w:rPr>
                <w:rFonts w:cs="Arial"/>
                <w:sz w:val="22"/>
                <w:szCs w:val="22"/>
              </w:rPr>
              <w:t>halová garáž</w:t>
            </w:r>
          </w:p>
        </w:tc>
      </w:tr>
      <w:tr w:rsidR="006031D6" w:rsidRPr="006031D6" w14:paraId="2314A670" w14:textId="77777777" w:rsidTr="002D2D45">
        <w:trPr>
          <w:jc w:val="center"/>
        </w:trPr>
        <w:tc>
          <w:tcPr>
            <w:tcW w:w="914" w:type="dxa"/>
            <w:tcBorders>
              <w:top w:val="nil"/>
              <w:left w:val="nil"/>
              <w:bottom w:val="nil"/>
              <w:right w:val="nil"/>
            </w:tcBorders>
          </w:tcPr>
          <w:p w14:paraId="1E19032B" w14:textId="77777777" w:rsidR="006031D6" w:rsidRPr="006031D6" w:rsidRDefault="006031D6" w:rsidP="002D2D45">
            <w:pPr>
              <w:pStyle w:val="Texttabulky"/>
              <w:spacing w:before="60" w:line="288" w:lineRule="auto"/>
              <w:jc w:val="both"/>
              <w:rPr>
                <w:rFonts w:cs="Arial"/>
                <w:sz w:val="22"/>
                <w:szCs w:val="22"/>
              </w:rPr>
            </w:pPr>
            <w:r w:rsidRPr="006031D6">
              <w:rPr>
                <w:rFonts w:cs="Arial"/>
                <w:b/>
                <w:bCs/>
                <w:sz w:val="22"/>
                <w:szCs w:val="22"/>
              </w:rPr>
              <w:t>b.j.</w:t>
            </w:r>
          </w:p>
        </w:tc>
        <w:tc>
          <w:tcPr>
            <w:tcW w:w="6905" w:type="dxa"/>
            <w:tcBorders>
              <w:top w:val="nil"/>
              <w:left w:val="nil"/>
              <w:bottom w:val="nil"/>
              <w:right w:val="nil"/>
            </w:tcBorders>
          </w:tcPr>
          <w:p w14:paraId="409B5B91" w14:textId="77777777" w:rsidR="006031D6" w:rsidRPr="006031D6" w:rsidRDefault="006031D6" w:rsidP="002D2D45">
            <w:pPr>
              <w:pStyle w:val="Texttabulky"/>
              <w:spacing w:before="60" w:line="288" w:lineRule="auto"/>
              <w:jc w:val="both"/>
              <w:rPr>
                <w:rFonts w:cs="Arial"/>
                <w:sz w:val="22"/>
                <w:szCs w:val="22"/>
              </w:rPr>
            </w:pPr>
            <w:r w:rsidRPr="006031D6">
              <w:rPr>
                <w:rFonts w:cs="Arial"/>
                <w:sz w:val="22"/>
                <w:szCs w:val="22"/>
              </w:rPr>
              <w:t>bytová jednotka</w:t>
            </w:r>
          </w:p>
        </w:tc>
      </w:tr>
      <w:tr w:rsidR="006031D6" w:rsidRPr="006031D6" w14:paraId="26F8B8EE" w14:textId="77777777" w:rsidTr="002D2D45">
        <w:trPr>
          <w:jc w:val="center"/>
        </w:trPr>
        <w:tc>
          <w:tcPr>
            <w:tcW w:w="914" w:type="dxa"/>
            <w:tcBorders>
              <w:top w:val="nil"/>
              <w:left w:val="nil"/>
              <w:bottom w:val="nil"/>
              <w:right w:val="nil"/>
            </w:tcBorders>
          </w:tcPr>
          <w:p w14:paraId="6A41EB94" w14:textId="77777777" w:rsidR="006031D6" w:rsidRPr="006031D6" w:rsidRDefault="006031D6" w:rsidP="002D2D45">
            <w:pPr>
              <w:pStyle w:val="Texttabulky"/>
              <w:spacing w:before="60" w:line="288" w:lineRule="auto"/>
              <w:jc w:val="both"/>
              <w:rPr>
                <w:rFonts w:cs="Arial"/>
                <w:sz w:val="22"/>
                <w:szCs w:val="22"/>
              </w:rPr>
            </w:pPr>
            <w:r w:rsidRPr="006031D6">
              <w:rPr>
                <w:rFonts w:cs="Arial"/>
                <w:b/>
                <w:bCs/>
                <w:sz w:val="22"/>
                <w:szCs w:val="22"/>
              </w:rPr>
              <w:t>prac.</w:t>
            </w:r>
          </w:p>
        </w:tc>
        <w:tc>
          <w:tcPr>
            <w:tcW w:w="6905" w:type="dxa"/>
            <w:tcBorders>
              <w:top w:val="nil"/>
              <w:left w:val="nil"/>
              <w:bottom w:val="nil"/>
              <w:right w:val="nil"/>
            </w:tcBorders>
          </w:tcPr>
          <w:p w14:paraId="7DF7853F" w14:textId="77777777" w:rsidR="006031D6" w:rsidRPr="006031D6" w:rsidRDefault="006031D6" w:rsidP="002D2D45">
            <w:pPr>
              <w:pStyle w:val="Texttabulky"/>
              <w:spacing w:before="60" w:line="288" w:lineRule="auto"/>
              <w:jc w:val="both"/>
              <w:rPr>
                <w:rFonts w:cs="Arial"/>
                <w:sz w:val="22"/>
                <w:szCs w:val="22"/>
              </w:rPr>
            </w:pPr>
            <w:r w:rsidRPr="006031D6">
              <w:rPr>
                <w:rFonts w:cs="Arial"/>
                <w:sz w:val="22"/>
                <w:szCs w:val="22"/>
              </w:rPr>
              <w:t>pracovní místo</w:t>
            </w:r>
          </w:p>
          <w:p w14:paraId="1BBFC517" w14:textId="77777777" w:rsidR="006031D6" w:rsidRPr="006031D6" w:rsidRDefault="006031D6" w:rsidP="002D2D45">
            <w:pPr>
              <w:pStyle w:val="Texttabulky"/>
              <w:spacing w:before="60" w:line="288" w:lineRule="auto"/>
              <w:jc w:val="both"/>
              <w:rPr>
                <w:rFonts w:cs="Arial"/>
                <w:sz w:val="22"/>
                <w:szCs w:val="22"/>
              </w:rPr>
            </w:pPr>
          </w:p>
        </w:tc>
      </w:tr>
    </w:tbl>
    <w:p w14:paraId="2EDB576E" w14:textId="77777777" w:rsidR="006031D6" w:rsidRPr="006031D6" w:rsidRDefault="006031D6" w:rsidP="006031D6">
      <w:pPr>
        <w:pStyle w:val="Zkladntext"/>
        <w:spacing w:line="240" w:lineRule="atLeast"/>
        <w:jc w:val="both"/>
        <w:rPr>
          <w:rFonts w:ascii="Arial" w:hAnsi="Arial" w:cs="Arial"/>
        </w:rPr>
      </w:pPr>
    </w:p>
    <w:p w14:paraId="2FB5F00D" w14:textId="77777777" w:rsidR="006031D6" w:rsidRDefault="006031D6" w:rsidP="006031D6">
      <w:pPr>
        <w:pStyle w:val="Zkladntext"/>
        <w:spacing w:line="240" w:lineRule="atLeast"/>
        <w:jc w:val="both"/>
        <w:rPr>
          <w:rFonts w:ascii="Arial" w:hAnsi="Arial" w:cs="Arial"/>
        </w:rPr>
      </w:pPr>
    </w:p>
    <w:p w14:paraId="71C6FB6F" w14:textId="77777777" w:rsidR="006031D6" w:rsidRDefault="006031D6" w:rsidP="006031D6">
      <w:pPr>
        <w:pStyle w:val="Zkladntext"/>
        <w:spacing w:line="240" w:lineRule="atLeast"/>
        <w:jc w:val="both"/>
        <w:rPr>
          <w:rFonts w:ascii="Arial" w:hAnsi="Arial" w:cs="Arial"/>
        </w:rPr>
      </w:pPr>
    </w:p>
    <w:p w14:paraId="79A8D3EC" w14:textId="77777777" w:rsidR="006031D6" w:rsidRDefault="006031D6" w:rsidP="006031D6">
      <w:pPr>
        <w:pStyle w:val="Zkladntext"/>
        <w:spacing w:line="240" w:lineRule="atLeast"/>
        <w:jc w:val="both"/>
        <w:rPr>
          <w:rFonts w:ascii="Arial" w:hAnsi="Arial" w:cs="Arial"/>
        </w:rPr>
      </w:pPr>
    </w:p>
    <w:p w14:paraId="5CD6F5A6" w14:textId="77777777" w:rsidR="006031D6" w:rsidRDefault="006031D6" w:rsidP="006031D6">
      <w:pPr>
        <w:pStyle w:val="Zkladntext"/>
        <w:spacing w:line="240" w:lineRule="atLeast"/>
        <w:jc w:val="both"/>
        <w:rPr>
          <w:rFonts w:ascii="Arial" w:hAnsi="Arial" w:cs="Arial"/>
        </w:rPr>
      </w:pPr>
    </w:p>
    <w:p w14:paraId="3D9AD751" w14:textId="77777777" w:rsidR="006031D6" w:rsidRDefault="006031D6" w:rsidP="006031D6">
      <w:pPr>
        <w:pStyle w:val="Zkladntext"/>
        <w:spacing w:line="240" w:lineRule="atLeast"/>
        <w:jc w:val="both"/>
        <w:rPr>
          <w:rFonts w:ascii="Arial" w:hAnsi="Arial" w:cs="Arial"/>
        </w:rPr>
      </w:pPr>
    </w:p>
    <w:p w14:paraId="78431B7C" w14:textId="77777777" w:rsidR="006031D6" w:rsidRPr="006031D6" w:rsidRDefault="006031D6" w:rsidP="006031D6">
      <w:pPr>
        <w:pStyle w:val="Zkladntext"/>
        <w:spacing w:line="240" w:lineRule="atLeast"/>
        <w:jc w:val="both"/>
        <w:rPr>
          <w:rFonts w:ascii="Arial" w:hAnsi="Arial" w:cs="Arial"/>
        </w:rPr>
      </w:pPr>
      <w:r w:rsidRPr="006031D6">
        <w:rPr>
          <w:rFonts w:ascii="Arial" w:hAnsi="Arial" w:cs="Arial"/>
          <w:noProof/>
          <w:lang w:eastAsia="cs-CZ"/>
        </w:rPr>
        <w:drawing>
          <wp:anchor distT="0" distB="0" distL="114300" distR="114300" simplePos="0" relativeHeight="251730944" behindDoc="0" locked="0" layoutInCell="1" allowOverlap="1" wp14:anchorId="08A1B4D8" wp14:editId="3EA36802">
            <wp:simplePos x="0" y="0"/>
            <wp:positionH relativeFrom="margin">
              <wp:posOffset>4445</wp:posOffset>
            </wp:positionH>
            <wp:positionV relativeFrom="margin">
              <wp:posOffset>-160655</wp:posOffset>
            </wp:positionV>
            <wp:extent cx="6134100" cy="8254365"/>
            <wp:effectExtent l="0" t="0" r="0" b="0"/>
            <wp:wrapSquare wrapText="bothSides"/>
            <wp:docPr id="34990" name="Obrázek 34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6134100" cy="82543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8254D0"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noProof/>
          <w:lang w:eastAsia="cs-CZ"/>
        </w:rPr>
        <w:lastRenderedPageBreak/>
        <w:drawing>
          <wp:anchor distT="0" distB="0" distL="114300" distR="114300" simplePos="0" relativeHeight="251731968" behindDoc="0" locked="0" layoutInCell="1" allowOverlap="1" wp14:anchorId="1DD9EEA5" wp14:editId="4CA4E238">
            <wp:simplePos x="0" y="0"/>
            <wp:positionH relativeFrom="margin">
              <wp:posOffset>0</wp:posOffset>
            </wp:positionH>
            <wp:positionV relativeFrom="margin">
              <wp:posOffset>-108585</wp:posOffset>
            </wp:positionV>
            <wp:extent cx="6456045" cy="8159750"/>
            <wp:effectExtent l="0" t="0" r="1905" b="0"/>
            <wp:wrapSquare wrapText="bothSides"/>
            <wp:docPr id="34989" name="Obrázek 34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6456045" cy="8159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FC97A3" w14:textId="77777777" w:rsidR="006031D6" w:rsidRDefault="006031D6" w:rsidP="006031D6">
      <w:pPr>
        <w:tabs>
          <w:tab w:val="decimal" w:pos="72"/>
          <w:tab w:val="decimal" w:pos="144"/>
          <w:tab w:val="left" w:pos="1234"/>
        </w:tabs>
        <w:spacing w:before="120" w:line="288" w:lineRule="auto"/>
        <w:ind w:left="72"/>
        <w:jc w:val="both"/>
        <w:rPr>
          <w:rFonts w:ascii="Arial" w:hAnsi="Arial" w:cs="Arial"/>
          <w:sz w:val="22"/>
          <w:szCs w:val="22"/>
        </w:rPr>
      </w:pPr>
      <w:r w:rsidRPr="006031D6">
        <w:rPr>
          <w:rFonts w:ascii="Arial" w:hAnsi="Arial" w:cs="Arial"/>
          <w:sz w:val="22"/>
          <w:szCs w:val="22"/>
        </w:rPr>
        <w:tab/>
      </w:r>
      <w:r w:rsidRPr="006031D6">
        <w:rPr>
          <w:rFonts w:ascii="Arial" w:hAnsi="Arial" w:cs="Arial"/>
          <w:sz w:val="22"/>
          <w:szCs w:val="22"/>
        </w:rPr>
        <w:tab/>
      </w:r>
    </w:p>
    <w:p w14:paraId="58522D84" w14:textId="77777777" w:rsidR="006031D6" w:rsidRDefault="006031D6" w:rsidP="006031D6">
      <w:pPr>
        <w:tabs>
          <w:tab w:val="decimal" w:pos="72"/>
          <w:tab w:val="decimal" w:pos="144"/>
          <w:tab w:val="left" w:pos="1234"/>
        </w:tabs>
        <w:spacing w:before="120" w:line="288" w:lineRule="auto"/>
        <w:ind w:left="72"/>
        <w:jc w:val="both"/>
        <w:rPr>
          <w:rFonts w:ascii="Arial" w:hAnsi="Arial" w:cs="Arial"/>
          <w:sz w:val="22"/>
          <w:szCs w:val="22"/>
        </w:rPr>
      </w:pPr>
      <w:r w:rsidRPr="006031D6">
        <w:rPr>
          <w:rFonts w:ascii="Arial" w:hAnsi="Arial" w:cs="Arial"/>
          <w:noProof/>
          <w:lang w:eastAsia="cs-CZ"/>
        </w:rPr>
        <w:lastRenderedPageBreak/>
        <w:drawing>
          <wp:anchor distT="0" distB="0" distL="114300" distR="114300" simplePos="0" relativeHeight="251732992" behindDoc="0" locked="0" layoutInCell="1" allowOverlap="1" wp14:anchorId="6C87539C" wp14:editId="1E9F7CA3">
            <wp:simplePos x="0" y="0"/>
            <wp:positionH relativeFrom="margin">
              <wp:align>center</wp:align>
            </wp:positionH>
            <wp:positionV relativeFrom="margin">
              <wp:align>top</wp:align>
            </wp:positionV>
            <wp:extent cx="6268720" cy="8124190"/>
            <wp:effectExtent l="0" t="0" r="0" b="0"/>
            <wp:wrapSquare wrapText="bothSides"/>
            <wp:docPr id="34988" name="Obrázek 34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6268720" cy="81241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3A910F8" w14:textId="77777777" w:rsidR="006031D6" w:rsidRPr="006031D6" w:rsidRDefault="006031D6" w:rsidP="006031D6">
      <w:pPr>
        <w:tabs>
          <w:tab w:val="decimal" w:pos="72"/>
          <w:tab w:val="decimal" w:pos="144"/>
          <w:tab w:val="left" w:pos="1234"/>
        </w:tabs>
        <w:spacing w:before="120" w:line="288" w:lineRule="auto"/>
        <w:ind w:left="72"/>
        <w:jc w:val="both"/>
        <w:rPr>
          <w:rFonts w:ascii="Arial" w:hAnsi="Arial" w:cs="Arial"/>
          <w:sz w:val="22"/>
          <w:szCs w:val="22"/>
        </w:rPr>
      </w:pPr>
    </w:p>
    <w:p w14:paraId="67FCE923" w14:textId="77777777" w:rsid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p>
    <w:p w14:paraId="6C88C4E5"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r w:rsidRPr="006031D6">
        <w:rPr>
          <w:rFonts w:ascii="Arial" w:hAnsi="Arial" w:cs="Arial"/>
          <w:noProof/>
          <w:lang w:eastAsia="cs-CZ"/>
        </w:rPr>
        <w:drawing>
          <wp:anchor distT="0" distB="0" distL="114300" distR="114300" simplePos="0" relativeHeight="251734016" behindDoc="0" locked="0" layoutInCell="1" allowOverlap="1" wp14:anchorId="677D4185" wp14:editId="4B477005">
            <wp:simplePos x="0" y="0"/>
            <wp:positionH relativeFrom="margin">
              <wp:posOffset>-91440</wp:posOffset>
            </wp:positionH>
            <wp:positionV relativeFrom="margin">
              <wp:posOffset>-114300</wp:posOffset>
            </wp:positionV>
            <wp:extent cx="6473190" cy="8295005"/>
            <wp:effectExtent l="0" t="0" r="3810" b="0"/>
            <wp:wrapSquare wrapText="bothSides"/>
            <wp:docPr id="34987" name="Obrázek 349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6473190" cy="82950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F67595" w14:textId="77777777" w:rsid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p>
    <w:p w14:paraId="6B09C0A6"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r w:rsidRPr="006031D6">
        <w:rPr>
          <w:rFonts w:ascii="Arial" w:hAnsi="Arial" w:cs="Arial"/>
          <w:noProof/>
          <w:lang w:eastAsia="cs-CZ"/>
        </w:rPr>
        <w:drawing>
          <wp:anchor distT="0" distB="0" distL="114300" distR="114300" simplePos="0" relativeHeight="251735040" behindDoc="0" locked="0" layoutInCell="1" allowOverlap="1" wp14:anchorId="0EA14E74" wp14:editId="5D4B7B6D">
            <wp:simplePos x="0" y="0"/>
            <wp:positionH relativeFrom="margin">
              <wp:posOffset>-97790</wp:posOffset>
            </wp:positionH>
            <wp:positionV relativeFrom="margin">
              <wp:posOffset>-130175</wp:posOffset>
            </wp:positionV>
            <wp:extent cx="6345555" cy="8266430"/>
            <wp:effectExtent l="0" t="0" r="0" b="1270"/>
            <wp:wrapSquare wrapText="bothSides"/>
            <wp:docPr id="34986" name="Obrázek 34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6345555" cy="82664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30933E" w14:textId="77777777" w:rsid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p>
    <w:p w14:paraId="128DA3F1"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r w:rsidRPr="006031D6">
        <w:rPr>
          <w:rFonts w:ascii="Arial" w:hAnsi="Arial" w:cs="Arial"/>
          <w:noProof/>
          <w:lang w:eastAsia="cs-CZ"/>
        </w:rPr>
        <w:drawing>
          <wp:anchor distT="0" distB="0" distL="114300" distR="114300" simplePos="0" relativeHeight="251736064" behindDoc="0" locked="0" layoutInCell="1" allowOverlap="1" wp14:anchorId="33CAE2C9" wp14:editId="096AF8DD">
            <wp:simplePos x="0" y="0"/>
            <wp:positionH relativeFrom="margin">
              <wp:posOffset>-130810</wp:posOffset>
            </wp:positionH>
            <wp:positionV relativeFrom="margin">
              <wp:posOffset>-195580</wp:posOffset>
            </wp:positionV>
            <wp:extent cx="6422390" cy="8382635"/>
            <wp:effectExtent l="0" t="0" r="0" b="0"/>
            <wp:wrapSquare wrapText="bothSides"/>
            <wp:docPr id="34985" name="Obrázek 34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6422390" cy="83826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D7161D"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r w:rsidRPr="006031D6">
        <w:rPr>
          <w:rFonts w:ascii="Arial" w:hAnsi="Arial" w:cs="Arial"/>
          <w:noProof/>
          <w:lang w:eastAsia="cs-CZ"/>
        </w:rPr>
        <w:lastRenderedPageBreak/>
        <w:drawing>
          <wp:anchor distT="0" distB="0" distL="114300" distR="114300" simplePos="0" relativeHeight="251737088" behindDoc="0" locked="0" layoutInCell="1" allowOverlap="1" wp14:anchorId="67D9E078" wp14:editId="2C853F8D">
            <wp:simplePos x="0" y="0"/>
            <wp:positionH relativeFrom="margin">
              <wp:posOffset>-109855</wp:posOffset>
            </wp:positionH>
            <wp:positionV relativeFrom="margin">
              <wp:posOffset>-98425</wp:posOffset>
            </wp:positionV>
            <wp:extent cx="6426835" cy="8289925"/>
            <wp:effectExtent l="0" t="0" r="0" b="0"/>
            <wp:wrapSquare wrapText="bothSides"/>
            <wp:docPr id="34984" name="Obrázek 34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6426835" cy="8289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782DE6" w14:textId="77777777" w:rsid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p>
    <w:p w14:paraId="2985C8D1" w14:textId="77777777" w:rsid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p>
    <w:p w14:paraId="0C75C1EF"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r w:rsidRPr="006031D6">
        <w:rPr>
          <w:rFonts w:ascii="Arial" w:hAnsi="Arial" w:cs="Arial"/>
          <w:noProof/>
          <w:lang w:eastAsia="cs-CZ"/>
        </w:rPr>
        <w:drawing>
          <wp:anchor distT="0" distB="0" distL="114300" distR="114300" simplePos="0" relativeHeight="251738112" behindDoc="0" locked="0" layoutInCell="1" allowOverlap="1" wp14:anchorId="0EE3C38A" wp14:editId="52D14B44">
            <wp:simplePos x="0" y="0"/>
            <wp:positionH relativeFrom="margin">
              <wp:posOffset>-114300</wp:posOffset>
            </wp:positionH>
            <wp:positionV relativeFrom="margin">
              <wp:posOffset>-195580</wp:posOffset>
            </wp:positionV>
            <wp:extent cx="6329045" cy="8368665"/>
            <wp:effectExtent l="0" t="0" r="0" b="0"/>
            <wp:wrapSquare wrapText="bothSides"/>
            <wp:docPr id="34983" name="Obrázek 34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6329045" cy="83686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9DB6A8" w14:textId="77777777" w:rsid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p>
    <w:p w14:paraId="697513C9"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r w:rsidRPr="006031D6">
        <w:rPr>
          <w:rFonts w:ascii="Arial" w:hAnsi="Arial" w:cs="Arial"/>
          <w:noProof/>
          <w:lang w:eastAsia="cs-CZ"/>
        </w:rPr>
        <w:drawing>
          <wp:anchor distT="0" distB="0" distL="114300" distR="114300" simplePos="0" relativeHeight="251739136" behindDoc="0" locked="0" layoutInCell="1" allowOverlap="1" wp14:anchorId="42414A24" wp14:editId="5DC62A22">
            <wp:simplePos x="0" y="0"/>
            <wp:positionH relativeFrom="margin">
              <wp:posOffset>-93345</wp:posOffset>
            </wp:positionH>
            <wp:positionV relativeFrom="margin">
              <wp:posOffset>-147320</wp:posOffset>
            </wp:positionV>
            <wp:extent cx="6400800" cy="8322310"/>
            <wp:effectExtent l="0" t="0" r="0" b="2540"/>
            <wp:wrapSquare wrapText="bothSides"/>
            <wp:docPr id="34982" name="Obrázek 34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6400800" cy="83223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84EE2B"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r w:rsidRPr="006031D6">
        <w:rPr>
          <w:rFonts w:ascii="Arial" w:hAnsi="Arial" w:cs="Arial"/>
          <w:noProof/>
          <w:lang w:eastAsia="cs-CZ"/>
        </w:rPr>
        <w:lastRenderedPageBreak/>
        <w:drawing>
          <wp:anchor distT="0" distB="0" distL="114300" distR="114300" simplePos="0" relativeHeight="251740160" behindDoc="0" locked="0" layoutInCell="1" allowOverlap="1" wp14:anchorId="164B3924" wp14:editId="5EDBC4F0">
            <wp:simplePos x="0" y="0"/>
            <wp:positionH relativeFrom="margin">
              <wp:posOffset>0</wp:posOffset>
            </wp:positionH>
            <wp:positionV relativeFrom="margin">
              <wp:posOffset>-207010</wp:posOffset>
            </wp:positionV>
            <wp:extent cx="3851910" cy="8340090"/>
            <wp:effectExtent l="0" t="0" r="0" b="3810"/>
            <wp:wrapSquare wrapText="bothSides"/>
            <wp:docPr id="34981" name="Obrázek 34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3851910" cy="83400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B1D3E4"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sz w:val="22"/>
          <w:szCs w:val="22"/>
        </w:rPr>
      </w:pPr>
    </w:p>
    <w:p w14:paraId="521ABDB9" w14:textId="77777777" w:rsidR="006031D6" w:rsidRPr="006031D6" w:rsidRDefault="006031D6" w:rsidP="006031D6">
      <w:pPr>
        <w:tabs>
          <w:tab w:val="decimal" w:pos="72"/>
          <w:tab w:val="decimal" w:pos="144"/>
          <w:tab w:val="left" w:pos="1491"/>
        </w:tabs>
        <w:spacing w:before="120" w:line="288" w:lineRule="auto"/>
        <w:ind w:left="72"/>
        <w:jc w:val="both"/>
        <w:rPr>
          <w:rFonts w:ascii="Arial" w:hAnsi="Arial" w:cs="Arial"/>
          <w:sz w:val="22"/>
          <w:szCs w:val="22"/>
        </w:rPr>
      </w:pPr>
      <w:r w:rsidRPr="006031D6">
        <w:rPr>
          <w:rFonts w:ascii="Arial" w:hAnsi="Arial" w:cs="Arial"/>
          <w:sz w:val="22"/>
          <w:szCs w:val="22"/>
        </w:rPr>
        <w:tab/>
      </w:r>
      <w:r w:rsidRPr="006031D6">
        <w:rPr>
          <w:rFonts w:ascii="Arial" w:hAnsi="Arial" w:cs="Arial"/>
          <w:sz w:val="22"/>
          <w:szCs w:val="22"/>
        </w:rPr>
        <w:tab/>
      </w:r>
    </w:p>
    <w:p w14:paraId="66ED51A0"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rPr>
      </w:pPr>
      <w:r w:rsidRPr="006031D6">
        <w:rPr>
          <w:rFonts w:ascii="Arial" w:hAnsi="Arial" w:cs="Arial"/>
          <w:sz w:val="22"/>
          <w:szCs w:val="22"/>
        </w:rPr>
        <w:br w:type="page"/>
      </w:r>
      <w:r w:rsidRPr="006031D6">
        <w:rPr>
          <w:rFonts w:ascii="Arial" w:hAnsi="Arial" w:cs="Arial"/>
          <w:b/>
          <w:color w:val="00B050"/>
          <w:spacing w:val="3"/>
        </w:rPr>
        <w:lastRenderedPageBreak/>
        <w:t>(Z1) KONCEPCE VODNÍHO HOSPODÁŘSTVÍ, ODKANALIZOVÁNÍ</w:t>
      </w:r>
    </w:p>
    <w:p w14:paraId="396144C9"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VODNÍ TOKY A PLOCHY, ÚPRAVA ODTOKOVÝCH POMĚRŮ</w:t>
      </w:r>
    </w:p>
    <w:p w14:paraId="6398AECE"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Navržené změny návrhu ÚPn, t.j. změny funkcí některých lokalit či doplnění o další lokality se nedotýkají původního rozsahu navržených úprav toků. Přesunem některých lokalit k dřívější realizaci narůstá zároveň aktuálnost navržených úprav vodotečí, v jejichž povodí se má výstavba uskutečnit (CHROCHVICKY POTOK, JELENÍ POTOK). Dále na některých lokalitách, v jejichž dosahu není vodní tok pro odvedení dešťových vod, je nezbytné připravit zásady pro realizaci, které při dodržení maximální míře omezí povrchový odtok. Přednostně je nutno regulovat rozsah zpevněných ploch s povrchovým odtokem a zajistit retenci a infiltraci vod v území (STARÉ MĚSTO, CHMELNICE, FOLKNARE). Pro tyto účely je žádoucí typ zástavby, kde jednotlivé objekty jsou izolované v zahradách.</w:t>
      </w:r>
    </w:p>
    <w:p w14:paraId="7377023A"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Všechny řešené lokality v rámci 1. změny ÚPn jsou mimo možný dosah záplav vodotečí, neboť jsou situovány vysoko nad niveletami toků. Výjimku tvoří lokalita č. 9, která leží na okraji záplavového území Labe, vymezené záplavovou čarou Q 100.</w:t>
      </w:r>
    </w:p>
    <w:p w14:paraId="379D72C4"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VODOU</w:t>
      </w:r>
    </w:p>
    <w:p w14:paraId="2E48A13F"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pitnou vodou</w:t>
      </w:r>
    </w:p>
    <w:p w14:paraId="335EB1C6" w14:textId="77777777" w:rsidR="006031D6" w:rsidRPr="006031D6" w:rsidRDefault="006031D6" w:rsidP="006031D6">
      <w:pPr>
        <w:tabs>
          <w:tab w:val="decimal" w:pos="144"/>
          <w:tab w:val="decimal" w:pos="567"/>
          <w:tab w:val="right" w:pos="2679"/>
        </w:tabs>
        <w:spacing w:before="120" w:line="288" w:lineRule="auto"/>
        <w:ind w:left="72"/>
        <w:jc w:val="both"/>
        <w:rPr>
          <w:rFonts w:ascii="Arial" w:hAnsi="Arial" w:cs="Arial"/>
          <w:color w:val="00B050"/>
          <w:spacing w:val="3"/>
          <w:sz w:val="22"/>
          <w:szCs w:val="22"/>
        </w:rPr>
      </w:pPr>
      <w:r w:rsidRPr="006031D6">
        <w:rPr>
          <w:rFonts w:ascii="Arial" w:hAnsi="Arial" w:cs="Arial"/>
          <w:color w:val="00B050"/>
          <w:spacing w:val="3"/>
          <w:sz w:val="22"/>
          <w:szCs w:val="22"/>
        </w:rPr>
        <w:tab/>
        <w:t>Navržené změny se ve větší míře nedotýkají původního koncepčního řešení zásobování pitnou vodou.</w:t>
      </w:r>
    </w:p>
    <w:p w14:paraId="52D6C222"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Zdrojové zajištění, velikost akumulací</w:t>
      </w:r>
    </w:p>
    <w:p w14:paraId="13E27DF4" w14:textId="77777777" w:rsidR="006031D6" w:rsidRPr="006031D6" w:rsidRDefault="006031D6" w:rsidP="006031D6">
      <w:pPr>
        <w:tabs>
          <w:tab w:val="decimal" w:pos="709"/>
          <w:tab w:val="right" w:pos="2679"/>
        </w:tabs>
        <w:spacing w:before="120" w:line="288" w:lineRule="auto"/>
        <w:ind w:left="72"/>
        <w:jc w:val="both"/>
        <w:rPr>
          <w:rFonts w:ascii="Arial" w:hAnsi="Arial" w:cs="Arial"/>
          <w:color w:val="00B050"/>
          <w:spacing w:val="3"/>
          <w:sz w:val="22"/>
          <w:szCs w:val="22"/>
        </w:rPr>
      </w:pPr>
      <w:r w:rsidRPr="006031D6">
        <w:rPr>
          <w:rFonts w:ascii="Arial" w:hAnsi="Arial" w:cs="Arial"/>
          <w:color w:val="00B050"/>
          <w:spacing w:val="3"/>
          <w:sz w:val="22"/>
          <w:szCs w:val="22"/>
        </w:rPr>
        <w:t>Navržené změny se bilance potřeb dotýkají v zanedbatelné míře a to v řádu 1 - 2 1/5.</w:t>
      </w:r>
    </w:p>
    <w:p w14:paraId="7306A6D2" w14:textId="77777777" w:rsidR="006031D6" w:rsidRPr="006031D6" w:rsidRDefault="006031D6" w:rsidP="006031D6">
      <w:pPr>
        <w:tabs>
          <w:tab w:val="decimal" w:pos="709"/>
          <w:tab w:val="right" w:pos="2679"/>
        </w:tabs>
        <w:spacing w:before="120" w:line="288" w:lineRule="auto"/>
        <w:ind w:left="72"/>
        <w:jc w:val="both"/>
        <w:rPr>
          <w:rFonts w:ascii="Arial" w:hAnsi="Arial" w:cs="Arial"/>
          <w:color w:val="00B050"/>
          <w:spacing w:val="3"/>
          <w:sz w:val="22"/>
          <w:szCs w:val="22"/>
        </w:rPr>
      </w:pPr>
      <w:r w:rsidRPr="006031D6">
        <w:rPr>
          <w:rFonts w:ascii="Arial" w:hAnsi="Arial" w:cs="Arial"/>
          <w:color w:val="00B050"/>
          <w:spacing w:val="3"/>
          <w:sz w:val="22"/>
          <w:szCs w:val="22"/>
        </w:rPr>
        <w:t>Krytí potřeb pitné vody nových lokalit lze zajistit v rámci zdrojové i akumulační rezervy skupinového vodovodu Děčín. Separátně je řešena lokalita ve VELKÉ VELENI.</w:t>
      </w:r>
    </w:p>
    <w:p w14:paraId="613AB46F"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užitkovou vodou</w:t>
      </w:r>
    </w:p>
    <w:p w14:paraId="2428E0C4" w14:textId="77777777" w:rsidR="006031D6" w:rsidRPr="006031D6" w:rsidRDefault="006031D6" w:rsidP="006031D6">
      <w:pPr>
        <w:tabs>
          <w:tab w:val="decimal" w:pos="72"/>
          <w:tab w:val="decimal" w:pos="144"/>
          <w:tab w:val="right" w:pos="2679"/>
        </w:tabs>
        <w:spacing w:before="120" w:line="288" w:lineRule="auto"/>
        <w:ind w:firstLine="495"/>
        <w:jc w:val="both"/>
        <w:rPr>
          <w:rFonts w:ascii="Arial" w:hAnsi="Arial" w:cs="Arial"/>
          <w:color w:val="00B050"/>
          <w:spacing w:val="3"/>
          <w:sz w:val="22"/>
          <w:szCs w:val="22"/>
        </w:rPr>
      </w:pPr>
      <w:r w:rsidRPr="006031D6">
        <w:rPr>
          <w:rFonts w:ascii="Arial" w:hAnsi="Arial" w:cs="Arial"/>
          <w:color w:val="00B050"/>
          <w:spacing w:val="3"/>
          <w:sz w:val="22"/>
          <w:szCs w:val="22"/>
        </w:rPr>
        <w:t>Změny ÚPn nemají vliv na původní koncepci řešení zásobování užitkovou vodou.</w:t>
      </w:r>
    </w:p>
    <w:p w14:paraId="4F437BE5"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Odkanalizování, čištění odpadních vod</w:t>
      </w:r>
    </w:p>
    <w:p w14:paraId="6AF4DEF9" w14:textId="77777777" w:rsidR="006031D6" w:rsidRPr="006031D6" w:rsidRDefault="006031D6" w:rsidP="006031D6">
      <w:pPr>
        <w:tabs>
          <w:tab w:val="decimal" w:pos="709"/>
          <w:tab w:val="decimal" w:pos="851"/>
          <w:tab w:val="right" w:pos="2679"/>
        </w:tabs>
        <w:spacing w:before="120" w:line="288" w:lineRule="auto"/>
        <w:ind w:left="72"/>
        <w:jc w:val="both"/>
        <w:rPr>
          <w:rFonts w:ascii="Arial" w:hAnsi="Arial" w:cs="Arial"/>
          <w:color w:val="00B050"/>
          <w:spacing w:val="3"/>
          <w:sz w:val="22"/>
          <w:szCs w:val="22"/>
        </w:rPr>
      </w:pPr>
      <w:r w:rsidRPr="006031D6">
        <w:rPr>
          <w:rFonts w:ascii="Arial" w:hAnsi="Arial" w:cs="Arial"/>
          <w:color w:val="00B050"/>
          <w:spacing w:val="3"/>
          <w:sz w:val="22"/>
          <w:szCs w:val="22"/>
        </w:rPr>
        <w:t xml:space="preserve">Navržené změny nevyvolávají změnu původní koncepce dostavby kanalizace </w:t>
      </w:r>
      <w:r w:rsidRPr="00870044">
        <w:rPr>
          <w:rFonts w:ascii="Arial" w:hAnsi="Arial" w:cs="Arial"/>
          <w:color w:val="00B050"/>
          <w:spacing w:val="3"/>
          <w:sz w:val="22"/>
          <w:szCs w:val="22"/>
        </w:rPr>
        <w:t>Děčína.</w:t>
      </w:r>
      <w:r w:rsidRPr="006031D6">
        <w:rPr>
          <w:rFonts w:ascii="Arial" w:hAnsi="Arial" w:cs="Arial"/>
          <w:color w:val="00B050"/>
          <w:spacing w:val="3"/>
          <w:sz w:val="22"/>
          <w:szCs w:val="22"/>
        </w:rPr>
        <w:t xml:space="preserve"> Všechny lokality, kromě lokality č. 6. - VELKA VELEN lze technicky napojit, do stávající, či plánované kanalizace (podmínkou je její realizace jak je navrženo v ÚPn z roku 2002) a přivést odpadní vody z nich na COV Děčín k vyčištění. Změny nemají praktický vliv na kapacitní vytížení hlavních sběračů a čištění odpadních vod.</w:t>
      </w:r>
    </w:p>
    <w:p w14:paraId="4F1AEE0B" w14:textId="77777777" w:rsidR="006031D6" w:rsidRPr="006031D6" w:rsidRDefault="006031D6" w:rsidP="006031D6">
      <w:pPr>
        <w:tabs>
          <w:tab w:val="decimal" w:pos="709"/>
          <w:tab w:val="decimal" w:pos="851"/>
          <w:tab w:val="right" w:pos="2679"/>
        </w:tabs>
        <w:spacing w:before="120" w:line="288" w:lineRule="auto"/>
        <w:ind w:left="72"/>
        <w:jc w:val="both"/>
        <w:rPr>
          <w:rFonts w:ascii="Arial" w:hAnsi="Arial" w:cs="Arial"/>
          <w:color w:val="00B050"/>
          <w:spacing w:val="3"/>
          <w:sz w:val="22"/>
          <w:szCs w:val="22"/>
        </w:rPr>
      </w:pPr>
      <w:r w:rsidRPr="006031D6">
        <w:rPr>
          <w:rFonts w:ascii="Arial" w:hAnsi="Arial" w:cs="Arial"/>
          <w:color w:val="00B050"/>
          <w:spacing w:val="3"/>
          <w:sz w:val="22"/>
          <w:szCs w:val="22"/>
        </w:rPr>
        <w:t>Podmínkou je důsledné budování oddílných kanalizací, kterým se zamezí přívodu dalších dešťových vod do kanalizace a na COV. Do kanalizace budou napojovány pouze splaškové vody. Podrobněji je navržená koncepce odkanalizování uvedena u jednotlivých lokalit.</w:t>
      </w:r>
    </w:p>
    <w:p w14:paraId="572AF1F0" w14:textId="77777777" w:rsid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p>
    <w:p w14:paraId="25906B24" w14:textId="77777777" w:rsid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p>
    <w:p w14:paraId="306B0D96" w14:textId="77777777" w:rsid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p>
    <w:p w14:paraId="15F4EE3D"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p>
    <w:p w14:paraId="70645D38" w14:textId="77777777" w:rsidR="006031D6" w:rsidRPr="006031D6" w:rsidRDefault="006031D6" w:rsidP="006031D6">
      <w:pPr>
        <w:keepNext/>
        <w:tabs>
          <w:tab w:val="decimal" w:pos="72"/>
          <w:tab w:val="decimal" w:pos="144"/>
          <w:tab w:val="right" w:pos="2679"/>
        </w:tabs>
        <w:spacing w:before="120" w:line="288" w:lineRule="auto"/>
        <w:ind w:left="74"/>
        <w:jc w:val="both"/>
        <w:rPr>
          <w:rFonts w:ascii="Arial" w:hAnsi="Arial" w:cs="Arial"/>
          <w:b/>
          <w:color w:val="00B050"/>
          <w:spacing w:val="3"/>
          <w:sz w:val="22"/>
          <w:szCs w:val="22"/>
        </w:rPr>
      </w:pPr>
      <w:r w:rsidRPr="006031D6">
        <w:rPr>
          <w:rFonts w:ascii="Arial" w:hAnsi="Arial" w:cs="Arial"/>
          <w:b/>
          <w:color w:val="00B050"/>
          <w:spacing w:val="3"/>
          <w:sz w:val="22"/>
          <w:szCs w:val="22"/>
        </w:rPr>
        <w:lastRenderedPageBreak/>
        <w:t>VODOHOSPODÁŘSKÉ ŘEŠENÍ JEDNOTLIVÝCH LOKALIT</w:t>
      </w:r>
    </w:p>
    <w:p w14:paraId="55591CFC"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LOKALITA č. 1. - STARÁ CHMELNICE</w:t>
      </w:r>
    </w:p>
    <w:p w14:paraId="56B9E243"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Odtokové poměry</w:t>
      </w:r>
    </w:p>
    <w:p w14:paraId="342A01B4"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Lokalita je mimo dosah velkých vod. Pod uvažovanou plochou je horní úsek malého občasného potoka, který je ve správě „Zemědělské vodohospodářské správy Ústi nad Labem“(veden u správce pod číslem 6).</w:t>
      </w:r>
    </w:p>
    <w:p w14:paraId="4A90164E"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V UPN bylo navrženo celé koryto zkapacitnit, v současné době má malou průchodnost. Toto řešení je nadále platné s tím, že by koryto mělo být prodlouženo podél komunikace pod lokalitou tak, aby bezpečně odvádělo vody z povodí nad zástavbou. Dešťové vody z lokality je třeba podchycovat a likvidovat na pozemcích jednotlivými stavebníky.</w:t>
      </w:r>
    </w:p>
    <w:p w14:paraId="14B485DB"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pitnou vodou</w:t>
      </w:r>
    </w:p>
    <w:p w14:paraId="6C7FDC07"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 xml:space="preserve">Potřeba lokality QM=0,19 l/s; QH=2,5 l/s. </w:t>
      </w:r>
    </w:p>
    <w:p w14:paraId="0028DE99"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Napojit lze na vodovod pro veřejnou potřebu. Nezbytná je výstavba nového výtlačného řadu DN 90 od vodojemu VILSNICE n.p. k již vybudovanému novějšímu kapacitnímu řadu DN 90 vedoucímu pod lokalitu. Na tento nový řad bude lokalita napojena.</w:t>
      </w:r>
    </w:p>
    <w:p w14:paraId="3AF05658"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Odkanalizování</w:t>
      </w:r>
    </w:p>
    <w:p w14:paraId="312D41BE"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Odkanalizování bude řešeno oddílnou kanalizací. Pro lokalitu bude realizována nová splašková stoka podél komunikace „V LUKÁCH“ (návrh ÚPN z roku 2002). Tato stoka bude svedena do plánovaného přepojení VILSNICE a CHROCHV IC na centrální ČOV. Realizace přepojení podmiňuje výstavbu na této lokalitě s ohledem na nemožné vypouštění čištěných odpadních vod do místní vodoteče, která má pouze občasný charakter.</w:t>
      </w:r>
    </w:p>
    <w:p w14:paraId="303FDABC"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1CB7276E"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LOKALITA č. 2. - KŘEŠICE</w:t>
      </w:r>
    </w:p>
    <w:p w14:paraId="3970653A"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Odtokové poměry</w:t>
      </w:r>
    </w:p>
    <w:p w14:paraId="27E839BD"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Lokalita je mimo záplavové území Labe, ani přes ni nepřechází žádná vodoteč. Pří řešení zástavby je nutno dešťové vody z plochy podchycovat a likvidovat je na vlastním pozemku.</w:t>
      </w:r>
    </w:p>
    <w:p w14:paraId="12FBCF12"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pitnou vodou</w:t>
      </w:r>
    </w:p>
    <w:p w14:paraId="61439CFC" w14:textId="77777777" w:rsid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Pro výstavbu bude vybudován nový řad DN 110 namísto stávajícího nevyhovujícího DN 80 v ulici VÍTĚZSTVÍ. Nový řád je třeba realizovat od přivaděče DN 160 vodojemu MARJANIN VRCH až k samotné lokalitě. Dle konkrétního rozsahu a charakteru výstavby bude třeba v další přípravě rozhodnout o zajištění požární vody.</w:t>
      </w:r>
    </w:p>
    <w:p w14:paraId="79EA5944" w14:textId="77777777" w:rsid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p>
    <w:p w14:paraId="2E6F9139"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p>
    <w:p w14:paraId="0922F394" w14:textId="77777777" w:rsidR="006031D6" w:rsidRPr="006031D6" w:rsidRDefault="006031D6" w:rsidP="006031D6">
      <w:pPr>
        <w:keepNext/>
        <w:tabs>
          <w:tab w:val="decimal" w:pos="72"/>
          <w:tab w:val="decimal" w:pos="144"/>
          <w:tab w:val="right" w:pos="2679"/>
        </w:tabs>
        <w:spacing w:before="120" w:line="288" w:lineRule="auto"/>
        <w:ind w:left="74"/>
        <w:jc w:val="both"/>
        <w:rPr>
          <w:rFonts w:ascii="Arial" w:hAnsi="Arial" w:cs="Arial"/>
          <w:b/>
          <w:color w:val="00B050"/>
          <w:spacing w:val="3"/>
          <w:sz w:val="22"/>
          <w:szCs w:val="22"/>
        </w:rPr>
      </w:pPr>
      <w:r w:rsidRPr="006031D6">
        <w:rPr>
          <w:rFonts w:ascii="Arial" w:hAnsi="Arial" w:cs="Arial"/>
          <w:b/>
          <w:color w:val="00B050"/>
          <w:spacing w:val="3"/>
          <w:sz w:val="22"/>
          <w:szCs w:val="22"/>
        </w:rPr>
        <w:lastRenderedPageBreak/>
        <w:t>Odkanalizování</w:t>
      </w:r>
    </w:p>
    <w:p w14:paraId="1CE72D44"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Odkanalizování bude řešeno oddílnou kanalizací. Splaškové vody budou odvedeny do plánovaného podchycení a převedení kanalizace Křešice na centrální ČOV Děčín. Realizace tohoto záměru podmiňuje výstavbu na této lokalitě.</w:t>
      </w:r>
    </w:p>
    <w:p w14:paraId="6BC03B87"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p>
    <w:p w14:paraId="48B8A23A"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LOKALITA č. 3 - FOLKNÁŘE I.</w:t>
      </w:r>
    </w:p>
    <w:p w14:paraId="6E347265"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Odtokové poměry</w:t>
      </w:r>
    </w:p>
    <w:p w14:paraId="6D157909"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Lokalita není ohrožována velkými vodami. Nutno však řešit podchycení dešťových vod a jejich likvidaci na vlastních pozemcích (domovní nádrže, bazény s následnou zálivkou). Zároveň je nutno minimalizovat rozsah zpevněných ploch.</w:t>
      </w:r>
    </w:p>
    <w:p w14:paraId="6BD14148"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pitnou vodou</w:t>
      </w:r>
    </w:p>
    <w:p w14:paraId="55C26077"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 xml:space="preserve">Potřeba lokality QM=0,30 l/'s; QH=3,16 l/s. </w:t>
      </w:r>
    </w:p>
    <w:p w14:paraId="1CFB9212"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Zásobování je řešeno napojením na vodovod pro veřejnou potřebu. Pro lokalitu je nutno vybudovat nový zásobní řad DN 90 - 100 (prodloužení stávajícího řadu), od konce stávajícího profilu DN 100 z vodojemu „NAD HOSTINCEM“ a to přes zástavbu obce až k lokalitě. Přes plochu lokality přechází tranzitní vodovodní řad DN 500. Tento řád je nutno</w:t>
      </w:r>
    </w:p>
    <w:p w14:paraId="7A1F7209"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respektovat zástavbou, ochranné pásmo s ohledem na význam řadu a potenciální nebezpečí při poruše požaduje provozovatel o šířce 5 m na každou stranu. Rad musí zůstat na volně přístupném pozemku (komunikace, zeleň). Dále je nutno respektovat vodojem „U HRBITOVA“ situovaný na okraji lokality. Vlastní vodovodní řad mají separátní 4 rodinné domy na druhé straně silnice (projekt Ing. Hora Děčín 10/2003).</w:t>
      </w:r>
    </w:p>
    <w:p w14:paraId="2366B7A3"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Odkanalizování</w:t>
      </w:r>
    </w:p>
    <w:p w14:paraId="369F9F23"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Odkanalizování bude řešeno oddílnou kanalizací. Nově navržená splašková stoka podél „HRBITOVNI ULICE“ bude svedena do konce hlavní stoky v „LIBERECKÉ ULICI“. Separátně jsou řešeny 4 rodinné domy na druhé straně silnice. Projektovány jsou domovní COV (projekt Ing. Hora Děčín 10/2003).</w:t>
      </w:r>
    </w:p>
    <w:p w14:paraId="24A8E107"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7DCD7ED0"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LOKALITA č. 4. - LETNÁ</w:t>
      </w:r>
    </w:p>
    <w:p w14:paraId="4F86F762"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Odtokové poměry</w:t>
      </w:r>
    </w:p>
    <w:p w14:paraId="07CD5454"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 xml:space="preserve">Lokalita je mimo dosah případných záplav. Dešťové vody se navrhuje odvést dešťovou kanalizací (kombinovaný otevřený a zatrubněný profil), do „JELENÍHO POTOKA“. </w:t>
      </w:r>
    </w:p>
    <w:p w14:paraId="6B28D94E"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pitnou vodou</w:t>
      </w:r>
    </w:p>
    <w:p w14:paraId="1925676B"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Potřeba lokality QM=0,05 l/s; QH=1,22 l/s.</w:t>
      </w:r>
    </w:p>
    <w:p w14:paraId="4AFD44DE" w14:textId="77777777" w:rsid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p>
    <w:p w14:paraId="7147E00C" w14:textId="77777777" w:rsid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p>
    <w:p w14:paraId="6D6B1FAC"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lastRenderedPageBreak/>
        <w:t>Lokalita bude napojena na řad DN 100 vodovodu pro veřejnou potřebu v sousedství plochy. Do vybudování vodojemu LETNÁ lze gravitačně (bez AT stanice) zásobovat do kóty 210 m n. m.</w:t>
      </w:r>
    </w:p>
    <w:p w14:paraId="41AAF84E"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Odkanalizování</w:t>
      </w:r>
    </w:p>
    <w:p w14:paraId="570494B0"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Odkanalizování bude řešeno oddílnou kanalizací. Splašková stoka pro lokalitu bude odvedena do stávající kanalizace v OLDŘICHOVSKÉ ULICI.</w:t>
      </w:r>
    </w:p>
    <w:p w14:paraId="65C9014C"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6B43A6E2"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LOKALITA č. 5 - FOLKNÁŘE 11.</w:t>
      </w:r>
    </w:p>
    <w:p w14:paraId="1D6629FC"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Odtokové poměry</w:t>
      </w:r>
    </w:p>
    <w:p w14:paraId="73656204"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Lokalita je mimo dosah případných záplav. Dešťové vody je nutno podchycovat a likvidovat na pozemcích v rámci předmětné plochy.</w:t>
      </w:r>
    </w:p>
    <w:p w14:paraId="136E1982"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pitnou vodou</w:t>
      </w:r>
    </w:p>
    <w:p w14:paraId="01D552FE"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Zásobování bude řešeno napojením na vodovod pro veřejnou potřebu. Pro dostatečné zabezpečení dodávky vody je nutno nahradit stávající málo kapacitní řad novým řadem DN 90 - 150 z vodojemu „U TŘÍ DUBŮ“ až k vlastní lokalitě.</w:t>
      </w:r>
    </w:p>
    <w:p w14:paraId="6FDD87AD"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Odkanalizování</w:t>
      </w:r>
    </w:p>
    <w:p w14:paraId="20AAFAE7"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Odkanalizování bude řešeno oddílnou kanalizací. Bude vybudovaná nová splašková stoka podél FOLKNÁŘSKÉ ULICE, která bude svedena do stoky XX. v místě křižovatky ulic BENEŠOVSKÁ, LIBERECKÁ.</w:t>
      </w:r>
    </w:p>
    <w:p w14:paraId="5A682E7B"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p>
    <w:p w14:paraId="69CC1839"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LOKALITA č. 6. - VELKÁ VELEŇ</w:t>
      </w:r>
    </w:p>
    <w:p w14:paraId="55CA1FFE"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Řešení převzato dle projektu architektonické kanceláře J. JEHLÍKA, Ústí nad Labem IV/2002.</w:t>
      </w:r>
    </w:p>
    <w:p w14:paraId="463A3295"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Odtokové poměry</w:t>
      </w:r>
    </w:p>
    <w:p w14:paraId="41B359C4"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Z plochy budou odvedeny dešťové vody do dešťové nádrže, Odkud budou přečerpány do potoka.</w:t>
      </w:r>
    </w:p>
    <w:p w14:paraId="188793AA"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vodou</w:t>
      </w:r>
    </w:p>
    <w:p w14:paraId="2438A3F8"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Zásobování řešeno v rámci areálu z vlastního zdroje.</w:t>
      </w:r>
    </w:p>
    <w:p w14:paraId="2BF73850"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Odkanalizování</w:t>
      </w:r>
    </w:p>
    <w:p w14:paraId="46381906"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Odkanalizování je řešeno oddílnou kanalizací. Splašková kanalizace je svedena do vlastní ČOV areálu s odvedením vyčištěné odpadní vody do potoka.</w:t>
      </w:r>
    </w:p>
    <w:p w14:paraId="7124CB5A" w14:textId="77777777" w:rsid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2B9A232C" w14:textId="77777777" w:rsid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534422FA" w14:textId="77777777" w:rsid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77FEC269"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03751E13" w14:textId="77777777" w:rsidR="006031D6" w:rsidRPr="006031D6" w:rsidRDefault="006031D6" w:rsidP="006031D6">
      <w:pPr>
        <w:keepNext/>
        <w:tabs>
          <w:tab w:val="decimal" w:pos="72"/>
          <w:tab w:val="decimal" w:pos="144"/>
          <w:tab w:val="right" w:pos="2679"/>
        </w:tabs>
        <w:spacing w:before="120" w:line="288" w:lineRule="auto"/>
        <w:ind w:left="74"/>
        <w:jc w:val="both"/>
        <w:rPr>
          <w:rFonts w:ascii="Arial" w:hAnsi="Arial" w:cs="Arial"/>
          <w:b/>
          <w:color w:val="00B050"/>
          <w:spacing w:val="3"/>
          <w:sz w:val="22"/>
          <w:szCs w:val="22"/>
        </w:rPr>
      </w:pPr>
      <w:r w:rsidRPr="006031D6">
        <w:rPr>
          <w:rFonts w:ascii="Arial" w:hAnsi="Arial" w:cs="Arial"/>
          <w:b/>
          <w:color w:val="00B050"/>
          <w:spacing w:val="3"/>
          <w:sz w:val="22"/>
          <w:szCs w:val="22"/>
        </w:rPr>
        <w:lastRenderedPageBreak/>
        <w:t>LOKALITY č. 7. - STARÉ MĚSTO</w:t>
      </w:r>
    </w:p>
    <w:p w14:paraId="3F0F6FFB"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Odtokové poměry</w:t>
      </w:r>
    </w:p>
    <w:p w14:paraId="4E47C90C"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V prostoru garáží je malý vývěr u cesty, který je svedený do kanalizace v RŮŽOVÉ ULICI nad tratí ČD. Zaústění povrchové vody do kanalizace je nežádoucí, proto bylo v ÚPn M 2 roku 2002, po dohodě s provozovatelem, navrženo vybudovat dílčí dešťovou stoku, do které bude vývěr zaústěn a odveden přímo do PLOUČNICE (VPS K 45 z roku 2002). Pro ochranu lokalit č. 7 a 10 před přívalovými vodami z extravilánu se navrhuje nad zástavbou vybudovat záchytný příkop a svést jej též do navržené dešťové stoky. Toto řešení vyplývá z požadavku ČSN 756101 čl. 4.3.2.3. Dešťovou vodu z vlastních lokalit pak likvidovat u jednotlivých objektů (podchycení s následnou zálivkou).</w:t>
      </w:r>
    </w:p>
    <w:p w14:paraId="32F8BB89"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pitnou vodou</w:t>
      </w:r>
    </w:p>
    <w:p w14:paraId="0B3F3902"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Potřeba lokality QM=0,06 l/s; QH=1,4 l/s.</w:t>
      </w:r>
    </w:p>
    <w:p w14:paraId="137ACB16"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Napojení lokality je navrženo z vodovodu pro veřejnou potřebu. Pro zásobování bude vybudován nový řad DN 90-110 odbočující z řadu DN 250 z vodojemu STARÉ MĚSTO. Zásobovat lze objekty do kóty 160 m n,m. Při eventuálním rozšíření plochy nad tuto kótu, bude řešení stejné jako u lokality č 10 tj. z nového přívodního radu, z přerušovací komory a vodojemu Chlum.</w:t>
      </w:r>
    </w:p>
    <w:p w14:paraId="68CDB7CC"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Okrajem lokality č. 7 procházejí 3 řady veřejného vodovodu DN 700, DN 400 a DN 250. Trasy je nutno respektovat zástavbou, musí zůstat na veřejně přístupném pozemku bez oplocení. Pro řad DN 700 s ohledem na jeho význam a nebezpečí při havárii požaduje se po dohodě s provozovatelem ochranné pásmo o šířce 5 m od okraje potrubí na obě strany.</w:t>
      </w:r>
    </w:p>
    <w:p w14:paraId="3710FEC7"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Odkanalizování</w:t>
      </w:r>
    </w:p>
    <w:p w14:paraId="220AE0D3"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 xml:space="preserve">Odkanalizování bude řešeno oddílnou kanalizací. Napojení splašků bude řešeno do stávající stoky V RŮŽOVÉ ULICI. </w:t>
      </w:r>
    </w:p>
    <w:p w14:paraId="165FD1E7"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Technické podmínky se dořeší v projektu.</w:t>
      </w:r>
    </w:p>
    <w:p w14:paraId="750436D3"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3DB8276D"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LOKALITA č. 8. - CHROCHVICE</w:t>
      </w:r>
    </w:p>
    <w:p w14:paraId="5CCD544B"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Odtokové poměry</w:t>
      </w:r>
    </w:p>
    <w:p w14:paraId="4C2796F7"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Lokalita je mimo dosah záplav. Dešťové vody se odvedou do CHROCHVICKÉHO POTOKA, zároveň je nutno zajistit jeho průtočnost.</w:t>
      </w:r>
    </w:p>
    <w:p w14:paraId="25D753C7"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pitnou vodou</w:t>
      </w:r>
    </w:p>
    <w:p w14:paraId="50B5CF29"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Potřeba lokality QM=O,49 l/s; QH=4,03 l/s.</w:t>
      </w:r>
    </w:p>
    <w:p w14:paraId="69D937E0"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Napojení navrženo z vodovodu pro veřejnou potřebu. Pro lokalitu se vybuduje vlastní vodovodní řad DN 150, který odbočí ze stávajícího řadu DN 150 v ŽATECKÉ ULICI.</w:t>
      </w:r>
    </w:p>
    <w:p w14:paraId="4D41805D" w14:textId="77777777" w:rsid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Objekty gravitačně lze zásobit do kóty 200 m n.m.</w:t>
      </w:r>
    </w:p>
    <w:p w14:paraId="64E65084" w14:textId="77777777" w:rsid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p>
    <w:p w14:paraId="72ABC4E5"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p>
    <w:p w14:paraId="42AD8971"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lastRenderedPageBreak/>
        <w:t>Odkanalizování</w:t>
      </w:r>
    </w:p>
    <w:p w14:paraId="167E7E75"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Odkanalizování bude řešeno oddílným systémem. Splaškové stoky budou odvedeny do stávajících stok v ulicích „VILSNICKÁ, TRUHLAŘSKÁ, MENDELOVA či ODBOJE“ dle konkrétního řešení zástavby.</w:t>
      </w:r>
    </w:p>
    <w:p w14:paraId="0DC61025"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Dešťová kanalizace bude odvedena do CHROCHVICKÉHO POTOKA (viz odtokové poměry).</w:t>
      </w:r>
    </w:p>
    <w:p w14:paraId="0266136B"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21039749"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LOKALITA č. 9</w:t>
      </w:r>
    </w:p>
    <w:p w14:paraId="21CF93D4"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Odtokové poměry</w:t>
      </w:r>
    </w:p>
    <w:p w14:paraId="3367015C"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 xml:space="preserve">Lokalita č. 9 leží 2 větší části ve stanoveném záplavovém území toku Labe. Záplava je vymezena záplavovou čarou Q </w:t>
      </w:r>
      <w:r w:rsidRPr="006031D6">
        <w:rPr>
          <w:rFonts w:ascii="Arial" w:hAnsi="Arial" w:cs="Arial"/>
          <w:color w:val="00B050"/>
          <w:spacing w:val="3"/>
          <w:sz w:val="22"/>
          <w:szCs w:val="22"/>
          <w:vertAlign w:val="subscript"/>
        </w:rPr>
        <w:t>lOO</w:t>
      </w:r>
      <w:r w:rsidRPr="006031D6">
        <w:rPr>
          <w:rFonts w:ascii="Arial" w:hAnsi="Arial" w:cs="Arial"/>
          <w:color w:val="00B050"/>
          <w:spacing w:val="3"/>
          <w:sz w:val="22"/>
          <w:szCs w:val="22"/>
        </w:rPr>
        <w:t>, vyznačenou v hlavním výkresu (výkres - A) a výkresu vodní hospodářství, odkanalizování (výkres - B 1 Původně navrhovaný rozsah byl redukován na jediný objekt v KUBELÍKOVĚ ULICI. Napojit na vodohospodářské sítě pro veřejnou potřebu (vodovod, kanalizace) lze na stávající zařízení v této ulici.</w:t>
      </w:r>
    </w:p>
    <w:p w14:paraId="11ABFBFE"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0DEF0363"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LOKALITA č. 10</w:t>
      </w:r>
    </w:p>
    <w:p w14:paraId="2561A4B7"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Odtokové poměry</w:t>
      </w:r>
    </w:p>
    <w:p w14:paraId="2DF8B95A"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Řešení je společné s lokalitou 7 (viz text lokalita 7).</w:t>
      </w:r>
    </w:p>
    <w:p w14:paraId="39EB865D"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Zásobování pitnou vodou</w:t>
      </w:r>
    </w:p>
    <w:p w14:paraId="1B8E815E"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Potřeba lokality QM=O,O3 l/s; QH=1,O l/s. Dle požadavku SčVaK bude tato lokalita zásobena z PK Chlum (přerušovací komory) tak, aby byly dodrženy podmínky ochranných pásem stávajících řadů.</w:t>
      </w:r>
    </w:p>
    <w:p w14:paraId="4505B5FC"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Odkanalizování</w:t>
      </w:r>
    </w:p>
    <w:p w14:paraId="07235F4A"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 xml:space="preserve">Odkanalizování bude řešeno oddílnou kanalizací. Napojení splašků je navrženo do stávající stoky v Růžové ulici. Dešťová voda bude zachycována u jednotlivých stavebníků a likvidována na vlastních pozemcích. </w:t>
      </w:r>
    </w:p>
    <w:p w14:paraId="730B4C15"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6031D6">
        <w:rPr>
          <w:rFonts w:ascii="Arial" w:hAnsi="Arial" w:cs="Arial"/>
          <w:b/>
          <w:color w:val="00B050"/>
          <w:spacing w:val="3"/>
          <w:sz w:val="22"/>
          <w:szCs w:val="22"/>
        </w:rPr>
        <w:t>ZÁPLAVOVÉ ÚZEMÍ</w:t>
      </w:r>
    </w:p>
    <w:p w14:paraId="1372B64C"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Ve schváleném územním plánu z roku 2002 jsou vymezena záplavová území Labe, Jílovského potoka a Ploučnice.</w:t>
      </w:r>
    </w:p>
    <w:p w14:paraId="32C82E0B" w14:textId="77777777" w:rsidR="006031D6" w:rsidRPr="006031D6" w:rsidRDefault="006031D6" w:rsidP="006031D6">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6031D6">
        <w:rPr>
          <w:rFonts w:ascii="Arial" w:hAnsi="Arial" w:cs="Arial"/>
          <w:color w:val="00B050"/>
          <w:spacing w:val="3"/>
          <w:sz w:val="22"/>
          <w:szCs w:val="22"/>
        </w:rPr>
        <w:t>Pouze lokalita č. 9 leží na vnitřním okraji záplavy Q100. Hranice záplav je patrná z výkresu č. Bs.</w:t>
      </w:r>
    </w:p>
    <w:p w14:paraId="449B2AD2" w14:textId="77777777" w:rsid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0FC6976E" w14:textId="77777777" w:rsid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50AC01F8" w14:textId="77777777" w:rsid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71D46AF8" w14:textId="77777777" w:rsidR="006031D6" w:rsidRPr="006031D6" w:rsidRDefault="006031D6" w:rsidP="006031D6">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7D18B12A" w14:textId="77777777" w:rsidR="006031D6" w:rsidRPr="006031D6" w:rsidRDefault="006031D6" w:rsidP="006031D6">
      <w:pPr>
        <w:keepNext/>
        <w:tabs>
          <w:tab w:val="decimal" w:pos="72"/>
          <w:tab w:val="decimal" w:pos="144"/>
          <w:tab w:val="right" w:pos="2679"/>
        </w:tabs>
        <w:spacing w:before="120" w:line="288" w:lineRule="auto"/>
        <w:ind w:left="74"/>
        <w:jc w:val="both"/>
        <w:rPr>
          <w:rFonts w:ascii="Arial" w:hAnsi="Arial" w:cs="Arial"/>
          <w:b/>
          <w:color w:val="00B050"/>
          <w:spacing w:val="3"/>
          <w:sz w:val="22"/>
          <w:szCs w:val="22"/>
        </w:rPr>
      </w:pPr>
      <w:r w:rsidRPr="006031D6">
        <w:rPr>
          <w:rFonts w:ascii="Arial" w:hAnsi="Arial" w:cs="Arial"/>
          <w:b/>
          <w:color w:val="00B050"/>
          <w:spacing w:val="3"/>
          <w:sz w:val="22"/>
          <w:szCs w:val="22"/>
        </w:rPr>
        <w:lastRenderedPageBreak/>
        <w:t>REGULATIVY VH</w:t>
      </w:r>
    </w:p>
    <w:p w14:paraId="375188E0" w14:textId="77777777" w:rsidR="006031D6" w:rsidRPr="006031D6" w:rsidRDefault="006031D6" w:rsidP="006031D6">
      <w:pPr>
        <w:pStyle w:val="Odstavecseseznamem"/>
        <w:numPr>
          <w:ilvl w:val="0"/>
          <w:numId w:val="59"/>
        </w:numPr>
        <w:spacing w:before="120" w:after="0" w:line="288" w:lineRule="auto"/>
        <w:ind w:left="426"/>
        <w:jc w:val="both"/>
        <w:rPr>
          <w:rFonts w:ascii="Arial" w:hAnsi="Arial" w:cs="Arial"/>
          <w:color w:val="00B050"/>
          <w:spacing w:val="3"/>
        </w:rPr>
      </w:pPr>
      <w:r w:rsidRPr="006031D6">
        <w:rPr>
          <w:rFonts w:ascii="Arial" w:hAnsi="Arial" w:cs="Arial"/>
          <w:color w:val="00B050"/>
          <w:spacing w:val="3"/>
        </w:rPr>
        <w:t>Nově navržené lokality, kromě lokality č. 6., budou napojeny na stávající vodovod a kanalizací pro veřejnou potřebu ve smyslu zásad uvedených v návrhu změny ÚPN. Detailní podmínky určí správci těchto sítí na úrovni projektů. Investoři nechají vodohospodářské sítě přesně vytyčit.</w:t>
      </w:r>
    </w:p>
    <w:p w14:paraId="4DFCD383" w14:textId="77777777" w:rsidR="006031D6" w:rsidRPr="006031D6" w:rsidRDefault="006031D6" w:rsidP="006031D6">
      <w:pPr>
        <w:pStyle w:val="Odstavecseseznamem"/>
        <w:numPr>
          <w:ilvl w:val="0"/>
          <w:numId w:val="59"/>
        </w:numPr>
        <w:spacing w:before="120" w:after="0" w:line="288" w:lineRule="auto"/>
        <w:ind w:left="426"/>
        <w:jc w:val="both"/>
        <w:rPr>
          <w:rFonts w:ascii="Arial" w:hAnsi="Arial" w:cs="Arial"/>
          <w:color w:val="00B050"/>
          <w:spacing w:val="3"/>
        </w:rPr>
      </w:pPr>
      <w:r w:rsidRPr="006031D6">
        <w:rPr>
          <w:rFonts w:ascii="Arial" w:hAnsi="Arial" w:cs="Arial"/>
          <w:color w:val="00B050"/>
          <w:spacing w:val="3"/>
        </w:rPr>
        <w:t xml:space="preserve">Pitný vodovod bude plnit zároveň funkci požárního vodovodu pro novou </w:t>
      </w:r>
      <w:r w:rsidRPr="006031D6">
        <w:rPr>
          <w:rFonts w:ascii="Arial" w:hAnsi="Arial" w:cs="Arial"/>
          <w:color w:val="00B050"/>
          <w:spacing w:val="3"/>
        </w:rPr>
        <w:tab/>
        <w:t>bytovou výstavbu ve smyslu ČSN 730873 „Zásobování požární vodou“.</w:t>
      </w:r>
    </w:p>
    <w:p w14:paraId="774B3622" w14:textId="77777777" w:rsidR="006031D6" w:rsidRPr="006031D6" w:rsidRDefault="006031D6" w:rsidP="006031D6">
      <w:pPr>
        <w:pStyle w:val="Odstavecseseznamem"/>
        <w:numPr>
          <w:ilvl w:val="0"/>
          <w:numId w:val="59"/>
        </w:numPr>
        <w:tabs>
          <w:tab w:val="decimal" w:pos="567"/>
          <w:tab w:val="decimal" w:pos="709"/>
          <w:tab w:val="right" w:pos="1134"/>
        </w:tabs>
        <w:spacing w:before="120" w:after="0" w:line="288" w:lineRule="auto"/>
        <w:ind w:left="426"/>
        <w:jc w:val="both"/>
        <w:rPr>
          <w:rFonts w:ascii="Arial" w:hAnsi="Arial" w:cs="Arial"/>
          <w:color w:val="00B050"/>
          <w:spacing w:val="3"/>
        </w:rPr>
      </w:pPr>
      <w:r w:rsidRPr="006031D6">
        <w:rPr>
          <w:rFonts w:ascii="Arial" w:hAnsi="Arial" w:cs="Arial"/>
          <w:color w:val="00B050"/>
          <w:spacing w:val="3"/>
        </w:rPr>
        <w:t>Likvidace odpadních vod bude řešena v souladu se zákonem č. 254/2001 Sb. a souvisejícími předpisy (nařízení vlády č. 61/2003 Sb. a zákon č. 20/2004 Sb.).</w:t>
      </w:r>
    </w:p>
    <w:p w14:paraId="1B68A59F" w14:textId="77777777" w:rsidR="006031D6" w:rsidRPr="006031D6" w:rsidRDefault="006031D6" w:rsidP="006031D6">
      <w:pPr>
        <w:pStyle w:val="Odstavecseseznamem"/>
        <w:numPr>
          <w:ilvl w:val="0"/>
          <w:numId w:val="59"/>
        </w:numPr>
        <w:spacing w:before="120" w:after="0" w:line="288" w:lineRule="auto"/>
        <w:ind w:left="426"/>
        <w:jc w:val="both"/>
        <w:rPr>
          <w:rFonts w:ascii="Arial" w:hAnsi="Arial" w:cs="Arial"/>
          <w:color w:val="00B050"/>
          <w:spacing w:val="3"/>
        </w:rPr>
      </w:pPr>
      <w:r w:rsidRPr="006031D6">
        <w:rPr>
          <w:rFonts w:ascii="Arial" w:hAnsi="Arial" w:cs="Arial"/>
          <w:color w:val="00B050"/>
          <w:spacing w:val="3"/>
        </w:rPr>
        <w:t>Veškerá nově navrhovaná kanalizace bude řešena jako oddílná, popřípadě splašková.</w:t>
      </w:r>
    </w:p>
    <w:p w14:paraId="18A69490" w14:textId="77777777" w:rsidR="006031D6" w:rsidRPr="006031D6" w:rsidRDefault="006031D6" w:rsidP="006031D6">
      <w:pPr>
        <w:pStyle w:val="Odstavecseseznamem"/>
        <w:numPr>
          <w:ilvl w:val="0"/>
          <w:numId w:val="59"/>
        </w:numPr>
        <w:spacing w:before="120" w:after="0" w:line="288" w:lineRule="auto"/>
        <w:ind w:left="426"/>
        <w:jc w:val="both"/>
        <w:rPr>
          <w:rFonts w:ascii="Arial" w:hAnsi="Arial" w:cs="Arial"/>
          <w:color w:val="00B050"/>
          <w:spacing w:val="3"/>
        </w:rPr>
      </w:pPr>
      <w:r w:rsidRPr="006031D6">
        <w:rPr>
          <w:rFonts w:ascii="Arial" w:hAnsi="Arial" w:cs="Arial"/>
          <w:color w:val="00B050"/>
          <w:spacing w:val="3"/>
        </w:rPr>
        <w:t>Dešťové vody na lokalitách č. 1., 2., 3., 5., 7., a 10. je nutno podchycovat a likvidovat na ploše uvedených lokalit.</w:t>
      </w:r>
    </w:p>
    <w:p w14:paraId="499E1CF2" w14:textId="77777777" w:rsidR="006031D6" w:rsidRPr="006031D6" w:rsidRDefault="006031D6" w:rsidP="006031D6">
      <w:pPr>
        <w:pStyle w:val="Odstavecseseznamem"/>
        <w:numPr>
          <w:ilvl w:val="0"/>
          <w:numId w:val="59"/>
        </w:numPr>
        <w:spacing w:before="120" w:after="0" w:line="288" w:lineRule="auto"/>
        <w:ind w:left="426"/>
        <w:jc w:val="both"/>
        <w:rPr>
          <w:rFonts w:ascii="Arial" w:hAnsi="Arial" w:cs="Arial"/>
          <w:color w:val="00B050"/>
          <w:spacing w:val="3"/>
        </w:rPr>
      </w:pPr>
      <w:r w:rsidRPr="006031D6">
        <w:rPr>
          <w:rFonts w:ascii="Arial" w:hAnsi="Arial" w:cs="Arial"/>
          <w:color w:val="00B050"/>
          <w:spacing w:val="3"/>
        </w:rPr>
        <w:t>Odvedení splašků z lokality č. 2 je podmíněno realizací podchycení převedení odpadních vod KŘEŠIC na centrální ČOV DĚČÍN. Odvedení splašků z lokality č. l. je podmíněno kromě vybudování splaškové stoky podél ulice „V LUKÁCH“ realizací podchycení a přepojení stávajících kanalizačních vyústí ve VISLSNICI a CHROCHVICÍCH na centrální ČOV.</w:t>
      </w:r>
    </w:p>
    <w:p w14:paraId="51C95870" w14:textId="77777777" w:rsidR="006031D6" w:rsidRPr="006031D6" w:rsidRDefault="006031D6" w:rsidP="006031D6">
      <w:pPr>
        <w:pStyle w:val="Odstavecseseznamem"/>
        <w:numPr>
          <w:ilvl w:val="0"/>
          <w:numId w:val="59"/>
        </w:numPr>
        <w:spacing w:before="120" w:after="0" w:line="288" w:lineRule="auto"/>
        <w:ind w:left="426"/>
        <w:jc w:val="both"/>
        <w:rPr>
          <w:rFonts w:ascii="Arial" w:hAnsi="Arial" w:cs="Arial"/>
          <w:color w:val="00B050"/>
          <w:spacing w:val="3"/>
        </w:rPr>
      </w:pPr>
      <w:r w:rsidRPr="006031D6">
        <w:rPr>
          <w:rFonts w:ascii="Arial" w:hAnsi="Arial" w:cs="Arial"/>
          <w:color w:val="00B050"/>
          <w:spacing w:val="3"/>
        </w:rPr>
        <w:t>Pro ochranu zástavby na lokalitách č. 7. a 10. je třeba vybudovat záchytný příkop extravilánových vod nad zástavbou a zajistit převedení vod do PLOUČNICE.</w:t>
      </w:r>
    </w:p>
    <w:p w14:paraId="3452A970" w14:textId="77777777" w:rsidR="006031D6" w:rsidRPr="006031D6" w:rsidRDefault="006031D6" w:rsidP="006031D6">
      <w:pPr>
        <w:pStyle w:val="Odstavecseseznamem"/>
        <w:numPr>
          <w:ilvl w:val="0"/>
          <w:numId w:val="59"/>
        </w:numPr>
        <w:spacing w:before="120" w:after="0" w:line="288" w:lineRule="auto"/>
        <w:ind w:left="426"/>
        <w:jc w:val="both"/>
        <w:rPr>
          <w:rFonts w:ascii="Arial" w:hAnsi="Arial" w:cs="Arial"/>
          <w:color w:val="00B050"/>
          <w:spacing w:val="3"/>
        </w:rPr>
      </w:pPr>
      <w:r w:rsidRPr="006031D6">
        <w:rPr>
          <w:rFonts w:ascii="Arial" w:hAnsi="Arial" w:cs="Arial"/>
          <w:color w:val="00B050"/>
          <w:spacing w:val="3"/>
        </w:rPr>
        <w:t>Pro odvedení dešťových vod z lokality č. 8. - CHROCHVICE je třeba zajistit průtočnost CHROCHVICKÉHO POTOKA.</w:t>
      </w:r>
    </w:p>
    <w:p w14:paraId="623B04FA" w14:textId="77777777" w:rsidR="006031D6" w:rsidRPr="006031D6" w:rsidRDefault="006031D6" w:rsidP="006031D6">
      <w:pPr>
        <w:pStyle w:val="Zkladntext"/>
        <w:spacing w:before="120" w:line="288" w:lineRule="auto"/>
        <w:jc w:val="both"/>
        <w:rPr>
          <w:rFonts w:ascii="Arial" w:hAnsi="Arial" w:cs="Arial"/>
          <w:sz w:val="22"/>
          <w:szCs w:val="22"/>
        </w:rPr>
      </w:pPr>
    </w:p>
    <w:p w14:paraId="0D3ADC1E" w14:textId="77777777" w:rsidR="006031D6" w:rsidRPr="006031D6" w:rsidRDefault="006031D6" w:rsidP="006031D6">
      <w:pPr>
        <w:spacing w:before="120" w:line="288" w:lineRule="auto"/>
        <w:jc w:val="both"/>
        <w:rPr>
          <w:rFonts w:ascii="Arial" w:hAnsi="Arial" w:cs="Arial"/>
          <w:b/>
          <w:color w:val="BF8F00"/>
        </w:rPr>
      </w:pPr>
      <w:r w:rsidRPr="006031D6">
        <w:rPr>
          <w:rFonts w:ascii="Arial" w:hAnsi="Arial" w:cs="Arial"/>
          <w:b/>
          <w:color w:val="BF8F00"/>
        </w:rPr>
        <w:t>(Z2) KONCEPCE VODNÍHO HOSPODÁŘSTVÍ</w:t>
      </w:r>
    </w:p>
    <w:p w14:paraId="261B1097"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Nově navržené lokality (kromě lokalit č. 24a, 30) budou napojeny na vodovod pro veřejnou potřebu.</w:t>
      </w:r>
    </w:p>
    <w:p w14:paraId="77583257"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Pro lokality č. 24a a 30 je nutno realizovat vlastní zdroje pitné vody odpovídající kapacity a kvality.</w:t>
      </w:r>
    </w:p>
    <w:p w14:paraId="0D902A5F"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V ploše č. 18 je nutno respektovat ochranné pásmo vodního zdroje v rozsahu jeho vyhlášení (prameniště Vilsnice).</w:t>
      </w:r>
    </w:p>
    <w:p w14:paraId="6EB62E3D"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Nově navržené lokality (kromě 24a. a 30) budou napojeny na kanalizaci Děčín. V případě dlouhodobého odkladu napojení prostoru Vilsnice na kanalizaci Děčín je navrženo pro lokalitu č. 18 a 19 dočasné řešení likvidace odpadních vod místním čištěním s odvedením čištěných odpadních vod do Labe trasou, která bude využitelná pro konečné řešení ve smyslu koncepce obsažené v Generelu kanalizace města Děčína. Individuálně je řešena situace u lokality č. l do doby výstavby společně z K. Studence.</w:t>
      </w:r>
    </w:p>
    <w:p w14:paraId="5E18CF0C"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Pro lokality 24a. a 30 je trvale navržena individuální likvidace odpadních vod dle rozhodnutí vodoprávního úřadu.</w:t>
      </w:r>
    </w:p>
    <w:p w14:paraId="78CBE6FB" w14:textId="77777777" w:rsid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Lokality 25a. a 25b. jsou částečně zasaženy záplavovým územím (Q</w:t>
      </w:r>
      <w:r w:rsidRPr="006031D6">
        <w:rPr>
          <w:rFonts w:ascii="Arial" w:hAnsi="Arial" w:cs="Arial"/>
          <w:color w:val="BF8F00"/>
          <w:vertAlign w:val="subscript"/>
        </w:rPr>
        <w:t>100</w:t>
      </w:r>
      <w:r w:rsidRPr="006031D6">
        <w:rPr>
          <w:rFonts w:ascii="Arial" w:hAnsi="Arial" w:cs="Arial"/>
          <w:color w:val="BF8F00"/>
        </w:rPr>
        <w:t>) Labe. Podmínky pro stavby zde stanoví vodoprávní úřad na základě posudku podniku Povodí Labe Hradec Králové.</w:t>
      </w:r>
    </w:p>
    <w:p w14:paraId="41693367" w14:textId="77777777" w:rsidR="006031D6" w:rsidRDefault="006031D6" w:rsidP="006031D6">
      <w:pPr>
        <w:spacing w:before="120" w:line="288" w:lineRule="auto"/>
        <w:jc w:val="both"/>
        <w:rPr>
          <w:rFonts w:ascii="Arial" w:hAnsi="Arial" w:cs="Arial"/>
          <w:color w:val="BF8F00"/>
        </w:rPr>
      </w:pPr>
    </w:p>
    <w:p w14:paraId="7BE5D8F2" w14:textId="77777777" w:rsidR="006031D6" w:rsidRPr="006031D6" w:rsidRDefault="006031D6" w:rsidP="006031D6">
      <w:pPr>
        <w:spacing w:before="120" w:line="288" w:lineRule="auto"/>
        <w:jc w:val="both"/>
        <w:rPr>
          <w:rFonts w:ascii="Arial" w:hAnsi="Arial" w:cs="Arial"/>
          <w:color w:val="BF8F00"/>
        </w:rPr>
      </w:pPr>
    </w:p>
    <w:p w14:paraId="3BC0B6A6"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lastRenderedPageBreak/>
        <w:t>Na lokalitách, kde řady vodovodů pro veřejnou potřebu prochází přes jejich území, musí zůstat na veřejných neoplocených pozemcích.</w:t>
      </w:r>
    </w:p>
    <w:p w14:paraId="6B2BC629"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Vodovod pro veřejnou potřebu bude zároveň plnit funkci požárního vodovodu ve smyslu ČSN 730873. Pro odběry požární vody je nutno osadit příslušné objekty.</w:t>
      </w:r>
    </w:p>
    <w:p w14:paraId="095DF428"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U lokalit č. 25a. a 30. bude vytvořena vlastní akumulace vody pro požární účely.</w:t>
      </w:r>
    </w:p>
    <w:p w14:paraId="746C4D50"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Veškerá nová kanalizace se navrhuje jako oddílná.</w:t>
      </w:r>
    </w:p>
    <w:p w14:paraId="79DEEB66"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Dešťové vody ZRD a přilehlých ploch se navrhuje podchytávat do domovních dešťových nádrží a likvidovat je na vlastních pozemcích.</w:t>
      </w:r>
    </w:p>
    <w:p w14:paraId="77F99346"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Pro ochranu lokalit č. 2 a 3 před přívalovými vodami z extravilánu je třeba realizovat převod povrchových vod.</w:t>
      </w:r>
    </w:p>
    <w:p w14:paraId="3C93E1EF"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Pro ochranu lokalit č. l a 18 je nutno zajistit průchodnost koryt malých toků (správce ZVS Ústí nad Labem) v blízkosti sousedství lokalit.</w:t>
      </w:r>
    </w:p>
    <w:p w14:paraId="104F7142" w14:textId="77777777" w:rsidR="006031D6" w:rsidRPr="006031D6" w:rsidRDefault="006031D6" w:rsidP="006031D6">
      <w:pPr>
        <w:pStyle w:val="Odstavecseseznamem"/>
        <w:numPr>
          <w:ilvl w:val="0"/>
          <w:numId w:val="51"/>
        </w:numPr>
        <w:spacing w:before="120" w:after="0" w:line="288" w:lineRule="auto"/>
        <w:jc w:val="both"/>
        <w:rPr>
          <w:rFonts w:ascii="Arial" w:hAnsi="Arial" w:cs="Arial"/>
          <w:color w:val="BF8F00"/>
        </w:rPr>
      </w:pPr>
      <w:r w:rsidRPr="006031D6">
        <w:rPr>
          <w:rFonts w:ascii="Arial" w:hAnsi="Arial" w:cs="Arial"/>
          <w:color w:val="BF8F00"/>
        </w:rPr>
        <w:t>V lokalitách 2,3,27,31 je navrženo obslužné komunikace v plochách odvodnit otevřenými zatravněnými příkopy s osazenými objekty: pro retenci a infiltraci.</w:t>
      </w:r>
    </w:p>
    <w:p w14:paraId="52B8A5E0" w14:textId="77777777" w:rsidR="006031D6" w:rsidRPr="006031D6" w:rsidRDefault="006031D6" w:rsidP="006031D6">
      <w:pPr>
        <w:pStyle w:val="Odstavecseseznamem"/>
        <w:spacing w:before="120" w:after="0" w:line="288" w:lineRule="auto"/>
        <w:jc w:val="both"/>
        <w:rPr>
          <w:rFonts w:ascii="Arial" w:hAnsi="Arial" w:cs="Arial"/>
          <w:color w:val="BF8F00"/>
        </w:rPr>
      </w:pPr>
    </w:p>
    <w:p w14:paraId="10C0655C" w14:textId="77777777" w:rsidR="006031D6" w:rsidRPr="006031D6" w:rsidRDefault="006031D6" w:rsidP="006031D6">
      <w:pPr>
        <w:spacing w:before="120" w:line="288" w:lineRule="auto"/>
        <w:jc w:val="both"/>
        <w:rPr>
          <w:rFonts w:ascii="Arial" w:hAnsi="Arial" w:cs="Arial"/>
          <w:b/>
          <w:color w:val="0066FF"/>
        </w:rPr>
      </w:pPr>
      <w:r w:rsidRPr="006031D6">
        <w:rPr>
          <w:rFonts w:ascii="Arial" w:hAnsi="Arial" w:cs="Arial"/>
          <w:b/>
          <w:color w:val="0066FF"/>
        </w:rPr>
        <w:t>(Z4) KONCEPCE VODNÍHO HOSPODÁŘSTVÍ, ODKANALIZOVÁNÍ</w:t>
      </w:r>
    </w:p>
    <w:p w14:paraId="3FFD2BE0" w14:textId="77777777" w:rsidR="006031D6" w:rsidRPr="006031D6" w:rsidRDefault="006031D6" w:rsidP="006031D6">
      <w:pPr>
        <w:spacing w:before="120" w:line="288" w:lineRule="auto"/>
        <w:jc w:val="both"/>
        <w:rPr>
          <w:rFonts w:ascii="Arial" w:hAnsi="Arial" w:cs="Arial"/>
          <w:b/>
          <w:color w:val="0066FF"/>
          <w:sz w:val="22"/>
          <w:szCs w:val="22"/>
        </w:rPr>
      </w:pPr>
      <w:r w:rsidRPr="006031D6">
        <w:rPr>
          <w:rFonts w:ascii="Arial" w:hAnsi="Arial" w:cs="Arial"/>
          <w:b/>
          <w:color w:val="0066FF"/>
          <w:sz w:val="22"/>
          <w:szCs w:val="22"/>
        </w:rPr>
        <w:t>VODNÍ TOKY A PLOCHY, ÚPRAVA ODTOKOVÝCH POMĚRŮ</w:t>
      </w:r>
    </w:p>
    <w:p w14:paraId="6E8905B7"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Původního rozsahu navržených úprav toků se 4. změna ÚPn M nedotýká. Avšak tím, že se výstavba RD na lokalitě stává aktuální, je nutno zároveň řešit ochranu plochy před přívaly srážkových vod z výše položeného povodí. Koncepce ochrany je v zásadě navržena v původním ÚPn M.</w:t>
      </w:r>
    </w:p>
    <w:p w14:paraId="19AD396A"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S ohledem na velký spád území je též nezbytné regulovat rozsah budovaných zpevněných ploch a zajistit v lokalitě retenci srážkových vod tak, aby nedocházelo k podstatnému zvýšení povrchového odtoku oproti současnému stavu. Pro tyto účely je žádoucí typ výstavby, kde jednotlivé objekty jsou izolované v zahradách.</w:t>
      </w:r>
    </w:p>
    <w:p w14:paraId="25805BC5" w14:textId="77777777" w:rsidR="006031D6" w:rsidRPr="006031D6" w:rsidRDefault="006031D6" w:rsidP="006031D6">
      <w:pPr>
        <w:spacing w:before="120" w:line="288" w:lineRule="auto"/>
        <w:jc w:val="both"/>
        <w:rPr>
          <w:rFonts w:ascii="Arial" w:hAnsi="Arial" w:cs="Arial"/>
          <w:b/>
          <w:color w:val="0066FF"/>
          <w:sz w:val="22"/>
          <w:szCs w:val="22"/>
        </w:rPr>
      </w:pPr>
      <w:r w:rsidRPr="006031D6">
        <w:rPr>
          <w:rFonts w:ascii="Arial" w:hAnsi="Arial" w:cs="Arial"/>
          <w:b/>
          <w:color w:val="0066FF"/>
          <w:sz w:val="22"/>
          <w:szCs w:val="22"/>
        </w:rPr>
        <w:t>Zásobování vodou</w:t>
      </w:r>
    </w:p>
    <w:p w14:paraId="484D5A40"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Navržená změna se nedotýká ani původního koncepčního řešení zásobování pitnou vodou ani původní koncepce zásobování užitkovou vodou.</w:t>
      </w:r>
    </w:p>
    <w:p w14:paraId="5A8C203E" w14:textId="77777777" w:rsidR="006031D6" w:rsidRPr="006031D6" w:rsidRDefault="006031D6" w:rsidP="006031D6">
      <w:pPr>
        <w:spacing w:before="120" w:line="288" w:lineRule="auto"/>
        <w:jc w:val="both"/>
        <w:rPr>
          <w:rFonts w:ascii="Arial" w:hAnsi="Arial" w:cs="Arial"/>
          <w:b/>
          <w:color w:val="0066FF"/>
          <w:sz w:val="22"/>
          <w:szCs w:val="22"/>
        </w:rPr>
      </w:pPr>
      <w:r w:rsidRPr="006031D6">
        <w:rPr>
          <w:rFonts w:ascii="Arial" w:hAnsi="Arial" w:cs="Arial"/>
          <w:b/>
          <w:color w:val="0066FF"/>
          <w:sz w:val="22"/>
          <w:szCs w:val="22"/>
        </w:rPr>
        <w:t>Odkanalizování a čištění odpadních vod</w:t>
      </w:r>
    </w:p>
    <w:p w14:paraId="4CBDBFF1"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Navržená změna ÚPn M nevyvolává změnu původní koncepce dostavby kanalizace Děčína.</w:t>
      </w:r>
    </w:p>
    <w:p w14:paraId="26795D17" w14:textId="77777777" w:rsidR="006031D6" w:rsidRPr="006031D6" w:rsidRDefault="006031D6" w:rsidP="006031D6">
      <w:pPr>
        <w:spacing w:before="120" w:line="288" w:lineRule="auto"/>
        <w:jc w:val="both"/>
        <w:rPr>
          <w:rFonts w:ascii="Arial" w:hAnsi="Arial" w:cs="Arial"/>
          <w:b/>
          <w:color w:val="0066FF"/>
          <w:sz w:val="22"/>
          <w:szCs w:val="22"/>
        </w:rPr>
      </w:pPr>
      <w:r w:rsidRPr="006031D6">
        <w:rPr>
          <w:rFonts w:ascii="Arial" w:hAnsi="Arial" w:cs="Arial"/>
          <w:b/>
          <w:color w:val="0066FF"/>
          <w:sz w:val="22"/>
          <w:szCs w:val="22"/>
        </w:rPr>
        <w:br w:type="page"/>
      </w:r>
      <w:r w:rsidRPr="006031D6">
        <w:rPr>
          <w:rFonts w:ascii="Arial" w:hAnsi="Arial" w:cs="Arial"/>
          <w:b/>
          <w:color w:val="0066FF"/>
          <w:sz w:val="22"/>
          <w:szCs w:val="22"/>
        </w:rPr>
        <w:lastRenderedPageBreak/>
        <w:t>VODOHOSPODÁŘSKÉ ŘEŠENÍ LOKALITY</w:t>
      </w:r>
    </w:p>
    <w:p w14:paraId="18F4FB59" w14:textId="77777777" w:rsidR="006031D6" w:rsidRPr="006031D6" w:rsidRDefault="006031D6" w:rsidP="006031D6">
      <w:pPr>
        <w:spacing w:before="120" w:line="288" w:lineRule="auto"/>
        <w:jc w:val="both"/>
        <w:rPr>
          <w:rFonts w:ascii="Arial" w:hAnsi="Arial" w:cs="Arial"/>
          <w:b/>
          <w:color w:val="0066FF"/>
          <w:sz w:val="22"/>
          <w:szCs w:val="22"/>
        </w:rPr>
      </w:pPr>
      <w:r w:rsidRPr="006031D6">
        <w:rPr>
          <w:rFonts w:ascii="Arial" w:hAnsi="Arial" w:cs="Arial"/>
          <w:b/>
          <w:color w:val="0066FF"/>
          <w:sz w:val="22"/>
          <w:szCs w:val="22"/>
        </w:rPr>
        <w:t>Návrh odtokových poměrů:</w:t>
      </w:r>
    </w:p>
    <w:p w14:paraId="095B3D75"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Lokalita je mimo dosah záplav velkých vod. Nezbytné však je zajistit ochranu plochy před srážkovými vodami a vodami z tání sněhu z výše položeného povodí na svahu Popovického vrchu. Vody, které na pozemek stékají jej podmačují a v budoucnu mohou zatékat do objektů. Proto je navrženo povrchový odtok podchytit a převést jej bezpečně mimo předmětnou plochu.</w:t>
      </w:r>
    </w:p>
    <w:p w14:paraId="0C5166DB" w14:textId="77777777" w:rsidR="006031D6" w:rsidRPr="006031D6" w:rsidRDefault="006031D6" w:rsidP="006031D6">
      <w:pPr>
        <w:spacing w:before="120" w:line="288" w:lineRule="auto"/>
        <w:ind w:firstLine="709"/>
        <w:jc w:val="both"/>
        <w:rPr>
          <w:rFonts w:ascii="Arial" w:hAnsi="Arial" w:cs="Arial"/>
          <w:color w:val="0066FF"/>
          <w:sz w:val="22"/>
          <w:szCs w:val="22"/>
        </w:rPr>
      </w:pPr>
    </w:p>
    <w:p w14:paraId="29E39FA0" w14:textId="77777777" w:rsidR="006031D6" w:rsidRPr="006031D6" w:rsidRDefault="006031D6" w:rsidP="006031D6">
      <w:pPr>
        <w:spacing w:line="276" w:lineRule="auto"/>
        <w:jc w:val="center"/>
        <w:rPr>
          <w:rFonts w:ascii="Arial" w:hAnsi="Arial" w:cs="Arial"/>
          <w:color w:val="0066FF"/>
          <w:sz w:val="22"/>
          <w:szCs w:val="22"/>
        </w:rPr>
      </w:pPr>
      <w:r w:rsidRPr="006031D6">
        <w:rPr>
          <w:rFonts w:ascii="Arial" w:hAnsi="Arial" w:cs="Arial"/>
          <w:noProof/>
          <w:color w:val="0066FF"/>
          <w:sz w:val="22"/>
          <w:szCs w:val="22"/>
          <w:lang w:eastAsia="cs-CZ"/>
        </w:rPr>
        <w:drawing>
          <wp:inline distT="0" distB="0" distL="0" distR="0" wp14:anchorId="301F0122" wp14:editId="307B35F1">
            <wp:extent cx="5313045" cy="5833110"/>
            <wp:effectExtent l="38100" t="38100" r="40005" b="34290"/>
            <wp:docPr id="34980" name="Obrázek 34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5313045" cy="5833110"/>
                    </a:xfrm>
                    <a:prstGeom prst="rect">
                      <a:avLst/>
                    </a:prstGeom>
                    <a:noFill/>
                    <a:ln w="38100" cmpd="sng">
                      <a:solidFill>
                        <a:srgbClr val="0066FF"/>
                      </a:solidFill>
                      <a:miter lim="800000"/>
                      <a:headEnd/>
                      <a:tailEnd/>
                    </a:ln>
                    <a:effectLst/>
                  </pic:spPr>
                </pic:pic>
              </a:graphicData>
            </a:graphic>
          </wp:inline>
        </w:drawing>
      </w:r>
    </w:p>
    <w:p w14:paraId="1C6F7C38" w14:textId="77777777" w:rsidR="006031D6" w:rsidRDefault="006031D6" w:rsidP="006031D6">
      <w:pPr>
        <w:spacing w:line="276" w:lineRule="auto"/>
        <w:jc w:val="both"/>
        <w:rPr>
          <w:rFonts w:ascii="Arial" w:hAnsi="Arial" w:cs="Arial"/>
          <w:color w:val="0066FF"/>
          <w:sz w:val="22"/>
          <w:szCs w:val="22"/>
        </w:rPr>
      </w:pPr>
    </w:p>
    <w:p w14:paraId="7BFD2191" w14:textId="77777777" w:rsidR="006031D6" w:rsidRDefault="006031D6" w:rsidP="006031D6">
      <w:pPr>
        <w:spacing w:line="276" w:lineRule="auto"/>
        <w:jc w:val="both"/>
        <w:rPr>
          <w:rFonts w:ascii="Arial" w:hAnsi="Arial" w:cs="Arial"/>
          <w:color w:val="0066FF"/>
          <w:sz w:val="22"/>
          <w:szCs w:val="22"/>
        </w:rPr>
      </w:pPr>
    </w:p>
    <w:p w14:paraId="38FDC4D7" w14:textId="77777777" w:rsidR="006031D6" w:rsidRDefault="006031D6" w:rsidP="006031D6">
      <w:pPr>
        <w:spacing w:line="276" w:lineRule="auto"/>
        <w:jc w:val="both"/>
        <w:rPr>
          <w:rFonts w:ascii="Arial" w:hAnsi="Arial" w:cs="Arial"/>
          <w:color w:val="0066FF"/>
          <w:sz w:val="22"/>
          <w:szCs w:val="22"/>
        </w:rPr>
      </w:pPr>
    </w:p>
    <w:p w14:paraId="7A754E09" w14:textId="77777777" w:rsidR="006031D6" w:rsidRDefault="006031D6" w:rsidP="006031D6">
      <w:pPr>
        <w:spacing w:line="276" w:lineRule="auto"/>
        <w:jc w:val="both"/>
        <w:rPr>
          <w:rFonts w:ascii="Arial" w:hAnsi="Arial" w:cs="Arial"/>
          <w:color w:val="0066FF"/>
          <w:sz w:val="22"/>
          <w:szCs w:val="22"/>
        </w:rPr>
      </w:pPr>
    </w:p>
    <w:p w14:paraId="013F989F" w14:textId="77777777" w:rsidR="006031D6" w:rsidRPr="006031D6" w:rsidRDefault="006031D6" w:rsidP="006031D6">
      <w:pPr>
        <w:spacing w:line="276" w:lineRule="auto"/>
        <w:jc w:val="both"/>
        <w:rPr>
          <w:rFonts w:ascii="Arial" w:hAnsi="Arial" w:cs="Arial"/>
          <w:color w:val="0066FF"/>
          <w:sz w:val="22"/>
          <w:szCs w:val="22"/>
        </w:rPr>
      </w:pPr>
    </w:p>
    <w:p w14:paraId="7FCECE38"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lastRenderedPageBreak/>
        <w:t>Vlastní návrh sestává z podchycení vod nad plochou dvěma záchytnými příkopy již nad Slovanskou ulicí. Dále je navrženo svedení vod jedním převážně otevřeným, příkopem podél východního okraje lokality do občasného toku ústícího zprava do Jílovského potoka naproti zástavbě ulice „U Splavu“.</w:t>
      </w:r>
    </w:p>
    <w:p w14:paraId="3BCA3EF8"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Z vlastní plochy (cca 4,5 ha) je současný odtok po dešti cca 100 1/5. Po urbanizaci bude cca 270 1/5 (patnáctiminutový déšť n = 0,5).</w:t>
      </w:r>
    </w:p>
    <w:p w14:paraId="58DE8270"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Dešťové vody z komunikací a jednotlivých parcel se navrhuje odvést podél obslužných komunikací do hlavního příkopu navrženého v sousedství plochy a tím dále do zmíněné občasné vodoteče. Aby nedocházelo k neúměrnému odtoku z plochy po dešti (spád 9-10%), navrhuje se u každého objektu vybudovat domovní dešťovou nádrž pro podchycení srážkových vod ze zpevněných ploch. Velikost každé nádrže vychází na 9-11 m3 dle dimenze na maximální denní srážku. Zachycené vody se použijí k zálivce, do domovních bazénů, jako užitková voda apod. Eventuální přebytky se v bezdeštném období mohou odvést do odvodňovacího systému.</w:t>
      </w:r>
    </w:p>
    <w:p w14:paraId="6B3EF46D" w14:textId="77777777" w:rsidR="006031D6" w:rsidRPr="006031D6" w:rsidRDefault="006031D6" w:rsidP="006031D6">
      <w:pPr>
        <w:spacing w:before="120" w:line="288" w:lineRule="auto"/>
        <w:jc w:val="both"/>
        <w:rPr>
          <w:rFonts w:ascii="Arial" w:hAnsi="Arial" w:cs="Arial"/>
          <w:b/>
          <w:color w:val="0066FF"/>
          <w:sz w:val="22"/>
          <w:szCs w:val="22"/>
        </w:rPr>
      </w:pPr>
      <w:r w:rsidRPr="006031D6">
        <w:rPr>
          <w:rFonts w:ascii="Arial" w:hAnsi="Arial" w:cs="Arial"/>
          <w:b/>
          <w:color w:val="0066FF"/>
          <w:sz w:val="22"/>
          <w:szCs w:val="22"/>
        </w:rPr>
        <w:t>Návrh zásobování pitnou vodou:</w:t>
      </w:r>
    </w:p>
    <w:p w14:paraId="6933EF75" w14:textId="77777777" w:rsidR="006031D6" w:rsidRPr="006031D6" w:rsidRDefault="006031D6" w:rsidP="006031D6">
      <w:pPr>
        <w:spacing w:before="120" w:line="288" w:lineRule="auto"/>
        <w:jc w:val="both"/>
        <w:rPr>
          <w:rFonts w:ascii="Arial" w:hAnsi="Arial" w:cs="Arial"/>
          <w:color w:val="0066FF"/>
          <w:sz w:val="22"/>
          <w:szCs w:val="22"/>
        </w:rPr>
      </w:pPr>
      <w:r w:rsidRPr="006031D6">
        <w:rPr>
          <w:rFonts w:ascii="Arial" w:hAnsi="Arial" w:cs="Arial"/>
          <w:color w:val="0066FF"/>
          <w:sz w:val="22"/>
          <w:szCs w:val="22"/>
        </w:rPr>
        <w:t xml:space="preserve">Potřeba lokality: </w:t>
      </w:r>
      <w:r w:rsidRPr="006031D6">
        <w:rPr>
          <w:rFonts w:ascii="Arial" w:hAnsi="Arial" w:cs="Arial"/>
          <w:color w:val="0066FF"/>
          <w:sz w:val="22"/>
          <w:szCs w:val="22"/>
        </w:rPr>
        <w:tab/>
        <w:t>Q</w:t>
      </w:r>
      <w:r w:rsidRPr="006031D6">
        <w:rPr>
          <w:rFonts w:ascii="Arial" w:hAnsi="Arial" w:cs="Arial"/>
          <w:color w:val="0066FF"/>
          <w:sz w:val="22"/>
          <w:szCs w:val="22"/>
          <w:vertAlign w:val="subscript"/>
        </w:rPr>
        <w:t xml:space="preserve">M </w:t>
      </w:r>
      <w:r w:rsidRPr="006031D6">
        <w:rPr>
          <w:rFonts w:ascii="Arial" w:hAnsi="Arial" w:cs="Arial"/>
          <w:color w:val="0066FF"/>
          <w:sz w:val="22"/>
          <w:szCs w:val="22"/>
        </w:rPr>
        <w:t>cca 18,4 m3/den (0,2 V5)</w:t>
      </w:r>
    </w:p>
    <w:p w14:paraId="08765112" w14:textId="77777777" w:rsidR="006031D6" w:rsidRPr="006031D6" w:rsidRDefault="006031D6" w:rsidP="006031D6">
      <w:pPr>
        <w:spacing w:before="120" w:line="288" w:lineRule="auto"/>
        <w:ind w:left="1416" w:firstLine="708"/>
        <w:jc w:val="both"/>
        <w:rPr>
          <w:rFonts w:ascii="Arial" w:hAnsi="Arial" w:cs="Arial"/>
          <w:color w:val="0066FF"/>
          <w:sz w:val="22"/>
          <w:szCs w:val="22"/>
        </w:rPr>
      </w:pPr>
      <w:r w:rsidRPr="006031D6">
        <w:rPr>
          <w:rFonts w:ascii="Arial" w:hAnsi="Arial" w:cs="Arial"/>
          <w:color w:val="0066FF"/>
          <w:sz w:val="22"/>
          <w:szCs w:val="22"/>
        </w:rPr>
        <w:t>Q</w:t>
      </w:r>
      <w:r w:rsidRPr="006031D6">
        <w:rPr>
          <w:rFonts w:ascii="Arial" w:hAnsi="Arial" w:cs="Arial"/>
          <w:color w:val="0066FF"/>
          <w:sz w:val="22"/>
          <w:szCs w:val="22"/>
          <w:vertAlign w:val="subscript"/>
        </w:rPr>
        <w:t>H</w:t>
      </w:r>
      <w:r w:rsidRPr="006031D6">
        <w:rPr>
          <w:rFonts w:ascii="Arial" w:hAnsi="Arial" w:cs="Arial"/>
          <w:color w:val="0066FF"/>
          <w:sz w:val="22"/>
          <w:szCs w:val="22"/>
        </w:rPr>
        <w:t xml:space="preserve"> cca 2,6,l/s</w:t>
      </w:r>
    </w:p>
    <w:p w14:paraId="3E10D2CA"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Lokalita bude napojena v horní části na nově vybudovaný vodovodní řad DN90.</w:t>
      </w:r>
    </w:p>
    <w:p w14:paraId="26737284"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Ostatní objekty budou napojeny na stávající procházející řad DN200.</w:t>
      </w:r>
    </w:p>
    <w:p w14:paraId="35FCF158"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V části, kde tento řad prochází přes soukromé pozemky, bude nutno jej přeložit do veřejného prostranství (dle výkresu B 2 - vodní hospodářství).</w:t>
      </w:r>
    </w:p>
    <w:p w14:paraId="43C38A12" w14:textId="77777777" w:rsidR="006031D6" w:rsidRPr="006031D6" w:rsidRDefault="006031D6" w:rsidP="006031D6">
      <w:pPr>
        <w:spacing w:before="120" w:line="288" w:lineRule="auto"/>
        <w:jc w:val="both"/>
        <w:rPr>
          <w:rFonts w:ascii="Arial" w:hAnsi="Arial" w:cs="Arial"/>
          <w:b/>
          <w:color w:val="0066FF"/>
          <w:sz w:val="22"/>
          <w:szCs w:val="22"/>
        </w:rPr>
      </w:pPr>
      <w:r w:rsidRPr="006031D6">
        <w:rPr>
          <w:rFonts w:ascii="Arial" w:hAnsi="Arial" w:cs="Arial"/>
          <w:b/>
          <w:color w:val="0066FF"/>
          <w:sz w:val="22"/>
          <w:szCs w:val="22"/>
        </w:rPr>
        <w:t>Návrh odkanalizování:</w:t>
      </w:r>
    </w:p>
    <w:p w14:paraId="3F94AADB" w14:textId="77777777" w:rsidR="006031D6" w:rsidRPr="006031D6" w:rsidRDefault="006031D6" w:rsidP="006031D6">
      <w:pPr>
        <w:spacing w:before="120" w:line="288" w:lineRule="auto"/>
        <w:jc w:val="both"/>
        <w:rPr>
          <w:rFonts w:ascii="Arial" w:hAnsi="Arial" w:cs="Arial"/>
          <w:color w:val="0066FF"/>
          <w:sz w:val="22"/>
          <w:szCs w:val="22"/>
        </w:rPr>
      </w:pPr>
      <w:r w:rsidRPr="006031D6">
        <w:rPr>
          <w:rFonts w:ascii="Arial" w:hAnsi="Arial" w:cs="Arial"/>
          <w:color w:val="0066FF"/>
          <w:sz w:val="22"/>
          <w:szCs w:val="22"/>
        </w:rPr>
        <w:t>Odkanalizování je navrženo řešit oddílnou kanalizací.</w:t>
      </w:r>
    </w:p>
    <w:p w14:paraId="456B76FD" w14:textId="77777777" w:rsidR="006031D6" w:rsidRPr="006031D6" w:rsidRDefault="006031D6" w:rsidP="006031D6">
      <w:pPr>
        <w:spacing w:before="120" w:line="288" w:lineRule="auto"/>
        <w:jc w:val="both"/>
        <w:rPr>
          <w:rFonts w:ascii="Arial" w:hAnsi="Arial" w:cs="Arial"/>
          <w:color w:val="0066FF"/>
          <w:sz w:val="22"/>
          <w:szCs w:val="22"/>
        </w:rPr>
      </w:pPr>
      <w:r w:rsidRPr="006031D6">
        <w:rPr>
          <w:rFonts w:ascii="Arial" w:hAnsi="Arial" w:cs="Arial"/>
          <w:color w:val="0066FF"/>
          <w:sz w:val="22"/>
          <w:szCs w:val="22"/>
          <w:u w:val="single"/>
        </w:rPr>
        <w:t>DEŠŤOVÉ VODY</w:t>
      </w:r>
      <w:r w:rsidRPr="006031D6">
        <w:rPr>
          <w:rFonts w:ascii="Arial" w:hAnsi="Arial" w:cs="Arial"/>
          <w:color w:val="0066FF"/>
          <w:sz w:val="22"/>
          <w:szCs w:val="22"/>
        </w:rPr>
        <w:t xml:space="preserve"> budou podchyceny a odvedeny dle koncepce uvedené v návrhu úpravy odtokových poměrů.</w:t>
      </w:r>
    </w:p>
    <w:p w14:paraId="46C0A32C" w14:textId="77777777" w:rsidR="006031D6" w:rsidRPr="006031D6" w:rsidRDefault="006031D6" w:rsidP="006031D6">
      <w:pPr>
        <w:spacing w:before="120" w:line="288" w:lineRule="auto"/>
        <w:jc w:val="both"/>
        <w:rPr>
          <w:rFonts w:ascii="Arial" w:hAnsi="Arial" w:cs="Arial"/>
          <w:color w:val="0066FF"/>
          <w:sz w:val="22"/>
          <w:szCs w:val="22"/>
        </w:rPr>
      </w:pPr>
      <w:r w:rsidRPr="006031D6">
        <w:rPr>
          <w:rFonts w:ascii="Arial" w:hAnsi="Arial" w:cs="Arial"/>
          <w:color w:val="0066FF"/>
          <w:sz w:val="22"/>
          <w:szCs w:val="22"/>
          <w:u w:val="single"/>
        </w:rPr>
        <w:t>SPLAŠKOVÉ VODY</w:t>
      </w:r>
      <w:r w:rsidRPr="006031D6">
        <w:rPr>
          <w:rFonts w:ascii="Arial" w:hAnsi="Arial" w:cs="Arial"/>
          <w:color w:val="0066FF"/>
          <w:sz w:val="22"/>
          <w:szCs w:val="22"/>
        </w:rPr>
        <w:t xml:space="preserve"> z objektů v horní části lokality budou odvedeny vybudovanou splaškovou stokou do stávající kanalizace v Polské ulici.</w:t>
      </w:r>
    </w:p>
    <w:p w14:paraId="6740B1F6" w14:textId="77777777" w:rsidR="006031D6" w:rsidRPr="006031D6" w:rsidRDefault="006031D6" w:rsidP="006031D6">
      <w:pPr>
        <w:spacing w:before="120" w:line="288" w:lineRule="auto"/>
        <w:jc w:val="both"/>
        <w:rPr>
          <w:rFonts w:ascii="Arial" w:hAnsi="Arial" w:cs="Arial"/>
          <w:color w:val="0066FF"/>
          <w:sz w:val="22"/>
          <w:szCs w:val="22"/>
        </w:rPr>
      </w:pPr>
      <w:r w:rsidRPr="006031D6">
        <w:rPr>
          <w:rFonts w:ascii="Arial" w:hAnsi="Arial" w:cs="Arial"/>
          <w:color w:val="0066FF"/>
          <w:sz w:val="22"/>
          <w:szCs w:val="22"/>
        </w:rPr>
        <w:t>Napojení většiny dalších níže položených RD na lokalitě bude možné pouze po vybudování nové gravitační splaškové stoky od konce stávající stoky v Albánské ulici (beton profil 400/600) k lokalitě.</w:t>
      </w:r>
    </w:p>
    <w:p w14:paraId="37F8288C" w14:textId="77777777" w:rsidR="006031D6" w:rsidRPr="006031D6" w:rsidRDefault="006031D6" w:rsidP="006031D6">
      <w:pPr>
        <w:spacing w:before="120" w:line="288" w:lineRule="auto"/>
        <w:jc w:val="both"/>
        <w:rPr>
          <w:rFonts w:ascii="Arial" w:hAnsi="Arial" w:cs="Arial"/>
          <w:color w:val="0066FF"/>
          <w:sz w:val="22"/>
          <w:szCs w:val="22"/>
        </w:rPr>
      </w:pPr>
      <w:r w:rsidRPr="006031D6">
        <w:rPr>
          <w:rFonts w:ascii="Arial" w:hAnsi="Arial" w:cs="Arial"/>
          <w:color w:val="0066FF"/>
          <w:sz w:val="22"/>
          <w:szCs w:val="22"/>
        </w:rPr>
        <w:t>Do nově vybudované stoky budou odvedeny pouze vody splaškové.</w:t>
      </w:r>
    </w:p>
    <w:p w14:paraId="46385834" w14:textId="77777777" w:rsidR="006031D6" w:rsidRPr="006031D6" w:rsidRDefault="006031D6" w:rsidP="006031D6">
      <w:pPr>
        <w:spacing w:before="120" w:line="288" w:lineRule="auto"/>
        <w:jc w:val="both"/>
        <w:rPr>
          <w:rFonts w:ascii="Arial" w:hAnsi="Arial" w:cs="Arial"/>
          <w:color w:val="0066FF"/>
          <w:sz w:val="22"/>
          <w:szCs w:val="22"/>
        </w:rPr>
      </w:pPr>
    </w:p>
    <w:p w14:paraId="7A9C9875" w14:textId="77777777" w:rsidR="006031D6" w:rsidRPr="006031D6" w:rsidRDefault="006031D6" w:rsidP="006031D6">
      <w:pPr>
        <w:spacing w:before="120" w:line="288" w:lineRule="auto"/>
        <w:jc w:val="both"/>
        <w:rPr>
          <w:rFonts w:ascii="Arial" w:hAnsi="Arial" w:cs="Arial"/>
          <w:b/>
          <w:color w:val="0066FF"/>
          <w:sz w:val="22"/>
          <w:szCs w:val="22"/>
        </w:rPr>
      </w:pPr>
      <w:r w:rsidRPr="006031D6">
        <w:rPr>
          <w:rFonts w:ascii="Arial" w:hAnsi="Arial" w:cs="Arial"/>
          <w:b/>
          <w:color w:val="0066FF"/>
          <w:sz w:val="22"/>
          <w:szCs w:val="22"/>
        </w:rPr>
        <w:t>REGULATIVY VH:</w:t>
      </w:r>
    </w:p>
    <w:p w14:paraId="6491AAFA" w14:textId="77777777" w:rsidR="006031D6" w:rsidRDefault="006031D6" w:rsidP="006031D6">
      <w:pPr>
        <w:pStyle w:val="Odstavecseseznamem"/>
        <w:numPr>
          <w:ilvl w:val="0"/>
          <w:numId w:val="52"/>
        </w:numPr>
        <w:spacing w:before="120" w:after="0" w:line="288" w:lineRule="auto"/>
        <w:ind w:left="360"/>
        <w:jc w:val="both"/>
        <w:rPr>
          <w:rFonts w:ascii="Arial" w:hAnsi="Arial" w:cs="Arial"/>
          <w:color w:val="0066FF"/>
        </w:rPr>
      </w:pPr>
      <w:r w:rsidRPr="006031D6">
        <w:rPr>
          <w:rFonts w:ascii="Arial" w:hAnsi="Arial" w:cs="Arial"/>
          <w:color w:val="0066FF"/>
        </w:rPr>
        <w:t>Předmětná lokalita pro výstavbu rodinných domů v k. ú. Krásný Studenec bude napojena na stávající vodovod a kanalizaci pro veřejnou potřebu ve smyslu zásad uvedených v tomto elaborátu.</w:t>
      </w:r>
    </w:p>
    <w:p w14:paraId="43591701" w14:textId="77777777" w:rsidR="006031D6" w:rsidRDefault="006031D6" w:rsidP="006031D6">
      <w:pPr>
        <w:pStyle w:val="Odstavecseseznamem"/>
        <w:spacing w:before="120" w:after="0" w:line="288" w:lineRule="auto"/>
        <w:ind w:left="360"/>
        <w:jc w:val="both"/>
        <w:rPr>
          <w:rFonts w:ascii="Arial" w:hAnsi="Arial" w:cs="Arial"/>
          <w:color w:val="0066FF"/>
        </w:rPr>
      </w:pPr>
    </w:p>
    <w:p w14:paraId="4BD46791" w14:textId="77777777" w:rsidR="006031D6" w:rsidRPr="006031D6" w:rsidRDefault="006031D6" w:rsidP="006031D6">
      <w:pPr>
        <w:pStyle w:val="Odstavecseseznamem"/>
        <w:spacing w:before="120" w:after="0" w:line="288" w:lineRule="auto"/>
        <w:ind w:left="360"/>
        <w:jc w:val="both"/>
        <w:rPr>
          <w:rFonts w:ascii="Arial" w:hAnsi="Arial" w:cs="Arial"/>
          <w:color w:val="0066FF"/>
        </w:rPr>
      </w:pPr>
    </w:p>
    <w:p w14:paraId="2E95F63A" w14:textId="77777777" w:rsidR="006031D6" w:rsidRPr="006031D6" w:rsidRDefault="006031D6" w:rsidP="006031D6">
      <w:pPr>
        <w:pStyle w:val="Odstavecseseznamem"/>
        <w:numPr>
          <w:ilvl w:val="0"/>
          <w:numId w:val="52"/>
        </w:numPr>
        <w:spacing w:before="120" w:after="0" w:line="288" w:lineRule="auto"/>
        <w:ind w:left="360"/>
        <w:jc w:val="both"/>
        <w:rPr>
          <w:rFonts w:ascii="Arial" w:hAnsi="Arial" w:cs="Arial"/>
          <w:color w:val="0066FF"/>
        </w:rPr>
      </w:pPr>
      <w:r w:rsidRPr="006031D6">
        <w:rPr>
          <w:rFonts w:ascii="Arial" w:hAnsi="Arial" w:cs="Arial"/>
          <w:color w:val="0066FF"/>
        </w:rPr>
        <w:lastRenderedPageBreak/>
        <w:t>Pitný vodovod bude plnit zároveň funkci požárního vodovodu ve smyslu ČSN 730873 „Zásobování pitnou vodou“.</w:t>
      </w:r>
    </w:p>
    <w:p w14:paraId="4A13CCA9" w14:textId="77777777" w:rsidR="006031D6" w:rsidRPr="006031D6" w:rsidRDefault="006031D6" w:rsidP="006031D6">
      <w:pPr>
        <w:pStyle w:val="Odstavecseseznamem"/>
        <w:numPr>
          <w:ilvl w:val="0"/>
          <w:numId w:val="52"/>
        </w:numPr>
        <w:spacing w:before="120" w:after="0" w:line="288" w:lineRule="auto"/>
        <w:ind w:left="360"/>
        <w:jc w:val="both"/>
        <w:rPr>
          <w:rFonts w:ascii="Arial" w:hAnsi="Arial" w:cs="Arial"/>
          <w:color w:val="0066FF"/>
        </w:rPr>
      </w:pPr>
      <w:r w:rsidRPr="006031D6">
        <w:rPr>
          <w:rFonts w:ascii="Arial" w:hAnsi="Arial" w:cs="Arial"/>
          <w:color w:val="0066FF"/>
        </w:rPr>
        <w:t>Veškerá nově navrhovaná kanalizace bude řešena jako oddílná.</w:t>
      </w:r>
    </w:p>
    <w:p w14:paraId="749F5512" w14:textId="77777777" w:rsidR="006031D6" w:rsidRPr="006031D6" w:rsidRDefault="006031D6" w:rsidP="006031D6">
      <w:pPr>
        <w:pStyle w:val="Odstavecseseznamem"/>
        <w:numPr>
          <w:ilvl w:val="0"/>
          <w:numId w:val="52"/>
        </w:numPr>
        <w:spacing w:before="120" w:after="0" w:line="288" w:lineRule="auto"/>
        <w:ind w:left="360"/>
        <w:jc w:val="both"/>
        <w:rPr>
          <w:rFonts w:ascii="Arial" w:hAnsi="Arial" w:cs="Arial"/>
          <w:color w:val="0066FF"/>
        </w:rPr>
      </w:pPr>
      <w:r w:rsidRPr="006031D6">
        <w:rPr>
          <w:rFonts w:ascii="Arial" w:hAnsi="Arial" w:cs="Arial"/>
          <w:color w:val="0066FF"/>
        </w:rPr>
        <w:t>Dešťové vody budou podchycovány u jednotlivých objektů &amp; likvidovány na vlastních plochách.</w:t>
      </w:r>
    </w:p>
    <w:p w14:paraId="1F8F800A" w14:textId="77777777" w:rsidR="006031D6" w:rsidRPr="006031D6" w:rsidRDefault="006031D6" w:rsidP="006031D6">
      <w:pPr>
        <w:pStyle w:val="Odstavecseseznamem"/>
        <w:numPr>
          <w:ilvl w:val="0"/>
          <w:numId w:val="52"/>
        </w:numPr>
        <w:spacing w:before="120" w:after="0" w:line="288" w:lineRule="auto"/>
        <w:ind w:left="360"/>
        <w:jc w:val="both"/>
        <w:rPr>
          <w:rFonts w:ascii="Arial" w:hAnsi="Arial" w:cs="Arial"/>
          <w:color w:val="0066FF"/>
        </w:rPr>
      </w:pPr>
      <w:r w:rsidRPr="006031D6">
        <w:rPr>
          <w:rFonts w:ascii="Arial" w:hAnsi="Arial" w:cs="Arial"/>
          <w:color w:val="0066FF"/>
        </w:rPr>
        <w:t>Pro ochranu před vodami z extravilánu nad lokalitou je třeba vybudovat záchytný systém odvádějící vody bezpečně mimo plochu dle navržené koncepce.</w:t>
      </w:r>
    </w:p>
    <w:p w14:paraId="5F2FB3B5" w14:textId="77777777" w:rsidR="006031D6" w:rsidRPr="006031D6" w:rsidRDefault="006031D6" w:rsidP="006031D6">
      <w:pPr>
        <w:pStyle w:val="Odstavecseseznamem"/>
        <w:spacing w:before="120" w:after="0" w:line="288" w:lineRule="auto"/>
        <w:ind w:left="0"/>
        <w:jc w:val="both"/>
        <w:rPr>
          <w:rFonts w:ascii="Arial" w:hAnsi="Arial" w:cs="Arial"/>
          <w:color w:val="0066FF"/>
        </w:rPr>
      </w:pPr>
    </w:p>
    <w:p w14:paraId="440E09CF" w14:textId="77777777" w:rsidR="006031D6" w:rsidRPr="006031D6" w:rsidRDefault="006031D6" w:rsidP="006031D6">
      <w:pPr>
        <w:spacing w:before="120" w:line="288" w:lineRule="auto"/>
        <w:jc w:val="both"/>
        <w:rPr>
          <w:rFonts w:ascii="Arial" w:hAnsi="Arial" w:cs="Arial"/>
          <w:b/>
          <w:color w:val="0066FF"/>
          <w:sz w:val="22"/>
          <w:szCs w:val="22"/>
        </w:rPr>
      </w:pPr>
      <w:r w:rsidRPr="006031D6">
        <w:rPr>
          <w:rFonts w:ascii="Arial" w:hAnsi="Arial" w:cs="Arial"/>
          <w:b/>
          <w:color w:val="0066FF"/>
          <w:sz w:val="22"/>
          <w:szCs w:val="22"/>
        </w:rPr>
        <w:t>ZÁPLAVOVÉ ÚZEMÍ</w:t>
      </w:r>
    </w:p>
    <w:p w14:paraId="699B28FB"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 xml:space="preserve">Ve schváleném územním plánu z roku 2002 jsou vymezena záplavová území Labe, Jílovského potoka a Ploučnice. </w:t>
      </w:r>
    </w:p>
    <w:p w14:paraId="00801CC6" w14:textId="77777777" w:rsidR="006031D6" w:rsidRPr="006031D6" w:rsidRDefault="006031D6" w:rsidP="006031D6">
      <w:pPr>
        <w:spacing w:before="120" w:line="288" w:lineRule="auto"/>
        <w:ind w:firstLine="709"/>
        <w:jc w:val="both"/>
        <w:rPr>
          <w:rFonts w:ascii="Arial" w:hAnsi="Arial" w:cs="Arial"/>
          <w:color w:val="0066FF"/>
          <w:sz w:val="22"/>
          <w:szCs w:val="22"/>
        </w:rPr>
      </w:pPr>
      <w:r w:rsidRPr="006031D6">
        <w:rPr>
          <w:rFonts w:ascii="Arial" w:hAnsi="Arial" w:cs="Arial"/>
          <w:color w:val="0066FF"/>
          <w:sz w:val="22"/>
          <w:szCs w:val="22"/>
        </w:rPr>
        <w:t>Lokalita Krásný Studenec je mimo záplavové území. Řešení ochrany před povrchovými vodami je součástí oddílu g2) koncepce vodního hospodářství, odkanalizování.</w:t>
      </w:r>
    </w:p>
    <w:p w14:paraId="4DDC8782" w14:textId="77777777" w:rsidR="006031D6" w:rsidRPr="006031D6" w:rsidRDefault="006031D6" w:rsidP="006031D6">
      <w:pPr>
        <w:pStyle w:val="Odstavecseseznamem"/>
        <w:spacing w:before="120" w:after="0" w:line="288" w:lineRule="auto"/>
        <w:ind w:left="0"/>
        <w:jc w:val="both"/>
        <w:rPr>
          <w:rFonts w:ascii="Arial" w:hAnsi="Arial" w:cs="Arial"/>
          <w:color w:val="BF8F00"/>
        </w:rPr>
      </w:pPr>
    </w:p>
    <w:p w14:paraId="20476D2E" w14:textId="77777777" w:rsidR="006031D6" w:rsidRPr="006031D6" w:rsidRDefault="006031D6" w:rsidP="006031D6">
      <w:pPr>
        <w:spacing w:before="120" w:line="288" w:lineRule="auto"/>
        <w:jc w:val="both"/>
        <w:rPr>
          <w:rFonts w:ascii="Arial" w:hAnsi="Arial" w:cs="Arial"/>
          <w:b/>
          <w:color w:val="D60093"/>
        </w:rPr>
      </w:pPr>
      <w:r w:rsidRPr="006031D6">
        <w:rPr>
          <w:rFonts w:ascii="Arial" w:hAnsi="Arial" w:cs="Arial"/>
          <w:b/>
          <w:color w:val="D60093"/>
        </w:rPr>
        <w:t>(Z6) KONCEPCE VODNÍHO HOSPODÁŘSTVÍ,</w:t>
      </w:r>
    </w:p>
    <w:p w14:paraId="6F3452AD" w14:textId="77777777" w:rsidR="006031D6" w:rsidRPr="006031D6" w:rsidRDefault="006031D6" w:rsidP="006031D6">
      <w:pPr>
        <w:spacing w:before="120" w:line="288" w:lineRule="auto"/>
        <w:jc w:val="both"/>
        <w:rPr>
          <w:rFonts w:ascii="Arial" w:hAnsi="Arial" w:cs="Arial"/>
          <w:b/>
          <w:color w:val="D60093"/>
          <w:sz w:val="22"/>
          <w:szCs w:val="22"/>
        </w:rPr>
      </w:pPr>
      <w:r w:rsidRPr="006031D6">
        <w:rPr>
          <w:rFonts w:ascii="Arial" w:hAnsi="Arial" w:cs="Arial"/>
          <w:b/>
          <w:color w:val="D60093"/>
          <w:sz w:val="22"/>
          <w:szCs w:val="22"/>
        </w:rPr>
        <w:t>Základní koncepce vodního hospodářství</w:t>
      </w:r>
    </w:p>
    <w:p w14:paraId="4554B64D" w14:textId="77777777" w:rsidR="006031D6" w:rsidRPr="006031D6" w:rsidRDefault="006031D6" w:rsidP="006031D6">
      <w:pPr>
        <w:spacing w:before="120" w:line="288" w:lineRule="auto"/>
        <w:ind w:firstLine="709"/>
        <w:jc w:val="both"/>
        <w:rPr>
          <w:rFonts w:ascii="Arial" w:hAnsi="Arial" w:cs="Arial"/>
          <w:color w:val="D60093"/>
          <w:sz w:val="22"/>
          <w:szCs w:val="22"/>
        </w:rPr>
      </w:pPr>
      <w:r w:rsidRPr="006031D6">
        <w:rPr>
          <w:rFonts w:ascii="Arial" w:hAnsi="Arial" w:cs="Arial"/>
          <w:color w:val="D60093"/>
          <w:sz w:val="22"/>
          <w:szCs w:val="22"/>
        </w:rPr>
        <w:t>Řešení nově zařazených lokalit v návrhu územního plánu sídelního útvaru města Děčína podstatným způsobem nemění původní řešení. Na původní řešení plynule navazuje a již navrženou koncepci vodohospodářské problematiky rozvíjí o nové oblasti. Současně podtrhuje důležitost návrhu opatření zapracovaných v původním řešení návrhu vodovodního a kanalizačního systému. Návrh je řešen v souladu se zpracovaným „Plánem rozvoje vodovodů a kanalizací Ústeckého kraje ( PRVKÚK).</w:t>
      </w:r>
    </w:p>
    <w:p w14:paraId="5DE280C3" w14:textId="77777777" w:rsidR="006031D6" w:rsidRPr="006031D6" w:rsidRDefault="006031D6" w:rsidP="006031D6">
      <w:pPr>
        <w:spacing w:before="120" w:line="288" w:lineRule="auto"/>
        <w:jc w:val="both"/>
        <w:rPr>
          <w:rFonts w:ascii="Arial" w:hAnsi="Arial" w:cs="Arial"/>
          <w:b/>
          <w:color w:val="D60093"/>
          <w:sz w:val="22"/>
          <w:szCs w:val="22"/>
        </w:rPr>
      </w:pPr>
      <w:r w:rsidRPr="006031D6">
        <w:rPr>
          <w:rFonts w:ascii="Arial" w:hAnsi="Arial" w:cs="Arial"/>
          <w:b/>
          <w:color w:val="D60093"/>
          <w:sz w:val="22"/>
          <w:szCs w:val="22"/>
        </w:rPr>
        <w:t>Společné zásady pro všechny lokality</w:t>
      </w:r>
    </w:p>
    <w:p w14:paraId="55729C0B" w14:textId="77777777" w:rsidR="006031D6" w:rsidRPr="006031D6" w:rsidRDefault="006031D6" w:rsidP="006031D6">
      <w:pPr>
        <w:spacing w:before="120" w:line="288" w:lineRule="auto"/>
        <w:ind w:firstLine="709"/>
        <w:jc w:val="both"/>
        <w:rPr>
          <w:rFonts w:ascii="Arial" w:hAnsi="Arial" w:cs="Arial"/>
          <w:color w:val="D60093"/>
          <w:sz w:val="22"/>
          <w:szCs w:val="22"/>
        </w:rPr>
      </w:pPr>
      <w:r w:rsidRPr="006031D6">
        <w:rPr>
          <w:rFonts w:ascii="Arial" w:hAnsi="Arial" w:cs="Arial"/>
          <w:color w:val="D60093"/>
          <w:sz w:val="22"/>
          <w:szCs w:val="22"/>
        </w:rPr>
        <w:t>Všechny nově plánované vodohospodářské objekty budou umístěny pouze na veřejných pozemcích. Soukromé pozemky zůstanou nedotčeny.</w:t>
      </w:r>
    </w:p>
    <w:p w14:paraId="28D93EB8" w14:textId="77777777" w:rsidR="006031D6" w:rsidRPr="006031D6" w:rsidRDefault="006031D6" w:rsidP="006031D6">
      <w:pPr>
        <w:spacing w:before="120" w:line="288" w:lineRule="auto"/>
        <w:jc w:val="both"/>
        <w:rPr>
          <w:rFonts w:ascii="Arial" w:hAnsi="Arial" w:cs="Arial"/>
          <w:b/>
          <w:color w:val="D60093"/>
          <w:sz w:val="22"/>
          <w:szCs w:val="22"/>
        </w:rPr>
      </w:pPr>
      <w:r w:rsidRPr="006031D6">
        <w:rPr>
          <w:rFonts w:ascii="Arial" w:hAnsi="Arial" w:cs="Arial"/>
          <w:b/>
          <w:color w:val="D60093"/>
          <w:sz w:val="22"/>
          <w:szCs w:val="22"/>
        </w:rPr>
        <w:t>Odtokové poměry</w:t>
      </w:r>
    </w:p>
    <w:p w14:paraId="3147E1D3" w14:textId="77777777" w:rsidR="006031D6" w:rsidRPr="006031D6" w:rsidRDefault="006031D6" w:rsidP="006031D6">
      <w:pPr>
        <w:spacing w:before="120" w:line="288" w:lineRule="auto"/>
        <w:ind w:firstLine="709"/>
        <w:jc w:val="both"/>
        <w:rPr>
          <w:rFonts w:ascii="Arial" w:hAnsi="Arial" w:cs="Arial"/>
          <w:color w:val="D60093"/>
          <w:sz w:val="22"/>
          <w:szCs w:val="22"/>
        </w:rPr>
      </w:pPr>
      <w:r w:rsidRPr="006031D6">
        <w:rPr>
          <w:rFonts w:ascii="Arial" w:hAnsi="Arial" w:cs="Arial"/>
          <w:color w:val="D60093"/>
          <w:sz w:val="22"/>
          <w:szCs w:val="22"/>
        </w:rPr>
        <w:t>Žádná ze zájmových lokalit není ohrožována záplavami. Terén je přirozené svažitý, a nová výstavba bude respektovat jeho charakter. Dešťové vody z nové zpevněných ploch budou zachytávány do dešťových nádrží a budou likvidovány na místě dopadu (vsak. zálivka druhotné využití apod.) nebo budou vypouštěny do stávající jednotné kanalizace nebo do nové dešťová kanalizace. Eventuálně je bude možno vypouštět přímo do potoka.</w:t>
      </w:r>
    </w:p>
    <w:p w14:paraId="2DAF3259" w14:textId="77777777" w:rsidR="006031D6" w:rsidRDefault="006031D6" w:rsidP="006031D6">
      <w:pPr>
        <w:spacing w:before="120" w:line="288" w:lineRule="auto"/>
        <w:ind w:firstLine="709"/>
        <w:jc w:val="both"/>
        <w:rPr>
          <w:rFonts w:ascii="Arial" w:hAnsi="Arial" w:cs="Arial"/>
          <w:color w:val="D60093"/>
          <w:sz w:val="22"/>
          <w:szCs w:val="22"/>
        </w:rPr>
      </w:pPr>
      <w:r w:rsidRPr="006031D6">
        <w:rPr>
          <w:rFonts w:ascii="Arial" w:hAnsi="Arial" w:cs="Arial"/>
          <w:color w:val="D60093"/>
          <w:sz w:val="22"/>
          <w:szCs w:val="22"/>
        </w:rPr>
        <w:t>Pokud budou srážkové vody odváděny do stávajícího stokového systému města, bude nutno respektovat kapacitní možnosti tohoto systému a v případě potřeby zřídit retenční prvky pro snížení velikosti nárazového přítoku vody do tohoto systému.</w:t>
      </w:r>
    </w:p>
    <w:p w14:paraId="352B39E1" w14:textId="77777777" w:rsidR="006031D6" w:rsidRDefault="006031D6" w:rsidP="006031D6">
      <w:pPr>
        <w:spacing w:before="120" w:line="288" w:lineRule="auto"/>
        <w:ind w:firstLine="709"/>
        <w:jc w:val="both"/>
        <w:rPr>
          <w:rFonts w:ascii="Arial" w:hAnsi="Arial" w:cs="Arial"/>
          <w:color w:val="D60093"/>
          <w:sz w:val="22"/>
          <w:szCs w:val="22"/>
        </w:rPr>
      </w:pPr>
    </w:p>
    <w:p w14:paraId="56583365" w14:textId="77777777" w:rsidR="006031D6" w:rsidRPr="006031D6" w:rsidRDefault="006031D6" w:rsidP="006031D6">
      <w:pPr>
        <w:spacing w:before="120" w:line="288" w:lineRule="auto"/>
        <w:ind w:firstLine="709"/>
        <w:jc w:val="both"/>
        <w:rPr>
          <w:rFonts w:ascii="Arial" w:hAnsi="Arial" w:cs="Arial"/>
          <w:color w:val="D60093"/>
          <w:sz w:val="22"/>
          <w:szCs w:val="22"/>
        </w:rPr>
      </w:pPr>
    </w:p>
    <w:p w14:paraId="10B88E8C" w14:textId="77777777" w:rsidR="006031D6" w:rsidRPr="006031D6" w:rsidRDefault="006031D6" w:rsidP="006031D6">
      <w:pPr>
        <w:keepNext/>
        <w:spacing w:before="120" w:line="288" w:lineRule="auto"/>
        <w:jc w:val="both"/>
        <w:rPr>
          <w:rFonts w:ascii="Arial" w:hAnsi="Arial" w:cs="Arial"/>
          <w:b/>
          <w:color w:val="D60093"/>
          <w:sz w:val="22"/>
          <w:szCs w:val="22"/>
        </w:rPr>
      </w:pPr>
      <w:r w:rsidRPr="006031D6">
        <w:rPr>
          <w:rFonts w:ascii="Arial" w:hAnsi="Arial" w:cs="Arial"/>
          <w:b/>
          <w:color w:val="D60093"/>
          <w:sz w:val="22"/>
          <w:szCs w:val="22"/>
        </w:rPr>
        <w:lastRenderedPageBreak/>
        <w:t>Zásobování pitnou vodou</w:t>
      </w:r>
    </w:p>
    <w:p w14:paraId="13415712" w14:textId="77777777" w:rsidR="006031D6" w:rsidRPr="006031D6" w:rsidRDefault="006031D6" w:rsidP="006031D6">
      <w:pPr>
        <w:spacing w:before="120" w:line="288" w:lineRule="auto"/>
        <w:ind w:firstLine="709"/>
        <w:jc w:val="both"/>
        <w:rPr>
          <w:rFonts w:ascii="Arial" w:hAnsi="Arial" w:cs="Arial"/>
          <w:color w:val="D60093"/>
          <w:sz w:val="22"/>
          <w:szCs w:val="22"/>
        </w:rPr>
      </w:pPr>
      <w:r w:rsidRPr="006031D6">
        <w:rPr>
          <w:rFonts w:ascii="Arial" w:hAnsi="Arial" w:cs="Arial"/>
          <w:color w:val="D60093"/>
          <w:sz w:val="22"/>
          <w:szCs w:val="22"/>
        </w:rPr>
        <w:t>Pro zásobování zájmových lokalit pitnou vodou jsou stávající vodovodní řady dostatečně kapacitní. Nové vodovodní řady stejně jako stávající, budou současně plnit i požární funkci, musí však být opatřen odběrnými objekty (hydranty) ve smyslu CSN 73 08 73.</w:t>
      </w:r>
    </w:p>
    <w:p w14:paraId="4CB60895" w14:textId="77777777" w:rsidR="006031D6" w:rsidRPr="006031D6" w:rsidRDefault="006031D6" w:rsidP="006031D6">
      <w:pPr>
        <w:spacing w:before="120" w:line="288" w:lineRule="auto"/>
        <w:jc w:val="both"/>
        <w:rPr>
          <w:rFonts w:ascii="Arial" w:hAnsi="Arial" w:cs="Arial"/>
          <w:b/>
          <w:color w:val="D60093"/>
          <w:sz w:val="22"/>
          <w:szCs w:val="22"/>
        </w:rPr>
      </w:pPr>
      <w:r w:rsidRPr="006031D6">
        <w:rPr>
          <w:rFonts w:ascii="Arial" w:hAnsi="Arial" w:cs="Arial"/>
          <w:b/>
          <w:color w:val="D60093"/>
          <w:sz w:val="22"/>
          <w:szCs w:val="22"/>
        </w:rPr>
        <w:t>Odkanalizování</w:t>
      </w:r>
    </w:p>
    <w:p w14:paraId="7E741B0F" w14:textId="77777777" w:rsidR="006031D6" w:rsidRPr="006031D6" w:rsidRDefault="006031D6" w:rsidP="006031D6">
      <w:pPr>
        <w:spacing w:before="120" w:line="288" w:lineRule="auto"/>
        <w:ind w:firstLine="709"/>
        <w:jc w:val="both"/>
        <w:rPr>
          <w:rFonts w:ascii="Arial" w:hAnsi="Arial" w:cs="Arial"/>
          <w:color w:val="D60093"/>
          <w:sz w:val="22"/>
          <w:szCs w:val="22"/>
        </w:rPr>
      </w:pPr>
      <w:r w:rsidRPr="006031D6">
        <w:rPr>
          <w:rFonts w:ascii="Arial" w:hAnsi="Arial" w:cs="Arial"/>
          <w:color w:val="D60093"/>
          <w:sz w:val="22"/>
          <w:szCs w:val="22"/>
        </w:rPr>
        <w:t>Město Děčín je vybaveno jednotnou kanalizační sítí ukončenou mechanicko-biologickou čistírnou odpadních vod s vypouštěním vyčištěných vod do řeky Labe. Tato ČOV je dostatečně kapacitní pro zvýšený přítok odpadních vod zplánované výstavby. Ne vždy je však kapacitní stokový systém a to zejména v těch lokalitách, kde lze při realizaci nové výstavby očekávat značně zvýšený přítok srážkových vod. Odpadní vody nekomunálního charakteru nemohou být do stávajícího kanalizačního systému zaústěny.</w:t>
      </w:r>
    </w:p>
    <w:p w14:paraId="473F13F9" w14:textId="77777777" w:rsidR="006031D6" w:rsidRPr="006031D6" w:rsidRDefault="006031D6" w:rsidP="006031D6">
      <w:pPr>
        <w:spacing w:before="120" w:line="288" w:lineRule="auto"/>
        <w:ind w:firstLine="709"/>
        <w:jc w:val="both"/>
        <w:rPr>
          <w:rFonts w:ascii="Arial" w:hAnsi="Arial" w:cs="Arial"/>
          <w:color w:val="D60093"/>
          <w:sz w:val="22"/>
          <w:szCs w:val="22"/>
        </w:rPr>
      </w:pPr>
      <w:r w:rsidRPr="006031D6">
        <w:rPr>
          <w:rFonts w:ascii="Arial" w:hAnsi="Arial" w:cs="Arial"/>
          <w:color w:val="D60093"/>
          <w:sz w:val="22"/>
          <w:szCs w:val="22"/>
        </w:rPr>
        <w:t>V současnosti připravuje město Děčín výstavbu celé řady kanalizačních sběračů pro zahuštění stokového systému. Termín realizace připravovaných investic však není dosud znám.</w:t>
      </w:r>
    </w:p>
    <w:p w14:paraId="59EE054E" w14:textId="77777777" w:rsidR="006031D6" w:rsidRPr="006031D6" w:rsidRDefault="006031D6" w:rsidP="006031D6">
      <w:pPr>
        <w:spacing w:before="120" w:line="288" w:lineRule="auto"/>
        <w:ind w:firstLine="709"/>
        <w:jc w:val="both"/>
        <w:rPr>
          <w:rFonts w:ascii="Arial" w:hAnsi="Arial" w:cs="Arial"/>
          <w:color w:val="D60093"/>
          <w:sz w:val="22"/>
          <w:szCs w:val="22"/>
        </w:rPr>
      </w:pPr>
      <w:r w:rsidRPr="006031D6">
        <w:rPr>
          <w:rFonts w:ascii="Arial" w:hAnsi="Arial" w:cs="Arial"/>
          <w:color w:val="D60093"/>
          <w:sz w:val="22"/>
          <w:szCs w:val="22"/>
        </w:rPr>
        <w:t>Vzhledem k tomu, že v této dokumentaci je navrženo zahuštění stávající zástavby, přičemž se v jednotlivých lokalitách uvažuje většinou s drobnou výstavbou rodinných domků, není realizace drobné výstavby podmiňována existencí výše zmíněných masivních investic do kanalizačního systému. Je však nezbytné vzít na zřetel, že po realizaci zahuštění stokové sítě bude nutno všechny objekty se stávajícími čistícími zařízeními na nové stokové sítě přepojit a čistící zařízení vyřadit z provozu.</w:t>
      </w:r>
    </w:p>
    <w:p w14:paraId="1B4E76FA" w14:textId="77777777" w:rsidR="006031D6" w:rsidRPr="006031D6" w:rsidRDefault="006031D6" w:rsidP="006031D6">
      <w:pPr>
        <w:pStyle w:val="Odstavecseseznamem"/>
        <w:spacing w:line="276" w:lineRule="auto"/>
        <w:ind w:left="12"/>
        <w:jc w:val="both"/>
        <w:rPr>
          <w:rFonts w:ascii="Arial" w:hAnsi="Arial" w:cs="Arial"/>
          <w:color w:val="BF8F00"/>
        </w:rPr>
      </w:pPr>
    </w:p>
    <w:p w14:paraId="2C370F0B" w14:textId="77777777" w:rsidR="006031D6" w:rsidRPr="006031D6" w:rsidRDefault="006031D6" w:rsidP="006031D6">
      <w:pPr>
        <w:pStyle w:val="Nadpis3"/>
        <w:rPr>
          <w:rFonts w:ascii="Arial" w:hAnsi="Arial" w:cs="Arial"/>
          <w:color w:val="FF0000"/>
        </w:rPr>
      </w:pPr>
      <w:bookmarkStart w:id="13" w:name="_Toc354838617"/>
      <w:r w:rsidRPr="006031D6">
        <w:rPr>
          <w:rFonts w:ascii="Arial" w:hAnsi="Arial" w:cs="Arial"/>
          <w:color w:val="FF0000"/>
        </w:rPr>
        <w:t>(</w:t>
      </w:r>
      <w:r w:rsidRPr="006031D6">
        <w:rPr>
          <w:rFonts w:ascii="Arial" w:hAnsi="Arial" w:cs="Arial"/>
          <w:b/>
          <w:color w:val="FF0000"/>
        </w:rPr>
        <w:t>Z8) KONCEPCE VODNÍHO HOSPODÁŘSTVÍ, ODKANALIZOVÁNÍ</w:t>
      </w:r>
      <w:bookmarkEnd w:id="13"/>
    </w:p>
    <w:p w14:paraId="5748D1A4" w14:textId="77777777" w:rsidR="006031D6" w:rsidRPr="006031D6" w:rsidRDefault="006031D6" w:rsidP="006031D6">
      <w:pPr>
        <w:pStyle w:val="Nadpis3"/>
        <w:spacing w:before="120" w:line="288" w:lineRule="auto"/>
        <w:jc w:val="both"/>
        <w:rPr>
          <w:rFonts w:ascii="Arial" w:hAnsi="Arial" w:cs="Arial"/>
          <w:b/>
          <w:color w:val="FF0000"/>
          <w:sz w:val="22"/>
          <w:szCs w:val="22"/>
        </w:rPr>
      </w:pPr>
      <w:bookmarkStart w:id="14" w:name="_Toc354838618"/>
      <w:r w:rsidRPr="006031D6">
        <w:rPr>
          <w:rFonts w:ascii="Arial" w:hAnsi="Arial" w:cs="Arial"/>
          <w:b/>
          <w:color w:val="FF0000"/>
          <w:sz w:val="22"/>
          <w:szCs w:val="22"/>
        </w:rPr>
        <w:t>Řešení vodního hospodářství</w:t>
      </w:r>
      <w:bookmarkEnd w:id="14"/>
    </w:p>
    <w:p w14:paraId="1F9F66B5" w14:textId="77777777" w:rsidR="006031D6" w:rsidRP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t>Řešení nově zařazených lokalit v návrhu územního plánu města Děčína podstatným způsobem nemění původní řešení. Na původní řešení plynule navazuje a již navrženou koncepci vodohospodářské problematiky rozvíjí o nové oblasti. Současně podtrhuje důležitost návrhu opatření zapracovaných v původním řešení návrhu vodovodního a kanalizačního systému. Návrh je řešen v souladu se zpracovaným „Plánem rozvoje vodovodů a kanalizací Ústeckého kraje“ (PRVKÚK).</w:t>
      </w:r>
    </w:p>
    <w:p w14:paraId="4133F755" w14:textId="77777777" w:rsidR="006031D6" w:rsidRPr="006031D6" w:rsidRDefault="006031D6" w:rsidP="006031D6">
      <w:pPr>
        <w:pStyle w:val="Nadpis4"/>
        <w:spacing w:before="120" w:line="288" w:lineRule="auto"/>
        <w:jc w:val="both"/>
        <w:rPr>
          <w:bCs w:val="0"/>
          <w:iCs/>
          <w:color w:val="FF0000"/>
          <w:lang w:eastAsia="cs-CZ"/>
        </w:rPr>
      </w:pPr>
      <w:r w:rsidRPr="006031D6">
        <w:rPr>
          <w:bCs w:val="0"/>
          <w:iCs/>
          <w:color w:val="FF0000"/>
          <w:lang w:eastAsia="cs-CZ"/>
        </w:rPr>
        <w:t xml:space="preserve">Odtokové poměry </w:t>
      </w:r>
    </w:p>
    <w:p w14:paraId="01A45FF5" w14:textId="77777777" w:rsidR="006031D6" w:rsidRP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t>Vyjma lokalit 8Z-</w:t>
      </w:r>
      <w:smartTag w:uri="urn:schemas-microsoft-com:office:smarttags" w:element="metricconverter">
        <w:smartTagPr>
          <w:attr w:name="ProductID" w:val="16 a"/>
        </w:smartTagPr>
        <w:r w:rsidRPr="006031D6">
          <w:rPr>
            <w:rFonts w:ascii="Arial" w:hAnsi="Arial" w:cs="Arial"/>
            <w:color w:val="FF0000"/>
            <w:sz w:val="22"/>
            <w:szCs w:val="22"/>
          </w:rPr>
          <w:t>16 a</w:t>
        </w:r>
      </w:smartTag>
      <w:r w:rsidRPr="006031D6">
        <w:rPr>
          <w:rFonts w:ascii="Arial" w:hAnsi="Arial" w:cs="Arial"/>
          <w:color w:val="FF0000"/>
          <w:sz w:val="22"/>
          <w:szCs w:val="22"/>
        </w:rPr>
        <w:t xml:space="preserve"> 8Z-17 žádná ze zájmových lokalit není ohrožována záplavami. Dešťové vody z nově zpevněných ploch budou zachytávány do dešťových nádrží a budou likvidovány na místě dopadu (vsak, zálivka, druhotné využití apod.) nebo budou vypouštěny do stávající jednotné kanalizace nebo do nové dešťové kanalizace. </w:t>
      </w:r>
    </w:p>
    <w:p w14:paraId="1A01F8F2" w14:textId="77777777" w:rsidR="006031D6" w:rsidRPr="006031D6" w:rsidRDefault="006031D6" w:rsidP="006031D6">
      <w:pPr>
        <w:pStyle w:val="Nadpis4"/>
        <w:spacing w:before="120" w:line="288" w:lineRule="auto"/>
        <w:jc w:val="both"/>
        <w:rPr>
          <w:bCs w:val="0"/>
          <w:iCs/>
          <w:color w:val="FF0000"/>
          <w:lang w:eastAsia="cs-CZ"/>
        </w:rPr>
      </w:pPr>
      <w:r w:rsidRPr="006031D6">
        <w:rPr>
          <w:bCs w:val="0"/>
          <w:iCs/>
          <w:color w:val="FF0000"/>
          <w:lang w:eastAsia="cs-CZ"/>
        </w:rPr>
        <w:t>Zásobování pitnou vodou</w:t>
      </w:r>
    </w:p>
    <w:p w14:paraId="58B82592" w14:textId="77777777" w:rsid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t>Pro zásobování zájmových lokalit pitnou vodou jsou stávající vodovodní řady dostatečně kapacitní. Nové vodovodní řady, stejně jako stávající, budou současně plnit i požární funkci, musí však být opatřeny odběrnými objekty (hydranty) ve smyslu ČSN 73 08 73.</w:t>
      </w:r>
    </w:p>
    <w:p w14:paraId="2B862639" w14:textId="77777777" w:rsidR="006031D6" w:rsidRPr="006031D6" w:rsidRDefault="006031D6" w:rsidP="006031D6">
      <w:pPr>
        <w:spacing w:before="120" w:line="288" w:lineRule="auto"/>
        <w:ind w:firstLine="709"/>
        <w:jc w:val="both"/>
        <w:rPr>
          <w:rFonts w:ascii="Arial" w:hAnsi="Arial" w:cs="Arial"/>
          <w:color w:val="FF0000"/>
          <w:sz w:val="22"/>
          <w:szCs w:val="22"/>
        </w:rPr>
      </w:pPr>
    </w:p>
    <w:p w14:paraId="54752223" w14:textId="77777777" w:rsidR="006031D6" w:rsidRP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lastRenderedPageBreak/>
        <w:t>Zásobování pitnou vodou se předpokládá ze stávajícího systému v uliční síti. Výjimku tvoří lokality 8Z – 5, kde napojení není možné; zásobování je nutno řešit individuálně pro každou budoucí stavbu. Na vodovod budou napojeny - Lokalita 8Z – 3, Lokalita 8Z – 4, Lokalita 8Z – 7, Lokalita 8Z – 12, Lokalita 8Z – 19, Lokalita 8Z – 30, Lokalita 8Z – 35, Lokalita 8Z – 36, Lokalita 8Z – 47, Lokalita 8Z – 52 je podmínečně vhodná. Je podmíněna prověřením stávajících tlakových poměrů v příslušném řadu. V případě nevyhovujících poměrů, bude nutno řešit zásobení vodou této lokality individuálně v souladu s vodním zákonem pro každou novou stavbu.</w:t>
      </w:r>
    </w:p>
    <w:p w14:paraId="2CAB72DB" w14:textId="77777777" w:rsidR="006031D6" w:rsidRPr="006031D6" w:rsidRDefault="006031D6" w:rsidP="006031D6">
      <w:pPr>
        <w:pStyle w:val="Nadpis4"/>
        <w:spacing w:before="120" w:line="288" w:lineRule="auto"/>
        <w:rPr>
          <w:bCs w:val="0"/>
          <w:iCs/>
          <w:color w:val="FF0000"/>
          <w:lang w:eastAsia="cs-CZ"/>
        </w:rPr>
      </w:pPr>
      <w:r w:rsidRPr="006031D6">
        <w:rPr>
          <w:bCs w:val="0"/>
          <w:iCs/>
          <w:color w:val="FF0000"/>
          <w:lang w:eastAsia="cs-CZ"/>
        </w:rPr>
        <w:t>Odkanalizování</w:t>
      </w:r>
    </w:p>
    <w:p w14:paraId="486202BE" w14:textId="77777777" w:rsidR="006031D6" w:rsidRP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t xml:space="preserve">Větší část města Děčín je vybavena jednotnou kanalizační sítí, která je ukončenou mechanicko-biologickou čistírnou odpadních vod s vypouštěním vyčištěných vod do řeky Labe. Tato ČOV je dostatečně kapacitní pro zvýšený přítok odpadních vod z plánované výstavby. </w:t>
      </w:r>
    </w:p>
    <w:p w14:paraId="730FFBED" w14:textId="77777777" w:rsidR="006031D6" w:rsidRP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t>Na kanalizaci pro veřejnou potřebu budou napojeny lokality č. 8Z – 43, 8Z – 3, 8Z – 4, 8Z – 6, 8Z – 7, 8Z – 8, 8Z – 12, 8Z – 19, 8Z – 35  8Z – 39b, 8Z – 40, 8Z – 47, 8Z – 50b, 8Z – 52.</w:t>
      </w:r>
    </w:p>
    <w:p w14:paraId="4740A92F" w14:textId="77777777" w:rsidR="006031D6" w:rsidRPr="006031D6" w:rsidRDefault="006031D6" w:rsidP="006031D6">
      <w:pPr>
        <w:spacing w:before="120" w:line="288" w:lineRule="auto"/>
        <w:ind w:firstLine="709"/>
        <w:jc w:val="both"/>
        <w:rPr>
          <w:rFonts w:ascii="Arial" w:hAnsi="Arial" w:cs="Arial"/>
          <w:color w:val="FF0000"/>
          <w:sz w:val="22"/>
          <w:szCs w:val="22"/>
        </w:rPr>
      </w:pPr>
      <w:r w:rsidRPr="006031D6">
        <w:rPr>
          <w:rFonts w:ascii="Arial" w:hAnsi="Arial" w:cs="Arial"/>
          <w:color w:val="FF0000"/>
          <w:sz w:val="22"/>
          <w:szCs w:val="22"/>
        </w:rPr>
        <w:t>Napojení lokalit č. 8Z – 15, 8Z – 20, 8Z – 23, 8Z – 36, 8Z – 45, je podmíněno vybudováním vyprojektované kanalizační sítě, případě jiným řešením v souladu s Vodním zákonem.</w:t>
      </w:r>
    </w:p>
    <w:p w14:paraId="16A7541B" w14:textId="77777777" w:rsidR="006031D6" w:rsidRDefault="006031D6" w:rsidP="00CA23D0">
      <w:pPr>
        <w:jc w:val="both"/>
        <w:rPr>
          <w:rFonts w:ascii="Arial" w:hAnsi="Arial" w:cs="Arial"/>
          <w:sz w:val="22"/>
        </w:rPr>
      </w:pPr>
    </w:p>
    <w:p w14:paraId="2C525618" w14:textId="77777777" w:rsidR="006031D6" w:rsidRDefault="006031D6" w:rsidP="00CA23D0">
      <w:pPr>
        <w:jc w:val="both"/>
        <w:rPr>
          <w:rFonts w:ascii="Arial" w:hAnsi="Arial" w:cs="Arial"/>
          <w:sz w:val="22"/>
        </w:rPr>
      </w:pPr>
    </w:p>
    <w:p w14:paraId="6DBD98BA" w14:textId="0712B433" w:rsidR="006031D6" w:rsidRPr="004D4721" w:rsidRDefault="004D4721" w:rsidP="00CA23D0">
      <w:pPr>
        <w:jc w:val="both"/>
        <w:rPr>
          <w:rFonts w:ascii="Arial" w:hAnsi="Arial" w:cs="Arial"/>
          <w:color w:val="18B8B0"/>
          <w:sz w:val="22"/>
        </w:rPr>
      </w:pPr>
      <w:r w:rsidRPr="007E7D7A">
        <w:rPr>
          <w:rFonts w:ascii="Arial" w:hAnsi="Arial" w:cs="Arial"/>
          <w:b/>
          <w:color w:val="18B8B0"/>
          <w:spacing w:val="3"/>
        </w:rPr>
        <w:t xml:space="preserve">(Z12) ZMĚNA Č. 12 NEZASAHUJE DO </w:t>
      </w:r>
      <w:r w:rsidR="003C5FCF" w:rsidRPr="007E7D7A">
        <w:rPr>
          <w:rFonts w:ascii="Arial" w:hAnsi="Arial" w:cs="Arial"/>
          <w:b/>
          <w:color w:val="18B8B0"/>
          <w:spacing w:val="3"/>
        </w:rPr>
        <w:t xml:space="preserve">ÚZEMNÍ </w:t>
      </w:r>
      <w:r w:rsidRPr="007E7D7A">
        <w:rPr>
          <w:rFonts w:ascii="Arial" w:hAnsi="Arial" w:cs="Arial"/>
          <w:b/>
          <w:color w:val="18B8B0"/>
          <w:spacing w:val="3"/>
        </w:rPr>
        <w:t>KONCEPCE VODNÍHO HOSPODÁŘSTVÍ</w:t>
      </w:r>
      <w:r w:rsidR="00BD269E" w:rsidRPr="007E7D7A">
        <w:rPr>
          <w:rFonts w:ascii="Arial" w:hAnsi="Arial" w:cs="Arial"/>
          <w:b/>
          <w:color w:val="18B8B0"/>
          <w:spacing w:val="3"/>
        </w:rPr>
        <w:t xml:space="preserve"> A</w:t>
      </w:r>
      <w:r w:rsidRPr="007E7D7A">
        <w:rPr>
          <w:rFonts w:ascii="Arial" w:hAnsi="Arial" w:cs="Arial"/>
          <w:b/>
          <w:color w:val="18B8B0"/>
          <w:spacing w:val="3"/>
        </w:rPr>
        <w:t xml:space="preserve"> ODKANALIZOVÁNÍ</w:t>
      </w:r>
    </w:p>
    <w:p w14:paraId="1D9918C0" w14:textId="77777777" w:rsidR="006031D6" w:rsidRDefault="006031D6" w:rsidP="00CA23D0">
      <w:pPr>
        <w:jc w:val="both"/>
        <w:rPr>
          <w:rFonts w:ascii="Arial" w:hAnsi="Arial" w:cs="Arial"/>
          <w:sz w:val="22"/>
        </w:rPr>
      </w:pPr>
    </w:p>
    <w:p w14:paraId="155736EC" w14:textId="77777777" w:rsidR="006031D6" w:rsidRDefault="006031D6" w:rsidP="00CA23D0">
      <w:pPr>
        <w:jc w:val="both"/>
        <w:rPr>
          <w:rFonts w:ascii="Arial" w:hAnsi="Arial" w:cs="Arial"/>
          <w:sz w:val="22"/>
        </w:rPr>
      </w:pPr>
    </w:p>
    <w:p w14:paraId="4DE2C5EA" w14:textId="77777777" w:rsidR="006031D6" w:rsidRDefault="006031D6" w:rsidP="00CA23D0">
      <w:pPr>
        <w:jc w:val="both"/>
        <w:rPr>
          <w:rFonts w:ascii="Arial" w:hAnsi="Arial" w:cs="Arial"/>
          <w:sz w:val="22"/>
        </w:rPr>
      </w:pPr>
    </w:p>
    <w:p w14:paraId="0FCF751B" w14:textId="77777777" w:rsidR="006031D6" w:rsidRDefault="006031D6" w:rsidP="00CA23D0">
      <w:pPr>
        <w:jc w:val="both"/>
        <w:rPr>
          <w:rFonts w:ascii="Arial" w:hAnsi="Arial" w:cs="Arial"/>
          <w:sz w:val="22"/>
        </w:rPr>
      </w:pPr>
    </w:p>
    <w:p w14:paraId="24CC5125" w14:textId="77777777" w:rsidR="006031D6" w:rsidRDefault="006031D6" w:rsidP="00CA23D0">
      <w:pPr>
        <w:jc w:val="both"/>
        <w:rPr>
          <w:rFonts w:ascii="Arial" w:hAnsi="Arial" w:cs="Arial"/>
          <w:sz w:val="22"/>
        </w:rPr>
      </w:pPr>
    </w:p>
    <w:p w14:paraId="4D51C518" w14:textId="77777777" w:rsidR="006031D6" w:rsidRDefault="006031D6" w:rsidP="00CA23D0">
      <w:pPr>
        <w:jc w:val="both"/>
        <w:rPr>
          <w:rFonts w:ascii="Arial" w:hAnsi="Arial" w:cs="Arial"/>
          <w:sz w:val="22"/>
        </w:rPr>
      </w:pPr>
    </w:p>
    <w:p w14:paraId="5502FC97" w14:textId="77777777" w:rsidR="006031D6" w:rsidRDefault="006031D6" w:rsidP="00CA23D0">
      <w:pPr>
        <w:jc w:val="both"/>
        <w:rPr>
          <w:rFonts w:ascii="Arial" w:hAnsi="Arial" w:cs="Arial"/>
          <w:sz w:val="22"/>
        </w:rPr>
      </w:pPr>
    </w:p>
    <w:p w14:paraId="6EA102A5" w14:textId="77777777" w:rsidR="006031D6" w:rsidRDefault="006031D6" w:rsidP="00CA23D0">
      <w:pPr>
        <w:jc w:val="both"/>
        <w:rPr>
          <w:rFonts w:ascii="Arial" w:hAnsi="Arial" w:cs="Arial"/>
          <w:sz w:val="22"/>
        </w:rPr>
      </w:pPr>
    </w:p>
    <w:p w14:paraId="31EF7352" w14:textId="77777777" w:rsidR="006031D6" w:rsidRDefault="006031D6" w:rsidP="00CA23D0">
      <w:pPr>
        <w:jc w:val="both"/>
        <w:rPr>
          <w:rFonts w:ascii="Arial" w:hAnsi="Arial" w:cs="Arial"/>
          <w:sz w:val="22"/>
        </w:rPr>
      </w:pPr>
    </w:p>
    <w:p w14:paraId="4A27E289" w14:textId="77777777" w:rsidR="006031D6" w:rsidRDefault="006031D6" w:rsidP="00CA23D0">
      <w:pPr>
        <w:jc w:val="both"/>
        <w:rPr>
          <w:rFonts w:ascii="Arial" w:hAnsi="Arial" w:cs="Arial"/>
          <w:sz w:val="22"/>
        </w:rPr>
      </w:pPr>
    </w:p>
    <w:p w14:paraId="772A8220" w14:textId="77777777" w:rsidR="006031D6" w:rsidRDefault="006031D6" w:rsidP="00CA23D0">
      <w:pPr>
        <w:jc w:val="both"/>
        <w:rPr>
          <w:rFonts w:ascii="Arial" w:hAnsi="Arial" w:cs="Arial"/>
          <w:sz w:val="22"/>
        </w:rPr>
      </w:pPr>
    </w:p>
    <w:p w14:paraId="34CEF618" w14:textId="77777777" w:rsidR="006031D6" w:rsidRDefault="006031D6" w:rsidP="00CA23D0">
      <w:pPr>
        <w:jc w:val="both"/>
        <w:rPr>
          <w:rFonts w:ascii="Arial" w:hAnsi="Arial" w:cs="Arial"/>
          <w:sz w:val="22"/>
        </w:rPr>
      </w:pPr>
    </w:p>
    <w:p w14:paraId="02C3C2ED" w14:textId="77777777" w:rsidR="006031D6" w:rsidRDefault="006031D6" w:rsidP="00CA23D0">
      <w:pPr>
        <w:jc w:val="both"/>
        <w:rPr>
          <w:rFonts w:ascii="Arial" w:hAnsi="Arial" w:cs="Arial"/>
          <w:sz w:val="22"/>
        </w:rPr>
      </w:pPr>
    </w:p>
    <w:p w14:paraId="2B19A729" w14:textId="77777777" w:rsidR="006031D6" w:rsidRDefault="006031D6" w:rsidP="00CA23D0">
      <w:pPr>
        <w:jc w:val="both"/>
        <w:rPr>
          <w:rFonts w:ascii="Arial" w:hAnsi="Arial" w:cs="Arial"/>
          <w:sz w:val="22"/>
        </w:rPr>
      </w:pPr>
    </w:p>
    <w:p w14:paraId="122E980E" w14:textId="77777777" w:rsidR="006031D6" w:rsidRDefault="006031D6" w:rsidP="00CA23D0">
      <w:pPr>
        <w:jc w:val="both"/>
        <w:rPr>
          <w:rFonts w:ascii="Arial" w:hAnsi="Arial" w:cs="Arial"/>
          <w:sz w:val="22"/>
        </w:rPr>
      </w:pPr>
    </w:p>
    <w:p w14:paraId="208C187F" w14:textId="77777777" w:rsidR="006031D6" w:rsidRDefault="006031D6" w:rsidP="00CA23D0">
      <w:pPr>
        <w:jc w:val="both"/>
        <w:rPr>
          <w:rFonts w:ascii="Arial" w:hAnsi="Arial" w:cs="Arial"/>
          <w:sz w:val="22"/>
        </w:rPr>
      </w:pPr>
    </w:p>
    <w:p w14:paraId="39947796" w14:textId="77777777" w:rsidR="006031D6" w:rsidRDefault="006031D6" w:rsidP="00CA23D0">
      <w:pPr>
        <w:jc w:val="both"/>
        <w:rPr>
          <w:rFonts w:ascii="Arial" w:hAnsi="Arial" w:cs="Arial"/>
          <w:sz w:val="22"/>
        </w:rPr>
      </w:pPr>
    </w:p>
    <w:p w14:paraId="0FBC78DB" w14:textId="77777777" w:rsidR="006031D6" w:rsidRDefault="006031D6" w:rsidP="00CA23D0">
      <w:pPr>
        <w:jc w:val="both"/>
        <w:rPr>
          <w:rFonts w:ascii="Arial" w:hAnsi="Arial" w:cs="Arial"/>
          <w:sz w:val="22"/>
        </w:rPr>
      </w:pPr>
    </w:p>
    <w:p w14:paraId="4C752859" w14:textId="77777777" w:rsidR="006031D6" w:rsidRDefault="006031D6" w:rsidP="00CA23D0">
      <w:pPr>
        <w:jc w:val="both"/>
        <w:rPr>
          <w:rFonts w:ascii="Arial" w:hAnsi="Arial" w:cs="Arial"/>
          <w:sz w:val="22"/>
        </w:rPr>
      </w:pPr>
    </w:p>
    <w:p w14:paraId="4599C06A" w14:textId="77777777" w:rsidR="006031D6" w:rsidRDefault="006031D6" w:rsidP="00CA23D0">
      <w:pPr>
        <w:jc w:val="both"/>
        <w:rPr>
          <w:rFonts w:ascii="Arial" w:hAnsi="Arial" w:cs="Arial"/>
          <w:sz w:val="22"/>
        </w:rPr>
      </w:pPr>
    </w:p>
    <w:p w14:paraId="3677736E" w14:textId="77777777" w:rsidR="006031D6" w:rsidRDefault="006031D6" w:rsidP="00CA23D0">
      <w:pPr>
        <w:jc w:val="both"/>
        <w:rPr>
          <w:rFonts w:ascii="Arial" w:hAnsi="Arial" w:cs="Arial"/>
          <w:sz w:val="22"/>
        </w:rPr>
      </w:pPr>
    </w:p>
    <w:p w14:paraId="1F942365" w14:textId="77777777" w:rsidR="006031D6" w:rsidRDefault="006031D6" w:rsidP="00CA23D0">
      <w:pPr>
        <w:jc w:val="both"/>
        <w:rPr>
          <w:rFonts w:ascii="Arial" w:hAnsi="Arial" w:cs="Arial"/>
          <w:sz w:val="22"/>
        </w:rPr>
      </w:pPr>
    </w:p>
    <w:p w14:paraId="111EAAC4" w14:textId="77777777" w:rsidR="006031D6" w:rsidRDefault="006031D6" w:rsidP="00CA23D0">
      <w:pPr>
        <w:jc w:val="both"/>
        <w:rPr>
          <w:rFonts w:ascii="Arial" w:hAnsi="Arial" w:cs="Arial"/>
          <w:sz w:val="22"/>
        </w:rPr>
      </w:pPr>
    </w:p>
    <w:p w14:paraId="6089E935" w14:textId="77777777" w:rsidR="006031D6" w:rsidRDefault="006031D6" w:rsidP="00CA23D0">
      <w:pPr>
        <w:jc w:val="both"/>
        <w:rPr>
          <w:rFonts w:ascii="Arial" w:hAnsi="Arial" w:cs="Arial"/>
          <w:sz w:val="22"/>
        </w:rPr>
      </w:pPr>
    </w:p>
    <w:p w14:paraId="25C48573" w14:textId="77777777" w:rsidR="006031D6" w:rsidRDefault="006031D6" w:rsidP="00CA23D0">
      <w:pPr>
        <w:jc w:val="both"/>
        <w:rPr>
          <w:rFonts w:ascii="Arial" w:hAnsi="Arial" w:cs="Arial"/>
          <w:sz w:val="22"/>
        </w:rPr>
      </w:pPr>
    </w:p>
    <w:p w14:paraId="7F405587" w14:textId="77777777" w:rsidR="00D42621" w:rsidRPr="00D42621" w:rsidRDefault="00D42621" w:rsidP="00D42621">
      <w:pPr>
        <w:numPr>
          <w:ilvl w:val="0"/>
          <w:numId w:val="60"/>
        </w:numPr>
        <w:suppressAutoHyphens w:val="0"/>
        <w:autoSpaceDE w:val="0"/>
        <w:autoSpaceDN w:val="0"/>
        <w:adjustRightInd w:val="0"/>
        <w:spacing w:before="73" w:after="73" w:line="240" w:lineRule="atLeast"/>
        <w:rPr>
          <w:rFonts w:ascii="Arial" w:hAnsi="Arial"/>
          <w:b/>
          <w:bCs/>
          <w:caps/>
          <w:color w:val="000000"/>
          <w:sz w:val="36"/>
          <w:lang w:eastAsia="cs-CZ"/>
        </w:rPr>
      </w:pPr>
      <w:r w:rsidRPr="00D42621">
        <w:rPr>
          <w:rFonts w:ascii="Arial" w:hAnsi="Arial"/>
          <w:b/>
          <w:bCs/>
          <w:caps/>
          <w:color w:val="000000"/>
          <w:sz w:val="36"/>
          <w:lang w:eastAsia="cs-CZ"/>
        </w:rPr>
        <w:lastRenderedPageBreak/>
        <w:t xml:space="preserve">ENERGETIKA A SPOJE </w:t>
      </w:r>
    </w:p>
    <w:p w14:paraId="621E2A8E" w14:textId="77777777" w:rsidR="00D42621" w:rsidRPr="00D42621" w:rsidRDefault="00D42621" w:rsidP="00D42621">
      <w:pPr>
        <w:suppressAutoHyphens w:val="0"/>
        <w:autoSpaceDE w:val="0"/>
        <w:autoSpaceDN w:val="0"/>
        <w:adjustRightInd w:val="0"/>
        <w:spacing w:before="73" w:after="73" w:line="240" w:lineRule="atLeast"/>
        <w:rPr>
          <w:rFonts w:ascii="Arial" w:hAnsi="Arial"/>
          <w:b/>
          <w:bCs/>
          <w:caps/>
          <w:color w:val="000000"/>
          <w:sz w:val="20"/>
          <w:lang w:eastAsia="cs-CZ"/>
        </w:rPr>
      </w:pPr>
      <w:r w:rsidRPr="00D42621">
        <w:rPr>
          <w:rFonts w:ascii="Arial" w:hAnsi="Arial"/>
          <w:b/>
          <w:bCs/>
          <w:caps/>
          <w:color w:val="000000"/>
          <w:sz w:val="20"/>
          <w:lang w:eastAsia="cs-CZ"/>
        </w:rPr>
        <w:t>Úvod</w:t>
      </w:r>
    </w:p>
    <w:p w14:paraId="3A53760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EE2FE33" w14:textId="77777777" w:rsidR="00D42621" w:rsidRPr="00D42621" w:rsidRDefault="00D42621" w:rsidP="00D42621">
      <w:pPr>
        <w:suppressAutoHyphens w:val="0"/>
        <w:autoSpaceDE w:val="0"/>
        <w:autoSpaceDN w:val="0"/>
        <w:adjustRightInd w:val="0"/>
        <w:spacing w:line="240" w:lineRule="atLeast"/>
        <w:ind w:firstLine="567"/>
        <w:jc w:val="both"/>
        <w:rPr>
          <w:rFonts w:ascii="Arial" w:hAnsi="Arial"/>
          <w:color w:val="000000"/>
          <w:sz w:val="20"/>
          <w:szCs w:val="20"/>
          <w:lang w:eastAsia="cs-CZ"/>
        </w:rPr>
      </w:pPr>
      <w:r w:rsidRPr="00D42621">
        <w:rPr>
          <w:rFonts w:ascii="Arial" w:hAnsi="Arial"/>
          <w:color w:val="000000"/>
          <w:sz w:val="20"/>
          <w:szCs w:val="20"/>
          <w:lang w:eastAsia="cs-CZ"/>
        </w:rPr>
        <w:tab/>
        <w:t xml:space="preserve">Návrh tohoto územního plánu, obor energetika, byl zpracován na základě těchto informací  </w:t>
      </w:r>
      <w:r w:rsidRPr="00D42621">
        <w:rPr>
          <w:rFonts w:ascii="Arial" w:hAnsi="Arial"/>
          <w:color w:val="000000"/>
          <w:sz w:val="20"/>
          <w:szCs w:val="20"/>
          <w:lang w:eastAsia="cs-CZ"/>
        </w:rPr>
        <w:tab/>
      </w:r>
      <w:r w:rsidRPr="00D42621">
        <w:rPr>
          <w:rFonts w:ascii="Arial" w:hAnsi="Arial"/>
          <w:color w:val="000000"/>
          <w:sz w:val="20"/>
          <w:szCs w:val="20"/>
          <w:lang w:eastAsia="cs-CZ"/>
        </w:rPr>
        <w:tab/>
        <w:t>a materiálů :</w:t>
      </w:r>
    </w:p>
    <w:p w14:paraId="553EAB57" w14:textId="77777777" w:rsidR="00D42621" w:rsidRPr="00D42621" w:rsidRDefault="00D42621" w:rsidP="00D42621">
      <w:pPr>
        <w:suppressAutoHyphens w:val="0"/>
        <w:autoSpaceDE w:val="0"/>
        <w:autoSpaceDN w:val="0"/>
        <w:adjustRightInd w:val="0"/>
        <w:spacing w:line="240" w:lineRule="atLeast"/>
        <w:ind w:firstLine="567"/>
        <w:jc w:val="both"/>
        <w:rPr>
          <w:rFonts w:ascii="Arial" w:hAnsi="Arial"/>
          <w:color w:val="000000"/>
          <w:sz w:val="20"/>
          <w:szCs w:val="20"/>
          <w:lang w:eastAsia="cs-CZ"/>
        </w:rPr>
      </w:pPr>
    </w:p>
    <w:p w14:paraId="60400703"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schválené souborné stanovisko pro dokončení ÚPN (9/1999)</w:t>
      </w:r>
    </w:p>
    <w:p w14:paraId="1359F933"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koncept ÚP města (9/1997)</w:t>
      </w:r>
    </w:p>
    <w:p w14:paraId="7DB9DDB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informace OkÚ Děčín, odboru ŽP</w:t>
      </w:r>
    </w:p>
    <w:p w14:paraId="5E7B743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informace a.s. SČE Děčín</w:t>
      </w:r>
    </w:p>
    <w:p w14:paraId="41257D5A"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informace a.s. SčP Ústí n.L., odbor perspektivního rozvoje, provozní oblast Děčín</w:t>
      </w:r>
    </w:p>
    <w:p w14:paraId="5646C1B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informace MěÚ Děčín</w:t>
      </w:r>
    </w:p>
    <w:p w14:paraId="738218B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informace a.s. TERMO Děčín</w:t>
      </w:r>
    </w:p>
    <w:p w14:paraId="60FA134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projektové dokumentace pro systém CZT (Energoprojekt Praha)</w:t>
      </w:r>
    </w:p>
    <w:p w14:paraId="74C2174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vlastní terénní průzkumy prováděné za účelem doplnění informací</w:t>
      </w:r>
    </w:p>
    <w:p w14:paraId="5504F1F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9C44B0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Grafická příloha je zpracována v mapových podkladech 1:5 000 a 1:10 000, které mají stejný grafický klíč a číselné označení koresponduje s textovou částí.</w:t>
      </w:r>
    </w:p>
    <w:p w14:paraId="3A80314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Řešení otázky životního prostředí ve městě Děčíně a to zejména v oblasti čistoty ovzduší, je bezprostředně spojeno s energetikou. Na znečištění ovzduší se podílejí cca ze 30 % velké elektrárenské a průmyslové zdroje a ze 70 % místní energetické zdroje, které vyrábějí převážně teplo pro vytápění a v menší míře pro technologické účely. Je tedy zcela logické začít řešit problematiku ovzduší u ekologizace místních tepelných zdrojů. V uplynulých letech byla ze strany města realizována řada opatření (plošná plynofikace, výstavba kogenerační jednotky v Bynově a Želenicích, elektrifikace, legislativní opatření ve formě vyhlášek MěÚ), která se pozitivně projevila v kvalitě přízemní vrstvy atmosféry.</w:t>
      </w:r>
    </w:p>
    <w:p w14:paraId="62EE43E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9B0FFF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Cílem řešení problémů energetiky je vytěsnění neekologických paliv nejrůznějšími typy ekologických paliv a vybudovat efektivně fungující systémy rozvodu tepla. Problematika energetické koncepce města je řešena v době, kdy ještě není "energetické klima" v naší republice ustálené. Neustále je odkládáno schválení zákona o hospodaření energiemi a předpokládá se zpracování zcela nového základního energetického zákona (termín již několikrát odložen). Přijetím zákona o hospodaření energiemi dojde k nemalým energetickým úsporám, vzniknou volné kapacity ve zdrojích a sítích, které bude možné využít pro připojení dalších odběratelů.</w:t>
      </w:r>
    </w:p>
    <w:p w14:paraId="46578B67"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U stávajících objektů bude o volbě energetického média rozhodovat majitel objektu v souladu s legislativou o ochraně ovzduší a v souladu s místními vyhláškami regulující využití paliv v dané lokalitě. U nově navržené výstavby budou druhy energetických médií určeny na základě tohoto územního plánu (případně komplexního energetického generelu, který problematiku podrobněji rozpracovává) v rámci územního a stavebního řízení.</w:t>
      </w:r>
    </w:p>
    <w:p w14:paraId="278BD9DE"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p>
    <w:p w14:paraId="3B31DF4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34EB701"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b/>
          <w:bCs/>
          <w:caps/>
          <w:color w:val="000000"/>
          <w:sz w:val="20"/>
          <w:szCs w:val="20"/>
          <w:lang w:eastAsia="cs-CZ"/>
        </w:rPr>
        <w:t>Energetická politika České republiky a ceny energií</w:t>
      </w:r>
    </w:p>
    <w:p w14:paraId="7DCF548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15EB0E4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Základní energetická koncepce ČR byla schválena již v roce 1992. Z této koncepce jednoznačně vyplývá zvětšující se podíl plynných paliv na celkové potřebě primerních energetických zdrojů. V porovnání s ES však nadále zůstává velký podíl uhlí na celkové bilanci.</w:t>
      </w:r>
      <w:r w:rsidRPr="00D42621">
        <w:rPr>
          <w:rFonts w:ascii="Arial" w:hAnsi="Arial"/>
          <w:color w:val="000000"/>
          <w:sz w:val="20"/>
          <w:szCs w:val="20"/>
          <w:lang w:eastAsia="cs-CZ"/>
        </w:rPr>
        <w:tab/>
      </w:r>
    </w:p>
    <w:p w14:paraId="7590543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Předpokládaná energetická koncepce města Děčín je založena v oblasti "těžké energetiky" (vytápění a ohřev užitkové vody, průmyslové odběry) na plynu a dodávkovém teple, vyráběném z plynu. Tato koncepce je zcela v souladu s dlouhodobou koncepcí energetické politiky České republiky.</w:t>
      </w:r>
    </w:p>
    <w:p w14:paraId="3CFAF32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24F1C14" w14:textId="77777777" w:rsidR="00D42621" w:rsidRDefault="00D42621" w:rsidP="00D42621">
      <w:pPr>
        <w:suppressAutoHyphens w:val="0"/>
        <w:autoSpaceDE w:val="0"/>
        <w:autoSpaceDN w:val="0"/>
        <w:adjustRightInd w:val="0"/>
        <w:spacing w:line="240" w:lineRule="atLeast"/>
        <w:rPr>
          <w:rFonts w:ascii="Arial" w:hAnsi="Arial"/>
          <w:b/>
          <w:bCs/>
          <w:caps/>
          <w:color w:val="000000"/>
          <w:sz w:val="20"/>
          <w:szCs w:val="20"/>
          <w:lang w:eastAsia="cs-CZ"/>
        </w:rPr>
      </w:pPr>
    </w:p>
    <w:p w14:paraId="2FF4D6E0" w14:textId="77777777" w:rsidR="00D42621" w:rsidRDefault="00D42621" w:rsidP="00D42621">
      <w:pPr>
        <w:suppressAutoHyphens w:val="0"/>
        <w:autoSpaceDE w:val="0"/>
        <w:autoSpaceDN w:val="0"/>
        <w:adjustRightInd w:val="0"/>
        <w:spacing w:line="240" w:lineRule="atLeast"/>
        <w:rPr>
          <w:rFonts w:ascii="Arial" w:hAnsi="Arial"/>
          <w:b/>
          <w:bCs/>
          <w:caps/>
          <w:color w:val="000000"/>
          <w:sz w:val="20"/>
          <w:szCs w:val="20"/>
          <w:lang w:eastAsia="cs-CZ"/>
        </w:rPr>
      </w:pPr>
    </w:p>
    <w:p w14:paraId="5EE41E46" w14:textId="77777777" w:rsidR="00D42621" w:rsidRDefault="00D42621" w:rsidP="00D42621">
      <w:pPr>
        <w:suppressAutoHyphens w:val="0"/>
        <w:autoSpaceDE w:val="0"/>
        <w:autoSpaceDN w:val="0"/>
        <w:adjustRightInd w:val="0"/>
        <w:spacing w:line="240" w:lineRule="atLeast"/>
        <w:rPr>
          <w:rFonts w:ascii="Arial" w:hAnsi="Arial"/>
          <w:b/>
          <w:bCs/>
          <w:caps/>
          <w:color w:val="000000"/>
          <w:sz w:val="20"/>
          <w:szCs w:val="20"/>
          <w:lang w:eastAsia="cs-CZ"/>
        </w:rPr>
      </w:pPr>
    </w:p>
    <w:p w14:paraId="706A5E89" w14:textId="77777777" w:rsidR="00D42621" w:rsidRDefault="00D42621" w:rsidP="00D42621">
      <w:pPr>
        <w:suppressAutoHyphens w:val="0"/>
        <w:autoSpaceDE w:val="0"/>
        <w:autoSpaceDN w:val="0"/>
        <w:adjustRightInd w:val="0"/>
        <w:spacing w:line="240" w:lineRule="atLeast"/>
        <w:rPr>
          <w:rFonts w:ascii="Arial" w:hAnsi="Arial"/>
          <w:b/>
          <w:bCs/>
          <w:caps/>
          <w:color w:val="000000"/>
          <w:sz w:val="20"/>
          <w:szCs w:val="20"/>
          <w:lang w:eastAsia="cs-CZ"/>
        </w:rPr>
      </w:pPr>
    </w:p>
    <w:p w14:paraId="3BB99851" w14:textId="77777777" w:rsidR="00D42621" w:rsidRDefault="00D42621" w:rsidP="00D42621">
      <w:pPr>
        <w:suppressAutoHyphens w:val="0"/>
        <w:autoSpaceDE w:val="0"/>
        <w:autoSpaceDN w:val="0"/>
        <w:adjustRightInd w:val="0"/>
        <w:spacing w:line="240" w:lineRule="atLeast"/>
        <w:rPr>
          <w:rFonts w:ascii="Arial" w:hAnsi="Arial"/>
          <w:b/>
          <w:bCs/>
          <w:caps/>
          <w:color w:val="000000"/>
          <w:sz w:val="20"/>
          <w:szCs w:val="20"/>
          <w:lang w:eastAsia="cs-CZ"/>
        </w:rPr>
      </w:pPr>
    </w:p>
    <w:p w14:paraId="5A1540A7" w14:textId="77777777" w:rsidR="00D42621" w:rsidRPr="00D42621" w:rsidRDefault="00D42621" w:rsidP="00D42621">
      <w:pPr>
        <w:suppressAutoHyphens w:val="0"/>
        <w:autoSpaceDE w:val="0"/>
        <w:autoSpaceDN w:val="0"/>
        <w:adjustRightInd w:val="0"/>
        <w:spacing w:line="240" w:lineRule="atLeast"/>
        <w:rPr>
          <w:rFonts w:ascii="Arial" w:hAnsi="Arial"/>
          <w:b/>
          <w:bCs/>
          <w:caps/>
          <w:color w:val="000000"/>
          <w:sz w:val="20"/>
          <w:szCs w:val="20"/>
          <w:lang w:eastAsia="cs-CZ"/>
        </w:rPr>
      </w:pPr>
    </w:p>
    <w:p w14:paraId="7C5E2FB7" w14:textId="77777777" w:rsidR="00D42621" w:rsidRPr="00D42621" w:rsidRDefault="00D42621" w:rsidP="00D42621">
      <w:pPr>
        <w:suppressAutoHyphens w:val="0"/>
        <w:autoSpaceDE w:val="0"/>
        <w:autoSpaceDN w:val="0"/>
        <w:adjustRightInd w:val="0"/>
        <w:spacing w:line="240" w:lineRule="atLeast"/>
        <w:rPr>
          <w:rFonts w:ascii="Arial" w:hAnsi="Arial"/>
          <w:b/>
          <w:bCs/>
          <w:caps/>
          <w:color w:val="000000"/>
          <w:sz w:val="20"/>
          <w:szCs w:val="20"/>
          <w:lang w:eastAsia="cs-CZ"/>
        </w:rPr>
      </w:pPr>
    </w:p>
    <w:p w14:paraId="445972A5"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b/>
          <w:bCs/>
          <w:caps/>
          <w:color w:val="000000"/>
          <w:sz w:val="20"/>
          <w:szCs w:val="20"/>
          <w:lang w:eastAsia="cs-CZ"/>
        </w:rPr>
        <w:t>Principy cenových a daňových úprav</w:t>
      </w:r>
    </w:p>
    <w:p w14:paraId="369004D3"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4E15E72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Předpokládá se co nejširší prosazování tržních principů a uvolnění zahraničního obchodu obchodovatelnými druhy energie, tzn. liberalizaci cen ropy, ropných produktů, zemního plynu, černého uhlí a koksu tak, jak předpokládají zásady státní energetické politiky. </w:t>
      </w:r>
    </w:p>
    <w:p w14:paraId="395258A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Ceny elektřiny a tepla budou regulovány tak, aby se přiblížily dlouhodobým marginálním nákladům, přičemž budou respektovány i přepravní a ekologické náklady.</w:t>
      </w:r>
      <w:r w:rsidRPr="00D42621">
        <w:rPr>
          <w:rFonts w:ascii="Arial" w:hAnsi="Arial"/>
          <w:i/>
          <w:iCs/>
          <w:color w:val="000000"/>
          <w:sz w:val="20"/>
          <w:szCs w:val="20"/>
          <w:lang w:eastAsia="cs-CZ"/>
        </w:rPr>
        <w:t xml:space="preserve"> </w:t>
      </w:r>
      <w:r w:rsidRPr="00D42621">
        <w:rPr>
          <w:rFonts w:ascii="Arial" w:hAnsi="Arial"/>
          <w:i/>
          <w:iCs/>
          <w:color w:val="000000"/>
          <w:sz w:val="20"/>
          <w:szCs w:val="20"/>
          <w:lang w:eastAsia="cs-CZ"/>
        </w:rPr>
        <w:tab/>
      </w:r>
      <w:r w:rsidRPr="00D42621">
        <w:rPr>
          <w:rFonts w:ascii="Arial" w:hAnsi="Arial"/>
          <w:i/>
          <w:iCs/>
          <w:color w:val="000000"/>
          <w:sz w:val="20"/>
          <w:szCs w:val="20"/>
          <w:lang w:eastAsia="cs-CZ"/>
        </w:rPr>
        <w:tab/>
      </w:r>
      <w:r w:rsidRPr="00D42621">
        <w:rPr>
          <w:rFonts w:ascii="Arial" w:hAnsi="Arial"/>
          <w:i/>
          <w:iCs/>
          <w:color w:val="000000"/>
          <w:sz w:val="20"/>
          <w:szCs w:val="20"/>
          <w:lang w:eastAsia="cs-CZ"/>
        </w:rPr>
        <w:tab/>
      </w:r>
      <w:r w:rsidRPr="00D42621">
        <w:rPr>
          <w:rFonts w:ascii="Arial" w:hAnsi="Arial"/>
          <w:color w:val="000000"/>
          <w:sz w:val="20"/>
          <w:szCs w:val="20"/>
          <w:lang w:eastAsia="cs-CZ"/>
        </w:rPr>
        <w:t xml:space="preserve">        </w:t>
      </w:r>
    </w:p>
    <w:p w14:paraId="271EE39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Cenové relace mezi jednotlivými energetickými zdroji budou v zásadě odpovídat relacím, které se vytvoří podle výše uvedených principů. Vláda si však vyhrazuje právo dostatečně zvýhodnit ekologicky přijatelnější druhy energetických zdrojů. </w:t>
      </w:r>
    </w:p>
    <w:p w14:paraId="670D0BAA"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V současné době jsou plně liberalizovány ceny pevných paliv, dodávkového tepla, topných olejů a kapalného propan-butanu. U zemního plynu a elektřiny bude pokračovat odstranění tzv. křížových dotací (snížení cen velkoodběru a nárůst cen maloodběru). </w:t>
      </w:r>
    </w:p>
    <w:p w14:paraId="7A85585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89BDF4B"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ED235A9" w14:textId="77777777" w:rsidR="00D42621" w:rsidRPr="00D42621" w:rsidRDefault="00D42621" w:rsidP="00D42621">
      <w:pPr>
        <w:suppressAutoHyphens w:val="0"/>
        <w:autoSpaceDE w:val="0"/>
        <w:autoSpaceDN w:val="0"/>
        <w:adjustRightInd w:val="0"/>
        <w:spacing w:before="56" w:after="56" w:line="240" w:lineRule="atLeast"/>
        <w:ind w:left="680" w:hanging="680"/>
        <w:rPr>
          <w:rFonts w:ascii="Arial" w:hAnsi="Arial"/>
          <w:b/>
          <w:bCs/>
          <w:caps/>
          <w:color w:val="000000"/>
          <w:sz w:val="32"/>
          <w:szCs w:val="32"/>
          <w:lang w:eastAsia="cs-CZ"/>
        </w:rPr>
      </w:pPr>
      <w:r w:rsidRPr="00D42621">
        <w:rPr>
          <w:rFonts w:ascii="Arial" w:hAnsi="Arial"/>
          <w:b/>
          <w:bCs/>
          <w:caps/>
          <w:color w:val="000000"/>
          <w:sz w:val="32"/>
          <w:szCs w:val="32"/>
          <w:lang w:eastAsia="cs-CZ"/>
        </w:rPr>
        <w:t>i.1. Současný stav zásobování energiemi</w:t>
      </w:r>
    </w:p>
    <w:p w14:paraId="21616013"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FAF7DEA"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Město má dostatek energetických zdrojů. Vzhledem k předpokládaným tlakům na energetické úspory, bude možné pokrýt ze stávajících energetických systémů i budoucí rozvoj města. Zásadní problematiku představuje dostavba teplárny Děčín - východ, která po realizaci pokryje podstatnou část pravobřežní části města a umožní zrušení řady významnějších tepelných zdrojů. V roce 1996 byla zprovozněna kogenerační jednotka v Bynově, která představuje realizaci vzorového projektu moderního způsobu vytápění městských sídel. Následně v roce 1998 byla obdobná jednotka zprovozněna v Želenicích.</w:t>
      </w:r>
    </w:p>
    <w:p w14:paraId="7A7E38A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Elektřina je dodávána z rozvodny 110 kV Želenice a Děčín-východ. Obě rozvodny disponují s dostatečným transformačním výkonem. </w:t>
      </w:r>
    </w:p>
    <w:p w14:paraId="57500C73"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Zásobování města zemním plynem bylo posíleno propojením středotlaké místní sítě s regulační stanicí v Martiněvsi.</w:t>
      </w:r>
    </w:p>
    <w:p w14:paraId="34FA710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Z ostatních sídel mimo město Děčín jsou plynofikovány Boletice. Zde je také menší soustava CZT. Předpokládá se plynofikace sídel Nebočady, Křešice, Marjanín a Vilsnice.</w:t>
      </w:r>
    </w:p>
    <w:p w14:paraId="06CE8D1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D0818C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AAC621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r>
    </w:p>
    <w:p w14:paraId="423AE7BD" w14:textId="77777777" w:rsidR="00D42621" w:rsidRPr="00D42621" w:rsidRDefault="00D42621" w:rsidP="00D42621">
      <w:pPr>
        <w:suppressAutoHyphens w:val="0"/>
        <w:autoSpaceDE w:val="0"/>
        <w:autoSpaceDN w:val="0"/>
        <w:adjustRightInd w:val="0"/>
        <w:spacing w:before="56" w:after="56" w:line="240" w:lineRule="atLeast"/>
        <w:ind w:left="680" w:hanging="680"/>
        <w:rPr>
          <w:rFonts w:ascii="Arial" w:hAnsi="Arial"/>
          <w:b/>
          <w:bCs/>
          <w:caps/>
          <w:color w:val="000000"/>
          <w:sz w:val="32"/>
          <w:szCs w:val="32"/>
          <w:lang w:eastAsia="cs-CZ"/>
        </w:rPr>
      </w:pPr>
      <w:r w:rsidRPr="00D42621">
        <w:rPr>
          <w:rFonts w:ascii="Arial" w:hAnsi="Arial"/>
          <w:b/>
          <w:bCs/>
          <w:caps/>
          <w:color w:val="000000"/>
          <w:sz w:val="32"/>
          <w:szCs w:val="32"/>
          <w:lang w:eastAsia="cs-CZ"/>
        </w:rPr>
        <w:t>i.2. Zásobování elektrickou energií</w:t>
      </w:r>
    </w:p>
    <w:p w14:paraId="68D9151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B0B5F4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olor w:val="000000"/>
          <w:sz w:val="20"/>
          <w:szCs w:val="20"/>
          <w:lang w:eastAsia="cs-CZ"/>
        </w:rPr>
        <w:tab/>
      </w:r>
    </w:p>
    <w:p w14:paraId="2E5443E0" w14:textId="77777777" w:rsidR="00D42621" w:rsidRPr="00D42621" w:rsidRDefault="00D42621" w:rsidP="00D42621">
      <w:pPr>
        <w:suppressAutoHyphens w:val="0"/>
        <w:autoSpaceDE w:val="0"/>
        <w:autoSpaceDN w:val="0"/>
        <w:adjustRightInd w:val="0"/>
        <w:spacing w:line="240" w:lineRule="atLeast"/>
        <w:rPr>
          <w:rFonts w:ascii="Arial" w:hAnsi="Arial"/>
          <w:b/>
          <w:bCs/>
          <w:caps/>
          <w:color w:val="000000"/>
          <w:sz w:val="20"/>
          <w:szCs w:val="20"/>
          <w:lang w:eastAsia="cs-CZ"/>
        </w:rPr>
      </w:pPr>
      <w:r w:rsidRPr="00D42621">
        <w:rPr>
          <w:rFonts w:ascii="Arial" w:hAnsi="Arial"/>
          <w:b/>
          <w:bCs/>
          <w:caps/>
          <w:color w:val="000000"/>
          <w:sz w:val="20"/>
          <w:szCs w:val="20"/>
          <w:lang w:eastAsia="cs-CZ"/>
        </w:rPr>
        <w:t xml:space="preserve">i.2.1.  Sítě velmi vysokého a vysokého napětí, rozvodny                                     </w:t>
      </w:r>
    </w:p>
    <w:p w14:paraId="71BCAAA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aps/>
          <w:color w:val="000000"/>
          <w:sz w:val="20"/>
          <w:szCs w:val="20"/>
          <w:lang w:eastAsia="cs-CZ"/>
        </w:rPr>
        <w:t>velmi vysokého napětí</w:t>
      </w:r>
    </w:p>
    <w:p w14:paraId="6DECF24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616C364"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color w:val="000000"/>
          <w:sz w:val="20"/>
          <w:szCs w:val="20"/>
          <w:lang w:eastAsia="cs-CZ"/>
        </w:rPr>
        <w:t xml:space="preserve">Městská aglomerace Děčín je zásobovaná elektrickou energií z distribučního systému velmi vysokého napětí 110 kV. </w:t>
      </w:r>
      <w:r w:rsidRPr="00D42621">
        <w:rPr>
          <w:rFonts w:ascii="Arial" w:hAnsi="Arial"/>
          <w:b/>
          <w:bCs/>
          <w:color w:val="000000"/>
          <w:sz w:val="20"/>
          <w:szCs w:val="20"/>
          <w:lang w:eastAsia="cs-CZ"/>
        </w:rPr>
        <w:t>Napájecími body jsou tyto rozvodny :</w:t>
      </w:r>
    </w:p>
    <w:p w14:paraId="22529F1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56ADB49B"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olor w:val="000000"/>
          <w:sz w:val="20"/>
          <w:szCs w:val="20"/>
          <w:lang w:eastAsia="cs-CZ"/>
        </w:rPr>
        <w:t xml:space="preserve">Rozvodna Děčín Želenice </w:t>
      </w:r>
    </w:p>
    <w:p w14:paraId="60F67F3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  transformace     110/35 kV</w:t>
      </w:r>
      <w:r w:rsidRPr="00D42621">
        <w:rPr>
          <w:rFonts w:ascii="Arial" w:hAnsi="Arial"/>
          <w:color w:val="000000"/>
          <w:sz w:val="20"/>
          <w:szCs w:val="20"/>
          <w:lang w:eastAsia="cs-CZ"/>
        </w:rPr>
        <w:tab/>
      </w:r>
      <w:r w:rsidRPr="00D42621">
        <w:rPr>
          <w:rFonts w:ascii="Arial" w:hAnsi="Arial"/>
          <w:color w:val="000000"/>
          <w:sz w:val="20"/>
          <w:szCs w:val="20"/>
          <w:lang w:eastAsia="cs-CZ"/>
        </w:rPr>
        <w:tab/>
        <w:t>1 x 40 MVA + 1 x 25 MVA</w:t>
      </w:r>
    </w:p>
    <w:p w14:paraId="6B7A4F5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   110/22 kV</w:t>
      </w:r>
      <w:r w:rsidRPr="00D42621">
        <w:rPr>
          <w:rFonts w:ascii="Arial" w:hAnsi="Arial"/>
          <w:color w:val="000000"/>
          <w:sz w:val="20"/>
          <w:szCs w:val="20"/>
          <w:lang w:eastAsia="cs-CZ"/>
        </w:rPr>
        <w:tab/>
      </w:r>
      <w:r w:rsidRPr="00D42621">
        <w:rPr>
          <w:rFonts w:ascii="Arial" w:hAnsi="Arial"/>
          <w:color w:val="000000"/>
          <w:sz w:val="20"/>
          <w:szCs w:val="20"/>
          <w:lang w:eastAsia="cs-CZ"/>
        </w:rPr>
        <w:tab/>
        <w:t>25 MVA</w:t>
      </w:r>
    </w:p>
    <w:p w14:paraId="4E41D26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   110/10 kV</w:t>
      </w:r>
      <w:r w:rsidRPr="00D42621">
        <w:rPr>
          <w:rFonts w:ascii="Arial" w:hAnsi="Arial"/>
          <w:color w:val="000000"/>
          <w:sz w:val="20"/>
          <w:szCs w:val="20"/>
          <w:lang w:eastAsia="cs-CZ"/>
        </w:rPr>
        <w:tab/>
      </w:r>
      <w:r w:rsidRPr="00D42621">
        <w:rPr>
          <w:rFonts w:ascii="Arial" w:hAnsi="Arial"/>
          <w:color w:val="000000"/>
          <w:sz w:val="20"/>
          <w:szCs w:val="20"/>
          <w:lang w:eastAsia="cs-CZ"/>
        </w:rPr>
        <w:tab/>
        <w:t>25 MVA</w:t>
      </w:r>
    </w:p>
    <w:p w14:paraId="4E32B77A"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olor w:val="000000"/>
          <w:sz w:val="20"/>
          <w:szCs w:val="20"/>
          <w:lang w:eastAsia="cs-CZ"/>
        </w:rPr>
        <w:t>Rozvodna Děčín východ</w:t>
      </w:r>
    </w:p>
    <w:p w14:paraId="0AB5A44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  transformace     110/10 kV</w:t>
      </w:r>
      <w:r w:rsidRPr="00D42621">
        <w:rPr>
          <w:rFonts w:ascii="Arial" w:hAnsi="Arial"/>
          <w:color w:val="000000"/>
          <w:sz w:val="20"/>
          <w:szCs w:val="20"/>
          <w:lang w:eastAsia="cs-CZ"/>
        </w:rPr>
        <w:tab/>
      </w:r>
      <w:r w:rsidRPr="00D42621">
        <w:rPr>
          <w:rFonts w:ascii="Arial" w:hAnsi="Arial"/>
          <w:color w:val="000000"/>
          <w:sz w:val="20"/>
          <w:szCs w:val="20"/>
          <w:lang w:eastAsia="cs-CZ"/>
        </w:rPr>
        <w:tab/>
        <w:t>25 MVA</w:t>
      </w:r>
    </w:p>
    <w:p w14:paraId="756C1347"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   10/22 kV</w:t>
      </w:r>
      <w:r w:rsidRPr="00D42621">
        <w:rPr>
          <w:rFonts w:ascii="Arial" w:hAnsi="Arial"/>
          <w:color w:val="000000"/>
          <w:sz w:val="20"/>
          <w:szCs w:val="20"/>
          <w:lang w:eastAsia="cs-CZ"/>
        </w:rPr>
        <w:tab/>
      </w:r>
      <w:r w:rsidRPr="00D42621">
        <w:rPr>
          <w:rFonts w:ascii="Arial" w:hAnsi="Arial"/>
          <w:color w:val="000000"/>
          <w:sz w:val="20"/>
          <w:szCs w:val="20"/>
          <w:lang w:eastAsia="cs-CZ"/>
        </w:rPr>
        <w:tab/>
        <w:t>16 MVA</w:t>
      </w:r>
    </w:p>
    <w:p w14:paraId="4E2C82A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olor w:val="000000"/>
          <w:sz w:val="20"/>
          <w:szCs w:val="20"/>
          <w:lang w:eastAsia="cs-CZ"/>
        </w:rPr>
        <w:t xml:space="preserve">Rozvodna Kovohutě </w:t>
      </w:r>
      <w:r w:rsidRPr="00D42621">
        <w:rPr>
          <w:rFonts w:ascii="Arial" w:hAnsi="Arial"/>
          <w:color w:val="000000"/>
          <w:sz w:val="20"/>
          <w:szCs w:val="20"/>
          <w:lang w:eastAsia="cs-CZ"/>
        </w:rPr>
        <w:t>(Aluminium)</w:t>
      </w:r>
    </w:p>
    <w:p w14:paraId="1C9E18AB" w14:textId="77777777" w:rsid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  transformace </w:t>
      </w:r>
      <w:r w:rsidRPr="00D42621">
        <w:rPr>
          <w:rFonts w:ascii="Arial" w:hAnsi="Arial"/>
          <w:color w:val="000000"/>
          <w:sz w:val="20"/>
          <w:szCs w:val="20"/>
          <w:lang w:eastAsia="cs-CZ"/>
        </w:rPr>
        <w:tab/>
        <w:t xml:space="preserve">  110/10 kV</w:t>
      </w:r>
      <w:r w:rsidRPr="00D42621">
        <w:rPr>
          <w:rFonts w:ascii="Arial" w:hAnsi="Arial"/>
          <w:color w:val="000000"/>
          <w:sz w:val="20"/>
          <w:szCs w:val="20"/>
          <w:lang w:eastAsia="cs-CZ"/>
        </w:rPr>
        <w:tab/>
      </w:r>
      <w:r w:rsidRPr="00D42621">
        <w:rPr>
          <w:rFonts w:ascii="Arial" w:hAnsi="Arial"/>
          <w:color w:val="000000"/>
          <w:sz w:val="20"/>
          <w:szCs w:val="20"/>
          <w:lang w:eastAsia="cs-CZ"/>
        </w:rPr>
        <w:tab/>
        <w:t>2 x 25 MVA</w:t>
      </w:r>
    </w:p>
    <w:p w14:paraId="78250839" w14:textId="77777777" w:rsid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FB96413" w14:textId="77777777" w:rsid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4640FFFF" w14:textId="77777777" w:rsid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46A9C45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9DDE3E4"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507C9B1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olor w:val="000000"/>
          <w:sz w:val="20"/>
          <w:szCs w:val="20"/>
          <w:lang w:eastAsia="cs-CZ"/>
        </w:rPr>
        <w:t>Řešeným územím prochází následující linky velmi vysokého napětí 110 kV :</w:t>
      </w:r>
    </w:p>
    <w:p w14:paraId="57558AC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Ústí n.L. sever - Děčín Želenice</w:t>
      </w:r>
    </w:p>
    <w:p w14:paraId="07B8F51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Chotějovice - Děčín Želenice</w:t>
      </w:r>
    </w:p>
    <w:p w14:paraId="5D9E56A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Děčín Želenice - Podhájí</w:t>
      </w:r>
    </w:p>
    <w:p w14:paraId="1E70325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Děčín Želenice - Děčín východ</w:t>
      </w:r>
    </w:p>
    <w:p w14:paraId="514736D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Děčín východ - Babylon</w:t>
      </w:r>
    </w:p>
    <w:p w14:paraId="3410127A"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2T přípojka do Kovohutí (Aluminium)</w:t>
      </w:r>
    </w:p>
    <w:p w14:paraId="67A19E8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Rezervní území je drženo pro  výstavbu linky 110 kV Děčín Želenice - Babylon. Tato trasa je vyprojektovaná, územně projednaná a je v grafické příloze zakreslena.</w:t>
      </w:r>
    </w:p>
    <w:p w14:paraId="3E4B4A1B"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966B5F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Městský kabelový systém 10 kV je posílen mezitransformací 35/10 kV v trafostanici Chepos    (2 x 10 MVA, cca 3 MW pro městskou síť, ostatní výkon pro průmysl). Výhledově bude kabelová síť unifikována na napěťovou hladinu 22 kV. Tohoto stavu bude dosaženo až po roce 2000  ( konečný termín ovlivní investiční náročnost unifikace ). Při obnově kabelové sítě jsou již pokládány kabely s izolací na 22 kV (cca 50% sítě), rovněž trafostanice jsou rekonstruovány na izolační hladinu 22 kV.</w:t>
      </w:r>
    </w:p>
    <w:p w14:paraId="245F9B8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Ze systému 22 kV je napájena pouze trakční měnírna ČD v Děčíně (zálohové napájení z rozvodny Děčín východ).</w:t>
      </w:r>
    </w:p>
    <w:p w14:paraId="02DD3E04"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CA0E1F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430A8C24"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b/>
          <w:bCs/>
          <w:caps/>
          <w:color w:val="000000"/>
          <w:sz w:val="20"/>
          <w:szCs w:val="20"/>
          <w:lang w:eastAsia="cs-CZ"/>
        </w:rPr>
        <w:t>i.2.2. Trafostanice vn/nn</w:t>
      </w:r>
    </w:p>
    <w:p w14:paraId="06AF1AC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6A2BB4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Trafostanice jsou uvedeny níže v tabulce a číselné označení koresponduje s grafickou přílohou. Označení typu trafostanice :</w:t>
      </w:r>
    </w:p>
    <w:p w14:paraId="2BF85A9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8"/>
          <w:szCs w:val="18"/>
          <w:lang w:eastAsia="cs-CZ"/>
        </w:rPr>
      </w:pPr>
      <w:r w:rsidRPr="00D42621">
        <w:rPr>
          <w:rFonts w:ascii="Arial" w:hAnsi="Arial"/>
          <w:color w:val="000000"/>
          <w:sz w:val="18"/>
          <w:szCs w:val="18"/>
          <w:lang w:eastAsia="cs-CZ"/>
        </w:rPr>
        <w:t>KA - kabelová   VĚ - věžová   PŘ - příhradová   VEST - vestavěná   ZD - zděná   SL – sloupová</w:t>
      </w:r>
    </w:p>
    <w:p w14:paraId="71B8B9C8"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p>
    <w:tbl>
      <w:tblPr>
        <w:tblW w:w="0" w:type="auto"/>
        <w:tblLayout w:type="fixed"/>
        <w:tblCellMar>
          <w:left w:w="54" w:type="dxa"/>
          <w:right w:w="54" w:type="dxa"/>
        </w:tblCellMar>
        <w:tblLook w:val="0000" w:firstRow="0" w:lastRow="0" w:firstColumn="0" w:lastColumn="0" w:noHBand="0" w:noVBand="0"/>
      </w:tblPr>
      <w:tblGrid>
        <w:gridCol w:w="558"/>
        <w:gridCol w:w="1632"/>
        <w:gridCol w:w="906"/>
        <w:gridCol w:w="679"/>
        <w:gridCol w:w="710"/>
        <w:gridCol w:w="483"/>
        <w:gridCol w:w="1556"/>
        <w:gridCol w:w="1193"/>
        <w:gridCol w:w="633"/>
        <w:gridCol w:w="724"/>
      </w:tblGrid>
      <w:tr w:rsidR="00D42621" w:rsidRPr="00D42621" w14:paraId="4CFB0BF8"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6BC26D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č.</w:t>
            </w:r>
          </w:p>
        </w:tc>
        <w:tc>
          <w:tcPr>
            <w:tcW w:w="1632" w:type="dxa"/>
            <w:tcBorders>
              <w:top w:val="single" w:sz="6" w:space="0" w:color="auto"/>
              <w:left w:val="single" w:sz="6" w:space="0" w:color="auto"/>
              <w:bottom w:val="single" w:sz="6" w:space="0" w:color="auto"/>
              <w:right w:val="single" w:sz="6" w:space="0" w:color="auto"/>
            </w:tcBorders>
          </w:tcPr>
          <w:p w14:paraId="0B29EED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název TS</w:t>
            </w:r>
          </w:p>
        </w:tc>
        <w:tc>
          <w:tcPr>
            <w:tcW w:w="906" w:type="dxa"/>
            <w:tcBorders>
              <w:top w:val="single" w:sz="6" w:space="0" w:color="auto"/>
              <w:left w:val="single" w:sz="6" w:space="0" w:color="auto"/>
              <w:bottom w:val="single" w:sz="6" w:space="0" w:color="auto"/>
              <w:right w:val="single" w:sz="6" w:space="0" w:color="auto"/>
            </w:tcBorders>
          </w:tcPr>
          <w:p w14:paraId="62BBF8C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sídlo</w:t>
            </w:r>
          </w:p>
        </w:tc>
        <w:tc>
          <w:tcPr>
            <w:tcW w:w="679" w:type="dxa"/>
            <w:tcBorders>
              <w:top w:val="single" w:sz="6" w:space="0" w:color="auto"/>
              <w:left w:val="single" w:sz="6" w:space="0" w:color="auto"/>
              <w:bottom w:val="single" w:sz="6" w:space="0" w:color="auto"/>
              <w:right w:val="single" w:sz="6" w:space="0" w:color="auto"/>
            </w:tcBorders>
          </w:tcPr>
          <w:p w14:paraId="6042F7B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typ TS</w:t>
            </w:r>
          </w:p>
        </w:tc>
        <w:tc>
          <w:tcPr>
            <w:tcW w:w="710" w:type="dxa"/>
            <w:tcBorders>
              <w:top w:val="single" w:sz="6" w:space="0" w:color="auto"/>
              <w:left w:val="single" w:sz="6" w:space="0" w:color="auto"/>
              <w:bottom w:val="single" w:sz="6" w:space="0" w:color="auto"/>
              <w:right w:val="single" w:sz="6" w:space="0" w:color="auto"/>
            </w:tcBorders>
          </w:tcPr>
          <w:p w14:paraId="04267ED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kV/kV</w:t>
            </w:r>
          </w:p>
        </w:tc>
        <w:tc>
          <w:tcPr>
            <w:tcW w:w="483" w:type="dxa"/>
            <w:tcBorders>
              <w:top w:val="single" w:sz="6" w:space="0" w:color="auto"/>
              <w:left w:val="single" w:sz="6" w:space="0" w:color="auto"/>
              <w:bottom w:val="single" w:sz="6" w:space="0" w:color="auto"/>
              <w:right w:val="single" w:sz="6" w:space="0" w:color="auto"/>
            </w:tcBorders>
          </w:tcPr>
          <w:p w14:paraId="53DC3FD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č.</w:t>
            </w:r>
          </w:p>
        </w:tc>
        <w:tc>
          <w:tcPr>
            <w:tcW w:w="1556" w:type="dxa"/>
            <w:tcBorders>
              <w:top w:val="single" w:sz="6" w:space="0" w:color="auto"/>
              <w:left w:val="single" w:sz="6" w:space="0" w:color="auto"/>
              <w:bottom w:val="single" w:sz="6" w:space="0" w:color="auto"/>
              <w:right w:val="single" w:sz="6" w:space="0" w:color="auto"/>
            </w:tcBorders>
          </w:tcPr>
          <w:p w14:paraId="4389F71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název TS</w:t>
            </w:r>
          </w:p>
        </w:tc>
        <w:tc>
          <w:tcPr>
            <w:tcW w:w="1193" w:type="dxa"/>
            <w:tcBorders>
              <w:top w:val="single" w:sz="6" w:space="0" w:color="auto"/>
              <w:left w:val="single" w:sz="6" w:space="0" w:color="auto"/>
              <w:bottom w:val="single" w:sz="6" w:space="0" w:color="auto"/>
              <w:right w:val="single" w:sz="6" w:space="0" w:color="auto"/>
            </w:tcBorders>
          </w:tcPr>
          <w:p w14:paraId="1EDA15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sídlo</w:t>
            </w:r>
          </w:p>
        </w:tc>
        <w:tc>
          <w:tcPr>
            <w:tcW w:w="633" w:type="dxa"/>
            <w:tcBorders>
              <w:top w:val="single" w:sz="6" w:space="0" w:color="auto"/>
              <w:left w:val="single" w:sz="6" w:space="0" w:color="auto"/>
              <w:bottom w:val="single" w:sz="6" w:space="0" w:color="auto"/>
              <w:right w:val="single" w:sz="6" w:space="0" w:color="auto"/>
            </w:tcBorders>
          </w:tcPr>
          <w:p w14:paraId="2F8487B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typTS</w:t>
            </w:r>
          </w:p>
        </w:tc>
        <w:tc>
          <w:tcPr>
            <w:tcW w:w="724" w:type="dxa"/>
            <w:tcBorders>
              <w:top w:val="single" w:sz="6" w:space="0" w:color="auto"/>
              <w:left w:val="single" w:sz="6" w:space="0" w:color="auto"/>
              <w:bottom w:val="single" w:sz="6" w:space="0" w:color="auto"/>
              <w:right w:val="single" w:sz="6" w:space="0" w:color="auto"/>
            </w:tcBorders>
          </w:tcPr>
          <w:p w14:paraId="0A572A3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kV/kV</w:t>
            </w:r>
          </w:p>
        </w:tc>
      </w:tr>
      <w:tr w:rsidR="00D42621" w:rsidRPr="00D42621" w14:paraId="4A9F7C36"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607055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w:t>
            </w:r>
          </w:p>
        </w:tc>
        <w:tc>
          <w:tcPr>
            <w:tcW w:w="1632" w:type="dxa"/>
            <w:tcBorders>
              <w:top w:val="single" w:sz="6" w:space="0" w:color="auto"/>
              <w:left w:val="single" w:sz="6" w:space="0" w:color="auto"/>
              <w:bottom w:val="single" w:sz="6" w:space="0" w:color="auto"/>
              <w:right w:val="single" w:sz="6" w:space="0" w:color="auto"/>
            </w:tcBorders>
          </w:tcPr>
          <w:p w14:paraId="6664585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Severografie</w:t>
            </w:r>
          </w:p>
        </w:tc>
        <w:tc>
          <w:tcPr>
            <w:tcW w:w="906" w:type="dxa"/>
            <w:tcBorders>
              <w:top w:val="single" w:sz="6" w:space="0" w:color="auto"/>
              <w:left w:val="single" w:sz="6" w:space="0" w:color="auto"/>
              <w:bottom w:val="single" w:sz="6" w:space="0" w:color="auto"/>
              <w:right w:val="single" w:sz="6" w:space="0" w:color="auto"/>
            </w:tcBorders>
          </w:tcPr>
          <w:p w14:paraId="329E8A0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Bělá</w:t>
            </w:r>
          </w:p>
        </w:tc>
        <w:tc>
          <w:tcPr>
            <w:tcW w:w="679" w:type="dxa"/>
            <w:tcBorders>
              <w:top w:val="single" w:sz="6" w:space="0" w:color="auto"/>
              <w:left w:val="single" w:sz="6" w:space="0" w:color="auto"/>
              <w:bottom w:val="single" w:sz="6" w:space="0" w:color="auto"/>
              <w:right w:val="single" w:sz="6" w:space="0" w:color="auto"/>
            </w:tcBorders>
          </w:tcPr>
          <w:p w14:paraId="072208C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10" w:type="dxa"/>
            <w:tcBorders>
              <w:top w:val="single" w:sz="6" w:space="0" w:color="auto"/>
              <w:left w:val="single" w:sz="6" w:space="0" w:color="auto"/>
              <w:bottom w:val="single" w:sz="6" w:space="0" w:color="auto"/>
              <w:right w:val="single" w:sz="6" w:space="0" w:color="auto"/>
            </w:tcBorders>
          </w:tcPr>
          <w:p w14:paraId="3FB6C8A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23B8D4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130</w:t>
            </w:r>
          </w:p>
        </w:tc>
        <w:tc>
          <w:tcPr>
            <w:tcW w:w="1556" w:type="dxa"/>
            <w:tcBorders>
              <w:top w:val="single" w:sz="6" w:space="0" w:color="auto"/>
              <w:left w:val="single" w:sz="6" w:space="0" w:color="auto"/>
              <w:bottom w:val="single" w:sz="6" w:space="0" w:color="auto"/>
              <w:right w:val="single" w:sz="6" w:space="0" w:color="auto"/>
            </w:tcBorders>
          </w:tcPr>
          <w:p w14:paraId="21A7868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Slovanka</w:t>
            </w:r>
          </w:p>
        </w:tc>
        <w:tc>
          <w:tcPr>
            <w:tcW w:w="1193" w:type="dxa"/>
            <w:tcBorders>
              <w:top w:val="single" w:sz="6" w:space="0" w:color="auto"/>
              <w:left w:val="single" w:sz="6" w:space="0" w:color="auto"/>
              <w:bottom w:val="single" w:sz="6" w:space="0" w:color="auto"/>
              <w:right w:val="single" w:sz="6" w:space="0" w:color="auto"/>
            </w:tcBorders>
          </w:tcPr>
          <w:p w14:paraId="32E0C98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74A0FE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5F473A9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188B7449"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36CF6C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w:t>
            </w:r>
          </w:p>
        </w:tc>
        <w:tc>
          <w:tcPr>
            <w:tcW w:w="1632" w:type="dxa"/>
            <w:tcBorders>
              <w:top w:val="single" w:sz="6" w:space="0" w:color="auto"/>
              <w:left w:val="single" w:sz="6" w:space="0" w:color="auto"/>
              <w:bottom w:val="single" w:sz="6" w:space="0" w:color="auto"/>
              <w:right w:val="single" w:sz="6" w:space="0" w:color="auto"/>
            </w:tcBorders>
          </w:tcPr>
          <w:p w14:paraId="66446EA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5. května</w:t>
            </w:r>
          </w:p>
        </w:tc>
        <w:tc>
          <w:tcPr>
            <w:tcW w:w="906" w:type="dxa"/>
            <w:tcBorders>
              <w:top w:val="single" w:sz="6" w:space="0" w:color="auto"/>
              <w:left w:val="single" w:sz="6" w:space="0" w:color="auto"/>
              <w:bottom w:val="single" w:sz="6" w:space="0" w:color="auto"/>
              <w:right w:val="single" w:sz="6" w:space="0" w:color="auto"/>
            </w:tcBorders>
          </w:tcPr>
          <w:p w14:paraId="6A571E7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Bělá</w:t>
            </w:r>
          </w:p>
        </w:tc>
        <w:tc>
          <w:tcPr>
            <w:tcW w:w="679" w:type="dxa"/>
            <w:tcBorders>
              <w:top w:val="single" w:sz="6" w:space="0" w:color="auto"/>
              <w:left w:val="single" w:sz="6" w:space="0" w:color="auto"/>
              <w:bottom w:val="single" w:sz="6" w:space="0" w:color="auto"/>
              <w:right w:val="single" w:sz="6" w:space="0" w:color="auto"/>
            </w:tcBorders>
          </w:tcPr>
          <w:p w14:paraId="2B38B4D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97E6E6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25D43A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131</w:t>
            </w:r>
          </w:p>
        </w:tc>
        <w:tc>
          <w:tcPr>
            <w:tcW w:w="1556" w:type="dxa"/>
            <w:tcBorders>
              <w:top w:val="single" w:sz="6" w:space="0" w:color="auto"/>
              <w:left w:val="single" w:sz="6" w:space="0" w:color="auto"/>
              <w:bottom w:val="single" w:sz="6" w:space="0" w:color="auto"/>
              <w:right w:val="single" w:sz="6" w:space="0" w:color="auto"/>
            </w:tcBorders>
          </w:tcPr>
          <w:p w14:paraId="0EF90AE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Dřevař. závody</w:t>
            </w:r>
          </w:p>
        </w:tc>
        <w:tc>
          <w:tcPr>
            <w:tcW w:w="1193" w:type="dxa"/>
            <w:tcBorders>
              <w:top w:val="single" w:sz="6" w:space="0" w:color="auto"/>
              <w:left w:val="single" w:sz="6" w:space="0" w:color="auto"/>
              <w:bottom w:val="single" w:sz="6" w:space="0" w:color="auto"/>
              <w:right w:val="single" w:sz="6" w:space="0" w:color="auto"/>
            </w:tcBorders>
          </w:tcPr>
          <w:p w14:paraId="0324F4D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3BD1FF0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24" w:type="dxa"/>
            <w:tcBorders>
              <w:top w:val="single" w:sz="6" w:space="0" w:color="auto"/>
              <w:left w:val="single" w:sz="6" w:space="0" w:color="auto"/>
              <w:bottom w:val="single" w:sz="6" w:space="0" w:color="auto"/>
              <w:right w:val="single" w:sz="6" w:space="0" w:color="auto"/>
            </w:tcBorders>
          </w:tcPr>
          <w:p w14:paraId="0230788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6541481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8F8C75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w:t>
            </w:r>
          </w:p>
        </w:tc>
        <w:tc>
          <w:tcPr>
            <w:tcW w:w="1632" w:type="dxa"/>
            <w:tcBorders>
              <w:top w:val="single" w:sz="6" w:space="0" w:color="auto"/>
              <w:left w:val="single" w:sz="6" w:space="0" w:color="auto"/>
              <w:bottom w:val="single" w:sz="6" w:space="0" w:color="auto"/>
              <w:right w:val="single" w:sz="6" w:space="0" w:color="auto"/>
            </w:tcBorders>
          </w:tcPr>
          <w:p w14:paraId="3B038B7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Jasná</w:t>
            </w:r>
          </w:p>
        </w:tc>
        <w:tc>
          <w:tcPr>
            <w:tcW w:w="906" w:type="dxa"/>
            <w:tcBorders>
              <w:top w:val="single" w:sz="6" w:space="0" w:color="auto"/>
              <w:left w:val="single" w:sz="6" w:space="0" w:color="auto"/>
              <w:bottom w:val="single" w:sz="6" w:space="0" w:color="auto"/>
              <w:right w:val="single" w:sz="6" w:space="0" w:color="auto"/>
            </w:tcBorders>
          </w:tcPr>
          <w:p w14:paraId="120A965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Bělá</w:t>
            </w:r>
          </w:p>
        </w:tc>
        <w:tc>
          <w:tcPr>
            <w:tcW w:w="679" w:type="dxa"/>
            <w:tcBorders>
              <w:top w:val="single" w:sz="6" w:space="0" w:color="auto"/>
              <w:left w:val="single" w:sz="6" w:space="0" w:color="auto"/>
              <w:bottom w:val="single" w:sz="6" w:space="0" w:color="auto"/>
              <w:right w:val="single" w:sz="6" w:space="0" w:color="auto"/>
            </w:tcBorders>
          </w:tcPr>
          <w:p w14:paraId="3B37863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C23CAC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4284C3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132</w:t>
            </w:r>
          </w:p>
        </w:tc>
        <w:tc>
          <w:tcPr>
            <w:tcW w:w="1556" w:type="dxa"/>
            <w:tcBorders>
              <w:top w:val="single" w:sz="6" w:space="0" w:color="auto"/>
              <w:left w:val="single" w:sz="6" w:space="0" w:color="auto"/>
              <w:bottom w:val="single" w:sz="6" w:space="0" w:color="auto"/>
              <w:right w:val="single" w:sz="6" w:space="0" w:color="auto"/>
            </w:tcBorders>
          </w:tcPr>
          <w:p w14:paraId="79003B0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OSP</w:t>
            </w:r>
          </w:p>
        </w:tc>
        <w:tc>
          <w:tcPr>
            <w:tcW w:w="1193" w:type="dxa"/>
            <w:tcBorders>
              <w:top w:val="single" w:sz="6" w:space="0" w:color="auto"/>
              <w:left w:val="single" w:sz="6" w:space="0" w:color="auto"/>
              <w:bottom w:val="single" w:sz="6" w:space="0" w:color="auto"/>
              <w:right w:val="single" w:sz="6" w:space="0" w:color="auto"/>
            </w:tcBorders>
          </w:tcPr>
          <w:p w14:paraId="18E5A17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3C6EFF28"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724" w:type="dxa"/>
            <w:tcBorders>
              <w:top w:val="single" w:sz="6" w:space="0" w:color="auto"/>
              <w:left w:val="single" w:sz="6" w:space="0" w:color="auto"/>
              <w:bottom w:val="single" w:sz="6" w:space="0" w:color="auto"/>
              <w:right w:val="single" w:sz="6" w:space="0" w:color="auto"/>
            </w:tcBorders>
          </w:tcPr>
          <w:p w14:paraId="093F879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13EC6171"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1477F9A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w:t>
            </w:r>
          </w:p>
        </w:tc>
        <w:tc>
          <w:tcPr>
            <w:tcW w:w="1632" w:type="dxa"/>
            <w:tcBorders>
              <w:top w:val="single" w:sz="6" w:space="0" w:color="auto"/>
              <w:left w:val="single" w:sz="6" w:space="0" w:color="auto"/>
              <w:bottom w:val="single" w:sz="6" w:space="0" w:color="auto"/>
              <w:right w:val="single" w:sz="6" w:space="0" w:color="auto"/>
            </w:tcBorders>
          </w:tcPr>
          <w:p w14:paraId="59B0ED8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Čechy</w:t>
            </w:r>
          </w:p>
        </w:tc>
        <w:tc>
          <w:tcPr>
            <w:tcW w:w="906" w:type="dxa"/>
            <w:tcBorders>
              <w:top w:val="single" w:sz="6" w:space="0" w:color="auto"/>
              <w:left w:val="single" w:sz="6" w:space="0" w:color="auto"/>
              <w:bottom w:val="single" w:sz="6" w:space="0" w:color="auto"/>
              <w:right w:val="single" w:sz="6" w:space="0" w:color="auto"/>
            </w:tcBorders>
          </w:tcPr>
          <w:p w14:paraId="7394616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Bělá</w:t>
            </w:r>
          </w:p>
        </w:tc>
        <w:tc>
          <w:tcPr>
            <w:tcW w:w="679" w:type="dxa"/>
            <w:tcBorders>
              <w:top w:val="single" w:sz="6" w:space="0" w:color="auto"/>
              <w:left w:val="single" w:sz="6" w:space="0" w:color="auto"/>
              <w:bottom w:val="single" w:sz="6" w:space="0" w:color="auto"/>
              <w:right w:val="single" w:sz="6" w:space="0" w:color="auto"/>
            </w:tcBorders>
          </w:tcPr>
          <w:p w14:paraId="1E6989B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1D49DC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4B5978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133</w:t>
            </w:r>
          </w:p>
        </w:tc>
        <w:tc>
          <w:tcPr>
            <w:tcW w:w="1556" w:type="dxa"/>
            <w:tcBorders>
              <w:top w:val="single" w:sz="6" w:space="0" w:color="auto"/>
              <w:left w:val="single" w:sz="6" w:space="0" w:color="auto"/>
              <w:bottom w:val="single" w:sz="6" w:space="0" w:color="auto"/>
              <w:right w:val="single" w:sz="6" w:space="0" w:color="auto"/>
            </w:tcBorders>
          </w:tcPr>
          <w:p w14:paraId="25833E1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Centr. teplárna</w:t>
            </w:r>
          </w:p>
        </w:tc>
        <w:tc>
          <w:tcPr>
            <w:tcW w:w="1193" w:type="dxa"/>
            <w:tcBorders>
              <w:top w:val="single" w:sz="6" w:space="0" w:color="auto"/>
              <w:left w:val="single" w:sz="6" w:space="0" w:color="auto"/>
              <w:bottom w:val="single" w:sz="6" w:space="0" w:color="auto"/>
              <w:right w:val="single" w:sz="6" w:space="0" w:color="auto"/>
            </w:tcBorders>
          </w:tcPr>
          <w:p w14:paraId="36F27BC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0F82952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1FA18EB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3E83456B" w14:textId="77777777" w:rsidTr="002D2D45">
        <w:trPr>
          <w:trHeight w:val="473"/>
        </w:trPr>
        <w:tc>
          <w:tcPr>
            <w:tcW w:w="558" w:type="dxa"/>
            <w:tcBorders>
              <w:top w:val="single" w:sz="6" w:space="0" w:color="auto"/>
              <w:left w:val="single" w:sz="6" w:space="0" w:color="auto"/>
              <w:bottom w:val="single" w:sz="6" w:space="0" w:color="auto"/>
              <w:right w:val="single" w:sz="6" w:space="0" w:color="auto"/>
            </w:tcBorders>
          </w:tcPr>
          <w:p w14:paraId="6E62DB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w:t>
            </w:r>
          </w:p>
        </w:tc>
        <w:tc>
          <w:tcPr>
            <w:tcW w:w="1632" w:type="dxa"/>
            <w:tcBorders>
              <w:top w:val="single" w:sz="6" w:space="0" w:color="auto"/>
              <w:left w:val="single" w:sz="6" w:space="0" w:color="auto"/>
              <w:bottom w:val="single" w:sz="6" w:space="0" w:color="auto"/>
              <w:right w:val="single" w:sz="6" w:space="0" w:color="auto"/>
            </w:tcBorders>
          </w:tcPr>
          <w:p w14:paraId="618DB69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Potraviny</w:t>
            </w:r>
          </w:p>
        </w:tc>
        <w:tc>
          <w:tcPr>
            <w:tcW w:w="906" w:type="dxa"/>
            <w:tcBorders>
              <w:top w:val="single" w:sz="6" w:space="0" w:color="auto"/>
              <w:left w:val="single" w:sz="6" w:space="0" w:color="auto"/>
              <w:bottom w:val="single" w:sz="6" w:space="0" w:color="auto"/>
              <w:right w:val="single" w:sz="6" w:space="0" w:color="auto"/>
            </w:tcBorders>
          </w:tcPr>
          <w:p w14:paraId="14A1CC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Bělá</w:t>
            </w:r>
          </w:p>
        </w:tc>
        <w:tc>
          <w:tcPr>
            <w:tcW w:w="679" w:type="dxa"/>
            <w:tcBorders>
              <w:top w:val="single" w:sz="6" w:space="0" w:color="auto"/>
              <w:left w:val="single" w:sz="6" w:space="0" w:color="auto"/>
              <w:bottom w:val="single" w:sz="6" w:space="0" w:color="auto"/>
              <w:right w:val="single" w:sz="6" w:space="0" w:color="auto"/>
            </w:tcBorders>
          </w:tcPr>
          <w:p w14:paraId="1E38565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7255F03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5EE7F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134</w:t>
            </w:r>
          </w:p>
        </w:tc>
        <w:tc>
          <w:tcPr>
            <w:tcW w:w="1556" w:type="dxa"/>
            <w:tcBorders>
              <w:top w:val="single" w:sz="6" w:space="0" w:color="auto"/>
              <w:left w:val="single" w:sz="6" w:space="0" w:color="auto"/>
              <w:bottom w:val="single" w:sz="6" w:space="0" w:color="auto"/>
              <w:right w:val="single" w:sz="6" w:space="0" w:color="auto"/>
            </w:tcBorders>
          </w:tcPr>
          <w:p w14:paraId="09909BC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Narex</w:t>
            </w:r>
            <w:r w:rsidRPr="00D42621">
              <w:rPr>
                <w:rFonts w:ascii="Arial" w:hAnsi="Arial"/>
                <w:color w:val="000000"/>
                <w:sz w:val="16"/>
                <w:szCs w:val="16"/>
                <w:lang w:eastAsia="cs-CZ"/>
              </w:rPr>
              <w:t>, Kamenická</w:t>
            </w:r>
          </w:p>
        </w:tc>
        <w:tc>
          <w:tcPr>
            <w:tcW w:w="1193" w:type="dxa"/>
            <w:tcBorders>
              <w:top w:val="single" w:sz="6" w:space="0" w:color="auto"/>
              <w:left w:val="single" w:sz="6" w:space="0" w:color="auto"/>
              <w:bottom w:val="single" w:sz="6" w:space="0" w:color="auto"/>
              <w:right w:val="single" w:sz="6" w:space="0" w:color="auto"/>
            </w:tcBorders>
          </w:tcPr>
          <w:p w14:paraId="0BB4623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222840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7D5199B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1005EEAB"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4D0AF36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w:t>
            </w:r>
          </w:p>
        </w:tc>
        <w:tc>
          <w:tcPr>
            <w:tcW w:w="1632" w:type="dxa"/>
            <w:tcBorders>
              <w:top w:val="single" w:sz="6" w:space="0" w:color="auto"/>
              <w:left w:val="single" w:sz="6" w:space="0" w:color="auto"/>
              <w:bottom w:val="single" w:sz="6" w:space="0" w:color="auto"/>
              <w:right w:val="single" w:sz="6" w:space="0" w:color="auto"/>
            </w:tcBorders>
          </w:tcPr>
          <w:p w14:paraId="3828DF4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školy</w:t>
            </w:r>
          </w:p>
        </w:tc>
        <w:tc>
          <w:tcPr>
            <w:tcW w:w="906" w:type="dxa"/>
            <w:tcBorders>
              <w:top w:val="single" w:sz="6" w:space="0" w:color="auto"/>
              <w:left w:val="single" w:sz="6" w:space="0" w:color="auto"/>
              <w:bottom w:val="single" w:sz="6" w:space="0" w:color="auto"/>
              <w:right w:val="single" w:sz="6" w:space="0" w:color="auto"/>
            </w:tcBorders>
          </w:tcPr>
          <w:p w14:paraId="130B9D3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Bělá</w:t>
            </w:r>
          </w:p>
        </w:tc>
        <w:tc>
          <w:tcPr>
            <w:tcW w:w="679" w:type="dxa"/>
            <w:tcBorders>
              <w:top w:val="single" w:sz="6" w:space="0" w:color="auto"/>
              <w:left w:val="single" w:sz="6" w:space="0" w:color="auto"/>
              <w:bottom w:val="single" w:sz="6" w:space="0" w:color="auto"/>
              <w:right w:val="single" w:sz="6" w:space="0" w:color="auto"/>
            </w:tcBorders>
          </w:tcPr>
          <w:p w14:paraId="3F9AED5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59022C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59430D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135</w:t>
            </w:r>
          </w:p>
        </w:tc>
        <w:tc>
          <w:tcPr>
            <w:tcW w:w="1556" w:type="dxa"/>
            <w:tcBorders>
              <w:top w:val="single" w:sz="6" w:space="0" w:color="auto"/>
              <w:left w:val="single" w:sz="6" w:space="0" w:color="auto"/>
              <w:bottom w:val="single" w:sz="6" w:space="0" w:color="auto"/>
              <w:right w:val="single" w:sz="6" w:space="0" w:color="auto"/>
            </w:tcBorders>
          </w:tcPr>
          <w:p w14:paraId="5123B46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Anenská</w:t>
            </w:r>
          </w:p>
        </w:tc>
        <w:tc>
          <w:tcPr>
            <w:tcW w:w="1193" w:type="dxa"/>
            <w:tcBorders>
              <w:top w:val="single" w:sz="6" w:space="0" w:color="auto"/>
              <w:left w:val="single" w:sz="6" w:space="0" w:color="auto"/>
              <w:bottom w:val="single" w:sz="6" w:space="0" w:color="auto"/>
              <w:right w:val="single" w:sz="6" w:space="0" w:color="auto"/>
            </w:tcBorders>
          </w:tcPr>
          <w:p w14:paraId="61CCA1B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0264E29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73549C8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594F44C2"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4EA1D7D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7</w:t>
            </w:r>
          </w:p>
        </w:tc>
        <w:tc>
          <w:tcPr>
            <w:tcW w:w="1632" w:type="dxa"/>
            <w:tcBorders>
              <w:top w:val="single" w:sz="6" w:space="0" w:color="auto"/>
              <w:left w:val="single" w:sz="6" w:space="0" w:color="auto"/>
              <w:bottom w:val="single" w:sz="6" w:space="0" w:color="auto"/>
              <w:right w:val="single" w:sz="6" w:space="0" w:color="auto"/>
            </w:tcBorders>
          </w:tcPr>
          <w:p w14:paraId="31E1EBA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obchodu</w:t>
            </w:r>
          </w:p>
        </w:tc>
        <w:tc>
          <w:tcPr>
            <w:tcW w:w="906" w:type="dxa"/>
            <w:tcBorders>
              <w:top w:val="single" w:sz="6" w:space="0" w:color="auto"/>
              <w:left w:val="single" w:sz="6" w:space="0" w:color="auto"/>
              <w:bottom w:val="single" w:sz="6" w:space="0" w:color="auto"/>
              <w:right w:val="single" w:sz="6" w:space="0" w:color="auto"/>
            </w:tcBorders>
          </w:tcPr>
          <w:p w14:paraId="431B623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Jalůvčí</w:t>
            </w:r>
          </w:p>
        </w:tc>
        <w:tc>
          <w:tcPr>
            <w:tcW w:w="679" w:type="dxa"/>
            <w:tcBorders>
              <w:top w:val="single" w:sz="6" w:space="0" w:color="auto"/>
              <w:left w:val="single" w:sz="6" w:space="0" w:color="auto"/>
              <w:bottom w:val="single" w:sz="6" w:space="0" w:color="auto"/>
              <w:right w:val="single" w:sz="6" w:space="0" w:color="auto"/>
            </w:tcBorders>
          </w:tcPr>
          <w:p w14:paraId="0C943A1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10" w:type="dxa"/>
            <w:tcBorders>
              <w:top w:val="single" w:sz="6" w:space="0" w:color="auto"/>
              <w:left w:val="single" w:sz="6" w:space="0" w:color="auto"/>
              <w:bottom w:val="single" w:sz="6" w:space="0" w:color="auto"/>
              <w:right w:val="single" w:sz="6" w:space="0" w:color="auto"/>
            </w:tcBorders>
          </w:tcPr>
          <w:p w14:paraId="2D864BB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4139BE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136</w:t>
            </w:r>
          </w:p>
        </w:tc>
        <w:tc>
          <w:tcPr>
            <w:tcW w:w="1556" w:type="dxa"/>
            <w:tcBorders>
              <w:top w:val="single" w:sz="6" w:space="0" w:color="auto"/>
              <w:left w:val="single" w:sz="6" w:space="0" w:color="auto"/>
              <w:bottom w:val="single" w:sz="6" w:space="0" w:color="auto"/>
              <w:right w:val="single" w:sz="6" w:space="0" w:color="auto"/>
            </w:tcBorders>
          </w:tcPr>
          <w:p w14:paraId="4F4FA58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Plynárna</w:t>
            </w:r>
          </w:p>
        </w:tc>
        <w:tc>
          <w:tcPr>
            <w:tcW w:w="1193" w:type="dxa"/>
            <w:tcBorders>
              <w:top w:val="single" w:sz="6" w:space="0" w:color="auto"/>
              <w:left w:val="single" w:sz="6" w:space="0" w:color="auto"/>
              <w:bottom w:val="single" w:sz="6" w:space="0" w:color="auto"/>
              <w:right w:val="single" w:sz="6" w:space="0" w:color="auto"/>
            </w:tcBorders>
          </w:tcPr>
          <w:p w14:paraId="3D8E455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1607333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2D455EB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529C0872"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10D9BB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w:t>
            </w:r>
          </w:p>
        </w:tc>
        <w:tc>
          <w:tcPr>
            <w:tcW w:w="1632" w:type="dxa"/>
            <w:tcBorders>
              <w:top w:val="single" w:sz="6" w:space="0" w:color="auto"/>
              <w:left w:val="single" w:sz="6" w:space="0" w:color="auto"/>
              <w:bottom w:val="single" w:sz="6" w:space="0" w:color="auto"/>
              <w:right w:val="single" w:sz="6" w:space="0" w:color="auto"/>
            </w:tcBorders>
          </w:tcPr>
          <w:p w14:paraId="121CBCF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lesa</w:t>
            </w:r>
          </w:p>
        </w:tc>
        <w:tc>
          <w:tcPr>
            <w:tcW w:w="906" w:type="dxa"/>
            <w:tcBorders>
              <w:top w:val="single" w:sz="6" w:space="0" w:color="auto"/>
              <w:left w:val="single" w:sz="6" w:space="0" w:color="auto"/>
              <w:bottom w:val="single" w:sz="6" w:space="0" w:color="auto"/>
              <w:right w:val="single" w:sz="6" w:space="0" w:color="auto"/>
            </w:tcBorders>
          </w:tcPr>
          <w:p w14:paraId="738AFE2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Jalůvčí</w:t>
            </w:r>
          </w:p>
        </w:tc>
        <w:tc>
          <w:tcPr>
            <w:tcW w:w="679" w:type="dxa"/>
            <w:tcBorders>
              <w:top w:val="single" w:sz="6" w:space="0" w:color="auto"/>
              <w:left w:val="single" w:sz="6" w:space="0" w:color="auto"/>
              <w:bottom w:val="single" w:sz="6" w:space="0" w:color="auto"/>
              <w:right w:val="single" w:sz="6" w:space="0" w:color="auto"/>
            </w:tcBorders>
          </w:tcPr>
          <w:p w14:paraId="364488D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10" w:type="dxa"/>
            <w:tcBorders>
              <w:top w:val="single" w:sz="6" w:space="0" w:color="auto"/>
              <w:left w:val="single" w:sz="6" w:space="0" w:color="auto"/>
              <w:bottom w:val="single" w:sz="6" w:space="0" w:color="auto"/>
              <w:right w:val="single" w:sz="6" w:space="0" w:color="auto"/>
            </w:tcBorders>
          </w:tcPr>
          <w:p w14:paraId="7E41766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067CA9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137</w:t>
            </w:r>
          </w:p>
        </w:tc>
        <w:tc>
          <w:tcPr>
            <w:tcW w:w="1556" w:type="dxa"/>
            <w:tcBorders>
              <w:top w:val="single" w:sz="6" w:space="0" w:color="auto"/>
              <w:left w:val="single" w:sz="6" w:space="0" w:color="auto"/>
              <w:bottom w:val="single" w:sz="6" w:space="0" w:color="auto"/>
              <w:right w:val="single" w:sz="6" w:space="0" w:color="auto"/>
            </w:tcBorders>
          </w:tcPr>
          <w:p w14:paraId="18D320C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769D2EA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Folknáře</w:t>
            </w:r>
          </w:p>
        </w:tc>
        <w:tc>
          <w:tcPr>
            <w:tcW w:w="633" w:type="dxa"/>
            <w:tcBorders>
              <w:top w:val="single" w:sz="6" w:space="0" w:color="auto"/>
              <w:left w:val="single" w:sz="6" w:space="0" w:color="auto"/>
              <w:bottom w:val="single" w:sz="6" w:space="0" w:color="auto"/>
              <w:right w:val="single" w:sz="6" w:space="0" w:color="auto"/>
            </w:tcBorders>
          </w:tcPr>
          <w:p w14:paraId="0714D8D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45CFDE9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35190A50"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46FCEE5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w:t>
            </w:r>
          </w:p>
        </w:tc>
        <w:tc>
          <w:tcPr>
            <w:tcW w:w="1632" w:type="dxa"/>
            <w:tcBorders>
              <w:top w:val="single" w:sz="6" w:space="0" w:color="auto"/>
              <w:left w:val="single" w:sz="6" w:space="0" w:color="auto"/>
              <w:bottom w:val="single" w:sz="6" w:space="0" w:color="auto"/>
              <w:right w:val="single" w:sz="6" w:space="0" w:color="auto"/>
            </w:tcBorders>
          </w:tcPr>
          <w:p w14:paraId="7050027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Škrabky, horní</w:t>
            </w:r>
          </w:p>
        </w:tc>
        <w:tc>
          <w:tcPr>
            <w:tcW w:w="906" w:type="dxa"/>
            <w:tcBorders>
              <w:top w:val="single" w:sz="6" w:space="0" w:color="auto"/>
              <w:left w:val="single" w:sz="6" w:space="0" w:color="auto"/>
              <w:bottom w:val="single" w:sz="6" w:space="0" w:color="auto"/>
              <w:right w:val="single" w:sz="6" w:space="0" w:color="auto"/>
            </w:tcBorders>
          </w:tcPr>
          <w:p w14:paraId="487AF23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FABB66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9812F4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BFFE14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138</w:t>
            </w:r>
          </w:p>
        </w:tc>
        <w:tc>
          <w:tcPr>
            <w:tcW w:w="1556" w:type="dxa"/>
            <w:tcBorders>
              <w:top w:val="single" w:sz="6" w:space="0" w:color="auto"/>
              <w:left w:val="single" w:sz="6" w:space="0" w:color="auto"/>
              <w:bottom w:val="single" w:sz="6" w:space="0" w:color="auto"/>
              <w:right w:val="single" w:sz="6" w:space="0" w:color="auto"/>
            </w:tcBorders>
          </w:tcPr>
          <w:p w14:paraId="42715D5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RZ  DC  východ</w:t>
            </w:r>
          </w:p>
        </w:tc>
        <w:tc>
          <w:tcPr>
            <w:tcW w:w="1193" w:type="dxa"/>
            <w:tcBorders>
              <w:top w:val="single" w:sz="6" w:space="0" w:color="auto"/>
              <w:left w:val="single" w:sz="6" w:space="0" w:color="auto"/>
              <w:bottom w:val="single" w:sz="6" w:space="0" w:color="auto"/>
              <w:right w:val="single" w:sz="6" w:space="0" w:color="auto"/>
            </w:tcBorders>
          </w:tcPr>
          <w:p w14:paraId="1217C86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3570B8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4073C9F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6EAF9838"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CAD6E4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w:t>
            </w:r>
          </w:p>
        </w:tc>
        <w:tc>
          <w:tcPr>
            <w:tcW w:w="1632" w:type="dxa"/>
            <w:tcBorders>
              <w:top w:val="single" w:sz="6" w:space="0" w:color="auto"/>
              <w:left w:val="single" w:sz="6" w:space="0" w:color="auto"/>
              <w:bottom w:val="single" w:sz="6" w:space="0" w:color="auto"/>
              <w:right w:val="single" w:sz="6" w:space="0" w:color="auto"/>
            </w:tcBorders>
          </w:tcPr>
          <w:p w14:paraId="446BD9F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906" w:type="dxa"/>
            <w:tcBorders>
              <w:top w:val="single" w:sz="6" w:space="0" w:color="auto"/>
              <w:left w:val="single" w:sz="6" w:space="0" w:color="auto"/>
              <w:bottom w:val="single" w:sz="6" w:space="0" w:color="auto"/>
              <w:right w:val="single" w:sz="6" w:space="0" w:color="auto"/>
            </w:tcBorders>
          </w:tcPr>
          <w:p w14:paraId="789548C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Maxičky</w:t>
            </w:r>
          </w:p>
        </w:tc>
        <w:tc>
          <w:tcPr>
            <w:tcW w:w="679" w:type="dxa"/>
            <w:tcBorders>
              <w:top w:val="single" w:sz="6" w:space="0" w:color="auto"/>
              <w:left w:val="single" w:sz="6" w:space="0" w:color="auto"/>
              <w:bottom w:val="single" w:sz="6" w:space="0" w:color="auto"/>
              <w:right w:val="single" w:sz="6" w:space="0" w:color="auto"/>
            </w:tcBorders>
          </w:tcPr>
          <w:p w14:paraId="1215935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10" w:type="dxa"/>
            <w:tcBorders>
              <w:top w:val="single" w:sz="6" w:space="0" w:color="auto"/>
              <w:left w:val="single" w:sz="6" w:space="0" w:color="auto"/>
              <w:bottom w:val="single" w:sz="6" w:space="0" w:color="auto"/>
              <w:right w:val="single" w:sz="6" w:space="0" w:color="auto"/>
            </w:tcBorders>
          </w:tcPr>
          <w:p w14:paraId="60C17E0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A0D29E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139</w:t>
            </w:r>
          </w:p>
        </w:tc>
        <w:tc>
          <w:tcPr>
            <w:tcW w:w="1556" w:type="dxa"/>
            <w:tcBorders>
              <w:top w:val="single" w:sz="6" w:space="0" w:color="auto"/>
              <w:left w:val="single" w:sz="6" w:space="0" w:color="auto"/>
              <w:bottom w:val="single" w:sz="6" w:space="0" w:color="auto"/>
              <w:right w:val="single" w:sz="6" w:space="0" w:color="auto"/>
            </w:tcBorders>
          </w:tcPr>
          <w:p w14:paraId="660CC4A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Horní</w:t>
            </w:r>
          </w:p>
        </w:tc>
        <w:tc>
          <w:tcPr>
            <w:tcW w:w="1193" w:type="dxa"/>
            <w:tcBorders>
              <w:top w:val="single" w:sz="6" w:space="0" w:color="auto"/>
              <w:left w:val="single" w:sz="6" w:space="0" w:color="auto"/>
              <w:bottom w:val="single" w:sz="6" w:space="0" w:color="auto"/>
              <w:right w:val="single" w:sz="6" w:space="0" w:color="auto"/>
            </w:tcBorders>
          </w:tcPr>
          <w:p w14:paraId="12E116C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Kr. Studenec</w:t>
            </w:r>
          </w:p>
        </w:tc>
        <w:tc>
          <w:tcPr>
            <w:tcW w:w="633" w:type="dxa"/>
            <w:tcBorders>
              <w:top w:val="single" w:sz="6" w:space="0" w:color="auto"/>
              <w:left w:val="single" w:sz="6" w:space="0" w:color="auto"/>
              <w:bottom w:val="single" w:sz="6" w:space="0" w:color="auto"/>
              <w:right w:val="single" w:sz="6" w:space="0" w:color="auto"/>
            </w:tcBorders>
          </w:tcPr>
          <w:p w14:paraId="6032CD0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17F009A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7B7CC9EC"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16F97E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w:t>
            </w:r>
          </w:p>
        </w:tc>
        <w:tc>
          <w:tcPr>
            <w:tcW w:w="1632" w:type="dxa"/>
            <w:tcBorders>
              <w:top w:val="single" w:sz="6" w:space="0" w:color="auto"/>
              <w:left w:val="single" w:sz="6" w:space="0" w:color="auto"/>
              <w:bottom w:val="single" w:sz="6" w:space="0" w:color="auto"/>
              <w:right w:val="single" w:sz="6" w:space="0" w:color="auto"/>
            </w:tcBorders>
          </w:tcPr>
          <w:p w14:paraId="112340A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Rekreace</w:t>
            </w:r>
          </w:p>
        </w:tc>
        <w:tc>
          <w:tcPr>
            <w:tcW w:w="906" w:type="dxa"/>
            <w:tcBorders>
              <w:top w:val="single" w:sz="6" w:space="0" w:color="auto"/>
              <w:left w:val="single" w:sz="6" w:space="0" w:color="auto"/>
              <w:bottom w:val="single" w:sz="6" w:space="0" w:color="auto"/>
              <w:right w:val="single" w:sz="6" w:space="0" w:color="auto"/>
            </w:tcBorders>
          </w:tcPr>
          <w:p w14:paraId="10730D7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Maxičky</w:t>
            </w:r>
          </w:p>
        </w:tc>
        <w:tc>
          <w:tcPr>
            <w:tcW w:w="679" w:type="dxa"/>
            <w:tcBorders>
              <w:top w:val="single" w:sz="6" w:space="0" w:color="auto"/>
              <w:left w:val="single" w:sz="6" w:space="0" w:color="auto"/>
              <w:bottom w:val="single" w:sz="6" w:space="0" w:color="auto"/>
              <w:right w:val="single" w:sz="6" w:space="0" w:color="auto"/>
            </w:tcBorders>
          </w:tcPr>
          <w:p w14:paraId="28D7A7A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10" w:type="dxa"/>
            <w:tcBorders>
              <w:top w:val="single" w:sz="6" w:space="0" w:color="auto"/>
              <w:left w:val="single" w:sz="6" w:space="0" w:color="auto"/>
              <w:bottom w:val="single" w:sz="6" w:space="0" w:color="auto"/>
              <w:right w:val="single" w:sz="6" w:space="0" w:color="auto"/>
            </w:tcBorders>
          </w:tcPr>
          <w:p w14:paraId="7447985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9AB55C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140</w:t>
            </w:r>
          </w:p>
        </w:tc>
        <w:tc>
          <w:tcPr>
            <w:tcW w:w="1556" w:type="dxa"/>
            <w:tcBorders>
              <w:top w:val="single" w:sz="6" w:space="0" w:color="auto"/>
              <w:left w:val="single" w:sz="6" w:space="0" w:color="auto"/>
              <w:bottom w:val="single" w:sz="6" w:space="0" w:color="auto"/>
              <w:right w:val="single" w:sz="6" w:space="0" w:color="auto"/>
            </w:tcBorders>
          </w:tcPr>
          <w:p w14:paraId="3D06CB5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Dolní</w:t>
            </w:r>
          </w:p>
        </w:tc>
        <w:tc>
          <w:tcPr>
            <w:tcW w:w="1193" w:type="dxa"/>
            <w:tcBorders>
              <w:top w:val="single" w:sz="6" w:space="0" w:color="auto"/>
              <w:left w:val="single" w:sz="6" w:space="0" w:color="auto"/>
              <w:bottom w:val="single" w:sz="6" w:space="0" w:color="auto"/>
              <w:right w:val="single" w:sz="6" w:space="0" w:color="auto"/>
            </w:tcBorders>
          </w:tcPr>
          <w:p w14:paraId="48B2F7C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Kr. Studenec</w:t>
            </w:r>
          </w:p>
        </w:tc>
        <w:tc>
          <w:tcPr>
            <w:tcW w:w="633" w:type="dxa"/>
            <w:tcBorders>
              <w:top w:val="single" w:sz="6" w:space="0" w:color="auto"/>
              <w:left w:val="single" w:sz="6" w:space="0" w:color="auto"/>
              <w:bottom w:val="single" w:sz="6" w:space="0" w:color="auto"/>
              <w:right w:val="single" w:sz="6" w:space="0" w:color="auto"/>
            </w:tcBorders>
          </w:tcPr>
          <w:p w14:paraId="14D7A7B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3048FF7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2BFA7EF4"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7D5B593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12</w:t>
            </w:r>
          </w:p>
        </w:tc>
        <w:tc>
          <w:tcPr>
            <w:tcW w:w="1632" w:type="dxa"/>
            <w:tcBorders>
              <w:top w:val="single" w:sz="6" w:space="0" w:color="auto"/>
              <w:left w:val="single" w:sz="6" w:space="0" w:color="auto"/>
              <w:bottom w:val="single" w:sz="6" w:space="0" w:color="auto"/>
              <w:right w:val="single" w:sz="6" w:space="0" w:color="auto"/>
            </w:tcBorders>
          </w:tcPr>
          <w:p w14:paraId="3479B3B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Čertova Voda</w:t>
            </w:r>
          </w:p>
        </w:tc>
        <w:tc>
          <w:tcPr>
            <w:tcW w:w="906" w:type="dxa"/>
            <w:tcBorders>
              <w:top w:val="single" w:sz="6" w:space="0" w:color="auto"/>
              <w:left w:val="single" w:sz="6" w:space="0" w:color="auto"/>
              <w:bottom w:val="single" w:sz="6" w:space="0" w:color="auto"/>
              <w:right w:val="single" w:sz="6" w:space="0" w:color="auto"/>
            </w:tcBorders>
          </w:tcPr>
          <w:p w14:paraId="3BF1857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 Žleb</w:t>
            </w:r>
          </w:p>
        </w:tc>
        <w:tc>
          <w:tcPr>
            <w:tcW w:w="679" w:type="dxa"/>
            <w:tcBorders>
              <w:top w:val="single" w:sz="6" w:space="0" w:color="auto"/>
              <w:left w:val="single" w:sz="6" w:space="0" w:color="auto"/>
              <w:bottom w:val="single" w:sz="6" w:space="0" w:color="auto"/>
              <w:right w:val="single" w:sz="6" w:space="0" w:color="auto"/>
            </w:tcBorders>
          </w:tcPr>
          <w:p w14:paraId="3B9A39B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10" w:type="dxa"/>
            <w:tcBorders>
              <w:top w:val="single" w:sz="6" w:space="0" w:color="auto"/>
              <w:left w:val="single" w:sz="6" w:space="0" w:color="auto"/>
              <w:bottom w:val="single" w:sz="6" w:space="0" w:color="auto"/>
              <w:right w:val="single" w:sz="6" w:space="0" w:color="auto"/>
            </w:tcBorders>
          </w:tcPr>
          <w:p w14:paraId="26A400C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CBDFA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141</w:t>
            </w:r>
          </w:p>
        </w:tc>
        <w:tc>
          <w:tcPr>
            <w:tcW w:w="1556" w:type="dxa"/>
            <w:tcBorders>
              <w:top w:val="single" w:sz="6" w:space="0" w:color="auto"/>
              <w:left w:val="single" w:sz="6" w:space="0" w:color="auto"/>
              <w:bottom w:val="single" w:sz="6" w:space="0" w:color="auto"/>
              <w:right w:val="single" w:sz="6" w:space="0" w:color="auto"/>
            </w:tcBorders>
          </w:tcPr>
          <w:p w14:paraId="1F5037E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Vilsnice</w:t>
            </w:r>
          </w:p>
        </w:tc>
        <w:tc>
          <w:tcPr>
            <w:tcW w:w="1193" w:type="dxa"/>
            <w:tcBorders>
              <w:top w:val="single" w:sz="6" w:space="0" w:color="auto"/>
              <w:left w:val="single" w:sz="6" w:space="0" w:color="auto"/>
              <w:bottom w:val="single" w:sz="6" w:space="0" w:color="auto"/>
              <w:right w:val="single" w:sz="6" w:space="0" w:color="auto"/>
            </w:tcBorders>
          </w:tcPr>
          <w:p w14:paraId="637C8E3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3C69189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26E14AA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26FA1712"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43E521A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w:t>
            </w:r>
          </w:p>
        </w:tc>
        <w:tc>
          <w:tcPr>
            <w:tcW w:w="1632" w:type="dxa"/>
            <w:tcBorders>
              <w:top w:val="single" w:sz="6" w:space="0" w:color="auto"/>
              <w:left w:val="single" w:sz="6" w:space="0" w:color="auto"/>
              <w:bottom w:val="single" w:sz="6" w:space="0" w:color="auto"/>
              <w:right w:val="single" w:sz="6" w:space="0" w:color="auto"/>
            </w:tcBorders>
          </w:tcPr>
          <w:p w14:paraId="484889F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Zděná</w:t>
            </w:r>
          </w:p>
        </w:tc>
        <w:tc>
          <w:tcPr>
            <w:tcW w:w="906" w:type="dxa"/>
            <w:tcBorders>
              <w:top w:val="single" w:sz="6" w:space="0" w:color="auto"/>
              <w:left w:val="single" w:sz="6" w:space="0" w:color="auto"/>
              <w:bottom w:val="single" w:sz="6" w:space="0" w:color="auto"/>
              <w:right w:val="single" w:sz="6" w:space="0" w:color="auto"/>
            </w:tcBorders>
          </w:tcPr>
          <w:p w14:paraId="21E1861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 Žleb</w:t>
            </w:r>
          </w:p>
        </w:tc>
        <w:tc>
          <w:tcPr>
            <w:tcW w:w="679" w:type="dxa"/>
            <w:tcBorders>
              <w:top w:val="single" w:sz="6" w:space="0" w:color="auto"/>
              <w:left w:val="single" w:sz="6" w:space="0" w:color="auto"/>
              <w:bottom w:val="single" w:sz="6" w:space="0" w:color="auto"/>
              <w:right w:val="single" w:sz="6" w:space="0" w:color="auto"/>
            </w:tcBorders>
          </w:tcPr>
          <w:p w14:paraId="63E23DD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10" w:type="dxa"/>
            <w:tcBorders>
              <w:top w:val="single" w:sz="6" w:space="0" w:color="auto"/>
              <w:left w:val="single" w:sz="6" w:space="0" w:color="auto"/>
              <w:bottom w:val="single" w:sz="6" w:space="0" w:color="auto"/>
              <w:right w:val="single" w:sz="6" w:space="0" w:color="auto"/>
            </w:tcBorders>
          </w:tcPr>
          <w:p w14:paraId="796BCD0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7A66B6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142</w:t>
            </w:r>
          </w:p>
        </w:tc>
        <w:tc>
          <w:tcPr>
            <w:tcW w:w="1556" w:type="dxa"/>
            <w:tcBorders>
              <w:top w:val="single" w:sz="6" w:space="0" w:color="auto"/>
              <w:left w:val="single" w:sz="6" w:space="0" w:color="auto"/>
              <w:bottom w:val="single" w:sz="6" w:space="0" w:color="auto"/>
              <w:right w:val="single" w:sz="6" w:space="0" w:color="auto"/>
            </w:tcBorders>
          </w:tcPr>
          <w:p w14:paraId="067315A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ŽOS</w:t>
            </w:r>
          </w:p>
        </w:tc>
        <w:tc>
          <w:tcPr>
            <w:tcW w:w="1193" w:type="dxa"/>
            <w:tcBorders>
              <w:top w:val="single" w:sz="6" w:space="0" w:color="auto"/>
              <w:left w:val="single" w:sz="6" w:space="0" w:color="auto"/>
              <w:bottom w:val="single" w:sz="6" w:space="0" w:color="auto"/>
              <w:right w:val="single" w:sz="6" w:space="0" w:color="auto"/>
            </w:tcBorders>
          </w:tcPr>
          <w:p w14:paraId="08135DB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69FF4DC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0258E29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6D2D04B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353E14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w:t>
            </w:r>
          </w:p>
        </w:tc>
        <w:tc>
          <w:tcPr>
            <w:tcW w:w="1632" w:type="dxa"/>
            <w:tcBorders>
              <w:top w:val="single" w:sz="6" w:space="0" w:color="auto"/>
              <w:left w:val="single" w:sz="6" w:space="0" w:color="auto"/>
              <w:bottom w:val="single" w:sz="6" w:space="0" w:color="auto"/>
              <w:right w:val="single" w:sz="6" w:space="0" w:color="auto"/>
            </w:tcBorders>
          </w:tcPr>
          <w:p w14:paraId="23F7876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Podskalí</w:t>
            </w:r>
          </w:p>
        </w:tc>
        <w:tc>
          <w:tcPr>
            <w:tcW w:w="906" w:type="dxa"/>
            <w:tcBorders>
              <w:top w:val="single" w:sz="6" w:space="0" w:color="auto"/>
              <w:left w:val="single" w:sz="6" w:space="0" w:color="auto"/>
              <w:bottom w:val="single" w:sz="6" w:space="0" w:color="auto"/>
              <w:right w:val="single" w:sz="6" w:space="0" w:color="auto"/>
            </w:tcBorders>
          </w:tcPr>
          <w:p w14:paraId="6A11CC2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Loubí</w:t>
            </w:r>
          </w:p>
        </w:tc>
        <w:tc>
          <w:tcPr>
            <w:tcW w:w="679" w:type="dxa"/>
            <w:tcBorders>
              <w:top w:val="single" w:sz="6" w:space="0" w:color="auto"/>
              <w:left w:val="single" w:sz="6" w:space="0" w:color="auto"/>
              <w:bottom w:val="single" w:sz="6" w:space="0" w:color="auto"/>
              <w:right w:val="single" w:sz="6" w:space="0" w:color="auto"/>
            </w:tcBorders>
          </w:tcPr>
          <w:p w14:paraId="47D3248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SL</w:t>
            </w:r>
          </w:p>
        </w:tc>
        <w:tc>
          <w:tcPr>
            <w:tcW w:w="710" w:type="dxa"/>
            <w:tcBorders>
              <w:top w:val="single" w:sz="6" w:space="0" w:color="auto"/>
              <w:left w:val="single" w:sz="6" w:space="0" w:color="auto"/>
              <w:bottom w:val="single" w:sz="6" w:space="0" w:color="auto"/>
              <w:right w:val="single" w:sz="6" w:space="0" w:color="auto"/>
            </w:tcBorders>
          </w:tcPr>
          <w:p w14:paraId="0A2C454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5F6980A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143</w:t>
            </w:r>
          </w:p>
        </w:tc>
        <w:tc>
          <w:tcPr>
            <w:tcW w:w="1556" w:type="dxa"/>
            <w:tcBorders>
              <w:top w:val="single" w:sz="6" w:space="0" w:color="auto"/>
              <w:left w:val="single" w:sz="6" w:space="0" w:color="auto"/>
              <w:bottom w:val="single" w:sz="6" w:space="0" w:color="auto"/>
              <w:right w:val="single" w:sz="6" w:space="0" w:color="auto"/>
            </w:tcBorders>
          </w:tcPr>
          <w:p w14:paraId="6D79E07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Kotel.Želenická</w:t>
            </w:r>
          </w:p>
        </w:tc>
        <w:tc>
          <w:tcPr>
            <w:tcW w:w="1193" w:type="dxa"/>
            <w:tcBorders>
              <w:top w:val="single" w:sz="6" w:space="0" w:color="auto"/>
              <w:left w:val="single" w:sz="6" w:space="0" w:color="auto"/>
              <w:bottom w:val="single" w:sz="6" w:space="0" w:color="auto"/>
              <w:right w:val="single" w:sz="6" w:space="0" w:color="auto"/>
            </w:tcBorders>
          </w:tcPr>
          <w:p w14:paraId="77A5D00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2F29CA5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7144884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6BCB6502"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731B340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w:t>
            </w:r>
          </w:p>
        </w:tc>
        <w:tc>
          <w:tcPr>
            <w:tcW w:w="1632" w:type="dxa"/>
            <w:tcBorders>
              <w:top w:val="single" w:sz="6" w:space="0" w:color="auto"/>
              <w:left w:val="single" w:sz="6" w:space="0" w:color="auto"/>
              <w:bottom w:val="single" w:sz="6" w:space="0" w:color="auto"/>
              <w:right w:val="single" w:sz="6" w:space="0" w:color="auto"/>
            </w:tcBorders>
          </w:tcPr>
          <w:p w14:paraId="75A6DB8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Volgogradská</w:t>
            </w:r>
          </w:p>
        </w:tc>
        <w:tc>
          <w:tcPr>
            <w:tcW w:w="906" w:type="dxa"/>
            <w:tcBorders>
              <w:top w:val="single" w:sz="6" w:space="0" w:color="auto"/>
              <w:left w:val="single" w:sz="6" w:space="0" w:color="auto"/>
              <w:bottom w:val="single" w:sz="6" w:space="0" w:color="auto"/>
              <w:right w:val="single" w:sz="6" w:space="0" w:color="auto"/>
            </w:tcBorders>
          </w:tcPr>
          <w:p w14:paraId="1D3FFFA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3B3F025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7B4942D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496AC7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144</w:t>
            </w:r>
          </w:p>
        </w:tc>
        <w:tc>
          <w:tcPr>
            <w:tcW w:w="1556" w:type="dxa"/>
            <w:tcBorders>
              <w:top w:val="single" w:sz="6" w:space="0" w:color="auto"/>
              <w:left w:val="single" w:sz="6" w:space="0" w:color="auto"/>
              <w:bottom w:val="single" w:sz="6" w:space="0" w:color="auto"/>
              <w:right w:val="single" w:sz="6" w:space="0" w:color="auto"/>
            </w:tcBorders>
          </w:tcPr>
          <w:p w14:paraId="63623FA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Dopravní podnik</w:t>
            </w:r>
          </w:p>
        </w:tc>
        <w:tc>
          <w:tcPr>
            <w:tcW w:w="1193" w:type="dxa"/>
            <w:tcBorders>
              <w:top w:val="single" w:sz="6" w:space="0" w:color="auto"/>
              <w:left w:val="single" w:sz="6" w:space="0" w:color="auto"/>
              <w:bottom w:val="single" w:sz="6" w:space="0" w:color="auto"/>
              <w:right w:val="single" w:sz="6" w:space="0" w:color="auto"/>
            </w:tcBorders>
          </w:tcPr>
          <w:p w14:paraId="4B30798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1DB4038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24" w:type="dxa"/>
            <w:tcBorders>
              <w:top w:val="single" w:sz="6" w:space="0" w:color="auto"/>
              <w:left w:val="single" w:sz="6" w:space="0" w:color="auto"/>
              <w:bottom w:val="single" w:sz="6" w:space="0" w:color="auto"/>
              <w:right w:val="single" w:sz="6" w:space="0" w:color="auto"/>
            </w:tcBorders>
          </w:tcPr>
          <w:p w14:paraId="1DF8C5D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4DF24FD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74EEE0A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16</w:t>
            </w:r>
          </w:p>
        </w:tc>
        <w:tc>
          <w:tcPr>
            <w:tcW w:w="1632" w:type="dxa"/>
            <w:tcBorders>
              <w:top w:val="single" w:sz="6" w:space="0" w:color="auto"/>
              <w:left w:val="single" w:sz="6" w:space="0" w:color="auto"/>
              <w:bottom w:val="single" w:sz="6" w:space="0" w:color="auto"/>
              <w:right w:val="single" w:sz="6" w:space="0" w:color="auto"/>
            </w:tcBorders>
          </w:tcPr>
          <w:p w14:paraId="0B2C77B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Holešovská</w:t>
            </w:r>
          </w:p>
        </w:tc>
        <w:tc>
          <w:tcPr>
            <w:tcW w:w="906" w:type="dxa"/>
            <w:tcBorders>
              <w:top w:val="single" w:sz="6" w:space="0" w:color="auto"/>
              <w:left w:val="single" w:sz="6" w:space="0" w:color="auto"/>
              <w:bottom w:val="single" w:sz="6" w:space="0" w:color="auto"/>
              <w:right w:val="single" w:sz="6" w:space="0" w:color="auto"/>
            </w:tcBorders>
          </w:tcPr>
          <w:p w14:paraId="43F8E79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3ED881D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2F9D89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5F7F22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145</w:t>
            </w:r>
          </w:p>
        </w:tc>
        <w:tc>
          <w:tcPr>
            <w:tcW w:w="1556" w:type="dxa"/>
            <w:tcBorders>
              <w:top w:val="single" w:sz="6" w:space="0" w:color="auto"/>
              <w:left w:val="single" w:sz="6" w:space="0" w:color="auto"/>
              <w:bottom w:val="single" w:sz="6" w:space="0" w:color="auto"/>
              <w:right w:val="single" w:sz="6" w:space="0" w:color="auto"/>
            </w:tcBorders>
          </w:tcPr>
          <w:p w14:paraId="64108F7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Měnírna ČSD</w:t>
            </w:r>
          </w:p>
        </w:tc>
        <w:tc>
          <w:tcPr>
            <w:tcW w:w="1193" w:type="dxa"/>
            <w:tcBorders>
              <w:top w:val="single" w:sz="6" w:space="0" w:color="auto"/>
              <w:left w:val="single" w:sz="6" w:space="0" w:color="auto"/>
              <w:bottom w:val="single" w:sz="6" w:space="0" w:color="auto"/>
              <w:right w:val="single" w:sz="6" w:space="0" w:color="auto"/>
            </w:tcBorders>
          </w:tcPr>
          <w:p w14:paraId="6A5C99E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7D890C4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ZD</w:t>
            </w:r>
          </w:p>
        </w:tc>
        <w:tc>
          <w:tcPr>
            <w:tcW w:w="724" w:type="dxa"/>
            <w:tcBorders>
              <w:top w:val="single" w:sz="6" w:space="0" w:color="auto"/>
              <w:left w:val="single" w:sz="6" w:space="0" w:color="auto"/>
              <w:bottom w:val="single" w:sz="6" w:space="0" w:color="auto"/>
              <w:right w:val="single" w:sz="6" w:space="0" w:color="auto"/>
            </w:tcBorders>
          </w:tcPr>
          <w:p w14:paraId="0DAA00E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22/6,3</w:t>
            </w:r>
          </w:p>
        </w:tc>
      </w:tr>
      <w:tr w:rsidR="00D42621" w:rsidRPr="00D42621" w14:paraId="53DA3F8C"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3EE2A2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w:t>
            </w:r>
          </w:p>
        </w:tc>
        <w:tc>
          <w:tcPr>
            <w:tcW w:w="1632" w:type="dxa"/>
            <w:tcBorders>
              <w:top w:val="single" w:sz="6" w:space="0" w:color="auto"/>
              <w:left w:val="single" w:sz="6" w:space="0" w:color="auto"/>
              <w:bottom w:val="single" w:sz="6" w:space="0" w:color="auto"/>
              <w:right w:val="single" w:sz="6" w:space="0" w:color="auto"/>
            </w:tcBorders>
          </w:tcPr>
          <w:p w14:paraId="42D4BAD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školy</w:t>
            </w:r>
          </w:p>
        </w:tc>
        <w:tc>
          <w:tcPr>
            <w:tcW w:w="906" w:type="dxa"/>
            <w:tcBorders>
              <w:top w:val="single" w:sz="6" w:space="0" w:color="auto"/>
              <w:left w:val="single" w:sz="6" w:space="0" w:color="auto"/>
              <w:bottom w:val="single" w:sz="6" w:space="0" w:color="auto"/>
              <w:right w:val="single" w:sz="6" w:space="0" w:color="auto"/>
            </w:tcBorders>
          </w:tcPr>
          <w:p w14:paraId="7611AB2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1EE0664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21C009D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5F46F78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146</w:t>
            </w:r>
          </w:p>
        </w:tc>
        <w:tc>
          <w:tcPr>
            <w:tcW w:w="1556" w:type="dxa"/>
            <w:tcBorders>
              <w:top w:val="single" w:sz="6" w:space="0" w:color="auto"/>
              <w:left w:val="single" w:sz="6" w:space="0" w:color="auto"/>
              <w:bottom w:val="single" w:sz="6" w:space="0" w:color="auto"/>
              <w:right w:val="single" w:sz="6" w:space="0" w:color="auto"/>
            </w:tcBorders>
          </w:tcPr>
          <w:p w14:paraId="40925E7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Aroma</w:t>
            </w:r>
          </w:p>
        </w:tc>
        <w:tc>
          <w:tcPr>
            <w:tcW w:w="1193" w:type="dxa"/>
            <w:tcBorders>
              <w:top w:val="single" w:sz="6" w:space="0" w:color="auto"/>
              <w:left w:val="single" w:sz="6" w:space="0" w:color="auto"/>
              <w:bottom w:val="single" w:sz="6" w:space="0" w:color="auto"/>
              <w:right w:val="single" w:sz="6" w:space="0" w:color="auto"/>
            </w:tcBorders>
          </w:tcPr>
          <w:p w14:paraId="4A3DE69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43C360D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3967880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48386B1F"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76C4B0E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w:t>
            </w:r>
          </w:p>
        </w:tc>
        <w:tc>
          <w:tcPr>
            <w:tcW w:w="1632" w:type="dxa"/>
            <w:tcBorders>
              <w:top w:val="single" w:sz="6" w:space="0" w:color="auto"/>
              <w:left w:val="single" w:sz="6" w:space="0" w:color="auto"/>
              <w:bottom w:val="single" w:sz="6" w:space="0" w:color="auto"/>
              <w:right w:val="single" w:sz="6" w:space="0" w:color="auto"/>
            </w:tcBorders>
          </w:tcPr>
          <w:p w14:paraId="72C28B7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Výměník</w:t>
            </w:r>
          </w:p>
        </w:tc>
        <w:tc>
          <w:tcPr>
            <w:tcW w:w="906" w:type="dxa"/>
            <w:tcBorders>
              <w:top w:val="single" w:sz="6" w:space="0" w:color="auto"/>
              <w:left w:val="single" w:sz="6" w:space="0" w:color="auto"/>
              <w:bottom w:val="single" w:sz="6" w:space="0" w:color="auto"/>
              <w:right w:val="single" w:sz="6" w:space="0" w:color="auto"/>
            </w:tcBorders>
          </w:tcPr>
          <w:p w14:paraId="2C6D4B7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77F4079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7D4080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C446B7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147</w:t>
            </w:r>
          </w:p>
        </w:tc>
        <w:tc>
          <w:tcPr>
            <w:tcW w:w="1556" w:type="dxa"/>
            <w:tcBorders>
              <w:top w:val="single" w:sz="6" w:space="0" w:color="auto"/>
              <w:left w:val="single" w:sz="6" w:space="0" w:color="auto"/>
              <w:bottom w:val="single" w:sz="6" w:space="0" w:color="auto"/>
              <w:right w:val="single" w:sz="6" w:space="0" w:color="auto"/>
            </w:tcBorders>
          </w:tcPr>
          <w:p w14:paraId="77DC01F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Diana</w:t>
            </w:r>
          </w:p>
        </w:tc>
        <w:tc>
          <w:tcPr>
            <w:tcW w:w="1193" w:type="dxa"/>
            <w:tcBorders>
              <w:top w:val="single" w:sz="6" w:space="0" w:color="auto"/>
              <w:left w:val="single" w:sz="6" w:space="0" w:color="auto"/>
              <w:bottom w:val="single" w:sz="6" w:space="0" w:color="auto"/>
              <w:right w:val="single" w:sz="6" w:space="0" w:color="auto"/>
            </w:tcBorders>
          </w:tcPr>
          <w:p w14:paraId="4E44F2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460A47F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24" w:type="dxa"/>
            <w:tcBorders>
              <w:top w:val="single" w:sz="6" w:space="0" w:color="auto"/>
              <w:left w:val="single" w:sz="6" w:space="0" w:color="auto"/>
              <w:bottom w:val="single" w:sz="6" w:space="0" w:color="auto"/>
              <w:right w:val="single" w:sz="6" w:space="0" w:color="auto"/>
            </w:tcBorders>
          </w:tcPr>
          <w:p w14:paraId="13769B8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41A153AF"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772542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w:t>
            </w:r>
          </w:p>
        </w:tc>
        <w:tc>
          <w:tcPr>
            <w:tcW w:w="1632" w:type="dxa"/>
            <w:tcBorders>
              <w:top w:val="single" w:sz="6" w:space="0" w:color="auto"/>
              <w:left w:val="single" w:sz="6" w:space="0" w:color="auto"/>
              <w:bottom w:val="single" w:sz="6" w:space="0" w:color="auto"/>
              <w:right w:val="single" w:sz="6" w:space="0" w:color="auto"/>
            </w:tcBorders>
          </w:tcPr>
          <w:p w14:paraId="38128E5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benzinky</w:t>
            </w:r>
          </w:p>
        </w:tc>
        <w:tc>
          <w:tcPr>
            <w:tcW w:w="906" w:type="dxa"/>
            <w:tcBorders>
              <w:top w:val="single" w:sz="6" w:space="0" w:color="auto"/>
              <w:left w:val="single" w:sz="6" w:space="0" w:color="auto"/>
              <w:bottom w:val="single" w:sz="6" w:space="0" w:color="auto"/>
              <w:right w:val="single" w:sz="6" w:space="0" w:color="auto"/>
            </w:tcBorders>
          </w:tcPr>
          <w:p w14:paraId="3AEA9DD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55B5B72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73FB3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1E3688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148</w:t>
            </w:r>
          </w:p>
        </w:tc>
        <w:tc>
          <w:tcPr>
            <w:tcW w:w="1556" w:type="dxa"/>
            <w:tcBorders>
              <w:top w:val="single" w:sz="6" w:space="0" w:color="auto"/>
              <w:left w:val="single" w:sz="6" w:space="0" w:color="auto"/>
              <w:bottom w:val="single" w:sz="6" w:space="0" w:color="auto"/>
              <w:right w:val="single" w:sz="6" w:space="0" w:color="auto"/>
            </w:tcBorders>
          </w:tcPr>
          <w:p w14:paraId="2C2D843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Školní</w:t>
            </w:r>
          </w:p>
        </w:tc>
        <w:tc>
          <w:tcPr>
            <w:tcW w:w="1193" w:type="dxa"/>
            <w:tcBorders>
              <w:top w:val="single" w:sz="6" w:space="0" w:color="auto"/>
              <w:left w:val="single" w:sz="6" w:space="0" w:color="auto"/>
              <w:bottom w:val="single" w:sz="6" w:space="0" w:color="auto"/>
              <w:right w:val="single" w:sz="6" w:space="0" w:color="auto"/>
            </w:tcBorders>
          </w:tcPr>
          <w:p w14:paraId="693714C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01247FA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70427C2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55E50A2E"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6514477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w:t>
            </w:r>
          </w:p>
        </w:tc>
        <w:tc>
          <w:tcPr>
            <w:tcW w:w="1632" w:type="dxa"/>
            <w:tcBorders>
              <w:top w:val="single" w:sz="6" w:space="0" w:color="auto"/>
              <w:left w:val="single" w:sz="6" w:space="0" w:color="auto"/>
              <w:bottom w:val="single" w:sz="6" w:space="0" w:color="auto"/>
              <w:right w:val="single" w:sz="6" w:space="0" w:color="auto"/>
            </w:tcBorders>
          </w:tcPr>
          <w:p w14:paraId="5605EFA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Pod lesem</w:t>
            </w:r>
          </w:p>
        </w:tc>
        <w:tc>
          <w:tcPr>
            <w:tcW w:w="906" w:type="dxa"/>
            <w:tcBorders>
              <w:top w:val="single" w:sz="6" w:space="0" w:color="auto"/>
              <w:left w:val="single" w:sz="6" w:space="0" w:color="auto"/>
              <w:bottom w:val="single" w:sz="6" w:space="0" w:color="auto"/>
              <w:right w:val="single" w:sz="6" w:space="0" w:color="auto"/>
            </w:tcBorders>
          </w:tcPr>
          <w:p w14:paraId="3CC8A51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7871B2F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CEB077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F895AE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149</w:t>
            </w:r>
          </w:p>
        </w:tc>
        <w:tc>
          <w:tcPr>
            <w:tcW w:w="1556" w:type="dxa"/>
            <w:tcBorders>
              <w:top w:val="single" w:sz="6" w:space="0" w:color="auto"/>
              <w:left w:val="single" w:sz="6" w:space="0" w:color="auto"/>
              <w:bottom w:val="single" w:sz="6" w:space="0" w:color="auto"/>
              <w:right w:val="single" w:sz="6" w:space="0" w:color="auto"/>
            </w:tcBorders>
          </w:tcPr>
          <w:p w14:paraId="7372575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Chrochvická</w:t>
            </w:r>
          </w:p>
        </w:tc>
        <w:tc>
          <w:tcPr>
            <w:tcW w:w="1193" w:type="dxa"/>
            <w:tcBorders>
              <w:top w:val="single" w:sz="6" w:space="0" w:color="auto"/>
              <w:left w:val="single" w:sz="6" w:space="0" w:color="auto"/>
              <w:bottom w:val="single" w:sz="6" w:space="0" w:color="auto"/>
              <w:right w:val="single" w:sz="6" w:space="0" w:color="auto"/>
            </w:tcBorders>
          </w:tcPr>
          <w:p w14:paraId="048DA09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4857723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5DC47C6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3AF66C83" w14:textId="77777777" w:rsidTr="002D2D45">
        <w:trPr>
          <w:trHeight w:val="716"/>
        </w:trPr>
        <w:tc>
          <w:tcPr>
            <w:tcW w:w="558" w:type="dxa"/>
            <w:tcBorders>
              <w:top w:val="single" w:sz="6" w:space="0" w:color="auto"/>
              <w:left w:val="single" w:sz="6" w:space="0" w:color="auto"/>
              <w:bottom w:val="single" w:sz="6" w:space="0" w:color="auto"/>
              <w:right w:val="single" w:sz="6" w:space="0" w:color="auto"/>
            </w:tcBorders>
          </w:tcPr>
          <w:p w14:paraId="4EC4583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w:t>
            </w:r>
          </w:p>
        </w:tc>
        <w:tc>
          <w:tcPr>
            <w:tcW w:w="1632" w:type="dxa"/>
            <w:tcBorders>
              <w:top w:val="single" w:sz="6" w:space="0" w:color="auto"/>
              <w:left w:val="single" w:sz="6" w:space="0" w:color="auto"/>
              <w:bottom w:val="single" w:sz="6" w:space="0" w:color="auto"/>
              <w:right w:val="single" w:sz="6" w:space="0" w:color="auto"/>
            </w:tcBorders>
          </w:tcPr>
          <w:p w14:paraId="5D79C14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Nálepkova,vodárna</w:t>
            </w:r>
          </w:p>
        </w:tc>
        <w:tc>
          <w:tcPr>
            <w:tcW w:w="906" w:type="dxa"/>
            <w:tcBorders>
              <w:top w:val="single" w:sz="6" w:space="0" w:color="auto"/>
              <w:left w:val="single" w:sz="6" w:space="0" w:color="auto"/>
              <w:bottom w:val="single" w:sz="6" w:space="0" w:color="auto"/>
              <w:right w:val="single" w:sz="6" w:space="0" w:color="auto"/>
            </w:tcBorders>
          </w:tcPr>
          <w:p w14:paraId="22F78AB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0D917FD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21E27AD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88FE0E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150</w:t>
            </w:r>
          </w:p>
        </w:tc>
        <w:tc>
          <w:tcPr>
            <w:tcW w:w="1556" w:type="dxa"/>
            <w:tcBorders>
              <w:top w:val="single" w:sz="6" w:space="0" w:color="auto"/>
              <w:left w:val="single" w:sz="6" w:space="0" w:color="auto"/>
              <w:bottom w:val="single" w:sz="6" w:space="0" w:color="auto"/>
              <w:right w:val="single" w:sz="6" w:space="0" w:color="auto"/>
            </w:tcBorders>
          </w:tcPr>
          <w:p w14:paraId="12B4B4E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Školka</w:t>
            </w:r>
          </w:p>
          <w:p w14:paraId="398BA18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Krásnostudenecká</w:t>
            </w:r>
          </w:p>
        </w:tc>
        <w:tc>
          <w:tcPr>
            <w:tcW w:w="1193" w:type="dxa"/>
            <w:tcBorders>
              <w:top w:val="single" w:sz="6" w:space="0" w:color="auto"/>
              <w:left w:val="single" w:sz="6" w:space="0" w:color="auto"/>
              <w:bottom w:val="single" w:sz="6" w:space="0" w:color="auto"/>
              <w:right w:val="single" w:sz="6" w:space="0" w:color="auto"/>
            </w:tcBorders>
          </w:tcPr>
          <w:p w14:paraId="3CBFD18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25D688C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324923F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5598F6D2"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AADC1F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w:t>
            </w:r>
          </w:p>
        </w:tc>
        <w:tc>
          <w:tcPr>
            <w:tcW w:w="1632" w:type="dxa"/>
            <w:tcBorders>
              <w:top w:val="single" w:sz="6" w:space="0" w:color="auto"/>
              <w:left w:val="single" w:sz="6" w:space="0" w:color="auto"/>
              <w:bottom w:val="single" w:sz="6" w:space="0" w:color="auto"/>
              <w:right w:val="single" w:sz="6" w:space="0" w:color="auto"/>
            </w:tcBorders>
          </w:tcPr>
          <w:p w14:paraId="16F8166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06" w:type="dxa"/>
            <w:tcBorders>
              <w:top w:val="single" w:sz="6" w:space="0" w:color="auto"/>
              <w:left w:val="single" w:sz="6" w:space="0" w:color="auto"/>
              <w:bottom w:val="single" w:sz="6" w:space="0" w:color="auto"/>
              <w:right w:val="single" w:sz="6" w:space="0" w:color="auto"/>
            </w:tcBorders>
          </w:tcPr>
          <w:p w14:paraId="46801AD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3B91ED5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84AF08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DFA67A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151</w:t>
            </w:r>
          </w:p>
        </w:tc>
        <w:tc>
          <w:tcPr>
            <w:tcW w:w="1556" w:type="dxa"/>
            <w:tcBorders>
              <w:top w:val="single" w:sz="6" w:space="0" w:color="auto"/>
              <w:left w:val="single" w:sz="6" w:space="0" w:color="auto"/>
              <w:bottom w:val="single" w:sz="6" w:space="0" w:color="auto"/>
              <w:right w:val="single" w:sz="6" w:space="0" w:color="auto"/>
            </w:tcBorders>
          </w:tcPr>
          <w:p w14:paraId="2A6727C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Rokycanova</w:t>
            </w:r>
          </w:p>
        </w:tc>
        <w:tc>
          <w:tcPr>
            <w:tcW w:w="1193" w:type="dxa"/>
            <w:tcBorders>
              <w:top w:val="single" w:sz="6" w:space="0" w:color="auto"/>
              <w:left w:val="single" w:sz="6" w:space="0" w:color="auto"/>
              <w:bottom w:val="single" w:sz="6" w:space="0" w:color="auto"/>
              <w:right w:val="single" w:sz="6" w:space="0" w:color="auto"/>
            </w:tcBorders>
          </w:tcPr>
          <w:p w14:paraId="526D699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4A78821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0C23D46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0C12F02F"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6841A9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w:t>
            </w:r>
          </w:p>
        </w:tc>
        <w:tc>
          <w:tcPr>
            <w:tcW w:w="1632" w:type="dxa"/>
            <w:tcBorders>
              <w:top w:val="single" w:sz="6" w:space="0" w:color="auto"/>
              <w:left w:val="single" w:sz="6" w:space="0" w:color="auto"/>
              <w:bottom w:val="single" w:sz="6" w:space="0" w:color="auto"/>
              <w:right w:val="single" w:sz="6" w:space="0" w:color="auto"/>
            </w:tcBorders>
          </w:tcPr>
          <w:p w14:paraId="3A22FE4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Gagarinova</w:t>
            </w:r>
          </w:p>
        </w:tc>
        <w:tc>
          <w:tcPr>
            <w:tcW w:w="906" w:type="dxa"/>
            <w:tcBorders>
              <w:top w:val="single" w:sz="6" w:space="0" w:color="auto"/>
              <w:left w:val="single" w:sz="6" w:space="0" w:color="auto"/>
              <w:bottom w:val="single" w:sz="6" w:space="0" w:color="auto"/>
              <w:right w:val="single" w:sz="6" w:space="0" w:color="auto"/>
            </w:tcBorders>
          </w:tcPr>
          <w:p w14:paraId="6B8148B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59D0C39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8ED648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63690F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152</w:t>
            </w:r>
          </w:p>
        </w:tc>
        <w:tc>
          <w:tcPr>
            <w:tcW w:w="1556" w:type="dxa"/>
            <w:tcBorders>
              <w:top w:val="single" w:sz="6" w:space="0" w:color="auto"/>
              <w:left w:val="single" w:sz="6" w:space="0" w:color="auto"/>
              <w:bottom w:val="single" w:sz="6" w:space="0" w:color="auto"/>
              <w:right w:val="single" w:sz="6" w:space="0" w:color="auto"/>
            </w:tcBorders>
          </w:tcPr>
          <w:p w14:paraId="7664529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Kalininova II</w:t>
            </w:r>
          </w:p>
        </w:tc>
        <w:tc>
          <w:tcPr>
            <w:tcW w:w="1193" w:type="dxa"/>
            <w:tcBorders>
              <w:top w:val="single" w:sz="6" w:space="0" w:color="auto"/>
              <w:left w:val="single" w:sz="6" w:space="0" w:color="auto"/>
              <w:bottom w:val="single" w:sz="6" w:space="0" w:color="auto"/>
              <w:right w:val="single" w:sz="6" w:space="0" w:color="auto"/>
            </w:tcBorders>
          </w:tcPr>
          <w:p w14:paraId="01C10BD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65EF747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2E54F39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7F197DE3"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4D94F13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w:t>
            </w:r>
          </w:p>
        </w:tc>
        <w:tc>
          <w:tcPr>
            <w:tcW w:w="1632" w:type="dxa"/>
            <w:tcBorders>
              <w:top w:val="single" w:sz="6" w:space="0" w:color="auto"/>
              <w:left w:val="single" w:sz="6" w:space="0" w:color="auto"/>
              <w:bottom w:val="single" w:sz="6" w:space="0" w:color="auto"/>
              <w:right w:val="single" w:sz="6" w:space="0" w:color="auto"/>
            </w:tcBorders>
          </w:tcPr>
          <w:p w14:paraId="65F7E43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w:t>
            </w:r>
            <w:r w:rsidRPr="00D42621">
              <w:rPr>
                <w:rFonts w:ascii="Arial" w:hAnsi="Arial"/>
                <w:caps/>
                <w:color w:val="000000"/>
                <w:sz w:val="16"/>
                <w:szCs w:val="16"/>
                <w:lang w:eastAsia="cs-CZ"/>
              </w:rPr>
              <w:t xml:space="preserve"> Koh-i-noru</w:t>
            </w:r>
          </w:p>
        </w:tc>
        <w:tc>
          <w:tcPr>
            <w:tcW w:w="906" w:type="dxa"/>
            <w:tcBorders>
              <w:top w:val="single" w:sz="6" w:space="0" w:color="auto"/>
              <w:left w:val="single" w:sz="6" w:space="0" w:color="auto"/>
              <w:bottom w:val="single" w:sz="6" w:space="0" w:color="auto"/>
              <w:right w:val="single" w:sz="6" w:space="0" w:color="auto"/>
            </w:tcBorders>
          </w:tcPr>
          <w:p w14:paraId="71FBD6A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656653A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21A4141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EA3C22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153</w:t>
            </w:r>
          </w:p>
        </w:tc>
        <w:tc>
          <w:tcPr>
            <w:tcW w:w="1556" w:type="dxa"/>
            <w:tcBorders>
              <w:top w:val="single" w:sz="6" w:space="0" w:color="auto"/>
              <w:left w:val="single" w:sz="6" w:space="0" w:color="auto"/>
              <w:bottom w:val="single" w:sz="6" w:space="0" w:color="auto"/>
              <w:right w:val="single" w:sz="6" w:space="0" w:color="auto"/>
            </w:tcBorders>
          </w:tcPr>
          <w:p w14:paraId="5B5CE99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Kalininova I</w:t>
            </w:r>
          </w:p>
        </w:tc>
        <w:tc>
          <w:tcPr>
            <w:tcW w:w="1193" w:type="dxa"/>
            <w:tcBorders>
              <w:top w:val="single" w:sz="6" w:space="0" w:color="auto"/>
              <w:left w:val="single" w:sz="6" w:space="0" w:color="auto"/>
              <w:bottom w:val="single" w:sz="6" w:space="0" w:color="auto"/>
              <w:right w:val="single" w:sz="6" w:space="0" w:color="auto"/>
            </w:tcBorders>
          </w:tcPr>
          <w:p w14:paraId="1679933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511113D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173248A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0D0A7242"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0FFF642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lastRenderedPageBreak/>
              <w:t>25</w:t>
            </w:r>
          </w:p>
        </w:tc>
        <w:tc>
          <w:tcPr>
            <w:tcW w:w="1632" w:type="dxa"/>
            <w:tcBorders>
              <w:top w:val="single" w:sz="6" w:space="0" w:color="auto"/>
              <w:left w:val="single" w:sz="6" w:space="0" w:color="auto"/>
              <w:bottom w:val="single" w:sz="6" w:space="0" w:color="auto"/>
              <w:right w:val="single" w:sz="6" w:space="0" w:color="auto"/>
            </w:tcBorders>
          </w:tcPr>
          <w:p w14:paraId="53B1FB3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Dům peč. služby</w:t>
            </w:r>
          </w:p>
        </w:tc>
        <w:tc>
          <w:tcPr>
            <w:tcW w:w="906" w:type="dxa"/>
            <w:tcBorders>
              <w:top w:val="single" w:sz="6" w:space="0" w:color="auto"/>
              <w:left w:val="single" w:sz="6" w:space="0" w:color="auto"/>
              <w:bottom w:val="single" w:sz="6" w:space="0" w:color="auto"/>
              <w:right w:val="single" w:sz="6" w:space="0" w:color="auto"/>
            </w:tcBorders>
          </w:tcPr>
          <w:p w14:paraId="6DFF5F0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78ED2E2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E11CC8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BDFBF2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154</w:t>
            </w:r>
          </w:p>
        </w:tc>
        <w:tc>
          <w:tcPr>
            <w:tcW w:w="1556" w:type="dxa"/>
            <w:tcBorders>
              <w:top w:val="single" w:sz="6" w:space="0" w:color="auto"/>
              <w:left w:val="single" w:sz="6" w:space="0" w:color="auto"/>
              <w:bottom w:val="single" w:sz="6" w:space="0" w:color="auto"/>
              <w:right w:val="single" w:sz="6" w:space="0" w:color="auto"/>
            </w:tcBorders>
          </w:tcPr>
          <w:p w14:paraId="61B4A41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Žatecká</w:t>
            </w:r>
          </w:p>
        </w:tc>
        <w:tc>
          <w:tcPr>
            <w:tcW w:w="1193" w:type="dxa"/>
            <w:tcBorders>
              <w:top w:val="single" w:sz="6" w:space="0" w:color="auto"/>
              <w:left w:val="single" w:sz="6" w:space="0" w:color="auto"/>
              <w:bottom w:val="single" w:sz="6" w:space="0" w:color="auto"/>
              <w:right w:val="single" w:sz="6" w:space="0" w:color="auto"/>
            </w:tcBorders>
          </w:tcPr>
          <w:p w14:paraId="6A07E2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4B812C3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358A131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6EA28871"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4CE03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26</w:t>
            </w:r>
          </w:p>
        </w:tc>
        <w:tc>
          <w:tcPr>
            <w:tcW w:w="1632" w:type="dxa"/>
            <w:tcBorders>
              <w:top w:val="single" w:sz="6" w:space="0" w:color="auto"/>
              <w:left w:val="single" w:sz="6" w:space="0" w:color="auto"/>
              <w:bottom w:val="single" w:sz="6" w:space="0" w:color="auto"/>
              <w:right w:val="single" w:sz="6" w:space="0" w:color="auto"/>
            </w:tcBorders>
          </w:tcPr>
          <w:p w14:paraId="4E768CA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Chlupárna</w:t>
            </w:r>
          </w:p>
        </w:tc>
        <w:tc>
          <w:tcPr>
            <w:tcW w:w="906" w:type="dxa"/>
            <w:tcBorders>
              <w:top w:val="single" w:sz="6" w:space="0" w:color="auto"/>
              <w:left w:val="single" w:sz="6" w:space="0" w:color="auto"/>
              <w:bottom w:val="single" w:sz="6" w:space="0" w:color="auto"/>
              <w:right w:val="single" w:sz="6" w:space="0" w:color="auto"/>
            </w:tcBorders>
          </w:tcPr>
          <w:p w14:paraId="34FF917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4B7BE95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BB4163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6C4DA6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155</w:t>
            </w:r>
          </w:p>
        </w:tc>
        <w:tc>
          <w:tcPr>
            <w:tcW w:w="1556" w:type="dxa"/>
            <w:tcBorders>
              <w:top w:val="single" w:sz="6" w:space="0" w:color="auto"/>
              <w:left w:val="single" w:sz="6" w:space="0" w:color="auto"/>
              <w:bottom w:val="single" w:sz="6" w:space="0" w:color="auto"/>
              <w:right w:val="single" w:sz="6" w:space="0" w:color="auto"/>
            </w:tcBorders>
          </w:tcPr>
          <w:p w14:paraId="78FB71A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Internát</w:t>
            </w:r>
          </w:p>
        </w:tc>
        <w:tc>
          <w:tcPr>
            <w:tcW w:w="1193" w:type="dxa"/>
            <w:tcBorders>
              <w:top w:val="single" w:sz="6" w:space="0" w:color="auto"/>
              <w:left w:val="single" w:sz="6" w:space="0" w:color="auto"/>
              <w:bottom w:val="single" w:sz="6" w:space="0" w:color="auto"/>
              <w:right w:val="single" w:sz="6" w:space="0" w:color="auto"/>
            </w:tcBorders>
          </w:tcPr>
          <w:p w14:paraId="6144754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1A53FBA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22E963B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1CDB401E"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6C593CA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27</w:t>
            </w:r>
          </w:p>
        </w:tc>
        <w:tc>
          <w:tcPr>
            <w:tcW w:w="1632" w:type="dxa"/>
            <w:tcBorders>
              <w:top w:val="single" w:sz="6" w:space="0" w:color="auto"/>
              <w:left w:val="single" w:sz="6" w:space="0" w:color="auto"/>
              <w:bottom w:val="single" w:sz="6" w:space="0" w:color="auto"/>
              <w:right w:val="single" w:sz="6" w:space="0" w:color="auto"/>
            </w:tcBorders>
          </w:tcPr>
          <w:p w14:paraId="3678B83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KIN</w:t>
            </w:r>
          </w:p>
        </w:tc>
        <w:tc>
          <w:tcPr>
            <w:tcW w:w="906" w:type="dxa"/>
            <w:tcBorders>
              <w:top w:val="single" w:sz="6" w:space="0" w:color="auto"/>
              <w:left w:val="single" w:sz="6" w:space="0" w:color="auto"/>
              <w:bottom w:val="single" w:sz="6" w:space="0" w:color="auto"/>
              <w:right w:val="single" w:sz="6" w:space="0" w:color="auto"/>
            </w:tcBorders>
          </w:tcPr>
          <w:p w14:paraId="503F34C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23D95FC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53B73A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4D1009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156</w:t>
            </w:r>
          </w:p>
        </w:tc>
        <w:tc>
          <w:tcPr>
            <w:tcW w:w="1556" w:type="dxa"/>
            <w:tcBorders>
              <w:top w:val="single" w:sz="6" w:space="0" w:color="auto"/>
              <w:left w:val="single" w:sz="6" w:space="0" w:color="auto"/>
              <w:bottom w:val="single" w:sz="6" w:space="0" w:color="auto"/>
              <w:right w:val="single" w:sz="6" w:space="0" w:color="auto"/>
            </w:tcBorders>
          </w:tcPr>
          <w:p w14:paraId="5110BE2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Severní</w:t>
            </w:r>
          </w:p>
        </w:tc>
        <w:tc>
          <w:tcPr>
            <w:tcW w:w="1193" w:type="dxa"/>
            <w:tcBorders>
              <w:top w:val="single" w:sz="6" w:space="0" w:color="auto"/>
              <w:left w:val="single" w:sz="6" w:space="0" w:color="auto"/>
              <w:bottom w:val="single" w:sz="6" w:space="0" w:color="auto"/>
              <w:right w:val="single" w:sz="6" w:space="0" w:color="auto"/>
            </w:tcBorders>
          </w:tcPr>
          <w:p w14:paraId="0A5ADBF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5AB4923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5C5AA79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659E17F7"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2377B9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28</w:t>
            </w:r>
          </w:p>
        </w:tc>
        <w:tc>
          <w:tcPr>
            <w:tcW w:w="1632" w:type="dxa"/>
            <w:tcBorders>
              <w:top w:val="single" w:sz="6" w:space="0" w:color="auto"/>
              <w:left w:val="single" w:sz="6" w:space="0" w:color="auto"/>
              <w:bottom w:val="single" w:sz="6" w:space="0" w:color="auto"/>
              <w:right w:val="single" w:sz="6" w:space="0" w:color="auto"/>
            </w:tcBorders>
          </w:tcPr>
          <w:p w14:paraId="458D2EA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Armaturka</w:t>
            </w:r>
          </w:p>
        </w:tc>
        <w:tc>
          <w:tcPr>
            <w:tcW w:w="906" w:type="dxa"/>
            <w:tcBorders>
              <w:top w:val="single" w:sz="6" w:space="0" w:color="auto"/>
              <w:left w:val="single" w:sz="6" w:space="0" w:color="auto"/>
              <w:bottom w:val="single" w:sz="6" w:space="0" w:color="auto"/>
              <w:right w:val="single" w:sz="6" w:space="0" w:color="auto"/>
            </w:tcBorders>
          </w:tcPr>
          <w:p w14:paraId="54431AC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2D68006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09E4C97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9117D6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157</w:t>
            </w:r>
          </w:p>
        </w:tc>
        <w:tc>
          <w:tcPr>
            <w:tcW w:w="1556" w:type="dxa"/>
            <w:tcBorders>
              <w:top w:val="single" w:sz="6" w:space="0" w:color="auto"/>
              <w:left w:val="single" w:sz="6" w:space="0" w:color="auto"/>
              <w:bottom w:val="single" w:sz="6" w:space="0" w:color="auto"/>
              <w:right w:val="single" w:sz="6" w:space="0" w:color="auto"/>
            </w:tcBorders>
          </w:tcPr>
          <w:p w14:paraId="1F03869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Želenická</w:t>
            </w:r>
          </w:p>
        </w:tc>
        <w:tc>
          <w:tcPr>
            <w:tcW w:w="1193" w:type="dxa"/>
            <w:tcBorders>
              <w:top w:val="single" w:sz="6" w:space="0" w:color="auto"/>
              <w:left w:val="single" w:sz="6" w:space="0" w:color="auto"/>
              <w:bottom w:val="single" w:sz="6" w:space="0" w:color="auto"/>
              <w:right w:val="single" w:sz="6" w:space="0" w:color="auto"/>
            </w:tcBorders>
          </w:tcPr>
          <w:p w14:paraId="655044D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536D1BE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1BD56C0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076AD2B3" w14:textId="77777777" w:rsidTr="002D2D45">
        <w:trPr>
          <w:trHeight w:val="485"/>
        </w:trPr>
        <w:tc>
          <w:tcPr>
            <w:tcW w:w="558" w:type="dxa"/>
            <w:tcBorders>
              <w:top w:val="single" w:sz="6" w:space="0" w:color="auto"/>
              <w:left w:val="single" w:sz="6" w:space="0" w:color="auto"/>
              <w:bottom w:val="single" w:sz="6" w:space="0" w:color="auto"/>
              <w:right w:val="single" w:sz="6" w:space="0" w:color="auto"/>
            </w:tcBorders>
          </w:tcPr>
          <w:p w14:paraId="7D0A4D3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29</w:t>
            </w:r>
          </w:p>
        </w:tc>
        <w:tc>
          <w:tcPr>
            <w:tcW w:w="1632" w:type="dxa"/>
            <w:tcBorders>
              <w:top w:val="single" w:sz="6" w:space="0" w:color="auto"/>
              <w:left w:val="single" w:sz="6" w:space="0" w:color="auto"/>
              <w:bottom w:val="single" w:sz="6" w:space="0" w:color="auto"/>
              <w:right w:val="single" w:sz="6" w:space="0" w:color="auto"/>
            </w:tcBorders>
          </w:tcPr>
          <w:p w14:paraId="0F42670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Pod vrchem</w:t>
            </w:r>
          </w:p>
        </w:tc>
        <w:tc>
          <w:tcPr>
            <w:tcW w:w="906" w:type="dxa"/>
            <w:tcBorders>
              <w:top w:val="single" w:sz="6" w:space="0" w:color="auto"/>
              <w:left w:val="single" w:sz="6" w:space="0" w:color="auto"/>
              <w:bottom w:val="single" w:sz="6" w:space="0" w:color="auto"/>
              <w:right w:val="single" w:sz="6" w:space="0" w:color="auto"/>
            </w:tcBorders>
          </w:tcPr>
          <w:p w14:paraId="0176EB7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4A349E2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FA4418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B725A3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158</w:t>
            </w:r>
          </w:p>
        </w:tc>
        <w:tc>
          <w:tcPr>
            <w:tcW w:w="1556" w:type="dxa"/>
            <w:tcBorders>
              <w:top w:val="single" w:sz="6" w:space="0" w:color="auto"/>
              <w:left w:val="single" w:sz="6" w:space="0" w:color="auto"/>
              <w:bottom w:val="single" w:sz="6" w:space="0" w:color="auto"/>
              <w:right w:val="single" w:sz="6" w:space="0" w:color="auto"/>
            </w:tcBorders>
          </w:tcPr>
          <w:p w14:paraId="2CFBD41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Chrochvice schody</w:t>
            </w:r>
          </w:p>
        </w:tc>
        <w:tc>
          <w:tcPr>
            <w:tcW w:w="1193" w:type="dxa"/>
            <w:tcBorders>
              <w:top w:val="single" w:sz="6" w:space="0" w:color="auto"/>
              <w:left w:val="single" w:sz="6" w:space="0" w:color="auto"/>
              <w:bottom w:val="single" w:sz="6" w:space="0" w:color="auto"/>
              <w:right w:val="single" w:sz="6" w:space="0" w:color="auto"/>
            </w:tcBorders>
          </w:tcPr>
          <w:p w14:paraId="54041D3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3CE2B7C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24" w:type="dxa"/>
            <w:tcBorders>
              <w:top w:val="single" w:sz="6" w:space="0" w:color="auto"/>
              <w:left w:val="single" w:sz="6" w:space="0" w:color="auto"/>
              <w:bottom w:val="single" w:sz="6" w:space="0" w:color="auto"/>
              <w:right w:val="single" w:sz="6" w:space="0" w:color="auto"/>
            </w:tcBorders>
          </w:tcPr>
          <w:p w14:paraId="60B1287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38A1FF12"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821D29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30</w:t>
            </w:r>
          </w:p>
        </w:tc>
        <w:tc>
          <w:tcPr>
            <w:tcW w:w="1632" w:type="dxa"/>
            <w:tcBorders>
              <w:top w:val="single" w:sz="6" w:space="0" w:color="auto"/>
              <w:left w:val="single" w:sz="6" w:space="0" w:color="auto"/>
              <w:bottom w:val="single" w:sz="6" w:space="0" w:color="auto"/>
              <w:right w:val="single" w:sz="6" w:space="0" w:color="auto"/>
            </w:tcBorders>
          </w:tcPr>
          <w:p w14:paraId="349932E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Překladiště</w:t>
            </w:r>
          </w:p>
        </w:tc>
        <w:tc>
          <w:tcPr>
            <w:tcW w:w="906" w:type="dxa"/>
            <w:tcBorders>
              <w:top w:val="single" w:sz="6" w:space="0" w:color="auto"/>
              <w:left w:val="single" w:sz="6" w:space="0" w:color="auto"/>
              <w:bottom w:val="single" w:sz="6" w:space="0" w:color="auto"/>
              <w:right w:val="single" w:sz="6" w:space="0" w:color="auto"/>
            </w:tcBorders>
          </w:tcPr>
          <w:p w14:paraId="7443141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Loubí</w:t>
            </w:r>
          </w:p>
        </w:tc>
        <w:tc>
          <w:tcPr>
            <w:tcW w:w="679" w:type="dxa"/>
            <w:tcBorders>
              <w:top w:val="single" w:sz="6" w:space="0" w:color="auto"/>
              <w:left w:val="single" w:sz="6" w:space="0" w:color="auto"/>
              <w:bottom w:val="single" w:sz="6" w:space="0" w:color="auto"/>
              <w:right w:val="single" w:sz="6" w:space="0" w:color="auto"/>
            </w:tcBorders>
          </w:tcPr>
          <w:p w14:paraId="4C66DBC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210AFD5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DA609D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159</w:t>
            </w:r>
          </w:p>
        </w:tc>
        <w:tc>
          <w:tcPr>
            <w:tcW w:w="1556" w:type="dxa"/>
            <w:tcBorders>
              <w:top w:val="single" w:sz="6" w:space="0" w:color="auto"/>
              <w:left w:val="single" w:sz="6" w:space="0" w:color="auto"/>
              <w:bottom w:val="single" w:sz="6" w:space="0" w:color="auto"/>
              <w:right w:val="single" w:sz="6" w:space="0" w:color="auto"/>
            </w:tcBorders>
          </w:tcPr>
          <w:p w14:paraId="25D3392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 hliništi</w:t>
            </w:r>
          </w:p>
        </w:tc>
        <w:tc>
          <w:tcPr>
            <w:tcW w:w="1193" w:type="dxa"/>
            <w:tcBorders>
              <w:top w:val="single" w:sz="6" w:space="0" w:color="auto"/>
              <w:left w:val="single" w:sz="6" w:space="0" w:color="auto"/>
              <w:bottom w:val="single" w:sz="6" w:space="0" w:color="auto"/>
              <w:right w:val="single" w:sz="6" w:space="0" w:color="auto"/>
            </w:tcBorders>
          </w:tcPr>
          <w:p w14:paraId="334500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793DDFE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55C318F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4BCD1805" w14:textId="77777777" w:rsidTr="002D2D45">
        <w:trPr>
          <w:trHeight w:val="485"/>
        </w:trPr>
        <w:tc>
          <w:tcPr>
            <w:tcW w:w="558" w:type="dxa"/>
            <w:tcBorders>
              <w:top w:val="single" w:sz="6" w:space="0" w:color="auto"/>
              <w:left w:val="single" w:sz="6" w:space="0" w:color="auto"/>
              <w:bottom w:val="single" w:sz="6" w:space="0" w:color="auto"/>
              <w:right w:val="single" w:sz="6" w:space="0" w:color="auto"/>
            </w:tcBorders>
          </w:tcPr>
          <w:p w14:paraId="39C31D9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31</w:t>
            </w:r>
          </w:p>
        </w:tc>
        <w:tc>
          <w:tcPr>
            <w:tcW w:w="1632" w:type="dxa"/>
            <w:tcBorders>
              <w:top w:val="single" w:sz="6" w:space="0" w:color="auto"/>
              <w:left w:val="single" w:sz="6" w:space="0" w:color="auto"/>
              <w:bottom w:val="single" w:sz="6" w:space="0" w:color="auto"/>
              <w:right w:val="single" w:sz="6" w:space="0" w:color="auto"/>
            </w:tcBorders>
          </w:tcPr>
          <w:p w14:paraId="0D542C9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viaduktu</w:t>
            </w:r>
          </w:p>
        </w:tc>
        <w:tc>
          <w:tcPr>
            <w:tcW w:w="906" w:type="dxa"/>
            <w:tcBorders>
              <w:top w:val="single" w:sz="6" w:space="0" w:color="auto"/>
              <w:left w:val="single" w:sz="6" w:space="0" w:color="auto"/>
              <w:bottom w:val="single" w:sz="6" w:space="0" w:color="auto"/>
              <w:right w:val="single" w:sz="6" w:space="0" w:color="auto"/>
            </w:tcBorders>
          </w:tcPr>
          <w:p w14:paraId="713E54F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Horní Žleb</w:t>
            </w:r>
          </w:p>
        </w:tc>
        <w:tc>
          <w:tcPr>
            <w:tcW w:w="679" w:type="dxa"/>
            <w:tcBorders>
              <w:top w:val="single" w:sz="6" w:space="0" w:color="auto"/>
              <w:left w:val="single" w:sz="6" w:space="0" w:color="auto"/>
              <w:bottom w:val="single" w:sz="6" w:space="0" w:color="auto"/>
              <w:right w:val="single" w:sz="6" w:space="0" w:color="auto"/>
            </w:tcBorders>
          </w:tcPr>
          <w:p w14:paraId="7F4DB06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10" w:type="dxa"/>
            <w:tcBorders>
              <w:top w:val="single" w:sz="6" w:space="0" w:color="auto"/>
              <w:left w:val="single" w:sz="6" w:space="0" w:color="auto"/>
              <w:bottom w:val="single" w:sz="6" w:space="0" w:color="auto"/>
              <w:right w:val="single" w:sz="6" w:space="0" w:color="auto"/>
            </w:tcBorders>
          </w:tcPr>
          <w:p w14:paraId="6276A18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C1EFC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160</w:t>
            </w:r>
          </w:p>
        </w:tc>
        <w:tc>
          <w:tcPr>
            <w:tcW w:w="1556" w:type="dxa"/>
            <w:tcBorders>
              <w:top w:val="single" w:sz="6" w:space="0" w:color="auto"/>
              <w:left w:val="single" w:sz="6" w:space="0" w:color="auto"/>
              <w:bottom w:val="single" w:sz="6" w:space="0" w:color="auto"/>
              <w:right w:val="single" w:sz="6" w:space="0" w:color="auto"/>
            </w:tcBorders>
          </w:tcPr>
          <w:p w14:paraId="4BD9DDD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Podmostní</w:t>
            </w:r>
          </w:p>
        </w:tc>
        <w:tc>
          <w:tcPr>
            <w:tcW w:w="1193" w:type="dxa"/>
            <w:tcBorders>
              <w:top w:val="single" w:sz="6" w:space="0" w:color="auto"/>
              <w:left w:val="single" w:sz="6" w:space="0" w:color="auto"/>
              <w:bottom w:val="single" w:sz="6" w:space="0" w:color="auto"/>
              <w:right w:val="single" w:sz="6" w:space="0" w:color="auto"/>
            </w:tcBorders>
          </w:tcPr>
          <w:p w14:paraId="0021A2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257091A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6A90B06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577DFEA6"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61F4A2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32</w:t>
            </w:r>
          </w:p>
        </w:tc>
        <w:tc>
          <w:tcPr>
            <w:tcW w:w="1632" w:type="dxa"/>
            <w:tcBorders>
              <w:top w:val="single" w:sz="6" w:space="0" w:color="auto"/>
              <w:left w:val="single" w:sz="6" w:space="0" w:color="auto"/>
              <w:bottom w:val="single" w:sz="6" w:space="0" w:color="auto"/>
              <w:right w:val="single" w:sz="6" w:space="0" w:color="auto"/>
            </w:tcBorders>
          </w:tcPr>
          <w:p w14:paraId="496CF8A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Střed</w:t>
            </w:r>
          </w:p>
        </w:tc>
        <w:tc>
          <w:tcPr>
            <w:tcW w:w="906" w:type="dxa"/>
            <w:tcBorders>
              <w:top w:val="single" w:sz="6" w:space="0" w:color="auto"/>
              <w:left w:val="single" w:sz="6" w:space="0" w:color="auto"/>
              <w:bottom w:val="single" w:sz="6" w:space="0" w:color="auto"/>
              <w:right w:val="single" w:sz="6" w:space="0" w:color="auto"/>
            </w:tcBorders>
          </w:tcPr>
          <w:p w14:paraId="748B54B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 Žleb</w:t>
            </w:r>
          </w:p>
        </w:tc>
        <w:tc>
          <w:tcPr>
            <w:tcW w:w="679" w:type="dxa"/>
            <w:tcBorders>
              <w:top w:val="single" w:sz="6" w:space="0" w:color="auto"/>
              <w:left w:val="single" w:sz="6" w:space="0" w:color="auto"/>
              <w:bottom w:val="single" w:sz="6" w:space="0" w:color="auto"/>
              <w:right w:val="single" w:sz="6" w:space="0" w:color="auto"/>
            </w:tcBorders>
          </w:tcPr>
          <w:p w14:paraId="203DBF9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10" w:type="dxa"/>
            <w:tcBorders>
              <w:top w:val="single" w:sz="6" w:space="0" w:color="auto"/>
              <w:left w:val="single" w:sz="6" w:space="0" w:color="auto"/>
              <w:bottom w:val="single" w:sz="6" w:space="0" w:color="auto"/>
              <w:right w:val="single" w:sz="6" w:space="0" w:color="auto"/>
            </w:tcBorders>
          </w:tcPr>
          <w:p w14:paraId="7BEC6FF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88FCAE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161</w:t>
            </w:r>
          </w:p>
        </w:tc>
        <w:tc>
          <w:tcPr>
            <w:tcW w:w="1556" w:type="dxa"/>
            <w:tcBorders>
              <w:top w:val="single" w:sz="6" w:space="0" w:color="auto"/>
              <w:left w:val="single" w:sz="6" w:space="0" w:color="auto"/>
              <w:bottom w:val="single" w:sz="6" w:space="0" w:color="auto"/>
              <w:right w:val="single" w:sz="6" w:space="0" w:color="auto"/>
            </w:tcBorders>
          </w:tcPr>
          <w:p w14:paraId="7F67725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obory</w:t>
            </w:r>
          </w:p>
        </w:tc>
        <w:tc>
          <w:tcPr>
            <w:tcW w:w="1193" w:type="dxa"/>
            <w:tcBorders>
              <w:top w:val="single" w:sz="6" w:space="0" w:color="auto"/>
              <w:left w:val="single" w:sz="6" w:space="0" w:color="auto"/>
              <w:bottom w:val="single" w:sz="6" w:space="0" w:color="auto"/>
              <w:right w:val="single" w:sz="6" w:space="0" w:color="auto"/>
            </w:tcBorders>
          </w:tcPr>
          <w:p w14:paraId="3E9AEB9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584DEF3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40DF745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36D9EC2E"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79EFB2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33</w:t>
            </w:r>
          </w:p>
        </w:tc>
        <w:tc>
          <w:tcPr>
            <w:tcW w:w="1632" w:type="dxa"/>
            <w:tcBorders>
              <w:top w:val="single" w:sz="6" w:space="0" w:color="auto"/>
              <w:left w:val="single" w:sz="6" w:space="0" w:color="auto"/>
              <w:bottom w:val="single" w:sz="6" w:space="0" w:color="auto"/>
              <w:right w:val="single" w:sz="6" w:space="0" w:color="auto"/>
            </w:tcBorders>
          </w:tcPr>
          <w:p w14:paraId="4914C5C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Přechodová</w:t>
            </w:r>
          </w:p>
        </w:tc>
        <w:tc>
          <w:tcPr>
            <w:tcW w:w="906" w:type="dxa"/>
            <w:tcBorders>
              <w:top w:val="single" w:sz="6" w:space="0" w:color="auto"/>
              <w:left w:val="single" w:sz="6" w:space="0" w:color="auto"/>
              <w:bottom w:val="single" w:sz="6" w:space="0" w:color="auto"/>
              <w:right w:val="single" w:sz="6" w:space="0" w:color="auto"/>
            </w:tcBorders>
          </w:tcPr>
          <w:p w14:paraId="3CF4444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01EB26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ZD</w:t>
            </w:r>
          </w:p>
        </w:tc>
        <w:tc>
          <w:tcPr>
            <w:tcW w:w="710" w:type="dxa"/>
            <w:tcBorders>
              <w:top w:val="single" w:sz="6" w:space="0" w:color="auto"/>
              <w:left w:val="single" w:sz="6" w:space="0" w:color="auto"/>
              <w:bottom w:val="single" w:sz="6" w:space="0" w:color="auto"/>
              <w:right w:val="single" w:sz="6" w:space="0" w:color="auto"/>
            </w:tcBorders>
          </w:tcPr>
          <w:p w14:paraId="3539F22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B0CC08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162</w:t>
            </w:r>
          </w:p>
        </w:tc>
        <w:tc>
          <w:tcPr>
            <w:tcW w:w="1556" w:type="dxa"/>
            <w:tcBorders>
              <w:top w:val="single" w:sz="6" w:space="0" w:color="auto"/>
              <w:left w:val="single" w:sz="6" w:space="0" w:color="auto"/>
              <w:bottom w:val="single" w:sz="6" w:space="0" w:color="auto"/>
              <w:right w:val="single" w:sz="6" w:space="0" w:color="auto"/>
            </w:tcBorders>
          </w:tcPr>
          <w:p w14:paraId="0342E88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Kovošrot</w:t>
            </w:r>
          </w:p>
        </w:tc>
        <w:tc>
          <w:tcPr>
            <w:tcW w:w="1193" w:type="dxa"/>
            <w:tcBorders>
              <w:top w:val="single" w:sz="6" w:space="0" w:color="auto"/>
              <w:left w:val="single" w:sz="6" w:space="0" w:color="auto"/>
              <w:bottom w:val="single" w:sz="6" w:space="0" w:color="auto"/>
              <w:right w:val="single" w:sz="6" w:space="0" w:color="auto"/>
            </w:tcBorders>
          </w:tcPr>
          <w:p w14:paraId="38DED1E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5726EBA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0B2C20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474CFCEE"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146782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34</w:t>
            </w:r>
          </w:p>
        </w:tc>
        <w:tc>
          <w:tcPr>
            <w:tcW w:w="1632" w:type="dxa"/>
            <w:tcBorders>
              <w:top w:val="single" w:sz="6" w:space="0" w:color="auto"/>
              <w:left w:val="single" w:sz="6" w:space="0" w:color="auto"/>
              <w:bottom w:val="single" w:sz="6" w:space="0" w:color="auto"/>
              <w:right w:val="single" w:sz="6" w:space="0" w:color="auto"/>
            </w:tcBorders>
          </w:tcPr>
          <w:p w14:paraId="677C490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Korkárna</w:t>
            </w:r>
          </w:p>
        </w:tc>
        <w:tc>
          <w:tcPr>
            <w:tcW w:w="906" w:type="dxa"/>
            <w:tcBorders>
              <w:top w:val="single" w:sz="6" w:space="0" w:color="auto"/>
              <w:left w:val="single" w:sz="6" w:space="0" w:color="auto"/>
              <w:bottom w:val="single" w:sz="6" w:space="0" w:color="auto"/>
              <w:right w:val="single" w:sz="6" w:space="0" w:color="auto"/>
            </w:tcBorders>
          </w:tcPr>
          <w:p w14:paraId="260AA2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79" w:type="dxa"/>
            <w:tcBorders>
              <w:top w:val="single" w:sz="6" w:space="0" w:color="auto"/>
              <w:left w:val="single" w:sz="6" w:space="0" w:color="auto"/>
              <w:bottom w:val="single" w:sz="6" w:space="0" w:color="auto"/>
              <w:right w:val="single" w:sz="6" w:space="0" w:color="auto"/>
            </w:tcBorders>
          </w:tcPr>
          <w:p w14:paraId="00F8C1D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10" w:type="dxa"/>
            <w:tcBorders>
              <w:top w:val="single" w:sz="6" w:space="0" w:color="auto"/>
              <w:left w:val="single" w:sz="6" w:space="0" w:color="auto"/>
              <w:bottom w:val="single" w:sz="6" w:space="0" w:color="auto"/>
              <w:right w:val="single" w:sz="6" w:space="0" w:color="auto"/>
            </w:tcBorders>
          </w:tcPr>
          <w:p w14:paraId="62322B0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9A8988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163</w:t>
            </w:r>
          </w:p>
        </w:tc>
        <w:tc>
          <w:tcPr>
            <w:tcW w:w="1556" w:type="dxa"/>
            <w:tcBorders>
              <w:top w:val="single" w:sz="6" w:space="0" w:color="auto"/>
              <w:left w:val="single" w:sz="6" w:space="0" w:color="auto"/>
              <w:bottom w:val="single" w:sz="6" w:space="0" w:color="auto"/>
              <w:right w:val="single" w:sz="6" w:space="0" w:color="auto"/>
            </w:tcBorders>
          </w:tcPr>
          <w:p w14:paraId="13F0968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Severografie</w:t>
            </w:r>
          </w:p>
        </w:tc>
        <w:tc>
          <w:tcPr>
            <w:tcW w:w="1193" w:type="dxa"/>
            <w:tcBorders>
              <w:top w:val="single" w:sz="6" w:space="0" w:color="auto"/>
              <w:left w:val="single" w:sz="6" w:space="0" w:color="auto"/>
              <w:bottom w:val="single" w:sz="6" w:space="0" w:color="auto"/>
              <w:right w:val="single" w:sz="6" w:space="0" w:color="auto"/>
            </w:tcBorders>
          </w:tcPr>
          <w:p w14:paraId="0FCBECA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1D425ED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163D435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7E14402D"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F9003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35</w:t>
            </w:r>
          </w:p>
        </w:tc>
        <w:tc>
          <w:tcPr>
            <w:tcW w:w="1632" w:type="dxa"/>
            <w:tcBorders>
              <w:top w:val="single" w:sz="6" w:space="0" w:color="auto"/>
              <w:left w:val="single" w:sz="6" w:space="0" w:color="auto"/>
              <w:bottom w:val="single" w:sz="6" w:space="0" w:color="auto"/>
              <w:right w:val="single" w:sz="6" w:space="0" w:color="auto"/>
            </w:tcBorders>
          </w:tcPr>
          <w:p w14:paraId="02DA022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Dol. Oldřichov</w:t>
            </w:r>
          </w:p>
        </w:tc>
        <w:tc>
          <w:tcPr>
            <w:tcW w:w="906" w:type="dxa"/>
            <w:tcBorders>
              <w:top w:val="single" w:sz="6" w:space="0" w:color="auto"/>
              <w:left w:val="single" w:sz="6" w:space="0" w:color="auto"/>
              <w:bottom w:val="single" w:sz="6" w:space="0" w:color="auto"/>
              <w:right w:val="single" w:sz="6" w:space="0" w:color="auto"/>
            </w:tcBorders>
          </w:tcPr>
          <w:p w14:paraId="0091395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E5231D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24E4D5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0FA5D6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164</w:t>
            </w:r>
          </w:p>
        </w:tc>
        <w:tc>
          <w:tcPr>
            <w:tcW w:w="1556" w:type="dxa"/>
            <w:tcBorders>
              <w:top w:val="single" w:sz="6" w:space="0" w:color="auto"/>
              <w:left w:val="single" w:sz="6" w:space="0" w:color="auto"/>
              <w:bottom w:val="single" w:sz="6" w:space="0" w:color="auto"/>
              <w:right w:val="single" w:sz="6" w:space="0" w:color="auto"/>
            </w:tcBorders>
          </w:tcPr>
          <w:p w14:paraId="7FDDD48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Ústecká</w:t>
            </w:r>
          </w:p>
        </w:tc>
        <w:tc>
          <w:tcPr>
            <w:tcW w:w="1193" w:type="dxa"/>
            <w:tcBorders>
              <w:top w:val="single" w:sz="6" w:space="0" w:color="auto"/>
              <w:left w:val="single" w:sz="6" w:space="0" w:color="auto"/>
              <w:bottom w:val="single" w:sz="6" w:space="0" w:color="auto"/>
              <w:right w:val="single" w:sz="6" w:space="0" w:color="auto"/>
            </w:tcBorders>
          </w:tcPr>
          <w:p w14:paraId="7C2EAA3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2544C6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5A90BFA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5920084A" w14:textId="77777777" w:rsidTr="002D2D45">
        <w:trPr>
          <w:trHeight w:val="485"/>
        </w:trPr>
        <w:tc>
          <w:tcPr>
            <w:tcW w:w="558" w:type="dxa"/>
            <w:tcBorders>
              <w:top w:val="single" w:sz="6" w:space="0" w:color="auto"/>
              <w:left w:val="single" w:sz="6" w:space="0" w:color="auto"/>
              <w:bottom w:val="single" w:sz="6" w:space="0" w:color="auto"/>
              <w:right w:val="single" w:sz="6" w:space="0" w:color="auto"/>
            </w:tcBorders>
          </w:tcPr>
          <w:p w14:paraId="69EF037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36</w:t>
            </w:r>
          </w:p>
        </w:tc>
        <w:tc>
          <w:tcPr>
            <w:tcW w:w="1632" w:type="dxa"/>
            <w:tcBorders>
              <w:top w:val="single" w:sz="6" w:space="0" w:color="auto"/>
              <w:left w:val="single" w:sz="6" w:space="0" w:color="auto"/>
              <w:bottom w:val="single" w:sz="6" w:space="0" w:color="auto"/>
              <w:right w:val="single" w:sz="6" w:space="0" w:color="auto"/>
            </w:tcBorders>
          </w:tcPr>
          <w:p w14:paraId="1165F07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D.Oldřich,Kohinoor</w:t>
            </w:r>
          </w:p>
        </w:tc>
        <w:tc>
          <w:tcPr>
            <w:tcW w:w="906" w:type="dxa"/>
            <w:tcBorders>
              <w:top w:val="single" w:sz="6" w:space="0" w:color="auto"/>
              <w:left w:val="single" w:sz="6" w:space="0" w:color="auto"/>
              <w:bottom w:val="single" w:sz="6" w:space="0" w:color="auto"/>
              <w:right w:val="single" w:sz="6" w:space="0" w:color="auto"/>
            </w:tcBorders>
          </w:tcPr>
          <w:p w14:paraId="0EC5AF3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0E073A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4DC0B15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46140B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165</w:t>
            </w:r>
          </w:p>
        </w:tc>
        <w:tc>
          <w:tcPr>
            <w:tcW w:w="1556" w:type="dxa"/>
            <w:tcBorders>
              <w:top w:val="single" w:sz="6" w:space="0" w:color="auto"/>
              <w:left w:val="single" w:sz="6" w:space="0" w:color="auto"/>
              <w:bottom w:val="single" w:sz="6" w:space="0" w:color="auto"/>
              <w:right w:val="single" w:sz="6" w:space="0" w:color="auto"/>
            </w:tcBorders>
          </w:tcPr>
          <w:p w14:paraId="51FD411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 xml:space="preserve">Ker.záv. </w:t>
            </w:r>
            <w:r w:rsidRPr="00D42621">
              <w:rPr>
                <w:rFonts w:ascii="Arial" w:hAnsi="Arial"/>
                <w:caps/>
                <w:color w:val="000000"/>
                <w:sz w:val="16"/>
                <w:szCs w:val="16"/>
                <w:lang w:eastAsia="cs-CZ"/>
              </w:rPr>
              <w:t>Samotar</w:t>
            </w:r>
          </w:p>
        </w:tc>
        <w:tc>
          <w:tcPr>
            <w:tcW w:w="1193" w:type="dxa"/>
            <w:tcBorders>
              <w:top w:val="single" w:sz="6" w:space="0" w:color="auto"/>
              <w:left w:val="single" w:sz="6" w:space="0" w:color="auto"/>
              <w:bottom w:val="single" w:sz="6" w:space="0" w:color="auto"/>
              <w:right w:val="single" w:sz="6" w:space="0" w:color="auto"/>
            </w:tcBorders>
          </w:tcPr>
          <w:p w14:paraId="7BB7E70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5927BEA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64CAF4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14BC1840"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CEAE87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37</w:t>
            </w:r>
          </w:p>
        </w:tc>
        <w:tc>
          <w:tcPr>
            <w:tcW w:w="1632" w:type="dxa"/>
            <w:tcBorders>
              <w:top w:val="single" w:sz="6" w:space="0" w:color="auto"/>
              <w:left w:val="single" w:sz="6" w:space="0" w:color="auto"/>
              <w:bottom w:val="single" w:sz="6" w:space="0" w:color="auto"/>
              <w:right w:val="single" w:sz="6" w:space="0" w:color="auto"/>
            </w:tcBorders>
          </w:tcPr>
          <w:p w14:paraId="1AE4A7B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Kovočas</w:t>
            </w:r>
          </w:p>
        </w:tc>
        <w:tc>
          <w:tcPr>
            <w:tcW w:w="906" w:type="dxa"/>
            <w:tcBorders>
              <w:top w:val="single" w:sz="6" w:space="0" w:color="auto"/>
              <w:left w:val="single" w:sz="6" w:space="0" w:color="auto"/>
              <w:bottom w:val="single" w:sz="6" w:space="0" w:color="auto"/>
              <w:right w:val="single" w:sz="6" w:space="0" w:color="auto"/>
            </w:tcBorders>
          </w:tcPr>
          <w:p w14:paraId="5103282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128C9C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4D2583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48F56A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166</w:t>
            </w:r>
          </w:p>
        </w:tc>
        <w:tc>
          <w:tcPr>
            <w:tcW w:w="1556" w:type="dxa"/>
            <w:tcBorders>
              <w:top w:val="single" w:sz="6" w:space="0" w:color="auto"/>
              <w:left w:val="single" w:sz="6" w:space="0" w:color="auto"/>
              <w:bottom w:val="single" w:sz="6" w:space="0" w:color="auto"/>
              <w:right w:val="single" w:sz="6" w:space="0" w:color="auto"/>
            </w:tcBorders>
          </w:tcPr>
          <w:p w14:paraId="69FB2E3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Rozbělesy</w:t>
            </w:r>
          </w:p>
        </w:tc>
        <w:tc>
          <w:tcPr>
            <w:tcW w:w="1193" w:type="dxa"/>
            <w:tcBorders>
              <w:top w:val="single" w:sz="6" w:space="0" w:color="auto"/>
              <w:left w:val="single" w:sz="6" w:space="0" w:color="auto"/>
              <w:bottom w:val="single" w:sz="6" w:space="0" w:color="auto"/>
              <w:right w:val="single" w:sz="6" w:space="0" w:color="auto"/>
            </w:tcBorders>
          </w:tcPr>
          <w:p w14:paraId="642A219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3F58987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44DE06E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3C42A8DF"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0EFB0F8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38</w:t>
            </w:r>
          </w:p>
        </w:tc>
        <w:tc>
          <w:tcPr>
            <w:tcW w:w="1632" w:type="dxa"/>
            <w:tcBorders>
              <w:top w:val="single" w:sz="6" w:space="0" w:color="auto"/>
              <w:left w:val="single" w:sz="6" w:space="0" w:color="auto"/>
              <w:bottom w:val="single" w:sz="6" w:space="0" w:color="auto"/>
              <w:right w:val="single" w:sz="6" w:space="0" w:color="auto"/>
            </w:tcBorders>
          </w:tcPr>
          <w:p w14:paraId="508FF52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Na spádu</w:t>
            </w:r>
          </w:p>
        </w:tc>
        <w:tc>
          <w:tcPr>
            <w:tcW w:w="906" w:type="dxa"/>
            <w:tcBorders>
              <w:top w:val="single" w:sz="6" w:space="0" w:color="auto"/>
              <w:left w:val="single" w:sz="6" w:space="0" w:color="auto"/>
              <w:bottom w:val="single" w:sz="6" w:space="0" w:color="auto"/>
              <w:right w:val="single" w:sz="6" w:space="0" w:color="auto"/>
            </w:tcBorders>
          </w:tcPr>
          <w:p w14:paraId="3DBBBE3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67D2BE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B0A3AA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278C43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167</w:t>
            </w:r>
          </w:p>
        </w:tc>
        <w:tc>
          <w:tcPr>
            <w:tcW w:w="1556" w:type="dxa"/>
            <w:tcBorders>
              <w:top w:val="single" w:sz="6" w:space="0" w:color="auto"/>
              <w:left w:val="single" w:sz="6" w:space="0" w:color="auto"/>
              <w:bottom w:val="single" w:sz="6" w:space="0" w:color="auto"/>
              <w:right w:val="single" w:sz="6" w:space="0" w:color="auto"/>
            </w:tcBorders>
          </w:tcPr>
          <w:p w14:paraId="6E0BC6E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b/>
                <w:bCs/>
                <w:color w:val="000000"/>
                <w:sz w:val="16"/>
                <w:szCs w:val="16"/>
                <w:lang w:eastAsia="cs-CZ"/>
              </w:rPr>
              <w:t>Kovohutě</w:t>
            </w:r>
          </w:p>
        </w:tc>
        <w:tc>
          <w:tcPr>
            <w:tcW w:w="1193" w:type="dxa"/>
            <w:tcBorders>
              <w:top w:val="single" w:sz="6" w:space="0" w:color="auto"/>
              <w:left w:val="single" w:sz="6" w:space="0" w:color="auto"/>
              <w:bottom w:val="single" w:sz="6" w:space="0" w:color="auto"/>
              <w:right w:val="single" w:sz="6" w:space="0" w:color="auto"/>
            </w:tcBorders>
          </w:tcPr>
          <w:p w14:paraId="54DA2E6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51326BC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165E572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171349C3"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45538D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39</w:t>
            </w:r>
          </w:p>
        </w:tc>
        <w:tc>
          <w:tcPr>
            <w:tcW w:w="1632" w:type="dxa"/>
            <w:tcBorders>
              <w:top w:val="single" w:sz="6" w:space="0" w:color="auto"/>
              <w:left w:val="single" w:sz="6" w:space="0" w:color="auto"/>
              <w:bottom w:val="single" w:sz="6" w:space="0" w:color="auto"/>
              <w:right w:val="single" w:sz="6" w:space="0" w:color="auto"/>
            </w:tcBorders>
          </w:tcPr>
          <w:p w14:paraId="34729B6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Rukov, Vojanova</w:t>
            </w:r>
          </w:p>
        </w:tc>
        <w:tc>
          <w:tcPr>
            <w:tcW w:w="906" w:type="dxa"/>
            <w:tcBorders>
              <w:top w:val="single" w:sz="6" w:space="0" w:color="auto"/>
              <w:left w:val="single" w:sz="6" w:space="0" w:color="auto"/>
              <w:bottom w:val="single" w:sz="6" w:space="0" w:color="auto"/>
              <w:right w:val="single" w:sz="6" w:space="0" w:color="auto"/>
            </w:tcBorders>
          </w:tcPr>
          <w:p w14:paraId="2BC0653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EF865B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A63232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8486AC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168</w:t>
            </w:r>
          </w:p>
        </w:tc>
        <w:tc>
          <w:tcPr>
            <w:tcW w:w="1556" w:type="dxa"/>
            <w:tcBorders>
              <w:top w:val="single" w:sz="6" w:space="0" w:color="auto"/>
              <w:left w:val="single" w:sz="6" w:space="0" w:color="auto"/>
              <w:bottom w:val="single" w:sz="6" w:space="0" w:color="auto"/>
              <w:right w:val="single" w:sz="6" w:space="0" w:color="auto"/>
            </w:tcBorders>
          </w:tcPr>
          <w:p w14:paraId="0D36404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Mlékárna</w:t>
            </w:r>
          </w:p>
        </w:tc>
        <w:tc>
          <w:tcPr>
            <w:tcW w:w="1193" w:type="dxa"/>
            <w:tcBorders>
              <w:top w:val="single" w:sz="6" w:space="0" w:color="auto"/>
              <w:left w:val="single" w:sz="6" w:space="0" w:color="auto"/>
              <w:bottom w:val="single" w:sz="6" w:space="0" w:color="auto"/>
              <w:right w:val="single" w:sz="6" w:space="0" w:color="auto"/>
            </w:tcBorders>
          </w:tcPr>
          <w:p w14:paraId="754D66F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Křešice</w:t>
            </w:r>
          </w:p>
        </w:tc>
        <w:tc>
          <w:tcPr>
            <w:tcW w:w="633" w:type="dxa"/>
            <w:tcBorders>
              <w:top w:val="single" w:sz="6" w:space="0" w:color="auto"/>
              <w:left w:val="single" w:sz="6" w:space="0" w:color="auto"/>
              <w:bottom w:val="single" w:sz="6" w:space="0" w:color="auto"/>
              <w:right w:val="single" w:sz="6" w:space="0" w:color="auto"/>
            </w:tcBorders>
          </w:tcPr>
          <w:p w14:paraId="35741D3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24" w:type="dxa"/>
            <w:tcBorders>
              <w:top w:val="single" w:sz="6" w:space="0" w:color="auto"/>
              <w:left w:val="single" w:sz="6" w:space="0" w:color="auto"/>
              <w:bottom w:val="single" w:sz="6" w:space="0" w:color="auto"/>
              <w:right w:val="single" w:sz="6" w:space="0" w:color="auto"/>
            </w:tcBorders>
          </w:tcPr>
          <w:p w14:paraId="4292DC1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5305D5B4" w14:textId="77777777" w:rsidTr="002D2D45">
        <w:trPr>
          <w:trHeight w:val="485"/>
        </w:trPr>
        <w:tc>
          <w:tcPr>
            <w:tcW w:w="558" w:type="dxa"/>
            <w:tcBorders>
              <w:top w:val="single" w:sz="6" w:space="0" w:color="auto"/>
              <w:left w:val="single" w:sz="6" w:space="0" w:color="auto"/>
              <w:bottom w:val="single" w:sz="6" w:space="0" w:color="auto"/>
              <w:right w:val="single" w:sz="6" w:space="0" w:color="auto"/>
            </w:tcBorders>
          </w:tcPr>
          <w:p w14:paraId="5A016FA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40</w:t>
            </w:r>
          </w:p>
        </w:tc>
        <w:tc>
          <w:tcPr>
            <w:tcW w:w="1632" w:type="dxa"/>
            <w:tcBorders>
              <w:top w:val="single" w:sz="6" w:space="0" w:color="auto"/>
              <w:left w:val="single" w:sz="6" w:space="0" w:color="auto"/>
              <w:bottom w:val="single" w:sz="6" w:space="0" w:color="auto"/>
              <w:right w:val="single" w:sz="6" w:space="0" w:color="auto"/>
            </w:tcBorders>
          </w:tcPr>
          <w:p w14:paraId="0425C4F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Kohinor</w:t>
            </w:r>
            <w:r w:rsidRPr="00D42621">
              <w:rPr>
                <w:rFonts w:ascii="Arial" w:hAnsi="Arial"/>
                <w:color w:val="000000"/>
                <w:sz w:val="16"/>
                <w:szCs w:val="16"/>
                <w:lang w:eastAsia="cs-CZ"/>
              </w:rPr>
              <w:t>,Teplická</w:t>
            </w:r>
          </w:p>
        </w:tc>
        <w:tc>
          <w:tcPr>
            <w:tcW w:w="906" w:type="dxa"/>
            <w:tcBorders>
              <w:top w:val="single" w:sz="6" w:space="0" w:color="auto"/>
              <w:left w:val="single" w:sz="6" w:space="0" w:color="auto"/>
              <w:bottom w:val="single" w:sz="6" w:space="0" w:color="auto"/>
              <w:right w:val="single" w:sz="6" w:space="0" w:color="auto"/>
            </w:tcBorders>
          </w:tcPr>
          <w:p w14:paraId="380138E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1EFD5B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08E6E6B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D2D990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169</w:t>
            </w:r>
          </w:p>
        </w:tc>
        <w:tc>
          <w:tcPr>
            <w:tcW w:w="1556" w:type="dxa"/>
            <w:tcBorders>
              <w:top w:val="single" w:sz="6" w:space="0" w:color="auto"/>
              <w:left w:val="single" w:sz="6" w:space="0" w:color="auto"/>
              <w:bottom w:val="single" w:sz="6" w:space="0" w:color="auto"/>
              <w:right w:val="single" w:sz="6" w:space="0" w:color="auto"/>
            </w:tcBorders>
          </w:tcPr>
          <w:p w14:paraId="795565C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Marjanín</w:t>
            </w:r>
          </w:p>
        </w:tc>
        <w:tc>
          <w:tcPr>
            <w:tcW w:w="1193" w:type="dxa"/>
            <w:tcBorders>
              <w:top w:val="single" w:sz="6" w:space="0" w:color="auto"/>
              <w:left w:val="single" w:sz="6" w:space="0" w:color="auto"/>
              <w:bottom w:val="single" w:sz="6" w:space="0" w:color="auto"/>
              <w:right w:val="single" w:sz="6" w:space="0" w:color="auto"/>
            </w:tcBorders>
          </w:tcPr>
          <w:p w14:paraId="5C2D9B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Křešice</w:t>
            </w:r>
          </w:p>
        </w:tc>
        <w:tc>
          <w:tcPr>
            <w:tcW w:w="633" w:type="dxa"/>
            <w:tcBorders>
              <w:top w:val="single" w:sz="6" w:space="0" w:color="auto"/>
              <w:left w:val="single" w:sz="6" w:space="0" w:color="auto"/>
              <w:bottom w:val="single" w:sz="6" w:space="0" w:color="auto"/>
              <w:right w:val="single" w:sz="6" w:space="0" w:color="auto"/>
            </w:tcBorders>
          </w:tcPr>
          <w:p w14:paraId="5CBCA0F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4B77EE8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5586D54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1E44A7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41</w:t>
            </w:r>
          </w:p>
        </w:tc>
        <w:tc>
          <w:tcPr>
            <w:tcW w:w="1632" w:type="dxa"/>
            <w:tcBorders>
              <w:top w:val="single" w:sz="6" w:space="0" w:color="auto"/>
              <w:left w:val="single" w:sz="6" w:space="0" w:color="auto"/>
              <w:bottom w:val="single" w:sz="6" w:space="0" w:color="auto"/>
              <w:right w:val="single" w:sz="6" w:space="0" w:color="auto"/>
            </w:tcBorders>
          </w:tcPr>
          <w:p w14:paraId="4E0A46B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ZPA</w:t>
            </w:r>
          </w:p>
        </w:tc>
        <w:tc>
          <w:tcPr>
            <w:tcW w:w="906" w:type="dxa"/>
            <w:tcBorders>
              <w:top w:val="single" w:sz="6" w:space="0" w:color="auto"/>
              <w:left w:val="single" w:sz="6" w:space="0" w:color="auto"/>
              <w:bottom w:val="single" w:sz="6" w:space="0" w:color="auto"/>
              <w:right w:val="single" w:sz="6" w:space="0" w:color="auto"/>
            </w:tcBorders>
          </w:tcPr>
          <w:p w14:paraId="7B46F7B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C9A64F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7A208C8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DBC22C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170</w:t>
            </w:r>
          </w:p>
        </w:tc>
        <w:tc>
          <w:tcPr>
            <w:tcW w:w="1556" w:type="dxa"/>
            <w:tcBorders>
              <w:top w:val="single" w:sz="6" w:space="0" w:color="auto"/>
              <w:left w:val="single" w:sz="6" w:space="0" w:color="auto"/>
              <w:bottom w:val="single" w:sz="6" w:space="0" w:color="auto"/>
              <w:right w:val="single" w:sz="6" w:space="0" w:color="auto"/>
            </w:tcBorders>
          </w:tcPr>
          <w:p w14:paraId="458F49B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Loděnice</w:t>
            </w:r>
          </w:p>
        </w:tc>
        <w:tc>
          <w:tcPr>
            <w:tcW w:w="1193" w:type="dxa"/>
            <w:tcBorders>
              <w:top w:val="single" w:sz="6" w:space="0" w:color="auto"/>
              <w:left w:val="single" w:sz="6" w:space="0" w:color="auto"/>
              <w:bottom w:val="single" w:sz="6" w:space="0" w:color="auto"/>
              <w:right w:val="single" w:sz="6" w:space="0" w:color="auto"/>
            </w:tcBorders>
          </w:tcPr>
          <w:p w14:paraId="250BE36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Křešice</w:t>
            </w:r>
          </w:p>
        </w:tc>
        <w:tc>
          <w:tcPr>
            <w:tcW w:w="633" w:type="dxa"/>
            <w:tcBorders>
              <w:top w:val="single" w:sz="6" w:space="0" w:color="auto"/>
              <w:left w:val="single" w:sz="6" w:space="0" w:color="auto"/>
              <w:bottom w:val="single" w:sz="6" w:space="0" w:color="auto"/>
              <w:right w:val="single" w:sz="6" w:space="0" w:color="auto"/>
            </w:tcBorders>
          </w:tcPr>
          <w:p w14:paraId="541E90F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24" w:type="dxa"/>
            <w:tcBorders>
              <w:top w:val="single" w:sz="6" w:space="0" w:color="auto"/>
              <w:left w:val="single" w:sz="6" w:space="0" w:color="auto"/>
              <w:bottom w:val="single" w:sz="6" w:space="0" w:color="auto"/>
              <w:right w:val="single" w:sz="6" w:space="0" w:color="auto"/>
            </w:tcBorders>
          </w:tcPr>
          <w:p w14:paraId="33AB812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6ED4F83C"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0B1581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42</w:t>
            </w:r>
          </w:p>
        </w:tc>
        <w:tc>
          <w:tcPr>
            <w:tcW w:w="1632" w:type="dxa"/>
            <w:tcBorders>
              <w:top w:val="single" w:sz="6" w:space="0" w:color="auto"/>
              <w:left w:val="single" w:sz="6" w:space="0" w:color="auto"/>
              <w:bottom w:val="single" w:sz="6" w:space="0" w:color="auto"/>
              <w:right w:val="single" w:sz="6" w:space="0" w:color="auto"/>
            </w:tcBorders>
          </w:tcPr>
          <w:p w14:paraId="1E8D4CE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Sofijská</w:t>
            </w:r>
          </w:p>
        </w:tc>
        <w:tc>
          <w:tcPr>
            <w:tcW w:w="906" w:type="dxa"/>
            <w:tcBorders>
              <w:top w:val="single" w:sz="6" w:space="0" w:color="auto"/>
              <w:left w:val="single" w:sz="6" w:space="0" w:color="auto"/>
              <w:bottom w:val="single" w:sz="6" w:space="0" w:color="auto"/>
              <w:right w:val="single" w:sz="6" w:space="0" w:color="auto"/>
            </w:tcBorders>
          </w:tcPr>
          <w:p w14:paraId="2DCB74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14DFD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800F81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83AB05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171</w:t>
            </w:r>
          </w:p>
        </w:tc>
        <w:tc>
          <w:tcPr>
            <w:tcW w:w="1556" w:type="dxa"/>
            <w:tcBorders>
              <w:top w:val="single" w:sz="6" w:space="0" w:color="auto"/>
              <w:left w:val="single" w:sz="6" w:space="0" w:color="auto"/>
              <w:bottom w:val="single" w:sz="6" w:space="0" w:color="auto"/>
              <w:right w:val="single" w:sz="6" w:space="0" w:color="auto"/>
            </w:tcBorders>
          </w:tcPr>
          <w:p w14:paraId="3E8B207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ZSS</w:t>
            </w:r>
          </w:p>
        </w:tc>
        <w:tc>
          <w:tcPr>
            <w:tcW w:w="1193" w:type="dxa"/>
            <w:tcBorders>
              <w:top w:val="single" w:sz="6" w:space="0" w:color="auto"/>
              <w:left w:val="single" w:sz="6" w:space="0" w:color="auto"/>
              <w:bottom w:val="single" w:sz="6" w:space="0" w:color="auto"/>
              <w:right w:val="single" w:sz="6" w:space="0" w:color="auto"/>
            </w:tcBorders>
          </w:tcPr>
          <w:p w14:paraId="7A68630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Křešice</w:t>
            </w:r>
          </w:p>
        </w:tc>
        <w:tc>
          <w:tcPr>
            <w:tcW w:w="633" w:type="dxa"/>
            <w:tcBorders>
              <w:top w:val="single" w:sz="6" w:space="0" w:color="auto"/>
              <w:left w:val="single" w:sz="6" w:space="0" w:color="auto"/>
              <w:bottom w:val="single" w:sz="6" w:space="0" w:color="auto"/>
              <w:right w:val="single" w:sz="6" w:space="0" w:color="auto"/>
            </w:tcBorders>
          </w:tcPr>
          <w:p w14:paraId="11AC8E9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23E6F86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6F1075C9"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7B440E0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43</w:t>
            </w:r>
          </w:p>
        </w:tc>
        <w:tc>
          <w:tcPr>
            <w:tcW w:w="1632" w:type="dxa"/>
            <w:tcBorders>
              <w:top w:val="single" w:sz="6" w:space="0" w:color="auto"/>
              <w:left w:val="single" w:sz="6" w:space="0" w:color="auto"/>
              <w:bottom w:val="single" w:sz="6" w:space="0" w:color="auto"/>
              <w:right w:val="single" w:sz="6" w:space="0" w:color="auto"/>
            </w:tcBorders>
          </w:tcPr>
          <w:p w14:paraId="7CDC1D7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Pivovarská</w:t>
            </w:r>
          </w:p>
        </w:tc>
        <w:tc>
          <w:tcPr>
            <w:tcW w:w="906" w:type="dxa"/>
            <w:tcBorders>
              <w:top w:val="single" w:sz="6" w:space="0" w:color="auto"/>
              <w:left w:val="single" w:sz="6" w:space="0" w:color="auto"/>
              <w:bottom w:val="single" w:sz="6" w:space="0" w:color="auto"/>
              <w:right w:val="single" w:sz="6" w:space="0" w:color="auto"/>
            </w:tcBorders>
          </w:tcPr>
          <w:p w14:paraId="2362DA6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261BDF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AC0B18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D68306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172</w:t>
            </w:r>
          </w:p>
        </w:tc>
        <w:tc>
          <w:tcPr>
            <w:tcW w:w="1556" w:type="dxa"/>
            <w:tcBorders>
              <w:top w:val="single" w:sz="6" w:space="0" w:color="auto"/>
              <w:left w:val="single" w:sz="6" w:space="0" w:color="auto"/>
              <w:bottom w:val="single" w:sz="6" w:space="0" w:color="auto"/>
              <w:right w:val="single" w:sz="6" w:space="0" w:color="auto"/>
            </w:tcBorders>
          </w:tcPr>
          <w:p w14:paraId="5115085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Učiliště ČSPLO</w:t>
            </w:r>
          </w:p>
        </w:tc>
        <w:tc>
          <w:tcPr>
            <w:tcW w:w="1193" w:type="dxa"/>
            <w:tcBorders>
              <w:top w:val="single" w:sz="6" w:space="0" w:color="auto"/>
              <w:left w:val="single" w:sz="6" w:space="0" w:color="auto"/>
              <w:bottom w:val="single" w:sz="6" w:space="0" w:color="auto"/>
              <w:right w:val="single" w:sz="6" w:space="0" w:color="auto"/>
            </w:tcBorders>
          </w:tcPr>
          <w:p w14:paraId="2EEE3C2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Křešice</w:t>
            </w:r>
          </w:p>
        </w:tc>
        <w:tc>
          <w:tcPr>
            <w:tcW w:w="633" w:type="dxa"/>
            <w:tcBorders>
              <w:top w:val="single" w:sz="6" w:space="0" w:color="auto"/>
              <w:left w:val="single" w:sz="6" w:space="0" w:color="auto"/>
              <w:bottom w:val="single" w:sz="6" w:space="0" w:color="auto"/>
              <w:right w:val="single" w:sz="6" w:space="0" w:color="auto"/>
            </w:tcBorders>
          </w:tcPr>
          <w:p w14:paraId="0485E39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1F788E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15D8888F"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5838FB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44</w:t>
            </w:r>
          </w:p>
        </w:tc>
        <w:tc>
          <w:tcPr>
            <w:tcW w:w="1632" w:type="dxa"/>
            <w:tcBorders>
              <w:top w:val="single" w:sz="6" w:space="0" w:color="auto"/>
              <w:left w:val="single" w:sz="6" w:space="0" w:color="auto"/>
              <w:bottom w:val="single" w:sz="6" w:space="0" w:color="auto"/>
              <w:right w:val="single" w:sz="6" w:space="0" w:color="auto"/>
            </w:tcBorders>
          </w:tcPr>
          <w:p w14:paraId="032E18E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Resslova</w:t>
            </w:r>
          </w:p>
        </w:tc>
        <w:tc>
          <w:tcPr>
            <w:tcW w:w="906" w:type="dxa"/>
            <w:tcBorders>
              <w:top w:val="single" w:sz="6" w:space="0" w:color="auto"/>
              <w:left w:val="single" w:sz="6" w:space="0" w:color="auto"/>
              <w:bottom w:val="single" w:sz="6" w:space="0" w:color="auto"/>
              <w:right w:val="single" w:sz="6" w:space="0" w:color="auto"/>
            </w:tcBorders>
          </w:tcPr>
          <w:p w14:paraId="1A7E4E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A9861F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42F45E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3D0F61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173</w:t>
            </w:r>
          </w:p>
        </w:tc>
        <w:tc>
          <w:tcPr>
            <w:tcW w:w="1556" w:type="dxa"/>
            <w:tcBorders>
              <w:top w:val="single" w:sz="6" w:space="0" w:color="auto"/>
              <w:left w:val="single" w:sz="6" w:space="0" w:color="auto"/>
              <w:bottom w:val="single" w:sz="6" w:space="0" w:color="auto"/>
              <w:right w:val="single" w:sz="6" w:space="0" w:color="auto"/>
            </w:tcBorders>
          </w:tcPr>
          <w:p w14:paraId="727DFB0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rozvod. Křešice</w:t>
            </w:r>
          </w:p>
        </w:tc>
        <w:tc>
          <w:tcPr>
            <w:tcW w:w="1193" w:type="dxa"/>
            <w:tcBorders>
              <w:top w:val="single" w:sz="6" w:space="0" w:color="auto"/>
              <w:left w:val="single" w:sz="6" w:space="0" w:color="auto"/>
              <w:bottom w:val="single" w:sz="6" w:space="0" w:color="auto"/>
              <w:right w:val="single" w:sz="6" w:space="0" w:color="auto"/>
            </w:tcBorders>
          </w:tcPr>
          <w:p w14:paraId="6614A64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413C683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4577893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55013EF5"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EFB8D8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45</w:t>
            </w:r>
          </w:p>
        </w:tc>
        <w:tc>
          <w:tcPr>
            <w:tcW w:w="1632" w:type="dxa"/>
            <w:tcBorders>
              <w:top w:val="single" w:sz="6" w:space="0" w:color="auto"/>
              <w:left w:val="single" w:sz="6" w:space="0" w:color="auto"/>
              <w:bottom w:val="single" w:sz="6" w:space="0" w:color="auto"/>
              <w:right w:val="single" w:sz="6" w:space="0" w:color="auto"/>
            </w:tcBorders>
          </w:tcPr>
          <w:p w14:paraId="0372052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Chelčického</w:t>
            </w:r>
          </w:p>
        </w:tc>
        <w:tc>
          <w:tcPr>
            <w:tcW w:w="906" w:type="dxa"/>
            <w:tcBorders>
              <w:top w:val="single" w:sz="6" w:space="0" w:color="auto"/>
              <w:left w:val="single" w:sz="6" w:space="0" w:color="auto"/>
              <w:bottom w:val="single" w:sz="6" w:space="0" w:color="auto"/>
              <w:right w:val="single" w:sz="6" w:space="0" w:color="auto"/>
            </w:tcBorders>
          </w:tcPr>
          <w:p w14:paraId="483CAC7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AB04DE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8A8A0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8349AC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174</w:t>
            </w:r>
          </w:p>
        </w:tc>
        <w:tc>
          <w:tcPr>
            <w:tcW w:w="1556" w:type="dxa"/>
            <w:tcBorders>
              <w:top w:val="single" w:sz="6" w:space="0" w:color="auto"/>
              <w:left w:val="single" w:sz="6" w:space="0" w:color="auto"/>
              <w:bottom w:val="single" w:sz="6" w:space="0" w:color="auto"/>
              <w:right w:val="single" w:sz="6" w:space="0" w:color="auto"/>
            </w:tcBorders>
          </w:tcPr>
          <w:p w14:paraId="55224C6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Motokov</w:t>
            </w:r>
          </w:p>
        </w:tc>
        <w:tc>
          <w:tcPr>
            <w:tcW w:w="1193" w:type="dxa"/>
            <w:tcBorders>
              <w:top w:val="single" w:sz="6" w:space="0" w:color="auto"/>
              <w:left w:val="single" w:sz="6" w:space="0" w:color="auto"/>
              <w:bottom w:val="single" w:sz="6" w:space="0" w:color="auto"/>
              <w:right w:val="single" w:sz="6" w:space="0" w:color="auto"/>
            </w:tcBorders>
          </w:tcPr>
          <w:p w14:paraId="1FD93D1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6C0A88D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24" w:type="dxa"/>
            <w:tcBorders>
              <w:top w:val="single" w:sz="6" w:space="0" w:color="auto"/>
              <w:left w:val="single" w:sz="6" w:space="0" w:color="auto"/>
              <w:bottom w:val="single" w:sz="6" w:space="0" w:color="auto"/>
              <w:right w:val="single" w:sz="6" w:space="0" w:color="auto"/>
            </w:tcBorders>
          </w:tcPr>
          <w:p w14:paraId="6B31150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285AE1D0"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BD90F8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46</w:t>
            </w:r>
          </w:p>
        </w:tc>
        <w:tc>
          <w:tcPr>
            <w:tcW w:w="1632" w:type="dxa"/>
            <w:tcBorders>
              <w:top w:val="single" w:sz="6" w:space="0" w:color="auto"/>
              <w:left w:val="single" w:sz="6" w:space="0" w:color="auto"/>
              <w:bottom w:val="single" w:sz="6" w:space="0" w:color="auto"/>
              <w:right w:val="single" w:sz="6" w:space="0" w:color="auto"/>
            </w:tcBorders>
          </w:tcPr>
          <w:p w14:paraId="41347AD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Dům pionýrů</w:t>
            </w:r>
          </w:p>
        </w:tc>
        <w:tc>
          <w:tcPr>
            <w:tcW w:w="906" w:type="dxa"/>
            <w:tcBorders>
              <w:top w:val="single" w:sz="6" w:space="0" w:color="auto"/>
              <w:left w:val="single" w:sz="6" w:space="0" w:color="auto"/>
              <w:bottom w:val="single" w:sz="6" w:space="0" w:color="auto"/>
              <w:right w:val="single" w:sz="6" w:space="0" w:color="auto"/>
            </w:tcBorders>
          </w:tcPr>
          <w:p w14:paraId="15586B2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C14B9F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422E6AE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9C71E3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175</w:t>
            </w:r>
          </w:p>
        </w:tc>
        <w:tc>
          <w:tcPr>
            <w:tcW w:w="1556" w:type="dxa"/>
            <w:tcBorders>
              <w:top w:val="single" w:sz="6" w:space="0" w:color="auto"/>
              <w:left w:val="single" w:sz="6" w:space="0" w:color="auto"/>
              <w:bottom w:val="single" w:sz="6" w:space="0" w:color="auto"/>
              <w:right w:val="single" w:sz="6" w:space="0" w:color="auto"/>
            </w:tcBorders>
          </w:tcPr>
          <w:p w14:paraId="36DF141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Sempra</w:t>
            </w:r>
          </w:p>
        </w:tc>
        <w:tc>
          <w:tcPr>
            <w:tcW w:w="1193" w:type="dxa"/>
            <w:tcBorders>
              <w:top w:val="single" w:sz="6" w:space="0" w:color="auto"/>
              <w:left w:val="single" w:sz="6" w:space="0" w:color="auto"/>
              <w:bottom w:val="single" w:sz="6" w:space="0" w:color="auto"/>
              <w:right w:val="single" w:sz="6" w:space="0" w:color="auto"/>
            </w:tcBorders>
          </w:tcPr>
          <w:p w14:paraId="2711EC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75ACBA4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7E734CE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26F153E3"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4195A7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47</w:t>
            </w:r>
          </w:p>
        </w:tc>
        <w:tc>
          <w:tcPr>
            <w:tcW w:w="1632" w:type="dxa"/>
            <w:tcBorders>
              <w:top w:val="single" w:sz="6" w:space="0" w:color="auto"/>
              <w:left w:val="single" w:sz="6" w:space="0" w:color="auto"/>
              <w:bottom w:val="single" w:sz="6" w:space="0" w:color="auto"/>
              <w:right w:val="single" w:sz="6" w:space="0" w:color="auto"/>
            </w:tcBorders>
          </w:tcPr>
          <w:p w14:paraId="254AA96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Řecká</w:t>
            </w:r>
          </w:p>
        </w:tc>
        <w:tc>
          <w:tcPr>
            <w:tcW w:w="906" w:type="dxa"/>
            <w:tcBorders>
              <w:top w:val="single" w:sz="6" w:space="0" w:color="auto"/>
              <w:left w:val="single" w:sz="6" w:space="0" w:color="auto"/>
              <w:bottom w:val="single" w:sz="6" w:space="0" w:color="auto"/>
              <w:right w:val="single" w:sz="6" w:space="0" w:color="auto"/>
            </w:tcBorders>
          </w:tcPr>
          <w:p w14:paraId="3C5125E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1027570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04247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9C501D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176</w:t>
            </w:r>
          </w:p>
        </w:tc>
        <w:tc>
          <w:tcPr>
            <w:tcW w:w="1556" w:type="dxa"/>
            <w:tcBorders>
              <w:top w:val="single" w:sz="6" w:space="0" w:color="auto"/>
              <w:left w:val="single" w:sz="6" w:space="0" w:color="auto"/>
              <w:bottom w:val="single" w:sz="6" w:space="0" w:color="auto"/>
              <w:right w:val="single" w:sz="6" w:space="0" w:color="auto"/>
            </w:tcBorders>
          </w:tcPr>
          <w:p w14:paraId="35E4FD0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Benar</w:t>
            </w:r>
          </w:p>
        </w:tc>
        <w:tc>
          <w:tcPr>
            <w:tcW w:w="1193" w:type="dxa"/>
            <w:tcBorders>
              <w:top w:val="single" w:sz="6" w:space="0" w:color="auto"/>
              <w:left w:val="single" w:sz="6" w:space="0" w:color="auto"/>
              <w:bottom w:val="single" w:sz="6" w:space="0" w:color="auto"/>
              <w:right w:val="single" w:sz="6" w:space="0" w:color="auto"/>
            </w:tcBorders>
          </w:tcPr>
          <w:p w14:paraId="2CCB166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0626939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ZA</w:t>
            </w:r>
          </w:p>
        </w:tc>
        <w:tc>
          <w:tcPr>
            <w:tcW w:w="724" w:type="dxa"/>
            <w:tcBorders>
              <w:top w:val="single" w:sz="6" w:space="0" w:color="auto"/>
              <w:left w:val="single" w:sz="6" w:space="0" w:color="auto"/>
              <w:bottom w:val="single" w:sz="6" w:space="0" w:color="auto"/>
              <w:right w:val="single" w:sz="6" w:space="0" w:color="auto"/>
            </w:tcBorders>
          </w:tcPr>
          <w:p w14:paraId="10F876C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686846EB"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32BE9A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48</w:t>
            </w:r>
          </w:p>
        </w:tc>
        <w:tc>
          <w:tcPr>
            <w:tcW w:w="1632" w:type="dxa"/>
            <w:tcBorders>
              <w:top w:val="single" w:sz="6" w:space="0" w:color="auto"/>
              <w:left w:val="single" w:sz="6" w:space="0" w:color="auto"/>
              <w:bottom w:val="single" w:sz="6" w:space="0" w:color="auto"/>
              <w:right w:val="single" w:sz="6" w:space="0" w:color="auto"/>
            </w:tcBorders>
          </w:tcPr>
          <w:p w14:paraId="16AFA2B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Školka SČE,Ress</w:t>
            </w:r>
          </w:p>
        </w:tc>
        <w:tc>
          <w:tcPr>
            <w:tcW w:w="906" w:type="dxa"/>
            <w:tcBorders>
              <w:top w:val="single" w:sz="6" w:space="0" w:color="auto"/>
              <w:left w:val="single" w:sz="6" w:space="0" w:color="auto"/>
              <w:bottom w:val="single" w:sz="6" w:space="0" w:color="auto"/>
              <w:right w:val="single" w:sz="6" w:space="0" w:color="auto"/>
            </w:tcBorders>
          </w:tcPr>
          <w:p w14:paraId="6B02AB7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078AB4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050964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EA2959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177</w:t>
            </w:r>
          </w:p>
        </w:tc>
        <w:tc>
          <w:tcPr>
            <w:tcW w:w="1556" w:type="dxa"/>
            <w:tcBorders>
              <w:top w:val="single" w:sz="6" w:space="0" w:color="auto"/>
              <w:left w:val="single" w:sz="6" w:space="0" w:color="auto"/>
              <w:bottom w:val="single" w:sz="6" w:space="0" w:color="auto"/>
              <w:right w:val="single" w:sz="6" w:space="0" w:color="auto"/>
            </w:tcBorders>
          </w:tcPr>
          <w:p w14:paraId="3E525DC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Pekárny</w:t>
            </w:r>
          </w:p>
        </w:tc>
        <w:tc>
          <w:tcPr>
            <w:tcW w:w="1193" w:type="dxa"/>
            <w:tcBorders>
              <w:top w:val="single" w:sz="6" w:space="0" w:color="auto"/>
              <w:left w:val="single" w:sz="6" w:space="0" w:color="auto"/>
              <w:bottom w:val="single" w:sz="6" w:space="0" w:color="auto"/>
              <w:right w:val="single" w:sz="6" w:space="0" w:color="auto"/>
            </w:tcBorders>
          </w:tcPr>
          <w:p w14:paraId="78E3BE7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540E665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ZA</w:t>
            </w:r>
          </w:p>
        </w:tc>
        <w:tc>
          <w:tcPr>
            <w:tcW w:w="724" w:type="dxa"/>
            <w:tcBorders>
              <w:top w:val="single" w:sz="6" w:space="0" w:color="auto"/>
              <w:left w:val="single" w:sz="6" w:space="0" w:color="auto"/>
              <w:bottom w:val="single" w:sz="6" w:space="0" w:color="auto"/>
              <w:right w:val="single" w:sz="6" w:space="0" w:color="auto"/>
            </w:tcBorders>
          </w:tcPr>
          <w:p w14:paraId="47782D2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38922C41"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03758F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49</w:t>
            </w:r>
          </w:p>
        </w:tc>
        <w:tc>
          <w:tcPr>
            <w:tcW w:w="1632" w:type="dxa"/>
            <w:tcBorders>
              <w:top w:val="single" w:sz="6" w:space="0" w:color="auto"/>
              <w:left w:val="single" w:sz="6" w:space="0" w:color="auto"/>
              <w:bottom w:val="single" w:sz="6" w:space="0" w:color="auto"/>
              <w:right w:val="single" w:sz="6" w:space="0" w:color="auto"/>
            </w:tcBorders>
          </w:tcPr>
          <w:p w14:paraId="501C2F9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SČE, pod.řed.</w:t>
            </w:r>
          </w:p>
        </w:tc>
        <w:tc>
          <w:tcPr>
            <w:tcW w:w="906" w:type="dxa"/>
            <w:tcBorders>
              <w:top w:val="single" w:sz="6" w:space="0" w:color="auto"/>
              <w:left w:val="single" w:sz="6" w:space="0" w:color="auto"/>
              <w:bottom w:val="single" w:sz="6" w:space="0" w:color="auto"/>
              <w:right w:val="single" w:sz="6" w:space="0" w:color="auto"/>
            </w:tcBorders>
          </w:tcPr>
          <w:p w14:paraId="645A1FF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08A74A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0AAAA7B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FF0674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178</w:t>
            </w:r>
          </w:p>
        </w:tc>
        <w:tc>
          <w:tcPr>
            <w:tcW w:w="1556" w:type="dxa"/>
            <w:tcBorders>
              <w:top w:val="single" w:sz="6" w:space="0" w:color="auto"/>
              <w:left w:val="single" w:sz="6" w:space="0" w:color="auto"/>
              <w:bottom w:val="single" w:sz="6" w:space="0" w:color="auto"/>
              <w:right w:val="single" w:sz="6" w:space="0" w:color="auto"/>
            </w:tcBorders>
          </w:tcPr>
          <w:p w14:paraId="54B7D6A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JZD</w:t>
            </w:r>
          </w:p>
        </w:tc>
        <w:tc>
          <w:tcPr>
            <w:tcW w:w="1193" w:type="dxa"/>
            <w:tcBorders>
              <w:top w:val="single" w:sz="6" w:space="0" w:color="auto"/>
              <w:left w:val="single" w:sz="6" w:space="0" w:color="auto"/>
              <w:bottom w:val="single" w:sz="6" w:space="0" w:color="auto"/>
              <w:right w:val="single" w:sz="6" w:space="0" w:color="auto"/>
            </w:tcBorders>
          </w:tcPr>
          <w:p w14:paraId="2BB3A5A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Březiny</w:t>
            </w:r>
          </w:p>
        </w:tc>
        <w:tc>
          <w:tcPr>
            <w:tcW w:w="633" w:type="dxa"/>
            <w:tcBorders>
              <w:top w:val="single" w:sz="6" w:space="0" w:color="auto"/>
              <w:left w:val="single" w:sz="6" w:space="0" w:color="auto"/>
              <w:bottom w:val="single" w:sz="6" w:space="0" w:color="auto"/>
              <w:right w:val="single" w:sz="6" w:space="0" w:color="auto"/>
            </w:tcBorders>
          </w:tcPr>
          <w:p w14:paraId="25E6ECB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2713AAF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071DAB1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AB89C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50</w:t>
            </w:r>
          </w:p>
        </w:tc>
        <w:tc>
          <w:tcPr>
            <w:tcW w:w="1632" w:type="dxa"/>
            <w:tcBorders>
              <w:top w:val="single" w:sz="6" w:space="0" w:color="auto"/>
              <w:left w:val="single" w:sz="6" w:space="0" w:color="auto"/>
              <w:bottom w:val="single" w:sz="6" w:space="0" w:color="auto"/>
              <w:right w:val="single" w:sz="6" w:space="0" w:color="auto"/>
            </w:tcBorders>
          </w:tcPr>
          <w:p w14:paraId="77620AC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Tržní</w:t>
            </w:r>
          </w:p>
        </w:tc>
        <w:tc>
          <w:tcPr>
            <w:tcW w:w="906" w:type="dxa"/>
            <w:tcBorders>
              <w:top w:val="single" w:sz="6" w:space="0" w:color="auto"/>
              <w:left w:val="single" w:sz="6" w:space="0" w:color="auto"/>
              <w:bottom w:val="single" w:sz="6" w:space="0" w:color="auto"/>
              <w:right w:val="single" w:sz="6" w:space="0" w:color="auto"/>
            </w:tcBorders>
          </w:tcPr>
          <w:p w14:paraId="0744416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08D96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2C38E0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32C79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179</w:t>
            </w:r>
          </w:p>
        </w:tc>
        <w:tc>
          <w:tcPr>
            <w:tcW w:w="1556" w:type="dxa"/>
            <w:tcBorders>
              <w:top w:val="single" w:sz="6" w:space="0" w:color="auto"/>
              <w:left w:val="single" w:sz="6" w:space="0" w:color="auto"/>
              <w:bottom w:val="single" w:sz="6" w:space="0" w:color="auto"/>
              <w:right w:val="single" w:sz="6" w:space="0" w:color="auto"/>
            </w:tcBorders>
          </w:tcPr>
          <w:p w14:paraId="2C4511E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Vulkan</w:t>
            </w:r>
            <w:r w:rsidRPr="00D42621">
              <w:rPr>
                <w:rFonts w:ascii="Arial" w:hAnsi="Arial"/>
                <w:color w:val="000000"/>
                <w:sz w:val="16"/>
                <w:szCs w:val="16"/>
                <w:lang w:eastAsia="cs-CZ"/>
              </w:rPr>
              <w:t>, lesy</w:t>
            </w:r>
          </w:p>
        </w:tc>
        <w:tc>
          <w:tcPr>
            <w:tcW w:w="1193" w:type="dxa"/>
            <w:tcBorders>
              <w:top w:val="single" w:sz="6" w:space="0" w:color="auto"/>
              <w:left w:val="single" w:sz="6" w:space="0" w:color="auto"/>
              <w:bottom w:val="single" w:sz="6" w:space="0" w:color="auto"/>
              <w:right w:val="single" w:sz="6" w:space="0" w:color="auto"/>
            </w:tcBorders>
          </w:tcPr>
          <w:p w14:paraId="70CDABC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1D42F23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ZA</w:t>
            </w:r>
          </w:p>
        </w:tc>
        <w:tc>
          <w:tcPr>
            <w:tcW w:w="724" w:type="dxa"/>
            <w:tcBorders>
              <w:top w:val="single" w:sz="6" w:space="0" w:color="auto"/>
              <w:left w:val="single" w:sz="6" w:space="0" w:color="auto"/>
              <w:bottom w:val="single" w:sz="6" w:space="0" w:color="auto"/>
              <w:right w:val="single" w:sz="6" w:space="0" w:color="auto"/>
            </w:tcBorders>
          </w:tcPr>
          <w:p w14:paraId="2C52FF6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2ACE36E6"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839C84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51</w:t>
            </w:r>
          </w:p>
        </w:tc>
        <w:tc>
          <w:tcPr>
            <w:tcW w:w="1632" w:type="dxa"/>
            <w:tcBorders>
              <w:top w:val="single" w:sz="6" w:space="0" w:color="auto"/>
              <w:left w:val="single" w:sz="6" w:space="0" w:color="auto"/>
              <w:bottom w:val="single" w:sz="6" w:space="0" w:color="auto"/>
              <w:right w:val="single" w:sz="6" w:space="0" w:color="auto"/>
            </w:tcBorders>
          </w:tcPr>
          <w:p w14:paraId="7BC44E3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VPS</w:t>
            </w:r>
          </w:p>
        </w:tc>
        <w:tc>
          <w:tcPr>
            <w:tcW w:w="906" w:type="dxa"/>
            <w:tcBorders>
              <w:top w:val="single" w:sz="6" w:space="0" w:color="auto"/>
              <w:left w:val="single" w:sz="6" w:space="0" w:color="auto"/>
              <w:bottom w:val="single" w:sz="6" w:space="0" w:color="auto"/>
              <w:right w:val="single" w:sz="6" w:space="0" w:color="auto"/>
            </w:tcBorders>
          </w:tcPr>
          <w:p w14:paraId="34F95D5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D7E7F7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8EDB0A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19FEDF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180</w:t>
            </w:r>
          </w:p>
        </w:tc>
        <w:tc>
          <w:tcPr>
            <w:tcW w:w="1556" w:type="dxa"/>
            <w:tcBorders>
              <w:top w:val="single" w:sz="6" w:space="0" w:color="auto"/>
              <w:left w:val="single" w:sz="6" w:space="0" w:color="auto"/>
              <w:bottom w:val="single" w:sz="6" w:space="0" w:color="auto"/>
              <w:right w:val="single" w:sz="6" w:space="0" w:color="auto"/>
            </w:tcBorders>
          </w:tcPr>
          <w:p w14:paraId="5F79B02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Nářadí</w:t>
            </w:r>
            <w:r w:rsidRPr="00D42621">
              <w:rPr>
                <w:rFonts w:ascii="Arial" w:hAnsi="Arial"/>
                <w:color w:val="000000"/>
                <w:sz w:val="16"/>
                <w:szCs w:val="16"/>
                <w:lang w:eastAsia="cs-CZ"/>
              </w:rPr>
              <w:t>, Krokova</w:t>
            </w:r>
          </w:p>
        </w:tc>
        <w:tc>
          <w:tcPr>
            <w:tcW w:w="1193" w:type="dxa"/>
            <w:tcBorders>
              <w:top w:val="single" w:sz="6" w:space="0" w:color="auto"/>
              <w:left w:val="single" w:sz="6" w:space="0" w:color="auto"/>
              <w:bottom w:val="single" w:sz="6" w:space="0" w:color="auto"/>
              <w:right w:val="single" w:sz="6" w:space="0" w:color="auto"/>
            </w:tcBorders>
          </w:tcPr>
          <w:p w14:paraId="5A68305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6A1482A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2FE622B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5A7E27AD"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441CD16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52</w:t>
            </w:r>
          </w:p>
        </w:tc>
        <w:tc>
          <w:tcPr>
            <w:tcW w:w="1632" w:type="dxa"/>
            <w:tcBorders>
              <w:top w:val="single" w:sz="6" w:space="0" w:color="auto"/>
              <w:left w:val="single" w:sz="6" w:space="0" w:color="auto"/>
              <w:bottom w:val="single" w:sz="6" w:space="0" w:color="auto"/>
              <w:right w:val="single" w:sz="6" w:space="0" w:color="auto"/>
            </w:tcBorders>
          </w:tcPr>
          <w:p w14:paraId="209AFB1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Raisova</w:t>
            </w:r>
          </w:p>
        </w:tc>
        <w:tc>
          <w:tcPr>
            <w:tcW w:w="906" w:type="dxa"/>
            <w:tcBorders>
              <w:top w:val="single" w:sz="6" w:space="0" w:color="auto"/>
              <w:left w:val="single" w:sz="6" w:space="0" w:color="auto"/>
              <w:bottom w:val="single" w:sz="6" w:space="0" w:color="auto"/>
              <w:right w:val="single" w:sz="6" w:space="0" w:color="auto"/>
            </w:tcBorders>
          </w:tcPr>
          <w:p w14:paraId="749F9FE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AC67F7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C14DF8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7D136E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181</w:t>
            </w:r>
          </w:p>
        </w:tc>
        <w:tc>
          <w:tcPr>
            <w:tcW w:w="1556" w:type="dxa"/>
            <w:tcBorders>
              <w:top w:val="single" w:sz="6" w:space="0" w:color="auto"/>
              <w:left w:val="single" w:sz="6" w:space="0" w:color="auto"/>
              <w:bottom w:val="single" w:sz="6" w:space="0" w:color="auto"/>
              <w:right w:val="single" w:sz="6" w:space="0" w:color="auto"/>
            </w:tcBorders>
          </w:tcPr>
          <w:p w14:paraId="60353B5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Libverda,skleníky</w:t>
            </w:r>
          </w:p>
        </w:tc>
        <w:tc>
          <w:tcPr>
            <w:tcW w:w="1193" w:type="dxa"/>
            <w:tcBorders>
              <w:top w:val="single" w:sz="6" w:space="0" w:color="auto"/>
              <w:left w:val="single" w:sz="6" w:space="0" w:color="auto"/>
              <w:bottom w:val="single" w:sz="6" w:space="0" w:color="auto"/>
              <w:right w:val="single" w:sz="6" w:space="0" w:color="auto"/>
            </w:tcBorders>
          </w:tcPr>
          <w:p w14:paraId="7531CA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12307BD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690AB2E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154141E0"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4C4F6E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53</w:t>
            </w:r>
          </w:p>
        </w:tc>
        <w:tc>
          <w:tcPr>
            <w:tcW w:w="1632" w:type="dxa"/>
            <w:tcBorders>
              <w:top w:val="single" w:sz="6" w:space="0" w:color="auto"/>
              <w:left w:val="single" w:sz="6" w:space="0" w:color="auto"/>
              <w:bottom w:val="single" w:sz="6" w:space="0" w:color="auto"/>
              <w:right w:val="single" w:sz="6" w:space="0" w:color="auto"/>
            </w:tcBorders>
          </w:tcPr>
          <w:p w14:paraId="0341F59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Slovanská</w:t>
            </w:r>
          </w:p>
        </w:tc>
        <w:tc>
          <w:tcPr>
            <w:tcW w:w="906" w:type="dxa"/>
            <w:tcBorders>
              <w:top w:val="single" w:sz="6" w:space="0" w:color="auto"/>
              <w:left w:val="single" w:sz="6" w:space="0" w:color="auto"/>
              <w:bottom w:val="single" w:sz="6" w:space="0" w:color="auto"/>
              <w:right w:val="single" w:sz="6" w:space="0" w:color="auto"/>
            </w:tcBorders>
          </w:tcPr>
          <w:p w14:paraId="1476346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15C5623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0566A3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E35B8B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182</w:t>
            </w:r>
          </w:p>
        </w:tc>
        <w:tc>
          <w:tcPr>
            <w:tcW w:w="1556" w:type="dxa"/>
            <w:tcBorders>
              <w:top w:val="single" w:sz="6" w:space="0" w:color="auto"/>
              <w:left w:val="single" w:sz="6" w:space="0" w:color="auto"/>
              <w:bottom w:val="single" w:sz="6" w:space="0" w:color="auto"/>
              <w:right w:val="single" w:sz="6" w:space="0" w:color="auto"/>
            </w:tcBorders>
          </w:tcPr>
          <w:p w14:paraId="0DFB29A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Horní</w:t>
            </w:r>
          </w:p>
        </w:tc>
        <w:tc>
          <w:tcPr>
            <w:tcW w:w="1193" w:type="dxa"/>
            <w:tcBorders>
              <w:top w:val="single" w:sz="6" w:space="0" w:color="auto"/>
              <w:left w:val="single" w:sz="6" w:space="0" w:color="auto"/>
              <w:bottom w:val="single" w:sz="6" w:space="0" w:color="auto"/>
              <w:right w:val="single" w:sz="6" w:space="0" w:color="auto"/>
            </w:tcBorders>
          </w:tcPr>
          <w:p w14:paraId="777AC7B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Březiny</w:t>
            </w:r>
          </w:p>
        </w:tc>
        <w:tc>
          <w:tcPr>
            <w:tcW w:w="633" w:type="dxa"/>
            <w:tcBorders>
              <w:top w:val="single" w:sz="6" w:space="0" w:color="auto"/>
              <w:left w:val="single" w:sz="6" w:space="0" w:color="auto"/>
              <w:bottom w:val="single" w:sz="6" w:space="0" w:color="auto"/>
              <w:right w:val="single" w:sz="6" w:space="0" w:color="auto"/>
            </w:tcBorders>
          </w:tcPr>
          <w:p w14:paraId="3C4C603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5914FD2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427D6632"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0388ED6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54</w:t>
            </w:r>
          </w:p>
        </w:tc>
        <w:tc>
          <w:tcPr>
            <w:tcW w:w="1632" w:type="dxa"/>
            <w:tcBorders>
              <w:top w:val="single" w:sz="6" w:space="0" w:color="auto"/>
              <w:left w:val="single" w:sz="6" w:space="0" w:color="auto"/>
              <w:bottom w:val="single" w:sz="6" w:space="0" w:color="auto"/>
              <w:right w:val="single" w:sz="6" w:space="0" w:color="auto"/>
            </w:tcBorders>
          </w:tcPr>
          <w:p w14:paraId="3707E5F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Pivovar</w:t>
            </w:r>
          </w:p>
        </w:tc>
        <w:tc>
          <w:tcPr>
            <w:tcW w:w="906" w:type="dxa"/>
            <w:tcBorders>
              <w:top w:val="single" w:sz="6" w:space="0" w:color="auto"/>
              <w:left w:val="single" w:sz="6" w:space="0" w:color="auto"/>
              <w:bottom w:val="single" w:sz="6" w:space="0" w:color="auto"/>
              <w:right w:val="single" w:sz="6" w:space="0" w:color="auto"/>
            </w:tcBorders>
          </w:tcPr>
          <w:p w14:paraId="450D863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32E2341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2AF4F68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2A1636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183</w:t>
            </w:r>
          </w:p>
        </w:tc>
        <w:tc>
          <w:tcPr>
            <w:tcW w:w="1556" w:type="dxa"/>
            <w:tcBorders>
              <w:top w:val="single" w:sz="6" w:space="0" w:color="auto"/>
              <w:left w:val="single" w:sz="6" w:space="0" w:color="auto"/>
              <w:bottom w:val="single" w:sz="6" w:space="0" w:color="auto"/>
              <w:right w:val="single" w:sz="6" w:space="0" w:color="auto"/>
            </w:tcBorders>
          </w:tcPr>
          <w:p w14:paraId="546FCE5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Krmiva</w:t>
            </w:r>
          </w:p>
        </w:tc>
        <w:tc>
          <w:tcPr>
            <w:tcW w:w="1193" w:type="dxa"/>
            <w:tcBorders>
              <w:top w:val="single" w:sz="6" w:space="0" w:color="auto"/>
              <w:left w:val="single" w:sz="6" w:space="0" w:color="auto"/>
              <w:bottom w:val="single" w:sz="6" w:space="0" w:color="auto"/>
              <w:right w:val="single" w:sz="6" w:space="0" w:color="auto"/>
            </w:tcBorders>
          </w:tcPr>
          <w:p w14:paraId="604B00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Březiny</w:t>
            </w:r>
          </w:p>
        </w:tc>
        <w:tc>
          <w:tcPr>
            <w:tcW w:w="633" w:type="dxa"/>
            <w:tcBorders>
              <w:top w:val="single" w:sz="6" w:space="0" w:color="auto"/>
              <w:left w:val="single" w:sz="6" w:space="0" w:color="auto"/>
              <w:bottom w:val="single" w:sz="6" w:space="0" w:color="auto"/>
              <w:right w:val="single" w:sz="6" w:space="0" w:color="auto"/>
            </w:tcBorders>
          </w:tcPr>
          <w:p w14:paraId="385CFB6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SL</w:t>
            </w:r>
          </w:p>
        </w:tc>
        <w:tc>
          <w:tcPr>
            <w:tcW w:w="724" w:type="dxa"/>
            <w:tcBorders>
              <w:top w:val="single" w:sz="6" w:space="0" w:color="auto"/>
              <w:left w:val="single" w:sz="6" w:space="0" w:color="auto"/>
              <w:bottom w:val="single" w:sz="6" w:space="0" w:color="auto"/>
              <w:right w:val="single" w:sz="6" w:space="0" w:color="auto"/>
            </w:tcBorders>
          </w:tcPr>
          <w:p w14:paraId="62250D5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251CCC20"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FC670B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55</w:t>
            </w:r>
          </w:p>
        </w:tc>
        <w:tc>
          <w:tcPr>
            <w:tcW w:w="1632" w:type="dxa"/>
            <w:tcBorders>
              <w:top w:val="single" w:sz="6" w:space="0" w:color="auto"/>
              <w:left w:val="single" w:sz="6" w:space="0" w:color="auto"/>
              <w:bottom w:val="single" w:sz="6" w:space="0" w:color="auto"/>
              <w:right w:val="single" w:sz="6" w:space="0" w:color="auto"/>
            </w:tcBorders>
          </w:tcPr>
          <w:p w14:paraId="5ADF138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Varšavská</w:t>
            </w:r>
          </w:p>
        </w:tc>
        <w:tc>
          <w:tcPr>
            <w:tcW w:w="906" w:type="dxa"/>
            <w:tcBorders>
              <w:top w:val="single" w:sz="6" w:space="0" w:color="auto"/>
              <w:left w:val="single" w:sz="6" w:space="0" w:color="auto"/>
              <w:bottom w:val="single" w:sz="6" w:space="0" w:color="auto"/>
              <w:right w:val="single" w:sz="6" w:space="0" w:color="auto"/>
            </w:tcBorders>
          </w:tcPr>
          <w:p w14:paraId="3AFD870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B31CE9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0D04A4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1BE7F8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184</w:t>
            </w:r>
          </w:p>
        </w:tc>
        <w:tc>
          <w:tcPr>
            <w:tcW w:w="1556" w:type="dxa"/>
            <w:tcBorders>
              <w:top w:val="single" w:sz="6" w:space="0" w:color="auto"/>
              <w:left w:val="single" w:sz="6" w:space="0" w:color="auto"/>
              <w:bottom w:val="single" w:sz="6" w:space="0" w:color="auto"/>
              <w:right w:val="single" w:sz="6" w:space="0" w:color="auto"/>
            </w:tcBorders>
          </w:tcPr>
          <w:p w14:paraId="4430246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samoobsluhy</w:t>
            </w:r>
          </w:p>
        </w:tc>
        <w:tc>
          <w:tcPr>
            <w:tcW w:w="1193" w:type="dxa"/>
            <w:tcBorders>
              <w:top w:val="single" w:sz="6" w:space="0" w:color="auto"/>
              <w:left w:val="single" w:sz="6" w:space="0" w:color="auto"/>
              <w:bottom w:val="single" w:sz="6" w:space="0" w:color="auto"/>
              <w:right w:val="single" w:sz="6" w:space="0" w:color="auto"/>
            </w:tcBorders>
          </w:tcPr>
          <w:p w14:paraId="05F2727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Březiny</w:t>
            </w:r>
          </w:p>
        </w:tc>
        <w:tc>
          <w:tcPr>
            <w:tcW w:w="633" w:type="dxa"/>
            <w:tcBorders>
              <w:top w:val="single" w:sz="6" w:space="0" w:color="auto"/>
              <w:left w:val="single" w:sz="6" w:space="0" w:color="auto"/>
              <w:bottom w:val="single" w:sz="6" w:space="0" w:color="auto"/>
              <w:right w:val="single" w:sz="6" w:space="0" w:color="auto"/>
            </w:tcBorders>
          </w:tcPr>
          <w:p w14:paraId="411F20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6220F3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588AD199"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CCFC0D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56</w:t>
            </w:r>
          </w:p>
        </w:tc>
        <w:tc>
          <w:tcPr>
            <w:tcW w:w="1632" w:type="dxa"/>
            <w:tcBorders>
              <w:top w:val="single" w:sz="6" w:space="0" w:color="auto"/>
              <w:left w:val="single" w:sz="6" w:space="0" w:color="auto"/>
              <w:bottom w:val="single" w:sz="6" w:space="0" w:color="auto"/>
              <w:right w:val="single" w:sz="6" w:space="0" w:color="auto"/>
            </w:tcBorders>
          </w:tcPr>
          <w:p w14:paraId="2926C4F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Kablo</w:t>
            </w:r>
            <w:r w:rsidRPr="00D42621">
              <w:rPr>
                <w:rFonts w:ascii="Arial" w:hAnsi="Arial"/>
                <w:color w:val="000000"/>
                <w:sz w:val="16"/>
                <w:szCs w:val="16"/>
                <w:lang w:eastAsia="cs-CZ"/>
              </w:rPr>
              <w:t>, školka</w:t>
            </w:r>
          </w:p>
        </w:tc>
        <w:tc>
          <w:tcPr>
            <w:tcW w:w="906" w:type="dxa"/>
            <w:tcBorders>
              <w:top w:val="single" w:sz="6" w:space="0" w:color="auto"/>
              <w:left w:val="single" w:sz="6" w:space="0" w:color="auto"/>
              <w:bottom w:val="single" w:sz="6" w:space="0" w:color="auto"/>
              <w:right w:val="single" w:sz="6" w:space="0" w:color="auto"/>
            </w:tcBorders>
          </w:tcPr>
          <w:p w14:paraId="4F5DFF2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413794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A2166E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E755C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185</w:t>
            </w:r>
          </w:p>
        </w:tc>
        <w:tc>
          <w:tcPr>
            <w:tcW w:w="1556" w:type="dxa"/>
            <w:tcBorders>
              <w:top w:val="single" w:sz="6" w:space="0" w:color="auto"/>
              <w:left w:val="single" w:sz="6" w:space="0" w:color="auto"/>
              <w:bottom w:val="single" w:sz="6" w:space="0" w:color="auto"/>
              <w:right w:val="single" w:sz="6" w:space="0" w:color="auto"/>
            </w:tcBorders>
          </w:tcPr>
          <w:p w14:paraId="077A9BA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Sídliště</w:t>
            </w:r>
          </w:p>
        </w:tc>
        <w:tc>
          <w:tcPr>
            <w:tcW w:w="1193" w:type="dxa"/>
            <w:tcBorders>
              <w:top w:val="single" w:sz="6" w:space="0" w:color="auto"/>
              <w:left w:val="single" w:sz="6" w:space="0" w:color="auto"/>
              <w:bottom w:val="single" w:sz="6" w:space="0" w:color="auto"/>
              <w:right w:val="single" w:sz="6" w:space="0" w:color="auto"/>
            </w:tcBorders>
          </w:tcPr>
          <w:p w14:paraId="05B15DC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Březiny</w:t>
            </w:r>
          </w:p>
        </w:tc>
        <w:tc>
          <w:tcPr>
            <w:tcW w:w="633" w:type="dxa"/>
            <w:tcBorders>
              <w:top w:val="single" w:sz="6" w:space="0" w:color="auto"/>
              <w:left w:val="single" w:sz="6" w:space="0" w:color="auto"/>
              <w:bottom w:val="single" w:sz="6" w:space="0" w:color="auto"/>
              <w:right w:val="single" w:sz="6" w:space="0" w:color="auto"/>
            </w:tcBorders>
          </w:tcPr>
          <w:p w14:paraId="0067A9E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31</w:t>
            </w:r>
          </w:p>
        </w:tc>
        <w:tc>
          <w:tcPr>
            <w:tcW w:w="724" w:type="dxa"/>
            <w:tcBorders>
              <w:top w:val="single" w:sz="6" w:space="0" w:color="auto"/>
              <w:left w:val="single" w:sz="6" w:space="0" w:color="auto"/>
              <w:bottom w:val="single" w:sz="6" w:space="0" w:color="auto"/>
              <w:right w:val="single" w:sz="6" w:space="0" w:color="auto"/>
            </w:tcBorders>
          </w:tcPr>
          <w:p w14:paraId="23ED0F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2CD46BF8"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097B26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57</w:t>
            </w:r>
          </w:p>
        </w:tc>
        <w:tc>
          <w:tcPr>
            <w:tcW w:w="1632" w:type="dxa"/>
            <w:tcBorders>
              <w:top w:val="single" w:sz="6" w:space="0" w:color="auto"/>
              <w:left w:val="single" w:sz="6" w:space="0" w:color="auto"/>
              <w:bottom w:val="single" w:sz="6" w:space="0" w:color="auto"/>
              <w:right w:val="single" w:sz="6" w:space="0" w:color="auto"/>
            </w:tcBorders>
          </w:tcPr>
          <w:p w14:paraId="36A3C86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Na stráni</w:t>
            </w:r>
          </w:p>
        </w:tc>
        <w:tc>
          <w:tcPr>
            <w:tcW w:w="906" w:type="dxa"/>
            <w:tcBorders>
              <w:top w:val="single" w:sz="6" w:space="0" w:color="auto"/>
              <w:left w:val="single" w:sz="6" w:space="0" w:color="auto"/>
              <w:bottom w:val="single" w:sz="6" w:space="0" w:color="auto"/>
              <w:right w:val="single" w:sz="6" w:space="0" w:color="auto"/>
            </w:tcBorders>
          </w:tcPr>
          <w:p w14:paraId="444BC69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A0FAC3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64F57E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CEC3E8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186</w:t>
            </w:r>
          </w:p>
        </w:tc>
        <w:tc>
          <w:tcPr>
            <w:tcW w:w="1556" w:type="dxa"/>
            <w:tcBorders>
              <w:top w:val="single" w:sz="6" w:space="0" w:color="auto"/>
              <w:left w:val="single" w:sz="6" w:space="0" w:color="auto"/>
              <w:bottom w:val="single" w:sz="6" w:space="0" w:color="auto"/>
              <w:right w:val="single" w:sz="6" w:space="0" w:color="auto"/>
            </w:tcBorders>
          </w:tcPr>
          <w:p w14:paraId="2E2722A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 xml:space="preserve">Bytovky </w:t>
            </w:r>
            <w:r w:rsidRPr="00D42621">
              <w:rPr>
                <w:rFonts w:ascii="Arial" w:hAnsi="Arial"/>
                <w:caps/>
                <w:color w:val="000000"/>
                <w:sz w:val="16"/>
                <w:szCs w:val="16"/>
                <w:lang w:eastAsia="cs-CZ"/>
              </w:rPr>
              <w:t>Ferox</w:t>
            </w:r>
          </w:p>
        </w:tc>
        <w:tc>
          <w:tcPr>
            <w:tcW w:w="1193" w:type="dxa"/>
            <w:tcBorders>
              <w:top w:val="single" w:sz="6" w:space="0" w:color="auto"/>
              <w:left w:val="single" w:sz="6" w:space="0" w:color="auto"/>
              <w:bottom w:val="single" w:sz="6" w:space="0" w:color="auto"/>
              <w:right w:val="single" w:sz="6" w:space="0" w:color="auto"/>
            </w:tcBorders>
          </w:tcPr>
          <w:p w14:paraId="2E68115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Březiny</w:t>
            </w:r>
          </w:p>
        </w:tc>
        <w:tc>
          <w:tcPr>
            <w:tcW w:w="633" w:type="dxa"/>
            <w:tcBorders>
              <w:top w:val="single" w:sz="6" w:space="0" w:color="auto"/>
              <w:left w:val="single" w:sz="6" w:space="0" w:color="auto"/>
              <w:bottom w:val="single" w:sz="6" w:space="0" w:color="auto"/>
              <w:right w:val="single" w:sz="6" w:space="0" w:color="auto"/>
            </w:tcBorders>
          </w:tcPr>
          <w:p w14:paraId="696E1FC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40C6FC9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75DBB0E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C3ED76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58</w:t>
            </w:r>
          </w:p>
        </w:tc>
        <w:tc>
          <w:tcPr>
            <w:tcW w:w="1632" w:type="dxa"/>
            <w:tcBorders>
              <w:top w:val="single" w:sz="6" w:space="0" w:color="auto"/>
              <w:left w:val="single" w:sz="6" w:space="0" w:color="auto"/>
              <w:bottom w:val="single" w:sz="6" w:space="0" w:color="auto"/>
              <w:right w:val="single" w:sz="6" w:space="0" w:color="auto"/>
            </w:tcBorders>
          </w:tcPr>
          <w:p w14:paraId="41DA106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Jiráskova</w:t>
            </w:r>
          </w:p>
        </w:tc>
        <w:tc>
          <w:tcPr>
            <w:tcW w:w="906" w:type="dxa"/>
            <w:tcBorders>
              <w:top w:val="single" w:sz="6" w:space="0" w:color="auto"/>
              <w:left w:val="single" w:sz="6" w:space="0" w:color="auto"/>
              <w:bottom w:val="single" w:sz="6" w:space="0" w:color="auto"/>
              <w:right w:val="single" w:sz="6" w:space="0" w:color="auto"/>
            </w:tcBorders>
          </w:tcPr>
          <w:p w14:paraId="65B47A5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7C7230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0D982DF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22950A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187</w:t>
            </w:r>
          </w:p>
        </w:tc>
        <w:tc>
          <w:tcPr>
            <w:tcW w:w="1556" w:type="dxa"/>
            <w:tcBorders>
              <w:top w:val="single" w:sz="6" w:space="0" w:color="auto"/>
              <w:left w:val="single" w:sz="6" w:space="0" w:color="auto"/>
              <w:bottom w:val="single" w:sz="6" w:space="0" w:color="auto"/>
              <w:right w:val="single" w:sz="6" w:space="0" w:color="auto"/>
            </w:tcBorders>
          </w:tcPr>
          <w:p w14:paraId="2608C9C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školy</w:t>
            </w:r>
          </w:p>
        </w:tc>
        <w:tc>
          <w:tcPr>
            <w:tcW w:w="1193" w:type="dxa"/>
            <w:tcBorders>
              <w:top w:val="single" w:sz="6" w:space="0" w:color="auto"/>
              <w:left w:val="single" w:sz="6" w:space="0" w:color="auto"/>
              <w:bottom w:val="single" w:sz="6" w:space="0" w:color="auto"/>
              <w:right w:val="single" w:sz="6" w:space="0" w:color="auto"/>
            </w:tcBorders>
          </w:tcPr>
          <w:p w14:paraId="3A3285D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Březiny</w:t>
            </w:r>
          </w:p>
        </w:tc>
        <w:tc>
          <w:tcPr>
            <w:tcW w:w="633" w:type="dxa"/>
            <w:tcBorders>
              <w:top w:val="single" w:sz="6" w:space="0" w:color="auto"/>
              <w:left w:val="single" w:sz="6" w:space="0" w:color="auto"/>
              <w:bottom w:val="single" w:sz="6" w:space="0" w:color="auto"/>
              <w:right w:val="single" w:sz="6" w:space="0" w:color="auto"/>
            </w:tcBorders>
          </w:tcPr>
          <w:p w14:paraId="3F45E7D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77DD0A2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6BD50488"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081F021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59</w:t>
            </w:r>
          </w:p>
        </w:tc>
        <w:tc>
          <w:tcPr>
            <w:tcW w:w="1632" w:type="dxa"/>
            <w:tcBorders>
              <w:top w:val="single" w:sz="6" w:space="0" w:color="auto"/>
              <w:left w:val="single" w:sz="6" w:space="0" w:color="auto"/>
              <w:bottom w:val="single" w:sz="6" w:space="0" w:color="auto"/>
              <w:right w:val="single" w:sz="6" w:space="0" w:color="auto"/>
            </w:tcBorders>
          </w:tcPr>
          <w:p w14:paraId="28A0C4D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Klostrmanova</w:t>
            </w:r>
          </w:p>
        </w:tc>
        <w:tc>
          <w:tcPr>
            <w:tcW w:w="906" w:type="dxa"/>
            <w:tcBorders>
              <w:top w:val="single" w:sz="6" w:space="0" w:color="auto"/>
              <w:left w:val="single" w:sz="6" w:space="0" w:color="auto"/>
              <w:bottom w:val="single" w:sz="6" w:space="0" w:color="auto"/>
              <w:right w:val="single" w:sz="6" w:space="0" w:color="auto"/>
            </w:tcBorders>
          </w:tcPr>
          <w:p w14:paraId="3AAB34D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5169DF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FB76E6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B13B63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188</w:t>
            </w:r>
          </w:p>
        </w:tc>
        <w:tc>
          <w:tcPr>
            <w:tcW w:w="1556" w:type="dxa"/>
            <w:tcBorders>
              <w:top w:val="single" w:sz="6" w:space="0" w:color="auto"/>
              <w:left w:val="single" w:sz="6" w:space="0" w:color="auto"/>
              <w:bottom w:val="single" w:sz="6" w:space="0" w:color="auto"/>
              <w:right w:val="single" w:sz="6" w:space="0" w:color="auto"/>
            </w:tcBorders>
          </w:tcPr>
          <w:p w14:paraId="5E434B4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56ABCC1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Bechlejovice</w:t>
            </w:r>
          </w:p>
        </w:tc>
        <w:tc>
          <w:tcPr>
            <w:tcW w:w="633" w:type="dxa"/>
            <w:tcBorders>
              <w:top w:val="single" w:sz="6" w:space="0" w:color="auto"/>
              <w:left w:val="single" w:sz="6" w:space="0" w:color="auto"/>
              <w:bottom w:val="single" w:sz="6" w:space="0" w:color="auto"/>
              <w:right w:val="single" w:sz="6" w:space="0" w:color="auto"/>
            </w:tcBorders>
          </w:tcPr>
          <w:p w14:paraId="17C089E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5076778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67D7292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61BCAF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60</w:t>
            </w:r>
          </w:p>
        </w:tc>
        <w:tc>
          <w:tcPr>
            <w:tcW w:w="1632" w:type="dxa"/>
            <w:tcBorders>
              <w:top w:val="single" w:sz="6" w:space="0" w:color="auto"/>
              <w:left w:val="single" w:sz="6" w:space="0" w:color="auto"/>
              <w:bottom w:val="single" w:sz="6" w:space="0" w:color="auto"/>
              <w:right w:val="single" w:sz="6" w:space="0" w:color="auto"/>
            </w:tcBorders>
          </w:tcPr>
          <w:p w14:paraId="534665C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Třebovka</w:t>
            </w:r>
          </w:p>
        </w:tc>
        <w:tc>
          <w:tcPr>
            <w:tcW w:w="906" w:type="dxa"/>
            <w:tcBorders>
              <w:top w:val="single" w:sz="6" w:space="0" w:color="auto"/>
              <w:left w:val="single" w:sz="6" w:space="0" w:color="auto"/>
              <w:bottom w:val="single" w:sz="6" w:space="0" w:color="auto"/>
              <w:right w:val="single" w:sz="6" w:space="0" w:color="auto"/>
            </w:tcBorders>
          </w:tcPr>
          <w:p w14:paraId="4EBB93C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D2034C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279450D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FEF011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189</w:t>
            </w:r>
          </w:p>
        </w:tc>
        <w:tc>
          <w:tcPr>
            <w:tcW w:w="1556" w:type="dxa"/>
            <w:tcBorders>
              <w:top w:val="single" w:sz="6" w:space="0" w:color="auto"/>
              <w:left w:val="single" w:sz="6" w:space="0" w:color="auto"/>
              <w:bottom w:val="single" w:sz="6" w:space="0" w:color="auto"/>
              <w:right w:val="single" w:sz="6" w:space="0" w:color="auto"/>
            </w:tcBorders>
          </w:tcPr>
          <w:p w14:paraId="0F09517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7386AC4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Bechlejovice</w:t>
            </w:r>
          </w:p>
        </w:tc>
        <w:tc>
          <w:tcPr>
            <w:tcW w:w="633" w:type="dxa"/>
            <w:tcBorders>
              <w:top w:val="single" w:sz="6" w:space="0" w:color="auto"/>
              <w:left w:val="single" w:sz="6" w:space="0" w:color="auto"/>
              <w:bottom w:val="single" w:sz="6" w:space="0" w:color="auto"/>
              <w:right w:val="single" w:sz="6" w:space="0" w:color="auto"/>
            </w:tcBorders>
          </w:tcPr>
          <w:p w14:paraId="108BF12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63AFBC4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48099D48"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445318A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61</w:t>
            </w:r>
          </w:p>
        </w:tc>
        <w:tc>
          <w:tcPr>
            <w:tcW w:w="1632" w:type="dxa"/>
            <w:tcBorders>
              <w:top w:val="single" w:sz="6" w:space="0" w:color="auto"/>
              <w:left w:val="single" w:sz="6" w:space="0" w:color="auto"/>
              <w:bottom w:val="single" w:sz="6" w:space="0" w:color="auto"/>
              <w:right w:val="single" w:sz="6" w:space="0" w:color="auto"/>
            </w:tcBorders>
          </w:tcPr>
          <w:p w14:paraId="42E4D9A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kaple</w:t>
            </w:r>
          </w:p>
        </w:tc>
        <w:tc>
          <w:tcPr>
            <w:tcW w:w="906" w:type="dxa"/>
            <w:tcBorders>
              <w:top w:val="single" w:sz="6" w:space="0" w:color="auto"/>
              <w:left w:val="single" w:sz="6" w:space="0" w:color="auto"/>
              <w:bottom w:val="single" w:sz="6" w:space="0" w:color="auto"/>
              <w:right w:val="single" w:sz="6" w:space="0" w:color="auto"/>
            </w:tcBorders>
          </w:tcPr>
          <w:p w14:paraId="607F2E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A1FBD6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7EB2D1B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D235E0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190</w:t>
            </w:r>
          </w:p>
        </w:tc>
        <w:tc>
          <w:tcPr>
            <w:tcW w:w="1556" w:type="dxa"/>
            <w:tcBorders>
              <w:top w:val="single" w:sz="6" w:space="0" w:color="auto"/>
              <w:left w:val="single" w:sz="6" w:space="0" w:color="auto"/>
              <w:bottom w:val="single" w:sz="6" w:space="0" w:color="auto"/>
              <w:right w:val="single" w:sz="6" w:space="0" w:color="auto"/>
            </w:tcBorders>
          </w:tcPr>
          <w:p w14:paraId="40D9F2A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Jirkala</w:t>
            </w:r>
          </w:p>
        </w:tc>
        <w:tc>
          <w:tcPr>
            <w:tcW w:w="1193" w:type="dxa"/>
            <w:tcBorders>
              <w:top w:val="single" w:sz="6" w:space="0" w:color="auto"/>
              <w:left w:val="single" w:sz="6" w:space="0" w:color="auto"/>
              <w:bottom w:val="single" w:sz="6" w:space="0" w:color="auto"/>
              <w:right w:val="single" w:sz="6" w:space="0" w:color="auto"/>
            </w:tcBorders>
          </w:tcPr>
          <w:p w14:paraId="043EC38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Březiny</w:t>
            </w:r>
          </w:p>
        </w:tc>
        <w:tc>
          <w:tcPr>
            <w:tcW w:w="633" w:type="dxa"/>
            <w:tcBorders>
              <w:top w:val="single" w:sz="6" w:space="0" w:color="auto"/>
              <w:left w:val="single" w:sz="6" w:space="0" w:color="auto"/>
              <w:bottom w:val="single" w:sz="6" w:space="0" w:color="auto"/>
              <w:right w:val="single" w:sz="6" w:space="0" w:color="auto"/>
            </w:tcBorders>
          </w:tcPr>
          <w:p w14:paraId="76E05A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180D0F1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15168C0A"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33E3B38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62</w:t>
            </w:r>
          </w:p>
        </w:tc>
        <w:tc>
          <w:tcPr>
            <w:tcW w:w="1632" w:type="dxa"/>
            <w:tcBorders>
              <w:top w:val="single" w:sz="6" w:space="0" w:color="auto"/>
              <w:left w:val="single" w:sz="6" w:space="0" w:color="auto"/>
              <w:bottom w:val="single" w:sz="6" w:space="0" w:color="auto"/>
              <w:right w:val="single" w:sz="6" w:space="0" w:color="auto"/>
            </w:tcBorders>
          </w:tcPr>
          <w:p w14:paraId="416A990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Václavov, Veveří</w:t>
            </w:r>
          </w:p>
        </w:tc>
        <w:tc>
          <w:tcPr>
            <w:tcW w:w="906" w:type="dxa"/>
            <w:tcBorders>
              <w:top w:val="single" w:sz="6" w:space="0" w:color="auto"/>
              <w:left w:val="single" w:sz="6" w:space="0" w:color="auto"/>
              <w:bottom w:val="single" w:sz="6" w:space="0" w:color="auto"/>
              <w:right w:val="single" w:sz="6" w:space="0" w:color="auto"/>
            </w:tcBorders>
          </w:tcPr>
          <w:p w14:paraId="317EA0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1E3163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FD854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9411D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191</w:t>
            </w:r>
          </w:p>
        </w:tc>
        <w:tc>
          <w:tcPr>
            <w:tcW w:w="1556" w:type="dxa"/>
            <w:tcBorders>
              <w:top w:val="single" w:sz="6" w:space="0" w:color="auto"/>
              <w:left w:val="single" w:sz="6" w:space="0" w:color="auto"/>
              <w:bottom w:val="single" w:sz="6" w:space="0" w:color="auto"/>
              <w:right w:val="single" w:sz="6" w:space="0" w:color="auto"/>
            </w:tcBorders>
          </w:tcPr>
          <w:p w14:paraId="22266A9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Libverda,statek</w:t>
            </w:r>
          </w:p>
        </w:tc>
        <w:tc>
          <w:tcPr>
            <w:tcW w:w="1193" w:type="dxa"/>
            <w:tcBorders>
              <w:top w:val="single" w:sz="6" w:space="0" w:color="auto"/>
              <w:left w:val="single" w:sz="6" w:space="0" w:color="auto"/>
              <w:bottom w:val="single" w:sz="6" w:space="0" w:color="auto"/>
              <w:right w:val="single" w:sz="6" w:space="0" w:color="auto"/>
            </w:tcBorders>
          </w:tcPr>
          <w:p w14:paraId="36D3D3A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776AD13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57E8B28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0F3749C2"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D0713A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63</w:t>
            </w:r>
          </w:p>
        </w:tc>
        <w:tc>
          <w:tcPr>
            <w:tcW w:w="1632" w:type="dxa"/>
            <w:tcBorders>
              <w:top w:val="single" w:sz="6" w:space="0" w:color="auto"/>
              <w:left w:val="single" w:sz="6" w:space="0" w:color="auto"/>
              <w:bottom w:val="single" w:sz="6" w:space="0" w:color="auto"/>
              <w:right w:val="single" w:sz="6" w:space="0" w:color="auto"/>
            </w:tcBorders>
          </w:tcPr>
          <w:p w14:paraId="338ACEF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Techn. služby</w:t>
            </w:r>
          </w:p>
        </w:tc>
        <w:tc>
          <w:tcPr>
            <w:tcW w:w="906" w:type="dxa"/>
            <w:tcBorders>
              <w:top w:val="single" w:sz="6" w:space="0" w:color="auto"/>
              <w:left w:val="single" w:sz="6" w:space="0" w:color="auto"/>
              <w:bottom w:val="single" w:sz="6" w:space="0" w:color="auto"/>
              <w:right w:val="single" w:sz="6" w:space="0" w:color="auto"/>
            </w:tcBorders>
          </w:tcPr>
          <w:p w14:paraId="6F32513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861838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4FFF3A2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D66532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192</w:t>
            </w:r>
          </w:p>
        </w:tc>
        <w:tc>
          <w:tcPr>
            <w:tcW w:w="1556" w:type="dxa"/>
            <w:tcBorders>
              <w:top w:val="single" w:sz="6" w:space="0" w:color="auto"/>
              <w:left w:val="single" w:sz="6" w:space="0" w:color="auto"/>
              <w:bottom w:val="single" w:sz="6" w:space="0" w:color="auto"/>
              <w:right w:val="single" w:sz="6" w:space="0" w:color="auto"/>
            </w:tcBorders>
          </w:tcPr>
          <w:p w14:paraId="2991552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Říční</w:t>
            </w:r>
          </w:p>
        </w:tc>
        <w:tc>
          <w:tcPr>
            <w:tcW w:w="1193" w:type="dxa"/>
            <w:tcBorders>
              <w:top w:val="single" w:sz="6" w:space="0" w:color="auto"/>
              <w:left w:val="single" w:sz="6" w:space="0" w:color="auto"/>
              <w:bottom w:val="single" w:sz="6" w:space="0" w:color="auto"/>
              <w:right w:val="single" w:sz="6" w:space="0" w:color="auto"/>
            </w:tcBorders>
          </w:tcPr>
          <w:p w14:paraId="477CFD1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2106CE4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SL</w:t>
            </w:r>
          </w:p>
        </w:tc>
        <w:tc>
          <w:tcPr>
            <w:tcW w:w="724" w:type="dxa"/>
            <w:tcBorders>
              <w:top w:val="single" w:sz="6" w:space="0" w:color="auto"/>
              <w:left w:val="single" w:sz="6" w:space="0" w:color="auto"/>
              <w:bottom w:val="single" w:sz="6" w:space="0" w:color="auto"/>
              <w:right w:val="single" w:sz="6" w:space="0" w:color="auto"/>
            </w:tcBorders>
          </w:tcPr>
          <w:p w14:paraId="1D2428A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0DFEF2D4"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71563D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64</w:t>
            </w:r>
          </w:p>
        </w:tc>
        <w:tc>
          <w:tcPr>
            <w:tcW w:w="1632" w:type="dxa"/>
            <w:tcBorders>
              <w:top w:val="single" w:sz="6" w:space="0" w:color="auto"/>
              <w:left w:val="single" w:sz="6" w:space="0" w:color="auto"/>
              <w:bottom w:val="single" w:sz="6" w:space="0" w:color="auto"/>
              <w:right w:val="single" w:sz="6" w:space="0" w:color="auto"/>
            </w:tcBorders>
          </w:tcPr>
          <w:p w14:paraId="6AA3996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Prior</w:t>
            </w:r>
          </w:p>
        </w:tc>
        <w:tc>
          <w:tcPr>
            <w:tcW w:w="906" w:type="dxa"/>
            <w:tcBorders>
              <w:top w:val="single" w:sz="6" w:space="0" w:color="auto"/>
              <w:left w:val="single" w:sz="6" w:space="0" w:color="auto"/>
              <w:bottom w:val="single" w:sz="6" w:space="0" w:color="auto"/>
              <w:right w:val="single" w:sz="6" w:space="0" w:color="auto"/>
            </w:tcBorders>
          </w:tcPr>
          <w:p w14:paraId="213FDE2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A3A55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1AF5FA6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9944DD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193</w:t>
            </w:r>
          </w:p>
        </w:tc>
        <w:tc>
          <w:tcPr>
            <w:tcW w:w="1556" w:type="dxa"/>
            <w:tcBorders>
              <w:top w:val="single" w:sz="6" w:space="0" w:color="auto"/>
              <w:left w:val="single" w:sz="6" w:space="0" w:color="auto"/>
              <w:bottom w:val="single" w:sz="6" w:space="0" w:color="auto"/>
              <w:right w:val="single" w:sz="6" w:space="0" w:color="auto"/>
            </w:tcBorders>
          </w:tcPr>
          <w:p w14:paraId="797ACD5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Kino</w:t>
            </w:r>
          </w:p>
        </w:tc>
        <w:tc>
          <w:tcPr>
            <w:tcW w:w="1193" w:type="dxa"/>
            <w:tcBorders>
              <w:top w:val="single" w:sz="6" w:space="0" w:color="auto"/>
              <w:left w:val="single" w:sz="6" w:space="0" w:color="auto"/>
              <w:bottom w:val="single" w:sz="6" w:space="0" w:color="auto"/>
              <w:right w:val="single" w:sz="6" w:space="0" w:color="auto"/>
            </w:tcBorders>
          </w:tcPr>
          <w:p w14:paraId="7724E1E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5CFACCC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1C8DFBB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39E86069"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08B663D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65</w:t>
            </w:r>
          </w:p>
        </w:tc>
        <w:tc>
          <w:tcPr>
            <w:tcW w:w="1632" w:type="dxa"/>
            <w:tcBorders>
              <w:top w:val="single" w:sz="6" w:space="0" w:color="auto"/>
              <w:left w:val="single" w:sz="6" w:space="0" w:color="auto"/>
              <w:bottom w:val="single" w:sz="6" w:space="0" w:color="auto"/>
              <w:right w:val="single" w:sz="6" w:space="0" w:color="auto"/>
            </w:tcBorders>
          </w:tcPr>
          <w:p w14:paraId="58210B1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Plzeňská</w:t>
            </w:r>
          </w:p>
        </w:tc>
        <w:tc>
          <w:tcPr>
            <w:tcW w:w="906" w:type="dxa"/>
            <w:tcBorders>
              <w:top w:val="single" w:sz="6" w:space="0" w:color="auto"/>
              <w:left w:val="single" w:sz="6" w:space="0" w:color="auto"/>
              <w:bottom w:val="single" w:sz="6" w:space="0" w:color="auto"/>
              <w:right w:val="single" w:sz="6" w:space="0" w:color="auto"/>
            </w:tcBorders>
          </w:tcPr>
          <w:p w14:paraId="06B459D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FE73BB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74EA8E3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55E5FF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194</w:t>
            </w:r>
          </w:p>
        </w:tc>
        <w:tc>
          <w:tcPr>
            <w:tcW w:w="1556" w:type="dxa"/>
            <w:tcBorders>
              <w:top w:val="single" w:sz="6" w:space="0" w:color="auto"/>
              <w:left w:val="single" w:sz="6" w:space="0" w:color="auto"/>
              <w:bottom w:val="single" w:sz="6" w:space="0" w:color="auto"/>
              <w:right w:val="single" w:sz="6" w:space="0" w:color="auto"/>
            </w:tcBorders>
          </w:tcPr>
          <w:p w14:paraId="7094895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OÚ</w:t>
            </w:r>
          </w:p>
        </w:tc>
        <w:tc>
          <w:tcPr>
            <w:tcW w:w="1193" w:type="dxa"/>
            <w:tcBorders>
              <w:top w:val="single" w:sz="6" w:space="0" w:color="auto"/>
              <w:left w:val="single" w:sz="6" w:space="0" w:color="auto"/>
              <w:bottom w:val="single" w:sz="6" w:space="0" w:color="auto"/>
              <w:right w:val="single" w:sz="6" w:space="0" w:color="auto"/>
            </w:tcBorders>
          </w:tcPr>
          <w:p w14:paraId="0D654C5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022F2E2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670B5C7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2A49676B"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2C778A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66</w:t>
            </w:r>
          </w:p>
        </w:tc>
        <w:tc>
          <w:tcPr>
            <w:tcW w:w="1632" w:type="dxa"/>
            <w:tcBorders>
              <w:top w:val="single" w:sz="6" w:space="0" w:color="auto"/>
              <w:left w:val="single" w:sz="6" w:space="0" w:color="auto"/>
              <w:bottom w:val="single" w:sz="6" w:space="0" w:color="auto"/>
              <w:right w:val="single" w:sz="6" w:space="0" w:color="auto"/>
            </w:tcBorders>
          </w:tcPr>
          <w:p w14:paraId="596D919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Jeronýmova</w:t>
            </w:r>
          </w:p>
        </w:tc>
        <w:tc>
          <w:tcPr>
            <w:tcW w:w="906" w:type="dxa"/>
            <w:tcBorders>
              <w:top w:val="single" w:sz="6" w:space="0" w:color="auto"/>
              <w:left w:val="single" w:sz="6" w:space="0" w:color="auto"/>
              <w:bottom w:val="single" w:sz="6" w:space="0" w:color="auto"/>
              <w:right w:val="single" w:sz="6" w:space="0" w:color="auto"/>
            </w:tcBorders>
          </w:tcPr>
          <w:p w14:paraId="5B761FC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DAEB0D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1C24EB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652A7E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195</w:t>
            </w:r>
          </w:p>
        </w:tc>
        <w:tc>
          <w:tcPr>
            <w:tcW w:w="1556" w:type="dxa"/>
            <w:tcBorders>
              <w:top w:val="single" w:sz="6" w:space="0" w:color="auto"/>
              <w:left w:val="single" w:sz="6" w:space="0" w:color="auto"/>
              <w:bottom w:val="single" w:sz="6" w:space="0" w:color="auto"/>
              <w:right w:val="single" w:sz="6" w:space="0" w:color="auto"/>
            </w:tcBorders>
          </w:tcPr>
          <w:p w14:paraId="0C01536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Česana</w:t>
            </w:r>
          </w:p>
        </w:tc>
        <w:tc>
          <w:tcPr>
            <w:tcW w:w="1193" w:type="dxa"/>
            <w:tcBorders>
              <w:top w:val="single" w:sz="6" w:space="0" w:color="auto"/>
              <w:left w:val="single" w:sz="6" w:space="0" w:color="auto"/>
              <w:bottom w:val="single" w:sz="6" w:space="0" w:color="auto"/>
              <w:right w:val="single" w:sz="6" w:space="0" w:color="auto"/>
            </w:tcBorders>
          </w:tcPr>
          <w:p w14:paraId="29E9F05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0EB4E8A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24" w:type="dxa"/>
            <w:tcBorders>
              <w:top w:val="single" w:sz="6" w:space="0" w:color="auto"/>
              <w:left w:val="single" w:sz="6" w:space="0" w:color="auto"/>
              <w:bottom w:val="single" w:sz="6" w:space="0" w:color="auto"/>
              <w:right w:val="single" w:sz="6" w:space="0" w:color="auto"/>
            </w:tcBorders>
          </w:tcPr>
          <w:p w14:paraId="4D4D51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29D85AD5"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D11443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67</w:t>
            </w:r>
          </w:p>
        </w:tc>
        <w:tc>
          <w:tcPr>
            <w:tcW w:w="1632" w:type="dxa"/>
            <w:tcBorders>
              <w:top w:val="single" w:sz="6" w:space="0" w:color="auto"/>
              <w:left w:val="single" w:sz="6" w:space="0" w:color="auto"/>
              <w:bottom w:val="single" w:sz="6" w:space="0" w:color="auto"/>
              <w:right w:val="single" w:sz="6" w:space="0" w:color="auto"/>
            </w:tcBorders>
          </w:tcPr>
          <w:p w14:paraId="7A72013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Jungmanova</w:t>
            </w:r>
          </w:p>
        </w:tc>
        <w:tc>
          <w:tcPr>
            <w:tcW w:w="906" w:type="dxa"/>
            <w:tcBorders>
              <w:top w:val="single" w:sz="6" w:space="0" w:color="auto"/>
              <w:left w:val="single" w:sz="6" w:space="0" w:color="auto"/>
              <w:bottom w:val="single" w:sz="6" w:space="0" w:color="auto"/>
              <w:right w:val="single" w:sz="6" w:space="0" w:color="auto"/>
            </w:tcBorders>
          </w:tcPr>
          <w:p w14:paraId="02A566A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1E6026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9B3E22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4F8482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196</w:t>
            </w:r>
          </w:p>
        </w:tc>
        <w:tc>
          <w:tcPr>
            <w:tcW w:w="1556" w:type="dxa"/>
            <w:tcBorders>
              <w:top w:val="single" w:sz="6" w:space="0" w:color="auto"/>
              <w:left w:val="single" w:sz="6" w:space="0" w:color="auto"/>
              <w:bottom w:val="single" w:sz="6" w:space="0" w:color="auto"/>
              <w:right w:val="single" w:sz="6" w:space="0" w:color="auto"/>
            </w:tcBorders>
          </w:tcPr>
          <w:p w14:paraId="33F5441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Spolchemie</w:t>
            </w:r>
          </w:p>
        </w:tc>
        <w:tc>
          <w:tcPr>
            <w:tcW w:w="1193" w:type="dxa"/>
            <w:tcBorders>
              <w:top w:val="single" w:sz="6" w:space="0" w:color="auto"/>
              <w:left w:val="single" w:sz="6" w:space="0" w:color="auto"/>
              <w:bottom w:val="single" w:sz="6" w:space="0" w:color="auto"/>
              <w:right w:val="single" w:sz="6" w:space="0" w:color="auto"/>
            </w:tcBorders>
          </w:tcPr>
          <w:p w14:paraId="6342994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0CFEE7A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2A08ACC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668F1F6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C21546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68</w:t>
            </w:r>
          </w:p>
        </w:tc>
        <w:tc>
          <w:tcPr>
            <w:tcW w:w="1632" w:type="dxa"/>
            <w:tcBorders>
              <w:top w:val="single" w:sz="6" w:space="0" w:color="auto"/>
              <w:left w:val="single" w:sz="6" w:space="0" w:color="auto"/>
              <w:bottom w:val="single" w:sz="6" w:space="0" w:color="auto"/>
              <w:right w:val="single" w:sz="6" w:space="0" w:color="auto"/>
            </w:tcBorders>
          </w:tcPr>
          <w:p w14:paraId="55AECD2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Grand</w:t>
            </w:r>
          </w:p>
        </w:tc>
        <w:tc>
          <w:tcPr>
            <w:tcW w:w="906" w:type="dxa"/>
            <w:tcBorders>
              <w:top w:val="single" w:sz="6" w:space="0" w:color="auto"/>
              <w:left w:val="single" w:sz="6" w:space="0" w:color="auto"/>
              <w:bottom w:val="single" w:sz="6" w:space="0" w:color="auto"/>
              <w:right w:val="single" w:sz="6" w:space="0" w:color="auto"/>
            </w:tcBorders>
          </w:tcPr>
          <w:p w14:paraId="2E0128C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D85814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05BD62B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D813CA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197</w:t>
            </w:r>
          </w:p>
        </w:tc>
        <w:tc>
          <w:tcPr>
            <w:tcW w:w="1556" w:type="dxa"/>
            <w:tcBorders>
              <w:top w:val="single" w:sz="6" w:space="0" w:color="auto"/>
              <w:left w:val="single" w:sz="6" w:space="0" w:color="auto"/>
              <w:bottom w:val="single" w:sz="6" w:space="0" w:color="auto"/>
              <w:right w:val="single" w:sz="6" w:space="0" w:color="auto"/>
            </w:tcBorders>
          </w:tcPr>
          <w:p w14:paraId="71FFDC2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Úprav. vody ČOV</w:t>
            </w:r>
          </w:p>
        </w:tc>
        <w:tc>
          <w:tcPr>
            <w:tcW w:w="1193" w:type="dxa"/>
            <w:tcBorders>
              <w:top w:val="single" w:sz="6" w:space="0" w:color="auto"/>
              <w:left w:val="single" w:sz="6" w:space="0" w:color="auto"/>
              <w:bottom w:val="single" w:sz="6" w:space="0" w:color="auto"/>
              <w:right w:val="single" w:sz="6" w:space="0" w:color="auto"/>
            </w:tcBorders>
          </w:tcPr>
          <w:p w14:paraId="7FACD08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23C9A71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SL</w:t>
            </w:r>
          </w:p>
        </w:tc>
        <w:tc>
          <w:tcPr>
            <w:tcW w:w="724" w:type="dxa"/>
            <w:tcBorders>
              <w:top w:val="single" w:sz="6" w:space="0" w:color="auto"/>
              <w:left w:val="single" w:sz="6" w:space="0" w:color="auto"/>
              <w:bottom w:val="single" w:sz="6" w:space="0" w:color="auto"/>
              <w:right w:val="single" w:sz="6" w:space="0" w:color="auto"/>
            </w:tcBorders>
          </w:tcPr>
          <w:p w14:paraId="0A1BC63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40F89E41"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1BB508A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69</w:t>
            </w:r>
          </w:p>
        </w:tc>
        <w:tc>
          <w:tcPr>
            <w:tcW w:w="1632" w:type="dxa"/>
            <w:tcBorders>
              <w:top w:val="single" w:sz="6" w:space="0" w:color="auto"/>
              <w:left w:val="single" w:sz="6" w:space="0" w:color="auto"/>
              <w:bottom w:val="single" w:sz="6" w:space="0" w:color="auto"/>
              <w:right w:val="single" w:sz="6" w:space="0" w:color="auto"/>
            </w:tcBorders>
          </w:tcPr>
          <w:p w14:paraId="0B193AF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Hlavní nádraží</w:t>
            </w:r>
          </w:p>
        </w:tc>
        <w:tc>
          <w:tcPr>
            <w:tcW w:w="906" w:type="dxa"/>
            <w:tcBorders>
              <w:top w:val="single" w:sz="6" w:space="0" w:color="auto"/>
              <w:left w:val="single" w:sz="6" w:space="0" w:color="auto"/>
              <w:bottom w:val="single" w:sz="6" w:space="0" w:color="auto"/>
              <w:right w:val="single" w:sz="6" w:space="0" w:color="auto"/>
            </w:tcBorders>
          </w:tcPr>
          <w:p w14:paraId="61F8093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385997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75DE71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8781EC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198</w:t>
            </w:r>
          </w:p>
        </w:tc>
        <w:tc>
          <w:tcPr>
            <w:tcW w:w="1556" w:type="dxa"/>
            <w:tcBorders>
              <w:top w:val="single" w:sz="6" w:space="0" w:color="auto"/>
              <w:left w:val="single" w:sz="6" w:space="0" w:color="auto"/>
              <w:bottom w:val="single" w:sz="6" w:space="0" w:color="auto"/>
              <w:right w:val="single" w:sz="6" w:space="0" w:color="auto"/>
            </w:tcBorders>
          </w:tcPr>
          <w:p w14:paraId="23425B1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Internát</w:t>
            </w:r>
          </w:p>
        </w:tc>
        <w:tc>
          <w:tcPr>
            <w:tcW w:w="1193" w:type="dxa"/>
            <w:tcBorders>
              <w:top w:val="single" w:sz="6" w:space="0" w:color="auto"/>
              <w:left w:val="single" w:sz="6" w:space="0" w:color="auto"/>
              <w:bottom w:val="single" w:sz="6" w:space="0" w:color="auto"/>
              <w:right w:val="single" w:sz="6" w:space="0" w:color="auto"/>
            </w:tcBorders>
          </w:tcPr>
          <w:p w14:paraId="43AD592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6C42C25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5825E6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3C5ED4C3"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CDBE94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70</w:t>
            </w:r>
          </w:p>
        </w:tc>
        <w:tc>
          <w:tcPr>
            <w:tcW w:w="1632" w:type="dxa"/>
            <w:tcBorders>
              <w:top w:val="single" w:sz="6" w:space="0" w:color="auto"/>
              <w:left w:val="single" w:sz="6" w:space="0" w:color="auto"/>
              <w:bottom w:val="single" w:sz="6" w:space="0" w:color="auto"/>
              <w:right w:val="single" w:sz="6" w:space="0" w:color="auto"/>
            </w:tcBorders>
          </w:tcPr>
          <w:p w14:paraId="3B91DF9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Škrabky, dolní</w:t>
            </w:r>
          </w:p>
        </w:tc>
        <w:tc>
          <w:tcPr>
            <w:tcW w:w="906" w:type="dxa"/>
            <w:tcBorders>
              <w:top w:val="single" w:sz="6" w:space="0" w:color="auto"/>
              <w:left w:val="single" w:sz="6" w:space="0" w:color="auto"/>
              <w:bottom w:val="single" w:sz="6" w:space="0" w:color="auto"/>
              <w:right w:val="single" w:sz="6" w:space="0" w:color="auto"/>
            </w:tcBorders>
          </w:tcPr>
          <w:p w14:paraId="663BEC5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3E7885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046598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88A7B9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199</w:t>
            </w:r>
          </w:p>
        </w:tc>
        <w:tc>
          <w:tcPr>
            <w:tcW w:w="1556" w:type="dxa"/>
            <w:tcBorders>
              <w:top w:val="single" w:sz="6" w:space="0" w:color="auto"/>
              <w:left w:val="single" w:sz="6" w:space="0" w:color="auto"/>
              <w:bottom w:val="single" w:sz="6" w:space="0" w:color="auto"/>
              <w:right w:val="single" w:sz="6" w:space="0" w:color="auto"/>
            </w:tcBorders>
          </w:tcPr>
          <w:p w14:paraId="03B31F0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Vodárna</w:t>
            </w:r>
          </w:p>
        </w:tc>
        <w:tc>
          <w:tcPr>
            <w:tcW w:w="1193" w:type="dxa"/>
            <w:tcBorders>
              <w:top w:val="single" w:sz="6" w:space="0" w:color="auto"/>
              <w:left w:val="single" w:sz="6" w:space="0" w:color="auto"/>
              <w:bottom w:val="single" w:sz="6" w:space="0" w:color="auto"/>
              <w:right w:val="single" w:sz="6" w:space="0" w:color="auto"/>
            </w:tcBorders>
          </w:tcPr>
          <w:p w14:paraId="09BA0F9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41F592C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050C1A6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353CC72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D151EC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71</w:t>
            </w:r>
          </w:p>
        </w:tc>
        <w:tc>
          <w:tcPr>
            <w:tcW w:w="1632" w:type="dxa"/>
            <w:tcBorders>
              <w:top w:val="single" w:sz="6" w:space="0" w:color="auto"/>
              <w:left w:val="single" w:sz="6" w:space="0" w:color="auto"/>
              <w:bottom w:val="single" w:sz="6" w:space="0" w:color="auto"/>
              <w:right w:val="single" w:sz="6" w:space="0" w:color="auto"/>
            </w:tcBorders>
          </w:tcPr>
          <w:p w14:paraId="4E4A54E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Pod lesem</w:t>
            </w:r>
          </w:p>
        </w:tc>
        <w:tc>
          <w:tcPr>
            <w:tcW w:w="906" w:type="dxa"/>
            <w:tcBorders>
              <w:top w:val="single" w:sz="6" w:space="0" w:color="auto"/>
              <w:left w:val="single" w:sz="6" w:space="0" w:color="auto"/>
              <w:bottom w:val="single" w:sz="6" w:space="0" w:color="auto"/>
              <w:right w:val="single" w:sz="6" w:space="0" w:color="auto"/>
            </w:tcBorders>
          </w:tcPr>
          <w:p w14:paraId="14A87D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1EEA72E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2346B09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9F1F5F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200</w:t>
            </w:r>
          </w:p>
        </w:tc>
        <w:tc>
          <w:tcPr>
            <w:tcW w:w="1556" w:type="dxa"/>
            <w:tcBorders>
              <w:top w:val="single" w:sz="6" w:space="0" w:color="auto"/>
              <w:left w:val="single" w:sz="6" w:space="0" w:color="auto"/>
              <w:bottom w:val="single" w:sz="6" w:space="0" w:color="auto"/>
              <w:right w:val="single" w:sz="6" w:space="0" w:color="auto"/>
            </w:tcBorders>
          </w:tcPr>
          <w:p w14:paraId="0276AFE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Mostárna</w:t>
            </w:r>
          </w:p>
        </w:tc>
        <w:tc>
          <w:tcPr>
            <w:tcW w:w="1193" w:type="dxa"/>
            <w:tcBorders>
              <w:top w:val="single" w:sz="6" w:space="0" w:color="auto"/>
              <w:left w:val="single" w:sz="6" w:space="0" w:color="auto"/>
              <w:bottom w:val="single" w:sz="6" w:space="0" w:color="auto"/>
              <w:right w:val="single" w:sz="6" w:space="0" w:color="auto"/>
            </w:tcBorders>
          </w:tcPr>
          <w:p w14:paraId="1E47AF6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3F1FCA0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419611F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6351B66D"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77B16F3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72</w:t>
            </w:r>
          </w:p>
        </w:tc>
        <w:tc>
          <w:tcPr>
            <w:tcW w:w="1632" w:type="dxa"/>
            <w:tcBorders>
              <w:top w:val="single" w:sz="6" w:space="0" w:color="auto"/>
              <w:left w:val="single" w:sz="6" w:space="0" w:color="auto"/>
              <w:bottom w:val="single" w:sz="6" w:space="0" w:color="auto"/>
              <w:right w:val="single" w:sz="6" w:space="0" w:color="auto"/>
            </w:tcBorders>
          </w:tcPr>
          <w:p w14:paraId="6D03C24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Měnírna</w:t>
            </w:r>
          </w:p>
        </w:tc>
        <w:tc>
          <w:tcPr>
            <w:tcW w:w="906" w:type="dxa"/>
            <w:tcBorders>
              <w:top w:val="single" w:sz="6" w:space="0" w:color="auto"/>
              <w:left w:val="single" w:sz="6" w:space="0" w:color="auto"/>
              <w:bottom w:val="single" w:sz="6" w:space="0" w:color="auto"/>
              <w:right w:val="single" w:sz="6" w:space="0" w:color="auto"/>
            </w:tcBorders>
          </w:tcPr>
          <w:p w14:paraId="44420EF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3544F17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30F07D5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504FF9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201</w:t>
            </w:r>
          </w:p>
        </w:tc>
        <w:tc>
          <w:tcPr>
            <w:tcW w:w="1556" w:type="dxa"/>
            <w:tcBorders>
              <w:top w:val="single" w:sz="6" w:space="0" w:color="auto"/>
              <w:left w:val="single" w:sz="6" w:space="0" w:color="auto"/>
              <w:bottom w:val="single" w:sz="6" w:space="0" w:color="auto"/>
              <w:right w:val="single" w:sz="6" w:space="0" w:color="auto"/>
            </w:tcBorders>
          </w:tcPr>
          <w:p w14:paraId="7BCD47C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Střed-přechod.</w:t>
            </w:r>
          </w:p>
        </w:tc>
        <w:tc>
          <w:tcPr>
            <w:tcW w:w="1193" w:type="dxa"/>
            <w:tcBorders>
              <w:top w:val="single" w:sz="6" w:space="0" w:color="auto"/>
              <w:left w:val="single" w:sz="6" w:space="0" w:color="auto"/>
              <w:bottom w:val="single" w:sz="6" w:space="0" w:color="auto"/>
              <w:right w:val="single" w:sz="6" w:space="0" w:color="auto"/>
            </w:tcBorders>
          </w:tcPr>
          <w:p w14:paraId="0D47589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051D59D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24" w:type="dxa"/>
            <w:tcBorders>
              <w:top w:val="single" w:sz="6" w:space="0" w:color="auto"/>
              <w:left w:val="single" w:sz="6" w:space="0" w:color="auto"/>
              <w:bottom w:val="single" w:sz="6" w:space="0" w:color="auto"/>
              <w:right w:val="single" w:sz="6" w:space="0" w:color="auto"/>
            </w:tcBorders>
          </w:tcPr>
          <w:p w14:paraId="520D4D0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46E86713"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0D0511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73</w:t>
            </w:r>
          </w:p>
        </w:tc>
        <w:tc>
          <w:tcPr>
            <w:tcW w:w="1632" w:type="dxa"/>
            <w:tcBorders>
              <w:top w:val="single" w:sz="6" w:space="0" w:color="auto"/>
              <w:left w:val="single" w:sz="6" w:space="0" w:color="auto"/>
              <w:bottom w:val="single" w:sz="6" w:space="0" w:color="auto"/>
              <w:right w:val="single" w:sz="6" w:space="0" w:color="auto"/>
            </w:tcBorders>
          </w:tcPr>
          <w:p w14:paraId="62C46D0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Jesenice,Polská</w:t>
            </w:r>
          </w:p>
        </w:tc>
        <w:tc>
          <w:tcPr>
            <w:tcW w:w="906" w:type="dxa"/>
            <w:tcBorders>
              <w:top w:val="single" w:sz="6" w:space="0" w:color="auto"/>
              <w:left w:val="single" w:sz="6" w:space="0" w:color="auto"/>
              <w:bottom w:val="single" w:sz="6" w:space="0" w:color="auto"/>
              <w:right w:val="single" w:sz="6" w:space="0" w:color="auto"/>
            </w:tcBorders>
          </w:tcPr>
          <w:p w14:paraId="24974E7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BA998B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454D03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4C4B41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202</w:t>
            </w:r>
          </w:p>
        </w:tc>
        <w:tc>
          <w:tcPr>
            <w:tcW w:w="1556" w:type="dxa"/>
            <w:tcBorders>
              <w:top w:val="single" w:sz="6" w:space="0" w:color="auto"/>
              <w:left w:val="single" w:sz="6" w:space="0" w:color="auto"/>
              <w:bottom w:val="single" w:sz="6" w:space="0" w:color="auto"/>
              <w:right w:val="single" w:sz="6" w:space="0" w:color="auto"/>
            </w:tcBorders>
          </w:tcPr>
          <w:p w14:paraId="593E5FC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Energocentrum</w:t>
            </w:r>
          </w:p>
        </w:tc>
        <w:tc>
          <w:tcPr>
            <w:tcW w:w="1193" w:type="dxa"/>
            <w:tcBorders>
              <w:top w:val="single" w:sz="6" w:space="0" w:color="auto"/>
              <w:left w:val="single" w:sz="6" w:space="0" w:color="auto"/>
              <w:bottom w:val="single" w:sz="6" w:space="0" w:color="auto"/>
              <w:right w:val="single" w:sz="6" w:space="0" w:color="auto"/>
            </w:tcBorders>
          </w:tcPr>
          <w:p w14:paraId="48EC30D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2819F3F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24" w:type="dxa"/>
            <w:tcBorders>
              <w:top w:val="single" w:sz="6" w:space="0" w:color="auto"/>
              <w:left w:val="single" w:sz="6" w:space="0" w:color="auto"/>
              <w:bottom w:val="single" w:sz="6" w:space="0" w:color="auto"/>
              <w:right w:val="single" w:sz="6" w:space="0" w:color="auto"/>
            </w:tcBorders>
          </w:tcPr>
          <w:p w14:paraId="06B0C7A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44919E18" w14:textId="77777777" w:rsidTr="002D2D45">
        <w:trPr>
          <w:trHeight w:val="485"/>
        </w:trPr>
        <w:tc>
          <w:tcPr>
            <w:tcW w:w="558" w:type="dxa"/>
            <w:tcBorders>
              <w:top w:val="single" w:sz="6" w:space="0" w:color="auto"/>
              <w:left w:val="single" w:sz="6" w:space="0" w:color="auto"/>
              <w:bottom w:val="single" w:sz="6" w:space="0" w:color="auto"/>
              <w:right w:val="single" w:sz="6" w:space="0" w:color="auto"/>
            </w:tcBorders>
          </w:tcPr>
          <w:p w14:paraId="5CC725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lastRenderedPageBreak/>
              <w:t>74</w:t>
            </w:r>
          </w:p>
        </w:tc>
        <w:tc>
          <w:tcPr>
            <w:tcW w:w="1632" w:type="dxa"/>
            <w:tcBorders>
              <w:top w:val="single" w:sz="6" w:space="0" w:color="auto"/>
              <w:left w:val="single" w:sz="6" w:space="0" w:color="auto"/>
              <w:bottom w:val="single" w:sz="6" w:space="0" w:color="auto"/>
              <w:right w:val="single" w:sz="6" w:space="0" w:color="auto"/>
            </w:tcBorders>
          </w:tcPr>
          <w:p w14:paraId="5EE6870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Kovohutě</w:t>
            </w:r>
            <w:r w:rsidRPr="00D42621">
              <w:rPr>
                <w:rFonts w:ascii="Arial" w:hAnsi="Arial"/>
                <w:color w:val="000000"/>
                <w:sz w:val="16"/>
                <w:szCs w:val="16"/>
                <w:lang w:eastAsia="cs-CZ"/>
              </w:rPr>
              <w:t xml:space="preserve"> sauna</w:t>
            </w:r>
          </w:p>
        </w:tc>
        <w:tc>
          <w:tcPr>
            <w:tcW w:w="906" w:type="dxa"/>
            <w:tcBorders>
              <w:top w:val="single" w:sz="6" w:space="0" w:color="auto"/>
              <w:left w:val="single" w:sz="6" w:space="0" w:color="auto"/>
              <w:bottom w:val="single" w:sz="6" w:space="0" w:color="auto"/>
              <w:right w:val="single" w:sz="6" w:space="0" w:color="auto"/>
            </w:tcBorders>
          </w:tcPr>
          <w:p w14:paraId="4CD6B65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41DF42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C2D7AF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7D3A2B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203</w:t>
            </w:r>
          </w:p>
        </w:tc>
        <w:tc>
          <w:tcPr>
            <w:tcW w:w="1556" w:type="dxa"/>
            <w:tcBorders>
              <w:top w:val="single" w:sz="6" w:space="0" w:color="auto"/>
              <w:left w:val="single" w:sz="6" w:space="0" w:color="auto"/>
              <w:bottom w:val="single" w:sz="6" w:space="0" w:color="auto"/>
              <w:right w:val="single" w:sz="6" w:space="0" w:color="auto"/>
            </w:tcBorders>
          </w:tcPr>
          <w:p w14:paraId="7D16DEE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Zápotoc. horní</w:t>
            </w:r>
          </w:p>
        </w:tc>
        <w:tc>
          <w:tcPr>
            <w:tcW w:w="1193" w:type="dxa"/>
            <w:tcBorders>
              <w:top w:val="single" w:sz="6" w:space="0" w:color="auto"/>
              <w:left w:val="single" w:sz="6" w:space="0" w:color="auto"/>
              <w:bottom w:val="single" w:sz="6" w:space="0" w:color="auto"/>
              <w:right w:val="single" w:sz="6" w:space="0" w:color="auto"/>
            </w:tcBorders>
          </w:tcPr>
          <w:p w14:paraId="7173727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74FAC14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52D4B0D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69653A8C" w14:textId="77777777" w:rsidTr="002D2D45">
        <w:trPr>
          <w:trHeight w:val="485"/>
        </w:trPr>
        <w:tc>
          <w:tcPr>
            <w:tcW w:w="558" w:type="dxa"/>
            <w:tcBorders>
              <w:top w:val="single" w:sz="6" w:space="0" w:color="auto"/>
              <w:left w:val="single" w:sz="6" w:space="0" w:color="auto"/>
              <w:bottom w:val="single" w:sz="6" w:space="0" w:color="auto"/>
              <w:right w:val="single" w:sz="6" w:space="0" w:color="auto"/>
            </w:tcBorders>
          </w:tcPr>
          <w:p w14:paraId="216AE51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75</w:t>
            </w:r>
          </w:p>
        </w:tc>
        <w:tc>
          <w:tcPr>
            <w:tcW w:w="1632" w:type="dxa"/>
            <w:tcBorders>
              <w:top w:val="single" w:sz="6" w:space="0" w:color="auto"/>
              <w:left w:val="single" w:sz="6" w:space="0" w:color="auto"/>
              <w:bottom w:val="single" w:sz="6" w:space="0" w:color="auto"/>
              <w:right w:val="single" w:sz="6" w:space="0" w:color="auto"/>
            </w:tcBorders>
          </w:tcPr>
          <w:p w14:paraId="1CE2C20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Chepos</w:t>
            </w:r>
          </w:p>
        </w:tc>
        <w:tc>
          <w:tcPr>
            <w:tcW w:w="906" w:type="dxa"/>
            <w:tcBorders>
              <w:top w:val="single" w:sz="6" w:space="0" w:color="auto"/>
              <w:left w:val="single" w:sz="6" w:space="0" w:color="auto"/>
              <w:bottom w:val="single" w:sz="6" w:space="0" w:color="auto"/>
              <w:right w:val="single" w:sz="6" w:space="0" w:color="auto"/>
            </w:tcBorders>
          </w:tcPr>
          <w:p w14:paraId="423A3BE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F18804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ZD</w:t>
            </w:r>
          </w:p>
        </w:tc>
        <w:tc>
          <w:tcPr>
            <w:tcW w:w="710" w:type="dxa"/>
            <w:tcBorders>
              <w:top w:val="single" w:sz="6" w:space="0" w:color="auto"/>
              <w:left w:val="single" w:sz="6" w:space="0" w:color="auto"/>
              <w:bottom w:val="single" w:sz="6" w:space="0" w:color="auto"/>
              <w:right w:val="single" w:sz="6" w:space="0" w:color="auto"/>
            </w:tcBorders>
          </w:tcPr>
          <w:p w14:paraId="79FD231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35/10</w:t>
            </w:r>
          </w:p>
        </w:tc>
        <w:tc>
          <w:tcPr>
            <w:tcW w:w="483" w:type="dxa"/>
            <w:tcBorders>
              <w:top w:val="single" w:sz="6" w:space="0" w:color="auto"/>
              <w:left w:val="single" w:sz="6" w:space="0" w:color="auto"/>
              <w:bottom w:val="single" w:sz="6" w:space="0" w:color="auto"/>
              <w:right w:val="single" w:sz="6" w:space="0" w:color="auto"/>
            </w:tcBorders>
          </w:tcPr>
          <w:p w14:paraId="7F371AC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204</w:t>
            </w:r>
          </w:p>
        </w:tc>
        <w:tc>
          <w:tcPr>
            <w:tcW w:w="1556" w:type="dxa"/>
            <w:tcBorders>
              <w:top w:val="single" w:sz="6" w:space="0" w:color="auto"/>
              <w:left w:val="single" w:sz="6" w:space="0" w:color="auto"/>
              <w:bottom w:val="single" w:sz="6" w:space="0" w:color="auto"/>
              <w:right w:val="single" w:sz="6" w:space="0" w:color="auto"/>
            </w:tcBorders>
          </w:tcPr>
          <w:p w14:paraId="000AB81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Kostelní - přechod</w:t>
            </w:r>
          </w:p>
        </w:tc>
        <w:tc>
          <w:tcPr>
            <w:tcW w:w="1193" w:type="dxa"/>
            <w:tcBorders>
              <w:top w:val="single" w:sz="6" w:space="0" w:color="auto"/>
              <w:left w:val="single" w:sz="6" w:space="0" w:color="auto"/>
              <w:bottom w:val="single" w:sz="6" w:space="0" w:color="auto"/>
              <w:right w:val="single" w:sz="6" w:space="0" w:color="auto"/>
            </w:tcBorders>
          </w:tcPr>
          <w:p w14:paraId="3644C03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068FD05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24" w:type="dxa"/>
            <w:tcBorders>
              <w:top w:val="single" w:sz="6" w:space="0" w:color="auto"/>
              <w:left w:val="single" w:sz="6" w:space="0" w:color="auto"/>
              <w:bottom w:val="single" w:sz="6" w:space="0" w:color="auto"/>
              <w:right w:val="single" w:sz="6" w:space="0" w:color="auto"/>
            </w:tcBorders>
          </w:tcPr>
          <w:p w14:paraId="5639259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0D16948C"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B83FB6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76</w:t>
            </w:r>
          </w:p>
        </w:tc>
        <w:tc>
          <w:tcPr>
            <w:tcW w:w="1632" w:type="dxa"/>
            <w:tcBorders>
              <w:top w:val="single" w:sz="6" w:space="0" w:color="auto"/>
              <w:left w:val="single" w:sz="6" w:space="0" w:color="auto"/>
              <w:bottom w:val="single" w:sz="6" w:space="0" w:color="auto"/>
              <w:right w:val="single" w:sz="6" w:space="0" w:color="auto"/>
            </w:tcBorders>
          </w:tcPr>
          <w:p w14:paraId="414F8F0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Centroflor</w:t>
            </w:r>
          </w:p>
        </w:tc>
        <w:tc>
          <w:tcPr>
            <w:tcW w:w="906" w:type="dxa"/>
            <w:tcBorders>
              <w:top w:val="single" w:sz="6" w:space="0" w:color="auto"/>
              <w:left w:val="single" w:sz="6" w:space="0" w:color="auto"/>
              <w:bottom w:val="single" w:sz="6" w:space="0" w:color="auto"/>
              <w:right w:val="single" w:sz="6" w:space="0" w:color="auto"/>
            </w:tcBorders>
          </w:tcPr>
          <w:p w14:paraId="242E006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13D1CCC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72AAB17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966BF4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205</w:t>
            </w:r>
          </w:p>
        </w:tc>
        <w:tc>
          <w:tcPr>
            <w:tcW w:w="1556" w:type="dxa"/>
            <w:tcBorders>
              <w:top w:val="single" w:sz="6" w:space="0" w:color="auto"/>
              <w:left w:val="single" w:sz="6" w:space="0" w:color="auto"/>
              <w:bottom w:val="single" w:sz="6" w:space="0" w:color="auto"/>
              <w:right w:val="single" w:sz="6" w:space="0" w:color="auto"/>
            </w:tcBorders>
          </w:tcPr>
          <w:p w14:paraId="15C5D91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 sídlišti</w:t>
            </w:r>
          </w:p>
        </w:tc>
        <w:tc>
          <w:tcPr>
            <w:tcW w:w="1193" w:type="dxa"/>
            <w:tcBorders>
              <w:top w:val="single" w:sz="6" w:space="0" w:color="auto"/>
              <w:left w:val="single" w:sz="6" w:space="0" w:color="auto"/>
              <w:bottom w:val="single" w:sz="6" w:space="0" w:color="auto"/>
              <w:right w:val="single" w:sz="6" w:space="0" w:color="auto"/>
            </w:tcBorders>
          </w:tcPr>
          <w:p w14:paraId="62264BA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7232238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08890F2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470C871A"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364D88B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77</w:t>
            </w:r>
          </w:p>
        </w:tc>
        <w:tc>
          <w:tcPr>
            <w:tcW w:w="1632" w:type="dxa"/>
            <w:tcBorders>
              <w:top w:val="single" w:sz="6" w:space="0" w:color="auto"/>
              <w:left w:val="single" w:sz="6" w:space="0" w:color="auto"/>
              <w:bottom w:val="single" w:sz="6" w:space="0" w:color="auto"/>
              <w:right w:val="single" w:sz="6" w:space="0" w:color="auto"/>
            </w:tcBorders>
          </w:tcPr>
          <w:p w14:paraId="5783983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 xml:space="preserve">Desta  </w:t>
            </w:r>
            <w:r w:rsidRPr="00D42621">
              <w:rPr>
                <w:rFonts w:ascii="Arial" w:hAnsi="Arial"/>
                <w:color w:val="000000"/>
                <w:sz w:val="16"/>
                <w:szCs w:val="16"/>
                <w:lang w:eastAsia="cs-CZ"/>
              </w:rPr>
              <w:t>- Odol.</w:t>
            </w:r>
          </w:p>
        </w:tc>
        <w:tc>
          <w:tcPr>
            <w:tcW w:w="906" w:type="dxa"/>
            <w:tcBorders>
              <w:top w:val="single" w:sz="6" w:space="0" w:color="auto"/>
              <w:left w:val="single" w:sz="6" w:space="0" w:color="auto"/>
              <w:bottom w:val="single" w:sz="6" w:space="0" w:color="auto"/>
              <w:right w:val="single" w:sz="6" w:space="0" w:color="auto"/>
            </w:tcBorders>
          </w:tcPr>
          <w:p w14:paraId="6E747DB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60753E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622ACC5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EECFB8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206</w:t>
            </w:r>
          </w:p>
        </w:tc>
        <w:tc>
          <w:tcPr>
            <w:tcW w:w="1556" w:type="dxa"/>
            <w:tcBorders>
              <w:top w:val="single" w:sz="6" w:space="0" w:color="auto"/>
              <w:left w:val="single" w:sz="6" w:space="0" w:color="auto"/>
              <w:bottom w:val="single" w:sz="6" w:space="0" w:color="auto"/>
              <w:right w:val="single" w:sz="6" w:space="0" w:color="auto"/>
            </w:tcBorders>
          </w:tcPr>
          <w:p w14:paraId="0479EAB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Kovona</w:t>
            </w:r>
          </w:p>
        </w:tc>
        <w:tc>
          <w:tcPr>
            <w:tcW w:w="1193" w:type="dxa"/>
            <w:tcBorders>
              <w:top w:val="single" w:sz="6" w:space="0" w:color="auto"/>
              <w:left w:val="single" w:sz="6" w:space="0" w:color="auto"/>
              <w:bottom w:val="single" w:sz="6" w:space="0" w:color="auto"/>
              <w:right w:val="single" w:sz="6" w:space="0" w:color="auto"/>
            </w:tcBorders>
          </w:tcPr>
          <w:p w14:paraId="542E60A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123F796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VĚ</w:t>
            </w:r>
          </w:p>
        </w:tc>
        <w:tc>
          <w:tcPr>
            <w:tcW w:w="724" w:type="dxa"/>
            <w:tcBorders>
              <w:top w:val="single" w:sz="6" w:space="0" w:color="auto"/>
              <w:left w:val="single" w:sz="6" w:space="0" w:color="auto"/>
              <w:bottom w:val="single" w:sz="6" w:space="0" w:color="auto"/>
              <w:right w:val="single" w:sz="6" w:space="0" w:color="auto"/>
            </w:tcBorders>
          </w:tcPr>
          <w:p w14:paraId="28224DB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27C89584"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46A7C29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78</w:t>
            </w:r>
          </w:p>
        </w:tc>
        <w:tc>
          <w:tcPr>
            <w:tcW w:w="1632" w:type="dxa"/>
            <w:tcBorders>
              <w:top w:val="single" w:sz="6" w:space="0" w:color="auto"/>
              <w:left w:val="single" w:sz="6" w:space="0" w:color="auto"/>
              <w:bottom w:val="single" w:sz="6" w:space="0" w:color="auto"/>
              <w:right w:val="single" w:sz="6" w:space="0" w:color="auto"/>
            </w:tcBorders>
          </w:tcPr>
          <w:p w14:paraId="2CE0118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Přípeř</w:t>
            </w:r>
          </w:p>
        </w:tc>
        <w:tc>
          <w:tcPr>
            <w:tcW w:w="906" w:type="dxa"/>
            <w:tcBorders>
              <w:top w:val="single" w:sz="6" w:space="0" w:color="auto"/>
              <w:left w:val="single" w:sz="6" w:space="0" w:color="auto"/>
              <w:bottom w:val="single" w:sz="6" w:space="0" w:color="auto"/>
              <w:right w:val="single" w:sz="6" w:space="0" w:color="auto"/>
            </w:tcBorders>
          </w:tcPr>
          <w:p w14:paraId="2B0CAA7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1FF3F2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C9D2C4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4B8EB3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207</w:t>
            </w:r>
          </w:p>
        </w:tc>
        <w:tc>
          <w:tcPr>
            <w:tcW w:w="1556" w:type="dxa"/>
            <w:tcBorders>
              <w:top w:val="single" w:sz="6" w:space="0" w:color="auto"/>
              <w:left w:val="single" w:sz="6" w:space="0" w:color="auto"/>
              <w:bottom w:val="single" w:sz="6" w:space="0" w:color="auto"/>
              <w:right w:val="single" w:sz="6" w:space="0" w:color="auto"/>
            </w:tcBorders>
          </w:tcPr>
          <w:p w14:paraId="2524C98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Zápotockého</w:t>
            </w:r>
          </w:p>
        </w:tc>
        <w:tc>
          <w:tcPr>
            <w:tcW w:w="1193" w:type="dxa"/>
            <w:tcBorders>
              <w:top w:val="single" w:sz="6" w:space="0" w:color="auto"/>
              <w:left w:val="single" w:sz="6" w:space="0" w:color="auto"/>
              <w:bottom w:val="single" w:sz="6" w:space="0" w:color="auto"/>
              <w:right w:val="single" w:sz="6" w:space="0" w:color="auto"/>
            </w:tcBorders>
          </w:tcPr>
          <w:p w14:paraId="0F54993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3B85890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ZD</w:t>
            </w:r>
          </w:p>
        </w:tc>
        <w:tc>
          <w:tcPr>
            <w:tcW w:w="724" w:type="dxa"/>
            <w:tcBorders>
              <w:top w:val="single" w:sz="6" w:space="0" w:color="auto"/>
              <w:left w:val="single" w:sz="6" w:space="0" w:color="auto"/>
              <w:bottom w:val="single" w:sz="6" w:space="0" w:color="auto"/>
              <w:right w:val="single" w:sz="6" w:space="0" w:color="auto"/>
            </w:tcBorders>
          </w:tcPr>
          <w:p w14:paraId="0CE77D8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76F81F22"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51CB62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79</w:t>
            </w:r>
          </w:p>
        </w:tc>
        <w:tc>
          <w:tcPr>
            <w:tcW w:w="1632" w:type="dxa"/>
            <w:tcBorders>
              <w:top w:val="single" w:sz="6" w:space="0" w:color="auto"/>
              <w:left w:val="single" w:sz="6" w:space="0" w:color="auto"/>
              <w:bottom w:val="single" w:sz="6" w:space="0" w:color="auto"/>
              <w:right w:val="single" w:sz="6" w:space="0" w:color="auto"/>
            </w:tcBorders>
          </w:tcPr>
          <w:p w14:paraId="4983ED4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Teplická, byt SČE</w:t>
            </w:r>
          </w:p>
        </w:tc>
        <w:tc>
          <w:tcPr>
            <w:tcW w:w="906" w:type="dxa"/>
            <w:tcBorders>
              <w:top w:val="single" w:sz="6" w:space="0" w:color="auto"/>
              <w:left w:val="single" w:sz="6" w:space="0" w:color="auto"/>
              <w:bottom w:val="single" w:sz="6" w:space="0" w:color="auto"/>
              <w:right w:val="single" w:sz="6" w:space="0" w:color="auto"/>
            </w:tcBorders>
          </w:tcPr>
          <w:p w14:paraId="653275B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BDBAF4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5E0D61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D8133B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208</w:t>
            </w:r>
          </w:p>
        </w:tc>
        <w:tc>
          <w:tcPr>
            <w:tcW w:w="1556" w:type="dxa"/>
            <w:tcBorders>
              <w:top w:val="single" w:sz="6" w:space="0" w:color="auto"/>
              <w:left w:val="single" w:sz="6" w:space="0" w:color="auto"/>
              <w:bottom w:val="single" w:sz="6" w:space="0" w:color="auto"/>
              <w:right w:val="single" w:sz="6" w:space="0" w:color="auto"/>
            </w:tcBorders>
          </w:tcPr>
          <w:p w14:paraId="10AB23F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Školní</w:t>
            </w:r>
          </w:p>
        </w:tc>
        <w:tc>
          <w:tcPr>
            <w:tcW w:w="1193" w:type="dxa"/>
            <w:tcBorders>
              <w:top w:val="single" w:sz="6" w:space="0" w:color="auto"/>
              <w:left w:val="single" w:sz="6" w:space="0" w:color="auto"/>
              <w:bottom w:val="single" w:sz="6" w:space="0" w:color="auto"/>
              <w:right w:val="single" w:sz="6" w:space="0" w:color="auto"/>
            </w:tcBorders>
          </w:tcPr>
          <w:p w14:paraId="108FA50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71BBDA4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ZD</w:t>
            </w:r>
          </w:p>
        </w:tc>
        <w:tc>
          <w:tcPr>
            <w:tcW w:w="724" w:type="dxa"/>
            <w:tcBorders>
              <w:top w:val="single" w:sz="6" w:space="0" w:color="auto"/>
              <w:left w:val="single" w:sz="6" w:space="0" w:color="auto"/>
              <w:bottom w:val="single" w:sz="6" w:space="0" w:color="auto"/>
              <w:right w:val="single" w:sz="6" w:space="0" w:color="auto"/>
            </w:tcBorders>
          </w:tcPr>
          <w:p w14:paraId="4EB0FD7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088581F8"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7CF4CF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80</w:t>
            </w:r>
          </w:p>
        </w:tc>
        <w:tc>
          <w:tcPr>
            <w:tcW w:w="1632" w:type="dxa"/>
            <w:tcBorders>
              <w:top w:val="single" w:sz="6" w:space="0" w:color="auto"/>
              <w:left w:val="single" w:sz="6" w:space="0" w:color="auto"/>
              <w:bottom w:val="single" w:sz="6" w:space="0" w:color="auto"/>
              <w:right w:val="single" w:sz="6" w:space="0" w:color="auto"/>
            </w:tcBorders>
          </w:tcPr>
          <w:p w14:paraId="56C7A17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Pastýřská stěna</w:t>
            </w:r>
          </w:p>
        </w:tc>
        <w:tc>
          <w:tcPr>
            <w:tcW w:w="906" w:type="dxa"/>
            <w:tcBorders>
              <w:top w:val="single" w:sz="6" w:space="0" w:color="auto"/>
              <w:left w:val="single" w:sz="6" w:space="0" w:color="auto"/>
              <w:bottom w:val="single" w:sz="6" w:space="0" w:color="auto"/>
              <w:right w:val="single" w:sz="6" w:space="0" w:color="auto"/>
            </w:tcBorders>
          </w:tcPr>
          <w:p w14:paraId="438A9C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37A9DD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0AB022A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22F08B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209</w:t>
            </w:r>
          </w:p>
        </w:tc>
        <w:tc>
          <w:tcPr>
            <w:tcW w:w="1556" w:type="dxa"/>
            <w:tcBorders>
              <w:top w:val="single" w:sz="6" w:space="0" w:color="auto"/>
              <w:left w:val="single" w:sz="6" w:space="0" w:color="auto"/>
              <w:bottom w:val="single" w:sz="6" w:space="0" w:color="auto"/>
              <w:right w:val="single" w:sz="6" w:space="0" w:color="auto"/>
            </w:tcBorders>
          </w:tcPr>
          <w:p w14:paraId="016DFAF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JZD</w:t>
            </w:r>
          </w:p>
        </w:tc>
        <w:tc>
          <w:tcPr>
            <w:tcW w:w="1193" w:type="dxa"/>
            <w:tcBorders>
              <w:top w:val="single" w:sz="6" w:space="0" w:color="auto"/>
              <w:left w:val="single" w:sz="6" w:space="0" w:color="auto"/>
              <w:bottom w:val="single" w:sz="6" w:space="0" w:color="auto"/>
              <w:right w:val="single" w:sz="6" w:space="0" w:color="auto"/>
            </w:tcBorders>
          </w:tcPr>
          <w:p w14:paraId="7342CA0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Nebočady</w:t>
            </w:r>
          </w:p>
        </w:tc>
        <w:tc>
          <w:tcPr>
            <w:tcW w:w="633" w:type="dxa"/>
            <w:tcBorders>
              <w:top w:val="single" w:sz="6" w:space="0" w:color="auto"/>
              <w:left w:val="single" w:sz="6" w:space="0" w:color="auto"/>
              <w:bottom w:val="single" w:sz="6" w:space="0" w:color="auto"/>
              <w:right w:val="single" w:sz="6" w:space="0" w:color="auto"/>
            </w:tcBorders>
          </w:tcPr>
          <w:p w14:paraId="644E1E2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SL</w:t>
            </w:r>
          </w:p>
        </w:tc>
        <w:tc>
          <w:tcPr>
            <w:tcW w:w="724" w:type="dxa"/>
            <w:tcBorders>
              <w:top w:val="single" w:sz="6" w:space="0" w:color="auto"/>
              <w:left w:val="single" w:sz="6" w:space="0" w:color="auto"/>
              <w:bottom w:val="single" w:sz="6" w:space="0" w:color="auto"/>
              <w:right w:val="single" w:sz="6" w:space="0" w:color="auto"/>
            </w:tcBorders>
          </w:tcPr>
          <w:p w14:paraId="23E7A3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7D822EC4"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04D7BB2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81</w:t>
            </w:r>
          </w:p>
        </w:tc>
        <w:tc>
          <w:tcPr>
            <w:tcW w:w="1632" w:type="dxa"/>
            <w:tcBorders>
              <w:top w:val="single" w:sz="6" w:space="0" w:color="auto"/>
              <w:left w:val="single" w:sz="6" w:space="0" w:color="auto"/>
              <w:bottom w:val="single" w:sz="6" w:space="0" w:color="auto"/>
              <w:right w:val="single" w:sz="6" w:space="0" w:color="auto"/>
            </w:tcBorders>
          </w:tcPr>
          <w:p w14:paraId="633443A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Puchmajerova</w:t>
            </w:r>
          </w:p>
        </w:tc>
        <w:tc>
          <w:tcPr>
            <w:tcW w:w="906" w:type="dxa"/>
            <w:tcBorders>
              <w:top w:val="single" w:sz="6" w:space="0" w:color="auto"/>
              <w:left w:val="single" w:sz="6" w:space="0" w:color="auto"/>
              <w:bottom w:val="single" w:sz="6" w:space="0" w:color="auto"/>
              <w:right w:val="single" w:sz="6" w:space="0" w:color="auto"/>
            </w:tcBorders>
          </w:tcPr>
          <w:p w14:paraId="671522A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30DE721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60CB18D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A84FD6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210</w:t>
            </w:r>
          </w:p>
        </w:tc>
        <w:tc>
          <w:tcPr>
            <w:tcW w:w="1556" w:type="dxa"/>
            <w:tcBorders>
              <w:top w:val="single" w:sz="6" w:space="0" w:color="auto"/>
              <w:left w:val="single" w:sz="6" w:space="0" w:color="auto"/>
              <w:bottom w:val="single" w:sz="6" w:space="0" w:color="auto"/>
              <w:right w:val="single" w:sz="6" w:space="0" w:color="auto"/>
            </w:tcBorders>
          </w:tcPr>
          <w:p w14:paraId="0AFAE1B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55B2F0C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Nebočady</w:t>
            </w:r>
          </w:p>
        </w:tc>
        <w:tc>
          <w:tcPr>
            <w:tcW w:w="633" w:type="dxa"/>
            <w:tcBorders>
              <w:top w:val="single" w:sz="6" w:space="0" w:color="auto"/>
              <w:left w:val="single" w:sz="6" w:space="0" w:color="auto"/>
              <w:bottom w:val="single" w:sz="6" w:space="0" w:color="auto"/>
              <w:right w:val="single" w:sz="6" w:space="0" w:color="auto"/>
            </w:tcBorders>
          </w:tcPr>
          <w:p w14:paraId="4CCB78A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SL</w:t>
            </w:r>
          </w:p>
        </w:tc>
        <w:tc>
          <w:tcPr>
            <w:tcW w:w="724" w:type="dxa"/>
            <w:tcBorders>
              <w:top w:val="single" w:sz="6" w:space="0" w:color="auto"/>
              <w:left w:val="single" w:sz="6" w:space="0" w:color="auto"/>
              <w:bottom w:val="single" w:sz="6" w:space="0" w:color="auto"/>
              <w:right w:val="single" w:sz="6" w:space="0" w:color="auto"/>
            </w:tcBorders>
          </w:tcPr>
          <w:p w14:paraId="34DF81C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1B66170C"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06490AF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82</w:t>
            </w:r>
          </w:p>
        </w:tc>
        <w:tc>
          <w:tcPr>
            <w:tcW w:w="1632" w:type="dxa"/>
            <w:tcBorders>
              <w:top w:val="single" w:sz="6" w:space="0" w:color="auto"/>
              <w:left w:val="single" w:sz="6" w:space="0" w:color="auto"/>
              <w:bottom w:val="single" w:sz="6" w:space="0" w:color="auto"/>
              <w:right w:val="single" w:sz="6" w:space="0" w:color="auto"/>
            </w:tcBorders>
          </w:tcPr>
          <w:p w14:paraId="3B377A6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Lab.nábř.,u výtahu</w:t>
            </w:r>
          </w:p>
        </w:tc>
        <w:tc>
          <w:tcPr>
            <w:tcW w:w="906" w:type="dxa"/>
            <w:tcBorders>
              <w:top w:val="single" w:sz="6" w:space="0" w:color="auto"/>
              <w:left w:val="single" w:sz="6" w:space="0" w:color="auto"/>
              <w:bottom w:val="single" w:sz="6" w:space="0" w:color="auto"/>
              <w:right w:val="single" w:sz="6" w:space="0" w:color="auto"/>
            </w:tcBorders>
          </w:tcPr>
          <w:p w14:paraId="5A60A4B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89C5A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146B05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FE6D24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211</w:t>
            </w:r>
          </w:p>
        </w:tc>
        <w:tc>
          <w:tcPr>
            <w:tcW w:w="1556" w:type="dxa"/>
            <w:tcBorders>
              <w:top w:val="single" w:sz="6" w:space="0" w:color="auto"/>
              <w:left w:val="single" w:sz="6" w:space="0" w:color="auto"/>
              <w:bottom w:val="single" w:sz="6" w:space="0" w:color="auto"/>
              <w:right w:val="single" w:sz="6" w:space="0" w:color="auto"/>
            </w:tcBorders>
          </w:tcPr>
          <w:p w14:paraId="551E49E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Koupaliště</w:t>
            </w:r>
          </w:p>
        </w:tc>
        <w:tc>
          <w:tcPr>
            <w:tcW w:w="1193" w:type="dxa"/>
            <w:tcBorders>
              <w:top w:val="single" w:sz="6" w:space="0" w:color="auto"/>
              <w:left w:val="single" w:sz="6" w:space="0" w:color="auto"/>
              <w:bottom w:val="single" w:sz="6" w:space="0" w:color="auto"/>
              <w:right w:val="single" w:sz="6" w:space="0" w:color="auto"/>
            </w:tcBorders>
          </w:tcPr>
          <w:p w14:paraId="060722C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Nebočady</w:t>
            </w:r>
          </w:p>
        </w:tc>
        <w:tc>
          <w:tcPr>
            <w:tcW w:w="633" w:type="dxa"/>
            <w:tcBorders>
              <w:top w:val="single" w:sz="6" w:space="0" w:color="auto"/>
              <w:left w:val="single" w:sz="6" w:space="0" w:color="auto"/>
              <w:bottom w:val="single" w:sz="6" w:space="0" w:color="auto"/>
              <w:right w:val="single" w:sz="6" w:space="0" w:color="auto"/>
            </w:tcBorders>
          </w:tcPr>
          <w:p w14:paraId="5ACDF4A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2A30562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56A39823"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68EEB0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83</w:t>
            </w:r>
          </w:p>
        </w:tc>
        <w:tc>
          <w:tcPr>
            <w:tcW w:w="1632" w:type="dxa"/>
            <w:tcBorders>
              <w:top w:val="single" w:sz="6" w:space="0" w:color="auto"/>
              <w:left w:val="single" w:sz="6" w:space="0" w:color="auto"/>
              <w:bottom w:val="single" w:sz="6" w:space="0" w:color="auto"/>
              <w:right w:val="single" w:sz="6" w:space="0" w:color="auto"/>
            </w:tcBorders>
          </w:tcPr>
          <w:p w14:paraId="23DAF97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Nábřeží, zast.MHD</w:t>
            </w:r>
          </w:p>
        </w:tc>
        <w:tc>
          <w:tcPr>
            <w:tcW w:w="906" w:type="dxa"/>
            <w:tcBorders>
              <w:top w:val="single" w:sz="6" w:space="0" w:color="auto"/>
              <w:left w:val="single" w:sz="6" w:space="0" w:color="auto"/>
              <w:bottom w:val="single" w:sz="6" w:space="0" w:color="auto"/>
              <w:right w:val="single" w:sz="6" w:space="0" w:color="auto"/>
            </w:tcBorders>
          </w:tcPr>
          <w:p w14:paraId="22A1B54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30B45D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276C91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20E28E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212</w:t>
            </w:r>
          </w:p>
        </w:tc>
        <w:tc>
          <w:tcPr>
            <w:tcW w:w="1556" w:type="dxa"/>
            <w:tcBorders>
              <w:top w:val="single" w:sz="6" w:space="0" w:color="auto"/>
              <w:left w:val="single" w:sz="6" w:space="0" w:color="auto"/>
              <w:bottom w:val="single" w:sz="6" w:space="0" w:color="auto"/>
              <w:right w:val="single" w:sz="6" w:space="0" w:color="auto"/>
            </w:tcBorders>
          </w:tcPr>
          <w:p w14:paraId="2444688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HOCO</w:t>
            </w:r>
          </w:p>
        </w:tc>
        <w:tc>
          <w:tcPr>
            <w:tcW w:w="1193" w:type="dxa"/>
            <w:tcBorders>
              <w:top w:val="single" w:sz="6" w:space="0" w:color="auto"/>
              <w:left w:val="single" w:sz="6" w:space="0" w:color="auto"/>
              <w:bottom w:val="single" w:sz="6" w:space="0" w:color="auto"/>
              <w:right w:val="single" w:sz="6" w:space="0" w:color="auto"/>
            </w:tcBorders>
          </w:tcPr>
          <w:p w14:paraId="6F6A126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5351B93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013B2FC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28113BEB"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5D106A2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84</w:t>
            </w:r>
          </w:p>
        </w:tc>
        <w:tc>
          <w:tcPr>
            <w:tcW w:w="1632" w:type="dxa"/>
            <w:tcBorders>
              <w:top w:val="single" w:sz="6" w:space="0" w:color="auto"/>
              <w:left w:val="single" w:sz="6" w:space="0" w:color="auto"/>
              <w:bottom w:val="single" w:sz="6" w:space="0" w:color="auto"/>
              <w:right w:val="single" w:sz="6" w:space="0" w:color="auto"/>
            </w:tcBorders>
          </w:tcPr>
          <w:p w14:paraId="59C6487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ČD, tunel</w:t>
            </w:r>
          </w:p>
        </w:tc>
        <w:tc>
          <w:tcPr>
            <w:tcW w:w="906" w:type="dxa"/>
            <w:tcBorders>
              <w:top w:val="single" w:sz="6" w:space="0" w:color="auto"/>
              <w:left w:val="single" w:sz="6" w:space="0" w:color="auto"/>
              <w:bottom w:val="single" w:sz="6" w:space="0" w:color="auto"/>
              <w:right w:val="single" w:sz="6" w:space="0" w:color="auto"/>
            </w:tcBorders>
          </w:tcPr>
          <w:p w14:paraId="26D7E53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3802CF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274ADB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DE0E9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213</w:t>
            </w:r>
          </w:p>
        </w:tc>
        <w:tc>
          <w:tcPr>
            <w:tcW w:w="1556" w:type="dxa"/>
            <w:tcBorders>
              <w:top w:val="single" w:sz="6" w:space="0" w:color="auto"/>
              <w:left w:val="single" w:sz="6" w:space="0" w:color="auto"/>
              <w:bottom w:val="single" w:sz="6" w:space="0" w:color="auto"/>
              <w:right w:val="single" w:sz="6" w:space="0" w:color="auto"/>
            </w:tcBorders>
          </w:tcPr>
          <w:p w14:paraId="387AF7A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Strojobal</w:t>
            </w:r>
          </w:p>
        </w:tc>
        <w:tc>
          <w:tcPr>
            <w:tcW w:w="1193" w:type="dxa"/>
            <w:tcBorders>
              <w:top w:val="single" w:sz="6" w:space="0" w:color="auto"/>
              <w:left w:val="single" w:sz="6" w:space="0" w:color="auto"/>
              <w:bottom w:val="single" w:sz="6" w:space="0" w:color="auto"/>
              <w:right w:val="single" w:sz="6" w:space="0" w:color="auto"/>
            </w:tcBorders>
          </w:tcPr>
          <w:p w14:paraId="607A766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Vilsnice</w:t>
            </w:r>
          </w:p>
        </w:tc>
        <w:tc>
          <w:tcPr>
            <w:tcW w:w="633" w:type="dxa"/>
            <w:tcBorders>
              <w:top w:val="single" w:sz="6" w:space="0" w:color="auto"/>
              <w:left w:val="single" w:sz="6" w:space="0" w:color="auto"/>
              <w:bottom w:val="single" w:sz="6" w:space="0" w:color="auto"/>
              <w:right w:val="single" w:sz="6" w:space="0" w:color="auto"/>
            </w:tcBorders>
          </w:tcPr>
          <w:p w14:paraId="551C95D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44AC7BA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00BA8B62"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834765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85</w:t>
            </w:r>
          </w:p>
        </w:tc>
        <w:tc>
          <w:tcPr>
            <w:tcW w:w="1632" w:type="dxa"/>
            <w:tcBorders>
              <w:top w:val="single" w:sz="6" w:space="0" w:color="auto"/>
              <w:left w:val="single" w:sz="6" w:space="0" w:color="auto"/>
              <w:bottom w:val="single" w:sz="6" w:space="0" w:color="auto"/>
              <w:right w:val="single" w:sz="6" w:space="0" w:color="auto"/>
            </w:tcBorders>
          </w:tcPr>
          <w:p w14:paraId="4FABFA5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ČSPLO, Atlantik</w:t>
            </w:r>
          </w:p>
        </w:tc>
        <w:tc>
          <w:tcPr>
            <w:tcW w:w="906" w:type="dxa"/>
            <w:tcBorders>
              <w:top w:val="single" w:sz="6" w:space="0" w:color="auto"/>
              <w:left w:val="single" w:sz="6" w:space="0" w:color="auto"/>
              <w:bottom w:val="single" w:sz="6" w:space="0" w:color="auto"/>
              <w:right w:val="single" w:sz="6" w:space="0" w:color="auto"/>
            </w:tcBorders>
          </w:tcPr>
          <w:p w14:paraId="13B07BB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48691E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6997A81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A17CF6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214</w:t>
            </w:r>
          </w:p>
        </w:tc>
        <w:tc>
          <w:tcPr>
            <w:tcW w:w="1556" w:type="dxa"/>
            <w:tcBorders>
              <w:top w:val="single" w:sz="6" w:space="0" w:color="auto"/>
              <w:left w:val="single" w:sz="6" w:space="0" w:color="auto"/>
              <w:bottom w:val="single" w:sz="6" w:space="0" w:color="auto"/>
              <w:right w:val="single" w:sz="6" w:space="0" w:color="auto"/>
            </w:tcBorders>
          </w:tcPr>
          <w:p w14:paraId="7E7D38F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25009C0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Vilsnice</w:t>
            </w:r>
          </w:p>
        </w:tc>
        <w:tc>
          <w:tcPr>
            <w:tcW w:w="633" w:type="dxa"/>
            <w:tcBorders>
              <w:top w:val="single" w:sz="6" w:space="0" w:color="auto"/>
              <w:left w:val="single" w:sz="6" w:space="0" w:color="auto"/>
              <w:bottom w:val="single" w:sz="6" w:space="0" w:color="auto"/>
              <w:right w:val="single" w:sz="6" w:space="0" w:color="auto"/>
            </w:tcBorders>
          </w:tcPr>
          <w:p w14:paraId="236E891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628E1B4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73A8ECF3"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0F81CE6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86</w:t>
            </w:r>
          </w:p>
        </w:tc>
        <w:tc>
          <w:tcPr>
            <w:tcW w:w="1632" w:type="dxa"/>
            <w:tcBorders>
              <w:top w:val="single" w:sz="6" w:space="0" w:color="auto"/>
              <w:left w:val="single" w:sz="6" w:space="0" w:color="auto"/>
              <w:bottom w:val="single" w:sz="6" w:space="0" w:color="auto"/>
              <w:right w:val="single" w:sz="6" w:space="0" w:color="auto"/>
            </w:tcBorders>
          </w:tcPr>
          <w:p w14:paraId="01D6ECF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Střed, Plavební</w:t>
            </w:r>
          </w:p>
        </w:tc>
        <w:tc>
          <w:tcPr>
            <w:tcW w:w="906" w:type="dxa"/>
            <w:tcBorders>
              <w:top w:val="single" w:sz="6" w:space="0" w:color="auto"/>
              <w:left w:val="single" w:sz="6" w:space="0" w:color="auto"/>
              <w:bottom w:val="single" w:sz="6" w:space="0" w:color="auto"/>
              <w:right w:val="single" w:sz="6" w:space="0" w:color="auto"/>
            </w:tcBorders>
          </w:tcPr>
          <w:p w14:paraId="2D4D14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1251CD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07CF403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4DEC48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215</w:t>
            </w:r>
          </w:p>
        </w:tc>
        <w:tc>
          <w:tcPr>
            <w:tcW w:w="1556" w:type="dxa"/>
            <w:tcBorders>
              <w:top w:val="single" w:sz="6" w:space="0" w:color="auto"/>
              <w:left w:val="single" w:sz="6" w:space="0" w:color="auto"/>
              <w:bottom w:val="single" w:sz="6" w:space="0" w:color="auto"/>
              <w:right w:val="single" w:sz="6" w:space="0" w:color="auto"/>
            </w:tcBorders>
          </w:tcPr>
          <w:p w14:paraId="61271EA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Zastávka</w:t>
            </w:r>
          </w:p>
        </w:tc>
        <w:tc>
          <w:tcPr>
            <w:tcW w:w="1193" w:type="dxa"/>
            <w:tcBorders>
              <w:top w:val="single" w:sz="6" w:space="0" w:color="auto"/>
              <w:left w:val="single" w:sz="6" w:space="0" w:color="auto"/>
              <w:bottom w:val="single" w:sz="6" w:space="0" w:color="auto"/>
              <w:right w:val="single" w:sz="6" w:space="0" w:color="auto"/>
            </w:tcBorders>
          </w:tcPr>
          <w:p w14:paraId="34CFC6C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Bechlejovice</w:t>
            </w:r>
          </w:p>
        </w:tc>
        <w:tc>
          <w:tcPr>
            <w:tcW w:w="633" w:type="dxa"/>
            <w:tcBorders>
              <w:top w:val="single" w:sz="6" w:space="0" w:color="auto"/>
              <w:left w:val="single" w:sz="6" w:space="0" w:color="auto"/>
              <w:bottom w:val="single" w:sz="6" w:space="0" w:color="auto"/>
              <w:right w:val="single" w:sz="6" w:space="0" w:color="auto"/>
            </w:tcBorders>
          </w:tcPr>
          <w:p w14:paraId="220ABA6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109D0A8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5AE85057"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2970A4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87</w:t>
            </w:r>
          </w:p>
        </w:tc>
        <w:tc>
          <w:tcPr>
            <w:tcW w:w="1632" w:type="dxa"/>
            <w:tcBorders>
              <w:top w:val="single" w:sz="6" w:space="0" w:color="auto"/>
              <w:left w:val="single" w:sz="6" w:space="0" w:color="auto"/>
              <w:bottom w:val="single" w:sz="6" w:space="0" w:color="auto"/>
              <w:right w:val="single" w:sz="6" w:space="0" w:color="auto"/>
            </w:tcBorders>
          </w:tcPr>
          <w:p w14:paraId="67733F0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Dům služeb</w:t>
            </w:r>
          </w:p>
        </w:tc>
        <w:tc>
          <w:tcPr>
            <w:tcW w:w="906" w:type="dxa"/>
            <w:tcBorders>
              <w:top w:val="single" w:sz="6" w:space="0" w:color="auto"/>
              <w:left w:val="single" w:sz="6" w:space="0" w:color="auto"/>
              <w:bottom w:val="single" w:sz="6" w:space="0" w:color="auto"/>
              <w:right w:val="single" w:sz="6" w:space="0" w:color="auto"/>
            </w:tcBorders>
          </w:tcPr>
          <w:p w14:paraId="4B46EB6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AC2B1A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1A2633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6957B6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216</w:t>
            </w:r>
          </w:p>
        </w:tc>
        <w:tc>
          <w:tcPr>
            <w:tcW w:w="1556" w:type="dxa"/>
            <w:tcBorders>
              <w:top w:val="single" w:sz="6" w:space="0" w:color="auto"/>
              <w:left w:val="single" w:sz="6" w:space="0" w:color="auto"/>
              <w:bottom w:val="single" w:sz="6" w:space="0" w:color="auto"/>
              <w:right w:val="single" w:sz="6" w:space="0" w:color="auto"/>
            </w:tcBorders>
          </w:tcPr>
          <w:p w14:paraId="6FACC31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Centrální zdroj</w:t>
            </w:r>
          </w:p>
        </w:tc>
        <w:tc>
          <w:tcPr>
            <w:tcW w:w="1193" w:type="dxa"/>
            <w:tcBorders>
              <w:top w:val="single" w:sz="6" w:space="0" w:color="auto"/>
              <w:left w:val="single" w:sz="6" w:space="0" w:color="auto"/>
              <w:bottom w:val="single" w:sz="6" w:space="0" w:color="auto"/>
              <w:right w:val="single" w:sz="6" w:space="0" w:color="auto"/>
            </w:tcBorders>
          </w:tcPr>
          <w:p w14:paraId="51C50F9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N. Město</w:t>
            </w:r>
          </w:p>
        </w:tc>
        <w:tc>
          <w:tcPr>
            <w:tcW w:w="633" w:type="dxa"/>
            <w:tcBorders>
              <w:top w:val="single" w:sz="6" w:space="0" w:color="auto"/>
              <w:left w:val="single" w:sz="6" w:space="0" w:color="auto"/>
              <w:bottom w:val="single" w:sz="6" w:space="0" w:color="auto"/>
              <w:right w:val="single" w:sz="6" w:space="0" w:color="auto"/>
            </w:tcBorders>
          </w:tcPr>
          <w:p w14:paraId="0FF2E8C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74D999A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16C500A7"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D5F0E1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88</w:t>
            </w:r>
          </w:p>
        </w:tc>
        <w:tc>
          <w:tcPr>
            <w:tcW w:w="1632" w:type="dxa"/>
            <w:tcBorders>
              <w:top w:val="single" w:sz="6" w:space="0" w:color="auto"/>
              <w:left w:val="single" w:sz="6" w:space="0" w:color="auto"/>
              <w:bottom w:val="single" w:sz="6" w:space="0" w:color="auto"/>
              <w:right w:val="single" w:sz="6" w:space="0" w:color="auto"/>
            </w:tcBorders>
          </w:tcPr>
          <w:p w14:paraId="62AD800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Nerudova</w:t>
            </w:r>
          </w:p>
        </w:tc>
        <w:tc>
          <w:tcPr>
            <w:tcW w:w="906" w:type="dxa"/>
            <w:tcBorders>
              <w:top w:val="single" w:sz="6" w:space="0" w:color="auto"/>
              <w:left w:val="single" w:sz="6" w:space="0" w:color="auto"/>
              <w:bottom w:val="single" w:sz="6" w:space="0" w:color="auto"/>
              <w:right w:val="single" w:sz="6" w:space="0" w:color="auto"/>
            </w:tcBorders>
          </w:tcPr>
          <w:p w14:paraId="35161C7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C4E950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DB76C2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0BC183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217</w:t>
            </w:r>
          </w:p>
        </w:tc>
        <w:tc>
          <w:tcPr>
            <w:tcW w:w="1556" w:type="dxa"/>
            <w:tcBorders>
              <w:top w:val="single" w:sz="6" w:space="0" w:color="auto"/>
              <w:left w:val="single" w:sz="6" w:space="0" w:color="auto"/>
              <w:bottom w:val="single" w:sz="6" w:space="0" w:color="auto"/>
              <w:right w:val="single" w:sz="6" w:space="0" w:color="auto"/>
            </w:tcBorders>
          </w:tcPr>
          <w:p w14:paraId="2AFAA55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Desta</w:t>
            </w:r>
          </w:p>
        </w:tc>
        <w:tc>
          <w:tcPr>
            <w:tcW w:w="1193" w:type="dxa"/>
            <w:tcBorders>
              <w:top w:val="single" w:sz="6" w:space="0" w:color="auto"/>
              <w:left w:val="single" w:sz="6" w:space="0" w:color="auto"/>
              <w:bottom w:val="single" w:sz="6" w:space="0" w:color="auto"/>
              <w:right w:val="single" w:sz="6" w:space="0" w:color="auto"/>
            </w:tcBorders>
          </w:tcPr>
          <w:p w14:paraId="6CA6CC6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55FB9F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24" w:type="dxa"/>
            <w:tcBorders>
              <w:top w:val="single" w:sz="6" w:space="0" w:color="auto"/>
              <w:left w:val="single" w:sz="6" w:space="0" w:color="auto"/>
              <w:bottom w:val="single" w:sz="6" w:space="0" w:color="auto"/>
              <w:right w:val="single" w:sz="6" w:space="0" w:color="auto"/>
            </w:tcBorders>
          </w:tcPr>
          <w:p w14:paraId="31153CA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7EAC0256"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EB6D7A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89</w:t>
            </w:r>
          </w:p>
        </w:tc>
        <w:tc>
          <w:tcPr>
            <w:tcW w:w="1632" w:type="dxa"/>
            <w:tcBorders>
              <w:top w:val="single" w:sz="6" w:space="0" w:color="auto"/>
              <w:left w:val="single" w:sz="6" w:space="0" w:color="auto"/>
              <w:bottom w:val="single" w:sz="6" w:space="0" w:color="auto"/>
              <w:right w:val="single" w:sz="6" w:space="0" w:color="auto"/>
            </w:tcBorders>
          </w:tcPr>
          <w:p w14:paraId="677C7C2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Destaklub</w:t>
            </w:r>
          </w:p>
        </w:tc>
        <w:tc>
          <w:tcPr>
            <w:tcW w:w="906" w:type="dxa"/>
            <w:tcBorders>
              <w:top w:val="single" w:sz="6" w:space="0" w:color="auto"/>
              <w:left w:val="single" w:sz="6" w:space="0" w:color="auto"/>
              <w:bottom w:val="single" w:sz="6" w:space="0" w:color="auto"/>
              <w:right w:val="single" w:sz="6" w:space="0" w:color="auto"/>
            </w:tcBorders>
          </w:tcPr>
          <w:p w14:paraId="2DB3FD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D1E363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B12A1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54C26E7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218</w:t>
            </w:r>
          </w:p>
        </w:tc>
        <w:tc>
          <w:tcPr>
            <w:tcW w:w="1556" w:type="dxa"/>
            <w:tcBorders>
              <w:top w:val="single" w:sz="6" w:space="0" w:color="auto"/>
              <w:left w:val="single" w:sz="6" w:space="0" w:color="auto"/>
              <w:bottom w:val="single" w:sz="6" w:space="0" w:color="auto"/>
              <w:right w:val="single" w:sz="6" w:space="0" w:color="auto"/>
            </w:tcBorders>
          </w:tcPr>
          <w:p w14:paraId="4214E29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Kablo</w:t>
            </w:r>
          </w:p>
        </w:tc>
        <w:tc>
          <w:tcPr>
            <w:tcW w:w="1193" w:type="dxa"/>
            <w:tcBorders>
              <w:top w:val="single" w:sz="6" w:space="0" w:color="auto"/>
              <w:left w:val="single" w:sz="6" w:space="0" w:color="auto"/>
              <w:bottom w:val="single" w:sz="6" w:space="0" w:color="auto"/>
              <w:right w:val="single" w:sz="6" w:space="0" w:color="auto"/>
            </w:tcBorders>
          </w:tcPr>
          <w:p w14:paraId="36456B0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20280A3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3B1DBB6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37E2780A" w14:textId="77777777" w:rsidTr="002D2D45">
        <w:trPr>
          <w:trHeight w:val="485"/>
        </w:trPr>
        <w:tc>
          <w:tcPr>
            <w:tcW w:w="558" w:type="dxa"/>
            <w:tcBorders>
              <w:top w:val="single" w:sz="6" w:space="0" w:color="auto"/>
              <w:left w:val="single" w:sz="6" w:space="0" w:color="auto"/>
              <w:bottom w:val="single" w:sz="6" w:space="0" w:color="auto"/>
              <w:right w:val="single" w:sz="6" w:space="0" w:color="auto"/>
            </w:tcBorders>
          </w:tcPr>
          <w:p w14:paraId="27E290D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90</w:t>
            </w:r>
          </w:p>
        </w:tc>
        <w:tc>
          <w:tcPr>
            <w:tcW w:w="1632" w:type="dxa"/>
            <w:tcBorders>
              <w:top w:val="single" w:sz="6" w:space="0" w:color="auto"/>
              <w:left w:val="single" w:sz="6" w:space="0" w:color="auto"/>
              <w:bottom w:val="single" w:sz="6" w:space="0" w:color="auto"/>
              <w:right w:val="single" w:sz="6" w:space="0" w:color="auto"/>
            </w:tcBorders>
          </w:tcPr>
          <w:p w14:paraId="39DC05E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ČSPLO pod Destou</w:t>
            </w:r>
          </w:p>
        </w:tc>
        <w:tc>
          <w:tcPr>
            <w:tcW w:w="906" w:type="dxa"/>
            <w:tcBorders>
              <w:top w:val="single" w:sz="6" w:space="0" w:color="auto"/>
              <w:left w:val="single" w:sz="6" w:space="0" w:color="auto"/>
              <w:bottom w:val="single" w:sz="6" w:space="0" w:color="auto"/>
              <w:right w:val="single" w:sz="6" w:space="0" w:color="auto"/>
            </w:tcBorders>
          </w:tcPr>
          <w:p w14:paraId="48DAB79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9C326A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EAEB0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EC85EA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219</w:t>
            </w:r>
          </w:p>
        </w:tc>
        <w:tc>
          <w:tcPr>
            <w:tcW w:w="1556" w:type="dxa"/>
            <w:tcBorders>
              <w:top w:val="single" w:sz="6" w:space="0" w:color="auto"/>
              <w:left w:val="single" w:sz="6" w:space="0" w:color="auto"/>
              <w:bottom w:val="single" w:sz="6" w:space="0" w:color="auto"/>
              <w:right w:val="single" w:sz="6" w:space="0" w:color="auto"/>
            </w:tcBorders>
          </w:tcPr>
          <w:p w14:paraId="57E3315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Kupce</w:t>
            </w:r>
          </w:p>
        </w:tc>
        <w:tc>
          <w:tcPr>
            <w:tcW w:w="1193" w:type="dxa"/>
            <w:tcBorders>
              <w:top w:val="single" w:sz="6" w:space="0" w:color="auto"/>
              <w:left w:val="single" w:sz="6" w:space="0" w:color="auto"/>
              <w:bottom w:val="single" w:sz="6" w:space="0" w:color="auto"/>
              <w:right w:val="single" w:sz="6" w:space="0" w:color="auto"/>
            </w:tcBorders>
          </w:tcPr>
          <w:p w14:paraId="41E88AD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Křešice</w:t>
            </w:r>
          </w:p>
        </w:tc>
        <w:tc>
          <w:tcPr>
            <w:tcW w:w="633" w:type="dxa"/>
            <w:tcBorders>
              <w:top w:val="single" w:sz="6" w:space="0" w:color="auto"/>
              <w:left w:val="single" w:sz="6" w:space="0" w:color="auto"/>
              <w:bottom w:val="single" w:sz="6" w:space="0" w:color="auto"/>
              <w:right w:val="single" w:sz="6" w:space="0" w:color="auto"/>
            </w:tcBorders>
          </w:tcPr>
          <w:p w14:paraId="1122D80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00C59B4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5FCA0C32"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0623E68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91</w:t>
            </w:r>
          </w:p>
        </w:tc>
        <w:tc>
          <w:tcPr>
            <w:tcW w:w="1632" w:type="dxa"/>
            <w:tcBorders>
              <w:top w:val="single" w:sz="6" w:space="0" w:color="auto"/>
              <w:left w:val="single" w:sz="6" w:space="0" w:color="auto"/>
              <w:bottom w:val="single" w:sz="6" w:space="0" w:color="auto"/>
              <w:right w:val="single" w:sz="6" w:space="0" w:color="auto"/>
            </w:tcBorders>
          </w:tcPr>
          <w:p w14:paraId="2A4FDEF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Nemocnice</w:t>
            </w:r>
          </w:p>
        </w:tc>
        <w:tc>
          <w:tcPr>
            <w:tcW w:w="906" w:type="dxa"/>
            <w:tcBorders>
              <w:top w:val="single" w:sz="6" w:space="0" w:color="auto"/>
              <w:left w:val="single" w:sz="6" w:space="0" w:color="auto"/>
              <w:bottom w:val="single" w:sz="6" w:space="0" w:color="auto"/>
              <w:right w:val="single" w:sz="6" w:space="0" w:color="auto"/>
            </w:tcBorders>
          </w:tcPr>
          <w:p w14:paraId="5529E20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2D206A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0E553CA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703ED2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220</w:t>
            </w:r>
          </w:p>
        </w:tc>
        <w:tc>
          <w:tcPr>
            <w:tcW w:w="1556" w:type="dxa"/>
            <w:tcBorders>
              <w:top w:val="single" w:sz="6" w:space="0" w:color="auto"/>
              <w:left w:val="single" w:sz="6" w:space="0" w:color="auto"/>
              <w:bottom w:val="single" w:sz="6" w:space="0" w:color="auto"/>
              <w:right w:val="single" w:sz="6" w:space="0" w:color="auto"/>
            </w:tcBorders>
          </w:tcPr>
          <w:p w14:paraId="6CAD533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VPZ</w:t>
            </w:r>
          </w:p>
        </w:tc>
        <w:tc>
          <w:tcPr>
            <w:tcW w:w="1193" w:type="dxa"/>
            <w:tcBorders>
              <w:top w:val="single" w:sz="6" w:space="0" w:color="auto"/>
              <w:left w:val="single" w:sz="6" w:space="0" w:color="auto"/>
              <w:bottom w:val="single" w:sz="6" w:space="0" w:color="auto"/>
              <w:right w:val="single" w:sz="6" w:space="0" w:color="auto"/>
            </w:tcBorders>
          </w:tcPr>
          <w:p w14:paraId="505D8C3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2FD8045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0D2BAE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6E65A4C6"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542C6A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92</w:t>
            </w:r>
          </w:p>
        </w:tc>
        <w:tc>
          <w:tcPr>
            <w:tcW w:w="1632" w:type="dxa"/>
            <w:tcBorders>
              <w:top w:val="single" w:sz="6" w:space="0" w:color="auto"/>
              <w:left w:val="single" w:sz="6" w:space="0" w:color="auto"/>
              <w:bottom w:val="single" w:sz="6" w:space="0" w:color="auto"/>
              <w:right w:val="single" w:sz="6" w:space="0" w:color="auto"/>
            </w:tcBorders>
          </w:tcPr>
          <w:p w14:paraId="4DCC1BD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Vrchlického</w:t>
            </w:r>
          </w:p>
        </w:tc>
        <w:tc>
          <w:tcPr>
            <w:tcW w:w="906" w:type="dxa"/>
            <w:tcBorders>
              <w:top w:val="single" w:sz="6" w:space="0" w:color="auto"/>
              <w:left w:val="single" w:sz="6" w:space="0" w:color="auto"/>
              <w:bottom w:val="single" w:sz="6" w:space="0" w:color="auto"/>
              <w:right w:val="single" w:sz="6" w:space="0" w:color="auto"/>
            </w:tcBorders>
          </w:tcPr>
          <w:p w14:paraId="2A549D7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B288A1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2D47256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D7269A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221</w:t>
            </w:r>
          </w:p>
        </w:tc>
        <w:tc>
          <w:tcPr>
            <w:tcW w:w="1556" w:type="dxa"/>
            <w:tcBorders>
              <w:top w:val="single" w:sz="6" w:space="0" w:color="auto"/>
              <w:left w:val="single" w:sz="6" w:space="0" w:color="auto"/>
              <w:bottom w:val="single" w:sz="6" w:space="0" w:color="auto"/>
              <w:right w:val="single" w:sz="6" w:space="0" w:color="auto"/>
            </w:tcBorders>
          </w:tcPr>
          <w:p w14:paraId="494B52C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 I</w:t>
            </w:r>
          </w:p>
        </w:tc>
        <w:tc>
          <w:tcPr>
            <w:tcW w:w="1193" w:type="dxa"/>
            <w:tcBorders>
              <w:top w:val="single" w:sz="6" w:space="0" w:color="auto"/>
              <w:left w:val="single" w:sz="6" w:space="0" w:color="auto"/>
              <w:bottom w:val="single" w:sz="6" w:space="0" w:color="auto"/>
              <w:right w:val="single" w:sz="6" w:space="0" w:color="auto"/>
            </w:tcBorders>
          </w:tcPr>
          <w:p w14:paraId="69B4725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 Oldřichov</w:t>
            </w:r>
          </w:p>
        </w:tc>
        <w:tc>
          <w:tcPr>
            <w:tcW w:w="633" w:type="dxa"/>
            <w:tcBorders>
              <w:top w:val="single" w:sz="6" w:space="0" w:color="auto"/>
              <w:left w:val="single" w:sz="6" w:space="0" w:color="auto"/>
              <w:bottom w:val="single" w:sz="6" w:space="0" w:color="auto"/>
              <w:right w:val="single" w:sz="6" w:space="0" w:color="auto"/>
            </w:tcBorders>
          </w:tcPr>
          <w:p w14:paraId="4A9354B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1125B38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77AF6423"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4C6F327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93</w:t>
            </w:r>
          </w:p>
        </w:tc>
        <w:tc>
          <w:tcPr>
            <w:tcW w:w="1632" w:type="dxa"/>
            <w:tcBorders>
              <w:top w:val="single" w:sz="6" w:space="0" w:color="auto"/>
              <w:left w:val="single" w:sz="6" w:space="0" w:color="auto"/>
              <w:bottom w:val="single" w:sz="6" w:space="0" w:color="auto"/>
              <w:right w:val="single" w:sz="6" w:space="0" w:color="auto"/>
            </w:tcBorders>
          </w:tcPr>
          <w:p w14:paraId="60F101A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Lužická</w:t>
            </w:r>
          </w:p>
        </w:tc>
        <w:tc>
          <w:tcPr>
            <w:tcW w:w="906" w:type="dxa"/>
            <w:tcBorders>
              <w:top w:val="single" w:sz="6" w:space="0" w:color="auto"/>
              <w:left w:val="single" w:sz="6" w:space="0" w:color="auto"/>
              <w:bottom w:val="single" w:sz="6" w:space="0" w:color="auto"/>
              <w:right w:val="single" w:sz="6" w:space="0" w:color="auto"/>
            </w:tcBorders>
          </w:tcPr>
          <w:p w14:paraId="18D8995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87F714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C288B8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A7C92E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222</w:t>
            </w:r>
          </w:p>
        </w:tc>
        <w:tc>
          <w:tcPr>
            <w:tcW w:w="1556" w:type="dxa"/>
            <w:tcBorders>
              <w:top w:val="single" w:sz="6" w:space="0" w:color="auto"/>
              <w:left w:val="single" w:sz="6" w:space="0" w:color="auto"/>
              <w:bottom w:val="single" w:sz="6" w:space="0" w:color="auto"/>
              <w:right w:val="single" w:sz="6" w:space="0" w:color="auto"/>
            </w:tcBorders>
          </w:tcPr>
          <w:p w14:paraId="381B925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 II</w:t>
            </w:r>
          </w:p>
        </w:tc>
        <w:tc>
          <w:tcPr>
            <w:tcW w:w="1193" w:type="dxa"/>
            <w:tcBorders>
              <w:top w:val="single" w:sz="6" w:space="0" w:color="auto"/>
              <w:left w:val="single" w:sz="6" w:space="0" w:color="auto"/>
              <w:bottom w:val="single" w:sz="6" w:space="0" w:color="auto"/>
              <w:right w:val="single" w:sz="6" w:space="0" w:color="auto"/>
            </w:tcBorders>
          </w:tcPr>
          <w:p w14:paraId="14CABE5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 Oldřichov</w:t>
            </w:r>
          </w:p>
        </w:tc>
        <w:tc>
          <w:tcPr>
            <w:tcW w:w="633" w:type="dxa"/>
            <w:tcBorders>
              <w:top w:val="single" w:sz="6" w:space="0" w:color="auto"/>
              <w:left w:val="single" w:sz="6" w:space="0" w:color="auto"/>
              <w:bottom w:val="single" w:sz="6" w:space="0" w:color="auto"/>
              <w:right w:val="single" w:sz="6" w:space="0" w:color="auto"/>
            </w:tcBorders>
          </w:tcPr>
          <w:p w14:paraId="40F5178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15945C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67DD322B"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EA1878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94</w:t>
            </w:r>
          </w:p>
        </w:tc>
        <w:tc>
          <w:tcPr>
            <w:tcW w:w="1632" w:type="dxa"/>
            <w:tcBorders>
              <w:top w:val="single" w:sz="6" w:space="0" w:color="auto"/>
              <w:left w:val="single" w:sz="6" w:space="0" w:color="auto"/>
              <w:bottom w:val="single" w:sz="6" w:space="0" w:color="auto"/>
              <w:right w:val="single" w:sz="6" w:space="0" w:color="auto"/>
            </w:tcBorders>
          </w:tcPr>
          <w:p w14:paraId="35D926C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ČSLA</w:t>
            </w:r>
          </w:p>
        </w:tc>
        <w:tc>
          <w:tcPr>
            <w:tcW w:w="906" w:type="dxa"/>
            <w:tcBorders>
              <w:top w:val="single" w:sz="6" w:space="0" w:color="auto"/>
              <w:left w:val="single" w:sz="6" w:space="0" w:color="auto"/>
              <w:bottom w:val="single" w:sz="6" w:space="0" w:color="auto"/>
              <w:right w:val="single" w:sz="6" w:space="0" w:color="auto"/>
            </w:tcBorders>
          </w:tcPr>
          <w:p w14:paraId="66B166E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3EC47D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3063DA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178AA2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223</w:t>
            </w:r>
          </w:p>
        </w:tc>
        <w:tc>
          <w:tcPr>
            <w:tcW w:w="1556" w:type="dxa"/>
            <w:tcBorders>
              <w:top w:val="single" w:sz="6" w:space="0" w:color="auto"/>
              <w:left w:val="single" w:sz="6" w:space="0" w:color="auto"/>
              <w:bottom w:val="single" w:sz="6" w:space="0" w:color="auto"/>
              <w:right w:val="single" w:sz="6" w:space="0" w:color="auto"/>
            </w:tcBorders>
          </w:tcPr>
          <w:p w14:paraId="3D247CA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převozu</w:t>
            </w:r>
          </w:p>
        </w:tc>
        <w:tc>
          <w:tcPr>
            <w:tcW w:w="1193" w:type="dxa"/>
            <w:tcBorders>
              <w:top w:val="single" w:sz="6" w:space="0" w:color="auto"/>
              <w:left w:val="single" w:sz="6" w:space="0" w:color="auto"/>
              <w:bottom w:val="single" w:sz="6" w:space="0" w:color="auto"/>
              <w:right w:val="single" w:sz="6" w:space="0" w:color="auto"/>
            </w:tcBorders>
          </w:tcPr>
          <w:p w14:paraId="3BCDD3A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Dol. Žleb</w:t>
            </w:r>
          </w:p>
        </w:tc>
        <w:tc>
          <w:tcPr>
            <w:tcW w:w="633" w:type="dxa"/>
            <w:tcBorders>
              <w:top w:val="single" w:sz="6" w:space="0" w:color="auto"/>
              <w:left w:val="single" w:sz="6" w:space="0" w:color="auto"/>
              <w:bottom w:val="single" w:sz="6" w:space="0" w:color="auto"/>
              <w:right w:val="single" w:sz="6" w:space="0" w:color="auto"/>
            </w:tcBorders>
          </w:tcPr>
          <w:p w14:paraId="623E6D9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0FFFEA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00768953"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BDA8F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95</w:t>
            </w:r>
          </w:p>
        </w:tc>
        <w:tc>
          <w:tcPr>
            <w:tcW w:w="1632" w:type="dxa"/>
            <w:tcBorders>
              <w:top w:val="single" w:sz="6" w:space="0" w:color="auto"/>
              <w:left w:val="single" w:sz="6" w:space="0" w:color="auto"/>
              <w:bottom w:val="single" w:sz="6" w:space="0" w:color="auto"/>
              <w:right w:val="single" w:sz="6" w:space="0" w:color="auto"/>
            </w:tcBorders>
          </w:tcPr>
          <w:p w14:paraId="7ACCD40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Severka</w:t>
            </w:r>
          </w:p>
        </w:tc>
        <w:tc>
          <w:tcPr>
            <w:tcW w:w="906" w:type="dxa"/>
            <w:tcBorders>
              <w:top w:val="single" w:sz="6" w:space="0" w:color="auto"/>
              <w:left w:val="single" w:sz="6" w:space="0" w:color="auto"/>
              <w:bottom w:val="single" w:sz="6" w:space="0" w:color="auto"/>
              <w:right w:val="single" w:sz="6" w:space="0" w:color="auto"/>
            </w:tcBorders>
          </w:tcPr>
          <w:p w14:paraId="1EEE7E0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3E65FE5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69DBAFC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BF3C43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224</w:t>
            </w:r>
          </w:p>
        </w:tc>
        <w:tc>
          <w:tcPr>
            <w:tcW w:w="1556" w:type="dxa"/>
            <w:tcBorders>
              <w:top w:val="single" w:sz="6" w:space="0" w:color="auto"/>
              <w:left w:val="single" w:sz="6" w:space="0" w:color="auto"/>
              <w:bottom w:val="single" w:sz="6" w:space="0" w:color="auto"/>
              <w:right w:val="single" w:sz="6" w:space="0" w:color="auto"/>
            </w:tcBorders>
          </w:tcPr>
          <w:p w14:paraId="41BAE75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zastávky</w:t>
            </w:r>
          </w:p>
        </w:tc>
        <w:tc>
          <w:tcPr>
            <w:tcW w:w="1193" w:type="dxa"/>
            <w:tcBorders>
              <w:top w:val="single" w:sz="6" w:space="0" w:color="auto"/>
              <w:left w:val="single" w:sz="6" w:space="0" w:color="auto"/>
              <w:bottom w:val="single" w:sz="6" w:space="0" w:color="auto"/>
              <w:right w:val="single" w:sz="6" w:space="0" w:color="auto"/>
            </w:tcBorders>
          </w:tcPr>
          <w:p w14:paraId="3A49D66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Dol. Žleb</w:t>
            </w:r>
          </w:p>
        </w:tc>
        <w:tc>
          <w:tcPr>
            <w:tcW w:w="633" w:type="dxa"/>
            <w:tcBorders>
              <w:top w:val="single" w:sz="6" w:space="0" w:color="auto"/>
              <w:left w:val="single" w:sz="6" w:space="0" w:color="auto"/>
              <w:bottom w:val="single" w:sz="6" w:space="0" w:color="auto"/>
              <w:right w:val="single" w:sz="6" w:space="0" w:color="auto"/>
            </w:tcBorders>
          </w:tcPr>
          <w:p w14:paraId="3DB26F6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0167A6C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39241F95"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E7EE4E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96</w:t>
            </w:r>
          </w:p>
        </w:tc>
        <w:tc>
          <w:tcPr>
            <w:tcW w:w="1632" w:type="dxa"/>
            <w:tcBorders>
              <w:top w:val="single" w:sz="6" w:space="0" w:color="auto"/>
              <w:left w:val="single" w:sz="6" w:space="0" w:color="auto"/>
              <w:bottom w:val="single" w:sz="6" w:space="0" w:color="auto"/>
              <w:right w:val="single" w:sz="6" w:space="0" w:color="auto"/>
            </w:tcBorders>
          </w:tcPr>
          <w:p w14:paraId="451F8C2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Maroldova</w:t>
            </w:r>
          </w:p>
        </w:tc>
        <w:tc>
          <w:tcPr>
            <w:tcW w:w="906" w:type="dxa"/>
            <w:tcBorders>
              <w:top w:val="single" w:sz="6" w:space="0" w:color="auto"/>
              <w:left w:val="single" w:sz="6" w:space="0" w:color="auto"/>
              <w:bottom w:val="single" w:sz="6" w:space="0" w:color="auto"/>
              <w:right w:val="single" w:sz="6" w:space="0" w:color="auto"/>
            </w:tcBorders>
          </w:tcPr>
          <w:p w14:paraId="664F86E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13F85A7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39B3405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CB799B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225</w:t>
            </w:r>
          </w:p>
        </w:tc>
        <w:tc>
          <w:tcPr>
            <w:tcW w:w="1556" w:type="dxa"/>
            <w:tcBorders>
              <w:top w:val="single" w:sz="6" w:space="0" w:color="auto"/>
              <w:left w:val="single" w:sz="6" w:space="0" w:color="auto"/>
              <w:bottom w:val="single" w:sz="6" w:space="0" w:color="auto"/>
              <w:right w:val="single" w:sz="6" w:space="0" w:color="auto"/>
            </w:tcBorders>
          </w:tcPr>
          <w:p w14:paraId="1A914BC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5315485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Jakuby</w:t>
            </w:r>
          </w:p>
        </w:tc>
        <w:tc>
          <w:tcPr>
            <w:tcW w:w="633" w:type="dxa"/>
            <w:tcBorders>
              <w:top w:val="single" w:sz="6" w:space="0" w:color="auto"/>
              <w:left w:val="single" w:sz="6" w:space="0" w:color="auto"/>
              <w:bottom w:val="single" w:sz="6" w:space="0" w:color="auto"/>
              <w:right w:val="single" w:sz="6" w:space="0" w:color="auto"/>
            </w:tcBorders>
          </w:tcPr>
          <w:p w14:paraId="7285282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7961D48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344C4229"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9DC626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97</w:t>
            </w:r>
          </w:p>
        </w:tc>
        <w:tc>
          <w:tcPr>
            <w:tcW w:w="1632" w:type="dxa"/>
            <w:tcBorders>
              <w:top w:val="single" w:sz="6" w:space="0" w:color="auto"/>
              <w:left w:val="single" w:sz="6" w:space="0" w:color="auto"/>
              <w:bottom w:val="single" w:sz="6" w:space="0" w:color="auto"/>
              <w:right w:val="single" w:sz="6" w:space="0" w:color="auto"/>
            </w:tcBorders>
          </w:tcPr>
          <w:p w14:paraId="56B904D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ÚNZ,pod.řed.</w:t>
            </w:r>
          </w:p>
        </w:tc>
        <w:tc>
          <w:tcPr>
            <w:tcW w:w="906" w:type="dxa"/>
            <w:tcBorders>
              <w:top w:val="single" w:sz="6" w:space="0" w:color="auto"/>
              <w:left w:val="single" w:sz="6" w:space="0" w:color="auto"/>
              <w:bottom w:val="single" w:sz="6" w:space="0" w:color="auto"/>
              <w:right w:val="single" w:sz="6" w:space="0" w:color="auto"/>
            </w:tcBorders>
          </w:tcPr>
          <w:p w14:paraId="12FC18C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C50691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3DD1B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477F6D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226</w:t>
            </w:r>
          </w:p>
        </w:tc>
        <w:tc>
          <w:tcPr>
            <w:tcW w:w="1556" w:type="dxa"/>
            <w:tcBorders>
              <w:top w:val="single" w:sz="6" w:space="0" w:color="auto"/>
              <w:left w:val="single" w:sz="6" w:space="0" w:color="auto"/>
              <w:bottom w:val="single" w:sz="6" w:space="0" w:color="auto"/>
              <w:right w:val="single" w:sz="6" w:space="0" w:color="auto"/>
            </w:tcBorders>
          </w:tcPr>
          <w:p w14:paraId="7944D25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604758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Hoštice</w:t>
            </w:r>
          </w:p>
        </w:tc>
        <w:tc>
          <w:tcPr>
            <w:tcW w:w="633" w:type="dxa"/>
            <w:tcBorders>
              <w:top w:val="single" w:sz="6" w:space="0" w:color="auto"/>
              <w:left w:val="single" w:sz="6" w:space="0" w:color="auto"/>
              <w:bottom w:val="single" w:sz="6" w:space="0" w:color="auto"/>
              <w:right w:val="single" w:sz="6" w:space="0" w:color="auto"/>
            </w:tcBorders>
          </w:tcPr>
          <w:p w14:paraId="2C1D3BE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788F80C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7C4DD68B"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C93001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98</w:t>
            </w:r>
          </w:p>
        </w:tc>
        <w:tc>
          <w:tcPr>
            <w:tcW w:w="1632" w:type="dxa"/>
            <w:tcBorders>
              <w:top w:val="single" w:sz="6" w:space="0" w:color="auto"/>
              <w:left w:val="single" w:sz="6" w:space="0" w:color="auto"/>
              <w:bottom w:val="single" w:sz="6" w:space="0" w:color="auto"/>
              <w:right w:val="single" w:sz="6" w:space="0" w:color="auto"/>
            </w:tcBorders>
          </w:tcPr>
          <w:p w14:paraId="5E76C94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Jedličkova</w:t>
            </w:r>
          </w:p>
        </w:tc>
        <w:tc>
          <w:tcPr>
            <w:tcW w:w="906" w:type="dxa"/>
            <w:tcBorders>
              <w:top w:val="single" w:sz="6" w:space="0" w:color="auto"/>
              <w:left w:val="single" w:sz="6" w:space="0" w:color="auto"/>
              <w:bottom w:val="single" w:sz="6" w:space="0" w:color="auto"/>
              <w:right w:val="single" w:sz="6" w:space="0" w:color="auto"/>
            </w:tcBorders>
          </w:tcPr>
          <w:p w14:paraId="0E152DC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D89AB2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0577765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5303E7E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227</w:t>
            </w:r>
          </w:p>
        </w:tc>
        <w:tc>
          <w:tcPr>
            <w:tcW w:w="1556" w:type="dxa"/>
            <w:tcBorders>
              <w:top w:val="single" w:sz="6" w:space="0" w:color="auto"/>
              <w:left w:val="single" w:sz="6" w:space="0" w:color="auto"/>
              <w:bottom w:val="single" w:sz="6" w:space="0" w:color="auto"/>
              <w:right w:val="single" w:sz="6" w:space="0" w:color="auto"/>
            </w:tcBorders>
          </w:tcPr>
          <w:p w14:paraId="57E3A1B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Zadní</w:t>
            </w:r>
          </w:p>
        </w:tc>
        <w:tc>
          <w:tcPr>
            <w:tcW w:w="1193" w:type="dxa"/>
            <w:tcBorders>
              <w:top w:val="single" w:sz="6" w:space="0" w:color="auto"/>
              <w:left w:val="single" w:sz="6" w:space="0" w:color="auto"/>
              <w:bottom w:val="single" w:sz="6" w:space="0" w:color="auto"/>
              <w:right w:val="single" w:sz="6" w:space="0" w:color="auto"/>
            </w:tcBorders>
          </w:tcPr>
          <w:p w14:paraId="52C0CB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Nebočady</w:t>
            </w:r>
          </w:p>
        </w:tc>
        <w:tc>
          <w:tcPr>
            <w:tcW w:w="633" w:type="dxa"/>
            <w:tcBorders>
              <w:top w:val="single" w:sz="6" w:space="0" w:color="auto"/>
              <w:left w:val="single" w:sz="6" w:space="0" w:color="auto"/>
              <w:bottom w:val="single" w:sz="6" w:space="0" w:color="auto"/>
              <w:right w:val="single" w:sz="6" w:space="0" w:color="auto"/>
            </w:tcBorders>
          </w:tcPr>
          <w:p w14:paraId="4943CAD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SL</w:t>
            </w:r>
          </w:p>
        </w:tc>
        <w:tc>
          <w:tcPr>
            <w:tcW w:w="724" w:type="dxa"/>
            <w:tcBorders>
              <w:top w:val="single" w:sz="6" w:space="0" w:color="auto"/>
              <w:left w:val="single" w:sz="6" w:space="0" w:color="auto"/>
              <w:bottom w:val="single" w:sz="6" w:space="0" w:color="auto"/>
              <w:right w:val="single" w:sz="6" w:space="0" w:color="auto"/>
            </w:tcBorders>
          </w:tcPr>
          <w:p w14:paraId="48C9AF1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754FC1D3"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12C9B9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99</w:t>
            </w:r>
          </w:p>
        </w:tc>
        <w:tc>
          <w:tcPr>
            <w:tcW w:w="1632" w:type="dxa"/>
            <w:tcBorders>
              <w:top w:val="single" w:sz="6" w:space="0" w:color="auto"/>
              <w:left w:val="single" w:sz="6" w:space="0" w:color="auto"/>
              <w:bottom w:val="single" w:sz="6" w:space="0" w:color="auto"/>
              <w:right w:val="single" w:sz="6" w:space="0" w:color="auto"/>
            </w:tcBorders>
          </w:tcPr>
          <w:p w14:paraId="375ABF7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Riegrova</w:t>
            </w:r>
          </w:p>
        </w:tc>
        <w:tc>
          <w:tcPr>
            <w:tcW w:w="906" w:type="dxa"/>
            <w:tcBorders>
              <w:top w:val="single" w:sz="6" w:space="0" w:color="auto"/>
              <w:left w:val="single" w:sz="6" w:space="0" w:color="auto"/>
              <w:bottom w:val="single" w:sz="6" w:space="0" w:color="auto"/>
              <w:right w:val="single" w:sz="6" w:space="0" w:color="auto"/>
            </w:tcBorders>
          </w:tcPr>
          <w:p w14:paraId="2F6FDB2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1370D0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7FAD52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CD0015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228</w:t>
            </w:r>
          </w:p>
        </w:tc>
        <w:tc>
          <w:tcPr>
            <w:tcW w:w="1556" w:type="dxa"/>
            <w:tcBorders>
              <w:top w:val="single" w:sz="6" w:space="0" w:color="auto"/>
              <w:left w:val="single" w:sz="6" w:space="0" w:color="auto"/>
              <w:bottom w:val="single" w:sz="6" w:space="0" w:color="auto"/>
              <w:right w:val="single" w:sz="6" w:space="0" w:color="auto"/>
            </w:tcBorders>
          </w:tcPr>
          <w:p w14:paraId="72CFA3E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22D0554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Smordov</w:t>
            </w:r>
          </w:p>
        </w:tc>
        <w:tc>
          <w:tcPr>
            <w:tcW w:w="633" w:type="dxa"/>
            <w:tcBorders>
              <w:top w:val="single" w:sz="6" w:space="0" w:color="auto"/>
              <w:left w:val="single" w:sz="6" w:space="0" w:color="auto"/>
              <w:bottom w:val="single" w:sz="6" w:space="0" w:color="auto"/>
              <w:right w:val="single" w:sz="6" w:space="0" w:color="auto"/>
            </w:tcBorders>
          </w:tcPr>
          <w:p w14:paraId="2D633AD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52D5F61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385E0F93"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0FCBAF3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100</w:t>
            </w:r>
          </w:p>
        </w:tc>
        <w:tc>
          <w:tcPr>
            <w:tcW w:w="1632" w:type="dxa"/>
            <w:tcBorders>
              <w:top w:val="single" w:sz="6" w:space="0" w:color="auto"/>
              <w:left w:val="single" w:sz="6" w:space="0" w:color="auto"/>
              <w:bottom w:val="single" w:sz="6" w:space="0" w:color="auto"/>
              <w:right w:val="single" w:sz="6" w:space="0" w:color="auto"/>
            </w:tcBorders>
          </w:tcPr>
          <w:p w14:paraId="140CC83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Východ. nádraží</w:t>
            </w:r>
          </w:p>
        </w:tc>
        <w:tc>
          <w:tcPr>
            <w:tcW w:w="906" w:type="dxa"/>
            <w:tcBorders>
              <w:top w:val="single" w:sz="6" w:space="0" w:color="auto"/>
              <w:left w:val="single" w:sz="6" w:space="0" w:color="auto"/>
              <w:bottom w:val="single" w:sz="6" w:space="0" w:color="auto"/>
              <w:right w:val="single" w:sz="6" w:space="0" w:color="auto"/>
            </w:tcBorders>
          </w:tcPr>
          <w:p w14:paraId="496A930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1897E06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5883C8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687364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229</w:t>
            </w:r>
          </w:p>
        </w:tc>
        <w:tc>
          <w:tcPr>
            <w:tcW w:w="1556" w:type="dxa"/>
            <w:tcBorders>
              <w:top w:val="single" w:sz="6" w:space="0" w:color="auto"/>
              <w:left w:val="single" w:sz="6" w:space="0" w:color="auto"/>
              <w:bottom w:val="single" w:sz="6" w:space="0" w:color="auto"/>
              <w:right w:val="single" w:sz="6" w:space="0" w:color="auto"/>
            </w:tcBorders>
          </w:tcPr>
          <w:p w14:paraId="2C3AFC5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Jelení</w:t>
            </w:r>
          </w:p>
        </w:tc>
        <w:tc>
          <w:tcPr>
            <w:tcW w:w="1193" w:type="dxa"/>
            <w:tcBorders>
              <w:top w:val="single" w:sz="6" w:space="0" w:color="auto"/>
              <w:left w:val="single" w:sz="6" w:space="0" w:color="auto"/>
              <w:bottom w:val="single" w:sz="6" w:space="0" w:color="auto"/>
              <w:right w:val="single" w:sz="6" w:space="0" w:color="auto"/>
            </w:tcBorders>
          </w:tcPr>
          <w:p w14:paraId="6DEF83A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 Oldřichov</w:t>
            </w:r>
          </w:p>
        </w:tc>
        <w:tc>
          <w:tcPr>
            <w:tcW w:w="633" w:type="dxa"/>
            <w:tcBorders>
              <w:top w:val="single" w:sz="6" w:space="0" w:color="auto"/>
              <w:left w:val="single" w:sz="6" w:space="0" w:color="auto"/>
              <w:bottom w:val="single" w:sz="6" w:space="0" w:color="auto"/>
              <w:right w:val="single" w:sz="6" w:space="0" w:color="auto"/>
            </w:tcBorders>
          </w:tcPr>
          <w:p w14:paraId="189B572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1A6BE5D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29D35037" w14:textId="77777777" w:rsidTr="002D2D45">
        <w:trPr>
          <w:trHeight w:val="485"/>
        </w:trPr>
        <w:tc>
          <w:tcPr>
            <w:tcW w:w="558" w:type="dxa"/>
            <w:tcBorders>
              <w:top w:val="single" w:sz="6" w:space="0" w:color="auto"/>
              <w:left w:val="single" w:sz="6" w:space="0" w:color="auto"/>
              <w:bottom w:val="single" w:sz="6" w:space="0" w:color="auto"/>
              <w:right w:val="single" w:sz="6" w:space="0" w:color="auto"/>
            </w:tcBorders>
          </w:tcPr>
          <w:p w14:paraId="0B884E6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101</w:t>
            </w:r>
          </w:p>
        </w:tc>
        <w:tc>
          <w:tcPr>
            <w:tcW w:w="1632" w:type="dxa"/>
            <w:tcBorders>
              <w:top w:val="single" w:sz="6" w:space="0" w:color="auto"/>
              <w:left w:val="single" w:sz="6" w:space="0" w:color="auto"/>
              <w:bottom w:val="single" w:sz="6" w:space="0" w:color="auto"/>
              <w:right w:val="single" w:sz="6" w:space="0" w:color="auto"/>
            </w:tcBorders>
          </w:tcPr>
          <w:p w14:paraId="07346A4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Desta</w:t>
            </w:r>
            <w:r w:rsidRPr="00D42621">
              <w:rPr>
                <w:rFonts w:ascii="Arial" w:hAnsi="Arial"/>
                <w:color w:val="000000"/>
                <w:sz w:val="16"/>
                <w:szCs w:val="16"/>
                <w:lang w:eastAsia="cs-CZ"/>
              </w:rPr>
              <w:t>,Duchcovská</w:t>
            </w:r>
          </w:p>
        </w:tc>
        <w:tc>
          <w:tcPr>
            <w:tcW w:w="906" w:type="dxa"/>
            <w:tcBorders>
              <w:top w:val="single" w:sz="6" w:space="0" w:color="auto"/>
              <w:left w:val="single" w:sz="6" w:space="0" w:color="auto"/>
              <w:bottom w:val="single" w:sz="6" w:space="0" w:color="auto"/>
              <w:right w:val="single" w:sz="6" w:space="0" w:color="auto"/>
            </w:tcBorders>
          </w:tcPr>
          <w:p w14:paraId="00DE341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780E0F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5644688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96B232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230</w:t>
            </w:r>
          </w:p>
        </w:tc>
        <w:tc>
          <w:tcPr>
            <w:tcW w:w="1556" w:type="dxa"/>
            <w:tcBorders>
              <w:top w:val="single" w:sz="6" w:space="0" w:color="auto"/>
              <w:left w:val="single" w:sz="6" w:space="0" w:color="auto"/>
              <w:bottom w:val="single" w:sz="6" w:space="0" w:color="auto"/>
              <w:right w:val="single" w:sz="6" w:space="0" w:color="auto"/>
            </w:tcBorders>
          </w:tcPr>
          <w:p w14:paraId="3E30E27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Horní</w:t>
            </w:r>
          </w:p>
        </w:tc>
        <w:tc>
          <w:tcPr>
            <w:tcW w:w="1193" w:type="dxa"/>
            <w:tcBorders>
              <w:top w:val="single" w:sz="6" w:space="0" w:color="auto"/>
              <w:left w:val="single" w:sz="6" w:space="0" w:color="auto"/>
              <w:bottom w:val="single" w:sz="6" w:space="0" w:color="auto"/>
              <w:right w:val="single" w:sz="6" w:space="0" w:color="auto"/>
            </w:tcBorders>
          </w:tcPr>
          <w:p w14:paraId="746CD1C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Čechy</w:t>
            </w:r>
          </w:p>
        </w:tc>
        <w:tc>
          <w:tcPr>
            <w:tcW w:w="633" w:type="dxa"/>
            <w:tcBorders>
              <w:top w:val="single" w:sz="6" w:space="0" w:color="auto"/>
              <w:left w:val="single" w:sz="6" w:space="0" w:color="auto"/>
              <w:bottom w:val="single" w:sz="6" w:space="0" w:color="auto"/>
              <w:right w:val="single" w:sz="6" w:space="0" w:color="auto"/>
            </w:tcBorders>
          </w:tcPr>
          <w:p w14:paraId="0DB7FA3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6606B17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1CCC3227"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AB91E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102</w:t>
            </w:r>
          </w:p>
        </w:tc>
        <w:tc>
          <w:tcPr>
            <w:tcW w:w="1632" w:type="dxa"/>
            <w:tcBorders>
              <w:top w:val="single" w:sz="6" w:space="0" w:color="auto"/>
              <w:left w:val="single" w:sz="6" w:space="0" w:color="auto"/>
              <w:bottom w:val="single" w:sz="6" w:space="0" w:color="auto"/>
              <w:right w:val="single" w:sz="6" w:space="0" w:color="auto"/>
            </w:tcBorders>
          </w:tcPr>
          <w:p w14:paraId="1AE6443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Zámecká</w:t>
            </w:r>
          </w:p>
        </w:tc>
        <w:tc>
          <w:tcPr>
            <w:tcW w:w="906" w:type="dxa"/>
            <w:tcBorders>
              <w:top w:val="single" w:sz="6" w:space="0" w:color="auto"/>
              <w:left w:val="single" w:sz="6" w:space="0" w:color="auto"/>
              <w:bottom w:val="single" w:sz="6" w:space="0" w:color="auto"/>
              <w:right w:val="single" w:sz="6" w:space="0" w:color="auto"/>
            </w:tcBorders>
          </w:tcPr>
          <w:p w14:paraId="0ED40BA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7D01AC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05A0099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679D338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231</w:t>
            </w:r>
          </w:p>
        </w:tc>
        <w:tc>
          <w:tcPr>
            <w:tcW w:w="1556" w:type="dxa"/>
            <w:tcBorders>
              <w:top w:val="single" w:sz="6" w:space="0" w:color="auto"/>
              <w:left w:val="single" w:sz="6" w:space="0" w:color="auto"/>
              <w:bottom w:val="single" w:sz="6" w:space="0" w:color="auto"/>
              <w:right w:val="single" w:sz="6" w:space="0" w:color="auto"/>
            </w:tcBorders>
          </w:tcPr>
          <w:p w14:paraId="14CED96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sjezdovky</w:t>
            </w:r>
          </w:p>
        </w:tc>
        <w:tc>
          <w:tcPr>
            <w:tcW w:w="1193" w:type="dxa"/>
            <w:tcBorders>
              <w:top w:val="single" w:sz="6" w:space="0" w:color="auto"/>
              <w:left w:val="single" w:sz="6" w:space="0" w:color="auto"/>
              <w:bottom w:val="single" w:sz="6" w:space="0" w:color="auto"/>
              <w:right w:val="single" w:sz="6" w:space="0" w:color="auto"/>
            </w:tcBorders>
          </w:tcPr>
          <w:p w14:paraId="5E76F49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Bělá</w:t>
            </w:r>
          </w:p>
        </w:tc>
        <w:tc>
          <w:tcPr>
            <w:tcW w:w="633" w:type="dxa"/>
            <w:tcBorders>
              <w:top w:val="single" w:sz="6" w:space="0" w:color="auto"/>
              <w:left w:val="single" w:sz="6" w:space="0" w:color="auto"/>
              <w:bottom w:val="single" w:sz="6" w:space="0" w:color="auto"/>
              <w:right w:val="single" w:sz="6" w:space="0" w:color="auto"/>
            </w:tcBorders>
          </w:tcPr>
          <w:p w14:paraId="149263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4F020D7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7B1EB35C"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0ACCF6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103</w:t>
            </w:r>
          </w:p>
        </w:tc>
        <w:tc>
          <w:tcPr>
            <w:tcW w:w="1632" w:type="dxa"/>
            <w:tcBorders>
              <w:top w:val="single" w:sz="6" w:space="0" w:color="auto"/>
              <w:left w:val="single" w:sz="6" w:space="0" w:color="auto"/>
              <w:bottom w:val="single" w:sz="6" w:space="0" w:color="auto"/>
              <w:right w:val="single" w:sz="6" w:space="0" w:color="auto"/>
            </w:tcBorders>
          </w:tcPr>
          <w:p w14:paraId="609E202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Česká koruna</w:t>
            </w:r>
          </w:p>
        </w:tc>
        <w:tc>
          <w:tcPr>
            <w:tcW w:w="906" w:type="dxa"/>
            <w:tcBorders>
              <w:top w:val="single" w:sz="6" w:space="0" w:color="auto"/>
              <w:left w:val="single" w:sz="6" w:space="0" w:color="auto"/>
              <w:bottom w:val="single" w:sz="6" w:space="0" w:color="auto"/>
              <w:right w:val="single" w:sz="6" w:space="0" w:color="auto"/>
            </w:tcBorders>
          </w:tcPr>
          <w:p w14:paraId="2D4346D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90075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71AB645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5735329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232</w:t>
            </w:r>
          </w:p>
        </w:tc>
        <w:tc>
          <w:tcPr>
            <w:tcW w:w="1556" w:type="dxa"/>
            <w:tcBorders>
              <w:top w:val="single" w:sz="6" w:space="0" w:color="auto"/>
              <w:left w:val="single" w:sz="6" w:space="0" w:color="auto"/>
              <w:bottom w:val="single" w:sz="6" w:space="0" w:color="auto"/>
              <w:right w:val="single" w:sz="6" w:space="0" w:color="auto"/>
            </w:tcBorders>
          </w:tcPr>
          <w:p w14:paraId="2EE20AA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Purkyňova</w:t>
            </w:r>
          </w:p>
        </w:tc>
        <w:tc>
          <w:tcPr>
            <w:tcW w:w="1193" w:type="dxa"/>
            <w:tcBorders>
              <w:top w:val="single" w:sz="6" w:space="0" w:color="auto"/>
              <w:left w:val="single" w:sz="6" w:space="0" w:color="auto"/>
              <w:bottom w:val="single" w:sz="6" w:space="0" w:color="auto"/>
              <w:right w:val="single" w:sz="6" w:space="0" w:color="auto"/>
            </w:tcBorders>
          </w:tcPr>
          <w:p w14:paraId="30BF1C3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33" w:type="dxa"/>
            <w:tcBorders>
              <w:top w:val="single" w:sz="6" w:space="0" w:color="auto"/>
              <w:left w:val="single" w:sz="6" w:space="0" w:color="auto"/>
              <w:bottom w:val="single" w:sz="6" w:space="0" w:color="auto"/>
              <w:right w:val="single" w:sz="6" w:space="0" w:color="auto"/>
            </w:tcBorders>
          </w:tcPr>
          <w:p w14:paraId="2EAAD76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6B17623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60A01FF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3D3CE3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104</w:t>
            </w:r>
          </w:p>
        </w:tc>
        <w:tc>
          <w:tcPr>
            <w:tcW w:w="1632" w:type="dxa"/>
            <w:tcBorders>
              <w:top w:val="single" w:sz="6" w:space="0" w:color="auto"/>
              <w:left w:val="single" w:sz="6" w:space="0" w:color="auto"/>
              <w:bottom w:val="single" w:sz="6" w:space="0" w:color="auto"/>
              <w:right w:val="single" w:sz="6" w:space="0" w:color="auto"/>
            </w:tcBorders>
          </w:tcPr>
          <w:p w14:paraId="4F9B600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brány</w:t>
            </w:r>
          </w:p>
        </w:tc>
        <w:tc>
          <w:tcPr>
            <w:tcW w:w="906" w:type="dxa"/>
            <w:tcBorders>
              <w:top w:val="single" w:sz="6" w:space="0" w:color="auto"/>
              <w:left w:val="single" w:sz="6" w:space="0" w:color="auto"/>
              <w:bottom w:val="single" w:sz="6" w:space="0" w:color="auto"/>
              <w:right w:val="single" w:sz="6" w:space="0" w:color="auto"/>
            </w:tcBorders>
          </w:tcPr>
          <w:p w14:paraId="16BF1DD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3CE9B22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C6365B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C42137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233</w:t>
            </w:r>
          </w:p>
        </w:tc>
        <w:tc>
          <w:tcPr>
            <w:tcW w:w="1556" w:type="dxa"/>
            <w:tcBorders>
              <w:top w:val="single" w:sz="6" w:space="0" w:color="auto"/>
              <w:left w:val="single" w:sz="6" w:space="0" w:color="auto"/>
              <w:bottom w:val="single" w:sz="6" w:space="0" w:color="auto"/>
              <w:right w:val="single" w:sz="6" w:space="0" w:color="auto"/>
            </w:tcBorders>
          </w:tcPr>
          <w:p w14:paraId="4DF2A5E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Nové Folknáře</w:t>
            </w:r>
          </w:p>
        </w:tc>
        <w:tc>
          <w:tcPr>
            <w:tcW w:w="1193" w:type="dxa"/>
            <w:tcBorders>
              <w:top w:val="single" w:sz="6" w:space="0" w:color="auto"/>
              <w:left w:val="single" w:sz="6" w:space="0" w:color="auto"/>
              <w:bottom w:val="single" w:sz="6" w:space="0" w:color="auto"/>
              <w:right w:val="single" w:sz="6" w:space="0" w:color="auto"/>
            </w:tcBorders>
          </w:tcPr>
          <w:p w14:paraId="70D3AD0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N. Město</w:t>
            </w:r>
          </w:p>
        </w:tc>
        <w:tc>
          <w:tcPr>
            <w:tcW w:w="633" w:type="dxa"/>
            <w:tcBorders>
              <w:top w:val="single" w:sz="6" w:space="0" w:color="auto"/>
              <w:left w:val="single" w:sz="6" w:space="0" w:color="auto"/>
              <w:bottom w:val="single" w:sz="6" w:space="0" w:color="auto"/>
              <w:right w:val="single" w:sz="6" w:space="0" w:color="auto"/>
            </w:tcBorders>
          </w:tcPr>
          <w:p w14:paraId="03A1565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5F79D9A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7A23D115"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79F7B62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105</w:t>
            </w:r>
          </w:p>
        </w:tc>
        <w:tc>
          <w:tcPr>
            <w:tcW w:w="1632" w:type="dxa"/>
            <w:tcBorders>
              <w:top w:val="single" w:sz="6" w:space="0" w:color="auto"/>
              <w:left w:val="single" w:sz="6" w:space="0" w:color="auto"/>
              <w:bottom w:val="single" w:sz="6" w:space="0" w:color="auto"/>
              <w:right w:val="single" w:sz="6" w:space="0" w:color="auto"/>
            </w:tcBorders>
          </w:tcPr>
          <w:p w14:paraId="2F12D09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Elektrárna</w:t>
            </w:r>
          </w:p>
        </w:tc>
        <w:tc>
          <w:tcPr>
            <w:tcW w:w="906" w:type="dxa"/>
            <w:tcBorders>
              <w:top w:val="single" w:sz="6" w:space="0" w:color="auto"/>
              <w:left w:val="single" w:sz="6" w:space="0" w:color="auto"/>
              <w:bottom w:val="single" w:sz="6" w:space="0" w:color="auto"/>
              <w:right w:val="single" w:sz="6" w:space="0" w:color="auto"/>
            </w:tcBorders>
          </w:tcPr>
          <w:p w14:paraId="7FD8876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30D002E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70CAC5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7C3C5D9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234</w:t>
            </w:r>
          </w:p>
        </w:tc>
        <w:tc>
          <w:tcPr>
            <w:tcW w:w="1556" w:type="dxa"/>
            <w:tcBorders>
              <w:top w:val="single" w:sz="6" w:space="0" w:color="auto"/>
              <w:left w:val="single" w:sz="6" w:space="0" w:color="auto"/>
              <w:bottom w:val="single" w:sz="6" w:space="0" w:color="auto"/>
              <w:right w:val="single" w:sz="6" w:space="0" w:color="auto"/>
            </w:tcBorders>
          </w:tcPr>
          <w:p w14:paraId="32DE8D5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rozvodny</w:t>
            </w:r>
          </w:p>
        </w:tc>
        <w:tc>
          <w:tcPr>
            <w:tcW w:w="1193" w:type="dxa"/>
            <w:tcBorders>
              <w:top w:val="single" w:sz="6" w:space="0" w:color="auto"/>
              <w:left w:val="single" w:sz="6" w:space="0" w:color="auto"/>
              <w:bottom w:val="single" w:sz="6" w:space="0" w:color="auto"/>
              <w:right w:val="single" w:sz="6" w:space="0" w:color="auto"/>
            </w:tcBorders>
          </w:tcPr>
          <w:p w14:paraId="1EE0503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N. Město</w:t>
            </w:r>
          </w:p>
        </w:tc>
        <w:tc>
          <w:tcPr>
            <w:tcW w:w="633" w:type="dxa"/>
            <w:tcBorders>
              <w:top w:val="single" w:sz="6" w:space="0" w:color="auto"/>
              <w:left w:val="single" w:sz="6" w:space="0" w:color="auto"/>
              <w:bottom w:val="single" w:sz="6" w:space="0" w:color="auto"/>
              <w:right w:val="single" w:sz="6" w:space="0" w:color="auto"/>
            </w:tcBorders>
          </w:tcPr>
          <w:p w14:paraId="1E7133A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77D67A6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7CAC6DA1"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4B190E0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106</w:t>
            </w:r>
          </w:p>
        </w:tc>
        <w:tc>
          <w:tcPr>
            <w:tcW w:w="1632" w:type="dxa"/>
            <w:tcBorders>
              <w:top w:val="single" w:sz="6" w:space="0" w:color="auto"/>
              <w:left w:val="single" w:sz="6" w:space="0" w:color="auto"/>
              <w:bottom w:val="single" w:sz="6" w:space="0" w:color="auto"/>
              <w:right w:val="single" w:sz="6" w:space="0" w:color="auto"/>
            </w:tcBorders>
          </w:tcPr>
          <w:p w14:paraId="1B3C4F6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Lázeňská</w:t>
            </w:r>
          </w:p>
        </w:tc>
        <w:tc>
          <w:tcPr>
            <w:tcW w:w="906" w:type="dxa"/>
            <w:tcBorders>
              <w:top w:val="single" w:sz="6" w:space="0" w:color="auto"/>
              <w:left w:val="single" w:sz="6" w:space="0" w:color="auto"/>
              <w:bottom w:val="single" w:sz="6" w:space="0" w:color="auto"/>
              <w:right w:val="single" w:sz="6" w:space="0" w:color="auto"/>
            </w:tcBorders>
          </w:tcPr>
          <w:p w14:paraId="73BEFDF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1225EA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E96DA4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C3FCD6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235</w:t>
            </w:r>
          </w:p>
        </w:tc>
        <w:tc>
          <w:tcPr>
            <w:tcW w:w="1556" w:type="dxa"/>
            <w:tcBorders>
              <w:top w:val="single" w:sz="6" w:space="0" w:color="auto"/>
              <w:left w:val="single" w:sz="6" w:space="0" w:color="auto"/>
              <w:bottom w:val="single" w:sz="6" w:space="0" w:color="auto"/>
              <w:right w:val="single" w:sz="6" w:space="0" w:color="auto"/>
            </w:tcBorders>
          </w:tcPr>
          <w:p w14:paraId="56B89D7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Altera</w:t>
            </w:r>
          </w:p>
        </w:tc>
        <w:tc>
          <w:tcPr>
            <w:tcW w:w="1193" w:type="dxa"/>
            <w:tcBorders>
              <w:top w:val="single" w:sz="6" w:space="0" w:color="auto"/>
              <w:left w:val="single" w:sz="6" w:space="0" w:color="auto"/>
              <w:bottom w:val="single" w:sz="6" w:space="0" w:color="auto"/>
              <w:right w:val="single" w:sz="6" w:space="0" w:color="auto"/>
            </w:tcBorders>
          </w:tcPr>
          <w:p w14:paraId="037D854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N. Město</w:t>
            </w:r>
          </w:p>
        </w:tc>
        <w:tc>
          <w:tcPr>
            <w:tcW w:w="633" w:type="dxa"/>
            <w:tcBorders>
              <w:top w:val="single" w:sz="6" w:space="0" w:color="auto"/>
              <w:left w:val="single" w:sz="6" w:space="0" w:color="auto"/>
              <w:bottom w:val="single" w:sz="6" w:space="0" w:color="auto"/>
              <w:right w:val="single" w:sz="6" w:space="0" w:color="auto"/>
            </w:tcBorders>
          </w:tcPr>
          <w:p w14:paraId="016FE3C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3C82B02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18670F90" w14:textId="77777777" w:rsidTr="002D2D45">
        <w:trPr>
          <w:trHeight w:val="485"/>
        </w:trPr>
        <w:tc>
          <w:tcPr>
            <w:tcW w:w="558" w:type="dxa"/>
            <w:tcBorders>
              <w:top w:val="single" w:sz="6" w:space="0" w:color="auto"/>
              <w:left w:val="single" w:sz="6" w:space="0" w:color="auto"/>
              <w:bottom w:val="single" w:sz="6" w:space="0" w:color="auto"/>
              <w:right w:val="single" w:sz="6" w:space="0" w:color="auto"/>
            </w:tcBorders>
          </w:tcPr>
          <w:p w14:paraId="7DF6BE4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107</w:t>
            </w:r>
          </w:p>
        </w:tc>
        <w:tc>
          <w:tcPr>
            <w:tcW w:w="1632" w:type="dxa"/>
            <w:tcBorders>
              <w:top w:val="single" w:sz="6" w:space="0" w:color="auto"/>
              <w:left w:val="single" w:sz="6" w:space="0" w:color="auto"/>
              <w:bottom w:val="single" w:sz="6" w:space="0" w:color="auto"/>
              <w:right w:val="single" w:sz="6" w:space="0" w:color="auto"/>
            </w:tcBorders>
          </w:tcPr>
          <w:p w14:paraId="7DEDE51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Kovočas</w:t>
            </w:r>
          </w:p>
          <w:p w14:paraId="2A7A414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Fugnerova</w:t>
            </w:r>
          </w:p>
        </w:tc>
        <w:tc>
          <w:tcPr>
            <w:tcW w:w="906" w:type="dxa"/>
            <w:tcBorders>
              <w:top w:val="single" w:sz="6" w:space="0" w:color="auto"/>
              <w:left w:val="single" w:sz="6" w:space="0" w:color="auto"/>
              <w:bottom w:val="single" w:sz="6" w:space="0" w:color="auto"/>
              <w:right w:val="single" w:sz="6" w:space="0" w:color="auto"/>
            </w:tcBorders>
          </w:tcPr>
          <w:p w14:paraId="2F26205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4B4BA7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0462854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529EEB8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236</w:t>
            </w:r>
          </w:p>
        </w:tc>
        <w:tc>
          <w:tcPr>
            <w:tcW w:w="1556" w:type="dxa"/>
            <w:tcBorders>
              <w:top w:val="single" w:sz="6" w:space="0" w:color="auto"/>
              <w:left w:val="single" w:sz="6" w:space="0" w:color="auto"/>
              <w:bottom w:val="single" w:sz="6" w:space="0" w:color="auto"/>
              <w:right w:val="single" w:sz="6" w:space="0" w:color="auto"/>
            </w:tcBorders>
          </w:tcPr>
          <w:p w14:paraId="35BE568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6209A97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Lesná</w:t>
            </w:r>
          </w:p>
        </w:tc>
        <w:tc>
          <w:tcPr>
            <w:tcW w:w="633" w:type="dxa"/>
            <w:tcBorders>
              <w:top w:val="single" w:sz="6" w:space="0" w:color="auto"/>
              <w:left w:val="single" w:sz="6" w:space="0" w:color="auto"/>
              <w:bottom w:val="single" w:sz="6" w:space="0" w:color="auto"/>
              <w:right w:val="single" w:sz="6" w:space="0" w:color="auto"/>
            </w:tcBorders>
          </w:tcPr>
          <w:p w14:paraId="27B73E2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3BD93F8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322E172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44CCC1E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108</w:t>
            </w:r>
          </w:p>
        </w:tc>
        <w:tc>
          <w:tcPr>
            <w:tcW w:w="1632" w:type="dxa"/>
            <w:tcBorders>
              <w:top w:val="single" w:sz="6" w:space="0" w:color="auto"/>
              <w:left w:val="single" w:sz="6" w:space="0" w:color="auto"/>
              <w:bottom w:val="single" w:sz="6" w:space="0" w:color="auto"/>
              <w:right w:val="single" w:sz="6" w:space="0" w:color="auto"/>
            </w:tcBorders>
          </w:tcPr>
          <w:p w14:paraId="7E37BCC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Fugnerova II</w:t>
            </w:r>
          </w:p>
        </w:tc>
        <w:tc>
          <w:tcPr>
            <w:tcW w:w="906" w:type="dxa"/>
            <w:tcBorders>
              <w:top w:val="single" w:sz="6" w:space="0" w:color="auto"/>
              <w:left w:val="single" w:sz="6" w:space="0" w:color="auto"/>
              <w:bottom w:val="single" w:sz="6" w:space="0" w:color="auto"/>
              <w:right w:val="single" w:sz="6" w:space="0" w:color="auto"/>
            </w:tcBorders>
          </w:tcPr>
          <w:p w14:paraId="3B51A31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5EA74C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4E8FFFA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5500E2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237</w:t>
            </w:r>
          </w:p>
        </w:tc>
        <w:tc>
          <w:tcPr>
            <w:tcW w:w="1556" w:type="dxa"/>
            <w:tcBorders>
              <w:top w:val="single" w:sz="6" w:space="0" w:color="auto"/>
              <w:left w:val="single" w:sz="6" w:space="0" w:color="auto"/>
              <w:bottom w:val="single" w:sz="6" w:space="0" w:color="auto"/>
              <w:right w:val="single" w:sz="6" w:space="0" w:color="auto"/>
            </w:tcBorders>
          </w:tcPr>
          <w:p w14:paraId="6B3AB4A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463101A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Lesní mlýn</w:t>
            </w:r>
          </w:p>
        </w:tc>
        <w:tc>
          <w:tcPr>
            <w:tcW w:w="633" w:type="dxa"/>
            <w:tcBorders>
              <w:top w:val="single" w:sz="6" w:space="0" w:color="auto"/>
              <w:left w:val="single" w:sz="6" w:space="0" w:color="auto"/>
              <w:bottom w:val="single" w:sz="6" w:space="0" w:color="auto"/>
              <w:right w:val="single" w:sz="6" w:space="0" w:color="auto"/>
            </w:tcBorders>
          </w:tcPr>
          <w:p w14:paraId="6119F45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3BBF3A5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1CBD139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D3B6DE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109</w:t>
            </w:r>
          </w:p>
        </w:tc>
        <w:tc>
          <w:tcPr>
            <w:tcW w:w="1632" w:type="dxa"/>
            <w:tcBorders>
              <w:top w:val="single" w:sz="6" w:space="0" w:color="auto"/>
              <w:left w:val="single" w:sz="6" w:space="0" w:color="auto"/>
              <w:bottom w:val="single" w:sz="6" w:space="0" w:color="auto"/>
              <w:right w:val="single" w:sz="6" w:space="0" w:color="auto"/>
            </w:tcBorders>
          </w:tcPr>
          <w:p w14:paraId="5BF3902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Poliklinika</w:t>
            </w:r>
          </w:p>
        </w:tc>
        <w:tc>
          <w:tcPr>
            <w:tcW w:w="906" w:type="dxa"/>
            <w:tcBorders>
              <w:top w:val="single" w:sz="6" w:space="0" w:color="auto"/>
              <w:left w:val="single" w:sz="6" w:space="0" w:color="auto"/>
              <w:bottom w:val="single" w:sz="6" w:space="0" w:color="auto"/>
              <w:right w:val="single" w:sz="6" w:space="0" w:color="auto"/>
            </w:tcBorders>
          </w:tcPr>
          <w:p w14:paraId="29EF121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39522D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1B6583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07065E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238</w:t>
            </w:r>
          </w:p>
        </w:tc>
        <w:tc>
          <w:tcPr>
            <w:tcW w:w="1556" w:type="dxa"/>
            <w:tcBorders>
              <w:top w:val="single" w:sz="6" w:space="0" w:color="auto"/>
              <w:left w:val="single" w:sz="6" w:space="0" w:color="auto"/>
              <w:bottom w:val="single" w:sz="6" w:space="0" w:color="auto"/>
              <w:right w:val="single" w:sz="6" w:space="0" w:color="auto"/>
            </w:tcBorders>
          </w:tcPr>
          <w:p w14:paraId="1301752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39F842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Ludvíkovice</w:t>
            </w:r>
          </w:p>
        </w:tc>
        <w:tc>
          <w:tcPr>
            <w:tcW w:w="633" w:type="dxa"/>
            <w:tcBorders>
              <w:top w:val="single" w:sz="6" w:space="0" w:color="auto"/>
              <w:left w:val="single" w:sz="6" w:space="0" w:color="auto"/>
              <w:bottom w:val="single" w:sz="6" w:space="0" w:color="auto"/>
              <w:right w:val="single" w:sz="6" w:space="0" w:color="auto"/>
            </w:tcBorders>
          </w:tcPr>
          <w:p w14:paraId="040E4B4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336AA15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33A13999"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1CA5B1D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110</w:t>
            </w:r>
          </w:p>
        </w:tc>
        <w:tc>
          <w:tcPr>
            <w:tcW w:w="1632" w:type="dxa"/>
            <w:tcBorders>
              <w:top w:val="single" w:sz="6" w:space="0" w:color="auto"/>
              <w:left w:val="single" w:sz="6" w:space="0" w:color="auto"/>
              <w:bottom w:val="single" w:sz="6" w:space="0" w:color="auto"/>
              <w:right w:val="single" w:sz="6" w:space="0" w:color="auto"/>
            </w:tcBorders>
          </w:tcPr>
          <w:p w14:paraId="1BA570F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Most</w:t>
            </w:r>
          </w:p>
        </w:tc>
        <w:tc>
          <w:tcPr>
            <w:tcW w:w="906" w:type="dxa"/>
            <w:tcBorders>
              <w:top w:val="single" w:sz="6" w:space="0" w:color="auto"/>
              <w:left w:val="single" w:sz="6" w:space="0" w:color="auto"/>
              <w:bottom w:val="single" w:sz="6" w:space="0" w:color="auto"/>
              <w:right w:val="single" w:sz="6" w:space="0" w:color="auto"/>
            </w:tcBorders>
          </w:tcPr>
          <w:p w14:paraId="34EB42A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0686D0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012BDB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A9DC4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239</w:t>
            </w:r>
          </w:p>
        </w:tc>
        <w:tc>
          <w:tcPr>
            <w:tcW w:w="1556" w:type="dxa"/>
            <w:tcBorders>
              <w:top w:val="single" w:sz="6" w:space="0" w:color="auto"/>
              <w:left w:val="single" w:sz="6" w:space="0" w:color="auto"/>
              <w:bottom w:val="single" w:sz="6" w:space="0" w:color="auto"/>
              <w:right w:val="single" w:sz="6" w:space="0" w:color="auto"/>
            </w:tcBorders>
          </w:tcPr>
          <w:p w14:paraId="618F57E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Benzina</w:t>
            </w:r>
          </w:p>
        </w:tc>
        <w:tc>
          <w:tcPr>
            <w:tcW w:w="1193" w:type="dxa"/>
            <w:tcBorders>
              <w:top w:val="single" w:sz="6" w:space="0" w:color="auto"/>
              <w:left w:val="single" w:sz="6" w:space="0" w:color="auto"/>
              <w:bottom w:val="single" w:sz="6" w:space="0" w:color="auto"/>
              <w:right w:val="single" w:sz="6" w:space="0" w:color="auto"/>
            </w:tcBorders>
          </w:tcPr>
          <w:p w14:paraId="532BEE3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Loubí</w:t>
            </w:r>
          </w:p>
        </w:tc>
        <w:tc>
          <w:tcPr>
            <w:tcW w:w="633" w:type="dxa"/>
            <w:tcBorders>
              <w:top w:val="single" w:sz="6" w:space="0" w:color="auto"/>
              <w:left w:val="single" w:sz="6" w:space="0" w:color="auto"/>
              <w:bottom w:val="single" w:sz="6" w:space="0" w:color="auto"/>
              <w:right w:val="single" w:sz="6" w:space="0" w:color="auto"/>
            </w:tcBorders>
          </w:tcPr>
          <w:p w14:paraId="575F1D2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76EE6B8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67C2F5A0"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4B2B64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111</w:t>
            </w:r>
          </w:p>
        </w:tc>
        <w:tc>
          <w:tcPr>
            <w:tcW w:w="1632" w:type="dxa"/>
            <w:tcBorders>
              <w:top w:val="single" w:sz="6" w:space="0" w:color="auto"/>
              <w:left w:val="single" w:sz="6" w:space="0" w:color="auto"/>
              <w:bottom w:val="single" w:sz="6" w:space="0" w:color="auto"/>
              <w:right w:val="single" w:sz="6" w:space="0" w:color="auto"/>
            </w:tcBorders>
          </w:tcPr>
          <w:p w14:paraId="5AC4B5C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Jatky</w:t>
            </w:r>
          </w:p>
        </w:tc>
        <w:tc>
          <w:tcPr>
            <w:tcW w:w="906" w:type="dxa"/>
            <w:tcBorders>
              <w:top w:val="single" w:sz="6" w:space="0" w:color="auto"/>
              <w:left w:val="single" w:sz="6" w:space="0" w:color="auto"/>
              <w:bottom w:val="single" w:sz="6" w:space="0" w:color="auto"/>
              <w:right w:val="single" w:sz="6" w:space="0" w:color="auto"/>
            </w:tcBorders>
          </w:tcPr>
          <w:p w14:paraId="477E443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20C09A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2DA7E4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32ADE8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240</w:t>
            </w:r>
          </w:p>
        </w:tc>
        <w:tc>
          <w:tcPr>
            <w:tcW w:w="1556" w:type="dxa"/>
            <w:tcBorders>
              <w:top w:val="single" w:sz="6" w:space="0" w:color="auto"/>
              <w:left w:val="single" w:sz="6" w:space="0" w:color="auto"/>
              <w:bottom w:val="single" w:sz="6" w:space="0" w:color="auto"/>
              <w:right w:val="single" w:sz="6" w:space="0" w:color="auto"/>
            </w:tcBorders>
          </w:tcPr>
          <w:p w14:paraId="1EA8BDF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4A8D429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Velká Veleň</w:t>
            </w:r>
          </w:p>
        </w:tc>
        <w:tc>
          <w:tcPr>
            <w:tcW w:w="633" w:type="dxa"/>
            <w:tcBorders>
              <w:top w:val="single" w:sz="6" w:space="0" w:color="auto"/>
              <w:left w:val="single" w:sz="6" w:space="0" w:color="auto"/>
              <w:bottom w:val="single" w:sz="6" w:space="0" w:color="auto"/>
              <w:right w:val="single" w:sz="6" w:space="0" w:color="auto"/>
            </w:tcBorders>
          </w:tcPr>
          <w:p w14:paraId="283F933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2A00477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669A52D0" w14:textId="77777777" w:rsidTr="002D2D45">
        <w:trPr>
          <w:trHeight w:val="485"/>
        </w:trPr>
        <w:tc>
          <w:tcPr>
            <w:tcW w:w="558" w:type="dxa"/>
            <w:tcBorders>
              <w:top w:val="single" w:sz="6" w:space="0" w:color="auto"/>
              <w:left w:val="single" w:sz="6" w:space="0" w:color="auto"/>
              <w:bottom w:val="single" w:sz="6" w:space="0" w:color="auto"/>
              <w:right w:val="single" w:sz="6" w:space="0" w:color="auto"/>
            </w:tcBorders>
          </w:tcPr>
          <w:p w14:paraId="3D55E0F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112</w:t>
            </w:r>
          </w:p>
        </w:tc>
        <w:tc>
          <w:tcPr>
            <w:tcW w:w="1632" w:type="dxa"/>
            <w:tcBorders>
              <w:top w:val="single" w:sz="6" w:space="0" w:color="auto"/>
              <w:left w:val="single" w:sz="6" w:space="0" w:color="auto"/>
              <w:bottom w:val="single" w:sz="6" w:space="0" w:color="auto"/>
              <w:right w:val="single" w:sz="6" w:space="0" w:color="auto"/>
            </w:tcBorders>
          </w:tcPr>
          <w:p w14:paraId="22A3C4B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Garáže SU</w:t>
            </w:r>
          </w:p>
          <w:p w14:paraId="7FBE4C4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Oblouková</w:t>
            </w:r>
          </w:p>
        </w:tc>
        <w:tc>
          <w:tcPr>
            <w:tcW w:w="906" w:type="dxa"/>
            <w:tcBorders>
              <w:top w:val="single" w:sz="6" w:space="0" w:color="auto"/>
              <w:left w:val="single" w:sz="6" w:space="0" w:color="auto"/>
              <w:bottom w:val="single" w:sz="6" w:space="0" w:color="auto"/>
              <w:right w:val="single" w:sz="6" w:space="0" w:color="auto"/>
            </w:tcBorders>
          </w:tcPr>
          <w:p w14:paraId="42827CD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2FD286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50352B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B889D1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241</w:t>
            </w:r>
          </w:p>
        </w:tc>
        <w:tc>
          <w:tcPr>
            <w:tcW w:w="1556" w:type="dxa"/>
            <w:tcBorders>
              <w:top w:val="single" w:sz="6" w:space="0" w:color="auto"/>
              <w:left w:val="single" w:sz="6" w:space="0" w:color="auto"/>
              <w:bottom w:val="single" w:sz="6" w:space="0" w:color="auto"/>
              <w:right w:val="single" w:sz="6" w:space="0" w:color="auto"/>
            </w:tcBorders>
          </w:tcPr>
          <w:p w14:paraId="52FEF25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 Děčínu</w:t>
            </w:r>
          </w:p>
        </w:tc>
        <w:tc>
          <w:tcPr>
            <w:tcW w:w="1193" w:type="dxa"/>
            <w:tcBorders>
              <w:top w:val="single" w:sz="6" w:space="0" w:color="auto"/>
              <w:left w:val="single" w:sz="6" w:space="0" w:color="auto"/>
              <w:bottom w:val="single" w:sz="6" w:space="0" w:color="auto"/>
              <w:right w:val="single" w:sz="6" w:space="0" w:color="auto"/>
            </w:tcBorders>
          </w:tcPr>
          <w:p w14:paraId="19A4BB6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Bechlejovice</w:t>
            </w:r>
          </w:p>
        </w:tc>
        <w:tc>
          <w:tcPr>
            <w:tcW w:w="633" w:type="dxa"/>
            <w:tcBorders>
              <w:top w:val="single" w:sz="6" w:space="0" w:color="auto"/>
              <w:left w:val="single" w:sz="6" w:space="0" w:color="auto"/>
              <w:bottom w:val="single" w:sz="6" w:space="0" w:color="auto"/>
              <w:right w:val="single" w:sz="6" w:space="0" w:color="auto"/>
            </w:tcBorders>
          </w:tcPr>
          <w:p w14:paraId="5FB6C55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01BDBA2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04BD72F5"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4967D2B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113</w:t>
            </w:r>
          </w:p>
        </w:tc>
        <w:tc>
          <w:tcPr>
            <w:tcW w:w="1632" w:type="dxa"/>
            <w:tcBorders>
              <w:top w:val="single" w:sz="6" w:space="0" w:color="auto"/>
              <w:left w:val="single" w:sz="6" w:space="0" w:color="auto"/>
              <w:bottom w:val="single" w:sz="6" w:space="0" w:color="auto"/>
              <w:right w:val="single" w:sz="6" w:space="0" w:color="auto"/>
            </w:tcBorders>
          </w:tcPr>
          <w:p w14:paraId="2F0B056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Kohinoor- baterie</w:t>
            </w:r>
          </w:p>
        </w:tc>
        <w:tc>
          <w:tcPr>
            <w:tcW w:w="906" w:type="dxa"/>
            <w:tcBorders>
              <w:top w:val="single" w:sz="6" w:space="0" w:color="auto"/>
              <w:left w:val="single" w:sz="6" w:space="0" w:color="auto"/>
              <w:bottom w:val="single" w:sz="6" w:space="0" w:color="auto"/>
              <w:right w:val="single" w:sz="6" w:space="0" w:color="auto"/>
            </w:tcBorders>
          </w:tcPr>
          <w:p w14:paraId="54DB1B3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4B085F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3310454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23E61A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242</w:t>
            </w:r>
          </w:p>
        </w:tc>
        <w:tc>
          <w:tcPr>
            <w:tcW w:w="1556" w:type="dxa"/>
            <w:tcBorders>
              <w:top w:val="single" w:sz="6" w:space="0" w:color="auto"/>
              <w:left w:val="single" w:sz="6" w:space="0" w:color="auto"/>
              <w:bottom w:val="single" w:sz="6" w:space="0" w:color="auto"/>
              <w:right w:val="single" w:sz="6" w:space="0" w:color="auto"/>
            </w:tcBorders>
          </w:tcPr>
          <w:p w14:paraId="7E35FC1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Litoměřická</w:t>
            </w:r>
          </w:p>
        </w:tc>
        <w:tc>
          <w:tcPr>
            <w:tcW w:w="1193" w:type="dxa"/>
            <w:tcBorders>
              <w:top w:val="single" w:sz="6" w:space="0" w:color="auto"/>
              <w:left w:val="single" w:sz="6" w:space="0" w:color="auto"/>
              <w:bottom w:val="single" w:sz="6" w:space="0" w:color="auto"/>
              <w:right w:val="single" w:sz="6" w:space="0" w:color="auto"/>
            </w:tcBorders>
          </w:tcPr>
          <w:p w14:paraId="7815F5A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St. Město</w:t>
            </w:r>
          </w:p>
        </w:tc>
        <w:tc>
          <w:tcPr>
            <w:tcW w:w="633" w:type="dxa"/>
            <w:tcBorders>
              <w:top w:val="single" w:sz="6" w:space="0" w:color="auto"/>
              <w:left w:val="single" w:sz="6" w:space="0" w:color="auto"/>
              <w:bottom w:val="single" w:sz="6" w:space="0" w:color="auto"/>
              <w:right w:val="single" w:sz="6" w:space="0" w:color="auto"/>
            </w:tcBorders>
          </w:tcPr>
          <w:p w14:paraId="7D7E9B2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7D14098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6A9BD87D"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72EFD36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114</w:t>
            </w:r>
          </w:p>
        </w:tc>
        <w:tc>
          <w:tcPr>
            <w:tcW w:w="1632" w:type="dxa"/>
            <w:tcBorders>
              <w:top w:val="single" w:sz="6" w:space="0" w:color="auto"/>
              <w:left w:val="single" w:sz="6" w:space="0" w:color="auto"/>
              <w:bottom w:val="single" w:sz="6" w:space="0" w:color="auto"/>
              <w:right w:val="single" w:sz="6" w:space="0" w:color="auto"/>
            </w:tcBorders>
          </w:tcPr>
          <w:p w14:paraId="758F062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Zimní stadion</w:t>
            </w:r>
          </w:p>
        </w:tc>
        <w:tc>
          <w:tcPr>
            <w:tcW w:w="906" w:type="dxa"/>
            <w:tcBorders>
              <w:top w:val="single" w:sz="6" w:space="0" w:color="auto"/>
              <w:left w:val="single" w:sz="6" w:space="0" w:color="auto"/>
              <w:bottom w:val="single" w:sz="6" w:space="0" w:color="auto"/>
              <w:right w:val="single" w:sz="6" w:space="0" w:color="auto"/>
            </w:tcBorders>
          </w:tcPr>
          <w:p w14:paraId="0AEC65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A11173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6CB55CD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4B6C0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243</w:t>
            </w:r>
          </w:p>
        </w:tc>
        <w:tc>
          <w:tcPr>
            <w:tcW w:w="1556" w:type="dxa"/>
            <w:tcBorders>
              <w:top w:val="single" w:sz="6" w:space="0" w:color="auto"/>
              <w:left w:val="single" w:sz="6" w:space="0" w:color="auto"/>
              <w:bottom w:val="single" w:sz="6" w:space="0" w:color="auto"/>
              <w:right w:val="single" w:sz="6" w:space="0" w:color="auto"/>
            </w:tcBorders>
          </w:tcPr>
          <w:p w14:paraId="71F3865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viaduktu</w:t>
            </w:r>
          </w:p>
        </w:tc>
        <w:tc>
          <w:tcPr>
            <w:tcW w:w="1193" w:type="dxa"/>
            <w:tcBorders>
              <w:top w:val="single" w:sz="6" w:space="0" w:color="auto"/>
              <w:left w:val="single" w:sz="6" w:space="0" w:color="auto"/>
              <w:bottom w:val="single" w:sz="6" w:space="0" w:color="auto"/>
              <w:right w:val="single" w:sz="6" w:space="0" w:color="auto"/>
            </w:tcBorders>
          </w:tcPr>
          <w:p w14:paraId="2676D2D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Vilsnice</w:t>
            </w:r>
          </w:p>
        </w:tc>
        <w:tc>
          <w:tcPr>
            <w:tcW w:w="633" w:type="dxa"/>
            <w:tcBorders>
              <w:top w:val="single" w:sz="6" w:space="0" w:color="auto"/>
              <w:left w:val="single" w:sz="6" w:space="0" w:color="auto"/>
              <w:bottom w:val="single" w:sz="6" w:space="0" w:color="auto"/>
              <w:right w:val="single" w:sz="6" w:space="0" w:color="auto"/>
            </w:tcBorders>
          </w:tcPr>
          <w:p w14:paraId="3782496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1C46FE7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22/0,4</w:t>
            </w:r>
          </w:p>
        </w:tc>
      </w:tr>
      <w:tr w:rsidR="00D42621" w:rsidRPr="00D42621" w14:paraId="20E9F013"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77CD306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115</w:t>
            </w:r>
          </w:p>
        </w:tc>
        <w:tc>
          <w:tcPr>
            <w:tcW w:w="1632" w:type="dxa"/>
            <w:tcBorders>
              <w:top w:val="single" w:sz="6" w:space="0" w:color="auto"/>
              <w:left w:val="single" w:sz="6" w:space="0" w:color="auto"/>
              <w:bottom w:val="single" w:sz="6" w:space="0" w:color="auto"/>
              <w:right w:val="single" w:sz="6" w:space="0" w:color="auto"/>
            </w:tcBorders>
          </w:tcPr>
          <w:p w14:paraId="15C6454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Ploučnická</w:t>
            </w:r>
          </w:p>
        </w:tc>
        <w:tc>
          <w:tcPr>
            <w:tcW w:w="906" w:type="dxa"/>
            <w:tcBorders>
              <w:top w:val="single" w:sz="6" w:space="0" w:color="auto"/>
              <w:left w:val="single" w:sz="6" w:space="0" w:color="auto"/>
              <w:bottom w:val="single" w:sz="6" w:space="0" w:color="auto"/>
              <w:right w:val="single" w:sz="6" w:space="0" w:color="auto"/>
            </w:tcBorders>
          </w:tcPr>
          <w:p w14:paraId="725C32E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61A4CD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4A01DA0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416DC5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244</w:t>
            </w:r>
          </w:p>
        </w:tc>
        <w:tc>
          <w:tcPr>
            <w:tcW w:w="1556" w:type="dxa"/>
            <w:tcBorders>
              <w:top w:val="single" w:sz="6" w:space="0" w:color="auto"/>
              <w:left w:val="single" w:sz="6" w:space="0" w:color="auto"/>
              <w:bottom w:val="single" w:sz="6" w:space="0" w:color="auto"/>
              <w:right w:val="single" w:sz="6" w:space="0" w:color="auto"/>
            </w:tcBorders>
          </w:tcPr>
          <w:p w14:paraId="3C0F071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Sběrna</w:t>
            </w:r>
          </w:p>
        </w:tc>
        <w:tc>
          <w:tcPr>
            <w:tcW w:w="1193" w:type="dxa"/>
            <w:tcBorders>
              <w:top w:val="single" w:sz="6" w:space="0" w:color="auto"/>
              <w:left w:val="single" w:sz="6" w:space="0" w:color="auto"/>
              <w:bottom w:val="single" w:sz="6" w:space="0" w:color="auto"/>
              <w:right w:val="single" w:sz="6" w:space="0" w:color="auto"/>
            </w:tcBorders>
          </w:tcPr>
          <w:p w14:paraId="278FB3E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Křešice</w:t>
            </w:r>
          </w:p>
        </w:tc>
        <w:tc>
          <w:tcPr>
            <w:tcW w:w="633" w:type="dxa"/>
            <w:tcBorders>
              <w:top w:val="single" w:sz="6" w:space="0" w:color="auto"/>
              <w:left w:val="single" w:sz="6" w:space="0" w:color="auto"/>
              <w:bottom w:val="single" w:sz="6" w:space="0" w:color="auto"/>
              <w:right w:val="single" w:sz="6" w:space="0" w:color="auto"/>
            </w:tcBorders>
          </w:tcPr>
          <w:p w14:paraId="4EF587B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3C659AA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6CBD595A"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49ABDDB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116</w:t>
            </w:r>
          </w:p>
        </w:tc>
        <w:tc>
          <w:tcPr>
            <w:tcW w:w="1632" w:type="dxa"/>
            <w:tcBorders>
              <w:top w:val="single" w:sz="6" w:space="0" w:color="auto"/>
              <w:left w:val="single" w:sz="6" w:space="0" w:color="auto"/>
              <w:bottom w:val="single" w:sz="6" w:space="0" w:color="auto"/>
              <w:right w:val="single" w:sz="6" w:space="0" w:color="auto"/>
            </w:tcBorders>
          </w:tcPr>
          <w:p w14:paraId="6165CD5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Oblouková</w:t>
            </w:r>
          </w:p>
        </w:tc>
        <w:tc>
          <w:tcPr>
            <w:tcW w:w="906" w:type="dxa"/>
            <w:tcBorders>
              <w:top w:val="single" w:sz="6" w:space="0" w:color="auto"/>
              <w:left w:val="single" w:sz="6" w:space="0" w:color="auto"/>
              <w:bottom w:val="single" w:sz="6" w:space="0" w:color="auto"/>
              <w:right w:val="single" w:sz="6" w:space="0" w:color="auto"/>
            </w:tcBorders>
          </w:tcPr>
          <w:p w14:paraId="1984236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7D4E1BB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88A801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460E42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245</w:t>
            </w:r>
          </w:p>
        </w:tc>
        <w:tc>
          <w:tcPr>
            <w:tcW w:w="1556" w:type="dxa"/>
            <w:tcBorders>
              <w:top w:val="single" w:sz="6" w:space="0" w:color="auto"/>
              <w:left w:val="single" w:sz="6" w:space="0" w:color="auto"/>
              <w:bottom w:val="single" w:sz="6" w:space="0" w:color="auto"/>
              <w:right w:val="single" w:sz="6" w:space="0" w:color="auto"/>
            </w:tcBorders>
          </w:tcPr>
          <w:p w14:paraId="041E427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Penzion</w:t>
            </w:r>
          </w:p>
        </w:tc>
        <w:tc>
          <w:tcPr>
            <w:tcW w:w="1193" w:type="dxa"/>
            <w:tcBorders>
              <w:top w:val="single" w:sz="6" w:space="0" w:color="auto"/>
              <w:left w:val="single" w:sz="6" w:space="0" w:color="auto"/>
              <w:bottom w:val="single" w:sz="6" w:space="0" w:color="auto"/>
              <w:right w:val="single" w:sz="6" w:space="0" w:color="auto"/>
            </w:tcBorders>
          </w:tcPr>
          <w:p w14:paraId="17E8272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Křešice</w:t>
            </w:r>
          </w:p>
        </w:tc>
        <w:tc>
          <w:tcPr>
            <w:tcW w:w="633" w:type="dxa"/>
            <w:tcBorders>
              <w:top w:val="single" w:sz="6" w:space="0" w:color="auto"/>
              <w:left w:val="single" w:sz="6" w:space="0" w:color="auto"/>
              <w:bottom w:val="single" w:sz="6" w:space="0" w:color="auto"/>
              <w:right w:val="single" w:sz="6" w:space="0" w:color="auto"/>
            </w:tcBorders>
          </w:tcPr>
          <w:p w14:paraId="4032897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6DD0579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09C190E9"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719CAB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117</w:t>
            </w:r>
          </w:p>
        </w:tc>
        <w:tc>
          <w:tcPr>
            <w:tcW w:w="1632" w:type="dxa"/>
            <w:tcBorders>
              <w:top w:val="single" w:sz="6" w:space="0" w:color="auto"/>
              <w:left w:val="single" w:sz="6" w:space="0" w:color="auto"/>
              <w:bottom w:val="single" w:sz="6" w:space="0" w:color="auto"/>
              <w:right w:val="single" w:sz="6" w:space="0" w:color="auto"/>
            </w:tcBorders>
          </w:tcPr>
          <w:p w14:paraId="738242B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Jezdecká</w:t>
            </w:r>
          </w:p>
        </w:tc>
        <w:tc>
          <w:tcPr>
            <w:tcW w:w="906" w:type="dxa"/>
            <w:tcBorders>
              <w:top w:val="single" w:sz="6" w:space="0" w:color="auto"/>
              <w:left w:val="single" w:sz="6" w:space="0" w:color="auto"/>
              <w:bottom w:val="single" w:sz="6" w:space="0" w:color="auto"/>
              <w:right w:val="single" w:sz="6" w:space="0" w:color="auto"/>
            </w:tcBorders>
          </w:tcPr>
          <w:p w14:paraId="674652D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FE45BA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469D81F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390C31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246</w:t>
            </w:r>
          </w:p>
        </w:tc>
        <w:tc>
          <w:tcPr>
            <w:tcW w:w="1556" w:type="dxa"/>
            <w:tcBorders>
              <w:top w:val="single" w:sz="6" w:space="0" w:color="auto"/>
              <w:left w:val="single" w:sz="6" w:space="0" w:color="auto"/>
              <w:bottom w:val="single" w:sz="6" w:space="0" w:color="auto"/>
              <w:right w:val="single" w:sz="6" w:space="0" w:color="auto"/>
            </w:tcBorders>
          </w:tcPr>
          <w:p w14:paraId="03983C3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Kogenerace</w:t>
            </w:r>
          </w:p>
        </w:tc>
        <w:tc>
          <w:tcPr>
            <w:tcW w:w="1193" w:type="dxa"/>
            <w:tcBorders>
              <w:top w:val="single" w:sz="6" w:space="0" w:color="auto"/>
              <w:left w:val="single" w:sz="6" w:space="0" w:color="auto"/>
              <w:bottom w:val="single" w:sz="6" w:space="0" w:color="auto"/>
              <w:right w:val="single" w:sz="6" w:space="0" w:color="auto"/>
            </w:tcBorders>
          </w:tcPr>
          <w:p w14:paraId="0249F58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Želenice</w:t>
            </w:r>
          </w:p>
        </w:tc>
        <w:tc>
          <w:tcPr>
            <w:tcW w:w="633" w:type="dxa"/>
            <w:tcBorders>
              <w:top w:val="single" w:sz="6" w:space="0" w:color="auto"/>
              <w:left w:val="single" w:sz="6" w:space="0" w:color="auto"/>
              <w:bottom w:val="single" w:sz="6" w:space="0" w:color="auto"/>
              <w:right w:val="single" w:sz="6" w:space="0" w:color="auto"/>
            </w:tcBorders>
          </w:tcPr>
          <w:p w14:paraId="6A5DDC3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2DD61A7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2D56A737"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61E0FA0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118</w:t>
            </w:r>
          </w:p>
        </w:tc>
        <w:tc>
          <w:tcPr>
            <w:tcW w:w="1632" w:type="dxa"/>
            <w:tcBorders>
              <w:top w:val="single" w:sz="6" w:space="0" w:color="auto"/>
              <w:left w:val="single" w:sz="6" w:space="0" w:color="auto"/>
              <w:bottom w:val="single" w:sz="6" w:space="0" w:color="auto"/>
              <w:right w:val="single" w:sz="6" w:space="0" w:color="auto"/>
            </w:tcBorders>
          </w:tcPr>
          <w:p w14:paraId="0EE4F86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Kubelíkova</w:t>
            </w:r>
          </w:p>
        </w:tc>
        <w:tc>
          <w:tcPr>
            <w:tcW w:w="906" w:type="dxa"/>
            <w:tcBorders>
              <w:top w:val="single" w:sz="6" w:space="0" w:color="auto"/>
              <w:left w:val="single" w:sz="6" w:space="0" w:color="auto"/>
              <w:bottom w:val="single" w:sz="6" w:space="0" w:color="auto"/>
              <w:right w:val="single" w:sz="6" w:space="0" w:color="auto"/>
            </w:tcBorders>
          </w:tcPr>
          <w:p w14:paraId="01192AD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3D8CEA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620AF2A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590CC5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247</w:t>
            </w:r>
          </w:p>
        </w:tc>
        <w:tc>
          <w:tcPr>
            <w:tcW w:w="1556" w:type="dxa"/>
            <w:tcBorders>
              <w:top w:val="single" w:sz="6" w:space="0" w:color="auto"/>
              <w:left w:val="single" w:sz="6" w:space="0" w:color="auto"/>
              <w:bottom w:val="single" w:sz="6" w:space="0" w:color="auto"/>
              <w:right w:val="single" w:sz="6" w:space="0" w:color="auto"/>
            </w:tcBorders>
          </w:tcPr>
          <w:p w14:paraId="59F99E0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Kaufland</w:t>
            </w:r>
          </w:p>
        </w:tc>
        <w:tc>
          <w:tcPr>
            <w:tcW w:w="1193" w:type="dxa"/>
            <w:tcBorders>
              <w:top w:val="single" w:sz="6" w:space="0" w:color="auto"/>
              <w:left w:val="single" w:sz="6" w:space="0" w:color="auto"/>
              <w:bottom w:val="single" w:sz="6" w:space="0" w:color="auto"/>
              <w:right w:val="single" w:sz="6" w:space="0" w:color="auto"/>
            </w:tcBorders>
          </w:tcPr>
          <w:p w14:paraId="5830F6F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St. Město</w:t>
            </w:r>
          </w:p>
        </w:tc>
        <w:tc>
          <w:tcPr>
            <w:tcW w:w="633" w:type="dxa"/>
            <w:tcBorders>
              <w:top w:val="single" w:sz="6" w:space="0" w:color="auto"/>
              <w:left w:val="single" w:sz="6" w:space="0" w:color="auto"/>
              <w:bottom w:val="single" w:sz="6" w:space="0" w:color="auto"/>
              <w:right w:val="single" w:sz="6" w:space="0" w:color="auto"/>
            </w:tcBorders>
          </w:tcPr>
          <w:p w14:paraId="698056C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7B8EB8D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14843211"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7059B3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119</w:t>
            </w:r>
          </w:p>
        </w:tc>
        <w:tc>
          <w:tcPr>
            <w:tcW w:w="1632" w:type="dxa"/>
            <w:tcBorders>
              <w:top w:val="single" w:sz="6" w:space="0" w:color="auto"/>
              <w:left w:val="single" w:sz="6" w:space="0" w:color="auto"/>
              <w:bottom w:val="single" w:sz="6" w:space="0" w:color="auto"/>
              <w:right w:val="single" w:sz="6" w:space="0" w:color="auto"/>
            </w:tcBorders>
          </w:tcPr>
          <w:p w14:paraId="3C5A9D9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Úzká</w:t>
            </w:r>
          </w:p>
        </w:tc>
        <w:tc>
          <w:tcPr>
            <w:tcW w:w="906" w:type="dxa"/>
            <w:tcBorders>
              <w:top w:val="single" w:sz="6" w:space="0" w:color="auto"/>
              <w:left w:val="single" w:sz="6" w:space="0" w:color="auto"/>
              <w:bottom w:val="single" w:sz="6" w:space="0" w:color="auto"/>
              <w:right w:val="single" w:sz="6" w:space="0" w:color="auto"/>
            </w:tcBorders>
          </w:tcPr>
          <w:p w14:paraId="7B5BA76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0632118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49D8473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93189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248</w:t>
            </w:r>
          </w:p>
        </w:tc>
        <w:tc>
          <w:tcPr>
            <w:tcW w:w="1556" w:type="dxa"/>
            <w:tcBorders>
              <w:top w:val="single" w:sz="6" w:space="0" w:color="auto"/>
              <w:left w:val="single" w:sz="6" w:space="0" w:color="auto"/>
              <w:bottom w:val="single" w:sz="6" w:space="0" w:color="auto"/>
              <w:right w:val="single" w:sz="6" w:space="0" w:color="auto"/>
            </w:tcBorders>
          </w:tcPr>
          <w:p w14:paraId="4C7BE3F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Ford Homolka</w:t>
            </w:r>
          </w:p>
        </w:tc>
        <w:tc>
          <w:tcPr>
            <w:tcW w:w="1193" w:type="dxa"/>
            <w:tcBorders>
              <w:top w:val="single" w:sz="6" w:space="0" w:color="auto"/>
              <w:left w:val="single" w:sz="6" w:space="0" w:color="auto"/>
              <w:bottom w:val="single" w:sz="6" w:space="0" w:color="auto"/>
              <w:right w:val="single" w:sz="6" w:space="0" w:color="auto"/>
            </w:tcBorders>
          </w:tcPr>
          <w:p w14:paraId="47E4D8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Rozbělesy</w:t>
            </w:r>
          </w:p>
        </w:tc>
        <w:tc>
          <w:tcPr>
            <w:tcW w:w="633" w:type="dxa"/>
            <w:tcBorders>
              <w:top w:val="single" w:sz="6" w:space="0" w:color="auto"/>
              <w:left w:val="single" w:sz="6" w:space="0" w:color="auto"/>
              <w:bottom w:val="single" w:sz="6" w:space="0" w:color="auto"/>
              <w:right w:val="single" w:sz="6" w:space="0" w:color="auto"/>
            </w:tcBorders>
          </w:tcPr>
          <w:p w14:paraId="31496D4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68F184E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6A569617"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E8166B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120</w:t>
            </w:r>
          </w:p>
        </w:tc>
        <w:tc>
          <w:tcPr>
            <w:tcW w:w="1632" w:type="dxa"/>
            <w:tcBorders>
              <w:top w:val="single" w:sz="6" w:space="0" w:color="auto"/>
              <w:left w:val="single" w:sz="6" w:space="0" w:color="auto"/>
              <w:bottom w:val="single" w:sz="6" w:space="0" w:color="auto"/>
              <w:right w:val="single" w:sz="6" w:space="0" w:color="auto"/>
            </w:tcBorders>
          </w:tcPr>
          <w:p w14:paraId="354EE26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Březová</w:t>
            </w:r>
          </w:p>
        </w:tc>
        <w:tc>
          <w:tcPr>
            <w:tcW w:w="906" w:type="dxa"/>
            <w:tcBorders>
              <w:top w:val="single" w:sz="6" w:space="0" w:color="auto"/>
              <w:left w:val="single" w:sz="6" w:space="0" w:color="auto"/>
              <w:bottom w:val="single" w:sz="6" w:space="0" w:color="auto"/>
              <w:right w:val="single" w:sz="6" w:space="0" w:color="auto"/>
            </w:tcBorders>
          </w:tcPr>
          <w:p w14:paraId="2E4FAA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1438BF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75CF1A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3AF37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249</w:t>
            </w:r>
          </w:p>
        </w:tc>
        <w:tc>
          <w:tcPr>
            <w:tcW w:w="1556" w:type="dxa"/>
            <w:tcBorders>
              <w:top w:val="single" w:sz="6" w:space="0" w:color="auto"/>
              <w:left w:val="single" w:sz="6" w:space="0" w:color="auto"/>
              <w:bottom w:val="single" w:sz="6" w:space="0" w:color="auto"/>
              <w:right w:val="single" w:sz="6" w:space="0" w:color="auto"/>
            </w:tcBorders>
          </w:tcPr>
          <w:p w14:paraId="13E7C38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Plus</w:t>
            </w:r>
          </w:p>
        </w:tc>
        <w:tc>
          <w:tcPr>
            <w:tcW w:w="1193" w:type="dxa"/>
            <w:tcBorders>
              <w:top w:val="single" w:sz="6" w:space="0" w:color="auto"/>
              <w:left w:val="single" w:sz="6" w:space="0" w:color="auto"/>
              <w:bottom w:val="single" w:sz="6" w:space="0" w:color="auto"/>
              <w:right w:val="single" w:sz="6" w:space="0" w:color="auto"/>
            </w:tcBorders>
          </w:tcPr>
          <w:p w14:paraId="3D45091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Rozbělesy</w:t>
            </w:r>
          </w:p>
        </w:tc>
        <w:tc>
          <w:tcPr>
            <w:tcW w:w="633" w:type="dxa"/>
            <w:tcBorders>
              <w:top w:val="single" w:sz="6" w:space="0" w:color="auto"/>
              <w:left w:val="single" w:sz="6" w:space="0" w:color="auto"/>
              <w:bottom w:val="single" w:sz="6" w:space="0" w:color="auto"/>
              <w:right w:val="single" w:sz="6" w:space="0" w:color="auto"/>
            </w:tcBorders>
          </w:tcPr>
          <w:p w14:paraId="1C7B1C5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39FAECA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540DCBF6"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6C8EA1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121</w:t>
            </w:r>
          </w:p>
        </w:tc>
        <w:tc>
          <w:tcPr>
            <w:tcW w:w="1632" w:type="dxa"/>
            <w:tcBorders>
              <w:top w:val="single" w:sz="6" w:space="0" w:color="auto"/>
              <w:left w:val="single" w:sz="6" w:space="0" w:color="auto"/>
              <w:bottom w:val="single" w:sz="6" w:space="0" w:color="auto"/>
              <w:right w:val="single" w:sz="6" w:space="0" w:color="auto"/>
            </w:tcBorders>
          </w:tcPr>
          <w:p w14:paraId="34CA3AB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Hotelový dům</w:t>
            </w:r>
          </w:p>
        </w:tc>
        <w:tc>
          <w:tcPr>
            <w:tcW w:w="906" w:type="dxa"/>
            <w:tcBorders>
              <w:top w:val="single" w:sz="6" w:space="0" w:color="auto"/>
              <w:left w:val="single" w:sz="6" w:space="0" w:color="auto"/>
              <w:bottom w:val="single" w:sz="6" w:space="0" w:color="auto"/>
              <w:right w:val="single" w:sz="6" w:space="0" w:color="auto"/>
            </w:tcBorders>
          </w:tcPr>
          <w:p w14:paraId="4D3C6D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243B4F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1A81E2B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3E3337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250</w:t>
            </w:r>
          </w:p>
        </w:tc>
        <w:tc>
          <w:tcPr>
            <w:tcW w:w="1556" w:type="dxa"/>
            <w:tcBorders>
              <w:top w:val="single" w:sz="6" w:space="0" w:color="auto"/>
              <w:left w:val="single" w:sz="6" w:space="0" w:color="auto"/>
              <w:bottom w:val="single" w:sz="6" w:space="0" w:color="auto"/>
              <w:right w:val="single" w:sz="6" w:space="0" w:color="auto"/>
            </w:tcBorders>
          </w:tcPr>
          <w:p w14:paraId="3E3928E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Obec</w:t>
            </w:r>
          </w:p>
        </w:tc>
        <w:tc>
          <w:tcPr>
            <w:tcW w:w="1193" w:type="dxa"/>
            <w:tcBorders>
              <w:top w:val="single" w:sz="6" w:space="0" w:color="auto"/>
              <w:left w:val="single" w:sz="6" w:space="0" w:color="auto"/>
              <w:bottom w:val="single" w:sz="6" w:space="0" w:color="auto"/>
              <w:right w:val="single" w:sz="6" w:space="0" w:color="auto"/>
            </w:tcBorders>
          </w:tcPr>
          <w:p w14:paraId="31E3F2C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Horní Chlum</w:t>
            </w:r>
          </w:p>
        </w:tc>
        <w:tc>
          <w:tcPr>
            <w:tcW w:w="633" w:type="dxa"/>
            <w:tcBorders>
              <w:top w:val="single" w:sz="6" w:space="0" w:color="auto"/>
              <w:left w:val="single" w:sz="6" w:space="0" w:color="auto"/>
              <w:bottom w:val="single" w:sz="6" w:space="0" w:color="auto"/>
              <w:right w:val="single" w:sz="6" w:space="0" w:color="auto"/>
            </w:tcBorders>
          </w:tcPr>
          <w:p w14:paraId="10E483B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299F019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356E0644"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05673B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lastRenderedPageBreak/>
              <w:t>122</w:t>
            </w:r>
          </w:p>
        </w:tc>
        <w:tc>
          <w:tcPr>
            <w:tcW w:w="1632" w:type="dxa"/>
            <w:tcBorders>
              <w:top w:val="single" w:sz="6" w:space="0" w:color="auto"/>
              <w:left w:val="single" w:sz="6" w:space="0" w:color="auto"/>
              <w:bottom w:val="single" w:sz="6" w:space="0" w:color="auto"/>
              <w:right w:val="single" w:sz="6" w:space="0" w:color="auto"/>
            </w:tcBorders>
          </w:tcPr>
          <w:p w14:paraId="7FA2C53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Liberecká</w:t>
            </w:r>
          </w:p>
        </w:tc>
        <w:tc>
          <w:tcPr>
            <w:tcW w:w="906" w:type="dxa"/>
            <w:tcBorders>
              <w:top w:val="single" w:sz="6" w:space="0" w:color="auto"/>
              <w:left w:val="single" w:sz="6" w:space="0" w:color="auto"/>
              <w:bottom w:val="single" w:sz="6" w:space="0" w:color="auto"/>
              <w:right w:val="single" w:sz="6" w:space="0" w:color="auto"/>
            </w:tcBorders>
          </w:tcPr>
          <w:p w14:paraId="2273D71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510F9B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EDE5FC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140DB02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251</w:t>
            </w:r>
          </w:p>
        </w:tc>
        <w:tc>
          <w:tcPr>
            <w:tcW w:w="1556" w:type="dxa"/>
            <w:tcBorders>
              <w:top w:val="single" w:sz="6" w:space="0" w:color="auto"/>
              <w:left w:val="single" w:sz="6" w:space="0" w:color="auto"/>
              <w:bottom w:val="single" w:sz="6" w:space="0" w:color="auto"/>
              <w:right w:val="single" w:sz="6" w:space="0" w:color="auto"/>
            </w:tcBorders>
          </w:tcPr>
          <w:p w14:paraId="6C2BDE5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 kopci</w:t>
            </w:r>
          </w:p>
        </w:tc>
        <w:tc>
          <w:tcPr>
            <w:tcW w:w="1193" w:type="dxa"/>
            <w:tcBorders>
              <w:top w:val="single" w:sz="6" w:space="0" w:color="auto"/>
              <w:left w:val="single" w:sz="6" w:space="0" w:color="auto"/>
              <w:bottom w:val="single" w:sz="6" w:space="0" w:color="auto"/>
              <w:right w:val="single" w:sz="6" w:space="0" w:color="auto"/>
            </w:tcBorders>
          </w:tcPr>
          <w:p w14:paraId="69FCF0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Prostř. Žleb</w:t>
            </w:r>
          </w:p>
        </w:tc>
        <w:tc>
          <w:tcPr>
            <w:tcW w:w="633" w:type="dxa"/>
            <w:tcBorders>
              <w:top w:val="single" w:sz="6" w:space="0" w:color="auto"/>
              <w:left w:val="single" w:sz="6" w:space="0" w:color="auto"/>
              <w:bottom w:val="single" w:sz="6" w:space="0" w:color="auto"/>
              <w:right w:val="single" w:sz="6" w:space="0" w:color="auto"/>
            </w:tcBorders>
          </w:tcPr>
          <w:p w14:paraId="279B348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083A08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2EFC8A1C"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8F31C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123</w:t>
            </w:r>
          </w:p>
        </w:tc>
        <w:tc>
          <w:tcPr>
            <w:tcW w:w="1632" w:type="dxa"/>
            <w:tcBorders>
              <w:top w:val="single" w:sz="6" w:space="0" w:color="auto"/>
              <w:left w:val="single" w:sz="6" w:space="0" w:color="auto"/>
              <w:bottom w:val="single" w:sz="6" w:space="0" w:color="auto"/>
              <w:right w:val="single" w:sz="6" w:space="0" w:color="auto"/>
            </w:tcBorders>
          </w:tcPr>
          <w:p w14:paraId="01A28E2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Školka,Kamenická</w:t>
            </w:r>
          </w:p>
        </w:tc>
        <w:tc>
          <w:tcPr>
            <w:tcW w:w="906" w:type="dxa"/>
            <w:tcBorders>
              <w:top w:val="single" w:sz="6" w:space="0" w:color="auto"/>
              <w:left w:val="single" w:sz="6" w:space="0" w:color="auto"/>
              <w:bottom w:val="single" w:sz="6" w:space="0" w:color="auto"/>
              <w:right w:val="single" w:sz="6" w:space="0" w:color="auto"/>
            </w:tcBorders>
          </w:tcPr>
          <w:p w14:paraId="54341B9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6E12B31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5E6D52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30C37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252</w:t>
            </w:r>
          </w:p>
        </w:tc>
        <w:tc>
          <w:tcPr>
            <w:tcW w:w="1556" w:type="dxa"/>
            <w:tcBorders>
              <w:top w:val="single" w:sz="6" w:space="0" w:color="auto"/>
              <w:left w:val="single" w:sz="6" w:space="0" w:color="auto"/>
              <w:bottom w:val="single" w:sz="6" w:space="0" w:color="auto"/>
              <w:right w:val="single" w:sz="6" w:space="0" w:color="auto"/>
            </w:tcBorders>
          </w:tcPr>
          <w:p w14:paraId="26C12DA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Plav. areál</w:t>
            </w:r>
          </w:p>
        </w:tc>
        <w:tc>
          <w:tcPr>
            <w:tcW w:w="1193" w:type="dxa"/>
            <w:tcBorders>
              <w:top w:val="single" w:sz="6" w:space="0" w:color="auto"/>
              <w:left w:val="single" w:sz="6" w:space="0" w:color="auto"/>
              <w:bottom w:val="single" w:sz="6" w:space="0" w:color="auto"/>
              <w:right w:val="single" w:sz="6" w:space="0" w:color="auto"/>
            </w:tcBorders>
          </w:tcPr>
          <w:p w14:paraId="5C01744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St. Město</w:t>
            </w:r>
          </w:p>
        </w:tc>
        <w:tc>
          <w:tcPr>
            <w:tcW w:w="633" w:type="dxa"/>
            <w:tcBorders>
              <w:top w:val="single" w:sz="6" w:space="0" w:color="auto"/>
              <w:left w:val="single" w:sz="6" w:space="0" w:color="auto"/>
              <w:bottom w:val="single" w:sz="6" w:space="0" w:color="auto"/>
              <w:right w:val="single" w:sz="6" w:space="0" w:color="auto"/>
            </w:tcBorders>
          </w:tcPr>
          <w:p w14:paraId="3ED59C8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23E1F83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497115E2"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294B212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124</w:t>
            </w:r>
          </w:p>
        </w:tc>
        <w:tc>
          <w:tcPr>
            <w:tcW w:w="1632" w:type="dxa"/>
            <w:tcBorders>
              <w:top w:val="single" w:sz="6" w:space="0" w:color="auto"/>
              <w:left w:val="single" w:sz="6" w:space="0" w:color="auto"/>
              <w:bottom w:val="single" w:sz="6" w:space="0" w:color="auto"/>
              <w:right w:val="single" w:sz="6" w:space="0" w:color="auto"/>
            </w:tcBorders>
          </w:tcPr>
          <w:p w14:paraId="4242910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St. město, Zelená</w:t>
            </w:r>
          </w:p>
        </w:tc>
        <w:tc>
          <w:tcPr>
            <w:tcW w:w="906" w:type="dxa"/>
            <w:tcBorders>
              <w:top w:val="single" w:sz="6" w:space="0" w:color="auto"/>
              <w:left w:val="single" w:sz="6" w:space="0" w:color="auto"/>
              <w:bottom w:val="single" w:sz="6" w:space="0" w:color="auto"/>
              <w:right w:val="single" w:sz="6" w:space="0" w:color="auto"/>
            </w:tcBorders>
          </w:tcPr>
          <w:p w14:paraId="0EC1BF0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39CA96C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2C0760A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3214CDE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253</w:t>
            </w:r>
          </w:p>
        </w:tc>
        <w:tc>
          <w:tcPr>
            <w:tcW w:w="1556" w:type="dxa"/>
            <w:tcBorders>
              <w:top w:val="single" w:sz="6" w:space="0" w:color="auto"/>
              <w:left w:val="single" w:sz="6" w:space="0" w:color="auto"/>
              <w:bottom w:val="single" w:sz="6" w:space="0" w:color="auto"/>
              <w:right w:val="single" w:sz="6" w:space="0" w:color="auto"/>
            </w:tcBorders>
          </w:tcPr>
          <w:p w14:paraId="632ADBF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Rytířská</w:t>
            </w:r>
          </w:p>
        </w:tc>
        <w:tc>
          <w:tcPr>
            <w:tcW w:w="1193" w:type="dxa"/>
            <w:tcBorders>
              <w:top w:val="single" w:sz="6" w:space="0" w:color="auto"/>
              <w:left w:val="single" w:sz="6" w:space="0" w:color="auto"/>
              <w:bottom w:val="single" w:sz="6" w:space="0" w:color="auto"/>
              <w:right w:val="single" w:sz="6" w:space="0" w:color="auto"/>
            </w:tcBorders>
          </w:tcPr>
          <w:p w14:paraId="7E45B1E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St. Město</w:t>
            </w:r>
          </w:p>
        </w:tc>
        <w:tc>
          <w:tcPr>
            <w:tcW w:w="633" w:type="dxa"/>
            <w:tcBorders>
              <w:top w:val="single" w:sz="6" w:space="0" w:color="auto"/>
              <w:left w:val="single" w:sz="6" w:space="0" w:color="auto"/>
              <w:bottom w:val="single" w:sz="6" w:space="0" w:color="auto"/>
              <w:right w:val="single" w:sz="6" w:space="0" w:color="auto"/>
            </w:tcBorders>
          </w:tcPr>
          <w:p w14:paraId="52C5D7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0AD9327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125EB179"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12614A1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125</w:t>
            </w:r>
          </w:p>
        </w:tc>
        <w:tc>
          <w:tcPr>
            <w:tcW w:w="1632" w:type="dxa"/>
            <w:tcBorders>
              <w:top w:val="single" w:sz="6" w:space="0" w:color="auto"/>
              <w:left w:val="single" w:sz="6" w:space="0" w:color="auto"/>
              <w:bottom w:val="single" w:sz="6" w:space="0" w:color="auto"/>
              <w:right w:val="single" w:sz="6" w:space="0" w:color="auto"/>
            </w:tcBorders>
          </w:tcPr>
          <w:p w14:paraId="3964C0D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St. město , kotelna</w:t>
            </w:r>
          </w:p>
        </w:tc>
        <w:tc>
          <w:tcPr>
            <w:tcW w:w="906" w:type="dxa"/>
            <w:tcBorders>
              <w:top w:val="single" w:sz="6" w:space="0" w:color="auto"/>
              <w:left w:val="single" w:sz="6" w:space="0" w:color="auto"/>
              <w:bottom w:val="single" w:sz="6" w:space="0" w:color="auto"/>
              <w:right w:val="single" w:sz="6" w:space="0" w:color="auto"/>
            </w:tcBorders>
          </w:tcPr>
          <w:p w14:paraId="694668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D2D382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5AD04F6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048288A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254</w:t>
            </w:r>
          </w:p>
        </w:tc>
        <w:tc>
          <w:tcPr>
            <w:tcW w:w="1556" w:type="dxa"/>
            <w:tcBorders>
              <w:top w:val="single" w:sz="6" w:space="0" w:color="auto"/>
              <w:left w:val="single" w:sz="6" w:space="0" w:color="auto"/>
              <w:bottom w:val="single" w:sz="6" w:space="0" w:color="auto"/>
              <w:right w:val="single" w:sz="6" w:space="0" w:color="auto"/>
            </w:tcBorders>
          </w:tcPr>
          <w:p w14:paraId="1EC0E93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křížku</w:t>
            </w:r>
          </w:p>
        </w:tc>
        <w:tc>
          <w:tcPr>
            <w:tcW w:w="1193" w:type="dxa"/>
            <w:tcBorders>
              <w:top w:val="single" w:sz="6" w:space="0" w:color="auto"/>
              <w:left w:val="single" w:sz="6" w:space="0" w:color="auto"/>
              <w:bottom w:val="single" w:sz="6" w:space="0" w:color="auto"/>
              <w:right w:val="single" w:sz="6" w:space="0" w:color="auto"/>
            </w:tcBorders>
          </w:tcPr>
          <w:p w14:paraId="69BF196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Bynov</w:t>
            </w:r>
          </w:p>
        </w:tc>
        <w:tc>
          <w:tcPr>
            <w:tcW w:w="633" w:type="dxa"/>
            <w:tcBorders>
              <w:top w:val="single" w:sz="6" w:space="0" w:color="auto"/>
              <w:left w:val="single" w:sz="6" w:space="0" w:color="auto"/>
              <w:bottom w:val="single" w:sz="6" w:space="0" w:color="auto"/>
              <w:right w:val="single" w:sz="6" w:space="0" w:color="auto"/>
            </w:tcBorders>
          </w:tcPr>
          <w:p w14:paraId="633E500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24" w:type="dxa"/>
            <w:tcBorders>
              <w:top w:val="single" w:sz="6" w:space="0" w:color="auto"/>
              <w:left w:val="single" w:sz="6" w:space="0" w:color="auto"/>
              <w:bottom w:val="single" w:sz="6" w:space="0" w:color="auto"/>
              <w:right w:val="single" w:sz="6" w:space="0" w:color="auto"/>
            </w:tcBorders>
          </w:tcPr>
          <w:p w14:paraId="6890B43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309307E8"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55CB1C5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126</w:t>
            </w:r>
          </w:p>
        </w:tc>
        <w:tc>
          <w:tcPr>
            <w:tcW w:w="1632" w:type="dxa"/>
            <w:tcBorders>
              <w:top w:val="single" w:sz="6" w:space="0" w:color="auto"/>
              <w:left w:val="single" w:sz="6" w:space="0" w:color="auto"/>
              <w:bottom w:val="single" w:sz="6" w:space="0" w:color="auto"/>
              <w:right w:val="single" w:sz="6" w:space="0" w:color="auto"/>
            </w:tcBorders>
          </w:tcPr>
          <w:p w14:paraId="6C0BF87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Peron východ ČD</w:t>
            </w:r>
          </w:p>
        </w:tc>
        <w:tc>
          <w:tcPr>
            <w:tcW w:w="906" w:type="dxa"/>
            <w:tcBorders>
              <w:top w:val="single" w:sz="6" w:space="0" w:color="auto"/>
              <w:left w:val="single" w:sz="6" w:space="0" w:color="auto"/>
              <w:bottom w:val="single" w:sz="6" w:space="0" w:color="auto"/>
              <w:right w:val="single" w:sz="6" w:space="0" w:color="auto"/>
            </w:tcBorders>
          </w:tcPr>
          <w:p w14:paraId="224807E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0633F5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3A81EF6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25CB2E5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255</w:t>
            </w:r>
          </w:p>
        </w:tc>
        <w:tc>
          <w:tcPr>
            <w:tcW w:w="1556" w:type="dxa"/>
            <w:tcBorders>
              <w:top w:val="single" w:sz="6" w:space="0" w:color="auto"/>
              <w:left w:val="single" w:sz="6" w:space="0" w:color="auto"/>
              <w:bottom w:val="single" w:sz="6" w:space="0" w:color="auto"/>
              <w:right w:val="single" w:sz="6" w:space="0" w:color="auto"/>
            </w:tcBorders>
          </w:tcPr>
          <w:p w14:paraId="7EBDC89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Nádraží</w:t>
            </w:r>
          </w:p>
        </w:tc>
        <w:tc>
          <w:tcPr>
            <w:tcW w:w="1193" w:type="dxa"/>
            <w:tcBorders>
              <w:top w:val="single" w:sz="6" w:space="0" w:color="auto"/>
              <w:left w:val="single" w:sz="6" w:space="0" w:color="auto"/>
              <w:bottom w:val="single" w:sz="6" w:space="0" w:color="auto"/>
              <w:right w:val="single" w:sz="6" w:space="0" w:color="auto"/>
            </w:tcBorders>
          </w:tcPr>
          <w:p w14:paraId="51C48AB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 Žleb</w:t>
            </w:r>
          </w:p>
        </w:tc>
        <w:tc>
          <w:tcPr>
            <w:tcW w:w="633" w:type="dxa"/>
            <w:tcBorders>
              <w:top w:val="single" w:sz="6" w:space="0" w:color="auto"/>
              <w:left w:val="single" w:sz="6" w:space="0" w:color="auto"/>
              <w:bottom w:val="single" w:sz="6" w:space="0" w:color="auto"/>
              <w:right w:val="single" w:sz="6" w:space="0" w:color="auto"/>
            </w:tcBorders>
          </w:tcPr>
          <w:p w14:paraId="7C0B5EA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PŘ</w:t>
            </w:r>
          </w:p>
        </w:tc>
        <w:tc>
          <w:tcPr>
            <w:tcW w:w="724" w:type="dxa"/>
            <w:tcBorders>
              <w:top w:val="single" w:sz="6" w:space="0" w:color="auto"/>
              <w:left w:val="single" w:sz="6" w:space="0" w:color="auto"/>
              <w:bottom w:val="single" w:sz="6" w:space="0" w:color="auto"/>
              <w:right w:val="single" w:sz="6" w:space="0" w:color="auto"/>
            </w:tcBorders>
          </w:tcPr>
          <w:p w14:paraId="5B3C3A3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2B87953E" w14:textId="77777777" w:rsidTr="002D2D45">
        <w:trPr>
          <w:trHeight w:val="253"/>
        </w:trPr>
        <w:tc>
          <w:tcPr>
            <w:tcW w:w="558" w:type="dxa"/>
            <w:tcBorders>
              <w:top w:val="single" w:sz="6" w:space="0" w:color="auto"/>
              <w:left w:val="single" w:sz="6" w:space="0" w:color="auto"/>
              <w:bottom w:val="single" w:sz="6" w:space="0" w:color="auto"/>
              <w:right w:val="single" w:sz="6" w:space="0" w:color="auto"/>
            </w:tcBorders>
          </w:tcPr>
          <w:p w14:paraId="13A32FA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127</w:t>
            </w:r>
          </w:p>
        </w:tc>
        <w:tc>
          <w:tcPr>
            <w:tcW w:w="1632" w:type="dxa"/>
            <w:tcBorders>
              <w:top w:val="single" w:sz="6" w:space="0" w:color="auto"/>
              <w:left w:val="single" w:sz="6" w:space="0" w:color="auto"/>
              <w:bottom w:val="single" w:sz="6" w:space="0" w:color="auto"/>
              <w:right w:val="single" w:sz="6" w:space="0" w:color="auto"/>
            </w:tcBorders>
          </w:tcPr>
          <w:p w14:paraId="766770A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Kamenická</w:t>
            </w:r>
          </w:p>
        </w:tc>
        <w:tc>
          <w:tcPr>
            <w:tcW w:w="906" w:type="dxa"/>
            <w:tcBorders>
              <w:top w:val="single" w:sz="6" w:space="0" w:color="auto"/>
              <w:left w:val="single" w:sz="6" w:space="0" w:color="auto"/>
              <w:bottom w:val="single" w:sz="6" w:space="0" w:color="auto"/>
              <w:right w:val="single" w:sz="6" w:space="0" w:color="auto"/>
            </w:tcBorders>
          </w:tcPr>
          <w:p w14:paraId="795AB5B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27F982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VEST</w:t>
            </w:r>
          </w:p>
        </w:tc>
        <w:tc>
          <w:tcPr>
            <w:tcW w:w="710" w:type="dxa"/>
            <w:tcBorders>
              <w:top w:val="single" w:sz="6" w:space="0" w:color="auto"/>
              <w:left w:val="single" w:sz="6" w:space="0" w:color="auto"/>
              <w:bottom w:val="single" w:sz="6" w:space="0" w:color="auto"/>
              <w:right w:val="single" w:sz="6" w:space="0" w:color="auto"/>
            </w:tcBorders>
          </w:tcPr>
          <w:p w14:paraId="2A1D8B3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A71676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256</w:t>
            </w:r>
          </w:p>
        </w:tc>
        <w:tc>
          <w:tcPr>
            <w:tcW w:w="1556" w:type="dxa"/>
            <w:tcBorders>
              <w:top w:val="single" w:sz="6" w:space="0" w:color="auto"/>
              <w:left w:val="single" w:sz="6" w:space="0" w:color="auto"/>
              <w:bottom w:val="single" w:sz="6" w:space="0" w:color="auto"/>
              <w:right w:val="single" w:sz="6" w:space="0" w:color="auto"/>
            </w:tcBorders>
          </w:tcPr>
          <w:p w14:paraId="7B99F39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 nádraží</w:t>
            </w:r>
          </w:p>
        </w:tc>
        <w:tc>
          <w:tcPr>
            <w:tcW w:w="1193" w:type="dxa"/>
            <w:tcBorders>
              <w:top w:val="single" w:sz="6" w:space="0" w:color="auto"/>
              <w:left w:val="single" w:sz="6" w:space="0" w:color="auto"/>
              <w:bottom w:val="single" w:sz="6" w:space="0" w:color="auto"/>
              <w:right w:val="single" w:sz="6" w:space="0" w:color="auto"/>
            </w:tcBorders>
          </w:tcPr>
          <w:p w14:paraId="5C23327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P. Žleb</w:t>
            </w:r>
          </w:p>
        </w:tc>
        <w:tc>
          <w:tcPr>
            <w:tcW w:w="633" w:type="dxa"/>
            <w:tcBorders>
              <w:top w:val="single" w:sz="6" w:space="0" w:color="auto"/>
              <w:left w:val="single" w:sz="6" w:space="0" w:color="auto"/>
              <w:bottom w:val="single" w:sz="6" w:space="0" w:color="auto"/>
              <w:right w:val="single" w:sz="6" w:space="0" w:color="auto"/>
            </w:tcBorders>
          </w:tcPr>
          <w:p w14:paraId="4D53B8B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SL</w:t>
            </w:r>
          </w:p>
        </w:tc>
        <w:tc>
          <w:tcPr>
            <w:tcW w:w="724" w:type="dxa"/>
            <w:tcBorders>
              <w:top w:val="single" w:sz="6" w:space="0" w:color="auto"/>
              <w:left w:val="single" w:sz="6" w:space="0" w:color="auto"/>
              <w:bottom w:val="single" w:sz="6" w:space="0" w:color="auto"/>
              <w:right w:val="single" w:sz="6" w:space="0" w:color="auto"/>
            </w:tcBorders>
          </w:tcPr>
          <w:p w14:paraId="1FE191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r>
      <w:tr w:rsidR="00D42621" w:rsidRPr="00D42621" w14:paraId="2352F07F"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0B75315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128</w:t>
            </w:r>
          </w:p>
        </w:tc>
        <w:tc>
          <w:tcPr>
            <w:tcW w:w="1632" w:type="dxa"/>
            <w:tcBorders>
              <w:top w:val="single" w:sz="6" w:space="0" w:color="auto"/>
              <w:left w:val="single" w:sz="6" w:space="0" w:color="auto"/>
              <w:bottom w:val="single" w:sz="6" w:space="0" w:color="auto"/>
              <w:right w:val="single" w:sz="6" w:space="0" w:color="auto"/>
            </w:tcBorders>
          </w:tcPr>
          <w:p w14:paraId="29F354F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Kamenická,sídliště</w:t>
            </w:r>
          </w:p>
        </w:tc>
        <w:tc>
          <w:tcPr>
            <w:tcW w:w="906" w:type="dxa"/>
            <w:tcBorders>
              <w:top w:val="single" w:sz="6" w:space="0" w:color="auto"/>
              <w:left w:val="single" w:sz="6" w:space="0" w:color="auto"/>
              <w:bottom w:val="single" w:sz="6" w:space="0" w:color="auto"/>
              <w:right w:val="single" w:sz="6" w:space="0" w:color="auto"/>
            </w:tcBorders>
          </w:tcPr>
          <w:p w14:paraId="77103B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4B7984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5259BB2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576E8FF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257</w:t>
            </w:r>
          </w:p>
        </w:tc>
        <w:tc>
          <w:tcPr>
            <w:tcW w:w="1556" w:type="dxa"/>
            <w:tcBorders>
              <w:top w:val="single" w:sz="6" w:space="0" w:color="auto"/>
              <w:left w:val="single" w:sz="6" w:space="0" w:color="auto"/>
              <w:bottom w:val="single" w:sz="6" w:space="0" w:color="auto"/>
              <w:right w:val="single" w:sz="6" w:space="0" w:color="auto"/>
            </w:tcBorders>
          </w:tcPr>
          <w:p w14:paraId="47955EF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Zahradní</w:t>
            </w:r>
          </w:p>
        </w:tc>
        <w:tc>
          <w:tcPr>
            <w:tcW w:w="1193" w:type="dxa"/>
            <w:tcBorders>
              <w:top w:val="single" w:sz="6" w:space="0" w:color="auto"/>
              <w:left w:val="single" w:sz="6" w:space="0" w:color="auto"/>
              <w:bottom w:val="single" w:sz="6" w:space="0" w:color="auto"/>
              <w:right w:val="single" w:sz="6" w:space="0" w:color="auto"/>
            </w:tcBorders>
          </w:tcPr>
          <w:p w14:paraId="486986C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Boletice</w:t>
            </w:r>
          </w:p>
        </w:tc>
        <w:tc>
          <w:tcPr>
            <w:tcW w:w="633" w:type="dxa"/>
            <w:tcBorders>
              <w:top w:val="single" w:sz="6" w:space="0" w:color="auto"/>
              <w:left w:val="single" w:sz="6" w:space="0" w:color="auto"/>
              <w:bottom w:val="single" w:sz="6" w:space="0" w:color="auto"/>
              <w:right w:val="single" w:sz="6" w:space="0" w:color="auto"/>
            </w:tcBorders>
          </w:tcPr>
          <w:p w14:paraId="1364074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SL</w:t>
            </w:r>
          </w:p>
        </w:tc>
        <w:tc>
          <w:tcPr>
            <w:tcW w:w="724" w:type="dxa"/>
            <w:tcBorders>
              <w:top w:val="single" w:sz="6" w:space="0" w:color="auto"/>
              <w:left w:val="single" w:sz="6" w:space="0" w:color="auto"/>
              <w:bottom w:val="single" w:sz="6" w:space="0" w:color="auto"/>
              <w:right w:val="single" w:sz="6" w:space="0" w:color="auto"/>
            </w:tcBorders>
          </w:tcPr>
          <w:p w14:paraId="7F776B0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r w:rsidR="00D42621" w:rsidRPr="00D42621" w14:paraId="2005E40F" w14:textId="77777777" w:rsidTr="002D2D45">
        <w:trPr>
          <w:trHeight w:val="242"/>
        </w:trPr>
        <w:tc>
          <w:tcPr>
            <w:tcW w:w="558" w:type="dxa"/>
            <w:tcBorders>
              <w:top w:val="single" w:sz="6" w:space="0" w:color="auto"/>
              <w:left w:val="single" w:sz="6" w:space="0" w:color="auto"/>
              <w:bottom w:val="single" w:sz="6" w:space="0" w:color="auto"/>
              <w:right w:val="single" w:sz="6" w:space="0" w:color="auto"/>
            </w:tcBorders>
          </w:tcPr>
          <w:p w14:paraId="3FE10E1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129</w:t>
            </w:r>
          </w:p>
        </w:tc>
        <w:tc>
          <w:tcPr>
            <w:tcW w:w="1632" w:type="dxa"/>
            <w:tcBorders>
              <w:top w:val="single" w:sz="6" w:space="0" w:color="auto"/>
              <w:left w:val="single" w:sz="6" w:space="0" w:color="auto"/>
              <w:bottom w:val="single" w:sz="6" w:space="0" w:color="auto"/>
              <w:right w:val="single" w:sz="6" w:space="0" w:color="auto"/>
            </w:tcBorders>
          </w:tcPr>
          <w:p w14:paraId="37E5FC3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Charita</w:t>
            </w:r>
          </w:p>
        </w:tc>
        <w:tc>
          <w:tcPr>
            <w:tcW w:w="906" w:type="dxa"/>
            <w:tcBorders>
              <w:top w:val="single" w:sz="6" w:space="0" w:color="auto"/>
              <w:left w:val="single" w:sz="6" w:space="0" w:color="auto"/>
              <w:bottom w:val="single" w:sz="6" w:space="0" w:color="auto"/>
              <w:right w:val="single" w:sz="6" w:space="0" w:color="auto"/>
            </w:tcBorders>
          </w:tcPr>
          <w:p w14:paraId="0D09B9D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Děčín</w:t>
            </w:r>
          </w:p>
        </w:tc>
        <w:tc>
          <w:tcPr>
            <w:tcW w:w="679" w:type="dxa"/>
            <w:tcBorders>
              <w:top w:val="single" w:sz="6" w:space="0" w:color="auto"/>
              <w:left w:val="single" w:sz="6" w:space="0" w:color="auto"/>
              <w:bottom w:val="single" w:sz="6" w:space="0" w:color="auto"/>
              <w:right w:val="single" w:sz="6" w:space="0" w:color="auto"/>
            </w:tcBorders>
          </w:tcPr>
          <w:p w14:paraId="492B9AF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KA</w:t>
            </w:r>
          </w:p>
        </w:tc>
        <w:tc>
          <w:tcPr>
            <w:tcW w:w="710" w:type="dxa"/>
            <w:tcBorders>
              <w:top w:val="single" w:sz="6" w:space="0" w:color="auto"/>
              <w:left w:val="single" w:sz="6" w:space="0" w:color="auto"/>
              <w:bottom w:val="single" w:sz="6" w:space="0" w:color="auto"/>
              <w:right w:val="single" w:sz="6" w:space="0" w:color="auto"/>
            </w:tcBorders>
          </w:tcPr>
          <w:p w14:paraId="28E3D29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10/0,4</w:t>
            </w:r>
          </w:p>
        </w:tc>
        <w:tc>
          <w:tcPr>
            <w:tcW w:w="483" w:type="dxa"/>
            <w:tcBorders>
              <w:top w:val="single" w:sz="6" w:space="0" w:color="auto"/>
              <w:left w:val="single" w:sz="6" w:space="0" w:color="auto"/>
              <w:bottom w:val="single" w:sz="6" w:space="0" w:color="auto"/>
              <w:right w:val="single" w:sz="6" w:space="0" w:color="auto"/>
            </w:tcBorders>
          </w:tcPr>
          <w:p w14:paraId="47139A5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258</w:t>
            </w:r>
          </w:p>
        </w:tc>
        <w:tc>
          <w:tcPr>
            <w:tcW w:w="1556" w:type="dxa"/>
            <w:tcBorders>
              <w:top w:val="single" w:sz="6" w:space="0" w:color="auto"/>
              <w:left w:val="single" w:sz="6" w:space="0" w:color="auto"/>
              <w:bottom w:val="single" w:sz="6" w:space="0" w:color="auto"/>
              <w:right w:val="single" w:sz="6" w:space="0" w:color="auto"/>
            </w:tcBorders>
          </w:tcPr>
          <w:p w14:paraId="5613E1A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MAVE</w:t>
            </w:r>
          </w:p>
        </w:tc>
        <w:tc>
          <w:tcPr>
            <w:tcW w:w="1193" w:type="dxa"/>
            <w:tcBorders>
              <w:top w:val="single" w:sz="6" w:space="0" w:color="auto"/>
              <w:left w:val="single" w:sz="6" w:space="0" w:color="auto"/>
              <w:bottom w:val="single" w:sz="6" w:space="0" w:color="auto"/>
              <w:right w:val="single" w:sz="6" w:space="0" w:color="auto"/>
            </w:tcBorders>
          </w:tcPr>
          <w:p w14:paraId="53C3ACE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Březiny</w:t>
            </w:r>
          </w:p>
        </w:tc>
        <w:tc>
          <w:tcPr>
            <w:tcW w:w="633" w:type="dxa"/>
            <w:tcBorders>
              <w:top w:val="single" w:sz="6" w:space="0" w:color="auto"/>
              <w:left w:val="single" w:sz="6" w:space="0" w:color="auto"/>
              <w:bottom w:val="single" w:sz="6" w:space="0" w:color="auto"/>
              <w:right w:val="single" w:sz="6" w:space="0" w:color="auto"/>
            </w:tcBorders>
          </w:tcPr>
          <w:p w14:paraId="14CD552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SL</w:t>
            </w:r>
          </w:p>
        </w:tc>
        <w:tc>
          <w:tcPr>
            <w:tcW w:w="724" w:type="dxa"/>
            <w:tcBorders>
              <w:top w:val="single" w:sz="6" w:space="0" w:color="auto"/>
              <w:left w:val="single" w:sz="6" w:space="0" w:color="auto"/>
              <w:bottom w:val="single" w:sz="6" w:space="0" w:color="auto"/>
              <w:right w:val="single" w:sz="6" w:space="0" w:color="auto"/>
            </w:tcBorders>
          </w:tcPr>
          <w:p w14:paraId="2449030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35/0,4</w:t>
            </w:r>
          </w:p>
        </w:tc>
      </w:tr>
    </w:tbl>
    <w:p w14:paraId="1D0AD5FD"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43C009C6"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3943D9FB" w14:textId="77777777" w:rsidR="00D42621" w:rsidRPr="00D42621" w:rsidRDefault="00D42621" w:rsidP="00D42621">
      <w:pPr>
        <w:suppressAutoHyphens w:val="0"/>
        <w:autoSpaceDE w:val="0"/>
        <w:autoSpaceDN w:val="0"/>
        <w:adjustRightInd w:val="0"/>
        <w:spacing w:before="73" w:after="73" w:line="240" w:lineRule="atLeast"/>
        <w:rPr>
          <w:rFonts w:ascii="Arial" w:hAnsi="Arial"/>
          <w:b/>
          <w:bCs/>
          <w:caps/>
          <w:color w:val="000000"/>
          <w:sz w:val="20"/>
          <w:lang w:eastAsia="cs-CZ"/>
        </w:rPr>
      </w:pPr>
      <w:r w:rsidRPr="00D42621">
        <w:rPr>
          <w:rFonts w:ascii="Arial" w:hAnsi="Arial"/>
          <w:b/>
          <w:bCs/>
          <w:caps/>
          <w:color w:val="000000"/>
          <w:sz w:val="20"/>
          <w:lang w:eastAsia="cs-CZ"/>
        </w:rPr>
        <w:t>i.2.3. Odběry elektrické energie</w:t>
      </w:r>
    </w:p>
    <w:p w14:paraId="7B0E3EFB"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C932A5A"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Celkový odběr v řešeném území u kategorie velkoodběr a střední odběr (odběratelé, kteří mají vlastní trafostanici) činil v roce 1994 celkem 121 674 369 kWh.</w:t>
      </w:r>
    </w:p>
    <w:p w14:paraId="64CCB29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Kategorie maloodběru (obyvatelstvo, komunální maloodběry - připojené na sekunderní síť) je níže rozklíčována podle sídla a z celkového odběru je ještě vyčíslen maloodběr s elektrickým vytápěním (elektrizační stupeň C - elektřiny je využíváno ke svícení, vaření, ohřevu užitkové vody a vytápění).</w:t>
      </w:r>
    </w:p>
    <w:p w14:paraId="1BECE483"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p>
    <w:tbl>
      <w:tblPr>
        <w:tblW w:w="0" w:type="auto"/>
        <w:jc w:val="center"/>
        <w:tblLayout w:type="fixed"/>
        <w:tblCellMar>
          <w:left w:w="70" w:type="dxa"/>
          <w:right w:w="70" w:type="dxa"/>
        </w:tblCellMar>
        <w:tblLook w:val="0000" w:firstRow="0" w:lastRow="0" w:firstColumn="0" w:lastColumn="0" w:noHBand="0" w:noVBand="0"/>
      </w:tblPr>
      <w:tblGrid>
        <w:gridCol w:w="2550"/>
        <w:gridCol w:w="2086"/>
        <w:gridCol w:w="2236"/>
      </w:tblGrid>
      <w:tr w:rsidR="00D42621" w:rsidRPr="00D42621" w14:paraId="568B92A5"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6A07474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sídlo</w:t>
            </w:r>
          </w:p>
        </w:tc>
        <w:tc>
          <w:tcPr>
            <w:tcW w:w="2086" w:type="dxa"/>
            <w:tcBorders>
              <w:top w:val="single" w:sz="6" w:space="0" w:color="auto"/>
              <w:left w:val="single" w:sz="6" w:space="0" w:color="auto"/>
              <w:bottom w:val="single" w:sz="6" w:space="0" w:color="auto"/>
              <w:right w:val="single" w:sz="6" w:space="0" w:color="auto"/>
            </w:tcBorders>
          </w:tcPr>
          <w:p w14:paraId="3445AEB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celkem ( kWh )</w:t>
            </w:r>
          </w:p>
        </w:tc>
        <w:tc>
          <w:tcPr>
            <w:tcW w:w="2236" w:type="dxa"/>
            <w:tcBorders>
              <w:top w:val="single" w:sz="6" w:space="0" w:color="auto"/>
              <w:left w:val="single" w:sz="6" w:space="0" w:color="auto"/>
              <w:bottom w:val="single" w:sz="6" w:space="0" w:color="auto"/>
              <w:right w:val="single" w:sz="6" w:space="0" w:color="auto"/>
            </w:tcBorders>
          </w:tcPr>
          <w:p w14:paraId="704D0A2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z toho v kat. C  (kWh )</w:t>
            </w:r>
          </w:p>
        </w:tc>
      </w:tr>
      <w:tr w:rsidR="00D42621" w:rsidRPr="00D42621" w14:paraId="30AC5317"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4385B65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Boletice</w:t>
            </w:r>
          </w:p>
        </w:tc>
        <w:tc>
          <w:tcPr>
            <w:tcW w:w="2086" w:type="dxa"/>
            <w:tcBorders>
              <w:top w:val="single" w:sz="6" w:space="0" w:color="auto"/>
              <w:left w:val="single" w:sz="6" w:space="0" w:color="auto"/>
              <w:bottom w:val="single" w:sz="6" w:space="0" w:color="auto"/>
              <w:right w:val="single" w:sz="6" w:space="0" w:color="auto"/>
            </w:tcBorders>
          </w:tcPr>
          <w:p w14:paraId="7BB1A8E8"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 xml:space="preserve">5 903 971 </w:t>
            </w:r>
          </w:p>
        </w:tc>
        <w:tc>
          <w:tcPr>
            <w:tcW w:w="2236" w:type="dxa"/>
            <w:tcBorders>
              <w:top w:val="single" w:sz="6" w:space="0" w:color="auto"/>
              <w:left w:val="single" w:sz="6" w:space="0" w:color="auto"/>
              <w:bottom w:val="single" w:sz="6" w:space="0" w:color="auto"/>
              <w:right w:val="single" w:sz="6" w:space="0" w:color="auto"/>
            </w:tcBorders>
          </w:tcPr>
          <w:p w14:paraId="69A9C30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256 145</w:t>
            </w:r>
          </w:p>
        </w:tc>
      </w:tr>
      <w:tr w:rsidR="00D42621" w:rsidRPr="00D42621" w14:paraId="3E4D3CF6"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5DFC67E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Březiny</w:t>
            </w:r>
          </w:p>
        </w:tc>
        <w:tc>
          <w:tcPr>
            <w:tcW w:w="2086" w:type="dxa"/>
            <w:tcBorders>
              <w:top w:val="single" w:sz="6" w:space="0" w:color="auto"/>
              <w:left w:val="single" w:sz="6" w:space="0" w:color="auto"/>
              <w:bottom w:val="single" w:sz="6" w:space="0" w:color="auto"/>
              <w:right w:val="single" w:sz="6" w:space="0" w:color="auto"/>
            </w:tcBorders>
          </w:tcPr>
          <w:p w14:paraId="372A0A5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2 714 000</w:t>
            </w:r>
          </w:p>
        </w:tc>
        <w:tc>
          <w:tcPr>
            <w:tcW w:w="2236" w:type="dxa"/>
            <w:tcBorders>
              <w:top w:val="single" w:sz="6" w:space="0" w:color="auto"/>
              <w:left w:val="single" w:sz="6" w:space="0" w:color="auto"/>
              <w:bottom w:val="single" w:sz="6" w:space="0" w:color="auto"/>
              <w:right w:val="single" w:sz="6" w:space="0" w:color="auto"/>
            </w:tcBorders>
          </w:tcPr>
          <w:p w14:paraId="62DC73A4"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94 523</w:t>
            </w:r>
          </w:p>
        </w:tc>
      </w:tr>
      <w:tr w:rsidR="00D42621" w:rsidRPr="00D42621" w14:paraId="4BF30F1E"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34286FC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Bynov</w:t>
            </w:r>
          </w:p>
        </w:tc>
        <w:tc>
          <w:tcPr>
            <w:tcW w:w="2086" w:type="dxa"/>
            <w:tcBorders>
              <w:top w:val="single" w:sz="6" w:space="0" w:color="auto"/>
              <w:left w:val="single" w:sz="6" w:space="0" w:color="auto"/>
              <w:bottom w:val="single" w:sz="6" w:space="0" w:color="auto"/>
              <w:right w:val="single" w:sz="6" w:space="0" w:color="auto"/>
            </w:tcBorders>
          </w:tcPr>
          <w:p w14:paraId="0E55DB6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5 540 719</w:t>
            </w:r>
          </w:p>
        </w:tc>
        <w:tc>
          <w:tcPr>
            <w:tcW w:w="2236" w:type="dxa"/>
            <w:tcBorders>
              <w:top w:val="single" w:sz="6" w:space="0" w:color="auto"/>
              <w:left w:val="single" w:sz="6" w:space="0" w:color="auto"/>
              <w:bottom w:val="single" w:sz="6" w:space="0" w:color="auto"/>
              <w:right w:val="single" w:sz="6" w:space="0" w:color="auto"/>
            </w:tcBorders>
          </w:tcPr>
          <w:p w14:paraId="0ECF90CF"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174 425</w:t>
            </w:r>
          </w:p>
        </w:tc>
      </w:tr>
      <w:tr w:rsidR="00D42621" w:rsidRPr="00D42621" w14:paraId="486458AB"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4697DB6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Děčín</w:t>
            </w:r>
          </w:p>
        </w:tc>
        <w:tc>
          <w:tcPr>
            <w:tcW w:w="2086" w:type="dxa"/>
            <w:tcBorders>
              <w:top w:val="single" w:sz="6" w:space="0" w:color="auto"/>
              <w:left w:val="single" w:sz="6" w:space="0" w:color="auto"/>
              <w:bottom w:val="single" w:sz="6" w:space="0" w:color="auto"/>
              <w:right w:val="single" w:sz="6" w:space="0" w:color="auto"/>
            </w:tcBorders>
          </w:tcPr>
          <w:p w14:paraId="4AC8A84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38 453 250</w:t>
            </w:r>
          </w:p>
        </w:tc>
        <w:tc>
          <w:tcPr>
            <w:tcW w:w="2236" w:type="dxa"/>
            <w:tcBorders>
              <w:top w:val="single" w:sz="6" w:space="0" w:color="auto"/>
              <w:left w:val="single" w:sz="6" w:space="0" w:color="auto"/>
              <w:bottom w:val="single" w:sz="6" w:space="0" w:color="auto"/>
              <w:right w:val="single" w:sz="6" w:space="0" w:color="auto"/>
            </w:tcBorders>
          </w:tcPr>
          <w:p w14:paraId="0EED806C"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3 684 940</w:t>
            </w:r>
          </w:p>
        </w:tc>
      </w:tr>
      <w:tr w:rsidR="00D42621" w:rsidRPr="00D42621" w14:paraId="678F63D6"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4CAA831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 xml:space="preserve">Dolní a Horní Chlum </w:t>
            </w:r>
          </w:p>
        </w:tc>
        <w:tc>
          <w:tcPr>
            <w:tcW w:w="2086" w:type="dxa"/>
            <w:tcBorders>
              <w:top w:val="single" w:sz="6" w:space="0" w:color="auto"/>
              <w:left w:val="single" w:sz="6" w:space="0" w:color="auto"/>
              <w:bottom w:val="single" w:sz="6" w:space="0" w:color="auto"/>
              <w:right w:val="single" w:sz="6" w:space="0" w:color="auto"/>
            </w:tcBorders>
          </w:tcPr>
          <w:p w14:paraId="4474FE6C"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0</w:t>
            </w:r>
          </w:p>
        </w:tc>
        <w:tc>
          <w:tcPr>
            <w:tcW w:w="2236" w:type="dxa"/>
            <w:tcBorders>
              <w:top w:val="single" w:sz="6" w:space="0" w:color="auto"/>
              <w:left w:val="single" w:sz="6" w:space="0" w:color="auto"/>
              <w:bottom w:val="single" w:sz="6" w:space="0" w:color="auto"/>
              <w:right w:val="single" w:sz="6" w:space="0" w:color="auto"/>
            </w:tcBorders>
          </w:tcPr>
          <w:p w14:paraId="57515DFC"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431C36FB"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02F5FA0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Bechlejovice</w:t>
            </w:r>
          </w:p>
        </w:tc>
        <w:tc>
          <w:tcPr>
            <w:tcW w:w="2086" w:type="dxa"/>
            <w:tcBorders>
              <w:top w:val="single" w:sz="6" w:space="0" w:color="auto"/>
              <w:left w:val="single" w:sz="6" w:space="0" w:color="auto"/>
              <w:bottom w:val="single" w:sz="6" w:space="0" w:color="auto"/>
              <w:right w:val="single" w:sz="6" w:space="0" w:color="auto"/>
            </w:tcBorders>
          </w:tcPr>
          <w:p w14:paraId="3185F753"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97 435</w:t>
            </w:r>
          </w:p>
        </w:tc>
        <w:tc>
          <w:tcPr>
            <w:tcW w:w="2236" w:type="dxa"/>
            <w:tcBorders>
              <w:top w:val="single" w:sz="6" w:space="0" w:color="auto"/>
              <w:left w:val="single" w:sz="6" w:space="0" w:color="auto"/>
              <w:bottom w:val="single" w:sz="6" w:space="0" w:color="auto"/>
              <w:right w:val="single" w:sz="6" w:space="0" w:color="auto"/>
            </w:tcBorders>
          </w:tcPr>
          <w:p w14:paraId="7B6DECA4"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599471D7"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2C76082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Dolní Žleb</w:t>
            </w:r>
          </w:p>
        </w:tc>
        <w:tc>
          <w:tcPr>
            <w:tcW w:w="2086" w:type="dxa"/>
            <w:tcBorders>
              <w:top w:val="single" w:sz="6" w:space="0" w:color="auto"/>
              <w:left w:val="single" w:sz="6" w:space="0" w:color="auto"/>
              <w:bottom w:val="single" w:sz="6" w:space="0" w:color="auto"/>
              <w:right w:val="single" w:sz="6" w:space="0" w:color="auto"/>
            </w:tcBorders>
          </w:tcPr>
          <w:p w14:paraId="4722EF18"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381 114</w:t>
            </w:r>
          </w:p>
        </w:tc>
        <w:tc>
          <w:tcPr>
            <w:tcW w:w="2236" w:type="dxa"/>
            <w:tcBorders>
              <w:top w:val="single" w:sz="6" w:space="0" w:color="auto"/>
              <w:left w:val="single" w:sz="6" w:space="0" w:color="auto"/>
              <w:bottom w:val="single" w:sz="6" w:space="0" w:color="auto"/>
              <w:right w:val="single" w:sz="6" w:space="0" w:color="auto"/>
            </w:tcBorders>
          </w:tcPr>
          <w:p w14:paraId="223B5765"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112 201</w:t>
            </w:r>
          </w:p>
        </w:tc>
      </w:tr>
      <w:tr w:rsidR="00D42621" w:rsidRPr="00D42621" w14:paraId="7A94921F"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2EE02F2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Folknáře</w:t>
            </w:r>
          </w:p>
        </w:tc>
        <w:tc>
          <w:tcPr>
            <w:tcW w:w="2086" w:type="dxa"/>
            <w:tcBorders>
              <w:top w:val="single" w:sz="6" w:space="0" w:color="auto"/>
              <w:left w:val="single" w:sz="6" w:space="0" w:color="auto"/>
              <w:bottom w:val="single" w:sz="6" w:space="0" w:color="auto"/>
              <w:right w:val="single" w:sz="6" w:space="0" w:color="auto"/>
            </w:tcBorders>
          </w:tcPr>
          <w:p w14:paraId="697CDFA6"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475 027</w:t>
            </w:r>
          </w:p>
        </w:tc>
        <w:tc>
          <w:tcPr>
            <w:tcW w:w="2236" w:type="dxa"/>
            <w:tcBorders>
              <w:top w:val="single" w:sz="6" w:space="0" w:color="auto"/>
              <w:left w:val="single" w:sz="6" w:space="0" w:color="auto"/>
              <w:bottom w:val="single" w:sz="6" w:space="0" w:color="auto"/>
              <w:right w:val="single" w:sz="6" w:space="0" w:color="auto"/>
            </w:tcBorders>
          </w:tcPr>
          <w:p w14:paraId="769CDB43"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30 751</w:t>
            </w:r>
          </w:p>
        </w:tc>
      </w:tr>
      <w:tr w:rsidR="00D42621" w:rsidRPr="00D42621" w14:paraId="5A5FB689"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30B6A7F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Horní Žleb</w:t>
            </w:r>
          </w:p>
        </w:tc>
        <w:tc>
          <w:tcPr>
            <w:tcW w:w="2086" w:type="dxa"/>
            <w:tcBorders>
              <w:top w:val="single" w:sz="6" w:space="0" w:color="auto"/>
              <w:left w:val="single" w:sz="6" w:space="0" w:color="auto"/>
              <w:bottom w:val="single" w:sz="6" w:space="0" w:color="auto"/>
              <w:right w:val="single" w:sz="6" w:space="0" w:color="auto"/>
            </w:tcBorders>
          </w:tcPr>
          <w:p w14:paraId="6A56C6E8"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578 715</w:t>
            </w:r>
          </w:p>
        </w:tc>
        <w:tc>
          <w:tcPr>
            <w:tcW w:w="2236" w:type="dxa"/>
            <w:tcBorders>
              <w:top w:val="single" w:sz="6" w:space="0" w:color="auto"/>
              <w:left w:val="single" w:sz="6" w:space="0" w:color="auto"/>
              <w:bottom w:val="single" w:sz="6" w:space="0" w:color="auto"/>
              <w:right w:val="single" w:sz="6" w:space="0" w:color="auto"/>
            </w:tcBorders>
          </w:tcPr>
          <w:p w14:paraId="1E19AF1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27 209</w:t>
            </w:r>
          </w:p>
        </w:tc>
      </w:tr>
      <w:tr w:rsidR="00D42621" w:rsidRPr="00D42621" w14:paraId="2C877F03"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24EA9F2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Hoštice</w:t>
            </w:r>
          </w:p>
        </w:tc>
        <w:tc>
          <w:tcPr>
            <w:tcW w:w="2086" w:type="dxa"/>
            <w:tcBorders>
              <w:top w:val="single" w:sz="6" w:space="0" w:color="auto"/>
              <w:left w:val="single" w:sz="6" w:space="0" w:color="auto"/>
              <w:bottom w:val="single" w:sz="6" w:space="0" w:color="auto"/>
              <w:right w:val="single" w:sz="6" w:space="0" w:color="auto"/>
            </w:tcBorders>
          </w:tcPr>
          <w:p w14:paraId="57E87EE5"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28 728</w:t>
            </w:r>
          </w:p>
        </w:tc>
        <w:tc>
          <w:tcPr>
            <w:tcW w:w="2236" w:type="dxa"/>
            <w:tcBorders>
              <w:top w:val="single" w:sz="6" w:space="0" w:color="auto"/>
              <w:left w:val="single" w:sz="6" w:space="0" w:color="auto"/>
              <w:bottom w:val="single" w:sz="6" w:space="0" w:color="auto"/>
              <w:right w:val="single" w:sz="6" w:space="0" w:color="auto"/>
            </w:tcBorders>
          </w:tcPr>
          <w:p w14:paraId="0D590E55"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795529D3"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65206F6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Chmelnice</w:t>
            </w:r>
          </w:p>
        </w:tc>
        <w:tc>
          <w:tcPr>
            <w:tcW w:w="2086" w:type="dxa"/>
            <w:tcBorders>
              <w:top w:val="single" w:sz="6" w:space="0" w:color="auto"/>
              <w:left w:val="single" w:sz="6" w:space="0" w:color="auto"/>
              <w:bottom w:val="single" w:sz="6" w:space="0" w:color="auto"/>
              <w:right w:val="single" w:sz="6" w:space="0" w:color="auto"/>
            </w:tcBorders>
          </w:tcPr>
          <w:p w14:paraId="285EB00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560 007</w:t>
            </w:r>
          </w:p>
        </w:tc>
        <w:tc>
          <w:tcPr>
            <w:tcW w:w="2236" w:type="dxa"/>
            <w:tcBorders>
              <w:top w:val="single" w:sz="6" w:space="0" w:color="auto"/>
              <w:left w:val="single" w:sz="6" w:space="0" w:color="auto"/>
              <w:bottom w:val="single" w:sz="6" w:space="0" w:color="auto"/>
              <w:right w:val="single" w:sz="6" w:space="0" w:color="auto"/>
            </w:tcBorders>
          </w:tcPr>
          <w:p w14:paraId="53943F81"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10 491</w:t>
            </w:r>
          </w:p>
        </w:tc>
      </w:tr>
      <w:tr w:rsidR="00D42621" w:rsidRPr="00D42621" w14:paraId="2FB61378"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53328E6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Jakuby</w:t>
            </w:r>
          </w:p>
        </w:tc>
        <w:tc>
          <w:tcPr>
            <w:tcW w:w="2086" w:type="dxa"/>
            <w:tcBorders>
              <w:top w:val="single" w:sz="6" w:space="0" w:color="auto"/>
              <w:left w:val="single" w:sz="6" w:space="0" w:color="auto"/>
              <w:bottom w:val="single" w:sz="6" w:space="0" w:color="auto"/>
              <w:right w:val="single" w:sz="6" w:space="0" w:color="auto"/>
            </w:tcBorders>
          </w:tcPr>
          <w:p w14:paraId="558E87FF"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52 035</w:t>
            </w:r>
          </w:p>
        </w:tc>
        <w:tc>
          <w:tcPr>
            <w:tcW w:w="2236" w:type="dxa"/>
            <w:tcBorders>
              <w:top w:val="single" w:sz="6" w:space="0" w:color="auto"/>
              <w:left w:val="single" w:sz="6" w:space="0" w:color="auto"/>
              <w:bottom w:val="single" w:sz="6" w:space="0" w:color="auto"/>
              <w:right w:val="single" w:sz="6" w:space="0" w:color="auto"/>
            </w:tcBorders>
          </w:tcPr>
          <w:p w14:paraId="58041568"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1BEAB167"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7715B08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Jalůvčí</w:t>
            </w:r>
          </w:p>
        </w:tc>
        <w:tc>
          <w:tcPr>
            <w:tcW w:w="2086" w:type="dxa"/>
            <w:tcBorders>
              <w:top w:val="single" w:sz="6" w:space="0" w:color="auto"/>
              <w:left w:val="single" w:sz="6" w:space="0" w:color="auto"/>
              <w:bottom w:val="single" w:sz="6" w:space="0" w:color="auto"/>
              <w:right w:val="single" w:sz="6" w:space="0" w:color="auto"/>
            </w:tcBorders>
          </w:tcPr>
          <w:p w14:paraId="1621B490"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1 155 502</w:t>
            </w:r>
          </w:p>
        </w:tc>
        <w:tc>
          <w:tcPr>
            <w:tcW w:w="2236" w:type="dxa"/>
            <w:tcBorders>
              <w:top w:val="single" w:sz="6" w:space="0" w:color="auto"/>
              <w:left w:val="single" w:sz="6" w:space="0" w:color="auto"/>
              <w:bottom w:val="single" w:sz="6" w:space="0" w:color="auto"/>
              <w:right w:val="single" w:sz="6" w:space="0" w:color="auto"/>
            </w:tcBorders>
          </w:tcPr>
          <w:p w14:paraId="2618AE7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185 535</w:t>
            </w:r>
          </w:p>
        </w:tc>
      </w:tr>
      <w:tr w:rsidR="00D42621" w:rsidRPr="00D42621" w14:paraId="7C08BFA4"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15A4748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Krásný Studenec</w:t>
            </w:r>
          </w:p>
        </w:tc>
        <w:tc>
          <w:tcPr>
            <w:tcW w:w="2086" w:type="dxa"/>
            <w:tcBorders>
              <w:top w:val="single" w:sz="6" w:space="0" w:color="auto"/>
              <w:left w:val="single" w:sz="6" w:space="0" w:color="auto"/>
              <w:bottom w:val="single" w:sz="6" w:space="0" w:color="auto"/>
              <w:right w:val="single" w:sz="6" w:space="0" w:color="auto"/>
            </w:tcBorders>
          </w:tcPr>
          <w:p w14:paraId="6117ADD8"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863 538</w:t>
            </w:r>
          </w:p>
        </w:tc>
        <w:tc>
          <w:tcPr>
            <w:tcW w:w="2236" w:type="dxa"/>
            <w:tcBorders>
              <w:top w:val="single" w:sz="6" w:space="0" w:color="auto"/>
              <w:left w:val="single" w:sz="6" w:space="0" w:color="auto"/>
              <w:bottom w:val="single" w:sz="6" w:space="0" w:color="auto"/>
              <w:right w:val="single" w:sz="6" w:space="0" w:color="auto"/>
            </w:tcBorders>
          </w:tcPr>
          <w:p w14:paraId="64751DE5"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36 025</w:t>
            </w:r>
          </w:p>
        </w:tc>
      </w:tr>
      <w:tr w:rsidR="00D42621" w:rsidRPr="00D42621" w14:paraId="1A8A3130"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76ACF48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Křešice, Marjanin</w:t>
            </w:r>
          </w:p>
        </w:tc>
        <w:tc>
          <w:tcPr>
            <w:tcW w:w="2086" w:type="dxa"/>
            <w:tcBorders>
              <w:top w:val="single" w:sz="6" w:space="0" w:color="auto"/>
              <w:left w:val="single" w:sz="6" w:space="0" w:color="auto"/>
              <w:bottom w:val="single" w:sz="6" w:space="0" w:color="auto"/>
              <w:right w:val="single" w:sz="6" w:space="0" w:color="auto"/>
            </w:tcBorders>
          </w:tcPr>
          <w:p w14:paraId="642DEC48"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1 344 029</w:t>
            </w:r>
          </w:p>
        </w:tc>
        <w:tc>
          <w:tcPr>
            <w:tcW w:w="2236" w:type="dxa"/>
            <w:tcBorders>
              <w:top w:val="single" w:sz="6" w:space="0" w:color="auto"/>
              <w:left w:val="single" w:sz="6" w:space="0" w:color="auto"/>
              <w:bottom w:val="single" w:sz="6" w:space="0" w:color="auto"/>
              <w:right w:val="single" w:sz="6" w:space="0" w:color="auto"/>
            </w:tcBorders>
          </w:tcPr>
          <w:p w14:paraId="50CE6F21"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215 599</w:t>
            </w:r>
          </w:p>
        </w:tc>
      </w:tr>
      <w:tr w:rsidR="00D42621" w:rsidRPr="00D42621" w14:paraId="59ECE32E"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428DBD0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Lesná</w:t>
            </w:r>
          </w:p>
        </w:tc>
        <w:tc>
          <w:tcPr>
            <w:tcW w:w="2086" w:type="dxa"/>
            <w:tcBorders>
              <w:top w:val="single" w:sz="6" w:space="0" w:color="auto"/>
              <w:left w:val="single" w:sz="6" w:space="0" w:color="auto"/>
              <w:bottom w:val="single" w:sz="6" w:space="0" w:color="auto"/>
              <w:right w:val="single" w:sz="6" w:space="0" w:color="auto"/>
            </w:tcBorders>
          </w:tcPr>
          <w:p w14:paraId="52989C8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252 791</w:t>
            </w:r>
          </w:p>
        </w:tc>
        <w:tc>
          <w:tcPr>
            <w:tcW w:w="2236" w:type="dxa"/>
            <w:tcBorders>
              <w:top w:val="single" w:sz="6" w:space="0" w:color="auto"/>
              <w:left w:val="single" w:sz="6" w:space="0" w:color="auto"/>
              <w:bottom w:val="single" w:sz="6" w:space="0" w:color="auto"/>
              <w:right w:val="single" w:sz="6" w:space="0" w:color="auto"/>
            </w:tcBorders>
          </w:tcPr>
          <w:p w14:paraId="43BA376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5D8CB3F6"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6FD4375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Lesní Mlýn, Kamenička</w:t>
            </w:r>
          </w:p>
        </w:tc>
        <w:tc>
          <w:tcPr>
            <w:tcW w:w="2086" w:type="dxa"/>
            <w:tcBorders>
              <w:top w:val="single" w:sz="6" w:space="0" w:color="auto"/>
              <w:left w:val="single" w:sz="6" w:space="0" w:color="auto"/>
              <w:bottom w:val="single" w:sz="6" w:space="0" w:color="auto"/>
              <w:right w:val="single" w:sz="6" w:space="0" w:color="auto"/>
            </w:tcBorders>
          </w:tcPr>
          <w:p w14:paraId="3B5C30C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21 819</w:t>
            </w:r>
          </w:p>
        </w:tc>
        <w:tc>
          <w:tcPr>
            <w:tcW w:w="2236" w:type="dxa"/>
            <w:tcBorders>
              <w:top w:val="single" w:sz="6" w:space="0" w:color="auto"/>
              <w:left w:val="single" w:sz="6" w:space="0" w:color="auto"/>
              <w:bottom w:val="single" w:sz="6" w:space="0" w:color="auto"/>
              <w:right w:val="single" w:sz="6" w:space="0" w:color="auto"/>
            </w:tcBorders>
          </w:tcPr>
          <w:p w14:paraId="5AC89F1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78A3D0F0"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79E0C67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Loubí</w:t>
            </w:r>
          </w:p>
        </w:tc>
        <w:tc>
          <w:tcPr>
            <w:tcW w:w="2086" w:type="dxa"/>
            <w:tcBorders>
              <w:top w:val="single" w:sz="6" w:space="0" w:color="auto"/>
              <w:left w:val="single" w:sz="6" w:space="0" w:color="auto"/>
              <w:bottom w:val="single" w:sz="6" w:space="0" w:color="auto"/>
              <w:right w:val="single" w:sz="6" w:space="0" w:color="auto"/>
            </w:tcBorders>
          </w:tcPr>
          <w:p w14:paraId="3F29FAB3"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269 512</w:t>
            </w:r>
          </w:p>
        </w:tc>
        <w:tc>
          <w:tcPr>
            <w:tcW w:w="2236" w:type="dxa"/>
            <w:tcBorders>
              <w:top w:val="single" w:sz="6" w:space="0" w:color="auto"/>
              <w:left w:val="single" w:sz="6" w:space="0" w:color="auto"/>
              <w:bottom w:val="single" w:sz="6" w:space="0" w:color="auto"/>
              <w:right w:val="single" w:sz="6" w:space="0" w:color="auto"/>
            </w:tcBorders>
          </w:tcPr>
          <w:p w14:paraId="48838576"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61 851</w:t>
            </w:r>
          </w:p>
        </w:tc>
      </w:tr>
      <w:tr w:rsidR="00D42621" w:rsidRPr="00D42621" w14:paraId="7A94DA2F"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3F93758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Maxičky</w:t>
            </w:r>
          </w:p>
        </w:tc>
        <w:tc>
          <w:tcPr>
            <w:tcW w:w="2086" w:type="dxa"/>
            <w:tcBorders>
              <w:top w:val="single" w:sz="6" w:space="0" w:color="auto"/>
              <w:left w:val="single" w:sz="6" w:space="0" w:color="auto"/>
              <w:bottom w:val="single" w:sz="6" w:space="0" w:color="auto"/>
              <w:right w:val="single" w:sz="6" w:space="0" w:color="auto"/>
            </w:tcBorders>
          </w:tcPr>
          <w:p w14:paraId="1711B7D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310 422</w:t>
            </w:r>
          </w:p>
        </w:tc>
        <w:tc>
          <w:tcPr>
            <w:tcW w:w="2236" w:type="dxa"/>
            <w:tcBorders>
              <w:top w:val="single" w:sz="6" w:space="0" w:color="auto"/>
              <w:left w:val="single" w:sz="6" w:space="0" w:color="auto"/>
              <w:bottom w:val="single" w:sz="6" w:space="0" w:color="auto"/>
              <w:right w:val="single" w:sz="6" w:space="0" w:color="auto"/>
            </w:tcBorders>
          </w:tcPr>
          <w:p w14:paraId="1DC71C49"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110 691</w:t>
            </w:r>
          </w:p>
        </w:tc>
      </w:tr>
      <w:tr w:rsidR="00D42621" w:rsidRPr="00D42621" w14:paraId="5CE0F4D8"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3B8329B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Nebočady</w:t>
            </w:r>
          </w:p>
        </w:tc>
        <w:tc>
          <w:tcPr>
            <w:tcW w:w="2086" w:type="dxa"/>
            <w:tcBorders>
              <w:top w:val="single" w:sz="6" w:space="0" w:color="auto"/>
              <w:left w:val="single" w:sz="6" w:space="0" w:color="auto"/>
              <w:bottom w:val="single" w:sz="6" w:space="0" w:color="auto"/>
              <w:right w:val="single" w:sz="6" w:space="0" w:color="auto"/>
            </w:tcBorders>
          </w:tcPr>
          <w:p w14:paraId="31E4605F"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596 022</w:t>
            </w:r>
          </w:p>
        </w:tc>
        <w:tc>
          <w:tcPr>
            <w:tcW w:w="2236" w:type="dxa"/>
            <w:tcBorders>
              <w:top w:val="single" w:sz="6" w:space="0" w:color="auto"/>
              <w:left w:val="single" w:sz="6" w:space="0" w:color="auto"/>
              <w:bottom w:val="single" w:sz="6" w:space="0" w:color="auto"/>
              <w:right w:val="single" w:sz="6" w:space="0" w:color="auto"/>
            </w:tcBorders>
          </w:tcPr>
          <w:p w14:paraId="2151DEE6"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2 468</w:t>
            </w:r>
          </w:p>
        </w:tc>
      </w:tr>
      <w:tr w:rsidR="00D42621" w:rsidRPr="00D42621" w14:paraId="2D4B509C"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3D1DF3C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Prostřední Žleb</w:t>
            </w:r>
          </w:p>
        </w:tc>
        <w:tc>
          <w:tcPr>
            <w:tcW w:w="2086" w:type="dxa"/>
            <w:tcBorders>
              <w:top w:val="single" w:sz="6" w:space="0" w:color="auto"/>
              <w:left w:val="single" w:sz="6" w:space="0" w:color="auto"/>
              <w:bottom w:val="single" w:sz="6" w:space="0" w:color="auto"/>
              <w:right w:val="single" w:sz="6" w:space="0" w:color="auto"/>
            </w:tcBorders>
          </w:tcPr>
          <w:p w14:paraId="411D4BE4"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565 002</w:t>
            </w:r>
          </w:p>
        </w:tc>
        <w:tc>
          <w:tcPr>
            <w:tcW w:w="2236" w:type="dxa"/>
            <w:tcBorders>
              <w:top w:val="single" w:sz="6" w:space="0" w:color="auto"/>
              <w:left w:val="single" w:sz="6" w:space="0" w:color="auto"/>
              <w:bottom w:val="single" w:sz="6" w:space="0" w:color="auto"/>
              <w:right w:val="single" w:sz="6" w:space="0" w:color="auto"/>
            </w:tcBorders>
          </w:tcPr>
          <w:p w14:paraId="1BF551AE"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82 846</w:t>
            </w:r>
          </w:p>
        </w:tc>
      </w:tr>
      <w:tr w:rsidR="00D42621" w:rsidRPr="00D42621" w14:paraId="290A0DD2"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3D6046B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Přípeř</w:t>
            </w:r>
          </w:p>
        </w:tc>
        <w:tc>
          <w:tcPr>
            <w:tcW w:w="2086" w:type="dxa"/>
            <w:tcBorders>
              <w:top w:val="single" w:sz="6" w:space="0" w:color="auto"/>
              <w:left w:val="single" w:sz="6" w:space="0" w:color="auto"/>
              <w:bottom w:val="single" w:sz="6" w:space="0" w:color="auto"/>
              <w:right w:val="single" w:sz="6" w:space="0" w:color="auto"/>
            </w:tcBorders>
          </w:tcPr>
          <w:p w14:paraId="3184BBDC"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172 265</w:t>
            </w:r>
          </w:p>
        </w:tc>
        <w:tc>
          <w:tcPr>
            <w:tcW w:w="2236" w:type="dxa"/>
            <w:tcBorders>
              <w:top w:val="single" w:sz="6" w:space="0" w:color="auto"/>
              <w:left w:val="single" w:sz="6" w:space="0" w:color="auto"/>
              <w:bottom w:val="single" w:sz="6" w:space="0" w:color="auto"/>
              <w:right w:val="single" w:sz="6" w:space="0" w:color="auto"/>
            </w:tcBorders>
          </w:tcPr>
          <w:p w14:paraId="4C27AC4E"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1 711</w:t>
            </w:r>
          </w:p>
        </w:tc>
      </w:tr>
      <w:tr w:rsidR="00D42621" w:rsidRPr="00D42621" w14:paraId="62355B13"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01C0F0D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Smordov</w:t>
            </w:r>
          </w:p>
        </w:tc>
        <w:tc>
          <w:tcPr>
            <w:tcW w:w="2086" w:type="dxa"/>
            <w:tcBorders>
              <w:top w:val="single" w:sz="6" w:space="0" w:color="auto"/>
              <w:left w:val="single" w:sz="6" w:space="0" w:color="auto"/>
              <w:bottom w:val="single" w:sz="6" w:space="0" w:color="auto"/>
              <w:right w:val="single" w:sz="6" w:space="0" w:color="auto"/>
            </w:tcBorders>
          </w:tcPr>
          <w:p w14:paraId="61E3D00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6 810</w:t>
            </w:r>
          </w:p>
        </w:tc>
        <w:tc>
          <w:tcPr>
            <w:tcW w:w="2236" w:type="dxa"/>
            <w:tcBorders>
              <w:top w:val="single" w:sz="6" w:space="0" w:color="auto"/>
              <w:left w:val="single" w:sz="6" w:space="0" w:color="auto"/>
              <w:bottom w:val="single" w:sz="6" w:space="0" w:color="auto"/>
              <w:right w:val="single" w:sz="6" w:space="0" w:color="auto"/>
            </w:tcBorders>
          </w:tcPr>
          <w:p w14:paraId="7BB17729"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73197462"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33F3D96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Velká Veleň</w:t>
            </w:r>
          </w:p>
        </w:tc>
        <w:tc>
          <w:tcPr>
            <w:tcW w:w="2086" w:type="dxa"/>
            <w:tcBorders>
              <w:top w:val="single" w:sz="6" w:space="0" w:color="auto"/>
              <w:left w:val="single" w:sz="6" w:space="0" w:color="auto"/>
              <w:bottom w:val="single" w:sz="6" w:space="0" w:color="auto"/>
              <w:right w:val="single" w:sz="6" w:space="0" w:color="auto"/>
            </w:tcBorders>
          </w:tcPr>
          <w:p w14:paraId="2CE8BED4"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90 870</w:t>
            </w:r>
          </w:p>
        </w:tc>
        <w:tc>
          <w:tcPr>
            <w:tcW w:w="2236" w:type="dxa"/>
            <w:tcBorders>
              <w:top w:val="single" w:sz="6" w:space="0" w:color="auto"/>
              <w:left w:val="single" w:sz="6" w:space="0" w:color="auto"/>
              <w:bottom w:val="single" w:sz="6" w:space="0" w:color="auto"/>
              <w:right w:val="single" w:sz="6" w:space="0" w:color="auto"/>
            </w:tcBorders>
          </w:tcPr>
          <w:p w14:paraId="77EDA680"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16 398</w:t>
            </w:r>
          </w:p>
        </w:tc>
      </w:tr>
      <w:tr w:rsidR="00D42621" w:rsidRPr="00D42621" w14:paraId="38589195"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3292C56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Vilsnice</w:t>
            </w:r>
          </w:p>
        </w:tc>
        <w:tc>
          <w:tcPr>
            <w:tcW w:w="2086" w:type="dxa"/>
            <w:tcBorders>
              <w:top w:val="single" w:sz="6" w:space="0" w:color="auto"/>
              <w:left w:val="single" w:sz="6" w:space="0" w:color="auto"/>
              <w:bottom w:val="single" w:sz="6" w:space="0" w:color="auto"/>
              <w:right w:val="single" w:sz="6" w:space="0" w:color="auto"/>
            </w:tcBorders>
          </w:tcPr>
          <w:p w14:paraId="43AC706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669 146</w:t>
            </w:r>
          </w:p>
        </w:tc>
        <w:tc>
          <w:tcPr>
            <w:tcW w:w="2236" w:type="dxa"/>
            <w:tcBorders>
              <w:top w:val="single" w:sz="6" w:space="0" w:color="auto"/>
              <w:left w:val="single" w:sz="6" w:space="0" w:color="auto"/>
              <w:bottom w:val="single" w:sz="6" w:space="0" w:color="auto"/>
              <w:right w:val="single" w:sz="6" w:space="0" w:color="auto"/>
            </w:tcBorders>
          </w:tcPr>
          <w:p w14:paraId="4961647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83 473</w:t>
            </w:r>
          </w:p>
        </w:tc>
      </w:tr>
      <w:tr w:rsidR="00D42621" w:rsidRPr="00D42621" w14:paraId="63AB2E39"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38D5E53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b/>
                <w:bCs/>
                <w:caps/>
                <w:color w:val="000000"/>
                <w:sz w:val="18"/>
                <w:szCs w:val="18"/>
                <w:lang w:eastAsia="cs-CZ"/>
              </w:rPr>
              <w:t>celkem Město</w:t>
            </w:r>
          </w:p>
        </w:tc>
        <w:tc>
          <w:tcPr>
            <w:tcW w:w="2086" w:type="dxa"/>
            <w:tcBorders>
              <w:top w:val="single" w:sz="6" w:space="0" w:color="auto"/>
              <w:left w:val="single" w:sz="6" w:space="0" w:color="auto"/>
              <w:bottom w:val="single" w:sz="6" w:space="0" w:color="auto"/>
              <w:right w:val="single" w:sz="6" w:space="0" w:color="auto"/>
            </w:tcBorders>
          </w:tcPr>
          <w:p w14:paraId="00C7FC0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b/>
                <w:bCs/>
                <w:caps/>
                <w:color w:val="000000"/>
                <w:sz w:val="18"/>
                <w:szCs w:val="18"/>
                <w:lang w:eastAsia="cs-CZ"/>
              </w:rPr>
              <w:t>61 102 729</w:t>
            </w:r>
          </w:p>
        </w:tc>
        <w:tc>
          <w:tcPr>
            <w:tcW w:w="2236" w:type="dxa"/>
            <w:tcBorders>
              <w:top w:val="single" w:sz="6" w:space="0" w:color="auto"/>
              <w:left w:val="single" w:sz="6" w:space="0" w:color="auto"/>
              <w:bottom w:val="single" w:sz="6" w:space="0" w:color="auto"/>
              <w:right w:val="single" w:sz="6" w:space="0" w:color="auto"/>
            </w:tcBorders>
          </w:tcPr>
          <w:p w14:paraId="131D3C9E"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b/>
                <w:bCs/>
                <w:caps/>
                <w:color w:val="000000"/>
                <w:sz w:val="18"/>
                <w:szCs w:val="18"/>
                <w:lang w:eastAsia="cs-CZ"/>
              </w:rPr>
              <w:t>5 187 282</w:t>
            </w:r>
          </w:p>
        </w:tc>
      </w:tr>
    </w:tbl>
    <w:p w14:paraId="39192839" w14:textId="77777777" w:rsidR="00D42621" w:rsidRPr="00D42621" w:rsidRDefault="00D42621" w:rsidP="00D42621">
      <w:pPr>
        <w:suppressAutoHyphens w:val="0"/>
        <w:autoSpaceDE w:val="0"/>
        <w:autoSpaceDN w:val="0"/>
        <w:adjustRightInd w:val="0"/>
        <w:rPr>
          <w:rFonts w:ascii="Arial" w:hAnsi="Arial" w:cs="Arial"/>
          <w:sz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3491"/>
        <w:gridCol w:w="3491"/>
      </w:tblGrid>
      <w:tr w:rsidR="00D42621" w:rsidRPr="00D42621" w14:paraId="64901864" w14:textId="77777777" w:rsidTr="002D2D45">
        <w:trPr>
          <w:jc w:val="center"/>
        </w:trPr>
        <w:tc>
          <w:tcPr>
            <w:tcW w:w="3491" w:type="dxa"/>
            <w:tcBorders>
              <w:top w:val="single" w:sz="6" w:space="0" w:color="auto"/>
              <w:left w:val="single" w:sz="6" w:space="0" w:color="auto"/>
              <w:bottom w:val="single" w:sz="6" w:space="0" w:color="auto"/>
              <w:right w:val="single" w:sz="6" w:space="0" w:color="auto"/>
            </w:tcBorders>
          </w:tcPr>
          <w:p w14:paraId="1528D6E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druh odběru</w:t>
            </w:r>
          </w:p>
        </w:tc>
        <w:tc>
          <w:tcPr>
            <w:tcW w:w="3491" w:type="dxa"/>
            <w:tcBorders>
              <w:top w:val="single" w:sz="6" w:space="0" w:color="auto"/>
              <w:left w:val="single" w:sz="6" w:space="0" w:color="auto"/>
              <w:bottom w:val="single" w:sz="6" w:space="0" w:color="auto"/>
              <w:right w:val="single" w:sz="6" w:space="0" w:color="auto"/>
            </w:tcBorders>
          </w:tcPr>
          <w:p w14:paraId="5AC8CDE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kWh</w:t>
            </w:r>
          </w:p>
        </w:tc>
      </w:tr>
      <w:tr w:rsidR="00D42621" w:rsidRPr="00D42621" w14:paraId="19AC3AA8" w14:textId="77777777" w:rsidTr="002D2D45">
        <w:trPr>
          <w:jc w:val="center"/>
        </w:trPr>
        <w:tc>
          <w:tcPr>
            <w:tcW w:w="3491" w:type="dxa"/>
            <w:tcBorders>
              <w:top w:val="single" w:sz="6" w:space="0" w:color="auto"/>
              <w:left w:val="single" w:sz="6" w:space="0" w:color="auto"/>
              <w:bottom w:val="single" w:sz="6" w:space="0" w:color="auto"/>
              <w:right w:val="single" w:sz="6" w:space="0" w:color="auto"/>
            </w:tcBorders>
          </w:tcPr>
          <w:p w14:paraId="0704AFB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maloodběr</w:t>
            </w:r>
          </w:p>
        </w:tc>
        <w:tc>
          <w:tcPr>
            <w:tcW w:w="3491" w:type="dxa"/>
            <w:tcBorders>
              <w:top w:val="single" w:sz="6" w:space="0" w:color="auto"/>
              <w:left w:val="single" w:sz="6" w:space="0" w:color="auto"/>
              <w:bottom w:val="single" w:sz="6" w:space="0" w:color="auto"/>
              <w:right w:val="single" w:sz="6" w:space="0" w:color="auto"/>
            </w:tcBorders>
          </w:tcPr>
          <w:p w14:paraId="59D69F5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61 102 729</w:t>
            </w:r>
          </w:p>
        </w:tc>
      </w:tr>
      <w:tr w:rsidR="00D42621" w:rsidRPr="00D42621" w14:paraId="742A3CF9" w14:textId="77777777" w:rsidTr="002D2D45">
        <w:trPr>
          <w:jc w:val="center"/>
        </w:trPr>
        <w:tc>
          <w:tcPr>
            <w:tcW w:w="3491" w:type="dxa"/>
            <w:tcBorders>
              <w:top w:val="single" w:sz="6" w:space="0" w:color="auto"/>
              <w:left w:val="single" w:sz="6" w:space="0" w:color="auto"/>
              <w:bottom w:val="single" w:sz="6" w:space="0" w:color="auto"/>
              <w:right w:val="single" w:sz="6" w:space="0" w:color="auto"/>
            </w:tcBorders>
          </w:tcPr>
          <w:p w14:paraId="7F52F54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velkoodběr</w:t>
            </w:r>
          </w:p>
        </w:tc>
        <w:tc>
          <w:tcPr>
            <w:tcW w:w="3491" w:type="dxa"/>
            <w:tcBorders>
              <w:top w:val="single" w:sz="6" w:space="0" w:color="auto"/>
              <w:left w:val="single" w:sz="6" w:space="0" w:color="auto"/>
              <w:bottom w:val="single" w:sz="6" w:space="0" w:color="auto"/>
              <w:right w:val="single" w:sz="6" w:space="0" w:color="auto"/>
            </w:tcBorders>
          </w:tcPr>
          <w:p w14:paraId="2C98921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 xml:space="preserve">           121 674 369 </w:t>
            </w:r>
          </w:p>
        </w:tc>
      </w:tr>
      <w:tr w:rsidR="00D42621" w:rsidRPr="00D42621" w14:paraId="77B3AAD6" w14:textId="77777777" w:rsidTr="002D2D45">
        <w:trPr>
          <w:jc w:val="center"/>
        </w:trPr>
        <w:tc>
          <w:tcPr>
            <w:tcW w:w="3491" w:type="dxa"/>
            <w:tcBorders>
              <w:top w:val="single" w:sz="6" w:space="0" w:color="auto"/>
              <w:left w:val="single" w:sz="6" w:space="0" w:color="auto"/>
              <w:bottom w:val="single" w:sz="6" w:space="0" w:color="auto"/>
              <w:right w:val="single" w:sz="6" w:space="0" w:color="auto"/>
            </w:tcBorders>
          </w:tcPr>
          <w:p w14:paraId="1371FF8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b/>
                <w:bCs/>
                <w:color w:val="000000"/>
                <w:sz w:val="18"/>
                <w:szCs w:val="18"/>
                <w:lang w:eastAsia="cs-CZ"/>
              </w:rPr>
              <w:t>řešené území celkem</w:t>
            </w:r>
          </w:p>
        </w:tc>
        <w:tc>
          <w:tcPr>
            <w:tcW w:w="3491" w:type="dxa"/>
            <w:tcBorders>
              <w:top w:val="single" w:sz="6" w:space="0" w:color="auto"/>
              <w:left w:val="single" w:sz="6" w:space="0" w:color="auto"/>
              <w:bottom w:val="single" w:sz="6" w:space="0" w:color="auto"/>
              <w:right w:val="single" w:sz="6" w:space="0" w:color="auto"/>
            </w:tcBorders>
          </w:tcPr>
          <w:p w14:paraId="17642387"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b/>
                <w:bCs/>
                <w:color w:val="000000"/>
                <w:sz w:val="18"/>
                <w:szCs w:val="18"/>
                <w:lang w:eastAsia="cs-CZ"/>
              </w:rPr>
              <w:t>182 777 098</w:t>
            </w:r>
          </w:p>
        </w:tc>
      </w:tr>
    </w:tbl>
    <w:p w14:paraId="42ADC7CE"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1FD7119D" w14:textId="77777777" w:rsidR="00D42621" w:rsidRDefault="00D42621" w:rsidP="00D42621">
      <w:pPr>
        <w:suppressAutoHyphens w:val="0"/>
        <w:autoSpaceDE w:val="0"/>
        <w:autoSpaceDN w:val="0"/>
        <w:adjustRightInd w:val="0"/>
        <w:rPr>
          <w:rFonts w:ascii="Arial" w:hAnsi="Arial" w:cs="Arial"/>
          <w:sz w:val="20"/>
          <w:lang w:eastAsia="cs-CZ"/>
        </w:rPr>
      </w:pPr>
    </w:p>
    <w:p w14:paraId="18CB7D78" w14:textId="77777777" w:rsidR="00CE65DF" w:rsidRPr="00D42621" w:rsidRDefault="00CE65DF" w:rsidP="00D42621">
      <w:pPr>
        <w:suppressAutoHyphens w:val="0"/>
        <w:autoSpaceDE w:val="0"/>
        <w:autoSpaceDN w:val="0"/>
        <w:adjustRightInd w:val="0"/>
        <w:rPr>
          <w:rFonts w:ascii="Arial" w:hAnsi="Arial" w:cs="Arial"/>
          <w:sz w:val="20"/>
          <w:lang w:eastAsia="cs-CZ"/>
        </w:rPr>
      </w:pPr>
    </w:p>
    <w:p w14:paraId="5199185E"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b/>
          <w:bCs/>
          <w:caps/>
          <w:color w:val="000000"/>
          <w:sz w:val="20"/>
          <w:szCs w:val="20"/>
          <w:lang w:eastAsia="cs-CZ"/>
        </w:rPr>
        <w:lastRenderedPageBreak/>
        <w:t xml:space="preserve">Elektrické vytápění </w:t>
      </w:r>
    </w:p>
    <w:p w14:paraId="7948BBB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655649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Elektrické vytápění se v letech 1992 až 1996 pro svoji nízkou investiční náročnost (dotace státu a obcí) a nízké ceny elektřiny značně rozšířilo. Dalšímu rozšiřování zabránilo avizované zvýšení cen elektrické energie v roce 1995 a vyhláška č. 169/95 k zákonu č. 222/95, kde je zavedena povinnost odběratele podílet se investičně na přípojce el. energie v závislosti na velikosti odebíraného výkonu.</w:t>
      </w:r>
    </w:p>
    <w:p w14:paraId="450004D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Za perspektivní je možné považovat využití elektřiny pro tepelná čerpadla, kde z celkové tepelné potřeby jsou 2/3 až 3/4 získávány z okolního prostředí a zbytek je pokryt elektřinou. Jejich cena v poslední době klesá (od cca 65 000 Kč). Jejich využití lze doporučit převážně u nových staveb, kde bude realizován teplovodní systém využívající nižších teplot (40/35 oC). Z dalších typů elektrického vytápění možno doporučit hybridní systémy (kombinace akumulace a přímotopu), které optimálně umožňují využívat kapacitu zejména sekunderních rozvodů a současně umožňují regulaci celkového zatížení elektrizační sítě.</w:t>
      </w:r>
    </w:p>
    <w:p w14:paraId="2CC670D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Poněkud horší je pohled na elektrické vytápění z hlediska využití primárních paliv. Elektřina je v současné době vyráběna v kondenzačních elektrárnách, kde účinnost energetické přeměny dosahuje cca 30% a ekologizace těchto zdrojů tuto účinnost ještě snížila. Je nutné změnit strukturu výroby elektrické energie.</w:t>
      </w:r>
    </w:p>
    <w:p w14:paraId="53E2CB0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Elektrické vytápění bude pro svoji technickou dokonalost a nízkou investiční náročnost nadále žádáno. Bude se jednat o vrstvu obyvatelstva, která nebude "citlivá" na ceny elektřiny pro maloodběratele.  Před instalací elektrického vytápění je nutné řešit tepelně-technické vlastnosti budov a bude-li to nutné, investovat poměrně značné částky do tepelných izolací plášťů budov.</w:t>
      </w:r>
    </w:p>
    <w:p w14:paraId="3E94BCB7"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B189025" w14:textId="77777777" w:rsidR="00D42621" w:rsidRPr="00D42621" w:rsidRDefault="00D42621" w:rsidP="00D42621">
      <w:pPr>
        <w:tabs>
          <w:tab w:val="decimal" w:pos="72"/>
          <w:tab w:val="decimal" w:pos="144"/>
          <w:tab w:val="right" w:pos="2679"/>
        </w:tabs>
        <w:suppressAutoHyphens w:val="0"/>
        <w:spacing w:before="36" w:line="276" w:lineRule="auto"/>
        <w:ind w:left="72"/>
        <w:jc w:val="center"/>
        <w:rPr>
          <w:i/>
          <w:color w:val="538135"/>
          <w:spacing w:val="3"/>
          <w:lang w:eastAsia="cs-CZ"/>
        </w:rPr>
      </w:pPr>
    </w:p>
    <w:p w14:paraId="285EC937"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5759FA80" w14:textId="77777777" w:rsidR="00D42621" w:rsidRPr="00D42621" w:rsidRDefault="00D42621" w:rsidP="00D42621">
      <w:pPr>
        <w:suppressAutoHyphens w:val="0"/>
        <w:autoSpaceDE w:val="0"/>
        <w:autoSpaceDN w:val="0"/>
        <w:adjustRightInd w:val="0"/>
        <w:spacing w:before="56" w:after="56" w:line="240" w:lineRule="atLeast"/>
        <w:ind w:left="680" w:hanging="680"/>
        <w:rPr>
          <w:rFonts w:ascii="Arial" w:hAnsi="Arial"/>
          <w:b/>
          <w:bCs/>
          <w:caps/>
          <w:color w:val="000000"/>
          <w:sz w:val="32"/>
          <w:szCs w:val="32"/>
          <w:lang w:eastAsia="cs-CZ"/>
        </w:rPr>
      </w:pPr>
      <w:r w:rsidRPr="00D42621">
        <w:rPr>
          <w:rFonts w:ascii="Arial" w:hAnsi="Arial"/>
          <w:b/>
          <w:bCs/>
          <w:caps/>
          <w:color w:val="000000"/>
          <w:sz w:val="32"/>
          <w:szCs w:val="32"/>
          <w:lang w:eastAsia="cs-CZ"/>
        </w:rPr>
        <w:t>i.3.  Zásobování teplem</w:t>
      </w:r>
    </w:p>
    <w:p w14:paraId="31EBF13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4390C5D5"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b/>
          <w:bCs/>
          <w:caps/>
          <w:color w:val="000000"/>
          <w:sz w:val="22"/>
          <w:szCs w:val="22"/>
          <w:lang w:eastAsia="cs-CZ"/>
        </w:rPr>
        <w:t>i.3.1. Klimatické podmínky</w:t>
      </w:r>
    </w:p>
    <w:p w14:paraId="24025ED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9FD052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Dle ČSN 38 3350 a 06 0210 patří řešené území  do teplého pásma s těmito klimatickými údaji:</w:t>
      </w:r>
    </w:p>
    <w:tbl>
      <w:tblPr>
        <w:tblW w:w="0" w:type="auto"/>
        <w:jc w:val="center"/>
        <w:tblLayout w:type="fixed"/>
        <w:tblCellMar>
          <w:left w:w="70" w:type="dxa"/>
          <w:right w:w="70" w:type="dxa"/>
        </w:tblCellMar>
        <w:tblLook w:val="0000" w:firstRow="0" w:lastRow="0" w:firstColumn="0" w:lastColumn="0" w:noHBand="0" w:noVBand="0"/>
      </w:tblPr>
      <w:tblGrid>
        <w:gridCol w:w="2918"/>
        <w:gridCol w:w="1909"/>
        <w:gridCol w:w="1050"/>
      </w:tblGrid>
      <w:tr w:rsidR="00D42621" w:rsidRPr="00D42621" w14:paraId="42D6F517" w14:textId="77777777" w:rsidTr="002D2D45">
        <w:trPr>
          <w:jc w:val="center"/>
        </w:trPr>
        <w:tc>
          <w:tcPr>
            <w:tcW w:w="2918" w:type="dxa"/>
            <w:tcBorders>
              <w:top w:val="single" w:sz="6" w:space="0" w:color="auto"/>
              <w:left w:val="single" w:sz="6" w:space="0" w:color="auto"/>
              <w:bottom w:val="single" w:sz="6" w:space="0" w:color="auto"/>
              <w:right w:val="single" w:sz="6" w:space="0" w:color="auto"/>
            </w:tcBorders>
          </w:tcPr>
          <w:p w14:paraId="4ABB284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 xml:space="preserve">nadmořská výška </w:t>
            </w:r>
          </w:p>
        </w:tc>
        <w:tc>
          <w:tcPr>
            <w:tcW w:w="1909" w:type="dxa"/>
            <w:tcBorders>
              <w:top w:val="single" w:sz="6" w:space="0" w:color="auto"/>
              <w:left w:val="single" w:sz="6" w:space="0" w:color="auto"/>
              <w:bottom w:val="single" w:sz="6" w:space="0" w:color="auto"/>
              <w:right w:val="single" w:sz="6" w:space="0" w:color="auto"/>
            </w:tcBorders>
          </w:tcPr>
          <w:p w14:paraId="0904B204"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050" w:type="dxa"/>
            <w:tcBorders>
              <w:top w:val="single" w:sz="6" w:space="0" w:color="auto"/>
              <w:left w:val="single" w:sz="6" w:space="0" w:color="auto"/>
              <w:bottom w:val="single" w:sz="6" w:space="0" w:color="auto"/>
              <w:right w:val="single" w:sz="6" w:space="0" w:color="auto"/>
            </w:tcBorders>
          </w:tcPr>
          <w:p w14:paraId="142DF9D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141 m</w:t>
            </w:r>
          </w:p>
        </w:tc>
      </w:tr>
      <w:tr w:rsidR="00D42621" w:rsidRPr="00D42621" w14:paraId="189888B2" w14:textId="77777777" w:rsidTr="002D2D45">
        <w:trPr>
          <w:jc w:val="center"/>
        </w:trPr>
        <w:tc>
          <w:tcPr>
            <w:tcW w:w="2918" w:type="dxa"/>
            <w:tcBorders>
              <w:top w:val="single" w:sz="6" w:space="0" w:color="auto"/>
              <w:left w:val="single" w:sz="6" w:space="0" w:color="auto"/>
              <w:bottom w:val="single" w:sz="6" w:space="0" w:color="auto"/>
              <w:right w:val="single" w:sz="6" w:space="0" w:color="auto"/>
            </w:tcBorders>
          </w:tcPr>
          <w:p w14:paraId="4B85457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 xml:space="preserve">nejnižší venkovní teplota </w:t>
            </w:r>
          </w:p>
        </w:tc>
        <w:tc>
          <w:tcPr>
            <w:tcW w:w="1909" w:type="dxa"/>
            <w:tcBorders>
              <w:top w:val="single" w:sz="6" w:space="0" w:color="auto"/>
              <w:left w:val="single" w:sz="6" w:space="0" w:color="auto"/>
              <w:bottom w:val="single" w:sz="6" w:space="0" w:color="auto"/>
              <w:right w:val="single" w:sz="6" w:space="0" w:color="auto"/>
            </w:tcBorders>
          </w:tcPr>
          <w:p w14:paraId="52C73628"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050" w:type="dxa"/>
            <w:tcBorders>
              <w:top w:val="single" w:sz="6" w:space="0" w:color="auto"/>
              <w:left w:val="single" w:sz="6" w:space="0" w:color="auto"/>
              <w:bottom w:val="single" w:sz="6" w:space="0" w:color="auto"/>
              <w:right w:val="single" w:sz="6" w:space="0" w:color="auto"/>
            </w:tcBorders>
          </w:tcPr>
          <w:p w14:paraId="3F757865"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- 12</w:t>
            </w:r>
            <w:r w:rsidRPr="00D42621">
              <w:rPr>
                <w:rFonts w:ascii="Arial" w:hAnsi="Arial"/>
                <w:color w:val="000000"/>
                <w:position w:val="6"/>
                <w:sz w:val="18"/>
                <w:szCs w:val="18"/>
                <w:lang w:eastAsia="cs-CZ"/>
              </w:rPr>
              <w:t xml:space="preserve"> o</w:t>
            </w:r>
            <w:r w:rsidRPr="00D42621">
              <w:rPr>
                <w:rFonts w:ascii="Arial" w:hAnsi="Arial"/>
                <w:color w:val="000000"/>
                <w:sz w:val="18"/>
                <w:szCs w:val="18"/>
                <w:lang w:eastAsia="cs-CZ"/>
              </w:rPr>
              <w:t>C</w:t>
            </w:r>
          </w:p>
        </w:tc>
      </w:tr>
      <w:tr w:rsidR="00D42621" w:rsidRPr="00D42621" w14:paraId="16635D6E" w14:textId="77777777" w:rsidTr="002D2D45">
        <w:trPr>
          <w:jc w:val="center"/>
        </w:trPr>
        <w:tc>
          <w:tcPr>
            <w:tcW w:w="2918" w:type="dxa"/>
            <w:tcBorders>
              <w:top w:val="single" w:sz="6" w:space="0" w:color="auto"/>
              <w:left w:val="single" w:sz="6" w:space="0" w:color="auto"/>
              <w:bottom w:val="single" w:sz="6" w:space="0" w:color="auto"/>
              <w:right w:val="single" w:sz="6" w:space="0" w:color="auto"/>
            </w:tcBorders>
          </w:tcPr>
          <w:p w14:paraId="2EC0CB8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 xml:space="preserve">denní střední teplota v lednu </w:t>
            </w:r>
          </w:p>
        </w:tc>
        <w:tc>
          <w:tcPr>
            <w:tcW w:w="1909" w:type="dxa"/>
            <w:tcBorders>
              <w:top w:val="single" w:sz="6" w:space="0" w:color="auto"/>
              <w:left w:val="single" w:sz="6" w:space="0" w:color="auto"/>
              <w:bottom w:val="single" w:sz="6" w:space="0" w:color="auto"/>
              <w:right w:val="single" w:sz="6" w:space="0" w:color="auto"/>
            </w:tcBorders>
          </w:tcPr>
          <w:p w14:paraId="354C38EE"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050" w:type="dxa"/>
            <w:tcBorders>
              <w:top w:val="single" w:sz="6" w:space="0" w:color="auto"/>
              <w:left w:val="single" w:sz="6" w:space="0" w:color="auto"/>
              <w:bottom w:val="single" w:sz="6" w:space="0" w:color="auto"/>
              <w:right w:val="single" w:sz="6" w:space="0" w:color="auto"/>
            </w:tcBorders>
          </w:tcPr>
          <w:p w14:paraId="4830E238"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- 1,0</w:t>
            </w:r>
            <w:r w:rsidRPr="00D42621">
              <w:rPr>
                <w:rFonts w:ascii="Arial" w:hAnsi="Arial"/>
                <w:color w:val="000000"/>
                <w:position w:val="6"/>
                <w:sz w:val="18"/>
                <w:szCs w:val="18"/>
                <w:lang w:eastAsia="cs-CZ"/>
              </w:rPr>
              <w:t xml:space="preserve"> o</w:t>
            </w:r>
            <w:r w:rsidRPr="00D42621">
              <w:rPr>
                <w:rFonts w:ascii="Arial" w:hAnsi="Arial"/>
                <w:color w:val="000000"/>
                <w:sz w:val="18"/>
                <w:szCs w:val="18"/>
                <w:lang w:eastAsia="cs-CZ"/>
              </w:rPr>
              <w:t>C</w:t>
            </w:r>
          </w:p>
        </w:tc>
      </w:tr>
      <w:tr w:rsidR="00D42621" w:rsidRPr="00D42621" w14:paraId="3547F9C5" w14:textId="77777777" w:rsidTr="002D2D45">
        <w:trPr>
          <w:jc w:val="center"/>
        </w:trPr>
        <w:tc>
          <w:tcPr>
            <w:tcW w:w="2918" w:type="dxa"/>
            <w:tcBorders>
              <w:top w:val="single" w:sz="6" w:space="0" w:color="auto"/>
              <w:left w:val="single" w:sz="6" w:space="0" w:color="auto"/>
              <w:bottom w:val="single" w:sz="6" w:space="0" w:color="auto"/>
              <w:right w:val="single" w:sz="6" w:space="0" w:color="auto"/>
            </w:tcBorders>
          </w:tcPr>
          <w:p w14:paraId="7D040BB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topné období pro tem = 12</w:t>
            </w:r>
            <w:r w:rsidRPr="00D42621">
              <w:rPr>
                <w:rFonts w:ascii="Arial" w:hAnsi="Arial"/>
                <w:caps/>
                <w:color w:val="000000"/>
                <w:position w:val="6"/>
                <w:sz w:val="18"/>
                <w:szCs w:val="18"/>
                <w:lang w:eastAsia="cs-CZ"/>
              </w:rPr>
              <w:t>o</w:t>
            </w:r>
            <w:r w:rsidRPr="00D42621">
              <w:rPr>
                <w:rFonts w:ascii="Arial" w:hAnsi="Arial"/>
                <w:color w:val="000000"/>
                <w:sz w:val="18"/>
                <w:szCs w:val="18"/>
                <w:lang w:eastAsia="cs-CZ"/>
              </w:rPr>
              <w:t>C :</w:t>
            </w:r>
          </w:p>
        </w:tc>
        <w:tc>
          <w:tcPr>
            <w:tcW w:w="1909" w:type="dxa"/>
            <w:tcBorders>
              <w:top w:val="single" w:sz="6" w:space="0" w:color="auto"/>
              <w:left w:val="single" w:sz="6" w:space="0" w:color="auto"/>
              <w:bottom w:val="single" w:sz="6" w:space="0" w:color="auto"/>
              <w:right w:val="single" w:sz="6" w:space="0" w:color="auto"/>
            </w:tcBorders>
          </w:tcPr>
          <w:p w14:paraId="1F41712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 xml:space="preserve">tes </w:t>
            </w:r>
          </w:p>
        </w:tc>
        <w:tc>
          <w:tcPr>
            <w:tcW w:w="1050" w:type="dxa"/>
            <w:tcBorders>
              <w:top w:val="single" w:sz="6" w:space="0" w:color="auto"/>
              <w:left w:val="single" w:sz="6" w:space="0" w:color="auto"/>
              <w:bottom w:val="single" w:sz="6" w:space="0" w:color="auto"/>
              <w:right w:val="single" w:sz="6" w:space="0" w:color="auto"/>
            </w:tcBorders>
          </w:tcPr>
          <w:p w14:paraId="2C9D9AC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 xml:space="preserve">3,8 </w:t>
            </w:r>
            <w:r w:rsidRPr="00D42621">
              <w:rPr>
                <w:rFonts w:ascii="Arial" w:hAnsi="Arial"/>
                <w:color w:val="000000"/>
                <w:position w:val="6"/>
                <w:sz w:val="18"/>
                <w:szCs w:val="18"/>
                <w:lang w:eastAsia="cs-CZ"/>
              </w:rPr>
              <w:t>o</w:t>
            </w:r>
            <w:r w:rsidRPr="00D42621">
              <w:rPr>
                <w:rFonts w:ascii="Arial" w:hAnsi="Arial"/>
                <w:color w:val="000000"/>
                <w:sz w:val="18"/>
                <w:szCs w:val="18"/>
                <w:lang w:eastAsia="cs-CZ"/>
              </w:rPr>
              <w:t>C</w:t>
            </w:r>
          </w:p>
        </w:tc>
      </w:tr>
      <w:tr w:rsidR="00D42621" w:rsidRPr="00D42621" w14:paraId="2010FABE" w14:textId="77777777" w:rsidTr="002D2D45">
        <w:trPr>
          <w:jc w:val="center"/>
        </w:trPr>
        <w:tc>
          <w:tcPr>
            <w:tcW w:w="2918" w:type="dxa"/>
            <w:tcBorders>
              <w:top w:val="single" w:sz="6" w:space="0" w:color="auto"/>
              <w:left w:val="single" w:sz="6" w:space="0" w:color="auto"/>
              <w:bottom w:val="single" w:sz="6" w:space="0" w:color="auto"/>
              <w:right w:val="single" w:sz="6" w:space="0" w:color="auto"/>
            </w:tcBorders>
          </w:tcPr>
          <w:p w14:paraId="2545D1DC"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909" w:type="dxa"/>
            <w:tcBorders>
              <w:top w:val="single" w:sz="6" w:space="0" w:color="auto"/>
              <w:left w:val="single" w:sz="6" w:space="0" w:color="auto"/>
              <w:bottom w:val="single" w:sz="6" w:space="0" w:color="auto"/>
              <w:right w:val="single" w:sz="6" w:space="0" w:color="auto"/>
            </w:tcBorders>
          </w:tcPr>
          <w:p w14:paraId="0290AFD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 xml:space="preserve">počet   topných dní </w:t>
            </w:r>
          </w:p>
        </w:tc>
        <w:tc>
          <w:tcPr>
            <w:tcW w:w="1050" w:type="dxa"/>
            <w:tcBorders>
              <w:top w:val="single" w:sz="6" w:space="0" w:color="auto"/>
              <w:left w:val="single" w:sz="6" w:space="0" w:color="auto"/>
              <w:bottom w:val="single" w:sz="6" w:space="0" w:color="auto"/>
              <w:right w:val="single" w:sz="6" w:space="0" w:color="auto"/>
            </w:tcBorders>
          </w:tcPr>
          <w:p w14:paraId="03B70A40"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225</w:t>
            </w:r>
          </w:p>
        </w:tc>
      </w:tr>
      <w:tr w:rsidR="00D42621" w:rsidRPr="00D42621" w14:paraId="0B03BC14" w14:textId="77777777" w:rsidTr="002D2D45">
        <w:trPr>
          <w:jc w:val="center"/>
        </w:trPr>
        <w:tc>
          <w:tcPr>
            <w:tcW w:w="2918" w:type="dxa"/>
            <w:tcBorders>
              <w:top w:val="single" w:sz="6" w:space="0" w:color="auto"/>
              <w:left w:val="single" w:sz="6" w:space="0" w:color="auto"/>
              <w:bottom w:val="single" w:sz="6" w:space="0" w:color="auto"/>
              <w:right w:val="single" w:sz="6" w:space="0" w:color="auto"/>
            </w:tcBorders>
          </w:tcPr>
          <w:p w14:paraId="46700C0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topné období pro tem = 15</w:t>
            </w:r>
            <w:r w:rsidRPr="00D42621">
              <w:rPr>
                <w:rFonts w:ascii="Arial" w:hAnsi="Arial"/>
                <w:color w:val="000000"/>
                <w:position w:val="6"/>
                <w:sz w:val="18"/>
                <w:szCs w:val="18"/>
                <w:lang w:eastAsia="cs-CZ"/>
              </w:rPr>
              <w:t>O</w:t>
            </w:r>
            <w:r w:rsidRPr="00D42621">
              <w:rPr>
                <w:rFonts w:ascii="Arial" w:hAnsi="Arial"/>
                <w:color w:val="000000"/>
                <w:sz w:val="18"/>
                <w:szCs w:val="18"/>
                <w:lang w:eastAsia="cs-CZ"/>
              </w:rPr>
              <w:t xml:space="preserve">C :                                                               </w:t>
            </w:r>
          </w:p>
        </w:tc>
        <w:tc>
          <w:tcPr>
            <w:tcW w:w="1909" w:type="dxa"/>
            <w:tcBorders>
              <w:top w:val="single" w:sz="6" w:space="0" w:color="auto"/>
              <w:left w:val="single" w:sz="6" w:space="0" w:color="auto"/>
              <w:bottom w:val="single" w:sz="6" w:space="0" w:color="auto"/>
              <w:right w:val="single" w:sz="6" w:space="0" w:color="auto"/>
            </w:tcBorders>
          </w:tcPr>
          <w:p w14:paraId="538B32C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 xml:space="preserve">tes </w:t>
            </w:r>
          </w:p>
        </w:tc>
        <w:tc>
          <w:tcPr>
            <w:tcW w:w="1050" w:type="dxa"/>
            <w:tcBorders>
              <w:top w:val="single" w:sz="6" w:space="0" w:color="auto"/>
              <w:left w:val="single" w:sz="6" w:space="0" w:color="auto"/>
              <w:bottom w:val="single" w:sz="6" w:space="0" w:color="auto"/>
              <w:right w:val="single" w:sz="6" w:space="0" w:color="auto"/>
            </w:tcBorders>
          </w:tcPr>
          <w:p w14:paraId="1E284C4C"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 xml:space="preserve">5,5 </w:t>
            </w:r>
            <w:r w:rsidRPr="00D42621">
              <w:rPr>
                <w:rFonts w:ascii="Arial" w:hAnsi="Arial"/>
                <w:color w:val="000000"/>
                <w:position w:val="6"/>
                <w:sz w:val="18"/>
                <w:szCs w:val="18"/>
                <w:lang w:eastAsia="cs-CZ"/>
              </w:rPr>
              <w:t>o</w:t>
            </w:r>
            <w:r w:rsidRPr="00D42621">
              <w:rPr>
                <w:rFonts w:ascii="Arial" w:hAnsi="Arial"/>
                <w:color w:val="000000"/>
                <w:sz w:val="18"/>
                <w:szCs w:val="18"/>
                <w:lang w:eastAsia="cs-CZ"/>
              </w:rPr>
              <w:t>C</w:t>
            </w:r>
          </w:p>
        </w:tc>
      </w:tr>
      <w:tr w:rsidR="00D42621" w:rsidRPr="00D42621" w14:paraId="348C51F0" w14:textId="77777777" w:rsidTr="002D2D45">
        <w:trPr>
          <w:jc w:val="center"/>
        </w:trPr>
        <w:tc>
          <w:tcPr>
            <w:tcW w:w="2918" w:type="dxa"/>
            <w:tcBorders>
              <w:top w:val="single" w:sz="6" w:space="0" w:color="auto"/>
              <w:left w:val="single" w:sz="6" w:space="0" w:color="auto"/>
              <w:bottom w:val="single" w:sz="6" w:space="0" w:color="auto"/>
              <w:right w:val="single" w:sz="6" w:space="0" w:color="auto"/>
            </w:tcBorders>
          </w:tcPr>
          <w:p w14:paraId="29531526"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909" w:type="dxa"/>
            <w:tcBorders>
              <w:top w:val="single" w:sz="6" w:space="0" w:color="auto"/>
              <w:left w:val="single" w:sz="6" w:space="0" w:color="auto"/>
              <w:bottom w:val="single" w:sz="6" w:space="0" w:color="auto"/>
              <w:right w:val="single" w:sz="6" w:space="0" w:color="auto"/>
            </w:tcBorders>
          </w:tcPr>
          <w:p w14:paraId="735F0A0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 xml:space="preserve">počet   topných dní </w:t>
            </w:r>
          </w:p>
        </w:tc>
        <w:tc>
          <w:tcPr>
            <w:tcW w:w="1050" w:type="dxa"/>
            <w:tcBorders>
              <w:top w:val="single" w:sz="6" w:space="0" w:color="auto"/>
              <w:left w:val="single" w:sz="6" w:space="0" w:color="auto"/>
              <w:bottom w:val="single" w:sz="6" w:space="0" w:color="auto"/>
              <w:right w:val="single" w:sz="6" w:space="0" w:color="auto"/>
            </w:tcBorders>
          </w:tcPr>
          <w:p w14:paraId="2010835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269</w:t>
            </w:r>
          </w:p>
        </w:tc>
      </w:tr>
      <w:tr w:rsidR="00D42621" w:rsidRPr="00D42621" w14:paraId="52AAAD00" w14:textId="77777777" w:rsidTr="002D2D45">
        <w:trPr>
          <w:jc w:val="center"/>
        </w:trPr>
        <w:tc>
          <w:tcPr>
            <w:tcW w:w="2918" w:type="dxa"/>
            <w:tcBorders>
              <w:top w:val="single" w:sz="6" w:space="0" w:color="auto"/>
              <w:left w:val="single" w:sz="6" w:space="0" w:color="auto"/>
              <w:bottom w:val="single" w:sz="6" w:space="0" w:color="auto"/>
              <w:right w:val="single" w:sz="6" w:space="0" w:color="auto"/>
            </w:tcBorders>
          </w:tcPr>
          <w:p w14:paraId="0630452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 xml:space="preserve">roční průměrná teplota vzduchu </w:t>
            </w:r>
          </w:p>
        </w:tc>
        <w:tc>
          <w:tcPr>
            <w:tcW w:w="1909" w:type="dxa"/>
            <w:tcBorders>
              <w:top w:val="single" w:sz="6" w:space="0" w:color="auto"/>
              <w:left w:val="single" w:sz="6" w:space="0" w:color="auto"/>
              <w:bottom w:val="single" w:sz="6" w:space="0" w:color="auto"/>
              <w:right w:val="single" w:sz="6" w:space="0" w:color="auto"/>
            </w:tcBorders>
          </w:tcPr>
          <w:p w14:paraId="04D977EF"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050" w:type="dxa"/>
            <w:tcBorders>
              <w:top w:val="single" w:sz="6" w:space="0" w:color="auto"/>
              <w:left w:val="single" w:sz="6" w:space="0" w:color="auto"/>
              <w:bottom w:val="single" w:sz="6" w:space="0" w:color="auto"/>
              <w:right w:val="single" w:sz="6" w:space="0" w:color="auto"/>
            </w:tcBorders>
          </w:tcPr>
          <w:p w14:paraId="25DAB6FC"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8,3</w:t>
            </w:r>
            <w:r w:rsidRPr="00D42621">
              <w:rPr>
                <w:rFonts w:ascii="Arial" w:hAnsi="Arial"/>
                <w:color w:val="000000"/>
                <w:position w:val="6"/>
                <w:sz w:val="18"/>
                <w:szCs w:val="18"/>
                <w:lang w:eastAsia="cs-CZ"/>
              </w:rPr>
              <w:t xml:space="preserve"> o</w:t>
            </w:r>
            <w:r w:rsidRPr="00D42621">
              <w:rPr>
                <w:rFonts w:ascii="Arial" w:hAnsi="Arial"/>
                <w:color w:val="000000"/>
                <w:sz w:val="18"/>
                <w:szCs w:val="18"/>
                <w:lang w:eastAsia="cs-CZ"/>
              </w:rPr>
              <w:t>C</w:t>
            </w:r>
          </w:p>
        </w:tc>
      </w:tr>
      <w:tr w:rsidR="00D42621" w:rsidRPr="00D42621" w14:paraId="53475999" w14:textId="77777777" w:rsidTr="002D2D45">
        <w:trPr>
          <w:jc w:val="center"/>
        </w:trPr>
        <w:tc>
          <w:tcPr>
            <w:tcW w:w="5877" w:type="dxa"/>
            <w:gridSpan w:val="3"/>
            <w:tcBorders>
              <w:top w:val="single" w:sz="6" w:space="0" w:color="auto"/>
              <w:left w:val="single" w:sz="6" w:space="0" w:color="auto"/>
              <w:bottom w:val="single" w:sz="6" w:space="0" w:color="auto"/>
              <w:right w:val="single" w:sz="6" w:space="0" w:color="auto"/>
            </w:tcBorders>
          </w:tcPr>
          <w:p w14:paraId="78BBAF77" w14:textId="77777777" w:rsidR="00D42621" w:rsidRPr="00D42621" w:rsidRDefault="00D42621" w:rsidP="00D42621">
            <w:pPr>
              <w:suppressAutoHyphens w:val="0"/>
              <w:autoSpaceDE w:val="0"/>
              <w:autoSpaceDN w:val="0"/>
              <w:adjustRightInd w:val="0"/>
              <w:rPr>
                <w:rFonts w:ascii="Arial" w:hAnsi="Arial"/>
                <w:color w:val="000000"/>
                <w:sz w:val="20"/>
                <w:szCs w:val="20"/>
                <w:lang w:eastAsia="cs-CZ"/>
              </w:rPr>
            </w:pPr>
            <w:r w:rsidRPr="00D42621">
              <w:rPr>
                <w:rFonts w:ascii="Arial" w:hAnsi="Arial"/>
                <w:color w:val="000000"/>
                <w:sz w:val="20"/>
                <w:szCs w:val="20"/>
                <w:lang w:eastAsia="cs-CZ"/>
              </w:rPr>
              <w:t xml:space="preserve">Poznámka: </w:t>
            </w:r>
          </w:p>
        </w:tc>
      </w:tr>
      <w:tr w:rsidR="00D42621" w:rsidRPr="00D42621" w14:paraId="3C5D788C" w14:textId="77777777" w:rsidTr="002D2D45">
        <w:trPr>
          <w:jc w:val="center"/>
        </w:trPr>
        <w:tc>
          <w:tcPr>
            <w:tcW w:w="5877" w:type="dxa"/>
            <w:gridSpan w:val="3"/>
            <w:tcBorders>
              <w:top w:val="single" w:sz="6" w:space="0" w:color="auto"/>
              <w:left w:val="single" w:sz="6" w:space="0" w:color="auto"/>
              <w:bottom w:val="single" w:sz="6" w:space="0" w:color="auto"/>
              <w:right w:val="single" w:sz="6" w:space="0" w:color="auto"/>
            </w:tcBorders>
          </w:tcPr>
          <w:p w14:paraId="734515AD" w14:textId="77777777" w:rsidR="00D42621" w:rsidRPr="00D42621" w:rsidRDefault="00D42621" w:rsidP="00D42621">
            <w:pPr>
              <w:suppressAutoHyphens w:val="0"/>
              <w:autoSpaceDE w:val="0"/>
              <w:autoSpaceDN w:val="0"/>
              <w:adjustRightInd w:val="0"/>
              <w:rPr>
                <w:rFonts w:ascii="Arial" w:hAnsi="Arial"/>
                <w:color w:val="000000"/>
                <w:sz w:val="20"/>
                <w:szCs w:val="20"/>
                <w:lang w:eastAsia="cs-CZ"/>
              </w:rPr>
            </w:pPr>
            <w:r w:rsidRPr="00D42621">
              <w:rPr>
                <w:rFonts w:ascii="Arial" w:hAnsi="Arial"/>
                <w:color w:val="000000"/>
                <w:sz w:val="20"/>
                <w:szCs w:val="20"/>
                <w:lang w:eastAsia="cs-CZ"/>
              </w:rPr>
              <w:t>tem - střední denní teplota ohraničující žačátek a konec topného období</w:t>
            </w:r>
          </w:p>
        </w:tc>
      </w:tr>
      <w:tr w:rsidR="00D42621" w:rsidRPr="00D42621" w14:paraId="68EAF775" w14:textId="77777777" w:rsidTr="002D2D45">
        <w:trPr>
          <w:jc w:val="center"/>
        </w:trPr>
        <w:tc>
          <w:tcPr>
            <w:tcW w:w="5877" w:type="dxa"/>
            <w:gridSpan w:val="3"/>
            <w:tcBorders>
              <w:top w:val="single" w:sz="6" w:space="0" w:color="auto"/>
              <w:left w:val="single" w:sz="6" w:space="0" w:color="auto"/>
              <w:bottom w:val="single" w:sz="6" w:space="0" w:color="auto"/>
              <w:right w:val="single" w:sz="6" w:space="0" w:color="auto"/>
            </w:tcBorders>
          </w:tcPr>
          <w:p w14:paraId="68E65F82" w14:textId="77777777" w:rsidR="00D42621" w:rsidRPr="00D42621" w:rsidRDefault="00D42621" w:rsidP="00D42621">
            <w:pPr>
              <w:suppressAutoHyphens w:val="0"/>
              <w:autoSpaceDE w:val="0"/>
              <w:autoSpaceDN w:val="0"/>
              <w:adjustRightInd w:val="0"/>
              <w:rPr>
                <w:rFonts w:ascii="Arial" w:hAnsi="Arial"/>
                <w:color w:val="000000"/>
                <w:sz w:val="20"/>
                <w:szCs w:val="20"/>
                <w:lang w:eastAsia="cs-CZ"/>
              </w:rPr>
            </w:pPr>
            <w:r w:rsidRPr="00D42621">
              <w:rPr>
                <w:rFonts w:ascii="Arial" w:hAnsi="Arial"/>
                <w:color w:val="000000"/>
                <w:sz w:val="20"/>
                <w:szCs w:val="20"/>
                <w:lang w:eastAsia="cs-CZ"/>
              </w:rPr>
              <w:t>tes - střední teplota venkovního vzduchu v topném období</w:t>
            </w:r>
          </w:p>
        </w:tc>
      </w:tr>
    </w:tbl>
    <w:p w14:paraId="19243FAA"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1EAB0F69"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237B00E5"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b/>
          <w:bCs/>
          <w:caps/>
          <w:color w:val="000000"/>
          <w:sz w:val="20"/>
          <w:szCs w:val="20"/>
          <w:lang w:eastAsia="cs-CZ"/>
        </w:rPr>
        <w:t>i.3.2. Současný stav zásobování teplem</w:t>
      </w:r>
    </w:p>
    <w:p w14:paraId="40DE0B3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15FFA8B"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V řešeném území se nachází velké množství tepelných zdrojů, které jsou sestaveny níže v tabulkách a zakresleny v grafické příloze měřítka 1 : 5 000. Z hlediska výkonu jsou zdroje rozlišeny na střední (výkon 0,2 až 5 MW) a velké (výkon nad 5 MW).</w:t>
      </w:r>
    </w:p>
    <w:p w14:paraId="7A1B729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tbl>
      <w:tblPr>
        <w:tblW w:w="0" w:type="auto"/>
        <w:jc w:val="center"/>
        <w:tblLayout w:type="fixed"/>
        <w:tblCellMar>
          <w:left w:w="10" w:type="dxa"/>
          <w:right w:w="10" w:type="dxa"/>
        </w:tblCellMar>
        <w:tblLook w:val="0000" w:firstRow="0" w:lastRow="0" w:firstColumn="0" w:lastColumn="0" w:noHBand="0" w:noVBand="0"/>
      </w:tblPr>
      <w:tblGrid>
        <w:gridCol w:w="521"/>
        <w:gridCol w:w="1305"/>
        <w:gridCol w:w="1524"/>
        <w:gridCol w:w="995"/>
        <w:gridCol w:w="1109"/>
        <w:gridCol w:w="555"/>
        <w:gridCol w:w="970"/>
        <w:gridCol w:w="563"/>
        <w:gridCol w:w="686"/>
        <w:gridCol w:w="555"/>
      </w:tblGrid>
      <w:tr w:rsidR="00D42621" w:rsidRPr="00D42621" w14:paraId="1C67F859"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0A092C9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č.</w:t>
            </w:r>
          </w:p>
        </w:tc>
        <w:tc>
          <w:tcPr>
            <w:tcW w:w="1305" w:type="dxa"/>
            <w:tcBorders>
              <w:top w:val="single" w:sz="6" w:space="0" w:color="auto"/>
              <w:left w:val="single" w:sz="6" w:space="0" w:color="auto"/>
              <w:bottom w:val="single" w:sz="6" w:space="0" w:color="auto"/>
              <w:right w:val="single" w:sz="6" w:space="0" w:color="auto"/>
            </w:tcBorders>
          </w:tcPr>
          <w:p w14:paraId="1D001C7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zdroj, provozovatel</w:t>
            </w:r>
          </w:p>
        </w:tc>
        <w:tc>
          <w:tcPr>
            <w:tcW w:w="1524" w:type="dxa"/>
            <w:tcBorders>
              <w:top w:val="single" w:sz="6" w:space="0" w:color="auto"/>
              <w:left w:val="single" w:sz="6" w:space="0" w:color="auto"/>
              <w:bottom w:val="single" w:sz="6" w:space="0" w:color="auto"/>
              <w:right w:val="single" w:sz="6" w:space="0" w:color="auto"/>
            </w:tcBorders>
          </w:tcPr>
          <w:p w14:paraId="2851780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název velkého zdroje</w:t>
            </w:r>
          </w:p>
        </w:tc>
        <w:tc>
          <w:tcPr>
            <w:tcW w:w="995" w:type="dxa"/>
            <w:tcBorders>
              <w:top w:val="single" w:sz="6" w:space="0" w:color="auto"/>
              <w:left w:val="single" w:sz="6" w:space="0" w:color="auto"/>
              <w:bottom w:val="single" w:sz="6" w:space="0" w:color="auto"/>
              <w:right w:val="single" w:sz="6" w:space="0" w:color="auto"/>
            </w:tcBorders>
          </w:tcPr>
          <w:p w14:paraId="5877244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sídlo</w:t>
            </w:r>
          </w:p>
        </w:tc>
        <w:tc>
          <w:tcPr>
            <w:tcW w:w="1109" w:type="dxa"/>
            <w:tcBorders>
              <w:top w:val="single" w:sz="6" w:space="0" w:color="auto"/>
              <w:left w:val="single" w:sz="6" w:space="0" w:color="auto"/>
              <w:bottom w:val="single" w:sz="6" w:space="0" w:color="auto"/>
              <w:right w:val="single" w:sz="6" w:space="0" w:color="auto"/>
            </w:tcBorders>
          </w:tcPr>
          <w:p w14:paraId="6DB768F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ulice</w:t>
            </w:r>
          </w:p>
        </w:tc>
        <w:tc>
          <w:tcPr>
            <w:tcW w:w="555" w:type="dxa"/>
            <w:tcBorders>
              <w:top w:val="single" w:sz="6" w:space="0" w:color="auto"/>
              <w:left w:val="single" w:sz="6" w:space="0" w:color="auto"/>
              <w:bottom w:val="single" w:sz="6" w:space="0" w:color="auto"/>
              <w:right w:val="single" w:sz="6" w:space="0" w:color="auto"/>
            </w:tcBorders>
          </w:tcPr>
          <w:p w14:paraId="3041EBC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č.p.</w:t>
            </w:r>
          </w:p>
        </w:tc>
        <w:tc>
          <w:tcPr>
            <w:tcW w:w="970" w:type="dxa"/>
            <w:tcBorders>
              <w:top w:val="single" w:sz="6" w:space="0" w:color="auto"/>
              <w:left w:val="single" w:sz="6" w:space="0" w:color="auto"/>
              <w:bottom w:val="single" w:sz="6" w:space="0" w:color="auto"/>
              <w:right w:val="single" w:sz="6" w:space="0" w:color="auto"/>
            </w:tcBorders>
          </w:tcPr>
          <w:p w14:paraId="6BFDE48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MW</w:t>
            </w:r>
          </w:p>
        </w:tc>
        <w:tc>
          <w:tcPr>
            <w:tcW w:w="563" w:type="dxa"/>
            <w:tcBorders>
              <w:top w:val="single" w:sz="6" w:space="0" w:color="auto"/>
              <w:left w:val="single" w:sz="6" w:space="0" w:color="auto"/>
              <w:bottom w:val="single" w:sz="6" w:space="0" w:color="auto"/>
              <w:right w:val="single" w:sz="6" w:space="0" w:color="auto"/>
            </w:tcBorders>
          </w:tcPr>
          <w:p w14:paraId="0634658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palivo</w:t>
            </w:r>
          </w:p>
        </w:tc>
        <w:tc>
          <w:tcPr>
            <w:tcW w:w="686" w:type="dxa"/>
            <w:tcBorders>
              <w:top w:val="single" w:sz="6" w:space="0" w:color="auto"/>
              <w:left w:val="single" w:sz="6" w:space="0" w:color="auto"/>
              <w:bottom w:val="single" w:sz="6" w:space="0" w:color="auto"/>
              <w:right w:val="single" w:sz="6" w:space="0" w:color="auto"/>
            </w:tcBorders>
          </w:tcPr>
          <w:p w14:paraId="2327FAA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mn. paliva</w:t>
            </w:r>
          </w:p>
        </w:tc>
        <w:tc>
          <w:tcPr>
            <w:tcW w:w="555" w:type="dxa"/>
            <w:tcBorders>
              <w:top w:val="single" w:sz="6" w:space="0" w:color="auto"/>
              <w:left w:val="single" w:sz="6" w:space="0" w:color="auto"/>
              <w:bottom w:val="single" w:sz="6" w:space="0" w:color="auto"/>
              <w:right w:val="single" w:sz="6" w:space="0" w:color="auto"/>
            </w:tcBorders>
          </w:tcPr>
          <w:p w14:paraId="4FC6E5B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m.j.</w:t>
            </w:r>
          </w:p>
        </w:tc>
      </w:tr>
      <w:tr w:rsidR="00D42621" w:rsidRPr="00D42621" w14:paraId="34619E21"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5BAF37C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101</w:t>
            </w:r>
          </w:p>
        </w:tc>
        <w:tc>
          <w:tcPr>
            <w:tcW w:w="1305" w:type="dxa"/>
            <w:tcBorders>
              <w:top w:val="single" w:sz="6" w:space="0" w:color="auto"/>
              <w:left w:val="single" w:sz="6" w:space="0" w:color="auto"/>
              <w:bottom w:val="single" w:sz="6" w:space="0" w:color="auto"/>
              <w:right w:val="single" w:sz="6" w:space="0" w:color="auto"/>
            </w:tcBorders>
          </w:tcPr>
          <w:p w14:paraId="6BFB0DFA"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TERMO a.s.</w:t>
            </w:r>
          </w:p>
        </w:tc>
        <w:tc>
          <w:tcPr>
            <w:tcW w:w="1524" w:type="dxa"/>
            <w:tcBorders>
              <w:top w:val="single" w:sz="6" w:space="0" w:color="auto"/>
              <w:left w:val="single" w:sz="6" w:space="0" w:color="auto"/>
              <w:bottom w:val="single" w:sz="6" w:space="0" w:color="auto"/>
              <w:right w:val="single" w:sz="6" w:space="0" w:color="auto"/>
            </w:tcBorders>
          </w:tcPr>
          <w:p w14:paraId="19541D5E"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kotelna Boletice</w:t>
            </w:r>
          </w:p>
        </w:tc>
        <w:tc>
          <w:tcPr>
            <w:tcW w:w="995" w:type="dxa"/>
            <w:tcBorders>
              <w:top w:val="single" w:sz="6" w:space="0" w:color="auto"/>
              <w:left w:val="single" w:sz="6" w:space="0" w:color="auto"/>
              <w:bottom w:val="single" w:sz="6" w:space="0" w:color="auto"/>
              <w:right w:val="single" w:sz="6" w:space="0" w:color="auto"/>
            </w:tcBorders>
          </w:tcPr>
          <w:p w14:paraId="4AF76834"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Boletice</w:t>
            </w:r>
          </w:p>
        </w:tc>
        <w:tc>
          <w:tcPr>
            <w:tcW w:w="1109" w:type="dxa"/>
            <w:tcBorders>
              <w:top w:val="single" w:sz="6" w:space="0" w:color="auto"/>
              <w:left w:val="single" w:sz="6" w:space="0" w:color="auto"/>
              <w:bottom w:val="single" w:sz="6" w:space="0" w:color="auto"/>
              <w:right w:val="single" w:sz="6" w:space="0" w:color="auto"/>
            </w:tcBorders>
          </w:tcPr>
          <w:p w14:paraId="1065708E"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Vítězství</w:t>
            </w:r>
          </w:p>
        </w:tc>
        <w:tc>
          <w:tcPr>
            <w:tcW w:w="555" w:type="dxa"/>
            <w:tcBorders>
              <w:top w:val="single" w:sz="6" w:space="0" w:color="auto"/>
              <w:left w:val="single" w:sz="6" w:space="0" w:color="auto"/>
              <w:bottom w:val="single" w:sz="6" w:space="0" w:color="auto"/>
              <w:right w:val="single" w:sz="6" w:space="0" w:color="auto"/>
            </w:tcBorders>
          </w:tcPr>
          <w:p w14:paraId="1E9BAD0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374</w:t>
            </w:r>
          </w:p>
        </w:tc>
        <w:tc>
          <w:tcPr>
            <w:tcW w:w="970" w:type="dxa"/>
            <w:tcBorders>
              <w:top w:val="single" w:sz="6" w:space="0" w:color="auto"/>
              <w:left w:val="single" w:sz="6" w:space="0" w:color="auto"/>
              <w:bottom w:val="single" w:sz="6" w:space="0" w:color="auto"/>
              <w:right w:val="single" w:sz="6" w:space="0" w:color="auto"/>
            </w:tcBorders>
          </w:tcPr>
          <w:p w14:paraId="5549131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5,8</w:t>
            </w:r>
          </w:p>
        </w:tc>
        <w:tc>
          <w:tcPr>
            <w:tcW w:w="563" w:type="dxa"/>
            <w:tcBorders>
              <w:top w:val="single" w:sz="6" w:space="0" w:color="auto"/>
              <w:left w:val="single" w:sz="6" w:space="0" w:color="auto"/>
              <w:bottom w:val="single" w:sz="6" w:space="0" w:color="auto"/>
              <w:right w:val="single" w:sz="6" w:space="0" w:color="auto"/>
            </w:tcBorders>
          </w:tcPr>
          <w:p w14:paraId="6F6F6D9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686" w:type="dxa"/>
            <w:tcBorders>
              <w:top w:val="single" w:sz="6" w:space="0" w:color="auto"/>
              <w:left w:val="single" w:sz="6" w:space="0" w:color="auto"/>
              <w:bottom w:val="single" w:sz="6" w:space="0" w:color="auto"/>
              <w:right w:val="single" w:sz="6" w:space="0" w:color="auto"/>
            </w:tcBorders>
          </w:tcPr>
          <w:p w14:paraId="20CC3830"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2 371</w:t>
            </w:r>
          </w:p>
        </w:tc>
        <w:tc>
          <w:tcPr>
            <w:tcW w:w="555" w:type="dxa"/>
            <w:tcBorders>
              <w:top w:val="single" w:sz="6" w:space="0" w:color="auto"/>
              <w:left w:val="single" w:sz="6" w:space="0" w:color="auto"/>
              <w:bottom w:val="single" w:sz="6" w:space="0" w:color="auto"/>
              <w:right w:val="single" w:sz="6" w:space="0" w:color="auto"/>
            </w:tcBorders>
          </w:tcPr>
          <w:p w14:paraId="55944681"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0696219D"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1FFC149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102</w:t>
            </w:r>
          </w:p>
        </w:tc>
        <w:tc>
          <w:tcPr>
            <w:tcW w:w="1305" w:type="dxa"/>
            <w:tcBorders>
              <w:top w:val="single" w:sz="6" w:space="0" w:color="auto"/>
              <w:left w:val="single" w:sz="6" w:space="0" w:color="auto"/>
              <w:bottom w:val="single" w:sz="6" w:space="0" w:color="auto"/>
              <w:right w:val="single" w:sz="6" w:space="0" w:color="auto"/>
            </w:tcBorders>
          </w:tcPr>
          <w:p w14:paraId="24AF5620"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OBALEX s.r.o. Jílové</w:t>
            </w:r>
          </w:p>
        </w:tc>
        <w:tc>
          <w:tcPr>
            <w:tcW w:w="1524" w:type="dxa"/>
            <w:tcBorders>
              <w:top w:val="single" w:sz="6" w:space="0" w:color="auto"/>
              <w:left w:val="single" w:sz="6" w:space="0" w:color="auto"/>
              <w:bottom w:val="single" w:sz="6" w:space="0" w:color="auto"/>
              <w:right w:val="single" w:sz="6" w:space="0" w:color="auto"/>
            </w:tcBorders>
          </w:tcPr>
          <w:p w14:paraId="7587DEF7"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podniková kotelna</w:t>
            </w:r>
          </w:p>
        </w:tc>
        <w:tc>
          <w:tcPr>
            <w:tcW w:w="995" w:type="dxa"/>
            <w:tcBorders>
              <w:top w:val="single" w:sz="6" w:space="0" w:color="auto"/>
              <w:left w:val="single" w:sz="6" w:space="0" w:color="auto"/>
              <w:bottom w:val="single" w:sz="6" w:space="0" w:color="auto"/>
              <w:right w:val="single" w:sz="6" w:space="0" w:color="auto"/>
            </w:tcBorders>
          </w:tcPr>
          <w:p w14:paraId="7881A5A9"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Boletice</w:t>
            </w:r>
          </w:p>
        </w:tc>
        <w:tc>
          <w:tcPr>
            <w:tcW w:w="1109" w:type="dxa"/>
            <w:tcBorders>
              <w:top w:val="single" w:sz="6" w:space="0" w:color="auto"/>
              <w:left w:val="single" w:sz="6" w:space="0" w:color="auto"/>
              <w:bottom w:val="single" w:sz="6" w:space="0" w:color="auto"/>
              <w:right w:val="single" w:sz="6" w:space="0" w:color="auto"/>
            </w:tcBorders>
          </w:tcPr>
          <w:p w14:paraId="20BD2F05"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Tovární</w:t>
            </w:r>
          </w:p>
        </w:tc>
        <w:tc>
          <w:tcPr>
            <w:tcW w:w="555" w:type="dxa"/>
            <w:tcBorders>
              <w:top w:val="single" w:sz="6" w:space="0" w:color="auto"/>
              <w:left w:val="single" w:sz="6" w:space="0" w:color="auto"/>
              <w:bottom w:val="single" w:sz="6" w:space="0" w:color="auto"/>
              <w:right w:val="single" w:sz="6" w:space="0" w:color="auto"/>
            </w:tcBorders>
          </w:tcPr>
          <w:p w14:paraId="14C198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424</w:t>
            </w:r>
          </w:p>
        </w:tc>
        <w:tc>
          <w:tcPr>
            <w:tcW w:w="970" w:type="dxa"/>
            <w:tcBorders>
              <w:top w:val="single" w:sz="6" w:space="0" w:color="auto"/>
              <w:left w:val="single" w:sz="6" w:space="0" w:color="auto"/>
              <w:bottom w:val="single" w:sz="6" w:space="0" w:color="auto"/>
              <w:right w:val="single" w:sz="6" w:space="0" w:color="auto"/>
            </w:tcBorders>
          </w:tcPr>
          <w:p w14:paraId="62071D5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23</w:t>
            </w:r>
          </w:p>
        </w:tc>
        <w:tc>
          <w:tcPr>
            <w:tcW w:w="563" w:type="dxa"/>
            <w:tcBorders>
              <w:top w:val="single" w:sz="6" w:space="0" w:color="auto"/>
              <w:left w:val="single" w:sz="6" w:space="0" w:color="auto"/>
              <w:bottom w:val="single" w:sz="6" w:space="0" w:color="auto"/>
              <w:right w:val="single" w:sz="6" w:space="0" w:color="auto"/>
            </w:tcBorders>
          </w:tcPr>
          <w:p w14:paraId="45FE4A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TTO</w:t>
            </w:r>
          </w:p>
        </w:tc>
        <w:tc>
          <w:tcPr>
            <w:tcW w:w="686" w:type="dxa"/>
            <w:tcBorders>
              <w:top w:val="single" w:sz="6" w:space="0" w:color="auto"/>
              <w:left w:val="single" w:sz="6" w:space="0" w:color="auto"/>
              <w:bottom w:val="single" w:sz="6" w:space="0" w:color="auto"/>
              <w:right w:val="single" w:sz="6" w:space="0" w:color="auto"/>
            </w:tcBorders>
          </w:tcPr>
          <w:p w14:paraId="476CE48A"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3 000</w:t>
            </w:r>
          </w:p>
        </w:tc>
        <w:tc>
          <w:tcPr>
            <w:tcW w:w="555" w:type="dxa"/>
            <w:tcBorders>
              <w:top w:val="single" w:sz="6" w:space="0" w:color="auto"/>
              <w:left w:val="single" w:sz="6" w:space="0" w:color="auto"/>
              <w:bottom w:val="single" w:sz="6" w:space="0" w:color="auto"/>
              <w:right w:val="single" w:sz="6" w:space="0" w:color="auto"/>
            </w:tcBorders>
          </w:tcPr>
          <w:p w14:paraId="378864F7"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4E47C18F"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48943B4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lastRenderedPageBreak/>
              <w:t>103</w:t>
            </w:r>
          </w:p>
        </w:tc>
        <w:tc>
          <w:tcPr>
            <w:tcW w:w="1305" w:type="dxa"/>
            <w:tcBorders>
              <w:top w:val="single" w:sz="6" w:space="0" w:color="auto"/>
              <w:left w:val="single" w:sz="6" w:space="0" w:color="auto"/>
              <w:bottom w:val="single" w:sz="6" w:space="0" w:color="auto"/>
              <w:right w:val="single" w:sz="6" w:space="0" w:color="auto"/>
            </w:tcBorders>
          </w:tcPr>
          <w:p w14:paraId="79B227CB"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TERMO a.s.</w:t>
            </w:r>
          </w:p>
        </w:tc>
        <w:tc>
          <w:tcPr>
            <w:tcW w:w="1524" w:type="dxa"/>
            <w:tcBorders>
              <w:top w:val="single" w:sz="6" w:space="0" w:color="auto"/>
              <w:left w:val="single" w:sz="6" w:space="0" w:color="auto"/>
              <w:bottom w:val="single" w:sz="6" w:space="0" w:color="auto"/>
              <w:right w:val="single" w:sz="6" w:space="0" w:color="auto"/>
            </w:tcBorders>
          </w:tcPr>
          <w:p w14:paraId="42AD8843"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kotelna Březiny</w:t>
            </w:r>
          </w:p>
        </w:tc>
        <w:tc>
          <w:tcPr>
            <w:tcW w:w="995" w:type="dxa"/>
            <w:tcBorders>
              <w:top w:val="single" w:sz="6" w:space="0" w:color="auto"/>
              <w:left w:val="single" w:sz="6" w:space="0" w:color="auto"/>
              <w:bottom w:val="single" w:sz="6" w:space="0" w:color="auto"/>
              <w:right w:val="single" w:sz="6" w:space="0" w:color="auto"/>
            </w:tcBorders>
          </w:tcPr>
          <w:p w14:paraId="16515360"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Březiny</w:t>
            </w:r>
          </w:p>
        </w:tc>
        <w:tc>
          <w:tcPr>
            <w:tcW w:w="1109" w:type="dxa"/>
            <w:tcBorders>
              <w:top w:val="single" w:sz="6" w:space="0" w:color="auto"/>
              <w:left w:val="single" w:sz="6" w:space="0" w:color="auto"/>
              <w:bottom w:val="single" w:sz="6" w:space="0" w:color="auto"/>
              <w:right w:val="single" w:sz="6" w:space="0" w:color="auto"/>
            </w:tcBorders>
          </w:tcPr>
          <w:p w14:paraId="48F845F8"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555" w:type="dxa"/>
            <w:tcBorders>
              <w:top w:val="single" w:sz="6" w:space="0" w:color="auto"/>
              <w:left w:val="single" w:sz="6" w:space="0" w:color="auto"/>
              <w:bottom w:val="single" w:sz="6" w:space="0" w:color="auto"/>
              <w:right w:val="single" w:sz="6" w:space="0" w:color="auto"/>
            </w:tcBorders>
          </w:tcPr>
          <w:p w14:paraId="77A1087E"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970" w:type="dxa"/>
            <w:tcBorders>
              <w:top w:val="single" w:sz="6" w:space="0" w:color="auto"/>
              <w:left w:val="single" w:sz="6" w:space="0" w:color="auto"/>
              <w:bottom w:val="single" w:sz="6" w:space="0" w:color="auto"/>
              <w:right w:val="single" w:sz="6" w:space="0" w:color="auto"/>
            </w:tcBorders>
          </w:tcPr>
          <w:p w14:paraId="77CFBBF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9,2</w:t>
            </w:r>
          </w:p>
        </w:tc>
        <w:tc>
          <w:tcPr>
            <w:tcW w:w="563" w:type="dxa"/>
            <w:tcBorders>
              <w:top w:val="single" w:sz="6" w:space="0" w:color="auto"/>
              <w:left w:val="single" w:sz="6" w:space="0" w:color="auto"/>
              <w:bottom w:val="single" w:sz="6" w:space="0" w:color="auto"/>
              <w:right w:val="single" w:sz="6" w:space="0" w:color="auto"/>
            </w:tcBorders>
          </w:tcPr>
          <w:p w14:paraId="776AC5A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TTO</w:t>
            </w:r>
          </w:p>
        </w:tc>
        <w:tc>
          <w:tcPr>
            <w:tcW w:w="686" w:type="dxa"/>
            <w:tcBorders>
              <w:top w:val="single" w:sz="6" w:space="0" w:color="auto"/>
              <w:left w:val="single" w:sz="6" w:space="0" w:color="auto"/>
              <w:bottom w:val="single" w:sz="6" w:space="0" w:color="auto"/>
              <w:right w:val="single" w:sz="6" w:space="0" w:color="auto"/>
            </w:tcBorders>
          </w:tcPr>
          <w:p w14:paraId="562E5AAF"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858 172</w:t>
            </w:r>
          </w:p>
        </w:tc>
        <w:tc>
          <w:tcPr>
            <w:tcW w:w="555" w:type="dxa"/>
            <w:tcBorders>
              <w:top w:val="single" w:sz="6" w:space="0" w:color="auto"/>
              <w:left w:val="single" w:sz="6" w:space="0" w:color="auto"/>
              <w:bottom w:val="single" w:sz="6" w:space="0" w:color="auto"/>
              <w:right w:val="single" w:sz="6" w:space="0" w:color="auto"/>
            </w:tcBorders>
          </w:tcPr>
          <w:p w14:paraId="4B59C783"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31186A12"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31D9640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104</w:t>
            </w:r>
          </w:p>
        </w:tc>
        <w:tc>
          <w:tcPr>
            <w:tcW w:w="1305" w:type="dxa"/>
            <w:tcBorders>
              <w:top w:val="single" w:sz="6" w:space="0" w:color="auto"/>
              <w:left w:val="single" w:sz="6" w:space="0" w:color="auto"/>
              <w:bottom w:val="single" w:sz="6" w:space="0" w:color="auto"/>
              <w:right w:val="single" w:sz="6" w:space="0" w:color="auto"/>
            </w:tcBorders>
          </w:tcPr>
          <w:p w14:paraId="7BDFAC58"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TERMO a.s.</w:t>
            </w:r>
          </w:p>
        </w:tc>
        <w:tc>
          <w:tcPr>
            <w:tcW w:w="1524" w:type="dxa"/>
            <w:tcBorders>
              <w:top w:val="single" w:sz="6" w:space="0" w:color="auto"/>
              <w:left w:val="single" w:sz="6" w:space="0" w:color="auto"/>
              <w:bottom w:val="single" w:sz="6" w:space="0" w:color="auto"/>
              <w:right w:val="single" w:sz="6" w:space="0" w:color="auto"/>
            </w:tcBorders>
          </w:tcPr>
          <w:p w14:paraId="4EE3AE91"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kogenerační zdroj Bynov</w:t>
            </w:r>
          </w:p>
        </w:tc>
        <w:tc>
          <w:tcPr>
            <w:tcW w:w="995" w:type="dxa"/>
            <w:tcBorders>
              <w:top w:val="single" w:sz="6" w:space="0" w:color="auto"/>
              <w:left w:val="single" w:sz="6" w:space="0" w:color="auto"/>
              <w:bottom w:val="single" w:sz="6" w:space="0" w:color="auto"/>
              <w:right w:val="single" w:sz="6" w:space="0" w:color="auto"/>
            </w:tcBorders>
          </w:tcPr>
          <w:p w14:paraId="0FACE199"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Bynov</w:t>
            </w:r>
          </w:p>
        </w:tc>
        <w:tc>
          <w:tcPr>
            <w:tcW w:w="1109" w:type="dxa"/>
            <w:tcBorders>
              <w:top w:val="single" w:sz="6" w:space="0" w:color="auto"/>
              <w:left w:val="single" w:sz="6" w:space="0" w:color="auto"/>
              <w:bottom w:val="single" w:sz="6" w:space="0" w:color="auto"/>
              <w:right w:val="single" w:sz="6" w:space="0" w:color="auto"/>
            </w:tcBorders>
          </w:tcPr>
          <w:p w14:paraId="765753CA"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 xml:space="preserve">Bynovská </w:t>
            </w:r>
          </w:p>
        </w:tc>
        <w:tc>
          <w:tcPr>
            <w:tcW w:w="555" w:type="dxa"/>
            <w:tcBorders>
              <w:top w:val="single" w:sz="6" w:space="0" w:color="auto"/>
              <w:left w:val="single" w:sz="6" w:space="0" w:color="auto"/>
              <w:bottom w:val="single" w:sz="6" w:space="0" w:color="auto"/>
              <w:right w:val="single" w:sz="6" w:space="0" w:color="auto"/>
            </w:tcBorders>
          </w:tcPr>
          <w:p w14:paraId="0F3668D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302</w:t>
            </w:r>
          </w:p>
        </w:tc>
        <w:tc>
          <w:tcPr>
            <w:tcW w:w="970" w:type="dxa"/>
            <w:tcBorders>
              <w:top w:val="single" w:sz="6" w:space="0" w:color="auto"/>
              <w:left w:val="single" w:sz="6" w:space="0" w:color="auto"/>
              <w:bottom w:val="single" w:sz="6" w:space="0" w:color="auto"/>
              <w:right w:val="single" w:sz="6" w:space="0" w:color="auto"/>
            </w:tcBorders>
          </w:tcPr>
          <w:p w14:paraId="3560CEB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18</w:t>
            </w:r>
          </w:p>
        </w:tc>
        <w:tc>
          <w:tcPr>
            <w:tcW w:w="563" w:type="dxa"/>
            <w:tcBorders>
              <w:top w:val="single" w:sz="6" w:space="0" w:color="auto"/>
              <w:left w:val="single" w:sz="6" w:space="0" w:color="auto"/>
              <w:bottom w:val="single" w:sz="6" w:space="0" w:color="auto"/>
              <w:right w:val="single" w:sz="6" w:space="0" w:color="auto"/>
            </w:tcBorders>
          </w:tcPr>
          <w:p w14:paraId="5DE6BDF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686" w:type="dxa"/>
            <w:tcBorders>
              <w:top w:val="single" w:sz="6" w:space="0" w:color="auto"/>
              <w:left w:val="single" w:sz="6" w:space="0" w:color="auto"/>
              <w:bottom w:val="single" w:sz="6" w:space="0" w:color="auto"/>
              <w:right w:val="single" w:sz="6" w:space="0" w:color="auto"/>
            </w:tcBorders>
          </w:tcPr>
          <w:p w14:paraId="78134A47"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4 992</w:t>
            </w:r>
          </w:p>
        </w:tc>
        <w:tc>
          <w:tcPr>
            <w:tcW w:w="555" w:type="dxa"/>
            <w:tcBorders>
              <w:top w:val="single" w:sz="6" w:space="0" w:color="auto"/>
              <w:left w:val="single" w:sz="6" w:space="0" w:color="auto"/>
              <w:bottom w:val="single" w:sz="6" w:space="0" w:color="auto"/>
              <w:right w:val="single" w:sz="6" w:space="0" w:color="auto"/>
            </w:tcBorders>
          </w:tcPr>
          <w:p w14:paraId="17158EEA"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785E6F4B"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10A9FDD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105</w:t>
            </w:r>
          </w:p>
        </w:tc>
        <w:tc>
          <w:tcPr>
            <w:tcW w:w="1305" w:type="dxa"/>
            <w:tcBorders>
              <w:top w:val="single" w:sz="6" w:space="0" w:color="auto"/>
              <w:left w:val="single" w:sz="6" w:space="0" w:color="auto"/>
              <w:bottom w:val="single" w:sz="6" w:space="0" w:color="auto"/>
              <w:right w:val="single" w:sz="6" w:space="0" w:color="auto"/>
            </w:tcBorders>
          </w:tcPr>
          <w:p w14:paraId="647B2D7D"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Teplárna Ústí n.L. a.s.</w:t>
            </w:r>
          </w:p>
        </w:tc>
        <w:tc>
          <w:tcPr>
            <w:tcW w:w="1524" w:type="dxa"/>
            <w:tcBorders>
              <w:top w:val="single" w:sz="6" w:space="0" w:color="auto"/>
              <w:left w:val="single" w:sz="6" w:space="0" w:color="auto"/>
              <w:bottom w:val="single" w:sz="6" w:space="0" w:color="auto"/>
              <w:right w:val="single" w:sz="6" w:space="0" w:color="auto"/>
            </w:tcBorders>
          </w:tcPr>
          <w:p w14:paraId="648D0A32"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výtopna Děčín</w:t>
            </w:r>
          </w:p>
        </w:tc>
        <w:tc>
          <w:tcPr>
            <w:tcW w:w="995" w:type="dxa"/>
            <w:tcBorders>
              <w:top w:val="single" w:sz="6" w:space="0" w:color="auto"/>
              <w:left w:val="single" w:sz="6" w:space="0" w:color="auto"/>
              <w:bottom w:val="single" w:sz="6" w:space="0" w:color="auto"/>
              <w:right w:val="single" w:sz="6" w:space="0" w:color="auto"/>
            </w:tcBorders>
          </w:tcPr>
          <w:p w14:paraId="11CD0EB0"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Děčín 1</w:t>
            </w:r>
          </w:p>
        </w:tc>
        <w:tc>
          <w:tcPr>
            <w:tcW w:w="1109" w:type="dxa"/>
            <w:tcBorders>
              <w:top w:val="single" w:sz="6" w:space="0" w:color="auto"/>
              <w:left w:val="single" w:sz="6" w:space="0" w:color="auto"/>
              <w:bottom w:val="single" w:sz="6" w:space="0" w:color="auto"/>
              <w:right w:val="single" w:sz="6" w:space="0" w:color="auto"/>
            </w:tcBorders>
          </w:tcPr>
          <w:p w14:paraId="02B92658"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 xml:space="preserve">U plovárny </w:t>
            </w:r>
          </w:p>
        </w:tc>
        <w:tc>
          <w:tcPr>
            <w:tcW w:w="555" w:type="dxa"/>
            <w:tcBorders>
              <w:top w:val="single" w:sz="6" w:space="0" w:color="auto"/>
              <w:left w:val="single" w:sz="6" w:space="0" w:color="auto"/>
              <w:bottom w:val="single" w:sz="6" w:space="0" w:color="auto"/>
              <w:right w:val="single" w:sz="6" w:space="0" w:color="auto"/>
            </w:tcBorders>
          </w:tcPr>
          <w:p w14:paraId="1400BE7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20</w:t>
            </w:r>
          </w:p>
        </w:tc>
        <w:tc>
          <w:tcPr>
            <w:tcW w:w="970" w:type="dxa"/>
            <w:tcBorders>
              <w:top w:val="single" w:sz="6" w:space="0" w:color="auto"/>
              <w:left w:val="single" w:sz="6" w:space="0" w:color="auto"/>
              <w:bottom w:val="single" w:sz="6" w:space="0" w:color="auto"/>
              <w:right w:val="single" w:sz="6" w:space="0" w:color="auto"/>
            </w:tcBorders>
          </w:tcPr>
          <w:p w14:paraId="7B985D9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27,8</w:t>
            </w:r>
          </w:p>
        </w:tc>
        <w:tc>
          <w:tcPr>
            <w:tcW w:w="563" w:type="dxa"/>
            <w:tcBorders>
              <w:top w:val="single" w:sz="6" w:space="0" w:color="auto"/>
              <w:left w:val="single" w:sz="6" w:space="0" w:color="auto"/>
              <w:bottom w:val="single" w:sz="6" w:space="0" w:color="auto"/>
              <w:right w:val="single" w:sz="6" w:space="0" w:color="auto"/>
            </w:tcBorders>
          </w:tcPr>
          <w:p w14:paraId="1F4B195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TTO</w:t>
            </w:r>
          </w:p>
        </w:tc>
        <w:tc>
          <w:tcPr>
            <w:tcW w:w="686" w:type="dxa"/>
            <w:tcBorders>
              <w:top w:val="single" w:sz="6" w:space="0" w:color="auto"/>
              <w:left w:val="single" w:sz="6" w:space="0" w:color="auto"/>
              <w:bottom w:val="single" w:sz="6" w:space="0" w:color="auto"/>
              <w:right w:val="single" w:sz="6" w:space="0" w:color="auto"/>
            </w:tcBorders>
          </w:tcPr>
          <w:p w14:paraId="1F18BE8F"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6 500</w:t>
            </w:r>
          </w:p>
        </w:tc>
        <w:tc>
          <w:tcPr>
            <w:tcW w:w="555" w:type="dxa"/>
            <w:tcBorders>
              <w:top w:val="single" w:sz="6" w:space="0" w:color="auto"/>
              <w:left w:val="single" w:sz="6" w:space="0" w:color="auto"/>
              <w:bottom w:val="single" w:sz="6" w:space="0" w:color="auto"/>
              <w:right w:val="single" w:sz="6" w:space="0" w:color="auto"/>
            </w:tcBorders>
          </w:tcPr>
          <w:p w14:paraId="13532927"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4809CEEC"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59E07D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106</w:t>
            </w:r>
          </w:p>
        </w:tc>
        <w:tc>
          <w:tcPr>
            <w:tcW w:w="1305" w:type="dxa"/>
            <w:tcBorders>
              <w:top w:val="single" w:sz="6" w:space="0" w:color="auto"/>
              <w:left w:val="single" w:sz="6" w:space="0" w:color="auto"/>
              <w:bottom w:val="single" w:sz="6" w:space="0" w:color="auto"/>
              <w:right w:val="single" w:sz="6" w:space="0" w:color="auto"/>
            </w:tcBorders>
          </w:tcPr>
          <w:p w14:paraId="144C5D65"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RYKO s.r.o.</w:t>
            </w:r>
          </w:p>
        </w:tc>
        <w:tc>
          <w:tcPr>
            <w:tcW w:w="1524" w:type="dxa"/>
            <w:tcBorders>
              <w:top w:val="single" w:sz="6" w:space="0" w:color="auto"/>
              <w:left w:val="single" w:sz="6" w:space="0" w:color="auto"/>
              <w:bottom w:val="single" w:sz="6" w:space="0" w:color="auto"/>
              <w:right w:val="single" w:sz="6" w:space="0" w:color="auto"/>
            </w:tcBorders>
          </w:tcPr>
          <w:p w14:paraId="50A7B32C"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podniková kotelna</w:t>
            </w:r>
          </w:p>
        </w:tc>
        <w:tc>
          <w:tcPr>
            <w:tcW w:w="995" w:type="dxa"/>
            <w:tcBorders>
              <w:top w:val="single" w:sz="6" w:space="0" w:color="auto"/>
              <w:left w:val="single" w:sz="6" w:space="0" w:color="auto"/>
              <w:bottom w:val="single" w:sz="6" w:space="0" w:color="auto"/>
              <w:right w:val="single" w:sz="6" w:space="0" w:color="auto"/>
            </w:tcBorders>
          </w:tcPr>
          <w:p w14:paraId="4C9183C3"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Letná</w:t>
            </w:r>
          </w:p>
        </w:tc>
        <w:tc>
          <w:tcPr>
            <w:tcW w:w="1109" w:type="dxa"/>
            <w:tcBorders>
              <w:top w:val="single" w:sz="6" w:space="0" w:color="auto"/>
              <w:left w:val="single" w:sz="6" w:space="0" w:color="auto"/>
              <w:bottom w:val="single" w:sz="6" w:space="0" w:color="auto"/>
              <w:right w:val="single" w:sz="6" w:space="0" w:color="auto"/>
            </w:tcBorders>
          </w:tcPr>
          <w:p w14:paraId="0578B572"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Dělnická</w:t>
            </w:r>
          </w:p>
        </w:tc>
        <w:tc>
          <w:tcPr>
            <w:tcW w:w="555" w:type="dxa"/>
            <w:tcBorders>
              <w:top w:val="single" w:sz="6" w:space="0" w:color="auto"/>
              <w:left w:val="single" w:sz="6" w:space="0" w:color="auto"/>
              <w:bottom w:val="single" w:sz="6" w:space="0" w:color="auto"/>
              <w:right w:val="single" w:sz="6" w:space="0" w:color="auto"/>
            </w:tcBorders>
          </w:tcPr>
          <w:p w14:paraId="02D5959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29</w:t>
            </w:r>
          </w:p>
        </w:tc>
        <w:tc>
          <w:tcPr>
            <w:tcW w:w="970" w:type="dxa"/>
            <w:tcBorders>
              <w:top w:val="single" w:sz="6" w:space="0" w:color="auto"/>
              <w:left w:val="single" w:sz="6" w:space="0" w:color="auto"/>
              <w:bottom w:val="single" w:sz="6" w:space="0" w:color="auto"/>
              <w:right w:val="single" w:sz="6" w:space="0" w:color="auto"/>
            </w:tcBorders>
          </w:tcPr>
          <w:p w14:paraId="56D82D5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25,7</w:t>
            </w:r>
          </w:p>
        </w:tc>
        <w:tc>
          <w:tcPr>
            <w:tcW w:w="563" w:type="dxa"/>
            <w:tcBorders>
              <w:top w:val="single" w:sz="6" w:space="0" w:color="auto"/>
              <w:left w:val="single" w:sz="6" w:space="0" w:color="auto"/>
              <w:bottom w:val="single" w:sz="6" w:space="0" w:color="auto"/>
              <w:right w:val="single" w:sz="6" w:space="0" w:color="auto"/>
            </w:tcBorders>
          </w:tcPr>
          <w:p w14:paraId="3E4FAB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686" w:type="dxa"/>
            <w:tcBorders>
              <w:top w:val="single" w:sz="6" w:space="0" w:color="auto"/>
              <w:left w:val="single" w:sz="6" w:space="0" w:color="auto"/>
              <w:bottom w:val="single" w:sz="6" w:space="0" w:color="auto"/>
              <w:right w:val="single" w:sz="6" w:space="0" w:color="auto"/>
            </w:tcBorders>
          </w:tcPr>
          <w:p w14:paraId="118003B1"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469</w:t>
            </w:r>
          </w:p>
        </w:tc>
        <w:tc>
          <w:tcPr>
            <w:tcW w:w="555" w:type="dxa"/>
            <w:tcBorders>
              <w:top w:val="single" w:sz="6" w:space="0" w:color="auto"/>
              <w:left w:val="single" w:sz="6" w:space="0" w:color="auto"/>
              <w:bottom w:val="single" w:sz="6" w:space="0" w:color="auto"/>
              <w:right w:val="single" w:sz="6" w:space="0" w:color="auto"/>
            </w:tcBorders>
          </w:tcPr>
          <w:p w14:paraId="771A53B2"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41D43783"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3B5405E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107</w:t>
            </w:r>
          </w:p>
        </w:tc>
        <w:tc>
          <w:tcPr>
            <w:tcW w:w="1305" w:type="dxa"/>
            <w:tcBorders>
              <w:top w:val="single" w:sz="6" w:space="0" w:color="auto"/>
              <w:left w:val="single" w:sz="6" w:space="0" w:color="auto"/>
              <w:bottom w:val="single" w:sz="6" w:space="0" w:color="auto"/>
              <w:right w:val="single" w:sz="6" w:space="0" w:color="auto"/>
            </w:tcBorders>
          </w:tcPr>
          <w:p w14:paraId="21745F45"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TERMO a.s.</w:t>
            </w:r>
          </w:p>
        </w:tc>
        <w:tc>
          <w:tcPr>
            <w:tcW w:w="1524" w:type="dxa"/>
            <w:tcBorders>
              <w:top w:val="single" w:sz="6" w:space="0" w:color="auto"/>
              <w:left w:val="single" w:sz="6" w:space="0" w:color="auto"/>
              <w:bottom w:val="single" w:sz="6" w:space="0" w:color="auto"/>
              <w:right w:val="single" w:sz="6" w:space="0" w:color="auto"/>
            </w:tcBorders>
          </w:tcPr>
          <w:p w14:paraId="08778B73"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kotelna Liberecká</w:t>
            </w:r>
          </w:p>
        </w:tc>
        <w:tc>
          <w:tcPr>
            <w:tcW w:w="995" w:type="dxa"/>
            <w:tcBorders>
              <w:top w:val="single" w:sz="6" w:space="0" w:color="auto"/>
              <w:left w:val="single" w:sz="6" w:space="0" w:color="auto"/>
              <w:bottom w:val="single" w:sz="6" w:space="0" w:color="auto"/>
              <w:right w:val="single" w:sz="6" w:space="0" w:color="auto"/>
            </w:tcBorders>
          </w:tcPr>
          <w:p w14:paraId="6D2D62C9"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Nové Město</w:t>
            </w:r>
          </w:p>
        </w:tc>
        <w:tc>
          <w:tcPr>
            <w:tcW w:w="1109" w:type="dxa"/>
            <w:tcBorders>
              <w:top w:val="single" w:sz="6" w:space="0" w:color="auto"/>
              <w:left w:val="single" w:sz="6" w:space="0" w:color="auto"/>
              <w:bottom w:val="single" w:sz="6" w:space="0" w:color="auto"/>
              <w:right w:val="single" w:sz="6" w:space="0" w:color="auto"/>
            </w:tcBorders>
          </w:tcPr>
          <w:p w14:paraId="0133B913"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Liberecká</w:t>
            </w:r>
          </w:p>
        </w:tc>
        <w:tc>
          <w:tcPr>
            <w:tcW w:w="555" w:type="dxa"/>
            <w:tcBorders>
              <w:top w:val="single" w:sz="6" w:space="0" w:color="auto"/>
              <w:left w:val="single" w:sz="6" w:space="0" w:color="auto"/>
              <w:bottom w:val="single" w:sz="6" w:space="0" w:color="auto"/>
              <w:right w:val="single" w:sz="6" w:space="0" w:color="auto"/>
            </w:tcBorders>
          </w:tcPr>
          <w:p w14:paraId="384FD1B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300</w:t>
            </w:r>
          </w:p>
        </w:tc>
        <w:tc>
          <w:tcPr>
            <w:tcW w:w="970" w:type="dxa"/>
            <w:tcBorders>
              <w:top w:val="single" w:sz="6" w:space="0" w:color="auto"/>
              <w:left w:val="single" w:sz="6" w:space="0" w:color="auto"/>
              <w:bottom w:val="single" w:sz="6" w:space="0" w:color="auto"/>
              <w:right w:val="single" w:sz="6" w:space="0" w:color="auto"/>
            </w:tcBorders>
          </w:tcPr>
          <w:p w14:paraId="692D1BB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6,5</w:t>
            </w:r>
          </w:p>
        </w:tc>
        <w:tc>
          <w:tcPr>
            <w:tcW w:w="563" w:type="dxa"/>
            <w:tcBorders>
              <w:top w:val="single" w:sz="6" w:space="0" w:color="auto"/>
              <w:left w:val="single" w:sz="6" w:space="0" w:color="auto"/>
              <w:bottom w:val="single" w:sz="6" w:space="0" w:color="auto"/>
              <w:right w:val="single" w:sz="6" w:space="0" w:color="auto"/>
            </w:tcBorders>
          </w:tcPr>
          <w:p w14:paraId="028D36A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686" w:type="dxa"/>
            <w:tcBorders>
              <w:top w:val="single" w:sz="6" w:space="0" w:color="auto"/>
              <w:left w:val="single" w:sz="6" w:space="0" w:color="auto"/>
              <w:bottom w:val="single" w:sz="6" w:space="0" w:color="auto"/>
              <w:right w:val="single" w:sz="6" w:space="0" w:color="auto"/>
            </w:tcBorders>
          </w:tcPr>
          <w:p w14:paraId="7E76E2E8"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2 063</w:t>
            </w:r>
          </w:p>
        </w:tc>
        <w:tc>
          <w:tcPr>
            <w:tcW w:w="555" w:type="dxa"/>
            <w:tcBorders>
              <w:top w:val="single" w:sz="6" w:space="0" w:color="auto"/>
              <w:left w:val="single" w:sz="6" w:space="0" w:color="auto"/>
              <w:bottom w:val="single" w:sz="6" w:space="0" w:color="auto"/>
              <w:right w:val="single" w:sz="6" w:space="0" w:color="auto"/>
            </w:tcBorders>
          </w:tcPr>
          <w:p w14:paraId="31EBE59B"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32DEF41A"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05626C0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108</w:t>
            </w:r>
          </w:p>
        </w:tc>
        <w:tc>
          <w:tcPr>
            <w:tcW w:w="1305" w:type="dxa"/>
            <w:tcBorders>
              <w:top w:val="single" w:sz="6" w:space="0" w:color="auto"/>
              <w:left w:val="single" w:sz="6" w:space="0" w:color="auto"/>
              <w:bottom w:val="single" w:sz="6" w:space="0" w:color="auto"/>
              <w:right w:val="single" w:sz="6" w:space="0" w:color="auto"/>
            </w:tcBorders>
          </w:tcPr>
          <w:p w14:paraId="2BD69D9C"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Nemocnice Děčín</w:t>
            </w:r>
          </w:p>
        </w:tc>
        <w:tc>
          <w:tcPr>
            <w:tcW w:w="1524" w:type="dxa"/>
            <w:tcBorders>
              <w:top w:val="single" w:sz="6" w:space="0" w:color="auto"/>
              <w:left w:val="single" w:sz="6" w:space="0" w:color="auto"/>
              <w:bottom w:val="single" w:sz="6" w:space="0" w:color="auto"/>
              <w:right w:val="single" w:sz="6" w:space="0" w:color="auto"/>
            </w:tcBorders>
          </w:tcPr>
          <w:p w14:paraId="63694070"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nemocnice</w:t>
            </w:r>
          </w:p>
        </w:tc>
        <w:tc>
          <w:tcPr>
            <w:tcW w:w="995" w:type="dxa"/>
            <w:tcBorders>
              <w:top w:val="single" w:sz="6" w:space="0" w:color="auto"/>
              <w:left w:val="single" w:sz="6" w:space="0" w:color="auto"/>
              <w:bottom w:val="single" w:sz="6" w:space="0" w:color="auto"/>
              <w:right w:val="single" w:sz="6" w:space="0" w:color="auto"/>
            </w:tcBorders>
          </w:tcPr>
          <w:p w14:paraId="57D9EF90"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Nové Město</w:t>
            </w:r>
          </w:p>
        </w:tc>
        <w:tc>
          <w:tcPr>
            <w:tcW w:w="1109" w:type="dxa"/>
            <w:tcBorders>
              <w:top w:val="single" w:sz="6" w:space="0" w:color="auto"/>
              <w:left w:val="single" w:sz="6" w:space="0" w:color="auto"/>
              <w:bottom w:val="single" w:sz="6" w:space="0" w:color="auto"/>
              <w:right w:val="single" w:sz="6" w:space="0" w:color="auto"/>
            </w:tcBorders>
          </w:tcPr>
          <w:p w14:paraId="5EC85036"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 xml:space="preserve">U nemocnice </w:t>
            </w:r>
          </w:p>
        </w:tc>
        <w:tc>
          <w:tcPr>
            <w:tcW w:w="555" w:type="dxa"/>
            <w:tcBorders>
              <w:top w:val="single" w:sz="6" w:space="0" w:color="auto"/>
              <w:left w:val="single" w:sz="6" w:space="0" w:color="auto"/>
              <w:bottom w:val="single" w:sz="6" w:space="0" w:color="auto"/>
              <w:right w:val="single" w:sz="6" w:space="0" w:color="auto"/>
            </w:tcBorders>
          </w:tcPr>
          <w:p w14:paraId="45BA0CD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606</w:t>
            </w:r>
          </w:p>
        </w:tc>
        <w:tc>
          <w:tcPr>
            <w:tcW w:w="970" w:type="dxa"/>
            <w:tcBorders>
              <w:top w:val="single" w:sz="6" w:space="0" w:color="auto"/>
              <w:left w:val="single" w:sz="6" w:space="0" w:color="auto"/>
              <w:bottom w:val="single" w:sz="6" w:space="0" w:color="auto"/>
              <w:right w:val="single" w:sz="6" w:space="0" w:color="auto"/>
            </w:tcBorders>
          </w:tcPr>
          <w:p w14:paraId="0D8BA38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7,6</w:t>
            </w:r>
          </w:p>
        </w:tc>
        <w:tc>
          <w:tcPr>
            <w:tcW w:w="563" w:type="dxa"/>
            <w:tcBorders>
              <w:top w:val="single" w:sz="6" w:space="0" w:color="auto"/>
              <w:left w:val="single" w:sz="6" w:space="0" w:color="auto"/>
              <w:bottom w:val="single" w:sz="6" w:space="0" w:color="auto"/>
              <w:right w:val="single" w:sz="6" w:space="0" w:color="auto"/>
            </w:tcBorders>
          </w:tcPr>
          <w:p w14:paraId="410CF21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686" w:type="dxa"/>
            <w:tcBorders>
              <w:top w:val="single" w:sz="6" w:space="0" w:color="auto"/>
              <w:left w:val="single" w:sz="6" w:space="0" w:color="auto"/>
              <w:bottom w:val="single" w:sz="6" w:space="0" w:color="auto"/>
              <w:right w:val="single" w:sz="6" w:space="0" w:color="auto"/>
            </w:tcBorders>
          </w:tcPr>
          <w:p w14:paraId="28B149B5"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1 273</w:t>
            </w:r>
          </w:p>
        </w:tc>
        <w:tc>
          <w:tcPr>
            <w:tcW w:w="555" w:type="dxa"/>
            <w:tcBorders>
              <w:top w:val="single" w:sz="6" w:space="0" w:color="auto"/>
              <w:left w:val="single" w:sz="6" w:space="0" w:color="auto"/>
              <w:bottom w:val="single" w:sz="6" w:space="0" w:color="auto"/>
              <w:right w:val="single" w:sz="6" w:space="0" w:color="auto"/>
            </w:tcBorders>
          </w:tcPr>
          <w:p w14:paraId="3465724E"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5E63EB2B"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2E47542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109</w:t>
            </w:r>
          </w:p>
        </w:tc>
        <w:tc>
          <w:tcPr>
            <w:tcW w:w="1305" w:type="dxa"/>
            <w:tcBorders>
              <w:top w:val="single" w:sz="6" w:space="0" w:color="auto"/>
              <w:left w:val="single" w:sz="6" w:space="0" w:color="auto"/>
              <w:bottom w:val="single" w:sz="6" w:space="0" w:color="auto"/>
              <w:right w:val="single" w:sz="6" w:space="0" w:color="auto"/>
            </w:tcBorders>
          </w:tcPr>
          <w:p w14:paraId="01741352"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ALUSUISSE Děčín s.r.o.</w:t>
            </w:r>
          </w:p>
        </w:tc>
        <w:tc>
          <w:tcPr>
            <w:tcW w:w="1524" w:type="dxa"/>
            <w:tcBorders>
              <w:top w:val="single" w:sz="6" w:space="0" w:color="auto"/>
              <w:left w:val="single" w:sz="6" w:space="0" w:color="auto"/>
              <w:bottom w:val="single" w:sz="6" w:space="0" w:color="auto"/>
              <w:right w:val="single" w:sz="6" w:space="0" w:color="auto"/>
            </w:tcBorders>
          </w:tcPr>
          <w:p w14:paraId="5D15D846"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podniková kotelna</w:t>
            </w:r>
          </w:p>
        </w:tc>
        <w:tc>
          <w:tcPr>
            <w:tcW w:w="995" w:type="dxa"/>
            <w:tcBorders>
              <w:top w:val="single" w:sz="6" w:space="0" w:color="auto"/>
              <w:left w:val="single" w:sz="6" w:space="0" w:color="auto"/>
              <w:bottom w:val="single" w:sz="6" w:space="0" w:color="auto"/>
              <w:right w:val="single" w:sz="6" w:space="0" w:color="auto"/>
            </w:tcBorders>
          </w:tcPr>
          <w:p w14:paraId="2A16EB12"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Podmokly</w:t>
            </w:r>
          </w:p>
        </w:tc>
        <w:tc>
          <w:tcPr>
            <w:tcW w:w="1109" w:type="dxa"/>
            <w:tcBorders>
              <w:top w:val="single" w:sz="6" w:space="0" w:color="auto"/>
              <w:left w:val="single" w:sz="6" w:space="0" w:color="auto"/>
              <w:bottom w:val="single" w:sz="6" w:space="0" w:color="auto"/>
              <w:right w:val="single" w:sz="6" w:space="0" w:color="auto"/>
            </w:tcBorders>
          </w:tcPr>
          <w:p w14:paraId="4C44D739"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 xml:space="preserve">Ústecká </w:t>
            </w:r>
          </w:p>
        </w:tc>
        <w:tc>
          <w:tcPr>
            <w:tcW w:w="555" w:type="dxa"/>
            <w:tcBorders>
              <w:top w:val="single" w:sz="6" w:space="0" w:color="auto"/>
              <w:left w:val="single" w:sz="6" w:space="0" w:color="auto"/>
              <w:bottom w:val="single" w:sz="6" w:space="0" w:color="auto"/>
              <w:right w:val="single" w:sz="6" w:space="0" w:color="auto"/>
            </w:tcBorders>
          </w:tcPr>
          <w:p w14:paraId="08017CB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37</w:t>
            </w:r>
          </w:p>
        </w:tc>
        <w:tc>
          <w:tcPr>
            <w:tcW w:w="970" w:type="dxa"/>
            <w:tcBorders>
              <w:top w:val="single" w:sz="6" w:space="0" w:color="auto"/>
              <w:left w:val="single" w:sz="6" w:space="0" w:color="auto"/>
              <w:bottom w:val="single" w:sz="6" w:space="0" w:color="auto"/>
              <w:right w:val="single" w:sz="6" w:space="0" w:color="auto"/>
            </w:tcBorders>
          </w:tcPr>
          <w:p w14:paraId="3C19B4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57,2</w:t>
            </w:r>
          </w:p>
        </w:tc>
        <w:tc>
          <w:tcPr>
            <w:tcW w:w="563" w:type="dxa"/>
            <w:tcBorders>
              <w:top w:val="single" w:sz="6" w:space="0" w:color="auto"/>
              <w:left w:val="single" w:sz="6" w:space="0" w:color="auto"/>
              <w:bottom w:val="single" w:sz="6" w:space="0" w:color="auto"/>
              <w:right w:val="single" w:sz="6" w:space="0" w:color="auto"/>
            </w:tcBorders>
          </w:tcPr>
          <w:p w14:paraId="412C55F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686" w:type="dxa"/>
            <w:tcBorders>
              <w:top w:val="single" w:sz="6" w:space="0" w:color="auto"/>
              <w:left w:val="single" w:sz="6" w:space="0" w:color="auto"/>
              <w:bottom w:val="single" w:sz="6" w:space="0" w:color="auto"/>
              <w:right w:val="single" w:sz="6" w:space="0" w:color="auto"/>
            </w:tcBorders>
          </w:tcPr>
          <w:p w14:paraId="5CEA31A1"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28 960</w:t>
            </w:r>
          </w:p>
        </w:tc>
        <w:tc>
          <w:tcPr>
            <w:tcW w:w="555" w:type="dxa"/>
            <w:tcBorders>
              <w:top w:val="single" w:sz="6" w:space="0" w:color="auto"/>
              <w:left w:val="single" w:sz="6" w:space="0" w:color="auto"/>
              <w:bottom w:val="single" w:sz="6" w:space="0" w:color="auto"/>
              <w:right w:val="single" w:sz="6" w:space="0" w:color="auto"/>
            </w:tcBorders>
          </w:tcPr>
          <w:p w14:paraId="1F7ECBFA"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2888E32D"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3A41B70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110</w:t>
            </w:r>
          </w:p>
        </w:tc>
        <w:tc>
          <w:tcPr>
            <w:tcW w:w="1305" w:type="dxa"/>
            <w:tcBorders>
              <w:top w:val="single" w:sz="6" w:space="0" w:color="auto"/>
              <w:left w:val="single" w:sz="6" w:space="0" w:color="auto"/>
              <w:bottom w:val="single" w:sz="6" w:space="0" w:color="auto"/>
              <w:right w:val="single" w:sz="6" w:space="0" w:color="auto"/>
            </w:tcBorders>
          </w:tcPr>
          <w:p w14:paraId="06182CD1"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TERMO a.s.</w:t>
            </w:r>
          </w:p>
        </w:tc>
        <w:tc>
          <w:tcPr>
            <w:tcW w:w="1524" w:type="dxa"/>
            <w:tcBorders>
              <w:top w:val="single" w:sz="6" w:space="0" w:color="auto"/>
              <w:left w:val="single" w:sz="6" w:space="0" w:color="auto"/>
              <w:bottom w:val="single" w:sz="6" w:space="0" w:color="auto"/>
              <w:right w:val="single" w:sz="6" w:space="0" w:color="auto"/>
            </w:tcBorders>
          </w:tcPr>
          <w:p w14:paraId="687BFF27"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kogenerační zdroj Želenice</w:t>
            </w:r>
          </w:p>
        </w:tc>
        <w:tc>
          <w:tcPr>
            <w:tcW w:w="995" w:type="dxa"/>
            <w:tcBorders>
              <w:top w:val="single" w:sz="6" w:space="0" w:color="auto"/>
              <w:left w:val="single" w:sz="6" w:space="0" w:color="auto"/>
              <w:bottom w:val="single" w:sz="6" w:space="0" w:color="auto"/>
              <w:right w:val="single" w:sz="6" w:space="0" w:color="auto"/>
            </w:tcBorders>
          </w:tcPr>
          <w:p w14:paraId="77F861F7"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Podmokly</w:t>
            </w:r>
          </w:p>
        </w:tc>
        <w:tc>
          <w:tcPr>
            <w:tcW w:w="1109" w:type="dxa"/>
            <w:tcBorders>
              <w:top w:val="single" w:sz="6" w:space="0" w:color="auto"/>
              <w:left w:val="single" w:sz="6" w:space="0" w:color="auto"/>
              <w:bottom w:val="single" w:sz="6" w:space="0" w:color="auto"/>
              <w:right w:val="single" w:sz="6" w:space="0" w:color="auto"/>
            </w:tcBorders>
          </w:tcPr>
          <w:p w14:paraId="0ED34907"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Dělnická</w:t>
            </w:r>
          </w:p>
        </w:tc>
        <w:tc>
          <w:tcPr>
            <w:tcW w:w="555" w:type="dxa"/>
            <w:tcBorders>
              <w:top w:val="single" w:sz="6" w:space="0" w:color="auto"/>
              <w:left w:val="single" w:sz="6" w:space="0" w:color="auto"/>
              <w:bottom w:val="single" w:sz="6" w:space="0" w:color="auto"/>
              <w:right w:val="single" w:sz="6" w:space="0" w:color="auto"/>
            </w:tcBorders>
          </w:tcPr>
          <w:p w14:paraId="5AA5549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11</w:t>
            </w:r>
          </w:p>
        </w:tc>
        <w:tc>
          <w:tcPr>
            <w:tcW w:w="970" w:type="dxa"/>
            <w:tcBorders>
              <w:top w:val="single" w:sz="6" w:space="0" w:color="auto"/>
              <w:left w:val="single" w:sz="6" w:space="0" w:color="auto"/>
              <w:bottom w:val="single" w:sz="6" w:space="0" w:color="auto"/>
              <w:right w:val="single" w:sz="6" w:space="0" w:color="auto"/>
            </w:tcBorders>
          </w:tcPr>
          <w:p w14:paraId="13AB879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18</w:t>
            </w:r>
          </w:p>
        </w:tc>
        <w:tc>
          <w:tcPr>
            <w:tcW w:w="563" w:type="dxa"/>
            <w:tcBorders>
              <w:top w:val="single" w:sz="6" w:space="0" w:color="auto"/>
              <w:left w:val="single" w:sz="6" w:space="0" w:color="auto"/>
              <w:bottom w:val="single" w:sz="6" w:space="0" w:color="auto"/>
              <w:right w:val="single" w:sz="6" w:space="0" w:color="auto"/>
            </w:tcBorders>
          </w:tcPr>
          <w:p w14:paraId="367D780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686" w:type="dxa"/>
            <w:tcBorders>
              <w:top w:val="single" w:sz="6" w:space="0" w:color="auto"/>
              <w:left w:val="single" w:sz="6" w:space="0" w:color="auto"/>
              <w:bottom w:val="single" w:sz="6" w:space="0" w:color="auto"/>
              <w:right w:val="single" w:sz="6" w:space="0" w:color="auto"/>
            </w:tcBorders>
          </w:tcPr>
          <w:p w14:paraId="0673A6E1"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739</w:t>
            </w:r>
          </w:p>
        </w:tc>
        <w:tc>
          <w:tcPr>
            <w:tcW w:w="555" w:type="dxa"/>
            <w:tcBorders>
              <w:top w:val="single" w:sz="6" w:space="0" w:color="auto"/>
              <w:left w:val="single" w:sz="6" w:space="0" w:color="auto"/>
              <w:bottom w:val="single" w:sz="6" w:space="0" w:color="auto"/>
              <w:right w:val="single" w:sz="6" w:space="0" w:color="auto"/>
            </w:tcBorders>
          </w:tcPr>
          <w:p w14:paraId="1DD5A789"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4B94E1A7"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267FF5D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111</w:t>
            </w:r>
          </w:p>
        </w:tc>
        <w:tc>
          <w:tcPr>
            <w:tcW w:w="1305" w:type="dxa"/>
            <w:tcBorders>
              <w:top w:val="single" w:sz="6" w:space="0" w:color="auto"/>
              <w:left w:val="single" w:sz="6" w:space="0" w:color="auto"/>
              <w:bottom w:val="single" w:sz="6" w:space="0" w:color="auto"/>
              <w:right w:val="single" w:sz="6" w:space="0" w:color="auto"/>
            </w:tcBorders>
          </w:tcPr>
          <w:p w14:paraId="1607E1D3"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České dráhy</w:t>
            </w:r>
          </w:p>
        </w:tc>
        <w:tc>
          <w:tcPr>
            <w:tcW w:w="1524" w:type="dxa"/>
            <w:tcBorders>
              <w:top w:val="single" w:sz="6" w:space="0" w:color="auto"/>
              <w:left w:val="single" w:sz="6" w:space="0" w:color="auto"/>
              <w:bottom w:val="single" w:sz="6" w:space="0" w:color="auto"/>
              <w:right w:val="single" w:sz="6" w:space="0" w:color="auto"/>
            </w:tcBorders>
          </w:tcPr>
          <w:p w14:paraId="476F1A84"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lokomotivní depo</w:t>
            </w:r>
          </w:p>
        </w:tc>
        <w:tc>
          <w:tcPr>
            <w:tcW w:w="995" w:type="dxa"/>
            <w:tcBorders>
              <w:top w:val="single" w:sz="6" w:space="0" w:color="auto"/>
              <w:left w:val="single" w:sz="6" w:space="0" w:color="auto"/>
              <w:bottom w:val="single" w:sz="6" w:space="0" w:color="auto"/>
              <w:right w:val="single" w:sz="6" w:space="0" w:color="auto"/>
            </w:tcBorders>
          </w:tcPr>
          <w:p w14:paraId="0C592302"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Podmokly</w:t>
            </w:r>
          </w:p>
        </w:tc>
        <w:tc>
          <w:tcPr>
            <w:tcW w:w="1109" w:type="dxa"/>
            <w:tcBorders>
              <w:top w:val="single" w:sz="6" w:space="0" w:color="auto"/>
              <w:left w:val="single" w:sz="6" w:space="0" w:color="auto"/>
              <w:bottom w:val="single" w:sz="6" w:space="0" w:color="auto"/>
              <w:right w:val="single" w:sz="6" w:space="0" w:color="auto"/>
            </w:tcBorders>
          </w:tcPr>
          <w:p w14:paraId="52A0AA2A"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 xml:space="preserve">Poštovní </w:t>
            </w:r>
          </w:p>
        </w:tc>
        <w:tc>
          <w:tcPr>
            <w:tcW w:w="555" w:type="dxa"/>
            <w:tcBorders>
              <w:top w:val="single" w:sz="6" w:space="0" w:color="auto"/>
              <w:left w:val="single" w:sz="6" w:space="0" w:color="auto"/>
              <w:bottom w:val="single" w:sz="6" w:space="0" w:color="auto"/>
              <w:right w:val="single" w:sz="6" w:space="0" w:color="auto"/>
            </w:tcBorders>
          </w:tcPr>
          <w:p w14:paraId="78ACEE1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49</w:t>
            </w:r>
          </w:p>
        </w:tc>
        <w:tc>
          <w:tcPr>
            <w:tcW w:w="970" w:type="dxa"/>
            <w:tcBorders>
              <w:top w:val="single" w:sz="6" w:space="0" w:color="auto"/>
              <w:left w:val="single" w:sz="6" w:space="0" w:color="auto"/>
              <w:bottom w:val="single" w:sz="6" w:space="0" w:color="auto"/>
              <w:right w:val="single" w:sz="6" w:space="0" w:color="auto"/>
            </w:tcBorders>
          </w:tcPr>
          <w:p w14:paraId="1D35CFB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5</w:t>
            </w:r>
          </w:p>
        </w:tc>
        <w:tc>
          <w:tcPr>
            <w:tcW w:w="563" w:type="dxa"/>
            <w:tcBorders>
              <w:top w:val="single" w:sz="6" w:space="0" w:color="auto"/>
              <w:left w:val="single" w:sz="6" w:space="0" w:color="auto"/>
              <w:bottom w:val="single" w:sz="6" w:space="0" w:color="auto"/>
              <w:right w:val="single" w:sz="6" w:space="0" w:color="auto"/>
            </w:tcBorders>
          </w:tcPr>
          <w:p w14:paraId="346EEC6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686" w:type="dxa"/>
            <w:tcBorders>
              <w:top w:val="single" w:sz="6" w:space="0" w:color="auto"/>
              <w:left w:val="single" w:sz="6" w:space="0" w:color="auto"/>
              <w:bottom w:val="single" w:sz="6" w:space="0" w:color="auto"/>
              <w:right w:val="single" w:sz="6" w:space="0" w:color="auto"/>
            </w:tcBorders>
          </w:tcPr>
          <w:p w14:paraId="1E7049D2"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472</w:t>
            </w:r>
          </w:p>
        </w:tc>
        <w:tc>
          <w:tcPr>
            <w:tcW w:w="555" w:type="dxa"/>
            <w:tcBorders>
              <w:top w:val="single" w:sz="6" w:space="0" w:color="auto"/>
              <w:left w:val="single" w:sz="6" w:space="0" w:color="auto"/>
              <w:bottom w:val="single" w:sz="6" w:space="0" w:color="auto"/>
              <w:right w:val="single" w:sz="6" w:space="0" w:color="auto"/>
            </w:tcBorders>
          </w:tcPr>
          <w:p w14:paraId="54CCB050"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05363E35"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29A18F6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112</w:t>
            </w:r>
          </w:p>
        </w:tc>
        <w:tc>
          <w:tcPr>
            <w:tcW w:w="1305" w:type="dxa"/>
            <w:tcBorders>
              <w:top w:val="single" w:sz="6" w:space="0" w:color="auto"/>
              <w:left w:val="single" w:sz="6" w:space="0" w:color="auto"/>
              <w:bottom w:val="single" w:sz="6" w:space="0" w:color="auto"/>
              <w:right w:val="single" w:sz="6" w:space="0" w:color="auto"/>
            </w:tcBorders>
          </w:tcPr>
          <w:p w14:paraId="3607EE36"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DESTA - CZ, a.s.</w:t>
            </w:r>
          </w:p>
        </w:tc>
        <w:tc>
          <w:tcPr>
            <w:tcW w:w="1524" w:type="dxa"/>
            <w:tcBorders>
              <w:top w:val="single" w:sz="6" w:space="0" w:color="auto"/>
              <w:left w:val="single" w:sz="6" w:space="0" w:color="auto"/>
              <w:bottom w:val="single" w:sz="6" w:space="0" w:color="auto"/>
              <w:right w:val="single" w:sz="6" w:space="0" w:color="auto"/>
            </w:tcBorders>
          </w:tcPr>
          <w:p w14:paraId="694A6E7F"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podniková kotelna</w:t>
            </w:r>
          </w:p>
        </w:tc>
        <w:tc>
          <w:tcPr>
            <w:tcW w:w="995" w:type="dxa"/>
            <w:tcBorders>
              <w:top w:val="single" w:sz="6" w:space="0" w:color="auto"/>
              <w:left w:val="single" w:sz="6" w:space="0" w:color="auto"/>
              <w:bottom w:val="single" w:sz="6" w:space="0" w:color="auto"/>
              <w:right w:val="single" w:sz="6" w:space="0" w:color="auto"/>
            </w:tcBorders>
          </w:tcPr>
          <w:p w14:paraId="677DF904"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Rozbělesy</w:t>
            </w:r>
          </w:p>
        </w:tc>
        <w:tc>
          <w:tcPr>
            <w:tcW w:w="1109" w:type="dxa"/>
            <w:tcBorders>
              <w:top w:val="single" w:sz="6" w:space="0" w:color="auto"/>
              <w:left w:val="single" w:sz="6" w:space="0" w:color="auto"/>
              <w:bottom w:val="single" w:sz="6" w:space="0" w:color="auto"/>
              <w:right w:val="single" w:sz="6" w:space="0" w:color="auto"/>
            </w:tcBorders>
          </w:tcPr>
          <w:p w14:paraId="66C70A75"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Ústecká</w:t>
            </w:r>
          </w:p>
        </w:tc>
        <w:tc>
          <w:tcPr>
            <w:tcW w:w="555" w:type="dxa"/>
            <w:tcBorders>
              <w:top w:val="single" w:sz="6" w:space="0" w:color="auto"/>
              <w:left w:val="single" w:sz="6" w:space="0" w:color="auto"/>
              <w:bottom w:val="single" w:sz="6" w:space="0" w:color="auto"/>
              <w:right w:val="single" w:sz="6" w:space="0" w:color="auto"/>
            </w:tcBorders>
          </w:tcPr>
          <w:p w14:paraId="7CE91B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20</w:t>
            </w:r>
          </w:p>
        </w:tc>
        <w:tc>
          <w:tcPr>
            <w:tcW w:w="970" w:type="dxa"/>
            <w:tcBorders>
              <w:top w:val="single" w:sz="6" w:space="0" w:color="auto"/>
              <w:left w:val="single" w:sz="6" w:space="0" w:color="auto"/>
              <w:bottom w:val="single" w:sz="6" w:space="0" w:color="auto"/>
              <w:right w:val="single" w:sz="6" w:space="0" w:color="auto"/>
            </w:tcBorders>
          </w:tcPr>
          <w:p w14:paraId="15E1ECE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w:t>
            </w:r>
          </w:p>
        </w:tc>
        <w:tc>
          <w:tcPr>
            <w:tcW w:w="563" w:type="dxa"/>
            <w:tcBorders>
              <w:top w:val="single" w:sz="6" w:space="0" w:color="auto"/>
              <w:left w:val="single" w:sz="6" w:space="0" w:color="auto"/>
              <w:bottom w:val="single" w:sz="6" w:space="0" w:color="auto"/>
              <w:right w:val="single" w:sz="6" w:space="0" w:color="auto"/>
            </w:tcBorders>
          </w:tcPr>
          <w:p w14:paraId="174A399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686" w:type="dxa"/>
            <w:tcBorders>
              <w:top w:val="single" w:sz="6" w:space="0" w:color="auto"/>
              <w:left w:val="single" w:sz="6" w:space="0" w:color="auto"/>
              <w:bottom w:val="single" w:sz="6" w:space="0" w:color="auto"/>
              <w:right w:val="single" w:sz="6" w:space="0" w:color="auto"/>
            </w:tcBorders>
          </w:tcPr>
          <w:p w14:paraId="1590A110"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200</w:t>
            </w:r>
          </w:p>
        </w:tc>
        <w:tc>
          <w:tcPr>
            <w:tcW w:w="555" w:type="dxa"/>
            <w:tcBorders>
              <w:top w:val="single" w:sz="6" w:space="0" w:color="auto"/>
              <w:left w:val="single" w:sz="6" w:space="0" w:color="auto"/>
              <w:bottom w:val="single" w:sz="6" w:space="0" w:color="auto"/>
              <w:right w:val="single" w:sz="6" w:space="0" w:color="auto"/>
            </w:tcBorders>
          </w:tcPr>
          <w:p w14:paraId="687FADAA"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6301B8ED" w14:textId="77777777" w:rsidTr="002D2D45">
        <w:trPr>
          <w:jc w:val="center"/>
        </w:trPr>
        <w:tc>
          <w:tcPr>
            <w:tcW w:w="521" w:type="dxa"/>
            <w:tcBorders>
              <w:top w:val="single" w:sz="6" w:space="0" w:color="auto"/>
              <w:left w:val="single" w:sz="6" w:space="0" w:color="auto"/>
              <w:bottom w:val="single" w:sz="6" w:space="0" w:color="auto"/>
              <w:right w:val="single" w:sz="6" w:space="0" w:color="auto"/>
            </w:tcBorders>
          </w:tcPr>
          <w:p w14:paraId="0CFD3CD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113</w:t>
            </w:r>
          </w:p>
        </w:tc>
        <w:tc>
          <w:tcPr>
            <w:tcW w:w="1305" w:type="dxa"/>
            <w:tcBorders>
              <w:top w:val="single" w:sz="6" w:space="0" w:color="auto"/>
              <w:left w:val="single" w:sz="6" w:space="0" w:color="auto"/>
              <w:bottom w:val="single" w:sz="6" w:space="0" w:color="auto"/>
              <w:right w:val="single" w:sz="6" w:space="0" w:color="auto"/>
            </w:tcBorders>
          </w:tcPr>
          <w:p w14:paraId="6A14BA4E"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Kabelovna Dč., a.s.</w:t>
            </w:r>
          </w:p>
        </w:tc>
        <w:tc>
          <w:tcPr>
            <w:tcW w:w="1524" w:type="dxa"/>
            <w:tcBorders>
              <w:top w:val="single" w:sz="6" w:space="0" w:color="auto"/>
              <w:left w:val="single" w:sz="6" w:space="0" w:color="auto"/>
              <w:bottom w:val="single" w:sz="6" w:space="0" w:color="auto"/>
              <w:right w:val="single" w:sz="6" w:space="0" w:color="auto"/>
            </w:tcBorders>
          </w:tcPr>
          <w:p w14:paraId="383C423D"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podniková kotelna</w:t>
            </w:r>
          </w:p>
        </w:tc>
        <w:tc>
          <w:tcPr>
            <w:tcW w:w="995" w:type="dxa"/>
            <w:tcBorders>
              <w:top w:val="single" w:sz="6" w:space="0" w:color="auto"/>
              <w:left w:val="single" w:sz="6" w:space="0" w:color="auto"/>
              <w:bottom w:val="single" w:sz="6" w:space="0" w:color="auto"/>
              <w:right w:val="single" w:sz="6" w:space="0" w:color="auto"/>
            </w:tcBorders>
          </w:tcPr>
          <w:p w14:paraId="7AC5FA52"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Rozbělesy</w:t>
            </w:r>
          </w:p>
        </w:tc>
        <w:tc>
          <w:tcPr>
            <w:tcW w:w="1109" w:type="dxa"/>
            <w:tcBorders>
              <w:top w:val="single" w:sz="6" w:space="0" w:color="auto"/>
              <w:left w:val="single" w:sz="6" w:space="0" w:color="auto"/>
              <w:bottom w:val="single" w:sz="6" w:space="0" w:color="auto"/>
              <w:right w:val="single" w:sz="6" w:space="0" w:color="auto"/>
            </w:tcBorders>
          </w:tcPr>
          <w:p w14:paraId="182105AA"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Ústecká</w:t>
            </w:r>
          </w:p>
        </w:tc>
        <w:tc>
          <w:tcPr>
            <w:tcW w:w="555" w:type="dxa"/>
            <w:tcBorders>
              <w:top w:val="single" w:sz="6" w:space="0" w:color="auto"/>
              <w:left w:val="single" w:sz="6" w:space="0" w:color="auto"/>
              <w:bottom w:val="single" w:sz="6" w:space="0" w:color="auto"/>
              <w:right w:val="single" w:sz="6" w:space="0" w:color="auto"/>
            </w:tcBorders>
          </w:tcPr>
          <w:p w14:paraId="45E3178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33</w:t>
            </w:r>
          </w:p>
        </w:tc>
        <w:tc>
          <w:tcPr>
            <w:tcW w:w="970" w:type="dxa"/>
            <w:tcBorders>
              <w:top w:val="single" w:sz="6" w:space="0" w:color="auto"/>
              <w:left w:val="single" w:sz="6" w:space="0" w:color="auto"/>
              <w:bottom w:val="single" w:sz="6" w:space="0" w:color="auto"/>
              <w:right w:val="single" w:sz="6" w:space="0" w:color="auto"/>
            </w:tcBorders>
          </w:tcPr>
          <w:p w14:paraId="340BA9C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18,8</w:t>
            </w:r>
          </w:p>
        </w:tc>
        <w:tc>
          <w:tcPr>
            <w:tcW w:w="563" w:type="dxa"/>
            <w:tcBorders>
              <w:top w:val="single" w:sz="6" w:space="0" w:color="auto"/>
              <w:left w:val="single" w:sz="6" w:space="0" w:color="auto"/>
              <w:bottom w:val="single" w:sz="6" w:space="0" w:color="auto"/>
              <w:right w:val="single" w:sz="6" w:space="0" w:color="auto"/>
            </w:tcBorders>
          </w:tcPr>
          <w:p w14:paraId="3E7C450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686" w:type="dxa"/>
            <w:tcBorders>
              <w:top w:val="single" w:sz="6" w:space="0" w:color="auto"/>
              <w:left w:val="single" w:sz="6" w:space="0" w:color="auto"/>
              <w:bottom w:val="single" w:sz="6" w:space="0" w:color="auto"/>
              <w:right w:val="single" w:sz="6" w:space="0" w:color="auto"/>
            </w:tcBorders>
          </w:tcPr>
          <w:p w14:paraId="4070F74F" w14:textId="77777777" w:rsidR="00D42621" w:rsidRPr="00D42621" w:rsidRDefault="00D42621" w:rsidP="00D42621">
            <w:pPr>
              <w:suppressAutoHyphens w:val="0"/>
              <w:autoSpaceDE w:val="0"/>
              <w:autoSpaceDN w:val="0"/>
              <w:adjustRightInd w:val="0"/>
              <w:spacing w:line="240" w:lineRule="atLeast"/>
              <w:ind w:right="57"/>
              <w:jc w:val="right"/>
              <w:rPr>
                <w:rFonts w:ascii="Arial" w:hAnsi="Arial"/>
                <w:color w:val="000000"/>
                <w:sz w:val="16"/>
                <w:szCs w:val="16"/>
                <w:lang w:eastAsia="cs-CZ"/>
              </w:rPr>
            </w:pPr>
            <w:r w:rsidRPr="00D42621">
              <w:rPr>
                <w:rFonts w:ascii="Arial" w:hAnsi="Arial"/>
                <w:color w:val="000000"/>
                <w:sz w:val="16"/>
                <w:szCs w:val="16"/>
                <w:lang w:eastAsia="cs-CZ"/>
              </w:rPr>
              <w:t>3 310</w:t>
            </w:r>
          </w:p>
        </w:tc>
        <w:tc>
          <w:tcPr>
            <w:tcW w:w="555" w:type="dxa"/>
            <w:tcBorders>
              <w:top w:val="single" w:sz="6" w:space="0" w:color="auto"/>
              <w:left w:val="single" w:sz="6" w:space="0" w:color="auto"/>
              <w:bottom w:val="single" w:sz="6" w:space="0" w:color="auto"/>
              <w:right w:val="single" w:sz="6" w:space="0" w:color="auto"/>
            </w:tcBorders>
          </w:tcPr>
          <w:p w14:paraId="48CC5C67" w14:textId="77777777" w:rsidR="00D42621" w:rsidRPr="00D42621" w:rsidRDefault="00D42621" w:rsidP="00D42621">
            <w:pPr>
              <w:suppressAutoHyphens w:val="0"/>
              <w:autoSpaceDE w:val="0"/>
              <w:autoSpaceDN w:val="0"/>
              <w:adjustRightInd w:val="0"/>
              <w:spacing w:line="240" w:lineRule="atLeast"/>
              <w:ind w:left="57"/>
              <w:rPr>
                <w:rFonts w:ascii="Arial" w:hAnsi="Arial"/>
                <w:color w:val="000000"/>
                <w:sz w:val="16"/>
                <w:szCs w:val="16"/>
                <w:lang w:eastAsia="cs-CZ"/>
              </w:rPr>
            </w:pPr>
            <w:r w:rsidRPr="00D42621">
              <w:rPr>
                <w:rFonts w:ascii="Arial" w:hAnsi="Arial"/>
                <w:color w:val="000000"/>
                <w:sz w:val="16"/>
                <w:szCs w:val="16"/>
                <w:lang w:eastAsia="cs-CZ"/>
              </w:rPr>
              <w:t>tis.m3</w:t>
            </w:r>
          </w:p>
        </w:tc>
      </w:tr>
    </w:tbl>
    <w:p w14:paraId="5420504F" w14:textId="77777777" w:rsidR="00D42621" w:rsidRPr="00D42621" w:rsidRDefault="00D42621" w:rsidP="00D42621">
      <w:pPr>
        <w:suppressAutoHyphens w:val="0"/>
        <w:autoSpaceDE w:val="0"/>
        <w:autoSpaceDN w:val="0"/>
        <w:adjustRightInd w:val="0"/>
        <w:rPr>
          <w:rFonts w:ascii="Arial" w:hAnsi="Arial" w:cs="Arial"/>
          <w:sz w:val="20"/>
          <w:lang w:eastAsia="cs-CZ"/>
        </w:rPr>
      </w:pPr>
    </w:p>
    <w:tbl>
      <w:tblPr>
        <w:tblW w:w="0" w:type="auto"/>
        <w:tblLayout w:type="fixed"/>
        <w:tblCellMar>
          <w:left w:w="54" w:type="dxa"/>
          <w:right w:w="54" w:type="dxa"/>
        </w:tblCellMar>
        <w:tblLook w:val="0000" w:firstRow="0" w:lastRow="0" w:firstColumn="0" w:lastColumn="0" w:noHBand="0" w:noVBand="0"/>
      </w:tblPr>
      <w:tblGrid>
        <w:gridCol w:w="329"/>
        <w:gridCol w:w="1487"/>
        <w:gridCol w:w="1643"/>
        <w:gridCol w:w="917"/>
        <w:gridCol w:w="1315"/>
        <w:gridCol w:w="522"/>
        <w:gridCol w:w="1154"/>
        <w:gridCol w:w="696"/>
        <w:gridCol w:w="758"/>
        <w:gridCol w:w="600"/>
      </w:tblGrid>
      <w:tr w:rsidR="00D42621" w:rsidRPr="00D42621" w14:paraId="7FEAD340"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76B5DC5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č.</w:t>
            </w:r>
          </w:p>
        </w:tc>
        <w:tc>
          <w:tcPr>
            <w:tcW w:w="1487" w:type="dxa"/>
            <w:tcBorders>
              <w:top w:val="single" w:sz="6" w:space="0" w:color="auto"/>
              <w:left w:val="single" w:sz="6" w:space="0" w:color="auto"/>
              <w:bottom w:val="single" w:sz="6" w:space="0" w:color="auto"/>
              <w:right w:val="single" w:sz="6" w:space="0" w:color="auto"/>
            </w:tcBorders>
          </w:tcPr>
          <w:p w14:paraId="39D2AFD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b/>
                <w:bCs/>
                <w:color w:val="000000"/>
                <w:sz w:val="16"/>
                <w:szCs w:val="16"/>
                <w:lang w:eastAsia="cs-CZ"/>
              </w:rPr>
              <w:t>zdroj, provozovatel</w:t>
            </w:r>
          </w:p>
        </w:tc>
        <w:tc>
          <w:tcPr>
            <w:tcW w:w="1643" w:type="dxa"/>
            <w:tcBorders>
              <w:top w:val="single" w:sz="6" w:space="0" w:color="auto"/>
              <w:left w:val="single" w:sz="6" w:space="0" w:color="auto"/>
              <w:bottom w:val="single" w:sz="6" w:space="0" w:color="auto"/>
              <w:right w:val="single" w:sz="6" w:space="0" w:color="auto"/>
            </w:tcBorders>
          </w:tcPr>
          <w:p w14:paraId="62B010B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b/>
                <w:bCs/>
                <w:color w:val="000000"/>
                <w:sz w:val="16"/>
                <w:szCs w:val="16"/>
                <w:lang w:eastAsia="cs-CZ"/>
              </w:rPr>
              <w:t>název středního zdroje</w:t>
            </w:r>
          </w:p>
        </w:tc>
        <w:tc>
          <w:tcPr>
            <w:tcW w:w="917" w:type="dxa"/>
            <w:tcBorders>
              <w:top w:val="single" w:sz="6" w:space="0" w:color="auto"/>
              <w:left w:val="single" w:sz="6" w:space="0" w:color="auto"/>
              <w:bottom w:val="single" w:sz="6" w:space="0" w:color="auto"/>
              <w:right w:val="single" w:sz="6" w:space="0" w:color="auto"/>
            </w:tcBorders>
          </w:tcPr>
          <w:p w14:paraId="177EE96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b/>
                <w:bCs/>
                <w:color w:val="000000"/>
                <w:sz w:val="16"/>
                <w:szCs w:val="16"/>
                <w:lang w:eastAsia="cs-CZ"/>
              </w:rPr>
              <w:t>sídlo</w:t>
            </w:r>
          </w:p>
        </w:tc>
        <w:tc>
          <w:tcPr>
            <w:tcW w:w="1315" w:type="dxa"/>
            <w:tcBorders>
              <w:top w:val="single" w:sz="6" w:space="0" w:color="auto"/>
              <w:left w:val="single" w:sz="6" w:space="0" w:color="auto"/>
              <w:bottom w:val="single" w:sz="6" w:space="0" w:color="auto"/>
              <w:right w:val="single" w:sz="6" w:space="0" w:color="auto"/>
            </w:tcBorders>
          </w:tcPr>
          <w:p w14:paraId="7ACC8D2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b/>
                <w:bCs/>
                <w:color w:val="000000"/>
                <w:sz w:val="16"/>
                <w:szCs w:val="16"/>
                <w:lang w:eastAsia="cs-CZ"/>
              </w:rPr>
              <w:t>ulice</w:t>
            </w:r>
          </w:p>
        </w:tc>
        <w:tc>
          <w:tcPr>
            <w:tcW w:w="522" w:type="dxa"/>
            <w:tcBorders>
              <w:top w:val="single" w:sz="6" w:space="0" w:color="auto"/>
              <w:left w:val="single" w:sz="6" w:space="0" w:color="auto"/>
              <w:bottom w:val="single" w:sz="6" w:space="0" w:color="auto"/>
              <w:right w:val="single" w:sz="6" w:space="0" w:color="auto"/>
            </w:tcBorders>
          </w:tcPr>
          <w:p w14:paraId="144FD34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č.p.</w:t>
            </w:r>
          </w:p>
        </w:tc>
        <w:tc>
          <w:tcPr>
            <w:tcW w:w="1154" w:type="dxa"/>
            <w:tcBorders>
              <w:top w:val="single" w:sz="6" w:space="0" w:color="auto"/>
              <w:left w:val="single" w:sz="6" w:space="0" w:color="auto"/>
              <w:bottom w:val="single" w:sz="6" w:space="0" w:color="auto"/>
              <w:right w:val="single" w:sz="6" w:space="0" w:color="auto"/>
            </w:tcBorders>
          </w:tcPr>
          <w:p w14:paraId="5568468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MW</w:t>
            </w:r>
          </w:p>
        </w:tc>
        <w:tc>
          <w:tcPr>
            <w:tcW w:w="696" w:type="dxa"/>
            <w:tcBorders>
              <w:top w:val="single" w:sz="6" w:space="0" w:color="auto"/>
              <w:left w:val="single" w:sz="6" w:space="0" w:color="auto"/>
              <w:bottom w:val="single" w:sz="6" w:space="0" w:color="auto"/>
              <w:right w:val="single" w:sz="6" w:space="0" w:color="auto"/>
            </w:tcBorders>
          </w:tcPr>
          <w:p w14:paraId="1C672B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palivo</w:t>
            </w:r>
          </w:p>
        </w:tc>
        <w:tc>
          <w:tcPr>
            <w:tcW w:w="758" w:type="dxa"/>
            <w:tcBorders>
              <w:top w:val="single" w:sz="6" w:space="0" w:color="auto"/>
              <w:left w:val="single" w:sz="6" w:space="0" w:color="auto"/>
              <w:bottom w:val="single" w:sz="6" w:space="0" w:color="auto"/>
              <w:right w:val="single" w:sz="6" w:space="0" w:color="auto"/>
            </w:tcBorders>
          </w:tcPr>
          <w:p w14:paraId="3D09E6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mn.  paliva</w:t>
            </w:r>
          </w:p>
        </w:tc>
        <w:tc>
          <w:tcPr>
            <w:tcW w:w="600" w:type="dxa"/>
            <w:tcBorders>
              <w:top w:val="single" w:sz="6" w:space="0" w:color="auto"/>
              <w:left w:val="single" w:sz="6" w:space="0" w:color="auto"/>
              <w:bottom w:val="single" w:sz="6" w:space="0" w:color="auto"/>
              <w:right w:val="single" w:sz="6" w:space="0" w:color="auto"/>
            </w:tcBorders>
          </w:tcPr>
          <w:p w14:paraId="3FCEE9C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m.j.</w:t>
            </w:r>
          </w:p>
        </w:tc>
      </w:tr>
      <w:tr w:rsidR="00D42621" w:rsidRPr="00D42621" w14:paraId="6B48309F"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6EB730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w:t>
            </w:r>
          </w:p>
        </w:tc>
        <w:tc>
          <w:tcPr>
            <w:tcW w:w="1487" w:type="dxa"/>
            <w:tcBorders>
              <w:top w:val="single" w:sz="6" w:space="0" w:color="auto"/>
              <w:left w:val="single" w:sz="6" w:space="0" w:color="auto"/>
              <w:bottom w:val="single" w:sz="6" w:space="0" w:color="auto"/>
              <w:right w:val="single" w:sz="6" w:space="0" w:color="auto"/>
            </w:tcBorders>
          </w:tcPr>
          <w:p w14:paraId="04C4726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Grafiatisk</w:t>
            </w:r>
            <w:r w:rsidRPr="00D42621">
              <w:rPr>
                <w:rFonts w:ascii="Arial" w:hAnsi="Arial"/>
                <w:color w:val="000000"/>
                <w:sz w:val="16"/>
                <w:szCs w:val="16"/>
                <w:lang w:eastAsia="cs-CZ"/>
              </w:rPr>
              <w:t xml:space="preserve"> a.s.</w:t>
            </w:r>
          </w:p>
        </w:tc>
        <w:tc>
          <w:tcPr>
            <w:tcW w:w="1643" w:type="dxa"/>
            <w:tcBorders>
              <w:top w:val="single" w:sz="6" w:space="0" w:color="auto"/>
              <w:left w:val="single" w:sz="6" w:space="0" w:color="auto"/>
              <w:bottom w:val="single" w:sz="6" w:space="0" w:color="auto"/>
              <w:right w:val="single" w:sz="6" w:space="0" w:color="auto"/>
            </w:tcBorders>
          </w:tcPr>
          <w:p w14:paraId="7F65CC6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 Saská 60</w:t>
            </w:r>
          </w:p>
        </w:tc>
        <w:tc>
          <w:tcPr>
            <w:tcW w:w="917" w:type="dxa"/>
            <w:tcBorders>
              <w:top w:val="single" w:sz="6" w:space="0" w:color="auto"/>
              <w:left w:val="single" w:sz="6" w:space="0" w:color="auto"/>
              <w:bottom w:val="single" w:sz="6" w:space="0" w:color="auto"/>
              <w:right w:val="single" w:sz="6" w:space="0" w:color="auto"/>
            </w:tcBorders>
          </w:tcPr>
          <w:p w14:paraId="7F60913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Bělá</w:t>
            </w:r>
          </w:p>
        </w:tc>
        <w:tc>
          <w:tcPr>
            <w:tcW w:w="1315" w:type="dxa"/>
            <w:tcBorders>
              <w:top w:val="single" w:sz="6" w:space="0" w:color="auto"/>
              <w:left w:val="single" w:sz="6" w:space="0" w:color="auto"/>
              <w:bottom w:val="single" w:sz="6" w:space="0" w:color="auto"/>
              <w:right w:val="single" w:sz="6" w:space="0" w:color="auto"/>
            </w:tcBorders>
          </w:tcPr>
          <w:p w14:paraId="36AF011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Saská</w:t>
            </w:r>
          </w:p>
        </w:tc>
        <w:tc>
          <w:tcPr>
            <w:tcW w:w="522" w:type="dxa"/>
            <w:tcBorders>
              <w:top w:val="single" w:sz="6" w:space="0" w:color="auto"/>
              <w:left w:val="single" w:sz="6" w:space="0" w:color="auto"/>
              <w:bottom w:val="single" w:sz="6" w:space="0" w:color="auto"/>
              <w:right w:val="single" w:sz="6" w:space="0" w:color="auto"/>
            </w:tcBorders>
          </w:tcPr>
          <w:p w14:paraId="72CA4FD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60</w:t>
            </w:r>
          </w:p>
        </w:tc>
        <w:tc>
          <w:tcPr>
            <w:tcW w:w="1154" w:type="dxa"/>
            <w:tcBorders>
              <w:top w:val="single" w:sz="6" w:space="0" w:color="auto"/>
              <w:left w:val="single" w:sz="6" w:space="0" w:color="auto"/>
              <w:bottom w:val="single" w:sz="6" w:space="0" w:color="auto"/>
              <w:right w:val="single" w:sz="6" w:space="0" w:color="auto"/>
            </w:tcBorders>
          </w:tcPr>
          <w:p w14:paraId="5665953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0,1</w:t>
            </w:r>
          </w:p>
        </w:tc>
        <w:tc>
          <w:tcPr>
            <w:tcW w:w="696" w:type="dxa"/>
            <w:tcBorders>
              <w:top w:val="single" w:sz="6" w:space="0" w:color="auto"/>
              <w:left w:val="single" w:sz="6" w:space="0" w:color="auto"/>
              <w:bottom w:val="single" w:sz="6" w:space="0" w:color="auto"/>
              <w:right w:val="single" w:sz="6" w:space="0" w:color="auto"/>
            </w:tcBorders>
          </w:tcPr>
          <w:p w14:paraId="121A3C1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13811C46"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47,45</w:t>
            </w:r>
          </w:p>
        </w:tc>
        <w:tc>
          <w:tcPr>
            <w:tcW w:w="600" w:type="dxa"/>
            <w:tcBorders>
              <w:top w:val="single" w:sz="6" w:space="0" w:color="auto"/>
              <w:left w:val="single" w:sz="6" w:space="0" w:color="auto"/>
              <w:bottom w:val="single" w:sz="6" w:space="0" w:color="auto"/>
              <w:right w:val="single" w:sz="6" w:space="0" w:color="auto"/>
            </w:tcBorders>
          </w:tcPr>
          <w:p w14:paraId="5B2666F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63BC1B6B"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B7E346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w:t>
            </w:r>
          </w:p>
        </w:tc>
        <w:tc>
          <w:tcPr>
            <w:tcW w:w="1487" w:type="dxa"/>
            <w:tcBorders>
              <w:top w:val="single" w:sz="6" w:space="0" w:color="auto"/>
              <w:left w:val="single" w:sz="6" w:space="0" w:color="auto"/>
              <w:bottom w:val="single" w:sz="6" w:space="0" w:color="auto"/>
              <w:right w:val="single" w:sz="6" w:space="0" w:color="auto"/>
            </w:tcBorders>
          </w:tcPr>
          <w:p w14:paraId="43AC476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UNI PRAKTIK s.r.o.</w:t>
            </w:r>
          </w:p>
        </w:tc>
        <w:tc>
          <w:tcPr>
            <w:tcW w:w="1643" w:type="dxa"/>
            <w:tcBorders>
              <w:top w:val="single" w:sz="6" w:space="0" w:color="auto"/>
              <w:left w:val="single" w:sz="6" w:space="0" w:color="auto"/>
              <w:bottom w:val="single" w:sz="6" w:space="0" w:color="auto"/>
              <w:right w:val="single" w:sz="6" w:space="0" w:color="auto"/>
            </w:tcBorders>
          </w:tcPr>
          <w:p w14:paraId="433B1B6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4D97C72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Boletice</w:t>
            </w:r>
          </w:p>
        </w:tc>
        <w:tc>
          <w:tcPr>
            <w:tcW w:w="1315" w:type="dxa"/>
            <w:tcBorders>
              <w:top w:val="single" w:sz="6" w:space="0" w:color="auto"/>
              <w:left w:val="single" w:sz="6" w:space="0" w:color="auto"/>
              <w:bottom w:val="single" w:sz="6" w:space="0" w:color="auto"/>
              <w:right w:val="single" w:sz="6" w:space="0" w:color="auto"/>
            </w:tcBorders>
          </w:tcPr>
          <w:p w14:paraId="52BF7FC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K.H.Borovského</w:t>
            </w:r>
          </w:p>
        </w:tc>
        <w:tc>
          <w:tcPr>
            <w:tcW w:w="522" w:type="dxa"/>
            <w:tcBorders>
              <w:top w:val="single" w:sz="6" w:space="0" w:color="auto"/>
              <w:left w:val="single" w:sz="6" w:space="0" w:color="auto"/>
              <w:bottom w:val="single" w:sz="6" w:space="0" w:color="auto"/>
              <w:right w:val="single" w:sz="6" w:space="0" w:color="auto"/>
            </w:tcBorders>
          </w:tcPr>
          <w:p w14:paraId="1796BF8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330</w:t>
            </w:r>
          </w:p>
        </w:tc>
        <w:tc>
          <w:tcPr>
            <w:tcW w:w="1154" w:type="dxa"/>
            <w:tcBorders>
              <w:top w:val="single" w:sz="6" w:space="0" w:color="auto"/>
              <w:left w:val="single" w:sz="6" w:space="0" w:color="auto"/>
              <w:bottom w:val="single" w:sz="6" w:space="0" w:color="auto"/>
              <w:right w:val="single" w:sz="6" w:space="0" w:color="auto"/>
            </w:tcBorders>
          </w:tcPr>
          <w:p w14:paraId="0D3D7E2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1,56</w:t>
            </w:r>
          </w:p>
        </w:tc>
        <w:tc>
          <w:tcPr>
            <w:tcW w:w="696" w:type="dxa"/>
            <w:tcBorders>
              <w:top w:val="single" w:sz="6" w:space="0" w:color="auto"/>
              <w:left w:val="single" w:sz="6" w:space="0" w:color="auto"/>
              <w:bottom w:val="single" w:sz="6" w:space="0" w:color="auto"/>
              <w:right w:val="single" w:sz="6" w:space="0" w:color="auto"/>
            </w:tcBorders>
          </w:tcPr>
          <w:p w14:paraId="0B1D39D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7B3FE1BC"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454</w:t>
            </w:r>
          </w:p>
        </w:tc>
        <w:tc>
          <w:tcPr>
            <w:tcW w:w="600" w:type="dxa"/>
            <w:tcBorders>
              <w:top w:val="single" w:sz="6" w:space="0" w:color="auto"/>
              <w:left w:val="single" w:sz="6" w:space="0" w:color="auto"/>
              <w:bottom w:val="single" w:sz="6" w:space="0" w:color="auto"/>
              <w:right w:val="single" w:sz="6" w:space="0" w:color="auto"/>
            </w:tcBorders>
          </w:tcPr>
          <w:p w14:paraId="5CC3EF3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76D9FB80"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274B1E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w:t>
            </w:r>
          </w:p>
        </w:tc>
        <w:tc>
          <w:tcPr>
            <w:tcW w:w="1487" w:type="dxa"/>
            <w:tcBorders>
              <w:top w:val="single" w:sz="6" w:space="0" w:color="auto"/>
              <w:left w:val="single" w:sz="6" w:space="0" w:color="auto"/>
              <w:bottom w:val="single" w:sz="6" w:space="0" w:color="auto"/>
              <w:right w:val="single" w:sz="6" w:space="0" w:color="auto"/>
            </w:tcBorders>
          </w:tcPr>
          <w:p w14:paraId="11DB046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UNI PRAKTIK s.r.o.</w:t>
            </w:r>
          </w:p>
        </w:tc>
        <w:tc>
          <w:tcPr>
            <w:tcW w:w="1643" w:type="dxa"/>
            <w:tcBorders>
              <w:top w:val="single" w:sz="6" w:space="0" w:color="auto"/>
              <w:left w:val="single" w:sz="6" w:space="0" w:color="auto"/>
              <w:bottom w:val="single" w:sz="6" w:space="0" w:color="auto"/>
              <w:right w:val="single" w:sz="6" w:space="0" w:color="auto"/>
            </w:tcBorders>
          </w:tcPr>
          <w:p w14:paraId="1A44B07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5831D4C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Boletice</w:t>
            </w:r>
          </w:p>
        </w:tc>
        <w:tc>
          <w:tcPr>
            <w:tcW w:w="1315" w:type="dxa"/>
            <w:tcBorders>
              <w:top w:val="single" w:sz="6" w:space="0" w:color="auto"/>
              <w:left w:val="single" w:sz="6" w:space="0" w:color="auto"/>
              <w:bottom w:val="single" w:sz="6" w:space="0" w:color="auto"/>
              <w:right w:val="single" w:sz="6" w:space="0" w:color="auto"/>
            </w:tcBorders>
          </w:tcPr>
          <w:p w14:paraId="0ABC246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K.H.Borovského</w:t>
            </w:r>
          </w:p>
        </w:tc>
        <w:tc>
          <w:tcPr>
            <w:tcW w:w="522" w:type="dxa"/>
            <w:tcBorders>
              <w:top w:val="single" w:sz="6" w:space="0" w:color="auto"/>
              <w:left w:val="single" w:sz="6" w:space="0" w:color="auto"/>
              <w:bottom w:val="single" w:sz="6" w:space="0" w:color="auto"/>
              <w:right w:val="single" w:sz="6" w:space="0" w:color="auto"/>
            </w:tcBorders>
          </w:tcPr>
          <w:p w14:paraId="6ECCEB3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330</w:t>
            </w:r>
          </w:p>
        </w:tc>
        <w:tc>
          <w:tcPr>
            <w:tcW w:w="1154" w:type="dxa"/>
            <w:tcBorders>
              <w:top w:val="single" w:sz="6" w:space="0" w:color="auto"/>
              <w:left w:val="single" w:sz="6" w:space="0" w:color="auto"/>
              <w:bottom w:val="single" w:sz="6" w:space="0" w:color="auto"/>
              <w:right w:val="single" w:sz="6" w:space="0" w:color="auto"/>
            </w:tcBorders>
          </w:tcPr>
          <w:p w14:paraId="4668837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1,56</w:t>
            </w:r>
          </w:p>
        </w:tc>
        <w:tc>
          <w:tcPr>
            <w:tcW w:w="696" w:type="dxa"/>
            <w:tcBorders>
              <w:top w:val="single" w:sz="6" w:space="0" w:color="auto"/>
              <w:left w:val="single" w:sz="6" w:space="0" w:color="auto"/>
              <w:bottom w:val="single" w:sz="6" w:space="0" w:color="auto"/>
              <w:right w:val="single" w:sz="6" w:space="0" w:color="auto"/>
            </w:tcBorders>
          </w:tcPr>
          <w:p w14:paraId="3288F21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KOKS</w:t>
            </w:r>
          </w:p>
        </w:tc>
        <w:tc>
          <w:tcPr>
            <w:tcW w:w="758" w:type="dxa"/>
            <w:tcBorders>
              <w:top w:val="single" w:sz="6" w:space="0" w:color="auto"/>
              <w:left w:val="single" w:sz="6" w:space="0" w:color="auto"/>
              <w:bottom w:val="single" w:sz="6" w:space="0" w:color="auto"/>
              <w:right w:val="single" w:sz="6" w:space="0" w:color="auto"/>
            </w:tcBorders>
          </w:tcPr>
          <w:p w14:paraId="4ABCC947"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50</w:t>
            </w:r>
          </w:p>
        </w:tc>
        <w:tc>
          <w:tcPr>
            <w:tcW w:w="600" w:type="dxa"/>
            <w:tcBorders>
              <w:top w:val="single" w:sz="6" w:space="0" w:color="auto"/>
              <w:left w:val="single" w:sz="6" w:space="0" w:color="auto"/>
              <w:bottom w:val="single" w:sz="6" w:space="0" w:color="auto"/>
              <w:right w:val="single" w:sz="6" w:space="0" w:color="auto"/>
            </w:tcBorders>
          </w:tcPr>
          <w:p w14:paraId="47828FF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6A16CE14"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2392589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w:t>
            </w:r>
          </w:p>
        </w:tc>
        <w:tc>
          <w:tcPr>
            <w:tcW w:w="1487" w:type="dxa"/>
            <w:tcBorders>
              <w:top w:val="single" w:sz="6" w:space="0" w:color="auto"/>
              <w:left w:val="single" w:sz="6" w:space="0" w:color="auto"/>
              <w:bottom w:val="single" w:sz="6" w:space="0" w:color="auto"/>
              <w:right w:val="single" w:sz="6" w:space="0" w:color="auto"/>
            </w:tcBorders>
          </w:tcPr>
          <w:p w14:paraId="405E1CE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Střední zahr.škola</w:t>
            </w:r>
          </w:p>
        </w:tc>
        <w:tc>
          <w:tcPr>
            <w:tcW w:w="1643" w:type="dxa"/>
            <w:tcBorders>
              <w:top w:val="single" w:sz="6" w:space="0" w:color="auto"/>
              <w:left w:val="single" w:sz="6" w:space="0" w:color="auto"/>
              <w:bottom w:val="single" w:sz="6" w:space="0" w:color="auto"/>
              <w:right w:val="single" w:sz="6" w:space="0" w:color="auto"/>
            </w:tcBorders>
          </w:tcPr>
          <w:p w14:paraId="7588C28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SZŠ Libverda</w:t>
            </w:r>
          </w:p>
        </w:tc>
        <w:tc>
          <w:tcPr>
            <w:tcW w:w="917" w:type="dxa"/>
            <w:tcBorders>
              <w:top w:val="single" w:sz="6" w:space="0" w:color="auto"/>
              <w:left w:val="single" w:sz="6" w:space="0" w:color="auto"/>
              <w:bottom w:val="single" w:sz="6" w:space="0" w:color="auto"/>
              <w:right w:val="single" w:sz="6" w:space="0" w:color="auto"/>
            </w:tcBorders>
          </w:tcPr>
          <w:p w14:paraId="1A9ACC3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Březiny</w:t>
            </w:r>
          </w:p>
        </w:tc>
        <w:tc>
          <w:tcPr>
            <w:tcW w:w="1315" w:type="dxa"/>
            <w:tcBorders>
              <w:top w:val="single" w:sz="6" w:space="0" w:color="auto"/>
              <w:left w:val="single" w:sz="6" w:space="0" w:color="auto"/>
              <w:bottom w:val="single" w:sz="6" w:space="0" w:color="auto"/>
              <w:right w:val="single" w:sz="6" w:space="0" w:color="auto"/>
            </w:tcBorders>
          </w:tcPr>
          <w:p w14:paraId="3F9955D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Českolipská</w:t>
            </w:r>
          </w:p>
        </w:tc>
        <w:tc>
          <w:tcPr>
            <w:tcW w:w="522" w:type="dxa"/>
            <w:tcBorders>
              <w:top w:val="single" w:sz="6" w:space="0" w:color="auto"/>
              <w:left w:val="single" w:sz="6" w:space="0" w:color="auto"/>
              <w:bottom w:val="single" w:sz="6" w:space="0" w:color="auto"/>
              <w:right w:val="single" w:sz="6" w:space="0" w:color="auto"/>
            </w:tcBorders>
          </w:tcPr>
          <w:p w14:paraId="787ED63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123</w:t>
            </w:r>
          </w:p>
        </w:tc>
        <w:tc>
          <w:tcPr>
            <w:tcW w:w="1154" w:type="dxa"/>
            <w:tcBorders>
              <w:top w:val="single" w:sz="6" w:space="0" w:color="auto"/>
              <w:left w:val="single" w:sz="6" w:space="0" w:color="auto"/>
              <w:bottom w:val="single" w:sz="6" w:space="0" w:color="auto"/>
              <w:right w:val="single" w:sz="6" w:space="0" w:color="auto"/>
            </w:tcBorders>
          </w:tcPr>
          <w:p w14:paraId="34EE111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0,26</w:t>
            </w:r>
          </w:p>
        </w:tc>
        <w:tc>
          <w:tcPr>
            <w:tcW w:w="696" w:type="dxa"/>
            <w:tcBorders>
              <w:top w:val="single" w:sz="6" w:space="0" w:color="auto"/>
              <w:left w:val="single" w:sz="6" w:space="0" w:color="auto"/>
              <w:bottom w:val="single" w:sz="6" w:space="0" w:color="auto"/>
              <w:right w:val="single" w:sz="6" w:space="0" w:color="auto"/>
            </w:tcBorders>
          </w:tcPr>
          <w:p w14:paraId="2C138A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04C1EC8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156,54</w:t>
            </w:r>
          </w:p>
        </w:tc>
        <w:tc>
          <w:tcPr>
            <w:tcW w:w="600" w:type="dxa"/>
            <w:tcBorders>
              <w:top w:val="single" w:sz="6" w:space="0" w:color="auto"/>
              <w:left w:val="single" w:sz="6" w:space="0" w:color="auto"/>
              <w:bottom w:val="single" w:sz="6" w:space="0" w:color="auto"/>
              <w:right w:val="single" w:sz="6" w:space="0" w:color="auto"/>
            </w:tcBorders>
          </w:tcPr>
          <w:p w14:paraId="1E9C37D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3CA14615"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07ECBE1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w:t>
            </w:r>
          </w:p>
        </w:tc>
        <w:tc>
          <w:tcPr>
            <w:tcW w:w="1487" w:type="dxa"/>
            <w:tcBorders>
              <w:top w:val="single" w:sz="6" w:space="0" w:color="auto"/>
              <w:left w:val="single" w:sz="6" w:space="0" w:color="auto"/>
              <w:bottom w:val="single" w:sz="6" w:space="0" w:color="auto"/>
              <w:right w:val="single" w:sz="6" w:space="0" w:color="auto"/>
            </w:tcBorders>
          </w:tcPr>
          <w:p w14:paraId="2045569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Školský úřad</w:t>
            </w:r>
          </w:p>
        </w:tc>
        <w:tc>
          <w:tcPr>
            <w:tcW w:w="1643" w:type="dxa"/>
            <w:tcBorders>
              <w:top w:val="single" w:sz="6" w:space="0" w:color="auto"/>
              <w:left w:val="single" w:sz="6" w:space="0" w:color="auto"/>
              <w:bottom w:val="single" w:sz="6" w:space="0" w:color="auto"/>
              <w:right w:val="single" w:sz="6" w:space="0" w:color="auto"/>
            </w:tcBorders>
          </w:tcPr>
          <w:p w14:paraId="1F18B23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SMT Děčín  Březiny</w:t>
            </w:r>
          </w:p>
        </w:tc>
        <w:tc>
          <w:tcPr>
            <w:tcW w:w="917" w:type="dxa"/>
            <w:tcBorders>
              <w:top w:val="single" w:sz="6" w:space="0" w:color="auto"/>
              <w:left w:val="single" w:sz="6" w:space="0" w:color="auto"/>
              <w:bottom w:val="single" w:sz="6" w:space="0" w:color="auto"/>
              <w:right w:val="single" w:sz="6" w:space="0" w:color="auto"/>
            </w:tcBorders>
          </w:tcPr>
          <w:p w14:paraId="117967A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Březiny</w:t>
            </w:r>
          </w:p>
        </w:tc>
        <w:tc>
          <w:tcPr>
            <w:tcW w:w="1315" w:type="dxa"/>
            <w:tcBorders>
              <w:top w:val="single" w:sz="6" w:space="0" w:color="auto"/>
              <w:left w:val="single" w:sz="6" w:space="0" w:color="auto"/>
              <w:bottom w:val="single" w:sz="6" w:space="0" w:color="auto"/>
              <w:right w:val="single" w:sz="6" w:space="0" w:color="auto"/>
            </w:tcBorders>
          </w:tcPr>
          <w:p w14:paraId="798B6289"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522" w:type="dxa"/>
            <w:tcBorders>
              <w:top w:val="single" w:sz="6" w:space="0" w:color="auto"/>
              <w:left w:val="single" w:sz="6" w:space="0" w:color="auto"/>
              <w:bottom w:val="single" w:sz="6" w:space="0" w:color="auto"/>
              <w:right w:val="single" w:sz="6" w:space="0" w:color="auto"/>
            </w:tcBorders>
          </w:tcPr>
          <w:p w14:paraId="73502A49"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154" w:type="dxa"/>
            <w:tcBorders>
              <w:top w:val="single" w:sz="6" w:space="0" w:color="auto"/>
              <w:left w:val="single" w:sz="6" w:space="0" w:color="auto"/>
              <w:bottom w:val="single" w:sz="6" w:space="0" w:color="auto"/>
              <w:right w:val="single" w:sz="6" w:space="0" w:color="auto"/>
            </w:tcBorders>
          </w:tcPr>
          <w:p w14:paraId="657330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0,25</w:t>
            </w:r>
          </w:p>
        </w:tc>
        <w:tc>
          <w:tcPr>
            <w:tcW w:w="696" w:type="dxa"/>
            <w:tcBorders>
              <w:top w:val="single" w:sz="6" w:space="0" w:color="auto"/>
              <w:left w:val="single" w:sz="6" w:space="0" w:color="auto"/>
              <w:bottom w:val="single" w:sz="6" w:space="0" w:color="auto"/>
              <w:right w:val="single" w:sz="6" w:space="0" w:color="auto"/>
            </w:tcBorders>
          </w:tcPr>
          <w:p w14:paraId="0F28B81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KOKS</w:t>
            </w:r>
          </w:p>
        </w:tc>
        <w:tc>
          <w:tcPr>
            <w:tcW w:w="758" w:type="dxa"/>
            <w:tcBorders>
              <w:top w:val="single" w:sz="6" w:space="0" w:color="auto"/>
              <w:left w:val="single" w:sz="6" w:space="0" w:color="auto"/>
              <w:bottom w:val="single" w:sz="6" w:space="0" w:color="auto"/>
              <w:right w:val="single" w:sz="6" w:space="0" w:color="auto"/>
            </w:tcBorders>
          </w:tcPr>
          <w:p w14:paraId="2829E7A0"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78,27</w:t>
            </w:r>
          </w:p>
        </w:tc>
        <w:tc>
          <w:tcPr>
            <w:tcW w:w="600" w:type="dxa"/>
            <w:tcBorders>
              <w:top w:val="single" w:sz="6" w:space="0" w:color="auto"/>
              <w:left w:val="single" w:sz="6" w:space="0" w:color="auto"/>
              <w:bottom w:val="single" w:sz="6" w:space="0" w:color="auto"/>
              <w:right w:val="single" w:sz="6" w:space="0" w:color="auto"/>
            </w:tcBorders>
          </w:tcPr>
          <w:p w14:paraId="6AA7A63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0CFE83F5" w14:textId="77777777" w:rsidTr="002D2D45">
        <w:trPr>
          <w:trHeight w:val="242"/>
        </w:trPr>
        <w:tc>
          <w:tcPr>
            <w:tcW w:w="329" w:type="dxa"/>
            <w:tcBorders>
              <w:top w:val="single" w:sz="6" w:space="0" w:color="auto"/>
              <w:left w:val="single" w:sz="6" w:space="0" w:color="auto"/>
              <w:bottom w:val="single" w:sz="6" w:space="0" w:color="auto"/>
              <w:right w:val="single" w:sz="6" w:space="0" w:color="auto"/>
            </w:tcBorders>
          </w:tcPr>
          <w:p w14:paraId="120A57E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w:t>
            </w:r>
          </w:p>
        </w:tc>
        <w:tc>
          <w:tcPr>
            <w:tcW w:w="1487" w:type="dxa"/>
            <w:tcBorders>
              <w:top w:val="single" w:sz="6" w:space="0" w:color="auto"/>
              <w:left w:val="single" w:sz="6" w:space="0" w:color="auto"/>
              <w:bottom w:val="single" w:sz="6" w:space="0" w:color="auto"/>
              <w:right w:val="single" w:sz="6" w:space="0" w:color="auto"/>
            </w:tcBorders>
          </w:tcPr>
          <w:p w14:paraId="31DA8B8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BONKAR s.r.o.</w:t>
            </w:r>
          </w:p>
        </w:tc>
        <w:tc>
          <w:tcPr>
            <w:tcW w:w="1643" w:type="dxa"/>
            <w:tcBorders>
              <w:top w:val="single" w:sz="6" w:space="0" w:color="auto"/>
              <w:left w:val="single" w:sz="6" w:space="0" w:color="auto"/>
              <w:bottom w:val="single" w:sz="6" w:space="0" w:color="auto"/>
              <w:right w:val="single" w:sz="6" w:space="0" w:color="auto"/>
            </w:tcBorders>
          </w:tcPr>
          <w:p w14:paraId="2826F79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Březiny</w:t>
            </w:r>
          </w:p>
        </w:tc>
        <w:tc>
          <w:tcPr>
            <w:tcW w:w="917" w:type="dxa"/>
            <w:tcBorders>
              <w:top w:val="single" w:sz="6" w:space="0" w:color="auto"/>
              <w:left w:val="single" w:sz="6" w:space="0" w:color="auto"/>
              <w:bottom w:val="single" w:sz="6" w:space="0" w:color="auto"/>
              <w:right w:val="single" w:sz="6" w:space="0" w:color="auto"/>
            </w:tcBorders>
          </w:tcPr>
          <w:p w14:paraId="79F4E48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Březiny</w:t>
            </w:r>
          </w:p>
        </w:tc>
        <w:tc>
          <w:tcPr>
            <w:tcW w:w="1315" w:type="dxa"/>
            <w:tcBorders>
              <w:top w:val="single" w:sz="6" w:space="0" w:color="auto"/>
              <w:left w:val="single" w:sz="6" w:space="0" w:color="auto"/>
              <w:bottom w:val="single" w:sz="6" w:space="0" w:color="auto"/>
              <w:right w:val="single" w:sz="6" w:space="0" w:color="auto"/>
            </w:tcBorders>
          </w:tcPr>
          <w:p w14:paraId="42F0AB65"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522" w:type="dxa"/>
            <w:tcBorders>
              <w:top w:val="single" w:sz="6" w:space="0" w:color="auto"/>
              <w:left w:val="single" w:sz="6" w:space="0" w:color="auto"/>
              <w:bottom w:val="single" w:sz="6" w:space="0" w:color="auto"/>
              <w:right w:val="single" w:sz="6" w:space="0" w:color="auto"/>
            </w:tcBorders>
          </w:tcPr>
          <w:p w14:paraId="25EC281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58</w:t>
            </w:r>
          </w:p>
        </w:tc>
        <w:tc>
          <w:tcPr>
            <w:tcW w:w="1154" w:type="dxa"/>
            <w:tcBorders>
              <w:top w:val="single" w:sz="6" w:space="0" w:color="auto"/>
              <w:left w:val="single" w:sz="6" w:space="0" w:color="auto"/>
              <w:bottom w:val="single" w:sz="6" w:space="0" w:color="auto"/>
              <w:right w:val="single" w:sz="6" w:space="0" w:color="auto"/>
            </w:tcBorders>
          </w:tcPr>
          <w:p w14:paraId="6FCBEC5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0,17</w:t>
            </w:r>
          </w:p>
        </w:tc>
        <w:tc>
          <w:tcPr>
            <w:tcW w:w="696" w:type="dxa"/>
            <w:tcBorders>
              <w:top w:val="single" w:sz="6" w:space="0" w:color="auto"/>
              <w:left w:val="single" w:sz="6" w:space="0" w:color="auto"/>
              <w:bottom w:val="single" w:sz="6" w:space="0" w:color="auto"/>
              <w:right w:val="single" w:sz="6" w:space="0" w:color="auto"/>
            </w:tcBorders>
          </w:tcPr>
          <w:p w14:paraId="7D37104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4478A765"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310,4</w:t>
            </w:r>
          </w:p>
        </w:tc>
        <w:tc>
          <w:tcPr>
            <w:tcW w:w="600" w:type="dxa"/>
            <w:tcBorders>
              <w:top w:val="single" w:sz="6" w:space="0" w:color="auto"/>
              <w:left w:val="single" w:sz="6" w:space="0" w:color="auto"/>
              <w:bottom w:val="single" w:sz="6" w:space="0" w:color="auto"/>
              <w:right w:val="single" w:sz="6" w:space="0" w:color="auto"/>
            </w:tcBorders>
          </w:tcPr>
          <w:p w14:paraId="63BAB6A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2E041C32"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1B190C9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w:t>
            </w:r>
          </w:p>
        </w:tc>
        <w:tc>
          <w:tcPr>
            <w:tcW w:w="1487" w:type="dxa"/>
            <w:tcBorders>
              <w:top w:val="single" w:sz="6" w:space="0" w:color="auto"/>
              <w:left w:val="single" w:sz="6" w:space="0" w:color="auto"/>
              <w:bottom w:val="single" w:sz="6" w:space="0" w:color="auto"/>
              <w:right w:val="single" w:sz="6" w:space="0" w:color="auto"/>
            </w:tcBorders>
          </w:tcPr>
          <w:p w14:paraId="2B040A3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Gymnázium Děčín</w:t>
            </w:r>
          </w:p>
        </w:tc>
        <w:tc>
          <w:tcPr>
            <w:tcW w:w="1643" w:type="dxa"/>
            <w:tcBorders>
              <w:top w:val="single" w:sz="6" w:space="0" w:color="auto"/>
              <w:left w:val="single" w:sz="6" w:space="0" w:color="auto"/>
              <w:bottom w:val="single" w:sz="6" w:space="0" w:color="auto"/>
              <w:right w:val="single" w:sz="6" w:space="0" w:color="auto"/>
            </w:tcBorders>
          </w:tcPr>
          <w:p w14:paraId="5508BD4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4B51B90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193383B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Komenského nám.</w:t>
            </w:r>
          </w:p>
        </w:tc>
        <w:tc>
          <w:tcPr>
            <w:tcW w:w="522" w:type="dxa"/>
            <w:tcBorders>
              <w:top w:val="single" w:sz="6" w:space="0" w:color="auto"/>
              <w:left w:val="single" w:sz="6" w:space="0" w:color="auto"/>
              <w:bottom w:val="single" w:sz="6" w:space="0" w:color="auto"/>
              <w:right w:val="single" w:sz="6" w:space="0" w:color="auto"/>
            </w:tcBorders>
          </w:tcPr>
          <w:p w14:paraId="6851560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w:t>
            </w:r>
          </w:p>
        </w:tc>
        <w:tc>
          <w:tcPr>
            <w:tcW w:w="1154" w:type="dxa"/>
            <w:tcBorders>
              <w:top w:val="single" w:sz="6" w:space="0" w:color="auto"/>
              <w:left w:val="single" w:sz="6" w:space="0" w:color="auto"/>
              <w:bottom w:val="single" w:sz="6" w:space="0" w:color="auto"/>
              <w:right w:val="single" w:sz="6" w:space="0" w:color="auto"/>
            </w:tcBorders>
          </w:tcPr>
          <w:p w14:paraId="135E341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0,4</w:t>
            </w:r>
          </w:p>
        </w:tc>
        <w:tc>
          <w:tcPr>
            <w:tcW w:w="696" w:type="dxa"/>
            <w:tcBorders>
              <w:top w:val="single" w:sz="6" w:space="0" w:color="auto"/>
              <w:left w:val="single" w:sz="6" w:space="0" w:color="auto"/>
              <w:bottom w:val="single" w:sz="6" w:space="0" w:color="auto"/>
              <w:right w:val="single" w:sz="6" w:space="0" w:color="auto"/>
            </w:tcBorders>
          </w:tcPr>
          <w:p w14:paraId="20023A1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107C54D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50,85</w:t>
            </w:r>
          </w:p>
        </w:tc>
        <w:tc>
          <w:tcPr>
            <w:tcW w:w="600" w:type="dxa"/>
            <w:tcBorders>
              <w:top w:val="single" w:sz="6" w:space="0" w:color="auto"/>
              <w:left w:val="single" w:sz="6" w:space="0" w:color="auto"/>
              <w:bottom w:val="single" w:sz="6" w:space="0" w:color="auto"/>
              <w:right w:val="single" w:sz="6" w:space="0" w:color="auto"/>
            </w:tcBorders>
          </w:tcPr>
          <w:p w14:paraId="0CD04C1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6302A125"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6EBA7E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7</w:t>
            </w:r>
          </w:p>
        </w:tc>
        <w:tc>
          <w:tcPr>
            <w:tcW w:w="1487" w:type="dxa"/>
            <w:tcBorders>
              <w:top w:val="single" w:sz="6" w:space="0" w:color="auto"/>
              <w:left w:val="single" w:sz="6" w:space="0" w:color="auto"/>
              <w:bottom w:val="single" w:sz="6" w:space="0" w:color="auto"/>
              <w:right w:val="single" w:sz="6" w:space="0" w:color="auto"/>
            </w:tcBorders>
          </w:tcPr>
          <w:p w14:paraId="0383D64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Okresní soud  Děčíně</w:t>
            </w:r>
          </w:p>
        </w:tc>
        <w:tc>
          <w:tcPr>
            <w:tcW w:w="1643" w:type="dxa"/>
            <w:tcBorders>
              <w:top w:val="single" w:sz="6" w:space="0" w:color="auto"/>
              <w:left w:val="single" w:sz="6" w:space="0" w:color="auto"/>
              <w:bottom w:val="single" w:sz="6" w:space="0" w:color="auto"/>
              <w:right w:val="single" w:sz="6" w:space="0" w:color="auto"/>
            </w:tcBorders>
          </w:tcPr>
          <w:p w14:paraId="73BF415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0B3BB77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0CFA6E6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Masarykovo nám.</w:t>
            </w:r>
          </w:p>
        </w:tc>
        <w:tc>
          <w:tcPr>
            <w:tcW w:w="522" w:type="dxa"/>
            <w:tcBorders>
              <w:top w:val="single" w:sz="6" w:space="0" w:color="auto"/>
              <w:left w:val="single" w:sz="6" w:space="0" w:color="auto"/>
              <w:bottom w:val="single" w:sz="6" w:space="0" w:color="auto"/>
              <w:right w:val="single" w:sz="6" w:space="0" w:color="auto"/>
            </w:tcBorders>
          </w:tcPr>
          <w:p w14:paraId="7E6A50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w:t>
            </w:r>
          </w:p>
        </w:tc>
        <w:tc>
          <w:tcPr>
            <w:tcW w:w="1154" w:type="dxa"/>
            <w:tcBorders>
              <w:top w:val="single" w:sz="6" w:space="0" w:color="auto"/>
              <w:left w:val="single" w:sz="6" w:space="0" w:color="auto"/>
              <w:bottom w:val="single" w:sz="6" w:space="0" w:color="auto"/>
              <w:right w:val="single" w:sz="6" w:space="0" w:color="auto"/>
            </w:tcBorders>
          </w:tcPr>
          <w:p w14:paraId="4F961B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0,58</w:t>
            </w:r>
          </w:p>
        </w:tc>
        <w:tc>
          <w:tcPr>
            <w:tcW w:w="696" w:type="dxa"/>
            <w:tcBorders>
              <w:top w:val="single" w:sz="6" w:space="0" w:color="auto"/>
              <w:left w:val="single" w:sz="6" w:space="0" w:color="auto"/>
              <w:bottom w:val="single" w:sz="6" w:space="0" w:color="auto"/>
              <w:right w:val="single" w:sz="6" w:space="0" w:color="auto"/>
            </w:tcBorders>
          </w:tcPr>
          <w:p w14:paraId="4CA1D6F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77C005C9"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38,67</w:t>
            </w:r>
          </w:p>
        </w:tc>
        <w:tc>
          <w:tcPr>
            <w:tcW w:w="600" w:type="dxa"/>
            <w:tcBorders>
              <w:top w:val="single" w:sz="6" w:space="0" w:color="auto"/>
              <w:left w:val="single" w:sz="6" w:space="0" w:color="auto"/>
              <w:bottom w:val="single" w:sz="6" w:space="0" w:color="auto"/>
              <w:right w:val="single" w:sz="6" w:space="0" w:color="auto"/>
            </w:tcBorders>
          </w:tcPr>
          <w:p w14:paraId="1CAAE43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3A77A537"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76ECEFF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8</w:t>
            </w:r>
          </w:p>
        </w:tc>
        <w:tc>
          <w:tcPr>
            <w:tcW w:w="1487" w:type="dxa"/>
            <w:tcBorders>
              <w:top w:val="single" w:sz="6" w:space="0" w:color="auto"/>
              <w:left w:val="single" w:sz="6" w:space="0" w:color="auto"/>
              <w:bottom w:val="single" w:sz="6" w:space="0" w:color="auto"/>
              <w:right w:val="single" w:sz="6" w:space="0" w:color="auto"/>
            </w:tcBorders>
          </w:tcPr>
          <w:p w14:paraId="7ABFBE2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Pramet Děčín a.s.</w:t>
            </w:r>
          </w:p>
        </w:tc>
        <w:tc>
          <w:tcPr>
            <w:tcW w:w="1643" w:type="dxa"/>
            <w:tcBorders>
              <w:top w:val="single" w:sz="6" w:space="0" w:color="auto"/>
              <w:left w:val="single" w:sz="6" w:space="0" w:color="auto"/>
              <w:bottom w:val="single" w:sz="6" w:space="0" w:color="auto"/>
              <w:right w:val="single" w:sz="6" w:space="0" w:color="auto"/>
            </w:tcBorders>
          </w:tcPr>
          <w:p w14:paraId="28EF117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parní kotelna</w:t>
            </w:r>
          </w:p>
        </w:tc>
        <w:tc>
          <w:tcPr>
            <w:tcW w:w="917" w:type="dxa"/>
            <w:tcBorders>
              <w:top w:val="single" w:sz="6" w:space="0" w:color="auto"/>
              <w:left w:val="single" w:sz="6" w:space="0" w:color="auto"/>
              <w:bottom w:val="single" w:sz="6" w:space="0" w:color="auto"/>
              <w:right w:val="single" w:sz="6" w:space="0" w:color="auto"/>
            </w:tcBorders>
          </w:tcPr>
          <w:p w14:paraId="767E1C0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5F0741C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Krokova</w:t>
            </w:r>
          </w:p>
        </w:tc>
        <w:tc>
          <w:tcPr>
            <w:tcW w:w="522" w:type="dxa"/>
            <w:tcBorders>
              <w:top w:val="single" w:sz="6" w:space="0" w:color="auto"/>
              <w:left w:val="single" w:sz="6" w:space="0" w:color="auto"/>
              <w:bottom w:val="single" w:sz="6" w:space="0" w:color="auto"/>
              <w:right w:val="single" w:sz="6" w:space="0" w:color="auto"/>
            </w:tcBorders>
          </w:tcPr>
          <w:p w14:paraId="3472DFA2"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154" w:type="dxa"/>
            <w:tcBorders>
              <w:top w:val="single" w:sz="6" w:space="0" w:color="auto"/>
              <w:left w:val="single" w:sz="6" w:space="0" w:color="auto"/>
              <w:bottom w:val="single" w:sz="6" w:space="0" w:color="auto"/>
              <w:right w:val="single" w:sz="6" w:space="0" w:color="auto"/>
            </w:tcBorders>
          </w:tcPr>
          <w:p w14:paraId="35FA251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1,86</w:t>
            </w:r>
          </w:p>
        </w:tc>
        <w:tc>
          <w:tcPr>
            <w:tcW w:w="696" w:type="dxa"/>
            <w:tcBorders>
              <w:top w:val="single" w:sz="6" w:space="0" w:color="auto"/>
              <w:left w:val="single" w:sz="6" w:space="0" w:color="auto"/>
              <w:bottom w:val="single" w:sz="6" w:space="0" w:color="auto"/>
              <w:right w:val="single" w:sz="6" w:space="0" w:color="auto"/>
            </w:tcBorders>
          </w:tcPr>
          <w:p w14:paraId="586EAC8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28DD1BC5"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1 011</w:t>
            </w:r>
          </w:p>
        </w:tc>
        <w:tc>
          <w:tcPr>
            <w:tcW w:w="600" w:type="dxa"/>
            <w:tcBorders>
              <w:top w:val="single" w:sz="6" w:space="0" w:color="auto"/>
              <w:left w:val="single" w:sz="6" w:space="0" w:color="auto"/>
              <w:bottom w:val="single" w:sz="6" w:space="0" w:color="auto"/>
              <w:right w:val="single" w:sz="6" w:space="0" w:color="auto"/>
            </w:tcBorders>
          </w:tcPr>
          <w:p w14:paraId="457F29E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49323EF8"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1B09F31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9</w:t>
            </w:r>
          </w:p>
        </w:tc>
        <w:tc>
          <w:tcPr>
            <w:tcW w:w="1487" w:type="dxa"/>
            <w:tcBorders>
              <w:top w:val="single" w:sz="6" w:space="0" w:color="auto"/>
              <w:left w:val="single" w:sz="6" w:space="0" w:color="auto"/>
              <w:bottom w:val="single" w:sz="6" w:space="0" w:color="auto"/>
              <w:right w:val="single" w:sz="6" w:space="0" w:color="auto"/>
            </w:tcBorders>
          </w:tcPr>
          <w:p w14:paraId="67BF977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VOŠ a SPŠ stavební</w:t>
            </w:r>
          </w:p>
        </w:tc>
        <w:tc>
          <w:tcPr>
            <w:tcW w:w="1643" w:type="dxa"/>
            <w:tcBorders>
              <w:top w:val="single" w:sz="6" w:space="0" w:color="auto"/>
              <w:left w:val="single" w:sz="6" w:space="0" w:color="auto"/>
              <w:bottom w:val="single" w:sz="6" w:space="0" w:color="auto"/>
              <w:right w:val="single" w:sz="6" w:space="0" w:color="auto"/>
            </w:tcBorders>
          </w:tcPr>
          <w:p w14:paraId="3C228F7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SPŠ stavební</w:t>
            </w:r>
          </w:p>
        </w:tc>
        <w:tc>
          <w:tcPr>
            <w:tcW w:w="917" w:type="dxa"/>
            <w:tcBorders>
              <w:top w:val="single" w:sz="6" w:space="0" w:color="auto"/>
              <w:left w:val="single" w:sz="6" w:space="0" w:color="auto"/>
              <w:bottom w:val="single" w:sz="6" w:space="0" w:color="auto"/>
              <w:right w:val="single" w:sz="6" w:space="0" w:color="auto"/>
            </w:tcBorders>
          </w:tcPr>
          <w:p w14:paraId="14E69CE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6E1E072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Labská</w:t>
            </w:r>
          </w:p>
        </w:tc>
        <w:tc>
          <w:tcPr>
            <w:tcW w:w="522" w:type="dxa"/>
            <w:tcBorders>
              <w:top w:val="single" w:sz="6" w:space="0" w:color="auto"/>
              <w:left w:val="single" w:sz="6" w:space="0" w:color="auto"/>
              <w:bottom w:val="single" w:sz="6" w:space="0" w:color="auto"/>
              <w:right w:val="single" w:sz="6" w:space="0" w:color="auto"/>
            </w:tcBorders>
          </w:tcPr>
          <w:p w14:paraId="11048C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w:t>
            </w:r>
          </w:p>
        </w:tc>
        <w:tc>
          <w:tcPr>
            <w:tcW w:w="1154" w:type="dxa"/>
            <w:tcBorders>
              <w:top w:val="single" w:sz="6" w:space="0" w:color="auto"/>
              <w:left w:val="single" w:sz="6" w:space="0" w:color="auto"/>
              <w:bottom w:val="single" w:sz="6" w:space="0" w:color="auto"/>
              <w:right w:val="single" w:sz="6" w:space="0" w:color="auto"/>
            </w:tcBorders>
          </w:tcPr>
          <w:p w14:paraId="7690D7F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1,86</w:t>
            </w:r>
          </w:p>
        </w:tc>
        <w:tc>
          <w:tcPr>
            <w:tcW w:w="696" w:type="dxa"/>
            <w:tcBorders>
              <w:top w:val="single" w:sz="6" w:space="0" w:color="auto"/>
              <w:left w:val="single" w:sz="6" w:space="0" w:color="auto"/>
              <w:bottom w:val="single" w:sz="6" w:space="0" w:color="auto"/>
              <w:right w:val="single" w:sz="6" w:space="0" w:color="auto"/>
            </w:tcBorders>
          </w:tcPr>
          <w:p w14:paraId="2DB9D0E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4C912F46"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112,81</w:t>
            </w:r>
          </w:p>
        </w:tc>
        <w:tc>
          <w:tcPr>
            <w:tcW w:w="600" w:type="dxa"/>
            <w:tcBorders>
              <w:top w:val="single" w:sz="6" w:space="0" w:color="auto"/>
              <w:left w:val="single" w:sz="6" w:space="0" w:color="auto"/>
              <w:bottom w:val="single" w:sz="6" w:space="0" w:color="auto"/>
              <w:right w:val="single" w:sz="6" w:space="0" w:color="auto"/>
            </w:tcBorders>
          </w:tcPr>
          <w:p w14:paraId="78CF711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4F2A097C" w14:textId="77777777" w:rsidTr="002D2D45">
        <w:trPr>
          <w:trHeight w:val="726"/>
        </w:trPr>
        <w:tc>
          <w:tcPr>
            <w:tcW w:w="329" w:type="dxa"/>
            <w:tcBorders>
              <w:top w:val="single" w:sz="6" w:space="0" w:color="auto"/>
              <w:left w:val="single" w:sz="6" w:space="0" w:color="auto"/>
              <w:bottom w:val="single" w:sz="6" w:space="0" w:color="auto"/>
              <w:right w:val="single" w:sz="6" w:space="0" w:color="auto"/>
            </w:tcBorders>
          </w:tcPr>
          <w:p w14:paraId="27A6922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10</w:t>
            </w:r>
          </w:p>
        </w:tc>
        <w:tc>
          <w:tcPr>
            <w:tcW w:w="1487" w:type="dxa"/>
            <w:tcBorders>
              <w:top w:val="single" w:sz="6" w:space="0" w:color="auto"/>
              <w:left w:val="single" w:sz="6" w:space="0" w:color="auto"/>
              <w:bottom w:val="single" w:sz="6" w:space="0" w:color="auto"/>
              <w:right w:val="single" w:sz="6" w:space="0" w:color="auto"/>
            </w:tcBorders>
          </w:tcPr>
          <w:p w14:paraId="3C42994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GSK Spartak</w:t>
            </w:r>
          </w:p>
        </w:tc>
        <w:tc>
          <w:tcPr>
            <w:tcW w:w="1643" w:type="dxa"/>
            <w:tcBorders>
              <w:top w:val="single" w:sz="6" w:space="0" w:color="auto"/>
              <w:left w:val="single" w:sz="6" w:space="0" w:color="auto"/>
              <w:bottom w:val="single" w:sz="6" w:space="0" w:color="auto"/>
              <w:right w:val="single" w:sz="6" w:space="0" w:color="auto"/>
            </w:tcBorders>
          </w:tcPr>
          <w:p w14:paraId="61FECC7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GSK Spartak, Vokolkova</w:t>
            </w:r>
          </w:p>
        </w:tc>
        <w:tc>
          <w:tcPr>
            <w:tcW w:w="917" w:type="dxa"/>
            <w:tcBorders>
              <w:top w:val="single" w:sz="6" w:space="0" w:color="auto"/>
              <w:left w:val="single" w:sz="6" w:space="0" w:color="auto"/>
              <w:bottom w:val="single" w:sz="6" w:space="0" w:color="auto"/>
              <w:right w:val="single" w:sz="6" w:space="0" w:color="auto"/>
            </w:tcBorders>
          </w:tcPr>
          <w:p w14:paraId="06F81B9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77469E6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Vokolkova</w:t>
            </w:r>
          </w:p>
        </w:tc>
        <w:tc>
          <w:tcPr>
            <w:tcW w:w="522" w:type="dxa"/>
            <w:tcBorders>
              <w:top w:val="single" w:sz="6" w:space="0" w:color="auto"/>
              <w:left w:val="single" w:sz="6" w:space="0" w:color="auto"/>
              <w:bottom w:val="single" w:sz="6" w:space="0" w:color="auto"/>
              <w:right w:val="single" w:sz="6" w:space="0" w:color="auto"/>
            </w:tcBorders>
          </w:tcPr>
          <w:p w14:paraId="6B37EAF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w:t>
            </w:r>
          </w:p>
        </w:tc>
        <w:tc>
          <w:tcPr>
            <w:tcW w:w="1154" w:type="dxa"/>
            <w:tcBorders>
              <w:top w:val="single" w:sz="6" w:space="0" w:color="auto"/>
              <w:left w:val="single" w:sz="6" w:space="0" w:color="auto"/>
              <w:bottom w:val="single" w:sz="6" w:space="0" w:color="auto"/>
              <w:right w:val="single" w:sz="6" w:space="0" w:color="auto"/>
            </w:tcBorders>
          </w:tcPr>
          <w:p w14:paraId="5B3E419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0,36</w:t>
            </w:r>
          </w:p>
        </w:tc>
        <w:tc>
          <w:tcPr>
            <w:tcW w:w="696" w:type="dxa"/>
            <w:tcBorders>
              <w:top w:val="single" w:sz="6" w:space="0" w:color="auto"/>
              <w:left w:val="single" w:sz="6" w:space="0" w:color="auto"/>
              <w:bottom w:val="single" w:sz="6" w:space="0" w:color="auto"/>
              <w:right w:val="single" w:sz="6" w:space="0" w:color="auto"/>
            </w:tcBorders>
          </w:tcPr>
          <w:p w14:paraId="7E668CA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3F2DC95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9</w:t>
            </w:r>
          </w:p>
        </w:tc>
        <w:tc>
          <w:tcPr>
            <w:tcW w:w="600" w:type="dxa"/>
            <w:tcBorders>
              <w:top w:val="single" w:sz="6" w:space="0" w:color="auto"/>
              <w:left w:val="single" w:sz="6" w:space="0" w:color="auto"/>
              <w:bottom w:val="single" w:sz="6" w:space="0" w:color="auto"/>
              <w:right w:val="single" w:sz="6" w:space="0" w:color="auto"/>
            </w:tcBorders>
          </w:tcPr>
          <w:p w14:paraId="5A92DCB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647CB14A"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1ABAABF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11</w:t>
            </w:r>
          </w:p>
        </w:tc>
        <w:tc>
          <w:tcPr>
            <w:tcW w:w="1487" w:type="dxa"/>
            <w:tcBorders>
              <w:top w:val="single" w:sz="6" w:space="0" w:color="auto"/>
              <w:left w:val="single" w:sz="6" w:space="0" w:color="auto"/>
              <w:bottom w:val="single" w:sz="6" w:space="0" w:color="auto"/>
              <w:right w:val="single" w:sz="6" w:space="0" w:color="auto"/>
            </w:tcBorders>
          </w:tcPr>
          <w:p w14:paraId="06632AD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Stavební bytové družstvo DC</w:t>
            </w:r>
          </w:p>
        </w:tc>
        <w:tc>
          <w:tcPr>
            <w:tcW w:w="1643" w:type="dxa"/>
            <w:tcBorders>
              <w:top w:val="single" w:sz="6" w:space="0" w:color="auto"/>
              <w:left w:val="single" w:sz="6" w:space="0" w:color="auto"/>
              <w:bottom w:val="single" w:sz="6" w:space="0" w:color="auto"/>
              <w:right w:val="single" w:sz="6" w:space="0" w:color="auto"/>
            </w:tcBorders>
          </w:tcPr>
          <w:p w14:paraId="256F88B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SBD kotelna Wolkerova</w:t>
            </w:r>
          </w:p>
        </w:tc>
        <w:tc>
          <w:tcPr>
            <w:tcW w:w="917" w:type="dxa"/>
            <w:tcBorders>
              <w:top w:val="single" w:sz="6" w:space="0" w:color="auto"/>
              <w:left w:val="single" w:sz="6" w:space="0" w:color="auto"/>
              <w:bottom w:val="single" w:sz="6" w:space="0" w:color="auto"/>
              <w:right w:val="single" w:sz="6" w:space="0" w:color="auto"/>
            </w:tcBorders>
          </w:tcPr>
          <w:p w14:paraId="42DBE18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086852E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Wolkerova</w:t>
            </w:r>
          </w:p>
        </w:tc>
        <w:tc>
          <w:tcPr>
            <w:tcW w:w="522" w:type="dxa"/>
            <w:tcBorders>
              <w:top w:val="single" w:sz="6" w:space="0" w:color="auto"/>
              <w:left w:val="single" w:sz="6" w:space="0" w:color="auto"/>
              <w:bottom w:val="single" w:sz="6" w:space="0" w:color="auto"/>
              <w:right w:val="single" w:sz="6" w:space="0" w:color="auto"/>
            </w:tcBorders>
          </w:tcPr>
          <w:p w14:paraId="25417E1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w:t>
            </w:r>
          </w:p>
        </w:tc>
        <w:tc>
          <w:tcPr>
            <w:tcW w:w="1154" w:type="dxa"/>
            <w:tcBorders>
              <w:top w:val="single" w:sz="6" w:space="0" w:color="auto"/>
              <w:left w:val="single" w:sz="6" w:space="0" w:color="auto"/>
              <w:bottom w:val="single" w:sz="6" w:space="0" w:color="auto"/>
              <w:right w:val="single" w:sz="6" w:space="0" w:color="auto"/>
            </w:tcBorders>
          </w:tcPr>
          <w:p w14:paraId="5C8E790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0,349 + 0,232</w:t>
            </w:r>
          </w:p>
        </w:tc>
        <w:tc>
          <w:tcPr>
            <w:tcW w:w="696" w:type="dxa"/>
            <w:tcBorders>
              <w:top w:val="single" w:sz="6" w:space="0" w:color="auto"/>
              <w:left w:val="single" w:sz="6" w:space="0" w:color="auto"/>
              <w:bottom w:val="single" w:sz="6" w:space="0" w:color="auto"/>
              <w:right w:val="single" w:sz="6" w:space="0" w:color="auto"/>
            </w:tcBorders>
          </w:tcPr>
          <w:p w14:paraId="60C6622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LTO</w:t>
            </w:r>
          </w:p>
        </w:tc>
        <w:tc>
          <w:tcPr>
            <w:tcW w:w="758" w:type="dxa"/>
            <w:tcBorders>
              <w:top w:val="single" w:sz="6" w:space="0" w:color="auto"/>
              <w:left w:val="single" w:sz="6" w:space="0" w:color="auto"/>
              <w:bottom w:val="single" w:sz="6" w:space="0" w:color="auto"/>
              <w:right w:val="single" w:sz="6" w:space="0" w:color="auto"/>
            </w:tcBorders>
          </w:tcPr>
          <w:p w14:paraId="35B1479E"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32,23</w:t>
            </w:r>
          </w:p>
        </w:tc>
        <w:tc>
          <w:tcPr>
            <w:tcW w:w="600" w:type="dxa"/>
            <w:tcBorders>
              <w:top w:val="single" w:sz="6" w:space="0" w:color="auto"/>
              <w:left w:val="single" w:sz="6" w:space="0" w:color="auto"/>
              <w:bottom w:val="single" w:sz="6" w:space="0" w:color="auto"/>
              <w:right w:val="single" w:sz="6" w:space="0" w:color="auto"/>
            </w:tcBorders>
          </w:tcPr>
          <w:p w14:paraId="6D15481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07BD2478"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1EAA509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12</w:t>
            </w:r>
          </w:p>
        </w:tc>
        <w:tc>
          <w:tcPr>
            <w:tcW w:w="1487" w:type="dxa"/>
            <w:tcBorders>
              <w:top w:val="single" w:sz="6" w:space="0" w:color="auto"/>
              <w:left w:val="single" w:sz="6" w:space="0" w:color="auto"/>
              <w:bottom w:val="single" w:sz="6" w:space="0" w:color="auto"/>
              <w:right w:val="single" w:sz="6" w:space="0" w:color="auto"/>
            </w:tcBorders>
          </w:tcPr>
          <w:p w14:paraId="06E3134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 xml:space="preserve">Termo </w:t>
            </w:r>
            <w:r w:rsidRPr="00D42621">
              <w:rPr>
                <w:rFonts w:ascii="Arial" w:hAnsi="Arial"/>
                <w:color w:val="000000"/>
                <w:sz w:val="16"/>
                <w:szCs w:val="16"/>
                <w:lang w:eastAsia="cs-CZ"/>
              </w:rPr>
              <w:t>Děčín a.s.</w:t>
            </w:r>
          </w:p>
        </w:tc>
        <w:tc>
          <w:tcPr>
            <w:tcW w:w="1643" w:type="dxa"/>
            <w:tcBorders>
              <w:top w:val="single" w:sz="6" w:space="0" w:color="auto"/>
              <w:left w:val="single" w:sz="6" w:space="0" w:color="auto"/>
              <w:bottom w:val="single" w:sz="6" w:space="0" w:color="auto"/>
              <w:right w:val="single" w:sz="6" w:space="0" w:color="auto"/>
            </w:tcBorders>
          </w:tcPr>
          <w:p w14:paraId="5067D49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17. listopadu</w:t>
            </w:r>
          </w:p>
        </w:tc>
        <w:tc>
          <w:tcPr>
            <w:tcW w:w="917" w:type="dxa"/>
            <w:tcBorders>
              <w:top w:val="single" w:sz="6" w:space="0" w:color="auto"/>
              <w:left w:val="single" w:sz="6" w:space="0" w:color="auto"/>
              <w:bottom w:val="single" w:sz="6" w:space="0" w:color="auto"/>
              <w:right w:val="single" w:sz="6" w:space="0" w:color="auto"/>
            </w:tcBorders>
          </w:tcPr>
          <w:p w14:paraId="3A52EB5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1A1A22B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17.listopadu</w:t>
            </w:r>
          </w:p>
        </w:tc>
        <w:tc>
          <w:tcPr>
            <w:tcW w:w="522" w:type="dxa"/>
            <w:tcBorders>
              <w:top w:val="single" w:sz="6" w:space="0" w:color="auto"/>
              <w:left w:val="single" w:sz="6" w:space="0" w:color="auto"/>
              <w:bottom w:val="single" w:sz="6" w:space="0" w:color="auto"/>
              <w:right w:val="single" w:sz="6" w:space="0" w:color="auto"/>
            </w:tcBorders>
          </w:tcPr>
          <w:p w14:paraId="77B2D1B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20</w:t>
            </w:r>
          </w:p>
        </w:tc>
        <w:tc>
          <w:tcPr>
            <w:tcW w:w="1154" w:type="dxa"/>
            <w:tcBorders>
              <w:top w:val="single" w:sz="6" w:space="0" w:color="auto"/>
              <w:left w:val="single" w:sz="6" w:space="0" w:color="auto"/>
              <w:bottom w:val="single" w:sz="6" w:space="0" w:color="auto"/>
              <w:right w:val="single" w:sz="6" w:space="0" w:color="auto"/>
            </w:tcBorders>
          </w:tcPr>
          <w:p w14:paraId="2223863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0,29</w:t>
            </w:r>
          </w:p>
        </w:tc>
        <w:tc>
          <w:tcPr>
            <w:tcW w:w="696" w:type="dxa"/>
            <w:tcBorders>
              <w:top w:val="single" w:sz="6" w:space="0" w:color="auto"/>
              <w:left w:val="single" w:sz="6" w:space="0" w:color="auto"/>
              <w:bottom w:val="single" w:sz="6" w:space="0" w:color="auto"/>
              <w:right w:val="single" w:sz="6" w:space="0" w:color="auto"/>
            </w:tcBorders>
          </w:tcPr>
          <w:p w14:paraId="47E18D4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32F5C2B2"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60,56</w:t>
            </w:r>
          </w:p>
        </w:tc>
        <w:tc>
          <w:tcPr>
            <w:tcW w:w="600" w:type="dxa"/>
            <w:tcBorders>
              <w:top w:val="single" w:sz="6" w:space="0" w:color="auto"/>
              <w:left w:val="single" w:sz="6" w:space="0" w:color="auto"/>
              <w:bottom w:val="single" w:sz="6" w:space="0" w:color="auto"/>
              <w:right w:val="single" w:sz="6" w:space="0" w:color="auto"/>
            </w:tcBorders>
          </w:tcPr>
          <w:p w14:paraId="193B01B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6C875E11"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7E2CCD6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13</w:t>
            </w:r>
          </w:p>
        </w:tc>
        <w:tc>
          <w:tcPr>
            <w:tcW w:w="1487" w:type="dxa"/>
            <w:tcBorders>
              <w:top w:val="single" w:sz="6" w:space="0" w:color="auto"/>
              <w:left w:val="single" w:sz="6" w:space="0" w:color="auto"/>
              <w:bottom w:val="single" w:sz="6" w:space="0" w:color="auto"/>
              <w:right w:val="single" w:sz="6" w:space="0" w:color="auto"/>
            </w:tcBorders>
          </w:tcPr>
          <w:p w14:paraId="17D1095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Termo</w:t>
            </w:r>
            <w:r w:rsidRPr="00D42621">
              <w:rPr>
                <w:rFonts w:ascii="Arial" w:hAnsi="Arial"/>
                <w:color w:val="000000"/>
                <w:sz w:val="16"/>
                <w:szCs w:val="16"/>
                <w:lang w:eastAsia="cs-CZ"/>
              </w:rPr>
              <w:t xml:space="preserve"> Děčín a.s.</w:t>
            </w:r>
          </w:p>
        </w:tc>
        <w:tc>
          <w:tcPr>
            <w:tcW w:w="1643" w:type="dxa"/>
            <w:tcBorders>
              <w:top w:val="single" w:sz="6" w:space="0" w:color="auto"/>
              <w:left w:val="single" w:sz="6" w:space="0" w:color="auto"/>
              <w:bottom w:val="single" w:sz="6" w:space="0" w:color="auto"/>
              <w:right w:val="single" w:sz="6" w:space="0" w:color="auto"/>
            </w:tcBorders>
          </w:tcPr>
          <w:p w14:paraId="496114E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Kaštanová</w:t>
            </w:r>
          </w:p>
        </w:tc>
        <w:tc>
          <w:tcPr>
            <w:tcW w:w="917" w:type="dxa"/>
            <w:tcBorders>
              <w:top w:val="single" w:sz="6" w:space="0" w:color="auto"/>
              <w:left w:val="single" w:sz="6" w:space="0" w:color="auto"/>
              <w:bottom w:val="single" w:sz="6" w:space="0" w:color="auto"/>
              <w:right w:val="single" w:sz="6" w:space="0" w:color="auto"/>
            </w:tcBorders>
          </w:tcPr>
          <w:p w14:paraId="2C6C56E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534FE75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Kaštanová</w:t>
            </w:r>
          </w:p>
        </w:tc>
        <w:tc>
          <w:tcPr>
            <w:tcW w:w="522" w:type="dxa"/>
            <w:tcBorders>
              <w:top w:val="single" w:sz="6" w:space="0" w:color="auto"/>
              <w:left w:val="single" w:sz="6" w:space="0" w:color="auto"/>
              <w:bottom w:val="single" w:sz="6" w:space="0" w:color="auto"/>
              <w:right w:val="single" w:sz="6" w:space="0" w:color="auto"/>
            </w:tcBorders>
          </w:tcPr>
          <w:p w14:paraId="3B69D5C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1 353</w:t>
            </w:r>
          </w:p>
        </w:tc>
        <w:tc>
          <w:tcPr>
            <w:tcW w:w="1154" w:type="dxa"/>
            <w:tcBorders>
              <w:top w:val="single" w:sz="6" w:space="0" w:color="auto"/>
              <w:left w:val="single" w:sz="6" w:space="0" w:color="auto"/>
              <w:bottom w:val="single" w:sz="6" w:space="0" w:color="auto"/>
              <w:right w:val="single" w:sz="6" w:space="0" w:color="auto"/>
            </w:tcBorders>
          </w:tcPr>
          <w:p w14:paraId="663A4A5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1,14</w:t>
            </w:r>
          </w:p>
        </w:tc>
        <w:tc>
          <w:tcPr>
            <w:tcW w:w="696" w:type="dxa"/>
            <w:tcBorders>
              <w:top w:val="single" w:sz="6" w:space="0" w:color="auto"/>
              <w:left w:val="single" w:sz="6" w:space="0" w:color="auto"/>
              <w:bottom w:val="single" w:sz="6" w:space="0" w:color="auto"/>
              <w:right w:val="single" w:sz="6" w:space="0" w:color="auto"/>
            </w:tcBorders>
          </w:tcPr>
          <w:p w14:paraId="6541F34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2E1E82D9"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396,78</w:t>
            </w:r>
          </w:p>
        </w:tc>
        <w:tc>
          <w:tcPr>
            <w:tcW w:w="600" w:type="dxa"/>
            <w:tcBorders>
              <w:top w:val="single" w:sz="6" w:space="0" w:color="auto"/>
              <w:left w:val="single" w:sz="6" w:space="0" w:color="auto"/>
              <w:bottom w:val="single" w:sz="6" w:space="0" w:color="auto"/>
              <w:right w:val="single" w:sz="6" w:space="0" w:color="auto"/>
            </w:tcBorders>
          </w:tcPr>
          <w:p w14:paraId="638E7E1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385339FA"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203090B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14</w:t>
            </w:r>
          </w:p>
        </w:tc>
        <w:tc>
          <w:tcPr>
            <w:tcW w:w="1487" w:type="dxa"/>
            <w:tcBorders>
              <w:top w:val="single" w:sz="6" w:space="0" w:color="auto"/>
              <w:left w:val="single" w:sz="6" w:space="0" w:color="auto"/>
              <w:bottom w:val="single" w:sz="6" w:space="0" w:color="auto"/>
              <w:right w:val="single" w:sz="6" w:space="0" w:color="auto"/>
            </w:tcBorders>
          </w:tcPr>
          <w:p w14:paraId="022D5F2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Nemocnice s poliklinikou Dě</w:t>
            </w:r>
          </w:p>
        </w:tc>
        <w:tc>
          <w:tcPr>
            <w:tcW w:w="1643" w:type="dxa"/>
            <w:tcBorders>
              <w:top w:val="single" w:sz="6" w:space="0" w:color="auto"/>
              <w:left w:val="single" w:sz="6" w:space="0" w:color="auto"/>
              <w:bottom w:val="single" w:sz="6" w:space="0" w:color="auto"/>
              <w:right w:val="single" w:sz="6" w:space="0" w:color="auto"/>
            </w:tcBorders>
          </w:tcPr>
          <w:p w14:paraId="21A73ED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ředitelství NSP Děčín</w:t>
            </w:r>
          </w:p>
        </w:tc>
        <w:tc>
          <w:tcPr>
            <w:tcW w:w="917" w:type="dxa"/>
            <w:tcBorders>
              <w:top w:val="single" w:sz="6" w:space="0" w:color="auto"/>
              <w:left w:val="single" w:sz="6" w:space="0" w:color="auto"/>
              <w:bottom w:val="single" w:sz="6" w:space="0" w:color="auto"/>
              <w:right w:val="single" w:sz="6" w:space="0" w:color="auto"/>
            </w:tcBorders>
          </w:tcPr>
          <w:p w14:paraId="2823A83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7AF9F19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nám.Svobody</w:t>
            </w:r>
          </w:p>
        </w:tc>
        <w:tc>
          <w:tcPr>
            <w:tcW w:w="522" w:type="dxa"/>
            <w:tcBorders>
              <w:top w:val="single" w:sz="6" w:space="0" w:color="auto"/>
              <w:left w:val="single" w:sz="6" w:space="0" w:color="auto"/>
              <w:bottom w:val="single" w:sz="6" w:space="0" w:color="auto"/>
              <w:right w:val="single" w:sz="6" w:space="0" w:color="auto"/>
            </w:tcBorders>
          </w:tcPr>
          <w:p w14:paraId="61B722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w:t>
            </w:r>
          </w:p>
        </w:tc>
        <w:tc>
          <w:tcPr>
            <w:tcW w:w="1154" w:type="dxa"/>
            <w:tcBorders>
              <w:top w:val="single" w:sz="6" w:space="0" w:color="auto"/>
              <w:left w:val="single" w:sz="6" w:space="0" w:color="auto"/>
              <w:bottom w:val="single" w:sz="6" w:space="0" w:color="auto"/>
              <w:right w:val="single" w:sz="6" w:space="0" w:color="auto"/>
            </w:tcBorders>
          </w:tcPr>
          <w:p w14:paraId="49C0C0C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0,14 + 0,168</w:t>
            </w:r>
          </w:p>
        </w:tc>
        <w:tc>
          <w:tcPr>
            <w:tcW w:w="696" w:type="dxa"/>
            <w:tcBorders>
              <w:top w:val="single" w:sz="6" w:space="0" w:color="auto"/>
              <w:left w:val="single" w:sz="6" w:space="0" w:color="auto"/>
              <w:bottom w:val="single" w:sz="6" w:space="0" w:color="auto"/>
              <w:right w:val="single" w:sz="6" w:space="0" w:color="auto"/>
            </w:tcBorders>
          </w:tcPr>
          <w:p w14:paraId="02AFE23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KOKS</w:t>
            </w:r>
          </w:p>
        </w:tc>
        <w:tc>
          <w:tcPr>
            <w:tcW w:w="758" w:type="dxa"/>
            <w:tcBorders>
              <w:top w:val="single" w:sz="6" w:space="0" w:color="auto"/>
              <w:left w:val="single" w:sz="6" w:space="0" w:color="auto"/>
              <w:bottom w:val="single" w:sz="6" w:space="0" w:color="auto"/>
              <w:right w:val="single" w:sz="6" w:space="0" w:color="auto"/>
            </w:tcBorders>
          </w:tcPr>
          <w:p w14:paraId="3085341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92</w:t>
            </w:r>
          </w:p>
        </w:tc>
        <w:tc>
          <w:tcPr>
            <w:tcW w:w="600" w:type="dxa"/>
            <w:tcBorders>
              <w:top w:val="single" w:sz="6" w:space="0" w:color="auto"/>
              <w:left w:val="single" w:sz="6" w:space="0" w:color="auto"/>
              <w:bottom w:val="single" w:sz="6" w:space="0" w:color="auto"/>
              <w:right w:val="single" w:sz="6" w:space="0" w:color="auto"/>
            </w:tcBorders>
          </w:tcPr>
          <w:p w14:paraId="012D0CD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486D5AEF" w14:textId="77777777" w:rsidTr="002D2D45">
        <w:trPr>
          <w:trHeight w:val="726"/>
        </w:trPr>
        <w:tc>
          <w:tcPr>
            <w:tcW w:w="329" w:type="dxa"/>
            <w:tcBorders>
              <w:top w:val="single" w:sz="6" w:space="0" w:color="auto"/>
              <w:left w:val="single" w:sz="6" w:space="0" w:color="auto"/>
              <w:bottom w:val="single" w:sz="6" w:space="0" w:color="auto"/>
              <w:right w:val="single" w:sz="6" w:space="0" w:color="auto"/>
            </w:tcBorders>
          </w:tcPr>
          <w:p w14:paraId="6BE3EE6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15</w:t>
            </w:r>
          </w:p>
        </w:tc>
        <w:tc>
          <w:tcPr>
            <w:tcW w:w="1487" w:type="dxa"/>
            <w:tcBorders>
              <w:top w:val="single" w:sz="6" w:space="0" w:color="auto"/>
              <w:left w:val="single" w:sz="6" w:space="0" w:color="auto"/>
              <w:bottom w:val="single" w:sz="6" w:space="0" w:color="auto"/>
              <w:right w:val="single" w:sz="6" w:space="0" w:color="auto"/>
            </w:tcBorders>
          </w:tcPr>
          <w:p w14:paraId="223EE9A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PROMPTUS spol.s r.o.</w:t>
            </w:r>
          </w:p>
        </w:tc>
        <w:tc>
          <w:tcPr>
            <w:tcW w:w="1643" w:type="dxa"/>
            <w:tcBorders>
              <w:top w:val="single" w:sz="6" w:space="0" w:color="auto"/>
              <w:left w:val="single" w:sz="6" w:space="0" w:color="auto"/>
              <w:bottom w:val="single" w:sz="6" w:space="0" w:color="auto"/>
              <w:right w:val="single" w:sz="6" w:space="0" w:color="auto"/>
            </w:tcBorders>
          </w:tcPr>
          <w:p w14:paraId="629555B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ohřívač vzduchu MTP 225 + kotelna</w:t>
            </w:r>
          </w:p>
        </w:tc>
        <w:tc>
          <w:tcPr>
            <w:tcW w:w="917" w:type="dxa"/>
            <w:tcBorders>
              <w:top w:val="single" w:sz="6" w:space="0" w:color="auto"/>
              <w:left w:val="single" w:sz="6" w:space="0" w:color="auto"/>
              <w:bottom w:val="single" w:sz="6" w:space="0" w:color="auto"/>
              <w:right w:val="single" w:sz="6" w:space="0" w:color="auto"/>
            </w:tcBorders>
          </w:tcPr>
          <w:p w14:paraId="16076A3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3581793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Krokova</w:t>
            </w:r>
          </w:p>
        </w:tc>
        <w:tc>
          <w:tcPr>
            <w:tcW w:w="522" w:type="dxa"/>
            <w:tcBorders>
              <w:top w:val="single" w:sz="6" w:space="0" w:color="auto"/>
              <w:left w:val="single" w:sz="6" w:space="0" w:color="auto"/>
              <w:bottom w:val="single" w:sz="6" w:space="0" w:color="auto"/>
              <w:right w:val="single" w:sz="6" w:space="0" w:color="auto"/>
            </w:tcBorders>
          </w:tcPr>
          <w:p w14:paraId="4313512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6</w:t>
            </w:r>
          </w:p>
        </w:tc>
        <w:tc>
          <w:tcPr>
            <w:tcW w:w="1154" w:type="dxa"/>
            <w:tcBorders>
              <w:top w:val="single" w:sz="6" w:space="0" w:color="auto"/>
              <w:left w:val="single" w:sz="6" w:space="0" w:color="auto"/>
              <w:bottom w:val="single" w:sz="6" w:space="0" w:color="auto"/>
              <w:right w:val="single" w:sz="6" w:space="0" w:color="auto"/>
            </w:tcBorders>
          </w:tcPr>
          <w:p w14:paraId="571C09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0,26 + 0,21</w:t>
            </w:r>
          </w:p>
        </w:tc>
        <w:tc>
          <w:tcPr>
            <w:tcW w:w="696" w:type="dxa"/>
            <w:tcBorders>
              <w:top w:val="single" w:sz="6" w:space="0" w:color="auto"/>
              <w:left w:val="single" w:sz="6" w:space="0" w:color="auto"/>
              <w:bottom w:val="single" w:sz="6" w:space="0" w:color="auto"/>
              <w:right w:val="single" w:sz="6" w:space="0" w:color="auto"/>
            </w:tcBorders>
          </w:tcPr>
          <w:p w14:paraId="69B57FA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72EEBFC5"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266,56</w:t>
            </w:r>
          </w:p>
        </w:tc>
        <w:tc>
          <w:tcPr>
            <w:tcW w:w="600" w:type="dxa"/>
            <w:tcBorders>
              <w:top w:val="single" w:sz="6" w:space="0" w:color="auto"/>
              <w:left w:val="single" w:sz="6" w:space="0" w:color="auto"/>
              <w:bottom w:val="single" w:sz="6" w:space="0" w:color="auto"/>
              <w:right w:val="single" w:sz="6" w:space="0" w:color="auto"/>
            </w:tcBorders>
          </w:tcPr>
          <w:p w14:paraId="4C3FD8C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2E0F901C"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2646659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lastRenderedPageBreak/>
              <w:t>16</w:t>
            </w:r>
          </w:p>
        </w:tc>
        <w:tc>
          <w:tcPr>
            <w:tcW w:w="1487" w:type="dxa"/>
            <w:tcBorders>
              <w:top w:val="single" w:sz="6" w:space="0" w:color="auto"/>
              <w:left w:val="single" w:sz="6" w:space="0" w:color="auto"/>
              <w:bottom w:val="single" w:sz="6" w:space="0" w:color="auto"/>
              <w:right w:val="single" w:sz="6" w:space="0" w:color="auto"/>
            </w:tcBorders>
          </w:tcPr>
          <w:p w14:paraId="75B3C80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Severka</w:t>
            </w:r>
            <w:r w:rsidRPr="00D42621">
              <w:rPr>
                <w:rFonts w:ascii="Arial" w:hAnsi="Arial"/>
                <w:color w:val="000000"/>
                <w:sz w:val="16"/>
                <w:szCs w:val="16"/>
                <w:lang w:eastAsia="cs-CZ"/>
              </w:rPr>
              <w:t xml:space="preserve"> s.r.o.</w:t>
            </w:r>
          </w:p>
        </w:tc>
        <w:tc>
          <w:tcPr>
            <w:tcW w:w="1643" w:type="dxa"/>
            <w:tcBorders>
              <w:top w:val="single" w:sz="6" w:space="0" w:color="auto"/>
              <w:left w:val="single" w:sz="6" w:space="0" w:color="auto"/>
              <w:bottom w:val="single" w:sz="6" w:space="0" w:color="auto"/>
              <w:right w:val="single" w:sz="6" w:space="0" w:color="auto"/>
            </w:tcBorders>
          </w:tcPr>
          <w:p w14:paraId="0D0E095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Severka Děčín - Kotelna</w:t>
            </w:r>
          </w:p>
        </w:tc>
        <w:tc>
          <w:tcPr>
            <w:tcW w:w="917" w:type="dxa"/>
            <w:tcBorders>
              <w:top w:val="single" w:sz="6" w:space="0" w:color="auto"/>
              <w:left w:val="single" w:sz="6" w:space="0" w:color="auto"/>
              <w:bottom w:val="single" w:sz="6" w:space="0" w:color="auto"/>
              <w:right w:val="single" w:sz="6" w:space="0" w:color="auto"/>
            </w:tcBorders>
          </w:tcPr>
          <w:p w14:paraId="6E89230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1E12786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Sládkova</w:t>
            </w:r>
          </w:p>
        </w:tc>
        <w:tc>
          <w:tcPr>
            <w:tcW w:w="522" w:type="dxa"/>
            <w:tcBorders>
              <w:top w:val="single" w:sz="6" w:space="0" w:color="auto"/>
              <w:left w:val="single" w:sz="6" w:space="0" w:color="auto"/>
              <w:bottom w:val="single" w:sz="6" w:space="0" w:color="auto"/>
              <w:right w:val="single" w:sz="6" w:space="0" w:color="auto"/>
            </w:tcBorders>
          </w:tcPr>
          <w:p w14:paraId="45A1B06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453</w:t>
            </w:r>
          </w:p>
        </w:tc>
        <w:tc>
          <w:tcPr>
            <w:tcW w:w="1154" w:type="dxa"/>
            <w:tcBorders>
              <w:top w:val="single" w:sz="6" w:space="0" w:color="auto"/>
              <w:left w:val="single" w:sz="6" w:space="0" w:color="auto"/>
              <w:bottom w:val="single" w:sz="6" w:space="0" w:color="auto"/>
              <w:right w:val="single" w:sz="6" w:space="0" w:color="auto"/>
            </w:tcBorders>
          </w:tcPr>
          <w:p w14:paraId="66F946F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0,3</w:t>
            </w:r>
          </w:p>
        </w:tc>
        <w:tc>
          <w:tcPr>
            <w:tcW w:w="696" w:type="dxa"/>
            <w:tcBorders>
              <w:top w:val="single" w:sz="6" w:space="0" w:color="auto"/>
              <w:left w:val="single" w:sz="6" w:space="0" w:color="auto"/>
              <w:bottom w:val="single" w:sz="6" w:space="0" w:color="auto"/>
              <w:right w:val="single" w:sz="6" w:space="0" w:color="auto"/>
            </w:tcBorders>
          </w:tcPr>
          <w:p w14:paraId="042472F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055BEDB0"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45</w:t>
            </w:r>
          </w:p>
        </w:tc>
        <w:tc>
          <w:tcPr>
            <w:tcW w:w="600" w:type="dxa"/>
            <w:tcBorders>
              <w:top w:val="single" w:sz="6" w:space="0" w:color="auto"/>
              <w:left w:val="single" w:sz="6" w:space="0" w:color="auto"/>
              <w:bottom w:val="single" w:sz="6" w:space="0" w:color="auto"/>
              <w:right w:val="single" w:sz="6" w:space="0" w:color="auto"/>
            </w:tcBorders>
          </w:tcPr>
          <w:p w14:paraId="32BA3EF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3DC1C105" w14:textId="77777777" w:rsidTr="002D2D45">
        <w:trPr>
          <w:trHeight w:val="714"/>
        </w:trPr>
        <w:tc>
          <w:tcPr>
            <w:tcW w:w="329" w:type="dxa"/>
            <w:tcBorders>
              <w:top w:val="single" w:sz="6" w:space="0" w:color="auto"/>
              <w:left w:val="single" w:sz="6" w:space="0" w:color="auto"/>
              <w:bottom w:val="single" w:sz="6" w:space="0" w:color="auto"/>
              <w:right w:val="single" w:sz="6" w:space="0" w:color="auto"/>
            </w:tcBorders>
          </w:tcPr>
          <w:p w14:paraId="261842F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17</w:t>
            </w:r>
          </w:p>
        </w:tc>
        <w:tc>
          <w:tcPr>
            <w:tcW w:w="1487" w:type="dxa"/>
            <w:tcBorders>
              <w:top w:val="single" w:sz="6" w:space="0" w:color="auto"/>
              <w:left w:val="single" w:sz="6" w:space="0" w:color="auto"/>
              <w:bottom w:val="single" w:sz="6" w:space="0" w:color="auto"/>
              <w:right w:val="single" w:sz="6" w:space="0" w:color="auto"/>
            </w:tcBorders>
          </w:tcPr>
          <w:p w14:paraId="0BCE9BF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SPT Telecom a.s. oblast Sev.Č.</w:t>
            </w:r>
          </w:p>
        </w:tc>
        <w:tc>
          <w:tcPr>
            <w:tcW w:w="1643" w:type="dxa"/>
            <w:tcBorders>
              <w:top w:val="single" w:sz="6" w:space="0" w:color="auto"/>
              <w:left w:val="single" w:sz="6" w:space="0" w:color="auto"/>
              <w:bottom w:val="single" w:sz="6" w:space="0" w:color="auto"/>
              <w:right w:val="single" w:sz="6" w:space="0" w:color="auto"/>
            </w:tcBorders>
          </w:tcPr>
          <w:p w14:paraId="1041DAC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SPT TELECOM, a.s., kotelna Děčín</w:t>
            </w:r>
          </w:p>
        </w:tc>
        <w:tc>
          <w:tcPr>
            <w:tcW w:w="917" w:type="dxa"/>
            <w:tcBorders>
              <w:top w:val="single" w:sz="6" w:space="0" w:color="auto"/>
              <w:left w:val="single" w:sz="6" w:space="0" w:color="auto"/>
              <w:bottom w:val="single" w:sz="6" w:space="0" w:color="auto"/>
              <w:right w:val="single" w:sz="6" w:space="0" w:color="auto"/>
            </w:tcBorders>
          </w:tcPr>
          <w:p w14:paraId="4971BBE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2B43A4E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2.pol.armády</w:t>
            </w:r>
          </w:p>
        </w:tc>
        <w:tc>
          <w:tcPr>
            <w:tcW w:w="522" w:type="dxa"/>
            <w:tcBorders>
              <w:top w:val="single" w:sz="6" w:space="0" w:color="auto"/>
              <w:left w:val="single" w:sz="6" w:space="0" w:color="auto"/>
              <w:bottom w:val="single" w:sz="6" w:space="0" w:color="auto"/>
              <w:right w:val="single" w:sz="6" w:space="0" w:color="auto"/>
            </w:tcBorders>
          </w:tcPr>
          <w:p w14:paraId="5D1A0D0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668</w:t>
            </w:r>
          </w:p>
        </w:tc>
        <w:tc>
          <w:tcPr>
            <w:tcW w:w="1154" w:type="dxa"/>
            <w:tcBorders>
              <w:top w:val="single" w:sz="6" w:space="0" w:color="auto"/>
              <w:left w:val="single" w:sz="6" w:space="0" w:color="auto"/>
              <w:bottom w:val="single" w:sz="6" w:space="0" w:color="auto"/>
              <w:right w:val="single" w:sz="6" w:space="0" w:color="auto"/>
            </w:tcBorders>
          </w:tcPr>
          <w:p w14:paraId="4B72C0F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0,12</w:t>
            </w:r>
          </w:p>
        </w:tc>
        <w:tc>
          <w:tcPr>
            <w:tcW w:w="696" w:type="dxa"/>
            <w:tcBorders>
              <w:top w:val="single" w:sz="6" w:space="0" w:color="auto"/>
              <w:left w:val="single" w:sz="6" w:space="0" w:color="auto"/>
              <w:bottom w:val="single" w:sz="6" w:space="0" w:color="auto"/>
              <w:right w:val="single" w:sz="6" w:space="0" w:color="auto"/>
            </w:tcBorders>
          </w:tcPr>
          <w:p w14:paraId="0C610A5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01D659D7"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132,29</w:t>
            </w:r>
          </w:p>
        </w:tc>
        <w:tc>
          <w:tcPr>
            <w:tcW w:w="600" w:type="dxa"/>
            <w:tcBorders>
              <w:top w:val="single" w:sz="6" w:space="0" w:color="auto"/>
              <w:left w:val="single" w:sz="6" w:space="0" w:color="auto"/>
              <w:bottom w:val="single" w:sz="6" w:space="0" w:color="auto"/>
              <w:right w:val="single" w:sz="6" w:space="0" w:color="auto"/>
            </w:tcBorders>
          </w:tcPr>
          <w:p w14:paraId="1741435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26DBE0A2"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D16A7D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18</w:t>
            </w:r>
          </w:p>
        </w:tc>
        <w:tc>
          <w:tcPr>
            <w:tcW w:w="1487" w:type="dxa"/>
            <w:tcBorders>
              <w:top w:val="single" w:sz="6" w:space="0" w:color="auto"/>
              <w:left w:val="single" w:sz="6" w:space="0" w:color="auto"/>
              <w:bottom w:val="single" w:sz="6" w:space="0" w:color="auto"/>
              <w:right w:val="single" w:sz="6" w:space="0" w:color="auto"/>
            </w:tcBorders>
          </w:tcPr>
          <w:p w14:paraId="7930F64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Obchodní akademie a OŠ</w:t>
            </w:r>
          </w:p>
        </w:tc>
        <w:tc>
          <w:tcPr>
            <w:tcW w:w="1643" w:type="dxa"/>
            <w:tcBorders>
              <w:top w:val="single" w:sz="6" w:space="0" w:color="auto"/>
              <w:left w:val="single" w:sz="6" w:space="0" w:color="auto"/>
              <w:bottom w:val="single" w:sz="6" w:space="0" w:color="auto"/>
              <w:right w:val="single" w:sz="6" w:space="0" w:color="auto"/>
            </w:tcBorders>
          </w:tcPr>
          <w:p w14:paraId="6666186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Obchodní akademie</w:t>
            </w:r>
          </w:p>
        </w:tc>
        <w:tc>
          <w:tcPr>
            <w:tcW w:w="917" w:type="dxa"/>
            <w:tcBorders>
              <w:top w:val="single" w:sz="6" w:space="0" w:color="auto"/>
              <w:left w:val="single" w:sz="6" w:space="0" w:color="auto"/>
              <w:bottom w:val="single" w:sz="6" w:space="0" w:color="auto"/>
              <w:right w:val="single" w:sz="6" w:space="0" w:color="auto"/>
            </w:tcBorders>
          </w:tcPr>
          <w:p w14:paraId="75C404C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7BF952A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Komenského nám.</w:t>
            </w:r>
          </w:p>
        </w:tc>
        <w:tc>
          <w:tcPr>
            <w:tcW w:w="522" w:type="dxa"/>
            <w:tcBorders>
              <w:top w:val="single" w:sz="6" w:space="0" w:color="auto"/>
              <w:left w:val="single" w:sz="6" w:space="0" w:color="auto"/>
              <w:bottom w:val="single" w:sz="6" w:space="0" w:color="auto"/>
              <w:right w:val="single" w:sz="6" w:space="0" w:color="auto"/>
            </w:tcBorders>
          </w:tcPr>
          <w:p w14:paraId="26E5191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w:t>
            </w:r>
          </w:p>
        </w:tc>
        <w:tc>
          <w:tcPr>
            <w:tcW w:w="1154" w:type="dxa"/>
            <w:tcBorders>
              <w:top w:val="single" w:sz="6" w:space="0" w:color="auto"/>
              <w:left w:val="single" w:sz="6" w:space="0" w:color="auto"/>
              <w:bottom w:val="single" w:sz="6" w:space="0" w:color="auto"/>
              <w:right w:val="single" w:sz="6" w:space="0" w:color="auto"/>
            </w:tcBorders>
          </w:tcPr>
          <w:p w14:paraId="3E00D01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0,33</w:t>
            </w:r>
          </w:p>
        </w:tc>
        <w:tc>
          <w:tcPr>
            <w:tcW w:w="696" w:type="dxa"/>
            <w:tcBorders>
              <w:top w:val="single" w:sz="6" w:space="0" w:color="auto"/>
              <w:left w:val="single" w:sz="6" w:space="0" w:color="auto"/>
              <w:bottom w:val="single" w:sz="6" w:space="0" w:color="auto"/>
              <w:right w:val="single" w:sz="6" w:space="0" w:color="auto"/>
            </w:tcBorders>
          </w:tcPr>
          <w:p w14:paraId="403BCD6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5144F550"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43,09</w:t>
            </w:r>
          </w:p>
        </w:tc>
        <w:tc>
          <w:tcPr>
            <w:tcW w:w="600" w:type="dxa"/>
            <w:tcBorders>
              <w:top w:val="single" w:sz="6" w:space="0" w:color="auto"/>
              <w:left w:val="single" w:sz="6" w:space="0" w:color="auto"/>
              <w:bottom w:val="single" w:sz="6" w:space="0" w:color="auto"/>
              <w:right w:val="single" w:sz="6" w:space="0" w:color="auto"/>
            </w:tcBorders>
          </w:tcPr>
          <w:p w14:paraId="5D83DDA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7B1C325B"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5C4575D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19</w:t>
            </w:r>
          </w:p>
        </w:tc>
        <w:tc>
          <w:tcPr>
            <w:tcW w:w="1487" w:type="dxa"/>
            <w:tcBorders>
              <w:top w:val="single" w:sz="6" w:space="0" w:color="auto"/>
              <w:left w:val="single" w:sz="6" w:space="0" w:color="auto"/>
              <w:bottom w:val="single" w:sz="6" w:space="0" w:color="auto"/>
              <w:right w:val="single" w:sz="6" w:space="0" w:color="auto"/>
            </w:tcBorders>
          </w:tcPr>
          <w:p w14:paraId="6FC60AB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Město Děčín</w:t>
            </w:r>
          </w:p>
        </w:tc>
        <w:tc>
          <w:tcPr>
            <w:tcW w:w="1643" w:type="dxa"/>
            <w:tcBorders>
              <w:top w:val="single" w:sz="6" w:space="0" w:color="auto"/>
              <w:left w:val="single" w:sz="6" w:space="0" w:color="auto"/>
              <w:bottom w:val="single" w:sz="6" w:space="0" w:color="auto"/>
              <w:right w:val="single" w:sz="6" w:space="0" w:color="auto"/>
            </w:tcBorders>
          </w:tcPr>
          <w:p w14:paraId="1B964AB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ZŠ Komenského nám</w:t>
            </w:r>
          </w:p>
        </w:tc>
        <w:tc>
          <w:tcPr>
            <w:tcW w:w="917" w:type="dxa"/>
            <w:tcBorders>
              <w:top w:val="single" w:sz="6" w:space="0" w:color="auto"/>
              <w:left w:val="single" w:sz="6" w:space="0" w:color="auto"/>
              <w:bottom w:val="single" w:sz="6" w:space="0" w:color="auto"/>
              <w:right w:val="single" w:sz="6" w:space="0" w:color="auto"/>
            </w:tcBorders>
          </w:tcPr>
          <w:p w14:paraId="6FBC99A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Děčín 1</w:t>
            </w:r>
          </w:p>
        </w:tc>
        <w:tc>
          <w:tcPr>
            <w:tcW w:w="1315" w:type="dxa"/>
            <w:tcBorders>
              <w:top w:val="single" w:sz="6" w:space="0" w:color="auto"/>
              <w:left w:val="single" w:sz="6" w:space="0" w:color="auto"/>
              <w:bottom w:val="single" w:sz="6" w:space="0" w:color="auto"/>
              <w:right w:val="single" w:sz="6" w:space="0" w:color="auto"/>
            </w:tcBorders>
          </w:tcPr>
          <w:p w14:paraId="315F99B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Komenského</w:t>
            </w:r>
          </w:p>
        </w:tc>
        <w:tc>
          <w:tcPr>
            <w:tcW w:w="522" w:type="dxa"/>
            <w:tcBorders>
              <w:top w:val="single" w:sz="6" w:space="0" w:color="auto"/>
              <w:left w:val="single" w:sz="6" w:space="0" w:color="auto"/>
              <w:bottom w:val="single" w:sz="6" w:space="0" w:color="auto"/>
              <w:right w:val="single" w:sz="6" w:space="0" w:color="auto"/>
            </w:tcBorders>
          </w:tcPr>
          <w:p w14:paraId="3B982F9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23</w:t>
            </w:r>
          </w:p>
        </w:tc>
        <w:tc>
          <w:tcPr>
            <w:tcW w:w="1154" w:type="dxa"/>
            <w:tcBorders>
              <w:top w:val="single" w:sz="6" w:space="0" w:color="auto"/>
              <w:left w:val="single" w:sz="6" w:space="0" w:color="auto"/>
              <w:bottom w:val="single" w:sz="6" w:space="0" w:color="auto"/>
              <w:right w:val="single" w:sz="6" w:space="0" w:color="auto"/>
            </w:tcBorders>
          </w:tcPr>
          <w:p w14:paraId="586652E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0,31</w:t>
            </w:r>
          </w:p>
        </w:tc>
        <w:tc>
          <w:tcPr>
            <w:tcW w:w="696" w:type="dxa"/>
            <w:tcBorders>
              <w:top w:val="single" w:sz="6" w:space="0" w:color="auto"/>
              <w:left w:val="single" w:sz="6" w:space="0" w:color="auto"/>
              <w:bottom w:val="single" w:sz="6" w:space="0" w:color="auto"/>
              <w:right w:val="single" w:sz="6" w:space="0" w:color="auto"/>
            </w:tcBorders>
          </w:tcPr>
          <w:p w14:paraId="68863CD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00D98377"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162</w:t>
            </w:r>
          </w:p>
        </w:tc>
        <w:tc>
          <w:tcPr>
            <w:tcW w:w="600" w:type="dxa"/>
            <w:tcBorders>
              <w:top w:val="single" w:sz="6" w:space="0" w:color="auto"/>
              <w:left w:val="single" w:sz="6" w:space="0" w:color="auto"/>
              <w:bottom w:val="single" w:sz="6" w:space="0" w:color="auto"/>
              <w:right w:val="single" w:sz="6" w:space="0" w:color="auto"/>
            </w:tcBorders>
          </w:tcPr>
          <w:p w14:paraId="339520E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2E099D2D"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03C4BC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20</w:t>
            </w:r>
          </w:p>
        </w:tc>
        <w:tc>
          <w:tcPr>
            <w:tcW w:w="1487" w:type="dxa"/>
            <w:tcBorders>
              <w:top w:val="single" w:sz="6" w:space="0" w:color="auto"/>
              <w:left w:val="single" w:sz="6" w:space="0" w:color="auto"/>
              <w:bottom w:val="single" w:sz="6" w:space="0" w:color="auto"/>
              <w:right w:val="single" w:sz="6" w:space="0" w:color="auto"/>
            </w:tcBorders>
          </w:tcPr>
          <w:p w14:paraId="2D8981A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Město Děčín</w:t>
            </w:r>
          </w:p>
        </w:tc>
        <w:tc>
          <w:tcPr>
            <w:tcW w:w="1643" w:type="dxa"/>
            <w:tcBorders>
              <w:top w:val="single" w:sz="6" w:space="0" w:color="auto"/>
              <w:left w:val="single" w:sz="6" w:space="0" w:color="auto"/>
              <w:bottom w:val="single" w:sz="6" w:space="0" w:color="auto"/>
              <w:right w:val="single" w:sz="6" w:space="0" w:color="auto"/>
            </w:tcBorders>
          </w:tcPr>
          <w:p w14:paraId="0F3F486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ZŠ Vojanova</w:t>
            </w:r>
          </w:p>
        </w:tc>
        <w:tc>
          <w:tcPr>
            <w:tcW w:w="917" w:type="dxa"/>
            <w:tcBorders>
              <w:top w:val="single" w:sz="6" w:space="0" w:color="auto"/>
              <w:left w:val="single" w:sz="6" w:space="0" w:color="auto"/>
              <w:bottom w:val="single" w:sz="6" w:space="0" w:color="auto"/>
              <w:right w:val="single" w:sz="6" w:space="0" w:color="auto"/>
            </w:tcBorders>
          </w:tcPr>
          <w:p w14:paraId="09C9200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Dolní Oldřichov</w:t>
            </w:r>
          </w:p>
        </w:tc>
        <w:tc>
          <w:tcPr>
            <w:tcW w:w="1315" w:type="dxa"/>
            <w:tcBorders>
              <w:top w:val="single" w:sz="6" w:space="0" w:color="auto"/>
              <w:left w:val="single" w:sz="6" w:space="0" w:color="auto"/>
              <w:bottom w:val="single" w:sz="6" w:space="0" w:color="auto"/>
              <w:right w:val="single" w:sz="6" w:space="0" w:color="auto"/>
            </w:tcBorders>
          </w:tcPr>
          <w:p w14:paraId="03DECED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Vojanova</w:t>
            </w:r>
          </w:p>
        </w:tc>
        <w:tc>
          <w:tcPr>
            <w:tcW w:w="522" w:type="dxa"/>
            <w:tcBorders>
              <w:top w:val="single" w:sz="6" w:space="0" w:color="auto"/>
              <w:left w:val="single" w:sz="6" w:space="0" w:color="auto"/>
              <w:bottom w:val="single" w:sz="6" w:space="0" w:color="auto"/>
              <w:right w:val="single" w:sz="6" w:space="0" w:color="auto"/>
            </w:tcBorders>
          </w:tcPr>
          <w:p w14:paraId="15B1D23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178</w:t>
            </w:r>
          </w:p>
        </w:tc>
        <w:tc>
          <w:tcPr>
            <w:tcW w:w="1154" w:type="dxa"/>
            <w:tcBorders>
              <w:top w:val="single" w:sz="6" w:space="0" w:color="auto"/>
              <w:left w:val="single" w:sz="6" w:space="0" w:color="auto"/>
              <w:bottom w:val="single" w:sz="6" w:space="0" w:color="auto"/>
              <w:right w:val="single" w:sz="6" w:space="0" w:color="auto"/>
            </w:tcBorders>
          </w:tcPr>
          <w:p w14:paraId="61DA661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0,47</w:t>
            </w:r>
          </w:p>
        </w:tc>
        <w:tc>
          <w:tcPr>
            <w:tcW w:w="696" w:type="dxa"/>
            <w:tcBorders>
              <w:top w:val="single" w:sz="6" w:space="0" w:color="auto"/>
              <w:left w:val="single" w:sz="6" w:space="0" w:color="auto"/>
              <w:bottom w:val="single" w:sz="6" w:space="0" w:color="auto"/>
              <w:right w:val="single" w:sz="6" w:space="0" w:color="auto"/>
            </w:tcBorders>
          </w:tcPr>
          <w:p w14:paraId="128B5F9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07DEF887"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25,27</w:t>
            </w:r>
          </w:p>
        </w:tc>
        <w:tc>
          <w:tcPr>
            <w:tcW w:w="600" w:type="dxa"/>
            <w:tcBorders>
              <w:top w:val="single" w:sz="6" w:space="0" w:color="auto"/>
              <w:left w:val="single" w:sz="6" w:space="0" w:color="auto"/>
              <w:bottom w:val="single" w:sz="6" w:space="0" w:color="auto"/>
              <w:right w:val="single" w:sz="6" w:space="0" w:color="auto"/>
            </w:tcBorders>
          </w:tcPr>
          <w:p w14:paraId="0FF1104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0F86D257"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1DFA21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21</w:t>
            </w:r>
          </w:p>
        </w:tc>
        <w:tc>
          <w:tcPr>
            <w:tcW w:w="1487" w:type="dxa"/>
            <w:tcBorders>
              <w:top w:val="single" w:sz="6" w:space="0" w:color="auto"/>
              <w:left w:val="single" w:sz="6" w:space="0" w:color="auto"/>
              <w:bottom w:val="single" w:sz="6" w:space="0" w:color="auto"/>
              <w:right w:val="single" w:sz="6" w:space="0" w:color="auto"/>
            </w:tcBorders>
          </w:tcPr>
          <w:p w14:paraId="3B59FE8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Milan Tůma</w:t>
            </w:r>
          </w:p>
        </w:tc>
        <w:tc>
          <w:tcPr>
            <w:tcW w:w="1643" w:type="dxa"/>
            <w:tcBorders>
              <w:top w:val="single" w:sz="6" w:space="0" w:color="auto"/>
              <w:left w:val="single" w:sz="6" w:space="0" w:color="auto"/>
              <w:bottom w:val="single" w:sz="6" w:space="0" w:color="auto"/>
              <w:right w:val="single" w:sz="6" w:space="0" w:color="auto"/>
            </w:tcBorders>
          </w:tcPr>
          <w:p w14:paraId="0687824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K+T Děčín - kotelna</w:t>
            </w:r>
          </w:p>
        </w:tc>
        <w:tc>
          <w:tcPr>
            <w:tcW w:w="917" w:type="dxa"/>
            <w:tcBorders>
              <w:top w:val="single" w:sz="6" w:space="0" w:color="auto"/>
              <w:left w:val="single" w:sz="6" w:space="0" w:color="auto"/>
              <w:bottom w:val="single" w:sz="6" w:space="0" w:color="auto"/>
              <w:right w:val="single" w:sz="6" w:space="0" w:color="auto"/>
            </w:tcBorders>
          </w:tcPr>
          <w:p w14:paraId="179CA3F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Dolní Oldřichov</w:t>
            </w:r>
          </w:p>
        </w:tc>
        <w:tc>
          <w:tcPr>
            <w:tcW w:w="1315" w:type="dxa"/>
            <w:tcBorders>
              <w:top w:val="single" w:sz="6" w:space="0" w:color="auto"/>
              <w:left w:val="single" w:sz="6" w:space="0" w:color="auto"/>
              <w:bottom w:val="single" w:sz="6" w:space="0" w:color="auto"/>
              <w:right w:val="single" w:sz="6" w:space="0" w:color="auto"/>
            </w:tcBorders>
          </w:tcPr>
          <w:p w14:paraId="6F4B4F5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Teplická</w:t>
            </w:r>
          </w:p>
        </w:tc>
        <w:tc>
          <w:tcPr>
            <w:tcW w:w="522" w:type="dxa"/>
            <w:tcBorders>
              <w:top w:val="single" w:sz="6" w:space="0" w:color="auto"/>
              <w:left w:val="single" w:sz="6" w:space="0" w:color="auto"/>
              <w:bottom w:val="single" w:sz="6" w:space="0" w:color="auto"/>
              <w:right w:val="single" w:sz="6" w:space="0" w:color="auto"/>
            </w:tcBorders>
          </w:tcPr>
          <w:p w14:paraId="372E915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144</w:t>
            </w:r>
          </w:p>
        </w:tc>
        <w:tc>
          <w:tcPr>
            <w:tcW w:w="1154" w:type="dxa"/>
            <w:tcBorders>
              <w:top w:val="single" w:sz="6" w:space="0" w:color="auto"/>
              <w:left w:val="single" w:sz="6" w:space="0" w:color="auto"/>
              <w:bottom w:val="single" w:sz="6" w:space="0" w:color="auto"/>
              <w:right w:val="single" w:sz="6" w:space="0" w:color="auto"/>
            </w:tcBorders>
          </w:tcPr>
          <w:p w14:paraId="1089C7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0,8</w:t>
            </w:r>
          </w:p>
        </w:tc>
        <w:tc>
          <w:tcPr>
            <w:tcW w:w="696" w:type="dxa"/>
            <w:tcBorders>
              <w:top w:val="single" w:sz="6" w:space="0" w:color="auto"/>
              <w:left w:val="single" w:sz="6" w:space="0" w:color="auto"/>
              <w:bottom w:val="single" w:sz="6" w:space="0" w:color="auto"/>
              <w:right w:val="single" w:sz="6" w:space="0" w:color="auto"/>
            </w:tcBorders>
          </w:tcPr>
          <w:p w14:paraId="10C8112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DREV</w:t>
            </w:r>
          </w:p>
        </w:tc>
        <w:tc>
          <w:tcPr>
            <w:tcW w:w="758" w:type="dxa"/>
            <w:tcBorders>
              <w:top w:val="single" w:sz="6" w:space="0" w:color="auto"/>
              <w:left w:val="single" w:sz="6" w:space="0" w:color="auto"/>
              <w:bottom w:val="single" w:sz="6" w:space="0" w:color="auto"/>
              <w:right w:val="single" w:sz="6" w:space="0" w:color="auto"/>
            </w:tcBorders>
          </w:tcPr>
          <w:p w14:paraId="66473CF7"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156</w:t>
            </w:r>
          </w:p>
        </w:tc>
        <w:tc>
          <w:tcPr>
            <w:tcW w:w="600" w:type="dxa"/>
            <w:tcBorders>
              <w:top w:val="single" w:sz="6" w:space="0" w:color="auto"/>
              <w:left w:val="single" w:sz="6" w:space="0" w:color="auto"/>
              <w:bottom w:val="single" w:sz="6" w:space="0" w:color="auto"/>
              <w:right w:val="single" w:sz="6" w:space="0" w:color="auto"/>
            </w:tcBorders>
          </w:tcPr>
          <w:p w14:paraId="55FABF3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164BCC04"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24004E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22</w:t>
            </w:r>
          </w:p>
        </w:tc>
        <w:tc>
          <w:tcPr>
            <w:tcW w:w="1487" w:type="dxa"/>
            <w:tcBorders>
              <w:top w:val="single" w:sz="6" w:space="0" w:color="auto"/>
              <w:left w:val="single" w:sz="6" w:space="0" w:color="auto"/>
              <w:bottom w:val="single" w:sz="6" w:space="0" w:color="auto"/>
              <w:right w:val="single" w:sz="6" w:space="0" w:color="auto"/>
            </w:tcBorders>
          </w:tcPr>
          <w:p w14:paraId="2D09260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WICO s.p. v likvidaci</w:t>
            </w:r>
          </w:p>
        </w:tc>
        <w:tc>
          <w:tcPr>
            <w:tcW w:w="1643" w:type="dxa"/>
            <w:tcBorders>
              <w:top w:val="single" w:sz="6" w:space="0" w:color="auto"/>
              <w:left w:val="single" w:sz="6" w:space="0" w:color="auto"/>
              <w:bottom w:val="single" w:sz="6" w:space="0" w:color="auto"/>
              <w:right w:val="single" w:sz="6" w:space="0" w:color="auto"/>
            </w:tcBorders>
          </w:tcPr>
          <w:p w14:paraId="53059E8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WICO Na hrázi</w:t>
            </w:r>
          </w:p>
        </w:tc>
        <w:tc>
          <w:tcPr>
            <w:tcW w:w="917" w:type="dxa"/>
            <w:tcBorders>
              <w:top w:val="single" w:sz="6" w:space="0" w:color="auto"/>
              <w:left w:val="single" w:sz="6" w:space="0" w:color="auto"/>
              <w:bottom w:val="single" w:sz="6" w:space="0" w:color="auto"/>
              <w:right w:val="single" w:sz="6" w:space="0" w:color="auto"/>
            </w:tcBorders>
          </w:tcPr>
          <w:p w14:paraId="199FB12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Dolní Oldřichov</w:t>
            </w:r>
          </w:p>
        </w:tc>
        <w:tc>
          <w:tcPr>
            <w:tcW w:w="1315" w:type="dxa"/>
            <w:tcBorders>
              <w:top w:val="single" w:sz="6" w:space="0" w:color="auto"/>
              <w:left w:val="single" w:sz="6" w:space="0" w:color="auto"/>
              <w:bottom w:val="single" w:sz="6" w:space="0" w:color="auto"/>
              <w:right w:val="single" w:sz="6" w:space="0" w:color="auto"/>
            </w:tcBorders>
          </w:tcPr>
          <w:p w14:paraId="1E5B242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Na hrázi</w:t>
            </w:r>
          </w:p>
        </w:tc>
        <w:tc>
          <w:tcPr>
            <w:tcW w:w="522" w:type="dxa"/>
            <w:tcBorders>
              <w:top w:val="single" w:sz="6" w:space="0" w:color="auto"/>
              <w:left w:val="single" w:sz="6" w:space="0" w:color="auto"/>
              <w:bottom w:val="single" w:sz="6" w:space="0" w:color="auto"/>
              <w:right w:val="single" w:sz="6" w:space="0" w:color="auto"/>
            </w:tcBorders>
          </w:tcPr>
          <w:p w14:paraId="29865B2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25</w:t>
            </w:r>
          </w:p>
        </w:tc>
        <w:tc>
          <w:tcPr>
            <w:tcW w:w="1154" w:type="dxa"/>
            <w:tcBorders>
              <w:top w:val="single" w:sz="6" w:space="0" w:color="auto"/>
              <w:left w:val="single" w:sz="6" w:space="0" w:color="auto"/>
              <w:bottom w:val="single" w:sz="6" w:space="0" w:color="auto"/>
              <w:right w:val="single" w:sz="6" w:space="0" w:color="auto"/>
            </w:tcBorders>
          </w:tcPr>
          <w:p w14:paraId="226404D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1,16</w:t>
            </w:r>
          </w:p>
        </w:tc>
        <w:tc>
          <w:tcPr>
            <w:tcW w:w="696" w:type="dxa"/>
            <w:tcBorders>
              <w:top w:val="single" w:sz="6" w:space="0" w:color="auto"/>
              <w:left w:val="single" w:sz="6" w:space="0" w:color="auto"/>
              <w:bottom w:val="single" w:sz="6" w:space="0" w:color="auto"/>
              <w:right w:val="single" w:sz="6" w:space="0" w:color="auto"/>
            </w:tcBorders>
          </w:tcPr>
          <w:p w14:paraId="7219A65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5D0FE87E"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390</w:t>
            </w:r>
          </w:p>
        </w:tc>
        <w:tc>
          <w:tcPr>
            <w:tcW w:w="600" w:type="dxa"/>
            <w:tcBorders>
              <w:top w:val="single" w:sz="6" w:space="0" w:color="auto"/>
              <w:left w:val="single" w:sz="6" w:space="0" w:color="auto"/>
              <w:bottom w:val="single" w:sz="6" w:space="0" w:color="auto"/>
              <w:right w:val="single" w:sz="6" w:space="0" w:color="auto"/>
            </w:tcBorders>
          </w:tcPr>
          <w:p w14:paraId="4657184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7DACBD85"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74DE75F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23</w:t>
            </w:r>
          </w:p>
        </w:tc>
        <w:tc>
          <w:tcPr>
            <w:tcW w:w="1487" w:type="dxa"/>
            <w:tcBorders>
              <w:top w:val="single" w:sz="6" w:space="0" w:color="auto"/>
              <w:left w:val="single" w:sz="6" w:space="0" w:color="auto"/>
              <w:bottom w:val="single" w:sz="6" w:space="0" w:color="auto"/>
              <w:right w:val="single" w:sz="6" w:space="0" w:color="auto"/>
            </w:tcBorders>
          </w:tcPr>
          <w:p w14:paraId="15606DA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Kovočas</w:t>
            </w:r>
            <w:r w:rsidRPr="00D42621">
              <w:rPr>
                <w:rFonts w:ascii="Arial" w:hAnsi="Arial"/>
                <w:color w:val="000000"/>
                <w:sz w:val="16"/>
                <w:szCs w:val="16"/>
                <w:lang w:eastAsia="cs-CZ"/>
              </w:rPr>
              <w:t xml:space="preserve"> v.d.</w:t>
            </w:r>
          </w:p>
        </w:tc>
        <w:tc>
          <w:tcPr>
            <w:tcW w:w="1643" w:type="dxa"/>
            <w:tcBorders>
              <w:top w:val="single" w:sz="6" w:space="0" w:color="auto"/>
              <w:left w:val="single" w:sz="6" w:space="0" w:color="auto"/>
              <w:bottom w:val="single" w:sz="6" w:space="0" w:color="auto"/>
              <w:right w:val="single" w:sz="6" w:space="0" w:color="auto"/>
            </w:tcBorders>
          </w:tcPr>
          <w:p w14:paraId="2F5A9EB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Oldřichovská</w:t>
            </w:r>
          </w:p>
        </w:tc>
        <w:tc>
          <w:tcPr>
            <w:tcW w:w="917" w:type="dxa"/>
            <w:tcBorders>
              <w:top w:val="single" w:sz="6" w:space="0" w:color="auto"/>
              <w:left w:val="single" w:sz="6" w:space="0" w:color="auto"/>
              <w:bottom w:val="single" w:sz="6" w:space="0" w:color="auto"/>
              <w:right w:val="single" w:sz="6" w:space="0" w:color="auto"/>
            </w:tcBorders>
          </w:tcPr>
          <w:p w14:paraId="4287BB8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Horní Oldřichov</w:t>
            </w:r>
          </w:p>
        </w:tc>
        <w:tc>
          <w:tcPr>
            <w:tcW w:w="1315" w:type="dxa"/>
            <w:tcBorders>
              <w:top w:val="single" w:sz="6" w:space="0" w:color="auto"/>
              <w:left w:val="single" w:sz="6" w:space="0" w:color="auto"/>
              <w:bottom w:val="single" w:sz="6" w:space="0" w:color="auto"/>
              <w:right w:val="single" w:sz="6" w:space="0" w:color="auto"/>
            </w:tcBorders>
          </w:tcPr>
          <w:p w14:paraId="6C321D3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Oldřichovská</w:t>
            </w:r>
          </w:p>
        </w:tc>
        <w:tc>
          <w:tcPr>
            <w:tcW w:w="522" w:type="dxa"/>
            <w:tcBorders>
              <w:top w:val="single" w:sz="6" w:space="0" w:color="auto"/>
              <w:left w:val="single" w:sz="6" w:space="0" w:color="auto"/>
              <w:bottom w:val="single" w:sz="6" w:space="0" w:color="auto"/>
              <w:right w:val="single" w:sz="6" w:space="0" w:color="auto"/>
            </w:tcBorders>
          </w:tcPr>
          <w:p w14:paraId="59975B0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15</w:t>
            </w:r>
          </w:p>
        </w:tc>
        <w:tc>
          <w:tcPr>
            <w:tcW w:w="1154" w:type="dxa"/>
            <w:tcBorders>
              <w:top w:val="single" w:sz="6" w:space="0" w:color="auto"/>
              <w:left w:val="single" w:sz="6" w:space="0" w:color="auto"/>
              <w:bottom w:val="single" w:sz="6" w:space="0" w:color="auto"/>
              <w:right w:val="single" w:sz="6" w:space="0" w:color="auto"/>
            </w:tcBorders>
          </w:tcPr>
          <w:p w14:paraId="1E8D425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0,575 + 0,405</w:t>
            </w:r>
          </w:p>
        </w:tc>
        <w:tc>
          <w:tcPr>
            <w:tcW w:w="696" w:type="dxa"/>
            <w:tcBorders>
              <w:top w:val="single" w:sz="6" w:space="0" w:color="auto"/>
              <w:left w:val="single" w:sz="6" w:space="0" w:color="auto"/>
              <w:bottom w:val="single" w:sz="6" w:space="0" w:color="auto"/>
              <w:right w:val="single" w:sz="6" w:space="0" w:color="auto"/>
            </w:tcBorders>
          </w:tcPr>
          <w:p w14:paraId="2C37C38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7255C2EC"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42,68</w:t>
            </w:r>
          </w:p>
        </w:tc>
        <w:tc>
          <w:tcPr>
            <w:tcW w:w="600" w:type="dxa"/>
            <w:tcBorders>
              <w:top w:val="single" w:sz="6" w:space="0" w:color="auto"/>
              <w:left w:val="single" w:sz="6" w:space="0" w:color="auto"/>
              <w:bottom w:val="single" w:sz="6" w:space="0" w:color="auto"/>
              <w:right w:val="single" w:sz="6" w:space="0" w:color="auto"/>
            </w:tcBorders>
          </w:tcPr>
          <w:p w14:paraId="5F23DB9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373AE280"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66EF8CF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24</w:t>
            </w:r>
          </w:p>
        </w:tc>
        <w:tc>
          <w:tcPr>
            <w:tcW w:w="1487" w:type="dxa"/>
            <w:tcBorders>
              <w:top w:val="single" w:sz="6" w:space="0" w:color="auto"/>
              <w:left w:val="single" w:sz="6" w:space="0" w:color="auto"/>
              <w:bottom w:val="single" w:sz="6" w:space="0" w:color="auto"/>
              <w:right w:val="single" w:sz="6" w:space="0" w:color="auto"/>
            </w:tcBorders>
          </w:tcPr>
          <w:p w14:paraId="0EFF4D6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GSK Spartak</w:t>
            </w:r>
          </w:p>
        </w:tc>
        <w:tc>
          <w:tcPr>
            <w:tcW w:w="1643" w:type="dxa"/>
            <w:tcBorders>
              <w:top w:val="single" w:sz="6" w:space="0" w:color="auto"/>
              <w:left w:val="single" w:sz="6" w:space="0" w:color="auto"/>
              <w:bottom w:val="single" w:sz="6" w:space="0" w:color="auto"/>
              <w:right w:val="single" w:sz="6" w:space="0" w:color="auto"/>
            </w:tcBorders>
          </w:tcPr>
          <w:p w14:paraId="7348227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GSK Spartak, H.Žleb</w:t>
            </w:r>
          </w:p>
        </w:tc>
        <w:tc>
          <w:tcPr>
            <w:tcW w:w="917" w:type="dxa"/>
            <w:tcBorders>
              <w:top w:val="single" w:sz="6" w:space="0" w:color="auto"/>
              <w:left w:val="single" w:sz="6" w:space="0" w:color="auto"/>
              <w:bottom w:val="single" w:sz="6" w:space="0" w:color="auto"/>
              <w:right w:val="single" w:sz="6" w:space="0" w:color="auto"/>
            </w:tcBorders>
          </w:tcPr>
          <w:p w14:paraId="315EC06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Horní Žleb</w:t>
            </w:r>
          </w:p>
        </w:tc>
        <w:tc>
          <w:tcPr>
            <w:tcW w:w="1315" w:type="dxa"/>
            <w:tcBorders>
              <w:top w:val="single" w:sz="6" w:space="0" w:color="auto"/>
              <w:left w:val="single" w:sz="6" w:space="0" w:color="auto"/>
              <w:bottom w:val="single" w:sz="6" w:space="0" w:color="auto"/>
              <w:right w:val="single" w:sz="6" w:space="0" w:color="auto"/>
            </w:tcBorders>
          </w:tcPr>
          <w:p w14:paraId="1B0786B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Horní Žleb</w:t>
            </w:r>
          </w:p>
        </w:tc>
        <w:tc>
          <w:tcPr>
            <w:tcW w:w="522" w:type="dxa"/>
            <w:tcBorders>
              <w:top w:val="single" w:sz="6" w:space="0" w:color="auto"/>
              <w:left w:val="single" w:sz="6" w:space="0" w:color="auto"/>
              <w:bottom w:val="single" w:sz="6" w:space="0" w:color="auto"/>
              <w:right w:val="single" w:sz="6" w:space="0" w:color="auto"/>
            </w:tcBorders>
          </w:tcPr>
          <w:p w14:paraId="0AC89BF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54</w:t>
            </w:r>
          </w:p>
        </w:tc>
        <w:tc>
          <w:tcPr>
            <w:tcW w:w="1154" w:type="dxa"/>
            <w:tcBorders>
              <w:top w:val="single" w:sz="6" w:space="0" w:color="auto"/>
              <w:left w:val="single" w:sz="6" w:space="0" w:color="auto"/>
              <w:bottom w:val="single" w:sz="6" w:space="0" w:color="auto"/>
              <w:right w:val="single" w:sz="6" w:space="0" w:color="auto"/>
            </w:tcBorders>
          </w:tcPr>
          <w:p w14:paraId="4D12FE2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w:t>
            </w:r>
          </w:p>
        </w:tc>
        <w:tc>
          <w:tcPr>
            <w:tcW w:w="696" w:type="dxa"/>
            <w:tcBorders>
              <w:top w:val="single" w:sz="6" w:space="0" w:color="auto"/>
              <w:left w:val="single" w:sz="6" w:space="0" w:color="auto"/>
              <w:bottom w:val="single" w:sz="6" w:space="0" w:color="auto"/>
              <w:right w:val="single" w:sz="6" w:space="0" w:color="auto"/>
            </w:tcBorders>
          </w:tcPr>
          <w:p w14:paraId="6CAD38A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4C63E6C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14,5</w:t>
            </w:r>
          </w:p>
        </w:tc>
        <w:tc>
          <w:tcPr>
            <w:tcW w:w="600" w:type="dxa"/>
            <w:tcBorders>
              <w:top w:val="single" w:sz="6" w:space="0" w:color="auto"/>
              <w:left w:val="single" w:sz="6" w:space="0" w:color="auto"/>
              <w:bottom w:val="single" w:sz="6" w:space="0" w:color="auto"/>
              <w:right w:val="single" w:sz="6" w:space="0" w:color="auto"/>
            </w:tcBorders>
          </w:tcPr>
          <w:p w14:paraId="2F99B82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561A2F55"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691007A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25</w:t>
            </w:r>
          </w:p>
        </w:tc>
        <w:tc>
          <w:tcPr>
            <w:tcW w:w="1487" w:type="dxa"/>
            <w:tcBorders>
              <w:top w:val="single" w:sz="6" w:space="0" w:color="auto"/>
              <w:left w:val="single" w:sz="6" w:space="0" w:color="auto"/>
              <w:bottom w:val="single" w:sz="6" w:space="0" w:color="auto"/>
              <w:right w:val="single" w:sz="6" w:space="0" w:color="auto"/>
            </w:tcBorders>
          </w:tcPr>
          <w:p w14:paraId="2702E35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MONOSH s.r.o.</w:t>
            </w:r>
          </w:p>
        </w:tc>
        <w:tc>
          <w:tcPr>
            <w:tcW w:w="1643" w:type="dxa"/>
            <w:tcBorders>
              <w:top w:val="single" w:sz="6" w:space="0" w:color="auto"/>
              <w:left w:val="single" w:sz="6" w:space="0" w:color="auto"/>
              <w:bottom w:val="single" w:sz="6" w:space="0" w:color="auto"/>
              <w:right w:val="single" w:sz="6" w:space="0" w:color="auto"/>
            </w:tcBorders>
          </w:tcPr>
          <w:p w14:paraId="34D77D1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Monosh</w:t>
            </w:r>
          </w:p>
        </w:tc>
        <w:tc>
          <w:tcPr>
            <w:tcW w:w="917" w:type="dxa"/>
            <w:tcBorders>
              <w:top w:val="single" w:sz="6" w:space="0" w:color="auto"/>
              <w:left w:val="single" w:sz="6" w:space="0" w:color="auto"/>
              <w:bottom w:val="single" w:sz="6" w:space="0" w:color="auto"/>
              <w:right w:val="single" w:sz="6" w:space="0" w:color="auto"/>
            </w:tcBorders>
          </w:tcPr>
          <w:p w14:paraId="49E7571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Chrochvice</w:t>
            </w:r>
          </w:p>
        </w:tc>
        <w:tc>
          <w:tcPr>
            <w:tcW w:w="1315" w:type="dxa"/>
            <w:tcBorders>
              <w:top w:val="single" w:sz="6" w:space="0" w:color="auto"/>
              <w:left w:val="single" w:sz="6" w:space="0" w:color="auto"/>
              <w:bottom w:val="single" w:sz="6" w:space="0" w:color="auto"/>
              <w:right w:val="single" w:sz="6" w:space="0" w:color="auto"/>
            </w:tcBorders>
          </w:tcPr>
          <w:p w14:paraId="4B05D95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Podmostní</w:t>
            </w:r>
          </w:p>
        </w:tc>
        <w:tc>
          <w:tcPr>
            <w:tcW w:w="522" w:type="dxa"/>
            <w:tcBorders>
              <w:top w:val="single" w:sz="6" w:space="0" w:color="auto"/>
              <w:left w:val="single" w:sz="6" w:space="0" w:color="auto"/>
              <w:bottom w:val="single" w:sz="6" w:space="0" w:color="auto"/>
              <w:right w:val="single" w:sz="6" w:space="0" w:color="auto"/>
            </w:tcBorders>
          </w:tcPr>
          <w:p w14:paraId="3A7098D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39</w:t>
            </w:r>
          </w:p>
        </w:tc>
        <w:tc>
          <w:tcPr>
            <w:tcW w:w="1154" w:type="dxa"/>
            <w:tcBorders>
              <w:top w:val="single" w:sz="6" w:space="0" w:color="auto"/>
              <w:left w:val="single" w:sz="6" w:space="0" w:color="auto"/>
              <w:bottom w:val="single" w:sz="6" w:space="0" w:color="auto"/>
              <w:right w:val="single" w:sz="6" w:space="0" w:color="auto"/>
            </w:tcBorders>
          </w:tcPr>
          <w:p w14:paraId="0CA4DBC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0,185</w:t>
            </w:r>
          </w:p>
        </w:tc>
        <w:tc>
          <w:tcPr>
            <w:tcW w:w="696" w:type="dxa"/>
            <w:tcBorders>
              <w:top w:val="single" w:sz="6" w:space="0" w:color="auto"/>
              <w:left w:val="single" w:sz="6" w:space="0" w:color="auto"/>
              <w:bottom w:val="single" w:sz="6" w:space="0" w:color="auto"/>
              <w:right w:val="single" w:sz="6" w:space="0" w:color="auto"/>
            </w:tcBorders>
          </w:tcPr>
          <w:p w14:paraId="2B8F5EE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3639351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69,5</w:t>
            </w:r>
          </w:p>
        </w:tc>
        <w:tc>
          <w:tcPr>
            <w:tcW w:w="600" w:type="dxa"/>
            <w:tcBorders>
              <w:top w:val="single" w:sz="6" w:space="0" w:color="auto"/>
              <w:left w:val="single" w:sz="6" w:space="0" w:color="auto"/>
              <w:bottom w:val="single" w:sz="6" w:space="0" w:color="auto"/>
              <w:right w:val="single" w:sz="6" w:space="0" w:color="auto"/>
            </w:tcBorders>
          </w:tcPr>
          <w:p w14:paraId="4BB767E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7C62234B"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596B9F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26</w:t>
            </w:r>
          </w:p>
        </w:tc>
        <w:tc>
          <w:tcPr>
            <w:tcW w:w="1487" w:type="dxa"/>
            <w:tcBorders>
              <w:top w:val="single" w:sz="6" w:space="0" w:color="auto"/>
              <w:left w:val="single" w:sz="6" w:space="0" w:color="auto"/>
              <w:bottom w:val="single" w:sz="6" w:space="0" w:color="auto"/>
              <w:right w:val="single" w:sz="6" w:space="0" w:color="auto"/>
            </w:tcBorders>
          </w:tcPr>
          <w:p w14:paraId="42698D7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Kovočas</w:t>
            </w:r>
            <w:r w:rsidRPr="00D42621">
              <w:rPr>
                <w:rFonts w:ascii="Arial" w:hAnsi="Arial"/>
                <w:color w:val="000000"/>
                <w:sz w:val="16"/>
                <w:szCs w:val="16"/>
                <w:lang w:eastAsia="cs-CZ"/>
              </w:rPr>
              <w:t xml:space="preserve"> v.d.</w:t>
            </w:r>
          </w:p>
        </w:tc>
        <w:tc>
          <w:tcPr>
            <w:tcW w:w="1643" w:type="dxa"/>
            <w:tcBorders>
              <w:top w:val="single" w:sz="6" w:space="0" w:color="auto"/>
              <w:left w:val="single" w:sz="6" w:space="0" w:color="auto"/>
              <w:bottom w:val="single" w:sz="6" w:space="0" w:color="auto"/>
              <w:right w:val="single" w:sz="6" w:space="0" w:color="auto"/>
            </w:tcBorders>
          </w:tcPr>
          <w:p w14:paraId="6664689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Kovočas</w:t>
            </w:r>
          </w:p>
        </w:tc>
        <w:tc>
          <w:tcPr>
            <w:tcW w:w="917" w:type="dxa"/>
            <w:tcBorders>
              <w:top w:val="single" w:sz="6" w:space="0" w:color="auto"/>
              <w:left w:val="single" w:sz="6" w:space="0" w:color="auto"/>
              <w:bottom w:val="single" w:sz="6" w:space="0" w:color="auto"/>
              <w:right w:val="single" w:sz="6" w:space="0" w:color="auto"/>
            </w:tcBorders>
          </w:tcPr>
          <w:p w14:paraId="350E483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Chrochvice</w:t>
            </w:r>
          </w:p>
        </w:tc>
        <w:tc>
          <w:tcPr>
            <w:tcW w:w="1315" w:type="dxa"/>
            <w:tcBorders>
              <w:top w:val="single" w:sz="6" w:space="0" w:color="auto"/>
              <w:left w:val="single" w:sz="6" w:space="0" w:color="auto"/>
              <w:bottom w:val="single" w:sz="6" w:space="0" w:color="auto"/>
              <w:right w:val="single" w:sz="6" w:space="0" w:color="auto"/>
            </w:tcBorders>
          </w:tcPr>
          <w:p w14:paraId="7FF474F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Mendelova</w:t>
            </w:r>
          </w:p>
        </w:tc>
        <w:tc>
          <w:tcPr>
            <w:tcW w:w="522" w:type="dxa"/>
            <w:tcBorders>
              <w:top w:val="single" w:sz="6" w:space="0" w:color="auto"/>
              <w:left w:val="single" w:sz="6" w:space="0" w:color="auto"/>
              <w:bottom w:val="single" w:sz="6" w:space="0" w:color="auto"/>
              <w:right w:val="single" w:sz="6" w:space="0" w:color="auto"/>
            </w:tcBorders>
          </w:tcPr>
          <w:p w14:paraId="6038EB0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w:t>
            </w:r>
          </w:p>
        </w:tc>
        <w:tc>
          <w:tcPr>
            <w:tcW w:w="1154" w:type="dxa"/>
            <w:tcBorders>
              <w:top w:val="single" w:sz="6" w:space="0" w:color="auto"/>
              <w:left w:val="single" w:sz="6" w:space="0" w:color="auto"/>
              <w:bottom w:val="single" w:sz="6" w:space="0" w:color="auto"/>
              <w:right w:val="single" w:sz="6" w:space="0" w:color="auto"/>
            </w:tcBorders>
          </w:tcPr>
          <w:p w14:paraId="029DFCC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0,28</w:t>
            </w:r>
          </w:p>
        </w:tc>
        <w:tc>
          <w:tcPr>
            <w:tcW w:w="696" w:type="dxa"/>
            <w:tcBorders>
              <w:top w:val="single" w:sz="6" w:space="0" w:color="auto"/>
              <w:left w:val="single" w:sz="6" w:space="0" w:color="auto"/>
              <w:bottom w:val="single" w:sz="6" w:space="0" w:color="auto"/>
              <w:right w:val="single" w:sz="6" w:space="0" w:color="auto"/>
            </w:tcBorders>
          </w:tcPr>
          <w:p w14:paraId="01F855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2EFBF52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22</w:t>
            </w:r>
          </w:p>
        </w:tc>
        <w:tc>
          <w:tcPr>
            <w:tcW w:w="600" w:type="dxa"/>
            <w:tcBorders>
              <w:top w:val="single" w:sz="6" w:space="0" w:color="auto"/>
              <w:left w:val="single" w:sz="6" w:space="0" w:color="auto"/>
              <w:bottom w:val="single" w:sz="6" w:space="0" w:color="auto"/>
              <w:right w:val="single" w:sz="6" w:space="0" w:color="auto"/>
            </w:tcBorders>
          </w:tcPr>
          <w:p w14:paraId="12F92DE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730BC499"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5BF0FF8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27</w:t>
            </w:r>
          </w:p>
        </w:tc>
        <w:tc>
          <w:tcPr>
            <w:tcW w:w="1487" w:type="dxa"/>
            <w:tcBorders>
              <w:top w:val="single" w:sz="6" w:space="0" w:color="auto"/>
              <w:left w:val="single" w:sz="6" w:space="0" w:color="auto"/>
              <w:bottom w:val="single" w:sz="6" w:space="0" w:color="auto"/>
              <w:right w:val="single" w:sz="6" w:space="0" w:color="auto"/>
            </w:tcBorders>
          </w:tcPr>
          <w:p w14:paraId="47881E6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SOU dopravní a Učiliště</w:t>
            </w:r>
          </w:p>
        </w:tc>
        <w:tc>
          <w:tcPr>
            <w:tcW w:w="1643" w:type="dxa"/>
            <w:tcBorders>
              <w:top w:val="single" w:sz="6" w:space="0" w:color="auto"/>
              <w:left w:val="single" w:sz="6" w:space="0" w:color="auto"/>
              <w:bottom w:val="single" w:sz="6" w:space="0" w:color="auto"/>
              <w:right w:val="single" w:sz="6" w:space="0" w:color="auto"/>
            </w:tcBorders>
          </w:tcPr>
          <w:p w14:paraId="4C0279D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SOU Křešice</w:t>
            </w:r>
          </w:p>
        </w:tc>
        <w:tc>
          <w:tcPr>
            <w:tcW w:w="917" w:type="dxa"/>
            <w:tcBorders>
              <w:top w:val="single" w:sz="6" w:space="0" w:color="auto"/>
              <w:left w:val="single" w:sz="6" w:space="0" w:color="auto"/>
              <w:bottom w:val="single" w:sz="6" w:space="0" w:color="auto"/>
              <w:right w:val="single" w:sz="6" w:space="0" w:color="auto"/>
            </w:tcBorders>
          </w:tcPr>
          <w:p w14:paraId="1609A1C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Křešice</w:t>
            </w:r>
          </w:p>
        </w:tc>
        <w:tc>
          <w:tcPr>
            <w:tcW w:w="1315" w:type="dxa"/>
            <w:tcBorders>
              <w:top w:val="single" w:sz="6" w:space="0" w:color="auto"/>
              <w:left w:val="single" w:sz="6" w:space="0" w:color="auto"/>
              <w:bottom w:val="single" w:sz="6" w:space="0" w:color="auto"/>
              <w:right w:val="single" w:sz="6" w:space="0" w:color="auto"/>
            </w:tcBorders>
          </w:tcPr>
          <w:p w14:paraId="0A8EF86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Vítězství</w:t>
            </w:r>
          </w:p>
        </w:tc>
        <w:tc>
          <w:tcPr>
            <w:tcW w:w="522" w:type="dxa"/>
            <w:tcBorders>
              <w:top w:val="single" w:sz="6" w:space="0" w:color="auto"/>
              <w:left w:val="single" w:sz="6" w:space="0" w:color="auto"/>
              <w:bottom w:val="single" w:sz="6" w:space="0" w:color="auto"/>
              <w:right w:val="single" w:sz="6" w:space="0" w:color="auto"/>
            </w:tcBorders>
          </w:tcPr>
          <w:p w14:paraId="29DC3CF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194</w:t>
            </w:r>
          </w:p>
        </w:tc>
        <w:tc>
          <w:tcPr>
            <w:tcW w:w="1154" w:type="dxa"/>
            <w:tcBorders>
              <w:top w:val="single" w:sz="6" w:space="0" w:color="auto"/>
              <w:left w:val="single" w:sz="6" w:space="0" w:color="auto"/>
              <w:bottom w:val="single" w:sz="6" w:space="0" w:color="auto"/>
              <w:right w:val="single" w:sz="6" w:space="0" w:color="auto"/>
            </w:tcBorders>
          </w:tcPr>
          <w:p w14:paraId="011CB13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0,27</w:t>
            </w:r>
          </w:p>
        </w:tc>
        <w:tc>
          <w:tcPr>
            <w:tcW w:w="696" w:type="dxa"/>
            <w:tcBorders>
              <w:top w:val="single" w:sz="6" w:space="0" w:color="auto"/>
              <w:left w:val="single" w:sz="6" w:space="0" w:color="auto"/>
              <w:bottom w:val="single" w:sz="6" w:space="0" w:color="auto"/>
              <w:right w:val="single" w:sz="6" w:space="0" w:color="auto"/>
            </w:tcBorders>
          </w:tcPr>
          <w:p w14:paraId="44C8709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KOKS</w:t>
            </w:r>
          </w:p>
        </w:tc>
        <w:tc>
          <w:tcPr>
            <w:tcW w:w="758" w:type="dxa"/>
            <w:tcBorders>
              <w:top w:val="single" w:sz="6" w:space="0" w:color="auto"/>
              <w:left w:val="single" w:sz="6" w:space="0" w:color="auto"/>
              <w:bottom w:val="single" w:sz="6" w:space="0" w:color="auto"/>
              <w:right w:val="single" w:sz="6" w:space="0" w:color="auto"/>
            </w:tcBorders>
          </w:tcPr>
          <w:p w14:paraId="58950FC0"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95</w:t>
            </w:r>
          </w:p>
        </w:tc>
        <w:tc>
          <w:tcPr>
            <w:tcW w:w="600" w:type="dxa"/>
            <w:tcBorders>
              <w:top w:val="single" w:sz="6" w:space="0" w:color="auto"/>
              <w:left w:val="single" w:sz="6" w:space="0" w:color="auto"/>
              <w:bottom w:val="single" w:sz="6" w:space="0" w:color="auto"/>
              <w:right w:val="single" w:sz="6" w:space="0" w:color="auto"/>
            </w:tcBorders>
          </w:tcPr>
          <w:p w14:paraId="698A207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53FA0D97"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2582263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28</w:t>
            </w:r>
          </w:p>
        </w:tc>
        <w:tc>
          <w:tcPr>
            <w:tcW w:w="1487" w:type="dxa"/>
            <w:tcBorders>
              <w:top w:val="single" w:sz="6" w:space="0" w:color="auto"/>
              <w:left w:val="single" w:sz="6" w:space="0" w:color="auto"/>
              <w:bottom w:val="single" w:sz="6" w:space="0" w:color="auto"/>
              <w:right w:val="single" w:sz="6" w:space="0" w:color="auto"/>
            </w:tcBorders>
          </w:tcPr>
          <w:p w14:paraId="0D00863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FEROX a.s.</w:t>
            </w:r>
          </w:p>
        </w:tc>
        <w:tc>
          <w:tcPr>
            <w:tcW w:w="1643" w:type="dxa"/>
            <w:tcBorders>
              <w:top w:val="single" w:sz="6" w:space="0" w:color="auto"/>
              <w:left w:val="single" w:sz="6" w:space="0" w:color="auto"/>
              <w:bottom w:val="single" w:sz="6" w:space="0" w:color="auto"/>
              <w:right w:val="single" w:sz="6" w:space="0" w:color="auto"/>
            </w:tcBorders>
          </w:tcPr>
          <w:p w14:paraId="68299FF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FEROX - kotelna Slovanská 1346</w:t>
            </w:r>
          </w:p>
        </w:tc>
        <w:tc>
          <w:tcPr>
            <w:tcW w:w="917" w:type="dxa"/>
            <w:tcBorders>
              <w:top w:val="single" w:sz="6" w:space="0" w:color="auto"/>
              <w:left w:val="single" w:sz="6" w:space="0" w:color="auto"/>
              <w:bottom w:val="single" w:sz="6" w:space="0" w:color="auto"/>
              <w:right w:val="single" w:sz="6" w:space="0" w:color="auto"/>
            </w:tcBorders>
          </w:tcPr>
          <w:p w14:paraId="1FEB3C4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Letná</w:t>
            </w:r>
          </w:p>
        </w:tc>
        <w:tc>
          <w:tcPr>
            <w:tcW w:w="1315" w:type="dxa"/>
            <w:tcBorders>
              <w:top w:val="single" w:sz="6" w:space="0" w:color="auto"/>
              <w:left w:val="single" w:sz="6" w:space="0" w:color="auto"/>
              <w:bottom w:val="single" w:sz="6" w:space="0" w:color="auto"/>
              <w:right w:val="single" w:sz="6" w:space="0" w:color="auto"/>
            </w:tcBorders>
          </w:tcPr>
          <w:p w14:paraId="1E7405F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Slovanská</w:t>
            </w:r>
          </w:p>
        </w:tc>
        <w:tc>
          <w:tcPr>
            <w:tcW w:w="522" w:type="dxa"/>
            <w:tcBorders>
              <w:top w:val="single" w:sz="6" w:space="0" w:color="auto"/>
              <w:left w:val="single" w:sz="6" w:space="0" w:color="auto"/>
              <w:bottom w:val="single" w:sz="6" w:space="0" w:color="auto"/>
              <w:right w:val="single" w:sz="6" w:space="0" w:color="auto"/>
            </w:tcBorders>
          </w:tcPr>
          <w:p w14:paraId="6415F24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1 346</w:t>
            </w:r>
          </w:p>
        </w:tc>
        <w:tc>
          <w:tcPr>
            <w:tcW w:w="1154" w:type="dxa"/>
            <w:tcBorders>
              <w:top w:val="single" w:sz="6" w:space="0" w:color="auto"/>
              <w:left w:val="single" w:sz="6" w:space="0" w:color="auto"/>
              <w:bottom w:val="single" w:sz="6" w:space="0" w:color="auto"/>
              <w:right w:val="single" w:sz="6" w:space="0" w:color="auto"/>
            </w:tcBorders>
          </w:tcPr>
          <w:p w14:paraId="38FD73C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0,58</w:t>
            </w:r>
          </w:p>
        </w:tc>
        <w:tc>
          <w:tcPr>
            <w:tcW w:w="696" w:type="dxa"/>
            <w:tcBorders>
              <w:top w:val="single" w:sz="6" w:space="0" w:color="auto"/>
              <w:left w:val="single" w:sz="6" w:space="0" w:color="auto"/>
              <w:bottom w:val="single" w:sz="6" w:space="0" w:color="auto"/>
              <w:right w:val="single" w:sz="6" w:space="0" w:color="auto"/>
            </w:tcBorders>
          </w:tcPr>
          <w:p w14:paraId="6E5054A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1ACCEBC1"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50,5</w:t>
            </w:r>
          </w:p>
        </w:tc>
        <w:tc>
          <w:tcPr>
            <w:tcW w:w="600" w:type="dxa"/>
            <w:tcBorders>
              <w:top w:val="single" w:sz="6" w:space="0" w:color="auto"/>
              <w:left w:val="single" w:sz="6" w:space="0" w:color="auto"/>
              <w:bottom w:val="single" w:sz="6" w:space="0" w:color="auto"/>
              <w:right w:val="single" w:sz="6" w:space="0" w:color="auto"/>
            </w:tcBorders>
          </w:tcPr>
          <w:p w14:paraId="427D177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2C6B35F8"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3AE8402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29</w:t>
            </w:r>
          </w:p>
        </w:tc>
        <w:tc>
          <w:tcPr>
            <w:tcW w:w="1487" w:type="dxa"/>
            <w:tcBorders>
              <w:top w:val="single" w:sz="6" w:space="0" w:color="auto"/>
              <w:left w:val="single" w:sz="6" w:space="0" w:color="auto"/>
              <w:bottom w:val="single" w:sz="6" w:space="0" w:color="auto"/>
              <w:right w:val="single" w:sz="6" w:space="0" w:color="auto"/>
            </w:tcBorders>
          </w:tcPr>
          <w:p w14:paraId="7AF12FD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FEROX a.s.</w:t>
            </w:r>
          </w:p>
        </w:tc>
        <w:tc>
          <w:tcPr>
            <w:tcW w:w="1643" w:type="dxa"/>
            <w:tcBorders>
              <w:top w:val="single" w:sz="6" w:space="0" w:color="auto"/>
              <w:left w:val="single" w:sz="6" w:space="0" w:color="auto"/>
              <w:bottom w:val="single" w:sz="6" w:space="0" w:color="auto"/>
              <w:right w:val="single" w:sz="6" w:space="0" w:color="auto"/>
            </w:tcBorders>
          </w:tcPr>
          <w:p w14:paraId="11C6377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FEROX - kotelna Slovanská 1521</w:t>
            </w:r>
          </w:p>
        </w:tc>
        <w:tc>
          <w:tcPr>
            <w:tcW w:w="917" w:type="dxa"/>
            <w:tcBorders>
              <w:top w:val="single" w:sz="6" w:space="0" w:color="auto"/>
              <w:left w:val="single" w:sz="6" w:space="0" w:color="auto"/>
              <w:bottom w:val="single" w:sz="6" w:space="0" w:color="auto"/>
              <w:right w:val="single" w:sz="6" w:space="0" w:color="auto"/>
            </w:tcBorders>
          </w:tcPr>
          <w:p w14:paraId="7C4B4FC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Letná</w:t>
            </w:r>
          </w:p>
        </w:tc>
        <w:tc>
          <w:tcPr>
            <w:tcW w:w="1315" w:type="dxa"/>
            <w:tcBorders>
              <w:top w:val="single" w:sz="6" w:space="0" w:color="auto"/>
              <w:left w:val="single" w:sz="6" w:space="0" w:color="auto"/>
              <w:bottom w:val="single" w:sz="6" w:space="0" w:color="auto"/>
              <w:right w:val="single" w:sz="6" w:space="0" w:color="auto"/>
            </w:tcBorders>
          </w:tcPr>
          <w:p w14:paraId="7041A82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Slovanská</w:t>
            </w:r>
          </w:p>
        </w:tc>
        <w:tc>
          <w:tcPr>
            <w:tcW w:w="522" w:type="dxa"/>
            <w:tcBorders>
              <w:top w:val="single" w:sz="6" w:space="0" w:color="auto"/>
              <w:left w:val="single" w:sz="6" w:space="0" w:color="auto"/>
              <w:bottom w:val="single" w:sz="6" w:space="0" w:color="auto"/>
              <w:right w:val="single" w:sz="6" w:space="0" w:color="auto"/>
            </w:tcBorders>
          </w:tcPr>
          <w:p w14:paraId="21DC554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1 521</w:t>
            </w:r>
          </w:p>
        </w:tc>
        <w:tc>
          <w:tcPr>
            <w:tcW w:w="1154" w:type="dxa"/>
            <w:tcBorders>
              <w:top w:val="single" w:sz="6" w:space="0" w:color="auto"/>
              <w:left w:val="single" w:sz="6" w:space="0" w:color="auto"/>
              <w:bottom w:val="single" w:sz="6" w:space="0" w:color="auto"/>
              <w:right w:val="single" w:sz="6" w:space="0" w:color="auto"/>
            </w:tcBorders>
          </w:tcPr>
          <w:p w14:paraId="1CC15E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0,22</w:t>
            </w:r>
          </w:p>
        </w:tc>
        <w:tc>
          <w:tcPr>
            <w:tcW w:w="696" w:type="dxa"/>
            <w:tcBorders>
              <w:top w:val="single" w:sz="6" w:space="0" w:color="auto"/>
              <w:left w:val="single" w:sz="6" w:space="0" w:color="auto"/>
              <w:bottom w:val="single" w:sz="6" w:space="0" w:color="auto"/>
              <w:right w:val="single" w:sz="6" w:space="0" w:color="auto"/>
            </w:tcBorders>
          </w:tcPr>
          <w:p w14:paraId="414B054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7615C702"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8,36</w:t>
            </w:r>
          </w:p>
        </w:tc>
        <w:tc>
          <w:tcPr>
            <w:tcW w:w="600" w:type="dxa"/>
            <w:tcBorders>
              <w:top w:val="single" w:sz="6" w:space="0" w:color="auto"/>
              <w:left w:val="single" w:sz="6" w:space="0" w:color="auto"/>
              <w:bottom w:val="single" w:sz="6" w:space="0" w:color="auto"/>
              <w:right w:val="single" w:sz="6" w:space="0" w:color="auto"/>
            </w:tcBorders>
          </w:tcPr>
          <w:p w14:paraId="3C80989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69BE184C"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280245C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30</w:t>
            </w:r>
          </w:p>
        </w:tc>
        <w:tc>
          <w:tcPr>
            <w:tcW w:w="1487" w:type="dxa"/>
            <w:tcBorders>
              <w:top w:val="single" w:sz="6" w:space="0" w:color="auto"/>
              <w:left w:val="single" w:sz="6" w:space="0" w:color="auto"/>
              <w:bottom w:val="single" w:sz="6" w:space="0" w:color="auto"/>
              <w:right w:val="single" w:sz="6" w:space="0" w:color="auto"/>
            </w:tcBorders>
          </w:tcPr>
          <w:p w14:paraId="7A3AF51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Ing.Vojtěch Kilián KOBED</w:t>
            </w:r>
          </w:p>
        </w:tc>
        <w:tc>
          <w:tcPr>
            <w:tcW w:w="1643" w:type="dxa"/>
            <w:tcBorders>
              <w:top w:val="single" w:sz="6" w:space="0" w:color="auto"/>
              <w:left w:val="single" w:sz="6" w:space="0" w:color="auto"/>
              <w:bottom w:val="single" w:sz="6" w:space="0" w:color="auto"/>
              <w:right w:val="single" w:sz="6" w:space="0" w:color="auto"/>
            </w:tcBorders>
          </w:tcPr>
          <w:p w14:paraId="42D8AC5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KOBED</w:t>
            </w:r>
          </w:p>
        </w:tc>
        <w:tc>
          <w:tcPr>
            <w:tcW w:w="917" w:type="dxa"/>
            <w:tcBorders>
              <w:top w:val="single" w:sz="6" w:space="0" w:color="auto"/>
              <w:left w:val="single" w:sz="6" w:space="0" w:color="auto"/>
              <w:bottom w:val="single" w:sz="6" w:space="0" w:color="auto"/>
              <w:right w:val="single" w:sz="6" w:space="0" w:color="auto"/>
            </w:tcBorders>
          </w:tcPr>
          <w:p w14:paraId="0D57BE8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Letná</w:t>
            </w:r>
          </w:p>
        </w:tc>
        <w:tc>
          <w:tcPr>
            <w:tcW w:w="1315" w:type="dxa"/>
            <w:tcBorders>
              <w:top w:val="single" w:sz="6" w:space="0" w:color="auto"/>
              <w:left w:val="single" w:sz="6" w:space="0" w:color="auto"/>
              <w:bottom w:val="single" w:sz="6" w:space="0" w:color="auto"/>
              <w:right w:val="single" w:sz="6" w:space="0" w:color="auto"/>
            </w:tcBorders>
          </w:tcPr>
          <w:p w14:paraId="7A33FFE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Budapešťská</w:t>
            </w:r>
          </w:p>
        </w:tc>
        <w:tc>
          <w:tcPr>
            <w:tcW w:w="522" w:type="dxa"/>
            <w:tcBorders>
              <w:top w:val="single" w:sz="6" w:space="0" w:color="auto"/>
              <w:left w:val="single" w:sz="6" w:space="0" w:color="auto"/>
              <w:bottom w:val="single" w:sz="6" w:space="0" w:color="auto"/>
              <w:right w:val="single" w:sz="6" w:space="0" w:color="auto"/>
            </w:tcBorders>
          </w:tcPr>
          <w:p w14:paraId="37EC2A3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13</w:t>
            </w:r>
          </w:p>
        </w:tc>
        <w:tc>
          <w:tcPr>
            <w:tcW w:w="1154" w:type="dxa"/>
            <w:tcBorders>
              <w:top w:val="single" w:sz="6" w:space="0" w:color="auto"/>
              <w:left w:val="single" w:sz="6" w:space="0" w:color="auto"/>
              <w:bottom w:val="single" w:sz="6" w:space="0" w:color="auto"/>
              <w:right w:val="single" w:sz="6" w:space="0" w:color="auto"/>
            </w:tcBorders>
          </w:tcPr>
          <w:p w14:paraId="7A1D355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0,29</w:t>
            </w:r>
          </w:p>
        </w:tc>
        <w:tc>
          <w:tcPr>
            <w:tcW w:w="696" w:type="dxa"/>
            <w:tcBorders>
              <w:top w:val="single" w:sz="6" w:space="0" w:color="auto"/>
              <w:left w:val="single" w:sz="6" w:space="0" w:color="auto"/>
              <w:bottom w:val="single" w:sz="6" w:space="0" w:color="auto"/>
              <w:right w:val="single" w:sz="6" w:space="0" w:color="auto"/>
            </w:tcBorders>
          </w:tcPr>
          <w:p w14:paraId="4D94E40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63FD1066"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28</w:t>
            </w:r>
          </w:p>
        </w:tc>
        <w:tc>
          <w:tcPr>
            <w:tcW w:w="600" w:type="dxa"/>
            <w:tcBorders>
              <w:top w:val="single" w:sz="6" w:space="0" w:color="auto"/>
              <w:left w:val="single" w:sz="6" w:space="0" w:color="auto"/>
              <w:bottom w:val="single" w:sz="6" w:space="0" w:color="auto"/>
              <w:right w:val="single" w:sz="6" w:space="0" w:color="auto"/>
            </w:tcBorders>
          </w:tcPr>
          <w:p w14:paraId="7E6AFEC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17F6F8A7"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3CB7185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31</w:t>
            </w:r>
          </w:p>
        </w:tc>
        <w:tc>
          <w:tcPr>
            <w:tcW w:w="1487" w:type="dxa"/>
            <w:tcBorders>
              <w:top w:val="single" w:sz="6" w:space="0" w:color="auto"/>
              <w:left w:val="single" w:sz="6" w:space="0" w:color="auto"/>
              <w:bottom w:val="single" w:sz="6" w:space="0" w:color="auto"/>
              <w:right w:val="single" w:sz="6" w:space="0" w:color="auto"/>
            </w:tcBorders>
          </w:tcPr>
          <w:p w14:paraId="572E922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Integrovaná střední škola t</w:t>
            </w:r>
          </w:p>
        </w:tc>
        <w:tc>
          <w:tcPr>
            <w:tcW w:w="1643" w:type="dxa"/>
            <w:tcBorders>
              <w:top w:val="single" w:sz="6" w:space="0" w:color="auto"/>
              <w:left w:val="single" w:sz="6" w:space="0" w:color="auto"/>
              <w:bottom w:val="single" w:sz="6" w:space="0" w:color="auto"/>
              <w:right w:val="single" w:sz="6" w:space="0" w:color="auto"/>
            </w:tcBorders>
          </w:tcPr>
          <w:p w14:paraId="30AAEC3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plynová kotelna</w:t>
            </w:r>
          </w:p>
        </w:tc>
        <w:tc>
          <w:tcPr>
            <w:tcW w:w="917" w:type="dxa"/>
            <w:tcBorders>
              <w:top w:val="single" w:sz="6" w:space="0" w:color="auto"/>
              <w:left w:val="single" w:sz="6" w:space="0" w:color="auto"/>
              <w:bottom w:val="single" w:sz="6" w:space="0" w:color="auto"/>
              <w:right w:val="single" w:sz="6" w:space="0" w:color="auto"/>
            </w:tcBorders>
          </w:tcPr>
          <w:p w14:paraId="2834DD5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Letná</w:t>
            </w:r>
          </w:p>
        </w:tc>
        <w:tc>
          <w:tcPr>
            <w:tcW w:w="1315" w:type="dxa"/>
            <w:tcBorders>
              <w:top w:val="single" w:sz="6" w:space="0" w:color="auto"/>
              <w:left w:val="single" w:sz="6" w:space="0" w:color="auto"/>
              <w:bottom w:val="single" w:sz="6" w:space="0" w:color="auto"/>
              <w:right w:val="single" w:sz="6" w:space="0" w:color="auto"/>
            </w:tcBorders>
          </w:tcPr>
          <w:p w14:paraId="0F1C008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Dělnická</w:t>
            </w:r>
          </w:p>
        </w:tc>
        <w:tc>
          <w:tcPr>
            <w:tcW w:w="522" w:type="dxa"/>
            <w:tcBorders>
              <w:top w:val="single" w:sz="6" w:space="0" w:color="auto"/>
              <w:left w:val="single" w:sz="6" w:space="0" w:color="auto"/>
              <w:bottom w:val="single" w:sz="6" w:space="0" w:color="auto"/>
              <w:right w:val="single" w:sz="6" w:space="0" w:color="auto"/>
            </w:tcBorders>
          </w:tcPr>
          <w:p w14:paraId="404D6ED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15</w:t>
            </w:r>
          </w:p>
        </w:tc>
        <w:tc>
          <w:tcPr>
            <w:tcW w:w="1154" w:type="dxa"/>
            <w:tcBorders>
              <w:top w:val="single" w:sz="6" w:space="0" w:color="auto"/>
              <w:left w:val="single" w:sz="6" w:space="0" w:color="auto"/>
              <w:bottom w:val="single" w:sz="6" w:space="0" w:color="auto"/>
              <w:right w:val="single" w:sz="6" w:space="0" w:color="auto"/>
            </w:tcBorders>
          </w:tcPr>
          <w:p w14:paraId="75A3387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0,4</w:t>
            </w:r>
          </w:p>
        </w:tc>
        <w:tc>
          <w:tcPr>
            <w:tcW w:w="696" w:type="dxa"/>
            <w:tcBorders>
              <w:top w:val="single" w:sz="6" w:space="0" w:color="auto"/>
              <w:left w:val="single" w:sz="6" w:space="0" w:color="auto"/>
              <w:bottom w:val="single" w:sz="6" w:space="0" w:color="auto"/>
              <w:right w:val="single" w:sz="6" w:space="0" w:color="auto"/>
            </w:tcBorders>
          </w:tcPr>
          <w:p w14:paraId="11B9930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174977B0"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66</w:t>
            </w:r>
          </w:p>
        </w:tc>
        <w:tc>
          <w:tcPr>
            <w:tcW w:w="600" w:type="dxa"/>
            <w:tcBorders>
              <w:top w:val="single" w:sz="6" w:space="0" w:color="auto"/>
              <w:left w:val="single" w:sz="6" w:space="0" w:color="auto"/>
              <w:bottom w:val="single" w:sz="6" w:space="0" w:color="auto"/>
              <w:right w:val="single" w:sz="6" w:space="0" w:color="auto"/>
            </w:tcBorders>
          </w:tcPr>
          <w:p w14:paraId="78816B1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6A267F2E"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78ADCC4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32</w:t>
            </w:r>
          </w:p>
        </w:tc>
        <w:tc>
          <w:tcPr>
            <w:tcW w:w="1487" w:type="dxa"/>
            <w:tcBorders>
              <w:top w:val="single" w:sz="6" w:space="0" w:color="auto"/>
              <w:left w:val="single" w:sz="6" w:space="0" w:color="auto"/>
              <w:bottom w:val="single" w:sz="6" w:space="0" w:color="auto"/>
              <w:right w:val="single" w:sz="6" w:space="0" w:color="auto"/>
            </w:tcBorders>
          </w:tcPr>
          <w:p w14:paraId="3E83713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RYKO PLUS spol. s r.o.</w:t>
            </w:r>
          </w:p>
        </w:tc>
        <w:tc>
          <w:tcPr>
            <w:tcW w:w="1643" w:type="dxa"/>
            <w:tcBorders>
              <w:top w:val="single" w:sz="6" w:space="0" w:color="auto"/>
              <w:left w:val="single" w:sz="6" w:space="0" w:color="auto"/>
              <w:bottom w:val="single" w:sz="6" w:space="0" w:color="auto"/>
              <w:right w:val="single" w:sz="6" w:space="0" w:color="auto"/>
            </w:tcBorders>
          </w:tcPr>
          <w:p w14:paraId="539A997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Plynová kotelna WOLF</w:t>
            </w:r>
          </w:p>
        </w:tc>
        <w:tc>
          <w:tcPr>
            <w:tcW w:w="917" w:type="dxa"/>
            <w:tcBorders>
              <w:top w:val="single" w:sz="6" w:space="0" w:color="auto"/>
              <w:left w:val="single" w:sz="6" w:space="0" w:color="auto"/>
              <w:bottom w:val="single" w:sz="6" w:space="0" w:color="auto"/>
              <w:right w:val="single" w:sz="6" w:space="0" w:color="auto"/>
            </w:tcBorders>
          </w:tcPr>
          <w:p w14:paraId="6CFDCE8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Letná</w:t>
            </w:r>
          </w:p>
        </w:tc>
        <w:tc>
          <w:tcPr>
            <w:tcW w:w="1315" w:type="dxa"/>
            <w:tcBorders>
              <w:top w:val="single" w:sz="6" w:space="0" w:color="auto"/>
              <w:left w:val="single" w:sz="6" w:space="0" w:color="auto"/>
              <w:bottom w:val="single" w:sz="6" w:space="0" w:color="auto"/>
              <w:right w:val="single" w:sz="6" w:space="0" w:color="auto"/>
            </w:tcBorders>
          </w:tcPr>
          <w:p w14:paraId="5FE8231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Dělnická</w:t>
            </w:r>
          </w:p>
        </w:tc>
        <w:tc>
          <w:tcPr>
            <w:tcW w:w="522" w:type="dxa"/>
            <w:tcBorders>
              <w:top w:val="single" w:sz="6" w:space="0" w:color="auto"/>
              <w:left w:val="single" w:sz="6" w:space="0" w:color="auto"/>
              <w:bottom w:val="single" w:sz="6" w:space="0" w:color="auto"/>
              <w:right w:val="single" w:sz="6" w:space="0" w:color="auto"/>
            </w:tcBorders>
          </w:tcPr>
          <w:p w14:paraId="67984AA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73</w:t>
            </w:r>
          </w:p>
        </w:tc>
        <w:tc>
          <w:tcPr>
            <w:tcW w:w="1154" w:type="dxa"/>
            <w:tcBorders>
              <w:top w:val="single" w:sz="6" w:space="0" w:color="auto"/>
              <w:left w:val="single" w:sz="6" w:space="0" w:color="auto"/>
              <w:bottom w:val="single" w:sz="6" w:space="0" w:color="auto"/>
              <w:right w:val="single" w:sz="6" w:space="0" w:color="auto"/>
            </w:tcBorders>
          </w:tcPr>
          <w:p w14:paraId="5873F1A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0,42 + 0,15</w:t>
            </w:r>
          </w:p>
        </w:tc>
        <w:tc>
          <w:tcPr>
            <w:tcW w:w="696" w:type="dxa"/>
            <w:tcBorders>
              <w:top w:val="single" w:sz="6" w:space="0" w:color="auto"/>
              <w:left w:val="single" w:sz="6" w:space="0" w:color="auto"/>
              <w:bottom w:val="single" w:sz="6" w:space="0" w:color="auto"/>
              <w:right w:val="single" w:sz="6" w:space="0" w:color="auto"/>
            </w:tcBorders>
          </w:tcPr>
          <w:p w14:paraId="730B8F5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1D8671A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157,52</w:t>
            </w:r>
          </w:p>
        </w:tc>
        <w:tc>
          <w:tcPr>
            <w:tcW w:w="600" w:type="dxa"/>
            <w:tcBorders>
              <w:top w:val="single" w:sz="6" w:space="0" w:color="auto"/>
              <w:left w:val="single" w:sz="6" w:space="0" w:color="auto"/>
              <w:bottom w:val="single" w:sz="6" w:space="0" w:color="auto"/>
              <w:right w:val="single" w:sz="6" w:space="0" w:color="auto"/>
            </w:tcBorders>
          </w:tcPr>
          <w:p w14:paraId="49C3732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7F1587C2" w14:textId="77777777" w:rsidTr="002D2D45">
        <w:trPr>
          <w:trHeight w:val="726"/>
        </w:trPr>
        <w:tc>
          <w:tcPr>
            <w:tcW w:w="329" w:type="dxa"/>
            <w:tcBorders>
              <w:top w:val="single" w:sz="6" w:space="0" w:color="auto"/>
              <w:left w:val="single" w:sz="6" w:space="0" w:color="auto"/>
              <w:bottom w:val="single" w:sz="6" w:space="0" w:color="auto"/>
              <w:right w:val="single" w:sz="6" w:space="0" w:color="auto"/>
            </w:tcBorders>
          </w:tcPr>
          <w:p w14:paraId="61E9EEE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33</w:t>
            </w:r>
          </w:p>
        </w:tc>
        <w:tc>
          <w:tcPr>
            <w:tcW w:w="1487" w:type="dxa"/>
            <w:tcBorders>
              <w:top w:val="single" w:sz="6" w:space="0" w:color="auto"/>
              <w:left w:val="single" w:sz="6" w:space="0" w:color="auto"/>
              <w:bottom w:val="single" w:sz="6" w:space="0" w:color="auto"/>
              <w:right w:val="single" w:sz="6" w:space="0" w:color="auto"/>
            </w:tcBorders>
          </w:tcPr>
          <w:p w14:paraId="667E58D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ČSPL a.s.Svč.přístavy-Loděn</w:t>
            </w:r>
          </w:p>
        </w:tc>
        <w:tc>
          <w:tcPr>
            <w:tcW w:w="1643" w:type="dxa"/>
            <w:tcBorders>
              <w:top w:val="single" w:sz="6" w:space="0" w:color="auto"/>
              <w:left w:val="single" w:sz="6" w:space="0" w:color="auto"/>
              <w:bottom w:val="single" w:sz="6" w:space="0" w:color="auto"/>
              <w:right w:val="single" w:sz="6" w:space="0" w:color="auto"/>
            </w:tcBorders>
          </w:tcPr>
          <w:p w14:paraId="18245E1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přístavyLoubí</w:t>
            </w:r>
          </w:p>
        </w:tc>
        <w:tc>
          <w:tcPr>
            <w:tcW w:w="917" w:type="dxa"/>
            <w:tcBorders>
              <w:top w:val="single" w:sz="6" w:space="0" w:color="auto"/>
              <w:left w:val="single" w:sz="6" w:space="0" w:color="auto"/>
              <w:bottom w:val="single" w:sz="6" w:space="0" w:color="auto"/>
              <w:right w:val="single" w:sz="6" w:space="0" w:color="auto"/>
            </w:tcBorders>
          </w:tcPr>
          <w:p w14:paraId="463B8F7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Loubí</w:t>
            </w:r>
          </w:p>
        </w:tc>
        <w:tc>
          <w:tcPr>
            <w:tcW w:w="1315" w:type="dxa"/>
            <w:tcBorders>
              <w:top w:val="single" w:sz="6" w:space="0" w:color="auto"/>
              <w:left w:val="single" w:sz="6" w:space="0" w:color="auto"/>
              <w:bottom w:val="single" w:sz="6" w:space="0" w:color="auto"/>
              <w:right w:val="single" w:sz="6" w:space="0" w:color="auto"/>
            </w:tcBorders>
          </w:tcPr>
          <w:p w14:paraId="75FAED7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Loubská</w:t>
            </w:r>
          </w:p>
        </w:tc>
        <w:tc>
          <w:tcPr>
            <w:tcW w:w="522" w:type="dxa"/>
            <w:tcBorders>
              <w:top w:val="single" w:sz="6" w:space="0" w:color="auto"/>
              <w:left w:val="single" w:sz="6" w:space="0" w:color="auto"/>
              <w:bottom w:val="single" w:sz="6" w:space="0" w:color="auto"/>
              <w:right w:val="single" w:sz="6" w:space="0" w:color="auto"/>
            </w:tcBorders>
          </w:tcPr>
          <w:p w14:paraId="3675D5E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728</w:t>
            </w:r>
          </w:p>
        </w:tc>
        <w:tc>
          <w:tcPr>
            <w:tcW w:w="1154" w:type="dxa"/>
            <w:tcBorders>
              <w:top w:val="single" w:sz="6" w:space="0" w:color="auto"/>
              <w:left w:val="single" w:sz="6" w:space="0" w:color="auto"/>
              <w:bottom w:val="single" w:sz="6" w:space="0" w:color="auto"/>
              <w:right w:val="single" w:sz="6" w:space="0" w:color="auto"/>
            </w:tcBorders>
          </w:tcPr>
          <w:p w14:paraId="619B3A8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0,91</w:t>
            </w:r>
          </w:p>
        </w:tc>
        <w:tc>
          <w:tcPr>
            <w:tcW w:w="696" w:type="dxa"/>
            <w:tcBorders>
              <w:top w:val="single" w:sz="6" w:space="0" w:color="auto"/>
              <w:left w:val="single" w:sz="6" w:space="0" w:color="auto"/>
              <w:bottom w:val="single" w:sz="6" w:space="0" w:color="auto"/>
              <w:right w:val="single" w:sz="6" w:space="0" w:color="auto"/>
            </w:tcBorders>
          </w:tcPr>
          <w:p w14:paraId="1B206D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KOKS</w:t>
            </w:r>
          </w:p>
        </w:tc>
        <w:tc>
          <w:tcPr>
            <w:tcW w:w="758" w:type="dxa"/>
            <w:tcBorders>
              <w:top w:val="single" w:sz="6" w:space="0" w:color="auto"/>
              <w:left w:val="single" w:sz="6" w:space="0" w:color="auto"/>
              <w:bottom w:val="single" w:sz="6" w:space="0" w:color="auto"/>
              <w:right w:val="single" w:sz="6" w:space="0" w:color="auto"/>
            </w:tcBorders>
          </w:tcPr>
          <w:p w14:paraId="460D5E1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254</w:t>
            </w:r>
          </w:p>
        </w:tc>
        <w:tc>
          <w:tcPr>
            <w:tcW w:w="600" w:type="dxa"/>
            <w:tcBorders>
              <w:top w:val="single" w:sz="6" w:space="0" w:color="auto"/>
              <w:left w:val="single" w:sz="6" w:space="0" w:color="auto"/>
              <w:bottom w:val="single" w:sz="6" w:space="0" w:color="auto"/>
              <w:right w:val="single" w:sz="6" w:space="0" w:color="auto"/>
            </w:tcBorders>
          </w:tcPr>
          <w:p w14:paraId="09E05B2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591D8EFF"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78061E3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34</w:t>
            </w:r>
          </w:p>
        </w:tc>
        <w:tc>
          <w:tcPr>
            <w:tcW w:w="1487" w:type="dxa"/>
            <w:tcBorders>
              <w:top w:val="single" w:sz="6" w:space="0" w:color="auto"/>
              <w:left w:val="single" w:sz="6" w:space="0" w:color="auto"/>
              <w:bottom w:val="single" w:sz="6" w:space="0" w:color="auto"/>
              <w:right w:val="single" w:sz="6" w:space="0" w:color="auto"/>
            </w:tcBorders>
          </w:tcPr>
          <w:p w14:paraId="1DC18D2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JUDr.Třešňák Zdeněk</w:t>
            </w:r>
          </w:p>
        </w:tc>
        <w:tc>
          <w:tcPr>
            <w:tcW w:w="1643" w:type="dxa"/>
            <w:tcBorders>
              <w:top w:val="single" w:sz="6" w:space="0" w:color="auto"/>
              <w:left w:val="single" w:sz="6" w:space="0" w:color="auto"/>
              <w:bottom w:val="single" w:sz="6" w:space="0" w:color="auto"/>
              <w:right w:val="single" w:sz="6" w:space="0" w:color="auto"/>
            </w:tcBorders>
          </w:tcPr>
          <w:p w14:paraId="254FF58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078BA51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Maxičky</w:t>
            </w:r>
          </w:p>
        </w:tc>
        <w:tc>
          <w:tcPr>
            <w:tcW w:w="1315" w:type="dxa"/>
            <w:tcBorders>
              <w:top w:val="single" w:sz="6" w:space="0" w:color="auto"/>
              <w:left w:val="single" w:sz="6" w:space="0" w:color="auto"/>
              <w:bottom w:val="single" w:sz="6" w:space="0" w:color="auto"/>
              <w:right w:val="single" w:sz="6" w:space="0" w:color="auto"/>
            </w:tcBorders>
          </w:tcPr>
          <w:p w14:paraId="134879A2"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522" w:type="dxa"/>
            <w:tcBorders>
              <w:top w:val="single" w:sz="6" w:space="0" w:color="auto"/>
              <w:left w:val="single" w:sz="6" w:space="0" w:color="auto"/>
              <w:bottom w:val="single" w:sz="6" w:space="0" w:color="auto"/>
              <w:right w:val="single" w:sz="6" w:space="0" w:color="auto"/>
            </w:tcBorders>
          </w:tcPr>
          <w:p w14:paraId="5E6F0A6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w:t>
            </w:r>
          </w:p>
        </w:tc>
        <w:tc>
          <w:tcPr>
            <w:tcW w:w="1154" w:type="dxa"/>
            <w:tcBorders>
              <w:top w:val="single" w:sz="6" w:space="0" w:color="auto"/>
              <w:left w:val="single" w:sz="6" w:space="0" w:color="auto"/>
              <w:bottom w:val="single" w:sz="6" w:space="0" w:color="auto"/>
              <w:right w:val="single" w:sz="6" w:space="0" w:color="auto"/>
            </w:tcBorders>
          </w:tcPr>
          <w:p w14:paraId="64EDEC8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0,39</w:t>
            </w:r>
          </w:p>
        </w:tc>
        <w:tc>
          <w:tcPr>
            <w:tcW w:w="696" w:type="dxa"/>
            <w:tcBorders>
              <w:top w:val="single" w:sz="6" w:space="0" w:color="auto"/>
              <w:left w:val="single" w:sz="6" w:space="0" w:color="auto"/>
              <w:bottom w:val="single" w:sz="6" w:space="0" w:color="auto"/>
              <w:right w:val="single" w:sz="6" w:space="0" w:color="auto"/>
            </w:tcBorders>
          </w:tcPr>
          <w:p w14:paraId="1696CC5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KOKS</w:t>
            </w:r>
          </w:p>
        </w:tc>
        <w:tc>
          <w:tcPr>
            <w:tcW w:w="758" w:type="dxa"/>
            <w:tcBorders>
              <w:top w:val="single" w:sz="6" w:space="0" w:color="auto"/>
              <w:left w:val="single" w:sz="6" w:space="0" w:color="auto"/>
              <w:bottom w:val="single" w:sz="6" w:space="0" w:color="auto"/>
              <w:right w:val="single" w:sz="6" w:space="0" w:color="auto"/>
            </w:tcBorders>
          </w:tcPr>
          <w:p w14:paraId="322AA171"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45</w:t>
            </w:r>
          </w:p>
        </w:tc>
        <w:tc>
          <w:tcPr>
            <w:tcW w:w="600" w:type="dxa"/>
            <w:tcBorders>
              <w:top w:val="single" w:sz="6" w:space="0" w:color="auto"/>
              <w:left w:val="single" w:sz="6" w:space="0" w:color="auto"/>
              <w:bottom w:val="single" w:sz="6" w:space="0" w:color="auto"/>
              <w:right w:val="single" w:sz="6" w:space="0" w:color="auto"/>
            </w:tcBorders>
          </w:tcPr>
          <w:p w14:paraId="2880327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1723A748" w14:textId="77777777" w:rsidTr="002D2D45">
        <w:trPr>
          <w:trHeight w:val="242"/>
        </w:trPr>
        <w:tc>
          <w:tcPr>
            <w:tcW w:w="329" w:type="dxa"/>
            <w:tcBorders>
              <w:top w:val="single" w:sz="6" w:space="0" w:color="auto"/>
              <w:left w:val="single" w:sz="6" w:space="0" w:color="auto"/>
              <w:bottom w:val="single" w:sz="6" w:space="0" w:color="auto"/>
              <w:right w:val="single" w:sz="6" w:space="0" w:color="auto"/>
            </w:tcBorders>
          </w:tcPr>
          <w:p w14:paraId="5E039F3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35</w:t>
            </w:r>
          </w:p>
        </w:tc>
        <w:tc>
          <w:tcPr>
            <w:tcW w:w="1487" w:type="dxa"/>
            <w:tcBorders>
              <w:top w:val="single" w:sz="6" w:space="0" w:color="auto"/>
              <w:left w:val="single" w:sz="6" w:space="0" w:color="auto"/>
              <w:bottom w:val="single" w:sz="6" w:space="0" w:color="auto"/>
              <w:right w:val="single" w:sz="6" w:space="0" w:color="auto"/>
            </w:tcBorders>
          </w:tcPr>
          <w:p w14:paraId="4BFF948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ing. Michal Kolář - TESTSVA</w:t>
            </w:r>
          </w:p>
        </w:tc>
        <w:tc>
          <w:tcPr>
            <w:tcW w:w="1643" w:type="dxa"/>
            <w:tcBorders>
              <w:top w:val="single" w:sz="6" w:space="0" w:color="auto"/>
              <w:left w:val="single" w:sz="6" w:space="0" w:color="auto"/>
              <w:bottom w:val="single" w:sz="6" w:space="0" w:color="auto"/>
              <w:right w:val="single" w:sz="6" w:space="0" w:color="auto"/>
            </w:tcBorders>
          </w:tcPr>
          <w:p w14:paraId="26F2354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TESTSVAR kotelna</w:t>
            </w:r>
          </w:p>
        </w:tc>
        <w:tc>
          <w:tcPr>
            <w:tcW w:w="917" w:type="dxa"/>
            <w:tcBorders>
              <w:top w:val="single" w:sz="6" w:space="0" w:color="auto"/>
              <w:left w:val="single" w:sz="6" w:space="0" w:color="auto"/>
              <w:bottom w:val="single" w:sz="6" w:space="0" w:color="auto"/>
              <w:right w:val="single" w:sz="6" w:space="0" w:color="auto"/>
            </w:tcBorders>
          </w:tcPr>
          <w:p w14:paraId="34F2685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Nové Město</w:t>
            </w:r>
          </w:p>
        </w:tc>
        <w:tc>
          <w:tcPr>
            <w:tcW w:w="1315" w:type="dxa"/>
            <w:tcBorders>
              <w:top w:val="single" w:sz="6" w:space="0" w:color="auto"/>
              <w:left w:val="single" w:sz="6" w:space="0" w:color="auto"/>
              <w:bottom w:val="single" w:sz="6" w:space="0" w:color="auto"/>
              <w:right w:val="single" w:sz="6" w:space="0" w:color="auto"/>
            </w:tcBorders>
          </w:tcPr>
          <w:p w14:paraId="5298B38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Folknářská</w:t>
            </w:r>
          </w:p>
        </w:tc>
        <w:tc>
          <w:tcPr>
            <w:tcW w:w="522" w:type="dxa"/>
            <w:tcBorders>
              <w:top w:val="single" w:sz="6" w:space="0" w:color="auto"/>
              <w:left w:val="single" w:sz="6" w:space="0" w:color="auto"/>
              <w:bottom w:val="single" w:sz="6" w:space="0" w:color="auto"/>
              <w:right w:val="single" w:sz="6" w:space="0" w:color="auto"/>
            </w:tcBorders>
          </w:tcPr>
          <w:p w14:paraId="472B520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21</w:t>
            </w:r>
          </w:p>
        </w:tc>
        <w:tc>
          <w:tcPr>
            <w:tcW w:w="1154" w:type="dxa"/>
            <w:tcBorders>
              <w:top w:val="single" w:sz="6" w:space="0" w:color="auto"/>
              <w:left w:val="single" w:sz="6" w:space="0" w:color="auto"/>
              <w:bottom w:val="single" w:sz="6" w:space="0" w:color="auto"/>
              <w:right w:val="single" w:sz="6" w:space="0" w:color="auto"/>
            </w:tcBorders>
          </w:tcPr>
          <w:p w14:paraId="63F69B2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0,25</w:t>
            </w:r>
          </w:p>
        </w:tc>
        <w:tc>
          <w:tcPr>
            <w:tcW w:w="696" w:type="dxa"/>
            <w:tcBorders>
              <w:top w:val="single" w:sz="6" w:space="0" w:color="auto"/>
              <w:left w:val="single" w:sz="6" w:space="0" w:color="auto"/>
              <w:bottom w:val="single" w:sz="6" w:space="0" w:color="auto"/>
              <w:right w:val="single" w:sz="6" w:space="0" w:color="auto"/>
            </w:tcBorders>
          </w:tcPr>
          <w:p w14:paraId="06ABF5E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0E0454C4"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20</w:t>
            </w:r>
          </w:p>
        </w:tc>
        <w:tc>
          <w:tcPr>
            <w:tcW w:w="600" w:type="dxa"/>
            <w:tcBorders>
              <w:top w:val="single" w:sz="6" w:space="0" w:color="auto"/>
              <w:left w:val="single" w:sz="6" w:space="0" w:color="auto"/>
              <w:bottom w:val="single" w:sz="6" w:space="0" w:color="auto"/>
              <w:right w:val="single" w:sz="6" w:space="0" w:color="auto"/>
            </w:tcBorders>
          </w:tcPr>
          <w:p w14:paraId="5734942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3B26B34A"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DD5413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36</w:t>
            </w:r>
          </w:p>
        </w:tc>
        <w:tc>
          <w:tcPr>
            <w:tcW w:w="1487" w:type="dxa"/>
            <w:tcBorders>
              <w:top w:val="single" w:sz="6" w:space="0" w:color="auto"/>
              <w:left w:val="single" w:sz="6" w:space="0" w:color="auto"/>
              <w:bottom w:val="single" w:sz="6" w:space="0" w:color="auto"/>
              <w:right w:val="single" w:sz="6" w:space="0" w:color="auto"/>
            </w:tcBorders>
          </w:tcPr>
          <w:p w14:paraId="0933761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Stavební bytové družstvo Dě</w:t>
            </w:r>
          </w:p>
        </w:tc>
        <w:tc>
          <w:tcPr>
            <w:tcW w:w="1643" w:type="dxa"/>
            <w:tcBorders>
              <w:top w:val="single" w:sz="6" w:space="0" w:color="auto"/>
              <w:left w:val="single" w:sz="6" w:space="0" w:color="auto"/>
              <w:bottom w:val="single" w:sz="6" w:space="0" w:color="auto"/>
              <w:right w:val="single" w:sz="6" w:space="0" w:color="auto"/>
            </w:tcBorders>
          </w:tcPr>
          <w:p w14:paraId="1646BA3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SBD kotelna Stoliční</w:t>
            </w:r>
          </w:p>
        </w:tc>
        <w:tc>
          <w:tcPr>
            <w:tcW w:w="917" w:type="dxa"/>
            <w:tcBorders>
              <w:top w:val="single" w:sz="6" w:space="0" w:color="auto"/>
              <w:left w:val="single" w:sz="6" w:space="0" w:color="auto"/>
              <w:bottom w:val="single" w:sz="6" w:space="0" w:color="auto"/>
              <w:right w:val="single" w:sz="6" w:space="0" w:color="auto"/>
            </w:tcBorders>
          </w:tcPr>
          <w:p w14:paraId="3262594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Nové Město</w:t>
            </w:r>
          </w:p>
        </w:tc>
        <w:tc>
          <w:tcPr>
            <w:tcW w:w="1315" w:type="dxa"/>
            <w:tcBorders>
              <w:top w:val="single" w:sz="6" w:space="0" w:color="auto"/>
              <w:left w:val="single" w:sz="6" w:space="0" w:color="auto"/>
              <w:bottom w:val="single" w:sz="6" w:space="0" w:color="auto"/>
              <w:right w:val="single" w:sz="6" w:space="0" w:color="auto"/>
            </w:tcBorders>
          </w:tcPr>
          <w:p w14:paraId="020799F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Stoliční</w:t>
            </w:r>
          </w:p>
        </w:tc>
        <w:tc>
          <w:tcPr>
            <w:tcW w:w="522" w:type="dxa"/>
            <w:tcBorders>
              <w:top w:val="single" w:sz="6" w:space="0" w:color="auto"/>
              <w:left w:val="single" w:sz="6" w:space="0" w:color="auto"/>
              <w:bottom w:val="single" w:sz="6" w:space="0" w:color="auto"/>
              <w:right w:val="single" w:sz="6" w:space="0" w:color="auto"/>
            </w:tcBorders>
          </w:tcPr>
          <w:p w14:paraId="78AB44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w:t>
            </w:r>
          </w:p>
        </w:tc>
        <w:tc>
          <w:tcPr>
            <w:tcW w:w="1154" w:type="dxa"/>
            <w:tcBorders>
              <w:top w:val="single" w:sz="6" w:space="0" w:color="auto"/>
              <w:left w:val="single" w:sz="6" w:space="0" w:color="auto"/>
              <w:bottom w:val="single" w:sz="6" w:space="0" w:color="auto"/>
              <w:right w:val="single" w:sz="6" w:space="0" w:color="auto"/>
            </w:tcBorders>
          </w:tcPr>
          <w:p w14:paraId="5D67D2B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0,409 + 0,27</w:t>
            </w:r>
          </w:p>
        </w:tc>
        <w:tc>
          <w:tcPr>
            <w:tcW w:w="696" w:type="dxa"/>
            <w:tcBorders>
              <w:top w:val="single" w:sz="6" w:space="0" w:color="auto"/>
              <w:left w:val="single" w:sz="6" w:space="0" w:color="auto"/>
              <w:bottom w:val="single" w:sz="6" w:space="0" w:color="auto"/>
              <w:right w:val="single" w:sz="6" w:space="0" w:color="auto"/>
            </w:tcBorders>
          </w:tcPr>
          <w:p w14:paraId="730C267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LTO</w:t>
            </w:r>
          </w:p>
        </w:tc>
        <w:tc>
          <w:tcPr>
            <w:tcW w:w="758" w:type="dxa"/>
            <w:tcBorders>
              <w:top w:val="single" w:sz="6" w:space="0" w:color="auto"/>
              <w:left w:val="single" w:sz="6" w:space="0" w:color="auto"/>
              <w:bottom w:val="single" w:sz="6" w:space="0" w:color="auto"/>
              <w:right w:val="single" w:sz="6" w:space="0" w:color="auto"/>
            </w:tcBorders>
          </w:tcPr>
          <w:p w14:paraId="342CE84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130,69</w:t>
            </w:r>
          </w:p>
        </w:tc>
        <w:tc>
          <w:tcPr>
            <w:tcW w:w="600" w:type="dxa"/>
            <w:tcBorders>
              <w:top w:val="single" w:sz="6" w:space="0" w:color="auto"/>
              <w:left w:val="single" w:sz="6" w:space="0" w:color="auto"/>
              <w:bottom w:val="single" w:sz="6" w:space="0" w:color="auto"/>
              <w:right w:val="single" w:sz="6" w:space="0" w:color="auto"/>
            </w:tcBorders>
          </w:tcPr>
          <w:p w14:paraId="39D8544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44BAD902"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56B8E2E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37</w:t>
            </w:r>
          </w:p>
        </w:tc>
        <w:tc>
          <w:tcPr>
            <w:tcW w:w="1487" w:type="dxa"/>
            <w:tcBorders>
              <w:top w:val="single" w:sz="6" w:space="0" w:color="auto"/>
              <w:left w:val="single" w:sz="6" w:space="0" w:color="auto"/>
              <w:bottom w:val="single" w:sz="6" w:space="0" w:color="auto"/>
              <w:right w:val="single" w:sz="6" w:space="0" w:color="auto"/>
            </w:tcBorders>
          </w:tcPr>
          <w:p w14:paraId="0DE529D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Termo</w:t>
            </w:r>
            <w:r w:rsidRPr="00D42621">
              <w:rPr>
                <w:rFonts w:ascii="Arial" w:hAnsi="Arial"/>
                <w:color w:val="000000"/>
                <w:sz w:val="16"/>
                <w:szCs w:val="16"/>
                <w:lang w:eastAsia="cs-CZ"/>
              </w:rPr>
              <w:t xml:space="preserve"> Děčín a.s.</w:t>
            </w:r>
          </w:p>
        </w:tc>
        <w:tc>
          <w:tcPr>
            <w:tcW w:w="1643" w:type="dxa"/>
            <w:tcBorders>
              <w:top w:val="single" w:sz="6" w:space="0" w:color="auto"/>
              <w:left w:val="single" w:sz="6" w:space="0" w:color="auto"/>
              <w:bottom w:val="single" w:sz="6" w:space="0" w:color="auto"/>
              <w:right w:val="single" w:sz="6" w:space="0" w:color="auto"/>
            </w:tcBorders>
          </w:tcPr>
          <w:p w14:paraId="2B82A48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Riegrova</w:t>
            </w:r>
          </w:p>
        </w:tc>
        <w:tc>
          <w:tcPr>
            <w:tcW w:w="917" w:type="dxa"/>
            <w:tcBorders>
              <w:top w:val="single" w:sz="6" w:space="0" w:color="auto"/>
              <w:left w:val="single" w:sz="6" w:space="0" w:color="auto"/>
              <w:bottom w:val="single" w:sz="6" w:space="0" w:color="auto"/>
              <w:right w:val="single" w:sz="6" w:space="0" w:color="auto"/>
            </w:tcBorders>
          </w:tcPr>
          <w:p w14:paraId="4DEE81D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Nové Město</w:t>
            </w:r>
          </w:p>
        </w:tc>
        <w:tc>
          <w:tcPr>
            <w:tcW w:w="1315" w:type="dxa"/>
            <w:tcBorders>
              <w:top w:val="single" w:sz="6" w:space="0" w:color="auto"/>
              <w:left w:val="single" w:sz="6" w:space="0" w:color="auto"/>
              <w:bottom w:val="single" w:sz="6" w:space="0" w:color="auto"/>
              <w:right w:val="single" w:sz="6" w:space="0" w:color="auto"/>
            </w:tcBorders>
          </w:tcPr>
          <w:p w14:paraId="51F81B2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Riegrova</w:t>
            </w:r>
          </w:p>
        </w:tc>
        <w:tc>
          <w:tcPr>
            <w:tcW w:w="522" w:type="dxa"/>
            <w:tcBorders>
              <w:top w:val="single" w:sz="6" w:space="0" w:color="auto"/>
              <w:left w:val="single" w:sz="6" w:space="0" w:color="auto"/>
              <w:bottom w:val="single" w:sz="6" w:space="0" w:color="auto"/>
              <w:right w:val="single" w:sz="6" w:space="0" w:color="auto"/>
            </w:tcBorders>
          </w:tcPr>
          <w:p w14:paraId="36367F4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w:t>
            </w:r>
          </w:p>
        </w:tc>
        <w:tc>
          <w:tcPr>
            <w:tcW w:w="1154" w:type="dxa"/>
            <w:tcBorders>
              <w:top w:val="single" w:sz="6" w:space="0" w:color="auto"/>
              <w:left w:val="single" w:sz="6" w:space="0" w:color="auto"/>
              <w:bottom w:val="single" w:sz="6" w:space="0" w:color="auto"/>
              <w:right w:val="single" w:sz="6" w:space="0" w:color="auto"/>
            </w:tcBorders>
          </w:tcPr>
          <w:p w14:paraId="63BDDE5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0,84</w:t>
            </w:r>
          </w:p>
        </w:tc>
        <w:tc>
          <w:tcPr>
            <w:tcW w:w="696" w:type="dxa"/>
            <w:tcBorders>
              <w:top w:val="single" w:sz="6" w:space="0" w:color="auto"/>
              <w:left w:val="single" w:sz="6" w:space="0" w:color="auto"/>
              <w:bottom w:val="single" w:sz="6" w:space="0" w:color="auto"/>
              <w:right w:val="single" w:sz="6" w:space="0" w:color="auto"/>
            </w:tcBorders>
          </w:tcPr>
          <w:p w14:paraId="0608CDF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MSTO</w:t>
            </w:r>
          </w:p>
        </w:tc>
        <w:tc>
          <w:tcPr>
            <w:tcW w:w="758" w:type="dxa"/>
            <w:tcBorders>
              <w:top w:val="single" w:sz="6" w:space="0" w:color="auto"/>
              <w:left w:val="single" w:sz="6" w:space="0" w:color="auto"/>
              <w:bottom w:val="single" w:sz="6" w:space="0" w:color="auto"/>
              <w:right w:val="single" w:sz="6" w:space="0" w:color="auto"/>
            </w:tcBorders>
          </w:tcPr>
          <w:p w14:paraId="1AD21BF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153,49</w:t>
            </w:r>
          </w:p>
        </w:tc>
        <w:tc>
          <w:tcPr>
            <w:tcW w:w="600" w:type="dxa"/>
            <w:tcBorders>
              <w:top w:val="single" w:sz="6" w:space="0" w:color="auto"/>
              <w:left w:val="single" w:sz="6" w:space="0" w:color="auto"/>
              <w:bottom w:val="single" w:sz="6" w:space="0" w:color="auto"/>
              <w:right w:val="single" w:sz="6" w:space="0" w:color="auto"/>
            </w:tcBorders>
          </w:tcPr>
          <w:p w14:paraId="098815D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3E7FE380"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F23FDE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38</w:t>
            </w:r>
          </w:p>
        </w:tc>
        <w:tc>
          <w:tcPr>
            <w:tcW w:w="1487" w:type="dxa"/>
            <w:tcBorders>
              <w:top w:val="single" w:sz="6" w:space="0" w:color="auto"/>
              <w:left w:val="single" w:sz="6" w:space="0" w:color="auto"/>
              <w:bottom w:val="single" w:sz="6" w:space="0" w:color="auto"/>
              <w:right w:val="single" w:sz="6" w:space="0" w:color="auto"/>
            </w:tcBorders>
          </w:tcPr>
          <w:p w14:paraId="32CFD75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České dráhy - DDC, GŘ Praha</w:t>
            </w:r>
          </w:p>
        </w:tc>
        <w:tc>
          <w:tcPr>
            <w:tcW w:w="1643" w:type="dxa"/>
            <w:tcBorders>
              <w:top w:val="single" w:sz="6" w:space="0" w:color="auto"/>
              <w:left w:val="single" w:sz="6" w:space="0" w:color="auto"/>
              <w:bottom w:val="single" w:sz="6" w:space="0" w:color="auto"/>
              <w:right w:val="single" w:sz="6" w:space="0" w:color="auto"/>
            </w:tcBorders>
          </w:tcPr>
          <w:p w14:paraId="6A84F15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Správa dopravní cesty Litoměřice</w:t>
            </w:r>
          </w:p>
        </w:tc>
        <w:tc>
          <w:tcPr>
            <w:tcW w:w="917" w:type="dxa"/>
            <w:tcBorders>
              <w:top w:val="single" w:sz="6" w:space="0" w:color="auto"/>
              <w:left w:val="single" w:sz="6" w:space="0" w:color="auto"/>
              <w:bottom w:val="single" w:sz="6" w:space="0" w:color="auto"/>
              <w:right w:val="single" w:sz="6" w:space="0" w:color="auto"/>
            </w:tcBorders>
          </w:tcPr>
          <w:p w14:paraId="092B23B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Nové Město</w:t>
            </w:r>
          </w:p>
        </w:tc>
        <w:tc>
          <w:tcPr>
            <w:tcW w:w="1315" w:type="dxa"/>
            <w:tcBorders>
              <w:top w:val="single" w:sz="6" w:space="0" w:color="auto"/>
              <w:left w:val="single" w:sz="6" w:space="0" w:color="auto"/>
              <w:bottom w:val="single" w:sz="6" w:space="0" w:color="auto"/>
              <w:right w:val="single" w:sz="6" w:space="0" w:color="auto"/>
            </w:tcBorders>
          </w:tcPr>
          <w:p w14:paraId="57061B8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17. listopadu</w:t>
            </w:r>
          </w:p>
        </w:tc>
        <w:tc>
          <w:tcPr>
            <w:tcW w:w="522" w:type="dxa"/>
            <w:tcBorders>
              <w:top w:val="single" w:sz="6" w:space="0" w:color="auto"/>
              <w:left w:val="single" w:sz="6" w:space="0" w:color="auto"/>
              <w:bottom w:val="single" w:sz="6" w:space="0" w:color="auto"/>
              <w:right w:val="single" w:sz="6" w:space="0" w:color="auto"/>
            </w:tcBorders>
          </w:tcPr>
          <w:p w14:paraId="205A705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8 914</w:t>
            </w:r>
          </w:p>
        </w:tc>
        <w:tc>
          <w:tcPr>
            <w:tcW w:w="1154" w:type="dxa"/>
            <w:tcBorders>
              <w:top w:val="single" w:sz="6" w:space="0" w:color="auto"/>
              <w:left w:val="single" w:sz="6" w:space="0" w:color="auto"/>
              <w:bottom w:val="single" w:sz="6" w:space="0" w:color="auto"/>
              <w:right w:val="single" w:sz="6" w:space="0" w:color="auto"/>
            </w:tcBorders>
          </w:tcPr>
          <w:p w14:paraId="4894AE3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0,31</w:t>
            </w:r>
          </w:p>
        </w:tc>
        <w:tc>
          <w:tcPr>
            <w:tcW w:w="696" w:type="dxa"/>
            <w:tcBorders>
              <w:top w:val="single" w:sz="6" w:space="0" w:color="auto"/>
              <w:left w:val="single" w:sz="6" w:space="0" w:color="auto"/>
              <w:bottom w:val="single" w:sz="6" w:space="0" w:color="auto"/>
              <w:right w:val="single" w:sz="6" w:space="0" w:color="auto"/>
            </w:tcBorders>
          </w:tcPr>
          <w:p w14:paraId="0AEB7F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KOKS</w:t>
            </w:r>
          </w:p>
        </w:tc>
        <w:tc>
          <w:tcPr>
            <w:tcW w:w="758" w:type="dxa"/>
            <w:tcBorders>
              <w:top w:val="single" w:sz="6" w:space="0" w:color="auto"/>
              <w:left w:val="single" w:sz="6" w:space="0" w:color="auto"/>
              <w:bottom w:val="single" w:sz="6" w:space="0" w:color="auto"/>
              <w:right w:val="single" w:sz="6" w:space="0" w:color="auto"/>
            </w:tcBorders>
          </w:tcPr>
          <w:p w14:paraId="0797265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18</w:t>
            </w:r>
          </w:p>
        </w:tc>
        <w:tc>
          <w:tcPr>
            <w:tcW w:w="600" w:type="dxa"/>
            <w:tcBorders>
              <w:top w:val="single" w:sz="6" w:space="0" w:color="auto"/>
              <w:left w:val="single" w:sz="6" w:space="0" w:color="auto"/>
              <w:bottom w:val="single" w:sz="6" w:space="0" w:color="auto"/>
              <w:right w:val="single" w:sz="6" w:space="0" w:color="auto"/>
            </w:tcBorders>
          </w:tcPr>
          <w:p w14:paraId="4CA7053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1CA8E516"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B477B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38</w:t>
            </w:r>
          </w:p>
        </w:tc>
        <w:tc>
          <w:tcPr>
            <w:tcW w:w="1487" w:type="dxa"/>
            <w:tcBorders>
              <w:top w:val="single" w:sz="6" w:space="0" w:color="auto"/>
              <w:left w:val="single" w:sz="6" w:space="0" w:color="auto"/>
              <w:bottom w:val="single" w:sz="6" w:space="0" w:color="auto"/>
              <w:right w:val="single" w:sz="6" w:space="0" w:color="auto"/>
            </w:tcBorders>
          </w:tcPr>
          <w:p w14:paraId="104C058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České dráhy - DDC, GŘ Praha</w:t>
            </w:r>
          </w:p>
        </w:tc>
        <w:tc>
          <w:tcPr>
            <w:tcW w:w="1643" w:type="dxa"/>
            <w:tcBorders>
              <w:top w:val="single" w:sz="6" w:space="0" w:color="auto"/>
              <w:left w:val="single" w:sz="6" w:space="0" w:color="auto"/>
              <w:bottom w:val="single" w:sz="6" w:space="0" w:color="auto"/>
              <w:right w:val="single" w:sz="6" w:space="0" w:color="auto"/>
            </w:tcBorders>
          </w:tcPr>
          <w:p w14:paraId="4F7C994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Správa dopravní cesty Litoměřice</w:t>
            </w:r>
          </w:p>
        </w:tc>
        <w:tc>
          <w:tcPr>
            <w:tcW w:w="917" w:type="dxa"/>
            <w:tcBorders>
              <w:top w:val="single" w:sz="6" w:space="0" w:color="auto"/>
              <w:left w:val="single" w:sz="6" w:space="0" w:color="auto"/>
              <w:bottom w:val="single" w:sz="6" w:space="0" w:color="auto"/>
              <w:right w:val="single" w:sz="6" w:space="0" w:color="auto"/>
            </w:tcBorders>
          </w:tcPr>
          <w:p w14:paraId="7A1224F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Nové Město</w:t>
            </w:r>
          </w:p>
        </w:tc>
        <w:tc>
          <w:tcPr>
            <w:tcW w:w="1315" w:type="dxa"/>
            <w:tcBorders>
              <w:top w:val="single" w:sz="6" w:space="0" w:color="auto"/>
              <w:left w:val="single" w:sz="6" w:space="0" w:color="auto"/>
              <w:bottom w:val="single" w:sz="6" w:space="0" w:color="auto"/>
              <w:right w:val="single" w:sz="6" w:space="0" w:color="auto"/>
            </w:tcBorders>
          </w:tcPr>
          <w:p w14:paraId="2520291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17. listopadu</w:t>
            </w:r>
          </w:p>
        </w:tc>
        <w:tc>
          <w:tcPr>
            <w:tcW w:w="522" w:type="dxa"/>
            <w:tcBorders>
              <w:top w:val="single" w:sz="6" w:space="0" w:color="auto"/>
              <w:left w:val="single" w:sz="6" w:space="0" w:color="auto"/>
              <w:bottom w:val="single" w:sz="6" w:space="0" w:color="auto"/>
              <w:right w:val="single" w:sz="6" w:space="0" w:color="auto"/>
            </w:tcBorders>
          </w:tcPr>
          <w:p w14:paraId="5DD419D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8 914</w:t>
            </w:r>
          </w:p>
        </w:tc>
        <w:tc>
          <w:tcPr>
            <w:tcW w:w="1154" w:type="dxa"/>
            <w:tcBorders>
              <w:top w:val="single" w:sz="6" w:space="0" w:color="auto"/>
              <w:left w:val="single" w:sz="6" w:space="0" w:color="auto"/>
              <w:bottom w:val="single" w:sz="6" w:space="0" w:color="auto"/>
              <w:right w:val="single" w:sz="6" w:space="0" w:color="auto"/>
            </w:tcBorders>
          </w:tcPr>
          <w:p w14:paraId="2CF0FEF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0,34</w:t>
            </w:r>
          </w:p>
        </w:tc>
        <w:tc>
          <w:tcPr>
            <w:tcW w:w="696" w:type="dxa"/>
            <w:tcBorders>
              <w:top w:val="single" w:sz="6" w:space="0" w:color="auto"/>
              <w:left w:val="single" w:sz="6" w:space="0" w:color="auto"/>
              <w:bottom w:val="single" w:sz="6" w:space="0" w:color="auto"/>
              <w:right w:val="single" w:sz="6" w:space="0" w:color="auto"/>
            </w:tcBorders>
          </w:tcPr>
          <w:p w14:paraId="34720E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DREV</w:t>
            </w:r>
          </w:p>
        </w:tc>
        <w:tc>
          <w:tcPr>
            <w:tcW w:w="758" w:type="dxa"/>
            <w:tcBorders>
              <w:top w:val="single" w:sz="6" w:space="0" w:color="auto"/>
              <w:left w:val="single" w:sz="6" w:space="0" w:color="auto"/>
              <w:bottom w:val="single" w:sz="6" w:space="0" w:color="auto"/>
              <w:right w:val="single" w:sz="6" w:space="0" w:color="auto"/>
            </w:tcBorders>
          </w:tcPr>
          <w:p w14:paraId="16AC4DA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250</w:t>
            </w:r>
          </w:p>
        </w:tc>
        <w:tc>
          <w:tcPr>
            <w:tcW w:w="600" w:type="dxa"/>
            <w:tcBorders>
              <w:top w:val="single" w:sz="6" w:space="0" w:color="auto"/>
              <w:left w:val="single" w:sz="6" w:space="0" w:color="auto"/>
              <w:bottom w:val="single" w:sz="6" w:space="0" w:color="auto"/>
              <w:right w:val="single" w:sz="6" w:space="0" w:color="auto"/>
            </w:tcBorders>
          </w:tcPr>
          <w:p w14:paraId="6B2C46E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3615E48C" w14:textId="77777777" w:rsidTr="002D2D45">
        <w:trPr>
          <w:trHeight w:val="726"/>
        </w:trPr>
        <w:tc>
          <w:tcPr>
            <w:tcW w:w="329" w:type="dxa"/>
            <w:tcBorders>
              <w:top w:val="single" w:sz="6" w:space="0" w:color="auto"/>
              <w:left w:val="single" w:sz="6" w:space="0" w:color="auto"/>
              <w:bottom w:val="single" w:sz="6" w:space="0" w:color="auto"/>
              <w:right w:val="single" w:sz="6" w:space="0" w:color="auto"/>
            </w:tcBorders>
          </w:tcPr>
          <w:p w14:paraId="1669367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39</w:t>
            </w:r>
          </w:p>
        </w:tc>
        <w:tc>
          <w:tcPr>
            <w:tcW w:w="1487" w:type="dxa"/>
            <w:tcBorders>
              <w:top w:val="single" w:sz="6" w:space="0" w:color="auto"/>
              <w:left w:val="single" w:sz="6" w:space="0" w:color="auto"/>
              <w:bottom w:val="single" w:sz="6" w:space="0" w:color="auto"/>
              <w:right w:val="single" w:sz="6" w:space="0" w:color="auto"/>
            </w:tcBorders>
          </w:tcPr>
          <w:p w14:paraId="5D5B32E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Zemědělské zásobování a nák.</w:t>
            </w:r>
          </w:p>
        </w:tc>
        <w:tc>
          <w:tcPr>
            <w:tcW w:w="1643" w:type="dxa"/>
            <w:tcBorders>
              <w:top w:val="single" w:sz="6" w:space="0" w:color="auto"/>
              <w:left w:val="single" w:sz="6" w:space="0" w:color="auto"/>
              <w:bottom w:val="single" w:sz="6" w:space="0" w:color="auto"/>
              <w:right w:val="single" w:sz="6" w:space="0" w:color="auto"/>
            </w:tcBorders>
          </w:tcPr>
          <w:p w14:paraId="0EBD4A5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ZZN Sušárna obilí Děčín</w:t>
            </w:r>
          </w:p>
        </w:tc>
        <w:tc>
          <w:tcPr>
            <w:tcW w:w="917" w:type="dxa"/>
            <w:tcBorders>
              <w:top w:val="single" w:sz="6" w:space="0" w:color="auto"/>
              <w:left w:val="single" w:sz="6" w:space="0" w:color="auto"/>
              <w:bottom w:val="single" w:sz="6" w:space="0" w:color="auto"/>
              <w:right w:val="single" w:sz="6" w:space="0" w:color="auto"/>
            </w:tcBorders>
          </w:tcPr>
          <w:p w14:paraId="0ED9FE2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Nové Město</w:t>
            </w:r>
          </w:p>
        </w:tc>
        <w:tc>
          <w:tcPr>
            <w:tcW w:w="1315" w:type="dxa"/>
            <w:tcBorders>
              <w:top w:val="single" w:sz="6" w:space="0" w:color="auto"/>
              <w:left w:val="single" w:sz="6" w:space="0" w:color="auto"/>
              <w:bottom w:val="single" w:sz="6" w:space="0" w:color="auto"/>
              <w:right w:val="single" w:sz="6" w:space="0" w:color="auto"/>
            </w:tcBorders>
          </w:tcPr>
          <w:p w14:paraId="5BF8762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17. Listopadu</w:t>
            </w:r>
          </w:p>
        </w:tc>
        <w:tc>
          <w:tcPr>
            <w:tcW w:w="522" w:type="dxa"/>
            <w:tcBorders>
              <w:top w:val="single" w:sz="6" w:space="0" w:color="auto"/>
              <w:left w:val="single" w:sz="6" w:space="0" w:color="auto"/>
              <w:bottom w:val="single" w:sz="6" w:space="0" w:color="auto"/>
              <w:right w:val="single" w:sz="6" w:space="0" w:color="auto"/>
            </w:tcBorders>
          </w:tcPr>
          <w:p w14:paraId="65DADC9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w:t>
            </w:r>
          </w:p>
        </w:tc>
        <w:tc>
          <w:tcPr>
            <w:tcW w:w="1154" w:type="dxa"/>
            <w:tcBorders>
              <w:top w:val="single" w:sz="6" w:space="0" w:color="auto"/>
              <w:left w:val="single" w:sz="6" w:space="0" w:color="auto"/>
              <w:bottom w:val="single" w:sz="6" w:space="0" w:color="auto"/>
              <w:right w:val="single" w:sz="6" w:space="0" w:color="auto"/>
            </w:tcBorders>
          </w:tcPr>
          <w:p w14:paraId="184E505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1,16</w:t>
            </w:r>
          </w:p>
        </w:tc>
        <w:tc>
          <w:tcPr>
            <w:tcW w:w="696" w:type="dxa"/>
            <w:tcBorders>
              <w:top w:val="single" w:sz="6" w:space="0" w:color="auto"/>
              <w:left w:val="single" w:sz="6" w:space="0" w:color="auto"/>
              <w:bottom w:val="single" w:sz="6" w:space="0" w:color="auto"/>
              <w:right w:val="single" w:sz="6" w:space="0" w:color="auto"/>
            </w:tcBorders>
          </w:tcPr>
          <w:p w14:paraId="0F6C391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LTO</w:t>
            </w:r>
          </w:p>
        </w:tc>
        <w:tc>
          <w:tcPr>
            <w:tcW w:w="758" w:type="dxa"/>
            <w:tcBorders>
              <w:top w:val="single" w:sz="6" w:space="0" w:color="auto"/>
              <w:left w:val="single" w:sz="6" w:space="0" w:color="auto"/>
              <w:bottom w:val="single" w:sz="6" w:space="0" w:color="auto"/>
              <w:right w:val="single" w:sz="6" w:space="0" w:color="auto"/>
            </w:tcBorders>
          </w:tcPr>
          <w:p w14:paraId="45D74FB8"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28,8</w:t>
            </w:r>
          </w:p>
        </w:tc>
        <w:tc>
          <w:tcPr>
            <w:tcW w:w="600" w:type="dxa"/>
            <w:tcBorders>
              <w:top w:val="single" w:sz="6" w:space="0" w:color="auto"/>
              <w:left w:val="single" w:sz="6" w:space="0" w:color="auto"/>
              <w:bottom w:val="single" w:sz="6" w:space="0" w:color="auto"/>
              <w:right w:val="single" w:sz="6" w:space="0" w:color="auto"/>
            </w:tcBorders>
          </w:tcPr>
          <w:p w14:paraId="701A254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1C13EC48"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00EDA62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40</w:t>
            </w:r>
          </w:p>
        </w:tc>
        <w:tc>
          <w:tcPr>
            <w:tcW w:w="1487" w:type="dxa"/>
            <w:tcBorders>
              <w:top w:val="single" w:sz="6" w:space="0" w:color="auto"/>
              <w:left w:val="single" w:sz="6" w:space="0" w:color="auto"/>
              <w:bottom w:val="single" w:sz="6" w:space="0" w:color="auto"/>
              <w:right w:val="single" w:sz="6" w:space="0" w:color="auto"/>
            </w:tcBorders>
          </w:tcPr>
          <w:p w14:paraId="380BF11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ARMEX HOLDING, a.s.</w:t>
            </w:r>
          </w:p>
        </w:tc>
        <w:tc>
          <w:tcPr>
            <w:tcW w:w="1643" w:type="dxa"/>
            <w:tcBorders>
              <w:top w:val="single" w:sz="6" w:space="0" w:color="auto"/>
              <w:left w:val="single" w:sz="6" w:space="0" w:color="auto"/>
              <w:bottom w:val="single" w:sz="6" w:space="0" w:color="auto"/>
              <w:right w:val="single" w:sz="6" w:space="0" w:color="auto"/>
            </w:tcBorders>
          </w:tcPr>
          <w:p w14:paraId="3D2D182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0603C3A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Nové Město</w:t>
            </w:r>
          </w:p>
        </w:tc>
        <w:tc>
          <w:tcPr>
            <w:tcW w:w="1315" w:type="dxa"/>
            <w:tcBorders>
              <w:top w:val="single" w:sz="6" w:space="0" w:color="auto"/>
              <w:left w:val="single" w:sz="6" w:space="0" w:color="auto"/>
              <w:bottom w:val="single" w:sz="6" w:space="0" w:color="auto"/>
              <w:right w:val="single" w:sz="6" w:space="0" w:color="auto"/>
            </w:tcBorders>
          </w:tcPr>
          <w:p w14:paraId="59763F8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Folknářská</w:t>
            </w:r>
          </w:p>
        </w:tc>
        <w:tc>
          <w:tcPr>
            <w:tcW w:w="522" w:type="dxa"/>
            <w:tcBorders>
              <w:top w:val="single" w:sz="6" w:space="0" w:color="auto"/>
              <w:left w:val="single" w:sz="6" w:space="0" w:color="auto"/>
              <w:bottom w:val="single" w:sz="6" w:space="0" w:color="auto"/>
              <w:right w:val="single" w:sz="6" w:space="0" w:color="auto"/>
            </w:tcBorders>
          </w:tcPr>
          <w:p w14:paraId="286EFD2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21</w:t>
            </w:r>
          </w:p>
        </w:tc>
        <w:tc>
          <w:tcPr>
            <w:tcW w:w="1154" w:type="dxa"/>
            <w:tcBorders>
              <w:top w:val="single" w:sz="6" w:space="0" w:color="auto"/>
              <w:left w:val="single" w:sz="6" w:space="0" w:color="auto"/>
              <w:bottom w:val="single" w:sz="6" w:space="0" w:color="auto"/>
              <w:right w:val="single" w:sz="6" w:space="0" w:color="auto"/>
            </w:tcBorders>
          </w:tcPr>
          <w:p w14:paraId="44F35B7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1,6</w:t>
            </w:r>
          </w:p>
        </w:tc>
        <w:tc>
          <w:tcPr>
            <w:tcW w:w="696" w:type="dxa"/>
            <w:tcBorders>
              <w:top w:val="single" w:sz="6" w:space="0" w:color="auto"/>
              <w:left w:val="single" w:sz="6" w:space="0" w:color="auto"/>
              <w:bottom w:val="single" w:sz="6" w:space="0" w:color="auto"/>
              <w:right w:val="single" w:sz="6" w:space="0" w:color="auto"/>
            </w:tcBorders>
          </w:tcPr>
          <w:p w14:paraId="470A012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TTO</w:t>
            </w:r>
          </w:p>
        </w:tc>
        <w:tc>
          <w:tcPr>
            <w:tcW w:w="758" w:type="dxa"/>
            <w:tcBorders>
              <w:top w:val="single" w:sz="6" w:space="0" w:color="auto"/>
              <w:left w:val="single" w:sz="6" w:space="0" w:color="auto"/>
              <w:bottom w:val="single" w:sz="6" w:space="0" w:color="auto"/>
              <w:right w:val="single" w:sz="6" w:space="0" w:color="auto"/>
            </w:tcBorders>
          </w:tcPr>
          <w:p w14:paraId="65DB5C8E"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275,38</w:t>
            </w:r>
          </w:p>
        </w:tc>
        <w:tc>
          <w:tcPr>
            <w:tcW w:w="600" w:type="dxa"/>
            <w:tcBorders>
              <w:top w:val="single" w:sz="6" w:space="0" w:color="auto"/>
              <w:left w:val="single" w:sz="6" w:space="0" w:color="auto"/>
              <w:bottom w:val="single" w:sz="6" w:space="0" w:color="auto"/>
              <w:right w:val="single" w:sz="6" w:space="0" w:color="auto"/>
            </w:tcBorders>
          </w:tcPr>
          <w:p w14:paraId="2B7AAB8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24FEF2F7" w14:textId="77777777" w:rsidTr="002D2D45">
        <w:trPr>
          <w:trHeight w:val="714"/>
        </w:trPr>
        <w:tc>
          <w:tcPr>
            <w:tcW w:w="329" w:type="dxa"/>
            <w:tcBorders>
              <w:top w:val="single" w:sz="6" w:space="0" w:color="auto"/>
              <w:left w:val="single" w:sz="6" w:space="0" w:color="auto"/>
              <w:bottom w:val="single" w:sz="6" w:space="0" w:color="auto"/>
              <w:right w:val="single" w:sz="6" w:space="0" w:color="auto"/>
            </w:tcBorders>
          </w:tcPr>
          <w:p w14:paraId="435C588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lastRenderedPageBreak/>
              <w:t>41</w:t>
            </w:r>
          </w:p>
        </w:tc>
        <w:tc>
          <w:tcPr>
            <w:tcW w:w="1487" w:type="dxa"/>
            <w:tcBorders>
              <w:top w:val="single" w:sz="6" w:space="0" w:color="auto"/>
              <w:left w:val="single" w:sz="6" w:space="0" w:color="auto"/>
              <w:bottom w:val="single" w:sz="6" w:space="0" w:color="auto"/>
              <w:right w:val="single" w:sz="6" w:space="0" w:color="auto"/>
            </w:tcBorders>
          </w:tcPr>
          <w:p w14:paraId="48BC183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LINETA  Severočeská dřevařs</w:t>
            </w:r>
          </w:p>
        </w:tc>
        <w:tc>
          <w:tcPr>
            <w:tcW w:w="1643" w:type="dxa"/>
            <w:tcBorders>
              <w:top w:val="single" w:sz="6" w:space="0" w:color="auto"/>
              <w:left w:val="single" w:sz="6" w:space="0" w:color="auto"/>
              <w:bottom w:val="single" w:sz="6" w:space="0" w:color="auto"/>
              <w:right w:val="single" w:sz="6" w:space="0" w:color="auto"/>
            </w:tcBorders>
          </w:tcPr>
          <w:p w14:paraId="72FAD20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Lineta závod Děčín-kotelna</w:t>
            </w:r>
          </w:p>
        </w:tc>
        <w:tc>
          <w:tcPr>
            <w:tcW w:w="917" w:type="dxa"/>
            <w:tcBorders>
              <w:top w:val="single" w:sz="6" w:space="0" w:color="auto"/>
              <w:left w:val="single" w:sz="6" w:space="0" w:color="auto"/>
              <w:bottom w:val="single" w:sz="6" w:space="0" w:color="auto"/>
              <w:right w:val="single" w:sz="6" w:space="0" w:color="auto"/>
            </w:tcBorders>
          </w:tcPr>
          <w:p w14:paraId="1B57FF4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Nové Město</w:t>
            </w:r>
          </w:p>
        </w:tc>
        <w:tc>
          <w:tcPr>
            <w:tcW w:w="1315" w:type="dxa"/>
            <w:tcBorders>
              <w:top w:val="single" w:sz="6" w:space="0" w:color="auto"/>
              <w:left w:val="single" w:sz="6" w:space="0" w:color="auto"/>
              <w:bottom w:val="single" w:sz="6" w:space="0" w:color="auto"/>
              <w:right w:val="single" w:sz="6" w:space="0" w:color="auto"/>
            </w:tcBorders>
          </w:tcPr>
          <w:p w14:paraId="19EA25F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Benešovská</w:t>
            </w:r>
          </w:p>
        </w:tc>
        <w:tc>
          <w:tcPr>
            <w:tcW w:w="522" w:type="dxa"/>
            <w:tcBorders>
              <w:top w:val="single" w:sz="6" w:space="0" w:color="auto"/>
              <w:left w:val="single" w:sz="6" w:space="0" w:color="auto"/>
              <w:bottom w:val="single" w:sz="6" w:space="0" w:color="auto"/>
              <w:right w:val="single" w:sz="6" w:space="0" w:color="auto"/>
            </w:tcBorders>
          </w:tcPr>
          <w:p w14:paraId="46BFF56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33</w:t>
            </w:r>
          </w:p>
        </w:tc>
        <w:tc>
          <w:tcPr>
            <w:tcW w:w="1154" w:type="dxa"/>
            <w:tcBorders>
              <w:top w:val="single" w:sz="6" w:space="0" w:color="auto"/>
              <w:left w:val="single" w:sz="6" w:space="0" w:color="auto"/>
              <w:bottom w:val="single" w:sz="6" w:space="0" w:color="auto"/>
              <w:right w:val="single" w:sz="6" w:space="0" w:color="auto"/>
            </w:tcBorders>
          </w:tcPr>
          <w:p w14:paraId="4D3788B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2,5</w:t>
            </w:r>
          </w:p>
        </w:tc>
        <w:tc>
          <w:tcPr>
            <w:tcW w:w="696" w:type="dxa"/>
            <w:tcBorders>
              <w:top w:val="single" w:sz="6" w:space="0" w:color="auto"/>
              <w:left w:val="single" w:sz="6" w:space="0" w:color="auto"/>
              <w:bottom w:val="single" w:sz="6" w:space="0" w:color="auto"/>
              <w:right w:val="single" w:sz="6" w:space="0" w:color="auto"/>
            </w:tcBorders>
          </w:tcPr>
          <w:p w14:paraId="6684320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DREV</w:t>
            </w:r>
          </w:p>
        </w:tc>
        <w:tc>
          <w:tcPr>
            <w:tcW w:w="758" w:type="dxa"/>
            <w:tcBorders>
              <w:top w:val="single" w:sz="6" w:space="0" w:color="auto"/>
              <w:left w:val="single" w:sz="6" w:space="0" w:color="auto"/>
              <w:bottom w:val="single" w:sz="6" w:space="0" w:color="auto"/>
              <w:right w:val="single" w:sz="6" w:space="0" w:color="auto"/>
            </w:tcBorders>
          </w:tcPr>
          <w:p w14:paraId="787F8802"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373</w:t>
            </w:r>
          </w:p>
        </w:tc>
        <w:tc>
          <w:tcPr>
            <w:tcW w:w="600" w:type="dxa"/>
            <w:tcBorders>
              <w:top w:val="single" w:sz="6" w:space="0" w:color="auto"/>
              <w:left w:val="single" w:sz="6" w:space="0" w:color="auto"/>
              <w:bottom w:val="single" w:sz="6" w:space="0" w:color="auto"/>
              <w:right w:val="single" w:sz="6" w:space="0" w:color="auto"/>
            </w:tcBorders>
          </w:tcPr>
          <w:p w14:paraId="4F91BCA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7B91D48D"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63BBAC3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42</w:t>
            </w:r>
          </w:p>
        </w:tc>
        <w:tc>
          <w:tcPr>
            <w:tcW w:w="1487" w:type="dxa"/>
            <w:tcBorders>
              <w:top w:val="single" w:sz="6" w:space="0" w:color="auto"/>
              <w:left w:val="single" w:sz="6" w:space="0" w:color="auto"/>
              <w:bottom w:val="single" w:sz="6" w:space="0" w:color="auto"/>
              <w:right w:val="single" w:sz="6" w:space="0" w:color="auto"/>
            </w:tcBorders>
          </w:tcPr>
          <w:p w14:paraId="31CACCE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Termo</w:t>
            </w:r>
            <w:r w:rsidRPr="00D42621">
              <w:rPr>
                <w:rFonts w:ascii="Arial" w:hAnsi="Arial"/>
                <w:color w:val="000000"/>
                <w:sz w:val="16"/>
                <w:szCs w:val="16"/>
                <w:lang w:eastAsia="cs-CZ"/>
              </w:rPr>
              <w:t xml:space="preserve"> Děčín a.s.</w:t>
            </w:r>
          </w:p>
        </w:tc>
        <w:tc>
          <w:tcPr>
            <w:tcW w:w="1643" w:type="dxa"/>
            <w:tcBorders>
              <w:top w:val="single" w:sz="6" w:space="0" w:color="auto"/>
              <w:left w:val="single" w:sz="6" w:space="0" w:color="auto"/>
              <w:bottom w:val="single" w:sz="6" w:space="0" w:color="auto"/>
              <w:right w:val="single" w:sz="6" w:space="0" w:color="auto"/>
            </w:tcBorders>
          </w:tcPr>
          <w:p w14:paraId="4C240E6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 xml:space="preserve">kotelna Nedbalova </w:t>
            </w:r>
          </w:p>
        </w:tc>
        <w:tc>
          <w:tcPr>
            <w:tcW w:w="917" w:type="dxa"/>
            <w:tcBorders>
              <w:top w:val="single" w:sz="6" w:space="0" w:color="auto"/>
              <w:left w:val="single" w:sz="6" w:space="0" w:color="auto"/>
              <w:bottom w:val="single" w:sz="6" w:space="0" w:color="auto"/>
              <w:right w:val="single" w:sz="6" w:space="0" w:color="auto"/>
            </w:tcBorders>
          </w:tcPr>
          <w:p w14:paraId="1E49D77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Nové Město</w:t>
            </w:r>
          </w:p>
        </w:tc>
        <w:tc>
          <w:tcPr>
            <w:tcW w:w="1315" w:type="dxa"/>
            <w:tcBorders>
              <w:top w:val="single" w:sz="6" w:space="0" w:color="auto"/>
              <w:left w:val="single" w:sz="6" w:space="0" w:color="auto"/>
              <w:bottom w:val="single" w:sz="6" w:space="0" w:color="auto"/>
              <w:right w:val="single" w:sz="6" w:space="0" w:color="auto"/>
            </w:tcBorders>
          </w:tcPr>
          <w:p w14:paraId="11DAE93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 xml:space="preserve">Nedbalova </w:t>
            </w:r>
          </w:p>
        </w:tc>
        <w:tc>
          <w:tcPr>
            <w:tcW w:w="522" w:type="dxa"/>
            <w:tcBorders>
              <w:top w:val="single" w:sz="6" w:space="0" w:color="auto"/>
              <w:left w:val="single" w:sz="6" w:space="0" w:color="auto"/>
              <w:bottom w:val="single" w:sz="6" w:space="0" w:color="auto"/>
              <w:right w:val="single" w:sz="6" w:space="0" w:color="auto"/>
            </w:tcBorders>
          </w:tcPr>
          <w:p w14:paraId="16318A5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7</w:t>
            </w:r>
          </w:p>
        </w:tc>
        <w:tc>
          <w:tcPr>
            <w:tcW w:w="1154" w:type="dxa"/>
            <w:tcBorders>
              <w:top w:val="single" w:sz="6" w:space="0" w:color="auto"/>
              <w:left w:val="single" w:sz="6" w:space="0" w:color="auto"/>
              <w:bottom w:val="single" w:sz="6" w:space="0" w:color="auto"/>
              <w:right w:val="single" w:sz="6" w:space="0" w:color="auto"/>
            </w:tcBorders>
          </w:tcPr>
          <w:p w14:paraId="05942D2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1,16</w:t>
            </w:r>
          </w:p>
        </w:tc>
        <w:tc>
          <w:tcPr>
            <w:tcW w:w="696" w:type="dxa"/>
            <w:tcBorders>
              <w:top w:val="single" w:sz="6" w:space="0" w:color="auto"/>
              <w:left w:val="single" w:sz="6" w:space="0" w:color="auto"/>
              <w:bottom w:val="single" w:sz="6" w:space="0" w:color="auto"/>
              <w:right w:val="single" w:sz="6" w:space="0" w:color="auto"/>
            </w:tcBorders>
          </w:tcPr>
          <w:p w14:paraId="20940D7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6AD4D309"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184</w:t>
            </w:r>
          </w:p>
        </w:tc>
        <w:tc>
          <w:tcPr>
            <w:tcW w:w="600" w:type="dxa"/>
            <w:tcBorders>
              <w:top w:val="single" w:sz="6" w:space="0" w:color="auto"/>
              <w:left w:val="single" w:sz="6" w:space="0" w:color="auto"/>
              <w:bottom w:val="single" w:sz="6" w:space="0" w:color="auto"/>
              <w:right w:val="single" w:sz="6" w:space="0" w:color="auto"/>
            </w:tcBorders>
          </w:tcPr>
          <w:p w14:paraId="01B0ED7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12C1F4A1"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2494108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43</w:t>
            </w:r>
          </w:p>
        </w:tc>
        <w:tc>
          <w:tcPr>
            <w:tcW w:w="1487" w:type="dxa"/>
            <w:tcBorders>
              <w:top w:val="single" w:sz="6" w:space="0" w:color="auto"/>
              <w:left w:val="single" w:sz="6" w:space="0" w:color="auto"/>
              <w:bottom w:val="single" w:sz="6" w:space="0" w:color="auto"/>
              <w:right w:val="single" w:sz="6" w:space="0" w:color="auto"/>
            </w:tcBorders>
          </w:tcPr>
          <w:p w14:paraId="5F4AB36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Město Děčín</w:t>
            </w:r>
          </w:p>
        </w:tc>
        <w:tc>
          <w:tcPr>
            <w:tcW w:w="1643" w:type="dxa"/>
            <w:tcBorders>
              <w:top w:val="single" w:sz="6" w:space="0" w:color="auto"/>
              <w:left w:val="single" w:sz="6" w:space="0" w:color="auto"/>
              <w:bottom w:val="single" w:sz="6" w:space="0" w:color="auto"/>
              <w:right w:val="single" w:sz="6" w:space="0" w:color="auto"/>
            </w:tcBorders>
          </w:tcPr>
          <w:p w14:paraId="4FD2592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ZŠ Kamenická</w:t>
            </w:r>
          </w:p>
        </w:tc>
        <w:tc>
          <w:tcPr>
            <w:tcW w:w="917" w:type="dxa"/>
            <w:tcBorders>
              <w:top w:val="single" w:sz="6" w:space="0" w:color="auto"/>
              <w:left w:val="single" w:sz="6" w:space="0" w:color="auto"/>
              <w:bottom w:val="single" w:sz="6" w:space="0" w:color="auto"/>
              <w:right w:val="single" w:sz="6" w:space="0" w:color="auto"/>
            </w:tcBorders>
          </w:tcPr>
          <w:p w14:paraId="53B21C7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Nové Město</w:t>
            </w:r>
          </w:p>
        </w:tc>
        <w:tc>
          <w:tcPr>
            <w:tcW w:w="1315" w:type="dxa"/>
            <w:tcBorders>
              <w:top w:val="single" w:sz="6" w:space="0" w:color="auto"/>
              <w:left w:val="single" w:sz="6" w:space="0" w:color="auto"/>
              <w:bottom w:val="single" w:sz="6" w:space="0" w:color="auto"/>
              <w:right w:val="single" w:sz="6" w:space="0" w:color="auto"/>
            </w:tcBorders>
          </w:tcPr>
          <w:p w14:paraId="72FB7E3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Kamenická</w:t>
            </w:r>
          </w:p>
        </w:tc>
        <w:tc>
          <w:tcPr>
            <w:tcW w:w="522" w:type="dxa"/>
            <w:tcBorders>
              <w:top w:val="single" w:sz="6" w:space="0" w:color="auto"/>
              <w:left w:val="single" w:sz="6" w:space="0" w:color="auto"/>
              <w:bottom w:val="single" w:sz="6" w:space="0" w:color="auto"/>
              <w:right w:val="single" w:sz="6" w:space="0" w:color="auto"/>
            </w:tcBorders>
          </w:tcPr>
          <w:p w14:paraId="3524D9A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1 145</w:t>
            </w:r>
          </w:p>
        </w:tc>
        <w:tc>
          <w:tcPr>
            <w:tcW w:w="1154" w:type="dxa"/>
            <w:tcBorders>
              <w:top w:val="single" w:sz="6" w:space="0" w:color="auto"/>
              <w:left w:val="single" w:sz="6" w:space="0" w:color="auto"/>
              <w:bottom w:val="single" w:sz="6" w:space="0" w:color="auto"/>
              <w:right w:val="single" w:sz="6" w:space="0" w:color="auto"/>
            </w:tcBorders>
          </w:tcPr>
          <w:p w14:paraId="61BF540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0,34</w:t>
            </w:r>
          </w:p>
        </w:tc>
        <w:tc>
          <w:tcPr>
            <w:tcW w:w="696" w:type="dxa"/>
            <w:tcBorders>
              <w:top w:val="single" w:sz="6" w:space="0" w:color="auto"/>
              <w:left w:val="single" w:sz="6" w:space="0" w:color="auto"/>
              <w:bottom w:val="single" w:sz="6" w:space="0" w:color="auto"/>
              <w:right w:val="single" w:sz="6" w:space="0" w:color="auto"/>
            </w:tcBorders>
          </w:tcPr>
          <w:p w14:paraId="04087C4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54934A96"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27,2</w:t>
            </w:r>
          </w:p>
        </w:tc>
        <w:tc>
          <w:tcPr>
            <w:tcW w:w="600" w:type="dxa"/>
            <w:tcBorders>
              <w:top w:val="single" w:sz="6" w:space="0" w:color="auto"/>
              <w:left w:val="single" w:sz="6" w:space="0" w:color="auto"/>
              <w:bottom w:val="single" w:sz="6" w:space="0" w:color="auto"/>
              <w:right w:val="single" w:sz="6" w:space="0" w:color="auto"/>
            </w:tcBorders>
          </w:tcPr>
          <w:p w14:paraId="31A1443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7A99E165"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35D27C6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44</w:t>
            </w:r>
          </w:p>
        </w:tc>
        <w:tc>
          <w:tcPr>
            <w:tcW w:w="1487" w:type="dxa"/>
            <w:tcBorders>
              <w:top w:val="single" w:sz="6" w:space="0" w:color="auto"/>
              <w:left w:val="single" w:sz="6" w:space="0" w:color="auto"/>
              <w:bottom w:val="single" w:sz="6" w:space="0" w:color="auto"/>
              <w:right w:val="single" w:sz="6" w:space="0" w:color="auto"/>
            </w:tcBorders>
          </w:tcPr>
          <w:p w14:paraId="66FAA8C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Stavební bytové družstvo DC</w:t>
            </w:r>
          </w:p>
        </w:tc>
        <w:tc>
          <w:tcPr>
            <w:tcW w:w="1643" w:type="dxa"/>
            <w:tcBorders>
              <w:top w:val="single" w:sz="6" w:space="0" w:color="auto"/>
              <w:left w:val="single" w:sz="6" w:space="0" w:color="auto"/>
              <w:bottom w:val="single" w:sz="6" w:space="0" w:color="auto"/>
              <w:right w:val="single" w:sz="6" w:space="0" w:color="auto"/>
            </w:tcBorders>
          </w:tcPr>
          <w:p w14:paraId="3929805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SBD kotelna Slezská</w:t>
            </w:r>
          </w:p>
        </w:tc>
        <w:tc>
          <w:tcPr>
            <w:tcW w:w="917" w:type="dxa"/>
            <w:tcBorders>
              <w:top w:val="single" w:sz="6" w:space="0" w:color="auto"/>
              <w:left w:val="single" w:sz="6" w:space="0" w:color="auto"/>
              <w:bottom w:val="single" w:sz="6" w:space="0" w:color="auto"/>
              <w:right w:val="single" w:sz="6" w:space="0" w:color="auto"/>
            </w:tcBorders>
          </w:tcPr>
          <w:p w14:paraId="082E076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68DE431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Slezská</w:t>
            </w:r>
          </w:p>
        </w:tc>
        <w:tc>
          <w:tcPr>
            <w:tcW w:w="522" w:type="dxa"/>
            <w:tcBorders>
              <w:top w:val="single" w:sz="6" w:space="0" w:color="auto"/>
              <w:left w:val="single" w:sz="6" w:space="0" w:color="auto"/>
              <w:bottom w:val="single" w:sz="6" w:space="0" w:color="auto"/>
              <w:right w:val="single" w:sz="6" w:space="0" w:color="auto"/>
            </w:tcBorders>
          </w:tcPr>
          <w:p w14:paraId="31C1D42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w:t>
            </w:r>
          </w:p>
        </w:tc>
        <w:tc>
          <w:tcPr>
            <w:tcW w:w="1154" w:type="dxa"/>
            <w:tcBorders>
              <w:top w:val="single" w:sz="6" w:space="0" w:color="auto"/>
              <w:left w:val="single" w:sz="6" w:space="0" w:color="auto"/>
              <w:bottom w:val="single" w:sz="6" w:space="0" w:color="auto"/>
              <w:right w:val="single" w:sz="6" w:space="0" w:color="auto"/>
            </w:tcBorders>
          </w:tcPr>
          <w:p w14:paraId="73F4B87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4 x 0,493</w:t>
            </w:r>
          </w:p>
        </w:tc>
        <w:tc>
          <w:tcPr>
            <w:tcW w:w="696" w:type="dxa"/>
            <w:tcBorders>
              <w:top w:val="single" w:sz="6" w:space="0" w:color="auto"/>
              <w:left w:val="single" w:sz="6" w:space="0" w:color="auto"/>
              <w:bottom w:val="single" w:sz="6" w:space="0" w:color="auto"/>
              <w:right w:val="single" w:sz="6" w:space="0" w:color="auto"/>
            </w:tcBorders>
          </w:tcPr>
          <w:p w14:paraId="0E56182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LTO</w:t>
            </w:r>
          </w:p>
        </w:tc>
        <w:tc>
          <w:tcPr>
            <w:tcW w:w="758" w:type="dxa"/>
            <w:tcBorders>
              <w:top w:val="single" w:sz="6" w:space="0" w:color="auto"/>
              <w:left w:val="single" w:sz="6" w:space="0" w:color="auto"/>
              <w:bottom w:val="single" w:sz="6" w:space="0" w:color="auto"/>
              <w:right w:val="single" w:sz="6" w:space="0" w:color="auto"/>
            </w:tcBorders>
          </w:tcPr>
          <w:p w14:paraId="17E894E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250,9</w:t>
            </w:r>
          </w:p>
        </w:tc>
        <w:tc>
          <w:tcPr>
            <w:tcW w:w="600" w:type="dxa"/>
            <w:tcBorders>
              <w:top w:val="single" w:sz="6" w:space="0" w:color="auto"/>
              <w:left w:val="single" w:sz="6" w:space="0" w:color="auto"/>
              <w:bottom w:val="single" w:sz="6" w:space="0" w:color="auto"/>
              <w:right w:val="single" w:sz="6" w:space="0" w:color="auto"/>
            </w:tcBorders>
          </w:tcPr>
          <w:p w14:paraId="50A5903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7B16183A"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7C68DCF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45</w:t>
            </w:r>
          </w:p>
        </w:tc>
        <w:tc>
          <w:tcPr>
            <w:tcW w:w="1487" w:type="dxa"/>
            <w:tcBorders>
              <w:top w:val="single" w:sz="6" w:space="0" w:color="auto"/>
              <w:left w:val="single" w:sz="6" w:space="0" w:color="auto"/>
              <w:bottom w:val="single" w:sz="6" w:space="0" w:color="auto"/>
              <w:right w:val="single" w:sz="6" w:space="0" w:color="auto"/>
            </w:tcBorders>
          </w:tcPr>
          <w:p w14:paraId="5DF20AE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Termo</w:t>
            </w:r>
            <w:r w:rsidRPr="00D42621">
              <w:rPr>
                <w:rFonts w:ascii="Arial" w:hAnsi="Arial"/>
                <w:color w:val="000000"/>
                <w:sz w:val="16"/>
                <w:szCs w:val="16"/>
                <w:lang w:eastAsia="cs-CZ"/>
              </w:rPr>
              <w:t xml:space="preserve"> Děčín a.s.</w:t>
            </w:r>
          </w:p>
        </w:tc>
        <w:tc>
          <w:tcPr>
            <w:tcW w:w="1643" w:type="dxa"/>
            <w:tcBorders>
              <w:top w:val="single" w:sz="6" w:space="0" w:color="auto"/>
              <w:left w:val="single" w:sz="6" w:space="0" w:color="auto"/>
              <w:bottom w:val="single" w:sz="6" w:space="0" w:color="auto"/>
              <w:right w:val="single" w:sz="6" w:space="0" w:color="auto"/>
            </w:tcBorders>
          </w:tcPr>
          <w:p w14:paraId="2999470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Slovanská č.69</w:t>
            </w:r>
          </w:p>
        </w:tc>
        <w:tc>
          <w:tcPr>
            <w:tcW w:w="917" w:type="dxa"/>
            <w:tcBorders>
              <w:top w:val="single" w:sz="6" w:space="0" w:color="auto"/>
              <w:left w:val="single" w:sz="6" w:space="0" w:color="auto"/>
              <w:bottom w:val="single" w:sz="6" w:space="0" w:color="auto"/>
              <w:right w:val="single" w:sz="6" w:space="0" w:color="auto"/>
            </w:tcBorders>
          </w:tcPr>
          <w:p w14:paraId="78462B0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36EDD62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Slovanská</w:t>
            </w:r>
          </w:p>
        </w:tc>
        <w:tc>
          <w:tcPr>
            <w:tcW w:w="522" w:type="dxa"/>
            <w:tcBorders>
              <w:top w:val="single" w:sz="6" w:space="0" w:color="auto"/>
              <w:left w:val="single" w:sz="6" w:space="0" w:color="auto"/>
              <w:bottom w:val="single" w:sz="6" w:space="0" w:color="auto"/>
              <w:right w:val="single" w:sz="6" w:space="0" w:color="auto"/>
            </w:tcBorders>
          </w:tcPr>
          <w:p w14:paraId="5D3D86E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69</w:t>
            </w:r>
          </w:p>
        </w:tc>
        <w:tc>
          <w:tcPr>
            <w:tcW w:w="1154" w:type="dxa"/>
            <w:tcBorders>
              <w:top w:val="single" w:sz="6" w:space="0" w:color="auto"/>
              <w:left w:val="single" w:sz="6" w:space="0" w:color="auto"/>
              <w:bottom w:val="single" w:sz="6" w:space="0" w:color="auto"/>
              <w:right w:val="single" w:sz="6" w:space="0" w:color="auto"/>
            </w:tcBorders>
          </w:tcPr>
          <w:p w14:paraId="1C6E66D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0,7</w:t>
            </w:r>
          </w:p>
        </w:tc>
        <w:tc>
          <w:tcPr>
            <w:tcW w:w="696" w:type="dxa"/>
            <w:tcBorders>
              <w:top w:val="single" w:sz="6" w:space="0" w:color="auto"/>
              <w:left w:val="single" w:sz="6" w:space="0" w:color="auto"/>
              <w:bottom w:val="single" w:sz="6" w:space="0" w:color="auto"/>
              <w:right w:val="single" w:sz="6" w:space="0" w:color="auto"/>
            </w:tcBorders>
          </w:tcPr>
          <w:p w14:paraId="526B8AF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02BFD9B1"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65,28</w:t>
            </w:r>
          </w:p>
        </w:tc>
        <w:tc>
          <w:tcPr>
            <w:tcW w:w="600" w:type="dxa"/>
            <w:tcBorders>
              <w:top w:val="single" w:sz="6" w:space="0" w:color="auto"/>
              <w:left w:val="single" w:sz="6" w:space="0" w:color="auto"/>
              <w:bottom w:val="single" w:sz="6" w:space="0" w:color="auto"/>
              <w:right w:val="single" w:sz="6" w:space="0" w:color="auto"/>
            </w:tcBorders>
          </w:tcPr>
          <w:p w14:paraId="150EFD3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1FE91192"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19AC5EB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46</w:t>
            </w:r>
          </w:p>
        </w:tc>
        <w:tc>
          <w:tcPr>
            <w:tcW w:w="1487" w:type="dxa"/>
            <w:tcBorders>
              <w:top w:val="single" w:sz="6" w:space="0" w:color="auto"/>
              <w:left w:val="single" w:sz="6" w:space="0" w:color="auto"/>
              <w:bottom w:val="single" w:sz="6" w:space="0" w:color="auto"/>
              <w:right w:val="single" w:sz="6" w:space="0" w:color="auto"/>
            </w:tcBorders>
          </w:tcPr>
          <w:p w14:paraId="04BA267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Termo</w:t>
            </w:r>
            <w:r w:rsidRPr="00D42621">
              <w:rPr>
                <w:rFonts w:ascii="Arial" w:hAnsi="Arial"/>
                <w:color w:val="000000"/>
                <w:sz w:val="16"/>
                <w:szCs w:val="16"/>
                <w:lang w:eastAsia="cs-CZ"/>
              </w:rPr>
              <w:t xml:space="preserve"> Děčín a.s.</w:t>
            </w:r>
          </w:p>
        </w:tc>
        <w:tc>
          <w:tcPr>
            <w:tcW w:w="1643" w:type="dxa"/>
            <w:tcBorders>
              <w:top w:val="single" w:sz="6" w:space="0" w:color="auto"/>
              <w:left w:val="single" w:sz="6" w:space="0" w:color="auto"/>
              <w:bottom w:val="single" w:sz="6" w:space="0" w:color="auto"/>
              <w:right w:val="single" w:sz="6" w:space="0" w:color="auto"/>
            </w:tcBorders>
          </w:tcPr>
          <w:p w14:paraId="74634FF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Slovanská 71</w:t>
            </w:r>
          </w:p>
        </w:tc>
        <w:tc>
          <w:tcPr>
            <w:tcW w:w="917" w:type="dxa"/>
            <w:tcBorders>
              <w:top w:val="single" w:sz="6" w:space="0" w:color="auto"/>
              <w:left w:val="single" w:sz="6" w:space="0" w:color="auto"/>
              <w:bottom w:val="single" w:sz="6" w:space="0" w:color="auto"/>
              <w:right w:val="single" w:sz="6" w:space="0" w:color="auto"/>
            </w:tcBorders>
          </w:tcPr>
          <w:p w14:paraId="2100A12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30336C4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Slovanská</w:t>
            </w:r>
          </w:p>
        </w:tc>
        <w:tc>
          <w:tcPr>
            <w:tcW w:w="522" w:type="dxa"/>
            <w:tcBorders>
              <w:top w:val="single" w:sz="6" w:space="0" w:color="auto"/>
              <w:left w:val="single" w:sz="6" w:space="0" w:color="auto"/>
              <w:bottom w:val="single" w:sz="6" w:space="0" w:color="auto"/>
              <w:right w:val="single" w:sz="6" w:space="0" w:color="auto"/>
            </w:tcBorders>
          </w:tcPr>
          <w:p w14:paraId="3FCE879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71</w:t>
            </w:r>
          </w:p>
        </w:tc>
        <w:tc>
          <w:tcPr>
            <w:tcW w:w="1154" w:type="dxa"/>
            <w:tcBorders>
              <w:top w:val="single" w:sz="6" w:space="0" w:color="auto"/>
              <w:left w:val="single" w:sz="6" w:space="0" w:color="auto"/>
              <w:bottom w:val="single" w:sz="6" w:space="0" w:color="auto"/>
              <w:right w:val="single" w:sz="6" w:space="0" w:color="auto"/>
            </w:tcBorders>
          </w:tcPr>
          <w:p w14:paraId="71354A0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0,7</w:t>
            </w:r>
          </w:p>
        </w:tc>
        <w:tc>
          <w:tcPr>
            <w:tcW w:w="696" w:type="dxa"/>
            <w:tcBorders>
              <w:top w:val="single" w:sz="6" w:space="0" w:color="auto"/>
              <w:left w:val="single" w:sz="6" w:space="0" w:color="auto"/>
              <w:bottom w:val="single" w:sz="6" w:space="0" w:color="auto"/>
              <w:right w:val="single" w:sz="6" w:space="0" w:color="auto"/>
            </w:tcBorders>
          </w:tcPr>
          <w:p w14:paraId="2464FC8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5137A951"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74,96</w:t>
            </w:r>
          </w:p>
        </w:tc>
        <w:tc>
          <w:tcPr>
            <w:tcW w:w="600" w:type="dxa"/>
            <w:tcBorders>
              <w:top w:val="single" w:sz="6" w:space="0" w:color="auto"/>
              <w:left w:val="single" w:sz="6" w:space="0" w:color="auto"/>
              <w:bottom w:val="single" w:sz="6" w:space="0" w:color="auto"/>
              <w:right w:val="single" w:sz="6" w:space="0" w:color="auto"/>
            </w:tcBorders>
          </w:tcPr>
          <w:p w14:paraId="5F677B1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34036045"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B53D21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47</w:t>
            </w:r>
          </w:p>
        </w:tc>
        <w:tc>
          <w:tcPr>
            <w:tcW w:w="1487" w:type="dxa"/>
            <w:tcBorders>
              <w:top w:val="single" w:sz="6" w:space="0" w:color="auto"/>
              <w:left w:val="single" w:sz="6" w:space="0" w:color="auto"/>
              <w:bottom w:val="single" w:sz="6" w:space="0" w:color="auto"/>
              <w:right w:val="single" w:sz="6" w:space="0" w:color="auto"/>
            </w:tcBorders>
          </w:tcPr>
          <w:p w14:paraId="69AEFA0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Termo</w:t>
            </w:r>
            <w:r w:rsidRPr="00D42621">
              <w:rPr>
                <w:rFonts w:ascii="Arial" w:hAnsi="Arial"/>
                <w:color w:val="000000"/>
                <w:sz w:val="16"/>
                <w:szCs w:val="16"/>
                <w:lang w:eastAsia="cs-CZ"/>
              </w:rPr>
              <w:t xml:space="preserve"> Děčín a.s.</w:t>
            </w:r>
          </w:p>
        </w:tc>
        <w:tc>
          <w:tcPr>
            <w:tcW w:w="1643" w:type="dxa"/>
            <w:tcBorders>
              <w:top w:val="single" w:sz="6" w:space="0" w:color="auto"/>
              <w:left w:val="single" w:sz="6" w:space="0" w:color="auto"/>
              <w:bottom w:val="single" w:sz="6" w:space="0" w:color="auto"/>
              <w:right w:val="single" w:sz="6" w:space="0" w:color="auto"/>
            </w:tcBorders>
          </w:tcPr>
          <w:p w14:paraId="78BB5B5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Plzeňská 1</w:t>
            </w:r>
          </w:p>
        </w:tc>
        <w:tc>
          <w:tcPr>
            <w:tcW w:w="917" w:type="dxa"/>
            <w:tcBorders>
              <w:top w:val="single" w:sz="6" w:space="0" w:color="auto"/>
              <w:left w:val="single" w:sz="6" w:space="0" w:color="auto"/>
              <w:bottom w:val="single" w:sz="6" w:space="0" w:color="auto"/>
              <w:right w:val="single" w:sz="6" w:space="0" w:color="auto"/>
            </w:tcBorders>
          </w:tcPr>
          <w:p w14:paraId="46AC5FF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5DEB541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Plzeňská</w:t>
            </w:r>
          </w:p>
        </w:tc>
        <w:tc>
          <w:tcPr>
            <w:tcW w:w="522" w:type="dxa"/>
            <w:tcBorders>
              <w:top w:val="single" w:sz="6" w:space="0" w:color="auto"/>
              <w:left w:val="single" w:sz="6" w:space="0" w:color="auto"/>
              <w:bottom w:val="single" w:sz="6" w:space="0" w:color="auto"/>
              <w:right w:val="single" w:sz="6" w:space="0" w:color="auto"/>
            </w:tcBorders>
          </w:tcPr>
          <w:p w14:paraId="2805AE6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w:t>
            </w:r>
          </w:p>
        </w:tc>
        <w:tc>
          <w:tcPr>
            <w:tcW w:w="1154" w:type="dxa"/>
            <w:tcBorders>
              <w:top w:val="single" w:sz="6" w:space="0" w:color="auto"/>
              <w:left w:val="single" w:sz="6" w:space="0" w:color="auto"/>
              <w:bottom w:val="single" w:sz="6" w:space="0" w:color="auto"/>
              <w:right w:val="single" w:sz="6" w:space="0" w:color="auto"/>
            </w:tcBorders>
          </w:tcPr>
          <w:p w14:paraId="7D007A2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0,3</w:t>
            </w:r>
          </w:p>
        </w:tc>
        <w:tc>
          <w:tcPr>
            <w:tcW w:w="696" w:type="dxa"/>
            <w:tcBorders>
              <w:top w:val="single" w:sz="6" w:space="0" w:color="auto"/>
              <w:left w:val="single" w:sz="6" w:space="0" w:color="auto"/>
              <w:bottom w:val="single" w:sz="6" w:space="0" w:color="auto"/>
              <w:right w:val="single" w:sz="6" w:space="0" w:color="auto"/>
            </w:tcBorders>
          </w:tcPr>
          <w:p w14:paraId="165B61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4AB61147"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41,2</w:t>
            </w:r>
          </w:p>
        </w:tc>
        <w:tc>
          <w:tcPr>
            <w:tcW w:w="600" w:type="dxa"/>
            <w:tcBorders>
              <w:top w:val="single" w:sz="6" w:space="0" w:color="auto"/>
              <w:left w:val="single" w:sz="6" w:space="0" w:color="auto"/>
              <w:bottom w:val="single" w:sz="6" w:space="0" w:color="auto"/>
              <w:right w:val="single" w:sz="6" w:space="0" w:color="auto"/>
            </w:tcBorders>
          </w:tcPr>
          <w:p w14:paraId="45C1B9D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2382000C"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009117E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48</w:t>
            </w:r>
          </w:p>
        </w:tc>
        <w:tc>
          <w:tcPr>
            <w:tcW w:w="1487" w:type="dxa"/>
            <w:tcBorders>
              <w:top w:val="single" w:sz="6" w:space="0" w:color="auto"/>
              <w:left w:val="single" w:sz="6" w:space="0" w:color="auto"/>
              <w:bottom w:val="single" w:sz="6" w:space="0" w:color="auto"/>
              <w:right w:val="single" w:sz="6" w:space="0" w:color="auto"/>
            </w:tcBorders>
          </w:tcPr>
          <w:p w14:paraId="594DB9E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Termo</w:t>
            </w:r>
            <w:r w:rsidRPr="00D42621">
              <w:rPr>
                <w:rFonts w:ascii="Arial" w:hAnsi="Arial"/>
                <w:color w:val="000000"/>
                <w:sz w:val="16"/>
                <w:szCs w:val="16"/>
                <w:lang w:eastAsia="cs-CZ"/>
              </w:rPr>
              <w:t xml:space="preserve"> Děčín a.s.</w:t>
            </w:r>
          </w:p>
        </w:tc>
        <w:tc>
          <w:tcPr>
            <w:tcW w:w="1643" w:type="dxa"/>
            <w:tcBorders>
              <w:top w:val="single" w:sz="6" w:space="0" w:color="auto"/>
              <w:left w:val="single" w:sz="6" w:space="0" w:color="auto"/>
              <w:bottom w:val="single" w:sz="6" w:space="0" w:color="auto"/>
              <w:right w:val="single" w:sz="6" w:space="0" w:color="auto"/>
            </w:tcBorders>
          </w:tcPr>
          <w:p w14:paraId="15E292D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Zbrojnická</w:t>
            </w:r>
          </w:p>
        </w:tc>
        <w:tc>
          <w:tcPr>
            <w:tcW w:w="917" w:type="dxa"/>
            <w:tcBorders>
              <w:top w:val="single" w:sz="6" w:space="0" w:color="auto"/>
              <w:left w:val="single" w:sz="6" w:space="0" w:color="auto"/>
              <w:bottom w:val="single" w:sz="6" w:space="0" w:color="auto"/>
              <w:right w:val="single" w:sz="6" w:space="0" w:color="auto"/>
            </w:tcBorders>
          </w:tcPr>
          <w:p w14:paraId="3028FE7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2FB67DA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Zbrojnická</w:t>
            </w:r>
          </w:p>
        </w:tc>
        <w:tc>
          <w:tcPr>
            <w:tcW w:w="522" w:type="dxa"/>
            <w:tcBorders>
              <w:top w:val="single" w:sz="6" w:space="0" w:color="auto"/>
              <w:left w:val="single" w:sz="6" w:space="0" w:color="auto"/>
              <w:bottom w:val="single" w:sz="6" w:space="0" w:color="auto"/>
              <w:right w:val="single" w:sz="6" w:space="0" w:color="auto"/>
            </w:tcBorders>
          </w:tcPr>
          <w:p w14:paraId="06FE935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14</w:t>
            </w:r>
          </w:p>
        </w:tc>
        <w:tc>
          <w:tcPr>
            <w:tcW w:w="1154" w:type="dxa"/>
            <w:tcBorders>
              <w:top w:val="single" w:sz="6" w:space="0" w:color="auto"/>
              <w:left w:val="single" w:sz="6" w:space="0" w:color="auto"/>
              <w:bottom w:val="single" w:sz="6" w:space="0" w:color="auto"/>
              <w:right w:val="single" w:sz="6" w:space="0" w:color="auto"/>
            </w:tcBorders>
          </w:tcPr>
          <w:p w14:paraId="6F67EC4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w:t>
            </w:r>
          </w:p>
        </w:tc>
        <w:tc>
          <w:tcPr>
            <w:tcW w:w="696" w:type="dxa"/>
            <w:tcBorders>
              <w:top w:val="single" w:sz="6" w:space="0" w:color="auto"/>
              <w:left w:val="single" w:sz="6" w:space="0" w:color="auto"/>
              <w:bottom w:val="single" w:sz="6" w:space="0" w:color="auto"/>
              <w:right w:val="single" w:sz="6" w:space="0" w:color="auto"/>
            </w:tcBorders>
          </w:tcPr>
          <w:p w14:paraId="00E0B1B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470F9E5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40,22</w:t>
            </w:r>
          </w:p>
        </w:tc>
        <w:tc>
          <w:tcPr>
            <w:tcW w:w="600" w:type="dxa"/>
            <w:tcBorders>
              <w:top w:val="single" w:sz="6" w:space="0" w:color="auto"/>
              <w:left w:val="single" w:sz="6" w:space="0" w:color="auto"/>
              <w:bottom w:val="single" w:sz="6" w:space="0" w:color="auto"/>
              <w:right w:val="single" w:sz="6" w:space="0" w:color="auto"/>
            </w:tcBorders>
          </w:tcPr>
          <w:p w14:paraId="3D3B358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04EDAF75"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D488B1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49</w:t>
            </w:r>
          </w:p>
        </w:tc>
        <w:tc>
          <w:tcPr>
            <w:tcW w:w="1487" w:type="dxa"/>
            <w:tcBorders>
              <w:top w:val="single" w:sz="6" w:space="0" w:color="auto"/>
              <w:left w:val="single" w:sz="6" w:space="0" w:color="auto"/>
              <w:bottom w:val="single" w:sz="6" w:space="0" w:color="auto"/>
              <w:right w:val="single" w:sz="6" w:space="0" w:color="auto"/>
            </w:tcBorders>
          </w:tcPr>
          <w:p w14:paraId="730C330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Termo</w:t>
            </w:r>
            <w:r w:rsidRPr="00D42621">
              <w:rPr>
                <w:rFonts w:ascii="Arial" w:hAnsi="Arial"/>
                <w:color w:val="000000"/>
                <w:sz w:val="16"/>
                <w:szCs w:val="16"/>
                <w:lang w:eastAsia="cs-CZ"/>
              </w:rPr>
              <w:t xml:space="preserve"> Děčín a.s.</w:t>
            </w:r>
          </w:p>
        </w:tc>
        <w:tc>
          <w:tcPr>
            <w:tcW w:w="1643" w:type="dxa"/>
            <w:tcBorders>
              <w:top w:val="single" w:sz="6" w:space="0" w:color="auto"/>
              <w:left w:val="single" w:sz="6" w:space="0" w:color="auto"/>
              <w:bottom w:val="single" w:sz="6" w:space="0" w:color="auto"/>
              <w:right w:val="single" w:sz="6" w:space="0" w:color="auto"/>
            </w:tcBorders>
          </w:tcPr>
          <w:p w14:paraId="360DF57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Čsl. legií</w:t>
            </w:r>
          </w:p>
        </w:tc>
        <w:tc>
          <w:tcPr>
            <w:tcW w:w="917" w:type="dxa"/>
            <w:tcBorders>
              <w:top w:val="single" w:sz="6" w:space="0" w:color="auto"/>
              <w:left w:val="single" w:sz="6" w:space="0" w:color="auto"/>
              <w:bottom w:val="single" w:sz="6" w:space="0" w:color="auto"/>
              <w:right w:val="single" w:sz="6" w:space="0" w:color="auto"/>
            </w:tcBorders>
          </w:tcPr>
          <w:p w14:paraId="508FE94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3BF4D7A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Čsl. legií</w:t>
            </w:r>
          </w:p>
        </w:tc>
        <w:tc>
          <w:tcPr>
            <w:tcW w:w="522" w:type="dxa"/>
            <w:tcBorders>
              <w:top w:val="single" w:sz="6" w:space="0" w:color="auto"/>
              <w:left w:val="single" w:sz="6" w:space="0" w:color="auto"/>
              <w:bottom w:val="single" w:sz="6" w:space="0" w:color="auto"/>
              <w:right w:val="single" w:sz="6" w:space="0" w:color="auto"/>
            </w:tcBorders>
          </w:tcPr>
          <w:p w14:paraId="3B0113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w:t>
            </w:r>
          </w:p>
        </w:tc>
        <w:tc>
          <w:tcPr>
            <w:tcW w:w="1154" w:type="dxa"/>
            <w:tcBorders>
              <w:top w:val="single" w:sz="6" w:space="0" w:color="auto"/>
              <w:left w:val="single" w:sz="6" w:space="0" w:color="auto"/>
              <w:bottom w:val="single" w:sz="6" w:space="0" w:color="auto"/>
              <w:right w:val="single" w:sz="6" w:space="0" w:color="auto"/>
            </w:tcBorders>
          </w:tcPr>
          <w:p w14:paraId="33684B8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0,3</w:t>
            </w:r>
          </w:p>
        </w:tc>
        <w:tc>
          <w:tcPr>
            <w:tcW w:w="696" w:type="dxa"/>
            <w:tcBorders>
              <w:top w:val="single" w:sz="6" w:space="0" w:color="auto"/>
              <w:left w:val="single" w:sz="6" w:space="0" w:color="auto"/>
              <w:bottom w:val="single" w:sz="6" w:space="0" w:color="auto"/>
              <w:right w:val="single" w:sz="6" w:space="0" w:color="auto"/>
            </w:tcBorders>
          </w:tcPr>
          <w:p w14:paraId="4325DDC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1EBAA298"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25,93</w:t>
            </w:r>
          </w:p>
        </w:tc>
        <w:tc>
          <w:tcPr>
            <w:tcW w:w="600" w:type="dxa"/>
            <w:tcBorders>
              <w:top w:val="single" w:sz="6" w:space="0" w:color="auto"/>
              <w:left w:val="single" w:sz="6" w:space="0" w:color="auto"/>
              <w:bottom w:val="single" w:sz="6" w:space="0" w:color="auto"/>
              <w:right w:val="single" w:sz="6" w:space="0" w:color="auto"/>
            </w:tcBorders>
          </w:tcPr>
          <w:p w14:paraId="78FC5FA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49B2ADBE" w14:textId="77777777" w:rsidTr="002D2D45">
        <w:trPr>
          <w:trHeight w:val="726"/>
        </w:trPr>
        <w:tc>
          <w:tcPr>
            <w:tcW w:w="329" w:type="dxa"/>
            <w:tcBorders>
              <w:top w:val="single" w:sz="6" w:space="0" w:color="auto"/>
              <w:left w:val="single" w:sz="6" w:space="0" w:color="auto"/>
              <w:bottom w:val="single" w:sz="6" w:space="0" w:color="auto"/>
              <w:right w:val="single" w:sz="6" w:space="0" w:color="auto"/>
            </w:tcBorders>
          </w:tcPr>
          <w:p w14:paraId="2D70DAA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50</w:t>
            </w:r>
          </w:p>
        </w:tc>
        <w:tc>
          <w:tcPr>
            <w:tcW w:w="1487" w:type="dxa"/>
            <w:tcBorders>
              <w:top w:val="single" w:sz="6" w:space="0" w:color="auto"/>
              <w:left w:val="single" w:sz="6" w:space="0" w:color="auto"/>
              <w:bottom w:val="single" w:sz="6" w:space="0" w:color="auto"/>
              <w:right w:val="single" w:sz="6" w:space="0" w:color="auto"/>
            </w:tcBorders>
          </w:tcPr>
          <w:p w14:paraId="5D81B0A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CENTRO Děčín, kom.spol.</w:t>
            </w:r>
          </w:p>
        </w:tc>
        <w:tc>
          <w:tcPr>
            <w:tcW w:w="1643" w:type="dxa"/>
            <w:tcBorders>
              <w:top w:val="single" w:sz="6" w:space="0" w:color="auto"/>
              <w:left w:val="single" w:sz="6" w:space="0" w:color="auto"/>
              <w:bottom w:val="single" w:sz="6" w:space="0" w:color="auto"/>
              <w:right w:val="single" w:sz="6" w:space="0" w:color="auto"/>
            </w:tcBorders>
          </w:tcPr>
          <w:p w14:paraId="5363E5E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3A773E2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0B97842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Dělnická</w:t>
            </w:r>
          </w:p>
        </w:tc>
        <w:tc>
          <w:tcPr>
            <w:tcW w:w="522" w:type="dxa"/>
            <w:tcBorders>
              <w:top w:val="single" w:sz="6" w:space="0" w:color="auto"/>
              <w:left w:val="single" w:sz="6" w:space="0" w:color="auto"/>
              <w:bottom w:val="single" w:sz="6" w:space="0" w:color="auto"/>
              <w:right w:val="single" w:sz="6" w:space="0" w:color="auto"/>
            </w:tcBorders>
          </w:tcPr>
          <w:p w14:paraId="4EB6ACC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208</w:t>
            </w:r>
          </w:p>
        </w:tc>
        <w:tc>
          <w:tcPr>
            <w:tcW w:w="1154" w:type="dxa"/>
            <w:tcBorders>
              <w:top w:val="single" w:sz="6" w:space="0" w:color="auto"/>
              <w:left w:val="single" w:sz="6" w:space="0" w:color="auto"/>
              <w:bottom w:val="single" w:sz="6" w:space="0" w:color="auto"/>
              <w:right w:val="single" w:sz="6" w:space="0" w:color="auto"/>
            </w:tcBorders>
          </w:tcPr>
          <w:p w14:paraId="510F46D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0,98</w:t>
            </w:r>
          </w:p>
        </w:tc>
        <w:tc>
          <w:tcPr>
            <w:tcW w:w="696" w:type="dxa"/>
            <w:tcBorders>
              <w:top w:val="single" w:sz="6" w:space="0" w:color="auto"/>
              <w:left w:val="single" w:sz="6" w:space="0" w:color="auto"/>
              <w:bottom w:val="single" w:sz="6" w:space="0" w:color="auto"/>
              <w:right w:val="single" w:sz="6" w:space="0" w:color="auto"/>
            </w:tcBorders>
          </w:tcPr>
          <w:p w14:paraId="521DFD0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637FC0B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170</w:t>
            </w:r>
          </w:p>
        </w:tc>
        <w:tc>
          <w:tcPr>
            <w:tcW w:w="600" w:type="dxa"/>
            <w:tcBorders>
              <w:top w:val="single" w:sz="6" w:space="0" w:color="auto"/>
              <w:left w:val="single" w:sz="6" w:space="0" w:color="auto"/>
              <w:bottom w:val="single" w:sz="6" w:space="0" w:color="auto"/>
              <w:right w:val="single" w:sz="6" w:space="0" w:color="auto"/>
            </w:tcBorders>
          </w:tcPr>
          <w:p w14:paraId="3712076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41F5DBBC"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66C03C1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51</w:t>
            </w:r>
          </w:p>
        </w:tc>
        <w:tc>
          <w:tcPr>
            <w:tcW w:w="1487" w:type="dxa"/>
            <w:tcBorders>
              <w:top w:val="single" w:sz="6" w:space="0" w:color="auto"/>
              <w:left w:val="single" w:sz="6" w:space="0" w:color="auto"/>
              <w:bottom w:val="single" w:sz="6" w:space="0" w:color="auto"/>
              <w:right w:val="single" w:sz="6" w:space="0" w:color="auto"/>
            </w:tcBorders>
          </w:tcPr>
          <w:p w14:paraId="77CF52E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OMIKRON - EKO a.s.</w:t>
            </w:r>
          </w:p>
        </w:tc>
        <w:tc>
          <w:tcPr>
            <w:tcW w:w="1643" w:type="dxa"/>
            <w:tcBorders>
              <w:top w:val="single" w:sz="6" w:space="0" w:color="auto"/>
              <w:left w:val="single" w:sz="6" w:space="0" w:color="auto"/>
              <w:bottom w:val="single" w:sz="6" w:space="0" w:color="auto"/>
              <w:right w:val="single" w:sz="6" w:space="0" w:color="auto"/>
            </w:tcBorders>
          </w:tcPr>
          <w:p w14:paraId="67ABE8A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4909BB1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155A57F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Teplická</w:t>
            </w:r>
          </w:p>
        </w:tc>
        <w:tc>
          <w:tcPr>
            <w:tcW w:w="522" w:type="dxa"/>
            <w:tcBorders>
              <w:top w:val="single" w:sz="6" w:space="0" w:color="auto"/>
              <w:left w:val="single" w:sz="6" w:space="0" w:color="auto"/>
              <w:bottom w:val="single" w:sz="6" w:space="0" w:color="auto"/>
              <w:right w:val="single" w:sz="6" w:space="0" w:color="auto"/>
            </w:tcBorders>
          </w:tcPr>
          <w:p w14:paraId="45EC67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105</w:t>
            </w:r>
          </w:p>
        </w:tc>
        <w:tc>
          <w:tcPr>
            <w:tcW w:w="1154" w:type="dxa"/>
            <w:tcBorders>
              <w:top w:val="single" w:sz="6" w:space="0" w:color="auto"/>
              <w:left w:val="single" w:sz="6" w:space="0" w:color="auto"/>
              <w:bottom w:val="single" w:sz="6" w:space="0" w:color="auto"/>
              <w:right w:val="single" w:sz="6" w:space="0" w:color="auto"/>
            </w:tcBorders>
          </w:tcPr>
          <w:p w14:paraId="193B62C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2,15</w:t>
            </w:r>
          </w:p>
        </w:tc>
        <w:tc>
          <w:tcPr>
            <w:tcW w:w="696" w:type="dxa"/>
            <w:tcBorders>
              <w:top w:val="single" w:sz="6" w:space="0" w:color="auto"/>
              <w:left w:val="single" w:sz="6" w:space="0" w:color="auto"/>
              <w:bottom w:val="single" w:sz="6" w:space="0" w:color="auto"/>
              <w:right w:val="single" w:sz="6" w:space="0" w:color="auto"/>
            </w:tcBorders>
          </w:tcPr>
          <w:p w14:paraId="16483C9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6C49225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110</w:t>
            </w:r>
          </w:p>
        </w:tc>
        <w:tc>
          <w:tcPr>
            <w:tcW w:w="600" w:type="dxa"/>
            <w:tcBorders>
              <w:top w:val="single" w:sz="6" w:space="0" w:color="auto"/>
              <w:left w:val="single" w:sz="6" w:space="0" w:color="auto"/>
              <w:bottom w:val="single" w:sz="6" w:space="0" w:color="auto"/>
              <w:right w:val="single" w:sz="6" w:space="0" w:color="auto"/>
            </w:tcBorders>
          </w:tcPr>
          <w:p w14:paraId="4CB7CB0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78D010A3"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0FFB9A9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52</w:t>
            </w:r>
          </w:p>
        </w:tc>
        <w:tc>
          <w:tcPr>
            <w:tcW w:w="1487" w:type="dxa"/>
            <w:tcBorders>
              <w:top w:val="single" w:sz="6" w:space="0" w:color="auto"/>
              <w:left w:val="single" w:sz="6" w:space="0" w:color="auto"/>
              <w:bottom w:val="single" w:sz="6" w:space="0" w:color="auto"/>
              <w:right w:val="single" w:sz="6" w:space="0" w:color="auto"/>
            </w:tcBorders>
          </w:tcPr>
          <w:p w14:paraId="426707F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KORÁL Děčín a.s. - obchodní</w:t>
            </w:r>
          </w:p>
        </w:tc>
        <w:tc>
          <w:tcPr>
            <w:tcW w:w="1643" w:type="dxa"/>
            <w:tcBorders>
              <w:top w:val="single" w:sz="6" w:space="0" w:color="auto"/>
              <w:left w:val="single" w:sz="6" w:space="0" w:color="auto"/>
              <w:bottom w:val="single" w:sz="6" w:space="0" w:color="auto"/>
              <w:right w:val="single" w:sz="6" w:space="0" w:color="auto"/>
            </w:tcBorders>
          </w:tcPr>
          <w:p w14:paraId="05A8AE6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KORÁL Děčín a.s.</w:t>
            </w:r>
          </w:p>
        </w:tc>
        <w:tc>
          <w:tcPr>
            <w:tcW w:w="917" w:type="dxa"/>
            <w:tcBorders>
              <w:top w:val="single" w:sz="6" w:space="0" w:color="auto"/>
              <w:left w:val="single" w:sz="6" w:space="0" w:color="auto"/>
              <w:bottom w:val="single" w:sz="6" w:space="0" w:color="auto"/>
              <w:right w:val="single" w:sz="6" w:space="0" w:color="auto"/>
            </w:tcBorders>
          </w:tcPr>
          <w:p w14:paraId="33365C1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47778F3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Plzeňská</w:t>
            </w:r>
          </w:p>
        </w:tc>
        <w:tc>
          <w:tcPr>
            <w:tcW w:w="522" w:type="dxa"/>
            <w:tcBorders>
              <w:top w:val="single" w:sz="6" w:space="0" w:color="auto"/>
              <w:left w:val="single" w:sz="6" w:space="0" w:color="auto"/>
              <w:bottom w:val="single" w:sz="6" w:space="0" w:color="auto"/>
              <w:right w:val="single" w:sz="6" w:space="0" w:color="auto"/>
            </w:tcBorders>
          </w:tcPr>
          <w:p w14:paraId="50BDCE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9</w:t>
            </w:r>
          </w:p>
        </w:tc>
        <w:tc>
          <w:tcPr>
            <w:tcW w:w="1154" w:type="dxa"/>
            <w:tcBorders>
              <w:top w:val="single" w:sz="6" w:space="0" w:color="auto"/>
              <w:left w:val="single" w:sz="6" w:space="0" w:color="auto"/>
              <w:bottom w:val="single" w:sz="6" w:space="0" w:color="auto"/>
              <w:right w:val="single" w:sz="6" w:space="0" w:color="auto"/>
            </w:tcBorders>
          </w:tcPr>
          <w:p w14:paraId="1CAAD3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1,73</w:t>
            </w:r>
          </w:p>
        </w:tc>
        <w:tc>
          <w:tcPr>
            <w:tcW w:w="696" w:type="dxa"/>
            <w:tcBorders>
              <w:top w:val="single" w:sz="6" w:space="0" w:color="auto"/>
              <w:left w:val="single" w:sz="6" w:space="0" w:color="auto"/>
              <w:bottom w:val="single" w:sz="6" w:space="0" w:color="auto"/>
              <w:right w:val="single" w:sz="6" w:space="0" w:color="auto"/>
            </w:tcBorders>
          </w:tcPr>
          <w:p w14:paraId="609185A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49C19EA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118,79</w:t>
            </w:r>
          </w:p>
        </w:tc>
        <w:tc>
          <w:tcPr>
            <w:tcW w:w="600" w:type="dxa"/>
            <w:tcBorders>
              <w:top w:val="single" w:sz="6" w:space="0" w:color="auto"/>
              <w:left w:val="single" w:sz="6" w:space="0" w:color="auto"/>
              <w:bottom w:val="single" w:sz="6" w:space="0" w:color="auto"/>
              <w:right w:val="single" w:sz="6" w:space="0" w:color="auto"/>
            </w:tcBorders>
          </w:tcPr>
          <w:p w14:paraId="23F13D7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41270D02"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611B3A9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53</w:t>
            </w:r>
          </w:p>
        </w:tc>
        <w:tc>
          <w:tcPr>
            <w:tcW w:w="1487" w:type="dxa"/>
            <w:tcBorders>
              <w:top w:val="single" w:sz="6" w:space="0" w:color="auto"/>
              <w:left w:val="single" w:sz="6" w:space="0" w:color="auto"/>
              <w:bottom w:val="single" w:sz="6" w:space="0" w:color="auto"/>
              <w:right w:val="single" w:sz="6" w:space="0" w:color="auto"/>
            </w:tcBorders>
          </w:tcPr>
          <w:p w14:paraId="6CA2C88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 xml:space="preserve">Stroj-Union </w:t>
            </w:r>
            <w:r w:rsidRPr="00D42621">
              <w:rPr>
                <w:rFonts w:ascii="Arial" w:hAnsi="Arial"/>
                <w:color w:val="000000"/>
                <w:sz w:val="16"/>
                <w:szCs w:val="16"/>
                <w:lang w:eastAsia="cs-CZ"/>
              </w:rPr>
              <w:t>spol.s r.o.</w:t>
            </w:r>
          </w:p>
        </w:tc>
        <w:tc>
          <w:tcPr>
            <w:tcW w:w="1643" w:type="dxa"/>
            <w:tcBorders>
              <w:top w:val="single" w:sz="6" w:space="0" w:color="auto"/>
              <w:left w:val="single" w:sz="6" w:space="0" w:color="auto"/>
              <w:bottom w:val="single" w:sz="6" w:space="0" w:color="auto"/>
              <w:right w:val="single" w:sz="6" w:space="0" w:color="auto"/>
            </w:tcBorders>
          </w:tcPr>
          <w:p w14:paraId="3BF3ECE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Stroj-Union</w:t>
            </w:r>
          </w:p>
        </w:tc>
        <w:tc>
          <w:tcPr>
            <w:tcW w:w="917" w:type="dxa"/>
            <w:tcBorders>
              <w:top w:val="single" w:sz="6" w:space="0" w:color="auto"/>
              <w:left w:val="single" w:sz="6" w:space="0" w:color="auto"/>
              <w:bottom w:val="single" w:sz="6" w:space="0" w:color="auto"/>
              <w:right w:val="single" w:sz="6" w:space="0" w:color="auto"/>
            </w:tcBorders>
          </w:tcPr>
          <w:p w14:paraId="17D488E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4F93D83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Teplická</w:t>
            </w:r>
          </w:p>
        </w:tc>
        <w:tc>
          <w:tcPr>
            <w:tcW w:w="522" w:type="dxa"/>
            <w:tcBorders>
              <w:top w:val="single" w:sz="6" w:space="0" w:color="auto"/>
              <w:left w:val="single" w:sz="6" w:space="0" w:color="auto"/>
              <w:bottom w:val="single" w:sz="6" w:space="0" w:color="auto"/>
              <w:right w:val="single" w:sz="6" w:space="0" w:color="auto"/>
            </w:tcBorders>
          </w:tcPr>
          <w:p w14:paraId="75DB4DF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395</w:t>
            </w:r>
          </w:p>
        </w:tc>
        <w:tc>
          <w:tcPr>
            <w:tcW w:w="1154" w:type="dxa"/>
            <w:tcBorders>
              <w:top w:val="single" w:sz="6" w:space="0" w:color="auto"/>
              <w:left w:val="single" w:sz="6" w:space="0" w:color="auto"/>
              <w:bottom w:val="single" w:sz="6" w:space="0" w:color="auto"/>
              <w:right w:val="single" w:sz="6" w:space="0" w:color="auto"/>
            </w:tcBorders>
          </w:tcPr>
          <w:p w14:paraId="794BB4B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0,2</w:t>
            </w:r>
          </w:p>
        </w:tc>
        <w:tc>
          <w:tcPr>
            <w:tcW w:w="696" w:type="dxa"/>
            <w:tcBorders>
              <w:top w:val="single" w:sz="6" w:space="0" w:color="auto"/>
              <w:left w:val="single" w:sz="6" w:space="0" w:color="auto"/>
              <w:bottom w:val="single" w:sz="6" w:space="0" w:color="auto"/>
              <w:right w:val="single" w:sz="6" w:space="0" w:color="auto"/>
            </w:tcBorders>
          </w:tcPr>
          <w:p w14:paraId="6861514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78773D65"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119,03</w:t>
            </w:r>
          </w:p>
        </w:tc>
        <w:tc>
          <w:tcPr>
            <w:tcW w:w="600" w:type="dxa"/>
            <w:tcBorders>
              <w:top w:val="single" w:sz="6" w:space="0" w:color="auto"/>
              <w:left w:val="single" w:sz="6" w:space="0" w:color="auto"/>
              <w:bottom w:val="single" w:sz="6" w:space="0" w:color="auto"/>
              <w:right w:val="single" w:sz="6" w:space="0" w:color="auto"/>
            </w:tcBorders>
          </w:tcPr>
          <w:p w14:paraId="117B458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53607DAE" w14:textId="77777777" w:rsidTr="002D2D45">
        <w:trPr>
          <w:trHeight w:val="726"/>
        </w:trPr>
        <w:tc>
          <w:tcPr>
            <w:tcW w:w="329" w:type="dxa"/>
            <w:tcBorders>
              <w:top w:val="single" w:sz="6" w:space="0" w:color="auto"/>
              <w:left w:val="single" w:sz="6" w:space="0" w:color="auto"/>
              <w:bottom w:val="single" w:sz="6" w:space="0" w:color="auto"/>
              <w:right w:val="single" w:sz="6" w:space="0" w:color="auto"/>
            </w:tcBorders>
          </w:tcPr>
          <w:p w14:paraId="122ACBB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54</w:t>
            </w:r>
          </w:p>
        </w:tc>
        <w:tc>
          <w:tcPr>
            <w:tcW w:w="1487" w:type="dxa"/>
            <w:tcBorders>
              <w:top w:val="single" w:sz="6" w:space="0" w:color="auto"/>
              <w:left w:val="single" w:sz="6" w:space="0" w:color="auto"/>
              <w:bottom w:val="single" w:sz="6" w:space="0" w:color="auto"/>
              <w:right w:val="single" w:sz="6" w:space="0" w:color="auto"/>
            </w:tcBorders>
          </w:tcPr>
          <w:p w14:paraId="0ED5D19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Komerční banka, a.s. Praha,</w:t>
            </w:r>
          </w:p>
        </w:tc>
        <w:tc>
          <w:tcPr>
            <w:tcW w:w="1643" w:type="dxa"/>
            <w:tcBorders>
              <w:top w:val="single" w:sz="6" w:space="0" w:color="auto"/>
              <w:left w:val="single" w:sz="6" w:space="0" w:color="auto"/>
              <w:bottom w:val="single" w:sz="6" w:space="0" w:color="auto"/>
              <w:right w:val="single" w:sz="6" w:space="0" w:color="auto"/>
            </w:tcBorders>
          </w:tcPr>
          <w:p w14:paraId="3BD785B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5630DBB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2B693A4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Zbrojnická</w:t>
            </w:r>
          </w:p>
        </w:tc>
        <w:tc>
          <w:tcPr>
            <w:tcW w:w="522" w:type="dxa"/>
            <w:tcBorders>
              <w:top w:val="single" w:sz="6" w:space="0" w:color="auto"/>
              <w:left w:val="single" w:sz="6" w:space="0" w:color="auto"/>
              <w:bottom w:val="single" w:sz="6" w:space="0" w:color="auto"/>
              <w:right w:val="single" w:sz="6" w:space="0" w:color="auto"/>
            </w:tcBorders>
          </w:tcPr>
          <w:p w14:paraId="7EEE2808"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154" w:type="dxa"/>
            <w:tcBorders>
              <w:top w:val="single" w:sz="6" w:space="0" w:color="auto"/>
              <w:left w:val="single" w:sz="6" w:space="0" w:color="auto"/>
              <w:bottom w:val="single" w:sz="6" w:space="0" w:color="auto"/>
              <w:right w:val="single" w:sz="6" w:space="0" w:color="auto"/>
            </w:tcBorders>
          </w:tcPr>
          <w:p w14:paraId="1182C47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0,4</w:t>
            </w:r>
          </w:p>
        </w:tc>
        <w:tc>
          <w:tcPr>
            <w:tcW w:w="696" w:type="dxa"/>
            <w:tcBorders>
              <w:top w:val="single" w:sz="6" w:space="0" w:color="auto"/>
              <w:left w:val="single" w:sz="6" w:space="0" w:color="auto"/>
              <w:bottom w:val="single" w:sz="6" w:space="0" w:color="auto"/>
              <w:right w:val="single" w:sz="6" w:space="0" w:color="auto"/>
            </w:tcBorders>
          </w:tcPr>
          <w:p w14:paraId="60B842A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17E2D632"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20,4</w:t>
            </w:r>
          </w:p>
        </w:tc>
        <w:tc>
          <w:tcPr>
            <w:tcW w:w="600" w:type="dxa"/>
            <w:tcBorders>
              <w:top w:val="single" w:sz="6" w:space="0" w:color="auto"/>
              <w:left w:val="single" w:sz="6" w:space="0" w:color="auto"/>
              <w:bottom w:val="single" w:sz="6" w:space="0" w:color="auto"/>
              <w:right w:val="single" w:sz="6" w:space="0" w:color="auto"/>
            </w:tcBorders>
          </w:tcPr>
          <w:p w14:paraId="743FEC7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56599D7A"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37C2693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55</w:t>
            </w:r>
          </w:p>
        </w:tc>
        <w:tc>
          <w:tcPr>
            <w:tcW w:w="1487" w:type="dxa"/>
            <w:tcBorders>
              <w:top w:val="single" w:sz="6" w:space="0" w:color="auto"/>
              <w:left w:val="single" w:sz="6" w:space="0" w:color="auto"/>
              <w:bottom w:val="single" w:sz="6" w:space="0" w:color="auto"/>
              <w:right w:val="single" w:sz="6" w:space="0" w:color="auto"/>
            </w:tcBorders>
          </w:tcPr>
          <w:p w14:paraId="384BE14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České dráhy - DDC, GŘ Praha</w:t>
            </w:r>
          </w:p>
        </w:tc>
        <w:tc>
          <w:tcPr>
            <w:tcW w:w="1643" w:type="dxa"/>
            <w:tcBorders>
              <w:top w:val="single" w:sz="6" w:space="0" w:color="auto"/>
              <w:left w:val="single" w:sz="6" w:space="0" w:color="auto"/>
              <w:bottom w:val="single" w:sz="6" w:space="0" w:color="auto"/>
              <w:right w:val="single" w:sz="6" w:space="0" w:color="auto"/>
            </w:tcBorders>
          </w:tcPr>
          <w:p w14:paraId="520E9A1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ČD kotelna stav. oddílu DDC</w:t>
            </w:r>
          </w:p>
        </w:tc>
        <w:tc>
          <w:tcPr>
            <w:tcW w:w="917" w:type="dxa"/>
            <w:tcBorders>
              <w:top w:val="single" w:sz="6" w:space="0" w:color="auto"/>
              <w:left w:val="single" w:sz="6" w:space="0" w:color="auto"/>
              <w:bottom w:val="single" w:sz="6" w:space="0" w:color="auto"/>
              <w:right w:val="single" w:sz="6" w:space="0" w:color="auto"/>
            </w:tcBorders>
          </w:tcPr>
          <w:p w14:paraId="153A45C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779328C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Poštovní</w:t>
            </w:r>
          </w:p>
        </w:tc>
        <w:tc>
          <w:tcPr>
            <w:tcW w:w="522" w:type="dxa"/>
            <w:tcBorders>
              <w:top w:val="single" w:sz="6" w:space="0" w:color="auto"/>
              <w:left w:val="single" w:sz="6" w:space="0" w:color="auto"/>
              <w:bottom w:val="single" w:sz="6" w:space="0" w:color="auto"/>
              <w:right w:val="single" w:sz="6" w:space="0" w:color="auto"/>
            </w:tcBorders>
          </w:tcPr>
          <w:p w14:paraId="6390131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w:t>
            </w:r>
          </w:p>
        </w:tc>
        <w:tc>
          <w:tcPr>
            <w:tcW w:w="1154" w:type="dxa"/>
            <w:tcBorders>
              <w:top w:val="single" w:sz="6" w:space="0" w:color="auto"/>
              <w:left w:val="single" w:sz="6" w:space="0" w:color="auto"/>
              <w:bottom w:val="single" w:sz="6" w:space="0" w:color="auto"/>
              <w:right w:val="single" w:sz="6" w:space="0" w:color="auto"/>
            </w:tcBorders>
          </w:tcPr>
          <w:p w14:paraId="2939273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0,29</w:t>
            </w:r>
          </w:p>
        </w:tc>
        <w:tc>
          <w:tcPr>
            <w:tcW w:w="696" w:type="dxa"/>
            <w:tcBorders>
              <w:top w:val="single" w:sz="6" w:space="0" w:color="auto"/>
              <w:left w:val="single" w:sz="6" w:space="0" w:color="auto"/>
              <w:bottom w:val="single" w:sz="6" w:space="0" w:color="auto"/>
              <w:right w:val="single" w:sz="6" w:space="0" w:color="auto"/>
            </w:tcBorders>
          </w:tcPr>
          <w:p w14:paraId="10A1EB88"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758" w:type="dxa"/>
            <w:tcBorders>
              <w:top w:val="single" w:sz="6" w:space="0" w:color="auto"/>
              <w:left w:val="single" w:sz="6" w:space="0" w:color="auto"/>
              <w:bottom w:val="single" w:sz="6" w:space="0" w:color="auto"/>
              <w:right w:val="single" w:sz="6" w:space="0" w:color="auto"/>
            </w:tcBorders>
          </w:tcPr>
          <w:p w14:paraId="2ED57AA0"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0</w:t>
            </w:r>
          </w:p>
        </w:tc>
        <w:tc>
          <w:tcPr>
            <w:tcW w:w="600" w:type="dxa"/>
            <w:tcBorders>
              <w:top w:val="single" w:sz="6" w:space="0" w:color="auto"/>
              <w:left w:val="single" w:sz="6" w:space="0" w:color="auto"/>
              <w:bottom w:val="single" w:sz="6" w:space="0" w:color="auto"/>
              <w:right w:val="single" w:sz="6" w:space="0" w:color="auto"/>
            </w:tcBorders>
          </w:tcPr>
          <w:p w14:paraId="4ECE2B22"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7F237A76"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6FB41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56</w:t>
            </w:r>
          </w:p>
        </w:tc>
        <w:tc>
          <w:tcPr>
            <w:tcW w:w="1487" w:type="dxa"/>
            <w:tcBorders>
              <w:top w:val="single" w:sz="6" w:space="0" w:color="auto"/>
              <w:left w:val="single" w:sz="6" w:space="0" w:color="auto"/>
              <w:bottom w:val="single" w:sz="6" w:space="0" w:color="auto"/>
              <w:right w:val="single" w:sz="6" w:space="0" w:color="auto"/>
            </w:tcBorders>
          </w:tcPr>
          <w:p w14:paraId="30038F6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Ministerstvo vnitra</w:t>
            </w:r>
          </w:p>
        </w:tc>
        <w:tc>
          <w:tcPr>
            <w:tcW w:w="1643" w:type="dxa"/>
            <w:tcBorders>
              <w:top w:val="single" w:sz="6" w:space="0" w:color="auto"/>
              <w:left w:val="single" w:sz="6" w:space="0" w:color="auto"/>
              <w:bottom w:val="single" w:sz="6" w:space="0" w:color="auto"/>
              <w:right w:val="single" w:sz="6" w:space="0" w:color="auto"/>
            </w:tcBorders>
          </w:tcPr>
          <w:p w14:paraId="13A1BAD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-Státní oblastní archiv Dě</w:t>
            </w:r>
          </w:p>
        </w:tc>
        <w:tc>
          <w:tcPr>
            <w:tcW w:w="917" w:type="dxa"/>
            <w:tcBorders>
              <w:top w:val="single" w:sz="6" w:space="0" w:color="auto"/>
              <w:left w:val="single" w:sz="6" w:space="0" w:color="auto"/>
              <w:bottom w:val="single" w:sz="6" w:space="0" w:color="auto"/>
              <w:right w:val="single" w:sz="6" w:space="0" w:color="auto"/>
            </w:tcBorders>
          </w:tcPr>
          <w:p w14:paraId="3E88873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Podmokly</w:t>
            </w:r>
          </w:p>
        </w:tc>
        <w:tc>
          <w:tcPr>
            <w:tcW w:w="1315" w:type="dxa"/>
            <w:tcBorders>
              <w:top w:val="single" w:sz="6" w:space="0" w:color="auto"/>
              <w:left w:val="single" w:sz="6" w:space="0" w:color="auto"/>
              <w:bottom w:val="single" w:sz="6" w:space="0" w:color="auto"/>
              <w:right w:val="single" w:sz="6" w:space="0" w:color="auto"/>
            </w:tcBorders>
          </w:tcPr>
          <w:p w14:paraId="16B8380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Zbrojnická</w:t>
            </w:r>
          </w:p>
        </w:tc>
        <w:tc>
          <w:tcPr>
            <w:tcW w:w="522" w:type="dxa"/>
            <w:tcBorders>
              <w:top w:val="single" w:sz="6" w:space="0" w:color="auto"/>
              <w:left w:val="single" w:sz="6" w:space="0" w:color="auto"/>
              <w:bottom w:val="single" w:sz="6" w:space="0" w:color="auto"/>
              <w:right w:val="single" w:sz="6" w:space="0" w:color="auto"/>
            </w:tcBorders>
          </w:tcPr>
          <w:p w14:paraId="344A1F5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14</w:t>
            </w:r>
          </w:p>
        </w:tc>
        <w:tc>
          <w:tcPr>
            <w:tcW w:w="1154" w:type="dxa"/>
            <w:tcBorders>
              <w:top w:val="single" w:sz="6" w:space="0" w:color="auto"/>
              <w:left w:val="single" w:sz="6" w:space="0" w:color="auto"/>
              <w:bottom w:val="single" w:sz="6" w:space="0" w:color="auto"/>
              <w:right w:val="single" w:sz="6" w:space="0" w:color="auto"/>
            </w:tcBorders>
          </w:tcPr>
          <w:p w14:paraId="1AA1FCD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0,2</w:t>
            </w:r>
          </w:p>
        </w:tc>
        <w:tc>
          <w:tcPr>
            <w:tcW w:w="696" w:type="dxa"/>
            <w:tcBorders>
              <w:top w:val="single" w:sz="6" w:space="0" w:color="auto"/>
              <w:left w:val="single" w:sz="6" w:space="0" w:color="auto"/>
              <w:bottom w:val="single" w:sz="6" w:space="0" w:color="auto"/>
              <w:right w:val="single" w:sz="6" w:space="0" w:color="auto"/>
            </w:tcBorders>
          </w:tcPr>
          <w:p w14:paraId="536CA3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09B94F93"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47,73</w:t>
            </w:r>
          </w:p>
        </w:tc>
        <w:tc>
          <w:tcPr>
            <w:tcW w:w="600" w:type="dxa"/>
            <w:tcBorders>
              <w:top w:val="single" w:sz="6" w:space="0" w:color="auto"/>
              <w:left w:val="single" w:sz="6" w:space="0" w:color="auto"/>
              <w:bottom w:val="single" w:sz="6" w:space="0" w:color="auto"/>
              <w:right w:val="single" w:sz="6" w:space="0" w:color="auto"/>
            </w:tcBorders>
          </w:tcPr>
          <w:p w14:paraId="252E5FF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42ECE4F8"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0F1DFFE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57</w:t>
            </w:r>
          </w:p>
        </w:tc>
        <w:tc>
          <w:tcPr>
            <w:tcW w:w="1487" w:type="dxa"/>
            <w:tcBorders>
              <w:top w:val="single" w:sz="6" w:space="0" w:color="auto"/>
              <w:left w:val="single" w:sz="6" w:space="0" w:color="auto"/>
              <w:bottom w:val="single" w:sz="6" w:space="0" w:color="auto"/>
              <w:right w:val="single" w:sz="6" w:space="0" w:color="auto"/>
            </w:tcBorders>
          </w:tcPr>
          <w:p w14:paraId="0CEDE35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Grafiatisk</w:t>
            </w:r>
            <w:r w:rsidRPr="00D42621">
              <w:rPr>
                <w:rFonts w:ascii="Arial" w:hAnsi="Arial"/>
                <w:color w:val="000000"/>
                <w:sz w:val="16"/>
                <w:szCs w:val="16"/>
                <w:lang w:eastAsia="cs-CZ"/>
              </w:rPr>
              <w:t xml:space="preserve"> a.s.</w:t>
            </w:r>
          </w:p>
        </w:tc>
        <w:tc>
          <w:tcPr>
            <w:tcW w:w="1643" w:type="dxa"/>
            <w:tcBorders>
              <w:top w:val="single" w:sz="6" w:space="0" w:color="auto"/>
              <w:left w:val="single" w:sz="6" w:space="0" w:color="auto"/>
              <w:bottom w:val="single" w:sz="6" w:space="0" w:color="auto"/>
              <w:right w:val="single" w:sz="6" w:space="0" w:color="auto"/>
            </w:tcBorders>
          </w:tcPr>
          <w:p w14:paraId="1D37EFA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v Převozní ul.</w:t>
            </w:r>
          </w:p>
        </w:tc>
        <w:tc>
          <w:tcPr>
            <w:tcW w:w="917" w:type="dxa"/>
            <w:tcBorders>
              <w:top w:val="single" w:sz="6" w:space="0" w:color="auto"/>
              <w:left w:val="single" w:sz="6" w:space="0" w:color="auto"/>
              <w:bottom w:val="single" w:sz="6" w:space="0" w:color="auto"/>
              <w:right w:val="single" w:sz="6" w:space="0" w:color="auto"/>
            </w:tcBorders>
          </w:tcPr>
          <w:p w14:paraId="05F0B79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Rozbělesy</w:t>
            </w:r>
          </w:p>
        </w:tc>
        <w:tc>
          <w:tcPr>
            <w:tcW w:w="1315" w:type="dxa"/>
            <w:tcBorders>
              <w:top w:val="single" w:sz="6" w:space="0" w:color="auto"/>
              <w:left w:val="single" w:sz="6" w:space="0" w:color="auto"/>
              <w:bottom w:val="single" w:sz="6" w:space="0" w:color="auto"/>
              <w:right w:val="single" w:sz="6" w:space="0" w:color="auto"/>
            </w:tcBorders>
          </w:tcPr>
          <w:p w14:paraId="7EC046B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Převozní</w:t>
            </w:r>
          </w:p>
        </w:tc>
        <w:tc>
          <w:tcPr>
            <w:tcW w:w="522" w:type="dxa"/>
            <w:tcBorders>
              <w:top w:val="single" w:sz="6" w:space="0" w:color="auto"/>
              <w:left w:val="single" w:sz="6" w:space="0" w:color="auto"/>
              <w:bottom w:val="single" w:sz="6" w:space="0" w:color="auto"/>
              <w:right w:val="single" w:sz="6" w:space="0" w:color="auto"/>
            </w:tcBorders>
          </w:tcPr>
          <w:p w14:paraId="3164D38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w:t>
            </w:r>
          </w:p>
        </w:tc>
        <w:tc>
          <w:tcPr>
            <w:tcW w:w="1154" w:type="dxa"/>
            <w:tcBorders>
              <w:top w:val="single" w:sz="6" w:space="0" w:color="auto"/>
              <w:left w:val="single" w:sz="6" w:space="0" w:color="auto"/>
              <w:bottom w:val="single" w:sz="6" w:space="0" w:color="auto"/>
              <w:right w:val="single" w:sz="6" w:space="0" w:color="auto"/>
            </w:tcBorders>
          </w:tcPr>
          <w:p w14:paraId="0414038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0,365</w:t>
            </w:r>
          </w:p>
        </w:tc>
        <w:tc>
          <w:tcPr>
            <w:tcW w:w="696" w:type="dxa"/>
            <w:tcBorders>
              <w:top w:val="single" w:sz="6" w:space="0" w:color="auto"/>
              <w:left w:val="single" w:sz="6" w:space="0" w:color="auto"/>
              <w:bottom w:val="single" w:sz="6" w:space="0" w:color="auto"/>
              <w:right w:val="single" w:sz="6" w:space="0" w:color="auto"/>
            </w:tcBorders>
          </w:tcPr>
          <w:p w14:paraId="0ED7A32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019A5ACC"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77,9</w:t>
            </w:r>
          </w:p>
        </w:tc>
        <w:tc>
          <w:tcPr>
            <w:tcW w:w="600" w:type="dxa"/>
            <w:tcBorders>
              <w:top w:val="single" w:sz="6" w:space="0" w:color="auto"/>
              <w:left w:val="single" w:sz="6" w:space="0" w:color="auto"/>
              <w:bottom w:val="single" w:sz="6" w:space="0" w:color="auto"/>
              <w:right w:val="single" w:sz="6" w:space="0" w:color="auto"/>
            </w:tcBorders>
          </w:tcPr>
          <w:p w14:paraId="1999F8D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5F59A03F"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1518C34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58</w:t>
            </w:r>
          </w:p>
        </w:tc>
        <w:tc>
          <w:tcPr>
            <w:tcW w:w="1487" w:type="dxa"/>
            <w:tcBorders>
              <w:top w:val="single" w:sz="6" w:space="0" w:color="auto"/>
              <w:left w:val="single" w:sz="6" w:space="0" w:color="auto"/>
              <w:bottom w:val="single" w:sz="6" w:space="0" w:color="auto"/>
              <w:right w:val="single" w:sz="6" w:space="0" w:color="auto"/>
            </w:tcBorders>
          </w:tcPr>
          <w:p w14:paraId="7208D11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Kovošrot</w:t>
            </w:r>
            <w:r w:rsidRPr="00D42621">
              <w:rPr>
                <w:rFonts w:ascii="Arial" w:hAnsi="Arial"/>
                <w:color w:val="000000"/>
                <w:sz w:val="16"/>
                <w:szCs w:val="16"/>
                <w:lang w:eastAsia="cs-CZ"/>
              </w:rPr>
              <w:t xml:space="preserve"> a.s. Děčín</w:t>
            </w:r>
          </w:p>
        </w:tc>
        <w:tc>
          <w:tcPr>
            <w:tcW w:w="1643" w:type="dxa"/>
            <w:tcBorders>
              <w:top w:val="single" w:sz="6" w:space="0" w:color="auto"/>
              <w:left w:val="single" w:sz="6" w:space="0" w:color="auto"/>
              <w:bottom w:val="single" w:sz="6" w:space="0" w:color="auto"/>
              <w:right w:val="single" w:sz="6" w:space="0" w:color="auto"/>
            </w:tcBorders>
          </w:tcPr>
          <w:p w14:paraId="574A25B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UUP Kovošrot</w:t>
            </w:r>
          </w:p>
        </w:tc>
        <w:tc>
          <w:tcPr>
            <w:tcW w:w="917" w:type="dxa"/>
            <w:tcBorders>
              <w:top w:val="single" w:sz="6" w:space="0" w:color="auto"/>
              <w:left w:val="single" w:sz="6" w:space="0" w:color="auto"/>
              <w:bottom w:val="single" w:sz="6" w:space="0" w:color="auto"/>
              <w:right w:val="single" w:sz="6" w:space="0" w:color="auto"/>
            </w:tcBorders>
          </w:tcPr>
          <w:p w14:paraId="5295A68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Rozbělesy</w:t>
            </w:r>
          </w:p>
        </w:tc>
        <w:tc>
          <w:tcPr>
            <w:tcW w:w="1315" w:type="dxa"/>
            <w:tcBorders>
              <w:top w:val="single" w:sz="6" w:space="0" w:color="auto"/>
              <w:left w:val="single" w:sz="6" w:space="0" w:color="auto"/>
              <w:bottom w:val="single" w:sz="6" w:space="0" w:color="auto"/>
              <w:right w:val="single" w:sz="6" w:space="0" w:color="auto"/>
            </w:tcBorders>
          </w:tcPr>
          <w:p w14:paraId="5222B36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Papírnická</w:t>
            </w:r>
          </w:p>
        </w:tc>
        <w:tc>
          <w:tcPr>
            <w:tcW w:w="522" w:type="dxa"/>
            <w:tcBorders>
              <w:top w:val="single" w:sz="6" w:space="0" w:color="auto"/>
              <w:left w:val="single" w:sz="6" w:space="0" w:color="auto"/>
              <w:bottom w:val="single" w:sz="6" w:space="0" w:color="auto"/>
              <w:right w:val="single" w:sz="6" w:space="0" w:color="auto"/>
            </w:tcBorders>
          </w:tcPr>
          <w:p w14:paraId="184A5EC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w:t>
            </w:r>
          </w:p>
        </w:tc>
        <w:tc>
          <w:tcPr>
            <w:tcW w:w="1154" w:type="dxa"/>
            <w:tcBorders>
              <w:top w:val="single" w:sz="6" w:space="0" w:color="auto"/>
              <w:left w:val="single" w:sz="6" w:space="0" w:color="auto"/>
              <w:bottom w:val="single" w:sz="6" w:space="0" w:color="auto"/>
              <w:right w:val="single" w:sz="6" w:space="0" w:color="auto"/>
            </w:tcBorders>
          </w:tcPr>
          <w:p w14:paraId="7821B2C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0,92</w:t>
            </w:r>
          </w:p>
        </w:tc>
        <w:tc>
          <w:tcPr>
            <w:tcW w:w="696" w:type="dxa"/>
            <w:tcBorders>
              <w:top w:val="single" w:sz="6" w:space="0" w:color="auto"/>
              <w:left w:val="single" w:sz="6" w:space="0" w:color="auto"/>
              <w:bottom w:val="single" w:sz="6" w:space="0" w:color="auto"/>
              <w:right w:val="single" w:sz="6" w:space="0" w:color="auto"/>
            </w:tcBorders>
          </w:tcPr>
          <w:p w14:paraId="3FD483F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KOKS</w:t>
            </w:r>
          </w:p>
        </w:tc>
        <w:tc>
          <w:tcPr>
            <w:tcW w:w="758" w:type="dxa"/>
            <w:tcBorders>
              <w:top w:val="single" w:sz="6" w:space="0" w:color="auto"/>
              <w:left w:val="single" w:sz="6" w:space="0" w:color="auto"/>
              <w:bottom w:val="single" w:sz="6" w:space="0" w:color="auto"/>
              <w:right w:val="single" w:sz="6" w:space="0" w:color="auto"/>
            </w:tcBorders>
          </w:tcPr>
          <w:p w14:paraId="56D858F3"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93</w:t>
            </w:r>
          </w:p>
        </w:tc>
        <w:tc>
          <w:tcPr>
            <w:tcW w:w="600" w:type="dxa"/>
            <w:tcBorders>
              <w:top w:val="single" w:sz="6" w:space="0" w:color="auto"/>
              <w:left w:val="single" w:sz="6" w:space="0" w:color="auto"/>
              <w:bottom w:val="single" w:sz="6" w:space="0" w:color="auto"/>
              <w:right w:val="single" w:sz="6" w:space="0" w:color="auto"/>
            </w:tcBorders>
          </w:tcPr>
          <w:p w14:paraId="44D94C8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558405A8"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0C657C7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58</w:t>
            </w:r>
          </w:p>
        </w:tc>
        <w:tc>
          <w:tcPr>
            <w:tcW w:w="1487" w:type="dxa"/>
            <w:tcBorders>
              <w:top w:val="single" w:sz="6" w:space="0" w:color="auto"/>
              <w:left w:val="single" w:sz="6" w:space="0" w:color="auto"/>
              <w:bottom w:val="single" w:sz="6" w:space="0" w:color="auto"/>
              <w:right w:val="single" w:sz="6" w:space="0" w:color="auto"/>
            </w:tcBorders>
          </w:tcPr>
          <w:p w14:paraId="2C65749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Kovošrot</w:t>
            </w:r>
            <w:r w:rsidRPr="00D42621">
              <w:rPr>
                <w:rFonts w:ascii="Arial" w:hAnsi="Arial"/>
                <w:color w:val="000000"/>
                <w:sz w:val="16"/>
                <w:szCs w:val="16"/>
                <w:lang w:eastAsia="cs-CZ"/>
              </w:rPr>
              <w:t xml:space="preserve"> a.s. Děčín</w:t>
            </w:r>
          </w:p>
        </w:tc>
        <w:tc>
          <w:tcPr>
            <w:tcW w:w="1643" w:type="dxa"/>
            <w:tcBorders>
              <w:top w:val="single" w:sz="6" w:space="0" w:color="auto"/>
              <w:left w:val="single" w:sz="6" w:space="0" w:color="auto"/>
              <w:bottom w:val="single" w:sz="6" w:space="0" w:color="auto"/>
              <w:right w:val="single" w:sz="6" w:space="0" w:color="auto"/>
            </w:tcBorders>
          </w:tcPr>
          <w:p w14:paraId="4B36B30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K1 - autodílna</w:t>
            </w:r>
          </w:p>
        </w:tc>
        <w:tc>
          <w:tcPr>
            <w:tcW w:w="917" w:type="dxa"/>
            <w:tcBorders>
              <w:top w:val="single" w:sz="6" w:space="0" w:color="auto"/>
              <w:left w:val="single" w:sz="6" w:space="0" w:color="auto"/>
              <w:bottom w:val="single" w:sz="6" w:space="0" w:color="auto"/>
              <w:right w:val="single" w:sz="6" w:space="0" w:color="auto"/>
            </w:tcBorders>
          </w:tcPr>
          <w:p w14:paraId="0C7DE14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Rozbělesy</w:t>
            </w:r>
          </w:p>
        </w:tc>
        <w:tc>
          <w:tcPr>
            <w:tcW w:w="1315" w:type="dxa"/>
            <w:tcBorders>
              <w:top w:val="single" w:sz="6" w:space="0" w:color="auto"/>
              <w:left w:val="single" w:sz="6" w:space="0" w:color="auto"/>
              <w:bottom w:val="single" w:sz="6" w:space="0" w:color="auto"/>
              <w:right w:val="single" w:sz="6" w:space="0" w:color="auto"/>
            </w:tcBorders>
          </w:tcPr>
          <w:p w14:paraId="5438A90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Papírnická</w:t>
            </w:r>
          </w:p>
        </w:tc>
        <w:tc>
          <w:tcPr>
            <w:tcW w:w="522" w:type="dxa"/>
            <w:tcBorders>
              <w:top w:val="single" w:sz="6" w:space="0" w:color="auto"/>
              <w:left w:val="single" w:sz="6" w:space="0" w:color="auto"/>
              <w:bottom w:val="single" w:sz="6" w:space="0" w:color="auto"/>
              <w:right w:val="single" w:sz="6" w:space="0" w:color="auto"/>
            </w:tcBorders>
          </w:tcPr>
          <w:p w14:paraId="1CB84C0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3</w:t>
            </w:r>
          </w:p>
        </w:tc>
        <w:tc>
          <w:tcPr>
            <w:tcW w:w="1154" w:type="dxa"/>
            <w:tcBorders>
              <w:top w:val="single" w:sz="6" w:space="0" w:color="auto"/>
              <w:left w:val="single" w:sz="6" w:space="0" w:color="auto"/>
              <w:bottom w:val="single" w:sz="6" w:space="0" w:color="auto"/>
              <w:right w:val="single" w:sz="6" w:space="0" w:color="auto"/>
            </w:tcBorders>
          </w:tcPr>
          <w:p w14:paraId="6549790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0,360 + 0,28</w:t>
            </w:r>
          </w:p>
        </w:tc>
        <w:tc>
          <w:tcPr>
            <w:tcW w:w="696" w:type="dxa"/>
            <w:tcBorders>
              <w:top w:val="single" w:sz="6" w:space="0" w:color="auto"/>
              <w:left w:val="single" w:sz="6" w:space="0" w:color="auto"/>
              <w:bottom w:val="single" w:sz="6" w:space="0" w:color="auto"/>
              <w:right w:val="single" w:sz="6" w:space="0" w:color="auto"/>
            </w:tcBorders>
          </w:tcPr>
          <w:p w14:paraId="4EB46B7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7A8A917C"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121,44</w:t>
            </w:r>
          </w:p>
        </w:tc>
        <w:tc>
          <w:tcPr>
            <w:tcW w:w="600" w:type="dxa"/>
            <w:tcBorders>
              <w:top w:val="single" w:sz="6" w:space="0" w:color="auto"/>
              <w:left w:val="single" w:sz="6" w:space="0" w:color="auto"/>
              <w:bottom w:val="single" w:sz="6" w:space="0" w:color="auto"/>
              <w:right w:val="single" w:sz="6" w:space="0" w:color="auto"/>
            </w:tcBorders>
          </w:tcPr>
          <w:p w14:paraId="30FC2E2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577C5B64"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4D9D64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59</w:t>
            </w:r>
          </w:p>
        </w:tc>
        <w:tc>
          <w:tcPr>
            <w:tcW w:w="1487" w:type="dxa"/>
            <w:tcBorders>
              <w:top w:val="single" w:sz="6" w:space="0" w:color="auto"/>
              <w:left w:val="single" w:sz="6" w:space="0" w:color="auto"/>
              <w:bottom w:val="single" w:sz="6" w:space="0" w:color="auto"/>
              <w:right w:val="single" w:sz="6" w:space="0" w:color="auto"/>
            </w:tcBorders>
          </w:tcPr>
          <w:p w14:paraId="73FEFA6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SILIKE s.r.o. Praha</w:t>
            </w:r>
          </w:p>
        </w:tc>
        <w:tc>
          <w:tcPr>
            <w:tcW w:w="1643" w:type="dxa"/>
            <w:tcBorders>
              <w:top w:val="single" w:sz="6" w:space="0" w:color="auto"/>
              <w:left w:val="single" w:sz="6" w:space="0" w:color="auto"/>
              <w:bottom w:val="single" w:sz="6" w:space="0" w:color="auto"/>
              <w:right w:val="single" w:sz="6" w:space="0" w:color="auto"/>
            </w:tcBorders>
          </w:tcPr>
          <w:p w14:paraId="17D8FE4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vypalovací pece</w:t>
            </w:r>
          </w:p>
        </w:tc>
        <w:tc>
          <w:tcPr>
            <w:tcW w:w="917" w:type="dxa"/>
            <w:tcBorders>
              <w:top w:val="single" w:sz="6" w:space="0" w:color="auto"/>
              <w:left w:val="single" w:sz="6" w:space="0" w:color="auto"/>
              <w:bottom w:val="single" w:sz="6" w:space="0" w:color="auto"/>
              <w:right w:val="single" w:sz="6" w:space="0" w:color="auto"/>
            </w:tcBorders>
          </w:tcPr>
          <w:p w14:paraId="7A9F16B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Rozbělesy</w:t>
            </w:r>
          </w:p>
        </w:tc>
        <w:tc>
          <w:tcPr>
            <w:tcW w:w="1315" w:type="dxa"/>
            <w:tcBorders>
              <w:top w:val="single" w:sz="6" w:space="0" w:color="auto"/>
              <w:left w:val="single" w:sz="6" w:space="0" w:color="auto"/>
              <w:bottom w:val="single" w:sz="6" w:space="0" w:color="auto"/>
              <w:right w:val="single" w:sz="6" w:space="0" w:color="auto"/>
            </w:tcBorders>
          </w:tcPr>
          <w:p w14:paraId="44369A0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Obchodní</w:t>
            </w:r>
          </w:p>
        </w:tc>
        <w:tc>
          <w:tcPr>
            <w:tcW w:w="522" w:type="dxa"/>
            <w:tcBorders>
              <w:top w:val="single" w:sz="6" w:space="0" w:color="auto"/>
              <w:left w:val="single" w:sz="6" w:space="0" w:color="auto"/>
              <w:bottom w:val="single" w:sz="6" w:space="0" w:color="auto"/>
              <w:right w:val="single" w:sz="6" w:space="0" w:color="auto"/>
            </w:tcBorders>
          </w:tcPr>
          <w:p w14:paraId="7DBF1591"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154" w:type="dxa"/>
            <w:tcBorders>
              <w:top w:val="single" w:sz="6" w:space="0" w:color="auto"/>
              <w:left w:val="single" w:sz="6" w:space="0" w:color="auto"/>
              <w:bottom w:val="single" w:sz="6" w:space="0" w:color="auto"/>
              <w:right w:val="single" w:sz="6" w:space="0" w:color="auto"/>
            </w:tcBorders>
          </w:tcPr>
          <w:p w14:paraId="26AB498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2,5</w:t>
            </w:r>
          </w:p>
        </w:tc>
        <w:tc>
          <w:tcPr>
            <w:tcW w:w="696" w:type="dxa"/>
            <w:tcBorders>
              <w:top w:val="single" w:sz="6" w:space="0" w:color="auto"/>
              <w:left w:val="single" w:sz="6" w:space="0" w:color="auto"/>
              <w:bottom w:val="single" w:sz="6" w:space="0" w:color="auto"/>
              <w:right w:val="single" w:sz="6" w:space="0" w:color="auto"/>
            </w:tcBorders>
          </w:tcPr>
          <w:p w14:paraId="1430583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1DB63611"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1 862,48</w:t>
            </w:r>
          </w:p>
        </w:tc>
        <w:tc>
          <w:tcPr>
            <w:tcW w:w="600" w:type="dxa"/>
            <w:tcBorders>
              <w:top w:val="single" w:sz="6" w:space="0" w:color="auto"/>
              <w:left w:val="single" w:sz="6" w:space="0" w:color="auto"/>
              <w:bottom w:val="single" w:sz="6" w:space="0" w:color="auto"/>
              <w:right w:val="single" w:sz="6" w:space="0" w:color="auto"/>
            </w:tcBorders>
          </w:tcPr>
          <w:p w14:paraId="7244E11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6E356C6E"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58CAE6F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59</w:t>
            </w:r>
          </w:p>
        </w:tc>
        <w:tc>
          <w:tcPr>
            <w:tcW w:w="1487" w:type="dxa"/>
            <w:tcBorders>
              <w:top w:val="single" w:sz="6" w:space="0" w:color="auto"/>
              <w:left w:val="single" w:sz="6" w:space="0" w:color="auto"/>
              <w:bottom w:val="single" w:sz="6" w:space="0" w:color="auto"/>
              <w:right w:val="single" w:sz="6" w:space="0" w:color="auto"/>
            </w:tcBorders>
          </w:tcPr>
          <w:p w14:paraId="7B0B713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SILIKE s.r.o. Praha</w:t>
            </w:r>
          </w:p>
        </w:tc>
        <w:tc>
          <w:tcPr>
            <w:tcW w:w="1643" w:type="dxa"/>
            <w:tcBorders>
              <w:top w:val="single" w:sz="6" w:space="0" w:color="auto"/>
              <w:left w:val="single" w:sz="6" w:space="0" w:color="auto"/>
              <w:bottom w:val="single" w:sz="6" w:space="0" w:color="auto"/>
              <w:right w:val="single" w:sz="6" w:space="0" w:color="auto"/>
            </w:tcBorders>
          </w:tcPr>
          <w:p w14:paraId="0102280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4AC5D26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Rozbělesy</w:t>
            </w:r>
          </w:p>
        </w:tc>
        <w:tc>
          <w:tcPr>
            <w:tcW w:w="1315" w:type="dxa"/>
            <w:tcBorders>
              <w:top w:val="single" w:sz="6" w:space="0" w:color="auto"/>
              <w:left w:val="single" w:sz="6" w:space="0" w:color="auto"/>
              <w:bottom w:val="single" w:sz="6" w:space="0" w:color="auto"/>
              <w:right w:val="single" w:sz="6" w:space="0" w:color="auto"/>
            </w:tcBorders>
          </w:tcPr>
          <w:p w14:paraId="2224C48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Obchodní</w:t>
            </w:r>
          </w:p>
        </w:tc>
        <w:tc>
          <w:tcPr>
            <w:tcW w:w="522" w:type="dxa"/>
            <w:tcBorders>
              <w:top w:val="single" w:sz="6" w:space="0" w:color="auto"/>
              <w:left w:val="single" w:sz="6" w:space="0" w:color="auto"/>
              <w:bottom w:val="single" w:sz="6" w:space="0" w:color="auto"/>
              <w:right w:val="single" w:sz="6" w:space="0" w:color="auto"/>
            </w:tcBorders>
          </w:tcPr>
          <w:p w14:paraId="77946CEB"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154" w:type="dxa"/>
            <w:tcBorders>
              <w:top w:val="single" w:sz="6" w:space="0" w:color="auto"/>
              <w:left w:val="single" w:sz="6" w:space="0" w:color="auto"/>
              <w:bottom w:val="single" w:sz="6" w:space="0" w:color="auto"/>
              <w:right w:val="single" w:sz="6" w:space="0" w:color="auto"/>
            </w:tcBorders>
          </w:tcPr>
          <w:p w14:paraId="1423799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2,08</w:t>
            </w:r>
          </w:p>
        </w:tc>
        <w:tc>
          <w:tcPr>
            <w:tcW w:w="696" w:type="dxa"/>
            <w:tcBorders>
              <w:top w:val="single" w:sz="6" w:space="0" w:color="auto"/>
              <w:left w:val="single" w:sz="6" w:space="0" w:color="auto"/>
              <w:bottom w:val="single" w:sz="6" w:space="0" w:color="auto"/>
              <w:right w:val="single" w:sz="6" w:space="0" w:color="auto"/>
            </w:tcBorders>
          </w:tcPr>
          <w:p w14:paraId="2FFB95C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61AEC96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149,64</w:t>
            </w:r>
          </w:p>
        </w:tc>
        <w:tc>
          <w:tcPr>
            <w:tcW w:w="600" w:type="dxa"/>
            <w:tcBorders>
              <w:top w:val="single" w:sz="6" w:space="0" w:color="auto"/>
              <w:left w:val="single" w:sz="6" w:space="0" w:color="auto"/>
              <w:bottom w:val="single" w:sz="6" w:space="0" w:color="auto"/>
              <w:right w:val="single" w:sz="6" w:space="0" w:color="auto"/>
            </w:tcBorders>
          </w:tcPr>
          <w:p w14:paraId="0971CF96"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6E0C6536"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128DA7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60</w:t>
            </w:r>
          </w:p>
        </w:tc>
        <w:tc>
          <w:tcPr>
            <w:tcW w:w="1487" w:type="dxa"/>
            <w:tcBorders>
              <w:top w:val="single" w:sz="6" w:space="0" w:color="auto"/>
              <w:left w:val="single" w:sz="6" w:space="0" w:color="auto"/>
              <w:bottom w:val="single" w:sz="6" w:space="0" w:color="auto"/>
              <w:right w:val="single" w:sz="6" w:space="0" w:color="auto"/>
            </w:tcBorders>
          </w:tcPr>
          <w:p w14:paraId="5F7210F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Dopravní podnik města Děčín</w:t>
            </w:r>
          </w:p>
        </w:tc>
        <w:tc>
          <w:tcPr>
            <w:tcW w:w="1643" w:type="dxa"/>
            <w:tcBorders>
              <w:top w:val="single" w:sz="6" w:space="0" w:color="auto"/>
              <w:left w:val="single" w:sz="6" w:space="0" w:color="auto"/>
              <w:bottom w:val="single" w:sz="6" w:space="0" w:color="auto"/>
              <w:right w:val="single" w:sz="6" w:space="0" w:color="auto"/>
            </w:tcBorders>
          </w:tcPr>
          <w:p w14:paraId="3600AF5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DPmD kotelna K1</w:t>
            </w:r>
          </w:p>
        </w:tc>
        <w:tc>
          <w:tcPr>
            <w:tcW w:w="917" w:type="dxa"/>
            <w:tcBorders>
              <w:top w:val="single" w:sz="6" w:space="0" w:color="auto"/>
              <w:left w:val="single" w:sz="6" w:space="0" w:color="auto"/>
              <w:bottom w:val="single" w:sz="6" w:space="0" w:color="auto"/>
              <w:right w:val="single" w:sz="6" w:space="0" w:color="auto"/>
            </w:tcBorders>
          </w:tcPr>
          <w:p w14:paraId="5353628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Rozbělesy</w:t>
            </w:r>
          </w:p>
        </w:tc>
        <w:tc>
          <w:tcPr>
            <w:tcW w:w="1315" w:type="dxa"/>
            <w:tcBorders>
              <w:top w:val="single" w:sz="6" w:space="0" w:color="auto"/>
              <w:left w:val="single" w:sz="6" w:space="0" w:color="auto"/>
              <w:bottom w:val="single" w:sz="6" w:space="0" w:color="auto"/>
              <w:right w:val="single" w:sz="6" w:space="0" w:color="auto"/>
            </w:tcBorders>
          </w:tcPr>
          <w:p w14:paraId="40F7277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Dělnická</w:t>
            </w:r>
          </w:p>
        </w:tc>
        <w:tc>
          <w:tcPr>
            <w:tcW w:w="522" w:type="dxa"/>
            <w:tcBorders>
              <w:top w:val="single" w:sz="6" w:space="0" w:color="auto"/>
              <w:left w:val="single" w:sz="6" w:space="0" w:color="auto"/>
              <w:bottom w:val="single" w:sz="6" w:space="0" w:color="auto"/>
              <w:right w:val="single" w:sz="6" w:space="0" w:color="auto"/>
            </w:tcBorders>
          </w:tcPr>
          <w:p w14:paraId="64B2AF7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106</w:t>
            </w:r>
          </w:p>
        </w:tc>
        <w:tc>
          <w:tcPr>
            <w:tcW w:w="1154" w:type="dxa"/>
            <w:tcBorders>
              <w:top w:val="single" w:sz="6" w:space="0" w:color="auto"/>
              <w:left w:val="single" w:sz="6" w:space="0" w:color="auto"/>
              <w:bottom w:val="single" w:sz="6" w:space="0" w:color="auto"/>
              <w:right w:val="single" w:sz="6" w:space="0" w:color="auto"/>
            </w:tcBorders>
          </w:tcPr>
          <w:p w14:paraId="360245E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 x 0,35</w:t>
            </w:r>
          </w:p>
        </w:tc>
        <w:tc>
          <w:tcPr>
            <w:tcW w:w="696" w:type="dxa"/>
            <w:tcBorders>
              <w:top w:val="single" w:sz="6" w:space="0" w:color="auto"/>
              <w:left w:val="single" w:sz="6" w:space="0" w:color="auto"/>
              <w:bottom w:val="single" w:sz="6" w:space="0" w:color="auto"/>
              <w:right w:val="single" w:sz="6" w:space="0" w:color="auto"/>
            </w:tcBorders>
          </w:tcPr>
          <w:p w14:paraId="1040179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05D6CF6F"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115,33</w:t>
            </w:r>
          </w:p>
        </w:tc>
        <w:tc>
          <w:tcPr>
            <w:tcW w:w="600" w:type="dxa"/>
            <w:tcBorders>
              <w:top w:val="single" w:sz="6" w:space="0" w:color="auto"/>
              <w:left w:val="single" w:sz="6" w:space="0" w:color="auto"/>
              <w:bottom w:val="single" w:sz="6" w:space="0" w:color="auto"/>
              <w:right w:val="single" w:sz="6" w:space="0" w:color="auto"/>
            </w:tcBorders>
          </w:tcPr>
          <w:p w14:paraId="1CE0904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736C29DE"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6C93ABE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61</w:t>
            </w:r>
          </w:p>
        </w:tc>
        <w:tc>
          <w:tcPr>
            <w:tcW w:w="1487" w:type="dxa"/>
            <w:tcBorders>
              <w:top w:val="single" w:sz="6" w:space="0" w:color="auto"/>
              <w:left w:val="single" w:sz="6" w:space="0" w:color="auto"/>
              <w:bottom w:val="single" w:sz="6" w:space="0" w:color="auto"/>
              <w:right w:val="single" w:sz="6" w:space="0" w:color="auto"/>
            </w:tcBorders>
          </w:tcPr>
          <w:p w14:paraId="783663F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PSD s.r.o.</w:t>
            </w:r>
          </w:p>
        </w:tc>
        <w:tc>
          <w:tcPr>
            <w:tcW w:w="1643" w:type="dxa"/>
            <w:tcBorders>
              <w:top w:val="single" w:sz="6" w:space="0" w:color="auto"/>
              <w:left w:val="single" w:sz="6" w:space="0" w:color="auto"/>
              <w:bottom w:val="single" w:sz="6" w:space="0" w:color="auto"/>
              <w:right w:val="single" w:sz="6" w:space="0" w:color="auto"/>
            </w:tcBorders>
          </w:tcPr>
          <w:p w14:paraId="59A579E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3C42934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Staré město</w:t>
            </w:r>
          </w:p>
        </w:tc>
        <w:tc>
          <w:tcPr>
            <w:tcW w:w="1315" w:type="dxa"/>
            <w:tcBorders>
              <w:top w:val="single" w:sz="6" w:space="0" w:color="auto"/>
              <w:left w:val="single" w:sz="6" w:space="0" w:color="auto"/>
              <w:bottom w:val="single" w:sz="6" w:space="0" w:color="auto"/>
              <w:right w:val="single" w:sz="6" w:space="0" w:color="auto"/>
            </w:tcBorders>
          </w:tcPr>
          <w:p w14:paraId="61189DA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Oblouková</w:t>
            </w:r>
          </w:p>
        </w:tc>
        <w:tc>
          <w:tcPr>
            <w:tcW w:w="522" w:type="dxa"/>
            <w:tcBorders>
              <w:top w:val="single" w:sz="6" w:space="0" w:color="auto"/>
              <w:left w:val="single" w:sz="6" w:space="0" w:color="auto"/>
              <w:bottom w:val="single" w:sz="6" w:space="0" w:color="auto"/>
              <w:right w:val="single" w:sz="6" w:space="0" w:color="auto"/>
            </w:tcBorders>
          </w:tcPr>
          <w:p w14:paraId="0865C70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w:t>
            </w:r>
          </w:p>
        </w:tc>
        <w:tc>
          <w:tcPr>
            <w:tcW w:w="1154" w:type="dxa"/>
            <w:tcBorders>
              <w:top w:val="single" w:sz="6" w:space="0" w:color="auto"/>
              <w:left w:val="single" w:sz="6" w:space="0" w:color="auto"/>
              <w:bottom w:val="single" w:sz="6" w:space="0" w:color="auto"/>
              <w:right w:val="single" w:sz="6" w:space="0" w:color="auto"/>
            </w:tcBorders>
          </w:tcPr>
          <w:p w14:paraId="438FF39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0,5</w:t>
            </w:r>
          </w:p>
        </w:tc>
        <w:tc>
          <w:tcPr>
            <w:tcW w:w="696" w:type="dxa"/>
            <w:tcBorders>
              <w:top w:val="single" w:sz="6" w:space="0" w:color="auto"/>
              <w:left w:val="single" w:sz="6" w:space="0" w:color="auto"/>
              <w:bottom w:val="single" w:sz="6" w:space="0" w:color="auto"/>
              <w:right w:val="single" w:sz="6" w:space="0" w:color="auto"/>
            </w:tcBorders>
          </w:tcPr>
          <w:p w14:paraId="048192C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DREV</w:t>
            </w:r>
          </w:p>
        </w:tc>
        <w:tc>
          <w:tcPr>
            <w:tcW w:w="758" w:type="dxa"/>
            <w:tcBorders>
              <w:top w:val="single" w:sz="6" w:space="0" w:color="auto"/>
              <w:left w:val="single" w:sz="6" w:space="0" w:color="auto"/>
              <w:bottom w:val="single" w:sz="6" w:space="0" w:color="auto"/>
              <w:right w:val="single" w:sz="6" w:space="0" w:color="auto"/>
            </w:tcBorders>
          </w:tcPr>
          <w:p w14:paraId="79E77283"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20</w:t>
            </w:r>
          </w:p>
        </w:tc>
        <w:tc>
          <w:tcPr>
            <w:tcW w:w="600" w:type="dxa"/>
            <w:tcBorders>
              <w:top w:val="single" w:sz="6" w:space="0" w:color="auto"/>
              <w:left w:val="single" w:sz="6" w:space="0" w:color="auto"/>
              <w:bottom w:val="single" w:sz="6" w:space="0" w:color="auto"/>
              <w:right w:val="single" w:sz="6" w:space="0" w:color="auto"/>
            </w:tcBorders>
          </w:tcPr>
          <w:p w14:paraId="3F21169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748CCA42"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178F1E6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61</w:t>
            </w:r>
          </w:p>
        </w:tc>
        <w:tc>
          <w:tcPr>
            <w:tcW w:w="1487" w:type="dxa"/>
            <w:tcBorders>
              <w:top w:val="single" w:sz="6" w:space="0" w:color="auto"/>
              <w:left w:val="single" w:sz="6" w:space="0" w:color="auto"/>
              <w:bottom w:val="single" w:sz="6" w:space="0" w:color="auto"/>
              <w:right w:val="single" w:sz="6" w:space="0" w:color="auto"/>
            </w:tcBorders>
          </w:tcPr>
          <w:p w14:paraId="688D95C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PSD s.r.o.</w:t>
            </w:r>
          </w:p>
        </w:tc>
        <w:tc>
          <w:tcPr>
            <w:tcW w:w="1643" w:type="dxa"/>
            <w:tcBorders>
              <w:top w:val="single" w:sz="6" w:space="0" w:color="auto"/>
              <w:left w:val="single" w:sz="6" w:space="0" w:color="auto"/>
              <w:bottom w:val="single" w:sz="6" w:space="0" w:color="auto"/>
              <w:right w:val="single" w:sz="6" w:space="0" w:color="auto"/>
            </w:tcBorders>
          </w:tcPr>
          <w:p w14:paraId="1AB8D18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w:t>
            </w:r>
          </w:p>
        </w:tc>
        <w:tc>
          <w:tcPr>
            <w:tcW w:w="917" w:type="dxa"/>
            <w:tcBorders>
              <w:top w:val="single" w:sz="6" w:space="0" w:color="auto"/>
              <w:left w:val="single" w:sz="6" w:space="0" w:color="auto"/>
              <w:bottom w:val="single" w:sz="6" w:space="0" w:color="auto"/>
              <w:right w:val="single" w:sz="6" w:space="0" w:color="auto"/>
            </w:tcBorders>
          </w:tcPr>
          <w:p w14:paraId="3F4A419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Staré město</w:t>
            </w:r>
          </w:p>
        </w:tc>
        <w:tc>
          <w:tcPr>
            <w:tcW w:w="1315" w:type="dxa"/>
            <w:tcBorders>
              <w:top w:val="single" w:sz="6" w:space="0" w:color="auto"/>
              <w:left w:val="single" w:sz="6" w:space="0" w:color="auto"/>
              <w:bottom w:val="single" w:sz="6" w:space="0" w:color="auto"/>
              <w:right w:val="single" w:sz="6" w:space="0" w:color="auto"/>
            </w:tcBorders>
          </w:tcPr>
          <w:p w14:paraId="1EC418A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Oblouková</w:t>
            </w:r>
          </w:p>
        </w:tc>
        <w:tc>
          <w:tcPr>
            <w:tcW w:w="522" w:type="dxa"/>
            <w:tcBorders>
              <w:top w:val="single" w:sz="6" w:space="0" w:color="auto"/>
              <w:left w:val="single" w:sz="6" w:space="0" w:color="auto"/>
              <w:bottom w:val="single" w:sz="6" w:space="0" w:color="auto"/>
              <w:right w:val="single" w:sz="6" w:space="0" w:color="auto"/>
            </w:tcBorders>
          </w:tcPr>
          <w:p w14:paraId="63F17DE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10</w:t>
            </w:r>
          </w:p>
        </w:tc>
        <w:tc>
          <w:tcPr>
            <w:tcW w:w="1154" w:type="dxa"/>
            <w:tcBorders>
              <w:top w:val="single" w:sz="6" w:space="0" w:color="auto"/>
              <w:left w:val="single" w:sz="6" w:space="0" w:color="auto"/>
              <w:bottom w:val="single" w:sz="6" w:space="0" w:color="auto"/>
              <w:right w:val="single" w:sz="6" w:space="0" w:color="auto"/>
            </w:tcBorders>
          </w:tcPr>
          <w:p w14:paraId="4276ECB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0,5</w:t>
            </w:r>
          </w:p>
        </w:tc>
        <w:tc>
          <w:tcPr>
            <w:tcW w:w="696" w:type="dxa"/>
            <w:tcBorders>
              <w:top w:val="single" w:sz="6" w:space="0" w:color="auto"/>
              <w:left w:val="single" w:sz="6" w:space="0" w:color="auto"/>
              <w:bottom w:val="single" w:sz="6" w:space="0" w:color="auto"/>
              <w:right w:val="single" w:sz="6" w:space="0" w:color="auto"/>
            </w:tcBorders>
          </w:tcPr>
          <w:p w14:paraId="6764095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HUTR</w:t>
            </w:r>
          </w:p>
        </w:tc>
        <w:tc>
          <w:tcPr>
            <w:tcW w:w="758" w:type="dxa"/>
            <w:tcBorders>
              <w:top w:val="single" w:sz="6" w:space="0" w:color="auto"/>
              <w:left w:val="single" w:sz="6" w:space="0" w:color="auto"/>
              <w:bottom w:val="single" w:sz="6" w:space="0" w:color="auto"/>
              <w:right w:val="single" w:sz="6" w:space="0" w:color="auto"/>
            </w:tcBorders>
          </w:tcPr>
          <w:p w14:paraId="03C8094F"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28</w:t>
            </w:r>
          </w:p>
        </w:tc>
        <w:tc>
          <w:tcPr>
            <w:tcW w:w="600" w:type="dxa"/>
            <w:tcBorders>
              <w:top w:val="single" w:sz="6" w:space="0" w:color="auto"/>
              <w:left w:val="single" w:sz="6" w:space="0" w:color="auto"/>
              <w:bottom w:val="single" w:sz="6" w:space="0" w:color="auto"/>
              <w:right w:val="single" w:sz="6" w:space="0" w:color="auto"/>
            </w:tcBorders>
          </w:tcPr>
          <w:p w14:paraId="2C19CAF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r w:rsidR="00D42621" w:rsidRPr="00D42621" w14:paraId="5830EE84"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5838465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62</w:t>
            </w:r>
          </w:p>
        </w:tc>
        <w:tc>
          <w:tcPr>
            <w:tcW w:w="1487" w:type="dxa"/>
            <w:tcBorders>
              <w:top w:val="single" w:sz="6" w:space="0" w:color="auto"/>
              <w:left w:val="single" w:sz="6" w:space="0" w:color="auto"/>
              <w:bottom w:val="single" w:sz="6" w:space="0" w:color="auto"/>
              <w:right w:val="single" w:sz="6" w:space="0" w:color="auto"/>
            </w:tcBorders>
          </w:tcPr>
          <w:p w14:paraId="01EEE43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 xml:space="preserve">Sempra </w:t>
            </w:r>
            <w:r w:rsidRPr="00D42621">
              <w:rPr>
                <w:rFonts w:ascii="Arial" w:hAnsi="Arial"/>
                <w:color w:val="000000"/>
                <w:sz w:val="16"/>
                <w:szCs w:val="16"/>
                <w:lang w:eastAsia="cs-CZ"/>
              </w:rPr>
              <w:t>a.s. Děčín</w:t>
            </w:r>
          </w:p>
        </w:tc>
        <w:tc>
          <w:tcPr>
            <w:tcW w:w="1643" w:type="dxa"/>
            <w:tcBorders>
              <w:top w:val="single" w:sz="6" w:space="0" w:color="auto"/>
              <w:left w:val="single" w:sz="6" w:space="0" w:color="auto"/>
              <w:bottom w:val="single" w:sz="6" w:space="0" w:color="auto"/>
              <w:right w:val="single" w:sz="6" w:space="0" w:color="auto"/>
            </w:tcBorders>
          </w:tcPr>
          <w:p w14:paraId="44B550A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zámečna</w:t>
            </w:r>
          </w:p>
        </w:tc>
        <w:tc>
          <w:tcPr>
            <w:tcW w:w="917" w:type="dxa"/>
            <w:tcBorders>
              <w:top w:val="single" w:sz="6" w:space="0" w:color="auto"/>
              <w:left w:val="single" w:sz="6" w:space="0" w:color="auto"/>
              <w:bottom w:val="single" w:sz="6" w:space="0" w:color="auto"/>
              <w:right w:val="single" w:sz="6" w:space="0" w:color="auto"/>
            </w:tcBorders>
          </w:tcPr>
          <w:p w14:paraId="7AE394C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Staré město</w:t>
            </w:r>
          </w:p>
        </w:tc>
        <w:tc>
          <w:tcPr>
            <w:tcW w:w="1315" w:type="dxa"/>
            <w:tcBorders>
              <w:top w:val="single" w:sz="6" w:space="0" w:color="auto"/>
              <w:left w:val="single" w:sz="6" w:space="0" w:color="auto"/>
              <w:bottom w:val="single" w:sz="6" w:space="0" w:color="auto"/>
              <w:right w:val="single" w:sz="6" w:space="0" w:color="auto"/>
            </w:tcBorders>
          </w:tcPr>
          <w:p w14:paraId="07D0323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 Chlumem</w:t>
            </w:r>
          </w:p>
        </w:tc>
        <w:tc>
          <w:tcPr>
            <w:tcW w:w="522" w:type="dxa"/>
            <w:tcBorders>
              <w:top w:val="single" w:sz="6" w:space="0" w:color="auto"/>
              <w:left w:val="single" w:sz="6" w:space="0" w:color="auto"/>
              <w:bottom w:val="single" w:sz="6" w:space="0" w:color="auto"/>
              <w:right w:val="single" w:sz="6" w:space="0" w:color="auto"/>
            </w:tcBorders>
          </w:tcPr>
          <w:p w14:paraId="59228B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209</w:t>
            </w:r>
          </w:p>
        </w:tc>
        <w:tc>
          <w:tcPr>
            <w:tcW w:w="1154" w:type="dxa"/>
            <w:tcBorders>
              <w:top w:val="single" w:sz="6" w:space="0" w:color="auto"/>
              <w:left w:val="single" w:sz="6" w:space="0" w:color="auto"/>
              <w:bottom w:val="single" w:sz="6" w:space="0" w:color="auto"/>
              <w:right w:val="single" w:sz="6" w:space="0" w:color="auto"/>
            </w:tcBorders>
          </w:tcPr>
          <w:p w14:paraId="1D40E2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0,29</w:t>
            </w:r>
          </w:p>
        </w:tc>
        <w:tc>
          <w:tcPr>
            <w:tcW w:w="696" w:type="dxa"/>
            <w:tcBorders>
              <w:top w:val="single" w:sz="6" w:space="0" w:color="auto"/>
              <w:left w:val="single" w:sz="6" w:space="0" w:color="auto"/>
              <w:bottom w:val="single" w:sz="6" w:space="0" w:color="auto"/>
              <w:right w:val="single" w:sz="6" w:space="0" w:color="auto"/>
            </w:tcBorders>
          </w:tcPr>
          <w:p w14:paraId="5D34D35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4E9BC65B"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104</w:t>
            </w:r>
          </w:p>
        </w:tc>
        <w:tc>
          <w:tcPr>
            <w:tcW w:w="600" w:type="dxa"/>
            <w:tcBorders>
              <w:top w:val="single" w:sz="6" w:space="0" w:color="auto"/>
              <w:left w:val="single" w:sz="6" w:space="0" w:color="auto"/>
              <w:bottom w:val="single" w:sz="6" w:space="0" w:color="auto"/>
              <w:right w:val="single" w:sz="6" w:space="0" w:color="auto"/>
            </w:tcBorders>
          </w:tcPr>
          <w:p w14:paraId="49157B8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786EC68A"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683B1D2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63</w:t>
            </w:r>
          </w:p>
        </w:tc>
        <w:tc>
          <w:tcPr>
            <w:tcW w:w="1487" w:type="dxa"/>
            <w:tcBorders>
              <w:top w:val="single" w:sz="6" w:space="0" w:color="auto"/>
              <w:left w:val="single" w:sz="6" w:space="0" w:color="auto"/>
              <w:bottom w:val="single" w:sz="6" w:space="0" w:color="auto"/>
              <w:right w:val="single" w:sz="6" w:space="0" w:color="auto"/>
            </w:tcBorders>
          </w:tcPr>
          <w:p w14:paraId="3EDB8F1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INPEKO spol.s r.o.</w:t>
            </w:r>
          </w:p>
        </w:tc>
        <w:tc>
          <w:tcPr>
            <w:tcW w:w="1643" w:type="dxa"/>
            <w:tcBorders>
              <w:top w:val="single" w:sz="6" w:space="0" w:color="auto"/>
              <w:left w:val="single" w:sz="6" w:space="0" w:color="auto"/>
              <w:bottom w:val="single" w:sz="6" w:space="0" w:color="auto"/>
              <w:right w:val="single" w:sz="6" w:space="0" w:color="auto"/>
            </w:tcBorders>
          </w:tcPr>
          <w:p w14:paraId="080DE264"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pece</w:t>
            </w:r>
          </w:p>
        </w:tc>
        <w:tc>
          <w:tcPr>
            <w:tcW w:w="917" w:type="dxa"/>
            <w:tcBorders>
              <w:top w:val="single" w:sz="6" w:space="0" w:color="auto"/>
              <w:left w:val="single" w:sz="6" w:space="0" w:color="auto"/>
              <w:bottom w:val="single" w:sz="6" w:space="0" w:color="auto"/>
              <w:right w:val="single" w:sz="6" w:space="0" w:color="auto"/>
            </w:tcBorders>
          </w:tcPr>
          <w:p w14:paraId="17B2D92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Staré město</w:t>
            </w:r>
          </w:p>
        </w:tc>
        <w:tc>
          <w:tcPr>
            <w:tcW w:w="1315" w:type="dxa"/>
            <w:tcBorders>
              <w:top w:val="single" w:sz="6" w:space="0" w:color="auto"/>
              <w:left w:val="single" w:sz="6" w:space="0" w:color="auto"/>
              <w:bottom w:val="single" w:sz="6" w:space="0" w:color="auto"/>
              <w:right w:val="single" w:sz="6" w:space="0" w:color="auto"/>
            </w:tcBorders>
          </w:tcPr>
          <w:p w14:paraId="4341FAF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 chlumem</w:t>
            </w:r>
          </w:p>
        </w:tc>
        <w:tc>
          <w:tcPr>
            <w:tcW w:w="522" w:type="dxa"/>
            <w:tcBorders>
              <w:top w:val="single" w:sz="6" w:space="0" w:color="auto"/>
              <w:left w:val="single" w:sz="6" w:space="0" w:color="auto"/>
              <w:bottom w:val="single" w:sz="6" w:space="0" w:color="auto"/>
              <w:right w:val="single" w:sz="6" w:space="0" w:color="auto"/>
            </w:tcBorders>
          </w:tcPr>
          <w:p w14:paraId="5546E13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253</w:t>
            </w:r>
          </w:p>
        </w:tc>
        <w:tc>
          <w:tcPr>
            <w:tcW w:w="1154" w:type="dxa"/>
            <w:tcBorders>
              <w:top w:val="single" w:sz="6" w:space="0" w:color="auto"/>
              <w:left w:val="single" w:sz="6" w:space="0" w:color="auto"/>
              <w:bottom w:val="single" w:sz="6" w:space="0" w:color="auto"/>
              <w:right w:val="single" w:sz="6" w:space="0" w:color="auto"/>
            </w:tcBorders>
          </w:tcPr>
          <w:p w14:paraId="1B3A563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1,25</w:t>
            </w:r>
          </w:p>
        </w:tc>
        <w:tc>
          <w:tcPr>
            <w:tcW w:w="696" w:type="dxa"/>
            <w:tcBorders>
              <w:top w:val="single" w:sz="6" w:space="0" w:color="auto"/>
              <w:left w:val="single" w:sz="6" w:space="0" w:color="auto"/>
              <w:bottom w:val="single" w:sz="6" w:space="0" w:color="auto"/>
              <w:right w:val="single" w:sz="6" w:space="0" w:color="auto"/>
            </w:tcBorders>
          </w:tcPr>
          <w:p w14:paraId="2809688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0BFBA48A"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653</w:t>
            </w:r>
          </w:p>
        </w:tc>
        <w:tc>
          <w:tcPr>
            <w:tcW w:w="600" w:type="dxa"/>
            <w:tcBorders>
              <w:top w:val="single" w:sz="6" w:space="0" w:color="auto"/>
              <w:left w:val="single" w:sz="6" w:space="0" w:color="auto"/>
              <w:bottom w:val="single" w:sz="6" w:space="0" w:color="auto"/>
              <w:right w:val="single" w:sz="6" w:space="0" w:color="auto"/>
            </w:tcBorders>
          </w:tcPr>
          <w:p w14:paraId="4FE3FD0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23EFF714"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CC3838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lastRenderedPageBreak/>
              <w:t>64</w:t>
            </w:r>
          </w:p>
        </w:tc>
        <w:tc>
          <w:tcPr>
            <w:tcW w:w="1487" w:type="dxa"/>
            <w:tcBorders>
              <w:top w:val="single" w:sz="6" w:space="0" w:color="auto"/>
              <w:left w:val="single" w:sz="6" w:space="0" w:color="auto"/>
              <w:bottom w:val="single" w:sz="6" w:space="0" w:color="auto"/>
              <w:right w:val="single" w:sz="6" w:space="0" w:color="auto"/>
            </w:tcBorders>
          </w:tcPr>
          <w:p w14:paraId="0399EBB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aps/>
                <w:color w:val="000000"/>
                <w:sz w:val="16"/>
                <w:szCs w:val="16"/>
                <w:lang w:eastAsia="cs-CZ"/>
              </w:rPr>
              <w:t>Termo</w:t>
            </w:r>
            <w:r w:rsidRPr="00D42621">
              <w:rPr>
                <w:rFonts w:ascii="Arial" w:hAnsi="Arial"/>
                <w:color w:val="000000"/>
                <w:sz w:val="16"/>
                <w:szCs w:val="16"/>
                <w:lang w:eastAsia="cs-CZ"/>
              </w:rPr>
              <w:t xml:space="preserve"> Děčín a.s.</w:t>
            </w:r>
          </w:p>
        </w:tc>
        <w:tc>
          <w:tcPr>
            <w:tcW w:w="1643" w:type="dxa"/>
            <w:tcBorders>
              <w:top w:val="single" w:sz="6" w:space="0" w:color="auto"/>
              <w:left w:val="single" w:sz="6" w:space="0" w:color="auto"/>
              <w:bottom w:val="single" w:sz="6" w:space="0" w:color="auto"/>
              <w:right w:val="single" w:sz="6" w:space="0" w:color="auto"/>
            </w:tcBorders>
          </w:tcPr>
          <w:p w14:paraId="42F4E097"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kotelna Zelená</w:t>
            </w:r>
          </w:p>
        </w:tc>
        <w:tc>
          <w:tcPr>
            <w:tcW w:w="917" w:type="dxa"/>
            <w:tcBorders>
              <w:top w:val="single" w:sz="6" w:space="0" w:color="auto"/>
              <w:left w:val="single" w:sz="6" w:space="0" w:color="auto"/>
              <w:bottom w:val="single" w:sz="6" w:space="0" w:color="auto"/>
              <w:right w:val="single" w:sz="6" w:space="0" w:color="auto"/>
            </w:tcBorders>
          </w:tcPr>
          <w:p w14:paraId="4758C62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Staré město</w:t>
            </w:r>
          </w:p>
        </w:tc>
        <w:tc>
          <w:tcPr>
            <w:tcW w:w="1315" w:type="dxa"/>
            <w:tcBorders>
              <w:top w:val="single" w:sz="6" w:space="0" w:color="auto"/>
              <w:left w:val="single" w:sz="6" w:space="0" w:color="auto"/>
              <w:bottom w:val="single" w:sz="6" w:space="0" w:color="auto"/>
              <w:right w:val="single" w:sz="6" w:space="0" w:color="auto"/>
            </w:tcBorders>
          </w:tcPr>
          <w:p w14:paraId="33B713C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Zelená</w:t>
            </w:r>
          </w:p>
        </w:tc>
        <w:tc>
          <w:tcPr>
            <w:tcW w:w="522" w:type="dxa"/>
            <w:tcBorders>
              <w:top w:val="single" w:sz="6" w:space="0" w:color="auto"/>
              <w:left w:val="single" w:sz="6" w:space="0" w:color="auto"/>
              <w:bottom w:val="single" w:sz="6" w:space="0" w:color="auto"/>
              <w:right w:val="single" w:sz="6" w:space="0" w:color="auto"/>
            </w:tcBorders>
          </w:tcPr>
          <w:p w14:paraId="117E569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22</w:t>
            </w:r>
          </w:p>
        </w:tc>
        <w:tc>
          <w:tcPr>
            <w:tcW w:w="1154" w:type="dxa"/>
            <w:tcBorders>
              <w:top w:val="single" w:sz="6" w:space="0" w:color="auto"/>
              <w:left w:val="single" w:sz="6" w:space="0" w:color="auto"/>
              <w:bottom w:val="single" w:sz="6" w:space="0" w:color="auto"/>
              <w:right w:val="single" w:sz="6" w:space="0" w:color="auto"/>
            </w:tcBorders>
          </w:tcPr>
          <w:p w14:paraId="36CCB98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4,65</w:t>
            </w:r>
          </w:p>
        </w:tc>
        <w:tc>
          <w:tcPr>
            <w:tcW w:w="696" w:type="dxa"/>
            <w:tcBorders>
              <w:top w:val="single" w:sz="6" w:space="0" w:color="auto"/>
              <w:left w:val="single" w:sz="6" w:space="0" w:color="auto"/>
              <w:bottom w:val="single" w:sz="6" w:space="0" w:color="auto"/>
              <w:right w:val="single" w:sz="6" w:space="0" w:color="auto"/>
            </w:tcBorders>
          </w:tcPr>
          <w:p w14:paraId="66F5F4E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ZP</w:t>
            </w:r>
          </w:p>
        </w:tc>
        <w:tc>
          <w:tcPr>
            <w:tcW w:w="758" w:type="dxa"/>
            <w:tcBorders>
              <w:top w:val="single" w:sz="6" w:space="0" w:color="auto"/>
              <w:left w:val="single" w:sz="6" w:space="0" w:color="auto"/>
              <w:bottom w:val="single" w:sz="6" w:space="0" w:color="auto"/>
              <w:right w:val="single" w:sz="6" w:space="0" w:color="auto"/>
            </w:tcBorders>
          </w:tcPr>
          <w:p w14:paraId="04C1876F"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1 969,4</w:t>
            </w:r>
          </w:p>
        </w:tc>
        <w:tc>
          <w:tcPr>
            <w:tcW w:w="600" w:type="dxa"/>
            <w:tcBorders>
              <w:top w:val="single" w:sz="6" w:space="0" w:color="auto"/>
              <w:left w:val="single" w:sz="6" w:space="0" w:color="auto"/>
              <w:bottom w:val="single" w:sz="6" w:space="0" w:color="auto"/>
              <w:right w:val="single" w:sz="6" w:space="0" w:color="auto"/>
            </w:tcBorders>
          </w:tcPr>
          <w:p w14:paraId="0F75594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tis.m3</w:t>
            </w:r>
          </w:p>
        </w:tc>
      </w:tr>
      <w:tr w:rsidR="00D42621" w:rsidRPr="00D42621" w14:paraId="3001E2CD" w14:textId="77777777" w:rsidTr="002D2D45">
        <w:trPr>
          <w:trHeight w:val="484"/>
        </w:trPr>
        <w:tc>
          <w:tcPr>
            <w:tcW w:w="329" w:type="dxa"/>
            <w:tcBorders>
              <w:top w:val="single" w:sz="6" w:space="0" w:color="auto"/>
              <w:left w:val="single" w:sz="6" w:space="0" w:color="auto"/>
              <w:bottom w:val="single" w:sz="6" w:space="0" w:color="auto"/>
              <w:right w:val="single" w:sz="6" w:space="0" w:color="auto"/>
            </w:tcBorders>
          </w:tcPr>
          <w:p w14:paraId="47E689C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6"/>
                <w:szCs w:val="16"/>
                <w:lang w:eastAsia="cs-CZ"/>
              </w:rPr>
              <w:t>65</w:t>
            </w:r>
          </w:p>
        </w:tc>
        <w:tc>
          <w:tcPr>
            <w:tcW w:w="1487" w:type="dxa"/>
            <w:tcBorders>
              <w:top w:val="single" w:sz="6" w:space="0" w:color="auto"/>
              <w:left w:val="single" w:sz="6" w:space="0" w:color="auto"/>
              <w:bottom w:val="single" w:sz="6" w:space="0" w:color="auto"/>
              <w:right w:val="single" w:sz="6" w:space="0" w:color="auto"/>
            </w:tcBorders>
          </w:tcPr>
          <w:p w14:paraId="723FF353"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AFS Milan Fišer</w:t>
            </w:r>
          </w:p>
        </w:tc>
        <w:tc>
          <w:tcPr>
            <w:tcW w:w="1643" w:type="dxa"/>
            <w:tcBorders>
              <w:top w:val="single" w:sz="6" w:space="0" w:color="auto"/>
              <w:left w:val="single" w:sz="6" w:space="0" w:color="auto"/>
              <w:bottom w:val="single" w:sz="6" w:space="0" w:color="auto"/>
              <w:right w:val="single" w:sz="6" w:space="0" w:color="auto"/>
            </w:tcBorders>
          </w:tcPr>
          <w:p w14:paraId="1A66B02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sušící box</w:t>
            </w:r>
          </w:p>
        </w:tc>
        <w:tc>
          <w:tcPr>
            <w:tcW w:w="917" w:type="dxa"/>
            <w:tcBorders>
              <w:top w:val="single" w:sz="6" w:space="0" w:color="auto"/>
              <w:left w:val="single" w:sz="6" w:space="0" w:color="auto"/>
              <w:bottom w:val="single" w:sz="6" w:space="0" w:color="auto"/>
              <w:right w:val="single" w:sz="6" w:space="0" w:color="auto"/>
            </w:tcBorders>
          </w:tcPr>
          <w:p w14:paraId="7080FC3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Vilsnice</w:t>
            </w:r>
          </w:p>
        </w:tc>
        <w:tc>
          <w:tcPr>
            <w:tcW w:w="1315" w:type="dxa"/>
            <w:tcBorders>
              <w:top w:val="single" w:sz="6" w:space="0" w:color="auto"/>
              <w:left w:val="single" w:sz="6" w:space="0" w:color="auto"/>
              <w:bottom w:val="single" w:sz="6" w:space="0" w:color="auto"/>
              <w:right w:val="single" w:sz="6" w:space="0" w:color="auto"/>
            </w:tcBorders>
          </w:tcPr>
          <w:p w14:paraId="1F58DCB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Podmostní</w:t>
            </w:r>
          </w:p>
        </w:tc>
        <w:tc>
          <w:tcPr>
            <w:tcW w:w="522" w:type="dxa"/>
            <w:tcBorders>
              <w:top w:val="single" w:sz="6" w:space="0" w:color="auto"/>
              <w:left w:val="single" w:sz="6" w:space="0" w:color="auto"/>
              <w:bottom w:val="single" w:sz="6" w:space="0" w:color="auto"/>
              <w:right w:val="single" w:sz="6" w:space="0" w:color="auto"/>
            </w:tcBorders>
          </w:tcPr>
          <w:p w14:paraId="2F173EF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2</w:t>
            </w:r>
          </w:p>
        </w:tc>
        <w:tc>
          <w:tcPr>
            <w:tcW w:w="1154" w:type="dxa"/>
            <w:tcBorders>
              <w:top w:val="single" w:sz="6" w:space="0" w:color="auto"/>
              <w:left w:val="single" w:sz="6" w:space="0" w:color="auto"/>
              <w:bottom w:val="single" w:sz="6" w:space="0" w:color="auto"/>
              <w:right w:val="single" w:sz="6" w:space="0" w:color="auto"/>
            </w:tcBorders>
          </w:tcPr>
          <w:p w14:paraId="29D6E98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0,25</w:t>
            </w:r>
          </w:p>
        </w:tc>
        <w:tc>
          <w:tcPr>
            <w:tcW w:w="696" w:type="dxa"/>
            <w:tcBorders>
              <w:top w:val="single" w:sz="6" w:space="0" w:color="auto"/>
              <w:left w:val="single" w:sz="6" w:space="0" w:color="auto"/>
              <w:bottom w:val="single" w:sz="6" w:space="0" w:color="auto"/>
              <w:right w:val="single" w:sz="6" w:space="0" w:color="auto"/>
            </w:tcBorders>
          </w:tcPr>
          <w:p w14:paraId="34C91C6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6"/>
                <w:szCs w:val="16"/>
                <w:lang w:eastAsia="cs-CZ"/>
              </w:rPr>
              <w:t>NAFT</w:t>
            </w:r>
          </w:p>
        </w:tc>
        <w:tc>
          <w:tcPr>
            <w:tcW w:w="758" w:type="dxa"/>
            <w:tcBorders>
              <w:top w:val="single" w:sz="6" w:space="0" w:color="auto"/>
              <w:left w:val="single" w:sz="6" w:space="0" w:color="auto"/>
              <w:bottom w:val="single" w:sz="6" w:space="0" w:color="auto"/>
              <w:right w:val="single" w:sz="6" w:space="0" w:color="auto"/>
            </w:tcBorders>
          </w:tcPr>
          <w:p w14:paraId="2252B49E"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6"/>
                <w:szCs w:val="16"/>
                <w:lang w:eastAsia="cs-CZ"/>
              </w:rPr>
              <w:t>4,5</w:t>
            </w:r>
          </w:p>
        </w:tc>
        <w:tc>
          <w:tcPr>
            <w:tcW w:w="600" w:type="dxa"/>
            <w:tcBorders>
              <w:top w:val="single" w:sz="6" w:space="0" w:color="auto"/>
              <w:left w:val="single" w:sz="6" w:space="0" w:color="auto"/>
              <w:bottom w:val="single" w:sz="6" w:space="0" w:color="auto"/>
              <w:right w:val="single" w:sz="6" w:space="0" w:color="auto"/>
            </w:tcBorders>
          </w:tcPr>
          <w:p w14:paraId="59E7E325"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6"/>
                <w:szCs w:val="16"/>
                <w:lang w:eastAsia="cs-CZ"/>
              </w:rPr>
              <w:t>t</w:t>
            </w:r>
          </w:p>
        </w:tc>
      </w:tr>
    </w:tbl>
    <w:p w14:paraId="53669C93"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2291A5E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Městský úřad v Děčíně v posledních letech věnoval značnou pozornost tepelné energetice ve vztahu k životnímu prostředí. Byla zpracována celá řada projektových dokumentací, které byly již realizovány. Tato snaha se výrazně projevila ve zlepšení kvality přízemní vrstvy atmosféry.</w:t>
      </w:r>
    </w:p>
    <w:p w14:paraId="48960AA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Dalším velmi závažným materiálem pro tvorbu energetické koncepce města je usnesení č. IX/95 z 8. zasedání městského zastupitelstva dne 8. 6. 1995. Zde jsou definovány oblasti vhodné pro zásobování dodávkovým teplem. Jedná se celkem o 5 oblastí (Bynov, Podmokly, Želenice, Děčín, Boletice). Obdobně vyhláška č. 15/1999 vymezuje energetické zóny a reguluje výstavbu tepelných zdrojů.</w:t>
      </w:r>
    </w:p>
    <w:p w14:paraId="3F234E9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V levobřežní části města pokračuje plynofikace a výroba tepla z neekologických paliv je postupně nahrazována plynem. Byla plynofikována následující sídla : Dolní a Horní Oldřichov, Jalůvčí, Škrabky, Bělá, Žlíbek. Generelně je řešena plynofikace Křešic, Marjanína, Vilsnice a Nebočad. V místech, kde nebude zaveden zemní plyn či dodávkové teplo, lze z centrálních zdrojů využít k vytápění pouze elektřinu (s ohledem na kapacitu sítí). Vzhledem k předpokládaným cenám a připojovacím podmínkám, nelze očekávat velký zájem. Bude třeba využívat jiných, na sítích nezávislých paliv, jako jsou kapalný plyn, extralehký topný olej, biopalivo ap.</w:t>
      </w:r>
    </w:p>
    <w:p w14:paraId="488A808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47158B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B653BA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aps/>
          <w:color w:val="000000"/>
          <w:sz w:val="20"/>
          <w:szCs w:val="20"/>
          <w:lang w:eastAsia="cs-CZ"/>
        </w:rPr>
        <w:tab/>
        <w:t>Tepelný zdroj  CZT Děčín - východ</w:t>
      </w:r>
    </w:p>
    <w:p w14:paraId="45AD261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1E9C213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Roku 1985 začala výstavba teplárny Děčín východ. V roce 1992 byla dokončena první etapa,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dostavba zdroje byla zastavena. Tepelný výkon byl projektován na hodnotu 2 x 18,7 MW,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teplonosným mediem měla být horká voda a pára, palivem hnědouhelný prach. Realizovány byly </w:t>
      </w:r>
      <w:r w:rsidRPr="00D42621">
        <w:rPr>
          <w:rFonts w:ascii="Arial" w:hAnsi="Arial"/>
          <w:color w:val="000000"/>
          <w:sz w:val="20"/>
          <w:szCs w:val="20"/>
          <w:lang w:eastAsia="cs-CZ"/>
        </w:rPr>
        <w:tab/>
        <w:t xml:space="preserve">horkovody do sídel Březiny a Nové Město, dále parovody propojující centrální zdroj s výtopnami </w:t>
      </w:r>
      <w:r w:rsidRPr="00D42621">
        <w:rPr>
          <w:rFonts w:ascii="Arial" w:hAnsi="Arial"/>
          <w:color w:val="000000"/>
          <w:sz w:val="20"/>
          <w:szCs w:val="20"/>
          <w:lang w:eastAsia="cs-CZ"/>
        </w:rPr>
        <w:tab/>
        <w:t xml:space="preserve">"Pod zámkem" a "Staré Město". </w:t>
      </w:r>
    </w:p>
    <w:p w14:paraId="66B23BE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 Dánskou firmou byla zpracována studie na ekologizaci tohoto významného tepelného zdroje v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návaznosti na dodávky tepla celé pravobřežní části města. </w:t>
      </w:r>
    </w:p>
    <w:p w14:paraId="5EB0E45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Studie je zpracována ve dvou rovinách, řeší problematiku ovzduší z hlediska energetiky a </w:t>
      </w:r>
      <w:r w:rsidRPr="00D42621">
        <w:rPr>
          <w:rFonts w:ascii="Arial" w:hAnsi="Arial"/>
          <w:color w:val="000000"/>
          <w:sz w:val="20"/>
          <w:szCs w:val="20"/>
          <w:lang w:eastAsia="cs-CZ"/>
        </w:rPr>
        <w:tab/>
      </w:r>
      <w:r w:rsidRPr="00D42621">
        <w:rPr>
          <w:rFonts w:ascii="Arial" w:hAnsi="Arial"/>
          <w:color w:val="000000"/>
          <w:sz w:val="20"/>
          <w:szCs w:val="20"/>
          <w:lang w:eastAsia="cs-CZ"/>
        </w:rPr>
        <w:tab/>
        <w:t>manipulaci s odpady v oblasti Děčína. Stručně bude pojednáno pouze o energetické části studie.</w:t>
      </w:r>
    </w:p>
    <w:p w14:paraId="43357649" w14:textId="77777777" w:rsidR="00D42621" w:rsidRPr="00D42621" w:rsidRDefault="00D42621" w:rsidP="00D42621">
      <w:pPr>
        <w:suppressAutoHyphens w:val="0"/>
        <w:autoSpaceDE w:val="0"/>
        <w:autoSpaceDN w:val="0"/>
        <w:adjustRightInd w:val="0"/>
        <w:spacing w:line="240" w:lineRule="atLeast"/>
        <w:ind w:firstLine="567"/>
        <w:jc w:val="both"/>
        <w:rPr>
          <w:rFonts w:ascii="Arial" w:hAnsi="Arial"/>
          <w:color w:val="000000"/>
          <w:sz w:val="20"/>
          <w:szCs w:val="20"/>
          <w:lang w:eastAsia="cs-CZ"/>
        </w:rPr>
      </w:pPr>
      <w:r w:rsidRPr="00D42621">
        <w:rPr>
          <w:rFonts w:ascii="Arial" w:hAnsi="Arial" w:cs="Arial"/>
          <w:color w:val="0000FF"/>
          <w:sz w:val="20"/>
          <w:szCs w:val="20"/>
          <w:lang w:eastAsia="cs-CZ"/>
        </w:rPr>
        <w:tab/>
      </w:r>
      <w:r w:rsidRPr="00D42621">
        <w:rPr>
          <w:rFonts w:ascii="Arial" w:hAnsi="Arial" w:cs="Arial"/>
          <w:color w:val="000000"/>
          <w:sz w:val="20"/>
          <w:szCs w:val="20"/>
          <w:lang w:eastAsia="cs-CZ"/>
        </w:rPr>
        <w:t xml:space="preserve">Řešení zásobování města teplem je zpracováno ve dvou alternativách. V první alternativě je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problematika řešena na základě maximálního využití místních paliv, druhá alternativa počítá s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maximálním využitím zemního plynu. Každá z alternativ je ještě rozpracována do 4 variant.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Městský úřad schválil alternativu 2, která byla již dále rozpracována Energoprojektem Praha a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doplněna o využití geotermální energie podzemních vod pomocí tepelných čerpadel. Teplo bude </w:t>
      </w:r>
      <w:r w:rsidRPr="00D42621">
        <w:rPr>
          <w:rFonts w:ascii="Arial" w:hAnsi="Arial" w:cs="Arial"/>
          <w:color w:val="000000"/>
          <w:sz w:val="20"/>
          <w:szCs w:val="20"/>
          <w:lang w:eastAsia="cs-CZ"/>
        </w:rPr>
        <w:tab/>
        <w:t xml:space="preserve">rozváděno horkovodními napaječi. Již relizované parní propojení centrálního zdroje s kotelnou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"Pod zámkem" a kotelnou "Staré město" bude zrušeno a nahrazeno horkovodním napaječem v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jiné trase.</w:t>
      </w:r>
    </w:p>
    <w:p w14:paraId="7507B8B1" w14:textId="77777777" w:rsidR="00D42621" w:rsidRPr="00D42621" w:rsidRDefault="00D42621" w:rsidP="00D42621">
      <w:pPr>
        <w:suppressAutoHyphens w:val="0"/>
        <w:autoSpaceDE w:val="0"/>
        <w:autoSpaceDN w:val="0"/>
        <w:adjustRightInd w:val="0"/>
        <w:spacing w:line="240" w:lineRule="atLeast"/>
        <w:ind w:firstLine="567"/>
        <w:jc w:val="both"/>
        <w:rPr>
          <w:rFonts w:ascii="Arial" w:hAnsi="Arial"/>
          <w:color w:val="000000"/>
          <w:sz w:val="20"/>
          <w:szCs w:val="20"/>
          <w:lang w:eastAsia="cs-CZ"/>
        </w:rPr>
      </w:pPr>
    </w:p>
    <w:p w14:paraId="444546E7"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Velmi zajímavý je pohled na energetické požadavky města, který je níže sestaven do tabulky.</w:t>
      </w:r>
    </w:p>
    <w:p w14:paraId="30BDD54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DABB19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aps/>
          <w:color w:val="000000"/>
          <w:sz w:val="20"/>
          <w:szCs w:val="20"/>
          <w:lang w:eastAsia="cs-CZ"/>
        </w:rPr>
        <w:t>Očekávaný vývoj požadavku na energie s ohledem na :</w:t>
      </w:r>
    </w:p>
    <w:tbl>
      <w:tblPr>
        <w:tblW w:w="0" w:type="auto"/>
        <w:jc w:val="center"/>
        <w:tblLayout w:type="fixed"/>
        <w:tblCellMar>
          <w:left w:w="70" w:type="dxa"/>
          <w:right w:w="70" w:type="dxa"/>
        </w:tblCellMar>
        <w:tblLook w:val="0000" w:firstRow="0" w:lastRow="0" w:firstColumn="0" w:lastColumn="0" w:noHBand="0" w:noVBand="0"/>
      </w:tblPr>
      <w:tblGrid>
        <w:gridCol w:w="2977"/>
        <w:gridCol w:w="1187"/>
        <w:gridCol w:w="1077"/>
        <w:gridCol w:w="1282"/>
        <w:gridCol w:w="1118"/>
      </w:tblGrid>
      <w:tr w:rsidR="00D42621" w:rsidRPr="00D42621" w14:paraId="6B93209B" w14:textId="77777777" w:rsidTr="002D2D45">
        <w:trPr>
          <w:jc w:val="center"/>
        </w:trPr>
        <w:tc>
          <w:tcPr>
            <w:tcW w:w="2977" w:type="dxa"/>
            <w:tcBorders>
              <w:top w:val="single" w:sz="6" w:space="0" w:color="auto"/>
              <w:left w:val="single" w:sz="6" w:space="0" w:color="auto"/>
              <w:bottom w:val="single" w:sz="6" w:space="0" w:color="auto"/>
              <w:right w:val="single" w:sz="6" w:space="0" w:color="auto"/>
            </w:tcBorders>
          </w:tcPr>
          <w:p w14:paraId="3EC92C4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b/>
                <w:bCs/>
                <w:color w:val="000000"/>
                <w:sz w:val="18"/>
                <w:szCs w:val="18"/>
                <w:lang w:eastAsia="cs-CZ"/>
              </w:rPr>
              <w:t>rok</w:t>
            </w:r>
          </w:p>
        </w:tc>
        <w:tc>
          <w:tcPr>
            <w:tcW w:w="1187" w:type="dxa"/>
            <w:tcBorders>
              <w:top w:val="single" w:sz="6" w:space="0" w:color="auto"/>
              <w:left w:val="single" w:sz="6" w:space="0" w:color="auto"/>
              <w:bottom w:val="single" w:sz="6" w:space="0" w:color="auto"/>
              <w:right w:val="single" w:sz="6" w:space="0" w:color="auto"/>
            </w:tcBorders>
          </w:tcPr>
          <w:p w14:paraId="46B35BD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1 991</w:t>
            </w:r>
          </w:p>
        </w:tc>
        <w:tc>
          <w:tcPr>
            <w:tcW w:w="1077" w:type="dxa"/>
            <w:tcBorders>
              <w:top w:val="single" w:sz="6" w:space="0" w:color="auto"/>
              <w:left w:val="single" w:sz="6" w:space="0" w:color="auto"/>
              <w:bottom w:val="single" w:sz="6" w:space="0" w:color="auto"/>
              <w:right w:val="single" w:sz="6" w:space="0" w:color="auto"/>
            </w:tcBorders>
          </w:tcPr>
          <w:p w14:paraId="69D7BAC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1 997</w:t>
            </w:r>
          </w:p>
        </w:tc>
        <w:tc>
          <w:tcPr>
            <w:tcW w:w="1282" w:type="dxa"/>
            <w:tcBorders>
              <w:top w:val="single" w:sz="6" w:space="0" w:color="auto"/>
              <w:left w:val="single" w:sz="6" w:space="0" w:color="auto"/>
              <w:bottom w:val="single" w:sz="6" w:space="0" w:color="auto"/>
              <w:right w:val="single" w:sz="6" w:space="0" w:color="auto"/>
            </w:tcBorders>
          </w:tcPr>
          <w:p w14:paraId="14250C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2 004</w:t>
            </w:r>
          </w:p>
        </w:tc>
        <w:tc>
          <w:tcPr>
            <w:tcW w:w="1118" w:type="dxa"/>
            <w:tcBorders>
              <w:top w:val="single" w:sz="6" w:space="0" w:color="auto"/>
              <w:left w:val="single" w:sz="6" w:space="0" w:color="auto"/>
              <w:bottom w:val="single" w:sz="6" w:space="0" w:color="auto"/>
              <w:right w:val="single" w:sz="6" w:space="0" w:color="auto"/>
            </w:tcBorders>
          </w:tcPr>
          <w:p w14:paraId="6C4D466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2 011</w:t>
            </w:r>
          </w:p>
        </w:tc>
      </w:tr>
      <w:tr w:rsidR="00D42621" w:rsidRPr="00D42621" w14:paraId="7A550121" w14:textId="77777777" w:rsidTr="002D2D45">
        <w:trPr>
          <w:jc w:val="center"/>
        </w:trPr>
        <w:tc>
          <w:tcPr>
            <w:tcW w:w="2977" w:type="dxa"/>
            <w:tcBorders>
              <w:top w:val="single" w:sz="6" w:space="0" w:color="auto"/>
              <w:left w:val="single" w:sz="6" w:space="0" w:color="auto"/>
              <w:bottom w:val="single" w:sz="6" w:space="0" w:color="auto"/>
              <w:right w:val="single" w:sz="6" w:space="0" w:color="auto"/>
            </w:tcBorders>
          </w:tcPr>
          <w:p w14:paraId="0656BAE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změnu zvyklostí  (%)</w:t>
            </w:r>
          </w:p>
        </w:tc>
        <w:tc>
          <w:tcPr>
            <w:tcW w:w="1187" w:type="dxa"/>
            <w:tcBorders>
              <w:top w:val="single" w:sz="6" w:space="0" w:color="auto"/>
              <w:left w:val="single" w:sz="6" w:space="0" w:color="auto"/>
              <w:bottom w:val="single" w:sz="6" w:space="0" w:color="auto"/>
              <w:right w:val="single" w:sz="6" w:space="0" w:color="auto"/>
            </w:tcBorders>
          </w:tcPr>
          <w:p w14:paraId="484C9BE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100</w:t>
            </w:r>
          </w:p>
        </w:tc>
        <w:tc>
          <w:tcPr>
            <w:tcW w:w="1077" w:type="dxa"/>
            <w:tcBorders>
              <w:top w:val="single" w:sz="6" w:space="0" w:color="auto"/>
              <w:left w:val="single" w:sz="6" w:space="0" w:color="auto"/>
              <w:bottom w:val="single" w:sz="6" w:space="0" w:color="auto"/>
              <w:right w:val="single" w:sz="6" w:space="0" w:color="auto"/>
            </w:tcBorders>
          </w:tcPr>
          <w:p w14:paraId="3E0626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82</w:t>
            </w:r>
          </w:p>
        </w:tc>
        <w:tc>
          <w:tcPr>
            <w:tcW w:w="1282" w:type="dxa"/>
            <w:tcBorders>
              <w:top w:val="single" w:sz="6" w:space="0" w:color="auto"/>
              <w:left w:val="single" w:sz="6" w:space="0" w:color="auto"/>
              <w:bottom w:val="single" w:sz="6" w:space="0" w:color="auto"/>
              <w:right w:val="single" w:sz="6" w:space="0" w:color="auto"/>
            </w:tcBorders>
          </w:tcPr>
          <w:p w14:paraId="0D090C7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75</w:t>
            </w:r>
          </w:p>
        </w:tc>
        <w:tc>
          <w:tcPr>
            <w:tcW w:w="1118" w:type="dxa"/>
            <w:tcBorders>
              <w:top w:val="single" w:sz="6" w:space="0" w:color="auto"/>
              <w:left w:val="single" w:sz="6" w:space="0" w:color="auto"/>
              <w:bottom w:val="single" w:sz="6" w:space="0" w:color="auto"/>
              <w:right w:val="single" w:sz="6" w:space="0" w:color="auto"/>
            </w:tcBorders>
          </w:tcPr>
          <w:p w14:paraId="2F30B32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75</w:t>
            </w:r>
          </w:p>
        </w:tc>
      </w:tr>
      <w:tr w:rsidR="00D42621" w:rsidRPr="00D42621" w14:paraId="21A3BE68" w14:textId="77777777" w:rsidTr="002D2D45">
        <w:trPr>
          <w:jc w:val="center"/>
        </w:trPr>
        <w:tc>
          <w:tcPr>
            <w:tcW w:w="2977" w:type="dxa"/>
            <w:tcBorders>
              <w:top w:val="single" w:sz="6" w:space="0" w:color="auto"/>
              <w:left w:val="single" w:sz="6" w:space="0" w:color="auto"/>
              <w:bottom w:val="single" w:sz="6" w:space="0" w:color="auto"/>
              <w:right w:val="single" w:sz="6" w:space="0" w:color="auto"/>
            </w:tcBorders>
          </w:tcPr>
          <w:p w14:paraId="2A1950C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zlepšení izolací budov  (%)</w:t>
            </w:r>
          </w:p>
        </w:tc>
        <w:tc>
          <w:tcPr>
            <w:tcW w:w="1187" w:type="dxa"/>
            <w:tcBorders>
              <w:top w:val="single" w:sz="6" w:space="0" w:color="auto"/>
              <w:left w:val="single" w:sz="6" w:space="0" w:color="auto"/>
              <w:bottom w:val="single" w:sz="6" w:space="0" w:color="auto"/>
              <w:right w:val="single" w:sz="6" w:space="0" w:color="auto"/>
            </w:tcBorders>
          </w:tcPr>
          <w:p w14:paraId="283C39C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100</w:t>
            </w:r>
          </w:p>
        </w:tc>
        <w:tc>
          <w:tcPr>
            <w:tcW w:w="1077" w:type="dxa"/>
            <w:tcBorders>
              <w:top w:val="single" w:sz="6" w:space="0" w:color="auto"/>
              <w:left w:val="single" w:sz="6" w:space="0" w:color="auto"/>
              <w:bottom w:val="single" w:sz="6" w:space="0" w:color="auto"/>
              <w:right w:val="single" w:sz="6" w:space="0" w:color="auto"/>
            </w:tcBorders>
          </w:tcPr>
          <w:p w14:paraId="2980970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93</w:t>
            </w:r>
          </w:p>
        </w:tc>
        <w:tc>
          <w:tcPr>
            <w:tcW w:w="1282" w:type="dxa"/>
            <w:tcBorders>
              <w:top w:val="single" w:sz="6" w:space="0" w:color="auto"/>
              <w:left w:val="single" w:sz="6" w:space="0" w:color="auto"/>
              <w:bottom w:val="single" w:sz="6" w:space="0" w:color="auto"/>
              <w:right w:val="single" w:sz="6" w:space="0" w:color="auto"/>
            </w:tcBorders>
          </w:tcPr>
          <w:p w14:paraId="452FA3D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89</w:t>
            </w:r>
          </w:p>
        </w:tc>
        <w:tc>
          <w:tcPr>
            <w:tcW w:w="1118" w:type="dxa"/>
            <w:tcBorders>
              <w:top w:val="single" w:sz="6" w:space="0" w:color="auto"/>
              <w:left w:val="single" w:sz="6" w:space="0" w:color="auto"/>
              <w:bottom w:val="single" w:sz="6" w:space="0" w:color="auto"/>
              <w:right w:val="single" w:sz="6" w:space="0" w:color="auto"/>
            </w:tcBorders>
          </w:tcPr>
          <w:p w14:paraId="4FAC577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89</w:t>
            </w:r>
          </w:p>
        </w:tc>
      </w:tr>
      <w:tr w:rsidR="00D42621" w:rsidRPr="00D42621" w14:paraId="154FC419" w14:textId="77777777" w:rsidTr="002D2D45">
        <w:trPr>
          <w:jc w:val="center"/>
        </w:trPr>
        <w:tc>
          <w:tcPr>
            <w:tcW w:w="2977" w:type="dxa"/>
            <w:tcBorders>
              <w:top w:val="single" w:sz="6" w:space="0" w:color="auto"/>
              <w:left w:val="single" w:sz="6" w:space="0" w:color="auto"/>
              <w:bottom w:val="single" w:sz="6" w:space="0" w:color="auto"/>
              <w:right w:val="single" w:sz="6" w:space="0" w:color="auto"/>
            </w:tcBorders>
          </w:tcPr>
          <w:p w14:paraId="21CC574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rozšíření města (%)</w:t>
            </w:r>
          </w:p>
        </w:tc>
        <w:tc>
          <w:tcPr>
            <w:tcW w:w="1187" w:type="dxa"/>
            <w:tcBorders>
              <w:top w:val="single" w:sz="6" w:space="0" w:color="auto"/>
              <w:left w:val="single" w:sz="6" w:space="0" w:color="auto"/>
              <w:bottom w:val="single" w:sz="6" w:space="0" w:color="auto"/>
              <w:right w:val="single" w:sz="6" w:space="0" w:color="auto"/>
            </w:tcBorders>
          </w:tcPr>
          <w:p w14:paraId="373CFAD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100</w:t>
            </w:r>
          </w:p>
        </w:tc>
        <w:tc>
          <w:tcPr>
            <w:tcW w:w="1077" w:type="dxa"/>
            <w:tcBorders>
              <w:top w:val="single" w:sz="6" w:space="0" w:color="auto"/>
              <w:left w:val="single" w:sz="6" w:space="0" w:color="auto"/>
              <w:bottom w:val="single" w:sz="6" w:space="0" w:color="auto"/>
              <w:right w:val="single" w:sz="6" w:space="0" w:color="auto"/>
            </w:tcBorders>
          </w:tcPr>
          <w:p w14:paraId="396EC3F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106</w:t>
            </w:r>
          </w:p>
        </w:tc>
        <w:tc>
          <w:tcPr>
            <w:tcW w:w="1282" w:type="dxa"/>
            <w:tcBorders>
              <w:top w:val="single" w:sz="6" w:space="0" w:color="auto"/>
              <w:left w:val="single" w:sz="6" w:space="0" w:color="auto"/>
              <w:bottom w:val="single" w:sz="6" w:space="0" w:color="auto"/>
              <w:right w:val="single" w:sz="6" w:space="0" w:color="auto"/>
            </w:tcBorders>
          </w:tcPr>
          <w:p w14:paraId="6961DD9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114</w:t>
            </w:r>
          </w:p>
        </w:tc>
        <w:tc>
          <w:tcPr>
            <w:tcW w:w="1118" w:type="dxa"/>
            <w:tcBorders>
              <w:top w:val="single" w:sz="6" w:space="0" w:color="auto"/>
              <w:left w:val="single" w:sz="6" w:space="0" w:color="auto"/>
              <w:bottom w:val="single" w:sz="6" w:space="0" w:color="auto"/>
              <w:right w:val="single" w:sz="6" w:space="0" w:color="auto"/>
            </w:tcBorders>
          </w:tcPr>
          <w:p w14:paraId="6A7E961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115</w:t>
            </w:r>
          </w:p>
        </w:tc>
      </w:tr>
      <w:tr w:rsidR="00D42621" w:rsidRPr="00D42621" w14:paraId="7F6FCAD5" w14:textId="77777777" w:rsidTr="002D2D45">
        <w:trPr>
          <w:jc w:val="center"/>
        </w:trPr>
        <w:tc>
          <w:tcPr>
            <w:tcW w:w="2977" w:type="dxa"/>
            <w:tcBorders>
              <w:top w:val="single" w:sz="6" w:space="0" w:color="auto"/>
              <w:left w:val="single" w:sz="6" w:space="0" w:color="auto"/>
              <w:bottom w:val="single" w:sz="6" w:space="0" w:color="auto"/>
              <w:right w:val="single" w:sz="6" w:space="0" w:color="auto"/>
            </w:tcBorders>
          </w:tcPr>
          <w:p w14:paraId="3022B63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celkový vývoj (TJ)</w:t>
            </w:r>
          </w:p>
        </w:tc>
        <w:tc>
          <w:tcPr>
            <w:tcW w:w="1187" w:type="dxa"/>
            <w:tcBorders>
              <w:top w:val="single" w:sz="6" w:space="0" w:color="auto"/>
              <w:left w:val="single" w:sz="6" w:space="0" w:color="auto"/>
              <w:bottom w:val="single" w:sz="6" w:space="0" w:color="auto"/>
              <w:right w:val="single" w:sz="6" w:space="0" w:color="auto"/>
            </w:tcBorders>
          </w:tcPr>
          <w:p w14:paraId="3EB5529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2 267</w:t>
            </w:r>
          </w:p>
        </w:tc>
        <w:tc>
          <w:tcPr>
            <w:tcW w:w="1077" w:type="dxa"/>
            <w:tcBorders>
              <w:top w:val="single" w:sz="6" w:space="0" w:color="auto"/>
              <w:left w:val="single" w:sz="6" w:space="0" w:color="auto"/>
              <w:bottom w:val="single" w:sz="6" w:space="0" w:color="auto"/>
              <w:right w:val="single" w:sz="6" w:space="0" w:color="auto"/>
            </w:tcBorders>
          </w:tcPr>
          <w:p w14:paraId="4D2E594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1 833</w:t>
            </w:r>
          </w:p>
        </w:tc>
        <w:tc>
          <w:tcPr>
            <w:tcW w:w="1282" w:type="dxa"/>
            <w:tcBorders>
              <w:top w:val="single" w:sz="6" w:space="0" w:color="auto"/>
              <w:left w:val="single" w:sz="6" w:space="0" w:color="auto"/>
              <w:bottom w:val="single" w:sz="6" w:space="0" w:color="auto"/>
              <w:right w:val="single" w:sz="6" w:space="0" w:color="auto"/>
            </w:tcBorders>
          </w:tcPr>
          <w:p w14:paraId="0624AEC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1 731</w:t>
            </w:r>
          </w:p>
        </w:tc>
        <w:tc>
          <w:tcPr>
            <w:tcW w:w="1118" w:type="dxa"/>
            <w:tcBorders>
              <w:top w:val="single" w:sz="6" w:space="0" w:color="auto"/>
              <w:left w:val="single" w:sz="6" w:space="0" w:color="auto"/>
              <w:bottom w:val="single" w:sz="6" w:space="0" w:color="auto"/>
              <w:right w:val="single" w:sz="6" w:space="0" w:color="auto"/>
            </w:tcBorders>
          </w:tcPr>
          <w:p w14:paraId="4851A69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1 786</w:t>
            </w:r>
          </w:p>
        </w:tc>
      </w:tr>
      <w:tr w:rsidR="00D42621" w:rsidRPr="00D42621" w14:paraId="75969F28" w14:textId="77777777" w:rsidTr="002D2D45">
        <w:trPr>
          <w:jc w:val="center"/>
        </w:trPr>
        <w:tc>
          <w:tcPr>
            <w:tcW w:w="2977" w:type="dxa"/>
            <w:tcBorders>
              <w:top w:val="single" w:sz="6" w:space="0" w:color="auto"/>
              <w:left w:val="single" w:sz="6" w:space="0" w:color="auto"/>
              <w:bottom w:val="single" w:sz="6" w:space="0" w:color="auto"/>
              <w:right w:val="single" w:sz="6" w:space="0" w:color="auto"/>
            </w:tcBorders>
          </w:tcPr>
          <w:p w14:paraId="7EC55C7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celková spotřeba paliva (TJ)</w:t>
            </w:r>
          </w:p>
        </w:tc>
        <w:tc>
          <w:tcPr>
            <w:tcW w:w="1187" w:type="dxa"/>
            <w:tcBorders>
              <w:top w:val="single" w:sz="6" w:space="0" w:color="auto"/>
              <w:left w:val="single" w:sz="6" w:space="0" w:color="auto"/>
              <w:bottom w:val="single" w:sz="6" w:space="0" w:color="auto"/>
              <w:right w:val="single" w:sz="6" w:space="0" w:color="auto"/>
            </w:tcBorders>
          </w:tcPr>
          <w:p w14:paraId="747A253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3 299</w:t>
            </w:r>
          </w:p>
        </w:tc>
        <w:tc>
          <w:tcPr>
            <w:tcW w:w="1077" w:type="dxa"/>
            <w:tcBorders>
              <w:top w:val="single" w:sz="6" w:space="0" w:color="auto"/>
              <w:left w:val="single" w:sz="6" w:space="0" w:color="auto"/>
              <w:bottom w:val="single" w:sz="6" w:space="0" w:color="auto"/>
              <w:right w:val="single" w:sz="6" w:space="0" w:color="auto"/>
            </w:tcBorders>
          </w:tcPr>
          <w:p w14:paraId="0CF287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2 132</w:t>
            </w:r>
          </w:p>
        </w:tc>
        <w:tc>
          <w:tcPr>
            <w:tcW w:w="1282" w:type="dxa"/>
            <w:tcBorders>
              <w:top w:val="single" w:sz="6" w:space="0" w:color="auto"/>
              <w:left w:val="single" w:sz="6" w:space="0" w:color="auto"/>
              <w:bottom w:val="single" w:sz="6" w:space="0" w:color="auto"/>
              <w:right w:val="single" w:sz="6" w:space="0" w:color="auto"/>
            </w:tcBorders>
          </w:tcPr>
          <w:p w14:paraId="4F55339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2 014</w:t>
            </w:r>
          </w:p>
        </w:tc>
        <w:tc>
          <w:tcPr>
            <w:tcW w:w="1118" w:type="dxa"/>
            <w:tcBorders>
              <w:top w:val="single" w:sz="6" w:space="0" w:color="auto"/>
              <w:left w:val="single" w:sz="6" w:space="0" w:color="auto"/>
              <w:bottom w:val="single" w:sz="6" w:space="0" w:color="auto"/>
              <w:right w:val="single" w:sz="6" w:space="0" w:color="auto"/>
            </w:tcBorders>
          </w:tcPr>
          <w:p w14:paraId="12A8EC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2 078</w:t>
            </w:r>
          </w:p>
        </w:tc>
      </w:tr>
      <w:tr w:rsidR="00D42621" w:rsidRPr="00D42621" w14:paraId="68F08BE9" w14:textId="77777777" w:rsidTr="002D2D45">
        <w:trPr>
          <w:jc w:val="center"/>
        </w:trPr>
        <w:tc>
          <w:tcPr>
            <w:tcW w:w="7641" w:type="dxa"/>
            <w:gridSpan w:val="5"/>
            <w:tcBorders>
              <w:top w:val="single" w:sz="6" w:space="0" w:color="auto"/>
              <w:left w:val="single" w:sz="6" w:space="0" w:color="auto"/>
              <w:bottom w:val="single" w:sz="6" w:space="0" w:color="auto"/>
              <w:right w:val="single" w:sz="6" w:space="0" w:color="auto"/>
            </w:tcBorders>
          </w:tcPr>
          <w:p w14:paraId="2E64B7E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20"/>
                <w:szCs w:val="20"/>
                <w:lang w:eastAsia="cs-CZ"/>
              </w:rPr>
            </w:pPr>
            <w:r w:rsidRPr="00D42621">
              <w:rPr>
                <w:rFonts w:ascii="Arial" w:hAnsi="Arial"/>
                <w:b/>
                <w:bCs/>
                <w:color w:val="000000"/>
                <w:sz w:val="18"/>
                <w:szCs w:val="18"/>
                <w:lang w:eastAsia="cs-CZ"/>
              </w:rPr>
              <w:t>Celkové spotřebě paliva odpovídají emise znečištění ovzduší</w:t>
            </w:r>
          </w:p>
        </w:tc>
      </w:tr>
      <w:tr w:rsidR="00D42621" w:rsidRPr="00D42621" w14:paraId="5443E91A" w14:textId="77777777" w:rsidTr="002D2D45">
        <w:trPr>
          <w:jc w:val="center"/>
        </w:trPr>
        <w:tc>
          <w:tcPr>
            <w:tcW w:w="2977" w:type="dxa"/>
            <w:tcBorders>
              <w:top w:val="single" w:sz="6" w:space="0" w:color="auto"/>
              <w:left w:val="single" w:sz="6" w:space="0" w:color="auto"/>
              <w:bottom w:val="single" w:sz="6" w:space="0" w:color="auto"/>
              <w:right w:val="single" w:sz="6" w:space="0" w:color="auto"/>
            </w:tcBorders>
          </w:tcPr>
          <w:p w14:paraId="6F3445C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SO</w:t>
            </w:r>
            <w:r w:rsidRPr="00D42621">
              <w:rPr>
                <w:rFonts w:ascii="Arial" w:hAnsi="Arial"/>
                <w:color w:val="000000"/>
                <w:position w:val="-6"/>
                <w:sz w:val="18"/>
                <w:szCs w:val="18"/>
                <w:lang w:eastAsia="cs-CZ"/>
              </w:rPr>
              <w:t>2</w:t>
            </w:r>
            <w:r w:rsidRPr="00D42621">
              <w:rPr>
                <w:rFonts w:ascii="Arial" w:hAnsi="Arial"/>
                <w:color w:val="000000"/>
                <w:sz w:val="18"/>
                <w:szCs w:val="18"/>
                <w:lang w:eastAsia="cs-CZ"/>
              </w:rPr>
              <w:t xml:space="preserve">  (t)</w:t>
            </w:r>
          </w:p>
        </w:tc>
        <w:tc>
          <w:tcPr>
            <w:tcW w:w="1187" w:type="dxa"/>
            <w:tcBorders>
              <w:top w:val="single" w:sz="6" w:space="0" w:color="auto"/>
              <w:left w:val="single" w:sz="6" w:space="0" w:color="auto"/>
              <w:bottom w:val="single" w:sz="6" w:space="0" w:color="auto"/>
              <w:right w:val="single" w:sz="6" w:space="0" w:color="auto"/>
            </w:tcBorders>
          </w:tcPr>
          <w:p w14:paraId="4366D9B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983</w:t>
            </w:r>
          </w:p>
        </w:tc>
        <w:tc>
          <w:tcPr>
            <w:tcW w:w="1077" w:type="dxa"/>
            <w:tcBorders>
              <w:top w:val="single" w:sz="6" w:space="0" w:color="auto"/>
              <w:left w:val="single" w:sz="6" w:space="0" w:color="auto"/>
              <w:bottom w:val="single" w:sz="6" w:space="0" w:color="auto"/>
              <w:right w:val="single" w:sz="6" w:space="0" w:color="auto"/>
            </w:tcBorders>
          </w:tcPr>
          <w:p w14:paraId="5BBAE7E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327</w:t>
            </w:r>
          </w:p>
        </w:tc>
        <w:tc>
          <w:tcPr>
            <w:tcW w:w="1282" w:type="dxa"/>
            <w:tcBorders>
              <w:top w:val="single" w:sz="6" w:space="0" w:color="auto"/>
              <w:left w:val="single" w:sz="6" w:space="0" w:color="auto"/>
              <w:bottom w:val="single" w:sz="6" w:space="0" w:color="auto"/>
              <w:right w:val="single" w:sz="6" w:space="0" w:color="auto"/>
            </w:tcBorders>
          </w:tcPr>
          <w:p w14:paraId="2C60032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309</w:t>
            </w:r>
          </w:p>
        </w:tc>
        <w:tc>
          <w:tcPr>
            <w:tcW w:w="1118" w:type="dxa"/>
            <w:tcBorders>
              <w:top w:val="single" w:sz="6" w:space="0" w:color="auto"/>
              <w:left w:val="single" w:sz="6" w:space="0" w:color="auto"/>
              <w:bottom w:val="single" w:sz="6" w:space="0" w:color="auto"/>
              <w:right w:val="single" w:sz="6" w:space="0" w:color="auto"/>
            </w:tcBorders>
          </w:tcPr>
          <w:p w14:paraId="7A66C94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318</w:t>
            </w:r>
          </w:p>
        </w:tc>
      </w:tr>
      <w:tr w:rsidR="00D42621" w:rsidRPr="00D42621" w14:paraId="7687F365" w14:textId="77777777" w:rsidTr="002D2D45">
        <w:trPr>
          <w:jc w:val="center"/>
        </w:trPr>
        <w:tc>
          <w:tcPr>
            <w:tcW w:w="2977" w:type="dxa"/>
            <w:tcBorders>
              <w:top w:val="single" w:sz="6" w:space="0" w:color="auto"/>
              <w:left w:val="single" w:sz="6" w:space="0" w:color="auto"/>
              <w:bottom w:val="single" w:sz="6" w:space="0" w:color="auto"/>
              <w:right w:val="single" w:sz="6" w:space="0" w:color="auto"/>
            </w:tcBorders>
          </w:tcPr>
          <w:p w14:paraId="4C527BA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NOx  (t)</w:t>
            </w:r>
          </w:p>
        </w:tc>
        <w:tc>
          <w:tcPr>
            <w:tcW w:w="1187" w:type="dxa"/>
            <w:tcBorders>
              <w:top w:val="single" w:sz="6" w:space="0" w:color="auto"/>
              <w:left w:val="single" w:sz="6" w:space="0" w:color="auto"/>
              <w:bottom w:val="single" w:sz="6" w:space="0" w:color="auto"/>
              <w:right w:val="single" w:sz="6" w:space="0" w:color="auto"/>
            </w:tcBorders>
          </w:tcPr>
          <w:p w14:paraId="135EEDD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535</w:t>
            </w:r>
          </w:p>
        </w:tc>
        <w:tc>
          <w:tcPr>
            <w:tcW w:w="1077" w:type="dxa"/>
            <w:tcBorders>
              <w:top w:val="single" w:sz="6" w:space="0" w:color="auto"/>
              <w:left w:val="single" w:sz="6" w:space="0" w:color="auto"/>
              <w:bottom w:val="single" w:sz="6" w:space="0" w:color="auto"/>
              <w:right w:val="single" w:sz="6" w:space="0" w:color="auto"/>
            </w:tcBorders>
          </w:tcPr>
          <w:p w14:paraId="3BD73D1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290</w:t>
            </w:r>
          </w:p>
        </w:tc>
        <w:tc>
          <w:tcPr>
            <w:tcW w:w="1282" w:type="dxa"/>
            <w:tcBorders>
              <w:top w:val="single" w:sz="6" w:space="0" w:color="auto"/>
              <w:left w:val="single" w:sz="6" w:space="0" w:color="auto"/>
              <w:bottom w:val="single" w:sz="6" w:space="0" w:color="auto"/>
              <w:right w:val="single" w:sz="6" w:space="0" w:color="auto"/>
            </w:tcBorders>
          </w:tcPr>
          <w:p w14:paraId="4B4EF84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274</w:t>
            </w:r>
          </w:p>
        </w:tc>
        <w:tc>
          <w:tcPr>
            <w:tcW w:w="1118" w:type="dxa"/>
            <w:tcBorders>
              <w:top w:val="single" w:sz="6" w:space="0" w:color="auto"/>
              <w:left w:val="single" w:sz="6" w:space="0" w:color="auto"/>
              <w:bottom w:val="single" w:sz="6" w:space="0" w:color="auto"/>
              <w:right w:val="single" w:sz="6" w:space="0" w:color="auto"/>
            </w:tcBorders>
          </w:tcPr>
          <w:p w14:paraId="2F98086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282</w:t>
            </w:r>
          </w:p>
        </w:tc>
      </w:tr>
      <w:tr w:rsidR="00D42621" w:rsidRPr="00D42621" w14:paraId="03FC1F43" w14:textId="77777777" w:rsidTr="002D2D45">
        <w:trPr>
          <w:jc w:val="center"/>
        </w:trPr>
        <w:tc>
          <w:tcPr>
            <w:tcW w:w="2977" w:type="dxa"/>
            <w:tcBorders>
              <w:top w:val="single" w:sz="6" w:space="0" w:color="auto"/>
              <w:left w:val="single" w:sz="6" w:space="0" w:color="auto"/>
              <w:bottom w:val="single" w:sz="6" w:space="0" w:color="auto"/>
              <w:right w:val="single" w:sz="6" w:space="0" w:color="auto"/>
            </w:tcBorders>
          </w:tcPr>
          <w:p w14:paraId="5891539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CO</w:t>
            </w:r>
            <w:r w:rsidRPr="00D42621">
              <w:rPr>
                <w:rFonts w:ascii="Arial" w:hAnsi="Arial"/>
                <w:color w:val="000000"/>
                <w:position w:val="-6"/>
                <w:sz w:val="18"/>
                <w:szCs w:val="18"/>
                <w:lang w:eastAsia="cs-CZ"/>
              </w:rPr>
              <w:t>2</w:t>
            </w:r>
            <w:r w:rsidRPr="00D42621">
              <w:rPr>
                <w:rFonts w:ascii="Arial" w:hAnsi="Arial"/>
                <w:color w:val="000000"/>
                <w:sz w:val="18"/>
                <w:szCs w:val="18"/>
                <w:lang w:eastAsia="cs-CZ"/>
              </w:rPr>
              <w:t xml:space="preserve">  (t)</w:t>
            </w:r>
          </w:p>
        </w:tc>
        <w:tc>
          <w:tcPr>
            <w:tcW w:w="1187" w:type="dxa"/>
            <w:tcBorders>
              <w:top w:val="single" w:sz="6" w:space="0" w:color="auto"/>
              <w:left w:val="single" w:sz="6" w:space="0" w:color="auto"/>
              <w:bottom w:val="single" w:sz="6" w:space="0" w:color="auto"/>
              <w:right w:val="single" w:sz="6" w:space="0" w:color="auto"/>
            </w:tcBorders>
          </w:tcPr>
          <w:p w14:paraId="5A3FAE7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281 453</w:t>
            </w:r>
          </w:p>
        </w:tc>
        <w:tc>
          <w:tcPr>
            <w:tcW w:w="1077" w:type="dxa"/>
            <w:tcBorders>
              <w:top w:val="single" w:sz="6" w:space="0" w:color="auto"/>
              <w:left w:val="single" w:sz="6" w:space="0" w:color="auto"/>
              <w:bottom w:val="single" w:sz="6" w:space="0" w:color="auto"/>
              <w:right w:val="single" w:sz="6" w:space="0" w:color="auto"/>
            </w:tcBorders>
          </w:tcPr>
          <w:p w14:paraId="58155F2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153 787</w:t>
            </w:r>
          </w:p>
        </w:tc>
        <w:tc>
          <w:tcPr>
            <w:tcW w:w="1282" w:type="dxa"/>
            <w:tcBorders>
              <w:top w:val="single" w:sz="6" w:space="0" w:color="auto"/>
              <w:left w:val="single" w:sz="6" w:space="0" w:color="auto"/>
              <w:bottom w:val="single" w:sz="6" w:space="0" w:color="auto"/>
              <w:right w:val="single" w:sz="6" w:space="0" w:color="auto"/>
            </w:tcBorders>
          </w:tcPr>
          <w:p w14:paraId="46EF428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145 276</w:t>
            </w:r>
          </w:p>
        </w:tc>
        <w:tc>
          <w:tcPr>
            <w:tcW w:w="1118" w:type="dxa"/>
            <w:tcBorders>
              <w:top w:val="single" w:sz="6" w:space="0" w:color="auto"/>
              <w:left w:val="single" w:sz="6" w:space="0" w:color="auto"/>
              <w:bottom w:val="single" w:sz="6" w:space="0" w:color="auto"/>
              <w:right w:val="single" w:sz="6" w:space="0" w:color="auto"/>
            </w:tcBorders>
          </w:tcPr>
          <w:p w14:paraId="63D881E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149 847</w:t>
            </w:r>
          </w:p>
        </w:tc>
      </w:tr>
      <w:tr w:rsidR="00D42621" w:rsidRPr="00D42621" w14:paraId="708B511C" w14:textId="77777777" w:rsidTr="002D2D45">
        <w:trPr>
          <w:jc w:val="center"/>
        </w:trPr>
        <w:tc>
          <w:tcPr>
            <w:tcW w:w="2977" w:type="dxa"/>
            <w:tcBorders>
              <w:top w:val="single" w:sz="6" w:space="0" w:color="auto"/>
              <w:left w:val="single" w:sz="6" w:space="0" w:color="auto"/>
              <w:bottom w:val="single" w:sz="6" w:space="0" w:color="auto"/>
              <w:right w:val="single" w:sz="6" w:space="0" w:color="auto"/>
            </w:tcBorders>
          </w:tcPr>
          <w:p w14:paraId="7A48047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lastRenderedPageBreak/>
              <w:t>pevné částice (t)</w:t>
            </w:r>
          </w:p>
        </w:tc>
        <w:tc>
          <w:tcPr>
            <w:tcW w:w="1187" w:type="dxa"/>
            <w:tcBorders>
              <w:top w:val="single" w:sz="6" w:space="0" w:color="auto"/>
              <w:left w:val="single" w:sz="6" w:space="0" w:color="auto"/>
              <w:bottom w:val="single" w:sz="6" w:space="0" w:color="auto"/>
              <w:right w:val="single" w:sz="6" w:space="0" w:color="auto"/>
            </w:tcBorders>
          </w:tcPr>
          <w:p w14:paraId="37E0FD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2 054</w:t>
            </w:r>
          </w:p>
        </w:tc>
        <w:tc>
          <w:tcPr>
            <w:tcW w:w="1077" w:type="dxa"/>
            <w:tcBorders>
              <w:top w:val="single" w:sz="6" w:space="0" w:color="auto"/>
              <w:left w:val="single" w:sz="6" w:space="0" w:color="auto"/>
              <w:bottom w:val="single" w:sz="6" w:space="0" w:color="auto"/>
              <w:right w:val="single" w:sz="6" w:space="0" w:color="auto"/>
            </w:tcBorders>
          </w:tcPr>
          <w:p w14:paraId="4D60C2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700</w:t>
            </w:r>
          </w:p>
        </w:tc>
        <w:tc>
          <w:tcPr>
            <w:tcW w:w="1282" w:type="dxa"/>
            <w:tcBorders>
              <w:top w:val="single" w:sz="6" w:space="0" w:color="auto"/>
              <w:left w:val="single" w:sz="6" w:space="0" w:color="auto"/>
              <w:bottom w:val="single" w:sz="6" w:space="0" w:color="auto"/>
              <w:right w:val="single" w:sz="6" w:space="0" w:color="auto"/>
            </w:tcBorders>
          </w:tcPr>
          <w:p w14:paraId="1419C17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662</w:t>
            </w:r>
          </w:p>
        </w:tc>
        <w:tc>
          <w:tcPr>
            <w:tcW w:w="1118" w:type="dxa"/>
            <w:tcBorders>
              <w:top w:val="single" w:sz="6" w:space="0" w:color="auto"/>
              <w:left w:val="single" w:sz="6" w:space="0" w:color="auto"/>
              <w:bottom w:val="single" w:sz="6" w:space="0" w:color="auto"/>
              <w:right w:val="single" w:sz="6" w:space="0" w:color="auto"/>
            </w:tcBorders>
          </w:tcPr>
          <w:p w14:paraId="3B20B34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653</w:t>
            </w:r>
          </w:p>
        </w:tc>
      </w:tr>
    </w:tbl>
    <w:p w14:paraId="2BB38B98"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21FF19C4"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528C3BFC" w14:textId="77777777" w:rsidR="00D42621" w:rsidRPr="00D42621" w:rsidRDefault="00D42621" w:rsidP="00D42621">
      <w:pPr>
        <w:suppressAutoHyphens w:val="0"/>
        <w:autoSpaceDE w:val="0"/>
        <w:autoSpaceDN w:val="0"/>
        <w:adjustRightInd w:val="0"/>
        <w:jc w:val="both"/>
        <w:rPr>
          <w:rFonts w:ascii="Arial" w:hAnsi="Arial" w:cs="Arial"/>
          <w:b/>
          <w:sz w:val="22"/>
          <w:szCs w:val="22"/>
          <w:lang w:eastAsia="cs-CZ"/>
        </w:rPr>
      </w:pPr>
      <w:r w:rsidRPr="00D42621">
        <w:rPr>
          <w:rFonts w:ascii="Arial" w:hAnsi="Arial" w:cs="Arial"/>
          <w:b/>
          <w:sz w:val="22"/>
          <w:szCs w:val="22"/>
          <w:lang w:eastAsia="cs-CZ"/>
        </w:rPr>
        <w:t>Celkové investiční náklady spojené s alternativou 2 - 2 jsou ve studii vyjádřeny  v cenových hladinách roku 1992. Používané peněžní jednotky ECU byly přepočteny na Kč v poměru 1 : 38.</w:t>
      </w:r>
    </w:p>
    <w:p w14:paraId="68E60CD5" w14:textId="77777777" w:rsidR="00D42621" w:rsidRPr="00D42621" w:rsidRDefault="00D42621" w:rsidP="00D42621">
      <w:pPr>
        <w:suppressAutoHyphens w:val="0"/>
        <w:autoSpaceDE w:val="0"/>
        <w:autoSpaceDN w:val="0"/>
        <w:adjustRightInd w:val="0"/>
        <w:ind w:left="6372" w:firstLine="708"/>
        <w:rPr>
          <w:rFonts w:ascii="Arial" w:hAnsi="Arial" w:cs="Arial"/>
          <w:sz w:val="22"/>
          <w:szCs w:val="22"/>
          <w:lang w:eastAsia="cs-CZ"/>
        </w:rPr>
      </w:pPr>
      <w:r w:rsidRPr="00D42621">
        <w:rPr>
          <w:rFonts w:ascii="Arial" w:hAnsi="Arial" w:cs="Arial"/>
          <w:sz w:val="22"/>
          <w:szCs w:val="22"/>
          <w:lang w:eastAsia="cs-CZ"/>
        </w:rPr>
        <w:t>mil. Kč</w:t>
      </w:r>
    </w:p>
    <w:p w14:paraId="5C8742DC" w14:textId="77777777" w:rsidR="00D42621" w:rsidRPr="00D42621" w:rsidRDefault="00D42621" w:rsidP="00D42621">
      <w:pPr>
        <w:suppressAutoHyphens w:val="0"/>
        <w:autoSpaceDE w:val="0"/>
        <w:autoSpaceDN w:val="0"/>
        <w:adjustRightInd w:val="0"/>
        <w:ind w:firstLine="708"/>
        <w:rPr>
          <w:rFonts w:ascii="Arial" w:hAnsi="Arial" w:cs="Arial"/>
          <w:sz w:val="22"/>
          <w:szCs w:val="22"/>
          <w:lang w:eastAsia="cs-CZ"/>
        </w:rPr>
      </w:pPr>
      <w:r w:rsidRPr="00D42621">
        <w:rPr>
          <w:rFonts w:ascii="Arial" w:hAnsi="Arial" w:cs="Arial"/>
          <w:sz w:val="22"/>
          <w:szCs w:val="22"/>
          <w:lang w:eastAsia="cs-CZ"/>
        </w:rPr>
        <w:t>CZT:</w:t>
      </w:r>
      <w:r w:rsidRPr="00D42621">
        <w:rPr>
          <w:rFonts w:ascii="Arial" w:hAnsi="Arial" w:cs="Arial"/>
          <w:sz w:val="22"/>
          <w:szCs w:val="22"/>
          <w:lang w:eastAsia="cs-CZ"/>
        </w:rPr>
        <w:tab/>
        <w:t xml:space="preserve"> změna paliva na zemní plyn </w:t>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t>15,54</w:t>
      </w:r>
    </w:p>
    <w:p w14:paraId="4C1CD8F3" w14:textId="77777777" w:rsidR="00D42621" w:rsidRPr="00D42621" w:rsidRDefault="00D42621" w:rsidP="00D42621">
      <w:pPr>
        <w:suppressAutoHyphens w:val="0"/>
        <w:autoSpaceDE w:val="0"/>
        <w:autoSpaceDN w:val="0"/>
        <w:adjustRightInd w:val="0"/>
        <w:ind w:left="708" w:firstLine="708"/>
        <w:rPr>
          <w:rFonts w:ascii="Arial" w:hAnsi="Arial" w:cs="Arial"/>
          <w:sz w:val="22"/>
          <w:szCs w:val="22"/>
          <w:lang w:eastAsia="cs-CZ"/>
        </w:rPr>
      </w:pPr>
      <w:r w:rsidRPr="00D42621">
        <w:rPr>
          <w:rFonts w:ascii="Arial" w:hAnsi="Arial" w:cs="Arial"/>
          <w:sz w:val="22"/>
          <w:szCs w:val="22"/>
          <w:lang w:eastAsia="cs-CZ"/>
        </w:rPr>
        <w:t xml:space="preserve">instalace turbíny a generátoru </w:t>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t>276,70</w:t>
      </w:r>
    </w:p>
    <w:p w14:paraId="09BBB2C1" w14:textId="77777777" w:rsidR="00D42621" w:rsidRPr="00D42621" w:rsidRDefault="00D42621" w:rsidP="00D42621">
      <w:pPr>
        <w:suppressAutoHyphens w:val="0"/>
        <w:autoSpaceDE w:val="0"/>
        <w:autoSpaceDN w:val="0"/>
        <w:adjustRightInd w:val="0"/>
        <w:ind w:firstLine="708"/>
        <w:rPr>
          <w:rFonts w:ascii="Arial" w:hAnsi="Arial" w:cs="Arial"/>
          <w:sz w:val="22"/>
          <w:szCs w:val="22"/>
          <w:lang w:eastAsia="cs-CZ"/>
        </w:rPr>
      </w:pPr>
      <w:r w:rsidRPr="00D42621">
        <w:rPr>
          <w:rFonts w:ascii="Arial" w:hAnsi="Arial" w:cs="Arial"/>
          <w:sz w:val="22"/>
          <w:szCs w:val="22"/>
          <w:lang w:eastAsia="cs-CZ"/>
        </w:rPr>
        <w:t>rekonstrukce kotelny "Pod zámkem"</w:t>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t>7,29</w:t>
      </w:r>
    </w:p>
    <w:p w14:paraId="00C54CBD" w14:textId="77777777" w:rsidR="00D42621" w:rsidRPr="00D42621" w:rsidRDefault="00D42621" w:rsidP="00D42621">
      <w:pPr>
        <w:suppressAutoHyphens w:val="0"/>
        <w:autoSpaceDE w:val="0"/>
        <w:autoSpaceDN w:val="0"/>
        <w:adjustRightInd w:val="0"/>
        <w:ind w:firstLine="708"/>
        <w:rPr>
          <w:rFonts w:ascii="Arial" w:hAnsi="Arial" w:cs="Arial"/>
          <w:sz w:val="22"/>
          <w:szCs w:val="22"/>
          <w:lang w:eastAsia="cs-CZ"/>
        </w:rPr>
      </w:pPr>
      <w:r w:rsidRPr="00D42621">
        <w:rPr>
          <w:rFonts w:ascii="Arial" w:hAnsi="Arial" w:cs="Arial"/>
          <w:sz w:val="22"/>
          <w:szCs w:val="22"/>
          <w:lang w:eastAsia="cs-CZ"/>
        </w:rPr>
        <w:t xml:space="preserve">rekonstrukce kotelny "Riegrova" </w:t>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t>0,64</w:t>
      </w:r>
    </w:p>
    <w:p w14:paraId="2C1DB219" w14:textId="77777777" w:rsidR="00D42621" w:rsidRPr="00D42621" w:rsidRDefault="00D42621" w:rsidP="00D42621">
      <w:pPr>
        <w:suppressAutoHyphens w:val="0"/>
        <w:autoSpaceDE w:val="0"/>
        <w:autoSpaceDN w:val="0"/>
        <w:adjustRightInd w:val="0"/>
        <w:ind w:firstLine="708"/>
        <w:rPr>
          <w:rFonts w:ascii="Arial" w:hAnsi="Arial" w:cs="Arial"/>
          <w:sz w:val="22"/>
          <w:szCs w:val="22"/>
          <w:lang w:eastAsia="cs-CZ"/>
        </w:rPr>
      </w:pPr>
      <w:r w:rsidRPr="00D42621">
        <w:rPr>
          <w:rFonts w:ascii="Arial" w:hAnsi="Arial" w:cs="Arial"/>
          <w:sz w:val="22"/>
          <w:szCs w:val="22"/>
          <w:lang w:eastAsia="cs-CZ"/>
        </w:rPr>
        <w:t xml:space="preserve">rekonstrukce kotelny "Kamenická" </w:t>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t>1,71</w:t>
      </w:r>
    </w:p>
    <w:p w14:paraId="0A462ED8" w14:textId="77777777" w:rsidR="00D42621" w:rsidRPr="00D42621" w:rsidRDefault="00D42621" w:rsidP="00D42621">
      <w:pPr>
        <w:suppressAutoHyphens w:val="0"/>
        <w:autoSpaceDE w:val="0"/>
        <w:autoSpaceDN w:val="0"/>
        <w:adjustRightInd w:val="0"/>
        <w:ind w:firstLine="708"/>
        <w:rPr>
          <w:rFonts w:ascii="Arial" w:hAnsi="Arial" w:cs="Arial"/>
          <w:sz w:val="22"/>
          <w:szCs w:val="22"/>
          <w:lang w:eastAsia="cs-CZ"/>
        </w:rPr>
      </w:pPr>
      <w:r w:rsidRPr="00D42621">
        <w:rPr>
          <w:rFonts w:ascii="Arial" w:hAnsi="Arial" w:cs="Arial"/>
          <w:sz w:val="22"/>
          <w:szCs w:val="22"/>
          <w:lang w:eastAsia="cs-CZ"/>
        </w:rPr>
        <w:t xml:space="preserve">rekonstrukce kotelny "Březiny" </w:t>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t>3,15</w:t>
      </w:r>
    </w:p>
    <w:p w14:paraId="417FD791" w14:textId="77777777" w:rsidR="00D42621" w:rsidRPr="00D42621" w:rsidRDefault="00D42621" w:rsidP="00D42621">
      <w:pPr>
        <w:suppressAutoHyphens w:val="0"/>
        <w:autoSpaceDE w:val="0"/>
        <w:autoSpaceDN w:val="0"/>
        <w:adjustRightInd w:val="0"/>
        <w:ind w:firstLine="708"/>
        <w:rPr>
          <w:rFonts w:ascii="Arial" w:hAnsi="Arial" w:cs="Arial"/>
          <w:sz w:val="22"/>
          <w:szCs w:val="22"/>
          <w:lang w:eastAsia="cs-CZ"/>
        </w:rPr>
      </w:pPr>
      <w:r w:rsidRPr="00D42621">
        <w:rPr>
          <w:rFonts w:ascii="Arial" w:hAnsi="Arial" w:cs="Arial"/>
          <w:sz w:val="22"/>
          <w:szCs w:val="22"/>
          <w:lang w:eastAsia="cs-CZ"/>
        </w:rPr>
        <w:t xml:space="preserve">rekonstrukce kotelny "Liberecká" </w:t>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t>0,49</w:t>
      </w:r>
    </w:p>
    <w:p w14:paraId="607DB59F" w14:textId="77777777" w:rsidR="00D42621" w:rsidRPr="00D42621" w:rsidRDefault="00D42621" w:rsidP="00D42621">
      <w:pPr>
        <w:suppressAutoHyphens w:val="0"/>
        <w:autoSpaceDE w:val="0"/>
        <w:autoSpaceDN w:val="0"/>
        <w:adjustRightInd w:val="0"/>
        <w:ind w:firstLine="708"/>
        <w:rPr>
          <w:rFonts w:ascii="Arial" w:hAnsi="Arial" w:cs="Arial"/>
          <w:sz w:val="22"/>
          <w:szCs w:val="22"/>
          <w:lang w:eastAsia="cs-CZ"/>
        </w:rPr>
      </w:pPr>
      <w:r w:rsidRPr="00D42621">
        <w:rPr>
          <w:rFonts w:ascii="Arial" w:hAnsi="Arial" w:cs="Arial"/>
          <w:sz w:val="22"/>
          <w:szCs w:val="22"/>
          <w:lang w:eastAsia="cs-CZ"/>
        </w:rPr>
        <w:t xml:space="preserve">rekonstrukce kotelny "Staré město" </w:t>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r>
      <w:r w:rsidRPr="00D42621">
        <w:rPr>
          <w:rFonts w:ascii="Arial" w:hAnsi="Arial" w:cs="Arial"/>
          <w:sz w:val="22"/>
          <w:szCs w:val="22"/>
          <w:lang w:eastAsia="cs-CZ"/>
        </w:rPr>
        <w:tab/>
        <w:t>0,49</w:t>
      </w:r>
    </w:p>
    <w:p w14:paraId="51AD721F" w14:textId="77777777" w:rsidR="00D42621" w:rsidRPr="00D42621" w:rsidRDefault="00D42621" w:rsidP="00D42621">
      <w:pPr>
        <w:suppressAutoHyphens w:val="0"/>
        <w:autoSpaceDE w:val="0"/>
        <w:autoSpaceDN w:val="0"/>
        <w:adjustRightInd w:val="0"/>
        <w:rPr>
          <w:rFonts w:ascii="Arial" w:hAnsi="Arial" w:cs="Arial"/>
          <w:sz w:val="22"/>
          <w:szCs w:val="22"/>
          <w:lang w:eastAsia="cs-CZ"/>
        </w:rPr>
      </w:pPr>
      <w:r w:rsidRPr="00D42621">
        <w:rPr>
          <w:rFonts w:ascii="Arial" w:hAnsi="Arial" w:cs="Arial"/>
          <w:sz w:val="22"/>
          <w:szCs w:val="22"/>
          <w:lang w:eastAsia="cs-CZ"/>
        </w:rPr>
        <w:t>Studie byla projednána MěÚ Děčín a je schválena jako základní koncepční práce pro</w:t>
      </w:r>
    </w:p>
    <w:p w14:paraId="05FFF58B" w14:textId="77777777" w:rsidR="00D42621" w:rsidRPr="00D42621" w:rsidRDefault="00D42621" w:rsidP="00D42621">
      <w:pPr>
        <w:suppressAutoHyphens w:val="0"/>
        <w:autoSpaceDE w:val="0"/>
        <w:autoSpaceDN w:val="0"/>
        <w:adjustRightInd w:val="0"/>
        <w:rPr>
          <w:rFonts w:ascii="Arial" w:hAnsi="Arial" w:cs="Arial"/>
          <w:sz w:val="22"/>
          <w:szCs w:val="22"/>
          <w:lang w:eastAsia="cs-CZ"/>
        </w:rPr>
      </w:pPr>
      <w:r w:rsidRPr="00D42621">
        <w:rPr>
          <w:rFonts w:ascii="Arial" w:hAnsi="Arial" w:cs="Arial"/>
          <w:sz w:val="22"/>
          <w:szCs w:val="22"/>
          <w:lang w:eastAsia="cs-CZ"/>
        </w:rPr>
        <w:t>energetickou koncepci města a pro územně plánovací dokumentaci.</w:t>
      </w:r>
    </w:p>
    <w:p w14:paraId="477B86A6" w14:textId="77777777" w:rsidR="00D42621" w:rsidRDefault="00D42621" w:rsidP="00D42621">
      <w:pPr>
        <w:suppressAutoHyphens w:val="0"/>
        <w:autoSpaceDE w:val="0"/>
        <w:autoSpaceDN w:val="0"/>
        <w:adjustRightInd w:val="0"/>
        <w:rPr>
          <w:rFonts w:ascii="Arial" w:hAnsi="Arial" w:cs="Arial"/>
          <w:sz w:val="22"/>
          <w:szCs w:val="22"/>
          <w:lang w:eastAsia="cs-CZ"/>
        </w:rPr>
      </w:pPr>
    </w:p>
    <w:p w14:paraId="68E96E23" w14:textId="77777777" w:rsidR="00D42621" w:rsidRDefault="00D42621" w:rsidP="00D42621">
      <w:pPr>
        <w:suppressAutoHyphens w:val="0"/>
        <w:autoSpaceDE w:val="0"/>
        <w:autoSpaceDN w:val="0"/>
        <w:adjustRightInd w:val="0"/>
        <w:rPr>
          <w:rFonts w:ascii="Arial" w:hAnsi="Arial" w:cs="Arial"/>
          <w:sz w:val="22"/>
          <w:szCs w:val="22"/>
          <w:lang w:eastAsia="cs-CZ"/>
        </w:rPr>
      </w:pPr>
    </w:p>
    <w:p w14:paraId="5E331AC4" w14:textId="77777777" w:rsidR="00D42621" w:rsidRDefault="00D42621" w:rsidP="00D42621">
      <w:pPr>
        <w:suppressAutoHyphens w:val="0"/>
        <w:autoSpaceDE w:val="0"/>
        <w:autoSpaceDN w:val="0"/>
        <w:adjustRightInd w:val="0"/>
        <w:rPr>
          <w:rFonts w:ascii="Arial" w:hAnsi="Arial" w:cs="Arial"/>
          <w:sz w:val="22"/>
          <w:szCs w:val="22"/>
          <w:lang w:eastAsia="cs-CZ"/>
        </w:rPr>
      </w:pPr>
    </w:p>
    <w:p w14:paraId="6996BA2D" w14:textId="77777777" w:rsidR="00D42621" w:rsidRDefault="00D42621" w:rsidP="00D42621">
      <w:pPr>
        <w:suppressAutoHyphens w:val="0"/>
        <w:autoSpaceDE w:val="0"/>
        <w:autoSpaceDN w:val="0"/>
        <w:adjustRightInd w:val="0"/>
        <w:rPr>
          <w:rFonts w:ascii="Arial" w:hAnsi="Arial" w:cs="Arial"/>
          <w:sz w:val="22"/>
          <w:szCs w:val="22"/>
          <w:lang w:eastAsia="cs-CZ"/>
        </w:rPr>
      </w:pPr>
    </w:p>
    <w:p w14:paraId="56713C8B" w14:textId="77777777" w:rsidR="00D42621" w:rsidRDefault="00D42621" w:rsidP="00D42621">
      <w:pPr>
        <w:suppressAutoHyphens w:val="0"/>
        <w:autoSpaceDE w:val="0"/>
        <w:autoSpaceDN w:val="0"/>
        <w:adjustRightInd w:val="0"/>
        <w:rPr>
          <w:rFonts w:ascii="Arial" w:hAnsi="Arial" w:cs="Arial"/>
          <w:sz w:val="22"/>
          <w:szCs w:val="22"/>
          <w:lang w:eastAsia="cs-CZ"/>
        </w:rPr>
      </w:pPr>
    </w:p>
    <w:p w14:paraId="512C856C" w14:textId="77777777" w:rsidR="00D42621" w:rsidRDefault="00D42621" w:rsidP="00D42621">
      <w:pPr>
        <w:suppressAutoHyphens w:val="0"/>
        <w:autoSpaceDE w:val="0"/>
        <w:autoSpaceDN w:val="0"/>
        <w:adjustRightInd w:val="0"/>
        <w:rPr>
          <w:rFonts w:ascii="Arial" w:hAnsi="Arial" w:cs="Arial"/>
          <w:sz w:val="22"/>
          <w:szCs w:val="22"/>
          <w:lang w:eastAsia="cs-CZ"/>
        </w:rPr>
      </w:pPr>
    </w:p>
    <w:p w14:paraId="340773C6" w14:textId="77777777" w:rsidR="00D42621" w:rsidRDefault="00D42621" w:rsidP="00D42621">
      <w:pPr>
        <w:suppressAutoHyphens w:val="0"/>
        <w:autoSpaceDE w:val="0"/>
        <w:autoSpaceDN w:val="0"/>
        <w:adjustRightInd w:val="0"/>
        <w:rPr>
          <w:rFonts w:ascii="Arial" w:hAnsi="Arial" w:cs="Arial"/>
          <w:sz w:val="22"/>
          <w:szCs w:val="22"/>
          <w:lang w:eastAsia="cs-CZ"/>
        </w:rPr>
      </w:pPr>
    </w:p>
    <w:p w14:paraId="1CF15038" w14:textId="77777777" w:rsidR="00D42621" w:rsidRDefault="00D42621" w:rsidP="00D42621">
      <w:pPr>
        <w:suppressAutoHyphens w:val="0"/>
        <w:autoSpaceDE w:val="0"/>
        <w:autoSpaceDN w:val="0"/>
        <w:adjustRightInd w:val="0"/>
        <w:rPr>
          <w:rFonts w:ascii="Arial" w:hAnsi="Arial" w:cs="Arial"/>
          <w:sz w:val="22"/>
          <w:szCs w:val="22"/>
          <w:lang w:eastAsia="cs-CZ"/>
        </w:rPr>
      </w:pPr>
    </w:p>
    <w:p w14:paraId="709F2D49" w14:textId="77777777" w:rsidR="00D42621" w:rsidRDefault="00D42621" w:rsidP="00D42621">
      <w:pPr>
        <w:suppressAutoHyphens w:val="0"/>
        <w:autoSpaceDE w:val="0"/>
        <w:autoSpaceDN w:val="0"/>
        <w:adjustRightInd w:val="0"/>
        <w:rPr>
          <w:rFonts w:ascii="Arial" w:hAnsi="Arial" w:cs="Arial"/>
          <w:sz w:val="22"/>
          <w:szCs w:val="22"/>
          <w:lang w:eastAsia="cs-CZ"/>
        </w:rPr>
      </w:pPr>
    </w:p>
    <w:p w14:paraId="25994B86" w14:textId="77777777" w:rsidR="00D42621" w:rsidRDefault="00D42621" w:rsidP="00D42621">
      <w:pPr>
        <w:suppressAutoHyphens w:val="0"/>
        <w:autoSpaceDE w:val="0"/>
        <w:autoSpaceDN w:val="0"/>
        <w:adjustRightInd w:val="0"/>
        <w:rPr>
          <w:rFonts w:ascii="Arial" w:hAnsi="Arial" w:cs="Arial"/>
          <w:sz w:val="22"/>
          <w:szCs w:val="22"/>
          <w:lang w:eastAsia="cs-CZ"/>
        </w:rPr>
      </w:pPr>
    </w:p>
    <w:p w14:paraId="04F30CDB" w14:textId="77777777" w:rsidR="00D42621" w:rsidRDefault="00D42621" w:rsidP="00D42621">
      <w:pPr>
        <w:suppressAutoHyphens w:val="0"/>
        <w:autoSpaceDE w:val="0"/>
        <w:autoSpaceDN w:val="0"/>
        <w:adjustRightInd w:val="0"/>
        <w:rPr>
          <w:rFonts w:ascii="Arial" w:hAnsi="Arial" w:cs="Arial"/>
          <w:sz w:val="22"/>
          <w:szCs w:val="22"/>
          <w:lang w:eastAsia="cs-CZ"/>
        </w:rPr>
      </w:pPr>
    </w:p>
    <w:p w14:paraId="7B40D15F" w14:textId="77777777" w:rsidR="00D42621" w:rsidRDefault="00D42621" w:rsidP="00D42621">
      <w:pPr>
        <w:suppressAutoHyphens w:val="0"/>
        <w:autoSpaceDE w:val="0"/>
        <w:autoSpaceDN w:val="0"/>
        <w:adjustRightInd w:val="0"/>
        <w:rPr>
          <w:rFonts w:ascii="Arial" w:hAnsi="Arial" w:cs="Arial"/>
          <w:sz w:val="22"/>
          <w:szCs w:val="22"/>
          <w:lang w:eastAsia="cs-CZ"/>
        </w:rPr>
      </w:pPr>
    </w:p>
    <w:p w14:paraId="00AD22FA" w14:textId="77777777" w:rsidR="00D42621" w:rsidRDefault="00D42621" w:rsidP="00D42621">
      <w:pPr>
        <w:suppressAutoHyphens w:val="0"/>
        <w:autoSpaceDE w:val="0"/>
        <w:autoSpaceDN w:val="0"/>
        <w:adjustRightInd w:val="0"/>
        <w:rPr>
          <w:rFonts w:ascii="Arial" w:hAnsi="Arial" w:cs="Arial"/>
          <w:sz w:val="22"/>
          <w:szCs w:val="22"/>
          <w:lang w:eastAsia="cs-CZ"/>
        </w:rPr>
      </w:pPr>
    </w:p>
    <w:p w14:paraId="0D236EDF" w14:textId="77777777" w:rsidR="00D42621" w:rsidRDefault="00D42621" w:rsidP="00D42621">
      <w:pPr>
        <w:suppressAutoHyphens w:val="0"/>
        <w:autoSpaceDE w:val="0"/>
        <w:autoSpaceDN w:val="0"/>
        <w:adjustRightInd w:val="0"/>
        <w:rPr>
          <w:rFonts w:ascii="Arial" w:hAnsi="Arial" w:cs="Arial"/>
          <w:sz w:val="22"/>
          <w:szCs w:val="22"/>
          <w:lang w:eastAsia="cs-CZ"/>
        </w:rPr>
      </w:pPr>
    </w:p>
    <w:p w14:paraId="23610E46" w14:textId="77777777" w:rsidR="00D42621" w:rsidRDefault="00D42621" w:rsidP="00D42621">
      <w:pPr>
        <w:suppressAutoHyphens w:val="0"/>
        <w:autoSpaceDE w:val="0"/>
        <w:autoSpaceDN w:val="0"/>
        <w:adjustRightInd w:val="0"/>
        <w:rPr>
          <w:rFonts w:ascii="Arial" w:hAnsi="Arial" w:cs="Arial"/>
          <w:sz w:val="22"/>
          <w:szCs w:val="22"/>
          <w:lang w:eastAsia="cs-CZ"/>
        </w:rPr>
      </w:pPr>
    </w:p>
    <w:p w14:paraId="5D6D4751" w14:textId="77777777" w:rsidR="00D42621" w:rsidRDefault="00D42621" w:rsidP="00D42621">
      <w:pPr>
        <w:suppressAutoHyphens w:val="0"/>
        <w:autoSpaceDE w:val="0"/>
        <w:autoSpaceDN w:val="0"/>
        <w:adjustRightInd w:val="0"/>
        <w:rPr>
          <w:rFonts w:ascii="Arial" w:hAnsi="Arial" w:cs="Arial"/>
          <w:sz w:val="22"/>
          <w:szCs w:val="22"/>
          <w:lang w:eastAsia="cs-CZ"/>
        </w:rPr>
      </w:pPr>
    </w:p>
    <w:p w14:paraId="4455D33E" w14:textId="77777777" w:rsidR="00D42621" w:rsidRDefault="00D42621" w:rsidP="00D42621">
      <w:pPr>
        <w:suppressAutoHyphens w:val="0"/>
        <w:autoSpaceDE w:val="0"/>
        <w:autoSpaceDN w:val="0"/>
        <w:adjustRightInd w:val="0"/>
        <w:rPr>
          <w:rFonts w:ascii="Arial" w:hAnsi="Arial" w:cs="Arial"/>
          <w:sz w:val="22"/>
          <w:szCs w:val="22"/>
          <w:lang w:eastAsia="cs-CZ"/>
        </w:rPr>
      </w:pPr>
    </w:p>
    <w:p w14:paraId="2B95C765" w14:textId="77777777" w:rsidR="00D42621" w:rsidRDefault="00D42621" w:rsidP="00D42621">
      <w:pPr>
        <w:suppressAutoHyphens w:val="0"/>
        <w:autoSpaceDE w:val="0"/>
        <w:autoSpaceDN w:val="0"/>
        <w:adjustRightInd w:val="0"/>
        <w:rPr>
          <w:rFonts w:ascii="Arial" w:hAnsi="Arial" w:cs="Arial"/>
          <w:sz w:val="22"/>
          <w:szCs w:val="22"/>
          <w:lang w:eastAsia="cs-CZ"/>
        </w:rPr>
      </w:pPr>
    </w:p>
    <w:p w14:paraId="2C0F2750" w14:textId="77777777" w:rsidR="00D42621" w:rsidRDefault="00D42621" w:rsidP="00D42621">
      <w:pPr>
        <w:suppressAutoHyphens w:val="0"/>
        <w:autoSpaceDE w:val="0"/>
        <w:autoSpaceDN w:val="0"/>
        <w:adjustRightInd w:val="0"/>
        <w:rPr>
          <w:rFonts w:ascii="Arial" w:hAnsi="Arial" w:cs="Arial"/>
          <w:sz w:val="22"/>
          <w:szCs w:val="22"/>
          <w:lang w:eastAsia="cs-CZ"/>
        </w:rPr>
      </w:pPr>
    </w:p>
    <w:p w14:paraId="5C63F5B0" w14:textId="77777777" w:rsidR="00D42621" w:rsidRDefault="00D42621" w:rsidP="00D42621">
      <w:pPr>
        <w:suppressAutoHyphens w:val="0"/>
        <w:autoSpaceDE w:val="0"/>
        <w:autoSpaceDN w:val="0"/>
        <w:adjustRightInd w:val="0"/>
        <w:rPr>
          <w:rFonts w:ascii="Arial" w:hAnsi="Arial" w:cs="Arial"/>
          <w:sz w:val="22"/>
          <w:szCs w:val="22"/>
          <w:lang w:eastAsia="cs-CZ"/>
        </w:rPr>
      </w:pPr>
    </w:p>
    <w:p w14:paraId="01D541AD" w14:textId="77777777" w:rsidR="00D42621" w:rsidRDefault="00D42621" w:rsidP="00D42621">
      <w:pPr>
        <w:suppressAutoHyphens w:val="0"/>
        <w:autoSpaceDE w:val="0"/>
        <w:autoSpaceDN w:val="0"/>
        <w:adjustRightInd w:val="0"/>
        <w:rPr>
          <w:rFonts w:ascii="Arial" w:hAnsi="Arial" w:cs="Arial"/>
          <w:sz w:val="22"/>
          <w:szCs w:val="22"/>
          <w:lang w:eastAsia="cs-CZ"/>
        </w:rPr>
      </w:pPr>
    </w:p>
    <w:p w14:paraId="6D452A10" w14:textId="77777777" w:rsidR="00D42621" w:rsidRDefault="00D42621" w:rsidP="00D42621">
      <w:pPr>
        <w:suppressAutoHyphens w:val="0"/>
        <w:autoSpaceDE w:val="0"/>
        <w:autoSpaceDN w:val="0"/>
        <w:adjustRightInd w:val="0"/>
        <w:rPr>
          <w:rFonts w:ascii="Arial" w:hAnsi="Arial" w:cs="Arial"/>
          <w:sz w:val="22"/>
          <w:szCs w:val="22"/>
          <w:lang w:eastAsia="cs-CZ"/>
        </w:rPr>
      </w:pPr>
    </w:p>
    <w:p w14:paraId="116BAC11" w14:textId="77777777" w:rsidR="00D42621" w:rsidRDefault="00D42621" w:rsidP="00D42621">
      <w:pPr>
        <w:suppressAutoHyphens w:val="0"/>
        <w:autoSpaceDE w:val="0"/>
        <w:autoSpaceDN w:val="0"/>
        <w:adjustRightInd w:val="0"/>
        <w:rPr>
          <w:rFonts w:ascii="Arial" w:hAnsi="Arial" w:cs="Arial"/>
          <w:sz w:val="22"/>
          <w:szCs w:val="22"/>
          <w:lang w:eastAsia="cs-CZ"/>
        </w:rPr>
      </w:pPr>
    </w:p>
    <w:p w14:paraId="6AB4C324" w14:textId="77777777" w:rsidR="00D42621" w:rsidRDefault="00D42621" w:rsidP="00D42621">
      <w:pPr>
        <w:suppressAutoHyphens w:val="0"/>
        <w:autoSpaceDE w:val="0"/>
        <w:autoSpaceDN w:val="0"/>
        <w:adjustRightInd w:val="0"/>
        <w:rPr>
          <w:rFonts w:ascii="Arial" w:hAnsi="Arial" w:cs="Arial"/>
          <w:sz w:val="22"/>
          <w:szCs w:val="22"/>
          <w:lang w:eastAsia="cs-CZ"/>
        </w:rPr>
      </w:pPr>
    </w:p>
    <w:p w14:paraId="33AF3A69" w14:textId="77777777" w:rsidR="00D42621" w:rsidRDefault="00D42621" w:rsidP="00D42621">
      <w:pPr>
        <w:suppressAutoHyphens w:val="0"/>
        <w:autoSpaceDE w:val="0"/>
        <w:autoSpaceDN w:val="0"/>
        <w:adjustRightInd w:val="0"/>
        <w:rPr>
          <w:rFonts w:ascii="Arial" w:hAnsi="Arial" w:cs="Arial"/>
          <w:sz w:val="22"/>
          <w:szCs w:val="22"/>
          <w:lang w:eastAsia="cs-CZ"/>
        </w:rPr>
      </w:pPr>
    </w:p>
    <w:p w14:paraId="64608B0F" w14:textId="77777777" w:rsidR="00D42621" w:rsidRDefault="00D42621" w:rsidP="00D42621">
      <w:pPr>
        <w:suppressAutoHyphens w:val="0"/>
        <w:autoSpaceDE w:val="0"/>
        <w:autoSpaceDN w:val="0"/>
        <w:adjustRightInd w:val="0"/>
        <w:rPr>
          <w:rFonts w:ascii="Arial" w:hAnsi="Arial" w:cs="Arial"/>
          <w:sz w:val="22"/>
          <w:szCs w:val="22"/>
          <w:lang w:eastAsia="cs-CZ"/>
        </w:rPr>
      </w:pPr>
    </w:p>
    <w:p w14:paraId="66C3B223" w14:textId="77777777" w:rsidR="00D42621" w:rsidRDefault="00D42621" w:rsidP="00D42621">
      <w:pPr>
        <w:suppressAutoHyphens w:val="0"/>
        <w:autoSpaceDE w:val="0"/>
        <w:autoSpaceDN w:val="0"/>
        <w:adjustRightInd w:val="0"/>
        <w:rPr>
          <w:rFonts w:ascii="Arial" w:hAnsi="Arial" w:cs="Arial"/>
          <w:sz w:val="22"/>
          <w:szCs w:val="22"/>
          <w:lang w:eastAsia="cs-CZ"/>
        </w:rPr>
      </w:pPr>
    </w:p>
    <w:p w14:paraId="7C95D3EF" w14:textId="77777777" w:rsidR="00D42621" w:rsidRDefault="00D42621" w:rsidP="00D42621">
      <w:pPr>
        <w:suppressAutoHyphens w:val="0"/>
        <w:autoSpaceDE w:val="0"/>
        <w:autoSpaceDN w:val="0"/>
        <w:adjustRightInd w:val="0"/>
        <w:rPr>
          <w:rFonts w:ascii="Arial" w:hAnsi="Arial" w:cs="Arial"/>
          <w:sz w:val="22"/>
          <w:szCs w:val="22"/>
          <w:lang w:eastAsia="cs-CZ"/>
        </w:rPr>
      </w:pPr>
    </w:p>
    <w:p w14:paraId="1AF07542" w14:textId="77777777" w:rsidR="00D42621" w:rsidRDefault="00D42621" w:rsidP="00D42621">
      <w:pPr>
        <w:suppressAutoHyphens w:val="0"/>
        <w:autoSpaceDE w:val="0"/>
        <w:autoSpaceDN w:val="0"/>
        <w:adjustRightInd w:val="0"/>
        <w:rPr>
          <w:rFonts w:ascii="Arial" w:hAnsi="Arial" w:cs="Arial"/>
          <w:sz w:val="22"/>
          <w:szCs w:val="22"/>
          <w:lang w:eastAsia="cs-CZ"/>
        </w:rPr>
      </w:pPr>
    </w:p>
    <w:p w14:paraId="15CF1B27" w14:textId="77777777" w:rsidR="00D42621" w:rsidRDefault="00D42621" w:rsidP="00D42621">
      <w:pPr>
        <w:suppressAutoHyphens w:val="0"/>
        <w:autoSpaceDE w:val="0"/>
        <w:autoSpaceDN w:val="0"/>
        <w:adjustRightInd w:val="0"/>
        <w:rPr>
          <w:rFonts w:ascii="Arial" w:hAnsi="Arial" w:cs="Arial"/>
          <w:sz w:val="22"/>
          <w:szCs w:val="22"/>
          <w:lang w:eastAsia="cs-CZ"/>
        </w:rPr>
      </w:pPr>
    </w:p>
    <w:p w14:paraId="45516728" w14:textId="77777777" w:rsidR="00D42621" w:rsidRDefault="00D42621" w:rsidP="00D42621">
      <w:pPr>
        <w:suppressAutoHyphens w:val="0"/>
        <w:autoSpaceDE w:val="0"/>
        <w:autoSpaceDN w:val="0"/>
        <w:adjustRightInd w:val="0"/>
        <w:rPr>
          <w:rFonts w:ascii="Arial" w:hAnsi="Arial" w:cs="Arial"/>
          <w:sz w:val="22"/>
          <w:szCs w:val="22"/>
          <w:lang w:eastAsia="cs-CZ"/>
        </w:rPr>
      </w:pPr>
    </w:p>
    <w:p w14:paraId="5EEF4804" w14:textId="77777777" w:rsidR="00D42621" w:rsidRDefault="00D42621" w:rsidP="00D42621">
      <w:pPr>
        <w:suppressAutoHyphens w:val="0"/>
        <w:autoSpaceDE w:val="0"/>
        <w:autoSpaceDN w:val="0"/>
        <w:adjustRightInd w:val="0"/>
        <w:rPr>
          <w:rFonts w:ascii="Arial" w:hAnsi="Arial" w:cs="Arial"/>
          <w:sz w:val="22"/>
          <w:szCs w:val="22"/>
          <w:lang w:eastAsia="cs-CZ"/>
        </w:rPr>
      </w:pPr>
    </w:p>
    <w:p w14:paraId="1CAA9D2B" w14:textId="77777777" w:rsidR="00D42621" w:rsidRDefault="00D42621" w:rsidP="00D42621">
      <w:pPr>
        <w:suppressAutoHyphens w:val="0"/>
        <w:autoSpaceDE w:val="0"/>
        <w:autoSpaceDN w:val="0"/>
        <w:adjustRightInd w:val="0"/>
        <w:rPr>
          <w:rFonts w:ascii="Arial" w:hAnsi="Arial" w:cs="Arial"/>
          <w:sz w:val="22"/>
          <w:szCs w:val="22"/>
          <w:lang w:eastAsia="cs-CZ"/>
        </w:rPr>
      </w:pPr>
    </w:p>
    <w:p w14:paraId="585C3AAF" w14:textId="77777777" w:rsidR="00D42621" w:rsidRDefault="00D42621" w:rsidP="00D42621">
      <w:pPr>
        <w:suppressAutoHyphens w:val="0"/>
        <w:autoSpaceDE w:val="0"/>
        <w:autoSpaceDN w:val="0"/>
        <w:adjustRightInd w:val="0"/>
        <w:rPr>
          <w:rFonts w:ascii="Arial" w:hAnsi="Arial" w:cs="Arial"/>
          <w:sz w:val="22"/>
          <w:szCs w:val="22"/>
          <w:lang w:eastAsia="cs-CZ"/>
        </w:rPr>
      </w:pPr>
    </w:p>
    <w:p w14:paraId="65443106" w14:textId="77777777" w:rsidR="00D42621" w:rsidRDefault="00D42621" w:rsidP="00D42621">
      <w:pPr>
        <w:suppressAutoHyphens w:val="0"/>
        <w:autoSpaceDE w:val="0"/>
        <w:autoSpaceDN w:val="0"/>
        <w:adjustRightInd w:val="0"/>
        <w:rPr>
          <w:rFonts w:ascii="Arial" w:hAnsi="Arial" w:cs="Arial"/>
          <w:sz w:val="22"/>
          <w:szCs w:val="22"/>
          <w:lang w:eastAsia="cs-CZ"/>
        </w:rPr>
      </w:pPr>
    </w:p>
    <w:p w14:paraId="0419B123" w14:textId="77777777" w:rsidR="00D42621" w:rsidRDefault="00D42621" w:rsidP="00D42621">
      <w:pPr>
        <w:suppressAutoHyphens w:val="0"/>
        <w:autoSpaceDE w:val="0"/>
        <w:autoSpaceDN w:val="0"/>
        <w:adjustRightInd w:val="0"/>
        <w:rPr>
          <w:rFonts w:ascii="Arial" w:hAnsi="Arial" w:cs="Arial"/>
          <w:sz w:val="22"/>
          <w:szCs w:val="22"/>
          <w:lang w:eastAsia="cs-CZ"/>
        </w:rPr>
      </w:pPr>
    </w:p>
    <w:p w14:paraId="68AD4C27" w14:textId="77777777" w:rsidR="00D42621" w:rsidRDefault="00D42621" w:rsidP="00D42621">
      <w:pPr>
        <w:suppressAutoHyphens w:val="0"/>
        <w:autoSpaceDE w:val="0"/>
        <w:autoSpaceDN w:val="0"/>
        <w:adjustRightInd w:val="0"/>
        <w:rPr>
          <w:rFonts w:ascii="Arial" w:hAnsi="Arial" w:cs="Arial"/>
          <w:sz w:val="22"/>
          <w:szCs w:val="22"/>
          <w:lang w:eastAsia="cs-CZ"/>
        </w:rPr>
      </w:pPr>
    </w:p>
    <w:p w14:paraId="5B4F5619" w14:textId="77777777" w:rsidR="00D42621" w:rsidRDefault="00D42621" w:rsidP="00D42621">
      <w:pPr>
        <w:suppressAutoHyphens w:val="0"/>
        <w:autoSpaceDE w:val="0"/>
        <w:autoSpaceDN w:val="0"/>
        <w:adjustRightInd w:val="0"/>
        <w:rPr>
          <w:rFonts w:ascii="Arial" w:hAnsi="Arial" w:cs="Arial"/>
          <w:sz w:val="22"/>
          <w:szCs w:val="22"/>
          <w:lang w:eastAsia="cs-CZ"/>
        </w:rPr>
      </w:pPr>
    </w:p>
    <w:p w14:paraId="0DA6E66F" w14:textId="77777777" w:rsidR="00D42621" w:rsidRPr="00D42621" w:rsidRDefault="00D42621" w:rsidP="00D42621">
      <w:pPr>
        <w:suppressAutoHyphens w:val="0"/>
        <w:autoSpaceDE w:val="0"/>
        <w:autoSpaceDN w:val="0"/>
        <w:adjustRightInd w:val="0"/>
        <w:rPr>
          <w:rFonts w:ascii="Arial" w:hAnsi="Arial" w:cs="Arial"/>
          <w:b/>
          <w:sz w:val="22"/>
          <w:szCs w:val="22"/>
          <w:lang w:eastAsia="cs-CZ"/>
        </w:rPr>
      </w:pPr>
      <w:r w:rsidRPr="00D42621">
        <w:rPr>
          <w:rFonts w:ascii="Arial" w:hAnsi="Arial" w:cs="Arial"/>
          <w:b/>
          <w:sz w:val="22"/>
          <w:szCs w:val="22"/>
          <w:lang w:eastAsia="cs-CZ"/>
        </w:rPr>
        <w:lastRenderedPageBreak/>
        <w:t>KOGENERAČNÍ JEDNOTKA BYNOV</w:t>
      </w:r>
    </w:p>
    <w:p w14:paraId="56E2F2A2" w14:textId="77777777" w:rsidR="00D42621" w:rsidRPr="00D42621" w:rsidRDefault="00D42621" w:rsidP="00D42621">
      <w:pPr>
        <w:suppressAutoHyphens w:val="0"/>
        <w:autoSpaceDE w:val="0"/>
        <w:autoSpaceDN w:val="0"/>
        <w:adjustRightInd w:val="0"/>
        <w:rPr>
          <w:rFonts w:ascii="Arial" w:hAnsi="Arial" w:cs="Arial"/>
          <w:b/>
          <w:sz w:val="22"/>
          <w:szCs w:val="22"/>
          <w:lang w:eastAsia="cs-CZ"/>
        </w:rPr>
      </w:pPr>
    </w:p>
    <w:p w14:paraId="5B832789" w14:textId="77777777" w:rsidR="00D42621" w:rsidRPr="00D42621" w:rsidRDefault="00D42621" w:rsidP="00D42621">
      <w:pPr>
        <w:suppressAutoHyphens w:val="0"/>
        <w:autoSpaceDE w:val="0"/>
        <w:autoSpaceDN w:val="0"/>
        <w:adjustRightInd w:val="0"/>
        <w:rPr>
          <w:rFonts w:ascii="Arial" w:hAnsi="Arial" w:cs="Arial"/>
          <w:sz w:val="22"/>
          <w:szCs w:val="22"/>
          <w:lang w:eastAsia="cs-CZ"/>
        </w:rPr>
      </w:pPr>
      <w:r w:rsidRPr="00D42621">
        <w:rPr>
          <w:rFonts w:ascii="Arial" w:hAnsi="Arial" w:cs="Arial"/>
          <w:sz w:val="22"/>
          <w:szCs w:val="22"/>
          <w:lang w:eastAsia="cs-CZ"/>
        </w:rPr>
        <w:t>Původně uhelná kotelna byla v roce 1996 nahrazena moderním kogeneračním zdrojem pro</w:t>
      </w:r>
    </w:p>
    <w:p w14:paraId="5190A82E" w14:textId="77777777" w:rsidR="00D42621" w:rsidRPr="00D42621" w:rsidRDefault="00D42621" w:rsidP="00D42621">
      <w:pPr>
        <w:suppressAutoHyphens w:val="0"/>
        <w:autoSpaceDE w:val="0"/>
        <w:autoSpaceDN w:val="0"/>
        <w:adjustRightInd w:val="0"/>
        <w:rPr>
          <w:rFonts w:ascii="Arial" w:hAnsi="Arial" w:cs="Arial"/>
          <w:sz w:val="22"/>
          <w:szCs w:val="22"/>
          <w:lang w:eastAsia="cs-CZ"/>
        </w:rPr>
      </w:pPr>
      <w:r w:rsidRPr="00D42621">
        <w:rPr>
          <w:rFonts w:ascii="Arial" w:hAnsi="Arial" w:cs="Arial"/>
          <w:sz w:val="22"/>
          <w:szCs w:val="22"/>
          <w:lang w:eastAsia="cs-CZ"/>
        </w:rPr>
        <w:t>výrobu tepla a elektřiny. Spolu s výstavbou zdroje byla vybudována i nová teplovodní síť, která</w:t>
      </w:r>
    </w:p>
    <w:p w14:paraId="3590DEC1" w14:textId="77777777" w:rsidR="00D42621" w:rsidRPr="00D42621" w:rsidRDefault="00D42621" w:rsidP="00D42621">
      <w:pPr>
        <w:suppressAutoHyphens w:val="0"/>
        <w:autoSpaceDE w:val="0"/>
        <w:autoSpaceDN w:val="0"/>
        <w:adjustRightInd w:val="0"/>
        <w:rPr>
          <w:rFonts w:ascii="Arial" w:hAnsi="Arial" w:cs="Arial"/>
          <w:sz w:val="22"/>
          <w:szCs w:val="22"/>
          <w:lang w:eastAsia="cs-CZ"/>
        </w:rPr>
      </w:pPr>
      <w:r w:rsidRPr="00D42621">
        <w:rPr>
          <w:rFonts w:ascii="Arial" w:hAnsi="Arial" w:cs="Arial"/>
          <w:sz w:val="22"/>
          <w:szCs w:val="22"/>
          <w:lang w:eastAsia="cs-CZ"/>
        </w:rPr>
        <w:t>napájí celkem 49 kompaktních, tlakově nezávislých, výměníkových stanic umístěných v</w:t>
      </w:r>
    </w:p>
    <w:p w14:paraId="11BE5720" w14:textId="77777777" w:rsidR="00D42621" w:rsidRPr="00D42621" w:rsidRDefault="00D42621" w:rsidP="00D42621">
      <w:pPr>
        <w:suppressAutoHyphens w:val="0"/>
        <w:autoSpaceDE w:val="0"/>
        <w:autoSpaceDN w:val="0"/>
        <w:adjustRightInd w:val="0"/>
        <w:rPr>
          <w:rFonts w:ascii="Arial" w:hAnsi="Arial" w:cs="Arial"/>
          <w:sz w:val="22"/>
          <w:szCs w:val="22"/>
          <w:lang w:eastAsia="cs-CZ"/>
        </w:rPr>
      </w:pPr>
      <w:r w:rsidRPr="00D42621">
        <w:rPr>
          <w:rFonts w:ascii="Arial" w:hAnsi="Arial" w:cs="Arial"/>
          <w:sz w:val="22"/>
          <w:szCs w:val="22"/>
          <w:lang w:eastAsia="cs-CZ"/>
        </w:rPr>
        <w:t>jednotlivých objektech.</w:t>
      </w:r>
    </w:p>
    <w:p w14:paraId="4E212544" w14:textId="77777777" w:rsidR="00D42621" w:rsidRPr="00D42621" w:rsidRDefault="00D42621" w:rsidP="00D42621">
      <w:pPr>
        <w:suppressAutoHyphens w:val="0"/>
        <w:autoSpaceDE w:val="0"/>
        <w:autoSpaceDN w:val="0"/>
        <w:adjustRightInd w:val="0"/>
        <w:rPr>
          <w:rFonts w:ascii="Arial" w:hAnsi="Arial" w:cs="Arial"/>
          <w:sz w:val="22"/>
          <w:szCs w:val="22"/>
          <w:lang w:eastAsia="cs-CZ"/>
        </w:rPr>
      </w:pPr>
    </w:p>
    <w:p w14:paraId="689F75D8"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Zdroj je Vybaven 4 plynovými motory o celkovém tepelném výkonu 7 MW a elektrickém výkonu</w:t>
      </w:r>
    </w:p>
    <w:p w14:paraId="4878DEFF"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5,16 MW. Dále jsou instalovány dva špičkové plynové kotle o výkonu 11 MW. Zdro1 je vybaven</w:t>
      </w:r>
    </w:p>
    <w:p w14:paraId="600FBC52"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akumulátorem tepla (600 m3) s kapacitou 17,5 MWh při teplotním rozdílu 25 st. Celsia (umožní</w:t>
      </w:r>
    </w:p>
    <w:p w14:paraId="56B86DE7"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časově rozlišení výroby tepla a elektřiny).</w:t>
      </w:r>
    </w:p>
    <w:p w14:paraId="7C5D2822"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Prakticky stejný zdroj byl instalován v Želenicích a nahradil stávající uhelnou kotelnu. Na</w:t>
      </w:r>
    </w:p>
    <w:p w14:paraId="1CD98BCD"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stejném principu bude řešen i zdroj CZT Děčín východ, který však navíc bude využívat pomocí</w:t>
      </w:r>
    </w:p>
    <w:p w14:paraId="60D4FD3B"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tepelných čerpadel energii termálních vod v dané lokalitě.</w:t>
      </w:r>
    </w:p>
    <w:p w14:paraId="66039E64"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VYUŽITÍ TERMÁLNÍCH VOD</w:t>
      </w:r>
    </w:p>
    <w:p w14:paraId="33E059FD"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V řešeném území se nachází celkem 8 pramenů (vrtů) teplé vody. Nejvydatnější je vrt Děčín 1</w:t>
      </w:r>
    </w:p>
    <w:p w14:paraId="40E91BD2"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(koupaliště) o teplotě 27°C a vydatnosti 100 VS. Dále se nachází v řešeném území následující</w:t>
      </w:r>
    </w:p>
    <w:p w14:paraId="49DD2A1F"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vrty : Strojobal Vilsnice (25 l/s), Aluminium (30 VS, 25°C), Lokodepo Rozbělesy (9,3 l/s, ZOOC),</w:t>
      </w:r>
    </w:p>
    <w:p w14:paraId="44A5B124"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Boletice, Křešice . Vrt ve Starém městě (sídliště Chlum) provedla firma Termo a.s. a je</w:t>
      </w:r>
    </w:p>
    <w:p w14:paraId="23898FAA"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využíván jako zdroj teplé užitkové vody (po přihřátí) v sídlišti. Termální voda představuje</w:t>
      </w:r>
    </w:p>
    <w:p w14:paraId="6F594193"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poměrně velký ekologický energetický zdroj. Rozumné a promyšlené využívání tohoto tepelného</w:t>
      </w:r>
    </w:p>
    <w:p w14:paraId="4E3595EB"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a současně i vodního zdroje bude mít pozitivní dopad na ekologii. Nový vrt v těsné blízkosti</w:t>
      </w:r>
    </w:p>
    <w:p w14:paraId="78C53966"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zdroje CZT Děčín - východ (teplota 31 ,7oC) bude využíván pomocí tepelných čerpadel pro Síť</w:t>
      </w:r>
    </w:p>
    <w:p w14:paraId="413806E0"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dodávky tepla do nove vybudované tepelné sítě.</w:t>
      </w:r>
    </w:p>
    <w:p w14:paraId="1D6C8CEE"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686739DC"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5B239DFD" w14:textId="77777777" w:rsidR="00D42621" w:rsidRPr="00D42621" w:rsidRDefault="00D42621" w:rsidP="00D42621">
      <w:pPr>
        <w:suppressAutoHyphens w:val="0"/>
        <w:autoSpaceDE w:val="0"/>
        <w:autoSpaceDN w:val="0"/>
        <w:adjustRightInd w:val="0"/>
        <w:rPr>
          <w:rFonts w:ascii="Arial" w:hAnsi="Arial" w:cs="Arial"/>
          <w:b/>
          <w:lang w:eastAsia="cs-CZ"/>
        </w:rPr>
      </w:pPr>
      <w:r w:rsidRPr="00D42621">
        <w:rPr>
          <w:rFonts w:ascii="Arial" w:hAnsi="Arial" w:cs="Arial"/>
          <w:b/>
          <w:lang w:eastAsia="cs-CZ"/>
        </w:rPr>
        <w:t>l.4. ZASOBOVANI PLYNEM</w:t>
      </w:r>
    </w:p>
    <w:p w14:paraId="0070D06D" w14:textId="77777777" w:rsidR="00D42621" w:rsidRPr="00D42621" w:rsidRDefault="00D42621" w:rsidP="00D42621">
      <w:pPr>
        <w:suppressAutoHyphens w:val="0"/>
        <w:autoSpaceDE w:val="0"/>
        <w:autoSpaceDN w:val="0"/>
        <w:adjustRightInd w:val="0"/>
        <w:rPr>
          <w:rFonts w:ascii="Arial" w:hAnsi="Arial" w:cs="Arial"/>
          <w:b/>
          <w:lang w:eastAsia="cs-CZ"/>
        </w:rPr>
      </w:pPr>
    </w:p>
    <w:p w14:paraId="02F88D17" w14:textId="77777777" w:rsidR="00D42621" w:rsidRPr="00D42621" w:rsidRDefault="00D42621" w:rsidP="00D42621">
      <w:pPr>
        <w:suppressAutoHyphens w:val="0"/>
        <w:autoSpaceDE w:val="0"/>
        <w:autoSpaceDN w:val="0"/>
        <w:adjustRightInd w:val="0"/>
        <w:rPr>
          <w:rFonts w:ascii="Arial" w:hAnsi="Arial" w:cs="Arial"/>
          <w:b/>
          <w:sz w:val="20"/>
          <w:lang w:eastAsia="cs-CZ"/>
        </w:rPr>
      </w:pPr>
      <w:r w:rsidRPr="00D42621">
        <w:rPr>
          <w:rFonts w:ascii="Arial" w:hAnsi="Arial" w:cs="Arial"/>
          <w:b/>
          <w:sz w:val="22"/>
          <w:lang w:eastAsia="cs-CZ"/>
        </w:rPr>
        <w:t>I.4.1. VYSOKOTLAKÉ PLYNOVODY A REGULAČNÍ STANICE</w:t>
      </w:r>
    </w:p>
    <w:p w14:paraId="14495445"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5C32A0C9"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V současné době je město zásobováno zemním plynem z vysokotlakého plynovodu Blankartice</w:t>
      </w:r>
    </w:p>
    <w:p w14:paraId="1D4F15AD"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Děčín (DN 200, PN 25) a Chuděrov - Podmokly (DN 200, PN 25). Oba plynovody jsou propojeny na</w:t>
      </w:r>
    </w:p>
    <w:p w14:paraId="7DFF5720"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železničním mostě přes Labe. Vzhledem k rozsáhlé plynofikaci levobřežní části města a výstavby</w:t>
      </w:r>
    </w:p>
    <w:p w14:paraId="47BE5931"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kogenerační jednotky v Bynově, byla navržena výstavba vysokotlakého plynovodu DN 300/200 Chlumec</w:t>
      </w:r>
    </w:p>
    <w:p w14:paraId="6C707C4C"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Martiněves. Regulační stanice VTL/STL je umístěna v Martiněvsi a její středotlaký vývod výrazně</w:t>
      </w:r>
    </w:p>
    <w:p w14:paraId="325D6519"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posílil napájení středotlaké městské sítě. Bude možné plynofikovat tepelné zdroje podél trasy</w:t>
      </w:r>
    </w:p>
    <w:p w14:paraId="43FC42BA"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středotlakého plynovodu.</w:t>
      </w:r>
    </w:p>
    <w:p w14:paraId="3F98C0D2"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622A1DAA"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Město Děčín bylo částečně převedeno na zemní plyn v roce 1994, dokončení převodu</w:t>
      </w:r>
    </w:p>
    <w:p w14:paraId="04C0F9BF"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bylo realizováno v květnu 1995.</w:t>
      </w:r>
    </w:p>
    <w:p w14:paraId="7A39D8F1"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18449D79"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1B59F19E"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6496F8E3" w14:textId="77777777" w:rsidR="00D42621" w:rsidRPr="00D42621" w:rsidRDefault="00D42621" w:rsidP="00D42621">
      <w:pPr>
        <w:suppressAutoHyphens w:val="0"/>
        <w:autoSpaceDE w:val="0"/>
        <w:autoSpaceDN w:val="0"/>
        <w:adjustRightInd w:val="0"/>
        <w:rPr>
          <w:rFonts w:ascii="Arial" w:hAnsi="Arial" w:cs="Arial"/>
          <w:sz w:val="20"/>
          <w:lang w:eastAsia="cs-CZ"/>
        </w:rPr>
      </w:pPr>
      <w:r w:rsidRPr="00D42621">
        <w:rPr>
          <w:rFonts w:ascii="Arial" w:hAnsi="Arial" w:cs="Arial"/>
          <w:sz w:val="20"/>
          <w:lang w:eastAsia="cs-CZ"/>
        </w:rPr>
        <w:t xml:space="preserve">PŘEHLED VYSOKOTLAKÝCH REGULAČNÍCH STANIC </w:t>
      </w:r>
    </w:p>
    <w:p w14:paraId="0ED7090A" w14:textId="77777777" w:rsidR="00D42621" w:rsidRPr="00D42621" w:rsidRDefault="00D42621" w:rsidP="00D42621">
      <w:pPr>
        <w:suppressAutoHyphens w:val="0"/>
        <w:autoSpaceDE w:val="0"/>
        <w:autoSpaceDN w:val="0"/>
        <w:adjustRightInd w:val="0"/>
        <w:rPr>
          <w:rFonts w:ascii="Arial" w:hAnsi="Arial" w:cs="Arial"/>
          <w:sz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849"/>
        <w:gridCol w:w="1445"/>
        <w:gridCol w:w="1459"/>
        <w:gridCol w:w="1868"/>
        <w:gridCol w:w="1214"/>
      </w:tblGrid>
      <w:tr w:rsidR="00D42621" w:rsidRPr="00D42621" w14:paraId="17BCFC6D" w14:textId="77777777" w:rsidTr="002D2D45">
        <w:trPr>
          <w:jc w:val="center"/>
        </w:trPr>
        <w:tc>
          <w:tcPr>
            <w:tcW w:w="849" w:type="dxa"/>
            <w:tcBorders>
              <w:top w:val="single" w:sz="6" w:space="0" w:color="auto"/>
              <w:left w:val="single" w:sz="6" w:space="0" w:color="auto"/>
              <w:bottom w:val="single" w:sz="6" w:space="0" w:color="auto"/>
              <w:right w:val="single" w:sz="6" w:space="0" w:color="auto"/>
            </w:tcBorders>
          </w:tcPr>
          <w:p w14:paraId="6A827FA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označní</w:t>
            </w:r>
          </w:p>
        </w:tc>
        <w:tc>
          <w:tcPr>
            <w:tcW w:w="1445" w:type="dxa"/>
            <w:tcBorders>
              <w:top w:val="single" w:sz="6" w:space="0" w:color="auto"/>
              <w:left w:val="single" w:sz="6" w:space="0" w:color="auto"/>
              <w:bottom w:val="single" w:sz="6" w:space="0" w:color="auto"/>
              <w:right w:val="single" w:sz="6" w:space="0" w:color="auto"/>
            </w:tcBorders>
          </w:tcPr>
          <w:p w14:paraId="2B68EEC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název</w:t>
            </w:r>
          </w:p>
        </w:tc>
        <w:tc>
          <w:tcPr>
            <w:tcW w:w="1459" w:type="dxa"/>
            <w:tcBorders>
              <w:top w:val="single" w:sz="6" w:space="0" w:color="auto"/>
              <w:left w:val="single" w:sz="6" w:space="0" w:color="auto"/>
              <w:bottom w:val="single" w:sz="6" w:space="0" w:color="auto"/>
              <w:right w:val="single" w:sz="6" w:space="0" w:color="auto"/>
            </w:tcBorders>
          </w:tcPr>
          <w:p w14:paraId="739D4DD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provozovatel</w:t>
            </w:r>
          </w:p>
        </w:tc>
        <w:tc>
          <w:tcPr>
            <w:tcW w:w="1868" w:type="dxa"/>
            <w:tcBorders>
              <w:top w:val="single" w:sz="6" w:space="0" w:color="auto"/>
              <w:left w:val="single" w:sz="6" w:space="0" w:color="auto"/>
              <w:bottom w:val="single" w:sz="6" w:space="0" w:color="auto"/>
              <w:right w:val="single" w:sz="6" w:space="0" w:color="auto"/>
            </w:tcBorders>
          </w:tcPr>
          <w:p w14:paraId="74BF18A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výkon ( m</w:t>
            </w:r>
            <w:r w:rsidRPr="00D42621">
              <w:rPr>
                <w:rFonts w:ascii="Arial" w:hAnsi="Arial"/>
                <w:b/>
                <w:bCs/>
                <w:color w:val="000000"/>
                <w:position w:val="6"/>
                <w:sz w:val="18"/>
                <w:szCs w:val="18"/>
                <w:lang w:eastAsia="cs-CZ"/>
              </w:rPr>
              <w:t>3</w:t>
            </w:r>
            <w:r w:rsidRPr="00D42621">
              <w:rPr>
                <w:rFonts w:ascii="Arial" w:hAnsi="Arial"/>
                <w:b/>
                <w:bCs/>
                <w:color w:val="000000"/>
                <w:sz w:val="18"/>
                <w:szCs w:val="18"/>
                <w:lang w:eastAsia="cs-CZ"/>
              </w:rPr>
              <w:t xml:space="preserve"> / hod )</w:t>
            </w:r>
          </w:p>
        </w:tc>
        <w:tc>
          <w:tcPr>
            <w:tcW w:w="1214" w:type="dxa"/>
            <w:tcBorders>
              <w:top w:val="single" w:sz="6" w:space="0" w:color="auto"/>
              <w:left w:val="single" w:sz="6" w:space="0" w:color="auto"/>
              <w:bottom w:val="single" w:sz="6" w:space="0" w:color="auto"/>
              <w:right w:val="single" w:sz="6" w:space="0" w:color="auto"/>
            </w:tcBorders>
          </w:tcPr>
          <w:p w14:paraId="622099E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výstup</w:t>
            </w:r>
          </w:p>
        </w:tc>
      </w:tr>
      <w:tr w:rsidR="00D42621" w:rsidRPr="00D42621" w14:paraId="5D52194D" w14:textId="77777777" w:rsidTr="002D2D45">
        <w:trPr>
          <w:jc w:val="center"/>
        </w:trPr>
        <w:tc>
          <w:tcPr>
            <w:tcW w:w="849" w:type="dxa"/>
            <w:tcBorders>
              <w:top w:val="single" w:sz="6" w:space="0" w:color="auto"/>
              <w:left w:val="single" w:sz="6" w:space="0" w:color="auto"/>
              <w:bottom w:val="single" w:sz="6" w:space="0" w:color="auto"/>
              <w:right w:val="single" w:sz="6" w:space="0" w:color="auto"/>
            </w:tcBorders>
          </w:tcPr>
          <w:p w14:paraId="482C9C5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1</w:t>
            </w:r>
          </w:p>
        </w:tc>
        <w:tc>
          <w:tcPr>
            <w:tcW w:w="1445" w:type="dxa"/>
            <w:tcBorders>
              <w:top w:val="single" w:sz="6" w:space="0" w:color="auto"/>
              <w:left w:val="single" w:sz="6" w:space="0" w:color="auto"/>
              <w:bottom w:val="single" w:sz="6" w:space="0" w:color="auto"/>
              <w:right w:val="single" w:sz="6" w:space="0" w:color="auto"/>
            </w:tcBorders>
          </w:tcPr>
          <w:p w14:paraId="72769F0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Robělesy</w:t>
            </w:r>
          </w:p>
        </w:tc>
        <w:tc>
          <w:tcPr>
            <w:tcW w:w="1459" w:type="dxa"/>
            <w:tcBorders>
              <w:top w:val="single" w:sz="6" w:space="0" w:color="auto"/>
              <w:left w:val="single" w:sz="6" w:space="0" w:color="auto"/>
              <w:bottom w:val="single" w:sz="6" w:space="0" w:color="auto"/>
              <w:right w:val="single" w:sz="6" w:space="0" w:color="auto"/>
            </w:tcBorders>
          </w:tcPr>
          <w:p w14:paraId="4BBFBF3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SčP a.s.</w:t>
            </w:r>
          </w:p>
        </w:tc>
        <w:tc>
          <w:tcPr>
            <w:tcW w:w="1868" w:type="dxa"/>
            <w:tcBorders>
              <w:top w:val="single" w:sz="6" w:space="0" w:color="auto"/>
              <w:left w:val="single" w:sz="6" w:space="0" w:color="auto"/>
              <w:bottom w:val="single" w:sz="6" w:space="0" w:color="auto"/>
              <w:right w:val="single" w:sz="6" w:space="0" w:color="auto"/>
            </w:tcBorders>
          </w:tcPr>
          <w:p w14:paraId="161660C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8 000</w:t>
            </w:r>
          </w:p>
        </w:tc>
        <w:tc>
          <w:tcPr>
            <w:tcW w:w="1214" w:type="dxa"/>
            <w:tcBorders>
              <w:top w:val="single" w:sz="6" w:space="0" w:color="auto"/>
              <w:left w:val="single" w:sz="6" w:space="0" w:color="auto"/>
              <w:bottom w:val="single" w:sz="6" w:space="0" w:color="auto"/>
              <w:right w:val="single" w:sz="6" w:space="0" w:color="auto"/>
            </w:tcBorders>
          </w:tcPr>
          <w:p w14:paraId="738C02B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NTL, STL</w:t>
            </w:r>
          </w:p>
        </w:tc>
      </w:tr>
      <w:tr w:rsidR="00D42621" w:rsidRPr="00D42621" w14:paraId="55F5B65F" w14:textId="77777777" w:rsidTr="002D2D45">
        <w:trPr>
          <w:jc w:val="center"/>
        </w:trPr>
        <w:tc>
          <w:tcPr>
            <w:tcW w:w="849" w:type="dxa"/>
            <w:tcBorders>
              <w:top w:val="single" w:sz="6" w:space="0" w:color="auto"/>
              <w:left w:val="single" w:sz="6" w:space="0" w:color="auto"/>
              <w:bottom w:val="single" w:sz="6" w:space="0" w:color="auto"/>
              <w:right w:val="single" w:sz="6" w:space="0" w:color="auto"/>
            </w:tcBorders>
          </w:tcPr>
          <w:p w14:paraId="31A1769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2</w:t>
            </w:r>
          </w:p>
        </w:tc>
        <w:tc>
          <w:tcPr>
            <w:tcW w:w="1445" w:type="dxa"/>
            <w:tcBorders>
              <w:top w:val="single" w:sz="6" w:space="0" w:color="auto"/>
              <w:left w:val="single" w:sz="6" w:space="0" w:color="auto"/>
              <w:bottom w:val="single" w:sz="6" w:space="0" w:color="auto"/>
              <w:right w:val="single" w:sz="6" w:space="0" w:color="auto"/>
            </w:tcBorders>
          </w:tcPr>
          <w:p w14:paraId="1A4E591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Želenice</w:t>
            </w:r>
          </w:p>
        </w:tc>
        <w:tc>
          <w:tcPr>
            <w:tcW w:w="1459" w:type="dxa"/>
            <w:tcBorders>
              <w:top w:val="single" w:sz="6" w:space="0" w:color="auto"/>
              <w:left w:val="single" w:sz="6" w:space="0" w:color="auto"/>
              <w:bottom w:val="single" w:sz="6" w:space="0" w:color="auto"/>
              <w:right w:val="single" w:sz="6" w:space="0" w:color="auto"/>
            </w:tcBorders>
          </w:tcPr>
          <w:p w14:paraId="4ABD8F7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SšP a.s.</w:t>
            </w:r>
          </w:p>
        </w:tc>
        <w:tc>
          <w:tcPr>
            <w:tcW w:w="1868" w:type="dxa"/>
            <w:tcBorders>
              <w:top w:val="single" w:sz="6" w:space="0" w:color="auto"/>
              <w:left w:val="single" w:sz="6" w:space="0" w:color="auto"/>
              <w:bottom w:val="single" w:sz="6" w:space="0" w:color="auto"/>
              <w:right w:val="single" w:sz="6" w:space="0" w:color="auto"/>
            </w:tcBorders>
          </w:tcPr>
          <w:p w14:paraId="6535B1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5 000</w:t>
            </w:r>
          </w:p>
        </w:tc>
        <w:tc>
          <w:tcPr>
            <w:tcW w:w="1214" w:type="dxa"/>
            <w:tcBorders>
              <w:top w:val="single" w:sz="6" w:space="0" w:color="auto"/>
              <w:left w:val="single" w:sz="6" w:space="0" w:color="auto"/>
              <w:bottom w:val="single" w:sz="6" w:space="0" w:color="auto"/>
              <w:right w:val="single" w:sz="6" w:space="0" w:color="auto"/>
            </w:tcBorders>
          </w:tcPr>
          <w:p w14:paraId="57EA637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NTL, STL</w:t>
            </w:r>
          </w:p>
        </w:tc>
      </w:tr>
      <w:tr w:rsidR="00D42621" w:rsidRPr="00D42621" w14:paraId="0EE4B1E6" w14:textId="77777777" w:rsidTr="002D2D45">
        <w:trPr>
          <w:jc w:val="center"/>
        </w:trPr>
        <w:tc>
          <w:tcPr>
            <w:tcW w:w="849" w:type="dxa"/>
            <w:tcBorders>
              <w:top w:val="single" w:sz="6" w:space="0" w:color="auto"/>
              <w:left w:val="single" w:sz="6" w:space="0" w:color="auto"/>
              <w:bottom w:val="single" w:sz="6" w:space="0" w:color="auto"/>
              <w:right w:val="single" w:sz="6" w:space="0" w:color="auto"/>
            </w:tcBorders>
          </w:tcPr>
          <w:p w14:paraId="4E624F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3</w:t>
            </w:r>
          </w:p>
        </w:tc>
        <w:tc>
          <w:tcPr>
            <w:tcW w:w="1445" w:type="dxa"/>
            <w:tcBorders>
              <w:top w:val="single" w:sz="6" w:space="0" w:color="auto"/>
              <w:left w:val="single" w:sz="6" w:space="0" w:color="auto"/>
              <w:bottom w:val="single" w:sz="6" w:space="0" w:color="auto"/>
              <w:right w:val="single" w:sz="6" w:space="0" w:color="auto"/>
            </w:tcBorders>
          </w:tcPr>
          <w:p w14:paraId="2CA102C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Chrochvice</w:t>
            </w:r>
          </w:p>
        </w:tc>
        <w:tc>
          <w:tcPr>
            <w:tcW w:w="1459" w:type="dxa"/>
            <w:tcBorders>
              <w:top w:val="single" w:sz="6" w:space="0" w:color="auto"/>
              <w:left w:val="single" w:sz="6" w:space="0" w:color="auto"/>
              <w:bottom w:val="single" w:sz="6" w:space="0" w:color="auto"/>
              <w:right w:val="single" w:sz="6" w:space="0" w:color="auto"/>
            </w:tcBorders>
          </w:tcPr>
          <w:p w14:paraId="37F4514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SčP a.s.</w:t>
            </w:r>
          </w:p>
        </w:tc>
        <w:tc>
          <w:tcPr>
            <w:tcW w:w="1868" w:type="dxa"/>
            <w:tcBorders>
              <w:top w:val="single" w:sz="6" w:space="0" w:color="auto"/>
              <w:left w:val="single" w:sz="6" w:space="0" w:color="auto"/>
              <w:bottom w:val="single" w:sz="6" w:space="0" w:color="auto"/>
              <w:right w:val="single" w:sz="6" w:space="0" w:color="auto"/>
            </w:tcBorders>
          </w:tcPr>
          <w:p w14:paraId="32DFDBF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1 200</w:t>
            </w:r>
          </w:p>
        </w:tc>
        <w:tc>
          <w:tcPr>
            <w:tcW w:w="1214" w:type="dxa"/>
            <w:tcBorders>
              <w:top w:val="single" w:sz="6" w:space="0" w:color="auto"/>
              <w:left w:val="single" w:sz="6" w:space="0" w:color="auto"/>
              <w:bottom w:val="single" w:sz="6" w:space="0" w:color="auto"/>
              <w:right w:val="single" w:sz="6" w:space="0" w:color="auto"/>
            </w:tcBorders>
          </w:tcPr>
          <w:p w14:paraId="5106D9F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NTL</w:t>
            </w:r>
          </w:p>
        </w:tc>
      </w:tr>
      <w:tr w:rsidR="00D42621" w:rsidRPr="00D42621" w14:paraId="3B5E571D" w14:textId="77777777" w:rsidTr="002D2D45">
        <w:trPr>
          <w:jc w:val="center"/>
        </w:trPr>
        <w:tc>
          <w:tcPr>
            <w:tcW w:w="849" w:type="dxa"/>
            <w:tcBorders>
              <w:top w:val="single" w:sz="6" w:space="0" w:color="auto"/>
              <w:left w:val="single" w:sz="6" w:space="0" w:color="auto"/>
              <w:bottom w:val="single" w:sz="6" w:space="0" w:color="auto"/>
              <w:right w:val="single" w:sz="6" w:space="0" w:color="auto"/>
            </w:tcBorders>
          </w:tcPr>
          <w:p w14:paraId="76897DD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4</w:t>
            </w:r>
          </w:p>
        </w:tc>
        <w:tc>
          <w:tcPr>
            <w:tcW w:w="1445" w:type="dxa"/>
            <w:tcBorders>
              <w:top w:val="single" w:sz="6" w:space="0" w:color="auto"/>
              <w:left w:val="single" w:sz="6" w:space="0" w:color="auto"/>
              <w:bottom w:val="single" w:sz="6" w:space="0" w:color="auto"/>
              <w:right w:val="single" w:sz="6" w:space="0" w:color="auto"/>
            </w:tcBorders>
          </w:tcPr>
          <w:p w14:paraId="13AED27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Litoměřická</w:t>
            </w:r>
          </w:p>
        </w:tc>
        <w:tc>
          <w:tcPr>
            <w:tcW w:w="1459" w:type="dxa"/>
            <w:tcBorders>
              <w:top w:val="single" w:sz="6" w:space="0" w:color="auto"/>
              <w:left w:val="single" w:sz="6" w:space="0" w:color="auto"/>
              <w:bottom w:val="single" w:sz="6" w:space="0" w:color="auto"/>
              <w:right w:val="single" w:sz="6" w:space="0" w:color="auto"/>
            </w:tcBorders>
          </w:tcPr>
          <w:p w14:paraId="34CDF6A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SšP a.s.</w:t>
            </w:r>
          </w:p>
        </w:tc>
        <w:tc>
          <w:tcPr>
            <w:tcW w:w="1868" w:type="dxa"/>
            <w:tcBorders>
              <w:top w:val="single" w:sz="6" w:space="0" w:color="auto"/>
              <w:left w:val="single" w:sz="6" w:space="0" w:color="auto"/>
              <w:bottom w:val="single" w:sz="6" w:space="0" w:color="auto"/>
              <w:right w:val="single" w:sz="6" w:space="0" w:color="auto"/>
            </w:tcBorders>
          </w:tcPr>
          <w:p w14:paraId="5C7B439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4 000</w:t>
            </w:r>
          </w:p>
        </w:tc>
        <w:tc>
          <w:tcPr>
            <w:tcW w:w="1214" w:type="dxa"/>
            <w:tcBorders>
              <w:top w:val="single" w:sz="6" w:space="0" w:color="auto"/>
              <w:left w:val="single" w:sz="6" w:space="0" w:color="auto"/>
              <w:bottom w:val="single" w:sz="6" w:space="0" w:color="auto"/>
              <w:right w:val="single" w:sz="6" w:space="0" w:color="auto"/>
            </w:tcBorders>
          </w:tcPr>
          <w:p w14:paraId="7FDC240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NTL, STL</w:t>
            </w:r>
          </w:p>
        </w:tc>
      </w:tr>
      <w:tr w:rsidR="00D42621" w:rsidRPr="00D42621" w14:paraId="2ED38B41" w14:textId="77777777" w:rsidTr="002D2D45">
        <w:trPr>
          <w:jc w:val="center"/>
        </w:trPr>
        <w:tc>
          <w:tcPr>
            <w:tcW w:w="849" w:type="dxa"/>
            <w:tcBorders>
              <w:top w:val="single" w:sz="6" w:space="0" w:color="auto"/>
              <w:left w:val="single" w:sz="6" w:space="0" w:color="auto"/>
              <w:bottom w:val="single" w:sz="6" w:space="0" w:color="auto"/>
              <w:right w:val="single" w:sz="6" w:space="0" w:color="auto"/>
            </w:tcBorders>
          </w:tcPr>
          <w:p w14:paraId="2D40CD1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5</w:t>
            </w:r>
          </w:p>
        </w:tc>
        <w:tc>
          <w:tcPr>
            <w:tcW w:w="1445" w:type="dxa"/>
            <w:tcBorders>
              <w:top w:val="single" w:sz="6" w:space="0" w:color="auto"/>
              <w:left w:val="single" w:sz="6" w:space="0" w:color="auto"/>
              <w:bottom w:val="single" w:sz="6" w:space="0" w:color="auto"/>
              <w:right w:val="single" w:sz="6" w:space="0" w:color="auto"/>
            </w:tcBorders>
          </w:tcPr>
          <w:p w14:paraId="2A082E1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Boletice</w:t>
            </w:r>
          </w:p>
        </w:tc>
        <w:tc>
          <w:tcPr>
            <w:tcW w:w="1459" w:type="dxa"/>
            <w:tcBorders>
              <w:top w:val="single" w:sz="6" w:space="0" w:color="auto"/>
              <w:left w:val="single" w:sz="6" w:space="0" w:color="auto"/>
              <w:bottom w:val="single" w:sz="6" w:space="0" w:color="auto"/>
              <w:right w:val="single" w:sz="6" w:space="0" w:color="auto"/>
            </w:tcBorders>
          </w:tcPr>
          <w:p w14:paraId="16DC05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SčP a.s.</w:t>
            </w:r>
          </w:p>
        </w:tc>
        <w:tc>
          <w:tcPr>
            <w:tcW w:w="1868" w:type="dxa"/>
            <w:tcBorders>
              <w:top w:val="single" w:sz="6" w:space="0" w:color="auto"/>
              <w:left w:val="single" w:sz="6" w:space="0" w:color="auto"/>
              <w:bottom w:val="single" w:sz="6" w:space="0" w:color="auto"/>
              <w:right w:val="single" w:sz="6" w:space="0" w:color="auto"/>
            </w:tcBorders>
          </w:tcPr>
          <w:p w14:paraId="11D2FDA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1 200</w:t>
            </w:r>
          </w:p>
        </w:tc>
        <w:tc>
          <w:tcPr>
            <w:tcW w:w="1214" w:type="dxa"/>
            <w:tcBorders>
              <w:top w:val="single" w:sz="6" w:space="0" w:color="auto"/>
              <w:left w:val="single" w:sz="6" w:space="0" w:color="auto"/>
              <w:bottom w:val="single" w:sz="6" w:space="0" w:color="auto"/>
              <w:right w:val="single" w:sz="6" w:space="0" w:color="auto"/>
            </w:tcBorders>
          </w:tcPr>
          <w:p w14:paraId="665A3C9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NTL, STL</w:t>
            </w:r>
          </w:p>
        </w:tc>
      </w:tr>
      <w:tr w:rsidR="00D42621" w:rsidRPr="00D42621" w14:paraId="53D0C6FF" w14:textId="77777777" w:rsidTr="002D2D45">
        <w:trPr>
          <w:jc w:val="center"/>
        </w:trPr>
        <w:tc>
          <w:tcPr>
            <w:tcW w:w="849" w:type="dxa"/>
            <w:tcBorders>
              <w:top w:val="single" w:sz="6" w:space="0" w:color="auto"/>
              <w:left w:val="single" w:sz="6" w:space="0" w:color="auto"/>
              <w:bottom w:val="single" w:sz="6" w:space="0" w:color="auto"/>
              <w:right w:val="single" w:sz="6" w:space="0" w:color="auto"/>
            </w:tcBorders>
          </w:tcPr>
          <w:p w14:paraId="0492160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6</w:t>
            </w:r>
          </w:p>
        </w:tc>
        <w:tc>
          <w:tcPr>
            <w:tcW w:w="1445" w:type="dxa"/>
            <w:tcBorders>
              <w:top w:val="single" w:sz="6" w:space="0" w:color="auto"/>
              <w:left w:val="single" w:sz="6" w:space="0" w:color="auto"/>
              <w:bottom w:val="single" w:sz="6" w:space="0" w:color="auto"/>
              <w:right w:val="single" w:sz="6" w:space="0" w:color="auto"/>
            </w:tcBorders>
          </w:tcPr>
          <w:p w14:paraId="7362F29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 xml:space="preserve">Děčín východ </w:t>
            </w:r>
          </w:p>
        </w:tc>
        <w:tc>
          <w:tcPr>
            <w:tcW w:w="1459" w:type="dxa"/>
            <w:tcBorders>
              <w:top w:val="single" w:sz="6" w:space="0" w:color="auto"/>
              <w:left w:val="single" w:sz="6" w:space="0" w:color="auto"/>
              <w:bottom w:val="single" w:sz="6" w:space="0" w:color="auto"/>
              <w:right w:val="single" w:sz="6" w:space="0" w:color="auto"/>
            </w:tcBorders>
          </w:tcPr>
          <w:p w14:paraId="3601569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SčP a.s.</w:t>
            </w:r>
          </w:p>
        </w:tc>
        <w:tc>
          <w:tcPr>
            <w:tcW w:w="1868" w:type="dxa"/>
            <w:tcBorders>
              <w:top w:val="single" w:sz="6" w:space="0" w:color="auto"/>
              <w:left w:val="single" w:sz="6" w:space="0" w:color="auto"/>
              <w:bottom w:val="single" w:sz="6" w:space="0" w:color="auto"/>
              <w:right w:val="single" w:sz="6" w:space="0" w:color="auto"/>
            </w:tcBorders>
          </w:tcPr>
          <w:p w14:paraId="6C646AB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10 000</w:t>
            </w:r>
          </w:p>
        </w:tc>
        <w:tc>
          <w:tcPr>
            <w:tcW w:w="1214" w:type="dxa"/>
            <w:tcBorders>
              <w:top w:val="single" w:sz="6" w:space="0" w:color="auto"/>
              <w:left w:val="single" w:sz="6" w:space="0" w:color="auto"/>
              <w:bottom w:val="single" w:sz="6" w:space="0" w:color="auto"/>
              <w:right w:val="single" w:sz="6" w:space="0" w:color="auto"/>
            </w:tcBorders>
          </w:tcPr>
          <w:p w14:paraId="635F230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STL</w:t>
            </w:r>
          </w:p>
        </w:tc>
      </w:tr>
      <w:tr w:rsidR="00D42621" w:rsidRPr="00D42621" w14:paraId="14D86C79" w14:textId="77777777" w:rsidTr="002D2D45">
        <w:trPr>
          <w:jc w:val="center"/>
        </w:trPr>
        <w:tc>
          <w:tcPr>
            <w:tcW w:w="849" w:type="dxa"/>
            <w:tcBorders>
              <w:top w:val="single" w:sz="6" w:space="0" w:color="auto"/>
              <w:left w:val="single" w:sz="6" w:space="0" w:color="auto"/>
              <w:bottom w:val="single" w:sz="6" w:space="0" w:color="auto"/>
              <w:right w:val="single" w:sz="6" w:space="0" w:color="auto"/>
            </w:tcBorders>
          </w:tcPr>
          <w:p w14:paraId="0B6F089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7</w:t>
            </w:r>
          </w:p>
        </w:tc>
        <w:tc>
          <w:tcPr>
            <w:tcW w:w="1445" w:type="dxa"/>
            <w:tcBorders>
              <w:top w:val="single" w:sz="6" w:space="0" w:color="auto"/>
              <w:left w:val="single" w:sz="6" w:space="0" w:color="auto"/>
              <w:bottom w:val="single" w:sz="6" w:space="0" w:color="auto"/>
              <w:right w:val="single" w:sz="6" w:space="0" w:color="auto"/>
            </w:tcBorders>
          </w:tcPr>
          <w:p w14:paraId="3DA96E8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Vilsnice</w:t>
            </w:r>
          </w:p>
        </w:tc>
        <w:tc>
          <w:tcPr>
            <w:tcW w:w="1459" w:type="dxa"/>
            <w:tcBorders>
              <w:top w:val="single" w:sz="6" w:space="0" w:color="auto"/>
              <w:left w:val="single" w:sz="6" w:space="0" w:color="auto"/>
              <w:bottom w:val="single" w:sz="6" w:space="0" w:color="auto"/>
              <w:right w:val="single" w:sz="6" w:space="0" w:color="auto"/>
            </w:tcBorders>
          </w:tcPr>
          <w:p w14:paraId="280243E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SčP a.s.</w:t>
            </w:r>
          </w:p>
        </w:tc>
        <w:tc>
          <w:tcPr>
            <w:tcW w:w="1868" w:type="dxa"/>
            <w:tcBorders>
              <w:top w:val="single" w:sz="6" w:space="0" w:color="auto"/>
              <w:left w:val="single" w:sz="6" w:space="0" w:color="auto"/>
              <w:bottom w:val="single" w:sz="6" w:space="0" w:color="auto"/>
              <w:right w:val="single" w:sz="6" w:space="0" w:color="auto"/>
            </w:tcBorders>
          </w:tcPr>
          <w:p w14:paraId="79F3CF5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1 200</w:t>
            </w:r>
          </w:p>
        </w:tc>
        <w:tc>
          <w:tcPr>
            <w:tcW w:w="1214" w:type="dxa"/>
            <w:tcBorders>
              <w:top w:val="single" w:sz="6" w:space="0" w:color="auto"/>
              <w:left w:val="single" w:sz="6" w:space="0" w:color="auto"/>
              <w:bottom w:val="single" w:sz="6" w:space="0" w:color="auto"/>
              <w:right w:val="single" w:sz="6" w:space="0" w:color="auto"/>
            </w:tcBorders>
          </w:tcPr>
          <w:p w14:paraId="1966B91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STL</w:t>
            </w:r>
          </w:p>
        </w:tc>
      </w:tr>
      <w:tr w:rsidR="00D42621" w:rsidRPr="00D42621" w14:paraId="6F562B1F" w14:textId="77777777" w:rsidTr="002D2D45">
        <w:trPr>
          <w:jc w:val="center"/>
        </w:trPr>
        <w:tc>
          <w:tcPr>
            <w:tcW w:w="849" w:type="dxa"/>
            <w:tcBorders>
              <w:top w:val="single" w:sz="6" w:space="0" w:color="auto"/>
              <w:left w:val="single" w:sz="6" w:space="0" w:color="auto"/>
              <w:bottom w:val="single" w:sz="6" w:space="0" w:color="auto"/>
              <w:right w:val="single" w:sz="6" w:space="0" w:color="auto"/>
            </w:tcBorders>
          </w:tcPr>
          <w:p w14:paraId="4DC616C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8</w:t>
            </w:r>
          </w:p>
        </w:tc>
        <w:tc>
          <w:tcPr>
            <w:tcW w:w="1445" w:type="dxa"/>
            <w:tcBorders>
              <w:top w:val="single" w:sz="6" w:space="0" w:color="auto"/>
              <w:left w:val="single" w:sz="6" w:space="0" w:color="auto"/>
              <w:bottom w:val="single" w:sz="6" w:space="0" w:color="auto"/>
              <w:right w:val="single" w:sz="6" w:space="0" w:color="auto"/>
            </w:tcBorders>
          </w:tcPr>
          <w:p w14:paraId="4363B7D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Martiněves</w:t>
            </w:r>
          </w:p>
        </w:tc>
        <w:tc>
          <w:tcPr>
            <w:tcW w:w="1459" w:type="dxa"/>
            <w:tcBorders>
              <w:top w:val="single" w:sz="6" w:space="0" w:color="auto"/>
              <w:left w:val="single" w:sz="6" w:space="0" w:color="auto"/>
              <w:bottom w:val="single" w:sz="6" w:space="0" w:color="auto"/>
              <w:right w:val="single" w:sz="6" w:space="0" w:color="auto"/>
            </w:tcBorders>
          </w:tcPr>
          <w:p w14:paraId="638F8E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SšP a.s.</w:t>
            </w:r>
          </w:p>
        </w:tc>
        <w:tc>
          <w:tcPr>
            <w:tcW w:w="1868" w:type="dxa"/>
            <w:tcBorders>
              <w:top w:val="single" w:sz="6" w:space="0" w:color="auto"/>
              <w:left w:val="single" w:sz="6" w:space="0" w:color="auto"/>
              <w:bottom w:val="single" w:sz="6" w:space="0" w:color="auto"/>
              <w:right w:val="single" w:sz="6" w:space="0" w:color="auto"/>
            </w:tcBorders>
          </w:tcPr>
          <w:p w14:paraId="1551892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15 000</w:t>
            </w:r>
          </w:p>
        </w:tc>
        <w:tc>
          <w:tcPr>
            <w:tcW w:w="1214" w:type="dxa"/>
            <w:tcBorders>
              <w:top w:val="single" w:sz="6" w:space="0" w:color="auto"/>
              <w:left w:val="single" w:sz="6" w:space="0" w:color="auto"/>
              <w:bottom w:val="single" w:sz="6" w:space="0" w:color="auto"/>
              <w:right w:val="single" w:sz="6" w:space="0" w:color="auto"/>
            </w:tcBorders>
          </w:tcPr>
          <w:p w14:paraId="7407EE8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STL</w:t>
            </w:r>
          </w:p>
        </w:tc>
      </w:tr>
    </w:tbl>
    <w:p w14:paraId="57C13720"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2A6CB200" w14:textId="77777777" w:rsidR="00D42621" w:rsidRPr="00D42621" w:rsidRDefault="00D42621" w:rsidP="00D42621">
      <w:pPr>
        <w:suppressAutoHyphens w:val="0"/>
        <w:autoSpaceDE w:val="0"/>
        <w:autoSpaceDN w:val="0"/>
        <w:adjustRightInd w:val="0"/>
        <w:spacing w:line="240" w:lineRule="atLeast"/>
        <w:ind w:firstLine="567"/>
        <w:jc w:val="both"/>
        <w:rPr>
          <w:rFonts w:ascii="Arial" w:hAnsi="Arial"/>
          <w:color w:val="000000"/>
          <w:sz w:val="20"/>
          <w:szCs w:val="20"/>
          <w:lang w:eastAsia="cs-CZ"/>
        </w:rPr>
      </w:pPr>
      <w:r w:rsidRPr="00D42621">
        <w:rPr>
          <w:rFonts w:ascii="Arial" w:hAnsi="Arial" w:cs="Arial"/>
          <w:color w:val="000000"/>
          <w:sz w:val="20"/>
          <w:szCs w:val="20"/>
          <w:lang w:eastAsia="cs-CZ"/>
        </w:rPr>
        <w:lastRenderedPageBreak/>
        <w:t xml:space="preserve">      </w:t>
      </w:r>
      <w:r w:rsidRPr="00D42621">
        <w:rPr>
          <w:rFonts w:ascii="Arial" w:hAnsi="Arial" w:cs="Arial"/>
          <w:caps/>
          <w:color w:val="000000"/>
          <w:sz w:val="20"/>
          <w:szCs w:val="20"/>
          <w:lang w:eastAsia="cs-CZ"/>
        </w:rPr>
        <w:t>Vysokotlaké regulační stanice velkoodběratelů z dálkovodu:</w:t>
      </w:r>
    </w:p>
    <w:tbl>
      <w:tblPr>
        <w:tblW w:w="0" w:type="auto"/>
        <w:jc w:val="center"/>
        <w:tblLayout w:type="fixed"/>
        <w:tblCellMar>
          <w:left w:w="70" w:type="dxa"/>
          <w:right w:w="70" w:type="dxa"/>
        </w:tblCellMar>
        <w:tblLook w:val="0000" w:firstRow="0" w:lastRow="0" w:firstColumn="0" w:lastColumn="0" w:noHBand="0" w:noVBand="0"/>
      </w:tblPr>
      <w:tblGrid>
        <w:gridCol w:w="1122"/>
        <w:gridCol w:w="2618"/>
        <w:gridCol w:w="1392"/>
        <w:gridCol w:w="1854"/>
      </w:tblGrid>
      <w:tr w:rsidR="00D42621" w:rsidRPr="00D42621" w14:paraId="5F1F0F47" w14:textId="77777777" w:rsidTr="002D2D45">
        <w:trPr>
          <w:jc w:val="center"/>
        </w:trPr>
        <w:tc>
          <w:tcPr>
            <w:tcW w:w="1122" w:type="dxa"/>
            <w:tcBorders>
              <w:top w:val="single" w:sz="6" w:space="0" w:color="auto"/>
              <w:left w:val="single" w:sz="6" w:space="0" w:color="auto"/>
              <w:bottom w:val="single" w:sz="6" w:space="0" w:color="auto"/>
              <w:right w:val="single" w:sz="6" w:space="0" w:color="auto"/>
            </w:tcBorders>
          </w:tcPr>
          <w:p w14:paraId="26F568A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označení</w:t>
            </w:r>
          </w:p>
        </w:tc>
        <w:tc>
          <w:tcPr>
            <w:tcW w:w="2618" w:type="dxa"/>
            <w:tcBorders>
              <w:top w:val="single" w:sz="6" w:space="0" w:color="auto"/>
              <w:left w:val="single" w:sz="6" w:space="0" w:color="auto"/>
              <w:bottom w:val="single" w:sz="6" w:space="0" w:color="auto"/>
              <w:right w:val="single" w:sz="6" w:space="0" w:color="auto"/>
            </w:tcBorders>
          </w:tcPr>
          <w:p w14:paraId="2FBC2FB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odběratel</w:t>
            </w:r>
          </w:p>
        </w:tc>
        <w:tc>
          <w:tcPr>
            <w:tcW w:w="1392" w:type="dxa"/>
            <w:tcBorders>
              <w:top w:val="single" w:sz="6" w:space="0" w:color="auto"/>
              <w:left w:val="single" w:sz="6" w:space="0" w:color="auto"/>
              <w:bottom w:val="single" w:sz="6" w:space="0" w:color="auto"/>
              <w:right w:val="single" w:sz="6" w:space="0" w:color="auto"/>
            </w:tcBorders>
          </w:tcPr>
          <w:p w14:paraId="617FA55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označení</w:t>
            </w:r>
          </w:p>
        </w:tc>
        <w:tc>
          <w:tcPr>
            <w:tcW w:w="1854" w:type="dxa"/>
            <w:tcBorders>
              <w:top w:val="single" w:sz="6" w:space="0" w:color="auto"/>
              <w:left w:val="single" w:sz="6" w:space="0" w:color="auto"/>
              <w:bottom w:val="single" w:sz="6" w:space="0" w:color="auto"/>
              <w:right w:val="single" w:sz="6" w:space="0" w:color="auto"/>
            </w:tcBorders>
          </w:tcPr>
          <w:p w14:paraId="78F80D3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odběratel</w:t>
            </w:r>
          </w:p>
        </w:tc>
      </w:tr>
      <w:tr w:rsidR="00D42621" w:rsidRPr="00D42621" w14:paraId="0C196C16" w14:textId="77777777" w:rsidTr="002D2D45">
        <w:trPr>
          <w:jc w:val="center"/>
        </w:trPr>
        <w:tc>
          <w:tcPr>
            <w:tcW w:w="1122" w:type="dxa"/>
            <w:tcBorders>
              <w:top w:val="single" w:sz="6" w:space="0" w:color="auto"/>
              <w:left w:val="single" w:sz="6" w:space="0" w:color="auto"/>
              <w:bottom w:val="single" w:sz="6" w:space="0" w:color="auto"/>
              <w:right w:val="single" w:sz="6" w:space="0" w:color="auto"/>
            </w:tcBorders>
          </w:tcPr>
          <w:p w14:paraId="459A080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10</w:t>
            </w:r>
          </w:p>
        </w:tc>
        <w:tc>
          <w:tcPr>
            <w:tcW w:w="2618" w:type="dxa"/>
            <w:tcBorders>
              <w:top w:val="single" w:sz="6" w:space="0" w:color="auto"/>
              <w:left w:val="single" w:sz="6" w:space="0" w:color="auto"/>
              <w:bottom w:val="single" w:sz="6" w:space="0" w:color="auto"/>
              <w:right w:val="single" w:sz="6" w:space="0" w:color="auto"/>
            </w:tcBorders>
          </w:tcPr>
          <w:p w14:paraId="4132202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Grafiatisk Děčín</w:t>
            </w:r>
          </w:p>
        </w:tc>
        <w:tc>
          <w:tcPr>
            <w:tcW w:w="1392" w:type="dxa"/>
            <w:tcBorders>
              <w:top w:val="single" w:sz="6" w:space="0" w:color="auto"/>
              <w:left w:val="single" w:sz="6" w:space="0" w:color="auto"/>
              <w:bottom w:val="single" w:sz="6" w:space="0" w:color="auto"/>
              <w:right w:val="single" w:sz="6" w:space="0" w:color="auto"/>
            </w:tcBorders>
          </w:tcPr>
          <w:p w14:paraId="3B0923F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RV 14</w:t>
            </w:r>
          </w:p>
        </w:tc>
        <w:tc>
          <w:tcPr>
            <w:tcW w:w="1854" w:type="dxa"/>
            <w:tcBorders>
              <w:top w:val="single" w:sz="6" w:space="0" w:color="auto"/>
              <w:left w:val="single" w:sz="6" w:space="0" w:color="auto"/>
              <w:bottom w:val="single" w:sz="6" w:space="0" w:color="auto"/>
              <w:right w:val="single" w:sz="6" w:space="0" w:color="auto"/>
            </w:tcBorders>
          </w:tcPr>
          <w:p w14:paraId="68B53E0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BP kotelna St. Město</w:t>
            </w:r>
          </w:p>
        </w:tc>
      </w:tr>
      <w:tr w:rsidR="00D42621" w:rsidRPr="00D42621" w14:paraId="2780381B" w14:textId="77777777" w:rsidTr="002D2D45">
        <w:trPr>
          <w:jc w:val="center"/>
        </w:trPr>
        <w:tc>
          <w:tcPr>
            <w:tcW w:w="1122" w:type="dxa"/>
            <w:tcBorders>
              <w:top w:val="single" w:sz="6" w:space="0" w:color="auto"/>
              <w:left w:val="single" w:sz="6" w:space="0" w:color="auto"/>
              <w:bottom w:val="single" w:sz="6" w:space="0" w:color="auto"/>
              <w:right w:val="single" w:sz="6" w:space="0" w:color="auto"/>
            </w:tcBorders>
          </w:tcPr>
          <w:p w14:paraId="46543DC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10</w:t>
            </w:r>
          </w:p>
        </w:tc>
        <w:tc>
          <w:tcPr>
            <w:tcW w:w="2618" w:type="dxa"/>
            <w:tcBorders>
              <w:top w:val="single" w:sz="6" w:space="0" w:color="auto"/>
              <w:left w:val="single" w:sz="6" w:space="0" w:color="auto"/>
              <w:bottom w:val="single" w:sz="6" w:space="0" w:color="auto"/>
              <w:right w:val="single" w:sz="6" w:space="0" w:color="auto"/>
            </w:tcBorders>
          </w:tcPr>
          <w:p w14:paraId="28D3584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Kovošrot a.s. Děčín</w:t>
            </w:r>
          </w:p>
        </w:tc>
        <w:tc>
          <w:tcPr>
            <w:tcW w:w="1392" w:type="dxa"/>
            <w:tcBorders>
              <w:top w:val="single" w:sz="6" w:space="0" w:color="auto"/>
              <w:left w:val="single" w:sz="6" w:space="0" w:color="auto"/>
              <w:bottom w:val="single" w:sz="6" w:space="0" w:color="auto"/>
              <w:right w:val="single" w:sz="6" w:space="0" w:color="auto"/>
            </w:tcBorders>
          </w:tcPr>
          <w:p w14:paraId="4EEDA8B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RV 15</w:t>
            </w:r>
          </w:p>
        </w:tc>
        <w:tc>
          <w:tcPr>
            <w:tcW w:w="1854" w:type="dxa"/>
            <w:tcBorders>
              <w:top w:val="single" w:sz="6" w:space="0" w:color="auto"/>
              <w:left w:val="single" w:sz="6" w:space="0" w:color="auto"/>
              <w:bottom w:val="single" w:sz="6" w:space="0" w:color="auto"/>
              <w:right w:val="single" w:sz="6" w:space="0" w:color="auto"/>
            </w:tcBorders>
          </w:tcPr>
          <w:p w14:paraId="0E6DDB3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Sempra Děčín</w:t>
            </w:r>
          </w:p>
        </w:tc>
      </w:tr>
      <w:tr w:rsidR="00D42621" w:rsidRPr="00D42621" w14:paraId="40546102" w14:textId="77777777" w:rsidTr="002D2D45">
        <w:trPr>
          <w:jc w:val="center"/>
        </w:trPr>
        <w:tc>
          <w:tcPr>
            <w:tcW w:w="1122" w:type="dxa"/>
            <w:tcBorders>
              <w:top w:val="single" w:sz="6" w:space="0" w:color="auto"/>
              <w:left w:val="single" w:sz="6" w:space="0" w:color="auto"/>
              <w:bottom w:val="single" w:sz="6" w:space="0" w:color="auto"/>
              <w:right w:val="single" w:sz="6" w:space="0" w:color="auto"/>
            </w:tcBorders>
          </w:tcPr>
          <w:p w14:paraId="7CF53D3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11</w:t>
            </w:r>
          </w:p>
        </w:tc>
        <w:tc>
          <w:tcPr>
            <w:tcW w:w="2618" w:type="dxa"/>
            <w:tcBorders>
              <w:top w:val="single" w:sz="6" w:space="0" w:color="auto"/>
              <w:left w:val="single" w:sz="6" w:space="0" w:color="auto"/>
              <w:bottom w:val="single" w:sz="6" w:space="0" w:color="auto"/>
              <w:right w:val="single" w:sz="6" w:space="0" w:color="auto"/>
            </w:tcBorders>
          </w:tcPr>
          <w:p w14:paraId="67399BC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SILIKE, Keramika Děčín</w:t>
            </w:r>
          </w:p>
        </w:tc>
        <w:tc>
          <w:tcPr>
            <w:tcW w:w="1392" w:type="dxa"/>
            <w:tcBorders>
              <w:top w:val="single" w:sz="6" w:space="0" w:color="auto"/>
              <w:left w:val="single" w:sz="6" w:space="0" w:color="auto"/>
              <w:bottom w:val="single" w:sz="6" w:space="0" w:color="auto"/>
              <w:right w:val="single" w:sz="6" w:space="0" w:color="auto"/>
            </w:tcBorders>
          </w:tcPr>
          <w:p w14:paraId="281906D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RV 16</w:t>
            </w:r>
          </w:p>
        </w:tc>
        <w:tc>
          <w:tcPr>
            <w:tcW w:w="1854" w:type="dxa"/>
            <w:tcBorders>
              <w:top w:val="single" w:sz="6" w:space="0" w:color="auto"/>
              <w:left w:val="single" w:sz="6" w:space="0" w:color="auto"/>
              <w:bottom w:val="single" w:sz="6" w:space="0" w:color="auto"/>
              <w:right w:val="single" w:sz="6" w:space="0" w:color="auto"/>
            </w:tcBorders>
          </w:tcPr>
          <w:p w14:paraId="63293EA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Konzervárny Křešice</w:t>
            </w:r>
          </w:p>
        </w:tc>
      </w:tr>
      <w:tr w:rsidR="00D42621" w:rsidRPr="00D42621" w14:paraId="521A6319" w14:textId="77777777" w:rsidTr="002D2D45">
        <w:trPr>
          <w:jc w:val="center"/>
        </w:trPr>
        <w:tc>
          <w:tcPr>
            <w:tcW w:w="1122" w:type="dxa"/>
            <w:tcBorders>
              <w:top w:val="single" w:sz="6" w:space="0" w:color="auto"/>
              <w:left w:val="single" w:sz="6" w:space="0" w:color="auto"/>
              <w:bottom w:val="single" w:sz="6" w:space="0" w:color="auto"/>
              <w:right w:val="single" w:sz="6" w:space="0" w:color="auto"/>
            </w:tcBorders>
          </w:tcPr>
          <w:p w14:paraId="001A5E4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12</w:t>
            </w:r>
          </w:p>
        </w:tc>
        <w:tc>
          <w:tcPr>
            <w:tcW w:w="2618" w:type="dxa"/>
            <w:tcBorders>
              <w:top w:val="single" w:sz="6" w:space="0" w:color="auto"/>
              <w:left w:val="single" w:sz="6" w:space="0" w:color="auto"/>
              <w:bottom w:val="single" w:sz="6" w:space="0" w:color="auto"/>
              <w:right w:val="single" w:sz="6" w:space="0" w:color="auto"/>
            </w:tcBorders>
          </w:tcPr>
          <w:p w14:paraId="0E9E6C8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Aluminium Děčín</w:t>
            </w:r>
          </w:p>
        </w:tc>
        <w:tc>
          <w:tcPr>
            <w:tcW w:w="1392" w:type="dxa"/>
            <w:tcBorders>
              <w:top w:val="single" w:sz="6" w:space="0" w:color="auto"/>
              <w:left w:val="single" w:sz="6" w:space="0" w:color="auto"/>
              <w:bottom w:val="single" w:sz="6" w:space="0" w:color="auto"/>
              <w:right w:val="single" w:sz="6" w:space="0" w:color="auto"/>
            </w:tcBorders>
          </w:tcPr>
          <w:p w14:paraId="6EB6687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RV 17</w:t>
            </w:r>
          </w:p>
        </w:tc>
        <w:tc>
          <w:tcPr>
            <w:tcW w:w="1854" w:type="dxa"/>
            <w:tcBorders>
              <w:top w:val="single" w:sz="6" w:space="0" w:color="auto"/>
              <w:left w:val="single" w:sz="6" w:space="0" w:color="auto"/>
              <w:bottom w:val="single" w:sz="6" w:space="0" w:color="auto"/>
              <w:right w:val="single" w:sz="6" w:space="0" w:color="auto"/>
            </w:tcBorders>
          </w:tcPr>
          <w:p w14:paraId="66D3456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Loděnice Boletice</w:t>
            </w:r>
          </w:p>
        </w:tc>
      </w:tr>
      <w:tr w:rsidR="00D42621" w:rsidRPr="00D42621" w14:paraId="3408D311" w14:textId="77777777" w:rsidTr="002D2D45">
        <w:trPr>
          <w:jc w:val="center"/>
        </w:trPr>
        <w:tc>
          <w:tcPr>
            <w:tcW w:w="1122" w:type="dxa"/>
            <w:tcBorders>
              <w:top w:val="single" w:sz="6" w:space="0" w:color="auto"/>
              <w:left w:val="single" w:sz="6" w:space="0" w:color="auto"/>
              <w:bottom w:val="single" w:sz="6" w:space="0" w:color="auto"/>
              <w:right w:val="single" w:sz="6" w:space="0" w:color="auto"/>
            </w:tcBorders>
          </w:tcPr>
          <w:p w14:paraId="5958986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RV 13</w:t>
            </w:r>
          </w:p>
        </w:tc>
        <w:tc>
          <w:tcPr>
            <w:tcW w:w="2618" w:type="dxa"/>
            <w:tcBorders>
              <w:top w:val="single" w:sz="6" w:space="0" w:color="auto"/>
              <w:left w:val="single" w:sz="6" w:space="0" w:color="auto"/>
              <w:bottom w:val="single" w:sz="6" w:space="0" w:color="auto"/>
              <w:right w:val="single" w:sz="6" w:space="0" w:color="auto"/>
            </w:tcBorders>
          </w:tcPr>
          <w:p w14:paraId="36DAF3C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RYKO + ŽOS Děčín</w:t>
            </w:r>
          </w:p>
        </w:tc>
        <w:tc>
          <w:tcPr>
            <w:tcW w:w="1392" w:type="dxa"/>
            <w:tcBorders>
              <w:top w:val="single" w:sz="6" w:space="0" w:color="auto"/>
              <w:left w:val="single" w:sz="6" w:space="0" w:color="auto"/>
              <w:bottom w:val="single" w:sz="6" w:space="0" w:color="auto"/>
              <w:right w:val="single" w:sz="6" w:space="0" w:color="auto"/>
            </w:tcBorders>
          </w:tcPr>
          <w:p w14:paraId="08C786D2"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854" w:type="dxa"/>
            <w:tcBorders>
              <w:top w:val="single" w:sz="6" w:space="0" w:color="auto"/>
              <w:left w:val="single" w:sz="6" w:space="0" w:color="auto"/>
              <w:bottom w:val="single" w:sz="6" w:space="0" w:color="auto"/>
              <w:right w:val="single" w:sz="6" w:space="0" w:color="auto"/>
            </w:tcBorders>
          </w:tcPr>
          <w:p w14:paraId="698BD21F"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bl>
    <w:p w14:paraId="51960AEB"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042DA7C0"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66892413" w14:textId="77777777" w:rsidR="00D42621" w:rsidRPr="00D42621" w:rsidRDefault="00D42621" w:rsidP="00D42621">
      <w:pPr>
        <w:suppressAutoHyphens w:val="0"/>
        <w:autoSpaceDE w:val="0"/>
        <w:autoSpaceDN w:val="0"/>
        <w:adjustRightInd w:val="0"/>
        <w:spacing w:before="73" w:after="73" w:line="240" w:lineRule="atLeast"/>
        <w:rPr>
          <w:rFonts w:ascii="Arial" w:hAnsi="Arial"/>
          <w:b/>
          <w:bCs/>
          <w:caps/>
          <w:color w:val="000000"/>
          <w:sz w:val="20"/>
          <w:lang w:eastAsia="cs-CZ"/>
        </w:rPr>
      </w:pPr>
      <w:r w:rsidRPr="00D42621">
        <w:rPr>
          <w:rFonts w:ascii="Arial" w:hAnsi="Arial" w:cs="Arial"/>
          <w:b/>
          <w:bCs/>
          <w:caps/>
          <w:color w:val="000000"/>
          <w:sz w:val="20"/>
          <w:lang w:eastAsia="cs-CZ"/>
        </w:rPr>
        <w:t>i.4.2. Místní plynovodní sítě</w:t>
      </w:r>
    </w:p>
    <w:p w14:paraId="3639D70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3F9FCA1" w14:textId="77777777" w:rsidR="00D42621" w:rsidRPr="00D42621" w:rsidRDefault="00D42621" w:rsidP="00D42621">
      <w:pPr>
        <w:suppressAutoHyphens w:val="0"/>
        <w:autoSpaceDE w:val="0"/>
        <w:autoSpaceDN w:val="0"/>
        <w:adjustRightInd w:val="0"/>
        <w:spacing w:line="240" w:lineRule="atLeast"/>
        <w:ind w:firstLine="567"/>
        <w:rPr>
          <w:rFonts w:ascii="Arial" w:hAnsi="Arial" w:cs="Arial"/>
          <w:color w:val="000000"/>
          <w:sz w:val="20"/>
          <w:szCs w:val="20"/>
          <w:lang w:eastAsia="cs-CZ"/>
        </w:rPr>
      </w:pPr>
      <w:r w:rsidRPr="00D42621">
        <w:rPr>
          <w:rFonts w:ascii="Arial" w:hAnsi="Arial"/>
          <w:color w:val="000000"/>
          <w:sz w:val="20"/>
          <w:szCs w:val="20"/>
          <w:lang w:eastAsia="cs-CZ"/>
        </w:rPr>
        <w:tab/>
      </w:r>
      <w:r w:rsidRPr="00D42621">
        <w:rPr>
          <w:rFonts w:ascii="Arial" w:hAnsi="Arial" w:cs="Arial"/>
          <w:color w:val="000000"/>
          <w:sz w:val="20"/>
          <w:szCs w:val="20"/>
          <w:lang w:eastAsia="cs-CZ"/>
        </w:rPr>
        <w:t>Na středotlakou městskou síť jsou napojeny středotlaké regulační stanice dodávající plyn do nízkotlaké sítě. Jsou provozovány SčP a.s.</w:t>
      </w:r>
    </w:p>
    <w:p w14:paraId="085DA05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985"/>
        <w:gridCol w:w="1950"/>
        <w:gridCol w:w="1153"/>
        <w:gridCol w:w="1080"/>
        <w:gridCol w:w="1405"/>
        <w:gridCol w:w="1155"/>
      </w:tblGrid>
      <w:tr w:rsidR="00D42621" w:rsidRPr="00D42621" w14:paraId="424F829D" w14:textId="77777777" w:rsidTr="002D2D45">
        <w:trPr>
          <w:jc w:val="center"/>
        </w:trPr>
        <w:tc>
          <w:tcPr>
            <w:tcW w:w="985" w:type="dxa"/>
            <w:tcBorders>
              <w:top w:val="single" w:sz="6" w:space="0" w:color="auto"/>
              <w:left w:val="single" w:sz="6" w:space="0" w:color="auto"/>
              <w:bottom w:val="single" w:sz="6" w:space="0" w:color="auto"/>
              <w:right w:val="single" w:sz="6" w:space="0" w:color="auto"/>
            </w:tcBorders>
          </w:tcPr>
          <w:p w14:paraId="0ADC895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označení</w:t>
            </w:r>
          </w:p>
        </w:tc>
        <w:tc>
          <w:tcPr>
            <w:tcW w:w="1950" w:type="dxa"/>
            <w:tcBorders>
              <w:top w:val="single" w:sz="6" w:space="0" w:color="auto"/>
              <w:left w:val="single" w:sz="6" w:space="0" w:color="auto"/>
              <w:bottom w:val="single" w:sz="6" w:space="0" w:color="auto"/>
              <w:right w:val="single" w:sz="6" w:space="0" w:color="auto"/>
            </w:tcBorders>
          </w:tcPr>
          <w:p w14:paraId="498C90E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název</w:t>
            </w:r>
          </w:p>
        </w:tc>
        <w:tc>
          <w:tcPr>
            <w:tcW w:w="1153" w:type="dxa"/>
            <w:tcBorders>
              <w:top w:val="single" w:sz="6" w:space="0" w:color="auto"/>
              <w:left w:val="single" w:sz="6" w:space="0" w:color="auto"/>
              <w:bottom w:val="single" w:sz="6" w:space="0" w:color="auto"/>
              <w:right w:val="single" w:sz="6" w:space="0" w:color="auto"/>
            </w:tcBorders>
          </w:tcPr>
          <w:p w14:paraId="309F319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b/>
                <w:bCs/>
                <w:color w:val="000000"/>
                <w:sz w:val="18"/>
                <w:szCs w:val="18"/>
                <w:lang w:eastAsia="cs-CZ"/>
              </w:rPr>
              <w:t xml:space="preserve">     výkon                ( m3/hod )</w:t>
            </w:r>
          </w:p>
        </w:tc>
        <w:tc>
          <w:tcPr>
            <w:tcW w:w="1080" w:type="dxa"/>
            <w:tcBorders>
              <w:top w:val="single" w:sz="6" w:space="0" w:color="auto"/>
              <w:left w:val="single" w:sz="6" w:space="0" w:color="auto"/>
              <w:bottom w:val="single" w:sz="6" w:space="0" w:color="auto"/>
              <w:right w:val="single" w:sz="6" w:space="0" w:color="auto"/>
            </w:tcBorders>
          </w:tcPr>
          <w:p w14:paraId="663EB25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označení</w:t>
            </w:r>
          </w:p>
        </w:tc>
        <w:tc>
          <w:tcPr>
            <w:tcW w:w="1405" w:type="dxa"/>
            <w:tcBorders>
              <w:top w:val="single" w:sz="6" w:space="0" w:color="auto"/>
              <w:left w:val="single" w:sz="6" w:space="0" w:color="auto"/>
              <w:bottom w:val="single" w:sz="6" w:space="0" w:color="auto"/>
              <w:right w:val="single" w:sz="6" w:space="0" w:color="auto"/>
            </w:tcBorders>
          </w:tcPr>
          <w:p w14:paraId="0E4BB14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název</w:t>
            </w:r>
          </w:p>
        </w:tc>
        <w:tc>
          <w:tcPr>
            <w:tcW w:w="1155" w:type="dxa"/>
            <w:tcBorders>
              <w:top w:val="single" w:sz="6" w:space="0" w:color="auto"/>
              <w:left w:val="single" w:sz="6" w:space="0" w:color="auto"/>
              <w:bottom w:val="single" w:sz="6" w:space="0" w:color="auto"/>
              <w:right w:val="single" w:sz="6" w:space="0" w:color="auto"/>
            </w:tcBorders>
          </w:tcPr>
          <w:p w14:paraId="08DDDC0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výkon (m3/hod)</w:t>
            </w:r>
          </w:p>
        </w:tc>
      </w:tr>
      <w:tr w:rsidR="00D42621" w:rsidRPr="00D42621" w14:paraId="2A6B5C47" w14:textId="77777777" w:rsidTr="002D2D45">
        <w:trPr>
          <w:jc w:val="center"/>
        </w:trPr>
        <w:tc>
          <w:tcPr>
            <w:tcW w:w="985" w:type="dxa"/>
            <w:tcBorders>
              <w:top w:val="single" w:sz="6" w:space="0" w:color="auto"/>
              <w:left w:val="single" w:sz="6" w:space="0" w:color="auto"/>
              <w:bottom w:val="single" w:sz="6" w:space="0" w:color="auto"/>
              <w:right w:val="single" w:sz="6" w:space="0" w:color="auto"/>
            </w:tcBorders>
          </w:tcPr>
          <w:p w14:paraId="7F529B1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RS 1</w:t>
            </w:r>
          </w:p>
        </w:tc>
        <w:tc>
          <w:tcPr>
            <w:tcW w:w="1950" w:type="dxa"/>
            <w:tcBorders>
              <w:top w:val="single" w:sz="6" w:space="0" w:color="auto"/>
              <w:left w:val="single" w:sz="6" w:space="0" w:color="auto"/>
              <w:bottom w:val="single" w:sz="6" w:space="0" w:color="auto"/>
              <w:right w:val="single" w:sz="6" w:space="0" w:color="auto"/>
            </w:tcBorders>
          </w:tcPr>
          <w:p w14:paraId="1F14F4A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Liberecká</w:t>
            </w:r>
          </w:p>
        </w:tc>
        <w:tc>
          <w:tcPr>
            <w:tcW w:w="1153" w:type="dxa"/>
            <w:tcBorders>
              <w:top w:val="single" w:sz="6" w:space="0" w:color="auto"/>
              <w:left w:val="single" w:sz="6" w:space="0" w:color="auto"/>
              <w:bottom w:val="single" w:sz="6" w:space="0" w:color="auto"/>
              <w:right w:val="single" w:sz="6" w:space="0" w:color="auto"/>
            </w:tcBorders>
          </w:tcPr>
          <w:p w14:paraId="01FAC48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1 200</w:t>
            </w:r>
          </w:p>
        </w:tc>
        <w:tc>
          <w:tcPr>
            <w:tcW w:w="1080" w:type="dxa"/>
            <w:tcBorders>
              <w:top w:val="single" w:sz="6" w:space="0" w:color="auto"/>
              <w:left w:val="single" w:sz="6" w:space="0" w:color="auto"/>
              <w:bottom w:val="single" w:sz="6" w:space="0" w:color="auto"/>
              <w:right w:val="single" w:sz="6" w:space="0" w:color="auto"/>
            </w:tcBorders>
          </w:tcPr>
          <w:p w14:paraId="0C51127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RS 7</w:t>
            </w:r>
          </w:p>
        </w:tc>
        <w:tc>
          <w:tcPr>
            <w:tcW w:w="1405" w:type="dxa"/>
            <w:tcBorders>
              <w:top w:val="single" w:sz="6" w:space="0" w:color="auto"/>
              <w:left w:val="single" w:sz="6" w:space="0" w:color="auto"/>
              <w:bottom w:val="single" w:sz="6" w:space="0" w:color="auto"/>
              <w:right w:val="single" w:sz="6" w:space="0" w:color="auto"/>
            </w:tcBorders>
          </w:tcPr>
          <w:p w14:paraId="1D3DCF9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Teplická dolní</w:t>
            </w:r>
          </w:p>
        </w:tc>
        <w:tc>
          <w:tcPr>
            <w:tcW w:w="1155" w:type="dxa"/>
            <w:tcBorders>
              <w:top w:val="single" w:sz="6" w:space="0" w:color="auto"/>
              <w:left w:val="single" w:sz="6" w:space="0" w:color="auto"/>
              <w:bottom w:val="single" w:sz="6" w:space="0" w:color="auto"/>
              <w:right w:val="single" w:sz="6" w:space="0" w:color="auto"/>
            </w:tcBorders>
          </w:tcPr>
          <w:p w14:paraId="6751064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1 200</w:t>
            </w:r>
          </w:p>
        </w:tc>
      </w:tr>
      <w:tr w:rsidR="00D42621" w:rsidRPr="00D42621" w14:paraId="43B0494E" w14:textId="77777777" w:rsidTr="002D2D45">
        <w:trPr>
          <w:jc w:val="center"/>
        </w:trPr>
        <w:tc>
          <w:tcPr>
            <w:tcW w:w="985" w:type="dxa"/>
            <w:tcBorders>
              <w:top w:val="single" w:sz="6" w:space="0" w:color="auto"/>
              <w:left w:val="single" w:sz="6" w:space="0" w:color="auto"/>
              <w:bottom w:val="single" w:sz="6" w:space="0" w:color="auto"/>
              <w:right w:val="single" w:sz="6" w:space="0" w:color="auto"/>
            </w:tcBorders>
          </w:tcPr>
          <w:p w14:paraId="73BFD6A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RS 2</w:t>
            </w:r>
          </w:p>
        </w:tc>
        <w:tc>
          <w:tcPr>
            <w:tcW w:w="1950" w:type="dxa"/>
            <w:tcBorders>
              <w:top w:val="single" w:sz="6" w:space="0" w:color="auto"/>
              <w:left w:val="single" w:sz="6" w:space="0" w:color="auto"/>
              <w:bottom w:val="single" w:sz="6" w:space="0" w:color="auto"/>
              <w:right w:val="single" w:sz="6" w:space="0" w:color="auto"/>
            </w:tcBorders>
          </w:tcPr>
          <w:p w14:paraId="219B7E3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Oblouková (Staré Město)</w:t>
            </w:r>
          </w:p>
        </w:tc>
        <w:tc>
          <w:tcPr>
            <w:tcW w:w="1153" w:type="dxa"/>
            <w:tcBorders>
              <w:top w:val="single" w:sz="6" w:space="0" w:color="auto"/>
              <w:left w:val="single" w:sz="6" w:space="0" w:color="auto"/>
              <w:bottom w:val="single" w:sz="6" w:space="0" w:color="auto"/>
              <w:right w:val="single" w:sz="6" w:space="0" w:color="auto"/>
            </w:tcBorders>
          </w:tcPr>
          <w:p w14:paraId="6546F0C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700</w:t>
            </w:r>
          </w:p>
        </w:tc>
        <w:tc>
          <w:tcPr>
            <w:tcW w:w="1080" w:type="dxa"/>
            <w:tcBorders>
              <w:top w:val="single" w:sz="6" w:space="0" w:color="auto"/>
              <w:left w:val="single" w:sz="6" w:space="0" w:color="auto"/>
              <w:bottom w:val="single" w:sz="6" w:space="0" w:color="auto"/>
              <w:right w:val="single" w:sz="6" w:space="0" w:color="auto"/>
            </w:tcBorders>
          </w:tcPr>
          <w:p w14:paraId="6D90F85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RS 8</w:t>
            </w:r>
          </w:p>
        </w:tc>
        <w:tc>
          <w:tcPr>
            <w:tcW w:w="1405" w:type="dxa"/>
            <w:tcBorders>
              <w:top w:val="single" w:sz="6" w:space="0" w:color="auto"/>
              <w:left w:val="single" w:sz="6" w:space="0" w:color="auto"/>
              <w:bottom w:val="single" w:sz="6" w:space="0" w:color="auto"/>
              <w:right w:val="single" w:sz="6" w:space="0" w:color="auto"/>
            </w:tcBorders>
          </w:tcPr>
          <w:p w14:paraId="6D93CB7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Saská</w:t>
            </w:r>
          </w:p>
        </w:tc>
        <w:tc>
          <w:tcPr>
            <w:tcW w:w="1155" w:type="dxa"/>
            <w:tcBorders>
              <w:top w:val="single" w:sz="6" w:space="0" w:color="auto"/>
              <w:left w:val="single" w:sz="6" w:space="0" w:color="auto"/>
              <w:bottom w:val="single" w:sz="6" w:space="0" w:color="auto"/>
              <w:right w:val="single" w:sz="6" w:space="0" w:color="auto"/>
            </w:tcBorders>
          </w:tcPr>
          <w:p w14:paraId="59F268E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1 200</w:t>
            </w:r>
          </w:p>
        </w:tc>
      </w:tr>
      <w:tr w:rsidR="00D42621" w:rsidRPr="00D42621" w14:paraId="0FFF2DCD" w14:textId="77777777" w:rsidTr="002D2D45">
        <w:trPr>
          <w:jc w:val="center"/>
        </w:trPr>
        <w:tc>
          <w:tcPr>
            <w:tcW w:w="985" w:type="dxa"/>
            <w:tcBorders>
              <w:top w:val="single" w:sz="6" w:space="0" w:color="auto"/>
              <w:left w:val="single" w:sz="6" w:space="0" w:color="auto"/>
              <w:bottom w:val="single" w:sz="6" w:space="0" w:color="auto"/>
              <w:right w:val="single" w:sz="6" w:space="0" w:color="auto"/>
            </w:tcBorders>
          </w:tcPr>
          <w:p w14:paraId="5CF8FCD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RS 3</w:t>
            </w:r>
          </w:p>
        </w:tc>
        <w:tc>
          <w:tcPr>
            <w:tcW w:w="1950" w:type="dxa"/>
            <w:tcBorders>
              <w:top w:val="single" w:sz="6" w:space="0" w:color="auto"/>
              <w:left w:val="single" w:sz="6" w:space="0" w:color="auto"/>
              <w:bottom w:val="single" w:sz="6" w:space="0" w:color="auto"/>
              <w:right w:val="single" w:sz="6" w:space="0" w:color="auto"/>
            </w:tcBorders>
          </w:tcPr>
          <w:p w14:paraId="5707C2B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Oblouková</w:t>
            </w:r>
          </w:p>
        </w:tc>
        <w:tc>
          <w:tcPr>
            <w:tcW w:w="1153" w:type="dxa"/>
            <w:tcBorders>
              <w:top w:val="single" w:sz="6" w:space="0" w:color="auto"/>
              <w:left w:val="single" w:sz="6" w:space="0" w:color="auto"/>
              <w:bottom w:val="single" w:sz="6" w:space="0" w:color="auto"/>
              <w:right w:val="single" w:sz="6" w:space="0" w:color="auto"/>
            </w:tcBorders>
          </w:tcPr>
          <w:p w14:paraId="5FC558F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3 000</w:t>
            </w:r>
          </w:p>
        </w:tc>
        <w:tc>
          <w:tcPr>
            <w:tcW w:w="1080" w:type="dxa"/>
            <w:tcBorders>
              <w:top w:val="single" w:sz="6" w:space="0" w:color="auto"/>
              <w:left w:val="single" w:sz="6" w:space="0" w:color="auto"/>
              <w:bottom w:val="single" w:sz="6" w:space="0" w:color="auto"/>
              <w:right w:val="single" w:sz="6" w:space="0" w:color="auto"/>
            </w:tcBorders>
          </w:tcPr>
          <w:p w14:paraId="30F3EDC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RS 9</w:t>
            </w:r>
          </w:p>
        </w:tc>
        <w:tc>
          <w:tcPr>
            <w:tcW w:w="1405" w:type="dxa"/>
            <w:tcBorders>
              <w:top w:val="single" w:sz="6" w:space="0" w:color="auto"/>
              <w:left w:val="single" w:sz="6" w:space="0" w:color="auto"/>
              <w:bottom w:val="single" w:sz="6" w:space="0" w:color="auto"/>
              <w:right w:val="single" w:sz="6" w:space="0" w:color="auto"/>
            </w:tcBorders>
          </w:tcPr>
          <w:p w14:paraId="18F6B00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Přípeř</w:t>
            </w:r>
          </w:p>
        </w:tc>
        <w:tc>
          <w:tcPr>
            <w:tcW w:w="1155" w:type="dxa"/>
            <w:tcBorders>
              <w:top w:val="single" w:sz="6" w:space="0" w:color="auto"/>
              <w:left w:val="single" w:sz="6" w:space="0" w:color="auto"/>
              <w:bottom w:val="single" w:sz="6" w:space="0" w:color="auto"/>
              <w:right w:val="single" w:sz="6" w:space="0" w:color="auto"/>
            </w:tcBorders>
          </w:tcPr>
          <w:p w14:paraId="4ACC059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1 200</w:t>
            </w:r>
          </w:p>
        </w:tc>
      </w:tr>
      <w:tr w:rsidR="00D42621" w:rsidRPr="00D42621" w14:paraId="531B1CF7" w14:textId="77777777" w:rsidTr="002D2D45">
        <w:trPr>
          <w:jc w:val="center"/>
        </w:trPr>
        <w:tc>
          <w:tcPr>
            <w:tcW w:w="985" w:type="dxa"/>
            <w:tcBorders>
              <w:top w:val="single" w:sz="6" w:space="0" w:color="auto"/>
              <w:left w:val="single" w:sz="6" w:space="0" w:color="auto"/>
              <w:bottom w:val="single" w:sz="6" w:space="0" w:color="auto"/>
              <w:right w:val="single" w:sz="6" w:space="0" w:color="auto"/>
            </w:tcBorders>
          </w:tcPr>
          <w:p w14:paraId="4B8CD0F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RS 4</w:t>
            </w:r>
          </w:p>
        </w:tc>
        <w:tc>
          <w:tcPr>
            <w:tcW w:w="1950" w:type="dxa"/>
            <w:tcBorders>
              <w:top w:val="single" w:sz="6" w:space="0" w:color="auto"/>
              <w:left w:val="single" w:sz="6" w:space="0" w:color="auto"/>
              <w:bottom w:val="single" w:sz="6" w:space="0" w:color="auto"/>
              <w:right w:val="single" w:sz="6" w:space="0" w:color="auto"/>
            </w:tcBorders>
          </w:tcPr>
          <w:p w14:paraId="74385B4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Duchcovská střed</w:t>
            </w:r>
          </w:p>
        </w:tc>
        <w:tc>
          <w:tcPr>
            <w:tcW w:w="1153" w:type="dxa"/>
            <w:tcBorders>
              <w:top w:val="single" w:sz="6" w:space="0" w:color="auto"/>
              <w:left w:val="single" w:sz="6" w:space="0" w:color="auto"/>
              <w:bottom w:val="single" w:sz="6" w:space="0" w:color="auto"/>
              <w:right w:val="single" w:sz="6" w:space="0" w:color="auto"/>
            </w:tcBorders>
          </w:tcPr>
          <w:p w14:paraId="3111C52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1 200</w:t>
            </w:r>
          </w:p>
        </w:tc>
        <w:tc>
          <w:tcPr>
            <w:tcW w:w="1080" w:type="dxa"/>
            <w:tcBorders>
              <w:top w:val="single" w:sz="6" w:space="0" w:color="auto"/>
              <w:left w:val="single" w:sz="6" w:space="0" w:color="auto"/>
              <w:bottom w:val="single" w:sz="6" w:space="0" w:color="auto"/>
              <w:right w:val="single" w:sz="6" w:space="0" w:color="auto"/>
            </w:tcBorders>
          </w:tcPr>
          <w:p w14:paraId="11C60CD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RS 10</w:t>
            </w:r>
          </w:p>
        </w:tc>
        <w:tc>
          <w:tcPr>
            <w:tcW w:w="1405" w:type="dxa"/>
            <w:tcBorders>
              <w:top w:val="single" w:sz="6" w:space="0" w:color="auto"/>
              <w:left w:val="single" w:sz="6" w:space="0" w:color="auto"/>
              <w:bottom w:val="single" w:sz="6" w:space="0" w:color="auto"/>
              <w:right w:val="single" w:sz="6" w:space="0" w:color="auto"/>
            </w:tcBorders>
          </w:tcPr>
          <w:p w14:paraId="75E858F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Hrnčířská</w:t>
            </w:r>
          </w:p>
        </w:tc>
        <w:tc>
          <w:tcPr>
            <w:tcW w:w="1155" w:type="dxa"/>
            <w:tcBorders>
              <w:top w:val="single" w:sz="6" w:space="0" w:color="auto"/>
              <w:left w:val="single" w:sz="6" w:space="0" w:color="auto"/>
              <w:bottom w:val="single" w:sz="6" w:space="0" w:color="auto"/>
              <w:right w:val="single" w:sz="6" w:space="0" w:color="auto"/>
            </w:tcBorders>
          </w:tcPr>
          <w:p w14:paraId="6DAAF8E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1 200</w:t>
            </w:r>
          </w:p>
        </w:tc>
      </w:tr>
      <w:tr w:rsidR="00D42621" w:rsidRPr="00D42621" w14:paraId="68D8A026" w14:textId="77777777" w:rsidTr="002D2D45">
        <w:trPr>
          <w:jc w:val="center"/>
        </w:trPr>
        <w:tc>
          <w:tcPr>
            <w:tcW w:w="985" w:type="dxa"/>
            <w:tcBorders>
              <w:top w:val="single" w:sz="6" w:space="0" w:color="auto"/>
              <w:left w:val="single" w:sz="6" w:space="0" w:color="auto"/>
              <w:bottom w:val="single" w:sz="6" w:space="0" w:color="auto"/>
              <w:right w:val="single" w:sz="6" w:space="0" w:color="auto"/>
            </w:tcBorders>
          </w:tcPr>
          <w:p w14:paraId="52331D5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RS 5</w:t>
            </w:r>
          </w:p>
        </w:tc>
        <w:tc>
          <w:tcPr>
            <w:tcW w:w="1950" w:type="dxa"/>
            <w:tcBorders>
              <w:top w:val="single" w:sz="6" w:space="0" w:color="auto"/>
              <w:left w:val="single" w:sz="6" w:space="0" w:color="auto"/>
              <w:bottom w:val="single" w:sz="6" w:space="0" w:color="auto"/>
              <w:right w:val="single" w:sz="6" w:space="0" w:color="auto"/>
            </w:tcBorders>
          </w:tcPr>
          <w:p w14:paraId="0DF9D59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Jiřího z Poděbrad</w:t>
            </w:r>
          </w:p>
        </w:tc>
        <w:tc>
          <w:tcPr>
            <w:tcW w:w="1153" w:type="dxa"/>
            <w:tcBorders>
              <w:top w:val="single" w:sz="6" w:space="0" w:color="auto"/>
              <w:left w:val="single" w:sz="6" w:space="0" w:color="auto"/>
              <w:bottom w:val="single" w:sz="6" w:space="0" w:color="auto"/>
              <w:right w:val="single" w:sz="6" w:space="0" w:color="auto"/>
            </w:tcBorders>
          </w:tcPr>
          <w:p w14:paraId="44830DA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15 000</w:t>
            </w:r>
          </w:p>
        </w:tc>
        <w:tc>
          <w:tcPr>
            <w:tcW w:w="1080" w:type="dxa"/>
            <w:tcBorders>
              <w:top w:val="single" w:sz="6" w:space="0" w:color="auto"/>
              <w:left w:val="single" w:sz="6" w:space="0" w:color="auto"/>
              <w:bottom w:val="single" w:sz="6" w:space="0" w:color="auto"/>
              <w:right w:val="single" w:sz="6" w:space="0" w:color="auto"/>
            </w:tcBorders>
          </w:tcPr>
          <w:p w14:paraId="72AF30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RS 11</w:t>
            </w:r>
          </w:p>
        </w:tc>
        <w:tc>
          <w:tcPr>
            <w:tcW w:w="1405" w:type="dxa"/>
            <w:tcBorders>
              <w:top w:val="single" w:sz="6" w:space="0" w:color="auto"/>
              <w:left w:val="single" w:sz="6" w:space="0" w:color="auto"/>
              <w:bottom w:val="single" w:sz="6" w:space="0" w:color="auto"/>
              <w:right w:val="single" w:sz="6" w:space="0" w:color="auto"/>
            </w:tcBorders>
          </w:tcPr>
          <w:p w14:paraId="45F6F64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Žlíbek</w:t>
            </w:r>
          </w:p>
        </w:tc>
        <w:tc>
          <w:tcPr>
            <w:tcW w:w="1155" w:type="dxa"/>
            <w:tcBorders>
              <w:top w:val="single" w:sz="6" w:space="0" w:color="auto"/>
              <w:left w:val="single" w:sz="6" w:space="0" w:color="auto"/>
              <w:bottom w:val="single" w:sz="6" w:space="0" w:color="auto"/>
              <w:right w:val="single" w:sz="6" w:space="0" w:color="auto"/>
            </w:tcBorders>
          </w:tcPr>
          <w:p w14:paraId="2E54088C"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241E8964" w14:textId="77777777" w:rsidTr="002D2D45">
        <w:trPr>
          <w:jc w:val="center"/>
        </w:trPr>
        <w:tc>
          <w:tcPr>
            <w:tcW w:w="985" w:type="dxa"/>
            <w:tcBorders>
              <w:top w:val="single" w:sz="6" w:space="0" w:color="auto"/>
              <w:left w:val="single" w:sz="6" w:space="0" w:color="auto"/>
              <w:bottom w:val="single" w:sz="6" w:space="0" w:color="auto"/>
              <w:right w:val="single" w:sz="6" w:space="0" w:color="auto"/>
            </w:tcBorders>
          </w:tcPr>
          <w:p w14:paraId="5984C1F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RS 6</w:t>
            </w:r>
          </w:p>
        </w:tc>
        <w:tc>
          <w:tcPr>
            <w:tcW w:w="1950" w:type="dxa"/>
            <w:tcBorders>
              <w:top w:val="single" w:sz="6" w:space="0" w:color="auto"/>
              <w:left w:val="single" w:sz="6" w:space="0" w:color="auto"/>
              <w:bottom w:val="single" w:sz="6" w:space="0" w:color="auto"/>
              <w:right w:val="single" w:sz="6" w:space="0" w:color="auto"/>
            </w:tcBorders>
          </w:tcPr>
          <w:p w14:paraId="5512441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Poděbradská</w:t>
            </w:r>
          </w:p>
        </w:tc>
        <w:tc>
          <w:tcPr>
            <w:tcW w:w="1153" w:type="dxa"/>
            <w:tcBorders>
              <w:top w:val="single" w:sz="6" w:space="0" w:color="auto"/>
              <w:left w:val="single" w:sz="6" w:space="0" w:color="auto"/>
              <w:bottom w:val="single" w:sz="6" w:space="0" w:color="auto"/>
              <w:right w:val="single" w:sz="6" w:space="0" w:color="auto"/>
            </w:tcBorders>
          </w:tcPr>
          <w:p w14:paraId="38CA65D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1 200</w:t>
            </w:r>
          </w:p>
        </w:tc>
        <w:tc>
          <w:tcPr>
            <w:tcW w:w="1080" w:type="dxa"/>
            <w:tcBorders>
              <w:top w:val="single" w:sz="6" w:space="0" w:color="auto"/>
              <w:left w:val="single" w:sz="6" w:space="0" w:color="auto"/>
              <w:bottom w:val="single" w:sz="6" w:space="0" w:color="auto"/>
              <w:right w:val="single" w:sz="6" w:space="0" w:color="auto"/>
            </w:tcBorders>
          </w:tcPr>
          <w:p w14:paraId="47B1DA3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RS 12</w:t>
            </w:r>
          </w:p>
        </w:tc>
        <w:tc>
          <w:tcPr>
            <w:tcW w:w="1405" w:type="dxa"/>
            <w:tcBorders>
              <w:top w:val="single" w:sz="6" w:space="0" w:color="auto"/>
              <w:left w:val="single" w:sz="6" w:space="0" w:color="auto"/>
              <w:bottom w:val="single" w:sz="6" w:space="0" w:color="auto"/>
              <w:right w:val="single" w:sz="6" w:space="0" w:color="auto"/>
            </w:tcBorders>
          </w:tcPr>
          <w:p w14:paraId="0D0E875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Klostermanova</w:t>
            </w:r>
          </w:p>
        </w:tc>
        <w:tc>
          <w:tcPr>
            <w:tcW w:w="1155" w:type="dxa"/>
            <w:tcBorders>
              <w:top w:val="single" w:sz="6" w:space="0" w:color="auto"/>
              <w:left w:val="single" w:sz="6" w:space="0" w:color="auto"/>
              <w:bottom w:val="single" w:sz="6" w:space="0" w:color="auto"/>
              <w:right w:val="single" w:sz="6" w:space="0" w:color="auto"/>
            </w:tcBorders>
          </w:tcPr>
          <w:p w14:paraId="016BEAE2"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bl>
    <w:p w14:paraId="42897807"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2ECE7A73"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s="Arial"/>
          <w:color w:val="000000"/>
          <w:sz w:val="20"/>
          <w:szCs w:val="20"/>
          <w:lang w:eastAsia="cs-CZ"/>
        </w:rPr>
        <w:t>V roce 1994 bylo provedeno prodloužení vysokotlakého plynovodu až do Libverdy (DN 200). Nová regulační stanice bude sloužit pro napájení stávající středotlaké sítě a předpokládá se její využití i pro napájení zdroje CZT, jehož hodinový odběr v zemním plynu se bude pohybovat v rozmezí 5 - 10 000 m3.</w:t>
      </w:r>
    </w:p>
    <w:p w14:paraId="423C5E1A"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s="Arial"/>
          <w:color w:val="000000"/>
          <w:sz w:val="20"/>
          <w:szCs w:val="20"/>
          <w:lang w:eastAsia="cs-CZ"/>
        </w:rPr>
        <w:t>Vedle již nově zplynofikovaných sídel v severozápadní části města je zpracováno generelní řešení plynofikace sídel Křešice, Vilsnice a Nebočady. Dále se bude rozšiřovat středotlaká síť v Boleticích.</w:t>
      </w:r>
    </w:p>
    <w:p w14:paraId="20F2DA7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1FB505D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EACE7E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s="Arial"/>
          <w:b/>
          <w:bCs/>
          <w:caps/>
          <w:color w:val="000000"/>
          <w:sz w:val="20"/>
          <w:szCs w:val="20"/>
          <w:lang w:eastAsia="cs-CZ"/>
        </w:rPr>
        <w:t>i.4.3. Spotřeba plynu v řešeném území</w:t>
      </w:r>
      <w:r w:rsidRPr="00D42621">
        <w:rPr>
          <w:rFonts w:ascii="Arial" w:hAnsi="Arial" w:cs="Arial"/>
          <w:b/>
          <w:bCs/>
          <w:color w:val="000000"/>
          <w:sz w:val="20"/>
          <w:szCs w:val="20"/>
          <w:lang w:eastAsia="cs-CZ"/>
        </w:rPr>
        <w:t xml:space="preserve"> </w:t>
      </w:r>
    </w:p>
    <w:p w14:paraId="4A4AA0D4"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C08B929" w14:textId="77777777" w:rsidR="00D42621" w:rsidRPr="00D42621" w:rsidRDefault="00D42621" w:rsidP="00D42621">
      <w:pPr>
        <w:suppressAutoHyphens w:val="0"/>
        <w:autoSpaceDE w:val="0"/>
        <w:autoSpaceDN w:val="0"/>
        <w:adjustRightInd w:val="0"/>
        <w:spacing w:line="240" w:lineRule="atLeast"/>
        <w:ind w:firstLine="567"/>
        <w:rPr>
          <w:rFonts w:ascii="Arial" w:hAnsi="Arial" w:cs="Arial"/>
          <w:color w:val="000000"/>
          <w:sz w:val="20"/>
          <w:szCs w:val="20"/>
          <w:lang w:eastAsia="cs-CZ"/>
        </w:rPr>
      </w:pPr>
      <w:r w:rsidRPr="00D42621">
        <w:rPr>
          <w:rFonts w:ascii="Arial" w:hAnsi="Arial"/>
          <w:color w:val="000000"/>
          <w:sz w:val="20"/>
          <w:szCs w:val="20"/>
          <w:lang w:eastAsia="cs-CZ"/>
        </w:rPr>
        <w:tab/>
      </w:r>
      <w:r w:rsidRPr="00D42621">
        <w:rPr>
          <w:rFonts w:ascii="Arial" w:hAnsi="Arial" w:cs="Arial"/>
          <w:color w:val="000000"/>
          <w:sz w:val="20"/>
          <w:szCs w:val="20"/>
          <w:lang w:eastAsia="cs-CZ"/>
        </w:rPr>
        <w:t>Spotřeba plynu je uvedena pro celé řešené území za rok 1994. V tomto roce již z části bylo město převedeno na zemní plyn. Proto byla spotřeba svítiplynu přepočtena na zemní plyn a v tabulce jsou údaje odpovídající zemnímu plynu (m3).</w:t>
      </w:r>
    </w:p>
    <w:p w14:paraId="65B4330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2250"/>
        <w:gridCol w:w="1991"/>
        <w:gridCol w:w="2182"/>
        <w:gridCol w:w="1718"/>
      </w:tblGrid>
      <w:tr w:rsidR="00D42621" w:rsidRPr="00D42621" w14:paraId="355D900B" w14:textId="77777777" w:rsidTr="002D2D45">
        <w:trPr>
          <w:jc w:val="center"/>
        </w:trPr>
        <w:tc>
          <w:tcPr>
            <w:tcW w:w="2250" w:type="dxa"/>
            <w:tcBorders>
              <w:top w:val="single" w:sz="6" w:space="0" w:color="auto"/>
              <w:left w:val="single" w:sz="6" w:space="0" w:color="auto"/>
              <w:bottom w:val="single" w:sz="6" w:space="0" w:color="auto"/>
              <w:right w:val="single" w:sz="6" w:space="0" w:color="auto"/>
            </w:tcBorders>
          </w:tcPr>
          <w:p w14:paraId="4D17A62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VO z dálkovodu</w:t>
            </w:r>
          </w:p>
        </w:tc>
        <w:tc>
          <w:tcPr>
            <w:tcW w:w="1991" w:type="dxa"/>
            <w:tcBorders>
              <w:top w:val="single" w:sz="6" w:space="0" w:color="auto"/>
              <w:left w:val="single" w:sz="6" w:space="0" w:color="auto"/>
              <w:bottom w:val="single" w:sz="6" w:space="0" w:color="auto"/>
              <w:right w:val="single" w:sz="6" w:space="0" w:color="auto"/>
            </w:tcBorders>
          </w:tcPr>
          <w:p w14:paraId="1F4D3E7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VO z místní sítě</w:t>
            </w:r>
          </w:p>
        </w:tc>
        <w:tc>
          <w:tcPr>
            <w:tcW w:w="2182" w:type="dxa"/>
            <w:tcBorders>
              <w:top w:val="single" w:sz="6" w:space="0" w:color="auto"/>
              <w:left w:val="single" w:sz="6" w:space="0" w:color="auto"/>
              <w:bottom w:val="single" w:sz="6" w:space="0" w:color="auto"/>
              <w:right w:val="single" w:sz="6" w:space="0" w:color="auto"/>
            </w:tcBorders>
          </w:tcPr>
          <w:p w14:paraId="71624C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maloodběr</w:t>
            </w:r>
          </w:p>
        </w:tc>
        <w:tc>
          <w:tcPr>
            <w:tcW w:w="1718" w:type="dxa"/>
            <w:tcBorders>
              <w:top w:val="single" w:sz="6" w:space="0" w:color="auto"/>
              <w:left w:val="single" w:sz="6" w:space="0" w:color="auto"/>
              <w:bottom w:val="single" w:sz="6" w:space="0" w:color="auto"/>
              <w:right w:val="single" w:sz="6" w:space="0" w:color="auto"/>
            </w:tcBorders>
          </w:tcPr>
          <w:p w14:paraId="631B9CD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celkem</w:t>
            </w:r>
          </w:p>
        </w:tc>
      </w:tr>
      <w:tr w:rsidR="00D42621" w:rsidRPr="00D42621" w14:paraId="6C46672A" w14:textId="77777777" w:rsidTr="002D2D45">
        <w:trPr>
          <w:jc w:val="center"/>
        </w:trPr>
        <w:tc>
          <w:tcPr>
            <w:tcW w:w="2250" w:type="dxa"/>
            <w:tcBorders>
              <w:top w:val="single" w:sz="6" w:space="0" w:color="auto"/>
              <w:left w:val="single" w:sz="6" w:space="0" w:color="auto"/>
              <w:bottom w:val="single" w:sz="6" w:space="0" w:color="auto"/>
              <w:right w:val="single" w:sz="6" w:space="0" w:color="auto"/>
            </w:tcBorders>
          </w:tcPr>
          <w:p w14:paraId="616BD3F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13 342 585</w:t>
            </w:r>
          </w:p>
        </w:tc>
        <w:tc>
          <w:tcPr>
            <w:tcW w:w="1991" w:type="dxa"/>
            <w:tcBorders>
              <w:top w:val="single" w:sz="6" w:space="0" w:color="auto"/>
              <w:left w:val="single" w:sz="6" w:space="0" w:color="auto"/>
              <w:bottom w:val="single" w:sz="6" w:space="0" w:color="auto"/>
              <w:right w:val="single" w:sz="6" w:space="0" w:color="auto"/>
            </w:tcBorders>
          </w:tcPr>
          <w:p w14:paraId="00AF2F4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5 960 370</w:t>
            </w:r>
          </w:p>
        </w:tc>
        <w:tc>
          <w:tcPr>
            <w:tcW w:w="2182" w:type="dxa"/>
            <w:tcBorders>
              <w:top w:val="single" w:sz="6" w:space="0" w:color="auto"/>
              <w:left w:val="single" w:sz="6" w:space="0" w:color="auto"/>
              <w:bottom w:val="single" w:sz="6" w:space="0" w:color="auto"/>
              <w:right w:val="single" w:sz="6" w:space="0" w:color="auto"/>
            </w:tcBorders>
          </w:tcPr>
          <w:p w14:paraId="5BB679E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17 411 128</w:t>
            </w:r>
          </w:p>
        </w:tc>
        <w:tc>
          <w:tcPr>
            <w:tcW w:w="1718" w:type="dxa"/>
            <w:tcBorders>
              <w:top w:val="single" w:sz="6" w:space="0" w:color="auto"/>
              <w:left w:val="single" w:sz="6" w:space="0" w:color="auto"/>
              <w:bottom w:val="single" w:sz="6" w:space="0" w:color="auto"/>
              <w:right w:val="single" w:sz="6" w:space="0" w:color="auto"/>
            </w:tcBorders>
          </w:tcPr>
          <w:p w14:paraId="026EB5F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36 714 083</w:t>
            </w:r>
          </w:p>
        </w:tc>
      </w:tr>
    </w:tbl>
    <w:p w14:paraId="63F0B231" w14:textId="77777777" w:rsidR="00D42621" w:rsidRPr="00D42621" w:rsidRDefault="00D42621" w:rsidP="00D42621">
      <w:pPr>
        <w:suppressAutoHyphens w:val="0"/>
        <w:autoSpaceDE w:val="0"/>
        <w:autoSpaceDN w:val="0"/>
        <w:adjustRightInd w:val="0"/>
        <w:jc w:val="right"/>
        <w:rPr>
          <w:rFonts w:ascii="Arial" w:hAnsi="Arial" w:cs="Arial"/>
          <w:sz w:val="20"/>
          <w:lang w:eastAsia="cs-CZ"/>
        </w:rPr>
      </w:pPr>
      <w:r w:rsidRPr="00D42621">
        <w:rPr>
          <w:rFonts w:ascii="Arial" w:hAnsi="Arial" w:cs="Arial"/>
          <w:sz w:val="20"/>
          <w:lang w:eastAsia="cs-CZ"/>
        </w:rPr>
        <w:t>VO = velkoodběr</w:t>
      </w:r>
    </w:p>
    <w:p w14:paraId="23F0DCFE" w14:textId="77777777" w:rsidR="00D42621" w:rsidRPr="00D42621" w:rsidRDefault="00D42621" w:rsidP="00D42621">
      <w:pPr>
        <w:suppressAutoHyphens w:val="0"/>
        <w:autoSpaceDE w:val="0"/>
        <w:autoSpaceDN w:val="0"/>
        <w:adjustRightInd w:val="0"/>
        <w:jc w:val="right"/>
        <w:rPr>
          <w:rFonts w:ascii="Arial" w:hAnsi="Arial" w:cs="Arial"/>
          <w:sz w:val="20"/>
          <w:lang w:eastAsia="cs-CZ"/>
        </w:rPr>
      </w:pPr>
    </w:p>
    <w:p w14:paraId="6A5AB1EB" w14:textId="77777777" w:rsidR="00D42621" w:rsidRPr="00D42621" w:rsidRDefault="00D42621" w:rsidP="00D42621">
      <w:pPr>
        <w:suppressAutoHyphens w:val="0"/>
        <w:autoSpaceDE w:val="0"/>
        <w:autoSpaceDN w:val="0"/>
        <w:adjustRightInd w:val="0"/>
        <w:spacing w:line="240" w:lineRule="atLeast"/>
        <w:rPr>
          <w:rFonts w:ascii="Arial" w:hAnsi="Arial" w:cs="Arial"/>
          <w:b/>
          <w:bCs/>
          <w:caps/>
          <w:color w:val="000000"/>
          <w:sz w:val="20"/>
          <w:szCs w:val="20"/>
          <w:lang w:eastAsia="cs-CZ"/>
        </w:rPr>
      </w:pPr>
      <w:r w:rsidRPr="00D42621">
        <w:rPr>
          <w:rFonts w:ascii="Arial" w:hAnsi="Arial" w:cs="Arial"/>
          <w:b/>
          <w:bCs/>
          <w:caps/>
          <w:color w:val="000000"/>
          <w:sz w:val="20"/>
          <w:szCs w:val="20"/>
          <w:lang w:eastAsia="cs-CZ"/>
        </w:rPr>
        <w:t xml:space="preserve">Přehled velkoodběratelů zemního plynu dle přidělených palivových základen </w:t>
      </w:r>
    </w:p>
    <w:p w14:paraId="346886AC"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3368"/>
        <w:gridCol w:w="1527"/>
        <w:gridCol w:w="1514"/>
      </w:tblGrid>
      <w:tr w:rsidR="00D42621" w:rsidRPr="00D42621" w14:paraId="54773E0A"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2903497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odběratel</w:t>
            </w:r>
          </w:p>
        </w:tc>
        <w:tc>
          <w:tcPr>
            <w:tcW w:w="1527" w:type="dxa"/>
            <w:tcBorders>
              <w:top w:val="single" w:sz="6" w:space="0" w:color="auto"/>
              <w:left w:val="single" w:sz="6" w:space="0" w:color="auto"/>
              <w:bottom w:val="single" w:sz="6" w:space="0" w:color="auto"/>
              <w:right w:val="single" w:sz="6" w:space="0" w:color="auto"/>
            </w:tcBorders>
          </w:tcPr>
          <w:p w14:paraId="7E25C03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m3/hod</w:t>
            </w:r>
          </w:p>
        </w:tc>
        <w:tc>
          <w:tcPr>
            <w:tcW w:w="1514" w:type="dxa"/>
            <w:tcBorders>
              <w:top w:val="single" w:sz="6" w:space="0" w:color="auto"/>
              <w:left w:val="single" w:sz="6" w:space="0" w:color="auto"/>
              <w:bottom w:val="single" w:sz="6" w:space="0" w:color="auto"/>
              <w:right w:val="single" w:sz="6" w:space="0" w:color="auto"/>
            </w:tcBorders>
          </w:tcPr>
          <w:p w14:paraId="094C702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tis. m3/rok</w:t>
            </w:r>
          </w:p>
        </w:tc>
      </w:tr>
      <w:tr w:rsidR="00D42621" w:rsidRPr="00D42621" w14:paraId="21E92F16"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7D93F67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HOCO Boletice n.L.</w:t>
            </w:r>
          </w:p>
        </w:tc>
        <w:tc>
          <w:tcPr>
            <w:tcW w:w="1527" w:type="dxa"/>
            <w:tcBorders>
              <w:top w:val="single" w:sz="6" w:space="0" w:color="auto"/>
              <w:left w:val="single" w:sz="6" w:space="0" w:color="auto"/>
              <w:bottom w:val="single" w:sz="6" w:space="0" w:color="auto"/>
              <w:right w:val="single" w:sz="6" w:space="0" w:color="auto"/>
            </w:tcBorders>
          </w:tcPr>
          <w:p w14:paraId="30636EE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240</w:t>
            </w:r>
          </w:p>
        </w:tc>
        <w:tc>
          <w:tcPr>
            <w:tcW w:w="1514" w:type="dxa"/>
            <w:tcBorders>
              <w:top w:val="single" w:sz="6" w:space="0" w:color="auto"/>
              <w:left w:val="single" w:sz="6" w:space="0" w:color="auto"/>
              <w:bottom w:val="single" w:sz="6" w:space="0" w:color="auto"/>
              <w:right w:val="single" w:sz="6" w:space="0" w:color="auto"/>
            </w:tcBorders>
          </w:tcPr>
          <w:p w14:paraId="71A3546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355</w:t>
            </w:r>
          </w:p>
        </w:tc>
      </w:tr>
      <w:tr w:rsidR="00D42621" w:rsidRPr="00D42621" w14:paraId="32BA7BA2"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09C01FA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 xml:space="preserve">Bohemia </w:t>
            </w:r>
            <w:r w:rsidRPr="00D42621">
              <w:rPr>
                <w:rFonts w:ascii="Arial" w:hAnsi="Arial"/>
                <w:color w:val="000000"/>
                <w:sz w:val="18"/>
                <w:szCs w:val="18"/>
                <w:lang w:eastAsia="cs-CZ"/>
              </w:rPr>
              <w:t>Boletice n.L.</w:t>
            </w:r>
          </w:p>
        </w:tc>
        <w:tc>
          <w:tcPr>
            <w:tcW w:w="1527" w:type="dxa"/>
            <w:tcBorders>
              <w:top w:val="single" w:sz="6" w:space="0" w:color="auto"/>
              <w:left w:val="single" w:sz="6" w:space="0" w:color="auto"/>
              <w:bottom w:val="single" w:sz="6" w:space="0" w:color="auto"/>
              <w:right w:val="single" w:sz="6" w:space="0" w:color="auto"/>
            </w:tcBorders>
          </w:tcPr>
          <w:p w14:paraId="2A8B408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260</w:t>
            </w:r>
          </w:p>
        </w:tc>
        <w:tc>
          <w:tcPr>
            <w:tcW w:w="1514" w:type="dxa"/>
            <w:tcBorders>
              <w:top w:val="single" w:sz="6" w:space="0" w:color="auto"/>
              <w:left w:val="single" w:sz="6" w:space="0" w:color="auto"/>
              <w:bottom w:val="single" w:sz="6" w:space="0" w:color="auto"/>
              <w:right w:val="single" w:sz="6" w:space="0" w:color="auto"/>
            </w:tcBorders>
          </w:tcPr>
          <w:p w14:paraId="3B3671DA"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7B2B9BB6"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3725BB9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 xml:space="preserve">Avax </w:t>
            </w:r>
            <w:r w:rsidRPr="00D42621">
              <w:rPr>
                <w:rFonts w:ascii="Arial" w:hAnsi="Arial"/>
                <w:color w:val="000000"/>
                <w:sz w:val="18"/>
                <w:szCs w:val="18"/>
                <w:lang w:eastAsia="cs-CZ"/>
              </w:rPr>
              <w:t>Boletice n.L.</w:t>
            </w:r>
          </w:p>
        </w:tc>
        <w:tc>
          <w:tcPr>
            <w:tcW w:w="1527" w:type="dxa"/>
            <w:tcBorders>
              <w:top w:val="single" w:sz="6" w:space="0" w:color="auto"/>
              <w:left w:val="single" w:sz="6" w:space="0" w:color="auto"/>
              <w:bottom w:val="single" w:sz="6" w:space="0" w:color="auto"/>
              <w:right w:val="single" w:sz="6" w:space="0" w:color="auto"/>
            </w:tcBorders>
          </w:tcPr>
          <w:p w14:paraId="3D9B2DA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125</w:t>
            </w:r>
          </w:p>
        </w:tc>
        <w:tc>
          <w:tcPr>
            <w:tcW w:w="1514" w:type="dxa"/>
            <w:tcBorders>
              <w:top w:val="single" w:sz="6" w:space="0" w:color="auto"/>
              <w:left w:val="single" w:sz="6" w:space="0" w:color="auto"/>
              <w:bottom w:val="single" w:sz="6" w:space="0" w:color="auto"/>
              <w:right w:val="single" w:sz="6" w:space="0" w:color="auto"/>
            </w:tcBorders>
          </w:tcPr>
          <w:p w14:paraId="0532712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235</w:t>
            </w:r>
          </w:p>
        </w:tc>
      </w:tr>
      <w:tr w:rsidR="00D42621" w:rsidRPr="00D42621" w14:paraId="167F386E"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53019E4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SPŠ stavební, Děčín</w:t>
            </w:r>
          </w:p>
        </w:tc>
        <w:tc>
          <w:tcPr>
            <w:tcW w:w="1527" w:type="dxa"/>
            <w:tcBorders>
              <w:top w:val="single" w:sz="6" w:space="0" w:color="auto"/>
              <w:left w:val="single" w:sz="6" w:space="0" w:color="auto"/>
              <w:bottom w:val="single" w:sz="6" w:space="0" w:color="auto"/>
              <w:right w:val="single" w:sz="6" w:space="0" w:color="auto"/>
            </w:tcBorders>
          </w:tcPr>
          <w:p w14:paraId="00232D0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127</w:t>
            </w:r>
          </w:p>
        </w:tc>
        <w:tc>
          <w:tcPr>
            <w:tcW w:w="1514" w:type="dxa"/>
            <w:tcBorders>
              <w:top w:val="single" w:sz="6" w:space="0" w:color="auto"/>
              <w:left w:val="single" w:sz="6" w:space="0" w:color="auto"/>
              <w:bottom w:val="single" w:sz="6" w:space="0" w:color="auto"/>
              <w:right w:val="single" w:sz="6" w:space="0" w:color="auto"/>
            </w:tcBorders>
          </w:tcPr>
          <w:p w14:paraId="6082D70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134</w:t>
            </w:r>
          </w:p>
        </w:tc>
      </w:tr>
      <w:tr w:rsidR="00D42621" w:rsidRPr="00D42621" w14:paraId="14CFB0FE"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29A4878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Loko depo Děčín</w:t>
            </w:r>
          </w:p>
        </w:tc>
        <w:tc>
          <w:tcPr>
            <w:tcW w:w="1527" w:type="dxa"/>
            <w:tcBorders>
              <w:top w:val="single" w:sz="6" w:space="0" w:color="auto"/>
              <w:left w:val="single" w:sz="6" w:space="0" w:color="auto"/>
              <w:bottom w:val="single" w:sz="6" w:space="0" w:color="auto"/>
              <w:right w:val="single" w:sz="6" w:space="0" w:color="auto"/>
            </w:tcBorders>
          </w:tcPr>
          <w:p w14:paraId="27EF853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533</w:t>
            </w:r>
          </w:p>
        </w:tc>
        <w:tc>
          <w:tcPr>
            <w:tcW w:w="1514" w:type="dxa"/>
            <w:tcBorders>
              <w:top w:val="single" w:sz="6" w:space="0" w:color="auto"/>
              <w:left w:val="single" w:sz="6" w:space="0" w:color="auto"/>
              <w:bottom w:val="single" w:sz="6" w:space="0" w:color="auto"/>
              <w:right w:val="single" w:sz="6" w:space="0" w:color="auto"/>
            </w:tcBorders>
          </w:tcPr>
          <w:p w14:paraId="2AD6FDB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472</w:t>
            </w:r>
          </w:p>
        </w:tc>
      </w:tr>
      <w:tr w:rsidR="00D42621" w:rsidRPr="00D42621" w14:paraId="7D4D6662"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7EC5C88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 xml:space="preserve">Karned </w:t>
            </w:r>
            <w:r w:rsidRPr="00D42621">
              <w:rPr>
                <w:rFonts w:ascii="Arial" w:hAnsi="Arial"/>
                <w:color w:val="000000"/>
                <w:sz w:val="18"/>
                <w:szCs w:val="18"/>
                <w:lang w:eastAsia="cs-CZ"/>
              </w:rPr>
              <w:t>Děčín 2, Kamenická</w:t>
            </w:r>
          </w:p>
        </w:tc>
        <w:tc>
          <w:tcPr>
            <w:tcW w:w="1527" w:type="dxa"/>
            <w:tcBorders>
              <w:top w:val="single" w:sz="6" w:space="0" w:color="auto"/>
              <w:left w:val="single" w:sz="6" w:space="0" w:color="auto"/>
              <w:bottom w:val="single" w:sz="6" w:space="0" w:color="auto"/>
              <w:right w:val="single" w:sz="6" w:space="0" w:color="auto"/>
            </w:tcBorders>
          </w:tcPr>
          <w:p w14:paraId="04A9DA9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24</w:t>
            </w:r>
          </w:p>
        </w:tc>
        <w:tc>
          <w:tcPr>
            <w:tcW w:w="1514" w:type="dxa"/>
            <w:tcBorders>
              <w:top w:val="single" w:sz="6" w:space="0" w:color="auto"/>
              <w:left w:val="single" w:sz="6" w:space="0" w:color="auto"/>
              <w:bottom w:val="single" w:sz="6" w:space="0" w:color="auto"/>
              <w:right w:val="single" w:sz="6" w:space="0" w:color="auto"/>
            </w:tcBorders>
          </w:tcPr>
          <w:p w14:paraId="0334026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73</w:t>
            </w:r>
          </w:p>
        </w:tc>
      </w:tr>
      <w:tr w:rsidR="00D42621" w:rsidRPr="00D42621" w14:paraId="216D8733"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1D5DC18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 xml:space="preserve">Termo </w:t>
            </w:r>
            <w:r w:rsidRPr="00D42621">
              <w:rPr>
                <w:rFonts w:ascii="Arial" w:hAnsi="Arial"/>
                <w:color w:val="000000"/>
                <w:sz w:val="18"/>
                <w:szCs w:val="18"/>
                <w:lang w:eastAsia="cs-CZ"/>
              </w:rPr>
              <w:t>a.s. Děčín, Bynov</w:t>
            </w:r>
          </w:p>
        </w:tc>
        <w:tc>
          <w:tcPr>
            <w:tcW w:w="1527" w:type="dxa"/>
            <w:tcBorders>
              <w:top w:val="single" w:sz="6" w:space="0" w:color="auto"/>
              <w:left w:val="single" w:sz="6" w:space="0" w:color="auto"/>
              <w:bottom w:val="single" w:sz="6" w:space="0" w:color="auto"/>
              <w:right w:val="single" w:sz="6" w:space="0" w:color="auto"/>
            </w:tcBorders>
          </w:tcPr>
          <w:p w14:paraId="30D72A0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2 500</w:t>
            </w:r>
          </w:p>
        </w:tc>
        <w:tc>
          <w:tcPr>
            <w:tcW w:w="1514" w:type="dxa"/>
            <w:tcBorders>
              <w:top w:val="single" w:sz="6" w:space="0" w:color="auto"/>
              <w:left w:val="single" w:sz="6" w:space="0" w:color="auto"/>
              <w:bottom w:val="single" w:sz="6" w:space="0" w:color="auto"/>
              <w:right w:val="single" w:sz="6" w:space="0" w:color="auto"/>
            </w:tcBorders>
          </w:tcPr>
          <w:p w14:paraId="4974D0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6 178</w:t>
            </w:r>
          </w:p>
        </w:tc>
      </w:tr>
      <w:tr w:rsidR="00D42621" w:rsidRPr="00D42621" w14:paraId="58259DE1"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01E8649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Labena</w:t>
            </w:r>
            <w:r w:rsidRPr="00D42621">
              <w:rPr>
                <w:rFonts w:ascii="Arial" w:hAnsi="Arial"/>
                <w:color w:val="000000"/>
                <w:sz w:val="18"/>
                <w:szCs w:val="18"/>
                <w:lang w:eastAsia="cs-CZ"/>
              </w:rPr>
              <w:t xml:space="preserve"> Křešice</w:t>
            </w:r>
          </w:p>
        </w:tc>
        <w:tc>
          <w:tcPr>
            <w:tcW w:w="1527" w:type="dxa"/>
            <w:tcBorders>
              <w:top w:val="single" w:sz="6" w:space="0" w:color="auto"/>
              <w:left w:val="single" w:sz="6" w:space="0" w:color="auto"/>
              <w:bottom w:val="single" w:sz="6" w:space="0" w:color="auto"/>
              <w:right w:val="single" w:sz="6" w:space="0" w:color="auto"/>
            </w:tcBorders>
          </w:tcPr>
          <w:p w14:paraId="4B674C5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300</w:t>
            </w:r>
          </w:p>
        </w:tc>
        <w:tc>
          <w:tcPr>
            <w:tcW w:w="1514" w:type="dxa"/>
            <w:tcBorders>
              <w:top w:val="single" w:sz="6" w:space="0" w:color="auto"/>
              <w:left w:val="single" w:sz="6" w:space="0" w:color="auto"/>
              <w:bottom w:val="single" w:sz="6" w:space="0" w:color="auto"/>
              <w:right w:val="single" w:sz="6" w:space="0" w:color="auto"/>
            </w:tcBorders>
          </w:tcPr>
          <w:p w14:paraId="54E7B55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2 940</w:t>
            </w:r>
          </w:p>
        </w:tc>
      </w:tr>
      <w:tr w:rsidR="00D42621" w:rsidRPr="00D42621" w14:paraId="7D391127"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3626AC9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lastRenderedPageBreak/>
              <w:t>Stř. zem. škola Libverda</w:t>
            </w:r>
          </w:p>
        </w:tc>
        <w:tc>
          <w:tcPr>
            <w:tcW w:w="1527" w:type="dxa"/>
            <w:tcBorders>
              <w:top w:val="single" w:sz="6" w:space="0" w:color="auto"/>
              <w:left w:val="single" w:sz="6" w:space="0" w:color="auto"/>
              <w:bottom w:val="single" w:sz="6" w:space="0" w:color="auto"/>
              <w:right w:val="single" w:sz="6" w:space="0" w:color="auto"/>
            </w:tcBorders>
          </w:tcPr>
          <w:p w14:paraId="04B6D26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45</w:t>
            </w:r>
          </w:p>
        </w:tc>
        <w:tc>
          <w:tcPr>
            <w:tcW w:w="1514" w:type="dxa"/>
            <w:tcBorders>
              <w:top w:val="single" w:sz="6" w:space="0" w:color="auto"/>
              <w:left w:val="single" w:sz="6" w:space="0" w:color="auto"/>
              <w:bottom w:val="single" w:sz="6" w:space="0" w:color="auto"/>
              <w:right w:val="single" w:sz="6" w:space="0" w:color="auto"/>
            </w:tcBorders>
          </w:tcPr>
          <w:p w14:paraId="74B274D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81</w:t>
            </w:r>
          </w:p>
        </w:tc>
      </w:tr>
      <w:tr w:rsidR="00D42621" w:rsidRPr="00D42621" w14:paraId="7FC70EFA"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1153F61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Gymnazium Děčín</w:t>
            </w:r>
          </w:p>
        </w:tc>
        <w:tc>
          <w:tcPr>
            <w:tcW w:w="1527" w:type="dxa"/>
            <w:tcBorders>
              <w:top w:val="single" w:sz="6" w:space="0" w:color="auto"/>
              <w:left w:val="single" w:sz="6" w:space="0" w:color="auto"/>
              <w:bottom w:val="single" w:sz="6" w:space="0" w:color="auto"/>
              <w:right w:val="single" w:sz="6" w:space="0" w:color="auto"/>
            </w:tcBorders>
          </w:tcPr>
          <w:p w14:paraId="5D1479A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77</w:t>
            </w:r>
          </w:p>
        </w:tc>
        <w:tc>
          <w:tcPr>
            <w:tcW w:w="1514" w:type="dxa"/>
            <w:tcBorders>
              <w:top w:val="single" w:sz="6" w:space="0" w:color="auto"/>
              <w:left w:val="single" w:sz="6" w:space="0" w:color="auto"/>
              <w:bottom w:val="single" w:sz="6" w:space="0" w:color="auto"/>
              <w:right w:val="single" w:sz="6" w:space="0" w:color="auto"/>
            </w:tcBorders>
          </w:tcPr>
          <w:p w14:paraId="758B65A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65</w:t>
            </w:r>
          </w:p>
        </w:tc>
      </w:tr>
      <w:tr w:rsidR="00D42621" w:rsidRPr="00D42621" w14:paraId="36269D22"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12969B4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Termo</w:t>
            </w:r>
            <w:r w:rsidRPr="00D42621">
              <w:rPr>
                <w:rFonts w:ascii="Arial" w:hAnsi="Arial"/>
                <w:color w:val="000000"/>
                <w:sz w:val="18"/>
                <w:szCs w:val="18"/>
                <w:lang w:eastAsia="cs-CZ"/>
              </w:rPr>
              <w:t xml:space="preserve"> a.s. Děčín, 17. listopadu</w:t>
            </w:r>
          </w:p>
        </w:tc>
        <w:tc>
          <w:tcPr>
            <w:tcW w:w="1527" w:type="dxa"/>
            <w:tcBorders>
              <w:top w:val="single" w:sz="6" w:space="0" w:color="auto"/>
              <w:left w:val="single" w:sz="6" w:space="0" w:color="auto"/>
              <w:bottom w:val="single" w:sz="6" w:space="0" w:color="auto"/>
              <w:right w:val="single" w:sz="6" w:space="0" w:color="auto"/>
            </w:tcBorders>
          </w:tcPr>
          <w:p w14:paraId="36CF185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32</w:t>
            </w:r>
          </w:p>
        </w:tc>
        <w:tc>
          <w:tcPr>
            <w:tcW w:w="1514" w:type="dxa"/>
            <w:tcBorders>
              <w:top w:val="single" w:sz="6" w:space="0" w:color="auto"/>
              <w:left w:val="single" w:sz="6" w:space="0" w:color="auto"/>
              <w:bottom w:val="single" w:sz="6" w:space="0" w:color="auto"/>
              <w:right w:val="single" w:sz="6" w:space="0" w:color="auto"/>
            </w:tcBorders>
          </w:tcPr>
          <w:p w14:paraId="41E62BA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114</w:t>
            </w:r>
          </w:p>
        </w:tc>
      </w:tr>
      <w:tr w:rsidR="00D42621" w:rsidRPr="00D42621" w14:paraId="7F85C771"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026702E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Svč. pekárny Děčín, Dělnická</w:t>
            </w:r>
          </w:p>
        </w:tc>
        <w:tc>
          <w:tcPr>
            <w:tcW w:w="1527" w:type="dxa"/>
            <w:tcBorders>
              <w:top w:val="single" w:sz="6" w:space="0" w:color="auto"/>
              <w:left w:val="single" w:sz="6" w:space="0" w:color="auto"/>
              <w:bottom w:val="single" w:sz="6" w:space="0" w:color="auto"/>
              <w:right w:val="single" w:sz="6" w:space="0" w:color="auto"/>
            </w:tcBorders>
          </w:tcPr>
          <w:p w14:paraId="44E76B2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108</w:t>
            </w:r>
          </w:p>
        </w:tc>
        <w:tc>
          <w:tcPr>
            <w:tcW w:w="1514" w:type="dxa"/>
            <w:tcBorders>
              <w:top w:val="single" w:sz="6" w:space="0" w:color="auto"/>
              <w:left w:val="single" w:sz="6" w:space="0" w:color="auto"/>
              <w:bottom w:val="single" w:sz="6" w:space="0" w:color="auto"/>
              <w:right w:val="single" w:sz="6" w:space="0" w:color="auto"/>
            </w:tcBorders>
          </w:tcPr>
          <w:p w14:paraId="7D068E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172</w:t>
            </w:r>
          </w:p>
        </w:tc>
      </w:tr>
      <w:tr w:rsidR="00D42621" w:rsidRPr="00D42621" w14:paraId="6076CB15"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4A41382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Výrobna lahůdek, Goldberg, Dělnická</w:t>
            </w:r>
          </w:p>
        </w:tc>
        <w:tc>
          <w:tcPr>
            <w:tcW w:w="1527" w:type="dxa"/>
            <w:tcBorders>
              <w:top w:val="single" w:sz="6" w:space="0" w:color="auto"/>
              <w:left w:val="single" w:sz="6" w:space="0" w:color="auto"/>
              <w:bottom w:val="single" w:sz="6" w:space="0" w:color="auto"/>
              <w:right w:val="single" w:sz="6" w:space="0" w:color="auto"/>
            </w:tcBorders>
          </w:tcPr>
          <w:p w14:paraId="431424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30</w:t>
            </w:r>
          </w:p>
        </w:tc>
        <w:tc>
          <w:tcPr>
            <w:tcW w:w="1514" w:type="dxa"/>
            <w:tcBorders>
              <w:top w:val="single" w:sz="6" w:space="0" w:color="auto"/>
              <w:left w:val="single" w:sz="6" w:space="0" w:color="auto"/>
              <w:bottom w:val="single" w:sz="6" w:space="0" w:color="auto"/>
              <w:right w:val="single" w:sz="6" w:space="0" w:color="auto"/>
            </w:tcBorders>
          </w:tcPr>
          <w:p w14:paraId="76DB91D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60</w:t>
            </w:r>
          </w:p>
        </w:tc>
      </w:tr>
      <w:tr w:rsidR="00D42621" w:rsidRPr="00D42621" w14:paraId="646E2A3F"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4859C6B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Dopravní podnik Dč., Dělnická</w:t>
            </w:r>
          </w:p>
        </w:tc>
        <w:tc>
          <w:tcPr>
            <w:tcW w:w="1527" w:type="dxa"/>
            <w:tcBorders>
              <w:top w:val="single" w:sz="6" w:space="0" w:color="auto"/>
              <w:left w:val="single" w:sz="6" w:space="0" w:color="auto"/>
              <w:bottom w:val="single" w:sz="6" w:space="0" w:color="auto"/>
              <w:right w:val="single" w:sz="6" w:space="0" w:color="auto"/>
            </w:tcBorders>
          </w:tcPr>
          <w:p w14:paraId="3729050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104</w:t>
            </w:r>
          </w:p>
        </w:tc>
        <w:tc>
          <w:tcPr>
            <w:tcW w:w="1514" w:type="dxa"/>
            <w:tcBorders>
              <w:top w:val="single" w:sz="6" w:space="0" w:color="auto"/>
              <w:left w:val="single" w:sz="6" w:space="0" w:color="auto"/>
              <w:bottom w:val="single" w:sz="6" w:space="0" w:color="auto"/>
              <w:right w:val="single" w:sz="6" w:space="0" w:color="auto"/>
            </w:tcBorders>
          </w:tcPr>
          <w:p w14:paraId="3BB3311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172</w:t>
            </w:r>
          </w:p>
        </w:tc>
      </w:tr>
      <w:tr w:rsidR="00D42621" w:rsidRPr="00D42621" w14:paraId="2FD022CB"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7157A14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 xml:space="preserve">Termo </w:t>
            </w:r>
            <w:r w:rsidRPr="00D42621">
              <w:rPr>
                <w:rFonts w:ascii="Arial" w:hAnsi="Arial"/>
                <w:color w:val="000000"/>
                <w:sz w:val="18"/>
                <w:szCs w:val="18"/>
                <w:lang w:eastAsia="cs-CZ"/>
              </w:rPr>
              <w:t>a.s.Děčín, Dělnická 11</w:t>
            </w:r>
          </w:p>
        </w:tc>
        <w:tc>
          <w:tcPr>
            <w:tcW w:w="1527" w:type="dxa"/>
            <w:tcBorders>
              <w:top w:val="single" w:sz="6" w:space="0" w:color="auto"/>
              <w:left w:val="single" w:sz="6" w:space="0" w:color="auto"/>
              <w:bottom w:val="single" w:sz="6" w:space="0" w:color="auto"/>
              <w:right w:val="single" w:sz="6" w:space="0" w:color="auto"/>
            </w:tcBorders>
          </w:tcPr>
          <w:p w14:paraId="49D229C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1 700</w:t>
            </w:r>
          </w:p>
        </w:tc>
        <w:tc>
          <w:tcPr>
            <w:tcW w:w="1514" w:type="dxa"/>
            <w:tcBorders>
              <w:top w:val="single" w:sz="6" w:space="0" w:color="auto"/>
              <w:left w:val="single" w:sz="6" w:space="0" w:color="auto"/>
              <w:bottom w:val="single" w:sz="6" w:space="0" w:color="auto"/>
              <w:right w:val="single" w:sz="6" w:space="0" w:color="auto"/>
            </w:tcBorders>
          </w:tcPr>
          <w:p w14:paraId="1E9AB2F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9 300</w:t>
            </w:r>
          </w:p>
        </w:tc>
      </w:tr>
      <w:tr w:rsidR="00D42621" w:rsidRPr="00D42621" w14:paraId="285333AC"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5ED38BA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SOU strojírenské, Dč.,Dělnická 15</w:t>
            </w:r>
          </w:p>
        </w:tc>
        <w:tc>
          <w:tcPr>
            <w:tcW w:w="1527" w:type="dxa"/>
            <w:tcBorders>
              <w:top w:val="single" w:sz="6" w:space="0" w:color="auto"/>
              <w:left w:val="single" w:sz="6" w:space="0" w:color="auto"/>
              <w:bottom w:val="single" w:sz="6" w:space="0" w:color="auto"/>
              <w:right w:val="single" w:sz="6" w:space="0" w:color="auto"/>
            </w:tcBorders>
          </w:tcPr>
          <w:p w14:paraId="74A1719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16</w:t>
            </w:r>
          </w:p>
        </w:tc>
        <w:tc>
          <w:tcPr>
            <w:tcW w:w="1514" w:type="dxa"/>
            <w:tcBorders>
              <w:top w:val="single" w:sz="6" w:space="0" w:color="auto"/>
              <w:left w:val="single" w:sz="6" w:space="0" w:color="auto"/>
              <w:bottom w:val="single" w:sz="6" w:space="0" w:color="auto"/>
              <w:right w:val="single" w:sz="6" w:space="0" w:color="auto"/>
            </w:tcBorders>
          </w:tcPr>
          <w:p w14:paraId="708E90B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82</w:t>
            </w:r>
          </w:p>
        </w:tc>
      </w:tr>
      <w:tr w:rsidR="00D42621" w:rsidRPr="00D42621" w14:paraId="4C2F08BD"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1AF209F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Ryko</w:t>
            </w:r>
            <w:r w:rsidRPr="00D42621">
              <w:rPr>
                <w:rFonts w:ascii="Arial" w:hAnsi="Arial"/>
                <w:color w:val="000000"/>
                <w:sz w:val="18"/>
                <w:szCs w:val="18"/>
                <w:lang w:eastAsia="cs-CZ"/>
              </w:rPr>
              <w:t>, Dč.,Dělnická 29</w:t>
            </w:r>
          </w:p>
        </w:tc>
        <w:tc>
          <w:tcPr>
            <w:tcW w:w="1527" w:type="dxa"/>
            <w:tcBorders>
              <w:top w:val="single" w:sz="6" w:space="0" w:color="auto"/>
              <w:left w:val="single" w:sz="6" w:space="0" w:color="auto"/>
              <w:bottom w:val="single" w:sz="6" w:space="0" w:color="auto"/>
              <w:right w:val="single" w:sz="6" w:space="0" w:color="auto"/>
            </w:tcBorders>
          </w:tcPr>
          <w:p w14:paraId="52749F8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112</w:t>
            </w:r>
          </w:p>
        </w:tc>
        <w:tc>
          <w:tcPr>
            <w:tcW w:w="1514" w:type="dxa"/>
            <w:tcBorders>
              <w:top w:val="single" w:sz="6" w:space="0" w:color="auto"/>
              <w:left w:val="single" w:sz="6" w:space="0" w:color="auto"/>
              <w:bottom w:val="single" w:sz="6" w:space="0" w:color="auto"/>
              <w:right w:val="single" w:sz="6" w:space="0" w:color="auto"/>
            </w:tcBorders>
          </w:tcPr>
          <w:p w14:paraId="5F188EE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160</w:t>
            </w:r>
          </w:p>
        </w:tc>
      </w:tr>
      <w:tr w:rsidR="00D42621" w:rsidRPr="00D42621" w14:paraId="4E6F3A5B"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436F05D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Ryko</w:t>
            </w:r>
            <w:r w:rsidRPr="00D42621">
              <w:rPr>
                <w:rFonts w:ascii="Arial" w:hAnsi="Arial"/>
                <w:color w:val="000000"/>
                <w:sz w:val="18"/>
                <w:szCs w:val="18"/>
                <w:lang w:eastAsia="cs-CZ"/>
              </w:rPr>
              <w:t>, Dč.,Dělnická 29</w:t>
            </w:r>
          </w:p>
        </w:tc>
        <w:tc>
          <w:tcPr>
            <w:tcW w:w="1527" w:type="dxa"/>
            <w:tcBorders>
              <w:top w:val="single" w:sz="6" w:space="0" w:color="auto"/>
              <w:left w:val="single" w:sz="6" w:space="0" w:color="auto"/>
              <w:bottom w:val="single" w:sz="6" w:space="0" w:color="auto"/>
              <w:right w:val="single" w:sz="6" w:space="0" w:color="auto"/>
            </w:tcBorders>
          </w:tcPr>
          <w:p w14:paraId="153EDD8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162</w:t>
            </w:r>
          </w:p>
        </w:tc>
        <w:tc>
          <w:tcPr>
            <w:tcW w:w="1514" w:type="dxa"/>
            <w:tcBorders>
              <w:top w:val="single" w:sz="6" w:space="0" w:color="auto"/>
              <w:left w:val="single" w:sz="6" w:space="0" w:color="auto"/>
              <w:bottom w:val="single" w:sz="6" w:space="0" w:color="auto"/>
              <w:right w:val="single" w:sz="6" w:space="0" w:color="auto"/>
            </w:tcBorders>
          </w:tcPr>
          <w:p w14:paraId="27C512C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309</w:t>
            </w:r>
          </w:p>
        </w:tc>
      </w:tr>
      <w:tr w:rsidR="00D42621" w:rsidRPr="00D42621" w14:paraId="715FF6FA"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1C1EA6E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Termo</w:t>
            </w:r>
            <w:r w:rsidRPr="00D42621">
              <w:rPr>
                <w:rFonts w:ascii="Arial" w:hAnsi="Arial"/>
                <w:color w:val="000000"/>
                <w:sz w:val="18"/>
                <w:szCs w:val="18"/>
                <w:lang w:eastAsia="cs-CZ"/>
              </w:rPr>
              <w:t xml:space="preserve"> a.s. Děčín, Kaštanová, jídelna</w:t>
            </w:r>
          </w:p>
        </w:tc>
        <w:tc>
          <w:tcPr>
            <w:tcW w:w="1527" w:type="dxa"/>
            <w:tcBorders>
              <w:top w:val="single" w:sz="6" w:space="0" w:color="auto"/>
              <w:left w:val="single" w:sz="6" w:space="0" w:color="auto"/>
              <w:bottom w:val="single" w:sz="6" w:space="0" w:color="auto"/>
              <w:right w:val="single" w:sz="6" w:space="0" w:color="auto"/>
            </w:tcBorders>
          </w:tcPr>
          <w:p w14:paraId="5EF4B5D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87</w:t>
            </w:r>
          </w:p>
        </w:tc>
        <w:tc>
          <w:tcPr>
            <w:tcW w:w="1514" w:type="dxa"/>
            <w:tcBorders>
              <w:top w:val="single" w:sz="6" w:space="0" w:color="auto"/>
              <w:left w:val="single" w:sz="6" w:space="0" w:color="auto"/>
              <w:bottom w:val="single" w:sz="6" w:space="0" w:color="auto"/>
              <w:right w:val="single" w:sz="6" w:space="0" w:color="auto"/>
            </w:tcBorders>
          </w:tcPr>
          <w:p w14:paraId="6CF0EA7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214</w:t>
            </w:r>
          </w:p>
        </w:tc>
      </w:tr>
      <w:tr w:rsidR="00D42621" w:rsidRPr="00D42621" w14:paraId="2169718F"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0992B88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Karned</w:t>
            </w:r>
            <w:r w:rsidRPr="00D42621">
              <w:rPr>
                <w:rFonts w:ascii="Arial" w:hAnsi="Arial"/>
                <w:color w:val="000000"/>
                <w:sz w:val="18"/>
                <w:szCs w:val="18"/>
                <w:lang w:eastAsia="cs-CZ"/>
              </w:rPr>
              <w:t>, Děčín,Krokova 6</w:t>
            </w:r>
          </w:p>
        </w:tc>
        <w:tc>
          <w:tcPr>
            <w:tcW w:w="1527" w:type="dxa"/>
            <w:tcBorders>
              <w:top w:val="single" w:sz="6" w:space="0" w:color="auto"/>
              <w:left w:val="single" w:sz="6" w:space="0" w:color="auto"/>
              <w:bottom w:val="single" w:sz="6" w:space="0" w:color="auto"/>
              <w:right w:val="single" w:sz="6" w:space="0" w:color="auto"/>
            </w:tcBorders>
          </w:tcPr>
          <w:p w14:paraId="5CBECA1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33</w:t>
            </w:r>
          </w:p>
        </w:tc>
        <w:tc>
          <w:tcPr>
            <w:tcW w:w="1514" w:type="dxa"/>
            <w:tcBorders>
              <w:top w:val="single" w:sz="6" w:space="0" w:color="auto"/>
              <w:left w:val="single" w:sz="6" w:space="0" w:color="auto"/>
              <w:bottom w:val="single" w:sz="6" w:space="0" w:color="auto"/>
              <w:right w:val="single" w:sz="6" w:space="0" w:color="auto"/>
            </w:tcBorders>
          </w:tcPr>
          <w:p w14:paraId="1E5AEE0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360</w:t>
            </w:r>
          </w:p>
        </w:tc>
      </w:tr>
      <w:tr w:rsidR="00D42621" w:rsidRPr="00D42621" w14:paraId="7B88926B"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6536429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Desta klub</w:t>
            </w:r>
            <w:r w:rsidRPr="00D42621">
              <w:rPr>
                <w:rFonts w:ascii="Arial" w:hAnsi="Arial"/>
                <w:color w:val="000000"/>
                <w:sz w:val="18"/>
                <w:szCs w:val="18"/>
                <w:lang w:eastAsia="cs-CZ"/>
              </w:rPr>
              <w:t>, Děčín,Labská 691</w:t>
            </w:r>
          </w:p>
        </w:tc>
        <w:tc>
          <w:tcPr>
            <w:tcW w:w="1527" w:type="dxa"/>
            <w:tcBorders>
              <w:top w:val="single" w:sz="6" w:space="0" w:color="auto"/>
              <w:left w:val="single" w:sz="6" w:space="0" w:color="auto"/>
              <w:bottom w:val="single" w:sz="6" w:space="0" w:color="auto"/>
              <w:right w:val="single" w:sz="6" w:space="0" w:color="auto"/>
            </w:tcBorders>
          </w:tcPr>
          <w:p w14:paraId="6DA51A7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60</w:t>
            </w:r>
          </w:p>
        </w:tc>
        <w:tc>
          <w:tcPr>
            <w:tcW w:w="1514" w:type="dxa"/>
            <w:tcBorders>
              <w:top w:val="single" w:sz="6" w:space="0" w:color="auto"/>
              <w:left w:val="single" w:sz="6" w:space="0" w:color="auto"/>
              <w:bottom w:val="single" w:sz="6" w:space="0" w:color="auto"/>
              <w:right w:val="single" w:sz="6" w:space="0" w:color="auto"/>
            </w:tcBorders>
          </w:tcPr>
          <w:p w14:paraId="71F5BE0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100</w:t>
            </w:r>
          </w:p>
        </w:tc>
      </w:tr>
      <w:tr w:rsidR="00D42621" w:rsidRPr="00D42621" w14:paraId="6982BC7E"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41661EC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Diana</w:t>
            </w:r>
            <w:r w:rsidRPr="00D42621">
              <w:rPr>
                <w:rFonts w:ascii="Arial" w:hAnsi="Arial"/>
                <w:color w:val="000000"/>
                <w:sz w:val="18"/>
                <w:szCs w:val="18"/>
                <w:lang w:eastAsia="cs-CZ"/>
              </w:rPr>
              <w:t>, Děčín</w:t>
            </w:r>
          </w:p>
        </w:tc>
        <w:tc>
          <w:tcPr>
            <w:tcW w:w="1527" w:type="dxa"/>
            <w:tcBorders>
              <w:top w:val="single" w:sz="6" w:space="0" w:color="auto"/>
              <w:left w:val="single" w:sz="6" w:space="0" w:color="auto"/>
              <w:bottom w:val="single" w:sz="6" w:space="0" w:color="auto"/>
              <w:right w:val="single" w:sz="6" w:space="0" w:color="auto"/>
            </w:tcBorders>
          </w:tcPr>
          <w:p w14:paraId="05B6FD7A"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514" w:type="dxa"/>
            <w:tcBorders>
              <w:top w:val="single" w:sz="6" w:space="0" w:color="auto"/>
              <w:left w:val="single" w:sz="6" w:space="0" w:color="auto"/>
              <w:bottom w:val="single" w:sz="6" w:space="0" w:color="auto"/>
              <w:right w:val="single" w:sz="6" w:space="0" w:color="auto"/>
            </w:tcBorders>
          </w:tcPr>
          <w:p w14:paraId="5826F49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20</w:t>
            </w:r>
          </w:p>
        </w:tc>
      </w:tr>
      <w:tr w:rsidR="00D42621" w:rsidRPr="00D42621" w14:paraId="0454BB21"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578613F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Hotel Česká koruna, DC,Masarykovo n.</w:t>
            </w:r>
          </w:p>
        </w:tc>
        <w:tc>
          <w:tcPr>
            <w:tcW w:w="1527" w:type="dxa"/>
            <w:tcBorders>
              <w:top w:val="single" w:sz="6" w:space="0" w:color="auto"/>
              <w:left w:val="single" w:sz="6" w:space="0" w:color="auto"/>
              <w:bottom w:val="single" w:sz="6" w:space="0" w:color="auto"/>
              <w:right w:val="single" w:sz="6" w:space="0" w:color="auto"/>
            </w:tcBorders>
          </w:tcPr>
          <w:p w14:paraId="4DB92E5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55</w:t>
            </w:r>
          </w:p>
        </w:tc>
        <w:tc>
          <w:tcPr>
            <w:tcW w:w="1514" w:type="dxa"/>
            <w:tcBorders>
              <w:top w:val="single" w:sz="6" w:space="0" w:color="auto"/>
              <w:left w:val="single" w:sz="6" w:space="0" w:color="auto"/>
              <w:bottom w:val="single" w:sz="6" w:space="0" w:color="auto"/>
              <w:right w:val="single" w:sz="6" w:space="0" w:color="auto"/>
            </w:tcBorders>
          </w:tcPr>
          <w:p w14:paraId="5434B01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129</w:t>
            </w:r>
          </w:p>
        </w:tc>
      </w:tr>
      <w:tr w:rsidR="00D42621" w:rsidRPr="00D42621" w14:paraId="38E2B499"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419B80C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ČS. pekař. společ. DC,Na hrázi 149</w:t>
            </w:r>
          </w:p>
        </w:tc>
        <w:tc>
          <w:tcPr>
            <w:tcW w:w="1527" w:type="dxa"/>
            <w:tcBorders>
              <w:top w:val="single" w:sz="6" w:space="0" w:color="auto"/>
              <w:left w:val="single" w:sz="6" w:space="0" w:color="auto"/>
              <w:bottom w:val="single" w:sz="6" w:space="0" w:color="auto"/>
              <w:right w:val="single" w:sz="6" w:space="0" w:color="auto"/>
            </w:tcBorders>
          </w:tcPr>
          <w:p w14:paraId="05A76CE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24</w:t>
            </w:r>
          </w:p>
        </w:tc>
        <w:tc>
          <w:tcPr>
            <w:tcW w:w="1514" w:type="dxa"/>
            <w:tcBorders>
              <w:top w:val="single" w:sz="6" w:space="0" w:color="auto"/>
              <w:left w:val="single" w:sz="6" w:space="0" w:color="auto"/>
              <w:bottom w:val="single" w:sz="6" w:space="0" w:color="auto"/>
              <w:right w:val="single" w:sz="6" w:space="0" w:color="auto"/>
            </w:tcBorders>
          </w:tcPr>
          <w:p w14:paraId="030A301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193</w:t>
            </w:r>
          </w:p>
        </w:tc>
      </w:tr>
      <w:tr w:rsidR="00D42621" w:rsidRPr="00D42621" w14:paraId="2A602991"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6C3722C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ZŠ Na stráni ,Děčín</w:t>
            </w:r>
          </w:p>
        </w:tc>
        <w:tc>
          <w:tcPr>
            <w:tcW w:w="1527" w:type="dxa"/>
            <w:tcBorders>
              <w:top w:val="single" w:sz="6" w:space="0" w:color="auto"/>
              <w:left w:val="single" w:sz="6" w:space="0" w:color="auto"/>
              <w:bottom w:val="single" w:sz="6" w:space="0" w:color="auto"/>
              <w:right w:val="single" w:sz="6" w:space="0" w:color="auto"/>
            </w:tcBorders>
          </w:tcPr>
          <w:p w14:paraId="1A3F25C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38</w:t>
            </w:r>
          </w:p>
        </w:tc>
        <w:tc>
          <w:tcPr>
            <w:tcW w:w="1514" w:type="dxa"/>
            <w:tcBorders>
              <w:top w:val="single" w:sz="6" w:space="0" w:color="auto"/>
              <w:left w:val="single" w:sz="6" w:space="0" w:color="auto"/>
              <w:bottom w:val="single" w:sz="6" w:space="0" w:color="auto"/>
              <w:right w:val="single" w:sz="6" w:space="0" w:color="auto"/>
            </w:tcBorders>
          </w:tcPr>
          <w:p w14:paraId="039947B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65</w:t>
            </w:r>
          </w:p>
        </w:tc>
      </w:tr>
      <w:tr w:rsidR="00D42621" w:rsidRPr="00D42621" w14:paraId="3581586A"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4627787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 xml:space="preserve">Termo </w:t>
            </w:r>
            <w:r w:rsidRPr="00D42621">
              <w:rPr>
                <w:rFonts w:ascii="Arial" w:hAnsi="Arial"/>
                <w:color w:val="000000"/>
                <w:sz w:val="18"/>
                <w:szCs w:val="18"/>
                <w:lang w:eastAsia="cs-CZ"/>
              </w:rPr>
              <w:t>a.s.Děčín, Nedbalova 1287/7</w:t>
            </w:r>
          </w:p>
        </w:tc>
        <w:tc>
          <w:tcPr>
            <w:tcW w:w="1527" w:type="dxa"/>
            <w:tcBorders>
              <w:top w:val="single" w:sz="6" w:space="0" w:color="auto"/>
              <w:left w:val="single" w:sz="6" w:space="0" w:color="auto"/>
              <w:bottom w:val="single" w:sz="6" w:space="0" w:color="auto"/>
              <w:right w:val="single" w:sz="6" w:space="0" w:color="auto"/>
            </w:tcBorders>
          </w:tcPr>
          <w:p w14:paraId="7345506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97</w:t>
            </w:r>
          </w:p>
        </w:tc>
        <w:tc>
          <w:tcPr>
            <w:tcW w:w="1514" w:type="dxa"/>
            <w:tcBorders>
              <w:top w:val="single" w:sz="6" w:space="0" w:color="auto"/>
              <w:left w:val="single" w:sz="6" w:space="0" w:color="auto"/>
              <w:bottom w:val="single" w:sz="6" w:space="0" w:color="auto"/>
              <w:right w:val="single" w:sz="6" w:space="0" w:color="auto"/>
            </w:tcBorders>
          </w:tcPr>
          <w:p w14:paraId="452B9F0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325</w:t>
            </w:r>
          </w:p>
        </w:tc>
      </w:tr>
      <w:tr w:rsidR="00D42621" w:rsidRPr="00D42621" w14:paraId="1B7243AF"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3E29B82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Silike</w:t>
            </w:r>
            <w:r w:rsidRPr="00D42621">
              <w:rPr>
                <w:rFonts w:ascii="Arial" w:hAnsi="Arial"/>
                <w:color w:val="000000"/>
                <w:sz w:val="18"/>
                <w:szCs w:val="18"/>
                <w:lang w:eastAsia="cs-CZ"/>
              </w:rPr>
              <w:t>, Rozbělesy, Obchodní 429</w:t>
            </w:r>
          </w:p>
        </w:tc>
        <w:tc>
          <w:tcPr>
            <w:tcW w:w="1527" w:type="dxa"/>
            <w:tcBorders>
              <w:top w:val="single" w:sz="6" w:space="0" w:color="auto"/>
              <w:left w:val="single" w:sz="6" w:space="0" w:color="auto"/>
              <w:bottom w:val="single" w:sz="6" w:space="0" w:color="auto"/>
              <w:right w:val="single" w:sz="6" w:space="0" w:color="auto"/>
            </w:tcBorders>
          </w:tcPr>
          <w:p w14:paraId="618B256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930</w:t>
            </w:r>
          </w:p>
        </w:tc>
        <w:tc>
          <w:tcPr>
            <w:tcW w:w="1514" w:type="dxa"/>
            <w:tcBorders>
              <w:top w:val="single" w:sz="6" w:space="0" w:color="auto"/>
              <w:left w:val="single" w:sz="6" w:space="0" w:color="auto"/>
              <w:bottom w:val="single" w:sz="6" w:space="0" w:color="auto"/>
              <w:right w:val="single" w:sz="6" w:space="0" w:color="auto"/>
            </w:tcBorders>
          </w:tcPr>
          <w:p w14:paraId="3226F42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2 830</w:t>
            </w:r>
          </w:p>
        </w:tc>
      </w:tr>
      <w:tr w:rsidR="00D42621" w:rsidRPr="00D42621" w14:paraId="33A2E2C9"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099B422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 xml:space="preserve">Kovošrot </w:t>
            </w:r>
            <w:r w:rsidRPr="00D42621">
              <w:rPr>
                <w:rFonts w:ascii="Arial" w:hAnsi="Arial"/>
                <w:color w:val="000000"/>
                <w:sz w:val="16"/>
                <w:szCs w:val="16"/>
                <w:lang w:eastAsia="cs-CZ"/>
              </w:rPr>
              <w:t xml:space="preserve"> Rozbělesy</w:t>
            </w:r>
          </w:p>
        </w:tc>
        <w:tc>
          <w:tcPr>
            <w:tcW w:w="1527" w:type="dxa"/>
            <w:tcBorders>
              <w:top w:val="single" w:sz="6" w:space="0" w:color="auto"/>
              <w:left w:val="single" w:sz="6" w:space="0" w:color="auto"/>
              <w:bottom w:val="single" w:sz="6" w:space="0" w:color="auto"/>
              <w:right w:val="single" w:sz="6" w:space="0" w:color="auto"/>
            </w:tcBorders>
          </w:tcPr>
          <w:p w14:paraId="24469BA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90</w:t>
            </w:r>
          </w:p>
        </w:tc>
        <w:tc>
          <w:tcPr>
            <w:tcW w:w="1514" w:type="dxa"/>
            <w:tcBorders>
              <w:top w:val="single" w:sz="6" w:space="0" w:color="auto"/>
              <w:left w:val="single" w:sz="6" w:space="0" w:color="auto"/>
              <w:bottom w:val="single" w:sz="6" w:space="0" w:color="auto"/>
              <w:right w:val="single" w:sz="6" w:space="0" w:color="auto"/>
            </w:tcBorders>
          </w:tcPr>
          <w:p w14:paraId="43CD3CD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90</w:t>
            </w:r>
          </w:p>
        </w:tc>
      </w:tr>
      <w:tr w:rsidR="00D42621" w:rsidRPr="00D42621" w14:paraId="54A4E265"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0AE3101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Obchod. dům</w:t>
            </w:r>
            <w:r w:rsidRPr="00D42621">
              <w:rPr>
                <w:rFonts w:ascii="Arial" w:hAnsi="Arial"/>
                <w:caps/>
                <w:color w:val="000000"/>
                <w:sz w:val="18"/>
                <w:szCs w:val="18"/>
                <w:lang w:eastAsia="cs-CZ"/>
              </w:rPr>
              <w:t xml:space="preserve"> Koral</w:t>
            </w:r>
            <w:r w:rsidRPr="00D42621">
              <w:rPr>
                <w:rFonts w:ascii="Arial" w:hAnsi="Arial"/>
                <w:color w:val="000000"/>
                <w:sz w:val="18"/>
                <w:szCs w:val="18"/>
                <w:lang w:eastAsia="cs-CZ"/>
              </w:rPr>
              <w:t xml:space="preserve"> Podmokly</w:t>
            </w:r>
          </w:p>
        </w:tc>
        <w:tc>
          <w:tcPr>
            <w:tcW w:w="1527" w:type="dxa"/>
            <w:tcBorders>
              <w:top w:val="single" w:sz="6" w:space="0" w:color="auto"/>
              <w:left w:val="single" w:sz="6" w:space="0" w:color="auto"/>
              <w:bottom w:val="single" w:sz="6" w:space="0" w:color="auto"/>
              <w:right w:val="single" w:sz="6" w:space="0" w:color="auto"/>
            </w:tcBorders>
          </w:tcPr>
          <w:p w14:paraId="43ECF86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170</w:t>
            </w:r>
          </w:p>
        </w:tc>
        <w:tc>
          <w:tcPr>
            <w:tcW w:w="1514" w:type="dxa"/>
            <w:tcBorders>
              <w:top w:val="single" w:sz="6" w:space="0" w:color="auto"/>
              <w:left w:val="single" w:sz="6" w:space="0" w:color="auto"/>
              <w:bottom w:val="single" w:sz="6" w:space="0" w:color="auto"/>
              <w:right w:val="single" w:sz="6" w:space="0" w:color="auto"/>
            </w:tcBorders>
          </w:tcPr>
          <w:p w14:paraId="750179A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219</w:t>
            </w:r>
          </w:p>
        </w:tc>
      </w:tr>
      <w:tr w:rsidR="00D42621" w:rsidRPr="00D42621" w14:paraId="256AEF81"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548E17B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Sč. pekárny a cukrárny, St. Město</w:t>
            </w:r>
          </w:p>
        </w:tc>
        <w:tc>
          <w:tcPr>
            <w:tcW w:w="1527" w:type="dxa"/>
            <w:tcBorders>
              <w:top w:val="single" w:sz="6" w:space="0" w:color="auto"/>
              <w:left w:val="single" w:sz="6" w:space="0" w:color="auto"/>
              <w:bottom w:val="single" w:sz="6" w:space="0" w:color="auto"/>
              <w:right w:val="single" w:sz="6" w:space="0" w:color="auto"/>
            </w:tcBorders>
          </w:tcPr>
          <w:p w14:paraId="6A312F0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293</w:t>
            </w:r>
          </w:p>
        </w:tc>
        <w:tc>
          <w:tcPr>
            <w:tcW w:w="1514" w:type="dxa"/>
            <w:tcBorders>
              <w:top w:val="single" w:sz="6" w:space="0" w:color="auto"/>
              <w:left w:val="single" w:sz="6" w:space="0" w:color="auto"/>
              <w:bottom w:val="single" w:sz="6" w:space="0" w:color="auto"/>
              <w:right w:val="single" w:sz="6" w:space="0" w:color="auto"/>
            </w:tcBorders>
          </w:tcPr>
          <w:p w14:paraId="7BE543E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1 002</w:t>
            </w:r>
          </w:p>
        </w:tc>
      </w:tr>
      <w:tr w:rsidR="00D42621" w:rsidRPr="00D42621" w14:paraId="5F86CD55"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1272E1A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Sempra</w:t>
            </w:r>
            <w:r w:rsidRPr="00D42621">
              <w:rPr>
                <w:rFonts w:ascii="Arial" w:hAnsi="Arial"/>
                <w:color w:val="000000"/>
                <w:sz w:val="18"/>
                <w:szCs w:val="18"/>
                <w:lang w:eastAsia="cs-CZ"/>
              </w:rPr>
              <w:t>, St. Město, Pod Chlumem 209</w:t>
            </w:r>
          </w:p>
        </w:tc>
        <w:tc>
          <w:tcPr>
            <w:tcW w:w="1527" w:type="dxa"/>
            <w:tcBorders>
              <w:top w:val="single" w:sz="6" w:space="0" w:color="auto"/>
              <w:left w:val="single" w:sz="6" w:space="0" w:color="auto"/>
              <w:bottom w:val="single" w:sz="6" w:space="0" w:color="auto"/>
              <w:right w:val="single" w:sz="6" w:space="0" w:color="auto"/>
            </w:tcBorders>
          </w:tcPr>
          <w:p w14:paraId="5C46DF6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360</w:t>
            </w:r>
          </w:p>
        </w:tc>
        <w:tc>
          <w:tcPr>
            <w:tcW w:w="1514" w:type="dxa"/>
            <w:tcBorders>
              <w:top w:val="single" w:sz="6" w:space="0" w:color="auto"/>
              <w:left w:val="single" w:sz="6" w:space="0" w:color="auto"/>
              <w:bottom w:val="single" w:sz="6" w:space="0" w:color="auto"/>
              <w:right w:val="single" w:sz="6" w:space="0" w:color="auto"/>
            </w:tcBorders>
          </w:tcPr>
          <w:p w14:paraId="25F5BE0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849</w:t>
            </w:r>
          </w:p>
        </w:tc>
      </w:tr>
      <w:tr w:rsidR="00D42621" w:rsidRPr="00D42621" w14:paraId="0AB0C216"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51800CB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OkSS,Dč.,Podmokelská 148</w:t>
            </w:r>
          </w:p>
        </w:tc>
        <w:tc>
          <w:tcPr>
            <w:tcW w:w="1527" w:type="dxa"/>
            <w:tcBorders>
              <w:top w:val="single" w:sz="6" w:space="0" w:color="auto"/>
              <w:left w:val="single" w:sz="6" w:space="0" w:color="auto"/>
              <w:bottom w:val="single" w:sz="6" w:space="0" w:color="auto"/>
              <w:right w:val="single" w:sz="6" w:space="0" w:color="auto"/>
            </w:tcBorders>
          </w:tcPr>
          <w:p w14:paraId="3874DCB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103</w:t>
            </w:r>
          </w:p>
        </w:tc>
        <w:tc>
          <w:tcPr>
            <w:tcW w:w="1514" w:type="dxa"/>
            <w:tcBorders>
              <w:top w:val="single" w:sz="6" w:space="0" w:color="auto"/>
              <w:left w:val="single" w:sz="6" w:space="0" w:color="auto"/>
              <w:bottom w:val="single" w:sz="6" w:space="0" w:color="auto"/>
              <w:right w:val="single" w:sz="6" w:space="0" w:color="auto"/>
            </w:tcBorders>
          </w:tcPr>
          <w:p w14:paraId="764330B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196</w:t>
            </w:r>
          </w:p>
        </w:tc>
      </w:tr>
      <w:tr w:rsidR="00D42621" w:rsidRPr="00D42621" w14:paraId="27D83AA7"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3A12852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Grafiatisk</w:t>
            </w:r>
            <w:r w:rsidRPr="00D42621">
              <w:rPr>
                <w:rFonts w:ascii="Arial" w:hAnsi="Arial"/>
                <w:color w:val="000000"/>
                <w:sz w:val="18"/>
                <w:szCs w:val="18"/>
                <w:lang w:eastAsia="cs-CZ"/>
              </w:rPr>
              <w:t xml:space="preserve"> Děčín, Převozní 10</w:t>
            </w:r>
          </w:p>
        </w:tc>
        <w:tc>
          <w:tcPr>
            <w:tcW w:w="1527" w:type="dxa"/>
            <w:tcBorders>
              <w:top w:val="single" w:sz="6" w:space="0" w:color="auto"/>
              <w:left w:val="single" w:sz="6" w:space="0" w:color="auto"/>
              <w:bottom w:val="single" w:sz="6" w:space="0" w:color="auto"/>
              <w:right w:val="single" w:sz="6" w:space="0" w:color="auto"/>
            </w:tcBorders>
          </w:tcPr>
          <w:p w14:paraId="738B2E1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86</w:t>
            </w:r>
          </w:p>
        </w:tc>
        <w:tc>
          <w:tcPr>
            <w:tcW w:w="1514" w:type="dxa"/>
            <w:tcBorders>
              <w:top w:val="single" w:sz="6" w:space="0" w:color="auto"/>
              <w:left w:val="single" w:sz="6" w:space="0" w:color="auto"/>
              <w:bottom w:val="single" w:sz="6" w:space="0" w:color="auto"/>
              <w:right w:val="single" w:sz="6" w:space="0" w:color="auto"/>
            </w:tcBorders>
          </w:tcPr>
          <w:p w14:paraId="3D740B0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100</w:t>
            </w:r>
          </w:p>
        </w:tc>
      </w:tr>
      <w:tr w:rsidR="00D42621" w:rsidRPr="00D42621" w14:paraId="091E63A0"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2D4EDF1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SOU Podmokly,Ruská 147</w:t>
            </w:r>
          </w:p>
        </w:tc>
        <w:tc>
          <w:tcPr>
            <w:tcW w:w="1527" w:type="dxa"/>
            <w:tcBorders>
              <w:top w:val="single" w:sz="6" w:space="0" w:color="auto"/>
              <w:left w:val="single" w:sz="6" w:space="0" w:color="auto"/>
              <w:bottom w:val="single" w:sz="6" w:space="0" w:color="auto"/>
              <w:right w:val="single" w:sz="6" w:space="0" w:color="auto"/>
            </w:tcBorders>
          </w:tcPr>
          <w:p w14:paraId="45D1B86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45</w:t>
            </w:r>
          </w:p>
        </w:tc>
        <w:tc>
          <w:tcPr>
            <w:tcW w:w="1514" w:type="dxa"/>
            <w:tcBorders>
              <w:top w:val="single" w:sz="6" w:space="0" w:color="auto"/>
              <w:left w:val="single" w:sz="6" w:space="0" w:color="auto"/>
              <w:bottom w:val="single" w:sz="6" w:space="0" w:color="auto"/>
              <w:right w:val="single" w:sz="6" w:space="0" w:color="auto"/>
            </w:tcBorders>
          </w:tcPr>
          <w:p w14:paraId="199BCD4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152</w:t>
            </w:r>
          </w:p>
        </w:tc>
      </w:tr>
      <w:tr w:rsidR="00D42621" w:rsidRPr="00D42621" w14:paraId="10671CDC"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6DE0B44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Ferox</w:t>
            </w:r>
            <w:r w:rsidRPr="00D42621">
              <w:rPr>
                <w:rFonts w:ascii="Arial" w:hAnsi="Arial"/>
                <w:color w:val="000000"/>
                <w:sz w:val="18"/>
                <w:szCs w:val="18"/>
                <w:lang w:eastAsia="cs-CZ"/>
              </w:rPr>
              <w:t>, Slovanská, 33 b.j.</w:t>
            </w:r>
          </w:p>
        </w:tc>
        <w:tc>
          <w:tcPr>
            <w:tcW w:w="1527" w:type="dxa"/>
            <w:tcBorders>
              <w:top w:val="single" w:sz="6" w:space="0" w:color="auto"/>
              <w:left w:val="single" w:sz="6" w:space="0" w:color="auto"/>
              <w:bottom w:val="single" w:sz="6" w:space="0" w:color="auto"/>
              <w:right w:val="single" w:sz="6" w:space="0" w:color="auto"/>
            </w:tcBorders>
          </w:tcPr>
          <w:p w14:paraId="60703E9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60</w:t>
            </w:r>
          </w:p>
        </w:tc>
        <w:tc>
          <w:tcPr>
            <w:tcW w:w="1514" w:type="dxa"/>
            <w:tcBorders>
              <w:top w:val="single" w:sz="6" w:space="0" w:color="auto"/>
              <w:left w:val="single" w:sz="6" w:space="0" w:color="auto"/>
              <w:bottom w:val="single" w:sz="6" w:space="0" w:color="auto"/>
              <w:right w:val="single" w:sz="6" w:space="0" w:color="auto"/>
            </w:tcBorders>
          </w:tcPr>
          <w:p w14:paraId="4D1DEF0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95</w:t>
            </w:r>
          </w:p>
        </w:tc>
      </w:tr>
      <w:tr w:rsidR="00D42621" w:rsidRPr="00D42621" w14:paraId="375BA3E0"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5ECAE46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Termo</w:t>
            </w:r>
            <w:r w:rsidRPr="00D42621">
              <w:rPr>
                <w:rFonts w:ascii="Arial" w:hAnsi="Arial"/>
                <w:color w:val="000000"/>
                <w:sz w:val="18"/>
                <w:szCs w:val="18"/>
                <w:lang w:eastAsia="cs-CZ"/>
              </w:rPr>
              <w:t xml:space="preserve"> a.s.Děčín, Slovanská 67</w:t>
            </w:r>
          </w:p>
        </w:tc>
        <w:tc>
          <w:tcPr>
            <w:tcW w:w="1527" w:type="dxa"/>
            <w:tcBorders>
              <w:top w:val="single" w:sz="6" w:space="0" w:color="auto"/>
              <w:left w:val="single" w:sz="6" w:space="0" w:color="auto"/>
              <w:bottom w:val="single" w:sz="6" w:space="0" w:color="auto"/>
              <w:right w:val="single" w:sz="6" w:space="0" w:color="auto"/>
            </w:tcBorders>
          </w:tcPr>
          <w:p w14:paraId="28AA5F3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45</w:t>
            </w:r>
          </w:p>
        </w:tc>
        <w:tc>
          <w:tcPr>
            <w:tcW w:w="1514" w:type="dxa"/>
            <w:tcBorders>
              <w:top w:val="single" w:sz="6" w:space="0" w:color="auto"/>
              <w:left w:val="single" w:sz="6" w:space="0" w:color="auto"/>
              <w:bottom w:val="single" w:sz="6" w:space="0" w:color="auto"/>
              <w:right w:val="single" w:sz="6" w:space="0" w:color="auto"/>
            </w:tcBorders>
          </w:tcPr>
          <w:p w14:paraId="2B13F2F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95</w:t>
            </w:r>
          </w:p>
        </w:tc>
      </w:tr>
      <w:tr w:rsidR="00D42621" w:rsidRPr="00D42621" w14:paraId="46B3DB65"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51AA952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Termo</w:t>
            </w:r>
            <w:r w:rsidRPr="00D42621">
              <w:rPr>
                <w:rFonts w:ascii="Arial" w:hAnsi="Arial"/>
                <w:color w:val="000000"/>
                <w:sz w:val="18"/>
                <w:szCs w:val="18"/>
                <w:lang w:eastAsia="cs-CZ"/>
              </w:rPr>
              <w:t xml:space="preserve"> a.s.  Děčín, Slovanská 71</w:t>
            </w:r>
          </w:p>
        </w:tc>
        <w:tc>
          <w:tcPr>
            <w:tcW w:w="1527" w:type="dxa"/>
            <w:tcBorders>
              <w:top w:val="single" w:sz="6" w:space="0" w:color="auto"/>
              <w:left w:val="single" w:sz="6" w:space="0" w:color="auto"/>
              <w:bottom w:val="single" w:sz="6" w:space="0" w:color="auto"/>
              <w:right w:val="single" w:sz="6" w:space="0" w:color="auto"/>
            </w:tcBorders>
          </w:tcPr>
          <w:p w14:paraId="1829C02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45</w:t>
            </w:r>
          </w:p>
        </w:tc>
        <w:tc>
          <w:tcPr>
            <w:tcW w:w="1514" w:type="dxa"/>
            <w:tcBorders>
              <w:top w:val="single" w:sz="6" w:space="0" w:color="auto"/>
              <w:left w:val="single" w:sz="6" w:space="0" w:color="auto"/>
              <w:bottom w:val="single" w:sz="6" w:space="0" w:color="auto"/>
              <w:right w:val="single" w:sz="6" w:space="0" w:color="auto"/>
            </w:tcBorders>
          </w:tcPr>
          <w:p w14:paraId="14BD8C1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104</w:t>
            </w:r>
          </w:p>
        </w:tc>
      </w:tr>
      <w:tr w:rsidR="00D42621" w:rsidRPr="00D42621" w14:paraId="1AD6EC4D"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7CF47C6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Pivovar, Podmokly, Sofijská 2</w:t>
            </w:r>
          </w:p>
        </w:tc>
        <w:tc>
          <w:tcPr>
            <w:tcW w:w="1527" w:type="dxa"/>
            <w:tcBorders>
              <w:top w:val="single" w:sz="6" w:space="0" w:color="auto"/>
              <w:left w:val="single" w:sz="6" w:space="0" w:color="auto"/>
              <w:bottom w:val="single" w:sz="6" w:space="0" w:color="auto"/>
              <w:right w:val="single" w:sz="6" w:space="0" w:color="auto"/>
            </w:tcBorders>
          </w:tcPr>
          <w:p w14:paraId="4A550C3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960</w:t>
            </w:r>
          </w:p>
        </w:tc>
        <w:tc>
          <w:tcPr>
            <w:tcW w:w="1514" w:type="dxa"/>
            <w:tcBorders>
              <w:top w:val="single" w:sz="6" w:space="0" w:color="auto"/>
              <w:left w:val="single" w:sz="6" w:space="0" w:color="auto"/>
              <w:bottom w:val="single" w:sz="6" w:space="0" w:color="auto"/>
              <w:right w:val="single" w:sz="6" w:space="0" w:color="auto"/>
            </w:tcBorders>
          </w:tcPr>
          <w:p w14:paraId="3BC1F4B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2 388</w:t>
            </w:r>
          </w:p>
        </w:tc>
      </w:tr>
      <w:tr w:rsidR="00D42621" w:rsidRPr="00D42621" w14:paraId="62B02518"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4234003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 xml:space="preserve">Termo </w:t>
            </w:r>
            <w:r w:rsidRPr="00D42621">
              <w:rPr>
                <w:rFonts w:ascii="Arial" w:hAnsi="Arial"/>
                <w:color w:val="000000"/>
                <w:sz w:val="18"/>
                <w:szCs w:val="18"/>
                <w:lang w:eastAsia="cs-CZ"/>
              </w:rPr>
              <w:t>a.s. Děčín, kotel. Staré Město</w:t>
            </w:r>
          </w:p>
        </w:tc>
        <w:tc>
          <w:tcPr>
            <w:tcW w:w="1527" w:type="dxa"/>
            <w:tcBorders>
              <w:top w:val="single" w:sz="6" w:space="0" w:color="auto"/>
              <w:left w:val="single" w:sz="6" w:space="0" w:color="auto"/>
              <w:bottom w:val="single" w:sz="6" w:space="0" w:color="auto"/>
              <w:right w:val="single" w:sz="6" w:space="0" w:color="auto"/>
            </w:tcBorders>
          </w:tcPr>
          <w:p w14:paraId="5FF836C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541</w:t>
            </w:r>
          </w:p>
        </w:tc>
        <w:tc>
          <w:tcPr>
            <w:tcW w:w="1514" w:type="dxa"/>
            <w:tcBorders>
              <w:top w:val="single" w:sz="6" w:space="0" w:color="auto"/>
              <w:left w:val="single" w:sz="6" w:space="0" w:color="auto"/>
              <w:bottom w:val="single" w:sz="6" w:space="0" w:color="auto"/>
              <w:right w:val="single" w:sz="6" w:space="0" w:color="auto"/>
            </w:tcBorders>
          </w:tcPr>
          <w:p w14:paraId="505B895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3 652</w:t>
            </w:r>
          </w:p>
        </w:tc>
      </w:tr>
      <w:tr w:rsidR="00D42621" w:rsidRPr="00D42621" w14:paraId="5A30EBEB"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1A8BF1C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Stroj-Union,Děčín,Teplická 295</w:t>
            </w:r>
          </w:p>
        </w:tc>
        <w:tc>
          <w:tcPr>
            <w:tcW w:w="1527" w:type="dxa"/>
            <w:tcBorders>
              <w:top w:val="single" w:sz="6" w:space="0" w:color="auto"/>
              <w:left w:val="single" w:sz="6" w:space="0" w:color="auto"/>
              <w:bottom w:val="single" w:sz="6" w:space="0" w:color="auto"/>
              <w:right w:val="single" w:sz="6" w:space="0" w:color="auto"/>
            </w:tcBorders>
          </w:tcPr>
          <w:p w14:paraId="05C7DE0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41</w:t>
            </w:r>
          </w:p>
        </w:tc>
        <w:tc>
          <w:tcPr>
            <w:tcW w:w="1514" w:type="dxa"/>
            <w:tcBorders>
              <w:top w:val="single" w:sz="6" w:space="0" w:color="auto"/>
              <w:left w:val="single" w:sz="6" w:space="0" w:color="auto"/>
              <w:bottom w:val="single" w:sz="6" w:space="0" w:color="auto"/>
              <w:right w:val="single" w:sz="6" w:space="0" w:color="auto"/>
            </w:tcBorders>
          </w:tcPr>
          <w:p w14:paraId="5F9E626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60</w:t>
            </w:r>
          </w:p>
        </w:tc>
      </w:tr>
      <w:tr w:rsidR="00D42621" w:rsidRPr="00D42621" w14:paraId="16C55087"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21D7778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Ferox</w:t>
            </w:r>
            <w:r w:rsidRPr="00D42621">
              <w:rPr>
                <w:rFonts w:ascii="Arial" w:hAnsi="Arial"/>
                <w:color w:val="000000"/>
                <w:sz w:val="18"/>
                <w:szCs w:val="18"/>
                <w:lang w:eastAsia="cs-CZ"/>
              </w:rPr>
              <w:t xml:space="preserve"> Rozbělesy, Ústecká 30</w:t>
            </w:r>
          </w:p>
        </w:tc>
        <w:tc>
          <w:tcPr>
            <w:tcW w:w="1527" w:type="dxa"/>
            <w:tcBorders>
              <w:top w:val="single" w:sz="6" w:space="0" w:color="auto"/>
              <w:left w:val="single" w:sz="6" w:space="0" w:color="auto"/>
              <w:bottom w:val="single" w:sz="6" w:space="0" w:color="auto"/>
              <w:right w:val="single" w:sz="6" w:space="0" w:color="auto"/>
            </w:tcBorders>
          </w:tcPr>
          <w:p w14:paraId="62124C9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300</w:t>
            </w:r>
          </w:p>
        </w:tc>
        <w:tc>
          <w:tcPr>
            <w:tcW w:w="1514" w:type="dxa"/>
            <w:tcBorders>
              <w:top w:val="single" w:sz="6" w:space="0" w:color="auto"/>
              <w:left w:val="single" w:sz="6" w:space="0" w:color="auto"/>
              <w:bottom w:val="single" w:sz="6" w:space="0" w:color="auto"/>
              <w:right w:val="single" w:sz="6" w:space="0" w:color="auto"/>
            </w:tcBorders>
          </w:tcPr>
          <w:p w14:paraId="73120E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344</w:t>
            </w:r>
          </w:p>
        </w:tc>
      </w:tr>
      <w:tr w:rsidR="00D42621" w:rsidRPr="00D42621" w14:paraId="1FD5DEB5"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2AAF171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Kabelovna</w:t>
            </w:r>
            <w:r w:rsidRPr="00D42621">
              <w:rPr>
                <w:rFonts w:ascii="Arial" w:hAnsi="Arial"/>
                <w:color w:val="000000"/>
                <w:sz w:val="18"/>
                <w:szCs w:val="18"/>
                <w:lang w:eastAsia="cs-CZ"/>
              </w:rPr>
              <w:t xml:space="preserve"> Rozbělesy, Ústecká 33</w:t>
            </w:r>
          </w:p>
        </w:tc>
        <w:tc>
          <w:tcPr>
            <w:tcW w:w="1527" w:type="dxa"/>
            <w:tcBorders>
              <w:top w:val="single" w:sz="6" w:space="0" w:color="auto"/>
              <w:left w:val="single" w:sz="6" w:space="0" w:color="auto"/>
              <w:bottom w:val="single" w:sz="6" w:space="0" w:color="auto"/>
              <w:right w:val="single" w:sz="6" w:space="0" w:color="auto"/>
            </w:tcBorders>
          </w:tcPr>
          <w:p w14:paraId="1A15DB9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278</w:t>
            </w:r>
          </w:p>
        </w:tc>
        <w:tc>
          <w:tcPr>
            <w:tcW w:w="1514" w:type="dxa"/>
            <w:tcBorders>
              <w:top w:val="single" w:sz="6" w:space="0" w:color="auto"/>
              <w:left w:val="single" w:sz="6" w:space="0" w:color="auto"/>
              <w:bottom w:val="single" w:sz="6" w:space="0" w:color="auto"/>
              <w:right w:val="single" w:sz="6" w:space="0" w:color="auto"/>
            </w:tcBorders>
          </w:tcPr>
          <w:p w14:paraId="5395407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3 310</w:t>
            </w:r>
          </w:p>
        </w:tc>
      </w:tr>
      <w:tr w:rsidR="00D42621" w:rsidRPr="00D42621" w14:paraId="167167D7"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6ACD8D4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 xml:space="preserve">Aluminium </w:t>
            </w:r>
            <w:r w:rsidRPr="00D42621">
              <w:rPr>
                <w:rFonts w:ascii="Arial" w:hAnsi="Arial"/>
                <w:color w:val="000000"/>
                <w:sz w:val="18"/>
                <w:szCs w:val="18"/>
                <w:lang w:eastAsia="cs-CZ"/>
              </w:rPr>
              <w:t>Rozbělesy, Ústecká 37</w:t>
            </w:r>
          </w:p>
        </w:tc>
        <w:tc>
          <w:tcPr>
            <w:tcW w:w="1527" w:type="dxa"/>
            <w:tcBorders>
              <w:top w:val="single" w:sz="6" w:space="0" w:color="auto"/>
              <w:left w:val="single" w:sz="6" w:space="0" w:color="auto"/>
              <w:bottom w:val="single" w:sz="6" w:space="0" w:color="auto"/>
              <w:right w:val="single" w:sz="6" w:space="0" w:color="auto"/>
            </w:tcBorders>
          </w:tcPr>
          <w:p w14:paraId="6AB2FB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3 350</w:t>
            </w:r>
          </w:p>
        </w:tc>
        <w:tc>
          <w:tcPr>
            <w:tcW w:w="1514" w:type="dxa"/>
            <w:tcBorders>
              <w:top w:val="single" w:sz="6" w:space="0" w:color="auto"/>
              <w:left w:val="single" w:sz="6" w:space="0" w:color="auto"/>
              <w:bottom w:val="single" w:sz="6" w:space="0" w:color="auto"/>
              <w:right w:val="single" w:sz="6" w:space="0" w:color="auto"/>
            </w:tcBorders>
          </w:tcPr>
          <w:p w14:paraId="6F65260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9 800</w:t>
            </w:r>
          </w:p>
        </w:tc>
      </w:tr>
      <w:tr w:rsidR="00D42621" w:rsidRPr="00D42621" w14:paraId="418281DB"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17A94FB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Desta</w:t>
            </w:r>
            <w:r w:rsidRPr="00D42621">
              <w:rPr>
                <w:rFonts w:ascii="Arial" w:hAnsi="Arial"/>
                <w:color w:val="000000"/>
                <w:sz w:val="18"/>
                <w:szCs w:val="18"/>
                <w:lang w:eastAsia="cs-CZ"/>
              </w:rPr>
              <w:t xml:space="preserve"> Rozbělesy, Ústecká</w:t>
            </w:r>
          </w:p>
        </w:tc>
        <w:tc>
          <w:tcPr>
            <w:tcW w:w="1527" w:type="dxa"/>
            <w:tcBorders>
              <w:top w:val="single" w:sz="6" w:space="0" w:color="auto"/>
              <w:left w:val="single" w:sz="6" w:space="0" w:color="auto"/>
              <w:bottom w:val="single" w:sz="6" w:space="0" w:color="auto"/>
              <w:right w:val="single" w:sz="6" w:space="0" w:color="auto"/>
            </w:tcBorders>
          </w:tcPr>
          <w:p w14:paraId="5562EFB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1 000</w:t>
            </w:r>
          </w:p>
        </w:tc>
        <w:tc>
          <w:tcPr>
            <w:tcW w:w="1514" w:type="dxa"/>
            <w:tcBorders>
              <w:top w:val="single" w:sz="6" w:space="0" w:color="auto"/>
              <w:left w:val="single" w:sz="6" w:space="0" w:color="auto"/>
              <w:bottom w:val="single" w:sz="6" w:space="0" w:color="auto"/>
              <w:right w:val="single" w:sz="6" w:space="0" w:color="auto"/>
            </w:tcBorders>
          </w:tcPr>
          <w:p w14:paraId="4F927A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2 150</w:t>
            </w:r>
          </w:p>
        </w:tc>
      </w:tr>
      <w:tr w:rsidR="00D42621" w:rsidRPr="00D42621" w14:paraId="3A6A1DB4"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46BC8B6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 xml:space="preserve">Aroma </w:t>
            </w:r>
            <w:r w:rsidRPr="00D42621">
              <w:rPr>
                <w:rFonts w:ascii="Arial" w:hAnsi="Arial"/>
                <w:color w:val="000000"/>
                <w:sz w:val="18"/>
                <w:szCs w:val="18"/>
                <w:lang w:eastAsia="cs-CZ"/>
              </w:rPr>
              <w:t>Rozbělesy, Ústecká 99</w:t>
            </w:r>
          </w:p>
        </w:tc>
        <w:tc>
          <w:tcPr>
            <w:tcW w:w="1527" w:type="dxa"/>
            <w:tcBorders>
              <w:top w:val="single" w:sz="6" w:space="0" w:color="auto"/>
              <w:left w:val="single" w:sz="6" w:space="0" w:color="auto"/>
              <w:bottom w:val="single" w:sz="6" w:space="0" w:color="auto"/>
              <w:right w:val="single" w:sz="6" w:space="0" w:color="auto"/>
            </w:tcBorders>
          </w:tcPr>
          <w:p w14:paraId="4A3C7D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67</w:t>
            </w:r>
          </w:p>
        </w:tc>
        <w:tc>
          <w:tcPr>
            <w:tcW w:w="1514" w:type="dxa"/>
            <w:tcBorders>
              <w:top w:val="single" w:sz="6" w:space="0" w:color="auto"/>
              <w:left w:val="single" w:sz="6" w:space="0" w:color="auto"/>
              <w:bottom w:val="single" w:sz="6" w:space="0" w:color="auto"/>
              <w:right w:val="single" w:sz="6" w:space="0" w:color="auto"/>
            </w:tcBorders>
          </w:tcPr>
          <w:p w14:paraId="0DA97E9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189</w:t>
            </w:r>
          </w:p>
        </w:tc>
      </w:tr>
      <w:tr w:rsidR="00D42621" w:rsidRPr="00D42621" w14:paraId="18F1DCB3"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14025AB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Eurohotel, Děčín, Zbrojnická 18</w:t>
            </w:r>
          </w:p>
        </w:tc>
        <w:tc>
          <w:tcPr>
            <w:tcW w:w="1527" w:type="dxa"/>
            <w:tcBorders>
              <w:top w:val="single" w:sz="6" w:space="0" w:color="auto"/>
              <w:left w:val="single" w:sz="6" w:space="0" w:color="auto"/>
              <w:bottom w:val="single" w:sz="6" w:space="0" w:color="auto"/>
              <w:right w:val="single" w:sz="6" w:space="0" w:color="auto"/>
            </w:tcBorders>
          </w:tcPr>
          <w:p w14:paraId="395F97B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91</w:t>
            </w:r>
          </w:p>
        </w:tc>
        <w:tc>
          <w:tcPr>
            <w:tcW w:w="1514" w:type="dxa"/>
            <w:tcBorders>
              <w:top w:val="single" w:sz="6" w:space="0" w:color="auto"/>
              <w:left w:val="single" w:sz="6" w:space="0" w:color="auto"/>
              <w:bottom w:val="single" w:sz="6" w:space="0" w:color="auto"/>
              <w:right w:val="single" w:sz="6" w:space="0" w:color="auto"/>
            </w:tcBorders>
          </w:tcPr>
          <w:p w14:paraId="234B406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133</w:t>
            </w:r>
          </w:p>
        </w:tc>
      </w:tr>
      <w:tr w:rsidR="00D42621" w:rsidRPr="00D42621" w14:paraId="6BDE70C8" w14:textId="77777777" w:rsidTr="002D2D45">
        <w:trPr>
          <w:jc w:val="center"/>
        </w:trPr>
        <w:tc>
          <w:tcPr>
            <w:tcW w:w="3368" w:type="dxa"/>
            <w:tcBorders>
              <w:top w:val="single" w:sz="6" w:space="0" w:color="auto"/>
              <w:left w:val="single" w:sz="6" w:space="0" w:color="auto"/>
              <w:bottom w:val="single" w:sz="6" w:space="0" w:color="auto"/>
              <w:right w:val="single" w:sz="6" w:space="0" w:color="auto"/>
            </w:tcBorders>
          </w:tcPr>
          <w:p w14:paraId="11AC847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Potraviny Děčín, Nejedlého 19</w:t>
            </w:r>
          </w:p>
        </w:tc>
        <w:tc>
          <w:tcPr>
            <w:tcW w:w="1527" w:type="dxa"/>
            <w:tcBorders>
              <w:top w:val="single" w:sz="6" w:space="0" w:color="auto"/>
              <w:left w:val="single" w:sz="6" w:space="0" w:color="auto"/>
              <w:bottom w:val="single" w:sz="6" w:space="0" w:color="auto"/>
              <w:right w:val="single" w:sz="6" w:space="0" w:color="auto"/>
            </w:tcBorders>
          </w:tcPr>
          <w:p w14:paraId="2263718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84</w:t>
            </w:r>
          </w:p>
        </w:tc>
        <w:tc>
          <w:tcPr>
            <w:tcW w:w="1514" w:type="dxa"/>
            <w:tcBorders>
              <w:top w:val="single" w:sz="6" w:space="0" w:color="auto"/>
              <w:left w:val="single" w:sz="6" w:space="0" w:color="auto"/>
              <w:bottom w:val="single" w:sz="6" w:space="0" w:color="auto"/>
              <w:right w:val="single" w:sz="6" w:space="0" w:color="auto"/>
            </w:tcBorders>
          </w:tcPr>
          <w:p w14:paraId="5C05F6E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64</w:t>
            </w:r>
          </w:p>
        </w:tc>
      </w:tr>
    </w:tbl>
    <w:p w14:paraId="4F999993"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52A56C0D"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2F2F0BC9" w14:textId="77777777" w:rsidR="00D42621" w:rsidRDefault="00D42621" w:rsidP="00D42621">
      <w:pPr>
        <w:suppressAutoHyphens w:val="0"/>
        <w:autoSpaceDE w:val="0"/>
        <w:autoSpaceDN w:val="0"/>
        <w:adjustRightInd w:val="0"/>
        <w:rPr>
          <w:rFonts w:ascii="Arial" w:hAnsi="Arial" w:cs="Arial"/>
          <w:sz w:val="20"/>
          <w:lang w:eastAsia="cs-CZ"/>
        </w:rPr>
      </w:pPr>
    </w:p>
    <w:p w14:paraId="3AE3E86D" w14:textId="77777777" w:rsidR="00D42621" w:rsidRDefault="00D42621" w:rsidP="00D42621">
      <w:pPr>
        <w:suppressAutoHyphens w:val="0"/>
        <w:autoSpaceDE w:val="0"/>
        <w:autoSpaceDN w:val="0"/>
        <w:adjustRightInd w:val="0"/>
        <w:rPr>
          <w:rFonts w:ascii="Arial" w:hAnsi="Arial" w:cs="Arial"/>
          <w:sz w:val="20"/>
          <w:lang w:eastAsia="cs-CZ"/>
        </w:rPr>
      </w:pPr>
    </w:p>
    <w:p w14:paraId="54585F3C" w14:textId="77777777" w:rsidR="00D42621" w:rsidRDefault="00D42621" w:rsidP="00D42621">
      <w:pPr>
        <w:suppressAutoHyphens w:val="0"/>
        <w:autoSpaceDE w:val="0"/>
        <w:autoSpaceDN w:val="0"/>
        <w:adjustRightInd w:val="0"/>
        <w:rPr>
          <w:rFonts w:ascii="Arial" w:hAnsi="Arial" w:cs="Arial"/>
          <w:sz w:val="20"/>
          <w:lang w:eastAsia="cs-CZ"/>
        </w:rPr>
      </w:pPr>
    </w:p>
    <w:p w14:paraId="5D4A5F21" w14:textId="77777777" w:rsidR="00D42621" w:rsidRDefault="00D42621" w:rsidP="00D42621">
      <w:pPr>
        <w:suppressAutoHyphens w:val="0"/>
        <w:autoSpaceDE w:val="0"/>
        <w:autoSpaceDN w:val="0"/>
        <w:adjustRightInd w:val="0"/>
        <w:rPr>
          <w:rFonts w:ascii="Arial" w:hAnsi="Arial" w:cs="Arial"/>
          <w:sz w:val="20"/>
          <w:lang w:eastAsia="cs-CZ"/>
        </w:rPr>
      </w:pPr>
    </w:p>
    <w:p w14:paraId="09306921" w14:textId="77777777" w:rsidR="00D42621" w:rsidRDefault="00D42621" w:rsidP="00D42621">
      <w:pPr>
        <w:suppressAutoHyphens w:val="0"/>
        <w:autoSpaceDE w:val="0"/>
        <w:autoSpaceDN w:val="0"/>
        <w:adjustRightInd w:val="0"/>
        <w:rPr>
          <w:rFonts w:ascii="Arial" w:hAnsi="Arial" w:cs="Arial"/>
          <w:sz w:val="20"/>
          <w:lang w:eastAsia="cs-CZ"/>
        </w:rPr>
      </w:pPr>
    </w:p>
    <w:p w14:paraId="213DDF4C" w14:textId="77777777" w:rsidR="00D42621" w:rsidRDefault="00D42621" w:rsidP="00D42621">
      <w:pPr>
        <w:suppressAutoHyphens w:val="0"/>
        <w:autoSpaceDE w:val="0"/>
        <w:autoSpaceDN w:val="0"/>
        <w:adjustRightInd w:val="0"/>
        <w:rPr>
          <w:rFonts w:ascii="Arial" w:hAnsi="Arial" w:cs="Arial"/>
          <w:sz w:val="20"/>
          <w:lang w:eastAsia="cs-CZ"/>
        </w:rPr>
      </w:pPr>
    </w:p>
    <w:p w14:paraId="5DAC24F3" w14:textId="77777777" w:rsidR="00D42621" w:rsidRDefault="00D42621" w:rsidP="00D42621">
      <w:pPr>
        <w:suppressAutoHyphens w:val="0"/>
        <w:autoSpaceDE w:val="0"/>
        <w:autoSpaceDN w:val="0"/>
        <w:adjustRightInd w:val="0"/>
        <w:rPr>
          <w:rFonts w:ascii="Arial" w:hAnsi="Arial" w:cs="Arial"/>
          <w:sz w:val="20"/>
          <w:lang w:eastAsia="cs-CZ"/>
        </w:rPr>
      </w:pPr>
    </w:p>
    <w:p w14:paraId="30125CEA" w14:textId="77777777" w:rsidR="00D42621" w:rsidRDefault="00D42621" w:rsidP="00D42621">
      <w:pPr>
        <w:suppressAutoHyphens w:val="0"/>
        <w:autoSpaceDE w:val="0"/>
        <w:autoSpaceDN w:val="0"/>
        <w:adjustRightInd w:val="0"/>
        <w:rPr>
          <w:rFonts w:ascii="Arial" w:hAnsi="Arial" w:cs="Arial"/>
          <w:sz w:val="20"/>
          <w:lang w:eastAsia="cs-CZ"/>
        </w:rPr>
      </w:pPr>
    </w:p>
    <w:p w14:paraId="4B83404B" w14:textId="77777777" w:rsidR="00D42621" w:rsidRDefault="00D42621" w:rsidP="00D42621">
      <w:pPr>
        <w:suppressAutoHyphens w:val="0"/>
        <w:autoSpaceDE w:val="0"/>
        <w:autoSpaceDN w:val="0"/>
        <w:adjustRightInd w:val="0"/>
        <w:rPr>
          <w:rFonts w:ascii="Arial" w:hAnsi="Arial" w:cs="Arial"/>
          <w:sz w:val="20"/>
          <w:lang w:eastAsia="cs-CZ"/>
        </w:rPr>
      </w:pPr>
    </w:p>
    <w:p w14:paraId="05465B6F" w14:textId="77777777" w:rsidR="00D42621" w:rsidRDefault="00D42621" w:rsidP="00D42621">
      <w:pPr>
        <w:suppressAutoHyphens w:val="0"/>
        <w:autoSpaceDE w:val="0"/>
        <w:autoSpaceDN w:val="0"/>
        <w:adjustRightInd w:val="0"/>
        <w:rPr>
          <w:rFonts w:ascii="Arial" w:hAnsi="Arial" w:cs="Arial"/>
          <w:sz w:val="20"/>
          <w:lang w:eastAsia="cs-CZ"/>
        </w:rPr>
      </w:pPr>
    </w:p>
    <w:p w14:paraId="772E7129" w14:textId="77777777" w:rsidR="00D42621" w:rsidRDefault="00D42621" w:rsidP="00D42621">
      <w:pPr>
        <w:suppressAutoHyphens w:val="0"/>
        <w:autoSpaceDE w:val="0"/>
        <w:autoSpaceDN w:val="0"/>
        <w:adjustRightInd w:val="0"/>
        <w:rPr>
          <w:rFonts w:ascii="Arial" w:hAnsi="Arial" w:cs="Arial"/>
          <w:sz w:val="20"/>
          <w:lang w:eastAsia="cs-CZ"/>
        </w:rPr>
      </w:pPr>
    </w:p>
    <w:p w14:paraId="4BB828CE" w14:textId="77777777" w:rsidR="00D42621" w:rsidRDefault="00D42621" w:rsidP="00D42621">
      <w:pPr>
        <w:suppressAutoHyphens w:val="0"/>
        <w:autoSpaceDE w:val="0"/>
        <w:autoSpaceDN w:val="0"/>
        <w:adjustRightInd w:val="0"/>
        <w:rPr>
          <w:rFonts w:ascii="Arial" w:hAnsi="Arial" w:cs="Arial"/>
          <w:sz w:val="20"/>
          <w:lang w:eastAsia="cs-CZ"/>
        </w:rPr>
      </w:pPr>
    </w:p>
    <w:p w14:paraId="73024ADD" w14:textId="77777777" w:rsidR="00D42621" w:rsidRDefault="00D42621" w:rsidP="00D42621">
      <w:pPr>
        <w:suppressAutoHyphens w:val="0"/>
        <w:autoSpaceDE w:val="0"/>
        <w:autoSpaceDN w:val="0"/>
        <w:adjustRightInd w:val="0"/>
        <w:rPr>
          <w:rFonts w:ascii="Arial" w:hAnsi="Arial" w:cs="Arial"/>
          <w:sz w:val="20"/>
          <w:lang w:eastAsia="cs-CZ"/>
        </w:rPr>
      </w:pPr>
    </w:p>
    <w:p w14:paraId="39FEECEF" w14:textId="77777777" w:rsidR="00D42621" w:rsidRDefault="00D42621" w:rsidP="00D42621">
      <w:pPr>
        <w:suppressAutoHyphens w:val="0"/>
        <w:autoSpaceDE w:val="0"/>
        <w:autoSpaceDN w:val="0"/>
        <w:adjustRightInd w:val="0"/>
        <w:rPr>
          <w:rFonts w:ascii="Arial" w:hAnsi="Arial" w:cs="Arial"/>
          <w:sz w:val="20"/>
          <w:lang w:eastAsia="cs-CZ"/>
        </w:rPr>
      </w:pPr>
    </w:p>
    <w:p w14:paraId="03D44EFD"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02E7024D" w14:textId="77777777" w:rsidR="00D42621" w:rsidRPr="00D42621" w:rsidRDefault="00D42621" w:rsidP="00D42621">
      <w:pPr>
        <w:suppressAutoHyphens w:val="0"/>
        <w:autoSpaceDE w:val="0"/>
        <w:autoSpaceDN w:val="0"/>
        <w:adjustRightInd w:val="0"/>
        <w:spacing w:before="56" w:after="56" w:line="240" w:lineRule="atLeast"/>
        <w:ind w:left="680" w:hanging="680"/>
        <w:rPr>
          <w:rFonts w:ascii="Arial" w:hAnsi="Arial"/>
          <w:b/>
          <w:bCs/>
          <w:caps/>
          <w:color w:val="000000"/>
          <w:sz w:val="32"/>
          <w:szCs w:val="32"/>
          <w:lang w:eastAsia="cs-CZ"/>
        </w:rPr>
      </w:pPr>
      <w:r w:rsidRPr="00D42621">
        <w:rPr>
          <w:rFonts w:ascii="Arial" w:hAnsi="Arial"/>
          <w:b/>
          <w:bCs/>
          <w:caps/>
          <w:color w:val="000000"/>
          <w:sz w:val="32"/>
          <w:szCs w:val="32"/>
          <w:lang w:eastAsia="cs-CZ"/>
        </w:rPr>
        <w:lastRenderedPageBreak/>
        <w:t>i.5. Rozvojové plochy, jejich energetická koncepce a bilance</w:t>
      </w:r>
    </w:p>
    <w:p w14:paraId="734FF4E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5D730CD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1C0C3F7" w14:textId="77777777" w:rsidR="00D42621" w:rsidRPr="00D42621" w:rsidRDefault="00D42621" w:rsidP="00D42621">
      <w:pPr>
        <w:suppressAutoHyphens w:val="0"/>
        <w:autoSpaceDE w:val="0"/>
        <w:autoSpaceDN w:val="0"/>
        <w:adjustRightInd w:val="0"/>
        <w:spacing w:before="73" w:after="73" w:line="240" w:lineRule="atLeast"/>
        <w:rPr>
          <w:rFonts w:ascii="Arial" w:hAnsi="Arial"/>
          <w:b/>
          <w:bCs/>
          <w:caps/>
          <w:color w:val="000000"/>
          <w:sz w:val="20"/>
          <w:lang w:eastAsia="cs-CZ"/>
        </w:rPr>
      </w:pPr>
      <w:r w:rsidRPr="00D42621">
        <w:rPr>
          <w:rFonts w:ascii="Arial" w:hAnsi="Arial"/>
          <w:b/>
          <w:bCs/>
          <w:caps/>
          <w:color w:val="000000"/>
          <w:sz w:val="20"/>
          <w:lang w:eastAsia="cs-CZ"/>
        </w:rPr>
        <w:t>i.5.1. Obecný pohled na energetickou koncepci řešeného území</w:t>
      </w:r>
    </w:p>
    <w:p w14:paraId="7B2A9A1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C67645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aps/>
          <w:color w:val="000000"/>
          <w:sz w:val="20"/>
          <w:szCs w:val="20"/>
          <w:lang w:eastAsia="cs-CZ"/>
        </w:rPr>
        <w:tab/>
        <w:t>Podklady pro návrh energetické koncepce</w:t>
      </w:r>
    </w:p>
    <w:p w14:paraId="15821A2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B331AB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Navržená energetická koncepce respektuje následující materiály :</w:t>
      </w:r>
    </w:p>
    <w:p w14:paraId="3295E88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C06666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 xml:space="preserve">- schválené souborné stanovisko pro dokončení ÚPn města (schválené městským zastupitelstvem </w:t>
      </w:r>
      <w:r w:rsidRPr="00D42621">
        <w:rPr>
          <w:rFonts w:ascii="Arial" w:hAnsi="Arial"/>
          <w:color w:val="000000"/>
          <w:sz w:val="20"/>
          <w:szCs w:val="20"/>
          <w:lang w:eastAsia="cs-CZ"/>
        </w:rPr>
        <w:tab/>
        <w:t>v září 1999)</w:t>
      </w:r>
    </w:p>
    <w:p w14:paraId="5C932B5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 závěry dánské studie "Studie životního prostředí města Děčína" (listopad 1992)</w:t>
      </w:r>
    </w:p>
    <w:p w14:paraId="14F2DC7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 studie plynofikace levého břehu Labe (prosinec 1991)</w:t>
      </w:r>
    </w:p>
    <w:p w14:paraId="43FF65C4"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 xml:space="preserve">- projektová dokumentace na výstavbu zdroje CZT Děčín - východ (zadávací dokumentace - </w:t>
      </w:r>
      <w:r w:rsidRPr="00D42621">
        <w:rPr>
          <w:rFonts w:ascii="Arial" w:hAnsi="Arial"/>
          <w:color w:val="000000"/>
          <w:sz w:val="20"/>
          <w:szCs w:val="20"/>
          <w:lang w:eastAsia="cs-CZ"/>
        </w:rPr>
        <w:tab/>
      </w:r>
      <w:r w:rsidRPr="00D42621">
        <w:rPr>
          <w:rFonts w:ascii="Arial" w:hAnsi="Arial"/>
          <w:color w:val="000000"/>
          <w:sz w:val="20"/>
          <w:szCs w:val="20"/>
          <w:lang w:eastAsia="cs-CZ"/>
        </w:rPr>
        <w:tab/>
        <w:t>tepelné sítě a předávací stanice)</w:t>
      </w:r>
    </w:p>
    <w:p w14:paraId="37EFE91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 xml:space="preserve">- usnesení městského zastupitelstva č. IX/95 - doplnění energetické části územního plánu města </w:t>
      </w:r>
      <w:r w:rsidRPr="00D42621">
        <w:rPr>
          <w:rFonts w:ascii="Arial" w:hAnsi="Arial"/>
          <w:color w:val="000000"/>
          <w:sz w:val="20"/>
          <w:szCs w:val="20"/>
          <w:lang w:eastAsia="cs-CZ"/>
        </w:rPr>
        <w:tab/>
      </w:r>
      <w:r w:rsidRPr="00D42621">
        <w:rPr>
          <w:rFonts w:ascii="Arial" w:hAnsi="Arial"/>
          <w:color w:val="000000"/>
          <w:sz w:val="20"/>
          <w:szCs w:val="20"/>
          <w:lang w:eastAsia="cs-CZ"/>
        </w:rPr>
        <w:tab/>
        <w:t>Děčína (stanovení oblastí centralizovaného zásobování teplem)</w:t>
      </w:r>
    </w:p>
    <w:p w14:paraId="09CD1B5A"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 xml:space="preserve">- vyhláška MěÚ č.15/1999 o regulaci výstavby nových zdrojů tepla do vymezených částí města </w:t>
      </w:r>
      <w:r w:rsidRPr="00D42621">
        <w:rPr>
          <w:rFonts w:ascii="Arial" w:hAnsi="Arial"/>
          <w:color w:val="000000"/>
          <w:sz w:val="20"/>
          <w:szCs w:val="20"/>
          <w:lang w:eastAsia="cs-CZ"/>
        </w:rPr>
        <w:tab/>
      </w:r>
      <w:r w:rsidRPr="00D42621">
        <w:rPr>
          <w:rFonts w:ascii="Arial" w:hAnsi="Arial"/>
          <w:color w:val="000000"/>
          <w:sz w:val="20"/>
          <w:szCs w:val="20"/>
          <w:lang w:eastAsia="cs-CZ"/>
        </w:rPr>
        <w:tab/>
        <w:t>Děčína</w:t>
      </w:r>
    </w:p>
    <w:p w14:paraId="1C9F0DE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 vývojové trendy doporučené Energetickou agenturou ministerstva hospodářství</w:t>
      </w:r>
    </w:p>
    <w:p w14:paraId="1CE6532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4B11DEE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7A04F6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aps/>
          <w:color w:val="000000"/>
          <w:sz w:val="22"/>
          <w:szCs w:val="22"/>
          <w:lang w:eastAsia="cs-CZ"/>
        </w:rPr>
        <w:tab/>
        <w:t>Zásobování rozvojových ploch z hlediska centrálních</w:t>
      </w:r>
      <w:r w:rsidRPr="00D42621">
        <w:rPr>
          <w:rFonts w:ascii="Arial" w:hAnsi="Arial"/>
          <w:b/>
          <w:bCs/>
          <w:caps/>
          <w:color w:val="000000"/>
          <w:sz w:val="22"/>
          <w:szCs w:val="22"/>
          <w:lang w:eastAsia="cs-CZ"/>
        </w:rPr>
        <w:tab/>
      </w:r>
      <w:r w:rsidRPr="00D42621">
        <w:rPr>
          <w:rFonts w:ascii="Arial" w:hAnsi="Arial"/>
          <w:b/>
          <w:bCs/>
          <w:caps/>
          <w:color w:val="000000"/>
          <w:sz w:val="22"/>
          <w:szCs w:val="22"/>
          <w:lang w:eastAsia="cs-CZ"/>
        </w:rPr>
        <w:tab/>
      </w:r>
      <w:r w:rsidRPr="00D42621">
        <w:rPr>
          <w:rFonts w:ascii="Arial" w:hAnsi="Arial"/>
          <w:b/>
          <w:bCs/>
          <w:caps/>
          <w:color w:val="000000"/>
          <w:sz w:val="22"/>
          <w:szCs w:val="22"/>
          <w:lang w:eastAsia="cs-CZ"/>
        </w:rPr>
        <w:tab/>
      </w:r>
      <w:r w:rsidRPr="00D42621">
        <w:rPr>
          <w:rFonts w:ascii="Arial" w:hAnsi="Arial"/>
          <w:b/>
          <w:bCs/>
          <w:caps/>
          <w:color w:val="000000"/>
          <w:sz w:val="22"/>
          <w:szCs w:val="22"/>
          <w:lang w:eastAsia="cs-CZ"/>
        </w:rPr>
        <w:tab/>
        <w:t>energetických sítí</w:t>
      </w:r>
    </w:p>
    <w:p w14:paraId="2C13115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28BFD4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olor w:val="000000"/>
          <w:sz w:val="20"/>
          <w:szCs w:val="20"/>
          <w:lang w:eastAsia="cs-CZ"/>
        </w:rPr>
        <w:tab/>
        <w:t xml:space="preserve">Rozvojové plochy budou z hlediska centrálních energetických sítí zásobovány zásadně </w:t>
      </w:r>
      <w:r w:rsidRPr="00D42621">
        <w:rPr>
          <w:rFonts w:ascii="Arial" w:hAnsi="Arial"/>
          <w:b/>
          <w:bCs/>
          <w:color w:val="000000"/>
          <w:sz w:val="20"/>
          <w:szCs w:val="20"/>
          <w:lang w:eastAsia="cs-CZ"/>
        </w:rPr>
        <w:tab/>
      </w:r>
      <w:r w:rsidRPr="00D42621">
        <w:rPr>
          <w:rFonts w:ascii="Arial" w:hAnsi="Arial"/>
          <w:b/>
          <w:bCs/>
          <w:color w:val="000000"/>
          <w:sz w:val="20"/>
          <w:szCs w:val="20"/>
          <w:lang w:eastAsia="cs-CZ"/>
        </w:rPr>
        <w:tab/>
        <w:t>dvojcestně, vyjímečně jednocestně, tzn. :</w:t>
      </w:r>
    </w:p>
    <w:p w14:paraId="7F8191F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8C9C20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a/ dodávkové teplo (vytápění, ohřev užitkové vody) + elektřina (běžné spotřebiče, vaření, </w:t>
      </w:r>
      <w:r w:rsidRPr="00D42621">
        <w:rPr>
          <w:rFonts w:ascii="Arial" w:hAnsi="Arial"/>
          <w:color w:val="000000"/>
          <w:sz w:val="20"/>
          <w:szCs w:val="20"/>
          <w:lang w:eastAsia="cs-CZ"/>
        </w:rPr>
        <w:tab/>
      </w:r>
      <w:r w:rsidRPr="00D42621">
        <w:rPr>
          <w:rFonts w:ascii="Arial" w:hAnsi="Arial"/>
          <w:color w:val="000000"/>
          <w:sz w:val="20"/>
          <w:szCs w:val="20"/>
          <w:lang w:eastAsia="cs-CZ"/>
        </w:rPr>
        <w:tab/>
        <w:t>elektrifikační stupeň B1)</w:t>
      </w:r>
    </w:p>
    <w:p w14:paraId="5F24F51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7DB1A7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b/ zemní plyn (vytápění, vaření, ohřev užitkové vody) + elektřina (běžné spotřebiče připojené na </w:t>
      </w:r>
      <w:r w:rsidRPr="00D42621">
        <w:rPr>
          <w:rFonts w:ascii="Arial" w:hAnsi="Arial"/>
          <w:color w:val="000000"/>
          <w:sz w:val="20"/>
          <w:szCs w:val="20"/>
          <w:lang w:eastAsia="cs-CZ"/>
        </w:rPr>
        <w:tab/>
        <w:t xml:space="preserve">zásuvku, svícení, elektrizační stupeň A). U komplexní plynofikace rodinných domků se navrhuje </w:t>
      </w:r>
      <w:r w:rsidRPr="00D42621">
        <w:rPr>
          <w:rFonts w:ascii="Arial" w:hAnsi="Arial"/>
          <w:color w:val="000000"/>
          <w:sz w:val="20"/>
          <w:szCs w:val="20"/>
          <w:lang w:eastAsia="cs-CZ"/>
        </w:rPr>
        <w:tab/>
        <w:t xml:space="preserve">využívat kombinovaných kotlů (vytápění i ohřev užitkové vody) nebo kotlů s ohřevem užitkové </w:t>
      </w:r>
      <w:r w:rsidRPr="00D42621">
        <w:rPr>
          <w:rFonts w:ascii="Arial" w:hAnsi="Arial"/>
          <w:color w:val="000000"/>
          <w:sz w:val="20"/>
          <w:szCs w:val="20"/>
          <w:lang w:eastAsia="cs-CZ"/>
        </w:rPr>
        <w:tab/>
      </w:r>
      <w:r w:rsidRPr="00D42621">
        <w:rPr>
          <w:rFonts w:ascii="Arial" w:hAnsi="Arial"/>
          <w:color w:val="000000"/>
          <w:sz w:val="20"/>
          <w:szCs w:val="20"/>
          <w:lang w:eastAsia="cs-CZ"/>
        </w:rPr>
        <w:tab/>
        <w:t>vody v akumulátorech (boilerech), dojde tak k podstatnému snížení hodinových potřeb plynu.</w:t>
      </w:r>
    </w:p>
    <w:p w14:paraId="1B934064"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B1A0B2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c/ komplexní elektrifikace (vytápění, vaření, užitková voda, běžné spotřebiče, elektr. stupeň C). </w:t>
      </w:r>
      <w:r w:rsidRPr="00D42621">
        <w:rPr>
          <w:rFonts w:ascii="Arial" w:hAnsi="Arial"/>
          <w:color w:val="000000"/>
          <w:sz w:val="20"/>
          <w:szCs w:val="20"/>
          <w:lang w:eastAsia="cs-CZ"/>
        </w:rPr>
        <w:tab/>
      </w:r>
      <w:r w:rsidRPr="00D42621">
        <w:rPr>
          <w:rFonts w:ascii="Arial" w:hAnsi="Arial"/>
          <w:color w:val="000000"/>
          <w:sz w:val="20"/>
          <w:szCs w:val="20"/>
          <w:lang w:eastAsia="cs-CZ"/>
        </w:rPr>
        <w:tab/>
        <w:t>U vytápění používat systémy hybridní, akumulační nebo tepelná čerpadla)</w:t>
      </w:r>
    </w:p>
    <w:p w14:paraId="312AB44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4E53E5C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d/ elektrifikace ve stupni B2 (běžné spotřebiče, vaření, ohřev užitkové vody) + vytápění </w:t>
      </w: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ekologickými palivy nezávislými na sítích</w:t>
      </w:r>
    </w:p>
    <w:p w14:paraId="03A3148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2567374"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997F3C4" w14:textId="77777777" w:rsidR="00D42621" w:rsidRPr="00D42621" w:rsidRDefault="00D42621" w:rsidP="00D42621">
      <w:pPr>
        <w:suppressAutoHyphens w:val="0"/>
        <w:autoSpaceDE w:val="0"/>
        <w:autoSpaceDN w:val="0"/>
        <w:adjustRightInd w:val="0"/>
        <w:spacing w:before="73" w:after="73" w:line="240" w:lineRule="atLeast"/>
        <w:rPr>
          <w:rFonts w:ascii="Arial" w:hAnsi="Arial"/>
          <w:b/>
          <w:bCs/>
          <w:caps/>
          <w:color w:val="000000"/>
          <w:sz w:val="20"/>
          <w:lang w:eastAsia="cs-CZ"/>
        </w:rPr>
      </w:pPr>
      <w:r w:rsidRPr="00D42621">
        <w:rPr>
          <w:rFonts w:ascii="Arial" w:hAnsi="Arial"/>
          <w:b/>
          <w:bCs/>
          <w:caps/>
          <w:color w:val="000000"/>
          <w:sz w:val="20"/>
          <w:lang w:eastAsia="cs-CZ"/>
        </w:rPr>
        <w:t>i.5.2. Základní energetická koncepce řešeného území</w:t>
      </w:r>
    </w:p>
    <w:p w14:paraId="056FA31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6D13B2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aps/>
          <w:color w:val="000000"/>
          <w:sz w:val="20"/>
          <w:szCs w:val="20"/>
          <w:lang w:eastAsia="cs-CZ"/>
        </w:rPr>
        <w:tab/>
        <w:t>Elektroenergetické systémy</w:t>
      </w:r>
    </w:p>
    <w:p w14:paraId="43D6C957"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1F6F2B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Zdrojem elektřiny pro řešené území budou nadále rozvodny 110 kV v Želenicích a ve východní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části Děčína. K těmto zdrojům možno připočítat i kogenerační jednotku v Bynově a Želenicích o </w:t>
      </w:r>
      <w:r w:rsidRPr="00D42621">
        <w:rPr>
          <w:rFonts w:ascii="Arial" w:hAnsi="Arial"/>
          <w:color w:val="000000"/>
          <w:sz w:val="20"/>
          <w:szCs w:val="20"/>
          <w:lang w:eastAsia="cs-CZ"/>
        </w:rPr>
        <w:tab/>
        <w:t xml:space="preserve">celkovém elektrickém výkonu 10,3 MW. Zdroj CZT Děčín východ bude řešen rovněž jako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kogenerační s elektrickým výkonem 6,3 MW. V první fázi výstavby však kogenerační část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vybudována nebude. O dostavbě rozhodne poptávka po výkupu elektřiny a její výkupní ceny.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Projekčně je připravena výstavba kogenerační jednotky v </w:t>
      </w:r>
      <w:r w:rsidRPr="00D42621">
        <w:rPr>
          <w:rFonts w:ascii="Arial" w:hAnsi="Arial"/>
          <w:color w:val="000000"/>
          <w:sz w:val="20"/>
          <w:szCs w:val="20"/>
          <w:lang w:eastAsia="cs-CZ"/>
        </w:rPr>
        <w:lastRenderedPageBreak/>
        <w:t xml:space="preserve">Boleticích, která nahradí stávající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výtopnu. Realizace umožní využít elektrický výkon cca 5 MW. Předpokládá se výstavba vodního </w:t>
      </w:r>
      <w:r w:rsidRPr="00D42621">
        <w:rPr>
          <w:rFonts w:ascii="Arial" w:hAnsi="Arial"/>
          <w:color w:val="000000"/>
          <w:sz w:val="20"/>
          <w:szCs w:val="20"/>
          <w:lang w:eastAsia="cs-CZ"/>
        </w:rPr>
        <w:tab/>
        <w:t xml:space="preserve">díla Prostřední Žleb s energetickým využitím (11 MW, roční výroba 60,6 GWh). Výhledově bude </w:t>
      </w:r>
      <w:r w:rsidRPr="00D42621">
        <w:rPr>
          <w:rFonts w:ascii="Arial" w:hAnsi="Arial"/>
          <w:color w:val="000000"/>
          <w:sz w:val="20"/>
          <w:szCs w:val="20"/>
          <w:lang w:eastAsia="cs-CZ"/>
        </w:rPr>
        <w:tab/>
        <w:t xml:space="preserve">v řešeném území využitelný výkon 32,6 MW. S vyjímkou vodního díla nebude tento výkon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využitelný 24 hodin denně, nicméně tyto zdroje pokryjí výraznou část spotřeby elektřiny v </w:t>
      </w:r>
      <w:r w:rsidRPr="00D42621">
        <w:rPr>
          <w:rFonts w:ascii="Arial" w:hAnsi="Arial"/>
          <w:color w:val="000000"/>
          <w:sz w:val="20"/>
          <w:szCs w:val="20"/>
          <w:lang w:eastAsia="cs-CZ"/>
        </w:rPr>
        <w:tab/>
      </w:r>
      <w:r w:rsidRPr="00D42621">
        <w:rPr>
          <w:rFonts w:ascii="Arial" w:hAnsi="Arial"/>
          <w:color w:val="000000"/>
          <w:sz w:val="20"/>
          <w:szCs w:val="20"/>
          <w:lang w:eastAsia="cs-CZ"/>
        </w:rPr>
        <w:tab/>
        <w:t>řešeném území (zejména v době špiček).</w:t>
      </w:r>
    </w:p>
    <w:p w14:paraId="19C9FD5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509E36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Sítě vysokého napětí jsou v současné době provozovány ve třech napěťových hladinách - 10, 22 </w:t>
      </w:r>
      <w:r w:rsidRPr="00D42621">
        <w:rPr>
          <w:rFonts w:ascii="Arial" w:hAnsi="Arial"/>
          <w:color w:val="000000"/>
          <w:sz w:val="20"/>
          <w:szCs w:val="20"/>
          <w:lang w:eastAsia="cs-CZ"/>
        </w:rPr>
        <w:tab/>
        <w:t xml:space="preserve">a 35 kV. Výhledově budou unifikovány na 22 kV. Kabelové rozvody v městské části jsou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provozovány na 10 kV, provádí se postupně výměna kabelů a trafostanice se upravují rovněž na </w:t>
      </w:r>
      <w:r w:rsidRPr="00D42621">
        <w:rPr>
          <w:rFonts w:ascii="Arial" w:hAnsi="Arial"/>
          <w:color w:val="000000"/>
          <w:sz w:val="20"/>
          <w:szCs w:val="20"/>
          <w:lang w:eastAsia="cs-CZ"/>
        </w:rPr>
        <w:tab/>
        <w:t xml:space="preserve">napěťovou hladinu 22 kV. Časový horizont ukončení unifikace napětí není zatím znám (bude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záviset od investičních možností provozovatele sítě), nedotkne se však odběratelů elektřiny (s </w:t>
      </w:r>
      <w:r w:rsidRPr="00D42621">
        <w:rPr>
          <w:rFonts w:ascii="Arial" w:hAnsi="Arial"/>
          <w:color w:val="000000"/>
          <w:sz w:val="20"/>
          <w:szCs w:val="20"/>
          <w:lang w:eastAsia="cs-CZ"/>
        </w:rPr>
        <w:tab/>
      </w:r>
      <w:r w:rsidRPr="00D42621">
        <w:rPr>
          <w:rFonts w:ascii="Arial" w:hAnsi="Arial"/>
          <w:color w:val="000000"/>
          <w:sz w:val="20"/>
          <w:szCs w:val="20"/>
          <w:lang w:eastAsia="cs-CZ"/>
        </w:rPr>
        <w:tab/>
        <w:t>vyjímkou krátkodobého přerušení dodávek elektřiny).</w:t>
      </w:r>
    </w:p>
    <w:p w14:paraId="1765C19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5C1336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Předpokládá se výstavba nové linky 110 kV Děčín - Želenice -  Teplárna Ústí n.L. Realizace  se </w:t>
      </w:r>
      <w:r w:rsidRPr="00D42621">
        <w:rPr>
          <w:rFonts w:ascii="Arial" w:hAnsi="Arial"/>
          <w:color w:val="000000"/>
          <w:sz w:val="20"/>
          <w:szCs w:val="20"/>
          <w:lang w:eastAsia="cs-CZ"/>
        </w:rPr>
        <w:tab/>
        <w:t xml:space="preserve">uskuteční na sloupech stávajícího vedení 110 kV a nevyžaduje zábor dalšího území. Územní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rezerva je navržena pro případnou výstavbu vedení 110 kV Děčín - Želenice - rozvodna Babylon </w:t>
      </w:r>
      <w:r w:rsidRPr="00D42621">
        <w:rPr>
          <w:rFonts w:ascii="Arial" w:hAnsi="Arial"/>
          <w:color w:val="000000"/>
          <w:sz w:val="20"/>
          <w:szCs w:val="20"/>
          <w:lang w:eastAsia="cs-CZ"/>
        </w:rPr>
        <w:tab/>
        <w:t>(trasa je projekčně připravena již delší dobu).</w:t>
      </w:r>
    </w:p>
    <w:p w14:paraId="4FDD8C9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1679A6F" w14:textId="77777777" w:rsidR="00D42621" w:rsidRPr="00D42621" w:rsidRDefault="00D42621" w:rsidP="00D42621">
      <w:pPr>
        <w:suppressAutoHyphens w:val="0"/>
        <w:autoSpaceDE w:val="0"/>
        <w:autoSpaceDN w:val="0"/>
        <w:adjustRightInd w:val="0"/>
        <w:spacing w:line="240" w:lineRule="atLeast"/>
        <w:rPr>
          <w:rFonts w:ascii="Arial" w:hAnsi="Arial"/>
          <w:b/>
          <w:bCs/>
          <w:caps/>
          <w:color w:val="000000"/>
          <w:sz w:val="20"/>
          <w:szCs w:val="20"/>
          <w:lang w:eastAsia="cs-CZ"/>
        </w:rPr>
      </w:pPr>
    </w:p>
    <w:p w14:paraId="7E9C476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aps/>
          <w:color w:val="000000"/>
          <w:sz w:val="20"/>
          <w:szCs w:val="20"/>
          <w:lang w:eastAsia="cs-CZ"/>
        </w:rPr>
        <w:t>Plynárenské rozvody</w:t>
      </w:r>
    </w:p>
    <w:p w14:paraId="4C6CF5CB"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B1E3FF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i/>
          <w:iCs/>
          <w:color w:val="000000"/>
          <w:sz w:val="20"/>
          <w:szCs w:val="20"/>
          <w:lang w:eastAsia="cs-CZ"/>
        </w:rPr>
        <w:tab/>
      </w:r>
      <w:r w:rsidRPr="00D42621">
        <w:rPr>
          <w:rFonts w:ascii="Arial" w:hAnsi="Arial"/>
          <w:color w:val="000000"/>
          <w:sz w:val="20"/>
          <w:szCs w:val="20"/>
          <w:lang w:eastAsia="cs-CZ"/>
        </w:rPr>
        <w:t xml:space="preserve">Podstatná část řešeného území je plošně plynofikována. Zdrojem zemního plynu jsou </w:t>
      </w: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vysokotlaké plynovody Blankartice - Děčín (DN 200) a Chuděrov - Podmokly (DN 200). Oba tyto </w:t>
      </w:r>
      <w:r w:rsidRPr="00D42621">
        <w:rPr>
          <w:rFonts w:ascii="Arial" w:hAnsi="Arial"/>
          <w:color w:val="000000"/>
          <w:sz w:val="20"/>
          <w:szCs w:val="20"/>
          <w:lang w:eastAsia="cs-CZ"/>
        </w:rPr>
        <w:tab/>
        <w:t xml:space="preserve">plynovody jsou propojeny na železničním mostě v Děčíně. Dalším zdrojem plynu je středotlaký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plynovod Martiněves - Děčín, jehož výstavbu si vyžádala realizace kogenerační jednotky v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Bynově a posílení středotlaké sítě v levobřežní části města. Místní sítě jsou středotlaké a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nízkotlaké. Rozvojové plochy v dosahu místních plynovodních sítí jsou navrženy zásadně ke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komplexní plynofikaci. Zejména u nízkotlakých sítí, vzhledem ke zvýšenému zatížení, bude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nutné provést přepočet sítě a zjistit, či tlaky a rychlost plynu odpovídají požadovaným hodnotám. </w:t>
      </w:r>
      <w:r w:rsidRPr="00D42621">
        <w:rPr>
          <w:rFonts w:ascii="Arial" w:hAnsi="Arial"/>
          <w:color w:val="000000"/>
          <w:sz w:val="20"/>
          <w:szCs w:val="20"/>
          <w:lang w:eastAsia="cs-CZ"/>
        </w:rPr>
        <w:tab/>
        <w:t>Výsledek propočtu určí konečné technické řešení.</w:t>
      </w:r>
    </w:p>
    <w:p w14:paraId="2289C58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1A6C504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Plynovodní systém města bude zásobovat i všechny navržené zdroje centrálního zásobování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teplem. Tyto zdroje jsou řešeny jako kogenerační jednotky, což znamená, že dojde k navýšení </w:t>
      </w:r>
      <w:r w:rsidRPr="00D42621">
        <w:rPr>
          <w:rFonts w:ascii="Arial" w:hAnsi="Arial"/>
          <w:color w:val="000000"/>
          <w:sz w:val="20"/>
          <w:szCs w:val="20"/>
          <w:lang w:eastAsia="cs-CZ"/>
        </w:rPr>
        <w:tab/>
      </w:r>
      <w:r w:rsidRPr="00D42621">
        <w:rPr>
          <w:rFonts w:ascii="Arial" w:hAnsi="Arial"/>
          <w:color w:val="000000"/>
          <w:sz w:val="20"/>
          <w:szCs w:val="20"/>
          <w:lang w:eastAsia="cs-CZ"/>
        </w:rPr>
        <w:tab/>
        <w:t>odběru plynu nejenom pro výrobu tepla ale i elektřiny.</w:t>
      </w:r>
    </w:p>
    <w:p w14:paraId="48503AB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48E840B0" w14:textId="77777777" w:rsidR="00D42621" w:rsidRPr="00D42621" w:rsidRDefault="00D42621" w:rsidP="00D42621">
      <w:pPr>
        <w:suppressAutoHyphens w:val="0"/>
        <w:autoSpaceDE w:val="0"/>
        <w:autoSpaceDN w:val="0"/>
        <w:adjustRightInd w:val="0"/>
        <w:spacing w:line="240" w:lineRule="atLeast"/>
        <w:ind w:firstLine="567"/>
        <w:rPr>
          <w:rFonts w:ascii="Arial" w:hAnsi="Arial"/>
          <w:b/>
          <w:bCs/>
          <w:caps/>
          <w:color w:val="000000"/>
          <w:sz w:val="20"/>
          <w:szCs w:val="20"/>
          <w:lang w:eastAsia="cs-CZ"/>
        </w:rPr>
      </w:pPr>
      <w:r w:rsidRPr="00D42621">
        <w:rPr>
          <w:rFonts w:ascii="Arial" w:hAnsi="Arial"/>
          <w:b/>
          <w:bCs/>
          <w:caps/>
          <w:color w:val="000000"/>
          <w:sz w:val="20"/>
          <w:szCs w:val="20"/>
          <w:lang w:eastAsia="cs-CZ"/>
        </w:rPr>
        <w:t xml:space="preserve">        Plošně plynofikovaná sídla - části města</w:t>
      </w:r>
    </w:p>
    <w:p w14:paraId="1106761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1705"/>
        <w:gridCol w:w="2429"/>
        <w:gridCol w:w="2766"/>
      </w:tblGrid>
      <w:tr w:rsidR="00D42621" w:rsidRPr="00D42621" w14:paraId="21339216"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3FEDBF4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sídlo</w:t>
            </w:r>
          </w:p>
        </w:tc>
        <w:tc>
          <w:tcPr>
            <w:tcW w:w="2429" w:type="dxa"/>
            <w:tcBorders>
              <w:top w:val="single" w:sz="6" w:space="0" w:color="auto"/>
              <w:left w:val="single" w:sz="6" w:space="0" w:color="auto"/>
              <w:bottom w:val="single" w:sz="6" w:space="0" w:color="auto"/>
              <w:right w:val="single" w:sz="6" w:space="0" w:color="auto"/>
            </w:tcBorders>
          </w:tcPr>
          <w:p w14:paraId="1ED0D07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místní síť</w:t>
            </w:r>
          </w:p>
        </w:tc>
        <w:tc>
          <w:tcPr>
            <w:tcW w:w="2766" w:type="dxa"/>
            <w:tcBorders>
              <w:top w:val="single" w:sz="6" w:space="0" w:color="auto"/>
              <w:left w:val="single" w:sz="6" w:space="0" w:color="auto"/>
              <w:bottom w:val="single" w:sz="6" w:space="0" w:color="auto"/>
              <w:right w:val="single" w:sz="6" w:space="0" w:color="auto"/>
            </w:tcBorders>
          </w:tcPr>
          <w:p w14:paraId="4BDABA8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poznámka</w:t>
            </w:r>
          </w:p>
        </w:tc>
      </w:tr>
      <w:tr w:rsidR="00D42621" w:rsidRPr="00D42621" w14:paraId="5F44467B"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527807D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Jalůvčí</w:t>
            </w:r>
          </w:p>
        </w:tc>
        <w:tc>
          <w:tcPr>
            <w:tcW w:w="2429" w:type="dxa"/>
            <w:tcBorders>
              <w:top w:val="single" w:sz="6" w:space="0" w:color="auto"/>
              <w:left w:val="single" w:sz="6" w:space="0" w:color="auto"/>
              <w:bottom w:val="single" w:sz="6" w:space="0" w:color="auto"/>
              <w:right w:val="single" w:sz="6" w:space="0" w:color="auto"/>
            </w:tcBorders>
          </w:tcPr>
          <w:p w14:paraId="61D0D51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238C7A80"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295C1FF1"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5950CF8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Bělá</w:t>
            </w:r>
          </w:p>
        </w:tc>
        <w:tc>
          <w:tcPr>
            <w:tcW w:w="2429" w:type="dxa"/>
            <w:tcBorders>
              <w:top w:val="single" w:sz="6" w:space="0" w:color="auto"/>
              <w:left w:val="single" w:sz="6" w:space="0" w:color="auto"/>
              <w:bottom w:val="single" w:sz="6" w:space="0" w:color="auto"/>
              <w:right w:val="single" w:sz="6" w:space="0" w:color="auto"/>
            </w:tcBorders>
          </w:tcPr>
          <w:p w14:paraId="0C37192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38CCF191"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3D561CB7"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4E42395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Škrabky</w:t>
            </w:r>
          </w:p>
        </w:tc>
        <w:tc>
          <w:tcPr>
            <w:tcW w:w="2429" w:type="dxa"/>
            <w:tcBorders>
              <w:top w:val="single" w:sz="6" w:space="0" w:color="auto"/>
              <w:left w:val="single" w:sz="6" w:space="0" w:color="auto"/>
              <w:bottom w:val="single" w:sz="6" w:space="0" w:color="auto"/>
              <w:right w:val="single" w:sz="6" w:space="0" w:color="auto"/>
            </w:tcBorders>
          </w:tcPr>
          <w:p w14:paraId="5D9EA1C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w:t>
            </w:r>
          </w:p>
        </w:tc>
        <w:tc>
          <w:tcPr>
            <w:tcW w:w="2766" w:type="dxa"/>
            <w:tcBorders>
              <w:top w:val="single" w:sz="6" w:space="0" w:color="auto"/>
              <w:left w:val="single" w:sz="6" w:space="0" w:color="auto"/>
              <w:bottom w:val="single" w:sz="6" w:space="0" w:color="auto"/>
              <w:right w:val="single" w:sz="6" w:space="0" w:color="auto"/>
            </w:tcBorders>
          </w:tcPr>
          <w:p w14:paraId="29B26EEC"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50885EAF"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2B986F2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Čechy</w:t>
            </w:r>
          </w:p>
        </w:tc>
        <w:tc>
          <w:tcPr>
            <w:tcW w:w="2429" w:type="dxa"/>
            <w:tcBorders>
              <w:top w:val="single" w:sz="6" w:space="0" w:color="auto"/>
              <w:left w:val="single" w:sz="6" w:space="0" w:color="auto"/>
              <w:bottom w:val="single" w:sz="6" w:space="0" w:color="auto"/>
              <w:right w:val="single" w:sz="6" w:space="0" w:color="auto"/>
            </w:tcBorders>
          </w:tcPr>
          <w:p w14:paraId="11EDCAE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w:t>
            </w:r>
          </w:p>
        </w:tc>
        <w:tc>
          <w:tcPr>
            <w:tcW w:w="2766" w:type="dxa"/>
            <w:tcBorders>
              <w:top w:val="single" w:sz="6" w:space="0" w:color="auto"/>
              <w:left w:val="single" w:sz="6" w:space="0" w:color="auto"/>
              <w:bottom w:val="single" w:sz="6" w:space="0" w:color="auto"/>
              <w:right w:val="single" w:sz="6" w:space="0" w:color="auto"/>
            </w:tcBorders>
          </w:tcPr>
          <w:p w14:paraId="6A8D79D9"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73267D5C"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1AA54C2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Bynov</w:t>
            </w:r>
          </w:p>
        </w:tc>
        <w:tc>
          <w:tcPr>
            <w:tcW w:w="2429" w:type="dxa"/>
            <w:tcBorders>
              <w:top w:val="single" w:sz="6" w:space="0" w:color="auto"/>
              <w:left w:val="single" w:sz="6" w:space="0" w:color="auto"/>
              <w:bottom w:val="single" w:sz="6" w:space="0" w:color="auto"/>
              <w:right w:val="single" w:sz="6" w:space="0" w:color="auto"/>
            </w:tcBorders>
          </w:tcPr>
          <w:p w14:paraId="526708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w:t>
            </w:r>
          </w:p>
        </w:tc>
        <w:tc>
          <w:tcPr>
            <w:tcW w:w="2766" w:type="dxa"/>
            <w:tcBorders>
              <w:top w:val="single" w:sz="6" w:space="0" w:color="auto"/>
              <w:left w:val="single" w:sz="6" w:space="0" w:color="auto"/>
              <w:bottom w:val="single" w:sz="6" w:space="0" w:color="auto"/>
              <w:right w:val="single" w:sz="6" w:space="0" w:color="auto"/>
            </w:tcBorders>
          </w:tcPr>
          <w:p w14:paraId="55CB4BC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pouze ul. Teplická a severní část</w:t>
            </w:r>
          </w:p>
        </w:tc>
      </w:tr>
      <w:tr w:rsidR="00D42621" w:rsidRPr="00D42621" w14:paraId="70CAE1C4"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26A4267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Nová Ves</w:t>
            </w:r>
          </w:p>
        </w:tc>
        <w:tc>
          <w:tcPr>
            <w:tcW w:w="2429" w:type="dxa"/>
            <w:tcBorders>
              <w:top w:val="single" w:sz="6" w:space="0" w:color="auto"/>
              <w:left w:val="single" w:sz="6" w:space="0" w:color="auto"/>
              <w:bottom w:val="single" w:sz="6" w:space="0" w:color="auto"/>
              <w:right w:val="single" w:sz="6" w:space="0" w:color="auto"/>
            </w:tcBorders>
          </w:tcPr>
          <w:p w14:paraId="02654AD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w:t>
            </w:r>
          </w:p>
        </w:tc>
        <w:tc>
          <w:tcPr>
            <w:tcW w:w="2766" w:type="dxa"/>
            <w:tcBorders>
              <w:top w:val="single" w:sz="6" w:space="0" w:color="auto"/>
              <w:left w:val="single" w:sz="6" w:space="0" w:color="auto"/>
              <w:bottom w:val="single" w:sz="6" w:space="0" w:color="auto"/>
              <w:right w:val="single" w:sz="6" w:space="0" w:color="auto"/>
            </w:tcBorders>
          </w:tcPr>
          <w:p w14:paraId="02F44A1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výhled</w:t>
            </w:r>
          </w:p>
        </w:tc>
      </w:tr>
      <w:tr w:rsidR="00D42621" w:rsidRPr="00D42621" w14:paraId="0219A692"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324420B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Dolní Oldřichov</w:t>
            </w:r>
          </w:p>
        </w:tc>
        <w:tc>
          <w:tcPr>
            <w:tcW w:w="2429" w:type="dxa"/>
            <w:tcBorders>
              <w:top w:val="single" w:sz="6" w:space="0" w:color="auto"/>
              <w:left w:val="single" w:sz="6" w:space="0" w:color="auto"/>
              <w:bottom w:val="single" w:sz="6" w:space="0" w:color="auto"/>
              <w:right w:val="single" w:sz="6" w:space="0" w:color="auto"/>
            </w:tcBorders>
          </w:tcPr>
          <w:p w14:paraId="7AA91E0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44F18F77"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33DBCFD5"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2D17D67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Horní Oldřichov</w:t>
            </w:r>
          </w:p>
        </w:tc>
        <w:tc>
          <w:tcPr>
            <w:tcW w:w="2429" w:type="dxa"/>
            <w:tcBorders>
              <w:top w:val="single" w:sz="6" w:space="0" w:color="auto"/>
              <w:left w:val="single" w:sz="6" w:space="0" w:color="auto"/>
              <w:bottom w:val="single" w:sz="6" w:space="0" w:color="auto"/>
              <w:right w:val="single" w:sz="6" w:space="0" w:color="auto"/>
            </w:tcBorders>
          </w:tcPr>
          <w:p w14:paraId="068AE87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1A045920"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6F92F9E4"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12C0E27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Žlíbek</w:t>
            </w:r>
          </w:p>
        </w:tc>
        <w:tc>
          <w:tcPr>
            <w:tcW w:w="2429" w:type="dxa"/>
            <w:tcBorders>
              <w:top w:val="single" w:sz="6" w:space="0" w:color="auto"/>
              <w:left w:val="single" w:sz="6" w:space="0" w:color="auto"/>
              <w:bottom w:val="single" w:sz="6" w:space="0" w:color="auto"/>
              <w:right w:val="single" w:sz="6" w:space="0" w:color="auto"/>
            </w:tcBorders>
          </w:tcPr>
          <w:p w14:paraId="0CBDB38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649CD48C"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6AE5380F"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7489836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Letná</w:t>
            </w:r>
          </w:p>
        </w:tc>
        <w:tc>
          <w:tcPr>
            <w:tcW w:w="2429" w:type="dxa"/>
            <w:tcBorders>
              <w:top w:val="single" w:sz="6" w:space="0" w:color="auto"/>
              <w:left w:val="single" w:sz="6" w:space="0" w:color="auto"/>
              <w:bottom w:val="single" w:sz="6" w:space="0" w:color="auto"/>
              <w:right w:val="single" w:sz="6" w:space="0" w:color="auto"/>
            </w:tcBorders>
          </w:tcPr>
          <w:p w14:paraId="5A83160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71F1F8DD"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5DFD0A42"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76A4885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Podmokly</w:t>
            </w:r>
          </w:p>
        </w:tc>
        <w:tc>
          <w:tcPr>
            <w:tcW w:w="2429" w:type="dxa"/>
            <w:tcBorders>
              <w:top w:val="single" w:sz="6" w:space="0" w:color="auto"/>
              <w:left w:val="single" w:sz="6" w:space="0" w:color="auto"/>
              <w:bottom w:val="single" w:sz="6" w:space="0" w:color="auto"/>
              <w:right w:val="single" w:sz="6" w:space="0" w:color="auto"/>
            </w:tcBorders>
          </w:tcPr>
          <w:p w14:paraId="21104DC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09856840"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65BA5DDA"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4F7F69D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Přípeř</w:t>
            </w:r>
          </w:p>
        </w:tc>
        <w:tc>
          <w:tcPr>
            <w:tcW w:w="2429" w:type="dxa"/>
            <w:tcBorders>
              <w:top w:val="single" w:sz="6" w:space="0" w:color="auto"/>
              <w:left w:val="single" w:sz="6" w:space="0" w:color="auto"/>
              <w:bottom w:val="single" w:sz="6" w:space="0" w:color="auto"/>
              <w:right w:val="single" w:sz="6" w:space="0" w:color="auto"/>
            </w:tcBorders>
          </w:tcPr>
          <w:p w14:paraId="660CD54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155E8253"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59A90C3F"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39AF5AC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Rozbělesy</w:t>
            </w:r>
          </w:p>
        </w:tc>
        <w:tc>
          <w:tcPr>
            <w:tcW w:w="2429" w:type="dxa"/>
            <w:tcBorders>
              <w:top w:val="single" w:sz="6" w:space="0" w:color="auto"/>
              <w:left w:val="single" w:sz="6" w:space="0" w:color="auto"/>
              <w:bottom w:val="single" w:sz="6" w:space="0" w:color="auto"/>
              <w:right w:val="single" w:sz="6" w:space="0" w:color="auto"/>
            </w:tcBorders>
          </w:tcPr>
          <w:p w14:paraId="173A2AF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2D8EC85B"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7C4F3011"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4547A7C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Želenice</w:t>
            </w:r>
          </w:p>
        </w:tc>
        <w:tc>
          <w:tcPr>
            <w:tcW w:w="2429" w:type="dxa"/>
            <w:tcBorders>
              <w:top w:val="single" w:sz="6" w:space="0" w:color="auto"/>
              <w:left w:val="single" w:sz="6" w:space="0" w:color="auto"/>
              <w:bottom w:val="single" w:sz="6" w:space="0" w:color="auto"/>
              <w:right w:val="single" w:sz="6" w:space="0" w:color="auto"/>
            </w:tcBorders>
          </w:tcPr>
          <w:p w14:paraId="68FC3D6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2FCD9162"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55661F7A"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04F409B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Václavov</w:t>
            </w:r>
          </w:p>
        </w:tc>
        <w:tc>
          <w:tcPr>
            <w:tcW w:w="2429" w:type="dxa"/>
            <w:tcBorders>
              <w:top w:val="single" w:sz="6" w:space="0" w:color="auto"/>
              <w:left w:val="single" w:sz="6" w:space="0" w:color="auto"/>
              <w:bottom w:val="single" w:sz="6" w:space="0" w:color="auto"/>
              <w:right w:val="single" w:sz="6" w:space="0" w:color="auto"/>
            </w:tcBorders>
          </w:tcPr>
          <w:p w14:paraId="21258FF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NTL</w:t>
            </w:r>
          </w:p>
        </w:tc>
        <w:tc>
          <w:tcPr>
            <w:tcW w:w="2766" w:type="dxa"/>
            <w:tcBorders>
              <w:top w:val="single" w:sz="6" w:space="0" w:color="auto"/>
              <w:left w:val="single" w:sz="6" w:space="0" w:color="auto"/>
              <w:bottom w:val="single" w:sz="6" w:space="0" w:color="auto"/>
              <w:right w:val="single" w:sz="6" w:space="0" w:color="auto"/>
            </w:tcBorders>
          </w:tcPr>
          <w:p w14:paraId="3910D272"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7250CCD4"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49D270C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Chrochvice</w:t>
            </w:r>
          </w:p>
        </w:tc>
        <w:tc>
          <w:tcPr>
            <w:tcW w:w="2429" w:type="dxa"/>
            <w:tcBorders>
              <w:top w:val="single" w:sz="6" w:space="0" w:color="auto"/>
              <w:left w:val="single" w:sz="6" w:space="0" w:color="auto"/>
              <w:bottom w:val="single" w:sz="6" w:space="0" w:color="auto"/>
              <w:right w:val="single" w:sz="6" w:space="0" w:color="auto"/>
            </w:tcBorders>
          </w:tcPr>
          <w:p w14:paraId="293D338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NTL</w:t>
            </w:r>
          </w:p>
        </w:tc>
        <w:tc>
          <w:tcPr>
            <w:tcW w:w="2766" w:type="dxa"/>
            <w:tcBorders>
              <w:top w:val="single" w:sz="6" w:space="0" w:color="auto"/>
              <w:left w:val="single" w:sz="6" w:space="0" w:color="auto"/>
              <w:bottom w:val="single" w:sz="6" w:space="0" w:color="auto"/>
              <w:right w:val="single" w:sz="6" w:space="0" w:color="auto"/>
            </w:tcBorders>
          </w:tcPr>
          <w:p w14:paraId="2BEE5C1F"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49F4A7A2"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20CECA5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Děčín</w:t>
            </w:r>
          </w:p>
        </w:tc>
        <w:tc>
          <w:tcPr>
            <w:tcW w:w="2429" w:type="dxa"/>
            <w:tcBorders>
              <w:top w:val="single" w:sz="6" w:space="0" w:color="auto"/>
              <w:left w:val="single" w:sz="6" w:space="0" w:color="auto"/>
              <w:bottom w:val="single" w:sz="6" w:space="0" w:color="auto"/>
              <w:right w:val="single" w:sz="6" w:space="0" w:color="auto"/>
            </w:tcBorders>
          </w:tcPr>
          <w:p w14:paraId="38363A9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137350EF"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7EE569C2"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49CFBE4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lastRenderedPageBreak/>
              <w:t>Nové Město</w:t>
            </w:r>
          </w:p>
        </w:tc>
        <w:tc>
          <w:tcPr>
            <w:tcW w:w="2429" w:type="dxa"/>
            <w:tcBorders>
              <w:top w:val="single" w:sz="6" w:space="0" w:color="auto"/>
              <w:left w:val="single" w:sz="6" w:space="0" w:color="auto"/>
              <w:bottom w:val="single" w:sz="6" w:space="0" w:color="auto"/>
              <w:right w:val="single" w:sz="6" w:space="0" w:color="auto"/>
            </w:tcBorders>
          </w:tcPr>
          <w:p w14:paraId="41C38E1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NTL</w:t>
            </w:r>
          </w:p>
        </w:tc>
        <w:tc>
          <w:tcPr>
            <w:tcW w:w="2766" w:type="dxa"/>
            <w:tcBorders>
              <w:top w:val="single" w:sz="6" w:space="0" w:color="auto"/>
              <w:left w:val="single" w:sz="6" w:space="0" w:color="auto"/>
              <w:bottom w:val="single" w:sz="6" w:space="0" w:color="auto"/>
              <w:right w:val="single" w:sz="6" w:space="0" w:color="auto"/>
            </w:tcBorders>
          </w:tcPr>
          <w:p w14:paraId="06301D6C"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3D6198B1"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42173A2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Staré Město</w:t>
            </w:r>
          </w:p>
        </w:tc>
        <w:tc>
          <w:tcPr>
            <w:tcW w:w="2429" w:type="dxa"/>
            <w:tcBorders>
              <w:top w:val="single" w:sz="6" w:space="0" w:color="auto"/>
              <w:left w:val="single" w:sz="6" w:space="0" w:color="auto"/>
              <w:bottom w:val="single" w:sz="6" w:space="0" w:color="auto"/>
              <w:right w:val="single" w:sz="6" w:space="0" w:color="auto"/>
            </w:tcBorders>
          </w:tcPr>
          <w:p w14:paraId="101EBB9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061060E3"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520BBB4A"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642B88E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Křešice</w:t>
            </w:r>
          </w:p>
        </w:tc>
        <w:tc>
          <w:tcPr>
            <w:tcW w:w="2429" w:type="dxa"/>
            <w:tcBorders>
              <w:top w:val="single" w:sz="6" w:space="0" w:color="auto"/>
              <w:left w:val="single" w:sz="6" w:space="0" w:color="auto"/>
              <w:bottom w:val="single" w:sz="6" w:space="0" w:color="auto"/>
              <w:right w:val="single" w:sz="6" w:space="0" w:color="auto"/>
            </w:tcBorders>
          </w:tcPr>
          <w:p w14:paraId="7530E90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w:t>
            </w:r>
          </w:p>
        </w:tc>
        <w:tc>
          <w:tcPr>
            <w:tcW w:w="2766" w:type="dxa"/>
            <w:tcBorders>
              <w:top w:val="single" w:sz="6" w:space="0" w:color="auto"/>
              <w:left w:val="single" w:sz="6" w:space="0" w:color="auto"/>
              <w:bottom w:val="single" w:sz="6" w:space="0" w:color="auto"/>
              <w:right w:val="single" w:sz="6" w:space="0" w:color="auto"/>
            </w:tcBorders>
          </w:tcPr>
          <w:p w14:paraId="70679D5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výhled</w:t>
            </w:r>
          </w:p>
        </w:tc>
      </w:tr>
      <w:tr w:rsidR="00D42621" w:rsidRPr="00D42621" w14:paraId="6696A3E8"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271CF80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Marjanín</w:t>
            </w:r>
          </w:p>
        </w:tc>
        <w:tc>
          <w:tcPr>
            <w:tcW w:w="2429" w:type="dxa"/>
            <w:tcBorders>
              <w:top w:val="single" w:sz="6" w:space="0" w:color="auto"/>
              <w:left w:val="single" w:sz="6" w:space="0" w:color="auto"/>
              <w:bottom w:val="single" w:sz="6" w:space="0" w:color="auto"/>
              <w:right w:val="single" w:sz="6" w:space="0" w:color="auto"/>
            </w:tcBorders>
          </w:tcPr>
          <w:p w14:paraId="1D62E3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w:t>
            </w:r>
          </w:p>
        </w:tc>
        <w:tc>
          <w:tcPr>
            <w:tcW w:w="2766" w:type="dxa"/>
            <w:tcBorders>
              <w:top w:val="single" w:sz="6" w:space="0" w:color="auto"/>
              <w:left w:val="single" w:sz="6" w:space="0" w:color="auto"/>
              <w:bottom w:val="single" w:sz="6" w:space="0" w:color="auto"/>
              <w:right w:val="single" w:sz="6" w:space="0" w:color="auto"/>
            </w:tcBorders>
          </w:tcPr>
          <w:p w14:paraId="75D0CEB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výhled</w:t>
            </w:r>
          </w:p>
        </w:tc>
      </w:tr>
      <w:tr w:rsidR="00D42621" w:rsidRPr="00D42621" w14:paraId="75AF79BD"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3C1AF74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Vilsnice</w:t>
            </w:r>
          </w:p>
        </w:tc>
        <w:tc>
          <w:tcPr>
            <w:tcW w:w="2429" w:type="dxa"/>
            <w:tcBorders>
              <w:top w:val="single" w:sz="6" w:space="0" w:color="auto"/>
              <w:left w:val="single" w:sz="6" w:space="0" w:color="auto"/>
              <w:bottom w:val="single" w:sz="6" w:space="0" w:color="auto"/>
              <w:right w:val="single" w:sz="6" w:space="0" w:color="auto"/>
            </w:tcBorders>
          </w:tcPr>
          <w:p w14:paraId="718D9CF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w:t>
            </w:r>
          </w:p>
        </w:tc>
        <w:tc>
          <w:tcPr>
            <w:tcW w:w="2766" w:type="dxa"/>
            <w:tcBorders>
              <w:top w:val="single" w:sz="6" w:space="0" w:color="auto"/>
              <w:left w:val="single" w:sz="6" w:space="0" w:color="auto"/>
              <w:bottom w:val="single" w:sz="6" w:space="0" w:color="auto"/>
              <w:right w:val="single" w:sz="6" w:space="0" w:color="auto"/>
            </w:tcBorders>
          </w:tcPr>
          <w:p w14:paraId="60CB635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výhled</w:t>
            </w:r>
          </w:p>
        </w:tc>
      </w:tr>
      <w:tr w:rsidR="00D42621" w:rsidRPr="00D42621" w14:paraId="50F51641"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67DE462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Boletice</w:t>
            </w:r>
          </w:p>
        </w:tc>
        <w:tc>
          <w:tcPr>
            <w:tcW w:w="2429" w:type="dxa"/>
            <w:tcBorders>
              <w:top w:val="single" w:sz="6" w:space="0" w:color="auto"/>
              <w:left w:val="single" w:sz="6" w:space="0" w:color="auto"/>
              <w:bottom w:val="single" w:sz="6" w:space="0" w:color="auto"/>
              <w:right w:val="single" w:sz="6" w:space="0" w:color="auto"/>
            </w:tcBorders>
          </w:tcPr>
          <w:p w14:paraId="55359DE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 NTL</w:t>
            </w:r>
          </w:p>
        </w:tc>
        <w:tc>
          <w:tcPr>
            <w:tcW w:w="2766" w:type="dxa"/>
            <w:tcBorders>
              <w:top w:val="single" w:sz="6" w:space="0" w:color="auto"/>
              <w:left w:val="single" w:sz="6" w:space="0" w:color="auto"/>
              <w:bottom w:val="single" w:sz="6" w:space="0" w:color="auto"/>
              <w:right w:val="single" w:sz="6" w:space="0" w:color="auto"/>
            </w:tcBorders>
          </w:tcPr>
          <w:p w14:paraId="04F89EE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část území</w:t>
            </w:r>
          </w:p>
        </w:tc>
      </w:tr>
      <w:tr w:rsidR="00D42621" w:rsidRPr="00D42621" w14:paraId="0C70BC4F" w14:textId="77777777" w:rsidTr="002D2D45">
        <w:trPr>
          <w:jc w:val="center"/>
        </w:trPr>
        <w:tc>
          <w:tcPr>
            <w:tcW w:w="1705" w:type="dxa"/>
            <w:tcBorders>
              <w:top w:val="single" w:sz="6" w:space="0" w:color="auto"/>
              <w:left w:val="single" w:sz="6" w:space="0" w:color="auto"/>
              <w:bottom w:val="single" w:sz="6" w:space="0" w:color="auto"/>
              <w:right w:val="single" w:sz="6" w:space="0" w:color="auto"/>
            </w:tcBorders>
          </w:tcPr>
          <w:p w14:paraId="65638BA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Nebočady</w:t>
            </w:r>
          </w:p>
        </w:tc>
        <w:tc>
          <w:tcPr>
            <w:tcW w:w="2429" w:type="dxa"/>
            <w:tcBorders>
              <w:top w:val="single" w:sz="6" w:space="0" w:color="auto"/>
              <w:left w:val="single" w:sz="6" w:space="0" w:color="auto"/>
              <w:bottom w:val="single" w:sz="6" w:space="0" w:color="auto"/>
              <w:right w:val="single" w:sz="6" w:space="0" w:color="auto"/>
            </w:tcBorders>
          </w:tcPr>
          <w:p w14:paraId="36F0C5C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STL</w:t>
            </w:r>
          </w:p>
        </w:tc>
        <w:tc>
          <w:tcPr>
            <w:tcW w:w="2766" w:type="dxa"/>
            <w:tcBorders>
              <w:top w:val="single" w:sz="6" w:space="0" w:color="auto"/>
              <w:left w:val="single" w:sz="6" w:space="0" w:color="auto"/>
              <w:bottom w:val="single" w:sz="6" w:space="0" w:color="auto"/>
              <w:right w:val="single" w:sz="6" w:space="0" w:color="auto"/>
            </w:tcBorders>
          </w:tcPr>
          <w:p w14:paraId="4DDF594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výhled</w:t>
            </w:r>
          </w:p>
        </w:tc>
      </w:tr>
    </w:tbl>
    <w:p w14:paraId="5BF4C910"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58D244A6"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cs="Arial"/>
          <w:color w:val="000000"/>
          <w:sz w:val="20"/>
          <w:szCs w:val="20"/>
          <w:lang w:eastAsia="cs-CZ"/>
        </w:rPr>
        <w:t>Většinou sídel prochází STL sítě, ze kterých se mohou případně posílit sítě NTL (přes středotlaký regulátor), nebo při rekonstrukcích nahrazovat NTL sítě středotlakými sítěmi.</w:t>
      </w:r>
    </w:p>
    <w:p w14:paraId="15A08C5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p>
    <w:p w14:paraId="4B34BEF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41900ADD"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cs="Arial"/>
          <w:b/>
          <w:bCs/>
          <w:caps/>
          <w:color w:val="000000"/>
          <w:sz w:val="22"/>
          <w:szCs w:val="22"/>
          <w:lang w:eastAsia="cs-CZ"/>
        </w:rPr>
        <w:t>Systémy centrálního zásobování teplem</w:t>
      </w:r>
    </w:p>
    <w:p w14:paraId="4DFD8C0A"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12F2279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s="Arial"/>
          <w:b/>
          <w:bCs/>
          <w:color w:val="000000"/>
          <w:sz w:val="20"/>
          <w:szCs w:val="20"/>
          <w:lang w:eastAsia="cs-CZ"/>
        </w:rPr>
        <w:t>a/</w:t>
      </w:r>
      <w:r w:rsidRPr="00D42621">
        <w:rPr>
          <w:rFonts w:ascii="Arial" w:hAnsi="Arial" w:cs="Arial"/>
          <w:b/>
          <w:bCs/>
          <w:caps/>
          <w:color w:val="000000"/>
          <w:sz w:val="20"/>
          <w:szCs w:val="20"/>
          <w:lang w:eastAsia="cs-CZ"/>
        </w:rPr>
        <w:t xml:space="preserve">  Bynov a Želenice</w:t>
      </w:r>
    </w:p>
    <w:p w14:paraId="6EE66C8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i/>
          <w:iCs/>
          <w:color w:val="000000"/>
          <w:sz w:val="20"/>
          <w:szCs w:val="20"/>
          <w:lang w:eastAsia="cs-CZ"/>
        </w:rPr>
        <w:tab/>
      </w:r>
    </w:p>
    <w:p w14:paraId="18DF581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i/>
          <w:iCs/>
          <w:color w:val="000000"/>
          <w:sz w:val="20"/>
          <w:szCs w:val="20"/>
          <w:lang w:eastAsia="cs-CZ"/>
        </w:rPr>
        <w:tab/>
      </w:r>
      <w:r w:rsidRPr="00D42621">
        <w:rPr>
          <w:rFonts w:ascii="Arial" w:hAnsi="Arial" w:cs="Arial"/>
          <w:color w:val="000000"/>
          <w:sz w:val="20"/>
          <w:szCs w:val="20"/>
          <w:lang w:eastAsia="cs-CZ"/>
        </w:rPr>
        <w:t xml:space="preserve">Již výše byla popsána moderní kogenerační jednotka v Bynově. Prakticky stejná jednotka byla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postavena v Želenicích a nahradila tak původní uhelnou kotelnu. V rámci výstavby této druhé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jednotky byl také postaven tepelný napaječ do předávací stanice v Jeronýmově ulici, což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umožnilo zrušit původní olejovou kotelnu a zásobovat teplem rozvojové plochy Dopravního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podniku. Připojování další zátěže na uvedený tepelný napaječ je možné ještě v rozsahu dalších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3 MW. Oblast Podmokly je určena usnesením městského zastupitelstva č. IX/95 pro zásobování </w:t>
      </w:r>
      <w:r w:rsidRPr="00D42621">
        <w:rPr>
          <w:rFonts w:ascii="Arial" w:hAnsi="Arial" w:cs="Arial"/>
          <w:color w:val="000000"/>
          <w:sz w:val="20"/>
          <w:szCs w:val="20"/>
          <w:lang w:eastAsia="cs-CZ"/>
        </w:rPr>
        <w:tab/>
        <w:t xml:space="preserve">teplem z CZT. Proto po vyčerpání výše uvedené rezervy napaječe z kogenerační jednotky v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Želenicích se navrhuje využít volné kapacity kotelny v Kabelovně Děčín. Je zde instalován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horkovodní kotel o výkonu 4,5 MW a 3 parní kotle o výkonu 19 t/hod. Všechny kotle spalují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zemní plyn. Navrhuje se zpracovat technicko-ekonomický podklad zaměřený na využití volného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výkonu zdroje pro tepelnou soustavu v Podmoklech.</w:t>
      </w:r>
    </w:p>
    <w:p w14:paraId="4B43D974"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4FA023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s="Arial"/>
          <w:b/>
          <w:bCs/>
          <w:color w:val="000000"/>
          <w:sz w:val="20"/>
          <w:szCs w:val="20"/>
          <w:lang w:eastAsia="cs-CZ"/>
        </w:rPr>
        <w:t>b/</w:t>
      </w:r>
      <w:r w:rsidRPr="00D42621">
        <w:rPr>
          <w:rFonts w:ascii="Arial" w:hAnsi="Arial" w:cs="Arial"/>
          <w:b/>
          <w:bCs/>
          <w:caps/>
          <w:color w:val="000000"/>
          <w:sz w:val="20"/>
          <w:szCs w:val="20"/>
          <w:lang w:eastAsia="cs-CZ"/>
        </w:rPr>
        <w:t xml:space="preserve">  Zdroj CZT Děčín - východ</w:t>
      </w:r>
    </w:p>
    <w:p w14:paraId="0633F85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olor w:val="000000"/>
          <w:sz w:val="20"/>
          <w:szCs w:val="20"/>
          <w:lang w:eastAsia="cs-CZ"/>
        </w:rPr>
        <w:tab/>
      </w:r>
    </w:p>
    <w:p w14:paraId="12CAB47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s="Arial"/>
          <w:color w:val="000000"/>
          <w:sz w:val="20"/>
          <w:szCs w:val="20"/>
          <w:lang w:eastAsia="cs-CZ"/>
        </w:rPr>
        <w:t xml:space="preserve">Projekčně je připravena výstavba tepelného zdroje Děčín - východ. Navržené trasy tepelných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napaječů se ve velké míře shodují s již vybudovanými parními napaječi, které jsou mimo provoz </w:t>
      </w:r>
      <w:r w:rsidRPr="00D42621">
        <w:rPr>
          <w:rFonts w:ascii="Arial" w:hAnsi="Arial" w:cs="Arial"/>
          <w:color w:val="000000"/>
          <w:sz w:val="20"/>
          <w:szCs w:val="20"/>
          <w:lang w:eastAsia="cs-CZ"/>
        </w:rPr>
        <w:tab/>
        <w:t xml:space="preserve">a budou kompletně rekonstruovány (případně odstraněny) na napaječe horkovodní (jsou patrné z </w:t>
      </w:r>
      <w:r w:rsidRPr="00D42621">
        <w:rPr>
          <w:rFonts w:ascii="Arial" w:hAnsi="Arial" w:cs="Arial"/>
          <w:color w:val="000000"/>
          <w:sz w:val="20"/>
          <w:szCs w:val="20"/>
          <w:lang w:eastAsia="cs-CZ"/>
        </w:rPr>
        <w:tab/>
        <w:t xml:space="preserve">grafické přílohy). </w:t>
      </w:r>
    </w:p>
    <w:p w14:paraId="057AF09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s="Arial"/>
          <w:color w:val="000000"/>
          <w:sz w:val="20"/>
          <w:szCs w:val="20"/>
          <w:lang w:eastAsia="cs-CZ"/>
        </w:rPr>
        <w:t xml:space="preserve">Zdroj s využitím geotermální energie bude získávat teplo ochlazením geotermální vody pomocí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tepelných čerpadel, dále bude vyrábět teplo a elektrickou energii v plynových zdrojových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soustrojích. V období nízkých venkovních teplot bude špičková výroba tepla zajišťována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špičkovými kotly. Teplem budou zásobováni odběratelé zrušených lokálních kotelen v Děčíně na </w:t>
      </w:r>
      <w:r w:rsidRPr="00D42621">
        <w:rPr>
          <w:rFonts w:ascii="Arial" w:hAnsi="Arial" w:cs="Arial"/>
          <w:color w:val="000000"/>
          <w:sz w:val="20"/>
          <w:szCs w:val="20"/>
          <w:lang w:eastAsia="cs-CZ"/>
        </w:rPr>
        <w:tab/>
        <w:t xml:space="preserve">pravém břehu Labe a vyrobená elektrická energie bude sloužit pro pokrytí vlastní spotřeby a její </w:t>
      </w:r>
      <w:r w:rsidRPr="00D42621">
        <w:rPr>
          <w:rFonts w:ascii="Arial" w:hAnsi="Arial" w:cs="Arial"/>
          <w:color w:val="000000"/>
          <w:sz w:val="20"/>
          <w:szCs w:val="20"/>
          <w:lang w:eastAsia="cs-CZ"/>
        </w:rPr>
        <w:tab/>
        <w:t xml:space="preserve">nadvýroba bude prodávána a.s. SČE. Ochlazená geotermální voda bude využita po úpravě jako </w:t>
      </w:r>
      <w:r w:rsidRPr="00D42621">
        <w:rPr>
          <w:rFonts w:ascii="Arial" w:hAnsi="Arial" w:cs="Arial"/>
          <w:color w:val="000000"/>
          <w:sz w:val="20"/>
          <w:szCs w:val="20"/>
          <w:lang w:eastAsia="cs-CZ"/>
        </w:rPr>
        <w:tab/>
        <w:t xml:space="preserve">pitná voda pro město Děčín. Zdroj je projektován jako kogenerační. Vlastní výstavba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kogenerační části bude realizována v době, kdy bude pro provoz zdroje ekonomické vyrábět </w:t>
      </w:r>
      <w:r w:rsidRPr="00D42621">
        <w:rPr>
          <w:rFonts w:ascii="Arial" w:hAnsi="Arial" w:cs="Arial"/>
          <w:color w:val="000000"/>
          <w:sz w:val="20"/>
          <w:szCs w:val="20"/>
          <w:lang w:eastAsia="cs-CZ"/>
        </w:rPr>
        <w:tab/>
      </w:r>
      <w:r w:rsidRPr="00D42621">
        <w:rPr>
          <w:rFonts w:ascii="Arial" w:hAnsi="Arial" w:cs="Arial"/>
          <w:color w:val="000000"/>
          <w:sz w:val="20"/>
          <w:szCs w:val="20"/>
          <w:lang w:eastAsia="cs-CZ"/>
        </w:rPr>
        <w:tab/>
        <w:t xml:space="preserve">elektřinu (poptávka po výkupu elektřiny, výkupní a prodejní ceny elektřiny) . </w:t>
      </w:r>
    </w:p>
    <w:p w14:paraId="586B6CE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C3E84CF" w14:textId="77777777" w:rsidR="00D42621" w:rsidRPr="00D42621" w:rsidRDefault="00D42621" w:rsidP="00D42621">
      <w:pPr>
        <w:suppressAutoHyphens w:val="0"/>
        <w:autoSpaceDE w:val="0"/>
        <w:autoSpaceDN w:val="0"/>
        <w:adjustRightInd w:val="0"/>
        <w:spacing w:line="240" w:lineRule="atLeast"/>
        <w:ind w:firstLine="567"/>
        <w:rPr>
          <w:rFonts w:ascii="Arial" w:hAnsi="Arial" w:cs="Arial"/>
          <w:b/>
          <w:bCs/>
          <w:caps/>
          <w:color w:val="000000"/>
          <w:sz w:val="20"/>
          <w:szCs w:val="20"/>
          <w:lang w:eastAsia="cs-CZ"/>
        </w:rPr>
      </w:pPr>
      <w:r w:rsidRPr="00D42621">
        <w:rPr>
          <w:rFonts w:ascii="Arial" w:hAnsi="Arial" w:cs="Arial"/>
          <w:b/>
          <w:bCs/>
          <w:caps/>
          <w:color w:val="000000"/>
          <w:sz w:val="20"/>
          <w:szCs w:val="20"/>
          <w:lang w:eastAsia="cs-CZ"/>
        </w:rPr>
        <w:t xml:space="preserve">Předpokládá se připojení následujících odběrů </w:t>
      </w:r>
    </w:p>
    <w:p w14:paraId="7579C254"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2277"/>
        <w:gridCol w:w="1623"/>
        <w:gridCol w:w="1964"/>
        <w:gridCol w:w="1391"/>
      </w:tblGrid>
      <w:tr w:rsidR="00D42621" w:rsidRPr="00D42621" w14:paraId="0323B555"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5B20F5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odběrné  místo</w:t>
            </w:r>
          </w:p>
        </w:tc>
        <w:tc>
          <w:tcPr>
            <w:tcW w:w="1623" w:type="dxa"/>
            <w:tcBorders>
              <w:top w:val="single" w:sz="6" w:space="0" w:color="auto"/>
              <w:left w:val="single" w:sz="6" w:space="0" w:color="auto"/>
              <w:bottom w:val="single" w:sz="6" w:space="0" w:color="auto"/>
              <w:right w:val="single" w:sz="6" w:space="0" w:color="auto"/>
            </w:tcBorders>
          </w:tcPr>
          <w:p w14:paraId="1A69642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výkon ( MW )</w:t>
            </w:r>
          </w:p>
        </w:tc>
        <w:tc>
          <w:tcPr>
            <w:tcW w:w="1964" w:type="dxa"/>
            <w:tcBorders>
              <w:top w:val="single" w:sz="6" w:space="0" w:color="auto"/>
              <w:left w:val="single" w:sz="6" w:space="0" w:color="auto"/>
              <w:bottom w:val="single" w:sz="6" w:space="0" w:color="auto"/>
              <w:right w:val="single" w:sz="6" w:space="0" w:color="auto"/>
            </w:tcBorders>
          </w:tcPr>
          <w:p w14:paraId="58352D7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odběrné  místo</w:t>
            </w:r>
          </w:p>
        </w:tc>
        <w:tc>
          <w:tcPr>
            <w:tcW w:w="1391" w:type="dxa"/>
            <w:tcBorders>
              <w:top w:val="single" w:sz="6" w:space="0" w:color="auto"/>
              <w:left w:val="single" w:sz="6" w:space="0" w:color="auto"/>
              <w:bottom w:val="single" w:sz="6" w:space="0" w:color="auto"/>
              <w:right w:val="single" w:sz="6" w:space="0" w:color="auto"/>
            </w:tcBorders>
          </w:tcPr>
          <w:p w14:paraId="0B1D6E7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výkon ( MW )</w:t>
            </w:r>
          </w:p>
        </w:tc>
      </w:tr>
      <w:tr w:rsidR="00D42621" w:rsidRPr="00D42621" w14:paraId="46284096"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0BF0392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Březiny</w:t>
            </w:r>
          </w:p>
        </w:tc>
        <w:tc>
          <w:tcPr>
            <w:tcW w:w="1623" w:type="dxa"/>
            <w:tcBorders>
              <w:top w:val="single" w:sz="6" w:space="0" w:color="auto"/>
              <w:left w:val="single" w:sz="6" w:space="0" w:color="auto"/>
              <w:bottom w:val="single" w:sz="6" w:space="0" w:color="auto"/>
              <w:right w:val="single" w:sz="6" w:space="0" w:color="auto"/>
            </w:tcBorders>
          </w:tcPr>
          <w:p w14:paraId="19CD344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3,35</w:t>
            </w:r>
          </w:p>
        </w:tc>
        <w:tc>
          <w:tcPr>
            <w:tcW w:w="1964" w:type="dxa"/>
            <w:tcBorders>
              <w:top w:val="single" w:sz="6" w:space="0" w:color="auto"/>
              <w:left w:val="single" w:sz="6" w:space="0" w:color="auto"/>
              <w:bottom w:val="single" w:sz="6" w:space="0" w:color="auto"/>
              <w:right w:val="single" w:sz="6" w:space="0" w:color="auto"/>
            </w:tcBorders>
          </w:tcPr>
          <w:p w14:paraId="705B97F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Žerotínova č. 390</w:t>
            </w:r>
          </w:p>
        </w:tc>
        <w:tc>
          <w:tcPr>
            <w:tcW w:w="1391" w:type="dxa"/>
            <w:tcBorders>
              <w:top w:val="single" w:sz="6" w:space="0" w:color="auto"/>
              <w:left w:val="single" w:sz="6" w:space="0" w:color="auto"/>
              <w:bottom w:val="single" w:sz="6" w:space="0" w:color="auto"/>
              <w:right w:val="single" w:sz="6" w:space="0" w:color="auto"/>
            </w:tcBorders>
          </w:tcPr>
          <w:p w14:paraId="04E0FBC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1,83</w:t>
            </w:r>
          </w:p>
        </w:tc>
      </w:tr>
      <w:tr w:rsidR="00D42621" w:rsidRPr="00D42621" w14:paraId="1528AAE1"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114289E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Oblouková č. 389</w:t>
            </w:r>
          </w:p>
        </w:tc>
        <w:tc>
          <w:tcPr>
            <w:tcW w:w="1623" w:type="dxa"/>
            <w:tcBorders>
              <w:top w:val="single" w:sz="6" w:space="0" w:color="auto"/>
              <w:left w:val="single" w:sz="6" w:space="0" w:color="auto"/>
              <w:bottom w:val="single" w:sz="6" w:space="0" w:color="auto"/>
              <w:right w:val="single" w:sz="6" w:space="0" w:color="auto"/>
            </w:tcBorders>
          </w:tcPr>
          <w:p w14:paraId="40B1C48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2,91</w:t>
            </w:r>
          </w:p>
        </w:tc>
        <w:tc>
          <w:tcPr>
            <w:tcW w:w="1964" w:type="dxa"/>
            <w:tcBorders>
              <w:top w:val="single" w:sz="6" w:space="0" w:color="auto"/>
              <w:left w:val="single" w:sz="6" w:space="0" w:color="auto"/>
              <w:bottom w:val="single" w:sz="6" w:space="0" w:color="auto"/>
              <w:right w:val="single" w:sz="6" w:space="0" w:color="auto"/>
            </w:tcBorders>
          </w:tcPr>
          <w:p w14:paraId="7ECD45C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Rakovnická č. 387</w:t>
            </w:r>
          </w:p>
        </w:tc>
        <w:tc>
          <w:tcPr>
            <w:tcW w:w="1391" w:type="dxa"/>
            <w:tcBorders>
              <w:top w:val="single" w:sz="6" w:space="0" w:color="auto"/>
              <w:left w:val="single" w:sz="6" w:space="0" w:color="auto"/>
              <w:bottom w:val="single" w:sz="6" w:space="0" w:color="auto"/>
              <w:right w:val="single" w:sz="6" w:space="0" w:color="auto"/>
            </w:tcBorders>
          </w:tcPr>
          <w:p w14:paraId="23FBFD1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3,21</w:t>
            </w:r>
          </w:p>
        </w:tc>
      </w:tr>
      <w:tr w:rsidR="00D42621" w:rsidRPr="00D42621" w14:paraId="00287702"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54303F9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Březová 369</w:t>
            </w:r>
          </w:p>
        </w:tc>
        <w:tc>
          <w:tcPr>
            <w:tcW w:w="1623" w:type="dxa"/>
            <w:tcBorders>
              <w:top w:val="single" w:sz="6" w:space="0" w:color="auto"/>
              <w:left w:val="single" w:sz="6" w:space="0" w:color="auto"/>
              <w:bottom w:val="single" w:sz="6" w:space="0" w:color="auto"/>
              <w:right w:val="single" w:sz="6" w:space="0" w:color="auto"/>
            </w:tcBorders>
          </w:tcPr>
          <w:p w14:paraId="5A03A8F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0,85</w:t>
            </w:r>
          </w:p>
        </w:tc>
        <w:tc>
          <w:tcPr>
            <w:tcW w:w="1964" w:type="dxa"/>
            <w:tcBorders>
              <w:top w:val="single" w:sz="6" w:space="0" w:color="auto"/>
              <w:left w:val="single" w:sz="6" w:space="0" w:color="auto"/>
              <w:bottom w:val="single" w:sz="6" w:space="0" w:color="auto"/>
              <w:right w:val="single" w:sz="6" w:space="0" w:color="auto"/>
            </w:tcBorders>
          </w:tcPr>
          <w:p w14:paraId="5975FF4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Oblouková 25</w:t>
            </w:r>
          </w:p>
        </w:tc>
        <w:tc>
          <w:tcPr>
            <w:tcW w:w="1391" w:type="dxa"/>
            <w:tcBorders>
              <w:top w:val="single" w:sz="6" w:space="0" w:color="auto"/>
              <w:left w:val="single" w:sz="6" w:space="0" w:color="auto"/>
              <w:bottom w:val="single" w:sz="6" w:space="0" w:color="auto"/>
              <w:right w:val="single" w:sz="6" w:space="0" w:color="auto"/>
            </w:tcBorders>
          </w:tcPr>
          <w:p w14:paraId="1ECED75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0,07</w:t>
            </w:r>
          </w:p>
        </w:tc>
      </w:tr>
      <w:tr w:rsidR="00D42621" w:rsidRPr="00D42621" w14:paraId="04442C05"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2B6A3D0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Oblouková stadion</w:t>
            </w:r>
          </w:p>
        </w:tc>
        <w:tc>
          <w:tcPr>
            <w:tcW w:w="1623" w:type="dxa"/>
            <w:tcBorders>
              <w:top w:val="single" w:sz="6" w:space="0" w:color="auto"/>
              <w:left w:val="single" w:sz="6" w:space="0" w:color="auto"/>
              <w:bottom w:val="single" w:sz="6" w:space="0" w:color="auto"/>
              <w:right w:val="single" w:sz="6" w:space="0" w:color="auto"/>
            </w:tcBorders>
          </w:tcPr>
          <w:p w14:paraId="25B3087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0,19</w:t>
            </w:r>
          </w:p>
        </w:tc>
        <w:tc>
          <w:tcPr>
            <w:tcW w:w="1964" w:type="dxa"/>
            <w:tcBorders>
              <w:top w:val="single" w:sz="6" w:space="0" w:color="auto"/>
              <w:left w:val="single" w:sz="6" w:space="0" w:color="auto"/>
              <w:bottom w:val="single" w:sz="6" w:space="0" w:color="auto"/>
              <w:right w:val="single" w:sz="6" w:space="0" w:color="auto"/>
            </w:tcBorders>
          </w:tcPr>
          <w:p w14:paraId="6058687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t>Daymon</w:t>
            </w:r>
          </w:p>
        </w:tc>
        <w:tc>
          <w:tcPr>
            <w:tcW w:w="1391" w:type="dxa"/>
            <w:tcBorders>
              <w:top w:val="single" w:sz="6" w:space="0" w:color="auto"/>
              <w:left w:val="single" w:sz="6" w:space="0" w:color="auto"/>
              <w:bottom w:val="single" w:sz="6" w:space="0" w:color="auto"/>
              <w:right w:val="single" w:sz="6" w:space="0" w:color="auto"/>
            </w:tcBorders>
          </w:tcPr>
          <w:p w14:paraId="3AAC6FA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0,7</w:t>
            </w:r>
          </w:p>
        </w:tc>
      </w:tr>
      <w:tr w:rsidR="00D42621" w:rsidRPr="00D42621" w14:paraId="22BCF9CA"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465960D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Liberecká č. 300</w:t>
            </w:r>
          </w:p>
        </w:tc>
        <w:tc>
          <w:tcPr>
            <w:tcW w:w="1623" w:type="dxa"/>
            <w:tcBorders>
              <w:top w:val="single" w:sz="6" w:space="0" w:color="auto"/>
              <w:left w:val="single" w:sz="6" w:space="0" w:color="auto"/>
              <w:bottom w:val="single" w:sz="6" w:space="0" w:color="auto"/>
              <w:right w:val="single" w:sz="6" w:space="0" w:color="auto"/>
            </w:tcBorders>
          </w:tcPr>
          <w:p w14:paraId="6DE49AE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3,83</w:t>
            </w:r>
          </w:p>
        </w:tc>
        <w:tc>
          <w:tcPr>
            <w:tcW w:w="1964" w:type="dxa"/>
            <w:tcBorders>
              <w:top w:val="single" w:sz="6" w:space="0" w:color="auto"/>
              <w:left w:val="single" w:sz="6" w:space="0" w:color="auto"/>
              <w:bottom w:val="single" w:sz="6" w:space="0" w:color="auto"/>
              <w:right w:val="single" w:sz="6" w:space="0" w:color="auto"/>
            </w:tcBorders>
          </w:tcPr>
          <w:p w14:paraId="761678D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Kamenická</w:t>
            </w:r>
          </w:p>
        </w:tc>
        <w:tc>
          <w:tcPr>
            <w:tcW w:w="1391" w:type="dxa"/>
            <w:tcBorders>
              <w:top w:val="single" w:sz="6" w:space="0" w:color="auto"/>
              <w:left w:val="single" w:sz="6" w:space="0" w:color="auto"/>
              <w:bottom w:val="single" w:sz="6" w:space="0" w:color="auto"/>
              <w:right w:val="single" w:sz="6" w:space="0" w:color="auto"/>
            </w:tcBorders>
          </w:tcPr>
          <w:p w14:paraId="572788E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2,61</w:t>
            </w:r>
          </w:p>
        </w:tc>
      </w:tr>
      <w:tr w:rsidR="00D42621" w:rsidRPr="00D42621" w14:paraId="55084F73"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46C7805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Riegrova č. 311</w:t>
            </w:r>
          </w:p>
        </w:tc>
        <w:tc>
          <w:tcPr>
            <w:tcW w:w="1623" w:type="dxa"/>
            <w:tcBorders>
              <w:top w:val="single" w:sz="6" w:space="0" w:color="auto"/>
              <w:left w:val="single" w:sz="6" w:space="0" w:color="auto"/>
              <w:bottom w:val="single" w:sz="6" w:space="0" w:color="auto"/>
              <w:right w:val="single" w:sz="6" w:space="0" w:color="auto"/>
            </w:tcBorders>
          </w:tcPr>
          <w:p w14:paraId="6E9462A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0,62</w:t>
            </w:r>
          </w:p>
        </w:tc>
        <w:tc>
          <w:tcPr>
            <w:tcW w:w="1964" w:type="dxa"/>
            <w:tcBorders>
              <w:top w:val="single" w:sz="6" w:space="0" w:color="auto"/>
              <w:left w:val="single" w:sz="6" w:space="0" w:color="auto"/>
              <w:bottom w:val="single" w:sz="6" w:space="0" w:color="auto"/>
              <w:right w:val="single" w:sz="6" w:space="0" w:color="auto"/>
            </w:tcBorders>
          </w:tcPr>
          <w:p w14:paraId="4D99659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Nedbalova č. 1287</w:t>
            </w:r>
          </w:p>
        </w:tc>
        <w:tc>
          <w:tcPr>
            <w:tcW w:w="1391" w:type="dxa"/>
            <w:tcBorders>
              <w:top w:val="single" w:sz="6" w:space="0" w:color="auto"/>
              <w:left w:val="single" w:sz="6" w:space="0" w:color="auto"/>
              <w:bottom w:val="single" w:sz="6" w:space="0" w:color="auto"/>
              <w:right w:val="single" w:sz="6" w:space="0" w:color="auto"/>
            </w:tcBorders>
          </w:tcPr>
          <w:p w14:paraId="10DBA2F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0,52</w:t>
            </w:r>
          </w:p>
        </w:tc>
      </w:tr>
      <w:tr w:rsidR="00D42621" w:rsidRPr="00D42621" w14:paraId="593FE286"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3ADCC79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Pohraniční č. 1288</w:t>
            </w:r>
          </w:p>
        </w:tc>
        <w:tc>
          <w:tcPr>
            <w:tcW w:w="1623" w:type="dxa"/>
            <w:tcBorders>
              <w:top w:val="single" w:sz="6" w:space="0" w:color="auto"/>
              <w:left w:val="single" w:sz="6" w:space="0" w:color="auto"/>
              <w:bottom w:val="single" w:sz="6" w:space="0" w:color="auto"/>
              <w:right w:val="single" w:sz="6" w:space="0" w:color="auto"/>
            </w:tcBorders>
          </w:tcPr>
          <w:p w14:paraId="42E0E8E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0,14</w:t>
            </w:r>
          </w:p>
        </w:tc>
        <w:tc>
          <w:tcPr>
            <w:tcW w:w="1964" w:type="dxa"/>
            <w:tcBorders>
              <w:top w:val="single" w:sz="6" w:space="0" w:color="auto"/>
              <w:left w:val="single" w:sz="6" w:space="0" w:color="auto"/>
              <w:bottom w:val="single" w:sz="6" w:space="0" w:color="auto"/>
              <w:right w:val="single" w:sz="6" w:space="0" w:color="auto"/>
            </w:tcBorders>
          </w:tcPr>
          <w:p w14:paraId="4952EC7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Bočná č. 952</w:t>
            </w:r>
          </w:p>
        </w:tc>
        <w:tc>
          <w:tcPr>
            <w:tcW w:w="1391" w:type="dxa"/>
            <w:tcBorders>
              <w:top w:val="single" w:sz="6" w:space="0" w:color="auto"/>
              <w:left w:val="single" w:sz="6" w:space="0" w:color="auto"/>
              <w:bottom w:val="single" w:sz="6" w:space="0" w:color="auto"/>
              <w:right w:val="single" w:sz="6" w:space="0" w:color="auto"/>
            </w:tcBorders>
          </w:tcPr>
          <w:p w14:paraId="0D4633D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0,1</w:t>
            </w:r>
          </w:p>
        </w:tc>
      </w:tr>
      <w:tr w:rsidR="00D42621" w:rsidRPr="00D42621" w14:paraId="53C16377"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02E20E9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aps/>
                <w:color w:val="000000"/>
                <w:sz w:val="18"/>
                <w:szCs w:val="18"/>
                <w:lang w:eastAsia="cs-CZ"/>
              </w:rPr>
              <w:lastRenderedPageBreak/>
              <w:t>Kovočas</w:t>
            </w:r>
          </w:p>
        </w:tc>
        <w:tc>
          <w:tcPr>
            <w:tcW w:w="1623" w:type="dxa"/>
            <w:tcBorders>
              <w:top w:val="single" w:sz="6" w:space="0" w:color="auto"/>
              <w:left w:val="single" w:sz="6" w:space="0" w:color="auto"/>
              <w:bottom w:val="single" w:sz="6" w:space="0" w:color="auto"/>
              <w:right w:val="single" w:sz="6" w:space="0" w:color="auto"/>
            </w:tcBorders>
          </w:tcPr>
          <w:p w14:paraId="35567D8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0,18</w:t>
            </w:r>
          </w:p>
        </w:tc>
        <w:tc>
          <w:tcPr>
            <w:tcW w:w="1964" w:type="dxa"/>
            <w:tcBorders>
              <w:top w:val="single" w:sz="6" w:space="0" w:color="auto"/>
              <w:left w:val="single" w:sz="6" w:space="0" w:color="auto"/>
              <w:bottom w:val="single" w:sz="6" w:space="0" w:color="auto"/>
              <w:right w:val="single" w:sz="6" w:space="0" w:color="auto"/>
            </w:tcBorders>
          </w:tcPr>
          <w:p w14:paraId="5219EF7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Čistírna</w:t>
            </w:r>
          </w:p>
        </w:tc>
        <w:tc>
          <w:tcPr>
            <w:tcW w:w="1391" w:type="dxa"/>
            <w:tcBorders>
              <w:top w:val="single" w:sz="6" w:space="0" w:color="auto"/>
              <w:left w:val="single" w:sz="6" w:space="0" w:color="auto"/>
              <w:bottom w:val="single" w:sz="6" w:space="0" w:color="auto"/>
              <w:right w:val="single" w:sz="6" w:space="0" w:color="auto"/>
            </w:tcBorders>
          </w:tcPr>
          <w:p w14:paraId="4803C5A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0,18</w:t>
            </w:r>
          </w:p>
        </w:tc>
      </w:tr>
      <w:tr w:rsidR="00D42621" w:rsidRPr="00D42621" w14:paraId="1C70978C"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3D11ABF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U plovárny č. 1190</w:t>
            </w:r>
          </w:p>
        </w:tc>
        <w:tc>
          <w:tcPr>
            <w:tcW w:w="1623" w:type="dxa"/>
            <w:tcBorders>
              <w:top w:val="single" w:sz="6" w:space="0" w:color="auto"/>
              <w:left w:val="single" w:sz="6" w:space="0" w:color="auto"/>
              <w:bottom w:val="single" w:sz="6" w:space="0" w:color="auto"/>
              <w:right w:val="single" w:sz="6" w:space="0" w:color="auto"/>
            </w:tcBorders>
          </w:tcPr>
          <w:p w14:paraId="69FFE7F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0,55</w:t>
            </w:r>
          </w:p>
        </w:tc>
        <w:tc>
          <w:tcPr>
            <w:tcW w:w="1964" w:type="dxa"/>
            <w:tcBorders>
              <w:top w:val="single" w:sz="6" w:space="0" w:color="auto"/>
              <w:left w:val="single" w:sz="6" w:space="0" w:color="auto"/>
              <w:bottom w:val="single" w:sz="6" w:space="0" w:color="auto"/>
              <w:right w:val="single" w:sz="6" w:space="0" w:color="auto"/>
            </w:tcBorders>
          </w:tcPr>
          <w:p w14:paraId="1973E85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Maroldova č. 359</w:t>
            </w:r>
          </w:p>
        </w:tc>
        <w:tc>
          <w:tcPr>
            <w:tcW w:w="1391" w:type="dxa"/>
            <w:tcBorders>
              <w:top w:val="single" w:sz="6" w:space="0" w:color="auto"/>
              <w:left w:val="single" w:sz="6" w:space="0" w:color="auto"/>
              <w:bottom w:val="single" w:sz="6" w:space="0" w:color="auto"/>
              <w:right w:val="single" w:sz="6" w:space="0" w:color="auto"/>
            </w:tcBorders>
          </w:tcPr>
          <w:p w14:paraId="0EA649F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2,53</w:t>
            </w:r>
          </w:p>
        </w:tc>
      </w:tr>
      <w:tr w:rsidR="00D42621" w:rsidRPr="00D42621" w14:paraId="3D713506"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2672914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Čsl. armády č. 811</w:t>
            </w:r>
          </w:p>
        </w:tc>
        <w:tc>
          <w:tcPr>
            <w:tcW w:w="1623" w:type="dxa"/>
            <w:tcBorders>
              <w:top w:val="single" w:sz="6" w:space="0" w:color="auto"/>
              <w:left w:val="single" w:sz="6" w:space="0" w:color="auto"/>
              <w:bottom w:val="single" w:sz="6" w:space="0" w:color="auto"/>
              <w:right w:val="single" w:sz="6" w:space="0" w:color="auto"/>
            </w:tcBorders>
          </w:tcPr>
          <w:p w14:paraId="143C2C3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1,23</w:t>
            </w:r>
          </w:p>
        </w:tc>
        <w:tc>
          <w:tcPr>
            <w:tcW w:w="1964" w:type="dxa"/>
            <w:tcBorders>
              <w:top w:val="single" w:sz="6" w:space="0" w:color="auto"/>
              <w:left w:val="single" w:sz="6" w:space="0" w:color="auto"/>
              <w:bottom w:val="single" w:sz="6" w:space="0" w:color="auto"/>
              <w:right w:val="single" w:sz="6" w:space="0" w:color="auto"/>
            </w:tcBorders>
          </w:tcPr>
          <w:p w14:paraId="6378B7C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TOMAZ</w:t>
            </w:r>
          </w:p>
        </w:tc>
        <w:tc>
          <w:tcPr>
            <w:tcW w:w="1391" w:type="dxa"/>
            <w:tcBorders>
              <w:top w:val="single" w:sz="6" w:space="0" w:color="auto"/>
              <w:left w:val="single" w:sz="6" w:space="0" w:color="auto"/>
              <w:bottom w:val="single" w:sz="6" w:space="0" w:color="auto"/>
              <w:right w:val="single" w:sz="6" w:space="0" w:color="auto"/>
            </w:tcBorders>
          </w:tcPr>
          <w:p w14:paraId="29304FC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0,42</w:t>
            </w:r>
          </w:p>
        </w:tc>
      </w:tr>
      <w:tr w:rsidR="00D42621" w:rsidRPr="00D42621" w14:paraId="5BCB1E0F"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3B0BF5B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Věž. dům, K. Čapka</w:t>
            </w:r>
          </w:p>
        </w:tc>
        <w:tc>
          <w:tcPr>
            <w:tcW w:w="1623" w:type="dxa"/>
            <w:tcBorders>
              <w:top w:val="single" w:sz="6" w:space="0" w:color="auto"/>
              <w:left w:val="single" w:sz="6" w:space="0" w:color="auto"/>
              <w:bottom w:val="single" w:sz="6" w:space="0" w:color="auto"/>
              <w:right w:val="single" w:sz="6" w:space="0" w:color="auto"/>
            </w:tcBorders>
          </w:tcPr>
          <w:p w14:paraId="54DDE20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1,06</w:t>
            </w:r>
          </w:p>
        </w:tc>
        <w:tc>
          <w:tcPr>
            <w:tcW w:w="1964" w:type="dxa"/>
            <w:tcBorders>
              <w:top w:val="single" w:sz="6" w:space="0" w:color="auto"/>
              <w:left w:val="single" w:sz="6" w:space="0" w:color="auto"/>
              <w:bottom w:val="single" w:sz="6" w:space="0" w:color="auto"/>
              <w:right w:val="single" w:sz="6" w:space="0" w:color="auto"/>
            </w:tcBorders>
          </w:tcPr>
          <w:p w14:paraId="5F34954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Průběžná č. 559</w:t>
            </w:r>
          </w:p>
        </w:tc>
        <w:tc>
          <w:tcPr>
            <w:tcW w:w="1391" w:type="dxa"/>
            <w:tcBorders>
              <w:top w:val="single" w:sz="6" w:space="0" w:color="auto"/>
              <w:left w:val="single" w:sz="6" w:space="0" w:color="auto"/>
              <w:bottom w:val="single" w:sz="6" w:space="0" w:color="auto"/>
              <w:right w:val="single" w:sz="6" w:space="0" w:color="auto"/>
            </w:tcBorders>
          </w:tcPr>
          <w:p w14:paraId="7F50DA1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2,51</w:t>
            </w:r>
          </w:p>
        </w:tc>
      </w:tr>
      <w:tr w:rsidR="00D42621" w:rsidRPr="00D42621" w14:paraId="68E73054"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1A4D1BC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ČSPLO, K. Čapka</w:t>
            </w:r>
          </w:p>
        </w:tc>
        <w:tc>
          <w:tcPr>
            <w:tcW w:w="1623" w:type="dxa"/>
            <w:tcBorders>
              <w:top w:val="single" w:sz="6" w:space="0" w:color="auto"/>
              <w:left w:val="single" w:sz="6" w:space="0" w:color="auto"/>
              <w:bottom w:val="single" w:sz="6" w:space="0" w:color="auto"/>
              <w:right w:val="single" w:sz="6" w:space="0" w:color="auto"/>
            </w:tcBorders>
          </w:tcPr>
          <w:p w14:paraId="1B2EDA6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0,25</w:t>
            </w:r>
          </w:p>
        </w:tc>
        <w:tc>
          <w:tcPr>
            <w:tcW w:w="1964" w:type="dxa"/>
            <w:tcBorders>
              <w:top w:val="single" w:sz="6" w:space="0" w:color="auto"/>
              <w:left w:val="single" w:sz="6" w:space="0" w:color="auto"/>
              <w:bottom w:val="single" w:sz="6" w:space="0" w:color="auto"/>
              <w:right w:val="single" w:sz="6" w:space="0" w:color="auto"/>
            </w:tcBorders>
          </w:tcPr>
          <w:p w14:paraId="6F7DCE6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Kino Kotva</w:t>
            </w:r>
          </w:p>
        </w:tc>
        <w:tc>
          <w:tcPr>
            <w:tcW w:w="1391" w:type="dxa"/>
            <w:tcBorders>
              <w:top w:val="single" w:sz="6" w:space="0" w:color="auto"/>
              <w:left w:val="single" w:sz="6" w:space="0" w:color="auto"/>
              <w:bottom w:val="single" w:sz="6" w:space="0" w:color="auto"/>
              <w:right w:val="single" w:sz="6" w:space="0" w:color="auto"/>
            </w:tcBorders>
          </w:tcPr>
          <w:p w14:paraId="4865151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0,08</w:t>
            </w:r>
          </w:p>
        </w:tc>
      </w:tr>
      <w:tr w:rsidR="00D42621" w:rsidRPr="00D42621" w14:paraId="613C7077" w14:textId="77777777" w:rsidTr="002D2D45">
        <w:trPr>
          <w:jc w:val="center"/>
        </w:trPr>
        <w:tc>
          <w:tcPr>
            <w:tcW w:w="2277" w:type="dxa"/>
            <w:tcBorders>
              <w:top w:val="single" w:sz="6" w:space="0" w:color="auto"/>
              <w:left w:val="single" w:sz="6" w:space="0" w:color="auto"/>
              <w:bottom w:val="single" w:sz="6" w:space="0" w:color="auto"/>
              <w:right w:val="single" w:sz="6" w:space="0" w:color="auto"/>
            </w:tcBorders>
          </w:tcPr>
          <w:p w14:paraId="0835F4F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Zámecká</w:t>
            </w:r>
          </w:p>
        </w:tc>
        <w:tc>
          <w:tcPr>
            <w:tcW w:w="1623" w:type="dxa"/>
            <w:tcBorders>
              <w:top w:val="single" w:sz="6" w:space="0" w:color="auto"/>
              <w:left w:val="single" w:sz="6" w:space="0" w:color="auto"/>
              <w:bottom w:val="single" w:sz="6" w:space="0" w:color="auto"/>
              <w:right w:val="single" w:sz="6" w:space="0" w:color="auto"/>
            </w:tcBorders>
          </w:tcPr>
          <w:p w14:paraId="1903512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0,71</w:t>
            </w:r>
          </w:p>
        </w:tc>
        <w:tc>
          <w:tcPr>
            <w:tcW w:w="1964" w:type="dxa"/>
            <w:tcBorders>
              <w:top w:val="single" w:sz="6" w:space="0" w:color="auto"/>
              <w:left w:val="single" w:sz="6" w:space="0" w:color="auto"/>
              <w:bottom w:val="single" w:sz="6" w:space="0" w:color="auto"/>
              <w:right w:val="single" w:sz="6" w:space="0" w:color="auto"/>
            </w:tcBorders>
          </w:tcPr>
          <w:p w14:paraId="2F4DA34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Kaštanová</w:t>
            </w:r>
          </w:p>
        </w:tc>
        <w:tc>
          <w:tcPr>
            <w:tcW w:w="1391" w:type="dxa"/>
            <w:tcBorders>
              <w:top w:val="single" w:sz="6" w:space="0" w:color="auto"/>
              <w:left w:val="single" w:sz="6" w:space="0" w:color="auto"/>
              <w:bottom w:val="single" w:sz="6" w:space="0" w:color="auto"/>
              <w:right w:val="single" w:sz="6" w:space="0" w:color="auto"/>
            </w:tcBorders>
          </w:tcPr>
          <w:p w14:paraId="507CDD2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0,5</w:t>
            </w:r>
          </w:p>
        </w:tc>
      </w:tr>
    </w:tbl>
    <w:p w14:paraId="66B35C85"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09F14B9D" w14:textId="77777777" w:rsidR="00D42621" w:rsidRPr="00D42621" w:rsidRDefault="00D42621" w:rsidP="00D42621">
      <w:pPr>
        <w:suppressAutoHyphens w:val="0"/>
        <w:autoSpaceDE w:val="0"/>
        <w:autoSpaceDN w:val="0"/>
        <w:adjustRightInd w:val="0"/>
        <w:spacing w:line="240" w:lineRule="atLeast"/>
        <w:ind w:firstLine="720"/>
        <w:rPr>
          <w:rFonts w:ascii="Arial" w:hAnsi="Arial"/>
          <w:color w:val="000000"/>
          <w:sz w:val="20"/>
          <w:szCs w:val="20"/>
          <w:lang w:eastAsia="cs-CZ"/>
        </w:rPr>
      </w:pPr>
      <w:r w:rsidRPr="00D42621">
        <w:rPr>
          <w:rFonts w:ascii="Arial" w:hAnsi="Arial"/>
          <w:color w:val="000000"/>
          <w:sz w:val="20"/>
          <w:szCs w:val="20"/>
          <w:lang w:eastAsia="cs-CZ"/>
        </w:rPr>
        <w:t>Zrušeny budou následující větší tepelné zdroje :</w:t>
      </w:r>
    </w:p>
    <w:p w14:paraId="08EE6BBA" w14:textId="77777777" w:rsidR="00D42621" w:rsidRPr="00D42621" w:rsidRDefault="00D42621" w:rsidP="00D42621">
      <w:pPr>
        <w:suppressAutoHyphens w:val="0"/>
        <w:autoSpaceDE w:val="0"/>
        <w:autoSpaceDN w:val="0"/>
        <w:adjustRightInd w:val="0"/>
        <w:spacing w:line="240" w:lineRule="atLeast"/>
        <w:ind w:firstLine="720"/>
        <w:rPr>
          <w:rFonts w:ascii="Arial" w:hAnsi="Arial"/>
          <w:color w:val="000000"/>
          <w:sz w:val="20"/>
          <w:szCs w:val="20"/>
          <w:lang w:eastAsia="cs-CZ"/>
        </w:rPr>
      </w:pPr>
      <w:r w:rsidRPr="00D42621">
        <w:rPr>
          <w:rFonts w:ascii="Arial" w:hAnsi="Arial"/>
          <w:color w:val="000000"/>
          <w:sz w:val="20"/>
          <w:szCs w:val="20"/>
          <w:lang w:eastAsia="cs-CZ"/>
        </w:rPr>
        <w:t>Riegrova (LTO), Březiny (TTO), Pod zámkem (TTO) a Staré město II (plyn).</w:t>
      </w:r>
    </w:p>
    <w:p w14:paraId="3DA7800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5DE88FD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DE34DDA"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s="Arial"/>
          <w:b/>
          <w:bCs/>
          <w:caps/>
          <w:color w:val="000000"/>
          <w:sz w:val="20"/>
          <w:szCs w:val="20"/>
          <w:lang w:eastAsia="cs-CZ"/>
        </w:rPr>
        <w:t xml:space="preserve">Údaje o projektovaných kapacitách zdroje </w:t>
      </w:r>
      <w:r w:rsidRPr="00D42621">
        <w:rPr>
          <w:rFonts w:ascii="Arial" w:hAnsi="Arial" w:cs="Arial"/>
          <w:b/>
          <w:bCs/>
          <w:caps/>
          <w:color w:val="000000"/>
          <w:sz w:val="20"/>
          <w:szCs w:val="20"/>
          <w:lang w:eastAsia="cs-CZ"/>
        </w:rPr>
        <w:tab/>
      </w:r>
    </w:p>
    <w:p w14:paraId="542E6BC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3927"/>
        <w:gridCol w:w="1609"/>
      </w:tblGrid>
      <w:tr w:rsidR="00D42621" w:rsidRPr="00D42621" w14:paraId="763B484C" w14:textId="77777777" w:rsidTr="002D2D45">
        <w:trPr>
          <w:jc w:val="center"/>
        </w:trPr>
        <w:tc>
          <w:tcPr>
            <w:tcW w:w="3927" w:type="dxa"/>
            <w:tcBorders>
              <w:top w:val="single" w:sz="6" w:space="0" w:color="auto"/>
              <w:left w:val="single" w:sz="6" w:space="0" w:color="auto"/>
              <w:bottom w:val="single" w:sz="6" w:space="0" w:color="auto"/>
              <w:right w:val="single" w:sz="6" w:space="0" w:color="auto"/>
            </w:tcBorders>
          </w:tcPr>
          <w:p w14:paraId="13E89080"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tepelný výkon zdroje</w:t>
            </w:r>
          </w:p>
        </w:tc>
        <w:tc>
          <w:tcPr>
            <w:tcW w:w="1609" w:type="dxa"/>
            <w:tcBorders>
              <w:top w:val="single" w:sz="6" w:space="0" w:color="auto"/>
              <w:left w:val="single" w:sz="6" w:space="0" w:color="auto"/>
              <w:bottom w:val="single" w:sz="6" w:space="0" w:color="auto"/>
              <w:right w:val="single" w:sz="6" w:space="0" w:color="auto"/>
            </w:tcBorders>
          </w:tcPr>
          <w:p w14:paraId="5BFC399E"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46,7 MW</w:t>
            </w:r>
          </w:p>
        </w:tc>
      </w:tr>
      <w:tr w:rsidR="00D42621" w:rsidRPr="00D42621" w14:paraId="01AD6150" w14:textId="77777777" w:rsidTr="002D2D45">
        <w:trPr>
          <w:jc w:val="center"/>
        </w:trPr>
        <w:tc>
          <w:tcPr>
            <w:tcW w:w="3927" w:type="dxa"/>
            <w:tcBorders>
              <w:top w:val="single" w:sz="6" w:space="0" w:color="auto"/>
              <w:left w:val="single" w:sz="6" w:space="0" w:color="auto"/>
              <w:bottom w:val="single" w:sz="6" w:space="0" w:color="auto"/>
              <w:right w:val="single" w:sz="6" w:space="0" w:color="auto"/>
            </w:tcBorders>
          </w:tcPr>
          <w:p w14:paraId="5B518D0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 xml:space="preserve">         z toho :  špičkový plynový kotel</w:t>
            </w:r>
          </w:p>
        </w:tc>
        <w:tc>
          <w:tcPr>
            <w:tcW w:w="1609" w:type="dxa"/>
            <w:tcBorders>
              <w:top w:val="single" w:sz="6" w:space="0" w:color="auto"/>
              <w:left w:val="single" w:sz="6" w:space="0" w:color="auto"/>
              <w:bottom w:val="single" w:sz="6" w:space="0" w:color="auto"/>
              <w:right w:val="single" w:sz="6" w:space="0" w:color="auto"/>
            </w:tcBorders>
          </w:tcPr>
          <w:p w14:paraId="629B7A3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2 x 16,5 MW</w:t>
            </w:r>
          </w:p>
        </w:tc>
      </w:tr>
      <w:tr w:rsidR="00D42621" w:rsidRPr="00D42621" w14:paraId="2EEC4185" w14:textId="77777777" w:rsidTr="002D2D45">
        <w:trPr>
          <w:jc w:val="center"/>
        </w:trPr>
        <w:tc>
          <w:tcPr>
            <w:tcW w:w="3927" w:type="dxa"/>
            <w:tcBorders>
              <w:top w:val="single" w:sz="6" w:space="0" w:color="auto"/>
              <w:left w:val="single" w:sz="6" w:space="0" w:color="auto"/>
              <w:bottom w:val="single" w:sz="6" w:space="0" w:color="auto"/>
              <w:right w:val="single" w:sz="6" w:space="0" w:color="auto"/>
            </w:tcBorders>
          </w:tcPr>
          <w:p w14:paraId="737AE3C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 xml:space="preserve">                      plynová zdrojová soustrojí</w:t>
            </w:r>
          </w:p>
        </w:tc>
        <w:tc>
          <w:tcPr>
            <w:tcW w:w="1609" w:type="dxa"/>
            <w:tcBorders>
              <w:top w:val="single" w:sz="6" w:space="0" w:color="auto"/>
              <w:left w:val="single" w:sz="6" w:space="0" w:color="auto"/>
              <w:bottom w:val="single" w:sz="6" w:space="0" w:color="auto"/>
              <w:right w:val="single" w:sz="6" w:space="0" w:color="auto"/>
            </w:tcBorders>
          </w:tcPr>
          <w:p w14:paraId="4C81E99E"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7,07 MW</w:t>
            </w:r>
          </w:p>
        </w:tc>
      </w:tr>
      <w:tr w:rsidR="00D42621" w:rsidRPr="00D42621" w14:paraId="3E49BA61" w14:textId="77777777" w:rsidTr="002D2D45">
        <w:trPr>
          <w:jc w:val="center"/>
        </w:trPr>
        <w:tc>
          <w:tcPr>
            <w:tcW w:w="3927" w:type="dxa"/>
            <w:tcBorders>
              <w:top w:val="single" w:sz="6" w:space="0" w:color="auto"/>
              <w:left w:val="single" w:sz="6" w:space="0" w:color="auto"/>
              <w:bottom w:val="single" w:sz="6" w:space="0" w:color="auto"/>
              <w:right w:val="single" w:sz="6" w:space="0" w:color="auto"/>
            </w:tcBorders>
          </w:tcPr>
          <w:p w14:paraId="389A4D1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 xml:space="preserve">                       tepelná čerpadla</w:t>
            </w:r>
          </w:p>
        </w:tc>
        <w:tc>
          <w:tcPr>
            <w:tcW w:w="1609" w:type="dxa"/>
            <w:tcBorders>
              <w:top w:val="single" w:sz="6" w:space="0" w:color="auto"/>
              <w:left w:val="single" w:sz="6" w:space="0" w:color="auto"/>
              <w:bottom w:val="single" w:sz="6" w:space="0" w:color="auto"/>
              <w:right w:val="single" w:sz="6" w:space="0" w:color="auto"/>
            </w:tcBorders>
          </w:tcPr>
          <w:p w14:paraId="128CCAB8"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6,72 MW</w:t>
            </w:r>
          </w:p>
        </w:tc>
      </w:tr>
      <w:tr w:rsidR="00D42621" w:rsidRPr="00D42621" w14:paraId="478B1611" w14:textId="77777777" w:rsidTr="002D2D45">
        <w:trPr>
          <w:jc w:val="center"/>
        </w:trPr>
        <w:tc>
          <w:tcPr>
            <w:tcW w:w="3927" w:type="dxa"/>
            <w:tcBorders>
              <w:top w:val="single" w:sz="6" w:space="0" w:color="auto"/>
              <w:left w:val="single" w:sz="6" w:space="0" w:color="auto"/>
              <w:bottom w:val="single" w:sz="6" w:space="0" w:color="auto"/>
              <w:right w:val="single" w:sz="6" w:space="0" w:color="auto"/>
            </w:tcBorders>
          </w:tcPr>
          <w:p w14:paraId="2D7FE44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elektrický výkon zdroje</w:t>
            </w:r>
          </w:p>
        </w:tc>
        <w:tc>
          <w:tcPr>
            <w:tcW w:w="1609" w:type="dxa"/>
            <w:tcBorders>
              <w:top w:val="single" w:sz="6" w:space="0" w:color="auto"/>
              <w:left w:val="single" w:sz="6" w:space="0" w:color="auto"/>
              <w:bottom w:val="single" w:sz="6" w:space="0" w:color="auto"/>
              <w:right w:val="single" w:sz="6" w:space="0" w:color="auto"/>
            </w:tcBorders>
          </w:tcPr>
          <w:p w14:paraId="1E65EEE9"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6,35 MW</w:t>
            </w:r>
          </w:p>
        </w:tc>
      </w:tr>
      <w:tr w:rsidR="00D42621" w:rsidRPr="00D42621" w14:paraId="42E9FD7A" w14:textId="77777777" w:rsidTr="002D2D45">
        <w:trPr>
          <w:jc w:val="center"/>
        </w:trPr>
        <w:tc>
          <w:tcPr>
            <w:tcW w:w="3927" w:type="dxa"/>
            <w:tcBorders>
              <w:top w:val="single" w:sz="6" w:space="0" w:color="auto"/>
              <w:left w:val="single" w:sz="6" w:space="0" w:color="auto"/>
              <w:bottom w:val="single" w:sz="6" w:space="0" w:color="auto"/>
              <w:right w:val="single" w:sz="6" w:space="0" w:color="auto"/>
            </w:tcBorders>
          </w:tcPr>
          <w:p w14:paraId="3DDA779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předpokládaná roční výroba tepla</w:t>
            </w:r>
          </w:p>
        </w:tc>
        <w:tc>
          <w:tcPr>
            <w:tcW w:w="1609" w:type="dxa"/>
            <w:tcBorders>
              <w:top w:val="single" w:sz="6" w:space="0" w:color="auto"/>
              <w:left w:val="single" w:sz="6" w:space="0" w:color="auto"/>
              <w:bottom w:val="single" w:sz="6" w:space="0" w:color="auto"/>
              <w:right w:val="single" w:sz="6" w:space="0" w:color="auto"/>
            </w:tcBorders>
          </w:tcPr>
          <w:p w14:paraId="0129FD60"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311 700 GJ</w:t>
            </w:r>
          </w:p>
        </w:tc>
      </w:tr>
      <w:tr w:rsidR="00D42621" w:rsidRPr="00D42621" w14:paraId="52AF7F80" w14:textId="77777777" w:rsidTr="002D2D45">
        <w:trPr>
          <w:jc w:val="center"/>
        </w:trPr>
        <w:tc>
          <w:tcPr>
            <w:tcW w:w="3927" w:type="dxa"/>
            <w:tcBorders>
              <w:top w:val="single" w:sz="6" w:space="0" w:color="auto"/>
              <w:left w:val="single" w:sz="6" w:space="0" w:color="auto"/>
              <w:bottom w:val="single" w:sz="6" w:space="0" w:color="auto"/>
              <w:right w:val="single" w:sz="6" w:space="0" w:color="auto"/>
            </w:tcBorders>
          </w:tcPr>
          <w:p w14:paraId="25AE149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předpokládaná roční výroba elektrické energie</w:t>
            </w:r>
          </w:p>
        </w:tc>
        <w:tc>
          <w:tcPr>
            <w:tcW w:w="1609" w:type="dxa"/>
            <w:tcBorders>
              <w:top w:val="single" w:sz="6" w:space="0" w:color="auto"/>
              <w:left w:val="single" w:sz="6" w:space="0" w:color="auto"/>
              <w:bottom w:val="single" w:sz="6" w:space="0" w:color="auto"/>
              <w:right w:val="single" w:sz="6" w:space="0" w:color="auto"/>
            </w:tcBorders>
          </w:tcPr>
          <w:p w14:paraId="225930BD"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31 GWh</w:t>
            </w:r>
          </w:p>
        </w:tc>
      </w:tr>
      <w:tr w:rsidR="00D42621" w:rsidRPr="00D42621" w14:paraId="27020BA2" w14:textId="77777777" w:rsidTr="002D2D45">
        <w:trPr>
          <w:jc w:val="center"/>
        </w:trPr>
        <w:tc>
          <w:tcPr>
            <w:tcW w:w="3927" w:type="dxa"/>
            <w:tcBorders>
              <w:top w:val="single" w:sz="6" w:space="0" w:color="auto"/>
              <w:left w:val="single" w:sz="6" w:space="0" w:color="auto"/>
              <w:bottom w:val="single" w:sz="6" w:space="0" w:color="auto"/>
              <w:right w:val="single" w:sz="6" w:space="0" w:color="auto"/>
            </w:tcBorders>
          </w:tcPr>
          <w:p w14:paraId="31BB3E3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předpokládaná roční dodávka pitné vody</w:t>
            </w:r>
          </w:p>
        </w:tc>
        <w:tc>
          <w:tcPr>
            <w:tcW w:w="1609" w:type="dxa"/>
            <w:tcBorders>
              <w:top w:val="single" w:sz="6" w:space="0" w:color="auto"/>
              <w:left w:val="single" w:sz="6" w:space="0" w:color="auto"/>
              <w:bottom w:val="single" w:sz="6" w:space="0" w:color="auto"/>
              <w:right w:val="single" w:sz="6" w:space="0" w:color="auto"/>
            </w:tcBorders>
          </w:tcPr>
          <w:p w14:paraId="774ED9AF"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1 194 185 m3</w:t>
            </w:r>
          </w:p>
        </w:tc>
      </w:tr>
      <w:tr w:rsidR="00D42621" w:rsidRPr="00D42621" w14:paraId="1A893EDD" w14:textId="77777777" w:rsidTr="002D2D45">
        <w:trPr>
          <w:jc w:val="center"/>
        </w:trPr>
        <w:tc>
          <w:tcPr>
            <w:tcW w:w="3927" w:type="dxa"/>
            <w:tcBorders>
              <w:top w:val="single" w:sz="6" w:space="0" w:color="auto"/>
              <w:left w:val="single" w:sz="6" w:space="0" w:color="auto"/>
              <w:bottom w:val="single" w:sz="6" w:space="0" w:color="auto"/>
              <w:right w:val="single" w:sz="6" w:space="0" w:color="auto"/>
            </w:tcBorders>
          </w:tcPr>
          <w:p w14:paraId="1484FF7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zahájení výstavby</w:t>
            </w:r>
          </w:p>
        </w:tc>
        <w:tc>
          <w:tcPr>
            <w:tcW w:w="1609" w:type="dxa"/>
            <w:tcBorders>
              <w:top w:val="single" w:sz="6" w:space="0" w:color="auto"/>
              <w:left w:val="single" w:sz="6" w:space="0" w:color="auto"/>
              <w:bottom w:val="single" w:sz="6" w:space="0" w:color="auto"/>
              <w:right w:val="single" w:sz="6" w:space="0" w:color="auto"/>
            </w:tcBorders>
          </w:tcPr>
          <w:p w14:paraId="4D499295"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září 2000</w:t>
            </w:r>
          </w:p>
        </w:tc>
      </w:tr>
      <w:tr w:rsidR="00D42621" w:rsidRPr="00D42621" w14:paraId="7F69E618" w14:textId="77777777" w:rsidTr="002D2D45">
        <w:trPr>
          <w:jc w:val="center"/>
        </w:trPr>
        <w:tc>
          <w:tcPr>
            <w:tcW w:w="3927" w:type="dxa"/>
            <w:tcBorders>
              <w:top w:val="single" w:sz="6" w:space="0" w:color="auto"/>
              <w:left w:val="single" w:sz="6" w:space="0" w:color="auto"/>
              <w:bottom w:val="single" w:sz="6" w:space="0" w:color="auto"/>
              <w:right w:val="single" w:sz="6" w:space="0" w:color="auto"/>
            </w:tcBorders>
          </w:tcPr>
          <w:p w14:paraId="1E3D6ADF"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zahájení zkušebního provozu</w:t>
            </w:r>
          </w:p>
        </w:tc>
        <w:tc>
          <w:tcPr>
            <w:tcW w:w="1609" w:type="dxa"/>
            <w:tcBorders>
              <w:top w:val="single" w:sz="6" w:space="0" w:color="auto"/>
              <w:left w:val="single" w:sz="6" w:space="0" w:color="auto"/>
              <w:bottom w:val="single" w:sz="6" w:space="0" w:color="auto"/>
              <w:right w:val="single" w:sz="6" w:space="0" w:color="auto"/>
            </w:tcBorders>
          </w:tcPr>
          <w:p w14:paraId="3539A489"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říjen 2001</w:t>
            </w:r>
          </w:p>
        </w:tc>
      </w:tr>
      <w:tr w:rsidR="00D42621" w:rsidRPr="00D42621" w14:paraId="3002ED8C" w14:textId="77777777" w:rsidTr="002D2D45">
        <w:trPr>
          <w:jc w:val="center"/>
        </w:trPr>
        <w:tc>
          <w:tcPr>
            <w:tcW w:w="3927" w:type="dxa"/>
            <w:tcBorders>
              <w:top w:val="single" w:sz="6" w:space="0" w:color="auto"/>
              <w:left w:val="single" w:sz="6" w:space="0" w:color="auto"/>
              <w:bottom w:val="single" w:sz="6" w:space="0" w:color="auto"/>
              <w:right w:val="single" w:sz="6" w:space="0" w:color="auto"/>
            </w:tcBorders>
          </w:tcPr>
          <w:p w14:paraId="1CAD2E1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plný provoz</w:t>
            </w:r>
          </w:p>
        </w:tc>
        <w:tc>
          <w:tcPr>
            <w:tcW w:w="1609" w:type="dxa"/>
            <w:tcBorders>
              <w:top w:val="single" w:sz="6" w:space="0" w:color="auto"/>
              <w:left w:val="single" w:sz="6" w:space="0" w:color="auto"/>
              <w:bottom w:val="single" w:sz="6" w:space="0" w:color="auto"/>
              <w:right w:val="single" w:sz="6" w:space="0" w:color="auto"/>
            </w:tcBorders>
          </w:tcPr>
          <w:p w14:paraId="3ACEF111" w14:textId="77777777" w:rsidR="00D42621" w:rsidRPr="00D42621" w:rsidRDefault="00D42621" w:rsidP="00D42621">
            <w:pPr>
              <w:suppressAutoHyphens w:val="0"/>
              <w:autoSpaceDE w:val="0"/>
              <w:autoSpaceDN w:val="0"/>
              <w:adjustRightInd w:val="0"/>
              <w:spacing w:line="240" w:lineRule="atLeast"/>
              <w:jc w:val="right"/>
              <w:rPr>
                <w:rFonts w:ascii="Arial" w:hAnsi="Arial"/>
                <w:color w:val="000000"/>
                <w:sz w:val="16"/>
                <w:szCs w:val="16"/>
                <w:lang w:eastAsia="cs-CZ"/>
              </w:rPr>
            </w:pPr>
            <w:r w:rsidRPr="00D42621">
              <w:rPr>
                <w:rFonts w:ascii="Arial" w:hAnsi="Arial"/>
                <w:color w:val="000000"/>
                <w:sz w:val="18"/>
                <w:szCs w:val="18"/>
                <w:lang w:eastAsia="cs-CZ"/>
              </w:rPr>
              <w:t>listopad 2002</w:t>
            </w:r>
          </w:p>
        </w:tc>
      </w:tr>
    </w:tbl>
    <w:p w14:paraId="7B5FDB90"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27771CF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olor w:val="000000"/>
          <w:sz w:val="20"/>
          <w:szCs w:val="20"/>
          <w:lang w:eastAsia="cs-CZ"/>
        </w:rPr>
        <w:t xml:space="preserve">c/ </w:t>
      </w:r>
      <w:r w:rsidRPr="00D42621">
        <w:rPr>
          <w:rFonts w:ascii="Arial" w:hAnsi="Arial"/>
          <w:b/>
          <w:bCs/>
          <w:caps/>
          <w:color w:val="000000"/>
          <w:sz w:val="20"/>
          <w:szCs w:val="20"/>
          <w:lang w:eastAsia="cs-CZ"/>
        </w:rPr>
        <w:t xml:space="preserve"> Boletice</w:t>
      </w:r>
      <w:r w:rsidRPr="00D42621">
        <w:rPr>
          <w:rFonts w:ascii="Arial" w:hAnsi="Arial"/>
          <w:color w:val="000000"/>
          <w:sz w:val="20"/>
          <w:szCs w:val="20"/>
          <w:lang w:eastAsia="cs-CZ"/>
        </w:rPr>
        <w:t xml:space="preserve"> </w:t>
      </w:r>
      <w:r w:rsidRPr="00D42621">
        <w:rPr>
          <w:rFonts w:ascii="Arial" w:hAnsi="Arial"/>
          <w:b/>
          <w:bCs/>
          <w:color w:val="000000"/>
          <w:sz w:val="20"/>
          <w:szCs w:val="20"/>
          <w:lang w:eastAsia="cs-CZ"/>
        </w:rPr>
        <w:t>n. Labem</w:t>
      </w:r>
    </w:p>
    <w:p w14:paraId="1FA03BE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125E70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Výtopna Boletice spaluje zemní plyn a výhledově (zatím bez udání termínu) bude nahrazena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kogenerační jednotkou stejného typu a výkonu jako v Želenicích a Býnově. </w:t>
      </w:r>
    </w:p>
    <w:p w14:paraId="061CCB8B"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19B9385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1B4095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olor w:val="000000"/>
          <w:sz w:val="20"/>
          <w:szCs w:val="20"/>
          <w:lang w:eastAsia="cs-CZ"/>
        </w:rPr>
        <w:t>d/</w:t>
      </w:r>
      <w:r w:rsidRPr="00D42621">
        <w:rPr>
          <w:rFonts w:ascii="Arial" w:hAnsi="Arial"/>
          <w:b/>
          <w:bCs/>
          <w:caps/>
          <w:color w:val="000000"/>
          <w:sz w:val="20"/>
          <w:szCs w:val="20"/>
          <w:lang w:eastAsia="cs-CZ"/>
        </w:rPr>
        <w:t xml:space="preserve">  Výroba tepla ve zdrojích nezávislých na energetických sítích</w:t>
      </w:r>
    </w:p>
    <w:p w14:paraId="22D772B3"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E580F13"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i/>
          <w:iCs/>
          <w:color w:val="000000"/>
          <w:sz w:val="20"/>
          <w:szCs w:val="20"/>
          <w:lang w:eastAsia="cs-CZ"/>
        </w:rPr>
        <w:tab/>
      </w:r>
      <w:r w:rsidRPr="00D42621">
        <w:rPr>
          <w:rFonts w:ascii="Arial" w:hAnsi="Arial"/>
          <w:color w:val="000000"/>
          <w:sz w:val="20"/>
          <w:szCs w:val="20"/>
          <w:lang w:eastAsia="cs-CZ"/>
        </w:rPr>
        <w:t xml:space="preserve">Objekty, které nebudou využívat k vytápění zemní plyn, dodávkové teplo případně elektřinu,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budou zásadně využívat ekologických paliv dostupných na energetickém trhu. V současné době </w:t>
      </w:r>
      <w:r w:rsidRPr="00D42621">
        <w:rPr>
          <w:rFonts w:ascii="Arial" w:hAnsi="Arial"/>
          <w:color w:val="000000"/>
          <w:sz w:val="20"/>
          <w:szCs w:val="20"/>
          <w:lang w:eastAsia="cs-CZ"/>
        </w:rPr>
        <w:tab/>
        <w:t xml:space="preserve">jsou dostupné extralehké nízkosirnaté topné oleje, kapalný plyn propan-butan a biopaliva v </w:t>
      </w:r>
      <w:r w:rsidRPr="00D42621">
        <w:rPr>
          <w:rFonts w:ascii="Arial" w:hAnsi="Arial"/>
          <w:color w:val="000000"/>
          <w:sz w:val="20"/>
          <w:szCs w:val="20"/>
          <w:lang w:eastAsia="cs-CZ"/>
        </w:rPr>
        <w:tab/>
      </w:r>
      <w:r w:rsidRPr="00D42621">
        <w:rPr>
          <w:rFonts w:ascii="Arial" w:hAnsi="Arial"/>
          <w:color w:val="000000"/>
          <w:sz w:val="20"/>
          <w:szCs w:val="20"/>
          <w:lang w:eastAsia="cs-CZ"/>
        </w:rPr>
        <w:tab/>
        <w:t>nejrůznější formě.</w:t>
      </w:r>
    </w:p>
    <w:p w14:paraId="534721C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AE7628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r>
      <w:r w:rsidRPr="00D42621">
        <w:rPr>
          <w:rFonts w:ascii="Arial" w:hAnsi="Arial"/>
          <w:caps/>
          <w:color w:val="000000"/>
          <w:sz w:val="20"/>
          <w:szCs w:val="20"/>
          <w:lang w:eastAsia="cs-CZ"/>
        </w:rPr>
        <w:t>Energetické využití termálních pramenů</w:t>
      </w:r>
      <w:r w:rsidRPr="00D42621">
        <w:rPr>
          <w:rFonts w:ascii="Arial" w:hAnsi="Arial"/>
          <w:caps/>
          <w:color w:val="000000"/>
          <w:sz w:val="20"/>
          <w:szCs w:val="20"/>
          <w:lang w:eastAsia="cs-CZ"/>
        </w:rPr>
        <w:tab/>
      </w:r>
    </w:p>
    <w:p w14:paraId="49BC88D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0DACD9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i/>
          <w:iCs/>
          <w:color w:val="000000"/>
          <w:sz w:val="20"/>
          <w:szCs w:val="20"/>
          <w:lang w:eastAsia="cs-CZ"/>
        </w:rPr>
        <w:tab/>
      </w:r>
      <w:r w:rsidRPr="00D42621">
        <w:rPr>
          <w:rFonts w:ascii="Arial" w:hAnsi="Arial"/>
          <w:color w:val="000000"/>
          <w:sz w:val="20"/>
          <w:szCs w:val="20"/>
          <w:lang w:eastAsia="cs-CZ"/>
        </w:rPr>
        <w:t xml:space="preserve">Velmi výhodné bude energetické využití termální vody pro zdroj Děčín-východ a Boletice. Vodě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se odebere tepelná energie pomocí tepelných čerpadel a po úpravě je možné vodu zavést do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stávajících vodovodních rozvodů. Vzhledem k tomu, že je těchto vrtů v Děčíně několik, bude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nutné se problematikou komplexně zabývat a zpracovat odborný podklad pro optimální využití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tohoto vodního a energetického zdroje. Nekoordinovaná činnost v této oblasti může způsobit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nenahraditelné škody. Z tohoto důvodu se jeví jako nanejvýš důležité získat příslušné </w:t>
      </w: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"Rozhodnutí o nakládání s termálními vodami" ve prospěch města Děčína". </w:t>
      </w:r>
    </w:p>
    <w:p w14:paraId="450CFA4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1DE993D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4DA4F9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olor w:val="000000"/>
          <w:sz w:val="20"/>
          <w:szCs w:val="20"/>
          <w:lang w:eastAsia="cs-CZ"/>
        </w:rPr>
        <w:t xml:space="preserve">e/  </w:t>
      </w:r>
      <w:r w:rsidRPr="00D42621">
        <w:rPr>
          <w:rFonts w:ascii="Arial" w:hAnsi="Arial"/>
          <w:b/>
          <w:bCs/>
          <w:caps/>
          <w:color w:val="000000"/>
          <w:sz w:val="20"/>
          <w:szCs w:val="20"/>
          <w:lang w:eastAsia="cs-CZ"/>
        </w:rPr>
        <w:t>Navržené energetické koncepce jednotlivých sídel</w:t>
      </w:r>
    </w:p>
    <w:p w14:paraId="662D1B1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B743DA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i/>
          <w:iCs/>
          <w:color w:val="000000"/>
          <w:sz w:val="20"/>
          <w:szCs w:val="20"/>
          <w:lang w:eastAsia="cs-CZ"/>
        </w:rPr>
        <w:tab/>
      </w:r>
      <w:r w:rsidRPr="00D42621">
        <w:rPr>
          <w:rFonts w:ascii="Arial" w:hAnsi="Arial"/>
          <w:color w:val="000000"/>
          <w:sz w:val="20"/>
          <w:szCs w:val="20"/>
          <w:lang w:eastAsia="cs-CZ"/>
        </w:rPr>
        <w:t xml:space="preserve">Jednotlivé objekty budou zásobovány energiemi, jak již bylo uvedeno výše, zásadně </w:t>
      </w: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dvojcestným způsoben. V hustě obydlených, plynofikovaných částech města s dostupností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dodávkového tepla je zásadně upřednostňováno dodávkové teplo (plné vytížení tepelné sítě má </w:t>
      </w:r>
      <w:r w:rsidRPr="00D42621">
        <w:rPr>
          <w:rFonts w:ascii="Arial" w:hAnsi="Arial"/>
          <w:color w:val="000000"/>
          <w:sz w:val="20"/>
          <w:szCs w:val="20"/>
          <w:lang w:eastAsia="cs-CZ"/>
        </w:rPr>
        <w:tab/>
        <w:t xml:space="preserve">pozitivní vliv na cenu prodávaného tepla). Rajonizace užití </w:t>
      </w:r>
      <w:r w:rsidRPr="00D42621">
        <w:rPr>
          <w:rFonts w:ascii="Arial" w:hAnsi="Arial"/>
          <w:color w:val="000000"/>
          <w:sz w:val="20"/>
          <w:szCs w:val="20"/>
          <w:lang w:eastAsia="cs-CZ"/>
        </w:rPr>
        <w:lastRenderedPageBreak/>
        <w:t xml:space="preserve">jednotlivých druhů energií z hlediska </w:t>
      </w:r>
      <w:r w:rsidRPr="00D42621">
        <w:rPr>
          <w:rFonts w:ascii="Arial" w:hAnsi="Arial"/>
          <w:color w:val="000000"/>
          <w:sz w:val="20"/>
          <w:szCs w:val="20"/>
          <w:lang w:eastAsia="cs-CZ"/>
        </w:rPr>
        <w:tab/>
      </w:r>
      <w:r w:rsidRPr="00D42621">
        <w:rPr>
          <w:rFonts w:ascii="Arial" w:hAnsi="Arial"/>
          <w:color w:val="000000"/>
          <w:sz w:val="20"/>
          <w:szCs w:val="20"/>
          <w:lang w:eastAsia="cs-CZ"/>
        </w:rPr>
        <w:tab/>
        <w:t>vytápění je zakreslena v grafické příloze měřítka 1 : 5 000.</w:t>
      </w:r>
    </w:p>
    <w:p w14:paraId="656D3D4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1418"/>
        <w:gridCol w:w="1276"/>
        <w:gridCol w:w="1050"/>
        <w:gridCol w:w="1159"/>
        <w:gridCol w:w="2959"/>
      </w:tblGrid>
      <w:tr w:rsidR="00D42621" w:rsidRPr="00D42621" w14:paraId="2D45B3CC"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2AD3B28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sídlo</w:t>
            </w:r>
          </w:p>
        </w:tc>
        <w:tc>
          <w:tcPr>
            <w:tcW w:w="1276" w:type="dxa"/>
            <w:tcBorders>
              <w:top w:val="single" w:sz="6" w:space="0" w:color="auto"/>
              <w:left w:val="single" w:sz="6" w:space="0" w:color="auto"/>
              <w:bottom w:val="single" w:sz="6" w:space="0" w:color="auto"/>
              <w:right w:val="single" w:sz="6" w:space="0" w:color="auto"/>
            </w:tcBorders>
          </w:tcPr>
          <w:p w14:paraId="16744BDF"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b/>
                <w:bCs/>
                <w:color w:val="000000"/>
                <w:sz w:val="18"/>
                <w:szCs w:val="18"/>
                <w:lang w:eastAsia="cs-CZ"/>
              </w:rPr>
              <w:t>vaření</w:t>
            </w:r>
          </w:p>
        </w:tc>
        <w:tc>
          <w:tcPr>
            <w:tcW w:w="1050" w:type="dxa"/>
            <w:tcBorders>
              <w:top w:val="single" w:sz="6" w:space="0" w:color="auto"/>
              <w:left w:val="single" w:sz="6" w:space="0" w:color="auto"/>
              <w:bottom w:val="single" w:sz="6" w:space="0" w:color="auto"/>
              <w:right w:val="single" w:sz="6" w:space="0" w:color="auto"/>
            </w:tcBorders>
          </w:tcPr>
          <w:p w14:paraId="068F5C4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TUV</w:t>
            </w:r>
          </w:p>
        </w:tc>
        <w:tc>
          <w:tcPr>
            <w:tcW w:w="1159" w:type="dxa"/>
            <w:tcBorders>
              <w:top w:val="single" w:sz="6" w:space="0" w:color="auto"/>
              <w:left w:val="single" w:sz="6" w:space="0" w:color="auto"/>
              <w:bottom w:val="single" w:sz="6" w:space="0" w:color="auto"/>
              <w:right w:val="single" w:sz="6" w:space="0" w:color="auto"/>
            </w:tcBorders>
          </w:tcPr>
          <w:p w14:paraId="44D4582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vytápění</w:t>
            </w:r>
          </w:p>
        </w:tc>
        <w:tc>
          <w:tcPr>
            <w:tcW w:w="2959" w:type="dxa"/>
            <w:tcBorders>
              <w:top w:val="single" w:sz="6" w:space="0" w:color="auto"/>
              <w:left w:val="single" w:sz="6" w:space="0" w:color="auto"/>
              <w:bottom w:val="single" w:sz="6" w:space="0" w:color="auto"/>
              <w:right w:val="single" w:sz="6" w:space="0" w:color="auto"/>
            </w:tcBorders>
          </w:tcPr>
          <w:p w14:paraId="21469EC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poznámka</w:t>
            </w:r>
          </w:p>
        </w:tc>
      </w:tr>
      <w:tr w:rsidR="00D42621" w:rsidRPr="00D42621" w14:paraId="2949D4FF"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660F76D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Jalůvčí</w:t>
            </w:r>
          </w:p>
        </w:tc>
        <w:tc>
          <w:tcPr>
            <w:tcW w:w="1276" w:type="dxa"/>
            <w:tcBorders>
              <w:top w:val="single" w:sz="6" w:space="0" w:color="auto"/>
              <w:left w:val="single" w:sz="6" w:space="0" w:color="auto"/>
              <w:bottom w:val="single" w:sz="6" w:space="0" w:color="auto"/>
              <w:right w:val="single" w:sz="6" w:space="0" w:color="auto"/>
            </w:tcBorders>
          </w:tcPr>
          <w:p w14:paraId="7A4F1F39"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486DB6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34119CF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22BF8B25"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2263B3C5"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107D0A3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Bělá</w:t>
            </w:r>
          </w:p>
        </w:tc>
        <w:tc>
          <w:tcPr>
            <w:tcW w:w="1276" w:type="dxa"/>
            <w:tcBorders>
              <w:top w:val="single" w:sz="6" w:space="0" w:color="auto"/>
              <w:left w:val="single" w:sz="6" w:space="0" w:color="auto"/>
              <w:bottom w:val="single" w:sz="6" w:space="0" w:color="auto"/>
              <w:right w:val="single" w:sz="6" w:space="0" w:color="auto"/>
            </w:tcBorders>
          </w:tcPr>
          <w:p w14:paraId="27FD8FB6"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457F07A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3555063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19DBDAC0"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7F0D7284"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65F452F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Škrabky</w:t>
            </w:r>
          </w:p>
        </w:tc>
        <w:tc>
          <w:tcPr>
            <w:tcW w:w="1276" w:type="dxa"/>
            <w:tcBorders>
              <w:top w:val="single" w:sz="6" w:space="0" w:color="auto"/>
              <w:left w:val="single" w:sz="6" w:space="0" w:color="auto"/>
              <w:bottom w:val="single" w:sz="6" w:space="0" w:color="auto"/>
              <w:right w:val="single" w:sz="6" w:space="0" w:color="auto"/>
            </w:tcBorders>
          </w:tcPr>
          <w:p w14:paraId="6920F6F2"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30AE9A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3577571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3E55DD09"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566881F2"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41EF2066"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Čechy</w:t>
            </w:r>
          </w:p>
        </w:tc>
        <w:tc>
          <w:tcPr>
            <w:tcW w:w="1276" w:type="dxa"/>
            <w:tcBorders>
              <w:top w:val="single" w:sz="6" w:space="0" w:color="auto"/>
              <w:left w:val="single" w:sz="6" w:space="0" w:color="auto"/>
              <w:bottom w:val="single" w:sz="6" w:space="0" w:color="auto"/>
              <w:right w:val="single" w:sz="6" w:space="0" w:color="auto"/>
            </w:tcBorders>
          </w:tcPr>
          <w:p w14:paraId="0DBAB902"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4F582DE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04E70A1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2E7B974F"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2A62E429"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024E0F5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Bynov</w:t>
            </w:r>
          </w:p>
        </w:tc>
        <w:tc>
          <w:tcPr>
            <w:tcW w:w="1276" w:type="dxa"/>
            <w:tcBorders>
              <w:top w:val="single" w:sz="6" w:space="0" w:color="auto"/>
              <w:left w:val="single" w:sz="6" w:space="0" w:color="auto"/>
              <w:bottom w:val="single" w:sz="6" w:space="0" w:color="auto"/>
              <w:right w:val="single" w:sz="6" w:space="0" w:color="auto"/>
            </w:tcBorders>
          </w:tcPr>
          <w:p w14:paraId="07B00C39"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07D1AB5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w:t>
            </w:r>
          </w:p>
        </w:tc>
        <w:tc>
          <w:tcPr>
            <w:tcW w:w="1159" w:type="dxa"/>
            <w:tcBorders>
              <w:top w:val="single" w:sz="6" w:space="0" w:color="auto"/>
              <w:left w:val="single" w:sz="6" w:space="0" w:color="auto"/>
              <w:bottom w:val="single" w:sz="6" w:space="0" w:color="auto"/>
              <w:right w:val="single" w:sz="6" w:space="0" w:color="auto"/>
            </w:tcBorders>
          </w:tcPr>
          <w:p w14:paraId="11A7282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w:t>
            </w:r>
          </w:p>
        </w:tc>
        <w:tc>
          <w:tcPr>
            <w:tcW w:w="2959" w:type="dxa"/>
            <w:tcBorders>
              <w:top w:val="single" w:sz="6" w:space="0" w:color="auto"/>
              <w:left w:val="single" w:sz="6" w:space="0" w:color="auto"/>
              <w:bottom w:val="single" w:sz="6" w:space="0" w:color="auto"/>
              <w:right w:val="single" w:sz="6" w:space="0" w:color="auto"/>
            </w:tcBorders>
          </w:tcPr>
          <w:p w14:paraId="54BB240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plyn pouze v ul. Teplická mimo dosah CZT, rozšíření CZT severně</w:t>
            </w:r>
          </w:p>
        </w:tc>
      </w:tr>
      <w:tr w:rsidR="00D42621" w:rsidRPr="00D42621" w14:paraId="24A3FDB9"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2ED7BFC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Nová Ves</w:t>
            </w:r>
          </w:p>
        </w:tc>
        <w:tc>
          <w:tcPr>
            <w:tcW w:w="1276" w:type="dxa"/>
            <w:tcBorders>
              <w:top w:val="single" w:sz="6" w:space="0" w:color="auto"/>
              <w:left w:val="single" w:sz="6" w:space="0" w:color="auto"/>
              <w:bottom w:val="single" w:sz="6" w:space="0" w:color="auto"/>
              <w:right w:val="single" w:sz="6" w:space="0" w:color="auto"/>
            </w:tcBorders>
          </w:tcPr>
          <w:p w14:paraId="25E508B1"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5E8B28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1B8FF5F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7CDC25D3"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3C4A2229"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4249759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Dolní Oldřichov</w:t>
            </w:r>
          </w:p>
        </w:tc>
        <w:tc>
          <w:tcPr>
            <w:tcW w:w="1276" w:type="dxa"/>
            <w:tcBorders>
              <w:top w:val="single" w:sz="6" w:space="0" w:color="auto"/>
              <w:left w:val="single" w:sz="6" w:space="0" w:color="auto"/>
              <w:bottom w:val="single" w:sz="6" w:space="0" w:color="auto"/>
              <w:right w:val="single" w:sz="6" w:space="0" w:color="auto"/>
            </w:tcBorders>
          </w:tcPr>
          <w:p w14:paraId="17317528"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5F683BB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3CC7166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3CB30EC3"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04E8103D"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030D582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Horní Oldřichov</w:t>
            </w:r>
          </w:p>
        </w:tc>
        <w:tc>
          <w:tcPr>
            <w:tcW w:w="1276" w:type="dxa"/>
            <w:tcBorders>
              <w:top w:val="single" w:sz="6" w:space="0" w:color="auto"/>
              <w:left w:val="single" w:sz="6" w:space="0" w:color="auto"/>
              <w:bottom w:val="single" w:sz="6" w:space="0" w:color="auto"/>
              <w:right w:val="single" w:sz="6" w:space="0" w:color="auto"/>
            </w:tcBorders>
          </w:tcPr>
          <w:p w14:paraId="31FAF701"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03E2B55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2B546CA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60D92187"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03A5E3EC"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55C39F9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Žlíbek</w:t>
            </w:r>
          </w:p>
        </w:tc>
        <w:tc>
          <w:tcPr>
            <w:tcW w:w="1276" w:type="dxa"/>
            <w:tcBorders>
              <w:top w:val="single" w:sz="6" w:space="0" w:color="auto"/>
              <w:left w:val="single" w:sz="6" w:space="0" w:color="auto"/>
              <w:bottom w:val="single" w:sz="6" w:space="0" w:color="auto"/>
              <w:right w:val="single" w:sz="6" w:space="0" w:color="auto"/>
            </w:tcBorders>
          </w:tcPr>
          <w:p w14:paraId="4CCF57B9"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496540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4C6A541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2628BB4B"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60733A1C"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0E2586A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Letná</w:t>
            </w:r>
          </w:p>
        </w:tc>
        <w:tc>
          <w:tcPr>
            <w:tcW w:w="1276" w:type="dxa"/>
            <w:tcBorders>
              <w:top w:val="single" w:sz="6" w:space="0" w:color="auto"/>
              <w:left w:val="single" w:sz="6" w:space="0" w:color="auto"/>
              <w:bottom w:val="single" w:sz="6" w:space="0" w:color="auto"/>
              <w:right w:val="single" w:sz="6" w:space="0" w:color="auto"/>
            </w:tcBorders>
          </w:tcPr>
          <w:p w14:paraId="50AAF401"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495FAD9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7692806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6D549208"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556EFCB5"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3F89321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Podmokly</w:t>
            </w:r>
          </w:p>
        </w:tc>
        <w:tc>
          <w:tcPr>
            <w:tcW w:w="1276" w:type="dxa"/>
            <w:tcBorders>
              <w:top w:val="single" w:sz="6" w:space="0" w:color="auto"/>
              <w:left w:val="single" w:sz="6" w:space="0" w:color="auto"/>
              <w:bottom w:val="single" w:sz="6" w:space="0" w:color="auto"/>
              <w:right w:val="single" w:sz="6" w:space="0" w:color="auto"/>
            </w:tcBorders>
          </w:tcPr>
          <w:p w14:paraId="0D53881B"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elktř., plyn</w:t>
            </w:r>
          </w:p>
        </w:tc>
        <w:tc>
          <w:tcPr>
            <w:tcW w:w="1050" w:type="dxa"/>
            <w:tcBorders>
              <w:top w:val="single" w:sz="6" w:space="0" w:color="auto"/>
              <w:left w:val="single" w:sz="6" w:space="0" w:color="auto"/>
              <w:bottom w:val="single" w:sz="6" w:space="0" w:color="auto"/>
              <w:right w:val="single" w:sz="6" w:space="0" w:color="auto"/>
            </w:tcBorders>
          </w:tcPr>
          <w:p w14:paraId="58992EE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1159" w:type="dxa"/>
            <w:tcBorders>
              <w:top w:val="single" w:sz="6" w:space="0" w:color="auto"/>
              <w:left w:val="single" w:sz="6" w:space="0" w:color="auto"/>
              <w:bottom w:val="single" w:sz="6" w:space="0" w:color="auto"/>
              <w:right w:val="single" w:sz="6" w:space="0" w:color="auto"/>
            </w:tcBorders>
          </w:tcPr>
          <w:p w14:paraId="07AA200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2959" w:type="dxa"/>
            <w:tcBorders>
              <w:top w:val="single" w:sz="6" w:space="0" w:color="auto"/>
              <w:left w:val="single" w:sz="6" w:space="0" w:color="auto"/>
              <w:bottom w:val="single" w:sz="6" w:space="0" w:color="auto"/>
              <w:right w:val="single" w:sz="6" w:space="0" w:color="auto"/>
            </w:tcBorders>
          </w:tcPr>
          <w:p w14:paraId="249A7B0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přednostně CZT</w:t>
            </w:r>
          </w:p>
        </w:tc>
      </w:tr>
      <w:tr w:rsidR="00D42621" w:rsidRPr="00D42621" w14:paraId="7FF6BDB3"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1DE18FE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Přípeř</w:t>
            </w:r>
          </w:p>
        </w:tc>
        <w:tc>
          <w:tcPr>
            <w:tcW w:w="1276" w:type="dxa"/>
            <w:tcBorders>
              <w:top w:val="single" w:sz="6" w:space="0" w:color="auto"/>
              <w:left w:val="single" w:sz="6" w:space="0" w:color="auto"/>
              <w:bottom w:val="single" w:sz="6" w:space="0" w:color="auto"/>
              <w:right w:val="single" w:sz="6" w:space="0" w:color="auto"/>
            </w:tcBorders>
          </w:tcPr>
          <w:p w14:paraId="715B980A"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61E4BE2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1F5ED3A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13E98096"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112125E7"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37D8799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Rozbělesy (průmysl. zóna)</w:t>
            </w:r>
          </w:p>
        </w:tc>
        <w:tc>
          <w:tcPr>
            <w:tcW w:w="1276" w:type="dxa"/>
            <w:tcBorders>
              <w:top w:val="single" w:sz="6" w:space="0" w:color="auto"/>
              <w:left w:val="single" w:sz="6" w:space="0" w:color="auto"/>
              <w:bottom w:val="single" w:sz="6" w:space="0" w:color="auto"/>
              <w:right w:val="single" w:sz="6" w:space="0" w:color="auto"/>
            </w:tcBorders>
          </w:tcPr>
          <w:p w14:paraId="06BE19A3"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050" w:type="dxa"/>
            <w:tcBorders>
              <w:top w:val="single" w:sz="6" w:space="0" w:color="auto"/>
              <w:left w:val="single" w:sz="6" w:space="0" w:color="auto"/>
              <w:bottom w:val="single" w:sz="6" w:space="0" w:color="auto"/>
              <w:right w:val="single" w:sz="6" w:space="0" w:color="auto"/>
            </w:tcBorders>
          </w:tcPr>
          <w:p w14:paraId="45EA2C06"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159" w:type="dxa"/>
            <w:tcBorders>
              <w:top w:val="single" w:sz="6" w:space="0" w:color="auto"/>
              <w:left w:val="single" w:sz="6" w:space="0" w:color="auto"/>
              <w:bottom w:val="single" w:sz="6" w:space="0" w:color="auto"/>
              <w:right w:val="single" w:sz="6" w:space="0" w:color="auto"/>
            </w:tcBorders>
          </w:tcPr>
          <w:p w14:paraId="43A7C9A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16F005F4"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4BF49AC6"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3FB7D49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Želenice</w:t>
            </w:r>
          </w:p>
        </w:tc>
        <w:tc>
          <w:tcPr>
            <w:tcW w:w="1276" w:type="dxa"/>
            <w:tcBorders>
              <w:top w:val="single" w:sz="6" w:space="0" w:color="auto"/>
              <w:left w:val="single" w:sz="6" w:space="0" w:color="auto"/>
              <w:bottom w:val="single" w:sz="6" w:space="0" w:color="auto"/>
              <w:right w:val="single" w:sz="6" w:space="0" w:color="auto"/>
            </w:tcBorders>
          </w:tcPr>
          <w:p w14:paraId="0A63EEF1"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elktř., plyn</w:t>
            </w:r>
          </w:p>
        </w:tc>
        <w:tc>
          <w:tcPr>
            <w:tcW w:w="1050" w:type="dxa"/>
            <w:tcBorders>
              <w:top w:val="single" w:sz="6" w:space="0" w:color="auto"/>
              <w:left w:val="single" w:sz="6" w:space="0" w:color="auto"/>
              <w:bottom w:val="single" w:sz="6" w:space="0" w:color="auto"/>
              <w:right w:val="single" w:sz="6" w:space="0" w:color="auto"/>
            </w:tcBorders>
          </w:tcPr>
          <w:p w14:paraId="36D2429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1159" w:type="dxa"/>
            <w:tcBorders>
              <w:top w:val="single" w:sz="6" w:space="0" w:color="auto"/>
              <w:left w:val="single" w:sz="6" w:space="0" w:color="auto"/>
              <w:bottom w:val="single" w:sz="6" w:space="0" w:color="auto"/>
              <w:right w:val="single" w:sz="6" w:space="0" w:color="auto"/>
            </w:tcBorders>
          </w:tcPr>
          <w:p w14:paraId="3B5210D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2959" w:type="dxa"/>
            <w:tcBorders>
              <w:top w:val="single" w:sz="6" w:space="0" w:color="auto"/>
              <w:left w:val="single" w:sz="6" w:space="0" w:color="auto"/>
              <w:bottom w:val="single" w:sz="6" w:space="0" w:color="auto"/>
              <w:right w:val="single" w:sz="6" w:space="0" w:color="auto"/>
            </w:tcBorders>
          </w:tcPr>
          <w:p w14:paraId="565D14D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přednostně CZT</w:t>
            </w:r>
          </w:p>
        </w:tc>
      </w:tr>
      <w:tr w:rsidR="00D42621" w:rsidRPr="00D42621" w14:paraId="294D077B"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01E279A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Václavov</w:t>
            </w:r>
          </w:p>
        </w:tc>
        <w:tc>
          <w:tcPr>
            <w:tcW w:w="1276" w:type="dxa"/>
            <w:tcBorders>
              <w:top w:val="single" w:sz="6" w:space="0" w:color="auto"/>
              <w:left w:val="single" w:sz="6" w:space="0" w:color="auto"/>
              <w:bottom w:val="single" w:sz="6" w:space="0" w:color="auto"/>
              <w:right w:val="single" w:sz="6" w:space="0" w:color="auto"/>
            </w:tcBorders>
          </w:tcPr>
          <w:p w14:paraId="68616F01"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7CEC5ED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12FE668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44AFDA0D"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7AA236B0"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0B24BC9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Chrochvice</w:t>
            </w:r>
          </w:p>
        </w:tc>
        <w:tc>
          <w:tcPr>
            <w:tcW w:w="1276" w:type="dxa"/>
            <w:tcBorders>
              <w:top w:val="single" w:sz="6" w:space="0" w:color="auto"/>
              <w:left w:val="single" w:sz="6" w:space="0" w:color="auto"/>
              <w:bottom w:val="single" w:sz="6" w:space="0" w:color="auto"/>
              <w:right w:val="single" w:sz="6" w:space="0" w:color="auto"/>
            </w:tcBorders>
          </w:tcPr>
          <w:p w14:paraId="1B63F4EE"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64B7FC8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01602F2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61FE7A2F"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45BA4152"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3C18EC8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Děčín</w:t>
            </w:r>
          </w:p>
        </w:tc>
        <w:tc>
          <w:tcPr>
            <w:tcW w:w="1276" w:type="dxa"/>
            <w:tcBorders>
              <w:top w:val="single" w:sz="6" w:space="0" w:color="auto"/>
              <w:left w:val="single" w:sz="6" w:space="0" w:color="auto"/>
              <w:bottom w:val="single" w:sz="6" w:space="0" w:color="auto"/>
              <w:right w:val="single" w:sz="6" w:space="0" w:color="auto"/>
            </w:tcBorders>
          </w:tcPr>
          <w:p w14:paraId="2336FB25"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elktř., plyn</w:t>
            </w:r>
          </w:p>
        </w:tc>
        <w:tc>
          <w:tcPr>
            <w:tcW w:w="1050" w:type="dxa"/>
            <w:tcBorders>
              <w:top w:val="single" w:sz="6" w:space="0" w:color="auto"/>
              <w:left w:val="single" w:sz="6" w:space="0" w:color="auto"/>
              <w:bottom w:val="single" w:sz="6" w:space="0" w:color="auto"/>
              <w:right w:val="single" w:sz="6" w:space="0" w:color="auto"/>
            </w:tcBorders>
          </w:tcPr>
          <w:p w14:paraId="0F4D76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1159" w:type="dxa"/>
            <w:tcBorders>
              <w:top w:val="single" w:sz="6" w:space="0" w:color="auto"/>
              <w:left w:val="single" w:sz="6" w:space="0" w:color="auto"/>
              <w:bottom w:val="single" w:sz="6" w:space="0" w:color="auto"/>
              <w:right w:val="single" w:sz="6" w:space="0" w:color="auto"/>
            </w:tcBorders>
          </w:tcPr>
          <w:p w14:paraId="29D4B2A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2959" w:type="dxa"/>
            <w:tcBorders>
              <w:top w:val="single" w:sz="6" w:space="0" w:color="auto"/>
              <w:left w:val="single" w:sz="6" w:space="0" w:color="auto"/>
              <w:bottom w:val="single" w:sz="6" w:space="0" w:color="auto"/>
              <w:right w:val="single" w:sz="6" w:space="0" w:color="auto"/>
            </w:tcBorders>
          </w:tcPr>
          <w:p w14:paraId="5FD6925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přednostně CZT</w:t>
            </w:r>
          </w:p>
        </w:tc>
      </w:tr>
      <w:tr w:rsidR="00D42621" w:rsidRPr="00D42621" w14:paraId="47B59525"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1568B57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Nové Město</w:t>
            </w:r>
          </w:p>
        </w:tc>
        <w:tc>
          <w:tcPr>
            <w:tcW w:w="1276" w:type="dxa"/>
            <w:tcBorders>
              <w:top w:val="single" w:sz="6" w:space="0" w:color="auto"/>
              <w:left w:val="single" w:sz="6" w:space="0" w:color="auto"/>
              <w:bottom w:val="single" w:sz="6" w:space="0" w:color="auto"/>
              <w:right w:val="single" w:sz="6" w:space="0" w:color="auto"/>
            </w:tcBorders>
          </w:tcPr>
          <w:p w14:paraId="6D06656D"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elktř., plyn</w:t>
            </w:r>
          </w:p>
        </w:tc>
        <w:tc>
          <w:tcPr>
            <w:tcW w:w="1050" w:type="dxa"/>
            <w:tcBorders>
              <w:top w:val="single" w:sz="6" w:space="0" w:color="auto"/>
              <w:left w:val="single" w:sz="6" w:space="0" w:color="auto"/>
              <w:bottom w:val="single" w:sz="6" w:space="0" w:color="auto"/>
              <w:right w:val="single" w:sz="6" w:space="0" w:color="auto"/>
            </w:tcBorders>
          </w:tcPr>
          <w:p w14:paraId="296E06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1159" w:type="dxa"/>
            <w:tcBorders>
              <w:top w:val="single" w:sz="6" w:space="0" w:color="auto"/>
              <w:left w:val="single" w:sz="6" w:space="0" w:color="auto"/>
              <w:bottom w:val="single" w:sz="6" w:space="0" w:color="auto"/>
              <w:right w:val="single" w:sz="6" w:space="0" w:color="auto"/>
            </w:tcBorders>
          </w:tcPr>
          <w:p w14:paraId="7CFF188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2959" w:type="dxa"/>
            <w:tcBorders>
              <w:top w:val="single" w:sz="6" w:space="0" w:color="auto"/>
              <w:left w:val="single" w:sz="6" w:space="0" w:color="auto"/>
              <w:bottom w:val="single" w:sz="6" w:space="0" w:color="auto"/>
              <w:right w:val="single" w:sz="6" w:space="0" w:color="auto"/>
            </w:tcBorders>
          </w:tcPr>
          <w:p w14:paraId="615CFF28"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přednostně CZT</w:t>
            </w:r>
          </w:p>
        </w:tc>
      </w:tr>
      <w:tr w:rsidR="00D42621" w:rsidRPr="00D42621" w14:paraId="510679A8"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1C2790B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Staré Město</w:t>
            </w:r>
          </w:p>
        </w:tc>
        <w:tc>
          <w:tcPr>
            <w:tcW w:w="1276" w:type="dxa"/>
            <w:tcBorders>
              <w:top w:val="single" w:sz="6" w:space="0" w:color="auto"/>
              <w:left w:val="single" w:sz="6" w:space="0" w:color="auto"/>
              <w:bottom w:val="single" w:sz="6" w:space="0" w:color="auto"/>
              <w:right w:val="single" w:sz="6" w:space="0" w:color="auto"/>
            </w:tcBorders>
          </w:tcPr>
          <w:p w14:paraId="34E6D7DA"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elktř., plyn</w:t>
            </w:r>
          </w:p>
        </w:tc>
        <w:tc>
          <w:tcPr>
            <w:tcW w:w="1050" w:type="dxa"/>
            <w:tcBorders>
              <w:top w:val="single" w:sz="6" w:space="0" w:color="auto"/>
              <w:left w:val="single" w:sz="6" w:space="0" w:color="auto"/>
              <w:bottom w:val="single" w:sz="6" w:space="0" w:color="auto"/>
              <w:right w:val="single" w:sz="6" w:space="0" w:color="auto"/>
            </w:tcBorders>
          </w:tcPr>
          <w:p w14:paraId="16F3A23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1159" w:type="dxa"/>
            <w:tcBorders>
              <w:top w:val="single" w:sz="6" w:space="0" w:color="auto"/>
              <w:left w:val="single" w:sz="6" w:space="0" w:color="auto"/>
              <w:bottom w:val="single" w:sz="6" w:space="0" w:color="auto"/>
              <w:right w:val="single" w:sz="6" w:space="0" w:color="auto"/>
            </w:tcBorders>
          </w:tcPr>
          <w:p w14:paraId="1BA2A73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2959" w:type="dxa"/>
            <w:tcBorders>
              <w:top w:val="single" w:sz="6" w:space="0" w:color="auto"/>
              <w:left w:val="single" w:sz="6" w:space="0" w:color="auto"/>
              <w:bottom w:val="single" w:sz="6" w:space="0" w:color="auto"/>
              <w:right w:val="single" w:sz="6" w:space="0" w:color="auto"/>
            </w:tcBorders>
          </w:tcPr>
          <w:p w14:paraId="49F4D7C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přednostně CZT</w:t>
            </w:r>
          </w:p>
        </w:tc>
      </w:tr>
      <w:tr w:rsidR="00D42621" w:rsidRPr="00D42621" w14:paraId="6A374420"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0075FAC0" w14:textId="77777777" w:rsidR="00D42621" w:rsidRPr="00D42621" w:rsidRDefault="00D42621" w:rsidP="00D42621">
            <w:pPr>
              <w:suppressAutoHyphens w:val="0"/>
              <w:autoSpaceDE w:val="0"/>
              <w:autoSpaceDN w:val="0"/>
              <w:adjustRightInd w:val="0"/>
              <w:jc w:val="both"/>
              <w:rPr>
                <w:rFonts w:ascii="Arial" w:hAnsi="Arial"/>
                <w:color w:val="000000"/>
                <w:sz w:val="16"/>
                <w:szCs w:val="16"/>
                <w:lang w:eastAsia="cs-CZ"/>
              </w:rPr>
            </w:pPr>
            <w:r w:rsidRPr="00D42621">
              <w:rPr>
                <w:rFonts w:ascii="Arial" w:hAnsi="Arial"/>
                <w:color w:val="000000"/>
                <w:sz w:val="16"/>
                <w:szCs w:val="16"/>
                <w:lang w:eastAsia="cs-CZ"/>
              </w:rPr>
              <w:t>Březiny  vnitřní část</w:t>
            </w:r>
          </w:p>
        </w:tc>
        <w:tc>
          <w:tcPr>
            <w:tcW w:w="1276" w:type="dxa"/>
            <w:tcBorders>
              <w:top w:val="single" w:sz="6" w:space="0" w:color="auto"/>
              <w:left w:val="single" w:sz="6" w:space="0" w:color="auto"/>
              <w:bottom w:val="single" w:sz="6" w:space="0" w:color="auto"/>
              <w:right w:val="single" w:sz="6" w:space="0" w:color="auto"/>
            </w:tcBorders>
          </w:tcPr>
          <w:p w14:paraId="49214DA0"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1DABBD9B"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color w:val="000000"/>
                <w:sz w:val="18"/>
                <w:szCs w:val="18"/>
                <w:lang w:eastAsia="cs-CZ"/>
              </w:rPr>
              <w:t>CZT</w:t>
            </w:r>
          </w:p>
        </w:tc>
        <w:tc>
          <w:tcPr>
            <w:tcW w:w="1159" w:type="dxa"/>
            <w:tcBorders>
              <w:top w:val="single" w:sz="6" w:space="0" w:color="auto"/>
              <w:left w:val="single" w:sz="6" w:space="0" w:color="auto"/>
              <w:bottom w:val="single" w:sz="6" w:space="0" w:color="auto"/>
              <w:right w:val="single" w:sz="6" w:space="0" w:color="auto"/>
            </w:tcBorders>
          </w:tcPr>
          <w:p w14:paraId="6095B760"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color w:val="000000"/>
                <w:sz w:val="18"/>
                <w:szCs w:val="18"/>
                <w:lang w:eastAsia="cs-CZ"/>
              </w:rPr>
              <w:t>CZT</w:t>
            </w:r>
          </w:p>
        </w:tc>
        <w:tc>
          <w:tcPr>
            <w:tcW w:w="2959" w:type="dxa"/>
            <w:tcBorders>
              <w:top w:val="single" w:sz="6" w:space="0" w:color="auto"/>
              <w:left w:val="single" w:sz="6" w:space="0" w:color="auto"/>
              <w:bottom w:val="single" w:sz="6" w:space="0" w:color="auto"/>
              <w:right w:val="single" w:sz="6" w:space="0" w:color="auto"/>
            </w:tcBorders>
          </w:tcPr>
          <w:p w14:paraId="6AA8D66F"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0F862331"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653D7DBA" w14:textId="77777777" w:rsidR="00D42621" w:rsidRPr="00D42621" w:rsidRDefault="00D42621" w:rsidP="00D42621">
            <w:pPr>
              <w:suppressAutoHyphens w:val="0"/>
              <w:autoSpaceDE w:val="0"/>
              <w:autoSpaceDN w:val="0"/>
              <w:adjustRightInd w:val="0"/>
              <w:jc w:val="both"/>
              <w:rPr>
                <w:rFonts w:ascii="Arial" w:hAnsi="Arial"/>
                <w:color w:val="000000"/>
                <w:sz w:val="16"/>
                <w:szCs w:val="16"/>
                <w:lang w:eastAsia="cs-CZ"/>
              </w:rPr>
            </w:pPr>
            <w:r w:rsidRPr="00D42621">
              <w:rPr>
                <w:rFonts w:ascii="Arial" w:hAnsi="Arial"/>
                <w:color w:val="000000"/>
                <w:sz w:val="16"/>
                <w:szCs w:val="16"/>
                <w:lang w:eastAsia="cs-CZ"/>
              </w:rPr>
              <w:t>Březiny  vnější část</w:t>
            </w:r>
          </w:p>
        </w:tc>
        <w:tc>
          <w:tcPr>
            <w:tcW w:w="1276" w:type="dxa"/>
            <w:tcBorders>
              <w:top w:val="single" w:sz="6" w:space="0" w:color="auto"/>
              <w:left w:val="single" w:sz="6" w:space="0" w:color="auto"/>
              <w:bottom w:val="single" w:sz="6" w:space="0" w:color="auto"/>
              <w:right w:val="single" w:sz="6" w:space="0" w:color="auto"/>
            </w:tcBorders>
          </w:tcPr>
          <w:p w14:paraId="030D3D50"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2DF5D964"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159" w:type="dxa"/>
            <w:tcBorders>
              <w:top w:val="single" w:sz="6" w:space="0" w:color="auto"/>
              <w:left w:val="single" w:sz="6" w:space="0" w:color="auto"/>
              <w:bottom w:val="single" w:sz="6" w:space="0" w:color="auto"/>
              <w:right w:val="single" w:sz="6" w:space="0" w:color="auto"/>
            </w:tcBorders>
          </w:tcPr>
          <w:p w14:paraId="4BA19511"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color w:val="000000"/>
                <w:sz w:val="18"/>
                <w:szCs w:val="18"/>
                <w:lang w:eastAsia="cs-CZ"/>
              </w:rPr>
              <w:t>NP, elektř.</w:t>
            </w:r>
          </w:p>
        </w:tc>
        <w:tc>
          <w:tcPr>
            <w:tcW w:w="2959" w:type="dxa"/>
            <w:tcBorders>
              <w:top w:val="single" w:sz="6" w:space="0" w:color="auto"/>
              <w:left w:val="single" w:sz="6" w:space="0" w:color="auto"/>
              <w:bottom w:val="single" w:sz="6" w:space="0" w:color="auto"/>
              <w:right w:val="single" w:sz="6" w:space="0" w:color="auto"/>
            </w:tcBorders>
          </w:tcPr>
          <w:p w14:paraId="10E07F73"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0ED64381"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2800BC0F"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Křešice</w:t>
            </w:r>
          </w:p>
        </w:tc>
        <w:tc>
          <w:tcPr>
            <w:tcW w:w="1276" w:type="dxa"/>
            <w:tcBorders>
              <w:top w:val="single" w:sz="6" w:space="0" w:color="auto"/>
              <w:left w:val="single" w:sz="6" w:space="0" w:color="auto"/>
              <w:bottom w:val="single" w:sz="6" w:space="0" w:color="auto"/>
              <w:right w:val="single" w:sz="6" w:space="0" w:color="auto"/>
            </w:tcBorders>
          </w:tcPr>
          <w:p w14:paraId="3F3B5A33"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63002CB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18BF7E2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0557A80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výhled</w:t>
            </w:r>
          </w:p>
        </w:tc>
      </w:tr>
      <w:tr w:rsidR="00D42621" w:rsidRPr="00D42621" w14:paraId="0D687F27"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4CE8645C"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Marjanín</w:t>
            </w:r>
          </w:p>
        </w:tc>
        <w:tc>
          <w:tcPr>
            <w:tcW w:w="1276" w:type="dxa"/>
            <w:tcBorders>
              <w:top w:val="single" w:sz="6" w:space="0" w:color="auto"/>
              <w:left w:val="single" w:sz="6" w:space="0" w:color="auto"/>
              <w:bottom w:val="single" w:sz="6" w:space="0" w:color="auto"/>
              <w:right w:val="single" w:sz="6" w:space="0" w:color="auto"/>
            </w:tcBorders>
          </w:tcPr>
          <w:p w14:paraId="0A5EF59E"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780159D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66E10DE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62DE838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výhled</w:t>
            </w:r>
          </w:p>
        </w:tc>
      </w:tr>
      <w:tr w:rsidR="00D42621" w:rsidRPr="00D42621" w14:paraId="63BF14D8"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7CE2BBFA"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Boletice</w:t>
            </w:r>
          </w:p>
        </w:tc>
        <w:tc>
          <w:tcPr>
            <w:tcW w:w="1276" w:type="dxa"/>
            <w:tcBorders>
              <w:top w:val="single" w:sz="6" w:space="0" w:color="auto"/>
              <w:left w:val="single" w:sz="6" w:space="0" w:color="auto"/>
              <w:bottom w:val="single" w:sz="6" w:space="0" w:color="auto"/>
              <w:right w:val="single" w:sz="6" w:space="0" w:color="auto"/>
            </w:tcBorders>
          </w:tcPr>
          <w:p w14:paraId="21526A98"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elktř., plyn</w:t>
            </w:r>
          </w:p>
        </w:tc>
        <w:tc>
          <w:tcPr>
            <w:tcW w:w="1050" w:type="dxa"/>
            <w:tcBorders>
              <w:top w:val="single" w:sz="6" w:space="0" w:color="auto"/>
              <w:left w:val="single" w:sz="6" w:space="0" w:color="auto"/>
              <w:bottom w:val="single" w:sz="6" w:space="0" w:color="auto"/>
              <w:right w:val="single" w:sz="6" w:space="0" w:color="auto"/>
            </w:tcBorders>
          </w:tcPr>
          <w:p w14:paraId="71D01DF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1159" w:type="dxa"/>
            <w:tcBorders>
              <w:top w:val="single" w:sz="6" w:space="0" w:color="auto"/>
              <w:left w:val="single" w:sz="6" w:space="0" w:color="auto"/>
              <w:bottom w:val="single" w:sz="6" w:space="0" w:color="auto"/>
              <w:right w:val="single" w:sz="6" w:space="0" w:color="auto"/>
            </w:tcBorders>
          </w:tcPr>
          <w:p w14:paraId="581A50E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CZT, plyn</w:t>
            </w:r>
          </w:p>
        </w:tc>
        <w:tc>
          <w:tcPr>
            <w:tcW w:w="2959" w:type="dxa"/>
            <w:tcBorders>
              <w:top w:val="single" w:sz="6" w:space="0" w:color="auto"/>
              <w:left w:val="single" w:sz="6" w:space="0" w:color="auto"/>
              <w:bottom w:val="single" w:sz="6" w:space="0" w:color="auto"/>
              <w:right w:val="single" w:sz="6" w:space="0" w:color="auto"/>
            </w:tcBorders>
          </w:tcPr>
          <w:p w14:paraId="049F063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přednostně CZT</w:t>
            </w:r>
          </w:p>
        </w:tc>
      </w:tr>
      <w:tr w:rsidR="00D42621" w:rsidRPr="00D42621" w14:paraId="09382457"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348F95A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Nebočady</w:t>
            </w:r>
          </w:p>
        </w:tc>
        <w:tc>
          <w:tcPr>
            <w:tcW w:w="1276" w:type="dxa"/>
            <w:tcBorders>
              <w:top w:val="single" w:sz="6" w:space="0" w:color="auto"/>
              <w:left w:val="single" w:sz="6" w:space="0" w:color="auto"/>
              <w:bottom w:val="single" w:sz="6" w:space="0" w:color="auto"/>
              <w:right w:val="single" w:sz="6" w:space="0" w:color="auto"/>
            </w:tcBorders>
          </w:tcPr>
          <w:p w14:paraId="036C48AA"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6C2C48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79F745A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1E38EF1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výhled</w:t>
            </w:r>
          </w:p>
        </w:tc>
      </w:tr>
      <w:tr w:rsidR="00D42621" w:rsidRPr="00D42621" w14:paraId="5D58AF01"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49D6C3D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Krásný Studenec</w:t>
            </w:r>
          </w:p>
        </w:tc>
        <w:tc>
          <w:tcPr>
            <w:tcW w:w="1276" w:type="dxa"/>
            <w:tcBorders>
              <w:top w:val="single" w:sz="6" w:space="0" w:color="auto"/>
              <w:left w:val="single" w:sz="6" w:space="0" w:color="auto"/>
              <w:bottom w:val="single" w:sz="6" w:space="0" w:color="auto"/>
              <w:right w:val="single" w:sz="6" w:space="0" w:color="auto"/>
            </w:tcBorders>
          </w:tcPr>
          <w:p w14:paraId="4F231B31"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10D700B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159" w:type="dxa"/>
            <w:tcBorders>
              <w:top w:val="single" w:sz="6" w:space="0" w:color="auto"/>
              <w:left w:val="single" w:sz="6" w:space="0" w:color="auto"/>
              <w:bottom w:val="single" w:sz="6" w:space="0" w:color="auto"/>
              <w:right w:val="single" w:sz="6" w:space="0" w:color="auto"/>
            </w:tcBorders>
          </w:tcPr>
          <w:p w14:paraId="2343451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NP, elektř.</w:t>
            </w:r>
          </w:p>
        </w:tc>
        <w:tc>
          <w:tcPr>
            <w:tcW w:w="2959" w:type="dxa"/>
            <w:tcBorders>
              <w:top w:val="single" w:sz="6" w:space="0" w:color="auto"/>
              <w:left w:val="single" w:sz="6" w:space="0" w:color="auto"/>
              <w:bottom w:val="single" w:sz="6" w:space="0" w:color="auto"/>
              <w:right w:val="single" w:sz="6" w:space="0" w:color="auto"/>
            </w:tcBorders>
          </w:tcPr>
          <w:p w14:paraId="66BF8B87"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3962DCC5"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2E3EA7F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Vilsnice</w:t>
            </w:r>
          </w:p>
        </w:tc>
        <w:tc>
          <w:tcPr>
            <w:tcW w:w="1276" w:type="dxa"/>
            <w:tcBorders>
              <w:top w:val="single" w:sz="6" w:space="0" w:color="auto"/>
              <w:left w:val="single" w:sz="6" w:space="0" w:color="auto"/>
              <w:bottom w:val="single" w:sz="6" w:space="0" w:color="auto"/>
              <w:right w:val="single" w:sz="6" w:space="0" w:color="auto"/>
            </w:tcBorders>
          </w:tcPr>
          <w:p w14:paraId="34BE3FBD"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01A0186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75D583C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1B2D715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výhled</w:t>
            </w:r>
          </w:p>
        </w:tc>
      </w:tr>
      <w:tr w:rsidR="00D42621" w:rsidRPr="00D42621" w14:paraId="5F2E5E51"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20BC3F3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Popovice</w:t>
            </w:r>
          </w:p>
        </w:tc>
        <w:tc>
          <w:tcPr>
            <w:tcW w:w="1276" w:type="dxa"/>
            <w:tcBorders>
              <w:top w:val="single" w:sz="6" w:space="0" w:color="auto"/>
              <w:left w:val="single" w:sz="6" w:space="0" w:color="auto"/>
              <w:bottom w:val="single" w:sz="6" w:space="0" w:color="auto"/>
              <w:right w:val="single" w:sz="6" w:space="0" w:color="auto"/>
            </w:tcBorders>
          </w:tcPr>
          <w:p w14:paraId="70D11B88"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050" w:type="dxa"/>
            <w:tcBorders>
              <w:top w:val="single" w:sz="6" w:space="0" w:color="auto"/>
              <w:left w:val="single" w:sz="6" w:space="0" w:color="auto"/>
              <w:bottom w:val="single" w:sz="6" w:space="0" w:color="auto"/>
              <w:right w:val="single" w:sz="6" w:space="0" w:color="auto"/>
            </w:tcBorders>
          </w:tcPr>
          <w:p w14:paraId="211A1D5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1159" w:type="dxa"/>
            <w:tcBorders>
              <w:top w:val="single" w:sz="6" w:space="0" w:color="auto"/>
              <w:left w:val="single" w:sz="6" w:space="0" w:color="auto"/>
              <w:bottom w:val="single" w:sz="6" w:space="0" w:color="auto"/>
              <w:right w:val="single" w:sz="6" w:space="0" w:color="auto"/>
            </w:tcBorders>
          </w:tcPr>
          <w:p w14:paraId="01E4E3B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plyn</w:t>
            </w:r>
          </w:p>
        </w:tc>
        <w:tc>
          <w:tcPr>
            <w:tcW w:w="2959" w:type="dxa"/>
            <w:tcBorders>
              <w:top w:val="single" w:sz="6" w:space="0" w:color="auto"/>
              <w:left w:val="single" w:sz="6" w:space="0" w:color="auto"/>
              <w:bottom w:val="single" w:sz="6" w:space="0" w:color="auto"/>
              <w:right w:val="single" w:sz="6" w:space="0" w:color="auto"/>
            </w:tcBorders>
          </w:tcPr>
          <w:p w14:paraId="45015533"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302C728B"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10E543A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Chmelnice</w:t>
            </w:r>
          </w:p>
        </w:tc>
        <w:tc>
          <w:tcPr>
            <w:tcW w:w="1276" w:type="dxa"/>
            <w:tcBorders>
              <w:top w:val="single" w:sz="6" w:space="0" w:color="auto"/>
              <w:left w:val="single" w:sz="6" w:space="0" w:color="auto"/>
              <w:bottom w:val="single" w:sz="6" w:space="0" w:color="auto"/>
              <w:right w:val="single" w:sz="6" w:space="0" w:color="auto"/>
            </w:tcBorders>
          </w:tcPr>
          <w:p w14:paraId="46608182"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7F55220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159" w:type="dxa"/>
            <w:tcBorders>
              <w:top w:val="single" w:sz="6" w:space="0" w:color="auto"/>
              <w:left w:val="single" w:sz="6" w:space="0" w:color="auto"/>
              <w:bottom w:val="single" w:sz="6" w:space="0" w:color="auto"/>
              <w:right w:val="single" w:sz="6" w:space="0" w:color="auto"/>
            </w:tcBorders>
          </w:tcPr>
          <w:p w14:paraId="0007638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NP, elektř.</w:t>
            </w:r>
          </w:p>
        </w:tc>
        <w:tc>
          <w:tcPr>
            <w:tcW w:w="2959" w:type="dxa"/>
            <w:tcBorders>
              <w:top w:val="single" w:sz="6" w:space="0" w:color="auto"/>
              <w:left w:val="single" w:sz="6" w:space="0" w:color="auto"/>
              <w:bottom w:val="single" w:sz="6" w:space="0" w:color="auto"/>
              <w:right w:val="single" w:sz="6" w:space="0" w:color="auto"/>
            </w:tcBorders>
          </w:tcPr>
          <w:p w14:paraId="3681E49F"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6BE38249"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34330A4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Maxičky</w:t>
            </w:r>
          </w:p>
        </w:tc>
        <w:tc>
          <w:tcPr>
            <w:tcW w:w="1276" w:type="dxa"/>
            <w:tcBorders>
              <w:top w:val="single" w:sz="6" w:space="0" w:color="auto"/>
              <w:left w:val="single" w:sz="6" w:space="0" w:color="auto"/>
              <w:bottom w:val="single" w:sz="6" w:space="0" w:color="auto"/>
              <w:right w:val="single" w:sz="6" w:space="0" w:color="auto"/>
            </w:tcBorders>
          </w:tcPr>
          <w:p w14:paraId="251D053B"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655E62F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159" w:type="dxa"/>
            <w:tcBorders>
              <w:top w:val="single" w:sz="6" w:space="0" w:color="auto"/>
              <w:left w:val="single" w:sz="6" w:space="0" w:color="auto"/>
              <w:bottom w:val="single" w:sz="6" w:space="0" w:color="auto"/>
              <w:right w:val="single" w:sz="6" w:space="0" w:color="auto"/>
            </w:tcBorders>
          </w:tcPr>
          <w:p w14:paraId="7106FF2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NP, elektř.</w:t>
            </w:r>
          </w:p>
        </w:tc>
        <w:tc>
          <w:tcPr>
            <w:tcW w:w="2959" w:type="dxa"/>
            <w:tcBorders>
              <w:top w:val="single" w:sz="6" w:space="0" w:color="auto"/>
              <w:left w:val="single" w:sz="6" w:space="0" w:color="auto"/>
              <w:bottom w:val="single" w:sz="6" w:space="0" w:color="auto"/>
              <w:right w:val="single" w:sz="6" w:space="0" w:color="auto"/>
            </w:tcBorders>
          </w:tcPr>
          <w:p w14:paraId="34779D8A"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29921107"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120A0B7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Horní Žleb</w:t>
            </w:r>
          </w:p>
        </w:tc>
        <w:tc>
          <w:tcPr>
            <w:tcW w:w="1276" w:type="dxa"/>
            <w:tcBorders>
              <w:top w:val="single" w:sz="6" w:space="0" w:color="auto"/>
              <w:left w:val="single" w:sz="6" w:space="0" w:color="auto"/>
              <w:bottom w:val="single" w:sz="6" w:space="0" w:color="auto"/>
              <w:right w:val="single" w:sz="6" w:space="0" w:color="auto"/>
            </w:tcBorders>
          </w:tcPr>
          <w:p w14:paraId="266722F6"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5DB4F07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159" w:type="dxa"/>
            <w:tcBorders>
              <w:top w:val="single" w:sz="6" w:space="0" w:color="auto"/>
              <w:left w:val="single" w:sz="6" w:space="0" w:color="auto"/>
              <w:bottom w:val="single" w:sz="6" w:space="0" w:color="auto"/>
              <w:right w:val="single" w:sz="6" w:space="0" w:color="auto"/>
            </w:tcBorders>
          </w:tcPr>
          <w:p w14:paraId="0179C87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NP, elektř.</w:t>
            </w:r>
          </w:p>
        </w:tc>
        <w:tc>
          <w:tcPr>
            <w:tcW w:w="2959" w:type="dxa"/>
            <w:tcBorders>
              <w:top w:val="single" w:sz="6" w:space="0" w:color="auto"/>
              <w:left w:val="single" w:sz="6" w:space="0" w:color="auto"/>
              <w:bottom w:val="single" w:sz="6" w:space="0" w:color="auto"/>
              <w:right w:val="single" w:sz="6" w:space="0" w:color="auto"/>
            </w:tcBorders>
          </w:tcPr>
          <w:p w14:paraId="380B6E45"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72B0247C"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63A4152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Prostřední žleb</w:t>
            </w:r>
          </w:p>
        </w:tc>
        <w:tc>
          <w:tcPr>
            <w:tcW w:w="1276" w:type="dxa"/>
            <w:tcBorders>
              <w:top w:val="single" w:sz="6" w:space="0" w:color="auto"/>
              <w:left w:val="single" w:sz="6" w:space="0" w:color="auto"/>
              <w:bottom w:val="single" w:sz="6" w:space="0" w:color="auto"/>
              <w:right w:val="single" w:sz="6" w:space="0" w:color="auto"/>
            </w:tcBorders>
          </w:tcPr>
          <w:p w14:paraId="28CD652C"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6AAF0C3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159" w:type="dxa"/>
            <w:tcBorders>
              <w:top w:val="single" w:sz="6" w:space="0" w:color="auto"/>
              <w:left w:val="single" w:sz="6" w:space="0" w:color="auto"/>
              <w:bottom w:val="single" w:sz="6" w:space="0" w:color="auto"/>
              <w:right w:val="single" w:sz="6" w:space="0" w:color="auto"/>
            </w:tcBorders>
          </w:tcPr>
          <w:p w14:paraId="5873B16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NP, elektř.</w:t>
            </w:r>
          </w:p>
        </w:tc>
        <w:tc>
          <w:tcPr>
            <w:tcW w:w="2959" w:type="dxa"/>
            <w:tcBorders>
              <w:top w:val="single" w:sz="6" w:space="0" w:color="auto"/>
              <w:left w:val="single" w:sz="6" w:space="0" w:color="auto"/>
              <w:bottom w:val="single" w:sz="6" w:space="0" w:color="auto"/>
              <w:right w:val="single" w:sz="6" w:space="0" w:color="auto"/>
            </w:tcBorders>
          </w:tcPr>
          <w:p w14:paraId="6968C08F"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13F91D5F"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6A749085"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Dolní Žleb</w:t>
            </w:r>
          </w:p>
        </w:tc>
        <w:tc>
          <w:tcPr>
            <w:tcW w:w="1276" w:type="dxa"/>
            <w:tcBorders>
              <w:top w:val="single" w:sz="6" w:space="0" w:color="auto"/>
              <w:left w:val="single" w:sz="6" w:space="0" w:color="auto"/>
              <w:bottom w:val="single" w:sz="6" w:space="0" w:color="auto"/>
              <w:right w:val="single" w:sz="6" w:space="0" w:color="auto"/>
            </w:tcBorders>
          </w:tcPr>
          <w:p w14:paraId="14D938AD"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6C60101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159" w:type="dxa"/>
            <w:tcBorders>
              <w:top w:val="single" w:sz="6" w:space="0" w:color="auto"/>
              <w:left w:val="single" w:sz="6" w:space="0" w:color="auto"/>
              <w:bottom w:val="single" w:sz="6" w:space="0" w:color="auto"/>
              <w:right w:val="single" w:sz="6" w:space="0" w:color="auto"/>
            </w:tcBorders>
          </w:tcPr>
          <w:p w14:paraId="3C5590D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NP, elektř.</w:t>
            </w:r>
          </w:p>
        </w:tc>
        <w:tc>
          <w:tcPr>
            <w:tcW w:w="2959" w:type="dxa"/>
            <w:tcBorders>
              <w:top w:val="single" w:sz="6" w:space="0" w:color="auto"/>
              <w:left w:val="single" w:sz="6" w:space="0" w:color="auto"/>
              <w:bottom w:val="single" w:sz="6" w:space="0" w:color="auto"/>
              <w:right w:val="single" w:sz="6" w:space="0" w:color="auto"/>
            </w:tcBorders>
          </w:tcPr>
          <w:p w14:paraId="39A1EC75"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2B78BCD5"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56E88952"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Loubí</w:t>
            </w:r>
          </w:p>
        </w:tc>
        <w:tc>
          <w:tcPr>
            <w:tcW w:w="1276" w:type="dxa"/>
            <w:tcBorders>
              <w:top w:val="single" w:sz="6" w:space="0" w:color="auto"/>
              <w:left w:val="single" w:sz="6" w:space="0" w:color="auto"/>
              <w:bottom w:val="single" w:sz="6" w:space="0" w:color="auto"/>
              <w:right w:val="single" w:sz="6" w:space="0" w:color="auto"/>
            </w:tcBorders>
          </w:tcPr>
          <w:p w14:paraId="31E8F764"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516780A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159" w:type="dxa"/>
            <w:tcBorders>
              <w:top w:val="single" w:sz="6" w:space="0" w:color="auto"/>
              <w:left w:val="single" w:sz="6" w:space="0" w:color="auto"/>
              <w:bottom w:val="single" w:sz="6" w:space="0" w:color="auto"/>
              <w:right w:val="single" w:sz="6" w:space="0" w:color="auto"/>
            </w:tcBorders>
          </w:tcPr>
          <w:p w14:paraId="0AC08CC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NP, elektř.</w:t>
            </w:r>
          </w:p>
        </w:tc>
        <w:tc>
          <w:tcPr>
            <w:tcW w:w="2959" w:type="dxa"/>
            <w:tcBorders>
              <w:top w:val="single" w:sz="6" w:space="0" w:color="auto"/>
              <w:left w:val="single" w:sz="6" w:space="0" w:color="auto"/>
              <w:bottom w:val="single" w:sz="6" w:space="0" w:color="auto"/>
              <w:right w:val="single" w:sz="6" w:space="0" w:color="auto"/>
            </w:tcBorders>
          </w:tcPr>
          <w:p w14:paraId="17E446B1"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4B170628"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51F10AA0"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Folknáře</w:t>
            </w:r>
          </w:p>
        </w:tc>
        <w:tc>
          <w:tcPr>
            <w:tcW w:w="1276" w:type="dxa"/>
            <w:tcBorders>
              <w:top w:val="single" w:sz="6" w:space="0" w:color="auto"/>
              <w:left w:val="single" w:sz="6" w:space="0" w:color="auto"/>
              <w:bottom w:val="single" w:sz="6" w:space="0" w:color="auto"/>
              <w:right w:val="single" w:sz="6" w:space="0" w:color="auto"/>
            </w:tcBorders>
          </w:tcPr>
          <w:p w14:paraId="27316E66"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2E65037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159" w:type="dxa"/>
            <w:tcBorders>
              <w:top w:val="single" w:sz="6" w:space="0" w:color="auto"/>
              <w:left w:val="single" w:sz="6" w:space="0" w:color="auto"/>
              <w:bottom w:val="single" w:sz="6" w:space="0" w:color="auto"/>
              <w:right w:val="single" w:sz="6" w:space="0" w:color="auto"/>
            </w:tcBorders>
          </w:tcPr>
          <w:p w14:paraId="7442BFD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NP, elektř.</w:t>
            </w:r>
          </w:p>
        </w:tc>
        <w:tc>
          <w:tcPr>
            <w:tcW w:w="2959" w:type="dxa"/>
            <w:tcBorders>
              <w:top w:val="single" w:sz="6" w:space="0" w:color="auto"/>
              <w:left w:val="single" w:sz="6" w:space="0" w:color="auto"/>
              <w:bottom w:val="single" w:sz="6" w:space="0" w:color="auto"/>
              <w:right w:val="single" w:sz="6" w:space="0" w:color="auto"/>
            </w:tcBorders>
          </w:tcPr>
          <w:p w14:paraId="3FC6DCF2"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0260C4AF"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4D5408F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Bechlejovice</w:t>
            </w:r>
          </w:p>
        </w:tc>
        <w:tc>
          <w:tcPr>
            <w:tcW w:w="1276" w:type="dxa"/>
            <w:tcBorders>
              <w:top w:val="single" w:sz="6" w:space="0" w:color="auto"/>
              <w:left w:val="single" w:sz="6" w:space="0" w:color="auto"/>
              <w:bottom w:val="single" w:sz="6" w:space="0" w:color="auto"/>
              <w:right w:val="single" w:sz="6" w:space="0" w:color="auto"/>
            </w:tcBorders>
          </w:tcPr>
          <w:p w14:paraId="2BE9D7A9"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45032AA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159" w:type="dxa"/>
            <w:tcBorders>
              <w:top w:val="single" w:sz="6" w:space="0" w:color="auto"/>
              <w:left w:val="single" w:sz="6" w:space="0" w:color="auto"/>
              <w:bottom w:val="single" w:sz="6" w:space="0" w:color="auto"/>
              <w:right w:val="single" w:sz="6" w:space="0" w:color="auto"/>
            </w:tcBorders>
          </w:tcPr>
          <w:p w14:paraId="25878A8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NP, elektř.</w:t>
            </w:r>
          </w:p>
        </w:tc>
        <w:tc>
          <w:tcPr>
            <w:tcW w:w="2959" w:type="dxa"/>
            <w:tcBorders>
              <w:top w:val="single" w:sz="6" w:space="0" w:color="auto"/>
              <w:left w:val="single" w:sz="6" w:space="0" w:color="auto"/>
              <w:bottom w:val="single" w:sz="6" w:space="0" w:color="auto"/>
              <w:right w:val="single" w:sz="6" w:space="0" w:color="auto"/>
            </w:tcBorders>
          </w:tcPr>
          <w:p w14:paraId="5BDB2D2B"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178FFF71" w14:textId="77777777" w:rsidTr="002D2D45">
        <w:trPr>
          <w:jc w:val="center"/>
        </w:trPr>
        <w:tc>
          <w:tcPr>
            <w:tcW w:w="1418" w:type="dxa"/>
            <w:tcBorders>
              <w:top w:val="single" w:sz="6" w:space="0" w:color="auto"/>
              <w:left w:val="single" w:sz="6" w:space="0" w:color="auto"/>
              <w:bottom w:val="single" w:sz="6" w:space="0" w:color="auto"/>
              <w:right w:val="single" w:sz="6" w:space="0" w:color="auto"/>
            </w:tcBorders>
          </w:tcPr>
          <w:p w14:paraId="55661CE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Lesná</w:t>
            </w:r>
          </w:p>
        </w:tc>
        <w:tc>
          <w:tcPr>
            <w:tcW w:w="1276" w:type="dxa"/>
            <w:tcBorders>
              <w:top w:val="single" w:sz="6" w:space="0" w:color="auto"/>
              <w:left w:val="single" w:sz="6" w:space="0" w:color="auto"/>
              <w:bottom w:val="single" w:sz="6" w:space="0" w:color="auto"/>
              <w:right w:val="single" w:sz="6" w:space="0" w:color="auto"/>
            </w:tcBorders>
          </w:tcPr>
          <w:p w14:paraId="4970A882" w14:textId="77777777" w:rsidR="00D42621" w:rsidRPr="00D42621" w:rsidRDefault="00D42621" w:rsidP="00D42621">
            <w:pPr>
              <w:suppressAutoHyphens w:val="0"/>
              <w:autoSpaceDE w:val="0"/>
              <w:autoSpaceDN w:val="0"/>
              <w:adjustRightInd w:val="0"/>
              <w:spacing w:line="240" w:lineRule="atLeast"/>
              <w:ind w:firstLine="21"/>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050" w:type="dxa"/>
            <w:tcBorders>
              <w:top w:val="single" w:sz="6" w:space="0" w:color="auto"/>
              <w:left w:val="single" w:sz="6" w:space="0" w:color="auto"/>
              <w:bottom w:val="single" w:sz="6" w:space="0" w:color="auto"/>
              <w:right w:val="single" w:sz="6" w:space="0" w:color="auto"/>
            </w:tcBorders>
          </w:tcPr>
          <w:p w14:paraId="01FD701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elektř.</w:t>
            </w:r>
          </w:p>
        </w:tc>
        <w:tc>
          <w:tcPr>
            <w:tcW w:w="1159" w:type="dxa"/>
            <w:tcBorders>
              <w:top w:val="single" w:sz="6" w:space="0" w:color="auto"/>
              <w:left w:val="single" w:sz="6" w:space="0" w:color="auto"/>
              <w:bottom w:val="single" w:sz="6" w:space="0" w:color="auto"/>
              <w:right w:val="single" w:sz="6" w:space="0" w:color="auto"/>
            </w:tcBorders>
          </w:tcPr>
          <w:p w14:paraId="72C245F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NP, elektř.</w:t>
            </w:r>
          </w:p>
        </w:tc>
        <w:tc>
          <w:tcPr>
            <w:tcW w:w="2959" w:type="dxa"/>
            <w:tcBorders>
              <w:top w:val="single" w:sz="6" w:space="0" w:color="auto"/>
              <w:left w:val="single" w:sz="6" w:space="0" w:color="auto"/>
              <w:bottom w:val="single" w:sz="6" w:space="0" w:color="auto"/>
              <w:right w:val="single" w:sz="6" w:space="0" w:color="auto"/>
            </w:tcBorders>
          </w:tcPr>
          <w:p w14:paraId="22043C74"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6BB8F869" w14:textId="77777777" w:rsidTr="002D2D45">
        <w:trPr>
          <w:cantSplit/>
          <w:jc w:val="center"/>
        </w:trPr>
        <w:tc>
          <w:tcPr>
            <w:tcW w:w="7862" w:type="dxa"/>
            <w:gridSpan w:val="5"/>
            <w:tcBorders>
              <w:top w:val="single" w:sz="6" w:space="0" w:color="auto"/>
              <w:left w:val="single" w:sz="6" w:space="0" w:color="auto"/>
              <w:bottom w:val="single" w:sz="6" w:space="0" w:color="auto"/>
              <w:right w:val="single" w:sz="6" w:space="0" w:color="auto"/>
            </w:tcBorders>
            <w:vAlign w:val="bottom"/>
          </w:tcPr>
          <w:p w14:paraId="0A47489A" w14:textId="77777777" w:rsidR="00D42621" w:rsidRPr="00D42621" w:rsidRDefault="00D42621" w:rsidP="00D42621">
            <w:pPr>
              <w:suppressAutoHyphens w:val="0"/>
              <w:autoSpaceDE w:val="0"/>
              <w:autoSpaceDN w:val="0"/>
              <w:adjustRightInd w:val="0"/>
              <w:jc w:val="right"/>
              <w:rPr>
                <w:rFonts w:ascii="Arial" w:hAnsi="Arial"/>
                <w:color w:val="000000"/>
                <w:sz w:val="20"/>
                <w:szCs w:val="20"/>
                <w:lang w:eastAsia="cs-CZ"/>
              </w:rPr>
            </w:pPr>
            <w:r w:rsidRPr="00D42621">
              <w:rPr>
                <w:rFonts w:ascii="Arial" w:hAnsi="Arial"/>
                <w:color w:val="000000"/>
                <w:sz w:val="18"/>
                <w:szCs w:val="18"/>
                <w:lang w:eastAsia="cs-CZ"/>
              </w:rPr>
              <w:t>Poznámka : NP - paliva nezávislá na sítích</w:t>
            </w:r>
          </w:p>
        </w:tc>
      </w:tr>
    </w:tbl>
    <w:p w14:paraId="321EC463"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6160E7B3" w14:textId="77777777" w:rsidR="00D42621" w:rsidRPr="00D42621" w:rsidRDefault="00D42621" w:rsidP="00D42621">
      <w:pPr>
        <w:suppressAutoHyphens w:val="0"/>
        <w:autoSpaceDE w:val="0"/>
        <w:autoSpaceDN w:val="0"/>
        <w:adjustRightInd w:val="0"/>
        <w:spacing w:before="73" w:after="73" w:line="240" w:lineRule="atLeast"/>
        <w:rPr>
          <w:rFonts w:ascii="Arial" w:hAnsi="Arial"/>
          <w:b/>
          <w:bCs/>
          <w:caps/>
          <w:color w:val="000000"/>
          <w:sz w:val="20"/>
          <w:lang w:eastAsia="cs-CZ"/>
        </w:rPr>
      </w:pPr>
      <w:r w:rsidRPr="00D42621">
        <w:rPr>
          <w:rFonts w:ascii="Arial" w:hAnsi="Arial"/>
          <w:b/>
          <w:bCs/>
          <w:caps/>
          <w:color w:val="000000"/>
          <w:sz w:val="20"/>
          <w:lang w:eastAsia="cs-CZ"/>
        </w:rPr>
        <w:t>i.5.3. Rozvojové plochy a jejich energetická bilance</w:t>
      </w:r>
    </w:p>
    <w:p w14:paraId="5DA5A0C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61601E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Pro sestavení energetických bilancí byly použity následující směrnice energetických podniků :</w:t>
      </w:r>
    </w:p>
    <w:p w14:paraId="0554E92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581EB1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a/ pravidla pro elektrizační soustavu č. 2 (ČEZ, 1983)</w:t>
      </w:r>
    </w:p>
    <w:p w14:paraId="0423B9DB"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b/ směrnice ČPP č. 12 (ČPP, 1989)</w:t>
      </w:r>
    </w:p>
    <w:p w14:paraId="699DAF64"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c/ jednotná metodika pro bilancování tepla v oblastech a soustavách CZT (ČEZ, 1989)</w:t>
      </w:r>
    </w:p>
    <w:p w14:paraId="615E8F4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3AC867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Poměrně jednoznačně lze energeticky bilancovat plochy určené pro rozvoj bydlení (potřebný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výkon i práci). </w:t>
      </w:r>
      <w:r w:rsidRPr="00D42621">
        <w:rPr>
          <w:rFonts w:ascii="Arial" w:hAnsi="Arial"/>
          <w:color w:val="000000"/>
          <w:sz w:val="20"/>
          <w:szCs w:val="20"/>
          <w:lang w:eastAsia="cs-CZ"/>
        </w:rPr>
        <w:tab/>
      </w:r>
    </w:p>
    <w:p w14:paraId="0CAF68F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Plochy určené pro občanskou vybavenost jsou pro potřebu tepla bilancovány na základě údaje   </w:t>
      </w:r>
      <w:r w:rsidRPr="00D42621">
        <w:rPr>
          <w:rFonts w:ascii="Arial" w:hAnsi="Arial"/>
          <w:color w:val="000000"/>
          <w:sz w:val="20"/>
          <w:szCs w:val="20"/>
          <w:lang w:eastAsia="cs-CZ"/>
        </w:rPr>
        <w:tab/>
        <w:t xml:space="preserve">o obestavěném prostoru (jednoduchý výpočet pro určenou vnitřní teplotu, tepelnou </w:t>
      </w:r>
      <w:r w:rsidRPr="00D42621">
        <w:rPr>
          <w:rFonts w:ascii="Arial" w:hAnsi="Arial"/>
          <w:color w:val="000000"/>
          <w:sz w:val="20"/>
          <w:szCs w:val="20"/>
          <w:lang w:eastAsia="cs-CZ"/>
        </w:rPr>
        <w:tab/>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charakteristiku a klimatické podmínky). </w:t>
      </w:r>
    </w:p>
    <w:p w14:paraId="405B58A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Zcela nemožné je provedení energetických bilancí pro plochy určené k rozvoji ekonomické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základny, které nejsou přesněji definovány (v tabulce označeno hvězdičkou). Zde je pouze </w:t>
      </w:r>
      <w:r w:rsidRPr="00D42621">
        <w:rPr>
          <w:rFonts w:ascii="Arial" w:hAnsi="Arial"/>
          <w:color w:val="000000"/>
          <w:sz w:val="20"/>
          <w:szCs w:val="20"/>
          <w:lang w:eastAsia="cs-CZ"/>
        </w:rPr>
        <w:tab/>
      </w:r>
      <w:r w:rsidRPr="00D42621">
        <w:rPr>
          <w:rFonts w:ascii="Arial" w:hAnsi="Arial"/>
          <w:color w:val="000000"/>
          <w:sz w:val="20"/>
          <w:szCs w:val="20"/>
          <w:lang w:eastAsia="cs-CZ"/>
        </w:rPr>
        <w:tab/>
        <w:t xml:space="preserve">doporučena možnost napojení na stávající sítě, případně proveden velmi hrubý odhad. Dle </w:t>
      </w:r>
      <w:r w:rsidRPr="00D42621">
        <w:rPr>
          <w:rFonts w:ascii="Arial" w:hAnsi="Arial"/>
          <w:color w:val="000000"/>
          <w:sz w:val="20"/>
          <w:szCs w:val="20"/>
          <w:lang w:eastAsia="cs-CZ"/>
        </w:rPr>
        <w:tab/>
      </w:r>
      <w:r w:rsidRPr="00D42621">
        <w:rPr>
          <w:rFonts w:ascii="Arial" w:hAnsi="Arial"/>
          <w:color w:val="000000"/>
          <w:sz w:val="20"/>
          <w:szCs w:val="20"/>
          <w:lang w:eastAsia="cs-CZ"/>
        </w:rPr>
        <w:tab/>
        <w:t>skutečných požadavků jednotlivých investorů budou požadavky řešeny postupně a individuálně.</w:t>
      </w:r>
    </w:p>
    <w:p w14:paraId="0B64AEA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308BED3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Bilance jsou provedeny pouze pro plochy, které jsou určeny pro zastavění v návrhovém období, </w:t>
      </w:r>
      <w:r w:rsidRPr="00D42621">
        <w:rPr>
          <w:rFonts w:ascii="Arial" w:hAnsi="Arial"/>
          <w:color w:val="000000"/>
          <w:sz w:val="20"/>
          <w:szCs w:val="20"/>
          <w:lang w:eastAsia="cs-CZ"/>
        </w:rPr>
        <w:tab/>
        <w:t xml:space="preserve">tzn. do roku 2010. </w:t>
      </w:r>
    </w:p>
    <w:p w14:paraId="03174C1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FCDE4CB"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Veřejně prospěšné stavby pro energetické systémy jsou uvedeny v kapitole M této zprávy.</w:t>
      </w:r>
    </w:p>
    <w:p w14:paraId="08CF179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BC7DBAA" w14:textId="77777777" w:rsidR="00D42621" w:rsidRPr="00D42621" w:rsidRDefault="00D42621" w:rsidP="00D42621">
      <w:pPr>
        <w:suppressAutoHyphens w:val="0"/>
        <w:autoSpaceDE w:val="0"/>
        <w:autoSpaceDN w:val="0"/>
        <w:adjustRightInd w:val="0"/>
        <w:spacing w:line="240" w:lineRule="atLeast"/>
        <w:ind w:firstLine="720"/>
        <w:rPr>
          <w:rFonts w:ascii="Arial" w:hAnsi="Arial"/>
          <w:color w:val="000000"/>
          <w:sz w:val="20"/>
          <w:szCs w:val="20"/>
          <w:lang w:eastAsia="cs-CZ"/>
        </w:rPr>
      </w:pPr>
      <w:r w:rsidRPr="00D42621">
        <w:rPr>
          <w:rFonts w:ascii="Arial" w:hAnsi="Arial"/>
          <w:color w:val="000000"/>
          <w:sz w:val="20"/>
          <w:szCs w:val="20"/>
          <w:lang w:eastAsia="cs-CZ"/>
        </w:rPr>
        <w:t>Ochranná pásma energetických zařízení jsou uvedena v kapitole D této zprávy.</w:t>
      </w:r>
    </w:p>
    <w:p w14:paraId="0D42AEE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523C727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4010371" w14:textId="77777777" w:rsidR="00D42621" w:rsidRPr="00D42621" w:rsidRDefault="00D42621" w:rsidP="00D42621">
      <w:pPr>
        <w:suppressAutoHyphens w:val="0"/>
        <w:autoSpaceDE w:val="0"/>
        <w:autoSpaceDN w:val="0"/>
        <w:adjustRightInd w:val="0"/>
        <w:spacing w:before="56" w:after="56" w:line="240" w:lineRule="atLeast"/>
        <w:ind w:left="680" w:hanging="680"/>
        <w:rPr>
          <w:rFonts w:ascii="Arial" w:hAnsi="Arial"/>
          <w:b/>
          <w:bCs/>
          <w:caps/>
          <w:color w:val="000000"/>
          <w:sz w:val="32"/>
          <w:szCs w:val="32"/>
          <w:lang w:eastAsia="cs-CZ"/>
        </w:rPr>
      </w:pPr>
      <w:r w:rsidRPr="00D42621">
        <w:rPr>
          <w:rFonts w:ascii="Arial" w:hAnsi="Arial"/>
          <w:b/>
          <w:bCs/>
          <w:caps/>
          <w:color w:val="000000"/>
          <w:sz w:val="32"/>
          <w:szCs w:val="32"/>
          <w:lang w:eastAsia="cs-CZ"/>
        </w:rPr>
        <w:t>I.6.  Spoje</w:t>
      </w:r>
    </w:p>
    <w:p w14:paraId="65EE04A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7366026"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Pro přehlednost je řešené území rozděleno do sektorů a jednotlivé plochy v sektorech jsou číslovány pořadovými čísly. Popis rozvojových ploch a jejich energetická bilance je zpracována tabelárně.</w:t>
      </w:r>
    </w:p>
    <w:p w14:paraId="7C1382F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1393628C" w14:textId="77777777" w:rsidR="00D42621" w:rsidRPr="00D42621" w:rsidRDefault="00D42621" w:rsidP="00D42621">
      <w:pPr>
        <w:suppressAutoHyphens w:val="0"/>
        <w:autoSpaceDE w:val="0"/>
        <w:autoSpaceDN w:val="0"/>
        <w:adjustRightInd w:val="0"/>
        <w:spacing w:before="73" w:after="73" w:line="240" w:lineRule="atLeast"/>
        <w:rPr>
          <w:rFonts w:ascii="Arial" w:hAnsi="Arial"/>
          <w:b/>
          <w:bCs/>
          <w:caps/>
          <w:color w:val="000000"/>
          <w:sz w:val="20"/>
          <w:lang w:eastAsia="cs-CZ"/>
        </w:rPr>
      </w:pPr>
      <w:r w:rsidRPr="00D42621">
        <w:rPr>
          <w:rFonts w:ascii="Arial" w:hAnsi="Arial"/>
          <w:b/>
          <w:bCs/>
          <w:caps/>
          <w:color w:val="000000"/>
          <w:sz w:val="20"/>
          <w:lang w:eastAsia="cs-CZ"/>
        </w:rPr>
        <w:t>I.6.1. Úvod</w:t>
      </w:r>
    </w:p>
    <w:p w14:paraId="1838463D"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color w:val="000000"/>
          <w:sz w:val="20"/>
          <w:szCs w:val="20"/>
          <w:lang w:eastAsia="cs-CZ"/>
        </w:rPr>
        <w:t>Návrh územního plánu, obor spoje, byl zpracován na základě těchto informací a materiálů :</w:t>
      </w:r>
    </w:p>
    <w:p w14:paraId="41EB608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STP Telekom, Telekomunikační obvod Děčín</w:t>
      </w:r>
    </w:p>
    <w:p w14:paraId="7DE3417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schválené souborné stanovisko pro dokončení ÚPN (9/1999)</w:t>
      </w:r>
    </w:p>
    <w:p w14:paraId="12530F9B"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koncept ÚPN města (9/1997)</w:t>
      </w:r>
    </w:p>
    <w:p w14:paraId="178A6894"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informace MěÚ Děčín.</w:t>
      </w:r>
    </w:p>
    <w:p w14:paraId="33DAC33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informace a.s. České radiokomunikace  Praha</w:t>
      </w:r>
    </w:p>
    <w:p w14:paraId="6A80F45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informace MV ČR</w:t>
      </w:r>
    </w:p>
    <w:p w14:paraId="7029BC9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informace firmy Media TES a.s.</w:t>
      </w:r>
    </w:p>
    <w:p w14:paraId="0C35B02D"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Grafická příloha je zpracována vměřítcích 1 : 5 000 a 1 : 10 000, všechny mají stejný grafický </w:t>
      </w:r>
      <w:r w:rsidRPr="00D42621">
        <w:rPr>
          <w:rFonts w:ascii="Arial" w:hAnsi="Arial"/>
          <w:color w:val="000000"/>
          <w:sz w:val="20"/>
          <w:szCs w:val="20"/>
          <w:lang w:eastAsia="cs-CZ"/>
        </w:rPr>
        <w:tab/>
      </w:r>
      <w:r w:rsidRPr="00D42621">
        <w:rPr>
          <w:rFonts w:ascii="Arial" w:hAnsi="Arial"/>
          <w:color w:val="000000"/>
          <w:sz w:val="20"/>
          <w:szCs w:val="20"/>
          <w:lang w:eastAsia="cs-CZ"/>
        </w:rPr>
        <w:tab/>
        <w:t>klíč a číselné označení koresponduje s textovou částí.</w:t>
      </w:r>
    </w:p>
    <w:p w14:paraId="02B4596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5BD7BBCF" w14:textId="77777777" w:rsidR="00D42621" w:rsidRPr="00D42621" w:rsidRDefault="00D42621" w:rsidP="00D42621">
      <w:pPr>
        <w:suppressAutoHyphens w:val="0"/>
        <w:autoSpaceDE w:val="0"/>
        <w:autoSpaceDN w:val="0"/>
        <w:adjustRightInd w:val="0"/>
        <w:spacing w:before="73" w:after="73" w:line="240" w:lineRule="atLeast"/>
        <w:rPr>
          <w:rFonts w:ascii="Arial" w:hAnsi="Arial"/>
          <w:b/>
          <w:bCs/>
          <w:caps/>
          <w:color w:val="000000"/>
          <w:sz w:val="20"/>
          <w:lang w:eastAsia="cs-CZ"/>
        </w:rPr>
      </w:pPr>
      <w:r w:rsidRPr="00D42621">
        <w:rPr>
          <w:rFonts w:ascii="Arial" w:hAnsi="Arial"/>
          <w:b/>
          <w:bCs/>
          <w:caps/>
          <w:color w:val="000000"/>
          <w:sz w:val="20"/>
          <w:lang w:eastAsia="cs-CZ"/>
        </w:rPr>
        <w:t>i.6.2. Telekomunikace</w:t>
      </w:r>
    </w:p>
    <w:p w14:paraId="7E4CCEC9"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63A5FD03"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Řešené území je součástí středového místního telefonního obvodu Děčín, dále pak uzlového telefonního obvodu Děčín.  </w:t>
      </w:r>
    </w:p>
    <w:p w14:paraId="71E8500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Modernizace jednotné telekomunikační sítě v uplynulých letech rychle postupovala a v současné době je prakticky dokončena. Poslední dokončovanou oblastí jsou sídla Prostřední a Horní Žleb (do provozu v 8/2000). Modernizace sítě umožnila plně pokrýt požadavky po zavedení telefonů. Všechny ústředny jsou vybaveny digitální technologií.</w:t>
      </w:r>
    </w:p>
    <w:p w14:paraId="78521020"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7F418CD7" w14:textId="77777777" w:rsidR="00D42621" w:rsidRPr="00D42621" w:rsidRDefault="00D42621" w:rsidP="00D42621">
      <w:pPr>
        <w:suppressAutoHyphens w:val="0"/>
        <w:autoSpaceDE w:val="0"/>
        <w:autoSpaceDN w:val="0"/>
        <w:adjustRightInd w:val="0"/>
        <w:spacing w:line="240" w:lineRule="atLeast"/>
        <w:ind w:firstLine="567"/>
        <w:rPr>
          <w:rFonts w:ascii="Arial" w:hAnsi="Arial"/>
          <w:caps/>
          <w:color w:val="000000"/>
          <w:sz w:val="20"/>
          <w:szCs w:val="20"/>
          <w:lang w:eastAsia="cs-CZ"/>
        </w:rPr>
      </w:pPr>
      <w:r w:rsidRPr="00D42621">
        <w:rPr>
          <w:rFonts w:ascii="Arial" w:hAnsi="Arial"/>
          <w:caps/>
          <w:color w:val="000000"/>
          <w:sz w:val="20"/>
          <w:szCs w:val="20"/>
          <w:lang w:eastAsia="cs-CZ"/>
        </w:rPr>
        <w:tab/>
      </w:r>
      <w:r w:rsidRPr="00D42621">
        <w:rPr>
          <w:rFonts w:ascii="Arial" w:hAnsi="Arial"/>
          <w:caps/>
          <w:color w:val="000000"/>
          <w:sz w:val="20"/>
          <w:szCs w:val="20"/>
          <w:lang w:eastAsia="cs-CZ"/>
        </w:rPr>
        <w:tab/>
        <w:t xml:space="preserve">   Přehled telekomunikačních uzlů v řešeném území </w:t>
      </w:r>
    </w:p>
    <w:p w14:paraId="10C4FFA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709"/>
        <w:gridCol w:w="2740"/>
        <w:gridCol w:w="2264"/>
      </w:tblGrid>
      <w:tr w:rsidR="00D42621" w:rsidRPr="00D42621" w14:paraId="13AF8A4C" w14:textId="77777777" w:rsidTr="002D2D45">
        <w:trPr>
          <w:jc w:val="center"/>
        </w:trPr>
        <w:tc>
          <w:tcPr>
            <w:tcW w:w="709" w:type="dxa"/>
            <w:tcBorders>
              <w:top w:val="single" w:sz="6" w:space="0" w:color="auto"/>
              <w:left w:val="single" w:sz="6" w:space="0" w:color="auto"/>
              <w:bottom w:val="single" w:sz="6" w:space="0" w:color="auto"/>
              <w:right w:val="single" w:sz="6" w:space="0" w:color="auto"/>
            </w:tcBorders>
          </w:tcPr>
          <w:p w14:paraId="708F902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číslo</w:t>
            </w:r>
          </w:p>
        </w:tc>
        <w:tc>
          <w:tcPr>
            <w:tcW w:w="2740" w:type="dxa"/>
            <w:tcBorders>
              <w:top w:val="single" w:sz="6" w:space="0" w:color="auto"/>
              <w:left w:val="single" w:sz="6" w:space="0" w:color="auto"/>
              <w:bottom w:val="single" w:sz="6" w:space="0" w:color="auto"/>
              <w:right w:val="single" w:sz="6" w:space="0" w:color="auto"/>
            </w:tcBorders>
          </w:tcPr>
          <w:p w14:paraId="4E9987F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název  ústředny</w:t>
            </w:r>
          </w:p>
        </w:tc>
        <w:tc>
          <w:tcPr>
            <w:tcW w:w="2264" w:type="dxa"/>
            <w:tcBorders>
              <w:top w:val="single" w:sz="6" w:space="0" w:color="auto"/>
              <w:left w:val="single" w:sz="6" w:space="0" w:color="auto"/>
              <w:bottom w:val="single" w:sz="6" w:space="0" w:color="auto"/>
              <w:right w:val="single" w:sz="6" w:space="0" w:color="auto"/>
            </w:tcBorders>
          </w:tcPr>
          <w:p w14:paraId="73014B3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počet možných přípojek</w:t>
            </w:r>
          </w:p>
        </w:tc>
      </w:tr>
      <w:tr w:rsidR="00D42621" w:rsidRPr="00D42621" w14:paraId="01E3450E" w14:textId="77777777" w:rsidTr="002D2D45">
        <w:trPr>
          <w:jc w:val="center"/>
        </w:trPr>
        <w:tc>
          <w:tcPr>
            <w:tcW w:w="709" w:type="dxa"/>
            <w:tcBorders>
              <w:top w:val="single" w:sz="6" w:space="0" w:color="auto"/>
              <w:left w:val="single" w:sz="6" w:space="0" w:color="auto"/>
              <w:bottom w:val="single" w:sz="6" w:space="0" w:color="auto"/>
              <w:right w:val="single" w:sz="6" w:space="0" w:color="auto"/>
            </w:tcBorders>
          </w:tcPr>
          <w:p w14:paraId="50594F4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1</w:t>
            </w:r>
          </w:p>
        </w:tc>
        <w:tc>
          <w:tcPr>
            <w:tcW w:w="2740" w:type="dxa"/>
            <w:tcBorders>
              <w:top w:val="single" w:sz="6" w:space="0" w:color="auto"/>
              <w:left w:val="single" w:sz="6" w:space="0" w:color="auto"/>
              <w:bottom w:val="single" w:sz="6" w:space="0" w:color="auto"/>
              <w:right w:val="single" w:sz="6" w:space="0" w:color="auto"/>
            </w:tcBorders>
          </w:tcPr>
          <w:p w14:paraId="0D42AC6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Děčín, hlavní ústředna</w:t>
            </w:r>
          </w:p>
        </w:tc>
        <w:tc>
          <w:tcPr>
            <w:tcW w:w="2264" w:type="dxa"/>
            <w:tcBorders>
              <w:top w:val="single" w:sz="6" w:space="0" w:color="auto"/>
              <w:left w:val="single" w:sz="6" w:space="0" w:color="auto"/>
              <w:bottom w:val="single" w:sz="6" w:space="0" w:color="auto"/>
              <w:right w:val="single" w:sz="6" w:space="0" w:color="auto"/>
            </w:tcBorders>
          </w:tcPr>
          <w:p w14:paraId="51DC0CC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4 370</w:t>
            </w:r>
          </w:p>
        </w:tc>
      </w:tr>
      <w:tr w:rsidR="00D42621" w:rsidRPr="00D42621" w14:paraId="5871B3BC" w14:textId="77777777" w:rsidTr="002D2D45">
        <w:trPr>
          <w:jc w:val="center"/>
        </w:trPr>
        <w:tc>
          <w:tcPr>
            <w:tcW w:w="709" w:type="dxa"/>
            <w:tcBorders>
              <w:top w:val="single" w:sz="6" w:space="0" w:color="auto"/>
              <w:left w:val="single" w:sz="6" w:space="0" w:color="auto"/>
              <w:bottom w:val="single" w:sz="6" w:space="0" w:color="auto"/>
              <w:right w:val="single" w:sz="6" w:space="0" w:color="auto"/>
            </w:tcBorders>
          </w:tcPr>
          <w:p w14:paraId="06DCC8E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2</w:t>
            </w:r>
          </w:p>
        </w:tc>
        <w:tc>
          <w:tcPr>
            <w:tcW w:w="2740" w:type="dxa"/>
            <w:tcBorders>
              <w:top w:val="single" w:sz="6" w:space="0" w:color="auto"/>
              <w:left w:val="single" w:sz="6" w:space="0" w:color="auto"/>
              <w:bottom w:val="single" w:sz="6" w:space="0" w:color="auto"/>
              <w:right w:val="single" w:sz="6" w:space="0" w:color="auto"/>
            </w:tcBorders>
          </w:tcPr>
          <w:p w14:paraId="5F1352A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Podmokly</w:t>
            </w:r>
          </w:p>
        </w:tc>
        <w:tc>
          <w:tcPr>
            <w:tcW w:w="2264" w:type="dxa"/>
            <w:tcBorders>
              <w:top w:val="single" w:sz="6" w:space="0" w:color="auto"/>
              <w:left w:val="single" w:sz="6" w:space="0" w:color="auto"/>
              <w:bottom w:val="single" w:sz="6" w:space="0" w:color="auto"/>
              <w:right w:val="single" w:sz="6" w:space="0" w:color="auto"/>
            </w:tcBorders>
          </w:tcPr>
          <w:p w14:paraId="0357C01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2 100</w:t>
            </w:r>
          </w:p>
        </w:tc>
      </w:tr>
      <w:tr w:rsidR="00D42621" w:rsidRPr="00D42621" w14:paraId="04A07E99" w14:textId="77777777" w:rsidTr="002D2D45">
        <w:trPr>
          <w:jc w:val="center"/>
        </w:trPr>
        <w:tc>
          <w:tcPr>
            <w:tcW w:w="709" w:type="dxa"/>
            <w:tcBorders>
              <w:top w:val="single" w:sz="6" w:space="0" w:color="auto"/>
              <w:left w:val="single" w:sz="6" w:space="0" w:color="auto"/>
              <w:bottom w:val="single" w:sz="6" w:space="0" w:color="auto"/>
              <w:right w:val="single" w:sz="6" w:space="0" w:color="auto"/>
            </w:tcBorders>
          </w:tcPr>
          <w:p w14:paraId="1D090AA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3</w:t>
            </w:r>
          </w:p>
        </w:tc>
        <w:tc>
          <w:tcPr>
            <w:tcW w:w="2740" w:type="dxa"/>
            <w:tcBorders>
              <w:top w:val="single" w:sz="6" w:space="0" w:color="auto"/>
              <w:left w:val="single" w:sz="6" w:space="0" w:color="auto"/>
              <w:bottom w:val="single" w:sz="6" w:space="0" w:color="auto"/>
              <w:right w:val="single" w:sz="6" w:space="0" w:color="auto"/>
            </w:tcBorders>
          </w:tcPr>
          <w:p w14:paraId="7EEAEDA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 xml:space="preserve">Letná </w:t>
            </w:r>
          </w:p>
        </w:tc>
        <w:tc>
          <w:tcPr>
            <w:tcW w:w="2264" w:type="dxa"/>
            <w:tcBorders>
              <w:top w:val="single" w:sz="6" w:space="0" w:color="auto"/>
              <w:left w:val="single" w:sz="6" w:space="0" w:color="auto"/>
              <w:bottom w:val="single" w:sz="6" w:space="0" w:color="auto"/>
              <w:right w:val="single" w:sz="6" w:space="0" w:color="auto"/>
            </w:tcBorders>
          </w:tcPr>
          <w:p w14:paraId="15AC0DF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1 270</w:t>
            </w:r>
          </w:p>
        </w:tc>
      </w:tr>
      <w:tr w:rsidR="00D42621" w:rsidRPr="00D42621" w14:paraId="0636C3D2" w14:textId="77777777" w:rsidTr="002D2D45">
        <w:trPr>
          <w:jc w:val="center"/>
        </w:trPr>
        <w:tc>
          <w:tcPr>
            <w:tcW w:w="709" w:type="dxa"/>
            <w:tcBorders>
              <w:top w:val="single" w:sz="6" w:space="0" w:color="auto"/>
              <w:left w:val="single" w:sz="6" w:space="0" w:color="auto"/>
              <w:bottom w:val="single" w:sz="6" w:space="0" w:color="auto"/>
              <w:right w:val="single" w:sz="6" w:space="0" w:color="auto"/>
            </w:tcBorders>
          </w:tcPr>
          <w:p w14:paraId="1C255A1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4</w:t>
            </w:r>
          </w:p>
        </w:tc>
        <w:tc>
          <w:tcPr>
            <w:tcW w:w="2740" w:type="dxa"/>
            <w:tcBorders>
              <w:top w:val="single" w:sz="6" w:space="0" w:color="auto"/>
              <w:left w:val="single" w:sz="6" w:space="0" w:color="auto"/>
              <w:bottom w:val="single" w:sz="6" w:space="0" w:color="auto"/>
              <w:right w:val="single" w:sz="6" w:space="0" w:color="auto"/>
            </w:tcBorders>
          </w:tcPr>
          <w:p w14:paraId="5FFE327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Želenice</w:t>
            </w:r>
          </w:p>
        </w:tc>
        <w:tc>
          <w:tcPr>
            <w:tcW w:w="2264" w:type="dxa"/>
            <w:tcBorders>
              <w:top w:val="single" w:sz="6" w:space="0" w:color="auto"/>
              <w:left w:val="single" w:sz="6" w:space="0" w:color="auto"/>
              <w:bottom w:val="single" w:sz="6" w:space="0" w:color="auto"/>
              <w:right w:val="single" w:sz="6" w:space="0" w:color="auto"/>
            </w:tcBorders>
          </w:tcPr>
          <w:p w14:paraId="35E3FB9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2 100</w:t>
            </w:r>
          </w:p>
        </w:tc>
      </w:tr>
      <w:tr w:rsidR="00D42621" w:rsidRPr="00D42621" w14:paraId="68BA46CF" w14:textId="77777777" w:rsidTr="002D2D45">
        <w:trPr>
          <w:jc w:val="center"/>
        </w:trPr>
        <w:tc>
          <w:tcPr>
            <w:tcW w:w="709" w:type="dxa"/>
            <w:tcBorders>
              <w:top w:val="single" w:sz="6" w:space="0" w:color="auto"/>
              <w:left w:val="single" w:sz="6" w:space="0" w:color="auto"/>
              <w:bottom w:val="single" w:sz="6" w:space="0" w:color="auto"/>
              <w:right w:val="single" w:sz="6" w:space="0" w:color="auto"/>
            </w:tcBorders>
          </w:tcPr>
          <w:p w14:paraId="7E02F01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5</w:t>
            </w:r>
          </w:p>
        </w:tc>
        <w:tc>
          <w:tcPr>
            <w:tcW w:w="2740" w:type="dxa"/>
            <w:tcBorders>
              <w:top w:val="single" w:sz="6" w:space="0" w:color="auto"/>
              <w:left w:val="single" w:sz="6" w:space="0" w:color="auto"/>
              <w:bottom w:val="single" w:sz="6" w:space="0" w:color="auto"/>
              <w:right w:val="single" w:sz="6" w:space="0" w:color="auto"/>
            </w:tcBorders>
          </w:tcPr>
          <w:p w14:paraId="51C22B1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Boletice</w:t>
            </w:r>
          </w:p>
        </w:tc>
        <w:tc>
          <w:tcPr>
            <w:tcW w:w="2264" w:type="dxa"/>
            <w:tcBorders>
              <w:top w:val="single" w:sz="6" w:space="0" w:color="auto"/>
              <w:left w:val="single" w:sz="6" w:space="0" w:color="auto"/>
              <w:bottom w:val="single" w:sz="6" w:space="0" w:color="auto"/>
              <w:right w:val="single" w:sz="6" w:space="0" w:color="auto"/>
            </w:tcBorders>
          </w:tcPr>
          <w:p w14:paraId="20FB6E1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1 700</w:t>
            </w:r>
          </w:p>
        </w:tc>
      </w:tr>
      <w:tr w:rsidR="00D42621" w:rsidRPr="00D42621" w14:paraId="2A30F49D" w14:textId="77777777" w:rsidTr="002D2D45">
        <w:trPr>
          <w:jc w:val="center"/>
        </w:trPr>
        <w:tc>
          <w:tcPr>
            <w:tcW w:w="709" w:type="dxa"/>
            <w:tcBorders>
              <w:top w:val="single" w:sz="6" w:space="0" w:color="auto"/>
              <w:left w:val="single" w:sz="6" w:space="0" w:color="auto"/>
              <w:bottom w:val="single" w:sz="6" w:space="0" w:color="auto"/>
              <w:right w:val="single" w:sz="6" w:space="0" w:color="auto"/>
            </w:tcBorders>
          </w:tcPr>
          <w:p w14:paraId="4D3B5BB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lastRenderedPageBreak/>
              <w:t>6</w:t>
            </w:r>
          </w:p>
        </w:tc>
        <w:tc>
          <w:tcPr>
            <w:tcW w:w="2740" w:type="dxa"/>
            <w:tcBorders>
              <w:top w:val="single" w:sz="6" w:space="0" w:color="auto"/>
              <w:left w:val="single" w:sz="6" w:space="0" w:color="auto"/>
              <w:bottom w:val="single" w:sz="6" w:space="0" w:color="auto"/>
              <w:right w:val="single" w:sz="6" w:space="0" w:color="auto"/>
            </w:tcBorders>
          </w:tcPr>
          <w:p w14:paraId="793AB0F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Březiny</w:t>
            </w:r>
          </w:p>
        </w:tc>
        <w:tc>
          <w:tcPr>
            <w:tcW w:w="2264" w:type="dxa"/>
            <w:tcBorders>
              <w:top w:val="single" w:sz="6" w:space="0" w:color="auto"/>
              <w:left w:val="single" w:sz="6" w:space="0" w:color="auto"/>
              <w:bottom w:val="single" w:sz="6" w:space="0" w:color="auto"/>
              <w:right w:val="single" w:sz="6" w:space="0" w:color="auto"/>
            </w:tcBorders>
          </w:tcPr>
          <w:p w14:paraId="5BA37E4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512</w:t>
            </w:r>
          </w:p>
        </w:tc>
      </w:tr>
      <w:tr w:rsidR="00D42621" w:rsidRPr="00D42621" w14:paraId="1A34D187" w14:textId="77777777" w:rsidTr="002D2D45">
        <w:trPr>
          <w:jc w:val="center"/>
        </w:trPr>
        <w:tc>
          <w:tcPr>
            <w:tcW w:w="709" w:type="dxa"/>
            <w:tcBorders>
              <w:top w:val="single" w:sz="6" w:space="0" w:color="auto"/>
              <w:left w:val="single" w:sz="6" w:space="0" w:color="auto"/>
              <w:bottom w:val="single" w:sz="6" w:space="0" w:color="auto"/>
              <w:right w:val="single" w:sz="6" w:space="0" w:color="auto"/>
            </w:tcBorders>
          </w:tcPr>
          <w:p w14:paraId="3324FE0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7</w:t>
            </w:r>
          </w:p>
        </w:tc>
        <w:tc>
          <w:tcPr>
            <w:tcW w:w="2740" w:type="dxa"/>
            <w:tcBorders>
              <w:top w:val="single" w:sz="6" w:space="0" w:color="auto"/>
              <w:left w:val="single" w:sz="6" w:space="0" w:color="auto"/>
              <w:bottom w:val="single" w:sz="6" w:space="0" w:color="auto"/>
              <w:right w:val="single" w:sz="6" w:space="0" w:color="auto"/>
            </w:tcBorders>
          </w:tcPr>
          <w:p w14:paraId="2D3342D1"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Bynov</w:t>
            </w:r>
          </w:p>
        </w:tc>
        <w:tc>
          <w:tcPr>
            <w:tcW w:w="2264" w:type="dxa"/>
            <w:tcBorders>
              <w:top w:val="single" w:sz="6" w:space="0" w:color="auto"/>
              <w:left w:val="single" w:sz="6" w:space="0" w:color="auto"/>
              <w:bottom w:val="single" w:sz="6" w:space="0" w:color="auto"/>
              <w:right w:val="single" w:sz="6" w:space="0" w:color="auto"/>
            </w:tcBorders>
          </w:tcPr>
          <w:p w14:paraId="22971CB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1 600</w:t>
            </w:r>
          </w:p>
        </w:tc>
      </w:tr>
      <w:tr w:rsidR="00D42621" w:rsidRPr="00D42621" w14:paraId="19EB1BA7" w14:textId="77777777" w:rsidTr="002D2D45">
        <w:trPr>
          <w:jc w:val="center"/>
        </w:trPr>
        <w:tc>
          <w:tcPr>
            <w:tcW w:w="709" w:type="dxa"/>
            <w:tcBorders>
              <w:top w:val="single" w:sz="6" w:space="0" w:color="auto"/>
              <w:left w:val="single" w:sz="6" w:space="0" w:color="auto"/>
              <w:bottom w:val="single" w:sz="6" w:space="0" w:color="auto"/>
              <w:right w:val="single" w:sz="6" w:space="0" w:color="auto"/>
            </w:tcBorders>
          </w:tcPr>
          <w:p w14:paraId="7756DAF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8</w:t>
            </w:r>
          </w:p>
        </w:tc>
        <w:tc>
          <w:tcPr>
            <w:tcW w:w="2740" w:type="dxa"/>
            <w:tcBorders>
              <w:top w:val="single" w:sz="6" w:space="0" w:color="auto"/>
              <w:left w:val="single" w:sz="6" w:space="0" w:color="auto"/>
              <w:bottom w:val="single" w:sz="6" w:space="0" w:color="auto"/>
              <w:right w:val="single" w:sz="6" w:space="0" w:color="auto"/>
            </w:tcBorders>
          </w:tcPr>
          <w:p w14:paraId="5A1C2FE4"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Bělá</w:t>
            </w:r>
          </w:p>
        </w:tc>
        <w:tc>
          <w:tcPr>
            <w:tcW w:w="2264" w:type="dxa"/>
            <w:tcBorders>
              <w:top w:val="single" w:sz="6" w:space="0" w:color="auto"/>
              <w:left w:val="single" w:sz="6" w:space="0" w:color="auto"/>
              <w:bottom w:val="single" w:sz="6" w:space="0" w:color="auto"/>
              <w:right w:val="single" w:sz="6" w:space="0" w:color="auto"/>
            </w:tcBorders>
          </w:tcPr>
          <w:p w14:paraId="0666342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500</w:t>
            </w:r>
          </w:p>
        </w:tc>
      </w:tr>
      <w:tr w:rsidR="00D42621" w:rsidRPr="00D42621" w14:paraId="3C46C2C3" w14:textId="77777777" w:rsidTr="002D2D45">
        <w:trPr>
          <w:jc w:val="center"/>
        </w:trPr>
        <w:tc>
          <w:tcPr>
            <w:tcW w:w="709" w:type="dxa"/>
            <w:tcBorders>
              <w:top w:val="single" w:sz="6" w:space="0" w:color="auto"/>
              <w:left w:val="single" w:sz="6" w:space="0" w:color="auto"/>
              <w:bottom w:val="single" w:sz="6" w:space="0" w:color="auto"/>
              <w:right w:val="single" w:sz="6" w:space="0" w:color="auto"/>
            </w:tcBorders>
          </w:tcPr>
          <w:p w14:paraId="6B908F9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9</w:t>
            </w:r>
          </w:p>
        </w:tc>
        <w:tc>
          <w:tcPr>
            <w:tcW w:w="2740" w:type="dxa"/>
            <w:tcBorders>
              <w:top w:val="single" w:sz="6" w:space="0" w:color="auto"/>
              <w:left w:val="single" w:sz="6" w:space="0" w:color="auto"/>
              <w:bottom w:val="single" w:sz="6" w:space="0" w:color="auto"/>
              <w:right w:val="single" w:sz="6" w:space="0" w:color="auto"/>
            </w:tcBorders>
          </w:tcPr>
          <w:p w14:paraId="23E156F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Kamenická</w:t>
            </w:r>
          </w:p>
        </w:tc>
        <w:tc>
          <w:tcPr>
            <w:tcW w:w="2264" w:type="dxa"/>
            <w:tcBorders>
              <w:top w:val="single" w:sz="6" w:space="0" w:color="auto"/>
              <w:left w:val="single" w:sz="6" w:space="0" w:color="auto"/>
              <w:bottom w:val="single" w:sz="6" w:space="0" w:color="auto"/>
              <w:right w:val="single" w:sz="6" w:space="0" w:color="auto"/>
            </w:tcBorders>
          </w:tcPr>
          <w:p w14:paraId="16D31E8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3 000</w:t>
            </w:r>
          </w:p>
        </w:tc>
      </w:tr>
    </w:tbl>
    <w:p w14:paraId="01AA82A5"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05629237"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Rozvojové plochy pro bydlení se navrhuje 100% telefonizovat. U ploch určených k rozvoji občanské vybavenosti a podnikání bude vytvořena rezerva.</w:t>
      </w:r>
    </w:p>
    <w:p w14:paraId="31900A25"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Níže je uveden počet telefonních přípojek v jednotlivých sektorech odpovídající navrženým rozvojovým plochám.</w:t>
      </w:r>
    </w:p>
    <w:p w14:paraId="7DE206D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tbl>
      <w:tblPr>
        <w:tblW w:w="0" w:type="auto"/>
        <w:jc w:val="center"/>
        <w:tblLayout w:type="fixed"/>
        <w:tblCellMar>
          <w:left w:w="42" w:type="dxa"/>
          <w:right w:w="42" w:type="dxa"/>
        </w:tblCellMar>
        <w:tblLook w:val="0000" w:firstRow="0" w:lastRow="0" w:firstColumn="0" w:lastColumn="0" w:noHBand="0" w:noVBand="0"/>
      </w:tblPr>
      <w:tblGrid>
        <w:gridCol w:w="696"/>
        <w:gridCol w:w="2673"/>
        <w:gridCol w:w="1622"/>
        <w:gridCol w:w="2318"/>
      </w:tblGrid>
      <w:tr w:rsidR="00D42621" w:rsidRPr="00D42621" w14:paraId="11043A35" w14:textId="77777777" w:rsidTr="002D2D45">
        <w:trPr>
          <w:jc w:val="center"/>
        </w:trPr>
        <w:tc>
          <w:tcPr>
            <w:tcW w:w="3369" w:type="dxa"/>
            <w:gridSpan w:val="2"/>
            <w:tcBorders>
              <w:top w:val="single" w:sz="6" w:space="0" w:color="auto"/>
              <w:left w:val="single" w:sz="6" w:space="0" w:color="auto"/>
              <w:bottom w:val="single" w:sz="6" w:space="0" w:color="auto"/>
              <w:right w:val="single" w:sz="6" w:space="0" w:color="auto"/>
            </w:tcBorders>
          </w:tcPr>
          <w:p w14:paraId="632C8BA1" w14:textId="77777777" w:rsidR="00D42621" w:rsidRPr="00D42621" w:rsidRDefault="00D42621" w:rsidP="00D42621">
            <w:pPr>
              <w:suppressAutoHyphens w:val="0"/>
              <w:autoSpaceDE w:val="0"/>
              <w:autoSpaceDN w:val="0"/>
              <w:adjustRightInd w:val="0"/>
              <w:spacing w:line="240" w:lineRule="atLeast"/>
              <w:ind w:firstLine="567"/>
              <w:jc w:val="center"/>
              <w:rPr>
                <w:rFonts w:ascii="Arial" w:hAnsi="Arial"/>
                <w:color w:val="000000"/>
                <w:sz w:val="20"/>
                <w:szCs w:val="20"/>
                <w:lang w:eastAsia="cs-CZ"/>
              </w:rPr>
            </w:pPr>
            <w:r w:rsidRPr="00D42621">
              <w:rPr>
                <w:rFonts w:ascii="Arial" w:hAnsi="Arial"/>
                <w:b/>
                <w:bCs/>
                <w:color w:val="000000"/>
                <w:sz w:val="18"/>
                <w:szCs w:val="18"/>
                <w:lang w:eastAsia="cs-CZ"/>
              </w:rPr>
              <w:t>městský  sektor</w:t>
            </w:r>
          </w:p>
        </w:tc>
        <w:tc>
          <w:tcPr>
            <w:tcW w:w="1622" w:type="dxa"/>
            <w:tcBorders>
              <w:top w:val="single" w:sz="6" w:space="0" w:color="auto"/>
              <w:left w:val="single" w:sz="6" w:space="0" w:color="auto"/>
              <w:bottom w:val="single" w:sz="6" w:space="0" w:color="auto"/>
              <w:right w:val="single" w:sz="6" w:space="0" w:color="auto"/>
            </w:tcBorders>
          </w:tcPr>
          <w:p w14:paraId="3EF57FE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byty, RD</w:t>
            </w:r>
          </w:p>
        </w:tc>
        <w:tc>
          <w:tcPr>
            <w:tcW w:w="2318" w:type="dxa"/>
            <w:tcBorders>
              <w:top w:val="single" w:sz="6" w:space="0" w:color="auto"/>
              <w:left w:val="single" w:sz="6" w:space="0" w:color="auto"/>
              <w:bottom w:val="single" w:sz="6" w:space="0" w:color="auto"/>
              <w:right w:val="single" w:sz="6" w:space="0" w:color="auto"/>
            </w:tcBorders>
          </w:tcPr>
          <w:p w14:paraId="6B3951C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obč. vybavenost, výroba</w:t>
            </w:r>
          </w:p>
        </w:tc>
      </w:tr>
      <w:tr w:rsidR="00D42621" w:rsidRPr="00D42621" w14:paraId="368855E6" w14:textId="77777777" w:rsidTr="002D2D45">
        <w:trPr>
          <w:jc w:val="center"/>
        </w:trPr>
        <w:tc>
          <w:tcPr>
            <w:tcW w:w="696" w:type="dxa"/>
            <w:tcBorders>
              <w:top w:val="single" w:sz="6" w:space="0" w:color="auto"/>
              <w:left w:val="single" w:sz="6" w:space="0" w:color="auto"/>
              <w:bottom w:val="single" w:sz="6" w:space="0" w:color="auto"/>
              <w:right w:val="single" w:sz="6" w:space="0" w:color="auto"/>
            </w:tcBorders>
          </w:tcPr>
          <w:p w14:paraId="6A39CC28"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b/>
                <w:bCs/>
                <w:color w:val="000000"/>
                <w:sz w:val="18"/>
                <w:szCs w:val="18"/>
                <w:lang w:eastAsia="cs-CZ"/>
              </w:rPr>
              <w:t>IA</w:t>
            </w:r>
          </w:p>
        </w:tc>
        <w:tc>
          <w:tcPr>
            <w:tcW w:w="2673" w:type="dxa"/>
            <w:tcBorders>
              <w:top w:val="single" w:sz="6" w:space="0" w:color="auto"/>
              <w:left w:val="single" w:sz="6" w:space="0" w:color="auto"/>
              <w:bottom w:val="single" w:sz="6" w:space="0" w:color="auto"/>
              <w:right w:val="single" w:sz="6" w:space="0" w:color="auto"/>
            </w:tcBorders>
          </w:tcPr>
          <w:p w14:paraId="465A109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 xml:space="preserve"> </w:t>
            </w:r>
            <w:r w:rsidRPr="00D42621">
              <w:rPr>
                <w:rFonts w:ascii="Arial" w:hAnsi="Arial"/>
                <w:color w:val="000000"/>
                <w:sz w:val="18"/>
                <w:szCs w:val="18"/>
                <w:lang w:eastAsia="cs-CZ"/>
              </w:rPr>
              <w:t>CENTRUM - levý břeh, Podmokly</w:t>
            </w:r>
          </w:p>
        </w:tc>
        <w:tc>
          <w:tcPr>
            <w:tcW w:w="1622" w:type="dxa"/>
            <w:tcBorders>
              <w:top w:val="single" w:sz="6" w:space="0" w:color="auto"/>
              <w:left w:val="single" w:sz="6" w:space="0" w:color="auto"/>
              <w:bottom w:val="single" w:sz="6" w:space="0" w:color="auto"/>
              <w:right w:val="single" w:sz="6" w:space="0" w:color="auto"/>
            </w:tcBorders>
          </w:tcPr>
          <w:p w14:paraId="083C616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385</w:t>
            </w:r>
          </w:p>
        </w:tc>
        <w:tc>
          <w:tcPr>
            <w:tcW w:w="2318" w:type="dxa"/>
            <w:tcBorders>
              <w:top w:val="single" w:sz="6" w:space="0" w:color="auto"/>
              <w:left w:val="single" w:sz="6" w:space="0" w:color="auto"/>
              <w:bottom w:val="single" w:sz="6" w:space="0" w:color="auto"/>
              <w:right w:val="single" w:sz="6" w:space="0" w:color="auto"/>
            </w:tcBorders>
          </w:tcPr>
          <w:p w14:paraId="0F727F3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90</w:t>
            </w:r>
          </w:p>
        </w:tc>
      </w:tr>
      <w:tr w:rsidR="00D42621" w:rsidRPr="00D42621" w14:paraId="69A305F3" w14:textId="77777777" w:rsidTr="002D2D45">
        <w:trPr>
          <w:jc w:val="center"/>
        </w:trPr>
        <w:tc>
          <w:tcPr>
            <w:tcW w:w="696" w:type="dxa"/>
            <w:tcBorders>
              <w:top w:val="single" w:sz="6" w:space="0" w:color="auto"/>
              <w:left w:val="single" w:sz="6" w:space="0" w:color="auto"/>
              <w:bottom w:val="single" w:sz="6" w:space="0" w:color="auto"/>
              <w:right w:val="single" w:sz="6" w:space="0" w:color="auto"/>
            </w:tcBorders>
          </w:tcPr>
          <w:p w14:paraId="2754335F"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b/>
                <w:bCs/>
                <w:color w:val="000000"/>
                <w:sz w:val="18"/>
                <w:szCs w:val="18"/>
                <w:lang w:eastAsia="cs-CZ"/>
              </w:rPr>
              <w:t>IB</w:t>
            </w:r>
          </w:p>
        </w:tc>
        <w:tc>
          <w:tcPr>
            <w:tcW w:w="2673" w:type="dxa"/>
            <w:tcBorders>
              <w:top w:val="single" w:sz="6" w:space="0" w:color="auto"/>
              <w:left w:val="single" w:sz="6" w:space="0" w:color="auto"/>
              <w:bottom w:val="single" w:sz="6" w:space="0" w:color="auto"/>
              <w:right w:val="single" w:sz="6" w:space="0" w:color="auto"/>
            </w:tcBorders>
          </w:tcPr>
          <w:p w14:paraId="64437CA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6"/>
                <w:szCs w:val="16"/>
                <w:lang w:eastAsia="cs-CZ"/>
              </w:rPr>
              <w:t xml:space="preserve"> </w:t>
            </w:r>
            <w:r w:rsidRPr="00D42621">
              <w:rPr>
                <w:rFonts w:ascii="Arial" w:hAnsi="Arial"/>
                <w:color w:val="000000"/>
                <w:sz w:val="18"/>
                <w:szCs w:val="18"/>
                <w:lang w:eastAsia="cs-CZ"/>
              </w:rPr>
              <w:t>CENTRUM - pravý břeh, Děčín</w:t>
            </w:r>
          </w:p>
        </w:tc>
        <w:tc>
          <w:tcPr>
            <w:tcW w:w="1622" w:type="dxa"/>
            <w:tcBorders>
              <w:top w:val="single" w:sz="6" w:space="0" w:color="auto"/>
              <w:left w:val="single" w:sz="6" w:space="0" w:color="auto"/>
              <w:bottom w:val="single" w:sz="6" w:space="0" w:color="auto"/>
              <w:right w:val="single" w:sz="6" w:space="0" w:color="auto"/>
            </w:tcBorders>
          </w:tcPr>
          <w:p w14:paraId="0C130FC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175</w:t>
            </w:r>
          </w:p>
        </w:tc>
        <w:tc>
          <w:tcPr>
            <w:tcW w:w="2318" w:type="dxa"/>
            <w:tcBorders>
              <w:top w:val="single" w:sz="6" w:space="0" w:color="auto"/>
              <w:left w:val="single" w:sz="6" w:space="0" w:color="auto"/>
              <w:bottom w:val="single" w:sz="6" w:space="0" w:color="auto"/>
              <w:right w:val="single" w:sz="6" w:space="0" w:color="auto"/>
            </w:tcBorders>
          </w:tcPr>
          <w:p w14:paraId="5250323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80</w:t>
            </w:r>
          </w:p>
        </w:tc>
      </w:tr>
      <w:tr w:rsidR="00D42621" w:rsidRPr="00D42621" w14:paraId="25674A2D" w14:textId="77777777" w:rsidTr="002D2D45">
        <w:trPr>
          <w:jc w:val="center"/>
        </w:trPr>
        <w:tc>
          <w:tcPr>
            <w:tcW w:w="696" w:type="dxa"/>
            <w:tcBorders>
              <w:top w:val="single" w:sz="6" w:space="0" w:color="auto"/>
              <w:left w:val="single" w:sz="6" w:space="0" w:color="auto"/>
              <w:bottom w:val="single" w:sz="6" w:space="0" w:color="auto"/>
              <w:right w:val="single" w:sz="6" w:space="0" w:color="auto"/>
            </w:tcBorders>
          </w:tcPr>
          <w:p w14:paraId="2E282E4B"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b/>
                <w:bCs/>
                <w:color w:val="000000"/>
                <w:sz w:val="18"/>
                <w:szCs w:val="18"/>
                <w:lang w:eastAsia="cs-CZ"/>
              </w:rPr>
              <w:t>II</w:t>
            </w:r>
          </w:p>
        </w:tc>
        <w:tc>
          <w:tcPr>
            <w:tcW w:w="2673" w:type="dxa"/>
            <w:tcBorders>
              <w:top w:val="single" w:sz="6" w:space="0" w:color="auto"/>
              <w:left w:val="single" w:sz="6" w:space="0" w:color="auto"/>
              <w:bottom w:val="single" w:sz="6" w:space="0" w:color="auto"/>
              <w:right w:val="single" w:sz="6" w:space="0" w:color="auto"/>
            </w:tcBorders>
          </w:tcPr>
          <w:p w14:paraId="5684C61E"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Letná, Želenice</w:t>
            </w:r>
          </w:p>
        </w:tc>
        <w:tc>
          <w:tcPr>
            <w:tcW w:w="1622" w:type="dxa"/>
            <w:tcBorders>
              <w:top w:val="single" w:sz="6" w:space="0" w:color="auto"/>
              <w:left w:val="single" w:sz="6" w:space="0" w:color="auto"/>
              <w:bottom w:val="single" w:sz="6" w:space="0" w:color="auto"/>
              <w:right w:val="single" w:sz="6" w:space="0" w:color="auto"/>
            </w:tcBorders>
          </w:tcPr>
          <w:p w14:paraId="3EB142B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551</w:t>
            </w:r>
          </w:p>
        </w:tc>
        <w:tc>
          <w:tcPr>
            <w:tcW w:w="2318" w:type="dxa"/>
            <w:tcBorders>
              <w:top w:val="single" w:sz="6" w:space="0" w:color="auto"/>
              <w:left w:val="single" w:sz="6" w:space="0" w:color="auto"/>
              <w:bottom w:val="single" w:sz="6" w:space="0" w:color="auto"/>
              <w:right w:val="single" w:sz="6" w:space="0" w:color="auto"/>
            </w:tcBorders>
          </w:tcPr>
          <w:p w14:paraId="3158595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52</w:t>
            </w:r>
          </w:p>
        </w:tc>
      </w:tr>
      <w:tr w:rsidR="00D42621" w:rsidRPr="00D42621" w14:paraId="0180D411" w14:textId="77777777" w:rsidTr="002D2D45">
        <w:trPr>
          <w:jc w:val="center"/>
        </w:trPr>
        <w:tc>
          <w:tcPr>
            <w:tcW w:w="696" w:type="dxa"/>
            <w:tcBorders>
              <w:top w:val="single" w:sz="6" w:space="0" w:color="auto"/>
              <w:left w:val="single" w:sz="6" w:space="0" w:color="auto"/>
              <w:bottom w:val="single" w:sz="6" w:space="0" w:color="auto"/>
              <w:right w:val="single" w:sz="6" w:space="0" w:color="auto"/>
            </w:tcBorders>
          </w:tcPr>
          <w:p w14:paraId="06955A59"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b/>
                <w:bCs/>
                <w:color w:val="000000"/>
                <w:sz w:val="18"/>
                <w:szCs w:val="18"/>
                <w:lang w:eastAsia="cs-CZ"/>
              </w:rPr>
              <w:t>III</w:t>
            </w:r>
          </w:p>
        </w:tc>
        <w:tc>
          <w:tcPr>
            <w:tcW w:w="2673" w:type="dxa"/>
            <w:tcBorders>
              <w:top w:val="single" w:sz="6" w:space="0" w:color="auto"/>
              <w:left w:val="single" w:sz="6" w:space="0" w:color="auto"/>
              <w:bottom w:val="single" w:sz="6" w:space="0" w:color="auto"/>
              <w:right w:val="single" w:sz="6" w:space="0" w:color="auto"/>
            </w:tcBorders>
          </w:tcPr>
          <w:p w14:paraId="2AB7AC13"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Chrochvice, Vilsnice</w:t>
            </w:r>
          </w:p>
        </w:tc>
        <w:tc>
          <w:tcPr>
            <w:tcW w:w="1622" w:type="dxa"/>
            <w:tcBorders>
              <w:top w:val="single" w:sz="6" w:space="0" w:color="auto"/>
              <w:left w:val="single" w:sz="6" w:space="0" w:color="auto"/>
              <w:bottom w:val="single" w:sz="6" w:space="0" w:color="auto"/>
              <w:right w:val="single" w:sz="6" w:space="0" w:color="auto"/>
            </w:tcBorders>
          </w:tcPr>
          <w:p w14:paraId="6351210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100</w:t>
            </w:r>
          </w:p>
        </w:tc>
        <w:tc>
          <w:tcPr>
            <w:tcW w:w="2318" w:type="dxa"/>
            <w:tcBorders>
              <w:top w:val="single" w:sz="6" w:space="0" w:color="auto"/>
              <w:left w:val="single" w:sz="6" w:space="0" w:color="auto"/>
              <w:bottom w:val="single" w:sz="6" w:space="0" w:color="auto"/>
              <w:right w:val="single" w:sz="6" w:space="0" w:color="auto"/>
            </w:tcBorders>
          </w:tcPr>
          <w:p w14:paraId="3A6CF85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w:t>
            </w:r>
          </w:p>
        </w:tc>
      </w:tr>
      <w:tr w:rsidR="00D42621" w:rsidRPr="00D42621" w14:paraId="19E65157" w14:textId="77777777" w:rsidTr="002D2D45">
        <w:trPr>
          <w:jc w:val="center"/>
        </w:trPr>
        <w:tc>
          <w:tcPr>
            <w:tcW w:w="696" w:type="dxa"/>
            <w:tcBorders>
              <w:top w:val="single" w:sz="6" w:space="0" w:color="auto"/>
              <w:left w:val="single" w:sz="6" w:space="0" w:color="auto"/>
              <w:bottom w:val="single" w:sz="6" w:space="0" w:color="auto"/>
              <w:right w:val="single" w:sz="6" w:space="0" w:color="auto"/>
            </w:tcBorders>
          </w:tcPr>
          <w:p w14:paraId="46544034"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b/>
                <w:bCs/>
                <w:color w:val="000000"/>
                <w:sz w:val="18"/>
                <w:szCs w:val="18"/>
                <w:lang w:eastAsia="cs-CZ"/>
              </w:rPr>
              <w:t>IV</w:t>
            </w:r>
          </w:p>
        </w:tc>
        <w:tc>
          <w:tcPr>
            <w:tcW w:w="2673" w:type="dxa"/>
            <w:tcBorders>
              <w:top w:val="single" w:sz="6" w:space="0" w:color="auto"/>
              <w:left w:val="single" w:sz="6" w:space="0" w:color="auto"/>
              <w:bottom w:val="single" w:sz="6" w:space="0" w:color="auto"/>
              <w:right w:val="single" w:sz="6" w:space="0" w:color="auto"/>
            </w:tcBorders>
          </w:tcPr>
          <w:p w14:paraId="292FF54B"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Bynov, Oldřichov</w:t>
            </w:r>
          </w:p>
        </w:tc>
        <w:tc>
          <w:tcPr>
            <w:tcW w:w="1622" w:type="dxa"/>
            <w:tcBorders>
              <w:top w:val="single" w:sz="6" w:space="0" w:color="auto"/>
              <w:left w:val="single" w:sz="6" w:space="0" w:color="auto"/>
              <w:bottom w:val="single" w:sz="6" w:space="0" w:color="auto"/>
              <w:right w:val="single" w:sz="6" w:space="0" w:color="auto"/>
            </w:tcBorders>
          </w:tcPr>
          <w:p w14:paraId="2FE1FA7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163</w:t>
            </w:r>
          </w:p>
        </w:tc>
        <w:tc>
          <w:tcPr>
            <w:tcW w:w="2318" w:type="dxa"/>
            <w:tcBorders>
              <w:top w:val="single" w:sz="6" w:space="0" w:color="auto"/>
              <w:left w:val="single" w:sz="6" w:space="0" w:color="auto"/>
              <w:bottom w:val="single" w:sz="6" w:space="0" w:color="auto"/>
              <w:right w:val="single" w:sz="6" w:space="0" w:color="auto"/>
            </w:tcBorders>
          </w:tcPr>
          <w:p w14:paraId="0B5368C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18</w:t>
            </w:r>
          </w:p>
        </w:tc>
      </w:tr>
      <w:tr w:rsidR="00D42621" w:rsidRPr="00D42621" w14:paraId="4CBB20BC" w14:textId="77777777" w:rsidTr="002D2D45">
        <w:trPr>
          <w:jc w:val="center"/>
        </w:trPr>
        <w:tc>
          <w:tcPr>
            <w:tcW w:w="696" w:type="dxa"/>
            <w:tcBorders>
              <w:top w:val="single" w:sz="6" w:space="0" w:color="auto"/>
              <w:left w:val="single" w:sz="6" w:space="0" w:color="auto"/>
              <w:bottom w:val="single" w:sz="6" w:space="0" w:color="auto"/>
              <w:right w:val="single" w:sz="6" w:space="0" w:color="auto"/>
            </w:tcBorders>
          </w:tcPr>
          <w:p w14:paraId="33CB23F0"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b/>
                <w:bCs/>
                <w:color w:val="000000"/>
                <w:sz w:val="18"/>
                <w:szCs w:val="18"/>
                <w:lang w:eastAsia="cs-CZ"/>
              </w:rPr>
              <w:t>V</w:t>
            </w:r>
          </w:p>
        </w:tc>
        <w:tc>
          <w:tcPr>
            <w:tcW w:w="2673" w:type="dxa"/>
            <w:tcBorders>
              <w:top w:val="single" w:sz="6" w:space="0" w:color="auto"/>
              <w:left w:val="single" w:sz="6" w:space="0" w:color="auto"/>
              <w:bottom w:val="single" w:sz="6" w:space="0" w:color="auto"/>
              <w:right w:val="single" w:sz="6" w:space="0" w:color="auto"/>
            </w:tcBorders>
          </w:tcPr>
          <w:p w14:paraId="132E83E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Loubí, Žleb</w:t>
            </w:r>
          </w:p>
        </w:tc>
        <w:tc>
          <w:tcPr>
            <w:tcW w:w="1622" w:type="dxa"/>
            <w:tcBorders>
              <w:top w:val="single" w:sz="6" w:space="0" w:color="auto"/>
              <w:left w:val="single" w:sz="6" w:space="0" w:color="auto"/>
              <w:bottom w:val="single" w:sz="6" w:space="0" w:color="auto"/>
              <w:right w:val="single" w:sz="6" w:space="0" w:color="auto"/>
            </w:tcBorders>
          </w:tcPr>
          <w:p w14:paraId="7A872D5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w:t>
            </w:r>
          </w:p>
        </w:tc>
        <w:tc>
          <w:tcPr>
            <w:tcW w:w="2318" w:type="dxa"/>
            <w:tcBorders>
              <w:top w:val="single" w:sz="6" w:space="0" w:color="auto"/>
              <w:left w:val="single" w:sz="6" w:space="0" w:color="auto"/>
              <w:bottom w:val="single" w:sz="6" w:space="0" w:color="auto"/>
              <w:right w:val="single" w:sz="6" w:space="0" w:color="auto"/>
            </w:tcBorders>
          </w:tcPr>
          <w:p w14:paraId="2EE2C56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14</w:t>
            </w:r>
          </w:p>
        </w:tc>
      </w:tr>
      <w:tr w:rsidR="00D42621" w:rsidRPr="00D42621" w14:paraId="395A5FC2" w14:textId="77777777" w:rsidTr="002D2D45">
        <w:trPr>
          <w:jc w:val="center"/>
        </w:trPr>
        <w:tc>
          <w:tcPr>
            <w:tcW w:w="696" w:type="dxa"/>
            <w:tcBorders>
              <w:top w:val="single" w:sz="6" w:space="0" w:color="auto"/>
              <w:left w:val="single" w:sz="6" w:space="0" w:color="auto"/>
              <w:bottom w:val="single" w:sz="6" w:space="0" w:color="auto"/>
              <w:right w:val="single" w:sz="6" w:space="0" w:color="auto"/>
            </w:tcBorders>
          </w:tcPr>
          <w:p w14:paraId="41E3A7DC"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b/>
                <w:bCs/>
                <w:color w:val="000000"/>
                <w:sz w:val="18"/>
                <w:szCs w:val="18"/>
                <w:lang w:eastAsia="cs-CZ"/>
              </w:rPr>
              <w:t>VI</w:t>
            </w:r>
          </w:p>
        </w:tc>
        <w:tc>
          <w:tcPr>
            <w:tcW w:w="2673" w:type="dxa"/>
            <w:tcBorders>
              <w:top w:val="single" w:sz="6" w:space="0" w:color="auto"/>
              <w:left w:val="single" w:sz="6" w:space="0" w:color="auto"/>
              <w:bottom w:val="single" w:sz="6" w:space="0" w:color="auto"/>
              <w:right w:val="single" w:sz="6" w:space="0" w:color="auto"/>
            </w:tcBorders>
          </w:tcPr>
          <w:p w14:paraId="55AB7B69"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Nové a Staré Město</w:t>
            </w:r>
          </w:p>
        </w:tc>
        <w:tc>
          <w:tcPr>
            <w:tcW w:w="1622" w:type="dxa"/>
            <w:tcBorders>
              <w:top w:val="single" w:sz="6" w:space="0" w:color="auto"/>
              <w:left w:val="single" w:sz="6" w:space="0" w:color="auto"/>
              <w:bottom w:val="single" w:sz="6" w:space="0" w:color="auto"/>
              <w:right w:val="single" w:sz="6" w:space="0" w:color="auto"/>
            </w:tcBorders>
          </w:tcPr>
          <w:p w14:paraId="2EAA58D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448</w:t>
            </w:r>
          </w:p>
        </w:tc>
        <w:tc>
          <w:tcPr>
            <w:tcW w:w="2318" w:type="dxa"/>
            <w:tcBorders>
              <w:top w:val="single" w:sz="6" w:space="0" w:color="auto"/>
              <w:left w:val="single" w:sz="6" w:space="0" w:color="auto"/>
              <w:bottom w:val="single" w:sz="6" w:space="0" w:color="auto"/>
              <w:right w:val="single" w:sz="6" w:space="0" w:color="auto"/>
            </w:tcBorders>
          </w:tcPr>
          <w:p w14:paraId="581F06F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110</w:t>
            </w:r>
          </w:p>
        </w:tc>
      </w:tr>
      <w:tr w:rsidR="00D42621" w:rsidRPr="00D42621" w14:paraId="466B9ADA" w14:textId="77777777" w:rsidTr="002D2D45">
        <w:trPr>
          <w:jc w:val="center"/>
        </w:trPr>
        <w:tc>
          <w:tcPr>
            <w:tcW w:w="696" w:type="dxa"/>
            <w:tcBorders>
              <w:top w:val="single" w:sz="6" w:space="0" w:color="auto"/>
              <w:left w:val="single" w:sz="6" w:space="0" w:color="auto"/>
              <w:bottom w:val="single" w:sz="6" w:space="0" w:color="auto"/>
              <w:right w:val="single" w:sz="6" w:space="0" w:color="auto"/>
            </w:tcBorders>
          </w:tcPr>
          <w:p w14:paraId="5B187A41"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b/>
                <w:bCs/>
                <w:color w:val="000000"/>
                <w:sz w:val="18"/>
                <w:szCs w:val="18"/>
                <w:lang w:eastAsia="cs-CZ"/>
              </w:rPr>
              <w:t>VII</w:t>
            </w:r>
          </w:p>
        </w:tc>
        <w:tc>
          <w:tcPr>
            <w:tcW w:w="2673" w:type="dxa"/>
            <w:tcBorders>
              <w:top w:val="single" w:sz="6" w:space="0" w:color="auto"/>
              <w:left w:val="single" w:sz="6" w:space="0" w:color="auto"/>
              <w:bottom w:val="single" w:sz="6" w:space="0" w:color="auto"/>
              <w:right w:val="single" w:sz="6" w:space="0" w:color="auto"/>
            </w:tcBorders>
          </w:tcPr>
          <w:p w14:paraId="5516F537"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Boletice n.L.</w:t>
            </w:r>
          </w:p>
        </w:tc>
        <w:tc>
          <w:tcPr>
            <w:tcW w:w="1622" w:type="dxa"/>
            <w:tcBorders>
              <w:top w:val="single" w:sz="6" w:space="0" w:color="auto"/>
              <w:left w:val="single" w:sz="6" w:space="0" w:color="auto"/>
              <w:bottom w:val="single" w:sz="6" w:space="0" w:color="auto"/>
              <w:right w:val="single" w:sz="6" w:space="0" w:color="auto"/>
            </w:tcBorders>
          </w:tcPr>
          <w:p w14:paraId="6CCA248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160</w:t>
            </w:r>
          </w:p>
        </w:tc>
        <w:tc>
          <w:tcPr>
            <w:tcW w:w="2318" w:type="dxa"/>
            <w:tcBorders>
              <w:top w:val="single" w:sz="6" w:space="0" w:color="auto"/>
              <w:left w:val="single" w:sz="6" w:space="0" w:color="auto"/>
              <w:bottom w:val="single" w:sz="6" w:space="0" w:color="auto"/>
              <w:right w:val="single" w:sz="6" w:space="0" w:color="auto"/>
            </w:tcBorders>
          </w:tcPr>
          <w:p w14:paraId="21E76DC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82</w:t>
            </w:r>
          </w:p>
        </w:tc>
      </w:tr>
      <w:tr w:rsidR="00D42621" w:rsidRPr="00D42621" w14:paraId="7D86EA72" w14:textId="77777777" w:rsidTr="002D2D45">
        <w:trPr>
          <w:jc w:val="center"/>
        </w:trPr>
        <w:tc>
          <w:tcPr>
            <w:tcW w:w="696" w:type="dxa"/>
            <w:tcBorders>
              <w:top w:val="single" w:sz="6" w:space="0" w:color="auto"/>
              <w:left w:val="single" w:sz="6" w:space="0" w:color="auto"/>
              <w:bottom w:val="single" w:sz="6" w:space="0" w:color="auto"/>
              <w:right w:val="single" w:sz="6" w:space="0" w:color="auto"/>
            </w:tcBorders>
          </w:tcPr>
          <w:p w14:paraId="29206714"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b/>
                <w:bCs/>
                <w:color w:val="000000"/>
                <w:sz w:val="18"/>
                <w:szCs w:val="18"/>
                <w:lang w:eastAsia="cs-CZ"/>
              </w:rPr>
              <w:t>VIII</w:t>
            </w:r>
          </w:p>
        </w:tc>
        <w:tc>
          <w:tcPr>
            <w:tcW w:w="2673" w:type="dxa"/>
            <w:tcBorders>
              <w:top w:val="single" w:sz="6" w:space="0" w:color="auto"/>
              <w:left w:val="single" w:sz="6" w:space="0" w:color="auto"/>
              <w:bottom w:val="single" w:sz="6" w:space="0" w:color="auto"/>
              <w:right w:val="single" w:sz="6" w:space="0" w:color="auto"/>
            </w:tcBorders>
          </w:tcPr>
          <w:p w14:paraId="5B1F217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Dolní Žleb, Maxičky</w:t>
            </w:r>
          </w:p>
        </w:tc>
        <w:tc>
          <w:tcPr>
            <w:tcW w:w="1622" w:type="dxa"/>
            <w:tcBorders>
              <w:top w:val="single" w:sz="6" w:space="0" w:color="auto"/>
              <w:left w:val="single" w:sz="6" w:space="0" w:color="auto"/>
              <w:bottom w:val="single" w:sz="6" w:space="0" w:color="auto"/>
              <w:right w:val="single" w:sz="6" w:space="0" w:color="auto"/>
            </w:tcBorders>
          </w:tcPr>
          <w:p w14:paraId="54548D3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w:t>
            </w:r>
          </w:p>
        </w:tc>
        <w:tc>
          <w:tcPr>
            <w:tcW w:w="2318" w:type="dxa"/>
            <w:tcBorders>
              <w:top w:val="single" w:sz="6" w:space="0" w:color="auto"/>
              <w:left w:val="single" w:sz="6" w:space="0" w:color="auto"/>
              <w:bottom w:val="single" w:sz="6" w:space="0" w:color="auto"/>
              <w:right w:val="single" w:sz="6" w:space="0" w:color="auto"/>
            </w:tcBorders>
          </w:tcPr>
          <w:p w14:paraId="4ABADB9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1C33FB03" w14:textId="77777777" w:rsidTr="002D2D45">
        <w:trPr>
          <w:jc w:val="center"/>
        </w:trPr>
        <w:tc>
          <w:tcPr>
            <w:tcW w:w="696" w:type="dxa"/>
            <w:tcBorders>
              <w:top w:val="single" w:sz="6" w:space="0" w:color="auto"/>
              <w:left w:val="single" w:sz="6" w:space="0" w:color="auto"/>
              <w:bottom w:val="single" w:sz="6" w:space="0" w:color="auto"/>
              <w:right w:val="single" w:sz="6" w:space="0" w:color="auto"/>
            </w:tcBorders>
          </w:tcPr>
          <w:p w14:paraId="3BDD1944" w14:textId="77777777" w:rsidR="00D42621" w:rsidRPr="00D42621" w:rsidRDefault="00D42621" w:rsidP="00D42621">
            <w:pPr>
              <w:suppressAutoHyphens w:val="0"/>
              <w:autoSpaceDE w:val="0"/>
              <w:autoSpaceDN w:val="0"/>
              <w:adjustRightInd w:val="0"/>
              <w:jc w:val="center"/>
              <w:rPr>
                <w:rFonts w:ascii="Arial" w:hAnsi="Arial"/>
                <w:color w:val="000000"/>
                <w:sz w:val="16"/>
                <w:szCs w:val="16"/>
                <w:lang w:eastAsia="cs-CZ"/>
              </w:rPr>
            </w:pPr>
            <w:r w:rsidRPr="00D42621">
              <w:rPr>
                <w:rFonts w:ascii="Arial" w:hAnsi="Arial"/>
                <w:b/>
                <w:bCs/>
                <w:color w:val="000000"/>
                <w:sz w:val="18"/>
                <w:szCs w:val="18"/>
                <w:lang w:eastAsia="cs-CZ"/>
              </w:rPr>
              <w:t>IX</w:t>
            </w:r>
          </w:p>
        </w:tc>
        <w:tc>
          <w:tcPr>
            <w:tcW w:w="2673" w:type="dxa"/>
            <w:tcBorders>
              <w:top w:val="single" w:sz="6" w:space="0" w:color="auto"/>
              <w:left w:val="single" w:sz="6" w:space="0" w:color="auto"/>
              <w:bottom w:val="single" w:sz="6" w:space="0" w:color="auto"/>
              <w:right w:val="single" w:sz="6" w:space="0" w:color="auto"/>
            </w:tcBorders>
          </w:tcPr>
          <w:p w14:paraId="2C1F174D" w14:textId="77777777" w:rsidR="00D42621" w:rsidRPr="00D42621" w:rsidRDefault="00D42621" w:rsidP="00D42621">
            <w:pPr>
              <w:suppressAutoHyphens w:val="0"/>
              <w:autoSpaceDE w:val="0"/>
              <w:autoSpaceDN w:val="0"/>
              <w:adjustRightInd w:val="0"/>
              <w:spacing w:line="240" w:lineRule="atLeast"/>
              <w:jc w:val="both"/>
              <w:rPr>
                <w:rFonts w:ascii="Arial" w:hAnsi="Arial"/>
                <w:color w:val="000000"/>
                <w:sz w:val="16"/>
                <w:szCs w:val="16"/>
                <w:lang w:eastAsia="cs-CZ"/>
              </w:rPr>
            </w:pPr>
            <w:r w:rsidRPr="00D42621">
              <w:rPr>
                <w:rFonts w:ascii="Arial" w:hAnsi="Arial"/>
                <w:color w:val="000000"/>
                <w:sz w:val="18"/>
                <w:szCs w:val="18"/>
                <w:lang w:eastAsia="cs-CZ"/>
              </w:rPr>
              <w:t>Lesná, Velká Veleň, Horní Chlum</w:t>
            </w:r>
          </w:p>
        </w:tc>
        <w:tc>
          <w:tcPr>
            <w:tcW w:w="1622" w:type="dxa"/>
            <w:tcBorders>
              <w:top w:val="single" w:sz="6" w:space="0" w:color="auto"/>
              <w:left w:val="single" w:sz="6" w:space="0" w:color="auto"/>
              <w:bottom w:val="single" w:sz="6" w:space="0" w:color="auto"/>
              <w:right w:val="single" w:sz="6" w:space="0" w:color="auto"/>
            </w:tcBorders>
          </w:tcPr>
          <w:p w14:paraId="3FCDB76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28</w:t>
            </w:r>
          </w:p>
        </w:tc>
        <w:tc>
          <w:tcPr>
            <w:tcW w:w="2318" w:type="dxa"/>
            <w:tcBorders>
              <w:top w:val="single" w:sz="6" w:space="0" w:color="auto"/>
              <w:left w:val="single" w:sz="6" w:space="0" w:color="auto"/>
              <w:bottom w:val="single" w:sz="6" w:space="0" w:color="auto"/>
              <w:right w:val="single" w:sz="6" w:space="0" w:color="auto"/>
            </w:tcBorders>
          </w:tcPr>
          <w:p w14:paraId="52017009"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5AFD5B44" w14:textId="77777777" w:rsidTr="002D2D45">
        <w:trPr>
          <w:jc w:val="center"/>
        </w:trPr>
        <w:tc>
          <w:tcPr>
            <w:tcW w:w="3369" w:type="dxa"/>
            <w:gridSpan w:val="2"/>
            <w:tcBorders>
              <w:top w:val="single" w:sz="6" w:space="0" w:color="auto"/>
              <w:left w:val="single" w:sz="6" w:space="0" w:color="auto"/>
              <w:bottom w:val="single" w:sz="6" w:space="0" w:color="auto"/>
              <w:right w:val="single" w:sz="6" w:space="0" w:color="auto"/>
            </w:tcBorders>
          </w:tcPr>
          <w:p w14:paraId="11317198"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b/>
                <w:bCs/>
                <w:color w:val="000000"/>
                <w:sz w:val="18"/>
                <w:szCs w:val="18"/>
                <w:lang w:eastAsia="cs-CZ"/>
              </w:rPr>
              <w:t xml:space="preserve">                 </w:t>
            </w:r>
            <w:r w:rsidRPr="00D42621">
              <w:rPr>
                <w:rFonts w:ascii="Arial" w:hAnsi="Arial"/>
                <w:b/>
                <w:bCs/>
                <w:caps/>
                <w:color w:val="000000"/>
                <w:sz w:val="18"/>
                <w:szCs w:val="18"/>
                <w:lang w:eastAsia="cs-CZ"/>
              </w:rPr>
              <w:t xml:space="preserve">  celkem</w:t>
            </w:r>
          </w:p>
        </w:tc>
        <w:tc>
          <w:tcPr>
            <w:tcW w:w="1622" w:type="dxa"/>
            <w:tcBorders>
              <w:top w:val="single" w:sz="6" w:space="0" w:color="auto"/>
              <w:left w:val="single" w:sz="6" w:space="0" w:color="auto"/>
              <w:bottom w:val="single" w:sz="6" w:space="0" w:color="auto"/>
              <w:right w:val="single" w:sz="6" w:space="0" w:color="auto"/>
            </w:tcBorders>
          </w:tcPr>
          <w:p w14:paraId="30DF7CF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 xml:space="preserve"> 2015</w:t>
            </w:r>
          </w:p>
        </w:tc>
        <w:tc>
          <w:tcPr>
            <w:tcW w:w="2318" w:type="dxa"/>
            <w:tcBorders>
              <w:top w:val="single" w:sz="6" w:space="0" w:color="auto"/>
              <w:left w:val="single" w:sz="6" w:space="0" w:color="auto"/>
              <w:bottom w:val="single" w:sz="6" w:space="0" w:color="auto"/>
              <w:right w:val="single" w:sz="6" w:space="0" w:color="auto"/>
            </w:tcBorders>
          </w:tcPr>
          <w:p w14:paraId="08CA7BD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456</w:t>
            </w:r>
          </w:p>
        </w:tc>
      </w:tr>
    </w:tbl>
    <w:p w14:paraId="44A32515"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41D26741" w14:textId="77777777" w:rsidR="00D42621" w:rsidRPr="00D42621" w:rsidRDefault="00D42621" w:rsidP="00D42621">
      <w:pPr>
        <w:suppressAutoHyphens w:val="0"/>
        <w:autoSpaceDE w:val="0"/>
        <w:autoSpaceDN w:val="0"/>
        <w:adjustRightInd w:val="0"/>
        <w:spacing w:before="73" w:after="73" w:line="240" w:lineRule="atLeast"/>
        <w:rPr>
          <w:rFonts w:ascii="Arial" w:hAnsi="Arial"/>
          <w:b/>
          <w:bCs/>
          <w:caps/>
          <w:color w:val="000000"/>
          <w:sz w:val="20"/>
          <w:lang w:eastAsia="cs-CZ"/>
        </w:rPr>
      </w:pPr>
      <w:r w:rsidRPr="00D42621">
        <w:rPr>
          <w:rFonts w:ascii="Arial" w:hAnsi="Arial"/>
          <w:b/>
          <w:bCs/>
          <w:caps/>
          <w:color w:val="000000"/>
          <w:sz w:val="20"/>
          <w:lang w:eastAsia="cs-CZ"/>
        </w:rPr>
        <w:t>i.6.3. Televizní a rozhlasový program</w:t>
      </w:r>
    </w:p>
    <w:p w14:paraId="3FCFED2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26CA928B"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 xml:space="preserve">Televizní signál je šířen ze základního vysílače Buková hora (program ČT 1, ČT 2, Nova), televizního převaděče Popovický vrch (program ČT 1, ČT 2, Nova, Prima), televizního převaděče Děčín - Bělá (ČT 1, Nova), televizního převaděče Děčín - Březiny (ČT 1, Nova). </w:t>
      </w:r>
    </w:p>
    <w:p w14:paraId="4464A501"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 xml:space="preserve"> </w:t>
      </w:r>
      <w:r w:rsidRPr="00D42621">
        <w:rPr>
          <w:rFonts w:ascii="Arial" w:hAnsi="Arial"/>
          <w:color w:val="000000"/>
          <w:sz w:val="20"/>
          <w:szCs w:val="20"/>
          <w:lang w:eastAsia="cs-CZ"/>
        </w:rPr>
        <w:tab/>
        <w:t>Firma TES Media a.s. realizuje ve městě rozvody kabelové televize.  V současné době je provozována  kabelová televize v Bynově, Boleticích a Novém Městě (ul. Dvořákova a B. Martinů). Realizace probíhá v Děčíně I, Podmoklech a Starém Městě. Dle investičních možností bude postupně pokrýváno i ostatní území</w:t>
      </w:r>
    </w:p>
    <w:p w14:paraId="641AEE47"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Kabelová televize umožní přenášet nejenom větší počet TV a rozhlasových programů, ale nabídne i další služby v oblasti přenosu dat.</w:t>
      </w:r>
    </w:p>
    <w:p w14:paraId="78340E9A"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2550"/>
        <w:gridCol w:w="1718"/>
        <w:gridCol w:w="1514"/>
        <w:gridCol w:w="1582"/>
      </w:tblGrid>
      <w:tr w:rsidR="00D42621" w:rsidRPr="00D42621" w14:paraId="5F095FED"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002130F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vysílač (převaděč)</w:t>
            </w:r>
          </w:p>
        </w:tc>
        <w:tc>
          <w:tcPr>
            <w:tcW w:w="1718" w:type="dxa"/>
            <w:tcBorders>
              <w:top w:val="single" w:sz="6" w:space="0" w:color="auto"/>
              <w:left w:val="single" w:sz="6" w:space="0" w:color="auto"/>
              <w:bottom w:val="single" w:sz="6" w:space="0" w:color="auto"/>
              <w:right w:val="single" w:sz="6" w:space="0" w:color="auto"/>
            </w:tcBorders>
          </w:tcPr>
          <w:p w14:paraId="146059D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program</w:t>
            </w:r>
          </w:p>
        </w:tc>
        <w:tc>
          <w:tcPr>
            <w:tcW w:w="1514" w:type="dxa"/>
            <w:tcBorders>
              <w:top w:val="single" w:sz="6" w:space="0" w:color="auto"/>
              <w:left w:val="single" w:sz="6" w:space="0" w:color="auto"/>
              <w:bottom w:val="single" w:sz="6" w:space="0" w:color="auto"/>
              <w:right w:val="single" w:sz="6" w:space="0" w:color="auto"/>
            </w:tcBorders>
          </w:tcPr>
          <w:p w14:paraId="4F64168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číslo kanálu</w:t>
            </w:r>
          </w:p>
        </w:tc>
        <w:tc>
          <w:tcPr>
            <w:tcW w:w="1582" w:type="dxa"/>
            <w:tcBorders>
              <w:top w:val="single" w:sz="6" w:space="0" w:color="auto"/>
              <w:left w:val="single" w:sz="6" w:space="0" w:color="auto"/>
              <w:bottom w:val="single" w:sz="6" w:space="0" w:color="auto"/>
              <w:right w:val="single" w:sz="6" w:space="0" w:color="auto"/>
            </w:tcBorders>
          </w:tcPr>
          <w:p w14:paraId="4DC022F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výkon (kW)</w:t>
            </w:r>
          </w:p>
        </w:tc>
      </w:tr>
      <w:tr w:rsidR="00D42621" w:rsidRPr="00D42621" w14:paraId="4438726F"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05B1E1E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RKS Buková hora</w:t>
            </w:r>
          </w:p>
        </w:tc>
        <w:tc>
          <w:tcPr>
            <w:tcW w:w="1718" w:type="dxa"/>
            <w:tcBorders>
              <w:top w:val="single" w:sz="6" w:space="0" w:color="auto"/>
              <w:left w:val="single" w:sz="6" w:space="0" w:color="auto"/>
              <w:bottom w:val="single" w:sz="6" w:space="0" w:color="auto"/>
              <w:right w:val="single" w:sz="6" w:space="0" w:color="auto"/>
            </w:tcBorders>
          </w:tcPr>
          <w:p w14:paraId="1434872E"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ČT 1</w:t>
            </w:r>
          </w:p>
        </w:tc>
        <w:tc>
          <w:tcPr>
            <w:tcW w:w="1514" w:type="dxa"/>
            <w:tcBorders>
              <w:top w:val="single" w:sz="6" w:space="0" w:color="auto"/>
              <w:left w:val="single" w:sz="6" w:space="0" w:color="auto"/>
              <w:bottom w:val="single" w:sz="6" w:space="0" w:color="auto"/>
              <w:right w:val="single" w:sz="6" w:space="0" w:color="auto"/>
            </w:tcBorders>
          </w:tcPr>
          <w:p w14:paraId="3E32B9E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33</w:t>
            </w:r>
          </w:p>
        </w:tc>
        <w:tc>
          <w:tcPr>
            <w:tcW w:w="1582" w:type="dxa"/>
            <w:tcBorders>
              <w:top w:val="single" w:sz="6" w:space="0" w:color="auto"/>
              <w:left w:val="single" w:sz="6" w:space="0" w:color="auto"/>
              <w:bottom w:val="single" w:sz="6" w:space="0" w:color="auto"/>
              <w:right w:val="single" w:sz="6" w:space="0" w:color="auto"/>
            </w:tcBorders>
          </w:tcPr>
          <w:p w14:paraId="3B1232E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20</w:t>
            </w:r>
          </w:p>
        </w:tc>
      </w:tr>
      <w:tr w:rsidR="00D42621" w:rsidRPr="00D42621" w14:paraId="34010C0B"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448AD8F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RKS Buková hora</w:t>
            </w:r>
          </w:p>
        </w:tc>
        <w:tc>
          <w:tcPr>
            <w:tcW w:w="1718" w:type="dxa"/>
            <w:tcBorders>
              <w:top w:val="single" w:sz="6" w:space="0" w:color="auto"/>
              <w:left w:val="single" w:sz="6" w:space="0" w:color="auto"/>
              <w:bottom w:val="single" w:sz="6" w:space="0" w:color="auto"/>
              <w:right w:val="single" w:sz="6" w:space="0" w:color="auto"/>
            </w:tcBorders>
          </w:tcPr>
          <w:p w14:paraId="1DB2C1B2"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ČT 2</w:t>
            </w:r>
          </w:p>
        </w:tc>
        <w:tc>
          <w:tcPr>
            <w:tcW w:w="1514" w:type="dxa"/>
            <w:tcBorders>
              <w:top w:val="single" w:sz="6" w:space="0" w:color="auto"/>
              <w:left w:val="single" w:sz="6" w:space="0" w:color="auto"/>
              <w:bottom w:val="single" w:sz="6" w:space="0" w:color="auto"/>
              <w:right w:val="single" w:sz="6" w:space="0" w:color="auto"/>
            </w:tcBorders>
          </w:tcPr>
          <w:p w14:paraId="6DBD7917"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50</w:t>
            </w:r>
          </w:p>
        </w:tc>
        <w:tc>
          <w:tcPr>
            <w:tcW w:w="1582" w:type="dxa"/>
            <w:tcBorders>
              <w:top w:val="single" w:sz="6" w:space="0" w:color="auto"/>
              <w:left w:val="single" w:sz="6" w:space="0" w:color="auto"/>
              <w:bottom w:val="single" w:sz="6" w:space="0" w:color="auto"/>
              <w:right w:val="single" w:sz="6" w:space="0" w:color="auto"/>
            </w:tcBorders>
          </w:tcPr>
          <w:p w14:paraId="18DB66B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0,1</w:t>
            </w:r>
          </w:p>
        </w:tc>
      </w:tr>
      <w:tr w:rsidR="00D42621" w:rsidRPr="00D42621" w14:paraId="54CB1383"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2737E25B"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RKS Buková hora</w:t>
            </w:r>
          </w:p>
        </w:tc>
        <w:tc>
          <w:tcPr>
            <w:tcW w:w="1718" w:type="dxa"/>
            <w:tcBorders>
              <w:top w:val="single" w:sz="6" w:space="0" w:color="auto"/>
              <w:left w:val="single" w:sz="6" w:space="0" w:color="auto"/>
              <w:bottom w:val="single" w:sz="6" w:space="0" w:color="auto"/>
              <w:right w:val="single" w:sz="6" w:space="0" w:color="auto"/>
            </w:tcBorders>
          </w:tcPr>
          <w:p w14:paraId="25F3872A"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Nova</w:t>
            </w:r>
          </w:p>
        </w:tc>
        <w:tc>
          <w:tcPr>
            <w:tcW w:w="1514" w:type="dxa"/>
            <w:tcBorders>
              <w:top w:val="single" w:sz="6" w:space="0" w:color="auto"/>
              <w:left w:val="single" w:sz="6" w:space="0" w:color="auto"/>
              <w:bottom w:val="single" w:sz="6" w:space="0" w:color="auto"/>
              <w:right w:val="single" w:sz="6" w:space="0" w:color="auto"/>
            </w:tcBorders>
          </w:tcPr>
          <w:p w14:paraId="0A95226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12</w:t>
            </w:r>
          </w:p>
        </w:tc>
        <w:tc>
          <w:tcPr>
            <w:tcW w:w="1582" w:type="dxa"/>
            <w:tcBorders>
              <w:top w:val="single" w:sz="6" w:space="0" w:color="auto"/>
              <w:left w:val="single" w:sz="6" w:space="0" w:color="auto"/>
              <w:bottom w:val="single" w:sz="6" w:space="0" w:color="auto"/>
              <w:right w:val="single" w:sz="6" w:space="0" w:color="auto"/>
            </w:tcBorders>
          </w:tcPr>
          <w:p w14:paraId="1654F86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10</w:t>
            </w:r>
          </w:p>
        </w:tc>
      </w:tr>
      <w:tr w:rsidR="00D42621" w:rsidRPr="00D42621" w14:paraId="27531967"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0DB85EF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TVP Děčín - Popovický vrch</w:t>
            </w:r>
          </w:p>
        </w:tc>
        <w:tc>
          <w:tcPr>
            <w:tcW w:w="1718" w:type="dxa"/>
            <w:tcBorders>
              <w:top w:val="single" w:sz="6" w:space="0" w:color="auto"/>
              <w:left w:val="single" w:sz="6" w:space="0" w:color="auto"/>
              <w:bottom w:val="single" w:sz="6" w:space="0" w:color="auto"/>
              <w:right w:val="single" w:sz="6" w:space="0" w:color="auto"/>
            </w:tcBorders>
          </w:tcPr>
          <w:p w14:paraId="7520AD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ČT 1</w:t>
            </w:r>
          </w:p>
        </w:tc>
        <w:tc>
          <w:tcPr>
            <w:tcW w:w="1514" w:type="dxa"/>
            <w:tcBorders>
              <w:top w:val="single" w:sz="6" w:space="0" w:color="auto"/>
              <w:left w:val="single" w:sz="6" w:space="0" w:color="auto"/>
              <w:bottom w:val="single" w:sz="6" w:space="0" w:color="auto"/>
              <w:right w:val="single" w:sz="6" w:space="0" w:color="auto"/>
            </w:tcBorders>
          </w:tcPr>
          <w:p w14:paraId="01B0044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22</w:t>
            </w:r>
          </w:p>
        </w:tc>
        <w:tc>
          <w:tcPr>
            <w:tcW w:w="1582" w:type="dxa"/>
            <w:tcBorders>
              <w:top w:val="single" w:sz="6" w:space="0" w:color="auto"/>
              <w:left w:val="single" w:sz="6" w:space="0" w:color="auto"/>
              <w:bottom w:val="single" w:sz="6" w:space="0" w:color="auto"/>
              <w:right w:val="single" w:sz="6" w:space="0" w:color="auto"/>
            </w:tcBorders>
          </w:tcPr>
          <w:p w14:paraId="58A0AE7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0,01</w:t>
            </w:r>
          </w:p>
        </w:tc>
      </w:tr>
      <w:tr w:rsidR="00D42621" w:rsidRPr="00D42621" w14:paraId="6349FD07"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3A02580A"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TVP Děčín - Popovický vrch</w:t>
            </w:r>
          </w:p>
        </w:tc>
        <w:tc>
          <w:tcPr>
            <w:tcW w:w="1718" w:type="dxa"/>
            <w:tcBorders>
              <w:top w:val="single" w:sz="6" w:space="0" w:color="auto"/>
              <w:left w:val="single" w:sz="6" w:space="0" w:color="auto"/>
              <w:bottom w:val="single" w:sz="6" w:space="0" w:color="auto"/>
              <w:right w:val="single" w:sz="6" w:space="0" w:color="auto"/>
            </w:tcBorders>
          </w:tcPr>
          <w:p w14:paraId="06F8466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ČT 2</w:t>
            </w:r>
          </w:p>
        </w:tc>
        <w:tc>
          <w:tcPr>
            <w:tcW w:w="1514" w:type="dxa"/>
            <w:tcBorders>
              <w:top w:val="single" w:sz="6" w:space="0" w:color="auto"/>
              <w:left w:val="single" w:sz="6" w:space="0" w:color="auto"/>
              <w:bottom w:val="single" w:sz="6" w:space="0" w:color="auto"/>
              <w:right w:val="single" w:sz="6" w:space="0" w:color="auto"/>
            </w:tcBorders>
          </w:tcPr>
          <w:p w14:paraId="7DB0F3C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42</w:t>
            </w:r>
          </w:p>
        </w:tc>
        <w:tc>
          <w:tcPr>
            <w:tcW w:w="1582" w:type="dxa"/>
            <w:tcBorders>
              <w:top w:val="single" w:sz="6" w:space="0" w:color="auto"/>
              <w:left w:val="single" w:sz="6" w:space="0" w:color="auto"/>
              <w:bottom w:val="single" w:sz="6" w:space="0" w:color="auto"/>
              <w:right w:val="single" w:sz="6" w:space="0" w:color="auto"/>
            </w:tcBorders>
          </w:tcPr>
          <w:p w14:paraId="0884A210"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0,01</w:t>
            </w:r>
          </w:p>
        </w:tc>
      </w:tr>
      <w:tr w:rsidR="00D42621" w:rsidRPr="00D42621" w14:paraId="01B6825B"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287CDEBE"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TVP Děčín - Popovický vrch</w:t>
            </w:r>
          </w:p>
        </w:tc>
        <w:tc>
          <w:tcPr>
            <w:tcW w:w="1718" w:type="dxa"/>
            <w:tcBorders>
              <w:top w:val="single" w:sz="6" w:space="0" w:color="auto"/>
              <w:left w:val="single" w:sz="6" w:space="0" w:color="auto"/>
              <w:bottom w:val="single" w:sz="6" w:space="0" w:color="auto"/>
              <w:right w:val="single" w:sz="6" w:space="0" w:color="auto"/>
            </w:tcBorders>
          </w:tcPr>
          <w:p w14:paraId="5979F9C3"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Nova</w:t>
            </w:r>
          </w:p>
        </w:tc>
        <w:tc>
          <w:tcPr>
            <w:tcW w:w="1514" w:type="dxa"/>
            <w:tcBorders>
              <w:top w:val="single" w:sz="6" w:space="0" w:color="auto"/>
              <w:left w:val="single" w:sz="6" w:space="0" w:color="auto"/>
              <w:bottom w:val="single" w:sz="6" w:space="0" w:color="auto"/>
              <w:right w:val="single" w:sz="6" w:space="0" w:color="auto"/>
            </w:tcBorders>
          </w:tcPr>
          <w:p w14:paraId="376F866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6</w:t>
            </w:r>
          </w:p>
        </w:tc>
        <w:tc>
          <w:tcPr>
            <w:tcW w:w="1582" w:type="dxa"/>
            <w:tcBorders>
              <w:top w:val="single" w:sz="6" w:space="0" w:color="auto"/>
              <w:left w:val="single" w:sz="6" w:space="0" w:color="auto"/>
              <w:bottom w:val="single" w:sz="6" w:space="0" w:color="auto"/>
              <w:right w:val="single" w:sz="6" w:space="0" w:color="auto"/>
            </w:tcBorders>
          </w:tcPr>
          <w:p w14:paraId="4C841215"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0,01</w:t>
            </w:r>
          </w:p>
        </w:tc>
      </w:tr>
      <w:tr w:rsidR="00D42621" w:rsidRPr="00D42621" w14:paraId="485B816B"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51B37E8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TVP Děčín - Popovický vrch</w:t>
            </w:r>
          </w:p>
        </w:tc>
        <w:tc>
          <w:tcPr>
            <w:tcW w:w="1718" w:type="dxa"/>
            <w:tcBorders>
              <w:top w:val="single" w:sz="6" w:space="0" w:color="auto"/>
              <w:left w:val="single" w:sz="6" w:space="0" w:color="auto"/>
              <w:bottom w:val="single" w:sz="6" w:space="0" w:color="auto"/>
              <w:right w:val="single" w:sz="6" w:space="0" w:color="auto"/>
            </w:tcBorders>
          </w:tcPr>
          <w:p w14:paraId="6E0AC87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Prima</w:t>
            </w:r>
          </w:p>
        </w:tc>
        <w:tc>
          <w:tcPr>
            <w:tcW w:w="1514" w:type="dxa"/>
            <w:tcBorders>
              <w:top w:val="single" w:sz="6" w:space="0" w:color="auto"/>
              <w:left w:val="single" w:sz="6" w:space="0" w:color="auto"/>
              <w:bottom w:val="single" w:sz="6" w:space="0" w:color="auto"/>
              <w:right w:val="single" w:sz="6" w:space="0" w:color="auto"/>
            </w:tcBorders>
          </w:tcPr>
          <w:p w14:paraId="2EB9FEAF"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c>
          <w:tcPr>
            <w:tcW w:w="1582" w:type="dxa"/>
            <w:tcBorders>
              <w:top w:val="single" w:sz="6" w:space="0" w:color="auto"/>
              <w:left w:val="single" w:sz="6" w:space="0" w:color="auto"/>
              <w:bottom w:val="single" w:sz="6" w:space="0" w:color="auto"/>
              <w:right w:val="single" w:sz="6" w:space="0" w:color="auto"/>
            </w:tcBorders>
          </w:tcPr>
          <w:p w14:paraId="306C5DE9"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c>
      </w:tr>
      <w:tr w:rsidR="00D42621" w:rsidRPr="00D42621" w14:paraId="33FCECDE"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7980D48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TVP Děčín - Bělá</w:t>
            </w:r>
          </w:p>
        </w:tc>
        <w:tc>
          <w:tcPr>
            <w:tcW w:w="1718" w:type="dxa"/>
            <w:tcBorders>
              <w:top w:val="single" w:sz="6" w:space="0" w:color="auto"/>
              <w:left w:val="single" w:sz="6" w:space="0" w:color="auto"/>
              <w:bottom w:val="single" w:sz="6" w:space="0" w:color="auto"/>
              <w:right w:val="single" w:sz="6" w:space="0" w:color="auto"/>
            </w:tcBorders>
          </w:tcPr>
          <w:p w14:paraId="5E6696D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ČT 1</w:t>
            </w:r>
          </w:p>
        </w:tc>
        <w:tc>
          <w:tcPr>
            <w:tcW w:w="1514" w:type="dxa"/>
            <w:tcBorders>
              <w:top w:val="single" w:sz="6" w:space="0" w:color="auto"/>
              <w:left w:val="single" w:sz="6" w:space="0" w:color="auto"/>
              <w:bottom w:val="single" w:sz="6" w:space="0" w:color="auto"/>
              <w:right w:val="single" w:sz="6" w:space="0" w:color="auto"/>
            </w:tcBorders>
          </w:tcPr>
          <w:p w14:paraId="20B56E6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35</w:t>
            </w:r>
          </w:p>
        </w:tc>
        <w:tc>
          <w:tcPr>
            <w:tcW w:w="1582" w:type="dxa"/>
            <w:tcBorders>
              <w:top w:val="single" w:sz="6" w:space="0" w:color="auto"/>
              <w:left w:val="single" w:sz="6" w:space="0" w:color="auto"/>
              <w:bottom w:val="single" w:sz="6" w:space="0" w:color="auto"/>
              <w:right w:val="single" w:sz="6" w:space="0" w:color="auto"/>
            </w:tcBorders>
          </w:tcPr>
          <w:p w14:paraId="6B58428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7675C405"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0917C091"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TVP Děčín - Bělá</w:t>
            </w:r>
          </w:p>
        </w:tc>
        <w:tc>
          <w:tcPr>
            <w:tcW w:w="1718" w:type="dxa"/>
            <w:tcBorders>
              <w:top w:val="single" w:sz="6" w:space="0" w:color="auto"/>
              <w:left w:val="single" w:sz="6" w:space="0" w:color="auto"/>
              <w:bottom w:val="single" w:sz="6" w:space="0" w:color="auto"/>
              <w:right w:val="single" w:sz="6" w:space="0" w:color="auto"/>
            </w:tcBorders>
          </w:tcPr>
          <w:p w14:paraId="6F432BD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Nova</w:t>
            </w:r>
          </w:p>
        </w:tc>
        <w:tc>
          <w:tcPr>
            <w:tcW w:w="1514" w:type="dxa"/>
            <w:tcBorders>
              <w:top w:val="single" w:sz="6" w:space="0" w:color="auto"/>
              <w:left w:val="single" w:sz="6" w:space="0" w:color="auto"/>
              <w:bottom w:val="single" w:sz="6" w:space="0" w:color="auto"/>
              <w:right w:val="single" w:sz="6" w:space="0" w:color="auto"/>
            </w:tcBorders>
          </w:tcPr>
          <w:p w14:paraId="7EF543D8"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8</w:t>
            </w:r>
          </w:p>
        </w:tc>
        <w:tc>
          <w:tcPr>
            <w:tcW w:w="1582" w:type="dxa"/>
            <w:tcBorders>
              <w:top w:val="single" w:sz="6" w:space="0" w:color="auto"/>
              <w:left w:val="single" w:sz="6" w:space="0" w:color="auto"/>
              <w:bottom w:val="single" w:sz="6" w:space="0" w:color="auto"/>
              <w:right w:val="single" w:sz="6" w:space="0" w:color="auto"/>
            </w:tcBorders>
          </w:tcPr>
          <w:p w14:paraId="2238C1F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319E82B0"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1EEDE2DD"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TVP Děčín - Březiny</w:t>
            </w:r>
          </w:p>
        </w:tc>
        <w:tc>
          <w:tcPr>
            <w:tcW w:w="1718" w:type="dxa"/>
            <w:tcBorders>
              <w:top w:val="single" w:sz="6" w:space="0" w:color="auto"/>
              <w:left w:val="single" w:sz="6" w:space="0" w:color="auto"/>
              <w:bottom w:val="single" w:sz="6" w:space="0" w:color="auto"/>
              <w:right w:val="single" w:sz="6" w:space="0" w:color="auto"/>
            </w:tcBorders>
          </w:tcPr>
          <w:p w14:paraId="2724F34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ČT 1</w:t>
            </w:r>
          </w:p>
        </w:tc>
        <w:tc>
          <w:tcPr>
            <w:tcW w:w="1514" w:type="dxa"/>
            <w:tcBorders>
              <w:top w:val="single" w:sz="6" w:space="0" w:color="auto"/>
              <w:left w:val="single" w:sz="6" w:space="0" w:color="auto"/>
              <w:bottom w:val="single" w:sz="6" w:space="0" w:color="auto"/>
              <w:right w:val="single" w:sz="6" w:space="0" w:color="auto"/>
            </w:tcBorders>
          </w:tcPr>
          <w:p w14:paraId="4F94DC94"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39</w:t>
            </w:r>
          </w:p>
        </w:tc>
        <w:tc>
          <w:tcPr>
            <w:tcW w:w="1582" w:type="dxa"/>
            <w:tcBorders>
              <w:top w:val="single" w:sz="6" w:space="0" w:color="auto"/>
              <w:left w:val="single" w:sz="6" w:space="0" w:color="auto"/>
              <w:bottom w:val="single" w:sz="6" w:space="0" w:color="auto"/>
              <w:right w:val="single" w:sz="6" w:space="0" w:color="auto"/>
            </w:tcBorders>
          </w:tcPr>
          <w:p w14:paraId="1CDEFD0C"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w:t>
            </w:r>
          </w:p>
        </w:tc>
      </w:tr>
      <w:tr w:rsidR="00D42621" w:rsidRPr="00D42621" w14:paraId="4B4455D8" w14:textId="77777777" w:rsidTr="002D2D45">
        <w:trPr>
          <w:jc w:val="center"/>
        </w:trPr>
        <w:tc>
          <w:tcPr>
            <w:tcW w:w="2550" w:type="dxa"/>
            <w:tcBorders>
              <w:top w:val="single" w:sz="6" w:space="0" w:color="auto"/>
              <w:left w:val="single" w:sz="6" w:space="0" w:color="auto"/>
              <w:bottom w:val="single" w:sz="6" w:space="0" w:color="auto"/>
              <w:right w:val="single" w:sz="6" w:space="0" w:color="auto"/>
            </w:tcBorders>
          </w:tcPr>
          <w:p w14:paraId="29085EC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TVP Děčín - Březiny</w:t>
            </w:r>
          </w:p>
        </w:tc>
        <w:tc>
          <w:tcPr>
            <w:tcW w:w="1718" w:type="dxa"/>
            <w:tcBorders>
              <w:top w:val="single" w:sz="6" w:space="0" w:color="auto"/>
              <w:left w:val="single" w:sz="6" w:space="0" w:color="auto"/>
              <w:bottom w:val="single" w:sz="6" w:space="0" w:color="auto"/>
              <w:right w:val="single" w:sz="6" w:space="0" w:color="auto"/>
            </w:tcBorders>
          </w:tcPr>
          <w:p w14:paraId="41298F2D"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Nova</w:t>
            </w:r>
          </w:p>
        </w:tc>
        <w:tc>
          <w:tcPr>
            <w:tcW w:w="1514" w:type="dxa"/>
            <w:tcBorders>
              <w:top w:val="single" w:sz="6" w:space="0" w:color="auto"/>
              <w:left w:val="single" w:sz="6" w:space="0" w:color="auto"/>
              <w:bottom w:val="single" w:sz="6" w:space="0" w:color="auto"/>
              <w:right w:val="single" w:sz="6" w:space="0" w:color="auto"/>
            </w:tcBorders>
          </w:tcPr>
          <w:p w14:paraId="72668DBB"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11</w:t>
            </w:r>
          </w:p>
        </w:tc>
        <w:tc>
          <w:tcPr>
            <w:tcW w:w="1582" w:type="dxa"/>
            <w:tcBorders>
              <w:top w:val="single" w:sz="6" w:space="0" w:color="auto"/>
              <w:left w:val="single" w:sz="6" w:space="0" w:color="auto"/>
              <w:bottom w:val="single" w:sz="6" w:space="0" w:color="auto"/>
              <w:right w:val="single" w:sz="6" w:space="0" w:color="auto"/>
            </w:tcBorders>
          </w:tcPr>
          <w:p w14:paraId="63583DB6"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color w:val="000000"/>
                <w:sz w:val="18"/>
                <w:szCs w:val="18"/>
                <w:lang w:eastAsia="cs-CZ"/>
              </w:rPr>
              <w:t>0</w:t>
            </w:r>
          </w:p>
        </w:tc>
      </w:tr>
    </w:tbl>
    <w:p w14:paraId="179E1A6F"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2768DB6F"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ab/>
        <w:t>Rozhlasový signál v pásmech VKV a SV je na vyhovující úrovni. Město Děčín má vlastní vysílání v pásmu VKV II.</w:t>
      </w:r>
    </w:p>
    <w:p w14:paraId="7CB6F342"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119F2530" w14:textId="77777777" w:rsidR="00D42621" w:rsidRPr="00D42621" w:rsidRDefault="00D42621" w:rsidP="00D42621">
      <w:pPr>
        <w:suppressAutoHyphens w:val="0"/>
        <w:autoSpaceDE w:val="0"/>
        <w:autoSpaceDN w:val="0"/>
        <w:adjustRightInd w:val="0"/>
        <w:spacing w:before="73" w:after="73" w:line="240" w:lineRule="atLeast"/>
        <w:rPr>
          <w:rFonts w:ascii="Arial" w:hAnsi="Arial"/>
          <w:b/>
          <w:bCs/>
          <w:caps/>
          <w:color w:val="000000"/>
          <w:sz w:val="20"/>
          <w:lang w:eastAsia="cs-CZ"/>
        </w:rPr>
      </w:pPr>
      <w:r w:rsidRPr="00D42621">
        <w:rPr>
          <w:rFonts w:ascii="Arial" w:hAnsi="Arial"/>
          <w:b/>
          <w:bCs/>
          <w:caps/>
          <w:color w:val="000000"/>
          <w:sz w:val="20"/>
          <w:lang w:eastAsia="cs-CZ"/>
        </w:rPr>
        <w:t>I.6.4. Radioreléové trasy</w:t>
      </w:r>
    </w:p>
    <w:p w14:paraId="21625FCE"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5602329C"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r w:rsidRPr="00D42621">
        <w:rPr>
          <w:rFonts w:ascii="Arial" w:hAnsi="Arial"/>
          <w:color w:val="000000"/>
          <w:sz w:val="20"/>
          <w:szCs w:val="20"/>
          <w:lang w:eastAsia="cs-CZ"/>
        </w:rPr>
        <w:t>Řešeným územím prochází celkem tři radioreléové trasy.</w:t>
      </w:r>
    </w:p>
    <w:p w14:paraId="2D5C5D2B" w14:textId="77777777" w:rsidR="00D42621" w:rsidRPr="00D42621" w:rsidRDefault="00D42621" w:rsidP="00D42621">
      <w:pPr>
        <w:suppressAutoHyphens w:val="0"/>
        <w:autoSpaceDE w:val="0"/>
        <w:autoSpaceDN w:val="0"/>
        <w:adjustRightInd w:val="0"/>
        <w:ind w:firstLine="567"/>
        <w:rPr>
          <w:rFonts w:ascii="Arial" w:hAnsi="Arial"/>
          <w:color w:val="000000"/>
          <w:sz w:val="20"/>
          <w:szCs w:val="20"/>
          <w:lang w:eastAsia="cs-CZ"/>
        </w:rPr>
      </w:pPr>
    </w:p>
    <w:tbl>
      <w:tblPr>
        <w:tblW w:w="0" w:type="auto"/>
        <w:jc w:val="center"/>
        <w:tblLayout w:type="fixed"/>
        <w:tblCellMar>
          <w:left w:w="70" w:type="dxa"/>
          <w:right w:w="70" w:type="dxa"/>
        </w:tblCellMar>
        <w:tblLook w:val="0000" w:firstRow="0" w:lastRow="0" w:firstColumn="0" w:lastColumn="0" w:noHBand="0" w:noVBand="0"/>
      </w:tblPr>
      <w:tblGrid>
        <w:gridCol w:w="3191"/>
        <w:gridCol w:w="3150"/>
      </w:tblGrid>
      <w:tr w:rsidR="00D42621" w:rsidRPr="00D42621" w14:paraId="2043D64A" w14:textId="77777777" w:rsidTr="002D2D45">
        <w:trPr>
          <w:jc w:val="center"/>
        </w:trPr>
        <w:tc>
          <w:tcPr>
            <w:tcW w:w="3191" w:type="dxa"/>
            <w:tcBorders>
              <w:top w:val="single" w:sz="6" w:space="0" w:color="auto"/>
              <w:left w:val="single" w:sz="6" w:space="0" w:color="auto"/>
              <w:bottom w:val="single" w:sz="6" w:space="0" w:color="auto"/>
              <w:right w:val="single" w:sz="6" w:space="0" w:color="auto"/>
            </w:tcBorders>
          </w:tcPr>
          <w:p w14:paraId="4B6F13EF"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radioreleová trasa</w:t>
            </w:r>
          </w:p>
        </w:tc>
        <w:tc>
          <w:tcPr>
            <w:tcW w:w="3150" w:type="dxa"/>
            <w:tcBorders>
              <w:top w:val="single" w:sz="6" w:space="0" w:color="auto"/>
              <w:left w:val="single" w:sz="6" w:space="0" w:color="auto"/>
              <w:bottom w:val="single" w:sz="6" w:space="0" w:color="auto"/>
              <w:right w:val="single" w:sz="6" w:space="0" w:color="auto"/>
            </w:tcBorders>
          </w:tcPr>
          <w:p w14:paraId="7F5CA571" w14:textId="77777777" w:rsidR="00D42621" w:rsidRPr="00D42621" w:rsidRDefault="00D42621" w:rsidP="00D42621">
            <w:pPr>
              <w:suppressAutoHyphens w:val="0"/>
              <w:autoSpaceDE w:val="0"/>
              <w:autoSpaceDN w:val="0"/>
              <w:adjustRightInd w:val="0"/>
              <w:spacing w:line="240" w:lineRule="atLeast"/>
              <w:jc w:val="center"/>
              <w:rPr>
                <w:rFonts w:ascii="Arial" w:hAnsi="Arial"/>
                <w:color w:val="000000"/>
                <w:sz w:val="16"/>
                <w:szCs w:val="16"/>
                <w:lang w:eastAsia="cs-CZ"/>
              </w:rPr>
            </w:pPr>
            <w:r w:rsidRPr="00D42621">
              <w:rPr>
                <w:rFonts w:ascii="Arial" w:hAnsi="Arial"/>
                <w:b/>
                <w:bCs/>
                <w:color w:val="000000"/>
                <w:sz w:val="18"/>
                <w:szCs w:val="18"/>
                <w:lang w:eastAsia="cs-CZ"/>
              </w:rPr>
              <w:t>provozovatel trasy</w:t>
            </w:r>
          </w:p>
        </w:tc>
      </w:tr>
      <w:tr w:rsidR="00D42621" w:rsidRPr="00D42621" w14:paraId="062D8DB0" w14:textId="77777777" w:rsidTr="002D2D45">
        <w:trPr>
          <w:jc w:val="center"/>
        </w:trPr>
        <w:tc>
          <w:tcPr>
            <w:tcW w:w="3191" w:type="dxa"/>
            <w:tcBorders>
              <w:top w:val="single" w:sz="6" w:space="0" w:color="auto"/>
              <w:left w:val="single" w:sz="6" w:space="0" w:color="auto"/>
              <w:bottom w:val="single" w:sz="6" w:space="0" w:color="auto"/>
              <w:right w:val="single" w:sz="6" w:space="0" w:color="auto"/>
            </w:tcBorders>
          </w:tcPr>
          <w:p w14:paraId="6580A0A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Buková Hora - Mikulášovice</w:t>
            </w:r>
          </w:p>
        </w:tc>
        <w:tc>
          <w:tcPr>
            <w:tcW w:w="3150" w:type="dxa"/>
            <w:tcBorders>
              <w:top w:val="single" w:sz="6" w:space="0" w:color="auto"/>
              <w:left w:val="single" w:sz="6" w:space="0" w:color="auto"/>
              <w:bottom w:val="single" w:sz="6" w:space="0" w:color="auto"/>
              <w:right w:val="single" w:sz="6" w:space="0" w:color="auto"/>
            </w:tcBorders>
          </w:tcPr>
          <w:p w14:paraId="129F5932"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České radiokomunikace a.s. Praha</w:t>
            </w:r>
          </w:p>
        </w:tc>
      </w:tr>
      <w:tr w:rsidR="00D42621" w:rsidRPr="00D42621" w14:paraId="65726FDD" w14:textId="77777777" w:rsidTr="002D2D45">
        <w:trPr>
          <w:jc w:val="center"/>
        </w:trPr>
        <w:tc>
          <w:tcPr>
            <w:tcW w:w="3191" w:type="dxa"/>
            <w:tcBorders>
              <w:top w:val="single" w:sz="6" w:space="0" w:color="auto"/>
              <w:left w:val="single" w:sz="6" w:space="0" w:color="auto"/>
              <w:bottom w:val="single" w:sz="6" w:space="0" w:color="auto"/>
              <w:right w:val="single" w:sz="6" w:space="0" w:color="auto"/>
            </w:tcBorders>
          </w:tcPr>
          <w:p w14:paraId="1CA14719"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 xml:space="preserve">Nakléřov - Policie Děčín </w:t>
            </w:r>
          </w:p>
        </w:tc>
        <w:tc>
          <w:tcPr>
            <w:tcW w:w="3150" w:type="dxa"/>
            <w:tcBorders>
              <w:top w:val="single" w:sz="6" w:space="0" w:color="auto"/>
              <w:left w:val="single" w:sz="6" w:space="0" w:color="auto"/>
              <w:bottom w:val="single" w:sz="6" w:space="0" w:color="auto"/>
              <w:right w:val="single" w:sz="6" w:space="0" w:color="auto"/>
            </w:tcBorders>
          </w:tcPr>
          <w:p w14:paraId="7231395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Ministerstvo vnitra ČR</w:t>
            </w:r>
          </w:p>
        </w:tc>
      </w:tr>
      <w:tr w:rsidR="00D42621" w:rsidRPr="00D42621" w14:paraId="7509D0B5" w14:textId="77777777" w:rsidTr="002D2D45">
        <w:trPr>
          <w:jc w:val="center"/>
        </w:trPr>
        <w:tc>
          <w:tcPr>
            <w:tcW w:w="3191" w:type="dxa"/>
            <w:tcBorders>
              <w:top w:val="single" w:sz="6" w:space="0" w:color="auto"/>
              <w:left w:val="single" w:sz="6" w:space="0" w:color="auto"/>
              <w:bottom w:val="single" w:sz="6" w:space="0" w:color="auto"/>
              <w:right w:val="single" w:sz="6" w:space="0" w:color="auto"/>
            </w:tcBorders>
          </w:tcPr>
          <w:p w14:paraId="723A4B6C"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Nakléřov - Prácheň</w:t>
            </w:r>
          </w:p>
        </w:tc>
        <w:tc>
          <w:tcPr>
            <w:tcW w:w="3150" w:type="dxa"/>
            <w:tcBorders>
              <w:top w:val="single" w:sz="6" w:space="0" w:color="auto"/>
              <w:left w:val="single" w:sz="6" w:space="0" w:color="auto"/>
              <w:bottom w:val="single" w:sz="6" w:space="0" w:color="auto"/>
              <w:right w:val="single" w:sz="6" w:space="0" w:color="auto"/>
            </w:tcBorders>
          </w:tcPr>
          <w:p w14:paraId="416C5BC8" w14:textId="77777777" w:rsidR="00D42621" w:rsidRPr="00D42621" w:rsidRDefault="00D42621" w:rsidP="00D42621">
            <w:pPr>
              <w:suppressAutoHyphens w:val="0"/>
              <w:autoSpaceDE w:val="0"/>
              <w:autoSpaceDN w:val="0"/>
              <w:adjustRightInd w:val="0"/>
              <w:spacing w:line="240" w:lineRule="atLeast"/>
              <w:rPr>
                <w:rFonts w:ascii="Arial" w:hAnsi="Arial"/>
                <w:color w:val="000000"/>
                <w:sz w:val="16"/>
                <w:szCs w:val="16"/>
                <w:lang w:eastAsia="cs-CZ"/>
              </w:rPr>
            </w:pPr>
            <w:r w:rsidRPr="00D42621">
              <w:rPr>
                <w:rFonts w:ascii="Arial" w:hAnsi="Arial"/>
                <w:color w:val="000000"/>
                <w:sz w:val="18"/>
                <w:szCs w:val="18"/>
                <w:lang w:eastAsia="cs-CZ"/>
              </w:rPr>
              <w:t>Ministerstvo vnitra ČR</w:t>
            </w:r>
          </w:p>
        </w:tc>
      </w:tr>
    </w:tbl>
    <w:p w14:paraId="1498B3C8" w14:textId="77777777" w:rsidR="00D42621" w:rsidRPr="00D42621" w:rsidRDefault="00D42621" w:rsidP="00D42621">
      <w:pPr>
        <w:suppressAutoHyphens w:val="0"/>
        <w:autoSpaceDE w:val="0"/>
        <w:autoSpaceDN w:val="0"/>
        <w:adjustRightInd w:val="0"/>
        <w:rPr>
          <w:rFonts w:ascii="Arial" w:hAnsi="Arial" w:cs="Arial"/>
          <w:sz w:val="20"/>
          <w:lang w:eastAsia="cs-CZ"/>
        </w:rPr>
      </w:pPr>
    </w:p>
    <w:p w14:paraId="4135B53B"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b/>
          <w:bCs/>
          <w:color w:val="000000"/>
          <w:sz w:val="20"/>
          <w:szCs w:val="20"/>
          <w:lang w:eastAsia="cs-CZ"/>
        </w:rPr>
        <w:t>Veřejně prospěšné stavby</w:t>
      </w:r>
      <w:r w:rsidRPr="00D42621">
        <w:rPr>
          <w:rFonts w:ascii="Arial" w:hAnsi="Arial"/>
          <w:color w:val="000000"/>
          <w:sz w:val="20"/>
          <w:szCs w:val="20"/>
          <w:lang w:eastAsia="cs-CZ"/>
        </w:rPr>
        <w:t xml:space="preserve"> - územní plán neřeší detailně rozvoj místní sítě, v grafické části jsou zakresleny dálkové kabely a telekomunikační uzly (ústředny). Napojení jednotlivých rozvojových ploch na místní síť bude řešeno v zastavovacích studiích rozvojových ploch a konkretizované trasy připojovacích kabelů mohou být prohlášeny za stavbu veřejně prospěšnou.</w:t>
      </w:r>
    </w:p>
    <w:p w14:paraId="44766D67" w14:textId="77777777" w:rsidR="00D42621" w:rsidRPr="00D42621" w:rsidRDefault="00D42621" w:rsidP="00D42621">
      <w:pPr>
        <w:suppressAutoHyphens w:val="0"/>
        <w:autoSpaceDE w:val="0"/>
        <w:autoSpaceDN w:val="0"/>
        <w:adjustRightInd w:val="0"/>
        <w:spacing w:line="240" w:lineRule="atLeast"/>
        <w:ind w:firstLine="567"/>
        <w:rPr>
          <w:rFonts w:ascii="Arial" w:hAnsi="Arial"/>
          <w:color w:val="000000"/>
          <w:sz w:val="20"/>
          <w:szCs w:val="20"/>
          <w:lang w:eastAsia="cs-CZ"/>
        </w:rPr>
      </w:pPr>
    </w:p>
    <w:p w14:paraId="0E4FE183" w14:textId="77777777" w:rsidR="00D42621" w:rsidRPr="00D42621" w:rsidRDefault="00D42621" w:rsidP="00D42621">
      <w:pPr>
        <w:suppressAutoHyphens w:val="0"/>
        <w:autoSpaceDE w:val="0"/>
        <w:autoSpaceDN w:val="0"/>
        <w:adjustRightInd w:val="0"/>
        <w:spacing w:line="240" w:lineRule="atLeast"/>
        <w:rPr>
          <w:rFonts w:ascii="Arial" w:hAnsi="Arial"/>
          <w:color w:val="000000"/>
          <w:sz w:val="20"/>
          <w:szCs w:val="20"/>
          <w:lang w:eastAsia="cs-CZ"/>
        </w:rPr>
      </w:pPr>
      <w:r w:rsidRPr="00D42621">
        <w:rPr>
          <w:rFonts w:ascii="Arial" w:hAnsi="Arial"/>
          <w:b/>
          <w:bCs/>
          <w:color w:val="000000"/>
          <w:sz w:val="20"/>
          <w:szCs w:val="20"/>
          <w:lang w:eastAsia="cs-CZ"/>
        </w:rPr>
        <w:t xml:space="preserve">Ochranná pásma </w:t>
      </w:r>
      <w:r w:rsidRPr="00D42621">
        <w:rPr>
          <w:rFonts w:ascii="Arial" w:hAnsi="Arial"/>
          <w:color w:val="000000"/>
          <w:sz w:val="20"/>
          <w:szCs w:val="20"/>
          <w:lang w:eastAsia="cs-CZ"/>
        </w:rPr>
        <w:t>telekomunikačních zařízení jsou uvedena v kapitole D této zprávy.</w:t>
      </w:r>
    </w:p>
    <w:p w14:paraId="298B10F1" w14:textId="77777777" w:rsidR="00D42621" w:rsidRPr="00D42621" w:rsidRDefault="00D42621" w:rsidP="00D42621">
      <w:pPr>
        <w:suppressAutoHyphens w:val="0"/>
        <w:rPr>
          <w:lang w:eastAsia="cs-CZ"/>
        </w:rPr>
      </w:pPr>
    </w:p>
    <w:p w14:paraId="5715C9C9" w14:textId="77777777" w:rsidR="00D42621" w:rsidRPr="00D42621" w:rsidRDefault="00D42621" w:rsidP="00D42621">
      <w:pPr>
        <w:suppressAutoHyphens w:val="0"/>
        <w:rPr>
          <w:lang w:eastAsia="cs-CZ"/>
        </w:rPr>
      </w:pPr>
    </w:p>
    <w:p w14:paraId="79EB14DC" w14:textId="77777777" w:rsidR="00D42621" w:rsidRDefault="00D42621" w:rsidP="00D42621">
      <w:pPr>
        <w:suppressAutoHyphens w:val="0"/>
        <w:rPr>
          <w:lang w:eastAsia="cs-CZ"/>
        </w:rPr>
      </w:pPr>
    </w:p>
    <w:p w14:paraId="4A8C2AE4" w14:textId="77777777" w:rsidR="00D42621" w:rsidRDefault="00D42621" w:rsidP="00D42621">
      <w:pPr>
        <w:suppressAutoHyphens w:val="0"/>
        <w:rPr>
          <w:lang w:eastAsia="cs-CZ"/>
        </w:rPr>
      </w:pPr>
    </w:p>
    <w:p w14:paraId="7E56471D" w14:textId="77777777" w:rsidR="00D42621" w:rsidRDefault="00D42621" w:rsidP="00D42621">
      <w:pPr>
        <w:suppressAutoHyphens w:val="0"/>
        <w:rPr>
          <w:lang w:eastAsia="cs-CZ"/>
        </w:rPr>
      </w:pPr>
    </w:p>
    <w:p w14:paraId="4EF31F04" w14:textId="77777777" w:rsidR="00D42621" w:rsidRDefault="00D42621" w:rsidP="00D42621">
      <w:pPr>
        <w:suppressAutoHyphens w:val="0"/>
        <w:rPr>
          <w:lang w:eastAsia="cs-CZ"/>
        </w:rPr>
      </w:pPr>
    </w:p>
    <w:p w14:paraId="5FF9C37A" w14:textId="77777777" w:rsidR="00D42621" w:rsidRDefault="00D42621" w:rsidP="00D42621">
      <w:pPr>
        <w:suppressAutoHyphens w:val="0"/>
        <w:rPr>
          <w:lang w:eastAsia="cs-CZ"/>
        </w:rPr>
      </w:pPr>
    </w:p>
    <w:p w14:paraId="0BCD1629" w14:textId="77777777" w:rsidR="00D42621" w:rsidRDefault="00D42621" w:rsidP="00D42621">
      <w:pPr>
        <w:suppressAutoHyphens w:val="0"/>
        <w:rPr>
          <w:lang w:eastAsia="cs-CZ"/>
        </w:rPr>
      </w:pPr>
    </w:p>
    <w:p w14:paraId="55D7D984" w14:textId="77777777" w:rsidR="00D42621" w:rsidRDefault="00D42621" w:rsidP="00D42621">
      <w:pPr>
        <w:suppressAutoHyphens w:val="0"/>
        <w:rPr>
          <w:lang w:eastAsia="cs-CZ"/>
        </w:rPr>
      </w:pPr>
    </w:p>
    <w:p w14:paraId="54C086C0" w14:textId="77777777" w:rsidR="00D42621" w:rsidRDefault="00D42621" w:rsidP="00D42621">
      <w:pPr>
        <w:suppressAutoHyphens w:val="0"/>
        <w:rPr>
          <w:lang w:eastAsia="cs-CZ"/>
        </w:rPr>
      </w:pPr>
    </w:p>
    <w:p w14:paraId="78FE5FDE" w14:textId="77777777" w:rsidR="00D42621" w:rsidRDefault="00D42621" w:rsidP="00D42621">
      <w:pPr>
        <w:suppressAutoHyphens w:val="0"/>
        <w:rPr>
          <w:lang w:eastAsia="cs-CZ"/>
        </w:rPr>
      </w:pPr>
    </w:p>
    <w:p w14:paraId="51B0CBF9" w14:textId="77777777" w:rsidR="00D42621" w:rsidRDefault="00D42621" w:rsidP="00D42621">
      <w:pPr>
        <w:suppressAutoHyphens w:val="0"/>
        <w:rPr>
          <w:lang w:eastAsia="cs-CZ"/>
        </w:rPr>
      </w:pPr>
    </w:p>
    <w:p w14:paraId="068DE0E8" w14:textId="77777777" w:rsidR="00D42621" w:rsidRDefault="00D42621" w:rsidP="00D42621">
      <w:pPr>
        <w:suppressAutoHyphens w:val="0"/>
        <w:rPr>
          <w:lang w:eastAsia="cs-CZ"/>
        </w:rPr>
      </w:pPr>
    </w:p>
    <w:p w14:paraId="0BF9E8C5" w14:textId="77777777" w:rsidR="00D42621" w:rsidRDefault="00D42621" w:rsidP="00D42621">
      <w:pPr>
        <w:suppressAutoHyphens w:val="0"/>
        <w:rPr>
          <w:lang w:eastAsia="cs-CZ"/>
        </w:rPr>
      </w:pPr>
    </w:p>
    <w:p w14:paraId="0D6381CB" w14:textId="77777777" w:rsidR="00D42621" w:rsidRDefault="00D42621" w:rsidP="00D42621">
      <w:pPr>
        <w:suppressAutoHyphens w:val="0"/>
        <w:rPr>
          <w:lang w:eastAsia="cs-CZ"/>
        </w:rPr>
      </w:pPr>
    </w:p>
    <w:p w14:paraId="3D771360" w14:textId="77777777" w:rsidR="00D42621" w:rsidRDefault="00D42621" w:rsidP="00D42621">
      <w:pPr>
        <w:suppressAutoHyphens w:val="0"/>
        <w:rPr>
          <w:lang w:eastAsia="cs-CZ"/>
        </w:rPr>
      </w:pPr>
    </w:p>
    <w:p w14:paraId="1C2F206B" w14:textId="77777777" w:rsidR="00D42621" w:rsidRDefault="00D42621" w:rsidP="00D42621">
      <w:pPr>
        <w:suppressAutoHyphens w:val="0"/>
        <w:rPr>
          <w:lang w:eastAsia="cs-CZ"/>
        </w:rPr>
      </w:pPr>
    </w:p>
    <w:p w14:paraId="56FB7AD7" w14:textId="77777777" w:rsidR="00D42621" w:rsidRDefault="00D42621" w:rsidP="00D42621">
      <w:pPr>
        <w:suppressAutoHyphens w:val="0"/>
        <w:rPr>
          <w:lang w:eastAsia="cs-CZ"/>
        </w:rPr>
      </w:pPr>
    </w:p>
    <w:p w14:paraId="08A47F5F" w14:textId="77777777" w:rsidR="00D42621" w:rsidRDefault="00D42621" w:rsidP="00D42621">
      <w:pPr>
        <w:suppressAutoHyphens w:val="0"/>
        <w:rPr>
          <w:lang w:eastAsia="cs-CZ"/>
        </w:rPr>
      </w:pPr>
    </w:p>
    <w:p w14:paraId="29B71D41" w14:textId="77777777" w:rsidR="00D42621" w:rsidRDefault="00D42621" w:rsidP="00D42621">
      <w:pPr>
        <w:suppressAutoHyphens w:val="0"/>
        <w:rPr>
          <w:lang w:eastAsia="cs-CZ"/>
        </w:rPr>
      </w:pPr>
    </w:p>
    <w:p w14:paraId="70EA13DD" w14:textId="77777777" w:rsidR="00D42621" w:rsidRDefault="00D42621" w:rsidP="00D42621">
      <w:pPr>
        <w:suppressAutoHyphens w:val="0"/>
        <w:rPr>
          <w:lang w:eastAsia="cs-CZ"/>
        </w:rPr>
      </w:pPr>
    </w:p>
    <w:p w14:paraId="5F08E98A" w14:textId="77777777" w:rsidR="00D42621" w:rsidRDefault="00D42621" w:rsidP="00D42621">
      <w:pPr>
        <w:suppressAutoHyphens w:val="0"/>
        <w:rPr>
          <w:lang w:eastAsia="cs-CZ"/>
        </w:rPr>
      </w:pPr>
    </w:p>
    <w:p w14:paraId="73F42E78" w14:textId="77777777" w:rsidR="00D42621" w:rsidRDefault="00D42621" w:rsidP="00D42621">
      <w:pPr>
        <w:suppressAutoHyphens w:val="0"/>
        <w:rPr>
          <w:lang w:eastAsia="cs-CZ"/>
        </w:rPr>
      </w:pPr>
    </w:p>
    <w:p w14:paraId="79A79B8A" w14:textId="77777777" w:rsidR="00D42621" w:rsidRDefault="00D42621" w:rsidP="00D42621">
      <w:pPr>
        <w:suppressAutoHyphens w:val="0"/>
        <w:rPr>
          <w:lang w:eastAsia="cs-CZ"/>
        </w:rPr>
      </w:pPr>
    </w:p>
    <w:p w14:paraId="2E06F758" w14:textId="77777777" w:rsidR="00D42621" w:rsidRDefault="00D42621" w:rsidP="00D42621">
      <w:pPr>
        <w:suppressAutoHyphens w:val="0"/>
        <w:rPr>
          <w:lang w:eastAsia="cs-CZ"/>
        </w:rPr>
      </w:pPr>
    </w:p>
    <w:p w14:paraId="5C4BA855" w14:textId="77777777" w:rsidR="00D42621" w:rsidRDefault="00D42621" w:rsidP="00D42621">
      <w:pPr>
        <w:suppressAutoHyphens w:val="0"/>
        <w:rPr>
          <w:lang w:eastAsia="cs-CZ"/>
        </w:rPr>
      </w:pPr>
    </w:p>
    <w:p w14:paraId="5D85BC03" w14:textId="77777777" w:rsidR="00D42621" w:rsidRDefault="00D42621" w:rsidP="00D42621">
      <w:pPr>
        <w:suppressAutoHyphens w:val="0"/>
        <w:rPr>
          <w:lang w:eastAsia="cs-CZ"/>
        </w:rPr>
      </w:pPr>
    </w:p>
    <w:p w14:paraId="6E8AB7F2" w14:textId="77777777" w:rsidR="00D42621" w:rsidRDefault="00D42621" w:rsidP="00D42621">
      <w:pPr>
        <w:suppressAutoHyphens w:val="0"/>
        <w:rPr>
          <w:lang w:eastAsia="cs-CZ"/>
        </w:rPr>
      </w:pPr>
    </w:p>
    <w:p w14:paraId="5ABFBE97" w14:textId="77777777" w:rsidR="00D42621" w:rsidRDefault="00D42621" w:rsidP="00D42621">
      <w:pPr>
        <w:suppressAutoHyphens w:val="0"/>
        <w:rPr>
          <w:lang w:eastAsia="cs-CZ"/>
        </w:rPr>
      </w:pPr>
    </w:p>
    <w:p w14:paraId="08FF947B" w14:textId="77777777" w:rsidR="00D42621" w:rsidRDefault="00D42621" w:rsidP="00D42621">
      <w:pPr>
        <w:suppressAutoHyphens w:val="0"/>
        <w:rPr>
          <w:lang w:eastAsia="cs-CZ"/>
        </w:rPr>
      </w:pPr>
    </w:p>
    <w:p w14:paraId="4FEFDC31" w14:textId="77777777" w:rsidR="00D42621" w:rsidRDefault="00D42621" w:rsidP="00D42621">
      <w:pPr>
        <w:suppressAutoHyphens w:val="0"/>
        <w:rPr>
          <w:lang w:eastAsia="cs-CZ"/>
        </w:rPr>
      </w:pPr>
    </w:p>
    <w:p w14:paraId="3FDF35C4" w14:textId="77777777" w:rsidR="00D42621" w:rsidRDefault="00D42621" w:rsidP="00D42621">
      <w:pPr>
        <w:suppressAutoHyphens w:val="0"/>
        <w:rPr>
          <w:lang w:eastAsia="cs-CZ"/>
        </w:rPr>
      </w:pPr>
    </w:p>
    <w:p w14:paraId="711E849B" w14:textId="77777777" w:rsidR="00D42621" w:rsidRDefault="00D42621" w:rsidP="00D42621">
      <w:pPr>
        <w:suppressAutoHyphens w:val="0"/>
        <w:rPr>
          <w:lang w:eastAsia="cs-CZ"/>
        </w:rPr>
      </w:pPr>
    </w:p>
    <w:p w14:paraId="3AD2176F" w14:textId="77777777" w:rsidR="00D42621" w:rsidRDefault="00D42621" w:rsidP="00D42621">
      <w:pPr>
        <w:suppressAutoHyphens w:val="0"/>
        <w:rPr>
          <w:lang w:eastAsia="cs-CZ"/>
        </w:rPr>
      </w:pPr>
    </w:p>
    <w:p w14:paraId="28D9D12C" w14:textId="77777777" w:rsidR="00D42621" w:rsidRDefault="00D42621" w:rsidP="00D42621">
      <w:pPr>
        <w:suppressAutoHyphens w:val="0"/>
        <w:rPr>
          <w:lang w:eastAsia="cs-CZ"/>
        </w:rPr>
      </w:pPr>
    </w:p>
    <w:p w14:paraId="473A4247" w14:textId="77777777" w:rsidR="00D42621" w:rsidRDefault="00D42621" w:rsidP="00D42621">
      <w:pPr>
        <w:suppressAutoHyphens w:val="0"/>
        <w:rPr>
          <w:lang w:eastAsia="cs-CZ"/>
        </w:rPr>
      </w:pPr>
    </w:p>
    <w:p w14:paraId="210D6799" w14:textId="77777777" w:rsidR="00D42621" w:rsidRDefault="00D42621" w:rsidP="00D42621">
      <w:pPr>
        <w:suppressAutoHyphens w:val="0"/>
        <w:rPr>
          <w:lang w:eastAsia="cs-CZ"/>
        </w:rPr>
      </w:pPr>
    </w:p>
    <w:p w14:paraId="1A4C2F34"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D42621">
        <w:rPr>
          <w:rFonts w:ascii="Arial" w:hAnsi="Arial" w:cs="Arial"/>
          <w:b/>
          <w:color w:val="00B050"/>
          <w:spacing w:val="3"/>
          <w:sz w:val="22"/>
          <w:szCs w:val="22"/>
          <w:lang w:eastAsia="cs-CZ"/>
        </w:rPr>
        <w:lastRenderedPageBreak/>
        <w:t>(Z1)</w:t>
      </w:r>
      <w:r w:rsidRPr="00D42621">
        <w:rPr>
          <w:b/>
          <w:spacing w:val="3"/>
          <w:sz w:val="22"/>
          <w:szCs w:val="22"/>
          <w:lang w:eastAsia="cs-CZ"/>
        </w:rPr>
        <w:t xml:space="preserve"> </w:t>
      </w:r>
      <w:r w:rsidRPr="00D42621">
        <w:rPr>
          <w:rFonts w:ascii="Arial" w:hAnsi="Arial" w:cs="Arial"/>
          <w:b/>
          <w:color w:val="00B050"/>
          <w:spacing w:val="3"/>
          <w:sz w:val="22"/>
          <w:szCs w:val="22"/>
          <w:lang w:eastAsia="cs-CZ"/>
        </w:rPr>
        <w:t>ENERGETIKA A SPOJE</w:t>
      </w:r>
    </w:p>
    <w:p w14:paraId="77BB9077"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71A2165F"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D42621">
        <w:rPr>
          <w:rFonts w:ascii="Arial" w:hAnsi="Arial" w:cs="Arial"/>
          <w:b/>
          <w:color w:val="00B050"/>
          <w:spacing w:val="3"/>
          <w:sz w:val="22"/>
          <w:szCs w:val="22"/>
          <w:lang w:eastAsia="cs-CZ"/>
        </w:rPr>
        <w:t>Úvodem</w:t>
      </w:r>
    </w:p>
    <w:p w14:paraId="72411F23" w14:textId="77777777" w:rsidR="00D42621" w:rsidRPr="00D42621" w:rsidRDefault="00D42621" w:rsidP="00D42621">
      <w:pPr>
        <w:tabs>
          <w:tab w:val="decimal" w:pos="72"/>
          <w:tab w:val="decimal" w:pos="144"/>
          <w:tab w:val="right" w:pos="993"/>
        </w:tabs>
        <w:suppressAutoHyphens w:val="0"/>
        <w:spacing w:before="36" w:line="276" w:lineRule="auto"/>
        <w:ind w:left="708"/>
        <w:jc w:val="both"/>
        <w:rPr>
          <w:rFonts w:ascii="Arial" w:hAnsi="Arial" w:cs="Arial"/>
          <w:color w:val="00B050"/>
          <w:spacing w:val="3"/>
          <w:sz w:val="22"/>
          <w:szCs w:val="22"/>
          <w:lang w:eastAsia="cs-CZ"/>
        </w:rPr>
      </w:pPr>
      <w:r w:rsidRPr="00D42621">
        <w:rPr>
          <w:rFonts w:ascii="Arial" w:hAnsi="Arial" w:cs="Arial"/>
          <w:color w:val="00B050"/>
          <w:spacing w:val="3"/>
          <w:sz w:val="22"/>
          <w:szCs w:val="22"/>
          <w:lang w:eastAsia="cs-CZ"/>
        </w:rPr>
        <w:t xml:space="preserve">Schválený územní plán z roku 2002 navrhuje rozvojové plochy v řešeném území pro 1 682 bytových jednotek v obytných domech a 1 181 rodinných domů. Ve 1.  změně územního plánu se navrhuje výstavba dalších cca 180-200 rodinných domků včetně menší občanské vybavenosti. Vezmeme-li v úvahu další rozvojové plochy schváleného územního plánu pro občanskou vybavenost a ekonomickou základnu, jedná se velké požadavky energetického výkonu i práce a to většinou v síťových systémech. </w:t>
      </w:r>
    </w:p>
    <w:p w14:paraId="47547FD2" w14:textId="77777777" w:rsidR="00D42621" w:rsidRPr="00D42621" w:rsidRDefault="00D42621" w:rsidP="00D42621">
      <w:pPr>
        <w:tabs>
          <w:tab w:val="decimal" w:pos="72"/>
          <w:tab w:val="decimal" w:pos="144"/>
          <w:tab w:val="right" w:pos="993"/>
        </w:tabs>
        <w:suppressAutoHyphens w:val="0"/>
        <w:spacing w:before="36" w:line="276" w:lineRule="auto"/>
        <w:ind w:left="708"/>
        <w:jc w:val="both"/>
        <w:rPr>
          <w:rFonts w:ascii="Arial" w:hAnsi="Arial" w:cs="Arial"/>
          <w:color w:val="00B050"/>
          <w:spacing w:val="3"/>
          <w:sz w:val="22"/>
          <w:szCs w:val="22"/>
          <w:lang w:eastAsia="cs-CZ"/>
        </w:rPr>
      </w:pPr>
      <w:r w:rsidRPr="00D42621">
        <w:rPr>
          <w:rFonts w:ascii="Arial" w:hAnsi="Arial" w:cs="Arial"/>
          <w:color w:val="00B050"/>
          <w:spacing w:val="3"/>
          <w:sz w:val="22"/>
          <w:szCs w:val="22"/>
          <w:lang w:eastAsia="cs-CZ"/>
        </w:rPr>
        <w:t>Doporučuje se na základě poptávky po zástavbě jednotlivých ploch zpracovat generelně řešení plynárenské a elektrorozvodné sítě na straně vysokého napětí.</w:t>
      </w:r>
    </w:p>
    <w:p w14:paraId="0FB869BE" w14:textId="77777777" w:rsidR="00D42621" w:rsidRPr="00D42621" w:rsidRDefault="00D42621" w:rsidP="00D42621">
      <w:pPr>
        <w:tabs>
          <w:tab w:val="decimal" w:pos="72"/>
          <w:tab w:val="decimal" w:pos="144"/>
          <w:tab w:val="right" w:pos="993"/>
        </w:tabs>
        <w:suppressAutoHyphens w:val="0"/>
        <w:spacing w:before="36" w:line="276" w:lineRule="auto"/>
        <w:ind w:left="708"/>
        <w:jc w:val="both"/>
        <w:rPr>
          <w:rFonts w:ascii="Arial" w:hAnsi="Arial" w:cs="Arial"/>
          <w:color w:val="00B050"/>
          <w:spacing w:val="3"/>
          <w:sz w:val="22"/>
          <w:szCs w:val="22"/>
          <w:lang w:eastAsia="cs-CZ"/>
        </w:rPr>
      </w:pPr>
      <w:r w:rsidRPr="00D42621">
        <w:rPr>
          <w:rFonts w:ascii="Arial" w:hAnsi="Arial" w:cs="Arial"/>
          <w:color w:val="00B050"/>
          <w:spacing w:val="3"/>
          <w:sz w:val="22"/>
          <w:szCs w:val="22"/>
          <w:lang w:eastAsia="cs-CZ"/>
        </w:rPr>
        <w:t>Přehled rozvojových ploch schváleného územního plánu a 1. změny ÚPn M č.1 je níže uveden v tabulkách.</w:t>
      </w:r>
    </w:p>
    <w:p w14:paraId="30BD5852"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6AF20167"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i/>
          <w:color w:val="00B050"/>
          <w:spacing w:val="3"/>
          <w:sz w:val="22"/>
          <w:szCs w:val="22"/>
          <w:lang w:eastAsia="cs-CZ"/>
        </w:rPr>
      </w:pPr>
      <w:r w:rsidRPr="00D42621">
        <w:rPr>
          <w:rFonts w:ascii="Arial" w:hAnsi="Arial" w:cs="Arial"/>
          <w:i/>
          <w:color w:val="00B050"/>
          <w:spacing w:val="3"/>
          <w:sz w:val="22"/>
          <w:szCs w:val="22"/>
          <w:lang w:eastAsia="cs-CZ"/>
        </w:rPr>
        <w:t>Poznámka uváděné počty rodinných domů a bytových jednotek mají orientační charakter</w:t>
      </w:r>
    </w:p>
    <w:p w14:paraId="612CAE6C" w14:textId="77777777" w:rsidR="00D42621" w:rsidRPr="00D42621" w:rsidRDefault="00D42621" w:rsidP="00D42621">
      <w:pPr>
        <w:tabs>
          <w:tab w:val="decimal" w:pos="72"/>
          <w:tab w:val="decimal" w:pos="144"/>
          <w:tab w:val="right" w:pos="2679"/>
        </w:tabs>
        <w:suppressAutoHyphens w:val="0"/>
        <w:spacing w:before="36" w:line="276" w:lineRule="auto"/>
        <w:ind w:left="72"/>
        <w:jc w:val="center"/>
        <w:rPr>
          <w:rFonts w:ascii="Arial" w:hAnsi="Arial" w:cs="Arial"/>
          <w:i/>
          <w:color w:val="00B050"/>
          <w:spacing w:val="3"/>
          <w:sz w:val="22"/>
          <w:szCs w:val="22"/>
          <w:lang w:eastAsia="cs-CZ"/>
        </w:rPr>
      </w:pPr>
      <w:r w:rsidRPr="00D42621">
        <w:rPr>
          <w:rFonts w:ascii="Arial" w:hAnsi="Arial" w:cs="Arial"/>
          <w:i/>
          <w:noProof/>
          <w:color w:val="00B050"/>
          <w:spacing w:val="3"/>
          <w:sz w:val="22"/>
          <w:szCs w:val="22"/>
          <w:lang w:eastAsia="cs-CZ"/>
        </w:rPr>
        <w:drawing>
          <wp:inline distT="0" distB="0" distL="0" distR="0" wp14:anchorId="01D1280F" wp14:editId="4FFA8231">
            <wp:extent cx="5975350" cy="4839970"/>
            <wp:effectExtent l="38100" t="38100" r="44450" b="36830"/>
            <wp:docPr id="35002" name="Obrázek 35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5975350" cy="4839970"/>
                    </a:xfrm>
                    <a:prstGeom prst="rect">
                      <a:avLst/>
                    </a:prstGeom>
                    <a:noFill/>
                    <a:ln w="38100" cmpd="sng">
                      <a:solidFill>
                        <a:srgbClr val="00B050"/>
                      </a:solidFill>
                      <a:miter lim="800000"/>
                      <a:headEnd/>
                      <a:tailEnd/>
                    </a:ln>
                    <a:effectLst/>
                  </pic:spPr>
                </pic:pic>
              </a:graphicData>
            </a:graphic>
          </wp:inline>
        </w:drawing>
      </w:r>
    </w:p>
    <w:p w14:paraId="0A2C558E" w14:textId="77777777" w:rsid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p>
    <w:p w14:paraId="61DAE6C6" w14:textId="77777777" w:rsid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p>
    <w:p w14:paraId="25D430FE"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p>
    <w:p w14:paraId="58684BCD"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p>
    <w:p w14:paraId="3430D4E9"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D42621">
        <w:rPr>
          <w:rFonts w:ascii="Arial" w:hAnsi="Arial" w:cs="Arial"/>
          <w:b/>
          <w:color w:val="00B050"/>
          <w:spacing w:val="3"/>
          <w:sz w:val="22"/>
          <w:szCs w:val="22"/>
          <w:lang w:eastAsia="cs-CZ"/>
        </w:rPr>
        <w:t>ZÁKLADNÍ ENERGETICKÁ KONCEPCE ŘEŠENÉHO ÚZEMÍ</w:t>
      </w:r>
    </w:p>
    <w:p w14:paraId="5064B587"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4294CF70"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D42621">
        <w:rPr>
          <w:rFonts w:ascii="Arial" w:hAnsi="Arial" w:cs="Arial"/>
          <w:b/>
          <w:color w:val="00B050"/>
          <w:spacing w:val="3"/>
          <w:sz w:val="22"/>
          <w:szCs w:val="22"/>
          <w:lang w:eastAsia="cs-CZ"/>
        </w:rPr>
        <w:t>Rozvojové plochy č. 2, 4, 5, 7, 8, 9, 10</w:t>
      </w:r>
    </w:p>
    <w:p w14:paraId="61E6DBE5"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r w:rsidRPr="00D42621">
        <w:rPr>
          <w:rFonts w:ascii="Arial" w:hAnsi="Arial" w:cs="Arial"/>
          <w:color w:val="00B050"/>
          <w:spacing w:val="3"/>
          <w:sz w:val="22"/>
          <w:szCs w:val="22"/>
          <w:lang w:eastAsia="cs-CZ"/>
        </w:rPr>
        <w:t>Elektřiny bude využíváno v elektrizačním stupni A, tzn. bude využívána pro svícení a běžné spotřebiče připojitelné na zásuvku. Vytápění bude zajištěno na bázi plynu. Budou přednostně využívány kombinované kotle (možnost ohřevu vody) nebo kotle s akumulačním ohřevem vody. Pro ohřev vody budou rovněž využívány sluneční kolektory.</w:t>
      </w:r>
    </w:p>
    <w:p w14:paraId="708EC2B8"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2FD10794"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D42621">
        <w:rPr>
          <w:rFonts w:ascii="Arial" w:hAnsi="Arial" w:cs="Arial"/>
          <w:b/>
          <w:color w:val="00B050"/>
          <w:spacing w:val="3"/>
          <w:sz w:val="22"/>
          <w:szCs w:val="22"/>
          <w:lang w:eastAsia="cs-CZ"/>
        </w:rPr>
        <w:t>Rozvojové plochy č. 1, 3, 6</w:t>
      </w:r>
    </w:p>
    <w:p w14:paraId="011C80A0"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r w:rsidRPr="00D42621">
        <w:rPr>
          <w:rFonts w:ascii="Arial" w:hAnsi="Arial" w:cs="Arial"/>
          <w:color w:val="00B050"/>
          <w:spacing w:val="3"/>
          <w:sz w:val="22"/>
          <w:szCs w:val="22"/>
          <w:lang w:eastAsia="cs-CZ"/>
        </w:rPr>
        <w:t>Elektřiny bude využíváno v elektrizačním stupni BZ, tzn. pro svícení, spotřebiče připojitelné na zásuvku, vaření a akumulační ohřev užitkové vody. Pro ohřev vody budou rovněž využívány sluneční kolektory. Vytápění bude zajištěno ekologickými palivy dostupnými na trhu (kapalné uhlovodíky, extra nízkosirnaté oleje, biomasa). V případě použití hnědého uhlí bude podmínkou instalovat ekologický kotel. Místní vyhláškou je třeba zamezit spalování odpadů. V blízkosti trafostanic může být po dohodě s dodavatel elektřiny použito elektrické vytápění. Bude se jednat o tepelná čerpadla, hybridní a akumulační vytápění.</w:t>
      </w:r>
    </w:p>
    <w:p w14:paraId="3D7F3505"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5421D1D0"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r w:rsidRPr="00D42621">
        <w:rPr>
          <w:rFonts w:ascii="Arial" w:hAnsi="Arial" w:cs="Arial"/>
          <w:color w:val="00B050"/>
          <w:spacing w:val="3"/>
          <w:sz w:val="22"/>
          <w:szCs w:val="22"/>
          <w:lang w:eastAsia="cs-CZ"/>
        </w:rPr>
        <w:t>Bilance spotřeby zemního plynu byla zpracována ve smyslu směrnice č. 12 ČPP z roku 1989, bilance spotřeby elektřiny pak ve smyslu směrnice ČEZ z roku 1983. (pravidla pro elektrizační soustavu č. 2, údaje v kVA představují podíl výkonu na transformátoru).</w:t>
      </w:r>
    </w:p>
    <w:p w14:paraId="307B0B6E"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p>
    <w:p w14:paraId="7B723FE4"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690A1239"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r w:rsidRPr="00D42621">
        <w:rPr>
          <w:rFonts w:ascii="Arial" w:hAnsi="Arial" w:cs="Arial"/>
          <w:b/>
          <w:noProof/>
          <w:color w:val="00B050"/>
          <w:spacing w:val="3"/>
          <w:sz w:val="22"/>
          <w:szCs w:val="22"/>
          <w:lang w:eastAsia="cs-CZ"/>
        </w:rPr>
        <w:lastRenderedPageBreak/>
        <w:drawing>
          <wp:inline distT="0" distB="0" distL="0" distR="0" wp14:anchorId="58617B3A" wp14:editId="2EC1405B">
            <wp:extent cx="5975350" cy="7441565"/>
            <wp:effectExtent l="38100" t="38100" r="44450" b="45085"/>
            <wp:docPr id="35001" name="Obrázek 35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5975350" cy="7441565"/>
                    </a:xfrm>
                    <a:prstGeom prst="rect">
                      <a:avLst/>
                    </a:prstGeom>
                    <a:noFill/>
                    <a:ln w="38100" cmpd="sng">
                      <a:solidFill>
                        <a:srgbClr val="00B050"/>
                      </a:solidFill>
                      <a:miter lim="800000"/>
                      <a:headEnd/>
                      <a:tailEnd/>
                    </a:ln>
                    <a:effectLst/>
                  </pic:spPr>
                </pic:pic>
              </a:graphicData>
            </a:graphic>
          </wp:inline>
        </w:drawing>
      </w:r>
    </w:p>
    <w:p w14:paraId="426A1369"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7A7782E6" w14:textId="77777777" w:rsid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55E5B700" w14:textId="77777777" w:rsid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68AA682B" w14:textId="77777777" w:rsid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6C6B2C69"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66939C79"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47E6B030" w14:textId="77777777" w:rsidR="00D42621" w:rsidRPr="00D42621" w:rsidRDefault="00D42621" w:rsidP="00D42621">
      <w:pPr>
        <w:tabs>
          <w:tab w:val="decimal" w:pos="72"/>
          <w:tab w:val="decimal" w:pos="144"/>
          <w:tab w:val="right" w:pos="2679"/>
        </w:tabs>
        <w:suppressAutoHyphens w:val="0"/>
        <w:spacing w:before="36" w:line="276" w:lineRule="auto"/>
        <w:jc w:val="both"/>
        <w:rPr>
          <w:rFonts w:ascii="Arial" w:hAnsi="Arial" w:cs="Arial"/>
          <w:b/>
          <w:color w:val="00B050"/>
          <w:spacing w:val="3"/>
          <w:sz w:val="22"/>
          <w:szCs w:val="22"/>
          <w:lang w:eastAsia="cs-CZ"/>
        </w:rPr>
      </w:pPr>
      <w:r w:rsidRPr="00D42621">
        <w:rPr>
          <w:rFonts w:ascii="Arial" w:hAnsi="Arial" w:cs="Arial"/>
          <w:b/>
          <w:color w:val="00B050"/>
          <w:spacing w:val="3"/>
          <w:sz w:val="22"/>
          <w:szCs w:val="22"/>
          <w:lang w:eastAsia="cs-CZ"/>
        </w:rPr>
        <w:lastRenderedPageBreak/>
        <w:t>TELEKOMUNIKACE</w:t>
      </w:r>
    </w:p>
    <w:p w14:paraId="7802004B"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r w:rsidRPr="00D42621">
        <w:rPr>
          <w:rFonts w:ascii="Arial" w:hAnsi="Arial" w:cs="Arial"/>
          <w:color w:val="00B050"/>
          <w:spacing w:val="3"/>
          <w:sz w:val="22"/>
          <w:szCs w:val="22"/>
          <w:lang w:eastAsia="cs-CZ"/>
        </w:rPr>
        <w:t>Rozvojové plochy budou napojeny na nejbližší soustřeďovací body místní telekomunikační sítě, která je dostatečně kapacitní. Níže v tabulce je uveden počet telefonních přípojek pro navrženou výstavbu. Dle údajů a.s. Český Telecom je na 1 b.j.  počítáno 1,6 telefonní přípojky. Toto číslo je zjištěno statisticky pro potřeby plánování rozvoje telekomunikačních sítí. Předpokládá se, že do řady bytových jednotek bude přivedeno více než jedna přípojka (telefon, internet, jiné služby nabízené po telekomunikační síti).</w:t>
      </w:r>
    </w:p>
    <w:p w14:paraId="7FD23BCC"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3F4CF95F"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z w:val="22"/>
          <w:szCs w:val="22"/>
          <w:lang w:eastAsia="cs-CZ"/>
        </w:rPr>
      </w:pPr>
      <w:r w:rsidRPr="00D42621">
        <w:rPr>
          <w:rFonts w:ascii="Arial" w:hAnsi="Arial" w:cs="Arial"/>
          <w:b/>
          <w:noProof/>
          <w:color w:val="00B050"/>
          <w:spacing w:val="3"/>
          <w:sz w:val="22"/>
          <w:szCs w:val="22"/>
          <w:lang w:eastAsia="cs-CZ"/>
        </w:rPr>
        <w:drawing>
          <wp:inline distT="0" distB="0" distL="0" distR="0" wp14:anchorId="46CEA632" wp14:editId="00CA9C6B">
            <wp:extent cx="5975350" cy="2680335"/>
            <wp:effectExtent l="38100" t="38100" r="44450" b="43815"/>
            <wp:docPr id="35000" name="Obrázek 35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5975350" cy="2680335"/>
                    </a:xfrm>
                    <a:prstGeom prst="rect">
                      <a:avLst/>
                    </a:prstGeom>
                    <a:noFill/>
                    <a:ln w="38100" cmpd="sng">
                      <a:solidFill>
                        <a:srgbClr val="00B050"/>
                      </a:solidFill>
                      <a:miter lim="800000"/>
                      <a:headEnd/>
                      <a:tailEnd/>
                    </a:ln>
                    <a:effectLst/>
                  </pic:spPr>
                </pic:pic>
              </a:graphicData>
            </a:graphic>
          </wp:inline>
        </w:drawing>
      </w:r>
    </w:p>
    <w:p w14:paraId="07077986"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p>
    <w:p w14:paraId="44CDAC26"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D42621">
        <w:rPr>
          <w:rFonts w:ascii="Arial" w:hAnsi="Arial" w:cs="Arial"/>
          <w:b/>
          <w:color w:val="00B050"/>
          <w:spacing w:val="3"/>
          <w:sz w:val="22"/>
          <w:szCs w:val="22"/>
          <w:lang w:eastAsia="cs-CZ"/>
        </w:rPr>
        <w:t>REGULATIVY PRO UŽITÍ ENERGIÍ A SPOJE</w:t>
      </w:r>
    </w:p>
    <w:p w14:paraId="2151F690"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p>
    <w:p w14:paraId="606CB419"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D42621">
        <w:rPr>
          <w:rFonts w:ascii="Arial" w:hAnsi="Arial" w:cs="Arial"/>
          <w:b/>
          <w:color w:val="00B050"/>
          <w:spacing w:val="3"/>
          <w:sz w:val="22"/>
          <w:szCs w:val="22"/>
          <w:lang w:eastAsia="cs-CZ"/>
        </w:rPr>
        <w:t>Energetika</w:t>
      </w:r>
    </w:p>
    <w:p w14:paraId="45460F5A"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p>
    <w:p w14:paraId="2BC7DB98"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D42621">
        <w:rPr>
          <w:rFonts w:ascii="Arial" w:hAnsi="Arial" w:cs="Arial"/>
          <w:b/>
          <w:color w:val="00B050"/>
          <w:spacing w:val="3"/>
          <w:sz w:val="22"/>
          <w:szCs w:val="22"/>
          <w:lang w:eastAsia="cs-CZ"/>
        </w:rPr>
        <w:t>Rozvojové plochy č.2, 4, 5, 7, 8, 9, 10</w:t>
      </w:r>
    </w:p>
    <w:p w14:paraId="2D401F46" w14:textId="77777777" w:rsidR="00D42621" w:rsidRPr="00D42621" w:rsidRDefault="00D42621" w:rsidP="00D42621">
      <w:pPr>
        <w:numPr>
          <w:ilvl w:val="0"/>
          <w:numId w:val="67"/>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navržená výstavba bude komplexně plynofikována, tzn. využívat plyn pro vytápění, vaření a ohřev užitkové vody, přednostně využívat kombinovaných kotlů pro vytápění a ohřev vody nebo kotlů s akumulačním ohřevem vody</w:t>
      </w:r>
    </w:p>
    <w:p w14:paraId="0FFC9E18" w14:textId="77777777" w:rsidR="00D42621" w:rsidRPr="00D42621" w:rsidRDefault="00D42621" w:rsidP="00D42621">
      <w:pPr>
        <w:numPr>
          <w:ilvl w:val="0"/>
          <w:numId w:val="67"/>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elektřiny bude využíváno pouze pro běžné spotřebiče připojitelné přes zásuvku a svícení (tzv. elektrizační stupeň A)</w:t>
      </w:r>
    </w:p>
    <w:p w14:paraId="6949B424" w14:textId="77777777" w:rsidR="00D42621" w:rsidRPr="00D42621" w:rsidRDefault="00D42621" w:rsidP="00D42621">
      <w:pPr>
        <w:numPr>
          <w:ilvl w:val="0"/>
          <w:numId w:val="67"/>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u rozptýlené zástavby využívat pro ohřev vody sluneční energie</w:t>
      </w:r>
    </w:p>
    <w:p w14:paraId="4B90B679" w14:textId="77777777" w:rsidR="00D42621" w:rsidRPr="00D42621" w:rsidRDefault="00D42621" w:rsidP="00D42621">
      <w:pPr>
        <w:numPr>
          <w:ilvl w:val="0"/>
          <w:numId w:val="67"/>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sekundární rozvody elektřiny do rozvojových ploch řešit jako kabelové, uložené v zemi</w:t>
      </w:r>
    </w:p>
    <w:p w14:paraId="09B5214B"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04CAEBDA"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D42621">
        <w:rPr>
          <w:rFonts w:ascii="Arial" w:hAnsi="Arial" w:cs="Arial"/>
          <w:b/>
          <w:color w:val="00B050"/>
          <w:spacing w:val="3"/>
          <w:sz w:val="22"/>
          <w:szCs w:val="22"/>
          <w:lang w:eastAsia="cs-CZ"/>
        </w:rPr>
        <w:t>Rozvojové plochy č.1, 3, 6</w:t>
      </w:r>
    </w:p>
    <w:p w14:paraId="77C6C71C" w14:textId="77777777" w:rsidR="00D42621" w:rsidRPr="00D42621" w:rsidRDefault="00D42621" w:rsidP="00D42621">
      <w:pPr>
        <w:numPr>
          <w:ilvl w:val="0"/>
          <w:numId w:val="68"/>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energetická koncepce je založena na dodávkách elektřiny a ekologických paliv nezávislých na energetických sítích</w:t>
      </w:r>
    </w:p>
    <w:p w14:paraId="1FD170DD" w14:textId="77777777" w:rsidR="00D42621" w:rsidRPr="00D42621" w:rsidRDefault="00D42621" w:rsidP="00D42621">
      <w:pPr>
        <w:numPr>
          <w:ilvl w:val="0"/>
          <w:numId w:val="68"/>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elektřiny bude využíváno pro svícení, vaření, ohřev užitkové vody (tzv. elektrizační stupeň BZ). V blízkosti trafostanic Umožnit instalaci moderních systémů vytápění na bázi elektřiny (hybridní a akumulační vytápěcí systémy, tepelná čerpadla)</w:t>
      </w:r>
    </w:p>
    <w:p w14:paraId="40E39325" w14:textId="77777777" w:rsidR="00D42621" w:rsidRPr="00D42621" w:rsidRDefault="00D42621" w:rsidP="00D42621">
      <w:pPr>
        <w:numPr>
          <w:ilvl w:val="0"/>
          <w:numId w:val="68"/>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rozvody sekundárních sítí budou realizovány jako kabelové</w:t>
      </w:r>
    </w:p>
    <w:p w14:paraId="7590C981" w14:textId="77777777" w:rsidR="00D42621" w:rsidRPr="00D42621" w:rsidRDefault="00D42621" w:rsidP="00D42621">
      <w:pPr>
        <w:numPr>
          <w:ilvl w:val="0"/>
          <w:numId w:val="68"/>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lastRenderedPageBreak/>
        <w:t>u topných systémů nezávislých na energetických sítích využívat zásadně ekologických paliv dostupných na energetickém trhu</w:t>
      </w:r>
    </w:p>
    <w:p w14:paraId="4E8F5C9D" w14:textId="77777777" w:rsidR="00D42621" w:rsidRPr="00D42621" w:rsidRDefault="00D42621" w:rsidP="00D42621">
      <w:pPr>
        <w:numPr>
          <w:ilvl w:val="0"/>
          <w:numId w:val="68"/>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uhlí spalovat pouze v moderních ekologických kotlích, obecní vyhláškou zamezit spalování odpadu</w:t>
      </w:r>
    </w:p>
    <w:p w14:paraId="6CE0CB86" w14:textId="77777777" w:rsidR="00D42621" w:rsidRPr="00D42621" w:rsidRDefault="00D42621" w:rsidP="00D42621">
      <w:pPr>
        <w:numPr>
          <w:ilvl w:val="0"/>
          <w:numId w:val="68"/>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u rozptýlené zástavby využívat pro ohřev vody sluneční energie</w:t>
      </w:r>
    </w:p>
    <w:p w14:paraId="06ECC161" w14:textId="77777777" w:rsidR="00D42621" w:rsidRPr="00D42621" w:rsidRDefault="00D42621" w:rsidP="00D42621">
      <w:pPr>
        <w:numPr>
          <w:ilvl w:val="0"/>
          <w:numId w:val="68"/>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u nové i stávající zástavby věnovat maximální pozornost tepelně-technickým vlastnostem</w:t>
      </w:r>
    </w:p>
    <w:p w14:paraId="43C356B8"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37E29853"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b/>
          <w:color w:val="00B050"/>
          <w:spacing w:val="3"/>
          <w:sz w:val="22"/>
          <w:szCs w:val="22"/>
          <w:lang w:eastAsia="cs-CZ"/>
        </w:rPr>
      </w:pPr>
      <w:r w:rsidRPr="00D42621">
        <w:rPr>
          <w:rFonts w:ascii="Arial" w:hAnsi="Arial" w:cs="Arial"/>
          <w:b/>
          <w:color w:val="00B050"/>
          <w:spacing w:val="3"/>
          <w:sz w:val="22"/>
          <w:szCs w:val="22"/>
          <w:lang w:eastAsia="cs-CZ"/>
        </w:rPr>
        <w:t>Spoje</w:t>
      </w:r>
    </w:p>
    <w:p w14:paraId="0AFA8CEF" w14:textId="77777777" w:rsidR="00D42621" w:rsidRPr="00D42621" w:rsidRDefault="00D42621" w:rsidP="00D42621">
      <w:pPr>
        <w:numPr>
          <w:ilvl w:val="0"/>
          <w:numId w:val="69"/>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rozvojové plochy 100%-ně telefonizovat</w:t>
      </w:r>
    </w:p>
    <w:p w14:paraId="48FD6C10" w14:textId="77777777" w:rsidR="00D42621" w:rsidRPr="00D42621" w:rsidRDefault="00D42621" w:rsidP="00D42621">
      <w:pPr>
        <w:numPr>
          <w:ilvl w:val="0"/>
          <w:numId w:val="69"/>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při zpracování dalších projektových dokumentací počítat na 1 bytovou jednotku s 1,6 telefonní přípojky</w:t>
      </w:r>
    </w:p>
    <w:p w14:paraId="3D278757" w14:textId="77777777" w:rsidR="00D42621" w:rsidRPr="00D42621" w:rsidRDefault="00D42621" w:rsidP="00D42621">
      <w:pPr>
        <w:numPr>
          <w:ilvl w:val="0"/>
          <w:numId w:val="69"/>
        </w:numPr>
        <w:tabs>
          <w:tab w:val="decimal" w:pos="72"/>
          <w:tab w:val="decimal" w:pos="144"/>
          <w:tab w:val="right" w:pos="2679"/>
        </w:tabs>
        <w:suppressAutoHyphens w:val="0"/>
        <w:spacing w:before="36" w:line="276" w:lineRule="auto"/>
        <w:contextualSpacing/>
        <w:jc w:val="both"/>
        <w:rPr>
          <w:rFonts w:ascii="Arial" w:eastAsia="Calibri" w:hAnsi="Arial" w:cs="Arial"/>
          <w:color w:val="00B050"/>
          <w:spacing w:val="3"/>
          <w:sz w:val="22"/>
          <w:szCs w:val="22"/>
          <w:lang w:eastAsia="en-US"/>
        </w:rPr>
      </w:pPr>
      <w:r w:rsidRPr="00D42621">
        <w:rPr>
          <w:rFonts w:ascii="Arial" w:eastAsia="Calibri" w:hAnsi="Arial" w:cs="Arial"/>
          <w:color w:val="00B050"/>
          <w:spacing w:val="3"/>
          <w:sz w:val="22"/>
          <w:szCs w:val="22"/>
          <w:lang w:eastAsia="en-US"/>
        </w:rPr>
        <w:t>rozšíření telekomunikační sítě do rozvojových ploch realizovat jako kabelovou (podpovrchovou) sít"</w:t>
      </w:r>
    </w:p>
    <w:p w14:paraId="307FF32B"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37A074F0" w14:textId="77777777" w:rsidR="00D42621" w:rsidRPr="00D42621" w:rsidRDefault="00D42621" w:rsidP="00D42621">
      <w:pPr>
        <w:tabs>
          <w:tab w:val="decimal" w:pos="72"/>
          <w:tab w:val="decimal" w:pos="144"/>
          <w:tab w:val="right" w:pos="2679"/>
        </w:tabs>
        <w:suppressAutoHyphens w:val="0"/>
        <w:spacing w:before="36" w:line="276" w:lineRule="auto"/>
        <w:ind w:left="72"/>
        <w:jc w:val="both"/>
        <w:rPr>
          <w:rFonts w:ascii="Arial" w:hAnsi="Arial" w:cs="Arial"/>
          <w:color w:val="00B050"/>
          <w:spacing w:val="3"/>
          <w:sz w:val="22"/>
          <w:szCs w:val="22"/>
          <w:lang w:eastAsia="cs-CZ"/>
        </w:rPr>
      </w:pPr>
    </w:p>
    <w:p w14:paraId="21B2FD7F" w14:textId="77777777" w:rsidR="00D42621" w:rsidRPr="00D42621" w:rsidRDefault="00D42621" w:rsidP="00D42621">
      <w:pPr>
        <w:suppressAutoHyphens w:val="0"/>
        <w:spacing w:line="276" w:lineRule="auto"/>
        <w:jc w:val="both"/>
        <w:rPr>
          <w:rFonts w:ascii="Arial" w:hAnsi="Arial" w:cs="Arial"/>
          <w:b/>
          <w:color w:val="BF8F00"/>
          <w:sz w:val="22"/>
          <w:szCs w:val="22"/>
          <w:lang w:eastAsia="cs-CZ"/>
        </w:rPr>
      </w:pPr>
      <w:r w:rsidRPr="00D42621">
        <w:rPr>
          <w:rFonts w:ascii="Arial" w:hAnsi="Arial" w:cs="Arial"/>
          <w:b/>
          <w:color w:val="BF8F00"/>
          <w:sz w:val="22"/>
          <w:szCs w:val="22"/>
          <w:lang w:eastAsia="cs-CZ"/>
        </w:rPr>
        <w:t>(Z2) KONCEPCE ENERGETlKY A SPOJÚ</w:t>
      </w:r>
    </w:p>
    <w:p w14:paraId="6AB3B099" w14:textId="77777777" w:rsidR="00D42621" w:rsidRPr="00D42621" w:rsidRDefault="00D42621" w:rsidP="00D42621">
      <w:pPr>
        <w:suppressAutoHyphens w:val="0"/>
        <w:spacing w:line="276" w:lineRule="auto"/>
        <w:jc w:val="both"/>
        <w:rPr>
          <w:rFonts w:ascii="Arial" w:hAnsi="Arial" w:cs="Arial"/>
          <w:b/>
          <w:color w:val="BF8F00"/>
          <w:sz w:val="22"/>
          <w:szCs w:val="22"/>
          <w:lang w:eastAsia="cs-CZ"/>
        </w:rPr>
      </w:pPr>
    </w:p>
    <w:p w14:paraId="0A8AD805" w14:textId="77777777" w:rsidR="00D42621" w:rsidRPr="00D42621" w:rsidRDefault="00D42621" w:rsidP="00D42621">
      <w:pPr>
        <w:suppressAutoHyphens w:val="0"/>
        <w:spacing w:line="276" w:lineRule="auto"/>
        <w:jc w:val="both"/>
        <w:rPr>
          <w:rFonts w:ascii="Arial" w:hAnsi="Arial" w:cs="Arial"/>
          <w:color w:val="BF8F00"/>
          <w:sz w:val="22"/>
          <w:szCs w:val="22"/>
          <w:lang w:eastAsia="cs-CZ"/>
        </w:rPr>
      </w:pPr>
      <w:r w:rsidRPr="00D42621">
        <w:rPr>
          <w:rFonts w:ascii="Arial" w:hAnsi="Arial" w:cs="Arial"/>
          <w:b/>
          <w:color w:val="BF8F00"/>
          <w:sz w:val="22"/>
          <w:szCs w:val="22"/>
          <w:lang w:eastAsia="cs-CZ"/>
        </w:rPr>
        <w:t>Základní energetická koncepce řešeného území</w:t>
      </w:r>
      <w:r w:rsidRPr="00D42621">
        <w:rPr>
          <w:rFonts w:ascii="Arial" w:hAnsi="Arial" w:cs="Arial"/>
          <w:color w:val="BF8F00"/>
          <w:sz w:val="22"/>
          <w:szCs w:val="22"/>
          <w:lang w:eastAsia="cs-CZ"/>
        </w:rPr>
        <w:t xml:space="preserve"> </w:t>
      </w:r>
    </w:p>
    <w:p w14:paraId="0B8DE3A7" w14:textId="77777777" w:rsidR="00D42621" w:rsidRPr="00D42621" w:rsidRDefault="00D42621" w:rsidP="00D42621">
      <w:pPr>
        <w:suppressAutoHyphens w:val="0"/>
        <w:spacing w:line="276" w:lineRule="auto"/>
        <w:jc w:val="both"/>
        <w:rPr>
          <w:rFonts w:ascii="Arial" w:hAnsi="Arial" w:cs="Arial"/>
          <w:color w:val="BF8F00"/>
          <w:sz w:val="22"/>
          <w:szCs w:val="22"/>
          <w:lang w:eastAsia="cs-CZ"/>
        </w:rPr>
      </w:pPr>
      <w:r w:rsidRPr="00D42621">
        <w:rPr>
          <w:rFonts w:ascii="Arial" w:hAnsi="Arial" w:cs="Arial"/>
          <w:color w:val="BF8F00"/>
          <w:sz w:val="22"/>
          <w:szCs w:val="22"/>
          <w:lang w:eastAsia="cs-CZ"/>
        </w:rPr>
        <w:t>Energetická koncepce území je založena na dostupnosti energetických médií. Do území je z centrálních zdrojů přiváděna elektřina a zemní plyn. Plyn je využíván nejenom pro malé zdroje tepla, ale také jako palivo pro rozvinutý systém centrálního zásobování teplem. Pro vytápění nezávislé na sítích jsou využívána dostupná ekologická paliva. Využívání hnědého uhlí se podmiňuje instalací ekologického kotle.</w:t>
      </w:r>
    </w:p>
    <w:p w14:paraId="5D633B1C" w14:textId="77777777" w:rsidR="00D42621" w:rsidRPr="00D42621" w:rsidRDefault="00D42621" w:rsidP="00D42621">
      <w:pPr>
        <w:suppressAutoHyphens w:val="0"/>
        <w:spacing w:line="276" w:lineRule="auto"/>
        <w:jc w:val="both"/>
        <w:rPr>
          <w:rFonts w:ascii="Arial" w:hAnsi="Arial" w:cs="Arial"/>
          <w:color w:val="BF8F00"/>
          <w:sz w:val="22"/>
          <w:szCs w:val="22"/>
          <w:lang w:eastAsia="cs-CZ"/>
        </w:rPr>
      </w:pPr>
    </w:p>
    <w:p w14:paraId="42DF78EA" w14:textId="77777777" w:rsidR="00D42621" w:rsidRPr="00D42621" w:rsidRDefault="00D42621" w:rsidP="00D42621">
      <w:pPr>
        <w:suppressAutoHyphens w:val="0"/>
        <w:spacing w:line="276" w:lineRule="auto"/>
        <w:jc w:val="both"/>
        <w:rPr>
          <w:rFonts w:ascii="Arial" w:hAnsi="Arial" w:cs="Arial"/>
          <w:b/>
          <w:color w:val="BF8F00"/>
          <w:sz w:val="22"/>
          <w:szCs w:val="22"/>
          <w:lang w:eastAsia="cs-CZ"/>
        </w:rPr>
      </w:pPr>
      <w:r w:rsidRPr="00D42621">
        <w:rPr>
          <w:rFonts w:ascii="Arial" w:hAnsi="Arial" w:cs="Arial"/>
          <w:b/>
          <w:color w:val="BF8F00"/>
          <w:sz w:val="22"/>
          <w:szCs w:val="22"/>
          <w:lang w:eastAsia="cs-CZ"/>
        </w:rPr>
        <w:t>Energetika</w:t>
      </w:r>
    </w:p>
    <w:p w14:paraId="122E7763" w14:textId="77777777" w:rsidR="00D42621" w:rsidRPr="00D42621" w:rsidRDefault="00D42621" w:rsidP="00D42621">
      <w:pPr>
        <w:suppressAutoHyphens w:val="0"/>
        <w:spacing w:line="276" w:lineRule="auto"/>
        <w:jc w:val="both"/>
        <w:rPr>
          <w:rFonts w:ascii="Arial" w:hAnsi="Arial" w:cs="Arial"/>
          <w:color w:val="BF8F00"/>
          <w:sz w:val="22"/>
          <w:szCs w:val="22"/>
          <w:lang w:eastAsia="cs-CZ"/>
        </w:rPr>
      </w:pPr>
      <w:r w:rsidRPr="00D42621">
        <w:rPr>
          <w:rFonts w:ascii="Arial" w:hAnsi="Arial" w:cs="Arial"/>
          <w:color w:val="BF8F00"/>
          <w:sz w:val="22"/>
          <w:szCs w:val="22"/>
          <w:lang w:eastAsia="cs-CZ"/>
        </w:rPr>
        <w:t>Energetická koncepce města je založena na dodávkách elektřiny a zemního plynu z centrálních zdrojů, přičemž elektřina je vyráběna z domácích primárních zdrojů a zemní plyn je dovážen ze zahraničí (prakticky 100% závislost CR). Zemního plynu se používá pro vytápění a to jak individuálně tak pro výrobu dodávkového tepla. Tepelný kogenerační zdroj Děčín východ zásobuje rozvinutý systém CZT a vedle zemního plynu využívá i geotermální energii. Rostoucí ceny energií způsobují návrat k využívání hnědého uhlí v lokálním vytápění. Tento jev v době teplotních inverzí značně ovlivňuje kvalitu přízemní vrstvy atmosféry.</w:t>
      </w:r>
    </w:p>
    <w:p w14:paraId="1BA6C44B" w14:textId="77777777" w:rsidR="00D42621" w:rsidRPr="00D42621" w:rsidRDefault="00D42621" w:rsidP="00D42621">
      <w:pPr>
        <w:suppressAutoHyphens w:val="0"/>
        <w:spacing w:line="276" w:lineRule="auto"/>
        <w:jc w:val="both"/>
        <w:rPr>
          <w:rFonts w:ascii="Arial" w:hAnsi="Arial" w:cs="Arial"/>
          <w:color w:val="BF8F00"/>
          <w:sz w:val="22"/>
          <w:szCs w:val="22"/>
          <w:lang w:eastAsia="cs-CZ"/>
        </w:rPr>
      </w:pPr>
      <w:r w:rsidRPr="00D42621">
        <w:rPr>
          <w:rFonts w:ascii="Arial" w:hAnsi="Arial" w:cs="Arial"/>
          <w:color w:val="BF8F00"/>
          <w:sz w:val="22"/>
          <w:szCs w:val="22"/>
          <w:lang w:eastAsia="cs-CZ"/>
        </w:rPr>
        <w:t>Energetická koncepce navržených rozvojových ploch je založena zásadně na dvojcestném zásobování energiemi a to:</w:t>
      </w:r>
    </w:p>
    <w:p w14:paraId="67C534FB" w14:textId="77777777" w:rsidR="00D42621" w:rsidRPr="00D42621" w:rsidRDefault="00D42621" w:rsidP="00D42621">
      <w:pPr>
        <w:numPr>
          <w:ilvl w:val="0"/>
          <w:numId w:val="61"/>
        </w:numPr>
        <w:suppressAutoHyphens w:val="0"/>
        <w:spacing w:after="160" w:line="276" w:lineRule="auto"/>
        <w:ind w:left="1068"/>
        <w:contextualSpacing/>
        <w:jc w:val="both"/>
        <w:rPr>
          <w:rFonts w:ascii="Arial" w:eastAsia="Calibri" w:hAnsi="Arial" w:cs="Arial"/>
          <w:color w:val="BF8F00"/>
          <w:sz w:val="22"/>
          <w:szCs w:val="22"/>
          <w:lang w:val="en-US" w:eastAsia="en-US"/>
        </w:rPr>
      </w:pPr>
      <w:r w:rsidRPr="00D42621">
        <w:rPr>
          <w:rFonts w:ascii="Arial" w:eastAsia="Calibri" w:hAnsi="Arial" w:cs="Arial"/>
          <w:color w:val="BF8F00"/>
          <w:sz w:val="22"/>
          <w:szCs w:val="22"/>
          <w:lang w:val="en-US" w:eastAsia="en-US"/>
        </w:rPr>
        <w:t>elektřina + zemní plyn</w:t>
      </w:r>
    </w:p>
    <w:p w14:paraId="138E62D1" w14:textId="77777777" w:rsidR="00D42621" w:rsidRPr="00D42621" w:rsidRDefault="00D42621" w:rsidP="00D42621">
      <w:pPr>
        <w:numPr>
          <w:ilvl w:val="0"/>
          <w:numId w:val="61"/>
        </w:numPr>
        <w:suppressAutoHyphens w:val="0"/>
        <w:spacing w:after="160" w:line="276" w:lineRule="auto"/>
        <w:ind w:left="1068"/>
        <w:contextualSpacing/>
        <w:jc w:val="both"/>
        <w:rPr>
          <w:rFonts w:ascii="Arial" w:eastAsia="Calibri" w:hAnsi="Arial" w:cs="Arial"/>
          <w:color w:val="BF8F00"/>
          <w:sz w:val="22"/>
          <w:szCs w:val="22"/>
          <w:lang w:val="en-US" w:eastAsia="en-US"/>
        </w:rPr>
      </w:pPr>
      <w:r w:rsidRPr="00D42621">
        <w:rPr>
          <w:rFonts w:ascii="Arial" w:eastAsia="Calibri" w:hAnsi="Arial" w:cs="Arial"/>
          <w:color w:val="BF8F00"/>
          <w:sz w:val="22"/>
          <w:szCs w:val="22"/>
          <w:lang w:val="en-US" w:eastAsia="en-US"/>
        </w:rPr>
        <w:t>elektřina + dodávkové teplo</w:t>
      </w:r>
    </w:p>
    <w:p w14:paraId="5871B967" w14:textId="77777777" w:rsidR="00D42621" w:rsidRPr="00D42621" w:rsidRDefault="00D42621" w:rsidP="00D42621">
      <w:pPr>
        <w:numPr>
          <w:ilvl w:val="0"/>
          <w:numId w:val="61"/>
        </w:numPr>
        <w:suppressAutoHyphens w:val="0"/>
        <w:spacing w:after="160" w:line="276" w:lineRule="auto"/>
        <w:ind w:left="1068"/>
        <w:contextualSpacing/>
        <w:jc w:val="both"/>
        <w:rPr>
          <w:rFonts w:ascii="Arial" w:eastAsia="Calibri" w:hAnsi="Arial" w:cs="Arial"/>
          <w:color w:val="BF8F00"/>
          <w:sz w:val="22"/>
          <w:szCs w:val="22"/>
          <w:lang w:val="en-US" w:eastAsia="en-US"/>
        </w:rPr>
      </w:pPr>
      <w:r w:rsidRPr="00D42621">
        <w:rPr>
          <w:rFonts w:ascii="Arial" w:eastAsia="Calibri" w:hAnsi="Arial" w:cs="Arial"/>
          <w:color w:val="BF8F00"/>
          <w:sz w:val="22"/>
          <w:szCs w:val="22"/>
          <w:lang w:val="en-US" w:eastAsia="en-US"/>
        </w:rPr>
        <w:t>elektřina + ekologická paliva nezávislá na sítích</w:t>
      </w:r>
    </w:p>
    <w:p w14:paraId="1DE27737" w14:textId="77777777" w:rsidR="00D42621" w:rsidRPr="00D42621" w:rsidRDefault="00D42621" w:rsidP="00D42621">
      <w:pPr>
        <w:suppressAutoHyphens w:val="0"/>
        <w:spacing w:line="276" w:lineRule="auto"/>
        <w:jc w:val="both"/>
        <w:rPr>
          <w:rFonts w:ascii="Arial" w:hAnsi="Arial" w:cs="Arial"/>
          <w:color w:val="BF8F00"/>
          <w:sz w:val="22"/>
          <w:szCs w:val="22"/>
          <w:lang w:eastAsia="cs-CZ"/>
        </w:rPr>
      </w:pPr>
      <w:r w:rsidRPr="00D42621">
        <w:rPr>
          <w:rFonts w:ascii="Arial" w:hAnsi="Arial" w:cs="Arial"/>
          <w:color w:val="BF8F00"/>
          <w:sz w:val="22"/>
          <w:szCs w:val="22"/>
          <w:lang w:eastAsia="cs-CZ"/>
        </w:rPr>
        <w:t>Výjimečně jednocestné zásobování (pouze elektřina) je možné pouze tam, kde to umožní kapacita elektrorozvodných sítí, druh vytápění určí dodavatel elektřiny.</w:t>
      </w:r>
    </w:p>
    <w:p w14:paraId="140447CF" w14:textId="77777777" w:rsidR="00D42621" w:rsidRPr="00D42621" w:rsidRDefault="00D42621" w:rsidP="00D42621">
      <w:pPr>
        <w:suppressAutoHyphens w:val="0"/>
        <w:spacing w:line="276" w:lineRule="auto"/>
        <w:jc w:val="both"/>
        <w:rPr>
          <w:rFonts w:ascii="Arial" w:hAnsi="Arial" w:cs="Arial"/>
          <w:color w:val="BF8F00"/>
          <w:sz w:val="22"/>
          <w:szCs w:val="22"/>
          <w:lang w:eastAsia="cs-CZ"/>
        </w:rPr>
      </w:pPr>
      <w:r w:rsidRPr="00D42621">
        <w:rPr>
          <w:rFonts w:ascii="Arial" w:hAnsi="Arial" w:cs="Arial"/>
          <w:color w:val="BF8F00"/>
          <w:sz w:val="22"/>
          <w:szCs w:val="22"/>
          <w:lang w:eastAsia="cs-CZ"/>
        </w:rPr>
        <w:t>Převážně rozptýlená zástavba rozvojových ploch umožňuje využívání sluneční energie pro ohřev užitkové vody. Trh nabízí řadu zařízení pro solární ohřev užitkové vody za přijatelnou cenu. Návratnost této investice vzhledem k rostoucím cenám energií se neustále zkracuje.</w:t>
      </w:r>
    </w:p>
    <w:p w14:paraId="034386FA" w14:textId="77777777" w:rsidR="00D42621" w:rsidRPr="00D42621" w:rsidRDefault="00D42621" w:rsidP="00D42621">
      <w:pPr>
        <w:suppressAutoHyphens w:val="0"/>
        <w:spacing w:line="276" w:lineRule="auto"/>
        <w:jc w:val="both"/>
        <w:rPr>
          <w:rFonts w:ascii="Arial" w:hAnsi="Arial" w:cs="Arial"/>
          <w:color w:val="BF8F00"/>
          <w:sz w:val="22"/>
          <w:szCs w:val="22"/>
          <w:lang w:eastAsia="cs-CZ"/>
        </w:rPr>
      </w:pPr>
      <w:r w:rsidRPr="00D42621">
        <w:rPr>
          <w:rFonts w:ascii="Arial" w:hAnsi="Arial" w:cs="Arial"/>
          <w:color w:val="BF8F00"/>
          <w:sz w:val="22"/>
          <w:szCs w:val="22"/>
          <w:lang w:eastAsia="cs-CZ"/>
        </w:rPr>
        <w:t>Následné stupně dokumentace budou při řešení ochranných a bezpečnostních pásem respektovat energetický zákon 458 /2000 Sb.</w:t>
      </w:r>
    </w:p>
    <w:p w14:paraId="509DCFD4" w14:textId="77777777" w:rsidR="00D42621" w:rsidRPr="00D42621" w:rsidRDefault="00D42621" w:rsidP="00D42621">
      <w:pPr>
        <w:suppressAutoHyphens w:val="0"/>
        <w:spacing w:line="276" w:lineRule="auto"/>
        <w:jc w:val="both"/>
        <w:rPr>
          <w:rFonts w:ascii="Arial" w:hAnsi="Arial" w:cs="Arial"/>
          <w:b/>
          <w:color w:val="BF8F00"/>
          <w:sz w:val="22"/>
          <w:szCs w:val="22"/>
          <w:lang w:eastAsia="cs-CZ"/>
        </w:rPr>
      </w:pPr>
    </w:p>
    <w:p w14:paraId="513ADBE6" w14:textId="77777777" w:rsidR="00D42621" w:rsidRPr="00D42621" w:rsidRDefault="00D42621" w:rsidP="00D42621">
      <w:pPr>
        <w:suppressAutoHyphens w:val="0"/>
        <w:spacing w:line="276" w:lineRule="auto"/>
        <w:jc w:val="both"/>
        <w:rPr>
          <w:rFonts w:ascii="Arial" w:hAnsi="Arial" w:cs="Arial"/>
          <w:b/>
          <w:color w:val="BF8F00"/>
          <w:sz w:val="22"/>
          <w:szCs w:val="22"/>
          <w:lang w:eastAsia="cs-CZ"/>
        </w:rPr>
      </w:pPr>
    </w:p>
    <w:p w14:paraId="5A12D5E7" w14:textId="77777777" w:rsidR="00D42621" w:rsidRPr="00D42621" w:rsidRDefault="00D42621" w:rsidP="00D42621">
      <w:pPr>
        <w:suppressAutoHyphens w:val="0"/>
        <w:spacing w:line="276" w:lineRule="auto"/>
        <w:jc w:val="both"/>
        <w:rPr>
          <w:rFonts w:ascii="Arial" w:hAnsi="Arial" w:cs="Arial"/>
          <w:b/>
          <w:color w:val="BF8F00"/>
          <w:sz w:val="22"/>
          <w:szCs w:val="22"/>
          <w:lang w:eastAsia="cs-CZ"/>
        </w:rPr>
      </w:pPr>
      <w:r w:rsidRPr="00D42621">
        <w:rPr>
          <w:rFonts w:ascii="Arial" w:hAnsi="Arial" w:cs="Arial"/>
          <w:b/>
          <w:color w:val="BF8F00"/>
          <w:sz w:val="22"/>
          <w:szCs w:val="22"/>
          <w:lang w:eastAsia="cs-CZ"/>
        </w:rPr>
        <w:t>Spoje</w:t>
      </w:r>
    </w:p>
    <w:p w14:paraId="1FA4E679" w14:textId="77777777" w:rsidR="00D42621" w:rsidRPr="00D42621" w:rsidRDefault="00D42621" w:rsidP="00D42621">
      <w:pPr>
        <w:suppressAutoHyphens w:val="0"/>
        <w:spacing w:line="276" w:lineRule="auto"/>
        <w:jc w:val="both"/>
        <w:rPr>
          <w:rFonts w:ascii="Arial" w:hAnsi="Arial" w:cs="Arial"/>
          <w:color w:val="BF8F00"/>
          <w:sz w:val="22"/>
          <w:szCs w:val="22"/>
          <w:lang w:eastAsia="cs-CZ"/>
        </w:rPr>
      </w:pPr>
    </w:p>
    <w:p w14:paraId="142A647C" w14:textId="77777777" w:rsidR="00D42621" w:rsidRPr="00D42621" w:rsidRDefault="00D42621" w:rsidP="00D42621">
      <w:pPr>
        <w:suppressAutoHyphens w:val="0"/>
        <w:spacing w:line="276" w:lineRule="auto"/>
        <w:jc w:val="both"/>
        <w:rPr>
          <w:rFonts w:ascii="Arial" w:hAnsi="Arial" w:cs="Arial"/>
          <w:color w:val="BF8F00"/>
          <w:sz w:val="22"/>
          <w:szCs w:val="22"/>
          <w:lang w:eastAsia="cs-CZ"/>
        </w:rPr>
      </w:pPr>
      <w:r w:rsidRPr="00D42621">
        <w:rPr>
          <w:rFonts w:ascii="Arial" w:hAnsi="Arial" w:cs="Arial"/>
          <w:color w:val="BF8F00"/>
          <w:sz w:val="22"/>
          <w:szCs w:val="22"/>
          <w:lang w:eastAsia="cs-CZ"/>
        </w:rPr>
        <w:t>Telefonizace rozvojových ploch bude zajištěna ze stávající rekonstruované místní telekomunikační sítě nebo z dynamicky se rozvíjejících bezdrátových sítí mobilních operátorů.</w:t>
      </w:r>
    </w:p>
    <w:p w14:paraId="395DA930" w14:textId="77777777" w:rsidR="00D42621" w:rsidRPr="00D42621" w:rsidRDefault="00D42621" w:rsidP="00D42621">
      <w:pPr>
        <w:suppressAutoHyphens w:val="0"/>
        <w:spacing w:line="276" w:lineRule="auto"/>
        <w:jc w:val="both"/>
        <w:rPr>
          <w:rFonts w:ascii="Arial" w:hAnsi="Arial" w:cs="Arial"/>
          <w:color w:val="BF8F00"/>
          <w:sz w:val="22"/>
          <w:szCs w:val="22"/>
          <w:lang w:eastAsia="cs-CZ"/>
        </w:rPr>
      </w:pPr>
      <w:r w:rsidRPr="00D42621">
        <w:rPr>
          <w:rFonts w:ascii="Arial" w:hAnsi="Arial" w:cs="Arial"/>
          <w:color w:val="BF8F00"/>
          <w:sz w:val="22"/>
          <w:szCs w:val="22"/>
          <w:lang w:eastAsia="cs-CZ"/>
        </w:rPr>
        <w:t>Televizní a rozhlasový signál veřejně-právních stanic je přijímán ze stávajících vzdušných sítí a kabelových sítí. Další možnosti nabízí NET a satelitní příjem.</w:t>
      </w:r>
    </w:p>
    <w:p w14:paraId="59305C7F" w14:textId="77777777" w:rsidR="00D42621" w:rsidRPr="00D42621" w:rsidRDefault="00D42621" w:rsidP="00D42621">
      <w:pPr>
        <w:suppressAutoHyphens w:val="0"/>
        <w:spacing w:line="276" w:lineRule="auto"/>
        <w:jc w:val="both"/>
        <w:rPr>
          <w:rFonts w:ascii="Arial" w:hAnsi="Arial" w:cs="Arial"/>
          <w:b/>
          <w:lang w:eastAsia="cs-CZ"/>
        </w:rPr>
      </w:pPr>
    </w:p>
    <w:p w14:paraId="2F59479C" w14:textId="77777777" w:rsidR="00D42621" w:rsidRPr="00D42621" w:rsidRDefault="00D42621" w:rsidP="00D42621">
      <w:pPr>
        <w:suppressAutoHyphens w:val="0"/>
        <w:spacing w:line="276" w:lineRule="auto"/>
        <w:jc w:val="both"/>
        <w:rPr>
          <w:rFonts w:ascii="Arial" w:hAnsi="Arial" w:cs="Arial"/>
          <w:b/>
          <w:lang w:eastAsia="cs-CZ"/>
        </w:rPr>
      </w:pPr>
    </w:p>
    <w:p w14:paraId="0F1CEC7D"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r w:rsidRPr="00D42621">
        <w:rPr>
          <w:rFonts w:ascii="Arial" w:hAnsi="Arial" w:cs="Arial"/>
          <w:b/>
          <w:color w:val="0066FF"/>
          <w:sz w:val="22"/>
          <w:szCs w:val="22"/>
          <w:lang w:eastAsia="cs-CZ"/>
        </w:rPr>
        <w:t>(Z4) ENERGETIKA A SPOJE</w:t>
      </w:r>
    </w:p>
    <w:p w14:paraId="63A92F74"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r w:rsidRPr="00D42621">
        <w:rPr>
          <w:rFonts w:ascii="Arial" w:hAnsi="Arial" w:cs="Arial"/>
          <w:b/>
          <w:color w:val="0066FF"/>
          <w:sz w:val="22"/>
          <w:szCs w:val="22"/>
          <w:lang w:eastAsia="cs-CZ"/>
        </w:rPr>
        <w:t>Navržená energetická koncepce a energetická bilance</w:t>
      </w:r>
    </w:p>
    <w:p w14:paraId="6C8E703F" w14:textId="77777777" w:rsidR="00D42621" w:rsidRPr="00D42621" w:rsidRDefault="00D42621" w:rsidP="00D42621">
      <w:pPr>
        <w:suppressAutoHyphens w:val="0"/>
        <w:spacing w:line="276" w:lineRule="auto"/>
        <w:jc w:val="both"/>
        <w:rPr>
          <w:rFonts w:ascii="Arial" w:hAnsi="Arial" w:cs="Arial"/>
          <w:color w:val="0066FF"/>
          <w:sz w:val="22"/>
          <w:szCs w:val="22"/>
          <w:lang w:eastAsia="cs-CZ"/>
        </w:rPr>
      </w:pPr>
    </w:p>
    <w:p w14:paraId="2F750B70" w14:textId="77777777" w:rsidR="00D42621" w:rsidRPr="00D42621" w:rsidRDefault="00D42621" w:rsidP="00D42621">
      <w:pPr>
        <w:suppressAutoHyphens w:val="0"/>
        <w:spacing w:line="276" w:lineRule="auto"/>
        <w:jc w:val="both"/>
        <w:rPr>
          <w:rFonts w:ascii="Arial" w:hAnsi="Arial" w:cs="Arial"/>
          <w:color w:val="0066FF"/>
          <w:sz w:val="22"/>
          <w:szCs w:val="22"/>
          <w:lang w:eastAsia="cs-CZ"/>
        </w:rPr>
      </w:pPr>
      <w:r w:rsidRPr="00D42621">
        <w:rPr>
          <w:rFonts w:ascii="Arial" w:hAnsi="Arial" w:cs="Arial"/>
          <w:color w:val="0066FF"/>
          <w:sz w:val="22"/>
          <w:szCs w:val="22"/>
          <w:lang w:eastAsia="cs-CZ"/>
        </w:rPr>
        <w:t>Elektřiny bude v rodinných domcích využíváno v elektrizačním stupni A, tzn. bude využívána pro svícení a běžné spotřebiče připojitelné na zásuvku. Vytápění bude zajištěno na bázi zemního plynu. Budou přednostně využívány kombinované kotle (možnost ohřevu vody) nebo kotle s akumulačním ohřevem vody. Doporučuje se též instalace kondenzačních kotlů (vysoká účinnost, v některých zemích EU již povinnost). Tím dojde k podstatnému snížení hodinového příkonu plynu, který lze použít pro další rozvoj území bez doprovodných investic. Pro ohřev vody budou rovněž využívány sluneční kolektory.</w:t>
      </w:r>
    </w:p>
    <w:p w14:paraId="3844868E"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37EAB846"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42AC223B"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60AA123D"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778AA212"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1C788CAB"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57B946F9"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79E4A9E7"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5456EEE4"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261770EE"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6C54149A"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70A75659"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5EA87EA7"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010FC349"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54C3693C"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67A918F5"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5D2F6577"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7E5466BC" w14:textId="77777777" w:rsidR="00D42621" w:rsidRDefault="00D42621" w:rsidP="00D42621">
      <w:pPr>
        <w:suppressAutoHyphens w:val="0"/>
        <w:spacing w:line="276" w:lineRule="auto"/>
        <w:jc w:val="both"/>
        <w:rPr>
          <w:rFonts w:ascii="Arial" w:hAnsi="Arial" w:cs="Arial"/>
          <w:color w:val="0066FF"/>
          <w:sz w:val="22"/>
          <w:szCs w:val="22"/>
          <w:lang w:eastAsia="cs-CZ"/>
        </w:rPr>
      </w:pPr>
    </w:p>
    <w:p w14:paraId="06F638B4" w14:textId="77777777" w:rsidR="00D42621" w:rsidRPr="00D42621" w:rsidRDefault="00D42621" w:rsidP="00D42621">
      <w:pPr>
        <w:suppressAutoHyphens w:val="0"/>
        <w:spacing w:line="276" w:lineRule="auto"/>
        <w:jc w:val="both"/>
        <w:rPr>
          <w:rFonts w:ascii="Arial" w:hAnsi="Arial" w:cs="Arial"/>
          <w:color w:val="0066FF"/>
          <w:sz w:val="22"/>
          <w:szCs w:val="22"/>
          <w:lang w:eastAsia="cs-CZ"/>
        </w:rPr>
      </w:pPr>
    </w:p>
    <w:p w14:paraId="2EEA155A" w14:textId="77777777" w:rsidR="00D42621" w:rsidRPr="00D42621" w:rsidRDefault="00D42621" w:rsidP="00D42621">
      <w:pPr>
        <w:suppressAutoHyphens w:val="0"/>
        <w:spacing w:line="276" w:lineRule="auto"/>
        <w:jc w:val="both"/>
        <w:rPr>
          <w:rFonts w:ascii="Arial" w:hAnsi="Arial" w:cs="Arial"/>
          <w:color w:val="0066FF"/>
          <w:sz w:val="22"/>
          <w:szCs w:val="22"/>
          <w:lang w:eastAsia="cs-CZ"/>
        </w:rPr>
      </w:pPr>
      <w:r w:rsidRPr="00D42621">
        <w:rPr>
          <w:rFonts w:ascii="Arial" w:hAnsi="Arial" w:cs="Arial"/>
          <w:noProof/>
          <w:color w:val="0066FF"/>
          <w:sz w:val="22"/>
          <w:szCs w:val="22"/>
          <w:lang w:eastAsia="cs-CZ"/>
        </w:rPr>
        <w:lastRenderedPageBreak/>
        <w:drawing>
          <wp:inline distT="0" distB="0" distL="0" distR="0" wp14:anchorId="77DF5696" wp14:editId="4E09AEA8">
            <wp:extent cx="5975350" cy="2223135"/>
            <wp:effectExtent l="38100" t="38100" r="44450" b="43815"/>
            <wp:docPr id="34999" name="Obrázek 34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5975350" cy="2223135"/>
                    </a:xfrm>
                    <a:prstGeom prst="rect">
                      <a:avLst/>
                    </a:prstGeom>
                    <a:noFill/>
                    <a:ln w="38100" cmpd="sng">
                      <a:solidFill>
                        <a:srgbClr val="0066FF"/>
                      </a:solidFill>
                      <a:miter lim="800000"/>
                      <a:headEnd/>
                      <a:tailEnd/>
                    </a:ln>
                    <a:effectLst/>
                  </pic:spPr>
                </pic:pic>
              </a:graphicData>
            </a:graphic>
          </wp:inline>
        </w:drawing>
      </w:r>
    </w:p>
    <w:p w14:paraId="6541EDDE"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2D4F4520"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r w:rsidRPr="00D42621">
        <w:rPr>
          <w:rFonts w:ascii="Arial" w:hAnsi="Arial" w:cs="Arial"/>
          <w:b/>
          <w:color w:val="0066FF"/>
          <w:sz w:val="22"/>
          <w:szCs w:val="22"/>
          <w:lang w:eastAsia="cs-CZ"/>
        </w:rPr>
        <w:t>Zásobování elektřinou</w:t>
      </w:r>
    </w:p>
    <w:p w14:paraId="551BB08B" w14:textId="77777777" w:rsidR="00D42621" w:rsidRPr="00D42621" w:rsidRDefault="00D42621" w:rsidP="00D42621">
      <w:pPr>
        <w:suppressAutoHyphens w:val="0"/>
        <w:spacing w:line="276" w:lineRule="auto"/>
        <w:jc w:val="both"/>
        <w:rPr>
          <w:rFonts w:ascii="Arial" w:hAnsi="Arial" w:cs="Arial"/>
          <w:color w:val="0066FF"/>
          <w:sz w:val="22"/>
          <w:szCs w:val="22"/>
          <w:lang w:eastAsia="cs-CZ"/>
        </w:rPr>
      </w:pPr>
      <w:r w:rsidRPr="00D42621">
        <w:rPr>
          <w:rFonts w:ascii="Arial" w:hAnsi="Arial" w:cs="Arial"/>
          <w:color w:val="0066FF"/>
          <w:sz w:val="22"/>
          <w:szCs w:val="22"/>
          <w:lang w:eastAsia="cs-CZ"/>
        </w:rPr>
        <w:t>Bude realizováno nově vybudovanými kabelovými sekundárními rozvody, které budou zaústěny do stávající trafostanice č.73 v Polské ulici. Bude využita stávající výkonová rezerva trafostanice, v případě nedostatečné rezervy lze vyměnit technologii za vyšší výkonovou řadu.</w:t>
      </w:r>
    </w:p>
    <w:p w14:paraId="2250AF1F"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0C5AFDF3"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19CD03E9"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r w:rsidRPr="00D42621">
        <w:rPr>
          <w:rFonts w:ascii="Arial" w:hAnsi="Arial" w:cs="Arial"/>
          <w:b/>
          <w:color w:val="0066FF"/>
          <w:sz w:val="22"/>
          <w:szCs w:val="22"/>
          <w:lang w:eastAsia="cs-CZ"/>
        </w:rPr>
        <w:t>Zásobování plynem</w:t>
      </w:r>
    </w:p>
    <w:p w14:paraId="691BB0B3" w14:textId="77777777" w:rsidR="00D42621" w:rsidRPr="00D42621" w:rsidRDefault="00D42621" w:rsidP="00D42621">
      <w:pPr>
        <w:suppressAutoHyphens w:val="0"/>
        <w:spacing w:line="276" w:lineRule="auto"/>
        <w:jc w:val="both"/>
        <w:rPr>
          <w:rFonts w:ascii="Arial" w:hAnsi="Arial" w:cs="Arial"/>
          <w:color w:val="0066FF"/>
          <w:sz w:val="22"/>
          <w:szCs w:val="22"/>
          <w:lang w:eastAsia="cs-CZ"/>
        </w:rPr>
      </w:pPr>
      <w:r w:rsidRPr="00D42621">
        <w:rPr>
          <w:rFonts w:ascii="Arial" w:hAnsi="Arial" w:cs="Arial"/>
          <w:color w:val="0066FF"/>
          <w:sz w:val="22"/>
          <w:szCs w:val="22"/>
          <w:lang w:eastAsia="cs-CZ"/>
        </w:rPr>
        <w:t>Bude vybudován středotlaký plynovodní řad v délce cca 205 m, který povede mezi rozvojovými plochami II/ 14 (rezerva pro 30 rodinných domků) a II/ 13 (výstavba 10 rodinných domků), které definuje schválený územní plán. Rad bude ukončen na hranici řešené rozvojové plochy III/7 a bude zdrojem plynu také pro výše uvedené rozvojové plochy II/ 13 a II/ 14.</w:t>
      </w:r>
    </w:p>
    <w:p w14:paraId="66569F90" w14:textId="77777777" w:rsidR="00D42621" w:rsidRPr="00D42621" w:rsidRDefault="00D42621" w:rsidP="00D42621">
      <w:pPr>
        <w:suppressAutoHyphens w:val="0"/>
        <w:spacing w:line="276" w:lineRule="auto"/>
        <w:jc w:val="both"/>
        <w:rPr>
          <w:rFonts w:ascii="Arial" w:hAnsi="Arial" w:cs="Arial"/>
          <w:color w:val="0066FF"/>
          <w:sz w:val="22"/>
          <w:szCs w:val="22"/>
          <w:lang w:eastAsia="cs-CZ"/>
        </w:rPr>
      </w:pPr>
      <w:r w:rsidRPr="00D42621">
        <w:rPr>
          <w:rFonts w:ascii="Arial" w:hAnsi="Arial" w:cs="Arial"/>
          <w:color w:val="0066FF"/>
          <w:sz w:val="22"/>
          <w:szCs w:val="22"/>
          <w:lang w:eastAsia="cs-CZ"/>
        </w:rPr>
        <w:t>Vybudovaný středotlaký plynovod nahradí nízkotlaký plynovod vedený ve stejné trase a navržený ve stávajícím schváleném územním plánu.</w:t>
      </w:r>
    </w:p>
    <w:p w14:paraId="24343DAB"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032E813F"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r w:rsidRPr="00D42621">
        <w:rPr>
          <w:rFonts w:ascii="Arial" w:hAnsi="Arial" w:cs="Arial"/>
          <w:b/>
          <w:color w:val="0066FF"/>
          <w:sz w:val="22"/>
          <w:szCs w:val="22"/>
          <w:lang w:eastAsia="cs-CZ"/>
        </w:rPr>
        <w:t>Telekomunikace</w:t>
      </w:r>
    </w:p>
    <w:p w14:paraId="2A21033D" w14:textId="77777777" w:rsidR="00D42621" w:rsidRPr="00D42621" w:rsidRDefault="00D42621" w:rsidP="00D42621">
      <w:pPr>
        <w:suppressAutoHyphens w:val="0"/>
        <w:spacing w:line="276" w:lineRule="auto"/>
        <w:jc w:val="both"/>
        <w:rPr>
          <w:rFonts w:ascii="Arial" w:hAnsi="Arial" w:cs="Arial"/>
          <w:color w:val="0066FF"/>
          <w:sz w:val="22"/>
          <w:szCs w:val="22"/>
          <w:lang w:eastAsia="cs-CZ"/>
        </w:rPr>
      </w:pPr>
      <w:r w:rsidRPr="00D42621">
        <w:rPr>
          <w:rFonts w:ascii="Arial" w:hAnsi="Arial" w:cs="Arial"/>
          <w:color w:val="0066FF"/>
          <w:sz w:val="22"/>
          <w:szCs w:val="22"/>
          <w:lang w:eastAsia="cs-CZ"/>
        </w:rPr>
        <w:t>Rozvojová plocha bude napojena na nejbližší soustřeďovací bod místní telekomunikační sítě, která je dostatečně kapacitní. Pro napojení řešeného území bude vytvořena rezerva 45 přípojek. Realizace telekomunikační sítě v území bude řešena jako podzemní kabelová.</w:t>
      </w:r>
    </w:p>
    <w:p w14:paraId="4F85FB3A" w14:textId="77777777" w:rsidR="00D42621" w:rsidRPr="00D42621" w:rsidRDefault="00D42621" w:rsidP="00D42621">
      <w:pPr>
        <w:suppressAutoHyphens w:val="0"/>
        <w:spacing w:line="276" w:lineRule="auto"/>
        <w:jc w:val="both"/>
        <w:rPr>
          <w:rFonts w:ascii="Arial" w:hAnsi="Arial" w:cs="Arial"/>
          <w:color w:val="0066FF"/>
          <w:sz w:val="22"/>
          <w:szCs w:val="22"/>
          <w:lang w:eastAsia="cs-CZ"/>
        </w:rPr>
      </w:pPr>
    </w:p>
    <w:p w14:paraId="6203B629" w14:textId="77777777" w:rsidR="00D42621" w:rsidRPr="00D42621" w:rsidRDefault="00D42621" w:rsidP="00D42621">
      <w:pPr>
        <w:suppressAutoHyphens w:val="0"/>
        <w:spacing w:line="276" w:lineRule="auto"/>
        <w:jc w:val="both"/>
        <w:rPr>
          <w:rFonts w:ascii="Arial" w:hAnsi="Arial" w:cs="Arial"/>
          <w:color w:val="0066FF"/>
          <w:sz w:val="22"/>
          <w:szCs w:val="22"/>
          <w:lang w:eastAsia="cs-CZ"/>
        </w:rPr>
      </w:pPr>
      <w:r w:rsidRPr="00D42621">
        <w:rPr>
          <w:rFonts w:ascii="Arial" w:hAnsi="Arial" w:cs="Arial"/>
          <w:noProof/>
          <w:color w:val="0066FF"/>
          <w:sz w:val="22"/>
          <w:szCs w:val="22"/>
          <w:lang w:eastAsia="cs-CZ"/>
        </w:rPr>
        <w:drawing>
          <wp:inline distT="0" distB="0" distL="0" distR="0" wp14:anchorId="647E3347" wp14:editId="5882193C">
            <wp:extent cx="5975350" cy="709295"/>
            <wp:effectExtent l="38100" t="38100" r="44450" b="33655"/>
            <wp:docPr id="34998" name="Obrázek 34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5975350" cy="709295"/>
                    </a:xfrm>
                    <a:prstGeom prst="rect">
                      <a:avLst/>
                    </a:prstGeom>
                    <a:noFill/>
                    <a:ln w="38100" cmpd="sng">
                      <a:solidFill>
                        <a:srgbClr val="0066FF"/>
                      </a:solidFill>
                      <a:miter lim="800000"/>
                      <a:headEnd/>
                      <a:tailEnd/>
                    </a:ln>
                    <a:effectLst/>
                  </pic:spPr>
                </pic:pic>
              </a:graphicData>
            </a:graphic>
          </wp:inline>
        </w:drawing>
      </w:r>
    </w:p>
    <w:p w14:paraId="437037C8"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4318DB48"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2BA13B04"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6361C478"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38BB1C64" w14:textId="77777777" w:rsidR="00D42621" w:rsidRDefault="00D42621" w:rsidP="00D42621">
      <w:pPr>
        <w:suppressAutoHyphens w:val="0"/>
        <w:spacing w:line="276" w:lineRule="auto"/>
        <w:jc w:val="both"/>
        <w:rPr>
          <w:rFonts w:ascii="Arial" w:hAnsi="Arial" w:cs="Arial"/>
          <w:b/>
          <w:color w:val="0066FF"/>
          <w:sz w:val="22"/>
          <w:szCs w:val="22"/>
          <w:lang w:eastAsia="cs-CZ"/>
        </w:rPr>
      </w:pPr>
    </w:p>
    <w:p w14:paraId="7D3CF846" w14:textId="77777777" w:rsidR="00D42621" w:rsidRDefault="00D42621" w:rsidP="00D42621">
      <w:pPr>
        <w:suppressAutoHyphens w:val="0"/>
        <w:spacing w:line="276" w:lineRule="auto"/>
        <w:jc w:val="both"/>
        <w:rPr>
          <w:rFonts w:ascii="Arial" w:hAnsi="Arial" w:cs="Arial"/>
          <w:b/>
          <w:color w:val="0066FF"/>
          <w:sz w:val="22"/>
          <w:szCs w:val="22"/>
          <w:lang w:eastAsia="cs-CZ"/>
        </w:rPr>
      </w:pPr>
    </w:p>
    <w:p w14:paraId="270D8E5E" w14:textId="77777777" w:rsidR="00D42621" w:rsidRDefault="00D42621" w:rsidP="00D42621">
      <w:pPr>
        <w:suppressAutoHyphens w:val="0"/>
        <w:spacing w:line="276" w:lineRule="auto"/>
        <w:jc w:val="both"/>
        <w:rPr>
          <w:rFonts w:ascii="Arial" w:hAnsi="Arial" w:cs="Arial"/>
          <w:b/>
          <w:color w:val="0066FF"/>
          <w:sz w:val="22"/>
          <w:szCs w:val="22"/>
          <w:lang w:eastAsia="cs-CZ"/>
        </w:rPr>
      </w:pPr>
    </w:p>
    <w:p w14:paraId="4E1B6638" w14:textId="77777777" w:rsidR="00D42621" w:rsidRDefault="00D42621" w:rsidP="00D42621">
      <w:pPr>
        <w:suppressAutoHyphens w:val="0"/>
        <w:spacing w:line="276" w:lineRule="auto"/>
        <w:jc w:val="both"/>
        <w:rPr>
          <w:rFonts w:ascii="Arial" w:hAnsi="Arial" w:cs="Arial"/>
          <w:b/>
          <w:color w:val="0066FF"/>
          <w:sz w:val="22"/>
          <w:szCs w:val="22"/>
          <w:lang w:eastAsia="cs-CZ"/>
        </w:rPr>
      </w:pPr>
    </w:p>
    <w:p w14:paraId="0C2D436B" w14:textId="77777777" w:rsidR="00D42621" w:rsidRDefault="00D42621" w:rsidP="00D42621">
      <w:pPr>
        <w:suppressAutoHyphens w:val="0"/>
        <w:spacing w:line="276" w:lineRule="auto"/>
        <w:jc w:val="both"/>
        <w:rPr>
          <w:rFonts w:ascii="Arial" w:hAnsi="Arial" w:cs="Arial"/>
          <w:b/>
          <w:color w:val="0066FF"/>
          <w:sz w:val="22"/>
          <w:szCs w:val="22"/>
          <w:lang w:eastAsia="cs-CZ"/>
        </w:rPr>
      </w:pPr>
    </w:p>
    <w:p w14:paraId="3F8027E1"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3286AB92"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7370C8CB"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r w:rsidRPr="00D42621">
        <w:rPr>
          <w:rFonts w:ascii="Arial" w:hAnsi="Arial" w:cs="Arial"/>
          <w:b/>
          <w:color w:val="0066FF"/>
          <w:sz w:val="22"/>
          <w:szCs w:val="22"/>
          <w:lang w:eastAsia="cs-CZ"/>
        </w:rPr>
        <w:t>REGULATIVY PRO UŽITÍ ENERGIÍ A SPOJE</w:t>
      </w:r>
    </w:p>
    <w:p w14:paraId="48D3FBE5"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07736C9E"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r w:rsidRPr="00D42621">
        <w:rPr>
          <w:rFonts w:ascii="Arial" w:hAnsi="Arial" w:cs="Arial"/>
          <w:b/>
          <w:color w:val="0066FF"/>
          <w:sz w:val="22"/>
          <w:szCs w:val="22"/>
          <w:lang w:eastAsia="cs-CZ"/>
        </w:rPr>
        <w:t>Energetika</w:t>
      </w:r>
    </w:p>
    <w:p w14:paraId="721A9681" w14:textId="77777777" w:rsidR="00D42621" w:rsidRPr="00D42621" w:rsidRDefault="00D42621" w:rsidP="00D42621">
      <w:pPr>
        <w:suppressAutoHyphens w:val="0"/>
        <w:spacing w:line="276" w:lineRule="auto"/>
        <w:jc w:val="both"/>
        <w:rPr>
          <w:rFonts w:ascii="Arial" w:hAnsi="Arial" w:cs="Arial"/>
          <w:color w:val="0066FF"/>
          <w:sz w:val="22"/>
          <w:szCs w:val="22"/>
          <w:lang w:eastAsia="cs-CZ"/>
        </w:rPr>
      </w:pPr>
      <w:r w:rsidRPr="00D42621">
        <w:rPr>
          <w:rFonts w:ascii="Arial" w:hAnsi="Arial" w:cs="Arial"/>
          <w:color w:val="0066FF"/>
          <w:sz w:val="22"/>
          <w:szCs w:val="22"/>
          <w:lang w:eastAsia="cs-CZ"/>
        </w:rPr>
        <w:t>navržená rozvojová plocha bude komplexně plynofikována, tzn., že plyn bude využíván pro vytápění, vaření a ohřev užitkové vody, přednostně bude využíváno kombinovaných kotlů pro vytápění a ohřev vody, kotlů s akumulačním ohřevem vody a kondenzační techniky</w:t>
      </w:r>
    </w:p>
    <w:p w14:paraId="010CBA0B" w14:textId="77777777" w:rsidR="00D42621" w:rsidRPr="00D42621" w:rsidRDefault="00D42621" w:rsidP="00D42621">
      <w:pPr>
        <w:numPr>
          <w:ilvl w:val="0"/>
          <w:numId w:val="63"/>
        </w:numPr>
        <w:suppressAutoHyphens w:val="0"/>
        <w:spacing w:after="160" w:line="276" w:lineRule="auto"/>
        <w:contextualSpacing/>
        <w:jc w:val="both"/>
        <w:rPr>
          <w:rFonts w:ascii="Arial" w:eastAsia="Calibri" w:hAnsi="Arial" w:cs="Arial"/>
          <w:color w:val="0066FF"/>
          <w:sz w:val="22"/>
          <w:szCs w:val="22"/>
          <w:lang w:val="en-US" w:eastAsia="en-US"/>
        </w:rPr>
      </w:pPr>
      <w:r w:rsidRPr="00D42621">
        <w:rPr>
          <w:rFonts w:ascii="Arial" w:eastAsia="Calibri" w:hAnsi="Arial" w:cs="Arial"/>
          <w:color w:val="0066FF"/>
          <w:sz w:val="22"/>
          <w:szCs w:val="22"/>
          <w:lang w:val="en-US" w:eastAsia="en-US"/>
        </w:rPr>
        <w:t>elektřiny bude využíváno pouze pro běžné spotřebiče připojitelné přes zásuvku svícení (tzv. elektrizační stupeň A)</w:t>
      </w:r>
    </w:p>
    <w:p w14:paraId="6049F01E" w14:textId="77777777" w:rsidR="00D42621" w:rsidRPr="00D42621" w:rsidRDefault="00D42621" w:rsidP="00D42621">
      <w:pPr>
        <w:numPr>
          <w:ilvl w:val="0"/>
          <w:numId w:val="63"/>
        </w:numPr>
        <w:suppressAutoHyphens w:val="0"/>
        <w:spacing w:after="160" w:line="276" w:lineRule="auto"/>
        <w:contextualSpacing/>
        <w:jc w:val="both"/>
        <w:rPr>
          <w:rFonts w:ascii="Arial" w:eastAsia="Calibri" w:hAnsi="Arial" w:cs="Arial"/>
          <w:color w:val="0066FF"/>
          <w:sz w:val="22"/>
          <w:szCs w:val="22"/>
          <w:lang w:val="en-US" w:eastAsia="en-US"/>
        </w:rPr>
      </w:pPr>
      <w:r w:rsidRPr="00D42621">
        <w:rPr>
          <w:rFonts w:ascii="Arial" w:eastAsia="Calibri" w:hAnsi="Arial" w:cs="Arial"/>
          <w:color w:val="0066FF"/>
          <w:sz w:val="22"/>
          <w:szCs w:val="22"/>
          <w:lang w:val="en-US" w:eastAsia="en-US"/>
        </w:rPr>
        <w:t>pro ohřev vody využívat sluneční energie</w:t>
      </w:r>
    </w:p>
    <w:p w14:paraId="0F8D8A9D" w14:textId="77777777" w:rsidR="00D42621" w:rsidRPr="00D42621" w:rsidRDefault="00D42621" w:rsidP="00D42621">
      <w:pPr>
        <w:numPr>
          <w:ilvl w:val="0"/>
          <w:numId w:val="63"/>
        </w:numPr>
        <w:suppressAutoHyphens w:val="0"/>
        <w:spacing w:after="160" w:line="276" w:lineRule="auto"/>
        <w:contextualSpacing/>
        <w:jc w:val="both"/>
        <w:rPr>
          <w:rFonts w:ascii="Arial" w:eastAsia="Calibri" w:hAnsi="Arial" w:cs="Arial"/>
          <w:color w:val="0066FF"/>
          <w:sz w:val="22"/>
          <w:szCs w:val="22"/>
          <w:lang w:val="en-US" w:eastAsia="en-US"/>
        </w:rPr>
      </w:pPr>
      <w:r w:rsidRPr="00D42621">
        <w:rPr>
          <w:rFonts w:ascii="Arial" w:eastAsia="Calibri" w:hAnsi="Arial" w:cs="Arial"/>
          <w:color w:val="0066FF"/>
          <w:sz w:val="22"/>
          <w:szCs w:val="22"/>
          <w:lang w:val="en-US" w:eastAsia="en-US"/>
        </w:rPr>
        <w:t>sekundární rozvody elektřiny do rozvoj ové plochy budou kabelové, uložené v zemi.</w:t>
      </w:r>
    </w:p>
    <w:p w14:paraId="440B7490"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p>
    <w:p w14:paraId="068395C0" w14:textId="77777777" w:rsidR="00D42621" w:rsidRPr="00D42621" w:rsidRDefault="00D42621" w:rsidP="00D42621">
      <w:pPr>
        <w:suppressAutoHyphens w:val="0"/>
        <w:spacing w:line="276" w:lineRule="auto"/>
        <w:jc w:val="both"/>
        <w:rPr>
          <w:rFonts w:ascii="Arial" w:hAnsi="Arial" w:cs="Arial"/>
          <w:b/>
          <w:color w:val="0066FF"/>
          <w:sz w:val="22"/>
          <w:szCs w:val="22"/>
          <w:lang w:eastAsia="cs-CZ"/>
        </w:rPr>
      </w:pPr>
      <w:r w:rsidRPr="00D42621">
        <w:rPr>
          <w:rFonts w:ascii="Arial" w:hAnsi="Arial" w:cs="Arial"/>
          <w:b/>
          <w:color w:val="0066FF"/>
          <w:sz w:val="22"/>
          <w:szCs w:val="22"/>
          <w:lang w:eastAsia="cs-CZ"/>
        </w:rPr>
        <w:t>Spoje</w:t>
      </w:r>
    </w:p>
    <w:p w14:paraId="0114ADA3" w14:textId="77777777" w:rsidR="00D42621" w:rsidRPr="00D42621" w:rsidRDefault="00D42621" w:rsidP="00D42621">
      <w:pPr>
        <w:numPr>
          <w:ilvl w:val="0"/>
          <w:numId w:val="64"/>
        </w:numPr>
        <w:suppressAutoHyphens w:val="0"/>
        <w:spacing w:after="160" w:line="276" w:lineRule="auto"/>
        <w:contextualSpacing/>
        <w:jc w:val="both"/>
        <w:rPr>
          <w:rFonts w:ascii="Arial" w:eastAsia="Calibri" w:hAnsi="Arial" w:cs="Arial"/>
          <w:color w:val="0066FF"/>
          <w:sz w:val="22"/>
          <w:szCs w:val="22"/>
          <w:lang w:val="en-US" w:eastAsia="en-US"/>
        </w:rPr>
      </w:pPr>
      <w:r w:rsidRPr="00D42621">
        <w:rPr>
          <w:rFonts w:ascii="Arial" w:eastAsia="Calibri" w:hAnsi="Arial" w:cs="Arial"/>
          <w:color w:val="0066FF"/>
          <w:sz w:val="22"/>
          <w:szCs w:val="22"/>
          <w:lang w:val="en-US" w:eastAsia="en-US"/>
        </w:rPr>
        <w:t>vytvořit předpoklady pro napojení všech objektů na telekomunikační síť</w:t>
      </w:r>
    </w:p>
    <w:p w14:paraId="1155F340" w14:textId="77777777" w:rsidR="00D42621" w:rsidRPr="00D42621" w:rsidRDefault="00D42621" w:rsidP="00D42621">
      <w:pPr>
        <w:numPr>
          <w:ilvl w:val="0"/>
          <w:numId w:val="64"/>
        </w:numPr>
        <w:suppressAutoHyphens w:val="0"/>
        <w:spacing w:after="160" w:line="276" w:lineRule="auto"/>
        <w:contextualSpacing/>
        <w:jc w:val="both"/>
        <w:rPr>
          <w:rFonts w:ascii="Arial" w:eastAsia="Calibri" w:hAnsi="Arial" w:cs="Arial"/>
          <w:color w:val="0066FF"/>
          <w:sz w:val="22"/>
          <w:szCs w:val="22"/>
          <w:lang w:val="en-US" w:eastAsia="en-US"/>
        </w:rPr>
      </w:pPr>
      <w:r w:rsidRPr="00D42621">
        <w:rPr>
          <w:rFonts w:ascii="Arial" w:eastAsia="Calibri" w:hAnsi="Arial" w:cs="Arial"/>
          <w:color w:val="0066FF"/>
          <w:sz w:val="22"/>
          <w:szCs w:val="22"/>
          <w:lang w:val="en-US" w:eastAsia="en-US"/>
        </w:rPr>
        <w:t>rozšíření telekomunikační sítě do rozvojové plochy realizovat jako kabelovou (podpovrchovou) síť.</w:t>
      </w:r>
    </w:p>
    <w:p w14:paraId="29619819"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p>
    <w:p w14:paraId="2014BEC1"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p>
    <w:p w14:paraId="56E6AEC4"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r w:rsidRPr="00D42621">
        <w:rPr>
          <w:rFonts w:ascii="Arial" w:hAnsi="Arial" w:cs="Arial"/>
          <w:b/>
          <w:color w:val="D60093"/>
          <w:sz w:val="22"/>
          <w:szCs w:val="22"/>
          <w:lang w:eastAsia="cs-CZ"/>
        </w:rPr>
        <w:t>(Z6) KONCEPCE ENERGETIKY A SPOJÚ</w:t>
      </w:r>
    </w:p>
    <w:p w14:paraId="6ACB83AF"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r w:rsidRPr="00D42621">
        <w:rPr>
          <w:rFonts w:ascii="Arial" w:hAnsi="Arial" w:cs="Arial"/>
          <w:b/>
          <w:color w:val="D60093"/>
          <w:sz w:val="22"/>
          <w:szCs w:val="22"/>
          <w:lang w:eastAsia="cs-CZ"/>
        </w:rPr>
        <w:t>Základní energetická koncepce řešeného území</w:t>
      </w:r>
    </w:p>
    <w:p w14:paraId="1C87B714"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p>
    <w:p w14:paraId="1D874053"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r w:rsidRPr="00D42621">
        <w:rPr>
          <w:rFonts w:ascii="Arial" w:hAnsi="Arial" w:cs="Arial"/>
          <w:b/>
          <w:color w:val="D60093"/>
          <w:sz w:val="22"/>
          <w:szCs w:val="22"/>
          <w:lang w:eastAsia="cs-CZ"/>
        </w:rPr>
        <w:t>Energetika a spoje</w:t>
      </w:r>
    </w:p>
    <w:p w14:paraId="68BB839F" w14:textId="77777777" w:rsidR="00D42621" w:rsidRPr="00D42621" w:rsidRDefault="00D42621" w:rsidP="00D42621">
      <w:pPr>
        <w:suppressAutoHyphens w:val="0"/>
        <w:spacing w:line="276" w:lineRule="auto"/>
        <w:jc w:val="both"/>
        <w:rPr>
          <w:rFonts w:ascii="Arial" w:hAnsi="Arial" w:cs="Arial"/>
          <w:color w:val="D60093"/>
          <w:sz w:val="22"/>
          <w:szCs w:val="22"/>
          <w:lang w:eastAsia="cs-CZ"/>
        </w:rPr>
      </w:pPr>
      <w:r w:rsidRPr="00D42621">
        <w:rPr>
          <w:rFonts w:ascii="Arial" w:hAnsi="Arial" w:cs="Arial"/>
          <w:color w:val="D60093"/>
          <w:sz w:val="22"/>
          <w:szCs w:val="22"/>
          <w:lang w:eastAsia="cs-CZ"/>
        </w:rPr>
        <w:t>Energetická koncepce území je založena na dostupnosti energetických médií. Do území je z centrálních zdrojů přiváděna elektřina a zemní plyn. Plyn je využíván nejenom pro malé zdroje tepla ale také jako palivo pro čtyři rozvinuté systémy centrálního zásobování teplem. Pro vytápění nezávislé na sítích jsou využívána dostupná ekologická paliva. Využívání hnědého uhlí se podmiňuje instalací ekologického kotle.</w:t>
      </w:r>
    </w:p>
    <w:p w14:paraId="7CB551EF"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p>
    <w:p w14:paraId="53154299"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p>
    <w:p w14:paraId="71A8BC53"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r w:rsidRPr="00D42621">
        <w:rPr>
          <w:rFonts w:ascii="Arial" w:hAnsi="Arial" w:cs="Arial"/>
          <w:b/>
          <w:color w:val="D60093"/>
          <w:sz w:val="22"/>
          <w:szCs w:val="22"/>
          <w:lang w:eastAsia="cs-CZ"/>
        </w:rPr>
        <w:t xml:space="preserve">Koncepce veřejné infrastruktury a dalšího občanského vybavení včetně podmínek pro jejich umisťování </w:t>
      </w:r>
    </w:p>
    <w:p w14:paraId="714DA6B3"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p>
    <w:p w14:paraId="4B010641"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r w:rsidRPr="00D42621">
        <w:rPr>
          <w:rFonts w:ascii="Arial" w:hAnsi="Arial" w:cs="Arial"/>
          <w:b/>
          <w:color w:val="D60093"/>
          <w:sz w:val="22"/>
          <w:szCs w:val="22"/>
          <w:lang w:eastAsia="cs-CZ"/>
        </w:rPr>
        <w:t>Energetika</w:t>
      </w:r>
    </w:p>
    <w:p w14:paraId="0159D4BE" w14:textId="77777777" w:rsidR="00D42621" w:rsidRPr="00D42621" w:rsidRDefault="00D42621" w:rsidP="00D42621">
      <w:pPr>
        <w:suppressAutoHyphens w:val="0"/>
        <w:spacing w:line="276" w:lineRule="auto"/>
        <w:jc w:val="both"/>
        <w:rPr>
          <w:rFonts w:ascii="Arial" w:hAnsi="Arial" w:cs="Arial"/>
          <w:color w:val="D60093"/>
          <w:sz w:val="22"/>
          <w:szCs w:val="22"/>
          <w:lang w:eastAsia="cs-CZ"/>
        </w:rPr>
      </w:pPr>
      <w:r w:rsidRPr="00D42621">
        <w:rPr>
          <w:rFonts w:ascii="Arial" w:hAnsi="Arial" w:cs="Arial"/>
          <w:color w:val="D60093"/>
          <w:sz w:val="22"/>
          <w:szCs w:val="22"/>
          <w:lang w:eastAsia="cs-CZ"/>
        </w:rPr>
        <w:t>Energetická koncepce města je založena na dodávkách elektřiny a zemního plynu z centrálních zdrojů, přičemž elektřina je vyráběna z domácích primárních zdrojů a zemní plyn je dovážen ze zahraničí (prakticky 100% závislost ČR). Zemního plynu se používá pro vytápění a to jak individuálně tak pro výrobu dodávkového tepla. Tepelný kogenerační zdroj Děčín východ zásobuje rozvinutý systém CZT a vedle zemního plynu využívá i geotermální energii. Rostoucí ceny energií Způsobují návrat k užívání hnědého uhlí v lokálním vytápění. Tento jev v době teplotních inverzí značně ovlivňuje kvalitu přízemní vrstvy atmosféry.</w:t>
      </w:r>
    </w:p>
    <w:p w14:paraId="6E432A6D" w14:textId="77777777" w:rsidR="00D42621" w:rsidRPr="00D42621" w:rsidRDefault="00D42621" w:rsidP="00D42621">
      <w:pPr>
        <w:suppressAutoHyphens w:val="0"/>
        <w:spacing w:line="276" w:lineRule="auto"/>
        <w:jc w:val="both"/>
        <w:rPr>
          <w:rFonts w:ascii="Arial" w:hAnsi="Arial" w:cs="Arial"/>
          <w:color w:val="D60093"/>
          <w:sz w:val="22"/>
          <w:szCs w:val="22"/>
          <w:lang w:eastAsia="cs-CZ"/>
        </w:rPr>
      </w:pPr>
      <w:r w:rsidRPr="00D42621">
        <w:rPr>
          <w:rFonts w:ascii="Arial" w:hAnsi="Arial" w:cs="Arial"/>
          <w:color w:val="D60093"/>
          <w:sz w:val="22"/>
          <w:szCs w:val="22"/>
          <w:lang w:eastAsia="cs-CZ"/>
        </w:rPr>
        <w:t>Energetická koncepce navržených rozvojových ploch je založena zásadně na dvojcestném zásobování energiemi a to</w:t>
      </w:r>
    </w:p>
    <w:p w14:paraId="21BF9AA7" w14:textId="77777777" w:rsidR="00D42621" w:rsidRPr="00D42621" w:rsidRDefault="00D42621" w:rsidP="00D42621">
      <w:pPr>
        <w:numPr>
          <w:ilvl w:val="0"/>
          <w:numId w:val="65"/>
        </w:numPr>
        <w:suppressAutoHyphens w:val="0"/>
        <w:spacing w:after="160" w:line="276" w:lineRule="auto"/>
        <w:contextualSpacing/>
        <w:jc w:val="both"/>
        <w:rPr>
          <w:rFonts w:ascii="Arial" w:eastAsia="Calibri" w:hAnsi="Arial" w:cs="Arial"/>
          <w:color w:val="D60093"/>
          <w:sz w:val="22"/>
          <w:szCs w:val="22"/>
          <w:lang w:val="en-US" w:eastAsia="en-US"/>
        </w:rPr>
      </w:pPr>
      <w:r w:rsidRPr="00D42621">
        <w:rPr>
          <w:rFonts w:ascii="Arial" w:eastAsia="Calibri" w:hAnsi="Arial" w:cs="Arial"/>
          <w:color w:val="D60093"/>
          <w:sz w:val="22"/>
          <w:szCs w:val="22"/>
          <w:lang w:val="en-US" w:eastAsia="en-US"/>
        </w:rPr>
        <w:t>elektřina + zemní plyn</w:t>
      </w:r>
    </w:p>
    <w:p w14:paraId="4E9CABD8" w14:textId="77777777" w:rsidR="00D42621" w:rsidRPr="00D42621" w:rsidRDefault="00D42621" w:rsidP="00D42621">
      <w:pPr>
        <w:numPr>
          <w:ilvl w:val="0"/>
          <w:numId w:val="65"/>
        </w:numPr>
        <w:suppressAutoHyphens w:val="0"/>
        <w:spacing w:after="160" w:line="276" w:lineRule="auto"/>
        <w:contextualSpacing/>
        <w:jc w:val="both"/>
        <w:rPr>
          <w:rFonts w:ascii="Arial" w:eastAsia="Calibri" w:hAnsi="Arial" w:cs="Arial"/>
          <w:color w:val="D60093"/>
          <w:sz w:val="22"/>
          <w:szCs w:val="22"/>
          <w:lang w:val="en-US" w:eastAsia="en-US"/>
        </w:rPr>
      </w:pPr>
      <w:r w:rsidRPr="00D42621">
        <w:rPr>
          <w:rFonts w:ascii="Arial" w:eastAsia="Calibri" w:hAnsi="Arial" w:cs="Arial"/>
          <w:color w:val="D60093"/>
          <w:sz w:val="22"/>
          <w:szCs w:val="22"/>
          <w:lang w:val="en-US" w:eastAsia="en-US"/>
        </w:rPr>
        <w:t>elektřina + dodávkové teplo</w:t>
      </w:r>
    </w:p>
    <w:p w14:paraId="6B7959A1" w14:textId="77777777" w:rsidR="00D42621" w:rsidRPr="00D42621" w:rsidRDefault="00D42621" w:rsidP="00D42621">
      <w:pPr>
        <w:numPr>
          <w:ilvl w:val="0"/>
          <w:numId w:val="65"/>
        </w:numPr>
        <w:suppressAutoHyphens w:val="0"/>
        <w:spacing w:after="160" w:line="276" w:lineRule="auto"/>
        <w:contextualSpacing/>
        <w:jc w:val="both"/>
        <w:rPr>
          <w:rFonts w:ascii="Arial" w:eastAsia="Calibri" w:hAnsi="Arial" w:cs="Arial"/>
          <w:color w:val="D60093"/>
          <w:sz w:val="22"/>
          <w:szCs w:val="22"/>
          <w:lang w:val="en-US" w:eastAsia="en-US"/>
        </w:rPr>
      </w:pPr>
      <w:r w:rsidRPr="00D42621">
        <w:rPr>
          <w:rFonts w:ascii="Arial" w:eastAsia="Calibri" w:hAnsi="Arial" w:cs="Arial"/>
          <w:color w:val="D60093"/>
          <w:sz w:val="22"/>
          <w:szCs w:val="22"/>
          <w:lang w:val="en-US" w:eastAsia="en-US"/>
        </w:rPr>
        <w:t>elektřina + ekologická paliva nezávislá na sítích</w:t>
      </w:r>
    </w:p>
    <w:p w14:paraId="29705F5D" w14:textId="77777777" w:rsidR="00D42621" w:rsidRPr="00D42621" w:rsidRDefault="00D42621" w:rsidP="00D42621">
      <w:pPr>
        <w:suppressAutoHyphens w:val="0"/>
        <w:spacing w:line="276" w:lineRule="auto"/>
        <w:jc w:val="both"/>
        <w:rPr>
          <w:rFonts w:ascii="Arial" w:hAnsi="Arial" w:cs="Arial"/>
          <w:color w:val="D60093"/>
          <w:sz w:val="22"/>
          <w:szCs w:val="22"/>
          <w:lang w:eastAsia="cs-CZ"/>
        </w:rPr>
      </w:pPr>
      <w:r w:rsidRPr="00D42621">
        <w:rPr>
          <w:rFonts w:ascii="Arial" w:hAnsi="Arial" w:cs="Arial"/>
          <w:color w:val="D60093"/>
          <w:sz w:val="22"/>
          <w:szCs w:val="22"/>
          <w:lang w:eastAsia="cs-CZ"/>
        </w:rPr>
        <w:t>Výjimečně jednocestné zásobování (pouze elektřina) je možné pouze tam, kde to umožní kapacita elektrorozvodných sítí, druh vytápění určí dodavatel elektřiny.</w:t>
      </w:r>
    </w:p>
    <w:p w14:paraId="57073F96" w14:textId="77777777" w:rsidR="00D42621" w:rsidRPr="00D42621" w:rsidRDefault="00D42621" w:rsidP="00D42621">
      <w:pPr>
        <w:suppressAutoHyphens w:val="0"/>
        <w:spacing w:line="276" w:lineRule="auto"/>
        <w:jc w:val="both"/>
        <w:rPr>
          <w:rFonts w:ascii="Arial" w:hAnsi="Arial" w:cs="Arial"/>
          <w:color w:val="D60093"/>
          <w:sz w:val="22"/>
          <w:szCs w:val="22"/>
          <w:lang w:eastAsia="cs-CZ"/>
        </w:rPr>
      </w:pPr>
      <w:r w:rsidRPr="00D42621">
        <w:rPr>
          <w:rFonts w:ascii="Arial" w:hAnsi="Arial" w:cs="Arial"/>
          <w:color w:val="D60093"/>
          <w:sz w:val="22"/>
          <w:szCs w:val="22"/>
          <w:lang w:eastAsia="cs-CZ"/>
        </w:rPr>
        <w:lastRenderedPageBreak/>
        <w:t>Převážně rozptýlená zástavba rozvojových ploch umožňuje využívání sluneční energie pro ohřev užitkové vody. Trh nabízí řadu zařízení pro solární ohřev užitkové vody za přijatelnou cenu. Návratnost této investice vzhledem k rostoucím cenám energii se neustále zkracuje.</w:t>
      </w:r>
    </w:p>
    <w:p w14:paraId="4C1F3E4D" w14:textId="77777777" w:rsidR="00D42621" w:rsidRPr="00D42621" w:rsidRDefault="00D42621" w:rsidP="00D42621">
      <w:pPr>
        <w:suppressAutoHyphens w:val="0"/>
        <w:spacing w:line="276" w:lineRule="auto"/>
        <w:jc w:val="both"/>
        <w:rPr>
          <w:rFonts w:ascii="Arial" w:hAnsi="Arial" w:cs="Arial"/>
          <w:color w:val="D60093"/>
          <w:sz w:val="22"/>
          <w:szCs w:val="22"/>
          <w:lang w:eastAsia="cs-CZ"/>
        </w:rPr>
      </w:pPr>
    </w:p>
    <w:p w14:paraId="65A5DD85" w14:textId="77777777" w:rsidR="00D42621" w:rsidRPr="00D42621" w:rsidRDefault="00D42621" w:rsidP="00D42621">
      <w:pPr>
        <w:suppressAutoHyphens w:val="0"/>
        <w:spacing w:line="276" w:lineRule="auto"/>
        <w:jc w:val="both"/>
        <w:rPr>
          <w:rFonts w:ascii="Arial" w:hAnsi="Arial" w:cs="Arial"/>
          <w:b/>
          <w:color w:val="D60093"/>
          <w:sz w:val="22"/>
          <w:szCs w:val="22"/>
          <w:lang w:eastAsia="cs-CZ"/>
        </w:rPr>
      </w:pPr>
      <w:r w:rsidRPr="00D42621">
        <w:rPr>
          <w:rFonts w:ascii="Arial" w:hAnsi="Arial" w:cs="Arial"/>
          <w:b/>
          <w:color w:val="D60093"/>
          <w:sz w:val="22"/>
          <w:szCs w:val="22"/>
          <w:lang w:eastAsia="cs-CZ"/>
        </w:rPr>
        <w:t>Spoje</w:t>
      </w:r>
    </w:p>
    <w:p w14:paraId="27303772" w14:textId="77777777" w:rsidR="00D42621" w:rsidRPr="00D42621" w:rsidRDefault="00D42621" w:rsidP="00D42621">
      <w:pPr>
        <w:suppressAutoHyphens w:val="0"/>
        <w:spacing w:line="276" w:lineRule="auto"/>
        <w:jc w:val="both"/>
        <w:rPr>
          <w:rFonts w:ascii="Arial" w:hAnsi="Arial" w:cs="Arial"/>
          <w:color w:val="D60093"/>
          <w:sz w:val="22"/>
          <w:szCs w:val="22"/>
          <w:lang w:eastAsia="cs-CZ"/>
        </w:rPr>
      </w:pPr>
      <w:r w:rsidRPr="00D42621">
        <w:rPr>
          <w:rFonts w:ascii="Arial" w:hAnsi="Arial" w:cs="Arial"/>
          <w:color w:val="D60093"/>
          <w:sz w:val="22"/>
          <w:szCs w:val="22"/>
          <w:lang w:eastAsia="cs-CZ"/>
        </w:rPr>
        <w:t>Telefonizace rozvojových ploch bude zajištěna ze stávající rekonstruované místní telekomunikační sítě nebo z dynamicky se rozvíjejících bezdrátových sítí mobilních operátorů.</w:t>
      </w:r>
    </w:p>
    <w:p w14:paraId="7FCBDB1D" w14:textId="77777777" w:rsidR="00D42621" w:rsidRPr="00D42621" w:rsidRDefault="00D42621" w:rsidP="00D42621">
      <w:pPr>
        <w:suppressAutoHyphens w:val="0"/>
        <w:spacing w:line="276" w:lineRule="auto"/>
        <w:jc w:val="both"/>
        <w:rPr>
          <w:rFonts w:ascii="Arial" w:hAnsi="Arial" w:cs="Arial"/>
          <w:color w:val="D60093"/>
          <w:sz w:val="22"/>
          <w:szCs w:val="22"/>
          <w:lang w:eastAsia="cs-CZ"/>
        </w:rPr>
      </w:pPr>
      <w:r w:rsidRPr="00D42621">
        <w:rPr>
          <w:rFonts w:ascii="Arial" w:hAnsi="Arial" w:cs="Arial"/>
          <w:color w:val="D60093"/>
          <w:sz w:val="22"/>
          <w:szCs w:val="22"/>
          <w:lang w:eastAsia="cs-CZ"/>
        </w:rPr>
        <w:t xml:space="preserve">Televizní a rozhlasový signál veřejně-právních stanic je přijímán ze stávajících vzdušných sítí a kabelových sítí. Další možnosti nabízí NET a satelitní příjem. </w:t>
      </w:r>
    </w:p>
    <w:p w14:paraId="4AA1EB69" w14:textId="77777777" w:rsidR="00D42621" w:rsidRPr="00D42621" w:rsidRDefault="00D42621" w:rsidP="00D42621">
      <w:pPr>
        <w:keepNext/>
        <w:suppressAutoHyphens w:val="0"/>
        <w:spacing w:before="120" w:after="80"/>
        <w:jc w:val="both"/>
        <w:outlineLvl w:val="3"/>
        <w:rPr>
          <w:rFonts w:ascii="Arial" w:hAnsi="Arial" w:cs="Arial"/>
          <w:b/>
          <w:bCs/>
          <w:color w:val="FF0000"/>
          <w:sz w:val="22"/>
          <w:szCs w:val="22"/>
          <w:lang w:val="x-none" w:eastAsia="x-none"/>
        </w:rPr>
      </w:pPr>
    </w:p>
    <w:p w14:paraId="40D0E8FF" w14:textId="77777777" w:rsidR="00D42621" w:rsidRPr="00D42621" w:rsidRDefault="00D42621" w:rsidP="00D42621">
      <w:pPr>
        <w:keepNext/>
        <w:suppressAutoHyphens w:val="0"/>
        <w:spacing w:before="120" w:after="80"/>
        <w:jc w:val="both"/>
        <w:outlineLvl w:val="3"/>
        <w:rPr>
          <w:rFonts w:ascii="Arial" w:hAnsi="Arial" w:cs="Arial"/>
          <w:b/>
          <w:bCs/>
          <w:color w:val="FF0000"/>
          <w:sz w:val="22"/>
          <w:szCs w:val="22"/>
          <w:lang w:val="x-none" w:eastAsia="x-none"/>
        </w:rPr>
      </w:pPr>
      <w:r w:rsidRPr="00D42621">
        <w:rPr>
          <w:rFonts w:ascii="Arial" w:hAnsi="Arial" w:cs="Arial"/>
          <w:b/>
          <w:bCs/>
          <w:color w:val="FF0000"/>
          <w:sz w:val="22"/>
          <w:szCs w:val="22"/>
          <w:lang w:val="x-none" w:eastAsia="x-none"/>
        </w:rPr>
        <w:t>(Z8) Energetika a spoje</w:t>
      </w:r>
    </w:p>
    <w:p w14:paraId="29874DEA" w14:textId="77777777" w:rsidR="00D42621" w:rsidRPr="00D42621" w:rsidRDefault="00D42621" w:rsidP="00D42621">
      <w:pPr>
        <w:suppressAutoHyphens w:val="0"/>
        <w:rPr>
          <w:rFonts w:ascii="Arial" w:hAnsi="Arial" w:cs="Arial"/>
          <w:color w:val="FF0000"/>
          <w:sz w:val="22"/>
          <w:szCs w:val="22"/>
          <w:lang w:eastAsia="cs-CZ"/>
        </w:rPr>
      </w:pPr>
      <w:r w:rsidRPr="00D42621">
        <w:rPr>
          <w:rFonts w:ascii="Arial" w:hAnsi="Arial" w:cs="Arial"/>
          <w:color w:val="FF0000"/>
          <w:sz w:val="22"/>
          <w:szCs w:val="22"/>
          <w:lang w:eastAsia="cs-CZ"/>
        </w:rPr>
        <w:t>Energetická koncepce území je založena na dostupnosti energetických médií. Do území je z centrálních zdrojů přiváděna elektřina a zemní plyn. Plyn je využíván nejenom pro malé zdroje tepla ale také jako palivo pro čtyři rozvinuté systémy centrálního zásobování teplem. Pro vytápění nezávislé na sítích jsou využívána dostupná ekologická paliva. Využívání hnědého uhlí se podmiňuje instalací ekologického kotle.</w:t>
      </w:r>
    </w:p>
    <w:p w14:paraId="46C4C43A" w14:textId="77777777" w:rsidR="00D42621" w:rsidRPr="00D42621" w:rsidRDefault="00D42621" w:rsidP="00D42621">
      <w:pPr>
        <w:suppressAutoHyphens w:val="0"/>
        <w:rPr>
          <w:rFonts w:ascii="Arial" w:hAnsi="Arial" w:cs="Arial"/>
          <w:color w:val="FF0000"/>
          <w:sz w:val="22"/>
          <w:szCs w:val="22"/>
          <w:lang w:eastAsia="cs-CZ"/>
        </w:rPr>
      </w:pPr>
    </w:p>
    <w:p w14:paraId="05A8C415" w14:textId="77777777" w:rsidR="00D42621" w:rsidRPr="00D42621" w:rsidRDefault="00D42621" w:rsidP="00D42621">
      <w:pPr>
        <w:keepNext/>
        <w:suppressAutoHyphens w:val="0"/>
        <w:spacing w:before="240" w:after="60"/>
        <w:outlineLvl w:val="2"/>
        <w:rPr>
          <w:rFonts w:ascii="Arial" w:hAnsi="Arial" w:cs="Arial"/>
          <w:b/>
          <w:bCs/>
          <w:color w:val="FF0000"/>
          <w:sz w:val="22"/>
          <w:szCs w:val="22"/>
          <w:lang w:val="x-none" w:eastAsia="x-none"/>
        </w:rPr>
      </w:pPr>
      <w:bookmarkStart w:id="15" w:name="_Toc354838619"/>
      <w:r w:rsidRPr="00D42621">
        <w:rPr>
          <w:rFonts w:ascii="Arial" w:hAnsi="Arial" w:cs="Arial"/>
          <w:b/>
          <w:bCs/>
          <w:color w:val="FF0000"/>
          <w:sz w:val="22"/>
          <w:szCs w:val="22"/>
          <w:lang w:val="x-none" w:eastAsia="x-none"/>
        </w:rPr>
        <w:t>Koncepce energetiky a spojů</w:t>
      </w:r>
      <w:bookmarkEnd w:id="15"/>
    </w:p>
    <w:p w14:paraId="36771965" w14:textId="77777777" w:rsidR="00D42621" w:rsidRPr="00D42621" w:rsidRDefault="00D42621" w:rsidP="00D42621">
      <w:pPr>
        <w:keepNext/>
        <w:numPr>
          <w:ilvl w:val="3"/>
          <w:numId w:val="66"/>
        </w:numPr>
        <w:suppressAutoHyphens w:val="0"/>
        <w:spacing w:before="120" w:after="80"/>
        <w:ind w:left="0" w:firstLine="0"/>
        <w:jc w:val="both"/>
        <w:outlineLvl w:val="3"/>
        <w:rPr>
          <w:rFonts w:ascii="Arial" w:hAnsi="Arial" w:cs="Arial"/>
          <w:b/>
          <w:bCs/>
          <w:color w:val="FF0000"/>
          <w:sz w:val="22"/>
          <w:szCs w:val="22"/>
          <w:lang w:val="x-none" w:eastAsia="x-none"/>
        </w:rPr>
      </w:pPr>
      <w:r w:rsidRPr="00D42621">
        <w:rPr>
          <w:rFonts w:ascii="Arial" w:hAnsi="Arial" w:cs="Arial"/>
          <w:b/>
          <w:bCs/>
          <w:color w:val="FF0000"/>
          <w:sz w:val="22"/>
          <w:szCs w:val="22"/>
          <w:lang w:val="x-none" w:eastAsia="x-none"/>
        </w:rPr>
        <w:t>Rozvojové plochy a jejich koncepce užití energií</w:t>
      </w:r>
    </w:p>
    <w:p w14:paraId="12160146" w14:textId="77777777" w:rsidR="00D42621" w:rsidRPr="00D42621" w:rsidRDefault="00D42621" w:rsidP="00D42621">
      <w:pPr>
        <w:suppressAutoHyphens w:val="0"/>
        <w:rPr>
          <w:rFonts w:ascii="Arial" w:hAnsi="Arial" w:cs="Arial"/>
          <w:iCs/>
          <w:color w:val="FF0000"/>
          <w:sz w:val="22"/>
          <w:szCs w:val="22"/>
          <w:lang w:eastAsia="cs-CZ"/>
        </w:rPr>
      </w:pPr>
      <w:r w:rsidRPr="00D42621">
        <w:rPr>
          <w:rFonts w:ascii="Arial" w:hAnsi="Arial" w:cs="Arial"/>
          <w:iCs/>
          <w:color w:val="FF0000"/>
          <w:sz w:val="22"/>
          <w:szCs w:val="22"/>
          <w:lang w:eastAsia="cs-CZ"/>
        </w:rPr>
        <w:t>Energetická koncepce navržených rozvojových ploch je založena zásadně na dvojcestném zásobování energiemi a to:</w:t>
      </w:r>
    </w:p>
    <w:p w14:paraId="713B9C24" w14:textId="77777777" w:rsidR="00D42621" w:rsidRPr="00D42621" w:rsidRDefault="00D42621" w:rsidP="00D42621">
      <w:pPr>
        <w:numPr>
          <w:ilvl w:val="0"/>
          <w:numId w:val="62"/>
        </w:numPr>
        <w:suppressAutoHyphens w:val="0"/>
        <w:ind w:left="1776"/>
        <w:jc w:val="both"/>
        <w:rPr>
          <w:rFonts w:ascii="Arial" w:hAnsi="Arial" w:cs="Arial"/>
          <w:iCs/>
          <w:color w:val="FF0000"/>
          <w:kern w:val="1"/>
          <w:sz w:val="22"/>
          <w:szCs w:val="22"/>
          <w:lang w:eastAsia="ar-SA"/>
        </w:rPr>
      </w:pPr>
      <w:r w:rsidRPr="00D42621">
        <w:rPr>
          <w:rFonts w:ascii="Arial" w:hAnsi="Arial" w:cs="Arial"/>
          <w:iCs/>
          <w:color w:val="FF0000"/>
          <w:kern w:val="1"/>
          <w:sz w:val="22"/>
          <w:szCs w:val="22"/>
          <w:lang w:eastAsia="ar-SA"/>
        </w:rPr>
        <w:t>elektřina + zemní plyn</w:t>
      </w:r>
    </w:p>
    <w:p w14:paraId="16E1F662" w14:textId="77777777" w:rsidR="00D42621" w:rsidRPr="00D42621" w:rsidRDefault="00D42621" w:rsidP="00D42621">
      <w:pPr>
        <w:numPr>
          <w:ilvl w:val="0"/>
          <w:numId w:val="62"/>
        </w:numPr>
        <w:suppressAutoHyphens w:val="0"/>
        <w:ind w:left="1776"/>
        <w:jc w:val="both"/>
        <w:rPr>
          <w:rFonts w:ascii="Arial" w:hAnsi="Arial" w:cs="Arial"/>
          <w:iCs/>
          <w:color w:val="FF0000"/>
          <w:kern w:val="1"/>
          <w:sz w:val="22"/>
          <w:szCs w:val="22"/>
          <w:lang w:eastAsia="ar-SA"/>
        </w:rPr>
      </w:pPr>
      <w:r w:rsidRPr="00D42621">
        <w:rPr>
          <w:rFonts w:ascii="Arial" w:hAnsi="Arial" w:cs="Arial"/>
          <w:iCs/>
          <w:color w:val="FF0000"/>
          <w:kern w:val="1"/>
          <w:sz w:val="22"/>
          <w:szCs w:val="22"/>
          <w:lang w:eastAsia="ar-SA"/>
        </w:rPr>
        <w:t>elektřina + dodávkové teplo</w:t>
      </w:r>
    </w:p>
    <w:p w14:paraId="75B5D741" w14:textId="77777777" w:rsidR="00D42621" w:rsidRPr="00D42621" w:rsidRDefault="00D42621" w:rsidP="00D42621">
      <w:pPr>
        <w:numPr>
          <w:ilvl w:val="0"/>
          <w:numId w:val="62"/>
        </w:numPr>
        <w:suppressAutoHyphens w:val="0"/>
        <w:ind w:left="1776"/>
        <w:jc w:val="both"/>
        <w:rPr>
          <w:rFonts w:ascii="Arial" w:hAnsi="Arial" w:cs="Arial"/>
          <w:iCs/>
          <w:color w:val="FF0000"/>
          <w:kern w:val="1"/>
          <w:sz w:val="22"/>
          <w:szCs w:val="22"/>
          <w:lang w:eastAsia="ar-SA"/>
        </w:rPr>
      </w:pPr>
      <w:r w:rsidRPr="00D42621">
        <w:rPr>
          <w:rFonts w:ascii="Arial" w:hAnsi="Arial" w:cs="Arial"/>
          <w:iCs/>
          <w:color w:val="FF0000"/>
          <w:kern w:val="1"/>
          <w:sz w:val="22"/>
          <w:szCs w:val="22"/>
          <w:lang w:eastAsia="ar-SA"/>
        </w:rPr>
        <w:t>elektřina + ekologická paliva nezávislá na sítích</w:t>
      </w:r>
    </w:p>
    <w:p w14:paraId="5C0FC7A8" w14:textId="77777777" w:rsidR="00D42621" w:rsidRPr="00D42621" w:rsidRDefault="00D42621" w:rsidP="00D42621">
      <w:pPr>
        <w:ind w:left="1776"/>
        <w:jc w:val="both"/>
        <w:rPr>
          <w:rFonts w:ascii="Arial" w:hAnsi="Arial" w:cs="Arial"/>
          <w:iCs/>
          <w:color w:val="FF0000"/>
          <w:kern w:val="1"/>
          <w:sz w:val="22"/>
          <w:szCs w:val="22"/>
          <w:lang w:eastAsia="ar-SA"/>
        </w:rPr>
      </w:pPr>
    </w:p>
    <w:tbl>
      <w:tblPr>
        <w:tblW w:w="0" w:type="auto"/>
        <w:tblInd w:w="55" w:type="dxa"/>
        <w:tblBorders>
          <w:top w:val="single" w:sz="36" w:space="0" w:color="FF0000"/>
          <w:left w:val="single" w:sz="36" w:space="0" w:color="FF0000"/>
          <w:bottom w:val="single" w:sz="36" w:space="0" w:color="FF0000"/>
          <w:right w:val="single" w:sz="36" w:space="0" w:color="FF0000"/>
          <w:insideH w:val="single" w:sz="2" w:space="0" w:color="000000"/>
          <w:insideV w:val="single" w:sz="2" w:space="0" w:color="000000"/>
        </w:tblBorders>
        <w:tblLayout w:type="fixed"/>
        <w:tblCellMar>
          <w:top w:w="55" w:type="dxa"/>
          <w:left w:w="55" w:type="dxa"/>
          <w:bottom w:w="55" w:type="dxa"/>
          <w:right w:w="55" w:type="dxa"/>
        </w:tblCellMar>
        <w:tblLook w:val="0000" w:firstRow="0" w:lastRow="0" w:firstColumn="0" w:lastColumn="0" w:noHBand="0" w:noVBand="0"/>
      </w:tblPr>
      <w:tblGrid>
        <w:gridCol w:w="891"/>
        <w:gridCol w:w="2653"/>
        <w:gridCol w:w="2977"/>
        <w:gridCol w:w="2126"/>
      </w:tblGrid>
      <w:tr w:rsidR="00D42621" w:rsidRPr="00D42621" w14:paraId="7416FFA7" w14:textId="77777777" w:rsidTr="002D2D45">
        <w:trPr>
          <w:trHeight w:val="57"/>
          <w:tblHeader/>
        </w:trPr>
        <w:tc>
          <w:tcPr>
            <w:tcW w:w="891" w:type="dxa"/>
            <w:shd w:val="clear" w:color="auto" w:fill="D9D9D9"/>
            <w:vAlign w:val="center"/>
          </w:tcPr>
          <w:p w14:paraId="646B595C" w14:textId="77777777" w:rsidR="00D42621" w:rsidRPr="00D42621" w:rsidRDefault="00D42621" w:rsidP="00D42621">
            <w:pPr>
              <w:numPr>
                <w:ilvl w:val="0"/>
                <w:numId w:val="62"/>
              </w:numPr>
              <w:suppressAutoHyphens w:val="0"/>
              <w:rPr>
                <w:rFonts w:ascii="Arial" w:hAnsi="Arial" w:cs="Arial"/>
                <w:b/>
                <w:bCs/>
                <w:sz w:val="22"/>
                <w:szCs w:val="22"/>
                <w:lang w:eastAsia="cs-CZ"/>
              </w:rPr>
            </w:pPr>
            <w:r w:rsidRPr="00D42621">
              <w:rPr>
                <w:rFonts w:ascii="Arial" w:hAnsi="Arial" w:cs="Arial"/>
                <w:b/>
                <w:bCs/>
                <w:sz w:val="22"/>
                <w:szCs w:val="22"/>
                <w:lang w:eastAsia="cs-CZ"/>
              </w:rPr>
              <w:t>lokalita</w:t>
            </w:r>
          </w:p>
        </w:tc>
        <w:tc>
          <w:tcPr>
            <w:tcW w:w="2653" w:type="dxa"/>
            <w:shd w:val="clear" w:color="auto" w:fill="D9D9D9"/>
            <w:vAlign w:val="center"/>
          </w:tcPr>
          <w:p w14:paraId="05501CC1" w14:textId="77777777" w:rsidR="00D42621" w:rsidRPr="00D42621" w:rsidRDefault="00D42621" w:rsidP="00D42621">
            <w:pPr>
              <w:suppressAutoHyphens w:val="0"/>
              <w:rPr>
                <w:rFonts w:ascii="Arial" w:hAnsi="Arial" w:cs="Arial"/>
                <w:b/>
                <w:bCs/>
                <w:sz w:val="22"/>
                <w:szCs w:val="22"/>
                <w:lang w:eastAsia="cs-CZ"/>
              </w:rPr>
            </w:pPr>
            <w:r w:rsidRPr="00D42621">
              <w:rPr>
                <w:rFonts w:ascii="Arial" w:hAnsi="Arial" w:cs="Arial"/>
                <w:b/>
                <w:bCs/>
                <w:sz w:val="22"/>
                <w:szCs w:val="22"/>
                <w:lang w:eastAsia="cs-CZ"/>
              </w:rPr>
              <w:t>zásobování elektřinou</w:t>
            </w:r>
          </w:p>
        </w:tc>
        <w:tc>
          <w:tcPr>
            <w:tcW w:w="2977" w:type="dxa"/>
            <w:shd w:val="clear" w:color="auto" w:fill="D9D9D9"/>
            <w:vAlign w:val="center"/>
          </w:tcPr>
          <w:p w14:paraId="6D6BD507" w14:textId="77777777" w:rsidR="00D42621" w:rsidRPr="00D42621" w:rsidRDefault="00D42621" w:rsidP="00D42621">
            <w:pPr>
              <w:suppressAutoHyphens w:val="0"/>
              <w:rPr>
                <w:rFonts w:ascii="Arial" w:hAnsi="Arial" w:cs="Arial"/>
                <w:b/>
                <w:bCs/>
                <w:sz w:val="22"/>
                <w:szCs w:val="22"/>
                <w:lang w:eastAsia="cs-CZ"/>
              </w:rPr>
            </w:pPr>
            <w:r w:rsidRPr="00D42621">
              <w:rPr>
                <w:rFonts w:ascii="Arial" w:hAnsi="Arial" w:cs="Arial"/>
                <w:b/>
                <w:bCs/>
                <w:sz w:val="22"/>
                <w:szCs w:val="22"/>
                <w:lang w:eastAsia="cs-CZ"/>
              </w:rPr>
              <w:t>zásobování plynem</w:t>
            </w:r>
          </w:p>
        </w:tc>
        <w:tc>
          <w:tcPr>
            <w:tcW w:w="2126" w:type="dxa"/>
            <w:shd w:val="clear" w:color="auto" w:fill="D9D9D9"/>
            <w:vAlign w:val="center"/>
          </w:tcPr>
          <w:p w14:paraId="5CD8613B"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b/>
                <w:bCs/>
                <w:sz w:val="22"/>
                <w:szCs w:val="22"/>
                <w:lang w:eastAsia="cs-CZ"/>
              </w:rPr>
              <w:t>zásobování teplem</w:t>
            </w:r>
          </w:p>
        </w:tc>
      </w:tr>
      <w:tr w:rsidR="00D42621" w:rsidRPr="00D42621" w14:paraId="0A70F641" w14:textId="77777777" w:rsidTr="002D2D45">
        <w:trPr>
          <w:trHeight w:val="57"/>
        </w:trPr>
        <w:tc>
          <w:tcPr>
            <w:tcW w:w="891" w:type="dxa"/>
            <w:vAlign w:val="center"/>
          </w:tcPr>
          <w:p w14:paraId="315AA719"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8z-1</w:t>
            </w:r>
          </w:p>
        </w:tc>
        <w:tc>
          <w:tcPr>
            <w:tcW w:w="2653" w:type="dxa"/>
            <w:vAlign w:val="center"/>
          </w:tcPr>
          <w:p w14:paraId="7DC9469D"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2DA701C0" w14:textId="77777777" w:rsidR="00D42621" w:rsidRPr="00D42621" w:rsidRDefault="00D42621" w:rsidP="00D42621">
            <w:pPr>
              <w:suppressAutoHyphens w:val="0"/>
              <w:jc w:val="center"/>
              <w:rPr>
                <w:rFonts w:ascii="Arial" w:hAnsi="Arial" w:cs="Arial"/>
                <w:sz w:val="22"/>
                <w:szCs w:val="22"/>
                <w:lang w:eastAsia="cs-CZ"/>
              </w:rPr>
            </w:pPr>
            <w:r w:rsidRPr="00D42621">
              <w:rPr>
                <w:rFonts w:ascii="Arial" w:hAnsi="Arial" w:cs="Arial"/>
                <w:sz w:val="22"/>
                <w:szCs w:val="22"/>
                <w:lang w:eastAsia="cs-CZ"/>
              </w:rPr>
              <w:t>x</w:t>
            </w:r>
          </w:p>
        </w:tc>
        <w:tc>
          <w:tcPr>
            <w:tcW w:w="2126" w:type="dxa"/>
            <w:vAlign w:val="center"/>
          </w:tcPr>
          <w:p w14:paraId="7AFB0162"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napojení na CZT</w:t>
            </w:r>
          </w:p>
        </w:tc>
      </w:tr>
      <w:tr w:rsidR="00D42621" w:rsidRPr="00D42621" w14:paraId="7C751B9D" w14:textId="77777777" w:rsidTr="002D2D45">
        <w:trPr>
          <w:trHeight w:val="57"/>
        </w:trPr>
        <w:tc>
          <w:tcPr>
            <w:tcW w:w="891" w:type="dxa"/>
            <w:vAlign w:val="center"/>
          </w:tcPr>
          <w:p w14:paraId="2AA3D396"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8z-2</w:t>
            </w:r>
          </w:p>
        </w:tc>
        <w:tc>
          <w:tcPr>
            <w:tcW w:w="2653" w:type="dxa"/>
            <w:vAlign w:val="center"/>
          </w:tcPr>
          <w:p w14:paraId="69F8EF44"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TS č.243</w:t>
            </w:r>
          </w:p>
        </w:tc>
        <w:tc>
          <w:tcPr>
            <w:tcW w:w="2977" w:type="dxa"/>
            <w:vAlign w:val="center"/>
          </w:tcPr>
          <w:p w14:paraId="0DFFF260"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stávajícího STL plynovodu</w:t>
            </w:r>
          </w:p>
        </w:tc>
        <w:tc>
          <w:tcPr>
            <w:tcW w:w="2126" w:type="dxa"/>
            <w:vAlign w:val="center"/>
          </w:tcPr>
          <w:p w14:paraId="2F020B37"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0769A7D7" w14:textId="77777777" w:rsidTr="002D2D45">
        <w:trPr>
          <w:trHeight w:val="57"/>
        </w:trPr>
        <w:tc>
          <w:tcPr>
            <w:tcW w:w="891" w:type="dxa"/>
            <w:vAlign w:val="center"/>
          </w:tcPr>
          <w:p w14:paraId="33B13FAF"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8z-3</w:t>
            </w:r>
          </w:p>
        </w:tc>
        <w:tc>
          <w:tcPr>
            <w:tcW w:w="2653" w:type="dxa"/>
            <w:vAlign w:val="center"/>
          </w:tcPr>
          <w:p w14:paraId="31E4FAE9"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TS č.214</w:t>
            </w:r>
          </w:p>
        </w:tc>
        <w:tc>
          <w:tcPr>
            <w:tcW w:w="2977" w:type="dxa"/>
            <w:vAlign w:val="center"/>
          </w:tcPr>
          <w:p w14:paraId="387A8A6C"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nového STL plynovodu</w:t>
            </w:r>
          </w:p>
        </w:tc>
        <w:tc>
          <w:tcPr>
            <w:tcW w:w="2126" w:type="dxa"/>
            <w:vAlign w:val="center"/>
          </w:tcPr>
          <w:p w14:paraId="501D198A"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121FDCBE" w14:textId="77777777" w:rsidTr="002D2D45">
        <w:trPr>
          <w:trHeight w:val="57"/>
        </w:trPr>
        <w:tc>
          <w:tcPr>
            <w:tcW w:w="891" w:type="dxa"/>
            <w:vAlign w:val="center"/>
          </w:tcPr>
          <w:p w14:paraId="7B589B60"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8z-6</w:t>
            </w:r>
          </w:p>
        </w:tc>
        <w:tc>
          <w:tcPr>
            <w:tcW w:w="2653" w:type="dxa"/>
            <w:vAlign w:val="center"/>
          </w:tcPr>
          <w:p w14:paraId="114D9B87"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TS č.222</w:t>
            </w:r>
          </w:p>
        </w:tc>
        <w:tc>
          <w:tcPr>
            <w:tcW w:w="2977" w:type="dxa"/>
            <w:vAlign w:val="center"/>
          </w:tcPr>
          <w:p w14:paraId="69544203"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nový STL plynovod</w:t>
            </w:r>
          </w:p>
        </w:tc>
        <w:tc>
          <w:tcPr>
            <w:tcW w:w="2126" w:type="dxa"/>
            <w:vAlign w:val="center"/>
          </w:tcPr>
          <w:p w14:paraId="6075613A"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124B1577" w14:textId="77777777" w:rsidTr="002D2D45">
        <w:trPr>
          <w:trHeight w:val="57"/>
        </w:trPr>
        <w:tc>
          <w:tcPr>
            <w:tcW w:w="891" w:type="dxa"/>
            <w:vAlign w:val="center"/>
          </w:tcPr>
          <w:p w14:paraId="6B64235D"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8z-7</w:t>
            </w:r>
          </w:p>
        </w:tc>
        <w:tc>
          <w:tcPr>
            <w:tcW w:w="2653" w:type="dxa"/>
            <w:vAlign w:val="center"/>
          </w:tcPr>
          <w:p w14:paraId="7BAD856B"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 TS č.327</w:t>
            </w:r>
          </w:p>
        </w:tc>
        <w:tc>
          <w:tcPr>
            <w:tcW w:w="2977" w:type="dxa"/>
            <w:vAlign w:val="center"/>
          </w:tcPr>
          <w:p w14:paraId="4AE44398"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nového ntl plynovodu</w:t>
            </w:r>
          </w:p>
        </w:tc>
        <w:tc>
          <w:tcPr>
            <w:tcW w:w="2126" w:type="dxa"/>
            <w:vAlign w:val="center"/>
          </w:tcPr>
          <w:p w14:paraId="32020373"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0FB06910" w14:textId="77777777" w:rsidTr="002D2D45">
        <w:trPr>
          <w:trHeight w:val="57"/>
        </w:trPr>
        <w:tc>
          <w:tcPr>
            <w:tcW w:w="891" w:type="dxa"/>
            <w:vAlign w:val="center"/>
          </w:tcPr>
          <w:p w14:paraId="65834308"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8z-8</w:t>
            </w:r>
          </w:p>
        </w:tc>
        <w:tc>
          <w:tcPr>
            <w:tcW w:w="2653" w:type="dxa"/>
            <w:vAlign w:val="center"/>
          </w:tcPr>
          <w:p w14:paraId="77AF6AB6"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 TS č.321</w:t>
            </w:r>
          </w:p>
        </w:tc>
        <w:tc>
          <w:tcPr>
            <w:tcW w:w="2977" w:type="dxa"/>
            <w:vAlign w:val="center"/>
          </w:tcPr>
          <w:p w14:paraId="1F9DBC09"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nový STL plynovod</w:t>
            </w:r>
          </w:p>
        </w:tc>
        <w:tc>
          <w:tcPr>
            <w:tcW w:w="2126" w:type="dxa"/>
            <w:vAlign w:val="center"/>
          </w:tcPr>
          <w:p w14:paraId="014358C0"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44222EF8" w14:textId="77777777" w:rsidTr="002D2D45">
        <w:trPr>
          <w:trHeight w:val="57"/>
        </w:trPr>
        <w:tc>
          <w:tcPr>
            <w:tcW w:w="891" w:type="dxa"/>
            <w:vAlign w:val="center"/>
          </w:tcPr>
          <w:p w14:paraId="7DBB3DD6"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b/>
                <w:sz w:val="22"/>
                <w:szCs w:val="22"/>
                <w:lang w:eastAsia="cs-CZ"/>
              </w:rPr>
              <w:t>8z-10</w:t>
            </w:r>
          </w:p>
        </w:tc>
        <w:tc>
          <w:tcPr>
            <w:tcW w:w="2653" w:type="dxa"/>
            <w:vAlign w:val="center"/>
          </w:tcPr>
          <w:p w14:paraId="13403AD6"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NN sítě</w:t>
            </w:r>
          </w:p>
        </w:tc>
        <w:tc>
          <w:tcPr>
            <w:tcW w:w="2977" w:type="dxa"/>
            <w:vAlign w:val="center"/>
          </w:tcPr>
          <w:p w14:paraId="221DD7D2" w14:textId="77777777" w:rsidR="00D42621" w:rsidRPr="00D42621" w:rsidRDefault="00D42621" w:rsidP="00D42621">
            <w:pPr>
              <w:suppressAutoHyphens w:val="0"/>
              <w:rPr>
                <w:rFonts w:ascii="Arial" w:hAnsi="Arial" w:cs="Arial"/>
                <w:sz w:val="22"/>
                <w:szCs w:val="22"/>
                <w:lang w:eastAsia="cs-CZ"/>
              </w:rPr>
            </w:pPr>
          </w:p>
        </w:tc>
        <w:tc>
          <w:tcPr>
            <w:tcW w:w="2126" w:type="dxa"/>
            <w:vAlign w:val="center"/>
          </w:tcPr>
          <w:p w14:paraId="6DED4FFA" w14:textId="77777777" w:rsidR="00D42621" w:rsidRPr="00D42621" w:rsidRDefault="00D42621" w:rsidP="00D42621">
            <w:pPr>
              <w:suppressAutoHyphens w:val="0"/>
              <w:rPr>
                <w:rFonts w:ascii="Arial" w:hAnsi="Arial" w:cs="Arial"/>
                <w:sz w:val="22"/>
                <w:szCs w:val="22"/>
                <w:lang w:eastAsia="cs-CZ"/>
              </w:rPr>
            </w:pPr>
          </w:p>
        </w:tc>
      </w:tr>
      <w:tr w:rsidR="00D42621" w:rsidRPr="00D42621" w14:paraId="4EEE3BA0" w14:textId="77777777" w:rsidTr="002D2D45">
        <w:trPr>
          <w:trHeight w:val="57"/>
        </w:trPr>
        <w:tc>
          <w:tcPr>
            <w:tcW w:w="891" w:type="dxa"/>
            <w:vAlign w:val="center"/>
          </w:tcPr>
          <w:p w14:paraId="6E70B163"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8z-11</w:t>
            </w:r>
          </w:p>
        </w:tc>
        <w:tc>
          <w:tcPr>
            <w:tcW w:w="2653" w:type="dxa"/>
            <w:vAlign w:val="center"/>
          </w:tcPr>
          <w:p w14:paraId="7452263D"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0E91D4FE"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NTL sítě</w:t>
            </w:r>
          </w:p>
        </w:tc>
        <w:tc>
          <w:tcPr>
            <w:tcW w:w="2126" w:type="dxa"/>
            <w:vAlign w:val="center"/>
          </w:tcPr>
          <w:p w14:paraId="0BA4DE3B"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3447B855" w14:textId="77777777" w:rsidTr="002D2D45">
        <w:trPr>
          <w:trHeight w:val="57"/>
        </w:trPr>
        <w:tc>
          <w:tcPr>
            <w:tcW w:w="891" w:type="dxa"/>
            <w:vAlign w:val="center"/>
          </w:tcPr>
          <w:p w14:paraId="247239D3"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8z-12</w:t>
            </w:r>
          </w:p>
        </w:tc>
        <w:tc>
          <w:tcPr>
            <w:tcW w:w="2653" w:type="dxa"/>
            <w:vAlign w:val="center"/>
          </w:tcPr>
          <w:p w14:paraId="4D211F2E"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TS č.214</w:t>
            </w:r>
          </w:p>
        </w:tc>
        <w:tc>
          <w:tcPr>
            <w:tcW w:w="2977" w:type="dxa"/>
            <w:vAlign w:val="center"/>
          </w:tcPr>
          <w:p w14:paraId="0AB60526"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nového STL plynovodu</w:t>
            </w:r>
          </w:p>
        </w:tc>
        <w:tc>
          <w:tcPr>
            <w:tcW w:w="2126" w:type="dxa"/>
            <w:vAlign w:val="center"/>
          </w:tcPr>
          <w:p w14:paraId="03F049B1"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53C93D48" w14:textId="77777777" w:rsidTr="002D2D45">
        <w:trPr>
          <w:trHeight w:val="57"/>
        </w:trPr>
        <w:tc>
          <w:tcPr>
            <w:tcW w:w="891" w:type="dxa"/>
            <w:vAlign w:val="center"/>
          </w:tcPr>
          <w:p w14:paraId="3E777516"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8z-13</w:t>
            </w:r>
          </w:p>
        </w:tc>
        <w:tc>
          <w:tcPr>
            <w:tcW w:w="2653" w:type="dxa"/>
            <w:vAlign w:val="center"/>
          </w:tcPr>
          <w:p w14:paraId="07D3AF87"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TS č.209</w:t>
            </w:r>
          </w:p>
        </w:tc>
        <w:tc>
          <w:tcPr>
            <w:tcW w:w="2977" w:type="dxa"/>
            <w:vAlign w:val="center"/>
          </w:tcPr>
          <w:p w14:paraId="5F017C0C"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nového STL plynovodu</w:t>
            </w:r>
          </w:p>
        </w:tc>
        <w:tc>
          <w:tcPr>
            <w:tcW w:w="2126" w:type="dxa"/>
            <w:vAlign w:val="center"/>
          </w:tcPr>
          <w:p w14:paraId="5700C66E"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440F88EE" w14:textId="77777777" w:rsidTr="002D2D45">
        <w:trPr>
          <w:trHeight w:val="57"/>
        </w:trPr>
        <w:tc>
          <w:tcPr>
            <w:tcW w:w="891" w:type="dxa"/>
            <w:vAlign w:val="center"/>
          </w:tcPr>
          <w:p w14:paraId="6A40CC65"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8z-15</w:t>
            </w:r>
          </w:p>
        </w:tc>
        <w:tc>
          <w:tcPr>
            <w:tcW w:w="2653" w:type="dxa"/>
            <w:vAlign w:val="center"/>
          </w:tcPr>
          <w:p w14:paraId="52EE2558"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151B74F7" w14:textId="77777777" w:rsidR="00D42621" w:rsidRPr="00D42621" w:rsidRDefault="00D42621" w:rsidP="00D42621">
            <w:pPr>
              <w:suppressAutoHyphens w:val="0"/>
              <w:jc w:val="center"/>
              <w:rPr>
                <w:rFonts w:ascii="Arial" w:hAnsi="Arial" w:cs="Arial"/>
                <w:sz w:val="22"/>
                <w:szCs w:val="22"/>
                <w:lang w:eastAsia="cs-CZ"/>
              </w:rPr>
            </w:pPr>
            <w:r w:rsidRPr="00D42621">
              <w:rPr>
                <w:rFonts w:ascii="Arial" w:hAnsi="Arial" w:cs="Arial"/>
                <w:sz w:val="22"/>
                <w:szCs w:val="22"/>
                <w:lang w:eastAsia="cs-CZ"/>
              </w:rPr>
              <w:t>x</w:t>
            </w:r>
          </w:p>
        </w:tc>
        <w:tc>
          <w:tcPr>
            <w:tcW w:w="2126" w:type="dxa"/>
            <w:vAlign w:val="center"/>
          </w:tcPr>
          <w:p w14:paraId="5962F2F5"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ekopoliva nezávislá na sítích</w:t>
            </w:r>
          </w:p>
        </w:tc>
      </w:tr>
      <w:tr w:rsidR="00D42621" w:rsidRPr="00D42621" w14:paraId="3FD07162" w14:textId="77777777" w:rsidTr="002D2D45">
        <w:trPr>
          <w:trHeight w:val="57"/>
        </w:trPr>
        <w:tc>
          <w:tcPr>
            <w:tcW w:w="891" w:type="dxa"/>
            <w:vAlign w:val="center"/>
          </w:tcPr>
          <w:p w14:paraId="2304E9D4"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8z-16</w:t>
            </w:r>
          </w:p>
        </w:tc>
        <w:tc>
          <w:tcPr>
            <w:tcW w:w="2653" w:type="dxa"/>
            <w:vAlign w:val="center"/>
          </w:tcPr>
          <w:p w14:paraId="0E8B3BEA"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nová TS č.328</w:t>
            </w:r>
          </w:p>
        </w:tc>
        <w:tc>
          <w:tcPr>
            <w:tcW w:w="2977" w:type="dxa"/>
            <w:vAlign w:val="center"/>
          </w:tcPr>
          <w:p w14:paraId="0E8647F1"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nový STL plynovod</w:t>
            </w:r>
          </w:p>
        </w:tc>
        <w:tc>
          <w:tcPr>
            <w:tcW w:w="2126" w:type="dxa"/>
            <w:vAlign w:val="center"/>
          </w:tcPr>
          <w:p w14:paraId="5082AA69"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1A8D1296" w14:textId="77777777" w:rsidTr="002D2D45">
        <w:trPr>
          <w:trHeight w:val="57"/>
        </w:trPr>
        <w:tc>
          <w:tcPr>
            <w:tcW w:w="891" w:type="dxa"/>
            <w:vAlign w:val="center"/>
          </w:tcPr>
          <w:p w14:paraId="3A9AA461"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lastRenderedPageBreak/>
              <w:t>8z-17</w:t>
            </w:r>
          </w:p>
        </w:tc>
        <w:tc>
          <w:tcPr>
            <w:tcW w:w="2653" w:type="dxa"/>
            <w:vAlign w:val="center"/>
          </w:tcPr>
          <w:p w14:paraId="59A0E6AB"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0CBE0843"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stávajícího NTL plynovodu</w:t>
            </w:r>
          </w:p>
        </w:tc>
        <w:tc>
          <w:tcPr>
            <w:tcW w:w="2126" w:type="dxa"/>
            <w:vAlign w:val="center"/>
          </w:tcPr>
          <w:p w14:paraId="714FB985"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1DDB49A6" w14:textId="77777777" w:rsidTr="002D2D45">
        <w:trPr>
          <w:trHeight w:val="57"/>
        </w:trPr>
        <w:tc>
          <w:tcPr>
            <w:tcW w:w="891" w:type="dxa"/>
            <w:vAlign w:val="center"/>
          </w:tcPr>
          <w:p w14:paraId="310ED44B"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8z-18</w:t>
            </w:r>
          </w:p>
        </w:tc>
        <w:tc>
          <w:tcPr>
            <w:tcW w:w="2653" w:type="dxa"/>
            <w:vAlign w:val="center"/>
          </w:tcPr>
          <w:p w14:paraId="20F305E2"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26357144"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NTL sítě</w:t>
            </w:r>
          </w:p>
        </w:tc>
        <w:tc>
          <w:tcPr>
            <w:tcW w:w="2126" w:type="dxa"/>
            <w:vAlign w:val="center"/>
          </w:tcPr>
          <w:p w14:paraId="6B470016"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7415F80E" w14:textId="77777777" w:rsidTr="002D2D45">
        <w:trPr>
          <w:trHeight w:val="57"/>
        </w:trPr>
        <w:tc>
          <w:tcPr>
            <w:tcW w:w="891" w:type="dxa"/>
            <w:vAlign w:val="center"/>
          </w:tcPr>
          <w:p w14:paraId="00A53050"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8z-19</w:t>
            </w:r>
          </w:p>
        </w:tc>
        <w:tc>
          <w:tcPr>
            <w:tcW w:w="2653" w:type="dxa"/>
            <w:vAlign w:val="center"/>
          </w:tcPr>
          <w:p w14:paraId="5C3B19B8"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62568B93"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stávajícího NTL plynovodu</w:t>
            </w:r>
          </w:p>
        </w:tc>
        <w:tc>
          <w:tcPr>
            <w:tcW w:w="2126" w:type="dxa"/>
            <w:vAlign w:val="center"/>
          </w:tcPr>
          <w:p w14:paraId="2D3562A4"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42562372" w14:textId="77777777" w:rsidTr="002D2D45">
        <w:trPr>
          <w:trHeight w:val="57"/>
        </w:trPr>
        <w:tc>
          <w:tcPr>
            <w:tcW w:w="891" w:type="dxa"/>
            <w:vAlign w:val="center"/>
          </w:tcPr>
          <w:p w14:paraId="09DA200F"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8z-20</w:t>
            </w:r>
          </w:p>
        </w:tc>
        <w:tc>
          <w:tcPr>
            <w:tcW w:w="2653" w:type="dxa"/>
            <w:vAlign w:val="center"/>
          </w:tcPr>
          <w:p w14:paraId="100C9361"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4D7E9EFE"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NTL sítě</w:t>
            </w:r>
          </w:p>
        </w:tc>
        <w:tc>
          <w:tcPr>
            <w:tcW w:w="2126" w:type="dxa"/>
            <w:vAlign w:val="center"/>
          </w:tcPr>
          <w:p w14:paraId="0DA65D4E"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19949541" w14:textId="77777777" w:rsidTr="002D2D45">
        <w:trPr>
          <w:trHeight w:val="57"/>
        </w:trPr>
        <w:tc>
          <w:tcPr>
            <w:tcW w:w="891" w:type="dxa"/>
            <w:vAlign w:val="center"/>
          </w:tcPr>
          <w:p w14:paraId="7D9AA966"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8z-23</w:t>
            </w:r>
          </w:p>
        </w:tc>
        <w:tc>
          <w:tcPr>
            <w:tcW w:w="2653" w:type="dxa"/>
            <w:vAlign w:val="center"/>
          </w:tcPr>
          <w:p w14:paraId="316197DB"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rozšíření sekunderní sítě</w:t>
            </w:r>
          </w:p>
          <w:p w14:paraId="080B7252" w14:textId="77777777" w:rsidR="00D42621" w:rsidRPr="00D42621" w:rsidRDefault="00D42621" w:rsidP="00D42621">
            <w:pPr>
              <w:suppressAutoHyphens w:val="0"/>
              <w:rPr>
                <w:rFonts w:ascii="Arial" w:hAnsi="Arial" w:cs="Arial"/>
                <w:sz w:val="22"/>
                <w:szCs w:val="22"/>
                <w:lang w:eastAsia="cs-CZ"/>
              </w:rPr>
            </w:pPr>
          </w:p>
        </w:tc>
        <w:tc>
          <w:tcPr>
            <w:tcW w:w="2977" w:type="dxa"/>
            <w:vAlign w:val="center"/>
          </w:tcPr>
          <w:p w14:paraId="3A2D6B63" w14:textId="77777777" w:rsidR="00D42621" w:rsidRPr="00D42621" w:rsidRDefault="00D42621" w:rsidP="00D42621">
            <w:pPr>
              <w:suppressAutoHyphens w:val="0"/>
              <w:jc w:val="center"/>
              <w:rPr>
                <w:rFonts w:ascii="Arial" w:hAnsi="Arial" w:cs="Arial"/>
                <w:sz w:val="22"/>
                <w:szCs w:val="22"/>
                <w:lang w:eastAsia="cs-CZ"/>
              </w:rPr>
            </w:pPr>
            <w:r w:rsidRPr="00D42621">
              <w:rPr>
                <w:rFonts w:ascii="Arial" w:hAnsi="Arial" w:cs="Arial"/>
                <w:sz w:val="22"/>
                <w:szCs w:val="22"/>
                <w:lang w:eastAsia="cs-CZ"/>
              </w:rPr>
              <w:t>x</w:t>
            </w:r>
          </w:p>
        </w:tc>
        <w:tc>
          <w:tcPr>
            <w:tcW w:w="2126" w:type="dxa"/>
            <w:vAlign w:val="center"/>
          </w:tcPr>
          <w:p w14:paraId="7B7D8642"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elektřiny</w:t>
            </w:r>
          </w:p>
        </w:tc>
      </w:tr>
      <w:tr w:rsidR="00D42621" w:rsidRPr="00D42621" w14:paraId="25729C8A" w14:textId="77777777" w:rsidTr="002D2D45">
        <w:trPr>
          <w:trHeight w:val="57"/>
        </w:trPr>
        <w:tc>
          <w:tcPr>
            <w:tcW w:w="891" w:type="dxa"/>
            <w:vAlign w:val="center"/>
          </w:tcPr>
          <w:p w14:paraId="742E9B14"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8z-25</w:t>
            </w:r>
          </w:p>
        </w:tc>
        <w:tc>
          <w:tcPr>
            <w:tcW w:w="2653" w:type="dxa"/>
            <w:vAlign w:val="center"/>
          </w:tcPr>
          <w:p w14:paraId="3B003E82" w14:textId="77777777" w:rsidR="00D42621" w:rsidRPr="00D42621" w:rsidRDefault="00D42621" w:rsidP="00D42621">
            <w:pPr>
              <w:suppressAutoHyphens w:val="0"/>
              <w:jc w:val="center"/>
              <w:rPr>
                <w:rFonts w:ascii="Arial" w:hAnsi="Arial" w:cs="Arial"/>
                <w:sz w:val="22"/>
                <w:szCs w:val="22"/>
                <w:lang w:eastAsia="cs-CZ"/>
              </w:rPr>
            </w:pPr>
            <w:r w:rsidRPr="00D42621">
              <w:rPr>
                <w:rFonts w:ascii="Arial" w:hAnsi="Arial" w:cs="Arial"/>
                <w:sz w:val="22"/>
                <w:szCs w:val="22"/>
                <w:lang w:eastAsia="cs-CZ"/>
              </w:rPr>
              <w:t>rozšíření obytné části zahrady</w:t>
            </w:r>
          </w:p>
        </w:tc>
        <w:tc>
          <w:tcPr>
            <w:tcW w:w="2977" w:type="dxa"/>
            <w:vAlign w:val="center"/>
          </w:tcPr>
          <w:p w14:paraId="136ADEF7" w14:textId="77777777" w:rsidR="00D42621" w:rsidRPr="00D42621" w:rsidRDefault="00D42621" w:rsidP="00D42621">
            <w:pPr>
              <w:suppressAutoHyphens w:val="0"/>
              <w:jc w:val="center"/>
              <w:rPr>
                <w:rFonts w:ascii="Arial" w:hAnsi="Arial" w:cs="Arial"/>
                <w:sz w:val="22"/>
                <w:szCs w:val="22"/>
                <w:lang w:eastAsia="cs-CZ"/>
              </w:rPr>
            </w:pPr>
            <w:r w:rsidRPr="00D42621">
              <w:rPr>
                <w:rFonts w:ascii="Arial" w:hAnsi="Arial" w:cs="Arial"/>
                <w:sz w:val="22"/>
                <w:szCs w:val="22"/>
                <w:lang w:eastAsia="cs-CZ"/>
              </w:rPr>
              <w:t>x</w:t>
            </w:r>
          </w:p>
        </w:tc>
        <w:tc>
          <w:tcPr>
            <w:tcW w:w="2126" w:type="dxa"/>
            <w:vAlign w:val="center"/>
          </w:tcPr>
          <w:p w14:paraId="05F86620" w14:textId="77777777" w:rsidR="00D42621" w:rsidRPr="00D42621" w:rsidRDefault="00D42621" w:rsidP="00D42621">
            <w:pPr>
              <w:suppressAutoHyphens w:val="0"/>
              <w:jc w:val="center"/>
              <w:rPr>
                <w:rFonts w:ascii="Arial" w:hAnsi="Arial" w:cs="Arial"/>
                <w:b/>
                <w:sz w:val="22"/>
                <w:szCs w:val="22"/>
                <w:lang w:eastAsia="cs-CZ"/>
              </w:rPr>
            </w:pPr>
            <w:r w:rsidRPr="00D42621">
              <w:rPr>
                <w:rFonts w:ascii="Arial" w:hAnsi="Arial" w:cs="Arial"/>
                <w:sz w:val="22"/>
                <w:szCs w:val="22"/>
                <w:lang w:eastAsia="cs-CZ"/>
              </w:rPr>
              <w:t>x</w:t>
            </w:r>
          </w:p>
        </w:tc>
      </w:tr>
      <w:tr w:rsidR="00D42621" w:rsidRPr="00D42621" w14:paraId="6BFD84CD" w14:textId="77777777" w:rsidTr="002D2D45">
        <w:trPr>
          <w:trHeight w:val="57"/>
        </w:trPr>
        <w:tc>
          <w:tcPr>
            <w:tcW w:w="891" w:type="dxa"/>
            <w:vAlign w:val="center"/>
          </w:tcPr>
          <w:p w14:paraId="38EC157A"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b/>
                <w:sz w:val="22"/>
                <w:szCs w:val="22"/>
                <w:lang w:eastAsia="cs-CZ"/>
              </w:rPr>
              <w:t>8z-26</w:t>
            </w:r>
          </w:p>
        </w:tc>
        <w:tc>
          <w:tcPr>
            <w:tcW w:w="2653" w:type="dxa"/>
            <w:vAlign w:val="center"/>
          </w:tcPr>
          <w:p w14:paraId="5400BDC3"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rozšíření stávající sekunderní sítě</w:t>
            </w:r>
          </w:p>
        </w:tc>
        <w:tc>
          <w:tcPr>
            <w:tcW w:w="2977" w:type="dxa"/>
            <w:vAlign w:val="center"/>
          </w:tcPr>
          <w:p w14:paraId="3B7CD6E1" w14:textId="77777777" w:rsidR="00D42621" w:rsidRPr="00D42621" w:rsidRDefault="00D42621" w:rsidP="00D42621">
            <w:pPr>
              <w:suppressAutoHyphens w:val="0"/>
              <w:rPr>
                <w:rFonts w:ascii="Arial" w:hAnsi="Arial" w:cs="Arial"/>
                <w:sz w:val="22"/>
                <w:szCs w:val="22"/>
                <w:lang w:eastAsia="cs-CZ"/>
              </w:rPr>
            </w:pPr>
          </w:p>
        </w:tc>
        <w:tc>
          <w:tcPr>
            <w:tcW w:w="2126" w:type="dxa"/>
            <w:vAlign w:val="center"/>
          </w:tcPr>
          <w:p w14:paraId="3F4C44F0"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ekopaliva nezávislá na sítích</w:t>
            </w:r>
          </w:p>
        </w:tc>
      </w:tr>
      <w:tr w:rsidR="00D42621" w:rsidRPr="00D42621" w14:paraId="4EE33202" w14:textId="77777777" w:rsidTr="002D2D45">
        <w:trPr>
          <w:trHeight w:val="57"/>
        </w:trPr>
        <w:tc>
          <w:tcPr>
            <w:tcW w:w="891" w:type="dxa"/>
            <w:vAlign w:val="center"/>
          </w:tcPr>
          <w:p w14:paraId="77DC8F9A"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8z-30</w:t>
            </w:r>
          </w:p>
        </w:tc>
        <w:tc>
          <w:tcPr>
            <w:tcW w:w="2653" w:type="dxa"/>
            <w:vAlign w:val="center"/>
          </w:tcPr>
          <w:p w14:paraId="637DECC5"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70F13C12"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nového STL plynovodu</w:t>
            </w:r>
          </w:p>
        </w:tc>
        <w:tc>
          <w:tcPr>
            <w:tcW w:w="2126" w:type="dxa"/>
            <w:vAlign w:val="center"/>
          </w:tcPr>
          <w:p w14:paraId="719A7E10"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2BD93860" w14:textId="77777777" w:rsidTr="002D2D45">
        <w:trPr>
          <w:trHeight w:val="57"/>
        </w:trPr>
        <w:tc>
          <w:tcPr>
            <w:tcW w:w="891" w:type="dxa"/>
            <w:vAlign w:val="center"/>
          </w:tcPr>
          <w:p w14:paraId="7D025CDA"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8z-31</w:t>
            </w:r>
          </w:p>
        </w:tc>
        <w:tc>
          <w:tcPr>
            <w:tcW w:w="2653" w:type="dxa"/>
            <w:vAlign w:val="center"/>
          </w:tcPr>
          <w:p w14:paraId="5EB10723"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rozšíření sekunderní sítě</w:t>
            </w:r>
          </w:p>
        </w:tc>
        <w:tc>
          <w:tcPr>
            <w:tcW w:w="2977" w:type="dxa"/>
            <w:vAlign w:val="center"/>
          </w:tcPr>
          <w:p w14:paraId="486BB1F1"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stávajícího NTL plynovodu</w:t>
            </w:r>
          </w:p>
        </w:tc>
        <w:tc>
          <w:tcPr>
            <w:tcW w:w="2126" w:type="dxa"/>
            <w:vAlign w:val="center"/>
          </w:tcPr>
          <w:p w14:paraId="6696376D"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52FF1B5D" w14:textId="77777777" w:rsidTr="002D2D45">
        <w:trPr>
          <w:trHeight w:val="57"/>
        </w:trPr>
        <w:tc>
          <w:tcPr>
            <w:tcW w:w="891" w:type="dxa"/>
            <w:vAlign w:val="center"/>
          </w:tcPr>
          <w:p w14:paraId="4754844E"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8z-32</w:t>
            </w:r>
          </w:p>
        </w:tc>
        <w:tc>
          <w:tcPr>
            <w:tcW w:w="2653" w:type="dxa"/>
            <w:vAlign w:val="center"/>
          </w:tcPr>
          <w:p w14:paraId="10647E7A"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7A54D580"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nový NTL plynovod</w:t>
            </w:r>
          </w:p>
        </w:tc>
        <w:tc>
          <w:tcPr>
            <w:tcW w:w="2126" w:type="dxa"/>
            <w:vAlign w:val="center"/>
          </w:tcPr>
          <w:p w14:paraId="238F7EC5"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 dřevo</w:t>
            </w:r>
          </w:p>
        </w:tc>
      </w:tr>
      <w:tr w:rsidR="00D42621" w:rsidRPr="00D42621" w14:paraId="0232F0D4" w14:textId="77777777" w:rsidTr="002D2D45">
        <w:trPr>
          <w:trHeight w:val="57"/>
        </w:trPr>
        <w:tc>
          <w:tcPr>
            <w:tcW w:w="891" w:type="dxa"/>
            <w:vAlign w:val="center"/>
          </w:tcPr>
          <w:p w14:paraId="1FC9A9C9"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8z-33a</w:t>
            </w:r>
          </w:p>
        </w:tc>
        <w:tc>
          <w:tcPr>
            <w:tcW w:w="2653" w:type="dxa"/>
            <w:vAlign w:val="center"/>
          </w:tcPr>
          <w:p w14:paraId="1683462F"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45283B76"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stávajícího NTL plynovodu</w:t>
            </w:r>
          </w:p>
        </w:tc>
        <w:tc>
          <w:tcPr>
            <w:tcW w:w="2126" w:type="dxa"/>
            <w:vAlign w:val="center"/>
          </w:tcPr>
          <w:p w14:paraId="337DF529"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4D6509DD" w14:textId="77777777" w:rsidTr="002D2D45">
        <w:trPr>
          <w:trHeight w:val="57"/>
        </w:trPr>
        <w:tc>
          <w:tcPr>
            <w:tcW w:w="891" w:type="dxa"/>
            <w:vAlign w:val="center"/>
          </w:tcPr>
          <w:p w14:paraId="774D9AB4"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8z-33b</w:t>
            </w:r>
          </w:p>
        </w:tc>
        <w:tc>
          <w:tcPr>
            <w:tcW w:w="2653" w:type="dxa"/>
            <w:vAlign w:val="center"/>
          </w:tcPr>
          <w:p w14:paraId="7734D33E"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4098D900"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stávajícího NTL plynovodu</w:t>
            </w:r>
          </w:p>
        </w:tc>
        <w:tc>
          <w:tcPr>
            <w:tcW w:w="2126" w:type="dxa"/>
            <w:vAlign w:val="center"/>
          </w:tcPr>
          <w:p w14:paraId="42C9A8FF"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38F43F32" w14:textId="77777777" w:rsidTr="002D2D45">
        <w:trPr>
          <w:trHeight w:val="57"/>
        </w:trPr>
        <w:tc>
          <w:tcPr>
            <w:tcW w:w="891" w:type="dxa"/>
            <w:vAlign w:val="center"/>
          </w:tcPr>
          <w:p w14:paraId="38384B36"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8z-33c</w:t>
            </w:r>
          </w:p>
        </w:tc>
        <w:tc>
          <w:tcPr>
            <w:tcW w:w="2653" w:type="dxa"/>
            <w:vAlign w:val="center"/>
          </w:tcPr>
          <w:p w14:paraId="62AA2DFB"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35B2EE72"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stávajícího NTL plynovodu</w:t>
            </w:r>
          </w:p>
        </w:tc>
        <w:tc>
          <w:tcPr>
            <w:tcW w:w="2126" w:type="dxa"/>
            <w:vAlign w:val="center"/>
          </w:tcPr>
          <w:p w14:paraId="2C725359"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73A956AD" w14:textId="77777777" w:rsidTr="002D2D45">
        <w:trPr>
          <w:trHeight w:val="57"/>
        </w:trPr>
        <w:tc>
          <w:tcPr>
            <w:tcW w:w="891" w:type="dxa"/>
            <w:vAlign w:val="center"/>
          </w:tcPr>
          <w:p w14:paraId="0D292E0B"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8z-34</w:t>
            </w:r>
          </w:p>
        </w:tc>
        <w:tc>
          <w:tcPr>
            <w:tcW w:w="2653" w:type="dxa"/>
            <w:vAlign w:val="center"/>
          </w:tcPr>
          <w:p w14:paraId="7FD81D68"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TS č.321</w:t>
            </w:r>
          </w:p>
        </w:tc>
        <w:tc>
          <w:tcPr>
            <w:tcW w:w="2977" w:type="dxa"/>
            <w:vAlign w:val="center"/>
          </w:tcPr>
          <w:p w14:paraId="20ED0E94"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STL sítě</w:t>
            </w:r>
          </w:p>
        </w:tc>
        <w:tc>
          <w:tcPr>
            <w:tcW w:w="2126" w:type="dxa"/>
            <w:vAlign w:val="center"/>
          </w:tcPr>
          <w:p w14:paraId="4154F78B"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60D6DE1F" w14:textId="77777777" w:rsidTr="002D2D45">
        <w:trPr>
          <w:trHeight w:val="57"/>
        </w:trPr>
        <w:tc>
          <w:tcPr>
            <w:tcW w:w="891" w:type="dxa"/>
            <w:vAlign w:val="center"/>
          </w:tcPr>
          <w:p w14:paraId="426F1A1E"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8z-35</w:t>
            </w:r>
          </w:p>
        </w:tc>
        <w:tc>
          <w:tcPr>
            <w:tcW w:w="2653" w:type="dxa"/>
            <w:vAlign w:val="center"/>
          </w:tcPr>
          <w:p w14:paraId="3B49C0B3"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 TS č.327</w:t>
            </w:r>
          </w:p>
        </w:tc>
        <w:tc>
          <w:tcPr>
            <w:tcW w:w="2977" w:type="dxa"/>
            <w:vAlign w:val="center"/>
          </w:tcPr>
          <w:p w14:paraId="177257AA"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nového ntl plynovodu</w:t>
            </w:r>
          </w:p>
        </w:tc>
        <w:tc>
          <w:tcPr>
            <w:tcW w:w="2126" w:type="dxa"/>
            <w:vAlign w:val="center"/>
          </w:tcPr>
          <w:p w14:paraId="1899D6EC"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18977488" w14:textId="77777777" w:rsidTr="002D2D45">
        <w:trPr>
          <w:trHeight w:val="57"/>
        </w:trPr>
        <w:tc>
          <w:tcPr>
            <w:tcW w:w="891" w:type="dxa"/>
            <w:vAlign w:val="center"/>
          </w:tcPr>
          <w:p w14:paraId="2E14228E"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8z-36</w:t>
            </w:r>
          </w:p>
        </w:tc>
        <w:tc>
          <w:tcPr>
            <w:tcW w:w="2653" w:type="dxa"/>
            <w:vAlign w:val="center"/>
          </w:tcPr>
          <w:p w14:paraId="557E6C83"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6E15D001" w14:textId="77777777" w:rsidR="00D42621" w:rsidRPr="00D42621" w:rsidRDefault="00D42621" w:rsidP="00D42621">
            <w:pPr>
              <w:suppressAutoHyphens w:val="0"/>
              <w:jc w:val="center"/>
              <w:rPr>
                <w:rFonts w:ascii="Arial" w:hAnsi="Arial" w:cs="Arial"/>
                <w:sz w:val="22"/>
                <w:szCs w:val="22"/>
                <w:lang w:eastAsia="cs-CZ"/>
              </w:rPr>
            </w:pPr>
            <w:r w:rsidRPr="00D42621">
              <w:rPr>
                <w:rFonts w:ascii="Arial" w:hAnsi="Arial" w:cs="Arial"/>
                <w:sz w:val="22"/>
                <w:szCs w:val="22"/>
                <w:lang w:eastAsia="cs-CZ"/>
              </w:rPr>
              <w:t>x</w:t>
            </w:r>
          </w:p>
        </w:tc>
        <w:tc>
          <w:tcPr>
            <w:tcW w:w="2126" w:type="dxa"/>
            <w:vAlign w:val="center"/>
          </w:tcPr>
          <w:p w14:paraId="55D99E37"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elektřiny</w:t>
            </w:r>
          </w:p>
        </w:tc>
      </w:tr>
      <w:tr w:rsidR="00D42621" w:rsidRPr="00D42621" w14:paraId="27354006" w14:textId="77777777" w:rsidTr="002D2D45">
        <w:trPr>
          <w:trHeight w:val="57"/>
        </w:trPr>
        <w:tc>
          <w:tcPr>
            <w:tcW w:w="891" w:type="dxa"/>
            <w:vAlign w:val="center"/>
          </w:tcPr>
          <w:p w14:paraId="055E4300"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8z-37</w:t>
            </w:r>
          </w:p>
        </w:tc>
        <w:tc>
          <w:tcPr>
            <w:tcW w:w="2653" w:type="dxa"/>
            <w:vAlign w:val="center"/>
          </w:tcPr>
          <w:p w14:paraId="0C3D1651"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TS č.101</w:t>
            </w:r>
          </w:p>
        </w:tc>
        <w:tc>
          <w:tcPr>
            <w:tcW w:w="2977" w:type="dxa"/>
            <w:vAlign w:val="center"/>
          </w:tcPr>
          <w:p w14:paraId="1E8DE790" w14:textId="77777777" w:rsidR="00D42621" w:rsidRPr="00D42621" w:rsidRDefault="00D42621" w:rsidP="00D42621">
            <w:pPr>
              <w:suppressAutoHyphens w:val="0"/>
              <w:jc w:val="center"/>
              <w:rPr>
                <w:rFonts w:ascii="Arial" w:hAnsi="Arial" w:cs="Arial"/>
                <w:sz w:val="22"/>
                <w:szCs w:val="22"/>
                <w:lang w:eastAsia="cs-CZ"/>
              </w:rPr>
            </w:pPr>
            <w:r w:rsidRPr="00D42621">
              <w:rPr>
                <w:rFonts w:ascii="Arial" w:hAnsi="Arial" w:cs="Arial"/>
                <w:sz w:val="22"/>
                <w:szCs w:val="22"/>
                <w:lang w:eastAsia="cs-CZ"/>
              </w:rPr>
              <w:t>x</w:t>
            </w:r>
          </w:p>
        </w:tc>
        <w:tc>
          <w:tcPr>
            <w:tcW w:w="2126" w:type="dxa"/>
            <w:vAlign w:val="center"/>
          </w:tcPr>
          <w:p w14:paraId="44F93363"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ze stávajících rozvodů CZT</w:t>
            </w:r>
          </w:p>
        </w:tc>
      </w:tr>
      <w:tr w:rsidR="00D42621" w:rsidRPr="00D42621" w14:paraId="15051F36" w14:textId="77777777" w:rsidTr="002D2D45">
        <w:trPr>
          <w:trHeight w:val="57"/>
        </w:trPr>
        <w:tc>
          <w:tcPr>
            <w:tcW w:w="891" w:type="dxa"/>
            <w:vAlign w:val="center"/>
          </w:tcPr>
          <w:p w14:paraId="40E5DE9A"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8z-40</w:t>
            </w:r>
          </w:p>
        </w:tc>
        <w:tc>
          <w:tcPr>
            <w:tcW w:w="2653" w:type="dxa"/>
            <w:vAlign w:val="center"/>
          </w:tcPr>
          <w:p w14:paraId="4D998B2B"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TS č.222</w:t>
            </w:r>
          </w:p>
        </w:tc>
        <w:tc>
          <w:tcPr>
            <w:tcW w:w="2977" w:type="dxa"/>
            <w:vAlign w:val="center"/>
          </w:tcPr>
          <w:p w14:paraId="167CC691"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nový STL plynovod</w:t>
            </w:r>
          </w:p>
        </w:tc>
        <w:tc>
          <w:tcPr>
            <w:tcW w:w="2126" w:type="dxa"/>
            <w:vAlign w:val="center"/>
          </w:tcPr>
          <w:p w14:paraId="4BDA6943"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1832BF2C" w14:textId="77777777" w:rsidTr="002D2D45">
        <w:trPr>
          <w:trHeight w:val="57"/>
        </w:trPr>
        <w:tc>
          <w:tcPr>
            <w:tcW w:w="891" w:type="dxa"/>
            <w:vAlign w:val="center"/>
          </w:tcPr>
          <w:p w14:paraId="008B155D"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8z-43</w:t>
            </w:r>
          </w:p>
        </w:tc>
        <w:tc>
          <w:tcPr>
            <w:tcW w:w="2653" w:type="dxa"/>
            <w:vAlign w:val="center"/>
          </w:tcPr>
          <w:p w14:paraId="72BF53D8"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 TS č.321</w:t>
            </w:r>
          </w:p>
        </w:tc>
        <w:tc>
          <w:tcPr>
            <w:tcW w:w="2977" w:type="dxa"/>
            <w:vAlign w:val="center"/>
          </w:tcPr>
          <w:p w14:paraId="3100751D"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nový STL plynovod</w:t>
            </w:r>
          </w:p>
        </w:tc>
        <w:tc>
          <w:tcPr>
            <w:tcW w:w="2126" w:type="dxa"/>
            <w:vAlign w:val="center"/>
          </w:tcPr>
          <w:p w14:paraId="7999B146"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11FD0AF8" w14:textId="77777777" w:rsidTr="002D2D45">
        <w:trPr>
          <w:trHeight w:val="57"/>
        </w:trPr>
        <w:tc>
          <w:tcPr>
            <w:tcW w:w="891" w:type="dxa"/>
            <w:vAlign w:val="center"/>
          </w:tcPr>
          <w:p w14:paraId="6DDCAE75"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8z-45</w:t>
            </w:r>
          </w:p>
        </w:tc>
        <w:tc>
          <w:tcPr>
            <w:tcW w:w="2653" w:type="dxa"/>
            <w:vAlign w:val="center"/>
          </w:tcPr>
          <w:p w14:paraId="461DB68A"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rozšíření sekunderní sítě</w:t>
            </w:r>
          </w:p>
        </w:tc>
        <w:tc>
          <w:tcPr>
            <w:tcW w:w="2977" w:type="dxa"/>
            <w:vAlign w:val="center"/>
          </w:tcPr>
          <w:p w14:paraId="7CF0A5AB"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stávajícího STL plynovodu</w:t>
            </w:r>
          </w:p>
        </w:tc>
        <w:tc>
          <w:tcPr>
            <w:tcW w:w="2126" w:type="dxa"/>
            <w:vAlign w:val="center"/>
          </w:tcPr>
          <w:p w14:paraId="371093A6"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1EF373F4" w14:textId="77777777" w:rsidTr="002D2D45">
        <w:trPr>
          <w:trHeight w:val="57"/>
        </w:trPr>
        <w:tc>
          <w:tcPr>
            <w:tcW w:w="891" w:type="dxa"/>
            <w:vAlign w:val="center"/>
          </w:tcPr>
          <w:p w14:paraId="339A8065"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8z-46</w:t>
            </w:r>
          </w:p>
        </w:tc>
        <w:tc>
          <w:tcPr>
            <w:tcW w:w="2653" w:type="dxa"/>
            <w:vAlign w:val="center"/>
          </w:tcPr>
          <w:p w14:paraId="493C744A"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rozšíření sekunderní sítě</w:t>
            </w:r>
          </w:p>
        </w:tc>
        <w:tc>
          <w:tcPr>
            <w:tcW w:w="2977" w:type="dxa"/>
            <w:vAlign w:val="center"/>
          </w:tcPr>
          <w:p w14:paraId="2F460D4E"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stávajícího NTL plynovodu</w:t>
            </w:r>
          </w:p>
        </w:tc>
        <w:tc>
          <w:tcPr>
            <w:tcW w:w="2126" w:type="dxa"/>
            <w:vAlign w:val="center"/>
          </w:tcPr>
          <w:p w14:paraId="2D793BAF"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51851832" w14:textId="77777777" w:rsidTr="002D2D45">
        <w:trPr>
          <w:trHeight w:val="57"/>
        </w:trPr>
        <w:tc>
          <w:tcPr>
            <w:tcW w:w="891" w:type="dxa"/>
            <w:vAlign w:val="center"/>
          </w:tcPr>
          <w:p w14:paraId="7CB42723"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8z-47</w:t>
            </w:r>
          </w:p>
        </w:tc>
        <w:tc>
          <w:tcPr>
            <w:tcW w:w="2653" w:type="dxa"/>
            <w:vAlign w:val="center"/>
          </w:tcPr>
          <w:p w14:paraId="264E5F34"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 TS č.331</w:t>
            </w:r>
          </w:p>
        </w:tc>
        <w:tc>
          <w:tcPr>
            <w:tcW w:w="2977" w:type="dxa"/>
            <w:vAlign w:val="center"/>
          </w:tcPr>
          <w:p w14:paraId="27A7208A"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nového STL plynovodu</w:t>
            </w:r>
          </w:p>
        </w:tc>
        <w:tc>
          <w:tcPr>
            <w:tcW w:w="2126" w:type="dxa"/>
            <w:vAlign w:val="center"/>
          </w:tcPr>
          <w:p w14:paraId="51980F05"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48CEB605" w14:textId="77777777" w:rsidTr="002D2D45">
        <w:trPr>
          <w:trHeight w:val="57"/>
        </w:trPr>
        <w:tc>
          <w:tcPr>
            <w:tcW w:w="891" w:type="dxa"/>
            <w:vAlign w:val="center"/>
          </w:tcPr>
          <w:p w14:paraId="79FE06C9"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8z-48</w:t>
            </w:r>
          </w:p>
        </w:tc>
        <w:tc>
          <w:tcPr>
            <w:tcW w:w="2653" w:type="dxa"/>
            <w:vAlign w:val="center"/>
          </w:tcPr>
          <w:p w14:paraId="215737F2"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rozšíření stávající sekunderní sítě</w:t>
            </w:r>
          </w:p>
        </w:tc>
        <w:tc>
          <w:tcPr>
            <w:tcW w:w="2977" w:type="dxa"/>
            <w:vAlign w:val="center"/>
          </w:tcPr>
          <w:p w14:paraId="2A09FA2F" w14:textId="77777777" w:rsidR="00D42621" w:rsidRPr="00D42621" w:rsidRDefault="00D42621" w:rsidP="00D42621">
            <w:pPr>
              <w:suppressAutoHyphens w:val="0"/>
              <w:jc w:val="center"/>
              <w:rPr>
                <w:rFonts w:ascii="Arial" w:hAnsi="Arial" w:cs="Arial"/>
                <w:sz w:val="22"/>
                <w:szCs w:val="22"/>
                <w:lang w:eastAsia="cs-CZ"/>
              </w:rPr>
            </w:pPr>
            <w:r w:rsidRPr="00D42621">
              <w:rPr>
                <w:rFonts w:ascii="Arial" w:hAnsi="Arial" w:cs="Arial"/>
                <w:sz w:val="22"/>
                <w:szCs w:val="22"/>
                <w:lang w:eastAsia="cs-CZ"/>
              </w:rPr>
              <w:t>x</w:t>
            </w:r>
          </w:p>
        </w:tc>
        <w:tc>
          <w:tcPr>
            <w:tcW w:w="2126" w:type="dxa"/>
            <w:vAlign w:val="center"/>
          </w:tcPr>
          <w:p w14:paraId="5BCFAA8C"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ekopaliva nezávislá na sítích</w:t>
            </w:r>
          </w:p>
        </w:tc>
      </w:tr>
      <w:tr w:rsidR="00D42621" w:rsidRPr="00D42621" w14:paraId="12EC429E" w14:textId="77777777" w:rsidTr="002D2D45">
        <w:trPr>
          <w:trHeight w:val="57"/>
        </w:trPr>
        <w:tc>
          <w:tcPr>
            <w:tcW w:w="891" w:type="dxa"/>
            <w:vAlign w:val="center"/>
          </w:tcPr>
          <w:p w14:paraId="3D29ACA4"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lastRenderedPageBreak/>
              <w:t>8z-49</w:t>
            </w:r>
          </w:p>
        </w:tc>
        <w:tc>
          <w:tcPr>
            <w:tcW w:w="2653" w:type="dxa"/>
            <w:vAlign w:val="center"/>
          </w:tcPr>
          <w:p w14:paraId="02D0ECB8"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rozšíření stávající sekunderní sítě</w:t>
            </w:r>
          </w:p>
        </w:tc>
        <w:tc>
          <w:tcPr>
            <w:tcW w:w="2977" w:type="dxa"/>
            <w:vAlign w:val="center"/>
          </w:tcPr>
          <w:p w14:paraId="2415F9DB" w14:textId="77777777" w:rsidR="00D42621" w:rsidRPr="00D42621" w:rsidRDefault="00D42621" w:rsidP="00D42621">
            <w:pPr>
              <w:suppressAutoHyphens w:val="0"/>
              <w:jc w:val="center"/>
              <w:rPr>
                <w:rFonts w:ascii="Arial" w:hAnsi="Arial" w:cs="Arial"/>
                <w:sz w:val="22"/>
                <w:szCs w:val="22"/>
                <w:lang w:eastAsia="cs-CZ"/>
              </w:rPr>
            </w:pPr>
            <w:r w:rsidRPr="00D42621">
              <w:rPr>
                <w:rFonts w:ascii="Arial" w:hAnsi="Arial" w:cs="Arial"/>
                <w:sz w:val="22"/>
                <w:szCs w:val="22"/>
                <w:lang w:eastAsia="cs-CZ"/>
              </w:rPr>
              <w:t>x</w:t>
            </w:r>
          </w:p>
        </w:tc>
        <w:tc>
          <w:tcPr>
            <w:tcW w:w="2126" w:type="dxa"/>
            <w:vAlign w:val="center"/>
          </w:tcPr>
          <w:p w14:paraId="7A1F0413"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ekopaliva nezávislá na sítích</w:t>
            </w:r>
          </w:p>
        </w:tc>
      </w:tr>
      <w:tr w:rsidR="00D42621" w:rsidRPr="00D42621" w14:paraId="1CCD6B78" w14:textId="77777777" w:rsidTr="002D2D45">
        <w:trPr>
          <w:trHeight w:val="57"/>
        </w:trPr>
        <w:tc>
          <w:tcPr>
            <w:tcW w:w="891" w:type="dxa"/>
            <w:vAlign w:val="center"/>
          </w:tcPr>
          <w:p w14:paraId="0CC468AA"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8z-50b</w:t>
            </w:r>
          </w:p>
        </w:tc>
        <w:tc>
          <w:tcPr>
            <w:tcW w:w="2653" w:type="dxa"/>
            <w:vAlign w:val="center"/>
          </w:tcPr>
          <w:p w14:paraId="65EFFD40"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TS č.222</w:t>
            </w:r>
          </w:p>
        </w:tc>
        <w:tc>
          <w:tcPr>
            <w:tcW w:w="2977" w:type="dxa"/>
            <w:vAlign w:val="center"/>
          </w:tcPr>
          <w:p w14:paraId="42D362A2"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nový STL plynovod</w:t>
            </w:r>
          </w:p>
        </w:tc>
        <w:tc>
          <w:tcPr>
            <w:tcW w:w="2126" w:type="dxa"/>
            <w:vAlign w:val="center"/>
          </w:tcPr>
          <w:p w14:paraId="427BA749"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358EAB87" w14:textId="77777777" w:rsidTr="002D2D45">
        <w:trPr>
          <w:trHeight w:val="57"/>
        </w:trPr>
        <w:tc>
          <w:tcPr>
            <w:tcW w:w="891" w:type="dxa"/>
            <w:vAlign w:val="center"/>
          </w:tcPr>
          <w:p w14:paraId="0FA0AD2B"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b/>
                <w:sz w:val="22"/>
                <w:szCs w:val="22"/>
                <w:lang w:eastAsia="cs-CZ"/>
              </w:rPr>
              <w:t>8z-52</w:t>
            </w:r>
          </w:p>
        </w:tc>
        <w:tc>
          <w:tcPr>
            <w:tcW w:w="2653" w:type="dxa"/>
            <w:vAlign w:val="center"/>
          </w:tcPr>
          <w:p w14:paraId="2220048B"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 sekunderní sítě</w:t>
            </w:r>
          </w:p>
        </w:tc>
        <w:tc>
          <w:tcPr>
            <w:tcW w:w="2977" w:type="dxa"/>
            <w:vAlign w:val="center"/>
          </w:tcPr>
          <w:p w14:paraId="415B0BA2"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 nového STL plynovodu</w:t>
            </w:r>
          </w:p>
        </w:tc>
        <w:tc>
          <w:tcPr>
            <w:tcW w:w="2126" w:type="dxa"/>
            <w:vAlign w:val="center"/>
          </w:tcPr>
          <w:p w14:paraId="5CDA1619"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sz w:val="22"/>
                <w:szCs w:val="22"/>
                <w:lang w:eastAsia="cs-CZ"/>
              </w:rPr>
              <w:t>na bázi plynu</w:t>
            </w:r>
          </w:p>
        </w:tc>
      </w:tr>
      <w:tr w:rsidR="00D42621" w:rsidRPr="00D42621" w14:paraId="6F74DCC2" w14:textId="77777777" w:rsidTr="002D2D45">
        <w:trPr>
          <w:trHeight w:val="57"/>
        </w:trPr>
        <w:tc>
          <w:tcPr>
            <w:tcW w:w="891" w:type="dxa"/>
            <w:vAlign w:val="center"/>
          </w:tcPr>
          <w:p w14:paraId="3D5729D8" w14:textId="77777777" w:rsidR="00D42621" w:rsidRPr="00D42621" w:rsidRDefault="00D42621" w:rsidP="00D42621">
            <w:pPr>
              <w:suppressAutoHyphens w:val="0"/>
              <w:rPr>
                <w:rFonts w:ascii="Arial" w:hAnsi="Arial" w:cs="Arial"/>
                <w:b/>
                <w:sz w:val="22"/>
                <w:szCs w:val="22"/>
                <w:lang w:eastAsia="cs-CZ"/>
              </w:rPr>
            </w:pPr>
            <w:r w:rsidRPr="00D42621">
              <w:rPr>
                <w:rFonts w:ascii="Arial" w:hAnsi="Arial" w:cs="Arial"/>
                <w:b/>
                <w:sz w:val="22"/>
                <w:szCs w:val="22"/>
                <w:lang w:eastAsia="cs-CZ"/>
              </w:rPr>
              <w:t>8z-55</w:t>
            </w:r>
          </w:p>
        </w:tc>
        <w:tc>
          <w:tcPr>
            <w:tcW w:w="2653" w:type="dxa"/>
            <w:vAlign w:val="center"/>
          </w:tcPr>
          <w:p w14:paraId="53ED081A"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rozšíření stávající sekunderní sítě</w:t>
            </w:r>
          </w:p>
        </w:tc>
        <w:tc>
          <w:tcPr>
            <w:tcW w:w="2977" w:type="dxa"/>
            <w:vAlign w:val="center"/>
          </w:tcPr>
          <w:p w14:paraId="475CB5F8"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ze stávajícího NTL plynovodu</w:t>
            </w:r>
          </w:p>
        </w:tc>
        <w:tc>
          <w:tcPr>
            <w:tcW w:w="2126" w:type="dxa"/>
            <w:vAlign w:val="center"/>
          </w:tcPr>
          <w:p w14:paraId="4ABDD3D8" w14:textId="77777777" w:rsidR="00D42621" w:rsidRPr="00D42621" w:rsidRDefault="00D42621" w:rsidP="00D42621">
            <w:pPr>
              <w:suppressAutoHyphens w:val="0"/>
              <w:rPr>
                <w:rFonts w:ascii="Arial" w:hAnsi="Arial" w:cs="Arial"/>
                <w:sz w:val="22"/>
                <w:szCs w:val="22"/>
                <w:lang w:eastAsia="cs-CZ"/>
              </w:rPr>
            </w:pPr>
            <w:r w:rsidRPr="00D42621">
              <w:rPr>
                <w:rFonts w:ascii="Arial" w:hAnsi="Arial" w:cs="Arial"/>
                <w:sz w:val="22"/>
                <w:szCs w:val="22"/>
                <w:lang w:eastAsia="cs-CZ"/>
              </w:rPr>
              <w:t>na bázi plynu</w:t>
            </w:r>
          </w:p>
        </w:tc>
      </w:tr>
    </w:tbl>
    <w:p w14:paraId="7145EFC4" w14:textId="77777777" w:rsidR="00D42621" w:rsidRPr="00D42621" w:rsidRDefault="00D42621" w:rsidP="00D42621">
      <w:pPr>
        <w:suppressAutoHyphens w:val="0"/>
        <w:rPr>
          <w:rFonts w:ascii="Arial" w:hAnsi="Arial" w:cs="Arial"/>
          <w:iCs/>
          <w:color w:val="FF0000"/>
          <w:sz w:val="22"/>
          <w:szCs w:val="22"/>
          <w:lang w:eastAsia="cs-CZ"/>
        </w:rPr>
      </w:pPr>
    </w:p>
    <w:p w14:paraId="230C249F" w14:textId="77777777" w:rsidR="00D42621" w:rsidRPr="00D42621" w:rsidRDefault="00D42621" w:rsidP="00D42621">
      <w:pPr>
        <w:suppressAutoHyphens w:val="0"/>
        <w:rPr>
          <w:rFonts w:ascii="Arial" w:hAnsi="Arial" w:cs="Arial"/>
          <w:color w:val="FF0000"/>
          <w:sz w:val="22"/>
          <w:szCs w:val="22"/>
          <w:lang w:eastAsia="cs-CZ"/>
        </w:rPr>
      </w:pPr>
      <w:r w:rsidRPr="00D42621">
        <w:rPr>
          <w:rFonts w:ascii="Arial" w:hAnsi="Arial" w:cs="Arial"/>
          <w:iCs/>
          <w:color w:val="FF0000"/>
          <w:sz w:val="22"/>
          <w:szCs w:val="22"/>
          <w:lang w:eastAsia="cs-CZ"/>
        </w:rPr>
        <w:t>Podmínečně jednocestné zásobování (pouze elektřina) je možné pouze tam, kde to umožní kapacita elektrorozvodných sítí, druh vytápění určí dodavatel elektřiny.</w:t>
      </w:r>
    </w:p>
    <w:p w14:paraId="23E5A953" w14:textId="77777777" w:rsidR="00D42621" w:rsidRPr="00D42621" w:rsidRDefault="00D42621" w:rsidP="00D42621">
      <w:pPr>
        <w:keepNext/>
        <w:numPr>
          <w:ilvl w:val="3"/>
          <w:numId w:val="66"/>
        </w:numPr>
        <w:suppressAutoHyphens w:val="0"/>
        <w:spacing w:before="120" w:after="80"/>
        <w:ind w:left="0" w:firstLine="0"/>
        <w:jc w:val="both"/>
        <w:outlineLvl w:val="3"/>
        <w:rPr>
          <w:rFonts w:ascii="Arial" w:hAnsi="Arial" w:cs="Arial"/>
          <w:b/>
          <w:bCs/>
          <w:color w:val="FF0000"/>
          <w:sz w:val="22"/>
          <w:szCs w:val="22"/>
          <w:lang w:val="x-none" w:eastAsia="x-none"/>
        </w:rPr>
      </w:pPr>
      <w:r w:rsidRPr="00D42621">
        <w:rPr>
          <w:rFonts w:ascii="Arial" w:hAnsi="Arial" w:cs="Arial"/>
          <w:b/>
          <w:bCs/>
          <w:color w:val="FF0000"/>
          <w:sz w:val="22"/>
          <w:szCs w:val="22"/>
          <w:lang w:val="x-none" w:eastAsia="x-none"/>
        </w:rPr>
        <w:t>Rozvoj energetické infrastruktury</w:t>
      </w:r>
    </w:p>
    <w:p w14:paraId="3C9DAC85" w14:textId="77777777" w:rsidR="00D42621" w:rsidRPr="00D42621" w:rsidRDefault="00D42621" w:rsidP="00D42621">
      <w:pPr>
        <w:suppressAutoHyphens w:val="0"/>
        <w:autoSpaceDE w:val="0"/>
        <w:autoSpaceDN w:val="0"/>
        <w:adjustRightInd w:val="0"/>
        <w:rPr>
          <w:rFonts w:ascii="Arial" w:hAnsi="Arial" w:cs="Arial"/>
          <w:color w:val="FF0000"/>
          <w:sz w:val="22"/>
          <w:szCs w:val="22"/>
          <w:lang w:eastAsia="cs-CZ"/>
        </w:rPr>
      </w:pPr>
      <w:r w:rsidRPr="00D42621">
        <w:rPr>
          <w:rFonts w:ascii="Arial" w:hAnsi="Arial" w:cs="Arial"/>
          <w:color w:val="FF0000"/>
          <w:sz w:val="22"/>
          <w:szCs w:val="22"/>
          <w:lang w:eastAsia="cs-CZ"/>
        </w:rPr>
        <w:t>Středotlaké resp. nízkotlaké uliční plynovody budou vybudovány pro 11 navržených rozvojových ploch, pro 2 rozvojové plochy bude nutné vybudovat trafostanice včetně přípojky vysokého napětí.</w:t>
      </w:r>
    </w:p>
    <w:p w14:paraId="07F03C37" w14:textId="77777777" w:rsidR="00D42621" w:rsidRPr="00D42621" w:rsidRDefault="00D42621" w:rsidP="00D42621">
      <w:pPr>
        <w:suppressAutoHyphens w:val="0"/>
        <w:autoSpaceDE w:val="0"/>
        <w:autoSpaceDN w:val="0"/>
        <w:adjustRightInd w:val="0"/>
        <w:rPr>
          <w:rFonts w:ascii="Arial" w:hAnsi="Arial" w:cs="Arial"/>
          <w:color w:val="FF0000"/>
          <w:sz w:val="22"/>
          <w:szCs w:val="22"/>
          <w:lang w:eastAsia="cs-CZ"/>
        </w:rPr>
      </w:pPr>
      <w:r w:rsidRPr="00D42621">
        <w:rPr>
          <w:rFonts w:ascii="Arial" w:hAnsi="Arial" w:cs="Arial"/>
          <w:color w:val="FF0000"/>
          <w:sz w:val="22"/>
          <w:szCs w:val="22"/>
          <w:lang w:eastAsia="cs-CZ"/>
        </w:rPr>
        <w:t>Navrhuje se zpřesnění trasy dvojnásobného vedení 110 kV mezi rozvodnami Želenice a Babylon., vymezeného v ZÚR ÚK jako vedení VVN 110 kV TR Želenice – (TR Babylon)</w:t>
      </w:r>
      <w:r w:rsidRPr="00D42621">
        <w:rPr>
          <w:rFonts w:ascii="Arial" w:hAnsi="Arial" w:cs="Arial"/>
          <w:i/>
          <w:color w:val="FF0000"/>
          <w:sz w:val="22"/>
          <w:szCs w:val="22"/>
          <w:lang w:eastAsia="cs-CZ"/>
        </w:rPr>
        <w:t xml:space="preserve">. </w:t>
      </w:r>
      <w:r w:rsidRPr="00D42621">
        <w:rPr>
          <w:rFonts w:ascii="Arial" w:hAnsi="Arial" w:cs="Arial"/>
          <w:color w:val="FF0000"/>
          <w:sz w:val="22"/>
          <w:szCs w:val="22"/>
          <w:lang w:eastAsia="cs-CZ"/>
        </w:rPr>
        <w:t xml:space="preserve">Návrh trasy je 8. změnou vymezen jako VPS 8Z-E6 a zpřesněn v šíři </w:t>
      </w:r>
      <w:smartTag w:uri="urn:schemas-microsoft-com:office:smarttags" w:element="metricconverter">
        <w:smartTagPr>
          <w:attr w:name="ProductID" w:val="50 m"/>
        </w:smartTagPr>
        <w:r w:rsidRPr="00D42621">
          <w:rPr>
            <w:rFonts w:ascii="Arial" w:hAnsi="Arial" w:cs="Arial"/>
            <w:color w:val="FF0000"/>
            <w:sz w:val="22"/>
            <w:szCs w:val="22"/>
            <w:lang w:eastAsia="cs-CZ"/>
          </w:rPr>
          <w:t>50 m</w:t>
        </w:r>
      </w:smartTag>
      <w:bookmarkStart w:id="16" w:name="_Toc354838620"/>
      <w:r w:rsidRPr="00D42621">
        <w:rPr>
          <w:rFonts w:ascii="Arial" w:hAnsi="Arial" w:cs="Arial"/>
          <w:color w:val="FF0000"/>
          <w:sz w:val="22"/>
          <w:szCs w:val="22"/>
          <w:lang w:eastAsia="cs-CZ"/>
        </w:rPr>
        <w:t>.</w:t>
      </w:r>
    </w:p>
    <w:p w14:paraId="2642D1EA" w14:textId="77777777" w:rsidR="00D42621" w:rsidRPr="00D42621" w:rsidRDefault="00D42621" w:rsidP="00D42621">
      <w:pPr>
        <w:keepNext/>
        <w:suppressAutoHyphens w:val="0"/>
        <w:spacing w:before="240" w:after="60"/>
        <w:outlineLvl w:val="2"/>
        <w:rPr>
          <w:rFonts w:ascii="Arial" w:hAnsi="Arial" w:cs="Arial"/>
          <w:b/>
          <w:bCs/>
          <w:color w:val="FF0000"/>
          <w:sz w:val="22"/>
          <w:szCs w:val="22"/>
          <w:lang w:val="x-none" w:eastAsia="x-none"/>
        </w:rPr>
      </w:pPr>
      <w:r w:rsidRPr="00D42621">
        <w:rPr>
          <w:rFonts w:ascii="Arial" w:hAnsi="Arial" w:cs="Arial"/>
          <w:b/>
          <w:bCs/>
          <w:color w:val="FF0000"/>
          <w:sz w:val="22"/>
          <w:szCs w:val="22"/>
          <w:lang w:val="x-none" w:eastAsia="x-none"/>
        </w:rPr>
        <w:t>Spoje</w:t>
      </w:r>
      <w:bookmarkEnd w:id="16"/>
    </w:p>
    <w:p w14:paraId="6C7BBFDE" w14:textId="77777777" w:rsidR="00D42621" w:rsidRPr="00D42621" w:rsidRDefault="00D42621" w:rsidP="00D42621">
      <w:pPr>
        <w:suppressAutoHyphens w:val="0"/>
        <w:rPr>
          <w:rFonts w:ascii="Arial" w:hAnsi="Arial" w:cs="Arial"/>
          <w:bCs/>
          <w:color w:val="FF0000"/>
          <w:sz w:val="22"/>
          <w:szCs w:val="22"/>
          <w:lang w:eastAsia="cs-CZ"/>
        </w:rPr>
      </w:pPr>
      <w:r w:rsidRPr="00D42621">
        <w:rPr>
          <w:rFonts w:ascii="Arial" w:hAnsi="Arial" w:cs="Arial"/>
          <w:bCs/>
          <w:color w:val="FF0000"/>
          <w:sz w:val="22"/>
          <w:szCs w:val="22"/>
          <w:lang w:eastAsia="cs-CZ"/>
        </w:rPr>
        <w:t>Telefonizace rozvojových ploch bude zajištěna ze stávající rekonstruované místní telekomunikační sítě nebo z dynamicky se rozvíjejících bezdrátových sítí mobilních operátorů.</w:t>
      </w:r>
    </w:p>
    <w:p w14:paraId="627C9AE3" w14:textId="77777777" w:rsidR="00D42621" w:rsidRPr="00D42621" w:rsidRDefault="00D42621" w:rsidP="00D42621">
      <w:pPr>
        <w:suppressAutoHyphens w:val="0"/>
        <w:rPr>
          <w:rFonts w:ascii="Arial" w:hAnsi="Arial" w:cs="Arial"/>
          <w:b/>
          <w:color w:val="FF0000"/>
          <w:sz w:val="22"/>
          <w:szCs w:val="22"/>
          <w:lang w:eastAsia="cs-CZ"/>
        </w:rPr>
      </w:pPr>
      <w:r w:rsidRPr="00D42621">
        <w:rPr>
          <w:rFonts w:ascii="Arial" w:hAnsi="Arial" w:cs="Arial"/>
          <w:bCs/>
          <w:color w:val="FF0000"/>
          <w:sz w:val="22"/>
          <w:szCs w:val="22"/>
          <w:lang w:eastAsia="cs-CZ"/>
        </w:rPr>
        <w:t>Televizní a rozhlasový signál veřejně-právních stanic je přijímán ze stávajících vzdušných sítí a kabelových sítí. Další možnosti nabízí internetová siť a satelitní příjem.</w:t>
      </w:r>
    </w:p>
    <w:p w14:paraId="614EDE64" w14:textId="77777777" w:rsidR="00D42621" w:rsidRPr="00D42621" w:rsidRDefault="00D42621" w:rsidP="00D42621">
      <w:pPr>
        <w:suppressAutoHyphens w:val="0"/>
        <w:rPr>
          <w:lang w:eastAsia="cs-CZ"/>
        </w:rPr>
      </w:pPr>
    </w:p>
    <w:p w14:paraId="29B679B2" w14:textId="77777777" w:rsidR="00D42621" w:rsidRPr="00D42621" w:rsidRDefault="00D42621" w:rsidP="00D42621">
      <w:pPr>
        <w:suppressAutoHyphens w:val="0"/>
        <w:rPr>
          <w:lang w:eastAsia="cs-CZ"/>
        </w:rPr>
      </w:pPr>
    </w:p>
    <w:p w14:paraId="5867738F" w14:textId="29B4718F" w:rsidR="00CE65DF" w:rsidRPr="00CE65DF" w:rsidRDefault="00CE65DF" w:rsidP="00CE65DF">
      <w:pPr>
        <w:suppressAutoHyphens w:val="0"/>
        <w:spacing w:line="276" w:lineRule="auto"/>
        <w:jc w:val="both"/>
        <w:rPr>
          <w:rFonts w:ascii="Arial" w:hAnsi="Arial" w:cs="Arial"/>
          <w:b/>
          <w:color w:val="18B8B0"/>
          <w:sz w:val="22"/>
          <w:szCs w:val="22"/>
          <w:lang w:eastAsia="cs-CZ"/>
        </w:rPr>
      </w:pPr>
      <w:r w:rsidRPr="007E7D7A">
        <w:rPr>
          <w:rFonts w:ascii="Arial" w:hAnsi="Arial" w:cs="Arial"/>
          <w:b/>
          <w:color w:val="18B8B0"/>
          <w:sz w:val="22"/>
          <w:szCs w:val="22"/>
          <w:lang w:eastAsia="cs-CZ"/>
        </w:rPr>
        <w:t xml:space="preserve">(Z12) ZMĚNA Č. 12 NEZASAHUJE DO </w:t>
      </w:r>
      <w:r w:rsidR="006A14E8" w:rsidRPr="007E7D7A">
        <w:rPr>
          <w:rFonts w:ascii="Arial" w:hAnsi="Arial" w:cs="Arial"/>
          <w:b/>
          <w:color w:val="18B8B0"/>
          <w:sz w:val="22"/>
          <w:szCs w:val="22"/>
          <w:lang w:eastAsia="cs-CZ"/>
        </w:rPr>
        <w:t xml:space="preserve">ÚZEMNÍ </w:t>
      </w:r>
      <w:r w:rsidRPr="007E7D7A">
        <w:rPr>
          <w:rFonts w:ascii="Arial" w:hAnsi="Arial" w:cs="Arial"/>
          <w:b/>
          <w:color w:val="18B8B0"/>
          <w:sz w:val="22"/>
          <w:szCs w:val="22"/>
          <w:lang w:eastAsia="cs-CZ"/>
        </w:rPr>
        <w:t>KONCEPCE ENERGETIKY A SPOJÚ</w:t>
      </w:r>
    </w:p>
    <w:p w14:paraId="13C9233F" w14:textId="77777777" w:rsidR="00D42621" w:rsidRDefault="00D42621" w:rsidP="00CA23D0">
      <w:pPr>
        <w:jc w:val="both"/>
        <w:rPr>
          <w:rFonts w:ascii="Arial" w:hAnsi="Arial" w:cs="Arial"/>
          <w:sz w:val="22"/>
        </w:rPr>
      </w:pPr>
    </w:p>
    <w:p w14:paraId="2659E9C0" w14:textId="77777777" w:rsidR="00D42621" w:rsidRDefault="00D42621" w:rsidP="00CA23D0">
      <w:pPr>
        <w:jc w:val="both"/>
        <w:rPr>
          <w:rFonts w:ascii="Arial" w:hAnsi="Arial" w:cs="Arial"/>
          <w:sz w:val="22"/>
        </w:rPr>
      </w:pPr>
    </w:p>
    <w:p w14:paraId="626937A0" w14:textId="77777777" w:rsidR="00D42621" w:rsidRDefault="00D42621" w:rsidP="00CA23D0">
      <w:pPr>
        <w:jc w:val="both"/>
        <w:rPr>
          <w:rFonts w:ascii="Arial" w:hAnsi="Arial" w:cs="Arial"/>
          <w:sz w:val="22"/>
        </w:rPr>
      </w:pPr>
    </w:p>
    <w:p w14:paraId="7987DCE6" w14:textId="77777777" w:rsidR="00D42621" w:rsidRDefault="00D42621" w:rsidP="00CA23D0">
      <w:pPr>
        <w:jc w:val="both"/>
        <w:rPr>
          <w:rFonts w:ascii="Arial" w:hAnsi="Arial" w:cs="Arial"/>
          <w:sz w:val="22"/>
        </w:rPr>
      </w:pPr>
    </w:p>
    <w:p w14:paraId="6C325358" w14:textId="77777777" w:rsidR="00D42621" w:rsidRDefault="00D42621" w:rsidP="00CA23D0">
      <w:pPr>
        <w:jc w:val="both"/>
        <w:rPr>
          <w:rFonts w:ascii="Arial" w:hAnsi="Arial" w:cs="Arial"/>
          <w:sz w:val="22"/>
        </w:rPr>
      </w:pPr>
    </w:p>
    <w:p w14:paraId="61B45778" w14:textId="77777777" w:rsidR="00D42621" w:rsidRDefault="00D42621" w:rsidP="00CA23D0">
      <w:pPr>
        <w:jc w:val="both"/>
        <w:rPr>
          <w:rFonts w:ascii="Arial" w:hAnsi="Arial" w:cs="Arial"/>
          <w:sz w:val="22"/>
        </w:rPr>
      </w:pPr>
    </w:p>
    <w:p w14:paraId="5E8C8436" w14:textId="77777777" w:rsidR="00D42621" w:rsidRDefault="00D42621" w:rsidP="00CA23D0">
      <w:pPr>
        <w:jc w:val="both"/>
        <w:rPr>
          <w:rFonts w:ascii="Arial" w:hAnsi="Arial" w:cs="Arial"/>
          <w:sz w:val="22"/>
        </w:rPr>
      </w:pPr>
    </w:p>
    <w:p w14:paraId="4FB901DA" w14:textId="77777777" w:rsidR="00D42621" w:rsidRDefault="00D42621" w:rsidP="00CA23D0">
      <w:pPr>
        <w:jc w:val="both"/>
        <w:rPr>
          <w:rFonts w:ascii="Arial" w:hAnsi="Arial" w:cs="Arial"/>
          <w:sz w:val="22"/>
        </w:rPr>
      </w:pPr>
    </w:p>
    <w:p w14:paraId="0788FA2A" w14:textId="77777777" w:rsidR="00D42621" w:rsidRDefault="00D42621" w:rsidP="00CA23D0">
      <w:pPr>
        <w:jc w:val="both"/>
        <w:rPr>
          <w:rFonts w:ascii="Arial" w:hAnsi="Arial" w:cs="Arial"/>
          <w:sz w:val="22"/>
        </w:rPr>
      </w:pPr>
    </w:p>
    <w:p w14:paraId="2CF1DB4D" w14:textId="77777777" w:rsidR="00D42621" w:rsidRDefault="00D42621" w:rsidP="00CA23D0">
      <w:pPr>
        <w:jc w:val="both"/>
        <w:rPr>
          <w:rFonts w:ascii="Arial" w:hAnsi="Arial" w:cs="Arial"/>
          <w:sz w:val="22"/>
        </w:rPr>
      </w:pPr>
    </w:p>
    <w:p w14:paraId="5576DBBC" w14:textId="77777777" w:rsidR="00D42621" w:rsidRDefault="00D42621" w:rsidP="00CA23D0">
      <w:pPr>
        <w:jc w:val="both"/>
        <w:rPr>
          <w:rFonts w:ascii="Arial" w:hAnsi="Arial" w:cs="Arial"/>
          <w:sz w:val="22"/>
        </w:rPr>
      </w:pPr>
    </w:p>
    <w:p w14:paraId="4BD88F11" w14:textId="77777777" w:rsidR="00D42621" w:rsidRDefault="00D42621" w:rsidP="00CA23D0">
      <w:pPr>
        <w:jc w:val="both"/>
        <w:rPr>
          <w:rFonts w:ascii="Arial" w:hAnsi="Arial" w:cs="Arial"/>
          <w:sz w:val="22"/>
        </w:rPr>
      </w:pPr>
    </w:p>
    <w:p w14:paraId="4DF55BDD" w14:textId="77777777" w:rsidR="00D42621" w:rsidRDefault="00D42621" w:rsidP="00CA23D0">
      <w:pPr>
        <w:jc w:val="both"/>
        <w:rPr>
          <w:rFonts w:ascii="Arial" w:hAnsi="Arial" w:cs="Arial"/>
          <w:sz w:val="22"/>
        </w:rPr>
      </w:pPr>
    </w:p>
    <w:p w14:paraId="58D1FB36" w14:textId="77777777" w:rsidR="00D42621" w:rsidRDefault="00D42621" w:rsidP="00CA23D0">
      <w:pPr>
        <w:jc w:val="both"/>
        <w:rPr>
          <w:rFonts w:ascii="Arial" w:hAnsi="Arial" w:cs="Arial"/>
          <w:sz w:val="22"/>
        </w:rPr>
      </w:pPr>
    </w:p>
    <w:p w14:paraId="0A9F1CDD" w14:textId="77777777" w:rsidR="00D42621" w:rsidRDefault="00D42621" w:rsidP="00CA23D0">
      <w:pPr>
        <w:jc w:val="both"/>
        <w:rPr>
          <w:rFonts w:ascii="Arial" w:hAnsi="Arial" w:cs="Arial"/>
          <w:sz w:val="22"/>
        </w:rPr>
      </w:pPr>
    </w:p>
    <w:p w14:paraId="15230063" w14:textId="77777777" w:rsidR="00D42621" w:rsidRDefault="00D42621" w:rsidP="00CA23D0">
      <w:pPr>
        <w:jc w:val="both"/>
        <w:rPr>
          <w:rFonts w:ascii="Arial" w:hAnsi="Arial" w:cs="Arial"/>
          <w:sz w:val="22"/>
        </w:rPr>
      </w:pPr>
    </w:p>
    <w:p w14:paraId="7AD28EFB" w14:textId="77777777" w:rsidR="00D42621" w:rsidRDefault="00D42621" w:rsidP="00CA23D0">
      <w:pPr>
        <w:jc w:val="both"/>
        <w:rPr>
          <w:rFonts w:ascii="Arial" w:hAnsi="Arial" w:cs="Arial"/>
          <w:sz w:val="22"/>
        </w:rPr>
      </w:pPr>
    </w:p>
    <w:p w14:paraId="7AC43C26" w14:textId="77777777" w:rsidR="00D42621" w:rsidRDefault="00D42621" w:rsidP="00CA23D0">
      <w:pPr>
        <w:jc w:val="both"/>
        <w:rPr>
          <w:rFonts w:ascii="Arial" w:hAnsi="Arial" w:cs="Arial"/>
          <w:sz w:val="22"/>
        </w:rPr>
      </w:pPr>
    </w:p>
    <w:p w14:paraId="55447F81" w14:textId="77777777" w:rsidR="00D42621" w:rsidRDefault="00D42621" w:rsidP="00CA23D0">
      <w:pPr>
        <w:jc w:val="both"/>
        <w:rPr>
          <w:rFonts w:ascii="Arial" w:hAnsi="Arial" w:cs="Arial"/>
          <w:sz w:val="22"/>
        </w:rPr>
      </w:pPr>
    </w:p>
    <w:p w14:paraId="3FDC61E3" w14:textId="77777777" w:rsidR="00D42621" w:rsidRDefault="00D42621" w:rsidP="00CA23D0">
      <w:pPr>
        <w:jc w:val="both"/>
        <w:rPr>
          <w:rFonts w:ascii="Arial" w:hAnsi="Arial" w:cs="Arial"/>
          <w:sz w:val="22"/>
        </w:rPr>
      </w:pPr>
    </w:p>
    <w:p w14:paraId="04A41C22" w14:textId="77777777" w:rsidR="00D42621" w:rsidRDefault="00D42621" w:rsidP="00CA23D0">
      <w:pPr>
        <w:jc w:val="both"/>
        <w:rPr>
          <w:rFonts w:ascii="Arial" w:hAnsi="Arial" w:cs="Arial"/>
          <w:sz w:val="22"/>
        </w:rPr>
      </w:pPr>
    </w:p>
    <w:p w14:paraId="26D7EF96" w14:textId="77777777" w:rsidR="00147CEE" w:rsidRPr="00147CEE" w:rsidRDefault="00147CEE" w:rsidP="00147CEE">
      <w:pPr>
        <w:pStyle w:val="Nadpis"/>
        <w:jc w:val="both"/>
        <w:rPr>
          <w:sz w:val="46"/>
          <w:szCs w:val="46"/>
        </w:rPr>
      </w:pPr>
      <w:r w:rsidRPr="00147CEE">
        <w:rPr>
          <w:sz w:val="46"/>
          <w:szCs w:val="46"/>
        </w:rPr>
        <w:lastRenderedPageBreak/>
        <w:t>J.  NÁVRH ČLENĚNÍ ÚZEMÍ MĚSTA NA</w:t>
      </w:r>
      <w:r w:rsidRPr="00147CEE">
        <w:rPr>
          <w:sz w:val="46"/>
          <w:szCs w:val="46"/>
        </w:rPr>
        <w:tab/>
      </w:r>
      <w:r w:rsidRPr="00147CEE">
        <w:rPr>
          <w:sz w:val="46"/>
          <w:szCs w:val="46"/>
        </w:rPr>
        <w:tab/>
        <w:t>FUNKČNÍ PLOCHY A PODMÍNKY</w:t>
      </w:r>
      <w:r w:rsidRPr="00147CEE">
        <w:rPr>
          <w:sz w:val="46"/>
          <w:szCs w:val="46"/>
        </w:rPr>
        <w:tab/>
        <w:t>JEJICH VYUŽITÍ</w:t>
      </w:r>
    </w:p>
    <w:p w14:paraId="450F1FEA" w14:textId="77777777" w:rsidR="00147CEE" w:rsidRDefault="00147CEE" w:rsidP="00147CEE">
      <w:pPr>
        <w:pStyle w:val="Nadpis"/>
        <w:jc w:val="both"/>
      </w:pPr>
    </w:p>
    <w:p w14:paraId="7048265A" w14:textId="77777777" w:rsidR="00147CEE" w:rsidRDefault="00147CEE" w:rsidP="00147CEE">
      <w:pPr>
        <w:pStyle w:val="Nadpis"/>
        <w:jc w:val="both"/>
      </w:pPr>
      <w:r>
        <w:rPr>
          <w:sz w:val="48"/>
          <w:szCs w:val="48"/>
        </w:rPr>
        <w:tab/>
        <w:t>ETAPIZACE VÝSTAVBY</w:t>
      </w:r>
    </w:p>
    <w:p w14:paraId="1AF43C70" w14:textId="77777777" w:rsidR="00147CEE" w:rsidRDefault="00147CEE" w:rsidP="00147CEE">
      <w:pPr>
        <w:pStyle w:val="Zkladntext"/>
        <w:jc w:val="both"/>
      </w:pPr>
    </w:p>
    <w:p w14:paraId="26BF6457" w14:textId="77777777" w:rsidR="00147CEE" w:rsidRDefault="00147CEE" w:rsidP="00147CEE">
      <w:pPr>
        <w:pStyle w:val="podnadpis1"/>
        <w:jc w:val="both"/>
      </w:pPr>
      <w:r>
        <w:t>j1.  prostorové uspořádání</w:t>
      </w:r>
    </w:p>
    <w:p w14:paraId="1779144E" w14:textId="77777777" w:rsidR="00147CEE" w:rsidRPr="00CE65DF" w:rsidRDefault="00147CEE" w:rsidP="00147CEE">
      <w:pPr>
        <w:pStyle w:val="Zkladntext"/>
        <w:spacing w:before="120" w:line="288" w:lineRule="auto"/>
        <w:ind w:firstLine="709"/>
        <w:jc w:val="both"/>
        <w:rPr>
          <w:rFonts w:ascii="Arial" w:hAnsi="Arial" w:cs="Arial"/>
          <w:sz w:val="22"/>
          <w:szCs w:val="22"/>
        </w:rPr>
      </w:pPr>
      <w:r w:rsidRPr="00CE65DF">
        <w:rPr>
          <w:rFonts w:ascii="Arial" w:hAnsi="Arial" w:cs="Arial"/>
          <w:sz w:val="22"/>
          <w:szCs w:val="22"/>
        </w:rPr>
        <w:t xml:space="preserve">Město Děčín představuje historicky významné centrum na křižovatce obchodních cest a řece Labi s funkcí okresního města se specifickou polohou při státní hranici. </w:t>
      </w:r>
    </w:p>
    <w:p w14:paraId="1B0CBEBE" w14:textId="77777777" w:rsidR="00147CEE" w:rsidRPr="00CE65DF" w:rsidRDefault="00147CEE" w:rsidP="00147CEE">
      <w:pPr>
        <w:pStyle w:val="Zkladntext"/>
        <w:jc w:val="both"/>
        <w:rPr>
          <w:rFonts w:ascii="Arial" w:hAnsi="Arial" w:cs="Arial"/>
        </w:rPr>
      </w:pPr>
    </w:p>
    <w:p w14:paraId="52FE40A9" w14:textId="77777777" w:rsidR="00147CEE" w:rsidRPr="00CE65DF" w:rsidRDefault="00147CEE" w:rsidP="00147CEE">
      <w:pPr>
        <w:pStyle w:val="dka"/>
        <w:spacing w:before="120" w:line="288" w:lineRule="auto"/>
        <w:jc w:val="both"/>
        <w:rPr>
          <w:rFonts w:cs="Arial"/>
          <w:sz w:val="24"/>
          <w:szCs w:val="24"/>
        </w:rPr>
      </w:pPr>
      <w:r w:rsidRPr="00CE65DF">
        <w:rPr>
          <w:rFonts w:cs="Arial"/>
          <w:b/>
          <w:bCs/>
          <w:caps/>
          <w:sz w:val="24"/>
          <w:szCs w:val="24"/>
        </w:rPr>
        <w:t>Pro prostorové uspořádání města je charakteristické:</w:t>
      </w:r>
    </w:p>
    <w:p w14:paraId="7F0371BA"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t>mimořádná kvalita krajinného fenoménu chráněných krajinných oblastí Českého středohoří a Labských pískovců;</w:t>
      </w:r>
    </w:p>
    <w:p w14:paraId="422EE0B6"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t>ojedinělá a dynamická konfigurace reliéfu s kaňonem řeky Labe;</w:t>
      </w:r>
    </w:p>
    <w:p w14:paraId="1B6F6E93"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t>rozložení a prostorové uspořádání města, postupně vzniklého nejen z původně samostatných měst na obou březích Labe, ale i z celé řady dříve samostatných obcí – vsí;</w:t>
      </w:r>
    </w:p>
    <w:p w14:paraId="1CF1C9AF"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t>uspořádání centrálního prostoru na soutoku čtyř vodotečí s dominantami zámku a Pastýřské stěny, regulované ve svém vývoji zejména trasami železniční dopravy a zátopovým územím řeky Labe;</w:t>
      </w:r>
    </w:p>
    <w:p w14:paraId="02D2EE9B"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t>rozložením historicky vzniklé struktury komplexní zástavby "vnitřního města", zahrnujícího vlastní centrum a přilehlé městské čtvrti s charakterem smíšených, obytných či výrobních zón;</w:t>
      </w:r>
    </w:p>
    <w:p w14:paraId="71187457"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t xml:space="preserve">lokalizace původních vsí, pokud nebyly pohlceny zástavbou obytných souborů, s kterými město postupně doznívá v dosud harmonické krajině obou CHKO (Březiny, Chrochvice, Vilsnice, Krásný Studenec, Horní Oldřichov, Boletice n. L.) "vnější město" </w:t>
      </w:r>
    </w:p>
    <w:p w14:paraId="52342B1D"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t>dosud nenarušenou strukturu osídlení v kaňonu Labe (Dolní, Horní a Prostřední Žleb) s dominantami skalních stěn, ale i funkcí dopravního koridoru.</w:t>
      </w:r>
    </w:p>
    <w:p w14:paraId="3666CB88" w14:textId="77777777" w:rsidR="00147CEE" w:rsidRPr="00CE65DF" w:rsidRDefault="00147CEE" w:rsidP="00147CEE">
      <w:pPr>
        <w:pStyle w:val="Zkladntext"/>
        <w:jc w:val="both"/>
        <w:rPr>
          <w:rFonts w:ascii="Arial" w:hAnsi="Arial" w:cs="Arial"/>
        </w:rPr>
      </w:pPr>
    </w:p>
    <w:p w14:paraId="209AEBA3" w14:textId="77777777" w:rsidR="00147CEE" w:rsidRPr="00CE65DF" w:rsidRDefault="00147CEE" w:rsidP="00147CEE">
      <w:pPr>
        <w:pStyle w:val="dka"/>
        <w:jc w:val="both"/>
        <w:rPr>
          <w:rFonts w:cs="Arial"/>
        </w:rPr>
      </w:pPr>
      <w:r w:rsidRPr="00CE65DF">
        <w:rPr>
          <w:rFonts w:cs="Arial"/>
          <w:b/>
          <w:bCs/>
          <w:caps/>
        </w:rPr>
        <w:t>Hlavními kompozičními prvky města jsou:</w:t>
      </w:r>
    </w:p>
    <w:p w14:paraId="724E8DC6"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t>tři vodní toky (Labe, Ploučnice a Jílovský potok) s charakteristickým údolím Labe ve směru sever - jih, přirozeně regulující rozvoj města ve svém historickém vývoji;</w:t>
      </w:r>
    </w:p>
    <w:p w14:paraId="4AA1E2A9"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t>hlavní trasy silniční a železniční dopravy regionálního i nadregionálního významu, sledující v podstatě toky vodotečí;</w:t>
      </w:r>
    </w:p>
    <w:p w14:paraId="3F813F71"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t xml:space="preserve"> dynamický reliéf skalních útvarů s celou řadou dominant, významně se uplatňujících v krajinném panoramatu (Pastýřská stěna, Stoliční hora, zámek);</w:t>
      </w:r>
    </w:p>
    <w:p w14:paraId="5C6BA7EB"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lastRenderedPageBreak/>
        <w:t>v kompozici města se jako dominanty dále uplatňují především církevní objekty, negativně potom komíny výrobní zóny a několik výškových objektů (panelové domy, nemocnice);</w:t>
      </w:r>
    </w:p>
    <w:p w14:paraId="2915C25B" w14:textId="77777777" w:rsidR="00147CEE" w:rsidRPr="00CE65DF" w:rsidRDefault="00147CEE" w:rsidP="00147CEE">
      <w:pPr>
        <w:pStyle w:val="Zkladntext"/>
        <w:numPr>
          <w:ilvl w:val="0"/>
          <w:numId w:val="70"/>
        </w:numPr>
        <w:suppressAutoHyphens w:val="0"/>
        <w:autoSpaceDE w:val="0"/>
        <w:autoSpaceDN w:val="0"/>
        <w:adjustRightInd w:val="0"/>
        <w:spacing w:before="120" w:after="0" w:line="288" w:lineRule="auto"/>
        <w:ind w:left="426"/>
        <w:jc w:val="both"/>
        <w:rPr>
          <w:rFonts w:ascii="Arial" w:hAnsi="Arial" w:cs="Arial"/>
          <w:sz w:val="22"/>
          <w:szCs w:val="22"/>
        </w:rPr>
      </w:pPr>
      <w:r w:rsidRPr="00CE65DF">
        <w:rPr>
          <w:rFonts w:ascii="Arial" w:hAnsi="Arial" w:cs="Arial"/>
          <w:sz w:val="22"/>
          <w:szCs w:val="22"/>
        </w:rPr>
        <w:t>důležité kompoziční osy "vnitřního města" potom zastupují hlavní městské třídy (Teplická, Prokopa Holého, Hankova, Jiřího z Poděbrad, Slovanská, Dělnická, Ústecká, Ruská, Tyršova, Pohraniční stráže, Kamenická, 17. listopadu, Litoměřická, ul. Vítězství).</w:t>
      </w:r>
    </w:p>
    <w:p w14:paraId="42CDEAAF" w14:textId="77777777" w:rsidR="00147CEE" w:rsidRPr="00CE65DF" w:rsidRDefault="00147CEE" w:rsidP="00147CEE">
      <w:pPr>
        <w:pStyle w:val="Zkladntext"/>
        <w:jc w:val="both"/>
        <w:rPr>
          <w:rFonts w:ascii="Arial" w:hAnsi="Arial" w:cs="Arial"/>
        </w:rPr>
      </w:pPr>
    </w:p>
    <w:p w14:paraId="70B11C4E" w14:textId="77777777" w:rsidR="00147CEE" w:rsidRPr="00CE65DF" w:rsidRDefault="00147CEE" w:rsidP="00147CEE">
      <w:pPr>
        <w:pStyle w:val="Zkladntext"/>
        <w:spacing w:before="120" w:line="288" w:lineRule="auto"/>
        <w:ind w:firstLine="709"/>
        <w:jc w:val="both"/>
        <w:rPr>
          <w:rFonts w:ascii="Arial" w:hAnsi="Arial" w:cs="Arial"/>
          <w:sz w:val="22"/>
          <w:szCs w:val="22"/>
        </w:rPr>
      </w:pPr>
      <w:r w:rsidRPr="00CE65DF">
        <w:rPr>
          <w:rFonts w:ascii="Arial" w:hAnsi="Arial" w:cs="Arial"/>
          <w:sz w:val="22"/>
          <w:szCs w:val="22"/>
        </w:rPr>
        <w:t xml:space="preserve">Urbanistická koncepce ÚPN vychází ze zřetelně formulovaných zásad, ověřených analýzou dosavadního vývoje, současným stavem a předpokládaným možným rozvojem. </w:t>
      </w:r>
    </w:p>
    <w:p w14:paraId="5597C948" w14:textId="77777777" w:rsidR="00147CEE" w:rsidRPr="00CE65DF" w:rsidRDefault="00147CEE" w:rsidP="00147CEE">
      <w:pPr>
        <w:pStyle w:val="Zkladntext"/>
        <w:spacing w:before="120" w:line="288" w:lineRule="auto"/>
        <w:ind w:firstLine="709"/>
        <w:jc w:val="both"/>
        <w:rPr>
          <w:rFonts w:ascii="Arial" w:hAnsi="Arial" w:cs="Arial"/>
          <w:b/>
          <w:sz w:val="22"/>
          <w:szCs w:val="22"/>
        </w:rPr>
      </w:pPr>
      <w:r w:rsidRPr="00CE65DF">
        <w:rPr>
          <w:rFonts w:ascii="Arial" w:hAnsi="Arial" w:cs="Arial"/>
          <w:b/>
          <w:sz w:val="22"/>
          <w:szCs w:val="22"/>
        </w:rPr>
        <w:t>Navržené řešení ÚPN upřednostňuje formu územního rozvoje jako "kompaktní město".</w:t>
      </w:r>
    </w:p>
    <w:p w14:paraId="3B11AD31" w14:textId="77777777" w:rsidR="00147CEE" w:rsidRPr="00CE65DF" w:rsidRDefault="00147CEE" w:rsidP="00147CEE">
      <w:pPr>
        <w:pStyle w:val="dka"/>
        <w:jc w:val="both"/>
        <w:rPr>
          <w:rFonts w:cs="Arial"/>
        </w:rPr>
      </w:pPr>
    </w:p>
    <w:p w14:paraId="302E0911" w14:textId="77777777" w:rsidR="00147CEE" w:rsidRPr="00CE65DF" w:rsidRDefault="00147CEE" w:rsidP="00147CEE">
      <w:pPr>
        <w:pStyle w:val="podnadpis2"/>
        <w:jc w:val="both"/>
        <w:rPr>
          <w:rFonts w:cs="Arial"/>
        </w:rPr>
      </w:pPr>
      <w:r w:rsidRPr="00CE65DF">
        <w:rPr>
          <w:rFonts w:cs="Arial"/>
        </w:rPr>
        <w:t xml:space="preserve">Navržená koncepce rozvoje </w:t>
      </w:r>
    </w:p>
    <w:p w14:paraId="711EA9F7" w14:textId="77777777" w:rsidR="00147CEE" w:rsidRPr="00CE65DF" w:rsidRDefault="00147CEE" w:rsidP="00147CEE">
      <w:pPr>
        <w:pStyle w:val="Znaka1"/>
        <w:numPr>
          <w:ilvl w:val="0"/>
          <w:numId w:val="71"/>
        </w:numPr>
        <w:spacing w:before="120" w:line="288" w:lineRule="auto"/>
        <w:ind w:left="425" w:hanging="357"/>
        <w:jc w:val="both"/>
        <w:rPr>
          <w:rFonts w:cs="Arial"/>
          <w:sz w:val="22"/>
          <w:szCs w:val="22"/>
        </w:rPr>
      </w:pPr>
      <w:r w:rsidRPr="00CE65DF">
        <w:rPr>
          <w:rFonts w:cs="Arial"/>
          <w:sz w:val="22"/>
          <w:szCs w:val="22"/>
        </w:rPr>
        <w:t>regeneruje a posiluje všechny významné funkce, urbanistickou strukturu i funkční využití jednotlivých městských sektorů – zón;</w:t>
      </w:r>
    </w:p>
    <w:p w14:paraId="406B4BF0" w14:textId="77777777" w:rsidR="00147CEE" w:rsidRPr="00CE65DF" w:rsidRDefault="00147CEE" w:rsidP="00147CEE">
      <w:pPr>
        <w:pStyle w:val="Znaka1"/>
        <w:numPr>
          <w:ilvl w:val="0"/>
          <w:numId w:val="71"/>
        </w:numPr>
        <w:spacing w:before="120" w:line="288" w:lineRule="auto"/>
        <w:ind w:left="425" w:hanging="357"/>
        <w:jc w:val="both"/>
        <w:rPr>
          <w:rFonts w:cs="Arial"/>
          <w:sz w:val="22"/>
          <w:szCs w:val="22"/>
        </w:rPr>
      </w:pPr>
      <w:r w:rsidRPr="00CE65DF">
        <w:rPr>
          <w:rFonts w:cs="Arial"/>
          <w:sz w:val="22"/>
          <w:szCs w:val="22"/>
        </w:rPr>
        <w:t>stabilizuje zejména funkčně i prostorově centrální část - zónu města;</w:t>
      </w:r>
    </w:p>
    <w:p w14:paraId="6F4CFC8B" w14:textId="77777777" w:rsidR="00147CEE" w:rsidRPr="00CE65DF" w:rsidRDefault="00147CEE" w:rsidP="00147CEE">
      <w:pPr>
        <w:pStyle w:val="Znaka1"/>
        <w:numPr>
          <w:ilvl w:val="0"/>
          <w:numId w:val="71"/>
        </w:numPr>
        <w:spacing w:before="120" w:line="288" w:lineRule="auto"/>
        <w:ind w:left="425" w:hanging="357"/>
        <w:jc w:val="both"/>
        <w:rPr>
          <w:rFonts w:cs="Arial"/>
          <w:sz w:val="22"/>
          <w:szCs w:val="22"/>
        </w:rPr>
      </w:pPr>
      <w:r w:rsidRPr="00CE65DF">
        <w:rPr>
          <w:rFonts w:cs="Arial"/>
          <w:sz w:val="22"/>
          <w:szCs w:val="22"/>
        </w:rPr>
        <w:t>akceptuje přírodní rámec města včetně všech hodnot přírodního prostředí (lesoparky, Labské nábřeží, údolí vodotečí);</w:t>
      </w:r>
    </w:p>
    <w:p w14:paraId="77814FD6" w14:textId="77777777" w:rsidR="00147CEE" w:rsidRPr="00CE65DF" w:rsidRDefault="00147CEE" w:rsidP="00147CEE">
      <w:pPr>
        <w:pStyle w:val="Znaka1"/>
        <w:numPr>
          <w:ilvl w:val="0"/>
          <w:numId w:val="71"/>
        </w:numPr>
        <w:spacing w:before="120" w:line="288" w:lineRule="auto"/>
        <w:ind w:left="425" w:hanging="357"/>
        <w:jc w:val="both"/>
        <w:rPr>
          <w:rFonts w:cs="Arial"/>
          <w:sz w:val="22"/>
          <w:szCs w:val="22"/>
        </w:rPr>
      </w:pPr>
      <w:r w:rsidRPr="00CE65DF">
        <w:rPr>
          <w:rFonts w:cs="Arial"/>
          <w:sz w:val="22"/>
          <w:szCs w:val="22"/>
        </w:rPr>
        <w:t>funkčně kategorizuje zastavitelné a nezastavitelné prostory;</w:t>
      </w:r>
    </w:p>
    <w:p w14:paraId="36E0C1F3" w14:textId="77777777" w:rsidR="00147CEE" w:rsidRPr="00CE65DF" w:rsidRDefault="00147CEE" w:rsidP="00147CEE">
      <w:pPr>
        <w:pStyle w:val="Znaka1"/>
        <w:numPr>
          <w:ilvl w:val="0"/>
          <w:numId w:val="71"/>
        </w:numPr>
        <w:spacing w:before="120" w:line="288" w:lineRule="auto"/>
        <w:ind w:left="425" w:hanging="357"/>
        <w:jc w:val="both"/>
        <w:rPr>
          <w:rFonts w:cs="Arial"/>
          <w:sz w:val="22"/>
          <w:szCs w:val="22"/>
        </w:rPr>
      </w:pPr>
      <w:r w:rsidRPr="00CE65DF">
        <w:rPr>
          <w:rFonts w:cs="Arial"/>
          <w:sz w:val="22"/>
          <w:szCs w:val="22"/>
        </w:rPr>
        <w:t>navrhuje rozvoj obytného území do nejvhodnějších prostorů s příznivými dopravními i technickými podmínkami, vymezuje odpovídající výhledové rezervy;</w:t>
      </w:r>
    </w:p>
    <w:p w14:paraId="677D4ED5" w14:textId="77777777" w:rsidR="00147CEE" w:rsidRPr="00CE65DF" w:rsidRDefault="00147CEE" w:rsidP="00147CEE">
      <w:pPr>
        <w:pStyle w:val="Znaka1"/>
        <w:numPr>
          <w:ilvl w:val="0"/>
          <w:numId w:val="71"/>
        </w:numPr>
        <w:spacing w:before="120" w:line="288" w:lineRule="auto"/>
        <w:ind w:left="425" w:hanging="357"/>
        <w:jc w:val="both"/>
        <w:rPr>
          <w:rFonts w:cs="Arial"/>
          <w:sz w:val="22"/>
          <w:szCs w:val="22"/>
        </w:rPr>
      </w:pPr>
      <w:r w:rsidRPr="00CE65DF">
        <w:rPr>
          <w:rFonts w:cs="Arial"/>
          <w:sz w:val="22"/>
          <w:szCs w:val="22"/>
        </w:rPr>
        <w:t>navrhuje regulativy pro výhledové funkční a prostorové uspořádání zón, nevhodná zařízení vymisťuje, všechna vhodná návrhem stabilizuje;</w:t>
      </w:r>
    </w:p>
    <w:p w14:paraId="4D462D20" w14:textId="77777777" w:rsidR="00147CEE" w:rsidRPr="00CE65DF" w:rsidRDefault="00147CEE" w:rsidP="00147CEE">
      <w:pPr>
        <w:pStyle w:val="Znaka1"/>
        <w:numPr>
          <w:ilvl w:val="0"/>
          <w:numId w:val="71"/>
        </w:numPr>
        <w:spacing w:before="120" w:line="288" w:lineRule="auto"/>
        <w:ind w:left="425" w:hanging="357"/>
        <w:jc w:val="both"/>
        <w:rPr>
          <w:rFonts w:cs="Arial"/>
          <w:sz w:val="22"/>
          <w:szCs w:val="22"/>
        </w:rPr>
      </w:pPr>
      <w:r w:rsidRPr="00CE65DF">
        <w:rPr>
          <w:rFonts w:cs="Arial"/>
          <w:sz w:val="22"/>
          <w:szCs w:val="22"/>
        </w:rPr>
        <w:t>návrhem nového komunikačního systému zklidňuje "vnitřní město", rehabilituje fyzicky městské třídy a zcela vylučuje průjezdní dopravu, akceptuje rozvoj mezinárodní železniční tratě ČD;</w:t>
      </w:r>
    </w:p>
    <w:p w14:paraId="183E061C" w14:textId="77777777" w:rsidR="00147CEE" w:rsidRPr="00CE65DF" w:rsidRDefault="00147CEE" w:rsidP="00147CEE">
      <w:pPr>
        <w:pStyle w:val="Znaka1"/>
        <w:numPr>
          <w:ilvl w:val="0"/>
          <w:numId w:val="71"/>
        </w:numPr>
        <w:spacing w:before="120" w:line="288" w:lineRule="auto"/>
        <w:ind w:left="425" w:hanging="357"/>
        <w:jc w:val="both"/>
        <w:rPr>
          <w:rFonts w:cs="Arial"/>
          <w:sz w:val="22"/>
          <w:szCs w:val="22"/>
        </w:rPr>
      </w:pPr>
      <w:r w:rsidRPr="00CE65DF">
        <w:rPr>
          <w:rFonts w:cs="Arial"/>
          <w:sz w:val="22"/>
          <w:szCs w:val="22"/>
        </w:rPr>
        <w:t>principem ochrany a návrhem nové funkce chrání významné urbanistické struktury a kulturní památky;</w:t>
      </w:r>
    </w:p>
    <w:p w14:paraId="1E7D1FB7" w14:textId="77777777" w:rsidR="00147CEE" w:rsidRPr="00CE65DF" w:rsidRDefault="00147CEE" w:rsidP="00147CEE">
      <w:pPr>
        <w:pStyle w:val="Znaka1"/>
        <w:numPr>
          <w:ilvl w:val="0"/>
          <w:numId w:val="71"/>
        </w:numPr>
        <w:spacing w:before="120" w:line="288" w:lineRule="auto"/>
        <w:ind w:left="425" w:hanging="357"/>
        <w:jc w:val="both"/>
        <w:rPr>
          <w:rFonts w:cs="Arial"/>
          <w:sz w:val="22"/>
          <w:szCs w:val="22"/>
        </w:rPr>
      </w:pPr>
      <w:r w:rsidRPr="00CE65DF">
        <w:rPr>
          <w:rFonts w:cs="Arial"/>
          <w:sz w:val="22"/>
          <w:szCs w:val="22"/>
        </w:rPr>
        <w:t>nenavrhuje žádné dominantní struktury, uplatňuje max. 5 podlaží ve výškovém zónování a tím upřednostňuje stávající charakter zástavby a přírodní rámec města;</w:t>
      </w:r>
    </w:p>
    <w:p w14:paraId="41366428" w14:textId="77777777" w:rsidR="00147CEE" w:rsidRPr="00CE65DF" w:rsidRDefault="00147CEE" w:rsidP="00147CEE">
      <w:pPr>
        <w:pStyle w:val="Znaka1"/>
        <w:numPr>
          <w:ilvl w:val="0"/>
          <w:numId w:val="71"/>
        </w:numPr>
        <w:spacing w:before="120" w:line="288" w:lineRule="auto"/>
        <w:ind w:left="425" w:hanging="357"/>
        <w:jc w:val="both"/>
        <w:rPr>
          <w:rFonts w:cs="Arial"/>
          <w:sz w:val="22"/>
          <w:szCs w:val="22"/>
        </w:rPr>
      </w:pPr>
      <w:r w:rsidRPr="00CE65DF">
        <w:rPr>
          <w:rFonts w:cs="Arial"/>
          <w:sz w:val="22"/>
          <w:szCs w:val="22"/>
        </w:rPr>
        <w:t xml:space="preserve">jako hlavní prostory možné přestavby území města jsou navrženy lokality: Podmokly - ul. Tržní Hankova, Ruská a Teplická, Staré Město - nám. 5. května, ul. Březová a ul. Litoměřická, Děčín </w:t>
      </w:r>
      <w:r w:rsidRPr="00CE65DF">
        <w:rPr>
          <w:rFonts w:cs="Arial"/>
          <w:sz w:val="22"/>
          <w:szCs w:val="22"/>
        </w:rPr>
        <w:tab/>
        <w:t>střed a Boletice n. L. střed.</w:t>
      </w:r>
    </w:p>
    <w:p w14:paraId="5EAD209B" w14:textId="77777777" w:rsidR="00147CEE" w:rsidRPr="00CE65DF" w:rsidRDefault="00147CEE" w:rsidP="00147CEE">
      <w:pPr>
        <w:pStyle w:val="Zkladntext"/>
        <w:spacing w:before="120" w:line="288" w:lineRule="auto"/>
        <w:ind w:firstLine="709"/>
        <w:jc w:val="both"/>
        <w:rPr>
          <w:rFonts w:ascii="Arial" w:hAnsi="Arial" w:cs="Arial"/>
          <w:sz w:val="22"/>
          <w:szCs w:val="22"/>
        </w:rPr>
      </w:pPr>
      <w:r w:rsidRPr="00CE65DF">
        <w:rPr>
          <w:rFonts w:ascii="Arial" w:hAnsi="Arial" w:cs="Arial"/>
          <w:sz w:val="22"/>
          <w:szCs w:val="22"/>
        </w:rPr>
        <w:t xml:space="preserve">Návrh rozvoje jednotlivých funkčních zón a systémů je obsahem následujících kapitol, podrobná specifikace využití jednotlivých lokalit a prostorů je patrna z tabelárního přehledu členěného dle městských sektorů (I-IX). </w:t>
      </w:r>
    </w:p>
    <w:p w14:paraId="32C8BE7D" w14:textId="77777777" w:rsidR="00147CEE" w:rsidRDefault="00147CEE" w:rsidP="00147CEE">
      <w:pPr>
        <w:pStyle w:val="Zkladntext"/>
        <w:jc w:val="both"/>
        <w:rPr>
          <w:rFonts w:ascii="Arial" w:hAnsi="Arial" w:cs="Arial"/>
        </w:rPr>
      </w:pPr>
    </w:p>
    <w:p w14:paraId="5A4095A1" w14:textId="77777777" w:rsidR="00CE65DF" w:rsidRDefault="00CE65DF" w:rsidP="00147CEE">
      <w:pPr>
        <w:pStyle w:val="Zkladntext"/>
        <w:jc w:val="both"/>
        <w:rPr>
          <w:rFonts w:ascii="Arial" w:hAnsi="Arial" w:cs="Arial"/>
        </w:rPr>
      </w:pPr>
    </w:p>
    <w:p w14:paraId="7AB9219E" w14:textId="77777777" w:rsidR="00CE65DF" w:rsidRPr="00CE65DF" w:rsidRDefault="00CE65DF" w:rsidP="00147CEE">
      <w:pPr>
        <w:pStyle w:val="Zkladntext"/>
        <w:jc w:val="both"/>
        <w:rPr>
          <w:rFonts w:ascii="Arial" w:hAnsi="Arial" w:cs="Arial"/>
        </w:rPr>
      </w:pPr>
    </w:p>
    <w:p w14:paraId="2B4BAC53" w14:textId="77777777" w:rsidR="00147CEE" w:rsidRPr="00CE65DF" w:rsidRDefault="00147CEE" w:rsidP="00147CEE">
      <w:pPr>
        <w:pStyle w:val="podnadpis2"/>
        <w:jc w:val="both"/>
        <w:rPr>
          <w:rFonts w:cs="Arial"/>
        </w:rPr>
      </w:pPr>
      <w:r w:rsidRPr="00CE65DF">
        <w:rPr>
          <w:rFonts w:cs="Arial"/>
        </w:rPr>
        <w:lastRenderedPageBreak/>
        <w:t>Funkční využití území města</w:t>
      </w:r>
    </w:p>
    <w:p w14:paraId="111EC4CC" w14:textId="77777777" w:rsidR="00147CEE" w:rsidRPr="00CE65DF" w:rsidRDefault="00147CEE" w:rsidP="00147CEE">
      <w:pPr>
        <w:pStyle w:val="Znaka1"/>
        <w:numPr>
          <w:ilvl w:val="0"/>
          <w:numId w:val="71"/>
        </w:numPr>
        <w:spacing w:before="120" w:line="288" w:lineRule="auto"/>
        <w:ind w:left="425" w:hanging="357"/>
        <w:jc w:val="both"/>
        <w:rPr>
          <w:rFonts w:cs="Arial"/>
          <w:sz w:val="22"/>
          <w:szCs w:val="22"/>
        </w:rPr>
      </w:pPr>
      <w:r w:rsidRPr="00CE65DF">
        <w:rPr>
          <w:rFonts w:cs="Arial"/>
          <w:sz w:val="22"/>
          <w:szCs w:val="22"/>
        </w:rPr>
        <w:t xml:space="preserve">současné zastavěné území města, včetně veřejné zeleně a lesoparků je cca 1290 ha, což představuje 11 % z celkové plochy území města (11 803 ha) </w:t>
      </w:r>
    </w:p>
    <w:p w14:paraId="64707503" w14:textId="77777777" w:rsidR="00147CEE" w:rsidRPr="00484C03" w:rsidRDefault="00147CEE" w:rsidP="00147CEE">
      <w:pPr>
        <w:pStyle w:val="Znaka1"/>
        <w:numPr>
          <w:ilvl w:val="0"/>
          <w:numId w:val="71"/>
        </w:numPr>
        <w:spacing w:before="120" w:line="288" w:lineRule="auto"/>
        <w:ind w:left="425" w:hanging="357"/>
        <w:jc w:val="both"/>
        <w:rPr>
          <w:sz w:val="22"/>
          <w:szCs w:val="22"/>
        </w:rPr>
      </w:pPr>
      <w:r w:rsidRPr="00484C03">
        <w:rPr>
          <w:sz w:val="22"/>
          <w:szCs w:val="22"/>
        </w:rPr>
        <w:t xml:space="preserve">z hlediska funkčního využití pak </w:t>
      </w:r>
      <w:r w:rsidRPr="00484C03">
        <w:rPr>
          <w:b/>
          <w:sz w:val="22"/>
          <w:szCs w:val="22"/>
        </w:rPr>
        <w:t>obytné území</w:t>
      </w:r>
      <w:r w:rsidRPr="00484C03">
        <w:rPr>
          <w:sz w:val="22"/>
          <w:szCs w:val="22"/>
        </w:rPr>
        <w:t xml:space="preserve"> (městské domy, obytné domy a rodinné domy) zahrnuje plochy v rozsahu 583 ha, plochy </w:t>
      </w:r>
      <w:r w:rsidRPr="00484C03">
        <w:rPr>
          <w:b/>
          <w:sz w:val="22"/>
          <w:szCs w:val="22"/>
        </w:rPr>
        <w:t>vybavenosti a sportu</w:t>
      </w:r>
      <w:r w:rsidRPr="00484C03">
        <w:rPr>
          <w:sz w:val="22"/>
          <w:szCs w:val="22"/>
        </w:rPr>
        <w:t xml:space="preserve"> 147 ha, </w:t>
      </w:r>
      <w:r w:rsidRPr="00484C03">
        <w:rPr>
          <w:b/>
          <w:sz w:val="22"/>
          <w:szCs w:val="22"/>
        </w:rPr>
        <w:t xml:space="preserve">plochy veřejné zeleně </w:t>
      </w:r>
      <w:r w:rsidRPr="00484C03">
        <w:rPr>
          <w:b/>
          <w:sz w:val="22"/>
          <w:szCs w:val="22"/>
        </w:rPr>
        <w:tab/>
        <w:t>a lesoparků</w:t>
      </w:r>
      <w:r w:rsidRPr="00484C03">
        <w:rPr>
          <w:sz w:val="22"/>
          <w:szCs w:val="22"/>
        </w:rPr>
        <w:t xml:space="preserve"> 120 ha, </w:t>
      </w:r>
      <w:r w:rsidRPr="00484C03">
        <w:rPr>
          <w:b/>
          <w:sz w:val="22"/>
          <w:szCs w:val="22"/>
        </w:rPr>
        <w:t>plochy výroby a technického vybavení</w:t>
      </w:r>
      <w:r w:rsidRPr="00484C03">
        <w:rPr>
          <w:sz w:val="22"/>
          <w:szCs w:val="22"/>
        </w:rPr>
        <w:t xml:space="preserve"> 244 ha </w:t>
      </w:r>
      <w:r w:rsidRPr="00484C03">
        <w:rPr>
          <w:b/>
          <w:sz w:val="22"/>
          <w:szCs w:val="22"/>
        </w:rPr>
        <w:t>a</w:t>
      </w:r>
      <w:r>
        <w:rPr>
          <w:b/>
          <w:sz w:val="22"/>
          <w:szCs w:val="22"/>
        </w:rPr>
        <w:t> d</w:t>
      </w:r>
      <w:r w:rsidRPr="00484C03">
        <w:rPr>
          <w:b/>
          <w:sz w:val="22"/>
          <w:szCs w:val="22"/>
        </w:rPr>
        <w:t>opravy</w:t>
      </w:r>
      <w:r w:rsidRPr="00484C03">
        <w:rPr>
          <w:sz w:val="22"/>
          <w:szCs w:val="22"/>
        </w:rPr>
        <w:t xml:space="preserve"> 302 ha.</w:t>
      </w:r>
    </w:p>
    <w:p w14:paraId="4945E90D" w14:textId="77777777" w:rsidR="00147CEE" w:rsidRPr="00484C03" w:rsidRDefault="00147CEE" w:rsidP="00147CEE">
      <w:pPr>
        <w:pStyle w:val="Znaka1"/>
        <w:numPr>
          <w:ilvl w:val="0"/>
          <w:numId w:val="71"/>
        </w:numPr>
        <w:spacing w:before="120" w:line="288" w:lineRule="auto"/>
        <w:ind w:left="425" w:hanging="357"/>
        <w:jc w:val="both"/>
        <w:rPr>
          <w:sz w:val="22"/>
          <w:szCs w:val="22"/>
        </w:rPr>
      </w:pPr>
      <w:r w:rsidRPr="00484C03">
        <w:rPr>
          <w:sz w:val="22"/>
          <w:szCs w:val="22"/>
        </w:rPr>
        <w:t xml:space="preserve">z hlediska intenzity zástavby a využití území města dominují svou strukturou městské sektory </w:t>
      </w:r>
      <w:r>
        <w:rPr>
          <w:sz w:val="22"/>
          <w:szCs w:val="22"/>
        </w:rPr>
        <w:t xml:space="preserve">IA - IB. </w:t>
      </w:r>
      <w:r w:rsidRPr="00484C03">
        <w:rPr>
          <w:sz w:val="22"/>
          <w:szCs w:val="22"/>
        </w:rPr>
        <w:t xml:space="preserve">centrum (10,5 %),VI.  Nové Město, Staré Město, Březiny (25 %), II.  Letná - Želenice (17,5 %), IV.  Bynov  - Oldřichov (14,5  %) z celkového zastavěného území města. </w:t>
      </w:r>
    </w:p>
    <w:p w14:paraId="1A0A8652" w14:textId="77777777" w:rsidR="00147CEE" w:rsidRPr="00484C03" w:rsidRDefault="00147CEE" w:rsidP="00147CEE">
      <w:pPr>
        <w:pStyle w:val="Znaka1"/>
        <w:numPr>
          <w:ilvl w:val="0"/>
          <w:numId w:val="71"/>
        </w:numPr>
        <w:spacing w:before="120" w:line="288" w:lineRule="auto"/>
        <w:ind w:left="425" w:hanging="357"/>
        <w:jc w:val="both"/>
        <w:rPr>
          <w:sz w:val="22"/>
          <w:szCs w:val="22"/>
        </w:rPr>
      </w:pPr>
      <w:r w:rsidRPr="00484C03">
        <w:rPr>
          <w:sz w:val="22"/>
          <w:szCs w:val="22"/>
        </w:rPr>
        <w:t xml:space="preserve">na základě těchto skutečností je zřejmé, že Děčín lze charakterizovat jako "město kompaktní" s širokým zázemím přírodních faktorů (lesy 59 % a ZPF 24 % plochy města). V tomto rámci a vytčených zásadách je uplatněna i navržená koncepce jeho územního rozvoje. </w:t>
      </w:r>
    </w:p>
    <w:p w14:paraId="20CFAF2A" w14:textId="77777777" w:rsidR="00147CEE" w:rsidRDefault="00147CEE" w:rsidP="00147CEE">
      <w:pPr>
        <w:pStyle w:val="Zkladntext"/>
        <w:jc w:val="both"/>
      </w:pPr>
    </w:p>
    <w:p w14:paraId="5A7F9AA6" w14:textId="77777777" w:rsidR="00147CEE" w:rsidRDefault="00147CEE" w:rsidP="00147CEE">
      <w:pPr>
        <w:pStyle w:val="podnadpis1"/>
        <w:jc w:val="both"/>
      </w:pPr>
      <w:r>
        <w:t>HLAVNÍ PROSTORY MĚSTA</w:t>
      </w:r>
    </w:p>
    <w:p w14:paraId="6C5CBB94" w14:textId="77777777" w:rsidR="00147CEE" w:rsidRPr="00AA42CE" w:rsidRDefault="00147CEE" w:rsidP="00147CEE">
      <w:pPr>
        <w:pStyle w:val="podnadpis2"/>
        <w:jc w:val="both"/>
        <w:rPr>
          <w:szCs w:val="22"/>
        </w:rPr>
      </w:pPr>
      <w:r w:rsidRPr="00AA42CE">
        <w:rPr>
          <w:szCs w:val="22"/>
        </w:rPr>
        <w:t>PODMOKLY</w:t>
      </w:r>
    </w:p>
    <w:p w14:paraId="3C94FE79" w14:textId="77777777" w:rsidR="00147CEE" w:rsidRPr="00917C13" w:rsidRDefault="00147CEE" w:rsidP="00147CEE">
      <w:pPr>
        <w:pStyle w:val="Znaka1"/>
        <w:numPr>
          <w:ilvl w:val="0"/>
          <w:numId w:val="71"/>
        </w:numPr>
        <w:spacing w:before="120" w:line="288" w:lineRule="auto"/>
        <w:ind w:left="425" w:hanging="357"/>
        <w:jc w:val="both"/>
        <w:rPr>
          <w:sz w:val="22"/>
          <w:szCs w:val="22"/>
        </w:rPr>
      </w:pPr>
      <w:r w:rsidRPr="00917C13">
        <w:rPr>
          <w:sz w:val="22"/>
          <w:szCs w:val="22"/>
        </w:rPr>
        <w:t xml:space="preserve">uzavřený blok (3 - 4. podlaží, vyjm. 5. podl, často </w:t>
      </w:r>
      <w:r>
        <w:rPr>
          <w:sz w:val="22"/>
          <w:szCs w:val="22"/>
        </w:rPr>
        <w:t xml:space="preserve">s tupým nárožím), chápat jako </w:t>
      </w:r>
      <w:r w:rsidRPr="00917C13">
        <w:rPr>
          <w:sz w:val="22"/>
          <w:szCs w:val="22"/>
        </w:rPr>
        <w:t>charakteristický prvek městské zástavby, předurčující prostorové i stavební regulativy (uspořádání vnitrobloku, průchody - pasáže)</w:t>
      </w:r>
      <w:r>
        <w:rPr>
          <w:sz w:val="22"/>
          <w:szCs w:val="22"/>
        </w:rPr>
        <w:t>;</w:t>
      </w:r>
    </w:p>
    <w:p w14:paraId="3AF33C67" w14:textId="77777777" w:rsidR="00147CEE" w:rsidRPr="00917C13" w:rsidRDefault="00147CEE" w:rsidP="00147CEE">
      <w:pPr>
        <w:pStyle w:val="Znaka1"/>
        <w:numPr>
          <w:ilvl w:val="0"/>
          <w:numId w:val="71"/>
        </w:numPr>
        <w:spacing w:before="120" w:line="288" w:lineRule="auto"/>
        <w:ind w:left="425" w:hanging="357"/>
        <w:jc w:val="both"/>
        <w:rPr>
          <w:sz w:val="22"/>
          <w:szCs w:val="22"/>
        </w:rPr>
      </w:pPr>
      <w:r w:rsidRPr="00917C13">
        <w:rPr>
          <w:sz w:val="22"/>
          <w:szCs w:val="22"/>
        </w:rPr>
        <w:t xml:space="preserve">respektovat hlavní kompoziční osy (ul. Prokopa Holého s </w:t>
      </w:r>
      <w:r>
        <w:rPr>
          <w:sz w:val="22"/>
          <w:szCs w:val="22"/>
        </w:rPr>
        <w:t xml:space="preserve">pěší zónou, Teplickou, Ruskou, </w:t>
      </w:r>
      <w:r w:rsidRPr="00917C13">
        <w:rPr>
          <w:sz w:val="22"/>
          <w:szCs w:val="22"/>
        </w:rPr>
        <w:t xml:space="preserve">Pivovarskou, Podmokelskou, Čs. mládeže, Hankovou, Bezručovou, trať ČD, Jílovský potok) </w:t>
      </w:r>
      <w:r>
        <w:rPr>
          <w:sz w:val="22"/>
          <w:szCs w:val="22"/>
        </w:rPr>
        <w:t>a významné průhledy;</w:t>
      </w:r>
    </w:p>
    <w:p w14:paraId="20610A18" w14:textId="77777777" w:rsidR="00147CEE" w:rsidRPr="00917C13" w:rsidRDefault="00147CEE" w:rsidP="00147CEE">
      <w:pPr>
        <w:pStyle w:val="Znaka1"/>
        <w:numPr>
          <w:ilvl w:val="0"/>
          <w:numId w:val="71"/>
        </w:numPr>
        <w:spacing w:before="120" w:line="288" w:lineRule="auto"/>
        <w:ind w:left="425" w:hanging="357"/>
        <w:jc w:val="both"/>
        <w:rPr>
          <w:sz w:val="22"/>
          <w:szCs w:val="22"/>
        </w:rPr>
      </w:pPr>
      <w:r w:rsidRPr="00917C13">
        <w:rPr>
          <w:sz w:val="22"/>
          <w:szCs w:val="22"/>
        </w:rPr>
        <w:t>za veřejná prostranství s přirozenou koncentrací obyvatel považovat</w:t>
      </w:r>
      <w:r>
        <w:rPr>
          <w:sz w:val="22"/>
          <w:szCs w:val="22"/>
        </w:rPr>
        <w:t xml:space="preserve">: pěší zónu + Husovo </w:t>
      </w:r>
      <w:r w:rsidRPr="00917C13">
        <w:rPr>
          <w:sz w:val="22"/>
          <w:szCs w:val="22"/>
        </w:rPr>
        <w:t>náměstí, Mírové náměstí, přednádražní prostor (Grand, Korál, podzemní parking, nádraží ČD - peronizace + podchod), prostor Hankova - Podmokelská (park, kino, polyfunkční objekty, nákupní středisko, terminál hromadné dopravy), areál Jordánka (kulturní a</w:t>
      </w:r>
      <w:r>
        <w:rPr>
          <w:sz w:val="22"/>
          <w:szCs w:val="22"/>
        </w:rPr>
        <w:t> </w:t>
      </w:r>
      <w:r w:rsidRPr="00917C13">
        <w:rPr>
          <w:sz w:val="22"/>
          <w:szCs w:val="22"/>
        </w:rPr>
        <w:t>společenské centrum, parkoviště, park, průchody pro pěší), prostor Jeroný</w:t>
      </w:r>
      <w:r>
        <w:rPr>
          <w:sz w:val="22"/>
          <w:szCs w:val="22"/>
        </w:rPr>
        <w:t xml:space="preserve">mova - Máchova (dostavba bloku, </w:t>
      </w:r>
      <w:r w:rsidRPr="00917C13">
        <w:rPr>
          <w:sz w:val="22"/>
          <w:szCs w:val="22"/>
        </w:rPr>
        <w:t>rekonstrukce hřiště + P, výstavba tělocvičny a dětského dopravního hřiště) a prostor levého předmostí s nábřežím (dopravní zpřístupnění areálu, dostavba a rekonstrukce sportovních zařízení a ploch, výstavba zařízení pro motoristy, parkoviště, nové dopravní uspořádání (křižovatka, pětimostí, ul. Práce) HOBBY CENTRUM, cyklistické a pěší trasy, promenády, odpočívky, veřejná zeleň)</w:t>
      </w:r>
      <w:r>
        <w:rPr>
          <w:sz w:val="22"/>
          <w:szCs w:val="22"/>
        </w:rPr>
        <w:t>;</w:t>
      </w:r>
    </w:p>
    <w:p w14:paraId="45CD09EB" w14:textId="77777777" w:rsidR="00147CEE" w:rsidRPr="00917C13" w:rsidRDefault="00147CEE" w:rsidP="00147CEE">
      <w:pPr>
        <w:pStyle w:val="Znaka1"/>
        <w:numPr>
          <w:ilvl w:val="0"/>
          <w:numId w:val="71"/>
        </w:numPr>
        <w:spacing w:before="120" w:line="288" w:lineRule="auto"/>
        <w:ind w:left="425" w:hanging="357"/>
        <w:jc w:val="both"/>
        <w:rPr>
          <w:sz w:val="22"/>
          <w:szCs w:val="22"/>
        </w:rPr>
      </w:pPr>
      <w:r w:rsidRPr="00917C13">
        <w:rPr>
          <w:sz w:val="22"/>
          <w:szCs w:val="22"/>
        </w:rPr>
        <w:t>návrh předpokládá zachování stabilních objektů a ploch (provozně a stavebně bez závad), formou přestavby a dostavby řešit funkční, provozní a dopravní problémy (proluky, změna funkce, likvidace garáží a skladů), novou výstavbou podpořit funkci centra a jeho základního regulačního schématu (polyfunkční domy, 30 - 50 % trvalého bydlení)</w:t>
      </w:r>
      <w:r>
        <w:rPr>
          <w:sz w:val="22"/>
          <w:szCs w:val="22"/>
        </w:rPr>
        <w:t>.</w:t>
      </w:r>
    </w:p>
    <w:p w14:paraId="660255FC" w14:textId="77777777" w:rsidR="00147CEE" w:rsidRDefault="00147CEE" w:rsidP="00147CEE">
      <w:pPr>
        <w:pStyle w:val="Zkladntext"/>
        <w:spacing w:before="120" w:line="288" w:lineRule="auto"/>
        <w:jc w:val="both"/>
        <w:rPr>
          <w:sz w:val="22"/>
          <w:szCs w:val="22"/>
        </w:rPr>
      </w:pPr>
    </w:p>
    <w:p w14:paraId="02A987AE" w14:textId="77777777" w:rsidR="00CE65DF" w:rsidRDefault="00CE65DF" w:rsidP="00147CEE">
      <w:pPr>
        <w:pStyle w:val="Zkladntext"/>
        <w:spacing w:before="120" w:line="288" w:lineRule="auto"/>
        <w:jc w:val="both"/>
        <w:rPr>
          <w:sz w:val="22"/>
          <w:szCs w:val="22"/>
        </w:rPr>
      </w:pPr>
    </w:p>
    <w:p w14:paraId="3CC6DD9A" w14:textId="77777777" w:rsidR="00147CEE" w:rsidRPr="00917C13" w:rsidRDefault="00147CEE" w:rsidP="00147CEE">
      <w:pPr>
        <w:pStyle w:val="podnadpis2"/>
        <w:jc w:val="both"/>
        <w:rPr>
          <w:szCs w:val="22"/>
        </w:rPr>
      </w:pPr>
      <w:r>
        <w:rPr>
          <w:szCs w:val="22"/>
        </w:rPr>
        <w:lastRenderedPageBreak/>
        <w:t>DĚČÍN - MĚSTO</w:t>
      </w:r>
    </w:p>
    <w:p w14:paraId="34302A0D" w14:textId="77777777" w:rsidR="00147CEE" w:rsidRPr="00917C13" w:rsidRDefault="00147CEE" w:rsidP="00147CEE">
      <w:pPr>
        <w:pStyle w:val="dka"/>
        <w:jc w:val="both"/>
      </w:pPr>
      <w:r>
        <w:rPr>
          <w:b/>
          <w:bCs/>
          <w:caps/>
        </w:rPr>
        <w:t>prostor Masarykova náměstí</w:t>
      </w:r>
    </w:p>
    <w:p w14:paraId="36C9FBAE" w14:textId="77777777" w:rsidR="00147CEE" w:rsidRPr="00917C13" w:rsidRDefault="00147CEE" w:rsidP="00147CEE">
      <w:pPr>
        <w:pStyle w:val="Znaka1"/>
        <w:numPr>
          <w:ilvl w:val="0"/>
          <w:numId w:val="71"/>
        </w:numPr>
        <w:spacing w:before="120" w:line="288" w:lineRule="auto"/>
        <w:ind w:left="425" w:hanging="357"/>
        <w:jc w:val="both"/>
        <w:rPr>
          <w:sz w:val="22"/>
          <w:szCs w:val="22"/>
        </w:rPr>
      </w:pPr>
      <w:r w:rsidRPr="00917C13">
        <w:rPr>
          <w:sz w:val="22"/>
          <w:szCs w:val="22"/>
        </w:rPr>
        <w:t xml:space="preserve">na možnou dostavbu tohoto prostoru bylo vysloveno mnoho názorů, byla zpracována řada studií a byla v poslední době zahájena výstavba nového dopravní uspořádání včetně navrženého kruhového objezdu před </w:t>
      </w:r>
      <w:r>
        <w:rPr>
          <w:sz w:val="22"/>
          <w:szCs w:val="22"/>
        </w:rPr>
        <w:t>kostelem sv. Václava a Blažeje;</w:t>
      </w:r>
    </w:p>
    <w:p w14:paraId="7DC91C92" w14:textId="77777777" w:rsidR="00147CEE" w:rsidRPr="00917C13" w:rsidRDefault="00147CEE" w:rsidP="00147CEE">
      <w:pPr>
        <w:pStyle w:val="Znaka1"/>
        <w:numPr>
          <w:ilvl w:val="0"/>
          <w:numId w:val="71"/>
        </w:numPr>
        <w:spacing w:before="120" w:line="288" w:lineRule="auto"/>
        <w:ind w:left="425" w:hanging="357"/>
        <w:jc w:val="both"/>
        <w:rPr>
          <w:sz w:val="22"/>
          <w:szCs w:val="22"/>
        </w:rPr>
      </w:pPr>
      <w:r w:rsidRPr="00917C13">
        <w:rPr>
          <w:sz w:val="22"/>
          <w:szCs w:val="22"/>
        </w:rPr>
        <w:t>problematika se pochopitelně netýká pouze dopravního řešení, ale postupně obnovy centra na pravém břehu Labe, výrazně poznamenaného likvidací původní zástavby (plošná asanace) a následnou výstavbou naprosto nevyhovujících obytných panelových domů. Touto realizací byla nejen narušena půdorysná stopa a urbanistická struktura tohoto prostoru, ale i zásadně</w:t>
      </w:r>
      <w:r>
        <w:rPr>
          <w:sz w:val="22"/>
          <w:szCs w:val="22"/>
        </w:rPr>
        <w:t xml:space="preserve"> </w:t>
      </w:r>
      <w:r w:rsidRPr="00917C13">
        <w:rPr>
          <w:sz w:val="22"/>
          <w:szCs w:val="22"/>
        </w:rPr>
        <w:t>narušeny kompoziční zásady, historická hodnota a funkční a</w:t>
      </w:r>
      <w:r>
        <w:rPr>
          <w:sz w:val="22"/>
          <w:szCs w:val="22"/>
        </w:rPr>
        <w:t> prostorová nevyváženost;</w:t>
      </w:r>
    </w:p>
    <w:p w14:paraId="275A0F7E" w14:textId="77777777" w:rsidR="00147CEE" w:rsidRPr="00917C13" w:rsidRDefault="00147CEE" w:rsidP="00147CEE">
      <w:pPr>
        <w:pStyle w:val="Znaka1"/>
        <w:numPr>
          <w:ilvl w:val="0"/>
          <w:numId w:val="71"/>
        </w:numPr>
        <w:spacing w:before="120" w:line="288" w:lineRule="auto"/>
        <w:ind w:left="425" w:hanging="357"/>
        <w:jc w:val="both"/>
        <w:rPr>
          <w:sz w:val="22"/>
          <w:szCs w:val="22"/>
        </w:rPr>
      </w:pPr>
      <w:r>
        <w:rPr>
          <w:sz w:val="22"/>
          <w:szCs w:val="22"/>
        </w:rPr>
        <w:t>s</w:t>
      </w:r>
      <w:r w:rsidRPr="00917C13">
        <w:rPr>
          <w:sz w:val="22"/>
          <w:szCs w:val="22"/>
        </w:rPr>
        <w:t xml:space="preserve"> ohledem na tyto skutečnosti bude nutno rozhodnout</w:t>
      </w:r>
      <w:r>
        <w:rPr>
          <w:sz w:val="22"/>
          <w:szCs w:val="22"/>
        </w:rPr>
        <w:t xml:space="preserve"> o možné výhledovém uspořádání:</w:t>
      </w:r>
    </w:p>
    <w:p w14:paraId="45111164" w14:textId="77777777" w:rsidR="00147CEE" w:rsidRPr="00917C13" w:rsidRDefault="00147CEE" w:rsidP="00147CEE">
      <w:pPr>
        <w:pStyle w:val="dka"/>
        <w:numPr>
          <w:ilvl w:val="2"/>
          <w:numId w:val="72"/>
        </w:numPr>
        <w:spacing w:after="0" w:line="240" w:lineRule="auto"/>
        <w:ind w:left="1134" w:hanging="425"/>
        <w:jc w:val="both"/>
      </w:pPr>
      <w:r w:rsidRPr="00917C13">
        <w:t>alt. dostavba a obnova centra ve smyslu a rozsahu původního náměstí, představuje v blízkém časovém období alternativu málo reálnou (fyzická likvidace nevhodných objektů s právě realizovanou kompletní rekonstrukcí);</w:t>
      </w:r>
    </w:p>
    <w:p w14:paraId="3AD50125" w14:textId="77777777" w:rsidR="00147CEE" w:rsidRPr="00917C13" w:rsidRDefault="00147CEE" w:rsidP="00147CEE">
      <w:pPr>
        <w:pStyle w:val="dka"/>
        <w:numPr>
          <w:ilvl w:val="2"/>
          <w:numId w:val="72"/>
        </w:numPr>
        <w:spacing w:after="0" w:line="240" w:lineRule="auto"/>
        <w:ind w:left="1134" w:hanging="425"/>
        <w:jc w:val="both"/>
      </w:pPr>
      <w:r w:rsidRPr="00917C13">
        <w:t>alt. 2 nové funkční a dopravní uspořádání tohoto prostoru respektující současnou situaci, tzn. chápat kostel i dopravní křižovatku jako součást Masarykova náměstí a</w:t>
      </w:r>
      <w:r>
        <w:t> </w:t>
      </w:r>
      <w:r w:rsidRPr="00917C13">
        <w:t>takto jej i v celém komplexu problemat</w:t>
      </w:r>
      <w:r>
        <w:t>iky řešit a postupně realizovat.</w:t>
      </w:r>
    </w:p>
    <w:p w14:paraId="1899BDCA" w14:textId="77777777" w:rsidR="00147CEE" w:rsidRPr="00917C13" w:rsidRDefault="00147CEE" w:rsidP="00147CEE">
      <w:pPr>
        <w:pStyle w:val="Zkladntext"/>
        <w:spacing w:before="120" w:line="288" w:lineRule="auto"/>
        <w:jc w:val="both"/>
        <w:rPr>
          <w:sz w:val="22"/>
          <w:szCs w:val="22"/>
        </w:rPr>
      </w:pPr>
      <w:r w:rsidRPr="00917C13">
        <w:rPr>
          <w:sz w:val="22"/>
          <w:szCs w:val="22"/>
        </w:rPr>
        <w:t xml:space="preserve">Návrh řešení ÚPN doporučuje sledovat alt. 2. </w:t>
      </w:r>
    </w:p>
    <w:p w14:paraId="5D129D96" w14:textId="77777777" w:rsidR="00147CEE" w:rsidRPr="00917C13" w:rsidRDefault="00147CEE" w:rsidP="00147CEE">
      <w:pPr>
        <w:pStyle w:val="Zkladntext"/>
        <w:spacing w:before="120" w:line="288" w:lineRule="auto"/>
        <w:jc w:val="both"/>
        <w:rPr>
          <w:sz w:val="22"/>
          <w:szCs w:val="22"/>
        </w:rPr>
      </w:pPr>
    </w:p>
    <w:p w14:paraId="2E346DF7" w14:textId="77777777" w:rsidR="00147CEE" w:rsidRPr="00BD787D" w:rsidRDefault="00147CEE" w:rsidP="00147CEE">
      <w:pPr>
        <w:pStyle w:val="podnadpis2"/>
        <w:jc w:val="both"/>
        <w:rPr>
          <w:szCs w:val="22"/>
        </w:rPr>
      </w:pPr>
      <w:r>
        <w:rPr>
          <w:szCs w:val="22"/>
        </w:rPr>
        <w:t>Ulice Pohraniční stráže</w:t>
      </w:r>
    </w:p>
    <w:p w14:paraId="2C6B7AD8"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 xml:space="preserve">postupnou dostavbou navržených i realizovaných objektů (Čs. spořitelna, bytové a polyfunkční objekty, středisko maloobchodu) vytvořit z ulice městskou třídu s logickou vazbou na celý prostor "zámeckého náměstí" (nám. u pošty, Fügnerova, zámecké náměstí), objekt KOKOSU - ČVUT chápat jako solitér ve veřejné zeleni. </w:t>
      </w:r>
    </w:p>
    <w:p w14:paraId="32546957" w14:textId="77777777" w:rsidR="00147CEE" w:rsidRPr="00BD787D" w:rsidRDefault="00147CEE" w:rsidP="00147CEE">
      <w:pPr>
        <w:pStyle w:val="Zkladntext"/>
        <w:spacing w:before="120" w:line="288" w:lineRule="auto"/>
        <w:jc w:val="both"/>
        <w:rPr>
          <w:sz w:val="22"/>
          <w:szCs w:val="22"/>
        </w:rPr>
      </w:pPr>
    </w:p>
    <w:p w14:paraId="6B5A0346" w14:textId="77777777" w:rsidR="00147CEE" w:rsidRPr="00BD787D" w:rsidRDefault="00147CEE" w:rsidP="00147CEE">
      <w:pPr>
        <w:pStyle w:val="podnadpis2"/>
        <w:jc w:val="both"/>
        <w:rPr>
          <w:szCs w:val="22"/>
        </w:rPr>
      </w:pPr>
      <w:r>
        <w:rPr>
          <w:szCs w:val="22"/>
        </w:rPr>
        <w:t>Areál zámku</w:t>
      </w:r>
    </w:p>
    <w:p w14:paraId="773C7802"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historický významný areál (zámek, zahrady, přidružené objekty a plochy, pavilon, sýpka - kolej, CHKO, Dlouhá jízda) s dominantní polohou na ostrohu a nad soutokem Labe a Ploučnice komplexně dle přijatého a odsouhlaseného záměru rekonstruovat (společensko kulturní centrum města, kultura, veřejné ubytování), komunikačně zpřístupnit z ul. U plovárny, pro pěší pak z ul. Křížové a Zámecké (výtah);</w:t>
      </w:r>
    </w:p>
    <w:p w14:paraId="65D4CE00"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dostavbou a přestavbou areálu sledovat i funkční a prostorové propojení s prostorem Masarykova náměstí, nábřežím na pravém břehu Labe a prostorem zámeckého rybníka (dostavba Fügnerova, úprava břehů, zeleň, lodičky) a letního koupaliště.</w:t>
      </w:r>
    </w:p>
    <w:p w14:paraId="2FEFB7C8" w14:textId="77777777" w:rsidR="00147CEE" w:rsidRPr="00BD787D" w:rsidRDefault="00147CEE" w:rsidP="00147CEE">
      <w:pPr>
        <w:pStyle w:val="Zkladntext"/>
        <w:spacing w:before="120" w:line="288" w:lineRule="auto"/>
        <w:jc w:val="both"/>
        <w:rPr>
          <w:sz w:val="22"/>
          <w:szCs w:val="22"/>
        </w:rPr>
      </w:pPr>
    </w:p>
    <w:p w14:paraId="1A6A4F12" w14:textId="77777777" w:rsidR="00147CEE" w:rsidRPr="00BD787D" w:rsidRDefault="00147CEE" w:rsidP="00147CEE">
      <w:pPr>
        <w:pStyle w:val="podnadpis2"/>
        <w:jc w:val="both"/>
        <w:rPr>
          <w:szCs w:val="22"/>
        </w:rPr>
      </w:pPr>
      <w:r w:rsidRPr="00BD787D">
        <w:rPr>
          <w:szCs w:val="22"/>
        </w:rPr>
        <w:t>Pravé předmostí</w:t>
      </w:r>
    </w:p>
    <w:p w14:paraId="7B683017"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 xml:space="preserve">tento rozsáhlý prostor při soutoku Labe a Ploučnice představuje nejrozsáhlejší územní rezervy centrální části města na pravém břehu Labe, jednoznačně vymezený vodotečemi, tratí ČD a </w:t>
      </w:r>
      <w:r>
        <w:rPr>
          <w:sz w:val="22"/>
          <w:szCs w:val="22"/>
        </w:rPr>
        <w:t>městskými komunikacemi;</w:t>
      </w:r>
    </w:p>
    <w:p w14:paraId="6709D84A"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lastRenderedPageBreak/>
        <w:t>navržené řešení jednoznačně upřednostňuje funkce městského parku (veřejná zeleň, sportovní zařízení, arboretum, pěší a cyklistické trasy, přívoz), celoměstské vybavenosti (plavecká hala, integrovaný záchranný systém + PHM, nákupní středisko) a trvalého bydlení (vila domy - stavební dvůr Trabalka, dostavba nám. 5. května jako nástupního prostoru do</w:t>
      </w:r>
      <w:r>
        <w:rPr>
          <w:sz w:val="22"/>
          <w:szCs w:val="22"/>
        </w:rPr>
        <w:t> Starého Města.</w:t>
      </w:r>
    </w:p>
    <w:p w14:paraId="7FBB8B7C" w14:textId="77777777" w:rsidR="00147CEE" w:rsidRPr="00BD787D" w:rsidRDefault="00147CEE" w:rsidP="00147CEE">
      <w:pPr>
        <w:pStyle w:val="Zkladntext"/>
        <w:spacing w:before="120" w:line="288" w:lineRule="auto"/>
        <w:jc w:val="both"/>
        <w:rPr>
          <w:sz w:val="22"/>
          <w:szCs w:val="22"/>
        </w:rPr>
      </w:pPr>
    </w:p>
    <w:p w14:paraId="58E316DF" w14:textId="77777777" w:rsidR="00147CEE" w:rsidRPr="00BD787D" w:rsidRDefault="00147CEE" w:rsidP="00147CEE">
      <w:pPr>
        <w:pStyle w:val="podnadpis2"/>
        <w:jc w:val="both"/>
        <w:rPr>
          <w:szCs w:val="22"/>
        </w:rPr>
      </w:pPr>
      <w:r w:rsidRPr="00BD787D">
        <w:rPr>
          <w:szCs w:val="22"/>
        </w:rPr>
        <w:t>levé před</w:t>
      </w:r>
      <w:r>
        <w:rPr>
          <w:szCs w:val="22"/>
        </w:rPr>
        <w:t>mostí</w:t>
      </w:r>
    </w:p>
    <w:p w14:paraId="1AF1488C"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tento rozsáhlý prostor při soutoku Labe a Jílovského potoka představuje rozsáhlé území v</w:t>
      </w:r>
      <w:r>
        <w:rPr>
          <w:sz w:val="22"/>
          <w:szCs w:val="22"/>
        </w:rPr>
        <w:t> </w:t>
      </w:r>
      <w:r w:rsidRPr="00BD787D">
        <w:rPr>
          <w:sz w:val="22"/>
          <w:szCs w:val="22"/>
        </w:rPr>
        <w:t>centrální části města na levém břehu Labe, jednoznačně vymezený vodotečemi, tratí ČD a městskými komunikacemi je nutno považovat za hlavní nástupní prost</w:t>
      </w:r>
      <w:r>
        <w:rPr>
          <w:sz w:val="22"/>
          <w:szCs w:val="22"/>
        </w:rPr>
        <w:t>or do města;</w:t>
      </w:r>
    </w:p>
    <w:p w14:paraId="3578ED0A"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navržené řešení jednoznačně upřednostňuje funkce městského parku (veřejná zeleň, pěší a</w:t>
      </w:r>
      <w:r>
        <w:rPr>
          <w:sz w:val="22"/>
          <w:szCs w:val="22"/>
        </w:rPr>
        <w:t> </w:t>
      </w:r>
      <w:r w:rsidRPr="00BD787D">
        <w:rPr>
          <w:sz w:val="22"/>
          <w:szCs w:val="22"/>
        </w:rPr>
        <w:t>cyklistické trasy, přívoz), celoměstského sportovního areálu ( kopaná, lehká atletika, tenis, sportovní hala + technické zázemí, parkoviště), služeb pro motoristy, kapacitní parkoviště pro centrum, nové dopravní uspořádání ( silnice I/13, rekonstrukce "pětimostí", přestavba nádraží ČD s podchodem)</w:t>
      </w:r>
      <w:r>
        <w:rPr>
          <w:sz w:val="22"/>
          <w:szCs w:val="22"/>
        </w:rPr>
        <w:t>.</w:t>
      </w:r>
    </w:p>
    <w:p w14:paraId="7B2A6BBA" w14:textId="77777777" w:rsidR="00147CEE" w:rsidRPr="00BD787D" w:rsidRDefault="00147CEE" w:rsidP="00147CEE">
      <w:pPr>
        <w:pStyle w:val="Zkladntext"/>
        <w:spacing w:before="120" w:line="288" w:lineRule="auto"/>
        <w:jc w:val="both"/>
        <w:rPr>
          <w:sz w:val="22"/>
          <w:szCs w:val="22"/>
        </w:rPr>
      </w:pPr>
    </w:p>
    <w:p w14:paraId="2573A945" w14:textId="77777777" w:rsidR="00147CEE" w:rsidRPr="00BD787D" w:rsidRDefault="00147CEE" w:rsidP="00147CEE">
      <w:pPr>
        <w:pStyle w:val="podnadpis2"/>
        <w:jc w:val="both"/>
        <w:rPr>
          <w:szCs w:val="22"/>
        </w:rPr>
      </w:pPr>
      <w:r>
        <w:rPr>
          <w:szCs w:val="22"/>
        </w:rPr>
        <w:t>nemocnice - Kamenická</w:t>
      </w:r>
    </w:p>
    <w:p w14:paraId="613188B7"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zásadní koncepční myšlenkou je jednak rozvoj obytného území (malometrážní byty na</w:t>
      </w:r>
      <w:r>
        <w:rPr>
          <w:sz w:val="22"/>
          <w:szCs w:val="22"/>
        </w:rPr>
        <w:t> </w:t>
      </w:r>
      <w:r w:rsidRPr="00BD787D">
        <w:rPr>
          <w:sz w:val="22"/>
          <w:szCs w:val="22"/>
        </w:rPr>
        <w:t>ploše stávající zahrádkářské osady), založení veřejného parku a parku nemocnice (zahrádkářská osada) s komunikačním pro</w:t>
      </w:r>
      <w:r>
        <w:rPr>
          <w:sz w:val="22"/>
          <w:szCs w:val="22"/>
        </w:rPr>
        <w:t>pojením ul. Kamenické a Lužické;</w:t>
      </w:r>
    </w:p>
    <w:p w14:paraId="4456CDB7"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a ploše likvidovaného topného zdroje je vymeze</w:t>
      </w:r>
      <w:r>
        <w:rPr>
          <w:sz w:val="22"/>
          <w:szCs w:val="22"/>
        </w:rPr>
        <w:t>na plocha pro služby a komerci.</w:t>
      </w:r>
    </w:p>
    <w:p w14:paraId="511EBB46" w14:textId="77777777" w:rsidR="00147CEE" w:rsidRPr="00BD787D" w:rsidRDefault="00147CEE" w:rsidP="00147CEE">
      <w:pPr>
        <w:pStyle w:val="Zkladntext"/>
        <w:spacing w:before="120" w:line="288" w:lineRule="auto"/>
        <w:jc w:val="both"/>
        <w:rPr>
          <w:sz w:val="22"/>
          <w:szCs w:val="22"/>
        </w:rPr>
      </w:pPr>
    </w:p>
    <w:p w14:paraId="23034572" w14:textId="77777777" w:rsidR="00147CEE" w:rsidRPr="00BD787D" w:rsidRDefault="00147CEE" w:rsidP="00147CEE">
      <w:pPr>
        <w:pStyle w:val="podnadpis2"/>
        <w:jc w:val="both"/>
        <w:rPr>
          <w:szCs w:val="22"/>
        </w:rPr>
      </w:pPr>
      <w:r w:rsidRPr="00BD787D">
        <w:rPr>
          <w:szCs w:val="22"/>
        </w:rPr>
        <w:t xml:space="preserve">Folknáře jih </w:t>
      </w:r>
    </w:p>
    <w:p w14:paraId="4F8BF829"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toto území je vymezeno v podstatě Folknářským potokem, ul. Folknářskou a</w:t>
      </w:r>
      <w:r>
        <w:rPr>
          <w:sz w:val="22"/>
          <w:szCs w:val="22"/>
        </w:rPr>
        <w:t> </w:t>
      </w:r>
      <w:r w:rsidRPr="00BD787D">
        <w:rPr>
          <w:sz w:val="22"/>
          <w:szCs w:val="22"/>
        </w:rPr>
        <w:t>ul.</w:t>
      </w:r>
      <w:r>
        <w:rPr>
          <w:sz w:val="22"/>
          <w:szCs w:val="22"/>
        </w:rPr>
        <w:t> </w:t>
      </w:r>
      <w:r w:rsidRPr="00BD787D">
        <w:rPr>
          <w:sz w:val="22"/>
          <w:szCs w:val="22"/>
        </w:rPr>
        <w:t>Benešovskou</w:t>
      </w:r>
      <w:r>
        <w:rPr>
          <w:sz w:val="22"/>
          <w:szCs w:val="22"/>
        </w:rPr>
        <w:t>;</w:t>
      </w:r>
    </w:p>
    <w:p w14:paraId="47BC1D41" w14:textId="77777777" w:rsidR="00147CEE" w:rsidRDefault="00147CEE" w:rsidP="00147CEE">
      <w:pPr>
        <w:pStyle w:val="Znaka1"/>
        <w:numPr>
          <w:ilvl w:val="0"/>
          <w:numId w:val="71"/>
        </w:numPr>
        <w:spacing w:before="120" w:line="288" w:lineRule="auto"/>
        <w:ind w:left="425" w:hanging="357"/>
        <w:jc w:val="both"/>
        <w:rPr>
          <w:sz w:val="22"/>
          <w:szCs w:val="22"/>
        </w:rPr>
      </w:pPr>
      <w:r w:rsidRPr="00BD787D">
        <w:rPr>
          <w:sz w:val="22"/>
          <w:szCs w:val="22"/>
        </w:rPr>
        <w:t xml:space="preserve">navržené území upřednostňuje tento prostor pro rozšíření obytného a výrobního (CZT), území, rozšíření areálu hřbitova s parkovištěm s novým dopravním uspořádáním (I/13, Folknářská </w:t>
      </w:r>
      <w:r>
        <w:rPr>
          <w:sz w:val="22"/>
          <w:szCs w:val="22"/>
        </w:rPr>
        <w:t>spojka).</w:t>
      </w:r>
    </w:p>
    <w:p w14:paraId="16BB10B8" w14:textId="77777777" w:rsidR="00CE65DF" w:rsidRPr="00BD787D" w:rsidRDefault="00CE65DF" w:rsidP="00CE65DF">
      <w:pPr>
        <w:pStyle w:val="Znaka1"/>
        <w:spacing w:before="120" w:line="288" w:lineRule="auto"/>
        <w:ind w:left="425"/>
        <w:jc w:val="both"/>
        <w:rPr>
          <w:sz w:val="22"/>
          <w:szCs w:val="22"/>
        </w:rPr>
      </w:pPr>
    </w:p>
    <w:p w14:paraId="217D2EF9" w14:textId="77777777" w:rsidR="00147CEE" w:rsidRPr="00BD787D" w:rsidRDefault="00147CEE" w:rsidP="00147CEE">
      <w:pPr>
        <w:pStyle w:val="podnadpis2"/>
        <w:jc w:val="both"/>
        <w:rPr>
          <w:szCs w:val="22"/>
        </w:rPr>
      </w:pPr>
      <w:r w:rsidRPr="00BD787D">
        <w:rPr>
          <w:szCs w:val="22"/>
        </w:rPr>
        <w:t xml:space="preserve">U kaple - Bažantnice </w:t>
      </w:r>
    </w:p>
    <w:p w14:paraId="5A7FCEE9"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jedná se o území s nejlepšími předpoklady pro založení obvodového lesoparku s využitím stávajících vhodných ploch, zahrnujících, jak areál kina Bažantnice (nutná rekonstrukce),</w:t>
      </w:r>
      <w:r>
        <w:rPr>
          <w:sz w:val="22"/>
          <w:szCs w:val="22"/>
        </w:rPr>
        <w:t xml:space="preserve"> </w:t>
      </w:r>
      <w:r w:rsidRPr="00BD787D">
        <w:rPr>
          <w:sz w:val="22"/>
          <w:szCs w:val="22"/>
        </w:rPr>
        <w:t xml:space="preserve">lokalitu U kaple, tak sportovní areál mládeže v Želenicích (bicros, víceúčelové hřiště) </w:t>
      </w:r>
    </w:p>
    <w:p w14:paraId="7431B348"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 xml:space="preserve">tento prostor je kompozičně rozdělen ul. Jiřího z Poděbrad, funkčně posílené výstavbou polyfunkčních obytných objektů </w:t>
      </w:r>
    </w:p>
    <w:p w14:paraId="31B7CDEA" w14:textId="77777777" w:rsidR="00147CEE" w:rsidRDefault="00147CEE" w:rsidP="00147CEE">
      <w:pPr>
        <w:pStyle w:val="Zkladntext"/>
        <w:spacing w:before="120" w:line="288" w:lineRule="auto"/>
        <w:jc w:val="both"/>
        <w:rPr>
          <w:sz w:val="22"/>
          <w:szCs w:val="22"/>
        </w:rPr>
      </w:pPr>
    </w:p>
    <w:p w14:paraId="73634E1D" w14:textId="77777777" w:rsidR="00CE65DF" w:rsidRDefault="00CE65DF" w:rsidP="00147CEE">
      <w:pPr>
        <w:pStyle w:val="Zkladntext"/>
        <w:spacing w:before="120" w:line="288" w:lineRule="auto"/>
        <w:jc w:val="both"/>
        <w:rPr>
          <w:sz w:val="22"/>
          <w:szCs w:val="22"/>
        </w:rPr>
      </w:pPr>
    </w:p>
    <w:p w14:paraId="43B8B302" w14:textId="77777777" w:rsidR="00CE65DF" w:rsidRPr="00BD787D" w:rsidRDefault="00CE65DF" w:rsidP="00147CEE">
      <w:pPr>
        <w:pStyle w:val="Zkladntext"/>
        <w:spacing w:before="120" w:line="288" w:lineRule="auto"/>
        <w:jc w:val="both"/>
        <w:rPr>
          <w:sz w:val="22"/>
          <w:szCs w:val="22"/>
        </w:rPr>
      </w:pPr>
    </w:p>
    <w:p w14:paraId="1FB832F6" w14:textId="77777777" w:rsidR="00147CEE" w:rsidRPr="00BD787D" w:rsidRDefault="00147CEE" w:rsidP="00147CEE">
      <w:pPr>
        <w:pStyle w:val="podnadpis2"/>
        <w:jc w:val="both"/>
        <w:rPr>
          <w:szCs w:val="22"/>
        </w:rPr>
      </w:pPr>
      <w:r w:rsidRPr="00BD787D">
        <w:rPr>
          <w:szCs w:val="22"/>
        </w:rPr>
        <w:lastRenderedPageBreak/>
        <w:t xml:space="preserve">Boletice n. L. </w:t>
      </w:r>
    </w:p>
    <w:p w14:paraId="7887DC08"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představují významný sektor charakteristický všemi formami bydlení a existencí podnikatelsk</w:t>
      </w:r>
      <w:r>
        <w:rPr>
          <w:sz w:val="22"/>
          <w:szCs w:val="22"/>
        </w:rPr>
        <w:t>ých aktivit ekonomické základny;</w:t>
      </w:r>
    </w:p>
    <w:p w14:paraId="0F1128DA"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navržené řešení respektuje všechny stabilní plochy a objekty, nevhodné (garáže) při městské třídě - ul. Vítězství, navrhuje likvidovat s dislokací na náhradní plochy při trati ČD a</w:t>
      </w:r>
      <w:r>
        <w:rPr>
          <w:sz w:val="22"/>
          <w:szCs w:val="22"/>
        </w:rPr>
        <w:t> </w:t>
      </w:r>
      <w:r w:rsidRPr="00BD787D">
        <w:rPr>
          <w:sz w:val="22"/>
          <w:szCs w:val="22"/>
        </w:rPr>
        <w:t>takto uvolněný prostor při městském parku potom dosta</w:t>
      </w:r>
      <w:r>
        <w:rPr>
          <w:sz w:val="22"/>
          <w:szCs w:val="22"/>
        </w:rPr>
        <w:t>vět obytnými polyfunkčními domy;</w:t>
      </w:r>
    </w:p>
    <w:p w14:paraId="2058F61C" w14:textId="77777777" w:rsidR="00147CEE" w:rsidRPr="00BD787D" w:rsidRDefault="00147CEE" w:rsidP="00147CEE">
      <w:pPr>
        <w:pStyle w:val="Znaka1"/>
        <w:numPr>
          <w:ilvl w:val="0"/>
          <w:numId w:val="71"/>
        </w:numPr>
        <w:spacing w:before="120" w:line="288" w:lineRule="auto"/>
        <w:ind w:left="425" w:hanging="357"/>
        <w:jc w:val="both"/>
        <w:rPr>
          <w:sz w:val="22"/>
          <w:szCs w:val="22"/>
        </w:rPr>
      </w:pPr>
      <w:r w:rsidRPr="00BD787D">
        <w:rPr>
          <w:sz w:val="22"/>
          <w:szCs w:val="22"/>
        </w:rPr>
        <w:t>ostatní navržená zástavba jednoznačně využívá přilehlé plochy zástavby současné (rodinné domy, bytové domy, celoměstská vybavenost, parkovací plochy, zeleň)</w:t>
      </w:r>
      <w:r>
        <w:rPr>
          <w:sz w:val="22"/>
          <w:szCs w:val="22"/>
        </w:rPr>
        <w:t>.</w:t>
      </w:r>
    </w:p>
    <w:p w14:paraId="0FE64B85" w14:textId="77777777" w:rsidR="00147CEE" w:rsidRPr="00BD787D" w:rsidRDefault="00147CEE" w:rsidP="00147CEE">
      <w:pPr>
        <w:pStyle w:val="Zkladntext"/>
        <w:spacing w:before="120" w:line="288" w:lineRule="auto"/>
        <w:jc w:val="both"/>
        <w:rPr>
          <w:sz w:val="22"/>
          <w:szCs w:val="22"/>
        </w:rPr>
      </w:pPr>
    </w:p>
    <w:p w14:paraId="10EBDB67" w14:textId="77777777" w:rsidR="00147CEE" w:rsidRPr="00BD787D" w:rsidRDefault="00147CEE" w:rsidP="00147CEE">
      <w:pPr>
        <w:pStyle w:val="podnadpis2"/>
        <w:jc w:val="both"/>
        <w:rPr>
          <w:szCs w:val="22"/>
        </w:rPr>
      </w:pPr>
      <w:r w:rsidRPr="00BD787D">
        <w:rPr>
          <w:szCs w:val="22"/>
        </w:rPr>
        <w:t>ostatní prostory</w:t>
      </w:r>
    </w:p>
    <w:p w14:paraId="434CA6BB" w14:textId="77777777" w:rsidR="00147CEE" w:rsidRPr="00BD787D" w:rsidRDefault="00147CEE" w:rsidP="00147CEE">
      <w:pPr>
        <w:pStyle w:val="Znaka1"/>
        <w:numPr>
          <w:ilvl w:val="1"/>
          <w:numId w:val="74"/>
        </w:numPr>
        <w:spacing w:before="120" w:line="288" w:lineRule="auto"/>
        <w:ind w:left="426"/>
        <w:jc w:val="both"/>
        <w:rPr>
          <w:sz w:val="22"/>
          <w:szCs w:val="22"/>
        </w:rPr>
      </w:pPr>
      <w:r w:rsidRPr="00BD787D">
        <w:rPr>
          <w:b/>
          <w:bCs/>
          <w:sz w:val="22"/>
          <w:szCs w:val="22"/>
        </w:rPr>
        <w:t>Bynov</w:t>
      </w:r>
      <w:r w:rsidRPr="00BD787D">
        <w:rPr>
          <w:sz w:val="22"/>
          <w:szCs w:val="22"/>
        </w:rPr>
        <w:t xml:space="preserve">, </w:t>
      </w:r>
      <w:r w:rsidRPr="00BD787D">
        <w:rPr>
          <w:b/>
          <w:bCs/>
          <w:sz w:val="22"/>
          <w:szCs w:val="22"/>
        </w:rPr>
        <w:t>Březiny</w:t>
      </w:r>
      <w:r w:rsidRPr="00BD787D">
        <w:rPr>
          <w:sz w:val="22"/>
          <w:szCs w:val="22"/>
        </w:rPr>
        <w:t xml:space="preserve"> a</w:t>
      </w:r>
      <w:r w:rsidRPr="00BD787D">
        <w:rPr>
          <w:b/>
          <w:bCs/>
          <w:sz w:val="22"/>
          <w:szCs w:val="22"/>
        </w:rPr>
        <w:t xml:space="preserve"> Letná</w:t>
      </w:r>
      <w:r w:rsidRPr="00BD787D">
        <w:rPr>
          <w:sz w:val="22"/>
          <w:szCs w:val="22"/>
        </w:rPr>
        <w:t xml:space="preserve"> jsou prostorově i funkčně zachovány</w:t>
      </w:r>
      <w:r>
        <w:rPr>
          <w:sz w:val="22"/>
          <w:szCs w:val="22"/>
        </w:rPr>
        <w:t>;</w:t>
      </w:r>
    </w:p>
    <w:p w14:paraId="6EA52321" w14:textId="77777777" w:rsidR="00147CEE" w:rsidRPr="00BD787D" w:rsidRDefault="00147CEE" w:rsidP="00147CEE">
      <w:pPr>
        <w:pStyle w:val="Znaka1"/>
        <w:numPr>
          <w:ilvl w:val="0"/>
          <w:numId w:val="73"/>
        </w:numPr>
        <w:spacing w:before="120" w:line="288" w:lineRule="auto"/>
        <w:ind w:left="426" w:hanging="357"/>
        <w:jc w:val="both"/>
        <w:rPr>
          <w:sz w:val="22"/>
          <w:szCs w:val="22"/>
        </w:rPr>
      </w:pPr>
      <w:r w:rsidRPr="00BD787D">
        <w:rPr>
          <w:b/>
          <w:bCs/>
          <w:sz w:val="22"/>
          <w:szCs w:val="22"/>
        </w:rPr>
        <w:t>Čechy</w:t>
      </w:r>
      <w:r w:rsidRPr="00BD787D">
        <w:rPr>
          <w:sz w:val="22"/>
          <w:szCs w:val="22"/>
        </w:rPr>
        <w:t xml:space="preserve">, </w:t>
      </w:r>
      <w:r w:rsidRPr="00BD787D">
        <w:rPr>
          <w:b/>
          <w:bCs/>
          <w:sz w:val="22"/>
          <w:szCs w:val="22"/>
        </w:rPr>
        <w:t>Jalůvčí</w:t>
      </w:r>
      <w:r w:rsidRPr="00BD787D">
        <w:rPr>
          <w:sz w:val="22"/>
          <w:szCs w:val="22"/>
        </w:rPr>
        <w:t xml:space="preserve">, </w:t>
      </w:r>
      <w:r w:rsidRPr="00BD787D">
        <w:rPr>
          <w:b/>
          <w:bCs/>
          <w:sz w:val="22"/>
          <w:szCs w:val="22"/>
        </w:rPr>
        <w:t>Bělá</w:t>
      </w:r>
      <w:r w:rsidRPr="00BD787D">
        <w:rPr>
          <w:sz w:val="22"/>
          <w:szCs w:val="22"/>
        </w:rPr>
        <w:t xml:space="preserve">, </w:t>
      </w:r>
      <w:r w:rsidRPr="00BD787D">
        <w:rPr>
          <w:b/>
          <w:bCs/>
          <w:sz w:val="22"/>
          <w:szCs w:val="22"/>
        </w:rPr>
        <w:t>Škrabky</w:t>
      </w:r>
      <w:r w:rsidRPr="00BD787D">
        <w:rPr>
          <w:sz w:val="22"/>
          <w:szCs w:val="22"/>
        </w:rPr>
        <w:t xml:space="preserve">, </w:t>
      </w:r>
      <w:r w:rsidRPr="00BD787D">
        <w:rPr>
          <w:b/>
          <w:bCs/>
          <w:sz w:val="22"/>
          <w:szCs w:val="22"/>
        </w:rPr>
        <w:t>Václavov</w:t>
      </w:r>
      <w:r w:rsidRPr="00BD787D">
        <w:rPr>
          <w:sz w:val="22"/>
          <w:szCs w:val="22"/>
        </w:rPr>
        <w:t>,</w:t>
      </w:r>
      <w:r w:rsidRPr="00BD787D">
        <w:rPr>
          <w:b/>
          <w:bCs/>
          <w:sz w:val="22"/>
          <w:szCs w:val="22"/>
        </w:rPr>
        <w:t xml:space="preserve"> Chrochvice</w:t>
      </w:r>
      <w:r w:rsidRPr="00BD787D">
        <w:rPr>
          <w:sz w:val="22"/>
          <w:szCs w:val="22"/>
        </w:rPr>
        <w:t xml:space="preserve"> a </w:t>
      </w:r>
      <w:r w:rsidRPr="00BD787D">
        <w:rPr>
          <w:b/>
          <w:bCs/>
          <w:sz w:val="22"/>
          <w:szCs w:val="22"/>
        </w:rPr>
        <w:t>Křešice</w:t>
      </w:r>
      <w:r w:rsidRPr="00BD787D">
        <w:rPr>
          <w:sz w:val="22"/>
          <w:szCs w:val="22"/>
        </w:rPr>
        <w:t xml:space="preserve"> představují nosná území pro </w:t>
      </w:r>
      <w:r>
        <w:rPr>
          <w:sz w:val="22"/>
          <w:szCs w:val="22"/>
        </w:rPr>
        <w:t>individuelní rodinnou výstavbu;</w:t>
      </w:r>
    </w:p>
    <w:p w14:paraId="5041A8F7" w14:textId="77777777" w:rsidR="00147CEE" w:rsidRPr="00BD787D" w:rsidRDefault="00147CEE" w:rsidP="00147CEE">
      <w:pPr>
        <w:pStyle w:val="Znaka1"/>
        <w:numPr>
          <w:ilvl w:val="0"/>
          <w:numId w:val="73"/>
        </w:numPr>
        <w:spacing w:before="120" w:line="288" w:lineRule="auto"/>
        <w:ind w:left="426" w:hanging="357"/>
        <w:jc w:val="both"/>
        <w:rPr>
          <w:sz w:val="22"/>
          <w:szCs w:val="22"/>
        </w:rPr>
      </w:pPr>
      <w:r w:rsidRPr="00BD787D">
        <w:rPr>
          <w:b/>
          <w:bCs/>
          <w:sz w:val="22"/>
          <w:szCs w:val="22"/>
        </w:rPr>
        <w:t>Rozbělesy, Dolní Oldřichov, Benešovská - východní nádraží, Staré Město, Křešice a</w:t>
      </w:r>
      <w:r>
        <w:rPr>
          <w:b/>
          <w:bCs/>
          <w:sz w:val="22"/>
          <w:szCs w:val="22"/>
        </w:rPr>
        <w:t> </w:t>
      </w:r>
      <w:r w:rsidRPr="00BD787D">
        <w:rPr>
          <w:b/>
          <w:bCs/>
          <w:sz w:val="22"/>
          <w:szCs w:val="22"/>
        </w:rPr>
        <w:t>Boletice n.</w:t>
      </w:r>
      <w:r w:rsidRPr="00BD787D">
        <w:rPr>
          <w:sz w:val="22"/>
          <w:szCs w:val="22"/>
        </w:rPr>
        <w:t xml:space="preserve"> </w:t>
      </w:r>
      <w:r w:rsidRPr="00BD787D">
        <w:rPr>
          <w:b/>
          <w:bCs/>
          <w:sz w:val="22"/>
          <w:szCs w:val="22"/>
        </w:rPr>
        <w:t>L.</w:t>
      </w:r>
      <w:r w:rsidRPr="00BD787D">
        <w:rPr>
          <w:sz w:val="22"/>
          <w:szCs w:val="22"/>
        </w:rPr>
        <w:t xml:space="preserve"> jsou prostorově i funkčně zachovány jako zóny výrobních aktivit. </w:t>
      </w:r>
    </w:p>
    <w:p w14:paraId="01FBEEDD" w14:textId="77777777" w:rsidR="00147CEE" w:rsidRPr="00BD787D" w:rsidRDefault="00147CEE" w:rsidP="00147CEE">
      <w:pPr>
        <w:pStyle w:val="Znaka1"/>
        <w:numPr>
          <w:ilvl w:val="0"/>
          <w:numId w:val="73"/>
        </w:numPr>
        <w:spacing w:before="120" w:line="288" w:lineRule="auto"/>
        <w:ind w:left="426" w:hanging="357"/>
        <w:jc w:val="both"/>
        <w:rPr>
          <w:sz w:val="22"/>
          <w:szCs w:val="22"/>
        </w:rPr>
      </w:pPr>
      <w:r w:rsidRPr="00BD787D">
        <w:rPr>
          <w:sz w:val="22"/>
          <w:szCs w:val="22"/>
        </w:rPr>
        <w:t xml:space="preserve">příměstská </w:t>
      </w:r>
      <w:r w:rsidRPr="00BD787D">
        <w:rPr>
          <w:b/>
          <w:bCs/>
          <w:sz w:val="22"/>
          <w:szCs w:val="22"/>
        </w:rPr>
        <w:t>venkovská zóna</w:t>
      </w:r>
      <w:r w:rsidRPr="00BD787D">
        <w:rPr>
          <w:sz w:val="22"/>
          <w:szCs w:val="22"/>
        </w:rPr>
        <w:t xml:space="preserve"> je v celém komplexu prostorového uspořádání návrhem nedotčena, pro zástavbu v </w:t>
      </w:r>
      <w:r>
        <w:rPr>
          <w:sz w:val="22"/>
          <w:szCs w:val="22"/>
        </w:rPr>
        <w:t>K</w:t>
      </w:r>
      <w:r w:rsidRPr="00BD787D">
        <w:rPr>
          <w:sz w:val="22"/>
          <w:szCs w:val="22"/>
        </w:rPr>
        <w:t>rásném Studenci, Lesné, Horním Chlumu a Velké Veleni jsou vymezeny nevyužívané plochy v SZÚ. Hlavní funkcí zůstává bydlení, rekreace a</w:t>
      </w:r>
      <w:r>
        <w:rPr>
          <w:sz w:val="22"/>
          <w:szCs w:val="22"/>
        </w:rPr>
        <w:t> </w:t>
      </w:r>
      <w:r w:rsidRPr="00BD787D">
        <w:rPr>
          <w:sz w:val="22"/>
          <w:szCs w:val="22"/>
        </w:rPr>
        <w:t>zemědělská výroba</w:t>
      </w:r>
      <w:r>
        <w:rPr>
          <w:sz w:val="22"/>
          <w:szCs w:val="22"/>
        </w:rPr>
        <w:t>;</w:t>
      </w:r>
    </w:p>
    <w:p w14:paraId="390753AD" w14:textId="77777777" w:rsidR="00147CEE" w:rsidRPr="00BD787D" w:rsidRDefault="00147CEE" w:rsidP="00147CEE">
      <w:pPr>
        <w:pStyle w:val="Znaka1"/>
        <w:numPr>
          <w:ilvl w:val="0"/>
          <w:numId w:val="73"/>
        </w:numPr>
        <w:spacing w:before="120" w:line="288" w:lineRule="auto"/>
        <w:ind w:left="426" w:hanging="357"/>
        <w:jc w:val="both"/>
        <w:rPr>
          <w:sz w:val="22"/>
          <w:szCs w:val="22"/>
        </w:rPr>
      </w:pPr>
      <w:r w:rsidRPr="00BD787D">
        <w:rPr>
          <w:sz w:val="22"/>
          <w:szCs w:val="22"/>
        </w:rPr>
        <w:t xml:space="preserve">obytně rekreační lokalita </w:t>
      </w:r>
      <w:r w:rsidRPr="00BD787D">
        <w:rPr>
          <w:b/>
          <w:bCs/>
          <w:sz w:val="22"/>
          <w:szCs w:val="22"/>
        </w:rPr>
        <w:t>Maxičky</w:t>
      </w:r>
      <w:r w:rsidRPr="00BD787D">
        <w:rPr>
          <w:sz w:val="22"/>
          <w:szCs w:val="22"/>
        </w:rPr>
        <w:t xml:space="preserve"> je zachována v plném rozsahu funkčního využití. Jako doplňující prvek je navržena "rekreační louka" (krátkodobá rekreace rodin s dětmi), nová zástavba se nenavrhuje v rozsah</w:t>
      </w:r>
      <w:r>
        <w:rPr>
          <w:sz w:val="22"/>
          <w:szCs w:val="22"/>
        </w:rPr>
        <w:t>u vydaných stavebních povolení;</w:t>
      </w:r>
    </w:p>
    <w:p w14:paraId="6921E0F3" w14:textId="77777777" w:rsidR="00147CEE" w:rsidRPr="00BD787D" w:rsidRDefault="00147CEE" w:rsidP="00147CEE">
      <w:pPr>
        <w:pStyle w:val="Znaka1"/>
        <w:numPr>
          <w:ilvl w:val="0"/>
          <w:numId w:val="73"/>
        </w:numPr>
        <w:spacing w:before="120" w:line="288" w:lineRule="auto"/>
        <w:ind w:left="426" w:hanging="357"/>
        <w:jc w:val="both"/>
        <w:rPr>
          <w:sz w:val="22"/>
          <w:szCs w:val="22"/>
        </w:rPr>
      </w:pPr>
      <w:r w:rsidRPr="00BD787D">
        <w:rPr>
          <w:sz w:val="22"/>
          <w:szCs w:val="22"/>
        </w:rPr>
        <w:t>kaňon řeky Labe (původní zástavba v Prostředním a Dolním Žlebu, biokoridor, doprava) je zachován v plném rozsahu stávajícího funkčního využití, doplněný pouze nezbytnými opatřeními v dopravě (ČD, komunikace, cyklistická stezka, vodní dílo)</w:t>
      </w:r>
      <w:r>
        <w:rPr>
          <w:sz w:val="22"/>
          <w:szCs w:val="22"/>
        </w:rPr>
        <w:t>.</w:t>
      </w:r>
    </w:p>
    <w:p w14:paraId="53BFB799" w14:textId="77777777" w:rsidR="00147CEE" w:rsidRDefault="00147CEE" w:rsidP="00147CEE">
      <w:pPr>
        <w:pStyle w:val="a1"/>
        <w:spacing w:before="120" w:after="0" w:line="288" w:lineRule="auto"/>
        <w:jc w:val="both"/>
        <w:rPr>
          <w:sz w:val="22"/>
          <w:szCs w:val="22"/>
        </w:rPr>
      </w:pPr>
    </w:p>
    <w:p w14:paraId="7CF342F1" w14:textId="77777777" w:rsidR="00147CEE" w:rsidRDefault="00147CEE" w:rsidP="00147CEE">
      <w:pPr>
        <w:pStyle w:val="Podtitul"/>
        <w:rPr>
          <w:lang w:eastAsia="cs-CZ"/>
        </w:rPr>
      </w:pPr>
    </w:p>
    <w:p w14:paraId="1B5C1A01" w14:textId="77777777" w:rsidR="00147CEE" w:rsidRDefault="00147CEE" w:rsidP="00147CEE">
      <w:pPr>
        <w:rPr>
          <w:lang w:eastAsia="cs-CZ"/>
        </w:rPr>
      </w:pPr>
    </w:p>
    <w:p w14:paraId="375E54FB" w14:textId="77777777" w:rsidR="00147CEE" w:rsidRDefault="00147CEE" w:rsidP="00147CEE">
      <w:pPr>
        <w:rPr>
          <w:lang w:eastAsia="cs-CZ"/>
        </w:rPr>
      </w:pPr>
    </w:p>
    <w:p w14:paraId="38EEF900" w14:textId="77777777" w:rsidR="00147CEE" w:rsidRDefault="00147CEE" w:rsidP="00147CEE">
      <w:pPr>
        <w:rPr>
          <w:lang w:eastAsia="cs-CZ"/>
        </w:rPr>
      </w:pPr>
    </w:p>
    <w:p w14:paraId="42D34A58" w14:textId="77777777" w:rsidR="00147CEE" w:rsidRDefault="00147CEE" w:rsidP="00147CEE">
      <w:pPr>
        <w:rPr>
          <w:lang w:eastAsia="cs-CZ"/>
        </w:rPr>
      </w:pPr>
    </w:p>
    <w:p w14:paraId="3ED7E78A" w14:textId="77777777" w:rsidR="00147CEE" w:rsidRDefault="00147CEE" w:rsidP="00147CEE">
      <w:pPr>
        <w:rPr>
          <w:lang w:eastAsia="cs-CZ"/>
        </w:rPr>
      </w:pPr>
    </w:p>
    <w:p w14:paraId="7BDA5D3D" w14:textId="77777777" w:rsidR="00147CEE" w:rsidRDefault="00147CEE" w:rsidP="00147CEE">
      <w:pPr>
        <w:rPr>
          <w:lang w:eastAsia="cs-CZ"/>
        </w:rPr>
      </w:pPr>
    </w:p>
    <w:p w14:paraId="0337F1A3" w14:textId="77777777" w:rsidR="00147CEE" w:rsidRDefault="00147CEE" w:rsidP="00147CEE">
      <w:pPr>
        <w:rPr>
          <w:lang w:eastAsia="cs-CZ"/>
        </w:rPr>
      </w:pPr>
    </w:p>
    <w:p w14:paraId="143DB317" w14:textId="77777777" w:rsidR="00147CEE" w:rsidRDefault="00147CEE" w:rsidP="00147CEE">
      <w:pPr>
        <w:rPr>
          <w:lang w:eastAsia="cs-CZ"/>
        </w:rPr>
      </w:pPr>
    </w:p>
    <w:p w14:paraId="1E0C27AA" w14:textId="77777777" w:rsidR="00147CEE" w:rsidRDefault="00147CEE" w:rsidP="00147CEE">
      <w:pPr>
        <w:rPr>
          <w:lang w:eastAsia="cs-CZ"/>
        </w:rPr>
      </w:pPr>
    </w:p>
    <w:p w14:paraId="535A78FA" w14:textId="77777777" w:rsidR="00147CEE" w:rsidRDefault="00147CEE" w:rsidP="00147CEE">
      <w:pPr>
        <w:rPr>
          <w:lang w:eastAsia="cs-CZ"/>
        </w:rPr>
      </w:pPr>
    </w:p>
    <w:p w14:paraId="50DFEEF4" w14:textId="77777777" w:rsidR="00147CEE" w:rsidRDefault="00147CEE" w:rsidP="00147CEE">
      <w:pPr>
        <w:rPr>
          <w:lang w:eastAsia="cs-CZ"/>
        </w:rPr>
      </w:pPr>
    </w:p>
    <w:p w14:paraId="39DEE234" w14:textId="77777777" w:rsidR="00147CEE" w:rsidRDefault="00147CEE" w:rsidP="00147CEE">
      <w:pPr>
        <w:rPr>
          <w:lang w:eastAsia="cs-CZ"/>
        </w:rPr>
      </w:pPr>
    </w:p>
    <w:p w14:paraId="3698BD62" w14:textId="77777777" w:rsidR="00147CEE" w:rsidRDefault="00147CEE" w:rsidP="00147CEE">
      <w:pPr>
        <w:rPr>
          <w:lang w:eastAsia="cs-CZ"/>
        </w:rPr>
      </w:pPr>
    </w:p>
    <w:p w14:paraId="1CA61FF0" w14:textId="77777777" w:rsidR="00147CEE" w:rsidRDefault="00147CEE" w:rsidP="00147CEE">
      <w:pPr>
        <w:pStyle w:val="podnadpis1"/>
        <w:keepNext/>
        <w:jc w:val="both"/>
      </w:pPr>
      <w:r>
        <w:lastRenderedPageBreak/>
        <w:t>j2.  funkční zónování</w:t>
      </w:r>
    </w:p>
    <w:p w14:paraId="2C23EAAB" w14:textId="77777777" w:rsidR="00147CEE" w:rsidRPr="00EA0C80" w:rsidRDefault="00147CEE" w:rsidP="00147CEE">
      <w:pPr>
        <w:pStyle w:val="a1"/>
        <w:spacing w:before="120" w:after="0" w:line="288" w:lineRule="auto"/>
        <w:jc w:val="both"/>
        <w:rPr>
          <w:sz w:val="22"/>
          <w:szCs w:val="22"/>
        </w:rPr>
      </w:pPr>
    </w:p>
    <w:p w14:paraId="78EE6999" w14:textId="77777777" w:rsidR="00147CEE" w:rsidRPr="007C6EC1" w:rsidRDefault="00147CEE" w:rsidP="00147CEE">
      <w:pPr>
        <w:pStyle w:val="dka"/>
        <w:jc w:val="both"/>
        <w:rPr>
          <w:sz w:val="24"/>
          <w:szCs w:val="24"/>
        </w:rPr>
      </w:pPr>
      <w:r w:rsidRPr="007C6EC1">
        <w:rPr>
          <w:b/>
          <w:bCs/>
          <w:caps/>
          <w:sz w:val="24"/>
          <w:szCs w:val="24"/>
        </w:rPr>
        <w:t>Cílem návrhu funkčního využití - zónování je:</w:t>
      </w:r>
    </w:p>
    <w:p w14:paraId="6D561DB9"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sz w:val="22"/>
          <w:szCs w:val="22"/>
        </w:rPr>
        <w:t>stanovit diferencované podmínky rozvoje jednotlivých charakteristických prostorů - zón města (funkce dominantní, vhodná, přípustná, nevhodná)</w:t>
      </w:r>
      <w:r>
        <w:rPr>
          <w:sz w:val="22"/>
          <w:szCs w:val="22"/>
        </w:rPr>
        <w:t>;</w:t>
      </w:r>
    </w:p>
    <w:p w14:paraId="1BBF27E3"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sz w:val="22"/>
          <w:szCs w:val="22"/>
        </w:rPr>
        <w:t>funkčně, účelně, ekonomicky, hygienicky a ekologicky</w:t>
      </w:r>
      <w:r>
        <w:rPr>
          <w:sz w:val="22"/>
          <w:szCs w:val="22"/>
        </w:rPr>
        <w:t xml:space="preserve"> výhledově využívat území města;</w:t>
      </w:r>
    </w:p>
    <w:p w14:paraId="0F69F5AD"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sz w:val="22"/>
          <w:szCs w:val="22"/>
        </w:rPr>
        <w:t>základním způsobem regulovat jeho rozvoj jako celku, tak i</w:t>
      </w:r>
      <w:r>
        <w:rPr>
          <w:sz w:val="22"/>
          <w:szCs w:val="22"/>
        </w:rPr>
        <w:t xml:space="preserve"> jeho městských částí – sektorů;</w:t>
      </w:r>
    </w:p>
    <w:p w14:paraId="6F02A8E3"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sz w:val="22"/>
          <w:szCs w:val="22"/>
        </w:rPr>
        <w:t>členit území města na polyfunkční (objekty, plochy) a monofunkční (objekty, plochy)</w:t>
      </w:r>
      <w:r>
        <w:rPr>
          <w:sz w:val="22"/>
          <w:szCs w:val="22"/>
        </w:rPr>
        <w:t>;</w:t>
      </w:r>
    </w:p>
    <w:p w14:paraId="541611C3"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sz w:val="22"/>
          <w:szCs w:val="22"/>
        </w:rPr>
        <w:t>chránit historické hodnoty struktury města, jeho ojedinělý dynamický přírodní reliéf a</w:t>
      </w:r>
      <w:r>
        <w:rPr>
          <w:sz w:val="22"/>
          <w:szCs w:val="22"/>
        </w:rPr>
        <w:t> </w:t>
      </w:r>
      <w:r w:rsidRPr="005B2056">
        <w:rPr>
          <w:sz w:val="22"/>
          <w:szCs w:val="22"/>
        </w:rPr>
        <w:t>ekologickou stabilitu</w:t>
      </w:r>
      <w:r>
        <w:rPr>
          <w:sz w:val="22"/>
          <w:szCs w:val="22"/>
        </w:rPr>
        <w:t>;</w:t>
      </w:r>
    </w:p>
    <w:p w14:paraId="6DB44512"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sz w:val="22"/>
          <w:szCs w:val="22"/>
        </w:rPr>
        <w:t>zdůraznit funkci centrální části, rehabilitovat typické městské čtvrti a integrovat hist</w:t>
      </w:r>
      <w:r>
        <w:rPr>
          <w:sz w:val="22"/>
          <w:szCs w:val="22"/>
        </w:rPr>
        <w:t>oricky založený dopravní systém;</w:t>
      </w:r>
    </w:p>
    <w:p w14:paraId="37CABE92"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sz w:val="22"/>
          <w:szCs w:val="22"/>
        </w:rPr>
        <w:t>uplatnit principy prostorové hierarchie, principy ochrany urbanistické struktury i princip</w:t>
      </w:r>
      <w:r>
        <w:rPr>
          <w:sz w:val="22"/>
          <w:szCs w:val="22"/>
        </w:rPr>
        <w:t>y humanizace obytného prostředí.</w:t>
      </w:r>
    </w:p>
    <w:p w14:paraId="77FDCAC4" w14:textId="77777777" w:rsidR="00147CEE" w:rsidRPr="00EA0C80" w:rsidRDefault="00147CEE" w:rsidP="00147CEE">
      <w:pPr>
        <w:pStyle w:val="a1"/>
        <w:spacing w:before="120" w:after="0" w:line="288" w:lineRule="auto"/>
        <w:jc w:val="both"/>
        <w:rPr>
          <w:sz w:val="22"/>
          <w:szCs w:val="22"/>
        </w:rPr>
      </w:pPr>
    </w:p>
    <w:p w14:paraId="5E58B856" w14:textId="77777777" w:rsidR="00147CEE" w:rsidRPr="007C6EC1" w:rsidRDefault="00147CEE" w:rsidP="00147CEE">
      <w:pPr>
        <w:pStyle w:val="dka"/>
        <w:jc w:val="both"/>
        <w:rPr>
          <w:b/>
          <w:bCs/>
          <w:caps/>
          <w:sz w:val="24"/>
          <w:szCs w:val="24"/>
        </w:rPr>
      </w:pPr>
      <w:r w:rsidRPr="007C6EC1">
        <w:rPr>
          <w:b/>
          <w:bCs/>
          <w:caps/>
          <w:sz w:val="24"/>
          <w:szCs w:val="24"/>
        </w:rPr>
        <w:t xml:space="preserve">Cílem návrhu funkčního využití - zónování není: </w:t>
      </w:r>
    </w:p>
    <w:p w14:paraId="0CA4B441"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sz w:val="22"/>
          <w:szCs w:val="22"/>
        </w:rPr>
        <w:t xml:space="preserve">stanovit podrobné závazné regulativy pro lokalizaci areálů či objektů na jednotlivých parcelách </w:t>
      </w:r>
    </w:p>
    <w:p w14:paraId="25A3E281"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sz w:val="22"/>
          <w:szCs w:val="22"/>
        </w:rPr>
        <w:t xml:space="preserve">nahradit regulační plány jednotlivých funkčních zón (centrum, obytné území, výrobní území, rekreační a pod) </w:t>
      </w:r>
    </w:p>
    <w:p w14:paraId="1B352DE1" w14:textId="77777777" w:rsidR="00147CEE" w:rsidRPr="00EA0C80" w:rsidRDefault="00147CEE" w:rsidP="00147CEE">
      <w:pPr>
        <w:pStyle w:val="a1"/>
        <w:spacing w:before="120" w:after="0" w:line="288" w:lineRule="auto"/>
        <w:jc w:val="both"/>
        <w:rPr>
          <w:sz w:val="22"/>
          <w:szCs w:val="22"/>
        </w:rPr>
      </w:pPr>
    </w:p>
    <w:p w14:paraId="622DE15C" w14:textId="77777777" w:rsidR="00147CEE" w:rsidRPr="007C6EC1" w:rsidRDefault="00147CEE" w:rsidP="00147CEE">
      <w:pPr>
        <w:pStyle w:val="dka"/>
        <w:jc w:val="both"/>
        <w:rPr>
          <w:b/>
          <w:bCs/>
          <w:caps/>
          <w:sz w:val="24"/>
          <w:szCs w:val="24"/>
        </w:rPr>
      </w:pPr>
      <w:r w:rsidRPr="007C6EC1">
        <w:rPr>
          <w:b/>
          <w:bCs/>
          <w:caps/>
          <w:sz w:val="24"/>
          <w:szCs w:val="24"/>
        </w:rPr>
        <w:t>Polyfunkční území</w:t>
      </w:r>
    </w:p>
    <w:p w14:paraId="152B7159" w14:textId="77777777" w:rsidR="00147CEE" w:rsidRPr="005B2056" w:rsidRDefault="00147CEE" w:rsidP="00147CEE">
      <w:pPr>
        <w:pStyle w:val="Zkladntext"/>
        <w:spacing w:before="120" w:line="288" w:lineRule="auto"/>
        <w:ind w:firstLine="709"/>
        <w:jc w:val="both"/>
        <w:rPr>
          <w:sz w:val="22"/>
          <w:szCs w:val="22"/>
        </w:rPr>
      </w:pPr>
      <w:r w:rsidRPr="005B2056">
        <w:rPr>
          <w:sz w:val="22"/>
          <w:szCs w:val="22"/>
        </w:rPr>
        <w:t>je charakteristické horizontální i vertikální různorodou skladebností vzájemně se</w:t>
      </w:r>
      <w:r>
        <w:rPr>
          <w:sz w:val="22"/>
          <w:szCs w:val="22"/>
        </w:rPr>
        <w:t> </w:t>
      </w:r>
      <w:r w:rsidRPr="005B2056">
        <w:rPr>
          <w:sz w:val="22"/>
          <w:szCs w:val="22"/>
        </w:rPr>
        <w:t>nevylučujících funkcí (různorod</w:t>
      </w:r>
      <w:r>
        <w:rPr>
          <w:sz w:val="22"/>
          <w:szCs w:val="22"/>
        </w:rPr>
        <w:t>ost, pestrost) - funkce smíšená.</w:t>
      </w:r>
    </w:p>
    <w:p w14:paraId="3EA81E87" w14:textId="77777777" w:rsidR="00147CEE" w:rsidRPr="00EA0C80" w:rsidRDefault="00147CEE" w:rsidP="00147CEE">
      <w:pPr>
        <w:pStyle w:val="a1"/>
        <w:spacing w:before="120" w:after="0" w:line="288" w:lineRule="auto"/>
        <w:jc w:val="both"/>
        <w:rPr>
          <w:sz w:val="22"/>
          <w:szCs w:val="22"/>
        </w:rPr>
      </w:pPr>
    </w:p>
    <w:p w14:paraId="52A7E78D" w14:textId="77777777" w:rsidR="00147CEE" w:rsidRPr="007C6EC1" w:rsidRDefault="00147CEE" w:rsidP="00147CEE">
      <w:pPr>
        <w:pStyle w:val="dka"/>
        <w:jc w:val="both"/>
        <w:rPr>
          <w:b/>
          <w:bCs/>
          <w:caps/>
          <w:sz w:val="24"/>
          <w:szCs w:val="24"/>
        </w:rPr>
      </w:pPr>
      <w:r w:rsidRPr="007C6EC1">
        <w:rPr>
          <w:b/>
          <w:bCs/>
          <w:caps/>
          <w:sz w:val="24"/>
          <w:szCs w:val="24"/>
        </w:rPr>
        <w:t xml:space="preserve">Monofunkční území </w:t>
      </w:r>
    </w:p>
    <w:p w14:paraId="0E6AE325" w14:textId="77777777" w:rsidR="00147CEE" w:rsidRPr="005B2056" w:rsidRDefault="00147CEE" w:rsidP="00147CEE">
      <w:pPr>
        <w:pStyle w:val="Zkladntext"/>
        <w:spacing w:before="120" w:line="288" w:lineRule="auto"/>
        <w:ind w:firstLine="709"/>
        <w:jc w:val="both"/>
        <w:rPr>
          <w:sz w:val="22"/>
          <w:szCs w:val="22"/>
        </w:rPr>
      </w:pPr>
      <w:r w:rsidRPr="005B2056">
        <w:rPr>
          <w:sz w:val="22"/>
          <w:szCs w:val="22"/>
        </w:rPr>
        <w:t>je charakteristické svojí homogenitou jednoho typu funkce, nepřipouštějící až na výjimky v podstatě jiné využití.</w:t>
      </w:r>
    </w:p>
    <w:p w14:paraId="3598AA87" w14:textId="77777777" w:rsidR="00147CEE" w:rsidRPr="00EA0C80" w:rsidRDefault="00147CEE" w:rsidP="00147CEE">
      <w:pPr>
        <w:pStyle w:val="a1"/>
        <w:spacing w:before="120" w:after="0" w:line="288" w:lineRule="auto"/>
        <w:jc w:val="both"/>
        <w:rPr>
          <w:sz w:val="22"/>
          <w:szCs w:val="22"/>
        </w:rPr>
      </w:pPr>
    </w:p>
    <w:p w14:paraId="3CD2DDB3" w14:textId="77777777" w:rsidR="00147CEE" w:rsidRPr="007C6EC1" w:rsidRDefault="00147CEE" w:rsidP="00147CEE">
      <w:pPr>
        <w:pStyle w:val="dka"/>
        <w:jc w:val="both"/>
        <w:rPr>
          <w:b/>
          <w:bCs/>
          <w:caps/>
          <w:sz w:val="24"/>
          <w:szCs w:val="24"/>
        </w:rPr>
      </w:pPr>
      <w:r w:rsidRPr="007C6EC1">
        <w:rPr>
          <w:b/>
          <w:bCs/>
          <w:caps/>
          <w:sz w:val="24"/>
          <w:szCs w:val="24"/>
        </w:rPr>
        <w:t xml:space="preserve">Regulace funkčního využití území </w:t>
      </w:r>
    </w:p>
    <w:p w14:paraId="00900202" w14:textId="77777777" w:rsidR="00147CEE" w:rsidRPr="00EA0C80" w:rsidRDefault="00147CEE" w:rsidP="00147CEE">
      <w:pPr>
        <w:pStyle w:val="a1"/>
        <w:spacing w:before="120" w:after="0" w:line="288" w:lineRule="auto"/>
        <w:jc w:val="both"/>
        <w:rPr>
          <w:sz w:val="22"/>
          <w:szCs w:val="22"/>
        </w:rPr>
      </w:pPr>
    </w:p>
    <w:p w14:paraId="2FA9C25F" w14:textId="77777777" w:rsidR="00147CEE" w:rsidRDefault="00147CEE" w:rsidP="00147CEE">
      <w:pPr>
        <w:pStyle w:val="dka"/>
        <w:jc w:val="both"/>
      </w:pPr>
      <w:r w:rsidRPr="007C6EC1">
        <w:rPr>
          <w:b/>
          <w:caps/>
        </w:rPr>
        <w:t>Z hlediska funkčního využití území a jeho zastavitelnosti je město členěno na</w:t>
      </w:r>
      <w:r>
        <w:rPr>
          <w:b/>
          <w:caps/>
        </w:rPr>
        <w:t>:</w:t>
      </w:r>
    </w:p>
    <w:p w14:paraId="1E928078"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b/>
          <w:sz w:val="22"/>
          <w:szCs w:val="22"/>
        </w:rPr>
        <w:t>území zastavitelné</w:t>
      </w:r>
      <w:r w:rsidRPr="005B2056">
        <w:rPr>
          <w:sz w:val="22"/>
          <w:szCs w:val="22"/>
        </w:rPr>
        <w:t xml:space="preserve"> (urbanizované), zahrnující nově navržené lokality územního rozvoje bydlení, smíšená území, území výroby, dopravy, vybavenosti, rekreace a technické infrastruktury v návrhovém období - 1 - 2. etapa</w:t>
      </w:r>
      <w:r>
        <w:rPr>
          <w:sz w:val="22"/>
          <w:szCs w:val="22"/>
        </w:rPr>
        <w:t>;</w:t>
      </w:r>
    </w:p>
    <w:p w14:paraId="75574548"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b/>
          <w:sz w:val="22"/>
          <w:szCs w:val="22"/>
        </w:rPr>
        <w:lastRenderedPageBreak/>
        <w:t>území nezastavitelné</w:t>
      </w:r>
      <w:r w:rsidRPr="005B2056">
        <w:rPr>
          <w:sz w:val="22"/>
          <w:szCs w:val="22"/>
        </w:rPr>
        <w:t xml:space="preserve"> (neurbanizované), zahrnující území zemědělské výroby, lesního půdního fondu, ostatní krajinné a urbanistické zeleně (ÚSES, přírodní památky, parky, lesoparky, hřbitovy, sady, zahrádkářské osady mi</w:t>
      </w:r>
      <w:r>
        <w:rPr>
          <w:sz w:val="22"/>
          <w:szCs w:val="22"/>
        </w:rPr>
        <w:t>mo zastavěné území města - SZÚ);</w:t>
      </w:r>
    </w:p>
    <w:p w14:paraId="3009E0DE" w14:textId="77777777" w:rsidR="00147CEE" w:rsidRPr="005B2056" w:rsidRDefault="00147CEE" w:rsidP="00147CEE">
      <w:pPr>
        <w:pStyle w:val="Znaka1"/>
        <w:numPr>
          <w:ilvl w:val="0"/>
          <w:numId w:val="73"/>
        </w:numPr>
        <w:spacing w:before="120" w:line="288" w:lineRule="auto"/>
        <w:ind w:left="426" w:hanging="357"/>
        <w:jc w:val="both"/>
        <w:rPr>
          <w:sz w:val="22"/>
          <w:szCs w:val="22"/>
        </w:rPr>
      </w:pPr>
      <w:r w:rsidRPr="005B2056">
        <w:rPr>
          <w:b/>
          <w:sz w:val="22"/>
          <w:szCs w:val="22"/>
        </w:rPr>
        <w:t>území potenciálně zastavitelná</w:t>
      </w:r>
      <w:r w:rsidRPr="005B2056">
        <w:rPr>
          <w:sz w:val="22"/>
          <w:szCs w:val="22"/>
        </w:rPr>
        <w:t xml:space="preserve"> zahrnující všechny výhledové územní rezervy - rozvojové území po návrhovém období</w:t>
      </w:r>
      <w:r>
        <w:rPr>
          <w:sz w:val="22"/>
          <w:szCs w:val="22"/>
        </w:rPr>
        <w:t>.</w:t>
      </w:r>
    </w:p>
    <w:p w14:paraId="060470B4" w14:textId="77777777" w:rsidR="00147CEE" w:rsidRPr="00EA0C80" w:rsidRDefault="00147CEE" w:rsidP="00147CEE">
      <w:pPr>
        <w:pStyle w:val="a1"/>
        <w:spacing w:before="120" w:after="0" w:line="288" w:lineRule="auto"/>
        <w:jc w:val="both"/>
        <w:rPr>
          <w:sz w:val="22"/>
          <w:szCs w:val="22"/>
        </w:rPr>
      </w:pPr>
    </w:p>
    <w:p w14:paraId="73646AE0" w14:textId="77777777" w:rsidR="00147CEE" w:rsidRPr="00EA0C80" w:rsidRDefault="00147CEE" w:rsidP="00147CEE">
      <w:pPr>
        <w:pStyle w:val="Zkladntext"/>
        <w:spacing w:before="120" w:line="288" w:lineRule="auto"/>
        <w:ind w:firstLine="709"/>
        <w:jc w:val="both"/>
        <w:rPr>
          <w:sz w:val="22"/>
          <w:szCs w:val="22"/>
        </w:rPr>
      </w:pPr>
      <w:r w:rsidRPr="00EA0C80">
        <w:rPr>
          <w:b/>
          <w:bCs/>
          <w:sz w:val="22"/>
          <w:szCs w:val="22"/>
        </w:rPr>
        <w:t xml:space="preserve">Regulace území je zpracována graficky v návrhu </w:t>
      </w:r>
      <w:r w:rsidRPr="00EA0C80">
        <w:rPr>
          <w:rFonts w:cs="Arial"/>
          <w:b/>
          <w:bCs/>
          <w:sz w:val="22"/>
          <w:szCs w:val="22"/>
        </w:rPr>
        <w:t xml:space="preserve">"hlavního výkresu 1:10 000 </w:t>
      </w:r>
      <w:r>
        <w:rPr>
          <w:rFonts w:cs="Arial"/>
          <w:b/>
          <w:bCs/>
          <w:sz w:val="22"/>
          <w:szCs w:val="22"/>
        </w:rPr>
        <w:br/>
      </w:r>
      <w:r w:rsidRPr="00EA0C80">
        <w:rPr>
          <w:rFonts w:cs="Arial"/>
          <w:b/>
          <w:bCs/>
          <w:sz w:val="22"/>
          <w:szCs w:val="22"/>
        </w:rPr>
        <w:t>a</w:t>
      </w:r>
      <w:r>
        <w:rPr>
          <w:rFonts w:cs="Arial"/>
          <w:b/>
          <w:bCs/>
          <w:sz w:val="22"/>
          <w:szCs w:val="22"/>
        </w:rPr>
        <w:t> </w:t>
      </w:r>
      <w:r w:rsidRPr="00EA0C80">
        <w:rPr>
          <w:rFonts w:cs="Arial"/>
          <w:b/>
          <w:bCs/>
          <w:sz w:val="22"/>
          <w:szCs w:val="22"/>
        </w:rPr>
        <w:t>1:5 000"</w:t>
      </w:r>
      <w:r w:rsidRPr="00EA0C80">
        <w:rPr>
          <w:b/>
          <w:bCs/>
          <w:sz w:val="22"/>
          <w:szCs w:val="22"/>
        </w:rPr>
        <w:t xml:space="preserve"> a textově a tabelárně sleduje odpovídajícím způsobem urbanistické funkce se základními </w:t>
      </w:r>
      <w:r w:rsidRPr="00EA0C80">
        <w:rPr>
          <w:b/>
          <w:bCs/>
          <w:sz w:val="22"/>
          <w:szCs w:val="22"/>
        </w:rPr>
        <w:tab/>
      </w:r>
      <w:r>
        <w:rPr>
          <w:b/>
          <w:bCs/>
          <w:sz w:val="22"/>
          <w:szCs w:val="22"/>
        </w:rPr>
        <w:t>principy - regulativy.</w:t>
      </w:r>
    </w:p>
    <w:p w14:paraId="6E650A22" w14:textId="77777777" w:rsidR="00147CEE" w:rsidRDefault="00147CEE" w:rsidP="00147CEE">
      <w:pPr>
        <w:pStyle w:val="Zkladntext"/>
        <w:spacing w:before="120" w:line="288" w:lineRule="auto"/>
        <w:ind w:firstLine="709"/>
        <w:jc w:val="both"/>
        <w:rPr>
          <w:b/>
          <w:bCs/>
          <w:sz w:val="22"/>
          <w:szCs w:val="22"/>
        </w:rPr>
      </w:pPr>
      <w:r w:rsidRPr="00EA0C80">
        <w:rPr>
          <w:b/>
          <w:bCs/>
          <w:sz w:val="22"/>
          <w:szCs w:val="22"/>
        </w:rPr>
        <w:t xml:space="preserve">Pro odpovídající podrobnost jednotlivých lokalit - prostorů je nutno zpracovat </w:t>
      </w:r>
      <w:r>
        <w:rPr>
          <w:b/>
          <w:bCs/>
          <w:sz w:val="22"/>
          <w:szCs w:val="22"/>
        </w:rPr>
        <w:t>odpovídající regulační plány.</w:t>
      </w:r>
    </w:p>
    <w:p w14:paraId="3542B6CF" w14:textId="77777777" w:rsidR="00147CEE" w:rsidRPr="00EA0C80" w:rsidRDefault="00147CEE" w:rsidP="00147CEE">
      <w:pPr>
        <w:pStyle w:val="Zkladntext"/>
        <w:spacing w:before="120" w:line="288" w:lineRule="auto"/>
        <w:ind w:firstLine="709"/>
        <w:jc w:val="both"/>
        <w:rPr>
          <w:sz w:val="22"/>
          <w:szCs w:val="22"/>
        </w:rPr>
      </w:pPr>
    </w:p>
    <w:tbl>
      <w:tblPr>
        <w:tblW w:w="0" w:type="auto"/>
        <w:tblInd w:w="43" w:type="dxa"/>
        <w:tblLayout w:type="fixed"/>
        <w:tblCellMar>
          <w:left w:w="43" w:type="dxa"/>
          <w:right w:w="43" w:type="dxa"/>
        </w:tblCellMar>
        <w:tblLook w:val="0000" w:firstRow="0" w:lastRow="0" w:firstColumn="0" w:lastColumn="0" w:noHBand="0" w:noVBand="0"/>
      </w:tblPr>
      <w:tblGrid>
        <w:gridCol w:w="4404"/>
        <w:gridCol w:w="4404"/>
      </w:tblGrid>
      <w:tr w:rsidR="00147CEE" w14:paraId="36A29020" w14:textId="77777777" w:rsidTr="002D2D45">
        <w:tc>
          <w:tcPr>
            <w:tcW w:w="4404" w:type="dxa"/>
            <w:tcBorders>
              <w:top w:val="single" w:sz="6" w:space="0" w:color="auto"/>
              <w:left w:val="single" w:sz="6" w:space="0" w:color="auto"/>
              <w:bottom w:val="single" w:sz="6" w:space="0" w:color="auto"/>
              <w:right w:val="single" w:sz="6" w:space="0" w:color="auto"/>
            </w:tcBorders>
          </w:tcPr>
          <w:p w14:paraId="5B6BF1CC" w14:textId="77777777" w:rsidR="00147CEE" w:rsidRDefault="00147CEE" w:rsidP="002D2D45">
            <w:pPr>
              <w:pStyle w:val="Texttabulky"/>
              <w:jc w:val="both"/>
            </w:pPr>
            <w:r>
              <w:rPr>
                <w:b/>
                <w:bCs/>
                <w:caps/>
                <w:sz w:val="20"/>
                <w:szCs w:val="20"/>
              </w:rPr>
              <w:t>POLYFUNKČNÍ území</w:t>
            </w:r>
          </w:p>
        </w:tc>
        <w:tc>
          <w:tcPr>
            <w:tcW w:w="4404" w:type="dxa"/>
            <w:tcBorders>
              <w:top w:val="single" w:sz="6" w:space="0" w:color="auto"/>
              <w:left w:val="single" w:sz="6" w:space="0" w:color="auto"/>
              <w:bottom w:val="single" w:sz="6" w:space="0" w:color="auto"/>
              <w:right w:val="single" w:sz="6" w:space="0" w:color="auto"/>
            </w:tcBorders>
          </w:tcPr>
          <w:p w14:paraId="57280DB4" w14:textId="77777777" w:rsidR="00147CEE" w:rsidRDefault="00147CEE" w:rsidP="002D2D45">
            <w:pPr>
              <w:pStyle w:val="Texttabulky"/>
              <w:jc w:val="both"/>
            </w:pPr>
            <w:r>
              <w:rPr>
                <w:b/>
                <w:bCs/>
                <w:caps/>
                <w:sz w:val="20"/>
                <w:szCs w:val="20"/>
              </w:rPr>
              <w:t>MONOFUNKČNÍ území</w:t>
            </w:r>
          </w:p>
        </w:tc>
      </w:tr>
      <w:tr w:rsidR="00147CEE" w14:paraId="0068737B" w14:textId="77777777" w:rsidTr="002D2D45">
        <w:tc>
          <w:tcPr>
            <w:tcW w:w="4404" w:type="dxa"/>
            <w:tcBorders>
              <w:top w:val="single" w:sz="6" w:space="0" w:color="auto"/>
              <w:left w:val="single" w:sz="6" w:space="0" w:color="auto"/>
              <w:bottom w:val="single" w:sz="6" w:space="0" w:color="auto"/>
              <w:right w:val="single" w:sz="6" w:space="0" w:color="auto"/>
            </w:tcBorders>
          </w:tcPr>
          <w:p w14:paraId="157FFE62" w14:textId="77777777" w:rsidR="00147CEE" w:rsidRDefault="00147CEE" w:rsidP="002D2D45">
            <w:pPr>
              <w:pStyle w:val="Zkladntext"/>
              <w:jc w:val="both"/>
            </w:pPr>
          </w:p>
          <w:p w14:paraId="6A4EB883" w14:textId="77777777" w:rsidR="00147CEE" w:rsidRDefault="00147CEE" w:rsidP="002D2D45">
            <w:pPr>
              <w:pStyle w:val="Znaka1"/>
              <w:jc w:val="both"/>
            </w:pPr>
            <w:r>
              <w:t>*</w:t>
            </w:r>
            <w:r>
              <w:rPr>
                <w:sz w:val="18"/>
                <w:szCs w:val="18"/>
              </w:rPr>
              <w:t xml:space="preserve">   smíšené centrální území </w:t>
            </w:r>
          </w:p>
          <w:p w14:paraId="69095B4B" w14:textId="77777777" w:rsidR="00147CEE" w:rsidRDefault="00147CEE" w:rsidP="002D2D45">
            <w:pPr>
              <w:pStyle w:val="Znaka1"/>
              <w:jc w:val="both"/>
            </w:pPr>
            <w:r>
              <w:t>*</w:t>
            </w:r>
            <w:r>
              <w:rPr>
                <w:sz w:val="18"/>
                <w:szCs w:val="18"/>
              </w:rPr>
              <w:t xml:space="preserve">   smíšené městské území </w:t>
            </w:r>
          </w:p>
          <w:p w14:paraId="2700470E" w14:textId="77777777" w:rsidR="00147CEE" w:rsidRDefault="00147CEE" w:rsidP="002D2D45">
            <w:pPr>
              <w:pStyle w:val="Znaka1"/>
              <w:jc w:val="both"/>
            </w:pPr>
            <w:r>
              <w:t>*</w:t>
            </w:r>
            <w:r>
              <w:rPr>
                <w:sz w:val="18"/>
                <w:szCs w:val="18"/>
              </w:rPr>
              <w:t xml:space="preserve">   smíšené obytné území </w:t>
            </w:r>
          </w:p>
          <w:p w14:paraId="50B2B2C3" w14:textId="77777777" w:rsidR="00147CEE" w:rsidRDefault="00147CEE" w:rsidP="002D2D45">
            <w:pPr>
              <w:pStyle w:val="Znaka1"/>
              <w:jc w:val="both"/>
            </w:pPr>
            <w:r>
              <w:t>*</w:t>
            </w:r>
            <w:r>
              <w:rPr>
                <w:sz w:val="18"/>
                <w:szCs w:val="18"/>
              </w:rPr>
              <w:t xml:space="preserve">   smíšené území venkovských sídel </w:t>
            </w:r>
          </w:p>
          <w:p w14:paraId="7280B209" w14:textId="77777777" w:rsidR="00147CEE" w:rsidRDefault="00147CEE" w:rsidP="002D2D45">
            <w:pPr>
              <w:pStyle w:val="Znaka1"/>
              <w:jc w:val="both"/>
            </w:pPr>
            <w:r>
              <w:t>*</w:t>
            </w:r>
            <w:r>
              <w:rPr>
                <w:sz w:val="18"/>
                <w:szCs w:val="18"/>
              </w:rPr>
              <w:t xml:space="preserve">   území nerušící výroby a služeb  </w:t>
            </w:r>
          </w:p>
        </w:tc>
        <w:tc>
          <w:tcPr>
            <w:tcW w:w="4404" w:type="dxa"/>
            <w:tcBorders>
              <w:top w:val="single" w:sz="6" w:space="0" w:color="auto"/>
              <w:left w:val="single" w:sz="6" w:space="0" w:color="auto"/>
              <w:bottom w:val="single" w:sz="6" w:space="0" w:color="auto"/>
              <w:right w:val="single" w:sz="6" w:space="0" w:color="auto"/>
            </w:tcBorders>
          </w:tcPr>
          <w:p w14:paraId="4E3B033F" w14:textId="77777777" w:rsidR="00147CEE" w:rsidRDefault="00147CEE" w:rsidP="002D2D45">
            <w:pPr>
              <w:pStyle w:val="Zkladntext"/>
              <w:jc w:val="both"/>
            </w:pPr>
          </w:p>
          <w:p w14:paraId="48F86B04" w14:textId="77777777" w:rsidR="00147CEE" w:rsidRDefault="00147CEE" w:rsidP="002D2D45">
            <w:pPr>
              <w:pStyle w:val="Znaka1"/>
              <w:jc w:val="both"/>
            </w:pPr>
            <w:r>
              <w:t>*</w:t>
            </w:r>
            <w:r>
              <w:rPr>
                <w:sz w:val="18"/>
                <w:szCs w:val="18"/>
              </w:rPr>
              <w:t xml:space="preserve">   čisté obytné území </w:t>
            </w:r>
          </w:p>
          <w:p w14:paraId="7D2E5E34" w14:textId="77777777" w:rsidR="00147CEE" w:rsidRDefault="00147CEE" w:rsidP="002D2D45">
            <w:pPr>
              <w:pStyle w:val="Znaka1"/>
              <w:jc w:val="both"/>
            </w:pPr>
            <w:r>
              <w:t>*</w:t>
            </w:r>
            <w:r>
              <w:rPr>
                <w:sz w:val="18"/>
                <w:szCs w:val="18"/>
              </w:rPr>
              <w:t xml:space="preserve">   území průmyslové výroby, skladového </w:t>
            </w:r>
          </w:p>
          <w:p w14:paraId="76E0E45A" w14:textId="77777777" w:rsidR="00147CEE" w:rsidRDefault="00147CEE" w:rsidP="002D2D45">
            <w:pPr>
              <w:pStyle w:val="Zkladntext"/>
              <w:jc w:val="both"/>
            </w:pPr>
            <w:r>
              <w:rPr>
                <w:sz w:val="18"/>
                <w:szCs w:val="18"/>
              </w:rPr>
              <w:t xml:space="preserve">     hospodářství a dopravy </w:t>
            </w:r>
          </w:p>
          <w:p w14:paraId="2CA54D74" w14:textId="77777777" w:rsidR="00147CEE" w:rsidRDefault="00147CEE" w:rsidP="002D2D45">
            <w:pPr>
              <w:pStyle w:val="Znaka1"/>
              <w:jc w:val="both"/>
            </w:pPr>
            <w:r>
              <w:t>*</w:t>
            </w:r>
            <w:r>
              <w:rPr>
                <w:sz w:val="18"/>
                <w:szCs w:val="18"/>
              </w:rPr>
              <w:t xml:space="preserve">   lesní komplexy - PUPFL </w:t>
            </w:r>
          </w:p>
          <w:p w14:paraId="5C991F40" w14:textId="77777777" w:rsidR="00147CEE" w:rsidRDefault="00147CEE" w:rsidP="002D2D45">
            <w:pPr>
              <w:pStyle w:val="Znaka1"/>
              <w:jc w:val="both"/>
            </w:pPr>
            <w:r>
              <w:t>*</w:t>
            </w:r>
            <w:r>
              <w:rPr>
                <w:sz w:val="18"/>
                <w:szCs w:val="18"/>
              </w:rPr>
              <w:t xml:space="preserve">   zemědělský půdní fond - ZPF </w:t>
            </w:r>
          </w:p>
          <w:p w14:paraId="7950B85B" w14:textId="77777777" w:rsidR="00147CEE" w:rsidRDefault="00147CEE" w:rsidP="002D2D45">
            <w:pPr>
              <w:pStyle w:val="Znaka1"/>
              <w:jc w:val="both"/>
            </w:pPr>
            <w:r>
              <w:t>*</w:t>
            </w:r>
            <w:r>
              <w:rPr>
                <w:sz w:val="18"/>
                <w:szCs w:val="18"/>
              </w:rPr>
              <w:t xml:space="preserve">   vodní toky a plochy</w:t>
            </w:r>
          </w:p>
          <w:p w14:paraId="28BD80A8" w14:textId="77777777" w:rsidR="00147CEE" w:rsidRDefault="00147CEE" w:rsidP="002D2D45">
            <w:pPr>
              <w:pStyle w:val="Znaka1"/>
              <w:jc w:val="both"/>
            </w:pPr>
            <w:r>
              <w:t>*</w:t>
            </w:r>
            <w:r>
              <w:rPr>
                <w:sz w:val="18"/>
                <w:szCs w:val="18"/>
              </w:rPr>
              <w:t xml:space="preserve">   chráněná území přírody a ostatní nelesní</w:t>
            </w:r>
          </w:p>
          <w:p w14:paraId="08FD81C7" w14:textId="77777777" w:rsidR="00147CEE" w:rsidRDefault="00147CEE" w:rsidP="002D2D45">
            <w:pPr>
              <w:pStyle w:val="Zkladntext"/>
              <w:jc w:val="both"/>
            </w:pPr>
            <w:r>
              <w:rPr>
                <w:sz w:val="18"/>
                <w:szCs w:val="18"/>
              </w:rPr>
              <w:t xml:space="preserve">     ekosystémy </w:t>
            </w:r>
          </w:p>
        </w:tc>
      </w:tr>
      <w:tr w:rsidR="00147CEE" w14:paraId="6939FD0C" w14:textId="77777777" w:rsidTr="002D2D45">
        <w:tc>
          <w:tcPr>
            <w:tcW w:w="4404" w:type="dxa"/>
            <w:tcBorders>
              <w:top w:val="single" w:sz="6" w:space="0" w:color="auto"/>
              <w:left w:val="single" w:sz="6" w:space="0" w:color="auto"/>
              <w:bottom w:val="single" w:sz="6" w:space="0" w:color="auto"/>
              <w:right w:val="single" w:sz="6" w:space="0" w:color="auto"/>
            </w:tcBorders>
          </w:tcPr>
          <w:p w14:paraId="4222F466" w14:textId="77777777" w:rsidR="00147CEE" w:rsidRDefault="00147CEE" w:rsidP="002D2D45">
            <w:pPr>
              <w:pStyle w:val="Texttabulky"/>
              <w:jc w:val="both"/>
            </w:pPr>
            <w:r>
              <w:rPr>
                <w:b/>
                <w:bCs/>
                <w:sz w:val="20"/>
                <w:szCs w:val="20"/>
              </w:rPr>
              <w:t>objekty - areály</w:t>
            </w:r>
          </w:p>
        </w:tc>
        <w:tc>
          <w:tcPr>
            <w:tcW w:w="4404" w:type="dxa"/>
            <w:tcBorders>
              <w:top w:val="single" w:sz="6" w:space="0" w:color="auto"/>
              <w:left w:val="single" w:sz="6" w:space="0" w:color="auto"/>
              <w:bottom w:val="single" w:sz="6" w:space="0" w:color="auto"/>
              <w:right w:val="single" w:sz="6" w:space="0" w:color="auto"/>
            </w:tcBorders>
          </w:tcPr>
          <w:p w14:paraId="5206C82B" w14:textId="77777777" w:rsidR="00147CEE" w:rsidRDefault="00147CEE" w:rsidP="002D2D45">
            <w:pPr>
              <w:pStyle w:val="Texttabulky"/>
              <w:jc w:val="both"/>
            </w:pPr>
            <w:r>
              <w:rPr>
                <w:b/>
                <w:bCs/>
                <w:sz w:val="20"/>
                <w:szCs w:val="20"/>
              </w:rPr>
              <w:t>objekty - areály</w:t>
            </w:r>
          </w:p>
        </w:tc>
      </w:tr>
      <w:tr w:rsidR="00147CEE" w14:paraId="7E5CAD20" w14:textId="77777777" w:rsidTr="002D2D45">
        <w:tc>
          <w:tcPr>
            <w:tcW w:w="4404" w:type="dxa"/>
            <w:tcBorders>
              <w:top w:val="single" w:sz="6" w:space="0" w:color="auto"/>
              <w:left w:val="single" w:sz="6" w:space="0" w:color="auto"/>
              <w:bottom w:val="single" w:sz="6" w:space="0" w:color="auto"/>
              <w:right w:val="single" w:sz="6" w:space="0" w:color="auto"/>
            </w:tcBorders>
          </w:tcPr>
          <w:p w14:paraId="70ADB6FC" w14:textId="77777777" w:rsidR="00147CEE" w:rsidRDefault="00147CEE" w:rsidP="002D2D45">
            <w:pPr>
              <w:pStyle w:val="Znaka1"/>
              <w:jc w:val="both"/>
            </w:pPr>
            <w:r>
              <w:t xml:space="preserve">*   </w:t>
            </w:r>
            <w:r>
              <w:rPr>
                <w:sz w:val="18"/>
                <w:szCs w:val="18"/>
              </w:rPr>
              <w:t>městské domy MD (trvalé bydlení, komerce,               vybavenost)</w:t>
            </w:r>
          </w:p>
          <w:p w14:paraId="5351C487" w14:textId="77777777" w:rsidR="00147CEE" w:rsidRDefault="00147CEE" w:rsidP="002D2D45">
            <w:pPr>
              <w:pStyle w:val="Znaka1"/>
              <w:jc w:val="both"/>
            </w:pPr>
            <w:r>
              <w:t>*</w:t>
            </w:r>
            <w:r>
              <w:rPr>
                <w:sz w:val="18"/>
                <w:szCs w:val="18"/>
              </w:rPr>
              <w:t xml:space="preserve">   sportovní haly a hřiště (sport, kultura,komerce)</w:t>
            </w:r>
          </w:p>
          <w:p w14:paraId="02ED46F0" w14:textId="77777777" w:rsidR="00147CEE" w:rsidRDefault="00147CEE" w:rsidP="002D2D45">
            <w:pPr>
              <w:pStyle w:val="Znaka1"/>
              <w:jc w:val="both"/>
            </w:pPr>
            <w:r>
              <w:t>*</w:t>
            </w:r>
            <w:r>
              <w:rPr>
                <w:sz w:val="18"/>
                <w:szCs w:val="18"/>
              </w:rPr>
              <w:t xml:space="preserve">   veřejná prostranství a náměstí (výstavy,</w:t>
            </w:r>
          </w:p>
          <w:p w14:paraId="63C71B22" w14:textId="77777777" w:rsidR="00147CEE" w:rsidRDefault="00147CEE" w:rsidP="002D2D45">
            <w:pPr>
              <w:pStyle w:val="Texttabulky"/>
              <w:jc w:val="both"/>
            </w:pPr>
            <w:r>
              <w:rPr>
                <w:sz w:val="18"/>
                <w:szCs w:val="18"/>
              </w:rPr>
              <w:t xml:space="preserve">     společenské a kulturní akce, zábava) </w:t>
            </w:r>
          </w:p>
          <w:p w14:paraId="6868DF29" w14:textId="77777777" w:rsidR="00147CEE" w:rsidRDefault="00147CEE" w:rsidP="002D2D45">
            <w:pPr>
              <w:pStyle w:val="Znaka1"/>
              <w:jc w:val="both"/>
            </w:pPr>
            <w:r>
              <w:t>*</w:t>
            </w:r>
            <w:r>
              <w:rPr>
                <w:sz w:val="18"/>
                <w:szCs w:val="18"/>
              </w:rPr>
              <w:t xml:space="preserve">   parky, lesoparky </w:t>
            </w:r>
          </w:p>
          <w:p w14:paraId="1A4629BF" w14:textId="77777777" w:rsidR="00147CEE" w:rsidRDefault="00147CEE" w:rsidP="002D2D45">
            <w:pPr>
              <w:pStyle w:val="Zkladntext"/>
              <w:jc w:val="both"/>
            </w:pPr>
          </w:p>
        </w:tc>
        <w:tc>
          <w:tcPr>
            <w:tcW w:w="4404" w:type="dxa"/>
            <w:tcBorders>
              <w:top w:val="single" w:sz="6" w:space="0" w:color="auto"/>
              <w:left w:val="single" w:sz="6" w:space="0" w:color="auto"/>
              <w:bottom w:val="single" w:sz="6" w:space="0" w:color="auto"/>
              <w:right w:val="single" w:sz="6" w:space="0" w:color="auto"/>
            </w:tcBorders>
          </w:tcPr>
          <w:p w14:paraId="10BC55E9" w14:textId="77777777" w:rsidR="00147CEE" w:rsidRDefault="00147CEE" w:rsidP="002D2D45">
            <w:pPr>
              <w:pStyle w:val="Znaka1"/>
              <w:jc w:val="both"/>
            </w:pPr>
            <w:r>
              <w:t xml:space="preserve">* </w:t>
            </w:r>
            <w:r>
              <w:rPr>
                <w:sz w:val="18"/>
                <w:szCs w:val="18"/>
              </w:rPr>
              <w:t xml:space="preserve">  rodinné a kolektivní bydlení </w:t>
            </w:r>
          </w:p>
          <w:p w14:paraId="24389719" w14:textId="77777777" w:rsidR="00147CEE" w:rsidRDefault="00147CEE" w:rsidP="002D2D45">
            <w:pPr>
              <w:pStyle w:val="Znaka1"/>
              <w:jc w:val="both"/>
            </w:pPr>
            <w:r>
              <w:t>*</w:t>
            </w:r>
            <w:r>
              <w:rPr>
                <w:sz w:val="18"/>
                <w:szCs w:val="18"/>
              </w:rPr>
              <w:t xml:space="preserve">   školy a jejich zařízení všech stupňů</w:t>
            </w:r>
          </w:p>
          <w:p w14:paraId="2A09708D" w14:textId="77777777" w:rsidR="00147CEE" w:rsidRDefault="00147CEE" w:rsidP="002D2D45">
            <w:pPr>
              <w:pStyle w:val="Znaka1"/>
              <w:jc w:val="both"/>
            </w:pPr>
            <w:r>
              <w:t>*</w:t>
            </w:r>
            <w:r>
              <w:rPr>
                <w:sz w:val="18"/>
                <w:szCs w:val="18"/>
              </w:rPr>
              <w:t xml:space="preserve">   kultura a osvěta (kina, divadlo, kulturní sály,ZOO)</w:t>
            </w:r>
          </w:p>
          <w:p w14:paraId="472F9C3A" w14:textId="77777777" w:rsidR="00147CEE" w:rsidRDefault="00147CEE" w:rsidP="002D2D45">
            <w:pPr>
              <w:pStyle w:val="Znaka1"/>
              <w:jc w:val="both"/>
            </w:pPr>
            <w:r>
              <w:t>*</w:t>
            </w:r>
            <w:r>
              <w:rPr>
                <w:sz w:val="18"/>
                <w:szCs w:val="18"/>
              </w:rPr>
              <w:t xml:space="preserve">   zdravotní (nemocnice, poliklinika)</w:t>
            </w:r>
          </w:p>
          <w:p w14:paraId="08893018" w14:textId="77777777" w:rsidR="00147CEE" w:rsidRDefault="00147CEE" w:rsidP="002D2D45">
            <w:pPr>
              <w:pStyle w:val="Znaka1"/>
              <w:jc w:val="both"/>
            </w:pPr>
            <w:r>
              <w:t>*</w:t>
            </w:r>
            <w:r>
              <w:rPr>
                <w:sz w:val="18"/>
                <w:szCs w:val="18"/>
              </w:rPr>
              <w:t xml:space="preserve">   sociální (domovy, penziony, ústavy) </w:t>
            </w:r>
          </w:p>
          <w:p w14:paraId="1206C617" w14:textId="77777777" w:rsidR="00147CEE" w:rsidRDefault="00147CEE" w:rsidP="002D2D45">
            <w:pPr>
              <w:pStyle w:val="Znaka1"/>
              <w:jc w:val="both"/>
            </w:pPr>
            <w:r>
              <w:t>*</w:t>
            </w:r>
            <w:r>
              <w:rPr>
                <w:sz w:val="18"/>
                <w:szCs w:val="18"/>
              </w:rPr>
              <w:t xml:space="preserve">   sportovní (plavecké haly, kuželny, střelnice)</w:t>
            </w:r>
          </w:p>
          <w:p w14:paraId="28EA0AC4" w14:textId="77777777" w:rsidR="00147CEE" w:rsidRDefault="00147CEE" w:rsidP="002D2D45">
            <w:pPr>
              <w:pStyle w:val="Znaka1"/>
              <w:jc w:val="both"/>
            </w:pPr>
            <w:r>
              <w:t>*</w:t>
            </w:r>
            <w:r>
              <w:rPr>
                <w:sz w:val="18"/>
                <w:szCs w:val="18"/>
              </w:rPr>
              <w:t xml:space="preserve">   výrobní (průmyslové podniky, sklady, výrobní </w:t>
            </w:r>
          </w:p>
          <w:p w14:paraId="35ABD3B3" w14:textId="77777777" w:rsidR="00147CEE" w:rsidRDefault="00147CEE" w:rsidP="002D2D45">
            <w:pPr>
              <w:pStyle w:val="Texttabulky"/>
              <w:jc w:val="both"/>
            </w:pPr>
            <w:r>
              <w:rPr>
                <w:sz w:val="18"/>
                <w:szCs w:val="18"/>
              </w:rPr>
              <w:t xml:space="preserve">     služby) </w:t>
            </w:r>
          </w:p>
          <w:p w14:paraId="1BE55358" w14:textId="77777777" w:rsidR="00147CEE" w:rsidRDefault="00147CEE" w:rsidP="002D2D45">
            <w:pPr>
              <w:pStyle w:val="Znaka1"/>
              <w:jc w:val="both"/>
            </w:pPr>
            <w:r>
              <w:t>*</w:t>
            </w:r>
            <w:r>
              <w:rPr>
                <w:sz w:val="18"/>
                <w:szCs w:val="18"/>
              </w:rPr>
              <w:t xml:space="preserve">   technického vybavení (zásobování elektr.energií,         teplem, vodou, likvidace odpadních vod, spoje,           likvidace odpadů) </w:t>
            </w:r>
          </w:p>
          <w:p w14:paraId="47BB1E3A" w14:textId="77777777" w:rsidR="00147CEE" w:rsidRDefault="00147CEE" w:rsidP="002D2D45">
            <w:pPr>
              <w:pStyle w:val="Znaka1"/>
              <w:jc w:val="both"/>
            </w:pPr>
            <w:r>
              <w:t>*</w:t>
            </w:r>
            <w:r>
              <w:rPr>
                <w:sz w:val="18"/>
                <w:szCs w:val="18"/>
              </w:rPr>
              <w:t xml:space="preserve">   dopravní (silniční, železniční, terminál hromadné        dopravy, parkoviště, garáže, PHM, servisy)</w:t>
            </w:r>
          </w:p>
          <w:p w14:paraId="708366F1" w14:textId="77777777" w:rsidR="00147CEE" w:rsidRDefault="00147CEE" w:rsidP="002D2D45">
            <w:pPr>
              <w:pStyle w:val="Znaka1"/>
              <w:jc w:val="both"/>
            </w:pPr>
            <w:r>
              <w:t>*</w:t>
            </w:r>
            <w:r>
              <w:rPr>
                <w:sz w:val="18"/>
                <w:szCs w:val="18"/>
              </w:rPr>
              <w:t xml:space="preserve">   požární ochrana - záchranný systém </w:t>
            </w:r>
          </w:p>
          <w:p w14:paraId="7C111D83" w14:textId="77777777" w:rsidR="00147CEE" w:rsidRDefault="00147CEE" w:rsidP="002D2D45">
            <w:pPr>
              <w:pStyle w:val="Znaka1"/>
              <w:jc w:val="both"/>
            </w:pPr>
            <w:r>
              <w:t>*</w:t>
            </w:r>
            <w:r>
              <w:rPr>
                <w:sz w:val="18"/>
                <w:szCs w:val="18"/>
              </w:rPr>
              <w:t xml:space="preserve">   hřbitovy, urnové háje, zahrádkářské osady </w:t>
            </w:r>
          </w:p>
          <w:p w14:paraId="37A6356F" w14:textId="77777777" w:rsidR="00147CEE" w:rsidRDefault="00147CEE" w:rsidP="002D2D45">
            <w:pPr>
              <w:pStyle w:val="Zkladntext"/>
              <w:jc w:val="both"/>
            </w:pPr>
          </w:p>
        </w:tc>
      </w:tr>
    </w:tbl>
    <w:p w14:paraId="446AA19B" w14:textId="77777777" w:rsidR="00147CEE" w:rsidRDefault="00147CEE" w:rsidP="00147CEE">
      <w:pPr>
        <w:autoSpaceDE w:val="0"/>
        <w:autoSpaceDN w:val="0"/>
        <w:adjustRightInd w:val="0"/>
        <w:jc w:val="both"/>
        <w:rPr>
          <w:rFonts w:ascii="Arial" w:hAnsi="Arial" w:cs="Arial"/>
          <w:sz w:val="20"/>
        </w:rPr>
      </w:pPr>
    </w:p>
    <w:p w14:paraId="49C69040" w14:textId="77777777" w:rsidR="00147CEE" w:rsidRDefault="00147CEE" w:rsidP="00147CEE">
      <w:pPr>
        <w:pStyle w:val="podnadpis1"/>
        <w:jc w:val="both"/>
      </w:pPr>
      <w:r>
        <w:br w:type="page"/>
      </w:r>
      <w:r>
        <w:lastRenderedPageBreak/>
        <w:t>J3.  FUNKČNÍ a prostorové regulativy</w:t>
      </w:r>
    </w:p>
    <w:p w14:paraId="6198B207" w14:textId="77777777" w:rsidR="00147CEE" w:rsidRDefault="00147CEE" w:rsidP="00147CEE">
      <w:pPr>
        <w:jc w:val="both"/>
      </w:pPr>
    </w:p>
    <w:tbl>
      <w:tblPr>
        <w:tblW w:w="0" w:type="auto"/>
        <w:tblInd w:w="42" w:type="dxa"/>
        <w:tblLayout w:type="fixed"/>
        <w:tblCellMar>
          <w:left w:w="42" w:type="dxa"/>
          <w:right w:w="42" w:type="dxa"/>
        </w:tblCellMar>
        <w:tblLook w:val="0000" w:firstRow="0" w:lastRow="0" w:firstColumn="0" w:lastColumn="0" w:noHBand="0" w:noVBand="0"/>
      </w:tblPr>
      <w:tblGrid>
        <w:gridCol w:w="573"/>
        <w:gridCol w:w="2688"/>
        <w:gridCol w:w="571"/>
        <w:gridCol w:w="491"/>
        <w:gridCol w:w="4514"/>
      </w:tblGrid>
      <w:tr w:rsidR="00147CEE" w14:paraId="4A3F57C0" w14:textId="77777777" w:rsidTr="002D2D45">
        <w:tc>
          <w:tcPr>
            <w:tcW w:w="573" w:type="dxa"/>
            <w:tcBorders>
              <w:top w:val="single" w:sz="6" w:space="0" w:color="auto"/>
              <w:left w:val="single" w:sz="6" w:space="0" w:color="auto"/>
              <w:bottom w:val="single" w:sz="6" w:space="0" w:color="auto"/>
              <w:right w:val="nil"/>
            </w:tcBorders>
          </w:tcPr>
          <w:p w14:paraId="39F29B06" w14:textId="77777777" w:rsidR="00147CEE" w:rsidRDefault="00147CEE" w:rsidP="00147CEE">
            <w:pPr>
              <w:pStyle w:val="Texttabulky"/>
              <w:spacing w:after="0"/>
              <w:jc w:val="both"/>
            </w:pPr>
            <w:r>
              <w:rPr>
                <w:b/>
                <w:bCs/>
                <w:sz w:val="18"/>
                <w:szCs w:val="18"/>
              </w:rPr>
              <w:t>zóna</w:t>
            </w:r>
          </w:p>
        </w:tc>
        <w:tc>
          <w:tcPr>
            <w:tcW w:w="2688" w:type="dxa"/>
            <w:tcBorders>
              <w:top w:val="single" w:sz="6" w:space="0" w:color="auto"/>
              <w:left w:val="single" w:sz="6" w:space="0" w:color="auto"/>
              <w:bottom w:val="single" w:sz="6" w:space="0" w:color="auto"/>
              <w:right w:val="single" w:sz="6" w:space="0" w:color="auto"/>
            </w:tcBorders>
          </w:tcPr>
          <w:p w14:paraId="2B31FEE9" w14:textId="77777777" w:rsidR="00147CEE" w:rsidRDefault="00147CEE" w:rsidP="00147CEE">
            <w:pPr>
              <w:pStyle w:val="Texttabulky"/>
              <w:spacing w:after="0"/>
              <w:jc w:val="both"/>
            </w:pPr>
            <w:r>
              <w:rPr>
                <w:b/>
                <w:bCs/>
                <w:sz w:val="18"/>
                <w:szCs w:val="18"/>
              </w:rPr>
              <w:t xml:space="preserve">   v y m e z e n í    z ó n y</w:t>
            </w:r>
          </w:p>
        </w:tc>
        <w:tc>
          <w:tcPr>
            <w:tcW w:w="571" w:type="dxa"/>
            <w:tcBorders>
              <w:top w:val="single" w:sz="6" w:space="0" w:color="auto"/>
              <w:left w:val="single" w:sz="6" w:space="0" w:color="auto"/>
              <w:bottom w:val="single" w:sz="6" w:space="0" w:color="auto"/>
              <w:right w:val="single" w:sz="6" w:space="0" w:color="auto"/>
            </w:tcBorders>
          </w:tcPr>
          <w:p w14:paraId="380D004B" w14:textId="77777777" w:rsidR="00147CEE" w:rsidRDefault="00147CEE" w:rsidP="00147CEE">
            <w:pPr>
              <w:pStyle w:val="Texttabulky"/>
              <w:spacing w:after="0"/>
              <w:jc w:val="both"/>
            </w:pPr>
            <w:r>
              <w:rPr>
                <w:b/>
                <w:bCs/>
                <w:sz w:val="18"/>
                <w:szCs w:val="18"/>
              </w:rPr>
              <w:t>IZP</w:t>
            </w:r>
          </w:p>
          <w:p w14:paraId="65D11A4E" w14:textId="77777777" w:rsidR="00147CEE" w:rsidRDefault="00147CEE" w:rsidP="00147CEE">
            <w:pPr>
              <w:pStyle w:val="Texttabulky"/>
              <w:spacing w:after="0"/>
              <w:jc w:val="both"/>
            </w:pPr>
            <w:r>
              <w:rPr>
                <w:sz w:val="18"/>
                <w:szCs w:val="18"/>
              </w:rPr>
              <w:t>%</w:t>
            </w:r>
          </w:p>
        </w:tc>
        <w:tc>
          <w:tcPr>
            <w:tcW w:w="491" w:type="dxa"/>
            <w:tcBorders>
              <w:top w:val="single" w:sz="6" w:space="0" w:color="auto"/>
              <w:left w:val="single" w:sz="6" w:space="0" w:color="auto"/>
              <w:bottom w:val="single" w:sz="6" w:space="0" w:color="auto"/>
              <w:right w:val="single" w:sz="6" w:space="0" w:color="auto"/>
            </w:tcBorders>
          </w:tcPr>
          <w:p w14:paraId="21EB131B" w14:textId="77777777" w:rsidR="00147CEE" w:rsidRDefault="00147CEE" w:rsidP="00147CEE">
            <w:pPr>
              <w:pStyle w:val="Texttabulky"/>
              <w:spacing w:after="0"/>
              <w:jc w:val="both"/>
            </w:pPr>
            <w:r>
              <w:rPr>
                <w:b/>
                <w:bCs/>
                <w:sz w:val="18"/>
                <w:szCs w:val="18"/>
              </w:rPr>
              <w:t>počet podl.</w:t>
            </w:r>
          </w:p>
        </w:tc>
        <w:tc>
          <w:tcPr>
            <w:tcW w:w="4514" w:type="dxa"/>
            <w:tcBorders>
              <w:top w:val="single" w:sz="6" w:space="0" w:color="auto"/>
              <w:left w:val="nil"/>
              <w:bottom w:val="single" w:sz="6" w:space="0" w:color="auto"/>
              <w:right w:val="single" w:sz="6" w:space="0" w:color="auto"/>
            </w:tcBorders>
          </w:tcPr>
          <w:p w14:paraId="5248B472" w14:textId="77777777" w:rsidR="00147CEE" w:rsidRDefault="00147CEE" w:rsidP="00147CEE">
            <w:pPr>
              <w:pStyle w:val="Texttabulky"/>
              <w:spacing w:after="0"/>
              <w:jc w:val="both"/>
            </w:pPr>
            <w:r>
              <w:rPr>
                <w:b/>
                <w:bCs/>
                <w:sz w:val="18"/>
                <w:szCs w:val="18"/>
              </w:rPr>
              <w:t xml:space="preserve">  f u n k č n í     v y u ž i t í     z ó n y</w:t>
            </w:r>
          </w:p>
        </w:tc>
      </w:tr>
      <w:tr w:rsidR="00147CEE" w14:paraId="596DE4EF" w14:textId="77777777" w:rsidTr="002D2D45">
        <w:tc>
          <w:tcPr>
            <w:tcW w:w="573" w:type="dxa"/>
            <w:tcBorders>
              <w:top w:val="single" w:sz="6" w:space="0" w:color="auto"/>
              <w:left w:val="single" w:sz="6" w:space="0" w:color="auto"/>
              <w:bottom w:val="single" w:sz="6" w:space="0" w:color="auto"/>
              <w:right w:val="single" w:sz="6" w:space="0" w:color="auto"/>
            </w:tcBorders>
          </w:tcPr>
          <w:p w14:paraId="7B162E86" w14:textId="77777777" w:rsidR="00147CEE" w:rsidRDefault="00147CEE" w:rsidP="00147CEE">
            <w:pPr>
              <w:pStyle w:val="Texttabulky"/>
              <w:spacing w:after="0"/>
              <w:jc w:val="both"/>
            </w:pPr>
            <w:r>
              <w:rPr>
                <w:b/>
                <w:bCs/>
              </w:rPr>
              <w:t>SC</w:t>
            </w:r>
          </w:p>
        </w:tc>
        <w:tc>
          <w:tcPr>
            <w:tcW w:w="2688" w:type="dxa"/>
            <w:tcBorders>
              <w:top w:val="single" w:sz="6" w:space="0" w:color="auto"/>
              <w:left w:val="single" w:sz="6" w:space="0" w:color="auto"/>
              <w:bottom w:val="single" w:sz="6" w:space="0" w:color="auto"/>
              <w:right w:val="single" w:sz="6" w:space="0" w:color="auto"/>
            </w:tcBorders>
          </w:tcPr>
          <w:p w14:paraId="1D03B95A" w14:textId="77777777" w:rsidR="00147CEE" w:rsidRDefault="00147CEE" w:rsidP="00147CEE">
            <w:pPr>
              <w:pStyle w:val="Texttabulky"/>
              <w:spacing w:after="0"/>
              <w:jc w:val="both"/>
            </w:pPr>
            <w:r>
              <w:rPr>
                <w:rFonts w:cs="Arial"/>
                <w:b/>
                <w:bCs/>
                <w:caps/>
                <w:sz w:val="18"/>
                <w:szCs w:val="18"/>
              </w:rPr>
              <w:t>smíšená centrální zóna</w:t>
            </w:r>
          </w:p>
          <w:p w14:paraId="32EA701D" w14:textId="77777777" w:rsidR="00147CEE" w:rsidRDefault="00147CEE" w:rsidP="00147CEE">
            <w:pPr>
              <w:pStyle w:val="Texttabulky"/>
              <w:spacing w:after="0"/>
              <w:jc w:val="both"/>
            </w:pPr>
            <w:r>
              <w:rPr>
                <w:sz w:val="18"/>
                <w:szCs w:val="18"/>
              </w:rPr>
              <w:t>zahrnuje centrální historické</w:t>
            </w:r>
          </w:p>
          <w:p w14:paraId="66DBC7C6" w14:textId="77777777" w:rsidR="00147CEE" w:rsidRDefault="00147CEE" w:rsidP="00147CEE">
            <w:pPr>
              <w:pStyle w:val="Texttabulky"/>
              <w:spacing w:after="0"/>
              <w:jc w:val="both"/>
            </w:pPr>
            <w:r>
              <w:rPr>
                <w:sz w:val="18"/>
                <w:szCs w:val="18"/>
              </w:rPr>
              <w:t>území města, vymezené v rozsahu původních samostatných měst na obou březích Labe</w:t>
            </w:r>
          </w:p>
          <w:p w14:paraId="188BDC76" w14:textId="77777777" w:rsidR="00147CEE" w:rsidRDefault="00147CEE" w:rsidP="00147CEE">
            <w:pPr>
              <w:pStyle w:val="Zkladntext"/>
              <w:spacing w:after="0"/>
              <w:jc w:val="both"/>
            </w:pPr>
          </w:p>
          <w:p w14:paraId="48955310" w14:textId="77777777" w:rsidR="00147CEE" w:rsidRDefault="00147CEE" w:rsidP="00147CEE">
            <w:pPr>
              <w:pStyle w:val="Zkladntext"/>
              <w:spacing w:after="0"/>
              <w:jc w:val="both"/>
            </w:pPr>
          </w:p>
          <w:p w14:paraId="23A06F7F" w14:textId="77777777" w:rsidR="00147CEE" w:rsidRDefault="00147CEE" w:rsidP="00147CEE">
            <w:pPr>
              <w:pStyle w:val="Zkladntext"/>
              <w:spacing w:after="0"/>
              <w:jc w:val="both"/>
            </w:pPr>
          </w:p>
          <w:p w14:paraId="5CE21714" w14:textId="77777777" w:rsidR="00147CEE" w:rsidRDefault="00147CEE" w:rsidP="00147CEE">
            <w:pPr>
              <w:pStyle w:val="Zkladntext"/>
              <w:spacing w:after="0"/>
              <w:jc w:val="both"/>
            </w:pPr>
          </w:p>
          <w:p w14:paraId="689C4017" w14:textId="77777777" w:rsidR="00147CEE" w:rsidRDefault="00147CEE" w:rsidP="00147CEE">
            <w:pPr>
              <w:pStyle w:val="Zkladntext"/>
              <w:spacing w:after="0"/>
              <w:jc w:val="both"/>
            </w:pPr>
          </w:p>
          <w:p w14:paraId="4D53ACCA" w14:textId="77777777" w:rsidR="00147CEE" w:rsidRDefault="00147CEE" w:rsidP="00147CEE">
            <w:pPr>
              <w:pStyle w:val="Zkladntext"/>
              <w:spacing w:after="0"/>
              <w:jc w:val="both"/>
            </w:pPr>
          </w:p>
          <w:p w14:paraId="1E189395" w14:textId="77777777" w:rsidR="00147CEE" w:rsidRDefault="00147CEE" w:rsidP="00147CEE">
            <w:pPr>
              <w:pStyle w:val="Zkladntext"/>
              <w:spacing w:after="0"/>
              <w:jc w:val="both"/>
            </w:pPr>
          </w:p>
          <w:p w14:paraId="2FE27892" w14:textId="77777777" w:rsidR="00147CEE" w:rsidRDefault="00147CEE" w:rsidP="00147CEE">
            <w:pPr>
              <w:pStyle w:val="Zkladntext"/>
              <w:spacing w:after="0"/>
              <w:jc w:val="both"/>
            </w:pPr>
          </w:p>
          <w:p w14:paraId="1E3850C8" w14:textId="77777777" w:rsidR="00147CEE" w:rsidRDefault="00147CEE" w:rsidP="00147CEE">
            <w:pPr>
              <w:pStyle w:val="Zkladntext"/>
              <w:spacing w:after="0"/>
              <w:jc w:val="both"/>
            </w:pPr>
          </w:p>
          <w:p w14:paraId="717FD707" w14:textId="77777777" w:rsidR="00147CEE" w:rsidRDefault="00147CEE" w:rsidP="00147CEE">
            <w:pPr>
              <w:pStyle w:val="Zkladntext"/>
              <w:spacing w:after="0"/>
              <w:jc w:val="both"/>
            </w:pPr>
          </w:p>
          <w:p w14:paraId="50692798" w14:textId="77777777" w:rsidR="00147CEE" w:rsidRDefault="00147CEE" w:rsidP="00147CEE">
            <w:pPr>
              <w:pStyle w:val="Zkladntext"/>
              <w:spacing w:after="0"/>
              <w:jc w:val="both"/>
            </w:pPr>
          </w:p>
          <w:p w14:paraId="6D20DC64" w14:textId="77777777" w:rsidR="00147CEE" w:rsidRDefault="00147CEE" w:rsidP="00147CEE">
            <w:pPr>
              <w:pStyle w:val="Zkladntext"/>
              <w:spacing w:after="0"/>
              <w:jc w:val="both"/>
            </w:pPr>
          </w:p>
          <w:p w14:paraId="20B3D0EE" w14:textId="77777777" w:rsidR="00147CEE" w:rsidRDefault="00147CEE" w:rsidP="00147CEE">
            <w:pPr>
              <w:pStyle w:val="Zkladntext"/>
              <w:spacing w:after="0"/>
              <w:jc w:val="both"/>
            </w:pPr>
          </w:p>
          <w:p w14:paraId="2D6303D1" w14:textId="77777777" w:rsidR="00147CEE" w:rsidRDefault="00147CEE" w:rsidP="00147CEE">
            <w:pPr>
              <w:pStyle w:val="Zkladntext"/>
              <w:spacing w:after="0"/>
              <w:jc w:val="both"/>
            </w:pPr>
          </w:p>
          <w:p w14:paraId="4A963C19" w14:textId="77777777" w:rsidR="00147CEE" w:rsidRDefault="00147CEE" w:rsidP="00147CEE">
            <w:pPr>
              <w:pStyle w:val="Texttabulky"/>
              <w:spacing w:after="0"/>
              <w:jc w:val="both"/>
            </w:pPr>
            <w:r>
              <w:rPr>
                <w:sz w:val="18"/>
                <w:szCs w:val="18"/>
              </w:rPr>
              <w:t>součástí navržené krajinné</w:t>
            </w:r>
          </w:p>
          <w:p w14:paraId="008C5664" w14:textId="77777777" w:rsidR="00147CEE" w:rsidRDefault="00147CEE" w:rsidP="00147CEE">
            <w:pPr>
              <w:pStyle w:val="Texttabulky"/>
              <w:spacing w:after="0"/>
              <w:jc w:val="both"/>
            </w:pPr>
            <w:r>
              <w:rPr>
                <w:sz w:val="18"/>
                <w:szCs w:val="18"/>
              </w:rPr>
              <w:t>p a m á t k o vé    z ó n y</w:t>
            </w:r>
          </w:p>
          <w:p w14:paraId="22DADC7F" w14:textId="77777777" w:rsidR="00147CEE" w:rsidRDefault="00147CEE" w:rsidP="00147CEE">
            <w:pPr>
              <w:pStyle w:val="Texttabulky"/>
              <w:spacing w:after="0"/>
              <w:jc w:val="both"/>
            </w:pPr>
            <w:r>
              <w:rPr>
                <w:sz w:val="18"/>
                <w:szCs w:val="18"/>
              </w:rPr>
              <w:t>DĚČÍN  -  PODMOKLY</w:t>
            </w:r>
          </w:p>
        </w:tc>
        <w:tc>
          <w:tcPr>
            <w:tcW w:w="571" w:type="dxa"/>
            <w:tcBorders>
              <w:top w:val="single" w:sz="6" w:space="0" w:color="auto"/>
              <w:left w:val="single" w:sz="6" w:space="0" w:color="auto"/>
              <w:bottom w:val="single" w:sz="6" w:space="0" w:color="auto"/>
              <w:right w:val="single" w:sz="6" w:space="0" w:color="auto"/>
            </w:tcBorders>
          </w:tcPr>
          <w:p w14:paraId="4149C762" w14:textId="77777777" w:rsidR="00147CEE" w:rsidRDefault="00147CEE" w:rsidP="00147CEE">
            <w:pPr>
              <w:pStyle w:val="Zkladntext"/>
              <w:spacing w:after="0"/>
              <w:jc w:val="both"/>
            </w:pPr>
          </w:p>
          <w:p w14:paraId="4672D860" w14:textId="77777777" w:rsidR="00147CEE" w:rsidRDefault="00147CEE" w:rsidP="00147CEE">
            <w:pPr>
              <w:pStyle w:val="Zkladntext"/>
              <w:spacing w:after="0"/>
              <w:jc w:val="both"/>
            </w:pPr>
          </w:p>
          <w:p w14:paraId="3EE3ADE5" w14:textId="77777777" w:rsidR="00147CEE" w:rsidRDefault="00147CEE" w:rsidP="00147CEE">
            <w:pPr>
              <w:pStyle w:val="Texttabulky"/>
              <w:spacing w:after="0"/>
              <w:jc w:val="both"/>
            </w:pPr>
            <w:r>
              <w:rPr>
                <w:b/>
                <w:bCs/>
                <w:sz w:val="18"/>
                <w:szCs w:val="18"/>
              </w:rPr>
              <w:t>75</w:t>
            </w:r>
          </w:p>
          <w:p w14:paraId="3F930DEC" w14:textId="77777777" w:rsidR="00147CEE" w:rsidRDefault="00147CEE" w:rsidP="00147CEE">
            <w:pPr>
              <w:pStyle w:val="Zkladntext"/>
              <w:spacing w:after="0"/>
              <w:jc w:val="both"/>
            </w:pPr>
          </w:p>
          <w:p w14:paraId="0789E783" w14:textId="77777777" w:rsidR="00147CEE" w:rsidRDefault="00147CEE" w:rsidP="00147CEE">
            <w:pPr>
              <w:pStyle w:val="Zkladntext"/>
              <w:spacing w:after="0"/>
              <w:jc w:val="both"/>
            </w:pPr>
          </w:p>
          <w:p w14:paraId="508338B9" w14:textId="77777777" w:rsidR="00147CEE" w:rsidRDefault="00147CEE" w:rsidP="00147CEE">
            <w:pPr>
              <w:pStyle w:val="Texttabulky"/>
              <w:spacing w:after="0"/>
              <w:jc w:val="both"/>
            </w:pPr>
            <w:r>
              <w:rPr>
                <w:b/>
                <w:bCs/>
                <w:sz w:val="18"/>
                <w:szCs w:val="18"/>
              </w:rPr>
              <w:t>100</w:t>
            </w:r>
          </w:p>
          <w:p w14:paraId="5523EA85" w14:textId="77777777" w:rsidR="00147CEE" w:rsidRDefault="00147CEE" w:rsidP="00147CEE">
            <w:pPr>
              <w:pStyle w:val="Zkladntext"/>
              <w:spacing w:after="0"/>
              <w:jc w:val="both"/>
            </w:pPr>
          </w:p>
          <w:p w14:paraId="5DE8DDEF" w14:textId="77777777" w:rsidR="00147CEE" w:rsidRDefault="00147CEE" w:rsidP="00147CEE">
            <w:pPr>
              <w:pStyle w:val="Zkladntext"/>
              <w:spacing w:after="0"/>
              <w:jc w:val="both"/>
            </w:pPr>
          </w:p>
          <w:p w14:paraId="49971010" w14:textId="77777777" w:rsidR="00147CEE" w:rsidRDefault="00147CEE" w:rsidP="00147CEE">
            <w:pPr>
              <w:pStyle w:val="Zkladntext"/>
              <w:spacing w:after="0"/>
              <w:jc w:val="both"/>
            </w:pPr>
          </w:p>
          <w:p w14:paraId="4350016A" w14:textId="77777777" w:rsidR="00147CEE" w:rsidRDefault="00147CEE" w:rsidP="00147CEE">
            <w:pPr>
              <w:pStyle w:val="Texttabulky"/>
              <w:spacing w:after="0"/>
              <w:jc w:val="both"/>
            </w:pPr>
            <w:r>
              <w:rPr>
                <w:sz w:val="18"/>
                <w:szCs w:val="18"/>
              </w:rPr>
              <w:t xml:space="preserve"> </w:t>
            </w:r>
          </w:p>
        </w:tc>
        <w:tc>
          <w:tcPr>
            <w:tcW w:w="491" w:type="dxa"/>
            <w:tcBorders>
              <w:top w:val="single" w:sz="6" w:space="0" w:color="auto"/>
              <w:left w:val="single" w:sz="6" w:space="0" w:color="auto"/>
              <w:bottom w:val="single" w:sz="6" w:space="0" w:color="auto"/>
              <w:right w:val="single" w:sz="6" w:space="0" w:color="auto"/>
            </w:tcBorders>
          </w:tcPr>
          <w:p w14:paraId="6F5323E9" w14:textId="77777777" w:rsidR="00147CEE" w:rsidRDefault="00147CEE" w:rsidP="00147CEE">
            <w:pPr>
              <w:pStyle w:val="Zkladntext"/>
              <w:spacing w:after="0"/>
              <w:jc w:val="both"/>
            </w:pPr>
          </w:p>
          <w:p w14:paraId="63958AC4" w14:textId="77777777" w:rsidR="00147CEE" w:rsidRDefault="00147CEE" w:rsidP="00147CEE">
            <w:pPr>
              <w:pStyle w:val="Zkladntext"/>
              <w:spacing w:after="0"/>
              <w:jc w:val="both"/>
            </w:pPr>
          </w:p>
          <w:p w14:paraId="7AF97B68" w14:textId="77777777" w:rsidR="00147CEE" w:rsidRDefault="00147CEE" w:rsidP="00147CEE">
            <w:pPr>
              <w:pStyle w:val="Zkladntext"/>
              <w:spacing w:after="0"/>
              <w:jc w:val="both"/>
            </w:pPr>
          </w:p>
          <w:p w14:paraId="50004ECC" w14:textId="77777777" w:rsidR="00147CEE" w:rsidRDefault="00147CEE" w:rsidP="00147CEE">
            <w:pPr>
              <w:pStyle w:val="Zkladntext"/>
              <w:spacing w:after="0"/>
              <w:jc w:val="both"/>
            </w:pPr>
          </w:p>
          <w:p w14:paraId="36DBD86E" w14:textId="77777777" w:rsidR="00147CEE" w:rsidRDefault="00147CEE" w:rsidP="00147CEE">
            <w:pPr>
              <w:pStyle w:val="Zkladntext"/>
              <w:spacing w:after="0"/>
              <w:jc w:val="both"/>
            </w:pPr>
          </w:p>
          <w:p w14:paraId="2B0AB227" w14:textId="77777777" w:rsidR="00147CEE" w:rsidRDefault="00147CEE" w:rsidP="00147CEE">
            <w:pPr>
              <w:pStyle w:val="Texttabulky"/>
              <w:spacing w:after="0"/>
              <w:jc w:val="both"/>
            </w:pPr>
            <w:r>
              <w:rPr>
                <w:sz w:val="18"/>
                <w:szCs w:val="18"/>
              </w:rPr>
              <w:t>4-5</w:t>
            </w:r>
          </w:p>
        </w:tc>
        <w:tc>
          <w:tcPr>
            <w:tcW w:w="4514" w:type="dxa"/>
            <w:tcBorders>
              <w:top w:val="single" w:sz="6" w:space="0" w:color="auto"/>
              <w:left w:val="single" w:sz="6" w:space="0" w:color="auto"/>
              <w:bottom w:val="single" w:sz="6" w:space="0" w:color="auto"/>
              <w:right w:val="single" w:sz="6" w:space="0" w:color="auto"/>
            </w:tcBorders>
          </w:tcPr>
          <w:p w14:paraId="546152DD" w14:textId="77777777" w:rsidR="00147CEE" w:rsidRDefault="00147CEE" w:rsidP="00147CEE">
            <w:pPr>
              <w:pStyle w:val="Texttabulky"/>
              <w:spacing w:after="0"/>
              <w:jc w:val="both"/>
            </w:pPr>
            <w:r>
              <w:rPr>
                <w:b/>
                <w:bCs/>
              </w:rPr>
              <w:t xml:space="preserve">dominantní: </w:t>
            </w:r>
            <w:r>
              <w:t>vybavenost celoměstského a regionálního charakteru (obchod, správa a administrativa, kultura, veřejné stravování a ubytování, nevýrobní služby)</w:t>
            </w:r>
          </w:p>
          <w:p w14:paraId="34B4DA2D" w14:textId="77777777" w:rsidR="00147CEE" w:rsidRDefault="00147CEE" w:rsidP="00147CEE">
            <w:pPr>
              <w:pStyle w:val="Zkladntext"/>
              <w:spacing w:after="0"/>
              <w:jc w:val="both"/>
            </w:pPr>
          </w:p>
          <w:p w14:paraId="1922CDC9" w14:textId="77777777" w:rsidR="00147CEE" w:rsidRDefault="00147CEE" w:rsidP="00147CEE">
            <w:pPr>
              <w:pStyle w:val="Texttabulky"/>
              <w:spacing w:after="0"/>
              <w:jc w:val="both"/>
            </w:pPr>
            <w:r>
              <w:rPr>
                <w:b/>
                <w:bCs/>
              </w:rPr>
              <w:t>vhodné:</w:t>
            </w:r>
            <w:r>
              <w:t xml:space="preserve"> trvalé bydlení v městských domech, zařízení školství, zdravotnictví, sociální péče, tělovýchovné areály, církevní objekty, odpovídající dopravní skelet s dopravní vybaveností (městské třídy s charakterem bulváru, doprava v klidu povrchová i podpovrchová, MHD, osobní nádraží a přístavy, pěší zóny, vyhlídkové</w:t>
            </w:r>
          </w:p>
          <w:p w14:paraId="673D5EE6" w14:textId="77777777" w:rsidR="00147CEE" w:rsidRDefault="00147CEE" w:rsidP="00147CEE">
            <w:pPr>
              <w:pStyle w:val="Texttabulky"/>
              <w:spacing w:after="0"/>
              <w:jc w:val="both"/>
            </w:pPr>
            <w:r>
              <w:t>a promenádní trasy, veřejná prostranství), městská zeleň liniová i plošná, technická infrastruktura, veřejné WC, uspořádání parteru s ohledem na celoměstský charakter zóny s vysokou architektonickou úrovní</w:t>
            </w:r>
          </w:p>
          <w:p w14:paraId="386E9750" w14:textId="77777777" w:rsidR="00147CEE" w:rsidRDefault="00147CEE" w:rsidP="00147CEE">
            <w:pPr>
              <w:pStyle w:val="Zkladntext"/>
              <w:spacing w:after="0"/>
              <w:jc w:val="both"/>
            </w:pPr>
          </w:p>
          <w:p w14:paraId="05AFB846" w14:textId="77777777" w:rsidR="00147CEE" w:rsidRDefault="00147CEE" w:rsidP="00147CEE">
            <w:pPr>
              <w:pStyle w:val="Texttabulky"/>
              <w:spacing w:after="0"/>
              <w:jc w:val="both"/>
            </w:pPr>
            <w:r>
              <w:rPr>
                <w:b/>
                <w:bCs/>
              </w:rPr>
              <w:t xml:space="preserve">nepřípustné: </w:t>
            </w:r>
            <w:r>
              <w:t>areály průmyslové výroby,skladů, dopravy a výrobních služeb</w:t>
            </w:r>
          </w:p>
          <w:p w14:paraId="413D1199" w14:textId="77777777" w:rsidR="00147CEE" w:rsidRDefault="00147CEE" w:rsidP="00147CEE">
            <w:pPr>
              <w:pStyle w:val="Zkladntext"/>
              <w:spacing w:after="0"/>
              <w:jc w:val="both"/>
            </w:pPr>
          </w:p>
          <w:p w14:paraId="5ED8EEF3" w14:textId="77777777" w:rsidR="00147CEE" w:rsidRDefault="00147CEE" w:rsidP="00147CEE">
            <w:pPr>
              <w:pStyle w:val="Texttabulky"/>
              <w:spacing w:after="0"/>
              <w:jc w:val="both"/>
            </w:pPr>
            <w:r>
              <w:rPr>
                <w:b/>
                <w:bCs/>
              </w:rPr>
              <w:t>charakteristické polyfunkční městské domy</w:t>
            </w:r>
            <w:r>
              <w:t xml:space="preserve"> s vybaveností či komercí v parteru (1. a 2. podl.) a s 50 % zastoupením trvalého bydlení a regulativy vyplývající z podmínek příslušného prostoru či lokality (tvar střech, počet podlaží, uliční čára, stavební čára, pestrá skladba arch. prvků a detailů, členění fasád - okna, </w:t>
            </w:r>
          </w:p>
          <w:p w14:paraId="4353CE59" w14:textId="77777777" w:rsidR="00147CEE" w:rsidRDefault="00147CEE" w:rsidP="00147CEE">
            <w:pPr>
              <w:pStyle w:val="Texttabulky"/>
              <w:spacing w:after="0"/>
              <w:jc w:val="both"/>
            </w:pPr>
            <w:r>
              <w:t>výkladce, reklamy, obytný vnitroblok (zeleň,PP), půdní vestavby</w:t>
            </w:r>
          </w:p>
          <w:p w14:paraId="011FFFA8" w14:textId="77777777" w:rsidR="00147CEE" w:rsidRDefault="00147CEE" w:rsidP="00147CEE">
            <w:pPr>
              <w:pStyle w:val="Texttabulky"/>
              <w:spacing w:after="0"/>
              <w:jc w:val="both"/>
            </w:pPr>
            <w:r>
              <w:t>bez dominant</w:t>
            </w:r>
          </w:p>
          <w:p w14:paraId="439F82E8" w14:textId="77777777" w:rsidR="00147CEE" w:rsidRDefault="00147CEE" w:rsidP="00147CEE">
            <w:pPr>
              <w:pStyle w:val="Texttabulky"/>
              <w:spacing w:after="0"/>
              <w:jc w:val="both"/>
            </w:pPr>
            <w:r>
              <w:rPr>
                <w:b/>
                <w:bCs/>
              </w:rPr>
              <w:t>doporučení:</w:t>
            </w:r>
            <w:r>
              <w:t xml:space="preserve"> dostavba proluk, modernizace, rekonstrukce a přestavba tohoto území je prvořadá, zpracovat regulační plán, vymístit nevhodné provozovny</w:t>
            </w:r>
          </w:p>
        </w:tc>
      </w:tr>
      <w:tr w:rsidR="00147CEE" w14:paraId="7994C09E" w14:textId="77777777" w:rsidTr="002D2D45">
        <w:tc>
          <w:tcPr>
            <w:tcW w:w="573" w:type="dxa"/>
            <w:tcBorders>
              <w:top w:val="single" w:sz="6" w:space="0" w:color="auto"/>
              <w:left w:val="single" w:sz="6" w:space="0" w:color="auto"/>
              <w:bottom w:val="single" w:sz="6" w:space="0" w:color="auto"/>
              <w:right w:val="single" w:sz="6" w:space="0" w:color="auto"/>
            </w:tcBorders>
          </w:tcPr>
          <w:p w14:paraId="67F48448" w14:textId="77777777" w:rsidR="00147CEE" w:rsidRDefault="00147CEE" w:rsidP="00147CEE">
            <w:pPr>
              <w:pStyle w:val="Texttabulky"/>
              <w:spacing w:after="0"/>
              <w:jc w:val="both"/>
            </w:pPr>
            <w:r>
              <w:rPr>
                <w:b/>
                <w:bCs/>
              </w:rPr>
              <w:t>SM</w:t>
            </w:r>
          </w:p>
        </w:tc>
        <w:tc>
          <w:tcPr>
            <w:tcW w:w="2688" w:type="dxa"/>
            <w:tcBorders>
              <w:top w:val="single" w:sz="6" w:space="0" w:color="auto"/>
              <w:left w:val="single" w:sz="6" w:space="0" w:color="auto"/>
              <w:bottom w:val="single" w:sz="6" w:space="0" w:color="auto"/>
              <w:right w:val="single" w:sz="6" w:space="0" w:color="auto"/>
            </w:tcBorders>
          </w:tcPr>
          <w:p w14:paraId="2A83A7BB" w14:textId="77777777" w:rsidR="00147CEE" w:rsidRDefault="00147CEE" w:rsidP="00147CEE">
            <w:pPr>
              <w:pStyle w:val="Texttabulky"/>
              <w:spacing w:after="0"/>
              <w:jc w:val="both"/>
            </w:pPr>
            <w:r>
              <w:rPr>
                <w:b/>
                <w:bCs/>
                <w:caps/>
                <w:sz w:val="18"/>
                <w:szCs w:val="18"/>
              </w:rPr>
              <w:t>smíšená městská zóna</w:t>
            </w:r>
          </w:p>
          <w:p w14:paraId="17C68827" w14:textId="77777777" w:rsidR="00147CEE" w:rsidRDefault="00147CEE" w:rsidP="00147CEE">
            <w:pPr>
              <w:pStyle w:val="Texttabulky"/>
              <w:spacing w:after="0"/>
              <w:jc w:val="both"/>
            </w:pPr>
            <w:r>
              <w:rPr>
                <w:sz w:val="18"/>
                <w:szCs w:val="18"/>
              </w:rPr>
              <w:t>zahrnuje dominantní obytné</w:t>
            </w:r>
          </w:p>
          <w:p w14:paraId="36620421" w14:textId="77777777" w:rsidR="00147CEE" w:rsidRDefault="00147CEE" w:rsidP="00147CEE">
            <w:pPr>
              <w:pStyle w:val="Texttabulky"/>
              <w:spacing w:after="0"/>
              <w:jc w:val="both"/>
            </w:pPr>
            <w:r>
              <w:rPr>
                <w:sz w:val="18"/>
                <w:szCs w:val="18"/>
              </w:rPr>
              <w:t>území města na obou březích</w:t>
            </w:r>
          </w:p>
          <w:p w14:paraId="69453629" w14:textId="77777777" w:rsidR="00147CEE" w:rsidRDefault="00147CEE" w:rsidP="00147CEE">
            <w:pPr>
              <w:pStyle w:val="Texttabulky"/>
              <w:spacing w:after="0"/>
              <w:jc w:val="both"/>
            </w:pPr>
            <w:r>
              <w:rPr>
                <w:sz w:val="18"/>
                <w:szCs w:val="18"/>
              </w:rPr>
              <w:t>Labe s vysokým podílem ko-</w:t>
            </w:r>
          </w:p>
          <w:p w14:paraId="1F3BAA5F" w14:textId="77777777" w:rsidR="00147CEE" w:rsidRDefault="00147CEE" w:rsidP="00147CEE">
            <w:pPr>
              <w:pStyle w:val="Texttabulky"/>
              <w:spacing w:after="0"/>
              <w:jc w:val="both"/>
            </w:pPr>
            <w:r>
              <w:rPr>
                <w:sz w:val="18"/>
                <w:szCs w:val="18"/>
              </w:rPr>
              <w:t>lektivního bydlení</w:t>
            </w:r>
          </w:p>
          <w:p w14:paraId="4F03D26E" w14:textId="77777777" w:rsidR="00147CEE" w:rsidRDefault="00147CEE" w:rsidP="00147CEE">
            <w:pPr>
              <w:pStyle w:val="Zkladntext"/>
              <w:spacing w:after="0"/>
              <w:jc w:val="both"/>
            </w:pPr>
          </w:p>
          <w:p w14:paraId="60ACB095" w14:textId="77777777" w:rsidR="00147CEE" w:rsidRDefault="00147CEE" w:rsidP="00147CEE">
            <w:pPr>
              <w:pStyle w:val="Zkladntext"/>
              <w:spacing w:after="0"/>
              <w:jc w:val="both"/>
            </w:pPr>
          </w:p>
          <w:p w14:paraId="5BFF302D" w14:textId="77777777" w:rsidR="00147CEE" w:rsidRDefault="00147CEE" w:rsidP="00147CEE">
            <w:pPr>
              <w:pStyle w:val="Zkladntext"/>
              <w:spacing w:after="0"/>
              <w:jc w:val="both"/>
            </w:pPr>
          </w:p>
          <w:p w14:paraId="67E80556" w14:textId="77777777" w:rsidR="00147CEE" w:rsidRDefault="00147CEE" w:rsidP="00147CEE">
            <w:pPr>
              <w:pStyle w:val="Zkladntext"/>
              <w:spacing w:after="0"/>
              <w:jc w:val="both"/>
            </w:pPr>
          </w:p>
          <w:p w14:paraId="4B21B006" w14:textId="77777777" w:rsidR="00147CEE" w:rsidRDefault="00147CEE" w:rsidP="00147CEE">
            <w:pPr>
              <w:pStyle w:val="Zkladntext"/>
              <w:spacing w:after="0"/>
              <w:jc w:val="both"/>
            </w:pPr>
          </w:p>
          <w:p w14:paraId="666AB2B7" w14:textId="77777777" w:rsidR="00147CEE" w:rsidRDefault="00147CEE" w:rsidP="00147CEE">
            <w:pPr>
              <w:pStyle w:val="Texttabulky"/>
              <w:spacing w:after="0"/>
              <w:jc w:val="both"/>
            </w:pPr>
            <w:r>
              <w:rPr>
                <w:caps/>
                <w:sz w:val="18"/>
                <w:szCs w:val="18"/>
              </w:rPr>
              <w:t>NOVÉ MĚSTO STARÉ MĚSTO</w:t>
            </w:r>
          </w:p>
          <w:p w14:paraId="2656FCD6" w14:textId="77777777" w:rsidR="00147CEE" w:rsidRDefault="00147CEE" w:rsidP="00147CEE">
            <w:pPr>
              <w:pStyle w:val="Texttabulky"/>
              <w:spacing w:after="0"/>
              <w:jc w:val="both"/>
            </w:pPr>
            <w:r>
              <w:rPr>
                <w:caps/>
                <w:sz w:val="18"/>
                <w:szCs w:val="18"/>
              </w:rPr>
              <w:t>ŽELENICE bynov</w:t>
            </w:r>
          </w:p>
          <w:p w14:paraId="722E55DC" w14:textId="77777777" w:rsidR="00147CEE" w:rsidRDefault="00147CEE" w:rsidP="00147CEE">
            <w:pPr>
              <w:pStyle w:val="Texttabulky"/>
              <w:spacing w:after="0"/>
              <w:jc w:val="both"/>
            </w:pPr>
            <w:r>
              <w:rPr>
                <w:caps/>
                <w:sz w:val="18"/>
                <w:szCs w:val="18"/>
              </w:rPr>
              <w:t>BŘEZINY</w:t>
            </w:r>
          </w:p>
          <w:p w14:paraId="76A0DAFF" w14:textId="77777777" w:rsidR="00147CEE" w:rsidRDefault="00147CEE" w:rsidP="00147CEE">
            <w:pPr>
              <w:pStyle w:val="Texttabulky"/>
              <w:spacing w:after="0"/>
              <w:jc w:val="both"/>
            </w:pPr>
            <w:r>
              <w:rPr>
                <w:caps/>
                <w:sz w:val="18"/>
                <w:szCs w:val="18"/>
              </w:rPr>
              <w:t>BOLETICE n.Lab.</w:t>
            </w:r>
          </w:p>
        </w:tc>
        <w:tc>
          <w:tcPr>
            <w:tcW w:w="571" w:type="dxa"/>
            <w:tcBorders>
              <w:top w:val="single" w:sz="6" w:space="0" w:color="auto"/>
              <w:left w:val="single" w:sz="6" w:space="0" w:color="auto"/>
              <w:bottom w:val="single" w:sz="6" w:space="0" w:color="auto"/>
              <w:right w:val="single" w:sz="6" w:space="0" w:color="auto"/>
            </w:tcBorders>
          </w:tcPr>
          <w:p w14:paraId="13FE4F11" w14:textId="77777777" w:rsidR="00147CEE" w:rsidRDefault="00147CEE" w:rsidP="00147CEE">
            <w:pPr>
              <w:pStyle w:val="Zkladntext"/>
              <w:spacing w:after="0"/>
              <w:jc w:val="both"/>
            </w:pPr>
          </w:p>
          <w:p w14:paraId="1E2BFE58" w14:textId="77777777" w:rsidR="00147CEE" w:rsidRDefault="00147CEE" w:rsidP="00147CEE">
            <w:pPr>
              <w:pStyle w:val="Zkladntext"/>
              <w:spacing w:after="0"/>
              <w:jc w:val="both"/>
            </w:pPr>
          </w:p>
          <w:p w14:paraId="18C92E2B" w14:textId="77777777" w:rsidR="00147CEE" w:rsidRDefault="00147CEE" w:rsidP="00147CEE">
            <w:pPr>
              <w:pStyle w:val="Zkladntext"/>
              <w:spacing w:after="0"/>
              <w:jc w:val="both"/>
            </w:pPr>
          </w:p>
          <w:p w14:paraId="78FCE3EF" w14:textId="77777777" w:rsidR="00147CEE" w:rsidRDefault="00147CEE" w:rsidP="00147CEE">
            <w:pPr>
              <w:pStyle w:val="Zkladntext"/>
              <w:spacing w:after="0"/>
              <w:jc w:val="both"/>
            </w:pPr>
          </w:p>
          <w:p w14:paraId="18C1507F" w14:textId="77777777" w:rsidR="00147CEE" w:rsidRDefault="00147CEE" w:rsidP="00147CEE">
            <w:pPr>
              <w:pStyle w:val="Texttabulky"/>
              <w:spacing w:after="0"/>
              <w:jc w:val="both"/>
            </w:pPr>
            <w:r>
              <w:rPr>
                <w:sz w:val="18"/>
                <w:szCs w:val="18"/>
              </w:rPr>
              <w:t>50</w:t>
            </w:r>
          </w:p>
        </w:tc>
        <w:tc>
          <w:tcPr>
            <w:tcW w:w="491" w:type="dxa"/>
            <w:tcBorders>
              <w:top w:val="single" w:sz="6" w:space="0" w:color="auto"/>
              <w:left w:val="single" w:sz="6" w:space="0" w:color="auto"/>
              <w:bottom w:val="single" w:sz="6" w:space="0" w:color="auto"/>
              <w:right w:val="single" w:sz="6" w:space="0" w:color="auto"/>
            </w:tcBorders>
          </w:tcPr>
          <w:p w14:paraId="4B39D79A" w14:textId="77777777" w:rsidR="00147CEE" w:rsidRDefault="00147CEE" w:rsidP="00147CEE">
            <w:pPr>
              <w:pStyle w:val="Zkladntext"/>
              <w:spacing w:after="0"/>
              <w:jc w:val="both"/>
            </w:pPr>
          </w:p>
          <w:p w14:paraId="05110305" w14:textId="77777777" w:rsidR="00147CEE" w:rsidRDefault="00147CEE" w:rsidP="00147CEE">
            <w:pPr>
              <w:pStyle w:val="Zkladntext"/>
              <w:spacing w:after="0"/>
              <w:jc w:val="both"/>
            </w:pPr>
          </w:p>
          <w:p w14:paraId="78AD82A5" w14:textId="77777777" w:rsidR="00147CEE" w:rsidRDefault="00147CEE" w:rsidP="00147CEE">
            <w:pPr>
              <w:pStyle w:val="Zkladntext"/>
              <w:spacing w:after="0"/>
              <w:jc w:val="both"/>
            </w:pPr>
          </w:p>
          <w:p w14:paraId="3379FE1C" w14:textId="77777777" w:rsidR="00147CEE" w:rsidRDefault="00147CEE" w:rsidP="00147CEE">
            <w:pPr>
              <w:pStyle w:val="Zkladntext"/>
              <w:spacing w:after="0"/>
              <w:jc w:val="both"/>
            </w:pPr>
          </w:p>
          <w:p w14:paraId="6A164FE9" w14:textId="77777777" w:rsidR="00147CEE" w:rsidRDefault="00147CEE" w:rsidP="00147CEE">
            <w:pPr>
              <w:pStyle w:val="Texttabulky"/>
              <w:spacing w:after="0"/>
              <w:jc w:val="both"/>
            </w:pPr>
            <w:r>
              <w:rPr>
                <w:sz w:val="18"/>
                <w:szCs w:val="18"/>
              </w:rPr>
              <w:t>3-4</w:t>
            </w:r>
          </w:p>
        </w:tc>
        <w:tc>
          <w:tcPr>
            <w:tcW w:w="4514" w:type="dxa"/>
            <w:tcBorders>
              <w:top w:val="single" w:sz="6" w:space="0" w:color="auto"/>
              <w:left w:val="single" w:sz="6" w:space="0" w:color="auto"/>
              <w:bottom w:val="single" w:sz="6" w:space="0" w:color="auto"/>
              <w:right w:val="single" w:sz="6" w:space="0" w:color="auto"/>
            </w:tcBorders>
          </w:tcPr>
          <w:p w14:paraId="75049261" w14:textId="77777777" w:rsidR="00147CEE" w:rsidRDefault="00147CEE" w:rsidP="00147CEE">
            <w:pPr>
              <w:pStyle w:val="Texttabulky"/>
              <w:spacing w:after="0"/>
              <w:jc w:val="both"/>
            </w:pPr>
            <w:r>
              <w:rPr>
                <w:b/>
                <w:bCs/>
              </w:rPr>
              <w:t>dominantní:</w:t>
            </w:r>
            <w:r>
              <w:t xml:space="preserve"> trvalé bydlení v městských i bytových </w:t>
            </w:r>
          </w:p>
          <w:p w14:paraId="4B70934A" w14:textId="77777777" w:rsidR="00147CEE" w:rsidRDefault="00147CEE" w:rsidP="00147CEE">
            <w:pPr>
              <w:pStyle w:val="Texttabulky"/>
              <w:spacing w:after="0"/>
              <w:jc w:val="both"/>
            </w:pPr>
            <w:r>
              <w:t>domech, individuelní trvalé bydlení, zařízení obchodu, školství, veřejného stravování, tělovýchovné areály, nerušící provozy drobné výroroby a služeb</w:t>
            </w:r>
          </w:p>
          <w:p w14:paraId="38CF680F" w14:textId="77777777" w:rsidR="00147CEE" w:rsidRDefault="00147CEE" w:rsidP="00147CEE">
            <w:pPr>
              <w:pStyle w:val="Texttabulky"/>
              <w:spacing w:after="0"/>
              <w:jc w:val="both"/>
            </w:pPr>
            <w:r>
              <w:rPr>
                <w:b/>
                <w:bCs/>
              </w:rPr>
              <w:t xml:space="preserve">vhodné: </w:t>
            </w:r>
            <w:r>
              <w:t xml:space="preserve">vybavenost celoměstského a lokálního charakteru (zdravotní a sociální, kulturní, církevní, ubytování) odpovídající komunikační síť (hlavní ulice s charakterem městské třídy), MHD, parkovací plochy a garáže, stanice PHM, zeleň liniová i plošná, nezbytná technická infrastruktura </w:t>
            </w:r>
          </w:p>
          <w:p w14:paraId="07D7C9B1" w14:textId="77777777" w:rsidR="00147CEE" w:rsidRDefault="00147CEE" w:rsidP="00147CEE">
            <w:pPr>
              <w:pStyle w:val="Texttabulky"/>
              <w:spacing w:after="0"/>
              <w:jc w:val="both"/>
            </w:pPr>
            <w:r>
              <w:rPr>
                <w:b/>
                <w:bCs/>
              </w:rPr>
              <w:t xml:space="preserve">nepřípustné: </w:t>
            </w:r>
            <w:r>
              <w:t>areály výroby, skladů, dopravních zařízení a rušících výrobních služeb</w:t>
            </w:r>
          </w:p>
          <w:p w14:paraId="7C612E4A" w14:textId="77777777" w:rsidR="00147CEE" w:rsidRDefault="00147CEE" w:rsidP="00147CEE">
            <w:pPr>
              <w:pStyle w:val="Zkladntext"/>
              <w:spacing w:after="0"/>
              <w:jc w:val="both"/>
            </w:pPr>
          </w:p>
          <w:p w14:paraId="3739C66B" w14:textId="77777777" w:rsidR="00147CEE" w:rsidRDefault="00147CEE" w:rsidP="00147CEE">
            <w:pPr>
              <w:pStyle w:val="Texttabulky"/>
              <w:spacing w:after="0"/>
              <w:jc w:val="both"/>
            </w:pPr>
            <w:r>
              <w:rPr>
                <w:b/>
                <w:bCs/>
              </w:rPr>
              <w:t xml:space="preserve">polyfunkční městské domy </w:t>
            </w:r>
            <w:r>
              <w:t xml:space="preserve">s odpovídajícím uspořádáním parteru a 50 % trvalým bydlením, </w:t>
            </w:r>
            <w:r>
              <w:rPr>
                <w:b/>
                <w:bCs/>
              </w:rPr>
              <w:t>monofunkční bytové domy a vila domy</w:t>
            </w:r>
            <w:r>
              <w:t xml:space="preserve"> se 100 % trvalým bydlením a regulativy, vyplývající z podmínek příslušného prostoru či lokality </w:t>
            </w:r>
          </w:p>
          <w:p w14:paraId="3E7DC253" w14:textId="77777777" w:rsidR="00147CEE" w:rsidRDefault="00147CEE" w:rsidP="00147CEE">
            <w:pPr>
              <w:pStyle w:val="Zkladntext"/>
              <w:spacing w:after="0"/>
              <w:jc w:val="both"/>
            </w:pPr>
          </w:p>
        </w:tc>
      </w:tr>
      <w:tr w:rsidR="00147CEE" w14:paraId="1EA7DEB0" w14:textId="77777777" w:rsidTr="002D2D45">
        <w:tc>
          <w:tcPr>
            <w:tcW w:w="573" w:type="dxa"/>
            <w:tcBorders>
              <w:top w:val="single" w:sz="6" w:space="0" w:color="auto"/>
              <w:left w:val="single" w:sz="6" w:space="0" w:color="auto"/>
              <w:bottom w:val="single" w:sz="6" w:space="0" w:color="auto"/>
              <w:right w:val="single" w:sz="6" w:space="0" w:color="auto"/>
            </w:tcBorders>
          </w:tcPr>
          <w:p w14:paraId="5AAE5EC3" w14:textId="77777777" w:rsidR="00147CEE" w:rsidRDefault="00147CEE" w:rsidP="00147CEE">
            <w:pPr>
              <w:pStyle w:val="Texttabulky"/>
              <w:spacing w:after="0"/>
              <w:jc w:val="both"/>
            </w:pPr>
            <w:r>
              <w:rPr>
                <w:b/>
                <w:bCs/>
              </w:rPr>
              <w:t>BM</w:t>
            </w:r>
          </w:p>
        </w:tc>
        <w:tc>
          <w:tcPr>
            <w:tcW w:w="2688" w:type="dxa"/>
            <w:tcBorders>
              <w:top w:val="single" w:sz="6" w:space="0" w:color="auto"/>
              <w:left w:val="single" w:sz="6" w:space="0" w:color="auto"/>
              <w:bottom w:val="single" w:sz="6" w:space="0" w:color="auto"/>
              <w:right w:val="single" w:sz="6" w:space="0" w:color="auto"/>
            </w:tcBorders>
          </w:tcPr>
          <w:p w14:paraId="6E76584C" w14:textId="77777777" w:rsidR="00147CEE" w:rsidRDefault="00147CEE" w:rsidP="00147CEE">
            <w:pPr>
              <w:pStyle w:val="Texttabulky"/>
              <w:spacing w:after="0"/>
              <w:jc w:val="both"/>
            </w:pPr>
            <w:r>
              <w:rPr>
                <w:b/>
                <w:bCs/>
                <w:caps/>
                <w:sz w:val="18"/>
                <w:szCs w:val="18"/>
              </w:rPr>
              <w:t>RD městského typu</w:t>
            </w:r>
          </w:p>
          <w:p w14:paraId="4D26464F" w14:textId="77777777" w:rsidR="00147CEE" w:rsidRDefault="00147CEE" w:rsidP="00147CEE">
            <w:pPr>
              <w:pStyle w:val="Texttabulky"/>
              <w:spacing w:after="0"/>
              <w:jc w:val="both"/>
            </w:pPr>
            <w:r>
              <w:rPr>
                <w:sz w:val="18"/>
                <w:szCs w:val="18"/>
              </w:rPr>
              <w:t>zahrnuje nejkvalitnější obytné</w:t>
            </w:r>
          </w:p>
          <w:p w14:paraId="5064115A" w14:textId="77777777" w:rsidR="00147CEE" w:rsidRDefault="00147CEE" w:rsidP="00147CEE">
            <w:pPr>
              <w:pStyle w:val="Texttabulky"/>
              <w:spacing w:after="0"/>
              <w:jc w:val="both"/>
            </w:pPr>
            <w:r>
              <w:rPr>
                <w:sz w:val="18"/>
                <w:szCs w:val="18"/>
              </w:rPr>
              <w:t>území města s nejlepšími pod-</w:t>
            </w:r>
          </w:p>
          <w:p w14:paraId="29FA7C91" w14:textId="77777777" w:rsidR="00147CEE" w:rsidRDefault="00147CEE" w:rsidP="00147CEE">
            <w:pPr>
              <w:pStyle w:val="Texttabulky"/>
              <w:spacing w:after="0"/>
              <w:jc w:val="both"/>
            </w:pPr>
            <w:r>
              <w:rPr>
                <w:sz w:val="18"/>
                <w:szCs w:val="18"/>
              </w:rPr>
              <w:t xml:space="preserve">mínkami pro trvalé bydlení  </w:t>
            </w:r>
          </w:p>
          <w:p w14:paraId="09899C79" w14:textId="77777777" w:rsidR="00147CEE" w:rsidRDefault="00147CEE" w:rsidP="00147CEE">
            <w:pPr>
              <w:pStyle w:val="Zkladntext"/>
              <w:spacing w:after="0"/>
              <w:jc w:val="both"/>
            </w:pPr>
          </w:p>
          <w:p w14:paraId="7F44809B" w14:textId="77777777" w:rsidR="00147CEE" w:rsidRDefault="00147CEE" w:rsidP="00147CEE">
            <w:pPr>
              <w:pStyle w:val="Zkladntext"/>
              <w:spacing w:after="0"/>
              <w:jc w:val="both"/>
            </w:pPr>
          </w:p>
          <w:p w14:paraId="0206B26C" w14:textId="77777777" w:rsidR="00147CEE" w:rsidRDefault="00147CEE" w:rsidP="00147CEE">
            <w:pPr>
              <w:pStyle w:val="Texttabulky"/>
              <w:spacing w:after="0"/>
              <w:jc w:val="both"/>
            </w:pPr>
            <w:r>
              <w:rPr>
                <w:sz w:val="18"/>
                <w:szCs w:val="18"/>
              </w:rPr>
              <w:t>BĚLÁ, ČECHY, JALŮVČÍ,</w:t>
            </w:r>
          </w:p>
          <w:p w14:paraId="55F7934E" w14:textId="77777777" w:rsidR="00147CEE" w:rsidRDefault="00147CEE" w:rsidP="00147CEE">
            <w:pPr>
              <w:pStyle w:val="Texttabulky"/>
              <w:spacing w:after="0"/>
              <w:jc w:val="both"/>
            </w:pPr>
            <w:r>
              <w:rPr>
                <w:sz w:val="18"/>
                <w:szCs w:val="18"/>
              </w:rPr>
              <w:t>ŠKRABKY, CHROCHVICE,</w:t>
            </w:r>
          </w:p>
          <w:p w14:paraId="15DAE86A" w14:textId="77777777" w:rsidR="00147CEE" w:rsidRDefault="00147CEE" w:rsidP="00147CEE">
            <w:pPr>
              <w:pStyle w:val="Texttabulky"/>
              <w:spacing w:after="0"/>
              <w:jc w:val="both"/>
            </w:pPr>
            <w:r>
              <w:rPr>
                <w:sz w:val="18"/>
                <w:szCs w:val="18"/>
              </w:rPr>
              <w:t>LETNÁ, POPOVICE,</w:t>
            </w:r>
          </w:p>
          <w:p w14:paraId="0A12E328" w14:textId="77777777" w:rsidR="00147CEE" w:rsidRDefault="00147CEE" w:rsidP="00147CEE">
            <w:pPr>
              <w:pStyle w:val="Texttabulky"/>
              <w:spacing w:after="0"/>
              <w:jc w:val="both"/>
            </w:pPr>
            <w:r>
              <w:rPr>
                <w:sz w:val="18"/>
                <w:szCs w:val="18"/>
              </w:rPr>
              <w:t>HORNÍ OLDŘICHOV,</w:t>
            </w:r>
          </w:p>
          <w:p w14:paraId="11A1354C" w14:textId="77777777" w:rsidR="00147CEE" w:rsidRDefault="00147CEE" w:rsidP="00147CEE">
            <w:pPr>
              <w:pStyle w:val="Texttabulky"/>
              <w:spacing w:after="0"/>
              <w:jc w:val="both"/>
            </w:pPr>
            <w:r>
              <w:rPr>
                <w:sz w:val="18"/>
                <w:szCs w:val="18"/>
              </w:rPr>
              <w:lastRenderedPageBreak/>
              <w:t xml:space="preserve">CHROCHVICE, FOLKNÁŘE, VILSNICE, KŘEŠICE, </w:t>
            </w:r>
          </w:p>
          <w:p w14:paraId="70866E30" w14:textId="77777777" w:rsidR="00147CEE" w:rsidRDefault="00147CEE" w:rsidP="00147CEE">
            <w:pPr>
              <w:pStyle w:val="Texttabulky"/>
              <w:spacing w:after="0"/>
              <w:jc w:val="both"/>
            </w:pPr>
            <w:r>
              <w:rPr>
                <w:sz w:val="18"/>
                <w:szCs w:val="18"/>
              </w:rPr>
              <w:t>NEBOČADY</w:t>
            </w:r>
          </w:p>
        </w:tc>
        <w:tc>
          <w:tcPr>
            <w:tcW w:w="571" w:type="dxa"/>
            <w:tcBorders>
              <w:top w:val="single" w:sz="6" w:space="0" w:color="auto"/>
              <w:left w:val="single" w:sz="6" w:space="0" w:color="auto"/>
              <w:bottom w:val="single" w:sz="6" w:space="0" w:color="auto"/>
              <w:right w:val="single" w:sz="6" w:space="0" w:color="auto"/>
            </w:tcBorders>
          </w:tcPr>
          <w:p w14:paraId="703E0F83" w14:textId="77777777" w:rsidR="00147CEE" w:rsidRDefault="00147CEE" w:rsidP="00147CEE">
            <w:pPr>
              <w:pStyle w:val="Zkladntext"/>
              <w:spacing w:after="0"/>
              <w:jc w:val="both"/>
            </w:pPr>
          </w:p>
          <w:p w14:paraId="17E5F9F8" w14:textId="77777777" w:rsidR="00147CEE" w:rsidRDefault="00147CEE" w:rsidP="00147CEE">
            <w:pPr>
              <w:pStyle w:val="Zkladntext"/>
              <w:spacing w:after="0"/>
              <w:jc w:val="both"/>
            </w:pPr>
          </w:p>
          <w:p w14:paraId="6CB36FCA" w14:textId="77777777" w:rsidR="00147CEE" w:rsidRDefault="00147CEE" w:rsidP="00147CEE">
            <w:pPr>
              <w:pStyle w:val="Zkladntext"/>
              <w:spacing w:after="0"/>
              <w:jc w:val="both"/>
            </w:pPr>
          </w:p>
          <w:p w14:paraId="3AD48A46" w14:textId="77777777" w:rsidR="00147CEE" w:rsidRDefault="00147CEE" w:rsidP="00147CEE">
            <w:pPr>
              <w:pStyle w:val="Zkladntext"/>
              <w:spacing w:after="0"/>
              <w:jc w:val="both"/>
            </w:pPr>
          </w:p>
          <w:p w14:paraId="06C97CDE" w14:textId="77777777" w:rsidR="00147CEE" w:rsidRDefault="00147CEE" w:rsidP="00147CEE">
            <w:pPr>
              <w:pStyle w:val="Zkladntext"/>
              <w:spacing w:after="0"/>
              <w:jc w:val="both"/>
            </w:pPr>
          </w:p>
          <w:p w14:paraId="7AC81787" w14:textId="77777777" w:rsidR="00147CEE" w:rsidRDefault="00147CEE" w:rsidP="00147CEE">
            <w:pPr>
              <w:pStyle w:val="Texttabulky"/>
              <w:spacing w:after="0"/>
              <w:jc w:val="both"/>
            </w:pPr>
            <w:r>
              <w:rPr>
                <w:sz w:val="18"/>
                <w:szCs w:val="18"/>
              </w:rPr>
              <w:t>25</w:t>
            </w:r>
          </w:p>
          <w:p w14:paraId="693B8FCD" w14:textId="77777777" w:rsidR="00147CEE" w:rsidRDefault="00147CEE" w:rsidP="00147CEE">
            <w:pPr>
              <w:pStyle w:val="Zkladntext"/>
              <w:spacing w:after="0"/>
              <w:jc w:val="both"/>
            </w:pPr>
          </w:p>
          <w:p w14:paraId="2D088BC2" w14:textId="77777777" w:rsidR="00147CEE" w:rsidRDefault="00147CEE" w:rsidP="00147CEE">
            <w:pPr>
              <w:pStyle w:val="Zkladntext"/>
              <w:spacing w:after="0"/>
              <w:jc w:val="both"/>
            </w:pPr>
          </w:p>
          <w:p w14:paraId="3BE6549D" w14:textId="77777777" w:rsidR="00147CEE" w:rsidRDefault="00147CEE" w:rsidP="00147CEE">
            <w:pPr>
              <w:pStyle w:val="Zkladntext"/>
              <w:spacing w:after="0"/>
              <w:jc w:val="both"/>
            </w:pPr>
          </w:p>
          <w:p w14:paraId="0E48DB49" w14:textId="77777777" w:rsidR="00147CEE" w:rsidRDefault="00147CEE" w:rsidP="00147CEE">
            <w:pPr>
              <w:pStyle w:val="Zkladntext"/>
              <w:spacing w:after="0"/>
              <w:jc w:val="both"/>
            </w:pPr>
          </w:p>
          <w:p w14:paraId="1C11479A" w14:textId="77777777" w:rsidR="00147CEE" w:rsidRDefault="00147CEE" w:rsidP="00147CEE">
            <w:pPr>
              <w:pStyle w:val="Zkladntext"/>
              <w:spacing w:after="0"/>
              <w:jc w:val="both"/>
            </w:pPr>
          </w:p>
        </w:tc>
        <w:tc>
          <w:tcPr>
            <w:tcW w:w="491" w:type="dxa"/>
            <w:tcBorders>
              <w:top w:val="single" w:sz="6" w:space="0" w:color="auto"/>
              <w:left w:val="single" w:sz="6" w:space="0" w:color="auto"/>
              <w:bottom w:val="single" w:sz="6" w:space="0" w:color="auto"/>
              <w:right w:val="single" w:sz="6" w:space="0" w:color="auto"/>
            </w:tcBorders>
          </w:tcPr>
          <w:p w14:paraId="5DF4AEBE" w14:textId="77777777" w:rsidR="00147CEE" w:rsidRDefault="00147CEE" w:rsidP="00147CEE">
            <w:pPr>
              <w:pStyle w:val="Zkladntext"/>
              <w:spacing w:after="0"/>
              <w:jc w:val="both"/>
            </w:pPr>
          </w:p>
          <w:p w14:paraId="0EE09A06" w14:textId="77777777" w:rsidR="00147CEE" w:rsidRDefault="00147CEE" w:rsidP="00147CEE">
            <w:pPr>
              <w:pStyle w:val="Zkladntext"/>
              <w:spacing w:after="0"/>
              <w:jc w:val="both"/>
            </w:pPr>
          </w:p>
          <w:p w14:paraId="59819A57" w14:textId="77777777" w:rsidR="00147CEE" w:rsidRDefault="00147CEE" w:rsidP="00147CEE">
            <w:pPr>
              <w:pStyle w:val="Zkladntext"/>
              <w:spacing w:after="0"/>
              <w:jc w:val="both"/>
            </w:pPr>
          </w:p>
          <w:p w14:paraId="5C0AE45B" w14:textId="77777777" w:rsidR="00147CEE" w:rsidRDefault="00147CEE" w:rsidP="00147CEE">
            <w:pPr>
              <w:pStyle w:val="Zkladntext"/>
              <w:spacing w:after="0"/>
              <w:jc w:val="both"/>
            </w:pPr>
          </w:p>
          <w:p w14:paraId="28E74E5A" w14:textId="77777777" w:rsidR="00147CEE" w:rsidRDefault="00147CEE" w:rsidP="00147CEE">
            <w:pPr>
              <w:pStyle w:val="Zkladntext"/>
              <w:spacing w:after="0"/>
              <w:jc w:val="both"/>
            </w:pPr>
          </w:p>
          <w:p w14:paraId="4CB59DA0" w14:textId="77777777" w:rsidR="00147CEE" w:rsidRDefault="00147CEE" w:rsidP="00147CEE">
            <w:pPr>
              <w:pStyle w:val="Texttabulky"/>
              <w:spacing w:after="0"/>
              <w:jc w:val="both"/>
            </w:pPr>
            <w:r>
              <w:rPr>
                <w:sz w:val="18"/>
                <w:szCs w:val="18"/>
              </w:rPr>
              <w:t>do 2</w:t>
            </w:r>
          </w:p>
        </w:tc>
        <w:tc>
          <w:tcPr>
            <w:tcW w:w="4514" w:type="dxa"/>
            <w:tcBorders>
              <w:top w:val="single" w:sz="6" w:space="0" w:color="auto"/>
              <w:left w:val="single" w:sz="6" w:space="0" w:color="auto"/>
              <w:bottom w:val="single" w:sz="6" w:space="0" w:color="auto"/>
              <w:right w:val="single" w:sz="6" w:space="0" w:color="auto"/>
            </w:tcBorders>
          </w:tcPr>
          <w:p w14:paraId="6E6CCF2D" w14:textId="77777777" w:rsidR="00147CEE" w:rsidRDefault="00147CEE" w:rsidP="00147CEE">
            <w:pPr>
              <w:pStyle w:val="Texttabulky"/>
              <w:spacing w:after="0"/>
              <w:jc w:val="both"/>
            </w:pPr>
            <w:r>
              <w:rPr>
                <w:b/>
                <w:bCs/>
              </w:rPr>
              <w:t xml:space="preserve">dominantní: </w:t>
            </w:r>
            <w:r>
              <w:t xml:space="preserve">trvalé bydlení v rodinných domech </w:t>
            </w:r>
          </w:p>
          <w:p w14:paraId="5F54D932" w14:textId="77777777" w:rsidR="00147CEE" w:rsidRDefault="00147CEE" w:rsidP="00147CEE">
            <w:pPr>
              <w:pStyle w:val="Texttabulky"/>
              <w:spacing w:after="0"/>
              <w:jc w:val="both"/>
            </w:pPr>
            <w:r>
              <w:rPr>
                <w:b/>
                <w:bCs/>
              </w:rPr>
              <w:t xml:space="preserve">vhodné: </w:t>
            </w:r>
            <w:r>
              <w:t>lokální zařízení škol, maloobchodu, stravování a tělovýchovy, nerušící služby a "malé podnikání", nezbytné přístupové komunikace s MHD, plochy dopravy v klidu, zeleň plošná, strukturní i liniová, zahrádkářské osady, nezbytné technické vybavení</w:t>
            </w:r>
          </w:p>
          <w:p w14:paraId="551D4A13" w14:textId="77777777" w:rsidR="00147CEE" w:rsidRDefault="00147CEE" w:rsidP="00147CEE">
            <w:pPr>
              <w:pStyle w:val="Texttabulky"/>
              <w:spacing w:after="0"/>
              <w:jc w:val="both"/>
            </w:pPr>
            <w:r>
              <w:rPr>
                <w:b/>
                <w:bCs/>
              </w:rPr>
              <w:t xml:space="preserve">nepřípustné: </w:t>
            </w:r>
            <w:r>
              <w:t xml:space="preserve">trvalé bydlení ve vícepodlažních bytových domech, výrobní podnikatelské aktivity, sklady a zařízení dopravy, rušící výrobní a opravárenské služby </w:t>
            </w:r>
          </w:p>
          <w:p w14:paraId="5FAF9EDB" w14:textId="77777777" w:rsidR="00147CEE" w:rsidRDefault="00147CEE" w:rsidP="00147CEE">
            <w:pPr>
              <w:pStyle w:val="Zkladntext"/>
              <w:spacing w:after="0"/>
              <w:jc w:val="both"/>
            </w:pPr>
          </w:p>
          <w:p w14:paraId="6F6E1D3C" w14:textId="77777777" w:rsidR="00147CEE" w:rsidRDefault="00147CEE" w:rsidP="00147CEE">
            <w:pPr>
              <w:pStyle w:val="Texttabulky"/>
              <w:spacing w:after="0"/>
              <w:jc w:val="both"/>
            </w:pPr>
            <w:r>
              <w:rPr>
                <w:b/>
                <w:bCs/>
              </w:rPr>
              <w:lastRenderedPageBreak/>
              <w:t>rodinné domy izolované, dvojdomy a řadové rodinné domy</w:t>
            </w:r>
            <w:r>
              <w:t xml:space="preserve"> s obytnými  zahradami, vestavěnou garáží a bez možnosti chovu domácího zvířectva a výr. podnikatelských aktivit  </w:t>
            </w:r>
          </w:p>
          <w:p w14:paraId="6E64734A" w14:textId="77777777" w:rsidR="00147CEE" w:rsidRDefault="00147CEE" w:rsidP="00147CEE">
            <w:pPr>
              <w:pStyle w:val="Zkladntext"/>
              <w:spacing w:after="0"/>
              <w:jc w:val="both"/>
            </w:pPr>
          </w:p>
        </w:tc>
      </w:tr>
      <w:tr w:rsidR="00147CEE" w14:paraId="71737AA5" w14:textId="77777777" w:rsidTr="002D2D45">
        <w:tc>
          <w:tcPr>
            <w:tcW w:w="573" w:type="dxa"/>
            <w:tcBorders>
              <w:top w:val="single" w:sz="6" w:space="0" w:color="auto"/>
              <w:left w:val="single" w:sz="6" w:space="0" w:color="auto"/>
              <w:bottom w:val="single" w:sz="6" w:space="0" w:color="auto"/>
              <w:right w:val="single" w:sz="6" w:space="0" w:color="auto"/>
            </w:tcBorders>
          </w:tcPr>
          <w:p w14:paraId="2916C2B5" w14:textId="77777777" w:rsidR="00147CEE" w:rsidRDefault="00147CEE" w:rsidP="00147CEE">
            <w:pPr>
              <w:pStyle w:val="Texttabulky"/>
              <w:spacing w:after="0"/>
              <w:jc w:val="both"/>
            </w:pPr>
            <w:r>
              <w:rPr>
                <w:b/>
                <w:bCs/>
              </w:rPr>
              <w:lastRenderedPageBreak/>
              <w:t>BV</w:t>
            </w:r>
          </w:p>
        </w:tc>
        <w:tc>
          <w:tcPr>
            <w:tcW w:w="2688" w:type="dxa"/>
            <w:tcBorders>
              <w:top w:val="single" w:sz="6" w:space="0" w:color="auto"/>
              <w:left w:val="single" w:sz="6" w:space="0" w:color="auto"/>
              <w:bottom w:val="single" w:sz="6" w:space="0" w:color="auto"/>
              <w:right w:val="single" w:sz="6" w:space="0" w:color="auto"/>
            </w:tcBorders>
          </w:tcPr>
          <w:p w14:paraId="69385924" w14:textId="77777777" w:rsidR="00147CEE" w:rsidRDefault="00147CEE" w:rsidP="00147CEE">
            <w:pPr>
              <w:pStyle w:val="Texttabulky"/>
              <w:spacing w:after="0"/>
              <w:jc w:val="both"/>
            </w:pPr>
            <w:r>
              <w:rPr>
                <w:b/>
                <w:bCs/>
                <w:caps/>
                <w:sz w:val="18"/>
                <w:szCs w:val="18"/>
              </w:rPr>
              <w:t>smíšená zóna                         s RD venkovského typu</w:t>
            </w:r>
          </w:p>
          <w:p w14:paraId="31C0AD8B" w14:textId="77777777" w:rsidR="00147CEE" w:rsidRDefault="00147CEE" w:rsidP="00147CEE">
            <w:pPr>
              <w:pStyle w:val="Zkladntext"/>
              <w:spacing w:after="0"/>
              <w:jc w:val="both"/>
            </w:pPr>
          </w:p>
          <w:p w14:paraId="47CE83D0" w14:textId="77777777" w:rsidR="00147CEE" w:rsidRDefault="00147CEE" w:rsidP="00147CEE">
            <w:pPr>
              <w:pStyle w:val="Zkladntext"/>
              <w:spacing w:after="0"/>
              <w:jc w:val="both"/>
            </w:pPr>
          </w:p>
          <w:p w14:paraId="58A3A5FE" w14:textId="77777777" w:rsidR="00147CEE" w:rsidRDefault="00147CEE" w:rsidP="00147CEE">
            <w:pPr>
              <w:pStyle w:val="Zkladntext"/>
              <w:spacing w:after="0"/>
              <w:jc w:val="both"/>
            </w:pPr>
          </w:p>
          <w:p w14:paraId="1923DC8A" w14:textId="77777777" w:rsidR="00147CEE" w:rsidRDefault="00147CEE" w:rsidP="00147CEE">
            <w:pPr>
              <w:pStyle w:val="Zkladntext"/>
              <w:spacing w:after="0"/>
              <w:jc w:val="both"/>
            </w:pPr>
          </w:p>
          <w:p w14:paraId="0FD056C1" w14:textId="77777777" w:rsidR="00147CEE" w:rsidRDefault="00147CEE" w:rsidP="00147CEE">
            <w:pPr>
              <w:pStyle w:val="Texttabulky"/>
              <w:spacing w:after="0"/>
              <w:jc w:val="both"/>
            </w:pPr>
            <w:r>
              <w:rPr>
                <w:sz w:val="18"/>
                <w:szCs w:val="18"/>
              </w:rPr>
              <w:t>KRÁSNÝ STUDENEC - LESNÁ</w:t>
            </w:r>
          </w:p>
          <w:p w14:paraId="469CDB91" w14:textId="77777777" w:rsidR="00147CEE" w:rsidRDefault="00147CEE" w:rsidP="00147CEE">
            <w:pPr>
              <w:pStyle w:val="Texttabulky"/>
              <w:spacing w:after="0"/>
              <w:jc w:val="both"/>
            </w:pPr>
            <w:r>
              <w:rPr>
                <w:sz w:val="18"/>
                <w:szCs w:val="18"/>
              </w:rPr>
              <w:t>HORNÍ A DOLNÍ CHLUM</w:t>
            </w:r>
          </w:p>
          <w:p w14:paraId="0AA01F06" w14:textId="77777777" w:rsidR="00147CEE" w:rsidRDefault="00147CEE" w:rsidP="00147CEE">
            <w:pPr>
              <w:pStyle w:val="Texttabulky"/>
              <w:spacing w:after="0"/>
              <w:jc w:val="both"/>
            </w:pPr>
            <w:r>
              <w:rPr>
                <w:sz w:val="18"/>
                <w:szCs w:val="18"/>
              </w:rPr>
              <w:t>VELKÁ VELEŇ - HOŠTICE</w:t>
            </w:r>
          </w:p>
          <w:p w14:paraId="3BD2D863" w14:textId="77777777" w:rsidR="00147CEE" w:rsidRDefault="00147CEE" w:rsidP="00147CEE">
            <w:pPr>
              <w:pStyle w:val="Texttabulky"/>
              <w:spacing w:after="0"/>
              <w:jc w:val="both"/>
            </w:pPr>
            <w:r>
              <w:rPr>
                <w:sz w:val="18"/>
                <w:szCs w:val="18"/>
              </w:rPr>
              <w:t>MAXIČKY</w:t>
            </w:r>
          </w:p>
        </w:tc>
        <w:tc>
          <w:tcPr>
            <w:tcW w:w="571" w:type="dxa"/>
            <w:tcBorders>
              <w:top w:val="single" w:sz="6" w:space="0" w:color="auto"/>
              <w:left w:val="single" w:sz="6" w:space="0" w:color="auto"/>
              <w:bottom w:val="single" w:sz="6" w:space="0" w:color="auto"/>
              <w:right w:val="single" w:sz="6" w:space="0" w:color="auto"/>
            </w:tcBorders>
          </w:tcPr>
          <w:p w14:paraId="22C41214" w14:textId="77777777" w:rsidR="00147CEE" w:rsidRDefault="00147CEE" w:rsidP="00147CEE">
            <w:pPr>
              <w:pStyle w:val="Zkladntext"/>
              <w:spacing w:after="0"/>
              <w:jc w:val="both"/>
            </w:pPr>
          </w:p>
          <w:p w14:paraId="56F64103" w14:textId="77777777" w:rsidR="00147CEE" w:rsidRDefault="00147CEE" w:rsidP="00147CEE">
            <w:pPr>
              <w:pStyle w:val="Zkladntext"/>
              <w:spacing w:after="0"/>
              <w:jc w:val="both"/>
            </w:pPr>
          </w:p>
          <w:p w14:paraId="4028EF53" w14:textId="77777777" w:rsidR="00147CEE" w:rsidRDefault="00147CEE" w:rsidP="00147CEE">
            <w:pPr>
              <w:pStyle w:val="Zkladntext"/>
              <w:spacing w:after="0"/>
              <w:jc w:val="both"/>
            </w:pPr>
          </w:p>
          <w:p w14:paraId="7D7217D1" w14:textId="77777777" w:rsidR="00147CEE" w:rsidRDefault="00147CEE" w:rsidP="00147CEE">
            <w:pPr>
              <w:pStyle w:val="Zkladntext"/>
              <w:spacing w:after="0"/>
              <w:jc w:val="both"/>
            </w:pPr>
          </w:p>
          <w:p w14:paraId="1D08B6DF" w14:textId="77777777" w:rsidR="00147CEE" w:rsidRDefault="00147CEE" w:rsidP="00147CEE">
            <w:pPr>
              <w:pStyle w:val="Texttabulky"/>
              <w:spacing w:after="0"/>
              <w:jc w:val="both"/>
            </w:pPr>
            <w:r>
              <w:rPr>
                <w:sz w:val="18"/>
                <w:szCs w:val="18"/>
              </w:rPr>
              <w:t>15</w:t>
            </w:r>
          </w:p>
        </w:tc>
        <w:tc>
          <w:tcPr>
            <w:tcW w:w="491" w:type="dxa"/>
            <w:tcBorders>
              <w:top w:val="single" w:sz="6" w:space="0" w:color="auto"/>
              <w:left w:val="single" w:sz="6" w:space="0" w:color="auto"/>
              <w:bottom w:val="single" w:sz="6" w:space="0" w:color="auto"/>
              <w:right w:val="single" w:sz="6" w:space="0" w:color="auto"/>
            </w:tcBorders>
          </w:tcPr>
          <w:p w14:paraId="725C4BEC" w14:textId="77777777" w:rsidR="00147CEE" w:rsidRDefault="00147CEE" w:rsidP="00147CEE">
            <w:pPr>
              <w:pStyle w:val="Zkladntext"/>
              <w:spacing w:after="0"/>
              <w:jc w:val="both"/>
            </w:pPr>
          </w:p>
          <w:p w14:paraId="59D97E71" w14:textId="77777777" w:rsidR="00147CEE" w:rsidRDefault="00147CEE" w:rsidP="00147CEE">
            <w:pPr>
              <w:pStyle w:val="Zkladntext"/>
              <w:spacing w:after="0"/>
              <w:jc w:val="both"/>
            </w:pPr>
          </w:p>
          <w:p w14:paraId="07D48980" w14:textId="77777777" w:rsidR="00147CEE" w:rsidRDefault="00147CEE" w:rsidP="00147CEE">
            <w:pPr>
              <w:pStyle w:val="Zkladntext"/>
              <w:spacing w:after="0"/>
              <w:jc w:val="both"/>
            </w:pPr>
          </w:p>
          <w:p w14:paraId="7FAB9BCF" w14:textId="77777777" w:rsidR="00147CEE" w:rsidRDefault="00147CEE" w:rsidP="00147CEE">
            <w:pPr>
              <w:pStyle w:val="Zkladntext"/>
              <w:spacing w:after="0"/>
              <w:jc w:val="both"/>
            </w:pPr>
          </w:p>
          <w:p w14:paraId="758549C2" w14:textId="77777777" w:rsidR="00147CEE" w:rsidRDefault="00147CEE" w:rsidP="00147CEE">
            <w:pPr>
              <w:pStyle w:val="Texttabulky"/>
              <w:spacing w:after="0"/>
              <w:jc w:val="both"/>
            </w:pPr>
            <w:r>
              <w:rPr>
                <w:sz w:val="18"/>
                <w:szCs w:val="18"/>
              </w:rPr>
              <w:t>1,5</w:t>
            </w:r>
          </w:p>
        </w:tc>
        <w:tc>
          <w:tcPr>
            <w:tcW w:w="4514" w:type="dxa"/>
            <w:tcBorders>
              <w:top w:val="single" w:sz="6" w:space="0" w:color="auto"/>
              <w:left w:val="single" w:sz="6" w:space="0" w:color="auto"/>
              <w:bottom w:val="single" w:sz="6" w:space="0" w:color="auto"/>
              <w:right w:val="single" w:sz="6" w:space="0" w:color="auto"/>
            </w:tcBorders>
          </w:tcPr>
          <w:p w14:paraId="156B9788" w14:textId="77777777" w:rsidR="00147CEE" w:rsidRDefault="00147CEE" w:rsidP="00147CEE">
            <w:pPr>
              <w:pStyle w:val="Texttabulky"/>
              <w:spacing w:after="0"/>
              <w:jc w:val="both"/>
            </w:pPr>
            <w:r>
              <w:rPr>
                <w:b/>
                <w:bCs/>
              </w:rPr>
              <w:t>dominantní:</w:t>
            </w:r>
            <w:r>
              <w:t xml:space="preserve"> individuelní trvalé bydlení </w:t>
            </w:r>
            <w:r>
              <w:rPr>
                <w:rFonts w:cs="Arial"/>
              </w:rPr>
              <w:t>v příměstské zóně ve spojení s užitkovými zahradami a samozásobitelským hospodářstvím, ojedinělě i v bytových domech  individuelní rekreace</w:t>
            </w:r>
          </w:p>
          <w:p w14:paraId="5BA10037" w14:textId="77777777" w:rsidR="00147CEE" w:rsidRDefault="00147CEE" w:rsidP="00147CEE">
            <w:pPr>
              <w:pStyle w:val="Texttabulky"/>
              <w:spacing w:after="0"/>
              <w:jc w:val="both"/>
            </w:pPr>
            <w:r>
              <w:rPr>
                <w:b/>
                <w:bCs/>
              </w:rPr>
              <w:t xml:space="preserve">vhodné: </w:t>
            </w:r>
            <w:r>
              <w:t>lokální občanské vybavení (maloobchod, veřejné ubytování a stravování, sportovní zařízení) nerušící podnikatelské aktivity, odpovídající komunikace (přístupové a účelové) turistické trasy, odstavná parkoviště, MHD, všechny formy zeleně, nezbytná technická infrastruktura</w:t>
            </w:r>
          </w:p>
          <w:p w14:paraId="4A922694" w14:textId="77777777" w:rsidR="00147CEE" w:rsidRDefault="00147CEE" w:rsidP="00147CEE">
            <w:pPr>
              <w:pStyle w:val="Texttabulky"/>
              <w:spacing w:after="0"/>
              <w:jc w:val="both"/>
            </w:pPr>
            <w:r>
              <w:rPr>
                <w:b/>
                <w:bCs/>
              </w:rPr>
              <w:t>přípustné:</w:t>
            </w:r>
            <w:r>
              <w:t xml:space="preserve"> </w:t>
            </w:r>
            <w:r>
              <w:rPr>
                <w:rFonts w:cs="Arial"/>
              </w:rPr>
              <w:t>areály zemědělské výroby (PHO)</w:t>
            </w:r>
            <w:r>
              <w:t xml:space="preserve">, rodinné farmy </w:t>
            </w:r>
          </w:p>
          <w:p w14:paraId="63DEEB7B" w14:textId="77777777" w:rsidR="00147CEE" w:rsidRDefault="00147CEE" w:rsidP="00147CEE">
            <w:pPr>
              <w:pStyle w:val="Texttabulky"/>
              <w:spacing w:after="0"/>
              <w:jc w:val="both"/>
            </w:pPr>
            <w:r>
              <w:rPr>
                <w:b/>
                <w:bCs/>
              </w:rPr>
              <w:t xml:space="preserve">nepřípustné: </w:t>
            </w:r>
            <w:r>
              <w:t>ostatní rušící výrobní aktivity a služby</w:t>
            </w:r>
          </w:p>
          <w:p w14:paraId="79FCC737" w14:textId="77777777" w:rsidR="00147CEE" w:rsidRDefault="00147CEE" w:rsidP="00147CEE">
            <w:pPr>
              <w:pStyle w:val="Zkladntext"/>
              <w:spacing w:after="0"/>
              <w:jc w:val="both"/>
            </w:pPr>
          </w:p>
        </w:tc>
      </w:tr>
      <w:tr w:rsidR="00147CEE" w14:paraId="2A767D35" w14:textId="77777777" w:rsidTr="002D2D45">
        <w:tc>
          <w:tcPr>
            <w:tcW w:w="573" w:type="dxa"/>
            <w:tcBorders>
              <w:top w:val="single" w:sz="6" w:space="0" w:color="auto"/>
              <w:left w:val="single" w:sz="6" w:space="0" w:color="auto"/>
              <w:bottom w:val="single" w:sz="6" w:space="0" w:color="auto"/>
              <w:right w:val="single" w:sz="6" w:space="0" w:color="auto"/>
            </w:tcBorders>
          </w:tcPr>
          <w:p w14:paraId="7634FAE8" w14:textId="77777777" w:rsidR="00147CEE" w:rsidRDefault="00147CEE" w:rsidP="00147CEE">
            <w:pPr>
              <w:pStyle w:val="Texttabulky"/>
              <w:spacing w:after="0"/>
              <w:jc w:val="both"/>
            </w:pPr>
            <w:r>
              <w:rPr>
                <w:b/>
                <w:bCs/>
              </w:rPr>
              <w:t>OV</w:t>
            </w:r>
          </w:p>
          <w:p w14:paraId="698A96EE" w14:textId="77777777" w:rsidR="00147CEE" w:rsidRDefault="00147CEE" w:rsidP="00147CEE">
            <w:pPr>
              <w:pStyle w:val="Zkladntext"/>
              <w:spacing w:after="0"/>
              <w:jc w:val="both"/>
            </w:pPr>
          </w:p>
          <w:p w14:paraId="04CD2406" w14:textId="77777777" w:rsidR="00147CEE" w:rsidRDefault="00147CEE" w:rsidP="00147CEE">
            <w:pPr>
              <w:pStyle w:val="Zkladntext"/>
              <w:spacing w:after="0"/>
              <w:jc w:val="both"/>
            </w:pPr>
          </w:p>
          <w:p w14:paraId="4CEB9B73" w14:textId="77777777" w:rsidR="00147CEE" w:rsidRDefault="00147CEE" w:rsidP="00147CEE">
            <w:pPr>
              <w:pStyle w:val="Zkladntext"/>
              <w:spacing w:after="0"/>
              <w:jc w:val="both"/>
            </w:pPr>
          </w:p>
          <w:p w14:paraId="05B75722" w14:textId="77777777" w:rsidR="00147CEE" w:rsidRDefault="00147CEE" w:rsidP="00147CEE">
            <w:pPr>
              <w:pStyle w:val="Zkladntext"/>
              <w:spacing w:after="0"/>
              <w:jc w:val="both"/>
            </w:pPr>
          </w:p>
        </w:tc>
        <w:tc>
          <w:tcPr>
            <w:tcW w:w="2688" w:type="dxa"/>
            <w:tcBorders>
              <w:top w:val="single" w:sz="6" w:space="0" w:color="auto"/>
              <w:left w:val="single" w:sz="6" w:space="0" w:color="auto"/>
              <w:bottom w:val="single" w:sz="6" w:space="0" w:color="auto"/>
              <w:right w:val="single" w:sz="6" w:space="0" w:color="auto"/>
            </w:tcBorders>
          </w:tcPr>
          <w:p w14:paraId="65966A59" w14:textId="77777777" w:rsidR="00147CEE" w:rsidRDefault="00147CEE" w:rsidP="00147CEE">
            <w:pPr>
              <w:pStyle w:val="Texttabulky"/>
              <w:spacing w:after="0"/>
              <w:jc w:val="both"/>
            </w:pPr>
            <w:r>
              <w:rPr>
                <w:b/>
                <w:bCs/>
                <w:caps/>
                <w:sz w:val="18"/>
                <w:szCs w:val="18"/>
              </w:rPr>
              <w:t>monofunkční objekty        a areály</w:t>
            </w:r>
          </w:p>
          <w:p w14:paraId="567ABE9C" w14:textId="77777777" w:rsidR="00147CEE" w:rsidRDefault="00147CEE" w:rsidP="00147CEE">
            <w:pPr>
              <w:pStyle w:val="Texttabulky"/>
              <w:spacing w:after="0"/>
              <w:jc w:val="both"/>
            </w:pPr>
            <w:r>
              <w:rPr>
                <w:b/>
                <w:bCs/>
                <w:caps/>
                <w:sz w:val="18"/>
                <w:szCs w:val="18"/>
              </w:rPr>
              <w:t>občanského vybavení</w:t>
            </w:r>
          </w:p>
          <w:p w14:paraId="3DEF3E30" w14:textId="77777777" w:rsidR="00147CEE" w:rsidRDefault="00147CEE" w:rsidP="00147CEE">
            <w:pPr>
              <w:pStyle w:val="Zkladntext"/>
              <w:spacing w:after="0"/>
              <w:jc w:val="both"/>
            </w:pPr>
          </w:p>
          <w:p w14:paraId="1E319746" w14:textId="77777777" w:rsidR="00147CEE" w:rsidRDefault="00147CEE" w:rsidP="00147CEE">
            <w:pPr>
              <w:pStyle w:val="Zkladntext"/>
              <w:spacing w:after="0"/>
              <w:jc w:val="both"/>
            </w:pPr>
          </w:p>
          <w:p w14:paraId="6F85181E" w14:textId="77777777" w:rsidR="00147CEE" w:rsidRDefault="00147CEE" w:rsidP="00147CEE">
            <w:pPr>
              <w:pStyle w:val="Zkladntext"/>
              <w:spacing w:after="0"/>
              <w:jc w:val="both"/>
            </w:pPr>
          </w:p>
          <w:p w14:paraId="5FFB1FDF" w14:textId="77777777" w:rsidR="00147CEE" w:rsidRDefault="00147CEE" w:rsidP="00147CEE">
            <w:pPr>
              <w:pStyle w:val="Zkladntext"/>
              <w:spacing w:after="0"/>
              <w:jc w:val="both"/>
            </w:pPr>
          </w:p>
          <w:p w14:paraId="40029A49" w14:textId="77777777" w:rsidR="00147CEE" w:rsidRDefault="00147CEE" w:rsidP="00147CEE">
            <w:pPr>
              <w:pStyle w:val="Zkladntext"/>
              <w:spacing w:after="0"/>
              <w:jc w:val="both"/>
            </w:pPr>
          </w:p>
          <w:p w14:paraId="3EE5A80E" w14:textId="77777777" w:rsidR="00147CEE" w:rsidRDefault="00147CEE" w:rsidP="00147CEE">
            <w:pPr>
              <w:pStyle w:val="Zkladntext"/>
              <w:spacing w:after="0"/>
              <w:jc w:val="both"/>
            </w:pPr>
          </w:p>
          <w:p w14:paraId="0B6CEA25" w14:textId="77777777" w:rsidR="00147CEE" w:rsidRDefault="00147CEE" w:rsidP="00147CEE">
            <w:pPr>
              <w:pStyle w:val="Zkladntext"/>
              <w:spacing w:after="0"/>
              <w:jc w:val="both"/>
            </w:pPr>
          </w:p>
          <w:p w14:paraId="6C5F44BC" w14:textId="77777777" w:rsidR="00147CEE" w:rsidRDefault="00147CEE" w:rsidP="00147CEE">
            <w:pPr>
              <w:pStyle w:val="Zkladntext"/>
              <w:spacing w:after="0"/>
              <w:jc w:val="both"/>
            </w:pPr>
          </w:p>
          <w:p w14:paraId="1DDCE273" w14:textId="77777777" w:rsidR="00147CEE" w:rsidRDefault="00147CEE" w:rsidP="00147CEE">
            <w:pPr>
              <w:pStyle w:val="Texttabulky"/>
              <w:spacing w:after="0"/>
              <w:jc w:val="both"/>
            </w:pPr>
            <w:r>
              <w:rPr>
                <w:caps/>
                <w:sz w:val="18"/>
                <w:szCs w:val="18"/>
              </w:rPr>
              <w:t>v rámci celého území města</w:t>
            </w:r>
          </w:p>
        </w:tc>
        <w:tc>
          <w:tcPr>
            <w:tcW w:w="571" w:type="dxa"/>
            <w:tcBorders>
              <w:top w:val="single" w:sz="6" w:space="0" w:color="auto"/>
              <w:left w:val="single" w:sz="6" w:space="0" w:color="auto"/>
              <w:bottom w:val="single" w:sz="6" w:space="0" w:color="auto"/>
              <w:right w:val="single" w:sz="6" w:space="0" w:color="auto"/>
            </w:tcBorders>
          </w:tcPr>
          <w:p w14:paraId="3DE81CE2" w14:textId="77777777" w:rsidR="00147CEE" w:rsidRDefault="00147CEE" w:rsidP="00147CEE">
            <w:pPr>
              <w:pStyle w:val="Texttabulky"/>
              <w:spacing w:after="0"/>
              <w:jc w:val="both"/>
            </w:pPr>
            <w:r>
              <w:rPr>
                <w:sz w:val="18"/>
                <w:szCs w:val="18"/>
              </w:rPr>
              <w:t>50</w:t>
            </w:r>
          </w:p>
        </w:tc>
        <w:tc>
          <w:tcPr>
            <w:tcW w:w="491" w:type="dxa"/>
            <w:tcBorders>
              <w:top w:val="single" w:sz="6" w:space="0" w:color="auto"/>
              <w:left w:val="single" w:sz="6" w:space="0" w:color="auto"/>
              <w:bottom w:val="single" w:sz="6" w:space="0" w:color="auto"/>
              <w:right w:val="single" w:sz="6" w:space="0" w:color="auto"/>
            </w:tcBorders>
          </w:tcPr>
          <w:p w14:paraId="0CA8F268" w14:textId="77777777" w:rsidR="00147CEE" w:rsidRDefault="00147CEE" w:rsidP="00147CEE">
            <w:pPr>
              <w:pStyle w:val="Texttabulky"/>
              <w:spacing w:after="0"/>
              <w:jc w:val="both"/>
            </w:pPr>
            <w:r>
              <w:rPr>
                <w:sz w:val="18"/>
                <w:szCs w:val="18"/>
              </w:rPr>
              <w:t>2-4</w:t>
            </w:r>
          </w:p>
        </w:tc>
        <w:tc>
          <w:tcPr>
            <w:tcW w:w="4514" w:type="dxa"/>
            <w:tcBorders>
              <w:top w:val="single" w:sz="6" w:space="0" w:color="auto"/>
              <w:left w:val="single" w:sz="6" w:space="0" w:color="auto"/>
              <w:bottom w:val="single" w:sz="6" w:space="0" w:color="auto"/>
              <w:right w:val="single" w:sz="6" w:space="0" w:color="auto"/>
            </w:tcBorders>
          </w:tcPr>
          <w:p w14:paraId="48682D43" w14:textId="77777777" w:rsidR="00147CEE" w:rsidRDefault="00147CEE" w:rsidP="00147CEE">
            <w:pPr>
              <w:pStyle w:val="Texttabulky"/>
              <w:spacing w:after="0"/>
              <w:jc w:val="both"/>
            </w:pPr>
            <w:r>
              <w:rPr>
                <w:b/>
                <w:bCs/>
              </w:rPr>
              <w:t>dominantní:</w:t>
            </w:r>
            <w:r>
              <w:t xml:space="preserve"> plochy a objekty školství (základní střední a VŠ), kultury a osvěty ( divadla, kina, kulturní sály, ZOO), vřejné stravování a ubytování (hotely), zdravotnictví a sociální péče (nemocnice, poliklinika, domov důchodců, ústav sociální péče, zdravotní služby), velkoplošné obchodní jednotky (obchodní dům, nákupní centrum), správa a administrativa</w:t>
            </w:r>
          </w:p>
          <w:p w14:paraId="5F9D46FE" w14:textId="77777777" w:rsidR="00147CEE" w:rsidRDefault="00147CEE" w:rsidP="00147CEE">
            <w:pPr>
              <w:pStyle w:val="Texttabulky"/>
              <w:spacing w:after="0"/>
              <w:jc w:val="both"/>
            </w:pPr>
            <w:r>
              <w:rPr>
                <w:b/>
                <w:bCs/>
              </w:rPr>
              <w:t>vhodné:</w:t>
            </w:r>
            <w:r>
              <w:t xml:space="preserve"> přístup na komunikační síť s přímou vazbou na dopravní systém města a síť MHD, odstavné a parkovací plochy,  veřejné WC  zeleň liniová i plošná</w:t>
            </w:r>
          </w:p>
          <w:p w14:paraId="2FB96E71" w14:textId="77777777" w:rsidR="00147CEE" w:rsidRDefault="00147CEE" w:rsidP="00147CEE">
            <w:pPr>
              <w:pStyle w:val="Texttabulky"/>
              <w:spacing w:after="0"/>
              <w:jc w:val="both"/>
            </w:pPr>
            <w:r>
              <w:rPr>
                <w:b/>
                <w:bCs/>
              </w:rPr>
              <w:t>přípustné:</w:t>
            </w:r>
            <w:r>
              <w:t xml:space="preserve"> podnikatelská činnost zaměřená na služby sovisející s funkcí objektu, byt správce</w:t>
            </w:r>
          </w:p>
          <w:p w14:paraId="77CEBBAA" w14:textId="77777777" w:rsidR="00147CEE" w:rsidRDefault="00147CEE" w:rsidP="00147CEE">
            <w:pPr>
              <w:pStyle w:val="Zkladntext"/>
              <w:spacing w:after="0"/>
              <w:jc w:val="both"/>
            </w:pPr>
          </w:p>
          <w:p w14:paraId="5102680F" w14:textId="77777777" w:rsidR="00147CEE" w:rsidRDefault="00147CEE" w:rsidP="00147CEE">
            <w:pPr>
              <w:pStyle w:val="Texttabulky"/>
              <w:spacing w:after="0"/>
              <w:jc w:val="both"/>
            </w:pPr>
            <w:r>
              <w:rPr>
                <w:b/>
                <w:bCs/>
              </w:rPr>
              <w:t xml:space="preserve">nepřípustné: </w:t>
            </w:r>
            <w:r>
              <w:t>průmyslová výrobní a skladovací činnost, výrobní služby, trvalé bydlení</w:t>
            </w:r>
          </w:p>
          <w:p w14:paraId="645EF8AA" w14:textId="77777777" w:rsidR="00147CEE" w:rsidRDefault="00147CEE" w:rsidP="00147CEE">
            <w:pPr>
              <w:pStyle w:val="Zkladntext"/>
              <w:spacing w:after="0"/>
              <w:jc w:val="both"/>
            </w:pPr>
          </w:p>
        </w:tc>
      </w:tr>
      <w:tr w:rsidR="00147CEE" w14:paraId="5938156B" w14:textId="77777777" w:rsidTr="002D2D45">
        <w:tc>
          <w:tcPr>
            <w:tcW w:w="573" w:type="dxa"/>
            <w:tcBorders>
              <w:top w:val="single" w:sz="6" w:space="0" w:color="auto"/>
              <w:left w:val="single" w:sz="6" w:space="0" w:color="auto"/>
              <w:bottom w:val="single" w:sz="6" w:space="0" w:color="auto"/>
              <w:right w:val="single" w:sz="6" w:space="0" w:color="auto"/>
            </w:tcBorders>
          </w:tcPr>
          <w:p w14:paraId="1EAE1FDD" w14:textId="77777777" w:rsidR="00147CEE" w:rsidRDefault="00147CEE" w:rsidP="00147CEE">
            <w:pPr>
              <w:pStyle w:val="Texttabulky"/>
              <w:spacing w:after="0"/>
              <w:jc w:val="both"/>
            </w:pPr>
            <w:r>
              <w:rPr>
                <w:b/>
                <w:bCs/>
              </w:rPr>
              <w:t>S</w:t>
            </w:r>
          </w:p>
        </w:tc>
        <w:tc>
          <w:tcPr>
            <w:tcW w:w="2688" w:type="dxa"/>
            <w:tcBorders>
              <w:top w:val="single" w:sz="6" w:space="0" w:color="auto"/>
              <w:left w:val="single" w:sz="6" w:space="0" w:color="auto"/>
              <w:bottom w:val="single" w:sz="6" w:space="0" w:color="auto"/>
              <w:right w:val="single" w:sz="6" w:space="0" w:color="auto"/>
            </w:tcBorders>
          </w:tcPr>
          <w:p w14:paraId="19093150" w14:textId="77777777" w:rsidR="00147CEE" w:rsidRDefault="00147CEE" w:rsidP="00147CEE">
            <w:pPr>
              <w:pStyle w:val="Texttabulky"/>
              <w:spacing w:after="0"/>
              <w:jc w:val="both"/>
            </w:pPr>
            <w:r>
              <w:rPr>
                <w:b/>
                <w:bCs/>
                <w:caps/>
                <w:sz w:val="18"/>
                <w:szCs w:val="18"/>
              </w:rPr>
              <w:t>monofunkční areály tělovýchovy a sportu</w:t>
            </w:r>
          </w:p>
          <w:p w14:paraId="10B57D3E" w14:textId="77777777" w:rsidR="00147CEE" w:rsidRDefault="00147CEE" w:rsidP="00147CEE">
            <w:pPr>
              <w:pStyle w:val="Zkladntext"/>
              <w:spacing w:after="0"/>
              <w:jc w:val="both"/>
            </w:pPr>
          </w:p>
          <w:p w14:paraId="1D926953" w14:textId="77777777" w:rsidR="00147CEE" w:rsidRDefault="00147CEE" w:rsidP="00147CEE">
            <w:pPr>
              <w:pStyle w:val="Zkladntext"/>
              <w:spacing w:after="0"/>
              <w:jc w:val="both"/>
            </w:pPr>
          </w:p>
          <w:p w14:paraId="14DF58AA" w14:textId="77777777" w:rsidR="00147CEE" w:rsidRDefault="00147CEE" w:rsidP="00147CEE">
            <w:pPr>
              <w:pStyle w:val="Zkladntext"/>
              <w:spacing w:after="0"/>
              <w:jc w:val="both"/>
            </w:pPr>
          </w:p>
          <w:p w14:paraId="57593E7C" w14:textId="77777777" w:rsidR="00147CEE" w:rsidRDefault="00147CEE" w:rsidP="00147CEE">
            <w:pPr>
              <w:pStyle w:val="Zkladntext"/>
              <w:spacing w:after="0"/>
              <w:jc w:val="both"/>
            </w:pPr>
          </w:p>
          <w:p w14:paraId="15BEF4E4" w14:textId="77777777" w:rsidR="00147CEE" w:rsidRDefault="00147CEE" w:rsidP="00147CEE">
            <w:pPr>
              <w:pStyle w:val="Zkladntext"/>
              <w:spacing w:after="0"/>
              <w:jc w:val="both"/>
            </w:pPr>
          </w:p>
          <w:p w14:paraId="59C57A23" w14:textId="77777777" w:rsidR="00147CEE" w:rsidRDefault="00147CEE" w:rsidP="00147CEE">
            <w:pPr>
              <w:pStyle w:val="Zkladntext"/>
              <w:spacing w:after="0"/>
              <w:jc w:val="both"/>
            </w:pPr>
          </w:p>
          <w:p w14:paraId="07EB6A1C" w14:textId="77777777" w:rsidR="00147CEE" w:rsidRDefault="00147CEE" w:rsidP="00147CEE">
            <w:pPr>
              <w:pStyle w:val="Texttabulky"/>
              <w:spacing w:after="0"/>
              <w:jc w:val="both"/>
            </w:pPr>
            <w:r>
              <w:rPr>
                <w:sz w:val="18"/>
                <w:szCs w:val="18"/>
              </w:rPr>
              <w:t>PODMOKLY, BYNOV,STARÉ MĚSTO, BOLETICE, DĚČÍN - KAMENICKÁ, POD ZÁMKEM, CHROCHVICE</w:t>
            </w:r>
          </w:p>
          <w:p w14:paraId="6D525C08" w14:textId="77777777" w:rsidR="00147CEE" w:rsidRDefault="00147CEE" w:rsidP="00147CEE">
            <w:pPr>
              <w:pStyle w:val="Texttabulky"/>
              <w:spacing w:after="0"/>
              <w:jc w:val="both"/>
            </w:pPr>
            <w:r>
              <w:rPr>
                <w:sz w:val="18"/>
                <w:szCs w:val="18"/>
              </w:rPr>
              <w:t>TEREZÍNSKÝ RYBNÍK</w:t>
            </w:r>
          </w:p>
        </w:tc>
        <w:tc>
          <w:tcPr>
            <w:tcW w:w="571" w:type="dxa"/>
            <w:tcBorders>
              <w:top w:val="single" w:sz="6" w:space="0" w:color="auto"/>
              <w:left w:val="single" w:sz="6" w:space="0" w:color="auto"/>
              <w:bottom w:val="single" w:sz="6" w:space="0" w:color="auto"/>
              <w:right w:val="single" w:sz="6" w:space="0" w:color="auto"/>
            </w:tcBorders>
          </w:tcPr>
          <w:p w14:paraId="0BA19107" w14:textId="77777777" w:rsidR="00147CEE" w:rsidRDefault="00147CEE" w:rsidP="00147CEE">
            <w:pPr>
              <w:pStyle w:val="Texttabulky"/>
              <w:spacing w:after="0"/>
              <w:jc w:val="both"/>
            </w:pPr>
            <w:r>
              <w:rPr>
                <w:sz w:val="18"/>
                <w:szCs w:val="18"/>
              </w:rPr>
              <w:t>5</w:t>
            </w:r>
          </w:p>
          <w:p w14:paraId="50455F3B" w14:textId="77777777" w:rsidR="00147CEE" w:rsidRDefault="00147CEE" w:rsidP="00147CEE">
            <w:pPr>
              <w:pStyle w:val="Texttabulky"/>
              <w:spacing w:after="0"/>
              <w:jc w:val="both"/>
            </w:pPr>
            <w:r>
              <w:rPr>
                <w:sz w:val="18"/>
                <w:szCs w:val="18"/>
              </w:rPr>
              <w:t>(70)</w:t>
            </w:r>
          </w:p>
        </w:tc>
        <w:tc>
          <w:tcPr>
            <w:tcW w:w="491" w:type="dxa"/>
            <w:tcBorders>
              <w:top w:val="single" w:sz="6" w:space="0" w:color="auto"/>
              <w:left w:val="single" w:sz="6" w:space="0" w:color="auto"/>
              <w:bottom w:val="single" w:sz="6" w:space="0" w:color="auto"/>
              <w:right w:val="single" w:sz="6" w:space="0" w:color="auto"/>
            </w:tcBorders>
          </w:tcPr>
          <w:p w14:paraId="1063424A" w14:textId="77777777" w:rsidR="00147CEE" w:rsidRDefault="00147CEE" w:rsidP="00147CEE">
            <w:pPr>
              <w:pStyle w:val="Texttabulky"/>
              <w:spacing w:after="0"/>
              <w:jc w:val="both"/>
            </w:pPr>
            <w:r>
              <w:rPr>
                <w:sz w:val="18"/>
                <w:szCs w:val="18"/>
              </w:rPr>
              <w:t>1-2</w:t>
            </w:r>
          </w:p>
        </w:tc>
        <w:tc>
          <w:tcPr>
            <w:tcW w:w="4514" w:type="dxa"/>
            <w:tcBorders>
              <w:top w:val="single" w:sz="6" w:space="0" w:color="auto"/>
              <w:left w:val="single" w:sz="6" w:space="0" w:color="auto"/>
              <w:bottom w:val="single" w:sz="6" w:space="0" w:color="auto"/>
              <w:right w:val="single" w:sz="6" w:space="0" w:color="auto"/>
            </w:tcBorders>
          </w:tcPr>
          <w:p w14:paraId="4AF2BAEB" w14:textId="77777777" w:rsidR="00147CEE" w:rsidRDefault="00147CEE" w:rsidP="00147CEE">
            <w:pPr>
              <w:pStyle w:val="Texttabulky"/>
              <w:spacing w:after="0"/>
              <w:jc w:val="both"/>
            </w:pPr>
            <w:r>
              <w:rPr>
                <w:b/>
                <w:bCs/>
              </w:rPr>
              <w:t>dominantní:</w:t>
            </w:r>
            <w:r>
              <w:t xml:space="preserve"> plochy, zařízení a objekty pro tělovýchovu a sport    (  velkoplošná hřiště a stadiony, zimní stadion, sportovní haly a tělocvičny, kryté a přírodní plavecké bazény, loděnice,autocvičiště, střelnice, cyklotrial )</w:t>
            </w:r>
          </w:p>
          <w:p w14:paraId="5CF99F63" w14:textId="77777777" w:rsidR="00147CEE" w:rsidRDefault="00147CEE" w:rsidP="00147CEE">
            <w:pPr>
              <w:pStyle w:val="Texttabulky"/>
              <w:spacing w:after="0"/>
              <w:jc w:val="both"/>
            </w:pPr>
            <w:r>
              <w:rPr>
                <w:b/>
                <w:bCs/>
              </w:rPr>
              <w:t>vhodné:</w:t>
            </w:r>
            <w:r>
              <w:t xml:space="preserve"> přístup na komunikační síť s přímou vazbou na  dopravní systém města a síť MHD, odstavné a parkovací plochy,  ŠATNY A KLUBOVNY, veřejné WC</w:t>
            </w:r>
          </w:p>
          <w:p w14:paraId="6F6486E2" w14:textId="77777777" w:rsidR="00147CEE" w:rsidRDefault="00147CEE" w:rsidP="00147CEE">
            <w:pPr>
              <w:pStyle w:val="Texttabulky"/>
              <w:spacing w:after="0"/>
              <w:jc w:val="both"/>
            </w:pPr>
            <w:r>
              <w:t>ubytování, stravování, zeleň liniová i plošná, technická infrastruktura</w:t>
            </w:r>
          </w:p>
          <w:p w14:paraId="7E9777D8" w14:textId="77777777" w:rsidR="00147CEE" w:rsidRDefault="00147CEE" w:rsidP="00147CEE">
            <w:pPr>
              <w:pStyle w:val="Zkladntext"/>
              <w:spacing w:after="0"/>
              <w:jc w:val="both"/>
            </w:pPr>
          </w:p>
          <w:p w14:paraId="13DDA177" w14:textId="77777777" w:rsidR="00147CEE" w:rsidRDefault="00147CEE" w:rsidP="00147CEE">
            <w:pPr>
              <w:pStyle w:val="Texttabulky"/>
              <w:spacing w:after="0"/>
              <w:jc w:val="both"/>
            </w:pPr>
            <w:r>
              <w:rPr>
                <w:b/>
                <w:bCs/>
              </w:rPr>
              <w:t>přípustné:</w:t>
            </w:r>
            <w:r>
              <w:t xml:space="preserve"> podnikatelská činnost zaměřená na služby pro sport a rekreaci, byt správce</w:t>
            </w:r>
          </w:p>
          <w:p w14:paraId="38881FC8" w14:textId="77777777" w:rsidR="00147CEE" w:rsidRDefault="00147CEE" w:rsidP="00147CEE">
            <w:pPr>
              <w:pStyle w:val="Texttabulky"/>
              <w:spacing w:after="0"/>
              <w:jc w:val="both"/>
            </w:pPr>
            <w:r>
              <w:rPr>
                <w:b/>
                <w:bCs/>
              </w:rPr>
              <w:t xml:space="preserve">nepřípustné: </w:t>
            </w:r>
            <w:r>
              <w:t>průmyslová výrobní a skladovací činnost, trvalé bydlení</w:t>
            </w:r>
          </w:p>
        </w:tc>
      </w:tr>
      <w:tr w:rsidR="00147CEE" w14:paraId="3830BFC1" w14:textId="77777777" w:rsidTr="002D2D45">
        <w:tc>
          <w:tcPr>
            <w:tcW w:w="573" w:type="dxa"/>
            <w:tcBorders>
              <w:top w:val="single" w:sz="6" w:space="0" w:color="auto"/>
              <w:left w:val="single" w:sz="6" w:space="0" w:color="auto"/>
              <w:bottom w:val="single" w:sz="6" w:space="0" w:color="auto"/>
              <w:right w:val="single" w:sz="6" w:space="0" w:color="auto"/>
            </w:tcBorders>
          </w:tcPr>
          <w:p w14:paraId="579A9AF0" w14:textId="77777777" w:rsidR="00147CEE" w:rsidRDefault="00147CEE" w:rsidP="00147CEE">
            <w:pPr>
              <w:pStyle w:val="Texttabulky"/>
              <w:spacing w:after="0"/>
              <w:jc w:val="both"/>
            </w:pPr>
            <w:r>
              <w:rPr>
                <w:b/>
                <w:bCs/>
              </w:rPr>
              <w:t>PV</w:t>
            </w:r>
          </w:p>
        </w:tc>
        <w:tc>
          <w:tcPr>
            <w:tcW w:w="2688" w:type="dxa"/>
            <w:tcBorders>
              <w:top w:val="single" w:sz="6" w:space="0" w:color="auto"/>
              <w:left w:val="single" w:sz="6" w:space="0" w:color="auto"/>
              <w:bottom w:val="single" w:sz="6" w:space="0" w:color="auto"/>
              <w:right w:val="single" w:sz="6" w:space="0" w:color="auto"/>
            </w:tcBorders>
          </w:tcPr>
          <w:p w14:paraId="6136C6B2" w14:textId="77777777" w:rsidR="00147CEE" w:rsidRDefault="00147CEE" w:rsidP="00147CEE">
            <w:pPr>
              <w:pStyle w:val="Texttabulky"/>
              <w:spacing w:after="0"/>
              <w:jc w:val="both"/>
            </w:pPr>
            <w:r>
              <w:rPr>
                <w:b/>
                <w:bCs/>
                <w:caps/>
                <w:sz w:val="18"/>
                <w:szCs w:val="18"/>
              </w:rPr>
              <w:t>monofunkční</w:t>
            </w:r>
            <w:r>
              <w:rPr>
                <w:caps/>
                <w:sz w:val="18"/>
                <w:szCs w:val="18"/>
              </w:rPr>
              <w:t xml:space="preserve">  </w:t>
            </w:r>
            <w:r>
              <w:rPr>
                <w:b/>
                <w:bCs/>
                <w:caps/>
                <w:sz w:val="18"/>
                <w:szCs w:val="18"/>
              </w:rPr>
              <w:t>zóna</w:t>
            </w:r>
          </w:p>
          <w:p w14:paraId="0D718EE2" w14:textId="77777777" w:rsidR="00147CEE" w:rsidRDefault="00147CEE" w:rsidP="00147CEE">
            <w:pPr>
              <w:pStyle w:val="Texttabulky"/>
              <w:spacing w:after="0"/>
              <w:jc w:val="both"/>
            </w:pPr>
            <w:r>
              <w:rPr>
                <w:b/>
                <w:bCs/>
                <w:caps/>
                <w:sz w:val="18"/>
                <w:szCs w:val="18"/>
              </w:rPr>
              <w:t>průmyslové výroby</w:t>
            </w:r>
          </w:p>
          <w:p w14:paraId="58831D03" w14:textId="77777777" w:rsidR="00147CEE" w:rsidRDefault="00147CEE" w:rsidP="00147CEE">
            <w:pPr>
              <w:pStyle w:val="Texttabulky"/>
              <w:spacing w:after="0"/>
              <w:jc w:val="both"/>
            </w:pPr>
            <w:r>
              <w:rPr>
                <w:sz w:val="18"/>
                <w:szCs w:val="18"/>
              </w:rPr>
              <w:t>zahrnuje výrobní území města</w:t>
            </w:r>
          </w:p>
          <w:p w14:paraId="38FCDCAC" w14:textId="77777777" w:rsidR="00147CEE" w:rsidRDefault="00147CEE" w:rsidP="00147CEE">
            <w:pPr>
              <w:pStyle w:val="Texttabulky"/>
              <w:spacing w:after="0"/>
              <w:jc w:val="both"/>
            </w:pPr>
            <w:r>
              <w:rPr>
                <w:sz w:val="18"/>
                <w:szCs w:val="18"/>
              </w:rPr>
              <w:t xml:space="preserve">s nosnými výrobními podniky        </w:t>
            </w:r>
          </w:p>
          <w:p w14:paraId="57AA917E" w14:textId="77777777" w:rsidR="00147CEE" w:rsidRDefault="00147CEE" w:rsidP="00147CEE">
            <w:pPr>
              <w:pStyle w:val="Zkladntext"/>
              <w:spacing w:after="0"/>
              <w:jc w:val="both"/>
            </w:pPr>
          </w:p>
          <w:p w14:paraId="459C74E7" w14:textId="77777777" w:rsidR="00147CEE" w:rsidRDefault="00147CEE" w:rsidP="00147CEE">
            <w:pPr>
              <w:pStyle w:val="Zkladntext"/>
              <w:spacing w:after="0"/>
              <w:jc w:val="both"/>
            </w:pPr>
          </w:p>
          <w:p w14:paraId="1E3D8B80" w14:textId="77777777" w:rsidR="00147CEE" w:rsidRDefault="00147CEE" w:rsidP="00147CEE">
            <w:pPr>
              <w:pStyle w:val="Zkladntext"/>
              <w:spacing w:after="0"/>
              <w:jc w:val="both"/>
            </w:pPr>
          </w:p>
          <w:p w14:paraId="3A1D6F36" w14:textId="77777777" w:rsidR="00147CEE" w:rsidRDefault="00147CEE" w:rsidP="00147CEE">
            <w:pPr>
              <w:pStyle w:val="Zkladntext"/>
              <w:spacing w:after="0"/>
              <w:jc w:val="both"/>
            </w:pPr>
          </w:p>
          <w:p w14:paraId="16404FEC" w14:textId="77777777" w:rsidR="00147CEE" w:rsidRDefault="00147CEE" w:rsidP="00147CEE">
            <w:pPr>
              <w:pStyle w:val="Zkladntext"/>
              <w:spacing w:after="0"/>
              <w:jc w:val="both"/>
            </w:pPr>
          </w:p>
          <w:p w14:paraId="3C46DA64" w14:textId="77777777" w:rsidR="00147CEE" w:rsidRDefault="00147CEE" w:rsidP="00147CEE">
            <w:pPr>
              <w:pStyle w:val="Zkladntext"/>
              <w:spacing w:after="0"/>
              <w:jc w:val="both"/>
            </w:pPr>
          </w:p>
          <w:p w14:paraId="0534F703" w14:textId="77777777" w:rsidR="00147CEE" w:rsidRDefault="00147CEE" w:rsidP="00147CEE">
            <w:pPr>
              <w:pStyle w:val="Texttabulky"/>
              <w:spacing w:after="0"/>
              <w:jc w:val="both"/>
            </w:pPr>
            <w:r>
              <w:rPr>
                <w:sz w:val="18"/>
                <w:szCs w:val="18"/>
              </w:rPr>
              <w:t xml:space="preserve">ROZBĚLESY - HLAVNÍ NÁDRAŽÍ </w:t>
            </w:r>
          </w:p>
          <w:p w14:paraId="5BF4E8E8" w14:textId="77777777" w:rsidR="00147CEE" w:rsidRDefault="00147CEE" w:rsidP="00147CEE">
            <w:pPr>
              <w:pStyle w:val="Texttabulky"/>
              <w:spacing w:after="0"/>
              <w:jc w:val="both"/>
            </w:pPr>
            <w:r>
              <w:rPr>
                <w:sz w:val="18"/>
                <w:szCs w:val="18"/>
              </w:rPr>
              <w:t>BENEŠOVSKÁ UL. - VÝCHODNÍ</w:t>
            </w:r>
          </w:p>
          <w:p w14:paraId="5D97FCAC" w14:textId="77777777" w:rsidR="00147CEE" w:rsidRDefault="00147CEE" w:rsidP="00147CEE">
            <w:pPr>
              <w:pStyle w:val="Texttabulky"/>
              <w:spacing w:after="0"/>
              <w:jc w:val="both"/>
            </w:pPr>
            <w:r>
              <w:rPr>
                <w:sz w:val="18"/>
                <w:szCs w:val="18"/>
              </w:rPr>
              <w:t>NÁDRAŽÍ - STARÉ MĚSTO</w:t>
            </w:r>
          </w:p>
          <w:p w14:paraId="2AC53E02" w14:textId="77777777" w:rsidR="00147CEE" w:rsidRDefault="00147CEE" w:rsidP="00147CEE">
            <w:pPr>
              <w:pStyle w:val="Texttabulky"/>
              <w:spacing w:after="0"/>
              <w:jc w:val="both"/>
            </w:pPr>
            <w:r>
              <w:rPr>
                <w:sz w:val="18"/>
                <w:szCs w:val="18"/>
              </w:rPr>
              <w:t>BOLETICE n.L. - KŘEŠICE</w:t>
            </w:r>
          </w:p>
        </w:tc>
        <w:tc>
          <w:tcPr>
            <w:tcW w:w="571" w:type="dxa"/>
            <w:tcBorders>
              <w:top w:val="single" w:sz="6" w:space="0" w:color="auto"/>
              <w:left w:val="single" w:sz="6" w:space="0" w:color="auto"/>
              <w:bottom w:val="single" w:sz="6" w:space="0" w:color="auto"/>
              <w:right w:val="single" w:sz="6" w:space="0" w:color="auto"/>
            </w:tcBorders>
          </w:tcPr>
          <w:p w14:paraId="6BE89F4D" w14:textId="77777777" w:rsidR="00147CEE" w:rsidRDefault="00147CEE" w:rsidP="00147CEE">
            <w:pPr>
              <w:pStyle w:val="Zkladntext"/>
              <w:spacing w:after="0"/>
              <w:jc w:val="both"/>
            </w:pPr>
          </w:p>
          <w:p w14:paraId="56343F3D" w14:textId="77777777" w:rsidR="00147CEE" w:rsidRDefault="00147CEE" w:rsidP="00147CEE">
            <w:pPr>
              <w:pStyle w:val="Zkladntext"/>
              <w:spacing w:after="0"/>
              <w:jc w:val="both"/>
            </w:pPr>
          </w:p>
          <w:p w14:paraId="2D6AE127" w14:textId="77777777" w:rsidR="00147CEE" w:rsidRDefault="00147CEE" w:rsidP="00147CEE">
            <w:pPr>
              <w:pStyle w:val="Zkladntext"/>
              <w:spacing w:after="0"/>
              <w:jc w:val="both"/>
            </w:pPr>
          </w:p>
          <w:p w14:paraId="784C4E69" w14:textId="77777777" w:rsidR="00147CEE" w:rsidRDefault="00147CEE" w:rsidP="00147CEE">
            <w:pPr>
              <w:pStyle w:val="Zkladntext"/>
              <w:spacing w:after="0"/>
              <w:jc w:val="both"/>
            </w:pPr>
          </w:p>
          <w:p w14:paraId="226909A8" w14:textId="77777777" w:rsidR="00147CEE" w:rsidRDefault="00147CEE" w:rsidP="00147CEE">
            <w:pPr>
              <w:pStyle w:val="Zkladntext"/>
              <w:spacing w:after="0"/>
              <w:jc w:val="both"/>
            </w:pPr>
          </w:p>
          <w:p w14:paraId="32A44115" w14:textId="77777777" w:rsidR="00147CEE" w:rsidRDefault="00147CEE" w:rsidP="00147CEE">
            <w:pPr>
              <w:pStyle w:val="Zkladntext"/>
              <w:spacing w:after="0"/>
              <w:jc w:val="both"/>
            </w:pPr>
          </w:p>
          <w:p w14:paraId="62618E4E" w14:textId="77777777" w:rsidR="00147CEE" w:rsidRDefault="00147CEE" w:rsidP="00147CEE">
            <w:pPr>
              <w:pStyle w:val="Texttabulky"/>
              <w:spacing w:after="0"/>
              <w:jc w:val="both"/>
            </w:pPr>
            <w:r>
              <w:rPr>
                <w:sz w:val="18"/>
                <w:szCs w:val="18"/>
              </w:rPr>
              <w:t>80</w:t>
            </w:r>
          </w:p>
        </w:tc>
        <w:tc>
          <w:tcPr>
            <w:tcW w:w="491" w:type="dxa"/>
            <w:tcBorders>
              <w:top w:val="single" w:sz="6" w:space="0" w:color="auto"/>
              <w:left w:val="single" w:sz="6" w:space="0" w:color="auto"/>
              <w:bottom w:val="single" w:sz="6" w:space="0" w:color="auto"/>
              <w:right w:val="single" w:sz="6" w:space="0" w:color="auto"/>
            </w:tcBorders>
          </w:tcPr>
          <w:p w14:paraId="539D31B5" w14:textId="77777777" w:rsidR="00147CEE" w:rsidRDefault="00147CEE" w:rsidP="00147CEE">
            <w:pPr>
              <w:pStyle w:val="Zkladntext"/>
              <w:spacing w:after="0"/>
              <w:jc w:val="both"/>
            </w:pPr>
          </w:p>
          <w:p w14:paraId="5088D1C2" w14:textId="77777777" w:rsidR="00147CEE" w:rsidRDefault="00147CEE" w:rsidP="00147CEE">
            <w:pPr>
              <w:pStyle w:val="Zkladntext"/>
              <w:spacing w:after="0"/>
              <w:jc w:val="both"/>
            </w:pPr>
          </w:p>
          <w:p w14:paraId="2BE3D39F" w14:textId="77777777" w:rsidR="00147CEE" w:rsidRDefault="00147CEE" w:rsidP="00147CEE">
            <w:pPr>
              <w:pStyle w:val="Zkladntext"/>
              <w:spacing w:after="0"/>
              <w:jc w:val="both"/>
            </w:pPr>
          </w:p>
          <w:p w14:paraId="5E3A53ED" w14:textId="77777777" w:rsidR="00147CEE" w:rsidRDefault="00147CEE" w:rsidP="00147CEE">
            <w:pPr>
              <w:pStyle w:val="Zkladntext"/>
              <w:spacing w:after="0"/>
              <w:jc w:val="both"/>
            </w:pPr>
          </w:p>
          <w:p w14:paraId="7EB28AC7" w14:textId="77777777" w:rsidR="00147CEE" w:rsidRDefault="00147CEE" w:rsidP="00147CEE">
            <w:pPr>
              <w:pStyle w:val="Zkladntext"/>
              <w:spacing w:after="0"/>
              <w:jc w:val="both"/>
            </w:pPr>
          </w:p>
          <w:p w14:paraId="2282F2C6" w14:textId="77777777" w:rsidR="00147CEE" w:rsidRDefault="00147CEE" w:rsidP="00147CEE">
            <w:pPr>
              <w:pStyle w:val="Zkladntext"/>
              <w:spacing w:after="0"/>
              <w:jc w:val="both"/>
            </w:pPr>
          </w:p>
          <w:p w14:paraId="14A860C9" w14:textId="77777777" w:rsidR="00147CEE" w:rsidRDefault="00147CEE" w:rsidP="00147CEE">
            <w:pPr>
              <w:pStyle w:val="Texttabulky"/>
              <w:spacing w:after="0"/>
              <w:jc w:val="both"/>
            </w:pPr>
            <w:r>
              <w:rPr>
                <w:sz w:val="18"/>
                <w:szCs w:val="18"/>
              </w:rPr>
              <w:t>1-3</w:t>
            </w:r>
          </w:p>
        </w:tc>
        <w:tc>
          <w:tcPr>
            <w:tcW w:w="4514" w:type="dxa"/>
            <w:tcBorders>
              <w:top w:val="single" w:sz="6" w:space="0" w:color="auto"/>
              <w:left w:val="single" w:sz="6" w:space="0" w:color="auto"/>
              <w:bottom w:val="single" w:sz="6" w:space="0" w:color="auto"/>
              <w:right w:val="single" w:sz="6" w:space="0" w:color="auto"/>
            </w:tcBorders>
          </w:tcPr>
          <w:p w14:paraId="1A95C41B" w14:textId="77777777" w:rsidR="00147CEE" w:rsidRDefault="00147CEE" w:rsidP="00147CEE">
            <w:pPr>
              <w:pStyle w:val="Texttabulky"/>
              <w:spacing w:after="0"/>
              <w:jc w:val="both"/>
            </w:pPr>
            <w:r>
              <w:rPr>
                <w:b/>
                <w:bCs/>
              </w:rPr>
              <w:t xml:space="preserve">dominantní: </w:t>
            </w:r>
            <w:r>
              <w:t>průmyslová výroba v celém spektru odvětvové činnosti, výrobní služby, skladové plochy a areály (</w:t>
            </w:r>
            <w:r>
              <w:rPr>
                <w:caps/>
              </w:rPr>
              <w:t>pho</w:t>
            </w:r>
            <w:r>
              <w:t>), zařízení a související provozy železniční dopravy včetně nádraží, nákladní přístavy</w:t>
            </w:r>
          </w:p>
          <w:p w14:paraId="7E91056A" w14:textId="77777777" w:rsidR="00147CEE" w:rsidRDefault="00147CEE" w:rsidP="00147CEE">
            <w:pPr>
              <w:pStyle w:val="Texttabulky"/>
              <w:spacing w:after="0"/>
              <w:jc w:val="both"/>
            </w:pPr>
            <w:r>
              <w:rPr>
                <w:b/>
                <w:bCs/>
              </w:rPr>
              <w:t xml:space="preserve">vhodné: </w:t>
            </w:r>
            <w:r>
              <w:t>odpovídající komunikační síť s přímou vazbou na nadřazený dopravní systém města a síť MHD, odstavné a parkovací plochy, dopravní vybavenost, stanice PHM, odpovídající technická infrastruktura, liniová a ochranná zeleň, komerční aktivity</w:t>
            </w:r>
          </w:p>
          <w:p w14:paraId="1C89A9E6" w14:textId="77777777" w:rsidR="00147CEE" w:rsidRDefault="00147CEE" w:rsidP="00147CEE">
            <w:pPr>
              <w:pStyle w:val="Texttabulky"/>
              <w:spacing w:after="0"/>
              <w:jc w:val="both"/>
            </w:pPr>
            <w:r>
              <w:rPr>
                <w:b/>
                <w:bCs/>
              </w:rPr>
              <w:t xml:space="preserve">přípustné: </w:t>
            </w:r>
            <w:r>
              <w:t>ubytovny, služební byty HOLOBYTY</w:t>
            </w:r>
          </w:p>
          <w:p w14:paraId="68478FBB" w14:textId="77777777" w:rsidR="00147CEE" w:rsidRDefault="00147CEE" w:rsidP="00147CEE">
            <w:pPr>
              <w:pStyle w:val="Texttabulky"/>
              <w:spacing w:after="0"/>
              <w:jc w:val="both"/>
            </w:pPr>
            <w:r>
              <w:rPr>
                <w:b/>
                <w:bCs/>
              </w:rPr>
              <w:t xml:space="preserve">nevhodné </w:t>
            </w:r>
            <w:r>
              <w:t>trvalé bydlení všech forem, tělovýchovná,</w:t>
            </w:r>
          </w:p>
          <w:p w14:paraId="1C61D519" w14:textId="77777777" w:rsidR="00147CEE" w:rsidRDefault="00147CEE" w:rsidP="00147CEE">
            <w:pPr>
              <w:pStyle w:val="Texttabulky"/>
              <w:spacing w:after="0"/>
              <w:jc w:val="both"/>
            </w:pPr>
            <w:r>
              <w:t>školní, sociální a zdravotní zařízení</w:t>
            </w:r>
          </w:p>
          <w:p w14:paraId="7038E397" w14:textId="77777777" w:rsidR="00147CEE" w:rsidRDefault="00147CEE" w:rsidP="00147CEE">
            <w:pPr>
              <w:pStyle w:val="Texttabulky"/>
              <w:spacing w:after="0"/>
              <w:jc w:val="both"/>
            </w:pPr>
            <w:r>
              <w:rPr>
                <w:b/>
                <w:bCs/>
              </w:rPr>
              <w:t>areály, objekty a zařízení průmyslové výroby</w:t>
            </w:r>
            <w:r>
              <w:t xml:space="preserve">, výrobních služeb a dopravy - urbanistická kategorie A, B (charakteristická výrobní struktura zástavby, vyplývající z výrobního programu a činnosti podnikatelského subjektu, korigovaného vždy PHO </w:t>
            </w:r>
          </w:p>
          <w:p w14:paraId="51800AF2" w14:textId="77777777" w:rsidR="00147CEE" w:rsidRDefault="00147CEE" w:rsidP="00147CEE">
            <w:pPr>
              <w:pStyle w:val="Zkladntext"/>
              <w:spacing w:after="0"/>
              <w:jc w:val="both"/>
            </w:pPr>
          </w:p>
        </w:tc>
      </w:tr>
      <w:tr w:rsidR="00147CEE" w14:paraId="73BB2AC3" w14:textId="77777777" w:rsidTr="002D2D45">
        <w:tc>
          <w:tcPr>
            <w:tcW w:w="573" w:type="dxa"/>
            <w:tcBorders>
              <w:top w:val="single" w:sz="6" w:space="0" w:color="auto"/>
              <w:left w:val="single" w:sz="6" w:space="0" w:color="auto"/>
              <w:bottom w:val="single" w:sz="6" w:space="0" w:color="auto"/>
              <w:right w:val="single" w:sz="6" w:space="0" w:color="auto"/>
            </w:tcBorders>
          </w:tcPr>
          <w:p w14:paraId="413920C9" w14:textId="77777777" w:rsidR="00147CEE" w:rsidRDefault="00147CEE" w:rsidP="00147CEE">
            <w:pPr>
              <w:pStyle w:val="Texttabulky"/>
              <w:spacing w:after="0"/>
              <w:jc w:val="both"/>
            </w:pPr>
            <w:r>
              <w:rPr>
                <w:b/>
                <w:bCs/>
              </w:rPr>
              <w:lastRenderedPageBreak/>
              <w:t>NV</w:t>
            </w:r>
          </w:p>
        </w:tc>
        <w:tc>
          <w:tcPr>
            <w:tcW w:w="2688" w:type="dxa"/>
            <w:tcBorders>
              <w:top w:val="single" w:sz="6" w:space="0" w:color="auto"/>
              <w:left w:val="single" w:sz="6" w:space="0" w:color="auto"/>
              <w:bottom w:val="single" w:sz="6" w:space="0" w:color="auto"/>
              <w:right w:val="single" w:sz="6" w:space="0" w:color="auto"/>
            </w:tcBorders>
          </w:tcPr>
          <w:p w14:paraId="47AB9869" w14:textId="77777777" w:rsidR="00147CEE" w:rsidRDefault="00147CEE" w:rsidP="00147CEE">
            <w:pPr>
              <w:pStyle w:val="Texttabulky"/>
              <w:spacing w:after="0"/>
              <w:jc w:val="both"/>
            </w:pPr>
            <w:r>
              <w:rPr>
                <w:b/>
                <w:bCs/>
                <w:caps/>
                <w:sz w:val="18"/>
                <w:szCs w:val="18"/>
              </w:rPr>
              <w:t>zóna nerušící výroby a</w:t>
            </w:r>
          </w:p>
          <w:p w14:paraId="1D02C25F" w14:textId="77777777" w:rsidR="00147CEE" w:rsidRDefault="00147CEE" w:rsidP="00147CEE">
            <w:pPr>
              <w:pStyle w:val="Texttabulky"/>
              <w:spacing w:after="0"/>
              <w:jc w:val="both"/>
            </w:pPr>
            <w:r>
              <w:rPr>
                <w:b/>
                <w:bCs/>
                <w:caps/>
                <w:sz w:val="18"/>
                <w:szCs w:val="18"/>
              </w:rPr>
              <w:t>výrobních služeb</w:t>
            </w:r>
          </w:p>
          <w:p w14:paraId="0DE78245" w14:textId="77777777" w:rsidR="00147CEE" w:rsidRDefault="00147CEE" w:rsidP="00147CEE">
            <w:pPr>
              <w:pStyle w:val="Texttabulky"/>
              <w:spacing w:after="0"/>
              <w:jc w:val="both"/>
            </w:pPr>
            <w:r>
              <w:rPr>
                <w:sz w:val="18"/>
                <w:szCs w:val="18"/>
              </w:rPr>
              <w:t>zahrnuje zejména střední a</w:t>
            </w:r>
          </w:p>
          <w:p w14:paraId="057D36AF" w14:textId="77777777" w:rsidR="00147CEE" w:rsidRDefault="00147CEE" w:rsidP="00147CEE">
            <w:pPr>
              <w:pStyle w:val="Texttabulky"/>
              <w:spacing w:after="0"/>
              <w:jc w:val="both"/>
            </w:pPr>
            <w:r>
              <w:rPr>
                <w:sz w:val="18"/>
                <w:szCs w:val="18"/>
              </w:rPr>
              <w:t>malé podnikatelské aktivity</w:t>
            </w:r>
          </w:p>
          <w:p w14:paraId="2FA79218" w14:textId="77777777" w:rsidR="00147CEE" w:rsidRDefault="00147CEE" w:rsidP="00147CEE">
            <w:pPr>
              <w:pStyle w:val="Zkladntext"/>
              <w:spacing w:after="0"/>
              <w:jc w:val="both"/>
            </w:pPr>
          </w:p>
          <w:p w14:paraId="4A9C773D" w14:textId="77777777" w:rsidR="00147CEE" w:rsidRDefault="00147CEE" w:rsidP="00147CEE">
            <w:pPr>
              <w:pStyle w:val="Zkladntext"/>
              <w:spacing w:after="0"/>
              <w:jc w:val="both"/>
            </w:pPr>
          </w:p>
          <w:p w14:paraId="6F9734CD" w14:textId="77777777" w:rsidR="00147CEE" w:rsidRDefault="00147CEE" w:rsidP="00147CEE">
            <w:pPr>
              <w:pStyle w:val="Zkladntext"/>
              <w:spacing w:after="0"/>
              <w:jc w:val="both"/>
            </w:pPr>
          </w:p>
          <w:p w14:paraId="16D18DEB" w14:textId="77777777" w:rsidR="00147CEE" w:rsidRDefault="00147CEE" w:rsidP="00147CEE">
            <w:pPr>
              <w:pStyle w:val="Zkladntext"/>
              <w:spacing w:after="0"/>
              <w:jc w:val="both"/>
            </w:pPr>
          </w:p>
          <w:p w14:paraId="003E2427" w14:textId="77777777" w:rsidR="00147CEE" w:rsidRDefault="00147CEE" w:rsidP="00147CEE">
            <w:pPr>
              <w:pStyle w:val="Zkladntext"/>
              <w:spacing w:after="0"/>
              <w:jc w:val="both"/>
            </w:pPr>
          </w:p>
          <w:p w14:paraId="6AFD8CFC" w14:textId="77777777" w:rsidR="00147CEE" w:rsidRDefault="00147CEE" w:rsidP="00147CEE">
            <w:pPr>
              <w:pStyle w:val="Texttabulky"/>
              <w:spacing w:after="0"/>
              <w:jc w:val="both"/>
            </w:pPr>
            <w:r>
              <w:rPr>
                <w:sz w:val="18"/>
                <w:szCs w:val="18"/>
              </w:rPr>
              <w:t>DOLNÍ OLDŘICHOV</w:t>
            </w:r>
          </w:p>
          <w:p w14:paraId="1C168ED2" w14:textId="77777777" w:rsidR="00147CEE" w:rsidRDefault="00147CEE" w:rsidP="00147CEE">
            <w:pPr>
              <w:pStyle w:val="Texttabulky"/>
              <w:spacing w:after="0"/>
              <w:jc w:val="both"/>
            </w:pPr>
            <w:r>
              <w:rPr>
                <w:sz w:val="18"/>
                <w:szCs w:val="18"/>
              </w:rPr>
              <w:t>BENEŠOVSKÁ - FOLKNÁŘSKÁ</w:t>
            </w:r>
          </w:p>
        </w:tc>
        <w:tc>
          <w:tcPr>
            <w:tcW w:w="571" w:type="dxa"/>
            <w:tcBorders>
              <w:top w:val="single" w:sz="6" w:space="0" w:color="auto"/>
              <w:left w:val="single" w:sz="6" w:space="0" w:color="auto"/>
              <w:bottom w:val="single" w:sz="6" w:space="0" w:color="auto"/>
              <w:right w:val="single" w:sz="6" w:space="0" w:color="auto"/>
            </w:tcBorders>
          </w:tcPr>
          <w:p w14:paraId="2871C61D" w14:textId="77777777" w:rsidR="00147CEE" w:rsidRDefault="00147CEE" w:rsidP="00147CEE">
            <w:pPr>
              <w:pStyle w:val="Texttabulky"/>
              <w:spacing w:after="0"/>
              <w:jc w:val="both"/>
            </w:pPr>
            <w:r>
              <w:rPr>
                <w:sz w:val="18"/>
                <w:szCs w:val="18"/>
              </w:rPr>
              <w:t>80</w:t>
            </w:r>
          </w:p>
        </w:tc>
        <w:tc>
          <w:tcPr>
            <w:tcW w:w="491" w:type="dxa"/>
            <w:tcBorders>
              <w:top w:val="single" w:sz="6" w:space="0" w:color="auto"/>
              <w:left w:val="single" w:sz="6" w:space="0" w:color="auto"/>
              <w:bottom w:val="single" w:sz="6" w:space="0" w:color="auto"/>
              <w:right w:val="single" w:sz="6" w:space="0" w:color="auto"/>
            </w:tcBorders>
          </w:tcPr>
          <w:p w14:paraId="2FCA0660" w14:textId="77777777" w:rsidR="00147CEE" w:rsidRDefault="00147CEE" w:rsidP="00147CEE">
            <w:pPr>
              <w:pStyle w:val="Texttabulky"/>
              <w:spacing w:after="0"/>
              <w:jc w:val="both"/>
            </w:pPr>
            <w:r>
              <w:rPr>
                <w:sz w:val="18"/>
                <w:szCs w:val="18"/>
              </w:rPr>
              <w:t>1-2</w:t>
            </w:r>
          </w:p>
        </w:tc>
        <w:tc>
          <w:tcPr>
            <w:tcW w:w="4514" w:type="dxa"/>
            <w:tcBorders>
              <w:top w:val="single" w:sz="6" w:space="0" w:color="auto"/>
              <w:left w:val="single" w:sz="6" w:space="0" w:color="auto"/>
              <w:bottom w:val="single" w:sz="6" w:space="0" w:color="auto"/>
              <w:right w:val="single" w:sz="6" w:space="0" w:color="auto"/>
            </w:tcBorders>
          </w:tcPr>
          <w:p w14:paraId="7463616C" w14:textId="77777777" w:rsidR="00147CEE" w:rsidRDefault="00147CEE" w:rsidP="00147CEE">
            <w:pPr>
              <w:pStyle w:val="Texttabulky"/>
              <w:spacing w:after="0"/>
              <w:jc w:val="both"/>
            </w:pPr>
            <w:r>
              <w:rPr>
                <w:b/>
                <w:bCs/>
              </w:rPr>
              <w:t xml:space="preserve">dominantní: </w:t>
            </w:r>
            <w:r>
              <w:t>nerušící provozy výroby a výrobníchslužeb, hygienicky, dopravně a provozně nenarušující existenci přilehlých polyfunkčních zón, sklady</w:t>
            </w:r>
          </w:p>
          <w:p w14:paraId="239D5031" w14:textId="77777777" w:rsidR="00147CEE" w:rsidRDefault="00147CEE" w:rsidP="00147CEE">
            <w:pPr>
              <w:pStyle w:val="Texttabulky"/>
              <w:spacing w:after="0"/>
              <w:jc w:val="both"/>
            </w:pPr>
            <w:r>
              <w:rPr>
                <w:b/>
                <w:bCs/>
              </w:rPr>
              <w:t xml:space="preserve">vhodné: </w:t>
            </w:r>
            <w:r>
              <w:t>komerce, obchod, byty služební a vlastníků</w:t>
            </w:r>
          </w:p>
          <w:p w14:paraId="651A2743" w14:textId="77777777" w:rsidR="00147CEE" w:rsidRDefault="00147CEE" w:rsidP="00147CEE">
            <w:pPr>
              <w:pStyle w:val="Texttabulky"/>
              <w:spacing w:after="0"/>
              <w:jc w:val="both"/>
            </w:pPr>
            <w:r>
              <w:t>provozoven, parkovací plochy, garáže, odpovídající komunikační síť a technická infrastruktura, zeleň liniová a ochranná</w:t>
            </w:r>
          </w:p>
          <w:p w14:paraId="37612FC6" w14:textId="77777777" w:rsidR="00147CEE" w:rsidRDefault="00147CEE" w:rsidP="00147CEE">
            <w:pPr>
              <w:pStyle w:val="Texttabulky"/>
              <w:spacing w:after="0"/>
              <w:jc w:val="both"/>
            </w:pPr>
            <w:r>
              <w:rPr>
                <w:b/>
                <w:bCs/>
              </w:rPr>
              <w:t xml:space="preserve">nevhodné: </w:t>
            </w:r>
            <w:r>
              <w:t>ostatní trvalé bydlení všech forem, sportovní, školská, zdravotnická a sociální zařízení</w:t>
            </w:r>
          </w:p>
          <w:p w14:paraId="26729121" w14:textId="77777777" w:rsidR="00147CEE" w:rsidRDefault="00147CEE" w:rsidP="00147CEE">
            <w:pPr>
              <w:pStyle w:val="Zkladntext"/>
              <w:spacing w:after="0"/>
              <w:jc w:val="both"/>
            </w:pPr>
          </w:p>
          <w:p w14:paraId="14365C6F" w14:textId="77777777" w:rsidR="00147CEE" w:rsidRDefault="00147CEE" w:rsidP="00147CEE">
            <w:pPr>
              <w:pStyle w:val="Texttabulky"/>
              <w:spacing w:after="0"/>
              <w:jc w:val="both"/>
            </w:pPr>
            <w:r>
              <w:rPr>
                <w:b/>
                <w:bCs/>
              </w:rPr>
              <w:t>areály, objekty a doplňující zařízení nerušící výroby a výrobních služeb</w:t>
            </w:r>
            <w:r>
              <w:t xml:space="preserve"> celoměstského významu urbanistické kategorie B a C a rozsahem malé provozy odpovídající výrobnímu programu a činnosti podnikatelského subjektu, korigované i PHO  </w:t>
            </w:r>
          </w:p>
          <w:p w14:paraId="0484BFB5" w14:textId="77777777" w:rsidR="00147CEE" w:rsidRDefault="00147CEE" w:rsidP="00147CEE">
            <w:pPr>
              <w:pStyle w:val="Zkladntext"/>
              <w:spacing w:after="0"/>
              <w:jc w:val="both"/>
            </w:pPr>
          </w:p>
        </w:tc>
      </w:tr>
      <w:tr w:rsidR="00147CEE" w14:paraId="5FC76FEC" w14:textId="77777777" w:rsidTr="002D2D45">
        <w:tc>
          <w:tcPr>
            <w:tcW w:w="573" w:type="dxa"/>
            <w:tcBorders>
              <w:top w:val="single" w:sz="6" w:space="0" w:color="auto"/>
              <w:left w:val="single" w:sz="6" w:space="0" w:color="auto"/>
              <w:bottom w:val="single" w:sz="6" w:space="0" w:color="auto"/>
              <w:right w:val="single" w:sz="6" w:space="0" w:color="auto"/>
            </w:tcBorders>
          </w:tcPr>
          <w:p w14:paraId="6E647AE4" w14:textId="77777777" w:rsidR="00147CEE" w:rsidRDefault="00147CEE" w:rsidP="00147CEE">
            <w:pPr>
              <w:pStyle w:val="Texttabulky"/>
              <w:spacing w:after="0"/>
              <w:jc w:val="both"/>
            </w:pPr>
            <w:r>
              <w:rPr>
                <w:b/>
                <w:bCs/>
              </w:rPr>
              <w:t>TV</w:t>
            </w:r>
          </w:p>
        </w:tc>
        <w:tc>
          <w:tcPr>
            <w:tcW w:w="2688" w:type="dxa"/>
            <w:tcBorders>
              <w:top w:val="single" w:sz="6" w:space="0" w:color="auto"/>
              <w:left w:val="single" w:sz="6" w:space="0" w:color="auto"/>
              <w:bottom w:val="single" w:sz="6" w:space="0" w:color="auto"/>
              <w:right w:val="single" w:sz="6" w:space="0" w:color="auto"/>
            </w:tcBorders>
          </w:tcPr>
          <w:p w14:paraId="1FCB6701" w14:textId="77777777" w:rsidR="00147CEE" w:rsidRDefault="00147CEE" w:rsidP="00147CEE">
            <w:pPr>
              <w:pStyle w:val="Texttabulky"/>
              <w:spacing w:after="0"/>
              <w:jc w:val="both"/>
            </w:pPr>
            <w:r>
              <w:rPr>
                <w:b/>
                <w:bCs/>
                <w:caps/>
                <w:sz w:val="18"/>
                <w:szCs w:val="18"/>
              </w:rPr>
              <w:t>areály technického vybavení</w:t>
            </w:r>
          </w:p>
          <w:p w14:paraId="593B53AC" w14:textId="77777777" w:rsidR="00147CEE" w:rsidRDefault="00147CEE" w:rsidP="00147CEE">
            <w:pPr>
              <w:pStyle w:val="Texttabulky"/>
              <w:spacing w:after="0"/>
              <w:jc w:val="both"/>
            </w:pPr>
            <w:r>
              <w:rPr>
                <w:sz w:val="18"/>
                <w:szCs w:val="18"/>
              </w:rPr>
              <w:t>zahrnuje hlavní zařízení energetiky, spojů, vodního hospodářství</w:t>
            </w:r>
          </w:p>
          <w:p w14:paraId="5405E42B" w14:textId="77777777" w:rsidR="00147CEE" w:rsidRDefault="00147CEE" w:rsidP="00147CEE">
            <w:pPr>
              <w:pStyle w:val="Zkladntext"/>
              <w:spacing w:after="0"/>
              <w:jc w:val="both"/>
            </w:pPr>
          </w:p>
          <w:p w14:paraId="010F3B0A" w14:textId="77777777" w:rsidR="00147CEE" w:rsidRDefault="00147CEE" w:rsidP="00147CEE">
            <w:pPr>
              <w:pStyle w:val="Texttabulky"/>
              <w:spacing w:after="0"/>
              <w:jc w:val="both"/>
            </w:pPr>
            <w:r>
              <w:rPr>
                <w:caps/>
                <w:sz w:val="18"/>
                <w:szCs w:val="18"/>
              </w:rPr>
              <w:t>v rámci celého území města</w:t>
            </w:r>
          </w:p>
        </w:tc>
        <w:tc>
          <w:tcPr>
            <w:tcW w:w="571" w:type="dxa"/>
            <w:tcBorders>
              <w:top w:val="single" w:sz="6" w:space="0" w:color="auto"/>
              <w:left w:val="single" w:sz="6" w:space="0" w:color="auto"/>
              <w:bottom w:val="single" w:sz="6" w:space="0" w:color="auto"/>
              <w:right w:val="single" w:sz="6" w:space="0" w:color="auto"/>
            </w:tcBorders>
          </w:tcPr>
          <w:p w14:paraId="405893F3" w14:textId="77777777" w:rsidR="00147CEE" w:rsidRDefault="00147CEE" w:rsidP="00147CEE">
            <w:pPr>
              <w:pStyle w:val="Texttabulky"/>
              <w:spacing w:after="0"/>
              <w:jc w:val="both"/>
            </w:pPr>
            <w:r>
              <w:rPr>
                <w:sz w:val="18"/>
                <w:szCs w:val="18"/>
              </w:rPr>
              <w:t>75</w:t>
            </w:r>
          </w:p>
          <w:p w14:paraId="2130964A" w14:textId="77777777" w:rsidR="00147CEE" w:rsidRDefault="00147CEE" w:rsidP="00147CEE">
            <w:pPr>
              <w:pStyle w:val="Texttabulky"/>
              <w:spacing w:after="0"/>
              <w:jc w:val="both"/>
            </w:pPr>
            <w:r>
              <w:rPr>
                <w:sz w:val="18"/>
                <w:szCs w:val="18"/>
              </w:rPr>
              <w:t>(100)</w:t>
            </w:r>
          </w:p>
        </w:tc>
        <w:tc>
          <w:tcPr>
            <w:tcW w:w="491" w:type="dxa"/>
            <w:tcBorders>
              <w:top w:val="single" w:sz="6" w:space="0" w:color="auto"/>
              <w:left w:val="single" w:sz="6" w:space="0" w:color="auto"/>
              <w:bottom w:val="single" w:sz="6" w:space="0" w:color="auto"/>
              <w:right w:val="single" w:sz="6" w:space="0" w:color="auto"/>
            </w:tcBorders>
          </w:tcPr>
          <w:p w14:paraId="60025EFC" w14:textId="77777777" w:rsidR="00147CEE" w:rsidRDefault="00147CEE" w:rsidP="00147CEE">
            <w:pPr>
              <w:pStyle w:val="Texttabulky"/>
              <w:spacing w:after="0"/>
              <w:jc w:val="both"/>
            </w:pPr>
            <w:r>
              <w:t>1-2</w:t>
            </w:r>
          </w:p>
        </w:tc>
        <w:tc>
          <w:tcPr>
            <w:tcW w:w="4514" w:type="dxa"/>
            <w:tcBorders>
              <w:top w:val="single" w:sz="6" w:space="0" w:color="auto"/>
              <w:left w:val="single" w:sz="6" w:space="0" w:color="auto"/>
              <w:bottom w:val="single" w:sz="6" w:space="0" w:color="auto"/>
              <w:right w:val="single" w:sz="6" w:space="0" w:color="auto"/>
            </w:tcBorders>
          </w:tcPr>
          <w:p w14:paraId="5602DC09" w14:textId="77777777" w:rsidR="00147CEE" w:rsidRDefault="00147CEE" w:rsidP="00147CEE">
            <w:pPr>
              <w:pStyle w:val="Texttabulky"/>
              <w:spacing w:after="0"/>
              <w:jc w:val="both"/>
            </w:pPr>
            <w:r>
              <w:rPr>
                <w:b/>
                <w:bCs/>
              </w:rPr>
              <w:t>dominantní:</w:t>
            </w:r>
            <w:r>
              <w:t xml:space="preserve"> monofunkční účelové areály a objekty  sloužící k zajištění energetických sítí ( rozvodny aTS elektrické energie, RS plynu, zdroje a VS tepla, ČOV pro likvidaci odpadních vod, VDJ, jímací zařízení a ČS pro zásobování vodou, recyklační a sběrné dvory odpadu</w:t>
            </w:r>
          </w:p>
          <w:p w14:paraId="46C03417" w14:textId="77777777" w:rsidR="00147CEE" w:rsidRDefault="00147CEE" w:rsidP="00147CEE">
            <w:pPr>
              <w:pStyle w:val="Texttabulky"/>
              <w:spacing w:after="0"/>
              <w:jc w:val="both"/>
            </w:pPr>
            <w:r>
              <w:rPr>
                <w:b/>
                <w:bCs/>
              </w:rPr>
              <w:t xml:space="preserve">přípustné: </w:t>
            </w:r>
            <w:r>
              <w:t>obvodové služebny a služební byty</w:t>
            </w:r>
          </w:p>
          <w:p w14:paraId="569B22A2" w14:textId="77777777" w:rsidR="00147CEE" w:rsidRDefault="00147CEE" w:rsidP="00147CEE">
            <w:pPr>
              <w:pStyle w:val="Texttabulky"/>
              <w:spacing w:after="0"/>
              <w:jc w:val="both"/>
            </w:pPr>
            <w:r>
              <w:rPr>
                <w:b/>
                <w:bCs/>
              </w:rPr>
              <w:t xml:space="preserve">nepřípustné: </w:t>
            </w:r>
            <w:r>
              <w:t>všechny ostatní provozy a činnosti neodpovídající svojím provozem a charakterem dominantní činnosti</w:t>
            </w:r>
          </w:p>
          <w:p w14:paraId="188C773F" w14:textId="77777777" w:rsidR="00147CEE" w:rsidRDefault="00147CEE" w:rsidP="00147CEE">
            <w:pPr>
              <w:pStyle w:val="Zkladntext"/>
              <w:spacing w:after="0"/>
              <w:jc w:val="both"/>
            </w:pPr>
          </w:p>
        </w:tc>
      </w:tr>
      <w:tr w:rsidR="00147CEE" w14:paraId="43BF5929" w14:textId="77777777" w:rsidTr="002D2D45">
        <w:tc>
          <w:tcPr>
            <w:tcW w:w="573" w:type="dxa"/>
            <w:tcBorders>
              <w:top w:val="single" w:sz="6" w:space="0" w:color="auto"/>
              <w:left w:val="single" w:sz="6" w:space="0" w:color="auto"/>
              <w:bottom w:val="single" w:sz="6" w:space="0" w:color="auto"/>
              <w:right w:val="single" w:sz="6" w:space="0" w:color="auto"/>
            </w:tcBorders>
          </w:tcPr>
          <w:p w14:paraId="011D87E1" w14:textId="77777777" w:rsidR="00147CEE" w:rsidRDefault="00147CEE" w:rsidP="00147CEE">
            <w:pPr>
              <w:pStyle w:val="Texttabulky"/>
              <w:spacing w:after="0"/>
              <w:jc w:val="both"/>
            </w:pPr>
            <w:r>
              <w:rPr>
                <w:b/>
                <w:bCs/>
              </w:rPr>
              <w:t>D</w:t>
            </w:r>
          </w:p>
          <w:p w14:paraId="64F27FBA" w14:textId="77777777" w:rsidR="00147CEE" w:rsidRDefault="00147CEE" w:rsidP="00147CEE">
            <w:pPr>
              <w:pStyle w:val="Zkladntext"/>
              <w:spacing w:after="0"/>
              <w:jc w:val="both"/>
            </w:pPr>
          </w:p>
          <w:p w14:paraId="461AFD3B" w14:textId="77777777" w:rsidR="00147CEE" w:rsidRDefault="00147CEE" w:rsidP="00147CEE">
            <w:pPr>
              <w:pStyle w:val="Zkladntext"/>
              <w:spacing w:after="0"/>
              <w:jc w:val="both"/>
            </w:pPr>
          </w:p>
          <w:p w14:paraId="14718CA3" w14:textId="77777777" w:rsidR="00147CEE" w:rsidRDefault="00147CEE" w:rsidP="00147CEE">
            <w:pPr>
              <w:pStyle w:val="Zkladntext"/>
              <w:spacing w:after="0"/>
              <w:jc w:val="both"/>
            </w:pPr>
          </w:p>
        </w:tc>
        <w:tc>
          <w:tcPr>
            <w:tcW w:w="2688" w:type="dxa"/>
            <w:tcBorders>
              <w:top w:val="single" w:sz="6" w:space="0" w:color="auto"/>
              <w:left w:val="single" w:sz="6" w:space="0" w:color="auto"/>
              <w:bottom w:val="single" w:sz="6" w:space="0" w:color="auto"/>
              <w:right w:val="single" w:sz="6" w:space="0" w:color="auto"/>
            </w:tcBorders>
          </w:tcPr>
          <w:p w14:paraId="632D18A3" w14:textId="77777777" w:rsidR="00147CEE" w:rsidRDefault="00147CEE" w:rsidP="00147CEE">
            <w:pPr>
              <w:pStyle w:val="Texttabulky"/>
              <w:spacing w:after="0"/>
              <w:jc w:val="both"/>
            </w:pPr>
            <w:r>
              <w:rPr>
                <w:b/>
                <w:bCs/>
                <w:caps/>
                <w:sz w:val="18"/>
                <w:szCs w:val="18"/>
              </w:rPr>
              <w:t>plochy a areály dopravy</w:t>
            </w:r>
          </w:p>
          <w:p w14:paraId="541713BC" w14:textId="77777777" w:rsidR="00147CEE" w:rsidRDefault="00147CEE" w:rsidP="00147CEE">
            <w:pPr>
              <w:pStyle w:val="Texttabulky"/>
              <w:spacing w:after="0"/>
              <w:jc w:val="both"/>
            </w:pPr>
            <w:r>
              <w:rPr>
                <w:sz w:val="18"/>
                <w:szCs w:val="18"/>
              </w:rPr>
              <w:t>silniční, železniční a lodní doprava</w:t>
            </w:r>
          </w:p>
          <w:p w14:paraId="145CEA11" w14:textId="77777777" w:rsidR="00147CEE" w:rsidRDefault="00147CEE" w:rsidP="00147CEE">
            <w:pPr>
              <w:pStyle w:val="Zkladntext"/>
              <w:spacing w:after="0"/>
              <w:jc w:val="both"/>
            </w:pPr>
          </w:p>
          <w:p w14:paraId="4B8C4EB0" w14:textId="77777777" w:rsidR="00147CEE" w:rsidRDefault="00147CEE" w:rsidP="00147CEE">
            <w:pPr>
              <w:pStyle w:val="Zkladntext"/>
              <w:spacing w:after="0"/>
              <w:jc w:val="both"/>
            </w:pPr>
          </w:p>
          <w:p w14:paraId="60B39ED6" w14:textId="77777777" w:rsidR="00147CEE" w:rsidRDefault="00147CEE" w:rsidP="00147CEE">
            <w:pPr>
              <w:pStyle w:val="Zkladntext"/>
              <w:spacing w:after="0"/>
              <w:jc w:val="both"/>
            </w:pPr>
          </w:p>
          <w:p w14:paraId="65E15CF8" w14:textId="77777777" w:rsidR="00147CEE" w:rsidRDefault="00147CEE" w:rsidP="00147CEE">
            <w:pPr>
              <w:pStyle w:val="Zkladntext"/>
              <w:spacing w:after="0"/>
              <w:jc w:val="both"/>
            </w:pPr>
          </w:p>
          <w:p w14:paraId="11B87F25" w14:textId="77777777" w:rsidR="00147CEE" w:rsidRDefault="00147CEE" w:rsidP="00147CEE">
            <w:pPr>
              <w:pStyle w:val="Zkladntext"/>
              <w:spacing w:after="0"/>
              <w:jc w:val="both"/>
            </w:pPr>
          </w:p>
          <w:p w14:paraId="6DF27B3E" w14:textId="77777777" w:rsidR="00147CEE" w:rsidRDefault="00147CEE" w:rsidP="00147CEE">
            <w:pPr>
              <w:pStyle w:val="Zkladntext"/>
              <w:spacing w:after="0"/>
              <w:jc w:val="both"/>
            </w:pPr>
          </w:p>
          <w:p w14:paraId="0A6EDA56" w14:textId="77777777" w:rsidR="00147CEE" w:rsidRDefault="00147CEE" w:rsidP="00147CEE">
            <w:pPr>
              <w:pStyle w:val="Texttabulky"/>
              <w:spacing w:after="0"/>
              <w:jc w:val="both"/>
            </w:pPr>
            <w:r>
              <w:rPr>
                <w:caps/>
                <w:sz w:val="18"/>
                <w:szCs w:val="18"/>
              </w:rPr>
              <w:t>v rámci celého území města</w:t>
            </w:r>
          </w:p>
        </w:tc>
        <w:tc>
          <w:tcPr>
            <w:tcW w:w="571" w:type="dxa"/>
            <w:tcBorders>
              <w:top w:val="single" w:sz="6" w:space="0" w:color="auto"/>
              <w:left w:val="single" w:sz="6" w:space="0" w:color="auto"/>
              <w:bottom w:val="single" w:sz="6" w:space="0" w:color="auto"/>
              <w:right w:val="single" w:sz="6" w:space="0" w:color="auto"/>
            </w:tcBorders>
          </w:tcPr>
          <w:p w14:paraId="59BABC6E" w14:textId="77777777" w:rsidR="00147CEE" w:rsidRDefault="00147CEE" w:rsidP="00147CEE">
            <w:pPr>
              <w:pStyle w:val="Texttabulky"/>
              <w:spacing w:after="0"/>
              <w:jc w:val="both"/>
            </w:pPr>
            <w:r>
              <w:rPr>
                <w:sz w:val="18"/>
                <w:szCs w:val="18"/>
              </w:rPr>
              <w:t>90</w:t>
            </w:r>
          </w:p>
        </w:tc>
        <w:tc>
          <w:tcPr>
            <w:tcW w:w="491" w:type="dxa"/>
            <w:tcBorders>
              <w:top w:val="single" w:sz="6" w:space="0" w:color="auto"/>
              <w:left w:val="single" w:sz="6" w:space="0" w:color="auto"/>
              <w:bottom w:val="single" w:sz="6" w:space="0" w:color="auto"/>
              <w:right w:val="single" w:sz="6" w:space="0" w:color="auto"/>
            </w:tcBorders>
          </w:tcPr>
          <w:p w14:paraId="6BDBA1B9" w14:textId="77777777" w:rsidR="00147CEE" w:rsidRDefault="00147CEE" w:rsidP="00147CEE">
            <w:pPr>
              <w:pStyle w:val="Texttabulky"/>
              <w:spacing w:after="0"/>
              <w:jc w:val="both"/>
            </w:pPr>
            <w:r>
              <w:t>1-2</w:t>
            </w:r>
          </w:p>
        </w:tc>
        <w:tc>
          <w:tcPr>
            <w:tcW w:w="4514" w:type="dxa"/>
            <w:tcBorders>
              <w:top w:val="single" w:sz="6" w:space="0" w:color="auto"/>
              <w:left w:val="single" w:sz="6" w:space="0" w:color="auto"/>
              <w:bottom w:val="single" w:sz="6" w:space="0" w:color="auto"/>
              <w:right w:val="single" w:sz="6" w:space="0" w:color="auto"/>
            </w:tcBorders>
          </w:tcPr>
          <w:p w14:paraId="63D82746" w14:textId="77777777" w:rsidR="00147CEE" w:rsidRDefault="00147CEE" w:rsidP="00147CEE">
            <w:pPr>
              <w:pStyle w:val="Texttabulky"/>
              <w:spacing w:after="0"/>
              <w:jc w:val="both"/>
            </w:pPr>
            <w:r>
              <w:rPr>
                <w:b/>
                <w:bCs/>
              </w:rPr>
              <w:t>dominantní:</w:t>
            </w:r>
            <w:r>
              <w:t xml:space="preserve"> dopravní skelet města tvořený silnicemi, trasami      a komunikacemi  všech kategorií, veřejná osobní a nákladová doprava, MHD, účelové stavby a provozní objekty,přístavy, nádraží, služby pro motoristy, parkovací a odstavná stání povrchová a podpovrchová, garážové dvory  individuelní  i hromadné, terminál HD</w:t>
            </w:r>
          </w:p>
          <w:p w14:paraId="76678603" w14:textId="77777777" w:rsidR="00147CEE" w:rsidRDefault="00147CEE" w:rsidP="00147CEE">
            <w:pPr>
              <w:pStyle w:val="Texttabulky"/>
              <w:spacing w:after="0"/>
              <w:jc w:val="both"/>
            </w:pPr>
            <w:r>
              <w:rPr>
                <w:b/>
                <w:bCs/>
              </w:rPr>
              <w:t xml:space="preserve">vhodné: </w:t>
            </w:r>
            <w:r>
              <w:t>podnikatelská činnost zaměřená na služby sovisející      s funkcí objektu (stravování, informace, související služby), byty služební, veřejné WC</w:t>
            </w:r>
          </w:p>
          <w:p w14:paraId="7C8D1C45" w14:textId="77777777" w:rsidR="00147CEE" w:rsidRDefault="00147CEE" w:rsidP="00147CEE">
            <w:pPr>
              <w:pStyle w:val="Texttabulky"/>
              <w:spacing w:after="0"/>
              <w:jc w:val="both"/>
            </w:pPr>
            <w:r>
              <w:rPr>
                <w:b/>
                <w:bCs/>
              </w:rPr>
              <w:t xml:space="preserve">nepřípustné: </w:t>
            </w:r>
            <w:r>
              <w:t>všechny ostatní provozy a činnosti neodpovídající svojím provozem a charakterem dominantní činnosti</w:t>
            </w:r>
          </w:p>
          <w:p w14:paraId="4C827495" w14:textId="77777777" w:rsidR="00147CEE" w:rsidRDefault="00147CEE" w:rsidP="00147CEE">
            <w:pPr>
              <w:pStyle w:val="Zkladntext"/>
              <w:spacing w:after="0"/>
              <w:jc w:val="both"/>
            </w:pPr>
          </w:p>
        </w:tc>
      </w:tr>
      <w:tr w:rsidR="00147CEE" w14:paraId="29CA9C16" w14:textId="77777777" w:rsidTr="002D2D45">
        <w:tc>
          <w:tcPr>
            <w:tcW w:w="573" w:type="dxa"/>
            <w:tcBorders>
              <w:top w:val="single" w:sz="6" w:space="0" w:color="auto"/>
              <w:left w:val="single" w:sz="6" w:space="0" w:color="auto"/>
              <w:bottom w:val="single" w:sz="6" w:space="0" w:color="auto"/>
              <w:right w:val="single" w:sz="6" w:space="0" w:color="auto"/>
            </w:tcBorders>
          </w:tcPr>
          <w:p w14:paraId="1ECC5C5A" w14:textId="77777777" w:rsidR="00147CEE" w:rsidRPr="00EA0C80" w:rsidRDefault="00147CEE" w:rsidP="00147CEE">
            <w:pPr>
              <w:pStyle w:val="Texttabulky"/>
              <w:spacing w:after="0"/>
              <w:jc w:val="both"/>
            </w:pPr>
            <w:r w:rsidRPr="00EA0C80">
              <w:rPr>
                <w:b/>
                <w:bCs/>
              </w:rPr>
              <w:t>ZV</w:t>
            </w:r>
          </w:p>
          <w:p w14:paraId="20FFB619" w14:textId="77777777" w:rsidR="00147CEE" w:rsidRDefault="00147CEE" w:rsidP="00147CEE">
            <w:pPr>
              <w:pStyle w:val="Texttabulky"/>
              <w:spacing w:after="0"/>
              <w:ind w:left="567"/>
              <w:jc w:val="both"/>
            </w:pPr>
            <w:r>
              <w:rPr>
                <w:b/>
                <w:bCs/>
              </w:rPr>
              <w:t>uvzzZZzvZV</w:t>
            </w:r>
          </w:p>
        </w:tc>
        <w:tc>
          <w:tcPr>
            <w:tcW w:w="2688" w:type="dxa"/>
            <w:tcBorders>
              <w:top w:val="single" w:sz="6" w:space="0" w:color="auto"/>
              <w:left w:val="single" w:sz="6" w:space="0" w:color="auto"/>
              <w:bottom w:val="single" w:sz="6" w:space="0" w:color="auto"/>
              <w:right w:val="single" w:sz="6" w:space="0" w:color="auto"/>
            </w:tcBorders>
          </w:tcPr>
          <w:p w14:paraId="0CF9A8EA" w14:textId="77777777" w:rsidR="00147CEE" w:rsidRDefault="00147CEE" w:rsidP="00147CEE">
            <w:pPr>
              <w:pStyle w:val="Texttabulky"/>
              <w:spacing w:after="0"/>
              <w:jc w:val="both"/>
            </w:pPr>
            <w:r>
              <w:rPr>
                <w:b/>
                <w:bCs/>
                <w:caps/>
                <w:sz w:val="18"/>
                <w:szCs w:val="18"/>
              </w:rPr>
              <w:t>areály a služby</w:t>
            </w:r>
          </w:p>
          <w:p w14:paraId="60D1C597" w14:textId="77777777" w:rsidR="00147CEE" w:rsidRDefault="00147CEE" w:rsidP="00147CEE">
            <w:pPr>
              <w:pStyle w:val="Texttabulky"/>
              <w:spacing w:after="0"/>
              <w:jc w:val="both"/>
            </w:pPr>
            <w:r>
              <w:rPr>
                <w:b/>
                <w:bCs/>
                <w:caps/>
                <w:sz w:val="18"/>
                <w:szCs w:val="18"/>
              </w:rPr>
              <w:t xml:space="preserve">zemědělské výroby, zahradnictví </w:t>
            </w:r>
          </w:p>
          <w:p w14:paraId="6A960E9D" w14:textId="77777777" w:rsidR="00147CEE" w:rsidRDefault="00147CEE" w:rsidP="00147CEE">
            <w:pPr>
              <w:pStyle w:val="Zkladntext"/>
              <w:spacing w:after="0"/>
              <w:jc w:val="both"/>
            </w:pPr>
          </w:p>
          <w:p w14:paraId="19BB984B" w14:textId="77777777" w:rsidR="00147CEE" w:rsidRDefault="00147CEE" w:rsidP="00147CEE">
            <w:pPr>
              <w:pStyle w:val="Texttabulky"/>
              <w:spacing w:after="0"/>
              <w:jc w:val="both"/>
            </w:pPr>
            <w:r>
              <w:rPr>
                <w:sz w:val="18"/>
                <w:szCs w:val="18"/>
              </w:rPr>
              <w:t>KRÁSNÝ STUDENEC, VILSNICE</w:t>
            </w:r>
          </w:p>
          <w:p w14:paraId="4CCE475E" w14:textId="77777777" w:rsidR="00147CEE" w:rsidRDefault="00147CEE" w:rsidP="00147CEE">
            <w:pPr>
              <w:pStyle w:val="Texttabulky"/>
              <w:spacing w:after="0"/>
              <w:jc w:val="both"/>
            </w:pPr>
            <w:r>
              <w:rPr>
                <w:sz w:val="18"/>
                <w:szCs w:val="18"/>
              </w:rPr>
              <w:t>LESNÁ, BŘEZINY - LIBVERDA</w:t>
            </w:r>
          </w:p>
          <w:p w14:paraId="2094BDFD" w14:textId="77777777" w:rsidR="00147CEE" w:rsidRDefault="00147CEE" w:rsidP="00147CEE">
            <w:pPr>
              <w:pStyle w:val="Texttabulky"/>
              <w:spacing w:after="0"/>
              <w:jc w:val="both"/>
            </w:pPr>
            <w:r>
              <w:rPr>
                <w:sz w:val="18"/>
                <w:szCs w:val="18"/>
              </w:rPr>
              <w:t>NEBOČADY, HORNÍ CHLUM</w:t>
            </w:r>
          </w:p>
        </w:tc>
        <w:tc>
          <w:tcPr>
            <w:tcW w:w="571" w:type="dxa"/>
            <w:tcBorders>
              <w:top w:val="single" w:sz="6" w:space="0" w:color="auto"/>
              <w:left w:val="single" w:sz="6" w:space="0" w:color="auto"/>
              <w:bottom w:val="single" w:sz="6" w:space="0" w:color="auto"/>
              <w:right w:val="single" w:sz="6" w:space="0" w:color="auto"/>
            </w:tcBorders>
          </w:tcPr>
          <w:p w14:paraId="0549486A" w14:textId="77777777" w:rsidR="00147CEE" w:rsidRDefault="00147CEE" w:rsidP="00147CEE">
            <w:pPr>
              <w:pStyle w:val="Texttabulky"/>
              <w:spacing w:after="0"/>
              <w:jc w:val="both"/>
            </w:pPr>
            <w:r>
              <w:rPr>
                <w:sz w:val="18"/>
                <w:szCs w:val="18"/>
              </w:rPr>
              <w:t>60</w:t>
            </w:r>
          </w:p>
        </w:tc>
        <w:tc>
          <w:tcPr>
            <w:tcW w:w="491" w:type="dxa"/>
            <w:tcBorders>
              <w:top w:val="single" w:sz="6" w:space="0" w:color="auto"/>
              <w:left w:val="single" w:sz="6" w:space="0" w:color="auto"/>
              <w:bottom w:val="single" w:sz="6" w:space="0" w:color="auto"/>
              <w:right w:val="single" w:sz="6" w:space="0" w:color="auto"/>
            </w:tcBorders>
          </w:tcPr>
          <w:p w14:paraId="676BB225" w14:textId="77777777" w:rsidR="00147CEE" w:rsidRDefault="00147CEE" w:rsidP="00147CEE">
            <w:pPr>
              <w:pStyle w:val="Texttabulky"/>
              <w:spacing w:after="0"/>
              <w:jc w:val="both"/>
            </w:pPr>
            <w:r>
              <w:t>1-2</w:t>
            </w:r>
          </w:p>
        </w:tc>
        <w:tc>
          <w:tcPr>
            <w:tcW w:w="4514" w:type="dxa"/>
            <w:tcBorders>
              <w:top w:val="single" w:sz="6" w:space="0" w:color="auto"/>
              <w:left w:val="single" w:sz="6" w:space="0" w:color="auto"/>
              <w:bottom w:val="single" w:sz="6" w:space="0" w:color="auto"/>
              <w:right w:val="single" w:sz="6" w:space="0" w:color="auto"/>
            </w:tcBorders>
          </w:tcPr>
          <w:p w14:paraId="299E12A7" w14:textId="77777777" w:rsidR="00147CEE" w:rsidRDefault="00147CEE" w:rsidP="00147CEE">
            <w:pPr>
              <w:pStyle w:val="Texttabulky"/>
              <w:spacing w:after="0"/>
              <w:jc w:val="both"/>
            </w:pPr>
            <w:r>
              <w:rPr>
                <w:b/>
                <w:bCs/>
              </w:rPr>
              <w:t>dominantní:</w:t>
            </w:r>
            <w:r>
              <w:t xml:space="preserve"> zemědělská rostlinná a živočišná výroba se soustředěním účelových staveb do monofunkčních areálů (PHO), rodinné farmy, zahradnictví, rybářství</w:t>
            </w:r>
          </w:p>
          <w:p w14:paraId="303E6902" w14:textId="77777777" w:rsidR="00147CEE" w:rsidRDefault="00147CEE" w:rsidP="00147CEE">
            <w:pPr>
              <w:pStyle w:val="Texttabulky"/>
              <w:spacing w:after="0"/>
              <w:jc w:val="both"/>
            </w:pPr>
            <w:r>
              <w:rPr>
                <w:b/>
                <w:bCs/>
              </w:rPr>
              <w:t xml:space="preserve">přípustné: </w:t>
            </w:r>
            <w:r>
              <w:t>podnikatelská činnost zaměřená na služby sovisející s funkcí zóny, bydlení majitele</w:t>
            </w:r>
          </w:p>
          <w:p w14:paraId="654F517C" w14:textId="77777777" w:rsidR="00147CEE" w:rsidRDefault="00147CEE" w:rsidP="00147CEE">
            <w:pPr>
              <w:pStyle w:val="Texttabulky"/>
              <w:spacing w:after="0"/>
              <w:jc w:val="both"/>
            </w:pPr>
            <w:r>
              <w:rPr>
                <w:b/>
                <w:bCs/>
              </w:rPr>
              <w:t xml:space="preserve">nepřípustné: </w:t>
            </w:r>
            <w:r>
              <w:t>všechny ostatní provozy a činnosti neodpovídající svojím provozem a charakterem dominantní činnostÍ</w:t>
            </w:r>
          </w:p>
          <w:p w14:paraId="2EF5E122" w14:textId="77777777" w:rsidR="00147CEE" w:rsidRDefault="00147CEE" w:rsidP="00147CEE">
            <w:pPr>
              <w:pStyle w:val="Zkladntext"/>
              <w:spacing w:after="0"/>
              <w:jc w:val="both"/>
            </w:pPr>
          </w:p>
        </w:tc>
      </w:tr>
      <w:tr w:rsidR="00147CEE" w14:paraId="28A0B43B" w14:textId="77777777" w:rsidTr="002D2D45">
        <w:tc>
          <w:tcPr>
            <w:tcW w:w="573" w:type="dxa"/>
            <w:tcBorders>
              <w:top w:val="single" w:sz="6" w:space="0" w:color="auto"/>
              <w:left w:val="single" w:sz="6" w:space="0" w:color="auto"/>
              <w:bottom w:val="single" w:sz="6" w:space="0" w:color="auto"/>
              <w:right w:val="single" w:sz="6" w:space="0" w:color="auto"/>
            </w:tcBorders>
          </w:tcPr>
          <w:p w14:paraId="5CD2BD73" w14:textId="77777777" w:rsidR="00147CEE" w:rsidRPr="00EA0C80" w:rsidRDefault="00147CEE" w:rsidP="00147CEE">
            <w:pPr>
              <w:pStyle w:val="Texttabulky"/>
              <w:spacing w:after="0"/>
              <w:jc w:val="both"/>
            </w:pPr>
            <w:r w:rsidRPr="00EA0C80">
              <w:rPr>
                <w:b/>
                <w:bCs/>
              </w:rPr>
              <w:t xml:space="preserve">  Z     </w:t>
            </w:r>
          </w:p>
        </w:tc>
        <w:tc>
          <w:tcPr>
            <w:tcW w:w="2688" w:type="dxa"/>
            <w:tcBorders>
              <w:top w:val="single" w:sz="6" w:space="0" w:color="auto"/>
              <w:left w:val="single" w:sz="6" w:space="0" w:color="auto"/>
              <w:bottom w:val="single" w:sz="6" w:space="0" w:color="auto"/>
              <w:right w:val="single" w:sz="6" w:space="0" w:color="auto"/>
            </w:tcBorders>
          </w:tcPr>
          <w:p w14:paraId="1BBACD3B" w14:textId="77777777" w:rsidR="00147CEE" w:rsidRDefault="00147CEE" w:rsidP="00147CEE">
            <w:pPr>
              <w:pStyle w:val="Texttabulky"/>
              <w:spacing w:after="0"/>
              <w:jc w:val="both"/>
            </w:pPr>
            <w:r>
              <w:rPr>
                <w:b/>
                <w:bCs/>
                <w:caps/>
                <w:sz w:val="18"/>
                <w:szCs w:val="18"/>
              </w:rPr>
              <w:t>zóna rekreačně klidová</w:t>
            </w:r>
          </w:p>
          <w:p w14:paraId="68600BD9" w14:textId="77777777" w:rsidR="00147CEE" w:rsidRDefault="00147CEE" w:rsidP="00147CEE">
            <w:pPr>
              <w:pStyle w:val="Texttabulky"/>
              <w:spacing w:after="0"/>
              <w:jc w:val="both"/>
            </w:pPr>
            <w:r>
              <w:rPr>
                <w:sz w:val="18"/>
                <w:szCs w:val="18"/>
              </w:rPr>
              <w:t>zahrnuje plochy veřejné zeleně,</w:t>
            </w:r>
          </w:p>
          <w:p w14:paraId="47B3859C" w14:textId="77777777" w:rsidR="00147CEE" w:rsidRDefault="00147CEE" w:rsidP="00147CEE">
            <w:pPr>
              <w:pStyle w:val="Texttabulky"/>
              <w:spacing w:after="0"/>
              <w:jc w:val="both"/>
            </w:pPr>
            <w:r>
              <w:rPr>
                <w:sz w:val="18"/>
                <w:szCs w:val="18"/>
              </w:rPr>
              <w:t>lesoparky a rekreační lokality</w:t>
            </w:r>
          </w:p>
          <w:p w14:paraId="4D197C3A" w14:textId="77777777" w:rsidR="00147CEE" w:rsidRDefault="00147CEE" w:rsidP="00147CEE">
            <w:pPr>
              <w:pStyle w:val="Zkladntext"/>
              <w:spacing w:after="0"/>
              <w:jc w:val="both"/>
            </w:pPr>
          </w:p>
          <w:p w14:paraId="65BF8CA4" w14:textId="77777777" w:rsidR="00147CEE" w:rsidRDefault="00147CEE" w:rsidP="00147CEE">
            <w:pPr>
              <w:pStyle w:val="Zkladntext"/>
              <w:spacing w:after="0"/>
              <w:jc w:val="both"/>
            </w:pPr>
          </w:p>
          <w:p w14:paraId="00836C0A" w14:textId="77777777" w:rsidR="00147CEE" w:rsidRDefault="00147CEE" w:rsidP="00147CEE">
            <w:pPr>
              <w:pStyle w:val="Texttabulky"/>
              <w:spacing w:after="0"/>
              <w:jc w:val="both"/>
            </w:pPr>
            <w:r>
              <w:rPr>
                <w:caps/>
                <w:sz w:val="18"/>
                <w:szCs w:val="18"/>
              </w:rPr>
              <w:t>maxičky</w:t>
            </w:r>
            <w:r>
              <w:rPr>
                <w:sz w:val="18"/>
                <w:szCs w:val="18"/>
              </w:rPr>
              <w:t xml:space="preserve">, STOLIČNÍ  HORA </w:t>
            </w:r>
          </w:p>
          <w:p w14:paraId="4CD463CB" w14:textId="77777777" w:rsidR="00147CEE" w:rsidRDefault="00147CEE" w:rsidP="00147CEE">
            <w:pPr>
              <w:pStyle w:val="Texttabulky"/>
              <w:spacing w:after="0"/>
              <w:jc w:val="both"/>
            </w:pPr>
            <w:r>
              <w:rPr>
                <w:sz w:val="18"/>
                <w:szCs w:val="18"/>
              </w:rPr>
              <w:t>SOUTOK LABE A PLOUČNICE</w:t>
            </w:r>
          </w:p>
          <w:p w14:paraId="0B054A60" w14:textId="77777777" w:rsidR="00147CEE" w:rsidRDefault="00147CEE" w:rsidP="00147CEE">
            <w:pPr>
              <w:pStyle w:val="Texttabulky"/>
              <w:spacing w:after="0"/>
              <w:jc w:val="both"/>
            </w:pPr>
            <w:r>
              <w:rPr>
                <w:sz w:val="18"/>
                <w:szCs w:val="18"/>
              </w:rPr>
              <w:t xml:space="preserve">PASTÝŘSKÁ  STĚNA </w:t>
            </w:r>
          </w:p>
          <w:p w14:paraId="65030BD5" w14:textId="77777777" w:rsidR="00147CEE" w:rsidRDefault="00147CEE" w:rsidP="00147CEE">
            <w:pPr>
              <w:pStyle w:val="Texttabulky"/>
              <w:spacing w:after="0"/>
              <w:jc w:val="both"/>
            </w:pPr>
            <w:r>
              <w:rPr>
                <w:sz w:val="18"/>
                <w:szCs w:val="18"/>
              </w:rPr>
              <w:t>BAŽANTNICE -  U KAPLE</w:t>
            </w:r>
          </w:p>
          <w:p w14:paraId="40E9C4BE" w14:textId="77777777" w:rsidR="00147CEE" w:rsidRDefault="00147CEE" w:rsidP="00147CEE">
            <w:pPr>
              <w:pStyle w:val="Texttabulky"/>
              <w:spacing w:after="0"/>
              <w:jc w:val="both"/>
            </w:pPr>
            <w:r>
              <w:rPr>
                <w:sz w:val="18"/>
                <w:szCs w:val="18"/>
              </w:rPr>
              <w:t>DĚČÍN - KAMENICKÁ</w:t>
            </w:r>
          </w:p>
        </w:tc>
        <w:tc>
          <w:tcPr>
            <w:tcW w:w="571" w:type="dxa"/>
            <w:tcBorders>
              <w:top w:val="single" w:sz="6" w:space="0" w:color="auto"/>
              <w:left w:val="single" w:sz="6" w:space="0" w:color="auto"/>
              <w:bottom w:val="single" w:sz="6" w:space="0" w:color="auto"/>
              <w:right w:val="single" w:sz="6" w:space="0" w:color="auto"/>
            </w:tcBorders>
          </w:tcPr>
          <w:p w14:paraId="632D891C" w14:textId="77777777" w:rsidR="00147CEE" w:rsidRDefault="00147CEE" w:rsidP="00147CEE">
            <w:pPr>
              <w:pStyle w:val="Texttabulky"/>
              <w:spacing w:after="0"/>
              <w:jc w:val="both"/>
            </w:pPr>
            <w:r>
              <w:rPr>
                <w:sz w:val="18"/>
                <w:szCs w:val="18"/>
              </w:rPr>
              <w:t>do 5</w:t>
            </w:r>
          </w:p>
        </w:tc>
        <w:tc>
          <w:tcPr>
            <w:tcW w:w="491" w:type="dxa"/>
            <w:tcBorders>
              <w:top w:val="single" w:sz="6" w:space="0" w:color="auto"/>
              <w:left w:val="single" w:sz="6" w:space="0" w:color="auto"/>
              <w:bottom w:val="single" w:sz="6" w:space="0" w:color="auto"/>
              <w:right w:val="single" w:sz="6" w:space="0" w:color="auto"/>
            </w:tcBorders>
          </w:tcPr>
          <w:p w14:paraId="64F1DA13" w14:textId="77777777" w:rsidR="00147CEE" w:rsidRDefault="00147CEE" w:rsidP="00147CEE">
            <w:pPr>
              <w:pStyle w:val="Texttabulky"/>
              <w:spacing w:after="0"/>
              <w:jc w:val="both"/>
            </w:pPr>
            <w:r>
              <w:rPr>
                <w:sz w:val="18"/>
                <w:szCs w:val="18"/>
              </w:rPr>
              <w:t>1</w:t>
            </w:r>
          </w:p>
        </w:tc>
        <w:tc>
          <w:tcPr>
            <w:tcW w:w="4514" w:type="dxa"/>
            <w:tcBorders>
              <w:top w:val="single" w:sz="6" w:space="0" w:color="auto"/>
              <w:left w:val="single" w:sz="6" w:space="0" w:color="auto"/>
              <w:bottom w:val="single" w:sz="6" w:space="0" w:color="auto"/>
              <w:right w:val="single" w:sz="6" w:space="0" w:color="auto"/>
            </w:tcBorders>
          </w:tcPr>
          <w:p w14:paraId="2D48021D" w14:textId="77777777" w:rsidR="00147CEE" w:rsidRDefault="00147CEE" w:rsidP="00147CEE">
            <w:pPr>
              <w:pStyle w:val="Texttabulky"/>
              <w:spacing w:after="0"/>
              <w:jc w:val="both"/>
            </w:pPr>
            <w:r>
              <w:rPr>
                <w:b/>
                <w:bCs/>
              </w:rPr>
              <w:t xml:space="preserve">dominantní: </w:t>
            </w:r>
            <w:r>
              <w:t>krátkodobá rekreace a volný čas v rámci jednotlivých lokalit, nenarušující přírodní charakter a atraktivity daného území, areály, objekty, zařízení a plochy specifického charakteru, až na výjimky se sezónním využitím, zařízení rekreačních služeb a veřejného stravování, osvěta</w:t>
            </w:r>
          </w:p>
          <w:p w14:paraId="3E85EC00" w14:textId="77777777" w:rsidR="00147CEE" w:rsidRDefault="00147CEE" w:rsidP="00147CEE">
            <w:pPr>
              <w:pStyle w:val="Texttabulky"/>
              <w:spacing w:after="0"/>
              <w:jc w:val="both"/>
            </w:pPr>
            <w:r>
              <w:t>mezinárodní i regionální význam</w:t>
            </w:r>
          </w:p>
          <w:p w14:paraId="32BB9132" w14:textId="77777777" w:rsidR="00147CEE" w:rsidRDefault="00147CEE" w:rsidP="00147CEE">
            <w:pPr>
              <w:pStyle w:val="Texttabulky"/>
              <w:spacing w:after="0"/>
              <w:jc w:val="both"/>
            </w:pPr>
            <w:r>
              <w:rPr>
                <w:b/>
                <w:bCs/>
              </w:rPr>
              <w:t xml:space="preserve">vhodné : </w:t>
            </w:r>
            <w:r>
              <w:t>zařízení kultury, osvěty a sportu, veř. stravování, pěší a turistické trasy, vyhlídky, odpočívky, nezbytné  OSTATNÍ účelové komunikace, základní technické vybavení, sportovní zařízení</w:t>
            </w:r>
          </w:p>
          <w:p w14:paraId="60BDF2CB" w14:textId="77777777" w:rsidR="00147CEE" w:rsidRDefault="00147CEE" w:rsidP="00147CEE">
            <w:pPr>
              <w:pStyle w:val="Texttabulky"/>
              <w:spacing w:after="0"/>
              <w:jc w:val="both"/>
            </w:pPr>
            <w:r>
              <w:rPr>
                <w:b/>
                <w:bCs/>
              </w:rPr>
              <w:t xml:space="preserve">nepřípustné: </w:t>
            </w:r>
            <w:r>
              <w:t>všechny ostatní provozy a činnosti neodpovídající svojím provozem a charakterem poslání této zóny</w:t>
            </w:r>
          </w:p>
          <w:p w14:paraId="72184875" w14:textId="77777777" w:rsidR="00147CEE" w:rsidRDefault="00147CEE" w:rsidP="00147CEE">
            <w:pPr>
              <w:pStyle w:val="Zkladntext"/>
              <w:spacing w:after="0"/>
              <w:jc w:val="both"/>
            </w:pPr>
          </w:p>
        </w:tc>
      </w:tr>
      <w:tr w:rsidR="00147CEE" w14:paraId="4DE90796" w14:textId="77777777" w:rsidTr="002D2D45">
        <w:tc>
          <w:tcPr>
            <w:tcW w:w="573" w:type="dxa"/>
            <w:tcBorders>
              <w:top w:val="single" w:sz="6" w:space="0" w:color="auto"/>
              <w:left w:val="single" w:sz="6" w:space="0" w:color="auto"/>
              <w:bottom w:val="single" w:sz="6" w:space="0" w:color="auto"/>
              <w:right w:val="single" w:sz="6" w:space="0" w:color="auto"/>
            </w:tcBorders>
          </w:tcPr>
          <w:p w14:paraId="382EFB80" w14:textId="77777777" w:rsidR="00147CEE" w:rsidRDefault="00147CEE" w:rsidP="00147CEE">
            <w:pPr>
              <w:pStyle w:val="Texttabulky"/>
              <w:spacing w:after="0"/>
              <w:jc w:val="both"/>
            </w:pPr>
            <w:r>
              <w:rPr>
                <w:b/>
                <w:bCs/>
              </w:rPr>
              <w:lastRenderedPageBreak/>
              <w:t>CHÚ</w:t>
            </w:r>
          </w:p>
        </w:tc>
        <w:tc>
          <w:tcPr>
            <w:tcW w:w="2688" w:type="dxa"/>
            <w:tcBorders>
              <w:top w:val="single" w:sz="6" w:space="0" w:color="auto"/>
              <w:left w:val="single" w:sz="6" w:space="0" w:color="auto"/>
              <w:bottom w:val="single" w:sz="6" w:space="0" w:color="auto"/>
              <w:right w:val="single" w:sz="6" w:space="0" w:color="auto"/>
            </w:tcBorders>
          </w:tcPr>
          <w:p w14:paraId="7D731C96" w14:textId="77777777" w:rsidR="00147CEE" w:rsidRDefault="00147CEE" w:rsidP="00147CEE">
            <w:pPr>
              <w:pStyle w:val="Texttabulky"/>
              <w:spacing w:after="0"/>
              <w:jc w:val="both"/>
            </w:pPr>
            <w:r>
              <w:rPr>
                <w:b/>
                <w:bCs/>
                <w:caps/>
                <w:sz w:val="18"/>
                <w:szCs w:val="18"/>
              </w:rPr>
              <w:t>zóna chráněných území</w:t>
            </w:r>
          </w:p>
          <w:p w14:paraId="441CA472" w14:textId="77777777" w:rsidR="00147CEE" w:rsidRDefault="00147CEE" w:rsidP="00147CEE">
            <w:pPr>
              <w:pStyle w:val="Texttabulky"/>
              <w:spacing w:after="0"/>
              <w:jc w:val="both"/>
            </w:pPr>
            <w:r>
              <w:rPr>
                <w:sz w:val="18"/>
                <w:szCs w:val="18"/>
              </w:rPr>
              <w:t>zahrnuje přírodní ekosystémy      v CHKO na území města</w:t>
            </w:r>
          </w:p>
          <w:p w14:paraId="19DD904B" w14:textId="77777777" w:rsidR="00147CEE" w:rsidRDefault="00147CEE" w:rsidP="00147CEE">
            <w:pPr>
              <w:pStyle w:val="Zkladntext"/>
              <w:spacing w:after="0"/>
              <w:jc w:val="both"/>
            </w:pPr>
          </w:p>
          <w:p w14:paraId="63F54FC8" w14:textId="77777777" w:rsidR="00147CEE" w:rsidRDefault="00147CEE" w:rsidP="00147CEE">
            <w:pPr>
              <w:pStyle w:val="Texttabulky"/>
              <w:spacing w:after="0"/>
              <w:jc w:val="both"/>
            </w:pPr>
            <w:r>
              <w:rPr>
                <w:sz w:val="18"/>
                <w:szCs w:val="18"/>
              </w:rPr>
              <w:t>ÚSES</w:t>
            </w:r>
          </w:p>
          <w:p w14:paraId="550290E2" w14:textId="77777777" w:rsidR="00147CEE" w:rsidRDefault="00147CEE" w:rsidP="00147CEE">
            <w:pPr>
              <w:pStyle w:val="Texttabulky"/>
              <w:spacing w:after="0"/>
              <w:jc w:val="both"/>
            </w:pPr>
            <w:r>
              <w:rPr>
                <w:sz w:val="18"/>
                <w:szCs w:val="18"/>
              </w:rPr>
              <w:t>BŘEZINSKÉ TISY</w:t>
            </w:r>
          </w:p>
          <w:p w14:paraId="5E7D1726" w14:textId="77777777" w:rsidR="00147CEE" w:rsidRDefault="00147CEE" w:rsidP="00147CEE">
            <w:pPr>
              <w:pStyle w:val="Texttabulky"/>
              <w:spacing w:after="0"/>
              <w:jc w:val="both"/>
            </w:pPr>
            <w:r>
              <w:rPr>
                <w:sz w:val="18"/>
                <w:szCs w:val="18"/>
              </w:rPr>
              <w:t>NEBOČADSKÝ LUH</w:t>
            </w:r>
          </w:p>
          <w:p w14:paraId="7FEDFFF7" w14:textId="77777777" w:rsidR="00147CEE" w:rsidRDefault="00147CEE" w:rsidP="00147CEE">
            <w:pPr>
              <w:pStyle w:val="Texttabulky"/>
              <w:spacing w:after="0"/>
              <w:jc w:val="both"/>
            </w:pPr>
            <w:r>
              <w:rPr>
                <w:sz w:val="18"/>
                <w:szCs w:val="18"/>
              </w:rPr>
              <w:t xml:space="preserve">BOHYŇSKÁ LADA </w:t>
            </w:r>
          </w:p>
          <w:p w14:paraId="6881ADE6" w14:textId="77777777" w:rsidR="00147CEE" w:rsidRDefault="00147CEE" w:rsidP="00147CEE">
            <w:pPr>
              <w:pStyle w:val="Texttabulky"/>
              <w:spacing w:after="0"/>
              <w:jc w:val="both"/>
            </w:pPr>
            <w:r>
              <w:rPr>
                <w:caps/>
              </w:rPr>
              <w:t xml:space="preserve">rybník u králova mlýna </w:t>
            </w:r>
            <w:r>
              <w:t>(v přípr</w:t>
            </w:r>
            <w:r>
              <w:rPr>
                <w:caps/>
              </w:rPr>
              <w:t>.)</w:t>
            </w:r>
          </w:p>
        </w:tc>
        <w:tc>
          <w:tcPr>
            <w:tcW w:w="571" w:type="dxa"/>
            <w:tcBorders>
              <w:top w:val="single" w:sz="6" w:space="0" w:color="auto"/>
              <w:left w:val="single" w:sz="6" w:space="0" w:color="auto"/>
              <w:bottom w:val="single" w:sz="6" w:space="0" w:color="auto"/>
              <w:right w:val="single" w:sz="6" w:space="0" w:color="auto"/>
            </w:tcBorders>
          </w:tcPr>
          <w:p w14:paraId="51F94478" w14:textId="77777777" w:rsidR="00147CEE" w:rsidRDefault="00147CEE" w:rsidP="00147CEE">
            <w:pPr>
              <w:pStyle w:val="Texttabulky"/>
              <w:spacing w:after="0"/>
              <w:jc w:val="both"/>
            </w:pPr>
            <w:r>
              <w:rPr>
                <w:caps/>
                <w:sz w:val="18"/>
                <w:szCs w:val="18"/>
              </w:rPr>
              <w:t>o</w:t>
            </w:r>
          </w:p>
        </w:tc>
        <w:tc>
          <w:tcPr>
            <w:tcW w:w="491" w:type="dxa"/>
            <w:tcBorders>
              <w:top w:val="single" w:sz="6" w:space="0" w:color="auto"/>
              <w:left w:val="single" w:sz="6" w:space="0" w:color="auto"/>
              <w:bottom w:val="single" w:sz="6" w:space="0" w:color="auto"/>
              <w:right w:val="single" w:sz="6" w:space="0" w:color="auto"/>
            </w:tcBorders>
          </w:tcPr>
          <w:p w14:paraId="62C4895B" w14:textId="77777777" w:rsidR="00147CEE" w:rsidRDefault="00147CEE" w:rsidP="00147CEE">
            <w:pPr>
              <w:pStyle w:val="Texttabulky"/>
              <w:spacing w:after="0"/>
              <w:jc w:val="both"/>
            </w:pPr>
            <w:r>
              <w:rPr>
                <w:caps/>
                <w:sz w:val="18"/>
                <w:szCs w:val="18"/>
              </w:rPr>
              <w:t>o</w:t>
            </w:r>
          </w:p>
        </w:tc>
        <w:tc>
          <w:tcPr>
            <w:tcW w:w="4514" w:type="dxa"/>
            <w:tcBorders>
              <w:top w:val="single" w:sz="6" w:space="0" w:color="auto"/>
              <w:left w:val="single" w:sz="6" w:space="0" w:color="auto"/>
              <w:bottom w:val="single" w:sz="6" w:space="0" w:color="auto"/>
              <w:right w:val="single" w:sz="6" w:space="0" w:color="auto"/>
            </w:tcBorders>
          </w:tcPr>
          <w:p w14:paraId="28D65921" w14:textId="77777777" w:rsidR="00147CEE" w:rsidRDefault="00147CEE" w:rsidP="00147CEE">
            <w:pPr>
              <w:pStyle w:val="Texttabulky"/>
              <w:spacing w:after="0"/>
              <w:jc w:val="both"/>
            </w:pPr>
            <w:r>
              <w:rPr>
                <w:b/>
                <w:bCs/>
              </w:rPr>
              <w:t xml:space="preserve">dominantní: </w:t>
            </w:r>
            <w:r>
              <w:t>přírodní fenomény s vyhlášenými regulativy využití a ochrany dle zákonných ustanovení, v podstatě bez dalšího možného funkčního využití</w:t>
            </w:r>
          </w:p>
          <w:p w14:paraId="4225FE23" w14:textId="77777777" w:rsidR="00147CEE" w:rsidRDefault="00147CEE" w:rsidP="00147CEE">
            <w:pPr>
              <w:pStyle w:val="Zkladntext"/>
              <w:spacing w:after="0"/>
              <w:jc w:val="both"/>
            </w:pPr>
          </w:p>
          <w:p w14:paraId="46935291" w14:textId="77777777" w:rsidR="00147CEE" w:rsidRDefault="00147CEE" w:rsidP="00147CEE">
            <w:pPr>
              <w:pStyle w:val="Texttabulky"/>
              <w:spacing w:after="0"/>
              <w:jc w:val="both"/>
            </w:pPr>
            <w:r>
              <w:rPr>
                <w:b/>
                <w:bCs/>
              </w:rPr>
              <w:t xml:space="preserve">vhodné: </w:t>
            </w:r>
            <w:r>
              <w:t>kultura a osvěta, naučné stezky</w:t>
            </w:r>
          </w:p>
          <w:p w14:paraId="1CD353F4" w14:textId="77777777" w:rsidR="00147CEE" w:rsidRDefault="00147CEE" w:rsidP="00147CEE">
            <w:pPr>
              <w:pStyle w:val="Zkladntext"/>
              <w:spacing w:after="0"/>
              <w:jc w:val="both"/>
            </w:pPr>
          </w:p>
          <w:p w14:paraId="724871DB" w14:textId="77777777" w:rsidR="00147CEE" w:rsidRDefault="00147CEE" w:rsidP="00147CEE">
            <w:pPr>
              <w:pStyle w:val="Texttabulky"/>
              <w:spacing w:after="0"/>
              <w:jc w:val="both"/>
            </w:pPr>
            <w:r>
              <w:rPr>
                <w:rFonts w:cs="Arial"/>
                <w:b/>
                <w:bCs/>
              </w:rPr>
              <w:t xml:space="preserve">nepřípustné: </w:t>
            </w:r>
            <w:r>
              <w:rPr>
                <w:rFonts w:cs="Arial"/>
              </w:rPr>
              <w:t>všechny formy výrobních aktivit, volná těžba lesního půdního fondu</w:t>
            </w:r>
            <w:r>
              <w:t xml:space="preserve"> </w:t>
            </w:r>
            <w:r>
              <w:rPr>
                <w:rFonts w:cs="Arial"/>
              </w:rPr>
              <w:t xml:space="preserve">a strukturní zeleně, regulace vodního toku </w:t>
            </w:r>
          </w:p>
          <w:p w14:paraId="6044E3EE" w14:textId="77777777" w:rsidR="00147CEE" w:rsidRDefault="00147CEE" w:rsidP="00147CEE">
            <w:pPr>
              <w:pStyle w:val="Zkladntext"/>
              <w:spacing w:after="0"/>
              <w:jc w:val="both"/>
            </w:pPr>
          </w:p>
        </w:tc>
      </w:tr>
      <w:tr w:rsidR="00147CEE" w14:paraId="690299E8" w14:textId="77777777" w:rsidTr="002D2D45">
        <w:tc>
          <w:tcPr>
            <w:tcW w:w="573" w:type="dxa"/>
            <w:tcBorders>
              <w:top w:val="single" w:sz="6" w:space="0" w:color="auto"/>
              <w:left w:val="single" w:sz="6" w:space="0" w:color="auto"/>
              <w:bottom w:val="single" w:sz="6" w:space="0" w:color="auto"/>
              <w:right w:val="single" w:sz="6" w:space="0" w:color="auto"/>
            </w:tcBorders>
          </w:tcPr>
          <w:p w14:paraId="7FD4F56E" w14:textId="77777777" w:rsidR="00147CEE" w:rsidRDefault="00147CEE" w:rsidP="00147CEE">
            <w:pPr>
              <w:pStyle w:val="Texttabulky"/>
              <w:spacing w:after="0"/>
              <w:jc w:val="both"/>
            </w:pPr>
            <w:r>
              <w:rPr>
                <w:b/>
                <w:bCs/>
              </w:rPr>
              <w:t>ZPF</w:t>
            </w:r>
          </w:p>
        </w:tc>
        <w:tc>
          <w:tcPr>
            <w:tcW w:w="2688" w:type="dxa"/>
            <w:tcBorders>
              <w:top w:val="single" w:sz="6" w:space="0" w:color="auto"/>
              <w:left w:val="single" w:sz="6" w:space="0" w:color="auto"/>
              <w:bottom w:val="single" w:sz="6" w:space="0" w:color="auto"/>
              <w:right w:val="single" w:sz="6" w:space="0" w:color="auto"/>
            </w:tcBorders>
          </w:tcPr>
          <w:p w14:paraId="27D88B67" w14:textId="77777777" w:rsidR="00147CEE" w:rsidRDefault="00147CEE" w:rsidP="00147CEE">
            <w:pPr>
              <w:pStyle w:val="Texttabulky"/>
              <w:spacing w:after="0"/>
              <w:jc w:val="both"/>
            </w:pPr>
            <w:r>
              <w:rPr>
                <w:b/>
                <w:bCs/>
                <w:caps/>
                <w:sz w:val="18"/>
                <w:szCs w:val="18"/>
              </w:rPr>
              <w:t>zóna zemědělských kultur</w:t>
            </w:r>
          </w:p>
          <w:p w14:paraId="3968AD6F" w14:textId="77777777" w:rsidR="00147CEE" w:rsidRDefault="00147CEE" w:rsidP="00147CEE">
            <w:pPr>
              <w:pStyle w:val="Texttabulky"/>
              <w:spacing w:after="0"/>
              <w:jc w:val="both"/>
            </w:pPr>
            <w:r>
              <w:rPr>
                <w:sz w:val="18"/>
                <w:szCs w:val="18"/>
              </w:rPr>
              <w:t>zahrnuje zemědělský půdní</w:t>
            </w:r>
          </w:p>
          <w:p w14:paraId="7FD24BF2" w14:textId="77777777" w:rsidR="00147CEE" w:rsidRDefault="00147CEE" w:rsidP="00147CEE">
            <w:pPr>
              <w:pStyle w:val="Texttabulky"/>
              <w:spacing w:after="0"/>
              <w:jc w:val="both"/>
            </w:pPr>
            <w:r>
              <w:rPr>
                <w:sz w:val="18"/>
                <w:szCs w:val="18"/>
              </w:rPr>
              <w:t>fond na území města</w:t>
            </w:r>
          </w:p>
          <w:p w14:paraId="41B86DD6" w14:textId="77777777" w:rsidR="00147CEE" w:rsidRDefault="00147CEE" w:rsidP="00147CEE">
            <w:pPr>
              <w:pStyle w:val="Zkladntext"/>
              <w:spacing w:after="0"/>
              <w:jc w:val="both"/>
            </w:pPr>
          </w:p>
          <w:p w14:paraId="5B5A8C5F" w14:textId="77777777" w:rsidR="00147CEE" w:rsidRDefault="00147CEE" w:rsidP="00147CEE">
            <w:pPr>
              <w:pStyle w:val="Zkladntext"/>
              <w:spacing w:after="0"/>
              <w:jc w:val="both"/>
            </w:pPr>
          </w:p>
          <w:p w14:paraId="3BC80C5A" w14:textId="77777777" w:rsidR="00147CEE" w:rsidRDefault="00147CEE" w:rsidP="00147CEE">
            <w:pPr>
              <w:pStyle w:val="Zkladntext"/>
              <w:spacing w:after="0"/>
              <w:jc w:val="both"/>
            </w:pPr>
          </w:p>
          <w:p w14:paraId="048EAB7F" w14:textId="77777777" w:rsidR="00147CEE" w:rsidRDefault="00147CEE" w:rsidP="00147CEE">
            <w:pPr>
              <w:pStyle w:val="Zkladntext"/>
              <w:spacing w:after="0"/>
              <w:jc w:val="both"/>
            </w:pPr>
          </w:p>
          <w:p w14:paraId="7055CF98" w14:textId="77777777" w:rsidR="00147CEE" w:rsidRDefault="00147CEE" w:rsidP="00147CEE">
            <w:pPr>
              <w:pStyle w:val="Texttabulky"/>
              <w:spacing w:after="0"/>
              <w:jc w:val="both"/>
            </w:pPr>
            <w:r>
              <w:rPr>
                <w:sz w:val="18"/>
                <w:szCs w:val="18"/>
              </w:rPr>
              <w:t>KRÁSNÝ STUDENEC, LESNÁ, VELKÁ VELEŇ, CHLUM, FOLKNÁŘE, KŘEŠICE, BOLETICE, NEBOČADY,</w:t>
            </w:r>
          </w:p>
          <w:p w14:paraId="2709FDB8" w14:textId="77777777" w:rsidR="00147CEE" w:rsidRDefault="00147CEE" w:rsidP="00147CEE">
            <w:pPr>
              <w:pStyle w:val="Texttabulky"/>
              <w:spacing w:after="0"/>
              <w:jc w:val="both"/>
            </w:pPr>
            <w:r>
              <w:rPr>
                <w:sz w:val="18"/>
                <w:szCs w:val="18"/>
              </w:rPr>
              <w:t>VILSNICE,CHROCHVICE</w:t>
            </w:r>
          </w:p>
        </w:tc>
        <w:tc>
          <w:tcPr>
            <w:tcW w:w="571" w:type="dxa"/>
            <w:tcBorders>
              <w:top w:val="single" w:sz="6" w:space="0" w:color="auto"/>
              <w:left w:val="single" w:sz="6" w:space="0" w:color="auto"/>
              <w:bottom w:val="single" w:sz="6" w:space="0" w:color="auto"/>
              <w:right w:val="single" w:sz="6" w:space="0" w:color="auto"/>
            </w:tcBorders>
          </w:tcPr>
          <w:p w14:paraId="45574D4A" w14:textId="77777777" w:rsidR="00147CEE" w:rsidRDefault="00147CEE" w:rsidP="00147CEE">
            <w:pPr>
              <w:pStyle w:val="Zkladntext"/>
              <w:spacing w:after="0"/>
              <w:jc w:val="both"/>
            </w:pPr>
          </w:p>
        </w:tc>
        <w:tc>
          <w:tcPr>
            <w:tcW w:w="491" w:type="dxa"/>
            <w:tcBorders>
              <w:top w:val="single" w:sz="6" w:space="0" w:color="auto"/>
              <w:left w:val="single" w:sz="6" w:space="0" w:color="auto"/>
              <w:bottom w:val="single" w:sz="6" w:space="0" w:color="auto"/>
              <w:right w:val="single" w:sz="6" w:space="0" w:color="auto"/>
            </w:tcBorders>
          </w:tcPr>
          <w:p w14:paraId="413CFABB" w14:textId="77777777" w:rsidR="00147CEE" w:rsidRDefault="00147CEE" w:rsidP="00147CEE">
            <w:pPr>
              <w:pStyle w:val="Texttabulky"/>
              <w:spacing w:after="0"/>
              <w:jc w:val="both"/>
            </w:pPr>
            <w:r>
              <w:rPr>
                <w:sz w:val="18"/>
                <w:szCs w:val="18"/>
              </w:rPr>
              <w:t>1-2</w:t>
            </w:r>
          </w:p>
        </w:tc>
        <w:tc>
          <w:tcPr>
            <w:tcW w:w="4514" w:type="dxa"/>
            <w:tcBorders>
              <w:top w:val="single" w:sz="6" w:space="0" w:color="auto"/>
              <w:left w:val="single" w:sz="6" w:space="0" w:color="auto"/>
              <w:bottom w:val="single" w:sz="6" w:space="0" w:color="auto"/>
              <w:right w:val="single" w:sz="6" w:space="0" w:color="auto"/>
            </w:tcBorders>
          </w:tcPr>
          <w:p w14:paraId="5B6BB285" w14:textId="77777777" w:rsidR="00147CEE" w:rsidRDefault="00147CEE" w:rsidP="00147CEE">
            <w:pPr>
              <w:pStyle w:val="Texttabulky"/>
              <w:spacing w:after="0"/>
              <w:jc w:val="both"/>
            </w:pPr>
            <w:r>
              <w:rPr>
                <w:b/>
                <w:bCs/>
              </w:rPr>
              <w:t xml:space="preserve">dominantní: </w:t>
            </w:r>
            <w:r>
              <w:t>produkční zemědělská výroba (orná půda, trvalé trávní porosty, sady, zahrady, zahradnictví, školkařství)</w:t>
            </w:r>
          </w:p>
          <w:p w14:paraId="4DAC894F" w14:textId="77777777" w:rsidR="00147CEE" w:rsidRDefault="00147CEE" w:rsidP="00147CEE">
            <w:pPr>
              <w:pStyle w:val="Texttabulky"/>
              <w:spacing w:after="0"/>
              <w:jc w:val="both"/>
            </w:pPr>
            <w:r>
              <w:rPr>
                <w:b/>
                <w:bCs/>
              </w:rPr>
              <w:t>vhodné:</w:t>
            </w:r>
            <w:r>
              <w:t xml:space="preserve"> nelesní ekosystémy, zahrádkářské osady, doprovodná a strukturní zeleň, vodní toky a plochy, přístupové a účelové komunikace</w:t>
            </w:r>
          </w:p>
          <w:p w14:paraId="6F1C723D" w14:textId="77777777" w:rsidR="00147CEE" w:rsidRDefault="00147CEE" w:rsidP="00147CEE">
            <w:pPr>
              <w:pStyle w:val="Texttabulky"/>
              <w:spacing w:after="0"/>
              <w:jc w:val="both"/>
            </w:pPr>
            <w:r>
              <w:rPr>
                <w:b/>
                <w:bCs/>
              </w:rPr>
              <w:t xml:space="preserve">přípustné: </w:t>
            </w:r>
            <w:r>
              <w:t>účelové stavby, nadřazené trasy technické infrastruktury, komunikační síť s převahou účelových komunikací, turistické cesty a vyhlídky, cykloturistika</w:t>
            </w:r>
          </w:p>
          <w:p w14:paraId="3157867F" w14:textId="77777777" w:rsidR="00147CEE" w:rsidRDefault="00147CEE" w:rsidP="00147CEE">
            <w:pPr>
              <w:pStyle w:val="Zkladntext"/>
              <w:spacing w:after="0"/>
              <w:jc w:val="both"/>
            </w:pPr>
          </w:p>
          <w:p w14:paraId="05CF8531" w14:textId="77777777" w:rsidR="00147CEE" w:rsidRDefault="00147CEE" w:rsidP="00147CEE">
            <w:pPr>
              <w:pStyle w:val="Texttabulky"/>
              <w:spacing w:after="0"/>
              <w:jc w:val="both"/>
            </w:pPr>
            <w:r>
              <w:rPr>
                <w:b/>
                <w:bCs/>
              </w:rPr>
              <w:t xml:space="preserve">zachovat průchodnost krajiny </w:t>
            </w:r>
          </w:p>
          <w:p w14:paraId="05354E1E" w14:textId="77777777" w:rsidR="00147CEE" w:rsidRDefault="00147CEE" w:rsidP="00147CEE">
            <w:pPr>
              <w:pStyle w:val="Texttabulky"/>
              <w:spacing w:after="0"/>
              <w:jc w:val="both"/>
            </w:pPr>
            <w:r>
              <w:t xml:space="preserve">obnova stabilizačních a protierozních opatření (strukturní zeleň, meze) v rámci souhrnných pozemkových úprav </w:t>
            </w:r>
          </w:p>
        </w:tc>
      </w:tr>
      <w:tr w:rsidR="00147CEE" w14:paraId="1F2CE949" w14:textId="77777777" w:rsidTr="002D2D45">
        <w:tc>
          <w:tcPr>
            <w:tcW w:w="573" w:type="dxa"/>
            <w:tcBorders>
              <w:top w:val="single" w:sz="6" w:space="0" w:color="auto"/>
              <w:left w:val="single" w:sz="6" w:space="0" w:color="auto"/>
              <w:bottom w:val="single" w:sz="6" w:space="0" w:color="auto"/>
              <w:right w:val="single" w:sz="6" w:space="0" w:color="auto"/>
            </w:tcBorders>
          </w:tcPr>
          <w:p w14:paraId="23D73E49" w14:textId="77777777" w:rsidR="00147CEE" w:rsidRDefault="00147CEE" w:rsidP="00147CEE">
            <w:pPr>
              <w:pStyle w:val="Texttabulky"/>
              <w:spacing w:after="0"/>
              <w:jc w:val="both"/>
            </w:pPr>
            <w:r>
              <w:rPr>
                <w:b/>
                <w:bCs/>
              </w:rPr>
              <w:t xml:space="preserve">LPF                 </w:t>
            </w:r>
          </w:p>
        </w:tc>
        <w:tc>
          <w:tcPr>
            <w:tcW w:w="2688" w:type="dxa"/>
            <w:tcBorders>
              <w:top w:val="single" w:sz="6" w:space="0" w:color="auto"/>
              <w:left w:val="single" w:sz="6" w:space="0" w:color="auto"/>
              <w:bottom w:val="single" w:sz="6" w:space="0" w:color="auto"/>
              <w:right w:val="single" w:sz="6" w:space="0" w:color="auto"/>
            </w:tcBorders>
          </w:tcPr>
          <w:p w14:paraId="137D4AAB" w14:textId="77777777" w:rsidR="00147CEE" w:rsidRDefault="00147CEE" w:rsidP="00147CEE">
            <w:pPr>
              <w:pStyle w:val="Texttabulky"/>
              <w:spacing w:after="0"/>
              <w:jc w:val="both"/>
            </w:pPr>
            <w:r>
              <w:rPr>
                <w:b/>
                <w:bCs/>
                <w:caps/>
                <w:sz w:val="18"/>
                <w:szCs w:val="18"/>
              </w:rPr>
              <w:t>zóna lesních komplexů</w:t>
            </w:r>
            <w:r>
              <w:rPr>
                <w:sz w:val="18"/>
                <w:szCs w:val="18"/>
              </w:rPr>
              <w:t xml:space="preserve"> zahrnuje všechna rozsáhlá</w:t>
            </w:r>
          </w:p>
          <w:p w14:paraId="48A634EC" w14:textId="77777777" w:rsidR="00147CEE" w:rsidRDefault="00147CEE" w:rsidP="00147CEE">
            <w:pPr>
              <w:pStyle w:val="Texttabulky"/>
              <w:spacing w:after="0"/>
              <w:jc w:val="both"/>
            </w:pPr>
            <w:r>
              <w:rPr>
                <w:sz w:val="18"/>
                <w:szCs w:val="18"/>
              </w:rPr>
              <w:t>území lesního půdního fondu</w:t>
            </w:r>
          </w:p>
          <w:p w14:paraId="2B49216B" w14:textId="77777777" w:rsidR="00147CEE" w:rsidRDefault="00147CEE" w:rsidP="00147CEE">
            <w:pPr>
              <w:pStyle w:val="Zkladntext"/>
              <w:spacing w:after="0"/>
              <w:jc w:val="both"/>
            </w:pPr>
          </w:p>
          <w:p w14:paraId="2F93DDFD" w14:textId="77777777" w:rsidR="00147CEE" w:rsidRDefault="00147CEE" w:rsidP="00147CEE">
            <w:pPr>
              <w:pStyle w:val="Zkladntext"/>
              <w:spacing w:after="0"/>
              <w:jc w:val="both"/>
            </w:pPr>
          </w:p>
          <w:p w14:paraId="56B7FDC3" w14:textId="77777777" w:rsidR="00147CEE" w:rsidRDefault="00147CEE" w:rsidP="00147CEE">
            <w:pPr>
              <w:pStyle w:val="Zkladntext"/>
              <w:spacing w:after="0"/>
              <w:jc w:val="both"/>
            </w:pPr>
          </w:p>
          <w:p w14:paraId="6B8F0D49" w14:textId="77777777" w:rsidR="00147CEE" w:rsidRDefault="00147CEE" w:rsidP="00147CEE">
            <w:pPr>
              <w:pStyle w:val="Zkladntext"/>
              <w:spacing w:after="0"/>
              <w:jc w:val="both"/>
            </w:pPr>
          </w:p>
          <w:p w14:paraId="69FD957D" w14:textId="77777777" w:rsidR="00147CEE" w:rsidRDefault="00147CEE" w:rsidP="00147CEE">
            <w:pPr>
              <w:pStyle w:val="Texttabulky"/>
              <w:spacing w:after="0"/>
              <w:jc w:val="both"/>
            </w:pPr>
            <w:r>
              <w:rPr>
                <w:caps/>
                <w:sz w:val="18"/>
                <w:szCs w:val="18"/>
              </w:rPr>
              <w:t>v rámci celého území města</w:t>
            </w:r>
          </w:p>
        </w:tc>
        <w:tc>
          <w:tcPr>
            <w:tcW w:w="571" w:type="dxa"/>
            <w:tcBorders>
              <w:top w:val="single" w:sz="6" w:space="0" w:color="auto"/>
              <w:left w:val="single" w:sz="6" w:space="0" w:color="auto"/>
              <w:bottom w:val="single" w:sz="6" w:space="0" w:color="auto"/>
              <w:right w:val="single" w:sz="6" w:space="0" w:color="auto"/>
            </w:tcBorders>
          </w:tcPr>
          <w:p w14:paraId="405CD2DF" w14:textId="77777777" w:rsidR="00147CEE" w:rsidRDefault="00147CEE" w:rsidP="00147CEE">
            <w:pPr>
              <w:pStyle w:val="Zkladntext"/>
              <w:spacing w:after="0"/>
              <w:jc w:val="both"/>
            </w:pPr>
          </w:p>
        </w:tc>
        <w:tc>
          <w:tcPr>
            <w:tcW w:w="491" w:type="dxa"/>
            <w:tcBorders>
              <w:top w:val="single" w:sz="6" w:space="0" w:color="auto"/>
              <w:left w:val="single" w:sz="6" w:space="0" w:color="auto"/>
              <w:bottom w:val="single" w:sz="6" w:space="0" w:color="auto"/>
              <w:right w:val="single" w:sz="6" w:space="0" w:color="auto"/>
            </w:tcBorders>
          </w:tcPr>
          <w:p w14:paraId="44129585" w14:textId="77777777" w:rsidR="00147CEE" w:rsidRDefault="00147CEE" w:rsidP="00147CEE">
            <w:pPr>
              <w:pStyle w:val="Texttabulky"/>
              <w:spacing w:after="0"/>
              <w:jc w:val="both"/>
            </w:pPr>
            <w:r>
              <w:rPr>
                <w:sz w:val="18"/>
                <w:szCs w:val="18"/>
              </w:rPr>
              <w:t>1</w:t>
            </w:r>
          </w:p>
        </w:tc>
        <w:tc>
          <w:tcPr>
            <w:tcW w:w="4514" w:type="dxa"/>
            <w:tcBorders>
              <w:top w:val="single" w:sz="6" w:space="0" w:color="auto"/>
              <w:left w:val="single" w:sz="6" w:space="0" w:color="auto"/>
              <w:bottom w:val="single" w:sz="6" w:space="0" w:color="auto"/>
              <w:right w:val="single" w:sz="6" w:space="0" w:color="auto"/>
            </w:tcBorders>
          </w:tcPr>
          <w:p w14:paraId="17FEE75C" w14:textId="77777777" w:rsidR="00147CEE" w:rsidRDefault="00147CEE" w:rsidP="00147CEE">
            <w:pPr>
              <w:pStyle w:val="Texttabulky"/>
              <w:spacing w:after="0"/>
              <w:jc w:val="both"/>
            </w:pPr>
            <w:r>
              <w:rPr>
                <w:b/>
                <w:bCs/>
              </w:rPr>
              <w:t xml:space="preserve">dominantní: </w:t>
            </w:r>
            <w:r>
              <w:t>produkční, ochranná, vodohospodářská, ekologická a rekreační funkce</w:t>
            </w:r>
          </w:p>
          <w:p w14:paraId="28FE784F" w14:textId="77777777" w:rsidR="00147CEE" w:rsidRDefault="00147CEE" w:rsidP="00147CEE">
            <w:pPr>
              <w:pStyle w:val="Texttabulky"/>
              <w:spacing w:after="0"/>
              <w:jc w:val="both"/>
            </w:pPr>
            <w:r>
              <w:rPr>
                <w:b/>
                <w:bCs/>
              </w:rPr>
              <w:t xml:space="preserve">vhodné: </w:t>
            </w:r>
            <w:r>
              <w:t>myslivost, sběr lesních plodin, krátkodobá a turistická rekreace, cykloturistika s omezením při hranici státu</w:t>
            </w:r>
          </w:p>
          <w:p w14:paraId="455A37E7" w14:textId="77777777" w:rsidR="00147CEE" w:rsidRDefault="00147CEE" w:rsidP="00147CEE">
            <w:pPr>
              <w:pStyle w:val="Texttabulky"/>
              <w:spacing w:after="0"/>
              <w:jc w:val="both"/>
            </w:pPr>
            <w:r>
              <w:rPr>
                <w:b/>
                <w:bCs/>
              </w:rPr>
              <w:t>přípustná:</w:t>
            </w:r>
            <w:r>
              <w:t xml:space="preserve"> komunikační síť + P, účelové a turistické cesty, cyklotuiristika, systémy technické infrastruktury, rekreační lokality veřejných služeb (ubytování, stravování) </w:t>
            </w:r>
          </w:p>
          <w:p w14:paraId="311F8484" w14:textId="77777777" w:rsidR="00147CEE" w:rsidRDefault="00147CEE" w:rsidP="00147CEE">
            <w:pPr>
              <w:pStyle w:val="Texttabulky"/>
              <w:spacing w:after="0"/>
              <w:jc w:val="both"/>
            </w:pPr>
            <w:r>
              <w:t xml:space="preserve">zařízení a plochy pro lesní hospodaření a pro obranu a ochranu státu </w:t>
            </w:r>
          </w:p>
          <w:p w14:paraId="212B8F80" w14:textId="77777777" w:rsidR="00147CEE" w:rsidRDefault="00147CEE" w:rsidP="00147CEE">
            <w:pPr>
              <w:pStyle w:val="Zkladntext"/>
              <w:spacing w:after="0"/>
              <w:jc w:val="both"/>
            </w:pPr>
          </w:p>
        </w:tc>
      </w:tr>
    </w:tbl>
    <w:p w14:paraId="18FE4973" w14:textId="77777777" w:rsidR="00147CEE" w:rsidRDefault="00147CEE" w:rsidP="00147CEE">
      <w:pPr>
        <w:autoSpaceDE w:val="0"/>
        <w:autoSpaceDN w:val="0"/>
        <w:adjustRightInd w:val="0"/>
        <w:jc w:val="both"/>
        <w:rPr>
          <w:rFonts w:ascii="Arial" w:hAnsi="Arial" w:cs="Arial"/>
          <w:sz w:val="20"/>
        </w:rPr>
      </w:pPr>
    </w:p>
    <w:p w14:paraId="6E546F88" w14:textId="77777777" w:rsidR="00147CEE" w:rsidRPr="00EA0C80" w:rsidRDefault="00147CEE" w:rsidP="00147CEE">
      <w:pPr>
        <w:pStyle w:val="podnadpis1"/>
        <w:jc w:val="both"/>
        <w:rPr>
          <w:sz w:val="28"/>
          <w:szCs w:val="28"/>
        </w:rPr>
      </w:pPr>
      <w:r w:rsidRPr="00EA0C80">
        <w:rPr>
          <w:sz w:val="28"/>
          <w:szCs w:val="28"/>
        </w:rPr>
        <w:t xml:space="preserve">technické regulativy  -  etapizace </w:t>
      </w:r>
    </w:p>
    <w:p w14:paraId="38479B6F" w14:textId="77777777" w:rsidR="00147CEE" w:rsidRPr="00EA0C80" w:rsidRDefault="00147CEE" w:rsidP="00147CEE">
      <w:pPr>
        <w:pStyle w:val="Zkladntext"/>
        <w:spacing w:before="120" w:line="288" w:lineRule="auto"/>
        <w:jc w:val="both"/>
        <w:rPr>
          <w:rFonts w:cs="Arial"/>
          <w:sz w:val="22"/>
          <w:szCs w:val="22"/>
        </w:rPr>
      </w:pPr>
      <w:r w:rsidRPr="00EA0C80">
        <w:rPr>
          <w:rFonts w:cs="Arial"/>
          <w:sz w:val="22"/>
          <w:szCs w:val="22"/>
        </w:rPr>
        <w:tab/>
      </w:r>
      <w:r w:rsidRPr="00EA0C80">
        <w:rPr>
          <w:rFonts w:cs="Arial"/>
          <w:sz w:val="22"/>
          <w:szCs w:val="22"/>
        </w:rPr>
        <w:tab/>
      </w:r>
      <w:r w:rsidRPr="00EA0C80">
        <w:rPr>
          <w:rFonts w:cs="Arial"/>
          <w:sz w:val="22"/>
          <w:szCs w:val="22"/>
        </w:rPr>
        <w:tab/>
      </w:r>
      <w:r w:rsidRPr="00EA0C80">
        <w:rPr>
          <w:rFonts w:cs="Arial"/>
          <w:sz w:val="22"/>
          <w:szCs w:val="22"/>
        </w:rPr>
        <w:tab/>
      </w:r>
      <w:r w:rsidRPr="00EA0C80">
        <w:rPr>
          <w:rFonts w:cs="Arial"/>
          <w:sz w:val="22"/>
          <w:szCs w:val="22"/>
        </w:rPr>
        <w:tab/>
        <w:t xml:space="preserve">1. ETAPA </w:t>
      </w:r>
      <w:r w:rsidRPr="00EA0C80">
        <w:rPr>
          <w:rFonts w:cs="Arial"/>
          <w:sz w:val="22"/>
          <w:szCs w:val="22"/>
        </w:rPr>
        <w:tab/>
        <w:t>zhruba první polovina návrhového období</w:t>
      </w:r>
    </w:p>
    <w:p w14:paraId="2E22C1E0" w14:textId="77777777" w:rsidR="00147CEE" w:rsidRPr="00EA0C80" w:rsidRDefault="00147CEE" w:rsidP="00147CEE">
      <w:pPr>
        <w:pStyle w:val="Zkladntext"/>
        <w:spacing w:before="120" w:line="288" w:lineRule="auto"/>
        <w:jc w:val="both"/>
        <w:rPr>
          <w:rFonts w:cs="Arial"/>
          <w:sz w:val="22"/>
          <w:szCs w:val="22"/>
        </w:rPr>
      </w:pPr>
      <w:r w:rsidRPr="00EA0C80">
        <w:rPr>
          <w:rFonts w:cs="Arial"/>
          <w:sz w:val="22"/>
          <w:szCs w:val="22"/>
        </w:rPr>
        <w:tab/>
      </w:r>
      <w:r w:rsidRPr="00EA0C80">
        <w:rPr>
          <w:rFonts w:cs="Arial"/>
          <w:sz w:val="22"/>
          <w:szCs w:val="22"/>
        </w:rPr>
        <w:tab/>
      </w:r>
      <w:r w:rsidRPr="00EA0C80">
        <w:rPr>
          <w:rFonts w:cs="Arial"/>
          <w:sz w:val="22"/>
          <w:szCs w:val="22"/>
        </w:rPr>
        <w:tab/>
      </w:r>
      <w:r w:rsidRPr="00EA0C80">
        <w:rPr>
          <w:rFonts w:cs="Arial"/>
          <w:sz w:val="22"/>
          <w:szCs w:val="22"/>
        </w:rPr>
        <w:tab/>
      </w:r>
      <w:r w:rsidRPr="00EA0C80">
        <w:rPr>
          <w:rFonts w:cs="Arial"/>
          <w:sz w:val="22"/>
          <w:szCs w:val="22"/>
        </w:rPr>
        <w:tab/>
        <w:t>2. ETAPA</w:t>
      </w:r>
      <w:r w:rsidRPr="00EA0C80">
        <w:rPr>
          <w:rFonts w:cs="Arial"/>
          <w:sz w:val="22"/>
          <w:szCs w:val="22"/>
        </w:rPr>
        <w:tab/>
        <w:t>ke konci návrhového období</w:t>
      </w:r>
    </w:p>
    <w:p w14:paraId="06746BF8" w14:textId="77777777" w:rsidR="00147CEE" w:rsidRPr="00EA0C80" w:rsidRDefault="00147CEE" w:rsidP="00147CEE">
      <w:pPr>
        <w:pStyle w:val="Zkladntext"/>
        <w:spacing w:before="120" w:line="288" w:lineRule="auto"/>
        <w:jc w:val="both"/>
        <w:rPr>
          <w:rFonts w:cs="Arial"/>
          <w:sz w:val="22"/>
          <w:szCs w:val="22"/>
        </w:rPr>
      </w:pPr>
      <w:r w:rsidRPr="00EA0C80">
        <w:rPr>
          <w:rFonts w:cs="Arial"/>
          <w:sz w:val="22"/>
          <w:szCs w:val="22"/>
        </w:rPr>
        <w:tab/>
      </w:r>
      <w:r w:rsidRPr="00EA0C80">
        <w:rPr>
          <w:rFonts w:cs="Arial"/>
          <w:sz w:val="22"/>
          <w:szCs w:val="22"/>
        </w:rPr>
        <w:tab/>
      </w:r>
      <w:r w:rsidRPr="00EA0C80">
        <w:rPr>
          <w:rFonts w:cs="Arial"/>
          <w:sz w:val="22"/>
          <w:szCs w:val="22"/>
        </w:rPr>
        <w:tab/>
      </w:r>
      <w:r w:rsidRPr="00EA0C80">
        <w:rPr>
          <w:rFonts w:cs="Arial"/>
          <w:sz w:val="22"/>
          <w:szCs w:val="22"/>
        </w:rPr>
        <w:tab/>
      </w:r>
      <w:r w:rsidRPr="00EA0C80">
        <w:rPr>
          <w:rFonts w:cs="Arial"/>
          <w:sz w:val="22"/>
          <w:szCs w:val="22"/>
        </w:rPr>
        <w:tab/>
        <w:t>3. ETAPA</w:t>
      </w:r>
      <w:r w:rsidRPr="00EA0C80">
        <w:rPr>
          <w:rFonts w:cs="Arial"/>
          <w:sz w:val="22"/>
          <w:szCs w:val="22"/>
        </w:rPr>
        <w:tab/>
        <w:t>výhledové územní rezervy</w:t>
      </w:r>
    </w:p>
    <w:p w14:paraId="3B5EC869" w14:textId="77777777" w:rsidR="00147CEE" w:rsidRPr="00EA0C80" w:rsidRDefault="00147CEE" w:rsidP="00147CEE">
      <w:pPr>
        <w:pStyle w:val="Zkladntext"/>
        <w:spacing w:before="120" w:line="288" w:lineRule="auto"/>
        <w:jc w:val="both"/>
        <w:rPr>
          <w:rFonts w:cs="Arial"/>
          <w:sz w:val="22"/>
          <w:szCs w:val="22"/>
        </w:rPr>
      </w:pPr>
      <w:r w:rsidRPr="00EA0C80">
        <w:rPr>
          <w:rFonts w:cs="Arial"/>
          <w:sz w:val="22"/>
          <w:szCs w:val="22"/>
        </w:rPr>
        <w:tab/>
      </w:r>
      <w:r w:rsidRPr="00EA0C80">
        <w:rPr>
          <w:rFonts w:cs="Arial"/>
          <w:sz w:val="22"/>
          <w:szCs w:val="22"/>
        </w:rPr>
        <w:tab/>
      </w:r>
      <w:r w:rsidRPr="00EA0C80">
        <w:rPr>
          <w:rFonts w:cs="Arial"/>
          <w:sz w:val="22"/>
          <w:szCs w:val="22"/>
        </w:rPr>
        <w:tab/>
      </w:r>
      <w:r w:rsidRPr="00EA0C80">
        <w:rPr>
          <w:rFonts w:cs="Arial"/>
          <w:sz w:val="22"/>
          <w:szCs w:val="22"/>
        </w:rPr>
        <w:tab/>
      </w:r>
      <w:r w:rsidRPr="00EA0C80">
        <w:rPr>
          <w:rFonts w:cs="Arial"/>
          <w:sz w:val="22"/>
          <w:szCs w:val="22"/>
        </w:rPr>
        <w:tab/>
        <w:t>Etapizaci je nutno považovat za orientační,</w:t>
      </w:r>
      <w:r w:rsidRPr="00EA0C80">
        <w:rPr>
          <w:rFonts w:cs="Arial"/>
          <w:b/>
          <w:bCs/>
          <w:sz w:val="22"/>
          <w:szCs w:val="22"/>
        </w:rPr>
        <w:t xml:space="preserve"> vyjadřuje spíše </w:t>
      </w:r>
      <w:r w:rsidRPr="00EA0C80">
        <w:rPr>
          <w:rFonts w:cs="Arial"/>
          <w:b/>
          <w:bCs/>
          <w:sz w:val="22"/>
          <w:szCs w:val="22"/>
        </w:rPr>
        <w:tab/>
      </w:r>
      <w:r w:rsidRPr="00EA0C80">
        <w:rPr>
          <w:rFonts w:cs="Arial"/>
          <w:b/>
          <w:bCs/>
          <w:sz w:val="22"/>
          <w:szCs w:val="22"/>
        </w:rPr>
        <w:tab/>
      </w:r>
      <w:r w:rsidRPr="00EA0C80">
        <w:rPr>
          <w:rFonts w:cs="Arial"/>
          <w:b/>
          <w:bCs/>
          <w:sz w:val="22"/>
          <w:szCs w:val="22"/>
        </w:rPr>
        <w:tab/>
      </w:r>
      <w:r w:rsidRPr="00EA0C80">
        <w:rPr>
          <w:rFonts w:cs="Arial"/>
          <w:b/>
          <w:bCs/>
          <w:sz w:val="22"/>
          <w:szCs w:val="22"/>
        </w:rPr>
        <w:tab/>
      </w:r>
      <w:r w:rsidRPr="00EA0C80">
        <w:rPr>
          <w:rFonts w:cs="Arial"/>
          <w:b/>
          <w:bCs/>
          <w:sz w:val="22"/>
          <w:szCs w:val="22"/>
        </w:rPr>
        <w:tab/>
        <w:t>priority v naléhavosti výstavby</w:t>
      </w:r>
      <w:r w:rsidRPr="00EA0C80">
        <w:rPr>
          <w:rFonts w:cs="Arial"/>
          <w:sz w:val="22"/>
          <w:szCs w:val="22"/>
        </w:rPr>
        <w:t xml:space="preserve"> </w:t>
      </w:r>
    </w:p>
    <w:p w14:paraId="3E3B2A47" w14:textId="77777777" w:rsidR="00147CEE" w:rsidRPr="00EA0C80" w:rsidRDefault="00147CEE" w:rsidP="00147CEE">
      <w:pPr>
        <w:pStyle w:val="Zkladntext"/>
        <w:spacing w:before="120" w:line="288" w:lineRule="auto"/>
        <w:jc w:val="both"/>
        <w:rPr>
          <w:rFonts w:cs="Arial"/>
          <w:sz w:val="22"/>
          <w:szCs w:val="22"/>
        </w:rPr>
      </w:pPr>
    </w:p>
    <w:p w14:paraId="7ED1C03A" w14:textId="77777777" w:rsidR="00147CEE" w:rsidRPr="00EA0C80" w:rsidRDefault="00147CEE" w:rsidP="00147CEE">
      <w:pPr>
        <w:pStyle w:val="podnadpis2"/>
        <w:spacing w:before="120" w:after="0" w:line="288" w:lineRule="auto"/>
        <w:jc w:val="both"/>
        <w:rPr>
          <w:rFonts w:cs="Arial"/>
          <w:sz w:val="24"/>
        </w:rPr>
      </w:pPr>
      <w:r w:rsidRPr="00EA0C80">
        <w:rPr>
          <w:rFonts w:cs="Arial"/>
          <w:sz w:val="24"/>
        </w:rPr>
        <w:t>DOPRAVY</w:t>
      </w:r>
    </w:p>
    <w:p w14:paraId="4FC87A7D"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 xml:space="preserve">průtah </w:t>
      </w:r>
      <w:r w:rsidRPr="00EA0C80">
        <w:rPr>
          <w:rFonts w:cs="Arial"/>
          <w:b/>
          <w:bCs/>
          <w:sz w:val="22"/>
          <w:szCs w:val="22"/>
        </w:rPr>
        <w:t>silnice I/13</w:t>
      </w:r>
      <w:r w:rsidRPr="00EA0C80">
        <w:rPr>
          <w:rFonts w:cs="Arial"/>
          <w:sz w:val="22"/>
          <w:szCs w:val="22"/>
        </w:rPr>
        <w:t xml:space="preserve"> městem je nutné považovat za nevhodný - jako součást základní a</w:t>
      </w:r>
      <w:r>
        <w:rPr>
          <w:rFonts w:cs="Arial"/>
          <w:sz w:val="22"/>
          <w:szCs w:val="22"/>
        </w:rPr>
        <w:t> </w:t>
      </w:r>
      <w:r w:rsidRPr="00EA0C80">
        <w:rPr>
          <w:rFonts w:cs="Arial"/>
          <w:sz w:val="22"/>
          <w:szCs w:val="22"/>
        </w:rPr>
        <w:t>výchozí koncepce návrhu dopravní sítě situovat přeložku tahu do nové stopy mimo centrální zastavěnou část města a to do polohy v údolí Chrochvického potoka na levém a ve směru na Benešov n. Ploučnicí na pravém břehu řeky Labe</w:t>
      </w:r>
      <w:r>
        <w:rPr>
          <w:rFonts w:cs="Arial"/>
          <w:sz w:val="22"/>
          <w:szCs w:val="22"/>
        </w:rPr>
        <w:t>;</w:t>
      </w:r>
    </w:p>
    <w:p w14:paraId="590FEC58"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 xml:space="preserve">přeložku </w:t>
      </w:r>
      <w:r w:rsidRPr="00EA0C80">
        <w:rPr>
          <w:rFonts w:cs="Arial"/>
          <w:b/>
          <w:bCs/>
          <w:sz w:val="22"/>
          <w:szCs w:val="22"/>
        </w:rPr>
        <w:t>silnice II/261</w:t>
      </w:r>
      <w:r w:rsidRPr="00EA0C80">
        <w:rPr>
          <w:rFonts w:cs="Arial"/>
          <w:sz w:val="22"/>
          <w:szCs w:val="22"/>
        </w:rPr>
        <w:t xml:space="preserve"> v úseku mezi Starým Městem a Křešicemi včetně rekonstrukce Litoměřické ulice a úpravy její kategorie považovat vzhledem k dopravním závadám a silné dopravní intenzitě pro město za nezbytnou</w:t>
      </w:r>
      <w:r>
        <w:rPr>
          <w:rFonts w:cs="Arial"/>
          <w:sz w:val="22"/>
          <w:szCs w:val="22"/>
        </w:rPr>
        <w:t>;</w:t>
      </w:r>
    </w:p>
    <w:p w14:paraId="52EACB20"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lastRenderedPageBreak/>
        <w:t>pro správnou funkci dopravy v Podmoklech zachovat a zrekonstruovat železniční podjezdy Podmokelská - Ústecká, Teplická - Labsk</w:t>
      </w:r>
      <w:r>
        <w:rPr>
          <w:rFonts w:cs="Arial"/>
          <w:sz w:val="22"/>
          <w:szCs w:val="22"/>
        </w:rPr>
        <w:t>é nábřeží a Dělnická – Ústecká;</w:t>
      </w:r>
    </w:p>
    <w:p w14:paraId="147F7EB1"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Pr>
          <w:rFonts w:cs="Arial"/>
          <w:sz w:val="22"/>
          <w:szCs w:val="22"/>
        </w:rPr>
        <w:t>v</w:t>
      </w:r>
      <w:r w:rsidRPr="00EA0C80">
        <w:rPr>
          <w:rFonts w:cs="Arial"/>
          <w:sz w:val="22"/>
          <w:szCs w:val="22"/>
        </w:rPr>
        <w:t xml:space="preserve"> rámci úpravy ŽST Děčín hl.n. a rozšíření ploch dráhy zrekonstruovat ulici Práce a</w:t>
      </w:r>
      <w:r>
        <w:rPr>
          <w:rFonts w:cs="Arial"/>
          <w:sz w:val="22"/>
          <w:szCs w:val="22"/>
        </w:rPr>
        <w:t> </w:t>
      </w:r>
      <w:r w:rsidRPr="00EA0C80">
        <w:rPr>
          <w:rFonts w:cs="Arial"/>
          <w:sz w:val="22"/>
          <w:szCs w:val="22"/>
        </w:rPr>
        <w:t>realizovat komunikační spojku mezi ul. Práce a "Nábřežní" ulicí u hřiště</w:t>
      </w:r>
      <w:r>
        <w:rPr>
          <w:rFonts w:cs="Arial"/>
          <w:sz w:val="22"/>
          <w:szCs w:val="22"/>
        </w:rPr>
        <w:t>;</w:t>
      </w:r>
    </w:p>
    <w:p w14:paraId="7A2C0DA3"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 xml:space="preserve">respektovat komunikační tah Saská - 5. května - Sv. Čecha jako náhradní napojení prostoru Jalůvčí a Maxičky za spojení Přípeř </w:t>
      </w:r>
      <w:r>
        <w:rPr>
          <w:rFonts w:cs="Arial"/>
          <w:sz w:val="22"/>
          <w:szCs w:val="22"/>
        </w:rPr>
        <w:t>–</w:t>
      </w:r>
      <w:r w:rsidRPr="00EA0C80">
        <w:rPr>
          <w:rFonts w:cs="Arial"/>
          <w:sz w:val="22"/>
          <w:szCs w:val="22"/>
        </w:rPr>
        <w:t xml:space="preserve"> Jalůvčí</w:t>
      </w:r>
      <w:r>
        <w:rPr>
          <w:rFonts w:cs="Arial"/>
          <w:sz w:val="22"/>
          <w:szCs w:val="22"/>
        </w:rPr>
        <w:t>;</w:t>
      </w:r>
    </w:p>
    <w:p w14:paraId="07140F0B"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dopravně zklidnit centrum Podmokel mezi Teplickou ul., Podmokelskou a hlavním nádraží</w:t>
      </w:r>
      <w:r>
        <w:rPr>
          <w:rFonts w:cs="Arial"/>
          <w:sz w:val="22"/>
          <w:szCs w:val="22"/>
        </w:rPr>
        <w:t>;</w:t>
      </w:r>
    </w:p>
    <w:p w14:paraId="2791D0F8"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dekonstruovat prostor Masarykova náměstí v Děčíně včetně úpravy křižovatky Radniční - Pohraniční stráže</w:t>
      </w:r>
      <w:r>
        <w:rPr>
          <w:rFonts w:cs="Arial"/>
          <w:sz w:val="22"/>
          <w:szCs w:val="22"/>
        </w:rPr>
        <w:t>;</w:t>
      </w:r>
    </w:p>
    <w:p w14:paraId="200A87DF"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 xml:space="preserve">odlehčit dopravní zátěž na Kamenické ulici a vyloučit z ní tranzitní dopravu. Realizaci </w:t>
      </w:r>
      <w:r w:rsidRPr="00EA0C80">
        <w:rPr>
          <w:rFonts w:cs="Arial"/>
          <w:b/>
          <w:bCs/>
          <w:sz w:val="22"/>
          <w:szCs w:val="22"/>
        </w:rPr>
        <w:t>"Folknářské spojky"</w:t>
      </w:r>
      <w:r w:rsidRPr="00EA0C80">
        <w:rPr>
          <w:rFonts w:cs="Arial"/>
          <w:sz w:val="22"/>
          <w:szCs w:val="22"/>
        </w:rPr>
        <w:t xml:space="preserve"> je nutné pokládat pro dopravní vztahy ve městě za nezbytnou</w:t>
      </w:r>
      <w:r>
        <w:rPr>
          <w:rFonts w:cs="Arial"/>
          <w:sz w:val="22"/>
          <w:szCs w:val="22"/>
        </w:rPr>
        <w:t>;</w:t>
      </w:r>
    </w:p>
    <w:p w14:paraId="4F0B3E51"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umožnit dopravní napojení navrhovaných lokalit rodinných domů na stávající síť místních komunikací</w:t>
      </w:r>
      <w:r>
        <w:rPr>
          <w:rFonts w:cs="Arial"/>
          <w:sz w:val="22"/>
          <w:szCs w:val="22"/>
        </w:rPr>
        <w:t>;</w:t>
      </w:r>
    </w:p>
    <w:p w14:paraId="7D628E20"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 xml:space="preserve">respektovat </w:t>
      </w:r>
      <w:r w:rsidRPr="00EA0C80">
        <w:rPr>
          <w:rFonts w:cs="Arial"/>
          <w:b/>
          <w:bCs/>
          <w:sz w:val="22"/>
          <w:szCs w:val="22"/>
        </w:rPr>
        <w:t>záměry ČD</w:t>
      </w:r>
      <w:r w:rsidRPr="00EA0C80">
        <w:rPr>
          <w:rFonts w:cs="Arial"/>
          <w:sz w:val="22"/>
          <w:szCs w:val="22"/>
        </w:rPr>
        <w:t xml:space="preserve"> v souvislosti se stavebními úpravami na zvýšení výkonnosti I.</w:t>
      </w:r>
      <w:r>
        <w:rPr>
          <w:rFonts w:cs="Arial"/>
          <w:sz w:val="22"/>
          <w:szCs w:val="22"/>
        </w:rPr>
        <w:t> </w:t>
      </w:r>
      <w:r w:rsidRPr="00EA0C80">
        <w:rPr>
          <w:rFonts w:cs="Arial"/>
          <w:sz w:val="22"/>
          <w:szCs w:val="22"/>
        </w:rPr>
        <w:t>železničního koridoru Břeclav-Děčín-Drážďany</w:t>
      </w:r>
      <w:r>
        <w:rPr>
          <w:rFonts w:cs="Arial"/>
          <w:sz w:val="22"/>
          <w:szCs w:val="22"/>
        </w:rPr>
        <w:t>;</w:t>
      </w:r>
    </w:p>
    <w:p w14:paraId="48F3669F"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držet územní rezervy pro přestavbu železničního uzlu Děčín a to v prostoru železničního mostu přes Labe a v lokalitě Prostřední Žleb</w:t>
      </w:r>
      <w:r>
        <w:rPr>
          <w:rFonts w:cs="Arial"/>
          <w:sz w:val="22"/>
          <w:szCs w:val="22"/>
        </w:rPr>
        <w:t>;</w:t>
      </w:r>
    </w:p>
    <w:p w14:paraId="3CB4CB7C"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po jednání s drážními orgány počítat s využitím některých volných ploch, které jsou v</w:t>
      </w:r>
      <w:r>
        <w:rPr>
          <w:rFonts w:cs="Arial"/>
          <w:sz w:val="22"/>
          <w:szCs w:val="22"/>
        </w:rPr>
        <w:t> </w:t>
      </w:r>
      <w:r w:rsidRPr="00EA0C80">
        <w:rPr>
          <w:rFonts w:cs="Arial"/>
          <w:sz w:val="22"/>
          <w:szCs w:val="22"/>
        </w:rPr>
        <w:t>majetku ČD, pro rozvojové potřeby města</w:t>
      </w:r>
      <w:r>
        <w:rPr>
          <w:rFonts w:cs="Arial"/>
          <w:sz w:val="22"/>
          <w:szCs w:val="22"/>
        </w:rPr>
        <w:t>;</w:t>
      </w:r>
    </w:p>
    <w:p w14:paraId="7EEF3932"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 xml:space="preserve">za nosný </w:t>
      </w:r>
      <w:r w:rsidRPr="00EA0C80">
        <w:rPr>
          <w:rFonts w:cs="Arial"/>
          <w:b/>
          <w:bCs/>
          <w:sz w:val="22"/>
          <w:szCs w:val="22"/>
        </w:rPr>
        <w:t>systém MHD</w:t>
      </w:r>
      <w:r w:rsidRPr="00EA0C80">
        <w:rPr>
          <w:rFonts w:cs="Arial"/>
          <w:sz w:val="22"/>
          <w:szCs w:val="22"/>
        </w:rPr>
        <w:t xml:space="preserve"> ve městě považovat autobusovou dopravu</w:t>
      </w:r>
      <w:r>
        <w:rPr>
          <w:rFonts w:cs="Arial"/>
          <w:sz w:val="22"/>
          <w:szCs w:val="22"/>
        </w:rPr>
        <w:t>;</w:t>
      </w:r>
    </w:p>
    <w:p w14:paraId="3A723B9C"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autobusové nádraží v Hankově ulici pokládat za dočasné. Novou polohu terminálu hromadné dopravy situovat do místa optimální dostupnosti z centra levobřežní části Děčína</w:t>
      </w:r>
      <w:r>
        <w:rPr>
          <w:rFonts w:cs="Arial"/>
          <w:sz w:val="22"/>
          <w:szCs w:val="22"/>
        </w:rPr>
        <w:t>;</w:t>
      </w:r>
    </w:p>
    <w:p w14:paraId="4B65A0AB"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 xml:space="preserve">zajistit </w:t>
      </w:r>
      <w:r w:rsidRPr="00EA0C80">
        <w:rPr>
          <w:rFonts w:cs="Arial"/>
          <w:b/>
          <w:bCs/>
          <w:sz w:val="22"/>
          <w:szCs w:val="22"/>
        </w:rPr>
        <w:t>cyklistické propojení</w:t>
      </w:r>
      <w:r w:rsidRPr="00EA0C80">
        <w:rPr>
          <w:rFonts w:cs="Arial"/>
          <w:sz w:val="22"/>
          <w:szCs w:val="22"/>
        </w:rPr>
        <w:t xml:space="preserve"> v trase podél Labe ve směru od Ústí nad Labem až po státní hranici se SRN. Na tento hlavní tah navázat odbočkami ve směru na Jílové a podél Ploučnice na Benešov</w:t>
      </w:r>
      <w:r>
        <w:rPr>
          <w:rFonts w:cs="Arial"/>
          <w:sz w:val="22"/>
          <w:szCs w:val="22"/>
        </w:rPr>
        <w:t>;</w:t>
      </w:r>
    </w:p>
    <w:p w14:paraId="14D1A786"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v rámci přestavby hlavního nádraží realizovat p</w:t>
      </w:r>
      <w:r>
        <w:rPr>
          <w:rFonts w:cs="Arial"/>
          <w:sz w:val="22"/>
          <w:szCs w:val="22"/>
        </w:rPr>
        <w:t>odchod pro pěší do ulice Práce;</w:t>
      </w:r>
    </w:p>
    <w:p w14:paraId="4A148CA1"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zajistit odpovídající kapacity klidové dopravy</w:t>
      </w:r>
      <w:r>
        <w:rPr>
          <w:rFonts w:cs="Arial"/>
          <w:sz w:val="22"/>
          <w:szCs w:val="22"/>
        </w:rPr>
        <w:t>;</w:t>
      </w:r>
    </w:p>
    <w:p w14:paraId="1163EB3C"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v území respektovat ochranná pásma silnic a dráhy podle platných zákonů</w:t>
      </w:r>
      <w:r>
        <w:rPr>
          <w:rFonts w:cs="Arial"/>
          <w:sz w:val="22"/>
          <w:szCs w:val="22"/>
        </w:rPr>
        <w:t>;</w:t>
      </w:r>
    </w:p>
    <w:p w14:paraId="4144221B"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navrhované přeložky silnic budou realizovány včetně protihlukových opatření (hlukové vli</w:t>
      </w:r>
      <w:r>
        <w:rPr>
          <w:rFonts w:cs="Arial"/>
          <w:sz w:val="22"/>
          <w:szCs w:val="22"/>
        </w:rPr>
        <w:t>vy z dopravy - zofony 55 dB(A).</w:t>
      </w:r>
    </w:p>
    <w:p w14:paraId="6DDD4052" w14:textId="77777777" w:rsidR="00147CEE" w:rsidRPr="00EA0C80" w:rsidRDefault="00147CEE" w:rsidP="00147CEE">
      <w:pPr>
        <w:pStyle w:val="podnadpis2"/>
        <w:spacing w:before="120" w:after="0" w:line="288" w:lineRule="auto"/>
        <w:jc w:val="both"/>
        <w:rPr>
          <w:rFonts w:cs="Arial"/>
          <w:szCs w:val="22"/>
        </w:rPr>
      </w:pPr>
      <w:r w:rsidRPr="00EA0C80">
        <w:rPr>
          <w:rFonts w:cs="Arial"/>
          <w:szCs w:val="22"/>
        </w:rPr>
        <w:t>Do 1. ETAPY se navrhuje zařadit:</w:t>
      </w:r>
    </w:p>
    <w:p w14:paraId="5BF973D0"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Pr>
          <w:rFonts w:cs="Arial"/>
          <w:sz w:val="22"/>
          <w:szCs w:val="22"/>
        </w:rPr>
        <w:t>p</w:t>
      </w:r>
      <w:r w:rsidRPr="00EA0C80">
        <w:rPr>
          <w:rFonts w:cs="Arial"/>
          <w:sz w:val="22"/>
          <w:szCs w:val="22"/>
        </w:rPr>
        <w:t xml:space="preserve">řeložka sil. I/62 v trase ulice Práce v Rozbělesech včetně přeložky vlečky a realizace mimoúrovňové křižovatky </w:t>
      </w:r>
      <w:r>
        <w:rPr>
          <w:rFonts w:cs="Arial"/>
          <w:sz w:val="22"/>
          <w:szCs w:val="22"/>
        </w:rPr>
        <w:t>na levém předmostí Nového mostu;</w:t>
      </w:r>
    </w:p>
    <w:p w14:paraId="0BDCCD4E"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rekonstrukce křižovatky Tep</w:t>
      </w:r>
      <w:r>
        <w:rPr>
          <w:rFonts w:cs="Arial"/>
          <w:sz w:val="22"/>
          <w:szCs w:val="22"/>
        </w:rPr>
        <w:t>lická - Pivovarská u Ovčí lávky;</w:t>
      </w:r>
    </w:p>
    <w:p w14:paraId="30BCDB8A"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rekonstrukce podjezdu pod tratí ČD na Podmokelsk</w:t>
      </w:r>
      <w:r>
        <w:rPr>
          <w:rFonts w:cs="Arial"/>
          <w:sz w:val="22"/>
          <w:szCs w:val="22"/>
        </w:rPr>
        <w:t>é ulici a pod Pastýřskou stěnou;</w:t>
      </w:r>
    </w:p>
    <w:p w14:paraId="583F0B6F"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lastRenderedPageBreak/>
        <w:t>úprava vedení trasy MK na Masarykově náměstí v</w:t>
      </w:r>
      <w:r>
        <w:rPr>
          <w:rFonts w:cs="Arial"/>
          <w:sz w:val="22"/>
          <w:szCs w:val="22"/>
        </w:rPr>
        <w:t xml:space="preserve"> rámci jeho komplexní přestavby;</w:t>
      </w:r>
    </w:p>
    <w:p w14:paraId="05A6740D"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hlavní přístupové komunikace k nově navrženým lokalitám bytových domů v I. etapě. Jsou to: MK k zámku - lok. I/B8, MK k bytovkám v lok. II/5,</w:t>
      </w:r>
      <w:r>
        <w:rPr>
          <w:rFonts w:cs="Arial"/>
          <w:sz w:val="22"/>
          <w:szCs w:val="22"/>
        </w:rPr>
        <w:t xml:space="preserve"> II/9 a VII/4;</w:t>
      </w:r>
    </w:p>
    <w:p w14:paraId="5DBEB837"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modernizace I. železničního ko</w:t>
      </w:r>
      <w:r>
        <w:rPr>
          <w:rFonts w:cs="Arial"/>
          <w:sz w:val="22"/>
          <w:szCs w:val="22"/>
        </w:rPr>
        <w:t>ridoru Břeclav - Děčín – Berlín;</w:t>
      </w:r>
    </w:p>
    <w:p w14:paraId="78ADF73C"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rekonstrukce s</w:t>
      </w:r>
      <w:r>
        <w:rPr>
          <w:rFonts w:cs="Arial"/>
          <w:sz w:val="22"/>
          <w:szCs w:val="22"/>
        </w:rPr>
        <w:t>távající pěší zóny v Podmoklech;</w:t>
      </w:r>
    </w:p>
    <w:p w14:paraId="44F2B028"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vytvoření pěšího tahu podél Jílo</w:t>
      </w:r>
      <w:r>
        <w:rPr>
          <w:rFonts w:cs="Arial"/>
          <w:sz w:val="22"/>
          <w:szCs w:val="22"/>
        </w:rPr>
        <w:t>vského potoka v centru Podmokel;</w:t>
      </w:r>
    </w:p>
    <w:p w14:paraId="2D5CD602"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pěší stezka kombinovaná s cyklistickou podél břehu Labe od navrhovaného přívozu v</w:t>
      </w:r>
      <w:r>
        <w:rPr>
          <w:rFonts w:cs="Arial"/>
          <w:sz w:val="22"/>
          <w:szCs w:val="22"/>
        </w:rPr>
        <w:t> Rozbělesech po Tyršův most;</w:t>
      </w:r>
    </w:p>
    <w:p w14:paraId="5D8ADEA5"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cyklistická stezka vedená od Těchlovic přes Tyršův most do Do</w:t>
      </w:r>
      <w:r>
        <w:rPr>
          <w:rFonts w:cs="Arial"/>
          <w:sz w:val="22"/>
          <w:szCs w:val="22"/>
        </w:rPr>
        <w:t>lního Žlebu a na hranici se SRN;</w:t>
      </w:r>
    </w:p>
    <w:p w14:paraId="338C4A91"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zřízení otoček pro autobusy v Bynov</w:t>
      </w:r>
      <w:r>
        <w:rPr>
          <w:rFonts w:cs="Arial"/>
          <w:sz w:val="22"/>
          <w:szCs w:val="22"/>
        </w:rPr>
        <w:t>ě, Letné, Želenicích a Jakubech;</w:t>
      </w:r>
    </w:p>
    <w:p w14:paraId="2815625C"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parkovací a odstavné plochy navržené na t</w:t>
      </w:r>
      <w:r>
        <w:rPr>
          <w:rFonts w:cs="Arial"/>
          <w:sz w:val="22"/>
          <w:szCs w:val="22"/>
        </w:rPr>
        <w:t>erénu v I. etapě;</w:t>
      </w:r>
    </w:p>
    <w:p w14:paraId="576B3A6A"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terminál</w:t>
      </w:r>
      <w:r>
        <w:rPr>
          <w:rFonts w:cs="Arial"/>
          <w:sz w:val="22"/>
          <w:szCs w:val="22"/>
        </w:rPr>
        <w:t xml:space="preserve"> hromadné dopravy v Podmoklech;</w:t>
      </w:r>
    </w:p>
    <w:p w14:paraId="47ACC9ED"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tzv. "Folknářská spojka</w:t>
      </w:r>
      <w:r>
        <w:rPr>
          <w:rFonts w:cs="Arial"/>
          <w:sz w:val="22"/>
          <w:szCs w:val="22"/>
        </w:rPr>
        <w:t>", odlehčující ulici Kamenickou;</w:t>
      </w:r>
    </w:p>
    <w:p w14:paraId="4ACB65A2" w14:textId="77777777" w:rsidR="00147CEE" w:rsidRPr="00EA0C80" w:rsidRDefault="00147CEE" w:rsidP="00147CEE">
      <w:pPr>
        <w:pStyle w:val="Zkladntext"/>
        <w:spacing w:before="120" w:line="288" w:lineRule="auto"/>
        <w:jc w:val="both"/>
        <w:rPr>
          <w:rFonts w:cs="Arial"/>
          <w:sz w:val="22"/>
          <w:szCs w:val="22"/>
        </w:rPr>
      </w:pPr>
      <w:r w:rsidRPr="00EA0C80">
        <w:rPr>
          <w:rFonts w:cs="Arial"/>
          <w:b/>
          <w:bCs/>
          <w:caps/>
          <w:sz w:val="22"/>
          <w:szCs w:val="22"/>
        </w:rPr>
        <w:t>Do 2. ETAPY se navrhuje zařadit:</w:t>
      </w:r>
    </w:p>
    <w:p w14:paraId="7806DE33"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přeložka silnice I/13 v pravobřežní čá</w:t>
      </w:r>
      <w:r>
        <w:rPr>
          <w:rFonts w:cs="Arial"/>
          <w:sz w:val="22"/>
          <w:szCs w:val="22"/>
        </w:rPr>
        <w:t>sti Děčína v prostoru Libverdy;</w:t>
      </w:r>
    </w:p>
    <w:p w14:paraId="3A874F60"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přeložku silnice II/261 v úsek</w:t>
      </w:r>
      <w:r>
        <w:rPr>
          <w:rFonts w:cs="Arial"/>
          <w:sz w:val="22"/>
          <w:szCs w:val="22"/>
        </w:rPr>
        <w:t>u Staré Město – Křešice;</w:t>
      </w:r>
    </w:p>
    <w:p w14:paraId="73FCF1A9"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hlavní přístupové komunikace k nově navrženým lokalitám zařazených do II. etapy</w:t>
      </w:r>
      <w:r>
        <w:rPr>
          <w:rFonts w:cs="Arial"/>
          <w:sz w:val="22"/>
          <w:szCs w:val="22"/>
        </w:rPr>
        <w:t>;</w:t>
      </w:r>
    </w:p>
    <w:p w14:paraId="49CFCDCA"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pěší podchod pod nádražím</w:t>
      </w:r>
      <w:r>
        <w:rPr>
          <w:rFonts w:cs="Arial"/>
          <w:sz w:val="22"/>
          <w:szCs w:val="22"/>
        </w:rPr>
        <w:t xml:space="preserve"> ČD s propojením do ulice Práce;</w:t>
      </w:r>
    </w:p>
    <w:p w14:paraId="44169FB7"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parkovací a odstav</w:t>
      </w:r>
      <w:r>
        <w:rPr>
          <w:rFonts w:cs="Arial"/>
          <w:sz w:val="22"/>
          <w:szCs w:val="22"/>
        </w:rPr>
        <w:t>né plochy navržené ve II. etapě;</w:t>
      </w:r>
    </w:p>
    <w:p w14:paraId="32FA0773"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 xml:space="preserve">komunikační propojení Letná </w:t>
      </w:r>
      <w:r>
        <w:rPr>
          <w:rFonts w:cs="Arial"/>
          <w:sz w:val="22"/>
          <w:szCs w:val="22"/>
        </w:rPr>
        <w:t>–</w:t>
      </w:r>
      <w:r w:rsidRPr="00EA0C80">
        <w:rPr>
          <w:rFonts w:cs="Arial"/>
          <w:sz w:val="22"/>
          <w:szCs w:val="22"/>
        </w:rPr>
        <w:t xml:space="preserve"> Oldřichov</w:t>
      </w:r>
      <w:r>
        <w:rPr>
          <w:rFonts w:cs="Arial"/>
          <w:sz w:val="22"/>
          <w:szCs w:val="22"/>
        </w:rPr>
        <w:t>.</w:t>
      </w:r>
    </w:p>
    <w:p w14:paraId="3CFC83B2" w14:textId="77777777" w:rsidR="00147CEE" w:rsidRPr="00EA0C80" w:rsidRDefault="00147CEE" w:rsidP="00147CEE">
      <w:pPr>
        <w:pStyle w:val="Zkladntext"/>
        <w:spacing w:before="120" w:line="288" w:lineRule="auto"/>
        <w:jc w:val="both"/>
        <w:rPr>
          <w:rFonts w:cs="Arial"/>
          <w:sz w:val="22"/>
          <w:szCs w:val="22"/>
        </w:rPr>
      </w:pPr>
      <w:r w:rsidRPr="00EA0C80">
        <w:rPr>
          <w:rFonts w:cs="Arial"/>
          <w:b/>
          <w:bCs/>
          <w:caps/>
          <w:sz w:val="22"/>
          <w:szCs w:val="22"/>
        </w:rPr>
        <w:t>Do 3. ETAPY - výhledové rezervy se navrhuje zařadit:</w:t>
      </w:r>
    </w:p>
    <w:p w14:paraId="3E5510FE"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přeložku silnice I/13 Děčín - Knínice s mimoúrovňovou křižovatkou na Ústecké ulici a</w:t>
      </w:r>
      <w:r>
        <w:rPr>
          <w:rFonts w:cs="Arial"/>
          <w:sz w:val="22"/>
          <w:szCs w:val="22"/>
        </w:rPr>
        <w:t> Hraniční ulici v Popovicích;</w:t>
      </w:r>
    </w:p>
    <w:p w14:paraId="6079A522"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přeložku silnice II/261 z Křešic až do</w:t>
      </w:r>
      <w:r>
        <w:rPr>
          <w:rFonts w:cs="Arial"/>
          <w:sz w:val="22"/>
          <w:szCs w:val="22"/>
        </w:rPr>
        <w:t xml:space="preserve"> Nebočad, držení územní rezervy;</w:t>
      </w:r>
    </w:p>
    <w:p w14:paraId="35C0E06B"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komplexní rekonstrukci železničního uzlu Děčín s novým přemostěním Labe, variantně je nutné držet územní rezervu pro kolejové úpr</w:t>
      </w:r>
      <w:r>
        <w:rPr>
          <w:rFonts w:cs="Arial"/>
          <w:sz w:val="22"/>
          <w:szCs w:val="22"/>
        </w:rPr>
        <w:t>avy v lokalitě Prostřední Žleb;</w:t>
      </w:r>
    </w:p>
    <w:p w14:paraId="436E4542"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rekonstrukci Litoměřické ulice v zástavbě Starého Města, zkapacitnění komunikace.</w:t>
      </w:r>
    </w:p>
    <w:p w14:paraId="7863CD64" w14:textId="77777777" w:rsidR="00147CEE" w:rsidRPr="00EA0C80" w:rsidRDefault="00147CEE" w:rsidP="00147CEE">
      <w:pPr>
        <w:pStyle w:val="Zkladntext"/>
        <w:spacing w:before="120" w:line="288" w:lineRule="auto"/>
        <w:jc w:val="both"/>
        <w:rPr>
          <w:rFonts w:cs="Arial"/>
          <w:sz w:val="22"/>
          <w:szCs w:val="22"/>
        </w:rPr>
      </w:pPr>
    </w:p>
    <w:p w14:paraId="27CB5C0E" w14:textId="77777777" w:rsidR="00147CEE" w:rsidRPr="00EA0C80" w:rsidRDefault="00147CEE" w:rsidP="00147CEE">
      <w:pPr>
        <w:pStyle w:val="podnadpis2"/>
        <w:keepNext/>
        <w:spacing w:before="120" w:after="0" w:line="288" w:lineRule="auto"/>
        <w:jc w:val="both"/>
        <w:rPr>
          <w:rFonts w:cs="Arial"/>
          <w:sz w:val="24"/>
        </w:rPr>
      </w:pPr>
      <w:r w:rsidRPr="00EA0C80">
        <w:rPr>
          <w:rFonts w:cs="Arial"/>
          <w:sz w:val="24"/>
        </w:rPr>
        <w:t>vodní hospodářství</w:t>
      </w:r>
    </w:p>
    <w:p w14:paraId="3F976020" w14:textId="77777777" w:rsidR="00147CEE" w:rsidRPr="00EA0C80" w:rsidRDefault="00147CEE" w:rsidP="00147CEE">
      <w:pPr>
        <w:pStyle w:val="Zkladntext"/>
        <w:spacing w:before="120" w:line="288" w:lineRule="auto"/>
        <w:jc w:val="both"/>
        <w:rPr>
          <w:rFonts w:cs="Arial"/>
          <w:sz w:val="22"/>
          <w:szCs w:val="22"/>
        </w:rPr>
      </w:pPr>
      <w:r w:rsidRPr="00EA0C80">
        <w:rPr>
          <w:rFonts w:cs="Arial"/>
          <w:sz w:val="22"/>
          <w:szCs w:val="22"/>
        </w:rPr>
        <w:t xml:space="preserve">Podmínkou rozvoje města je realizace a dokončení </w:t>
      </w:r>
      <w:r w:rsidRPr="00EA0C80">
        <w:rPr>
          <w:rFonts w:cs="Arial"/>
          <w:b/>
          <w:bCs/>
          <w:sz w:val="22"/>
          <w:szCs w:val="22"/>
        </w:rPr>
        <w:t>základní kostry hlavních kanalizačních sběračů</w:t>
      </w:r>
      <w:r w:rsidRPr="00EA0C80">
        <w:rPr>
          <w:rFonts w:cs="Arial"/>
          <w:sz w:val="22"/>
          <w:szCs w:val="22"/>
        </w:rPr>
        <w:t xml:space="preserve"> zajišťujících podchycení dílčích vyú</w:t>
      </w:r>
      <w:r>
        <w:rPr>
          <w:rFonts w:cs="Arial"/>
          <w:sz w:val="22"/>
          <w:szCs w:val="22"/>
        </w:rPr>
        <w:t>stění kanalizací a převedení k m</w:t>
      </w:r>
      <w:r w:rsidRPr="00EA0C80">
        <w:rPr>
          <w:rFonts w:cs="Arial"/>
          <w:sz w:val="22"/>
          <w:szCs w:val="22"/>
        </w:rPr>
        <w:t>ístní ČOV. Tento záměr je nutno realizovat přednostně, jedná se tedy o I. etapu výstavby kanalizace, která je v  současné době rozestavěná.</w:t>
      </w:r>
    </w:p>
    <w:p w14:paraId="2D4F79B4" w14:textId="77777777" w:rsidR="00147CEE" w:rsidRPr="00EA0C80" w:rsidRDefault="00147CEE" w:rsidP="00147CEE">
      <w:pPr>
        <w:pStyle w:val="podnadpis2"/>
        <w:spacing w:before="120" w:after="0" w:line="288" w:lineRule="auto"/>
        <w:jc w:val="both"/>
        <w:rPr>
          <w:rFonts w:cs="Arial"/>
          <w:szCs w:val="22"/>
        </w:rPr>
      </w:pPr>
      <w:r w:rsidRPr="00A862C2">
        <w:rPr>
          <w:rFonts w:cs="Arial"/>
          <w:szCs w:val="22"/>
        </w:rPr>
        <w:lastRenderedPageBreak/>
        <w:t>I. etapa výstavby kanalizace obsahuje:</w:t>
      </w:r>
    </w:p>
    <w:p w14:paraId="5CFCAC34"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 xml:space="preserve">hlavní kanalizační sběrač A, výtlak A, čerpací stanice u jednotlivě podchycených stok, sběrač B </w:t>
      </w:r>
      <w:r w:rsidRPr="00EA0C80">
        <w:rPr>
          <w:rFonts w:cs="Arial"/>
          <w:sz w:val="22"/>
          <w:szCs w:val="22"/>
        </w:rPr>
        <w:tab/>
        <w:t>(pravý břeh) a ČOV Boletice</w:t>
      </w:r>
      <w:r>
        <w:rPr>
          <w:rFonts w:cs="Arial"/>
          <w:sz w:val="22"/>
          <w:szCs w:val="22"/>
        </w:rPr>
        <w:t>.</w:t>
      </w:r>
    </w:p>
    <w:p w14:paraId="64674179" w14:textId="77777777" w:rsidR="00147CEE" w:rsidRPr="00EA0C80" w:rsidRDefault="00147CEE" w:rsidP="00147CEE">
      <w:pPr>
        <w:pStyle w:val="podnadpis2"/>
        <w:spacing w:before="120" w:after="0" w:line="288" w:lineRule="auto"/>
        <w:jc w:val="both"/>
        <w:rPr>
          <w:rFonts w:cs="Arial"/>
          <w:szCs w:val="22"/>
        </w:rPr>
      </w:pPr>
      <w:r w:rsidRPr="00A862C2">
        <w:rPr>
          <w:rFonts w:cs="Arial"/>
          <w:szCs w:val="22"/>
        </w:rPr>
        <w:t>do II. etapy bezprostředně navazující se navrhuje zahrnout:</w:t>
      </w:r>
    </w:p>
    <w:p w14:paraId="68479F17"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napojení kanalizace Nového Města</w:t>
      </w:r>
      <w:r>
        <w:rPr>
          <w:rFonts w:cs="Arial"/>
          <w:sz w:val="22"/>
          <w:szCs w:val="22"/>
        </w:rPr>
        <w:t>;</w:t>
      </w:r>
    </w:p>
    <w:p w14:paraId="1EAF10EC"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napojení Teplické ulice</w:t>
      </w:r>
      <w:r>
        <w:rPr>
          <w:rFonts w:cs="Arial"/>
          <w:sz w:val="22"/>
          <w:szCs w:val="22"/>
        </w:rPr>
        <w:t>;</w:t>
      </w:r>
    </w:p>
    <w:p w14:paraId="3D28DFDD"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Pr>
          <w:rFonts w:cs="Arial"/>
          <w:sz w:val="22"/>
          <w:szCs w:val="22"/>
        </w:rPr>
        <w:t>r</w:t>
      </w:r>
      <w:r w:rsidRPr="00EA0C80">
        <w:rPr>
          <w:rFonts w:cs="Arial"/>
          <w:sz w:val="22"/>
          <w:szCs w:val="22"/>
        </w:rPr>
        <w:t>ekonstrukce a přestavba stoky V. (povodí Jílovského potoka)</w:t>
      </w:r>
      <w:r>
        <w:rPr>
          <w:rFonts w:cs="Arial"/>
          <w:sz w:val="22"/>
          <w:szCs w:val="22"/>
        </w:rPr>
        <w:t>;</w:t>
      </w:r>
    </w:p>
    <w:p w14:paraId="6420E89D"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kanalizace ve Sněžnické ulici</w:t>
      </w:r>
      <w:r>
        <w:rPr>
          <w:rFonts w:cs="Arial"/>
          <w:sz w:val="22"/>
          <w:szCs w:val="22"/>
        </w:rPr>
        <w:t>;</w:t>
      </w:r>
    </w:p>
    <w:p w14:paraId="5D88CC3D"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podchycení stoky VII. a dokončení kanalizace v</w:t>
      </w:r>
      <w:r>
        <w:rPr>
          <w:rFonts w:cs="Arial"/>
          <w:sz w:val="22"/>
          <w:szCs w:val="22"/>
        </w:rPr>
        <w:t> </w:t>
      </w:r>
      <w:r w:rsidRPr="00EA0C80">
        <w:rPr>
          <w:rFonts w:cs="Arial"/>
          <w:sz w:val="22"/>
          <w:szCs w:val="22"/>
        </w:rPr>
        <w:t>Jalůvčí</w:t>
      </w:r>
      <w:r>
        <w:rPr>
          <w:rFonts w:cs="Arial"/>
          <w:sz w:val="22"/>
          <w:szCs w:val="22"/>
        </w:rPr>
        <w:t>;</w:t>
      </w:r>
    </w:p>
    <w:p w14:paraId="64102E01"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splašková kanalizace Folknáře</w:t>
      </w:r>
      <w:r>
        <w:rPr>
          <w:rFonts w:cs="Arial"/>
          <w:sz w:val="22"/>
          <w:szCs w:val="22"/>
        </w:rPr>
        <w:t>;</w:t>
      </w:r>
    </w:p>
    <w:p w14:paraId="5BC1C124"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splašková kanalizace Oldřichov</w:t>
      </w:r>
      <w:r>
        <w:rPr>
          <w:rFonts w:cs="Arial"/>
          <w:sz w:val="22"/>
          <w:szCs w:val="22"/>
        </w:rPr>
        <w:t>;</w:t>
      </w:r>
    </w:p>
    <w:p w14:paraId="331B67AF"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splašková kanalizace Bělá</w:t>
      </w:r>
      <w:r>
        <w:rPr>
          <w:rFonts w:cs="Arial"/>
          <w:sz w:val="22"/>
          <w:szCs w:val="22"/>
        </w:rPr>
        <w:t>;</w:t>
      </w:r>
    </w:p>
    <w:p w14:paraId="3D6563BD"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splašková kanalizace Křešice a Boletice</w:t>
      </w:r>
      <w:r>
        <w:rPr>
          <w:rFonts w:cs="Arial"/>
          <w:sz w:val="22"/>
          <w:szCs w:val="22"/>
        </w:rPr>
        <w:t>;</w:t>
      </w:r>
    </w:p>
    <w:p w14:paraId="75B02837"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přečerpání odpadních vod se stoky XXVI. do stoky v  Provaznické ulici</w:t>
      </w:r>
      <w:r>
        <w:rPr>
          <w:rFonts w:cs="Arial"/>
          <w:sz w:val="22"/>
          <w:szCs w:val="22"/>
        </w:rPr>
        <w:t>;</w:t>
      </w:r>
    </w:p>
    <w:p w14:paraId="0203CF07"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dobudování kanalizace Březiny</w:t>
      </w:r>
      <w:r>
        <w:rPr>
          <w:rFonts w:cs="Arial"/>
          <w:sz w:val="22"/>
          <w:szCs w:val="22"/>
        </w:rPr>
        <w:t>.</w:t>
      </w:r>
    </w:p>
    <w:p w14:paraId="6729FB8F" w14:textId="77777777" w:rsidR="00147CEE" w:rsidRPr="00EA0C80" w:rsidRDefault="00147CEE" w:rsidP="00147CEE">
      <w:pPr>
        <w:pStyle w:val="podnadpis2"/>
        <w:spacing w:before="120" w:after="0" w:line="288" w:lineRule="auto"/>
        <w:jc w:val="both"/>
        <w:rPr>
          <w:rFonts w:cs="Arial"/>
          <w:szCs w:val="22"/>
        </w:rPr>
      </w:pPr>
      <w:r w:rsidRPr="00A862C2">
        <w:rPr>
          <w:rFonts w:cs="Arial"/>
          <w:szCs w:val="22"/>
        </w:rPr>
        <w:t>II. etapa výstavby vodovodu obsahuje:</w:t>
      </w:r>
    </w:p>
    <w:p w14:paraId="50A489BF" w14:textId="77777777" w:rsidR="00147CEE" w:rsidRPr="00EA0C80" w:rsidRDefault="00147CEE" w:rsidP="00147CEE">
      <w:pPr>
        <w:pStyle w:val="Znaka1"/>
        <w:numPr>
          <w:ilvl w:val="0"/>
          <w:numId w:val="75"/>
        </w:numPr>
        <w:spacing w:before="120" w:line="288" w:lineRule="auto"/>
        <w:ind w:left="426"/>
        <w:jc w:val="both"/>
        <w:rPr>
          <w:rFonts w:cs="Arial"/>
          <w:sz w:val="22"/>
          <w:szCs w:val="22"/>
        </w:rPr>
      </w:pPr>
      <w:r w:rsidRPr="00EA0C80">
        <w:rPr>
          <w:rFonts w:cs="Arial"/>
          <w:sz w:val="22"/>
          <w:szCs w:val="22"/>
        </w:rPr>
        <w:t xml:space="preserve">do konce návrhového období je potřebné </w:t>
      </w:r>
      <w:r w:rsidRPr="00A862C2">
        <w:rPr>
          <w:rFonts w:cs="Arial"/>
          <w:b/>
          <w:sz w:val="22"/>
          <w:szCs w:val="22"/>
        </w:rPr>
        <w:t>zajistit doplnění kapacity vodních zdrojů vodovodu Děčín</w:t>
      </w:r>
      <w:r>
        <w:rPr>
          <w:rFonts w:cs="Arial"/>
          <w:sz w:val="22"/>
          <w:szCs w:val="22"/>
        </w:rPr>
        <w:t>.</w:t>
      </w:r>
    </w:p>
    <w:p w14:paraId="53454B56" w14:textId="77777777" w:rsidR="00147CEE" w:rsidRPr="00EA0C80" w:rsidRDefault="00147CEE" w:rsidP="00147CEE">
      <w:pPr>
        <w:pStyle w:val="podnadpis2"/>
        <w:spacing w:before="120" w:after="0" w:line="288" w:lineRule="auto"/>
        <w:jc w:val="both"/>
        <w:rPr>
          <w:rFonts w:cs="Arial"/>
          <w:szCs w:val="22"/>
        </w:rPr>
      </w:pPr>
      <w:r w:rsidRPr="00A862C2">
        <w:rPr>
          <w:rFonts w:cs="Arial"/>
          <w:szCs w:val="22"/>
        </w:rPr>
        <w:t>etapa výstavby úpravy toků obsahuje:</w:t>
      </w:r>
    </w:p>
    <w:p w14:paraId="2468121D" w14:textId="77777777" w:rsidR="00147CEE" w:rsidRPr="00EA0C80" w:rsidRDefault="00147CEE" w:rsidP="00147CEE">
      <w:pPr>
        <w:pStyle w:val="Znaka1"/>
        <w:numPr>
          <w:ilvl w:val="0"/>
          <w:numId w:val="76"/>
        </w:numPr>
        <w:spacing w:before="120" w:line="288" w:lineRule="auto"/>
        <w:ind w:left="426"/>
        <w:jc w:val="both"/>
        <w:rPr>
          <w:rFonts w:cs="Arial"/>
          <w:sz w:val="22"/>
          <w:szCs w:val="22"/>
        </w:rPr>
      </w:pPr>
      <w:r w:rsidRPr="00EA0C80">
        <w:rPr>
          <w:rFonts w:cs="Arial"/>
          <w:sz w:val="22"/>
          <w:szCs w:val="22"/>
        </w:rPr>
        <w:t>pro zajištění ochrany zástavby před velkými vodami je nutno</w:t>
      </w:r>
      <w:r w:rsidRPr="00EA0C80">
        <w:rPr>
          <w:rFonts w:cs="Arial"/>
          <w:b/>
          <w:bCs/>
          <w:sz w:val="22"/>
          <w:szCs w:val="22"/>
        </w:rPr>
        <w:t xml:space="preserve"> dokončit úpravu Jílovského potoka </w:t>
      </w:r>
      <w:r w:rsidRPr="00EA0C80">
        <w:rPr>
          <w:rFonts w:cs="Arial"/>
          <w:sz w:val="22"/>
          <w:szCs w:val="22"/>
        </w:rPr>
        <w:t>v  intravilánu tak, aby kapacita koryta zajišťovala průchod min. padesátileté povodně (Q</w:t>
      </w:r>
      <w:r w:rsidRPr="000765EA">
        <w:rPr>
          <w:rFonts w:cs="Arial"/>
          <w:sz w:val="22"/>
          <w:szCs w:val="22"/>
          <w:vertAlign w:val="subscript"/>
        </w:rPr>
        <w:t>50</w:t>
      </w:r>
      <w:r w:rsidRPr="00EA0C80">
        <w:rPr>
          <w:rFonts w:cs="Arial"/>
          <w:sz w:val="22"/>
          <w:szCs w:val="22"/>
        </w:rPr>
        <w:t>)</w:t>
      </w:r>
      <w:r>
        <w:rPr>
          <w:rFonts w:cs="Arial"/>
          <w:sz w:val="22"/>
          <w:szCs w:val="22"/>
        </w:rPr>
        <w:t>.</w:t>
      </w:r>
    </w:p>
    <w:p w14:paraId="478B9D47" w14:textId="77777777" w:rsidR="00147CEE" w:rsidRPr="00EA0C80" w:rsidRDefault="00147CEE" w:rsidP="00147CEE">
      <w:pPr>
        <w:pStyle w:val="Zkladntext"/>
        <w:tabs>
          <w:tab w:val="left" w:pos="720"/>
        </w:tabs>
        <w:spacing w:before="120" w:line="288" w:lineRule="auto"/>
        <w:jc w:val="both"/>
        <w:rPr>
          <w:rFonts w:cs="Arial"/>
          <w:sz w:val="22"/>
          <w:szCs w:val="22"/>
        </w:rPr>
      </w:pPr>
    </w:p>
    <w:p w14:paraId="521D9637" w14:textId="77777777" w:rsidR="00147CEE" w:rsidRPr="00EA0C80" w:rsidRDefault="00147CEE" w:rsidP="00147CEE">
      <w:pPr>
        <w:pStyle w:val="podnadpis2"/>
        <w:spacing w:before="120" w:after="0" w:line="288" w:lineRule="auto"/>
        <w:jc w:val="both"/>
        <w:rPr>
          <w:rFonts w:cs="Arial"/>
          <w:sz w:val="24"/>
        </w:rPr>
      </w:pPr>
      <w:r w:rsidRPr="00EA0C80">
        <w:rPr>
          <w:rFonts w:cs="Arial"/>
          <w:sz w:val="24"/>
        </w:rPr>
        <w:t>Energetika</w:t>
      </w:r>
    </w:p>
    <w:p w14:paraId="5418AB9F" w14:textId="77777777" w:rsidR="00147CEE" w:rsidRPr="00EA0C80" w:rsidRDefault="00147CEE" w:rsidP="00147CEE">
      <w:pPr>
        <w:pStyle w:val="Znaka1"/>
        <w:numPr>
          <w:ilvl w:val="0"/>
          <w:numId w:val="77"/>
        </w:numPr>
        <w:spacing w:before="120" w:line="288" w:lineRule="auto"/>
        <w:ind w:left="426"/>
        <w:jc w:val="both"/>
        <w:rPr>
          <w:rFonts w:cs="Arial"/>
          <w:sz w:val="22"/>
          <w:szCs w:val="22"/>
        </w:rPr>
      </w:pPr>
      <w:r w:rsidRPr="00EA0C80">
        <w:rPr>
          <w:rFonts w:cs="Arial"/>
          <w:sz w:val="22"/>
          <w:szCs w:val="22"/>
        </w:rPr>
        <w:t xml:space="preserve">objekty budou zásobovány </w:t>
      </w:r>
      <w:r w:rsidRPr="00EA0C80">
        <w:rPr>
          <w:rFonts w:cs="Arial"/>
          <w:b/>
          <w:bCs/>
          <w:sz w:val="22"/>
          <w:szCs w:val="22"/>
        </w:rPr>
        <w:t xml:space="preserve">dvoucestným způsobem </w:t>
      </w:r>
      <w:r w:rsidRPr="00EA0C80">
        <w:rPr>
          <w:rFonts w:cs="Arial"/>
          <w:sz w:val="22"/>
          <w:szCs w:val="22"/>
        </w:rPr>
        <w:t>(elektřina + dodávkové teplo, elektřina + plyn) nebo jednocestným způsobem (komplexní elektrifikace objektů nebo elektřina + vytápění ekologickými palivy nezávislými na síťových systémech)</w:t>
      </w:r>
      <w:r>
        <w:rPr>
          <w:rFonts w:cs="Arial"/>
          <w:sz w:val="22"/>
          <w:szCs w:val="22"/>
        </w:rPr>
        <w:t>;</w:t>
      </w:r>
    </w:p>
    <w:p w14:paraId="517CE554" w14:textId="77777777" w:rsidR="00147CEE" w:rsidRPr="00EA0C80" w:rsidRDefault="00147CEE" w:rsidP="00147CEE">
      <w:pPr>
        <w:pStyle w:val="Znaka1"/>
        <w:numPr>
          <w:ilvl w:val="0"/>
          <w:numId w:val="77"/>
        </w:numPr>
        <w:spacing w:before="120" w:line="288" w:lineRule="auto"/>
        <w:ind w:left="426"/>
        <w:jc w:val="both"/>
        <w:rPr>
          <w:rFonts w:cs="Arial"/>
          <w:sz w:val="22"/>
          <w:szCs w:val="22"/>
        </w:rPr>
      </w:pPr>
      <w:r w:rsidRPr="00EA0C80">
        <w:rPr>
          <w:rFonts w:cs="Arial"/>
          <w:sz w:val="22"/>
          <w:szCs w:val="22"/>
        </w:rPr>
        <w:t>u nově budovaných objektů s elektrickým vytápěním přednostně využívat tepelných čerpadel</w:t>
      </w:r>
      <w:r>
        <w:rPr>
          <w:rFonts w:cs="Arial"/>
          <w:sz w:val="22"/>
          <w:szCs w:val="22"/>
        </w:rPr>
        <w:t>;</w:t>
      </w:r>
    </w:p>
    <w:p w14:paraId="3F7696F1" w14:textId="77777777" w:rsidR="00147CEE" w:rsidRPr="00EA0C80" w:rsidRDefault="00147CEE" w:rsidP="00147CEE">
      <w:pPr>
        <w:pStyle w:val="Znaka1"/>
        <w:numPr>
          <w:ilvl w:val="0"/>
          <w:numId w:val="77"/>
        </w:numPr>
        <w:spacing w:before="120" w:line="288" w:lineRule="auto"/>
        <w:ind w:left="426"/>
        <w:jc w:val="both"/>
        <w:rPr>
          <w:rFonts w:cs="Arial"/>
          <w:sz w:val="22"/>
          <w:szCs w:val="22"/>
        </w:rPr>
      </w:pPr>
      <w:r w:rsidRPr="00EA0C80">
        <w:rPr>
          <w:rFonts w:cs="Arial"/>
          <w:sz w:val="22"/>
          <w:szCs w:val="22"/>
        </w:rPr>
        <w:t xml:space="preserve">důsledně rozvíjet </w:t>
      </w:r>
      <w:r w:rsidRPr="00EA0C80">
        <w:rPr>
          <w:rFonts w:cs="Arial"/>
          <w:b/>
          <w:bCs/>
          <w:sz w:val="22"/>
          <w:szCs w:val="22"/>
        </w:rPr>
        <w:t>systém CZT</w:t>
      </w:r>
      <w:r w:rsidRPr="00EA0C80">
        <w:rPr>
          <w:rFonts w:cs="Arial"/>
          <w:sz w:val="22"/>
          <w:szCs w:val="22"/>
        </w:rPr>
        <w:t xml:space="preserve"> v oblastech určených usnesením měst. zastupitelstva č.</w:t>
      </w:r>
      <w:r>
        <w:rPr>
          <w:rFonts w:cs="Arial"/>
          <w:sz w:val="22"/>
          <w:szCs w:val="22"/>
        </w:rPr>
        <w:t> </w:t>
      </w:r>
      <w:r w:rsidRPr="00EA0C80">
        <w:rPr>
          <w:rFonts w:cs="Arial"/>
          <w:sz w:val="22"/>
          <w:szCs w:val="22"/>
        </w:rPr>
        <w:t>IX/95, dokončit kogenerační jednotku v Želenicích, zdroj Děčín - východ realizovat rovněž jako kogenerační</w:t>
      </w:r>
      <w:r>
        <w:rPr>
          <w:rFonts w:cs="Arial"/>
          <w:sz w:val="22"/>
          <w:szCs w:val="22"/>
        </w:rPr>
        <w:t>;</w:t>
      </w:r>
    </w:p>
    <w:p w14:paraId="438963B5" w14:textId="77777777" w:rsidR="00147CEE" w:rsidRPr="00EA0C80" w:rsidRDefault="00147CEE" w:rsidP="00147CEE">
      <w:pPr>
        <w:pStyle w:val="Znaka1"/>
        <w:numPr>
          <w:ilvl w:val="0"/>
          <w:numId w:val="77"/>
        </w:numPr>
        <w:spacing w:before="120" w:line="288" w:lineRule="auto"/>
        <w:ind w:left="426"/>
        <w:jc w:val="both"/>
        <w:rPr>
          <w:rFonts w:cs="Arial"/>
          <w:sz w:val="22"/>
          <w:szCs w:val="22"/>
        </w:rPr>
      </w:pPr>
      <w:r w:rsidRPr="00EA0C80">
        <w:rPr>
          <w:rFonts w:cs="Arial"/>
          <w:sz w:val="22"/>
          <w:szCs w:val="22"/>
        </w:rPr>
        <w:t>u nových staveb klást důraz na tepelně - technické vlastnosti obvodového pláště budov</w:t>
      </w:r>
      <w:r>
        <w:rPr>
          <w:rFonts w:cs="Arial"/>
          <w:sz w:val="22"/>
          <w:szCs w:val="22"/>
        </w:rPr>
        <w:t>;</w:t>
      </w:r>
    </w:p>
    <w:p w14:paraId="08C2ED86" w14:textId="77777777" w:rsidR="00147CEE" w:rsidRPr="00EA0C80" w:rsidRDefault="00147CEE" w:rsidP="00147CEE">
      <w:pPr>
        <w:pStyle w:val="Znaka1"/>
        <w:numPr>
          <w:ilvl w:val="0"/>
          <w:numId w:val="77"/>
        </w:numPr>
        <w:spacing w:before="120" w:line="288" w:lineRule="auto"/>
        <w:ind w:left="426"/>
        <w:jc w:val="both"/>
        <w:rPr>
          <w:rFonts w:cs="Arial"/>
          <w:sz w:val="22"/>
          <w:szCs w:val="22"/>
        </w:rPr>
      </w:pPr>
      <w:r w:rsidRPr="00EA0C80">
        <w:rPr>
          <w:rFonts w:cs="Arial"/>
          <w:sz w:val="22"/>
          <w:szCs w:val="22"/>
        </w:rPr>
        <w:t>neekologická paliva (hnědé uhlí, těžký topný olej) budou nahrazeny ušlechtilejšími palivy</w:t>
      </w:r>
      <w:r>
        <w:rPr>
          <w:rFonts w:cs="Arial"/>
          <w:sz w:val="22"/>
          <w:szCs w:val="22"/>
        </w:rPr>
        <w:t>;</w:t>
      </w:r>
    </w:p>
    <w:p w14:paraId="391EEE32" w14:textId="77777777" w:rsidR="00147CEE" w:rsidRPr="00EA0C80" w:rsidRDefault="00147CEE" w:rsidP="00147CEE">
      <w:pPr>
        <w:pStyle w:val="Znaka1"/>
        <w:numPr>
          <w:ilvl w:val="0"/>
          <w:numId w:val="77"/>
        </w:numPr>
        <w:spacing w:before="120" w:line="288" w:lineRule="auto"/>
        <w:ind w:left="426"/>
        <w:jc w:val="both"/>
        <w:rPr>
          <w:rFonts w:cs="Arial"/>
          <w:sz w:val="22"/>
          <w:szCs w:val="22"/>
        </w:rPr>
      </w:pPr>
      <w:r w:rsidRPr="00EA0C80">
        <w:rPr>
          <w:rFonts w:cs="Arial"/>
          <w:sz w:val="22"/>
          <w:szCs w:val="22"/>
        </w:rPr>
        <w:lastRenderedPageBreak/>
        <w:t xml:space="preserve">plošně </w:t>
      </w:r>
      <w:r w:rsidRPr="00EA0C80">
        <w:rPr>
          <w:rFonts w:cs="Arial"/>
          <w:b/>
          <w:bCs/>
          <w:sz w:val="22"/>
          <w:szCs w:val="22"/>
        </w:rPr>
        <w:t xml:space="preserve">plynofikovat </w:t>
      </w:r>
      <w:r w:rsidRPr="00EA0C80">
        <w:rPr>
          <w:rFonts w:cs="Arial"/>
          <w:sz w:val="22"/>
          <w:szCs w:val="22"/>
        </w:rPr>
        <w:t>sídla Křešice, Majranín a Nebočady</w:t>
      </w:r>
      <w:r>
        <w:rPr>
          <w:rFonts w:cs="Arial"/>
          <w:sz w:val="22"/>
          <w:szCs w:val="22"/>
        </w:rPr>
        <w:t>;</w:t>
      </w:r>
    </w:p>
    <w:p w14:paraId="72A4B6B3" w14:textId="77777777" w:rsidR="00147CEE" w:rsidRPr="00EA0C80" w:rsidRDefault="00147CEE" w:rsidP="00147CEE">
      <w:pPr>
        <w:pStyle w:val="Znaka1"/>
        <w:numPr>
          <w:ilvl w:val="0"/>
          <w:numId w:val="77"/>
        </w:numPr>
        <w:spacing w:before="120" w:line="288" w:lineRule="auto"/>
        <w:ind w:left="426"/>
        <w:jc w:val="both"/>
        <w:rPr>
          <w:rFonts w:cs="Arial"/>
          <w:sz w:val="22"/>
          <w:szCs w:val="22"/>
        </w:rPr>
      </w:pPr>
      <w:r w:rsidRPr="00EA0C80">
        <w:rPr>
          <w:rFonts w:cs="Arial"/>
          <w:sz w:val="22"/>
          <w:szCs w:val="22"/>
        </w:rPr>
        <w:t xml:space="preserve">držet územní rezervu pro výstavbu </w:t>
      </w:r>
      <w:r w:rsidRPr="00EA0C80">
        <w:rPr>
          <w:rFonts w:cs="Arial"/>
          <w:b/>
          <w:bCs/>
          <w:sz w:val="22"/>
          <w:szCs w:val="22"/>
        </w:rPr>
        <w:t xml:space="preserve">vedení VVN 110 kV </w:t>
      </w:r>
      <w:r w:rsidRPr="00EA0C80">
        <w:rPr>
          <w:rFonts w:cs="Arial"/>
          <w:sz w:val="22"/>
          <w:szCs w:val="22"/>
        </w:rPr>
        <w:t>Želenice - Ústí n</w:t>
      </w:r>
      <w:r>
        <w:rPr>
          <w:rFonts w:cs="Arial"/>
          <w:sz w:val="22"/>
          <w:szCs w:val="22"/>
        </w:rPr>
        <w:t xml:space="preserve"> </w:t>
      </w:r>
      <w:r w:rsidRPr="00EA0C80">
        <w:rPr>
          <w:rFonts w:cs="Arial"/>
          <w:sz w:val="22"/>
          <w:szCs w:val="22"/>
        </w:rPr>
        <w:t xml:space="preserve">.L. a Želenice </w:t>
      </w:r>
      <w:r>
        <w:rPr>
          <w:rFonts w:cs="Arial"/>
          <w:sz w:val="22"/>
          <w:szCs w:val="22"/>
        </w:rPr>
        <w:t>–</w:t>
      </w:r>
      <w:r w:rsidRPr="00EA0C80">
        <w:rPr>
          <w:rFonts w:cs="Arial"/>
          <w:sz w:val="22"/>
          <w:szCs w:val="22"/>
        </w:rPr>
        <w:t xml:space="preserve"> Babylon</w:t>
      </w:r>
      <w:r>
        <w:rPr>
          <w:rFonts w:cs="Arial"/>
          <w:sz w:val="22"/>
          <w:szCs w:val="22"/>
        </w:rPr>
        <w:t>;</w:t>
      </w:r>
    </w:p>
    <w:p w14:paraId="3401D642" w14:textId="77777777" w:rsidR="00147CEE" w:rsidRPr="00EA0C80" w:rsidRDefault="00147CEE" w:rsidP="00147CEE">
      <w:pPr>
        <w:pStyle w:val="Znaka1"/>
        <w:numPr>
          <w:ilvl w:val="0"/>
          <w:numId w:val="77"/>
        </w:numPr>
        <w:spacing w:before="120" w:line="288" w:lineRule="auto"/>
        <w:ind w:left="426"/>
        <w:jc w:val="both"/>
        <w:rPr>
          <w:rFonts w:cs="Arial"/>
          <w:sz w:val="22"/>
          <w:szCs w:val="22"/>
        </w:rPr>
      </w:pPr>
      <w:r w:rsidRPr="00EA0C80">
        <w:rPr>
          <w:rFonts w:cs="Arial"/>
          <w:sz w:val="22"/>
          <w:szCs w:val="22"/>
        </w:rPr>
        <w:t>v rozptýlené výstavbě využívat pro ohřev užitkové vody sluneční energieu vytápění nezávislého na sítích využívat především zkapalněné uhlovodíkové plyny, extralehk</w:t>
      </w:r>
      <w:r>
        <w:rPr>
          <w:rFonts w:cs="Arial"/>
          <w:sz w:val="22"/>
          <w:szCs w:val="22"/>
        </w:rPr>
        <w:t>é nízkosirnaté oleje, biomasu a</w:t>
      </w:r>
      <w:r w:rsidRPr="00EA0C80">
        <w:rPr>
          <w:rFonts w:cs="Arial"/>
          <w:sz w:val="22"/>
          <w:szCs w:val="22"/>
        </w:rPr>
        <w:t>pod.</w:t>
      </w:r>
      <w:r>
        <w:rPr>
          <w:rFonts w:cs="Arial"/>
          <w:sz w:val="22"/>
          <w:szCs w:val="22"/>
        </w:rPr>
        <w:t>;</w:t>
      </w:r>
    </w:p>
    <w:p w14:paraId="458564BD" w14:textId="77777777" w:rsidR="00147CEE" w:rsidRPr="00EA0C80" w:rsidRDefault="00147CEE" w:rsidP="00147CEE">
      <w:pPr>
        <w:pStyle w:val="Znaka1"/>
        <w:numPr>
          <w:ilvl w:val="0"/>
          <w:numId w:val="77"/>
        </w:numPr>
        <w:spacing w:before="120" w:line="288" w:lineRule="auto"/>
        <w:ind w:left="426"/>
        <w:jc w:val="both"/>
        <w:rPr>
          <w:rFonts w:cs="Arial"/>
          <w:sz w:val="22"/>
          <w:szCs w:val="22"/>
        </w:rPr>
      </w:pPr>
      <w:r w:rsidRPr="00EA0C80">
        <w:rPr>
          <w:rFonts w:cs="Arial"/>
          <w:sz w:val="22"/>
          <w:szCs w:val="22"/>
        </w:rPr>
        <w:t>část plochy pro výstavbu zdroje CZT Děčín-východ rezervovat pro případnou výstavbu spalovny tuhého komunálního odpadu</w:t>
      </w:r>
      <w:r>
        <w:rPr>
          <w:rFonts w:cs="Arial"/>
          <w:sz w:val="22"/>
          <w:szCs w:val="22"/>
        </w:rPr>
        <w:t>.</w:t>
      </w:r>
    </w:p>
    <w:p w14:paraId="29767A6F" w14:textId="77777777" w:rsidR="00147CEE" w:rsidRPr="000765EA" w:rsidRDefault="00147CEE" w:rsidP="00147CEE">
      <w:pPr>
        <w:pStyle w:val="Zkladntext"/>
        <w:spacing w:before="120" w:line="288" w:lineRule="auto"/>
        <w:jc w:val="both"/>
        <w:rPr>
          <w:rFonts w:cs="Arial"/>
          <w:sz w:val="22"/>
          <w:szCs w:val="22"/>
        </w:rPr>
      </w:pPr>
    </w:p>
    <w:p w14:paraId="4143AAA6" w14:textId="77777777" w:rsidR="00147CEE" w:rsidRPr="00EA0C80" w:rsidRDefault="00147CEE" w:rsidP="00147CEE">
      <w:pPr>
        <w:pStyle w:val="podnadpis2"/>
        <w:spacing w:before="120" w:after="0" w:line="288" w:lineRule="auto"/>
        <w:jc w:val="both"/>
        <w:rPr>
          <w:rFonts w:cs="Arial"/>
          <w:sz w:val="24"/>
        </w:rPr>
      </w:pPr>
      <w:r>
        <w:rPr>
          <w:rFonts w:cs="Arial"/>
          <w:sz w:val="24"/>
        </w:rPr>
        <w:t>Spoje</w:t>
      </w:r>
    </w:p>
    <w:p w14:paraId="5BF6703B" w14:textId="77777777" w:rsidR="00147CEE" w:rsidRPr="00EA0C80" w:rsidRDefault="00147CEE" w:rsidP="00147CEE">
      <w:pPr>
        <w:pStyle w:val="Znaka1"/>
        <w:numPr>
          <w:ilvl w:val="0"/>
          <w:numId w:val="77"/>
        </w:numPr>
        <w:spacing w:before="120" w:line="288" w:lineRule="auto"/>
        <w:ind w:left="426"/>
        <w:jc w:val="both"/>
        <w:rPr>
          <w:rFonts w:cs="Arial"/>
          <w:sz w:val="22"/>
          <w:szCs w:val="22"/>
        </w:rPr>
      </w:pPr>
      <w:r w:rsidRPr="00EA0C80">
        <w:rPr>
          <w:rFonts w:cs="Arial"/>
          <w:sz w:val="22"/>
          <w:szCs w:val="22"/>
        </w:rPr>
        <w:t>nové objekty pro bydlení 100%-ně telefonizovat</w:t>
      </w:r>
      <w:r>
        <w:rPr>
          <w:rFonts w:cs="Arial"/>
          <w:sz w:val="22"/>
          <w:szCs w:val="22"/>
        </w:rPr>
        <w:t>;</w:t>
      </w:r>
    </w:p>
    <w:p w14:paraId="183C5DAE" w14:textId="77777777" w:rsidR="00147CEE" w:rsidRPr="00EA0C80" w:rsidRDefault="00147CEE" w:rsidP="00147CEE">
      <w:pPr>
        <w:pStyle w:val="Znaka1"/>
        <w:numPr>
          <w:ilvl w:val="0"/>
          <w:numId w:val="77"/>
        </w:numPr>
        <w:spacing w:before="120" w:line="288" w:lineRule="auto"/>
        <w:ind w:left="426"/>
        <w:jc w:val="both"/>
        <w:rPr>
          <w:rFonts w:cs="Arial"/>
          <w:sz w:val="22"/>
          <w:szCs w:val="22"/>
        </w:rPr>
      </w:pPr>
      <w:r w:rsidRPr="00EA0C80">
        <w:rPr>
          <w:rFonts w:cs="Arial"/>
          <w:sz w:val="22"/>
          <w:szCs w:val="22"/>
        </w:rPr>
        <w:t>vytvořit rezervu pro telefonizaci ploch určených pro výstavbu občanské vybavenosti a</w:t>
      </w:r>
      <w:r>
        <w:rPr>
          <w:rFonts w:cs="Arial"/>
          <w:sz w:val="22"/>
          <w:szCs w:val="22"/>
        </w:rPr>
        <w:t> </w:t>
      </w:r>
      <w:r w:rsidRPr="00EA0C80">
        <w:rPr>
          <w:rFonts w:cs="Arial"/>
          <w:sz w:val="22"/>
          <w:szCs w:val="22"/>
        </w:rPr>
        <w:t>pro</w:t>
      </w:r>
      <w:r>
        <w:rPr>
          <w:rFonts w:cs="Arial"/>
          <w:sz w:val="22"/>
          <w:szCs w:val="22"/>
        </w:rPr>
        <w:t> </w:t>
      </w:r>
      <w:r w:rsidRPr="00EA0C80">
        <w:rPr>
          <w:rFonts w:cs="Arial"/>
          <w:sz w:val="22"/>
          <w:szCs w:val="22"/>
        </w:rPr>
        <w:t>rozvoj ekonomické základny</w:t>
      </w:r>
      <w:r>
        <w:rPr>
          <w:rFonts w:cs="Arial"/>
          <w:sz w:val="22"/>
          <w:szCs w:val="22"/>
        </w:rPr>
        <w:t>.</w:t>
      </w:r>
    </w:p>
    <w:p w14:paraId="5EE2924F" w14:textId="77777777" w:rsidR="00147CEE" w:rsidRPr="00EA0C80" w:rsidRDefault="00147CEE" w:rsidP="00147CEE">
      <w:pPr>
        <w:pStyle w:val="Zkladntext"/>
        <w:spacing w:before="120" w:line="288" w:lineRule="auto"/>
        <w:jc w:val="both"/>
        <w:rPr>
          <w:rFonts w:cs="Arial"/>
          <w:sz w:val="22"/>
          <w:szCs w:val="22"/>
        </w:rPr>
      </w:pPr>
    </w:p>
    <w:p w14:paraId="3513C015" w14:textId="77777777" w:rsidR="00147CEE" w:rsidRPr="00EA0C80" w:rsidRDefault="00147CEE" w:rsidP="00147CEE">
      <w:pPr>
        <w:pStyle w:val="podnadpis2"/>
        <w:spacing w:before="120" w:after="0" w:line="288" w:lineRule="auto"/>
        <w:jc w:val="both"/>
        <w:rPr>
          <w:rFonts w:cs="Arial"/>
          <w:sz w:val="24"/>
        </w:rPr>
      </w:pPr>
      <w:r w:rsidRPr="00EA0C80">
        <w:rPr>
          <w:rFonts w:cs="Arial"/>
          <w:sz w:val="24"/>
        </w:rPr>
        <w:t>ostatní regulativy</w:t>
      </w:r>
    </w:p>
    <w:p w14:paraId="51BCC83C" w14:textId="77777777" w:rsidR="00147CEE" w:rsidRPr="00EA0C80" w:rsidRDefault="00147CEE" w:rsidP="00147CEE">
      <w:pPr>
        <w:pStyle w:val="Znaka1"/>
        <w:numPr>
          <w:ilvl w:val="0"/>
          <w:numId w:val="78"/>
        </w:numPr>
        <w:spacing w:before="120" w:line="288" w:lineRule="auto"/>
        <w:ind w:left="426"/>
        <w:jc w:val="both"/>
        <w:rPr>
          <w:rFonts w:cs="Arial"/>
          <w:sz w:val="22"/>
          <w:szCs w:val="22"/>
        </w:rPr>
      </w:pPr>
      <w:r w:rsidRPr="00EA0C80">
        <w:rPr>
          <w:rFonts w:cs="Arial"/>
          <w:sz w:val="22"/>
          <w:szCs w:val="22"/>
        </w:rPr>
        <w:t xml:space="preserve">s ohledem na </w:t>
      </w:r>
      <w:r w:rsidRPr="00EA0C80">
        <w:rPr>
          <w:rFonts w:cs="Arial"/>
          <w:b/>
          <w:bCs/>
          <w:sz w:val="22"/>
          <w:szCs w:val="22"/>
        </w:rPr>
        <w:t xml:space="preserve">výskyt ploch ohrožených sesuvy, </w:t>
      </w:r>
      <w:r w:rsidRPr="00EA0C80">
        <w:rPr>
          <w:rFonts w:cs="Arial"/>
          <w:sz w:val="22"/>
          <w:szCs w:val="22"/>
        </w:rPr>
        <w:t>je nutno před výstavbou provést u řady lokalit geologický průzkum, kterým se stanoví způsob založení stavby</w:t>
      </w:r>
      <w:r>
        <w:rPr>
          <w:rFonts w:cs="Arial"/>
          <w:sz w:val="22"/>
          <w:szCs w:val="22"/>
        </w:rPr>
        <w:t>;</w:t>
      </w:r>
    </w:p>
    <w:p w14:paraId="525A8122" w14:textId="77777777" w:rsidR="00147CEE" w:rsidRPr="00EA0C80" w:rsidRDefault="00147CEE" w:rsidP="00147CEE">
      <w:pPr>
        <w:pStyle w:val="Znaka1"/>
        <w:numPr>
          <w:ilvl w:val="0"/>
          <w:numId w:val="78"/>
        </w:numPr>
        <w:spacing w:before="120" w:line="288" w:lineRule="auto"/>
        <w:ind w:left="426"/>
        <w:jc w:val="both"/>
        <w:rPr>
          <w:rFonts w:cs="Arial"/>
          <w:sz w:val="22"/>
          <w:szCs w:val="22"/>
        </w:rPr>
      </w:pPr>
      <w:r w:rsidRPr="00EA0C80">
        <w:rPr>
          <w:rFonts w:cs="Arial"/>
          <w:sz w:val="22"/>
          <w:szCs w:val="22"/>
        </w:rPr>
        <w:t xml:space="preserve">ověřit </w:t>
      </w:r>
      <w:r w:rsidRPr="00EA0C80">
        <w:rPr>
          <w:rFonts w:cs="Arial"/>
          <w:b/>
          <w:bCs/>
          <w:sz w:val="22"/>
          <w:szCs w:val="22"/>
        </w:rPr>
        <w:t xml:space="preserve">přítomnost půdního radonu </w:t>
      </w:r>
      <w:r w:rsidRPr="00EA0C80">
        <w:rPr>
          <w:rFonts w:cs="Arial"/>
          <w:sz w:val="22"/>
          <w:szCs w:val="22"/>
        </w:rPr>
        <w:t>(druhý stupeň radonového rizika v  celém zájmovém území)</w:t>
      </w:r>
      <w:r>
        <w:rPr>
          <w:rFonts w:cs="Arial"/>
          <w:sz w:val="22"/>
          <w:szCs w:val="22"/>
        </w:rPr>
        <w:t>;</w:t>
      </w:r>
    </w:p>
    <w:p w14:paraId="7518DF4C" w14:textId="77777777" w:rsidR="00147CEE" w:rsidRPr="00EA0C80" w:rsidRDefault="00147CEE" w:rsidP="00147CEE">
      <w:pPr>
        <w:pStyle w:val="Znaka1"/>
        <w:numPr>
          <w:ilvl w:val="0"/>
          <w:numId w:val="78"/>
        </w:numPr>
        <w:spacing w:before="120" w:line="288" w:lineRule="auto"/>
        <w:ind w:left="426"/>
        <w:jc w:val="both"/>
        <w:rPr>
          <w:rFonts w:cs="Arial"/>
          <w:sz w:val="22"/>
          <w:szCs w:val="22"/>
        </w:rPr>
      </w:pPr>
      <w:r w:rsidRPr="00EA0C80">
        <w:rPr>
          <w:rFonts w:cs="Arial"/>
          <w:b/>
          <w:bCs/>
          <w:sz w:val="22"/>
          <w:szCs w:val="22"/>
        </w:rPr>
        <w:t>kvalita zemědělského půdního fondu</w:t>
      </w:r>
      <w:r w:rsidRPr="00EA0C80">
        <w:rPr>
          <w:rFonts w:cs="Arial"/>
          <w:sz w:val="22"/>
          <w:szCs w:val="22"/>
        </w:rPr>
        <w:t>, dané hodnotou BPEJ</w:t>
      </w:r>
      <w:r>
        <w:rPr>
          <w:rFonts w:cs="Arial"/>
          <w:sz w:val="22"/>
          <w:szCs w:val="22"/>
        </w:rPr>
        <w:t>;</w:t>
      </w:r>
    </w:p>
    <w:p w14:paraId="563B60AB" w14:textId="77777777" w:rsidR="00147CEE" w:rsidRPr="00EA0C80" w:rsidRDefault="00147CEE" w:rsidP="00147CEE">
      <w:pPr>
        <w:pStyle w:val="Znaka1"/>
        <w:numPr>
          <w:ilvl w:val="0"/>
          <w:numId w:val="78"/>
        </w:numPr>
        <w:spacing w:before="120" w:line="288" w:lineRule="auto"/>
        <w:ind w:left="426"/>
        <w:jc w:val="both"/>
        <w:rPr>
          <w:rFonts w:cs="Arial"/>
          <w:sz w:val="22"/>
          <w:szCs w:val="22"/>
        </w:rPr>
      </w:pPr>
      <w:r w:rsidRPr="00EA0C80">
        <w:rPr>
          <w:rFonts w:cs="Arial"/>
          <w:sz w:val="22"/>
          <w:szCs w:val="22"/>
        </w:rPr>
        <w:t xml:space="preserve">kategorizace a funkce </w:t>
      </w:r>
      <w:r w:rsidRPr="00EA0C80">
        <w:rPr>
          <w:rFonts w:cs="Arial"/>
          <w:b/>
          <w:bCs/>
          <w:sz w:val="22"/>
          <w:szCs w:val="22"/>
        </w:rPr>
        <w:t xml:space="preserve">lesního půdního fondu </w:t>
      </w:r>
      <w:r w:rsidRPr="00EA0C80">
        <w:rPr>
          <w:rFonts w:cs="Arial"/>
          <w:sz w:val="22"/>
          <w:szCs w:val="22"/>
        </w:rPr>
        <w:t>(OP lesa)</w:t>
      </w:r>
      <w:r>
        <w:rPr>
          <w:rFonts w:cs="Arial"/>
          <w:sz w:val="22"/>
          <w:szCs w:val="22"/>
        </w:rPr>
        <w:t>;</w:t>
      </w:r>
    </w:p>
    <w:p w14:paraId="3EF855EA" w14:textId="77777777" w:rsidR="00147CEE" w:rsidRPr="00EA0C80" w:rsidRDefault="00147CEE" w:rsidP="00147CEE">
      <w:pPr>
        <w:pStyle w:val="Znaka1"/>
        <w:numPr>
          <w:ilvl w:val="0"/>
          <w:numId w:val="78"/>
        </w:numPr>
        <w:spacing w:before="120" w:line="288" w:lineRule="auto"/>
        <w:ind w:left="426"/>
        <w:jc w:val="both"/>
        <w:rPr>
          <w:rFonts w:cs="Arial"/>
          <w:sz w:val="22"/>
          <w:szCs w:val="22"/>
        </w:rPr>
      </w:pPr>
      <w:r w:rsidRPr="00EA0C80">
        <w:rPr>
          <w:rFonts w:cs="Arial"/>
          <w:sz w:val="22"/>
          <w:szCs w:val="22"/>
        </w:rPr>
        <w:t xml:space="preserve">existence </w:t>
      </w:r>
      <w:r w:rsidRPr="00EA0C80">
        <w:rPr>
          <w:rFonts w:cs="Arial"/>
          <w:b/>
          <w:bCs/>
          <w:sz w:val="22"/>
          <w:szCs w:val="22"/>
        </w:rPr>
        <w:t>CHKO</w:t>
      </w:r>
      <w:r w:rsidRPr="00EA0C80">
        <w:rPr>
          <w:rFonts w:cs="Arial"/>
          <w:sz w:val="22"/>
          <w:szCs w:val="22"/>
        </w:rPr>
        <w:t xml:space="preserve"> a v</w:t>
      </w:r>
      <w:r>
        <w:rPr>
          <w:rFonts w:cs="Arial"/>
          <w:sz w:val="22"/>
          <w:szCs w:val="22"/>
        </w:rPr>
        <w:t>yhlášená chráněná území přírody;</w:t>
      </w:r>
    </w:p>
    <w:p w14:paraId="5804CB05" w14:textId="77777777" w:rsidR="00147CEE" w:rsidRPr="00EA0C80" w:rsidRDefault="00147CEE" w:rsidP="00147CEE">
      <w:pPr>
        <w:pStyle w:val="Znaka1"/>
        <w:numPr>
          <w:ilvl w:val="0"/>
          <w:numId w:val="78"/>
        </w:numPr>
        <w:spacing w:before="120" w:line="288" w:lineRule="auto"/>
        <w:ind w:left="426"/>
        <w:jc w:val="both"/>
        <w:rPr>
          <w:rFonts w:cs="Arial"/>
          <w:sz w:val="22"/>
          <w:szCs w:val="22"/>
        </w:rPr>
      </w:pPr>
      <w:r w:rsidRPr="00EA0C80">
        <w:rPr>
          <w:rFonts w:cs="Arial"/>
          <w:sz w:val="22"/>
          <w:szCs w:val="22"/>
        </w:rPr>
        <w:t xml:space="preserve">územní systém ekologické stability </w:t>
      </w:r>
      <w:r>
        <w:rPr>
          <w:rFonts w:cs="Arial"/>
          <w:sz w:val="22"/>
          <w:szCs w:val="22"/>
        </w:rPr>
        <w:t>–</w:t>
      </w:r>
      <w:r w:rsidRPr="00EA0C80">
        <w:rPr>
          <w:rFonts w:cs="Arial"/>
          <w:sz w:val="22"/>
          <w:szCs w:val="22"/>
        </w:rPr>
        <w:t xml:space="preserve"> ÚSES</w:t>
      </w:r>
      <w:r>
        <w:rPr>
          <w:rFonts w:cs="Arial"/>
          <w:sz w:val="22"/>
          <w:szCs w:val="22"/>
        </w:rPr>
        <w:t>;</w:t>
      </w:r>
    </w:p>
    <w:p w14:paraId="4AED76ED" w14:textId="77777777" w:rsidR="00147CEE" w:rsidRPr="00EA0C80" w:rsidRDefault="00147CEE" w:rsidP="00147CEE">
      <w:pPr>
        <w:pStyle w:val="Znaka1"/>
        <w:numPr>
          <w:ilvl w:val="0"/>
          <w:numId w:val="78"/>
        </w:numPr>
        <w:spacing w:before="120" w:line="288" w:lineRule="auto"/>
        <w:ind w:left="426"/>
        <w:jc w:val="both"/>
        <w:rPr>
          <w:rFonts w:cs="Arial"/>
          <w:sz w:val="22"/>
          <w:szCs w:val="22"/>
        </w:rPr>
      </w:pPr>
      <w:r w:rsidRPr="00EA0C80">
        <w:rPr>
          <w:rFonts w:cs="Arial"/>
          <w:sz w:val="22"/>
          <w:szCs w:val="22"/>
        </w:rPr>
        <w:t xml:space="preserve">ochrana a využití </w:t>
      </w:r>
      <w:r w:rsidRPr="00EA0C80">
        <w:rPr>
          <w:rFonts w:cs="Arial"/>
          <w:b/>
          <w:bCs/>
          <w:sz w:val="22"/>
          <w:szCs w:val="22"/>
        </w:rPr>
        <w:t>kulturních památek</w:t>
      </w:r>
      <w:r w:rsidRPr="00EA0C80">
        <w:rPr>
          <w:rFonts w:cs="Arial"/>
          <w:sz w:val="22"/>
          <w:szCs w:val="22"/>
        </w:rPr>
        <w:t>, zejména areálu zámku, památková zóna</w:t>
      </w:r>
      <w:r>
        <w:rPr>
          <w:rFonts w:cs="Arial"/>
          <w:sz w:val="22"/>
          <w:szCs w:val="22"/>
        </w:rPr>
        <w:t>.</w:t>
      </w:r>
    </w:p>
    <w:p w14:paraId="12F84275" w14:textId="77777777" w:rsidR="00147CEE" w:rsidRPr="00EA0C80" w:rsidRDefault="00147CEE" w:rsidP="00147CEE">
      <w:pPr>
        <w:pStyle w:val="Znaka1"/>
        <w:spacing w:before="120" w:line="288" w:lineRule="auto"/>
        <w:jc w:val="both"/>
        <w:rPr>
          <w:rFonts w:cs="Arial"/>
          <w:sz w:val="22"/>
          <w:szCs w:val="22"/>
        </w:rPr>
      </w:pPr>
    </w:p>
    <w:p w14:paraId="591A4C9B" w14:textId="77777777" w:rsidR="00147CEE" w:rsidRDefault="00147CEE" w:rsidP="00147CEE">
      <w:pPr>
        <w:pStyle w:val="Znaka1"/>
        <w:jc w:val="both"/>
        <w:rPr>
          <w:rFonts w:cs="Arial"/>
        </w:rPr>
      </w:pPr>
    </w:p>
    <w:p w14:paraId="60F9C8CC" w14:textId="77777777" w:rsidR="00147CEE" w:rsidRDefault="00147CEE" w:rsidP="00147CEE">
      <w:pPr>
        <w:pStyle w:val="Znaka1"/>
        <w:jc w:val="both"/>
        <w:rPr>
          <w:rFonts w:cs="Arial"/>
        </w:rPr>
      </w:pPr>
    </w:p>
    <w:p w14:paraId="699928ED" w14:textId="77777777" w:rsidR="00147CEE" w:rsidRDefault="00147CEE" w:rsidP="00147CEE">
      <w:pPr>
        <w:pStyle w:val="Znaka1"/>
        <w:jc w:val="both"/>
        <w:rPr>
          <w:rFonts w:cs="Arial"/>
        </w:rPr>
      </w:pPr>
    </w:p>
    <w:p w14:paraId="33C3FEBD" w14:textId="77777777" w:rsidR="00147CEE" w:rsidRDefault="00147CEE" w:rsidP="00147CEE">
      <w:pPr>
        <w:pStyle w:val="Znaka1"/>
        <w:jc w:val="both"/>
        <w:rPr>
          <w:rFonts w:cs="Arial"/>
        </w:rPr>
      </w:pPr>
    </w:p>
    <w:p w14:paraId="01106F0F" w14:textId="77777777" w:rsidR="00147CEE" w:rsidRDefault="00147CEE" w:rsidP="00147CEE">
      <w:pPr>
        <w:pStyle w:val="Znaka1"/>
        <w:jc w:val="both"/>
        <w:rPr>
          <w:rFonts w:cs="Arial"/>
        </w:rPr>
      </w:pPr>
    </w:p>
    <w:p w14:paraId="6E81301E" w14:textId="77777777" w:rsidR="00147CEE" w:rsidRDefault="00147CEE" w:rsidP="00147CEE">
      <w:pPr>
        <w:pStyle w:val="Znaka1"/>
        <w:jc w:val="both"/>
        <w:rPr>
          <w:rFonts w:cs="Arial"/>
        </w:rPr>
      </w:pPr>
    </w:p>
    <w:p w14:paraId="6D1FEC67" w14:textId="77777777" w:rsidR="00147CEE" w:rsidRDefault="00147CEE" w:rsidP="00147CEE">
      <w:pPr>
        <w:pStyle w:val="Znaka1"/>
        <w:jc w:val="both"/>
        <w:rPr>
          <w:rFonts w:cs="Arial"/>
        </w:rPr>
      </w:pPr>
    </w:p>
    <w:p w14:paraId="7CBD1A62" w14:textId="77777777" w:rsidR="00147CEE" w:rsidRDefault="00147CEE" w:rsidP="00147CEE">
      <w:pPr>
        <w:pStyle w:val="Znaka1"/>
        <w:jc w:val="both"/>
        <w:rPr>
          <w:rFonts w:cs="Arial"/>
        </w:rPr>
      </w:pPr>
    </w:p>
    <w:p w14:paraId="7DAA2240" w14:textId="77777777" w:rsidR="00147CEE" w:rsidRDefault="00147CEE" w:rsidP="00147CEE">
      <w:pPr>
        <w:pStyle w:val="Znaka1"/>
        <w:jc w:val="both"/>
        <w:rPr>
          <w:rFonts w:cs="Arial"/>
        </w:rPr>
      </w:pPr>
    </w:p>
    <w:p w14:paraId="02F0ECD0" w14:textId="77777777" w:rsidR="00147CEE" w:rsidRDefault="00147CEE" w:rsidP="00147CEE">
      <w:pPr>
        <w:pStyle w:val="Znaka1"/>
        <w:jc w:val="both"/>
        <w:rPr>
          <w:rFonts w:cs="Arial"/>
        </w:rPr>
      </w:pPr>
    </w:p>
    <w:p w14:paraId="6FB988E7" w14:textId="77777777" w:rsidR="00147CEE" w:rsidRDefault="00147CEE" w:rsidP="00147CEE">
      <w:pPr>
        <w:pStyle w:val="Znaka1"/>
        <w:jc w:val="both"/>
        <w:rPr>
          <w:rFonts w:cs="Arial"/>
        </w:rPr>
      </w:pPr>
    </w:p>
    <w:p w14:paraId="3BC5FF9B" w14:textId="77777777" w:rsidR="00147CEE" w:rsidRDefault="00147CEE" w:rsidP="00147CEE">
      <w:pPr>
        <w:pStyle w:val="Znaka1"/>
        <w:jc w:val="both"/>
        <w:rPr>
          <w:rFonts w:cs="Arial"/>
        </w:rPr>
      </w:pPr>
    </w:p>
    <w:p w14:paraId="35EBA744" w14:textId="77777777" w:rsidR="00147CEE" w:rsidRDefault="00147CEE" w:rsidP="00147CEE">
      <w:pPr>
        <w:pStyle w:val="Znaka1"/>
        <w:jc w:val="both"/>
        <w:rPr>
          <w:rFonts w:cs="Arial"/>
        </w:rPr>
      </w:pPr>
    </w:p>
    <w:p w14:paraId="2C7C99E5" w14:textId="77777777" w:rsidR="00147CEE" w:rsidRDefault="00147CEE" w:rsidP="00147CEE">
      <w:pPr>
        <w:pStyle w:val="Znaka1"/>
        <w:jc w:val="both"/>
        <w:rPr>
          <w:rFonts w:cs="Arial"/>
        </w:rPr>
      </w:pPr>
    </w:p>
    <w:p w14:paraId="4328B6E4" w14:textId="77777777" w:rsidR="00147CEE" w:rsidRDefault="00147CEE" w:rsidP="00147CEE">
      <w:pPr>
        <w:pStyle w:val="Znaka1"/>
        <w:jc w:val="both"/>
        <w:rPr>
          <w:rFonts w:cs="Arial"/>
        </w:rPr>
      </w:pPr>
    </w:p>
    <w:p w14:paraId="0BFD145C" w14:textId="77777777" w:rsidR="00147CEE" w:rsidRDefault="00147CEE" w:rsidP="00147CEE">
      <w:pPr>
        <w:pStyle w:val="Znaka1"/>
        <w:jc w:val="both"/>
        <w:rPr>
          <w:rFonts w:cs="Arial"/>
        </w:rPr>
      </w:pPr>
    </w:p>
    <w:p w14:paraId="0702C47F" w14:textId="77777777" w:rsidR="00147CEE" w:rsidRDefault="00147CEE" w:rsidP="00147CEE">
      <w:pPr>
        <w:pStyle w:val="Znaka1"/>
        <w:jc w:val="both"/>
        <w:rPr>
          <w:rFonts w:cs="Arial"/>
        </w:rPr>
      </w:pPr>
    </w:p>
    <w:p w14:paraId="10390306" w14:textId="77777777" w:rsidR="00147CEE" w:rsidRPr="001C2E69" w:rsidRDefault="00147CEE" w:rsidP="00147CEE">
      <w:pPr>
        <w:spacing w:before="120" w:line="288" w:lineRule="auto"/>
        <w:ind w:left="74"/>
        <w:jc w:val="both"/>
        <w:rPr>
          <w:rFonts w:ascii="Arial" w:hAnsi="Arial" w:cs="Arial"/>
          <w:b/>
          <w:color w:val="00B050"/>
          <w:spacing w:val="3"/>
        </w:rPr>
      </w:pPr>
      <w:r w:rsidRPr="001C2E69">
        <w:rPr>
          <w:rFonts w:ascii="Arial" w:hAnsi="Arial" w:cs="Arial"/>
          <w:b/>
          <w:color w:val="00B050"/>
        </w:rPr>
        <w:lastRenderedPageBreak/>
        <w:t xml:space="preserve">(Z1) </w:t>
      </w:r>
      <w:r w:rsidRPr="001C2E69">
        <w:rPr>
          <w:rFonts w:ascii="Arial" w:hAnsi="Arial" w:cs="Arial"/>
          <w:b/>
          <w:color w:val="00B050"/>
          <w:spacing w:val="3"/>
        </w:rPr>
        <w:t>PŘEHLED A CHARAKTERISTIKA VYBRANÝCH PLOCH ZASTAVITELNÉHO ÚZEMÍ 1. ZMĚNY ÚPN M</w:t>
      </w:r>
    </w:p>
    <w:p w14:paraId="7635AA35" w14:textId="77777777" w:rsidR="00147CEE" w:rsidRPr="00C623B2" w:rsidRDefault="00147CEE" w:rsidP="00147CEE">
      <w:pPr>
        <w:tabs>
          <w:tab w:val="decimal" w:pos="72"/>
          <w:tab w:val="decimal" w:pos="144"/>
          <w:tab w:val="right" w:pos="2679"/>
        </w:tabs>
        <w:spacing w:before="36" w:line="276" w:lineRule="auto"/>
        <w:ind w:left="72"/>
        <w:jc w:val="both"/>
        <w:rPr>
          <w:spacing w:val="3"/>
        </w:rPr>
      </w:pPr>
      <w:r w:rsidRPr="00C623B2">
        <w:rPr>
          <w:spacing w:val="3"/>
        </w:rPr>
        <w:t>.</w:t>
      </w:r>
      <w:r w:rsidRPr="008F6D5D">
        <w:rPr>
          <w:spacing w:val="3"/>
        </w:rPr>
        <w:t xml:space="preserve"> </w:t>
      </w:r>
      <w:r w:rsidRPr="000C44CB">
        <w:rPr>
          <w:noProof/>
          <w:spacing w:val="3"/>
          <w:lang w:eastAsia="cs-CZ"/>
        </w:rPr>
        <w:drawing>
          <wp:inline distT="0" distB="0" distL="0" distR="0" wp14:anchorId="120F08F6" wp14:editId="65D78A00">
            <wp:extent cx="5297170" cy="2538095"/>
            <wp:effectExtent l="38100" t="38100" r="36830" b="33655"/>
            <wp:docPr id="25280" name="Obrázek 25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5297170" cy="2538095"/>
                    </a:xfrm>
                    <a:prstGeom prst="rect">
                      <a:avLst/>
                    </a:prstGeom>
                    <a:noFill/>
                    <a:ln w="38100" cmpd="sng">
                      <a:solidFill>
                        <a:srgbClr val="00B050"/>
                      </a:solidFill>
                      <a:miter lim="800000"/>
                      <a:headEnd/>
                      <a:tailEnd/>
                    </a:ln>
                    <a:effectLst/>
                  </pic:spPr>
                </pic:pic>
              </a:graphicData>
            </a:graphic>
          </wp:inline>
        </w:drawing>
      </w:r>
    </w:p>
    <w:p w14:paraId="03CFB9D4" w14:textId="77777777" w:rsidR="00147CEE" w:rsidRPr="001C2E69" w:rsidRDefault="00147CEE" w:rsidP="00147CEE">
      <w:pPr>
        <w:tabs>
          <w:tab w:val="decimal" w:pos="72"/>
          <w:tab w:val="decimal" w:pos="144"/>
          <w:tab w:val="right" w:pos="2679"/>
        </w:tabs>
        <w:spacing w:before="120" w:line="288" w:lineRule="auto"/>
        <w:ind w:left="74"/>
        <w:jc w:val="both"/>
        <w:rPr>
          <w:rFonts w:ascii="Arial" w:hAnsi="Arial" w:cs="Arial"/>
          <w:b/>
          <w:spacing w:val="3"/>
        </w:rPr>
      </w:pPr>
    </w:p>
    <w:p w14:paraId="5318B62F" w14:textId="77777777" w:rsidR="00147CEE" w:rsidRPr="001C2E69" w:rsidRDefault="00147CEE" w:rsidP="00147CEE">
      <w:pPr>
        <w:spacing w:before="120" w:line="288" w:lineRule="auto"/>
        <w:jc w:val="both"/>
        <w:rPr>
          <w:rFonts w:ascii="Arial" w:hAnsi="Arial" w:cs="Arial"/>
          <w:b/>
          <w:caps/>
          <w:color w:val="BF8F00"/>
        </w:rPr>
      </w:pPr>
      <w:r w:rsidRPr="001C2E69">
        <w:rPr>
          <w:rFonts w:ascii="Arial" w:hAnsi="Arial" w:cs="Arial"/>
          <w:b/>
          <w:caps/>
          <w:color w:val="BF8F00"/>
        </w:rPr>
        <w:t>(Z2) Vymezení zastavitelných ploch je navrženo v těchto katastrálních územích:</w:t>
      </w:r>
    </w:p>
    <w:p w14:paraId="7611FD71" w14:textId="7D9BAAC4" w:rsidR="00147CEE" w:rsidRDefault="006E3227" w:rsidP="00147CEE">
      <w:pPr>
        <w:spacing w:line="276" w:lineRule="auto"/>
        <w:jc w:val="both"/>
        <w:rPr>
          <w:rFonts w:ascii="Arial" w:hAnsi="Arial" w:cs="Arial"/>
        </w:rPr>
      </w:pPr>
      <w:r>
        <w:rPr>
          <w:noProof/>
          <w:lang w:eastAsia="cs-CZ"/>
        </w:rPr>
        <mc:AlternateContent>
          <mc:Choice Requires="wps">
            <w:drawing>
              <wp:anchor distT="0" distB="0" distL="114300" distR="114300" simplePos="0" relativeHeight="251878400" behindDoc="0" locked="0" layoutInCell="1" allowOverlap="1" wp14:anchorId="5CA72526" wp14:editId="69E2ED9C">
                <wp:simplePos x="0" y="0"/>
                <wp:positionH relativeFrom="margin">
                  <wp:align>center</wp:align>
                </wp:positionH>
                <wp:positionV relativeFrom="paragraph">
                  <wp:posOffset>2052320</wp:posOffset>
                </wp:positionV>
                <wp:extent cx="5495925" cy="161925"/>
                <wp:effectExtent l="19050" t="19050" r="28575" b="28575"/>
                <wp:wrapNone/>
                <wp:docPr id="34995" name="Obdélník 34995"/>
                <wp:cNvGraphicFramePr/>
                <a:graphic xmlns:a="http://schemas.openxmlformats.org/drawingml/2006/main">
                  <a:graphicData uri="http://schemas.microsoft.com/office/word/2010/wordprocessingShape">
                    <wps:wsp>
                      <wps:cNvSpPr/>
                      <wps:spPr>
                        <a:xfrm>
                          <a:off x="0" y="0"/>
                          <a:ext cx="5495925" cy="161925"/>
                        </a:xfrm>
                        <a:prstGeom prst="rect">
                          <a:avLst/>
                        </a:prstGeom>
                        <a:noFill/>
                        <a:ln w="3810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138922" id="Obdélník 34995" o:spid="_x0000_s1026" style="position:absolute;margin-left:0;margin-top:161.6pt;width:432.75pt;height:12.75pt;z-index:2518784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" filled="f" strokecolor="#18b8b0" strokeweight="3pt">
                <w10:wrap anchorx="margin"/>
              </v:rect>
            </w:pict>
          </mc:Fallback>
        </mc:AlternateContent>
      </w:r>
      <w:r w:rsidR="00147CEE" w:rsidRPr="003773A8">
        <w:rPr>
          <w:rFonts w:ascii="Arial" w:hAnsi="Arial" w:cs="Arial"/>
          <w:noProof/>
          <w:lang w:eastAsia="cs-CZ"/>
        </w:rPr>
        <w:drawing>
          <wp:inline distT="0" distB="0" distL="0" distR="0" wp14:anchorId="18D60A87" wp14:editId="665E9F6D">
            <wp:extent cx="5754370" cy="2317750"/>
            <wp:effectExtent l="38100" t="38100" r="36830" b="44450"/>
            <wp:docPr id="35007" name="Obrázek 35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5754370" cy="2317750"/>
                    </a:xfrm>
                    <a:prstGeom prst="rect">
                      <a:avLst/>
                    </a:prstGeom>
                    <a:noFill/>
                    <a:ln w="38100" cmpd="sng">
                      <a:solidFill>
                        <a:srgbClr val="BF8F00"/>
                      </a:solidFill>
                      <a:miter lim="800000"/>
                      <a:headEnd/>
                      <a:tailEnd/>
                    </a:ln>
                    <a:effectLst/>
                  </pic:spPr>
                </pic:pic>
              </a:graphicData>
            </a:graphic>
          </wp:inline>
        </w:drawing>
      </w:r>
    </w:p>
    <w:p w14:paraId="2B34C61F" w14:textId="3AD4D4AE" w:rsidR="00642874" w:rsidRPr="00642874" w:rsidRDefault="00642874" w:rsidP="00147CEE">
      <w:pPr>
        <w:spacing w:line="276" w:lineRule="auto"/>
        <w:jc w:val="both"/>
        <w:rPr>
          <w:rFonts w:ascii="Arial" w:hAnsi="Arial" w:cs="Arial"/>
          <w:color w:val="18B8B0"/>
          <w:sz w:val="22"/>
        </w:rPr>
      </w:pPr>
      <w:r w:rsidRPr="00FF2F84">
        <w:rPr>
          <w:rFonts w:ascii="Arial" w:hAnsi="Arial" w:cs="Arial"/>
          <w:color w:val="18B8B0"/>
          <w:sz w:val="22"/>
        </w:rPr>
        <w:t>*v rámci změny č. 12 ÚP bylo upraveno přípustné využití plochy 2Z11</w:t>
      </w:r>
      <w:r w:rsidR="006E3227" w:rsidRPr="00FF2F84">
        <w:rPr>
          <w:rFonts w:ascii="Arial" w:hAnsi="Arial" w:cs="Arial"/>
          <w:color w:val="18B8B0"/>
          <w:sz w:val="22"/>
        </w:rPr>
        <w:t xml:space="preserve"> (2Z-11) v k.ú. Děčín.</w:t>
      </w:r>
      <w:r w:rsidR="006E3227">
        <w:rPr>
          <w:rFonts w:ascii="Arial" w:hAnsi="Arial" w:cs="Arial"/>
          <w:color w:val="18B8B0"/>
          <w:sz w:val="22"/>
        </w:rPr>
        <w:t xml:space="preserve"> </w:t>
      </w:r>
      <w:r w:rsidR="004100EA" w:rsidRPr="00642874">
        <w:rPr>
          <w:rFonts w:ascii="Arial" w:hAnsi="Arial" w:cs="Arial"/>
          <w:color w:val="18B8B0"/>
          <w:sz w:val="22"/>
        </w:rPr>
        <w:t xml:space="preserve"> </w:t>
      </w:r>
    </w:p>
    <w:p w14:paraId="22A166A9" w14:textId="77777777" w:rsidR="00147CEE" w:rsidRPr="00E50CDC" w:rsidRDefault="00147CEE" w:rsidP="00147CEE">
      <w:pPr>
        <w:spacing w:line="276" w:lineRule="auto"/>
        <w:jc w:val="both"/>
        <w:rPr>
          <w:rFonts w:ascii="Arial" w:hAnsi="Arial" w:cs="Arial"/>
        </w:rPr>
      </w:pPr>
      <w:r w:rsidRPr="003773A8">
        <w:rPr>
          <w:rFonts w:ascii="Arial" w:hAnsi="Arial" w:cs="Arial"/>
          <w:noProof/>
          <w:lang w:eastAsia="cs-CZ"/>
        </w:rPr>
        <w:lastRenderedPageBreak/>
        <w:drawing>
          <wp:inline distT="0" distB="0" distL="0" distR="0" wp14:anchorId="57171640" wp14:editId="2BBD868B">
            <wp:extent cx="5754370" cy="3389630"/>
            <wp:effectExtent l="38100" t="38100" r="36830" b="39370"/>
            <wp:docPr id="35006" name="Obrázek 35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5754370" cy="3389630"/>
                    </a:xfrm>
                    <a:prstGeom prst="rect">
                      <a:avLst/>
                    </a:prstGeom>
                    <a:noFill/>
                    <a:ln w="38100" cmpd="sng">
                      <a:solidFill>
                        <a:srgbClr val="BF8F00"/>
                      </a:solidFill>
                      <a:miter lim="800000"/>
                      <a:headEnd/>
                      <a:tailEnd/>
                    </a:ln>
                    <a:effectLst/>
                  </pic:spPr>
                </pic:pic>
              </a:graphicData>
            </a:graphic>
          </wp:inline>
        </w:drawing>
      </w:r>
    </w:p>
    <w:p w14:paraId="24EC1B3E" w14:textId="77777777" w:rsidR="00147CEE" w:rsidRPr="001C2E69" w:rsidRDefault="00147CEE" w:rsidP="00147CEE">
      <w:pPr>
        <w:tabs>
          <w:tab w:val="decimal" w:pos="72"/>
          <w:tab w:val="decimal" w:pos="144"/>
          <w:tab w:val="right" w:pos="2679"/>
        </w:tabs>
        <w:spacing w:before="120" w:line="288" w:lineRule="auto"/>
        <w:ind w:left="74"/>
        <w:jc w:val="both"/>
        <w:rPr>
          <w:rFonts w:ascii="Arial" w:hAnsi="Arial" w:cs="Arial"/>
          <w:b/>
          <w:spacing w:val="3"/>
        </w:rPr>
      </w:pPr>
    </w:p>
    <w:p w14:paraId="10DDD5B2" w14:textId="77777777" w:rsidR="00147CEE" w:rsidRDefault="00147CEE" w:rsidP="00147CEE">
      <w:pPr>
        <w:spacing w:before="120" w:line="288" w:lineRule="auto"/>
        <w:rPr>
          <w:rFonts w:ascii="Arial" w:hAnsi="Arial" w:cs="Arial"/>
          <w:noProof/>
        </w:rPr>
      </w:pPr>
      <w:r w:rsidRPr="001C2E69">
        <w:rPr>
          <w:rFonts w:ascii="Arial" w:hAnsi="Arial" w:cs="Arial"/>
          <w:b/>
          <w:color w:val="0066FF"/>
        </w:rPr>
        <w:t>(Z4) PŘEHLED A CHARAKTERISTIKA VYBRANÝCH PLOCH ZASTAVITELNÉHO ÚZEMÍ 4. ZMĚNY UPN</w:t>
      </w:r>
      <w:r w:rsidRPr="004D41D2">
        <w:rPr>
          <w:rFonts w:ascii="Arial" w:hAnsi="Arial" w:cs="Arial"/>
          <w:b/>
          <w:sz w:val="22"/>
          <w:szCs w:val="22"/>
        </w:rPr>
        <w:t xml:space="preserve"> </w:t>
      </w:r>
    </w:p>
    <w:p w14:paraId="295BBBAC" w14:textId="77777777" w:rsidR="00147CEE" w:rsidRPr="00211996" w:rsidRDefault="00147CEE" w:rsidP="00147CEE">
      <w:pPr>
        <w:spacing w:before="120" w:line="288" w:lineRule="auto"/>
        <w:rPr>
          <w:rFonts w:ascii="Arial" w:hAnsi="Arial" w:cs="Arial"/>
        </w:rPr>
      </w:pPr>
      <w:r w:rsidRPr="000C44CB">
        <w:rPr>
          <w:rFonts w:ascii="Arial" w:hAnsi="Arial" w:cs="Arial"/>
          <w:noProof/>
          <w:lang w:eastAsia="cs-CZ"/>
        </w:rPr>
        <w:drawing>
          <wp:inline distT="0" distB="0" distL="0" distR="0" wp14:anchorId="20DF4E8D" wp14:editId="31D538B6">
            <wp:extent cx="5817235" cy="1135380"/>
            <wp:effectExtent l="38100" t="38100" r="31115" b="45720"/>
            <wp:docPr id="35005" name="Obrázek 35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5817235" cy="1135380"/>
                    </a:xfrm>
                    <a:prstGeom prst="rect">
                      <a:avLst/>
                    </a:prstGeom>
                    <a:noFill/>
                    <a:ln w="38100" cmpd="sng">
                      <a:solidFill>
                        <a:srgbClr val="0066FF"/>
                      </a:solidFill>
                      <a:miter lim="800000"/>
                      <a:headEnd/>
                      <a:tailEnd/>
                    </a:ln>
                    <a:effectLst/>
                  </pic:spPr>
                </pic:pic>
              </a:graphicData>
            </a:graphic>
          </wp:inline>
        </w:drawing>
      </w:r>
    </w:p>
    <w:p w14:paraId="3F3B7D31" w14:textId="77777777" w:rsidR="00147CEE" w:rsidRPr="001C2E69" w:rsidRDefault="00147CEE" w:rsidP="00147CEE">
      <w:pPr>
        <w:tabs>
          <w:tab w:val="decimal" w:pos="72"/>
          <w:tab w:val="decimal" w:pos="144"/>
          <w:tab w:val="right" w:pos="2679"/>
        </w:tabs>
        <w:spacing w:before="120" w:line="288" w:lineRule="auto"/>
        <w:ind w:left="74"/>
        <w:jc w:val="both"/>
        <w:rPr>
          <w:rFonts w:ascii="Arial" w:hAnsi="Arial" w:cs="Arial"/>
          <w:b/>
          <w:spacing w:val="3"/>
        </w:rPr>
      </w:pPr>
    </w:p>
    <w:p w14:paraId="683E941E" w14:textId="77777777" w:rsidR="00147CEE" w:rsidRDefault="00147CEE" w:rsidP="00147CEE">
      <w:pPr>
        <w:spacing w:line="276" w:lineRule="auto"/>
        <w:jc w:val="both"/>
        <w:rPr>
          <w:rFonts w:ascii="Arial" w:hAnsi="Arial" w:cs="Arial"/>
          <w:b/>
          <w:caps/>
          <w:color w:val="D60093"/>
        </w:rPr>
      </w:pPr>
    </w:p>
    <w:p w14:paraId="43C54280" w14:textId="77777777" w:rsidR="00147CEE" w:rsidRDefault="00147CEE" w:rsidP="00147CEE">
      <w:pPr>
        <w:spacing w:line="276" w:lineRule="auto"/>
        <w:jc w:val="both"/>
        <w:rPr>
          <w:rFonts w:ascii="Arial" w:hAnsi="Arial" w:cs="Arial"/>
          <w:b/>
          <w:caps/>
          <w:color w:val="D60093"/>
        </w:rPr>
      </w:pPr>
    </w:p>
    <w:p w14:paraId="01950F28" w14:textId="77777777" w:rsidR="00147CEE" w:rsidRDefault="00147CEE" w:rsidP="00147CEE">
      <w:pPr>
        <w:spacing w:line="276" w:lineRule="auto"/>
        <w:jc w:val="both"/>
        <w:rPr>
          <w:rFonts w:ascii="Arial" w:hAnsi="Arial" w:cs="Arial"/>
          <w:b/>
          <w:caps/>
          <w:color w:val="D60093"/>
        </w:rPr>
      </w:pPr>
    </w:p>
    <w:p w14:paraId="4E731F29" w14:textId="77777777" w:rsidR="00147CEE" w:rsidRDefault="00147CEE" w:rsidP="00147CEE">
      <w:pPr>
        <w:spacing w:line="276" w:lineRule="auto"/>
        <w:jc w:val="both"/>
        <w:rPr>
          <w:rFonts w:ascii="Arial" w:hAnsi="Arial" w:cs="Arial"/>
          <w:b/>
          <w:caps/>
          <w:color w:val="D60093"/>
        </w:rPr>
      </w:pPr>
    </w:p>
    <w:p w14:paraId="317F597D" w14:textId="77777777" w:rsidR="00147CEE" w:rsidRDefault="00147CEE" w:rsidP="00147CEE">
      <w:pPr>
        <w:spacing w:line="276" w:lineRule="auto"/>
        <w:jc w:val="both"/>
        <w:rPr>
          <w:rFonts w:ascii="Arial" w:hAnsi="Arial" w:cs="Arial"/>
          <w:b/>
          <w:caps/>
          <w:color w:val="D60093"/>
        </w:rPr>
      </w:pPr>
    </w:p>
    <w:p w14:paraId="7D98DD6F" w14:textId="77777777" w:rsidR="00147CEE" w:rsidRDefault="00147CEE" w:rsidP="00147CEE">
      <w:pPr>
        <w:spacing w:line="276" w:lineRule="auto"/>
        <w:jc w:val="both"/>
        <w:rPr>
          <w:rFonts w:ascii="Arial" w:hAnsi="Arial" w:cs="Arial"/>
          <w:b/>
          <w:caps/>
          <w:color w:val="D60093"/>
        </w:rPr>
      </w:pPr>
    </w:p>
    <w:p w14:paraId="6C73E109" w14:textId="77777777" w:rsidR="00147CEE" w:rsidRDefault="00147CEE" w:rsidP="00147CEE">
      <w:pPr>
        <w:spacing w:line="276" w:lineRule="auto"/>
        <w:jc w:val="both"/>
        <w:rPr>
          <w:rFonts w:ascii="Arial" w:hAnsi="Arial" w:cs="Arial"/>
          <w:b/>
          <w:caps/>
          <w:color w:val="D60093"/>
        </w:rPr>
      </w:pPr>
    </w:p>
    <w:p w14:paraId="348CFDE5" w14:textId="77777777" w:rsidR="00147CEE" w:rsidRDefault="00147CEE" w:rsidP="00147CEE">
      <w:pPr>
        <w:spacing w:line="276" w:lineRule="auto"/>
        <w:jc w:val="both"/>
        <w:rPr>
          <w:rFonts w:ascii="Arial" w:hAnsi="Arial" w:cs="Arial"/>
          <w:b/>
          <w:caps/>
          <w:color w:val="D60093"/>
        </w:rPr>
      </w:pPr>
    </w:p>
    <w:p w14:paraId="1FF51C20" w14:textId="77777777" w:rsidR="00147CEE" w:rsidRDefault="00147CEE" w:rsidP="00147CEE">
      <w:pPr>
        <w:spacing w:line="276" w:lineRule="auto"/>
        <w:jc w:val="both"/>
        <w:rPr>
          <w:rFonts w:ascii="Arial" w:hAnsi="Arial" w:cs="Arial"/>
          <w:b/>
          <w:caps/>
          <w:color w:val="D60093"/>
        </w:rPr>
      </w:pPr>
    </w:p>
    <w:p w14:paraId="1944BA9D" w14:textId="77777777" w:rsidR="00147CEE" w:rsidRDefault="00147CEE" w:rsidP="00147CEE">
      <w:pPr>
        <w:spacing w:line="276" w:lineRule="auto"/>
        <w:jc w:val="both"/>
        <w:rPr>
          <w:rFonts w:ascii="Arial" w:hAnsi="Arial" w:cs="Arial"/>
          <w:b/>
          <w:caps/>
          <w:color w:val="D60093"/>
        </w:rPr>
      </w:pPr>
    </w:p>
    <w:p w14:paraId="7CB7DB58" w14:textId="77777777" w:rsidR="00147CEE" w:rsidRDefault="00147CEE" w:rsidP="00147CEE">
      <w:pPr>
        <w:spacing w:line="276" w:lineRule="auto"/>
        <w:jc w:val="both"/>
        <w:rPr>
          <w:rFonts w:ascii="Arial" w:hAnsi="Arial" w:cs="Arial"/>
          <w:b/>
          <w:caps/>
          <w:color w:val="D60093"/>
        </w:rPr>
      </w:pPr>
    </w:p>
    <w:p w14:paraId="3466B5A8" w14:textId="77777777" w:rsidR="00147CEE" w:rsidRDefault="00147CEE" w:rsidP="00147CEE">
      <w:pPr>
        <w:spacing w:line="276" w:lineRule="auto"/>
        <w:jc w:val="both"/>
        <w:rPr>
          <w:rFonts w:ascii="Arial" w:hAnsi="Arial" w:cs="Arial"/>
          <w:b/>
          <w:caps/>
          <w:color w:val="D60093"/>
        </w:rPr>
      </w:pPr>
    </w:p>
    <w:p w14:paraId="6353BD14" w14:textId="77777777" w:rsidR="00147CEE" w:rsidRDefault="00147CEE" w:rsidP="00147CEE">
      <w:pPr>
        <w:spacing w:line="276" w:lineRule="auto"/>
        <w:jc w:val="both"/>
        <w:rPr>
          <w:rFonts w:ascii="Arial" w:hAnsi="Arial" w:cs="Arial"/>
          <w:b/>
          <w:caps/>
          <w:color w:val="D60093"/>
        </w:rPr>
      </w:pPr>
    </w:p>
    <w:p w14:paraId="1E899A4F" w14:textId="77777777" w:rsidR="00147CEE" w:rsidRDefault="00147CEE" w:rsidP="00147CEE">
      <w:pPr>
        <w:spacing w:line="276" w:lineRule="auto"/>
        <w:jc w:val="both"/>
        <w:rPr>
          <w:rFonts w:ascii="Arial" w:hAnsi="Arial" w:cs="Arial"/>
          <w:b/>
          <w:caps/>
          <w:color w:val="D60093"/>
        </w:rPr>
      </w:pPr>
    </w:p>
    <w:p w14:paraId="1FF18DB6" w14:textId="77777777" w:rsidR="00147CEE" w:rsidRPr="001C2E69" w:rsidRDefault="00147CEE" w:rsidP="00147CEE">
      <w:pPr>
        <w:spacing w:line="276" w:lineRule="auto"/>
        <w:jc w:val="both"/>
        <w:rPr>
          <w:rFonts w:ascii="Arial" w:hAnsi="Arial" w:cs="Arial"/>
          <w:b/>
          <w:caps/>
          <w:color w:val="D60093"/>
        </w:rPr>
      </w:pPr>
      <w:r w:rsidRPr="001C2E69">
        <w:rPr>
          <w:rFonts w:ascii="Arial" w:hAnsi="Arial" w:cs="Arial"/>
          <w:b/>
          <w:caps/>
          <w:color w:val="D60093"/>
        </w:rPr>
        <w:lastRenderedPageBreak/>
        <w:t>(Z6) Vymezení zastavitelných ploch je navrženo v těchto katastrálních územích</w:t>
      </w:r>
    </w:p>
    <w:p w14:paraId="10D63DC3" w14:textId="77777777" w:rsidR="00147CEE" w:rsidRDefault="00147CEE" w:rsidP="00147CEE">
      <w:pPr>
        <w:spacing w:line="276" w:lineRule="auto"/>
        <w:jc w:val="both"/>
        <w:rPr>
          <w:rFonts w:ascii="Arial" w:hAnsi="Arial" w:cs="Arial"/>
          <w:noProof/>
        </w:rPr>
      </w:pPr>
    </w:p>
    <w:p w14:paraId="060C0FA0" w14:textId="77777777" w:rsidR="00147CEE" w:rsidRPr="00F8192B" w:rsidRDefault="00147CEE" w:rsidP="00147CEE">
      <w:pPr>
        <w:spacing w:line="276" w:lineRule="auto"/>
        <w:jc w:val="both"/>
        <w:rPr>
          <w:rFonts w:ascii="Arial" w:hAnsi="Arial" w:cs="Arial"/>
        </w:rPr>
      </w:pPr>
      <w:r w:rsidRPr="000C44CB">
        <w:rPr>
          <w:rFonts w:ascii="Arial" w:hAnsi="Arial" w:cs="Arial"/>
          <w:noProof/>
          <w:lang w:eastAsia="cs-CZ"/>
        </w:rPr>
        <w:drawing>
          <wp:inline distT="0" distB="0" distL="0" distR="0" wp14:anchorId="5BED6E84" wp14:editId="3EB593F9">
            <wp:extent cx="5817235" cy="1860550"/>
            <wp:effectExtent l="38100" t="38100" r="31115" b="44450"/>
            <wp:docPr id="35004" name="Obrázek 35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5817235" cy="1860550"/>
                    </a:xfrm>
                    <a:prstGeom prst="rect">
                      <a:avLst/>
                    </a:prstGeom>
                    <a:noFill/>
                    <a:ln w="38100" cmpd="sng">
                      <a:solidFill>
                        <a:srgbClr val="D60093"/>
                      </a:solidFill>
                      <a:miter lim="800000"/>
                      <a:headEnd/>
                      <a:tailEnd/>
                    </a:ln>
                    <a:effectLst/>
                  </pic:spPr>
                </pic:pic>
              </a:graphicData>
            </a:graphic>
          </wp:inline>
        </w:drawing>
      </w:r>
    </w:p>
    <w:p w14:paraId="17C01FEE" w14:textId="77777777" w:rsidR="00147CEE" w:rsidRPr="00F8192B" w:rsidRDefault="00147CEE" w:rsidP="00147CEE">
      <w:pPr>
        <w:spacing w:line="276" w:lineRule="auto"/>
        <w:jc w:val="both"/>
        <w:rPr>
          <w:rFonts w:ascii="Arial" w:hAnsi="Arial" w:cs="Arial"/>
        </w:rPr>
      </w:pPr>
      <w:r>
        <w:rPr>
          <w:noProof/>
          <w:lang w:eastAsia="cs-CZ"/>
        </w:rPr>
        <w:lastRenderedPageBreak/>
        <w:drawing>
          <wp:anchor distT="0" distB="0" distL="114300" distR="114300" simplePos="0" relativeHeight="251742208" behindDoc="0" locked="0" layoutInCell="1" allowOverlap="1" wp14:anchorId="56FA7F03" wp14:editId="62E781D6">
            <wp:simplePos x="0" y="0"/>
            <wp:positionH relativeFrom="margin">
              <wp:posOffset>38100</wp:posOffset>
            </wp:positionH>
            <wp:positionV relativeFrom="margin">
              <wp:posOffset>-147320</wp:posOffset>
            </wp:positionV>
            <wp:extent cx="5758180" cy="8081010"/>
            <wp:effectExtent l="38100" t="38100" r="33020" b="34290"/>
            <wp:wrapSquare wrapText="bothSides"/>
            <wp:docPr id="25281" name="Obrázek 25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5758180" cy="8081010"/>
                    </a:xfrm>
                    <a:prstGeom prst="rect">
                      <a:avLst/>
                    </a:prstGeom>
                    <a:noFill/>
                    <a:ln w="38100">
                      <a:solidFill>
                        <a:srgbClr val="D60093"/>
                      </a:solidFill>
                      <a:miter lim="800000"/>
                      <a:headEnd/>
                      <a:tailEnd/>
                    </a:ln>
                    <a:effectLst/>
                  </pic:spPr>
                </pic:pic>
              </a:graphicData>
            </a:graphic>
            <wp14:sizeRelH relativeFrom="page">
              <wp14:pctWidth>0</wp14:pctWidth>
            </wp14:sizeRelH>
            <wp14:sizeRelV relativeFrom="page">
              <wp14:pctHeight>0</wp14:pctHeight>
            </wp14:sizeRelV>
          </wp:anchor>
        </w:drawing>
      </w:r>
    </w:p>
    <w:p w14:paraId="4095A6C8" w14:textId="77777777" w:rsidR="00147CEE" w:rsidRPr="001C2E69" w:rsidRDefault="00147CEE" w:rsidP="00147CEE">
      <w:pPr>
        <w:tabs>
          <w:tab w:val="decimal" w:pos="72"/>
          <w:tab w:val="decimal" w:pos="144"/>
          <w:tab w:val="right" w:pos="2679"/>
        </w:tabs>
        <w:spacing w:before="120" w:line="288" w:lineRule="auto"/>
        <w:ind w:left="74"/>
        <w:jc w:val="both"/>
        <w:rPr>
          <w:rFonts w:ascii="Arial" w:hAnsi="Arial" w:cs="Arial"/>
          <w:b/>
          <w:spacing w:val="3"/>
        </w:rPr>
      </w:pPr>
    </w:p>
    <w:p w14:paraId="482C1EC6" w14:textId="77777777" w:rsidR="00147CEE" w:rsidRPr="00F8192B" w:rsidRDefault="00147CEE" w:rsidP="00147CEE">
      <w:pPr>
        <w:spacing w:line="276" w:lineRule="auto"/>
        <w:jc w:val="both"/>
        <w:rPr>
          <w:rFonts w:ascii="Arial" w:hAnsi="Arial" w:cs="Arial"/>
        </w:rPr>
      </w:pPr>
      <w:r w:rsidRPr="000C44CB">
        <w:rPr>
          <w:rFonts w:ascii="Arial" w:hAnsi="Arial" w:cs="Arial"/>
          <w:noProof/>
          <w:lang w:eastAsia="cs-CZ"/>
        </w:rPr>
        <w:lastRenderedPageBreak/>
        <w:drawing>
          <wp:inline distT="0" distB="0" distL="0" distR="0" wp14:anchorId="666CD039" wp14:editId="777D009B">
            <wp:extent cx="5833110" cy="7393940"/>
            <wp:effectExtent l="38100" t="38100" r="34290" b="35560"/>
            <wp:docPr id="35003" name="Obrázek 35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5833110" cy="7393940"/>
                    </a:xfrm>
                    <a:prstGeom prst="rect">
                      <a:avLst/>
                    </a:prstGeom>
                    <a:noFill/>
                    <a:ln w="38100" cmpd="sng">
                      <a:solidFill>
                        <a:srgbClr val="D60093"/>
                      </a:solidFill>
                      <a:miter lim="800000"/>
                      <a:headEnd/>
                      <a:tailEnd/>
                    </a:ln>
                    <a:effectLst/>
                  </pic:spPr>
                </pic:pic>
              </a:graphicData>
            </a:graphic>
          </wp:inline>
        </w:drawing>
      </w:r>
    </w:p>
    <w:p w14:paraId="5FA55CC8" w14:textId="77777777" w:rsidR="00147CEE" w:rsidRPr="001C2E69" w:rsidRDefault="00147CEE" w:rsidP="00147CEE">
      <w:pPr>
        <w:tabs>
          <w:tab w:val="decimal" w:pos="72"/>
          <w:tab w:val="decimal" w:pos="144"/>
          <w:tab w:val="right" w:pos="2679"/>
        </w:tabs>
        <w:spacing w:before="120" w:line="288" w:lineRule="auto"/>
        <w:ind w:left="74"/>
        <w:jc w:val="both"/>
        <w:rPr>
          <w:rFonts w:ascii="Arial" w:hAnsi="Arial" w:cs="Arial"/>
          <w:b/>
          <w:color w:val="FF0000"/>
        </w:rPr>
      </w:pPr>
      <w:r>
        <w:rPr>
          <w:rFonts w:ascii="Arial" w:hAnsi="Arial" w:cs="Arial"/>
        </w:rPr>
        <w:br w:type="page"/>
      </w:r>
      <w:r w:rsidRPr="001C2E69">
        <w:rPr>
          <w:rFonts w:ascii="Arial" w:hAnsi="Arial" w:cs="Arial"/>
          <w:b/>
          <w:color w:val="FF0000"/>
        </w:rPr>
        <w:lastRenderedPageBreak/>
        <w:t>(Z8) Ř</w:t>
      </w:r>
      <w:r w:rsidRPr="001C2E69">
        <w:rPr>
          <w:rFonts w:ascii="Arial" w:hAnsi="Arial" w:cs="Arial"/>
          <w:b/>
          <w:caps/>
          <w:color w:val="FF0000"/>
        </w:rPr>
        <w:t>ešené území 8 změny ÚP M je navrženo v těchto katastrálních územích</w:t>
      </w:r>
    </w:p>
    <w:tbl>
      <w:tblPr>
        <w:tblW w:w="10490" w:type="dxa"/>
        <w:jc w:val="center"/>
        <w:tblBorders>
          <w:top w:val="single" w:sz="36" w:space="0" w:color="FF0000"/>
          <w:left w:val="single" w:sz="36" w:space="0" w:color="FF0000"/>
          <w:bottom w:val="single" w:sz="36" w:space="0" w:color="FF0000"/>
          <w:right w:val="single" w:sz="36" w:space="0" w:color="FF0000"/>
          <w:insideH w:val="single" w:sz="4" w:space="0" w:color="000000"/>
          <w:insideV w:val="single" w:sz="4" w:space="0" w:color="000000"/>
        </w:tblBorders>
        <w:tblLook w:val="00A0" w:firstRow="1" w:lastRow="0" w:firstColumn="1" w:lastColumn="0" w:noHBand="0" w:noVBand="0"/>
      </w:tblPr>
      <w:tblGrid>
        <w:gridCol w:w="886"/>
        <w:gridCol w:w="2835"/>
        <w:gridCol w:w="1894"/>
        <w:gridCol w:w="1723"/>
        <w:gridCol w:w="884"/>
        <w:gridCol w:w="2268"/>
      </w:tblGrid>
      <w:tr w:rsidR="00147CEE" w:rsidRPr="00343219" w14:paraId="784B20D5" w14:textId="77777777" w:rsidTr="002D2D45">
        <w:trPr>
          <w:trHeight w:val="255"/>
          <w:tblHeader/>
          <w:jc w:val="center"/>
        </w:trPr>
        <w:tc>
          <w:tcPr>
            <w:tcW w:w="886" w:type="dxa"/>
            <w:shd w:val="clear" w:color="auto" w:fill="D9D9D9"/>
            <w:vAlign w:val="center"/>
          </w:tcPr>
          <w:p w14:paraId="65E5501A" w14:textId="77777777" w:rsidR="00147CEE" w:rsidRPr="00343219" w:rsidRDefault="00147CEE" w:rsidP="002D2D45">
            <w:pPr>
              <w:overflowPunct w:val="0"/>
              <w:autoSpaceDE w:val="0"/>
              <w:autoSpaceDN w:val="0"/>
              <w:adjustRightInd w:val="0"/>
              <w:textAlignment w:val="baseline"/>
              <w:rPr>
                <w:rFonts w:ascii="Arial" w:hAnsi="Arial" w:cs="Arial"/>
                <w:b/>
                <w:sz w:val="20"/>
                <w:szCs w:val="20"/>
              </w:rPr>
            </w:pPr>
            <w:r w:rsidRPr="00343219">
              <w:rPr>
                <w:rFonts w:ascii="Arial" w:hAnsi="Arial" w:cs="Arial"/>
                <w:b/>
                <w:sz w:val="20"/>
                <w:szCs w:val="20"/>
              </w:rPr>
              <w:t>číslo plochy</w:t>
            </w:r>
          </w:p>
        </w:tc>
        <w:tc>
          <w:tcPr>
            <w:tcW w:w="2835" w:type="dxa"/>
            <w:shd w:val="clear" w:color="auto" w:fill="D9D9D9"/>
            <w:noWrap/>
            <w:vAlign w:val="center"/>
          </w:tcPr>
          <w:p w14:paraId="293EE16B" w14:textId="77777777" w:rsidR="00147CEE" w:rsidRPr="00343219" w:rsidRDefault="00147CEE" w:rsidP="002D2D45">
            <w:pPr>
              <w:overflowPunct w:val="0"/>
              <w:autoSpaceDE w:val="0"/>
              <w:autoSpaceDN w:val="0"/>
              <w:adjustRightInd w:val="0"/>
              <w:textAlignment w:val="baseline"/>
              <w:rPr>
                <w:rFonts w:ascii="Arial" w:hAnsi="Arial" w:cs="Arial"/>
                <w:b/>
                <w:sz w:val="20"/>
                <w:szCs w:val="20"/>
              </w:rPr>
            </w:pPr>
            <w:r w:rsidRPr="00343219">
              <w:rPr>
                <w:rFonts w:ascii="Arial" w:hAnsi="Arial" w:cs="Arial"/>
                <w:b/>
                <w:sz w:val="20"/>
                <w:szCs w:val="20"/>
              </w:rPr>
              <w:t>navrhovaná funkce</w:t>
            </w:r>
          </w:p>
        </w:tc>
        <w:tc>
          <w:tcPr>
            <w:tcW w:w="1894" w:type="dxa"/>
            <w:shd w:val="clear" w:color="auto" w:fill="D9D9D9"/>
            <w:noWrap/>
            <w:vAlign w:val="center"/>
          </w:tcPr>
          <w:p w14:paraId="6C5A95E4" w14:textId="77777777" w:rsidR="00147CEE" w:rsidRPr="00343219" w:rsidRDefault="00147CEE" w:rsidP="002D2D45">
            <w:pPr>
              <w:overflowPunct w:val="0"/>
              <w:autoSpaceDE w:val="0"/>
              <w:autoSpaceDN w:val="0"/>
              <w:adjustRightInd w:val="0"/>
              <w:textAlignment w:val="baseline"/>
              <w:rPr>
                <w:rFonts w:ascii="Arial" w:hAnsi="Arial" w:cs="Arial"/>
                <w:b/>
                <w:sz w:val="20"/>
                <w:szCs w:val="20"/>
              </w:rPr>
            </w:pPr>
            <w:r w:rsidRPr="00343219">
              <w:rPr>
                <w:rFonts w:ascii="Arial" w:hAnsi="Arial" w:cs="Arial"/>
                <w:b/>
                <w:sz w:val="20"/>
                <w:szCs w:val="20"/>
              </w:rPr>
              <w:t>katastr</w:t>
            </w:r>
          </w:p>
        </w:tc>
        <w:tc>
          <w:tcPr>
            <w:tcW w:w="1723" w:type="dxa"/>
            <w:shd w:val="clear" w:color="auto" w:fill="D9D9D9"/>
            <w:vAlign w:val="center"/>
          </w:tcPr>
          <w:p w14:paraId="6A354BBA" w14:textId="77777777" w:rsidR="00147CEE" w:rsidRPr="00343219" w:rsidRDefault="00147CEE" w:rsidP="002D2D45">
            <w:pPr>
              <w:rPr>
                <w:rFonts w:ascii="Arial" w:hAnsi="Arial" w:cs="Arial"/>
                <w:b/>
                <w:sz w:val="20"/>
                <w:szCs w:val="20"/>
              </w:rPr>
            </w:pPr>
            <w:r w:rsidRPr="00343219">
              <w:rPr>
                <w:rFonts w:ascii="Arial" w:hAnsi="Arial" w:cs="Arial"/>
                <w:b/>
                <w:sz w:val="20"/>
                <w:szCs w:val="20"/>
              </w:rPr>
              <w:t>Parcela č.</w:t>
            </w:r>
          </w:p>
        </w:tc>
        <w:tc>
          <w:tcPr>
            <w:tcW w:w="884" w:type="dxa"/>
            <w:shd w:val="clear" w:color="auto" w:fill="D9D9D9"/>
            <w:noWrap/>
            <w:vAlign w:val="center"/>
          </w:tcPr>
          <w:p w14:paraId="19A7212C" w14:textId="77777777" w:rsidR="00147CEE" w:rsidRPr="00343219" w:rsidRDefault="00147CEE" w:rsidP="002D2D45">
            <w:pPr>
              <w:overflowPunct w:val="0"/>
              <w:autoSpaceDE w:val="0"/>
              <w:autoSpaceDN w:val="0"/>
              <w:adjustRightInd w:val="0"/>
              <w:textAlignment w:val="baseline"/>
              <w:rPr>
                <w:rFonts w:ascii="Arial" w:hAnsi="Arial" w:cs="Arial"/>
                <w:b/>
                <w:sz w:val="20"/>
                <w:szCs w:val="20"/>
                <w:vertAlign w:val="superscript"/>
              </w:rPr>
            </w:pPr>
            <w:r w:rsidRPr="00343219">
              <w:rPr>
                <w:rFonts w:ascii="Arial" w:hAnsi="Arial" w:cs="Arial"/>
                <w:b/>
                <w:sz w:val="20"/>
                <w:szCs w:val="20"/>
              </w:rPr>
              <w:t>plocha v m</w:t>
            </w:r>
            <w:r w:rsidRPr="00343219">
              <w:rPr>
                <w:rFonts w:ascii="Arial" w:hAnsi="Arial" w:cs="Arial"/>
                <w:b/>
                <w:sz w:val="20"/>
                <w:szCs w:val="20"/>
                <w:vertAlign w:val="superscript"/>
              </w:rPr>
              <w:t>2</w:t>
            </w:r>
          </w:p>
        </w:tc>
        <w:tc>
          <w:tcPr>
            <w:tcW w:w="2268" w:type="dxa"/>
            <w:shd w:val="clear" w:color="auto" w:fill="D9D9D9"/>
            <w:noWrap/>
            <w:vAlign w:val="center"/>
          </w:tcPr>
          <w:p w14:paraId="3BB05F77" w14:textId="77777777" w:rsidR="00147CEE" w:rsidRPr="00343219" w:rsidRDefault="00147CEE" w:rsidP="002D2D45">
            <w:pPr>
              <w:overflowPunct w:val="0"/>
              <w:autoSpaceDE w:val="0"/>
              <w:autoSpaceDN w:val="0"/>
              <w:adjustRightInd w:val="0"/>
              <w:textAlignment w:val="baseline"/>
              <w:rPr>
                <w:rFonts w:ascii="Arial" w:hAnsi="Arial" w:cs="Arial"/>
                <w:b/>
                <w:sz w:val="20"/>
                <w:szCs w:val="20"/>
              </w:rPr>
            </w:pPr>
            <w:r w:rsidRPr="00343219">
              <w:rPr>
                <w:rFonts w:ascii="Arial" w:hAnsi="Arial" w:cs="Arial"/>
                <w:b/>
                <w:sz w:val="20"/>
                <w:szCs w:val="20"/>
              </w:rPr>
              <w:t>základní členění</w:t>
            </w:r>
          </w:p>
        </w:tc>
      </w:tr>
      <w:tr w:rsidR="00147CEE" w:rsidRPr="00343219" w14:paraId="7166A236" w14:textId="77777777" w:rsidTr="002D2D45">
        <w:trPr>
          <w:trHeight w:val="255"/>
          <w:jc w:val="center"/>
        </w:trPr>
        <w:tc>
          <w:tcPr>
            <w:tcW w:w="886" w:type="dxa"/>
            <w:vAlign w:val="center"/>
          </w:tcPr>
          <w:p w14:paraId="75378BF4"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8Z-1</w:t>
            </w:r>
          </w:p>
        </w:tc>
        <w:tc>
          <w:tcPr>
            <w:tcW w:w="2835" w:type="dxa"/>
            <w:noWrap/>
            <w:vAlign w:val="center"/>
          </w:tcPr>
          <w:p w14:paraId="6F010427"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15093765" w14:textId="77777777" w:rsidR="00147CEE" w:rsidRPr="00343219" w:rsidRDefault="00147CEE" w:rsidP="002D2D45">
            <w:pPr>
              <w:rPr>
                <w:rFonts w:ascii="Arial" w:hAnsi="Arial" w:cs="Arial"/>
                <w:sz w:val="20"/>
                <w:szCs w:val="20"/>
              </w:rPr>
            </w:pPr>
            <w:r w:rsidRPr="00343219">
              <w:rPr>
                <w:rFonts w:ascii="Arial" w:hAnsi="Arial" w:cs="Arial"/>
                <w:sz w:val="20"/>
                <w:szCs w:val="20"/>
              </w:rPr>
              <w:t>Březiny u Děčína</w:t>
            </w:r>
          </w:p>
        </w:tc>
        <w:tc>
          <w:tcPr>
            <w:tcW w:w="1723" w:type="dxa"/>
            <w:vAlign w:val="center"/>
          </w:tcPr>
          <w:p w14:paraId="1D9ECE79" w14:textId="77777777" w:rsidR="00147CEE" w:rsidRPr="00343219" w:rsidRDefault="00147CEE" w:rsidP="002D2D45">
            <w:pPr>
              <w:rPr>
                <w:rFonts w:ascii="Arial" w:hAnsi="Arial" w:cs="Arial"/>
                <w:sz w:val="20"/>
                <w:szCs w:val="20"/>
              </w:rPr>
            </w:pPr>
            <w:r w:rsidRPr="00343219">
              <w:rPr>
                <w:rFonts w:ascii="Arial" w:hAnsi="Arial" w:cs="Arial"/>
                <w:sz w:val="20"/>
                <w:szCs w:val="20"/>
              </w:rPr>
              <w:t>455</w:t>
            </w:r>
          </w:p>
        </w:tc>
        <w:tc>
          <w:tcPr>
            <w:tcW w:w="884" w:type="dxa"/>
            <w:noWrap/>
            <w:vAlign w:val="center"/>
          </w:tcPr>
          <w:p w14:paraId="7063B4F2"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215</w:t>
            </w:r>
          </w:p>
        </w:tc>
        <w:tc>
          <w:tcPr>
            <w:tcW w:w="2268" w:type="dxa"/>
            <w:noWrap/>
            <w:vAlign w:val="center"/>
          </w:tcPr>
          <w:p w14:paraId="3C21A292"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přestavbová plocha</w:t>
            </w:r>
          </w:p>
        </w:tc>
      </w:tr>
      <w:tr w:rsidR="00147CEE" w:rsidRPr="00343219" w14:paraId="79B20F2C" w14:textId="77777777" w:rsidTr="002D2D45">
        <w:trPr>
          <w:trHeight w:val="255"/>
          <w:jc w:val="center"/>
        </w:trPr>
        <w:tc>
          <w:tcPr>
            <w:tcW w:w="886" w:type="dxa"/>
            <w:vAlign w:val="center"/>
          </w:tcPr>
          <w:p w14:paraId="0969F665" w14:textId="77777777" w:rsidR="00147CEE" w:rsidRPr="00343219" w:rsidRDefault="00147CEE" w:rsidP="002D2D45">
            <w:pPr>
              <w:jc w:val="center"/>
              <w:rPr>
                <w:rFonts w:ascii="Arial" w:hAnsi="Arial" w:cs="Arial"/>
                <w:b/>
                <w:sz w:val="20"/>
                <w:szCs w:val="20"/>
                <w:vertAlign w:val="superscript"/>
              </w:rPr>
            </w:pPr>
            <w:r w:rsidRPr="00343219">
              <w:rPr>
                <w:rFonts w:ascii="Arial" w:hAnsi="Arial" w:cs="Arial"/>
                <w:b/>
                <w:sz w:val="20"/>
                <w:szCs w:val="20"/>
              </w:rPr>
              <w:t>8Z-2</w:t>
            </w:r>
          </w:p>
        </w:tc>
        <w:tc>
          <w:tcPr>
            <w:tcW w:w="2835" w:type="dxa"/>
            <w:noWrap/>
            <w:vAlign w:val="center"/>
          </w:tcPr>
          <w:p w14:paraId="411E2F13"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3E00B016" w14:textId="77777777" w:rsidR="00147CEE" w:rsidRPr="00343219" w:rsidRDefault="00147CEE" w:rsidP="002D2D45">
            <w:pPr>
              <w:rPr>
                <w:rFonts w:ascii="Arial" w:hAnsi="Arial" w:cs="Arial"/>
                <w:sz w:val="20"/>
                <w:szCs w:val="20"/>
              </w:rPr>
            </w:pPr>
            <w:r w:rsidRPr="00343219">
              <w:rPr>
                <w:rFonts w:ascii="Arial" w:hAnsi="Arial" w:cs="Arial"/>
                <w:sz w:val="20"/>
                <w:szCs w:val="20"/>
              </w:rPr>
              <w:t>Vilsnice</w:t>
            </w:r>
          </w:p>
        </w:tc>
        <w:tc>
          <w:tcPr>
            <w:tcW w:w="1723" w:type="dxa"/>
            <w:vAlign w:val="center"/>
          </w:tcPr>
          <w:p w14:paraId="3B702112" w14:textId="77777777" w:rsidR="00147CEE" w:rsidRPr="00343219" w:rsidRDefault="00147CEE" w:rsidP="002D2D45">
            <w:pPr>
              <w:rPr>
                <w:rFonts w:ascii="Arial" w:hAnsi="Arial" w:cs="Arial"/>
                <w:sz w:val="20"/>
                <w:szCs w:val="20"/>
              </w:rPr>
            </w:pPr>
            <w:r w:rsidRPr="00343219">
              <w:rPr>
                <w:rFonts w:ascii="Arial" w:hAnsi="Arial" w:cs="Arial"/>
                <w:sz w:val="20"/>
                <w:szCs w:val="20"/>
              </w:rPr>
              <w:t>125, 94, 129</w:t>
            </w:r>
          </w:p>
        </w:tc>
        <w:tc>
          <w:tcPr>
            <w:tcW w:w="884" w:type="dxa"/>
            <w:noWrap/>
            <w:vAlign w:val="center"/>
          </w:tcPr>
          <w:p w14:paraId="57B18AA7"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22267</w:t>
            </w:r>
          </w:p>
        </w:tc>
        <w:tc>
          <w:tcPr>
            <w:tcW w:w="2268" w:type="dxa"/>
            <w:noWrap/>
            <w:vAlign w:val="center"/>
          </w:tcPr>
          <w:p w14:paraId="5120FDB6"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1C49D808" w14:textId="77777777" w:rsidTr="002D2D45">
        <w:trPr>
          <w:trHeight w:val="255"/>
          <w:jc w:val="center"/>
        </w:trPr>
        <w:tc>
          <w:tcPr>
            <w:tcW w:w="886" w:type="dxa"/>
            <w:vAlign w:val="center"/>
          </w:tcPr>
          <w:p w14:paraId="3EFD05F1"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8Z-3</w:t>
            </w:r>
          </w:p>
        </w:tc>
        <w:tc>
          <w:tcPr>
            <w:tcW w:w="2835" w:type="dxa"/>
            <w:noWrap/>
            <w:vAlign w:val="center"/>
          </w:tcPr>
          <w:p w14:paraId="0BD9CB3E"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3D56B116" w14:textId="77777777" w:rsidR="00147CEE" w:rsidRPr="00343219" w:rsidRDefault="00147CEE" w:rsidP="002D2D45">
            <w:pPr>
              <w:rPr>
                <w:rFonts w:ascii="Arial" w:hAnsi="Arial" w:cs="Arial"/>
                <w:sz w:val="20"/>
                <w:szCs w:val="20"/>
              </w:rPr>
            </w:pPr>
            <w:r w:rsidRPr="00343219">
              <w:rPr>
                <w:rFonts w:ascii="Arial" w:hAnsi="Arial" w:cs="Arial"/>
                <w:sz w:val="20"/>
                <w:szCs w:val="20"/>
              </w:rPr>
              <w:t>Vilsnice</w:t>
            </w:r>
          </w:p>
        </w:tc>
        <w:tc>
          <w:tcPr>
            <w:tcW w:w="1723" w:type="dxa"/>
            <w:vAlign w:val="center"/>
          </w:tcPr>
          <w:p w14:paraId="41D46F3C" w14:textId="77777777" w:rsidR="00147CEE" w:rsidRPr="00343219" w:rsidRDefault="00147CEE" w:rsidP="002D2D45">
            <w:pPr>
              <w:rPr>
                <w:rFonts w:ascii="Arial" w:hAnsi="Arial" w:cs="Arial"/>
                <w:sz w:val="20"/>
                <w:szCs w:val="20"/>
              </w:rPr>
            </w:pPr>
            <w:r w:rsidRPr="00343219">
              <w:rPr>
                <w:rFonts w:ascii="Arial" w:hAnsi="Arial" w:cs="Arial"/>
                <w:sz w:val="20"/>
                <w:szCs w:val="20"/>
              </w:rPr>
              <w:t>199/1, 173</w:t>
            </w:r>
          </w:p>
        </w:tc>
        <w:tc>
          <w:tcPr>
            <w:tcW w:w="884" w:type="dxa"/>
            <w:noWrap/>
            <w:vAlign w:val="center"/>
          </w:tcPr>
          <w:p w14:paraId="0DBC2D43"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10011</w:t>
            </w:r>
          </w:p>
        </w:tc>
        <w:tc>
          <w:tcPr>
            <w:tcW w:w="2268" w:type="dxa"/>
            <w:noWrap/>
            <w:vAlign w:val="center"/>
          </w:tcPr>
          <w:p w14:paraId="07211C5D"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zastavitelná plocha </w:t>
            </w:r>
          </w:p>
        </w:tc>
      </w:tr>
      <w:tr w:rsidR="00147CEE" w:rsidRPr="00343219" w14:paraId="1D9DE2E8" w14:textId="77777777" w:rsidTr="002D2D45">
        <w:trPr>
          <w:trHeight w:val="255"/>
          <w:jc w:val="center"/>
        </w:trPr>
        <w:tc>
          <w:tcPr>
            <w:tcW w:w="886" w:type="dxa"/>
            <w:vAlign w:val="center"/>
          </w:tcPr>
          <w:p w14:paraId="57F15FE1"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8Z-6</w:t>
            </w:r>
          </w:p>
        </w:tc>
        <w:tc>
          <w:tcPr>
            <w:tcW w:w="2835" w:type="dxa"/>
            <w:noWrap/>
            <w:vAlign w:val="center"/>
          </w:tcPr>
          <w:p w14:paraId="61F824AF"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07A447A3" w14:textId="77777777" w:rsidR="00147CEE" w:rsidRPr="00343219" w:rsidRDefault="00147CEE" w:rsidP="002D2D45">
            <w:pPr>
              <w:rPr>
                <w:rFonts w:ascii="Arial" w:hAnsi="Arial" w:cs="Arial"/>
                <w:sz w:val="20"/>
                <w:szCs w:val="20"/>
              </w:rPr>
            </w:pPr>
            <w:r w:rsidRPr="00343219">
              <w:rPr>
                <w:rFonts w:ascii="Arial" w:hAnsi="Arial" w:cs="Arial"/>
                <w:sz w:val="20"/>
                <w:szCs w:val="20"/>
              </w:rPr>
              <w:t>Horní Oldřichov</w:t>
            </w:r>
          </w:p>
        </w:tc>
        <w:tc>
          <w:tcPr>
            <w:tcW w:w="1723" w:type="dxa"/>
            <w:vAlign w:val="center"/>
          </w:tcPr>
          <w:p w14:paraId="445CE792" w14:textId="77777777" w:rsidR="00147CEE" w:rsidRPr="00343219" w:rsidRDefault="00147CEE" w:rsidP="002D2D45">
            <w:pPr>
              <w:rPr>
                <w:rFonts w:ascii="Arial" w:hAnsi="Arial" w:cs="Arial"/>
                <w:sz w:val="20"/>
                <w:szCs w:val="20"/>
              </w:rPr>
            </w:pPr>
            <w:r w:rsidRPr="00343219">
              <w:rPr>
                <w:rFonts w:ascii="Arial" w:hAnsi="Arial" w:cs="Arial"/>
                <w:sz w:val="20"/>
                <w:szCs w:val="20"/>
              </w:rPr>
              <w:t>899/8</w:t>
            </w:r>
          </w:p>
        </w:tc>
        <w:tc>
          <w:tcPr>
            <w:tcW w:w="884" w:type="dxa"/>
            <w:noWrap/>
            <w:vAlign w:val="center"/>
          </w:tcPr>
          <w:p w14:paraId="3B2C9E16"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1405</w:t>
            </w:r>
          </w:p>
        </w:tc>
        <w:tc>
          <w:tcPr>
            <w:tcW w:w="2268" w:type="dxa"/>
            <w:noWrap/>
            <w:vAlign w:val="center"/>
          </w:tcPr>
          <w:p w14:paraId="39B987DC"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2D217A94" w14:textId="77777777" w:rsidTr="002D2D45">
        <w:trPr>
          <w:trHeight w:val="255"/>
          <w:jc w:val="center"/>
        </w:trPr>
        <w:tc>
          <w:tcPr>
            <w:tcW w:w="886" w:type="dxa"/>
            <w:vAlign w:val="center"/>
          </w:tcPr>
          <w:p w14:paraId="4D16ABE8"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8Z-7</w:t>
            </w:r>
          </w:p>
        </w:tc>
        <w:tc>
          <w:tcPr>
            <w:tcW w:w="2835" w:type="dxa"/>
            <w:noWrap/>
            <w:vAlign w:val="center"/>
          </w:tcPr>
          <w:p w14:paraId="79CDC403"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65E59409" w14:textId="77777777" w:rsidR="00147CEE" w:rsidRPr="00343219" w:rsidRDefault="00147CEE" w:rsidP="002D2D45">
            <w:pPr>
              <w:rPr>
                <w:rFonts w:ascii="Arial" w:hAnsi="Arial" w:cs="Arial"/>
                <w:sz w:val="20"/>
                <w:szCs w:val="20"/>
              </w:rPr>
            </w:pPr>
            <w:r w:rsidRPr="00343219">
              <w:rPr>
                <w:rFonts w:ascii="Arial" w:hAnsi="Arial" w:cs="Arial"/>
                <w:sz w:val="20"/>
                <w:szCs w:val="20"/>
              </w:rPr>
              <w:t>Vilsnice</w:t>
            </w:r>
          </w:p>
        </w:tc>
        <w:tc>
          <w:tcPr>
            <w:tcW w:w="1723" w:type="dxa"/>
            <w:vAlign w:val="center"/>
          </w:tcPr>
          <w:p w14:paraId="336CFB4E" w14:textId="77777777" w:rsidR="00147CEE" w:rsidRPr="00343219" w:rsidRDefault="00147CEE" w:rsidP="002D2D45">
            <w:pPr>
              <w:rPr>
                <w:rFonts w:ascii="Arial" w:hAnsi="Arial" w:cs="Arial"/>
                <w:sz w:val="20"/>
                <w:szCs w:val="20"/>
              </w:rPr>
            </w:pPr>
            <w:r w:rsidRPr="00343219">
              <w:rPr>
                <w:rFonts w:ascii="Arial" w:hAnsi="Arial" w:cs="Arial"/>
                <w:sz w:val="20"/>
                <w:szCs w:val="20"/>
              </w:rPr>
              <w:t>527/8</w:t>
            </w:r>
          </w:p>
        </w:tc>
        <w:tc>
          <w:tcPr>
            <w:tcW w:w="884" w:type="dxa"/>
            <w:noWrap/>
            <w:vAlign w:val="center"/>
          </w:tcPr>
          <w:p w14:paraId="76F1B799"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1340</w:t>
            </w:r>
          </w:p>
        </w:tc>
        <w:tc>
          <w:tcPr>
            <w:tcW w:w="2268" w:type="dxa"/>
            <w:noWrap/>
            <w:vAlign w:val="center"/>
          </w:tcPr>
          <w:p w14:paraId="321D67BD"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047035F6" w14:textId="77777777" w:rsidTr="002D2D45">
        <w:trPr>
          <w:trHeight w:val="255"/>
          <w:jc w:val="center"/>
        </w:trPr>
        <w:tc>
          <w:tcPr>
            <w:tcW w:w="886" w:type="dxa"/>
            <w:vAlign w:val="center"/>
          </w:tcPr>
          <w:p w14:paraId="78684D17"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8Z-8</w:t>
            </w:r>
          </w:p>
        </w:tc>
        <w:tc>
          <w:tcPr>
            <w:tcW w:w="2835" w:type="dxa"/>
            <w:noWrap/>
            <w:vAlign w:val="center"/>
          </w:tcPr>
          <w:p w14:paraId="54625694"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5BA042E8" w14:textId="77777777" w:rsidR="00147CEE" w:rsidRPr="00343219" w:rsidRDefault="00147CEE" w:rsidP="002D2D45">
            <w:pPr>
              <w:rPr>
                <w:rFonts w:ascii="Arial" w:hAnsi="Arial" w:cs="Arial"/>
                <w:sz w:val="20"/>
                <w:szCs w:val="20"/>
              </w:rPr>
            </w:pPr>
            <w:r w:rsidRPr="00343219">
              <w:rPr>
                <w:rFonts w:ascii="Arial" w:hAnsi="Arial" w:cs="Arial"/>
                <w:sz w:val="20"/>
                <w:szCs w:val="20"/>
              </w:rPr>
              <w:t>Horní Oldřichov</w:t>
            </w:r>
          </w:p>
        </w:tc>
        <w:tc>
          <w:tcPr>
            <w:tcW w:w="1723" w:type="dxa"/>
            <w:vAlign w:val="center"/>
          </w:tcPr>
          <w:p w14:paraId="2E33A1A3" w14:textId="77777777" w:rsidR="00147CEE" w:rsidRPr="00343219" w:rsidRDefault="00147CEE" w:rsidP="002D2D45">
            <w:pPr>
              <w:rPr>
                <w:rFonts w:ascii="Arial" w:hAnsi="Arial" w:cs="Arial"/>
                <w:sz w:val="20"/>
                <w:szCs w:val="20"/>
              </w:rPr>
            </w:pPr>
            <w:r w:rsidRPr="00343219">
              <w:rPr>
                <w:rFonts w:ascii="Arial" w:hAnsi="Arial" w:cs="Arial"/>
                <w:sz w:val="20"/>
                <w:szCs w:val="20"/>
              </w:rPr>
              <w:t>1365/5</w:t>
            </w:r>
          </w:p>
        </w:tc>
        <w:tc>
          <w:tcPr>
            <w:tcW w:w="884" w:type="dxa"/>
            <w:noWrap/>
            <w:vAlign w:val="center"/>
          </w:tcPr>
          <w:p w14:paraId="0DCCBE83"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1204</w:t>
            </w:r>
          </w:p>
        </w:tc>
        <w:tc>
          <w:tcPr>
            <w:tcW w:w="2268" w:type="dxa"/>
            <w:noWrap/>
            <w:vAlign w:val="center"/>
          </w:tcPr>
          <w:p w14:paraId="02B56855"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3E2C677C" w14:textId="77777777" w:rsidTr="002D2D45">
        <w:trPr>
          <w:trHeight w:val="300"/>
          <w:jc w:val="center"/>
        </w:trPr>
        <w:tc>
          <w:tcPr>
            <w:tcW w:w="886" w:type="dxa"/>
            <w:vAlign w:val="center"/>
          </w:tcPr>
          <w:p w14:paraId="5FD2D0DF"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8Z-10</w:t>
            </w:r>
          </w:p>
        </w:tc>
        <w:tc>
          <w:tcPr>
            <w:tcW w:w="2835" w:type="dxa"/>
            <w:noWrap/>
            <w:vAlign w:val="center"/>
          </w:tcPr>
          <w:p w14:paraId="35A3D5D1"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Plochy rekreace</w:t>
            </w:r>
          </w:p>
        </w:tc>
        <w:tc>
          <w:tcPr>
            <w:tcW w:w="1894" w:type="dxa"/>
            <w:noWrap/>
            <w:vAlign w:val="center"/>
          </w:tcPr>
          <w:p w14:paraId="694E832C" w14:textId="77777777" w:rsidR="00147CEE" w:rsidRPr="00343219" w:rsidRDefault="00147CEE" w:rsidP="002D2D45">
            <w:pPr>
              <w:rPr>
                <w:rFonts w:ascii="Arial" w:hAnsi="Arial" w:cs="Arial"/>
                <w:sz w:val="20"/>
                <w:szCs w:val="20"/>
              </w:rPr>
            </w:pPr>
            <w:r w:rsidRPr="00343219">
              <w:rPr>
                <w:rFonts w:ascii="Arial" w:hAnsi="Arial" w:cs="Arial"/>
                <w:sz w:val="20"/>
                <w:szCs w:val="20"/>
              </w:rPr>
              <w:t>Březiny u Děčína</w:t>
            </w:r>
          </w:p>
        </w:tc>
        <w:tc>
          <w:tcPr>
            <w:tcW w:w="1723" w:type="dxa"/>
            <w:vAlign w:val="center"/>
          </w:tcPr>
          <w:p w14:paraId="040B1D6F" w14:textId="77777777" w:rsidR="00147CEE" w:rsidRPr="00343219" w:rsidRDefault="00147CEE" w:rsidP="002D2D45">
            <w:pPr>
              <w:rPr>
                <w:rFonts w:ascii="Arial" w:hAnsi="Arial" w:cs="Arial"/>
                <w:sz w:val="20"/>
                <w:szCs w:val="20"/>
              </w:rPr>
            </w:pPr>
            <w:r w:rsidRPr="00343219">
              <w:rPr>
                <w:rFonts w:ascii="Arial" w:hAnsi="Arial" w:cs="Arial"/>
                <w:sz w:val="20"/>
                <w:szCs w:val="20"/>
              </w:rPr>
              <w:t>297/3</w:t>
            </w:r>
          </w:p>
        </w:tc>
        <w:tc>
          <w:tcPr>
            <w:tcW w:w="884" w:type="dxa"/>
            <w:noWrap/>
            <w:vAlign w:val="center"/>
          </w:tcPr>
          <w:p w14:paraId="3974D4C3"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2358</w:t>
            </w:r>
          </w:p>
        </w:tc>
        <w:tc>
          <w:tcPr>
            <w:tcW w:w="2268" w:type="dxa"/>
            <w:noWrap/>
            <w:vAlign w:val="center"/>
          </w:tcPr>
          <w:p w14:paraId="52130179"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1B4418D5" w14:textId="77777777" w:rsidTr="002D2D45">
        <w:trPr>
          <w:trHeight w:val="300"/>
          <w:jc w:val="center"/>
        </w:trPr>
        <w:tc>
          <w:tcPr>
            <w:tcW w:w="886" w:type="dxa"/>
            <w:vAlign w:val="center"/>
          </w:tcPr>
          <w:p w14:paraId="488AC26F"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8Z-11</w:t>
            </w:r>
          </w:p>
        </w:tc>
        <w:tc>
          <w:tcPr>
            <w:tcW w:w="2835" w:type="dxa"/>
            <w:noWrap/>
            <w:vAlign w:val="center"/>
          </w:tcPr>
          <w:p w14:paraId="0E51F39E"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78FBBF53" w14:textId="77777777" w:rsidR="00147CEE" w:rsidRPr="00343219" w:rsidRDefault="00147CEE" w:rsidP="002D2D45">
            <w:pPr>
              <w:rPr>
                <w:rFonts w:ascii="Arial" w:hAnsi="Arial" w:cs="Arial"/>
                <w:sz w:val="20"/>
                <w:szCs w:val="20"/>
              </w:rPr>
            </w:pPr>
            <w:r w:rsidRPr="00343219">
              <w:rPr>
                <w:rFonts w:ascii="Arial" w:hAnsi="Arial" w:cs="Arial"/>
                <w:sz w:val="20"/>
                <w:szCs w:val="20"/>
              </w:rPr>
              <w:t>Podmokly</w:t>
            </w:r>
          </w:p>
        </w:tc>
        <w:tc>
          <w:tcPr>
            <w:tcW w:w="1723" w:type="dxa"/>
            <w:vAlign w:val="center"/>
          </w:tcPr>
          <w:p w14:paraId="6CE7C591" w14:textId="77777777" w:rsidR="00147CEE" w:rsidRPr="00343219" w:rsidRDefault="00147CEE" w:rsidP="002D2D45">
            <w:pPr>
              <w:rPr>
                <w:rFonts w:ascii="Arial" w:hAnsi="Arial" w:cs="Arial"/>
                <w:sz w:val="20"/>
                <w:szCs w:val="20"/>
              </w:rPr>
            </w:pPr>
            <w:r w:rsidRPr="00343219">
              <w:rPr>
                <w:rFonts w:ascii="Arial" w:hAnsi="Arial" w:cs="Arial"/>
                <w:sz w:val="20"/>
                <w:szCs w:val="20"/>
              </w:rPr>
              <w:t>1384/5, /1, /3, /4</w:t>
            </w:r>
          </w:p>
        </w:tc>
        <w:tc>
          <w:tcPr>
            <w:tcW w:w="884" w:type="dxa"/>
            <w:noWrap/>
            <w:vAlign w:val="center"/>
          </w:tcPr>
          <w:p w14:paraId="1293339B"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1112</w:t>
            </w:r>
          </w:p>
        </w:tc>
        <w:tc>
          <w:tcPr>
            <w:tcW w:w="2268" w:type="dxa"/>
            <w:noWrap/>
            <w:vAlign w:val="center"/>
          </w:tcPr>
          <w:p w14:paraId="342F7263"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2FB1154E" w14:textId="77777777" w:rsidTr="002D2D45">
        <w:trPr>
          <w:trHeight w:val="255"/>
          <w:jc w:val="center"/>
        </w:trPr>
        <w:tc>
          <w:tcPr>
            <w:tcW w:w="886" w:type="dxa"/>
            <w:vAlign w:val="center"/>
          </w:tcPr>
          <w:p w14:paraId="1E796731"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8Z-12</w:t>
            </w:r>
          </w:p>
        </w:tc>
        <w:tc>
          <w:tcPr>
            <w:tcW w:w="2835" w:type="dxa"/>
            <w:noWrap/>
            <w:vAlign w:val="center"/>
          </w:tcPr>
          <w:p w14:paraId="3278850A"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549499FD" w14:textId="77777777" w:rsidR="00147CEE" w:rsidRPr="00343219" w:rsidRDefault="00147CEE" w:rsidP="002D2D45">
            <w:pPr>
              <w:rPr>
                <w:rFonts w:ascii="Arial" w:hAnsi="Arial" w:cs="Arial"/>
                <w:sz w:val="20"/>
                <w:szCs w:val="20"/>
              </w:rPr>
            </w:pPr>
            <w:r w:rsidRPr="00343219">
              <w:rPr>
                <w:rFonts w:ascii="Arial" w:hAnsi="Arial" w:cs="Arial"/>
                <w:sz w:val="20"/>
                <w:szCs w:val="20"/>
              </w:rPr>
              <w:t>Vilsnice</w:t>
            </w:r>
          </w:p>
        </w:tc>
        <w:tc>
          <w:tcPr>
            <w:tcW w:w="1723" w:type="dxa"/>
            <w:vAlign w:val="center"/>
          </w:tcPr>
          <w:p w14:paraId="63E45214" w14:textId="77777777" w:rsidR="00147CEE" w:rsidRPr="00343219" w:rsidRDefault="00147CEE" w:rsidP="002D2D45">
            <w:pPr>
              <w:rPr>
                <w:rFonts w:ascii="Arial" w:hAnsi="Arial" w:cs="Arial"/>
                <w:sz w:val="20"/>
                <w:szCs w:val="20"/>
              </w:rPr>
            </w:pPr>
            <w:r w:rsidRPr="00343219">
              <w:rPr>
                <w:rFonts w:ascii="Arial" w:hAnsi="Arial" w:cs="Arial"/>
                <w:sz w:val="20"/>
                <w:szCs w:val="20"/>
              </w:rPr>
              <w:t>169/2, 172</w:t>
            </w:r>
          </w:p>
        </w:tc>
        <w:tc>
          <w:tcPr>
            <w:tcW w:w="884" w:type="dxa"/>
            <w:noWrap/>
            <w:vAlign w:val="center"/>
          </w:tcPr>
          <w:p w14:paraId="492DBAEE"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1443</w:t>
            </w:r>
          </w:p>
        </w:tc>
        <w:tc>
          <w:tcPr>
            <w:tcW w:w="2268" w:type="dxa"/>
            <w:noWrap/>
            <w:vAlign w:val="center"/>
          </w:tcPr>
          <w:p w14:paraId="7A692B5A"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zastavitelná plocha </w:t>
            </w:r>
          </w:p>
        </w:tc>
      </w:tr>
      <w:tr w:rsidR="00147CEE" w:rsidRPr="00343219" w14:paraId="65111065" w14:textId="77777777" w:rsidTr="002D2D45">
        <w:trPr>
          <w:trHeight w:val="255"/>
          <w:jc w:val="center"/>
        </w:trPr>
        <w:tc>
          <w:tcPr>
            <w:tcW w:w="886" w:type="dxa"/>
            <w:vAlign w:val="center"/>
          </w:tcPr>
          <w:p w14:paraId="378B23AF"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8Z-13</w:t>
            </w:r>
          </w:p>
        </w:tc>
        <w:tc>
          <w:tcPr>
            <w:tcW w:w="2835" w:type="dxa"/>
            <w:noWrap/>
            <w:vAlign w:val="center"/>
          </w:tcPr>
          <w:p w14:paraId="6FE4BBF3"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350B4F24" w14:textId="77777777" w:rsidR="00147CEE" w:rsidRPr="00343219" w:rsidRDefault="00147CEE" w:rsidP="002D2D45">
            <w:pPr>
              <w:rPr>
                <w:rFonts w:ascii="Arial" w:hAnsi="Arial" w:cs="Arial"/>
                <w:sz w:val="20"/>
                <w:szCs w:val="20"/>
              </w:rPr>
            </w:pPr>
            <w:r w:rsidRPr="00343219">
              <w:rPr>
                <w:rFonts w:ascii="Arial" w:hAnsi="Arial" w:cs="Arial"/>
                <w:sz w:val="20"/>
                <w:szCs w:val="20"/>
              </w:rPr>
              <w:t>Nebočady</w:t>
            </w:r>
          </w:p>
        </w:tc>
        <w:tc>
          <w:tcPr>
            <w:tcW w:w="1723" w:type="dxa"/>
            <w:vAlign w:val="center"/>
          </w:tcPr>
          <w:p w14:paraId="0DE7E748" w14:textId="77777777" w:rsidR="00147CEE" w:rsidRPr="00343219" w:rsidRDefault="00147CEE" w:rsidP="002D2D45">
            <w:pPr>
              <w:rPr>
                <w:rFonts w:ascii="Arial" w:hAnsi="Arial" w:cs="Arial"/>
                <w:sz w:val="20"/>
                <w:szCs w:val="20"/>
              </w:rPr>
            </w:pPr>
            <w:r w:rsidRPr="00343219">
              <w:rPr>
                <w:rFonts w:ascii="Arial" w:hAnsi="Arial" w:cs="Arial"/>
                <w:sz w:val="20"/>
                <w:szCs w:val="20"/>
              </w:rPr>
              <w:t>282, 280/2, /3, /4, 279/1, /2</w:t>
            </w:r>
          </w:p>
        </w:tc>
        <w:tc>
          <w:tcPr>
            <w:tcW w:w="884" w:type="dxa"/>
            <w:noWrap/>
            <w:vAlign w:val="center"/>
          </w:tcPr>
          <w:p w14:paraId="14A06869"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fldChar w:fldCharType="begin"/>
            </w:r>
            <w:r w:rsidRPr="00343219">
              <w:rPr>
                <w:rFonts w:ascii="Arial" w:hAnsi="Arial" w:cs="Arial"/>
                <w:sz w:val="20"/>
                <w:szCs w:val="20"/>
              </w:rPr>
              <w:instrText xml:space="preserve"> =SUM(ABOVE) </w:instrText>
            </w:r>
            <w:r w:rsidRPr="00343219">
              <w:rPr>
                <w:rFonts w:ascii="Arial" w:hAnsi="Arial" w:cs="Arial"/>
                <w:sz w:val="20"/>
                <w:szCs w:val="20"/>
              </w:rPr>
              <w:fldChar w:fldCharType="separate"/>
            </w:r>
            <w:r w:rsidRPr="00343219">
              <w:rPr>
                <w:rFonts w:ascii="Arial" w:hAnsi="Arial" w:cs="Arial"/>
                <w:noProof/>
                <w:sz w:val="20"/>
                <w:szCs w:val="20"/>
              </w:rPr>
              <w:t>17062</w:t>
            </w:r>
            <w:r w:rsidRPr="00343219">
              <w:rPr>
                <w:rFonts w:ascii="Arial" w:hAnsi="Arial" w:cs="Arial"/>
                <w:sz w:val="20"/>
                <w:szCs w:val="20"/>
              </w:rPr>
              <w:fldChar w:fldCharType="end"/>
            </w:r>
          </w:p>
        </w:tc>
        <w:tc>
          <w:tcPr>
            <w:tcW w:w="2268" w:type="dxa"/>
            <w:noWrap/>
            <w:vAlign w:val="center"/>
          </w:tcPr>
          <w:p w14:paraId="68D240E9"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5BE532DC" w14:textId="77777777" w:rsidTr="002D2D45">
        <w:trPr>
          <w:trHeight w:val="255"/>
          <w:jc w:val="center"/>
        </w:trPr>
        <w:tc>
          <w:tcPr>
            <w:tcW w:w="886" w:type="dxa"/>
            <w:vAlign w:val="center"/>
          </w:tcPr>
          <w:p w14:paraId="5AAEE628"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8Z-15</w:t>
            </w:r>
          </w:p>
        </w:tc>
        <w:tc>
          <w:tcPr>
            <w:tcW w:w="2835" w:type="dxa"/>
            <w:noWrap/>
            <w:vAlign w:val="center"/>
          </w:tcPr>
          <w:p w14:paraId="02C062DA"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Plochy RD venkovského typu</w:t>
            </w:r>
          </w:p>
        </w:tc>
        <w:tc>
          <w:tcPr>
            <w:tcW w:w="1894" w:type="dxa"/>
            <w:noWrap/>
            <w:vAlign w:val="center"/>
          </w:tcPr>
          <w:p w14:paraId="299D0243" w14:textId="77777777" w:rsidR="00147CEE" w:rsidRPr="00343219" w:rsidRDefault="00147CEE" w:rsidP="002D2D45">
            <w:pPr>
              <w:rPr>
                <w:rFonts w:ascii="Arial" w:hAnsi="Arial" w:cs="Arial"/>
                <w:sz w:val="20"/>
                <w:szCs w:val="20"/>
              </w:rPr>
            </w:pPr>
            <w:r w:rsidRPr="00343219">
              <w:rPr>
                <w:rFonts w:ascii="Arial" w:hAnsi="Arial" w:cs="Arial"/>
                <w:sz w:val="20"/>
                <w:szCs w:val="20"/>
              </w:rPr>
              <w:t>Březiny u Děčína</w:t>
            </w:r>
          </w:p>
        </w:tc>
        <w:tc>
          <w:tcPr>
            <w:tcW w:w="1723" w:type="dxa"/>
            <w:vAlign w:val="center"/>
          </w:tcPr>
          <w:p w14:paraId="076C9F9C" w14:textId="77777777" w:rsidR="00147CEE" w:rsidRPr="00343219" w:rsidRDefault="00147CEE" w:rsidP="002D2D45">
            <w:pPr>
              <w:rPr>
                <w:rFonts w:ascii="Arial" w:hAnsi="Arial" w:cs="Arial"/>
                <w:sz w:val="20"/>
                <w:szCs w:val="20"/>
              </w:rPr>
            </w:pPr>
            <w:r w:rsidRPr="00343219">
              <w:rPr>
                <w:rFonts w:ascii="Arial" w:hAnsi="Arial" w:cs="Arial"/>
                <w:sz w:val="20"/>
                <w:szCs w:val="20"/>
              </w:rPr>
              <w:t>151</w:t>
            </w:r>
          </w:p>
        </w:tc>
        <w:tc>
          <w:tcPr>
            <w:tcW w:w="884" w:type="dxa"/>
            <w:noWrap/>
            <w:vAlign w:val="center"/>
          </w:tcPr>
          <w:p w14:paraId="6D33D0ED"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1334</w:t>
            </w:r>
          </w:p>
        </w:tc>
        <w:tc>
          <w:tcPr>
            <w:tcW w:w="2268" w:type="dxa"/>
            <w:noWrap/>
            <w:vAlign w:val="center"/>
          </w:tcPr>
          <w:p w14:paraId="77E30935"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73B4422C" w14:textId="77777777" w:rsidTr="002D2D45">
        <w:trPr>
          <w:trHeight w:val="255"/>
          <w:jc w:val="center"/>
        </w:trPr>
        <w:tc>
          <w:tcPr>
            <w:tcW w:w="886" w:type="dxa"/>
            <w:vAlign w:val="center"/>
          </w:tcPr>
          <w:p w14:paraId="02DCFE76"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8Z-16</w:t>
            </w:r>
          </w:p>
        </w:tc>
        <w:tc>
          <w:tcPr>
            <w:tcW w:w="2835" w:type="dxa"/>
            <w:noWrap/>
            <w:vAlign w:val="center"/>
          </w:tcPr>
          <w:p w14:paraId="731AB4DA"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občanské vybavení.</w:t>
            </w:r>
          </w:p>
        </w:tc>
        <w:tc>
          <w:tcPr>
            <w:tcW w:w="1894" w:type="dxa"/>
            <w:noWrap/>
            <w:vAlign w:val="center"/>
          </w:tcPr>
          <w:p w14:paraId="6299140B" w14:textId="77777777" w:rsidR="00147CEE" w:rsidRPr="00343219" w:rsidRDefault="00147CEE" w:rsidP="002D2D45">
            <w:pPr>
              <w:rPr>
                <w:rFonts w:ascii="Arial" w:hAnsi="Arial" w:cs="Arial"/>
                <w:sz w:val="20"/>
                <w:szCs w:val="20"/>
              </w:rPr>
            </w:pPr>
            <w:r w:rsidRPr="00343219">
              <w:rPr>
                <w:rFonts w:ascii="Arial" w:hAnsi="Arial" w:cs="Arial"/>
                <w:sz w:val="20"/>
                <w:szCs w:val="20"/>
              </w:rPr>
              <w:t>Podmokly</w:t>
            </w:r>
          </w:p>
        </w:tc>
        <w:tc>
          <w:tcPr>
            <w:tcW w:w="1723" w:type="dxa"/>
            <w:vAlign w:val="center"/>
          </w:tcPr>
          <w:p w14:paraId="25A2DCB7" w14:textId="77777777" w:rsidR="00147CEE" w:rsidRPr="00343219" w:rsidRDefault="00147CEE" w:rsidP="002D2D45">
            <w:pPr>
              <w:rPr>
                <w:rFonts w:ascii="Arial" w:hAnsi="Arial" w:cs="Arial"/>
                <w:sz w:val="20"/>
                <w:szCs w:val="20"/>
              </w:rPr>
            </w:pPr>
            <w:r w:rsidRPr="00343219">
              <w:rPr>
                <w:rFonts w:ascii="Arial" w:hAnsi="Arial" w:cs="Arial"/>
                <w:sz w:val="20"/>
                <w:szCs w:val="20"/>
              </w:rPr>
              <w:t>3725/5, 3725/53</w:t>
            </w:r>
          </w:p>
        </w:tc>
        <w:tc>
          <w:tcPr>
            <w:tcW w:w="884" w:type="dxa"/>
            <w:noWrap/>
            <w:vAlign w:val="center"/>
          </w:tcPr>
          <w:p w14:paraId="73FA0F7A"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3118</w:t>
            </w:r>
          </w:p>
        </w:tc>
        <w:tc>
          <w:tcPr>
            <w:tcW w:w="2268" w:type="dxa"/>
            <w:noWrap/>
            <w:vAlign w:val="center"/>
          </w:tcPr>
          <w:p w14:paraId="5B30A199"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přestavbová plocha </w:t>
            </w:r>
          </w:p>
        </w:tc>
      </w:tr>
      <w:tr w:rsidR="00147CEE" w:rsidRPr="00343219" w14:paraId="4B358B83" w14:textId="77777777" w:rsidTr="002D2D45">
        <w:trPr>
          <w:trHeight w:val="255"/>
          <w:jc w:val="center"/>
        </w:trPr>
        <w:tc>
          <w:tcPr>
            <w:tcW w:w="886" w:type="dxa"/>
            <w:vAlign w:val="center"/>
          </w:tcPr>
          <w:p w14:paraId="655B78C9"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8Z-17</w:t>
            </w:r>
          </w:p>
        </w:tc>
        <w:tc>
          <w:tcPr>
            <w:tcW w:w="2835" w:type="dxa"/>
            <w:noWrap/>
            <w:vAlign w:val="center"/>
          </w:tcPr>
          <w:p w14:paraId="013598F4"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občanské vybavení</w:t>
            </w:r>
          </w:p>
        </w:tc>
        <w:tc>
          <w:tcPr>
            <w:tcW w:w="1894" w:type="dxa"/>
            <w:noWrap/>
            <w:vAlign w:val="center"/>
          </w:tcPr>
          <w:p w14:paraId="00398BA1" w14:textId="77777777" w:rsidR="00147CEE" w:rsidRPr="00343219" w:rsidRDefault="00147CEE" w:rsidP="002D2D45">
            <w:pPr>
              <w:rPr>
                <w:rFonts w:ascii="Arial" w:hAnsi="Arial" w:cs="Arial"/>
                <w:sz w:val="20"/>
                <w:szCs w:val="20"/>
              </w:rPr>
            </w:pPr>
            <w:r w:rsidRPr="00343219">
              <w:rPr>
                <w:rFonts w:ascii="Arial" w:hAnsi="Arial" w:cs="Arial"/>
                <w:sz w:val="20"/>
                <w:szCs w:val="20"/>
              </w:rPr>
              <w:t>Děčín</w:t>
            </w:r>
          </w:p>
        </w:tc>
        <w:tc>
          <w:tcPr>
            <w:tcW w:w="1723" w:type="dxa"/>
            <w:vAlign w:val="center"/>
          </w:tcPr>
          <w:p w14:paraId="3AAE61CD" w14:textId="77777777" w:rsidR="00147CEE" w:rsidRPr="00343219" w:rsidRDefault="00147CEE" w:rsidP="002D2D45">
            <w:pPr>
              <w:rPr>
                <w:rFonts w:ascii="Arial" w:hAnsi="Arial" w:cs="Arial"/>
                <w:sz w:val="20"/>
                <w:szCs w:val="20"/>
              </w:rPr>
            </w:pPr>
            <w:r w:rsidRPr="00343219">
              <w:rPr>
                <w:rFonts w:ascii="Arial" w:hAnsi="Arial" w:cs="Arial"/>
                <w:sz w:val="20"/>
                <w:szCs w:val="20"/>
              </w:rPr>
              <w:t>2297</w:t>
            </w:r>
          </w:p>
        </w:tc>
        <w:tc>
          <w:tcPr>
            <w:tcW w:w="884" w:type="dxa"/>
            <w:noWrap/>
            <w:vAlign w:val="center"/>
          </w:tcPr>
          <w:p w14:paraId="4EEAD14B"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302</w:t>
            </w:r>
          </w:p>
        </w:tc>
        <w:tc>
          <w:tcPr>
            <w:tcW w:w="2268" w:type="dxa"/>
            <w:noWrap/>
            <w:vAlign w:val="center"/>
          </w:tcPr>
          <w:p w14:paraId="216C1A31"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přestavbová plocha</w:t>
            </w:r>
          </w:p>
        </w:tc>
      </w:tr>
      <w:tr w:rsidR="00147CEE" w:rsidRPr="00343219" w14:paraId="3F1EB49F" w14:textId="77777777" w:rsidTr="002D2D45">
        <w:trPr>
          <w:trHeight w:val="255"/>
          <w:jc w:val="center"/>
        </w:trPr>
        <w:tc>
          <w:tcPr>
            <w:tcW w:w="886" w:type="dxa"/>
            <w:vAlign w:val="center"/>
          </w:tcPr>
          <w:p w14:paraId="603605E4"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8Z-18</w:t>
            </w:r>
          </w:p>
        </w:tc>
        <w:tc>
          <w:tcPr>
            <w:tcW w:w="2835" w:type="dxa"/>
            <w:noWrap/>
            <w:vAlign w:val="center"/>
          </w:tcPr>
          <w:p w14:paraId="138CEBD9"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2040AC84" w14:textId="77777777" w:rsidR="00147CEE" w:rsidRPr="00343219" w:rsidRDefault="00147CEE" w:rsidP="002D2D45">
            <w:pPr>
              <w:rPr>
                <w:rFonts w:ascii="Arial" w:hAnsi="Arial" w:cs="Arial"/>
                <w:sz w:val="20"/>
                <w:szCs w:val="20"/>
              </w:rPr>
            </w:pPr>
            <w:r w:rsidRPr="00343219">
              <w:rPr>
                <w:rFonts w:ascii="Arial" w:hAnsi="Arial" w:cs="Arial"/>
                <w:sz w:val="20"/>
                <w:szCs w:val="20"/>
              </w:rPr>
              <w:t>Podmokly</w:t>
            </w:r>
          </w:p>
        </w:tc>
        <w:tc>
          <w:tcPr>
            <w:tcW w:w="1723" w:type="dxa"/>
            <w:vAlign w:val="center"/>
          </w:tcPr>
          <w:p w14:paraId="6C26FEC5" w14:textId="77777777" w:rsidR="00147CEE" w:rsidRPr="00343219" w:rsidRDefault="00147CEE" w:rsidP="002D2D45">
            <w:pPr>
              <w:rPr>
                <w:rFonts w:ascii="Arial" w:hAnsi="Arial" w:cs="Arial"/>
                <w:sz w:val="20"/>
                <w:szCs w:val="20"/>
              </w:rPr>
            </w:pPr>
            <w:r w:rsidRPr="00343219">
              <w:rPr>
                <w:rFonts w:ascii="Arial" w:hAnsi="Arial" w:cs="Arial"/>
                <w:sz w:val="20"/>
                <w:szCs w:val="20"/>
              </w:rPr>
              <w:t>437/2</w:t>
            </w:r>
          </w:p>
        </w:tc>
        <w:tc>
          <w:tcPr>
            <w:tcW w:w="884" w:type="dxa"/>
            <w:noWrap/>
            <w:vAlign w:val="center"/>
          </w:tcPr>
          <w:p w14:paraId="2F08BBF6"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1079</w:t>
            </w:r>
          </w:p>
        </w:tc>
        <w:tc>
          <w:tcPr>
            <w:tcW w:w="2268" w:type="dxa"/>
            <w:noWrap/>
            <w:vAlign w:val="center"/>
          </w:tcPr>
          <w:p w14:paraId="7D1F9186"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zastavitelná plocha </w:t>
            </w:r>
          </w:p>
        </w:tc>
      </w:tr>
      <w:tr w:rsidR="00147CEE" w:rsidRPr="00343219" w14:paraId="3BEA1411" w14:textId="77777777" w:rsidTr="002D2D45">
        <w:trPr>
          <w:trHeight w:val="255"/>
          <w:jc w:val="center"/>
        </w:trPr>
        <w:tc>
          <w:tcPr>
            <w:tcW w:w="886" w:type="dxa"/>
            <w:vAlign w:val="center"/>
          </w:tcPr>
          <w:p w14:paraId="180403D1"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8Z-19</w:t>
            </w:r>
          </w:p>
        </w:tc>
        <w:tc>
          <w:tcPr>
            <w:tcW w:w="2835" w:type="dxa"/>
            <w:noWrap/>
            <w:vAlign w:val="center"/>
          </w:tcPr>
          <w:p w14:paraId="6D132A69"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134EF4E9" w14:textId="77777777" w:rsidR="00147CEE" w:rsidRPr="00343219" w:rsidRDefault="00147CEE" w:rsidP="002D2D45">
            <w:pPr>
              <w:rPr>
                <w:rFonts w:ascii="Arial" w:hAnsi="Arial" w:cs="Arial"/>
                <w:sz w:val="20"/>
                <w:szCs w:val="20"/>
              </w:rPr>
            </w:pPr>
            <w:r w:rsidRPr="00343219">
              <w:rPr>
                <w:rFonts w:ascii="Arial" w:hAnsi="Arial" w:cs="Arial"/>
                <w:sz w:val="20"/>
                <w:szCs w:val="20"/>
              </w:rPr>
              <w:t>Vilsnice</w:t>
            </w:r>
          </w:p>
        </w:tc>
        <w:tc>
          <w:tcPr>
            <w:tcW w:w="1723" w:type="dxa"/>
            <w:vAlign w:val="center"/>
          </w:tcPr>
          <w:p w14:paraId="57163E5F" w14:textId="77777777" w:rsidR="00147CEE" w:rsidRPr="00343219" w:rsidRDefault="00147CEE" w:rsidP="002D2D45">
            <w:pPr>
              <w:rPr>
                <w:rFonts w:ascii="Arial" w:hAnsi="Arial" w:cs="Arial"/>
                <w:sz w:val="20"/>
                <w:szCs w:val="20"/>
              </w:rPr>
            </w:pPr>
            <w:r w:rsidRPr="00343219">
              <w:rPr>
                <w:rFonts w:ascii="Arial" w:hAnsi="Arial" w:cs="Arial"/>
                <w:sz w:val="20"/>
                <w:szCs w:val="20"/>
              </w:rPr>
              <w:t>4</w:t>
            </w:r>
          </w:p>
        </w:tc>
        <w:tc>
          <w:tcPr>
            <w:tcW w:w="884" w:type="dxa"/>
            <w:noWrap/>
            <w:vAlign w:val="center"/>
          </w:tcPr>
          <w:p w14:paraId="0B63B767"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677</w:t>
            </w:r>
          </w:p>
        </w:tc>
        <w:tc>
          <w:tcPr>
            <w:tcW w:w="2268" w:type="dxa"/>
            <w:noWrap/>
            <w:vAlign w:val="center"/>
          </w:tcPr>
          <w:p w14:paraId="0B7FABAF"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60FDBD97" w14:textId="77777777" w:rsidTr="002D2D45">
        <w:trPr>
          <w:trHeight w:val="255"/>
          <w:jc w:val="center"/>
        </w:trPr>
        <w:tc>
          <w:tcPr>
            <w:tcW w:w="886" w:type="dxa"/>
            <w:shd w:val="clear" w:color="auto" w:fill="auto"/>
            <w:vAlign w:val="center"/>
          </w:tcPr>
          <w:p w14:paraId="1E10B28F" w14:textId="77777777" w:rsidR="00147CEE" w:rsidRPr="00343219" w:rsidRDefault="00147CEE" w:rsidP="002D2D45">
            <w:pPr>
              <w:jc w:val="center"/>
              <w:rPr>
                <w:rFonts w:ascii="Arial" w:hAnsi="Arial" w:cs="Arial"/>
                <w:b/>
                <w:sz w:val="20"/>
                <w:szCs w:val="20"/>
                <w:vertAlign w:val="superscript"/>
              </w:rPr>
            </w:pPr>
            <w:r w:rsidRPr="00343219">
              <w:rPr>
                <w:rFonts w:ascii="Arial" w:hAnsi="Arial" w:cs="Arial"/>
                <w:b/>
                <w:sz w:val="20"/>
                <w:szCs w:val="20"/>
              </w:rPr>
              <w:t>8Z-20</w:t>
            </w:r>
          </w:p>
        </w:tc>
        <w:tc>
          <w:tcPr>
            <w:tcW w:w="2835" w:type="dxa"/>
            <w:shd w:val="clear" w:color="auto" w:fill="auto"/>
            <w:noWrap/>
            <w:vAlign w:val="center"/>
          </w:tcPr>
          <w:p w14:paraId="019EDE63"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shd w:val="clear" w:color="auto" w:fill="auto"/>
            <w:noWrap/>
            <w:vAlign w:val="center"/>
          </w:tcPr>
          <w:p w14:paraId="46C6258D" w14:textId="77777777" w:rsidR="00147CEE" w:rsidRPr="00343219" w:rsidRDefault="00147CEE" w:rsidP="002D2D45">
            <w:pPr>
              <w:rPr>
                <w:rFonts w:ascii="Arial" w:hAnsi="Arial" w:cs="Arial"/>
                <w:sz w:val="20"/>
                <w:szCs w:val="20"/>
              </w:rPr>
            </w:pPr>
            <w:r w:rsidRPr="00343219">
              <w:rPr>
                <w:rFonts w:ascii="Arial" w:hAnsi="Arial" w:cs="Arial"/>
                <w:sz w:val="20"/>
                <w:szCs w:val="20"/>
              </w:rPr>
              <w:t>Bělá u Děčína</w:t>
            </w:r>
          </w:p>
        </w:tc>
        <w:tc>
          <w:tcPr>
            <w:tcW w:w="1723" w:type="dxa"/>
            <w:shd w:val="clear" w:color="auto" w:fill="auto"/>
            <w:vAlign w:val="center"/>
          </w:tcPr>
          <w:p w14:paraId="3A9B64CC" w14:textId="77777777" w:rsidR="00147CEE" w:rsidRPr="00343219" w:rsidRDefault="00147CEE" w:rsidP="002D2D45">
            <w:pPr>
              <w:rPr>
                <w:rFonts w:ascii="Arial" w:hAnsi="Arial" w:cs="Arial"/>
                <w:sz w:val="20"/>
                <w:szCs w:val="20"/>
              </w:rPr>
            </w:pPr>
            <w:r w:rsidRPr="00343219">
              <w:rPr>
                <w:rFonts w:ascii="Arial" w:hAnsi="Arial" w:cs="Arial"/>
                <w:sz w:val="20"/>
                <w:szCs w:val="20"/>
              </w:rPr>
              <w:t>397/2</w:t>
            </w:r>
          </w:p>
        </w:tc>
        <w:tc>
          <w:tcPr>
            <w:tcW w:w="884" w:type="dxa"/>
            <w:shd w:val="clear" w:color="auto" w:fill="auto"/>
            <w:noWrap/>
            <w:vAlign w:val="center"/>
          </w:tcPr>
          <w:p w14:paraId="7676AB7D"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465</w:t>
            </w:r>
          </w:p>
        </w:tc>
        <w:tc>
          <w:tcPr>
            <w:tcW w:w="2268" w:type="dxa"/>
            <w:shd w:val="clear" w:color="auto" w:fill="auto"/>
            <w:noWrap/>
            <w:vAlign w:val="center"/>
          </w:tcPr>
          <w:p w14:paraId="419DE241"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5F09E47C" w14:textId="77777777" w:rsidTr="002D2D45">
        <w:trPr>
          <w:trHeight w:val="300"/>
          <w:jc w:val="center"/>
        </w:trPr>
        <w:tc>
          <w:tcPr>
            <w:tcW w:w="886" w:type="dxa"/>
            <w:vAlign w:val="center"/>
          </w:tcPr>
          <w:p w14:paraId="015F2BDE"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8Z-23</w:t>
            </w:r>
          </w:p>
        </w:tc>
        <w:tc>
          <w:tcPr>
            <w:tcW w:w="2835" w:type="dxa"/>
            <w:noWrap/>
            <w:vAlign w:val="center"/>
          </w:tcPr>
          <w:p w14:paraId="3B22873D"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rekreační území </w:t>
            </w:r>
          </w:p>
        </w:tc>
        <w:tc>
          <w:tcPr>
            <w:tcW w:w="1894" w:type="dxa"/>
            <w:noWrap/>
            <w:vAlign w:val="center"/>
          </w:tcPr>
          <w:p w14:paraId="36AB13B7" w14:textId="77777777" w:rsidR="00147CEE" w:rsidRPr="00343219" w:rsidRDefault="00147CEE" w:rsidP="002D2D45">
            <w:pPr>
              <w:rPr>
                <w:rFonts w:ascii="Arial" w:hAnsi="Arial" w:cs="Arial"/>
                <w:sz w:val="20"/>
                <w:szCs w:val="20"/>
              </w:rPr>
            </w:pPr>
            <w:r w:rsidRPr="00343219">
              <w:rPr>
                <w:rFonts w:ascii="Arial" w:hAnsi="Arial" w:cs="Arial"/>
                <w:sz w:val="20"/>
                <w:szCs w:val="20"/>
              </w:rPr>
              <w:t>Děčín</w:t>
            </w:r>
          </w:p>
        </w:tc>
        <w:tc>
          <w:tcPr>
            <w:tcW w:w="1723" w:type="dxa"/>
            <w:vAlign w:val="center"/>
          </w:tcPr>
          <w:p w14:paraId="5C202FA4" w14:textId="77777777" w:rsidR="00147CEE" w:rsidRPr="00343219" w:rsidRDefault="00147CEE" w:rsidP="002D2D45">
            <w:pPr>
              <w:rPr>
                <w:rFonts w:ascii="Arial" w:hAnsi="Arial" w:cs="Arial"/>
                <w:sz w:val="20"/>
                <w:szCs w:val="20"/>
              </w:rPr>
            </w:pPr>
            <w:r w:rsidRPr="00343219">
              <w:rPr>
                <w:rFonts w:ascii="Arial" w:hAnsi="Arial" w:cs="Arial"/>
                <w:sz w:val="20"/>
                <w:szCs w:val="20"/>
              </w:rPr>
              <w:t>2828/42 /72,/124</w:t>
            </w:r>
          </w:p>
        </w:tc>
        <w:tc>
          <w:tcPr>
            <w:tcW w:w="884" w:type="dxa"/>
            <w:noWrap/>
            <w:vAlign w:val="center"/>
          </w:tcPr>
          <w:p w14:paraId="59D09073"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514</w:t>
            </w:r>
          </w:p>
        </w:tc>
        <w:tc>
          <w:tcPr>
            <w:tcW w:w="2268" w:type="dxa"/>
            <w:noWrap/>
            <w:vAlign w:val="center"/>
          </w:tcPr>
          <w:p w14:paraId="31427EDE"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přestavbová plocha</w:t>
            </w:r>
          </w:p>
        </w:tc>
      </w:tr>
      <w:tr w:rsidR="00147CEE" w:rsidRPr="00343219" w14:paraId="76C27EA8" w14:textId="77777777" w:rsidTr="002D2D45">
        <w:trPr>
          <w:trHeight w:val="255"/>
          <w:jc w:val="center"/>
        </w:trPr>
        <w:tc>
          <w:tcPr>
            <w:tcW w:w="886" w:type="dxa"/>
            <w:vAlign w:val="center"/>
          </w:tcPr>
          <w:p w14:paraId="198F6116"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8Z-25</w:t>
            </w:r>
          </w:p>
        </w:tc>
        <w:tc>
          <w:tcPr>
            <w:tcW w:w="2835" w:type="dxa"/>
            <w:noWrap/>
            <w:vAlign w:val="center"/>
          </w:tcPr>
          <w:p w14:paraId="2C8C3C05"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1AE75A0B" w14:textId="77777777" w:rsidR="00147CEE" w:rsidRPr="00343219" w:rsidRDefault="00147CEE" w:rsidP="002D2D45">
            <w:pPr>
              <w:rPr>
                <w:rFonts w:ascii="Arial" w:hAnsi="Arial" w:cs="Arial"/>
                <w:sz w:val="20"/>
                <w:szCs w:val="20"/>
              </w:rPr>
            </w:pPr>
            <w:r w:rsidRPr="00343219">
              <w:rPr>
                <w:rFonts w:ascii="Arial" w:hAnsi="Arial" w:cs="Arial"/>
                <w:sz w:val="20"/>
                <w:szCs w:val="20"/>
              </w:rPr>
              <w:t>Folknáře</w:t>
            </w:r>
          </w:p>
        </w:tc>
        <w:tc>
          <w:tcPr>
            <w:tcW w:w="1723" w:type="dxa"/>
            <w:vAlign w:val="center"/>
          </w:tcPr>
          <w:p w14:paraId="387623C0" w14:textId="77777777" w:rsidR="00147CEE" w:rsidRPr="00343219" w:rsidRDefault="00147CEE" w:rsidP="002D2D45">
            <w:pPr>
              <w:rPr>
                <w:rFonts w:ascii="Arial" w:hAnsi="Arial" w:cs="Arial"/>
                <w:sz w:val="20"/>
                <w:szCs w:val="20"/>
              </w:rPr>
            </w:pPr>
            <w:r w:rsidRPr="00343219">
              <w:rPr>
                <w:rFonts w:ascii="Arial" w:hAnsi="Arial" w:cs="Arial"/>
                <w:sz w:val="20"/>
                <w:szCs w:val="20"/>
              </w:rPr>
              <w:t>419/4</w:t>
            </w:r>
          </w:p>
        </w:tc>
        <w:tc>
          <w:tcPr>
            <w:tcW w:w="884" w:type="dxa"/>
            <w:noWrap/>
            <w:vAlign w:val="center"/>
          </w:tcPr>
          <w:p w14:paraId="274648BB"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87</w:t>
            </w:r>
          </w:p>
        </w:tc>
        <w:tc>
          <w:tcPr>
            <w:tcW w:w="2268" w:type="dxa"/>
            <w:noWrap/>
            <w:vAlign w:val="center"/>
          </w:tcPr>
          <w:p w14:paraId="4E60E874"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4CCB2382" w14:textId="77777777" w:rsidTr="002D2D45">
        <w:trPr>
          <w:trHeight w:val="255"/>
          <w:jc w:val="center"/>
        </w:trPr>
        <w:tc>
          <w:tcPr>
            <w:tcW w:w="886" w:type="dxa"/>
            <w:vAlign w:val="center"/>
          </w:tcPr>
          <w:p w14:paraId="1E81EF0A"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8Z-26</w:t>
            </w:r>
          </w:p>
        </w:tc>
        <w:tc>
          <w:tcPr>
            <w:tcW w:w="2835" w:type="dxa"/>
            <w:noWrap/>
            <w:vAlign w:val="center"/>
          </w:tcPr>
          <w:p w14:paraId="79BC1DC8"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40CF88FA" w14:textId="77777777" w:rsidR="00147CEE" w:rsidRPr="00343219" w:rsidRDefault="00147CEE" w:rsidP="002D2D45">
            <w:pPr>
              <w:rPr>
                <w:rFonts w:ascii="Arial" w:hAnsi="Arial" w:cs="Arial"/>
                <w:sz w:val="20"/>
                <w:szCs w:val="20"/>
              </w:rPr>
            </w:pPr>
            <w:r w:rsidRPr="00343219">
              <w:rPr>
                <w:rFonts w:ascii="Arial" w:hAnsi="Arial" w:cs="Arial"/>
                <w:sz w:val="20"/>
                <w:szCs w:val="20"/>
              </w:rPr>
              <w:t>Horní Oldřichov</w:t>
            </w:r>
          </w:p>
        </w:tc>
        <w:tc>
          <w:tcPr>
            <w:tcW w:w="1723" w:type="dxa"/>
            <w:vAlign w:val="center"/>
          </w:tcPr>
          <w:p w14:paraId="74C6BA74" w14:textId="77777777" w:rsidR="00147CEE" w:rsidRPr="00343219" w:rsidRDefault="00147CEE" w:rsidP="002D2D45">
            <w:pPr>
              <w:rPr>
                <w:rFonts w:ascii="Arial" w:hAnsi="Arial" w:cs="Arial"/>
                <w:sz w:val="20"/>
                <w:szCs w:val="20"/>
              </w:rPr>
            </w:pPr>
            <w:r w:rsidRPr="00343219">
              <w:rPr>
                <w:rFonts w:ascii="Arial" w:hAnsi="Arial" w:cs="Arial"/>
                <w:sz w:val="20"/>
                <w:szCs w:val="20"/>
              </w:rPr>
              <w:t>1041/1</w:t>
            </w:r>
          </w:p>
        </w:tc>
        <w:tc>
          <w:tcPr>
            <w:tcW w:w="884" w:type="dxa"/>
            <w:noWrap/>
            <w:vAlign w:val="center"/>
          </w:tcPr>
          <w:p w14:paraId="06EBF9F7"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897</w:t>
            </w:r>
          </w:p>
        </w:tc>
        <w:tc>
          <w:tcPr>
            <w:tcW w:w="2268" w:type="dxa"/>
            <w:noWrap/>
            <w:vAlign w:val="center"/>
          </w:tcPr>
          <w:p w14:paraId="25E13C18"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344F96E6" w14:textId="77777777" w:rsidTr="002D2D45">
        <w:trPr>
          <w:trHeight w:val="255"/>
          <w:jc w:val="center"/>
        </w:trPr>
        <w:tc>
          <w:tcPr>
            <w:tcW w:w="886" w:type="dxa"/>
            <w:vAlign w:val="center"/>
          </w:tcPr>
          <w:p w14:paraId="281E144F"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8Z-30</w:t>
            </w:r>
          </w:p>
        </w:tc>
        <w:tc>
          <w:tcPr>
            <w:tcW w:w="2835" w:type="dxa"/>
            <w:noWrap/>
            <w:vAlign w:val="center"/>
          </w:tcPr>
          <w:p w14:paraId="24FDEBA0"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Plochy výroby a skladování</w:t>
            </w:r>
          </w:p>
        </w:tc>
        <w:tc>
          <w:tcPr>
            <w:tcW w:w="1894" w:type="dxa"/>
            <w:noWrap/>
            <w:vAlign w:val="center"/>
          </w:tcPr>
          <w:p w14:paraId="3C451332" w14:textId="77777777" w:rsidR="00147CEE" w:rsidRPr="00343219" w:rsidRDefault="00147CEE" w:rsidP="002D2D45">
            <w:pPr>
              <w:rPr>
                <w:rFonts w:ascii="Arial" w:hAnsi="Arial" w:cs="Arial"/>
                <w:sz w:val="20"/>
                <w:szCs w:val="20"/>
              </w:rPr>
            </w:pPr>
            <w:r w:rsidRPr="00343219">
              <w:rPr>
                <w:rFonts w:ascii="Arial" w:hAnsi="Arial" w:cs="Arial"/>
                <w:sz w:val="20"/>
                <w:szCs w:val="20"/>
              </w:rPr>
              <w:t>Křešice u Děčína</w:t>
            </w:r>
          </w:p>
        </w:tc>
        <w:tc>
          <w:tcPr>
            <w:tcW w:w="1723" w:type="dxa"/>
            <w:vAlign w:val="center"/>
          </w:tcPr>
          <w:p w14:paraId="40FE363D" w14:textId="77777777" w:rsidR="00147CEE" w:rsidRPr="00343219" w:rsidRDefault="00147CEE" w:rsidP="002D2D45">
            <w:pPr>
              <w:rPr>
                <w:rFonts w:ascii="Arial" w:hAnsi="Arial" w:cs="Arial"/>
                <w:sz w:val="20"/>
                <w:szCs w:val="20"/>
              </w:rPr>
            </w:pPr>
            <w:r w:rsidRPr="00343219">
              <w:rPr>
                <w:rFonts w:ascii="Arial" w:hAnsi="Arial" w:cs="Arial"/>
                <w:sz w:val="20"/>
                <w:szCs w:val="20"/>
              </w:rPr>
              <w:t>129/1, 129/2</w:t>
            </w:r>
          </w:p>
        </w:tc>
        <w:tc>
          <w:tcPr>
            <w:tcW w:w="884" w:type="dxa"/>
            <w:noWrap/>
            <w:vAlign w:val="center"/>
          </w:tcPr>
          <w:p w14:paraId="73738A2A"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fldChar w:fldCharType="begin"/>
            </w:r>
            <w:r w:rsidRPr="00343219">
              <w:rPr>
                <w:rFonts w:ascii="Arial" w:hAnsi="Arial" w:cs="Arial"/>
                <w:sz w:val="20"/>
                <w:szCs w:val="20"/>
              </w:rPr>
              <w:instrText xml:space="preserve"> =SUM(ABOVE) </w:instrText>
            </w:r>
            <w:r w:rsidRPr="00343219">
              <w:rPr>
                <w:rFonts w:ascii="Arial" w:hAnsi="Arial" w:cs="Arial"/>
                <w:sz w:val="20"/>
                <w:szCs w:val="20"/>
              </w:rPr>
              <w:fldChar w:fldCharType="separate"/>
            </w:r>
            <w:r w:rsidRPr="00343219">
              <w:rPr>
                <w:rFonts w:ascii="Arial" w:hAnsi="Arial" w:cs="Arial"/>
                <w:noProof/>
                <w:sz w:val="20"/>
                <w:szCs w:val="20"/>
              </w:rPr>
              <w:t>713</w:t>
            </w:r>
            <w:r w:rsidRPr="00343219">
              <w:rPr>
                <w:rFonts w:ascii="Arial" w:hAnsi="Arial" w:cs="Arial"/>
                <w:sz w:val="20"/>
                <w:szCs w:val="20"/>
              </w:rPr>
              <w:fldChar w:fldCharType="end"/>
            </w:r>
          </w:p>
        </w:tc>
        <w:tc>
          <w:tcPr>
            <w:tcW w:w="2268" w:type="dxa"/>
            <w:noWrap/>
            <w:vAlign w:val="center"/>
          </w:tcPr>
          <w:p w14:paraId="32885C74"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přestavbová plocha </w:t>
            </w:r>
          </w:p>
        </w:tc>
      </w:tr>
      <w:tr w:rsidR="00147CEE" w:rsidRPr="00343219" w14:paraId="167D1EC5" w14:textId="77777777" w:rsidTr="002D2D45">
        <w:trPr>
          <w:trHeight w:val="255"/>
          <w:jc w:val="center"/>
        </w:trPr>
        <w:tc>
          <w:tcPr>
            <w:tcW w:w="886" w:type="dxa"/>
            <w:vAlign w:val="center"/>
          </w:tcPr>
          <w:p w14:paraId="6C5CB757"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8Z-31</w:t>
            </w:r>
          </w:p>
        </w:tc>
        <w:tc>
          <w:tcPr>
            <w:tcW w:w="2835" w:type="dxa"/>
            <w:noWrap/>
            <w:vAlign w:val="center"/>
          </w:tcPr>
          <w:p w14:paraId="3BF270E1"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5EE12D58" w14:textId="77777777" w:rsidR="00147CEE" w:rsidRPr="00343219" w:rsidRDefault="00147CEE" w:rsidP="002D2D45">
            <w:pPr>
              <w:rPr>
                <w:rFonts w:ascii="Arial" w:hAnsi="Arial" w:cs="Arial"/>
                <w:sz w:val="20"/>
                <w:szCs w:val="20"/>
              </w:rPr>
            </w:pPr>
            <w:r w:rsidRPr="00343219">
              <w:rPr>
                <w:rFonts w:ascii="Arial" w:hAnsi="Arial" w:cs="Arial"/>
                <w:sz w:val="20"/>
                <w:szCs w:val="20"/>
              </w:rPr>
              <w:t>Podmokly</w:t>
            </w:r>
          </w:p>
        </w:tc>
        <w:tc>
          <w:tcPr>
            <w:tcW w:w="1723" w:type="dxa"/>
            <w:vAlign w:val="center"/>
          </w:tcPr>
          <w:p w14:paraId="7F957F5A" w14:textId="77777777" w:rsidR="00147CEE" w:rsidRPr="00343219" w:rsidRDefault="00147CEE" w:rsidP="002D2D45">
            <w:pPr>
              <w:rPr>
                <w:rFonts w:ascii="Arial" w:hAnsi="Arial" w:cs="Arial"/>
                <w:sz w:val="20"/>
                <w:szCs w:val="20"/>
              </w:rPr>
            </w:pPr>
            <w:r w:rsidRPr="00343219">
              <w:rPr>
                <w:rFonts w:ascii="Arial" w:hAnsi="Arial" w:cs="Arial"/>
                <w:sz w:val="20"/>
                <w:szCs w:val="20"/>
              </w:rPr>
              <w:t>2842</w:t>
            </w:r>
          </w:p>
        </w:tc>
        <w:tc>
          <w:tcPr>
            <w:tcW w:w="884" w:type="dxa"/>
            <w:noWrap/>
            <w:vAlign w:val="center"/>
          </w:tcPr>
          <w:p w14:paraId="25439F9A"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1693</w:t>
            </w:r>
          </w:p>
        </w:tc>
        <w:tc>
          <w:tcPr>
            <w:tcW w:w="2268" w:type="dxa"/>
            <w:noWrap/>
            <w:vAlign w:val="center"/>
          </w:tcPr>
          <w:p w14:paraId="2E4E8CD2"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přestavbová plocha </w:t>
            </w:r>
          </w:p>
        </w:tc>
      </w:tr>
      <w:tr w:rsidR="00147CEE" w:rsidRPr="00343219" w14:paraId="6DF35F87" w14:textId="77777777" w:rsidTr="002D2D45">
        <w:trPr>
          <w:trHeight w:val="255"/>
          <w:jc w:val="center"/>
        </w:trPr>
        <w:tc>
          <w:tcPr>
            <w:tcW w:w="886" w:type="dxa"/>
            <w:vAlign w:val="center"/>
          </w:tcPr>
          <w:p w14:paraId="5912342C"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8Z-32</w:t>
            </w:r>
          </w:p>
        </w:tc>
        <w:tc>
          <w:tcPr>
            <w:tcW w:w="2835" w:type="dxa"/>
            <w:noWrap/>
            <w:vAlign w:val="center"/>
          </w:tcPr>
          <w:p w14:paraId="2A685633"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Plochy výroby a skladování</w:t>
            </w:r>
          </w:p>
        </w:tc>
        <w:tc>
          <w:tcPr>
            <w:tcW w:w="1894" w:type="dxa"/>
            <w:noWrap/>
            <w:vAlign w:val="center"/>
          </w:tcPr>
          <w:p w14:paraId="7FBFB0AD" w14:textId="77777777" w:rsidR="00147CEE" w:rsidRPr="00343219" w:rsidRDefault="00147CEE" w:rsidP="002D2D45">
            <w:pPr>
              <w:rPr>
                <w:rFonts w:ascii="Arial" w:hAnsi="Arial" w:cs="Arial"/>
                <w:sz w:val="20"/>
                <w:szCs w:val="20"/>
              </w:rPr>
            </w:pPr>
            <w:r w:rsidRPr="00343219">
              <w:rPr>
                <w:rFonts w:ascii="Arial" w:hAnsi="Arial" w:cs="Arial"/>
                <w:sz w:val="20"/>
                <w:szCs w:val="20"/>
              </w:rPr>
              <w:t>Podmokly</w:t>
            </w:r>
          </w:p>
        </w:tc>
        <w:tc>
          <w:tcPr>
            <w:tcW w:w="1723" w:type="dxa"/>
            <w:vAlign w:val="center"/>
          </w:tcPr>
          <w:p w14:paraId="77E9C7FE" w14:textId="77777777" w:rsidR="00147CEE" w:rsidRPr="00343219" w:rsidRDefault="00147CEE" w:rsidP="002D2D45">
            <w:pPr>
              <w:rPr>
                <w:rFonts w:ascii="Arial" w:hAnsi="Arial" w:cs="Arial"/>
                <w:sz w:val="20"/>
                <w:szCs w:val="20"/>
              </w:rPr>
            </w:pPr>
            <w:r w:rsidRPr="00343219">
              <w:rPr>
                <w:rFonts w:ascii="Arial" w:hAnsi="Arial" w:cs="Arial"/>
                <w:sz w:val="20"/>
                <w:szCs w:val="20"/>
              </w:rPr>
              <w:t>3147/1, /2</w:t>
            </w:r>
          </w:p>
        </w:tc>
        <w:tc>
          <w:tcPr>
            <w:tcW w:w="884" w:type="dxa"/>
            <w:noWrap/>
            <w:vAlign w:val="center"/>
          </w:tcPr>
          <w:p w14:paraId="5EAA51E2"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2672</w:t>
            </w:r>
          </w:p>
        </w:tc>
        <w:tc>
          <w:tcPr>
            <w:tcW w:w="2268" w:type="dxa"/>
            <w:noWrap/>
            <w:vAlign w:val="center"/>
          </w:tcPr>
          <w:p w14:paraId="4714399F"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přestavbová plocha </w:t>
            </w:r>
          </w:p>
        </w:tc>
      </w:tr>
      <w:tr w:rsidR="00147CEE" w:rsidRPr="00343219" w14:paraId="34385B2D" w14:textId="77777777" w:rsidTr="002D2D45">
        <w:trPr>
          <w:trHeight w:val="255"/>
          <w:jc w:val="center"/>
        </w:trPr>
        <w:tc>
          <w:tcPr>
            <w:tcW w:w="886" w:type="dxa"/>
            <w:vAlign w:val="center"/>
          </w:tcPr>
          <w:p w14:paraId="2CA4A4EC"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8Z-33a</w:t>
            </w:r>
          </w:p>
        </w:tc>
        <w:tc>
          <w:tcPr>
            <w:tcW w:w="2835" w:type="dxa"/>
            <w:noWrap/>
            <w:vAlign w:val="center"/>
          </w:tcPr>
          <w:p w14:paraId="4357B459"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16AE802B" w14:textId="77777777" w:rsidR="00147CEE" w:rsidRPr="00343219" w:rsidRDefault="00147CEE" w:rsidP="002D2D45">
            <w:pPr>
              <w:rPr>
                <w:rFonts w:ascii="Arial" w:hAnsi="Arial" w:cs="Arial"/>
                <w:sz w:val="20"/>
                <w:szCs w:val="20"/>
              </w:rPr>
            </w:pPr>
            <w:r w:rsidRPr="00343219">
              <w:rPr>
                <w:rFonts w:ascii="Arial" w:hAnsi="Arial" w:cs="Arial"/>
                <w:sz w:val="20"/>
                <w:szCs w:val="20"/>
              </w:rPr>
              <w:t>Podmokly</w:t>
            </w:r>
          </w:p>
        </w:tc>
        <w:tc>
          <w:tcPr>
            <w:tcW w:w="1723" w:type="dxa"/>
            <w:vAlign w:val="center"/>
          </w:tcPr>
          <w:p w14:paraId="3F77B030" w14:textId="77777777" w:rsidR="00147CEE" w:rsidRPr="00343219" w:rsidRDefault="00147CEE" w:rsidP="002D2D45">
            <w:pPr>
              <w:rPr>
                <w:rFonts w:ascii="Arial" w:hAnsi="Arial" w:cs="Arial"/>
                <w:sz w:val="20"/>
                <w:szCs w:val="20"/>
              </w:rPr>
            </w:pPr>
            <w:r w:rsidRPr="00343219">
              <w:rPr>
                <w:rFonts w:ascii="Arial" w:hAnsi="Arial" w:cs="Arial"/>
                <w:sz w:val="20"/>
                <w:szCs w:val="20"/>
              </w:rPr>
              <w:t>3155/26, 3155/27</w:t>
            </w:r>
          </w:p>
        </w:tc>
        <w:tc>
          <w:tcPr>
            <w:tcW w:w="884" w:type="dxa"/>
            <w:noWrap/>
            <w:vAlign w:val="center"/>
          </w:tcPr>
          <w:p w14:paraId="6DAEEE9C"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fldChar w:fldCharType="begin"/>
            </w:r>
            <w:r w:rsidRPr="00343219">
              <w:rPr>
                <w:rFonts w:ascii="Arial" w:hAnsi="Arial" w:cs="Arial"/>
                <w:sz w:val="20"/>
                <w:szCs w:val="20"/>
              </w:rPr>
              <w:instrText xml:space="preserve"> =SUM(ABOVE) </w:instrText>
            </w:r>
            <w:r w:rsidRPr="00343219">
              <w:rPr>
                <w:rFonts w:ascii="Arial" w:hAnsi="Arial" w:cs="Arial"/>
                <w:sz w:val="20"/>
                <w:szCs w:val="20"/>
              </w:rPr>
              <w:fldChar w:fldCharType="separate"/>
            </w:r>
            <w:r w:rsidRPr="00343219">
              <w:rPr>
                <w:rFonts w:ascii="Arial" w:hAnsi="Arial" w:cs="Arial"/>
                <w:sz w:val="20"/>
                <w:szCs w:val="20"/>
              </w:rPr>
              <w:t>1473</w:t>
            </w:r>
            <w:r w:rsidRPr="00343219">
              <w:rPr>
                <w:rFonts w:ascii="Arial" w:hAnsi="Arial" w:cs="Arial"/>
                <w:sz w:val="20"/>
                <w:szCs w:val="20"/>
              </w:rPr>
              <w:fldChar w:fldCharType="end"/>
            </w:r>
          </w:p>
        </w:tc>
        <w:tc>
          <w:tcPr>
            <w:tcW w:w="2268" w:type="dxa"/>
            <w:noWrap/>
            <w:vAlign w:val="center"/>
          </w:tcPr>
          <w:p w14:paraId="6B04DA52"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4C1B7EF2" w14:textId="77777777" w:rsidTr="002D2D45">
        <w:trPr>
          <w:trHeight w:val="255"/>
          <w:jc w:val="center"/>
        </w:trPr>
        <w:tc>
          <w:tcPr>
            <w:tcW w:w="886" w:type="dxa"/>
            <w:vAlign w:val="center"/>
          </w:tcPr>
          <w:p w14:paraId="710E89AA"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8Z-33b</w:t>
            </w:r>
          </w:p>
        </w:tc>
        <w:tc>
          <w:tcPr>
            <w:tcW w:w="2835" w:type="dxa"/>
            <w:noWrap/>
            <w:vAlign w:val="center"/>
          </w:tcPr>
          <w:p w14:paraId="55C42110"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603548A3" w14:textId="77777777" w:rsidR="00147CEE" w:rsidRPr="00343219" w:rsidRDefault="00147CEE" w:rsidP="002D2D45">
            <w:pPr>
              <w:rPr>
                <w:rFonts w:ascii="Arial" w:hAnsi="Arial" w:cs="Arial"/>
                <w:sz w:val="20"/>
                <w:szCs w:val="20"/>
              </w:rPr>
            </w:pPr>
            <w:r w:rsidRPr="00343219">
              <w:rPr>
                <w:rFonts w:ascii="Arial" w:hAnsi="Arial" w:cs="Arial"/>
                <w:sz w:val="20"/>
                <w:szCs w:val="20"/>
              </w:rPr>
              <w:t>Podmokly</w:t>
            </w:r>
          </w:p>
        </w:tc>
        <w:tc>
          <w:tcPr>
            <w:tcW w:w="1723" w:type="dxa"/>
            <w:vAlign w:val="center"/>
          </w:tcPr>
          <w:p w14:paraId="77308FA5" w14:textId="77777777" w:rsidR="00147CEE" w:rsidRPr="00343219" w:rsidRDefault="00147CEE" w:rsidP="002D2D45">
            <w:pPr>
              <w:rPr>
                <w:rFonts w:ascii="Arial" w:hAnsi="Arial" w:cs="Arial"/>
                <w:sz w:val="20"/>
                <w:szCs w:val="20"/>
              </w:rPr>
            </w:pPr>
            <w:r w:rsidRPr="00343219">
              <w:rPr>
                <w:rFonts w:ascii="Arial" w:hAnsi="Arial" w:cs="Arial"/>
                <w:sz w:val="20"/>
                <w:szCs w:val="20"/>
              </w:rPr>
              <w:t>3155/29</w:t>
            </w:r>
          </w:p>
        </w:tc>
        <w:tc>
          <w:tcPr>
            <w:tcW w:w="884" w:type="dxa"/>
            <w:noWrap/>
            <w:vAlign w:val="center"/>
          </w:tcPr>
          <w:p w14:paraId="1D03A581"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875</w:t>
            </w:r>
          </w:p>
        </w:tc>
        <w:tc>
          <w:tcPr>
            <w:tcW w:w="2268" w:type="dxa"/>
            <w:noWrap/>
            <w:vAlign w:val="center"/>
          </w:tcPr>
          <w:p w14:paraId="2FF10361"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zastavitelná plocha </w:t>
            </w:r>
          </w:p>
        </w:tc>
      </w:tr>
      <w:tr w:rsidR="00147CEE" w:rsidRPr="00343219" w14:paraId="5FD84532" w14:textId="77777777" w:rsidTr="002D2D45">
        <w:trPr>
          <w:trHeight w:val="255"/>
          <w:jc w:val="center"/>
        </w:trPr>
        <w:tc>
          <w:tcPr>
            <w:tcW w:w="886" w:type="dxa"/>
            <w:vAlign w:val="center"/>
          </w:tcPr>
          <w:p w14:paraId="55E1FA88"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8Z-33c</w:t>
            </w:r>
          </w:p>
        </w:tc>
        <w:tc>
          <w:tcPr>
            <w:tcW w:w="2835" w:type="dxa"/>
            <w:noWrap/>
            <w:vAlign w:val="center"/>
          </w:tcPr>
          <w:p w14:paraId="59550D78"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2EF29B2C" w14:textId="77777777" w:rsidR="00147CEE" w:rsidRPr="00343219" w:rsidRDefault="00147CEE" w:rsidP="002D2D45">
            <w:pPr>
              <w:rPr>
                <w:rFonts w:ascii="Arial" w:hAnsi="Arial" w:cs="Arial"/>
                <w:sz w:val="20"/>
                <w:szCs w:val="20"/>
              </w:rPr>
            </w:pPr>
            <w:r w:rsidRPr="00343219">
              <w:rPr>
                <w:rFonts w:ascii="Arial" w:hAnsi="Arial" w:cs="Arial"/>
                <w:sz w:val="20"/>
                <w:szCs w:val="20"/>
              </w:rPr>
              <w:t>Podmokly</w:t>
            </w:r>
          </w:p>
        </w:tc>
        <w:tc>
          <w:tcPr>
            <w:tcW w:w="1723" w:type="dxa"/>
            <w:vAlign w:val="center"/>
          </w:tcPr>
          <w:p w14:paraId="2C37B403" w14:textId="77777777" w:rsidR="00147CEE" w:rsidRPr="00343219" w:rsidRDefault="00147CEE" w:rsidP="002D2D45">
            <w:pPr>
              <w:rPr>
                <w:rFonts w:ascii="Arial" w:hAnsi="Arial" w:cs="Arial"/>
                <w:sz w:val="20"/>
                <w:szCs w:val="20"/>
              </w:rPr>
            </w:pPr>
            <w:r w:rsidRPr="00343219">
              <w:rPr>
                <w:rFonts w:ascii="Arial" w:hAnsi="Arial" w:cs="Arial"/>
                <w:sz w:val="20"/>
                <w:szCs w:val="20"/>
              </w:rPr>
              <w:t>3155/31, 3155/32</w:t>
            </w:r>
          </w:p>
        </w:tc>
        <w:tc>
          <w:tcPr>
            <w:tcW w:w="884" w:type="dxa"/>
            <w:noWrap/>
            <w:vAlign w:val="center"/>
          </w:tcPr>
          <w:p w14:paraId="7001A670"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fldChar w:fldCharType="begin"/>
            </w:r>
            <w:r w:rsidRPr="00343219">
              <w:rPr>
                <w:rFonts w:ascii="Arial" w:hAnsi="Arial" w:cs="Arial"/>
                <w:sz w:val="20"/>
                <w:szCs w:val="20"/>
              </w:rPr>
              <w:instrText xml:space="preserve"> =SUM(ABOVE) </w:instrText>
            </w:r>
            <w:r w:rsidRPr="00343219">
              <w:rPr>
                <w:rFonts w:ascii="Arial" w:hAnsi="Arial" w:cs="Arial"/>
                <w:sz w:val="20"/>
                <w:szCs w:val="20"/>
              </w:rPr>
              <w:fldChar w:fldCharType="separate"/>
            </w:r>
            <w:r w:rsidRPr="00343219">
              <w:rPr>
                <w:rFonts w:ascii="Arial" w:hAnsi="Arial" w:cs="Arial"/>
                <w:noProof/>
                <w:sz w:val="20"/>
                <w:szCs w:val="20"/>
              </w:rPr>
              <w:t>1639</w:t>
            </w:r>
            <w:r w:rsidRPr="00343219">
              <w:rPr>
                <w:rFonts w:ascii="Arial" w:hAnsi="Arial" w:cs="Arial"/>
                <w:sz w:val="20"/>
                <w:szCs w:val="20"/>
              </w:rPr>
              <w:fldChar w:fldCharType="end"/>
            </w:r>
          </w:p>
        </w:tc>
        <w:tc>
          <w:tcPr>
            <w:tcW w:w="2268" w:type="dxa"/>
            <w:noWrap/>
            <w:vAlign w:val="center"/>
          </w:tcPr>
          <w:p w14:paraId="0A5AFE3E"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zastavitelná plocha </w:t>
            </w:r>
          </w:p>
        </w:tc>
      </w:tr>
      <w:tr w:rsidR="00147CEE" w:rsidRPr="00343219" w14:paraId="12EAFA12" w14:textId="77777777" w:rsidTr="002D2D45">
        <w:trPr>
          <w:trHeight w:val="300"/>
          <w:jc w:val="center"/>
        </w:trPr>
        <w:tc>
          <w:tcPr>
            <w:tcW w:w="886" w:type="dxa"/>
            <w:shd w:val="clear" w:color="auto" w:fill="auto"/>
            <w:vAlign w:val="center"/>
          </w:tcPr>
          <w:p w14:paraId="06E3839B"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8Z-34</w:t>
            </w:r>
          </w:p>
        </w:tc>
        <w:tc>
          <w:tcPr>
            <w:tcW w:w="2835" w:type="dxa"/>
            <w:shd w:val="clear" w:color="auto" w:fill="auto"/>
            <w:noWrap/>
            <w:vAlign w:val="center"/>
          </w:tcPr>
          <w:p w14:paraId="613C8F1F"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RD venkovského typu</w:t>
            </w:r>
          </w:p>
        </w:tc>
        <w:tc>
          <w:tcPr>
            <w:tcW w:w="1894" w:type="dxa"/>
            <w:shd w:val="clear" w:color="auto" w:fill="auto"/>
            <w:noWrap/>
            <w:vAlign w:val="center"/>
          </w:tcPr>
          <w:p w14:paraId="6B4B92D8" w14:textId="77777777" w:rsidR="00147CEE" w:rsidRPr="00343219" w:rsidRDefault="00147CEE" w:rsidP="002D2D45">
            <w:pPr>
              <w:rPr>
                <w:rFonts w:ascii="Arial" w:hAnsi="Arial" w:cs="Arial"/>
                <w:sz w:val="20"/>
                <w:szCs w:val="20"/>
              </w:rPr>
            </w:pPr>
            <w:r w:rsidRPr="00343219">
              <w:rPr>
                <w:rFonts w:ascii="Arial" w:hAnsi="Arial" w:cs="Arial"/>
                <w:sz w:val="20"/>
                <w:szCs w:val="20"/>
              </w:rPr>
              <w:t>Prostřední Žleb</w:t>
            </w:r>
          </w:p>
        </w:tc>
        <w:tc>
          <w:tcPr>
            <w:tcW w:w="1723" w:type="dxa"/>
            <w:shd w:val="clear" w:color="auto" w:fill="auto"/>
            <w:vAlign w:val="center"/>
          </w:tcPr>
          <w:p w14:paraId="4D4D489A" w14:textId="77777777" w:rsidR="00147CEE" w:rsidRPr="00343219" w:rsidRDefault="00147CEE" w:rsidP="002D2D45">
            <w:pPr>
              <w:rPr>
                <w:rFonts w:ascii="Arial" w:hAnsi="Arial" w:cs="Arial"/>
                <w:sz w:val="20"/>
                <w:szCs w:val="20"/>
              </w:rPr>
            </w:pPr>
            <w:r w:rsidRPr="00343219">
              <w:rPr>
                <w:rFonts w:ascii="Arial" w:hAnsi="Arial" w:cs="Arial"/>
                <w:sz w:val="20"/>
                <w:szCs w:val="20"/>
              </w:rPr>
              <w:t>881/2, 884/2</w:t>
            </w:r>
          </w:p>
        </w:tc>
        <w:tc>
          <w:tcPr>
            <w:tcW w:w="884" w:type="dxa"/>
            <w:shd w:val="clear" w:color="auto" w:fill="auto"/>
            <w:noWrap/>
            <w:vAlign w:val="center"/>
          </w:tcPr>
          <w:p w14:paraId="28E71796"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3749</w:t>
            </w:r>
          </w:p>
        </w:tc>
        <w:tc>
          <w:tcPr>
            <w:tcW w:w="2268" w:type="dxa"/>
            <w:shd w:val="clear" w:color="auto" w:fill="auto"/>
            <w:noWrap/>
            <w:vAlign w:val="center"/>
          </w:tcPr>
          <w:p w14:paraId="44808E96"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3FE17B3B" w14:textId="77777777" w:rsidTr="002D2D45">
        <w:trPr>
          <w:trHeight w:val="255"/>
          <w:jc w:val="center"/>
        </w:trPr>
        <w:tc>
          <w:tcPr>
            <w:tcW w:w="886" w:type="dxa"/>
            <w:vAlign w:val="center"/>
          </w:tcPr>
          <w:p w14:paraId="5B883564"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8Z-35</w:t>
            </w:r>
          </w:p>
        </w:tc>
        <w:tc>
          <w:tcPr>
            <w:tcW w:w="2835" w:type="dxa"/>
            <w:noWrap/>
            <w:vAlign w:val="center"/>
          </w:tcPr>
          <w:p w14:paraId="137527A8"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107F01D8" w14:textId="77777777" w:rsidR="00147CEE" w:rsidRPr="00343219" w:rsidRDefault="00147CEE" w:rsidP="002D2D45">
            <w:pPr>
              <w:rPr>
                <w:rFonts w:ascii="Arial" w:hAnsi="Arial" w:cs="Arial"/>
                <w:sz w:val="20"/>
                <w:szCs w:val="20"/>
              </w:rPr>
            </w:pPr>
            <w:r w:rsidRPr="00343219">
              <w:rPr>
                <w:rFonts w:ascii="Arial" w:hAnsi="Arial" w:cs="Arial"/>
                <w:sz w:val="20"/>
                <w:szCs w:val="20"/>
              </w:rPr>
              <w:t>Vilsnice</w:t>
            </w:r>
          </w:p>
        </w:tc>
        <w:tc>
          <w:tcPr>
            <w:tcW w:w="1723" w:type="dxa"/>
            <w:vAlign w:val="center"/>
          </w:tcPr>
          <w:p w14:paraId="73767C94" w14:textId="77777777" w:rsidR="00147CEE" w:rsidRPr="00343219" w:rsidRDefault="00147CEE" w:rsidP="002D2D45">
            <w:pPr>
              <w:rPr>
                <w:rFonts w:ascii="Arial" w:hAnsi="Arial" w:cs="Arial"/>
                <w:sz w:val="20"/>
                <w:szCs w:val="20"/>
              </w:rPr>
            </w:pPr>
            <w:r w:rsidRPr="00343219">
              <w:rPr>
                <w:rFonts w:ascii="Arial" w:hAnsi="Arial" w:cs="Arial"/>
                <w:sz w:val="20"/>
                <w:szCs w:val="20"/>
              </w:rPr>
              <w:t>77/6</w:t>
            </w:r>
          </w:p>
        </w:tc>
        <w:tc>
          <w:tcPr>
            <w:tcW w:w="884" w:type="dxa"/>
            <w:noWrap/>
            <w:vAlign w:val="center"/>
          </w:tcPr>
          <w:p w14:paraId="2396340D"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636</w:t>
            </w:r>
          </w:p>
        </w:tc>
        <w:tc>
          <w:tcPr>
            <w:tcW w:w="2268" w:type="dxa"/>
            <w:noWrap/>
            <w:vAlign w:val="center"/>
          </w:tcPr>
          <w:p w14:paraId="54579AFB"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zastavitelná plocha </w:t>
            </w:r>
          </w:p>
        </w:tc>
      </w:tr>
      <w:tr w:rsidR="00147CEE" w:rsidRPr="00343219" w14:paraId="5FBAA915" w14:textId="77777777" w:rsidTr="002D2D45">
        <w:trPr>
          <w:trHeight w:val="255"/>
          <w:jc w:val="center"/>
        </w:trPr>
        <w:tc>
          <w:tcPr>
            <w:tcW w:w="886" w:type="dxa"/>
            <w:vAlign w:val="center"/>
          </w:tcPr>
          <w:p w14:paraId="48415D6D"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8Z-36</w:t>
            </w:r>
          </w:p>
        </w:tc>
        <w:tc>
          <w:tcPr>
            <w:tcW w:w="2835" w:type="dxa"/>
            <w:noWrap/>
            <w:vAlign w:val="center"/>
          </w:tcPr>
          <w:p w14:paraId="0EA9F405"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rekreační území</w:t>
            </w:r>
          </w:p>
        </w:tc>
        <w:tc>
          <w:tcPr>
            <w:tcW w:w="1894" w:type="dxa"/>
            <w:noWrap/>
            <w:vAlign w:val="center"/>
          </w:tcPr>
          <w:p w14:paraId="290319FE" w14:textId="77777777" w:rsidR="00147CEE" w:rsidRPr="00343219" w:rsidRDefault="00147CEE" w:rsidP="002D2D45">
            <w:pPr>
              <w:rPr>
                <w:rFonts w:ascii="Arial" w:hAnsi="Arial" w:cs="Arial"/>
                <w:sz w:val="20"/>
                <w:szCs w:val="20"/>
              </w:rPr>
            </w:pPr>
            <w:r w:rsidRPr="00343219">
              <w:rPr>
                <w:rFonts w:ascii="Arial" w:hAnsi="Arial" w:cs="Arial"/>
                <w:sz w:val="20"/>
                <w:szCs w:val="20"/>
              </w:rPr>
              <w:t>Boletice nad Labem</w:t>
            </w:r>
          </w:p>
        </w:tc>
        <w:tc>
          <w:tcPr>
            <w:tcW w:w="1723" w:type="dxa"/>
            <w:vAlign w:val="center"/>
          </w:tcPr>
          <w:p w14:paraId="7708E542" w14:textId="77777777" w:rsidR="00147CEE" w:rsidRPr="00343219" w:rsidRDefault="00147CEE" w:rsidP="002D2D45">
            <w:pPr>
              <w:rPr>
                <w:rFonts w:ascii="Arial" w:hAnsi="Arial" w:cs="Arial"/>
                <w:sz w:val="20"/>
                <w:szCs w:val="20"/>
              </w:rPr>
            </w:pPr>
            <w:r w:rsidRPr="00343219">
              <w:rPr>
                <w:rFonts w:ascii="Arial" w:hAnsi="Arial" w:cs="Arial"/>
                <w:sz w:val="20"/>
                <w:szCs w:val="20"/>
              </w:rPr>
              <w:t>979/6, 979/8</w:t>
            </w:r>
          </w:p>
        </w:tc>
        <w:tc>
          <w:tcPr>
            <w:tcW w:w="884" w:type="dxa"/>
            <w:noWrap/>
            <w:vAlign w:val="center"/>
          </w:tcPr>
          <w:p w14:paraId="2B5019D3"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fldChar w:fldCharType="begin"/>
            </w:r>
            <w:r w:rsidRPr="00343219">
              <w:rPr>
                <w:rFonts w:ascii="Arial" w:hAnsi="Arial" w:cs="Arial"/>
                <w:sz w:val="20"/>
                <w:szCs w:val="20"/>
              </w:rPr>
              <w:instrText xml:space="preserve"> =SUM(ABOVE) </w:instrText>
            </w:r>
            <w:r w:rsidRPr="00343219">
              <w:rPr>
                <w:rFonts w:ascii="Arial" w:hAnsi="Arial" w:cs="Arial"/>
                <w:sz w:val="20"/>
                <w:szCs w:val="20"/>
              </w:rPr>
              <w:fldChar w:fldCharType="separate"/>
            </w:r>
            <w:r w:rsidRPr="00343219">
              <w:rPr>
                <w:rFonts w:ascii="Arial" w:hAnsi="Arial" w:cs="Arial"/>
                <w:noProof/>
                <w:sz w:val="20"/>
                <w:szCs w:val="20"/>
              </w:rPr>
              <w:t>1202</w:t>
            </w:r>
            <w:r w:rsidRPr="00343219">
              <w:rPr>
                <w:rFonts w:ascii="Arial" w:hAnsi="Arial" w:cs="Arial"/>
                <w:sz w:val="20"/>
                <w:szCs w:val="20"/>
              </w:rPr>
              <w:fldChar w:fldCharType="end"/>
            </w:r>
          </w:p>
        </w:tc>
        <w:tc>
          <w:tcPr>
            <w:tcW w:w="2268" w:type="dxa"/>
            <w:noWrap/>
            <w:vAlign w:val="center"/>
          </w:tcPr>
          <w:p w14:paraId="3AFB8F71"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31DE6769" w14:textId="77777777" w:rsidTr="002D2D45">
        <w:trPr>
          <w:trHeight w:val="300"/>
          <w:jc w:val="center"/>
        </w:trPr>
        <w:tc>
          <w:tcPr>
            <w:tcW w:w="886" w:type="dxa"/>
            <w:vAlign w:val="center"/>
          </w:tcPr>
          <w:p w14:paraId="16F56BF7"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8Z-37</w:t>
            </w:r>
          </w:p>
        </w:tc>
        <w:tc>
          <w:tcPr>
            <w:tcW w:w="2835" w:type="dxa"/>
            <w:noWrap/>
            <w:vAlign w:val="center"/>
          </w:tcPr>
          <w:p w14:paraId="603B9455"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plocha smíšená obytná</w:t>
            </w:r>
          </w:p>
        </w:tc>
        <w:tc>
          <w:tcPr>
            <w:tcW w:w="1894" w:type="dxa"/>
            <w:noWrap/>
            <w:vAlign w:val="center"/>
          </w:tcPr>
          <w:p w14:paraId="68B66428" w14:textId="77777777" w:rsidR="00147CEE" w:rsidRPr="00343219" w:rsidRDefault="00147CEE" w:rsidP="002D2D45">
            <w:pPr>
              <w:rPr>
                <w:rFonts w:ascii="Arial" w:hAnsi="Arial" w:cs="Arial"/>
                <w:sz w:val="20"/>
                <w:szCs w:val="20"/>
              </w:rPr>
            </w:pPr>
            <w:r w:rsidRPr="00343219">
              <w:rPr>
                <w:rFonts w:ascii="Arial" w:hAnsi="Arial" w:cs="Arial"/>
                <w:sz w:val="20"/>
                <w:szCs w:val="20"/>
              </w:rPr>
              <w:t xml:space="preserve">Děčín </w:t>
            </w:r>
          </w:p>
        </w:tc>
        <w:tc>
          <w:tcPr>
            <w:tcW w:w="1723" w:type="dxa"/>
            <w:vAlign w:val="center"/>
          </w:tcPr>
          <w:p w14:paraId="382D4639" w14:textId="77777777" w:rsidR="00147CEE" w:rsidRPr="00343219" w:rsidRDefault="00147CEE" w:rsidP="002D2D45">
            <w:pPr>
              <w:rPr>
                <w:rFonts w:ascii="Arial" w:hAnsi="Arial" w:cs="Arial"/>
                <w:sz w:val="20"/>
                <w:szCs w:val="20"/>
              </w:rPr>
            </w:pPr>
            <w:r w:rsidRPr="00343219">
              <w:rPr>
                <w:rFonts w:ascii="Arial" w:hAnsi="Arial" w:cs="Arial"/>
                <w:sz w:val="20"/>
                <w:szCs w:val="20"/>
              </w:rPr>
              <w:t>305/1, 306, 307/1, 307/2</w:t>
            </w:r>
          </w:p>
        </w:tc>
        <w:tc>
          <w:tcPr>
            <w:tcW w:w="884" w:type="dxa"/>
            <w:noWrap/>
            <w:vAlign w:val="center"/>
          </w:tcPr>
          <w:p w14:paraId="3BEBBD91"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6975</w:t>
            </w:r>
          </w:p>
        </w:tc>
        <w:tc>
          <w:tcPr>
            <w:tcW w:w="2268" w:type="dxa"/>
            <w:noWrap/>
            <w:vAlign w:val="center"/>
          </w:tcPr>
          <w:p w14:paraId="5DD43ABE"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přestavbová plocha</w:t>
            </w:r>
          </w:p>
        </w:tc>
      </w:tr>
      <w:tr w:rsidR="00147CEE" w:rsidRPr="00343219" w14:paraId="4C2CE7AE" w14:textId="77777777" w:rsidTr="002D2D45">
        <w:trPr>
          <w:trHeight w:val="255"/>
          <w:jc w:val="center"/>
        </w:trPr>
        <w:tc>
          <w:tcPr>
            <w:tcW w:w="886" w:type="dxa"/>
            <w:shd w:val="clear" w:color="auto" w:fill="auto"/>
            <w:vAlign w:val="center"/>
          </w:tcPr>
          <w:p w14:paraId="3C31FF8F"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8Z-40</w:t>
            </w:r>
          </w:p>
        </w:tc>
        <w:tc>
          <w:tcPr>
            <w:tcW w:w="2835" w:type="dxa"/>
            <w:shd w:val="clear" w:color="auto" w:fill="auto"/>
            <w:noWrap/>
            <w:vAlign w:val="center"/>
          </w:tcPr>
          <w:p w14:paraId="6525F7AD"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shd w:val="clear" w:color="auto" w:fill="auto"/>
            <w:noWrap/>
            <w:vAlign w:val="center"/>
          </w:tcPr>
          <w:p w14:paraId="7C9B82CF" w14:textId="77777777" w:rsidR="00147CEE" w:rsidRPr="00343219" w:rsidRDefault="00147CEE" w:rsidP="002D2D45">
            <w:pPr>
              <w:rPr>
                <w:rFonts w:ascii="Arial" w:hAnsi="Arial" w:cs="Arial"/>
                <w:sz w:val="20"/>
                <w:szCs w:val="20"/>
              </w:rPr>
            </w:pPr>
            <w:r w:rsidRPr="00343219">
              <w:rPr>
                <w:rFonts w:ascii="Arial" w:hAnsi="Arial" w:cs="Arial"/>
                <w:bCs/>
                <w:sz w:val="20"/>
                <w:szCs w:val="20"/>
              </w:rPr>
              <w:t>Horní Oldřichov</w:t>
            </w:r>
          </w:p>
        </w:tc>
        <w:tc>
          <w:tcPr>
            <w:tcW w:w="1723" w:type="dxa"/>
            <w:shd w:val="clear" w:color="auto" w:fill="auto"/>
            <w:vAlign w:val="center"/>
          </w:tcPr>
          <w:p w14:paraId="74F62CAB" w14:textId="77777777" w:rsidR="00147CEE" w:rsidRPr="00343219" w:rsidRDefault="00147CEE" w:rsidP="002D2D45">
            <w:pPr>
              <w:rPr>
                <w:rFonts w:ascii="Arial" w:hAnsi="Arial" w:cs="Arial"/>
                <w:sz w:val="20"/>
                <w:szCs w:val="20"/>
              </w:rPr>
            </w:pPr>
            <w:r w:rsidRPr="00343219">
              <w:rPr>
                <w:rFonts w:ascii="Arial" w:hAnsi="Arial" w:cs="Arial"/>
                <w:sz w:val="20"/>
                <w:szCs w:val="20"/>
              </w:rPr>
              <w:t>899/58</w:t>
            </w:r>
          </w:p>
        </w:tc>
        <w:tc>
          <w:tcPr>
            <w:tcW w:w="884" w:type="dxa"/>
            <w:shd w:val="clear" w:color="auto" w:fill="auto"/>
            <w:noWrap/>
            <w:vAlign w:val="center"/>
          </w:tcPr>
          <w:p w14:paraId="231C8480"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4824</w:t>
            </w:r>
          </w:p>
        </w:tc>
        <w:tc>
          <w:tcPr>
            <w:tcW w:w="2268" w:type="dxa"/>
            <w:shd w:val="clear" w:color="auto" w:fill="auto"/>
            <w:noWrap/>
            <w:vAlign w:val="center"/>
          </w:tcPr>
          <w:p w14:paraId="1813D707"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5B4F868F" w14:textId="77777777" w:rsidTr="002D2D45">
        <w:trPr>
          <w:trHeight w:val="255"/>
          <w:jc w:val="center"/>
        </w:trPr>
        <w:tc>
          <w:tcPr>
            <w:tcW w:w="886" w:type="dxa"/>
            <w:vAlign w:val="center"/>
          </w:tcPr>
          <w:p w14:paraId="71C0EAA1"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8Z-43</w:t>
            </w:r>
          </w:p>
        </w:tc>
        <w:tc>
          <w:tcPr>
            <w:tcW w:w="2835" w:type="dxa"/>
            <w:noWrap/>
            <w:vAlign w:val="center"/>
          </w:tcPr>
          <w:p w14:paraId="10F61C53"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4CA95D1D" w14:textId="77777777" w:rsidR="00147CEE" w:rsidRPr="00343219" w:rsidRDefault="00147CEE" w:rsidP="002D2D45">
            <w:pPr>
              <w:rPr>
                <w:rFonts w:ascii="Arial" w:hAnsi="Arial" w:cs="Arial"/>
                <w:sz w:val="20"/>
                <w:szCs w:val="20"/>
              </w:rPr>
            </w:pPr>
            <w:r w:rsidRPr="00343219">
              <w:rPr>
                <w:rFonts w:ascii="Arial" w:hAnsi="Arial" w:cs="Arial"/>
                <w:bCs/>
                <w:sz w:val="20"/>
                <w:szCs w:val="20"/>
              </w:rPr>
              <w:t>Horní Oldřichov</w:t>
            </w:r>
          </w:p>
        </w:tc>
        <w:tc>
          <w:tcPr>
            <w:tcW w:w="1723" w:type="dxa"/>
            <w:vAlign w:val="center"/>
          </w:tcPr>
          <w:p w14:paraId="18660DE2" w14:textId="77777777" w:rsidR="00147CEE" w:rsidRPr="00343219" w:rsidRDefault="00147CEE" w:rsidP="002D2D45">
            <w:pPr>
              <w:rPr>
                <w:rFonts w:ascii="Arial" w:hAnsi="Arial" w:cs="Arial"/>
                <w:sz w:val="20"/>
                <w:szCs w:val="20"/>
              </w:rPr>
            </w:pPr>
            <w:r w:rsidRPr="00343219">
              <w:rPr>
                <w:rFonts w:ascii="Arial" w:hAnsi="Arial" w:cs="Arial"/>
                <w:sz w:val="20"/>
                <w:szCs w:val="20"/>
              </w:rPr>
              <w:t>1363/1</w:t>
            </w:r>
          </w:p>
        </w:tc>
        <w:tc>
          <w:tcPr>
            <w:tcW w:w="884" w:type="dxa"/>
            <w:noWrap/>
            <w:vAlign w:val="center"/>
          </w:tcPr>
          <w:p w14:paraId="1E2F639B"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2338</w:t>
            </w:r>
          </w:p>
        </w:tc>
        <w:tc>
          <w:tcPr>
            <w:tcW w:w="2268" w:type="dxa"/>
            <w:noWrap/>
            <w:vAlign w:val="center"/>
          </w:tcPr>
          <w:p w14:paraId="1B0CF63F"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5F9E65BA" w14:textId="77777777" w:rsidTr="002D2D45">
        <w:trPr>
          <w:trHeight w:val="255"/>
          <w:jc w:val="center"/>
        </w:trPr>
        <w:tc>
          <w:tcPr>
            <w:tcW w:w="886" w:type="dxa"/>
            <w:vAlign w:val="center"/>
          </w:tcPr>
          <w:p w14:paraId="14E9F438"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8Z-45</w:t>
            </w:r>
          </w:p>
        </w:tc>
        <w:tc>
          <w:tcPr>
            <w:tcW w:w="2835" w:type="dxa"/>
            <w:noWrap/>
            <w:vAlign w:val="center"/>
          </w:tcPr>
          <w:p w14:paraId="6E4ABAC5"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43EBFAC6" w14:textId="77777777" w:rsidR="00147CEE" w:rsidRPr="00343219" w:rsidRDefault="00147CEE" w:rsidP="002D2D45">
            <w:pPr>
              <w:rPr>
                <w:rFonts w:ascii="Arial" w:hAnsi="Arial" w:cs="Arial"/>
                <w:sz w:val="20"/>
                <w:szCs w:val="20"/>
              </w:rPr>
            </w:pPr>
            <w:r w:rsidRPr="00343219">
              <w:rPr>
                <w:rFonts w:ascii="Arial" w:hAnsi="Arial" w:cs="Arial"/>
                <w:sz w:val="20"/>
                <w:szCs w:val="20"/>
              </w:rPr>
              <w:t>Děčín</w:t>
            </w:r>
          </w:p>
        </w:tc>
        <w:tc>
          <w:tcPr>
            <w:tcW w:w="1723" w:type="dxa"/>
            <w:vAlign w:val="center"/>
          </w:tcPr>
          <w:p w14:paraId="4F004449" w14:textId="77777777" w:rsidR="00147CEE" w:rsidRPr="00343219" w:rsidRDefault="00147CEE" w:rsidP="002D2D45">
            <w:pPr>
              <w:rPr>
                <w:rFonts w:ascii="Arial" w:hAnsi="Arial" w:cs="Arial"/>
                <w:sz w:val="20"/>
                <w:szCs w:val="20"/>
              </w:rPr>
            </w:pPr>
            <w:r w:rsidRPr="00343219">
              <w:rPr>
                <w:rFonts w:ascii="Arial" w:hAnsi="Arial" w:cs="Arial"/>
                <w:sz w:val="20"/>
                <w:szCs w:val="20"/>
              </w:rPr>
              <w:t>2829/16</w:t>
            </w:r>
          </w:p>
        </w:tc>
        <w:tc>
          <w:tcPr>
            <w:tcW w:w="884" w:type="dxa"/>
            <w:noWrap/>
            <w:vAlign w:val="center"/>
          </w:tcPr>
          <w:p w14:paraId="584893DD"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1010</w:t>
            </w:r>
          </w:p>
        </w:tc>
        <w:tc>
          <w:tcPr>
            <w:tcW w:w="2268" w:type="dxa"/>
            <w:noWrap/>
            <w:vAlign w:val="center"/>
          </w:tcPr>
          <w:p w14:paraId="735D5BF9"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přestavbová plocha</w:t>
            </w:r>
          </w:p>
        </w:tc>
      </w:tr>
      <w:tr w:rsidR="00147CEE" w:rsidRPr="00343219" w14:paraId="36E8E40B" w14:textId="77777777" w:rsidTr="002D2D45">
        <w:trPr>
          <w:trHeight w:val="255"/>
          <w:jc w:val="center"/>
        </w:trPr>
        <w:tc>
          <w:tcPr>
            <w:tcW w:w="886" w:type="dxa"/>
            <w:vAlign w:val="center"/>
          </w:tcPr>
          <w:p w14:paraId="5AB17D97"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8Z-46</w:t>
            </w:r>
          </w:p>
        </w:tc>
        <w:tc>
          <w:tcPr>
            <w:tcW w:w="2835" w:type="dxa"/>
            <w:noWrap/>
            <w:vAlign w:val="center"/>
          </w:tcPr>
          <w:p w14:paraId="662BEEB5"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3E718253" w14:textId="77777777" w:rsidR="00147CEE" w:rsidRPr="00343219" w:rsidRDefault="00147CEE" w:rsidP="002D2D45">
            <w:pPr>
              <w:rPr>
                <w:rFonts w:ascii="Arial" w:hAnsi="Arial" w:cs="Arial"/>
                <w:sz w:val="20"/>
                <w:szCs w:val="20"/>
              </w:rPr>
            </w:pPr>
            <w:r w:rsidRPr="00343219">
              <w:rPr>
                <w:rFonts w:ascii="Arial" w:hAnsi="Arial" w:cs="Arial"/>
                <w:sz w:val="20"/>
                <w:szCs w:val="20"/>
              </w:rPr>
              <w:t>Chrochvice</w:t>
            </w:r>
          </w:p>
        </w:tc>
        <w:tc>
          <w:tcPr>
            <w:tcW w:w="1723" w:type="dxa"/>
            <w:vAlign w:val="center"/>
          </w:tcPr>
          <w:p w14:paraId="23A18B90" w14:textId="77777777" w:rsidR="00147CEE" w:rsidRPr="00343219" w:rsidRDefault="00147CEE" w:rsidP="002D2D45">
            <w:pPr>
              <w:rPr>
                <w:rFonts w:ascii="Arial" w:hAnsi="Arial" w:cs="Arial"/>
                <w:sz w:val="20"/>
                <w:szCs w:val="20"/>
              </w:rPr>
            </w:pPr>
            <w:r w:rsidRPr="00343219">
              <w:rPr>
                <w:rFonts w:ascii="Arial" w:hAnsi="Arial" w:cs="Arial"/>
                <w:sz w:val="20"/>
                <w:szCs w:val="20"/>
              </w:rPr>
              <w:t>42/2</w:t>
            </w:r>
          </w:p>
        </w:tc>
        <w:tc>
          <w:tcPr>
            <w:tcW w:w="884" w:type="dxa"/>
            <w:noWrap/>
            <w:vAlign w:val="center"/>
          </w:tcPr>
          <w:p w14:paraId="0773CBE3"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fldChar w:fldCharType="begin"/>
            </w:r>
            <w:r w:rsidRPr="00343219">
              <w:rPr>
                <w:rFonts w:ascii="Arial" w:hAnsi="Arial" w:cs="Arial"/>
                <w:sz w:val="20"/>
                <w:szCs w:val="20"/>
              </w:rPr>
              <w:instrText xml:space="preserve"> =SUM(ABOVE) </w:instrText>
            </w:r>
            <w:r w:rsidRPr="00343219">
              <w:rPr>
                <w:rFonts w:ascii="Arial" w:hAnsi="Arial" w:cs="Arial"/>
                <w:sz w:val="20"/>
                <w:szCs w:val="20"/>
              </w:rPr>
              <w:fldChar w:fldCharType="separate"/>
            </w:r>
            <w:r w:rsidRPr="00343219">
              <w:rPr>
                <w:rFonts w:ascii="Arial" w:hAnsi="Arial" w:cs="Arial"/>
                <w:noProof/>
                <w:sz w:val="20"/>
                <w:szCs w:val="20"/>
              </w:rPr>
              <w:t>1728</w:t>
            </w:r>
            <w:r w:rsidRPr="00343219">
              <w:rPr>
                <w:rFonts w:ascii="Arial" w:hAnsi="Arial" w:cs="Arial"/>
                <w:sz w:val="20"/>
                <w:szCs w:val="20"/>
              </w:rPr>
              <w:fldChar w:fldCharType="end"/>
            </w:r>
          </w:p>
        </w:tc>
        <w:tc>
          <w:tcPr>
            <w:tcW w:w="2268" w:type="dxa"/>
            <w:noWrap/>
            <w:vAlign w:val="center"/>
          </w:tcPr>
          <w:p w14:paraId="00617C44"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přestavbová plocha</w:t>
            </w:r>
          </w:p>
        </w:tc>
      </w:tr>
      <w:tr w:rsidR="00147CEE" w:rsidRPr="00343219" w14:paraId="6D373D90" w14:textId="77777777" w:rsidTr="002D2D45">
        <w:trPr>
          <w:trHeight w:val="255"/>
          <w:jc w:val="center"/>
        </w:trPr>
        <w:tc>
          <w:tcPr>
            <w:tcW w:w="886" w:type="dxa"/>
            <w:vAlign w:val="center"/>
          </w:tcPr>
          <w:p w14:paraId="1F813B56"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8Z-47</w:t>
            </w:r>
          </w:p>
        </w:tc>
        <w:tc>
          <w:tcPr>
            <w:tcW w:w="2835" w:type="dxa"/>
            <w:noWrap/>
            <w:vAlign w:val="center"/>
          </w:tcPr>
          <w:p w14:paraId="3BCE2317"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6E2502D1" w14:textId="77777777" w:rsidR="00147CEE" w:rsidRPr="00343219" w:rsidRDefault="00147CEE" w:rsidP="002D2D45">
            <w:pPr>
              <w:rPr>
                <w:rFonts w:ascii="Arial" w:hAnsi="Arial" w:cs="Arial"/>
                <w:sz w:val="20"/>
                <w:szCs w:val="20"/>
              </w:rPr>
            </w:pPr>
            <w:r w:rsidRPr="00343219">
              <w:rPr>
                <w:rFonts w:ascii="Arial" w:hAnsi="Arial" w:cs="Arial"/>
                <w:sz w:val="20"/>
                <w:szCs w:val="20"/>
              </w:rPr>
              <w:t>Křešice</w:t>
            </w:r>
          </w:p>
        </w:tc>
        <w:tc>
          <w:tcPr>
            <w:tcW w:w="1723" w:type="dxa"/>
            <w:vAlign w:val="center"/>
          </w:tcPr>
          <w:p w14:paraId="1CEA077C" w14:textId="77777777" w:rsidR="00147CEE" w:rsidRPr="00343219" w:rsidRDefault="00147CEE" w:rsidP="002D2D45">
            <w:pPr>
              <w:rPr>
                <w:rFonts w:ascii="Arial" w:hAnsi="Arial" w:cs="Arial"/>
                <w:sz w:val="20"/>
                <w:szCs w:val="20"/>
              </w:rPr>
            </w:pPr>
            <w:r w:rsidRPr="00343219">
              <w:rPr>
                <w:rFonts w:ascii="Arial" w:hAnsi="Arial" w:cs="Arial"/>
                <w:sz w:val="20"/>
                <w:szCs w:val="20"/>
              </w:rPr>
              <w:t xml:space="preserve">379/4, </w:t>
            </w:r>
          </w:p>
        </w:tc>
        <w:tc>
          <w:tcPr>
            <w:tcW w:w="884" w:type="dxa"/>
            <w:noWrap/>
            <w:vAlign w:val="center"/>
          </w:tcPr>
          <w:p w14:paraId="592DE7C1"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5592</w:t>
            </w:r>
          </w:p>
        </w:tc>
        <w:tc>
          <w:tcPr>
            <w:tcW w:w="2268" w:type="dxa"/>
            <w:noWrap/>
            <w:vAlign w:val="center"/>
          </w:tcPr>
          <w:p w14:paraId="5120AA6F"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699A1284" w14:textId="77777777" w:rsidTr="002D2D45">
        <w:trPr>
          <w:trHeight w:val="300"/>
          <w:jc w:val="center"/>
        </w:trPr>
        <w:tc>
          <w:tcPr>
            <w:tcW w:w="886" w:type="dxa"/>
            <w:vAlign w:val="center"/>
          </w:tcPr>
          <w:p w14:paraId="7B41A3F6"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8Z-48</w:t>
            </w:r>
          </w:p>
        </w:tc>
        <w:tc>
          <w:tcPr>
            <w:tcW w:w="2835" w:type="dxa"/>
            <w:noWrap/>
            <w:vAlign w:val="center"/>
          </w:tcPr>
          <w:p w14:paraId="203C0EE1"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3B13809D" w14:textId="77777777" w:rsidR="00147CEE" w:rsidRPr="00343219" w:rsidRDefault="00147CEE" w:rsidP="002D2D45">
            <w:pPr>
              <w:rPr>
                <w:rFonts w:ascii="Arial" w:hAnsi="Arial" w:cs="Arial"/>
                <w:sz w:val="20"/>
                <w:szCs w:val="20"/>
              </w:rPr>
            </w:pPr>
            <w:r w:rsidRPr="00343219">
              <w:rPr>
                <w:rFonts w:ascii="Arial" w:hAnsi="Arial" w:cs="Arial"/>
                <w:bCs/>
                <w:sz w:val="20"/>
                <w:szCs w:val="20"/>
              </w:rPr>
              <w:t>Horní Oldřichov</w:t>
            </w:r>
          </w:p>
        </w:tc>
        <w:tc>
          <w:tcPr>
            <w:tcW w:w="1723" w:type="dxa"/>
            <w:vAlign w:val="center"/>
          </w:tcPr>
          <w:p w14:paraId="7639EDAF" w14:textId="77777777" w:rsidR="00147CEE" w:rsidRPr="00343219" w:rsidRDefault="00147CEE" w:rsidP="002D2D45">
            <w:pPr>
              <w:rPr>
                <w:rFonts w:ascii="Arial" w:hAnsi="Arial" w:cs="Arial"/>
                <w:sz w:val="20"/>
                <w:szCs w:val="20"/>
              </w:rPr>
            </w:pPr>
            <w:r w:rsidRPr="00343219">
              <w:rPr>
                <w:rFonts w:ascii="Arial" w:hAnsi="Arial" w:cs="Arial"/>
                <w:sz w:val="20"/>
                <w:szCs w:val="20"/>
              </w:rPr>
              <w:t>1039/14, /5, 796, 880</w:t>
            </w:r>
          </w:p>
        </w:tc>
        <w:tc>
          <w:tcPr>
            <w:tcW w:w="884" w:type="dxa"/>
            <w:noWrap/>
            <w:vAlign w:val="center"/>
          </w:tcPr>
          <w:p w14:paraId="27604CEF"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1818</w:t>
            </w:r>
          </w:p>
        </w:tc>
        <w:tc>
          <w:tcPr>
            <w:tcW w:w="2268" w:type="dxa"/>
            <w:noWrap/>
            <w:vAlign w:val="center"/>
          </w:tcPr>
          <w:p w14:paraId="34743821"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377E808F" w14:textId="77777777" w:rsidTr="002D2D45">
        <w:trPr>
          <w:trHeight w:val="255"/>
          <w:jc w:val="center"/>
        </w:trPr>
        <w:tc>
          <w:tcPr>
            <w:tcW w:w="886" w:type="dxa"/>
            <w:vAlign w:val="center"/>
          </w:tcPr>
          <w:p w14:paraId="56C54B90"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8Z-49</w:t>
            </w:r>
          </w:p>
        </w:tc>
        <w:tc>
          <w:tcPr>
            <w:tcW w:w="2835" w:type="dxa"/>
            <w:noWrap/>
            <w:vAlign w:val="center"/>
          </w:tcPr>
          <w:p w14:paraId="69F0A595"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500D2FE7" w14:textId="77777777" w:rsidR="00147CEE" w:rsidRPr="00343219" w:rsidRDefault="00147CEE" w:rsidP="002D2D45">
            <w:pPr>
              <w:rPr>
                <w:rFonts w:ascii="Arial" w:hAnsi="Arial" w:cs="Arial"/>
                <w:sz w:val="20"/>
                <w:szCs w:val="20"/>
              </w:rPr>
            </w:pPr>
            <w:r w:rsidRPr="00343219">
              <w:rPr>
                <w:rFonts w:ascii="Arial" w:hAnsi="Arial" w:cs="Arial"/>
                <w:bCs/>
                <w:sz w:val="20"/>
                <w:szCs w:val="20"/>
              </w:rPr>
              <w:t>Horní Oldřichov</w:t>
            </w:r>
          </w:p>
        </w:tc>
        <w:tc>
          <w:tcPr>
            <w:tcW w:w="1723" w:type="dxa"/>
            <w:vAlign w:val="center"/>
          </w:tcPr>
          <w:p w14:paraId="24F3848A" w14:textId="77777777" w:rsidR="00147CEE" w:rsidRPr="00343219" w:rsidRDefault="00147CEE" w:rsidP="002D2D45">
            <w:pPr>
              <w:rPr>
                <w:rFonts w:ascii="Arial" w:hAnsi="Arial" w:cs="Arial"/>
                <w:sz w:val="20"/>
                <w:szCs w:val="20"/>
              </w:rPr>
            </w:pPr>
            <w:r w:rsidRPr="00343219">
              <w:rPr>
                <w:rFonts w:ascii="Arial" w:hAnsi="Arial" w:cs="Arial"/>
                <w:sz w:val="20"/>
                <w:szCs w:val="20"/>
              </w:rPr>
              <w:t>1039/7, /8</w:t>
            </w:r>
          </w:p>
        </w:tc>
        <w:tc>
          <w:tcPr>
            <w:tcW w:w="884" w:type="dxa"/>
            <w:noWrap/>
            <w:vAlign w:val="center"/>
          </w:tcPr>
          <w:p w14:paraId="2D3070E2"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fldChar w:fldCharType="begin"/>
            </w:r>
            <w:r w:rsidRPr="00343219">
              <w:rPr>
                <w:rFonts w:ascii="Arial" w:hAnsi="Arial" w:cs="Arial"/>
                <w:sz w:val="20"/>
                <w:szCs w:val="20"/>
              </w:rPr>
              <w:instrText xml:space="preserve"> =SUM(ABOVE) </w:instrText>
            </w:r>
            <w:r w:rsidRPr="00343219">
              <w:rPr>
                <w:rFonts w:ascii="Arial" w:hAnsi="Arial" w:cs="Arial"/>
                <w:sz w:val="20"/>
                <w:szCs w:val="20"/>
              </w:rPr>
              <w:fldChar w:fldCharType="separate"/>
            </w:r>
            <w:r w:rsidRPr="00343219">
              <w:rPr>
                <w:rFonts w:ascii="Arial" w:hAnsi="Arial" w:cs="Arial"/>
                <w:noProof/>
                <w:sz w:val="20"/>
                <w:szCs w:val="20"/>
              </w:rPr>
              <w:t>2242</w:t>
            </w:r>
            <w:r w:rsidRPr="00343219">
              <w:rPr>
                <w:rFonts w:ascii="Arial" w:hAnsi="Arial" w:cs="Arial"/>
                <w:sz w:val="20"/>
                <w:szCs w:val="20"/>
              </w:rPr>
              <w:fldChar w:fldCharType="end"/>
            </w:r>
          </w:p>
        </w:tc>
        <w:tc>
          <w:tcPr>
            <w:tcW w:w="2268" w:type="dxa"/>
            <w:noWrap/>
            <w:vAlign w:val="center"/>
          </w:tcPr>
          <w:p w14:paraId="36676445"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7B0DE8C9" w14:textId="77777777" w:rsidTr="002D2D45">
        <w:trPr>
          <w:trHeight w:val="255"/>
          <w:jc w:val="center"/>
        </w:trPr>
        <w:tc>
          <w:tcPr>
            <w:tcW w:w="886" w:type="dxa"/>
            <w:shd w:val="clear" w:color="auto" w:fill="auto"/>
            <w:vAlign w:val="center"/>
          </w:tcPr>
          <w:p w14:paraId="0B16D175"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8Z-50b</w:t>
            </w:r>
          </w:p>
        </w:tc>
        <w:tc>
          <w:tcPr>
            <w:tcW w:w="2835" w:type="dxa"/>
            <w:shd w:val="clear" w:color="auto" w:fill="auto"/>
            <w:noWrap/>
            <w:vAlign w:val="center"/>
          </w:tcPr>
          <w:p w14:paraId="056E3160"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shd w:val="clear" w:color="auto" w:fill="auto"/>
            <w:noWrap/>
            <w:vAlign w:val="center"/>
          </w:tcPr>
          <w:p w14:paraId="6F68E85E" w14:textId="77777777" w:rsidR="00147CEE" w:rsidRPr="00343219" w:rsidRDefault="00147CEE" w:rsidP="002D2D45">
            <w:pPr>
              <w:rPr>
                <w:rFonts w:ascii="Arial" w:hAnsi="Arial" w:cs="Arial"/>
                <w:sz w:val="20"/>
                <w:szCs w:val="20"/>
              </w:rPr>
            </w:pPr>
            <w:r w:rsidRPr="00343219">
              <w:rPr>
                <w:rFonts w:ascii="Arial" w:hAnsi="Arial" w:cs="Arial"/>
                <w:bCs/>
                <w:sz w:val="20"/>
                <w:szCs w:val="20"/>
              </w:rPr>
              <w:t>Horní Oldřichov</w:t>
            </w:r>
          </w:p>
        </w:tc>
        <w:tc>
          <w:tcPr>
            <w:tcW w:w="1723" w:type="dxa"/>
            <w:shd w:val="clear" w:color="auto" w:fill="auto"/>
            <w:vAlign w:val="center"/>
          </w:tcPr>
          <w:p w14:paraId="26A75CB4" w14:textId="77777777" w:rsidR="00147CEE" w:rsidRPr="00343219" w:rsidRDefault="00147CEE" w:rsidP="002D2D45">
            <w:pPr>
              <w:rPr>
                <w:rFonts w:ascii="Arial" w:hAnsi="Arial" w:cs="Arial"/>
                <w:sz w:val="20"/>
                <w:szCs w:val="20"/>
              </w:rPr>
            </w:pPr>
            <w:r w:rsidRPr="00343219">
              <w:rPr>
                <w:rFonts w:ascii="Arial" w:hAnsi="Arial" w:cs="Arial"/>
                <w:sz w:val="20"/>
                <w:szCs w:val="20"/>
              </w:rPr>
              <w:t>899/64</w:t>
            </w:r>
          </w:p>
        </w:tc>
        <w:tc>
          <w:tcPr>
            <w:tcW w:w="884" w:type="dxa"/>
            <w:shd w:val="clear" w:color="auto" w:fill="auto"/>
            <w:noWrap/>
            <w:vAlign w:val="center"/>
          </w:tcPr>
          <w:p w14:paraId="7D9C3749"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2565</w:t>
            </w:r>
          </w:p>
        </w:tc>
        <w:tc>
          <w:tcPr>
            <w:tcW w:w="2268" w:type="dxa"/>
            <w:shd w:val="clear" w:color="auto" w:fill="auto"/>
            <w:noWrap/>
            <w:vAlign w:val="center"/>
          </w:tcPr>
          <w:p w14:paraId="6D01D9D0"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7A359526" w14:textId="77777777" w:rsidTr="002D2D45">
        <w:trPr>
          <w:trHeight w:val="255"/>
          <w:jc w:val="center"/>
        </w:trPr>
        <w:tc>
          <w:tcPr>
            <w:tcW w:w="886" w:type="dxa"/>
            <w:vAlign w:val="center"/>
          </w:tcPr>
          <w:p w14:paraId="5FA85A55"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8Z-52</w:t>
            </w:r>
          </w:p>
        </w:tc>
        <w:tc>
          <w:tcPr>
            <w:tcW w:w="2835" w:type="dxa"/>
            <w:noWrap/>
            <w:vAlign w:val="center"/>
          </w:tcPr>
          <w:p w14:paraId="589E5DB2"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4E7D684E" w14:textId="77777777" w:rsidR="00147CEE" w:rsidRPr="00343219" w:rsidRDefault="00147CEE" w:rsidP="002D2D45">
            <w:pPr>
              <w:rPr>
                <w:rFonts w:ascii="Arial" w:hAnsi="Arial" w:cs="Arial"/>
                <w:sz w:val="20"/>
                <w:szCs w:val="20"/>
              </w:rPr>
            </w:pPr>
            <w:r w:rsidRPr="00343219">
              <w:rPr>
                <w:rFonts w:ascii="Arial" w:hAnsi="Arial" w:cs="Arial"/>
                <w:sz w:val="20"/>
                <w:szCs w:val="20"/>
              </w:rPr>
              <w:t>Vilsnice</w:t>
            </w:r>
          </w:p>
        </w:tc>
        <w:tc>
          <w:tcPr>
            <w:tcW w:w="1723" w:type="dxa"/>
            <w:vAlign w:val="center"/>
          </w:tcPr>
          <w:p w14:paraId="3C174EBB" w14:textId="77777777" w:rsidR="00147CEE" w:rsidRPr="00343219" w:rsidRDefault="00147CEE" w:rsidP="002D2D45">
            <w:pPr>
              <w:rPr>
                <w:rFonts w:ascii="Arial" w:hAnsi="Arial" w:cs="Arial"/>
                <w:sz w:val="20"/>
                <w:szCs w:val="20"/>
              </w:rPr>
            </w:pPr>
            <w:r w:rsidRPr="00343219">
              <w:rPr>
                <w:rFonts w:ascii="Arial" w:hAnsi="Arial" w:cs="Arial"/>
                <w:sz w:val="20"/>
                <w:szCs w:val="20"/>
              </w:rPr>
              <w:t>487/2</w:t>
            </w:r>
          </w:p>
        </w:tc>
        <w:tc>
          <w:tcPr>
            <w:tcW w:w="884" w:type="dxa"/>
            <w:noWrap/>
            <w:vAlign w:val="center"/>
          </w:tcPr>
          <w:p w14:paraId="65341FF7" w14:textId="77777777" w:rsidR="00147CEE" w:rsidRPr="00343219" w:rsidRDefault="00147CEE" w:rsidP="002D2D45">
            <w:pPr>
              <w:overflowPunct w:val="0"/>
              <w:autoSpaceDE w:val="0"/>
              <w:autoSpaceDN w:val="0"/>
              <w:adjustRightInd w:val="0"/>
              <w:jc w:val="right"/>
              <w:textAlignment w:val="baseline"/>
              <w:rPr>
                <w:rFonts w:ascii="Arial" w:hAnsi="Arial" w:cs="Arial"/>
                <w:sz w:val="20"/>
                <w:szCs w:val="20"/>
              </w:rPr>
            </w:pPr>
            <w:r w:rsidRPr="00343219">
              <w:rPr>
                <w:rFonts w:ascii="Arial" w:hAnsi="Arial" w:cs="Arial"/>
                <w:sz w:val="20"/>
                <w:szCs w:val="20"/>
              </w:rPr>
              <w:t>1275</w:t>
            </w:r>
          </w:p>
        </w:tc>
        <w:tc>
          <w:tcPr>
            <w:tcW w:w="2268" w:type="dxa"/>
            <w:noWrap/>
            <w:vAlign w:val="center"/>
          </w:tcPr>
          <w:p w14:paraId="1BBB443D"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5EB9D26F" w14:textId="77777777" w:rsidTr="002D2D45">
        <w:trPr>
          <w:trHeight w:val="255"/>
          <w:jc w:val="center"/>
        </w:trPr>
        <w:tc>
          <w:tcPr>
            <w:tcW w:w="886" w:type="dxa"/>
            <w:vAlign w:val="center"/>
          </w:tcPr>
          <w:p w14:paraId="74A7CD76" w14:textId="77777777" w:rsidR="00147CEE" w:rsidRPr="00343219" w:rsidRDefault="00147CEE" w:rsidP="002D2D45">
            <w:pPr>
              <w:jc w:val="center"/>
              <w:rPr>
                <w:rFonts w:ascii="Arial" w:hAnsi="Arial" w:cs="Arial"/>
                <w:b/>
                <w:sz w:val="20"/>
                <w:szCs w:val="20"/>
              </w:rPr>
            </w:pPr>
            <w:r w:rsidRPr="00343219">
              <w:rPr>
                <w:rFonts w:ascii="Arial" w:hAnsi="Arial" w:cs="Arial"/>
                <w:b/>
                <w:sz w:val="20"/>
                <w:szCs w:val="20"/>
              </w:rPr>
              <w:t>8Z-55</w:t>
            </w:r>
          </w:p>
        </w:tc>
        <w:tc>
          <w:tcPr>
            <w:tcW w:w="2835" w:type="dxa"/>
            <w:noWrap/>
            <w:vAlign w:val="center"/>
          </w:tcPr>
          <w:p w14:paraId="64820F0B" w14:textId="77777777" w:rsidR="00147CEE" w:rsidRPr="00343219" w:rsidRDefault="00147CEE" w:rsidP="002D2D45">
            <w:pPr>
              <w:rPr>
                <w:rFonts w:ascii="Arial" w:hAnsi="Arial" w:cs="Arial"/>
                <w:sz w:val="20"/>
                <w:szCs w:val="20"/>
              </w:rPr>
            </w:pPr>
            <w:r w:rsidRPr="00343219">
              <w:rPr>
                <w:rFonts w:ascii="Arial" w:hAnsi="Arial" w:cs="Arial"/>
                <w:sz w:val="20"/>
                <w:szCs w:val="20"/>
              </w:rPr>
              <w:t xml:space="preserve">Plochy RD městského typu  </w:t>
            </w:r>
          </w:p>
        </w:tc>
        <w:tc>
          <w:tcPr>
            <w:tcW w:w="1894" w:type="dxa"/>
            <w:noWrap/>
            <w:vAlign w:val="center"/>
          </w:tcPr>
          <w:p w14:paraId="6C87F77A" w14:textId="77777777" w:rsidR="00147CEE" w:rsidRPr="00343219" w:rsidRDefault="00147CEE" w:rsidP="002D2D45">
            <w:pPr>
              <w:rPr>
                <w:rFonts w:ascii="Arial" w:hAnsi="Arial" w:cs="Arial"/>
                <w:sz w:val="20"/>
                <w:szCs w:val="20"/>
              </w:rPr>
            </w:pPr>
            <w:r w:rsidRPr="00343219">
              <w:rPr>
                <w:rFonts w:ascii="Arial" w:hAnsi="Arial" w:cs="Arial"/>
                <w:sz w:val="20"/>
                <w:szCs w:val="20"/>
              </w:rPr>
              <w:t>Boletice nad Labem</w:t>
            </w:r>
          </w:p>
        </w:tc>
        <w:tc>
          <w:tcPr>
            <w:tcW w:w="1723" w:type="dxa"/>
            <w:vAlign w:val="center"/>
          </w:tcPr>
          <w:p w14:paraId="372E0566" w14:textId="77777777" w:rsidR="00147CEE" w:rsidRPr="00343219" w:rsidRDefault="00147CEE" w:rsidP="002D2D45">
            <w:pPr>
              <w:rPr>
                <w:rFonts w:ascii="Arial" w:hAnsi="Arial" w:cs="Arial"/>
                <w:sz w:val="20"/>
                <w:szCs w:val="20"/>
              </w:rPr>
            </w:pPr>
            <w:r w:rsidRPr="00343219">
              <w:rPr>
                <w:rFonts w:ascii="Arial" w:hAnsi="Arial" w:cs="Arial"/>
                <w:sz w:val="20"/>
                <w:szCs w:val="20"/>
              </w:rPr>
              <w:t>455/16, 455/19</w:t>
            </w:r>
          </w:p>
        </w:tc>
        <w:tc>
          <w:tcPr>
            <w:tcW w:w="884" w:type="dxa"/>
            <w:noWrap/>
            <w:vAlign w:val="center"/>
          </w:tcPr>
          <w:p w14:paraId="7B91DA1D" w14:textId="77777777" w:rsidR="00147CEE" w:rsidRPr="00343219" w:rsidRDefault="00147CEE" w:rsidP="002D2D45">
            <w:pPr>
              <w:overflowPunct w:val="0"/>
              <w:autoSpaceDE w:val="0"/>
              <w:autoSpaceDN w:val="0"/>
              <w:adjustRightInd w:val="0"/>
              <w:jc w:val="right"/>
              <w:textAlignment w:val="baseline"/>
              <w:rPr>
                <w:rFonts w:ascii="Arial" w:hAnsi="Arial" w:cs="Arial"/>
                <w:noProof/>
                <w:sz w:val="20"/>
                <w:szCs w:val="20"/>
              </w:rPr>
            </w:pPr>
            <w:r w:rsidRPr="00343219">
              <w:rPr>
                <w:rFonts w:ascii="Arial" w:hAnsi="Arial" w:cs="Arial"/>
                <w:noProof/>
                <w:sz w:val="20"/>
                <w:szCs w:val="20"/>
              </w:rPr>
              <w:t>3207</w:t>
            </w:r>
          </w:p>
        </w:tc>
        <w:tc>
          <w:tcPr>
            <w:tcW w:w="2268" w:type="dxa"/>
            <w:noWrap/>
            <w:vAlign w:val="center"/>
          </w:tcPr>
          <w:p w14:paraId="2569965A"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r w:rsidRPr="00343219">
              <w:rPr>
                <w:rFonts w:ascii="Arial" w:hAnsi="Arial" w:cs="Arial"/>
                <w:sz w:val="20"/>
                <w:szCs w:val="20"/>
              </w:rPr>
              <w:t>Zastavitelná plocha</w:t>
            </w:r>
          </w:p>
        </w:tc>
      </w:tr>
      <w:tr w:rsidR="00147CEE" w:rsidRPr="00343219" w14:paraId="778DF9CB" w14:textId="77777777" w:rsidTr="002D2D45">
        <w:trPr>
          <w:trHeight w:val="255"/>
          <w:jc w:val="center"/>
        </w:trPr>
        <w:tc>
          <w:tcPr>
            <w:tcW w:w="886" w:type="dxa"/>
            <w:shd w:val="clear" w:color="auto" w:fill="D9D9D9"/>
            <w:vAlign w:val="center"/>
          </w:tcPr>
          <w:p w14:paraId="19CAE111" w14:textId="77777777" w:rsidR="00147CEE" w:rsidRPr="00343219" w:rsidRDefault="00147CEE" w:rsidP="002D2D45">
            <w:pPr>
              <w:rPr>
                <w:rFonts w:ascii="Arial" w:hAnsi="Arial" w:cs="Arial"/>
                <w:b/>
                <w:sz w:val="20"/>
                <w:szCs w:val="20"/>
              </w:rPr>
            </w:pPr>
          </w:p>
        </w:tc>
        <w:tc>
          <w:tcPr>
            <w:tcW w:w="2835" w:type="dxa"/>
            <w:shd w:val="clear" w:color="auto" w:fill="D9D9D9"/>
            <w:noWrap/>
            <w:vAlign w:val="center"/>
          </w:tcPr>
          <w:p w14:paraId="1728FC81"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p>
        </w:tc>
        <w:tc>
          <w:tcPr>
            <w:tcW w:w="1894" w:type="dxa"/>
            <w:shd w:val="clear" w:color="auto" w:fill="D9D9D9"/>
            <w:noWrap/>
            <w:vAlign w:val="center"/>
          </w:tcPr>
          <w:p w14:paraId="1A6BA49A" w14:textId="77777777" w:rsidR="00147CEE" w:rsidRPr="00343219" w:rsidRDefault="00147CEE" w:rsidP="002D2D45">
            <w:pPr>
              <w:overflowPunct w:val="0"/>
              <w:autoSpaceDE w:val="0"/>
              <w:autoSpaceDN w:val="0"/>
              <w:adjustRightInd w:val="0"/>
              <w:textAlignment w:val="baseline"/>
              <w:rPr>
                <w:rFonts w:ascii="Arial" w:hAnsi="Arial" w:cs="Arial"/>
                <w:b/>
                <w:sz w:val="20"/>
                <w:szCs w:val="20"/>
              </w:rPr>
            </w:pPr>
            <w:r w:rsidRPr="00343219">
              <w:rPr>
                <w:rFonts w:ascii="Arial" w:hAnsi="Arial" w:cs="Arial"/>
                <w:b/>
                <w:sz w:val="20"/>
                <w:szCs w:val="20"/>
              </w:rPr>
              <w:t>celkem</w:t>
            </w:r>
          </w:p>
        </w:tc>
        <w:tc>
          <w:tcPr>
            <w:tcW w:w="1723" w:type="dxa"/>
            <w:shd w:val="clear" w:color="auto" w:fill="D9D9D9"/>
          </w:tcPr>
          <w:p w14:paraId="2E966337" w14:textId="77777777" w:rsidR="00147CEE" w:rsidRPr="00343219" w:rsidRDefault="00147CEE" w:rsidP="002D2D45">
            <w:pPr>
              <w:rPr>
                <w:rFonts w:ascii="Arial" w:hAnsi="Arial" w:cs="Arial"/>
                <w:sz w:val="20"/>
                <w:szCs w:val="20"/>
              </w:rPr>
            </w:pPr>
          </w:p>
        </w:tc>
        <w:tc>
          <w:tcPr>
            <w:tcW w:w="884" w:type="dxa"/>
            <w:shd w:val="clear" w:color="auto" w:fill="D9D9D9"/>
            <w:noWrap/>
            <w:vAlign w:val="center"/>
          </w:tcPr>
          <w:p w14:paraId="5A690274" w14:textId="77777777" w:rsidR="00147CEE" w:rsidRPr="00343219" w:rsidRDefault="00147CEE" w:rsidP="002D2D45">
            <w:pPr>
              <w:overflowPunct w:val="0"/>
              <w:autoSpaceDE w:val="0"/>
              <w:autoSpaceDN w:val="0"/>
              <w:adjustRightInd w:val="0"/>
              <w:jc w:val="right"/>
              <w:textAlignment w:val="baseline"/>
              <w:rPr>
                <w:rFonts w:ascii="Arial" w:hAnsi="Arial" w:cs="Arial"/>
                <w:b/>
                <w:sz w:val="20"/>
                <w:szCs w:val="20"/>
              </w:rPr>
            </w:pPr>
            <w:r w:rsidRPr="00343219">
              <w:rPr>
                <w:rFonts w:ascii="Arial" w:hAnsi="Arial" w:cs="Arial"/>
                <w:b/>
                <w:sz w:val="20"/>
                <w:szCs w:val="20"/>
              </w:rPr>
              <w:t>115116</w:t>
            </w:r>
          </w:p>
        </w:tc>
        <w:tc>
          <w:tcPr>
            <w:tcW w:w="2268" w:type="dxa"/>
            <w:shd w:val="clear" w:color="auto" w:fill="D9D9D9"/>
            <w:noWrap/>
            <w:vAlign w:val="center"/>
          </w:tcPr>
          <w:p w14:paraId="0990154E" w14:textId="77777777" w:rsidR="00147CEE" w:rsidRPr="00343219" w:rsidRDefault="00147CEE" w:rsidP="002D2D45">
            <w:pPr>
              <w:overflowPunct w:val="0"/>
              <w:autoSpaceDE w:val="0"/>
              <w:autoSpaceDN w:val="0"/>
              <w:adjustRightInd w:val="0"/>
              <w:textAlignment w:val="baseline"/>
              <w:rPr>
                <w:rFonts w:ascii="Arial" w:hAnsi="Arial" w:cs="Arial"/>
                <w:sz w:val="20"/>
                <w:szCs w:val="20"/>
              </w:rPr>
            </w:pPr>
          </w:p>
        </w:tc>
      </w:tr>
    </w:tbl>
    <w:p w14:paraId="1CB4E43F" w14:textId="77777777" w:rsidR="00147CEE" w:rsidRDefault="00147CEE" w:rsidP="00147CEE">
      <w:pPr>
        <w:rPr>
          <w:rFonts w:ascii="Arial" w:hAnsi="Arial" w:cs="Arial"/>
          <w:b/>
          <w:color w:val="FF0000"/>
          <w:sz w:val="22"/>
          <w:szCs w:val="22"/>
        </w:rPr>
      </w:pPr>
    </w:p>
    <w:p w14:paraId="62A51655" w14:textId="77777777" w:rsidR="00147CEE" w:rsidRPr="000C4016" w:rsidRDefault="00147CEE" w:rsidP="00147CEE">
      <w:pPr>
        <w:spacing w:before="120" w:line="288" w:lineRule="auto"/>
        <w:rPr>
          <w:rFonts w:ascii="Arial" w:hAnsi="Arial" w:cs="Arial"/>
          <w:color w:val="FF0000"/>
          <w:sz w:val="22"/>
          <w:szCs w:val="22"/>
        </w:rPr>
      </w:pPr>
      <w:r w:rsidRPr="000C4016">
        <w:rPr>
          <w:rFonts w:ascii="Arial" w:hAnsi="Arial" w:cs="Arial"/>
          <w:b/>
          <w:color w:val="FF0000"/>
          <w:sz w:val="22"/>
          <w:szCs w:val="22"/>
        </w:rPr>
        <w:lastRenderedPageBreak/>
        <w:t>Poznámka:</w:t>
      </w:r>
      <w:r w:rsidRPr="000C4016">
        <w:rPr>
          <w:rFonts w:ascii="Arial" w:hAnsi="Arial" w:cs="Arial"/>
          <w:color w:val="FF0000"/>
          <w:sz w:val="22"/>
          <w:szCs w:val="22"/>
        </w:rPr>
        <w:t xml:space="preserve"> Plochy 8Z  -4, -5, -9., -14, -21, -22, -24, -27, -28, -29, -39, -41, -42, -44, -51 plochy na základě společného projednání vyloučeny a plochy 8Z - 40, 8Z - 50b, 8Z - 47 a 8Z - 55 zmenšeny. </w:t>
      </w:r>
    </w:p>
    <w:p w14:paraId="7256A5B9" w14:textId="77777777" w:rsidR="00147CEE" w:rsidRPr="000C4016" w:rsidRDefault="00147CEE" w:rsidP="00147CEE">
      <w:pPr>
        <w:spacing w:before="120" w:line="288" w:lineRule="auto"/>
        <w:rPr>
          <w:rFonts w:ascii="Arial" w:hAnsi="Arial" w:cs="Arial"/>
          <w:b/>
          <w:color w:val="FF0000"/>
          <w:sz w:val="22"/>
          <w:szCs w:val="22"/>
        </w:rPr>
      </w:pPr>
      <w:r w:rsidRPr="000C4016">
        <w:rPr>
          <w:rFonts w:ascii="Arial" w:hAnsi="Arial" w:cs="Arial"/>
          <w:b/>
          <w:color w:val="FF0000"/>
          <w:sz w:val="22"/>
          <w:szCs w:val="22"/>
        </w:rPr>
        <w:t xml:space="preserve">Poznámka 2: </w:t>
      </w:r>
      <w:r w:rsidRPr="000C4016">
        <w:rPr>
          <w:rFonts w:ascii="Arial" w:hAnsi="Arial" w:cs="Arial"/>
          <w:color w:val="FF0000"/>
          <w:sz w:val="22"/>
          <w:szCs w:val="22"/>
        </w:rPr>
        <w:t xml:space="preserve">na základě výsledků veřejného projednání a na základě žádosti vlastníka byly plochy 8Z - 53, 8Z - 54 z řešení 8. změny ÚP Děčín vyjmuty. </w:t>
      </w:r>
    </w:p>
    <w:p w14:paraId="0120AB2A" w14:textId="77777777" w:rsidR="00147CEE" w:rsidRPr="000C4016" w:rsidRDefault="00147CEE" w:rsidP="00147CEE">
      <w:pPr>
        <w:spacing w:before="120" w:line="288" w:lineRule="auto"/>
        <w:rPr>
          <w:rFonts w:ascii="Arial" w:hAnsi="Arial" w:cs="Arial"/>
          <w:color w:val="FF0000"/>
          <w:sz w:val="22"/>
          <w:szCs w:val="22"/>
        </w:rPr>
      </w:pPr>
      <w:r w:rsidRPr="000C4016">
        <w:rPr>
          <w:rFonts w:ascii="Arial" w:hAnsi="Arial" w:cs="Arial"/>
          <w:color w:val="FF0000"/>
          <w:sz w:val="22"/>
          <w:szCs w:val="22"/>
          <w:vertAlign w:val="superscript"/>
        </w:rPr>
        <w:t xml:space="preserve">P)  </w:t>
      </w:r>
      <w:r w:rsidRPr="000C4016">
        <w:rPr>
          <w:rFonts w:ascii="Arial" w:hAnsi="Arial" w:cs="Arial"/>
          <w:color w:val="FF0000"/>
          <w:sz w:val="22"/>
          <w:szCs w:val="22"/>
        </w:rPr>
        <w:t>specifické podmínky zastavitelných ploch:</w:t>
      </w:r>
    </w:p>
    <w:p w14:paraId="5D530E99" w14:textId="77777777" w:rsidR="00147CEE" w:rsidRPr="000C4016" w:rsidRDefault="00147CEE" w:rsidP="00147CEE">
      <w:pPr>
        <w:spacing w:before="120" w:line="288" w:lineRule="auto"/>
        <w:ind w:left="284"/>
        <w:rPr>
          <w:rFonts w:ascii="Arial" w:hAnsi="Arial" w:cs="Arial"/>
          <w:bCs/>
          <w:color w:val="FF0000"/>
          <w:sz w:val="22"/>
          <w:szCs w:val="22"/>
        </w:rPr>
      </w:pPr>
      <w:r w:rsidRPr="000C4016">
        <w:rPr>
          <w:rFonts w:ascii="Arial" w:hAnsi="Arial" w:cs="Arial"/>
          <w:bCs/>
          <w:color w:val="FF0000"/>
          <w:sz w:val="22"/>
          <w:szCs w:val="22"/>
        </w:rPr>
        <w:t xml:space="preserve">   8Z-6   podmínka 1 RD a 8Z-8   podmínka 1 RD a napojení dle studie 107/1087,</w:t>
      </w:r>
    </w:p>
    <w:p w14:paraId="5663E118" w14:textId="77777777" w:rsidR="00147CEE" w:rsidRPr="000C4016" w:rsidRDefault="00147CEE" w:rsidP="00147CEE">
      <w:pPr>
        <w:spacing w:before="120" w:line="288" w:lineRule="auto"/>
        <w:ind w:left="284"/>
        <w:rPr>
          <w:rFonts w:ascii="Arial" w:hAnsi="Arial" w:cs="Arial"/>
          <w:bCs/>
          <w:color w:val="FF0000"/>
          <w:sz w:val="22"/>
          <w:szCs w:val="22"/>
        </w:rPr>
      </w:pPr>
      <w:r w:rsidRPr="000C4016">
        <w:rPr>
          <w:rFonts w:ascii="Arial" w:hAnsi="Arial" w:cs="Arial"/>
          <w:bCs/>
          <w:color w:val="FF0000"/>
          <w:sz w:val="22"/>
          <w:szCs w:val="22"/>
        </w:rPr>
        <w:t xml:space="preserve">   8Z-34  podmínka zmenšení dle CHKO LP, řešení komunikačního napojení, počet RD 3, </w:t>
      </w:r>
    </w:p>
    <w:p w14:paraId="50BF2F08" w14:textId="77777777" w:rsidR="00147CEE" w:rsidRPr="000C4016" w:rsidRDefault="00147CEE" w:rsidP="00147CEE">
      <w:pPr>
        <w:spacing w:before="120" w:line="288" w:lineRule="auto"/>
        <w:ind w:left="284"/>
        <w:rPr>
          <w:rFonts w:ascii="Arial" w:hAnsi="Arial" w:cs="Arial"/>
          <w:bCs/>
          <w:color w:val="FF0000"/>
          <w:sz w:val="22"/>
          <w:szCs w:val="22"/>
        </w:rPr>
      </w:pPr>
      <w:r w:rsidRPr="000C4016">
        <w:rPr>
          <w:rFonts w:ascii="Arial" w:hAnsi="Arial" w:cs="Arial"/>
          <w:bCs/>
          <w:color w:val="FF0000"/>
          <w:sz w:val="22"/>
          <w:szCs w:val="22"/>
        </w:rPr>
        <w:t xml:space="preserve">   8Z-36  podmínka 1 RD na 979/8 a řešení dopravního napojení,</w:t>
      </w:r>
    </w:p>
    <w:p w14:paraId="517C3387" w14:textId="77777777" w:rsidR="00147CEE" w:rsidRPr="000C4016" w:rsidRDefault="00147CEE" w:rsidP="00147CEE">
      <w:pPr>
        <w:spacing w:before="120" w:line="288" w:lineRule="auto"/>
        <w:ind w:left="284"/>
        <w:rPr>
          <w:rFonts w:ascii="Arial" w:hAnsi="Arial" w:cs="Arial"/>
          <w:bCs/>
          <w:color w:val="FF0000"/>
          <w:sz w:val="22"/>
          <w:szCs w:val="22"/>
        </w:rPr>
      </w:pPr>
      <w:r w:rsidRPr="000C4016">
        <w:rPr>
          <w:rFonts w:ascii="Arial" w:hAnsi="Arial" w:cs="Arial"/>
          <w:bCs/>
          <w:color w:val="FF0000"/>
          <w:sz w:val="22"/>
          <w:szCs w:val="22"/>
        </w:rPr>
        <w:t xml:space="preserve">   8Z-40  podmínka zmenšení na 1 RD a řešení dopravního napojení,</w:t>
      </w:r>
    </w:p>
    <w:p w14:paraId="24D191EB" w14:textId="77777777" w:rsidR="00147CEE" w:rsidRPr="000C4016" w:rsidRDefault="00147CEE" w:rsidP="00147CEE">
      <w:pPr>
        <w:spacing w:before="120" w:line="288" w:lineRule="auto"/>
        <w:ind w:left="284"/>
        <w:rPr>
          <w:rFonts w:ascii="Arial" w:hAnsi="Arial" w:cs="Arial"/>
          <w:bCs/>
          <w:color w:val="FF0000"/>
          <w:sz w:val="22"/>
          <w:szCs w:val="22"/>
        </w:rPr>
      </w:pPr>
      <w:r w:rsidRPr="000C4016">
        <w:rPr>
          <w:rFonts w:ascii="Arial" w:hAnsi="Arial" w:cs="Arial"/>
          <w:bCs/>
          <w:color w:val="FF0000"/>
          <w:sz w:val="22"/>
          <w:szCs w:val="22"/>
        </w:rPr>
        <w:t xml:space="preserve">   8Z-43  1 RD za podmínky vydaného ÚR,</w:t>
      </w:r>
    </w:p>
    <w:p w14:paraId="16D7AFFA" w14:textId="77777777" w:rsidR="00147CEE" w:rsidRPr="000C4016" w:rsidRDefault="00147CEE" w:rsidP="00147CEE">
      <w:pPr>
        <w:spacing w:before="120" w:line="288" w:lineRule="auto"/>
        <w:ind w:left="284"/>
        <w:rPr>
          <w:rFonts w:ascii="Arial" w:hAnsi="Arial" w:cs="Arial"/>
          <w:bCs/>
          <w:color w:val="FF0000"/>
          <w:sz w:val="22"/>
          <w:szCs w:val="22"/>
        </w:rPr>
      </w:pPr>
      <w:r w:rsidRPr="000C4016">
        <w:rPr>
          <w:rFonts w:ascii="Arial" w:hAnsi="Arial" w:cs="Arial"/>
          <w:bCs/>
          <w:color w:val="FF0000"/>
          <w:sz w:val="22"/>
          <w:szCs w:val="22"/>
        </w:rPr>
        <w:t xml:space="preserve">   8Z-50b zmenšení plochy na 1 RD a řešení dopravního napojení,</w:t>
      </w:r>
    </w:p>
    <w:p w14:paraId="6B86C7DC" w14:textId="77777777" w:rsidR="00147CEE" w:rsidRPr="000C4016" w:rsidRDefault="00147CEE" w:rsidP="00147CEE">
      <w:pPr>
        <w:spacing w:before="120" w:line="288" w:lineRule="auto"/>
        <w:ind w:left="284"/>
        <w:rPr>
          <w:rFonts w:ascii="Arial" w:hAnsi="Arial" w:cs="Arial"/>
          <w:bCs/>
          <w:color w:val="FF0000"/>
          <w:sz w:val="22"/>
          <w:szCs w:val="22"/>
        </w:rPr>
      </w:pPr>
      <w:r w:rsidRPr="000C4016">
        <w:rPr>
          <w:rFonts w:ascii="Arial" w:hAnsi="Arial" w:cs="Arial"/>
          <w:bCs/>
          <w:color w:val="FF0000"/>
          <w:sz w:val="22"/>
          <w:szCs w:val="22"/>
        </w:rPr>
        <w:t xml:space="preserve">   8Z-52  podmínkou studie rozšíření komunikace V Lukách,</w:t>
      </w:r>
    </w:p>
    <w:p w14:paraId="2CAE2C0C" w14:textId="77777777" w:rsidR="00147CEE" w:rsidRPr="000C4016" w:rsidRDefault="00147CEE" w:rsidP="00147CEE">
      <w:pPr>
        <w:spacing w:before="120" w:line="288" w:lineRule="auto"/>
        <w:ind w:left="284"/>
        <w:rPr>
          <w:rFonts w:ascii="Arial" w:hAnsi="Arial" w:cs="Arial"/>
          <w:bCs/>
          <w:color w:val="FF0000"/>
          <w:sz w:val="22"/>
          <w:szCs w:val="22"/>
        </w:rPr>
      </w:pPr>
      <w:r w:rsidRPr="000C4016">
        <w:rPr>
          <w:rFonts w:ascii="Arial" w:hAnsi="Arial" w:cs="Arial"/>
          <w:bCs/>
          <w:color w:val="FF0000"/>
          <w:sz w:val="22"/>
          <w:szCs w:val="22"/>
        </w:rPr>
        <w:t xml:space="preserve">   </w:t>
      </w:r>
      <w:r>
        <w:rPr>
          <w:rFonts w:ascii="Arial" w:hAnsi="Arial" w:cs="Arial"/>
          <w:bCs/>
          <w:color w:val="FF0000"/>
          <w:sz w:val="22"/>
          <w:szCs w:val="22"/>
        </w:rPr>
        <w:t>8Z-55 lokalita zmenšena.</w:t>
      </w:r>
    </w:p>
    <w:p w14:paraId="30DC9C35" w14:textId="77777777" w:rsidR="00147CEE" w:rsidRPr="00F95213" w:rsidRDefault="00147CEE" w:rsidP="00147CEE">
      <w:pPr>
        <w:pStyle w:val="Znaka1"/>
        <w:jc w:val="both"/>
        <w:rPr>
          <w:color w:val="00B050"/>
        </w:rPr>
      </w:pPr>
    </w:p>
    <w:p w14:paraId="1A615A8C" w14:textId="77777777" w:rsidR="00D42621" w:rsidRDefault="00D42621" w:rsidP="00CA23D0">
      <w:pPr>
        <w:jc w:val="both"/>
        <w:rPr>
          <w:rFonts w:ascii="Arial" w:hAnsi="Arial" w:cs="Arial"/>
          <w:sz w:val="22"/>
        </w:rPr>
      </w:pPr>
    </w:p>
    <w:p w14:paraId="23DB76AA" w14:textId="77777777" w:rsidR="00FF2750" w:rsidRPr="00FF2F84" w:rsidRDefault="0082129C" w:rsidP="0082129C">
      <w:pPr>
        <w:spacing w:after="240"/>
        <w:jc w:val="both"/>
        <w:rPr>
          <w:rFonts w:ascii="Arial" w:hAnsi="Arial" w:cs="Arial"/>
          <w:b/>
          <w:color w:val="18B8B0"/>
          <w:sz w:val="22"/>
        </w:rPr>
      </w:pPr>
      <w:r w:rsidRPr="00FF2F84">
        <w:rPr>
          <w:rFonts w:ascii="Arial" w:hAnsi="Arial" w:cs="Arial"/>
          <w:b/>
          <w:color w:val="18B8B0"/>
          <w:sz w:val="22"/>
        </w:rPr>
        <w:t xml:space="preserve">(Z12) VYMEZENÍ ZASTAVITELNÝCH PLOCH </w:t>
      </w:r>
    </w:p>
    <w:p w14:paraId="35642E60" w14:textId="3BC2593C" w:rsidR="0082129C" w:rsidRPr="00FF2F84" w:rsidRDefault="0082129C" w:rsidP="0082129C">
      <w:pPr>
        <w:spacing w:after="240"/>
        <w:jc w:val="both"/>
        <w:rPr>
          <w:rFonts w:ascii="Arial" w:hAnsi="Arial" w:cs="Arial"/>
          <w:color w:val="18B8B0"/>
          <w:sz w:val="22"/>
        </w:rPr>
      </w:pPr>
      <w:r w:rsidRPr="00FF2F84">
        <w:rPr>
          <w:rFonts w:ascii="Arial" w:hAnsi="Arial" w:cs="Arial"/>
          <w:color w:val="18B8B0"/>
          <w:sz w:val="22"/>
        </w:rPr>
        <w:t>V rámci změny č. 12 ÚP se u zastavitelné plochy 2Z-11 a plochy místní komunikace Z-2 v území II – Nové Město</w:t>
      </w:r>
      <w:r w:rsidR="00480887" w:rsidRPr="00FF2F84">
        <w:rPr>
          <w:rFonts w:ascii="Arial" w:hAnsi="Arial" w:cs="Arial"/>
          <w:color w:val="18B8B0"/>
          <w:sz w:val="22"/>
        </w:rPr>
        <w:t xml:space="preserve"> (k.ú. Děčín)</w:t>
      </w:r>
      <w:r w:rsidRPr="00FF2F84">
        <w:rPr>
          <w:rFonts w:ascii="Arial" w:hAnsi="Arial" w:cs="Arial"/>
          <w:color w:val="18B8B0"/>
          <w:sz w:val="22"/>
        </w:rPr>
        <w:t xml:space="preserve"> doplňuje přípustné využití v tomto znění: </w:t>
      </w:r>
    </w:p>
    <w:p w14:paraId="5F53F1D0" w14:textId="4868E773" w:rsidR="0082129C" w:rsidRPr="00FF2F84" w:rsidRDefault="0082129C" w:rsidP="0082129C">
      <w:pPr>
        <w:pStyle w:val="Odstavecseseznamem"/>
        <w:numPr>
          <w:ilvl w:val="0"/>
          <w:numId w:val="143"/>
        </w:numPr>
        <w:spacing w:after="240"/>
        <w:jc w:val="both"/>
        <w:rPr>
          <w:rFonts w:ascii="Arial" w:hAnsi="Arial" w:cs="Arial"/>
          <w:color w:val="18B8B0"/>
        </w:rPr>
      </w:pPr>
      <w:r w:rsidRPr="00FF2F84">
        <w:rPr>
          <w:rFonts w:ascii="Arial" w:hAnsi="Arial" w:cs="Arial"/>
          <w:color w:val="18B8B0"/>
        </w:rPr>
        <w:t>umístění staveb souvisejících s přeložkou I/13</w:t>
      </w:r>
      <w:r w:rsidR="00682E20" w:rsidRPr="00FF2F84">
        <w:rPr>
          <w:rFonts w:ascii="Arial" w:hAnsi="Arial" w:cs="Arial"/>
          <w:color w:val="18B8B0"/>
        </w:rPr>
        <w:t xml:space="preserve"> Děčín - Ludvíkovice</w:t>
      </w:r>
      <w:r w:rsidR="00CA184E" w:rsidRPr="00FF2F84">
        <w:rPr>
          <w:rFonts w:ascii="Arial" w:hAnsi="Arial" w:cs="Arial"/>
          <w:color w:val="18B8B0"/>
        </w:rPr>
        <w:t>,</w:t>
      </w:r>
    </w:p>
    <w:p w14:paraId="3270A9B5" w14:textId="7B840C74" w:rsidR="00FF2750" w:rsidRDefault="0082129C" w:rsidP="00CA23D0">
      <w:pPr>
        <w:jc w:val="both"/>
        <w:rPr>
          <w:rFonts w:ascii="Arial" w:hAnsi="Arial" w:cs="Arial"/>
          <w:color w:val="18B8B0"/>
          <w:sz w:val="22"/>
        </w:rPr>
      </w:pPr>
      <w:r w:rsidRPr="00FF2F84">
        <w:rPr>
          <w:rFonts w:ascii="Arial" w:hAnsi="Arial" w:cs="Arial"/>
          <w:color w:val="18B8B0"/>
          <w:sz w:val="22"/>
        </w:rPr>
        <w:t>Jedná se o tyto plochy</w:t>
      </w:r>
      <w:r w:rsidR="00CA184E" w:rsidRPr="00FF2F84">
        <w:rPr>
          <w:rFonts w:ascii="Arial" w:hAnsi="Arial" w:cs="Arial"/>
          <w:color w:val="18B8B0"/>
          <w:sz w:val="22"/>
        </w:rPr>
        <w:t xml:space="preserve"> (výrez z Hlavního výkresu ÚZ</w:t>
      </w:r>
      <w:r w:rsidR="00682E20" w:rsidRPr="00FF2F84">
        <w:rPr>
          <w:rFonts w:ascii="Arial" w:hAnsi="Arial" w:cs="Arial"/>
          <w:color w:val="18B8B0"/>
          <w:sz w:val="22"/>
        </w:rPr>
        <w:t xml:space="preserve"> ÚP Děčín</w:t>
      </w:r>
      <w:r w:rsidR="00CA184E" w:rsidRPr="00FF2F84">
        <w:rPr>
          <w:rFonts w:ascii="Arial" w:hAnsi="Arial" w:cs="Arial"/>
          <w:color w:val="18B8B0"/>
          <w:sz w:val="22"/>
        </w:rPr>
        <w:t>)</w:t>
      </w:r>
      <w:r w:rsidRPr="00FF2F84">
        <w:rPr>
          <w:rFonts w:ascii="Arial" w:hAnsi="Arial" w:cs="Arial"/>
          <w:color w:val="18B8B0"/>
          <w:sz w:val="22"/>
        </w:rPr>
        <w:t>:</w:t>
      </w:r>
      <w:r w:rsidRPr="0082129C">
        <w:rPr>
          <w:rFonts w:ascii="Arial" w:hAnsi="Arial" w:cs="Arial"/>
          <w:color w:val="18B8B0"/>
          <w:sz w:val="22"/>
        </w:rPr>
        <w:t xml:space="preserve"> </w:t>
      </w:r>
    </w:p>
    <w:p w14:paraId="272B42DF" w14:textId="77777777" w:rsidR="0082129C" w:rsidRPr="0082129C" w:rsidRDefault="00CA184E" w:rsidP="00CA23D0">
      <w:pPr>
        <w:jc w:val="both"/>
        <w:rPr>
          <w:rFonts w:ascii="Arial" w:hAnsi="Arial" w:cs="Arial"/>
          <w:color w:val="18B8B0"/>
          <w:sz w:val="22"/>
        </w:rPr>
      </w:pPr>
      <w:r>
        <w:rPr>
          <w:noProof/>
          <w:lang w:eastAsia="cs-CZ"/>
        </w:rPr>
        <mc:AlternateContent>
          <mc:Choice Requires="wps">
            <w:drawing>
              <wp:anchor distT="0" distB="0" distL="114300" distR="114300" simplePos="0" relativeHeight="251803648" behindDoc="0" locked="0" layoutInCell="1" allowOverlap="1" wp14:anchorId="118D3BB7" wp14:editId="72388344">
                <wp:simplePos x="0" y="0"/>
                <wp:positionH relativeFrom="column">
                  <wp:posOffset>-4445</wp:posOffset>
                </wp:positionH>
                <wp:positionV relativeFrom="paragraph">
                  <wp:posOffset>88900</wp:posOffset>
                </wp:positionV>
                <wp:extent cx="3362325" cy="3052445"/>
                <wp:effectExtent l="19050" t="19050" r="47625" b="33655"/>
                <wp:wrapNone/>
                <wp:docPr id="4" name="Obdélník 4"/>
                <wp:cNvGraphicFramePr/>
                <a:graphic xmlns:a="http://schemas.openxmlformats.org/drawingml/2006/main">
                  <a:graphicData uri="http://schemas.microsoft.com/office/word/2010/wordprocessingShape">
                    <wps:wsp>
                      <wps:cNvSpPr/>
                      <wps:spPr>
                        <a:xfrm>
                          <a:off x="0" y="0"/>
                          <a:ext cx="3362325" cy="3052445"/>
                        </a:xfrm>
                        <a:prstGeom prst="rect">
                          <a:avLst/>
                        </a:prstGeom>
                        <a:noFill/>
                        <a:ln w="5715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AD43F66" id="Obdélník 4" o:spid="_x0000_s1026" style="position:absolute;margin-left:-.35pt;margin-top:7pt;width:264.75pt;height:240.35pt;z-index:251803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" filled="f" strokecolor="#18b8b0" strokeweight="4.5pt"/>
            </w:pict>
          </mc:Fallback>
        </mc:AlternateContent>
      </w:r>
      <w:r>
        <w:rPr>
          <w:noProof/>
          <w:lang w:eastAsia="cs-CZ"/>
        </w:rPr>
        <w:drawing>
          <wp:anchor distT="0" distB="0" distL="114300" distR="114300" simplePos="0" relativeHeight="251802624" behindDoc="0" locked="0" layoutInCell="1" allowOverlap="1" wp14:anchorId="7D10B2D9" wp14:editId="04AA2573">
            <wp:simplePos x="0" y="0"/>
            <wp:positionH relativeFrom="margin">
              <wp:align>left</wp:align>
            </wp:positionH>
            <wp:positionV relativeFrom="paragraph">
              <wp:posOffset>98425</wp:posOffset>
            </wp:positionV>
            <wp:extent cx="3371850" cy="3043046"/>
            <wp:effectExtent l="0" t="0" r="0" b="5080"/>
            <wp:wrapNone/>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extLst>
                        <a:ext uri="{28A0092B-C50C-407E-A947-70E740481C1C}">
                          <a14:useLocalDpi xmlns:a14="http://schemas.microsoft.com/office/drawing/2010/main" val="0"/>
                        </a:ext>
                      </a:extLst>
                    </a:blip>
                    <a:stretch>
                      <a:fillRect/>
                    </a:stretch>
                  </pic:blipFill>
                  <pic:spPr>
                    <a:xfrm>
                      <a:off x="0" y="0"/>
                      <a:ext cx="3371850" cy="3043046"/>
                    </a:xfrm>
                    <a:prstGeom prst="rect">
                      <a:avLst/>
                    </a:prstGeom>
                  </pic:spPr>
                </pic:pic>
              </a:graphicData>
            </a:graphic>
            <wp14:sizeRelH relativeFrom="margin">
              <wp14:pctWidth>0</wp14:pctWidth>
            </wp14:sizeRelH>
            <wp14:sizeRelV relativeFrom="margin">
              <wp14:pctHeight>0</wp14:pctHeight>
            </wp14:sizeRelV>
          </wp:anchor>
        </w:drawing>
      </w:r>
    </w:p>
    <w:p w14:paraId="41B12EBE" w14:textId="77777777" w:rsidR="00FF2750" w:rsidRDefault="00FF2750" w:rsidP="00CA23D0">
      <w:pPr>
        <w:jc w:val="both"/>
        <w:rPr>
          <w:rFonts w:ascii="Arial" w:hAnsi="Arial" w:cs="Arial"/>
          <w:sz w:val="22"/>
        </w:rPr>
      </w:pPr>
    </w:p>
    <w:p w14:paraId="455AFEAC" w14:textId="77777777" w:rsidR="00FF2750" w:rsidRDefault="00FF2750" w:rsidP="00CA23D0">
      <w:pPr>
        <w:jc w:val="both"/>
        <w:rPr>
          <w:rFonts w:ascii="Arial" w:hAnsi="Arial" w:cs="Arial"/>
          <w:sz w:val="22"/>
        </w:rPr>
      </w:pPr>
    </w:p>
    <w:p w14:paraId="4EE8E98B" w14:textId="77777777" w:rsidR="00FF2750" w:rsidRDefault="00FF2750" w:rsidP="00CA23D0">
      <w:pPr>
        <w:jc w:val="both"/>
        <w:rPr>
          <w:rFonts w:ascii="Arial" w:hAnsi="Arial" w:cs="Arial"/>
          <w:sz w:val="22"/>
        </w:rPr>
      </w:pPr>
    </w:p>
    <w:p w14:paraId="58546A43" w14:textId="77777777" w:rsidR="00FF2750" w:rsidRDefault="00FF2750" w:rsidP="00CA23D0">
      <w:pPr>
        <w:jc w:val="both"/>
        <w:rPr>
          <w:rFonts w:ascii="Arial" w:hAnsi="Arial" w:cs="Arial"/>
          <w:sz w:val="22"/>
        </w:rPr>
      </w:pPr>
    </w:p>
    <w:p w14:paraId="397D7457" w14:textId="77777777" w:rsidR="00FF2750" w:rsidRDefault="00FF2750" w:rsidP="00CA23D0">
      <w:pPr>
        <w:jc w:val="both"/>
        <w:rPr>
          <w:rFonts w:ascii="Arial" w:hAnsi="Arial" w:cs="Arial"/>
          <w:sz w:val="22"/>
        </w:rPr>
      </w:pPr>
    </w:p>
    <w:p w14:paraId="1CE50BF1" w14:textId="77777777" w:rsidR="00FF2750" w:rsidRDefault="00FF2750" w:rsidP="00CA23D0">
      <w:pPr>
        <w:jc w:val="both"/>
        <w:rPr>
          <w:rFonts w:ascii="Arial" w:hAnsi="Arial" w:cs="Arial"/>
          <w:sz w:val="22"/>
        </w:rPr>
      </w:pPr>
    </w:p>
    <w:p w14:paraId="1A07EA54" w14:textId="77777777" w:rsidR="00FF2750" w:rsidRDefault="00FF2750" w:rsidP="00CA23D0">
      <w:pPr>
        <w:jc w:val="both"/>
        <w:rPr>
          <w:rFonts w:ascii="Arial" w:hAnsi="Arial" w:cs="Arial"/>
          <w:sz w:val="22"/>
        </w:rPr>
      </w:pPr>
    </w:p>
    <w:p w14:paraId="3CB560D2" w14:textId="77777777" w:rsidR="00FF2750" w:rsidRDefault="00FF2750" w:rsidP="00CA23D0">
      <w:pPr>
        <w:jc w:val="both"/>
        <w:rPr>
          <w:rFonts w:ascii="Arial" w:hAnsi="Arial" w:cs="Arial"/>
          <w:sz w:val="22"/>
        </w:rPr>
      </w:pPr>
    </w:p>
    <w:p w14:paraId="15503CFF" w14:textId="77777777" w:rsidR="00FF2750" w:rsidRDefault="00FF2750" w:rsidP="00CA23D0">
      <w:pPr>
        <w:jc w:val="both"/>
        <w:rPr>
          <w:rFonts w:ascii="Arial" w:hAnsi="Arial" w:cs="Arial"/>
          <w:sz w:val="22"/>
        </w:rPr>
      </w:pPr>
    </w:p>
    <w:p w14:paraId="4240BAE8" w14:textId="77777777" w:rsidR="00FF2750" w:rsidRDefault="00FF2750" w:rsidP="00CA23D0">
      <w:pPr>
        <w:jc w:val="both"/>
        <w:rPr>
          <w:rFonts w:ascii="Arial" w:hAnsi="Arial" w:cs="Arial"/>
          <w:sz w:val="22"/>
        </w:rPr>
      </w:pPr>
    </w:p>
    <w:p w14:paraId="484F3FEE" w14:textId="77777777" w:rsidR="00FF2750" w:rsidRDefault="00FF2750" w:rsidP="00CA23D0">
      <w:pPr>
        <w:jc w:val="both"/>
        <w:rPr>
          <w:rFonts w:ascii="Arial" w:hAnsi="Arial" w:cs="Arial"/>
          <w:sz w:val="22"/>
        </w:rPr>
      </w:pPr>
    </w:p>
    <w:p w14:paraId="23546BA6" w14:textId="77777777" w:rsidR="00FF2750" w:rsidRDefault="00FF2750" w:rsidP="00CA23D0">
      <w:pPr>
        <w:jc w:val="both"/>
        <w:rPr>
          <w:rFonts w:ascii="Arial" w:hAnsi="Arial" w:cs="Arial"/>
          <w:sz w:val="22"/>
        </w:rPr>
      </w:pPr>
    </w:p>
    <w:p w14:paraId="78B27F24" w14:textId="77777777" w:rsidR="00FF2750" w:rsidRDefault="00FF2750" w:rsidP="00CA23D0">
      <w:pPr>
        <w:jc w:val="both"/>
        <w:rPr>
          <w:rFonts w:ascii="Arial" w:hAnsi="Arial" w:cs="Arial"/>
          <w:sz w:val="22"/>
        </w:rPr>
      </w:pPr>
    </w:p>
    <w:p w14:paraId="72C47EFD" w14:textId="77777777" w:rsidR="00FF2750" w:rsidRDefault="00FF2750" w:rsidP="00CA23D0">
      <w:pPr>
        <w:jc w:val="both"/>
        <w:rPr>
          <w:rFonts w:ascii="Arial" w:hAnsi="Arial" w:cs="Arial"/>
          <w:sz w:val="22"/>
        </w:rPr>
      </w:pPr>
    </w:p>
    <w:p w14:paraId="774893F0" w14:textId="77777777" w:rsidR="00FF2750" w:rsidRDefault="00FF2750" w:rsidP="00CA23D0">
      <w:pPr>
        <w:jc w:val="both"/>
        <w:rPr>
          <w:rFonts w:ascii="Arial" w:hAnsi="Arial" w:cs="Arial"/>
          <w:sz w:val="22"/>
        </w:rPr>
      </w:pPr>
    </w:p>
    <w:p w14:paraId="36604AE9" w14:textId="77777777" w:rsidR="00FF2750" w:rsidRDefault="00FF2750" w:rsidP="00CA23D0">
      <w:pPr>
        <w:jc w:val="both"/>
        <w:rPr>
          <w:rFonts w:ascii="Arial" w:hAnsi="Arial" w:cs="Arial"/>
          <w:sz w:val="22"/>
        </w:rPr>
      </w:pPr>
    </w:p>
    <w:p w14:paraId="272695B4" w14:textId="77777777" w:rsidR="00FF2750" w:rsidRDefault="00FF2750" w:rsidP="00CA23D0">
      <w:pPr>
        <w:jc w:val="both"/>
        <w:rPr>
          <w:rFonts w:ascii="Arial" w:hAnsi="Arial" w:cs="Arial"/>
          <w:sz w:val="22"/>
        </w:rPr>
      </w:pPr>
    </w:p>
    <w:p w14:paraId="0E49D1B1" w14:textId="77777777" w:rsidR="00FF2750" w:rsidRDefault="00FF2750" w:rsidP="00CA23D0">
      <w:pPr>
        <w:jc w:val="both"/>
        <w:rPr>
          <w:rFonts w:ascii="Arial" w:hAnsi="Arial" w:cs="Arial"/>
          <w:sz w:val="22"/>
        </w:rPr>
      </w:pPr>
    </w:p>
    <w:p w14:paraId="40FE28BA" w14:textId="77777777" w:rsidR="00FF2750" w:rsidRDefault="00FF2750" w:rsidP="00CA23D0">
      <w:pPr>
        <w:jc w:val="both"/>
        <w:rPr>
          <w:rFonts w:ascii="Arial" w:hAnsi="Arial" w:cs="Arial"/>
          <w:sz w:val="22"/>
        </w:rPr>
      </w:pPr>
    </w:p>
    <w:p w14:paraId="716D2E9A" w14:textId="77777777" w:rsidR="00FF2750" w:rsidRDefault="00FF2750" w:rsidP="00CA23D0">
      <w:pPr>
        <w:jc w:val="both"/>
        <w:rPr>
          <w:rFonts w:ascii="Arial" w:hAnsi="Arial" w:cs="Arial"/>
          <w:sz w:val="22"/>
        </w:rPr>
      </w:pPr>
    </w:p>
    <w:p w14:paraId="04A1AB48" w14:textId="77777777" w:rsidR="00FF2750" w:rsidRDefault="00FF2750" w:rsidP="00CA23D0">
      <w:pPr>
        <w:jc w:val="both"/>
        <w:rPr>
          <w:rFonts w:ascii="Arial" w:hAnsi="Arial" w:cs="Arial"/>
          <w:sz w:val="22"/>
        </w:rPr>
      </w:pPr>
    </w:p>
    <w:p w14:paraId="49349AD5" w14:textId="77777777" w:rsidR="00FF2750" w:rsidRDefault="00FF2750" w:rsidP="00CA23D0">
      <w:pPr>
        <w:jc w:val="both"/>
        <w:rPr>
          <w:rFonts w:ascii="Arial" w:hAnsi="Arial" w:cs="Arial"/>
          <w:sz w:val="22"/>
        </w:rPr>
      </w:pPr>
    </w:p>
    <w:p w14:paraId="0224C7A2" w14:textId="77777777" w:rsidR="00FF2750" w:rsidRDefault="00FF2750" w:rsidP="00FF2750">
      <w:pPr>
        <w:pStyle w:val="Nadpis"/>
        <w:jc w:val="left"/>
      </w:pPr>
      <w:r>
        <w:rPr>
          <w:sz w:val="48"/>
          <w:szCs w:val="48"/>
        </w:rPr>
        <w:lastRenderedPageBreak/>
        <w:t xml:space="preserve">K. LIMITY VYUŽITÍ </w:t>
      </w:r>
      <w:r w:rsidR="00360511">
        <w:rPr>
          <w:sz w:val="48"/>
          <w:szCs w:val="48"/>
        </w:rPr>
        <w:t xml:space="preserve">ÚZEMÍ </w:t>
      </w:r>
    </w:p>
    <w:p w14:paraId="580B34B1" w14:textId="77777777" w:rsidR="00FF2750" w:rsidRDefault="00FF2750" w:rsidP="00FF2750">
      <w:pPr>
        <w:pStyle w:val="podnadpis2"/>
        <w:spacing w:line="240" w:lineRule="atLeast"/>
      </w:pPr>
    </w:p>
    <w:p w14:paraId="40F155E7" w14:textId="77777777" w:rsidR="00FF2750" w:rsidRPr="006C5082" w:rsidRDefault="00FF2750" w:rsidP="00FF2750">
      <w:pPr>
        <w:pStyle w:val="podnadpis2"/>
        <w:spacing w:before="120" w:after="0" w:line="288" w:lineRule="auto"/>
        <w:jc w:val="both"/>
        <w:rPr>
          <w:rFonts w:cs="Arial"/>
          <w:sz w:val="32"/>
          <w:szCs w:val="32"/>
        </w:rPr>
      </w:pPr>
      <w:r w:rsidRPr="006C5082">
        <w:rPr>
          <w:rFonts w:cs="Arial"/>
          <w:sz w:val="32"/>
          <w:szCs w:val="32"/>
        </w:rPr>
        <w:t>ochrana přírody a krajiny</w:t>
      </w:r>
    </w:p>
    <w:p w14:paraId="0579431B" w14:textId="77777777" w:rsidR="00FF2750" w:rsidRPr="00FF2750" w:rsidRDefault="00FF2750" w:rsidP="00FF2750">
      <w:pPr>
        <w:pStyle w:val="Znaka1"/>
        <w:numPr>
          <w:ilvl w:val="0"/>
          <w:numId w:val="79"/>
        </w:numPr>
        <w:spacing w:line="288" w:lineRule="auto"/>
        <w:ind w:left="426"/>
        <w:jc w:val="both"/>
        <w:rPr>
          <w:rFonts w:cs="Arial"/>
          <w:sz w:val="22"/>
          <w:szCs w:val="22"/>
        </w:rPr>
      </w:pPr>
      <w:r w:rsidRPr="00FF2750">
        <w:rPr>
          <w:rFonts w:cs="Arial"/>
          <w:sz w:val="22"/>
          <w:szCs w:val="22"/>
        </w:rPr>
        <w:t>chráněná krajinná oblast Labské pískovce;</w:t>
      </w:r>
    </w:p>
    <w:p w14:paraId="18102187" w14:textId="77777777" w:rsidR="00FF2750" w:rsidRPr="00FF2750" w:rsidRDefault="00FF2750" w:rsidP="00FF2750">
      <w:pPr>
        <w:pStyle w:val="Znaka1"/>
        <w:numPr>
          <w:ilvl w:val="0"/>
          <w:numId w:val="79"/>
        </w:numPr>
        <w:spacing w:line="288" w:lineRule="auto"/>
        <w:ind w:left="426"/>
        <w:jc w:val="both"/>
        <w:rPr>
          <w:rFonts w:cs="Arial"/>
          <w:sz w:val="22"/>
          <w:szCs w:val="22"/>
        </w:rPr>
      </w:pPr>
      <w:r w:rsidRPr="00FF2750">
        <w:rPr>
          <w:rFonts w:cs="Arial"/>
          <w:sz w:val="22"/>
          <w:szCs w:val="22"/>
        </w:rPr>
        <w:t>chráněná krajinná oblast České středohoří;</w:t>
      </w:r>
    </w:p>
    <w:p w14:paraId="3DE2ECCB" w14:textId="77777777" w:rsidR="00FF2750" w:rsidRPr="00FF2750" w:rsidRDefault="00FF2750" w:rsidP="00FF2750">
      <w:pPr>
        <w:pStyle w:val="Znaka1"/>
        <w:numPr>
          <w:ilvl w:val="0"/>
          <w:numId w:val="79"/>
        </w:numPr>
        <w:spacing w:line="288" w:lineRule="auto"/>
        <w:ind w:left="426"/>
        <w:jc w:val="both"/>
        <w:rPr>
          <w:rFonts w:cs="Arial"/>
          <w:sz w:val="22"/>
          <w:szCs w:val="22"/>
        </w:rPr>
      </w:pPr>
      <w:r w:rsidRPr="00FF2750">
        <w:rPr>
          <w:rFonts w:cs="Arial"/>
          <w:sz w:val="22"/>
          <w:szCs w:val="22"/>
        </w:rPr>
        <w:t>národní přírodní památka Březinské tisy;</w:t>
      </w:r>
    </w:p>
    <w:p w14:paraId="45A2FCCA" w14:textId="77777777" w:rsidR="00FF2750" w:rsidRPr="00FF2750" w:rsidRDefault="00FF2750" w:rsidP="00FF2750">
      <w:pPr>
        <w:pStyle w:val="Znaka1"/>
        <w:numPr>
          <w:ilvl w:val="0"/>
          <w:numId w:val="79"/>
        </w:numPr>
        <w:spacing w:line="288" w:lineRule="auto"/>
        <w:ind w:left="426"/>
        <w:jc w:val="both"/>
        <w:rPr>
          <w:rFonts w:cs="Arial"/>
          <w:sz w:val="22"/>
          <w:szCs w:val="22"/>
        </w:rPr>
      </w:pPr>
      <w:r w:rsidRPr="00FF2750">
        <w:rPr>
          <w:rFonts w:cs="Arial"/>
          <w:sz w:val="22"/>
          <w:szCs w:val="22"/>
        </w:rPr>
        <w:t>přírodní památka Nebočadský luh;</w:t>
      </w:r>
    </w:p>
    <w:p w14:paraId="18C8B172" w14:textId="77777777" w:rsidR="00FF2750" w:rsidRPr="00FF2750" w:rsidRDefault="00FF2750" w:rsidP="00FF2750">
      <w:pPr>
        <w:pStyle w:val="Znaka1"/>
        <w:numPr>
          <w:ilvl w:val="0"/>
          <w:numId w:val="79"/>
        </w:numPr>
        <w:spacing w:line="288" w:lineRule="auto"/>
        <w:ind w:left="426"/>
        <w:jc w:val="both"/>
        <w:rPr>
          <w:rFonts w:cs="Arial"/>
          <w:sz w:val="22"/>
          <w:szCs w:val="22"/>
        </w:rPr>
      </w:pPr>
      <w:r w:rsidRPr="00FF2750">
        <w:rPr>
          <w:rFonts w:cs="Arial"/>
          <w:sz w:val="22"/>
          <w:szCs w:val="22"/>
        </w:rPr>
        <w:t>přírodní památka Bohyňská lada (v návrhu);</w:t>
      </w:r>
    </w:p>
    <w:p w14:paraId="664C10A5" w14:textId="77777777" w:rsidR="00FF2750" w:rsidRPr="00FF2750" w:rsidRDefault="00FF2750" w:rsidP="00FF2750">
      <w:pPr>
        <w:pStyle w:val="Znaka1"/>
        <w:numPr>
          <w:ilvl w:val="0"/>
          <w:numId w:val="79"/>
        </w:numPr>
        <w:spacing w:line="288" w:lineRule="auto"/>
        <w:ind w:left="426"/>
        <w:jc w:val="both"/>
        <w:rPr>
          <w:rFonts w:cs="Arial"/>
          <w:sz w:val="22"/>
          <w:szCs w:val="22"/>
        </w:rPr>
      </w:pPr>
      <w:r w:rsidRPr="00FF2750">
        <w:rPr>
          <w:rFonts w:cs="Arial"/>
          <w:sz w:val="22"/>
          <w:szCs w:val="22"/>
        </w:rPr>
        <w:t>památné stromy (viz. seznam);</w:t>
      </w:r>
    </w:p>
    <w:p w14:paraId="0F27668E" w14:textId="77777777" w:rsidR="00FF2750" w:rsidRPr="00FF2750" w:rsidRDefault="00FF2750" w:rsidP="00FF2750">
      <w:pPr>
        <w:pStyle w:val="Znaka1"/>
        <w:numPr>
          <w:ilvl w:val="0"/>
          <w:numId w:val="79"/>
        </w:numPr>
        <w:spacing w:line="288" w:lineRule="auto"/>
        <w:ind w:left="426"/>
        <w:jc w:val="both"/>
        <w:rPr>
          <w:rFonts w:cs="Arial"/>
          <w:sz w:val="22"/>
          <w:szCs w:val="22"/>
        </w:rPr>
      </w:pPr>
      <w:r w:rsidRPr="00FF2750">
        <w:rPr>
          <w:rFonts w:cs="Arial"/>
          <w:sz w:val="22"/>
          <w:szCs w:val="22"/>
        </w:rPr>
        <w:t>ochranné pásmo lesa (50 m).</w:t>
      </w:r>
    </w:p>
    <w:p w14:paraId="75961C8A" w14:textId="77777777" w:rsidR="00FF2750" w:rsidRPr="006C5082" w:rsidRDefault="00FF2750" w:rsidP="00FF2750">
      <w:pPr>
        <w:pStyle w:val="podnadpis2"/>
        <w:spacing w:before="120" w:after="0" w:line="288" w:lineRule="auto"/>
        <w:jc w:val="both"/>
        <w:rPr>
          <w:rFonts w:cs="Arial"/>
          <w:szCs w:val="22"/>
        </w:rPr>
      </w:pPr>
    </w:p>
    <w:p w14:paraId="1AD1DADD" w14:textId="77777777" w:rsidR="00FF2750" w:rsidRPr="006C5082" w:rsidRDefault="00FF2750" w:rsidP="00FF2750">
      <w:pPr>
        <w:pStyle w:val="podnadpis2"/>
        <w:spacing w:before="120" w:after="0" w:line="288" w:lineRule="auto"/>
        <w:jc w:val="both"/>
        <w:rPr>
          <w:rFonts w:cs="Arial"/>
          <w:sz w:val="32"/>
          <w:szCs w:val="32"/>
        </w:rPr>
      </w:pPr>
      <w:r w:rsidRPr="006C5082">
        <w:rPr>
          <w:rFonts w:cs="Arial"/>
          <w:sz w:val="32"/>
          <w:szCs w:val="32"/>
        </w:rPr>
        <w:t>územní systém ekologické stability</w:t>
      </w:r>
    </w:p>
    <w:p w14:paraId="7FC60628" w14:textId="77777777" w:rsidR="00FF2750" w:rsidRPr="00FF2750" w:rsidRDefault="00FF2750" w:rsidP="00FF2750">
      <w:pPr>
        <w:pStyle w:val="Znaka1"/>
        <w:numPr>
          <w:ilvl w:val="0"/>
          <w:numId w:val="79"/>
        </w:numPr>
        <w:spacing w:before="120" w:line="288" w:lineRule="auto"/>
        <w:ind w:left="426"/>
        <w:jc w:val="both"/>
        <w:rPr>
          <w:rFonts w:cs="Arial"/>
          <w:sz w:val="22"/>
          <w:szCs w:val="22"/>
        </w:rPr>
      </w:pPr>
      <w:r w:rsidRPr="00FF2750">
        <w:rPr>
          <w:rFonts w:cs="Arial"/>
          <w:sz w:val="22"/>
          <w:szCs w:val="22"/>
        </w:rPr>
        <w:t>regionální ÚSES;</w:t>
      </w:r>
    </w:p>
    <w:p w14:paraId="6AE71D5F" w14:textId="77777777" w:rsidR="00FF2750" w:rsidRPr="006C5082" w:rsidRDefault="00FF2750" w:rsidP="00FF2750">
      <w:pPr>
        <w:pStyle w:val="Znaka1"/>
        <w:numPr>
          <w:ilvl w:val="0"/>
          <w:numId w:val="79"/>
        </w:numPr>
        <w:spacing w:before="120" w:line="288" w:lineRule="auto"/>
        <w:ind w:left="426"/>
        <w:jc w:val="both"/>
        <w:rPr>
          <w:rFonts w:cs="Arial"/>
          <w:sz w:val="22"/>
          <w:szCs w:val="22"/>
        </w:rPr>
      </w:pPr>
      <w:r w:rsidRPr="00FF2750">
        <w:rPr>
          <w:rFonts w:cs="Arial"/>
          <w:sz w:val="22"/>
          <w:szCs w:val="22"/>
        </w:rPr>
        <w:t>lokální ÚSES</w:t>
      </w:r>
      <w:r>
        <w:rPr>
          <w:rFonts w:cs="Arial"/>
          <w:sz w:val="22"/>
          <w:szCs w:val="22"/>
        </w:rPr>
        <w:t>.</w:t>
      </w:r>
    </w:p>
    <w:p w14:paraId="3F5EB4A1" w14:textId="77777777" w:rsidR="00FF2750" w:rsidRPr="006C5082" w:rsidRDefault="00FF2750" w:rsidP="00FF2750">
      <w:pPr>
        <w:pStyle w:val="podnadpis2"/>
        <w:spacing w:before="120" w:after="0" w:line="288" w:lineRule="auto"/>
        <w:jc w:val="both"/>
        <w:rPr>
          <w:rFonts w:cs="Arial"/>
          <w:szCs w:val="22"/>
        </w:rPr>
      </w:pPr>
    </w:p>
    <w:p w14:paraId="2F446CB7" w14:textId="77777777" w:rsidR="00FF2750" w:rsidRPr="006C5082" w:rsidRDefault="00FF2750" w:rsidP="00FF2750">
      <w:pPr>
        <w:pStyle w:val="podnadpis2"/>
        <w:spacing w:before="120" w:after="0" w:line="288" w:lineRule="auto"/>
        <w:jc w:val="both"/>
        <w:rPr>
          <w:rFonts w:cs="Arial"/>
          <w:sz w:val="32"/>
          <w:szCs w:val="32"/>
        </w:rPr>
      </w:pPr>
      <w:r w:rsidRPr="006C5082">
        <w:rPr>
          <w:rFonts w:cs="Arial"/>
          <w:sz w:val="32"/>
          <w:szCs w:val="32"/>
        </w:rPr>
        <w:t>životní prostředí - ochrana staveb</w:t>
      </w:r>
    </w:p>
    <w:p w14:paraId="6F0B755B" w14:textId="77777777" w:rsidR="00FF2750" w:rsidRPr="006C5082" w:rsidRDefault="00FF2750" w:rsidP="00FF2750">
      <w:pPr>
        <w:pStyle w:val="Znaka1"/>
        <w:numPr>
          <w:ilvl w:val="0"/>
          <w:numId w:val="79"/>
        </w:numPr>
        <w:spacing w:before="120" w:line="288" w:lineRule="auto"/>
        <w:ind w:left="426"/>
        <w:jc w:val="both"/>
        <w:rPr>
          <w:rFonts w:cs="Arial"/>
          <w:sz w:val="22"/>
          <w:szCs w:val="22"/>
        </w:rPr>
      </w:pPr>
      <w:r w:rsidRPr="006C5082">
        <w:rPr>
          <w:rFonts w:cs="Arial"/>
          <w:sz w:val="22"/>
          <w:szCs w:val="22"/>
        </w:rPr>
        <w:t xml:space="preserve">vyhlášená </w:t>
      </w:r>
      <w:r>
        <w:rPr>
          <w:rFonts w:cs="Arial"/>
          <w:sz w:val="22"/>
          <w:szCs w:val="22"/>
        </w:rPr>
        <w:t>PHO;</w:t>
      </w:r>
    </w:p>
    <w:p w14:paraId="25A20BD6" w14:textId="77777777" w:rsidR="00FF2750" w:rsidRPr="006C5082" w:rsidRDefault="00FF2750" w:rsidP="00FF2750">
      <w:pPr>
        <w:pStyle w:val="Znaka1"/>
        <w:numPr>
          <w:ilvl w:val="0"/>
          <w:numId w:val="79"/>
        </w:numPr>
        <w:spacing w:before="120" w:line="288" w:lineRule="auto"/>
        <w:ind w:left="426"/>
        <w:jc w:val="both"/>
        <w:rPr>
          <w:rFonts w:cs="Arial"/>
          <w:sz w:val="22"/>
          <w:szCs w:val="22"/>
        </w:rPr>
      </w:pPr>
      <w:r w:rsidRPr="006C5082">
        <w:rPr>
          <w:rFonts w:cs="Arial"/>
          <w:sz w:val="22"/>
          <w:szCs w:val="22"/>
        </w:rPr>
        <w:t>území ohrožené hlukem z</w:t>
      </w:r>
      <w:r>
        <w:rPr>
          <w:rFonts w:cs="Arial"/>
          <w:sz w:val="22"/>
          <w:szCs w:val="22"/>
        </w:rPr>
        <w:t> </w:t>
      </w:r>
      <w:r w:rsidRPr="006C5082">
        <w:rPr>
          <w:rFonts w:cs="Arial"/>
          <w:sz w:val="22"/>
          <w:szCs w:val="22"/>
        </w:rPr>
        <w:t>dopravy</w:t>
      </w:r>
      <w:r>
        <w:rPr>
          <w:rFonts w:cs="Arial"/>
          <w:sz w:val="22"/>
          <w:szCs w:val="22"/>
        </w:rPr>
        <w:t>;</w:t>
      </w:r>
    </w:p>
    <w:p w14:paraId="54ACDA3F" w14:textId="77777777" w:rsidR="00FF2750" w:rsidRPr="006C5082" w:rsidRDefault="00FF2750" w:rsidP="00FF2750">
      <w:pPr>
        <w:pStyle w:val="Znaka1"/>
        <w:numPr>
          <w:ilvl w:val="0"/>
          <w:numId w:val="79"/>
        </w:numPr>
        <w:spacing w:before="120" w:line="288" w:lineRule="auto"/>
        <w:ind w:left="426"/>
        <w:jc w:val="both"/>
        <w:rPr>
          <w:rFonts w:cs="Arial"/>
          <w:sz w:val="22"/>
          <w:szCs w:val="22"/>
        </w:rPr>
      </w:pPr>
      <w:r w:rsidRPr="006C5082">
        <w:rPr>
          <w:rFonts w:cs="Arial"/>
          <w:sz w:val="22"/>
          <w:szCs w:val="22"/>
        </w:rPr>
        <w:t>sesuvná území</w:t>
      </w:r>
      <w:r>
        <w:rPr>
          <w:rFonts w:cs="Arial"/>
          <w:sz w:val="22"/>
          <w:szCs w:val="22"/>
        </w:rPr>
        <w:t>;</w:t>
      </w:r>
    </w:p>
    <w:p w14:paraId="063D83FF" w14:textId="77777777" w:rsidR="00FF2750" w:rsidRPr="006C5082" w:rsidRDefault="00FF2750" w:rsidP="00FF2750">
      <w:pPr>
        <w:pStyle w:val="Znaka1"/>
        <w:numPr>
          <w:ilvl w:val="0"/>
          <w:numId w:val="79"/>
        </w:numPr>
        <w:spacing w:before="120" w:line="288" w:lineRule="auto"/>
        <w:ind w:left="426"/>
        <w:jc w:val="both"/>
        <w:rPr>
          <w:rFonts w:cs="Arial"/>
          <w:sz w:val="22"/>
          <w:szCs w:val="22"/>
        </w:rPr>
      </w:pPr>
      <w:r w:rsidRPr="006C5082">
        <w:rPr>
          <w:rFonts w:cs="Arial"/>
          <w:sz w:val="22"/>
          <w:szCs w:val="22"/>
        </w:rPr>
        <w:t>území s výskytem radonového rizika</w:t>
      </w:r>
      <w:r>
        <w:rPr>
          <w:rFonts w:cs="Arial"/>
          <w:sz w:val="22"/>
          <w:szCs w:val="22"/>
        </w:rPr>
        <w:t>.</w:t>
      </w:r>
    </w:p>
    <w:p w14:paraId="00FD90B4" w14:textId="77777777" w:rsidR="00FF2750" w:rsidRPr="006C5082" w:rsidRDefault="00FF2750" w:rsidP="00FF2750">
      <w:pPr>
        <w:pStyle w:val="podnadpis2"/>
        <w:spacing w:before="120" w:after="0" w:line="288" w:lineRule="auto"/>
        <w:jc w:val="both"/>
        <w:rPr>
          <w:rFonts w:cs="Arial"/>
          <w:szCs w:val="22"/>
        </w:rPr>
      </w:pPr>
    </w:p>
    <w:p w14:paraId="1AA4EC4F" w14:textId="77777777" w:rsidR="00FF2750" w:rsidRPr="006C5082" w:rsidRDefault="00FF2750" w:rsidP="00FF2750">
      <w:pPr>
        <w:pStyle w:val="podnadpis2"/>
        <w:spacing w:before="120" w:after="0" w:line="288" w:lineRule="auto"/>
        <w:jc w:val="both"/>
        <w:rPr>
          <w:rFonts w:cs="Arial"/>
          <w:sz w:val="32"/>
          <w:szCs w:val="32"/>
        </w:rPr>
      </w:pPr>
      <w:r w:rsidRPr="006C5082">
        <w:rPr>
          <w:rFonts w:cs="Arial"/>
          <w:sz w:val="32"/>
          <w:szCs w:val="32"/>
        </w:rPr>
        <w:t>kulturní památky</w:t>
      </w:r>
    </w:p>
    <w:p w14:paraId="440A5EE7" w14:textId="77777777" w:rsidR="00FF2750" w:rsidRPr="006C5082" w:rsidRDefault="00FF2750" w:rsidP="00FF2750">
      <w:pPr>
        <w:pStyle w:val="Znaka1"/>
        <w:numPr>
          <w:ilvl w:val="0"/>
          <w:numId w:val="79"/>
        </w:numPr>
        <w:spacing w:before="120" w:line="288" w:lineRule="auto"/>
        <w:ind w:left="426"/>
        <w:jc w:val="both"/>
        <w:rPr>
          <w:rFonts w:cs="Arial"/>
          <w:sz w:val="22"/>
          <w:szCs w:val="22"/>
        </w:rPr>
      </w:pPr>
      <w:r w:rsidRPr="006C5082">
        <w:rPr>
          <w:rFonts w:cs="Arial"/>
          <w:sz w:val="22"/>
          <w:szCs w:val="22"/>
        </w:rPr>
        <w:t>nemovité kulturní památky, popř. soubor (viz. seznam kap. D2)</w:t>
      </w:r>
      <w:r>
        <w:rPr>
          <w:rFonts w:cs="Arial"/>
          <w:sz w:val="22"/>
          <w:szCs w:val="22"/>
        </w:rPr>
        <w:t>;</w:t>
      </w:r>
    </w:p>
    <w:p w14:paraId="5CE79ED8" w14:textId="77777777" w:rsidR="00FF2750" w:rsidRPr="006C5082" w:rsidRDefault="00FF2750" w:rsidP="00FF2750">
      <w:pPr>
        <w:pStyle w:val="Znaka1"/>
        <w:numPr>
          <w:ilvl w:val="0"/>
          <w:numId w:val="79"/>
        </w:numPr>
        <w:spacing w:before="120" w:line="288" w:lineRule="auto"/>
        <w:ind w:left="426"/>
        <w:jc w:val="both"/>
        <w:rPr>
          <w:rFonts w:cs="Arial"/>
          <w:sz w:val="22"/>
          <w:szCs w:val="22"/>
        </w:rPr>
      </w:pPr>
      <w:r w:rsidRPr="006C5082">
        <w:rPr>
          <w:rFonts w:cs="Arial"/>
          <w:sz w:val="22"/>
          <w:szCs w:val="22"/>
        </w:rPr>
        <w:t>archeologické naleziště (areál koupaliště pod zámkem - poliklinika)</w:t>
      </w:r>
      <w:r>
        <w:rPr>
          <w:rFonts w:cs="Arial"/>
          <w:sz w:val="22"/>
          <w:szCs w:val="22"/>
        </w:rPr>
        <w:t>;</w:t>
      </w:r>
    </w:p>
    <w:p w14:paraId="3CC59B3C" w14:textId="77777777" w:rsidR="00FF2750" w:rsidRPr="006C5082" w:rsidRDefault="00FF2750" w:rsidP="00FF2750">
      <w:pPr>
        <w:pStyle w:val="Znaka1"/>
        <w:numPr>
          <w:ilvl w:val="0"/>
          <w:numId w:val="79"/>
        </w:numPr>
        <w:spacing w:before="120" w:line="288" w:lineRule="auto"/>
        <w:ind w:left="426"/>
        <w:jc w:val="both"/>
        <w:rPr>
          <w:rFonts w:cs="Arial"/>
          <w:sz w:val="22"/>
          <w:szCs w:val="22"/>
        </w:rPr>
      </w:pPr>
      <w:r w:rsidRPr="006C5082">
        <w:rPr>
          <w:rFonts w:cs="Arial"/>
          <w:sz w:val="22"/>
          <w:szCs w:val="22"/>
        </w:rPr>
        <w:t>krajinná památková zóna (v přípravě)</w:t>
      </w:r>
      <w:r>
        <w:rPr>
          <w:rFonts w:cs="Arial"/>
          <w:sz w:val="22"/>
          <w:szCs w:val="22"/>
        </w:rPr>
        <w:t>.</w:t>
      </w:r>
    </w:p>
    <w:p w14:paraId="03E133AD" w14:textId="77777777" w:rsidR="00FF2750" w:rsidRDefault="00FF2750" w:rsidP="00FF2750">
      <w:pPr>
        <w:pStyle w:val="Zkladntext"/>
        <w:spacing w:before="120" w:line="288" w:lineRule="auto"/>
        <w:jc w:val="both"/>
        <w:rPr>
          <w:rFonts w:cs="Arial"/>
          <w:sz w:val="22"/>
          <w:szCs w:val="22"/>
        </w:rPr>
      </w:pPr>
    </w:p>
    <w:p w14:paraId="71883662" w14:textId="77777777" w:rsidR="00FF2750" w:rsidRDefault="00FF2750" w:rsidP="00FF2750">
      <w:pPr>
        <w:pStyle w:val="Zkladntext"/>
        <w:spacing w:before="120" w:line="288" w:lineRule="auto"/>
        <w:jc w:val="both"/>
        <w:rPr>
          <w:rFonts w:cs="Arial"/>
          <w:sz w:val="22"/>
          <w:szCs w:val="22"/>
        </w:rPr>
      </w:pPr>
    </w:p>
    <w:p w14:paraId="119B32D5" w14:textId="77777777" w:rsidR="00FF2750" w:rsidRDefault="00FF2750" w:rsidP="00FF2750">
      <w:pPr>
        <w:pStyle w:val="Zkladntext"/>
        <w:spacing w:before="120" w:line="288" w:lineRule="auto"/>
        <w:jc w:val="both"/>
        <w:rPr>
          <w:rFonts w:cs="Arial"/>
          <w:sz w:val="22"/>
          <w:szCs w:val="22"/>
        </w:rPr>
      </w:pPr>
    </w:p>
    <w:p w14:paraId="09F9D825" w14:textId="77777777" w:rsidR="00FF2750" w:rsidRDefault="00FF2750" w:rsidP="00FF2750">
      <w:pPr>
        <w:pStyle w:val="Zkladntext"/>
        <w:spacing w:before="120" w:line="288" w:lineRule="auto"/>
        <w:jc w:val="both"/>
        <w:rPr>
          <w:rFonts w:cs="Arial"/>
          <w:sz w:val="22"/>
          <w:szCs w:val="22"/>
        </w:rPr>
      </w:pPr>
    </w:p>
    <w:p w14:paraId="50E5B0D9" w14:textId="77777777" w:rsidR="00FF2750" w:rsidRPr="006C5082" w:rsidRDefault="00FF2750" w:rsidP="00FF2750">
      <w:pPr>
        <w:pStyle w:val="podnadpis2"/>
        <w:keepNext/>
        <w:spacing w:before="120" w:after="0" w:line="288" w:lineRule="auto"/>
        <w:jc w:val="both"/>
        <w:rPr>
          <w:rFonts w:cs="Arial"/>
          <w:sz w:val="32"/>
          <w:szCs w:val="32"/>
        </w:rPr>
      </w:pPr>
      <w:r w:rsidRPr="006C5082">
        <w:rPr>
          <w:rFonts w:cs="Arial"/>
          <w:sz w:val="32"/>
          <w:szCs w:val="32"/>
        </w:rPr>
        <w:lastRenderedPageBreak/>
        <w:t>doprava</w:t>
      </w:r>
    </w:p>
    <w:p w14:paraId="16BE5185" w14:textId="77777777" w:rsidR="00FF2750" w:rsidRPr="001E67CA" w:rsidRDefault="00FF2750" w:rsidP="00FF2750">
      <w:pPr>
        <w:pStyle w:val="Zkladntext"/>
        <w:keepNext/>
        <w:spacing w:before="120" w:line="288" w:lineRule="auto"/>
        <w:jc w:val="both"/>
        <w:rPr>
          <w:rFonts w:cs="Arial"/>
          <w:sz w:val="28"/>
          <w:szCs w:val="28"/>
        </w:rPr>
      </w:pPr>
      <w:r w:rsidRPr="001E67CA">
        <w:rPr>
          <w:rFonts w:cs="Arial"/>
          <w:b/>
          <w:bCs/>
          <w:caps/>
          <w:sz w:val="28"/>
          <w:szCs w:val="28"/>
        </w:rPr>
        <w:t>Silniční ochranné pásmo</w:t>
      </w:r>
    </w:p>
    <w:p w14:paraId="1E4A293F" w14:textId="1019A4C2" w:rsidR="00D75F38" w:rsidRPr="00FF2F84" w:rsidRDefault="00D75F38" w:rsidP="00D75F38">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2F60B7">
        <w:rPr>
          <w:rFonts w:ascii="Arial" w:hAnsi="Arial" w:cs="Arial"/>
          <w:color w:val="000000"/>
          <w:sz w:val="22"/>
          <w:szCs w:val="22"/>
          <w:lang w:eastAsia="cs-CZ"/>
        </w:rPr>
        <w:t xml:space="preserve">Toto ochranné pásmo upravuje zákon č. 13/1997 Sb. o pozemních </w:t>
      </w:r>
      <w:r w:rsidRPr="00FF2F84">
        <w:rPr>
          <w:rFonts w:ascii="Arial" w:hAnsi="Arial" w:cs="Arial"/>
          <w:color w:val="000000"/>
          <w:sz w:val="22"/>
          <w:szCs w:val="22"/>
          <w:lang w:eastAsia="cs-CZ"/>
        </w:rPr>
        <w:t xml:space="preserve">komunikacích </w:t>
      </w:r>
      <w:r w:rsidRPr="00FF2F84">
        <w:rPr>
          <w:rFonts w:ascii="Arial" w:hAnsi="Arial" w:cs="Arial"/>
          <w:color w:val="18B8B0"/>
          <w:sz w:val="22"/>
          <w:szCs w:val="22"/>
          <w:lang w:eastAsia="cs-CZ"/>
        </w:rPr>
        <w:t>ve znění pozdějších předpisů</w:t>
      </w:r>
      <w:r w:rsidRPr="00FF2F84">
        <w:rPr>
          <w:rFonts w:ascii="Arial" w:hAnsi="Arial" w:cs="Arial"/>
          <w:color w:val="000000"/>
          <w:sz w:val="22"/>
          <w:szCs w:val="22"/>
          <w:lang w:eastAsia="cs-CZ"/>
        </w:rPr>
        <w:t xml:space="preserve">. Zřizuje se na dálnicích, silnicích a místních komunikacích I. nebo II. třídy mimo zastavěné území </w:t>
      </w:r>
      <w:r w:rsidRPr="00FF2F84">
        <w:rPr>
          <w:rFonts w:ascii="Arial" w:hAnsi="Arial" w:cs="Arial"/>
          <w:color w:val="18B8B0"/>
          <w:sz w:val="22"/>
          <w:szCs w:val="22"/>
          <w:lang w:eastAsia="cs-CZ"/>
        </w:rPr>
        <w:t>obce</w:t>
      </w:r>
      <w:r w:rsidRPr="00FF2F84">
        <w:rPr>
          <w:rFonts w:ascii="Arial" w:hAnsi="Arial" w:cs="Arial"/>
          <w:color w:val="000000"/>
          <w:sz w:val="22"/>
          <w:szCs w:val="22"/>
          <w:lang w:eastAsia="cs-CZ"/>
        </w:rPr>
        <w:t xml:space="preserve">. </w:t>
      </w:r>
    </w:p>
    <w:p w14:paraId="1E1D05C5" w14:textId="1AC357F6" w:rsidR="00D75F38" w:rsidRPr="00FF2F84" w:rsidRDefault="00D75F38" w:rsidP="00D75F38">
      <w:pPr>
        <w:suppressAutoHyphens w:val="0"/>
        <w:autoSpaceDE w:val="0"/>
        <w:autoSpaceDN w:val="0"/>
        <w:adjustRightInd w:val="0"/>
        <w:spacing w:before="120" w:line="288" w:lineRule="auto"/>
        <w:ind w:firstLine="709"/>
        <w:jc w:val="both"/>
        <w:rPr>
          <w:rFonts w:ascii="Arial" w:hAnsi="Arial" w:cs="Arial"/>
          <w:color w:val="000000"/>
          <w:sz w:val="22"/>
          <w:szCs w:val="22"/>
          <w:lang w:eastAsia="cs-CZ"/>
        </w:rPr>
      </w:pPr>
      <w:r w:rsidRPr="00FF2F84">
        <w:rPr>
          <w:rFonts w:ascii="Arial" w:hAnsi="Arial" w:cs="Arial"/>
          <w:color w:val="000000"/>
          <w:sz w:val="22"/>
          <w:szCs w:val="22"/>
          <w:lang w:eastAsia="cs-CZ"/>
        </w:rPr>
        <w:t xml:space="preserve">Silniční ochranné pásmo </w:t>
      </w:r>
      <w:r w:rsidRPr="00FF2F84">
        <w:rPr>
          <w:rFonts w:ascii="Arial" w:hAnsi="Arial" w:cs="Arial"/>
          <w:color w:val="18B8B0"/>
          <w:sz w:val="22"/>
          <w:szCs w:val="22"/>
          <w:lang w:eastAsia="cs-CZ"/>
        </w:rPr>
        <w:t>představuje prostor ohraničený svislými plochami vedenými do výšky 50 m, pro silnice I. a II. třídy ve vzdálenosti</w:t>
      </w:r>
      <w:r w:rsidRPr="00FF2F84">
        <w:rPr>
          <w:rFonts w:ascii="Arial" w:hAnsi="Arial" w:cs="Arial"/>
          <w:color w:val="000000"/>
          <w:sz w:val="22"/>
          <w:szCs w:val="22"/>
          <w:lang w:eastAsia="cs-CZ"/>
        </w:rPr>
        <w:t>:</w:t>
      </w:r>
    </w:p>
    <w:p w14:paraId="5A730CAA" w14:textId="53123FFF" w:rsidR="00D75F38" w:rsidRPr="00FF2F84" w:rsidRDefault="00D75F38" w:rsidP="00D75F38">
      <w:pPr>
        <w:numPr>
          <w:ilvl w:val="0"/>
          <w:numId w:val="28"/>
        </w:numPr>
        <w:suppressAutoHyphens w:val="0"/>
        <w:autoSpaceDE w:val="0"/>
        <w:autoSpaceDN w:val="0"/>
        <w:adjustRightInd w:val="0"/>
        <w:spacing w:before="120" w:line="288" w:lineRule="auto"/>
        <w:jc w:val="both"/>
        <w:rPr>
          <w:rFonts w:ascii="Arial" w:hAnsi="Arial" w:cs="Arial"/>
          <w:color w:val="000000"/>
          <w:sz w:val="22"/>
          <w:szCs w:val="22"/>
          <w:lang w:eastAsia="cs-CZ"/>
        </w:rPr>
      </w:pPr>
      <w:r w:rsidRPr="00FF2F84">
        <w:rPr>
          <w:rFonts w:ascii="Arial" w:hAnsi="Arial" w:cs="Arial"/>
          <w:b/>
          <w:bCs/>
          <w:color w:val="000000"/>
          <w:sz w:val="22"/>
          <w:szCs w:val="22"/>
          <w:lang w:eastAsia="cs-CZ"/>
        </w:rPr>
        <w:t>50 m</w:t>
      </w:r>
      <w:r w:rsidRPr="00FF2F84">
        <w:rPr>
          <w:rFonts w:ascii="Arial" w:hAnsi="Arial" w:cs="Arial"/>
          <w:color w:val="000000"/>
          <w:sz w:val="22"/>
          <w:szCs w:val="22"/>
          <w:lang w:eastAsia="cs-CZ"/>
        </w:rPr>
        <w:t xml:space="preserve"> </w:t>
      </w:r>
      <w:r w:rsidRPr="00FF2F84">
        <w:rPr>
          <w:rFonts w:ascii="Arial" w:hAnsi="Arial" w:cs="Arial"/>
          <w:color w:val="18B8B0"/>
          <w:sz w:val="22"/>
          <w:szCs w:val="22"/>
          <w:lang w:eastAsia="cs-CZ"/>
        </w:rPr>
        <w:t>od osy vozovky nebo přilehlého jízdního pásu silnice I. třídy nebo místní komunikace I. třídy</w:t>
      </w:r>
      <w:r w:rsidRPr="00FF2F84">
        <w:rPr>
          <w:rFonts w:ascii="Arial" w:hAnsi="Arial" w:cs="Arial"/>
          <w:color w:val="000000"/>
          <w:sz w:val="22"/>
          <w:szCs w:val="22"/>
          <w:lang w:eastAsia="cs-CZ"/>
        </w:rPr>
        <w:t>;</w:t>
      </w:r>
    </w:p>
    <w:p w14:paraId="0AB9B525" w14:textId="7E2E0C59" w:rsidR="00D75F38" w:rsidRPr="00FF2F84" w:rsidRDefault="00D75F38" w:rsidP="00D75F38">
      <w:pPr>
        <w:numPr>
          <w:ilvl w:val="0"/>
          <w:numId w:val="28"/>
        </w:numPr>
        <w:suppressAutoHyphens w:val="0"/>
        <w:autoSpaceDE w:val="0"/>
        <w:autoSpaceDN w:val="0"/>
        <w:adjustRightInd w:val="0"/>
        <w:spacing w:before="120" w:line="288" w:lineRule="auto"/>
        <w:jc w:val="both"/>
        <w:rPr>
          <w:rFonts w:ascii="Arial" w:hAnsi="Arial" w:cs="Arial"/>
          <w:color w:val="000000"/>
          <w:sz w:val="22"/>
          <w:szCs w:val="22"/>
          <w:lang w:eastAsia="cs-CZ"/>
        </w:rPr>
      </w:pPr>
      <w:r w:rsidRPr="00FF2F84">
        <w:rPr>
          <w:rFonts w:ascii="Arial" w:hAnsi="Arial" w:cs="Arial"/>
          <w:b/>
          <w:bCs/>
          <w:color w:val="000000"/>
          <w:sz w:val="22"/>
          <w:szCs w:val="22"/>
          <w:lang w:eastAsia="cs-CZ"/>
        </w:rPr>
        <w:t>15 m</w:t>
      </w:r>
      <w:r w:rsidRPr="00FF2F84">
        <w:rPr>
          <w:rFonts w:ascii="Arial" w:hAnsi="Arial" w:cs="Arial"/>
          <w:color w:val="000000"/>
          <w:sz w:val="22"/>
          <w:szCs w:val="22"/>
          <w:lang w:eastAsia="cs-CZ"/>
        </w:rPr>
        <w:t xml:space="preserve"> </w:t>
      </w:r>
      <w:r w:rsidRPr="00FF2F84">
        <w:rPr>
          <w:rFonts w:ascii="Arial" w:hAnsi="Arial" w:cs="Arial"/>
          <w:color w:val="18B8B0"/>
          <w:sz w:val="22"/>
          <w:szCs w:val="22"/>
          <w:lang w:eastAsia="cs-CZ"/>
        </w:rPr>
        <w:t>od osy vozovky nebo od osy přilehlého jízdního pásu silnice II. třídy nebo III. třídy a místní komunikace II. třídy</w:t>
      </w:r>
      <w:r w:rsidRPr="00FF2F84">
        <w:rPr>
          <w:rFonts w:ascii="Arial" w:hAnsi="Arial" w:cs="Arial"/>
          <w:color w:val="000000"/>
          <w:sz w:val="22"/>
          <w:szCs w:val="22"/>
          <w:lang w:eastAsia="cs-CZ"/>
        </w:rPr>
        <w:t>.</w:t>
      </w:r>
    </w:p>
    <w:p w14:paraId="116708B0" w14:textId="479CB60E" w:rsidR="00D75F38" w:rsidRPr="002F60B7" w:rsidRDefault="00D75F38" w:rsidP="00D75F38">
      <w:pPr>
        <w:suppressAutoHyphens w:val="0"/>
        <w:autoSpaceDE w:val="0"/>
        <w:autoSpaceDN w:val="0"/>
        <w:adjustRightInd w:val="0"/>
        <w:spacing w:before="120" w:line="288" w:lineRule="auto"/>
        <w:ind w:firstLine="567"/>
        <w:jc w:val="both"/>
        <w:rPr>
          <w:rFonts w:ascii="Arial" w:hAnsi="Arial" w:cs="Arial"/>
          <w:color w:val="000000"/>
          <w:sz w:val="22"/>
          <w:szCs w:val="22"/>
          <w:lang w:eastAsia="cs-CZ"/>
        </w:rPr>
      </w:pPr>
      <w:r w:rsidRPr="00FF2F84">
        <w:rPr>
          <w:rFonts w:ascii="Arial" w:hAnsi="Arial" w:cs="Arial"/>
          <w:color w:val="000000"/>
          <w:sz w:val="22"/>
          <w:szCs w:val="22"/>
          <w:lang w:eastAsia="cs-CZ"/>
        </w:rPr>
        <w:t xml:space="preserve">V silničních ochranných pásmech </w:t>
      </w:r>
      <w:r w:rsidRPr="00FF2F84">
        <w:rPr>
          <w:rFonts w:ascii="Arial" w:hAnsi="Arial" w:cs="Arial"/>
          <w:color w:val="18B8B0"/>
          <w:sz w:val="22"/>
          <w:szCs w:val="22"/>
          <w:lang w:eastAsia="cs-CZ"/>
        </w:rPr>
        <w:t>lze provádět stavby a nestavební záměry pouze na základě povolení příslušného stavebního úřadu. Vlastník pozemní komunikace je vždy účastníkem řízení o povolení stavby nebo činnosti v ochranném pásmu</w:t>
      </w:r>
      <w:r w:rsidRPr="00FF2F84">
        <w:rPr>
          <w:rFonts w:ascii="Arial" w:hAnsi="Arial" w:cs="Arial"/>
          <w:color w:val="000000"/>
          <w:sz w:val="22"/>
          <w:szCs w:val="22"/>
          <w:lang w:eastAsia="cs-CZ"/>
        </w:rPr>
        <w:t>.</w:t>
      </w:r>
      <w:r w:rsidRPr="002F60B7">
        <w:rPr>
          <w:rFonts w:ascii="Arial" w:hAnsi="Arial" w:cs="Arial"/>
          <w:color w:val="000000"/>
          <w:sz w:val="22"/>
          <w:szCs w:val="22"/>
          <w:lang w:eastAsia="cs-CZ"/>
        </w:rPr>
        <w:t xml:space="preserve"> </w:t>
      </w:r>
    </w:p>
    <w:p w14:paraId="38C4FCEA" w14:textId="77777777" w:rsidR="00FF2750" w:rsidRPr="006C5082" w:rsidRDefault="00FF2750" w:rsidP="00FF2750">
      <w:pPr>
        <w:pStyle w:val="Zkladntext"/>
        <w:spacing w:before="120" w:line="288" w:lineRule="auto"/>
        <w:jc w:val="both"/>
        <w:rPr>
          <w:rFonts w:cs="Arial"/>
          <w:sz w:val="22"/>
          <w:szCs w:val="22"/>
        </w:rPr>
      </w:pPr>
    </w:p>
    <w:p w14:paraId="78276097" w14:textId="77777777" w:rsidR="00FF2750" w:rsidRPr="00D75F38" w:rsidRDefault="00FF2750" w:rsidP="00FF2750">
      <w:pPr>
        <w:pStyle w:val="Zkladntext"/>
        <w:spacing w:before="120" w:line="288" w:lineRule="auto"/>
        <w:jc w:val="both"/>
        <w:rPr>
          <w:rFonts w:ascii="Arial" w:hAnsi="Arial" w:cs="Arial"/>
          <w:b/>
          <w:bCs/>
          <w:caps/>
          <w:sz w:val="28"/>
          <w:szCs w:val="28"/>
        </w:rPr>
      </w:pPr>
      <w:r w:rsidRPr="00D75F38">
        <w:rPr>
          <w:rFonts w:ascii="Arial" w:hAnsi="Arial" w:cs="Arial"/>
          <w:b/>
          <w:bCs/>
          <w:caps/>
          <w:sz w:val="28"/>
          <w:szCs w:val="28"/>
        </w:rPr>
        <w:t>Ochranné pásmo dráhy</w:t>
      </w:r>
    </w:p>
    <w:p w14:paraId="19B17AEB"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sz w:val="22"/>
          <w:szCs w:val="22"/>
        </w:rPr>
        <w:t>Ustanovení o ochranném pásmu obsahuje zákon o drahách.</w:t>
      </w:r>
    </w:p>
    <w:p w14:paraId="48C538CD" w14:textId="77777777" w:rsidR="00FF2750" w:rsidRPr="00FF2750" w:rsidRDefault="00FF2750" w:rsidP="00FF2750">
      <w:pPr>
        <w:pStyle w:val="Zkladntext"/>
        <w:spacing w:before="120" w:line="288" w:lineRule="auto"/>
        <w:ind w:firstLine="709"/>
        <w:jc w:val="both"/>
        <w:rPr>
          <w:rFonts w:ascii="Arial" w:hAnsi="Arial" w:cs="Arial"/>
          <w:b/>
          <w:sz w:val="22"/>
          <w:szCs w:val="22"/>
        </w:rPr>
      </w:pPr>
      <w:r w:rsidRPr="00FF2750">
        <w:rPr>
          <w:rFonts w:ascii="Arial" w:hAnsi="Arial" w:cs="Arial"/>
          <w:b/>
          <w:sz w:val="22"/>
          <w:szCs w:val="22"/>
        </w:rPr>
        <w:t>Ochranné pásmo dráhy činí:</w:t>
      </w:r>
    </w:p>
    <w:p w14:paraId="5120E97D" w14:textId="77777777" w:rsidR="00FF2750" w:rsidRPr="00FF2750" w:rsidRDefault="00FF2750" w:rsidP="00FF2750">
      <w:pPr>
        <w:pStyle w:val="Znaka1"/>
        <w:numPr>
          <w:ilvl w:val="0"/>
          <w:numId w:val="81"/>
        </w:numPr>
        <w:spacing w:before="120" w:line="288" w:lineRule="auto"/>
        <w:ind w:left="426"/>
        <w:jc w:val="both"/>
        <w:rPr>
          <w:rFonts w:cs="Arial"/>
          <w:sz w:val="22"/>
          <w:szCs w:val="22"/>
        </w:rPr>
      </w:pPr>
      <w:r w:rsidRPr="00FF2750">
        <w:rPr>
          <w:rFonts w:cs="Arial"/>
          <w:b/>
          <w:bCs/>
          <w:sz w:val="22"/>
          <w:szCs w:val="22"/>
        </w:rPr>
        <w:t>u drah celostátních</w:t>
      </w:r>
      <w:r w:rsidRPr="00FF2750">
        <w:rPr>
          <w:rFonts w:cs="Arial"/>
          <w:sz w:val="22"/>
          <w:szCs w:val="22"/>
        </w:rPr>
        <w:t xml:space="preserve"> (tratě tvořící souvislou železniční síť) </w:t>
      </w:r>
      <w:r w:rsidRPr="00FF2750">
        <w:rPr>
          <w:rFonts w:cs="Arial"/>
          <w:b/>
          <w:bCs/>
          <w:sz w:val="22"/>
          <w:szCs w:val="22"/>
        </w:rPr>
        <w:t>60 m od osy</w:t>
      </w:r>
      <w:r w:rsidRPr="00FF2750">
        <w:rPr>
          <w:rFonts w:cs="Arial"/>
          <w:sz w:val="22"/>
          <w:szCs w:val="22"/>
        </w:rPr>
        <w:t xml:space="preserve"> krajní koleje, </w:t>
      </w:r>
      <w:r w:rsidRPr="00FF2750">
        <w:rPr>
          <w:rFonts w:cs="Arial"/>
          <w:b/>
          <w:bCs/>
          <w:sz w:val="22"/>
          <w:szCs w:val="22"/>
        </w:rPr>
        <w:t>nejméně však 30 m od hranic</w:t>
      </w:r>
      <w:r w:rsidRPr="00FF2750">
        <w:rPr>
          <w:rFonts w:cs="Arial"/>
          <w:sz w:val="22"/>
          <w:szCs w:val="22"/>
        </w:rPr>
        <w:t xml:space="preserve"> obvodu dráhy (tj. od hranic drážních pozemků);</w:t>
      </w:r>
    </w:p>
    <w:p w14:paraId="76AA3227" w14:textId="77777777" w:rsidR="00FF2750" w:rsidRPr="00FF2750" w:rsidRDefault="00FF2750" w:rsidP="00FF2750">
      <w:pPr>
        <w:pStyle w:val="Znaka1"/>
        <w:numPr>
          <w:ilvl w:val="0"/>
          <w:numId w:val="81"/>
        </w:numPr>
        <w:spacing w:before="120" w:line="288" w:lineRule="auto"/>
        <w:ind w:left="426"/>
        <w:jc w:val="both"/>
        <w:rPr>
          <w:rFonts w:cs="Arial"/>
          <w:sz w:val="22"/>
          <w:szCs w:val="22"/>
        </w:rPr>
      </w:pPr>
      <w:r w:rsidRPr="00FF2750">
        <w:rPr>
          <w:rFonts w:cs="Arial"/>
          <w:b/>
          <w:bCs/>
          <w:sz w:val="22"/>
          <w:szCs w:val="22"/>
        </w:rPr>
        <w:t>u vleček</w:t>
      </w:r>
      <w:r w:rsidRPr="00FF2750">
        <w:rPr>
          <w:rFonts w:cs="Arial"/>
          <w:sz w:val="22"/>
          <w:szCs w:val="22"/>
        </w:rPr>
        <w:t xml:space="preserve">, městských rychlodrah a drah zvláštního určení (jako dráhy lesní, důlní, lanové) </w:t>
      </w:r>
      <w:r w:rsidRPr="00FF2750">
        <w:rPr>
          <w:rFonts w:cs="Arial"/>
          <w:b/>
          <w:bCs/>
          <w:sz w:val="22"/>
          <w:szCs w:val="22"/>
        </w:rPr>
        <w:t>30 m od osy</w:t>
      </w:r>
      <w:r w:rsidRPr="00FF2750">
        <w:rPr>
          <w:rFonts w:cs="Arial"/>
          <w:sz w:val="22"/>
          <w:szCs w:val="22"/>
        </w:rPr>
        <w:t xml:space="preserve"> krajní koleje.</w:t>
      </w:r>
    </w:p>
    <w:p w14:paraId="7A5308E3"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sz w:val="22"/>
          <w:szCs w:val="22"/>
        </w:rPr>
        <w:t>Ustanovení o ochranném pásmu se nevztahuje na vlečky v uzavřeném obvodu závodu nebo přístavu, takže v tomto případě není třeba žádat o udělení výjimky z ochranného pásma dráhy. V ochranném pásmu je povoleno stavět pouze drážní stavby. Stavební činnost neželezničního investora je možná pouze s nutným souhlasem Drážního úřadu.</w:t>
      </w:r>
    </w:p>
    <w:p w14:paraId="5E88DD15" w14:textId="77777777" w:rsidR="00FF2750" w:rsidRPr="006C5082" w:rsidRDefault="00FF2750" w:rsidP="00FF2750">
      <w:pPr>
        <w:pStyle w:val="Zkladntext"/>
        <w:spacing w:before="120" w:line="288" w:lineRule="auto"/>
        <w:jc w:val="both"/>
        <w:rPr>
          <w:rFonts w:cs="Arial"/>
          <w:sz w:val="22"/>
          <w:szCs w:val="22"/>
        </w:rPr>
      </w:pPr>
    </w:p>
    <w:p w14:paraId="439648C5" w14:textId="77777777" w:rsidR="00FF2750" w:rsidRPr="006C5082" w:rsidRDefault="00FF2750" w:rsidP="00FF2750">
      <w:pPr>
        <w:pStyle w:val="podnadpis2"/>
        <w:spacing w:before="120" w:after="0" w:line="288" w:lineRule="auto"/>
        <w:jc w:val="both"/>
        <w:rPr>
          <w:rFonts w:cs="Arial"/>
          <w:sz w:val="32"/>
          <w:szCs w:val="32"/>
        </w:rPr>
      </w:pPr>
      <w:r w:rsidRPr="006C5082">
        <w:rPr>
          <w:rFonts w:cs="Arial"/>
          <w:sz w:val="32"/>
          <w:szCs w:val="32"/>
        </w:rPr>
        <w:t>vodní hospodářství</w:t>
      </w:r>
    </w:p>
    <w:p w14:paraId="777274BF" w14:textId="77777777" w:rsidR="00FF2750" w:rsidRPr="00FF2750" w:rsidRDefault="00FF2750" w:rsidP="00FF2750">
      <w:pPr>
        <w:pStyle w:val="Znaka1"/>
        <w:numPr>
          <w:ilvl w:val="0"/>
          <w:numId w:val="81"/>
        </w:numPr>
        <w:spacing w:before="120" w:line="288" w:lineRule="auto"/>
        <w:ind w:left="426"/>
        <w:jc w:val="both"/>
        <w:rPr>
          <w:rFonts w:cs="Arial"/>
          <w:b/>
          <w:bCs/>
          <w:sz w:val="22"/>
          <w:szCs w:val="22"/>
        </w:rPr>
      </w:pPr>
      <w:r w:rsidRPr="00FF2750">
        <w:rPr>
          <w:rFonts w:cs="Arial"/>
          <w:b/>
          <w:bCs/>
          <w:sz w:val="22"/>
          <w:szCs w:val="22"/>
        </w:rPr>
        <w:t>CHOPAV Severočeská křída</w:t>
      </w:r>
    </w:p>
    <w:p w14:paraId="7CF5B2A7"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sz w:val="22"/>
          <w:szCs w:val="22"/>
        </w:rPr>
        <w:t>Omezení se týká rozsahu lesní těžby, odvodnění, těžby nerostů, vrtných prací a zemědělského využívání.</w:t>
      </w:r>
    </w:p>
    <w:p w14:paraId="78D3A6D4" w14:textId="77777777" w:rsidR="00FF2750" w:rsidRPr="00FF2750" w:rsidRDefault="00FF2750" w:rsidP="00FF2750">
      <w:pPr>
        <w:pStyle w:val="Znaka1"/>
        <w:numPr>
          <w:ilvl w:val="0"/>
          <w:numId w:val="81"/>
        </w:numPr>
        <w:spacing w:before="120" w:line="288" w:lineRule="auto"/>
        <w:ind w:left="426"/>
        <w:jc w:val="both"/>
        <w:rPr>
          <w:rFonts w:cs="Arial"/>
          <w:b/>
          <w:bCs/>
          <w:sz w:val="22"/>
          <w:szCs w:val="22"/>
        </w:rPr>
      </w:pPr>
      <w:r w:rsidRPr="00FF2750">
        <w:rPr>
          <w:rFonts w:cs="Arial"/>
          <w:b/>
          <w:bCs/>
          <w:sz w:val="22"/>
          <w:szCs w:val="22"/>
        </w:rPr>
        <w:t>PHO vodních zdrojů</w:t>
      </w:r>
    </w:p>
    <w:p w14:paraId="6AB3FE16" w14:textId="77777777" w:rsidR="00FF2750" w:rsidRPr="00FF2750" w:rsidRDefault="00FF2750" w:rsidP="00FF2750">
      <w:pPr>
        <w:pStyle w:val="Zkladntext"/>
        <w:spacing w:before="120" w:line="288" w:lineRule="auto"/>
        <w:ind w:left="360"/>
        <w:jc w:val="both"/>
        <w:rPr>
          <w:rFonts w:ascii="Arial" w:hAnsi="Arial" w:cs="Arial"/>
          <w:sz w:val="22"/>
          <w:szCs w:val="22"/>
        </w:rPr>
      </w:pPr>
      <w:r w:rsidRPr="00FF2750">
        <w:rPr>
          <w:rFonts w:ascii="Arial" w:hAnsi="Arial" w:cs="Arial"/>
          <w:sz w:val="22"/>
          <w:szCs w:val="22"/>
        </w:rPr>
        <w:t xml:space="preserve">PHO I., II .A a II. B stupně mají </w:t>
      </w:r>
      <w:r w:rsidRPr="00FF2750">
        <w:rPr>
          <w:rFonts w:ascii="Arial" w:hAnsi="Arial" w:cs="Arial"/>
          <w:sz w:val="22"/>
          <w:szCs w:val="22"/>
        </w:rPr>
        <w:tab/>
        <w:t>prameniště Děčínský Sněžník.</w:t>
      </w:r>
    </w:p>
    <w:p w14:paraId="16278190" w14:textId="77777777" w:rsidR="00FF2750" w:rsidRPr="00FF2750" w:rsidRDefault="00FF2750" w:rsidP="00FF2750">
      <w:pPr>
        <w:pStyle w:val="Zkladntext"/>
        <w:spacing w:before="120" w:line="288" w:lineRule="auto"/>
        <w:ind w:left="360"/>
        <w:jc w:val="both"/>
        <w:rPr>
          <w:rFonts w:ascii="Arial" w:hAnsi="Arial" w:cs="Arial"/>
          <w:sz w:val="22"/>
          <w:szCs w:val="22"/>
        </w:rPr>
      </w:pPr>
      <w:r w:rsidRPr="00FF2750">
        <w:rPr>
          <w:rFonts w:ascii="Arial" w:hAnsi="Arial" w:cs="Arial"/>
          <w:sz w:val="22"/>
          <w:szCs w:val="22"/>
        </w:rPr>
        <w:tab/>
      </w:r>
      <w:r w:rsidRPr="00FF2750">
        <w:rPr>
          <w:rFonts w:ascii="Arial" w:hAnsi="Arial" w:cs="Arial"/>
          <w:sz w:val="22"/>
          <w:szCs w:val="22"/>
        </w:rPr>
        <w:tab/>
      </w:r>
      <w:r w:rsidRPr="00FF2750">
        <w:rPr>
          <w:rFonts w:ascii="Arial" w:hAnsi="Arial" w:cs="Arial"/>
          <w:sz w:val="22"/>
          <w:szCs w:val="22"/>
        </w:rPr>
        <w:tab/>
      </w:r>
      <w:r w:rsidRPr="00FF2750">
        <w:rPr>
          <w:rFonts w:ascii="Arial" w:hAnsi="Arial" w:cs="Arial"/>
          <w:sz w:val="22"/>
          <w:szCs w:val="22"/>
        </w:rPr>
        <w:tab/>
        <w:t xml:space="preserve"> </w:t>
      </w:r>
      <w:r w:rsidRPr="00FF2750">
        <w:rPr>
          <w:rFonts w:ascii="Arial" w:hAnsi="Arial" w:cs="Arial"/>
          <w:sz w:val="22"/>
          <w:szCs w:val="22"/>
        </w:rPr>
        <w:tab/>
        <w:t>prameniště Bynov</w:t>
      </w:r>
    </w:p>
    <w:p w14:paraId="04A2368D" w14:textId="77777777" w:rsidR="00FF2750" w:rsidRPr="00FF2750" w:rsidRDefault="00FF2750" w:rsidP="00FF2750">
      <w:pPr>
        <w:pStyle w:val="Zkladntext"/>
        <w:spacing w:before="120" w:line="288" w:lineRule="auto"/>
        <w:ind w:left="360"/>
        <w:jc w:val="both"/>
        <w:rPr>
          <w:rFonts w:ascii="Arial" w:hAnsi="Arial" w:cs="Arial"/>
          <w:sz w:val="22"/>
          <w:szCs w:val="22"/>
        </w:rPr>
      </w:pPr>
      <w:r w:rsidRPr="00FF2750">
        <w:rPr>
          <w:rFonts w:ascii="Arial" w:hAnsi="Arial" w:cs="Arial"/>
          <w:sz w:val="22"/>
          <w:szCs w:val="22"/>
        </w:rPr>
        <w:tab/>
      </w:r>
      <w:r w:rsidRPr="00FF2750">
        <w:rPr>
          <w:rFonts w:ascii="Arial" w:hAnsi="Arial" w:cs="Arial"/>
          <w:sz w:val="22"/>
          <w:szCs w:val="22"/>
        </w:rPr>
        <w:tab/>
      </w:r>
      <w:r w:rsidRPr="00FF2750">
        <w:rPr>
          <w:rFonts w:ascii="Arial" w:hAnsi="Arial" w:cs="Arial"/>
          <w:sz w:val="22"/>
          <w:szCs w:val="22"/>
        </w:rPr>
        <w:tab/>
      </w:r>
      <w:r w:rsidRPr="00FF2750">
        <w:rPr>
          <w:rFonts w:ascii="Arial" w:hAnsi="Arial" w:cs="Arial"/>
          <w:sz w:val="22"/>
          <w:szCs w:val="22"/>
        </w:rPr>
        <w:tab/>
        <w:t xml:space="preserve"> </w:t>
      </w:r>
      <w:r w:rsidRPr="00FF2750">
        <w:rPr>
          <w:rFonts w:ascii="Arial" w:hAnsi="Arial" w:cs="Arial"/>
          <w:sz w:val="22"/>
          <w:szCs w:val="22"/>
        </w:rPr>
        <w:tab/>
        <w:t>prameniště Maxičky</w:t>
      </w:r>
    </w:p>
    <w:p w14:paraId="5E136C67" w14:textId="77777777" w:rsidR="00FF2750" w:rsidRPr="00FF2750" w:rsidRDefault="00FF2750" w:rsidP="00FF2750">
      <w:pPr>
        <w:pStyle w:val="Zkladntext"/>
        <w:spacing w:before="120" w:line="288" w:lineRule="auto"/>
        <w:ind w:left="357"/>
        <w:jc w:val="both"/>
        <w:rPr>
          <w:rFonts w:ascii="Arial" w:hAnsi="Arial" w:cs="Arial"/>
          <w:sz w:val="22"/>
          <w:szCs w:val="22"/>
        </w:rPr>
      </w:pPr>
      <w:r w:rsidRPr="00FF2750">
        <w:rPr>
          <w:rFonts w:ascii="Arial" w:hAnsi="Arial" w:cs="Arial"/>
          <w:sz w:val="22"/>
          <w:szCs w:val="22"/>
        </w:rPr>
        <w:lastRenderedPageBreak/>
        <w:t>místní zdroje mají vyhlášena I. PHO.</w:t>
      </w:r>
    </w:p>
    <w:p w14:paraId="2A329990"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sz w:val="22"/>
          <w:szCs w:val="22"/>
        </w:rPr>
        <w:t>K  veškeré činnosti v  PHO je nutný souhlas správce a majitele zdrojů a vodohospodářského orgánu.</w:t>
      </w:r>
    </w:p>
    <w:p w14:paraId="723A0399" w14:textId="77777777" w:rsidR="00FF2750" w:rsidRPr="00FF2750" w:rsidRDefault="00FF2750" w:rsidP="00FF2750">
      <w:pPr>
        <w:pStyle w:val="Znaka1"/>
        <w:tabs>
          <w:tab w:val="left" w:pos="284"/>
        </w:tabs>
        <w:spacing w:before="120" w:line="288" w:lineRule="auto"/>
        <w:ind w:left="0"/>
        <w:jc w:val="both"/>
        <w:rPr>
          <w:rFonts w:cs="Arial"/>
          <w:sz w:val="22"/>
          <w:szCs w:val="22"/>
        </w:rPr>
      </w:pPr>
      <w:r w:rsidRPr="00FF2750">
        <w:rPr>
          <w:rFonts w:cs="Arial"/>
          <w:sz w:val="22"/>
          <w:szCs w:val="22"/>
        </w:rPr>
        <w:t>*</w:t>
      </w:r>
      <w:r w:rsidRPr="00FF2750">
        <w:rPr>
          <w:rFonts w:cs="Arial"/>
          <w:sz w:val="22"/>
          <w:szCs w:val="22"/>
        </w:rPr>
        <w:tab/>
      </w:r>
      <w:r w:rsidRPr="00FF2750">
        <w:rPr>
          <w:rFonts w:cs="Arial"/>
          <w:b/>
          <w:bCs/>
          <w:sz w:val="22"/>
          <w:szCs w:val="22"/>
        </w:rPr>
        <w:t>Ochranné pásmo ČOV Boletice</w:t>
      </w:r>
    </w:p>
    <w:p w14:paraId="36A90011" w14:textId="77777777" w:rsidR="00FF2750" w:rsidRPr="00FF2750" w:rsidRDefault="00FF2750" w:rsidP="00FF2750">
      <w:pPr>
        <w:pStyle w:val="Zkladntext"/>
        <w:spacing w:before="120" w:line="288" w:lineRule="auto"/>
        <w:ind w:left="360"/>
        <w:jc w:val="both"/>
        <w:rPr>
          <w:rFonts w:ascii="Arial" w:hAnsi="Arial" w:cs="Arial"/>
          <w:sz w:val="22"/>
          <w:szCs w:val="22"/>
        </w:rPr>
      </w:pPr>
      <w:r w:rsidRPr="00FF2750">
        <w:rPr>
          <w:rFonts w:ascii="Arial" w:hAnsi="Arial" w:cs="Arial"/>
          <w:sz w:val="22"/>
          <w:szCs w:val="22"/>
        </w:rPr>
        <w:t>V  OP je vyloučena bytová výstavba.</w:t>
      </w:r>
    </w:p>
    <w:p w14:paraId="0C744CD8" w14:textId="77777777" w:rsidR="00FF2750" w:rsidRPr="00FF2750" w:rsidRDefault="00FF2750" w:rsidP="00FF2750">
      <w:pPr>
        <w:pStyle w:val="Znaka1"/>
        <w:tabs>
          <w:tab w:val="left" w:pos="360"/>
        </w:tabs>
        <w:spacing w:before="120" w:line="288" w:lineRule="auto"/>
        <w:ind w:left="360" w:hanging="360"/>
        <w:jc w:val="both"/>
        <w:rPr>
          <w:rFonts w:cs="Arial"/>
          <w:sz w:val="22"/>
          <w:szCs w:val="22"/>
        </w:rPr>
      </w:pPr>
      <w:r w:rsidRPr="00FF2750">
        <w:rPr>
          <w:rFonts w:cs="Arial"/>
          <w:sz w:val="22"/>
          <w:szCs w:val="22"/>
        </w:rPr>
        <w:t>*</w:t>
      </w:r>
      <w:r w:rsidRPr="00FF2750">
        <w:rPr>
          <w:rFonts w:cs="Arial"/>
          <w:sz w:val="22"/>
          <w:szCs w:val="22"/>
        </w:rPr>
        <w:tab/>
      </w:r>
      <w:r w:rsidRPr="00FF2750">
        <w:rPr>
          <w:rFonts w:cs="Arial"/>
          <w:b/>
          <w:bCs/>
          <w:sz w:val="22"/>
          <w:szCs w:val="22"/>
        </w:rPr>
        <w:t>Ochranné pásmo vodovodních potrubí</w:t>
      </w:r>
      <w:r w:rsidRPr="00FF2750">
        <w:rPr>
          <w:rFonts w:cs="Arial"/>
          <w:sz w:val="22"/>
          <w:szCs w:val="22"/>
        </w:rPr>
        <w:t xml:space="preserve"> dle ČSN 75 5401 je doporučeno 2,0m od vnějšího okraje horizontálně na obě strany.</w:t>
      </w:r>
    </w:p>
    <w:p w14:paraId="64B4A494" w14:textId="77777777" w:rsidR="00FF2750" w:rsidRPr="00FF2750" w:rsidRDefault="00FF2750" w:rsidP="00FF2750">
      <w:pPr>
        <w:pStyle w:val="Znaka1"/>
        <w:tabs>
          <w:tab w:val="left" w:pos="360"/>
        </w:tabs>
        <w:spacing w:before="120" w:line="288" w:lineRule="auto"/>
        <w:ind w:left="360" w:hanging="360"/>
        <w:jc w:val="both"/>
        <w:rPr>
          <w:rFonts w:cs="Arial"/>
          <w:sz w:val="22"/>
          <w:szCs w:val="22"/>
        </w:rPr>
      </w:pPr>
      <w:r w:rsidRPr="00FF2750">
        <w:rPr>
          <w:rFonts w:cs="Arial"/>
          <w:sz w:val="22"/>
          <w:szCs w:val="22"/>
        </w:rPr>
        <w:t>*</w:t>
      </w:r>
      <w:r w:rsidRPr="00FF2750">
        <w:rPr>
          <w:rFonts w:cs="Arial"/>
          <w:sz w:val="22"/>
          <w:szCs w:val="22"/>
        </w:rPr>
        <w:tab/>
      </w:r>
      <w:r w:rsidRPr="00FF2750">
        <w:rPr>
          <w:rFonts w:cs="Arial"/>
          <w:b/>
          <w:bCs/>
          <w:sz w:val="22"/>
          <w:szCs w:val="22"/>
        </w:rPr>
        <w:t>Ochranné pásmo kanalizace</w:t>
      </w:r>
      <w:r w:rsidRPr="00FF2750">
        <w:rPr>
          <w:rFonts w:cs="Arial"/>
          <w:sz w:val="22"/>
          <w:szCs w:val="22"/>
        </w:rPr>
        <w:t xml:space="preserve"> je ve smyslu ČSN 75 6101 v  šířce 3,0m od vnějšího okraje </w:t>
      </w:r>
      <w:r w:rsidRPr="00FF2750">
        <w:rPr>
          <w:rFonts w:cs="Arial"/>
          <w:sz w:val="22"/>
          <w:szCs w:val="22"/>
        </w:rPr>
        <w:tab/>
        <w:t xml:space="preserve"> horizontálně na obě strany. V  ochranném pásmu je možné provádět jakoukoli stavební činnost jen se souhlasem provozovatele kanalizace.</w:t>
      </w:r>
    </w:p>
    <w:p w14:paraId="011A9EC1"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sz w:val="22"/>
          <w:szCs w:val="22"/>
        </w:rPr>
        <w:t>V  ochranných pásmech sítí je v  zásadě možno stavět pouze stavby bez základu. Možno zde realizovat chodníky, komunikace, zelené pruhy, odstavné plochy.</w:t>
      </w:r>
    </w:p>
    <w:p w14:paraId="7549158C" w14:textId="77777777" w:rsidR="00FF2750" w:rsidRPr="00FF2750" w:rsidRDefault="00FF2750" w:rsidP="00FF2750">
      <w:pPr>
        <w:pStyle w:val="Znaka1"/>
        <w:numPr>
          <w:ilvl w:val="0"/>
          <w:numId w:val="81"/>
        </w:numPr>
        <w:spacing w:before="120" w:line="288" w:lineRule="auto"/>
        <w:ind w:left="426"/>
        <w:jc w:val="both"/>
        <w:rPr>
          <w:rFonts w:cs="Arial"/>
          <w:b/>
          <w:bCs/>
          <w:sz w:val="22"/>
          <w:szCs w:val="22"/>
        </w:rPr>
      </w:pPr>
      <w:r w:rsidRPr="00FF2750">
        <w:rPr>
          <w:rFonts w:cs="Arial"/>
          <w:b/>
          <w:bCs/>
          <w:sz w:val="22"/>
          <w:szCs w:val="22"/>
        </w:rPr>
        <w:t>Zátopová území</w:t>
      </w:r>
    </w:p>
    <w:p w14:paraId="0FCC87FC"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b/>
          <w:bCs/>
          <w:sz w:val="22"/>
          <w:szCs w:val="22"/>
        </w:rPr>
        <w:t>Labe, Ploučnice a Jílovského potoka</w:t>
      </w:r>
      <w:r w:rsidRPr="00FF2750">
        <w:rPr>
          <w:rFonts w:ascii="Arial" w:hAnsi="Arial" w:cs="Arial"/>
          <w:sz w:val="22"/>
          <w:szCs w:val="22"/>
        </w:rPr>
        <w:t>. Limitní je zátopové území vymezené čarou maximální povodně (Q</w:t>
      </w:r>
      <w:r w:rsidRPr="00FF2750">
        <w:rPr>
          <w:rFonts w:ascii="Arial" w:hAnsi="Arial" w:cs="Arial"/>
          <w:sz w:val="22"/>
          <w:szCs w:val="22"/>
          <w:vertAlign w:val="subscript"/>
        </w:rPr>
        <w:t>100</w:t>
      </w:r>
      <w:r w:rsidRPr="00FF2750">
        <w:rPr>
          <w:rFonts w:ascii="Arial" w:hAnsi="Arial" w:cs="Arial"/>
          <w:sz w:val="22"/>
          <w:szCs w:val="22"/>
        </w:rPr>
        <w:t>). Labe má zátopové území vyhlášeno. Vyhlášení pro Ploučnici a Jílovský potok se připravují. Do doby vyhlášení by měl být respektován rozsah zátopy obsažený v  ÚPN, zároveň je k  dispozici u správců toků.</w:t>
      </w:r>
    </w:p>
    <w:p w14:paraId="348991C2"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sz w:val="22"/>
          <w:szCs w:val="22"/>
        </w:rPr>
        <w:t>Do zátopového území lze umisťovat stavby všeho druhu po zajištění kladného stanoviska příslušného vodohospodářského orgánu ve smyslu § 13 odst. 1 a 2 zákona 138/73Sb. (Ve znění pozdějších předpisů). Stavby obytných a hospodářských budov, veřejných budov a průmyslových závodů jsou nežádoucí.</w:t>
      </w:r>
    </w:p>
    <w:p w14:paraId="1CA996B2"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sz w:val="22"/>
          <w:szCs w:val="22"/>
        </w:rPr>
        <w:t>Liniové stavby (komunikace, mosty, dálkovody) je nutné zabezpečit tak, aby nezpůsobily zvyšování hladiny vody při povodních a jinak nezhoršovaly odtokové poměry. Výjimečně mohou být povolovány stavby objektů, jejichž provoz souvisí s  vodním tokem a stavby v  tiché, mělké a plošně rozsáhlé inundaci.</w:t>
      </w:r>
    </w:p>
    <w:p w14:paraId="3106EEA0"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sz w:val="22"/>
          <w:szCs w:val="22"/>
        </w:rPr>
        <w:t>ČOV a čerpací stanice je nutné výškově umísťovat tak, aby byla zachována jejich funkce v  celém rozsahu i při povodních.</w:t>
      </w:r>
    </w:p>
    <w:p w14:paraId="71FD404C"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sz w:val="22"/>
          <w:szCs w:val="22"/>
        </w:rPr>
        <w:t>U staveb obytných domů, pracovišť a skladišť, pokud jejich výstavba byla výjimečně povolena, je nutné uplatňovat stejná kritéria jako u liniových staveb, tj. nezhoršení odtokových poměrů.</w:t>
      </w:r>
    </w:p>
    <w:p w14:paraId="1B988B17"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sz w:val="22"/>
          <w:szCs w:val="22"/>
        </w:rPr>
        <w:t>Velmi přísně je nutné posuzovat umístění výroby, skladování nebo manipulace s chemickými, toxickými nebo jinak nebezpečnými materiály v  inundačním území. Musí být učiněna taková opatření, aby při povodních nedošlo k  obecnému ohrožení.</w:t>
      </w:r>
    </w:p>
    <w:p w14:paraId="461C9EFD" w14:textId="77777777" w:rsidR="00FF2750" w:rsidRPr="00FF2750" w:rsidRDefault="00FF2750" w:rsidP="00FF2750">
      <w:pPr>
        <w:pStyle w:val="Zkladntext"/>
        <w:spacing w:before="120" w:line="288" w:lineRule="auto"/>
        <w:ind w:firstLine="709"/>
        <w:jc w:val="both"/>
        <w:rPr>
          <w:rFonts w:ascii="Arial" w:hAnsi="Arial" w:cs="Arial"/>
          <w:sz w:val="22"/>
          <w:szCs w:val="22"/>
        </w:rPr>
      </w:pPr>
      <w:r w:rsidRPr="00FF2750">
        <w:rPr>
          <w:rFonts w:ascii="Arial" w:hAnsi="Arial" w:cs="Arial"/>
          <w:sz w:val="22"/>
          <w:szCs w:val="22"/>
        </w:rPr>
        <w:t>Stavby škol, nemocnic a jiných zdravotních a sociálních zařízení a trvalé skládky by neměly být v  inundačním území vůbec povolovány.</w:t>
      </w:r>
    </w:p>
    <w:p w14:paraId="530C1B23" w14:textId="77777777" w:rsidR="00FF2750" w:rsidRPr="00FF2750" w:rsidRDefault="00FF2750" w:rsidP="00FF2750">
      <w:pPr>
        <w:pStyle w:val="Znaka1"/>
        <w:numPr>
          <w:ilvl w:val="0"/>
          <w:numId w:val="82"/>
        </w:numPr>
        <w:spacing w:before="120" w:line="288" w:lineRule="auto"/>
        <w:ind w:left="426"/>
        <w:jc w:val="both"/>
        <w:rPr>
          <w:rFonts w:cs="Arial"/>
          <w:sz w:val="22"/>
          <w:szCs w:val="22"/>
        </w:rPr>
      </w:pPr>
      <w:r w:rsidRPr="00FF2750">
        <w:rPr>
          <w:rFonts w:cs="Arial"/>
          <w:sz w:val="22"/>
          <w:szCs w:val="22"/>
        </w:rPr>
        <w:t xml:space="preserve">Správce vodního toku může užívat dle vyhlášky bývalého MLVH č. 19/1978 </w:t>
      </w:r>
      <w:r w:rsidRPr="00FF2750">
        <w:rPr>
          <w:rFonts w:cs="Arial"/>
          <w:b/>
          <w:bCs/>
          <w:sz w:val="22"/>
          <w:szCs w:val="22"/>
        </w:rPr>
        <w:t>pozemky podél splavného vodního toku v  šířce 10 m</w:t>
      </w:r>
      <w:r w:rsidRPr="00FF2750">
        <w:rPr>
          <w:rFonts w:cs="Arial"/>
          <w:sz w:val="22"/>
          <w:szCs w:val="22"/>
        </w:rPr>
        <w:t>, u ostatních toků 6m od břehové čáry k údržbě a přístupu k toku.</w:t>
      </w:r>
    </w:p>
    <w:p w14:paraId="1279F5A5" w14:textId="77777777" w:rsidR="00FF2750" w:rsidRPr="00FF2750" w:rsidRDefault="00FF2750" w:rsidP="00FF2750">
      <w:pPr>
        <w:pStyle w:val="Znaka1"/>
        <w:numPr>
          <w:ilvl w:val="0"/>
          <w:numId w:val="82"/>
        </w:numPr>
        <w:tabs>
          <w:tab w:val="left" w:pos="360"/>
        </w:tabs>
        <w:spacing w:before="120" w:line="288" w:lineRule="auto"/>
        <w:ind w:left="426"/>
        <w:jc w:val="both"/>
        <w:rPr>
          <w:rFonts w:cs="Arial"/>
          <w:sz w:val="22"/>
          <w:szCs w:val="22"/>
        </w:rPr>
      </w:pPr>
      <w:r w:rsidRPr="00FF2750">
        <w:rPr>
          <w:rFonts w:cs="Arial"/>
          <w:sz w:val="22"/>
          <w:szCs w:val="22"/>
        </w:rPr>
        <w:lastRenderedPageBreak/>
        <w:t xml:space="preserve">Jako hranice </w:t>
      </w:r>
      <w:r w:rsidRPr="00FF2750">
        <w:rPr>
          <w:rFonts w:cs="Arial"/>
          <w:b/>
          <w:bCs/>
          <w:sz w:val="22"/>
          <w:szCs w:val="22"/>
        </w:rPr>
        <w:t>ochrany termálních vod</w:t>
      </w:r>
      <w:r w:rsidRPr="00FF2750">
        <w:rPr>
          <w:rFonts w:cs="Arial"/>
          <w:sz w:val="22"/>
          <w:szCs w:val="22"/>
        </w:rPr>
        <w:t xml:space="preserve"> pro potřeby ÚPN na území města Děčína se přebírá návrh RNDr. Nakládala (ochranné pásmo vrtu DC-6 z  roku 1999 a návrh ochranných pásem z  roku 1996). V ploše ochrany další odběry podzemních vod lze povolovat pouze na základě odborné expertizy, jejíž součástí musí být i návrh optimalizace odběrů podzemní vody z  hlediska kvality, kvality a termální energie podzemní vody.</w:t>
      </w:r>
    </w:p>
    <w:p w14:paraId="6BD16BF1" w14:textId="77777777" w:rsidR="00FF2750" w:rsidRPr="006C5082" w:rsidRDefault="00FF2750" w:rsidP="00FF2750">
      <w:pPr>
        <w:pStyle w:val="podnadpis1"/>
        <w:spacing w:before="120" w:after="0" w:line="288" w:lineRule="auto"/>
        <w:jc w:val="both"/>
        <w:rPr>
          <w:rFonts w:cs="Arial"/>
          <w:sz w:val="22"/>
          <w:szCs w:val="22"/>
        </w:rPr>
      </w:pPr>
    </w:p>
    <w:p w14:paraId="5C26F4CF" w14:textId="77777777" w:rsidR="00FF2750" w:rsidRPr="006C5082" w:rsidRDefault="00FF2750" w:rsidP="00FF2750">
      <w:pPr>
        <w:pStyle w:val="podnadpis2"/>
        <w:spacing w:before="120" w:after="0" w:line="288" w:lineRule="auto"/>
        <w:jc w:val="both"/>
        <w:rPr>
          <w:rFonts w:cs="Arial"/>
          <w:sz w:val="32"/>
          <w:szCs w:val="32"/>
        </w:rPr>
      </w:pPr>
      <w:r w:rsidRPr="006C5082">
        <w:rPr>
          <w:rFonts w:cs="Arial"/>
          <w:sz w:val="32"/>
          <w:szCs w:val="32"/>
        </w:rPr>
        <w:t>energetiky a spojů</w:t>
      </w:r>
    </w:p>
    <w:p w14:paraId="5D8A9791" w14:textId="77777777" w:rsidR="00FF2750" w:rsidRPr="00FF2750" w:rsidRDefault="00FF2750" w:rsidP="00FF2750">
      <w:pPr>
        <w:pStyle w:val="Zkladntext"/>
        <w:spacing w:before="120" w:line="288" w:lineRule="auto"/>
        <w:ind w:firstLine="720"/>
        <w:jc w:val="both"/>
        <w:rPr>
          <w:rFonts w:ascii="Arial" w:hAnsi="Arial" w:cs="Arial"/>
          <w:sz w:val="22"/>
          <w:szCs w:val="22"/>
        </w:rPr>
      </w:pPr>
      <w:r w:rsidRPr="00FF2750">
        <w:rPr>
          <w:rFonts w:ascii="Arial" w:hAnsi="Arial" w:cs="Arial"/>
          <w:sz w:val="22"/>
          <w:szCs w:val="22"/>
        </w:rPr>
        <w:t xml:space="preserve">Níže uvedená </w:t>
      </w:r>
      <w:r w:rsidRPr="00FF2750">
        <w:rPr>
          <w:rFonts w:ascii="Arial" w:hAnsi="Arial" w:cs="Arial"/>
          <w:b/>
          <w:bCs/>
          <w:sz w:val="22"/>
          <w:szCs w:val="22"/>
        </w:rPr>
        <w:t>ochranná pásma</w:t>
      </w:r>
      <w:r w:rsidRPr="00FF2750">
        <w:rPr>
          <w:rFonts w:ascii="Arial" w:hAnsi="Arial" w:cs="Arial"/>
          <w:sz w:val="22"/>
          <w:szCs w:val="22"/>
        </w:rPr>
        <w:t xml:space="preserve"> jsou platná pro zařízení vybudovaná po 31. 12. 1994. U zařízení vybudovaných do uvedeného data (elektrorozvodná a plynovodní zařízení) zůstávají v platnosti ochranná pásma dle původní legislativy. Tato ochranná pásma jsou uvedena v závorce kurzívou.</w:t>
      </w:r>
    </w:p>
    <w:p w14:paraId="28E584DF" w14:textId="77777777" w:rsidR="00FF2750" w:rsidRPr="003D5E78" w:rsidRDefault="00FF2750" w:rsidP="00FF2750">
      <w:pPr>
        <w:pStyle w:val="podnadpis2"/>
        <w:spacing w:before="120" w:after="0" w:line="288" w:lineRule="auto"/>
        <w:jc w:val="both"/>
        <w:rPr>
          <w:rFonts w:cs="Arial"/>
          <w:sz w:val="28"/>
          <w:szCs w:val="28"/>
        </w:rPr>
      </w:pPr>
      <w:r w:rsidRPr="003D5E78">
        <w:rPr>
          <w:rFonts w:cs="Arial"/>
          <w:sz w:val="28"/>
          <w:szCs w:val="28"/>
        </w:rPr>
        <w:t>Elektroenergetika</w:t>
      </w:r>
    </w:p>
    <w:p w14:paraId="082727C5"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jc w:val="both"/>
        <w:rPr>
          <w:rFonts w:ascii="Arial" w:hAnsi="Arial" w:cs="Arial"/>
          <w:sz w:val="22"/>
          <w:szCs w:val="22"/>
        </w:rPr>
      </w:pPr>
      <w:r w:rsidRPr="00FF2750">
        <w:rPr>
          <w:rFonts w:ascii="Arial" w:hAnsi="Arial" w:cs="Arial"/>
          <w:sz w:val="22"/>
          <w:szCs w:val="22"/>
        </w:rPr>
        <w:t>Ochranným pásmem se rozumí prostor v bezprostřední blízkosti výrobního zařízení a rozvodného zařízení, určený k zajištění jejich spolehlivého provozu a k ochraně života, zdraví a majetku osob. Ochrannými pásmy jsou chráněna venkovní vedení, podzemní vedení a elektrické stanice.</w:t>
      </w:r>
    </w:p>
    <w:p w14:paraId="612D725A" w14:textId="77777777" w:rsidR="00FF2750" w:rsidRPr="00FF2750" w:rsidRDefault="00FF2750" w:rsidP="00FF2750">
      <w:pPr>
        <w:pStyle w:val="Znaka1"/>
        <w:numPr>
          <w:ilvl w:val="0"/>
          <w:numId w:val="83"/>
        </w:numPr>
        <w:spacing w:before="120" w:line="288" w:lineRule="auto"/>
        <w:ind w:left="426"/>
        <w:jc w:val="both"/>
        <w:rPr>
          <w:rFonts w:cs="Arial"/>
          <w:sz w:val="22"/>
          <w:szCs w:val="22"/>
        </w:rPr>
      </w:pPr>
      <w:r w:rsidRPr="00FF2750">
        <w:rPr>
          <w:rFonts w:cs="Arial"/>
          <w:b/>
          <w:bCs/>
          <w:sz w:val="22"/>
          <w:szCs w:val="22"/>
        </w:rPr>
        <w:t>ochranné pásmo venkovního vedení</w:t>
      </w:r>
      <w:r w:rsidRPr="00FF2750">
        <w:rPr>
          <w:rFonts w:cs="Arial"/>
          <w:sz w:val="22"/>
          <w:szCs w:val="22"/>
        </w:rPr>
        <w:t xml:space="preserve"> je vymezeno svislými rovinami vedenými po obou stranách vedení ve vodorovné vzdálenosti měřené kolmo na vedení, která činí od krajního vodiče vedení na každou stranu:</w:t>
      </w:r>
    </w:p>
    <w:p w14:paraId="2788D2F8" w14:textId="77777777" w:rsidR="00FF2750" w:rsidRPr="00FF2750" w:rsidRDefault="00FF2750" w:rsidP="00FF2750">
      <w:pPr>
        <w:pStyle w:val="Zkladntext"/>
        <w:numPr>
          <w:ilvl w:val="0"/>
          <w:numId w:val="84"/>
        </w:numPr>
        <w:suppressAutoHyphens w:val="0"/>
        <w:autoSpaceDE w:val="0"/>
        <w:autoSpaceDN w:val="0"/>
        <w:adjustRightInd w:val="0"/>
        <w:spacing w:before="120" w:after="0" w:line="288" w:lineRule="auto"/>
        <w:ind w:left="993"/>
        <w:jc w:val="both"/>
        <w:rPr>
          <w:rFonts w:ascii="Arial" w:hAnsi="Arial" w:cs="Arial"/>
          <w:sz w:val="22"/>
          <w:szCs w:val="22"/>
        </w:rPr>
      </w:pPr>
      <w:r w:rsidRPr="00FF2750">
        <w:rPr>
          <w:rFonts w:ascii="Arial" w:hAnsi="Arial" w:cs="Arial"/>
          <w:sz w:val="22"/>
          <w:szCs w:val="22"/>
        </w:rPr>
        <w:t xml:space="preserve">u napětí nad 1 kV do 35 kV včetně 7 m </w:t>
      </w:r>
      <w:r w:rsidRPr="00FF2750">
        <w:rPr>
          <w:rFonts w:ascii="Arial" w:hAnsi="Arial" w:cs="Arial"/>
          <w:i/>
          <w:iCs/>
          <w:sz w:val="22"/>
          <w:szCs w:val="22"/>
        </w:rPr>
        <w:t>(10 m);</w:t>
      </w:r>
    </w:p>
    <w:p w14:paraId="471239A1" w14:textId="77777777" w:rsidR="00FF2750" w:rsidRPr="00FF2750" w:rsidRDefault="00FF2750" w:rsidP="00FF2750">
      <w:pPr>
        <w:pStyle w:val="Zkladntext"/>
        <w:numPr>
          <w:ilvl w:val="0"/>
          <w:numId w:val="84"/>
        </w:numPr>
        <w:suppressAutoHyphens w:val="0"/>
        <w:autoSpaceDE w:val="0"/>
        <w:autoSpaceDN w:val="0"/>
        <w:adjustRightInd w:val="0"/>
        <w:spacing w:before="120" w:after="0" w:line="288" w:lineRule="auto"/>
        <w:ind w:left="993"/>
        <w:jc w:val="both"/>
        <w:rPr>
          <w:rFonts w:ascii="Arial" w:hAnsi="Arial" w:cs="Arial"/>
          <w:sz w:val="22"/>
          <w:szCs w:val="22"/>
        </w:rPr>
      </w:pPr>
      <w:r w:rsidRPr="00FF2750">
        <w:rPr>
          <w:rFonts w:ascii="Arial" w:hAnsi="Arial" w:cs="Arial"/>
          <w:sz w:val="22"/>
          <w:szCs w:val="22"/>
        </w:rPr>
        <w:t xml:space="preserve">u napětí nad 35 kV do 110 kV včetně 12 m </w:t>
      </w:r>
      <w:r w:rsidRPr="00FF2750">
        <w:rPr>
          <w:rFonts w:ascii="Arial" w:hAnsi="Arial" w:cs="Arial"/>
          <w:i/>
          <w:iCs/>
          <w:sz w:val="22"/>
          <w:szCs w:val="22"/>
        </w:rPr>
        <w:t>(15 m);</w:t>
      </w:r>
    </w:p>
    <w:p w14:paraId="21399E8C" w14:textId="77777777" w:rsidR="00FF2750" w:rsidRPr="00FF2750" w:rsidRDefault="00FF2750" w:rsidP="00FF2750">
      <w:pPr>
        <w:pStyle w:val="Zkladntext"/>
        <w:numPr>
          <w:ilvl w:val="0"/>
          <w:numId w:val="84"/>
        </w:numPr>
        <w:suppressAutoHyphens w:val="0"/>
        <w:autoSpaceDE w:val="0"/>
        <w:autoSpaceDN w:val="0"/>
        <w:adjustRightInd w:val="0"/>
        <w:spacing w:before="120" w:after="0" w:line="288" w:lineRule="auto"/>
        <w:ind w:left="993"/>
        <w:jc w:val="both"/>
        <w:rPr>
          <w:rFonts w:ascii="Arial" w:hAnsi="Arial" w:cs="Arial"/>
          <w:sz w:val="22"/>
          <w:szCs w:val="22"/>
        </w:rPr>
      </w:pPr>
      <w:r w:rsidRPr="00FF2750">
        <w:rPr>
          <w:rFonts w:ascii="Arial" w:hAnsi="Arial" w:cs="Arial"/>
          <w:sz w:val="22"/>
          <w:szCs w:val="22"/>
        </w:rPr>
        <w:t>ochranné pásmo sloupové trafostanice je shodné s ochranným pásmem venkovního vedení vysokého napětí (trafostanici možno považovat za součást venkovního vedení);</w:t>
      </w:r>
    </w:p>
    <w:p w14:paraId="3A841828" w14:textId="77777777" w:rsidR="00FF2750" w:rsidRPr="00FF2750" w:rsidRDefault="00FF2750" w:rsidP="00FF2750">
      <w:pPr>
        <w:pStyle w:val="Zkladntext"/>
        <w:numPr>
          <w:ilvl w:val="0"/>
          <w:numId w:val="84"/>
        </w:numPr>
        <w:suppressAutoHyphens w:val="0"/>
        <w:autoSpaceDE w:val="0"/>
        <w:autoSpaceDN w:val="0"/>
        <w:adjustRightInd w:val="0"/>
        <w:spacing w:before="120" w:after="0" w:line="288" w:lineRule="auto"/>
        <w:ind w:left="993"/>
        <w:jc w:val="both"/>
        <w:rPr>
          <w:rFonts w:ascii="Arial" w:hAnsi="Arial" w:cs="Arial"/>
          <w:sz w:val="22"/>
          <w:szCs w:val="22"/>
        </w:rPr>
      </w:pPr>
      <w:r w:rsidRPr="00FF2750">
        <w:rPr>
          <w:rFonts w:ascii="Arial" w:hAnsi="Arial" w:cs="Arial"/>
          <w:sz w:val="22"/>
          <w:szCs w:val="22"/>
        </w:rPr>
        <w:t xml:space="preserve">v lesních průsecích jsou vlastníci a uživatelé nemovitostí povinni udržovat volný pruh pozemků o šířce 4 m </w:t>
      </w:r>
      <w:r w:rsidRPr="00FF2750">
        <w:rPr>
          <w:rFonts w:ascii="Arial" w:hAnsi="Arial" w:cs="Arial"/>
          <w:i/>
          <w:iCs/>
          <w:sz w:val="22"/>
          <w:szCs w:val="22"/>
        </w:rPr>
        <w:t>(4 m)</w:t>
      </w:r>
      <w:r w:rsidRPr="00FF2750">
        <w:rPr>
          <w:rFonts w:ascii="Arial" w:hAnsi="Arial" w:cs="Arial"/>
          <w:sz w:val="22"/>
          <w:szCs w:val="22"/>
        </w:rPr>
        <w:t xml:space="preserve"> po jedné straně základů podpěrných bodů.</w:t>
      </w:r>
    </w:p>
    <w:p w14:paraId="789F9251" w14:textId="77777777" w:rsidR="00FF2750" w:rsidRPr="00FF2750" w:rsidRDefault="00FF2750" w:rsidP="00FF2750">
      <w:pPr>
        <w:pStyle w:val="Zkladntext"/>
        <w:numPr>
          <w:ilvl w:val="0"/>
          <w:numId w:val="83"/>
        </w:numPr>
        <w:suppressAutoHyphens w:val="0"/>
        <w:autoSpaceDE w:val="0"/>
        <w:autoSpaceDN w:val="0"/>
        <w:adjustRightInd w:val="0"/>
        <w:spacing w:before="120" w:after="0" w:line="288" w:lineRule="auto"/>
        <w:ind w:left="426"/>
        <w:jc w:val="both"/>
        <w:rPr>
          <w:rFonts w:ascii="Arial" w:hAnsi="Arial" w:cs="Arial"/>
          <w:sz w:val="22"/>
          <w:szCs w:val="22"/>
        </w:rPr>
      </w:pPr>
      <w:r w:rsidRPr="00FF2750">
        <w:rPr>
          <w:rFonts w:ascii="Arial" w:hAnsi="Arial" w:cs="Arial"/>
          <w:b/>
          <w:bCs/>
          <w:sz w:val="22"/>
          <w:szCs w:val="22"/>
        </w:rPr>
        <w:t>v</w:t>
      </w:r>
      <w:r w:rsidRPr="00FF2750">
        <w:rPr>
          <w:rFonts w:ascii="Arial" w:hAnsi="Arial" w:cs="Arial"/>
          <w:b/>
          <w:bCs/>
          <w:caps/>
          <w:sz w:val="22"/>
          <w:szCs w:val="22"/>
        </w:rPr>
        <w:t xml:space="preserve"> </w:t>
      </w:r>
      <w:r w:rsidRPr="00FF2750">
        <w:rPr>
          <w:rFonts w:ascii="Arial" w:hAnsi="Arial" w:cs="Arial"/>
          <w:b/>
          <w:bCs/>
          <w:sz w:val="22"/>
          <w:szCs w:val="22"/>
        </w:rPr>
        <w:t>ochranném pásmu venkovních vedení je zakázáno:</w:t>
      </w:r>
    </w:p>
    <w:p w14:paraId="1CBD1AD3" w14:textId="77777777" w:rsidR="00FF2750" w:rsidRPr="00FF2750" w:rsidRDefault="00FF2750" w:rsidP="00FF2750">
      <w:pPr>
        <w:pStyle w:val="Zkladntext"/>
        <w:numPr>
          <w:ilvl w:val="0"/>
          <w:numId w:val="85"/>
        </w:numPr>
        <w:suppressAutoHyphens w:val="0"/>
        <w:autoSpaceDE w:val="0"/>
        <w:autoSpaceDN w:val="0"/>
        <w:adjustRightInd w:val="0"/>
        <w:spacing w:before="120" w:after="0" w:line="288" w:lineRule="auto"/>
        <w:ind w:left="1134"/>
        <w:jc w:val="both"/>
        <w:rPr>
          <w:rFonts w:ascii="Arial" w:hAnsi="Arial" w:cs="Arial"/>
          <w:sz w:val="22"/>
          <w:szCs w:val="22"/>
        </w:rPr>
      </w:pPr>
      <w:r w:rsidRPr="00FF2750">
        <w:rPr>
          <w:rFonts w:ascii="Arial" w:hAnsi="Arial" w:cs="Arial"/>
          <w:sz w:val="22"/>
          <w:szCs w:val="22"/>
        </w:rPr>
        <w:t>zřizovat stavby či umisťovat konstrukce a jiná podobná zařízení, jakož i uskladňovat hořlavé nebo výbušné látky;</w:t>
      </w:r>
    </w:p>
    <w:p w14:paraId="1DBACBA0" w14:textId="77777777" w:rsidR="00FF2750" w:rsidRPr="00FF2750" w:rsidRDefault="00FF2750" w:rsidP="00FF2750">
      <w:pPr>
        <w:pStyle w:val="Zkladntext"/>
        <w:numPr>
          <w:ilvl w:val="0"/>
          <w:numId w:val="85"/>
        </w:numPr>
        <w:suppressAutoHyphens w:val="0"/>
        <w:autoSpaceDE w:val="0"/>
        <w:autoSpaceDN w:val="0"/>
        <w:adjustRightInd w:val="0"/>
        <w:spacing w:before="120" w:after="0" w:line="288" w:lineRule="auto"/>
        <w:ind w:left="1134"/>
        <w:jc w:val="both"/>
        <w:rPr>
          <w:rFonts w:ascii="Arial" w:hAnsi="Arial" w:cs="Arial"/>
          <w:sz w:val="22"/>
          <w:szCs w:val="22"/>
        </w:rPr>
      </w:pPr>
      <w:r w:rsidRPr="00FF2750">
        <w:rPr>
          <w:rFonts w:ascii="Arial" w:hAnsi="Arial" w:cs="Arial"/>
          <w:sz w:val="22"/>
          <w:szCs w:val="22"/>
        </w:rPr>
        <w:t>vysazovat chmelnice a nechávat růst porosty nad výšku 3 m;</w:t>
      </w:r>
    </w:p>
    <w:p w14:paraId="22226ABB" w14:textId="77777777" w:rsidR="00FF2750" w:rsidRDefault="00FF2750" w:rsidP="00FF2750">
      <w:pPr>
        <w:pStyle w:val="Zkladntext"/>
        <w:numPr>
          <w:ilvl w:val="0"/>
          <w:numId w:val="85"/>
        </w:numPr>
        <w:suppressAutoHyphens w:val="0"/>
        <w:autoSpaceDE w:val="0"/>
        <w:autoSpaceDN w:val="0"/>
        <w:adjustRightInd w:val="0"/>
        <w:spacing w:before="120" w:after="0" w:line="288" w:lineRule="auto"/>
        <w:ind w:left="1134"/>
        <w:jc w:val="both"/>
        <w:rPr>
          <w:rFonts w:ascii="Arial" w:hAnsi="Arial" w:cs="Arial"/>
          <w:sz w:val="22"/>
          <w:szCs w:val="22"/>
        </w:rPr>
      </w:pPr>
      <w:r w:rsidRPr="00FF2750">
        <w:rPr>
          <w:rFonts w:ascii="Arial" w:hAnsi="Arial" w:cs="Arial"/>
          <w:sz w:val="22"/>
          <w:szCs w:val="22"/>
        </w:rPr>
        <w:t>provádět činnosti ohrožující venkovní vedení, spolehlivost a bezpečnost jeho provozu nebo životy, zdraví a majetek osob.</w:t>
      </w:r>
    </w:p>
    <w:p w14:paraId="1D6544DA" w14:textId="77777777" w:rsidR="00FF2750" w:rsidRDefault="00FF2750" w:rsidP="00FF2750">
      <w:pPr>
        <w:pStyle w:val="Zkladntext"/>
        <w:suppressAutoHyphens w:val="0"/>
        <w:autoSpaceDE w:val="0"/>
        <w:autoSpaceDN w:val="0"/>
        <w:adjustRightInd w:val="0"/>
        <w:spacing w:before="120" w:after="0" w:line="288" w:lineRule="auto"/>
        <w:ind w:left="1134"/>
        <w:jc w:val="both"/>
        <w:rPr>
          <w:rFonts w:ascii="Arial" w:hAnsi="Arial" w:cs="Arial"/>
          <w:sz w:val="22"/>
          <w:szCs w:val="22"/>
        </w:rPr>
      </w:pPr>
    </w:p>
    <w:p w14:paraId="510F2C85" w14:textId="77777777" w:rsidR="00FF2750" w:rsidRDefault="00FF2750" w:rsidP="00FF2750">
      <w:pPr>
        <w:pStyle w:val="Zkladntext"/>
        <w:suppressAutoHyphens w:val="0"/>
        <w:autoSpaceDE w:val="0"/>
        <w:autoSpaceDN w:val="0"/>
        <w:adjustRightInd w:val="0"/>
        <w:spacing w:before="120" w:after="0" w:line="288" w:lineRule="auto"/>
        <w:ind w:left="1134"/>
        <w:jc w:val="both"/>
        <w:rPr>
          <w:rFonts w:ascii="Arial" w:hAnsi="Arial" w:cs="Arial"/>
          <w:sz w:val="22"/>
          <w:szCs w:val="22"/>
        </w:rPr>
      </w:pPr>
    </w:p>
    <w:p w14:paraId="4E2BD58A" w14:textId="77777777" w:rsidR="00FF2750" w:rsidRDefault="00FF2750" w:rsidP="00FF2750">
      <w:pPr>
        <w:pStyle w:val="Zkladntext"/>
        <w:suppressAutoHyphens w:val="0"/>
        <w:autoSpaceDE w:val="0"/>
        <w:autoSpaceDN w:val="0"/>
        <w:adjustRightInd w:val="0"/>
        <w:spacing w:before="120" w:after="0" w:line="288" w:lineRule="auto"/>
        <w:ind w:left="1134"/>
        <w:jc w:val="both"/>
        <w:rPr>
          <w:rFonts w:ascii="Arial" w:hAnsi="Arial" w:cs="Arial"/>
          <w:sz w:val="22"/>
          <w:szCs w:val="22"/>
        </w:rPr>
      </w:pPr>
    </w:p>
    <w:p w14:paraId="02ABE634" w14:textId="77777777" w:rsidR="00FF2750" w:rsidRPr="00FF2750" w:rsidRDefault="00FF2750" w:rsidP="00FF2750">
      <w:pPr>
        <w:pStyle w:val="Zkladntext"/>
        <w:suppressAutoHyphens w:val="0"/>
        <w:autoSpaceDE w:val="0"/>
        <w:autoSpaceDN w:val="0"/>
        <w:adjustRightInd w:val="0"/>
        <w:spacing w:before="120" w:after="0" w:line="288" w:lineRule="auto"/>
        <w:ind w:left="1134"/>
        <w:jc w:val="both"/>
        <w:rPr>
          <w:rFonts w:ascii="Arial" w:hAnsi="Arial" w:cs="Arial"/>
          <w:sz w:val="22"/>
          <w:szCs w:val="22"/>
        </w:rPr>
      </w:pPr>
    </w:p>
    <w:p w14:paraId="17AB0EEB" w14:textId="77777777" w:rsidR="00FF2750" w:rsidRPr="00FF2750" w:rsidRDefault="00FF2750" w:rsidP="00FF2750">
      <w:pPr>
        <w:pStyle w:val="Zkladntext"/>
        <w:numPr>
          <w:ilvl w:val="0"/>
          <w:numId w:val="83"/>
        </w:numPr>
        <w:suppressAutoHyphens w:val="0"/>
        <w:autoSpaceDE w:val="0"/>
        <w:autoSpaceDN w:val="0"/>
        <w:adjustRightInd w:val="0"/>
        <w:spacing w:before="120" w:after="0" w:line="288" w:lineRule="auto"/>
        <w:ind w:left="426"/>
        <w:jc w:val="both"/>
        <w:rPr>
          <w:rFonts w:ascii="Arial" w:hAnsi="Arial" w:cs="Arial"/>
          <w:b/>
          <w:bCs/>
          <w:sz w:val="22"/>
          <w:szCs w:val="22"/>
        </w:rPr>
      </w:pPr>
      <w:r w:rsidRPr="00FF2750">
        <w:rPr>
          <w:rFonts w:ascii="Arial" w:hAnsi="Arial" w:cs="Arial"/>
          <w:b/>
          <w:bCs/>
          <w:sz w:val="22"/>
          <w:szCs w:val="22"/>
        </w:rPr>
        <w:lastRenderedPageBreak/>
        <w:t>Ochranné pásmo podzemního vedení</w:t>
      </w:r>
    </w:p>
    <w:p w14:paraId="1867FF6E"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jc w:val="both"/>
        <w:rPr>
          <w:rFonts w:ascii="Arial" w:hAnsi="Arial" w:cs="Arial"/>
          <w:sz w:val="22"/>
          <w:szCs w:val="22"/>
        </w:rPr>
      </w:pPr>
      <w:r w:rsidRPr="00FF2750">
        <w:rPr>
          <w:rFonts w:ascii="Arial" w:hAnsi="Arial" w:cs="Arial"/>
          <w:sz w:val="22"/>
          <w:szCs w:val="22"/>
        </w:rPr>
        <w:t xml:space="preserve">do 110 kV včetně a vedení řídící, měřící a zabezpečovací techniky činí 1 m </w:t>
      </w:r>
      <w:r w:rsidRPr="00FF2750">
        <w:rPr>
          <w:rFonts w:ascii="Arial" w:hAnsi="Arial" w:cs="Arial"/>
          <w:i/>
          <w:iCs/>
          <w:sz w:val="22"/>
          <w:szCs w:val="22"/>
        </w:rPr>
        <w:t>(1 m)</w:t>
      </w:r>
      <w:r w:rsidRPr="00FF2750">
        <w:rPr>
          <w:rFonts w:ascii="Arial" w:hAnsi="Arial" w:cs="Arial"/>
          <w:sz w:val="22"/>
          <w:szCs w:val="22"/>
        </w:rPr>
        <w:t xml:space="preserve"> po obou stranách krajního kabelu, nad 110 kV činí 3 m po obou stranách krajního kabelu.</w:t>
      </w:r>
    </w:p>
    <w:p w14:paraId="68BECFF6"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jc w:val="both"/>
        <w:rPr>
          <w:rFonts w:ascii="Arial" w:hAnsi="Arial" w:cs="Arial"/>
          <w:sz w:val="22"/>
          <w:szCs w:val="22"/>
        </w:rPr>
      </w:pPr>
      <w:r w:rsidRPr="00FF2750">
        <w:rPr>
          <w:rFonts w:ascii="Arial" w:hAnsi="Arial" w:cs="Arial"/>
          <w:b/>
          <w:bCs/>
          <w:sz w:val="22"/>
          <w:szCs w:val="22"/>
        </w:rPr>
        <w:t>V ochranném pásmu podzemního vedení je zakázáno:</w:t>
      </w:r>
    </w:p>
    <w:p w14:paraId="7B3D08A0" w14:textId="77777777" w:rsidR="00FF2750" w:rsidRPr="00FF2750" w:rsidRDefault="00FF2750" w:rsidP="00FF2750">
      <w:pPr>
        <w:pStyle w:val="Zkladntext"/>
        <w:numPr>
          <w:ilvl w:val="0"/>
          <w:numId w:val="86"/>
        </w:numPr>
        <w:suppressAutoHyphens w:val="0"/>
        <w:autoSpaceDE w:val="0"/>
        <w:autoSpaceDN w:val="0"/>
        <w:adjustRightInd w:val="0"/>
        <w:spacing w:before="120" w:after="0" w:line="288" w:lineRule="auto"/>
        <w:jc w:val="both"/>
        <w:rPr>
          <w:rFonts w:ascii="Arial" w:hAnsi="Arial" w:cs="Arial"/>
          <w:sz w:val="22"/>
          <w:szCs w:val="22"/>
        </w:rPr>
      </w:pPr>
      <w:r w:rsidRPr="00FF2750">
        <w:rPr>
          <w:rFonts w:ascii="Arial" w:hAnsi="Arial" w:cs="Arial"/>
          <w:sz w:val="22"/>
          <w:szCs w:val="22"/>
        </w:rPr>
        <w:t>provádět bez souhlasu vlastníka zemní práce;</w:t>
      </w:r>
    </w:p>
    <w:p w14:paraId="6F80D06B" w14:textId="77777777" w:rsidR="00FF2750" w:rsidRPr="00FF2750" w:rsidRDefault="00FF2750" w:rsidP="00FF2750">
      <w:pPr>
        <w:pStyle w:val="Zkladntext"/>
        <w:numPr>
          <w:ilvl w:val="0"/>
          <w:numId w:val="86"/>
        </w:numPr>
        <w:suppressAutoHyphens w:val="0"/>
        <w:autoSpaceDE w:val="0"/>
        <w:autoSpaceDN w:val="0"/>
        <w:adjustRightInd w:val="0"/>
        <w:spacing w:before="120" w:after="0" w:line="288" w:lineRule="auto"/>
        <w:jc w:val="both"/>
        <w:rPr>
          <w:rFonts w:ascii="Arial" w:hAnsi="Arial" w:cs="Arial"/>
          <w:sz w:val="22"/>
          <w:szCs w:val="22"/>
        </w:rPr>
      </w:pPr>
      <w:r w:rsidRPr="00FF2750">
        <w:rPr>
          <w:rFonts w:ascii="Arial" w:hAnsi="Arial" w:cs="Arial"/>
          <w:sz w:val="22"/>
          <w:szCs w:val="22"/>
        </w:rPr>
        <w:t>zřizovat stavby či umísťovat konstrukce nebo jiná podobná zařízení a provádět činnosti, které by znemožňovaly nebo podstatně znesnadňovaly přístup k podzemnímu vedení, nebo které by mohly ohrozit bezpečnost a spolehlivost jeho provozu;</w:t>
      </w:r>
    </w:p>
    <w:p w14:paraId="3BC88119" w14:textId="77777777" w:rsidR="00FF2750" w:rsidRPr="00FF2750" w:rsidRDefault="00FF2750" w:rsidP="00FF2750">
      <w:pPr>
        <w:pStyle w:val="Zkladntext"/>
        <w:numPr>
          <w:ilvl w:val="0"/>
          <w:numId w:val="86"/>
        </w:numPr>
        <w:suppressAutoHyphens w:val="0"/>
        <w:autoSpaceDE w:val="0"/>
        <w:autoSpaceDN w:val="0"/>
        <w:adjustRightInd w:val="0"/>
        <w:spacing w:before="120" w:after="0" w:line="288" w:lineRule="auto"/>
        <w:jc w:val="both"/>
        <w:rPr>
          <w:rFonts w:ascii="Arial" w:hAnsi="Arial" w:cs="Arial"/>
          <w:sz w:val="22"/>
          <w:szCs w:val="22"/>
        </w:rPr>
      </w:pPr>
      <w:r w:rsidRPr="00FF2750">
        <w:rPr>
          <w:rFonts w:ascii="Arial" w:hAnsi="Arial" w:cs="Arial"/>
          <w:sz w:val="22"/>
          <w:szCs w:val="22"/>
        </w:rPr>
        <w:t>vysazovat trvalé porosty a přejíždět vedení mechanismy o celkové hmotnosti nad 3 t.</w:t>
      </w:r>
    </w:p>
    <w:p w14:paraId="160D6909" w14:textId="77777777" w:rsidR="00FF2750" w:rsidRPr="00FF2750" w:rsidRDefault="00FF2750" w:rsidP="00FF2750">
      <w:pPr>
        <w:pStyle w:val="Zkladntext"/>
        <w:numPr>
          <w:ilvl w:val="0"/>
          <w:numId w:val="83"/>
        </w:numPr>
        <w:suppressAutoHyphens w:val="0"/>
        <w:autoSpaceDE w:val="0"/>
        <w:autoSpaceDN w:val="0"/>
        <w:adjustRightInd w:val="0"/>
        <w:spacing w:before="120" w:after="0" w:line="288" w:lineRule="auto"/>
        <w:ind w:left="426"/>
        <w:jc w:val="both"/>
        <w:rPr>
          <w:rFonts w:ascii="Arial" w:hAnsi="Arial" w:cs="Arial"/>
          <w:b/>
          <w:bCs/>
          <w:sz w:val="22"/>
          <w:szCs w:val="22"/>
        </w:rPr>
      </w:pPr>
      <w:r w:rsidRPr="00FF2750">
        <w:rPr>
          <w:rFonts w:ascii="Arial" w:hAnsi="Arial" w:cs="Arial"/>
          <w:b/>
          <w:bCs/>
          <w:sz w:val="22"/>
          <w:szCs w:val="22"/>
        </w:rPr>
        <w:t>Ochranné pásmo elektrické stanice</w:t>
      </w:r>
    </w:p>
    <w:p w14:paraId="1B8346A7"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jc w:val="both"/>
        <w:rPr>
          <w:rFonts w:ascii="Arial" w:hAnsi="Arial" w:cs="Arial"/>
          <w:sz w:val="22"/>
          <w:szCs w:val="22"/>
        </w:rPr>
      </w:pPr>
      <w:r w:rsidRPr="00FF2750">
        <w:rPr>
          <w:rFonts w:ascii="Arial" w:hAnsi="Arial" w:cs="Arial"/>
          <w:sz w:val="22"/>
          <w:szCs w:val="22"/>
        </w:rPr>
        <w:t xml:space="preserve">je vymezeno svislými rovinami vedenými ve vodorovné vzdálenosti 20 m </w:t>
      </w:r>
      <w:r w:rsidRPr="00FF2750">
        <w:rPr>
          <w:rFonts w:ascii="Arial" w:hAnsi="Arial" w:cs="Arial"/>
          <w:i/>
          <w:iCs/>
          <w:sz w:val="22"/>
          <w:szCs w:val="22"/>
        </w:rPr>
        <w:t>(30 m)</w:t>
      </w:r>
      <w:r w:rsidRPr="00FF2750">
        <w:rPr>
          <w:rFonts w:ascii="Arial" w:hAnsi="Arial" w:cs="Arial"/>
          <w:sz w:val="22"/>
          <w:szCs w:val="22"/>
        </w:rPr>
        <w:t xml:space="preserve"> kolmo na oplocenou nebo obezděnou hranici objektu stanice. Sloupové trafostanice VN mají ochranné pásmo shodné s venkovním vedením VN.</w:t>
      </w:r>
    </w:p>
    <w:p w14:paraId="163A39FB"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V ochranném pásmu elektrické stanice je zakázáno provádět činnosti, které by mohly mít za následek ohrožení životů, zdraví či majetku osob, bezpečnosti a spolehlivosti provozu stanice, nebo znemožňující či podstatně znesnadňující její údržbu.</w:t>
      </w:r>
    </w:p>
    <w:p w14:paraId="52CF0655"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Fyzické nebo právnické osoby, zřizující zařízení napájená stejnosměrným proudem v bezprostřední blízkosti ochranného pásma s možností vzniku bludných proudů poškozujících podzemní vedení, jsou povinny tyto skutečnosti oznámit dodavateli a provést opatření k jejich omezení.</w:t>
      </w:r>
    </w:p>
    <w:p w14:paraId="6B32D4E6"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Výjimky z ochranných pásem povoluje ministerstvo.</w:t>
      </w:r>
    </w:p>
    <w:p w14:paraId="181E7C95" w14:textId="77777777" w:rsidR="00FF2750" w:rsidRPr="00FF2750" w:rsidRDefault="00FF2750" w:rsidP="00FF2750">
      <w:pPr>
        <w:pStyle w:val="podnadpis2"/>
        <w:spacing w:before="120" w:after="0" w:line="288" w:lineRule="auto"/>
        <w:jc w:val="both"/>
        <w:rPr>
          <w:rFonts w:cs="Arial"/>
          <w:sz w:val="28"/>
          <w:szCs w:val="28"/>
        </w:rPr>
      </w:pPr>
      <w:r w:rsidRPr="00FF2750">
        <w:rPr>
          <w:rFonts w:cs="Arial"/>
          <w:sz w:val="28"/>
          <w:szCs w:val="28"/>
        </w:rPr>
        <w:t>Plynárenství</w:t>
      </w:r>
    </w:p>
    <w:p w14:paraId="649E31E0"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Plynárenskými zařízeními se rozumí plynovody, přípojky a technologické objekty.</w:t>
      </w:r>
    </w:p>
    <w:p w14:paraId="23EC3EBC"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Ochranným pásmem se rozumí prostor v bezprostřední blízkosti plynárenského zařízení vymezený vodorovnou vzdáleností od půdorysu plynárenského zařízení měřeno kolmo na obrys, určený k zajištění jeho spolehlivého provozu.</w:t>
      </w:r>
    </w:p>
    <w:p w14:paraId="392F7C67" w14:textId="77777777" w:rsidR="00FF2750" w:rsidRPr="00FF2750" w:rsidRDefault="00FF2750" w:rsidP="00FF2750">
      <w:pPr>
        <w:pStyle w:val="Zkladntext"/>
        <w:numPr>
          <w:ilvl w:val="0"/>
          <w:numId w:val="83"/>
        </w:numPr>
        <w:suppressAutoHyphens w:val="0"/>
        <w:autoSpaceDE w:val="0"/>
        <w:autoSpaceDN w:val="0"/>
        <w:adjustRightInd w:val="0"/>
        <w:spacing w:before="120" w:after="0" w:line="288" w:lineRule="auto"/>
        <w:ind w:left="426"/>
        <w:jc w:val="both"/>
        <w:rPr>
          <w:rFonts w:ascii="Arial" w:hAnsi="Arial" w:cs="Arial"/>
          <w:b/>
          <w:bCs/>
          <w:sz w:val="22"/>
          <w:szCs w:val="22"/>
        </w:rPr>
      </w:pPr>
      <w:r w:rsidRPr="00FF2750">
        <w:rPr>
          <w:rFonts w:ascii="Arial" w:hAnsi="Arial" w:cs="Arial"/>
          <w:b/>
          <w:bCs/>
          <w:sz w:val="22"/>
          <w:szCs w:val="22"/>
        </w:rPr>
        <w:t>ochranná pásma činí:</w:t>
      </w:r>
    </w:p>
    <w:p w14:paraId="6DC4478B" w14:textId="77777777" w:rsidR="00FF2750" w:rsidRPr="00FF2750" w:rsidRDefault="00FF2750" w:rsidP="00FF2750">
      <w:pPr>
        <w:pStyle w:val="Znaka1"/>
        <w:numPr>
          <w:ilvl w:val="0"/>
          <w:numId w:val="87"/>
        </w:numPr>
        <w:spacing w:before="120" w:line="288" w:lineRule="auto"/>
        <w:ind w:left="851" w:hanging="425"/>
        <w:jc w:val="both"/>
        <w:rPr>
          <w:rFonts w:cs="Arial"/>
          <w:sz w:val="22"/>
          <w:szCs w:val="22"/>
        </w:rPr>
      </w:pPr>
      <w:r w:rsidRPr="00FF2750">
        <w:rPr>
          <w:rFonts w:cs="Arial"/>
          <w:sz w:val="22"/>
          <w:szCs w:val="22"/>
        </w:rPr>
        <w:t xml:space="preserve">u plynovodů a přípojek do průměru 200 mm včetně 4 m </w:t>
      </w:r>
      <w:r w:rsidRPr="00FF2750">
        <w:rPr>
          <w:rFonts w:cs="Arial"/>
          <w:i/>
          <w:iCs/>
          <w:sz w:val="22"/>
          <w:szCs w:val="22"/>
        </w:rPr>
        <w:t>(20 m);</w:t>
      </w:r>
    </w:p>
    <w:p w14:paraId="1DF98E51" w14:textId="77777777" w:rsidR="00FF2750" w:rsidRPr="00FF2750" w:rsidRDefault="00FF2750" w:rsidP="00FF2750">
      <w:pPr>
        <w:pStyle w:val="Znaka1"/>
        <w:numPr>
          <w:ilvl w:val="0"/>
          <w:numId w:val="87"/>
        </w:numPr>
        <w:spacing w:before="120" w:line="288" w:lineRule="auto"/>
        <w:ind w:left="851" w:hanging="425"/>
        <w:jc w:val="both"/>
        <w:rPr>
          <w:rFonts w:cs="Arial"/>
          <w:sz w:val="22"/>
          <w:szCs w:val="22"/>
        </w:rPr>
      </w:pPr>
      <w:r w:rsidRPr="00FF2750">
        <w:rPr>
          <w:rFonts w:cs="Arial"/>
          <w:sz w:val="22"/>
          <w:szCs w:val="22"/>
        </w:rPr>
        <w:t xml:space="preserve">u plynovodů a přípojek od průměru 200 mm do 500 mm včetně 8 m </w:t>
      </w:r>
      <w:r w:rsidRPr="00FF2750">
        <w:rPr>
          <w:rFonts w:cs="Arial"/>
          <w:i/>
          <w:iCs/>
          <w:sz w:val="22"/>
          <w:szCs w:val="22"/>
        </w:rPr>
        <w:t>(50 m);</w:t>
      </w:r>
    </w:p>
    <w:p w14:paraId="09D585C8" w14:textId="77777777" w:rsidR="00FF2750" w:rsidRPr="00FF2750" w:rsidRDefault="00FF2750" w:rsidP="00FF2750">
      <w:pPr>
        <w:pStyle w:val="Znaka1"/>
        <w:numPr>
          <w:ilvl w:val="0"/>
          <w:numId w:val="87"/>
        </w:numPr>
        <w:spacing w:before="120" w:line="288" w:lineRule="auto"/>
        <w:ind w:left="851" w:hanging="425"/>
        <w:jc w:val="both"/>
        <w:rPr>
          <w:rFonts w:cs="Arial"/>
          <w:sz w:val="22"/>
          <w:szCs w:val="22"/>
        </w:rPr>
      </w:pPr>
      <w:r w:rsidRPr="00FF2750">
        <w:rPr>
          <w:rFonts w:cs="Arial"/>
          <w:sz w:val="22"/>
          <w:szCs w:val="22"/>
        </w:rPr>
        <w:t xml:space="preserve">u plynovodů a přípojek nad průměr 500 mm 12 m </w:t>
      </w:r>
      <w:r w:rsidRPr="00FF2750">
        <w:rPr>
          <w:rFonts w:cs="Arial"/>
          <w:i/>
          <w:iCs/>
          <w:sz w:val="22"/>
          <w:szCs w:val="22"/>
        </w:rPr>
        <w:t>(50 m);</w:t>
      </w:r>
    </w:p>
    <w:p w14:paraId="5F7A00A7" w14:textId="77777777" w:rsidR="00FF2750" w:rsidRPr="00FF2750" w:rsidRDefault="00FF2750" w:rsidP="00FF2750">
      <w:pPr>
        <w:pStyle w:val="Znaka1"/>
        <w:numPr>
          <w:ilvl w:val="0"/>
          <w:numId w:val="87"/>
        </w:numPr>
        <w:spacing w:before="120" w:line="288" w:lineRule="auto"/>
        <w:ind w:left="851" w:hanging="425"/>
        <w:jc w:val="both"/>
        <w:rPr>
          <w:rFonts w:cs="Arial"/>
          <w:sz w:val="22"/>
          <w:szCs w:val="22"/>
        </w:rPr>
      </w:pPr>
      <w:r w:rsidRPr="00FF2750">
        <w:rPr>
          <w:rFonts w:cs="Arial"/>
          <w:sz w:val="22"/>
          <w:szCs w:val="22"/>
        </w:rPr>
        <w:t>u nízkotlakých a středotlakých plynovodů a přípojek, jimiž se rozvádějí plyny v zastavěném území obce 1 m;</w:t>
      </w:r>
    </w:p>
    <w:p w14:paraId="6677ECF1" w14:textId="77777777" w:rsidR="00FF2750" w:rsidRPr="00FF2750" w:rsidRDefault="00FF2750" w:rsidP="00FF2750">
      <w:pPr>
        <w:pStyle w:val="Znaka1"/>
        <w:numPr>
          <w:ilvl w:val="0"/>
          <w:numId w:val="87"/>
        </w:numPr>
        <w:spacing w:before="120" w:line="288" w:lineRule="auto"/>
        <w:ind w:left="851" w:hanging="425"/>
        <w:jc w:val="both"/>
        <w:rPr>
          <w:rFonts w:cs="Arial"/>
          <w:sz w:val="22"/>
          <w:szCs w:val="22"/>
        </w:rPr>
      </w:pPr>
      <w:r w:rsidRPr="00FF2750">
        <w:rPr>
          <w:rFonts w:cs="Arial"/>
          <w:sz w:val="22"/>
          <w:szCs w:val="22"/>
        </w:rPr>
        <w:t xml:space="preserve">u technologických objektů 4 m </w:t>
      </w:r>
      <w:r w:rsidRPr="00FF2750">
        <w:rPr>
          <w:rFonts w:cs="Arial"/>
          <w:i/>
          <w:iCs/>
          <w:sz w:val="22"/>
          <w:szCs w:val="22"/>
        </w:rPr>
        <w:t>(5 až 20 m).</w:t>
      </w:r>
    </w:p>
    <w:p w14:paraId="21C9D76F"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lastRenderedPageBreak/>
        <w:t>Ve zvláštních případech, zejména v blízkosti těžebních objektů, vodních děl a rozsáhlých podzemních staveb, které mohou ovlivnit stabilitu uložení plynárenských zařízení, může ministerstvo stanovit rozsah ochranných pásem až na 200 m.</w:t>
      </w:r>
    </w:p>
    <w:p w14:paraId="575A76CB"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Stavební činnost a úpravy terénu v ochranném pásmu lze provádět pouze s předchozím písemným souhlasem dodavatele, který odpovídá za provoz příslušného plynárenského zařízení.</w:t>
      </w:r>
    </w:p>
    <w:p w14:paraId="448C2FCC"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U vysokotlakých a velmi vysokotlakých plynovodů v lesních průsecích jsou vlastníci a uživatelé pozemků povinni udržovat volný pruh pozemků o šířce 2 m na obě strany od osy plynovodu.</w:t>
      </w:r>
    </w:p>
    <w:p w14:paraId="51128E15" w14:textId="77777777" w:rsidR="00FF2750" w:rsidRPr="00FF2750" w:rsidRDefault="00FF2750" w:rsidP="00FF2750">
      <w:pPr>
        <w:pStyle w:val="Zkladntext"/>
        <w:numPr>
          <w:ilvl w:val="0"/>
          <w:numId w:val="83"/>
        </w:numPr>
        <w:suppressAutoHyphens w:val="0"/>
        <w:autoSpaceDE w:val="0"/>
        <w:autoSpaceDN w:val="0"/>
        <w:adjustRightInd w:val="0"/>
        <w:spacing w:before="120" w:after="0" w:line="288" w:lineRule="auto"/>
        <w:ind w:left="426"/>
        <w:jc w:val="both"/>
        <w:rPr>
          <w:rFonts w:ascii="Arial" w:hAnsi="Arial" w:cs="Arial"/>
          <w:b/>
          <w:bCs/>
          <w:sz w:val="22"/>
          <w:szCs w:val="22"/>
        </w:rPr>
      </w:pPr>
      <w:r w:rsidRPr="00FF2750">
        <w:rPr>
          <w:rFonts w:ascii="Arial" w:hAnsi="Arial" w:cs="Arial"/>
          <w:b/>
          <w:bCs/>
          <w:sz w:val="22"/>
          <w:szCs w:val="22"/>
        </w:rPr>
        <w:t>Bezpečnostní pásma</w:t>
      </w:r>
    </w:p>
    <w:p w14:paraId="4FE1A7D3"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Bezpečnostní pásma jsou určena k zamezení nebo zmírnění účinků případných havárií plynových zařízení a k ochraně života, zdraví a majetku osob.</w:t>
      </w:r>
    </w:p>
    <w:p w14:paraId="1EF02E95"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Bezpečnostním pásmem se pro účely energetického zákona rozumí prostor vymezený vodorovnou vzdáleností od půdorysu plynového zařízení měřeno kolmo na jeho obrys.</w:t>
      </w:r>
    </w:p>
    <w:p w14:paraId="7F37D74D"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Plynovými zařízeními se pro účely energetického zákona rozumí zařízení na výrobu a úpravu plynu, podzemní zásobníky, tlakové zásobníky zkapalněných plynů, plynojemy, plnírny, zkapalňovací, odpařovací, kompresorové a regulační stanice, vysokotlaké a velmi vysokotlaké plynovody.</w:t>
      </w:r>
    </w:p>
    <w:p w14:paraId="1C4BA8A0"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Zřizovat stavby v bezpečnostním pásmu lze pouze s písemným předchozím souhlasem fyzické nebo právnické osoby, která odpovídá za provoz příslušného plynového zařízení.</w:t>
      </w:r>
    </w:p>
    <w:p w14:paraId="1D90BB26"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p>
    <w:p w14:paraId="54685D0C"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1276"/>
        <w:jc w:val="both"/>
        <w:rPr>
          <w:rFonts w:ascii="Arial" w:hAnsi="Arial" w:cs="Arial"/>
          <w:sz w:val="22"/>
          <w:szCs w:val="22"/>
        </w:rPr>
      </w:pPr>
      <w:r w:rsidRPr="00FF2750">
        <w:rPr>
          <w:rFonts w:ascii="Arial" w:hAnsi="Arial" w:cs="Arial"/>
          <w:b/>
          <w:bCs/>
          <w:sz w:val="22"/>
          <w:szCs w:val="22"/>
        </w:rPr>
        <w:t>Rozsah bezpečnostních pásem:</w:t>
      </w:r>
    </w:p>
    <w:tbl>
      <w:tblPr>
        <w:tblW w:w="0" w:type="auto"/>
        <w:jc w:val="center"/>
        <w:tblLayout w:type="fixed"/>
        <w:tblCellMar>
          <w:left w:w="70" w:type="dxa"/>
          <w:right w:w="70" w:type="dxa"/>
        </w:tblCellMar>
        <w:tblLook w:val="0000" w:firstRow="0" w:lastRow="0" w:firstColumn="0" w:lastColumn="0" w:noHBand="0" w:noVBand="0"/>
      </w:tblPr>
      <w:tblGrid>
        <w:gridCol w:w="4268"/>
        <w:gridCol w:w="2604"/>
      </w:tblGrid>
      <w:tr w:rsidR="00FF2750" w:rsidRPr="00FF2750" w14:paraId="5747C8BB"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42C670B2" w14:textId="77777777" w:rsidR="00FF2750" w:rsidRPr="00FF2750" w:rsidRDefault="00FF2750" w:rsidP="002D2D45">
            <w:pPr>
              <w:pStyle w:val="Texttabulky"/>
              <w:spacing w:line="240" w:lineRule="atLeast"/>
              <w:jc w:val="center"/>
              <w:rPr>
                <w:rFonts w:cs="Arial"/>
              </w:rPr>
            </w:pPr>
            <w:r w:rsidRPr="00FF2750">
              <w:rPr>
                <w:rFonts w:cs="Arial"/>
                <w:b/>
                <w:bCs/>
                <w:sz w:val="18"/>
                <w:szCs w:val="18"/>
              </w:rPr>
              <w:t>druh zařízení</w:t>
            </w:r>
          </w:p>
        </w:tc>
        <w:tc>
          <w:tcPr>
            <w:tcW w:w="2604" w:type="dxa"/>
            <w:tcBorders>
              <w:top w:val="single" w:sz="6" w:space="0" w:color="auto"/>
              <w:left w:val="single" w:sz="6" w:space="0" w:color="auto"/>
              <w:bottom w:val="single" w:sz="6" w:space="0" w:color="auto"/>
              <w:right w:val="single" w:sz="6" w:space="0" w:color="auto"/>
            </w:tcBorders>
          </w:tcPr>
          <w:p w14:paraId="51DE469D" w14:textId="77777777" w:rsidR="00FF2750" w:rsidRPr="00FF2750" w:rsidRDefault="00FF2750" w:rsidP="002D2D45">
            <w:pPr>
              <w:pStyle w:val="Texttabulky"/>
              <w:spacing w:line="240" w:lineRule="atLeast"/>
              <w:jc w:val="center"/>
              <w:rPr>
                <w:rFonts w:cs="Arial"/>
              </w:rPr>
            </w:pPr>
            <w:r w:rsidRPr="00FF2750">
              <w:rPr>
                <w:rFonts w:cs="Arial"/>
                <w:b/>
                <w:bCs/>
                <w:sz w:val="18"/>
                <w:szCs w:val="18"/>
              </w:rPr>
              <w:t>velikost pásma (m)</w:t>
            </w:r>
          </w:p>
        </w:tc>
      </w:tr>
      <w:tr w:rsidR="00FF2750" w:rsidRPr="00FF2750" w14:paraId="1861956D"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77EC83A6" w14:textId="77777777" w:rsidR="00FF2750" w:rsidRPr="00FF2750" w:rsidRDefault="00FF2750" w:rsidP="002D2D45">
            <w:pPr>
              <w:pStyle w:val="Texttabulky"/>
              <w:spacing w:line="240" w:lineRule="atLeast"/>
              <w:rPr>
                <w:rFonts w:cs="Arial"/>
              </w:rPr>
            </w:pPr>
            <w:r w:rsidRPr="00FF2750">
              <w:rPr>
                <w:rFonts w:cs="Arial"/>
                <w:sz w:val="18"/>
                <w:szCs w:val="18"/>
              </w:rPr>
              <w:t>Odpařovací stanice zkapal. plynů</w:t>
            </w:r>
          </w:p>
        </w:tc>
        <w:tc>
          <w:tcPr>
            <w:tcW w:w="2604" w:type="dxa"/>
            <w:tcBorders>
              <w:top w:val="single" w:sz="6" w:space="0" w:color="auto"/>
              <w:left w:val="single" w:sz="6" w:space="0" w:color="auto"/>
              <w:bottom w:val="single" w:sz="6" w:space="0" w:color="auto"/>
              <w:right w:val="single" w:sz="6" w:space="0" w:color="auto"/>
            </w:tcBorders>
          </w:tcPr>
          <w:p w14:paraId="47836FB7" w14:textId="77777777" w:rsidR="00FF2750" w:rsidRPr="00FF2750" w:rsidRDefault="00FF2750" w:rsidP="002D2D45">
            <w:pPr>
              <w:pStyle w:val="Texttabulky"/>
              <w:spacing w:line="240" w:lineRule="atLeast"/>
              <w:jc w:val="center"/>
              <w:rPr>
                <w:rFonts w:cs="Arial"/>
              </w:rPr>
            </w:pPr>
            <w:r w:rsidRPr="00FF2750">
              <w:rPr>
                <w:rFonts w:cs="Arial"/>
                <w:sz w:val="18"/>
                <w:szCs w:val="18"/>
              </w:rPr>
              <w:t>100 m</w:t>
            </w:r>
          </w:p>
        </w:tc>
      </w:tr>
      <w:tr w:rsidR="00FF2750" w:rsidRPr="00FF2750" w14:paraId="1AF2FFBC"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72AE372F" w14:textId="77777777" w:rsidR="00FF2750" w:rsidRPr="00FF2750" w:rsidRDefault="00FF2750" w:rsidP="002D2D45">
            <w:pPr>
              <w:pStyle w:val="Texttabulky"/>
              <w:spacing w:line="240" w:lineRule="atLeast"/>
              <w:rPr>
                <w:rFonts w:cs="Arial"/>
              </w:rPr>
            </w:pPr>
            <w:r w:rsidRPr="00FF2750">
              <w:rPr>
                <w:rFonts w:cs="Arial"/>
                <w:sz w:val="18"/>
                <w:szCs w:val="18"/>
              </w:rPr>
              <w:t>Regulační stanice vysokotlaké</w:t>
            </w:r>
          </w:p>
        </w:tc>
        <w:tc>
          <w:tcPr>
            <w:tcW w:w="2604" w:type="dxa"/>
            <w:tcBorders>
              <w:top w:val="single" w:sz="6" w:space="0" w:color="auto"/>
              <w:left w:val="single" w:sz="6" w:space="0" w:color="auto"/>
              <w:bottom w:val="single" w:sz="6" w:space="0" w:color="auto"/>
              <w:right w:val="single" w:sz="6" w:space="0" w:color="auto"/>
            </w:tcBorders>
          </w:tcPr>
          <w:p w14:paraId="2087F5F2" w14:textId="77777777" w:rsidR="00FF2750" w:rsidRPr="00FF2750" w:rsidRDefault="00FF2750" w:rsidP="002D2D45">
            <w:pPr>
              <w:pStyle w:val="Texttabulky"/>
              <w:spacing w:line="240" w:lineRule="atLeast"/>
              <w:jc w:val="center"/>
              <w:rPr>
                <w:rFonts w:cs="Arial"/>
              </w:rPr>
            </w:pPr>
            <w:r w:rsidRPr="00FF2750">
              <w:rPr>
                <w:rFonts w:cs="Arial"/>
                <w:sz w:val="18"/>
                <w:szCs w:val="18"/>
              </w:rPr>
              <w:t>10 m</w:t>
            </w:r>
          </w:p>
        </w:tc>
      </w:tr>
      <w:tr w:rsidR="00FF2750" w:rsidRPr="00FF2750" w14:paraId="5C9CE97F"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77499953" w14:textId="77777777" w:rsidR="00FF2750" w:rsidRPr="00FF2750" w:rsidRDefault="00FF2750" w:rsidP="002D2D45">
            <w:pPr>
              <w:pStyle w:val="Texttabulky"/>
              <w:spacing w:line="240" w:lineRule="atLeast"/>
              <w:rPr>
                <w:rFonts w:cs="Arial"/>
              </w:rPr>
            </w:pPr>
            <w:r w:rsidRPr="00FF2750">
              <w:rPr>
                <w:rFonts w:cs="Arial"/>
                <w:sz w:val="18"/>
                <w:szCs w:val="18"/>
              </w:rPr>
              <w:t>Vysokotlaké plynovody:</w:t>
            </w:r>
          </w:p>
        </w:tc>
        <w:tc>
          <w:tcPr>
            <w:tcW w:w="2604" w:type="dxa"/>
            <w:tcBorders>
              <w:top w:val="single" w:sz="6" w:space="0" w:color="auto"/>
              <w:left w:val="single" w:sz="6" w:space="0" w:color="auto"/>
              <w:bottom w:val="single" w:sz="6" w:space="0" w:color="auto"/>
              <w:right w:val="single" w:sz="6" w:space="0" w:color="auto"/>
            </w:tcBorders>
          </w:tcPr>
          <w:p w14:paraId="5D8BF0AC" w14:textId="77777777" w:rsidR="00FF2750" w:rsidRPr="00FF2750" w:rsidRDefault="00FF2750" w:rsidP="002D2D45">
            <w:pPr>
              <w:pStyle w:val="Zkladntext"/>
              <w:rPr>
                <w:rFonts w:ascii="Arial" w:hAnsi="Arial" w:cs="Arial"/>
              </w:rPr>
            </w:pPr>
          </w:p>
        </w:tc>
      </w:tr>
      <w:tr w:rsidR="00FF2750" w:rsidRPr="00FF2750" w14:paraId="1490695B"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0AB6A660" w14:textId="77777777" w:rsidR="00FF2750" w:rsidRPr="00FF2750" w:rsidRDefault="00FF2750" w:rsidP="002D2D45">
            <w:pPr>
              <w:pStyle w:val="Texttabulky"/>
              <w:spacing w:line="240" w:lineRule="atLeast"/>
              <w:rPr>
                <w:rFonts w:cs="Arial"/>
              </w:rPr>
            </w:pPr>
            <w:r w:rsidRPr="00FF2750">
              <w:rPr>
                <w:rFonts w:cs="Arial"/>
                <w:sz w:val="18"/>
                <w:szCs w:val="18"/>
              </w:rPr>
              <w:t xml:space="preserve">                                 do DN 100</w:t>
            </w:r>
          </w:p>
        </w:tc>
        <w:tc>
          <w:tcPr>
            <w:tcW w:w="2604" w:type="dxa"/>
            <w:tcBorders>
              <w:top w:val="single" w:sz="6" w:space="0" w:color="auto"/>
              <w:left w:val="single" w:sz="6" w:space="0" w:color="auto"/>
              <w:bottom w:val="single" w:sz="6" w:space="0" w:color="auto"/>
              <w:right w:val="single" w:sz="6" w:space="0" w:color="auto"/>
            </w:tcBorders>
          </w:tcPr>
          <w:p w14:paraId="1C19604F" w14:textId="77777777" w:rsidR="00FF2750" w:rsidRPr="00FF2750" w:rsidRDefault="00FF2750" w:rsidP="002D2D45">
            <w:pPr>
              <w:pStyle w:val="Texttabulky"/>
              <w:spacing w:line="240" w:lineRule="atLeast"/>
              <w:jc w:val="center"/>
              <w:rPr>
                <w:rFonts w:cs="Arial"/>
              </w:rPr>
            </w:pPr>
            <w:r w:rsidRPr="00FF2750">
              <w:rPr>
                <w:rFonts w:cs="Arial"/>
                <w:sz w:val="18"/>
                <w:szCs w:val="18"/>
              </w:rPr>
              <w:t>15 m</w:t>
            </w:r>
          </w:p>
        </w:tc>
      </w:tr>
      <w:tr w:rsidR="00FF2750" w:rsidRPr="00FF2750" w14:paraId="0AC20441"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03267372" w14:textId="77777777" w:rsidR="00FF2750" w:rsidRPr="00FF2750" w:rsidRDefault="00FF2750" w:rsidP="002D2D45">
            <w:pPr>
              <w:pStyle w:val="Texttabulky"/>
              <w:spacing w:line="240" w:lineRule="atLeast"/>
              <w:rPr>
                <w:rFonts w:cs="Arial"/>
              </w:rPr>
            </w:pPr>
            <w:r w:rsidRPr="00FF2750">
              <w:rPr>
                <w:rFonts w:cs="Arial"/>
                <w:sz w:val="18"/>
                <w:szCs w:val="18"/>
              </w:rPr>
              <w:t xml:space="preserve">                                 do DN 250</w:t>
            </w:r>
          </w:p>
        </w:tc>
        <w:tc>
          <w:tcPr>
            <w:tcW w:w="2604" w:type="dxa"/>
            <w:tcBorders>
              <w:top w:val="single" w:sz="6" w:space="0" w:color="auto"/>
              <w:left w:val="single" w:sz="6" w:space="0" w:color="auto"/>
              <w:bottom w:val="single" w:sz="6" w:space="0" w:color="auto"/>
              <w:right w:val="single" w:sz="6" w:space="0" w:color="auto"/>
            </w:tcBorders>
          </w:tcPr>
          <w:p w14:paraId="75279668" w14:textId="77777777" w:rsidR="00FF2750" w:rsidRPr="00FF2750" w:rsidRDefault="00FF2750" w:rsidP="002D2D45">
            <w:pPr>
              <w:pStyle w:val="Texttabulky"/>
              <w:spacing w:line="240" w:lineRule="atLeast"/>
              <w:jc w:val="center"/>
              <w:rPr>
                <w:rFonts w:cs="Arial"/>
              </w:rPr>
            </w:pPr>
            <w:r w:rsidRPr="00FF2750">
              <w:rPr>
                <w:rFonts w:cs="Arial"/>
                <w:sz w:val="18"/>
                <w:szCs w:val="18"/>
              </w:rPr>
              <w:t>20 m</w:t>
            </w:r>
          </w:p>
        </w:tc>
      </w:tr>
      <w:tr w:rsidR="00FF2750" w:rsidRPr="00FF2750" w14:paraId="7E1FB15F" w14:textId="77777777" w:rsidTr="002D2D45">
        <w:trPr>
          <w:jc w:val="center"/>
        </w:trPr>
        <w:tc>
          <w:tcPr>
            <w:tcW w:w="4268" w:type="dxa"/>
            <w:tcBorders>
              <w:top w:val="single" w:sz="6" w:space="0" w:color="auto"/>
              <w:left w:val="single" w:sz="6" w:space="0" w:color="auto"/>
              <w:bottom w:val="single" w:sz="6" w:space="0" w:color="auto"/>
              <w:right w:val="single" w:sz="6" w:space="0" w:color="auto"/>
            </w:tcBorders>
          </w:tcPr>
          <w:p w14:paraId="5029EE61" w14:textId="77777777" w:rsidR="00FF2750" w:rsidRPr="00FF2750" w:rsidRDefault="00FF2750" w:rsidP="002D2D45">
            <w:pPr>
              <w:pStyle w:val="Texttabulky"/>
              <w:spacing w:line="240" w:lineRule="atLeast"/>
              <w:rPr>
                <w:rFonts w:cs="Arial"/>
              </w:rPr>
            </w:pPr>
            <w:r w:rsidRPr="00FF2750">
              <w:rPr>
                <w:rFonts w:cs="Arial"/>
                <w:sz w:val="18"/>
                <w:szCs w:val="18"/>
              </w:rPr>
              <w:t xml:space="preserve">                                 nad DN 250</w:t>
            </w:r>
          </w:p>
        </w:tc>
        <w:tc>
          <w:tcPr>
            <w:tcW w:w="2604" w:type="dxa"/>
            <w:tcBorders>
              <w:top w:val="single" w:sz="6" w:space="0" w:color="auto"/>
              <w:left w:val="single" w:sz="6" w:space="0" w:color="auto"/>
              <w:bottom w:val="single" w:sz="6" w:space="0" w:color="auto"/>
              <w:right w:val="single" w:sz="6" w:space="0" w:color="auto"/>
            </w:tcBorders>
          </w:tcPr>
          <w:p w14:paraId="73AAE4FD" w14:textId="77777777" w:rsidR="00FF2750" w:rsidRPr="00FF2750" w:rsidRDefault="00FF2750" w:rsidP="002D2D45">
            <w:pPr>
              <w:pStyle w:val="Texttabulky"/>
              <w:spacing w:line="240" w:lineRule="atLeast"/>
              <w:jc w:val="center"/>
              <w:rPr>
                <w:rFonts w:cs="Arial"/>
              </w:rPr>
            </w:pPr>
            <w:r w:rsidRPr="00FF2750">
              <w:rPr>
                <w:rFonts w:cs="Arial"/>
                <w:sz w:val="18"/>
                <w:szCs w:val="18"/>
              </w:rPr>
              <w:t>40 m</w:t>
            </w:r>
          </w:p>
        </w:tc>
      </w:tr>
    </w:tbl>
    <w:p w14:paraId="20E48645"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p>
    <w:p w14:paraId="79FFC92C" w14:textId="77777777" w:rsidR="00FF2750" w:rsidRPr="00FF2750" w:rsidRDefault="00FF2750" w:rsidP="00FF2750">
      <w:pPr>
        <w:pStyle w:val="podnadpis2"/>
        <w:spacing w:before="120" w:after="0" w:line="288" w:lineRule="auto"/>
        <w:jc w:val="both"/>
        <w:rPr>
          <w:rFonts w:cs="Arial"/>
          <w:sz w:val="28"/>
          <w:szCs w:val="28"/>
        </w:rPr>
      </w:pPr>
      <w:r w:rsidRPr="00FF2750">
        <w:rPr>
          <w:rFonts w:cs="Arial"/>
          <w:sz w:val="28"/>
          <w:szCs w:val="28"/>
        </w:rPr>
        <w:t>Teplárenství</w:t>
      </w:r>
    </w:p>
    <w:p w14:paraId="64D5A175"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Ochranným pásmem se pro čely energetického zákona rozumí prostor v bezprostřední blízkosti zařízení pro výrobu či rozvod tepla určený k zajištění spolehlivého provozu a ochraně života, zdraví a majetku osob.</w:t>
      </w:r>
    </w:p>
    <w:p w14:paraId="729FE4BC"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tLeast"/>
        <w:rPr>
          <w:rFonts w:ascii="Arial" w:hAnsi="Arial" w:cs="Arial"/>
        </w:rPr>
      </w:pPr>
    </w:p>
    <w:p w14:paraId="7B16FB53" w14:textId="77777777" w:rsidR="00FF2750" w:rsidRPr="00FF2750" w:rsidRDefault="00FF2750" w:rsidP="00FF2750">
      <w:pPr>
        <w:pStyle w:val="Znaka1"/>
        <w:numPr>
          <w:ilvl w:val="0"/>
          <w:numId w:val="88"/>
        </w:numPr>
        <w:spacing w:before="120" w:line="288" w:lineRule="auto"/>
        <w:ind w:left="357" w:hanging="357"/>
        <w:jc w:val="both"/>
        <w:rPr>
          <w:rFonts w:cs="Arial"/>
          <w:sz w:val="22"/>
          <w:szCs w:val="22"/>
        </w:rPr>
      </w:pPr>
      <w:r w:rsidRPr="00FF2750">
        <w:rPr>
          <w:rFonts w:cs="Arial"/>
          <w:sz w:val="22"/>
          <w:szCs w:val="22"/>
        </w:rPr>
        <w:lastRenderedPageBreak/>
        <w:t>šířka ochranných pásem je vymezena svislými rovinami vedenými po obou stranách zařízení na výrobu či rozvod tepla ve vodorovné vzdálenosti měřené kolmo k tomuto zařízení, která činí 2,5 m;</w:t>
      </w:r>
    </w:p>
    <w:p w14:paraId="3BB4A93F" w14:textId="77777777" w:rsidR="00FF2750" w:rsidRPr="00FF2750" w:rsidRDefault="00FF2750" w:rsidP="00FF2750">
      <w:pPr>
        <w:pStyle w:val="Znaka1"/>
        <w:numPr>
          <w:ilvl w:val="0"/>
          <w:numId w:val="88"/>
        </w:numPr>
        <w:spacing w:before="120" w:line="288" w:lineRule="auto"/>
        <w:ind w:left="357" w:hanging="357"/>
        <w:jc w:val="both"/>
        <w:rPr>
          <w:rFonts w:cs="Arial"/>
          <w:sz w:val="22"/>
          <w:szCs w:val="22"/>
        </w:rPr>
      </w:pPr>
      <w:r w:rsidRPr="00FF2750">
        <w:rPr>
          <w:rFonts w:cs="Arial"/>
          <w:sz w:val="22"/>
          <w:szCs w:val="22"/>
        </w:rPr>
        <w:t>u výměníkových stanic určených ke změně parametrů teplonosného média v samostatných budovách je ochranné pásmo vymezeno svislými rovinami vedenými ve vodorovné vzdálenosti 2,5 m kolmo na půdorys těchto stanic.</w:t>
      </w:r>
    </w:p>
    <w:p w14:paraId="1CCDA6BD"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Stavební činnosti a úpravy terénu v ochranných pásmech, které by mohly ohrozit bezpečný provoz a údržbu zařízení pro výrobu či rozvod tepla, je možno provádět pouze s předchozím písemným souhlasem příslušného držitele autorizace, který odpovídá za provoz těchto zařízení.</w:t>
      </w:r>
    </w:p>
    <w:p w14:paraId="188253C4"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r w:rsidRPr="00FF2750">
        <w:rPr>
          <w:rFonts w:ascii="Arial" w:hAnsi="Arial" w:cs="Arial"/>
          <w:sz w:val="22"/>
          <w:szCs w:val="22"/>
        </w:rPr>
        <w:t>Prochází-li zařízení pro rozvod tepla budovami, ochranné pásmo se nevymezuje. Vlastníci budov jsou však povinni umožnit držiteli autorizace přístup a provádění nezbytných prací na tomto zařízení.</w:t>
      </w:r>
    </w:p>
    <w:p w14:paraId="5AD43508"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sz w:val="22"/>
          <w:szCs w:val="22"/>
        </w:rPr>
      </w:pPr>
    </w:p>
    <w:p w14:paraId="1A0361E7" w14:textId="77777777" w:rsidR="00FF2750" w:rsidRPr="00FF2750" w:rsidRDefault="00FF2750" w:rsidP="00FF2750">
      <w:pPr>
        <w:pStyle w:val="podnadpis2"/>
        <w:spacing w:before="120" w:after="0" w:line="288" w:lineRule="auto"/>
        <w:jc w:val="both"/>
        <w:rPr>
          <w:rFonts w:cs="Arial"/>
          <w:sz w:val="28"/>
          <w:szCs w:val="28"/>
        </w:rPr>
      </w:pPr>
      <w:r w:rsidRPr="00FF2750">
        <w:rPr>
          <w:rFonts w:cs="Arial"/>
          <w:sz w:val="28"/>
          <w:szCs w:val="28"/>
        </w:rPr>
        <w:t>Spoje</w:t>
      </w:r>
    </w:p>
    <w:p w14:paraId="0ECFA746" w14:textId="77777777" w:rsidR="00FF2750" w:rsidRPr="00FF2750" w:rsidRDefault="00FF2750" w:rsidP="00FF2750">
      <w:pPr>
        <w:pStyle w:val="Znaka1"/>
        <w:numPr>
          <w:ilvl w:val="0"/>
          <w:numId w:val="88"/>
        </w:numPr>
        <w:spacing w:before="120" w:line="288" w:lineRule="auto"/>
        <w:ind w:left="357" w:hanging="357"/>
        <w:jc w:val="both"/>
        <w:rPr>
          <w:rFonts w:cs="Arial"/>
          <w:sz w:val="22"/>
          <w:szCs w:val="22"/>
        </w:rPr>
      </w:pPr>
      <w:r w:rsidRPr="00FF2750">
        <w:rPr>
          <w:rFonts w:cs="Arial"/>
          <w:sz w:val="22"/>
          <w:szCs w:val="22"/>
        </w:rPr>
        <w:t>telekomunikační kabely jsou chráněny ochranným pásmem 1 m na každou stranu od krajního kabelu;</w:t>
      </w:r>
    </w:p>
    <w:p w14:paraId="4F50DF6D" w14:textId="77777777" w:rsidR="00FF2750" w:rsidRPr="00FF2750" w:rsidRDefault="00FF2750" w:rsidP="00FF2750">
      <w:pPr>
        <w:pStyle w:val="Znaka1"/>
        <w:numPr>
          <w:ilvl w:val="0"/>
          <w:numId w:val="88"/>
        </w:numPr>
        <w:spacing w:before="120" w:line="288" w:lineRule="auto"/>
        <w:ind w:left="357" w:hanging="357"/>
        <w:jc w:val="both"/>
        <w:rPr>
          <w:rFonts w:cs="Arial"/>
          <w:sz w:val="22"/>
          <w:szCs w:val="22"/>
        </w:rPr>
      </w:pPr>
      <w:r w:rsidRPr="00FF2750">
        <w:rPr>
          <w:rFonts w:cs="Arial"/>
          <w:sz w:val="22"/>
          <w:szCs w:val="22"/>
        </w:rPr>
        <w:t>u radioreléových tras musí být zachována přímá viditelnost a u jejich koncových bodů je; vymezeno ochranné pásmo o poloměru 500 m, kde nesmí být umístěn rušivý zdroj elektromagnetického vlnění;</w:t>
      </w:r>
    </w:p>
    <w:p w14:paraId="6C983EDF" w14:textId="77777777" w:rsidR="00FF2750" w:rsidRPr="00FF2750" w:rsidRDefault="00FF2750" w:rsidP="00FF2750">
      <w:pPr>
        <w:pStyle w:val="Znaka1"/>
        <w:numPr>
          <w:ilvl w:val="0"/>
          <w:numId w:val="88"/>
        </w:numPr>
        <w:spacing w:before="120" w:line="288" w:lineRule="auto"/>
        <w:ind w:left="357" w:hanging="357"/>
        <w:jc w:val="both"/>
        <w:rPr>
          <w:rFonts w:cs="Arial"/>
          <w:sz w:val="22"/>
          <w:szCs w:val="22"/>
        </w:rPr>
      </w:pPr>
      <w:r w:rsidRPr="00FF2750">
        <w:rPr>
          <w:rFonts w:cs="Arial"/>
          <w:sz w:val="22"/>
          <w:szCs w:val="22"/>
        </w:rPr>
        <w:t>televizní převaděče jsou chráněny kruhovým ochranným pásmem o poloměru 30 m.</w:t>
      </w:r>
    </w:p>
    <w:p w14:paraId="27B0EEE5" w14:textId="77777777" w:rsidR="00FF2750" w:rsidRPr="00FF2750" w:rsidRDefault="00FF2750" w:rsidP="00FF2750">
      <w:pPr>
        <w:tabs>
          <w:tab w:val="decimal" w:pos="72"/>
          <w:tab w:val="decimal" w:pos="144"/>
          <w:tab w:val="right" w:pos="2679"/>
        </w:tabs>
        <w:spacing w:before="120" w:line="288" w:lineRule="auto"/>
        <w:ind w:left="72"/>
        <w:jc w:val="both"/>
        <w:rPr>
          <w:rFonts w:ascii="Arial" w:hAnsi="Arial" w:cs="Arial"/>
          <w:b/>
          <w:color w:val="00B050"/>
          <w:spacing w:val="3"/>
        </w:rPr>
      </w:pPr>
    </w:p>
    <w:p w14:paraId="49C980A9" w14:textId="77777777" w:rsidR="00FF2750" w:rsidRPr="0071055F" w:rsidRDefault="00FF2750" w:rsidP="00FF2750">
      <w:pPr>
        <w:tabs>
          <w:tab w:val="decimal" w:pos="72"/>
          <w:tab w:val="decimal" w:pos="144"/>
          <w:tab w:val="right" w:pos="2679"/>
        </w:tabs>
        <w:spacing w:before="120" w:line="288" w:lineRule="auto"/>
        <w:ind w:left="72"/>
        <w:jc w:val="both"/>
        <w:rPr>
          <w:rFonts w:ascii="Arial" w:hAnsi="Arial" w:cs="Arial"/>
          <w:b/>
          <w:color w:val="00B050"/>
          <w:spacing w:val="3"/>
        </w:rPr>
      </w:pPr>
      <w:r w:rsidRPr="0071055F">
        <w:rPr>
          <w:rFonts w:ascii="Arial" w:hAnsi="Arial" w:cs="Arial"/>
          <w:b/>
          <w:color w:val="00B050"/>
          <w:spacing w:val="3"/>
        </w:rPr>
        <w:t>(Z1) LIMITY VYUŽITÍ ÚZEMÍ VČETNĚ STANOVENÍ ZÁTOPOVÝCH ÚZEMÍ</w:t>
      </w:r>
    </w:p>
    <w:p w14:paraId="5259B972" w14:textId="77777777" w:rsidR="00FF2750" w:rsidRPr="0071055F" w:rsidRDefault="00FF2750" w:rsidP="00FF2750">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71055F">
        <w:rPr>
          <w:rFonts w:ascii="Arial" w:hAnsi="Arial" w:cs="Arial"/>
          <w:b/>
          <w:color w:val="00B050"/>
          <w:spacing w:val="3"/>
          <w:sz w:val="22"/>
          <w:szCs w:val="22"/>
        </w:rPr>
        <w:t>LIMITY VSTUPNÍ</w:t>
      </w:r>
    </w:p>
    <w:p w14:paraId="572C3363" w14:textId="77777777" w:rsidR="00FF2750" w:rsidRPr="0071055F" w:rsidRDefault="00FF2750" w:rsidP="00FF2750">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71055F">
        <w:rPr>
          <w:rFonts w:ascii="Arial" w:hAnsi="Arial" w:cs="Arial"/>
          <w:b/>
          <w:color w:val="00B050"/>
          <w:spacing w:val="3"/>
          <w:sz w:val="22"/>
          <w:szCs w:val="22"/>
        </w:rPr>
        <w:t>Ochrana přírody</w:t>
      </w:r>
    </w:p>
    <w:p w14:paraId="55BC4929" w14:textId="77777777" w:rsidR="00FF2750" w:rsidRPr="0071055F" w:rsidRDefault="00FF2750" w:rsidP="00FF2750">
      <w:pPr>
        <w:numPr>
          <w:ilvl w:val="0"/>
          <w:numId w:val="89"/>
        </w:numPr>
        <w:suppressAutoHyphens w:val="0"/>
        <w:spacing w:before="120" w:line="288" w:lineRule="auto"/>
        <w:ind w:left="426"/>
        <w:jc w:val="both"/>
        <w:rPr>
          <w:rFonts w:ascii="Arial" w:hAnsi="Arial" w:cs="Arial"/>
          <w:color w:val="00B050"/>
          <w:spacing w:val="3"/>
          <w:sz w:val="22"/>
          <w:szCs w:val="22"/>
        </w:rPr>
      </w:pPr>
      <w:r w:rsidRPr="0071055F">
        <w:rPr>
          <w:rFonts w:ascii="Arial" w:hAnsi="Arial" w:cs="Arial"/>
          <w:color w:val="00B050"/>
          <w:spacing w:val="3"/>
          <w:sz w:val="22"/>
          <w:szCs w:val="22"/>
        </w:rPr>
        <w:t>CHKO České středohoří</w:t>
      </w:r>
      <w:r>
        <w:rPr>
          <w:rFonts w:ascii="Arial" w:hAnsi="Arial" w:cs="Arial"/>
          <w:color w:val="00B050"/>
          <w:spacing w:val="3"/>
          <w:sz w:val="22"/>
          <w:szCs w:val="22"/>
        </w:rPr>
        <w:t>;</w:t>
      </w:r>
    </w:p>
    <w:p w14:paraId="334F8ED3" w14:textId="77777777" w:rsidR="00FF2750" w:rsidRPr="0071055F" w:rsidRDefault="00FF2750" w:rsidP="00FF2750">
      <w:pPr>
        <w:numPr>
          <w:ilvl w:val="0"/>
          <w:numId w:val="89"/>
        </w:numPr>
        <w:suppressAutoHyphens w:val="0"/>
        <w:spacing w:before="120" w:line="288" w:lineRule="auto"/>
        <w:ind w:left="426"/>
        <w:jc w:val="both"/>
        <w:rPr>
          <w:rFonts w:ascii="Arial" w:hAnsi="Arial" w:cs="Arial"/>
          <w:color w:val="00B050"/>
          <w:spacing w:val="3"/>
          <w:sz w:val="22"/>
          <w:szCs w:val="22"/>
        </w:rPr>
      </w:pPr>
      <w:r w:rsidRPr="0071055F">
        <w:rPr>
          <w:rFonts w:ascii="Arial" w:hAnsi="Arial" w:cs="Arial"/>
          <w:color w:val="00B050"/>
          <w:spacing w:val="3"/>
          <w:sz w:val="22"/>
          <w:szCs w:val="22"/>
        </w:rPr>
        <w:t>Lokální a nadregionální USES a jeho ochranné pásmo (K 8)</w:t>
      </w:r>
      <w:r>
        <w:rPr>
          <w:rFonts w:ascii="Arial" w:hAnsi="Arial" w:cs="Arial"/>
          <w:color w:val="00B050"/>
          <w:spacing w:val="3"/>
          <w:sz w:val="22"/>
          <w:szCs w:val="22"/>
        </w:rPr>
        <w:t>;</w:t>
      </w:r>
    </w:p>
    <w:p w14:paraId="0E2701D5" w14:textId="77777777" w:rsidR="00FF2750" w:rsidRPr="0071055F" w:rsidRDefault="00FF2750" w:rsidP="00FF2750">
      <w:pPr>
        <w:numPr>
          <w:ilvl w:val="0"/>
          <w:numId w:val="89"/>
        </w:numPr>
        <w:suppressAutoHyphens w:val="0"/>
        <w:spacing w:before="120" w:line="288" w:lineRule="auto"/>
        <w:ind w:left="426"/>
        <w:jc w:val="both"/>
        <w:rPr>
          <w:rFonts w:ascii="Arial" w:hAnsi="Arial" w:cs="Arial"/>
          <w:color w:val="00B050"/>
          <w:spacing w:val="3"/>
          <w:sz w:val="22"/>
          <w:szCs w:val="22"/>
        </w:rPr>
      </w:pPr>
      <w:r w:rsidRPr="0071055F">
        <w:rPr>
          <w:rFonts w:ascii="Arial" w:hAnsi="Arial" w:cs="Arial"/>
          <w:color w:val="00B050"/>
          <w:spacing w:val="3"/>
          <w:sz w:val="22"/>
          <w:szCs w:val="22"/>
        </w:rPr>
        <w:t>Ochranné pásmo lesa</w:t>
      </w:r>
      <w:r>
        <w:rPr>
          <w:rFonts w:ascii="Arial" w:hAnsi="Arial" w:cs="Arial"/>
          <w:color w:val="00B050"/>
          <w:spacing w:val="3"/>
          <w:sz w:val="22"/>
          <w:szCs w:val="22"/>
        </w:rPr>
        <w:t>;</w:t>
      </w:r>
    </w:p>
    <w:p w14:paraId="097DFF4E" w14:textId="77777777" w:rsidR="00FF2750" w:rsidRPr="0071055F" w:rsidRDefault="00FF2750" w:rsidP="00FF2750">
      <w:pPr>
        <w:numPr>
          <w:ilvl w:val="0"/>
          <w:numId w:val="89"/>
        </w:numPr>
        <w:suppressAutoHyphens w:val="0"/>
        <w:spacing w:before="120" w:line="288" w:lineRule="auto"/>
        <w:ind w:left="426"/>
        <w:jc w:val="both"/>
        <w:rPr>
          <w:rFonts w:ascii="Arial" w:hAnsi="Arial" w:cs="Arial"/>
          <w:color w:val="00B050"/>
          <w:spacing w:val="3"/>
          <w:sz w:val="22"/>
          <w:szCs w:val="22"/>
        </w:rPr>
      </w:pPr>
      <w:r w:rsidRPr="0071055F">
        <w:rPr>
          <w:rFonts w:ascii="Arial" w:hAnsi="Arial" w:cs="Arial"/>
          <w:color w:val="00B050"/>
          <w:spacing w:val="3"/>
          <w:sz w:val="22"/>
          <w:szCs w:val="22"/>
        </w:rPr>
        <w:t xml:space="preserve">Hranice záplavy Q </w:t>
      </w:r>
      <w:r w:rsidRPr="0071055F">
        <w:rPr>
          <w:rFonts w:ascii="Arial" w:hAnsi="Arial" w:cs="Arial"/>
          <w:color w:val="00B050"/>
          <w:spacing w:val="3"/>
          <w:sz w:val="22"/>
          <w:szCs w:val="22"/>
          <w:vertAlign w:val="subscript"/>
        </w:rPr>
        <w:t>100</w:t>
      </w:r>
      <w:r>
        <w:rPr>
          <w:rFonts w:ascii="Arial" w:hAnsi="Arial" w:cs="Arial"/>
          <w:color w:val="00B050"/>
          <w:spacing w:val="3"/>
          <w:sz w:val="22"/>
          <w:szCs w:val="22"/>
        </w:rPr>
        <w:t>.</w:t>
      </w:r>
    </w:p>
    <w:p w14:paraId="41B80C48" w14:textId="77777777" w:rsidR="00FF2750" w:rsidRPr="0071055F" w:rsidRDefault="00FF2750" w:rsidP="00FF2750">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71055F">
        <w:rPr>
          <w:rFonts w:ascii="Arial" w:hAnsi="Arial" w:cs="Arial"/>
          <w:b/>
          <w:color w:val="00B050"/>
          <w:spacing w:val="3"/>
          <w:sz w:val="22"/>
          <w:szCs w:val="22"/>
        </w:rPr>
        <w:t>DOPRAVA</w:t>
      </w:r>
    </w:p>
    <w:p w14:paraId="4CBC01CB" w14:textId="77777777" w:rsidR="00FF2750" w:rsidRPr="0071055F" w:rsidRDefault="00FF2750" w:rsidP="00FF2750">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71055F">
        <w:rPr>
          <w:rFonts w:ascii="Arial" w:hAnsi="Arial" w:cs="Arial"/>
          <w:b/>
          <w:color w:val="00B050"/>
          <w:spacing w:val="3"/>
          <w:sz w:val="22"/>
          <w:szCs w:val="22"/>
        </w:rPr>
        <w:t>Silniční ochranné pásmo</w:t>
      </w:r>
    </w:p>
    <w:p w14:paraId="639DA834" w14:textId="77777777" w:rsidR="00FF2750" w:rsidRDefault="00FF2750" w:rsidP="00FF2750">
      <w:pPr>
        <w:spacing w:before="120" w:line="288" w:lineRule="auto"/>
        <w:ind w:firstLine="709"/>
        <w:jc w:val="both"/>
        <w:rPr>
          <w:rFonts w:ascii="Arial" w:hAnsi="Arial" w:cs="Arial"/>
          <w:color w:val="00B050"/>
          <w:spacing w:val="3"/>
          <w:sz w:val="22"/>
          <w:szCs w:val="22"/>
        </w:rPr>
      </w:pPr>
      <w:r w:rsidRPr="0071055F">
        <w:rPr>
          <w:rFonts w:ascii="Arial" w:hAnsi="Arial" w:cs="Arial"/>
          <w:color w:val="00B050"/>
          <w:spacing w:val="3"/>
          <w:sz w:val="22"/>
          <w:szCs w:val="22"/>
        </w:rPr>
        <w:t>Toto ochranné pásmo upravuje zákon č. 13/1997 Sb.</w:t>
      </w:r>
      <w:r>
        <w:rPr>
          <w:rFonts w:ascii="Arial" w:hAnsi="Arial" w:cs="Arial"/>
          <w:color w:val="00B050"/>
          <w:spacing w:val="3"/>
          <w:sz w:val="22"/>
          <w:szCs w:val="22"/>
        </w:rPr>
        <w:t>,</w:t>
      </w:r>
      <w:r w:rsidRPr="0071055F">
        <w:rPr>
          <w:rFonts w:ascii="Arial" w:hAnsi="Arial" w:cs="Arial"/>
          <w:color w:val="00B050"/>
          <w:spacing w:val="3"/>
          <w:sz w:val="22"/>
          <w:szCs w:val="22"/>
        </w:rPr>
        <w:t xml:space="preserve"> o pozemních komunikacích.</w:t>
      </w:r>
    </w:p>
    <w:p w14:paraId="324ABC77" w14:textId="77777777" w:rsidR="00FF2750" w:rsidRPr="0071055F" w:rsidRDefault="00FF2750" w:rsidP="00FF2750">
      <w:pPr>
        <w:spacing w:before="120" w:line="288" w:lineRule="auto"/>
        <w:ind w:firstLine="709"/>
        <w:jc w:val="both"/>
        <w:rPr>
          <w:rFonts w:ascii="Arial" w:hAnsi="Arial" w:cs="Arial"/>
          <w:color w:val="00B050"/>
          <w:spacing w:val="3"/>
          <w:sz w:val="22"/>
          <w:szCs w:val="22"/>
        </w:rPr>
      </w:pPr>
    </w:p>
    <w:p w14:paraId="782CF872" w14:textId="77777777" w:rsidR="00FF2750" w:rsidRPr="0071055F" w:rsidRDefault="00FF2750" w:rsidP="00FF2750">
      <w:pPr>
        <w:spacing w:before="120" w:line="288" w:lineRule="auto"/>
        <w:ind w:firstLine="709"/>
        <w:jc w:val="both"/>
        <w:rPr>
          <w:rFonts w:ascii="Arial" w:hAnsi="Arial" w:cs="Arial"/>
          <w:color w:val="00B050"/>
          <w:spacing w:val="3"/>
          <w:sz w:val="22"/>
          <w:szCs w:val="22"/>
        </w:rPr>
      </w:pPr>
      <w:r w:rsidRPr="0071055F">
        <w:rPr>
          <w:rFonts w:ascii="Arial" w:hAnsi="Arial" w:cs="Arial"/>
          <w:color w:val="00B050"/>
          <w:spacing w:val="3"/>
          <w:sz w:val="22"/>
          <w:szCs w:val="22"/>
        </w:rPr>
        <w:t>Zřizuje se na dálnicích, silnicích a místních komunikacích I. nebo II. třídy mimo zastavěné území obcí. Silniční ochranné pásmo činí:</w:t>
      </w:r>
    </w:p>
    <w:p w14:paraId="704417BC" w14:textId="77777777" w:rsidR="00FF2750" w:rsidRPr="0071055F" w:rsidRDefault="00FF2750" w:rsidP="00FF2750">
      <w:pPr>
        <w:numPr>
          <w:ilvl w:val="0"/>
          <w:numId w:val="90"/>
        </w:numPr>
        <w:suppressAutoHyphens w:val="0"/>
        <w:spacing w:before="120" w:line="288" w:lineRule="auto"/>
        <w:ind w:left="426"/>
        <w:jc w:val="both"/>
        <w:rPr>
          <w:rFonts w:ascii="Arial" w:hAnsi="Arial" w:cs="Arial"/>
          <w:color w:val="00B050"/>
          <w:spacing w:val="3"/>
          <w:sz w:val="22"/>
          <w:szCs w:val="22"/>
        </w:rPr>
      </w:pPr>
      <w:r w:rsidRPr="0071055F">
        <w:rPr>
          <w:rFonts w:ascii="Arial" w:hAnsi="Arial" w:cs="Arial"/>
          <w:color w:val="00B050"/>
          <w:spacing w:val="3"/>
          <w:sz w:val="22"/>
          <w:szCs w:val="22"/>
        </w:rPr>
        <w:lastRenderedPageBreak/>
        <w:t>15 m kolmo od osy vozovky nebo od osy přilehlého pásu silnice II. třídy nebo III. třídy a</w:t>
      </w:r>
      <w:r>
        <w:rPr>
          <w:rFonts w:ascii="Arial" w:hAnsi="Arial" w:cs="Arial"/>
          <w:color w:val="00B050"/>
          <w:spacing w:val="3"/>
          <w:sz w:val="22"/>
          <w:szCs w:val="22"/>
        </w:rPr>
        <w:t> </w:t>
      </w:r>
      <w:r w:rsidRPr="0071055F">
        <w:rPr>
          <w:rFonts w:ascii="Arial" w:hAnsi="Arial" w:cs="Arial"/>
          <w:color w:val="00B050"/>
          <w:spacing w:val="3"/>
          <w:sz w:val="22"/>
          <w:szCs w:val="22"/>
        </w:rPr>
        <w:t>místní komunikace II. třídy.</w:t>
      </w:r>
    </w:p>
    <w:p w14:paraId="7F4F7DE8" w14:textId="77777777" w:rsidR="00FF2750" w:rsidRPr="0071055F" w:rsidRDefault="00FF2750" w:rsidP="00FF2750">
      <w:pPr>
        <w:spacing w:before="120" w:line="288" w:lineRule="auto"/>
        <w:ind w:firstLine="709"/>
        <w:jc w:val="both"/>
        <w:rPr>
          <w:rFonts w:ascii="Arial" w:hAnsi="Arial" w:cs="Arial"/>
          <w:color w:val="00B050"/>
          <w:spacing w:val="3"/>
          <w:sz w:val="22"/>
          <w:szCs w:val="22"/>
        </w:rPr>
      </w:pPr>
      <w:r w:rsidRPr="0071055F">
        <w:rPr>
          <w:rFonts w:ascii="Arial" w:hAnsi="Arial" w:cs="Arial"/>
          <w:color w:val="00B050"/>
          <w:spacing w:val="3"/>
          <w:sz w:val="22"/>
          <w:szCs w:val="22"/>
        </w:rPr>
        <w:t>V silničních ochranných pásmech je zakázáno mimo jiné provádět stavby a stavební práce. Výjimky z ochranného pásma uděluje silniční správní úřad za podmínek uvedených v</w:t>
      </w:r>
      <w:r>
        <w:rPr>
          <w:rFonts w:ascii="Arial" w:hAnsi="Arial" w:cs="Arial"/>
          <w:color w:val="00B050"/>
          <w:spacing w:val="3"/>
          <w:sz w:val="22"/>
          <w:szCs w:val="22"/>
        </w:rPr>
        <w:t> </w:t>
      </w:r>
      <w:r w:rsidRPr="0071055F">
        <w:rPr>
          <w:rFonts w:ascii="Arial" w:hAnsi="Arial" w:cs="Arial"/>
          <w:color w:val="00B050"/>
          <w:spacing w:val="3"/>
          <w:sz w:val="22"/>
          <w:szCs w:val="22"/>
        </w:rPr>
        <w:t>zákoně.</w:t>
      </w:r>
    </w:p>
    <w:p w14:paraId="279E1BCD" w14:textId="77777777" w:rsidR="00FF2750" w:rsidRPr="0071055F" w:rsidRDefault="00FF2750" w:rsidP="00FF2750">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71055F">
        <w:rPr>
          <w:rFonts w:ascii="Arial" w:hAnsi="Arial" w:cs="Arial"/>
          <w:b/>
          <w:color w:val="00B050"/>
          <w:spacing w:val="3"/>
          <w:sz w:val="22"/>
          <w:szCs w:val="22"/>
        </w:rPr>
        <w:t>OCHRANNÉ PÁSMO DRÁHY</w:t>
      </w:r>
    </w:p>
    <w:p w14:paraId="779D5E50" w14:textId="77777777" w:rsidR="00FF2750" w:rsidRPr="0071055F" w:rsidRDefault="00FF2750" w:rsidP="00FF2750">
      <w:pPr>
        <w:spacing w:before="120" w:line="288" w:lineRule="auto"/>
        <w:ind w:firstLine="709"/>
        <w:jc w:val="both"/>
        <w:rPr>
          <w:rFonts w:ascii="Arial" w:hAnsi="Arial" w:cs="Arial"/>
          <w:color w:val="00B050"/>
          <w:spacing w:val="3"/>
          <w:sz w:val="22"/>
          <w:szCs w:val="22"/>
        </w:rPr>
      </w:pPr>
      <w:r w:rsidRPr="0071055F">
        <w:rPr>
          <w:rFonts w:ascii="Arial" w:hAnsi="Arial" w:cs="Arial"/>
          <w:color w:val="00B050"/>
          <w:spacing w:val="3"/>
          <w:sz w:val="22"/>
          <w:szCs w:val="22"/>
        </w:rPr>
        <w:t>Ustanovení o ochranném pásmu obsahuje zákon o drahách. Ochranné pásmo dráhy činí:</w:t>
      </w:r>
    </w:p>
    <w:p w14:paraId="6B3810E8" w14:textId="77777777" w:rsidR="00FF2750" w:rsidRPr="0071055F" w:rsidRDefault="00FF2750" w:rsidP="00FF2750">
      <w:pPr>
        <w:numPr>
          <w:ilvl w:val="0"/>
          <w:numId w:val="90"/>
        </w:numPr>
        <w:suppressAutoHyphens w:val="0"/>
        <w:spacing w:before="120" w:line="288" w:lineRule="auto"/>
        <w:ind w:left="426"/>
        <w:jc w:val="both"/>
        <w:rPr>
          <w:rFonts w:ascii="Arial" w:hAnsi="Arial" w:cs="Arial"/>
          <w:color w:val="00B050"/>
          <w:spacing w:val="3"/>
          <w:sz w:val="22"/>
          <w:szCs w:val="22"/>
        </w:rPr>
      </w:pPr>
      <w:r w:rsidRPr="0071055F">
        <w:rPr>
          <w:rFonts w:ascii="Arial" w:hAnsi="Arial" w:cs="Arial"/>
          <w:color w:val="00B050"/>
          <w:spacing w:val="3"/>
          <w:sz w:val="22"/>
          <w:szCs w:val="22"/>
        </w:rPr>
        <w:t>u drah celostátních (tratě tvořící souvislou železniční síť) 60 m od osy krajní koleje, nejméně však 30 m od hranic obvodu dráhy (tj. od hranic drážních pozemků)</w:t>
      </w:r>
    </w:p>
    <w:p w14:paraId="60ED7935" w14:textId="77777777" w:rsidR="00FF2750" w:rsidRPr="0071055F" w:rsidRDefault="00FF2750" w:rsidP="00FF2750">
      <w:pPr>
        <w:spacing w:before="120" w:line="288" w:lineRule="auto"/>
        <w:ind w:firstLine="709"/>
        <w:jc w:val="both"/>
        <w:rPr>
          <w:rFonts w:ascii="Arial" w:hAnsi="Arial" w:cs="Arial"/>
          <w:color w:val="00B050"/>
          <w:spacing w:val="3"/>
          <w:sz w:val="22"/>
          <w:szCs w:val="22"/>
        </w:rPr>
      </w:pPr>
      <w:r w:rsidRPr="0071055F">
        <w:rPr>
          <w:rFonts w:ascii="Arial" w:hAnsi="Arial" w:cs="Arial"/>
          <w:color w:val="00B050"/>
          <w:spacing w:val="3"/>
          <w:sz w:val="22"/>
          <w:szCs w:val="22"/>
        </w:rPr>
        <w:t>V ochranném pásmu je povoleno stavět pouze drážní stavby. Stavební činnost neželezničního investora je možná pouze s nutným souhlasem Drážního úřadu.</w:t>
      </w:r>
    </w:p>
    <w:p w14:paraId="114FD9DF" w14:textId="77777777" w:rsidR="00FF2750" w:rsidRDefault="00FF2750" w:rsidP="00FF2750">
      <w:pPr>
        <w:spacing w:before="120" w:line="288" w:lineRule="auto"/>
        <w:jc w:val="both"/>
        <w:rPr>
          <w:rFonts w:ascii="Arial" w:hAnsi="Arial" w:cs="Arial"/>
          <w:color w:val="BF8F00"/>
          <w:sz w:val="22"/>
          <w:szCs w:val="22"/>
        </w:rPr>
      </w:pPr>
    </w:p>
    <w:p w14:paraId="3F65FDE7" w14:textId="77777777" w:rsidR="00FF2750" w:rsidRPr="0071055F" w:rsidRDefault="00FF2750" w:rsidP="00FF2750">
      <w:pPr>
        <w:spacing w:before="120" w:line="288" w:lineRule="auto"/>
        <w:jc w:val="both"/>
        <w:rPr>
          <w:rFonts w:ascii="Arial" w:hAnsi="Arial" w:cs="Arial"/>
          <w:color w:val="BF8F00"/>
          <w:sz w:val="22"/>
          <w:szCs w:val="22"/>
        </w:rPr>
      </w:pPr>
    </w:p>
    <w:p w14:paraId="46CA621B" w14:textId="77777777" w:rsidR="00FF2750" w:rsidRPr="00345BC1" w:rsidRDefault="00FF2750" w:rsidP="00FF2750">
      <w:pPr>
        <w:spacing w:before="120" w:line="288" w:lineRule="auto"/>
        <w:jc w:val="both"/>
        <w:rPr>
          <w:rFonts w:ascii="Arial" w:hAnsi="Arial" w:cs="Arial"/>
          <w:b/>
          <w:color w:val="BF8F00"/>
        </w:rPr>
      </w:pPr>
      <w:r w:rsidRPr="00345BC1">
        <w:rPr>
          <w:rFonts w:ascii="Arial" w:hAnsi="Arial" w:cs="Arial"/>
          <w:b/>
          <w:color w:val="BF8F00"/>
        </w:rPr>
        <w:t xml:space="preserve">(Z2) ZMĚNA Č. 2 . (TEXT PŘEVZAT Z ODŮVODNĚNÍ  ZMĚNY Č. 2) </w:t>
      </w:r>
    </w:p>
    <w:p w14:paraId="5D2281D2" w14:textId="77777777" w:rsidR="00FF2750" w:rsidRDefault="00FF2750" w:rsidP="00FF2750">
      <w:pPr>
        <w:spacing w:before="120" w:line="288" w:lineRule="auto"/>
        <w:jc w:val="both"/>
        <w:rPr>
          <w:rFonts w:ascii="Arial" w:hAnsi="Arial" w:cs="Arial"/>
          <w:b/>
          <w:color w:val="BF8F00"/>
          <w:sz w:val="22"/>
          <w:szCs w:val="22"/>
        </w:rPr>
      </w:pPr>
    </w:p>
    <w:p w14:paraId="0FDB313B" w14:textId="77777777" w:rsidR="00FF2750" w:rsidRPr="001E2FD8" w:rsidRDefault="00FF2750" w:rsidP="00FF2750">
      <w:pPr>
        <w:spacing w:before="120" w:line="288" w:lineRule="auto"/>
        <w:jc w:val="both"/>
        <w:rPr>
          <w:rFonts w:ascii="Arial" w:hAnsi="Arial" w:cs="Arial"/>
          <w:b/>
          <w:color w:val="BF8F00"/>
          <w:sz w:val="22"/>
          <w:szCs w:val="22"/>
        </w:rPr>
      </w:pPr>
      <w:r w:rsidRPr="001E2FD8">
        <w:rPr>
          <w:rFonts w:ascii="Arial" w:hAnsi="Arial" w:cs="Arial"/>
          <w:b/>
          <w:color w:val="BF8F00"/>
          <w:sz w:val="22"/>
          <w:szCs w:val="22"/>
        </w:rPr>
        <w:t>OMEZENÍ NAVRŽENÝCH ROZVOJOVÝCH PLOCH STÁVAJÍCÍ ENERGETICKOU A SPOJOVOU INFRASTRUKTUROU</w:t>
      </w:r>
    </w:p>
    <w:p w14:paraId="66FC5309"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r w:rsidRPr="00FF2750">
        <w:rPr>
          <w:rFonts w:ascii="Arial" w:hAnsi="Arial" w:cs="Arial"/>
          <w:color w:val="BF8F00"/>
          <w:sz w:val="22"/>
          <w:szCs w:val="22"/>
        </w:rPr>
        <w:t>Níže uvedené plochy jsou omezovány ochrannými nebo bezpečnostními pásmy technické infrastruktury. Jejich vymístění je možné po dohodě s provozovatelem, dle platné legislativy přeložku hradí ten, kdo ji vyvolal. Velmi problematické se jeví překládání vedení vn a vvn v ploše 2Z3.</w:t>
      </w:r>
    </w:p>
    <w:p w14:paraId="790A7FB8"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22D2B4ED"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08739DFA"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568023EF"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0CEF76CC"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59AD23F5"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62496284"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34554D1A"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477BAE8B"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6EE3EB00"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38BB5D68"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06FB22BF"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p>
    <w:p w14:paraId="6B70A332"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5B319CA4"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19531393"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2322B9A2"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06383D6B"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3698E2E0"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22447D46"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3886AE5D"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21DBE7A6"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0C52982F"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57A5047C"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70A9F8D6"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43BC2A3F"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24AD7A25"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2E33AD51"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0F8CC808"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26E298F3"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5E126509"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02BB0468"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5BA4C01A"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5A6A99BC"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4698AE8B" w14:textId="77777777" w:rsidR="00FF2750" w:rsidRPr="00FF2750" w:rsidRDefault="00FF2750" w:rsidP="00FF2750">
      <w:pPr>
        <w:spacing w:after="29" w:line="266" w:lineRule="auto"/>
        <w:ind w:left="700" w:right="283" w:hanging="710"/>
        <w:rPr>
          <w:rFonts w:ascii="Arial" w:eastAsia="Calibri" w:hAnsi="Arial" w:cs="Arial"/>
          <w:b/>
          <w:color w:val="BF8F00"/>
          <w:sz w:val="26"/>
        </w:rPr>
      </w:pPr>
      <w:r w:rsidRPr="00FF2750">
        <w:rPr>
          <w:rFonts w:ascii="Arial" w:eastAsia="Calibri" w:hAnsi="Arial" w:cs="Arial"/>
          <w:b/>
          <w:color w:val="BF8F00"/>
          <w:sz w:val="26"/>
        </w:rPr>
        <w:t xml:space="preserve">Ochranná a bezpečnostní pásma energetických a spojových zařízení </w:t>
      </w:r>
    </w:p>
    <w:p w14:paraId="6A6CDDE4"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r w:rsidRPr="00FF2750">
        <w:rPr>
          <w:rFonts w:ascii="Arial" w:eastAsia="Calibri" w:hAnsi="Arial" w:cs="Arial"/>
          <w:b/>
          <w:noProof/>
          <w:color w:val="BF8F00"/>
          <w:sz w:val="26"/>
          <w:lang w:eastAsia="cs-CZ"/>
        </w:rPr>
        <w:drawing>
          <wp:anchor distT="0" distB="0" distL="114300" distR="114300" simplePos="0" relativeHeight="251746304" behindDoc="0" locked="0" layoutInCell="1" allowOverlap="1" wp14:anchorId="0E6B4E93" wp14:editId="45B20DCE">
            <wp:simplePos x="0" y="0"/>
            <wp:positionH relativeFrom="margin">
              <wp:posOffset>-107950</wp:posOffset>
            </wp:positionH>
            <wp:positionV relativeFrom="margin">
              <wp:posOffset>504825</wp:posOffset>
            </wp:positionV>
            <wp:extent cx="5478145" cy="4806315"/>
            <wp:effectExtent l="38100" t="38100" r="46355" b="32385"/>
            <wp:wrapSquare wrapText="bothSides"/>
            <wp:docPr id="25290" name="Obrázek 25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8"/>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5478145" cy="4806315"/>
                    </a:xfrm>
                    <a:prstGeom prst="rect">
                      <a:avLst/>
                    </a:prstGeom>
                    <a:noFill/>
                    <a:ln w="38100">
                      <a:solidFill>
                        <a:srgbClr val="BF8F00"/>
                      </a:solidFill>
                      <a:miter lim="800000"/>
                      <a:headEnd/>
                      <a:tailEnd/>
                    </a:ln>
                  </pic:spPr>
                </pic:pic>
              </a:graphicData>
            </a:graphic>
            <wp14:sizeRelH relativeFrom="page">
              <wp14:pctWidth>0</wp14:pctWidth>
            </wp14:sizeRelH>
            <wp14:sizeRelV relativeFrom="page">
              <wp14:pctHeight>0</wp14:pctHeight>
            </wp14:sizeRelV>
          </wp:anchor>
        </w:drawing>
      </w:r>
    </w:p>
    <w:p w14:paraId="6D895409" w14:textId="77777777" w:rsidR="00FF2750" w:rsidRPr="00FF2750" w:rsidRDefault="00FF2750" w:rsidP="00FF2750">
      <w:pPr>
        <w:spacing w:after="29" w:line="266" w:lineRule="auto"/>
        <w:ind w:left="700" w:right="283" w:hanging="710"/>
        <w:rPr>
          <w:rFonts w:ascii="Arial" w:hAnsi="Arial" w:cs="Arial"/>
          <w:b/>
          <w:color w:val="BF8F00"/>
        </w:rPr>
      </w:pPr>
      <w:r w:rsidRPr="00FF2750">
        <w:rPr>
          <w:rFonts w:ascii="Arial" w:eastAsia="Calibri" w:hAnsi="Arial" w:cs="Arial"/>
          <w:b/>
          <w:color w:val="BF8F00"/>
          <w:sz w:val="26"/>
        </w:rPr>
        <w:t>Elektroenergetika</w:t>
      </w:r>
    </w:p>
    <w:p w14:paraId="4869BFCD"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r w:rsidRPr="00FF2750">
        <w:rPr>
          <w:rFonts w:ascii="Arial" w:hAnsi="Arial" w:cs="Arial"/>
          <w:color w:val="BF8F00"/>
          <w:sz w:val="22"/>
          <w:szCs w:val="22"/>
        </w:rPr>
        <w:t xml:space="preserve">Ochranné pásmo nadzemního vedení je souvislý prostor vymezený svislými rovinami vedenými po obou stranách vedení ve vodorovné vzdálenosti mřené kolmo na vedení, </w:t>
      </w:r>
      <w:r w:rsidRPr="00FF2750">
        <w:rPr>
          <w:rFonts w:ascii="Arial" w:hAnsi="Arial" w:cs="Arial"/>
          <w:noProof/>
          <w:color w:val="BF8F00"/>
          <w:sz w:val="22"/>
          <w:szCs w:val="22"/>
          <w:lang w:eastAsia="cs-CZ"/>
        </w:rPr>
        <w:drawing>
          <wp:inline distT="0" distB="0" distL="0" distR="0" wp14:anchorId="5AC87EB6" wp14:editId="58B1F504">
            <wp:extent cx="15875" cy="15875"/>
            <wp:effectExtent l="0" t="0" r="0" b="0"/>
            <wp:docPr id="25285" name="Obrázek 25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7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FF2750">
        <w:rPr>
          <w:rFonts w:ascii="Arial" w:hAnsi="Arial" w:cs="Arial"/>
          <w:color w:val="BF8F00"/>
          <w:sz w:val="22"/>
          <w:szCs w:val="22"/>
        </w:rPr>
        <w:t>která činí od krajního vodiče vedení na obě jeho strany</w:t>
      </w:r>
    </w:p>
    <w:p w14:paraId="1BEFEFEB"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jc w:val="both"/>
        <w:rPr>
          <w:rFonts w:ascii="Arial" w:hAnsi="Arial" w:cs="Arial"/>
          <w:color w:val="BF8F00"/>
          <w:sz w:val="22"/>
          <w:szCs w:val="22"/>
        </w:rPr>
      </w:pPr>
      <w:r w:rsidRPr="00FF2750">
        <w:rPr>
          <w:rFonts w:ascii="Arial" w:hAnsi="Arial" w:cs="Arial"/>
          <w:color w:val="BF8F00"/>
          <w:sz w:val="22"/>
          <w:szCs w:val="22"/>
        </w:rPr>
        <w:t>a) u napětí nad 1 kV a do 35 kV včetně</w:t>
      </w:r>
    </w:p>
    <w:p w14:paraId="5ED3D90B" w14:textId="77777777" w:rsidR="00FF2750" w:rsidRPr="00FF2750" w:rsidRDefault="00FF2750" w:rsidP="00FF2750">
      <w:pPr>
        <w:pStyle w:val="Znaka1"/>
        <w:numPr>
          <w:ilvl w:val="0"/>
          <w:numId w:val="88"/>
        </w:numPr>
        <w:spacing w:before="120" w:line="288" w:lineRule="auto"/>
        <w:ind w:left="357" w:hanging="357"/>
        <w:jc w:val="both"/>
        <w:rPr>
          <w:rFonts w:cs="Arial"/>
          <w:color w:val="BF8F00"/>
          <w:sz w:val="22"/>
          <w:szCs w:val="22"/>
        </w:rPr>
      </w:pPr>
      <w:r w:rsidRPr="00FF2750">
        <w:rPr>
          <w:rFonts w:cs="Arial"/>
          <w:color w:val="BF8F00"/>
          <w:sz w:val="22"/>
          <w:szCs w:val="22"/>
        </w:rPr>
        <w:t>pro vodiče bez izolace</w:t>
      </w:r>
      <w:r w:rsidRPr="00FF2750">
        <w:rPr>
          <w:rFonts w:cs="Arial"/>
          <w:color w:val="BF8F00"/>
          <w:sz w:val="22"/>
          <w:szCs w:val="22"/>
        </w:rPr>
        <w:tab/>
      </w:r>
      <w:r w:rsidRPr="00FF2750">
        <w:rPr>
          <w:rFonts w:cs="Arial"/>
          <w:color w:val="BF8F00"/>
          <w:sz w:val="22"/>
          <w:szCs w:val="22"/>
        </w:rPr>
        <w:tab/>
      </w:r>
      <w:r w:rsidRPr="00FF2750">
        <w:rPr>
          <w:rFonts w:cs="Arial"/>
          <w:color w:val="BF8F00"/>
          <w:sz w:val="22"/>
          <w:szCs w:val="22"/>
        </w:rPr>
        <w:tab/>
      </w:r>
      <w:r w:rsidRPr="00FF2750">
        <w:rPr>
          <w:rFonts w:cs="Arial"/>
          <w:color w:val="BF8F00"/>
          <w:sz w:val="22"/>
          <w:szCs w:val="22"/>
        </w:rPr>
        <w:tab/>
      </w:r>
      <w:r w:rsidRPr="00FF2750">
        <w:rPr>
          <w:rFonts w:cs="Arial"/>
          <w:color w:val="BF8F00"/>
          <w:sz w:val="22"/>
          <w:szCs w:val="22"/>
        </w:rPr>
        <w:tab/>
        <w:t>7 m</w:t>
      </w:r>
    </w:p>
    <w:p w14:paraId="003A7090" w14:textId="77777777" w:rsidR="00FF2750" w:rsidRPr="00FF2750" w:rsidRDefault="00FF2750" w:rsidP="00FF2750">
      <w:pPr>
        <w:pStyle w:val="Znaka1"/>
        <w:numPr>
          <w:ilvl w:val="0"/>
          <w:numId w:val="88"/>
        </w:numPr>
        <w:spacing w:before="120" w:line="288" w:lineRule="auto"/>
        <w:ind w:left="357" w:hanging="357"/>
        <w:jc w:val="both"/>
        <w:rPr>
          <w:rFonts w:cs="Arial"/>
          <w:color w:val="BF8F00"/>
          <w:sz w:val="22"/>
          <w:szCs w:val="22"/>
        </w:rPr>
      </w:pPr>
      <w:r w:rsidRPr="00FF2750">
        <w:rPr>
          <w:rFonts w:cs="Arial"/>
          <w:color w:val="BF8F00"/>
          <w:sz w:val="22"/>
          <w:szCs w:val="22"/>
        </w:rPr>
        <w:t xml:space="preserve">pro vodiče s izolací základní </w:t>
      </w:r>
      <w:r w:rsidRPr="00FF2750">
        <w:rPr>
          <w:rFonts w:cs="Arial"/>
          <w:color w:val="BF8F00"/>
          <w:sz w:val="22"/>
          <w:szCs w:val="22"/>
        </w:rPr>
        <w:tab/>
      </w:r>
      <w:r w:rsidRPr="00FF2750">
        <w:rPr>
          <w:rFonts w:cs="Arial"/>
          <w:color w:val="BF8F00"/>
          <w:sz w:val="22"/>
          <w:szCs w:val="22"/>
        </w:rPr>
        <w:tab/>
      </w:r>
      <w:r w:rsidRPr="00FF2750">
        <w:rPr>
          <w:rFonts w:cs="Arial"/>
          <w:color w:val="BF8F00"/>
          <w:sz w:val="22"/>
          <w:szCs w:val="22"/>
        </w:rPr>
        <w:tab/>
      </w:r>
      <w:r w:rsidRPr="00FF2750">
        <w:rPr>
          <w:rFonts w:cs="Arial"/>
          <w:color w:val="BF8F00"/>
          <w:sz w:val="22"/>
          <w:szCs w:val="22"/>
        </w:rPr>
        <w:tab/>
        <w:t xml:space="preserve">2 m </w:t>
      </w:r>
    </w:p>
    <w:p w14:paraId="5CFCF790" w14:textId="77777777" w:rsidR="00FF2750" w:rsidRPr="00FF2750" w:rsidRDefault="00FF2750" w:rsidP="00FF2750">
      <w:pPr>
        <w:pStyle w:val="Znaka1"/>
        <w:numPr>
          <w:ilvl w:val="0"/>
          <w:numId w:val="88"/>
        </w:numPr>
        <w:spacing w:before="120" w:line="288" w:lineRule="auto"/>
        <w:ind w:left="357" w:hanging="357"/>
        <w:jc w:val="both"/>
        <w:rPr>
          <w:rFonts w:cs="Arial"/>
          <w:color w:val="BF8F00"/>
          <w:sz w:val="22"/>
          <w:szCs w:val="22"/>
        </w:rPr>
      </w:pPr>
      <w:r w:rsidRPr="00FF2750">
        <w:rPr>
          <w:rFonts w:cs="Arial"/>
          <w:color w:val="BF8F00"/>
          <w:sz w:val="22"/>
          <w:szCs w:val="22"/>
        </w:rPr>
        <w:t>pro závěsná kabelová vedení</w:t>
      </w:r>
      <w:r w:rsidRPr="00FF2750">
        <w:rPr>
          <w:rFonts w:cs="Arial"/>
          <w:color w:val="BF8F00"/>
          <w:sz w:val="22"/>
          <w:szCs w:val="22"/>
        </w:rPr>
        <w:tab/>
      </w:r>
      <w:r w:rsidRPr="00FF2750">
        <w:rPr>
          <w:rFonts w:cs="Arial"/>
          <w:color w:val="BF8F00"/>
          <w:sz w:val="22"/>
          <w:szCs w:val="22"/>
        </w:rPr>
        <w:tab/>
      </w:r>
      <w:r w:rsidRPr="00FF2750">
        <w:rPr>
          <w:rFonts w:cs="Arial"/>
          <w:color w:val="BF8F00"/>
          <w:sz w:val="22"/>
          <w:szCs w:val="22"/>
        </w:rPr>
        <w:tab/>
      </w:r>
      <w:r w:rsidRPr="00FF2750">
        <w:rPr>
          <w:rFonts w:cs="Arial"/>
          <w:color w:val="BF8F00"/>
          <w:sz w:val="22"/>
          <w:szCs w:val="22"/>
        </w:rPr>
        <w:tab/>
        <w:t>1 m</w:t>
      </w:r>
    </w:p>
    <w:p w14:paraId="6FB23271"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jc w:val="both"/>
        <w:rPr>
          <w:rFonts w:ascii="Arial" w:hAnsi="Arial" w:cs="Arial"/>
          <w:color w:val="BF8F00"/>
          <w:sz w:val="22"/>
          <w:szCs w:val="22"/>
        </w:rPr>
      </w:pPr>
      <w:r w:rsidRPr="00FF2750">
        <w:rPr>
          <w:rFonts w:ascii="Arial" w:hAnsi="Arial" w:cs="Arial"/>
          <w:color w:val="BF8F00"/>
          <w:sz w:val="22"/>
          <w:szCs w:val="22"/>
        </w:rPr>
        <w:t>b) u napětí nad 35 kV do 110 kV včetně</w:t>
      </w:r>
      <w:r w:rsidRPr="00FF2750">
        <w:rPr>
          <w:rFonts w:ascii="Arial" w:hAnsi="Arial" w:cs="Arial"/>
          <w:color w:val="BF8F00"/>
          <w:sz w:val="22"/>
          <w:szCs w:val="22"/>
        </w:rPr>
        <w:tab/>
        <w:t>12 m,</w:t>
      </w:r>
    </w:p>
    <w:p w14:paraId="22460D31" w14:textId="77777777" w:rsidR="00FF2750" w:rsidRPr="00FF2750" w:rsidRDefault="00FF2750" w:rsidP="00FF2750">
      <w:pPr>
        <w:pStyle w:val="Zkladn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line="288" w:lineRule="auto"/>
        <w:ind w:firstLine="709"/>
        <w:jc w:val="both"/>
        <w:rPr>
          <w:rFonts w:ascii="Arial" w:hAnsi="Arial" w:cs="Arial"/>
          <w:color w:val="BF8F00"/>
          <w:sz w:val="22"/>
          <w:szCs w:val="22"/>
        </w:rPr>
      </w:pPr>
      <w:r w:rsidRPr="00FF2750">
        <w:rPr>
          <w:rFonts w:ascii="Arial" w:hAnsi="Arial" w:cs="Arial"/>
          <w:color w:val="BF8F00"/>
          <w:sz w:val="22"/>
          <w:szCs w:val="22"/>
        </w:rPr>
        <w:t>Ochranné pásmo podzemního vedení elektrizační soustavy do 110 kV včetně a vedení řídicí, měřicí a zabezpečovací techniky činí 1 m po obou stranách krajního kabelu. Ochranné pásmo elektrické stanice je vymezeno svislými rovinami vedenými ve vodorovné vzdálenosti</w:t>
      </w:r>
    </w:p>
    <w:p w14:paraId="7474D941" w14:textId="77777777" w:rsidR="00FF2750" w:rsidRPr="00FF2750" w:rsidRDefault="00FF2750" w:rsidP="00FF2750">
      <w:pPr>
        <w:numPr>
          <w:ilvl w:val="0"/>
          <w:numId w:val="95"/>
        </w:numPr>
        <w:suppressAutoHyphens w:val="0"/>
        <w:spacing w:after="287" w:line="247" w:lineRule="auto"/>
        <w:ind w:right="14"/>
        <w:jc w:val="both"/>
        <w:rPr>
          <w:rFonts w:ascii="Arial" w:hAnsi="Arial" w:cs="Arial"/>
          <w:color w:val="BF8F00"/>
          <w:sz w:val="22"/>
          <w:szCs w:val="22"/>
        </w:rPr>
      </w:pPr>
      <w:r w:rsidRPr="00FF2750">
        <w:rPr>
          <w:rFonts w:ascii="Arial" w:hAnsi="Arial" w:cs="Arial"/>
          <w:color w:val="BF8F00"/>
          <w:sz w:val="22"/>
          <w:szCs w:val="22"/>
        </w:rPr>
        <w:lastRenderedPageBreak/>
        <w:t>u venkovních elektrických stanic a dále stanic s napětím větším než 52 kV v budovách 20 m od oplocení nebo od vnějšího líce obvodového zdiva,</w:t>
      </w:r>
    </w:p>
    <w:p w14:paraId="41BF8541" w14:textId="77777777" w:rsidR="00FF2750" w:rsidRPr="00FF2750" w:rsidRDefault="00FF2750" w:rsidP="00FF2750">
      <w:pPr>
        <w:numPr>
          <w:ilvl w:val="0"/>
          <w:numId w:val="95"/>
        </w:numPr>
        <w:suppressAutoHyphens w:val="0"/>
        <w:spacing w:after="287" w:line="247" w:lineRule="auto"/>
        <w:ind w:right="14"/>
        <w:jc w:val="both"/>
        <w:rPr>
          <w:rFonts w:ascii="Arial" w:hAnsi="Arial" w:cs="Arial"/>
          <w:color w:val="BF8F00"/>
          <w:sz w:val="22"/>
          <w:szCs w:val="22"/>
        </w:rPr>
      </w:pPr>
      <w:r w:rsidRPr="00FF2750">
        <w:rPr>
          <w:rFonts w:ascii="Arial" w:hAnsi="Arial" w:cs="Arial"/>
          <w:color w:val="BF8F00"/>
          <w:sz w:val="22"/>
          <w:szCs w:val="22"/>
        </w:rPr>
        <w:t>u stožárových elektrických stanic s převodem napětí z úrovně nad 1 kV a menší než 52 kV na úroveň nízkého napětí 7 m,</w:t>
      </w:r>
    </w:p>
    <w:p w14:paraId="6B67E527" w14:textId="77777777" w:rsidR="00FF2750" w:rsidRPr="00FF2750" w:rsidRDefault="00FF2750" w:rsidP="00FF2750">
      <w:pPr>
        <w:numPr>
          <w:ilvl w:val="0"/>
          <w:numId w:val="95"/>
        </w:numPr>
        <w:suppressAutoHyphens w:val="0"/>
        <w:spacing w:after="287" w:line="247" w:lineRule="auto"/>
        <w:ind w:right="14"/>
        <w:jc w:val="both"/>
        <w:rPr>
          <w:rFonts w:ascii="Arial" w:hAnsi="Arial" w:cs="Arial"/>
          <w:color w:val="BF8F00"/>
          <w:sz w:val="22"/>
          <w:szCs w:val="22"/>
        </w:rPr>
      </w:pPr>
      <w:r w:rsidRPr="00FF2750">
        <w:rPr>
          <w:rFonts w:ascii="Arial" w:hAnsi="Arial" w:cs="Arial"/>
          <w:color w:val="BF8F00"/>
          <w:sz w:val="22"/>
          <w:szCs w:val="22"/>
        </w:rPr>
        <w:t>u kompaktních a zděných elektrických stanic s převodem napětí z úrovně nad 1 kV a menší než 52 kV na úroveň nízkého napětí 2 m,</w:t>
      </w:r>
    </w:p>
    <w:p w14:paraId="0BCF0182" w14:textId="77777777" w:rsidR="00FF2750" w:rsidRPr="00FF2750" w:rsidRDefault="00FF2750" w:rsidP="00FF2750">
      <w:pPr>
        <w:spacing w:after="29" w:line="266" w:lineRule="auto"/>
        <w:ind w:left="700" w:right="283" w:hanging="710"/>
        <w:rPr>
          <w:rFonts w:ascii="Arial" w:eastAsia="Calibri" w:hAnsi="Arial" w:cs="Arial"/>
          <w:b/>
          <w:color w:val="BF8F00"/>
          <w:sz w:val="26"/>
        </w:rPr>
      </w:pPr>
      <w:r w:rsidRPr="00FF2750">
        <w:rPr>
          <w:rFonts w:ascii="Arial" w:eastAsia="Calibri" w:hAnsi="Arial" w:cs="Arial"/>
          <w:b/>
          <w:color w:val="BF8F00"/>
          <w:sz w:val="26"/>
        </w:rPr>
        <w:t xml:space="preserve">Plynoenergetika </w:t>
      </w:r>
    </w:p>
    <w:p w14:paraId="1F7980EA" w14:textId="77777777" w:rsidR="00FF2750" w:rsidRPr="00FF2750" w:rsidRDefault="00FF2750" w:rsidP="00FF2750">
      <w:pPr>
        <w:spacing w:after="29" w:line="266" w:lineRule="auto"/>
        <w:ind w:left="700" w:right="283" w:hanging="710"/>
        <w:rPr>
          <w:rFonts w:ascii="Arial" w:eastAsia="Calibri" w:hAnsi="Arial" w:cs="Arial"/>
          <w:b/>
          <w:color w:val="BF8F00"/>
          <w:sz w:val="26"/>
        </w:rPr>
      </w:pPr>
      <w:r w:rsidRPr="00FF2750">
        <w:rPr>
          <w:rFonts w:ascii="Arial" w:eastAsia="Calibri" w:hAnsi="Arial" w:cs="Arial"/>
          <w:b/>
          <w:color w:val="BF8F00"/>
          <w:sz w:val="26"/>
        </w:rPr>
        <w:t>Ochranná pásma</w:t>
      </w:r>
    </w:p>
    <w:p w14:paraId="13535CB0" w14:textId="77777777" w:rsidR="00FF2750" w:rsidRPr="00FF2750" w:rsidRDefault="00FF2750" w:rsidP="00FF2750">
      <w:pPr>
        <w:spacing w:after="31" w:line="249" w:lineRule="auto"/>
        <w:ind w:right="-5"/>
        <w:rPr>
          <w:rFonts w:ascii="Arial" w:hAnsi="Arial" w:cs="Arial"/>
          <w:color w:val="BF8F00"/>
          <w:sz w:val="22"/>
          <w:szCs w:val="22"/>
        </w:rPr>
      </w:pPr>
      <w:r w:rsidRPr="00FF2750">
        <w:rPr>
          <w:rFonts w:ascii="Arial" w:hAnsi="Arial" w:cs="Arial"/>
          <w:color w:val="BF8F00"/>
          <w:sz w:val="22"/>
          <w:szCs w:val="22"/>
        </w:rPr>
        <w:t>Ochranným pásmem se rozumí souvislý prostor v bezprostřední blízkosti plynárenského zařízení, vymezený svislými rovinami, vedenými ve vodorovné vzdálenosti od jeho půdorysu. Ochranná pásma činí:</w:t>
      </w:r>
    </w:p>
    <w:p w14:paraId="001790F3" w14:textId="77777777" w:rsidR="00FF2750" w:rsidRPr="00FF2750" w:rsidRDefault="00FF2750" w:rsidP="00FF2750">
      <w:pPr>
        <w:numPr>
          <w:ilvl w:val="0"/>
          <w:numId w:val="96"/>
        </w:numPr>
        <w:suppressAutoHyphens w:val="0"/>
        <w:spacing w:after="6" w:line="247" w:lineRule="auto"/>
        <w:ind w:right="14"/>
        <w:jc w:val="both"/>
        <w:rPr>
          <w:rFonts w:ascii="Arial" w:hAnsi="Arial" w:cs="Arial"/>
          <w:color w:val="BF8F00"/>
          <w:sz w:val="22"/>
          <w:szCs w:val="22"/>
        </w:rPr>
      </w:pPr>
      <w:r w:rsidRPr="00FF2750">
        <w:rPr>
          <w:rFonts w:ascii="Arial" w:hAnsi="Arial" w:cs="Arial"/>
          <w:color w:val="BF8F00"/>
          <w:sz w:val="22"/>
          <w:szCs w:val="22"/>
        </w:rPr>
        <w:t>u nízkotlakých a středotlakých plynovodů a plynovodních přípojek, jimiž se rozvádí plyn v zastavěném území obce 1 m na obě strany od půdorysu,</w:t>
      </w:r>
    </w:p>
    <w:p w14:paraId="232078EB" w14:textId="77777777" w:rsidR="00FF2750" w:rsidRPr="00FF2750" w:rsidRDefault="00FF2750" w:rsidP="00FF2750">
      <w:pPr>
        <w:numPr>
          <w:ilvl w:val="0"/>
          <w:numId w:val="96"/>
        </w:numPr>
        <w:suppressAutoHyphens w:val="0"/>
        <w:spacing w:after="6" w:line="247" w:lineRule="auto"/>
        <w:ind w:right="14"/>
        <w:jc w:val="both"/>
        <w:rPr>
          <w:rFonts w:ascii="Arial" w:hAnsi="Arial" w:cs="Arial"/>
          <w:color w:val="BF8F00"/>
          <w:sz w:val="22"/>
          <w:szCs w:val="22"/>
        </w:rPr>
      </w:pPr>
      <w:r w:rsidRPr="00FF2750">
        <w:rPr>
          <w:rFonts w:ascii="Arial" w:hAnsi="Arial" w:cs="Arial"/>
          <w:color w:val="BF8F00"/>
          <w:sz w:val="22"/>
          <w:szCs w:val="22"/>
        </w:rPr>
        <w:t>u ostatních plynovodů a plynovodních přípojek 4 m na obě strany od půdorysu,</w:t>
      </w:r>
    </w:p>
    <w:p w14:paraId="2FCBA385" w14:textId="77777777" w:rsidR="00FF2750" w:rsidRPr="00FF2750" w:rsidRDefault="00FF2750" w:rsidP="00FF2750">
      <w:pPr>
        <w:numPr>
          <w:ilvl w:val="0"/>
          <w:numId w:val="96"/>
        </w:numPr>
        <w:suppressAutoHyphens w:val="0"/>
        <w:spacing w:after="255" w:line="247" w:lineRule="auto"/>
        <w:ind w:right="14"/>
        <w:jc w:val="both"/>
        <w:rPr>
          <w:rFonts w:ascii="Arial" w:hAnsi="Arial" w:cs="Arial"/>
          <w:color w:val="BF8F00"/>
          <w:sz w:val="22"/>
          <w:szCs w:val="22"/>
        </w:rPr>
      </w:pPr>
      <w:r w:rsidRPr="00FF2750">
        <w:rPr>
          <w:rFonts w:ascii="Arial" w:hAnsi="Arial" w:cs="Arial"/>
          <w:color w:val="BF8F00"/>
          <w:sz w:val="22"/>
          <w:szCs w:val="22"/>
        </w:rPr>
        <w:t>u technologických objektů 4 m na všechny strany od půdorysu.</w:t>
      </w:r>
    </w:p>
    <w:p w14:paraId="324CE5C2"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4B16FF0B" w14:textId="77777777" w:rsidR="00FF2750" w:rsidRPr="00FF2750" w:rsidRDefault="00FF2750" w:rsidP="00FF2750">
      <w:pPr>
        <w:spacing w:after="29" w:line="266" w:lineRule="auto"/>
        <w:ind w:left="700" w:right="283" w:hanging="710"/>
        <w:rPr>
          <w:rFonts w:ascii="Arial" w:eastAsia="Calibri" w:hAnsi="Arial" w:cs="Arial"/>
          <w:b/>
          <w:color w:val="BF8F00"/>
          <w:sz w:val="26"/>
        </w:rPr>
      </w:pPr>
      <w:r w:rsidRPr="00FF2750">
        <w:rPr>
          <w:rFonts w:ascii="Arial" w:eastAsia="Calibri" w:hAnsi="Arial" w:cs="Arial"/>
          <w:b/>
          <w:color w:val="BF8F00"/>
          <w:sz w:val="26"/>
        </w:rPr>
        <w:t>Bezpečnostní pásma</w:t>
      </w:r>
    </w:p>
    <w:p w14:paraId="4C433258" w14:textId="77777777" w:rsidR="00FF2750" w:rsidRPr="00FF2750" w:rsidRDefault="00FF2750" w:rsidP="00FF2750">
      <w:pPr>
        <w:spacing w:after="29" w:line="266" w:lineRule="auto"/>
        <w:ind w:left="700" w:right="283" w:hanging="710"/>
        <w:rPr>
          <w:rFonts w:ascii="Arial" w:eastAsia="Calibri" w:hAnsi="Arial" w:cs="Arial"/>
          <w:b/>
          <w:color w:val="BF8F00"/>
          <w:sz w:val="26"/>
        </w:rPr>
      </w:pPr>
      <w:r w:rsidRPr="00FF2750">
        <w:rPr>
          <w:rFonts w:ascii="Arial" w:eastAsia="Calibri" w:hAnsi="Arial" w:cs="Arial"/>
          <w:b/>
          <w:noProof/>
          <w:color w:val="BF8F00"/>
          <w:sz w:val="26"/>
          <w:lang w:eastAsia="cs-CZ"/>
        </w:rPr>
        <w:drawing>
          <wp:anchor distT="0" distB="0" distL="114300" distR="114300" simplePos="0" relativeHeight="251744256" behindDoc="0" locked="0" layoutInCell="1" allowOverlap="0" wp14:anchorId="3E117FAF" wp14:editId="405C1F43">
            <wp:simplePos x="0" y="0"/>
            <wp:positionH relativeFrom="page">
              <wp:posOffset>6727190</wp:posOffset>
            </wp:positionH>
            <wp:positionV relativeFrom="page">
              <wp:posOffset>3002915</wp:posOffset>
            </wp:positionV>
            <wp:extent cx="3175" cy="3175"/>
            <wp:effectExtent l="0" t="0" r="0" b="0"/>
            <wp:wrapSquare wrapText="bothSides"/>
            <wp:docPr id="25289" name="Obrázek 25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488"/>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pic:spPr>
                </pic:pic>
              </a:graphicData>
            </a:graphic>
            <wp14:sizeRelH relativeFrom="page">
              <wp14:pctWidth>0</wp14:pctWidth>
            </wp14:sizeRelH>
            <wp14:sizeRelV relativeFrom="page">
              <wp14:pctHeight>0</wp14:pctHeight>
            </wp14:sizeRelV>
          </wp:anchor>
        </w:drawing>
      </w:r>
      <w:r w:rsidRPr="00FF2750">
        <w:rPr>
          <w:rFonts w:ascii="Arial" w:eastAsia="Calibri" w:hAnsi="Arial" w:cs="Arial"/>
          <w:b/>
          <w:noProof/>
          <w:color w:val="BF8F00"/>
          <w:sz w:val="26"/>
          <w:lang w:eastAsia="cs-CZ"/>
        </w:rPr>
        <w:drawing>
          <wp:anchor distT="0" distB="0" distL="114300" distR="114300" simplePos="0" relativeHeight="251745280" behindDoc="0" locked="0" layoutInCell="1" allowOverlap="0" wp14:anchorId="29281A25" wp14:editId="027FB7E4">
            <wp:simplePos x="0" y="0"/>
            <wp:positionH relativeFrom="page">
              <wp:posOffset>6724015</wp:posOffset>
            </wp:positionH>
            <wp:positionV relativeFrom="page">
              <wp:posOffset>3176905</wp:posOffset>
            </wp:positionV>
            <wp:extent cx="3175" cy="3175"/>
            <wp:effectExtent l="0" t="0" r="0" b="0"/>
            <wp:wrapSquare wrapText="bothSides"/>
            <wp:docPr id="25288" name="Obrázek 25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48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pic:spPr>
                </pic:pic>
              </a:graphicData>
            </a:graphic>
            <wp14:sizeRelH relativeFrom="page">
              <wp14:pctWidth>0</wp14:pctWidth>
            </wp14:sizeRelH>
            <wp14:sizeRelV relativeFrom="page">
              <wp14:pctHeight>0</wp14:pctHeight>
            </wp14:sizeRelV>
          </wp:anchor>
        </w:drawing>
      </w:r>
      <w:r w:rsidRPr="00FF2750">
        <w:rPr>
          <w:rFonts w:ascii="Arial" w:eastAsia="Calibri" w:hAnsi="Arial" w:cs="Arial"/>
          <w:b/>
          <w:color w:val="BF8F00"/>
          <w:sz w:val="26"/>
        </w:rPr>
        <w:t>Bezpečnostní pásma plynových zařízení uvádí následující tabulka</w:t>
      </w:r>
    </w:p>
    <w:p w14:paraId="48EF42A5" w14:textId="77777777" w:rsidR="00FF2750" w:rsidRPr="00FF2750" w:rsidRDefault="00FF2750" w:rsidP="00FF2750">
      <w:pPr>
        <w:ind w:left="719" w:right="14"/>
        <w:rPr>
          <w:rFonts w:ascii="Arial" w:hAnsi="Arial" w:cs="Arial"/>
        </w:rPr>
      </w:pPr>
    </w:p>
    <w:tbl>
      <w:tblPr>
        <w:tblW w:w="8505" w:type="dxa"/>
        <w:tblInd w:w="745" w:type="dxa"/>
        <w:tblCellMar>
          <w:top w:w="40" w:type="dxa"/>
          <w:left w:w="67" w:type="dxa"/>
          <w:right w:w="115" w:type="dxa"/>
        </w:tblCellMar>
        <w:tblLook w:val="04A0" w:firstRow="1" w:lastRow="0" w:firstColumn="1" w:lastColumn="0" w:noHBand="0" w:noVBand="1"/>
      </w:tblPr>
      <w:tblGrid>
        <w:gridCol w:w="6441"/>
        <w:gridCol w:w="2064"/>
      </w:tblGrid>
      <w:tr w:rsidR="00FF2750" w:rsidRPr="00FF2750" w14:paraId="17F5FECB" w14:textId="77777777" w:rsidTr="002D2D45">
        <w:trPr>
          <w:trHeight w:val="309"/>
        </w:trPr>
        <w:tc>
          <w:tcPr>
            <w:tcW w:w="6441" w:type="dxa"/>
            <w:tcBorders>
              <w:top w:val="single" w:sz="2" w:space="0" w:color="000000"/>
              <w:left w:val="single" w:sz="2" w:space="0" w:color="000000"/>
              <w:bottom w:val="single" w:sz="2" w:space="0" w:color="000000"/>
              <w:right w:val="single" w:sz="2" w:space="0" w:color="000000"/>
            </w:tcBorders>
            <w:shd w:val="clear" w:color="auto" w:fill="auto"/>
            <w:hideMark/>
          </w:tcPr>
          <w:p w14:paraId="1DDC8444" w14:textId="77777777" w:rsidR="00FF2750" w:rsidRPr="00FF2750" w:rsidRDefault="00FF2750" w:rsidP="002D2D45">
            <w:pPr>
              <w:spacing w:line="256" w:lineRule="auto"/>
              <w:ind w:left="110"/>
              <w:jc w:val="center"/>
              <w:rPr>
                <w:rFonts w:ascii="Arial" w:hAnsi="Arial" w:cs="Arial"/>
                <w:color w:val="BF8F00"/>
                <w:sz w:val="22"/>
                <w:szCs w:val="22"/>
              </w:rPr>
            </w:pPr>
            <w:r w:rsidRPr="00FF2750">
              <w:rPr>
                <w:rFonts w:ascii="Arial" w:hAnsi="Arial" w:cs="Arial"/>
                <w:color w:val="BF8F00"/>
                <w:sz w:val="26"/>
                <w:szCs w:val="22"/>
              </w:rPr>
              <w:t>druh zařízení</w:t>
            </w:r>
          </w:p>
        </w:tc>
        <w:tc>
          <w:tcPr>
            <w:tcW w:w="2064" w:type="dxa"/>
            <w:tcBorders>
              <w:top w:val="single" w:sz="2" w:space="0" w:color="000000"/>
              <w:left w:val="single" w:sz="2" w:space="0" w:color="000000"/>
              <w:bottom w:val="single" w:sz="2" w:space="0" w:color="000000"/>
              <w:right w:val="single" w:sz="2" w:space="0" w:color="000000"/>
            </w:tcBorders>
            <w:shd w:val="clear" w:color="auto" w:fill="auto"/>
            <w:hideMark/>
          </w:tcPr>
          <w:p w14:paraId="2FCAF3C1" w14:textId="77777777" w:rsidR="00FF2750" w:rsidRPr="00FF2750" w:rsidRDefault="00FF2750" w:rsidP="002D2D45">
            <w:pPr>
              <w:spacing w:line="256" w:lineRule="auto"/>
              <w:ind w:left="58"/>
              <w:jc w:val="center"/>
              <w:rPr>
                <w:rFonts w:ascii="Arial" w:hAnsi="Arial" w:cs="Arial"/>
                <w:color w:val="BF8F00"/>
                <w:sz w:val="22"/>
                <w:szCs w:val="22"/>
              </w:rPr>
            </w:pPr>
            <w:r w:rsidRPr="00FF2750">
              <w:rPr>
                <w:rFonts w:ascii="Arial" w:hAnsi="Arial" w:cs="Arial"/>
                <w:color w:val="BF8F00"/>
                <w:sz w:val="22"/>
                <w:szCs w:val="22"/>
              </w:rPr>
              <w:t>velikost pásma</w:t>
            </w:r>
          </w:p>
        </w:tc>
      </w:tr>
      <w:tr w:rsidR="00FF2750" w:rsidRPr="00FF2750" w14:paraId="35DEE60B" w14:textId="77777777" w:rsidTr="002D2D45">
        <w:trPr>
          <w:trHeight w:val="305"/>
        </w:trPr>
        <w:tc>
          <w:tcPr>
            <w:tcW w:w="6441" w:type="dxa"/>
            <w:tcBorders>
              <w:top w:val="single" w:sz="2" w:space="0" w:color="000000"/>
              <w:left w:val="single" w:sz="2" w:space="0" w:color="000000"/>
              <w:bottom w:val="single" w:sz="2" w:space="0" w:color="000000"/>
              <w:right w:val="single" w:sz="2" w:space="0" w:color="000000"/>
            </w:tcBorders>
            <w:shd w:val="clear" w:color="auto" w:fill="auto"/>
            <w:hideMark/>
          </w:tcPr>
          <w:p w14:paraId="533C76C1" w14:textId="77777777" w:rsidR="00FF2750" w:rsidRPr="00FF2750" w:rsidRDefault="00FF2750" w:rsidP="002D2D45">
            <w:pPr>
              <w:spacing w:line="256" w:lineRule="auto"/>
              <w:ind w:left="10"/>
              <w:rPr>
                <w:rFonts w:ascii="Arial" w:hAnsi="Arial" w:cs="Arial"/>
                <w:color w:val="BF8F00"/>
                <w:sz w:val="22"/>
                <w:szCs w:val="22"/>
              </w:rPr>
            </w:pPr>
            <w:r w:rsidRPr="00FF2750">
              <w:rPr>
                <w:rFonts w:ascii="Arial" w:hAnsi="Arial" w:cs="Arial"/>
                <w:color w:val="BF8F00"/>
                <w:sz w:val="22"/>
                <w:szCs w:val="22"/>
              </w:rPr>
              <w:t>Regulační stanice vysokotlaké</w:t>
            </w:r>
          </w:p>
        </w:tc>
        <w:tc>
          <w:tcPr>
            <w:tcW w:w="2064" w:type="dxa"/>
            <w:tcBorders>
              <w:top w:val="single" w:sz="2" w:space="0" w:color="000000"/>
              <w:left w:val="single" w:sz="2" w:space="0" w:color="000000"/>
              <w:bottom w:val="single" w:sz="2" w:space="0" w:color="000000"/>
              <w:right w:val="single" w:sz="2" w:space="0" w:color="000000"/>
            </w:tcBorders>
            <w:shd w:val="clear" w:color="auto" w:fill="auto"/>
            <w:hideMark/>
          </w:tcPr>
          <w:p w14:paraId="51A4AF1E" w14:textId="77777777" w:rsidR="00FF2750" w:rsidRPr="00FF2750" w:rsidRDefault="00FF2750" w:rsidP="002D2D45">
            <w:pPr>
              <w:spacing w:line="256" w:lineRule="auto"/>
              <w:ind w:left="73"/>
              <w:jc w:val="center"/>
              <w:rPr>
                <w:rFonts w:ascii="Arial" w:hAnsi="Arial" w:cs="Arial"/>
                <w:color w:val="BF8F00"/>
                <w:sz w:val="22"/>
                <w:szCs w:val="22"/>
              </w:rPr>
            </w:pPr>
            <w:r w:rsidRPr="00FF2750">
              <w:rPr>
                <w:rFonts w:ascii="Arial" w:hAnsi="Arial" w:cs="Arial"/>
                <w:color w:val="BF8F00"/>
                <w:sz w:val="28"/>
                <w:szCs w:val="22"/>
              </w:rPr>
              <w:t>10m</w:t>
            </w:r>
          </w:p>
        </w:tc>
      </w:tr>
      <w:tr w:rsidR="00FF2750" w:rsidRPr="00FF2750" w14:paraId="39D2AEE2" w14:textId="77777777" w:rsidTr="002D2D45">
        <w:trPr>
          <w:trHeight w:val="288"/>
        </w:trPr>
        <w:tc>
          <w:tcPr>
            <w:tcW w:w="6441" w:type="dxa"/>
            <w:tcBorders>
              <w:top w:val="single" w:sz="2" w:space="0" w:color="000000"/>
              <w:left w:val="single" w:sz="2" w:space="0" w:color="000000"/>
              <w:bottom w:val="single" w:sz="2" w:space="0" w:color="000000"/>
              <w:right w:val="nil"/>
            </w:tcBorders>
            <w:shd w:val="clear" w:color="auto" w:fill="auto"/>
            <w:hideMark/>
          </w:tcPr>
          <w:p w14:paraId="432C0D29" w14:textId="77777777" w:rsidR="00FF2750" w:rsidRPr="00FF2750" w:rsidRDefault="00FF2750" w:rsidP="002D2D45">
            <w:pPr>
              <w:spacing w:line="256" w:lineRule="auto"/>
              <w:ind w:left="10"/>
              <w:rPr>
                <w:rFonts w:ascii="Arial" w:hAnsi="Arial" w:cs="Arial"/>
                <w:color w:val="BF8F00"/>
                <w:sz w:val="22"/>
                <w:szCs w:val="22"/>
              </w:rPr>
            </w:pPr>
            <w:r w:rsidRPr="00FF2750">
              <w:rPr>
                <w:rFonts w:ascii="Arial" w:hAnsi="Arial" w:cs="Arial"/>
                <w:color w:val="BF8F00"/>
                <w:sz w:val="22"/>
                <w:szCs w:val="22"/>
              </w:rPr>
              <w:t>Vysokotlaké plynovody</w:t>
            </w:r>
          </w:p>
        </w:tc>
        <w:tc>
          <w:tcPr>
            <w:tcW w:w="2064" w:type="dxa"/>
            <w:tcBorders>
              <w:top w:val="single" w:sz="2" w:space="0" w:color="000000"/>
              <w:left w:val="nil"/>
              <w:bottom w:val="single" w:sz="2" w:space="0" w:color="000000"/>
              <w:right w:val="single" w:sz="2" w:space="0" w:color="000000"/>
            </w:tcBorders>
            <w:shd w:val="clear" w:color="auto" w:fill="auto"/>
          </w:tcPr>
          <w:p w14:paraId="0C01BD95" w14:textId="77777777" w:rsidR="00FF2750" w:rsidRPr="00FF2750" w:rsidRDefault="00FF2750" w:rsidP="002D2D45">
            <w:pPr>
              <w:spacing w:after="160" w:line="256" w:lineRule="auto"/>
              <w:rPr>
                <w:rFonts w:ascii="Arial" w:hAnsi="Arial" w:cs="Arial"/>
                <w:color w:val="BF8F00"/>
                <w:sz w:val="22"/>
                <w:szCs w:val="22"/>
              </w:rPr>
            </w:pPr>
          </w:p>
        </w:tc>
      </w:tr>
      <w:tr w:rsidR="00FF2750" w:rsidRPr="00FF2750" w14:paraId="192991F7" w14:textId="77777777" w:rsidTr="002D2D45">
        <w:trPr>
          <w:trHeight w:val="288"/>
        </w:trPr>
        <w:tc>
          <w:tcPr>
            <w:tcW w:w="6441" w:type="dxa"/>
            <w:tcBorders>
              <w:top w:val="single" w:sz="2" w:space="0" w:color="000000"/>
              <w:left w:val="single" w:sz="2" w:space="0" w:color="000000"/>
              <w:bottom w:val="single" w:sz="2" w:space="0" w:color="000000"/>
              <w:right w:val="single" w:sz="2" w:space="0" w:color="000000"/>
            </w:tcBorders>
            <w:shd w:val="clear" w:color="auto" w:fill="auto"/>
            <w:hideMark/>
          </w:tcPr>
          <w:p w14:paraId="628BDEF4" w14:textId="77777777" w:rsidR="00FF2750" w:rsidRPr="00FF2750" w:rsidRDefault="00FF2750" w:rsidP="002D2D45">
            <w:pPr>
              <w:spacing w:line="256" w:lineRule="auto"/>
              <w:ind w:left="10"/>
              <w:rPr>
                <w:rFonts w:ascii="Arial" w:hAnsi="Arial" w:cs="Arial"/>
                <w:color w:val="BF8F00"/>
                <w:sz w:val="22"/>
                <w:szCs w:val="22"/>
              </w:rPr>
            </w:pPr>
            <w:r w:rsidRPr="00FF2750">
              <w:rPr>
                <w:rFonts w:ascii="Arial" w:hAnsi="Arial" w:cs="Arial"/>
                <w:color w:val="BF8F00"/>
                <w:sz w:val="26"/>
                <w:szCs w:val="22"/>
              </w:rPr>
              <w:t>do DN 100</w:t>
            </w:r>
          </w:p>
        </w:tc>
        <w:tc>
          <w:tcPr>
            <w:tcW w:w="2064" w:type="dxa"/>
            <w:tcBorders>
              <w:top w:val="single" w:sz="2" w:space="0" w:color="000000"/>
              <w:left w:val="single" w:sz="2" w:space="0" w:color="000000"/>
              <w:bottom w:val="single" w:sz="2" w:space="0" w:color="000000"/>
              <w:right w:val="single" w:sz="2" w:space="0" w:color="000000"/>
            </w:tcBorders>
            <w:shd w:val="clear" w:color="auto" w:fill="auto"/>
            <w:hideMark/>
          </w:tcPr>
          <w:p w14:paraId="2AF52217" w14:textId="77777777" w:rsidR="00FF2750" w:rsidRPr="00FF2750" w:rsidRDefault="00FF2750" w:rsidP="002D2D45">
            <w:pPr>
              <w:spacing w:line="256" w:lineRule="auto"/>
              <w:ind w:left="68"/>
              <w:jc w:val="center"/>
              <w:rPr>
                <w:rFonts w:ascii="Arial" w:hAnsi="Arial" w:cs="Arial"/>
                <w:color w:val="BF8F00"/>
                <w:sz w:val="22"/>
                <w:szCs w:val="22"/>
              </w:rPr>
            </w:pPr>
            <w:r w:rsidRPr="00FF2750">
              <w:rPr>
                <w:rFonts w:ascii="Arial" w:hAnsi="Arial" w:cs="Arial"/>
                <w:color w:val="BF8F00"/>
                <w:sz w:val="26"/>
                <w:szCs w:val="22"/>
              </w:rPr>
              <w:t>15 m</w:t>
            </w:r>
          </w:p>
        </w:tc>
      </w:tr>
      <w:tr w:rsidR="00FF2750" w:rsidRPr="00FF2750" w14:paraId="368DF3E8" w14:textId="77777777" w:rsidTr="002D2D45">
        <w:trPr>
          <w:trHeight w:val="288"/>
        </w:trPr>
        <w:tc>
          <w:tcPr>
            <w:tcW w:w="6441" w:type="dxa"/>
            <w:tcBorders>
              <w:top w:val="single" w:sz="2" w:space="0" w:color="000000"/>
              <w:left w:val="single" w:sz="2" w:space="0" w:color="000000"/>
              <w:bottom w:val="single" w:sz="2" w:space="0" w:color="000000"/>
              <w:right w:val="single" w:sz="2" w:space="0" w:color="000000"/>
            </w:tcBorders>
            <w:shd w:val="clear" w:color="auto" w:fill="auto"/>
            <w:hideMark/>
          </w:tcPr>
          <w:p w14:paraId="6AD180C0" w14:textId="77777777" w:rsidR="00FF2750" w:rsidRPr="00FF2750" w:rsidRDefault="00FF2750" w:rsidP="002D2D45">
            <w:pPr>
              <w:spacing w:line="256" w:lineRule="auto"/>
              <w:ind w:left="10"/>
              <w:rPr>
                <w:rFonts w:ascii="Arial" w:hAnsi="Arial" w:cs="Arial"/>
                <w:color w:val="BF8F00"/>
                <w:sz w:val="22"/>
                <w:szCs w:val="22"/>
              </w:rPr>
            </w:pPr>
            <w:r w:rsidRPr="00FF2750">
              <w:rPr>
                <w:rFonts w:ascii="Arial" w:hAnsi="Arial" w:cs="Arial"/>
                <w:color w:val="BF8F00"/>
                <w:sz w:val="22"/>
                <w:szCs w:val="22"/>
              </w:rPr>
              <w:t>do DN 250</w:t>
            </w:r>
          </w:p>
        </w:tc>
        <w:tc>
          <w:tcPr>
            <w:tcW w:w="2064" w:type="dxa"/>
            <w:tcBorders>
              <w:top w:val="single" w:sz="2" w:space="0" w:color="000000"/>
              <w:left w:val="single" w:sz="2" w:space="0" w:color="000000"/>
              <w:bottom w:val="single" w:sz="2" w:space="0" w:color="000000"/>
              <w:right w:val="single" w:sz="2" w:space="0" w:color="000000"/>
            </w:tcBorders>
            <w:shd w:val="clear" w:color="auto" w:fill="auto"/>
            <w:hideMark/>
          </w:tcPr>
          <w:p w14:paraId="024545A8" w14:textId="77777777" w:rsidR="00FF2750" w:rsidRPr="00FF2750" w:rsidRDefault="00FF2750" w:rsidP="002D2D45">
            <w:pPr>
              <w:spacing w:line="256" w:lineRule="auto"/>
              <w:ind w:left="53"/>
              <w:jc w:val="center"/>
              <w:rPr>
                <w:rFonts w:ascii="Arial" w:hAnsi="Arial" w:cs="Arial"/>
                <w:color w:val="BF8F00"/>
                <w:sz w:val="22"/>
                <w:szCs w:val="22"/>
              </w:rPr>
            </w:pPr>
            <w:r w:rsidRPr="00FF2750">
              <w:rPr>
                <w:rFonts w:ascii="Arial" w:hAnsi="Arial" w:cs="Arial"/>
                <w:color w:val="BF8F00"/>
                <w:sz w:val="22"/>
                <w:szCs w:val="22"/>
              </w:rPr>
              <w:t>20 m</w:t>
            </w:r>
          </w:p>
        </w:tc>
      </w:tr>
      <w:tr w:rsidR="00FF2750" w:rsidRPr="00FF2750" w14:paraId="5EC301EC" w14:textId="77777777" w:rsidTr="002D2D45">
        <w:trPr>
          <w:trHeight w:val="293"/>
        </w:trPr>
        <w:tc>
          <w:tcPr>
            <w:tcW w:w="6441" w:type="dxa"/>
            <w:tcBorders>
              <w:top w:val="single" w:sz="2" w:space="0" w:color="000000"/>
              <w:left w:val="single" w:sz="2" w:space="0" w:color="000000"/>
              <w:bottom w:val="single" w:sz="2" w:space="0" w:color="000000"/>
              <w:right w:val="single" w:sz="2" w:space="0" w:color="000000"/>
            </w:tcBorders>
            <w:shd w:val="clear" w:color="auto" w:fill="auto"/>
            <w:hideMark/>
          </w:tcPr>
          <w:p w14:paraId="7ED2D5C2" w14:textId="77777777" w:rsidR="00FF2750" w:rsidRPr="00FF2750" w:rsidRDefault="00FF2750" w:rsidP="002D2D45">
            <w:pPr>
              <w:spacing w:line="256" w:lineRule="auto"/>
              <w:rPr>
                <w:rFonts w:ascii="Arial" w:hAnsi="Arial" w:cs="Arial"/>
                <w:color w:val="BF8F00"/>
                <w:sz w:val="22"/>
                <w:szCs w:val="22"/>
              </w:rPr>
            </w:pPr>
            <w:r w:rsidRPr="00FF2750">
              <w:rPr>
                <w:rFonts w:ascii="Arial" w:hAnsi="Arial" w:cs="Arial"/>
                <w:color w:val="BF8F00"/>
                <w:sz w:val="22"/>
                <w:szCs w:val="22"/>
              </w:rPr>
              <w:t>nad DN 250</w:t>
            </w:r>
          </w:p>
        </w:tc>
        <w:tc>
          <w:tcPr>
            <w:tcW w:w="2064" w:type="dxa"/>
            <w:tcBorders>
              <w:top w:val="single" w:sz="2" w:space="0" w:color="000000"/>
              <w:left w:val="single" w:sz="2" w:space="0" w:color="000000"/>
              <w:bottom w:val="single" w:sz="2" w:space="0" w:color="000000"/>
              <w:right w:val="single" w:sz="2" w:space="0" w:color="000000"/>
            </w:tcBorders>
            <w:shd w:val="clear" w:color="auto" w:fill="auto"/>
            <w:hideMark/>
          </w:tcPr>
          <w:p w14:paraId="795F7972" w14:textId="77777777" w:rsidR="00FF2750" w:rsidRPr="00FF2750" w:rsidRDefault="00FF2750" w:rsidP="002D2D45">
            <w:pPr>
              <w:spacing w:line="256" w:lineRule="auto"/>
              <w:ind w:left="44"/>
              <w:jc w:val="center"/>
              <w:rPr>
                <w:rFonts w:ascii="Arial" w:hAnsi="Arial" w:cs="Arial"/>
                <w:color w:val="BF8F00"/>
                <w:sz w:val="22"/>
                <w:szCs w:val="22"/>
              </w:rPr>
            </w:pPr>
            <w:r w:rsidRPr="00FF2750">
              <w:rPr>
                <w:rFonts w:ascii="Arial" w:hAnsi="Arial" w:cs="Arial"/>
                <w:color w:val="BF8F00"/>
                <w:sz w:val="22"/>
                <w:szCs w:val="22"/>
              </w:rPr>
              <w:t>40 m</w:t>
            </w:r>
          </w:p>
        </w:tc>
      </w:tr>
    </w:tbl>
    <w:p w14:paraId="7A2DB025" w14:textId="77777777" w:rsidR="00FF2750" w:rsidRPr="00FF2750" w:rsidRDefault="00FF2750" w:rsidP="00FF2750">
      <w:pPr>
        <w:spacing w:after="32" w:line="256" w:lineRule="auto"/>
        <w:ind w:left="744" w:hanging="10"/>
        <w:rPr>
          <w:rFonts w:ascii="Arial" w:hAnsi="Arial" w:cs="Arial"/>
          <w:color w:val="000000"/>
          <w:sz w:val="26"/>
          <w:szCs w:val="22"/>
        </w:rPr>
      </w:pPr>
    </w:p>
    <w:p w14:paraId="45CB6D7B" w14:textId="77777777" w:rsidR="00FF2750" w:rsidRPr="00FF2750" w:rsidRDefault="00FF2750" w:rsidP="00FF2750">
      <w:pPr>
        <w:spacing w:after="29" w:line="266" w:lineRule="auto"/>
        <w:ind w:left="700" w:right="283" w:hanging="710"/>
        <w:rPr>
          <w:rFonts w:ascii="Arial" w:eastAsia="Calibri" w:hAnsi="Arial" w:cs="Arial"/>
          <w:b/>
          <w:color w:val="BF8F00"/>
          <w:sz w:val="26"/>
        </w:rPr>
      </w:pPr>
      <w:r w:rsidRPr="00FF2750">
        <w:rPr>
          <w:rFonts w:ascii="Arial" w:eastAsia="Calibri" w:hAnsi="Arial" w:cs="Arial"/>
          <w:b/>
          <w:color w:val="BF8F00"/>
          <w:sz w:val="26"/>
        </w:rPr>
        <w:t>Teplárenství</w:t>
      </w:r>
    </w:p>
    <w:p w14:paraId="2833F335" w14:textId="77777777" w:rsidR="00FF2750" w:rsidRPr="00FF2750" w:rsidRDefault="00FF2750" w:rsidP="00FF2750">
      <w:pPr>
        <w:spacing w:after="31" w:line="249" w:lineRule="auto"/>
        <w:ind w:right="-5" w:firstLine="700"/>
        <w:rPr>
          <w:rFonts w:ascii="Arial" w:hAnsi="Arial" w:cs="Arial"/>
          <w:color w:val="BF8F00"/>
          <w:sz w:val="22"/>
          <w:szCs w:val="22"/>
        </w:rPr>
      </w:pPr>
      <w:r w:rsidRPr="00FF2750">
        <w:rPr>
          <w:rFonts w:ascii="Arial" w:hAnsi="Arial" w:cs="Arial"/>
          <w:color w:val="BF8F00"/>
          <w:sz w:val="22"/>
          <w:szCs w:val="22"/>
        </w:rPr>
        <w:t>Šířka ochranných pásem je vymezena svislými rovinami vedenými po obou stranách zařízení na výrobu či rozvod tepelné energie ve vodorovné vzdálenosti měřené kolmo k tomuto zařízení, která činí 2,5 m.</w:t>
      </w:r>
    </w:p>
    <w:p w14:paraId="6C0604D4" w14:textId="77777777" w:rsidR="00FF2750" w:rsidRPr="00FF2750" w:rsidRDefault="00FF2750" w:rsidP="00FF2750">
      <w:pPr>
        <w:spacing w:after="31" w:line="249" w:lineRule="auto"/>
        <w:ind w:right="-5" w:firstLine="700"/>
        <w:rPr>
          <w:rFonts w:ascii="Arial" w:hAnsi="Arial" w:cs="Arial"/>
          <w:color w:val="BF8F00"/>
          <w:sz w:val="22"/>
          <w:szCs w:val="22"/>
        </w:rPr>
      </w:pPr>
      <w:r w:rsidRPr="00FF2750">
        <w:rPr>
          <w:rFonts w:ascii="Arial" w:hAnsi="Arial" w:cs="Arial"/>
          <w:color w:val="BF8F00"/>
          <w:sz w:val="22"/>
          <w:szCs w:val="22"/>
        </w:rPr>
        <w:t>U výměníkových stanic určených ke změně parametrů teplonosné látky, které jsou umístěny v samostatných budovách je ochranné pásmo vymezeno svislými rovinami vedenými ve vodorovné vzdálenosti 2,5 m kolmo na půdorys těchto stanic. Spoje</w:t>
      </w:r>
    </w:p>
    <w:p w14:paraId="3DF42B48" w14:textId="77777777" w:rsidR="00FF2750" w:rsidRDefault="00FF2750" w:rsidP="00FF2750">
      <w:pPr>
        <w:spacing w:after="31" w:line="249" w:lineRule="auto"/>
        <w:ind w:right="-5"/>
        <w:rPr>
          <w:rFonts w:ascii="Arial" w:hAnsi="Arial" w:cs="Arial"/>
          <w:color w:val="BF8F00"/>
          <w:sz w:val="22"/>
          <w:szCs w:val="22"/>
        </w:rPr>
      </w:pPr>
    </w:p>
    <w:p w14:paraId="5B2D4325" w14:textId="77777777" w:rsidR="00FF2750" w:rsidRDefault="00FF2750" w:rsidP="00FF2750">
      <w:pPr>
        <w:spacing w:after="31" w:line="249" w:lineRule="auto"/>
        <w:ind w:right="-5"/>
        <w:rPr>
          <w:rFonts w:ascii="Arial" w:hAnsi="Arial" w:cs="Arial"/>
          <w:color w:val="BF8F00"/>
          <w:sz w:val="22"/>
          <w:szCs w:val="22"/>
        </w:rPr>
      </w:pPr>
    </w:p>
    <w:p w14:paraId="7275C20C" w14:textId="77777777" w:rsidR="00FF2750" w:rsidRDefault="00FF2750" w:rsidP="00FF2750">
      <w:pPr>
        <w:spacing w:after="31" w:line="249" w:lineRule="auto"/>
        <w:ind w:right="-5"/>
        <w:rPr>
          <w:rFonts w:ascii="Arial" w:hAnsi="Arial" w:cs="Arial"/>
          <w:color w:val="BF8F00"/>
          <w:sz w:val="22"/>
          <w:szCs w:val="22"/>
        </w:rPr>
      </w:pPr>
    </w:p>
    <w:p w14:paraId="2AA23DDF" w14:textId="77777777" w:rsidR="00FF2750" w:rsidRDefault="00FF2750" w:rsidP="00FF2750">
      <w:pPr>
        <w:spacing w:after="31" w:line="249" w:lineRule="auto"/>
        <w:ind w:right="-5"/>
        <w:rPr>
          <w:rFonts w:ascii="Arial" w:hAnsi="Arial" w:cs="Arial"/>
          <w:color w:val="BF8F00"/>
          <w:sz w:val="22"/>
          <w:szCs w:val="22"/>
        </w:rPr>
      </w:pPr>
    </w:p>
    <w:p w14:paraId="2D2C6310" w14:textId="77777777" w:rsidR="00FF2750" w:rsidRDefault="00FF2750" w:rsidP="00FF2750">
      <w:pPr>
        <w:spacing w:after="31" w:line="249" w:lineRule="auto"/>
        <w:ind w:right="-5"/>
        <w:rPr>
          <w:rFonts w:ascii="Arial" w:hAnsi="Arial" w:cs="Arial"/>
          <w:color w:val="BF8F00"/>
          <w:sz w:val="22"/>
          <w:szCs w:val="22"/>
        </w:rPr>
      </w:pPr>
    </w:p>
    <w:p w14:paraId="1AE1287E" w14:textId="77777777" w:rsidR="00FF2750" w:rsidRDefault="00FF2750" w:rsidP="00FF2750">
      <w:pPr>
        <w:spacing w:after="31" w:line="249" w:lineRule="auto"/>
        <w:ind w:right="-5"/>
        <w:rPr>
          <w:rFonts w:ascii="Arial" w:hAnsi="Arial" w:cs="Arial"/>
          <w:color w:val="BF8F00"/>
          <w:sz w:val="22"/>
          <w:szCs w:val="22"/>
        </w:rPr>
      </w:pPr>
    </w:p>
    <w:p w14:paraId="4ADB2EC8" w14:textId="77777777" w:rsidR="00FF2750" w:rsidRDefault="00FF2750" w:rsidP="00FF2750">
      <w:pPr>
        <w:spacing w:after="31" w:line="249" w:lineRule="auto"/>
        <w:ind w:right="-5"/>
        <w:rPr>
          <w:rFonts w:ascii="Arial" w:hAnsi="Arial" w:cs="Arial"/>
          <w:color w:val="BF8F00"/>
          <w:sz w:val="22"/>
          <w:szCs w:val="22"/>
        </w:rPr>
      </w:pPr>
    </w:p>
    <w:p w14:paraId="559E93A9" w14:textId="77777777" w:rsidR="00FF2750" w:rsidRDefault="00FF2750" w:rsidP="00FF2750">
      <w:pPr>
        <w:spacing w:after="31" w:line="249" w:lineRule="auto"/>
        <w:ind w:right="-5"/>
        <w:rPr>
          <w:rFonts w:ascii="Arial" w:hAnsi="Arial" w:cs="Arial"/>
          <w:color w:val="BF8F00"/>
          <w:sz w:val="22"/>
          <w:szCs w:val="22"/>
        </w:rPr>
      </w:pPr>
    </w:p>
    <w:p w14:paraId="3F938E8A" w14:textId="77777777" w:rsidR="00FF2750" w:rsidRPr="00FF2750" w:rsidRDefault="00FF2750" w:rsidP="00FF2750">
      <w:pPr>
        <w:spacing w:after="31" w:line="249" w:lineRule="auto"/>
        <w:ind w:right="-5"/>
        <w:rPr>
          <w:rFonts w:ascii="Arial" w:hAnsi="Arial" w:cs="Arial"/>
          <w:color w:val="BF8F00"/>
          <w:sz w:val="22"/>
          <w:szCs w:val="22"/>
        </w:rPr>
      </w:pPr>
    </w:p>
    <w:p w14:paraId="1AD01D4D" w14:textId="77777777" w:rsidR="00FF2750" w:rsidRPr="00FF2750" w:rsidRDefault="00FF2750" w:rsidP="00FF2750">
      <w:pPr>
        <w:spacing w:after="29" w:line="266" w:lineRule="auto"/>
        <w:ind w:left="700" w:right="283" w:hanging="710"/>
        <w:rPr>
          <w:rFonts w:ascii="Arial" w:eastAsia="Calibri" w:hAnsi="Arial" w:cs="Arial"/>
          <w:b/>
          <w:color w:val="BF8F00"/>
          <w:sz w:val="26"/>
        </w:rPr>
      </w:pPr>
      <w:r w:rsidRPr="00FF2750">
        <w:rPr>
          <w:rFonts w:ascii="Arial" w:eastAsia="Calibri" w:hAnsi="Arial" w:cs="Arial"/>
          <w:b/>
          <w:color w:val="BF8F00"/>
          <w:sz w:val="26"/>
        </w:rPr>
        <w:lastRenderedPageBreak/>
        <w:t>Telekomunikační zařízení</w:t>
      </w:r>
    </w:p>
    <w:p w14:paraId="3D00CC4B" w14:textId="77777777" w:rsidR="00FF2750" w:rsidRPr="00FF2750" w:rsidRDefault="00FF2750" w:rsidP="00FF2750">
      <w:pPr>
        <w:spacing w:after="31" w:line="249" w:lineRule="auto"/>
        <w:ind w:right="-5" w:firstLine="700"/>
        <w:rPr>
          <w:rFonts w:ascii="Arial" w:hAnsi="Arial" w:cs="Arial"/>
          <w:color w:val="BF8F00"/>
          <w:sz w:val="22"/>
          <w:szCs w:val="22"/>
        </w:rPr>
      </w:pPr>
      <w:r w:rsidRPr="00FF2750">
        <w:rPr>
          <w:rFonts w:ascii="Arial" w:hAnsi="Arial" w:cs="Arial"/>
          <w:color w:val="BF8F00"/>
          <w:sz w:val="22"/>
          <w:szCs w:val="22"/>
        </w:rPr>
        <w:t>Ochranné pásmo pozemních telekomunikačních vedení činí 1,5 m po stranách krajního vedení.</w:t>
      </w:r>
    </w:p>
    <w:p w14:paraId="62AA315C" w14:textId="77777777" w:rsidR="00FF2750" w:rsidRPr="00FF2750" w:rsidRDefault="00FF2750" w:rsidP="00FF2750">
      <w:pPr>
        <w:spacing w:after="29" w:line="266" w:lineRule="auto"/>
        <w:ind w:left="700" w:right="283" w:hanging="710"/>
        <w:rPr>
          <w:rFonts w:ascii="Arial" w:eastAsia="Calibri" w:hAnsi="Arial" w:cs="Arial"/>
          <w:b/>
          <w:color w:val="BF8F00"/>
          <w:sz w:val="26"/>
        </w:rPr>
      </w:pPr>
    </w:p>
    <w:p w14:paraId="363487A4" w14:textId="77777777" w:rsidR="00FF2750" w:rsidRPr="00FF2750" w:rsidRDefault="00FF2750" w:rsidP="00FF2750">
      <w:pPr>
        <w:spacing w:after="29" w:line="266" w:lineRule="auto"/>
        <w:ind w:left="700" w:right="283" w:hanging="710"/>
        <w:rPr>
          <w:rFonts w:ascii="Arial" w:eastAsia="Calibri" w:hAnsi="Arial" w:cs="Arial"/>
          <w:b/>
          <w:color w:val="BF8F00"/>
          <w:sz w:val="26"/>
        </w:rPr>
      </w:pPr>
      <w:r w:rsidRPr="00FF2750">
        <w:rPr>
          <w:rFonts w:ascii="Arial" w:eastAsia="Calibri" w:hAnsi="Arial" w:cs="Arial"/>
          <w:b/>
          <w:color w:val="BF8F00"/>
          <w:sz w:val="26"/>
        </w:rPr>
        <w:t>Radiokomunikační zařízení</w:t>
      </w:r>
    </w:p>
    <w:p w14:paraId="184463AA" w14:textId="77777777" w:rsidR="00FF2750" w:rsidRPr="00FF2750" w:rsidRDefault="00FF2750" w:rsidP="00FF2750">
      <w:pPr>
        <w:spacing w:after="31" w:line="249" w:lineRule="auto"/>
        <w:ind w:right="-5" w:firstLine="700"/>
        <w:rPr>
          <w:rFonts w:ascii="Arial" w:hAnsi="Arial" w:cs="Arial"/>
          <w:color w:val="BF8F00"/>
          <w:sz w:val="22"/>
          <w:szCs w:val="22"/>
        </w:rPr>
      </w:pPr>
      <w:r w:rsidRPr="00FF2750">
        <w:rPr>
          <w:rFonts w:ascii="Arial" w:hAnsi="Arial" w:cs="Arial"/>
          <w:color w:val="BF8F00"/>
          <w:sz w:val="22"/>
          <w:szCs w:val="22"/>
        </w:rPr>
        <w:t>U radioreléových tras musí být zachována přímá viditelnost a u jejich koncových bodů je vymezeno ochranné pásmo o poloměru 500 m, kde nesmí být umístěn rušivý zdroj elektromagnetického vlnění.</w:t>
      </w:r>
    </w:p>
    <w:p w14:paraId="12B0365F" w14:textId="77777777" w:rsidR="00FF2750" w:rsidRPr="00FF2750" w:rsidRDefault="00FF2750" w:rsidP="00FF2750">
      <w:pPr>
        <w:rPr>
          <w:rFonts w:ascii="Arial" w:hAnsi="Arial" w:cs="Arial"/>
        </w:rPr>
      </w:pPr>
    </w:p>
    <w:p w14:paraId="0D22842D" w14:textId="77777777" w:rsidR="00FF2750" w:rsidRDefault="00FF2750" w:rsidP="00FF2750">
      <w:pPr>
        <w:spacing w:before="120" w:line="288" w:lineRule="auto"/>
        <w:jc w:val="both"/>
        <w:rPr>
          <w:rFonts w:ascii="Arial" w:hAnsi="Arial" w:cs="Arial"/>
          <w:color w:val="BF8F00"/>
          <w:sz w:val="22"/>
          <w:szCs w:val="22"/>
        </w:rPr>
      </w:pPr>
    </w:p>
    <w:p w14:paraId="00356587" w14:textId="77777777" w:rsidR="00FF2750" w:rsidRPr="00FF2750" w:rsidRDefault="00FF2750" w:rsidP="00FF2750">
      <w:pPr>
        <w:spacing w:before="120" w:line="288" w:lineRule="auto"/>
        <w:jc w:val="both"/>
        <w:rPr>
          <w:rFonts w:ascii="Arial" w:hAnsi="Arial" w:cs="Arial"/>
          <w:color w:val="BF8F00"/>
          <w:sz w:val="22"/>
          <w:szCs w:val="22"/>
        </w:rPr>
      </w:pPr>
    </w:p>
    <w:p w14:paraId="1B84A1D8" w14:textId="77777777" w:rsidR="00FF2750" w:rsidRPr="00FF2750" w:rsidRDefault="00FF2750" w:rsidP="00FF2750">
      <w:pPr>
        <w:spacing w:before="120" w:line="288" w:lineRule="auto"/>
        <w:jc w:val="both"/>
        <w:rPr>
          <w:rFonts w:ascii="Arial" w:hAnsi="Arial" w:cs="Arial"/>
          <w:b/>
          <w:color w:val="0066FF"/>
        </w:rPr>
      </w:pPr>
      <w:r w:rsidRPr="00FF2750">
        <w:rPr>
          <w:rFonts w:ascii="Arial" w:hAnsi="Arial" w:cs="Arial"/>
          <w:b/>
          <w:color w:val="0066FF"/>
        </w:rPr>
        <w:t>(Z4) LIMITY VYUŽITÍ ÚZEMÍ VČETNĚ STANOVENÍ ZÁPLAVOVÝCH ÚZEMÍ</w:t>
      </w:r>
    </w:p>
    <w:p w14:paraId="4A419EFB"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LIMITY VSTUPNÍ</w:t>
      </w:r>
    </w:p>
    <w:p w14:paraId="527CDE4C"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Ochrana přírody</w:t>
      </w:r>
    </w:p>
    <w:p w14:paraId="1B68DEA8" w14:textId="77777777" w:rsidR="00FF2750" w:rsidRPr="00FF2750" w:rsidRDefault="00FF2750" w:rsidP="00FF2750">
      <w:pPr>
        <w:numPr>
          <w:ilvl w:val="0"/>
          <w:numId w:val="91"/>
        </w:numPr>
        <w:suppressAutoHyphens w:val="0"/>
        <w:spacing w:before="120" w:line="288" w:lineRule="auto"/>
        <w:ind w:left="426"/>
        <w:jc w:val="both"/>
        <w:rPr>
          <w:rFonts w:ascii="Arial" w:hAnsi="Arial" w:cs="Arial"/>
          <w:color w:val="0066FF"/>
          <w:sz w:val="22"/>
          <w:szCs w:val="22"/>
        </w:rPr>
      </w:pPr>
      <w:r w:rsidRPr="00FF2750">
        <w:rPr>
          <w:rFonts w:ascii="Arial" w:hAnsi="Arial" w:cs="Arial"/>
          <w:color w:val="0066FF"/>
          <w:sz w:val="22"/>
          <w:szCs w:val="22"/>
        </w:rPr>
        <w:t>CHKO České středohoří IV. zóna.</w:t>
      </w:r>
    </w:p>
    <w:p w14:paraId="21328CBA"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DOPRAVA</w:t>
      </w:r>
    </w:p>
    <w:p w14:paraId="2B4D902A"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Ochranné pásmo dráhy</w:t>
      </w:r>
    </w:p>
    <w:p w14:paraId="59A077DE" w14:textId="77777777" w:rsidR="00FF2750" w:rsidRPr="00FF2750" w:rsidRDefault="00FF2750" w:rsidP="00FF2750">
      <w:pPr>
        <w:spacing w:before="120" w:line="288" w:lineRule="auto"/>
        <w:ind w:firstLine="709"/>
        <w:jc w:val="both"/>
        <w:rPr>
          <w:rFonts w:ascii="Arial" w:hAnsi="Arial" w:cs="Arial"/>
          <w:color w:val="0066FF"/>
          <w:sz w:val="22"/>
          <w:szCs w:val="22"/>
        </w:rPr>
      </w:pPr>
      <w:r w:rsidRPr="00FF2750">
        <w:rPr>
          <w:rFonts w:ascii="Arial" w:hAnsi="Arial" w:cs="Arial"/>
          <w:color w:val="0066FF"/>
          <w:sz w:val="22"/>
          <w:szCs w:val="22"/>
        </w:rPr>
        <w:t>Ustanovení o ochranném pásmu obsahuje zákon o drahách. Ochranné pásmo dráhy činí:</w:t>
      </w:r>
    </w:p>
    <w:p w14:paraId="7C236CF7" w14:textId="77777777" w:rsidR="00FF2750" w:rsidRPr="00FF2750" w:rsidRDefault="00FF2750" w:rsidP="00FF2750">
      <w:pPr>
        <w:numPr>
          <w:ilvl w:val="0"/>
          <w:numId w:val="91"/>
        </w:numPr>
        <w:suppressAutoHyphens w:val="0"/>
        <w:spacing w:before="120" w:line="288" w:lineRule="auto"/>
        <w:ind w:left="426"/>
        <w:jc w:val="both"/>
        <w:rPr>
          <w:rFonts w:ascii="Arial" w:hAnsi="Arial" w:cs="Arial"/>
          <w:color w:val="0066FF"/>
          <w:sz w:val="22"/>
          <w:szCs w:val="22"/>
        </w:rPr>
      </w:pPr>
      <w:r w:rsidRPr="00FF2750">
        <w:rPr>
          <w:rFonts w:ascii="Arial" w:hAnsi="Arial" w:cs="Arial"/>
          <w:color w:val="0066FF"/>
          <w:sz w:val="22"/>
          <w:szCs w:val="22"/>
        </w:rPr>
        <w:t>u drah celostátních (tratě tvořící souvislou železniční síť) 60 m od osy krajní koleje, nejméně však 30 m od hranic obvodu dráhy (tj. od hranic drážních pozemků)</w:t>
      </w:r>
    </w:p>
    <w:p w14:paraId="76184074" w14:textId="77777777" w:rsidR="00FF2750" w:rsidRPr="00FF2750" w:rsidRDefault="00FF2750" w:rsidP="00FF2750">
      <w:pPr>
        <w:spacing w:before="120" w:line="288" w:lineRule="auto"/>
        <w:ind w:firstLine="709"/>
        <w:jc w:val="both"/>
        <w:rPr>
          <w:rFonts w:ascii="Arial" w:hAnsi="Arial" w:cs="Arial"/>
          <w:color w:val="0066FF"/>
          <w:sz w:val="22"/>
          <w:szCs w:val="22"/>
        </w:rPr>
      </w:pPr>
      <w:r w:rsidRPr="00FF2750">
        <w:rPr>
          <w:rFonts w:ascii="Arial" w:hAnsi="Arial" w:cs="Arial"/>
          <w:color w:val="0066FF"/>
          <w:sz w:val="22"/>
          <w:szCs w:val="22"/>
        </w:rPr>
        <w:t>V ochranném pásmu je povoleno stavět pouze drážní stavby. Stavební činnost neželezničního investora je možná pouze s nutným souhlasem Drážního úřadu.</w:t>
      </w:r>
    </w:p>
    <w:p w14:paraId="1B6DA4BE"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VODNÍ HOSPODÁŘSTVÍ, ODKANALIZOVÁNÍ</w:t>
      </w:r>
    </w:p>
    <w:p w14:paraId="5855D793"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Ochrana vody</w:t>
      </w:r>
    </w:p>
    <w:p w14:paraId="703C1856" w14:textId="77777777" w:rsidR="00FF2750" w:rsidRPr="00FF2750" w:rsidRDefault="00FF2750" w:rsidP="00FF2750">
      <w:pPr>
        <w:spacing w:before="120" w:line="288" w:lineRule="auto"/>
        <w:ind w:firstLine="709"/>
        <w:jc w:val="both"/>
        <w:rPr>
          <w:rFonts w:ascii="Arial" w:hAnsi="Arial" w:cs="Arial"/>
          <w:color w:val="0066FF"/>
          <w:sz w:val="22"/>
          <w:szCs w:val="22"/>
        </w:rPr>
      </w:pPr>
      <w:r w:rsidRPr="00FF2750">
        <w:rPr>
          <w:rFonts w:ascii="Arial" w:hAnsi="Arial" w:cs="Arial"/>
          <w:color w:val="0066FF"/>
          <w:sz w:val="22"/>
          <w:szCs w:val="22"/>
        </w:rPr>
        <w:t>Navržené změny se nedotýkají ochranných pásem vodních zdrojů.</w:t>
      </w:r>
    </w:p>
    <w:p w14:paraId="4C7E97B3" w14:textId="77777777" w:rsidR="00FF2750" w:rsidRPr="00FF2750" w:rsidRDefault="00FF2750" w:rsidP="00FF2750">
      <w:pPr>
        <w:spacing w:before="120" w:line="288" w:lineRule="auto"/>
        <w:ind w:firstLine="709"/>
        <w:jc w:val="both"/>
        <w:rPr>
          <w:rFonts w:ascii="Arial" w:hAnsi="Arial" w:cs="Arial"/>
          <w:color w:val="0066FF"/>
          <w:sz w:val="22"/>
          <w:szCs w:val="22"/>
        </w:rPr>
      </w:pPr>
      <w:r w:rsidRPr="00FF2750">
        <w:rPr>
          <w:rFonts w:ascii="Arial" w:hAnsi="Arial" w:cs="Arial"/>
          <w:color w:val="0066FF"/>
          <w:sz w:val="22"/>
          <w:szCs w:val="22"/>
        </w:rPr>
        <w:t>Předmětná lokalita je mimo CHOPAV Severočeská křída.</w:t>
      </w:r>
    </w:p>
    <w:p w14:paraId="2F8E7CA1"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Ochranná pásma vodohospodářské infrastruktury</w:t>
      </w:r>
    </w:p>
    <w:p w14:paraId="084FF4B9" w14:textId="77777777" w:rsidR="00FF2750" w:rsidRPr="00FF2750" w:rsidRDefault="00FF2750" w:rsidP="00FF2750">
      <w:pPr>
        <w:spacing w:before="120" w:line="288" w:lineRule="auto"/>
        <w:ind w:firstLine="709"/>
        <w:jc w:val="both"/>
        <w:rPr>
          <w:rFonts w:ascii="Arial" w:hAnsi="Arial" w:cs="Arial"/>
          <w:color w:val="0066FF"/>
          <w:sz w:val="22"/>
          <w:szCs w:val="22"/>
        </w:rPr>
      </w:pPr>
      <w:r w:rsidRPr="00FF2750">
        <w:rPr>
          <w:rFonts w:ascii="Arial" w:hAnsi="Arial" w:cs="Arial"/>
          <w:color w:val="0066FF"/>
          <w:sz w:val="22"/>
          <w:szCs w:val="22"/>
        </w:rPr>
        <w:t>Ochranná pásma vodovodních řadů a kanalizačních stok jsou stanovena §23 zákona 274/2001 Sb. (zákon o vodovodech a kanalizacích).</w:t>
      </w:r>
    </w:p>
    <w:p w14:paraId="7E6C1493" w14:textId="77777777" w:rsidR="00FF2750" w:rsidRPr="00FF2750" w:rsidRDefault="00FF2750" w:rsidP="00FF2750">
      <w:pPr>
        <w:spacing w:before="120" w:line="288" w:lineRule="auto"/>
        <w:ind w:firstLine="709"/>
        <w:jc w:val="both"/>
        <w:rPr>
          <w:rFonts w:ascii="Arial" w:hAnsi="Arial" w:cs="Arial"/>
          <w:color w:val="0066FF"/>
          <w:sz w:val="22"/>
          <w:szCs w:val="22"/>
        </w:rPr>
      </w:pPr>
      <w:r w:rsidRPr="00FF2750">
        <w:rPr>
          <w:rFonts w:ascii="Arial" w:hAnsi="Arial" w:cs="Arial"/>
          <w:color w:val="0066FF"/>
          <w:sz w:val="22"/>
          <w:szCs w:val="22"/>
        </w:rPr>
        <w:t>Ochranná pásma jsou vymezena vodorovnou vzdáleností od vnějšího líce stěny potrubí nebo kanalizační stoky na každou stranu.</w:t>
      </w:r>
    </w:p>
    <w:p w14:paraId="135E5486" w14:textId="77777777" w:rsidR="00FF2750" w:rsidRPr="00FF2750" w:rsidRDefault="00FF2750" w:rsidP="00FF2750">
      <w:pPr>
        <w:pStyle w:val="Odstavecseseznamem"/>
        <w:numPr>
          <w:ilvl w:val="0"/>
          <w:numId w:val="92"/>
        </w:numPr>
        <w:spacing w:before="120" w:after="0" w:line="288" w:lineRule="auto"/>
        <w:ind w:left="425" w:hanging="357"/>
        <w:jc w:val="both"/>
        <w:rPr>
          <w:rFonts w:ascii="Arial" w:hAnsi="Arial" w:cs="Arial"/>
          <w:color w:val="0066FF"/>
        </w:rPr>
      </w:pPr>
      <w:r w:rsidRPr="00FF2750">
        <w:rPr>
          <w:rFonts w:ascii="Arial" w:hAnsi="Arial" w:cs="Arial"/>
          <w:color w:val="0066FF"/>
        </w:rPr>
        <w:t>u vodovodních řádů a kanalizačních stok do průměru 500 mm. včetně 1,5 m;</w:t>
      </w:r>
    </w:p>
    <w:p w14:paraId="24DD5BBE" w14:textId="77777777" w:rsidR="00FF2750" w:rsidRDefault="00FF2750" w:rsidP="00FF2750">
      <w:pPr>
        <w:pStyle w:val="Odstavecseseznamem"/>
        <w:numPr>
          <w:ilvl w:val="0"/>
          <w:numId w:val="92"/>
        </w:numPr>
        <w:spacing w:before="120" w:after="0" w:line="288" w:lineRule="auto"/>
        <w:ind w:left="425" w:hanging="357"/>
        <w:jc w:val="both"/>
        <w:rPr>
          <w:rFonts w:ascii="Arial" w:hAnsi="Arial" w:cs="Arial"/>
          <w:color w:val="0066FF"/>
        </w:rPr>
      </w:pPr>
      <w:r w:rsidRPr="00FF2750">
        <w:rPr>
          <w:rFonts w:ascii="Arial" w:hAnsi="Arial" w:cs="Arial"/>
          <w:color w:val="0066FF"/>
        </w:rPr>
        <w:t>vodovodní řad DN 200 přecházející přes lokalitu bude z části přeložen na veřejný pozemek;</w:t>
      </w:r>
    </w:p>
    <w:p w14:paraId="5B15514D" w14:textId="77777777" w:rsidR="00FF2750" w:rsidRDefault="00FF2750" w:rsidP="00FF2750">
      <w:pPr>
        <w:pStyle w:val="Odstavecseseznamem"/>
        <w:spacing w:before="120" w:after="0" w:line="288" w:lineRule="auto"/>
        <w:ind w:left="425"/>
        <w:jc w:val="both"/>
        <w:rPr>
          <w:rFonts w:ascii="Arial" w:hAnsi="Arial" w:cs="Arial"/>
          <w:color w:val="0066FF"/>
        </w:rPr>
      </w:pPr>
    </w:p>
    <w:p w14:paraId="5BDCE989" w14:textId="77777777" w:rsidR="00FF2750" w:rsidRPr="00FF2750" w:rsidRDefault="00FF2750" w:rsidP="00FF2750">
      <w:pPr>
        <w:pStyle w:val="Odstavecseseznamem"/>
        <w:spacing w:before="120" w:after="0" w:line="288" w:lineRule="auto"/>
        <w:ind w:left="425"/>
        <w:jc w:val="both"/>
        <w:rPr>
          <w:rFonts w:ascii="Arial" w:hAnsi="Arial" w:cs="Arial"/>
          <w:color w:val="0066FF"/>
        </w:rPr>
      </w:pPr>
    </w:p>
    <w:p w14:paraId="44F8228F" w14:textId="77777777" w:rsidR="00FF2750" w:rsidRPr="00FF2750" w:rsidRDefault="00FF2750" w:rsidP="00FF2750">
      <w:pPr>
        <w:pStyle w:val="Odstavecseseznamem"/>
        <w:numPr>
          <w:ilvl w:val="0"/>
          <w:numId w:val="92"/>
        </w:numPr>
        <w:spacing w:before="120" w:after="0" w:line="288" w:lineRule="auto"/>
        <w:ind w:left="425" w:hanging="357"/>
        <w:jc w:val="both"/>
        <w:rPr>
          <w:rFonts w:ascii="Arial" w:hAnsi="Arial" w:cs="Arial"/>
          <w:color w:val="0066FF"/>
        </w:rPr>
      </w:pPr>
      <w:r w:rsidRPr="00FF2750">
        <w:rPr>
          <w:rFonts w:ascii="Arial" w:hAnsi="Arial" w:cs="Arial"/>
          <w:color w:val="0066FF"/>
        </w:rPr>
        <w:lastRenderedPageBreak/>
        <w:t>v ochranném pásmu v zásadě lze provádět terénní úpravy, vysazovat trvalé porosty jen s písemným souhlasem vlastníka vodovodu nebo “kanalizace, případně provozovatele.</w:t>
      </w:r>
    </w:p>
    <w:p w14:paraId="7E52901A"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Ochranná pásma energetických a spojových sítí</w:t>
      </w:r>
    </w:p>
    <w:p w14:paraId="406F3293"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Elektroenergetika</w:t>
      </w:r>
    </w:p>
    <w:p w14:paraId="04F4186F" w14:textId="77777777" w:rsidR="00FF2750" w:rsidRPr="00FF2750" w:rsidRDefault="00FF2750" w:rsidP="00FF2750">
      <w:pPr>
        <w:spacing w:before="120" w:line="288" w:lineRule="auto"/>
        <w:jc w:val="both"/>
        <w:rPr>
          <w:rFonts w:ascii="Arial" w:hAnsi="Arial" w:cs="Arial"/>
          <w:i/>
          <w:color w:val="0066FF"/>
          <w:sz w:val="22"/>
          <w:szCs w:val="22"/>
        </w:rPr>
      </w:pPr>
      <w:r w:rsidRPr="00FF2750">
        <w:rPr>
          <w:rFonts w:ascii="Arial" w:hAnsi="Arial" w:cs="Arial"/>
          <w:i/>
          <w:color w:val="0066FF"/>
          <w:sz w:val="22"/>
          <w:szCs w:val="22"/>
        </w:rPr>
        <w:t>Ochranná pásma</w:t>
      </w:r>
    </w:p>
    <w:p w14:paraId="235A0470" w14:textId="77777777" w:rsidR="00FF2750" w:rsidRPr="00FF2750" w:rsidRDefault="00FF2750" w:rsidP="00FF2750">
      <w:pPr>
        <w:spacing w:before="120" w:line="288" w:lineRule="auto"/>
        <w:ind w:firstLine="709"/>
        <w:jc w:val="both"/>
        <w:rPr>
          <w:rFonts w:ascii="Arial" w:hAnsi="Arial" w:cs="Arial"/>
          <w:color w:val="0066FF"/>
          <w:sz w:val="22"/>
          <w:szCs w:val="22"/>
        </w:rPr>
      </w:pPr>
      <w:r w:rsidRPr="00FF2750">
        <w:rPr>
          <w:rFonts w:ascii="Arial" w:hAnsi="Arial" w:cs="Arial"/>
          <w:color w:val="0066FF"/>
          <w:sz w:val="22"/>
          <w:szCs w:val="22"/>
        </w:rPr>
        <w:t>Ochranné pásmo podzemního vedení elektrizační soustavy do 110 kV včetně a vedení řídicí, měřicí a zabezpečovací techniky činí 1 m po obou stranách krajního kabelu.</w:t>
      </w:r>
    </w:p>
    <w:p w14:paraId="4F68F34F" w14:textId="77777777" w:rsidR="00FF2750" w:rsidRPr="00FF2750" w:rsidRDefault="00FF2750" w:rsidP="00FF2750">
      <w:pPr>
        <w:spacing w:before="120" w:line="288" w:lineRule="auto"/>
        <w:ind w:firstLine="709"/>
        <w:jc w:val="both"/>
        <w:rPr>
          <w:rFonts w:ascii="Arial" w:hAnsi="Arial" w:cs="Arial"/>
          <w:color w:val="0066FF"/>
          <w:sz w:val="22"/>
          <w:szCs w:val="22"/>
        </w:rPr>
      </w:pPr>
      <w:r w:rsidRPr="00FF2750">
        <w:rPr>
          <w:rFonts w:ascii="Arial" w:hAnsi="Arial" w:cs="Arial"/>
          <w:color w:val="0066FF"/>
          <w:sz w:val="22"/>
          <w:szCs w:val="22"/>
        </w:rPr>
        <w:t>Ochranné pásmo u kompaktních a zděných elektrických stanic s převodem napětí z úrovně nad 1 kV a menší než 52 kV na úroveň nízkého napětí je 2 m.</w:t>
      </w:r>
    </w:p>
    <w:p w14:paraId="084B0780"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Plynoenergetika</w:t>
      </w:r>
    </w:p>
    <w:p w14:paraId="416B7F42" w14:textId="77777777" w:rsidR="00FF2750" w:rsidRPr="00FF2750" w:rsidRDefault="00FF2750" w:rsidP="00FF2750">
      <w:pPr>
        <w:spacing w:before="120" w:line="288" w:lineRule="auto"/>
        <w:jc w:val="both"/>
        <w:rPr>
          <w:rFonts w:ascii="Arial" w:hAnsi="Arial" w:cs="Arial"/>
          <w:i/>
          <w:color w:val="0066FF"/>
          <w:sz w:val="22"/>
          <w:szCs w:val="22"/>
        </w:rPr>
      </w:pPr>
      <w:r w:rsidRPr="00FF2750">
        <w:rPr>
          <w:rFonts w:ascii="Arial" w:hAnsi="Arial" w:cs="Arial"/>
          <w:i/>
          <w:color w:val="0066FF"/>
          <w:sz w:val="22"/>
          <w:szCs w:val="22"/>
        </w:rPr>
        <w:t>Ochranná pásma činí:</w:t>
      </w:r>
    </w:p>
    <w:p w14:paraId="53FDE4F0" w14:textId="77777777" w:rsidR="00FF2750" w:rsidRPr="00FF2750" w:rsidRDefault="00FF2750" w:rsidP="00FF2750">
      <w:pPr>
        <w:numPr>
          <w:ilvl w:val="1"/>
          <w:numId w:val="93"/>
        </w:numPr>
        <w:suppressAutoHyphens w:val="0"/>
        <w:spacing w:before="120" w:line="288" w:lineRule="auto"/>
        <w:ind w:left="426"/>
        <w:jc w:val="both"/>
        <w:rPr>
          <w:rFonts w:ascii="Arial" w:hAnsi="Arial" w:cs="Arial"/>
          <w:color w:val="0066FF"/>
          <w:sz w:val="22"/>
          <w:szCs w:val="22"/>
        </w:rPr>
      </w:pPr>
      <w:r w:rsidRPr="00FF2750">
        <w:rPr>
          <w:rFonts w:ascii="Arial" w:hAnsi="Arial" w:cs="Arial"/>
          <w:color w:val="0066FF"/>
          <w:sz w:val="22"/>
          <w:szCs w:val="22"/>
        </w:rPr>
        <w:t>u nízkotlakých a středotlakých plynovodů a plynovodních přípojek, jimiž se rozvádí plyn v zastavěném území obce 1 m na obě strany od půdorysu;</w:t>
      </w:r>
    </w:p>
    <w:p w14:paraId="4E449C7C" w14:textId="77777777" w:rsidR="00FF2750" w:rsidRPr="00FF2750" w:rsidRDefault="00FF2750" w:rsidP="00FF2750">
      <w:pPr>
        <w:numPr>
          <w:ilvl w:val="1"/>
          <w:numId w:val="93"/>
        </w:numPr>
        <w:suppressAutoHyphens w:val="0"/>
        <w:spacing w:before="120" w:line="288" w:lineRule="auto"/>
        <w:ind w:left="426"/>
        <w:jc w:val="both"/>
        <w:rPr>
          <w:rFonts w:ascii="Arial" w:hAnsi="Arial" w:cs="Arial"/>
          <w:color w:val="0066FF"/>
          <w:sz w:val="22"/>
          <w:szCs w:val="22"/>
        </w:rPr>
      </w:pPr>
      <w:r w:rsidRPr="00FF2750">
        <w:rPr>
          <w:rFonts w:ascii="Arial" w:hAnsi="Arial" w:cs="Arial"/>
          <w:color w:val="0066FF"/>
          <w:sz w:val="22"/>
          <w:szCs w:val="22"/>
        </w:rPr>
        <w:t>u ostatních plynovodů a plynovodních přípojek 4 m na obě strany od půdorysu;</w:t>
      </w:r>
    </w:p>
    <w:p w14:paraId="39341DF5" w14:textId="77777777" w:rsidR="00FF2750" w:rsidRPr="00FF2750" w:rsidRDefault="00FF2750" w:rsidP="00FF2750">
      <w:pPr>
        <w:numPr>
          <w:ilvl w:val="1"/>
          <w:numId w:val="93"/>
        </w:numPr>
        <w:suppressAutoHyphens w:val="0"/>
        <w:spacing w:before="120" w:line="288" w:lineRule="auto"/>
        <w:ind w:left="426"/>
        <w:jc w:val="both"/>
        <w:rPr>
          <w:rFonts w:ascii="Arial" w:hAnsi="Arial" w:cs="Arial"/>
          <w:color w:val="0066FF"/>
          <w:sz w:val="22"/>
          <w:szCs w:val="22"/>
        </w:rPr>
      </w:pPr>
      <w:r w:rsidRPr="00FF2750">
        <w:rPr>
          <w:rFonts w:ascii="Arial" w:hAnsi="Arial" w:cs="Arial"/>
          <w:color w:val="0066FF"/>
          <w:sz w:val="22"/>
          <w:szCs w:val="22"/>
        </w:rPr>
        <w:t>u technologických objektů 4 m na všechny strany od půdorysu.</w:t>
      </w:r>
    </w:p>
    <w:p w14:paraId="1F6E22D6"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LIMITY VÝSTUPNÍ</w:t>
      </w:r>
    </w:p>
    <w:p w14:paraId="5F3B359F"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Vodní hospodářství, odkanalizování</w:t>
      </w:r>
    </w:p>
    <w:p w14:paraId="7D84F258" w14:textId="77777777" w:rsidR="00FF2750" w:rsidRPr="00FF2750" w:rsidRDefault="00FF2750" w:rsidP="00FF2750">
      <w:pPr>
        <w:pStyle w:val="Odstavecseseznamem"/>
        <w:numPr>
          <w:ilvl w:val="0"/>
          <w:numId w:val="94"/>
        </w:numPr>
        <w:spacing w:before="120" w:after="0" w:line="288" w:lineRule="auto"/>
        <w:ind w:left="426"/>
        <w:jc w:val="both"/>
        <w:rPr>
          <w:rFonts w:ascii="Arial" w:hAnsi="Arial" w:cs="Arial"/>
          <w:color w:val="0066FF"/>
        </w:rPr>
      </w:pPr>
      <w:r w:rsidRPr="00FF2750">
        <w:rPr>
          <w:rFonts w:ascii="Arial" w:hAnsi="Arial" w:cs="Arial"/>
          <w:color w:val="0066FF"/>
        </w:rPr>
        <w:t>Nová splašková kanalizační stoka od lokality Krásný Studenec do stávající kanalizace v Albánské ulici;</w:t>
      </w:r>
    </w:p>
    <w:p w14:paraId="70521526" w14:textId="77777777" w:rsidR="00FF2750" w:rsidRPr="00FF2750" w:rsidRDefault="00FF2750" w:rsidP="00FF2750">
      <w:pPr>
        <w:pStyle w:val="Odstavecseseznamem"/>
        <w:numPr>
          <w:ilvl w:val="0"/>
          <w:numId w:val="94"/>
        </w:numPr>
        <w:spacing w:before="120" w:after="0" w:line="288" w:lineRule="auto"/>
        <w:ind w:left="426"/>
        <w:jc w:val="both"/>
        <w:rPr>
          <w:rFonts w:ascii="Arial" w:hAnsi="Arial" w:cs="Arial"/>
          <w:color w:val="0066FF"/>
        </w:rPr>
      </w:pPr>
      <w:r w:rsidRPr="00FF2750">
        <w:rPr>
          <w:rFonts w:ascii="Arial" w:hAnsi="Arial" w:cs="Arial"/>
          <w:color w:val="0066FF"/>
        </w:rPr>
        <w:t>Přeložka části vodovodního řadu DN 200 jdoucího po soukromých pozemcích uvnitř lokality Krásný Studenec.</w:t>
      </w:r>
    </w:p>
    <w:p w14:paraId="18024453" w14:textId="77777777" w:rsidR="00FF2750" w:rsidRPr="00FF2750" w:rsidRDefault="00FF2750" w:rsidP="00FF2750">
      <w:pPr>
        <w:spacing w:before="120" w:line="288" w:lineRule="auto"/>
        <w:jc w:val="both"/>
        <w:rPr>
          <w:rFonts w:ascii="Arial" w:hAnsi="Arial" w:cs="Arial"/>
          <w:b/>
          <w:color w:val="0066FF"/>
          <w:sz w:val="22"/>
          <w:szCs w:val="22"/>
        </w:rPr>
      </w:pPr>
      <w:r w:rsidRPr="00FF2750">
        <w:rPr>
          <w:rFonts w:ascii="Arial" w:hAnsi="Arial" w:cs="Arial"/>
          <w:b/>
          <w:color w:val="0066FF"/>
          <w:sz w:val="22"/>
          <w:szCs w:val="22"/>
        </w:rPr>
        <w:t>Energetika a spoje</w:t>
      </w:r>
    </w:p>
    <w:p w14:paraId="2A03DED3" w14:textId="77777777" w:rsidR="00FF2750" w:rsidRPr="00FF2750" w:rsidRDefault="00FF2750" w:rsidP="00FF2750">
      <w:pPr>
        <w:pStyle w:val="Odstavecseseznamem"/>
        <w:numPr>
          <w:ilvl w:val="0"/>
          <w:numId w:val="94"/>
        </w:numPr>
        <w:spacing w:before="120" w:after="0" w:line="288" w:lineRule="auto"/>
        <w:ind w:left="426"/>
        <w:jc w:val="both"/>
        <w:rPr>
          <w:rFonts w:ascii="Arial" w:hAnsi="Arial" w:cs="Arial"/>
          <w:color w:val="0066FF"/>
        </w:rPr>
      </w:pPr>
      <w:r w:rsidRPr="00FF2750">
        <w:rPr>
          <w:rFonts w:ascii="Arial" w:hAnsi="Arial" w:cs="Arial"/>
          <w:color w:val="0066FF"/>
        </w:rPr>
        <w:t>Výstavba STL plynovodu pro zásobování rozvojové plochy Krásný Studenec včetně rozvojových ploch III/7, 11/13 a 11/14 z návrhu UPn M 2002.</w:t>
      </w:r>
    </w:p>
    <w:p w14:paraId="718800BE" w14:textId="77777777" w:rsidR="00FF2750" w:rsidRDefault="00FF2750" w:rsidP="00FF2750">
      <w:pPr>
        <w:spacing w:before="120" w:line="288" w:lineRule="auto"/>
        <w:jc w:val="both"/>
        <w:rPr>
          <w:rFonts w:ascii="Arial" w:hAnsi="Arial" w:cs="Arial"/>
          <w:color w:val="BF8F00"/>
          <w:sz w:val="22"/>
          <w:szCs w:val="22"/>
        </w:rPr>
      </w:pPr>
    </w:p>
    <w:p w14:paraId="09916CCB" w14:textId="77777777" w:rsidR="00FF2750" w:rsidRPr="00FF2750" w:rsidRDefault="00FF2750" w:rsidP="00FF2750">
      <w:pPr>
        <w:spacing w:before="120" w:line="288" w:lineRule="auto"/>
        <w:jc w:val="both"/>
        <w:rPr>
          <w:rFonts w:ascii="Arial" w:hAnsi="Arial" w:cs="Arial"/>
          <w:color w:val="BF8F00"/>
          <w:sz w:val="22"/>
          <w:szCs w:val="22"/>
        </w:rPr>
      </w:pPr>
    </w:p>
    <w:p w14:paraId="2B074D49" w14:textId="77777777" w:rsidR="00FF2750" w:rsidRPr="00FF2750" w:rsidRDefault="00FF2750" w:rsidP="00FF2750">
      <w:pPr>
        <w:spacing w:before="120" w:line="288" w:lineRule="auto"/>
        <w:jc w:val="both"/>
        <w:rPr>
          <w:rFonts w:ascii="Arial" w:hAnsi="Arial" w:cs="Arial"/>
          <w:b/>
          <w:color w:val="CC3399"/>
        </w:rPr>
      </w:pPr>
      <w:r w:rsidRPr="00FF2750">
        <w:rPr>
          <w:rFonts w:ascii="Arial" w:hAnsi="Arial" w:cs="Arial"/>
          <w:b/>
          <w:color w:val="CC3399"/>
        </w:rPr>
        <w:t>(Z6)</w:t>
      </w:r>
      <w:r w:rsidRPr="00FF2750">
        <w:rPr>
          <w:rFonts w:ascii="Arial" w:hAnsi="Arial" w:cs="Arial"/>
          <w:color w:val="CC3399"/>
        </w:rPr>
        <w:t xml:space="preserve"> </w:t>
      </w:r>
      <w:r w:rsidRPr="00FF2750">
        <w:rPr>
          <w:rFonts w:ascii="Arial" w:hAnsi="Arial" w:cs="Arial"/>
          <w:b/>
          <w:color w:val="CC3399"/>
        </w:rPr>
        <w:t xml:space="preserve">ZMĚNA Č. 6.  (TEXT PŘEVZAT Z ODŮVODNĚNÍ  ZMĚNY Č. 6) </w:t>
      </w:r>
    </w:p>
    <w:p w14:paraId="522CC36F" w14:textId="77777777" w:rsidR="00FF2750" w:rsidRPr="00FF2750" w:rsidRDefault="00FF2750" w:rsidP="00FF2750">
      <w:pPr>
        <w:spacing w:after="29" w:line="266" w:lineRule="auto"/>
        <w:ind w:left="700" w:right="283" w:hanging="710"/>
        <w:rPr>
          <w:rFonts w:ascii="Arial" w:eastAsia="Calibri" w:hAnsi="Arial" w:cs="Arial"/>
          <w:b/>
          <w:color w:val="CC3399"/>
          <w:sz w:val="26"/>
        </w:rPr>
      </w:pPr>
      <w:r w:rsidRPr="00FF2750">
        <w:rPr>
          <w:rFonts w:ascii="Arial" w:eastAsia="Calibri" w:hAnsi="Arial" w:cs="Arial"/>
          <w:b/>
          <w:color w:val="CC3399"/>
          <w:sz w:val="26"/>
        </w:rPr>
        <w:t>Ochranná a bezpečnostní pásma energetických a spojových zařízení</w:t>
      </w:r>
    </w:p>
    <w:p w14:paraId="1A5251F8" w14:textId="77777777" w:rsidR="00FF2750" w:rsidRPr="00FF2750" w:rsidRDefault="00FF2750" w:rsidP="00FF2750">
      <w:pPr>
        <w:spacing w:after="29" w:line="266" w:lineRule="auto"/>
        <w:ind w:left="700" w:right="283" w:hanging="710"/>
        <w:rPr>
          <w:rFonts w:ascii="Arial" w:eastAsia="Calibri" w:hAnsi="Arial" w:cs="Arial"/>
          <w:b/>
          <w:color w:val="CC3399"/>
          <w:sz w:val="26"/>
        </w:rPr>
      </w:pPr>
      <w:r w:rsidRPr="00FF2750">
        <w:rPr>
          <w:rFonts w:ascii="Arial" w:eastAsia="Calibri" w:hAnsi="Arial" w:cs="Arial"/>
          <w:b/>
          <w:color w:val="CC3399"/>
          <w:sz w:val="26"/>
        </w:rPr>
        <w:t>Elektroenergetika</w:t>
      </w:r>
    </w:p>
    <w:p w14:paraId="631F45FF" w14:textId="77777777" w:rsidR="00FF2750" w:rsidRPr="00FF2750" w:rsidRDefault="00FF2750" w:rsidP="00FF2750">
      <w:pPr>
        <w:spacing w:after="31" w:line="249" w:lineRule="auto"/>
        <w:ind w:right="-5" w:firstLine="700"/>
        <w:rPr>
          <w:rFonts w:ascii="Arial" w:hAnsi="Arial" w:cs="Arial"/>
          <w:color w:val="CC3399"/>
          <w:sz w:val="22"/>
          <w:szCs w:val="22"/>
        </w:rPr>
      </w:pPr>
      <w:r w:rsidRPr="00FF2750">
        <w:rPr>
          <w:rFonts w:ascii="Arial" w:hAnsi="Arial" w:cs="Arial"/>
          <w:color w:val="CC3399"/>
          <w:sz w:val="22"/>
          <w:szCs w:val="22"/>
        </w:rPr>
        <w:t>Ochranné pásmo nadzemního vedení je souvislý prostor vymezený svislými rovinami vedenými po obou stranách vedení ve vodorovné vzdálenosti měřené kolmo na vedení která činí od krajního vodiče vedení na obě jeho strany</w:t>
      </w:r>
    </w:p>
    <w:p w14:paraId="41CD3C9A" w14:textId="77777777" w:rsidR="00FF2750" w:rsidRPr="00FF2750" w:rsidRDefault="00FF2750" w:rsidP="00FF2750">
      <w:pPr>
        <w:spacing w:after="287" w:line="247" w:lineRule="auto"/>
        <w:ind w:right="14"/>
        <w:jc w:val="both"/>
        <w:rPr>
          <w:rFonts w:ascii="Arial" w:hAnsi="Arial" w:cs="Arial"/>
          <w:color w:val="CC3399"/>
          <w:sz w:val="22"/>
          <w:szCs w:val="22"/>
        </w:rPr>
      </w:pPr>
    </w:p>
    <w:p w14:paraId="799AA82C" w14:textId="77777777" w:rsidR="00FF2750" w:rsidRPr="00FF2750" w:rsidRDefault="00FF2750" w:rsidP="00FF2750">
      <w:pPr>
        <w:spacing w:after="287" w:line="247" w:lineRule="auto"/>
        <w:ind w:right="14"/>
        <w:jc w:val="both"/>
        <w:rPr>
          <w:rFonts w:ascii="Arial" w:hAnsi="Arial" w:cs="Arial"/>
          <w:color w:val="CC3399"/>
          <w:sz w:val="22"/>
          <w:szCs w:val="22"/>
        </w:rPr>
      </w:pPr>
      <w:r w:rsidRPr="00FF2750">
        <w:rPr>
          <w:rFonts w:ascii="Arial" w:hAnsi="Arial" w:cs="Arial"/>
          <w:color w:val="CC3399"/>
          <w:sz w:val="22"/>
          <w:szCs w:val="22"/>
        </w:rPr>
        <w:t>a) u napětí nad 1 kV a do 35 kV včetně</w:t>
      </w:r>
    </w:p>
    <w:p w14:paraId="3D32A415" w14:textId="77777777" w:rsidR="00FF2750" w:rsidRPr="00FF2750" w:rsidRDefault="00FF2750" w:rsidP="00FF2750">
      <w:pPr>
        <w:pStyle w:val="Znaka1"/>
        <w:numPr>
          <w:ilvl w:val="0"/>
          <w:numId w:val="88"/>
        </w:numPr>
        <w:spacing w:before="120" w:line="288" w:lineRule="auto"/>
        <w:ind w:left="357" w:hanging="357"/>
        <w:jc w:val="both"/>
        <w:rPr>
          <w:rFonts w:cs="Arial"/>
          <w:color w:val="CC3399"/>
          <w:sz w:val="22"/>
          <w:szCs w:val="22"/>
        </w:rPr>
      </w:pPr>
      <w:r w:rsidRPr="00FF2750">
        <w:rPr>
          <w:rFonts w:cs="Arial"/>
          <w:color w:val="CC3399"/>
          <w:sz w:val="22"/>
          <w:szCs w:val="22"/>
        </w:rPr>
        <w:t>pro vodiče bez izolace</w:t>
      </w:r>
    </w:p>
    <w:p w14:paraId="5ACD9C75" w14:textId="77777777" w:rsidR="00FF2750" w:rsidRPr="00FF2750" w:rsidRDefault="00FF2750" w:rsidP="00FF2750">
      <w:pPr>
        <w:pStyle w:val="Znaka1"/>
        <w:numPr>
          <w:ilvl w:val="0"/>
          <w:numId w:val="88"/>
        </w:numPr>
        <w:spacing w:before="120" w:line="288" w:lineRule="auto"/>
        <w:ind w:left="357" w:hanging="357"/>
        <w:jc w:val="both"/>
        <w:rPr>
          <w:rFonts w:cs="Arial"/>
          <w:color w:val="CC3399"/>
          <w:sz w:val="22"/>
          <w:szCs w:val="22"/>
        </w:rPr>
      </w:pPr>
      <w:r w:rsidRPr="00FF2750">
        <w:rPr>
          <w:rFonts w:cs="Arial"/>
          <w:color w:val="CC3399"/>
          <w:sz w:val="22"/>
          <w:szCs w:val="22"/>
        </w:rPr>
        <w:t>pro vodiče s izolací základní</w:t>
      </w:r>
    </w:p>
    <w:p w14:paraId="1CF824C0" w14:textId="77777777" w:rsidR="00FF2750" w:rsidRPr="00FF2750" w:rsidRDefault="00FF2750" w:rsidP="00FF2750">
      <w:pPr>
        <w:pStyle w:val="Znaka1"/>
        <w:numPr>
          <w:ilvl w:val="0"/>
          <w:numId w:val="88"/>
        </w:numPr>
        <w:spacing w:before="120" w:line="288" w:lineRule="auto"/>
        <w:ind w:left="357" w:hanging="357"/>
        <w:jc w:val="both"/>
        <w:rPr>
          <w:rFonts w:cs="Arial"/>
          <w:color w:val="CC3399"/>
          <w:sz w:val="22"/>
          <w:szCs w:val="22"/>
        </w:rPr>
      </w:pPr>
      <w:r w:rsidRPr="00FF2750">
        <w:rPr>
          <w:rFonts w:cs="Arial"/>
          <w:color w:val="CC3399"/>
          <w:sz w:val="22"/>
          <w:szCs w:val="22"/>
        </w:rPr>
        <w:lastRenderedPageBreak/>
        <w:t>pro závěsná kabelová vedení</w:t>
      </w:r>
    </w:p>
    <w:p w14:paraId="76A690F8" w14:textId="77777777" w:rsidR="00FF2750" w:rsidRPr="00FF2750" w:rsidRDefault="00FF2750" w:rsidP="00FF2750">
      <w:pPr>
        <w:pStyle w:val="Znaka1"/>
        <w:spacing w:before="120" w:line="288" w:lineRule="auto"/>
        <w:ind w:left="357"/>
        <w:jc w:val="both"/>
        <w:rPr>
          <w:rFonts w:cs="Arial"/>
          <w:color w:val="CC3399"/>
          <w:sz w:val="22"/>
          <w:szCs w:val="22"/>
        </w:rPr>
      </w:pPr>
    </w:p>
    <w:p w14:paraId="6F147546" w14:textId="77777777" w:rsidR="00FF2750" w:rsidRPr="00FF2750" w:rsidRDefault="00FF2750" w:rsidP="00FF2750">
      <w:pPr>
        <w:spacing w:after="287" w:line="247" w:lineRule="auto"/>
        <w:ind w:right="14"/>
        <w:jc w:val="both"/>
        <w:rPr>
          <w:rFonts w:ascii="Arial" w:hAnsi="Arial" w:cs="Arial"/>
          <w:color w:val="CC3399"/>
          <w:sz w:val="22"/>
          <w:szCs w:val="22"/>
        </w:rPr>
      </w:pPr>
      <w:r w:rsidRPr="00FF2750">
        <w:rPr>
          <w:rFonts w:ascii="Arial" w:hAnsi="Arial" w:cs="Arial"/>
          <w:color w:val="CC3399"/>
          <w:sz w:val="22"/>
          <w:szCs w:val="22"/>
        </w:rPr>
        <w:t>b) u napětí nad 35 kV do 1 IO kV včetně</w:t>
      </w:r>
      <w:r w:rsidRPr="00FF2750">
        <w:rPr>
          <w:rFonts w:ascii="Arial" w:hAnsi="Arial" w:cs="Arial"/>
          <w:color w:val="CC3399"/>
          <w:sz w:val="22"/>
          <w:szCs w:val="22"/>
        </w:rPr>
        <w:tab/>
        <w:t>12 m,</w:t>
      </w:r>
    </w:p>
    <w:p w14:paraId="7EE3EFF1" w14:textId="77777777" w:rsidR="00FF2750" w:rsidRPr="00FF2750" w:rsidRDefault="00FF2750" w:rsidP="00FF2750">
      <w:pPr>
        <w:spacing w:after="31" w:line="249" w:lineRule="auto"/>
        <w:ind w:right="-5" w:firstLine="700"/>
        <w:rPr>
          <w:rFonts w:ascii="Arial" w:hAnsi="Arial" w:cs="Arial"/>
          <w:color w:val="CC3399"/>
          <w:sz w:val="22"/>
          <w:szCs w:val="22"/>
        </w:rPr>
      </w:pPr>
      <w:r w:rsidRPr="00FF2750">
        <w:rPr>
          <w:rFonts w:ascii="Arial" w:hAnsi="Arial" w:cs="Arial"/>
          <w:noProof/>
          <w:color w:val="CC3399"/>
          <w:sz w:val="22"/>
          <w:szCs w:val="22"/>
          <w:lang w:eastAsia="cs-CZ"/>
        </w:rPr>
        <w:drawing>
          <wp:anchor distT="0" distB="0" distL="114300" distR="114300" simplePos="0" relativeHeight="251747328" behindDoc="0" locked="0" layoutInCell="1" allowOverlap="0" wp14:anchorId="78BE4D03" wp14:editId="379D6C38">
            <wp:simplePos x="0" y="0"/>
            <wp:positionH relativeFrom="page">
              <wp:posOffset>164465</wp:posOffset>
            </wp:positionH>
            <wp:positionV relativeFrom="page">
              <wp:posOffset>5212080</wp:posOffset>
            </wp:positionV>
            <wp:extent cx="8890" cy="8890"/>
            <wp:effectExtent l="0" t="0" r="0" b="0"/>
            <wp:wrapSquare wrapText="bothSides"/>
            <wp:docPr id="25287" name="Obrázek 25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890"/>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2750">
        <w:rPr>
          <w:rFonts w:ascii="Arial" w:hAnsi="Arial" w:cs="Arial"/>
          <w:noProof/>
          <w:color w:val="CC3399"/>
          <w:sz w:val="22"/>
          <w:szCs w:val="22"/>
          <w:lang w:eastAsia="cs-CZ"/>
        </w:rPr>
        <w:drawing>
          <wp:anchor distT="0" distB="0" distL="114300" distR="114300" simplePos="0" relativeHeight="251748352" behindDoc="0" locked="0" layoutInCell="1" allowOverlap="0" wp14:anchorId="2D4D8220" wp14:editId="1185E10A">
            <wp:simplePos x="0" y="0"/>
            <wp:positionH relativeFrom="page">
              <wp:posOffset>164465</wp:posOffset>
            </wp:positionH>
            <wp:positionV relativeFrom="page">
              <wp:posOffset>5486400</wp:posOffset>
            </wp:positionV>
            <wp:extent cx="8890" cy="8890"/>
            <wp:effectExtent l="0" t="0" r="0" b="0"/>
            <wp:wrapSquare wrapText="bothSides"/>
            <wp:docPr id="25286" name="Obrázek 25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891"/>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2750">
        <w:rPr>
          <w:rFonts w:ascii="Arial" w:hAnsi="Arial" w:cs="Arial"/>
          <w:color w:val="CC3399"/>
          <w:sz w:val="22"/>
          <w:szCs w:val="22"/>
        </w:rPr>
        <w:t>Ochranné pásmo podzemního vedení elektrizační soustavy do 110 kV včetně a vedení řídicí, měřicí a zabezpečovací techniky činí I m po obou stranách krajního kabelu. Ochranné pásmo elektrické stanice je vymezeno svislými rovinami vedenými ve vodorovné vzdálenosti</w:t>
      </w:r>
    </w:p>
    <w:p w14:paraId="0978F7F3" w14:textId="77777777" w:rsidR="00FF2750" w:rsidRPr="00FF2750" w:rsidRDefault="00FF2750" w:rsidP="00FF2750">
      <w:pPr>
        <w:spacing w:after="287" w:line="247" w:lineRule="auto"/>
        <w:ind w:right="14"/>
        <w:jc w:val="both"/>
        <w:rPr>
          <w:rFonts w:ascii="Arial" w:hAnsi="Arial" w:cs="Arial"/>
          <w:color w:val="CC3399"/>
          <w:sz w:val="22"/>
          <w:szCs w:val="22"/>
        </w:rPr>
      </w:pPr>
    </w:p>
    <w:p w14:paraId="00CCE173" w14:textId="77777777" w:rsidR="00FF2750" w:rsidRPr="00FF2750" w:rsidRDefault="00FF2750" w:rsidP="00FF2750">
      <w:pPr>
        <w:spacing w:after="287" w:line="247" w:lineRule="auto"/>
        <w:ind w:right="14"/>
        <w:jc w:val="both"/>
        <w:rPr>
          <w:rFonts w:ascii="Arial" w:hAnsi="Arial" w:cs="Arial"/>
          <w:color w:val="CC3399"/>
          <w:sz w:val="22"/>
          <w:szCs w:val="22"/>
        </w:rPr>
      </w:pPr>
      <w:r w:rsidRPr="00FF2750">
        <w:rPr>
          <w:rFonts w:ascii="Arial" w:hAnsi="Arial" w:cs="Arial"/>
          <w:color w:val="CC3399"/>
          <w:sz w:val="22"/>
          <w:szCs w:val="22"/>
        </w:rPr>
        <w:t>a) u venkovních elektrických stanic a dále stanic s napětím větším než 52 kV budovách 20 m od oplocení nebo od vnějšího líce obvodového zdiva,</w:t>
      </w:r>
    </w:p>
    <w:p w14:paraId="4EF1A6C8" w14:textId="77777777" w:rsidR="00FF2750" w:rsidRPr="00FF2750" w:rsidRDefault="00FF2750" w:rsidP="00FF2750">
      <w:pPr>
        <w:spacing w:after="287" w:line="247" w:lineRule="auto"/>
        <w:ind w:right="14"/>
        <w:jc w:val="both"/>
        <w:rPr>
          <w:rFonts w:ascii="Arial" w:hAnsi="Arial" w:cs="Arial"/>
          <w:color w:val="CC3399"/>
          <w:sz w:val="22"/>
          <w:szCs w:val="22"/>
        </w:rPr>
      </w:pPr>
      <w:r w:rsidRPr="00FF2750">
        <w:rPr>
          <w:rFonts w:ascii="Arial" w:hAnsi="Arial" w:cs="Arial"/>
          <w:color w:val="CC3399"/>
          <w:sz w:val="22"/>
          <w:szCs w:val="22"/>
        </w:rPr>
        <w:t>b) u stožárových elektrických stanic s převodem napětí z úrovně nad I kV a menší než 52 kV na úroveň nízkého napětí 7 m,</w:t>
      </w:r>
    </w:p>
    <w:p w14:paraId="279834BB" w14:textId="77777777" w:rsidR="00FF2750" w:rsidRPr="00FF2750" w:rsidRDefault="00FF2750" w:rsidP="00FF2750">
      <w:pPr>
        <w:spacing w:after="287" w:line="247" w:lineRule="auto"/>
        <w:ind w:right="14"/>
        <w:jc w:val="both"/>
        <w:rPr>
          <w:rFonts w:ascii="Arial" w:hAnsi="Arial" w:cs="Arial"/>
          <w:color w:val="CC3399"/>
          <w:sz w:val="22"/>
          <w:szCs w:val="22"/>
        </w:rPr>
      </w:pPr>
      <w:r w:rsidRPr="00FF2750">
        <w:rPr>
          <w:rFonts w:ascii="Arial" w:hAnsi="Arial" w:cs="Arial"/>
          <w:color w:val="CC3399"/>
          <w:sz w:val="22"/>
          <w:szCs w:val="22"/>
        </w:rPr>
        <w:t>c) u kompaktních a zděných elektrických stanic s převodem napětí z úrovně nad 1 kV a menší než 52 kV na úroveň nízkého napětí 2 m,</w:t>
      </w:r>
      <w:r w:rsidRPr="00FF2750">
        <w:rPr>
          <w:rFonts w:ascii="Arial" w:hAnsi="Arial" w:cs="Arial"/>
          <w:noProof/>
          <w:color w:val="CC3399"/>
          <w:sz w:val="22"/>
          <w:szCs w:val="22"/>
          <w:lang w:eastAsia="cs-CZ"/>
        </w:rPr>
        <w:drawing>
          <wp:inline distT="0" distB="0" distL="0" distR="0" wp14:anchorId="5817072F" wp14:editId="067B8C04">
            <wp:extent cx="15875" cy="15875"/>
            <wp:effectExtent l="0" t="0" r="0" b="0"/>
            <wp:docPr id="25284" name="Obrázek 25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523"/>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152BA25C" w14:textId="77777777" w:rsidR="00FF2750" w:rsidRPr="00FF2750" w:rsidRDefault="00FF2750" w:rsidP="00FF2750">
      <w:pPr>
        <w:spacing w:after="29" w:line="266" w:lineRule="auto"/>
        <w:ind w:left="700" w:right="283" w:hanging="710"/>
        <w:rPr>
          <w:rFonts w:ascii="Arial" w:eastAsia="Calibri" w:hAnsi="Arial" w:cs="Arial"/>
          <w:b/>
          <w:color w:val="CC3399"/>
          <w:sz w:val="26"/>
        </w:rPr>
      </w:pPr>
      <w:r w:rsidRPr="00FF2750">
        <w:rPr>
          <w:rFonts w:ascii="Arial" w:eastAsia="Calibri" w:hAnsi="Arial" w:cs="Arial"/>
          <w:b/>
          <w:color w:val="CC3399"/>
          <w:sz w:val="26"/>
        </w:rPr>
        <w:t>Plynoenergetika</w:t>
      </w:r>
    </w:p>
    <w:p w14:paraId="46004E48" w14:textId="77777777" w:rsidR="00FF2750" w:rsidRPr="00FF2750" w:rsidRDefault="00FF2750" w:rsidP="00FF2750">
      <w:pPr>
        <w:spacing w:after="29" w:line="266" w:lineRule="auto"/>
        <w:ind w:left="700" w:right="283" w:hanging="710"/>
        <w:rPr>
          <w:rFonts w:ascii="Arial" w:eastAsia="Calibri" w:hAnsi="Arial" w:cs="Arial"/>
          <w:b/>
          <w:color w:val="CC3399"/>
          <w:sz w:val="26"/>
        </w:rPr>
      </w:pPr>
      <w:r w:rsidRPr="00FF2750">
        <w:rPr>
          <w:rFonts w:ascii="Arial" w:eastAsia="Calibri" w:hAnsi="Arial" w:cs="Arial"/>
          <w:b/>
          <w:color w:val="CC3399"/>
          <w:sz w:val="26"/>
        </w:rPr>
        <w:t>Ochranná pásma</w:t>
      </w:r>
    </w:p>
    <w:p w14:paraId="14C7F61A" w14:textId="77777777" w:rsidR="00FF2750" w:rsidRPr="00FF2750" w:rsidRDefault="00FF2750" w:rsidP="00FF2750">
      <w:pPr>
        <w:spacing w:after="31" w:line="249" w:lineRule="auto"/>
        <w:ind w:right="-5" w:firstLine="700"/>
        <w:rPr>
          <w:rFonts w:ascii="Arial" w:hAnsi="Arial" w:cs="Arial"/>
          <w:color w:val="CC3399"/>
          <w:sz w:val="22"/>
          <w:szCs w:val="22"/>
        </w:rPr>
      </w:pPr>
      <w:r w:rsidRPr="00FF2750">
        <w:rPr>
          <w:rFonts w:ascii="Arial" w:hAnsi="Arial" w:cs="Arial"/>
          <w:color w:val="CC3399"/>
          <w:sz w:val="22"/>
          <w:szCs w:val="22"/>
        </w:rPr>
        <w:t>Ochranným pásmem se rozumí souvislý prostor v bezprostřední blízkosti plynárenského zařízení, vymezený svislými rovinami, vedenými ve vodorovné vzdálenosti od jeho půdorysu.</w:t>
      </w:r>
    </w:p>
    <w:p w14:paraId="56390408" w14:textId="77777777" w:rsidR="00FF2750" w:rsidRPr="00FF2750" w:rsidRDefault="00FF2750" w:rsidP="00FF2750">
      <w:pPr>
        <w:spacing w:after="31" w:line="249" w:lineRule="auto"/>
        <w:ind w:right="-5" w:firstLine="700"/>
        <w:rPr>
          <w:rFonts w:ascii="Arial" w:hAnsi="Arial" w:cs="Arial"/>
          <w:color w:val="CC3399"/>
          <w:sz w:val="22"/>
          <w:szCs w:val="22"/>
        </w:rPr>
      </w:pPr>
    </w:p>
    <w:p w14:paraId="645C96C6" w14:textId="77777777" w:rsidR="00FF2750" w:rsidRPr="00FF2750" w:rsidRDefault="00FF2750" w:rsidP="00FF2750">
      <w:pPr>
        <w:spacing w:after="29" w:line="266" w:lineRule="auto"/>
        <w:ind w:left="700" w:right="283" w:hanging="710"/>
        <w:rPr>
          <w:rFonts w:ascii="Arial" w:eastAsia="Calibri" w:hAnsi="Arial" w:cs="Arial"/>
          <w:b/>
          <w:color w:val="CC3399"/>
          <w:sz w:val="26"/>
        </w:rPr>
      </w:pPr>
      <w:r w:rsidRPr="00FF2750">
        <w:rPr>
          <w:rFonts w:ascii="Arial" w:eastAsia="Calibri" w:hAnsi="Arial" w:cs="Arial"/>
          <w:b/>
          <w:color w:val="CC3399"/>
          <w:sz w:val="26"/>
        </w:rPr>
        <w:t>Ochranná pásma činí:</w:t>
      </w:r>
    </w:p>
    <w:p w14:paraId="4F110B09" w14:textId="77777777" w:rsidR="00FF2750" w:rsidRPr="00FF2750" w:rsidRDefault="00FF2750" w:rsidP="00FF2750">
      <w:pPr>
        <w:spacing w:after="287" w:line="247" w:lineRule="auto"/>
        <w:ind w:right="14"/>
        <w:jc w:val="both"/>
        <w:rPr>
          <w:rFonts w:ascii="Arial" w:hAnsi="Arial" w:cs="Arial"/>
          <w:color w:val="CC3399"/>
          <w:sz w:val="22"/>
          <w:szCs w:val="22"/>
        </w:rPr>
      </w:pPr>
      <w:r w:rsidRPr="00FF2750">
        <w:rPr>
          <w:rFonts w:ascii="Arial" w:hAnsi="Arial" w:cs="Arial"/>
          <w:color w:val="CC3399"/>
          <w:sz w:val="22"/>
          <w:szCs w:val="22"/>
        </w:rPr>
        <w:t>a) u nízkotlakých a středotlakých plynovodů a plynovodních přípojek jimiž, se rozvádí plyn v zastavěném území obce 1 m na obě strany od půdorysu,</w:t>
      </w:r>
      <w:r w:rsidRPr="00FF2750">
        <w:rPr>
          <w:rFonts w:ascii="Arial" w:hAnsi="Arial" w:cs="Arial"/>
          <w:noProof/>
          <w:color w:val="CC3399"/>
          <w:sz w:val="22"/>
          <w:szCs w:val="22"/>
          <w:lang w:eastAsia="cs-CZ"/>
        </w:rPr>
        <w:drawing>
          <wp:inline distT="0" distB="0" distL="0" distR="0" wp14:anchorId="4CB7252F" wp14:editId="291A4A9A">
            <wp:extent cx="15875" cy="15875"/>
            <wp:effectExtent l="0" t="0" r="0" b="0"/>
            <wp:docPr id="25283" name="Obrázek 25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768"/>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5BE141B1" w14:textId="77777777" w:rsidR="00FF2750" w:rsidRPr="00FF2750" w:rsidRDefault="00FF2750" w:rsidP="00FF2750">
      <w:pPr>
        <w:spacing w:after="287" w:line="247" w:lineRule="auto"/>
        <w:ind w:right="14"/>
        <w:jc w:val="both"/>
        <w:rPr>
          <w:rFonts w:ascii="Arial" w:hAnsi="Arial" w:cs="Arial"/>
          <w:color w:val="CC3399"/>
          <w:sz w:val="22"/>
          <w:szCs w:val="22"/>
        </w:rPr>
      </w:pPr>
      <w:r w:rsidRPr="00FF2750">
        <w:rPr>
          <w:rFonts w:ascii="Arial" w:hAnsi="Arial" w:cs="Arial"/>
          <w:color w:val="CC3399"/>
          <w:sz w:val="22"/>
          <w:szCs w:val="22"/>
        </w:rPr>
        <w:t>b) u ostatních plynovodů a plynovodních přípojek 4 m na obě strany od půdorysu,</w:t>
      </w:r>
    </w:p>
    <w:p w14:paraId="6BA212F1" w14:textId="77777777" w:rsidR="00FF2750" w:rsidRPr="00FF2750" w:rsidRDefault="00FF2750" w:rsidP="00FF2750">
      <w:pPr>
        <w:spacing w:after="287" w:line="247" w:lineRule="auto"/>
        <w:ind w:right="14"/>
        <w:jc w:val="both"/>
        <w:rPr>
          <w:rFonts w:ascii="Arial" w:hAnsi="Arial" w:cs="Arial"/>
          <w:color w:val="CC3399"/>
          <w:sz w:val="22"/>
          <w:szCs w:val="22"/>
        </w:rPr>
      </w:pPr>
      <w:r w:rsidRPr="00FF2750">
        <w:rPr>
          <w:rFonts w:ascii="Arial" w:hAnsi="Arial" w:cs="Arial"/>
          <w:color w:val="CC3399"/>
          <w:sz w:val="22"/>
          <w:szCs w:val="22"/>
        </w:rPr>
        <w:t>c) u technologických objektů 4 m na všechny strany od půdorysu.</w:t>
      </w:r>
    </w:p>
    <w:p w14:paraId="43BD9A1E" w14:textId="77777777" w:rsidR="00FF2750" w:rsidRPr="00FF2750" w:rsidRDefault="00FF2750" w:rsidP="00FF2750">
      <w:pPr>
        <w:spacing w:after="29" w:line="266" w:lineRule="auto"/>
        <w:ind w:left="700" w:right="283" w:hanging="710"/>
        <w:rPr>
          <w:rFonts w:ascii="Arial" w:eastAsia="Calibri" w:hAnsi="Arial" w:cs="Arial"/>
          <w:b/>
          <w:color w:val="CC3399"/>
          <w:sz w:val="26"/>
        </w:rPr>
      </w:pPr>
      <w:r w:rsidRPr="00FF2750">
        <w:rPr>
          <w:rFonts w:ascii="Arial" w:eastAsia="Calibri" w:hAnsi="Arial" w:cs="Arial"/>
          <w:b/>
          <w:color w:val="CC3399"/>
          <w:sz w:val="26"/>
        </w:rPr>
        <w:t>Teplárenství</w:t>
      </w:r>
    </w:p>
    <w:p w14:paraId="5BCE4065" w14:textId="77777777" w:rsidR="00FF2750" w:rsidRPr="00FF2750" w:rsidRDefault="00FF2750" w:rsidP="00FF2750">
      <w:pPr>
        <w:spacing w:after="31" w:line="249" w:lineRule="auto"/>
        <w:ind w:right="-5" w:firstLine="700"/>
        <w:rPr>
          <w:rFonts w:ascii="Arial" w:hAnsi="Arial" w:cs="Arial"/>
          <w:color w:val="CC3399"/>
          <w:sz w:val="22"/>
          <w:szCs w:val="22"/>
        </w:rPr>
      </w:pPr>
      <w:r w:rsidRPr="00FF2750">
        <w:rPr>
          <w:rFonts w:ascii="Arial" w:hAnsi="Arial" w:cs="Arial"/>
          <w:color w:val="CC3399"/>
          <w:sz w:val="22"/>
          <w:szCs w:val="22"/>
        </w:rPr>
        <w:t>Šířka ochranných pásem je vymezena svislými rovinami vedenými po obou stranách zařízení na výrobu či rozvod tepelné energie ve vodorovné vzdálenosti měřené kolmo k tomuto zařízení, která činí 2.5 m.</w:t>
      </w:r>
    </w:p>
    <w:p w14:paraId="1289582F" w14:textId="77777777" w:rsidR="00FF2750" w:rsidRPr="00FF2750" w:rsidRDefault="00FF2750" w:rsidP="00FF2750">
      <w:pPr>
        <w:spacing w:after="31" w:line="249" w:lineRule="auto"/>
        <w:ind w:right="-5" w:firstLine="700"/>
        <w:rPr>
          <w:rFonts w:ascii="Arial" w:hAnsi="Arial" w:cs="Arial"/>
          <w:color w:val="CC3399"/>
          <w:sz w:val="22"/>
          <w:szCs w:val="22"/>
        </w:rPr>
      </w:pPr>
      <w:r w:rsidRPr="00FF2750">
        <w:rPr>
          <w:rFonts w:ascii="Arial" w:hAnsi="Arial" w:cs="Arial"/>
          <w:color w:val="CC3399"/>
          <w:sz w:val="22"/>
          <w:szCs w:val="22"/>
        </w:rPr>
        <w:t>U výměníkových stanic určených ke změně parametrů teplonosné látky, které jsou umístěny v samostatných budovách je ochranné pásmo vymezeno svislými rovinami vedenými ve vodorovné vzdálenosti 2,5 m kolmo na půdorys těchto stanic.</w:t>
      </w:r>
    </w:p>
    <w:p w14:paraId="3A08AF5C" w14:textId="77777777" w:rsidR="00FF2750" w:rsidRPr="00FF2750" w:rsidRDefault="00FF2750" w:rsidP="00FF2750">
      <w:pPr>
        <w:spacing w:after="29" w:line="266" w:lineRule="auto"/>
        <w:ind w:left="700" w:right="283" w:hanging="710"/>
        <w:rPr>
          <w:rFonts w:ascii="Arial" w:eastAsia="Calibri" w:hAnsi="Arial" w:cs="Arial"/>
          <w:b/>
          <w:color w:val="CC3399"/>
          <w:sz w:val="26"/>
        </w:rPr>
      </w:pPr>
      <w:r w:rsidRPr="00FF2750">
        <w:rPr>
          <w:rFonts w:ascii="Arial" w:eastAsia="Calibri" w:hAnsi="Arial" w:cs="Arial"/>
          <w:b/>
          <w:color w:val="CC3399"/>
          <w:sz w:val="26"/>
        </w:rPr>
        <w:t>Spoje</w:t>
      </w:r>
    </w:p>
    <w:p w14:paraId="7A3C1D4E" w14:textId="77777777" w:rsidR="00FF2750" w:rsidRPr="00FF2750" w:rsidRDefault="00FF2750" w:rsidP="00FF2750">
      <w:pPr>
        <w:spacing w:after="29" w:line="266" w:lineRule="auto"/>
        <w:ind w:left="700" w:right="283" w:hanging="710"/>
        <w:rPr>
          <w:rFonts w:ascii="Arial" w:eastAsia="Calibri" w:hAnsi="Arial" w:cs="Arial"/>
          <w:b/>
          <w:color w:val="CC3399"/>
          <w:sz w:val="26"/>
        </w:rPr>
      </w:pPr>
      <w:r w:rsidRPr="00FF2750">
        <w:rPr>
          <w:rFonts w:ascii="Arial" w:eastAsia="Calibri" w:hAnsi="Arial" w:cs="Arial"/>
          <w:b/>
          <w:color w:val="CC3399"/>
          <w:sz w:val="26"/>
        </w:rPr>
        <w:t>Telekomunikační zařízení</w:t>
      </w:r>
    </w:p>
    <w:p w14:paraId="6F3D4513" w14:textId="77777777" w:rsidR="00FF2750" w:rsidRPr="00FF2750" w:rsidRDefault="00FF2750" w:rsidP="00FF2750">
      <w:pPr>
        <w:spacing w:after="31" w:line="249" w:lineRule="auto"/>
        <w:ind w:right="-5" w:firstLine="700"/>
        <w:rPr>
          <w:rFonts w:ascii="Arial" w:hAnsi="Arial" w:cs="Arial"/>
          <w:color w:val="CC3399"/>
          <w:sz w:val="22"/>
          <w:szCs w:val="22"/>
        </w:rPr>
      </w:pPr>
      <w:r w:rsidRPr="00FF2750">
        <w:rPr>
          <w:rFonts w:ascii="Arial" w:hAnsi="Arial" w:cs="Arial"/>
          <w:color w:val="CC3399"/>
          <w:sz w:val="22"/>
          <w:szCs w:val="22"/>
        </w:rPr>
        <w:t>Ochranné pásmo pozemních telekomunikačních vedení činí 1,5 m po stranách krajního vedení.</w:t>
      </w:r>
    </w:p>
    <w:p w14:paraId="1C8FE0F7" w14:textId="77777777" w:rsidR="00FF2750" w:rsidRPr="00FF2750" w:rsidRDefault="00FF2750" w:rsidP="00FF2750">
      <w:pPr>
        <w:spacing w:after="29" w:line="266" w:lineRule="auto"/>
        <w:ind w:left="700" w:right="283" w:hanging="710"/>
        <w:rPr>
          <w:rFonts w:ascii="Arial" w:eastAsia="Calibri" w:hAnsi="Arial" w:cs="Arial"/>
          <w:b/>
          <w:color w:val="CC3399"/>
          <w:sz w:val="26"/>
        </w:rPr>
      </w:pPr>
      <w:r w:rsidRPr="00FF2750">
        <w:rPr>
          <w:rFonts w:ascii="Arial" w:eastAsia="Calibri" w:hAnsi="Arial" w:cs="Arial"/>
          <w:b/>
          <w:color w:val="CC3399"/>
          <w:sz w:val="26"/>
        </w:rPr>
        <w:t>Radiokomunikační zařízení</w:t>
      </w:r>
    </w:p>
    <w:p w14:paraId="56B62F55" w14:textId="77777777" w:rsidR="00FF2750" w:rsidRPr="00FF2750" w:rsidRDefault="00FF2750" w:rsidP="00FF2750">
      <w:pPr>
        <w:spacing w:after="31" w:line="249" w:lineRule="auto"/>
        <w:ind w:right="-5" w:firstLine="700"/>
        <w:rPr>
          <w:rFonts w:ascii="Arial" w:hAnsi="Arial" w:cs="Arial"/>
          <w:color w:val="CC3399"/>
          <w:sz w:val="22"/>
          <w:szCs w:val="22"/>
        </w:rPr>
      </w:pPr>
      <w:r w:rsidRPr="00FF2750">
        <w:rPr>
          <w:rFonts w:ascii="Arial" w:hAnsi="Arial" w:cs="Arial"/>
          <w:color w:val="CC3399"/>
          <w:sz w:val="22"/>
          <w:szCs w:val="22"/>
        </w:rPr>
        <w:t>U radioreléových tras musí být zachována přímá viditelnost a u jejich koncových bodů je vymezeno ochranné pásmo o poloměru 500 m, kde nesmí být umístěn rušilôľ zdroj elektromagnetického vlnění.</w:t>
      </w:r>
      <w:r w:rsidRPr="00FF2750">
        <w:rPr>
          <w:rFonts w:ascii="Arial" w:hAnsi="Arial" w:cs="Arial"/>
          <w:noProof/>
          <w:color w:val="CC3399"/>
          <w:sz w:val="22"/>
          <w:szCs w:val="22"/>
          <w:lang w:eastAsia="cs-CZ"/>
        </w:rPr>
        <w:drawing>
          <wp:inline distT="0" distB="0" distL="0" distR="0" wp14:anchorId="70ACB735" wp14:editId="2CFD4E1D">
            <wp:extent cx="15875" cy="15875"/>
            <wp:effectExtent l="0" t="0" r="0" b="0"/>
            <wp:docPr id="25282" name="Obrázek 25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769"/>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2642B449" w14:textId="77777777" w:rsidR="00FF2750" w:rsidRPr="00FF2750" w:rsidRDefault="00FF2750" w:rsidP="00FF2750">
      <w:pPr>
        <w:spacing w:after="31" w:line="249" w:lineRule="auto"/>
        <w:ind w:right="-5" w:firstLine="700"/>
        <w:rPr>
          <w:rFonts w:ascii="Arial" w:hAnsi="Arial" w:cs="Arial"/>
          <w:color w:val="CC3399"/>
          <w:sz w:val="22"/>
          <w:szCs w:val="22"/>
        </w:rPr>
      </w:pPr>
      <w:r w:rsidRPr="00FF2750">
        <w:rPr>
          <w:rFonts w:ascii="Arial" w:hAnsi="Arial" w:cs="Arial"/>
          <w:color w:val="CC3399"/>
          <w:sz w:val="22"/>
          <w:szCs w:val="22"/>
        </w:rPr>
        <w:lastRenderedPageBreak/>
        <w:t>Elektroenergetické a plynárenské sítě jsou součástí nadmístních sítí, které jsou provozovány soukromými akciovými společnostmi. Elektřina je odebírána</w:t>
      </w:r>
      <w:r w:rsidRPr="00FF2750">
        <w:rPr>
          <w:rFonts w:ascii="Arial" w:hAnsi="Arial" w:cs="Arial"/>
          <w:color w:val="CC3399"/>
          <w:sz w:val="22"/>
          <w:szCs w:val="22"/>
        </w:rPr>
        <w:tab/>
        <w:t>I z tuzemských zdrojů, zemní plyn je dovážen ze zdrojů mimo CR.</w:t>
      </w:r>
    </w:p>
    <w:p w14:paraId="680B1747" w14:textId="77777777" w:rsidR="00FF2750" w:rsidRPr="00FF2750" w:rsidRDefault="00FF2750" w:rsidP="00FF2750">
      <w:pPr>
        <w:spacing w:before="120" w:line="288" w:lineRule="auto"/>
        <w:jc w:val="both"/>
        <w:rPr>
          <w:rFonts w:ascii="Arial" w:hAnsi="Arial" w:cs="Arial"/>
          <w:color w:val="D60093"/>
          <w:sz w:val="22"/>
          <w:szCs w:val="22"/>
        </w:rPr>
      </w:pPr>
    </w:p>
    <w:p w14:paraId="0C88F8EE" w14:textId="77777777" w:rsidR="00FF2750" w:rsidRPr="00FF2750" w:rsidRDefault="00FF2750" w:rsidP="00FF2750">
      <w:pPr>
        <w:spacing w:before="120" w:line="288" w:lineRule="auto"/>
        <w:jc w:val="both"/>
        <w:rPr>
          <w:rFonts w:ascii="Arial" w:hAnsi="Arial" w:cs="Arial"/>
          <w:b/>
          <w:color w:val="FF0000"/>
        </w:rPr>
      </w:pPr>
      <w:r w:rsidRPr="00FF2750">
        <w:rPr>
          <w:rFonts w:ascii="Arial" w:hAnsi="Arial" w:cs="Arial"/>
          <w:b/>
          <w:color w:val="FF0000"/>
        </w:rPr>
        <w:t>(Z8)</w:t>
      </w:r>
      <w:r w:rsidRPr="00FF2750">
        <w:rPr>
          <w:rFonts w:ascii="Arial" w:hAnsi="Arial" w:cs="Arial"/>
          <w:color w:val="FF0000"/>
        </w:rPr>
        <w:t xml:space="preserve"> </w:t>
      </w:r>
      <w:r w:rsidRPr="00FF2750">
        <w:rPr>
          <w:rFonts w:ascii="Arial" w:hAnsi="Arial" w:cs="Arial"/>
          <w:b/>
          <w:color w:val="FF0000"/>
        </w:rPr>
        <w:t xml:space="preserve">ZMĚNA Č. 8. (TEXT PŘEVZAT Z ODŮVODNĚNÍ  ZMĚNY Č. 8) </w:t>
      </w:r>
    </w:p>
    <w:p w14:paraId="7DC278C8" w14:textId="77777777" w:rsidR="00FF2750" w:rsidRPr="00FF2750" w:rsidRDefault="00FF2750" w:rsidP="00FF2750">
      <w:pPr>
        <w:spacing w:before="120" w:line="288" w:lineRule="auto"/>
        <w:jc w:val="both"/>
        <w:rPr>
          <w:rFonts w:ascii="Arial" w:hAnsi="Arial" w:cs="Arial"/>
          <w:color w:val="FF0000"/>
          <w:sz w:val="22"/>
          <w:szCs w:val="22"/>
        </w:rPr>
      </w:pPr>
    </w:p>
    <w:p w14:paraId="28A084F2" w14:textId="77777777" w:rsidR="00FF2750" w:rsidRPr="00FF2750" w:rsidRDefault="00FF2750" w:rsidP="00FF2750">
      <w:pPr>
        <w:pStyle w:val="Nadpis3"/>
        <w:keepLines w:val="0"/>
        <w:numPr>
          <w:ilvl w:val="2"/>
          <w:numId w:val="66"/>
        </w:numPr>
        <w:spacing w:before="200" w:after="120"/>
        <w:ind w:left="0" w:firstLine="0"/>
        <w:jc w:val="both"/>
        <w:rPr>
          <w:rFonts w:ascii="Arial" w:hAnsi="Arial" w:cs="Arial"/>
          <w:color w:val="FF0000"/>
        </w:rPr>
      </w:pPr>
      <w:bookmarkStart w:id="17" w:name="_Toc358720199"/>
      <w:r w:rsidRPr="00FF2750">
        <w:rPr>
          <w:rFonts w:ascii="Arial" w:hAnsi="Arial" w:cs="Arial"/>
          <w:color w:val="FF0000"/>
        </w:rPr>
        <w:t>Elektroenergetika</w:t>
      </w:r>
      <w:bookmarkEnd w:id="17"/>
    </w:p>
    <w:p w14:paraId="31190E28" w14:textId="77777777" w:rsidR="00FF2750" w:rsidRPr="00FF2750" w:rsidRDefault="00FF2750" w:rsidP="00FF2750">
      <w:pPr>
        <w:rPr>
          <w:rFonts w:ascii="Arial" w:hAnsi="Arial" w:cs="Arial"/>
          <w:color w:val="FF0000"/>
          <w:sz w:val="22"/>
          <w:szCs w:val="22"/>
        </w:rPr>
      </w:pPr>
      <w:r w:rsidRPr="00FF2750">
        <w:rPr>
          <w:rFonts w:ascii="Arial" w:hAnsi="Arial" w:cs="Arial"/>
          <w:color w:val="FF0000"/>
        </w:rPr>
        <w:t>Ochranné pásmo nadzemního vedení je souvislý prostor vymezený svislými rovinami vedenými po obou stranách vedení ve vodorovné vzdálenosti mřené kolmo na vedení, která činí od krajního vodiče vedení na obě jeho strany</w:t>
      </w:r>
    </w:p>
    <w:p w14:paraId="2940F0FF" w14:textId="77777777" w:rsidR="00FF2750" w:rsidRPr="00FF2750" w:rsidRDefault="00FF2750" w:rsidP="00FF2750">
      <w:pPr>
        <w:rPr>
          <w:rFonts w:ascii="Arial" w:hAnsi="Arial" w:cs="Arial"/>
          <w:color w:val="FF0000"/>
        </w:rPr>
      </w:pPr>
      <w:r w:rsidRPr="00FF2750">
        <w:rPr>
          <w:rFonts w:ascii="Arial" w:hAnsi="Arial" w:cs="Arial"/>
          <w:color w:val="FF0000"/>
        </w:rPr>
        <w:t>a) u napětí nad 1 kV a do 35 kV včetně</w:t>
      </w:r>
    </w:p>
    <w:p w14:paraId="3B6A1FA8" w14:textId="77777777" w:rsidR="00FF2750" w:rsidRPr="00FF2750" w:rsidRDefault="00FF2750" w:rsidP="00FF2750">
      <w:pPr>
        <w:rPr>
          <w:rFonts w:ascii="Arial" w:hAnsi="Arial" w:cs="Arial"/>
          <w:color w:val="FF0000"/>
        </w:rPr>
      </w:pPr>
      <w:r w:rsidRPr="00FF2750">
        <w:rPr>
          <w:rFonts w:ascii="Arial" w:hAnsi="Arial" w:cs="Arial"/>
          <w:color w:val="FF0000"/>
        </w:rPr>
        <w:t xml:space="preserve">1. pro vodiče bez izolace </w:t>
      </w:r>
      <w:r w:rsidRPr="00FF2750">
        <w:rPr>
          <w:rFonts w:ascii="Arial" w:hAnsi="Arial" w:cs="Arial"/>
          <w:color w:val="FF0000"/>
        </w:rPr>
        <w:tab/>
      </w:r>
      <w:r w:rsidRPr="00FF2750">
        <w:rPr>
          <w:rFonts w:ascii="Arial" w:hAnsi="Arial" w:cs="Arial"/>
          <w:color w:val="FF0000"/>
        </w:rPr>
        <w:tab/>
      </w:r>
      <w:r w:rsidRPr="00FF2750">
        <w:rPr>
          <w:rFonts w:ascii="Arial" w:hAnsi="Arial" w:cs="Arial"/>
          <w:color w:val="FF0000"/>
        </w:rPr>
        <w:tab/>
      </w:r>
      <w:r w:rsidRPr="00FF2750">
        <w:rPr>
          <w:rFonts w:ascii="Arial" w:hAnsi="Arial" w:cs="Arial"/>
          <w:color w:val="FF0000"/>
        </w:rPr>
        <w:tab/>
        <w:t>7 m, 10 m*</w:t>
      </w:r>
    </w:p>
    <w:p w14:paraId="714D52A2" w14:textId="77777777" w:rsidR="00FF2750" w:rsidRPr="00FF2750" w:rsidRDefault="00FF2750" w:rsidP="00FF2750">
      <w:pPr>
        <w:rPr>
          <w:rFonts w:ascii="Arial" w:hAnsi="Arial" w:cs="Arial"/>
          <w:color w:val="FF0000"/>
        </w:rPr>
      </w:pPr>
      <w:r w:rsidRPr="00FF2750">
        <w:rPr>
          <w:rFonts w:ascii="Arial" w:hAnsi="Arial" w:cs="Arial"/>
          <w:color w:val="FF0000"/>
        </w:rPr>
        <w:t xml:space="preserve">2. pro vodiče s izolací základní </w:t>
      </w:r>
      <w:r w:rsidRPr="00FF2750">
        <w:rPr>
          <w:rFonts w:ascii="Arial" w:hAnsi="Arial" w:cs="Arial"/>
          <w:color w:val="FF0000"/>
        </w:rPr>
        <w:tab/>
      </w:r>
      <w:r w:rsidRPr="00FF2750">
        <w:rPr>
          <w:rFonts w:ascii="Arial" w:hAnsi="Arial" w:cs="Arial"/>
          <w:color w:val="FF0000"/>
        </w:rPr>
        <w:tab/>
      </w:r>
      <w:r w:rsidRPr="00FF2750">
        <w:rPr>
          <w:rFonts w:ascii="Arial" w:hAnsi="Arial" w:cs="Arial"/>
          <w:color w:val="FF0000"/>
        </w:rPr>
        <w:tab/>
      </w:r>
      <w:r w:rsidRPr="00FF2750">
        <w:rPr>
          <w:rFonts w:ascii="Arial" w:hAnsi="Arial" w:cs="Arial"/>
          <w:color w:val="FF0000"/>
        </w:rPr>
        <w:tab/>
        <w:t>2 m,</w:t>
      </w:r>
    </w:p>
    <w:p w14:paraId="3E68128E" w14:textId="77777777" w:rsidR="00FF2750" w:rsidRPr="00FF2750" w:rsidRDefault="00FF2750" w:rsidP="00FF2750">
      <w:pPr>
        <w:rPr>
          <w:rFonts w:ascii="Arial" w:hAnsi="Arial" w:cs="Arial"/>
          <w:color w:val="FF0000"/>
        </w:rPr>
      </w:pPr>
      <w:r w:rsidRPr="00FF2750">
        <w:rPr>
          <w:rFonts w:ascii="Arial" w:hAnsi="Arial" w:cs="Arial"/>
          <w:color w:val="FF0000"/>
        </w:rPr>
        <w:t xml:space="preserve">3. pro závěsná kabelová vedení </w:t>
      </w:r>
      <w:r w:rsidRPr="00FF2750">
        <w:rPr>
          <w:rFonts w:ascii="Arial" w:hAnsi="Arial" w:cs="Arial"/>
          <w:color w:val="FF0000"/>
        </w:rPr>
        <w:tab/>
      </w:r>
      <w:r w:rsidRPr="00FF2750">
        <w:rPr>
          <w:rFonts w:ascii="Arial" w:hAnsi="Arial" w:cs="Arial"/>
          <w:color w:val="FF0000"/>
        </w:rPr>
        <w:tab/>
      </w:r>
      <w:r w:rsidRPr="00FF2750">
        <w:rPr>
          <w:rFonts w:ascii="Arial" w:hAnsi="Arial" w:cs="Arial"/>
          <w:color w:val="FF0000"/>
        </w:rPr>
        <w:tab/>
      </w:r>
      <w:r w:rsidRPr="00FF2750">
        <w:rPr>
          <w:rFonts w:ascii="Arial" w:hAnsi="Arial" w:cs="Arial"/>
          <w:color w:val="FF0000"/>
        </w:rPr>
        <w:tab/>
        <w:t>1 m,</w:t>
      </w:r>
    </w:p>
    <w:p w14:paraId="399C953F" w14:textId="77777777" w:rsidR="00FF2750" w:rsidRPr="00FF2750" w:rsidRDefault="00FF2750" w:rsidP="00FF2750">
      <w:pPr>
        <w:rPr>
          <w:rFonts w:ascii="Arial" w:hAnsi="Arial" w:cs="Arial"/>
          <w:color w:val="FF0000"/>
        </w:rPr>
      </w:pPr>
      <w:r w:rsidRPr="00FF2750">
        <w:rPr>
          <w:rFonts w:ascii="Arial" w:hAnsi="Arial" w:cs="Arial"/>
          <w:color w:val="FF0000"/>
        </w:rPr>
        <w:t xml:space="preserve">b) u napětí nad 35 kV do 110 kV včetně </w:t>
      </w:r>
      <w:r w:rsidRPr="00FF2750">
        <w:rPr>
          <w:rFonts w:ascii="Arial" w:hAnsi="Arial" w:cs="Arial"/>
          <w:color w:val="FF0000"/>
        </w:rPr>
        <w:tab/>
      </w:r>
      <w:r w:rsidRPr="00FF2750">
        <w:rPr>
          <w:rFonts w:ascii="Arial" w:hAnsi="Arial" w:cs="Arial"/>
          <w:color w:val="FF0000"/>
        </w:rPr>
        <w:tab/>
        <w:t>12 m, 15 m**</w:t>
      </w:r>
    </w:p>
    <w:p w14:paraId="47166C8D" w14:textId="77777777" w:rsidR="00FF2750" w:rsidRPr="00FF2750" w:rsidRDefault="00FF2750" w:rsidP="00FF2750">
      <w:pPr>
        <w:rPr>
          <w:rFonts w:ascii="Arial" w:hAnsi="Arial" w:cs="Arial"/>
          <w:color w:val="FF0000"/>
        </w:rPr>
      </w:pPr>
      <w:r w:rsidRPr="00FF2750">
        <w:rPr>
          <w:rFonts w:ascii="Arial" w:hAnsi="Arial" w:cs="Arial"/>
          <w:color w:val="FF0000"/>
        </w:rPr>
        <w:t>Ochranné pásmo podzemního vedení elektrizační soustavy do 110 kV včetně a vedení řídicí, měřicí a zabezpečovací techniky činí 1 m po obou stranách krajního kabelu.</w:t>
      </w:r>
    </w:p>
    <w:p w14:paraId="424F2ED2" w14:textId="77777777" w:rsidR="00FF2750" w:rsidRPr="00FF2750" w:rsidRDefault="00FF2750" w:rsidP="00FF2750">
      <w:pPr>
        <w:rPr>
          <w:rFonts w:ascii="Arial" w:hAnsi="Arial" w:cs="Arial"/>
          <w:color w:val="FF0000"/>
        </w:rPr>
      </w:pPr>
      <w:r w:rsidRPr="00FF2750">
        <w:rPr>
          <w:rFonts w:ascii="Arial" w:hAnsi="Arial" w:cs="Arial"/>
          <w:color w:val="FF0000"/>
        </w:rPr>
        <w:t>Ochranné pásmo elektrické stanice je vymezeno svislými rovinami vedenými ve vodorovné vzdálenosti :</w:t>
      </w:r>
    </w:p>
    <w:p w14:paraId="72C400B5" w14:textId="77777777" w:rsidR="00FF2750" w:rsidRPr="00FF2750" w:rsidRDefault="00FF2750" w:rsidP="00FF2750">
      <w:pPr>
        <w:rPr>
          <w:rFonts w:ascii="Arial" w:hAnsi="Arial" w:cs="Arial"/>
          <w:color w:val="FF0000"/>
        </w:rPr>
      </w:pPr>
      <w:r w:rsidRPr="00FF2750">
        <w:rPr>
          <w:rFonts w:ascii="Arial" w:hAnsi="Arial" w:cs="Arial"/>
          <w:color w:val="FF0000"/>
        </w:rPr>
        <w:t>a) u stožárových elektrických stanic s převodem napětí z úrovně nad 1 kV a menší než 52 kV na úroveň nízkého napětí 7 m,</w:t>
      </w:r>
    </w:p>
    <w:p w14:paraId="645C1876" w14:textId="77777777" w:rsidR="00FF2750" w:rsidRPr="00FF2750" w:rsidRDefault="00FF2750" w:rsidP="00FF2750">
      <w:pPr>
        <w:rPr>
          <w:rFonts w:ascii="Arial" w:hAnsi="Arial" w:cs="Arial"/>
          <w:color w:val="FF0000"/>
        </w:rPr>
      </w:pPr>
      <w:r w:rsidRPr="00FF2750">
        <w:rPr>
          <w:rFonts w:ascii="Arial" w:hAnsi="Arial" w:cs="Arial"/>
          <w:color w:val="FF0000"/>
        </w:rPr>
        <w:t>b) u kompaktních a zděných elektrických stanic s převodem napětí z úrovně nad 1 kV a menší než 52 kV na úroveň nízkého napětí 2 m</w:t>
      </w:r>
    </w:p>
    <w:p w14:paraId="3C2358AF" w14:textId="77777777" w:rsidR="00FF2750" w:rsidRPr="00FF2750" w:rsidRDefault="00FF2750" w:rsidP="00FF2750">
      <w:pPr>
        <w:rPr>
          <w:rFonts w:ascii="Arial" w:hAnsi="Arial" w:cs="Arial"/>
          <w:color w:val="FF0000"/>
        </w:rPr>
      </w:pPr>
      <w:r w:rsidRPr="00FF2750">
        <w:rPr>
          <w:rFonts w:ascii="Arial" w:hAnsi="Arial" w:cs="Arial"/>
          <w:color w:val="FF0000"/>
        </w:rPr>
        <w:t>*/ - platí pro vedení postavená před rokem 1961</w:t>
      </w:r>
    </w:p>
    <w:p w14:paraId="330E080B" w14:textId="77777777" w:rsidR="00FF2750" w:rsidRPr="00FF2750" w:rsidRDefault="00FF2750" w:rsidP="00FF2750">
      <w:pPr>
        <w:rPr>
          <w:rFonts w:ascii="Arial" w:hAnsi="Arial" w:cs="Arial"/>
          <w:color w:val="FF0000"/>
        </w:rPr>
      </w:pPr>
      <w:r w:rsidRPr="00FF2750">
        <w:rPr>
          <w:rFonts w:ascii="Arial" w:hAnsi="Arial" w:cs="Arial"/>
          <w:color w:val="FF0000"/>
        </w:rPr>
        <w:t>**/ - platí pro vedení postavená před rokem 1995.</w:t>
      </w:r>
    </w:p>
    <w:p w14:paraId="3C575900" w14:textId="77777777" w:rsidR="00FF2750" w:rsidRPr="00FF2750" w:rsidRDefault="00FF2750" w:rsidP="00FF2750">
      <w:pPr>
        <w:pStyle w:val="Nadpis8"/>
        <w:keepNext w:val="0"/>
        <w:keepLines w:val="0"/>
        <w:numPr>
          <w:ilvl w:val="7"/>
          <w:numId w:val="66"/>
        </w:numPr>
        <w:suppressAutoHyphens/>
        <w:spacing w:before="240" w:after="60" w:line="240" w:lineRule="auto"/>
        <w:ind w:left="0" w:firstLine="0"/>
        <w:rPr>
          <w:rFonts w:ascii="Arial" w:hAnsi="Arial" w:cs="Arial"/>
          <w:i/>
          <w:iCs/>
          <w:color w:val="FF0000"/>
          <w:sz w:val="22"/>
          <w:szCs w:val="22"/>
        </w:rPr>
      </w:pPr>
      <w:r w:rsidRPr="00FF2750">
        <w:rPr>
          <w:rFonts w:ascii="Arial" w:hAnsi="Arial" w:cs="Arial"/>
          <w:color w:val="FF0000"/>
          <w:sz w:val="22"/>
          <w:szCs w:val="22"/>
        </w:rPr>
        <w:t>Plynoenergetika</w:t>
      </w:r>
    </w:p>
    <w:p w14:paraId="7DFE2804" w14:textId="77777777" w:rsidR="00FF2750" w:rsidRPr="00FF2750" w:rsidRDefault="00FF2750" w:rsidP="00FF2750">
      <w:pPr>
        <w:rPr>
          <w:rFonts w:ascii="Arial" w:hAnsi="Arial" w:cs="Arial"/>
          <w:color w:val="FF0000"/>
          <w:sz w:val="22"/>
          <w:szCs w:val="22"/>
        </w:rPr>
      </w:pPr>
      <w:r w:rsidRPr="00FF2750">
        <w:rPr>
          <w:rFonts w:ascii="Arial" w:hAnsi="Arial" w:cs="Arial"/>
          <w:i/>
          <w:iCs/>
          <w:color w:val="FF0000"/>
          <w:sz w:val="22"/>
          <w:szCs w:val="22"/>
        </w:rPr>
        <w:t xml:space="preserve">Ochranná pásma </w:t>
      </w:r>
    </w:p>
    <w:p w14:paraId="1A522B8C" w14:textId="77777777" w:rsidR="00FF2750" w:rsidRPr="00FF2750" w:rsidRDefault="00FF2750" w:rsidP="00FF2750">
      <w:pPr>
        <w:rPr>
          <w:rFonts w:ascii="Arial" w:hAnsi="Arial" w:cs="Arial"/>
          <w:color w:val="FF0000"/>
        </w:rPr>
      </w:pPr>
      <w:r w:rsidRPr="00FF2750">
        <w:rPr>
          <w:rFonts w:ascii="Arial" w:hAnsi="Arial" w:cs="Arial"/>
          <w:color w:val="FF0000"/>
        </w:rPr>
        <w:t>Ochranným pásmem se rozumí souvislý prostor v bezprostřední blízkosti plynárenského zařízení, vymezený svislými rovinami, vedenými ve vodorovné vzdálenosti od jeho půdorysu.</w:t>
      </w:r>
    </w:p>
    <w:p w14:paraId="5D5D6AB5" w14:textId="77777777" w:rsidR="00FF2750" w:rsidRPr="00FF2750" w:rsidRDefault="00FF2750" w:rsidP="00FF2750">
      <w:pPr>
        <w:rPr>
          <w:rFonts w:ascii="Arial" w:hAnsi="Arial" w:cs="Arial"/>
          <w:color w:val="FF0000"/>
        </w:rPr>
      </w:pPr>
      <w:r w:rsidRPr="00FF2750">
        <w:rPr>
          <w:rFonts w:ascii="Arial" w:hAnsi="Arial" w:cs="Arial"/>
          <w:color w:val="FF0000"/>
          <w:u w:val="single"/>
        </w:rPr>
        <w:t>Ochranná pásma činí</w:t>
      </w:r>
      <w:r w:rsidRPr="00FF2750">
        <w:rPr>
          <w:rFonts w:ascii="Arial" w:hAnsi="Arial" w:cs="Arial"/>
          <w:color w:val="FF0000"/>
        </w:rPr>
        <w:t>:</w:t>
      </w:r>
    </w:p>
    <w:p w14:paraId="63D37B37" w14:textId="77777777" w:rsidR="00FF2750" w:rsidRPr="00FF2750" w:rsidRDefault="00FF2750" w:rsidP="00FF2750">
      <w:pPr>
        <w:rPr>
          <w:rFonts w:ascii="Arial" w:hAnsi="Arial" w:cs="Arial"/>
          <w:color w:val="FF0000"/>
        </w:rPr>
      </w:pPr>
      <w:r w:rsidRPr="00FF2750">
        <w:rPr>
          <w:rFonts w:ascii="Arial" w:hAnsi="Arial" w:cs="Arial"/>
          <w:color w:val="FF0000"/>
        </w:rPr>
        <w:t>a) u nízkotlakých a středotlakých plynovodů a plynovodních přípojek, jimiž se rozvádí plyn v zastavěném území obce 1 m na obě strany od půdorysu,</w:t>
      </w:r>
    </w:p>
    <w:p w14:paraId="432AE88A" w14:textId="77777777" w:rsidR="00FF2750" w:rsidRPr="00FF2750" w:rsidRDefault="00FF2750" w:rsidP="00FF2750">
      <w:pPr>
        <w:rPr>
          <w:rFonts w:ascii="Arial" w:hAnsi="Arial" w:cs="Arial"/>
          <w:color w:val="FF0000"/>
        </w:rPr>
      </w:pPr>
      <w:r w:rsidRPr="00FF2750">
        <w:rPr>
          <w:rFonts w:ascii="Arial" w:hAnsi="Arial" w:cs="Arial"/>
          <w:color w:val="FF0000"/>
        </w:rPr>
        <w:t>b) u ostatních plynovodů a plynovodních přípojek 4 m na obě strany od půdorysu,</w:t>
      </w:r>
    </w:p>
    <w:p w14:paraId="6027BDC3" w14:textId="77777777" w:rsidR="00FF2750" w:rsidRPr="00FF2750" w:rsidRDefault="00FF2750" w:rsidP="00FF2750">
      <w:pPr>
        <w:rPr>
          <w:rFonts w:ascii="Arial" w:hAnsi="Arial" w:cs="Arial"/>
          <w:i/>
          <w:color w:val="FF0000"/>
        </w:rPr>
      </w:pPr>
      <w:r w:rsidRPr="00FF2750">
        <w:rPr>
          <w:rFonts w:ascii="Arial" w:hAnsi="Arial" w:cs="Arial"/>
          <w:color w:val="FF0000"/>
        </w:rPr>
        <w:t>c) u technologických objektů 4 m na všechny strany od půdorysu.</w:t>
      </w:r>
    </w:p>
    <w:p w14:paraId="6FA7D48D" w14:textId="77777777" w:rsidR="00FF2750" w:rsidRPr="00FF2750" w:rsidRDefault="00FF2750" w:rsidP="00FF2750">
      <w:pPr>
        <w:rPr>
          <w:rFonts w:ascii="Arial" w:hAnsi="Arial" w:cs="Arial"/>
          <w:color w:val="FF0000"/>
        </w:rPr>
      </w:pPr>
      <w:r w:rsidRPr="00FF2750">
        <w:rPr>
          <w:rFonts w:ascii="Arial" w:hAnsi="Arial" w:cs="Arial"/>
          <w:i/>
          <w:color w:val="FF0000"/>
        </w:rPr>
        <w:t>Bezpečnostní pásma</w:t>
      </w:r>
    </w:p>
    <w:p w14:paraId="149228F3" w14:textId="77777777" w:rsidR="00FF2750" w:rsidRDefault="00FF2750" w:rsidP="00FF2750">
      <w:pPr>
        <w:rPr>
          <w:rFonts w:ascii="Arial" w:hAnsi="Arial" w:cs="Arial"/>
          <w:color w:val="FF0000"/>
          <w:sz w:val="22"/>
          <w:szCs w:val="22"/>
        </w:rPr>
      </w:pPr>
      <w:r w:rsidRPr="00FF2750">
        <w:rPr>
          <w:rFonts w:ascii="Arial" w:hAnsi="Arial" w:cs="Arial"/>
          <w:color w:val="FF0000"/>
          <w:sz w:val="22"/>
          <w:szCs w:val="22"/>
        </w:rPr>
        <w:t>Bezpečnostní pásma plynových zařízení uvádí následující tabulka</w:t>
      </w:r>
    </w:p>
    <w:p w14:paraId="4639B257" w14:textId="77777777" w:rsidR="00FF2750" w:rsidRDefault="00FF2750" w:rsidP="00FF2750">
      <w:pPr>
        <w:rPr>
          <w:rFonts w:ascii="Arial" w:hAnsi="Arial" w:cs="Arial"/>
          <w:color w:val="FF0000"/>
          <w:sz w:val="22"/>
          <w:szCs w:val="22"/>
        </w:rPr>
      </w:pPr>
    </w:p>
    <w:p w14:paraId="2E7B990F" w14:textId="77777777" w:rsidR="00FF2750" w:rsidRDefault="00FF2750" w:rsidP="00FF2750">
      <w:pPr>
        <w:rPr>
          <w:rFonts w:ascii="Arial" w:hAnsi="Arial" w:cs="Arial"/>
          <w:color w:val="FF0000"/>
          <w:sz w:val="22"/>
          <w:szCs w:val="22"/>
        </w:rPr>
      </w:pPr>
    </w:p>
    <w:p w14:paraId="56ABAC0A" w14:textId="77777777" w:rsidR="00FF2750" w:rsidRDefault="00FF2750" w:rsidP="00FF2750">
      <w:pPr>
        <w:rPr>
          <w:rFonts w:ascii="Arial" w:hAnsi="Arial" w:cs="Arial"/>
          <w:color w:val="FF0000"/>
          <w:sz w:val="22"/>
          <w:szCs w:val="22"/>
        </w:rPr>
      </w:pPr>
    </w:p>
    <w:p w14:paraId="12F3E270" w14:textId="77777777" w:rsidR="00FF2750" w:rsidRDefault="00FF2750" w:rsidP="00FF2750">
      <w:pPr>
        <w:rPr>
          <w:rFonts w:ascii="Arial" w:hAnsi="Arial" w:cs="Arial"/>
          <w:color w:val="FF0000"/>
          <w:sz w:val="22"/>
          <w:szCs w:val="22"/>
        </w:rPr>
      </w:pPr>
    </w:p>
    <w:p w14:paraId="31429E42" w14:textId="77777777" w:rsidR="00FF2750" w:rsidRDefault="00FF2750" w:rsidP="00FF2750">
      <w:pPr>
        <w:rPr>
          <w:rFonts w:ascii="Arial" w:hAnsi="Arial" w:cs="Arial"/>
          <w:color w:val="FF0000"/>
          <w:sz w:val="22"/>
          <w:szCs w:val="22"/>
        </w:rPr>
      </w:pPr>
    </w:p>
    <w:p w14:paraId="63BE0CF6" w14:textId="77777777" w:rsidR="00FF2750" w:rsidRDefault="00FF2750" w:rsidP="00FF2750">
      <w:pPr>
        <w:rPr>
          <w:rFonts w:ascii="Arial" w:hAnsi="Arial" w:cs="Arial"/>
          <w:color w:val="FF0000"/>
          <w:sz w:val="22"/>
          <w:szCs w:val="22"/>
        </w:rPr>
      </w:pPr>
    </w:p>
    <w:p w14:paraId="0D04220C" w14:textId="77777777" w:rsidR="00FF2750" w:rsidRDefault="00FF2750" w:rsidP="00FF2750">
      <w:pPr>
        <w:rPr>
          <w:rFonts w:ascii="Arial" w:hAnsi="Arial" w:cs="Arial"/>
          <w:color w:val="FF0000"/>
          <w:sz w:val="22"/>
          <w:szCs w:val="22"/>
        </w:rPr>
      </w:pPr>
    </w:p>
    <w:p w14:paraId="729AD051" w14:textId="77777777" w:rsidR="00FF2750" w:rsidRDefault="00FF2750" w:rsidP="00FF2750">
      <w:pPr>
        <w:rPr>
          <w:rFonts w:ascii="Arial" w:hAnsi="Arial" w:cs="Arial"/>
          <w:color w:val="FF0000"/>
          <w:sz w:val="22"/>
          <w:szCs w:val="22"/>
        </w:rPr>
      </w:pPr>
    </w:p>
    <w:p w14:paraId="3836A8D7" w14:textId="77777777" w:rsidR="00FF2750" w:rsidRPr="00FF2750" w:rsidRDefault="00FF2750" w:rsidP="00FF2750">
      <w:pPr>
        <w:rPr>
          <w:rFonts w:ascii="Arial" w:hAnsi="Arial" w:cs="Arial"/>
          <w:b/>
          <w:bCs/>
          <w:color w:val="FF0000"/>
          <w:sz w:val="22"/>
          <w:szCs w:val="22"/>
        </w:rPr>
      </w:pPr>
    </w:p>
    <w:tbl>
      <w:tblPr>
        <w:tblW w:w="8422" w:type="dxa"/>
        <w:tblInd w:w="294" w:type="dxa"/>
        <w:tblLayout w:type="fixed"/>
        <w:tblCellMar>
          <w:left w:w="0" w:type="dxa"/>
          <w:right w:w="0" w:type="dxa"/>
        </w:tblCellMar>
        <w:tblLook w:val="0000" w:firstRow="0" w:lastRow="0" w:firstColumn="0" w:lastColumn="0" w:noHBand="0" w:noVBand="0"/>
      </w:tblPr>
      <w:tblGrid>
        <w:gridCol w:w="6095"/>
        <w:gridCol w:w="2327"/>
      </w:tblGrid>
      <w:tr w:rsidR="00FF2750" w:rsidRPr="00FF2750" w14:paraId="58A0D270" w14:textId="77777777" w:rsidTr="002D2D45">
        <w:trPr>
          <w:trHeight w:val="57"/>
        </w:trPr>
        <w:tc>
          <w:tcPr>
            <w:tcW w:w="6095" w:type="dxa"/>
            <w:tcBorders>
              <w:top w:val="single" w:sz="36" w:space="0" w:color="FF0000"/>
              <w:left w:val="single" w:sz="36" w:space="0" w:color="FF0000"/>
              <w:bottom w:val="single" w:sz="8" w:space="0" w:color="000000"/>
            </w:tcBorders>
            <w:shd w:val="clear" w:color="auto" w:fill="auto"/>
          </w:tcPr>
          <w:p w14:paraId="23F80BDC" w14:textId="77777777" w:rsidR="00FF2750" w:rsidRPr="00FF2750" w:rsidRDefault="00FF2750" w:rsidP="002D2D45">
            <w:pPr>
              <w:rPr>
                <w:rFonts w:ascii="Arial" w:hAnsi="Arial" w:cs="Arial"/>
                <w:b/>
                <w:bCs/>
                <w:sz w:val="22"/>
                <w:szCs w:val="22"/>
              </w:rPr>
            </w:pPr>
            <w:r w:rsidRPr="00FF2750">
              <w:rPr>
                <w:rFonts w:ascii="Arial" w:hAnsi="Arial" w:cs="Arial"/>
                <w:b/>
                <w:bCs/>
                <w:sz w:val="22"/>
                <w:szCs w:val="22"/>
              </w:rPr>
              <w:lastRenderedPageBreak/>
              <w:t>druh zařízení</w:t>
            </w:r>
          </w:p>
        </w:tc>
        <w:tc>
          <w:tcPr>
            <w:tcW w:w="2327" w:type="dxa"/>
            <w:tcBorders>
              <w:top w:val="single" w:sz="36" w:space="0" w:color="FF0000"/>
              <w:left w:val="single" w:sz="2" w:space="0" w:color="000000"/>
              <w:bottom w:val="single" w:sz="8" w:space="0" w:color="000000"/>
              <w:right w:val="single" w:sz="36" w:space="0" w:color="FF0000"/>
            </w:tcBorders>
            <w:shd w:val="clear" w:color="auto" w:fill="auto"/>
          </w:tcPr>
          <w:p w14:paraId="7DEBC2E5" w14:textId="77777777" w:rsidR="00FF2750" w:rsidRPr="00FF2750" w:rsidRDefault="00FF2750" w:rsidP="002D2D45">
            <w:pPr>
              <w:rPr>
                <w:rFonts w:ascii="Arial" w:hAnsi="Arial" w:cs="Arial"/>
                <w:sz w:val="22"/>
                <w:szCs w:val="22"/>
              </w:rPr>
            </w:pPr>
            <w:r w:rsidRPr="00FF2750">
              <w:rPr>
                <w:rFonts w:ascii="Arial" w:hAnsi="Arial" w:cs="Arial"/>
                <w:b/>
                <w:bCs/>
                <w:sz w:val="22"/>
                <w:szCs w:val="22"/>
              </w:rPr>
              <w:t>velikost pásma</w:t>
            </w:r>
          </w:p>
        </w:tc>
      </w:tr>
      <w:tr w:rsidR="00FF2750" w:rsidRPr="00FF2750" w14:paraId="34C2F986" w14:textId="77777777" w:rsidTr="002D2D45">
        <w:trPr>
          <w:trHeight w:val="57"/>
        </w:trPr>
        <w:tc>
          <w:tcPr>
            <w:tcW w:w="6095" w:type="dxa"/>
            <w:tcBorders>
              <w:top w:val="single" w:sz="2" w:space="0" w:color="000000"/>
              <w:left w:val="single" w:sz="36" w:space="0" w:color="FF0000"/>
              <w:bottom w:val="single" w:sz="2" w:space="0" w:color="000000"/>
            </w:tcBorders>
            <w:shd w:val="clear" w:color="auto" w:fill="auto"/>
          </w:tcPr>
          <w:p w14:paraId="2CB5E748" w14:textId="77777777" w:rsidR="00FF2750" w:rsidRPr="00FF2750" w:rsidRDefault="00FF2750" w:rsidP="002D2D45">
            <w:pPr>
              <w:rPr>
                <w:rFonts w:ascii="Arial" w:hAnsi="Arial" w:cs="Arial"/>
                <w:sz w:val="22"/>
                <w:szCs w:val="22"/>
              </w:rPr>
            </w:pPr>
            <w:r w:rsidRPr="00FF2750">
              <w:rPr>
                <w:rFonts w:ascii="Arial" w:hAnsi="Arial" w:cs="Arial"/>
                <w:sz w:val="22"/>
                <w:szCs w:val="22"/>
              </w:rPr>
              <w:t xml:space="preserve">Regulační stanice vysokotlaké </w:t>
            </w:r>
          </w:p>
        </w:tc>
        <w:tc>
          <w:tcPr>
            <w:tcW w:w="2327" w:type="dxa"/>
            <w:tcBorders>
              <w:top w:val="single" w:sz="2" w:space="0" w:color="000000"/>
              <w:left w:val="single" w:sz="2" w:space="0" w:color="000000"/>
              <w:bottom w:val="single" w:sz="2" w:space="0" w:color="000000"/>
              <w:right w:val="single" w:sz="36" w:space="0" w:color="FF0000"/>
            </w:tcBorders>
            <w:shd w:val="clear" w:color="auto" w:fill="auto"/>
          </w:tcPr>
          <w:p w14:paraId="597691C4" w14:textId="77777777" w:rsidR="00FF2750" w:rsidRPr="00FF2750" w:rsidRDefault="00FF2750" w:rsidP="002D2D45">
            <w:pPr>
              <w:rPr>
                <w:rFonts w:ascii="Arial" w:hAnsi="Arial" w:cs="Arial"/>
                <w:sz w:val="22"/>
                <w:szCs w:val="22"/>
              </w:rPr>
            </w:pPr>
            <w:r w:rsidRPr="00FF2750">
              <w:rPr>
                <w:rFonts w:ascii="Arial" w:hAnsi="Arial" w:cs="Arial"/>
                <w:sz w:val="22"/>
                <w:szCs w:val="22"/>
              </w:rPr>
              <w:t>10 m</w:t>
            </w:r>
          </w:p>
        </w:tc>
      </w:tr>
      <w:tr w:rsidR="00FF2750" w:rsidRPr="00FF2750" w14:paraId="7F69D614" w14:textId="77777777" w:rsidTr="002D2D45">
        <w:trPr>
          <w:trHeight w:val="57"/>
        </w:trPr>
        <w:tc>
          <w:tcPr>
            <w:tcW w:w="8422" w:type="dxa"/>
            <w:gridSpan w:val="2"/>
            <w:tcBorders>
              <w:top w:val="single" w:sz="2" w:space="0" w:color="000000"/>
              <w:left w:val="single" w:sz="36" w:space="0" w:color="FF0000"/>
              <w:right w:val="single" w:sz="36" w:space="0" w:color="FF0000"/>
            </w:tcBorders>
            <w:shd w:val="clear" w:color="auto" w:fill="auto"/>
          </w:tcPr>
          <w:p w14:paraId="36EB640B" w14:textId="77777777" w:rsidR="00FF2750" w:rsidRPr="00FF2750" w:rsidRDefault="00FF2750" w:rsidP="002D2D45">
            <w:pPr>
              <w:rPr>
                <w:rFonts w:ascii="Arial" w:hAnsi="Arial" w:cs="Arial"/>
                <w:sz w:val="22"/>
                <w:szCs w:val="22"/>
              </w:rPr>
            </w:pPr>
            <w:r w:rsidRPr="00FF2750">
              <w:rPr>
                <w:rFonts w:ascii="Arial" w:hAnsi="Arial" w:cs="Arial"/>
                <w:sz w:val="22"/>
                <w:szCs w:val="22"/>
              </w:rPr>
              <w:t>Vysokotlaké plynovody</w:t>
            </w:r>
          </w:p>
        </w:tc>
      </w:tr>
      <w:tr w:rsidR="00FF2750" w:rsidRPr="00FF2750" w14:paraId="0510F4DE" w14:textId="77777777" w:rsidTr="002D2D45">
        <w:trPr>
          <w:trHeight w:val="57"/>
        </w:trPr>
        <w:tc>
          <w:tcPr>
            <w:tcW w:w="6095" w:type="dxa"/>
            <w:tcBorders>
              <w:top w:val="single" w:sz="2" w:space="0" w:color="000000"/>
              <w:left w:val="single" w:sz="36" w:space="0" w:color="FF0000"/>
              <w:bottom w:val="single" w:sz="2" w:space="0" w:color="000000"/>
            </w:tcBorders>
            <w:shd w:val="clear" w:color="auto" w:fill="auto"/>
          </w:tcPr>
          <w:p w14:paraId="1A46C689" w14:textId="77777777" w:rsidR="00FF2750" w:rsidRPr="00FF2750" w:rsidRDefault="00FF2750" w:rsidP="002D2D45">
            <w:pPr>
              <w:rPr>
                <w:rFonts w:ascii="Arial" w:hAnsi="Arial" w:cs="Arial"/>
                <w:sz w:val="22"/>
                <w:szCs w:val="22"/>
              </w:rPr>
            </w:pPr>
            <w:r w:rsidRPr="00FF2750">
              <w:rPr>
                <w:rFonts w:ascii="Arial" w:hAnsi="Arial" w:cs="Arial"/>
                <w:sz w:val="22"/>
                <w:szCs w:val="22"/>
              </w:rPr>
              <w:t xml:space="preserve">do DN 100 </w:t>
            </w:r>
          </w:p>
        </w:tc>
        <w:tc>
          <w:tcPr>
            <w:tcW w:w="2327" w:type="dxa"/>
            <w:tcBorders>
              <w:top w:val="single" w:sz="2" w:space="0" w:color="000000"/>
              <w:left w:val="single" w:sz="2" w:space="0" w:color="000000"/>
              <w:bottom w:val="single" w:sz="2" w:space="0" w:color="000000"/>
              <w:right w:val="single" w:sz="36" w:space="0" w:color="FF0000"/>
            </w:tcBorders>
            <w:shd w:val="clear" w:color="auto" w:fill="auto"/>
          </w:tcPr>
          <w:p w14:paraId="283B469E" w14:textId="77777777" w:rsidR="00FF2750" w:rsidRPr="00FF2750" w:rsidRDefault="00FF2750" w:rsidP="002D2D45">
            <w:pPr>
              <w:rPr>
                <w:rFonts w:ascii="Arial" w:hAnsi="Arial" w:cs="Arial"/>
                <w:sz w:val="22"/>
                <w:szCs w:val="22"/>
              </w:rPr>
            </w:pPr>
            <w:r w:rsidRPr="00FF2750">
              <w:rPr>
                <w:rFonts w:ascii="Arial" w:hAnsi="Arial" w:cs="Arial"/>
                <w:sz w:val="22"/>
                <w:szCs w:val="22"/>
              </w:rPr>
              <w:t>15 m</w:t>
            </w:r>
          </w:p>
        </w:tc>
      </w:tr>
      <w:tr w:rsidR="00FF2750" w:rsidRPr="00FF2750" w14:paraId="1BE31CC8" w14:textId="77777777" w:rsidTr="002D2D45">
        <w:trPr>
          <w:trHeight w:val="57"/>
        </w:trPr>
        <w:tc>
          <w:tcPr>
            <w:tcW w:w="6095" w:type="dxa"/>
            <w:tcBorders>
              <w:top w:val="single" w:sz="2" w:space="0" w:color="000000"/>
              <w:left w:val="single" w:sz="36" w:space="0" w:color="FF0000"/>
              <w:bottom w:val="single" w:sz="2" w:space="0" w:color="000000"/>
            </w:tcBorders>
            <w:shd w:val="clear" w:color="auto" w:fill="auto"/>
          </w:tcPr>
          <w:p w14:paraId="768E977A" w14:textId="77777777" w:rsidR="00FF2750" w:rsidRPr="00FF2750" w:rsidRDefault="00FF2750" w:rsidP="002D2D45">
            <w:pPr>
              <w:rPr>
                <w:rFonts w:ascii="Arial" w:hAnsi="Arial" w:cs="Arial"/>
                <w:sz w:val="22"/>
                <w:szCs w:val="22"/>
              </w:rPr>
            </w:pPr>
            <w:r w:rsidRPr="00FF2750">
              <w:rPr>
                <w:rFonts w:ascii="Arial" w:hAnsi="Arial" w:cs="Arial"/>
                <w:sz w:val="22"/>
                <w:szCs w:val="22"/>
              </w:rPr>
              <w:t xml:space="preserve">do DN 250 </w:t>
            </w:r>
          </w:p>
        </w:tc>
        <w:tc>
          <w:tcPr>
            <w:tcW w:w="2327" w:type="dxa"/>
            <w:tcBorders>
              <w:top w:val="single" w:sz="2" w:space="0" w:color="000000"/>
              <w:left w:val="single" w:sz="2" w:space="0" w:color="000000"/>
              <w:bottom w:val="single" w:sz="2" w:space="0" w:color="000000"/>
              <w:right w:val="single" w:sz="36" w:space="0" w:color="FF0000"/>
            </w:tcBorders>
            <w:shd w:val="clear" w:color="auto" w:fill="auto"/>
          </w:tcPr>
          <w:p w14:paraId="57561150" w14:textId="77777777" w:rsidR="00FF2750" w:rsidRPr="00FF2750" w:rsidRDefault="00FF2750" w:rsidP="002D2D45">
            <w:pPr>
              <w:rPr>
                <w:rFonts w:ascii="Arial" w:hAnsi="Arial" w:cs="Arial"/>
                <w:sz w:val="22"/>
                <w:szCs w:val="22"/>
              </w:rPr>
            </w:pPr>
            <w:r w:rsidRPr="00FF2750">
              <w:rPr>
                <w:rFonts w:ascii="Arial" w:hAnsi="Arial" w:cs="Arial"/>
                <w:sz w:val="22"/>
                <w:szCs w:val="22"/>
              </w:rPr>
              <w:t>20 m</w:t>
            </w:r>
          </w:p>
        </w:tc>
      </w:tr>
      <w:tr w:rsidR="00FF2750" w:rsidRPr="00FF2750" w14:paraId="0F05CA82" w14:textId="77777777" w:rsidTr="002D2D45">
        <w:trPr>
          <w:trHeight w:val="57"/>
        </w:trPr>
        <w:tc>
          <w:tcPr>
            <w:tcW w:w="6095" w:type="dxa"/>
            <w:tcBorders>
              <w:top w:val="single" w:sz="2" w:space="0" w:color="000000"/>
              <w:left w:val="single" w:sz="36" w:space="0" w:color="FF0000"/>
              <w:bottom w:val="single" w:sz="36" w:space="0" w:color="FF0000"/>
            </w:tcBorders>
            <w:shd w:val="clear" w:color="auto" w:fill="auto"/>
          </w:tcPr>
          <w:p w14:paraId="72D3DBA7" w14:textId="77777777" w:rsidR="00FF2750" w:rsidRPr="00FF2750" w:rsidRDefault="00FF2750" w:rsidP="002D2D45">
            <w:pPr>
              <w:rPr>
                <w:rFonts w:ascii="Arial" w:hAnsi="Arial" w:cs="Arial"/>
                <w:sz w:val="22"/>
                <w:szCs w:val="22"/>
              </w:rPr>
            </w:pPr>
            <w:r w:rsidRPr="00FF2750">
              <w:rPr>
                <w:rFonts w:ascii="Arial" w:hAnsi="Arial" w:cs="Arial"/>
                <w:sz w:val="22"/>
                <w:szCs w:val="22"/>
              </w:rPr>
              <w:t xml:space="preserve">nad DN 250 </w:t>
            </w:r>
          </w:p>
        </w:tc>
        <w:tc>
          <w:tcPr>
            <w:tcW w:w="2327" w:type="dxa"/>
            <w:tcBorders>
              <w:top w:val="single" w:sz="2" w:space="0" w:color="000000"/>
              <w:left w:val="single" w:sz="2" w:space="0" w:color="000000"/>
              <w:bottom w:val="single" w:sz="36" w:space="0" w:color="FF0000"/>
              <w:right w:val="single" w:sz="36" w:space="0" w:color="FF0000"/>
            </w:tcBorders>
            <w:shd w:val="clear" w:color="auto" w:fill="auto"/>
          </w:tcPr>
          <w:p w14:paraId="449E7BF2" w14:textId="77777777" w:rsidR="00FF2750" w:rsidRPr="00FF2750" w:rsidRDefault="00FF2750" w:rsidP="002D2D45">
            <w:pPr>
              <w:rPr>
                <w:rFonts w:ascii="Arial" w:hAnsi="Arial" w:cs="Arial"/>
                <w:sz w:val="22"/>
                <w:szCs w:val="22"/>
              </w:rPr>
            </w:pPr>
            <w:r w:rsidRPr="00FF2750">
              <w:rPr>
                <w:rFonts w:ascii="Arial" w:hAnsi="Arial" w:cs="Arial"/>
                <w:sz w:val="22"/>
                <w:szCs w:val="22"/>
              </w:rPr>
              <w:t>40 m</w:t>
            </w:r>
          </w:p>
        </w:tc>
      </w:tr>
    </w:tbl>
    <w:p w14:paraId="6C369DAA" w14:textId="77777777" w:rsidR="00FF2750" w:rsidRPr="00FF2750" w:rsidRDefault="00FF2750" w:rsidP="00FF2750">
      <w:pPr>
        <w:pStyle w:val="Nadpis3"/>
        <w:keepLines w:val="0"/>
        <w:numPr>
          <w:ilvl w:val="2"/>
          <w:numId w:val="66"/>
        </w:numPr>
        <w:spacing w:before="200" w:after="120"/>
        <w:ind w:left="0" w:firstLine="0"/>
        <w:jc w:val="both"/>
        <w:rPr>
          <w:rFonts w:ascii="Arial" w:hAnsi="Arial" w:cs="Arial"/>
          <w:color w:val="FF0000"/>
        </w:rPr>
      </w:pPr>
      <w:bookmarkStart w:id="18" w:name="_Toc358720200"/>
      <w:r w:rsidRPr="00FF2750">
        <w:rPr>
          <w:rFonts w:ascii="Arial" w:hAnsi="Arial" w:cs="Arial"/>
          <w:color w:val="FF0000"/>
        </w:rPr>
        <w:t>Teplárenství</w:t>
      </w:r>
      <w:bookmarkEnd w:id="18"/>
    </w:p>
    <w:p w14:paraId="064B64B1" w14:textId="77777777" w:rsidR="00FF2750" w:rsidRPr="00FF2750" w:rsidRDefault="00FF2750" w:rsidP="00FF2750">
      <w:pPr>
        <w:rPr>
          <w:rFonts w:ascii="Arial" w:hAnsi="Arial" w:cs="Arial"/>
          <w:color w:val="FF0000"/>
        </w:rPr>
      </w:pPr>
      <w:r w:rsidRPr="00FF2750">
        <w:rPr>
          <w:rFonts w:ascii="Arial" w:hAnsi="Arial" w:cs="Arial"/>
          <w:color w:val="FF0000"/>
        </w:rPr>
        <w:t>Šířka ochranných pásem je vymezena svislými rovinami vedenými po obou stranách zařízení na výrobu či rozvod tepelné energie ve vodorovné vzdálenosti měřené kolmo k tomuto zařízení, která činí 2,5 m.</w:t>
      </w:r>
    </w:p>
    <w:p w14:paraId="15629D5D" w14:textId="77777777" w:rsidR="00FF2750" w:rsidRPr="00FF2750" w:rsidRDefault="00FF2750" w:rsidP="00FF2750">
      <w:pPr>
        <w:rPr>
          <w:rFonts w:ascii="Arial" w:hAnsi="Arial" w:cs="Arial"/>
          <w:color w:val="FF0000"/>
        </w:rPr>
      </w:pPr>
      <w:r w:rsidRPr="00FF2750">
        <w:rPr>
          <w:rFonts w:ascii="Arial" w:hAnsi="Arial" w:cs="Arial"/>
          <w:color w:val="FF0000"/>
        </w:rPr>
        <w:t>U výměníkových stanic určených ke změně parametrů teplonosné látky, které jsou umístěny v samostatných budovách je ochranné pásmo vymezeno svislými rovinami vedenými ve vodorovné vzdálenosti 2,5 m kolmo na půdorys těchto stanic.</w:t>
      </w:r>
    </w:p>
    <w:p w14:paraId="033BC212" w14:textId="77777777" w:rsidR="00FF2750" w:rsidRPr="00FF2750" w:rsidRDefault="00FF2750" w:rsidP="00FF2750">
      <w:pPr>
        <w:pStyle w:val="Nadpis3"/>
        <w:keepLines w:val="0"/>
        <w:numPr>
          <w:ilvl w:val="2"/>
          <w:numId w:val="66"/>
        </w:numPr>
        <w:spacing w:before="200" w:after="120"/>
        <w:ind w:left="0" w:firstLine="0"/>
        <w:jc w:val="both"/>
        <w:rPr>
          <w:rFonts w:ascii="Arial" w:hAnsi="Arial" w:cs="Arial"/>
          <w:color w:val="FF0000"/>
        </w:rPr>
      </w:pPr>
      <w:bookmarkStart w:id="19" w:name="_Toc358720201"/>
      <w:r w:rsidRPr="00FF2750">
        <w:rPr>
          <w:rFonts w:ascii="Arial" w:hAnsi="Arial" w:cs="Arial"/>
          <w:color w:val="FF0000"/>
        </w:rPr>
        <w:t>Spoje</w:t>
      </w:r>
      <w:bookmarkEnd w:id="19"/>
      <w:r w:rsidRPr="00FF2750">
        <w:rPr>
          <w:rFonts w:ascii="Arial" w:hAnsi="Arial" w:cs="Arial"/>
          <w:color w:val="FF0000"/>
        </w:rPr>
        <w:t xml:space="preserve"> </w:t>
      </w:r>
    </w:p>
    <w:p w14:paraId="2690D261" w14:textId="77777777" w:rsidR="00FF2750" w:rsidRPr="00FF2750" w:rsidRDefault="00FF2750" w:rsidP="00FF2750">
      <w:pPr>
        <w:rPr>
          <w:rFonts w:ascii="Arial" w:hAnsi="Arial" w:cs="Arial"/>
          <w:color w:val="FF0000"/>
        </w:rPr>
      </w:pPr>
      <w:r w:rsidRPr="00FF2750">
        <w:rPr>
          <w:rFonts w:ascii="Arial" w:hAnsi="Arial" w:cs="Arial"/>
          <w:b/>
          <w:color w:val="FF0000"/>
        </w:rPr>
        <w:t>Telekomunikační zařízení</w:t>
      </w:r>
    </w:p>
    <w:p w14:paraId="1CE3A2AB" w14:textId="77777777" w:rsidR="00FF2750" w:rsidRPr="00FF2750" w:rsidRDefault="00FF2750" w:rsidP="00FF2750">
      <w:pPr>
        <w:rPr>
          <w:rFonts w:ascii="Arial" w:hAnsi="Arial" w:cs="Arial"/>
          <w:color w:val="FF0000"/>
        </w:rPr>
      </w:pPr>
      <w:r w:rsidRPr="00FF2750">
        <w:rPr>
          <w:rFonts w:ascii="Arial" w:hAnsi="Arial" w:cs="Arial"/>
          <w:color w:val="FF0000"/>
        </w:rPr>
        <w:t>Ochranné pásmo pozemních telekomunikačních vedení činí 1,5 m po stranách krajního vedení.</w:t>
      </w:r>
    </w:p>
    <w:p w14:paraId="63E432EA" w14:textId="77777777" w:rsidR="00FF2750" w:rsidRPr="00FF2750" w:rsidRDefault="00FF2750" w:rsidP="00FF2750">
      <w:pPr>
        <w:rPr>
          <w:rFonts w:ascii="Arial" w:hAnsi="Arial" w:cs="Arial"/>
          <w:color w:val="FF0000"/>
        </w:rPr>
      </w:pPr>
      <w:r w:rsidRPr="00FF2750">
        <w:rPr>
          <w:rFonts w:ascii="Arial" w:hAnsi="Arial" w:cs="Arial"/>
          <w:b/>
          <w:color w:val="FF0000"/>
        </w:rPr>
        <w:t>Radiokomunikační zařízení</w:t>
      </w:r>
    </w:p>
    <w:p w14:paraId="44822F12" w14:textId="77777777" w:rsidR="00FF2750" w:rsidRPr="00FF2750" w:rsidRDefault="00FF2750" w:rsidP="00FF2750">
      <w:pPr>
        <w:rPr>
          <w:rFonts w:ascii="Arial" w:hAnsi="Arial" w:cs="Arial"/>
          <w:color w:val="FF0000"/>
        </w:rPr>
      </w:pPr>
      <w:r w:rsidRPr="00FF2750">
        <w:rPr>
          <w:rFonts w:ascii="Arial" w:hAnsi="Arial" w:cs="Arial"/>
          <w:color w:val="FF0000"/>
        </w:rPr>
        <w:t xml:space="preserve">U radioreléových tras musí být zachována přímá viditelnost a u jejich koncových bodů je vymezeno ochranné pásmo o poloměru 500 m, kde nesmí být  umístěn rušivý zdroj elektromagnetického vlnění. </w:t>
      </w:r>
    </w:p>
    <w:p w14:paraId="5154AD3D" w14:textId="77777777" w:rsidR="00FF2750" w:rsidRPr="00FF2750" w:rsidRDefault="00FF2750" w:rsidP="00FF2750">
      <w:pPr>
        <w:rPr>
          <w:rFonts w:ascii="Arial" w:hAnsi="Arial" w:cs="Arial"/>
          <w:color w:val="FF0000"/>
        </w:rPr>
      </w:pPr>
    </w:p>
    <w:p w14:paraId="3886E5FC" w14:textId="77777777" w:rsidR="00FF2750" w:rsidRPr="00FF2750" w:rsidRDefault="00FF2750" w:rsidP="00FF2750">
      <w:pPr>
        <w:rPr>
          <w:rFonts w:ascii="Arial" w:hAnsi="Arial" w:cs="Arial"/>
          <w:color w:val="FF0000"/>
        </w:rPr>
      </w:pPr>
    </w:p>
    <w:p w14:paraId="2A31D2CF" w14:textId="0A753FBD" w:rsidR="00D75F38" w:rsidRPr="006F4120" w:rsidRDefault="00D75F38" w:rsidP="00D75F38">
      <w:pPr>
        <w:jc w:val="both"/>
        <w:rPr>
          <w:rFonts w:ascii="Arial" w:hAnsi="Arial" w:cs="Arial"/>
          <w:b/>
          <w:sz w:val="22"/>
        </w:rPr>
      </w:pPr>
      <w:r w:rsidRPr="00FF2F84">
        <w:rPr>
          <w:rFonts w:ascii="Arial" w:hAnsi="Arial" w:cs="Arial"/>
          <w:b/>
          <w:color w:val="18B8B0"/>
          <w:sz w:val="22"/>
        </w:rPr>
        <w:t>(Z12) KAPITOLA BYLA V ROZSAHU ČÁSTI „SILNIČNÍ OCHRANNÉ PÁSMO“ UPŘESNĚNA DLE PLATNÉ LEGISLATIVY</w:t>
      </w:r>
      <w:r w:rsidR="006A14E8" w:rsidRPr="00FF2F84">
        <w:rPr>
          <w:rFonts w:ascii="Arial" w:hAnsi="Arial" w:cs="Arial"/>
          <w:b/>
          <w:color w:val="18B8B0"/>
          <w:sz w:val="22"/>
        </w:rPr>
        <w:t>.</w:t>
      </w:r>
    </w:p>
    <w:p w14:paraId="54711601" w14:textId="77777777" w:rsidR="002D2D45" w:rsidRDefault="002D2D45" w:rsidP="00CA23D0">
      <w:pPr>
        <w:jc w:val="both"/>
        <w:rPr>
          <w:rFonts w:ascii="Arial" w:hAnsi="Arial" w:cs="Arial"/>
          <w:sz w:val="22"/>
        </w:rPr>
      </w:pPr>
    </w:p>
    <w:p w14:paraId="11661728" w14:textId="77777777" w:rsidR="002D2D45" w:rsidRDefault="002D2D45" w:rsidP="00CA23D0">
      <w:pPr>
        <w:jc w:val="both"/>
        <w:rPr>
          <w:rFonts w:ascii="Arial" w:hAnsi="Arial" w:cs="Arial"/>
          <w:sz w:val="22"/>
        </w:rPr>
      </w:pPr>
    </w:p>
    <w:p w14:paraId="14931780" w14:textId="77777777" w:rsidR="002D2D45" w:rsidRDefault="002D2D45" w:rsidP="00CA23D0">
      <w:pPr>
        <w:jc w:val="both"/>
        <w:rPr>
          <w:rFonts w:ascii="Arial" w:hAnsi="Arial" w:cs="Arial"/>
          <w:sz w:val="22"/>
        </w:rPr>
      </w:pPr>
    </w:p>
    <w:p w14:paraId="69F9454A" w14:textId="77777777" w:rsidR="002D2D45" w:rsidRDefault="002D2D45" w:rsidP="00CA23D0">
      <w:pPr>
        <w:jc w:val="both"/>
        <w:rPr>
          <w:rFonts w:ascii="Arial" w:hAnsi="Arial" w:cs="Arial"/>
          <w:sz w:val="22"/>
        </w:rPr>
      </w:pPr>
    </w:p>
    <w:p w14:paraId="1AE42624" w14:textId="77777777" w:rsidR="002D2D45" w:rsidRDefault="002D2D45" w:rsidP="00CA23D0">
      <w:pPr>
        <w:jc w:val="both"/>
        <w:rPr>
          <w:rFonts w:ascii="Arial" w:hAnsi="Arial" w:cs="Arial"/>
          <w:sz w:val="22"/>
        </w:rPr>
      </w:pPr>
    </w:p>
    <w:p w14:paraId="3D97E907" w14:textId="77777777" w:rsidR="002D2D45" w:rsidRDefault="002D2D45" w:rsidP="00CA23D0">
      <w:pPr>
        <w:jc w:val="both"/>
        <w:rPr>
          <w:rFonts w:ascii="Arial" w:hAnsi="Arial" w:cs="Arial"/>
          <w:sz w:val="22"/>
        </w:rPr>
      </w:pPr>
    </w:p>
    <w:p w14:paraId="07D382FE" w14:textId="77777777" w:rsidR="002D2D45" w:rsidRDefault="002D2D45" w:rsidP="00CA23D0">
      <w:pPr>
        <w:jc w:val="both"/>
        <w:rPr>
          <w:rFonts w:ascii="Arial" w:hAnsi="Arial" w:cs="Arial"/>
          <w:sz w:val="22"/>
        </w:rPr>
      </w:pPr>
    </w:p>
    <w:p w14:paraId="58550EC2" w14:textId="77777777" w:rsidR="002D2D45" w:rsidRDefault="002D2D45" w:rsidP="00CA23D0">
      <w:pPr>
        <w:jc w:val="both"/>
        <w:rPr>
          <w:rFonts w:ascii="Arial" w:hAnsi="Arial" w:cs="Arial"/>
          <w:sz w:val="22"/>
        </w:rPr>
      </w:pPr>
    </w:p>
    <w:p w14:paraId="52240310" w14:textId="77777777" w:rsidR="002D2D45" w:rsidRDefault="002D2D45" w:rsidP="00CA23D0">
      <w:pPr>
        <w:jc w:val="both"/>
        <w:rPr>
          <w:rFonts w:ascii="Arial" w:hAnsi="Arial" w:cs="Arial"/>
          <w:sz w:val="22"/>
        </w:rPr>
      </w:pPr>
    </w:p>
    <w:p w14:paraId="4A966DCE" w14:textId="77777777" w:rsidR="002D2D45" w:rsidRDefault="002D2D45" w:rsidP="00CA23D0">
      <w:pPr>
        <w:jc w:val="both"/>
        <w:rPr>
          <w:rFonts w:ascii="Arial" w:hAnsi="Arial" w:cs="Arial"/>
          <w:sz w:val="22"/>
        </w:rPr>
      </w:pPr>
    </w:p>
    <w:p w14:paraId="07FF4E62" w14:textId="77777777" w:rsidR="002D2D45" w:rsidRDefault="002D2D45" w:rsidP="00CA23D0">
      <w:pPr>
        <w:jc w:val="both"/>
        <w:rPr>
          <w:rFonts w:ascii="Arial" w:hAnsi="Arial" w:cs="Arial"/>
          <w:sz w:val="22"/>
        </w:rPr>
      </w:pPr>
    </w:p>
    <w:p w14:paraId="686EB135" w14:textId="77777777" w:rsidR="002D2D45" w:rsidRDefault="002D2D45" w:rsidP="00CA23D0">
      <w:pPr>
        <w:jc w:val="both"/>
        <w:rPr>
          <w:rFonts w:ascii="Arial" w:hAnsi="Arial" w:cs="Arial"/>
          <w:sz w:val="22"/>
        </w:rPr>
      </w:pPr>
    </w:p>
    <w:p w14:paraId="79913383" w14:textId="77777777" w:rsidR="002D2D45" w:rsidRDefault="002D2D45" w:rsidP="00CA23D0">
      <w:pPr>
        <w:jc w:val="both"/>
        <w:rPr>
          <w:rFonts w:ascii="Arial" w:hAnsi="Arial" w:cs="Arial"/>
          <w:sz w:val="22"/>
        </w:rPr>
      </w:pPr>
    </w:p>
    <w:p w14:paraId="5272330E" w14:textId="77777777" w:rsidR="002D2D45" w:rsidRDefault="002D2D45" w:rsidP="00CA23D0">
      <w:pPr>
        <w:jc w:val="both"/>
        <w:rPr>
          <w:rFonts w:ascii="Arial" w:hAnsi="Arial" w:cs="Arial"/>
          <w:sz w:val="22"/>
        </w:rPr>
      </w:pPr>
    </w:p>
    <w:p w14:paraId="021D93B4" w14:textId="77777777" w:rsidR="002D2D45" w:rsidRDefault="002D2D45" w:rsidP="00CA23D0">
      <w:pPr>
        <w:jc w:val="both"/>
        <w:rPr>
          <w:rFonts w:ascii="Arial" w:hAnsi="Arial" w:cs="Arial"/>
          <w:sz w:val="22"/>
        </w:rPr>
      </w:pPr>
    </w:p>
    <w:p w14:paraId="43B81E48" w14:textId="77777777" w:rsidR="002D2D45" w:rsidRDefault="002D2D45" w:rsidP="00CA23D0">
      <w:pPr>
        <w:jc w:val="both"/>
        <w:rPr>
          <w:rFonts w:ascii="Arial" w:hAnsi="Arial" w:cs="Arial"/>
          <w:sz w:val="22"/>
        </w:rPr>
      </w:pPr>
    </w:p>
    <w:p w14:paraId="096E8B5A" w14:textId="77777777" w:rsidR="002D2D45" w:rsidRDefault="002D2D45" w:rsidP="00CA23D0">
      <w:pPr>
        <w:jc w:val="both"/>
        <w:rPr>
          <w:rFonts w:ascii="Arial" w:hAnsi="Arial" w:cs="Arial"/>
          <w:sz w:val="22"/>
        </w:rPr>
      </w:pPr>
    </w:p>
    <w:p w14:paraId="70E4A1FB" w14:textId="77777777" w:rsidR="002D2D45" w:rsidRDefault="002D2D45" w:rsidP="00CA23D0">
      <w:pPr>
        <w:jc w:val="both"/>
        <w:rPr>
          <w:rFonts w:ascii="Arial" w:hAnsi="Arial" w:cs="Arial"/>
          <w:sz w:val="22"/>
        </w:rPr>
      </w:pPr>
    </w:p>
    <w:p w14:paraId="0E27136C" w14:textId="77777777" w:rsidR="002D2D45" w:rsidRDefault="002D2D45" w:rsidP="00CA23D0">
      <w:pPr>
        <w:jc w:val="both"/>
        <w:rPr>
          <w:rFonts w:ascii="Arial" w:hAnsi="Arial" w:cs="Arial"/>
          <w:sz w:val="22"/>
        </w:rPr>
      </w:pPr>
    </w:p>
    <w:p w14:paraId="0C20C5D1" w14:textId="77777777" w:rsidR="002D2D45" w:rsidRDefault="002D2D45" w:rsidP="00CA23D0">
      <w:pPr>
        <w:jc w:val="both"/>
        <w:rPr>
          <w:rFonts w:ascii="Arial" w:hAnsi="Arial" w:cs="Arial"/>
          <w:sz w:val="22"/>
        </w:rPr>
      </w:pPr>
    </w:p>
    <w:p w14:paraId="6051A383" w14:textId="77777777" w:rsidR="002D2D45" w:rsidRDefault="002D2D45" w:rsidP="00CA23D0">
      <w:pPr>
        <w:jc w:val="both"/>
        <w:rPr>
          <w:rFonts w:ascii="Arial" w:hAnsi="Arial" w:cs="Arial"/>
          <w:sz w:val="22"/>
        </w:rPr>
      </w:pPr>
    </w:p>
    <w:p w14:paraId="36FAC875" w14:textId="77777777" w:rsidR="002D2D45" w:rsidRDefault="002D2D45" w:rsidP="00CA23D0">
      <w:pPr>
        <w:jc w:val="both"/>
        <w:rPr>
          <w:rFonts w:ascii="Arial" w:hAnsi="Arial" w:cs="Arial"/>
          <w:sz w:val="22"/>
        </w:rPr>
      </w:pPr>
    </w:p>
    <w:p w14:paraId="4DE9119C" w14:textId="77777777" w:rsidR="002D2D45" w:rsidRDefault="002D2D45" w:rsidP="00CA23D0">
      <w:pPr>
        <w:jc w:val="both"/>
        <w:rPr>
          <w:rFonts w:ascii="Arial" w:hAnsi="Arial" w:cs="Arial"/>
          <w:sz w:val="22"/>
        </w:rPr>
      </w:pPr>
    </w:p>
    <w:p w14:paraId="0155771A" w14:textId="77777777" w:rsidR="005179D3" w:rsidRPr="005179D3" w:rsidRDefault="005179D3" w:rsidP="005179D3">
      <w:pPr>
        <w:keepNext/>
        <w:keepLines/>
        <w:suppressAutoHyphens w:val="0"/>
        <w:autoSpaceDE w:val="0"/>
        <w:autoSpaceDN w:val="0"/>
        <w:adjustRightInd w:val="0"/>
        <w:spacing w:before="141" w:after="73"/>
        <w:jc w:val="both"/>
        <w:rPr>
          <w:rFonts w:ascii="Arial" w:hAnsi="Arial"/>
          <w:b/>
          <w:bCs/>
          <w:caps/>
          <w:color w:val="000000"/>
          <w:sz w:val="44"/>
          <w:szCs w:val="44"/>
          <w:lang w:eastAsia="cs-CZ"/>
        </w:rPr>
      </w:pPr>
      <w:r w:rsidRPr="005179D3">
        <w:rPr>
          <w:rFonts w:ascii="Arial" w:hAnsi="Arial"/>
          <w:b/>
          <w:bCs/>
          <w:caps/>
          <w:color w:val="000000"/>
          <w:sz w:val="48"/>
          <w:szCs w:val="48"/>
          <w:lang w:eastAsia="cs-CZ"/>
        </w:rPr>
        <w:lastRenderedPageBreak/>
        <w:t>L.  Územní systém ekologické stability</w:t>
      </w:r>
    </w:p>
    <w:p w14:paraId="46C6C35D" w14:textId="77777777" w:rsidR="005179D3" w:rsidRPr="005179D3" w:rsidRDefault="005179D3" w:rsidP="005179D3">
      <w:pPr>
        <w:suppressAutoHyphens w:val="0"/>
        <w:autoSpaceDE w:val="0"/>
        <w:autoSpaceDN w:val="0"/>
        <w:adjustRightInd w:val="0"/>
        <w:spacing w:before="120" w:line="288" w:lineRule="auto"/>
        <w:ind w:firstLine="709"/>
        <w:jc w:val="both"/>
        <w:rPr>
          <w:rFonts w:ascii="Arial" w:hAnsi="Arial"/>
          <w:color w:val="000000"/>
          <w:sz w:val="22"/>
          <w:szCs w:val="22"/>
          <w:lang w:eastAsia="cs-CZ"/>
        </w:rPr>
      </w:pPr>
    </w:p>
    <w:p w14:paraId="524192FD" w14:textId="77777777" w:rsidR="005179D3" w:rsidRPr="005179D3" w:rsidRDefault="005179D3" w:rsidP="005179D3">
      <w:pPr>
        <w:suppressAutoHyphens w:val="0"/>
        <w:autoSpaceDE w:val="0"/>
        <w:autoSpaceDN w:val="0"/>
        <w:adjustRightInd w:val="0"/>
        <w:spacing w:before="120" w:line="288" w:lineRule="auto"/>
        <w:ind w:firstLine="709"/>
        <w:jc w:val="both"/>
        <w:rPr>
          <w:rFonts w:ascii="Arial" w:hAnsi="Arial"/>
          <w:color w:val="000000"/>
          <w:sz w:val="22"/>
          <w:szCs w:val="22"/>
          <w:lang w:eastAsia="cs-CZ"/>
        </w:rPr>
      </w:pPr>
      <w:r w:rsidRPr="005179D3">
        <w:rPr>
          <w:rFonts w:ascii="Arial" w:hAnsi="Arial"/>
          <w:color w:val="000000"/>
          <w:sz w:val="22"/>
          <w:szCs w:val="22"/>
          <w:lang w:eastAsia="cs-CZ"/>
        </w:rPr>
        <w:t>Aktualizací regionálního systému ekologické stability byly podstatně zredukovány regionální biocentra, zvláště v levobřežní části řešeného území. Osou celého území je nadregionální biokoridor Labe.</w:t>
      </w:r>
    </w:p>
    <w:p w14:paraId="38B0CECD" w14:textId="77777777" w:rsidR="005179D3" w:rsidRPr="005179D3" w:rsidRDefault="005179D3" w:rsidP="005179D3">
      <w:pPr>
        <w:suppressAutoHyphens w:val="0"/>
        <w:autoSpaceDE w:val="0"/>
        <w:autoSpaceDN w:val="0"/>
        <w:adjustRightInd w:val="0"/>
        <w:spacing w:before="120" w:line="288" w:lineRule="auto"/>
        <w:ind w:firstLine="709"/>
        <w:jc w:val="both"/>
        <w:rPr>
          <w:rFonts w:ascii="Arial" w:hAnsi="Arial"/>
          <w:color w:val="000000"/>
          <w:sz w:val="22"/>
          <w:szCs w:val="22"/>
          <w:lang w:eastAsia="cs-CZ"/>
        </w:rPr>
      </w:pPr>
      <w:r w:rsidRPr="005179D3">
        <w:rPr>
          <w:rFonts w:ascii="Arial" w:hAnsi="Arial"/>
          <w:color w:val="000000"/>
          <w:sz w:val="22"/>
          <w:szCs w:val="22"/>
          <w:lang w:eastAsia="cs-CZ"/>
        </w:rPr>
        <w:t xml:space="preserve">V roce 1996 byl zpracován firmou Lareco Praha lokální systém ekologické stability pro k.ú. Folknáře, Březiny až po Benešov. Tento ÚSES zasahuje pouze okrajově do řešeného území. </w:t>
      </w:r>
    </w:p>
    <w:p w14:paraId="71FA4E9C" w14:textId="77777777" w:rsidR="005179D3" w:rsidRPr="005179D3" w:rsidRDefault="005179D3" w:rsidP="005179D3">
      <w:pPr>
        <w:suppressAutoHyphens w:val="0"/>
        <w:autoSpaceDE w:val="0"/>
        <w:autoSpaceDN w:val="0"/>
        <w:adjustRightInd w:val="0"/>
        <w:spacing w:before="120" w:line="288" w:lineRule="auto"/>
        <w:ind w:firstLine="709"/>
        <w:jc w:val="both"/>
        <w:rPr>
          <w:rFonts w:ascii="Arial" w:hAnsi="Arial"/>
          <w:color w:val="000000"/>
          <w:sz w:val="22"/>
          <w:szCs w:val="22"/>
          <w:lang w:eastAsia="cs-CZ"/>
        </w:rPr>
      </w:pPr>
      <w:r w:rsidRPr="005179D3">
        <w:rPr>
          <w:rFonts w:ascii="Arial" w:hAnsi="Arial"/>
          <w:color w:val="000000"/>
          <w:sz w:val="22"/>
          <w:szCs w:val="22"/>
          <w:lang w:eastAsia="cs-CZ"/>
        </w:rPr>
        <w:t>V roce 1997 byl pro zájmové území Děčína zpracován firmou Lareco lokální systém ekologické stability pro řešené území města, který po projednání a provedených drobných změnách byl převzat zpracovatelem do návrhu územního plánu.</w:t>
      </w:r>
    </w:p>
    <w:p w14:paraId="2AA6A318" w14:textId="77777777" w:rsidR="005179D3" w:rsidRPr="005179D3" w:rsidRDefault="005179D3" w:rsidP="005179D3">
      <w:pPr>
        <w:suppressAutoHyphens w:val="0"/>
        <w:autoSpaceDE w:val="0"/>
        <w:autoSpaceDN w:val="0"/>
        <w:adjustRightInd w:val="0"/>
        <w:spacing w:before="120" w:line="288" w:lineRule="auto"/>
        <w:ind w:firstLine="709"/>
        <w:jc w:val="both"/>
        <w:rPr>
          <w:rFonts w:ascii="Arial" w:hAnsi="Arial"/>
          <w:color w:val="000000"/>
          <w:sz w:val="22"/>
          <w:szCs w:val="22"/>
          <w:lang w:eastAsia="cs-CZ"/>
        </w:rPr>
      </w:pPr>
      <w:r w:rsidRPr="005179D3">
        <w:rPr>
          <w:rFonts w:ascii="Arial" w:hAnsi="Arial"/>
          <w:color w:val="000000"/>
          <w:sz w:val="22"/>
          <w:szCs w:val="22"/>
          <w:lang w:eastAsia="cs-CZ"/>
        </w:rPr>
        <w:t>Generel ÚSES vychází z  aktualizované varianty regionálního ÚSES pro Sč kraj. Způsob vymezení lokálního systému spočíval především v doplnění stávající kostry ekologické stability minimem nově navržených prvků, resp. rozšířením či kvalitativním doplněním stávajících prvků. Interakční prvky se zde uplatňují zejména jako prvky typu mezí, polních cest, údolnic, extenzivních luk atd.</w:t>
      </w:r>
    </w:p>
    <w:p w14:paraId="55CBA343" w14:textId="77777777" w:rsidR="005179D3" w:rsidRPr="005179D3" w:rsidRDefault="005179D3" w:rsidP="005179D3">
      <w:pPr>
        <w:suppressAutoHyphens w:val="0"/>
        <w:autoSpaceDE w:val="0"/>
        <w:autoSpaceDN w:val="0"/>
        <w:adjustRightInd w:val="0"/>
        <w:spacing w:before="120" w:line="288" w:lineRule="auto"/>
        <w:ind w:firstLine="709"/>
        <w:jc w:val="both"/>
        <w:rPr>
          <w:rFonts w:ascii="Arial" w:hAnsi="Arial"/>
          <w:color w:val="000000"/>
          <w:sz w:val="22"/>
          <w:szCs w:val="22"/>
          <w:lang w:eastAsia="cs-CZ"/>
        </w:rPr>
      </w:pPr>
      <w:r w:rsidRPr="005179D3">
        <w:rPr>
          <w:rFonts w:ascii="Arial" w:hAnsi="Arial"/>
          <w:color w:val="000000"/>
          <w:sz w:val="22"/>
          <w:szCs w:val="22"/>
          <w:lang w:eastAsia="cs-CZ"/>
        </w:rPr>
        <w:t xml:space="preserve">Řešené území se jeví jako ekologicky relativně stabilní, vzhledem k  velkému zastoupení ekologicky stabilních prvků - tzn. lesních porostů, strukturní zeleně a dostatkem trvalých travních porostů. Naopak míru ekologické stability snižuje vliv imisí na zdravotní stav lesních porostů a značný plošný podíl zastavěného území. </w:t>
      </w:r>
    </w:p>
    <w:p w14:paraId="00432F7D" w14:textId="77777777" w:rsidR="005179D3" w:rsidRPr="005179D3" w:rsidRDefault="005179D3" w:rsidP="005179D3">
      <w:pPr>
        <w:suppressAutoHyphens w:val="0"/>
        <w:autoSpaceDE w:val="0"/>
        <w:autoSpaceDN w:val="0"/>
        <w:adjustRightInd w:val="0"/>
        <w:spacing w:line="240" w:lineRule="atLeast"/>
        <w:ind w:firstLine="567"/>
        <w:jc w:val="both"/>
        <w:rPr>
          <w:rFonts w:ascii="Arial" w:hAnsi="Arial"/>
          <w:color w:val="000000"/>
          <w:sz w:val="20"/>
          <w:szCs w:val="20"/>
          <w:lang w:eastAsia="cs-CZ"/>
        </w:rPr>
      </w:pPr>
    </w:p>
    <w:p w14:paraId="2C818256" w14:textId="77777777" w:rsidR="005179D3" w:rsidRPr="005179D3" w:rsidRDefault="005179D3" w:rsidP="005179D3">
      <w:pPr>
        <w:suppressAutoHyphens w:val="0"/>
        <w:autoSpaceDE w:val="0"/>
        <w:autoSpaceDN w:val="0"/>
        <w:adjustRightInd w:val="0"/>
        <w:spacing w:before="120" w:line="288" w:lineRule="auto"/>
        <w:ind w:firstLine="567"/>
        <w:jc w:val="both"/>
        <w:rPr>
          <w:rFonts w:ascii="Arial" w:hAnsi="Arial"/>
          <w:color w:val="000000"/>
          <w:sz w:val="20"/>
          <w:szCs w:val="20"/>
          <w:lang w:eastAsia="cs-CZ"/>
        </w:rPr>
      </w:pPr>
      <w:r w:rsidRPr="005179D3">
        <w:rPr>
          <w:rFonts w:ascii="Arial" w:hAnsi="Arial"/>
          <w:b/>
          <w:bCs/>
          <w:caps/>
          <w:color w:val="000000"/>
          <w:sz w:val="20"/>
          <w:szCs w:val="20"/>
          <w:lang w:eastAsia="cs-CZ"/>
        </w:rPr>
        <w:t>V tabulkové části ÚSES jsou uvedeny jednotlivé prvky v pořadí biocentra, biokoridory a interakční prvky:</w:t>
      </w:r>
    </w:p>
    <w:p w14:paraId="7F71F25C" w14:textId="77777777" w:rsidR="005179D3" w:rsidRPr="005179D3" w:rsidRDefault="005179D3" w:rsidP="005179D3">
      <w:pPr>
        <w:numPr>
          <w:ilvl w:val="0"/>
          <w:numId w:val="97"/>
        </w:numPr>
        <w:suppressAutoHyphens w:val="0"/>
        <w:autoSpaceDE w:val="0"/>
        <w:autoSpaceDN w:val="0"/>
        <w:adjustRightInd w:val="0"/>
        <w:spacing w:before="120" w:line="288" w:lineRule="auto"/>
        <w:ind w:left="426"/>
        <w:rPr>
          <w:rFonts w:ascii="Arial" w:hAnsi="Arial"/>
          <w:color w:val="000000"/>
          <w:sz w:val="22"/>
          <w:szCs w:val="22"/>
          <w:lang w:eastAsia="cs-CZ"/>
        </w:rPr>
      </w:pPr>
      <w:r w:rsidRPr="005179D3">
        <w:rPr>
          <w:rFonts w:ascii="Arial" w:hAnsi="Arial"/>
          <w:b/>
          <w:bCs/>
          <w:color w:val="000000"/>
          <w:sz w:val="22"/>
          <w:szCs w:val="22"/>
          <w:lang w:eastAsia="cs-CZ"/>
        </w:rPr>
        <w:t xml:space="preserve">lokální biocentra: </w:t>
      </w:r>
      <w:r w:rsidRPr="005179D3">
        <w:rPr>
          <w:rFonts w:ascii="Arial" w:hAnsi="Arial"/>
          <w:color w:val="000000"/>
          <w:sz w:val="22"/>
          <w:szCs w:val="22"/>
          <w:lang w:eastAsia="cs-CZ"/>
        </w:rPr>
        <w:t>2, 4, 5, 6, 7, 11, 12, 13, 14, 16, 19, 21, 22, 23, 25, 26, 27, 28, 29, 30, 31, 32, 33, 34, 35, 36, 37, 38;</w:t>
      </w:r>
    </w:p>
    <w:p w14:paraId="516BA8D5" w14:textId="77777777" w:rsidR="005179D3" w:rsidRPr="005179D3" w:rsidRDefault="005179D3" w:rsidP="005179D3">
      <w:pPr>
        <w:numPr>
          <w:ilvl w:val="0"/>
          <w:numId w:val="97"/>
        </w:numPr>
        <w:suppressAutoHyphens w:val="0"/>
        <w:autoSpaceDE w:val="0"/>
        <w:autoSpaceDN w:val="0"/>
        <w:adjustRightInd w:val="0"/>
        <w:spacing w:before="120" w:line="288" w:lineRule="auto"/>
        <w:ind w:left="426"/>
        <w:rPr>
          <w:rFonts w:ascii="Arial" w:hAnsi="Arial"/>
          <w:b/>
          <w:bCs/>
          <w:color w:val="000000"/>
          <w:sz w:val="22"/>
          <w:szCs w:val="22"/>
          <w:lang w:eastAsia="cs-CZ"/>
        </w:rPr>
      </w:pPr>
      <w:r w:rsidRPr="005179D3">
        <w:rPr>
          <w:rFonts w:ascii="Arial" w:hAnsi="Arial"/>
          <w:b/>
          <w:bCs/>
          <w:color w:val="000000"/>
          <w:sz w:val="22"/>
          <w:szCs w:val="22"/>
          <w:lang w:eastAsia="cs-CZ"/>
        </w:rPr>
        <w:t xml:space="preserve">regionální biocentra: </w:t>
      </w:r>
      <w:r w:rsidRPr="005179D3">
        <w:rPr>
          <w:rFonts w:ascii="Arial" w:hAnsi="Arial"/>
          <w:bCs/>
          <w:color w:val="000000"/>
          <w:sz w:val="22"/>
          <w:szCs w:val="22"/>
          <w:lang w:eastAsia="cs-CZ"/>
        </w:rPr>
        <w:t>3, 15, 17, 18, 20, 24, 39;</w:t>
      </w:r>
    </w:p>
    <w:p w14:paraId="2A38E57F" w14:textId="77777777" w:rsidR="005179D3" w:rsidRPr="005179D3" w:rsidRDefault="005179D3" w:rsidP="005179D3">
      <w:pPr>
        <w:numPr>
          <w:ilvl w:val="0"/>
          <w:numId w:val="97"/>
        </w:numPr>
        <w:suppressAutoHyphens w:val="0"/>
        <w:autoSpaceDE w:val="0"/>
        <w:autoSpaceDN w:val="0"/>
        <w:adjustRightInd w:val="0"/>
        <w:spacing w:before="120" w:line="288" w:lineRule="auto"/>
        <w:ind w:left="426"/>
        <w:jc w:val="both"/>
        <w:rPr>
          <w:rFonts w:ascii="Arial" w:hAnsi="Arial"/>
          <w:color w:val="000000"/>
          <w:sz w:val="22"/>
          <w:szCs w:val="22"/>
          <w:lang w:eastAsia="cs-CZ"/>
        </w:rPr>
      </w:pPr>
      <w:r w:rsidRPr="005179D3">
        <w:rPr>
          <w:rFonts w:ascii="Arial" w:hAnsi="Arial"/>
          <w:b/>
          <w:bCs/>
          <w:color w:val="000000"/>
          <w:sz w:val="22"/>
          <w:szCs w:val="22"/>
          <w:lang w:eastAsia="cs-CZ"/>
        </w:rPr>
        <w:t>regionální a lokální biokoridory</w:t>
      </w:r>
      <w:r w:rsidRPr="005179D3">
        <w:rPr>
          <w:rFonts w:ascii="Arial" w:hAnsi="Arial"/>
          <w:color w:val="000000"/>
          <w:sz w:val="22"/>
          <w:szCs w:val="22"/>
          <w:lang w:eastAsia="cs-CZ"/>
        </w:rPr>
        <w:t xml:space="preserve"> mají číslování podle toho, které prvky spojují </w:t>
      </w:r>
      <w:r w:rsidRPr="005179D3">
        <w:rPr>
          <w:rFonts w:ascii="Arial" w:hAnsi="Arial"/>
          <w:color w:val="000000"/>
          <w:sz w:val="22"/>
          <w:szCs w:val="22"/>
          <w:lang w:eastAsia="cs-CZ"/>
        </w:rPr>
        <w:br/>
        <w:t>/např. 14-15/, jejich výčet a popis je v tabulkové části.</w:t>
      </w:r>
    </w:p>
    <w:p w14:paraId="63C9051D" w14:textId="77777777" w:rsidR="005179D3" w:rsidRPr="005179D3" w:rsidRDefault="005179D3" w:rsidP="005179D3">
      <w:pPr>
        <w:suppressAutoHyphens w:val="0"/>
        <w:autoSpaceDE w:val="0"/>
        <w:autoSpaceDN w:val="0"/>
        <w:adjustRightInd w:val="0"/>
        <w:spacing w:before="120" w:line="288" w:lineRule="auto"/>
        <w:ind w:firstLine="709"/>
        <w:jc w:val="both"/>
        <w:rPr>
          <w:rFonts w:ascii="Arial" w:hAnsi="Arial"/>
          <w:color w:val="000000"/>
          <w:sz w:val="22"/>
          <w:szCs w:val="22"/>
          <w:lang w:eastAsia="cs-CZ"/>
        </w:rPr>
      </w:pPr>
      <w:r w:rsidRPr="005179D3">
        <w:rPr>
          <w:rFonts w:ascii="Arial" w:hAnsi="Arial"/>
          <w:color w:val="000000"/>
          <w:sz w:val="22"/>
          <w:szCs w:val="22"/>
          <w:lang w:eastAsia="cs-CZ"/>
        </w:rPr>
        <w:t xml:space="preserve">Generel ÚSES je v návrhu územního plánu jak součástí hlavního výkresu 1:10 000 tak součástí jádrového území města 1:5 000 a ve výkresu širších vztahů. </w:t>
      </w:r>
    </w:p>
    <w:p w14:paraId="31D60A6B" w14:textId="77777777" w:rsidR="005179D3" w:rsidRPr="005179D3" w:rsidRDefault="005179D3" w:rsidP="005179D3">
      <w:pPr>
        <w:suppressAutoHyphens w:val="0"/>
        <w:autoSpaceDE w:val="0"/>
        <w:autoSpaceDN w:val="0"/>
        <w:adjustRightInd w:val="0"/>
        <w:spacing w:before="120" w:line="288" w:lineRule="auto"/>
        <w:ind w:firstLine="709"/>
        <w:jc w:val="both"/>
        <w:rPr>
          <w:rFonts w:ascii="Arial" w:hAnsi="Arial"/>
          <w:b/>
          <w:color w:val="000000"/>
          <w:sz w:val="22"/>
          <w:szCs w:val="22"/>
          <w:lang w:eastAsia="cs-CZ"/>
        </w:rPr>
      </w:pPr>
      <w:r w:rsidRPr="005179D3">
        <w:rPr>
          <w:rFonts w:ascii="Arial" w:hAnsi="Arial"/>
          <w:b/>
          <w:color w:val="000000"/>
          <w:sz w:val="22"/>
          <w:szCs w:val="22"/>
          <w:lang w:eastAsia="cs-CZ"/>
        </w:rPr>
        <w:t>Veškeré prvky lokálního i regionálního systému ekologické stability jsou ze zákona chráněny /zákon č. 114/92 Sb./ a tedy nezastavitelné, limitující jakoukoliv činnost v krajině.</w:t>
      </w:r>
    </w:p>
    <w:p w14:paraId="7B5A7F63" w14:textId="77777777" w:rsidR="002D2D45" w:rsidRDefault="002D2D45" w:rsidP="00CA23D0">
      <w:pPr>
        <w:jc w:val="both"/>
        <w:rPr>
          <w:rFonts w:ascii="Arial" w:hAnsi="Arial" w:cs="Arial"/>
          <w:sz w:val="22"/>
        </w:rPr>
      </w:pPr>
    </w:p>
    <w:p w14:paraId="59D5F4F8" w14:textId="77777777" w:rsidR="007F3B9F" w:rsidRDefault="007F3B9F" w:rsidP="00CA23D0">
      <w:pPr>
        <w:jc w:val="both"/>
        <w:rPr>
          <w:rFonts w:ascii="Arial" w:hAnsi="Arial" w:cs="Arial"/>
          <w:sz w:val="22"/>
        </w:rPr>
      </w:pPr>
    </w:p>
    <w:p w14:paraId="0023BF9D" w14:textId="77777777" w:rsidR="007F3B9F" w:rsidRDefault="007F3B9F" w:rsidP="00CA23D0">
      <w:pPr>
        <w:jc w:val="both"/>
        <w:rPr>
          <w:rFonts w:ascii="Arial" w:hAnsi="Arial" w:cs="Arial"/>
          <w:sz w:val="22"/>
        </w:rPr>
      </w:pPr>
    </w:p>
    <w:p w14:paraId="767AA4A0" w14:textId="77777777" w:rsidR="007F3B9F" w:rsidRDefault="007F3B9F" w:rsidP="00CA23D0">
      <w:pPr>
        <w:jc w:val="both"/>
        <w:rPr>
          <w:rFonts w:ascii="Arial" w:hAnsi="Arial" w:cs="Arial"/>
          <w:sz w:val="22"/>
        </w:rPr>
      </w:pPr>
    </w:p>
    <w:p w14:paraId="5A0A8FFA" w14:textId="77777777" w:rsidR="007F3B9F" w:rsidRDefault="007F3B9F" w:rsidP="00CA23D0">
      <w:pPr>
        <w:jc w:val="both"/>
        <w:rPr>
          <w:rFonts w:ascii="Arial" w:hAnsi="Arial" w:cs="Arial"/>
          <w:sz w:val="22"/>
        </w:rPr>
      </w:pPr>
    </w:p>
    <w:p w14:paraId="624249CD" w14:textId="77777777" w:rsidR="007F3B9F" w:rsidRPr="007F3B9F" w:rsidRDefault="007F3B9F" w:rsidP="007F3B9F">
      <w:pPr>
        <w:keepNext/>
        <w:keepLines/>
        <w:suppressAutoHyphens w:val="0"/>
        <w:autoSpaceDE w:val="0"/>
        <w:autoSpaceDN w:val="0"/>
        <w:adjustRightInd w:val="0"/>
        <w:spacing w:before="141" w:after="73"/>
        <w:jc w:val="both"/>
        <w:rPr>
          <w:rFonts w:ascii="Arial" w:hAnsi="Arial"/>
          <w:b/>
          <w:bCs/>
          <w:caps/>
          <w:color w:val="000000"/>
          <w:sz w:val="32"/>
          <w:szCs w:val="32"/>
          <w:lang w:eastAsia="cs-CZ"/>
        </w:rPr>
      </w:pPr>
      <w:r w:rsidRPr="007F3B9F">
        <w:rPr>
          <w:rFonts w:ascii="Arial" w:hAnsi="Arial"/>
          <w:b/>
          <w:bCs/>
          <w:caps/>
          <w:color w:val="000000"/>
          <w:sz w:val="32"/>
          <w:szCs w:val="32"/>
          <w:lang w:eastAsia="cs-CZ"/>
        </w:rPr>
        <w:lastRenderedPageBreak/>
        <w:t>l1.  biokoridory</w:t>
      </w:r>
    </w:p>
    <w:p w14:paraId="24163177" w14:textId="77777777" w:rsidR="007F3B9F" w:rsidRDefault="007F3B9F" w:rsidP="00CA23D0">
      <w:pPr>
        <w:jc w:val="both"/>
        <w:rPr>
          <w:rFonts w:ascii="Arial" w:hAnsi="Arial" w:cs="Arial"/>
          <w:sz w:val="22"/>
        </w:rPr>
      </w:pPr>
    </w:p>
    <w:tbl>
      <w:tblPr>
        <w:tblW w:w="0" w:type="auto"/>
        <w:tblInd w:w="70" w:type="dxa"/>
        <w:tblLayout w:type="fixed"/>
        <w:tblCellMar>
          <w:left w:w="70" w:type="dxa"/>
          <w:right w:w="70" w:type="dxa"/>
        </w:tblCellMar>
        <w:tblLook w:val="0000" w:firstRow="0" w:lastRow="0" w:firstColumn="0" w:lastColumn="0" w:noHBand="0" w:noVBand="0"/>
      </w:tblPr>
      <w:tblGrid>
        <w:gridCol w:w="993"/>
        <w:gridCol w:w="850"/>
        <w:gridCol w:w="3402"/>
        <w:gridCol w:w="709"/>
        <w:gridCol w:w="567"/>
        <w:gridCol w:w="2835"/>
      </w:tblGrid>
      <w:tr w:rsidR="007F3B9F" w14:paraId="033A1F64" w14:textId="77777777" w:rsidTr="00BB63DF">
        <w:trPr>
          <w:tblHeader/>
        </w:trPr>
        <w:tc>
          <w:tcPr>
            <w:tcW w:w="993" w:type="dxa"/>
            <w:tcBorders>
              <w:top w:val="single" w:sz="6" w:space="0" w:color="auto"/>
              <w:left w:val="single" w:sz="6" w:space="0" w:color="auto"/>
              <w:bottom w:val="single" w:sz="6" w:space="0" w:color="auto"/>
              <w:right w:val="single" w:sz="6" w:space="0" w:color="auto"/>
            </w:tcBorders>
          </w:tcPr>
          <w:p w14:paraId="02745C9B" w14:textId="77777777" w:rsidR="007F3B9F" w:rsidRDefault="007F3B9F" w:rsidP="007F3B9F">
            <w:pPr>
              <w:pStyle w:val="Zkladntext"/>
              <w:spacing w:after="0" w:line="240" w:lineRule="atLeast"/>
            </w:pPr>
          </w:p>
          <w:p w14:paraId="45114687" w14:textId="77777777" w:rsidR="007F3B9F" w:rsidRDefault="007F3B9F" w:rsidP="007F3B9F">
            <w:pPr>
              <w:pStyle w:val="Texttabulky"/>
              <w:spacing w:after="0" w:line="240" w:lineRule="atLeast"/>
            </w:pPr>
            <w:r>
              <w:rPr>
                <w:b/>
                <w:bCs/>
                <w:sz w:val="18"/>
                <w:szCs w:val="18"/>
              </w:rPr>
              <w:t>číslo</w:t>
            </w:r>
          </w:p>
          <w:p w14:paraId="42CB86EE" w14:textId="77777777" w:rsidR="007F3B9F" w:rsidRDefault="007F3B9F" w:rsidP="007F3B9F">
            <w:pPr>
              <w:pStyle w:val="Texttabulky"/>
              <w:spacing w:after="0" w:line="240" w:lineRule="atLeast"/>
            </w:pPr>
            <w:r>
              <w:rPr>
                <w:b/>
                <w:bCs/>
                <w:sz w:val="18"/>
                <w:szCs w:val="18"/>
              </w:rPr>
              <w:t>prvku</w:t>
            </w:r>
          </w:p>
          <w:p w14:paraId="150439CC"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5E29F8B6" w14:textId="77777777" w:rsidR="007F3B9F" w:rsidRDefault="007F3B9F" w:rsidP="007F3B9F">
            <w:pPr>
              <w:pStyle w:val="Texttabulky"/>
              <w:spacing w:after="0" w:line="240" w:lineRule="atLeast"/>
            </w:pPr>
            <w:r>
              <w:rPr>
                <w:b/>
                <w:bCs/>
                <w:sz w:val="18"/>
                <w:szCs w:val="18"/>
              </w:rPr>
              <w:t>biogeo-</w:t>
            </w:r>
          </w:p>
          <w:p w14:paraId="0B374167" w14:textId="77777777" w:rsidR="007F3B9F" w:rsidRDefault="007F3B9F" w:rsidP="007F3B9F">
            <w:pPr>
              <w:pStyle w:val="Texttabulky"/>
              <w:spacing w:after="0" w:line="240" w:lineRule="atLeast"/>
            </w:pPr>
            <w:r>
              <w:rPr>
                <w:b/>
                <w:bCs/>
                <w:sz w:val="18"/>
                <w:szCs w:val="18"/>
              </w:rPr>
              <w:t>grafický</w:t>
            </w:r>
          </w:p>
          <w:p w14:paraId="61D4B361" w14:textId="77777777" w:rsidR="007F3B9F" w:rsidRDefault="007F3B9F" w:rsidP="007F3B9F">
            <w:pPr>
              <w:pStyle w:val="Texttabulky"/>
              <w:spacing w:after="0" w:line="240" w:lineRule="atLeast"/>
            </w:pPr>
            <w:r>
              <w:rPr>
                <w:b/>
                <w:bCs/>
                <w:sz w:val="18"/>
                <w:szCs w:val="18"/>
              </w:rPr>
              <w:t>význam</w:t>
            </w:r>
          </w:p>
          <w:p w14:paraId="37F27B76" w14:textId="77777777" w:rsidR="007F3B9F" w:rsidRDefault="007F3B9F" w:rsidP="007F3B9F">
            <w:pPr>
              <w:pStyle w:val="Texttabulky"/>
              <w:spacing w:after="0" w:line="240" w:lineRule="atLeast"/>
            </w:pPr>
            <w:r>
              <w:rPr>
                <w:b/>
                <w:bCs/>
                <w:sz w:val="18"/>
                <w:szCs w:val="18"/>
              </w:rPr>
              <w:t>stav</w:t>
            </w:r>
          </w:p>
        </w:tc>
        <w:tc>
          <w:tcPr>
            <w:tcW w:w="3402" w:type="dxa"/>
            <w:tcBorders>
              <w:top w:val="single" w:sz="6" w:space="0" w:color="auto"/>
              <w:left w:val="single" w:sz="6" w:space="0" w:color="auto"/>
              <w:bottom w:val="single" w:sz="6" w:space="0" w:color="auto"/>
              <w:right w:val="single" w:sz="6" w:space="0" w:color="auto"/>
            </w:tcBorders>
          </w:tcPr>
          <w:p w14:paraId="6C7734EE" w14:textId="77777777" w:rsidR="007F3B9F" w:rsidRDefault="007F3B9F" w:rsidP="007F3B9F">
            <w:pPr>
              <w:pStyle w:val="Zkladntext"/>
              <w:spacing w:after="0" w:line="240" w:lineRule="atLeast"/>
            </w:pPr>
          </w:p>
          <w:p w14:paraId="34369136" w14:textId="77777777" w:rsidR="007F3B9F" w:rsidRDefault="007F3B9F" w:rsidP="007F3B9F">
            <w:pPr>
              <w:pStyle w:val="Texttabulky"/>
              <w:spacing w:after="0" w:line="240" w:lineRule="atLeast"/>
            </w:pPr>
            <w:r>
              <w:rPr>
                <w:b/>
                <w:bCs/>
                <w:sz w:val="18"/>
                <w:szCs w:val="18"/>
              </w:rPr>
              <w:t>charakteristika prvku</w:t>
            </w:r>
          </w:p>
        </w:tc>
        <w:tc>
          <w:tcPr>
            <w:tcW w:w="709" w:type="dxa"/>
            <w:tcBorders>
              <w:top w:val="single" w:sz="6" w:space="0" w:color="auto"/>
              <w:left w:val="single" w:sz="6" w:space="0" w:color="auto"/>
              <w:bottom w:val="single" w:sz="6" w:space="0" w:color="auto"/>
              <w:right w:val="single" w:sz="6" w:space="0" w:color="auto"/>
            </w:tcBorders>
          </w:tcPr>
          <w:p w14:paraId="2C6D9D1C" w14:textId="77777777" w:rsidR="007F3B9F" w:rsidRDefault="007F3B9F" w:rsidP="007F3B9F">
            <w:pPr>
              <w:pStyle w:val="Texttabulky"/>
              <w:spacing w:after="0" w:line="240" w:lineRule="atLeast"/>
            </w:pPr>
            <w:r>
              <w:rPr>
                <w:b/>
                <w:bCs/>
                <w:sz w:val="18"/>
                <w:szCs w:val="18"/>
              </w:rPr>
              <w:t>šířka</w:t>
            </w:r>
          </w:p>
          <w:p w14:paraId="04310282" w14:textId="77777777" w:rsidR="007F3B9F" w:rsidRDefault="007F3B9F" w:rsidP="007F3B9F">
            <w:pPr>
              <w:pStyle w:val="Texttabulky"/>
              <w:spacing w:after="0" w:line="240" w:lineRule="atLeast"/>
            </w:pPr>
            <w:r>
              <w:rPr>
                <w:b/>
                <w:bCs/>
                <w:sz w:val="18"/>
                <w:szCs w:val="18"/>
              </w:rPr>
              <w:t>/</w:t>
            </w:r>
          </w:p>
          <w:p w14:paraId="6739E5B4" w14:textId="77777777" w:rsidR="007F3B9F" w:rsidRDefault="007F3B9F" w:rsidP="007F3B9F">
            <w:pPr>
              <w:pStyle w:val="Texttabulky"/>
              <w:spacing w:after="0" w:line="240" w:lineRule="atLeast"/>
            </w:pPr>
            <w:r>
              <w:rPr>
                <w:b/>
                <w:bCs/>
                <w:sz w:val="18"/>
                <w:szCs w:val="18"/>
              </w:rPr>
              <w:t>délka</w:t>
            </w:r>
          </w:p>
          <w:p w14:paraId="332E183D" w14:textId="77777777" w:rsidR="007F3B9F" w:rsidRDefault="007F3B9F" w:rsidP="007F3B9F">
            <w:pPr>
              <w:pStyle w:val="Texttabulky"/>
              <w:spacing w:after="0" w:line="240" w:lineRule="atLeast"/>
            </w:pPr>
            <w:r>
              <w:rPr>
                <w:b/>
                <w:bCs/>
                <w:sz w:val="18"/>
                <w:szCs w:val="18"/>
              </w:rPr>
              <w:t>(m)</w:t>
            </w:r>
          </w:p>
        </w:tc>
        <w:tc>
          <w:tcPr>
            <w:tcW w:w="567" w:type="dxa"/>
            <w:tcBorders>
              <w:top w:val="single" w:sz="6" w:space="0" w:color="auto"/>
              <w:left w:val="single" w:sz="6" w:space="0" w:color="auto"/>
              <w:bottom w:val="single" w:sz="6" w:space="0" w:color="auto"/>
              <w:right w:val="single" w:sz="6" w:space="0" w:color="auto"/>
            </w:tcBorders>
          </w:tcPr>
          <w:p w14:paraId="0A649A94" w14:textId="77777777" w:rsidR="007F3B9F" w:rsidRDefault="007F3B9F" w:rsidP="007F3B9F">
            <w:pPr>
              <w:pStyle w:val="Texttabulky"/>
              <w:spacing w:after="0" w:line="240" w:lineRule="atLeast"/>
            </w:pPr>
            <w:r>
              <w:rPr>
                <w:b/>
                <w:bCs/>
                <w:sz w:val="18"/>
                <w:szCs w:val="18"/>
              </w:rPr>
              <w:t>SES</w:t>
            </w:r>
          </w:p>
        </w:tc>
        <w:tc>
          <w:tcPr>
            <w:tcW w:w="2835" w:type="dxa"/>
            <w:tcBorders>
              <w:top w:val="single" w:sz="6" w:space="0" w:color="auto"/>
              <w:left w:val="single" w:sz="6" w:space="0" w:color="auto"/>
              <w:bottom w:val="single" w:sz="6" w:space="0" w:color="auto"/>
              <w:right w:val="single" w:sz="6" w:space="0" w:color="auto"/>
            </w:tcBorders>
          </w:tcPr>
          <w:p w14:paraId="508ADF01" w14:textId="77777777" w:rsidR="007F3B9F" w:rsidRDefault="007F3B9F" w:rsidP="007F3B9F">
            <w:pPr>
              <w:pStyle w:val="Zkladntext"/>
              <w:spacing w:after="0" w:line="240" w:lineRule="atLeast"/>
            </w:pPr>
          </w:p>
          <w:p w14:paraId="7A9A0EE3" w14:textId="77777777" w:rsidR="007F3B9F" w:rsidRDefault="007F3B9F" w:rsidP="007F3B9F">
            <w:pPr>
              <w:pStyle w:val="Texttabulky"/>
              <w:spacing w:after="0" w:line="240" w:lineRule="atLeast"/>
            </w:pPr>
            <w:r>
              <w:rPr>
                <w:b/>
                <w:bCs/>
                <w:sz w:val="18"/>
                <w:szCs w:val="18"/>
              </w:rPr>
              <w:t>návrh opatření</w:t>
            </w:r>
          </w:p>
        </w:tc>
      </w:tr>
      <w:tr w:rsidR="007F3B9F" w14:paraId="1323E9BE" w14:textId="77777777" w:rsidTr="00BB63DF">
        <w:tc>
          <w:tcPr>
            <w:tcW w:w="993" w:type="dxa"/>
            <w:tcBorders>
              <w:top w:val="nil"/>
              <w:left w:val="single" w:sz="6" w:space="0" w:color="auto"/>
              <w:bottom w:val="single" w:sz="6" w:space="0" w:color="auto"/>
              <w:right w:val="single" w:sz="6" w:space="0" w:color="auto"/>
            </w:tcBorders>
          </w:tcPr>
          <w:p w14:paraId="67D2FBCB" w14:textId="77777777" w:rsidR="007F3B9F" w:rsidRDefault="007F3B9F" w:rsidP="007F3B9F">
            <w:pPr>
              <w:pStyle w:val="Texttabulky"/>
              <w:spacing w:after="0" w:line="240" w:lineRule="atLeast"/>
            </w:pPr>
            <w:r>
              <w:rPr>
                <w:b/>
                <w:bCs/>
                <w:sz w:val="22"/>
                <w:szCs w:val="22"/>
              </w:rPr>
              <w:t>2 - 3</w:t>
            </w:r>
          </w:p>
          <w:p w14:paraId="24128AFE" w14:textId="77777777" w:rsidR="007F3B9F" w:rsidRDefault="007F3B9F" w:rsidP="007F3B9F">
            <w:pPr>
              <w:pStyle w:val="Texttabulky"/>
              <w:spacing w:after="0" w:line="240" w:lineRule="atLeast"/>
            </w:pPr>
            <w:r>
              <w:rPr>
                <w:b/>
                <w:bCs/>
                <w:sz w:val="22"/>
                <w:szCs w:val="22"/>
              </w:rPr>
              <w:t>2 - 39</w:t>
            </w:r>
          </w:p>
          <w:p w14:paraId="766B007F" w14:textId="77777777" w:rsidR="007F3B9F" w:rsidRDefault="007F3B9F" w:rsidP="007F3B9F">
            <w:pPr>
              <w:pStyle w:val="Texttabulky"/>
              <w:spacing w:after="0" w:line="240" w:lineRule="atLeast"/>
            </w:pPr>
            <w:r>
              <w:rPr>
                <w:b/>
                <w:bCs/>
                <w:sz w:val="22"/>
                <w:szCs w:val="22"/>
              </w:rPr>
              <w:t>3 - 5</w:t>
            </w:r>
          </w:p>
          <w:p w14:paraId="01FEFA42" w14:textId="77777777" w:rsidR="007F3B9F" w:rsidRDefault="007F3B9F" w:rsidP="007F3B9F">
            <w:pPr>
              <w:pStyle w:val="Texttabulky"/>
              <w:spacing w:after="0" w:line="240" w:lineRule="atLeast"/>
            </w:pPr>
            <w:r>
              <w:rPr>
                <w:b/>
                <w:bCs/>
                <w:sz w:val="22"/>
                <w:szCs w:val="22"/>
              </w:rPr>
              <w:t>5 - 6</w:t>
            </w:r>
          </w:p>
          <w:p w14:paraId="2DD35BAB" w14:textId="77777777" w:rsidR="007F3B9F" w:rsidRDefault="007F3B9F" w:rsidP="007F3B9F">
            <w:pPr>
              <w:pStyle w:val="Texttabulky"/>
              <w:spacing w:after="0" w:line="240" w:lineRule="atLeast"/>
            </w:pPr>
            <w:r>
              <w:rPr>
                <w:b/>
                <w:bCs/>
                <w:sz w:val="22"/>
                <w:szCs w:val="22"/>
              </w:rPr>
              <w:t>6 - 7</w:t>
            </w:r>
          </w:p>
          <w:p w14:paraId="2070709D" w14:textId="77777777" w:rsidR="007F3B9F" w:rsidRDefault="007F3B9F" w:rsidP="007F3B9F">
            <w:pPr>
              <w:pStyle w:val="Texttabulky"/>
              <w:spacing w:after="0" w:line="240" w:lineRule="atLeast"/>
            </w:pPr>
            <w:r>
              <w:rPr>
                <w:b/>
                <w:bCs/>
                <w:sz w:val="22"/>
                <w:szCs w:val="22"/>
              </w:rPr>
              <w:t>7 - 8</w:t>
            </w:r>
          </w:p>
          <w:p w14:paraId="149CF813" w14:textId="77777777" w:rsidR="007F3B9F" w:rsidRDefault="007F3B9F" w:rsidP="007F3B9F">
            <w:pPr>
              <w:pStyle w:val="Texttabulky"/>
              <w:spacing w:after="0" w:line="240" w:lineRule="atLeast"/>
            </w:pPr>
            <w:r>
              <w:rPr>
                <w:b/>
                <w:bCs/>
                <w:sz w:val="22"/>
                <w:szCs w:val="22"/>
              </w:rPr>
              <w:t>8 - 9</w:t>
            </w:r>
          </w:p>
          <w:p w14:paraId="64E5BDDA" w14:textId="77777777" w:rsidR="007F3B9F" w:rsidRDefault="007F3B9F" w:rsidP="007F3B9F">
            <w:pPr>
              <w:pStyle w:val="Texttabulky"/>
              <w:spacing w:after="0" w:line="240" w:lineRule="atLeast"/>
            </w:pPr>
            <w:r>
              <w:rPr>
                <w:b/>
                <w:bCs/>
                <w:sz w:val="22"/>
                <w:szCs w:val="22"/>
              </w:rPr>
              <w:t>- 38</w:t>
            </w:r>
          </w:p>
          <w:p w14:paraId="5CB142F0" w14:textId="77777777" w:rsidR="007F3B9F" w:rsidRDefault="007F3B9F" w:rsidP="007F3B9F">
            <w:pPr>
              <w:pStyle w:val="Texttabulky"/>
              <w:spacing w:after="0" w:line="240" w:lineRule="atLeast"/>
            </w:pPr>
            <w:r>
              <w:rPr>
                <w:b/>
                <w:bCs/>
                <w:sz w:val="22"/>
                <w:szCs w:val="22"/>
              </w:rPr>
              <w:t>37 - 38</w:t>
            </w:r>
          </w:p>
          <w:p w14:paraId="1761DCDD" w14:textId="77777777" w:rsidR="007F3B9F" w:rsidRDefault="007F3B9F" w:rsidP="007F3B9F">
            <w:pPr>
              <w:pStyle w:val="Texttabulky"/>
              <w:spacing w:after="0" w:line="240" w:lineRule="atLeast"/>
            </w:pPr>
            <w:r>
              <w:rPr>
                <w:b/>
                <w:bCs/>
                <w:sz w:val="22"/>
                <w:szCs w:val="22"/>
              </w:rPr>
              <w:t>36 - 37</w:t>
            </w:r>
          </w:p>
          <w:p w14:paraId="2062BE70" w14:textId="77777777" w:rsidR="007F3B9F" w:rsidRDefault="007F3B9F" w:rsidP="007F3B9F">
            <w:pPr>
              <w:pStyle w:val="Texttabulky"/>
              <w:spacing w:after="0" w:line="240" w:lineRule="atLeast"/>
            </w:pPr>
            <w:r>
              <w:rPr>
                <w:b/>
                <w:bCs/>
                <w:sz w:val="22"/>
                <w:szCs w:val="22"/>
              </w:rPr>
              <w:t>35 - 36</w:t>
            </w:r>
          </w:p>
        </w:tc>
        <w:tc>
          <w:tcPr>
            <w:tcW w:w="850" w:type="dxa"/>
            <w:tcBorders>
              <w:top w:val="nil"/>
              <w:left w:val="single" w:sz="6" w:space="0" w:color="auto"/>
              <w:bottom w:val="single" w:sz="6" w:space="0" w:color="auto"/>
              <w:right w:val="single" w:sz="6" w:space="0" w:color="auto"/>
            </w:tcBorders>
          </w:tcPr>
          <w:p w14:paraId="0730925A" w14:textId="77777777" w:rsidR="007F3B9F" w:rsidRDefault="007F3B9F" w:rsidP="007F3B9F">
            <w:pPr>
              <w:pStyle w:val="Zkladntext"/>
              <w:spacing w:after="0" w:line="240" w:lineRule="atLeast"/>
            </w:pPr>
          </w:p>
          <w:p w14:paraId="6D6B3AFE" w14:textId="77777777" w:rsidR="007F3B9F" w:rsidRDefault="007F3B9F" w:rsidP="007F3B9F">
            <w:pPr>
              <w:pStyle w:val="Zkladntext"/>
              <w:spacing w:after="0" w:line="240" w:lineRule="atLeast"/>
            </w:pPr>
          </w:p>
          <w:p w14:paraId="45C31A3C" w14:textId="77777777" w:rsidR="007F3B9F" w:rsidRDefault="007F3B9F" w:rsidP="007F3B9F">
            <w:pPr>
              <w:pStyle w:val="Zkladntext"/>
              <w:spacing w:after="0" w:line="240" w:lineRule="atLeast"/>
            </w:pPr>
          </w:p>
          <w:p w14:paraId="68D2424A" w14:textId="77777777" w:rsidR="007F3B9F" w:rsidRDefault="007F3B9F" w:rsidP="007F3B9F">
            <w:pPr>
              <w:pStyle w:val="Zkladntext"/>
              <w:spacing w:after="0" w:line="240" w:lineRule="atLeast"/>
            </w:pPr>
          </w:p>
          <w:p w14:paraId="6546108F" w14:textId="77777777" w:rsidR="007F3B9F" w:rsidRDefault="007F3B9F" w:rsidP="007F3B9F">
            <w:pPr>
              <w:pStyle w:val="Zkladntext"/>
              <w:spacing w:after="0" w:line="240" w:lineRule="atLeast"/>
            </w:pPr>
          </w:p>
          <w:p w14:paraId="4BF62B92" w14:textId="77777777" w:rsidR="007F3B9F" w:rsidRDefault="007F3B9F" w:rsidP="007F3B9F">
            <w:pPr>
              <w:pStyle w:val="Texttabulky"/>
              <w:spacing w:after="0" w:line="240" w:lineRule="atLeast"/>
            </w:pPr>
            <w:r>
              <w:rPr>
                <w:b/>
                <w:bCs/>
                <w:sz w:val="20"/>
                <w:szCs w:val="20"/>
              </w:rPr>
              <w:t>NR</w:t>
            </w:r>
          </w:p>
          <w:p w14:paraId="3DF24FEA" w14:textId="77777777" w:rsidR="007F3B9F" w:rsidRDefault="007F3B9F" w:rsidP="007F3B9F">
            <w:pPr>
              <w:pStyle w:val="Zkladntext"/>
              <w:spacing w:after="0" w:line="240" w:lineRule="atLeast"/>
            </w:pPr>
          </w:p>
          <w:p w14:paraId="13F08F9D" w14:textId="77777777" w:rsidR="007F3B9F" w:rsidRDefault="007F3B9F" w:rsidP="007F3B9F">
            <w:pPr>
              <w:pStyle w:val="Texttabulky"/>
              <w:spacing w:after="0" w:line="240" w:lineRule="atLeast"/>
            </w:pPr>
            <w:r>
              <w:rPr>
                <w:sz w:val="20"/>
                <w:szCs w:val="20"/>
              </w:rPr>
              <w:t xml:space="preserve"> F</w:t>
            </w:r>
          </w:p>
        </w:tc>
        <w:tc>
          <w:tcPr>
            <w:tcW w:w="3402" w:type="dxa"/>
            <w:tcBorders>
              <w:top w:val="nil"/>
              <w:left w:val="single" w:sz="6" w:space="0" w:color="auto"/>
              <w:bottom w:val="single" w:sz="6" w:space="0" w:color="auto"/>
              <w:right w:val="single" w:sz="6" w:space="0" w:color="auto"/>
            </w:tcBorders>
          </w:tcPr>
          <w:p w14:paraId="0EC23814" w14:textId="77777777" w:rsidR="007F3B9F" w:rsidRDefault="007F3B9F" w:rsidP="007F3B9F">
            <w:pPr>
              <w:pStyle w:val="Texttabulky"/>
              <w:spacing w:after="0" w:line="240" w:lineRule="atLeast"/>
            </w:pPr>
            <w:r>
              <w:t xml:space="preserve">Biokoridor nadreg. významu kopírující trasu Labe, prochází vesměs lesním komplexem po strmých svazích s  převážně bukovými porosty nejčastěji na stanovištích svěžích, bazických a bohatých dubových bučin.  Největší část biokoridoru vede II. zónou CHKO České Středohoří, územím severně od Ploučnice prochází III. zónou.  </w:t>
            </w:r>
          </w:p>
        </w:tc>
        <w:tc>
          <w:tcPr>
            <w:tcW w:w="709" w:type="dxa"/>
            <w:tcBorders>
              <w:top w:val="nil"/>
              <w:left w:val="single" w:sz="6" w:space="0" w:color="auto"/>
              <w:bottom w:val="single" w:sz="6" w:space="0" w:color="auto"/>
              <w:right w:val="single" w:sz="6" w:space="0" w:color="auto"/>
            </w:tcBorders>
          </w:tcPr>
          <w:p w14:paraId="4BEE1A07" w14:textId="77777777" w:rsidR="007F3B9F" w:rsidRDefault="007F3B9F" w:rsidP="007F3B9F">
            <w:pPr>
              <w:pStyle w:val="Zkladntext"/>
              <w:spacing w:after="0" w:line="240" w:lineRule="atLeast"/>
            </w:pPr>
          </w:p>
          <w:p w14:paraId="08695251" w14:textId="77777777" w:rsidR="007F3B9F" w:rsidRDefault="007F3B9F" w:rsidP="007F3B9F">
            <w:pPr>
              <w:pStyle w:val="Texttabulky"/>
              <w:spacing w:after="0" w:line="240" w:lineRule="atLeast"/>
            </w:pPr>
            <w:r>
              <w:t>100</w:t>
            </w:r>
          </w:p>
          <w:p w14:paraId="4B87A3C0" w14:textId="77777777" w:rsidR="007F3B9F" w:rsidRDefault="007F3B9F" w:rsidP="007F3B9F">
            <w:pPr>
              <w:pStyle w:val="Zkladntext"/>
              <w:spacing w:after="0" w:line="240" w:lineRule="atLeast"/>
            </w:pPr>
          </w:p>
          <w:p w14:paraId="2DA1CAAD" w14:textId="77777777" w:rsidR="007F3B9F" w:rsidRDefault="007F3B9F" w:rsidP="007F3B9F">
            <w:pPr>
              <w:pStyle w:val="Texttabulky"/>
              <w:spacing w:after="0" w:line="240" w:lineRule="atLeast"/>
            </w:pPr>
            <w:r>
              <w:t xml:space="preserve">cca á </w:t>
            </w:r>
          </w:p>
          <w:p w14:paraId="32E92517" w14:textId="77777777" w:rsidR="007F3B9F" w:rsidRDefault="007F3B9F" w:rsidP="007F3B9F">
            <w:pPr>
              <w:pStyle w:val="Texttabulky"/>
              <w:spacing w:after="0" w:line="240" w:lineRule="atLeast"/>
            </w:pPr>
            <w:r>
              <w:t>700 m</w:t>
            </w:r>
          </w:p>
          <w:p w14:paraId="3540BFD1" w14:textId="77777777" w:rsidR="007F3B9F" w:rsidRDefault="007F3B9F" w:rsidP="007F3B9F">
            <w:pPr>
              <w:pStyle w:val="Zkladntext"/>
              <w:spacing w:after="0" w:line="240" w:lineRule="atLeast"/>
            </w:pPr>
          </w:p>
          <w:p w14:paraId="100B9450" w14:textId="77777777" w:rsidR="007F3B9F" w:rsidRDefault="007F3B9F" w:rsidP="007F3B9F">
            <w:pPr>
              <w:pStyle w:val="Texttabulky"/>
              <w:spacing w:after="0" w:line="240" w:lineRule="atLeast"/>
            </w:pPr>
            <w:r>
              <w:t xml:space="preserve">celkem </w:t>
            </w:r>
          </w:p>
          <w:p w14:paraId="27457D4F" w14:textId="77777777" w:rsidR="007F3B9F" w:rsidRDefault="007F3B9F" w:rsidP="007F3B9F">
            <w:pPr>
              <w:pStyle w:val="Texttabulky"/>
              <w:spacing w:after="0" w:line="240" w:lineRule="atLeast"/>
            </w:pPr>
            <w:r>
              <w:t xml:space="preserve">cca </w:t>
            </w:r>
          </w:p>
          <w:p w14:paraId="2FE4F4AD" w14:textId="77777777" w:rsidR="007F3B9F" w:rsidRDefault="007F3B9F" w:rsidP="007F3B9F">
            <w:pPr>
              <w:pStyle w:val="Texttabulky"/>
              <w:spacing w:after="0" w:line="240" w:lineRule="atLeast"/>
            </w:pPr>
            <w:r>
              <w:t>7 km</w:t>
            </w:r>
          </w:p>
        </w:tc>
        <w:tc>
          <w:tcPr>
            <w:tcW w:w="567" w:type="dxa"/>
            <w:tcBorders>
              <w:top w:val="nil"/>
              <w:left w:val="single" w:sz="6" w:space="0" w:color="auto"/>
              <w:bottom w:val="single" w:sz="6" w:space="0" w:color="auto"/>
              <w:right w:val="single" w:sz="6" w:space="0" w:color="auto"/>
            </w:tcBorders>
          </w:tcPr>
          <w:p w14:paraId="7D8B546E" w14:textId="77777777" w:rsidR="007F3B9F" w:rsidRDefault="007F3B9F" w:rsidP="007F3B9F">
            <w:pPr>
              <w:pStyle w:val="Zkladntext"/>
              <w:spacing w:after="0" w:line="240" w:lineRule="atLeast"/>
            </w:pPr>
          </w:p>
          <w:p w14:paraId="6532FA04" w14:textId="77777777" w:rsidR="007F3B9F" w:rsidRDefault="007F3B9F" w:rsidP="007F3B9F">
            <w:pPr>
              <w:pStyle w:val="Texttabulky"/>
              <w:spacing w:after="0" w:line="240" w:lineRule="atLeast"/>
            </w:pPr>
            <w:r>
              <w:t xml:space="preserve"> </w:t>
            </w:r>
          </w:p>
          <w:p w14:paraId="6FAE679B" w14:textId="77777777" w:rsidR="007F3B9F" w:rsidRDefault="007F3B9F" w:rsidP="007F3B9F">
            <w:pPr>
              <w:pStyle w:val="Zkladntext"/>
              <w:spacing w:after="0" w:line="240" w:lineRule="atLeast"/>
            </w:pPr>
          </w:p>
          <w:p w14:paraId="10C9A4B1" w14:textId="77777777" w:rsidR="007F3B9F" w:rsidRDefault="007F3B9F" w:rsidP="007F3B9F">
            <w:pPr>
              <w:pStyle w:val="Zkladntext"/>
              <w:spacing w:after="0" w:line="240" w:lineRule="atLeast"/>
            </w:pPr>
          </w:p>
          <w:p w14:paraId="22BFC5B0" w14:textId="77777777" w:rsidR="007F3B9F" w:rsidRDefault="007F3B9F" w:rsidP="007F3B9F">
            <w:pPr>
              <w:pStyle w:val="Zkladntext"/>
              <w:spacing w:after="0" w:line="240" w:lineRule="atLeast"/>
            </w:pPr>
          </w:p>
          <w:p w14:paraId="320FAAEF" w14:textId="77777777" w:rsidR="007F3B9F" w:rsidRDefault="007F3B9F" w:rsidP="007F3B9F">
            <w:pPr>
              <w:pStyle w:val="Zkladntext"/>
              <w:spacing w:after="0" w:line="240" w:lineRule="atLeast"/>
            </w:pPr>
          </w:p>
          <w:p w14:paraId="1E1D5CEE" w14:textId="77777777" w:rsidR="007F3B9F" w:rsidRDefault="007F3B9F" w:rsidP="007F3B9F">
            <w:pPr>
              <w:pStyle w:val="Texttabulky"/>
              <w:spacing w:after="0" w:line="240" w:lineRule="atLeast"/>
            </w:pPr>
            <w:r>
              <w:t>4</w:t>
            </w:r>
          </w:p>
        </w:tc>
        <w:tc>
          <w:tcPr>
            <w:tcW w:w="2835" w:type="dxa"/>
            <w:tcBorders>
              <w:top w:val="nil"/>
              <w:left w:val="single" w:sz="6" w:space="0" w:color="auto"/>
              <w:bottom w:val="single" w:sz="6" w:space="0" w:color="auto"/>
              <w:right w:val="single" w:sz="6" w:space="0" w:color="auto"/>
            </w:tcBorders>
          </w:tcPr>
          <w:p w14:paraId="6782E296" w14:textId="77777777" w:rsidR="007F3B9F" w:rsidRDefault="007F3B9F" w:rsidP="007F3B9F">
            <w:pPr>
              <w:pStyle w:val="Zkladntext"/>
              <w:spacing w:after="0" w:line="240" w:lineRule="atLeast"/>
            </w:pPr>
          </w:p>
          <w:p w14:paraId="233B8350" w14:textId="77777777" w:rsidR="007F3B9F" w:rsidRDefault="007F3B9F" w:rsidP="007F3B9F">
            <w:pPr>
              <w:pStyle w:val="Zkladntext"/>
              <w:spacing w:after="0" w:line="240" w:lineRule="atLeast"/>
            </w:pPr>
          </w:p>
          <w:p w14:paraId="3D296057" w14:textId="77777777" w:rsidR="007F3B9F" w:rsidRDefault="007F3B9F" w:rsidP="007F3B9F">
            <w:pPr>
              <w:pStyle w:val="Zkladntext"/>
              <w:spacing w:after="0" w:line="240" w:lineRule="atLeast"/>
            </w:pPr>
          </w:p>
          <w:p w14:paraId="7761BFFF" w14:textId="77777777" w:rsidR="007F3B9F" w:rsidRDefault="007F3B9F" w:rsidP="007F3B9F">
            <w:pPr>
              <w:pStyle w:val="Zkladntext"/>
              <w:spacing w:after="0" w:line="240" w:lineRule="atLeast"/>
            </w:pPr>
          </w:p>
          <w:p w14:paraId="7C0F8408" w14:textId="77777777" w:rsidR="007F3B9F" w:rsidRDefault="007F3B9F" w:rsidP="007F3B9F">
            <w:pPr>
              <w:pStyle w:val="Zkladntext"/>
              <w:spacing w:after="0" w:line="240" w:lineRule="atLeast"/>
            </w:pPr>
          </w:p>
          <w:p w14:paraId="7A492468" w14:textId="77777777" w:rsidR="007F3B9F" w:rsidRDefault="007F3B9F" w:rsidP="007F3B9F">
            <w:pPr>
              <w:pStyle w:val="Zkladntext"/>
              <w:spacing w:after="0" w:line="240" w:lineRule="atLeast"/>
            </w:pPr>
          </w:p>
          <w:p w14:paraId="6306B393" w14:textId="77777777" w:rsidR="007F3B9F" w:rsidRDefault="007F3B9F" w:rsidP="007F3B9F">
            <w:pPr>
              <w:pStyle w:val="Texttabulky"/>
              <w:spacing w:after="0" w:line="240" w:lineRule="atLeast"/>
            </w:pPr>
            <w:r>
              <w:t>v souladu s  platným LHP</w:t>
            </w:r>
          </w:p>
        </w:tc>
      </w:tr>
      <w:tr w:rsidR="007F3B9F" w14:paraId="5A754172" w14:textId="77777777" w:rsidTr="00BB63DF">
        <w:tc>
          <w:tcPr>
            <w:tcW w:w="993" w:type="dxa"/>
            <w:tcBorders>
              <w:top w:val="single" w:sz="6" w:space="0" w:color="auto"/>
              <w:left w:val="single" w:sz="6" w:space="0" w:color="auto"/>
              <w:bottom w:val="single" w:sz="6" w:space="0" w:color="auto"/>
              <w:right w:val="single" w:sz="6" w:space="0" w:color="auto"/>
            </w:tcBorders>
          </w:tcPr>
          <w:p w14:paraId="63CAE19B" w14:textId="77777777" w:rsidR="007F3B9F" w:rsidRDefault="007F3B9F" w:rsidP="007F3B9F">
            <w:pPr>
              <w:pStyle w:val="Zkladntext"/>
              <w:spacing w:after="0" w:line="240" w:lineRule="atLeast"/>
            </w:pPr>
          </w:p>
          <w:p w14:paraId="793DF15D" w14:textId="77777777" w:rsidR="007F3B9F" w:rsidRDefault="007F3B9F" w:rsidP="007F3B9F">
            <w:pPr>
              <w:pStyle w:val="Texttabulky"/>
              <w:spacing w:after="0" w:line="240" w:lineRule="atLeast"/>
            </w:pPr>
            <w:r>
              <w:rPr>
                <w:b/>
                <w:bCs/>
                <w:sz w:val="22"/>
                <w:szCs w:val="22"/>
              </w:rPr>
              <w:t>- 39</w:t>
            </w:r>
          </w:p>
          <w:p w14:paraId="586178DE"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2E66AEB2" w14:textId="77777777" w:rsidR="007F3B9F" w:rsidRDefault="007F3B9F" w:rsidP="007F3B9F">
            <w:pPr>
              <w:pStyle w:val="Texttabulky"/>
              <w:spacing w:after="0" w:line="240" w:lineRule="atLeast"/>
            </w:pPr>
            <w:r>
              <w:rPr>
                <w:b/>
                <w:bCs/>
                <w:sz w:val="20"/>
                <w:szCs w:val="20"/>
              </w:rPr>
              <w:t>R</w:t>
            </w:r>
          </w:p>
          <w:p w14:paraId="3448B888" w14:textId="77777777" w:rsidR="007F3B9F" w:rsidRDefault="007F3B9F" w:rsidP="007F3B9F">
            <w:pPr>
              <w:pStyle w:val="Zkladntext"/>
              <w:spacing w:after="0" w:line="240" w:lineRule="atLeast"/>
            </w:pPr>
          </w:p>
          <w:p w14:paraId="64DC1963"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6AC6DEF4" w14:textId="77777777" w:rsidR="007F3B9F" w:rsidRDefault="007F3B9F" w:rsidP="007F3B9F">
            <w:pPr>
              <w:pStyle w:val="Texttabulky"/>
              <w:spacing w:after="0" w:line="240" w:lineRule="atLeast"/>
            </w:pPr>
            <w:r>
              <w:t>Regionální biokoridor vstupující do řešeného území směrem od Malé Veleně a krátce na to připojující k NR biokoridoru u Březinských tisů.  V tomto úseku prochází bukovými a smíšenými porosty ve 3. lvs.</w:t>
            </w:r>
          </w:p>
        </w:tc>
        <w:tc>
          <w:tcPr>
            <w:tcW w:w="709" w:type="dxa"/>
            <w:tcBorders>
              <w:top w:val="single" w:sz="6" w:space="0" w:color="auto"/>
              <w:left w:val="single" w:sz="6" w:space="0" w:color="auto"/>
              <w:bottom w:val="single" w:sz="6" w:space="0" w:color="auto"/>
              <w:right w:val="single" w:sz="6" w:space="0" w:color="auto"/>
            </w:tcBorders>
          </w:tcPr>
          <w:p w14:paraId="6A64175F" w14:textId="77777777" w:rsidR="007F3B9F" w:rsidRDefault="007F3B9F" w:rsidP="007F3B9F">
            <w:pPr>
              <w:pStyle w:val="Zkladntext"/>
              <w:spacing w:after="0" w:line="240" w:lineRule="atLeast"/>
            </w:pPr>
          </w:p>
          <w:p w14:paraId="1CE18489" w14:textId="77777777" w:rsidR="007F3B9F" w:rsidRDefault="007F3B9F" w:rsidP="007F3B9F">
            <w:pPr>
              <w:pStyle w:val="Texttabulky"/>
              <w:spacing w:after="0" w:line="240" w:lineRule="atLeast"/>
            </w:pPr>
            <w:r>
              <w:t>100</w:t>
            </w:r>
          </w:p>
          <w:p w14:paraId="12A63A43" w14:textId="77777777" w:rsidR="007F3B9F" w:rsidRDefault="007F3B9F" w:rsidP="007F3B9F">
            <w:pPr>
              <w:pStyle w:val="Texttabulky"/>
              <w:spacing w:after="0" w:line="240" w:lineRule="atLeast"/>
            </w:pPr>
            <w:r>
              <w:t>350</w:t>
            </w:r>
          </w:p>
        </w:tc>
        <w:tc>
          <w:tcPr>
            <w:tcW w:w="567" w:type="dxa"/>
            <w:tcBorders>
              <w:top w:val="single" w:sz="6" w:space="0" w:color="auto"/>
              <w:left w:val="single" w:sz="6" w:space="0" w:color="auto"/>
              <w:bottom w:val="single" w:sz="6" w:space="0" w:color="auto"/>
              <w:right w:val="single" w:sz="6" w:space="0" w:color="auto"/>
            </w:tcBorders>
          </w:tcPr>
          <w:p w14:paraId="0E15E28D" w14:textId="77777777" w:rsidR="007F3B9F" w:rsidRDefault="007F3B9F" w:rsidP="007F3B9F">
            <w:pPr>
              <w:pStyle w:val="Zkladntext"/>
              <w:spacing w:after="0" w:line="240" w:lineRule="atLeast"/>
            </w:pPr>
          </w:p>
          <w:p w14:paraId="78A0F643" w14:textId="77777777" w:rsidR="007F3B9F" w:rsidRDefault="007F3B9F" w:rsidP="007F3B9F">
            <w:pPr>
              <w:pStyle w:val="Texttabulky"/>
              <w:spacing w:after="0" w:line="240" w:lineRule="atLeast"/>
            </w:pPr>
            <w:r>
              <w:t>4</w:t>
            </w:r>
          </w:p>
        </w:tc>
        <w:tc>
          <w:tcPr>
            <w:tcW w:w="2835" w:type="dxa"/>
            <w:tcBorders>
              <w:top w:val="single" w:sz="6" w:space="0" w:color="auto"/>
              <w:left w:val="single" w:sz="6" w:space="0" w:color="auto"/>
              <w:bottom w:val="single" w:sz="6" w:space="0" w:color="auto"/>
              <w:right w:val="single" w:sz="6" w:space="0" w:color="auto"/>
            </w:tcBorders>
          </w:tcPr>
          <w:p w14:paraId="52146DA3" w14:textId="77777777" w:rsidR="007F3B9F" w:rsidRDefault="007F3B9F" w:rsidP="007F3B9F">
            <w:pPr>
              <w:pStyle w:val="Zkladntext"/>
              <w:spacing w:after="0" w:line="240" w:lineRule="atLeast"/>
            </w:pPr>
          </w:p>
          <w:p w14:paraId="74BEE572" w14:textId="77777777" w:rsidR="007F3B9F" w:rsidRDefault="007F3B9F" w:rsidP="007F3B9F">
            <w:pPr>
              <w:pStyle w:val="Texttabulky"/>
              <w:spacing w:after="0" w:line="240" w:lineRule="atLeast"/>
            </w:pPr>
            <w:r>
              <w:t>v souladu s  platným LHP</w:t>
            </w:r>
          </w:p>
        </w:tc>
      </w:tr>
      <w:tr w:rsidR="007F3B9F" w14:paraId="235E0333" w14:textId="77777777" w:rsidTr="00BB63DF">
        <w:tc>
          <w:tcPr>
            <w:tcW w:w="993" w:type="dxa"/>
            <w:tcBorders>
              <w:top w:val="single" w:sz="6" w:space="0" w:color="auto"/>
              <w:left w:val="single" w:sz="6" w:space="0" w:color="auto"/>
              <w:bottom w:val="single" w:sz="6" w:space="0" w:color="auto"/>
              <w:right w:val="single" w:sz="6" w:space="0" w:color="auto"/>
            </w:tcBorders>
          </w:tcPr>
          <w:p w14:paraId="5F5C9624" w14:textId="77777777" w:rsidR="007F3B9F" w:rsidRDefault="007F3B9F" w:rsidP="007F3B9F">
            <w:pPr>
              <w:pStyle w:val="Zkladntext"/>
              <w:spacing w:after="0" w:line="240" w:lineRule="atLeast"/>
            </w:pPr>
          </w:p>
          <w:p w14:paraId="7DF8DA36" w14:textId="77777777" w:rsidR="007F3B9F" w:rsidRDefault="007F3B9F" w:rsidP="007F3B9F">
            <w:pPr>
              <w:pStyle w:val="Texttabulky"/>
              <w:spacing w:after="0" w:line="240" w:lineRule="atLeast"/>
            </w:pPr>
            <w:r>
              <w:rPr>
                <w:b/>
                <w:bCs/>
                <w:sz w:val="22"/>
                <w:szCs w:val="22"/>
              </w:rPr>
              <w:t>11 - 39</w:t>
            </w:r>
          </w:p>
          <w:p w14:paraId="4ED8427A"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597B1BB5" w14:textId="77777777" w:rsidR="007F3B9F" w:rsidRDefault="007F3B9F" w:rsidP="007F3B9F">
            <w:pPr>
              <w:pStyle w:val="Texttabulky"/>
              <w:spacing w:after="0" w:line="240" w:lineRule="atLeast"/>
            </w:pPr>
            <w:r>
              <w:rPr>
                <w:b/>
                <w:bCs/>
                <w:sz w:val="20"/>
                <w:szCs w:val="20"/>
              </w:rPr>
              <w:t>L</w:t>
            </w:r>
          </w:p>
          <w:p w14:paraId="62E2E357" w14:textId="77777777" w:rsidR="007F3B9F" w:rsidRDefault="007F3B9F" w:rsidP="007F3B9F">
            <w:pPr>
              <w:pStyle w:val="Zkladntext"/>
              <w:spacing w:after="0" w:line="240" w:lineRule="atLeast"/>
            </w:pPr>
          </w:p>
          <w:p w14:paraId="353872B9"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5195EF2F" w14:textId="77777777" w:rsidR="007F3B9F" w:rsidRDefault="007F3B9F" w:rsidP="007F3B9F">
            <w:pPr>
              <w:pStyle w:val="Texttabulky"/>
              <w:spacing w:after="0" w:line="240" w:lineRule="atLeast"/>
            </w:pPr>
            <w:r>
              <w:t xml:space="preserve">Břehové a lesní porosty podél bezejmenného levostranného přítoku Ploučnice. V dřevinné skladbě dominuje BK, JS, OL, JIV, JV, DB, BR,...  </w:t>
            </w:r>
          </w:p>
        </w:tc>
        <w:tc>
          <w:tcPr>
            <w:tcW w:w="709" w:type="dxa"/>
            <w:tcBorders>
              <w:top w:val="single" w:sz="6" w:space="0" w:color="auto"/>
              <w:left w:val="single" w:sz="6" w:space="0" w:color="auto"/>
              <w:bottom w:val="single" w:sz="6" w:space="0" w:color="auto"/>
              <w:right w:val="single" w:sz="6" w:space="0" w:color="auto"/>
            </w:tcBorders>
          </w:tcPr>
          <w:p w14:paraId="0005BEF6" w14:textId="77777777" w:rsidR="007F3B9F" w:rsidRDefault="007F3B9F" w:rsidP="007F3B9F">
            <w:pPr>
              <w:pStyle w:val="Zkladntext"/>
              <w:spacing w:after="0" w:line="240" w:lineRule="atLeast"/>
            </w:pPr>
          </w:p>
          <w:p w14:paraId="777B9185" w14:textId="77777777" w:rsidR="007F3B9F" w:rsidRDefault="007F3B9F" w:rsidP="007F3B9F">
            <w:pPr>
              <w:pStyle w:val="Texttabulky"/>
              <w:spacing w:after="0" w:line="240" w:lineRule="atLeast"/>
            </w:pPr>
            <w:r>
              <w:t>20</w:t>
            </w:r>
          </w:p>
          <w:p w14:paraId="5A8A9753" w14:textId="77777777" w:rsidR="007F3B9F" w:rsidRDefault="007F3B9F" w:rsidP="007F3B9F">
            <w:pPr>
              <w:pStyle w:val="Zkladntext"/>
              <w:spacing w:after="0" w:line="240" w:lineRule="atLeast"/>
            </w:pPr>
          </w:p>
          <w:p w14:paraId="11DC2418" w14:textId="77777777" w:rsidR="007F3B9F" w:rsidRDefault="007F3B9F" w:rsidP="007F3B9F">
            <w:pPr>
              <w:pStyle w:val="Texttabulky"/>
              <w:spacing w:after="0" w:line="240" w:lineRule="atLeast"/>
            </w:pPr>
            <w:r>
              <w:t>1100</w:t>
            </w:r>
          </w:p>
        </w:tc>
        <w:tc>
          <w:tcPr>
            <w:tcW w:w="567" w:type="dxa"/>
            <w:tcBorders>
              <w:top w:val="single" w:sz="6" w:space="0" w:color="auto"/>
              <w:left w:val="single" w:sz="6" w:space="0" w:color="auto"/>
              <w:bottom w:val="single" w:sz="6" w:space="0" w:color="auto"/>
              <w:right w:val="single" w:sz="6" w:space="0" w:color="auto"/>
            </w:tcBorders>
          </w:tcPr>
          <w:p w14:paraId="4561777F" w14:textId="77777777" w:rsidR="007F3B9F" w:rsidRDefault="007F3B9F" w:rsidP="007F3B9F">
            <w:pPr>
              <w:pStyle w:val="Zkladntext"/>
              <w:spacing w:after="0" w:line="240" w:lineRule="atLeast"/>
            </w:pPr>
          </w:p>
          <w:p w14:paraId="4732279E" w14:textId="77777777" w:rsidR="007F3B9F" w:rsidRDefault="007F3B9F" w:rsidP="007F3B9F">
            <w:pPr>
              <w:pStyle w:val="Texttabulky"/>
              <w:spacing w:after="0" w:line="240" w:lineRule="atLeast"/>
            </w:pPr>
            <w:r>
              <w:t xml:space="preserve"> 4</w:t>
            </w:r>
          </w:p>
        </w:tc>
        <w:tc>
          <w:tcPr>
            <w:tcW w:w="2835" w:type="dxa"/>
            <w:tcBorders>
              <w:top w:val="single" w:sz="6" w:space="0" w:color="auto"/>
              <w:left w:val="single" w:sz="6" w:space="0" w:color="auto"/>
              <w:bottom w:val="single" w:sz="6" w:space="0" w:color="auto"/>
              <w:right w:val="single" w:sz="6" w:space="0" w:color="auto"/>
            </w:tcBorders>
          </w:tcPr>
          <w:p w14:paraId="6A26A220" w14:textId="77777777" w:rsidR="007F3B9F" w:rsidRDefault="007F3B9F" w:rsidP="007F3B9F">
            <w:pPr>
              <w:pStyle w:val="Zkladntext"/>
              <w:spacing w:after="0" w:line="240" w:lineRule="atLeast"/>
            </w:pPr>
          </w:p>
          <w:p w14:paraId="67269BA3" w14:textId="77777777" w:rsidR="007F3B9F" w:rsidRDefault="007F3B9F" w:rsidP="007F3B9F">
            <w:pPr>
              <w:pStyle w:val="Texttabulky"/>
              <w:spacing w:after="0" w:line="240" w:lineRule="atLeast"/>
            </w:pPr>
            <w:r>
              <w:t>v lese v souladu s  platným LHP</w:t>
            </w:r>
          </w:p>
          <w:p w14:paraId="4F2D9946" w14:textId="77777777" w:rsidR="007F3B9F" w:rsidRDefault="007F3B9F" w:rsidP="007F3B9F">
            <w:pPr>
              <w:pStyle w:val="Texttabulky"/>
              <w:spacing w:after="0" w:line="240" w:lineRule="atLeast"/>
            </w:pPr>
            <w:r>
              <w:t>údržba koryta toku a břehových porostů</w:t>
            </w:r>
          </w:p>
        </w:tc>
      </w:tr>
      <w:tr w:rsidR="007F3B9F" w14:paraId="4F4132BF" w14:textId="77777777" w:rsidTr="00BB63DF">
        <w:tc>
          <w:tcPr>
            <w:tcW w:w="993" w:type="dxa"/>
            <w:tcBorders>
              <w:top w:val="single" w:sz="6" w:space="0" w:color="auto"/>
              <w:left w:val="single" w:sz="6" w:space="0" w:color="auto"/>
              <w:bottom w:val="single" w:sz="6" w:space="0" w:color="auto"/>
              <w:right w:val="single" w:sz="6" w:space="0" w:color="auto"/>
            </w:tcBorders>
          </w:tcPr>
          <w:p w14:paraId="68AD7D2A" w14:textId="77777777" w:rsidR="007F3B9F" w:rsidRDefault="007F3B9F" w:rsidP="007F3B9F">
            <w:pPr>
              <w:pStyle w:val="Zkladntext"/>
              <w:spacing w:after="0" w:line="240" w:lineRule="atLeast"/>
            </w:pPr>
          </w:p>
          <w:p w14:paraId="62A79297" w14:textId="77777777" w:rsidR="007F3B9F" w:rsidRDefault="007F3B9F" w:rsidP="007F3B9F">
            <w:pPr>
              <w:pStyle w:val="Texttabulky"/>
              <w:spacing w:after="0" w:line="240" w:lineRule="atLeast"/>
            </w:pPr>
            <w:r>
              <w:rPr>
                <w:b/>
                <w:bCs/>
                <w:sz w:val="22"/>
                <w:szCs w:val="22"/>
              </w:rPr>
              <w:t>3 - 4</w:t>
            </w:r>
          </w:p>
          <w:p w14:paraId="51AF9EFE"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597364F1" w14:textId="77777777" w:rsidR="007F3B9F" w:rsidRDefault="007F3B9F" w:rsidP="007F3B9F">
            <w:pPr>
              <w:pStyle w:val="Texttabulky"/>
              <w:spacing w:after="0"/>
            </w:pPr>
            <w:r>
              <w:rPr>
                <w:b/>
                <w:bCs/>
                <w:sz w:val="20"/>
                <w:szCs w:val="20"/>
              </w:rPr>
              <w:t>L</w:t>
            </w:r>
          </w:p>
          <w:p w14:paraId="3AF45641" w14:textId="77777777" w:rsidR="007F3B9F" w:rsidRDefault="007F3B9F" w:rsidP="007F3B9F">
            <w:pPr>
              <w:pStyle w:val="Zkladntext"/>
              <w:spacing w:after="0"/>
            </w:pPr>
          </w:p>
          <w:p w14:paraId="4A9DDA3F"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24CA8C8A" w14:textId="77777777" w:rsidR="007F3B9F" w:rsidRDefault="007F3B9F" w:rsidP="007F3B9F">
            <w:pPr>
              <w:pStyle w:val="Texttabulky"/>
              <w:spacing w:after="0" w:line="240" w:lineRule="atLeast"/>
            </w:pPr>
            <w:r>
              <w:t xml:space="preserve">Břehové a lesní porosty podél toku Kameničky. V dřevinné skladbě dominuje   JS, OL, JIV, JV, DB, BR, BK,...  </w:t>
            </w:r>
          </w:p>
        </w:tc>
        <w:tc>
          <w:tcPr>
            <w:tcW w:w="709" w:type="dxa"/>
            <w:tcBorders>
              <w:top w:val="single" w:sz="6" w:space="0" w:color="auto"/>
              <w:left w:val="single" w:sz="6" w:space="0" w:color="auto"/>
              <w:bottom w:val="single" w:sz="6" w:space="0" w:color="auto"/>
              <w:right w:val="single" w:sz="6" w:space="0" w:color="auto"/>
            </w:tcBorders>
          </w:tcPr>
          <w:p w14:paraId="097E41F5" w14:textId="77777777" w:rsidR="007F3B9F" w:rsidRDefault="007F3B9F" w:rsidP="007F3B9F">
            <w:pPr>
              <w:pStyle w:val="Zkladntext"/>
              <w:spacing w:after="0" w:line="240" w:lineRule="atLeast"/>
            </w:pPr>
          </w:p>
          <w:p w14:paraId="4BB513D8" w14:textId="77777777" w:rsidR="007F3B9F" w:rsidRDefault="007F3B9F" w:rsidP="007F3B9F">
            <w:pPr>
              <w:pStyle w:val="Texttabulky"/>
              <w:spacing w:after="0" w:line="240" w:lineRule="atLeast"/>
            </w:pPr>
            <w:r>
              <w:t>20</w:t>
            </w:r>
          </w:p>
          <w:p w14:paraId="7CC71603" w14:textId="77777777" w:rsidR="007F3B9F" w:rsidRDefault="007F3B9F" w:rsidP="007F3B9F">
            <w:pPr>
              <w:pStyle w:val="Texttabulky"/>
              <w:spacing w:after="0" w:line="240" w:lineRule="atLeast"/>
            </w:pPr>
            <w:r>
              <w:t>500</w:t>
            </w:r>
          </w:p>
        </w:tc>
        <w:tc>
          <w:tcPr>
            <w:tcW w:w="567" w:type="dxa"/>
            <w:tcBorders>
              <w:top w:val="single" w:sz="6" w:space="0" w:color="auto"/>
              <w:left w:val="single" w:sz="6" w:space="0" w:color="auto"/>
              <w:bottom w:val="single" w:sz="6" w:space="0" w:color="auto"/>
              <w:right w:val="single" w:sz="6" w:space="0" w:color="auto"/>
            </w:tcBorders>
          </w:tcPr>
          <w:p w14:paraId="7CA47B67" w14:textId="77777777" w:rsidR="007F3B9F" w:rsidRDefault="007F3B9F" w:rsidP="007F3B9F">
            <w:pPr>
              <w:pStyle w:val="Zkladntext"/>
              <w:spacing w:after="0" w:line="240" w:lineRule="atLeast"/>
            </w:pPr>
          </w:p>
          <w:p w14:paraId="4D1F2A9C" w14:textId="77777777" w:rsidR="007F3B9F" w:rsidRDefault="007F3B9F" w:rsidP="007F3B9F">
            <w:pPr>
              <w:pStyle w:val="Texttabulky"/>
              <w:spacing w:after="0" w:line="240" w:lineRule="atLeast"/>
            </w:pPr>
            <w:r>
              <w:t>3-4</w:t>
            </w:r>
          </w:p>
        </w:tc>
        <w:tc>
          <w:tcPr>
            <w:tcW w:w="2835" w:type="dxa"/>
            <w:tcBorders>
              <w:top w:val="single" w:sz="6" w:space="0" w:color="auto"/>
              <w:left w:val="single" w:sz="6" w:space="0" w:color="auto"/>
              <w:bottom w:val="single" w:sz="6" w:space="0" w:color="auto"/>
              <w:right w:val="single" w:sz="6" w:space="0" w:color="auto"/>
            </w:tcBorders>
          </w:tcPr>
          <w:p w14:paraId="3FB276D1" w14:textId="77777777" w:rsidR="007F3B9F" w:rsidRDefault="007F3B9F" w:rsidP="007F3B9F">
            <w:pPr>
              <w:pStyle w:val="Zkladntext"/>
              <w:spacing w:after="0" w:line="240" w:lineRule="atLeast"/>
            </w:pPr>
          </w:p>
          <w:p w14:paraId="3C850917" w14:textId="77777777" w:rsidR="007F3B9F" w:rsidRDefault="007F3B9F" w:rsidP="007F3B9F">
            <w:pPr>
              <w:pStyle w:val="Texttabulky"/>
              <w:spacing w:after="0" w:line="240" w:lineRule="atLeast"/>
            </w:pPr>
            <w:r>
              <w:t>v lese v souladu s  platným LHP</w:t>
            </w:r>
          </w:p>
          <w:p w14:paraId="56BA970A" w14:textId="77777777" w:rsidR="007F3B9F" w:rsidRDefault="007F3B9F" w:rsidP="007F3B9F">
            <w:pPr>
              <w:pStyle w:val="Texttabulky"/>
              <w:spacing w:after="0" w:line="240" w:lineRule="atLeast"/>
            </w:pPr>
            <w:r>
              <w:t>údržba koryta toku a břehových porostů</w:t>
            </w:r>
          </w:p>
        </w:tc>
      </w:tr>
      <w:tr w:rsidR="007F3B9F" w14:paraId="065CF3CB" w14:textId="77777777" w:rsidTr="00BB63DF">
        <w:tc>
          <w:tcPr>
            <w:tcW w:w="993" w:type="dxa"/>
            <w:tcBorders>
              <w:top w:val="single" w:sz="6" w:space="0" w:color="auto"/>
              <w:left w:val="single" w:sz="6" w:space="0" w:color="auto"/>
              <w:bottom w:val="single" w:sz="6" w:space="0" w:color="auto"/>
              <w:right w:val="single" w:sz="6" w:space="0" w:color="auto"/>
            </w:tcBorders>
          </w:tcPr>
          <w:p w14:paraId="1344BA9B" w14:textId="77777777" w:rsidR="007F3B9F" w:rsidRDefault="007F3B9F" w:rsidP="007F3B9F">
            <w:pPr>
              <w:pStyle w:val="Zkladntext"/>
              <w:spacing w:after="0" w:line="240" w:lineRule="atLeast"/>
            </w:pPr>
          </w:p>
          <w:p w14:paraId="4EB79164" w14:textId="77777777" w:rsidR="007F3B9F" w:rsidRDefault="007F3B9F" w:rsidP="007F3B9F">
            <w:pPr>
              <w:pStyle w:val="Texttabulky"/>
              <w:spacing w:after="0" w:line="240" w:lineRule="atLeast"/>
            </w:pPr>
            <w:r>
              <w:rPr>
                <w:b/>
                <w:bCs/>
                <w:sz w:val="22"/>
                <w:szCs w:val="22"/>
              </w:rPr>
              <w:t>3 - 11</w:t>
            </w:r>
          </w:p>
          <w:p w14:paraId="7351954C"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1BD97B00" w14:textId="77777777" w:rsidR="007F3B9F" w:rsidRDefault="007F3B9F" w:rsidP="007F3B9F">
            <w:pPr>
              <w:pStyle w:val="Texttabulky"/>
              <w:spacing w:after="0" w:line="240" w:lineRule="atLeast"/>
            </w:pPr>
            <w:r>
              <w:rPr>
                <w:b/>
                <w:bCs/>
                <w:sz w:val="20"/>
                <w:szCs w:val="20"/>
              </w:rPr>
              <w:t>L</w:t>
            </w:r>
          </w:p>
          <w:p w14:paraId="0150622E" w14:textId="77777777" w:rsidR="007F3B9F" w:rsidRDefault="007F3B9F" w:rsidP="007F3B9F">
            <w:pPr>
              <w:pStyle w:val="Zkladntext"/>
              <w:spacing w:after="0" w:line="240" w:lineRule="atLeast"/>
            </w:pPr>
          </w:p>
          <w:p w14:paraId="03D33483"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5892491A" w14:textId="77777777" w:rsidR="007F3B9F" w:rsidRDefault="007F3B9F" w:rsidP="007F3B9F">
            <w:pPr>
              <w:pStyle w:val="Texttabulky"/>
              <w:spacing w:after="0" w:line="240" w:lineRule="atLeast"/>
            </w:pPr>
            <w:r>
              <w:t xml:space="preserve">Břehové a lesní porosty podél pravostranného přítoku Kameničky. V dřevinné skladbě nejčastěji zastoupeny   JS, OL, JIV, VB,  JV, DB, BR, BK, HB...  </w:t>
            </w:r>
          </w:p>
        </w:tc>
        <w:tc>
          <w:tcPr>
            <w:tcW w:w="709" w:type="dxa"/>
            <w:tcBorders>
              <w:top w:val="single" w:sz="6" w:space="0" w:color="auto"/>
              <w:left w:val="single" w:sz="6" w:space="0" w:color="auto"/>
              <w:bottom w:val="single" w:sz="6" w:space="0" w:color="auto"/>
              <w:right w:val="single" w:sz="6" w:space="0" w:color="auto"/>
            </w:tcBorders>
          </w:tcPr>
          <w:p w14:paraId="7F0B42AA" w14:textId="77777777" w:rsidR="007F3B9F" w:rsidRDefault="007F3B9F" w:rsidP="007F3B9F">
            <w:pPr>
              <w:pStyle w:val="Zkladntext"/>
              <w:spacing w:after="0" w:line="240" w:lineRule="atLeast"/>
            </w:pPr>
          </w:p>
          <w:p w14:paraId="6E097B00" w14:textId="77777777" w:rsidR="007F3B9F" w:rsidRDefault="007F3B9F" w:rsidP="007F3B9F">
            <w:pPr>
              <w:pStyle w:val="Texttabulky"/>
              <w:spacing w:after="0" w:line="240" w:lineRule="atLeast"/>
            </w:pPr>
            <w:r>
              <w:t>20</w:t>
            </w:r>
          </w:p>
          <w:p w14:paraId="7CC0A9F4" w14:textId="77777777" w:rsidR="007F3B9F" w:rsidRDefault="007F3B9F" w:rsidP="007F3B9F">
            <w:pPr>
              <w:pStyle w:val="Texttabulky"/>
              <w:spacing w:after="0" w:line="240" w:lineRule="atLeast"/>
            </w:pPr>
            <w:r>
              <w:t>1800</w:t>
            </w:r>
          </w:p>
        </w:tc>
        <w:tc>
          <w:tcPr>
            <w:tcW w:w="567" w:type="dxa"/>
            <w:tcBorders>
              <w:top w:val="single" w:sz="6" w:space="0" w:color="auto"/>
              <w:left w:val="single" w:sz="6" w:space="0" w:color="auto"/>
              <w:bottom w:val="single" w:sz="6" w:space="0" w:color="auto"/>
              <w:right w:val="single" w:sz="6" w:space="0" w:color="auto"/>
            </w:tcBorders>
          </w:tcPr>
          <w:p w14:paraId="0644F8B2" w14:textId="77777777" w:rsidR="007F3B9F" w:rsidRDefault="007F3B9F" w:rsidP="007F3B9F">
            <w:pPr>
              <w:pStyle w:val="Zkladntext"/>
              <w:spacing w:after="0" w:line="240" w:lineRule="atLeast"/>
            </w:pPr>
          </w:p>
          <w:p w14:paraId="1F056C4E" w14:textId="77777777" w:rsidR="007F3B9F" w:rsidRDefault="007F3B9F" w:rsidP="007F3B9F">
            <w:pPr>
              <w:pStyle w:val="Texttabulky"/>
              <w:spacing w:after="0" w:line="240" w:lineRule="atLeast"/>
            </w:pPr>
            <w:r>
              <w:t>3-4</w:t>
            </w:r>
          </w:p>
        </w:tc>
        <w:tc>
          <w:tcPr>
            <w:tcW w:w="2835" w:type="dxa"/>
            <w:tcBorders>
              <w:top w:val="single" w:sz="6" w:space="0" w:color="auto"/>
              <w:left w:val="single" w:sz="6" w:space="0" w:color="auto"/>
              <w:bottom w:val="single" w:sz="6" w:space="0" w:color="auto"/>
              <w:right w:val="single" w:sz="6" w:space="0" w:color="auto"/>
            </w:tcBorders>
          </w:tcPr>
          <w:p w14:paraId="2E18A32F" w14:textId="77777777" w:rsidR="007F3B9F" w:rsidRDefault="007F3B9F" w:rsidP="007F3B9F">
            <w:pPr>
              <w:pStyle w:val="Zkladntext"/>
              <w:spacing w:after="0" w:line="240" w:lineRule="atLeast"/>
            </w:pPr>
          </w:p>
          <w:p w14:paraId="02391A6B" w14:textId="77777777" w:rsidR="007F3B9F" w:rsidRDefault="007F3B9F" w:rsidP="007F3B9F">
            <w:pPr>
              <w:pStyle w:val="Texttabulky"/>
              <w:spacing w:after="0" w:line="240" w:lineRule="atLeast"/>
            </w:pPr>
            <w:r>
              <w:t>v lese v souladu s  platným LHP</w:t>
            </w:r>
          </w:p>
          <w:p w14:paraId="63B73444" w14:textId="77777777" w:rsidR="007F3B9F" w:rsidRDefault="007F3B9F" w:rsidP="007F3B9F">
            <w:pPr>
              <w:pStyle w:val="Texttabulky"/>
              <w:spacing w:after="0" w:line="240" w:lineRule="atLeast"/>
            </w:pPr>
            <w:r>
              <w:t>údržba koryta toku a břehových porostů</w:t>
            </w:r>
          </w:p>
        </w:tc>
      </w:tr>
      <w:tr w:rsidR="007F3B9F" w14:paraId="3EB3350A" w14:textId="77777777" w:rsidTr="00BB63DF">
        <w:tc>
          <w:tcPr>
            <w:tcW w:w="993" w:type="dxa"/>
            <w:tcBorders>
              <w:top w:val="single" w:sz="6" w:space="0" w:color="auto"/>
              <w:left w:val="single" w:sz="6" w:space="0" w:color="auto"/>
              <w:bottom w:val="single" w:sz="6" w:space="0" w:color="auto"/>
              <w:right w:val="single" w:sz="6" w:space="0" w:color="auto"/>
            </w:tcBorders>
          </w:tcPr>
          <w:p w14:paraId="37016A1E" w14:textId="77777777" w:rsidR="007F3B9F" w:rsidRDefault="007F3B9F" w:rsidP="007F3B9F">
            <w:pPr>
              <w:pStyle w:val="Zkladntext"/>
              <w:spacing w:after="0" w:line="240" w:lineRule="atLeast"/>
            </w:pPr>
          </w:p>
          <w:p w14:paraId="4C50E3A7" w14:textId="77777777" w:rsidR="007F3B9F" w:rsidRDefault="007F3B9F" w:rsidP="007F3B9F">
            <w:pPr>
              <w:pStyle w:val="Texttabulky"/>
              <w:spacing w:after="0" w:line="240" w:lineRule="atLeast"/>
            </w:pPr>
            <w:r>
              <w:rPr>
                <w:b/>
                <w:bCs/>
                <w:sz w:val="22"/>
                <w:szCs w:val="22"/>
              </w:rPr>
              <w:t>3 - 31</w:t>
            </w:r>
          </w:p>
          <w:p w14:paraId="563A66F1"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198C0D43" w14:textId="77777777" w:rsidR="007F3B9F" w:rsidRDefault="007F3B9F" w:rsidP="007F3B9F">
            <w:pPr>
              <w:pStyle w:val="Texttabulky"/>
              <w:spacing w:after="0" w:line="240" w:lineRule="atLeast"/>
            </w:pPr>
            <w:r>
              <w:rPr>
                <w:b/>
                <w:bCs/>
                <w:sz w:val="20"/>
                <w:szCs w:val="20"/>
              </w:rPr>
              <w:t>L</w:t>
            </w:r>
          </w:p>
          <w:p w14:paraId="2CE5716C" w14:textId="77777777" w:rsidR="007F3B9F" w:rsidRDefault="007F3B9F" w:rsidP="007F3B9F">
            <w:pPr>
              <w:pStyle w:val="Zkladntext"/>
              <w:spacing w:after="0" w:line="240" w:lineRule="atLeast"/>
            </w:pPr>
          </w:p>
          <w:p w14:paraId="793D0AE8" w14:textId="77777777" w:rsidR="007F3B9F" w:rsidRDefault="007F3B9F" w:rsidP="007F3B9F">
            <w:pPr>
              <w:pStyle w:val="Texttabulky"/>
              <w:spacing w:after="0" w:line="240" w:lineRule="atLeast"/>
            </w:pPr>
            <w:r>
              <w:rPr>
                <w:sz w:val="20"/>
                <w:szCs w:val="20"/>
              </w:rPr>
              <w:t>SF/N</w:t>
            </w:r>
          </w:p>
        </w:tc>
        <w:tc>
          <w:tcPr>
            <w:tcW w:w="3402" w:type="dxa"/>
            <w:tcBorders>
              <w:top w:val="single" w:sz="6" w:space="0" w:color="auto"/>
              <w:left w:val="single" w:sz="6" w:space="0" w:color="auto"/>
              <w:bottom w:val="single" w:sz="6" w:space="0" w:color="auto"/>
              <w:right w:val="single" w:sz="6" w:space="0" w:color="auto"/>
            </w:tcBorders>
          </w:tcPr>
          <w:p w14:paraId="35D85BD8" w14:textId="77777777" w:rsidR="007F3B9F" w:rsidRDefault="007F3B9F" w:rsidP="007F3B9F">
            <w:pPr>
              <w:pStyle w:val="Texttabulky"/>
              <w:spacing w:after="0" w:line="240" w:lineRule="atLeast"/>
            </w:pPr>
            <w:r>
              <w:t xml:space="preserve">Bezejmenný přítok Labe s místy sporadickými břehovými porosty, v dolní polovině navržený kolem zastavěné části obce. </w:t>
            </w:r>
          </w:p>
        </w:tc>
        <w:tc>
          <w:tcPr>
            <w:tcW w:w="709" w:type="dxa"/>
            <w:tcBorders>
              <w:top w:val="single" w:sz="6" w:space="0" w:color="auto"/>
              <w:left w:val="single" w:sz="6" w:space="0" w:color="auto"/>
              <w:bottom w:val="single" w:sz="6" w:space="0" w:color="auto"/>
              <w:right w:val="single" w:sz="6" w:space="0" w:color="auto"/>
            </w:tcBorders>
          </w:tcPr>
          <w:p w14:paraId="48484728" w14:textId="77777777" w:rsidR="007F3B9F" w:rsidRDefault="007F3B9F" w:rsidP="007F3B9F">
            <w:pPr>
              <w:pStyle w:val="Zkladntext"/>
              <w:spacing w:after="0" w:line="240" w:lineRule="atLeast"/>
            </w:pPr>
          </w:p>
          <w:p w14:paraId="17DEB3A2" w14:textId="77777777" w:rsidR="007F3B9F" w:rsidRDefault="007F3B9F" w:rsidP="007F3B9F">
            <w:pPr>
              <w:pStyle w:val="Texttabulky"/>
              <w:spacing w:after="0" w:line="240" w:lineRule="atLeast"/>
            </w:pPr>
            <w:r>
              <w:t>15</w:t>
            </w:r>
          </w:p>
          <w:p w14:paraId="559E091E" w14:textId="77777777" w:rsidR="007F3B9F" w:rsidRDefault="007F3B9F" w:rsidP="007F3B9F">
            <w:pPr>
              <w:pStyle w:val="Zkladntext"/>
              <w:spacing w:after="0" w:line="240" w:lineRule="atLeast"/>
            </w:pPr>
          </w:p>
          <w:p w14:paraId="2AD0B7BD" w14:textId="77777777" w:rsidR="007F3B9F" w:rsidRDefault="007F3B9F" w:rsidP="007F3B9F">
            <w:pPr>
              <w:pStyle w:val="Texttabulky"/>
              <w:spacing w:after="0" w:line="240" w:lineRule="atLeast"/>
            </w:pPr>
            <w:r>
              <w:t>1700</w:t>
            </w:r>
          </w:p>
        </w:tc>
        <w:tc>
          <w:tcPr>
            <w:tcW w:w="567" w:type="dxa"/>
            <w:tcBorders>
              <w:top w:val="single" w:sz="6" w:space="0" w:color="auto"/>
              <w:left w:val="single" w:sz="6" w:space="0" w:color="auto"/>
              <w:bottom w:val="single" w:sz="6" w:space="0" w:color="auto"/>
              <w:right w:val="single" w:sz="6" w:space="0" w:color="auto"/>
            </w:tcBorders>
          </w:tcPr>
          <w:p w14:paraId="2425A075" w14:textId="77777777" w:rsidR="007F3B9F" w:rsidRDefault="007F3B9F" w:rsidP="007F3B9F">
            <w:pPr>
              <w:pStyle w:val="Zkladntext"/>
              <w:spacing w:after="0" w:line="240" w:lineRule="atLeast"/>
            </w:pPr>
          </w:p>
          <w:p w14:paraId="52897754" w14:textId="77777777" w:rsidR="007F3B9F" w:rsidRDefault="007F3B9F" w:rsidP="007F3B9F">
            <w:pPr>
              <w:pStyle w:val="Texttabulky"/>
              <w:spacing w:after="0" w:line="240" w:lineRule="atLeast"/>
            </w:pPr>
            <w:r>
              <w:t>1-3</w:t>
            </w:r>
          </w:p>
          <w:p w14:paraId="7EB3AEA6"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4E400E0A" w14:textId="77777777" w:rsidR="007F3B9F" w:rsidRDefault="007F3B9F" w:rsidP="007F3B9F">
            <w:pPr>
              <w:pStyle w:val="Zkladntext"/>
              <w:spacing w:after="0" w:line="240" w:lineRule="atLeast"/>
            </w:pPr>
          </w:p>
          <w:p w14:paraId="0A6779AA" w14:textId="77777777" w:rsidR="007F3B9F" w:rsidRDefault="007F3B9F" w:rsidP="007F3B9F">
            <w:pPr>
              <w:pStyle w:val="Texttabulky"/>
              <w:spacing w:after="0" w:line="240" w:lineRule="atLeast"/>
            </w:pPr>
            <w:r>
              <w:t>v horní části toku doplnění břehových a doprovodných porostů, v dolní části komplexní revitalizace toku.</w:t>
            </w:r>
          </w:p>
        </w:tc>
      </w:tr>
      <w:tr w:rsidR="007F3B9F" w14:paraId="12046500" w14:textId="77777777" w:rsidTr="00BB63DF">
        <w:tc>
          <w:tcPr>
            <w:tcW w:w="993" w:type="dxa"/>
            <w:tcBorders>
              <w:top w:val="single" w:sz="6" w:space="0" w:color="auto"/>
              <w:left w:val="single" w:sz="6" w:space="0" w:color="auto"/>
              <w:bottom w:val="single" w:sz="6" w:space="0" w:color="auto"/>
              <w:right w:val="single" w:sz="6" w:space="0" w:color="auto"/>
            </w:tcBorders>
          </w:tcPr>
          <w:p w14:paraId="7C06A901" w14:textId="77777777" w:rsidR="007F3B9F" w:rsidRDefault="007F3B9F" w:rsidP="007F3B9F">
            <w:pPr>
              <w:pStyle w:val="Zkladntext"/>
              <w:spacing w:after="0" w:line="240" w:lineRule="atLeast"/>
            </w:pPr>
          </w:p>
          <w:p w14:paraId="268E8C8B" w14:textId="77777777" w:rsidR="007F3B9F" w:rsidRDefault="007F3B9F" w:rsidP="007F3B9F">
            <w:pPr>
              <w:pStyle w:val="Texttabulky"/>
              <w:spacing w:after="0" w:line="240" w:lineRule="atLeast"/>
            </w:pPr>
            <w:r>
              <w:rPr>
                <w:b/>
                <w:bCs/>
                <w:sz w:val="22"/>
                <w:szCs w:val="22"/>
              </w:rPr>
              <w:t>5 -  31</w:t>
            </w:r>
          </w:p>
          <w:p w14:paraId="45B269AB"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688C8F4C" w14:textId="77777777" w:rsidR="007F3B9F" w:rsidRDefault="007F3B9F" w:rsidP="007F3B9F">
            <w:pPr>
              <w:pStyle w:val="Texttabulky"/>
              <w:spacing w:after="0" w:line="240" w:lineRule="atLeast"/>
            </w:pPr>
            <w:r>
              <w:rPr>
                <w:b/>
                <w:bCs/>
                <w:sz w:val="20"/>
                <w:szCs w:val="20"/>
              </w:rPr>
              <w:t>L</w:t>
            </w:r>
          </w:p>
          <w:p w14:paraId="73625011" w14:textId="77777777" w:rsidR="007F3B9F" w:rsidRDefault="007F3B9F" w:rsidP="007F3B9F">
            <w:pPr>
              <w:pStyle w:val="Zkladntext"/>
              <w:spacing w:after="0" w:line="240" w:lineRule="atLeast"/>
            </w:pPr>
          </w:p>
          <w:p w14:paraId="1DA686E0" w14:textId="77777777" w:rsidR="007F3B9F" w:rsidRDefault="007F3B9F" w:rsidP="007F3B9F">
            <w:pPr>
              <w:pStyle w:val="Texttabulky"/>
              <w:spacing w:after="0" w:line="240" w:lineRule="atLeast"/>
            </w:pPr>
            <w:r>
              <w:rPr>
                <w:sz w:val="20"/>
                <w:szCs w:val="20"/>
              </w:rPr>
              <w:t>F/N</w:t>
            </w:r>
          </w:p>
        </w:tc>
        <w:tc>
          <w:tcPr>
            <w:tcW w:w="3402" w:type="dxa"/>
            <w:tcBorders>
              <w:top w:val="single" w:sz="6" w:space="0" w:color="auto"/>
              <w:left w:val="single" w:sz="6" w:space="0" w:color="auto"/>
              <w:bottom w:val="single" w:sz="6" w:space="0" w:color="auto"/>
              <w:right w:val="single" w:sz="6" w:space="0" w:color="auto"/>
            </w:tcBorders>
          </w:tcPr>
          <w:p w14:paraId="18910C08" w14:textId="77777777" w:rsidR="007F3B9F" w:rsidRDefault="007F3B9F" w:rsidP="007F3B9F">
            <w:pPr>
              <w:pStyle w:val="Texttabulky"/>
              <w:spacing w:after="0" w:line="240" w:lineRule="atLeast"/>
            </w:pPr>
            <w:r>
              <w:t xml:space="preserve">Bezejmenný přítok Labe s břehovými a doprovodnými porosty, v dolní polovině navržený v zastavěné části obce. </w:t>
            </w:r>
          </w:p>
        </w:tc>
        <w:tc>
          <w:tcPr>
            <w:tcW w:w="709" w:type="dxa"/>
            <w:tcBorders>
              <w:top w:val="single" w:sz="6" w:space="0" w:color="auto"/>
              <w:left w:val="single" w:sz="6" w:space="0" w:color="auto"/>
              <w:bottom w:val="single" w:sz="6" w:space="0" w:color="auto"/>
              <w:right w:val="single" w:sz="6" w:space="0" w:color="auto"/>
            </w:tcBorders>
          </w:tcPr>
          <w:p w14:paraId="0F873B6B" w14:textId="77777777" w:rsidR="007F3B9F" w:rsidRDefault="007F3B9F" w:rsidP="007F3B9F">
            <w:pPr>
              <w:pStyle w:val="Zkladntext"/>
              <w:spacing w:after="0" w:line="240" w:lineRule="atLeast"/>
            </w:pPr>
          </w:p>
          <w:p w14:paraId="51FF274D" w14:textId="77777777" w:rsidR="007F3B9F" w:rsidRDefault="007F3B9F" w:rsidP="007F3B9F">
            <w:pPr>
              <w:pStyle w:val="Texttabulky"/>
              <w:spacing w:after="0" w:line="240" w:lineRule="atLeast"/>
            </w:pPr>
            <w:r>
              <w:t>15</w:t>
            </w:r>
          </w:p>
          <w:p w14:paraId="44938DFD" w14:textId="77777777" w:rsidR="007F3B9F" w:rsidRDefault="007F3B9F" w:rsidP="007F3B9F">
            <w:pPr>
              <w:pStyle w:val="Zkladntext"/>
              <w:spacing w:after="0" w:line="240" w:lineRule="atLeast"/>
            </w:pPr>
          </w:p>
          <w:p w14:paraId="6BBAF4A8" w14:textId="77777777" w:rsidR="007F3B9F" w:rsidRDefault="007F3B9F" w:rsidP="007F3B9F">
            <w:pPr>
              <w:pStyle w:val="Texttabulky"/>
              <w:spacing w:after="0" w:line="240" w:lineRule="atLeast"/>
            </w:pPr>
            <w:r>
              <w:t>1900</w:t>
            </w:r>
          </w:p>
        </w:tc>
        <w:tc>
          <w:tcPr>
            <w:tcW w:w="567" w:type="dxa"/>
            <w:tcBorders>
              <w:top w:val="single" w:sz="6" w:space="0" w:color="auto"/>
              <w:left w:val="single" w:sz="6" w:space="0" w:color="auto"/>
              <w:bottom w:val="single" w:sz="6" w:space="0" w:color="auto"/>
              <w:right w:val="single" w:sz="6" w:space="0" w:color="auto"/>
            </w:tcBorders>
          </w:tcPr>
          <w:p w14:paraId="7E48B163" w14:textId="77777777" w:rsidR="007F3B9F" w:rsidRDefault="007F3B9F" w:rsidP="007F3B9F">
            <w:pPr>
              <w:pStyle w:val="Zkladntext"/>
              <w:spacing w:after="0" w:line="240" w:lineRule="atLeast"/>
            </w:pPr>
          </w:p>
          <w:p w14:paraId="45CA1395" w14:textId="77777777" w:rsidR="007F3B9F" w:rsidRDefault="007F3B9F" w:rsidP="007F3B9F">
            <w:pPr>
              <w:pStyle w:val="Texttabulky"/>
              <w:spacing w:after="0" w:line="240" w:lineRule="atLeast"/>
            </w:pPr>
            <w:r>
              <w:t>1-4</w:t>
            </w:r>
          </w:p>
          <w:p w14:paraId="745E1544"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5862BF3F" w14:textId="77777777" w:rsidR="007F3B9F" w:rsidRDefault="007F3B9F" w:rsidP="007F3B9F">
            <w:pPr>
              <w:pStyle w:val="Zkladntext"/>
              <w:spacing w:after="0" w:line="240" w:lineRule="atLeast"/>
            </w:pPr>
          </w:p>
          <w:p w14:paraId="5F4FC34E" w14:textId="77777777" w:rsidR="007F3B9F" w:rsidRDefault="007F3B9F" w:rsidP="007F3B9F">
            <w:pPr>
              <w:pStyle w:val="Texttabulky"/>
              <w:spacing w:after="0" w:line="240" w:lineRule="atLeast"/>
            </w:pPr>
            <w:r>
              <w:t>v horní části toku údržba břehových a doprovodných porostů, v dolní části dílčí revitalizace toku.</w:t>
            </w:r>
          </w:p>
        </w:tc>
      </w:tr>
      <w:tr w:rsidR="007F3B9F" w14:paraId="5A86244F" w14:textId="77777777" w:rsidTr="00BB63DF">
        <w:tc>
          <w:tcPr>
            <w:tcW w:w="993" w:type="dxa"/>
            <w:tcBorders>
              <w:top w:val="single" w:sz="6" w:space="0" w:color="auto"/>
              <w:left w:val="single" w:sz="6" w:space="0" w:color="auto"/>
              <w:bottom w:val="single" w:sz="6" w:space="0" w:color="auto"/>
              <w:right w:val="single" w:sz="6" w:space="0" w:color="auto"/>
            </w:tcBorders>
          </w:tcPr>
          <w:p w14:paraId="4DA3666C" w14:textId="77777777" w:rsidR="007F3B9F" w:rsidRDefault="007F3B9F" w:rsidP="007F3B9F">
            <w:pPr>
              <w:pStyle w:val="Zkladntext"/>
              <w:spacing w:after="0" w:line="240" w:lineRule="atLeast"/>
            </w:pPr>
          </w:p>
          <w:p w14:paraId="109D2AA2" w14:textId="77777777" w:rsidR="007F3B9F" w:rsidRDefault="007F3B9F" w:rsidP="007F3B9F">
            <w:pPr>
              <w:pStyle w:val="Texttabulky"/>
              <w:spacing w:after="0" w:line="240" w:lineRule="atLeast"/>
            </w:pPr>
            <w:r>
              <w:rPr>
                <w:b/>
                <w:bCs/>
                <w:sz w:val="22"/>
                <w:szCs w:val="22"/>
              </w:rPr>
              <w:t>6 - 33</w:t>
            </w:r>
          </w:p>
          <w:p w14:paraId="787943D1"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5F2BA741" w14:textId="77777777" w:rsidR="007F3B9F" w:rsidRDefault="007F3B9F" w:rsidP="007F3B9F">
            <w:pPr>
              <w:pStyle w:val="Texttabulky"/>
              <w:spacing w:after="0" w:line="240" w:lineRule="atLeast"/>
            </w:pPr>
            <w:r>
              <w:rPr>
                <w:b/>
                <w:bCs/>
                <w:sz w:val="20"/>
                <w:szCs w:val="20"/>
              </w:rPr>
              <w:t>L</w:t>
            </w:r>
          </w:p>
          <w:p w14:paraId="28BC4C0B" w14:textId="77777777" w:rsidR="007F3B9F" w:rsidRDefault="007F3B9F" w:rsidP="007F3B9F">
            <w:pPr>
              <w:pStyle w:val="Zkladntext"/>
              <w:spacing w:after="0" w:line="240" w:lineRule="atLeast"/>
            </w:pPr>
          </w:p>
          <w:p w14:paraId="5ABE1D42" w14:textId="77777777" w:rsidR="007F3B9F" w:rsidRDefault="007F3B9F" w:rsidP="007F3B9F">
            <w:pPr>
              <w:pStyle w:val="Texttabulky"/>
              <w:spacing w:after="0" w:line="240" w:lineRule="atLeast"/>
            </w:pPr>
            <w:r>
              <w:rPr>
                <w:sz w:val="20"/>
                <w:szCs w:val="20"/>
              </w:rPr>
              <w:t>F/N</w:t>
            </w:r>
          </w:p>
        </w:tc>
        <w:tc>
          <w:tcPr>
            <w:tcW w:w="3402" w:type="dxa"/>
            <w:tcBorders>
              <w:top w:val="single" w:sz="6" w:space="0" w:color="auto"/>
              <w:left w:val="single" w:sz="6" w:space="0" w:color="auto"/>
              <w:bottom w:val="single" w:sz="6" w:space="0" w:color="auto"/>
              <w:right w:val="single" w:sz="6" w:space="0" w:color="auto"/>
            </w:tcBorders>
          </w:tcPr>
          <w:p w14:paraId="4A754FF5" w14:textId="77777777" w:rsidR="007F3B9F" w:rsidRDefault="007F3B9F" w:rsidP="007F3B9F">
            <w:pPr>
              <w:pStyle w:val="Texttabulky"/>
              <w:spacing w:after="0" w:line="240" w:lineRule="atLeast"/>
            </w:pPr>
            <w:r>
              <w:t xml:space="preserve">Bezejmenný přítok Labe s bohatými břehovými a doprovodnými porosty, v dolní části navržený v zastavěné části obce. </w:t>
            </w:r>
          </w:p>
        </w:tc>
        <w:tc>
          <w:tcPr>
            <w:tcW w:w="709" w:type="dxa"/>
            <w:tcBorders>
              <w:top w:val="single" w:sz="6" w:space="0" w:color="auto"/>
              <w:left w:val="single" w:sz="6" w:space="0" w:color="auto"/>
              <w:bottom w:val="single" w:sz="6" w:space="0" w:color="auto"/>
              <w:right w:val="single" w:sz="6" w:space="0" w:color="auto"/>
            </w:tcBorders>
          </w:tcPr>
          <w:p w14:paraId="118941D3" w14:textId="77777777" w:rsidR="007F3B9F" w:rsidRDefault="007F3B9F" w:rsidP="007F3B9F">
            <w:pPr>
              <w:pStyle w:val="Zkladntext"/>
              <w:spacing w:after="0" w:line="240" w:lineRule="atLeast"/>
            </w:pPr>
          </w:p>
          <w:p w14:paraId="59AEEAA2" w14:textId="77777777" w:rsidR="007F3B9F" w:rsidRDefault="007F3B9F" w:rsidP="007F3B9F">
            <w:pPr>
              <w:pStyle w:val="Texttabulky"/>
              <w:spacing w:after="0" w:line="240" w:lineRule="atLeast"/>
            </w:pPr>
            <w:r>
              <w:t>15</w:t>
            </w:r>
          </w:p>
          <w:p w14:paraId="266C1E6C" w14:textId="77777777" w:rsidR="007F3B9F" w:rsidRDefault="007F3B9F" w:rsidP="007F3B9F">
            <w:pPr>
              <w:pStyle w:val="Zkladntext"/>
              <w:spacing w:after="0" w:line="240" w:lineRule="atLeast"/>
            </w:pPr>
          </w:p>
          <w:p w14:paraId="1CD7D959" w14:textId="77777777" w:rsidR="007F3B9F" w:rsidRDefault="007F3B9F" w:rsidP="007F3B9F">
            <w:pPr>
              <w:pStyle w:val="Texttabulky"/>
              <w:spacing w:after="0" w:line="240" w:lineRule="atLeast"/>
            </w:pPr>
            <w:r>
              <w:t>1300</w:t>
            </w:r>
          </w:p>
        </w:tc>
        <w:tc>
          <w:tcPr>
            <w:tcW w:w="567" w:type="dxa"/>
            <w:tcBorders>
              <w:top w:val="single" w:sz="6" w:space="0" w:color="auto"/>
              <w:left w:val="single" w:sz="6" w:space="0" w:color="auto"/>
              <w:bottom w:val="single" w:sz="6" w:space="0" w:color="auto"/>
              <w:right w:val="single" w:sz="6" w:space="0" w:color="auto"/>
            </w:tcBorders>
          </w:tcPr>
          <w:p w14:paraId="1FB9E315" w14:textId="77777777" w:rsidR="007F3B9F" w:rsidRDefault="007F3B9F" w:rsidP="007F3B9F">
            <w:pPr>
              <w:pStyle w:val="Zkladntext"/>
              <w:spacing w:after="0" w:line="240" w:lineRule="atLeast"/>
            </w:pPr>
          </w:p>
          <w:p w14:paraId="39495580" w14:textId="77777777" w:rsidR="007F3B9F" w:rsidRDefault="007F3B9F" w:rsidP="007F3B9F">
            <w:pPr>
              <w:pStyle w:val="Texttabulky"/>
              <w:spacing w:after="0" w:line="240" w:lineRule="atLeast"/>
            </w:pPr>
            <w:r>
              <w:t>0-4</w:t>
            </w:r>
          </w:p>
          <w:p w14:paraId="4D61E42B"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3F7B2933" w14:textId="77777777" w:rsidR="007F3B9F" w:rsidRDefault="007F3B9F" w:rsidP="007F3B9F">
            <w:pPr>
              <w:pStyle w:val="Zkladntext"/>
              <w:spacing w:after="0" w:line="240" w:lineRule="atLeast"/>
            </w:pPr>
          </w:p>
          <w:p w14:paraId="72E872B9" w14:textId="77777777" w:rsidR="007F3B9F" w:rsidRDefault="007F3B9F" w:rsidP="007F3B9F">
            <w:pPr>
              <w:pStyle w:val="Texttabulky"/>
              <w:spacing w:after="0" w:line="240" w:lineRule="atLeast"/>
            </w:pPr>
            <w:r>
              <w:t>v horní části toku údržba břehových a doprovodných porostů, v dolní části dílčí revitalizace toku.</w:t>
            </w:r>
          </w:p>
        </w:tc>
      </w:tr>
      <w:tr w:rsidR="007F3B9F" w14:paraId="2CB9B343" w14:textId="77777777" w:rsidTr="00BB63DF">
        <w:tc>
          <w:tcPr>
            <w:tcW w:w="993" w:type="dxa"/>
            <w:tcBorders>
              <w:top w:val="single" w:sz="6" w:space="0" w:color="auto"/>
              <w:left w:val="single" w:sz="6" w:space="0" w:color="auto"/>
              <w:bottom w:val="single" w:sz="6" w:space="0" w:color="auto"/>
              <w:right w:val="single" w:sz="6" w:space="0" w:color="auto"/>
            </w:tcBorders>
          </w:tcPr>
          <w:p w14:paraId="672BC356" w14:textId="77777777" w:rsidR="007F3B9F" w:rsidRDefault="007F3B9F" w:rsidP="007F3B9F">
            <w:pPr>
              <w:pStyle w:val="Zkladntext"/>
              <w:spacing w:after="0" w:line="240" w:lineRule="atLeast"/>
            </w:pPr>
          </w:p>
          <w:p w14:paraId="14F1B5E0" w14:textId="77777777" w:rsidR="007F3B9F" w:rsidRDefault="007F3B9F" w:rsidP="007F3B9F">
            <w:pPr>
              <w:pStyle w:val="Texttabulky"/>
              <w:spacing w:after="0" w:line="240" w:lineRule="atLeast"/>
            </w:pPr>
            <w:r>
              <w:rPr>
                <w:b/>
                <w:bCs/>
                <w:sz w:val="22"/>
                <w:szCs w:val="22"/>
              </w:rPr>
              <w:t xml:space="preserve">7- </w:t>
            </w:r>
          </w:p>
          <w:p w14:paraId="17DB20FA"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C8CDF0D" w14:textId="77777777" w:rsidR="007F3B9F" w:rsidRDefault="007F3B9F" w:rsidP="007F3B9F">
            <w:pPr>
              <w:pStyle w:val="Texttabulky"/>
              <w:spacing w:after="0" w:line="240" w:lineRule="atLeast"/>
            </w:pPr>
            <w:r>
              <w:rPr>
                <w:b/>
                <w:bCs/>
                <w:sz w:val="20"/>
                <w:szCs w:val="20"/>
              </w:rPr>
              <w:t>L</w:t>
            </w:r>
          </w:p>
          <w:p w14:paraId="5355D375" w14:textId="77777777" w:rsidR="007F3B9F" w:rsidRDefault="007F3B9F" w:rsidP="007F3B9F">
            <w:pPr>
              <w:pStyle w:val="Zkladntext"/>
              <w:spacing w:after="0" w:line="240" w:lineRule="atLeast"/>
            </w:pPr>
          </w:p>
          <w:p w14:paraId="1E9E1243" w14:textId="77777777" w:rsidR="007F3B9F" w:rsidRDefault="007F3B9F" w:rsidP="007F3B9F">
            <w:pPr>
              <w:pStyle w:val="Texttabulky"/>
              <w:spacing w:after="0" w:line="240" w:lineRule="atLeast"/>
            </w:pPr>
            <w:r>
              <w:rPr>
                <w:sz w:val="20"/>
                <w:szCs w:val="20"/>
              </w:rPr>
              <w:t xml:space="preserve">F </w:t>
            </w:r>
          </w:p>
        </w:tc>
        <w:tc>
          <w:tcPr>
            <w:tcW w:w="3402" w:type="dxa"/>
            <w:tcBorders>
              <w:top w:val="single" w:sz="6" w:space="0" w:color="auto"/>
              <w:left w:val="single" w:sz="6" w:space="0" w:color="auto"/>
              <w:bottom w:val="single" w:sz="6" w:space="0" w:color="auto"/>
              <w:right w:val="single" w:sz="6" w:space="0" w:color="auto"/>
            </w:tcBorders>
          </w:tcPr>
          <w:p w14:paraId="312F5741" w14:textId="77777777" w:rsidR="007F3B9F" w:rsidRDefault="007F3B9F" w:rsidP="007F3B9F">
            <w:pPr>
              <w:pStyle w:val="Texttabulky"/>
              <w:spacing w:after="0" w:line="240" w:lineRule="atLeast"/>
            </w:pPr>
            <w:r>
              <w:t xml:space="preserve">Rychnovský potok s bohatými břehovými a doprovodnými porosty lesního i nelesního charakteru. V dřevinné skladbě dominuje BK, JS, OL, JIV, JV, DB, BR, HB..    </w:t>
            </w:r>
          </w:p>
        </w:tc>
        <w:tc>
          <w:tcPr>
            <w:tcW w:w="709" w:type="dxa"/>
            <w:tcBorders>
              <w:top w:val="single" w:sz="6" w:space="0" w:color="auto"/>
              <w:left w:val="single" w:sz="6" w:space="0" w:color="auto"/>
              <w:bottom w:val="single" w:sz="6" w:space="0" w:color="auto"/>
              <w:right w:val="single" w:sz="6" w:space="0" w:color="auto"/>
            </w:tcBorders>
          </w:tcPr>
          <w:p w14:paraId="003313F6" w14:textId="77777777" w:rsidR="007F3B9F" w:rsidRDefault="007F3B9F" w:rsidP="007F3B9F">
            <w:pPr>
              <w:pStyle w:val="Zkladntext"/>
              <w:spacing w:after="0" w:line="240" w:lineRule="atLeast"/>
            </w:pPr>
          </w:p>
          <w:p w14:paraId="42917273" w14:textId="77777777" w:rsidR="007F3B9F" w:rsidRDefault="007F3B9F" w:rsidP="007F3B9F">
            <w:pPr>
              <w:pStyle w:val="Texttabulky"/>
              <w:spacing w:after="0" w:line="240" w:lineRule="atLeast"/>
            </w:pPr>
            <w:r>
              <w:t>20</w:t>
            </w:r>
          </w:p>
          <w:p w14:paraId="60E07474" w14:textId="77777777" w:rsidR="007F3B9F" w:rsidRDefault="007F3B9F" w:rsidP="007F3B9F">
            <w:pPr>
              <w:pStyle w:val="Zkladntext"/>
              <w:spacing w:after="0" w:line="240" w:lineRule="atLeast"/>
            </w:pPr>
          </w:p>
          <w:p w14:paraId="1DE063BA" w14:textId="77777777" w:rsidR="007F3B9F" w:rsidRDefault="007F3B9F" w:rsidP="007F3B9F">
            <w:pPr>
              <w:pStyle w:val="Texttabulky"/>
              <w:spacing w:after="0" w:line="240" w:lineRule="atLeast"/>
            </w:pPr>
            <w:r>
              <w:t>500</w:t>
            </w:r>
          </w:p>
        </w:tc>
        <w:tc>
          <w:tcPr>
            <w:tcW w:w="567" w:type="dxa"/>
            <w:tcBorders>
              <w:top w:val="single" w:sz="6" w:space="0" w:color="auto"/>
              <w:left w:val="single" w:sz="6" w:space="0" w:color="auto"/>
              <w:bottom w:val="single" w:sz="6" w:space="0" w:color="auto"/>
              <w:right w:val="single" w:sz="6" w:space="0" w:color="auto"/>
            </w:tcBorders>
          </w:tcPr>
          <w:p w14:paraId="445EAB64" w14:textId="77777777" w:rsidR="007F3B9F" w:rsidRDefault="007F3B9F" w:rsidP="007F3B9F">
            <w:pPr>
              <w:pStyle w:val="Zkladntext"/>
              <w:spacing w:after="0" w:line="240" w:lineRule="atLeast"/>
            </w:pPr>
          </w:p>
          <w:p w14:paraId="7EE1E67A" w14:textId="77777777" w:rsidR="007F3B9F" w:rsidRDefault="007F3B9F" w:rsidP="007F3B9F">
            <w:pPr>
              <w:pStyle w:val="Texttabulky"/>
              <w:spacing w:after="0" w:line="240" w:lineRule="atLeast"/>
            </w:pPr>
            <w:r>
              <w:t xml:space="preserve"> 4</w:t>
            </w:r>
          </w:p>
          <w:p w14:paraId="3B53DDA4"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1B6AB838" w14:textId="77777777" w:rsidR="007F3B9F" w:rsidRDefault="007F3B9F" w:rsidP="007F3B9F">
            <w:pPr>
              <w:pStyle w:val="Zkladntext"/>
              <w:spacing w:after="0" w:line="240" w:lineRule="atLeast"/>
            </w:pPr>
          </w:p>
          <w:p w14:paraId="6829F570" w14:textId="77777777" w:rsidR="007F3B9F" w:rsidRDefault="007F3B9F" w:rsidP="007F3B9F">
            <w:pPr>
              <w:pStyle w:val="Texttabulky"/>
              <w:spacing w:after="0" w:line="240" w:lineRule="atLeast"/>
            </w:pPr>
            <w:r>
              <w:t xml:space="preserve">  údržba břehových a doprovodných porostů </w:t>
            </w:r>
          </w:p>
        </w:tc>
      </w:tr>
      <w:tr w:rsidR="007F3B9F" w14:paraId="3F15F22E" w14:textId="77777777" w:rsidTr="00BB63DF">
        <w:tc>
          <w:tcPr>
            <w:tcW w:w="993" w:type="dxa"/>
            <w:tcBorders>
              <w:top w:val="single" w:sz="6" w:space="0" w:color="auto"/>
              <w:left w:val="single" w:sz="6" w:space="0" w:color="auto"/>
              <w:bottom w:val="single" w:sz="6" w:space="0" w:color="auto"/>
              <w:right w:val="single" w:sz="6" w:space="0" w:color="auto"/>
            </w:tcBorders>
          </w:tcPr>
          <w:p w14:paraId="6B1EE88E" w14:textId="77777777" w:rsidR="007F3B9F" w:rsidRDefault="007F3B9F" w:rsidP="007F3B9F">
            <w:pPr>
              <w:pStyle w:val="Zkladntext"/>
              <w:spacing w:after="0" w:line="240" w:lineRule="atLeast"/>
            </w:pPr>
          </w:p>
          <w:p w14:paraId="1BCC79E9" w14:textId="77777777" w:rsidR="007F3B9F" w:rsidRDefault="007F3B9F" w:rsidP="007F3B9F">
            <w:pPr>
              <w:pStyle w:val="Texttabulky"/>
              <w:spacing w:after="0" w:line="240" w:lineRule="atLeast"/>
            </w:pPr>
            <w:r>
              <w:rPr>
                <w:b/>
                <w:bCs/>
                <w:sz w:val="22"/>
                <w:szCs w:val="22"/>
              </w:rPr>
              <w:t xml:space="preserve">4 - </w:t>
            </w:r>
          </w:p>
          <w:p w14:paraId="0E6DAFE5"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2101AC46" w14:textId="77777777" w:rsidR="007F3B9F" w:rsidRDefault="007F3B9F" w:rsidP="007F3B9F">
            <w:pPr>
              <w:pStyle w:val="Texttabulky"/>
              <w:spacing w:after="0" w:line="240" w:lineRule="atLeast"/>
            </w:pPr>
            <w:r>
              <w:rPr>
                <w:b/>
                <w:bCs/>
                <w:sz w:val="20"/>
                <w:szCs w:val="20"/>
              </w:rPr>
              <w:t>L</w:t>
            </w:r>
          </w:p>
          <w:p w14:paraId="583AC93A" w14:textId="77777777" w:rsidR="007F3B9F" w:rsidRDefault="007F3B9F" w:rsidP="007F3B9F">
            <w:pPr>
              <w:pStyle w:val="Texttabulky"/>
              <w:spacing w:after="0" w:line="240" w:lineRule="atLeast"/>
            </w:pPr>
            <w:r>
              <w:rPr>
                <w:sz w:val="20"/>
                <w:szCs w:val="20"/>
              </w:rPr>
              <w:t>F/N</w:t>
            </w:r>
          </w:p>
        </w:tc>
        <w:tc>
          <w:tcPr>
            <w:tcW w:w="3402" w:type="dxa"/>
            <w:tcBorders>
              <w:top w:val="single" w:sz="6" w:space="0" w:color="auto"/>
              <w:left w:val="single" w:sz="6" w:space="0" w:color="auto"/>
              <w:bottom w:val="single" w:sz="6" w:space="0" w:color="auto"/>
              <w:right w:val="single" w:sz="6" w:space="0" w:color="auto"/>
            </w:tcBorders>
          </w:tcPr>
          <w:p w14:paraId="6246A111" w14:textId="77777777" w:rsidR="007F3B9F" w:rsidRDefault="007F3B9F" w:rsidP="007F3B9F">
            <w:pPr>
              <w:pStyle w:val="Texttabulky"/>
              <w:spacing w:after="0" w:line="240" w:lineRule="atLeast"/>
            </w:pPr>
            <w:r>
              <w:t xml:space="preserve">Lokální biokoridor vymezený po enklávách lesních i nelesních společenstev. V tomto úseku prochází bukovými a smíšenými </w:t>
            </w:r>
            <w:r>
              <w:lastRenderedPageBreak/>
              <w:t>porosty ve 3. lvs. V jeho J části je navržen přes ornou půdu.</w:t>
            </w:r>
          </w:p>
        </w:tc>
        <w:tc>
          <w:tcPr>
            <w:tcW w:w="709" w:type="dxa"/>
            <w:tcBorders>
              <w:top w:val="single" w:sz="6" w:space="0" w:color="auto"/>
              <w:left w:val="single" w:sz="6" w:space="0" w:color="auto"/>
              <w:bottom w:val="single" w:sz="6" w:space="0" w:color="auto"/>
              <w:right w:val="single" w:sz="6" w:space="0" w:color="auto"/>
            </w:tcBorders>
          </w:tcPr>
          <w:p w14:paraId="4A9DF1B3" w14:textId="77777777" w:rsidR="007F3B9F" w:rsidRDefault="007F3B9F" w:rsidP="007F3B9F">
            <w:pPr>
              <w:pStyle w:val="Zkladntext"/>
              <w:spacing w:after="0" w:line="240" w:lineRule="atLeast"/>
            </w:pPr>
          </w:p>
          <w:p w14:paraId="284E48C7" w14:textId="77777777" w:rsidR="007F3B9F" w:rsidRDefault="007F3B9F" w:rsidP="007F3B9F">
            <w:pPr>
              <w:pStyle w:val="Texttabulky"/>
              <w:spacing w:after="0" w:line="240" w:lineRule="atLeast"/>
            </w:pPr>
            <w:r>
              <w:t>20</w:t>
            </w:r>
          </w:p>
          <w:p w14:paraId="5E4AD195" w14:textId="77777777" w:rsidR="007F3B9F" w:rsidRDefault="007F3B9F" w:rsidP="007F3B9F">
            <w:pPr>
              <w:pStyle w:val="Texttabulky"/>
              <w:spacing w:after="0" w:line="240" w:lineRule="atLeast"/>
            </w:pPr>
            <w:r>
              <w:t>1500</w:t>
            </w:r>
          </w:p>
        </w:tc>
        <w:tc>
          <w:tcPr>
            <w:tcW w:w="567" w:type="dxa"/>
            <w:tcBorders>
              <w:top w:val="single" w:sz="6" w:space="0" w:color="auto"/>
              <w:left w:val="single" w:sz="6" w:space="0" w:color="auto"/>
              <w:bottom w:val="single" w:sz="6" w:space="0" w:color="auto"/>
              <w:right w:val="single" w:sz="6" w:space="0" w:color="auto"/>
            </w:tcBorders>
          </w:tcPr>
          <w:p w14:paraId="7757326B" w14:textId="77777777" w:rsidR="007F3B9F" w:rsidRDefault="007F3B9F" w:rsidP="007F3B9F">
            <w:pPr>
              <w:pStyle w:val="Zkladntext"/>
              <w:spacing w:after="0" w:line="240" w:lineRule="atLeast"/>
            </w:pPr>
          </w:p>
          <w:p w14:paraId="67362549" w14:textId="77777777" w:rsidR="007F3B9F" w:rsidRDefault="007F3B9F" w:rsidP="007F3B9F">
            <w:pPr>
              <w:pStyle w:val="Texttabulky"/>
              <w:spacing w:after="0" w:line="240" w:lineRule="atLeast"/>
            </w:pPr>
            <w:r>
              <w:t>4(1)</w:t>
            </w:r>
          </w:p>
        </w:tc>
        <w:tc>
          <w:tcPr>
            <w:tcW w:w="2835" w:type="dxa"/>
            <w:tcBorders>
              <w:top w:val="single" w:sz="6" w:space="0" w:color="auto"/>
              <w:left w:val="single" w:sz="6" w:space="0" w:color="auto"/>
              <w:bottom w:val="single" w:sz="6" w:space="0" w:color="auto"/>
              <w:right w:val="single" w:sz="6" w:space="0" w:color="auto"/>
            </w:tcBorders>
          </w:tcPr>
          <w:p w14:paraId="23414972" w14:textId="77777777" w:rsidR="007F3B9F" w:rsidRDefault="007F3B9F" w:rsidP="007F3B9F">
            <w:pPr>
              <w:pStyle w:val="Zkladntext"/>
              <w:spacing w:after="0" w:line="240" w:lineRule="atLeast"/>
            </w:pPr>
          </w:p>
          <w:p w14:paraId="1AAB71C8" w14:textId="77777777" w:rsidR="007F3B9F" w:rsidRDefault="007F3B9F" w:rsidP="007F3B9F">
            <w:pPr>
              <w:pStyle w:val="Texttabulky"/>
              <w:spacing w:after="0" w:line="240" w:lineRule="atLeast"/>
            </w:pPr>
            <w:r>
              <w:t>v lesích</w:t>
            </w:r>
          </w:p>
          <w:p w14:paraId="3E38D78E" w14:textId="77777777" w:rsidR="007F3B9F" w:rsidRDefault="007F3B9F" w:rsidP="007F3B9F">
            <w:pPr>
              <w:pStyle w:val="Texttabulky"/>
              <w:spacing w:after="0" w:line="240" w:lineRule="atLeast"/>
            </w:pPr>
            <w:r>
              <w:t>v souladu s  platným LHP</w:t>
            </w:r>
          </w:p>
          <w:p w14:paraId="25B22A85" w14:textId="77777777" w:rsidR="007F3B9F" w:rsidRDefault="007F3B9F" w:rsidP="007F3B9F">
            <w:pPr>
              <w:pStyle w:val="Texttabulky"/>
              <w:spacing w:after="0" w:line="240" w:lineRule="atLeast"/>
            </w:pPr>
            <w:r>
              <w:lastRenderedPageBreak/>
              <w:t>v navržené části založení liniového prvku s dřevinami stanovištně příslušnými</w:t>
            </w:r>
          </w:p>
        </w:tc>
      </w:tr>
      <w:tr w:rsidR="007F3B9F" w14:paraId="3E080295" w14:textId="77777777" w:rsidTr="00BB63DF">
        <w:tc>
          <w:tcPr>
            <w:tcW w:w="993" w:type="dxa"/>
            <w:tcBorders>
              <w:top w:val="single" w:sz="6" w:space="0" w:color="auto"/>
              <w:left w:val="single" w:sz="6" w:space="0" w:color="auto"/>
              <w:bottom w:val="single" w:sz="6" w:space="0" w:color="auto"/>
              <w:right w:val="single" w:sz="6" w:space="0" w:color="auto"/>
            </w:tcBorders>
          </w:tcPr>
          <w:p w14:paraId="47F89B96" w14:textId="77777777" w:rsidR="007F3B9F" w:rsidRDefault="007F3B9F" w:rsidP="007F3B9F">
            <w:pPr>
              <w:pStyle w:val="Zkladntext"/>
              <w:spacing w:after="0" w:line="240" w:lineRule="atLeast"/>
            </w:pPr>
          </w:p>
          <w:p w14:paraId="2775B145" w14:textId="77777777" w:rsidR="007F3B9F" w:rsidRDefault="007F3B9F" w:rsidP="007F3B9F">
            <w:pPr>
              <w:pStyle w:val="Texttabulky"/>
              <w:spacing w:after="0" w:line="240" w:lineRule="atLeast"/>
            </w:pPr>
            <w:r>
              <w:rPr>
                <w:b/>
                <w:bCs/>
                <w:sz w:val="22"/>
                <w:szCs w:val="22"/>
              </w:rPr>
              <w:t>9 - 31</w:t>
            </w:r>
          </w:p>
          <w:p w14:paraId="691E6D7E"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F5B7B46" w14:textId="77777777" w:rsidR="007F3B9F" w:rsidRDefault="007F3B9F" w:rsidP="007F3B9F">
            <w:pPr>
              <w:pStyle w:val="Texttabulky"/>
              <w:spacing w:after="0" w:line="240" w:lineRule="atLeast"/>
            </w:pPr>
            <w:r>
              <w:rPr>
                <w:b/>
                <w:bCs/>
                <w:sz w:val="20"/>
                <w:szCs w:val="20"/>
              </w:rPr>
              <w:t>L</w:t>
            </w:r>
          </w:p>
          <w:p w14:paraId="039519FB" w14:textId="77777777" w:rsidR="007F3B9F" w:rsidRDefault="007F3B9F" w:rsidP="007F3B9F">
            <w:pPr>
              <w:pStyle w:val="Zkladntext"/>
              <w:spacing w:after="0" w:line="240" w:lineRule="atLeast"/>
            </w:pPr>
          </w:p>
          <w:p w14:paraId="0A1254BB" w14:textId="77777777" w:rsidR="007F3B9F" w:rsidRDefault="007F3B9F" w:rsidP="007F3B9F">
            <w:pPr>
              <w:pStyle w:val="Texttabulky"/>
              <w:spacing w:after="0" w:line="240" w:lineRule="atLeast"/>
            </w:pPr>
            <w:r>
              <w:rPr>
                <w:sz w:val="20"/>
                <w:szCs w:val="20"/>
              </w:rPr>
              <w:t>N</w:t>
            </w:r>
          </w:p>
        </w:tc>
        <w:tc>
          <w:tcPr>
            <w:tcW w:w="3402" w:type="dxa"/>
            <w:tcBorders>
              <w:top w:val="single" w:sz="6" w:space="0" w:color="auto"/>
              <w:left w:val="single" w:sz="6" w:space="0" w:color="auto"/>
              <w:bottom w:val="single" w:sz="6" w:space="0" w:color="auto"/>
              <w:right w:val="single" w:sz="6" w:space="0" w:color="auto"/>
            </w:tcBorders>
          </w:tcPr>
          <w:p w14:paraId="7C49334A" w14:textId="77777777" w:rsidR="007F3B9F" w:rsidRDefault="007F3B9F" w:rsidP="007F3B9F">
            <w:pPr>
              <w:pStyle w:val="Texttabulky"/>
              <w:spacing w:after="0" w:line="240" w:lineRule="atLeast"/>
            </w:pPr>
            <w:r>
              <w:t xml:space="preserve">Upravovaný vodní tok - přítok Labe. Prořídlé doprovodné porosty.    </w:t>
            </w:r>
          </w:p>
        </w:tc>
        <w:tc>
          <w:tcPr>
            <w:tcW w:w="709" w:type="dxa"/>
            <w:tcBorders>
              <w:top w:val="single" w:sz="6" w:space="0" w:color="auto"/>
              <w:left w:val="single" w:sz="6" w:space="0" w:color="auto"/>
              <w:bottom w:val="single" w:sz="6" w:space="0" w:color="auto"/>
              <w:right w:val="single" w:sz="6" w:space="0" w:color="auto"/>
            </w:tcBorders>
          </w:tcPr>
          <w:p w14:paraId="1F41A847" w14:textId="77777777" w:rsidR="007F3B9F" w:rsidRDefault="007F3B9F" w:rsidP="007F3B9F">
            <w:pPr>
              <w:pStyle w:val="Zkladntext"/>
              <w:spacing w:after="0" w:line="240" w:lineRule="atLeast"/>
            </w:pPr>
          </w:p>
          <w:p w14:paraId="34E17227" w14:textId="77777777" w:rsidR="007F3B9F" w:rsidRDefault="007F3B9F" w:rsidP="007F3B9F">
            <w:pPr>
              <w:pStyle w:val="Texttabulky"/>
              <w:spacing w:after="0" w:line="240" w:lineRule="atLeast"/>
            </w:pPr>
            <w:r>
              <w:t>15</w:t>
            </w:r>
          </w:p>
          <w:p w14:paraId="47E50B26" w14:textId="77777777" w:rsidR="007F3B9F" w:rsidRDefault="007F3B9F" w:rsidP="007F3B9F">
            <w:pPr>
              <w:pStyle w:val="Zkladntext"/>
              <w:spacing w:after="0" w:line="240" w:lineRule="atLeast"/>
            </w:pPr>
          </w:p>
          <w:p w14:paraId="38E9877F" w14:textId="77777777" w:rsidR="007F3B9F" w:rsidRDefault="007F3B9F" w:rsidP="007F3B9F">
            <w:pPr>
              <w:pStyle w:val="Texttabulky"/>
              <w:spacing w:after="0" w:line="240" w:lineRule="atLeast"/>
            </w:pPr>
            <w:r>
              <w:t>500</w:t>
            </w:r>
          </w:p>
        </w:tc>
        <w:tc>
          <w:tcPr>
            <w:tcW w:w="567" w:type="dxa"/>
            <w:tcBorders>
              <w:top w:val="single" w:sz="6" w:space="0" w:color="auto"/>
              <w:left w:val="single" w:sz="6" w:space="0" w:color="auto"/>
              <w:bottom w:val="single" w:sz="6" w:space="0" w:color="auto"/>
              <w:right w:val="single" w:sz="6" w:space="0" w:color="auto"/>
            </w:tcBorders>
          </w:tcPr>
          <w:p w14:paraId="71FFF30B" w14:textId="77777777" w:rsidR="007F3B9F" w:rsidRDefault="007F3B9F" w:rsidP="007F3B9F">
            <w:pPr>
              <w:pStyle w:val="Zkladntext"/>
              <w:spacing w:after="0" w:line="240" w:lineRule="atLeast"/>
            </w:pPr>
          </w:p>
          <w:p w14:paraId="031BDA05" w14:textId="77777777" w:rsidR="007F3B9F" w:rsidRDefault="007F3B9F" w:rsidP="007F3B9F">
            <w:pPr>
              <w:pStyle w:val="Texttabulky"/>
              <w:spacing w:after="0" w:line="240" w:lineRule="atLeast"/>
            </w:pPr>
            <w:r>
              <w:t xml:space="preserve"> 2-3</w:t>
            </w:r>
          </w:p>
        </w:tc>
        <w:tc>
          <w:tcPr>
            <w:tcW w:w="2835" w:type="dxa"/>
            <w:tcBorders>
              <w:top w:val="single" w:sz="6" w:space="0" w:color="auto"/>
              <w:left w:val="single" w:sz="6" w:space="0" w:color="auto"/>
              <w:bottom w:val="single" w:sz="6" w:space="0" w:color="auto"/>
              <w:right w:val="single" w:sz="6" w:space="0" w:color="auto"/>
            </w:tcBorders>
          </w:tcPr>
          <w:p w14:paraId="5E87B061" w14:textId="77777777" w:rsidR="007F3B9F" w:rsidRDefault="007F3B9F" w:rsidP="007F3B9F">
            <w:pPr>
              <w:pStyle w:val="Zkladntext"/>
              <w:spacing w:after="0" w:line="240" w:lineRule="atLeast"/>
            </w:pPr>
          </w:p>
          <w:p w14:paraId="16866CC8" w14:textId="77777777" w:rsidR="007F3B9F" w:rsidRDefault="007F3B9F" w:rsidP="007F3B9F">
            <w:pPr>
              <w:pStyle w:val="Texttabulky"/>
              <w:spacing w:after="0" w:line="240" w:lineRule="atLeast"/>
            </w:pPr>
            <w:r>
              <w:t>revitalizace toku</w:t>
            </w:r>
          </w:p>
        </w:tc>
      </w:tr>
      <w:tr w:rsidR="007F3B9F" w14:paraId="62A4B6B9" w14:textId="77777777" w:rsidTr="00BB63DF">
        <w:tc>
          <w:tcPr>
            <w:tcW w:w="993" w:type="dxa"/>
            <w:tcBorders>
              <w:top w:val="single" w:sz="6" w:space="0" w:color="auto"/>
              <w:left w:val="single" w:sz="6" w:space="0" w:color="auto"/>
              <w:bottom w:val="single" w:sz="6" w:space="0" w:color="auto"/>
              <w:right w:val="single" w:sz="6" w:space="0" w:color="auto"/>
            </w:tcBorders>
          </w:tcPr>
          <w:p w14:paraId="5457E45F" w14:textId="77777777" w:rsidR="007F3B9F" w:rsidRDefault="007F3B9F" w:rsidP="007F3B9F">
            <w:pPr>
              <w:pStyle w:val="Zkladntext"/>
              <w:spacing w:after="0" w:line="240" w:lineRule="atLeast"/>
            </w:pPr>
          </w:p>
          <w:p w14:paraId="4AE0ECF9" w14:textId="77777777" w:rsidR="007F3B9F" w:rsidRDefault="007F3B9F" w:rsidP="007F3B9F">
            <w:pPr>
              <w:pStyle w:val="Texttabulky"/>
              <w:spacing w:after="0" w:line="240" w:lineRule="atLeast"/>
            </w:pPr>
            <w:r>
              <w:rPr>
                <w:b/>
                <w:bCs/>
                <w:sz w:val="22"/>
                <w:szCs w:val="22"/>
              </w:rPr>
              <w:t>34 - 36</w:t>
            </w:r>
          </w:p>
          <w:p w14:paraId="31EFEBD8"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5C3779B6" w14:textId="77777777" w:rsidR="007F3B9F" w:rsidRDefault="007F3B9F" w:rsidP="007F3B9F">
            <w:pPr>
              <w:pStyle w:val="Texttabulky"/>
              <w:spacing w:after="0" w:line="240" w:lineRule="atLeast"/>
            </w:pPr>
            <w:r>
              <w:rPr>
                <w:b/>
                <w:bCs/>
                <w:sz w:val="20"/>
                <w:szCs w:val="20"/>
              </w:rPr>
              <w:t>L</w:t>
            </w:r>
          </w:p>
          <w:p w14:paraId="57451674" w14:textId="77777777" w:rsidR="007F3B9F" w:rsidRDefault="007F3B9F" w:rsidP="007F3B9F">
            <w:pPr>
              <w:pStyle w:val="Texttabulky"/>
              <w:spacing w:after="0" w:line="240" w:lineRule="atLeast"/>
            </w:pPr>
            <w:r>
              <w:rPr>
                <w:sz w:val="20"/>
                <w:szCs w:val="20"/>
              </w:rPr>
              <w:t>F/N</w:t>
            </w:r>
          </w:p>
        </w:tc>
        <w:tc>
          <w:tcPr>
            <w:tcW w:w="3402" w:type="dxa"/>
            <w:tcBorders>
              <w:top w:val="single" w:sz="6" w:space="0" w:color="auto"/>
              <w:left w:val="single" w:sz="6" w:space="0" w:color="auto"/>
              <w:bottom w:val="single" w:sz="6" w:space="0" w:color="auto"/>
              <w:right w:val="single" w:sz="6" w:space="0" w:color="auto"/>
            </w:tcBorders>
          </w:tcPr>
          <w:p w14:paraId="107B4A18" w14:textId="77777777" w:rsidR="007F3B9F" w:rsidRDefault="007F3B9F" w:rsidP="007F3B9F">
            <w:pPr>
              <w:pStyle w:val="Texttabulky"/>
              <w:spacing w:after="0" w:line="240" w:lineRule="atLeast"/>
            </w:pPr>
            <w:r>
              <w:t xml:space="preserve">Lokální biokoridor tvořený v Z části zarostlým úvozem, ve V části vymezen v lese, po jeho ochranném plášti. Střední čúsek je navržen převážně v kultuře orná půda.  </w:t>
            </w:r>
          </w:p>
        </w:tc>
        <w:tc>
          <w:tcPr>
            <w:tcW w:w="709" w:type="dxa"/>
            <w:tcBorders>
              <w:top w:val="single" w:sz="6" w:space="0" w:color="auto"/>
              <w:left w:val="single" w:sz="6" w:space="0" w:color="auto"/>
              <w:bottom w:val="single" w:sz="6" w:space="0" w:color="auto"/>
              <w:right w:val="single" w:sz="6" w:space="0" w:color="auto"/>
            </w:tcBorders>
          </w:tcPr>
          <w:p w14:paraId="64D6280C" w14:textId="77777777" w:rsidR="007F3B9F" w:rsidRDefault="007F3B9F" w:rsidP="007F3B9F">
            <w:pPr>
              <w:pStyle w:val="Zkladntext"/>
              <w:spacing w:after="0" w:line="240" w:lineRule="atLeast"/>
            </w:pPr>
          </w:p>
          <w:p w14:paraId="06CB5072" w14:textId="77777777" w:rsidR="007F3B9F" w:rsidRDefault="007F3B9F" w:rsidP="007F3B9F">
            <w:pPr>
              <w:pStyle w:val="Texttabulky"/>
              <w:spacing w:after="0" w:line="240" w:lineRule="atLeast"/>
            </w:pPr>
            <w:r>
              <w:t>20</w:t>
            </w:r>
          </w:p>
          <w:p w14:paraId="40D9D119" w14:textId="77777777" w:rsidR="007F3B9F" w:rsidRDefault="007F3B9F" w:rsidP="007F3B9F">
            <w:pPr>
              <w:pStyle w:val="Texttabulky"/>
              <w:spacing w:after="0" w:line="240" w:lineRule="atLeast"/>
            </w:pPr>
            <w:r>
              <w:t>1200</w:t>
            </w:r>
          </w:p>
        </w:tc>
        <w:tc>
          <w:tcPr>
            <w:tcW w:w="567" w:type="dxa"/>
            <w:tcBorders>
              <w:top w:val="single" w:sz="6" w:space="0" w:color="auto"/>
              <w:left w:val="single" w:sz="6" w:space="0" w:color="auto"/>
              <w:bottom w:val="single" w:sz="6" w:space="0" w:color="auto"/>
              <w:right w:val="single" w:sz="6" w:space="0" w:color="auto"/>
            </w:tcBorders>
          </w:tcPr>
          <w:p w14:paraId="7F3781F2" w14:textId="77777777" w:rsidR="007F3B9F" w:rsidRDefault="007F3B9F" w:rsidP="007F3B9F">
            <w:pPr>
              <w:pStyle w:val="Zkladntext"/>
              <w:spacing w:after="0" w:line="240" w:lineRule="atLeast"/>
            </w:pPr>
          </w:p>
          <w:p w14:paraId="0F812744" w14:textId="77777777" w:rsidR="007F3B9F" w:rsidRDefault="007F3B9F" w:rsidP="007F3B9F">
            <w:pPr>
              <w:pStyle w:val="Texttabulky"/>
              <w:spacing w:after="0" w:line="240" w:lineRule="atLeast"/>
            </w:pPr>
            <w:r>
              <w:t>1-4</w:t>
            </w:r>
          </w:p>
        </w:tc>
        <w:tc>
          <w:tcPr>
            <w:tcW w:w="2835" w:type="dxa"/>
            <w:tcBorders>
              <w:top w:val="single" w:sz="6" w:space="0" w:color="auto"/>
              <w:left w:val="single" w:sz="6" w:space="0" w:color="auto"/>
              <w:bottom w:val="single" w:sz="6" w:space="0" w:color="auto"/>
              <w:right w:val="single" w:sz="6" w:space="0" w:color="auto"/>
            </w:tcBorders>
          </w:tcPr>
          <w:p w14:paraId="68CC030A" w14:textId="77777777" w:rsidR="007F3B9F" w:rsidRDefault="007F3B9F" w:rsidP="007F3B9F">
            <w:pPr>
              <w:pStyle w:val="Zkladntext"/>
              <w:spacing w:after="0" w:line="240" w:lineRule="atLeast"/>
            </w:pPr>
          </w:p>
          <w:p w14:paraId="759D7E55" w14:textId="77777777" w:rsidR="007F3B9F" w:rsidRDefault="007F3B9F" w:rsidP="007F3B9F">
            <w:pPr>
              <w:pStyle w:val="Texttabulky"/>
              <w:spacing w:after="0" w:line="240" w:lineRule="atLeast"/>
            </w:pPr>
            <w:r>
              <w:t>v lese v souladu s  platným LHP</w:t>
            </w:r>
          </w:p>
          <w:p w14:paraId="36046BB4" w14:textId="77777777" w:rsidR="007F3B9F" w:rsidRDefault="007F3B9F" w:rsidP="007F3B9F">
            <w:pPr>
              <w:pStyle w:val="Texttabulky"/>
              <w:spacing w:after="0" w:line="240" w:lineRule="atLeast"/>
            </w:pPr>
            <w:r>
              <w:t>doplnění biokoridoru založením dřevinného spol. liniového charakteru</w:t>
            </w:r>
          </w:p>
        </w:tc>
      </w:tr>
      <w:tr w:rsidR="007F3B9F" w14:paraId="2F592931" w14:textId="77777777" w:rsidTr="00BB63DF">
        <w:tc>
          <w:tcPr>
            <w:tcW w:w="993" w:type="dxa"/>
            <w:tcBorders>
              <w:top w:val="single" w:sz="6" w:space="0" w:color="auto"/>
              <w:left w:val="single" w:sz="6" w:space="0" w:color="auto"/>
              <w:bottom w:val="single" w:sz="6" w:space="0" w:color="auto"/>
              <w:right w:val="single" w:sz="6" w:space="0" w:color="auto"/>
            </w:tcBorders>
          </w:tcPr>
          <w:p w14:paraId="6402CB58" w14:textId="77777777" w:rsidR="007F3B9F" w:rsidRDefault="007F3B9F" w:rsidP="007F3B9F">
            <w:pPr>
              <w:pStyle w:val="Zkladntext"/>
              <w:spacing w:after="0" w:line="240" w:lineRule="atLeast"/>
            </w:pPr>
          </w:p>
          <w:p w14:paraId="5A3FDDA3" w14:textId="77777777" w:rsidR="007F3B9F" w:rsidRDefault="007F3B9F" w:rsidP="007F3B9F">
            <w:pPr>
              <w:pStyle w:val="Texttabulky"/>
              <w:spacing w:after="0" w:line="240" w:lineRule="atLeast"/>
            </w:pPr>
            <w:r>
              <w:rPr>
                <w:b/>
                <w:bCs/>
                <w:sz w:val="22"/>
                <w:szCs w:val="22"/>
              </w:rPr>
              <w:t>34 - 37</w:t>
            </w:r>
          </w:p>
          <w:p w14:paraId="5F269AEB"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67120801" w14:textId="77777777" w:rsidR="007F3B9F" w:rsidRDefault="007F3B9F" w:rsidP="007F3B9F">
            <w:pPr>
              <w:pStyle w:val="Texttabulky"/>
              <w:spacing w:after="0" w:line="240" w:lineRule="atLeast"/>
            </w:pPr>
            <w:r>
              <w:rPr>
                <w:b/>
                <w:bCs/>
                <w:sz w:val="20"/>
                <w:szCs w:val="20"/>
              </w:rPr>
              <w:t>L</w:t>
            </w:r>
          </w:p>
          <w:p w14:paraId="39C9F803" w14:textId="77777777" w:rsidR="007F3B9F" w:rsidRDefault="007F3B9F" w:rsidP="007F3B9F">
            <w:pPr>
              <w:pStyle w:val="Zkladntext"/>
              <w:spacing w:after="0" w:line="240" w:lineRule="atLeast"/>
            </w:pPr>
          </w:p>
          <w:p w14:paraId="143C6947" w14:textId="77777777" w:rsidR="007F3B9F" w:rsidRDefault="007F3B9F" w:rsidP="007F3B9F">
            <w:pPr>
              <w:pStyle w:val="Texttabulky"/>
              <w:spacing w:after="0" w:line="240" w:lineRule="atLeast"/>
            </w:pPr>
            <w:r>
              <w:rPr>
                <w:sz w:val="20"/>
                <w:szCs w:val="20"/>
              </w:rPr>
              <w:t>SF</w:t>
            </w:r>
          </w:p>
        </w:tc>
        <w:tc>
          <w:tcPr>
            <w:tcW w:w="3402" w:type="dxa"/>
            <w:tcBorders>
              <w:top w:val="single" w:sz="6" w:space="0" w:color="auto"/>
              <w:left w:val="single" w:sz="6" w:space="0" w:color="auto"/>
              <w:bottom w:val="single" w:sz="6" w:space="0" w:color="auto"/>
              <w:right w:val="single" w:sz="6" w:space="0" w:color="auto"/>
            </w:tcBorders>
          </w:tcPr>
          <w:p w14:paraId="6C9F88A1" w14:textId="77777777" w:rsidR="007F3B9F" w:rsidRDefault="007F3B9F" w:rsidP="007F3B9F">
            <w:pPr>
              <w:pStyle w:val="Texttabulky"/>
              <w:spacing w:after="0" w:line="240" w:lineRule="atLeast"/>
            </w:pPr>
            <w:r>
              <w:t>Biokoridor vymezený ve V části v lesním porostu je veden ve své Z polovině po enklávách dřevinných společenstev typu remíz, mez. BK nespojitého charakteru.</w:t>
            </w:r>
          </w:p>
        </w:tc>
        <w:tc>
          <w:tcPr>
            <w:tcW w:w="709" w:type="dxa"/>
            <w:tcBorders>
              <w:top w:val="single" w:sz="6" w:space="0" w:color="auto"/>
              <w:left w:val="single" w:sz="6" w:space="0" w:color="auto"/>
              <w:bottom w:val="single" w:sz="6" w:space="0" w:color="auto"/>
              <w:right w:val="single" w:sz="6" w:space="0" w:color="auto"/>
            </w:tcBorders>
          </w:tcPr>
          <w:p w14:paraId="3F497F66" w14:textId="77777777" w:rsidR="007F3B9F" w:rsidRDefault="007F3B9F" w:rsidP="007F3B9F">
            <w:pPr>
              <w:pStyle w:val="Zkladntext"/>
              <w:spacing w:after="0" w:line="240" w:lineRule="atLeast"/>
            </w:pPr>
          </w:p>
          <w:p w14:paraId="01A95017" w14:textId="77777777" w:rsidR="007F3B9F" w:rsidRDefault="007F3B9F" w:rsidP="007F3B9F">
            <w:pPr>
              <w:pStyle w:val="Texttabulky"/>
              <w:spacing w:after="0" w:line="240" w:lineRule="atLeast"/>
            </w:pPr>
            <w:r>
              <w:t>20</w:t>
            </w:r>
          </w:p>
          <w:p w14:paraId="57722246" w14:textId="77777777" w:rsidR="007F3B9F" w:rsidRDefault="007F3B9F" w:rsidP="007F3B9F">
            <w:pPr>
              <w:pStyle w:val="Zkladntext"/>
              <w:spacing w:after="0" w:line="240" w:lineRule="atLeast"/>
            </w:pPr>
          </w:p>
          <w:p w14:paraId="5099BFCE" w14:textId="77777777" w:rsidR="007F3B9F" w:rsidRDefault="007F3B9F" w:rsidP="007F3B9F">
            <w:pPr>
              <w:pStyle w:val="Texttabulky"/>
              <w:spacing w:after="0" w:line="240" w:lineRule="atLeast"/>
            </w:pPr>
            <w:r>
              <w:t>1600</w:t>
            </w:r>
          </w:p>
        </w:tc>
        <w:tc>
          <w:tcPr>
            <w:tcW w:w="567" w:type="dxa"/>
            <w:tcBorders>
              <w:top w:val="single" w:sz="6" w:space="0" w:color="auto"/>
              <w:left w:val="single" w:sz="6" w:space="0" w:color="auto"/>
              <w:bottom w:val="single" w:sz="6" w:space="0" w:color="auto"/>
              <w:right w:val="single" w:sz="6" w:space="0" w:color="auto"/>
            </w:tcBorders>
          </w:tcPr>
          <w:p w14:paraId="3560281D" w14:textId="77777777" w:rsidR="007F3B9F" w:rsidRDefault="007F3B9F" w:rsidP="007F3B9F">
            <w:pPr>
              <w:pStyle w:val="Zkladntext"/>
              <w:spacing w:after="0" w:line="240" w:lineRule="atLeast"/>
            </w:pPr>
          </w:p>
          <w:p w14:paraId="44EFB80D" w14:textId="77777777" w:rsidR="007F3B9F" w:rsidRDefault="007F3B9F" w:rsidP="007F3B9F">
            <w:pPr>
              <w:pStyle w:val="Texttabulky"/>
              <w:spacing w:after="0" w:line="240" w:lineRule="atLeast"/>
            </w:pPr>
            <w:r>
              <w:t>1-4</w:t>
            </w:r>
          </w:p>
          <w:p w14:paraId="3B74AA8E"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05BFEFA4" w14:textId="77777777" w:rsidR="007F3B9F" w:rsidRDefault="007F3B9F" w:rsidP="007F3B9F">
            <w:pPr>
              <w:pStyle w:val="Texttabulky"/>
              <w:spacing w:after="0" w:line="240" w:lineRule="atLeast"/>
            </w:pPr>
            <w:r>
              <w:t>v lese dle platného LHP, mimolesní zeleň ponechat sukcesi</w:t>
            </w:r>
          </w:p>
        </w:tc>
      </w:tr>
      <w:tr w:rsidR="007F3B9F" w14:paraId="363F3806" w14:textId="77777777" w:rsidTr="00BB63DF">
        <w:tc>
          <w:tcPr>
            <w:tcW w:w="993" w:type="dxa"/>
            <w:tcBorders>
              <w:top w:val="single" w:sz="6" w:space="0" w:color="auto"/>
              <w:left w:val="single" w:sz="6" w:space="0" w:color="auto"/>
              <w:bottom w:val="single" w:sz="6" w:space="0" w:color="auto"/>
              <w:right w:val="single" w:sz="6" w:space="0" w:color="auto"/>
            </w:tcBorders>
          </w:tcPr>
          <w:p w14:paraId="0A8E02A3" w14:textId="77777777" w:rsidR="007F3B9F" w:rsidRDefault="007F3B9F" w:rsidP="007F3B9F">
            <w:pPr>
              <w:pStyle w:val="Zkladntext"/>
              <w:spacing w:after="0" w:line="240" w:lineRule="atLeast"/>
            </w:pPr>
          </w:p>
          <w:p w14:paraId="0507E5C9" w14:textId="77777777" w:rsidR="007F3B9F" w:rsidRDefault="007F3B9F" w:rsidP="007F3B9F">
            <w:pPr>
              <w:pStyle w:val="Texttabulky"/>
              <w:spacing w:after="0" w:line="240" w:lineRule="atLeast"/>
            </w:pPr>
            <w:r>
              <w:rPr>
                <w:b/>
                <w:bCs/>
                <w:sz w:val="22"/>
                <w:szCs w:val="22"/>
              </w:rPr>
              <w:t xml:space="preserve"> 24 - 31</w:t>
            </w:r>
          </w:p>
          <w:p w14:paraId="1B06F6D6"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753826A9" w14:textId="77777777" w:rsidR="007F3B9F" w:rsidRDefault="007F3B9F" w:rsidP="007F3B9F">
            <w:pPr>
              <w:pStyle w:val="Zkladntext"/>
              <w:spacing w:after="0" w:line="240" w:lineRule="atLeast"/>
            </w:pPr>
          </w:p>
          <w:p w14:paraId="06302712" w14:textId="77777777" w:rsidR="007F3B9F" w:rsidRDefault="007F3B9F" w:rsidP="007F3B9F">
            <w:pPr>
              <w:pStyle w:val="Texttabulky"/>
              <w:spacing w:after="0" w:line="240" w:lineRule="atLeast"/>
            </w:pPr>
            <w:r>
              <w:rPr>
                <w:b/>
                <w:bCs/>
                <w:sz w:val="20"/>
                <w:szCs w:val="20"/>
              </w:rPr>
              <w:t>NR</w:t>
            </w:r>
          </w:p>
          <w:p w14:paraId="005792D1" w14:textId="77777777" w:rsidR="007F3B9F" w:rsidRDefault="007F3B9F" w:rsidP="007F3B9F">
            <w:pPr>
              <w:pStyle w:val="Zkladntext"/>
              <w:spacing w:after="0" w:line="240" w:lineRule="atLeast"/>
            </w:pPr>
          </w:p>
          <w:p w14:paraId="3AA81506" w14:textId="77777777" w:rsidR="007F3B9F" w:rsidRDefault="007F3B9F" w:rsidP="007F3B9F">
            <w:pPr>
              <w:pStyle w:val="Texttabulky"/>
              <w:spacing w:after="0" w:line="240" w:lineRule="atLeast"/>
            </w:pPr>
            <w:r>
              <w:rPr>
                <w:sz w:val="20"/>
                <w:szCs w:val="20"/>
              </w:rPr>
              <w:t>F/SF</w:t>
            </w:r>
          </w:p>
        </w:tc>
        <w:tc>
          <w:tcPr>
            <w:tcW w:w="3402" w:type="dxa"/>
            <w:tcBorders>
              <w:top w:val="single" w:sz="6" w:space="0" w:color="auto"/>
              <w:left w:val="single" w:sz="6" w:space="0" w:color="auto"/>
              <w:bottom w:val="single" w:sz="6" w:space="0" w:color="auto"/>
              <w:right w:val="single" w:sz="6" w:space="0" w:color="auto"/>
            </w:tcBorders>
          </w:tcPr>
          <w:p w14:paraId="5D3B4A64" w14:textId="77777777" w:rsidR="007F3B9F" w:rsidRDefault="007F3B9F" w:rsidP="007F3B9F">
            <w:pPr>
              <w:pStyle w:val="Texttabulky"/>
              <w:spacing w:after="0" w:line="240" w:lineRule="atLeast"/>
            </w:pPr>
            <w:r>
              <w:t>Řeka Labe se sporadickými břehovými a doprovodnými porosty prochází ze značné části zastavěným územím obcí a města. Koryto převážně regulováno. Vodohospodářsky významný tok, ichtyologicky významná lokalita. Limitujícím ukazatelem ekol. hodnoty toku je kromě zástavby území kvalita vody.</w:t>
            </w:r>
          </w:p>
        </w:tc>
        <w:tc>
          <w:tcPr>
            <w:tcW w:w="709" w:type="dxa"/>
            <w:tcBorders>
              <w:top w:val="single" w:sz="6" w:space="0" w:color="auto"/>
              <w:left w:val="single" w:sz="6" w:space="0" w:color="auto"/>
              <w:bottom w:val="single" w:sz="6" w:space="0" w:color="auto"/>
              <w:right w:val="single" w:sz="6" w:space="0" w:color="auto"/>
            </w:tcBorders>
          </w:tcPr>
          <w:p w14:paraId="46A1C3EE" w14:textId="77777777" w:rsidR="007F3B9F" w:rsidRDefault="007F3B9F" w:rsidP="007F3B9F">
            <w:pPr>
              <w:pStyle w:val="Zkladntext"/>
              <w:spacing w:after="0" w:line="240" w:lineRule="atLeast"/>
            </w:pPr>
          </w:p>
          <w:p w14:paraId="46E666FD" w14:textId="77777777" w:rsidR="007F3B9F" w:rsidRDefault="007F3B9F" w:rsidP="007F3B9F">
            <w:pPr>
              <w:pStyle w:val="Texttabulky"/>
              <w:spacing w:after="0" w:line="240" w:lineRule="atLeast"/>
            </w:pPr>
            <w:r>
              <w:t>100-150</w:t>
            </w:r>
          </w:p>
          <w:p w14:paraId="1009D679" w14:textId="77777777" w:rsidR="007F3B9F" w:rsidRDefault="007F3B9F" w:rsidP="007F3B9F">
            <w:pPr>
              <w:pStyle w:val="Zkladntext"/>
              <w:spacing w:after="0" w:line="240" w:lineRule="atLeast"/>
            </w:pPr>
          </w:p>
          <w:p w14:paraId="64759C46" w14:textId="77777777" w:rsidR="007F3B9F" w:rsidRDefault="007F3B9F" w:rsidP="007F3B9F">
            <w:pPr>
              <w:pStyle w:val="Texttabulky"/>
              <w:spacing w:after="0" w:line="240" w:lineRule="atLeast"/>
            </w:pPr>
            <w:r>
              <w:t>700</w:t>
            </w:r>
          </w:p>
        </w:tc>
        <w:tc>
          <w:tcPr>
            <w:tcW w:w="567" w:type="dxa"/>
            <w:tcBorders>
              <w:top w:val="single" w:sz="6" w:space="0" w:color="auto"/>
              <w:left w:val="single" w:sz="6" w:space="0" w:color="auto"/>
              <w:bottom w:val="single" w:sz="6" w:space="0" w:color="auto"/>
              <w:right w:val="single" w:sz="6" w:space="0" w:color="auto"/>
            </w:tcBorders>
          </w:tcPr>
          <w:p w14:paraId="0EF90BBD" w14:textId="77777777" w:rsidR="007F3B9F" w:rsidRDefault="007F3B9F" w:rsidP="007F3B9F">
            <w:pPr>
              <w:pStyle w:val="Zkladntext"/>
              <w:spacing w:after="0" w:line="240" w:lineRule="atLeast"/>
            </w:pPr>
          </w:p>
          <w:p w14:paraId="03441121" w14:textId="77777777" w:rsidR="007F3B9F" w:rsidRDefault="007F3B9F" w:rsidP="007F3B9F">
            <w:pPr>
              <w:pStyle w:val="Texttabulky"/>
              <w:spacing w:after="0" w:line="240" w:lineRule="atLeast"/>
            </w:pPr>
            <w:r>
              <w:t>3-4</w:t>
            </w:r>
          </w:p>
          <w:p w14:paraId="6551CCB1"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0E269ADE" w14:textId="77777777" w:rsidR="007F3B9F" w:rsidRDefault="007F3B9F" w:rsidP="007F3B9F">
            <w:pPr>
              <w:pStyle w:val="Zkladntext"/>
              <w:spacing w:after="0" w:line="240" w:lineRule="atLeast"/>
            </w:pPr>
          </w:p>
          <w:p w14:paraId="7A0FE4BA" w14:textId="77777777" w:rsidR="007F3B9F" w:rsidRDefault="007F3B9F" w:rsidP="007F3B9F">
            <w:pPr>
              <w:pStyle w:val="Texttabulky"/>
              <w:spacing w:after="0" w:line="240" w:lineRule="atLeast"/>
            </w:pPr>
            <w:r>
              <w:t>Podporovat projekty zvyšující kvalitu vody v toku.</w:t>
            </w:r>
          </w:p>
          <w:p w14:paraId="4EC6A89C" w14:textId="77777777" w:rsidR="007F3B9F" w:rsidRDefault="007F3B9F" w:rsidP="007F3B9F">
            <w:pPr>
              <w:pStyle w:val="Texttabulky"/>
              <w:spacing w:after="0" w:line="240" w:lineRule="atLeast"/>
            </w:pPr>
            <w:r>
              <w:t>Doplňování břehových a doprovodných porostů.</w:t>
            </w:r>
          </w:p>
        </w:tc>
      </w:tr>
      <w:tr w:rsidR="007F3B9F" w14:paraId="286B95B9" w14:textId="77777777" w:rsidTr="00BB63DF">
        <w:tc>
          <w:tcPr>
            <w:tcW w:w="993" w:type="dxa"/>
            <w:tcBorders>
              <w:top w:val="single" w:sz="6" w:space="0" w:color="auto"/>
              <w:left w:val="single" w:sz="6" w:space="0" w:color="auto"/>
              <w:bottom w:val="single" w:sz="6" w:space="0" w:color="auto"/>
              <w:right w:val="single" w:sz="6" w:space="0" w:color="auto"/>
            </w:tcBorders>
          </w:tcPr>
          <w:p w14:paraId="3254FF5E" w14:textId="77777777" w:rsidR="007F3B9F" w:rsidRDefault="007F3B9F" w:rsidP="007F3B9F">
            <w:pPr>
              <w:pStyle w:val="Zkladntext"/>
              <w:spacing w:after="0" w:line="240" w:lineRule="atLeast"/>
            </w:pPr>
          </w:p>
          <w:p w14:paraId="01D5940A" w14:textId="77777777" w:rsidR="007F3B9F" w:rsidRDefault="007F3B9F" w:rsidP="007F3B9F">
            <w:pPr>
              <w:pStyle w:val="Texttabulky"/>
              <w:spacing w:after="0" w:line="240" w:lineRule="atLeast"/>
            </w:pPr>
            <w:r>
              <w:rPr>
                <w:b/>
                <w:bCs/>
                <w:sz w:val="22"/>
                <w:szCs w:val="22"/>
              </w:rPr>
              <w:t xml:space="preserve"> 32 - 31</w:t>
            </w:r>
          </w:p>
          <w:p w14:paraId="799D03C5"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17A688FE" w14:textId="77777777" w:rsidR="007F3B9F" w:rsidRDefault="007F3B9F" w:rsidP="007F3B9F">
            <w:pPr>
              <w:pStyle w:val="Zkladntext"/>
              <w:spacing w:after="0" w:line="240" w:lineRule="atLeast"/>
            </w:pPr>
          </w:p>
          <w:p w14:paraId="6AE23C62" w14:textId="77777777" w:rsidR="007F3B9F" w:rsidRDefault="007F3B9F" w:rsidP="007F3B9F">
            <w:pPr>
              <w:pStyle w:val="Texttabulky"/>
              <w:spacing w:after="0" w:line="240" w:lineRule="atLeast"/>
            </w:pPr>
            <w:r>
              <w:rPr>
                <w:b/>
                <w:bCs/>
                <w:sz w:val="20"/>
                <w:szCs w:val="20"/>
              </w:rPr>
              <w:t>NR</w:t>
            </w:r>
          </w:p>
          <w:p w14:paraId="043359B7" w14:textId="77777777" w:rsidR="007F3B9F" w:rsidRDefault="007F3B9F" w:rsidP="007F3B9F">
            <w:pPr>
              <w:pStyle w:val="Zkladntext"/>
              <w:spacing w:after="0" w:line="240" w:lineRule="atLeast"/>
            </w:pPr>
          </w:p>
          <w:p w14:paraId="41057A5A" w14:textId="77777777" w:rsidR="007F3B9F" w:rsidRDefault="007F3B9F" w:rsidP="007F3B9F">
            <w:pPr>
              <w:pStyle w:val="Texttabulky"/>
              <w:spacing w:after="0" w:line="240" w:lineRule="atLeast"/>
            </w:pPr>
            <w:r>
              <w:rPr>
                <w:sz w:val="20"/>
                <w:szCs w:val="20"/>
              </w:rPr>
              <w:t>F/SF</w:t>
            </w:r>
          </w:p>
        </w:tc>
        <w:tc>
          <w:tcPr>
            <w:tcW w:w="3402" w:type="dxa"/>
            <w:tcBorders>
              <w:top w:val="single" w:sz="6" w:space="0" w:color="auto"/>
              <w:left w:val="single" w:sz="6" w:space="0" w:color="auto"/>
              <w:bottom w:val="single" w:sz="6" w:space="0" w:color="auto"/>
              <w:right w:val="single" w:sz="6" w:space="0" w:color="auto"/>
            </w:tcBorders>
          </w:tcPr>
          <w:p w14:paraId="0A33A35E" w14:textId="77777777" w:rsidR="007F3B9F" w:rsidRDefault="007F3B9F" w:rsidP="007F3B9F">
            <w:pPr>
              <w:pStyle w:val="Texttabulky"/>
              <w:spacing w:after="0" w:line="240" w:lineRule="atLeast"/>
            </w:pPr>
            <w:r>
              <w:t>Řeka Labe kolem ústí Ploučnice se sporadickými břehovými a doprovodnými porosty prochází ze značné části zastavěným územím obcí a města. Koryto převážně regulováno. Vodohospodářsky významný tok, ichtyologicky významná lokalita. Limitujícím ukazatelem ekol. hodnoty toku je kromě zástavby území kvalita vody.</w:t>
            </w:r>
          </w:p>
        </w:tc>
        <w:tc>
          <w:tcPr>
            <w:tcW w:w="709" w:type="dxa"/>
            <w:tcBorders>
              <w:top w:val="single" w:sz="6" w:space="0" w:color="auto"/>
              <w:left w:val="single" w:sz="6" w:space="0" w:color="auto"/>
              <w:bottom w:val="single" w:sz="6" w:space="0" w:color="auto"/>
              <w:right w:val="single" w:sz="6" w:space="0" w:color="auto"/>
            </w:tcBorders>
          </w:tcPr>
          <w:p w14:paraId="7A0F0A5D" w14:textId="77777777" w:rsidR="007F3B9F" w:rsidRDefault="007F3B9F" w:rsidP="007F3B9F">
            <w:pPr>
              <w:pStyle w:val="Zkladntext"/>
              <w:spacing w:after="0" w:line="240" w:lineRule="atLeast"/>
            </w:pPr>
          </w:p>
          <w:p w14:paraId="2E0D7AFC" w14:textId="77777777" w:rsidR="007F3B9F" w:rsidRDefault="007F3B9F" w:rsidP="007F3B9F">
            <w:pPr>
              <w:pStyle w:val="Texttabulky"/>
              <w:spacing w:after="0" w:line="240" w:lineRule="atLeast"/>
            </w:pPr>
            <w:r>
              <w:t>100-150</w:t>
            </w:r>
          </w:p>
          <w:p w14:paraId="5633F049" w14:textId="77777777" w:rsidR="007F3B9F" w:rsidRDefault="007F3B9F" w:rsidP="007F3B9F">
            <w:pPr>
              <w:pStyle w:val="Zkladntext"/>
              <w:spacing w:after="0" w:line="240" w:lineRule="atLeast"/>
            </w:pPr>
          </w:p>
          <w:p w14:paraId="2195F916" w14:textId="77777777" w:rsidR="007F3B9F" w:rsidRDefault="007F3B9F" w:rsidP="007F3B9F">
            <w:pPr>
              <w:pStyle w:val="Texttabulky"/>
              <w:spacing w:after="0" w:line="240" w:lineRule="atLeast"/>
            </w:pPr>
            <w:r>
              <w:t>500</w:t>
            </w:r>
          </w:p>
          <w:p w14:paraId="11818F4C" w14:textId="77777777" w:rsidR="007F3B9F" w:rsidRDefault="007F3B9F" w:rsidP="007F3B9F">
            <w:pPr>
              <w:pStyle w:val="Texttabulky"/>
              <w:spacing w:after="0" w:line="240" w:lineRule="atLeast"/>
            </w:pPr>
            <w:r>
              <w:t>800</w:t>
            </w:r>
          </w:p>
        </w:tc>
        <w:tc>
          <w:tcPr>
            <w:tcW w:w="567" w:type="dxa"/>
            <w:tcBorders>
              <w:top w:val="single" w:sz="6" w:space="0" w:color="auto"/>
              <w:left w:val="single" w:sz="6" w:space="0" w:color="auto"/>
              <w:bottom w:val="single" w:sz="6" w:space="0" w:color="auto"/>
              <w:right w:val="single" w:sz="6" w:space="0" w:color="auto"/>
            </w:tcBorders>
          </w:tcPr>
          <w:p w14:paraId="326302F8" w14:textId="77777777" w:rsidR="007F3B9F" w:rsidRDefault="007F3B9F" w:rsidP="007F3B9F">
            <w:pPr>
              <w:pStyle w:val="Zkladntext"/>
              <w:spacing w:after="0" w:line="240" w:lineRule="atLeast"/>
            </w:pPr>
          </w:p>
          <w:p w14:paraId="1B75ABF4" w14:textId="77777777" w:rsidR="007F3B9F" w:rsidRDefault="007F3B9F" w:rsidP="007F3B9F">
            <w:pPr>
              <w:pStyle w:val="Texttabulky"/>
              <w:spacing w:after="0" w:line="240" w:lineRule="atLeast"/>
            </w:pPr>
            <w:r>
              <w:t>3-4</w:t>
            </w:r>
          </w:p>
          <w:p w14:paraId="0C526A8A"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50CDDAC4" w14:textId="77777777" w:rsidR="007F3B9F" w:rsidRDefault="007F3B9F" w:rsidP="007F3B9F">
            <w:pPr>
              <w:pStyle w:val="Zkladntext"/>
              <w:spacing w:after="0" w:line="240" w:lineRule="atLeast"/>
            </w:pPr>
          </w:p>
          <w:p w14:paraId="044E789C" w14:textId="77777777" w:rsidR="007F3B9F" w:rsidRDefault="007F3B9F" w:rsidP="007F3B9F">
            <w:pPr>
              <w:pStyle w:val="Texttabulky"/>
              <w:spacing w:after="0" w:line="240" w:lineRule="atLeast"/>
            </w:pPr>
            <w:r>
              <w:t>Podporovat projekty zvyšující kvalitu vody v toku.</w:t>
            </w:r>
          </w:p>
          <w:p w14:paraId="51759F42" w14:textId="77777777" w:rsidR="007F3B9F" w:rsidRDefault="007F3B9F" w:rsidP="007F3B9F">
            <w:pPr>
              <w:pStyle w:val="Texttabulky"/>
              <w:spacing w:after="0" w:line="240" w:lineRule="atLeast"/>
            </w:pPr>
            <w:r>
              <w:t>Doplňování břehových a doprovodných porostů.</w:t>
            </w:r>
          </w:p>
        </w:tc>
      </w:tr>
      <w:tr w:rsidR="007F3B9F" w14:paraId="5FF951D5" w14:textId="77777777" w:rsidTr="00BB63DF">
        <w:tc>
          <w:tcPr>
            <w:tcW w:w="993" w:type="dxa"/>
            <w:tcBorders>
              <w:top w:val="single" w:sz="6" w:space="0" w:color="auto"/>
              <w:left w:val="single" w:sz="6" w:space="0" w:color="auto"/>
              <w:bottom w:val="single" w:sz="6" w:space="0" w:color="auto"/>
              <w:right w:val="single" w:sz="6" w:space="0" w:color="auto"/>
            </w:tcBorders>
          </w:tcPr>
          <w:p w14:paraId="425B9F84" w14:textId="77777777" w:rsidR="007F3B9F" w:rsidRDefault="007F3B9F" w:rsidP="007F3B9F">
            <w:pPr>
              <w:pStyle w:val="Zkladntext"/>
              <w:spacing w:after="0" w:line="240" w:lineRule="atLeast"/>
            </w:pPr>
          </w:p>
          <w:p w14:paraId="50036577" w14:textId="77777777" w:rsidR="007F3B9F" w:rsidRDefault="007F3B9F" w:rsidP="007F3B9F">
            <w:pPr>
              <w:pStyle w:val="Texttabulky"/>
              <w:spacing w:after="0" w:line="240" w:lineRule="atLeast"/>
            </w:pPr>
            <w:r>
              <w:rPr>
                <w:b/>
                <w:bCs/>
                <w:sz w:val="22"/>
                <w:szCs w:val="22"/>
              </w:rPr>
              <w:t xml:space="preserve"> 33 - 31</w:t>
            </w:r>
          </w:p>
          <w:p w14:paraId="2D587041"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34D74847" w14:textId="77777777" w:rsidR="007F3B9F" w:rsidRDefault="007F3B9F" w:rsidP="007F3B9F">
            <w:pPr>
              <w:pStyle w:val="Zkladntext"/>
              <w:spacing w:after="0" w:line="240" w:lineRule="atLeast"/>
            </w:pPr>
          </w:p>
          <w:p w14:paraId="41FC9D64" w14:textId="77777777" w:rsidR="007F3B9F" w:rsidRDefault="007F3B9F" w:rsidP="007F3B9F">
            <w:pPr>
              <w:pStyle w:val="Texttabulky"/>
              <w:spacing w:after="0" w:line="240" w:lineRule="atLeast"/>
            </w:pPr>
            <w:r>
              <w:rPr>
                <w:b/>
                <w:bCs/>
                <w:sz w:val="20"/>
                <w:szCs w:val="20"/>
              </w:rPr>
              <w:t>NR</w:t>
            </w:r>
          </w:p>
          <w:p w14:paraId="132ED7C1" w14:textId="77777777" w:rsidR="007F3B9F" w:rsidRDefault="007F3B9F" w:rsidP="007F3B9F">
            <w:pPr>
              <w:pStyle w:val="Zkladntext"/>
              <w:spacing w:after="0" w:line="240" w:lineRule="atLeast"/>
            </w:pPr>
          </w:p>
          <w:p w14:paraId="0717B31A" w14:textId="77777777" w:rsidR="007F3B9F" w:rsidRDefault="007F3B9F" w:rsidP="007F3B9F">
            <w:pPr>
              <w:pStyle w:val="Texttabulky"/>
              <w:spacing w:after="0" w:line="240" w:lineRule="atLeast"/>
            </w:pPr>
            <w:r>
              <w:rPr>
                <w:sz w:val="20"/>
                <w:szCs w:val="20"/>
              </w:rPr>
              <w:t>F/SF</w:t>
            </w:r>
          </w:p>
        </w:tc>
        <w:tc>
          <w:tcPr>
            <w:tcW w:w="3402" w:type="dxa"/>
            <w:tcBorders>
              <w:top w:val="single" w:sz="6" w:space="0" w:color="auto"/>
              <w:left w:val="single" w:sz="6" w:space="0" w:color="auto"/>
              <w:bottom w:val="single" w:sz="6" w:space="0" w:color="auto"/>
              <w:right w:val="single" w:sz="6" w:space="0" w:color="auto"/>
            </w:tcBorders>
          </w:tcPr>
          <w:p w14:paraId="333E9176" w14:textId="77777777" w:rsidR="007F3B9F" w:rsidRDefault="007F3B9F" w:rsidP="007F3B9F">
            <w:pPr>
              <w:pStyle w:val="Texttabulky"/>
              <w:spacing w:after="0" w:line="240" w:lineRule="atLeast"/>
            </w:pPr>
            <w:r>
              <w:t>Řeka Labe v okolí Nebočadského luhu se sporadickými břehovými a doprovodnými porosty prochází ze značné části zastavěným územím obcí a města. Koryto převážně regulováno. Vodohospodářsky významný tok, ichtyologicky významná lokalita. Limitujícím ukazatelem ekol. hodnoty toku je kromě zástavby území kvalita vody.</w:t>
            </w:r>
          </w:p>
        </w:tc>
        <w:tc>
          <w:tcPr>
            <w:tcW w:w="709" w:type="dxa"/>
            <w:tcBorders>
              <w:top w:val="single" w:sz="6" w:space="0" w:color="auto"/>
              <w:left w:val="single" w:sz="6" w:space="0" w:color="auto"/>
              <w:bottom w:val="single" w:sz="6" w:space="0" w:color="auto"/>
              <w:right w:val="single" w:sz="6" w:space="0" w:color="auto"/>
            </w:tcBorders>
          </w:tcPr>
          <w:p w14:paraId="025F2B5F" w14:textId="77777777" w:rsidR="007F3B9F" w:rsidRDefault="007F3B9F" w:rsidP="007F3B9F">
            <w:pPr>
              <w:pStyle w:val="Zkladntext"/>
              <w:spacing w:after="0" w:line="240" w:lineRule="atLeast"/>
            </w:pPr>
          </w:p>
          <w:p w14:paraId="180F8447" w14:textId="77777777" w:rsidR="007F3B9F" w:rsidRDefault="007F3B9F" w:rsidP="007F3B9F">
            <w:pPr>
              <w:pStyle w:val="Texttabulky"/>
              <w:spacing w:after="0" w:line="240" w:lineRule="atLeast"/>
            </w:pPr>
            <w:r>
              <w:t>100-150</w:t>
            </w:r>
          </w:p>
          <w:p w14:paraId="26524414" w14:textId="77777777" w:rsidR="007F3B9F" w:rsidRDefault="007F3B9F" w:rsidP="007F3B9F">
            <w:pPr>
              <w:pStyle w:val="Zkladntext"/>
              <w:spacing w:after="0" w:line="240" w:lineRule="atLeast"/>
            </w:pPr>
          </w:p>
          <w:p w14:paraId="3D0A8B28" w14:textId="77777777" w:rsidR="007F3B9F" w:rsidRDefault="007F3B9F" w:rsidP="007F3B9F">
            <w:pPr>
              <w:pStyle w:val="Texttabulky"/>
              <w:spacing w:after="0" w:line="240" w:lineRule="atLeast"/>
            </w:pPr>
            <w:r>
              <w:t>700</w:t>
            </w:r>
          </w:p>
        </w:tc>
        <w:tc>
          <w:tcPr>
            <w:tcW w:w="567" w:type="dxa"/>
            <w:tcBorders>
              <w:top w:val="single" w:sz="6" w:space="0" w:color="auto"/>
              <w:left w:val="single" w:sz="6" w:space="0" w:color="auto"/>
              <w:bottom w:val="single" w:sz="6" w:space="0" w:color="auto"/>
              <w:right w:val="single" w:sz="6" w:space="0" w:color="auto"/>
            </w:tcBorders>
          </w:tcPr>
          <w:p w14:paraId="588959D7" w14:textId="77777777" w:rsidR="007F3B9F" w:rsidRDefault="007F3B9F" w:rsidP="007F3B9F">
            <w:pPr>
              <w:pStyle w:val="Zkladntext"/>
              <w:spacing w:after="0" w:line="240" w:lineRule="atLeast"/>
            </w:pPr>
          </w:p>
          <w:p w14:paraId="284884EB" w14:textId="77777777" w:rsidR="007F3B9F" w:rsidRDefault="007F3B9F" w:rsidP="007F3B9F">
            <w:pPr>
              <w:pStyle w:val="Texttabulky"/>
              <w:spacing w:after="0" w:line="240" w:lineRule="atLeast"/>
            </w:pPr>
            <w:r>
              <w:t>3-4</w:t>
            </w:r>
          </w:p>
          <w:p w14:paraId="011FEFDC"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41417F26" w14:textId="77777777" w:rsidR="007F3B9F" w:rsidRDefault="007F3B9F" w:rsidP="007F3B9F">
            <w:pPr>
              <w:pStyle w:val="Zkladntext"/>
              <w:spacing w:after="0" w:line="240" w:lineRule="atLeast"/>
            </w:pPr>
          </w:p>
          <w:p w14:paraId="08B79F70" w14:textId="77777777" w:rsidR="007F3B9F" w:rsidRDefault="007F3B9F" w:rsidP="007F3B9F">
            <w:pPr>
              <w:pStyle w:val="Texttabulky"/>
              <w:spacing w:after="0" w:line="240" w:lineRule="atLeast"/>
            </w:pPr>
            <w:r>
              <w:t>Podporovat projekty zvyšující kvalitu vody v toku.</w:t>
            </w:r>
          </w:p>
          <w:p w14:paraId="076C4756" w14:textId="77777777" w:rsidR="007F3B9F" w:rsidRDefault="007F3B9F" w:rsidP="007F3B9F">
            <w:pPr>
              <w:pStyle w:val="Texttabulky"/>
              <w:spacing w:after="0" w:line="240" w:lineRule="atLeast"/>
            </w:pPr>
            <w:r>
              <w:t>Doplňování břehových a doprovodných porostů.</w:t>
            </w:r>
          </w:p>
        </w:tc>
      </w:tr>
      <w:tr w:rsidR="007F3B9F" w14:paraId="69A9A195" w14:textId="77777777" w:rsidTr="00BB63DF">
        <w:tc>
          <w:tcPr>
            <w:tcW w:w="993" w:type="dxa"/>
            <w:tcBorders>
              <w:top w:val="single" w:sz="6" w:space="0" w:color="auto"/>
              <w:left w:val="single" w:sz="6" w:space="0" w:color="auto"/>
              <w:bottom w:val="single" w:sz="6" w:space="0" w:color="auto"/>
              <w:right w:val="single" w:sz="6" w:space="0" w:color="auto"/>
            </w:tcBorders>
          </w:tcPr>
          <w:p w14:paraId="7AC53CEE" w14:textId="77777777" w:rsidR="007F3B9F" w:rsidRDefault="007F3B9F" w:rsidP="007F3B9F">
            <w:pPr>
              <w:pStyle w:val="Zkladntext"/>
              <w:spacing w:after="0" w:line="240" w:lineRule="atLeast"/>
            </w:pPr>
          </w:p>
          <w:p w14:paraId="7BBF6D85" w14:textId="77777777" w:rsidR="007F3B9F" w:rsidRDefault="007F3B9F" w:rsidP="007F3B9F">
            <w:pPr>
              <w:pStyle w:val="Texttabulky"/>
              <w:spacing w:after="0" w:line="240" w:lineRule="atLeast"/>
            </w:pPr>
            <w:r>
              <w:rPr>
                <w:b/>
                <w:bCs/>
                <w:sz w:val="22"/>
                <w:szCs w:val="22"/>
              </w:rPr>
              <w:t>31 - 31</w:t>
            </w:r>
          </w:p>
          <w:p w14:paraId="79D97947"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270EA3A3" w14:textId="77777777" w:rsidR="007F3B9F" w:rsidRDefault="007F3B9F" w:rsidP="007F3B9F">
            <w:pPr>
              <w:pStyle w:val="Zkladntext"/>
              <w:spacing w:after="0" w:line="240" w:lineRule="atLeast"/>
            </w:pPr>
          </w:p>
          <w:p w14:paraId="77A86E04" w14:textId="77777777" w:rsidR="007F3B9F" w:rsidRDefault="007F3B9F" w:rsidP="007F3B9F">
            <w:pPr>
              <w:pStyle w:val="Texttabulky"/>
              <w:spacing w:after="0" w:line="240" w:lineRule="atLeast"/>
            </w:pPr>
            <w:r>
              <w:rPr>
                <w:b/>
                <w:bCs/>
                <w:sz w:val="20"/>
                <w:szCs w:val="20"/>
              </w:rPr>
              <w:t>NR</w:t>
            </w:r>
          </w:p>
          <w:p w14:paraId="13918C70" w14:textId="77777777" w:rsidR="007F3B9F" w:rsidRDefault="007F3B9F" w:rsidP="007F3B9F">
            <w:pPr>
              <w:pStyle w:val="Zkladntext"/>
              <w:spacing w:after="0" w:line="240" w:lineRule="atLeast"/>
            </w:pPr>
          </w:p>
          <w:p w14:paraId="51C55743" w14:textId="77777777" w:rsidR="007F3B9F" w:rsidRDefault="007F3B9F" w:rsidP="007F3B9F">
            <w:pPr>
              <w:pStyle w:val="Texttabulky"/>
              <w:spacing w:after="0" w:line="240" w:lineRule="atLeast"/>
            </w:pPr>
            <w:r>
              <w:rPr>
                <w:sz w:val="20"/>
                <w:szCs w:val="20"/>
              </w:rPr>
              <w:t>F/SF</w:t>
            </w:r>
          </w:p>
        </w:tc>
        <w:tc>
          <w:tcPr>
            <w:tcW w:w="3402" w:type="dxa"/>
            <w:tcBorders>
              <w:top w:val="single" w:sz="6" w:space="0" w:color="auto"/>
              <w:left w:val="single" w:sz="6" w:space="0" w:color="auto"/>
              <w:bottom w:val="single" w:sz="6" w:space="0" w:color="auto"/>
              <w:right w:val="single" w:sz="6" w:space="0" w:color="auto"/>
            </w:tcBorders>
          </w:tcPr>
          <w:p w14:paraId="1AB1967C" w14:textId="77777777" w:rsidR="007F3B9F" w:rsidRDefault="007F3B9F" w:rsidP="007F3B9F">
            <w:pPr>
              <w:pStyle w:val="Texttabulky"/>
              <w:spacing w:after="0" w:line="240" w:lineRule="atLeast"/>
            </w:pPr>
            <w:r>
              <w:t>Řeka Labe se sporadickými břehovými a doprovodnými porosty prochází ze značné části zastavěným územím obcí a města. Koryto převážně regulováno. Vodohospodářsky významný tok, ichtyologicky významná lokalita. Limitujícím ukazatelem ekol. hodnoty toku je kromě zástavby území kvalita vody.</w:t>
            </w:r>
          </w:p>
        </w:tc>
        <w:tc>
          <w:tcPr>
            <w:tcW w:w="709" w:type="dxa"/>
            <w:tcBorders>
              <w:top w:val="single" w:sz="6" w:space="0" w:color="auto"/>
              <w:left w:val="single" w:sz="6" w:space="0" w:color="auto"/>
              <w:bottom w:val="single" w:sz="6" w:space="0" w:color="auto"/>
              <w:right w:val="single" w:sz="6" w:space="0" w:color="auto"/>
            </w:tcBorders>
          </w:tcPr>
          <w:p w14:paraId="29E6D12A" w14:textId="77777777" w:rsidR="007F3B9F" w:rsidRDefault="007F3B9F" w:rsidP="007F3B9F">
            <w:pPr>
              <w:pStyle w:val="Zkladntext"/>
              <w:spacing w:after="0" w:line="240" w:lineRule="atLeast"/>
            </w:pPr>
          </w:p>
          <w:p w14:paraId="16F301FD" w14:textId="77777777" w:rsidR="007F3B9F" w:rsidRDefault="007F3B9F" w:rsidP="007F3B9F">
            <w:pPr>
              <w:pStyle w:val="Texttabulky"/>
              <w:spacing w:after="0" w:line="240" w:lineRule="atLeast"/>
            </w:pPr>
            <w:r>
              <w:t>100-150</w:t>
            </w:r>
          </w:p>
          <w:p w14:paraId="03A01690" w14:textId="77777777" w:rsidR="007F3B9F" w:rsidRDefault="007F3B9F" w:rsidP="007F3B9F">
            <w:pPr>
              <w:pStyle w:val="Zkladntext"/>
              <w:spacing w:after="0" w:line="240" w:lineRule="atLeast"/>
            </w:pPr>
          </w:p>
          <w:p w14:paraId="2F8E4903" w14:textId="77777777" w:rsidR="007F3B9F" w:rsidRDefault="007F3B9F" w:rsidP="007F3B9F">
            <w:pPr>
              <w:pStyle w:val="Texttabulky"/>
              <w:spacing w:after="0" w:line="240" w:lineRule="atLeast"/>
            </w:pPr>
            <w:r>
              <w:t>700</w:t>
            </w:r>
          </w:p>
        </w:tc>
        <w:tc>
          <w:tcPr>
            <w:tcW w:w="567" w:type="dxa"/>
            <w:tcBorders>
              <w:top w:val="single" w:sz="6" w:space="0" w:color="auto"/>
              <w:left w:val="single" w:sz="6" w:space="0" w:color="auto"/>
              <w:bottom w:val="single" w:sz="6" w:space="0" w:color="auto"/>
              <w:right w:val="single" w:sz="6" w:space="0" w:color="auto"/>
            </w:tcBorders>
          </w:tcPr>
          <w:p w14:paraId="0093C27F" w14:textId="77777777" w:rsidR="007F3B9F" w:rsidRDefault="007F3B9F" w:rsidP="007F3B9F">
            <w:pPr>
              <w:pStyle w:val="Zkladntext"/>
              <w:spacing w:after="0" w:line="240" w:lineRule="atLeast"/>
            </w:pPr>
          </w:p>
          <w:p w14:paraId="3F9943C6" w14:textId="77777777" w:rsidR="007F3B9F" w:rsidRDefault="007F3B9F" w:rsidP="007F3B9F">
            <w:pPr>
              <w:pStyle w:val="Texttabulky"/>
              <w:spacing w:after="0" w:line="240" w:lineRule="atLeast"/>
            </w:pPr>
            <w:r>
              <w:t>3-4</w:t>
            </w:r>
          </w:p>
          <w:p w14:paraId="75C9E143"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5CD3C6F1" w14:textId="77777777" w:rsidR="007F3B9F" w:rsidRDefault="007F3B9F" w:rsidP="007F3B9F">
            <w:pPr>
              <w:pStyle w:val="Zkladntext"/>
              <w:spacing w:after="0" w:line="240" w:lineRule="atLeast"/>
            </w:pPr>
          </w:p>
          <w:p w14:paraId="4383F247" w14:textId="77777777" w:rsidR="007F3B9F" w:rsidRDefault="007F3B9F" w:rsidP="007F3B9F">
            <w:pPr>
              <w:pStyle w:val="Texttabulky"/>
              <w:spacing w:after="0" w:line="240" w:lineRule="atLeast"/>
            </w:pPr>
            <w:r>
              <w:t>Podporovat projekty zvyšující kvalitu vody v toku.</w:t>
            </w:r>
          </w:p>
          <w:p w14:paraId="37F268C2" w14:textId="77777777" w:rsidR="007F3B9F" w:rsidRDefault="007F3B9F" w:rsidP="007F3B9F">
            <w:pPr>
              <w:pStyle w:val="Texttabulky"/>
              <w:spacing w:after="0" w:line="240" w:lineRule="atLeast"/>
            </w:pPr>
            <w:r>
              <w:t>Doplňování břehových a doprovodných porostů.</w:t>
            </w:r>
          </w:p>
        </w:tc>
      </w:tr>
      <w:tr w:rsidR="007F3B9F" w14:paraId="03E7D74F" w14:textId="77777777" w:rsidTr="00BB63DF">
        <w:tc>
          <w:tcPr>
            <w:tcW w:w="993" w:type="dxa"/>
            <w:tcBorders>
              <w:top w:val="single" w:sz="6" w:space="0" w:color="auto"/>
              <w:left w:val="single" w:sz="6" w:space="0" w:color="auto"/>
              <w:bottom w:val="single" w:sz="6" w:space="0" w:color="auto"/>
              <w:right w:val="single" w:sz="6" w:space="0" w:color="auto"/>
            </w:tcBorders>
          </w:tcPr>
          <w:p w14:paraId="2BA8B96E" w14:textId="77777777" w:rsidR="007F3B9F" w:rsidRDefault="007F3B9F" w:rsidP="007F3B9F">
            <w:pPr>
              <w:pStyle w:val="Zkladntext"/>
              <w:spacing w:after="0" w:line="240" w:lineRule="atLeast"/>
            </w:pPr>
          </w:p>
          <w:p w14:paraId="02DE84CF" w14:textId="77777777" w:rsidR="007F3B9F" w:rsidRDefault="007F3B9F" w:rsidP="007F3B9F">
            <w:pPr>
              <w:pStyle w:val="Texttabulky"/>
              <w:spacing w:after="0" w:line="240" w:lineRule="atLeast"/>
            </w:pPr>
            <w:r>
              <w:rPr>
                <w:b/>
                <w:bCs/>
                <w:sz w:val="22"/>
                <w:szCs w:val="22"/>
              </w:rPr>
              <w:t>27 - 31</w:t>
            </w:r>
          </w:p>
          <w:p w14:paraId="2D99B67E"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7CFAC994" w14:textId="77777777" w:rsidR="007F3B9F" w:rsidRDefault="007F3B9F" w:rsidP="007F3B9F">
            <w:pPr>
              <w:pStyle w:val="Texttabulky"/>
              <w:spacing w:after="0" w:line="240" w:lineRule="atLeast"/>
            </w:pPr>
            <w:r>
              <w:rPr>
                <w:b/>
                <w:bCs/>
                <w:sz w:val="20"/>
                <w:szCs w:val="20"/>
              </w:rPr>
              <w:t>L</w:t>
            </w:r>
          </w:p>
          <w:p w14:paraId="3C142063" w14:textId="77777777" w:rsidR="007F3B9F" w:rsidRDefault="007F3B9F" w:rsidP="007F3B9F">
            <w:pPr>
              <w:pStyle w:val="Zkladntext"/>
              <w:spacing w:after="0" w:line="240" w:lineRule="atLeast"/>
            </w:pPr>
          </w:p>
          <w:p w14:paraId="6B2B45E9"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7625F493" w14:textId="77777777" w:rsidR="007F3B9F" w:rsidRDefault="007F3B9F" w:rsidP="007F3B9F">
            <w:pPr>
              <w:pStyle w:val="Texttabulky"/>
              <w:spacing w:after="0" w:line="240" w:lineRule="atLeast"/>
            </w:pPr>
            <w:r>
              <w:t>Biokoridor vymezený po jižním okraji lesního porostu Červeného vrchu (314,5 m n. m.) v dřevinných spol. ekotonálního charakteru v slt kyselých db BK a kyselých dbbk BO..</w:t>
            </w:r>
          </w:p>
        </w:tc>
        <w:tc>
          <w:tcPr>
            <w:tcW w:w="709" w:type="dxa"/>
            <w:tcBorders>
              <w:top w:val="single" w:sz="6" w:space="0" w:color="auto"/>
              <w:left w:val="single" w:sz="6" w:space="0" w:color="auto"/>
              <w:bottom w:val="single" w:sz="6" w:space="0" w:color="auto"/>
              <w:right w:val="single" w:sz="6" w:space="0" w:color="auto"/>
            </w:tcBorders>
          </w:tcPr>
          <w:p w14:paraId="2924B233" w14:textId="77777777" w:rsidR="007F3B9F" w:rsidRDefault="007F3B9F" w:rsidP="007F3B9F">
            <w:pPr>
              <w:pStyle w:val="Zkladntext"/>
              <w:spacing w:after="0" w:line="240" w:lineRule="atLeast"/>
            </w:pPr>
          </w:p>
          <w:p w14:paraId="7FD51FAC" w14:textId="77777777" w:rsidR="007F3B9F" w:rsidRDefault="007F3B9F" w:rsidP="007F3B9F">
            <w:pPr>
              <w:pStyle w:val="Texttabulky"/>
              <w:spacing w:after="0" w:line="240" w:lineRule="atLeast"/>
            </w:pPr>
            <w:r>
              <w:t>20</w:t>
            </w:r>
          </w:p>
          <w:p w14:paraId="2E2CFED3" w14:textId="77777777" w:rsidR="007F3B9F" w:rsidRDefault="007F3B9F" w:rsidP="007F3B9F">
            <w:pPr>
              <w:pStyle w:val="Zkladntext"/>
              <w:spacing w:after="0" w:line="240" w:lineRule="atLeast"/>
            </w:pPr>
          </w:p>
          <w:p w14:paraId="0F38A984" w14:textId="77777777" w:rsidR="007F3B9F" w:rsidRDefault="007F3B9F" w:rsidP="007F3B9F">
            <w:pPr>
              <w:pStyle w:val="Texttabulky"/>
              <w:spacing w:after="0" w:line="240" w:lineRule="atLeast"/>
            </w:pPr>
            <w:r>
              <w:t>1600</w:t>
            </w:r>
          </w:p>
        </w:tc>
        <w:tc>
          <w:tcPr>
            <w:tcW w:w="567" w:type="dxa"/>
            <w:tcBorders>
              <w:top w:val="single" w:sz="6" w:space="0" w:color="auto"/>
              <w:left w:val="single" w:sz="6" w:space="0" w:color="auto"/>
              <w:bottom w:val="single" w:sz="6" w:space="0" w:color="auto"/>
              <w:right w:val="single" w:sz="6" w:space="0" w:color="auto"/>
            </w:tcBorders>
          </w:tcPr>
          <w:p w14:paraId="0BCBDDA9" w14:textId="77777777" w:rsidR="007F3B9F" w:rsidRDefault="007F3B9F" w:rsidP="007F3B9F">
            <w:pPr>
              <w:pStyle w:val="Zkladntext"/>
              <w:spacing w:after="0" w:line="240" w:lineRule="atLeast"/>
            </w:pPr>
          </w:p>
          <w:p w14:paraId="2703526B" w14:textId="77777777" w:rsidR="007F3B9F" w:rsidRDefault="007F3B9F" w:rsidP="007F3B9F">
            <w:pPr>
              <w:pStyle w:val="Texttabulky"/>
              <w:spacing w:after="0" w:line="240" w:lineRule="atLeast"/>
            </w:pPr>
            <w:r>
              <w:t xml:space="preserve"> 4</w:t>
            </w:r>
          </w:p>
          <w:p w14:paraId="457DAB49"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0120F640" w14:textId="77777777" w:rsidR="007F3B9F" w:rsidRDefault="007F3B9F" w:rsidP="007F3B9F">
            <w:pPr>
              <w:pStyle w:val="Zkladntext"/>
              <w:spacing w:after="0" w:line="240" w:lineRule="atLeast"/>
            </w:pPr>
          </w:p>
          <w:p w14:paraId="6893A9D9" w14:textId="77777777" w:rsidR="007F3B9F" w:rsidRDefault="007F3B9F" w:rsidP="007F3B9F">
            <w:pPr>
              <w:pStyle w:val="Texttabulky"/>
              <w:spacing w:after="0" w:line="240" w:lineRule="atLeast"/>
            </w:pPr>
            <w:r>
              <w:t xml:space="preserve">  dle platného LHP</w:t>
            </w:r>
          </w:p>
        </w:tc>
      </w:tr>
      <w:tr w:rsidR="007F3B9F" w14:paraId="1EF54CF2" w14:textId="77777777" w:rsidTr="00BB63DF">
        <w:tc>
          <w:tcPr>
            <w:tcW w:w="993" w:type="dxa"/>
            <w:tcBorders>
              <w:top w:val="single" w:sz="6" w:space="0" w:color="auto"/>
              <w:left w:val="single" w:sz="6" w:space="0" w:color="auto"/>
              <w:bottom w:val="single" w:sz="6" w:space="0" w:color="auto"/>
              <w:right w:val="single" w:sz="6" w:space="0" w:color="auto"/>
            </w:tcBorders>
          </w:tcPr>
          <w:p w14:paraId="703B98BC" w14:textId="77777777" w:rsidR="007F3B9F" w:rsidRDefault="007F3B9F" w:rsidP="007F3B9F">
            <w:pPr>
              <w:pStyle w:val="Zkladntext"/>
              <w:spacing w:after="0" w:line="240" w:lineRule="atLeast"/>
            </w:pPr>
          </w:p>
          <w:p w14:paraId="395F567D" w14:textId="77777777" w:rsidR="007F3B9F" w:rsidRDefault="007F3B9F" w:rsidP="007F3B9F">
            <w:pPr>
              <w:pStyle w:val="Texttabulky"/>
              <w:spacing w:after="0" w:line="240" w:lineRule="atLeast"/>
            </w:pPr>
            <w:r>
              <w:rPr>
                <w:b/>
                <w:bCs/>
                <w:sz w:val="22"/>
                <w:szCs w:val="22"/>
              </w:rPr>
              <w:t xml:space="preserve"> 26 - 31</w:t>
            </w:r>
          </w:p>
          <w:p w14:paraId="1985CC5C"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3CFD9BD2" w14:textId="77777777" w:rsidR="007F3B9F" w:rsidRDefault="007F3B9F" w:rsidP="007F3B9F">
            <w:pPr>
              <w:pStyle w:val="Texttabulky"/>
              <w:spacing w:after="0" w:line="240" w:lineRule="atLeast"/>
            </w:pPr>
            <w:r>
              <w:rPr>
                <w:b/>
                <w:bCs/>
                <w:sz w:val="20"/>
                <w:szCs w:val="20"/>
              </w:rPr>
              <w:t>L</w:t>
            </w:r>
          </w:p>
          <w:p w14:paraId="684F9C2E" w14:textId="77777777" w:rsidR="007F3B9F" w:rsidRDefault="007F3B9F" w:rsidP="007F3B9F">
            <w:pPr>
              <w:pStyle w:val="Zkladntext"/>
              <w:spacing w:after="0" w:line="240" w:lineRule="atLeast"/>
            </w:pPr>
          </w:p>
          <w:p w14:paraId="51278932"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74C71FFF" w14:textId="77777777" w:rsidR="007F3B9F" w:rsidRDefault="007F3B9F" w:rsidP="007F3B9F">
            <w:pPr>
              <w:pStyle w:val="Texttabulky"/>
              <w:spacing w:after="0" w:line="240" w:lineRule="atLeast"/>
            </w:pPr>
            <w:r>
              <w:t>Biokoridor vymezený po jižním okraji lesního porostu nad městskou částí Přípeř v dřevinných spol. ekotonálního charakteru v slt kyselých db BK.</w:t>
            </w:r>
          </w:p>
        </w:tc>
        <w:tc>
          <w:tcPr>
            <w:tcW w:w="709" w:type="dxa"/>
            <w:tcBorders>
              <w:top w:val="single" w:sz="6" w:space="0" w:color="auto"/>
              <w:left w:val="single" w:sz="6" w:space="0" w:color="auto"/>
              <w:bottom w:val="single" w:sz="6" w:space="0" w:color="auto"/>
              <w:right w:val="single" w:sz="6" w:space="0" w:color="auto"/>
            </w:tcBorders>
          </w:tcPr>
          <w:p w14:paraId="16237BDD" w14:textId="77777777" w:rsidR="007F3B9F" w:rsidRDefault="007F3B9F" w:rsidP="007F3B9F">
            <w:pPr>
              <w:pStyle w:val="Zkladntext"/>
              <w:spacing w:after="0" w:line="240" w:lineRule="atLeast"/>
            </w:pPr>
          </w:p>
          <w:p w14:paraId="6A539B6F" w14:textId="77777777" w:rsidR="007F3B9F" w:rsidRDefault="007F3B9F" w:rsidP="007F3B9F">
            <w:pPr>
              <w:pStyle w:val="Texttabulky"/>
              <w:spacing w:after="0" w:line="240" w:lineRule="atLeast"/>
            </w:pPr>
            <w:r>
              <w:t>20</w:t>
            </w:r>
          </w:p>
          <w:p w14:paraId="247EDC79" w14:textId="77777777" w:rsidR="007F3B9F" w:rsidRDefault="007F3B9F" w:rsidP="007F3B9F">
            <w:pPr>
              <w:pStyle w:val="Zkladntext"/>
              <w:spacing w:after="0" w:line="240" w:lineRule="atLeast"/>
            </w:pPr>
          </w:p>
          <w:p w14:paraId="31DCDE0E" w14:textId="77777777" w:rsidR="007F3B9F" w:rsidRDefault="007F3B9F" w:rsidP="007F3B9F">
            <w:pPr>
              <w:pStyle w:val="Texttabulky"/>
              <w:spacing w:after="0" w:line="240" w:lineRule="atLeast"/>
            </w:pPr>
            <w:r>
              <w:t>1200</w:t>
            </w:r>
          </w:p>
        </w:tc>
        <w:tc>
          <w:tcPr>
            <w:tcW w:w="567" w:type="dxa"/>
            <w:tcBorders>
              <w:top w:val="single" w:sz="6" w:space="0" w:color="auto"/>
              <w:left w:val="single" w:sz="6" w:space="0" w:color="auto"/>
              <w:bottom w:val="single" w:sz="6" w:space="0" w:color="auto"/>
              <w:right w:val="single" w:sz="6" w:space="0" w:color="auto"/>
            </w:tcBorders>
          </w:tcPr>
          <w:p w14:paraId="013F9F99" w14:textId="77777777" w:rsidR="007F3B9F" w:rsidRDefault="007F3B9F" w:rsidP="007F3B9F">
            <w:pPr>
              <w:pStyle w:val="Zkladntext"/>
              <w:spacing w:after="0" w:line="240" w:lineRule="atLeast"/>
            </w:pPr>
          </w:p>
          <w:p w14:paraId="00DA6244" w14:textId="77777777" w:rsidR="007F3B9F" w:rsidRDefault="007F3B9F" w:rsidP="007F3B9F">
            <w:pPr>
              <w:pStyle w:val="Texttabulky"/>
              <w:spacing w:after="0" w:line="240" w:lineRule="atLeast"/>
            </w:pPr>
            <w:r>
              <w:t xml:space="preserve"> 4</w:t>
            </w:r>
          </w:p>
          <w:p w14:paraId="54F8683A"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58C34DC6" w14:textId="77777777" w:rsidR="007F3B9F" w:rsidRDefault="007F3B9F" w:rsidP="007F3B9F">
            <w:pPr>
              <w:pStyle w:val="Zkladntext"/>
              <w:spacing w:after="0" w:line="240" w:lineRule="atLeast"/>
            </w:pPr>
          </w:p>
          <w:p w14:paraId="578B8835" w14:textId="77777777" w:rsidR="007F3B9F" w:rsidRDefault="007F3B9F" w:rsidP="007F3B9F">
            <w:pPr>
              <w:pStyle w:val="Texttabulky"/>
              <w:spacing w:after="0" w:line="240" w:lineRule="atLeast"/>
            </w:pPr>
            <w:r>
              <w:t xml:space="preserve">  dle platného LHP</w:t>
            </w:r>
          </w:p>
        </w:tc>
      </w:tr>
      <w:tr w:rsidR="007F3B9F" w14:paraId="7281254C" w14:textId="77777777" w:rsidTr="00BB63DF">
        <w:tc>
          <w:tcPr>
            <w:tcW w:w="993" w:type="dxa"/>
            <w:tcBorders>
              <w:top w:val="single" w:sz="6" w:space="0" w:color="auto"/>
              <w:left w:val="single" w:sz="6" w:space="0" w:color="auto"/>
              <w:bottom w:val="single" w:sz="6" w:space="0" w:color="auto"/>
              <w:right w:val="single" w:sz="6" w:space="0" w:color="auto"/>
            </w:tcBorders>
          </w:tcPr>
          <w:p w14:paraId="4395A4C6" w14:textId="77777777" w:rsidR="007F3B9F" w:rsidRDefault="007F3B9F" w:rsidP="007F3B9F">
            <w:pPr>
              <w:pStyle w:val="Zkladntext"/>
              <w:spacing w:after="0" w:line="240" w:lineRule="atLeast"/>
            </w:pPr>
          </w:p>
          <w:p w14:paraId="5EDF16FF" w14:textId="77777777" w:rsidR="007F3B9F" w:rsidRDefault="007F3B9F" w:rsidP="007F3B9F">
            <w:pPr>
              <w:pStyle w:val="Texttabulky"/>
              <w:spacing w:after="0" w:line="240" w:lineRule="atLeast"/>
            </w:pPr>
            <w:r>
              <w:rPr>
                <w:b/>
                <w:bCs/>
                <w:sz w:val="22"/>
                <w:szCs w:val="22"/>
              </w:rPr>
              <w:t xml:space="preserve"> 18 - 26</w:t>
            </w:r>
          </w:p>
          <w:p w14:paraId="2F821106"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2BD3EB99" w14:textId="77777777" w:rsidR="007F3B9F" w:rsidRDefault="007F3B9F" w:rsidP="007F3B9F">
            <w:pPr>
              <w:pStyle w:val="Texttabulky"/>
              <w:spacing w:after="0" w:line="240" w:lineRule="atLeast"/>
            </w:pPr>
            <w:r>
              <w:rPr>
                <w:b/>
                <w:bCs/>
                <w:sz w:val="20"/>
                <w:szCs w:val="20"/>
              </w:rPr>
              <w:t>L</w:t>
            </w:r>
          </w:p>
          <w:p w14:paraId="7C020CF1" w14:textId="77777777" w:rsidR="007F3B9F" w:rsidRDefault="007F3B9F" w:rsidP="007F3B9F">
            <w:pPr>
              <w:pStyle w:val="Zkladntext"/>
              <w:spacing w:after="0" w:line="240" w:lineRule="atLeast"/>
            </w:pPr>
          </w:p>
          <w:p w14:paraId="75B77AE0"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1AF1D0FF" w14:textId="77777777" w:rsidR="007F3B9F" w:rsidRDefault="007F3B9F" w:rsidP="007F3B9F">
            <w:pPr>
              <w:pStyle w:val="Texttabulky"/>
              <w:spacing w:after="0" w:line="240" w:lineRule="atLeast"/>
            </w:pPr>
            <w:r>
              <w:t>Biokoridor vymezený po jižním okraji lesního porostu nad městskou částí Bělá, resp. Jalůvčí v dřevinných spol. ekotonálního charakteru v slt kyselých dbbk BO a chudých db BO.</w:t>
            </w:r>
          </w:p>
        </w:tc>
        <w:tc>
          <w:tcPr>
            <w:tcW w:w="709" w:type="dxa"/>
            <w:tcBorders>
              <w:top w:val="single" w:sz="6" w:space="0" w:color="auto"/>
              <w:left w:val="single" w:sz="6" w:space="0" w:color="auto"/>
              <w:bottom w:val="single" w:sz="6" w:space="0" w:color="auto"/>
              <w:right w:val="single" w:sz="6" w:space="0" w:color="auto"/>
            </w:tcBorders>
          </w:tcPr>
          <w:p w14:paraId="49EB9696" w14:textId="77777777" w:rsidR="007F3B9F" w:rsidRDefault="007F3B9F" w:rsidP="007F3B9F">
            <w:pPr>
              <w:pStyle w:val="Zkladntext"/>
              <w:spacing w:after="0" w:line="240" w:lineRule="atLeast"/>
            </w:pPr>
          </w:p>
          <w:p w14:paraId="6DFCCB10" w14:textId="77777777" w:rsidR="007F3B9F" w:rsidRDefault="007F3B9F" w:rsidP="007F3B9F">
            <w:pPr>
              <w:pStyle w:val="Texttabulky"/>
              <w:spacing w:after="0" w:line="240" w:lineRule="atLeast"/>
            </w:pPr>
            <w:r>
              <w:t>20</w:t>
            </w:r>
          </w:p>
          <w:p w14:paraId="16070519" w14:textId="77777777" w:rsidR="007F3B9F" w:rsidRDefault="007F3B9F" w:rsidP="007F3B9F">
            <w:pPr>
              <w:pStyle w:val="Zkladntext"/>
              <w:spacing w:after="0" w:line="240" w:lineRule="atLeast"/>
            </w:pPr>
          </w:p>
          <w:p w14:paraId="265B534B" w14:textId="77777777" w:rsidR="007F3B9F" w:rsidRDefault="007F3B9F" w:rsidP="007F3B9F">
            <w:pPr>
              <w:pStyle w:val="Texttabulky"/>
              <w:spacing w:after="0" w:line="240" w:lineRule="atLeast"/>
            </w:pPr>
            <w:r>
              <w:t>2000</w:t>
            </w:r>
          </w:p>
        </w:tc>
        <w:tc>
          <w:tcPr>
            <w:tcW w:w="567" w:type="dxa"/>
            <w:tcBorders>
              <w:top w:val="single" w:sz="6" w:space="0" w:color="auto"/>
              <w:left w:val="single" w:sz="6" w:space="0" w:color="auto"/>
              <w:bottom w:val="single" w:sz="6" w:space="0" w:color="auto"/>
              <w:right w:val="single" w:sz="6" w:space="0" w:color="auto"/>
            </w:tcBorders>
          </w:tcPr>
          <w:p w14:paraId="18973B77" w14:textId="77777777" w:rsidR="007F3B9F" w:rsidRDefault="007F3B9F" w:rsidP="007F3B9F">
            <w:pPr>
              <w:pStyle w:val="Zkladntext"/>
              <w:spacing w:after="0" w:line="240" w:lineRule="atLeast"/>
            </w:pPr>
          </w:p>
          <w:p w14:paraId="7CD10830" w14:textId="77777777" w:rsidR="007F3B9F" w:rsidRDefault="007F3B9F" w:rsidP="007F3B9F">
            <w:pPr>
              <w:pStyle w:val="Texttabulky"/>
              <w:spacing w:after="0" w:line="240" w:lineRule="atLeast"/>
            </w:pPr>
            <w:r>
              <w:t xml:space="preserve"> 4</w:t>
            </w:r>
          </w:p>
          <w:p w14:paraId="7A340FF9"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3A55AB15" w14:textId="77777777" w:rsidR="007F3B9F" w:rsidRDefault="007F3B9F" w:rsidP="007F3B9F">
            <w:pPr>
              <w:pStyle w:val="Zkladntext"/>
              <w:spacing w:after="0" w:line="240" w:lineRule="atLeast"/>
            </w:pPr>
          </w:p>
          <w:p w14:paraId="03912690" w14:textId="77777777" w:rsidR="007F3B9F" w:rsidRDefault="007F3B9F" w:rsidP="007F3B9F">
            <w:pPr>
              <w:pStyle w:val="Texttabulky"/>
              <w:spacing w:after="0" w:line="240" w:lineRule="atLeast"/>
            </w:pPr>
            <w:r>
              <w:t xml:space="preserve">  dle platného LHP</w:t>
            </w:r>
          </w:p>
        </w:tc>
      </w:tr>
      <w:tr w:rsidR="007F3B9F" w14:paraId="176305F1" w14:textId="77777777" w:rsidTr="00BB63DF">
        <w:tc>
          <w:tcPr>
            <w:tcW w:w="993" w:type="dxa"/>
            <w:tcBorders>
              <w:top w:val="single" w:sz="6" w:space="0" w:color="auto"/>
              <w:left w:val="single" w:sz="6" w:space="0" w:color="auto"/>
              <w:bottom w:val="single" w:sz="6" w:space="0" w:color="auto"/>
              <w:right w:val="single" w:sz="6" w:space="0" w:color="auto"/>
            </w:tcBorders>
          </w:tcPr>
          <w:p w14:paraId="5F80BD48" w14:textId="77777777" w:rsidR="007F3B9F" w:rsidRDefault="007F3B9F" w:rsidP="007F3B9F">
            <w:pPr>
              <w:pStyle w:val="Zkladntext"/>
              <w:spacing w:after="0" w:line="240" w:lineRule="atLeast"/>
            </w:pPr>
          </w:p>
          <w:p w14:paraId="68EA69EA" w14:textId="77777777" w:rsidR="007F3B9F" w:rsidRDefault="007F3B9F" w:rsidP="007F3B9F">
            <w:pPr>
              <w:pStyle w:val="Texttabulky"/>
              <w:spacing w:after="0" w:line="240" w:lineRule="atLeast"/>
            </w:pPr>
            <w:r>
              <w:rPr>
                <w:b/>
                <w:bCs/>
                <w:sz w:val="22"/>
                <w:szCs w:val="22"/>
              </w:rPr>
              <w:t xml:space="preserve"> 26 - 18</w:t>
            </w:r>
          </w:p>
          <w:p w14:paraId="03EE3265"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640FEDE2" w14:textId="77777777" w:rsidR="007F3B9F" w:rsidRDefault="007F3B9F" w:rsidP="007F3B9F">
            <w:pPr>
              <w:pStyle w:val="Texttabulky"/>
              <w:spacing w:after="0" w:line="240" w:lineRule="atLeast"/>
            </w:pPr>
            <w:r>
              <w:rPr>
                <w:b/>
                <w:bCs/>
                <w:sz w:val="20"/>
                <w:szCs w:val="20"/>
              </w:rPr>
              <w:t>L</w:t>
            </w:r>
          </w:p>
          <w:p w14:paraId="5225E2D9" w14:textId="77777777" w:rsidR="007F3B9F" w:rsidRDefault="007F3B9F" w:rsidP="007F3B9F">
            <w:pPr>
              <w:pStyle w:val="Zkladntext"/>
              <w:spacing w:after="0" w:line="240" w:lineRule="atLeast"/>
            </w:pPr>
          </w:p>
          <w:p w14:paraId="127C8051"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4D5362F7" w14:textId="77777777" w:rsidR="007F3B9F" w:rsidRDefault="007F3B9F" w:rsidP="007F3B9F">
            <w:pPr>
              <w:pStyle w:val="Texttabulky"/>
              <w:spacing w:after="0" w:line="240" w:lineRule="atLeast"/>
            </w:pPr>
            <w:r>
              <w:t>Biokoridor vymezený po jižním a východním okraji lesního porostu nad městskou částí Bělá v dřevinných spol. ekotonálního charakteru v slt kyselých dbbk BO a chudých db BO.</w:t>
            </w:r>
          </w:p>
        </w:tc>
        <w:tc>
          <w:tcPr>
            <w:tcW w:w="709" w:type="dxa"/>
            <w:tcBorders>
              <w:top w:val="single" w:sz="6" w:space="0" w:color="auto"/>
              <w:left w:val="single" w:sz="6" w:space="0" w:color="auto"/>
              <w:bottom w:val="single" w:sz="6" w:space="0" w:color="auto"/>
              <w:right w:val="single" w:sz="6" w:space="0" w:color="auto"/>
            </w:tcBorders>
          </w:tcPr>
          <w:p w14:paraId="130878C5" w14:textId="77777777" w:rsidR="007F3B9F" w:rsidRDefault="007F3B9F" w:rsidP="007F3B9F">
            <w:pPr>
              <w:pStyle w:val="Zkladntext"/>
              <w:spacing w:after="0" w:line="240" w:lineRule="atLeast"/>
            </w:pPr>
          </w:p>
          <w:p w14:paraId="470DEBA4" w14:textId="77777777" w:rsidR="007F3B9F" w:rsidRDefault="007F3B9F" w:rsidP="007F3B9F">
            <w:pPr>
              <w:pStyle w:val="Texttabulky"/>
              <w:spacing w:after="0" w:line="240" w:lineRule="atLeast"/>
            </w:pPr>
            <w:r>
              <w:t>20</w:t>
            </w:r>
          </w:p>
          <w:p w14:paraId="7C15D6C1" w14:textId="77777777" w:rsidR="007F3B9F" w:rsidRDefault="007F3B9F" w:rsidP="007F3B9F">
            <w:pPr>
              <w:pStyle w:val="Zkladntext"/>
              <w:spacing w:after="0" w:line="240" w:lineRule="atLeast"/>
            </w:pPr>
          </w:p>
          <w:p w14:paraId="6CDCA4B2" w14:textId="77777777" w:rsidR="007F3B9F" w:rsidRDefault="007F3B9F" w:rsidP="007F3B9F">
            <w:pPr>
              <w:pStyle w:val="Texttabulky"/>
              <w:spacing w:after="0" w:line="240" w:lineRule="atLeast"/>
            </w:pPr>
            <w:r>
              <w:t>2000</w:t>
            </w:r>
          </w:p>
        </w:tc>
        <w:tc>
          <w:tcPr>
            <w:tcW w:w="567" w:type="dxa"/>
            <w:tcBorders>
              <w:top w:val="single" w:sz="6" w:space="0" w:color="auto"/>
              <w:left w:val="single" w:sz="6" w:space="0" w:color="auto"/>
              <w:bottom w:val="single" w:sz="6" w:space="0" w:color="auto"/>
              <w:right w:val="single" w:sz="6" w:space="0" w:color="auto"/>
            </w:tcBorders>
          </w:tcPr>
          <w:p w14:paraId="67A720CC" w14:textId="77777777" w:rsidR="007F3B9F" w:rsidRDefault="007F3B9F" w:rsidP="007F3B9F">
            <w:pPr>
              <w:pStyle w:val="Zkladntext"/>
              <w:spacing w:after="0" w:line="240" w:lineRule="atLeast"/>
            </w:pPr>
          </w:p>
          <w:p w14:paraId="11A20DC0" w14:textId="77777777" w:rsidR="007F3B9F" w:rsidRDefault="007F3B9F" w:rsidP="007F3B9F">
            <w:pPr>
              <w:pStyle w:val="Texttabulky"/>
              <w:spacing w:after="0" w:line="240" w:lineRule="atLeast"/>
            </w:pPr>
            <w:r>
              <w:t xml:space="preserve"> 4</w:t>
            </w:r>
          </w:p>
          <w:p w14:paraId="10F637D9"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50C9430B" w14:textId="77777777" w:rsidR="007F3B9F" w:rsidRDefault="007F3B9F" w:rsidP="007F3B9F">
            <w:pPr>
              <w:pStyle w:val="Zkladntext"/>
              <w:spacing w:after="0" w:line="240" w:lineRule="atLeast"/>
            </w:pPr>
          </w:p>
          <w:p w14:paraId="541DD436" w14:textId="77777777" w:rsidR="007F3B9F" w:rsidRDefault="007F3B9F" w:rsidP="007F3B9F">
            <w:pPr>
              <w:pStyle w:val="Texttabulky"/>
              <w:spacing w:after="0" w:line="240" w:lineRule="atLeast"/>
            </w:pPr>
            <w:r>
              <w:t xml:space="preserve">  dle platného LHP</w:t>
            </w:r>
          </w:p>
        </w:tc>
      </w:tr>
      <w:tr w:rsidR="007F3B9F" w14:paraId="3C7FB1E5" w14:textId="77777777" w:rsidTr="00BB63DF">
        <w:tc>
          <w:tcPr>
            <w:tcW w:w="993" w:type="dxa"/>
            <w:tcBorders>
              <w:top w:val="single" w:sz="6" w:space="0" w:color="auto"/>
              <w:left w:val="single" w:sz="6" w:space="0" w:color="auto"/>
              <w:bottom w:val="single" w:sz="6" w:space="0" w:color="auto"/>
              <w:right w:val="single" w:sz="6" w:space="0" w:color="auto"/>
            </w:tcBorders>
          </w:tcPr>
          <w:p w14:paraId="4CE7BEB9" w14:textId="77777777" w:rsidR="007F3B9F" w:rsidRDefault="007F3B9F" w:rsidP="007F3B9F">
            <w:pPr>
              <w:pStyle w:val="Zkladntext"/>
              <w:spacing w:after="0" w:line="240" w:lineRule="atLeast"/>
            </w:pPr>
          </w:p>
          <w:p w14:paraId="718CA6AE" w14:textId="77777777" w:rsidR="007F3B9F" w:rsidRDefault="007F3B9F" w:rsidP="007F3B9F">
            <w:pPr>
              <w:pStyle w:val="Texttabulky"/>
              <w:spacing w:after="0" w:line="240" w:lineRule="atLeast"/>
            </w:pPr>
            <w:r>
              <w:rPr>
                <w:b/>
                <w:bCs/>
                <w:sz w:val="22"/>
                <w:szCs w:val="22"/>
              </w:rPr>
              <w:t xml:space="preserve"> 24 - 25</w:t>
            </w:r>
          </w:p>
          <w:p w14:paraId="3BE35B7F"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1C39DB66" w14:textId="77777777" w:rsidR="007F3B9F" w:rsidRDefault="007F3B9F" w:rsidP="007F3B9F">
            <w:pPr>
              <w:pStyle w:val="Zkladntext"/>
              <w:spacing w:after="0" w:line="240" w:lineRule="atLeast"/>
            </w:pPr>
          </w:p>
          <w:p w14:paraId="72A29DBC" w14:textId="77777777" w:rsidR="007F3B9F" w:rsidRDefault="007F3B9F" w:rsidP="007F3B9F">
            <w:pPr>
              <w:pStyle w:val="Texttabulky"/>
              <w:spacing w:after="0" w:line="240" w:lineRule="atLeast"/>
            </w:pPr>
            <w:r>
              <w:rPr>
                <w:sz w:val="20"/>
                <w:szCs w:val="20"/>
              </w:rPr>
              <w:t>L</w:t>
            </w:r>
          </w:p>
          <w:p w14:paraId="638A32A6" w14:textId="77777777" w:rsidR="007F3B9F" w:rsidRDefault="007F3B9F" w:rsidP="007F3B9F">
            <w:pPr>
              <w:pStyle w:val="Zkladntext"/>
              <w:spacing w:after="0" w:line="240" w:lineRule="atLeast"/>
            </w:pPr>
          </w:p>
          <w:p w14:paraId="47C60629"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12E73667" w14:textId="77777777" w:rsidR="007F3B9F" w:rsidRDefault="007F3B9F" w:rsidP="007F3B9F">
            <w:pPr>
              <w:pStyle w:val="Texttabulky"/>
              <w:spacing w:after="0" w:line="240" w:lineRule="atLeast"/>
            </w:pPr>
            <w:r>
              <w:t>Biokoridor vymezený v lesních porostech v slt kyselých dbbk BO a kyselých jd BK.</w:t>
            </w:r>
          </w:p>
        </w:tc>
        <w:tc>
          <w:tcPr>
            <w:tcW w:w="709" w:type="dxa"/>
            <w:tcBorders>
              <w:top w:val="single" w:sz="6" w:space="0" w:color="auto"/>
              <w:left w:val="single" w:sz="6" w:space="0" w:color="auto"/>
              <w:bottom w:val="single" w:sz="6" w:space="0" w:color="auto"/>
              <w:right w:val="single" w:sz="6" w:space="0" w:color="auto"/>
            </w:tcBorders>
          </w:tcPr>
          <w:p w14:paraId="4B1EC949" w14:textId="77777777" w:rsidR="007F3B9F" w:rsidRDefault="007F3B9F" w:rsidP="007F3B9F">
            <w:pPr>
              <w:pStyle w:val="Zkladntext"/>
              <w:spacing w:after="0" w:line="240" w:lineRule="atLeast"/>
            </w:pPr>
          </w:p>
          <w:p w14:paraId="771CD460" w14:textId="77777777" w:rsidR="007F3B9F" w:rsidRDefault="007F3B9F" w:rsidP="007F3B9F">
            <w:pPr>
              <w:pStyle w:val="Texttabulky"/>
              <w:spacing w:after="0" w:line="240" w:lineRule="atLeast"/>
            </w:pPr>
            <w:r>
              <w:t>20</w:t>
            </w:r>
          </w:p>
          <w:p w14:paraId="280C656E" w14:textId="77777777" w:rsidR="007F3B9F" w:rsidRDefault="007F3B9F" w:rsidP="007F3B9F">
            <w:pPr>
              <w:pStyle w:val="Zkladntext"/>
              <w:spacing w:after="0" w:line="240" w:lineRule="atLeast"/>
            </w:pPr>
          </w:p>
          <w:p w14:paraId="7E9BFEDB" w14:textId="77777777" w:rsidR="007F3B9F" w:rsidRDefault="007F3B9F" w:rsidP="007F3B9F">
            <w:pPr>
              <w:pStyle w:val="Texttabulky"/>
              <w:spacing w:after="0" w:line="240" w:lineRule="atLeast"/>
            </w:pPr>
            <w:r>
              <w:t>1500</w:t>
            </w:r>
          </w:p>
        </w:tc>
        <w:tc>
          <w:tcPr>
            <w:tcW w:w="567" w:type="dxa"/>
            <w:tcBorders>
              <w:top w:val="single" w:sz="6" w:space="0" w:color="auto"/>
              <w:left w:val="single" w:sz="6" w:space="0" w:color="auto"/>
              <w:bottom w:val="single" w:sz="6" w:space="0" w:color="auto"/>
              <w:right w:val="single" w:sz="6" w:space="0" w:color="auto"/>
            </w:tcBorders>
          </w:tcPr>
          <w:p w14:paraId="418D05DA" w14:textId="77777777" w:rsidR="007F3B9F" w:rsidRDefault="007F3B9F" w:rsidP="007F3B9F">
            <w:pPr>
              <w:pStyle w:val="Zkladntext"/>
              <w:spacing w:after="0" w:line="240" w:lineRule="atLeast"/>
            </w:pPr>
          </w:p>
          <w:p w14:paraId="5A26646B" w14:textId="77777777" w:rsidR="007F3B9F" w:rsidRDefault="007F3B9F" w:rsidP="007F3B9F">
            <w:pPr>
              <w:pStyle w:val="Texttabulky"/>
              <w:spacing w:after="0" w:line="240" w:lineRule="atLeast"/>
            </w:pPr>
            <w:r>
              <w:t>3-4</w:t>
            </w:r>
          </w:p>
          <w:p w14:paraId="0DE7501D"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7DF929F2" w14:textId="77777777" w:rsidR="007F3B9F" w:rsidRDefault="007F3B9F" w:rsidP="007F3B9F">
            <w:pPr>
              <w:pStyle w:val="Zkladntext"/>
              <w:spacing w:after="0" w:line="240" w:lineRule="atLeast"/>
            </w:pPr>
          </w:p>
          <w:p w14:paraId="5ACB18B5" w14:textId="77777777" w:rsidR="007F3B9F" w:rsidRDefault="007F3B9F" w:rsidP="007F3B9F">
            <w:pPr>
              <w:pStyle w:val="Texttabulky"/>
              <w:spacing w:after="0" w:line="240" w:lineRule="atLeast"/>
            </w:pPr>
            <w:r>
              <w:t xml:space="preserve">  dle platného LHP</w:t>
            </w:r>
          </w:p>
        </w:tc>
      </w:tr>
      <w:tr w:rsidR="007F3B9F" w14:paraId="4ACBB613" w14:textId="77777777" w:rsidTr="00BB63DF">
        <w:tc>
          <w:tcPr>
            <w:tcW w:w="993" w:type="dxa"/>
            <w:tcBorders>
              <w:top w:val="single" w:sz="6" w:space="0" w:color="auto"/>
              <w:left w:val="single" w:sz="6" w:space="0" w:color="auto"/>
              <w:bottom w:val="single" w:sz="6" w:space="0" w:color="auto"/>
              <w:right w:val="single" w:sz="6" w:space="0" w:color="auto"/>
            </w:tcBorders>
          </w:tcPr>
          <w:p w14:paraId="09D86560" w14:textId="77777777" w:rsidR="007F3B9F" w:rsidRDefault="007F3B9F" w:rsidP="007F3B9F">
            <w:pPr>
              <w:pStyle w:val="Zkladntext"/>
              <w:spacing w:after="0" w:line="240" w:lineRule="atLeast"/>
            </w:pPr>
          </w:p>
          <w:p w14:paraId="4DB5DCC8" w14:textId="77777777" w:rsidR="007F3B9F" w:rsidRDefault="007F3B9F" w:rsidP="007F3B9F">
            <w:pPr>
              <w:pStyle w:val="Texttabulky"/>
              <w:spacing w:after="0" w:line="240" w:lineRule="atLeast"/>
            </w:pPr>
            <w:r>
              <w:rPr>
                <w:b/>
                <w:bCs/>
                <w:sz w:val="22"/>
                <w:szCs w:val="22"/>
              </w:rPr>
              <w:t>18 - 26</w:t>
            </w:r>
          </w:p>
          <w:p w14:paraId="54E3B461"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3E8BD145" w14:textId="77777777" w:rsidR="007F3B9F" w:rsidRDefault="007F3B9F" w:rsidP="007F3B9F">
            <w:pPr>
              <w:pStyle w:val="Texttabulky"/>
              <w:spacing w:after="0" w:line="240" w:lineRule="atLeast"/>
            </w:pPr>
            <w:r>
              <w:rPr>
                <w:b/>
                <w:bCs/>
                <w:sz w:val="20"/>
                <w:szCs w:val="20"/>
              </w:rPr>
              <w:t>L</w:t>
            </w:r>
          </w:p>
          <w:p w14:paraId="14E80A5A" w14:textId="77777777" w:rsidR="007F3B9F" w:rsidRDefault="007F3B9F" w:rsidP="007F3B9F">
            <w:pPr>
              <w:pStyle w:val="Zkladntext"/>
              <w:spacing w:after="0" w:line="240" w:lineRule="atLeast"/>
            </w:pPr>
          </w:p>
          <w:p w14:paraId="24E1E0B6"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08765A92" w14:textId="77777777" w:rsidR="007F3B9F" w:rsidRDefault="007F3B9F" w:rsidP="007F3B9F">
            <w:pPr>
              <w:pStyle w:val="Texttabulky"/>
              <w:spacing w:after="0" w:line="240" w:lineRule="atLeast"/>
            </w:pPr>
            <w:r>
              <w:t>Biokoridor vymezený v lesních porostech podél potoka Ostružiník v slt sm BO.</w:t>
            </w:r>
          </w:p>
        </w:tc>
        <w:tc>
          <w:tcPr>
            <w:tcW w:w="709" w:type="dxa"/>
            <w:tcBorders>
              <w:top w:val="single" w:sz="6" w:space="0" w:color="auto"/>
              <w:left w:val="single" w:sz="6" w:space="0" w:color="auto"/>
              <w:bottom w:val="single" w:sz="6" w:space="0" w:color="auto"/>
              <w:right w:val="single" w:sz="6" w:space="0" w:color="auto"/>
            </w:tcBorders>
          </w:tcPr>
          <w:p w14:paraId="3F7D4C36" w14:textId="77777777" w:rsidR="007F3B9F" w:rsidRDefault="007F3B9F" w:rsidP="007F3B9F">
            <w:pPr>
              <w:pStyle w:val="Zkladntext"/>
              <w:spacing w:after="0" w:line="240" w:lineRule="atLeast"/>
            </w:pPr>
          </w:p>
          <w:p w14:paraId="44E17DCC" w14:textId="77777777" w:rsidR="007F3B9F" w:rsidRDefault="007F3B9F" w:rsidP="007F3B9F">
            <w:pPr>
              <w:pStyle w:val="Texttabulky"/>
              <w:spacing w:after="0" w:line="240" w:lineRule="atLeast"/>
            </w:pPr>
            <w:r>
              <w:t>20</w:t>
            </w:r>
          </w:p>
          <w:p w14:paraId="19A3CE35" w14:textId="77777777" w:rsidR="007F3B9F" w:rsidRDefault="007F3B9F" w:rsidP="007F3B9F">
            <w:pPr>
              <w:pStyle w:val="Texttabulky"/>
              <w:spacing w:after="0" w:line="240" w:lineRule="atLeast"/>
            </w:pPr>
            <w:r>
              <w:t>2000</w:t>
            </w:r>
          </w:p>
        </w:tc>
        <w:tc>
          <w:tcPr>
            <w:tcW w:w="567" w:type="dxa"/>
            <w:tcBorders>
              <w:top w:val="single" w:sz="6" w:space="0" w:color="auto"/>
              <w:left w:val="single" w:sz="6" w:space="0" w:color="auto"/>
              <w:bottom w:val="single" w:sz="6" w:space="0" w:color="auto"/>
              <w:right w:val="single" w:sz="6" w:space="0" w:color="auto"/>
            </w:tcBorders>
          </w:tcPr>
          <w:p w14:paraId="3C2A8B97" w14:textId="77777777" w:rsidR="007F3B9F" w:rsidRDefault="007F3B9F" w:rsidP="007F3B9F">
            <w:pPr>
              <w:pStyle w:val="Zkladntext"/>
              <w:spacing w:after="0" w:line="240" w:lineRule="atLeast"/>
            </w:pPr>
          </w:p>
          <w:p w14:paraId="4739EC82" w14:textId="77777777" w:rsidR="007F3B9F" w:rsidRDefault="007F3B9F" w:rsidP="007F3B9F">
            <w:pPr>
              <w:pStyle w:val="Texttabulky"/>
              <w:spacing w:after="0" w:line="240" w:lineRule="atLeast"/>
            </w:pPr>
            <w:r>
              <w:t xml:space="preserve"> 4</w:t>
            </w:r>
          </w:p>
          <w:p w14:paraId="14330A1A"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051736E1" w14:textId="77777777" w:rsidR="007F3B9F" w:rsidRDefault="007F3B9F" w:rsidP="007F3B9F">
            <w:pPr>
              <w:pStyle w:val="Zkladntext"/>
              <w:spacing w:after="0" w:line="240" w:lineRule="atLeast"/>
            </w:pPr>
          </w:p>
          <w:p w14:paraId="66A10863" w14:textId="77777777" w:rsidR="007F3B9F" w:rsidRDefault="007F3B9F" w:rsidP="007F3B9F">
            <w:pPr>
              <w:pStyle w:val="Texttabulky"/>
              <w:spacing w:after="0" w:line="240" w:lineRule="atLeast"/>
            </w:pPr>
            <w:r>
              <w:t xml:space="preserve">  dle platného LHP</w:t>
            </w:r>
          </w:p>
        </w:tc>
      </w:tr>
      <w:tr w:rsidR="007F3B9F" w14:paraId="2A2C6B82" w14:textId="77777777" w:rsidTr="00BB63DF">
        <w:tc>
          <w:tcPr>
            <w:tcW w:w="993" w:type="dxa"/>
            <w:tcBorders>
              <w:top w:val="single" w:sz="6" w:space="0" w:color="auto"/>
              <w:left w:val="single" w:sz="6" w:space="0" w:color="auto"/>
              <w:bottom w:val="single" w:sz="6" w:space="0" w:color="auto"/>
              <w:right w:val="single" w:sz="6" w:space="0" w:color="auto"/>
            </w:tcBorders>
          </w:tcPr>
          <w:p w14:paraId="0414D744" w14:textId="77777777" w:rsidR="007F3B9F" w:rsidRDefault="007F3B9F" w:rsidP="007F3B9F">
            <w:pPr>
              <w:pStyle w:val="Zkladntext"/>
              <w:spacing w:after="0" w:line="240" w:lineRule="atLeast"/>
            </w:pPr>
          </w:p>
          <w:p w14:paraId="2E92EF72" w14:textId="77777777" w:rsidR="007F3B9F" w:rsidRDefault="007F3B9F" w:rsidP="007F3B9F">
            <w:pPr>
              <w:pStyle w:val="Texttabulky"/>
              <w:spacing w:after="0" w:line="240" w:lineRule="atLeast"/>
            </w:pPr>
            <w:r>
              <w:rPr>
                <w:b/>
                <w:bCs/>
                <w:sz w:val="22"/>
                <w:szCs w:val="22"/>
              </w:rPr>
              <w:t>24 - 25</w:t>
            </w:r>
          </w:p>
          <w:p w14:paraId="55F8B48A"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13300F4" w14:textId="77777777" w:rsidR="007F3B9F" w:rsidRDefault="007F3B9F" w:rsidP="007F3B9F">
            <w:pPr>
              <w:pStyle w:val="Texttabulky"/>
              <w:spacing w:after="0" w:line="240" w:lineRule="atLeast"/>
            </w:pPr>
            <w:r>
              <w:rPr>
                <w:b/>
                <w:bCs/>
                <w:sz w:val="20"/>
                <w:szCs w:val="20"/>
              </w:rPr>
              <w:t>L</w:t>
            </w:r>
          </w:p>
          <w:p w14:paraId="5CB85CEB" w14:textId="77777777" w:rsidR="007F3B9F" w:rsidRDefault="007F3B9F" w:rsidP="007F3B9F">
            <w:pPr>
              <w:pStyle w:val="Zkladntext"/>
              <w:spacing w:after="0" w:line="240" w:lineRule="atLeast"/>
            </w:pPr>
          </w:p>
          <w:p w14:paraId="27D179C4"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2A39183D" w14:textId="77777777" w:rsidR="007F3B9F" w:rsidRDefault="007F3B9F" w:rsidP="007F3B9F">
            <w:pPr>
              <w:pStyle w:val="Texttabulky"/>
              <w:spacing w:after="0" w:line="240" w:lineRule="atLeast"/>
            </w:pPr>
            <w:r>
              <w:t>Biokoridor vymezený v lesních porostech, v slt uléhavých kys. jd BK a podmáčených sm JD.</w:t>
            </w:r>
          </w:p>
        </w:tc>
        <w:tc>
          <w:tcPr>
            <w:tcW w:w="709" w:type="dxa"/>
            <w:tcBorders>
              <w:top w:val="single" w:sz="6" w:space="0" w:color="auto"/>
              <w:left w:val="single" w:sz="6" w:space="0" w:color="auto"/>
              <w:bottom w:val="single" w:sz="6" w:space="0" w:color="auto"/>
              <w:right w:val="single" w:sz="6" w:space="0" w:color="auto"/>
            </w:tcBorders>
          </w:tcPr>
          <w:p w14:paraId="6B63B34D" w14:textId="77777777" w:rsidR="007F3B9F" w:rsidRDefault="007F3B9F" w:rsidP="007F3B9F">
            <w:pPr>
              <w:pStyle w:val="Zkladntext"/>
              <w:spacing w:after="0" w:line="240" w:lineRule="atLeast"/>
            </w:pPr>
          </w:p>
          <w:p w14:paraId="6AE27453" w14:textId="77777777" w:rsidR="007F3B9F" w:rsidRDefault="007F3B9F" w:rsidP="007F3B9F">
            <w:pPr>
              <w:pStyle w:val="Texttabulky"/>
              <w:spacing w:after="0" w:line="240" w:lineRule="atLeast"/>
            </w:pPr>
            <w:r>
              <w:t>20</w:t>
            </w:r>
          </w:p>
          <w:p w14:paraId="0C958EF7" w14:textId="77777777" w:rsidR="007F3B9F" w:rsidRDefault="007F3B9F" w:rsidP="007F3B9F">
            <w:pPr>
              <w:pStyle w:val="Zkladntext"/>
              <w:spacing w:after="0" w:line="240" w:lineRule="atLeast"/>
            </w:pPr>
          </w:p>
          <w:p w14:paraId="609A421D" w14:textId="77777777" w:rsidR="007F3B9F" w:rsidRDefault="007F3B9F" w:rsidP="007F3B9F">
            <w:pPr>
              <w:pStyle w:val="Texttabulky"/>
              <w:spacing w:after="0" w:line="240" w:lineRule="atLeast"/>
            </w:pPr>
            <w:r>
              <w:t>600</w:t>
            </w:r>
          </w:p>
        </w:tc>
        <w:tc>
          <w:tcPr>
            <w:tcW w:w="567" w:type="dxa"/>
            <w:tcBorders>
              <w:top w:val="single" w:sz="6" w:space="0" w:color="auto"/>
              <w:left w:val="single" w:sz="6" w:space="0" w:color="auto"/>
              <w:bottom w:val="single" w:sz="6" w:space="0" w:color="auto"/>
              <w:right w:val="single" w:sz="6" w:space="0" w:color="auto"/>
            </w:tcBorders>
          </w:tcPr>
          <w:p w14:paraId="18E74F12" w14:textId="77777777" w:rsidR="007F3B9F" w:rsidRDefault="007F3B9F" w:rsidP="007F3B9F">
            <w:pPr>
              <w:pStyle w:val="Zkladntext"/>
              <w:spacing w:after="0" w:line="240" w:lineRule="atLeast"/>
            </w:pPr>
          </w:p>
          <w:p w14:paraId="7CD114AA" w14:textId="77777777" w:rsidR="007F3B9F" w:rsidRDefault="007F3B9F" w:rsidP="007F3B9F">
            <w:pPr>
              <w:pStyle w:val="Texttabulky"/>
              <w:spacing w:after="0" w:line="240" w:lineRule="atLeast"/>
            </w:pPr>
            <w:r>
              <w:t xml:space="preserve"> 3-4</w:t>
            </w:r>
          </w:p>
          <w:p w14:paraId="7C12C79F"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7781275A" w14:textId="77777777" w:rsidR="007F3B9F" w:rsidRDefault="007F3B9F" w:rsidP="007F3B9F">
            <w:pPr>
              <w:pStyle w:val="Zkladntext"/>
              <w:spacing w:after="0" w:line="240" w:lineRule="atLeast"/>
            </w:pPr>
          </w:p>
          <w:p w14:paraId="30CFACFE" w14:textId="77777777" w:rsidR="007F3B9F" w:rsidRDefault="007F3B9F" w:rsidP="007F3B9F">
            <w:pPr>
              <w:pStyle w:val="Texttabulky"/>
              <w:spacing w:after="0" w:line="240" w:lineRule="atLeast"/>
            </w:pPr>
            <w:r>
              <w:t xml:space="preserve">  dle platného LHP</w:t>
            </w:r>
          </w:p>
        </w:tc>
      </w:tr>
      <w:tr w:rsidR="007F3B9F" w14:paraId="5DADDDCE" w14:textId="77777777" w:rsidTr="00BB63DF">
        <w:tc>
          <w:tcPr>
            <w:tcW w:w="993" w:type="dxa"/>
            <w:tcBorders>
              <w:top w:val="single" w:sz="6" w:space="0" w:color="auto"/>
              <w:left w:val="single" w:sz="6" w:space="0" w:color="auto"/>
              <w:bottom w:val="single" w:sz="6" w:space="0" w:color="auto"/>
              <w:right w:val="single" w:sz="6" w:space="0" w:color="auto"/>
            </w:tcBorders>
          </w:tcPr>
          <w:p w14:paraId="05252EE6" w14:textId="77777777" w:rsidR="007F3B9F" w:rsidRDefault="007F3B9F" w:rsidP="007F3B9F">
            <w:pPr>
              <w:pStyle w:val="Zkladntext"/>
              <w:spacing w:after="0" w:line="240" w:lineRule="atLeast"/>
            </w:pPr>
          </w:p>
          <w:p w14:paraId="7E84EAC5" w14:textId="77777777" w:rsidR="007F3B9F" w:rsidRDefault="007F3B9F" w:rsidP="007F3B9F">
            <w:pPr>
              <w:pStyle w:val="Texttabulky"/>
              <w:spacing w:after="0" w:line="240" w:lineRule="atLeast"/>
            </w:pPr>
            <w:r>
              <w:rPr>
                <w:b/>
                <w:bCs/>
                <w:sz w:val="22"/>
                <w:szCs w:val="22"/>
              </w:rPr>
              <w:t>24 - 23</w:t>
            </w:r>
          </w:p>
          <w:p w14:paraId="4C2F70C4"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5305E9F1" w14:textId="77777777" w:rsidR="007F3B9F" w:rsidRDefault="007F3B9F" w:rsidP="007F3B9F">
            <w:pPr>
              <w:pStyle w:val="Texttabulky"/>
              <w:spacing w:after="0" w:line="240" w:lineRule="atLeast"/>
            </w:pPr>
            <w:r>
              <w:rPr>
                <w:b/>
                <w:bCs/>
                <w:sz w:val="20"/>
                <w:szCs w:val="20"/>
              </w:rPr>
              <w:t>NR</w:t>
            </w:r>
          </w:p>
          <w:p w14:paraId="24EC9B1E" w14:textId="77777777" w:rsidR="007F3B9F" w:rsidRDefault="007F3B9F" w:rsidP="007F3B9F">
            <w:pPr>
              <w:pStyle w:val="Zkladntext"/>
              <w:spacing w:after="0" w:line="240" w:lineRule="atLeast"/>
            </w:pPr>
          </w:p>
          <w:p w14:paraId="24079C33"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5300233F" w14:textId="77777777" w:rsidR="007F3B9F" w:rsidRDefault="007F3B9F" w:rsidP="007F3B9F">
            <w:pPr>
              <w:pStyle w:val="Texttabulky"/>
              <w:spacing w:after="0" w:line="240" w:lineRule="atLeast"/>
            </w:pPr>
            <w:r>
              <w:t>Část složeného biokoridoru vymezený v lesních porostech, v slt kyselých dbbk BO a kyselých sm BK.</w:t>
            </w:r>
          </w:p>
        </w:tc>
        <w:tc>
          <w:tcPr>
            <w:tcW w:w="709" w:type="dxa"/>
            <w:tcBorders>
              <w:top w:val="single" w:sz="6" w:space="0" w:color="auto"/>
              <w:left w:val="single" w:sz="6" w:space="0" w:color="auto"/>
              <w:bottom w:val="single" w:sz="6" w:space="0" w:color="auto"/>
              <w:right w:val="single" w:sz="6" w:space="0" w:color="auto"/>
            </w:tcBorders>
          </w:tcPr>
          <w:p w14:paraId="4755161B" w14:textId="77777777" w:rsidR="007F3B9F" w:rsidRDefault="007F3B9F" w:rsidP="007F3B9F">
            <w:pPr>
              <w:pStyle w:val="Zkladntext"/>
              <w:spacing w:after="0" w:line="240" w:lineRule="atLeast"/>
            </w:pPr>
          </w:p>
          <w:p w14:paraId="263DEB11" w14:textId="77777777" w:rsidR="007F3B9F" w:rsidRDefault="007F3B9F" w:rsidP="007F3B9F">
            <w:pPr>
              <w:pStyle w:val="Texttabulky"/>
              <w:spacing w:after="0" w:line="240" w:lineRule="atLeast"/>
            </w:pPr>
            <w:r>
              <w:t>100</w:t>
            </w:r>
          </w:p>
          <w:p w14:paraId="306FBC2D" w14:textId="77777777" w:rsidR="007F3B9F" w:rsidRDefault="007F3B9F" w:rsidP="007F3B9F">
            <w:pPr>
              <w:pStyle w:val="Zkladntext"/>
              <w:spacing w:after="0" w:line="240" w:lineRule="atLeast"/>
            </w:pPr>
          </w:p>
          <w:p w14:paraId="4992CB63" w14:textId="77777777" w:rsidR="007F3B9F" w:rsidRDefault="007F3B9F" w:rsidP="007F3B9F">
            <w:pPr>
              <w:pStyle w:val="Texttabulky"/>
              <w:spacing w:after="0" w:line="240" w:lineRule="atLeast"/>
            </w:pPr>
            <w:r>
              <w:t>700</w:t>
            </w:r>
          </w:p>
        </w:tc>
        <w:tc>
          <w:tcPr>
            <w:tcW w:w="567" w:type="dxa"/>
            <w:tcBorders>
              <w:top w:val="single" w:sz="6" w:space="0" w:color="auto"/>
              <w:left w:val="single" w:sz="6" w:space="0" w:color="auto"/>
              <w:bottom w:val="single" w:sz="6" w:space="0" w:color="auto"/>
              <w:right w:val="single" w:sz="6" w:space="0" w:color="auto"/>
            </w:tcBorders>
          </w:tcPr>
          <w:p w14:paraId="1F9161EB" w14:textId="77777777" w:rsidR="007F3B9F" w:rsidRDefault="007F3B9F" w:rsidP="007F3B9F">
            <w:pPr>
              <w:pStyle w:val="Zkladntext"/>
              <w:spacing w:after="0" w:line="240" w:lineRule="atLeast"/>
            </w:pPr>
          </w:p>
          <w:p w14:paraId="27663CC1" w14:textId="77777777" w:rsidR="007F3B9F" w:rsidRDefault="007F3B9F" w:rsidP="007F3B9F">
            <w:pPr>
              <w:pStyle w:val="Texttabulky"/>
              <w:spacing w:after="0" w:line="240" w:lineRule="atLeast"/>
            </w:pPr>
            <w:r>
              <w:t xml:space="preserve"> 3-4</w:t>
            </w:r>
          </w:p>
          <w:p w14:paraId="18357D6D"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571972BF" w14:textId="77777777" w:rsidR="007F3B9F" w:rsidRDefault="007F3B9F" w:rsidP="007F3B9F">
            <w:pPr>
              <w:pStyle w:val="Zkladntext"/>
              <w:spacing w:after="0" w:line="240" w:lineRule="atLeast"/>
            </w:pPr>
          </w:p>
          <w:p w14:paraId="0653F36A" w14:textId="77777777" w:rsidR="007F3B9F" w:rsidRDefault="007F3B9F" w:rsidP="007F3B9F">
            <w:pPr>
              <w:pStyle w:val="Texttabulky"/>
              <w:spacing w:after="0" w:line="240" w:lineRule="atLeast"/>
            </w:pPr>
            <w:r>
              <w:t xml:space="preserve">  dle platného LHP</w:t>
            </w:r>
          </w:p>
        </w:tc>
      </w:tr>
      <w:tr w:rsidR="007F3B9F" w14:paraId="34187D2B" w14:textId="77777777" w:rsidTr="00BB63DF">
        <w:tc>
          <w:tcPr>
            <w:tcW w:w="993" w:type="dxa"/>
            <w:tcBorders>
              <w:top w:val="single" w:sz="6" w:space="0" w:color="auto"/>
              <w:left w:val="single" w:sz="6" w:space="0" w:color="auto"/>
              <w:bottom w:val="single" w:sz="6" w:space="0" w:color="auto"/>
              <w:right w:val="single" w:sz="6" w:space="0" w:color="auto"/>
            </w:tcBorders>
          </w:tcPr>
          <w:p w14:paraId="72231FCB" w14:textId="77777777" w:rsidR="007F3B9F" w:rsidRDefault="007F3B9F" w:rsidP="007F3B9F">
            <w:pPr>
              <w:pStyle w:val="Zkladntext"/>
              <w:spacing w:after="0" w:line="240" w:lineRule="atLeast"/>
            </w:pPr>
          </w:p>
          <w:p w14:paraId="4887A788" w14:textId="77777777" w:rsidR="007F3B9F" w:rsidRDefault="007F3B9F" w:rsidP="007F3B9F">
            <w:pPr>
              <w:pStyle w:val="Texttabulky"/>
              <w:spacing w:after="0" w:line="240" w:lineRule="atLeast"/>
            </w:pPr>
            <w:r>
              <w:rPr>
                <w:b/>
                <w:bCs/>
                <w:sz w:val="22"/>
                <w:szCs w:val="22"/>
              </w:rPr>
              <w:t>20 - 23</w:t>
            </w:r>
          </w:p>
          <w:p w14:paraId="1732DEC1"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15985D7E" w14:textId="77777777" w:rsidR="007F3B9F" w:rsidRDefault="007F3B9F" w:rsidP="007F3B9F">
            <w:pPr>
              <w:pStyle w:val="Texttabulky"/>
              <w:spacing w:after="0" w:line="240" w:lineRule="atLeast"/>
            </w:pPr>
            <w:r>
              <w:rPr>
                <w:b/>
                <w:bCs/>
                <w:sz w:val="20"/>
                <w:szCs w:val="20"/>
              </w:rPr>
              <w:t>NR</w:t>
            </w:r>
          </w:p>
          <w:p w14:paraId="11477A47" w14:textId="77777777" w:rsidR="007F3B9F" w:rsidRDefault="007F3B9F" w:rsidP="007F3B9F">
            <w:pPr>
              <w:pStyle w:val="Zkladntext"/>
              <w:spacing w:after="0" w:line="240" w:lineRule="atLeast"/>
            </w:pPr>
          </w:p>
          <w:p w14:paraId="7E2A9E8D"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4411803B" w14:textId="77777777" w:rsidR="007F3B9F" w:rsidRDefault="007F3B9F" w:rsidP="007F3B9F">
            <w:pPr>
              <w:pStyle w:val="Texttabulky"/>
              <w:spacing w:after="0" w:line="240" w:lineRule="atLeast"/>
            </w:pPr>
            <w:r>
              <w:t xml:space="preserve">Část složeného biokoridoru vymezený v lesních porostech vrchu Okrouhlík (493,8), v slt převážně chudých db BO.  </w:t>
            </w:r>
          </w:p>
        </w:tc>
        <w:tc>
          <w:tcPr>
            <w:tcW w:w="709" w:type="dxa"/>
            <w:tcBorders>
              <w:top w:val="single" w:sz="6" w:space="0" w:color="auto"/>
              <w:left w:val="single" w:sz="6" w:space="0" w:color="auto"/>
              <w:bottom w:val="single" w:sz="6" w:space="0" w:color="auto"/>
              <w:right w:val="single" w:sz="6" w:space="0" w:color="auto"/>
            </w:tcBorders>
          </w:tcPr>
          <w:p w14:paraId="6E713EC2" w14:textId="77777777" w:rsidR="007F3B9F" w:rsidRDefault="007F3B9F" w:rsidP="007F3B9F">
            <w:pPr>
              <w:pStyle w:val="Zkladntext"/>
              <w:spacing w:after="0" w:line="240" w:lineRule="atLeast"/>
            </w:pPr>
          </w:p>
          <w:p w14:paraId="098184D4" w14:textId="77777777" w:rsidR="007F3B9F" w:rsidRDefault="007F3B9F" w:rsidP="007F3B9F">
            <w:pPr>
              <w:pStyle w:val="Texttabulky"/>
              <w:spacing w:after="0" w:line="240" w:lineRule="atLeast"/>
            </w:pPr>
            <w:r>
              <w:t>100</w:t>
            </w:r>
          </w:p>
          <w:p w14:paraId="48D15F4E" w14:textId="77777777" w:rsidR="007F3B9F" w:rsidRDefault="007F3B9F" w:rsidP="007F3B9F">
            <w:pPr>
              <w:pStyle w:val="Zkladntext"/>
              <w:spacing w:after="0" w:line="240" w:lineRule="atLeast"/>
            </w:pPr>
          </w:p>
          <w:p w14:paraId="23420635" w14:textId="77777777" w:rsidR="007F3B9F" w:rsidRDefault="007F3B9F" w:rsidP="007F3B9F">
            <w:pPr>
              <w:pStyle w:val="Texttabulky"/>
              <w:spacing w:after="0" w:line="240" w:lineRule="atLeast"/>
            </w:pPr>
            <w:r>
              <w:t>700</w:t>
            </w:r>
          </w:p>
        </w:tc>
        <w:tc>
          <w:tcPr>
            <w:tcW w:w="567" w:type="dxa"/>
            <w:tcBorders>
              <w:top w:val="single" w:sz="6" w:space="0" w:color="auto"/>
              <w:left w:val="single" w:sz="6" w:space="0" w:color="auto"/>
              <w:bottom w:val="single" w:sz="6" w:space="0" w:color="auto"/>
              <w:right w:val="single" w:sz="6" w:space="0" w:color="auto"/>
            </w:tcBorders>
          </w:tcPr>
          <w:p w14:paraId="36F4F50C" w14:textId="77777777" w:rsidR="007F3B9F" w:rsidRDefault="007F3B9F" w:rsidP="007F3B9F">
            <w:pPr>
              <w:pStyle w:val="Zkladntext"/>
              <w:spacing w:after="0" w:line="240" w:lineRule="atLeast"/>
            </w:pPr>
          </w:p>
          <w:p w14:paraId="6E69A65F" w14:textId="77777777" w:rsidR="007F3B9F" w:rsidRDefault="007F3B9F" w:rsidP="007F3B9F">
            <w:pPr>
              <w:pStyle w:val="Texttabulky"/>
              <w:spacing w:after="0" w:line="240" w:lineRule="atLeast"/>
            </w:pPr>
            <w:r>
              <w:t xml:space="preserve"> 4</w:t>
            </w:r>
          </w:p>
          <w:p w14:paraId="6620829F"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083FEE33" w14:textId="77777777" w:rsidR="007F3B9F" w:rsidRDefault="007F3B9F" w:rsidP="007F3B9F">
            <w:pPr>
              <w:pStyle w:val="Zkladntext"/>
              <w:spacing w:after="0" w:line="240" w:lineRule="atLeast"/>
            </w:pPr>
          </w:p>
          <w:p w14:paraId="17A1C53D" w14:textId="77777777" w:rsidR="007F3B9F" w:rsidRDefault="007F3B9F" w:rsidP="007F3B9F">
            <w:pPr>
              <w:pStyle w:val="Texttabulky"/>
              <w:spacing w:after="0" w:line="240" w:lineRule="atLeast"/>
            </w:pPr>
            <w:r>
              <w:t xml:space="preserve">  dle platného LHP</w:t>
            </w:r>
          </w:p>
        </w:tc>
      </w:tr>
      <w:tr w:rsidR="007F3B9F" w14:paraId="4B571A37" w14:textId="77777777" w:rsidTr="00BB63DF">
        <w:tc>
          <w:tcPr>
            <w:tcW w:w="993" w:type="dxa"/>
            <w:tcBorders>
              <w:top w:val="single" w:sz="6" w:space="0" w:color="auto"/>
              <w:left w:val="single" w:sz="6" w:space="0" w:color="auto"/>
              <w:bottom w:val="single" w:sz="6" w:space="0" w:color="auto"/>
              <w:right w:val="single" w:sz="6" w:space="0" w:color="auto"/>
            </w:tcBorders>
          </w:tcPr>
          <w:p w14:paraId="2A86A374" w14:textId="77777777" w:rsidR="007F3B9F" w:rsidRDefault="007F3B9F" w:rsidP="007F3B9F">
            <w:pPr>
              <w:pStyle w:val="Zkladntext"/>
              <w:spacing w:after="0" w:line="240" w:lineRule="atLeast"/>
            </w:pPr>
          </w:p>
          <w:p w14:paraId="0A3961E6" w14:textId="77777777" w:rsidR="007F3B9F" w:rsidRDefault="007F3B9F" w:rsidP="007F3B9F">
            <w:pPr>
              <w:pStyle w:val="Texttabulky"/>
              <w:spacing w:after="0" w:line="240" w:lineRule="atLeast"/>
            </w:pPr>
            <w:r>
              <w:rPr>
                <w:b/>
                <w:bCs/>
                <w:sz w:val="22"/>
                <w:szCs w:val="22"/>
              </w:rPr>
              <w:t>18 - 25</w:t>
            </w:r>
          </w:p>
          <w:p w14:paraId="566D7657"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061D3E1" w14:textId="77777777" w:rsidR="007F3B9F" w:rsidRDefault="007F3B9F" w:rsidP="007F3B9F">
            <w:pPr>
              <w:pStyle w:val="Texttabulky"/>
              <w:spacing w:after="0" w:line="240" w:lineRule="atLeast"/>
            </w:pPr>
            <w:r>
              <w:rPr>
                <w:b/>
                <w:bCs/>
                <w:sz w:val="20"/>
                <w:szCs w:val="20"/>
              </w:rPr>
              <w:t>L</w:t>
            </w:r>
          </w:p>
          <w:p w14:paraId="040A2447" w14:textId="77777777" w:rsidR="007F3B9F" w:rsidRDefault="007F3B9F" w:rsidP="007F3B9F">
            <w:pPr>
              <w:pStyle w:val="Zkladntext"/>
              <w:spacing w:after="0" w:line="240" w:lineRule="atLeast"/>
            </w:pPr>
          </w:p>
          <w:p w14:paraId="141E5A7D"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6B8224B4" w14:textId="77777777" w:rsidR="007F3B9F" w:rsidRDefault="007F3B9F" w:rsidP="007F3B9F">
            <w:pPr>
              <w:pStyle w:val="Texttabulky"/>
              <w:spacing w:after="0" w:line="240" w:lineRule="atLeast"/>
            </w:pPr>
            <w:r>
              <w:t xml:space="preserve"> Biokoridor vymezený v lesních porostech, v slt kyselých dbbk BO.</w:t>
            </w:r>
          </w:p>
        </w:tc>
        <w:tc>
          <w:tcPr>
            <w:tcW w:w="709" w:type="dxa"/>
            <w:tcBorders>
              <w:top w:val="single" w:sz="6" w:space="0" w:color="auto"/>
              <w:left w:val="single" w:sz="6" w:space="0" w:color="auto"/>
              <w:bottom w:val="single" w:sz="6" w:space="0" w:color="auto"/>
              <w:right w:val="single" w:sz="6" w:space="0" w:color="auto"/>
            </w:tcBorders>
          </w:tcPr>
          <w:p w14:paraId="7AC70F8A" w14:textId="77777777" w:rsidR="007F3B9F" w:rsidRDefault="007F3B9F" w:rsidP="007F3B9F">
            <w:pPr>
              <w:pStyle w:val="Zkladntext"/>
              <w:spacing w:after="0" w:line="240" w:lineRule="atLeast"/>
            </w:pPr>
          </w:p>
          <w:p w14:paraId="41AC0E9A" w14:textId="77777777" w:rsidR="007F3B9F" w:rsidRDefault="007F3B9F" w:rsidP="007F3B9F">
            <w:pPr>
              <w:pStyle w:val="Texttabulky"/>
              <w:spacing w:after="0" w:line="240" w:lineRule="atLeast"/>
            </w:pPr>
            <w:r>
              <w:t>20</w:t>
            </w:r>
          </w:p>
          <w:p w14:paraId="00B91253" w14:textId="77777777" w:rsidR="007F3B9F" w:rsidRDefault="007F3B9F" w:rsidP="007F3B9F">
            <w:pPr>
              <w:pStyle w:val="Zkladntext"/>
              <w:spacing w:after="0" w:line="240" w:lineRule="atLeast"/>
            </w:pPr>
          </w:p>
          <w:p w14:paraId="5700AE9A" w14:textId="77777777" w:rsidR="007F3B9F" w:rsidRDefault="007F3B9F" w:rsidP="007F3B9F">
            <w:pPr>
              <w:pStyle w:val="Texttabulky"/>
              <w:spacing w:after="0" w:line="240" w:lineRule="atLeast"/>
            </w:pPr>
            <w:r>
              <w:t>1400</w:t>
            </w:r>
          </w:p>
        </w:tc>
        <w:tc>
          <w:tcPr>
            <w:tcW w:w="567" w:type="dxa"/>
            <w:tcBorders>
              <w:top w:val="single" w:sz="6" w:space="0" w:color="auto"/>
              <w:left w:val="single" w:sz="6" w:space="0" w:color="auto"/>
              <w:bottom w:val="single" w:sz="6" w:space="0" w:color="auto"/>
              <w:right w:val="single" w:sz="6" w:space="0" w:color="auto"/>
            </w:tcBorders>
          </w:tcPr>
          <w:p w14:paraId="5037297B" w14:textId="77777777" w:rsidR="007F3B9F" w:rsidRDefault="007F3B9F" w:rsidP="007F3B9F">
            <w:pPr>
              <w:pStyle w:val="Zkladntext"/>
              <w:spacing w:after="0" w:line="240" w:lineRule="atLeast"/>
            </w:pPr>
          </w:p>
          <w:p w14:paraId="6F3F2953" w14:textId="77777777" w:rsidR="007F3B9F" w:rsidRDefault="007F3B9F" w:rsidP="007F3B9F">
            <w:pPr>
              <w:pStyle w:val="Texttabulky"/>
              <w:spacing w:after="0" w:line="240" w:lineRule="atLeast"/>
            </w:pPr>
            <w:r>
              <w:t xml:space="preserve"> 3-4</w:t>
            </w:r>
          </w:p>
          <w:p w14:paraId="65214698"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489E0F5B" w14:textId="77777777" w:rsidR="007F3B9F" w:rsidRDefault="007F3B9F" w:rsidP="007F3B9F">
            <w:pPr>
              <w:pStyle w:val="Zkladntext"/>
              <w:spacing w:after="0" w:line="240" w:lineRule="atLeast"/>
            </w:pPr>
          </w:p>
          <w:p w14:paraId="72C0039A" w14:textId="77777777" w:rsidR="007F3B9F" w:rsidRDefault="007F3B9F" w:rsidP="007F3B9F">
            <w:pPr>
              <w:pStyle w:val="Texttabulky"/>
              <w:spacing w:after="0" w:line="240" w:lineRule="atLeast"/>
            </w:pPr>
            <w:r>
              <w:t xml:space="preserve">  dle platného LHP</w:t>
            </w:r>
          </w:p>
        </w:tc>
      </w:tr>
      <w:tr w:rsidR="007F3B9F" w14:paraId="1808EF49" w14:textId="77777777" w:rsidTr="00BB63DF">
        <w:tc>
          <w:tcPr>
            <w:tcW w:w="993" w:type="dxa"/>
            <w:tcBorders>
              <w:top w:val="single" w:sz="6" w:space="0" w:color="auto"/>
              <w:left w:val="single" w:sz="6" w:space="0" w:color="auto"/>
              <w:bottom w:val="single" w:sz="6" w:space="0" w:color="auto"/>
              <w:right w:val="single" w:sz="6" w:space="0" w:color="auto"/>
            </w:tcBorders>
          </w:tcPr>
          <w:p w14:paraId="67957FC7" w14:textId="77777777" w:rsidR="007F3B9F" w:rsidRDefault="007F3B9F" w:rsidP="007F3B9F">
            <w:pPr>
              <w:pStyle w:val="Zkladntext"/>
              <w:spacing w:after="0" w:line="240" w:lineRule="atLeast"/>
            </w:pPr>
          </w:p>
          <w:p w14:paraId="6D53E04A" w14:textId="77777777" w:rsidR="007F3B9F" w:rsidRDefault="007F3B9F" w:rsidP="007F3B9F">
            <w:pPr>
              <w:pStyle w:val="Texttabulky"/>
              <w:spacing w:after="0" w:line="240" w:lineRule="atLeast"/>
            </w:pPr>
            <w:r>
              <w:rPr>
                <w:b/>
                <w:bCs/>
                <w:sz w:val="22"/>
                <w:szCs w:val="22"/>
              </w:rPr>
              <w:t>21 - 23</w:t>
            </w:r>
          </w:p>
          <w:p w14:paraId="45D05F68"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65E9019B" w14:textId="77777777" w:rsidR="007F3B9F" w:rsidRDefault="007F3B9F" w:rsidP="007F3B9F">
            <w:pPr>
              <w:pStyle w:val="Texttabulky"/>
              <w:spacing w:after="0" w:line="240" w:lineRule="atLeast"/>
            </w:pPr>
            <w:r>
              <w:rPr>
                <w:b/>
                <w:bCs/>
                <w:sz w:val="20"/>
                <w:szCs w:val="20"/>
              </w:rPr>
              <w:t>L</w:t>
            </w:r>
          </w:p>
          <w:p w14:paraId="36EF7592" w14:textId="77777777" w:rsidR="007F3B9F" w:rsidRDefault="007F3B9F" w:rsidP="007F3B9F">
            <w:pPr>
              <w:pStyle w:val="Zkladntext"/>
              <w:spacing w:after="0" w:line="240" w:lineRule="atLeast"/>
            </w:pPr>
          </w:p>
          <w:p w14:paraId="1B7E28D9"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51F1D942" w14:textId="77777777" w:rsidR="007F3B9F" w:rsidRDefault="007F3B9F" w:rsidP="007F3B9F">
            <w:pPr>
              <w:pStyle w:val="Texttabulky"/>
              <w:spacing w:after="0" w:line="240" w:lineRule="atLeast"/>
            </w:pPr>
            <w:r>
              <w:t>Biokoridor vymezený v lesních porostech, v slt chudých db BO a kyselých sm BK.</w:t>
            </w:r>
          </w:p>
        </w:tc>
        <w:tc>
          <w:tcPr>
            <w:tcW w:w="709" w:type="dxa"/>
            <w:tcBorders>
              <w:top w:val="single" w:sz="6" w:space="0" w:color="auto"/>
              <w:left w:val="single" w:sz="6" w:space="0" w:color="auto"/>
              <w:bottom w:val="single" w:sz="6" w:space="0" w:color="auto"/>
              <w:right w:val="single" w:sz="6" w:space="0" w:color="auto"/>
            </w:tcBorders>
          </w:tcPr>
          <w:p w14:paraId="46289D4E" w14:textId="77777777" w:rsidR="007F3B9F" w:rsidRDefault="007F3B9F" w:rsidP="007F3B9F">
            <w:pPr>
              <w:pStyle w:val="Zkladntext"/>
              <w:spacing w:after="0" w:line="240" w:lineRule="atLeast"/>
            </w:pPr>
          </w:p>
          <w:p w14:paraId="1F279B7F" w14:textId="77777777" w:rsidR="007F3B9F" w:rsidRDefault="007F3B9F" w:rsidP="007F3B9F">
            <w:pPr>
              <w:pStyle w:val="Texttabulky"/>
              <w:spacing w:after="0" w:line="240" w:lineRule="atLeast"/>
            </w:pPr>
            <w:r>
              <w:t>20</w:t>
            </w:r>
          </w:p>
          <w:p w14:paraId="4D8508AA" w14:textId="77777777" w:rsidR="007F3B9F" w:rsidRDefault="007F3B9F" w:rsidP="007F3B9F">
            <w:pPr>
              <w:pStyle w:val="Zkladntext"/>
              <w:spacing w:after="0" w:line="240" w:lineRule="atLeast"/>
            </w:pPr>
          </w:p>
          <w:p w14:paraId="03AA3E13" w14:textId="77777777" w:rsidR="007F3B9F" w:rsidRDefault="007F3B9F" w:rsidP="007F3B9F">
            <w:pPr>
              <w:pStyle w:val="Texttabulky"/>
              <w:spacing w:after="0" w:line="240" w:lineRule="atLeast"/>
            </w:pPr>
            <w:r>
              <w:t>1300</w:t>
            </w:r>
          </w:p>
        </w:tc>
        <w:tc>
          <w:tcPr>
            <w:tcW w:w="567" w:type="dxa"/>
            <w:tcBorders>
              <w:top w:val="single" w:sz="6" w:space="0" w:color="auto"/>
              <w:left w:val="single" w:sz="6" w:space="0" w:color="auto"/>
              <w:bottom w:val="single" w:sz="6" w:space="0" w:color="auto"/>
              <w:right w:val="single" w:sz="6" w:space="0" w:color="auto"/>
            </w:tcBorders>
          </w:tcPr>
          <w:p w14:paraId="351C09FD" w14:textId="77777777" w:rsidR="007F3B9F" w:rsidRDefault="007F3B9F" w:rsidP="007F3B9F">
            <w:pPr>
              <w:pStyle w:val="Zkladntext"/>
              <w:spacing w:after="0" w:line="240" w:lineRule="atLeast"/>
            </w:pPr>
          </w:p>
          <w:p w14:paraId="0FB7F366" w14:textId="77777777" w:rsidR="007F3B9F" w:rsidRDefault="007F3B9F" w:rsidP="007F3B9F">
            <w:pPr>
              <w:pStyle w:val="Texttabulky"/>
              <w:spacing w:after="0" w:line="240" w:lineRule="atLeast"/>
            </w:pPr>
            <w:r>
              <w:t xml:space="preserve"> 3-4</w:t>
            </w:r>
          </w:p>
          <w:p w14:paraId="1F014448"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0EA548CA" w14:textId="77777777" w:rsidR="007F3B9F" w:rsidRDefault="007F3B9F" w:rsidP="007F3B9F">
            <w:pPr>
              <w:pStyle w:val="Zkladntext"/>
              <w:spacing w:after="0" w:line="240" w:lineRule="atLeast"/>
            </w:pPr>
          </w:p>
          <w:p w14:paraId="75E61D8F" w14:textId="77777777" w:rsidR="007F3B9F" w:rsidRDefault="007F3B9F" w:rsidP="007F3B9F">
            <w:pPr>
              <w:pStyle w:val="Texttabulky"/>
              <w:spacing w:after="0" w:line="240" w:lineRule="atLeast"/>
            </w:pPr>
            <w:r>
              <w:t xml:space="preserve">  dle platného LHP</w:t>
            </w:r>
          </w:p>
        </w:tc>
      </w:tr>
      <w:tr w:rsidR="007F3B9F" w14:paraId="6EC163A7" w14:textId="77777777" w:rsidTr="00BB63DF">
        <w:tc>
          <w:tcPr>
            <w:tcW w:w="993" w:type="dxa"/>
            <w:tcBorders>
              <w:top w:val="single" w:sz="6" w:space="0" w:color="auto"/>
              <w:left w:val="single" w:sz="6" w:space="0" w:color="auto"/>
              <w:bottom w:val="single" w:sz="6" w:space="0" w:color="auto"/>
              <w:right w:val="single" w:sz="6" w:space="0" w:color="auto"/>
            </w:tcBorders>
          </w:tcPr>
          <w:p w14:paraId="29D09292" w14:textId="77777777" w:rsidR="007F3B9F" w:rsidRDefault="007F3B9F" w:rsidP="007F3B9F">
            <w:pPr>
              <w:pStyle w:val="Zkladntext"/>
              <w:spacing w:after="0" w:line="240" w:lineRule="atLeast"/>
            </w:pPr>
          </w:p>
          <w:p w14:paraId="4193B6B8" w14:textId="77777777" w:rsidR="007F3B9F" w:rsidRDefault="007F3B9F" w:rsidP="007F3B9F">
            <w:pPr>
              <w:pStyle w:val="Texttabulky"/>
              <w:spacing w:after="0" w:line="240" w:lineRule="atLeast"/>
            </w:pPr>
            <w:r>
              <w:rPr>
                <w:b/>
                <w:bCs/>
                <w:sz w:val="22"/>
                <w:szCs w:val="22"/>
              </w:rPr>
              <w:t>21 - 24</w:t>
            </w:r>
          </w:p>
          <w:p w14:paraId="5AD575DA"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A171133" w14:textId="77777777" w:rsidR="007F3B9F" w:rsidRDefault="007F3B9F" w:rsidP="007F3B9F">
            <w:pPr>
              <w:pStyle w:val="Texttabulky"/>
              <w:spacing w:after="0" w:line="240" w:lineRule="atLeast"/>
            </w:pPr>
            <w:r>
              <w:rPr>
                <w:b/>
                <w:bCs/>
                <w:sz w:val="20"/>
                <w:szCs w:val="20"/>
              </w:rPr>
              <w:t>L</w:t>
            </w:r>
          </w:p>
          <w:p w14:paraId="71FBA5AB" w14:textId="77777777" w:rsidR="007F3B9F" w:rsidRDefault="007F3B9F" w:rsidP="007F3B9F">
            <w:pPr>
              <w:pStyle w:val="Zkladntext"/>
              <w:spacing w:after="0" w:line="240" w:lineRule="atLeast"/>
            </w:pPr>
          </w:p>
          <w:p w14:paraId="5E0F90A6"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162D1024" w14:textId="77777777" w:rsidR="007F3B9F" w:rsidRDefault="007F3B9F" w:rsidP="007F3B9F">
            <w:pPr>
              <w:pStyle w:val="Texttabulky"/>
              <w:spacing w:after="0" w:line="240" w:lineRule="atLeast"/>
            </w:pPr>
            <w:r>
              <w:t>Biokoridor vymezený v lesních porostech podél Dolnožlebského potoka (Kamenky), v slt smrkových BO a kyselých sm BK.</w:t>
            </w:r>
          </w:p>
        </w:tc>
        <w:tc>
          <w:tcPr>
            <w:tcW w:w="709" w:type="dxa"/>
            <w:tcBorders>
              <w:top w:val="single" w:sz="6" w:space="0" w:color="auto"/>
              <w:left w:val="single" w:sz="6" w:space="0" w:color="auto"/>
              <w:bottom w:val="single" w:sz="6" w:space="0" w:color="auto"/>
              <w:right w:val="single" w:sz="6" w:space="0" w:color="auto"/>
            </w:tcBorders>
          </w:tcPr>
          <w:p w14:paraId="59D0F4C4" w14:textId="77777777" w:rsidR="007F3B9F" w:rsidRDefault="007F3B9F" w:rsidP="007F3B9F">
            <w:pPr>
              <w:pStyle w:val="Zkladntext"/>
              <w:spacing w:after="0" w:line="240" w:lineRule="atLeast"/>
            </w:pPr>
          </w:p>
          <w:p w14:paraId="404AEC2E" w14:textId="77777777" w:rsidR="007F3B9F" w:rsidRDefault="007F3B9F" w:rsidP="007F3B9F">
            <w:pPr>
              <w:pStyle w:val="Texttabulky"/>
              <w:spacing w:after="0" w:line="240" w:lineRule="atLeast"/>
            </w:pPr>
            <w:r>
              <w:t>20</w:t>
            </w:r>
          </w:p>
          <w:p w14:paraId="1553668C" w14:textId="77777777" w:rsidR="007F3B9F" w:rsidRDefault="007F3B9F" w:rsidP="007F3B9F">
            <w:pPr>
              <w:pStyle w:val="Zkladntext"/>
              <w:spacing w:after="0" w:line="240" w:lineRule="atLeast"/>
            </w:pPr>
          </w:p>
          <w:p w14:paraId="3B91C76D" w14:textId="77777777" w:rsidR="007F3B9F" w:rsidRDefault="007F3B9F" w:rsidP="007F3B9F">
            <w:pPr>
              <w:pStyle w:val="Texttabulky"/>
              <w:spacing w:after="0" w:line="240" w:lineRule="atLeast"/>
            </w:pPr>
            <w:r>
              <w:t>1600</w:t>
            </w:r>
          </w:p>
        </w:tc>
        <w:tc>
          <w:tcPr>
            <w:tcW w:w="567" w:type="dxa"/>
            <w:tcBorders>
              <w:top w:val="single" w:sz="6" w:space="0" w:color="auto"/>
              <w:left w:val="single" w:sz="6" w:space="0" w:color="auto"/>
              <w:bottom w:val="single" w:sz="6" w:space="0" w:color="auto"/>
              <w:right w:val="single" w:sz="6" w:space="0" w:color="auto"/>
            </w:tcBorders>
          </w:tcPr>
          <w:p w14:paraId="629C6DC6" w14:textId="77777777" w:rsidR="007F3B9F" w:rsidRDefault="007F3B9F" w:rsidP="007F3B9F">
            <w:pPr>
              <w:pStyle w:val="Zkladntext"/>
              <w:spacing w:after="0" w:line="240" w:lineRule="atLeast"/>
            </w:pPr>
          </w:p>
          <w:p w14:paraId="262C2238" w14:textId="77777777" w:rsidR="007F3B9F" w:rsidRDefault="007F3B9F" w:rsidP="007F3B9F">
            <w:pPr>
              <w:pStyle w:val="Texttabulky"/>
              <w:spacing w:after="0" w:line="240" w:lineRule="atLeast"/>
            </w:pPr>
            <w:r>
              <w:t xml:space="preserve"> 3-4</w:t>
            </w:r>
          </w:p>
          <w:p w14:paraId="0629774B"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7FD22D84" w14:textId="77777777" w:rsidR="007F3B9F" w:rsidRDefault="007F3B9F" w:rsidP="007F3B9F">
            <w:pPr>
              <w:pStyle w:val="Zkladntext"/>
              <w:spacing w:after="0" w:line="240" w:lineRule="atLeast"/>
            </w:pPr>
          </w:p>
          <w:p w14:paraId="3D2926C7" w14:textId="77777777" w:rsidR="007F3B9F" w:rsidRDefault="007F3B9F" w:rsidP="007F3B9F">
            <w:pPr>
              <w:pStyle w:val="Texttabulky"/>
              <w:spacing w:after="0" w:line="240" w:lineRule="atLeast"/>
            </w:pPr>
            <w:r>
              <w:t xml:space="preserve">  dle platného LHP</w:t>
            </w:r>
          </w:p>
        </w:tc>
      </w:tr>
      <w:tr w:rsidR="007F3B9F" w14:paraId="7865AB06" w14:textId="77777777" w:rsidTr="00BB63DF">
        <w:tc>
          <w:tcPr>
            <w:tcW w:w="993" w:type="dxa"/>
            <w:tcBorders>
              <w:top w:val="single" w:sz="6" w:space="0" w:color="auto"/>
              <w:left w:val="single" w:sz="6" w:space="0" w:color="auto"/>
              <w:bottom w:val="single" w:sz="6" w:space="0" w:color="auto"/>
              <w:right w:val="single" w:sz="6" w:space="0" w:color="auto"/>
            </w:tcBorders>
          </w:tcPr>
          <w:p w14:paraId="0C18E2D3" w14:textId="77777777" w:rsidR="007F3B9F" w:rsidRDefault="007F3B9F" w:rsidP="007F3B9F">
            <w:pPr>
              <w:pStyle w:val="Zkladntext"/>
              <w:spacing w:after="0" w:line="240" w:lineRule="atLeast"/>
            </w:pPr>
          </w:p>
          <w:p w14:paraId="31C27485" w14:textId="77777777" w:rsidR="007F3B9F" w:rsidRDefault="007F3B9F" w:rsidP="007F3B9F">
            <w:pPr>
              <w:pStyle w:val="Texttabulky"/>
              <w:spacing w:after="0" w:line="240" w:lineRule="atLeast"/>
            </w:pPr>
            <w:r>
              <w:rPr>
                <w:b/>
                <w:bCs/>
                <w:sz w:val="22"/>
                <w:szCs w:val="22"/>
              </w:rPr>
              <w:t>21 - 22</w:t>
            </w:r>
          </w:p>
          <w:p w14:paraId="0BFCF12E"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01BD238B" w14:textId="77777777" w:rsidR="007F3B9F" w:rsidRDefault="007F3B9F" w:rsidP="007F3B9F">
            <w:pPr>
              <w:pStyle w:val="Texttabulky"/>
              <w:spacing w:after="0" w:line="240" w:lineRule="atLeast"/>
            </w:pPr>
            <w:r>
              <w:rPr>
                <w:b/>
                <w:bCs/>
                <w:sz w:val="20"/>
                <w:szCs w:val="20"/>
              </w:rPr>
              <w:t>L</w:t>
            </w:r>
          </w:p>
          <w:p w14:paraId="500936F4" w14:textId="77777777" w:rsidR="007F3B9F" w:rsidRDefault="007F3B9F" w:rsidP="007F3B9F">
            <w:pPr>
              <w:pStyle w:val="Zkladntext"/>
              <w:spacing w:after="0" w:line="240" w:lineRule="atLeast"/>
            </w:pPr>
          </w:p>
          <w:p w14:paraId="0C8E15F9"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41EDA814" w14:textId="77777777" w:rsidR="007F3B9F" w:rsidRDefault="007F3B9F" w:rsidP="007F3B9F">
            <w:pPr>
              <w:pStyle w:val="Texttabulky"/>
              <w:spacing w:after="0" w:line="240" w:lineRule="atLeast"/>
            </w:pPr>
            <w:r>
              <w:t>Biokoridor vymezený v lesních porostech, v slt chudých db BO, smrkových BO a vlhkých sm BK.</w:t>
            </w:r>
          </w:p>
        </w:tc>
        <w:tc>
          <w:tcPr>
            <w:tcW w:w="709" w:type="dxa"/>
            <w:tcBorders>
              <w:top w:val="single" w:sz="6" w:space="0" w:color="auto"/>
              <w:left w:val="single" w:sz="6" w:space="0" w:color="auto"/>
              <w:bottom w:val="single" w:sz="6" w:space="0" w:color="auto"/>
              <w:right w:val="single" w:sz="6" w:space="0" w:color="auto"/>
            </w:tcBorders>
          </w:tcPr>
          <w:p w14:paraId="5555F110" w14:textId="77777777" w:rsidR="007F3B9F" w:rsidRDefault="007F3B9F" w:rsidP="007F3B9F">
            <w:pPr>
              <w:pStyle w:val="Zkladntext"/>
              <w:spacing w:after="0" w:line="240" w:lineRule="atLeast"/>
            </w:pPr>
          </w:p>
          <w:p w14:paraId="5D0DDEEF" w14:textId="77777777" w:rsidR="007F3B9F" w:rsidRDefault="007F3B9F" w:rsidP="007F3B9F">
            <w:pPr>
              <w:pStyle w:val="Texttabulky"/>
              <w:spacing w:after="0" w:line="240" w:lineRule="atLeast"/>
            </w:pPr>
            <w:r>
              <w:t>20</w:t>
            </w:r>
          </w:p>
          <w:p w14:paraId="782E54C8" w14:textId="77777777" w:rsidR="007F3B9F" w:rsidRDefault="007F3B9F" w:rsidP="007F3B9F">
            <w:pPr>
              <w:pStyle w:val="Zkladntext"/>
              <w:spacing w:after="0" w:line="240" w:lineRule="atLeast"/>
            </w:pPr>
          </w:p>
          <w:p w14:paraId="24777452" w14:textId="77777777" w:rsidR="007F3B9F" w:rsidRDefault="007F3B9F" w:rsidP="007F3B9F">
            <w:pPr>
              <w:pStyle w:val="Texttabulky"/>
              <w:spacing w:after="0" w:line="240" w:lineRule="atLeast"/>
            </w:pPr>
            <w:r>
              <w:t>1600</w:t>
            </w:r>
          </w:p>
        </w:tc>
        <w:tc>
          <w:tcPr>
            <w:tcW w:w="567" w:type="dxa"/>
            <w:tcBorders>
              <w:top w:val="single" w:sz="6" w:space="0" w:color="auto"/>
              <w:left w:val="single" w:sz="6" w:space="0" w:color="auto"/>
              <w:bottom w:val="single" w:sz="6" w:space="0" w:color="auto"/>
              <w:right w:val="single" w:sz="6" w:space="0" w:color="auto"/>
            </w:tcBorders>
          </w:tcPr>
          <w:p w14:paraId="15B6246A" w14:textId="77777777" w:rsidR="007F3B9F" w:rsidRDefault="007F3B9F" w:rsidP="007F3B9F">
            <w:pPr>
              <w:pStyle w:val="Zkladntext"/>
              <w:spacing w:after="0" w:line="240" w:lineRule="atLeast"/>
            </w:pPr>
          </w:p>
          <w:p w14:paraId="079FB9F2" w14:textId="77777777" w:rsidR="007F3B9F" w:rsidRDefault="007F3B9F" w:rsidP="007F3B9F">
            <w:pPr>
              <w:pStyle w:val="Texttabulky"/>
              <w:spacing w:after="0" w:line="240" w:lineRule="atLeast"/>
            </w:pPr>
            <w:r>
              <w:t xml:space="preserve"> 3-4</w:t>
            </w:r>
          </w:p>
          <w:p w14:paraId="15AD3EAD"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324A2A72" w14:textId="77777777" w:rsidR="007F3B9F" w:rsidRDefault="007F3B9F" w:rsidP="007F3B9F">
            <w:pPr>
              <w:pStyle w:val="Zkladntext"/>
              <w:spacing w:after="0" w:line="240" w:lineRule="atLeast"/>
            </w:pPr>
          </w:p>
          <w:p w14:paraId="624B28B6" w14:textId="77777777" w:rsidR="007F3B9F" w:rsidRDefault="007F3B9F" w:rsidP="007F3B9F">
            <w:pPr>
              <w:pStyle w:val="Texttabulky"/>
              <w:spacing w:after="0" w:line="240" w:lineRule="atLeast"/>
            </w:pPr>
            <w:r>
              <w:t xml:space="preserve">  dle platného LHP</w:t>
            </w:r>
          </w:p>
        </w:tc>
      </w:tr>
      <w:tr w:rsidR="007F3B9F" w14:paraId="412A6B12" w14:textId="77777777" w:rsidTr="00BB63DF">
        <w:tc>
          <w:tcPr>
            <w:tcW w:w="993" w:type="dxa"/>
            <w:tcBorders>
              <w:top w:val="single" w:sz="6" w:space="0" w:color="auto"/>
              <w:left w:val="single" w:sz="6" w:space="0" w:color="auto"/>
              <w:bottom w:val="single" w:sz="6" w:space="0" w:color="auto"/>
              <w:right w:val="single" w:sz="6" w:space="0" w:color="auto"/>
            </w:tcBorders>
          </w:tcPr>
          <w:p w14:paraId="6F5F0E5F" w14:textId="77777777" w:rsidR="007F3B9F" w:rsidRDefault="007F3B9F" w:rsidP="007F3B9F">
            <w:pPr>
              <w:pStyle w:val="Zkladntext"/>
              <w:spacing w:after="0" w:line="240" w:lineRule="atLeast"/>
            </w:pPr>
          </w:p>
          <w:p w14:paraId="2CB742D5" w14:textId="77777777" w:rsidR="007F3B9F" w:rsidRDefault="007F3B9F" w:rsidP="007F3B9F">
            <w:pPr>
              <w:pStyle w:val="Texttabulky"/>
              <w:spacing w:after="0" w:line="240" w:lineRule="atLeast"/>
            </w:pPr>
            <w:r>
              <w:rPr>
                <w:b/>
                <w:bCs/>
                <w:sz w:val="22"/>
                <w:szCs w:val="22"/>
              </w:rPr>
              <w:t>22 - 24</w:t>
            </w:r>
          </w:p>
          <w:p w14:paraId="0D8BA3A6"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111C89C" w14:textId="77777777" w:rsidR="007F3B9F" w:rsidRDefault="007F3B9F" w:rsidP="007F3B9F">
            <w:pPr>
              <w:pStyle w:val="Texttabulky"/>
              <w:spacing w:after="0" w:line="240" w:lineRule="atLeast"/>
            </w:pPr>
            <w:r>
              <w:rPr>
                <w:b/>
                <w:bCs/>
                <w:sz w:val="20"/>
                <w:szCs w:val="20"/>
              </w:rPr>
              <w:t>L</w:t>
            </w:r>
          </w:p>
          <w:p w14:paraId="6249D014" w14:textId="77777777" w:rsidR="007F3B9F" w:rsidRDefault="007F3B9F" w:rsidP="007F3B9F">
            <w:pPr>
              <w:pStyle w:val="Zkladntext"/>
              <w:spacing w:after="0" w:line="240" w:lineRule="atLeast"/>
            </w:pPr>
          </w:p>
          <w:p w14:paraId="44C06D13"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25255BA1" w14:textId="77777777" w:rsidR="007F3B9F" w:rsidRDefault="007F3B9F" w:rsidP="007F3B9F">
            <w:pPr>
              <w:pStyle w:val="Texttabulky"/>
              <w:spacing w:after="0" w:line="240" w:lineRule="atLeast"/>
            </w:pPr>
            <w:r>
              <w:t>Biokoridor vymezený v lesních porostech, v slt   smrkových BO podél Klopotského potoka jižně od státní hranice.</w:t>
            </w:r>
          </w:p>
        </w:tc>
        <w:tc>
          <w:tcPr>
            <w:tcW w:w="709" w:type="dxa"/>
            <w:tcBorders>
              <w:top w:val="single" w:sz="6" w:space="0" w:color="auto"/>
              <w:left w:val="single" w:sz="6" w:space="0" w:color="auto"/>
              <w:bottom w:val="single" w:sz="6" w:space="0" w:color="auto"/>
              <w:right w:val="single" w:sz="6" w:space="0" w:color="auto"/>
            </w:tcBorders>
          </w:tcPr>
          <w:p w14:paraId="2538EE48" w14:textId="77777777" w:rsidR="007F3B9F" w:rsidRDefault="007F3B9F" w:rsidP="007F3B9F">
            <w:pPr>
              <w:pStyle w:val="Zkladntext"/>
              <w:spacing w:after="0" w:line="240" w:lineRule="atLeast"/>
            </w:pPr>
          </w:p>
          <w:p w14:paraId="1419FBE1" w14:textId="77777777" w:rsidR="007F3B9F" w:rsidRDefault="007F3B9F" w:rsidP="007F3B9F">
            <w:pPr>
              <w:pStyle w:val="Texttabulky"/>
              <w:spacing w:after="0" w:line="240" w:lineRule="atLeast"/>
            </w:pPr>
            <w:r>
              <w:t>20</w:t>
            </w:r>
          </w:p>
          <w:p w14:paraId="43E0914C" w14:textId="77777777" w:rsidR="007F3B9F" w:rsidRDefault="007F3B9F" w:rsidP="007F3B9F">
            <w:pPr>
              <w:pStyle w:val="Zkladntext"/>
              <w:spacing w:after="0" w:line="240" w:lineRule="atLeast"/>
            </w:pPr>
          </w:p>
          <w:p w14:paraId="1932F10B" w14:textId="77777777" w:rsidR="007F3B9F" w:rsidRDefault="007F3B9F" w:rsidP="007F3B9F">
            <w:pPr>
              <w:pStyle w:val="Texttabulky"/>
              <w:spacing w:after="0" w:line="240" w:lineRule="atLeast"/>
            </w:pPr>
            <w:r>
              <w:t>1100</w:t>
            </w:r>
          </w:p>
        </w:tc>
        <w:tc>
          <w:tcPr>
            <w:tcW w:w="567" w:type="dxa"/>
            <w:tcBorders>
              <w:top w:val="single" w:sz="6" w:space="0" w:color="auto"/>
              <w:left w:val="single" w:sz="6" w:space="0" w:color="auto"/>
              <w:bottom w:val="single" w:sz="6" w:space="0" w:color="auto"/>
              <w:right w:val="single" w:sz="6" w:space="0" w:color="auto"/>
            </w:tcBorders>
          </w:tcPr>
          <w:p w14:paraId="52560411" w14:textId="77777777" w:rsidR="007F3B9F" w:rsidRDefault="007F3B9F" w:rsidP="007F3B9F">
            <w:pPr>
              <w:pStyle w:val="Zkladntext"/>
              <w:spacing w:after="0" w:line="240" w:lineRule="atLeast"/>
            </w:pPr>
          </w:p>
          <w:p w14:paraId="48E6EE8C" w14:textId="77777777" w:rsidR="007F3B9F" w:rsidRDefault="007F3B9F" w:rsidP="007F3B9F">
            <w:pPr>
              <w:pStyle w:val="Texttabulky"/>
              <w:spacing w:after="0" w:line="240" w:lineRule="atLeast"/>
            </w:pPr>
            <w:r>
              <w:t xml:space="preserve"> 3-4</w:t>
            </w:r>
          </w:p>
          <w:p w14:paraId="5E5A39B0"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4664040E" w14:textId="77777777" w:rsidR="007F3B9F" w:rsidRDefault="007F3B9F" w:rsidP="007F3B9F">
            <w:pPr>
              <w:pStyle w:val="Zkladntext"/>
              <w:spacing w:after="0" w:line="240" w:lineRule="atLeast"/>
            </w:pPr>
          </w:p>
          <w:p w14:paraId="05FC753D" w14:textId="77777777" w:rsidR="007F3B9F" w:rsidRDefault="007F3B9F" w:rsidP="007F3B9F">
            <w:pPr>
              <w:pStyle w:val="Texttabulky"/>
              <w:spacing w:after="0" w:line="240" w:lineRule="atLeast"/>
            </w:pPr>
            <w:r>
              <w:t xml:space="preserve">  dle platného LHP</w:t>
            </w:r>
          </w:p>
        </w:tc>
      </w:tr>
      <w:tr w:rsidR="007F3B9F" w14:paraId="28957FCD" w14:textId="77777777" w:rsidTr="00BB63DF">
        <w:tc>
          <w:tcPr>
            <w:tcW w:w="993" w:type="dxa"/>
            <w:tcBorders>
              <w:top w:val="single" w:sz="6" w:space="0" w:color="auto"/>
              <w:left w:val="single" w:sz="6" w:space="0" w:color="auto"/>
              <w:bottom w:val="single" w:sz="6" w:space="0" w:color="auto"/>
              <w:right w:val="single" w:sz="6" w:space="0" w:color="auto"/>
            </w:tcBorders>
          </w:tcPr>
          <w:p w14:paraId="135A5713" w14:textId="77777777" w:rsidR="007F3B9F" w:rsidRDefault="007F3B9F" w:rsidP="007F3B9F">
            <w:pPr>
              <w:pStyle w:val="Zkladntext"/>
              <w:spacing w:after="0" w:line="240" w:lineRule="atLeast"/>
            </w:pPr>
          </w:p>
          <w:p w14:paraId="0BCB3CF6" w14:textId="77777777" w:rsidR="007F3B9F" w:rsidRDefault="007F3B9F" w:rsidP="007F3B9F">
            <w:pPr>
              <w:pStyle w:val="Texttabulky"/>
              <w:spacing w:after="0" w:line="240" w:lineRule="atLeast"/>
            </w:pPr>
            <w:r>
              <w:rPr>
                <w:b/>
                <w:bCs/>
                <w:sz w:val="22"/>
                <w:szCs w:val="22"/>
              </w:rPr>
              <w:t xml:space="preserve">21 - </w:t>
            </w:r>
          </w:p>
          <w:p w14:paraId="0EEE60AB"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69FF358B" w14:textId="77777777" w:rsidR="007F3B9F" w:rsidRDefault="007F3B9F" w:rsidP="007F3B9F">
            <w:pPr>
              <w:pStyle w:val="Texttabulky"/>
              <w:spacing w:after="0" w:line="240" w:lineRule="atLeast"/>
            </w:pPr>
            <w:r>
              <w:rPr>
                <w:b/>
                <w:bCs/>
                <w:sz w:val="20"/>
                <w:szCs w:val="20"/>
              </w:rPr>
              <w:t>L</w:t>
            </w:r>
          </w:p>
          <w:p w14:paraId="7EB602E3" w14:textId="77777777" w:rsidR="007F3B9F" w:rsidRDefault="007F3B9F" w:rsidP="007F3B9F">
            <w:pPr>
              <w:pStyle w:val="Zkladntext"/>
              <w:spacing w:after="0" w:line="240" w:lineRule="atLeast"/>
            </w:pPr>
          </w:p>
          <w:p w14:paraId="2799C629"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5153EAEF" w14:textId="77777777" w:rsidR="007F3B9F" w:rsidRDefault="007F3B9F" w:rsidP="007F3B9F">
            <w:pPr>
              <w:pStyle w:val="Texttabulky"/>
              <w:spacing w:after="0" w:line="240" w:lineRule="atLeast"/>
            </w:pPr>
            <w:r>
              <w:t>Biokoridor vymezený v lesních porostech podél toku Potůčky, v slt podmáčených sm JD a kyselých sm BK.</w:t>
            </w:r>
          </w:p>
        </w:tc>
        <w:tc>
          <w:tcPr>
            <w:tcW w:w="709" w:type="dxa"/>
            <w:tcBorders>
              <w:top w:val="single" w:sz="6" w:space="0" w:color="auto"/>
              <w:left w:val="single" w:sz="6" w:space="0" w:color="auto"/>
              <w:bottom w:val="single" w:sz="6" w:space="0" w:color="auto"/>
              <w:right w:val="single" w:sz="6" w:space="0" w:color="auto"/>
            </w:tcBorders>
          </w:tcPr>
          <w:p w14:paraId="1B68BD13" w14:textId="77777777" w:rsidR="007F3B9F" w:rsidRDefault="007F3B9F" w:rsidP="007F3B9F">
            <w:pPr>
              <w:pStyle w:val="Zkladntext"/>
              <w:spacing w:after="0" w:line="240" w:lineRule="atLeast"/>
            </w:pPr>
          </w:p>
          <w:p w14:paraId="1C2A4B1C" w14:textId="77777777" w:rsidR="007F3B9F" w:rsidRDefault="007F3B9F" w:rsidP="007F3B9F">
            <w:pPr>
              <w:pStyle w:val="Texttabulky"/>
              <w:spacing w:after="0" w:line="240" w:lineRule="atLeast"/>
            </w:pPr>
            <w:r>
              <w:t>20</w:t>
            </w:r>
          </w:p>
          <w:p w14:paraId="1D903668" w14:textId="77777777" w:rsidR="007F3B9F" w:rsidRDefault="007F3B9F" w:rsidP="007F3B9F">
            <w:pPr>
              <w:pStyle w:val="Zkladntext"/>
              <w:spacing w:after="0" w:line="240" w:lineRule="atLeast"/>
            </w:pPr>
          </w:p>
          <w:p w14:paraId="40840754" w14:textId="77777777" w:rsidR="007F3B9F" w:rsidRDefault="007F3B9F" w:rsidP="007F3B9F">
            <w:pPr>
              <w:pStyle w:val="Texttabulky"/>
              <w:spacing w:after="0" w:line="240" w:lineRule="atLeast"/>
            </w:pPr>
            <w:r>
              <w:t>1400</w:t>
            </w:r>
          </w:p>
        </w:tc>
        <w:tc>
          <w:tcPr>
            <w:tcW w:w="567" w:type="dxa"/>
            <w:tcBorders>
              <w:top w:val="single" w:sz="6" w:space="0" w:color="auto"/>
              <w:left w:val="single" w:sz="6" w:space="0" w:color="auto"/>
              <w:bottom w:val="single" w:sz="6" w:space="0" w:color="auto"/>
              <w:right w:val="single" w:sz="6" w:space="0" w:color="auto"/>
            </w:tcBorders>
          </w:tcPr>
          <w:p w14:paraId="2419E94D" w14:textId="77777777" w:rsidR="007F3B9F" w:rsidRDefault="007F3B9F" w:rsidP="007F3B9F">
            <w:pPr>
              <w:pStyle w:val="Zkladntext"/>
              <w:spacing w:after="0" w:line="240" w:lineRule="atLeast"/>
            </w:pPr>
          </w:p>
          <w:p w14:paraId="1117E2E7" w14:textId="77777777" w:rsidR="007F3B9F" w:rsidRDefault="007F3B9F" w:rsidP="007F3B9F">
            <w:pPr>
              <w:pStyle w:val="Texttabulky"/>
              <w:spacing w:after="0" w:line="240" w:lineRule="atLeast"/>
            </w:pPr>
            <w:r>
              <w:t xml:space="preserve"> 3-4</w:t>
            </w:r>
          </w:p>
          <w:p w14:paraId="5C6866AC"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2C37BB83" w14:textId="77777777" w:rsidR="007F3B9F" w:rsidRDefault="007F3B9F" w:rsidP="007F3B9F">
            <w:pPr>
              <w:pStyle w:val="Zkladntext"/>
              <w:spacing w:after="0" w:line="240" w:lineRule="atLeast"/>
            </w:pPr>
          </w:p>
          <w:p w14:paraId="7121610F" w14:textId="77777777" w:rsidR="007F3B9F" w:rsidRDefault="007F3B9F" w:rsidP="007F3B9F">
            <w:pPr>
              <w:pStyle w:val="Texttabulky"/>
              <w:spacing w:after="0" w:line="240" w:lineRule="atLeast"/>
            </w:pPr>
            <w:r>
              <w:t xml:space="preserve">  dle platného LHP</w:t>
            </w:r>
          </w:p>
        </w:tc>
      </w:tr>
      <w:tr w:rsidR="007F3B9F" w14:paraId="7D438428" w14:textId="77777777" w:rsidTr="00BB63DF">
        <w:tc>
          <w:tcPr>
            <w:tcW w:w="993" w:type="dxa"/>
            <w:tcBorders>
              <w:top w:val="single" w:sz="6" w:space="0" w:color="auto"/>
              <w:left w:val="single" w:sz="6" w:space="0" w:color="auto"/>
              <w:bottom w:val="single" w:sz="6" w:space="0" w:color="auto"/>
              <w:right w:val="single" w:sz="6" w:space="0" w:color="auto"/>
            </w:tcBorders>
          </w:tcPr>
          <w:p w14:paraId="0A549EFD" w14:textId="77777777" w:rsidR="007F3B9F" w:rsidRDefault="007F3B9F" w:rsidP="007F3B9F">
            <w:pPr>
              <w:pStyle w:val="Zkladntext"/>
              <w:spacing w:after="0" w:line="240" w:lineRule="atLeast"/>
            </w:pPr>
          </w:p>
          <w:p w14:paraId="6B63F645" w14:textId="77777777" w:rsidR="007F3B9F" w:rsidRDefault="007F3B9F" w:rsidP="007F3B9F">
            <w:pPr>
              <w:pStyle w:val="Texttabulky"/>
              <w:spacing w:after="0" w:line="240" w:lineRule="atLeast"/>
            </w:pPr>
            <w:r>
              <w:rPr>
                <w:b/>
                <w:bCs/>
                <w:sz w:val="22"/>
                <w:szCs w:val="22"/>
              </w:rPr>
              <w:t xml:space="preserve">20 - </w:t>
            </w:r>
          </w:p>
          <w:p w14:paraId="74EBB544"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1195E9D1" w14:textId="77777777" w:rsidR="007F3B9F" w:rsidRDefault="007F3B9F" w:rsidP="007F3B9F">
            <w:pPr>
              <w:pStyle w:val="Texttabulky"/>
              <w:spacing w:after="0" w:line="240" w:lineRule="atLeast"/>
            </w:pPr>
            <w:r>
              <w:rPr>
                <w:b/>
                <w:bCs/>
                <w:sz w:val="20"/>
                <w:szCs w:val="20"/>
              </w:rPr>
              <w:t>L</w:t>
            </w:r>
          </w:p>
          <w:p w14:paraId="3F37B0FF" w14:textId="77777777" w:rsidR="007F3B9F" w:rsidRDefault="007F3B9F" w:rsidP="007F3B9F">
            <w:pPr>
              <w:pStyle w:val="Zkladntext"/>
              <w:spacing w:after="0" w:line="240" w:lineRule="atLeast"/>
            </w:pPr>
          </w:p>
          <w:p w14:paraId="568DF7B5"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1F64C920" w14:textId="77777777" w:rsidR="007F3B9F" w:rsidRDefault="007F3B9F" w:rsidP="007F3B9F">
            <w:pPr>
              <w:pStyle w:val="Texttabulky"/>
              <w:spacing w:after="0" w:line="240" w:lineRule="atLeast"/>
            </w:pPr>
            <w:r>
              <w:t>Biokoridor vymezený v lesních porostech podél toku Napajedla, v slt podmáčených sm JD a kyselých a svěžích sm BK.</w:t>
            </w:r>
          </w:p>
        </w:tc>
        <w:tc>
          <w:tcPr>
            <w:tcW w:w="709" w:type="dxa"/>
            <w:tcBorders>
              <w:top w:val="single" w:sz="6" w:space="0" w:color="auto"/>
              <w:left w:val="single" w:sz="6" w:space="0" w:color="auto"/>
              <w:bottom w:val="single" w:sz="6" w:space="0" w:color="auto"/>
              <w:right w:val="single" w:sz="6" w:space="0" w:color="auto"/>
            </w:tcBorders>
          </w:tcPr>
          <w:p w14:paraId="78849974" w14:textId="77777777" w:rsidR="007F3B9F" w:rsidRDefault="007F3B9F" w:rsidP="007F3B9F">
            <w:pPr>
              <w:pStyle w:val="Zkladntext"/>
              <w:spacing w:after="0" w:line="240" w:lineRule="atLeast"/>
            </w:pPr>
          </w:p>
          <w:p w14:paraId="11FFE643" w14:textId="77777777" w:rsidR="007F3B9F" w:rsidRDefault="007F3B9F" w:rsidP="007F3B9F">
            <w:pPr>
              <w:pStyle w:val="Texttabulky"/>
              <w:spacing w:after="0" w:line="240" w:lineRule="atLeast"/>
            </w:pPr>
            <w:r>
              <w:t>20</w:t>
            </w:r>
          </w:p>
          <w:p w14:paraId="21315A34" w14:textId="77777777" w:rsidR="007F3B9F" w:rsidRDefault="007F3B9F" w:rsidP="007F3B9F">
            <w:pPr>
              <w:pStyle w:val="Zkladntext"/>
              <w:spacing w:after="0" w:line="240" w:lineRule="atLeast"/>
            </w:pPr>
          </w:p>
          <w:p w14:paraId="7D5E49C3" w14:textId="77777777" w:rsidR="007F3B9F" w:rsidRDefault="007F3B9F" w:rsidP="007F3B9F">
            <w:pPr>
              <w:pStyle w:val="Texttabulky"/>
              <w:spacing w:after="0" w:line="240" w:lineRule="atLeast"/>
            </w:pPr>
            <w:r>
              <w:t>1200</w:t>
            </w:r>
          </w:p>
        </w:tc>
        <w:tc>
          <w:tcPr>
            <w:tcW w:w="567" w:type="dxa"/>
            <w:tcBorders>
              <w:top w:val="single" w:sz="6" w:space="0" w:color="auto"/>
              <w:left w:val="single" w:sz="6" w:space="0" w:color="auto"/>
              <w:bottom w:val="single" w:sz="6" w:space="0" w:color="auto"/>
              <w:right w:val="single" w:sz="6" w:space="0" w:color="auto"/>
            </w:tcBorders>
          </w:tcPr>
          <w:p w14:paraId="2540CBFB" w14:textId="77777777" w:rsidR="007F3B9F" w:rsidRDefault="007F3B9F" w:rsidP="007F3B9F">
            <w:pPr>
              <w:pStyle w:val="Zkladntext"/>
              <w:spacing w:after="0" w:line="240" w:lineRule="atLeast"/>
            </w:pPr>
          </w:p>
          <w:p w14:paraId="41DE25B0" w14:textId="77777777" w:rsidR="007F3B9F" w:rsidRDefault="007F3B9F" w:rsidP="007F3B9F">
            <w:pPr>
              <w:pStyle w:val="Texttabulky"/>
              <w:spacing w:after="0" w:line="240" w:lineRule="atLeast"/>
            </w:pPr>
            <w:r>
              <w:t xml:space="preserve"> 3-4</w:t>
            </w:r>
          </w:p>
          <w:p w14:paraId="0258B20C"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1FB3396C" w14:textId="77777777" w:rsidR="007F3B9F" w:rsidRDefault="007F3B9F" w:rsidP="007F3B9F">
            <w:pPr>
              <w:pStyle w:val="Zkladntext"/>
              <w:spacing w:after="0" w:line="240" w:lineRule="atLeast"/>
            </w:pPr>
          </w:p>
          <w:p w14:paraId="39AEAD84" w14:textId="77777777" w:rsidR="007F3B9F" w:rsidRDefault="007F3B9F" w:rsidP="007F3B9F">
            <w:pPr>
              <w:pStyle w:val="Texttabulky"/>
              <w:spacing w:after="0" w:line="240" w:lineRule="atLeast"/>
            </w:pPr>
            <w:r>
              <w:t xml:space="preserve">  dle platného LHP</w:t>
            </w:r>
          </w:p>
        </w:tc>
      </w:tr>
      <w:tr w:rsidR="007F3B9F" w14:paraId="3C89E00B" w14:textId="77777777" w:rsidTr="00BB63DF">
        <w:tc>
          <w:tcPr>
            <w:tcW w:w="993" w:type="dxa"/>
            <w:tcBorders>
              <w:top w:val="single" w:sz="6" w:space="0" w:color="auto"/>
              <w:left w:val="single" w:sz="6" w:space="0" w:color="auto"/>
              <w:bottom w:val="single" w:sz="6" w:space="0" w:color="auto"/>
              <w:right w:val="single" w:sz="6" w:space="0" w:color="auto"/>
            </w:tcBorders>
          </w:tcPr>
          <w:p w14:paraId="2231DF41" w14:textId="77777777" w:rsidR="007F3B9F" w:rsidRDefault="007F3B9F" w:rsidP="007F3B9F">
            <w:pPr>
              <w:pStyle w:val="Zkladntext"/>
              <w:spacing w:after="0" w:line="240" w:lineRule="atLeast"/>
            </w:pPr>
          </w:p>
          <w:p w14:paraId="6E4E89AA" w14:textId="77777777" w:rsidR="007F3B9F" w:rsidRDefault="007F3B9F" w:rsidP="007F3B9F">
            <w:pPr>
              <w:pStyle w:val="Texttabulky"/>
              <w:spacing w:after="0" w:line="240" w:lineRule="atLeast"/>
            </w:pPr>
            <w:r>
              <w:rPr>
                <w:b/>
                <w:bCs/>
                <w:sz w:val="22"/>
                <w:szCs w:val="22"/>
              </w:rPr>
              <w:t>20 - 21</w:t>
            </w:r>
          </w:p>
          <w:p w14:paraId="560442C8"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7C82CE97" w14:textId="77777777" w:rsidR="007F3B9F" w:rsidRDefault="007F3B9F" w:rsidP="007F3B9F">
            <w:pPr>
              <w:pStyle w:val="Zkladntext"/>
              <w:spacing w:after="0" w:line="240" w:lineRule="atLeast"/>
            </w:pPr>
          </w:p>
          <w:p w14:paraId="413C7230" w14:textId="77777777" w:rsidR="007F3B9F" w:rsidRDefault="007F3B9F" w:rsidP="007F3B9F">
            <w:pPr>
              <w:pStyle w:val="Texttabulky"/>
              <w:spacing w:after="0" w:line="240" w:lineRule="atLeast"/>
            </w:pPr>
            <w:r>
              <w:rPr>
                <w:b/>
                <w:bCs/>
                <w:sz w:val="20"/>
                <w:szCs w:val="20"/>
              </w:rPr>
              <w:t>L</w:t>
            </w:r>
          </w:p>
          <w:p w14:paraId="46F574AD" w14:textId="77777777" w:rsidR="007F3B9F" w:rsidRDefault="007F3B9F" w:rsidP="007F3B9F">
            <w:pPr>
              <w:pStyle w:val="Zkladntext"/>
              <w:spacing w:after="0" w:line="240" w:lineRule="atLeast"/>
            </w:pPr>
          </w:p>
          <w:p w14:paraId="5189F780"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34E8BD7F" w14:textId="77777777" w:rsidR="007F3B9F" w:rsidRDefault="007F3B9F" w:rsidP="007F3B9F">
            <w:pPr>
              <w:pStyle w:val="Texttabulky"/>
              <w:spacing w:after="0" w:line="240" w:lineRule="atLeast"/>
            </w:pPr>
            <w:r>
              <w:t>Biokoridor vymezený v lesních porostech mezi Napajedly a Potůčky, v chudých db BO a kyselých sm BK.</w:t>
            </w:r>
          </w:p>
        </w:tc>
        <w:tc>
          <w:tcPr>
            <w:tcW w:w="709" w:type="dxa"/>
            <w:tcBorders>
              <w:top w:val="single" w:sz="6" w:space="0" w:color="auto"/>
              <w:left w:val="single" w:sz="6" w:space="0" w:color="auto"/>
              <w:bottom w:val="single" w:sz="6" w:space="0" w:color="auto"/>
              <w:right w:val="single" w:sz="6" w:space="0" w:color="auto"/>
            </w:tcBorders>
          </w:tcPr>
          <w:p w14:paraId="5FBA7C5D" w14:textId="77777777" w:rsidR="007F3B9F" w:rsidRDefault="007F3B9F" w:rsidP="007F3B9F">
            <w:pPr>
              <w:pStyle w:val="Zkladntext"/>
              <w:spacing w:after="0" w:line="240" w:lineRule="atLeast"/>
            </w:pPr>
          </w:p>
          <w:p w14:paraId="1041E3B7" w14:textId="77777777" w:rsidR="007F3B9F" w:rsidRDefault="007F3B9F" w:rsidP="007F3B9F">
            <w:pPr>
              <w:pStyle w:val="Texttabulky"/>
              <w:spacing w:after="0" w:line="240" w:lineRule="atLeast"/>
            </w:pPr>
            <w:r>
              <w:t>20</w:t>
            </w:r>
          </w:p>
          <w:p w14:paraId="4AC9947C" w14:textId="77777777" w:rsidR="007F3B9F" w:rsidRDefault="007F3B9F" w:rsidP="007F3B9F">
            <w:pPr>
              <w:pStyle w:val="Zkladntext"/>
              <w:spacing w:after="0" w:line="240" w:lineRule="atLeast"/>
            </w:pPr>
          </w:p>
          <w:p w14:paraId="32522AF2" w14:textId="77777777" w:rsidR="007F3B9F" w:rsidRDefault="007F3B9F" w:rsidP="007F3B9F">
            <w:pPr>
              <w:pStyle w:val="Texttabulky"/>
              <w:spacing w:after="0" w:line="240" w:lineRule="atLeast"/>
            </w:pPr>
            <w:r>
              <w:t>1400</w:t>
            </w:r>
          </w:p>
        </w:tc>
        <w:tc>
          <w:tcPr>
            <w:tcW w:w="567" w:type="dxa"/>
            <w:tcBorders>
              <w:top w:val="single" w:sz="6" w:space="0" w:color="auto"/>
              <w:left w:val="single" w:sz="6" w:space="0" w:color="auto"/>
              <w:bottom w:val="single" w:sz="6" w:space="0" w:color="auto"/>
              <w:right w:val="single" w:sz="6" w:space="0" w:color="auto"/>
            </w:tcBorders>
          </w:tcPr>
          <w:p w14:paraId="15464DD9" w14:textId="77777777" w:rsidR="007F3B9F" w:rsidRDefault="007F3B9F" w:rsidP="007F3B9F">
            <w:pPr>
              <w:pStyle w:val="Zkladntext"/>
              <w:spacing w:after="0" w:line="240" w:lineRule="atLeast"/>
            </w:pPr>
          </w:p>
          <w:p w14:paraId="45253FB2" w14:textId="77777777" w:rsidR="007F3B9F" w:rsidRDefault="007F3B9F" w:rsidP="007F3B9F">
            <w:pPr>
              <w:pStyle w:val="Texttabulky"/>
              <w:spacing w:after="0" w:line="240" w:lineRule="atLeast"/>
            </w:pPr>
            <w:r>
              <w:t xml:space="preserve"> 3-4</w:t>
            </w:r>
          </w:p>
          <w:p w14:paraId="41095C8A"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1F3001E9" w14:textId="77777777" w:rsidR="007F3B9F" w:rsidRDefault="007F3B9F" w:rsidP="007F3B9F">
            <w:pPr>
              <w:pStyle w:val="Zkladntext"/>
              <w:spacing w:after="0" w:line="240" w:lineRule="atLeast"/>
            </w:pPr>
          </w:p>
          <w:p w14:paraId="0FC61114" w14:textId="77777777" w:rsidR="007F3B9F" w:rsidRDefault="007F3B9F" w:rsidP="007F3B9F">
            <w:pPr>
              <w:pStyle w:val="Texttabulky"/>
              <w:spacing w:after="0" w:line="240" w:lineRule="atLeast"/>
            </w:pPr>
            <w:r>
              <w:t xml:space="preserve">  dle platného LHP</w:t>
            </w:r>
          </w:p>
        </w:tc>
      </w:tr>
      <w:tr w:rsidR="007F3B9F" w14:paraId="753D87FB" w14:textId="77777777" w:rsidTr="00BB63DF">
        <w:tc>
          <w:tcPr>
            <w:tcW w:w="993" w:type="dxa"/>
            <w:tcBorders>
              <w:top w:val="single" w:sz="6" w:space="0" w:color="auto"/>
              <w:left w:val="single" w:sz="6" w:space="0" w:color="auto"/>
              <w:bottom w:val="single" w:sz="6" w:space="0" w:color="auto"/>
              <w:right w:val="single" w:sz="6" w:space="0" w:color="auto"/>
            </w:tcBorders>
          </w:tcPr>
          <w:p w14:paraId="1064CD2E" w14:textId="77777777" w:rsidR="007F3B9F" w:rsidRDefault="007F3B9F" w:rsidP="007F3B9F">
            <w:pPr>
              <w:pStyle w:val="Zkladntext"/>
              <w:spacing w:after="0" w:line="240" w:lineRule="atLeast"/>
            </w:pPr>
          </w:p>
          <w:p w14:paraId="0620269F" w14:textId="77777777" w:rsidR="007F3B9F" w:rsidRDefault="007F3B9F" w:rsidP="007F3B9F">
            <w:pPr>
              <w:pStyle w:val="Texttabulky"/>
              <w:spacing w:after="0" w:line="240" w:lineRule="atLeast"/>
            </w:pPr>
            <w:r>
              <w:rPr>
                <w:b/>
                <w:bCs/>
                <w:sz w:val="22"/>
                <w:szCs w:val="22"/>
              </w:rPr>
              <w:t xml:space="preserve"> 14 -</w:t>
            </w:r>
          </w:p>
          <w:p w14:paraId="1A764B20"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72CC84A" w14:textId="77777777" w:rsidR="007F3B9F" w:rsidRDefault="007F3B9F" w:rsidP="007F3B9F">
            <w:pPr>
              <w:pStyle w:val="Texttabulky"/>
              <w:spacing w:after="0" w:line="240" w:lineRule="atLeast"/>
            </w:pPr>
            <w:r>
              <w:rPr>
                <w:b/>
                <w:bCs/>
                <w:sz w:val="20"/>
                <w:szCs w:val="20"/>
              </w:rPr>
              <w:t>L</w:t>
            </w:r>
          </w:p>
          <w:p w14:paraId="1C0CAB88" w14:textId="77777777" w:rsidR="007F3B9F" w:rsidRDefault="007F3B9F" w:rsidP="007F3B9F">
            <w:pPr>
              <w:pStyle w:val="Zkladntext"/>
              <w:spacing w:after="0" w:line="240" w:lineRule="atLeast"/>
            </w:pPr>
          </w:p>
          <w:p w14:paraId="2D1D426B"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5689DDAF" w14:textId="77777777" w:rsidR="007F3B9F" w:rsidRDefault="007F3B9F" w:rsidP="007F3B9F">
            <w:pPr>
              <w:pStyle w:val="Texttabulky"/>
              <w:spacing w:after="0" w:line="240" w:lineRule="atLeast"/>
            </w:pPr>
            <w:r>
              <w:t>Biokoridor vymezený v lesních porostech podél Mlžného potoka, v slt podmáčených sm JD a kyselých sm BK.</w:t>
            </w:r>
          </w:p>
        </w:tc>
        <w:tc>
          <w:tcPr>
            <w:tcW w:w="709" w:type="dxa"/>
            <w:tcBorders>
              <w:top w:val="single" w:sz="6" w:space="0" w:color="auto"/>
              <w:left w:val="single" w:sz="6" w:space="0" w:color="auto"/>
              <w:bottom w:val="single" w:sz="6" w:space="0" w:color="auto"/>
              <w:right w:val="single" w:sz="6" w:space="0" w:color="auto"/>
            </w:tcBorders>
          </w:tcPr>
          <w:p w14:paraId="020A621D" w14:textId="77777777" w:rsidR="007F3B9F" w:rsidRDefault="007F3B9F" w:rsidP="007F3B9F">
            <w:pPr>
              <w:pStyle w:val="Zkladntext"/>
              <w:spacing w:after="0" w:line="240" w:lineRule="atLeast"/>
            </w:pPr>
          </w:p>
          <w:p w14:paraId="63629659" w14:textId="77777777" w:rsidR="007F3B9F" w:rsidRDefault="007F3B9F" w:rsidP="007F3B9F">
            <w:pPr>
              <w:pStyle w:val="Texttabulky"/>
              <w:spacing w:after="0" w:line="240" w:lineRule="atLeast"/>
            </w:pPr>
            <w:r>
              <w:t>20</w:t>
            </w:r>
          </w:p>
          <w:p w14:paraId="582ECDCB" w14:textId="77777777" w:rsidR="007F3B9F" w:rsidRDefault="007F3B9F" w:rsidP="007F3B9F">
            <w:pPr>
              <w:pStyle w:val="Zkladntext"/>
              <w:spacing w:after="0" w:line="240" w:lineRule="atLeast"/>
            </w:pPr>
          </w:p>
          <w:p w14:paraId="1699C016" w14:textId="77777777" w:rsidR="007F3B9F" w:rsidRDefault="007F3B9F" w:rsidP="007F3B9F">
            <w:pPr>
              <w:pStyle w:val="Texttabulky"/>
              <w:spacing w:after="0" w:line="240" w:lineRule="atLeast"/>
            </w:pPr>
            <w:r>
              <w:t>1400</w:t>
            </w:r>
          </w:p>
        </w:tc>
        <w:tc>
          <w:tcPr>
            <w:tcW w:w="567" w:type="dxa"/>
            <w:tcBorders>
              <w:top w:val="single" w:sz="6" w:space="0" w:color="auto"/>
              <w:left w:val="single" w:sz="6" w:space="0" w:color="auto"/>
              <w:bottom w:val="single" w:sz="6" w:space="0" w:color="auto"/>
              <w:right w:val="single" w:sz="6" w:space="0" w:color="auto"/>
            </w:tcBorders>
          </w:tcPr>
          <w:p w14:paraId="236ACF94" w14:textId="77777777" w:rsidR="007F3B9F" w:rsidRDefault="007F3B9F" w:rsidP="007F3B9F">
            <w:pPr>
              <w:pStyle w:val="Zkladntext"/>
              <w:spacing w:after="0" w:line="240" w:lineRule="atLeast"/>
            </w:pPr>
          </w:p>
          <w:p w14:paraId="53AA3476" w14:textId="77777777" w:rsidR="007F3B9F" w:rsidRDefault="007F3B9F" w:rsidP="007F3B9F">
            <w:pPr>
              <w:pStyle w:val="Texttabulky"/>
              <w:spacing w:after="0" w:line="240" w:lineRule="atLeast"/>
            </w:pPr>
            <w:r>
              <w:t xml:space="preserve"> 3-4</w:t>
            </w:r>
          </w:p>
          <w:p w14:paraId="43AB6896"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21D8148A" w14:textId="77777777" w:rsidR="007F3B9F" w:rsidRDefault="007F3B9F" w:rsidP="007F3B9F">
            <w:pPr>
              <w:pStyle w:val="Zkladntext"/>
              <w:spacing w:after="0" w:line="240" w:lineRule="atLeast"/>
            </w:pPr>
          </w:p>
          <w:p w14:paraId="7998C7FF" w14:textId="77777777" w:rsidR="007F3B9F" w:rsidRDefault="007F3B9F" w:rsidP="007F3B9F">
            <w:pPr>
              <w:pStyle w:val="Texttabulky"/>
              <w:spacing w:after="0" w:line="240" w:lineRule="atLeast"/>
            </w:pPr>
            <w:r>
              <w:t xml:space="preserve">  dle platného LHP</w:t>
            </w:r>
          </w:p>
        </w:tc>
      </w:tr>
      <w:tr w:rsidR="007F3B9F" w14:paraId="7281E66E" w14:textId="77777777" w:rsidTr="00BB63DF">
        <w:tc>
          <w:tcPr>
            <w:tcW w:w="993" w:type="dxa"/>
            <w:tcBorders>
              <w:top w:val="single" w:sz="6" w:space="0" w:color="auto"/>
              <w:left w:val="single" w:sz="6" w:space="0" w:color="auto"/>
              <w:bottom w:val="single" w:sz="6" w:space="0" w:color="auto"/>
              <w:right w:val="single" w:sz="6" w:space="0" w:color="auto"/>
            </w:tcBorders>
          </w:tcPr>
          <w:p w14:paraId="54969C3F" w14:textId="77777777" w:rsidR="007F3B9F" w:rsidRDefault="007F3B9F" w:rsidP="007F3B9F">
            <w:pPr>
              <w:pStyle w:val="Zkladntext"/>
              <w:spacing w:after="0" w:line="240" w:lineRule="atLeast"/>
            </w:pPr>
          </w:p>
          <w:p w14:paraId="30F504AA" w14:textId="77777777" w:rsidR="007F3B9F" w:rsidRDefault="007F3B9F" w:rsidP="007F3B9F">
            <w:pPr>
              <w:pStyle w:val="Texttabulky"/>
              <w:spacing w:after="0" w:line="240" w:lineRule="atLeast"/>
            </w:pPr>
            <w:r>
              <w:rPr>
                <w:b/>
                <w:bCs/>
                <w:sz w:val="22"/>
                <w:szCs w:val="22"/>
              </w:rPr>
              <w:t>13 - 14</w:t>
            </w:r>
          </w:p>
          <w:p w14:paraId="42C0B730"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76408693" w14:textId="77777777" w:rsidR="007F3B9F" w:rsidRDefault="007F3B9F" w:rsidP="007F3B9F">
            <w:pPr>
              <w:pStyle w:val="Texttabulky"/>
              <w:spacing w:after="0" w:line="240" w:lineRule="atLeast"/>
            </w:pPr>
            <w:r>
              <w:rPr>
                <w:b/>
                <w:bCs/>
                <w:sz w:val="20"/>
                <w:szCs w:val="20"/>
              </w:rPr>
              <w:t>L</w:t>
            </w:r>
          </w:p>
          <w:p w14:paraId="2477A2F3" w14:textId="77777777" w:rsidR="007F3B9F" w:rsidRDefault="007F3B9F" w:rsidP="007F3B9F">
            <w:pPr>
              <w:pStyle w:val="Zkladntext"/>
              <w:spacing w:after="0" w:line="240" w:lineRule="atLeast"/>
            </w:pPr>
          </w:p>
          <w:p w14:paraId="1CB30D56"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1C13538B" w14:textId="77777777" w:rsidR="007F3B9F" w:rsidRDefault="007F3B9F" w:rsidP="007F3B9F">
            <w:pPr>
              <w:pStyle w:val="Texttabulky"/>
              <w:spacing w:after="0" w:line="240" w:lineRule="atLeast"/>
            </w:pPr>
            <w:r>
              <w:t>Biokoridor vymezený v lesních porostech mezi Mlžným a Liščím potokem, v kyselých sm JD a kyselých sm BK.</w:t>
            </w:r>
          </w:p>
        </w:tc>
        <w:tc>
          <w:tcPr>
            <w:tcW w:w="709" w:type="dxa"/>
            <w:tcBorders>
              <w:top w:val="single" w:sz="6" w:space="0" w:color="auto"/>
              <w:left w:val="single" w:sz="6" w:space="0" w:color="auto"/>
              <w:bottom w:val="single" w:sz="6" w:space="0" w:color="auto"/>
              <w:right w:val="single" w:sz="6" w:space="0" w:color="auto"/>
            </w:tcBorders>
          </w:tcPr>
          <w:p w14:paraId="2C78B0EC" w14:textId="77777777" w:rsidR="007F3B9F" w:rsidRDefault="007F3B9F" w:rsidP="007F3B9F">
            <w:pPr>
              <w:pStyle w:val="Zkladntext"/>
              <w:spacing w:after="0" w:line="240" w:lineRule="atLeast"/>
            </w:pPr>
          </w:p>
          <w:p w14:paraId="2D2814C5" w14:textId="77777777" w:rsidR="007F3B9F" w:rsidRDefault="007F3B9F" w:rsidP="007F3B9F">
            <w:pPr>
              <w:pStyle w:val="Texttabulky"/>
              <w:spacing w:after="0" w:line="240" w:lineRule="atLeast"/>
            </w:pPr>
            <w:r>
              <w:t>20</w:t>
            </w:r>
          </w:p>
          <w:p w14:paraId="75B18488" w14:textId="77777777" w:rsidR="007F3B9F" w:rsidRDefault="007F3B9F" w:rsidP="007F3B9F">
            <w:pPr>
              <w:pStyle w:val="Zkladntext"/>
              <w:spacing w:after="0" w:line="240" w:lineRule="atLeast"/>
            </w:pPr>
          </w:p>
          <w:p w14:paraId="363653BC" w14:textId="77777777" w:rsidR="007F3B9F" w:rsidRDefault="007F3B9F" w:rsidP="007F3B9F">
            <w:pPr>
              <w:pStyle w:val="Texttabulky"/>
              <w:spacing w:after="0" w:line="240" w:lineRule="atLeast"/>
            </w:pPr>
            <w:r>
              <w:t>1100</w:t>
            </w:r>
          </w:p>
        </w:tc>
        <w:tc>
          <w:tcPr>
            <w:tcW w:w="567" w:type="dxa"/>
            <w:tcBorders>
              <w:top w:val="single" w:sz="6" w:space="0" w:color="auto"/>
              <w:left w:val="single" w:sz="6" w:space="0" w:color="auto"/>
              <w:bottom w:val="single" w:sz="6" w:space="0" w:color="auto"/>
              <w:right w:val="single" w:sz="6" w:space="0" w:color="auto"/>
            </w:tcBorders>
          </w:tcPr>
          <w:p w14:paraId="5D3736BA" w14:textId="77777777" w:rsidR="007F3B9F" w:rsidRDefault="007F3B9F" w:rsidP="007F3B9F">
            <w:pPr>
              <w:pStyle w:val="Zkladntext"/>
              <w:spacing w:after="0" w:line="240" w:lineRule="atLeast"/>
            </w:pPr>
          </w:p>
          <w:p w14:paraId="2A3B58D6" w14:textId="77777777" w:rsidR="007F3B9F" w:rsidRDefault="007F3B9F" w:rsidP="007F3B9F">
            <w:pPr>
              <w:pStyle w:val="Texttabulky"/>
              <w:spacing w:after="0" w:line="240" w:lineRule="atLeast"/>
            </w:pPr>
            <w:r>
              <w:t xml:space="preserve"> 3-4</w:t>
            </w:r>
          </w:p>
          <w:p w14:paraId="41CBC65C"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41858F3D" w14:textId="77777777" w:rsidR="007F3B9F" w:rsidRDefault="007F3B9F" w:rsidP="007F3B9F">
            <w:pPr>
              <w:pStyle w:val="Zkladntext"/>
              <w:spacing w:after="0" w:line="240" w:lineRule="atLeast"/>
            </w:pPr>
          </w:p>
          <w:p w14:paraId="3BD4EC81" w14:textId="77777777" w:rsidR="007F3B9F" w:rsidRDefault="007F3B9F" w:rsidP="007F3B9F">
            <w:pPr>
              <w:pStyle w:val="Texttabulky"/>
              <w:spacing w:after="0" w:line="240" w:lineRule="atLeast"/>
            </w:pPr>
            <w:r>
              <w:t xml:space="preserve">  dle platného LHP</w:t>
            </w:r>
          </w:p>
        </w:tc>
      </w:tr>
      <w:tr w:rsidR="007F3B9F" w14:paraId="6885B58F" w14:textId="77777777" w:rsidTr="00BB63DF">
        <w:tc>
          <w:tcPr>
            <w:tcW w:w="993" w:type="dxa"/>
            <w:tcBorders>
              <w:top w:val="single" w:sz="6" w:space="0" w:color="auto"/>
              <w:left w:val="single" w:sz="6" w:space="0" w:color="auto"/>
              <w:bottom w:val="single" w:sz="6" w:space="0" w:color="auto"/>
              <w:right w:val="single" w:sz="6" w:space="0" w:color="auto"/>
            </w:tcBorders>
          </w:tcPr>
          <w:p w14:paraId="7C71F46E" w14:textId="77777777" w:rsidR="007F3B9F" w:rsidRDefault="007F3B9F" w:rsidP="007F3B9F">
            <w:pPr>
              <w:pStyle w:val="Zkladntext"/>
              <w:spacing w:after="0" w:line="240" w:lineRule="atLeast"/>
            </w:pPr>
          </w:p>
          <w:p w14:paraId="3ABB2482" w14:textId="77777777" w:rsidR="007F3B9F" w:rsidRDefault="007F3B9F" w:rsidP="007F3B9F">
            <w:pPr>
              <w:pStyle w:val="Texttabulky"/>
              <w:spacing w:after="0" w:line="240" w:lineRule="atLeast"/>
            </w:pPr>
            <w:r>
              <w:rPr>
                <w:b/>
                <w:bCs/>
                <w:sz w:val="22"/>
                <w:szCs w:val="22"/>
              </w:rPr>
              <w:t xml:space="preserve"> 20 - 14</w:t>
            </w:r>
          </w:p>
          <w:p w14:paraId="38747581"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66CCAD61" w14:textId="77777777" w:rsidR="007F3B9F" w:rsidRDefault="007F3B9F" w:rsidP="007F3B9F">
            <w:pPr>
              <w:pStyle w:val="Texttabulky"/>
              <w:spacing w:after="0" w:line="240" w:lineRule="atLeast"/>
            </w:pPr>
            <w:r>
              <w:rPr>
                <w:b/>
                <w:bCs/>
                <w:sz w:val="20"/>
                <w:szCs w:val="20"/>
              </w:rPr>
              <w:t>L</w:t>
            </w:r>
          </w:p>
          <w:p w14:paraId="55244212" w14:textId="77777777" w:rsidR="007F3B9F" w:rsidRDefault="007F3B9F" w:rsidP="007F3B9F">
            <w:pPr>
              <w:pStyle w:val="Zkladntext"/>
              <w:spacing w:after="0" w:line="240" w:lineRule="atLeast"/>
            </w:pPr>
          </w:p>
          <w:p w14:paraId="6B079297"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1C8F93D5" w14:textId="77777777" w:rsidR="007F3B9F" w:rsidRDefault="007F3B9F" w:rsidP="007F3B9F">
            <w:pPr>
              <w:pStyle w:val="Texttabulky"/>
              <w:spacing w:after="0" w:line="240" w:lineRule="atLeast"/>
            </w:pPr>
            <w:r>
              <w:t>Biokoridor vymezený v lesních porostech mezi Mlžným potokem a Napajedly, v slt podmáčených sm JD a kyselých sm BK.</w:t>
            </w:r>
          </w:p>
        </w:tc>
        <w:tc>
          <w:tcPr>
            <w:tcW w:w="709" w:type="dxa"/>
            <w:tcBorders>
              <w:top w:val="single" w:sz="6" w:space="0" w:color="auto"/>
              <w:left w:val="single" w:sz="6" w:space="0" w:color="auto"/>
              <w:bottom w:val="single" w:sz="6" w:space="0" w:color="auto"/>
              <w:right w:val="single" w:sz="6" w:space="0" w:color="auto"/>
            </w:tcBorders>
          </w:tcPr>
          <w:p w14:paraId="4B271849" w14:textId="77777777" w:rsidR="007F3B9F" w:rsidRDefault="007F3B9F" w:rsidP="007F3B9F">
            <w:pPr>
              <w:pStyle w:val="Zkladntext"/>
              <w:spacing w:after="0" w:line="240" w:lineRule="atLeast"/>
            </w:pPr>
          </w:p>
          <w:p w14:paraId="35DB946B" w14:textId="77777777" w:rsidR="007F3B9F" w:rsidRDefault="007F3B9F" w:rsidP="007F3B9F">
            <w:pPr>
              <w:pStyle w:val="Texttabulky"/>
              <w:spacing w:after="0" w:line="240" w:lineRule="atLeast"/>
            </w:pPr>
            <w:r>
              <w:t>20</w:t>
            </w:r>
          </w:p>
          <w:p w14:paraId="43D995ED" w14:textId="77777777" w:rsidR="007F3B9F" w:rsidRDefault="007F3B9F" w:rsidP="007F3B9F">
            <w:pPr>
              <w:pStyle w:val="Zkladntext"/>
              <w:spacing w:after="0" w:line="240" w:lineRule="atLeast"/>
            </w:pPr>
          </w:p>
          <w:p w14:paraId="0D5982C3" w14:textId="77777777" w:rsidR="007F3B9F" w:rsidRDefault="007F3B9F" w:rsidP="007F3B9F">
            <w:pPr>
              <w:pStyle w:val="Texttabulky"/>
              <w:spacing w:after="0" w:line="240" w:lineRule="atLeast"/>
            </w:pPr>
            <w:r>
              <w:t>1400</w:t>
            </w:r>
          </w:p>
        </w:tc>
        <w:tc>
          <w:tcPr>
            <w:tcW w:w="567" w:type="dxa"/>
            <w:tcBorders>
              <w:top w:val="single" w:sz="6" w:space="0" w:color="auto"/>
              <w:left w:val="single" w:sz="6" w:space="0" w:color="auto"/>
              <w:bottom w:val="single" w:sz="6" w:space="0" w:color="auto"/>
              <w:right w:val="single" w:sz="6" w:space="0" w:color="auto"/>
            </w:tcBorders>
          </w:tcPr>
          <w:p w14:paraId="3DFA2844" w14:textId="77777777" w:rsidR="007F3B9F" w:rsidRDefault="007F3B9F" w:rsidP="007F3B9F">
            <w:pPr>
              <w:pStyle w:val="Zkladntext"/>
              <w:spacing w:after="0" w:line="240" w:lineRule="atLeast"/>
            </w:pPr>
          </w:p>
          <w:p w14:paraId="40E77FBC" w14:textId="77777777" w:rsidR="007F3B9F" w:rsidRDefault="007F3B9F" w:rsidP="007F3B9F">
            <w:pPr>
              <w:pStyle w:val="Texttabulky"/>
              <w:spacing w:after="0" w:line="240" w:lineRule="atLeast"/>
            </w:pPr>
            <w:r>
              <w:t xml:space="preserve"> 3-4</w:t>
            </w:r>
          </w:p>
          <w:p w14:paraId="0C1C30A2"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30826875" w14:textId="77777777" w:rsidR="007F3B9F" w:rsidRDefault="007F3B9F" w:rsidP="007F3B9F">
            <w:pPr>
              <w:pStyle w:val="Zkladntext"/>
              <w:spacing w:after="0" w:line="240" w:lineRule="atLeast"/>
            </w:pPr>
          </w:p>
          <w:p w14:paraId="15EE0D6C" w14:textId="77777777" w:rsidR="007F3B9F" w:rsidRDefault="007F3B9F" w:rsidP="007F3B9F">
            <w:pPr>
              <w:pStyle w:val="Texttabulky"/>
              <w:spacing w:after="0" w:line="240" w:lineRule="atLeast"/>
            </w:pPr>
            <w:r>
              <w:t xml:space="preserve">  dle platného LHP</w:t>
            </w:r>
          </w:p>
        </w:tc>
      </w:tr>
      <w:tr w:rsidR="007F3B9F" w14:paraId="1A57C55B" w14:textId="77777777" w:rsidTr="00BB63DF">
        <w:tc>
          <w:tcPr>
            <w:tcW w:w="993" w:type="dxa"/>
            <w:tcBorders>
              <w:top w:val="single" w:sz="6" w:space="0" w:color="auto"/>
              <w:left w:val="single" w:sz="6" w:space="0" w:color="auto"/>
              <w:bottom w:val="single" w:sz="6" w:space="0" w:color="auto"/>
              <w:right w:val="single" w:sz="6" w:space="0" w:color="auto"/>
            </w:tcBorders>
          </w:tcPr>
          <w:p w14:paraId="6C931A2B" w14:textId="77777777" w:rsidR="007F3B9F" w:rsidRDefault="007F3B9F" w:rsidP="007F3B9F">
            <w:pPr>
              <w:pStyle w:val="Zkladntext"/>
              <w:spacing w:after="0" w:line="240" w:lineRule="atLeast"/>
            </w:pPr>
          </w:p>
          <w:p w14:paraId="625FE10D" w14:textId="77777777" w:rsidR="007F3B9F" w:rsidRDefault="007F3B9F" w:rsidP="007F3B9F">
            <w:pPr>
              <w:pStyle w:val="Texttabulky"/>
              <w:spacing w:after="0" w:line="240" w:lineRule="atLeast"/>
            </w:pPr>
            <w:r>
              <w:rPr>
                <w:b/>
                <w:bCs/>
                <w:sz w:val="22"/>
                <w:szCs w:val="22"/>
              </w:rPr>
              <w:t xml:space="preserve"> 18 - 19</w:t>
            </w:r>
          </w:p>
          <w:p w14:paraId="13498C43"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0796A655" w14:textId="77777777" w:rsidR="007F3B9F" w:rsidRDefault="007F3B9F" w:rsidP="007F3B9F">
            <w:pPr>
              <w:pStyle w:val="Texttabulky"/>
              <w:spacing w:after="0" w:line="240" w:lineRule="atLeast"/>
            </w:pPr>
            <w:r>
              <w:rPr>
                <w:b/>
                <w:bCs/>
                <w:sz w:val="20"/>
                <w:szCs w:val="20"/>
              </w:rPr>
              <w:t>NR</w:t>
            </w:r>
          </w:p>
          <w:p w14:paraId="3977C300" w14:textId="77777777" w:rsidR="007F3B9F" w:rsidRDefault="007F3B9F" w:rsidP="007F3B9F">
            <w:pPr>
              <w:pStyle w:val="Zkladntext"/>
              <w:spacing w:after="0" w:line="240" w:lineRule="atLeast"/>
            </w:pPr>
          </w:p>
          <w:p w14:paraId="4280B2B6"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5E54D68B" w14:textId="77777777" w:rsidR="007F3B9F" w:rsidRDefault="007F3B9F" w:rsidP="007F3B9F">
            <w:pPr>
              <w:pStyle w:val="Texttabulky"/>
              <w:spacing w:after="0" w:line="240" w:lineRule="atLeast"/>
            </w:pPr>
            <w:r>
              <w:t>Biokoridor vymezený v lesních porostech, v slt kyselých jd BK a kyselých sm BK.</w:t>
            </w:r>
          </w:p>
        </w:tc>
        <w:tc>
          <w:tcPr>
            <w:tcW w:w="709" w:type="dxa"/>
            <w:tcBorders>
              <w:top w:val="single" w:sz="6" w:space="0" w:color="auto"/>
              <w:left w:val="single" w:sz="6" w:space="0" w:color="auto"/>
              <w:bottom w:val="single" w:sz="6" w:space="0" w:color="auto"/>
              <w:right w:val="single" w:sz="6" w:space="0" w:color="auto"/>
            </w:tcBorders>
          </w:tcPr>
          <w:p w14:paraId="77B777F2" w14:textId="77777777" w:rsidR="007F3B9F" w:rsidRDefault="007F3B9F" w:rsidP="007F3B9F">
            <w:pPr>
              <w:pStyle w:val="Zkladntext"/>
              <w:spacing w:after="0" w:line="240" w:lineRule="atLeast"/>
            </w:pPr>
          </w:p>
          <w:p w14:paraId="54817CDE" w14:textId="77777777" w:rsidR="007F3B9F" w:rsidRDefault="007F3B9F" w:rsidP="007F3B9F">
            <w:pPr>
              <w:pStyle w:val="Texttabulky"/>
              <w:spacing w:after="0" w:line="240" w:lineRule="atLeast"/>
            </w:pPr>
            <w:r>
              <w:t>100</w:t>
            </w:r>
          </w:p>
          <w:p w14:paraId="06A03787" w14:textId="77777777" w:rsidR="007F3B9F" w:rsidRDefault="007F3B9F" w:rsidP="007F3B9F">
            <w:pPr>
              <w:pStyle w:val="Zkladntext"/>
              <w:spacing w:after="0" w:line="240" w:lineRule="atLeast"/>
            </w:pPr>
          </w:p>
          <w:p w14:paraId="4B7EF894" w14:textId="77777777" w:rsidR="007F3B9F" w:rsidRDefault="007F3B9F" w:rsidP="007F3B9F">
            <w:pPr>
              <w:pStyle w:val="Texttabulky"/>
              <w:spacing w:after="0" w:line="240" w:lineRule="atLeast"/>
            </w:pPr>
            <w:r>
              <w:t>500</w:t>
            </w:r>
          </w:p>
        </w:tc>
        <w:tc>
          <w:tcPr>
            <w:tcW w:w="567" w:type="dxa"/>
            <w:tcBorders>
              <w:top w:val="single" w:sz="6" w:space="0" w:color="auto"/>
              <w:left w:val="single" w:sz="6" w:space="0" w:color="auto"/>
              <w:bottom w:val="single" w:sz="6" w:space="0" w:color="auto"/>
              <w:right w:val="single" w:sz="6" w:space="0" w:color="auto"/>
            </w:tcBorders>
          </w:tcPr>
          <w:p w14:paraId="61132AFE" w14:textId="77777777" w:rsidR="007F3B9F" w:rsidRDefault="007F3B9F" w:rsidP="007F3B9F">
            <w:pPr>
              <w:pStyle w:val="Zkladntext"/>
              <w:spacing w:after="0" w:line="240" w:lineRule="atLeast"/>
            </w:pPr>
          </w:p>
          <w:p w14:paraId="37653B53" w14:textId="77777777" w:rsidR="007F3B9F" w:rsidRDefault="007F3B9F" w:rsidP="007F3B9F">
            <w:pPr>
              <w:pStyle w:val="Texttabulky"/>
              <w:spacing w:after="0" w:line="240" w:lineRule="atLeast"/>
            </w:pPr>
            <w:r>
              <w:t>3-4</w:t>
            </w:r>
          </w:p>
          <w:p w14:paraId="41A1ABF4"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724E9072" w14:textId="77777777" w:rsidR="007F3B9F" w:rsidRDefault="007F3B9F" w:rsidP="007F3B9F">
            <w:pPr>
              <w:pStyle w:val="Zkladntext"/>
              <w:spacing w:after="0" w:line="240" w:lineRule="atLeast"/>
            </w:pPr>
          </w:p>
          <w:p w14:paraId="4B085954" w14:textId="77777777" w:rsidR="007F3B9F" w:rsidRDefault="007F3B9F" w:rsidP="007F3B9F">
            <w:pPr>
              <w:pStyle w:val="Texttabulky"/>
              <w:spacing w:after="0" w:line="240" w:lineRule="atLeast"/>
            </w:pPr>
            <w:r>
              <w:t xml:space="preserve">  dle platného LHP</w:t>
            </w:r>
          </w:p>
        </w:tc>
      </w:tr>
      <w:tr w:rsidR="007F3B9F" w14:paraId="3292C381" w14:textId="77777777" w:rsidTr="00BB63DF">
        <w:tc>
          <w:tcPr>
            <w:tcW w:w="993" w:type="dxa"/>
            <w:tcBorders>
              <w:top w:val="single" w:sz="6" w:space="0" w:color="auto"/>
              <w:left w:val="single" w:sz="6" w:space="0" w:color="auto"/>
              <w:bottom w:val="single" w:sz="6" w:space="0" w:color="auto"/>
              <w:right w:val="single" w:sz="6" w:space="0" w:color="auto"/>
            </w:tcBorders>
          </w:tcPr>
          <w:p w14:paraId="343B05BB" w14:textId="77777777" w:rsidR="007F3B9F" w:rsidRDefault="007F3B9F" w:rsidP="007F3B9F">
            <w:pPr>
              <w:pStyle w:val="Zkladntext"/>
              <w:spacing w:after="0" w:line="240" w:lineRule="atLeast"/>
            </w:pPr>
          </w:p>
          <w:p w14:paraId="5757B052" w14:textId="77777777" w:rsidR="007F3B9F" w:rsidRDefault="007F3B9F" w:rsidP="007F3B9F">
            <w:pPr>
              <w:pStyle w:val="Texttabulky"/>
              <w:spacing w:after="0" w:line="240" w:lineRule="atLeast"/>
            </w:pPr>
            <w:r>
              <w:rPr>
                <w:b/>
                <w:bCs/>
                <w:sz w:val="22"/>
                <w:szCs w:val="22"/>
              </w:rPr>
              <w:t xml:space="preserve"> 19 - 20</w:t>
            </w:r>
          </w:p>
          <w:p w14:paraId="5A142E60"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53440AFD" w14:textId="77777777" w:rsidR="007F3B9F" w:rsidRDefault="007F3B9F" w:rsidP="007F3B9F">
            <w:pPr>
              <w:pStyle w:val="Texttabulky"/>
              <w:spacing w:after="0" w:line="240" w:lineRule="atLeast"/>
            </w:pPr>
            <w:r>
              <w:rPr>
                <w:b/>
                <w:bCs/>
                <w:sz w:val="20"/>
                <w:szCs w:val="20"/>
              </w:rPr>
              <w:t>NR</w:t>
            </w:r>
          </w:p>
          <w:p w14:paraId="74667E3F" w14:textId="77777777" w:rsidR="007F3B9F" w:rsidRDefault="007F3B9F" w:rsidP="007F3B9F">
            <w:pPr>
              <w:pStyle w:val="Zkladntext"/>
              <w:spacing w:after="0" w:line="240" w:lineRule="atLeast"/>
            </w:pPr>
          </w:p>
          <w:p w14:paraId="1B063E23"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598A72F2" w14:textId="77777777" w:rsidR="007F3B9F" w:rsidRDefault="007F3B9F" w:rsidP="007F3B9F">
            <w:pPr>
              <w:pStyle w:val="Texttabulky"/>
              <w:spacing w:after="0" w:line="240" w:lineRule="atLeast"/>
            </w:pPr>
            <w:r>
              <w:t>Biokoridor vymezený v lesních porostech, v slt chudých db BO kyselých sm BK.</w:t>
            </w:r>
          </w:p>
        </w:tc>
        <w:tc>
          <w:tcPr>
            <w:tcW w:w="709" w:type="dxa"/>
            <w:tcBorders>
              <w:top w:val="single" w:sz="6" w:space="0" w:color="auto"/>
              <w:left w:val="single" w:sz="6" w:space="0" w:color="auto"/>
              <w:bottom w:val="single" w:sz="6" w:space="0" w:color="auto"/>
              <w:right w:val="single" w:sz="6" w:space="0" w:color="auto"/>
            </w:tcBorders>
          </w:tcPr>
          <w:p w14:paraId="2F688A87" w14:textId="77777777" w:rsidR="007F3B9F" w:rsidRDefault="007F3B9F" w:rsidP="007F3B9F">
            <w:pPr>
              <w:pStyle w:val="Zkladntext"/>
              <w:spacing w:after="0" w:line="240" w:lineRule="atLeast"/>
            </w:pPr>
          </w:p>
          <w:p w14:paraId="58972400" w14:textId="77777777" w:rsidR="007F3B9F" w:rsidRDefault="007F3B9F" w:rsidP="007F3B9F">
            <w:pPr>
              <w:pStyle w:val="Texttabulky"/>
              <w:spacing w:after="0" w:line="240" w:lineRule="atLeast"/>
            </w:pPr>
            <w:r>
              <w:t>100</w:t>
            </w:r>
          </w:p>
          <w:p w14:paraId="394CEE5D" w14:textId="77777777" w:rsidR="007F3B9F" w:rsidRDefault="007F3B9F" w:rsidP="007F3B9F">
            <w:pPr>
              <w:pStyle w:val="Zkladntext"/>
              <w:spacing w:after="0" w:line="240" w:lineRule="atLeast"/>
            </w:pPr>
          </w:p>
          <w:p w14:paraId="576141DF" w14:textId="77777777" w:rsidR="007F3B9F" w:rsidRDefault="007F3B9F" w:rsidP="007F3B9F">
            <w:pPr>
              <w:pStyle w:val="Texttabulky"/>
              <w:spacing w:after="0" w:line="240" w:lineRule="atLeast"/>
            </w:pPr>
            <w:r>
              <w:t>700</w:t>
            </w:r>
          </w:p>
        </w:tc>
        <w:tc>
          <w:tcPr>
            <w:tcW w:w="567" w:type="dxa"/>
            <w:tcBorders>
              <w:top w:val="single" w:sz="6" w:space="0" w:color="auto"/>
              <w:left w:val="single" w:sz="6" w:space="0" w:color="auto"/>
              <w:bottom w:val="single" w:sz="6" w:space="0" w:color="auto"/>
              <w:right w:val="single" w:sz="6" w:space="0" w:color="auto"/>
            </w:tcBorders>
          </w:tcPr>
          <w:p w14:paraId="4928EAEB" w14:textId="77777777" w:rsidR="007F3B9F" w:rsidRDefault="007F3B9F" w:rsidP="007F3B9F">
            <w:pPr>
              <w:pStyle w:val="Zkladntext"/>
              <w:spacing w:after="0" w:line="240" w:lineRule="atLeast"/>
            </w:pPr>
          </w:p>
          <w:p w14:paraId="41C90A38" w14:textId="77777777" w:rsidR="007F3B9F" w:rsidRDefault="007F3B9F" w:rsidP="007F3B9F">
            <w:pPr>
              <w:pStyle w:val="Texttabulky"/>
              <w:spacing w:after="0" w:line="240" w:lineRule="atLeast"/>
            </w:pPr>
            <w:r>
              <w:t xml:space="preserve"> 3-4</w:t>
            </w:r>
          </w:p>
          <w:p w14:paraId="5899DFCF"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222BDD65" w14:textId="77777777" w:rsidR="007F3B9F" w:rsidRDefault="007F3B9F" w:rsidP="007F3B9F">
            <w:pPr>
              <w:pStyle w:val="Zkladntext"/>
              <w:spacing w:after="0" w:line="240" w:lineRule="atLeast"/>
            </w:pPr>
          </w:p>
          <w:p w14:paraId="07D93354" w14:textId="77777777" w:rsidR="007F3B9F" w:rsidRDefault="007F3B9F" w:rsidP="007F3B9F">
            <w:pPr>
              <w:pStyle w:val="Texttabulky"/>
              <w:spacing w:after="0" w:line="240" w:lineRule="atLeast"/>
            </w:pPr>
            <w:r>
              <w:t xml:space="preserve">  dle platného LHP</w:t>
            </w:r>
          </w:p>
        </w:tc>
      </w:tr>
      <w:tr w:rsidR="007F3B9F" w14:paraId="77F1D6A1" w14:textId="77777777" w:rsidTr="00BB63DF">
        <w:tc>
          <w:tcPr>
            <w:tcW w:w="993" w:type="dxa"/>
            <w:tcBorders>
              <w:top w:val="single" w:sz="6" w:space="0" w:color="auto"/>
              <w:left w:val="single" w:sz="6" w:space="0" w:color="auto"/>
              <w:bottom w:val="single" w:sz="6" w:space="0" w:color="auto"/>
              <w:right w:val="single" w:sz="6" w:space="0" w:color="auto"/>
            </w:tcBorders>
          </w:tcPr>
          <w:p w14:paraId="43630939" w14:textId="77777777" w:rsidR="007F3B9F" w:rsidRDefault="007F3B9F" w:rsidP="007F3B9F">
            <w:pPr>
              <w:pStyle w:val="Zkladntext"/>
              <w:spacing w:after="0" w:line="240" w:lineRule="atLeast"/>
            </w:pPr>
          </w:p>
          <w:p w14:paraId="4965B5FC" w14:textId="77777777" w:rsidR="007F3B9F" w:rsidRDefault="007F3B9F" w:rsidP="007F3B9F">
            <w:pPr>
              <w:pStyle w:val="Texttabulky"/>
              <w:spacing w:after="0" w:line="240" w:lineRule="atLeast"/>
            </w:pPr>
            <w:r>
              <w:rPr>
                <w:b/>
                <w:bCs/>
                <w:sz w:val="22"/>
                <w:szCs w:val="22"/>
              </w:rPr>
              <w:t xml:space="preserve"> 19 - 20</w:t>
            </w:r>
          </w:p>
          <w:p w14:paraId="5E035C10"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1EFB1A5" w14:textId="77777777" w:rsidR="007F3B9F" w:rsidRDefault="007F3B9F" w:rsidP="007F3B9F">
            <w:pPr>
              <w:pStyle w:val="Texttabulky"/>
              <w:spacing w:after="0" w:line="240" w:lineRule="atLeast"/>
            </w:pPr>
            <w:r>
              <w:rPr>
                <w:b/>
                <w:bCs/>
                <w:sz w:val="20"/>
                <w:szCs w:val="20"/>
              </w:rPr>
              <w:t>L</w:t>
            </w:r>
          </w:p>
          <w:p w14:paraId="237EECFF" w14:textId="77777777" w:rsidR="007F3B9F" w:rsidRDefault="007F3B9F" w:rsidP="007F3B9F">
            <w:pPr>
              <w:pStyle w:val="Zkladntext"/>
              <w:spacing w:after="0" w:line="240" w:lineRule="atLeast"/>
            </w:pPr>
          </w:p>
          <w:p w14:paraId="5756B53F"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34741E16" w14:textId="77777777" w:rsidR="007F3B9F" w:rsidRDefault="007F3B9F" w:rsidP="007F3B9F">
            <w:pPr>
              <w:pStyle w:val="Texttabulky"/>
              <w:spacing w:after="0" w:line="240" w:lineRule="atLeast"/>
            </w:pPr>
            <w:r>
              <w:t>Biokoridor vymezený v lesních porostech podél levostranného přítoku Napajedel, v slt podmáčených sm JD a kyselých sm BK.</w:t>
            </w:r>
          </w:p>
        </w:tc>
        <w:tc>
          <w:tcPr>
            <w:tcW w:w="709" w:type="dxa"/>
            <w:tcBorders>
              <w:top w:val="single" w:sz="6" w:space="0" w:color="auto"/>
              <w:left w:val="single" w:sz="6" w:space="0" w:color="auto"/>
              <w:bottom w:val="single" w:sz="6" w:space="0" w:color="auto"/>
              <w:right w:val="single" w:sz="6" w:space="0" w:color="auto"/>
            </w:tcBorders>
          </w:tcPr>
          <w:p w14:paraId="65B2F08E" w14:textId="77777777" w:rsidR="007F3B9F" w:rsidRDefault="007F3B9F" w:rsidP="007F3B9F">
            <w:pPr>
              <w:pStyle w:val="Zkladntext"/>
              <w:spacing w:after="0" w:line="240" w:lineRule="atLeast"/>
            </w:pPr>
          </w:p>
          <w:p w14:paraId="1CC36B21" w14:textId="77777777" w:rsidR="007F3B9F" w:rsidRDefault="007F3B9F" w:rsidP="007F3B9F">
            <w:pPr>
              <w:pStyle w:val="Texttabulky"/>
              <w:spacing w:after="0" w:line="240" w:lineRule="atLeast"/>
            </w:pPr>
            <w:r>
              <w:t>20</w:t>
            </w:r>
          </w:p>
          <w:p w14:paraId="0FF187EA" w14:textId="77777777" w:rsidR="007F3B9F" w:rsidRDefault="007F3B9F" w:rsidP="007F3B9F">
            <w:pPr>
              <w:pStyle w:val="Zkladntext"/>
              <w:spacing w:after="0" w:line="240" w:lineRule="atLeast"/>
            </w:pPr>
          </w:p>
          <w:p w14:paraId="3FF7D4F4" w14:textId="77777777" w:rsidR="007F3B9F" w:rsidRDefault="007F3B9F" w:rsidP="007F3B9F">
            <w:pPr>
              <w:pStyle w:val="Texttabulky"/>
              <w:spacing w:after="0" w:line="240" w:lineRule="atLeast"/>
            </w:pPr>
            <w:r>
              <w:t>1900</w:t>
            </w:r>
          </w:p>
        </w:tc>
        <w:tc>
          <w:tcPr>
            <w:tcW w:w="567" w:type="dxa"/>
            <w:tcBorders>
              <w:top w:val="single" w:sz="6" w:space="0" w:color="auto"/>
              <w:left w:val="single" w:sz="6" w:space="0" w:color="auto"/>
              <w:bottom w:val="single" w:sz="6" w:space="0" w:color="auto"/>
              <w:right w:val="single" w:sz="6" w:space="0" w:color="auto"/>
            </w:tcBorders>
          </w:tcPr>
          <w:p w14:paraId="21B17048" w14:textId="77777777" w:rsidR="007F3B9F" w:rsidRDefault="007F3B9F" w:rsidP="007F3B9F">
            <w:pPr>
              <w:pStyle w:val="Zkladntext"/>
              <w:spacing w:after="0" w:line="240" w:lineRule="atLeast"/>
            </w:pPr>
          </w:p>
          <w:p w14:paraId="2F2D3341" w14:textId="77777777" w:rsidR="007F3B9F" w:rsidRDefault="007F3B9F" w:rsidP="007F3B9F">
            <w:pPr>
              <w:pStyle w:val="Texttabulky"/>
              <w:spacing w:after="0" w:line="240" w:lineRule="atLeast"/>
            </w:pPr>
            <w:r>
              <w:t xml:space="preserve"> 3-4</w:t>
            </w:r>
          </w:p>
          <w:p w14:paraId="741407D2"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3F7D00DF" w14:textId="77777777" w:rsidR="007F3B9F" w:rsidRDefault="007F3B9F" w:rsidP="007F3B9F">
            <w:pPr>
              <w:pStyle w:val="Zkladntext"/>
              <w:spacing w:after="0" w:line="240" w:lineRule="atLeast"/>
            </w:pPr>
          </w:p>
          <w:p w14:paraId="39972EF9" w14:textId="77777777" w:rsidR="007F3B9F" w:rsidRDefault="007F3B9F" w:rsidP="007F3B9F">
            <w:pPr>
              <w:pStyle w:val="Texttabulky"/>
              <w:spacing w:after="0" w:line="240" w:lineRule="atLeast"/>
            </w:pPr>
            <w:r>
              <w:t xml:space="preserve">  dle platného LHP</w:t>
            </w:r>
          </w:p>
        </w:tc>
      </w:tr>
      <w:tr w:rsidR="007F3B9F" w14:paraId="09839001" w14:textId="77777777" w:rsidTr="00BB63DF">
        <w:tc>
          <w:tcPr>
            <w:tcW w:w="993" w:type="dxa"/>
            <w:tcBorders>
              <w:top w:val="single" w:sz="6" w:space="0" w:color="auto"/>
              <w:left w:val="single" w:sz="6" w:space="0" w:color="auto"/>
              <w:bottom w:val="single" w:sz="6" w:space="0" w:color="auto"/>
              <w:right w:val="single" w:sz="6" w:space="0" w:color="auto"/>
            </w:tcBorders>
          </w:tcPr>
          <w:p w14:paraId="13C3C5F8" w14:textId="77777777" w:rsidR="007F3B9F" w:rsidRDefault="007F3B9F" w:rsidP="007F3B9F">
            <w:pPr>
              <w:pStyle w:val="Zkladntext"/>
              <w:spacing w:after="0" w:line="240" w:lineRule="atLeast"/>
            </w:pPr>
          </w:p>
          <w:p w14:paraId="588E68B9" w14:textId="77777777" w:rsidR="007F3B9F" w:rsidRDefault="007F3B9F" w:rsidP="007F3B9F">
            <w:pPr>
              <w:pStyle w:val="Texttabulky"/>
              <w:spacing w:after="0" w:line="240" w:lineRule="atLeast"/>
            </w:pPr>
            <w:r>
              <w:rPr>
                <w:b/>
                <w:bCs/>
                <w:sz w:val="22"/>
                <w:szCs w:val="22"/>
              </w:rPr>
              <w:t xml:space="preserve"> 14 - 18</w:t>
            </w:r>
          </w:p>
          <w:p w14:paraId="6A5472CC"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4C4E409" w14:textId="77777777" w:rsidR="007F3B9F" w:rsidRDefault="007F3B9F" w:rsidP="007F3B9F">
            <w:pPr>
              <w:pStyle w:val="Texttabulky"/>
              <w:spacing w:after="0" w:line="240" w:lineRule="atLeast"/>
            </w:pPr>
            <w:r>
              <w:rPr>
                <w:b/>
                <w:bCs/>
                <w:sz w:val="20"/>
                <w:szCs w:val="20"/>
              </w:rPr>
              <w:t>L</w:t>
            </w:r>
          </w:p>
          <w:p w14:paraId="506D04A3" w14:textId="77777777" w:rsidR="007F3B9F" w:rsidRDefault="007F3B9F" w:rsidP="007F3B9F">
            <w:pPr>
              <w:pStyle w:val="Zkladntext"/>
              <w:spacing w:after="0" w:line="240" w:lineRule="atLeast"/>
            </w:pPr>
          </w:p>
          <w:p w14:paraId="0157B31E"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1C7F2778" w14:textId="77777777" w:rsidR="007F3B9F" w:rsidRDefault="007F3B9F" w:rsidP="007F3B9F">
            <w:pPr>
              <w:pStyle w:val="Texttabulky"/>
              <w:spacing w:after="0" w:line="240" w:lineRule="atLeast"/>
            </w:pPr>
            <w:r>
              <w:t>Biokoridor vymezený v lesních porostech podél pramene Mlžného potoka v J části se napojuje na Bělský potok, v slt podmáčených sm JD, jd SM a kyselých sm BK.</w:t>
            </w:r>
          </w:p>
        </w:tc>
        <w:tc>
          <w:tcPr>
            <w:tcW w:w="709" w:type="dxa"/>
            <w:tcBorders>
              <w:top w:val="single" w:sz="6" w:space="0" w:color="auto"/>
              <w:left w:val="single" w:sz="6" w:space="0" w:color="auto"/>
              <w:bottom w:val="single" w:sz="6" w:space="0" w:color="auto"/>
              <w:right w:val="single" w:sz="6" w:space="0" w:color="auto"/>
            </w:tcBorders>
          </w:tcPr>
          <w:p w14:paraId="5519E875" w14:textId="77777777" w:rsidR="007F3B9F" w:rsidRDefault="007F3B9F" w:rsidP="007F3B9F">
            <w:pPr>
              <w:pStyle w:val="Zkladntext"/>
              <w:spacing w:after="0" w:line="240" w:lineRule="atLeast"/>
            </w:pPr>
          </w:p>
          <w:p w14:paraId="5DF7A8E1" w14:textId="77777777" w:rsidR="007F3B9F" w:rsidRDefault="007F3B9F" w:rsidP="007F3B9F">
            <w:pPr>
              <w:pStyle w:val="Texttabulky"/>
              <w:spacing w:after="0" w:line="240" w:lineRule="atLeast"/>
            </w:pPr>
            <w:r>
              <w:t>20</w:t>
            </w:r>
          </w:p>
          <w:p w14:paraId="0116B621" w14:textId="77777777" w:rsidR="007F3B9F" w:rsidRDefault="007F3B9F" w:rsidP="007F3B9F">
            <w:pPr>
              <w:pStyle w:val="Zkladntext"/>
              <w:spacing w:after="0" w:line="240" w:lineRule="atLeast"/>
            </w:pPr>
          </w:p>
          <w:p w14:paraId="5F55C32A" w14:textId="77777777" w:rsidR="007F3B9F" w:rsidRDefault="007F3B9F" w:rsidP="007F3B9F">
            <w:pPr>
              <w:pStyle w:val="Texttabulky"/>
              <w:spacing w:after="0" w:line="240" w:lineRule="atLeast"/>
            </w:pPr>
            <w:r>
              <w:t>1800</w:t>
            </w:r>
          </w:p>
        </w:tc>
        <w:tc>
          <w:tcPr>
            <w:tcW w:w="567" w:type="dxa"/>
            <w:tcBorders>
              <w:top w:val="single" w:sz="6" w:space="0" w:color="auto"/>
              <w:left w:val="single" w:sz="6" w:space="0" w:color="auto"/>
              <w:bottom w:val="single" w:sz="6" w:space="0" w:color="auto"/>
              <w:right w:val="single" w:sz="6" w:space="0" w:color="auto"/>
            </w:tcBorders>
          </w:tcPr>
          <w:p w14:paraId="782CFE6B" w14:textId="77777777" w:rsidR="007F3B9F" w:rsidRDefault="007F3B9F" w:rsidP="007F3B9F">
            <w:pPr>
              <w:pStyle w:val="Zkladntext"/>
              <w:spacing w:after="0" w:line="240" w:lineRule="atLeast"/>
            </w:pPr>
          </w:p>
          <w:p w14:paraId="71294435" w14:textId="77777777" w:rsidR="007F3B9F" w:rsidRDefault="007F3B9F" w:rsidP="007F3B9F">
            <w:pPr>
              <w:pStyle w:val="Texttabulky"/>
              <w:spacing w:after="0" w:line="240" w:lineRule="atLeast"/>
            </w:pPr>
            <w:r>
              <w:t xml:space="preserve"> 3-4</w:t>
            </w:r>
          </w:p>
          <w:p w14:paraId="572A907A"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16F56F77" w14:textId="77777777" w:rsidR="007F3B9F" w:rsidRDefault="007F3B9F" w:rsidP="007F3B9F">
            <w:pPr>
              <w:pStyle w:val="Zkladntext"/>
              <w:spacing w:after="0" w:line="240" w:lineRule="atLeast"/>
            </w:pPr>
          </w:p>
          <w:p w14:paraId="60C1E538" w14:textId="77777777" w:rsidR="007F3B9F" w:rsidRDefault="007F3B9F" w:rsidP="007F3B9F">
            <w:pPr>
              <w:pStyle w:val="Texttabulky"/>
              <w:spacing w:after="0" w:line="240" w:lineRule="atLeast"/>
            </w:pPr>
            <w:r>
              <w:t xml:space="preserve">  dle platného LHP</w:t>
            </w:r>
          </w:p>
        </w:tc>
      </w:tr>
      <w:tr w:rsidR="007F3B9F" w14:paraId="0773206E" w14:textId="77777777" w:rsidTr="00BB63DF">
        <w:tc>
          <w:tcPr>
            <w:tcW w:w="993" w:type="dxa"/>
            <w:tcBorders>
              <w:top w:val="single" w:sz="6" w:space="0" w:color="auto"/>
              <w:left w:val="single" w:sz="6" w:space="0" w:color="auto"/>
              <w:bottom w:val="single" w:sz="6" w:space="0" w:color="auto"/>
              <w:right w:val="single" w:sz="6" w:space="0" w:color="auto"/>
            </w:tcBorders>
          </w:tcPr>
          <w:p w14:paraId="1738371B" w14:textId="77777777" w:rsidR="007F3B9F" w:rsidRDefault="007F3B9F" w:rsidP="007F3B9F">
            <w:pPr>
              <w:pStyle w:val="Zkladntext"/>
              <w:spacing w:after="0" w:line="240" w:lineRule="atLeast"/>
            </w:pPr>
          </w:p>
          <w:p w14:paraId="62A6B7E3" w14:textId="77777777" w:rsidR="007F3B9F" w:rsidRDefault="007F3B9F" w:rsidP="007F3B9F">
            <w:pPr>
              <w:pStyle w:val="Texttabulky"/>
              <w:spacing w:after="0" w:line="240" w:lineRule="atLeast"/>
            </w:pPr>
            <w:r>
              <w:rPr>
                <w:b/>
                <w:bCs/>
                <w:sz w:val="22"/>
                <w:szCs w:val="22"/>
              </w:rPr>
              <w:t xml:space="preserve"> 18 - 19</w:t>
            </w:r>
          </w:p>
          <w:p w14:paraId="30E95855"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02EE78B1" w14:textId="77777777" w:rsidR="007F3B9F" w:rsidRDefault="007F3B9F" w:rsidP="007F3B9F">
            <w:pPr>
              <w:pStyle w:val="Texttabulky"/>
              <w:spacing w:after="0" w:line="240" w:lineRule="atLeast"/>
            </w:pPr>
            <w:r>
              <w:rPr>
                <w:b/>
                <w:bCs/>
                <w:sz w:val="20"/>
                <w:szCs w:val="20"/>
              </w:rPr>
              <w:t>L</w:t>
            </w:r>
          </w:p>
          <w:p w14:paraId="1198E08A" w14:textId="77777777" w:rsidR="007F3B9F" w:rsidRDefault="007F3B9F" w:rsidP="007F3B9F">
            <w:pPr>
              <w:pStyle w:val="Zkladntext"/>
              <w:spacing w:after="0" w:line="240" w:lineRule="atLeast"/>
            </w:pPr>
          </w:p>
          <w:p w14:paraId="30EAD77E"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3C59C096" w14:textId="77777777" w:rsidR="007F3B9F" w:rsidRDefault="007F3B9F" w:rsidP="007F3B9F">
            <w:pPr>
              <w:pStyle w:val="Texttabulky"/>
              <w:spacing w:after="0" w:line="240" w:lineRule="atLeast"/>
            </w:pPr>
            <w:r>
              <w:t>Biokoridor vymezený v lesních porostech podél vysychavého levostranného přítoku Ostružiníku, v slt podmáčených sm JD a kyselých sm BK.</w:t>
            </w:r>
          </w:p>
        </w:tc>
        <w:tc>
          <w:tcPr>
            <w:tcW w:w="709" w:type="dxa"/>
            <w:tcBorders>
              <w:top w:val="single" w:sz="6" w:space="0" w:color="auto"/>
              <w:left w:val="single" w:sz="6" w:space="0" w:color="auto"/>
              <w:bottom w:val="single" w:sz="6" w:space="0" w:color="auto"/>
              <w:right w:val="single" w:sz="6" w:space="0" w:color="auto"/>
            </w:tcBorders>
          </w:tcPr>
          <w:p w14:paraId="5A3DFCBA" w14:textId="77777777" w:rsidR="007F3B9F" w:rsidRDefault="007F3B9F" w:rsidP="007F3B9F">
            <w:pPr>
              <w:pStyle w:val="Zkladntext"/>
              <w:spacing w:after="0" w:line="240" w:lineRule="atLeast"/>
            </w:pPr>
          </w:p>
          <w:p w14:paraId="17155B4B" w14:textId="77777777" w:rsidR="007F3B9F" w:rsidRDefault="007F3B9F" w:rsidP="007F3B9F">
            <w:pPr>
              <w:pStyle w:val="Texttabulky"/>
              <w:spacing w:after="0" w:line="240" w:lineRule="atLeast"/>
            </w:pPr>
            <w:r>
              <w:t>20</w:t>
            </w:r>
          </w:p>
          <w:p w14:paraId="295BF90E" w14:textId="77777777" w:rsidR="007F3B9F" w:rsidRDefault="007F3B9F" w:rsidP="007F3B9F">
            <w:pPr>
              <w:pStyle w:val="Zkladntext"/>
              <w:spacing w:after="0" w:line="240" w:lineRule="atLeast"/>
            </w:pPr>
          </w:p>
          <w:p w14:paraId="486E5964" w14:textId="77777777" w:rsidR="007F3B9F" w:rsidRDefault="007F3B9F" w:rsidP="007F3B9F">
            <w:pPr>
              <w:pStyle w:val="Texttabulky"/>
              <w:spacing w:after="0" w:line="240" w:lineRule="atLeast"/>
            </w:pPr>
            <w:r>
              <w:t>1400</w:t>
            </w:r>
          </w:p>
        </w:tc>
        <w:tc>
          <w:tcPr>
            <w:tcW w:w="567" w:type="dxa"/>
            <w:tcBorders>
              <w:top w:val="single" w:sz="6" w:space="0" w:color="auto"/>
              <w:left w:val="single" w:sz="6" w:space="0" w:color="auto"/>
              <w:bottom w:val="single" w:sz="6" w:space="0" w:color="auto"/>
              <w:right w:val="single" w:sz="6" w:space="0" w:color="auto"/>
            </w:tcBorders>
          </w:tcPr>
          <w:p w14:paraId="4C6819DC" w14:textId="77777777" w:rsidR="007F3B9F" w:rsidRDefault="007F3B9F" w:rsidP="007F3B9F">
            <w:pPr>
              <w:pStyle w:val="Zkladntext"/>
              <w:spacing w:after="0" w:line="240" w:lineRule="atLeast"/>
            </w:pPr>
          </w:p>
          <w:p w14:paraId="50B4E02B" w14:textId="77777777" w:rsidR="007F3B9F" w:rsidRDefault="007F3B9F" w:rsidP="007F3B9F">
            <w:pPr>
              <w:pStyle w:val="Texttabulky"/>
              <w:spacing w:after="0" w:line="240" w:lineRule="atLeast"/>
            </w:pPr>
            <w:r>
              <w:t>3-4</w:t>
            </w:r>
          </w:p>
          <w:p w14:paraId="4608A3E4"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54844C9A" w14:textId="77777777" w:rsidR="007F3B9F" w:rsidRDefault="007F3B9F" w:rsidP="007F3B9F">
            <w:pPr>
              <w:pStyle w:val="Zkladntext"/>
              <w:spacing w:after="0" w:line="240" w:lineRule="atLeast"/>
            </w:pPr>
          </w:p>
          <w:p w14:paraId="727B8390" w14:textId="77777777" w:rsidR="007F3B9F" w:rsidRDefault="007F3B9F" w:rsidP="007F3B9F">
            <w:pPr>
              <w:pStyle w:val="Texttabulky"/>
              <w:spacing w:after="0" w:line="240" w:lineRule="atLeast"/>
            </w:pPr>
            <w:r>
              <w:t xml:space="preserve">  dle platného LHP</w:t>
            </w:r>
          </w:p>
        </w:tc>
      </w:tr>
      <w:tr w:rsidR="007F3B9F" w14:paraId="2EC123FF" w14:textId="77777777" w:rsidTr="00BB63DF">
        <w:tc>
          <w:tcPr>
            <w:tcW w:w="993" w:type="dxa"/>
            <w:tcBorders>
              <w:top w:val="single" w:sz="6" w:space="0" w:color="auto"/>
              <w:left w:val="single" w:sz="6" w:space="0" w:color="auto"/>
              <w:bottom w:val="single" w:sz="6" w:space="0" w:color="auto"/>
              <w:right w:val="single" w:sz="6" w:space="0" w:color="auto"/>
            </w:tcBorders>
          </w:tcPr>
          <w:p w14:paraId="66AFCBD7" w14:textId="77777777" w:rsidR="007F3B9F" w:rsidRDefault="007F3B9F" w:rsidP="007F3B9F">
            <w:pPr>
              <w:pStyle w:val="Zkladntext"/>
              <w:spacing w:after="0" w:line="240" w:lineRule="atLeast"/>
            </w:pPr>
          </w:p>
          <w:p w14:paraId="012BD392" w14:textId="77777777" w:rsidR="007F3B9F" w:rsidRDefault="007F3B9F" w:rsidP="007F3B9F">
            <w:pPr>
              <w:pStyle w:val="Texttabulky"/>
              <w:spacing w:after="0" w:line="240" w:lineRule="atLeast"/>
            </w:pPr>
            <w:r>
              <w:rPr>
                <w:b/>
                <w:bCs/>
                <w:sz w:val="22"/>
                <w:szCs w:val="22"/>
              </w:rPr>
              <w:t xml:space="preserve"> 14 - 15</w:t>
            </w:r>
          </w:p>
          <w:p w14:paraId="09604110"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CACBF0E" w14:textId="77777777" w:rsidR="007F3B9F" w:rsidRDefault="007F3B9F" w:rsidP="007F3B9F">
            <w:pPr>
              <w:pStyle w:val="Texttabulky"/>
              <w:spacing w:after="0" w:line="240" w:lineRule="atLeast"/>
            </w:pPr>
            <w:r>
              <w:rPr>
                <w:b/>
                <w:bCs/>
                <w:sz w:val="20"/>
                <w:szCs w:val="20"/>
              </w:rPr>
              <w:t>L</w:t>
            </w:r>
          </w:p>
          <w:p w14:paraId="1A2A62ED" w14:textId="77777777" w:rsidR="007F3B9F" w:rsidRDefault="007F3B9F" w:rsidP="007F3B9F">
            <w:pPr>
              <w:pStyle w:val="Zkladntext"/>
              <w:spacing w:after="0" w:line="240" w:lineRule="atLeast"/>
            </w:pPr>
          </w:p>
          <w:p w14:paraId="6721F05E"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1C0F30EC" w14:textId="77777777" w:rsidR="007F3B9F" w:rsidRDefault="007F3B9F" w:rsidP="007F3B9F">
            <w:pPr>
              <w:pStyle w:val="Texttabulky"/>
              <w:spacing w:after="0" w:line="240" w:lineRule="atLeast"/>
            </w:pPr>
            <w:r>
              <w:t>Biokoridor vymezený v lesních porostech podél vysychavého levostranného přítoku Mlžného potoka, v slt převážně podmáčených sm JD a kyselých sm BK.</w:t>
            </w:r>
          </w:p>
        </w:tc>
        <w:tc>
          <w:tcPr>
            <w:tcW w:w="709" w:type="dxa"/>
            <w:tcBorders>
              <w:top w:val="single" w:sz="6" w:space="0" w:color="auto"/>
              <w:left w:val="single" w:sz="6" w:space="0" w:color="auto"/>
              <w:bottom w:val="single" w:sz="6" w:space="0" w:color="auto"/>
              <w:right w:val="single" w:sz="6" w:space="0" w:color="auto"/>
            </w:tcBorders>
          </w:tcPr>
          <w:p w14:paraId="0DD4A15C" w14:textId="77777777" w:rsidR="007F3B9F" w:rsidRDefault="007F3B9F" w:rsidP="007F3B9F">
            <w:pPr>
              <w:pStyle w:val="Zkladntext"/>
              <w:spacing w:after="0" w:line="240" w:lineRule="atLeast"/>
            </w:pPr>
          </w:p>
          <w:p w14:paraId="313EEECF" w14:textId="77777777" w:rsidR="007F3B9F" w:rsidRDefault="007F3B9F" w:rsidP="007F3B9F">
            <w:pPr>
              <w:pStyle w:val="Texttabulky"/>
              <w:spacing w:after="0" w:line="240" w:lineRule="atLeast"/>
            </w:pPr>
            <w:r>
              <w:t>20</w:t>
            </w:r>
          </w:p>
          <w:p w14:paraId="565C515E" w14:textId="77777777" w:rsidR="007F3B9F" w:rsidRDefault="007F3B9F" w:rsidP="007F3B9F">
            <w:pPr>
              <w:pStyle w:val="Zkladntext"/>
              <w:spacing w:after="0" w:line="240" w:lineRule="atLeast"/>
            </w:pPr>
          </w:p>
          <w:p w14:paraId="2EAA58A5" w14:textId="77777777" w:rsidR="007F3B9F" w:rsidRDefault="007F3B9F" w:rsidP="007F3B9F">
            <w:pPr>
              <w:pStyle w:val="Texttabulky"/>
              <w:spacing w:after="0" w:line="240" w:lineRule="atLeast"/>
            </w:pPr>
            <w:r>
              <w:t>2000</w:t>
            </w:r>
          </w:p>
        </w:tc>
        <w:tc>
          <w:tcPr>
            <w:tcW w:w="567" w:type="dxa"/>
            <w:tcBorders>
              <w:top w:val="single" w:sz="6" w:space="0" w:color="auto"/>
              <w:left w:val="single" w:sz="6" w:space="0" w:color="auto"/>
              <w:bottom w:val="single" w:sz="6" w:space="0" w:color="auto"/>
              <w:right w:val="single" w:sz="6" w:space="0" w:color="auto"/>
            </w:tcBorders>
          </w:tcPr>
          <w:p w14:paraId="58176F15" w14:textId="77777777" w:rsidR="007F3B9F" w:rsidRDefault="007F3B9F" w:rsidP="007F3B9F">
            <w:pPr>
              <w:pStyle w:val="Zkladntext"/>
              <w:spacing w:after="0" w:line="240" w:lineRule="atLeast"/>
            </w:pPr>
          </w:p>
          <w:p w14:paraId="160D5ADD" w14:textId="77777777" w:rsidR="007F3B9F" w:rsidRDefault="007F3B9F" w:rsidP="007F3B9F">
            <w:pPr>
              <w:pStyle w:val="Texttabulky"/>
              <w:spacing w:after="0" w:line="240" w:lineRule="atLeast"/>
            </w:pPr>
            <w:r>
              <w:t>3-4</w:t>
            </w:r>
          </w:p>
          <w:p w14:paraId="196388C9"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1A8338D9" w14:textId="77777777" w:rsidR="007F3B9F" w:rsidRDefault="007F3B9F" w:rsidP="007F3B9F">
            <w:pPr>
              <w:pStyle w:val="Zkladntext"/>
              <w:spacing w:after="0" w:line="240" w:lineRule="atLeast"/>
            </w:pPr>
          </w:p>
          <w:p w14:paraId="3728AEA8" w14:textId="77777777" w:rsidR="007F3B9F" w:rsidRDefault="007F3B9F" w:rsidP="007F3B9F">
            <w:pPr>
              <w:pStyle w:val="Texttabulky"/>
              <w:spacing w:after="0" w:line="240" w:lineRule="atLeast"/>
            </w:pPr>
            <w:r>
              <w:t xml:space="preserve">  dle platného LHP</w:t>
            </w:r>
          </w:p>
        </w:tc>
      </w:tr>
      <w:tr w:rsidR="007F3B9F" w14:paraId="1C256C19" w14:textId="77777777" w:rsidTr="00BB63DF">
        <w:tc>
          <w:tcPr>
            <w:tcW w:w="993" w:type="dxa"/>
            <w:tcBorders>
              <w:top w:val="single" w:sz="6" w:space="0" w:color="auto"/>
              <w:left w:val="single" w:sz="6" w:space="0" w:color="auto"/>
              <w:bottom w:val="single" w:sz="6" w:space="0" w:color="auto"/>
              <w:right w:val="single" w:sz="6" w:space="0" w:color="auto"/>
            </w:tcBorders>
          </w:tcPr>
          <w:p w14:paraId="428EB39F" w14:textId="77777777" w:rsidR="007F3B9F" w:rsidRDefault="007F3B9F" w:rsidP="007F3B9F">
            <w:pPr>
              <w:pStyle w:val="Zkladntext"/>
              <w:spacing w:after="0" w:line="240" w:lineRule="atLeast"/>
            </w:pPr>
          </w:p>
          <w:p w14:paraId="778DA743" w14:textId="77777777" w:rsidR="007F3B9F" w:rsidRDefault="007F3B9F" w:rsidP="007F3B9F">
            <w:pPr>
              <w:pStyle w:val="Texttabulky"/>
              <w:spacing w:after="0" w:line="240" w:lineRule="atLeast"/>
            </w:pPr>
            <w:r>
              <w:rPr>
                <w:b/>
                <w:bCs/>
                <w:sz w:val="22"/>
                <w:szCs w:val="22"/>
              </w:rPr>
              <w:t xml:space="preserve"> 13 - 15</w:t>
            </w:r>
          </w:p>
          <w:p w14:paraId="1056A0A4"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665D6B3F" w14:textId="77777777" w:rsidR="007F3B9F" w:rsidRDefault="007F3B9F" w:rsidP="007F3B9F">
            <w:pPr>
              <w:pStyle w:val="Texttabulky"/>
              <w:spacing w:after="0" w:line="240" w:lineRule="atLeast"/>
            </w:pPr>
            <w:r>
              <w:rPr>
                <w:b/>
                <w:bCs/>
                <w:sz w:val="20"/>
                <w:szCs w:val="20"/>
              </w:rPr>
              <w:t>L</w:t>
            </w:r>
          </w:p>
          <w:p w14:paraId="28E84E84" w14:textId="77777777" w:rsidR="007F3B9F" w:rsidRDefault="007F3B9F" w:rsidP="007F3B9F">
            <w:pPr>
              <w:pStyle w:val="Zkladntext"/>
              <w:spacing w:after="0" w:line="240" w:lineRule="atLeast"/>
            </w:pPr>
          </w:p>
          <w:p w14:paraId="7318F6BE"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1FBEBA3B" w14:textId="77777777" w:rsidR="007F3B9F" w:rsidRDefault="007F3B9F" w:rsidP="007F3B9F">
            <w:pPr>
              <w:pStyle w:val="Texttabulky"/>
              <w:spacing w:after="0" w:line="240" w:lineRule="atLeast"/>
            </w:pPr>
            <w:r>
              <w:t>Biokoridor vymezený v lesních porostech podél Liščího potoka, v slt převážně podmáčených sm JD a kyselých sm BK.</w:t>
            </w:r>
          </w:p>
        </w:tc>
        <w:tc>
          <w:tcPr>
            <w:tcW w:w="709" w:type="dxa"/>
            <w:tcBorders>
              <w:top w:val="single" w:sz="6" w:space="0" w:color="auto"/>
              <w:left w:val="single" w:sz="6" w:space="0" w:color="auto"/>
              <w:bottom w:val="single" w:sz="6" w:space="0" w:color="auto"/>
              <w:right w:val="single" w:sz="6" w:space="0" w:color="auto"/>
            </w:tcBorders>
          </w:tcPr>
          <w:p w14:paraId="72FB2FCA" w14:textId="77777777" w:rsidR="007F3B9F" w:rsidRDefault="007F3B9F" w:rsidP="007F3B9F">
            <w:pPr>
              <w:pStyle w:val="Zkladntext"/>
              <w:spacing w:after="0" w:line="240" w:lineRule="atLeast"/>
            </w:pPr>
          </w:p>
          <w:p w14:paraId="296547BA" w14:textId="77777777" w:rsidR="007F3B9F" w:rsidRDefault="007F3B9F" w:rsidP="007F3B9F">
            <w:pPr>
              <w:pStyle w:val="Texttabulky"/>
              <w:spacing w:after="0" w:line="240" w:lineRule="atLeast"/>
            </w:pPr>
            <w:r>
              <w:t>20</w:t>
            </w:r>
          </w:p>
          <w:p w14:paraId="2D7D816A" w14:textId="77777777" w:rsidR="007F3B9F" w:rsidRDefault="007F3B9F" w:rsidP="007F3B9F">
            <w:pPr>
              <w:pStyle w:val="Zkladntext"/>
              <w:spacing w:after="0" w:line="240" w:lineRule="atLeast"/>
            </w:pPr>
          </w:p>
          <w:p w14:paraId="42DA86FD" w14:textId="77777777" w:rsidR="007F3B9F" w:rsidRDefault="007F3B9F" w:rsidP="007F3B9F">
            <w:pPr>
              <w:pStyle w:val="Texttabulky"/>
              <w:spacing w:after="0" w:line="240" w:lineRule="atLeast"/>
            </w:pPr>
            <w:r>
              <w:t>2000</w:t>
            </w:r>
          </w:p>
        </w:tc>
        <w:tc>
          <w:tcPr>
            <w:tcW w:w="567" w:type="dxa"/>
            <w:tcBorders>
              <w:top w:val="single" w:sz="6" w:space="0" w:color="auto"/>
              <w:left w:val="single" w:sz="6" w:space="0" w:color="auto"/>
              <w:bottom w:val="single" w:sz="6" w:space="0" w:color="auto"/>
              <w:right w:val="single" w:sz="6" w:space="0" w:color="auto"/>
            </w:tcBorders>
          </w:tcPr>
          <w:p w14:paraId="54797CB0" w14:textId="77777777" w:rsidR="007F3B9F" w:rsidRDefault="007F3B9F" w:rsidP="007F3B9F">
            <w:pPr>
              <w:pStyle w:val="Zkladntext"/>
              <w:spacing w:after="0" w:line="240" w:lineRule="atLeast"/>
            </w:pPr>
          </w:p>
          <w:p w14:paraId="53B1518A" w14:textId="77777777" w:rsidR="007F3B9F" w:rsidRDefault="007F3B9F" w:rsidP="007F3B9F">
            <w:pPr>
              <w:pStyle w:val="Texttabulky"/>
              <w:spacing w:after="0" w:line="240" w:lineRule="atLeast"/>
            </w:pPr>
            <w:r>
              <w:t>3-4</w:t>
            </w:r>
          </w:p>
          <w:p w14:paraId="549200A9"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003031F5" w14:textId="77777777" w:rsidR="007F3B9F" w:rsidRDefault="007F3B9F" w:rsidP="007F3B9F">
            <w:pPr>
              <w:pStyle w:val="Zkladntext"/>
              <w:spacing w:after="0" w:line="240" w:lineRule="atLeast"/>
            </w:pPr>
          </w:p>
          <w:p w14:paraId="53F94052" w14:textId="77777777" w:rsidR="007F3B9F" w:rsidRDefault="007F3B9F" w:rsidP="007F3B9F">
            <w:pPr>
              <w:pStyle w:val="Texttabulky"/>
              <w:spacing w:after="0" w:line="240" w:lineRule="atLeast"/>
            </w:pPr>
            <w:r>
              <w:t xml:space="preserve">  dle platného LHP</w:t>
            </w:r>
          </w:p>
        </w:tc>
      </w:tr>
      <w:tr w:rsidR="007F3B9F" w14:paraId="0E921E93" w14:textId="77777777" w:rsidTr="00BB63DF">
        <w:tc>
          <w:tcPr>
            <w:tcW w:w="993" w:type="dxa"/>
            <w:tcBorders>
              <w:top w:val="single" w:sz="6" w:space="0" w:color="auto"/>
              <w:left w:val="single" w:sz="6" w:space="0" w:color="auto"/>
              <w:bottom w:val="single" w:sz="6" w:space="0" w:color="auto"/>
              <w:right w:val="single" w:sz="6" w:space="0" w:color="auto"/>
            </w:tcBorders>
          </w:tcPr>
          <w:p w14:paraId="62B0C8EE" w14:textId="77777777" w:rsidR="007F3B9F" w:rsidRDefault="007F3B9F" w:rsidP="007F3B9F">
            <w:pPr>
              <w:pStyle w:val="Zkladntext"/>
              <w:spacing w:after="0" w:line="240" w:lineRule="atLeast"/>
            </w:pPr>
          </w:p>
          <w:p w14:paraId="33194819" w14:textId="77777777" w:rsidR="007F3B9F" w:rsidRDefault="007F3B9F" w:rsidP="007F3B9F">
            <w:pPr>
              <w:pStyle w:val="Texttabulky"/>
              <w:spacing w:after="0" w:line="240" w:lineRule="atLeast"/>
            </w:pPr>
            <w:r>
              <w:rPr>
                <w:b/>
                <w:bCs/>
                <w:sz w:val="22"/>
                <w:szCs w:val="22"/>
              </w:rPr>
              <w:t xml:space="preserve"> 12 - 13</w:t>
            </w:r>
          </w:p>
          <w:p w14:paraId="6BEFC7AA"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68CBA3C4" w14:textId="77777777" w:rsidR="007F3B9F" w:rsidRDefault="007F3B9F" w:rsidP="007F3B9F">
            <w:pPr>
              <w:pStyle w:val="Texttabulky"/>
              <w:spacing w:after="0" w:line="240" w:lineRule="atLeast"/>
            </w:pPr>
            <w:r>
              <w:rPr>
                <w:b/>
                <w:bCs/>
                <w:sz w:val="20"/>
                <w:szCs w:val="20"/>
              </w:rPr>
              <w:t>L</w:t>
            </w:r>
          </w:p>
          <w:p w14:paraId="67567C54" w14:textId="77777777" w:rsidR="007F3B9F" w:rsidRDefault="007F3B9F" w:rsidP="007F3B9F">
            <w:pPr>
              <w:pStyle w:val="Zkladntext"/>
              <w:spacing w:after="0" w:line="240" w:lineRule="atLeast"/>
            </w:pPr>
          </w:p>
          <w:p w14:paraId="7BEC9275"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3DBB7A94" w14:textId="77777777" w:rsidR="007F3B9F" w:rsidRDefault="007F3B9F" w:rsidP="007F3B9F">
            <w:pPr>
              <w:pStyle w:val="Texttabulky"/>
              <w:spacing w:after="0" w:line="240" w:lineRule="atLeast"/>
            </w:pPr>
            <w:r>
              <w:t>Biokoridor vymezený v lesních porostech podél Liščího potoka, v S  části podél Rychnovského potoka, v slt převážně podmáčených sm JD a kyselých sm BK.</w:t>
            </w:r>
          </w:p>
        </w:tc>
        <w:tc>
          <w:tcPr>
            <w:tcW w:w="709" w:type="dxa"/>
            <w:tcBorders>
              <w:top w:val="single" w:sz="6" w:space="0" w:color="auto"/>
              <w:left w:val="single" w:sz="6" w:space="0" w:color="auto"/>
              <w:bottom w:val="single" w:sz="6" w:space="0" w:color="auto"/>
              <w:right w:val="single" w:sz="6" w:space="0" w:color="auto"/>
            </w:tcBorders>
          </w:tcPr>
          <w:p w14:paraId="5C5A6524" w14:textId="77777777" w:rsidR="007F3B9F" w:rsidRDefault="007F3B9F" w:rsidP="007F3B9F">
            <w:pPr>
              <w:pStyle w:val="Zkladntext"/>
              <w:spacing w:after="0" w:line="240" w:lineRule="atLeast"/>
            </w:pPr>
          </w:p>
          <w:p w14:paraId="12E70D11" w14:textId="77777777" w:rsidR="007F3B9F" w:rsidRDefault="007F3B9F" w:rsidP="007F3B9F">
            <w:pPr>
              <w:pStyle w:val="Texttabulky"/>
              <w:spacing w:after="0" w:line="240" w:lineRule="atLeast"/>
            </w:pPr>
            <w:r>
              <w:t>20</w:t>
            </w:r>
          </w:p>
          <w:p w14:paraId="44ED09BC" w14:textId="77777777" w:rsidR="007F3B9F" w:rsidRDefault="007F3B9F" w:rsidP="007F3B9F">
            <w:pPr>
              <w:pStyle w:val="Zkladntext"/>
              <w:spacing w:after="0" w:line="240" w:lineRule="atLeast"/>
            </w:pPr>
          </w:p>
          <w:p w14:paraId="549B52DA" w14:textId="77777777" w:rsidR="007F3B9F" w:rsidRDefault="007F3B9F" w:rsidP="007F3B9F">
            <w:pPr>
              <w:pStyle w:val="Texttabulky"/>
              <w:spacing w:after="0" w:line="240" w:lineRule="atLeast"/>
            </w:pPr>
            <w:r>
              <w:t>1000</w:t>
            </w:r>
          </w:p>
        </w:tc>
        <w:tc>
          <w:tcPr>
            <w:tcW w:w="567" w:type="dxa"/>
            <w:tcBorders>
              <w:top w:val="single" w:sz="6" w:space="0" w:color="auto"/>
              <w:left w:val="single" w:sz="6" w:space="0" w:color="auto"/>
              <w:bottom w:val="single" w:sz="6" w:space="0" w:color="auto"/>
              <w:right w:val="single" w:sz="6" w:space="0" w:color="auto"/>
            </w:tcBorders>
          </w:tcPr>
          <w:p w14:paraId="65C66210" w14:textId="77777777" w:rsidR="007F3B9F" w:rsidRDefault="007F3B9F" w:rsidP="007F3B9F">
            <w:pPr>
              <w:pStyle w:val="Zkladntext"/>
              <w:spacing w:after="0" w:line="240" w:lineRule="atLeast"/>
            </w:pPr>
          </w:p>
          <w:p w14:paraId="06ACFD19" w14:textId="77777777" w:rsidR="007F3B9F" w:rsidRDefault="007F3B9F" w:rsidP="007F3B9F">
            <w:pPr>
              <w:pStyle w:val="Texttabulky"/>
              <w:spacing w:after="0" w:line="240" w:lineRule="atLeast"/>
            </w:pPr>
            <w:r>
              <w:t>3-4</w:t>
            </w:r>
          </w:p>
          <w:p w14:paraId="3576502B"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16EE6248" w14:textId="77777777" w:rsidR="007F3B9F" w:rsidRDefault="007F3B9F" w:rsidP="007F3B9F">
            <w:pPr>
              <w:pStyle w:val="Zkladntext"/>
              <w:spacing w:after="0" w:line="240" w:lineRule="atLeast"/>
            </w:pPr>
          </w:p>
          <w:p w14:paraId="523D23C5" w14:textId="77777777" w:rsidR="007F3B9F" w:rsidRDefault="007F3B9F" w:rsidP="007F3B9F">
            <w:pPr>
              <w:pStyle w:val="Texttabulky"/>
              <w:spacing w:after="0" w:line="240" w:lineRule="atLeast"/>
            </w:pPr>
            <w:r>
              <w:t xml:space="preserve">  dle platného LHP</w:t>
            </w:r>
          </w:p>
        </w:tc>
      </w:tr>
      <w:tr w:rsidR="007F3B9F" w14:paraId="101E5F50" w14:textId="77777777" w:rsidTr="00BB63DF">
        <w:tc>
          <w:tcPr>
            <w:tcW w:w="993" w:type="dxa"/>
            <w:tcBorders>
              <w:top w:val="single" w:sz="6" w:space="0" w:color="auto"/>
              <w:left w:val="single" w:sz="6" w:space="0" w:color="auto"/>
              <w:bottom w:val="single" w:sz="6" w:space="0" w:color="auto"/>
              <w:right w:val="single" w:sz="6" w:space="0" w:color="auto"/>
            </w:tcBorders>
          </w:tcPr>
          <w:p w14:paraId="16ABB75C" w14:textId="77777777" w:rsidR="007F3B9F" w:rsidRDefault="007F3B9F" w:rsidP="007F3B9F">
            <w:pPr>
              <w:pStyle w:val="Zkladntext"/>
              <w:spacing w:after="0" w:line="240" w:lineRule="atLeast"/>
            </w:pPr>
          </w:p>
          <w:p w14:paraId="54A6029D" w14:textId="77777777" w:rsidR="007F3B9F" w:rsidRDefault="007F3B9F" w:rsidP="007F3B9F">
            <w:pPr>
              <w:pStyle w:val="Texttabulky"/>
              <w:spacing w:after="0" w:line="240" w:lineRule="atLeast"/>
            </w:pPr>
            <w:r>
              <w:rPr>
                <w:b/>
                <w:bCs/>
                <w:sz w:val="22"/>
                <w:szCs w:val="22"/>
              </w:rPr>
              <w:t xml:space="preserve"> 12 -</w:t>
            </w:r>
          </w:p>
          <w:p w14:paraId="7FBF11BB"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601824D3" w14:textId="77777777" w:rsidR="007F3B9F" w:rsidRDefault="007F3B9F" w:rsidP="007F3B9F">
            <w:pPr>
              <w:pStyle w:val="Texttabulky"/>
              <w:spacing w:after="0" w:line="240" w:lineRule="atLeast"/>
            </w:pPr>
            <w:r>
              <w:rPr>
                <w:b/>
                <w:bCs/>
                <w:sz w:val="20"/>
                <w:szCs w:val="20"/>
              </w:rPr>
              <w:t>L</w:t>
            </w:r>
          </w:p>
          <w:p w14:paraId="19499017" w14:textId="77777777" w:rsidR="007F3B9F" w:rsidRDefault="007F3B9F" w:rsidP="007F3B9F">
            <w:pPr>
              <w:pStyle w:val="Zkladntext"/>
              <w:spacing w:after="0" w:line="240" w:lineRule="atLeast"/>
            </w:pPr>
          </w:p>
          <w:p w14:paraId="3629893D"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7282BC8D" w14:textId="77777777" w:rsidR="007F3B9F" w:rsidRDefault="007F3B9F" w:rsidP="007F3B9F">
            <w:pPr>
              <w:pStyle w:val="Texttabulky"/>
              <w:spacing w:after="0" w:line="240" w:lineRule="atLeast"/>
            </w:pPr>
            <w:r>
              <w:t>Biokoridor vymezený v lesních porostech podél Sporného potoka, v slt převážně podmáčených sm JD a kyselých sm BK.</w:t>
            </w:r>
          </w:p>
        </w:tc>
        <w:tc>
          <w:tcPr>
            <w:tcW w:w="709" w:type="dxa"/>
            <w:tcBorders>
              <w:top w:val="single" w:sz="6" w:space="0" w:color="auto"/>
              <w:left w:val="single" w:sz="6" w:space="0" w:color="auto"/>
              <w:bottom w:val="single" w:sz="6" w:space="0" w:color="auto"/>
              <w:right w:val="single" w:sz="6" w:space="0" w:color="auto"/>
            </w:tcBorders>
          </w:tcPr>
          <w:p w14:paraId="1C8873CC" w14:textId="77777777" w:rsidR="007F3B9F" w:rsidRDefault="007F3B9F" w:rsidP="007F3B9F">
            <w:pPr>
              <w:pStyle w:val="Zkladntext"/>
              <w:spacing w:after="0" w:line="240" w:lineRule="atLeast"/>
            </w:pPr>
          </w:p>
          <w:p w14:paraId="39CF1547" w14:textId="77777777" w:rsidR="007F3B9F" w:rsidRDefault="007F3B9F" w:rsidP="007F3B9F">
            <w:pPr>
              <w:pStyle w:val="Texttabulky"/>
              <w:spacing w:after="0" w:line="240" w:lineRule="atLeast"/>
            </w:pPr>
            <w:r>
              <w:t>20</w:t>
            </w:r>
          </w:p>
          <w:p w14:paraId="58701929" w14:textId="77777777" w:rsidR="007F3B9F" w:rsidRDefault="007F3B9F" w:rsidP="007F3B9F">
            <w:pPr>
              <w:pStyle w:val="Zkladntext"/>
              <w:spacing w:after="0" w:line="240" w:lineRule="atLeast"/>
            </w:pPr>
          </w:p>
          <w:p w14:paraId="5F8227F6" w14:textId="77777777" w:rsidR="007F3B9F" w:rsidRDefault="007F3B9F" w:rsidP="007F3B9F">
            <w:pPr>
              <w:pStyle w:val="Texttabulky"/>
              <w:spacing w:after="0" w:line="240" w:lineRule="atLeast"/>
            </w:pPr>
            <w:r>
              <w:t>1700</w:t>
            </w:r>
          </w:p>
        </w:tc>
        <w:tc>
          <w:tcPr>
            <w:tcW w:w="567" w:type="dxa"/>
            <w:tcBorders>
              <w:top w:val="single" w:sz="6" w:space="0" w:color="auto"/>
              <w:left w:val="single" w:sz="6" w:space="0" w:color="auto"/>
              <w:bottom w:val="single" w:sz="6" w:space="0" w:color="auto"/>
              <w:right w:val="single" w:sz="6" w:space="0" w:color="auto"/>
            </w:tcBorders>
          </w:tcPr>
          <w:p w14:paraId="1F44020E" w14:textId="77777777" w:rsidR="007F3B9F" w:rsidRDefault="007F3B9F" w:rsidP="007F3B9F">
            <w:pPr>
              <w:pStyle w:val="Zkladntext"/>
              <w:spacing w:after="0" w:line="240" w:lineRule="atLeast"/>
            </w:pPr>
          </w:p>
          <w:p w14:paraId="0F0F85F7" w14:textId="77777777" w:rsidR="007F3B9F" w:rsidRDefault="007F3B9F" w:rsidP="007F3B9F">
            <w:pPr>
              <w:pStyle w:val="Texttabulky"/>
              <w:spacing w:after="0" w:line="240" w:lineRule="atLeast"/>
            </w:pPr>
            <w:r>
              <w:t>3-4</w:t>
            </w:r>
          </w:p>
          <w:p w14:paraId="61931504"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629A34CF" w14:textId="77777777" w:rsidR="007F3B9F" w:rsidRDefault="007F3B9F" w:rsidP="007F3B9F">
            <w:pPr>
              <w:pStyle w:val="Zkladntext"/>
              <w:spacing w:after="0" w:line="240" w:lineRule="atLeast"/>
            </w:pPr>
          </w:p>
          <w:p w14:paraId="50E8DACA" w14:textId="77777777" w:rsidR="007F3B9F" w:rsidRDefault="007F3B9F" w:rsidP="007F3B9F">
            <w:pPr>
              <w:pStyle w:val="Texttabulky"/>
              <w:spacing w:after="0" w:line="240" w:lineRule="atLeast"/>
            </w:pPr>
            <w:r>
              <w:t xml:space="preserve">  dle platného LHP</w:t>
            </w:r>
          </w:p>
        </w:tc>
      </w:tr>
      <w:tr w:rsidR="007F3B9F" w14:paraId="346AE487" w14:textId="77777777" w:rsidTr="00BB63DF">
        <w:tc>
          <w:tcPr>
            <w:tcW w:w="993" w:type="dxa"/>
            <w:tcBorders>
              <w:top w:val="single" w:sz="6" w:space="0" w:color="auto"/>
              <w:left w:val="single" w:sz="6" w:space="0" w:color="auto"/>
              <w:bottom w:val="single" w:sz="6" w:space="0" w:color="auto"/>
              <w:right w:val="single" w:sz="6" w:space="0" w:color="auto"/>
            </w:tcBorders>
          </w:tcPr>
          <w:p w14:paraId="783B3110" w14:textId="77777777" w:rsidR="007F3B9F" w:rsidRDefault="007F3B9F" w:rsidP="007F3B9F">
            <w:pPr>
              <w:pStyle w:val="Zkladntext"/>
              <w:spacing w:after="0" w:line="240" w:lineRule="atLeast"/>
            </w:pPr>
          </w:p>
          <w:p w14:paraId="11D62B13" w14:textId="77777777" w:rsidR="007F3B9F" w:rsidRDefault="007F3B9F" w:rsidP="007F3B9F">
            <w:pPr>
              <w:pStyle w:val="Texttabulky"/>
              <w:spacing w:after="0" w:line="240" w:lineRule="atLeast"/>
            </w:pPr>
            <w:r>
              <w:rPr>
                <w:b/>
                <w:bCs/>
                <w:sz w:val="22"/>
                <w:szCs w:val="22"/>
              </w:rPr>
              <w:t xml:space="preserve"> </w:t>
            </w:r>
          </w:p>
          <w:p w14:paraId="603F3FE8" w14:textId="77777777" w:rsidR="007F3B9F" w:rsidRDefault="007F3B9F" w:rsidP="007F3B9F">
            <w:pPr>
              <w:pStyle w:val="Texttabulky"/>
              <w:spacing w:after="0" w:line="240" w:lineRule="atLeast"/>
            </w:pPr>
            <w:r>
              <w:rPr>
                <w:b/>
                <w:bCs/>
                <w:sz w:val="22"/>
                <w:szCs w:val="22"/>
              </w:rPr>
              <w:t>30 - 31</w:t>
            </w:r>
          </w:p>
        </w:tc>
        <w:tc>
          <w:tcPr>
            <w:tcW w:w="850" w:type="dxa"/>
            <w:tcBorders>
              <w:top w:val="single" w:sz="6" w:space="0" w:color="auto"/>
              <w:left w:val="single" w:sz="6" w:space="0" w:color="auto"/>
              <w:bottom w:val="single" w:sz="6" w:space="0" w:color="auto"/>
              <w:right w:val="single" w:sz="6" w:space="0" w:color="auto"/>
            </w:tcBorders>
          </w:tcPr>
          <w:p w14:paraId="75839679" w14:textId="77777777" w:rsidR="007F3B9F" w:rsidRDefault="007F3B9F" w:rsidP="007F3B9F">
            <w:pPr>
              <w:pStyle w:val="Texttabulky"/>
              <w:spacing w:after="0" w:line="240" w:lineRule="atLeast"/>
            </w:pPr>
            <w:r>
              <w:rPr>
                <w:b/>
                <w:bCs/>
                <w:sz w:val="20"/>
                <w:szCs w:val="20"/>
              </w:rPr>
              <w:t>L</w:t>
            </w:r>
          </w:p>
          <w:p w14:paraId="54308F13" w14:textId="77777777" w:rsidR="007F3B9F" w:rsidRDefault="007F3B9F" w:rsidP="007F3B9F">
            <w:pPr>
              <w:pStyle w:val="Zkladntext"/>
              <w:spacing w:after="0" w:line="240" w:lineRule="atLeast"/>
            </w:pPr>
          </w:p>
          <w:p w14:paraId="65EDB420" w14:textId="77777777" w:rsidR="007F3B9F" w:rsidRDefault="007F3B9F" w:rsidP="007F3B9F">
            <w:pPr>
              <w:pStyle w:val="Texttabulky"/>
              <w:spacing w:after="0" w:line="240" w:lineRule="atLeast"/>
            </w:pPr>
            <w:r>
              <w:rPr>
                <w:sz w:val="20"/>
                <w:szCs w:val="20"/>
              </w:rPr>
              <w:t>F/N</w:t>
            </w:r>
          </w:p>
        </w:tc>
        <w:tc>
          <w:tcPr>
            <w:tcW w:w="3402" w:type="dxa"/>
            <w:tcBorders>
              <w:top w:val="single" w:sz="6" w:space="0" w:color="auto"/>
              <w:left w:val="single" w:sz="6" w:space="0" w:color="auto"/>
              <w:bottom w:val="single" w:sz="6" w:space="0" w:color="auto"/>
              <w:right w:val="single" w:sz="6" w:space="0" w:color="auto"/>
            </w:tcBorders>
          </w:tcPr>
          <w:p w14:paraId="6B2422DD" w14:textId="77777777" w:rsidR="007F3B9F" w:rsidRDefault="007F3B9F" w:rsidP="007F3B9F">
            <w:pPr>
              <w:pStyle w:val="Texttabulky"/>
              <w:spacing w:after="0" w:line="240" w:lineRule="atLeast"/>
            </w:pPr>
            <w:r>
              <w:t xml:space="preserve">Biokoridor vymezený v J části v dřevinných břehových a doprovodných porostech Chrochvického potoka, v S  části navržen přes TTP a ornou půdu.  </w:t>
            </w:r>
          </w:p>
        </w:tc>
        <w:tc>
          <w:tcPr>
            <w:tcW w:w="709" w:type="dxa"/>
            <w:tcBorders>
              <w:top w:val="single" w:sz="6" w:space="0" w:color="auto"/>
              <w:left w:val="single" w:sz="6" w:space="0" w:color="auto"/>
              <w:bottom w:val="single" w:sz="6" w:space="0" w:color="auto"/>
              <w:right w:val="single" w:sz="6" w:space="0" w:color="auto"/>
            </w:tcBorders>
          </w:tcPr>
          <w:p w14:paraId="645A600F" w14:textId="77777777" w:rsidR="007F3B9F" w:rsidRDefault="007F3B9F" w:rsidP="007F3B9F">
            <w:pPr>
              <w:pStyle w:val="Zkladntext"/>
              <w:spacing w:after="0" w:line="240" w:lineRule="atLeast"/>
            </w:pPr>
          </w:p>
          <w:p w14:paraId="7A240F50" w14:textId="77777777" w:rsidR="007F3B9F" w:rsidRDefault="007F3B9F" w:rsidP="007F3B9F">
            <w:pPr>
              <w:pStyle w:val="Texttabulky"/>
              <w:spacing w:after="0" w:line="240" w:lineRule="atLeast"/>
            </w:pPr>
            <w:r>
              <w:t>15-20</w:t>
            </w:r>
          </w:p>
          <w:p w14:paraId="546C7788" w14:textId="77777777" w:rsidR="007F3B9F" w:rsidRDefault="007F3B9F" w:rsidP="007F3B9F">
            <w:pPr>
              <w:pStyle w:val="Zkladntext"/>
              <w:spacing w:after="0" w:line="240" w:lineRule="atLeast"/>
            </w:pPr>
          </w:p>
          <w:p w14:paraId="603285D4" w14:textId="77777777" w:rsidR="007F3B9F" w:rsidRDefault="007F3B9F" w:rsidP="007F3B9F">
            <w:pPr>
              <w:pStyle w:val="Texttabulky"/>
              <w:spacing w:after="0" w:line="240" w:lineRule="atLeast"/>
            </w:pPr>
            <w:r>
              <w:t>2000</w:t>
            </w:r>
          </w:p>
        </w:tc>
        <w:tc>
          <w:tcPr>
            <w:tcW w:w="567" w:type="dxa"/>
            <w:tcBorders>
              <w:top w:val="single" w:sz="6" w:space="0" w:color="auto"/>
              <w:left w:val="single" w:sz="6" w:space="0" w:color="auto"/>
              <w:bottom w:val="single" w:sz="6" w:space="0" w:color="auto"/>
              <w:right w:val="single" w:sz="6" w:space="0" w:color="auto"/>
            </w:tcBorders>
          </w:tcPr>
          <w:p w14:paraId="0D4505AA" w14:textId="77777777" w:rsidR="007F3B9F" w:rsidRDefault="007F3B9F" w:rsidP="007F3B9F">
            <w:pPr>
              <w:pStyle w:val="Zkladntext"/>
              <w:spacing w:after="0" w:line="240" w:lineRule="atLeast"/>
            </w:pPr>
          </w:p>
          <w:p w14:paraId="2BF6F099" w14:textId="77777777" w:rsidR="007F3B9F" w:rsidRDefault="007F3B9F" w:rsidP="007F3B9F">
            <w:pPr>
              <w:pStyle w:val="Texttabulky"/>
              <w:spacing w:after="0" w:line="240" w:lineRule="atLeast"/>
            </w:pPr>
            <w:r>
              <w:t>1,4</w:t>
            </w:r>
          </w:p>
          <w:p w14:paraId="3B78ED02"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29292DE2" w14:textId="77777777" w:rsidR="007F3B9F" w:rsidRDefault="007F3B9F" w:rsidP="007F3B9F">
            <w:pPr>
              <w:pStyle w:val="Zkladntext"/>
              <w:spacing w:after="0" w:line="240" w:lineRule="atLeast"/>
            </w:pPr>
          </w:p>
          <w:p w14:paraId="2BD20DDF" w14:textId="77777777" w:rsidR="007F3B9F" w:rsidRDefault="007F3B9F" w:rsidP="007F3B9F">
            <w:pPr>
              <w:pStyle w:val="Texttabulky"/>
              <w:spacing w:after="0" w:line="240" w:lineRule="atLeast"/>
            </w:pPr>
            <w:r>
              <w:t>Údržba koryta toku a dřevinných porostů, v S  části založit nespojitý BK ostrůvkovitého typu.</w:t>
            </w:r>
          </w:p>
        </w:tc>
      </w:tr>
      <w:tr w:rsidR="007F3B9F" w14:paraId="449F5E28" w14:textId="77777777" w:rsidTr="00BB63DF">
        <w:tc>
          <w:tcPr>
            <w:tcW w:w="993" w:type="dxa"/>
            <w:tcBorders>
              <w:top w:val="single" w:sz="6" w:space="0" w:color="auto"/>
              <w:left w:val="single" w:sz="6" w:space="0" w:color="auto"/>
              <w:bottom w:val="single" w:sz="6" w:space="0" w:color="auto"/>
              <w:right w:val="single" w:sz="6" w:space="0" w:color="auto"/>
            </w:tcBorders>
          </w:tcPr>
          <w:p w14:paraId="03CDD195" w14:textId="77777777" w:rsidR="007F3B9F" w:rsidRDefault="007F3B9F" w:rsidP="007F3B9F">
            <w:pPr>
              <w:pStyle w:val="Zkladntext"/>
              <w:spacing w:after="0" w:line="240" w:lineRule="atLeast"/>
            </w:pPr>
          </w:p>
          <w:p w14:paraId="09EDFFFF" w14:textId="77777777" w:rsidR="007F3B9F" w:rsidRDefault="007F3B9F" w:rsidP="007F3B9F">
            <w:pPr>
              <w:pStyle w:val="Texttabulky"/>
              <w:spacing w:after="0" w:line="240" w:lineRule="atLeast"/>
            </w:pPr>
            <w:r>
              <w:rPr>
                <w:b/>
                <w:bCs/>
                <w:sz w:val="22"/>
                <w:szCs w:val="22"/>
              </w:rPr>
              <w:t xml:space="preserve"> 29 - 31</w:t>
            </w:r>
          </w:p>
          <w:p w14:paraId="0A829C54"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FB3E8F4" w14:textId="77777777" w:rsidR="007F3B9F" w:rsidRDefault="007F3B9F" w:rsidP="007F3B9F">
            <w:pPr>
              <w:pStyle w:val="Texttabulky"/>
              <w:spacing w:after="0" w:line="240" w:lineRule="atLeast"/>
            </w:pPr>
            <w:r>
              <w:rPr>
                <w:b/>
                <w:bCs/>
                <w:sz w:val="20"/>
                <w:szCs w:val="20"/>
              </w:rPr>
              <w:t>L</w:t>
            </w:r>
          </w:p>
          <w:p w14:paraId="43FCB973" w14:textId="77777777" w:rsidR="007F3B9F" w:rsidRDefault="007F3B9F" w:rsidP="007F3B9F">
            <w:pPr>
              <w:pStyle w:val="Zkladntext"/>
              <w:spacing w:after="0" w:line="240" w:lineRule="atLeast"/>
            </w:pPr>
          </w:p>
          <w:p w14:paraId="51633E54"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675AF647" w14:textId="77777777" w:rsidR="007F3B9F" w:rsidRDefault="007F3B9F" w:rsidP="007F3B9F">
            <w:pPr>
              <w:pStyle w:val="Texttabulky"/>
              <w:spacing w:after="0" w:line="240" w:lineRule="atLeast"/>
            </w:pPr>
            <w:r>
              <w:t>Biokoridor vymezený ve  V části v dřevinných břehových a doprovodných porostech Chrochvického potoka, v Z  části v lesních porostech S  od Chmelníka v slt bazických bk DB a svěžích a bohatých db BK.</w:t>
            </w:r>
          </w:p>
        </w:tc>
        <w:tc>
          <w:tcPr>
            <w:tcW w:w="709" w:type="dxa"/>
            <w:tcBorders>
              <w:top w:val="single" w:sz="6" w:space="0" w:color="auto"/>
              <w:left w:val="single" w:sz="6" w:space="0" w:color="auto"/>
              <w:bottom w:val="single" w:sz="6" w:space="0" w:color="auto"/>
              <w:right w:val="single" w:sz="6" w:space="0" w:color="auto"/>
            </w:tcBorders>
          </w:tcPr>
          <w:p w14:paraId="27A6F2DD" w14:textId="77777777" w:rsidR="007F3B9F" w:rsidRDefault="007F3B9F" w:rsidP="007F3B9F">
            <w:pPr>
              <w:pStyle w:val="Zkladntext"/>
              <w:spacing w:after="0" w:line="240" w:lineRule="atLeast"/>
            </w:pPr>
          </w:p>
          <w:p w14:paraId="4ABFBF6F" w14:textId="77777777" w:rsidR="007F3B9F" w:rsidRDefault="007F3B9F" w:rsidP="007F3B9F">
            <w:pPr>
              <w:pStyle w:val="Texttabulky"/>
              <w:spacing w:after="0" w:line="240" w:lineRule="atLeast"/>
            </w:pPr>
            <w:r>
              <w:t>20</w:t>
            </w:r>
          </w:p>
          <w:p w14:paraId="391FD32D" w14:textId="77777777" w:rsidR="007F3B9F" w:rsidRDefault="007F3B9F" w:rsidP="007F3B9F">
            <w:pPr>
              <w:pStyle w:val="Zkladntext"/>
              <w:spacing w:after="0" w:line="240" w:lineRule="atLeast"/>
            </w:pPr>
          </w:p>
          <w:p w14:paraId="14F534A0" w14:textId="77777777" w:rsidR="007F3B9F" w:rsidRDefault="007F3B9F" w:rsidP="007F3B9F">
            <w:pPr>
              <w:pStyle w:val="Texttabulky"/>
              <w:spacing w:after="0" w:line="240" w:lineRule="atLeast"/>
            </w:pPr>
            <w:r>
              <w:t>2000</w:t>
            </w:r>
          </w:p>
        </w:tc>
        <w:tc>
          <w:tcPr>
            <w:tcW w:w="567" w:type="dxa"/>
            <w:tcBorders>
              <w:top w:val="single" w:sz="6" w:space="0" w:color="auto"/>
              <w:left w:val="single" w:sz="6" w:space="0" w:color="auto"/>
              <w:bottom w:val="single" w:sz="6" w:space="0" w:color="auto"/>
              <w:right w:val="single" w:sz="6" w:space="0" w:color="auto"/>
            </w:tcBorders>
          </w:tcPr>
          <w:p w14:paraId="1DF09859" w14:textId="77777777" w:rsidR="007F3B9F" w:rsidRDefault="007F3B9F" w:rsidP="007F3B9F">
            <w:pPr>
              <w:pStyle w:val="Zkladntext"/>
              <w:spacing w:after="0" w:line="240" w:lineRule="atLeast"/>
            </w:pPr>
          </w:p>
          <w:p w14:paraId="321146FB" w14:textId="77777777" w:rsidR="007F3B9F" w:rsidRDefault="007F3B9F" w:rsidP="007F3B9F">
            <w:pPr>
              <w:pStyle w:val="Texttabulky"/>
              <w:spacing w:after="0" w:line="240" w:lineRule="atLeast"/>
            </w:pPr>
            <w:r>
              <w:t>3-4</w:t>
            </w:r>
          </w:p>
          <w:p w14:paraId="5BDCCAF2"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406295DB" w14:textId="77777777" w:rsidR="007F3B9F" w:rsidRDefault="007F3B9F" w:rsidP="007F3B9F">
            <w:pPr>
              <w:pStyle w:val="Zkladntext"/>
              <w:spacing w:after="0" w:line="240" w:lineRule="atLeast"/>
            </w:pPr>
          </w:p>
          <w:p w14:paraId="211BDAA3" w14:textId="77777777" w:rsidR="007F3B9F" w:rsidRDefault="007F3B9F" w:rsidP="007F3B9F">
            <w:pPr>
              <w:pStyle w:val="Texttabulky"/>
              <w:spacing w:after="0" w:line="240" w:lineRule="atLeast"/>
            </w:pPr>
            <w:r>
              <w:t>Údržba koryta toku a dřevinných porostů, v S  části založit nespojitý BK ostrůvkovitého typu.</w:t>
            </w:r>
          </w:p>
        </w:tc>
      </w:tr>
      <w:tr w:rsidR="007F3B9F" w14:paraId="6A931B1D" w14:textId="77777777" w:rsidTr="00BB63DF">
        <w:tc>
          <w:tcPr>
            <w:tcW w:w="993" w:type="dxa"/>
            <w:tcBorders>
              <w:top w:val="single" w:sz="6" w:space="0" w:color="auto"/>
              <w:left w:val="single" w:sz="6" w:space="0" w:color="auto"/>
              <w:bottom w:val="single" w:sz="6" w:space="0" w:color="auto"/>
              <w:right w:val="single" w:sz="6" w:space="0" w:color="auto"/>
            </w:tcBorders>
          </w:tcPr>
          <w:p w14:paraId="30EBEE30" w14:textId="77777777" w:rsidR="007F3B9F" w:rsidRDefault="007F3B9F" w:rsidP="007F3B9F">
            <w:pPr>
              <w:pStyle w:val="Zkladntext"/>
              <w:spacing w:after="0" w:line="240" w:lineRule="atLeast"/>
            </w:pPr>
          </w:p>
          <w:p w14:paraId="661D701E" w14:textId="77777777" w:rsidR="007F3B9F" w:rsidRDefault="007F3B9F" w:rsidP="007F3B9F">
            <w:pPr>
              <w:pStyle w:val="Texttabulky"/>
              <w:spacing w:after="0" w:line="240" w:lineRule="atLeast"/>
            </w:pPr>
            <w:r>
              <w:rPr>
                <w:b/>
                <w:bCs/>
                <w:sz w:val="22"/>
                <w:szCs w:val="22"/>
              </w:rPr>
              <w:t xml:space="preserve"> 29 - </w:t>
            </w:r>
          </w:p>
          <w:p w14:paraId="12631015"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7D6CBFA8" w14:textId="77777777" w:rsidR="007F3B9F" w:rsidRDefault="007F3B9F" w:rsidP="007F3B9F">
            <w:pPr>
              <w:pStyle w:val="Texttabulky"/>
              <w:spacing w:after="0" w:line="240" w:lineRule="atLeast"/>
            </w:pPr>
            <w:r>
              <w:rPr>
                <w:b/>
                <w:bCs/>
                <w:sz w:val="20"/>
                <w:szCs w:val="20"/>
              </w:rPr>
              <w:t>L</w:t>
            </w:r>
          </w:p>
          <w:p w14:paraId="50017B8D" w14:textId="77777777" w:rsidR="007F3B9F" w:rsidRDefault="007F3B9F" w:rsidP="007F3B9F">
            <w:pPr>
              <w:pStyle w:val="Zkladntext"/>
              <w:spacing w:after="0" w:line="240" w:lineRule="atLeast"/>
            </w:pPr>
          </w:p>
          <w:p w14:paraId="63EDC33C"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3367CE08" w14:textId="77777777" w:rsidR="007F3B9F" w:rsidRDefault="007F3B9F" w:rsidP="007F3B9F">
            <w:pPr>
              <w:pStyle w:val="Texttabulky"/>
              <w:spacing w:after="0" w:line="240" w:lineRule="atLeast"/>
            </w:pPr>
            <w:r>
              <w:t xml:space="preserve">Biokoridor vymezený v lesních i nelesních porostech mezi Chmelníkem a Lotarovým vrchem v řadě  slt 2. a 3. lvs.  </w:t>
            </w:r>
          </w:p>
        </w:tc>
        <w:tc>
          <w:tcPr>
            <w:tcW w:w="709" w:type="dxa"/>
            <w:tcBorders>
              <w:top w:val="single" w:sz="6" w:space="0" w:color="auto"/>
              <w:left w:val="single" w:sz="6" w:space="0" w:color="auto"/>
              <w:bottom w:val="single" w:sz="6" w:space="0" w:color="auto"/>
              <w:right w:val="single" w:sz="6" w:space="0" w:color="auto"/>
            </w:tcBorders>
          </w:tcPr>
          <w:p w14:paraId="3057DEB3" w14:textId="77777777" w:rsidR="007F3B9F" w:rsidRDefault="007F3B9F" w:rsidP="007F3B9F">
            <w:pPr>
              <w:pStyle w:val="Zkladntext"/>
              <w:spacing w:after="0" w:line="240" w:lineRule="atLeast"/>
            </w:pPr>
          </w:p>
          <w:p w14:paraId="3607520B" w14:textId="77777777" w:rsidR="007F3B9F" w:rsidRDefault="007F3B9F" w:rsidP="007F3B9F">
            <w:pPr>
              <w:pStyle w:val="Texttabulky"/>
              <w:spacing w:after="0" w:line="240" w:lineRule="atLeast"/>
            </w:pPr>
            <w:r>
              <w:t>20</w:t>
            </w:r>
          </w:p>
          <w:p w14:paraId="51E341BE" w14:textId="77777777" w:rsidR="007F3B9F" w:rsidRDefault="007F3B9F" w:rsidP="007F3B9F">
            <w:pPr>
              <w:pStyle w:val="Zkladntext"/>
              <w:spacing w:after="0" w:line="240" w:lineRule="atLeast"/>
            </w:pPr>
          </w:p>
          <w:p w14:paraId="165DF662" w14:textId="77777777" w:rsidR="007F3B9F" w:rsidRDefault="007F3B9F" w:rsidP="007F3B9F">
            <w:pPr>
              <w:pStyle w:val="Texttabulky"/>
              <w:spacing w:after="0" w:line="240" w:lineRule="atLeast"/>
            </w:pPr>
            <w:r>
              <w:t>1400</w:t>
            </w:r>
          </w:p>
        </w:tc>
        <w:tc>
          <w:tcPr>
            <w:tcW w:w="567" w:type="dxa"/>
            <w:tcBorders>
              <w:top w:val="single" w:sz="6" w:space="0" w:color="auto"/>
              <w:left w:val="single" w:sz="6" w:space="0" w:color="auto"/>
              <w:bottom w:val="single" w:sz="6" w:space="0" w:color="auto"/>
              <w:right w:val="single" w:sz="6" w:space="0" w:color="auto"/>
            </w:tcBorders>
          </w:tcPr>
          <w:p w14:paraId="2DC1D7B5" w14:textId="77777777" w:rsidR="007F3B9F" w:rsidRDefault="007F3B9F" w:rsidP="007F3B9F">
            <w:pPr>
              <w:pStyle w:val="Zkladntext"/>
              <w:spacing w:after="0" w:line="240" w:lineRule="atLeast"/>
            </w:pPr>
          </w:p>
          <w:p w14:paraId="007D06E3" w14:textId="77777777" w:rsidR="007F3B9F" w:rsidRDefault="007F3B9F" w:rsidP="007F3B9F">
            <w:pPr>
              <w:pStyle w:val="Texttabulky"/>
              <w:spacing w:after="0" w:line="240" w:lineRule="atLeast"/>
            </w:pPr>
            <w:r>
              <w:t>4</w:t>
            </w:r>
          </w:p>
          <w:p w14:paraId="577DD48E"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11503E3B" w14:textId="77777777" w:rsidR="007F3B9F" w:rsidRDefault="007F3B9F" w:rsidP="007F3B9F">
            <w:pPr>
              <w:pStyle w:val="Zkladntext"/>
              <w:spacing w:after="0" w:line="240" w:lineRule="atLeast"/>
            </w:pPr>
          </w:p>
          <w:p w14:paraId="4E7018ED" w14:textId="77777777" w:rsidR="007F3B9F" w:rsidRDefault="007F3B9F" w:rsidP="007F3B9F">
            <w:pPr>
              <w:pStyle w:val="Texttabulky"/>
              <w:spacing w:after="0" w:line="240" w:lineRule="atLeast"/>
            </w:pPr>
            <w:r>
              <w:t xml:space="preserve"> v lese dle platného LHP</w:t>
            </w:r>
          </w:p>
          <w:p w14:paraId="3D791E7B" w14:textId="77777777" w:rsidR="007F3B9F" w:rsidRDefault="007F3B9F" w:rsidP="007F3B9F">
            <w:pPr>
              <w:pStyle w:val="Texttabulky"/>
              <w:spacing w:after="0" w:line="240" w:lineRule="atLeast"/>
            </w:pPr>
            <w:r>
              <w:t>mimolesní zeleň ponechat sukcesi</w:t>
            </w:r>
          </w:p>
        </w:tc>
      </w:tr>
      <w:tr w:rsidR="007F3B9F" w14:paraId="4AF17852" w14:textId="77777777" w:rsidTr="00BB63DF">
        <w:tc>
          <w:tcPr>
            <w:tcW w:w="993" w:type="dxa"/>
            <w:tcBorders>
              <w:top w:val="single" w:sz="6" w:space="0" w:color="auto"/>
              <w:left w:val="single" w:sz="6" w:space="0" w:color="auto"/>
              <w:bottom w:val="single" w:sz="6" w:space="0" w:color="auto"/>
              <w:right w:val="single" w:sz="6" w:space="0" w:color="auto"/>
            </w:tcBorders>
          </w:tcPr>
          <w:p w14:paraId="28841DD9" w14:textId="77777777" w:rsidR="007F3B9F" w:rsidRDefault="007F3B9F" w:rsidP="007F3B9F">
            <w:pPr>
              <w:pStyle w:val="Zkladntext"/>
              <w:spacing w:after="0" w:line="240" w:lineRule="atLeast"/>
            </w:pPr>
          </w:p>
          <w:p w14:paraId="6F79E067" w14:textId="77777777" w:rsidR="007F3B9F" w:rsidRDefault="007F3B9F" w:rsidP="007F3B9F">
            <w:pPr>
              <w:pStyle w:val="Texttabulky"/>
              <w:spacing w:after="0" w:line="240" w:lineRule="atLeast"/>
            </w:pPr>
            <w:r>
              <w:rPr>
                <w:b/>
                <w:bCs/>
                <w:sz w:val="22"/>
                <w:szCs w:val="22"/>
              </w:rPr>
              <w:t xml:space="preserve"> 29 - </w:t>
            </w:r>
          </w:p>
          <w:p w14:paraId="31A2AFB4"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93B4F9A" w14:textId="77777777" w:rsidR="007F3B9F" w:rsidRDefault="007F3B9F" w:rsidP="007F3B9F">
            <w:pPr>
              <w:pStyle w:val="Texttabulky"/>
              <w:spacing w:after="0" w:line="240" w:lineRule="atLeast"/>
            </w:pPr>
            <w:r>
              <w:rPr>
                <w:b/>
                <w:bCs/>
                <w:sz w:val="20"/>
                <w:szCs w:val="20"/>
              </w:rPr>
              <w:t>L</w:t>
            </w:r>
          </w:p>
          <w:p w14:paraId="03699E2A" w14:textId="77777777" w:rsidR="007F3B9F" w:rsidRDefault="007F3B9F" w:rsidP="007F3B9F">
            <w:pPr>
              <w:pStyle w:val="Zkladntext"/>
              <w:spacing w:after="0" w:line="240" w:lineRule="atLeast"/>
            </w:pPr>
          </w:p>
          <w:p w14:paraId="05E57539"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4ECEB584" w14:textId="77777777" w:rsidR="007F3B9F" w:rsidRDefault="007F3B9F" w:rsidP="007F3B9F">
            <w:pPr>
              <w:pStyle w:val="Texttabulky"/>
              <w:spacing w:after="0" w:line="240" w:lineRule="atLeast"/>
            </w:pPr>
            <w:r>
              <w:t xml:space="preserve">Biokoridor vymezený v lesních porostech J  od Chmelníka v řadě  slt 2. lvs.  </w:t>
            </w:r>
          </w:p>
        </w:tc>
        <w:tc>
          <w:tcPr>
            <w:tcW w:w="709" w:type="dxa"/>
            <w:tcBorders>
              <w:top w:val="single" w:sz="6" w:space="0" w:color="auto"/>
              <w:left w:val="single" w:sz="6" w:space="0" w:color="auto"/>
              <w:bottom w:val="single" w:sz="6" w:space="0" w:color="auto"/>
              <w:right w:val="single" w:sz="6" w:space="0" w:color="auto"/>
            </w:tcBorders>
          </w:tcPr>
          <w:p w14:paraId="6B16706D" w14:textId="77777777" w:rsidR="007F3B9F" w:rsidRDefault="007F3B9F" w:rsidP="007F3B9F">
            <w:pPr>
              <w:pStyle w:val="Zkladntext"/>
              <w:spacing w:after="0" w:line="240" w:lineRule="atLeast"/>
            </w:pPr>
          </w:p>
          <w:p w14:paraId="56E3FFE1" w14:textId="77777777" w:rsidR="007F3B9F" w:rsidRDefault="007F3B9F" w:rsidP="007F3B9F">
            <w:pPr>
              <w:pStyle w:val="Texttabulky"/>
              <w:spacing w:after="0" w:line="240" w:lineRule="atLeast"/>
            </w:pPr>
            <w:r>
              <w:t>20</w:t>
            </w:r>
          </w:p>
          <w:p w14:paraId="03DC455E" w14:textId="77777777" w:rsidR="007F3B9F" w:rsidRDefault="007F3B9F" w:rsidP="007F3B9F">
            <w:pPr>
              <w:pStyle w:val="Zkladntext"/>
              <w:spacing w:after="0" w:line="240" w:lineRule="atLeast"/>
            </w:pPr>
          </w:p>
          <w:p w14:paraId="345DC678" w14:textId="77777777" w:rsidR="007F3B9F" w:rsidRDefault="007F3B9F" w:rsidP="007F3B9F">
            <w:pPr>
              <w:pStyle w:val="Texttabulky"/>
              <w:spacing w:after="0" w:line="240" w:lineRule="atLeast"/>
            </w:pPr>
            <w:r>
              <w:t>1600</w:t>
            </w:r>
          </w:p>
        </w:tc>
        <w:tc>
          <w:tcPr>
            <w:tcW w:w="567" w:type="dxa"/>
            <w:tcBorders>
              <w:top w:val="single" w:sz="6" w:space="0" w:color="auto"/>
              <w:left w:val="single" w:sz="6" w:space="0" w:color="auto"/>
              <w:bottom w:val="single" w:sz="6" w:space="0" w:color="auto"/>
              <w:right w:val="single" w:sz="6" w:space="0" w:color="auto"/>
            </w:tcBorders>
          </w:tcPr>
          <w:p w14:paraId="0C93C097" w14:textId="77777777" w:rsidR="007F3B9F" w:rsidRDefault="007F3B9F" w:rsidP="007F3B9F">
            <w:pPr>
              <w:pStyle w:val="Zkladntext"/>
              <w:spacing w:after="0" w:line="240" w:lineRule="atLeast"/>
            </w:pPr>
          </w:p>
          <w:p w14:paraId="1B500FEA" w14:textId="77777777" w:rsidR="007F3B9F" w:rsidRDefault="007F3B9F" w:rsidP="007F3B9F">
            <w:pPr>
              <w:pStyle w:val="Texttabulky"/>
              <w:spacing w:after="0" w:line="240" w:lineRule="atLeast"/>
            </w:pPr>
            <w:r>
              <w:t>3-4</w:t>
            </w:r>
          </w:p>
          <w:p w14:paraId="697F3A2E"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50E7DD10" w14:textId="77777777" w:rsidR="007F3B9F" w:rsidRDefault="007F3B9F" w:rsidP="007F3B9F">
            <w:pPr>
              <w:pStyle w:val="Zkladntext"/>
              <w:spacing w:after="0" w:line="240" w:lineRule="atLeast"/>
            </w:pPr>
          </w:p>
          <w:p w14:paraId="6A188D4B" w14:textId="77777777" w:rsidR="007F3B9F" w:rsidRDefault="007F3B9F" w:rsidP="007F3B9F">
            <w:pPr>
              <w:pStyle w:val="Texttabulky"/>
              <w:spacing w:after="0" w:line="240" w:lineRule="atLeast"/>
            </w:pPr>
            <w:r>
              <w:t xml:space="preserve">  dle platného LHP</w:t>
            </w:r>
          </w:p>
        </w:tc>
      </w:tr>
      <w:tr w:rsidR="007F3B9F" w14:paraId="30ECB6EF" w14:textId="77777777" w:rsidTr="00BB63DF">
        <w:tc>
          <w:tcPr>
            <w:tcW w:w="993" w:type="dxa"/>
            <w:tcBorders>
              <w:top w:val="single" w:sz="6" w:space="0" w:color="auto"/>
              <w:left w:val="single" w:sz="6" w:space="0" w:color="auto"/>
              <w:bottom w:val="single" w:sz="6" w:space="0" w:color="auto"/>
              <w:right w:val="single" w:sz="6" w:space="0" w:color="auto"/>
            </w:tcBorders>
          </w:tcPr>
          <w:p w14:paraId="2CA1C838" w14:textId="77777777" w:rsidR="007F3B9F" w:rsidRDefault="007F3B9F" w:rsidP="007F3B9F">
            <w:pPr>
              <w:pStyle w:val="Zkladntext"/>
              <w:spacing w:after="0" w:line="240" w:lineRule="atLeast"/>
            </w:pPr>
          </w:p>
          <w:p w14:paraId="558ACB6F" w14:textId="77777777" w:rsidR="007F3B9F" w:rsidRDefault="007F3B9F" w:rsidP="007F3B9F">
            <w:pPr>
              <w:pStyle w:val="Texttabulky"/>
              <w:spacing w:after="0" w:line="240" w:lineRule="atLeast"/>
            </w:pPr>
            <w:r>
              <w:rPr>
                <w:b/>
                <w:bCs/>
                <w:sz w:val="22"/>
                <w:szCs w:val="22"/>
              </w:rPr>
              <w:t xml:space="preserve"> 15 - 16</w:t>
            </w:r>
          </w:p>
          <w:p w14:paraId="48AB38EA"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6BB34FCF" w14:textId="77777777" w:rsidR="007F3B9F" w:rsidRDefault="007F3B9F" w:rsidP="007F3B9F">
            <w:pPr>
              <w:pStyle w:val="Texttabulky"/>
              <w:spacing w:after="0" w:line="240" w:lineRule="atLeast"/>
            </w:pPr>
            <w:r>
              <w:rPr>
                <w:b/>
                <w:bCs/>
                <w:sz w:val="20"/>
                <w:szCs w:val="20"/>
              </w:rPr>
              <w:t>NR</w:t>
            </w:r>
          </w:p>
          <w:p w14:paraId="59099A21" w14:textId="77777777" w:rsidR="007F3B9F" w:rsidRDefault="007F3B9F" w:rsidP="007F3B9F">
            <w:pPr>
              <w:pStyle w:val="Zkladntext"/>
              <w:spacing w:after="0" w:line="240" w:lineRule="atLeast"/>
            </w:pPr>
          </w:p>
          <w:p w14:paraId="606ACD69"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7C5724C9" w14:textId="77777777" w:rsidR="007F3B9F" w:rsidRDefault="007F3B9F" w:rsidP="007F3B9F">
            <w:pPr>
              <w:pStyle w:val="Texttabulky"/>
              <w:spacing w:after="0" w:line="240" w:lineRule="atLeast"/>
            </w:pPr>
            <w:r>
              <w:t>Biokoridor vymezený v lesních porostech na JV svahu pod Sněžníkem, v slt převážně kyselých sm BK.</w:t>
            </w:r>
          </w:p>
        </w:tc>
        <w:tc>
          <w:tcPr>
            <w:tcW w:w="709" w:type="dxa"/>
            <w:tcBorders>
              <w:top w:val="single" w:sz="6" w:space="0" w:color="auto"/>
              <w:left w:val="single" w:sz="6" w:space="0" w:color="auto"/>
              <w:bottom w:val="single" w:sz="6" w:space="0" w:color="auto"/>
              <w:right w:val="single" w:sz="6" w:space="0" w:color="auto"/>
            </w:tcBorders>
          </w:tcPr>
          <w:p w14:paraId="362B2596" w14:textId="77777777" w:rsidR="007F3B9F" w:rsidRDefault="007F3B9F" w:rsidP="007F3B9F">
            <w:pPr>
              <w:pStyle w:val="Zkladntext"/>
              <w:spacing w:after="0" w:line="240" w:lineRule="atLeast"/>
            </w:pPr>
          </w:p>
          <w:p w14:paraId="304DBAFE" w14:textId="77777777" w:rsidR="007F3B9F" w:rsidRDefault="007F3B9F" w:rsidP="007F3B9F">
            <w:pPr>
              <w:pStyle w:val="Texttabulky"/>
              <w:spacing w:after="0" w:line="240" w:lineRule="atLeast"/>
            </w:pPr>
            <w:r>
              <w:t>100</w:t>
            </w:r>
          </w:p>
          <w:p w14:paraId="310B7166" w14:textId="77777777" w:rsidR="007F3B9F" w:rsidRDefault="007F3B9F" w:rsidP="007F3B9F">
            <w:pPr>
              <w:pStyle w:val="Zkladntext"/>
              <w:spacing w:after="0" w:line="240" w:lineRule="atLeast"/>
            </w:pPr>
          </w:p>
          <w:p w14:paraId="1F0A28B4" w14:textId="77777777" w:rsidR="007F3B9F" w:rsidRDefault="007F3B9F" w:rsidP="007F3B9F">
            <w:pPr>
              <w:pStyle w:val="Texttabulky"/>
              <w:spacing w:after="0" w:line="240" w:lineRule="atLeast"/>
            </w:pPr>
            <w:r>
              <w:t>450</w:t>
            </w:r>
          </w:p>
        </w:tc>
        <w:tc>
          <w:tcPr>
            <w:tcW w:w="567" w:type="dxa"/>
            <w:tcBorders>
              <w:top w:val="single" w:sz="6" w:space="0" w:color="auto"/>
              <w:left w:val="single" w:sz="6" w:space="0" w:color="auto"/>
              <w:bottom w:val="single" w:sz="6" w:space="0" w:color="auto"/>
              <w:right w:val="single" w:sz="6" w:space="0" w:color="auto"/>
            </w:tcBorders>
          </w:tcPr>
          <w:p w14:paraId="63C84247" w14:textId="77777777" w:rsidR="007F3B9F" w:rsidRDefault="007F3B9F" w:rsidP="007F3B9F">
            <w:pPr>
              <w:pStyle w:val="Zkladntext"/>
              <w:spacing w:after="0" w:line="240" w:lineRule="atLeast"/>
            </w:pPr>
          </w:p>
          <w:p w14:paraId="14A3832D" w14:textId="77777777" w:rsidR="007F3B9F" w:rsidRDefault="007F3B9F" w:rsidP="007F3B9F">
            <w:pPr>
              <w:pStyle w:val="Texttabulky"/>
              <w:spacing w:after="0" w:line="240" w:lineRule="atLeast"/>
            </w:pPr>
            <w:r>
              <w:t>3-4</w:t>
            </w:r>
          </w:p>
          <w:p w14:paraId="5FEBFF9B"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7BB9C83A" w14:textId="77777777" w:rsidR="007F3B9F" w:rsidRDefault="007F3B9F" w:rsidP="007F3B9F">
            <w:pPr>
              <w:pStyle w:val="Zkladntext"/>
              <w:spacing w:after="0" w:line="240" w:lineRule="atLeast"/>
            </w:pPr>
          </w:p>
          <w:p w14:paraId="214360FE" w14:textId="77777777" w:rsidR="007F3B9F" w:rsidRDefault="007F3B9F" w:rsidP="007F3B9F">
            <w:pPr>
              <w:pStyle w:val="Texttabulky"/>
              <w:spacing w:after="0" w:line="240" w:lineRule="atLeast"/>
            </w:pPr>
            <w:r>
              <w:t xml:space="preserve">  dle platného LHP</w:t>
            </w:r>
          </w:p>
        </w:tc>
      </w:tr>
      <w:tr w:rsidR="007F3B9F" w14:paraId="18C9B987" w14:textId="77777777" w:rsidTr="00BB63DF">
        <w:tc>
          <w:tcPr>
            <w:tcW w:w="993" w:type="dxa"/>
            <w:tcBorders>
              <w:top w:val="single" w:sz="6" w:space="0" w:color="auto"/>
              <w:left w:val="single" w:sz="6" w:space="0" w:color="auto"/>
              <w:bottom w:val="single" w:sz="6" w:space="0" w:color="auto"/>
              <w:right w:val="single" w:sz="6" w:space="0" w:color="auto"/>
            </w:tcBorders>
          </w:tcPr>
          <w:p w14:paraId="0432AD52" w14:textId="77777777" w:rsidR="007F3B9F" w:rsidRDefault="007F3B9F" w:rsidP="007F3B9F">
            <w:pPr>
              <w:pStyle w:val="Zkladntext"/>
              <w:spacing w:after="0" w:line="240" w:lineRule="atLeast"/>
            </w:pPr>
          </w:p>
          <w:p w14:paraId="272FC2A3" w14:textId="77777777" w:rsidR="007F3B9F" w:rsidRDefault="007F3B9F" w:rsidP="007F3B9F">
            <w:pPr>
              <w:pStyle w:val="Texttabulky"/>
              <w:spacing w:after="0" w:line="240" w:lineRule="atLeast"/>
            </w:pPr>
            <w:r>
              <w:rPr>
                <w:b/>
                <w:bCs/>
                <w:sz w:val="22"/>
                <w:szCs w:val="22"/>
              </w:rPr>
              <w:t xml:space="preserve"> 16 - 17</w:t>
            </w:r>
          </w:p>
          <w:p w14:paraId="6E4AA241"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403F9CE9" w14:textId="77777777" w:rsidR="007F3B9F" w:rsidRDefault="007F3B9F" w:rsidP="007F3B9F">
            <w:pPr>
              <w:pStyle w:val="Texttabulky"/>
              <w:spacing w:after="0" w:line="240" w:lineRule="atLeast"/>
            </w:pPr>
            <w:r>
              <w:rPr>
                <w:b/>
                <w:bCs/>
                <w:sz w:val="20"/>
                <w:szCs w:val="20"/>
              </w:rPr>
              <w:t>NR</w:t>
            </w:r>
          </w:p>
          <w:p w14:paraId="637375E0" w14:textId="77777777" w:rsidR="007F3B9F" w:rsidRDefault="007F3B9F" w:rsidP="007F3B9F">
            <w:pPr>
              <w:pStyle w:val="Zkladntext"/>
              <w:spacing w:after="0" w:line="240" w:lineRule="atLeast"/>
            </w:pPr>
          </w:p>
          <w:p w14:paraId="5F7E0D68"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01D5325D" w14:textId="77777777" w:rsidR="007F3B9F" w:rsidRDefault="007F3B9F" w:rsidP="007F3B9F">
            <w:pPr>
              <w:pStyle w:val="Texttabulky"/>
              <w:spacing w:after="0" w:line="240" w:lineRule="atLeast"/>
            </w:pPr>
            <w:r>
              <w:t>Biokoridor vymezený v lesních porostech na JV svahu pod Sněžníkem, v slt převážně kyselých sm BK.</w:t>
            </w:r>
          </w:p>
        </w:tc>
        <w:tc>
          <w:tcPr>
            <w:tcW w:w="709" w:type="dxa"/>
            <w:tcBorders>
              <w:top w:val="single" w:sz="6" w:space="0" w:color="auto"/>
              <w:left w:val="single" w:sz="6" w:space="0" w:color="auto"/>
              <w:bottom w:val="single" w:sz="6" w:space="0" w:color="auto"/>
              <w:right w:val="single" w:sz="6" w:space="0" w:color="auto"/>
            </w:tcBorders>
          </w:tcPr>
          <w:p w14:paraId="6AF9DC9E" w14:textId="77777777" w:rsidR="007F3B9F" w:rsidRDefault="007F3B9F" w:rsidP="007F3B9F">
            <w:pPr>
              <w:pStyle w:val="Zkladntext"/>
              <w:spacing w:after="0" w:line="240" w:lineRule="atLeast"/>
            </w:pPr>
          </w:p>
          <w:p w14:paraId="0E919A81" w14:textId="77777777" w:rsidR="007F3B9F" w:rsidRDefault="007F3B9F" w:rsidP="007F3B9F">
            <w:pPr>
              <w:pStyle w:val="Texttabulky"/>
              <w:spacing w:after="0" w:line="240" w:lineRule="atLeast"/>
            </w:pPr>
            <w:r>
              <w:t>100</w:t>
            </w:r>
          </w:p>
          <w:p w14:paraId="02E11013" w14:textId="77777777" w:rsidR="007F3B9F" w:rsidRDefault="007F3B9F" w:rsidP="007F3B9F">
            <w:pPr>
              <w:pStyle w:val="Zkladntext"/>
              <w:spacing w:after="0" w:line="240" w:lineRule="atLeast"/>
            </w:pPr>
          </w:p>
          <w:p w14:paraId="0F3247C7" w14:textId="77777777" w:rsidR="007F3B9F" w:rsidRDefault="007F3B9F" w:rsidP="007F3B9F">
            <w:pPr>
              <w:pStyle w:val="Texttabulky"/>
              <w:spacing w:after="0" w:line="240" w:lineRule="atLeast"/>
            </w:pPr>
            <w:r>
              <w:t>250</w:t>
            </w:r>
          </w:p>
        </w:tc>
        <w:tc>
          <w:tcPr>
            <w:tcW w:w="567" w:type="dxa"/>
            <w:tcBorders>
              <w:top w:val="single" w:sz="6" w:space="0" w:color="auto"/>
              <w:left w:val="single" w:sz="6" w:space="0" w:color="auto"/>
              <w:bottom w:val="single" w:sz="6" w:space="0" w:color="auto"/>
              <w:right w:val="single" w:sz="6" w:space="0" w:color="auto"/>
            </w:tcBorders>
          </w:tcPr>
          <w:p w14:paraId="16F84A7B" w14:textId="77777777" w:rsidR="007F3B9F" w:rsidRDefault="007F3B9F" w:rsidP="007F3B9F">
            <w:pPr>
              <w:pStyle w:val="Zkladntext"/>
              <w:spacing w:after="0" w:line="240" w:lineRule="atLeast"/>
            </w:pPr>
          </w:p>
          <w:p w14:paraId="4E4E091B" w14:textId="77777777" w:rsidR="007F3B9F" w:rsidRDefault="007F3B9F" w:rsidP="007F3B9F">
            <w:pPr>
              <w:pStyle w:val="Texttabulky"/>
              <w:spacing w:after="0" w:line="240" w:lineRule="atLeast"/>
            </w:pPr>
            <w:r>
              <w:t>3-4</w:t>
            </w:r>
          </w:p>
          <w:p w14:paraId="22C02208"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3FE662D9" w14:textId="77777777" w:rsidR="007F3B9F" w:rsidRDefault="007F3B9F" w:rsidP="007F3B9F">
            <w:pPr>
              <w:pStyle w:val="Zkladntext"/>
              <w:spacing w:after="0" w:line="240" w:lineRule="atLeast"/>
            </w:pPr>
          </w:p>
          <w:p w14:paraId="046B05CA" w14:textId="77777777" w:rsidR="007F3B9F" w:rsidRDefault="007F3B9F" w:rsidP="007F3B9F">
            <w:pPr>
              <w:pStyle w:val="Texttabulky"/>
              <w:spacing w:after="0" w:line="240" w:lineRule="atLeast"/>
            </w:pPr>
            <w:r>
              <w:t xml:space="preserve">  dle platného LHP</w:t>
            </w:r>
          </w:p>
        </w:tc>
      </w:tr>
      <w:tr w:rsidR="007F3B9F" w14:paraId="5D0D30E3" w14:textId="77777777" w:rsidTr="00BB63DF">
        <w:tc>
          <w:tcPr>
            <w:tcW w:w="993" w:type="dxa"/>
            <w:tcBorders>
              <w:top w:val="single" w:sz="6" w:space="0" w:color="auto"/>
              <w:left w:val="single" w:sz="6" w:space="0" w:color="auto"/>
              <w:bottom w:val="single" w:sz="6" w:space="0" w:color="auto"/>
              <w:right w:val="single" w:sz="6" w:space="0" w:color="auto"/>
            </w:tcBorders>
          </w:tcPr>
          <w:p w14:paraId="0DDF2ACA" w14:textId="77777777" w:rsidR="007F3B9F" w:rsidRDefault="007F3B9F" w:rsidP="007F3B9F">
            <w:pPr>
              <w:pStyle w:val="Zkladntext"/>
              <w:spacing w:after="0" w:line="240" w:lineRule="atLeast"/>
            </w:pPr>
          </w:p>
          <w:p w14:paraId="45794A72" w14:textId="77777777" w:rsidR="007F3B9F" w:rsidRDefault="007F3B9F" w:rsidP="007F3B9F">
            <w:pPr>
              <w:pStyle w:val="Texttabulky"/>
              <w:spacing w:after="0" w:line="240" w:lineRule="atLeast"/>
            </w:pPr>
            <w:r>
              <w:rPr>
                <w:b/>
                <w:bCs/>
                <w:sz w:val="22"/>
                <w:szCs w:val="22"/>
              </w:rPr>
              <w:t xml:space="preserve"> 17 - 18</w:t>
            </w:r>
          </w:p>
          <w:p w14:paraId="5929C0B1"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31D238DE" w14:textId="77777777" w:rsidR="007F3B9F" w:rsidRDefault="007F3B9F" w:rsidP="007F3B9F">
            <w:pPr>
              <w:pStyle w:val="Texttabulky"/>
              <w:spacing w:after="0" w:line="240" w:lineRule="atLeast"/>
            </w:pPr>
            <w:r>
              <w:rPr>
                <w:b/>
                <w:bCs/>
                <w:sz w:val="20"/>
                <w:szCs w:val="20"/>
              </w:rPr>
              <w:t>NR</w:t>
            </w:r>
          </w:p>
          <w:p w14:paraId="68DC6C12" w14:textId="77777777" w:rsidR="007F3B9F" w:rsidRDefault="007F3B9F" w:rsidP="007F3B9F">
            <w:pPr>
              <w:pStyle w:val="Zkladntext"/>
              <w:spacing w:after="0" w:line="240" w:lineRule="atLeast"/>
            </w:pPr>
          </w:p>
          <w:p w14:paraId="6B2ADD0E"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666F5F37" w14:textId="77777777" w:rsidR="007F3B9F" w:rsidRDefault="007F3B9F" w:rsidP="007F3B9F">
            <w:pPr>
              <w:pStyle w:val="Texttabulky"/>
              <w:spacing w:after="0" w:line="240" w:lineRule="atLeast"/>
            </w:pPr>
            <w:r>
              <w:t>Biokoridor vymezený v lesních porostech na JV svahu pod Sněžníkem, v slt převážně kyselých db BK a kyselých dbbk BO.</w:t>
            </w:r>
          </w:p>
        </w:tc>
        <w:tc>
          <w:tcPr>
            <w:tcW w:w="709" w:type="dxa"/>
            <w:tcBorders>
              <w:top w:val="single" w:sz="6" w:space="0" w:color="auto"/>
              <w:left w:val="single" w:sz="6" w:space="0" w:color="auto"/>
              <w:bottom w:val="single" w:sz="6" w:space="0" w:color="auto"/>
              <w:right w:val="single" w:sz="6" w:space="0" w:color="auto"/>
            </w:tcBorders>
          </w:tcPr>
          <w:p w14:paraId="59A4A801" w14:textId="77777777" w:rsidR="007F3B9F" w:rsidRDefault="007F3B9F" w:rsidP="007F3B9F">
            <w:pPr>
              <w:pStyle w:val="Zkladntext"/>
              <w:spacing w:after="0" w:line="240" w:lineRule="atLeast"/>
            </w:pPr>
          </w:p>
          <w:p w14:paraId="1CCE2534" w14:textId="77777777" w:rsidR="007F3B9F" w:rsidRDefault="007F3B9F" w:rsidP="007F3B9F">
            <w:pPr>
              <w:pStyle w:val="Texttabulky"/>
              <w:spacing w:after="0" w:line="240" w:lineRule="atLeast"/>
            </w:pPr>
            <w:r>
              <w:t>100</w:t>
            </w:r>
          </w:p>
          <w:p w14:paraId="2B75F284" w14:textId="77777777" w:rsidR="007F3B9F" w:rsidRDefault="007F3B9F" w:rsidP="007F3B9F">
            <w:pPr>
              <w:pStyle w:val="Zkladntext"/>
              <w:spacing w:after="0" w:line="240" w:lineRule="atLeast"/>
            </w:pPr>
          </w:p>
          <w:p w14:paraId="66E57563" w14:textId="77777777" w:rsidR="007F3B9F" w:rsidRDefault="007F3B9F" w:rsidP="007F3B9F">
            <w:pPr>
              <w:pStyle w:val="Texttabulky"/>
              <w:spacing w:after="0" w:line="240" w:lineRule="atLeast"/>
            </w:pPr>
            <w:r>
              <w:t>400</w:t>
            </w:r>
          </w:p>
        </w:tc>
        <w:tc>
          <w:tcPr>
            <w:tcW w:w="567" w:type="dxa"/>
            <w:tcBorders>
              <w:top w:val="single" w:sz="6" w:space="0" w:color="auto"/>
              <w:left w:val="single" w:sz="6" w:space="0" w:color="auto"/>
              <w:bottom w:val="single" w:sz="6" w:space="0" w:color="auto"/>
              <w:right w:val="single" w:sz="6" w:space="0" w:color="auto"/>
            </w:tcBorders>
          </w:tcPr>
          <w:p w14:paraId="0BD54317" w14:textId="77777777" w:rsidR="007F3B9F" w:rsidRDefault="007F3B9F" w:rsidP="007F3B9F">
            <w:pPr>
              <w:pStyle w:val="Zkladntext"/>
              <w:spacing w:after="0" w:line="240" w:lineRule="atLeast"/>
            </w:pPr>
          </w:p>
          <w:p w14:paraId="0F7B80F5" w14:textId="77777777" w:rsidR="007F3B9F" w:rsidRDefault="007F3B9F" w:rsidP="007F3B9F">
            <w:pPr>
              <w:pStyle w:val="Texttabulky"/>
              <w:spacing w:after="0" w:line="240" w:lineRule="atLeast"/>
            </w:pPr>
            <w:r>
              <w:t>3-4</w:t>
            </w:r>
          </w:p>
          <w:p w14:paraId="100EE1F1"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25FE911A" w14:textId="77777777" w:rsidR="007F3B9F" w:rsidRDefault="007F3B9F" w:rsidP="007F3B9F">
            <w:pPr>
              <w:pStyle w:val="Zkladntext"/>
              <w:spacing w:after="0" w:line="240" w:lineRule="atLeast"/>
            </w:pPr>
          </w:p>
          <w:p w14:paraId="32114EEA" w14:textId="77777777" w:rsidR="007F3B9F" w:rsidRDefault="007F3B9F" w:rsidP="007F3B9F">
            <w:pPr>
              <w:pStyle w:val="Texttabulky"/>
              <w:spacing w:after="0" w:line="240" w:lineRule="atLeast"/>
            </w:pPr>
            <w:r>
              <w:t xml:space="preserve">  dle platného LHP</w:t>
            </w:r>
          </w:p>
        </w:tc>
      </w:tr>
      <w:tr w:rsidR="007F3B9F" w14:paraId="4BE9E1FB" w14:textId="77777777" w:rsidTr="00BB63DF">
        <w:tc>
          <w:tcPr>
            <w:tcW w:w="993" w:type="dxa"/>
            <w:tcBorders>
              <w:top w:val="single" w:sz="6" w:space="0" w:color="auto"/>
              <w:left w:val="single" w:sz="6" w:space="0" w:color="auto"/>
              <w:bottom w:val="single" w:sz="6" w:space="0" w:color="auto"/>
              <w:right w:val="single" w:sz="6" w:space="0" w:color="auto"/>
            </w:tcBorders>
          </w:tcPr>
          <w:p w14:paraId="5E19520C" w14:textId="77777777" w:rsidR="007F3B9F" w:rsidRDefault="007F3B9F" w:rsidP="007F3B9F">
            <w:pPr>
              <w:pStyle w:val="Zkladntext"/>
              <w:spacing w:after="0" w:line="240" w:lineRule="atLeast"/>
            </w:pPr>
          </w:p>
          <w:p w14:paraId="0C6D918C" w14:textId="77777777" w:rsidR="007F3B9F" w:rsidRDefault="007F3B9F" w:rsidP="007F3B9F">
            <w:pPr>
              <w:pStyle w:val="Texttabulky"/>
              <w:spacing w:after="0" w:line="240" w:lineRule="atLeast"/>
            </w:pPr>
            <w:r>
              <w:rPr>
                <w:b/>
                <w:bCs/>
                <w:sz w:val="22"/>
                <w:szCs w:val="22"/>
              </w:rPr>
              <w:t>18-27</w:t>
            </w:r>
          </w:p>
        </w:tc>
        <w:tc>
          <w:tcPr>
            <w:tcW w:w="850" w:type="dxa"/>
            <w:tcBorders>
              <w:top w:val="single" w:sz="6" w:space="0" w:color="auto"/>
              <w:left w:val="single" w:sz="6" w:space="0" w:color="auto"/>
              <w:bottom w:val="single" w:sz="6" w:space="0" w:color="auto"/>
              <w:right w:val="single" w:sz="6" w:space="0" w:color="auto"/>
            </w:tcBorders>
          </w:tcPr>
          <w:p w14:paraId="62754CA6" w14:textId="77777777" w:rsidR="007F3B9F" w:rsidRDefault="007F3B9F" w:rsidP="007F3B9F">
            <w:pPr>
              <w:pStyle w:val="Texttabulky"/>
              <w:spacing w:after="0" w:line="240" w:lineRule="atLeast"/>
            </w:pPr>
            <w:r>
              <w:rPr>
                <w:b/>
                <w:bCs/>
                <w:sz w:val="20"/>
                <w:szCs w:val="20"/>
              </w:rPr>
              <w:t>L</w:t>
            </w:r>
          </w:p>
          <w:p w14:paraId="490A5D43" w14:textId="77777777" w:rsidR="007F3B9F" w:rsidRDefault="007F3B9F" w:rsidP="007F3B9F">
            <w:pPr>
              <w:pStyle w:val="Zkladntext"/>
              <w:spacing w:after="0" w:line="240" w:lineRule="atLeast"/>
            </w:pPr>
          </w:p>
          <w:p w14:paraId="2DA8AED4" w14:textId="77777777" w:rsidR="007F3B9F" w:rsidRDefault="007F3B9F" w:rsidP="007F3B9F">
            <w:pPr>
              <w:pStyle w:val="Texttabulky"/>
              <w:spacing w:after="0" w:line="240" w:lineRule="atLeast"/>
            </w:pPr>
            <w:r>
              <w:rPr>
                <w:sz w:val="20"/>
                <w:szCs w:val="20"/>
              </w:rPr>
              <w:t>F/SF</w:t>
            </w:r>
          </w:p>
        </w:tc>
        <w:tc>
          <w:tcPr>
            <w:tcW w:w="3402" w:type="dxa"/>
            <w:tcBorders>
              <w:top w:val="single" w:sz="6" w:space="0" w:color="auto"/>
              <w:left w:val="single" w:sz="6" w:space="0" w:color="auto"/>
              <w:bottom w:val="single" w:sz="6" w:space="0" w:color="auto"/>
              <w:right w:val="single" w:sz="6" w:space="0" w:color="auto"/>
            </w:tcBorders>
          </w:tcPr>
          <w:p w14:paraId="3B47CC8A" w14:textId="77777777" w:rsidR="007F3B9F" w:rsidRDefault="007F3B9F" w:rsidP="007F3B9F">
            <w:pPr>
              <w:pStyle w:val="Texttabulky"/>
              <w:spacing w:after="0" w:line="240" w:lineRule="atLeast"/>
            </w:pPr>
            <w:r>
              <w:t>Biokoridor vymezený převážně v lesních porostech ekotonálního charakteru SV okraje Písečného vrchu, v slt převážně kyselých, chudých a reliktních BO.</w:t>
            </w:r>
          </w:p>
        </w:tc>
        <w:tc>
          <w:tcPr>
            <w:tcW w:w="709" w:type="dxa"/>
            <w:tcBorders>
              <w:top w:val="single" w:sz="6" w:space="0" w:color="auto"/>
              <w:left w:val="single" w:sz="6" w:space="0" w:color="auto"/>
              <w:bottom w:val="single" w:sz="6" w:space="0" w:color="auto"/>
              <w:right w:val="single" w:sz="6" w:space="0" w:color="auto"/>
            </w:tcBorders>
          </w:tcPr>
          <w:p w14:paraId="4C7E9596" w14:textId="77777777" w:rsidR="007F3B9F" w:rsidRDefault="007F3B9F" w:rsidP="007F3B9F">
            <w:pPr>
              <w:pStyle w:val="Zkladntext"/>
              <w:spacing w:after="0" w:line="240" w:lineRule="atLeast"/>
            </w:pPr>
          </w:p>
          <w:p w14:paraId="2F3D71F6" w14:textId="77777777" w:rsidR="007F3B9F" w:rsidRDefault="007F3B9F" w:rsidP="007F3B9F">
            <w:pPr>
              <w:pStyle w:val="Texttabulky"/>
              <w:spacing w:after="0" w:line="240" w:lineRule="atLeast"/>
            </w:pPr>
            <w:r>
              <w:t>20</w:t>
            </w:r>
          </w:p>
          <w:p w14:paraId="6349B55E" w14:textId="77777777" w:rsidR="007F3B9F" w:rsidRDefault="007F3B9F" w:rsidP="007F3B9F">
            <w:pPr>
              <w:pStyle w:val="Zkladntext"/>
              <w:spacing w:after="0" w:line="240" w:lineRule="atLeast"/>
            </w:pPr>
          </w:p>
          <w:p w14:paraId="1DBFD089" w14:textId="77777777" w:rsidR="007F3B9F" w:rsidRDefault="007F3B9F" w:rsidP="007F3B9F">
            <w:pPr>
              <w:pStyle w:val="Texttabulky"/>
              <w:spacing w:after="0" w:line="240" w:lineRule="atLeast"/>
            </w:pPr>
            <w:r>
              <w:t>2000</w:t>
            </w:r>
          </w:p>
        </w:tc>
        <w:tc>
          <w:tcPr>
            <w:tcW w:w="567" w:type="dxa"/>
            <w:tcBorders>
              <w:top w:val="single" w:sz="6" w:space="0" w:color="auto"/>
              <w:left w:val="single" w:sz="6" w:space="0" w:color="auto"/>
              <w:bottom w:val="single" w:sz="6" w:space="0" w:color="auto"/>
              <w:right w:val="single" w:sz="6" w:space="0" w:color="auto"/>
            </w:tcBorders>
          </w:tcPr>
          <w:p w14:paraId="62AFD522" w14:textId="77777777" w:rsidR="007F3B9F" w:rsidRDefault="007F3B9F" w:rsidP="007F3B9F">
            <w:pPr>
              <w:pStyle w:val="Zkladntext"/>
              <w:spacing w:after="0" w:line="240" w:lineRule="atLeast"/>
            </w:pPr>
          </w:p>
          <w:p w14:paraId="0E90707E" w14:textId="77777777" w:rsidR="007F3B9F" w:rsidRDefault="007F3B9F" w:rsidP="007F3B9F">
            <w:pPr>
              <w:pStyle w:val="Texttabulky"/>
              <w:spacing w:after="0" w:line="240" w:lineRule="atLeast"/>
            </w:pPr>
            <w:r>
              <w:t>2,4</w:t>
            </w:r>
          </w:p>
          <w:p w14:paraId="56383DE8"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46ABC698" w14:textId="77777777" w:rsidR="007F3B9F" w:rsidRDefault="007F3B9F" w:rsidP="007F3B9F">
            <w:pPr>
              <w:pStyle w:val="Zkladntext"/>
              <w:spacing w:after="0" w:line="240" w:lineRule="atLeast"/>
            </w:pPr>
          </w:p>
          <w:p w14:paraId="46EEA2D7" w14:textId="77777777" w:rsidR="007F3B9F" w:rsidRDefault="007F3B9F" w:rsidP="007F3B9F">
            <w:pPr>
              <w:pStyle w:val="Texttabulky"/>
              <w:spacing w:after="0" w:line="240" w:lineRule="atLeast"/>
            </w:pPr>
            <w:r>
              <w:t xml:space="preserve">  dle platného LHP</w:t>
            </w:r>
          </w:p>
        </w:tc>
      </w:tr>
      <w:tr w:rsidR="007F3B9F" w14:paraId="32222361" w14:textId="77777777" w:rsidTr="00BB63DF">
        <w:tc>
          <w:tcPr>
            <w:tcW w:w="993" w:type="dxa"/>
            <w:tcBorders>
              <w:top w:val="single" w:sz="6" w:space="0" w:color="auto"/>
              <w:left w:val="single" w:sz="6" w:space="0" w:color="auto"/>
              <w:bottom w:val="single" w:sz="6" w:space="0" w:color="auto"/>
              <w:right w:val="single" w:sz="6" w:space="0" w:color="auto"/>
            </w:tcBorders>
          </w:tcPr>
          <w:p w14:paraId="668F25C9" w14:textId="77777777" w:rsidR="007F3B9F" w:rsidRDefault="007F3B9F" w:rsidP="007F3B9F">
            <w:pPr>
              <w:pStyle w:val="Zkladntext"/>
              <w:spacing w:after="0" w:line="240" w:lineRule="atLeast"/>
            </w:pPr>
          </w:p>
          <w:p w14:paraId="1CA9746D" w14:textId="77777777" w:rsidR="007F3B9F" w:rsidRDefault="007F3B9F" w:rsidP="007F3B9F">
            <w:pPr>
              <w:pStyle w:val="Texttabulky"/>
              <w:spacing w:after="0" w:line="240" w:lineRule="atLeast"/>
            </w:pPr>
            <w:r>
              <w:rPr>
                <w:b/>
                <w:bCs/>
                <w:sz w:val="22"/>
                <w:szCs w:val="22"/>
              </w:rPr>
              <w:t xml:space="preserve"> 27 - 30</w:t>
            </w:r>
          </w:p>
          <w:p w14:paraId="2BE43C5C"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6DEC6930" w14:textId="77777777" w:rsidR="007F3B9F" w:rsidRDefault="007F3B9F" w:rsidP="007F3B9F">
            <w:pPr>
              <w:pStyle w:val="Zkladntext"/>
              <w:spacing w:after="0" w:line="240" w:lineRule="atLeast"/>
            </w:pPr>
          </w:p>
          <w:p w14:paraId="218C597D" w14:textId="77777777" w:rsidR="007F3B9F" w:rsidRDefault="007F3B9F" w:rsidP="007F3B9F">
            <w:pPr>
              <w:pStyle w:val="Texttabulky"/>
              <w:spacing w:after="0" w:line="240" w:lineRule="atLeast"/>
            </w:pPr>
            <w:r>
              <w:rPr>
                <w:b/>
                <w:bCs/>
                <w:sz w:val="20"/>
                <w:szCs w:val="20"/>
              </w:rPr>
              <w:t>L</w:t>
            </w:r>
          </w:p>
          <w:p w14:paraId="2051DE6A" w14:textId="77777777" w:rsidR="007F3B9F" w:rsidRDefault="007F3B9F" w:rsidP="007F3B9F">
            <w:pPr>
              <w:pStyle w:val="Zkladntext"/>
              <w:spacing w:after="0" w:line="240" w:lineRule="atLeast"/>
            </w:pPr>
          </w:p>
          <w:p w14:paraId="7FCE3F5A" w14:textId="77777777" w:rsidR="007F3B9F" w:rsidRDefault="007F3B9F" w:rsidP="007F3B9F">
            <w:pPr>
              <w:pStyle w:val="Texttabulky"/>
              <w:spacing w:after="0" w:line="240" w:lineRule="atLeast"/>
            </w:pPr>
            <w:r>
              <w:rPr>
                <w:sz w:val="20"/>
                <w:szCs w:val="20"/>
              </w:rPr>
              <w:t>F/N</w:t>
            </w:r>
          </w:p>
        </w:tc>
        <w:tc>
          <w:tcPr>
            <w:tcW w:w="3402" w:type="dxa"/>
            <w:tcBorders>
              <w:top w:val="single" w:sz="6" w:space="0" w:color="auto"/>
              <w:left w:val="single" w:sz="6" w:space="0" w:color="auto"/>
              <w:bottom w:val="single" w:sz="6" w:space="0" w:color="auto"/>
              <w:right w:val="single" w:sz="6" w:space="0" w:color="auto"/>
            </w:tcBorders>
          </w:tcPr>
          <w:p w14:paraId="26615E67" w14:textId="77777777" w:rsidR="007F3B9F" w:rsidRDefault="007F3B9F" w:rsidP="007F3B9F">
            <w:pPr>
              <w:pStyle w:val="Texttabulky"/>
              <w:spacing w:after="0" w:line="240" w:lineRule="atLeast"/>
            </w:pPr>
            <w:r>
              <w:t>Biokoridor propojující S  a J část území rozděleného Jílovským potokem po lesních porostech v slt převážně kyselých, chudých a reliktních BO (S část) a bohatých bk DB (J část). Přes zastavěné území D. Oldřichova je biokoridor navržen jako liniový prvek.</w:t>
            </w:r>
          </w:p>
        </w:tc>
        <w:tc>
          <w:tcPr>
            <w:tcW w:w="709" w:type="dxa"/>
            <w:tcBorders>
              <w:top w:val="single" w:sz="6" w:space="0" w:color="auto"/>
              <w:left w:val="single" w:sz="6" w:space="0" w:color="auto"/>
              <w:bottom w:val="single" w:sz="6" w:space="0" w:color="auto"/>
              <w:right w:val="single" w:sz="6" w:space="0" w:color="auto"/>
            </w:tcBorders>
          </w:tcPr>
          <w:p w14:paraId="006F4EE4" w14:textId="77777777" w:rsidR="007F3B9F" w:rsidRDefault="007F3B9F" w:rsidP="007F3B9F">
            <w:pPr>
              <w:pStyle w:val="Zkladntext"/>
              <w:spacing w:after="0" w:line="240" w:lineRule="atLeast"/>
            </w:pPr>
          </w:p>
          <w:p w14:paraId="49324084" w14:textId="77777777" w:rsidR="007F3B9F" w:rsidRDefault="007F3B9F" w:rsidP="007F3B9F">
            <w:pPr>
              <w:pStyle w:val="Texttabulky"/>
              <w:spacing w:after="0" w:line="240" w:lineRule="atLeast"/>
            </w:pPr>
            <w:r>
              <w:t>15</w:t>
            </w:r>
          </w:p>
          <w:p w14:paraId="27E1F0EE" w14:textId="77777777" w:rsidR="007F3B9F" w:rsidRDefault="007F3B9F" w:rsidP="007F3B9F">
            <w:pPr>
              <w:pStyle w:val="Zkladntext"/>
              <w:spacing w:after="0" w:line="240" w:lineRule="atLeast"/>
            </w:pPr>
          </w:p>
          <w:p w14:paraId="21E4ABC3" w14:textId="77777777" w:rsidR="007F3B9F" w:rsidRDefault="007F3B9F" w:rsidP="007F3B9F">
            <w:pPr>
              <w:pStyle w:val="Texttabulky"/>
              <w:spacing w:after="0" w:line="240" w:lineRule="atLeast"/>
            </w:pPr>
            <w:r>
              <w:t>2000</w:t>
            </w:r>
          </w:p>
        </w:tc>
        <w:tc>
          <w:tcPr>
            <w:tcW w:w="567" w:type="dxa"/>
            <w:tcBorders>
              <w:top w:val="single" w:sz="6" w:space="0" w:color="auto"/>
              <w:left w:val="single" w:sz="6" w:space="0" w:color="auto"/>
              <w:bottom w:val="single" w:sz="6" w:space="0" w:color="auto"/>
              <w:right w:val="single" w:sz="6" w:space="0" w:color="auto"/>
            </w:tcBorders>
          </w:tcPr>
          <w:p w14:paraId="5C9E0E63" w14:textId="77777777" w:rsidR="007F3B9F" w:rsidRDefault="007F3B9F" w:rsidP="007F3B9F">
            <w:pPr>
              <w:pStyle w:val="Zkladntext"/>
              <w:spacing w:after="0" w:line="240" w:lineRule="atLeast"/>
            </w:pPr>
          </w:p>
          <w:p w14:paraId="369ACECC" w14:textId="77777777" w:rsidR="007F3B9F" w:rsidRDefault="007F3B9F" w:rsidP="007F3B9F">
            <w:pPr>
              <w:pStyle w:val="Texttabulky"/>
              <w:spacing w:after="0" w:line="240" w:lineRule="atLeast"/>
            </w:pPr>
            <w:r>
              <w:t>1,3-4</w:t>
            </w:r>
          </w:p>
          <w:p w14:paraId="6BFC31FC"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4516947F" w14:textId="77777777" w:rsidR="007F3B9F" w:rsidRDefault="007F3B9F" w:rsidP="007F3B9F">
            <w:pPr>
              <w:pStyle w:val="Zkladntext"/>
              <w:spacing w:after="0" w:line="240" w:lineRule="atLeast"/>
            </w:pPr>
          </w:p>
          <w:p w14:paraId="0E4BA109" w14:textId="77777777" w:rsidR="007F3B9F" w:rsidRDefault="007F3B9F" w:rsidP="007F3B9F">
            <w:pPr>
              <w:pStyle w:val="Texttabulky"/>
              <w:spacing w:after="0" w:line="240" w:lineRule="atLeast"/>
            </w:pPr>
            <w:r>
              <w:t>v lese dle platného LHP,</w:t>
            </w:r>
          </w:p>
          <w:p w14:paraId="066D8208" w14:textId="77777777" w:rsidR="007F3B9F" w:rsidRDefault="007F3B9F" w:rsidP="007F3B9F">
            <w:pPr>
              <w:pStyle w:val="Texttabulky"/>
              <w:spacing w:after="0" w:line="240" w:lineRule="atLeast"/>
            </w:pPr>
            <w:r>
              <w:t>založení liniového dřevinného spol. přes intravilán</w:t>
            </w:r>
          </w:p>
        </w:tc>
      </w:tr>
      <w:tr w:rsidR="007F3B9F" w14:paraId="425A4E10" w14:textId="77777777" w:rsidTr="00BB63DF">
        <w:tc>
          <w:tcPr>
            <w:tcW w:w="993" w:type="dxa"/>
            <w:tcBorders>
              <w:top w:val="single" w:sz="6" w:space="0" w:color="auto"/>
              <w:left w:val="single" w:sz="6" w:space="0" w:color="auto"/>
              <w:bottom w:val="single" w:sz="6" w:space="0" w:color="auto"/>
              <w:right w:val="single" w:sz="6" w:space="0" w:color="auto"/>
            </w:tcBorders>
          </w:tcPr>
          <w:p w14:paraId="62B41C19" w14:textId="77777777" w:rsidR="007F3B9F" w:rsidRDefault="007F3B9F" w:rsidP="007F3B9F">
            <w:pPr>
              <w:pStyle w:val="Zkladntext"/>
              <w:spacing w:after="0" w:line="240" w:lineRule="atLeast"/>
            </w:pPr>
          </w:p>
          <w:p w14:paraId="32A6DF72" w14:textId="77777777" w:rsidR="007F3B9F" w:rsidRDefault="007F3B9F" w:rsidP="007F3B9F">
            <w:pPr>
              <w:pStyle w:val="Texttabulky"/>
              <w:spacing w:after="0" w:line="240" w:lineRule="atLeast"/>
            </w:pPr>
            <w:r>
              <w:rPr>
                <w:b/>
                <w:bCs/>
                <w:sz w:val="22"/>
                <w:szCs w:val="22"/>
              </w:rPr>
              <w:t xml:space="preserve"> 17 - 28</w:t>
            </w:r>
          </w:p>
          <w:p w14:paraId="46D6F5A0"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3F99D377" w14:textId="77777777" w:rsidR="007F3B9F" w:rsidRDefault="007F3B9F" w:rsidP="007F3B9F">
            <w:pPr>
              <w:pStyle w:val="Zkladntext"/>
              <w:spacing w:after="0" w:line="240" w:lineRule="atLeast"/>
            </w:pPr>
          </w:p>
          <w:p w14:paraId="0B525BFE" w14:textId="77777777" w:rsidR="007F3B9F" w:rsidRDefault="007F3B9F" w:rsidP="007F3B9F">
            <w:pPr>
              <w:pStyle w:val="Texttabulky"/>
              <w:spacing w:after="0" w:line="240" w:lineRule="atLeast"/>
            </w:pPr>
            <w:r>
              <w:rPr>
                <w:b/>
                <w:bCs/>
                <w:sz w:val="20"/>
                <w:szCs w:val="20"/>
              </w:rPr>
              <w:t>NR</w:t>
            </w:r>
          </w:p>
          <w:p w14:paraId="719FD7FE" w14:textId="77777777" w:rsidR="007F3B9F" w:rsidRDefault="007F3B9F" w:rsidP="007F3B9F">
            <w:pPr>
              <w:pStyle w:val="Zkladntext"/>
              <w:spacing w:after="0" w:line="240" w:lineRule="atLeast"/>
            </w:pPr>
          </w:p>
          <w:p w14:paraId="1C2E185F" w14:textId="77777777" w:rsidR="007F3B9F" w:rsidRDefault="007F3B9F" w:rsidP="007F3B9F">
            <w:pPr>
              <w:pStyle w:val="Texttabulky"/>
              <w:spacing w:after="0" w:line="240" w:lineRule="atLeast"/>
            </w:pPr>
            <w:r>
              <w:rPr>
                <w:sz w:val="20"/>
                <w:szCs w:val="20"/>
              </w:rPr>
              <w:t>F/N</w:t>
            </w:r>
          </w:p>
        </w:tc>
        <w:tc>
          <w:tcPr>
            <w:tcW w:w="3402" w:type="dxa"/>
            <w:tcBorders>
              <w:top w:val="single" w:sz="6" w:space="0" w:color="auto"/>
              <w:left w:val="single" w:sz="6" w:space="0" w:color="auto"/>
              <w:bottom w:val="single" w:sz="6" w:space="0" w:color="auto"/>
              <w:right w:val="single" w:sz="6" w:space="0" w:color="auto"/>
            </w:tcBorders>
          </w:tcPr>
          <w:p w14:paraId="2F69B9F9" w14:textId="77777777" w:rsidR="007F3B9F" w:rsidRDefault="007F3B9F" w:rsidP="007F3B9F">
            <w:pPr>
              <w:pStyle w:val="Texttabulky"/>
              <w:spacing w:after="0" w:line="240" w:lineRule="atLeast"/>
            </w:pPr>
            <w:r>
              <w:t>Biokoridor propojující S  a J část území rozděleného Jílovským potokem po lesních porostech v slt převážně kyselých BO  a bk DB (S část) a kyselých, chudých a reliktních BO, resp. slt 3. lvs (J část). Přes zastavěné území H. Oldřichova je biokoridor navržen jako liniový prvek.</w:t>
            </w:r>
          </w:p>
        </w:tc>
        <w:tc>
          <w:tcPr>
            <w:tcW w:w="709" w:type="dxa"/>
            <w:tcBorders>
              <w:top w:val="single" w:sz="6" w:space="0" w:color="auto"/>
              <w:left w:val="single" w:sz="6" w:space="0" w:color="auto"/>
              <w:bottom w:val="single" w:sz="6" w:space="0" w:color="auto"/>
              <w:right w:val="single" w:sz="6" w:space="0" w:color="auto"/>
            </w:tcBorders>
          </w:tcPr>
          <w:p w14:paraId="0610478C" w14:textId="77777777" w:rsidR="007F3B9F" w:rsidRDefault="007F3B9F" w:rsidP="007F3B9F">
            <w:pPr>
              <w:pStyle w:val="Zkladntext"/>
              <w:spacing w:after="0" w:line="240" w:lineRule="atLeast"/>
            </w:pPr>
          </w:p>
          <w:p w14:paraId="39958147" w14:textId="77777777" w:rsidR="007F3B9F" w:rsidRDefault="007F3B9F" w:rsidP="007F3B9F">
            <w:pPr>
              <w:pStyle w:val="Texttabulky"/>
              <w:spacing w:after="0" w:line="240" w:lineRule="atLeast"/>
            </w:pPr>
            <w:r>
              <w:t>15</w:t>
            </w:r>
          </w:p>
          <w:p w14:paraId="378D5C35" w14:textId="77777777" w:rsidR="007F3B9F" w:rsidRDefault="007F3B9F" w:rsidP="007F3B9F">
            <w:pPr>
              <w:pStyle w:val="Zkladntext"/>
              <w:spacing w:after="0" w:line="240" w:lineRule="atLeast"/>
            </w:pPr>
          </w:p>
          <w:p w14:paraId="451727CF" w14:textId="77777777" w:rsidR="007F3B9F" w:rsidRDefault="007F3B9F" w:rsidP="007F3B9F">
            <w:pPr>
              <w:pStyle w:val="Texttabulky"/>
              <w:spacing w:after="0" w:line="240" w:lineRule="atLeast"/>
            </w:pPr>
            <w:r>
              <w:t>1600</w:t>
            </w:r>
          </w:p>
        </w:tc>
        <w:tc>
          <w:tcPr>
            <w:tcW w:w="567" w:type="dxa"/>
            <w:tcBorders>
              <w:top w:val="single" w:sz="6" w:space="0" w:color="auto"/>
              <w:left w:val="single" w:sz="6" w:space="0" w:color="auto"/>
              <w:bottom w:val="single" w:sz="6" w:space="0" w:color="auto"/>
              <w:right w:val="single" w:sz="6" w:space="0" w:color="auto"/>
            </w:tcBorders>
          </w:tcPr>
          <w:p w14:paraId="245EFFC6" w14:textId="77777777" w:rsidR="007F3B9F" w:rsidRDefault="007F3B9F" w:rsidP="007F3B9F">
            <w:pPr>
              <w:pStyle w:val="Zkladntext"/>
              <w:spacing w:after="0" w:line="240" w:lineRule="atLeast"/>
            </w:pPr>
          </w:p>
          <w:p w14:paraId="6B872505" w14:textId="77777777" w:rsidR="007F3B9F" w:rsidRDefault="007F3B9F" w:rsidP="007F3B9F">
            <w:pPr>
              <w:pStyle w:val="Texttabulky"/>
              <w:spacing w:after="0" w:line="240" w:lineRule="atLeast"/>
            </w:pPr>
            <w:r>
              <w:t>1,3-4</w:t>
            </w:r>
          </w:p>
          <w:p w14:paraId="3AA425B5"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46475204" w14:textId="77777777" w:rsidR="007F3B9F" w:rsidRDefault="007F3B9F" w:rsidP="007F3B9F">
            <w:pPr>
              <w:pStyle w:val="Zkladntext"/>
              <w:spacing w:after="0" w:line="240" w:lineRule="atLeast"/>
            </w:pPr>
          </w:p>
          <w:p w14:paraId="3922454F" w14:textId="77777777" w:rsidR="007F3B9F" w:rsidRDefault="007F3B9F" w:rsidP="007F3B9F">
            <w:pPr>
              <w:pStyle w:val="Texttabulky"/>
              <w:spacing w:after="0" w:line="240" w:lineRule="atLeast"/>
            </w:pPr>
            <w:r>
              <w:t xml:space="preserve"> v lese dle platného LHP,</w:t>
            </w:r>
          </w:p>
          <w:p w14:paraId="72C9CA14" w14:textId="77777777" w:rsidR="007F3B9F" w:rsidRDefault="007F3B9F" w:rsidP="007F3B9F">
            <w:pPr>
              <w:pStyle w:val="Texttabulky"/>
              <w:spacing w:after="0" w:line="240" w:lineRule="atLeast"/>
            </w:pPr>
            <w:r>
              <w:t>založení liniového dřevinného spol. přes intravilán</w:t>
            </w:r>
          </w:p>
        </w:tc>
      </w:tr>
      <w:tr w:rsidR="007F3B9F" w14:paraId="77FB03BC" w14:textId="77777777" w:rsidTr="00BB63DF">
        <w:tc>
          <w:tcPr>
            <w:tcW w:w="993" w:type="dxa"/>
            <w:tcBorders>
              <w:top w:val="single" w:sz="6" w:space="0" w:color="auto"/>
              <w:left w:val="single" w:sz="6" w:space="0" w:color="auto"/>
              <w:bottom w:val="single" w:sz="6" w:space="0" w:color="auto"/>
              <w:right w:val="single" w:sz="6" w:space="0" w:color="auto"/>
            </w:tcBorders>
          </w:tcPr>
          <w:p w14:paraId="1D718BC3" w14:textId="77777777" w:rsidR="007F3B9F" w:rsidRDefault="007F3B9F" w:rsidP="007F3B9F">
            <w:pPr>
              <w:pStyle w:val="Zkladntext"/>
              <w:spacing w:after="0" w:line="240" w:lineRule="atLeast"/>
            </w:pPr>
          </w:p>
          <w:p w14:paraId="280B8A6A" w14:textId="77777777" w:rsidR="007F3B9F" w:rsidRDefault="007F3B9F" w:rsidP="007F3B9F">
            <w:pPr>
              <w:pStyle w:val="Texttabulky"/>
              <w:spacing w:after="0" w:line="240" w:lineRule="atLeast"/>
            </w:pPr>
            <w:r>
              <w:rPr>
                <w:b/>
                <w:bCs/>
                <w:sz w:val="22"/>
                <w:szCs w:val="22"/>
              </w:rPr>
              <w:t>28 - 30</w:t>
            </w:r>
          </w:p>
        </w:tc>
        <w:tc>
          <w:tcPr>
            <w:tcW w:w="850" w:type="dxa"/>
            <w:tcBorders>
              <w:top w:val="single" w:sz="6" w:space="0" w:color="auto"/>
              <w:left w:val="single" w:sz="6" w:space="0" w:color="auto"/>
              <w:bottom w:val="single" w:sz="6" w:space="0" w:color="auto"/>
              <w:right w:val="single" w:sz="6" w:space="0" w:color="auto"/>
            </w:tcBorders>
          </w:tcPr>
          <w:p w14:paraId="5DC9BE6D" w14:textId="77777777" w:rsidR="007F3B9F" w:rsidRDefault="007F3B9F" w:rsidP="007F3B9F">
            <w:pPr>
              <w:pStyle w:val="Texttabulky"/>
              <w:spacing w:after="0" w:line="240" w:lineRule="atLeast"/>
            </w:pPr>
            <w:r>
              <w:rPr>
                <w:b/>
                <w:bCs/>
                <w:sz w:val="20"/>
                <w:szCs w:val="20"/>
              </w:rPr>
              <w:t>L</w:t>
            </w:r>
          </w:p>
          <w:p w14:paraId="1F9B4519" w14:textId="77777777" w:rsidR="007F3B9F" w:rsidRDefault="007F3B9F" w:rsidP="007F3B9F">
            <w:pPr>
              <w:pStyle w:val="Zkladntext"/>
              <w:spacing w:after="0" w:line="240" w:lineRule="atLeast"/>
            </w:pPr>
          </w:p>
          <w:p w14:paraId="22B6A055" w14:textId="77777777" w:rsidR="007F3B9F" w:rsidRDefault="007F3B9F" w:rsidP="007F3B9F">
            <w:pPr>
              <w:pStyle w:val="Texttabulky"/>
              <w:spacing w:after="0" w:line="240" w:lineRule="atLeast"/>
            </w:pPr>
            <w:r>
              <w:rPr>
                <w:sz w:val="20"/>
                <w:szCs w:val="20"/>
              </w:rPr>
              <w:t>F</w:t>
            </w:r>
          </w:p>
        </w:tc>
        <w:tc>
          <w:tcPr>
            <w:tcW w:w="3402" w:type="dxa"/>
            <w:tcBorders>
              <w:top w:val="single" w:sz="6" w:space="0" w:color="auto"/>
              <w:left w:val="single" w:sz="6" w:space="0" w:color="auto"/>
              <w:bottom w:val="single" w:sz="6" w:space="0" w:color="auto"/>
              <w:right w:val="single" w:sz="6" w:space="0" w:color="auto"/>
            </w:tcBorders>
          </w:tcPr>
          <w:p w14:paraId="5331A4F6" w14:textId="77777777" w:rsidR="007F3B9F" w:rsidRDefault="007F3B9F" w:rsidP="007F3B9F">
            <w:pPr>
              <w:pStyle w:val="Texttabulky"/>
              <w:spacing w:after="0" w:line="240" w:lineRule="atLeast"/>
            </w:pPr>
            <w:r>
              <w:t xml:space="preserve">Biokoridor vymezený zejména v okraji lesních porostů SV od Klobouku ve své V části jako nespojitý po prvcích dřevinných spol. nelesního charakteru a TTP. </w:t>
            </w:r>
          </w:p>
        </w:tc>
        <w:tc>
          <w:tcPr>
            <w:tcW w:w="709" w:type="dxa"/>
            <w:tcBorders>
              <w:top w:val="single" w:sz="6" w:space="0" w:color="auto"/>
              <w:left w:val="single" w:sz="6" w:space="0" w:color="auto"/>
              <w:bottom w:val="single" w:sz="6" w:space="0" w:color="auto"/>
              <w:right w:val="single" w:sz="6" w:space="0" w:color="auto"/>
            </w:tcBorders>
          </w:tcPr>
          <w:p w14:paraId="3292412B" w14:textId="77777777" w:rsidR="007F3B9F" w:rsidRDefault="007F3B9F" w:rsidP="007F3B9F">
            <w:pPr>
              <w:pStyle w:val="Zkladntext"/>
              <w:spacing w:after="0" w:line="240" w:lineRule="atLeast"/>
            </w:pPr>
          </w:p>
          <w:p w14:paraId="2FDAD342" w14:textId="77777777" w:rsidR="007F3B9F" w:rsidRDefault="007F3B9F" w:rsidP="007F3B9F">
            <w:pPr>
              <w:pStyle w:val="Texttabulky"/>
              <w:spacing w:after="0" w:line="240" w:lineRule="atLeast"/>
            </w:pPr>
            <w:r>
              <w:t>15</w:t>
            </w:r>
          </w:p>
          <w:p w14:paraId="78E74D23" w14:textId="77777777" w:rsidR="007F3B9F" w:rsidRDefault="007F3B9F" w:rsidP="007F3B9F">
            <w:pPr>
              <w:pStyle w:val="Texttabulky"/>
              <w:spacing w:after="0" w:line="240" w:lineRule="atLeast"/>
            </w:pPr>
            <w:r>
              <w:t>2000</w:t>
            </w:r>
          </w:p>
        </w:tc>
        <w:tc>
          <w:tcPr>
            <w:tcW w:w="567" w:type="dxa"/>
            <w:tcBorders>
              <w:top w:val="single" w:sz="6" w:space="0" w:color="auto"/>
              <w:left w:val="single" w:sz="6" w:space="0" w:color="auto"/>
              <w:bottom w:val="single" w:sz="6" w:space="0" w:color="auto"/>
              <w:right w:val="single" w:sz="6" w:space="0" w:color="auto"/>
            </w:tcBorders>
          </w:tcPr>
          <w:p w14:paraId="5C872077" w14:textId="77777777" w:rsidR="007F3B9F" w:rsidRDefault="007F3B9F" w:rsidP="007F3B9F">
            <w:pPr>
              <w:pStyle w:val="Zkladntext"/>
              <w:spacing w:after="0" w:line="240" w:lineRule="atLeast"/>
            </w:pPr>
          </w:p>
          <w:p w14:paraId="46F54CAC" w14:textId="77777777" w:rsidR="007F3B9F" w:rsidRDefault="007F3B9F" w:rsidP="007F3B9F">
            <w:pPr>
              <w:pStyle w:val="Texttabulky"/>
              <w:spacing w:after="0" w:line="240" w:lineRule="atLeast"/>
            </w:pPr>
            <w:r>
              <w:t>3-4</w:t>
            </w:r>
          </w:p>
          <w:p w14:paraId="4B8B3B59"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3770AF82" w14:textId="77777777" w:rsidR="007F3B9F" w:rsidRDefault="007F3B9F" w:rsidP="007F3B9F">
            <w:pPr>
              <w:pStyle w:val="Zkladntext"/>
              <w:spacing w:after="0" w:line="240" w:lineRule="atLeast"/>
            </w:pPr>
          </w:p>
          <w:p w14:paraId="7909D076" w14:textId="77777777" w:rsidR="007F3B9F" w:rsidRDefault="007F3B9F" w:rsidP="007F3B9F">
            <w:pPr>
              <w:pStyle w:val="Texttabulky"/>
              <w:spacing w:after="0" w:line="240" w:lineRule="atLeast"/>
            </w:pPr>
            <w:r>
              <w:t>v lese dle platného LHP</w:t>
            </w:r>
          </w:p>
          <w:p w14:paraId="088F2E97" w14:textId="77777777" w:rsidR="007F3B9F" w:rsidRDefault="007F3B9F" w:rsidP="007F3B9F">
            <w:pPr>
              <w:pStyle w:val="Texttabulky"/>
              <w:spacing w:after="0" w:line="240" w:lineRule="atLeast"/>
            </w:pPr>
            <w:r>
              <w:t>nelesní zeleň ponechat sukcesi, kosení nebo spásání TTP</w:t>
            </w:r>
          </w:p>
        </w:tc>
      </w:tr>
      <w:tr w:rsidR="007F3B9F" w14:paraId="27957FA8" w14:textId="77777777" w:rsidTr="00BB63DF">
        <w:tc>
          <w:tcPr>
            <w:tcW w:w="993" w:type="dxa"/>
            <w:tcBorders>
              <w:top w:val="single" w:sz="6" w:space="0" w:color="auto"/>
              <w:left w:val="single" w:sz="6" w:space="0" w:color="auto"/>
              <w:bottom w:val="single" w:sz="6" w:space="0" w:color="auto"/>
              <w:right w:val="single" w:sz="6" w:space="0" w:color="auto"/>
            </w:tcBorders>
          </w:tcPr>
          <w:p w14:paraId="73CB3BEE" w14:textId="77777777" w:rsidR="007F3B9F" w:rsidRDefault="007F3B9F" w:rsidP="007F3B9F">
            <w:pPr>
              <w:pStyle w:val="Zkladntext"/>
              <w:spacing w:after="0" w:line="240" w:lineRule="atLeast"/>
            </w:pPr>
          </w:p>
          <w:p w14:paraId="56C70462" w14:textId="77777777" w:rsidR="007F3B9F" w:rsidRDefault="007F3B9F" w:rsidP="007F3B9F">
            <w:pPr>
              <w:pStyle w:val="Texttabulky"/>
              <w:spacing w:after="0" w:line="240" w:lineRule="atLeast"/>
            </w:pPr>
            <w:r>
              <w:rPr>
                <w:b/>
                <w:bCs/>
                <w:sz w:val="22"/>
                <w:szCs w:val="22"/>
              </w:rPr>
              <w:t>17 - 30</w:t>
            </w:r>
          </w:p>
          <w:p w14:paraId="2C00053C" w14:textId="77777777" w:rsidR="007F3B9F" w:rsidRDefault="007F3B9F" w:rsidP="007F3B9F">
            <w:pPr>
              <w:pStyle w:val="Zkladntext"/>
              <w:spacing w:after="0" w:line="240" w:lineRule="atLeast"/>
            </w:pPr>
          </w:p>
        </w:tc>
        <w:tc>
          <w:tcPr>
            <w:tcW w:w="850" w:type="dxa"/>
            <w:tcBorders>
              <w:top w:val="single" w:sz="6" w:space="0" w:color="auto"/>
              <w:left w:val="single" w:sz="6" w:space="0" w:color="auto"/>
              <w:bottom w:val="single" w:sz="6" w:space="0" w:color="auto"/>
              <w:right w:val="single" w:sz="6" w:space="0" w:color="auto"/>
            </w:tcBorders>
          </w:tcPr>
          <w:p w14:paraId="17D59C47" w14:textId="77777777" w:rsidR="007F3B9F" w:rsidRDefault="007F3B9F" w:rsidP="007F3B9F">
            <w:pPr>
              <w:pStyle w:val="Texttabulky"/>
              <w:spacing w:after="0" w:line="240" w:lineRule="atLeast"/>
            </w:pPr>
            <w:r>
              <w:rPr>
                <w:b/>
                <w:bCs/>
                <w:sz w:val="20"/>
                <w:szCs w:val="20"/>
              </w:rPr>
              <w:t>L</w:t>
            </w:r>
          </w:p>
          <w:p w14:paraId="78D8FC39" w14:textId="77777777" w:rsidR="007F3B9F" w:rsidRDefault="007F3B9F" w:rsidP="007F3B9F">
            <w:pPr>
              <w:pStyle w:val="Zkladntext"/>
              <w:spacing w:after="0" w:line="240" w:lineRule="atLeast"/>
            </w:pPr>
          </w:p>
          <w:p w14:paraId="37510BE5" w14:textId="77777777" w:rsidR="007F3B9F" w:rsidRDefault="007F3B9F" w:rsidP="007F3B9F">
            <w:pPr>
              <w:pStyle w:val="Texttabulky"/>
              <w:spacing w:after="0" w:line="240" w:lineRule="atLeast"/>
            </w:pPr>
            <w:r>
              <w:rPr>
                <w:sz w:val="20"/>
                <w:szCs w:val="20"/>
              </w:rPr>
              <w:t>SF</w:t>
            </w:r>
          </w:p>
        </w:tc>
        <w:tc>
          <w:tcPr>
            <w:tcW w:w="3402" w:type="dxa"/>
            <w:tcBorders>
              <w:top w:val="single" w:sz="6" w:space="0" w:color="auto"/>
              <w:left w:val="single" w:sz="6" w:space="0" w:color="auto"/>
              <w:bottom w:val="single" w:sz="6" w:space="0" w:color="auto"/>
              <w:right w:val="single" w:sz="6" w:space="0" w:color="auto"/>
            </w:tcBorders>
          </w:tcPr>
          <w:p w14:paraId="3B422D54" w14:textId="77777777" w:rsidR="007F3B9F" w:rsidRDefault="007F3B9F" w:rsidP="007F3B9F">
            <w:pPr>
              <w:pStyle w:val="Texttabulky"/>
              <w:spacing w:after="0" w:line="240" w:lineRule="atLeast"/>
            </w:pPr>
            <w:r>
              <w:t>Biokoridor semifunkční vymezený na Jílovském potoce včetně jeho břehových a doprovodných porostů. Vodní tok je vesměs regulovaný (kamenná rovnanina, kamenné zdivo.).</w:t>
            </w:r>
          </w:p>
        </w:tc>
        <w:tc>
          <w:tcPr>
            <w:tcW w:w="709" w:type="dxa"/>
            <w:tcBorders>
              <w:top w:val="single" w:sz="6" w:space="0" w:color="auto"/>
              <w:left w:val="single" w:sz="6" w:space="0" w:color="auto"/>
              <w:bottom w:val="single" w:sz="6" w:space="0" w:color="auto"/>
              <w:right w:val="single" w:sz="6" w:space="0" w:color="auto"/>
            </w:tcBorders>
          </w:tcPr>
          <w:p w14:paraId="74D1C0E3" w14:textId="77777777" w:rsidR="007F3B9F" w:rsidRDefault="007F3B9F" w:rsidP="007F3B9F">
            <w:pPr>
              <w:pStyle w:val="Zkladntext"/>
              <w:spacing w:after="0" w:line="240" w:lineRule="atLeast"/>
            </w:pPr>
          </w:p>
          <w:p w14:paraId="2DE1A858" w14:textId="77777777" w:rsidR="007F3B9F" w:rsidRDefault="007F3B9F" w:rsidP="007F3B9F">
            <w:pPr>
              <w:pStyle w:val="Texttabulky"/>
              <w:spacing w:after="0" w:line="240" w:lineRule="atLeast"/>
            </w:pPr>
            <w:r>
              <w:t xml:space="preserve">8-15 </w:t>
            </w:r>
          </w:p>
          <w:p w14:paraId="450416C1" w14:textId="77777777" w:rsidR="007F3B9F" w:rsidRDefault="007F3B9F" w:rsidP="007F3B9F">
            <w:pPr>
              <w:pStyle w:val="Zkladntext"/>
              <w:spacing w:after="0" w:line="240" w:lineRule="atLeast"/>
            </w:pPr>
          </w:p>
          <w:p w14:paraId="48E9BB56" w14:textId="77777777" w:rsidR="007F3B9F" w:rsidRDefault="007F3B9F" w:rsidP="007F3B9F">
            <w:pPr>
              <w:pStyle w:val="Texttabulky"/>
              <w:spacing w:after="0" w:line="240" w:lineRule="atLeast"/>
            </w:pPr>
            <w:r>
              <w:t>3500</w:t>
            </w:r>
          </w:p>
        </w:tc>
        <w:tc>
          <w:tcPr>
            <w:tcW w:w="567" w:type="dxa"/>
            <w:tcBorders>
              <w:top w:val="single" w:sz="6" w:space="0" w:color="auto"/>
              <w:left w:val="single" w:sz="6" w:space="0" w:color="auto"/>
              <w:bottom w:val="single" w:sz="6" w:space="0" w:color="auto"/>
              <w:right w:val="single" w:sz="6" w:space="0" w:color="auto"/>
            </w:tcBorders>
          </w:tcPr>
          <w:p w14:paraId="49C4A82F" w14:textId="77777777" w:rsidR="007F3B9F" w:rsidRDefault="007F3B9F" w:rsidP="007F3B9F">
            <w:pPr>
              <w:pStyle w:val="Zkladntext"/>
              <w:spacing w:after="0" w:line="240" w:lineRule="atLeast"/>
            </w:pPr>
          </w:p>
          <w:p w14:paraId="1874FA07" w14:textId="77777777" w:rsidR="007F3B9F" w:rsidRDefault="007F3B9F" w:rsidP="007F3B9F">
            <w:pPr>
              <w:pStyle w:val="Texttabulky"/>
              <w:spacing w:after="0" w:line="240" w:lineRule="atLeast"/>
            </w:pPr>
            <w:r>
              <w:t>2-4</w:t>
            </w:r>
          </w:p>
          <w:p w14:paraId="5AA8A80C" w14:textId="77777777" w:rsidR="007F3B9F" w:rsidRDefault="007F3B9F" w:rsidP="007F3B9F">
            <w:pPr>
              <w:pStyle w:val="Zkladntext"/>
              <w:spacing w:after="0" w:line="240" w:lineRule="atLeast"/>
            </w:pPr>
          </w:p>
        </w:tc>
        <w:tc>
          <w:tcPr>
            <w:tcW w:w="2835" w:type="dxa"/>
            <w:tcBorders>
              <w:top w:val="single" w:sz="6" w:space="0" w:color="auto"/>
              <w:left w:val="single" w:sz="6" w:space="0" w:color="auto"/>
              <w:bottom w:val="single" w:sz="6" w:space="0" w:color="auto"/>
              <w:right w:val="single" w:sz="6" w:space="0" w:color="auto"/>
            </w:tcBorders>
          </w:tcPr>
          <w:p w14:paraId="1343B578" w14:textId="77777777" w:rsidR="007F3B9F" w:rsidRDefault="007F3B9F" w:rsidP="007F3B9F">
            <w:pPr>
              <w:pStyle w:val="Texttabulky"/>
              <w:spacing w:after="0" w:line="240" w:lineRule="atLeast"/>
            </w:pPr>
            <w:r>
              <w:t>doplnění dřevinných porostů podél toku</w:t>
            </w:r>
          </w:p>
        </w:tc>
      </w:tr>
    </w:tbl>
    <w:p w14:paraId="2D4F1950" w14:textId="77777777" w:rsidR="007F3B9F" w:rsidRDefault="007F3B9F" w:rsidP="00CA23D0">
      <w:pPr>
        <w:jc w:val="both"/>
        <w:rPr>
          <w:rFonts w:ascii="Arial" w:hAnsi="Arial" w:cs="Arial"/>
          <w:sz w:val="22"/>
        </w:rPr>
      </w:pPr>
    </w:p>
    <w:p w14:paraId="4E8ADE44" w14:textId="77777777" w:rsidR="00E42A45" w:rsidRDefault="00E42A45" w:rsidP="007F3B9F">
      <w:pPr>
        <w:suppressAutoHyphens w:val="0"/>
        <w:autoSpaceDE w:val="0"/>
        <w:autoSpaceDN w:val="0"/>
        <w:adjustRightInd w:val="0"/>
        <w:spacing w:before="120" w:line="288" w:lineRule="auto"/>
        <w:jc w:val="both"/>
        <w:rPr>
          <w:rFonts w:ascii="Arial" w:hAnsi="Arial"/>
          <w:b/>
          <w:bCs/>
          <w:caps/>
          <w:color w:val="000000"/>
          <w:sz w:val="32"/>
          <w:szCs w:val="32"/>
          <w:lang w:eastAsia="cs-CZ"/>
        </w:rPr>
      </w:pPr>
    </w:p>
    <w:p w14:paraId="407DA621" w14:textId="77777777" w:rsidR="007F3B9F" w:rsidRPr="007F3B9F" w:rsidRDefault="007F3B9F" w:rsidP="007F3B9F">
      <w:pPr>
        <w:suppressAutoHyphens w:val="0"/>
        <w:autoSpaceDE w:val="0"/>
        <w:autoSpaceDN w:val="0"/>
        <w:adjustRightInd w:val="0"/>
        <w:spacing w:before="120" w:line="288" w:lineRule="auto"/>
        <w:jc w:val="both"/>
        <w:rPr>
          <w:rFonts w:ascii="Arial" w:hAnsi="Arial"/>
          <w:b/>
          <w:bCs/>
          <w:caps/>
          <w:color w:val="000000"/>
          <w:sz w:val="32"/>
          <w:szCs w:val="32"/>
          <w:lang w:eastAsia="cs-CZ"/>
        </w:rPr>
      </w:pPr>
      <w:r w:rsidRPr="007F3B9F">
        <w:rPr>
          <w:rFonts w:ascii="Arial" w:hAnsi="Arial"/>
          <w:b/>
          <w:bCs/>
          <w:caps/>
          <w:color w:val="000000"/>
          <w:sz w:val="32"/>
          <w:szCs w:val="32"/>
          <w:lang w:eastAsia="cs-CZ"/>
        </w:rPr>
        <w:t>l2. interakční prvky</w:t>
      </w:r>
    </w:p>
    <w:p w14:paraId="2F5B0825" w14:textId="77777777" w:rsidR="007F3B9F" w:rsidRDefault="007F3B9F" w:rsidP="00CA23D0">
      <w:pPr>
        <w:jc w:val="both"/>
        <w:rPr>
          <w:rFonts w:ascii="Arial" w:hAnsi="Arial" w:cs="Arial"/>
          <w:sz w:val="22"/>
        </w:rPr>
      </w:pPr>
    </w:p>
    <w:tbl>
      <w:tblPr>
        <w:tblW w:w="0" w:type="auto"/>
        <w:tblInd w:w="70" w:type="dxa"/>
        <w:tblLayout w:type="fixed"/>
        <w:tblCellMar>
          <w:left w:w="70" w:type="dxa"/>
          <w:right w:w="70" w:type="dxa"/>
        </w:tblCellMar>
        <w:tblLook w:val="0000" w:firstRow="0" w:lastRow="0" w:firstColumn="0" w:lastColumn="0" w:noHBand="0" w:noVBand="0"/>
      </w:tblPr>
      <w:tblGrid>
        <w:gridCol w:w="792"/>
        <w:gridCol w:w="634"/>
        <w:gridCol w:w="3217"/>
        <w:gridCol w:w="685"/>
        <w:gridCol w:w="4041"/>
      </w:tblGrid>
      <w:tr w:rsidR="00E42A45" w14:paraId="0F2EF07E" w14:textId="77777777" w:rsidTr="00BB63DF">
        <w:trPr>
          <w:trHeight w:val="887"/>
          <w:tblHeader/>
        </w:trPr>
        <w:tc>
          <w:tcPr>
            <w:tcW w:w="792" w:type="dxa"/>
            <w:tcBorders>
              <w:top w:val="single" w:sz="6" w:space="0" w:color="auto"/>
              <w:left w:val="single" w:sz="6" w:space="0" w:color="auto"/>
              <w:bottom w:val="single" w:sz="6" w:space="0" w:color="auto"/>
              <w:right w:val="single" w:sz="6" w:space="0" w:color="auto"/>
            </w:tcBorders>
          </w:tcPr>
          <w:p w14:paraId="52544A35" w14:textId="77777777" w:rsidR="00E42A45" w:rsidRDefault="00E42A45" w:rsidP="00E42A45">
            <w:pPr>
              <w:pStyle w:val="Zkladntext"/>
              <w:spacing w:after="0" w:line="240" w:lineRule="atLeast"/>
            </w:pPr>
          </w:p>
          <w:p w14:paraId="06AFBA22" w14:textId="77777777" w:rsidR="00E42A45" w:rsidRDefault="00E42A45" w:rsidP="00E42A45">
            <w:pPr>
              <w:pStyle w:val="Texttabulky"/>
              <w:spacing w:after="0" w:line="240" w:lineRule="atLeast"/>
            </w:pPr>
            <w:r>
              <w:rPr>
                <w:b/>
                <w:bCs/>
                <w:sz w:val="18"/>
                <w:szCs w:val="18"/>
              </w:rPr>
              <w:t>číslo</w:t>
            </w:r>
          </w:p>
          <w:p w14:paraId="1E846CE4" w14:textId="77777777" w:rsidR="00E42A45" w:rsidRDefault="00E42A45" w:rsidP="00E42A45">
            <w:pPr>
              <w:pStyle w:val="Texttabulky"/>
              <w:spacing w:after="0" w:line="240" w:lineRule="atLeast"/>
            </w:pPr>
            <w:r>
              <w:rPr>
                <w:b/>
                <w:bCs/>
                <w:sz w:val="18"/>
                <w:szCs w:val="18"/>
              </w:rPr>
              <w:t>prvku</w:t>
            </w:r>
          </w:p>
          <w:p w14:paraId="595225B1"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3F7CE05A" w14:textId="77777777" w:rsidR="00E42A45" w:rsidRDefault="00E42A45" w:rsidP="00E42A45">
            <w:pPr>
              <w:pStyle w:val="Texttabulky"/>
              <w:spacing w:after="0" w:line="240" w:lineRule="atLeast"/>
            </w:pPr>
            <w:r>
              <w:rPr>
                <w:b/>
                <w:bCs/>
                <w:sz w:val="18"/>
                <w:szCs w:val="18"/>
              </w:rPr>
              <w:t xml:space="preserve"> </w:t>
            </w:r>
          </w:p>
          <w:p w14:paraId="34B7A97F" w14:textId="77777777" w:rsidR="00E42A45" w:rsidRDefault="00E42A45" w:rsidP="00E42A45">
            <w:pPr>
              <w:pStyle w:val="Texttabulky"/>
              <w:spacing w:after="0" w:line="240" w:lineRule="atLeast"/>
            </w:pPr>
            <w:r>
              <w:rPr>
                <w:b/>
                <w:bCs/>
                <w:sz w:val="18"/>
                <w:szCs w:val="18"/>
              </w:rPr>
              <w:t>stav</w:t>
            </w:r>
          </w:p>
        </w:tc>
        <w:tc>
          <w:tcPr>
            <w:tcW w:w="3217" w:type="dxa"/>
            <w:tcBorders>
              <w:top w:val="single" w:sz="6" w:space="0" w:color="auto"/>
              <w:left w:val="single" w:sz="6" w:space="0" w:color="auto"/>
              <w:bottom w:val="single" w:sz="6" w:space="0" w:color="auto"/>
              <w:right w:val="single" w:sz="6" w:space="0" w:color="auto"/>
            </w:tcBorders>
          </w:tcPr>
          <w:p w14:paraId="04EE4DF3" w14:textId="77777777" w:rsidR="00E42A45" w:rsidRDefault="00E42A45" w:rsidP="00E42A45">
            <w:pPr>
              <w:pStyle w:val="Zkladntext"/>
              <w:spacing w:after="0" w:line="240" w:lineRule="atLeast"/>
            </w:pPr>
          </w:p>
          <w:p w14:paraId="45310A77" w14:textId="77777777" w:rsidR="00E42A45" w:rsidRDefault="00E42A45" w:rsidP="00E42A45">
            <w:pPr>
              <w:pStyle w:val="Texttabulky"/>
              <w:spacing w:after="0" w:line="240" w:lineRule="atLeast"/>
            </w:pPr>
            <w:r>
              <w:rPr>
                <w:b/>
                <w:bCs/>
                <w:sz w:val="18"/>
                <w:szCs w:val="18"/>
              </w:rPr>
              <w:t xml:space="preserve">    charakteristika prvku</w:t>
            </w:r>
          </w:p>
        </w:tc>
        <w:tc>
          <w:tcPr>
            <w:tcW w:w="685" w:type="dxa"/>
            <w:tcBorders>
              <w:top w:val="single" w:sz="6" w:space="0" w:color="auto"/>
              <w:left w:val="single" w:sz="6" w:space="0" w:color="auto"/>
              <w:bottom w:val="single" w:sz="6" w:space="0" w:color="auto"/>
              <w:right w:val="single" w:sz="6" w:space="0" w:color="auto"/>
            </w:tcBorders>
          </w:tcPr>
          <w:p w14:paraId="056B5100" w14:textId="77777777" w:rsidR="00E42A45" w:rsidRDefault="00E42A45" w:rsidP="00E42A45">
            <w:pPr>
              <w:pStyle w:val="Zkladntext"/>
              <w:spacing w:after="0" w:line="240" w:lineRule="atLeast"/>
            </w:pPr>
          </w:p>
          <w:p w14:paraId="010F1158" w14:textId="77777777" w:rsidR="00E42A45" w:rsidRDefault="00E42A45" w:rsidP="00E42A45">
            <w:pPr>
              <w:pStyle w:val="Texttabulky"/>
              <w:spacing w:after="0" w:line="240" w:lineRule="atLeast"/>
            </w:pPr>
            <w:r>
              <w:rPr>
                <w:b/>
                <w:bCs/>
                <w:sz w:val="18"/>
                <w:szCs w:val="18"/>
              </w:rPr>
              <w:t>SES</w:t>
            </w:r>
          </w:p>
        </w:tc>
        <w:tc>
          <w:tcPr>
            <w:tcW w:w="4041" w:type="dxa"/>
            <w:tcBorders>
              <w:top w:val="single" w:sz="6" w:space="0" w:color="auto"/>
              <w:left w:val="single" w:sz="6" w:space="0" w:color="auto"/>
              <w:bottom w:val="single" w:sz="6" w:space="0" w:color="auto"/>
              <w:right w:val="single" w:sz="6" w:space="0" w:color="auto"/>
            </w:tcBorders>
          </w:tcPr>
          <w:p w14:paraId="3A19141E" w14:textId="77777777" w:rsidR="00E42A45" w:rsidRDefault="00E42A45" w:rsidP="00E42A45">
            <w:pPr>
              <w:pStyle w:val="Zkladntext"/>
              <w:spacing w:after="0" w:line="240" w:lineRule="atLeast"/>
            </w:pPr>
          </w:p>
          <w:p w14:paraId="6F2590BF" w14:textId="77777777" w:rsidR="00E42A45" w:rsidRDefault="00E42A45" w:rsidP="00E42A45">
            <w:pPr>
              <w:pStyle w:val="Texttabulky"/>
              <w:spacing w:after="0" w:line="240" w:lineRule="atLeast"/>
            </w:pPr>
            <w:r>
              <w:rPr>
                <w:b/>
                <w:bCs/>
                <w:sz w:val="18"/>
                <w:szCs w:val="18"/>
              </w:rPr>
              <w:t>návrh opatření</w:t>
            </w:r>
          </w:p>
        </w:tc>
      </w:tr>
      <w:tr w:rsidR="00E42A45" w14:paraId="0DE810BB" w14:textId="77777777" w:rsidTr="00BB63DF">
        <w:trPr>
          <w:trHeight w:val="1098"/>
        </w:trPr>
        <w:tc>
          <w:tcPr>
            <w:tcW w:w="792" w:type="dxa"/>
            <w:tcBorders>
              <w:top w:val="nil"/>
              <w:left w:val="single" w:sz="6" w:space="0" w:color="auto"/>
              <w:bottom w:val="single" w:sz="6" w:space="0" w:color="auto"/>
              <w:right w:val="single" w:sz="6" w:space="0" w:color="auto"/>
            </w:tcBorders>
          </w:tcPr>
          <w:p w14:paraId="16CCC40E" w14:textId="77777777" w:rsidR="00E42A45" w:rsidRDefault="00E42A45" w:rsidP="00E42A45">
            <w:pPr>
              <w:pStyle w:val="Zkladntext"/>
              <w:spacing w:after="0" w:line="240" w:lineRule="atLeast"/>
            </w:pPr>
          </w:p>
          <w:p w14:paraId="4889FBFE" w14:textId="77777777" w:rsidR="00E42A45" w:rsidRDefault="00E42A45" w:rsidP="00E42A45">
            <w:pPr>
              <w:pStyle w:val="Texttabulky"/>
              <w:spacing w:after="0" w:line="240" w:lineRule="atLeast"/>
            </w:pPr>
            <w:r>
              <w:rPr>
                <w:b/>
                <w:bCs/>
                <w:sz w:val="22"/>
                <w:szCs w:val="22"/>
              </w:rPr>
              <w:t>53</w:t>
            </w:r>
          </w:p>
          <w:p w14:paraId="70950DDF" w14:textId="77777777" w:rsidR="00E42A45" w:rsidRDefault="00E42A45" w:rsidP="00E42A45">
            <w:pPr>
              <w:pStyle w:val="Zkladntext"/>
              <w:spacing w:after="0" w:line="240" w:lineRule="atLeast"/>
            </w:pPr>
          </w:p>
        </w:tc>
        <w:tc>
          <w:tcPr>
            <w:tcW w:w="634" w:type="dxa"/>
            <w:tcBorders>
              <w:top w:val="nil"/>
              <w:left w:val="single" w:sz="6" w:space="0" w:color="auto"/>
              <w:bottom w:val="single" w:sz="6" w:space="0" w:color="auto"/>
              <w:right w:val="single" w:sz="6" w:space="0" w:color="auto"/>
            </w:tcBorders>
          </w:tcPr>
          <w:p w14:paraId="2142129C" w14:textId="77777777" w:rsidR="00E42A45" w:rsidRDefault="00E42A45" w:rsidP="00E42A45">
            <w:pPr>
              <w:pStyle w:val="Zkladntext"/>
              <w:spacing w:after="0" w:line="240" w:lineRule="atLeast"/>
            </w:pPr>
          </w:p>
          <w:p w14:paraId="7ED0A20A" w14:textId="77777777" w:rsidR="00E42A45" w:rsidRDefault="00E42A45" w:rsidP="00E42A45">
            <w:pPr>
              <w:pStyle w:val="Texttabulky"/>
              <w:spacing w:after="0" w:line="240" w:lineRule="atLeast"/>
            </w:pPr>
            <w:r>
              <w:rPr>
                <w:sz w:val="18"/>
                <w:szCs w:val="18"/>
              </w:rPr>
              <w:t>F</w:t>
            </w:r>
          </w:p>
        </w:tc>
        <w:tc>
          <w:tcPr>
            <w:tcW w:w="3217" w:type="dxa"/>
            <w:tcBorders>
              <w:top w:val="nil"/>
              <w:left w:val="single" w:sz="6" w:space="0" w:color="auto"/>
              <w:bottom w:val="single" w:sz="6" w:space="0" w:color="auto"/>
              <w:right w:val="single" w:sz="6" w:space="0" w:color="auto"/>
            </w:tcBorders>
          </w:tcPr>
          <w:p w14:paraId="24E562C1" w14:textId="77777777" w:rsidR="00E42A45" w:rsidRDefault="00E42A45" w:rsidP="00E42A45">
            <w:pPr>
              <w:pStyle w:val="Texttabulky"/>
              <w:spacing w:after="0" w:line="240" w:lineRule="atLeast"/>
            </w:pPr>
            <w:r>
              <w:t>Pastviny severně od silnice Malšovice - Stará Bohyně - druhově velmi bohaté porosty, v současnosti intenzivně spásány. Blíže viz škrtací seznam č. 3.</w:t>
            </w:r>
          </w:p>
        </w:tc>
        <w:tc>
          <w:tcPr>
            <w:tcW w:w="685" w:type="dxa"/>
            <w:tcBorders>
              <w:top w:val="nil"/>
              <w:left w:val="single" w:sz="6" w:space="0" w:color="auto"/>
              <w:bottom w:val="single" w:sz="6" w:space="0" w:color="auto"/>
              <w:right w:val="single" w:sz="6" w:space="0" w:color="auto"/>
            </w:tcBorders>
          </w:tcPr>
          <w:p w14:paraId="0F0A492D" w14:textId="77777777" w:rsidR="00E42A45" w:rsidRDefault="00E42A45" w:rsidP="00E42A45">
            <w:pPr>
              <w:pStyle w:val="Zkladntext"/>
              <w:spacing w:after="0" w:line="240" w:lineRule="atLeast"/>
            </w:pPr>
          </w:p>
          <w:p w14:paraId="18A60CA1" w14:textId="77777777" w:rsidR="00E42A45" w:rsidRDefault="00E42A45" w:rsidP="00E42A45">
            <w:pPr>
              <w:pStyle w:val="Texttabulky"/>
              <w:spacing w:after="0" w:line="240" w:lineRule="atLeast"/>
            </w:pPr>
            <w:r>
              <w:rPr>
                <w:sz w:val="18"/>
                <w:szCs w:val="18"/>
              </w:rPr>
              <w:t>3(4)</w:t>
            </w:r>
          </w:p>
          <w:p w14:paraId="353F48B1" w14:textId="77777777" w:rsidR="00E42A45" w:rsidRDefault="00E42A45" w:rsidP="00E42A45">
            <w:pPr>
              <w:pStyle w:val="Texttabulky"/>
              <w:spacing w:after="0" w:line="240" w:lineRule="atLeast"/>
            </w:pPr>
            <w:r>
              <w:rPr>
                <w:sz w:val="18"/>
                <w:szCs w:val="18"/>
              </w:rPr>
              <w:t xml:space="preserve"> </w:t>
            </w:r>
          </w:p>
        </w:tc>
        <w:tc>
          <w:tcPr>
            <w:tcW w:w="4041" w:type="dxa"/>
            <w:tcBorders>
              <w:top w:val="nil"/>
              <w:left w:val="single" w:sz="6" w:space="0" w:color="auto"/>
              <w:bottom w:val="single" w:sz="6" w:space="0" w:color="auto"/>
              <w:right w:val="single" w:sz="6" w:space="0" w:color="auto"/>
            </w:tcBorders>
          </w:tcPr>
          <w:p w14:paraId="57D47DB9" w14:textId="77777777" w:rsidR="00E42A45" w:rsidRDefault="00E42A45" w:rsidP="00E42A45">
            <w:pPr>
              <w:pStyle w:val="Texttabulky"/>
              <w:spacing w:after="0" w:line="240" w:lineRule="atLeast"/>
            </w:pPr>
            <w:r>
              <w:t>Kosení nebo spásání lokality 1 - 2 krát ročně, vyloučení zásahů do vodního režimu půd a hnojení průmyslovými hnojivy, snížení intenzity stávajícího využívání.</w:t>
            </w:r>
          </w:p>
        </w:tc>
      </w:tr>
      <w:tr w:rsidR="00E42A45" w14:paraId="4387E553"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1AD68657" w14:textId="77777777" w:rsidR="00E42A45" w:rsidRDefault="00E42A45" w:rsidP="00E42A45">
            <w:pPr>
              <w:pStyle w:val="Zkladntext"/>
              <w:spacing w:after="0" w:line="240" w:lineRule="atLeast"/>
            </w:pPr>
          </w:p>
          <w:p w14:paraId="32EC781F" w14:textId="77777777" w:rsidR="00E42A45" w:rsidRDefault="00E42A45" w:rsidP="00E42A45">
            <w:pPr>
              <w:pStyle w:val="Texttabulky"/>
              <w:spacing w:after="0" w:line="240" w:lineRule="atLeast"/>
            </w:pPr>
            <w:r>
              <w:rPr>
                <w:b/>
                <w:bCs/>
                <w:sz w:val="22"/>
                <w:szCs w:val="22"/>
              </w:rPr>
              <w:t>54</w:t>
            </w:r>
          </w:p>
          <w:p w14:paraId="34C8FFCD"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1E0A1A57" w14:textId="77777777" w:rsidR="00E42A45" w:rsidRDefault="00E42A45" w:rsidP="00E42A45">
            <w:pPr>
              <w:pStyle w:val="Zkladntext"/>
              <w:spacing w:after="0" w:line="240" w:lineRule="atLeast"/>
            </w:pPr>
          </w:p>
          <w:p w14:paraId="04A13E4C"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38DF900C" w14:textId="77777777" w:rsidR="00E42A45" w:rsidRDefault="00E42A45" w:rsidP="00E42A45">
            <w:pPr>
              <w:pStyle w:val="Texttabulky"/>
              <w:spacing w:after="0" w:line="240" w:lineRule="atLeast"/>
            </w:pPr>
            <w:r>
              <w:t>Zbytek cca 0,5 ha původně rozlehlejšího mokřadu. Blíže viz škrtací seznam č. 4.</w:t>
            </w:r>
          </w:p>
        </w:tc>
        <w:tc>
          <w:tcPr>
            <w:tcW w:w="685" w:type="dxa"/>
            <w:tcBorders>
              <w:top w:val="single" w:sz="6" w:space="0" w:color="auto"/>
              <w:left w:val="single" w:sz="6" w:space="0" w:color="auto"/>
              <w:bottom w:val="single" w:sz="6" w:space="0" w:color="auto"/>
              <w:right w:val="single" w:sz="6" w:space="0" w:color="auto"/>
            </w:tcBorders>
          </w:tcPr>
          <w:p w14:paraId="73A5FD2A" w14:textId="77777777" w:rsidR="00E42A45" w:rsidRDefault="00E42A45" w:rsidP="00E42A45">
            <w:pPr>
              <w:pStyle w:val="Zkladntext"/>
              <w:spacing w:after="0" w:line="240" w:lineRule="atLeast"/>
            </w:pPr>
          </w:p>
          <w:p w14:paraId="41EE282C"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6887F9D2" w14:textId="77777777" w:rsidR="00E42A45" w:rsidRDefault="00E42A45" w:rsidP="00E42A45">
            <w:pPr>
              <w:pStyle w:val="Texttabulky"/>
              <w:spacing w:after="0" w:line="240" w:lineRule="atLeast"/>
            </w:pPr>
            <w:r>
              <w:t xml:space="preserve">Vyloučení dalších zásahů do vodního režimu půd a hnojení průmyslovými hnojivy.  </w:t>
            </w:r>
          </w:p>
        </w:tc>
      </w:tr>
      <w:tr w:rsidR="00E42A45" w14:paraId="79C567D8"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4F757A8B" w14:textId="77777777" w:rsidR="00E42A45" w:rsidRDefault="00E42A45" w:rsidP="00E42A45">
            <w:pPr>
              <w:pStyle w:val="Zkladntext"/>
              <w:spacing w:after="0" w:line="240" w:lineRule="atLeast"/>
            </w:pPr>
          </w:p>
          <w:p w14:paraId="68EAF4B8" w14:textId="77777777" w:rsidR="00E42A45" w:rsidRDefault="00E42A45" w:rsidP="00E42A45">
            <w:pPr>
              <w:pStyle w:val="Texttabulky"/>
              <w:spacing w:after="0" w:line="240" w:lineRule="atLeast"/>
            </w:pPr>
            <w:r>
              <w:rPr>
                <w:b/>
                <w:bCs/>
                <w:sz w:val="22"/>
                <w:szCs w:val="22"/>
              </w:rPr>
              <w:t>57</w:t>
            </w:r>
          </w:p>
          <w:p w14:paraId="18BB28F6"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5F1F3158" w14:textId="77777777" w:rsidR="00E42A45" w:rsidRDefault="00E42A45" w:rsidP="00E42A45">
            <w:pPr>
              <w:pStyle w:val="Zkladntext"/>
              <w:spacing w:after="0" w:line="240" w:lineRule="atLeast"/>
            </w:pPr>
          </w:p>
          <w:p w14:paraId="4AB4DDDA"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17AFC8B8" w14:textId="77777777" w:rsidR="00E42A45" w:rsidRDefault="00E42A45" w:rsidP="00E42A45">
            <w:pPr>
              <w:pStyle w:val="Texttabulky"/>
              <w:spacing w:after="0" w:line="240" w:lineRule="atLeast"/>
            </w:pPr>
            <w:r>
              <w:t>Mokřadní porost s  výskytem přesličky největší. Blíže viz škrtací seznam č. 7.</w:t>
            </w:r>
          </w:p>
        </w:tc>
        <w:tc>
          <w:tcPr>
            <w:tcW w:w="685" w:type="dxa"/>
            <w:tcBorders>
              <w:top w:val="single" w:sz="6" w:space="0" w:color="auto"/>
              <w:left w:val="single" w:sz="6" w:space="0" w:color="auto"/>
              <w:bottom w:val="single" w:sz="6" w:space="0" w:color="auto"/>
              <w:right w:val="single" w:sz="6" w:space="0" w:color="auto"/>
            </w:tcBorders>
          </w:tcPr>
          <w:p w14:paraId="4DB3EA1F" w14:textId="77777777" w:rsidR="00E42A45" w:rsidRDefault="00E42A45" w:rsidP="00E42A45">
            <w:pPr>
              <w:pStyle w:val="Zkladntext"/>
              <w:spacing w:after="0" w:line="240" w:lineRule="atLeast"/>
            </w:pPr>
          </w:p>
          <w:p w14:paraId="0A2998B5"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78D40B60" w14:textId="77777777" w:rsidR="00E42A45" w:rsidRDefault="00E42A45" w:rsidP="00E42A45">
            <w:pPr>
              <w:pStyle w:val="Texttabulky"/>
              <w:spacing w:after="0" w:line="240" w:lineRule="atLeast"/>
            </w:pPr>
            <w:r>
              <w:t>Vyloučení dalších zásahů do vodního režimu půd a hnojení průmyslovými hnojivy.  Ext, kosení.</w:t>
            </w:r>
          </w:p>
        </w:tc>
      </w:tr>
      <w:tr w:rsidR="00E42A45" w14:paraId="15602C50" w14:textId="77777777" w:rsidTr="00BB63DF">
        <w:trPr>
          <w:trHeight w:val="221"/>
        </w:trPr>
        <w:tc>
          <w:tcPr>
            <w:tcW w:w="792" w:type="dxa"/>
            <w:tcBorders>
              <w:top w:val="single" w:sz="6" w:space="0" w:color="auto"/>
              <w:left w:val="single" w:sz="6" w:space="0" w:color="auto"/>
              <w:bottom w:val="single" w:sz="6" w:space="0" w:color="auto"/>
              <w:right w:val="single" w:sz="6" w:space="0" w:color="auto"/>
            </w:tcBorders>
          </w:tcPr>
          <w:p w14:paraId="252DC0FB" w14:textId="77777777" w:rsidR="00E42A45" w:rsidRDefault="00E42A45" w:rsidP="00E42A45">
            <w:pPr>
              <w:pStyle w:val="Zkladntext"/>
              <w:spacing w:after="0" w:line="240" w:lineRule="atLeast"/>
            </w:pPr>
          </w:p>
          <w:p w14:paraId="67512C3B" w14:textId="77777777" w:rsidR="00E42A45" w:rsidRDefault="00E42A45" w:rsidP="00E42A45">
            <w:pPr>
              <w:pStyle w:val="Texttabulky"/>
              <w:spacing w:after="0" w:line="240" w:lineRule="atLeast"/>
            </w:pPr>
            <w:r>
              <w:rPr>
                <w:b/>
                <w:bCs/>
                <w:sz w:val="22"/>
                <w:szCs w:val="22"/>
              </w:rPr>
              <w:t>58</w:t>
            </w:r>
          </w:p>
          <w:p w14:paraId="301AC57A"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0E169E55" w14:textId="77777777" w:rsidR="00E42A45" w:rsidRDefault="00E42A45" w:rsidP="00E42A45">
            <w:pPr>
              <w:pStyle w:val="Zkladntext"/>
              <w:spacing w:after="0" w:line="240" w:lineRule="atLeast"/>
            </w:pPr>
          </w:p>
          <w:p w14:paraId="14C4E186"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600C7F76" w14:textId="77777777" w:rsidR="00E42A45" w:rsidRDefault="00E42A45" w:rsidP="00E42A45">
            <w:pPr>
              <w:pStyle w:val="Texttabulky"/>
              <w:spacing w:after="0" w:line="240" w:lineRule="atLeast"/>
            </w:pPr>
            <w:r>
              <w:t>Druhově bohaté, nyní nekosené louky. Blíže viz škrtací seznam č. 8.</w:t>
            </w:r>
          </w:p>
        </w:tc>
        <w:tc>
          <w:tcPr>
            <w:tcW w:w="685" w:type="dxa"/>
            <w:tcBorders>
              <w:top w:val="single" w:sz="6" w:space="0" w:color="auto"/>
              <w:left w:val="single" w:sz="6" w:space="0" w:color="auto"/>
              <w:bottom w:val="single" w:sz="6" w:space="0" w:color="auto"/>
              <w:right w:val="single" w:sz="6" w:space="0" w:color="auto"/>
            </w:tcBorders>
          </w:tcPr>
          <w:p w14:paraId="5A82AB08" w14:textId="77777777" w:rsidR="00E42A45" w:rsidRDefault="00E42A45" w:rsidP="00E42A45">
            <w:pPr>
              <w:pStyle w:val="Zkladntext"/>
              <w:spacing w:after="0" w:line="240" w:lineRule="atLeast"/>
            </w:pPr>
          </w:p>
          <w:p w14:paraId="61E83197"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23C345F9" w14:textId="77777777" w:rsidR="00E42A45" w:rsidRDefault="00E42A45" w:rsidP="00E42A45">
            <w:pPr>
              <w:pStyle w:val="Texttabulky"/>
              <w:spacing w:after="0" w:line="240" w:lineRule="atLeast"/>
            </w:pPr>
            <w:r>
              <w:t xml:space="preserve"> Extenzivní využívání jako TTP.  </w:t>
            </w:r>
          </w:p>
        </w:tc>
      </w:tr>
      <w:tr w:rsidR="00E42A45" w14:paraId="626A17A6"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2590BE26" w14:textId="77777777" w:rsidR="00E42A45" w:rsidRDefault="00E42A45" w:rsidP="00E42A45">
            <w:pPr>
              <w:pStyle w:val="Zkladntext"/>
              <w:spacing w:after="0" w:line="240" w:lineRule="atLeast"/>
            </w:pPr>
          </w:p>
          <w:p w14:paraId="3CDB7D6A" w14:textId="77777777" w:rsidR="00E42A45" w:rsidRDefault="00E42A45" w:rsidP="00E42A45">
            <w:pPr>
              <w:pStyle w:val="Texttabulky"/>
              <w:spacing w:after="0" w:line="240" w:lineRule="atLeast"/>
            </w:pPr>
            <w:r>
              <w:rPr>
                <w:b/>
                <w:bCs/>
                <w:sz w:val="22"/>
                <w:szCs w:val="22"/>
              </w:rPr>
              <w:t>62</w:t>
            </w:r>
          </w:p>
          <w:p w14:paraId="4B671B88"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4D9809F2" w14:textId="77777777" w:rsidR="00E42A45" w:rsidRDefault="00E42A45" w:rsidP="00E42A45">
            <w:pPr>
              <w:pStyle w:val="Zkladntext"/>
              <w:spacing w:after="0" w:line="240" w:lineRule="atLeast"/>
            </w:pPr>
          </w:p>
          <w:p w14:paraId="5CC26513"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28AC73C7" w14:textId="77777777" w:rsidR="00E42A45" w:rsidRDefault="00E42A45" w:rsidP="00E42A45">
            <w:pPr>
              <w:pStyle w:val="Texttabulky"/>
              <w:spacing w:after="0" w:line="240" w:lineRule="atLeast"/>
            </w:pPr>
            <w:r>
              <w:t>Ruderalizovaný porost s  výskytem přesličky největší. Blíže viz škrtací seznam č. 12.</w:t>
            </w:r>
          </w:p>
        </w:tc>
        <w:tc>
          <w:tcPr>
            <w:tcW w:w="685" w:type="dxa"/>
            <w:tcBorders>
              <w:top w:val="single" w:sz="6" w:space="0" w:color="auto"/>
              <w:left w:val="single" w:sz="6" w:space="0" w:color="auto"/>
              <w:bottom w:val="single" w:sz="6" w:space="0" w:color="auto"/>
              <w:right w:val="single" w:sz="6" w:space="0" w:color="auto"/>
            </w:tcBorders>
          </w:tcPr>
          <w:p w14:paraId="7AE26604" w14:textId="77777777" w:rsidR="00E42A45" w:rsidRDefault="00E42A45" w:rsidP="00E42A45">
            <w:pPr>
              <w:pStyle w:val="Zkladntext"/>
              <w:spacing w:after="0" w:line="240" w:lineRule="atLeast"/>
            </w:pPr>
          </w:p>
          <w:p w14:paraId="5A70A7A7" w14:textId="77777777" w:rsidR="00E42A45" w:rsidRDefault="00E42A45" w:rsidP="00E42A45">
            <w:pPr>
              <w:pStyle w:val="Texttabulky"/>
              <w:spacing w:after="0" w:line="240" w:lineRule="atLeast"/>
            </w:pPr>
            <w:r>
              <w:rPr>
                <w:sz w:val="18"/>
                <w:szCs w:val="18"/>
              </w:rPr>
              <w:t>3</w:t>
            </w:r>
          </w:p>
        </w:tc>
        <w:tc>
          <w:tcPr>
            <w:tcW w:w="4041" w:type="dxa"/>
            <w:tcBorders>
              <w:top w:val="single" w:sz="6" w:space="0" w:color="auto"/>
              <w:left w:val="single" w:sz="6" w:space="0" w:color="auto"/>
              <w:bottom w:val="single" w:sz="6" w:space="0" w:color="auto"/>
              <w:right w:val="single" w:sz="6" w:space="0" w:color="auto"/>
            </w:tcBorders>
          </w:tcPr>
          <w:p w14:paraId="2EDCA9C8" w14:textId="77777777" w:rsidR="00E42A45" w:rsidRDefault="00E42A45" w:rsidP="00E42A45">
            <w:pPr>
              <w:pStyle w:val="Texttabulky"/>
              <w:spacing w:after="0" w:line="240" w:lineRule="atLeast"/>
            </w:pPr>
            <w:r>
              <w:t xml:space="preserve"> Extenzivní využívání jako TTP. </w:t>
            </w:r>
          </w:p>
        </w:tc>
      </w:tr>
      <w:tr w:rsidR="00E42A45" w14:paraId="45D75D21"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1B1A2BC6" w14:textId="77777777" w:rsidR="00E42A45" w:rsidRDefault="00E42A45" w:rsidP="00E42A45">
            <w:pPr>
              <w:pStyle w:val="Zkladntext"/>
              <w:spacing w:after="0" w:line="240" w:lineRule="atLeast"/>
            </w:pPr>
          </w:p>
          <w:p w14:paraId="560E170E" w14:textId="77777777" w:rsidR="00E42A45" w:rsidRDefault="00E42A45" w:rsidP="00E42A45">
            <w:pPr>
              <w:pStyle w:val="Texttabulky"/>
              <w:spacing w:after="0" w:line="240" w:lineRule="atLeast"/>
            </w:pPr>
            <w:r>
              <w:rPr>
                <w:b/>
                <w:bCs/>
                <w:sz w:val="22"/>
                <w:szCs w:val="22"/>
              </w:rPr>
              <w:t>68</w:t>
            </w:r>
          </w:p>
          <w:p w14:paraId="759762E7"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4BBA2A8F" w14:textId="77777777" w:rsidR="00E42A45" w:rsidRDefault="00E42A45" w:rsidP="00E42A45">
            <w:pPr>
              <w:pStyle w:val="Zkladntext"/>
              <w:spacing w:after="0" w:line="240" w:lineRule="atLeast"/>
            </w:pPr>
          </w:p>
          <w:p w14:paraId="3FFF867E"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48D761BF" w14:textId="77777777" w:rsidR="00E42A45" w:rsidRDefault="00E42A45" w:rsidP="00E42A45">
            <w:pPr>
              <w:pStyle w:val="Texttabulky"/>
              <w:spacing w:after="0" w:line="240" w:lineRule="atLeast"/>
            </w:pPr>
            <w:r>
              <w:t>Vlhké stanoviště se spol. podsvazu Filipendulenion.. Blíže viz škrtací seznam č. 18.</w:t>
            </w:r>
          </w:p>
        </w:tc>
        <w:tc>
          <w:tcPr>
            <w:tcW w:w="685" w:type="dxa"/>
            <w:tcBorders>
              <w:top w:val="single" w:sz="6" w:space="0" w:color="auto"/>
              <w:left w:val="single" w:sz="6" w:space="0" w:color="auto"/>
              <w:bottom w:val="single" w:sz="6" w:space="0" w:color="auto"/>
              <w:right w:val="single" w:sz="6" w:space="0" w:color="auto"/>
            </w:tcBorders>
          </w:tcPr>
          <w:p w14:paraId="09CDAB4A" w14:textId="77777777" w:rsidR="00E42A45" w:rsidRDefault="00E42A45" w:rsidP="00E42A45">
            <w:pPr>
              <w:pStyle w:val="Zkladntext"/>
              <w:spacing w:after="0" w:line="240" w:lineRule="atLeast"/>
            </w:pPr>
          </w:p>
          <w:p w14:paraId="3230F3A0"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1AFF0E61" w14:textId="77777777" w:rsidR="00E42A45" w:rsidRDefault="00E42A45" w:rsidP="00E42A45">
            <w:pPr>
              <w:pStyle w:val="Texttabulky"/>
              <w:spacing w:after="0" w:line="240" w:lineRule="atLeast"/>
            </w:pPr>
            <w:r>
              <w:t xml:space="preserve"> Extenzivní využívání jako TTP.  </w:t>
            </w:r>
          </w:p>
        </w:tc>
      </w:tr>
      <w:tr w:rsidR="00E42A45" w14:paraId="2CCDC690"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721C962C" w14:textId="77777777" w:rsidR="00E42A45" w:rsidRDefault="00E42A45" w:rsidP="00E42A45">
            <w:pPr>
              <w:pStyle w:val="Zkladntext"/>
              <w:spacing w:after="0" w:line="240" w:lineRule="atLeast"/>
            </w:pPr>
          </w:p>
          <w:p w14:paraId="4DBA185C" w14:textId="77777777" w:rsidR="00E42A45" w:rsidRDefault="00E42A45" w:rsidP="00E42A45">
            <w:pPr>
              <w:pStyle w:val="Texttabulky"/>
              <w:spacing w:after="0" w:line="240" w:lineRule="atLeast"/>
            </w:pPr>
            <w:r>
              <w:rPr>
                <w:b/>
                <w:bCs/>
                <w:sz w:val="22"/>
                <w:szCs w:val="22"/>
              </w:rPr>
              <w:t>70</w:t>
            </w:r>
          </w:p>
          <w:p w14:paraId="77455D5B"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3B1B6764" w14:textId="77777777" w:rsidR="00E42A45" w:rsidRDefault="00E42A45" w:rsidP="00E42A45">
            <w:pPr>
              <w:pStyle w:val="Zkladntext"/>
              <w:spacing w:after="0" w:line="240" w:lineRule="atLeast"/>
            </w:pPr>
          </w:p>
          <w:p w14:paraId="255A4092"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126BE155" w14:textId="77777777" w:rsidR="00E42A45" w:rsidRDefault="00E42A45" w:rsidP="00E42A45">
            <w:pPr>
              <w:pStyle w:val="Texttabulky"/>
              <w:spacing w:after="0" w:line="240" w:lineRule="atLeast"/>
            </w:pPr>
            <w:r>
              <w:t>Kosený luční porost s  mokřadem uprostřed (vodní zdroj). Blíže viz škrtací seznam č. 20.</w:t>
            </w:r>
          </w:p>
        </w:tc>
        <w:tc>
          <w:tcPr>
            <w:tcW w:w="685" w:type="dxa"/>
            <w:tcBorders>
              <w:top w:val="single" w:sz="6" w:space="0" w:color="auto"/>
              <w:left w:val="single" w:sz="6" w:space="0" w:color="auto"/>
              <w:bottom w:val="single" w:sz="6" w:space="0" w:color="auto"/>
              <w:right w:val="single" w:sz="6" w:space="0" w:color="auto"/>
            </w:tcBorders>
          </w:tcPr>
          <w:p w14:paraId="4FB02782" w14:textId="77777777" w:rsidR="00E42A45" w:rsidRDefault="00E42A45" w:rsidP="00E42A45">
            <w:pPr>
              <w:pStyle w:val="Zkladntext"/>
              <w:spacing w:after="0" w:line="240" w:lineRule="atLeast"/>
            </w:pPr>
          </w:p>
          <w:p w14:paraId="33E897D2"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7D1514D9" w14:textId="77777777" w:rsidR="00E42A45" w:rsidRDefault="00E42A45" w:rsidP="00E42A45">
            <w:pPr>
              <w:pStyle w:val="Texttabulky"/>
              <w:spacing w:after="0" w:line="240" w:lineRule="atLeast"/>
            </w:pPr>
            <w:r>
              <w:t xml:space="preserve"> Extenzivní využívání jako TTP..  </w:t>
            </w:r>
          </w:p>
        </w:tc>
      </w:tr>
      <w:tr w:rsidR="00E42A45" w14:paraId="2F6EC420" w14:textId="77777777" w:rsidTr="00BB63DF">
        <w:trPr>
          <w:trHeight w:val="887"/>
        </w:trPr>
        <w:tc>
          <w:tcPr>
            <w:tcW w:w="792" w:type="dxa"/>
            <w:tcBorders>
              <w:top w:val="single" w:sz="6" w:space="0" w:color="auto"/>
              <w:left w:val="single" w:sz="6" w:space="0" w:color="auto"/>
              <w:bottom w:val="single" w:sz="6" w:space="0" w:color="auto"/>
              <w:right w:val="single" w:sz="6" w:space="0" w:color="auto"/>
            </w:tcBorders>
          </w:tcPr>
          <w:p w14:paraId="6D47545B" w14:textId="77777777" w:rsidR="00E42A45" w:rsidRDefault="00E42A45" w:rsidP="00E42A45">
            <w:pPr>
              <w:pStyle w:val="Zkladntext"/>
              <w:spacing w:after="0" w:line="240" w:lineRule="atLeast"/>
            </w:pPr>
          </w:p>
          <w:p w14:paraId="647C234A" w14:textId="77777777" w:rsidR="00E42A45" w:rsidRDefault="00E42A45" w:rsidP="00E42A45">
            <w:pPr>
              <w:pStyle w:val="Texttabulky"/>
              <w:spacing w:after="0" w:line="240" w:lineRule="atLeast"/>
            </w:pPr>
            <w:r>
              <w:rPr>
                <w:b/>
                <w:bCs/>
                <w:sz w:val="22"/>
                <w:szCs w:val="22"/>
              </w:rPr>
              <w:t>71</w:t>
            </w:r>
          </w:p>
          <w:p w14:paraId="0962AE05"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29BAAB04" w14:textId="77777777" w:rsidR="00E42A45" w:rsidRDefault="00E42A45" w:rsidP="00E42A45">
            <w:pPr>
              <w:pStyle w:val="Zkladntext"/>
              <w:spacing w:after="0" w:line="240" w:lineRule="atLeast"/>
            </w:pPr>
          </w:p>
          <w:p w14:paraId="793F90F1"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16A85B40" w14:textId="77777777" w:rsidR="00E42A45" w:rsidRDefault="00E42A45" w:rsidP="00E42A45">
            <w:pPr>
              <w:pStyle w:val="Texttabulky"/>
              <w:spacing w:after="0" w:line="240" w:lineRule="atLeast"/>
            </w:pPr>
            <w:r>
              <w:t>Převážně mezofil. stanoviště na terénním tlomu ař xerofil. - druhově bohatý porost, nekoseno. Blíže viz škrtací seznam č. 21.</w:t>
            </w:r>
          </w:p>
        </w:tc>
        <w:tc>
          <w:tcPr>
            <w:tcW w:w="685" w:type="dxa"/>
            <w:tcBorders>
              <w:top w:val="single" w:sz="6" w:space="0" w:color="auto"/>
              <w:left w:val="single" w:sz="6" w:space="0" w:color="auto"/>
              <w:bottom w:val="single" w:sz="6" w:space="0" w:color="auto"/>
              <w:right w:val="single" w:sz="6" w:space="0" w:color="auto"/>
            </w:tcBorders>
          </w:tcPr>
          <w:p w14:paraId="53C156BA" w14:textId="77777777" w:rsidR="00E42A45" w:rsidRDefault="00E42A45" w:rsidP="00E42A45">
            <w:pPr>
              <w:pStyle w:val="Zkladntext"/>
              <w:spacing w:after="0" w:line="240" w:lineRule="atLeast"/>
            </w:pPr>
          </w:p>
          <w:p w14:paraId="3B290B6A"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30A7C64A" w14:textId="77777777" w:rsidR="00E42A45" w:rsidRDefault="00E42A45" w:rsidP="00E42A45">
            <w:pPr>
              <w:pStyle w:val="Texttabulky"/>
              <w:spacing w:after="0" w:line="240" w:lineRule="atLeast"/>
            </w:pPr>
            <w:r>
              <w:t xml:space="preserve"> Extenzivní využívání jako TTP..  </w:t>
            </w:r>
          </w:p>
        </w:tc>
      </w:tr>
      <w:tr w:rsidR="00E42A45" w14:paraId="727EAB75" w14:textId="77777777" w:rsidTr="00BB63DF">
        <w:trPr>
          <w:trHeight w:val="1098"/>
        </w:trPr>
        <w:tc>
          <w:tcPr>
            <w:tcW w:w="792" w:type="dxa"/>
            <w:tcBorders>
              <w:top w:val="single" w:sz="6" w:space="0" w:color="auto"/>
              <w:left w:val="single" w:sz="6" w:space="0" w:color="auto"/>
              <w:bottom w:val="single" w:sz="6" w:space="0" w:color="auto"/>
              <w:right w:val="single" w:sz="6" w:space="0" w:color="auto"/>
            </w:tcBorders>
          </w:tcPr>
          <w:p w14:paraId="4766BECA" w14:textId="77777777" w:rsidR="00E42A45" w:rsidRDefault="00E42A45" w:rsidP="00E42A45">
            <w:pPr>
              <w:pStyle w:val="Zkladntext"/>
              <w:spacing w:after="0" w:line="240" w:lineRule="atLeast"/>
            </w:pPr>
          </w:p>
          <w:p w14:paraId="4BB229F1" w14:textId="77777777" w:rsidR="00E42A45" w:rsidRDefault="00E42A45" w:rsidP="00E42A45">
            <w:pPr>
              <w:pStyle w:val="Texttabulky"/>
              <w:spacing w:after="0" w:line="240" w:lineRule="atLeast"/>
            </w:pPr>
            <w:r>
              <w:rPr>
                <w:b/>
                <w:bCs/>
                <w:sz w:val="22"/>
                <w:szCs w:val="22"/>
              </w:rPr>
              <w:t>79</w:t>
            </w:r>
          </w:p>
          <w:p w14:paraId="0CFFE53C"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5009EABD" w14:textId="77777777" w:rsidR="00E42A45" w:rsidRDefault="00E42A45" w:rsidP="00E42A45">
            <w:pPr>
              <w:pStyle w:val="Zkladntext"/>
              <w:spacing w:after="0" w:line="240" w:lineRule="atLeast"/>
            </w:pPr>
          </w:p>
          <w:p w14:paraId="277F3A7D"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56F3A17B" w14:textId="77777777" w:rsidR="00E42A45" w:rsidRDefault="00E42A45" w:rsidP="00E42A45">
            <w:pPr>
              <w:pStyle w:val="Texttabulky"/>
              <w:spacing w:after="0" w:line="240" w:lineRule="atLeast"/>
            </w:pPr>
            <w:r>
              <w:t>Nekosené druhově bohaté TTP na třech lokalitách v okolí H. Oldřichova. Blíže viz škrtací seznam č. 29. Dle informací SCHKO významné botanické lokality.</w:t>
            </w:r>
          </w:p>
        </w:tc>
        <w:tc>
          <w:tcPr>
            <w:tcW w:w="685" w:type="dxa"/>
            <w:tcBorders>
              <w:top w:val="single" w:sz="6" w:space="0" w:color="auto"/>
              <w:left w:val="single" w:sz="6" w:space="0" w:color="auto"/>
              <w:bottom w:val="single" w:sz="6" w:space="0" w:color="auto"/>
              <w:right w:val="single" w:sz="6" w:space="0" w:color="auto"/>
            </w:tcBorders>
          </w:tcPr>
          <w:p w14:paraId="5B86BDE1" w14:textId="77777777" w:rsidR="00E42A45" w:rsidRDefault="00E42A45" w:rsidP="00E42A45">
            <w:pPr>
              <w:pStyle w:val="Zkladntext"/>
              <w:spacing w:after="0" w:line="240" w:lineRule="atLeast"/>
            </w:pPr>
          </w:p>
          <w:p w14:paraId="5B2F448B" w14:textId="77777777" w:rsidR="00E42A45" w:rsidRDefault="00E42A45" w:rsidP="00E42A45">
            <w:pPr>
              <w:pStyle w:val="Texttabulky"/>
              <w:spacing w:after="0" w:line="240" w:lineRule="atLeast"/>
            </w:pPr>
            <w:r>
              <w:rPr>
                <w:sz w:val="18"/>
                <w:szCs w:val="18"/>
              </w:rPr>
              <w:t>3-4</w:t>
            </w:r>
          </w:p>
          <w:p w14:paraId="3F65603D" w14:textId="77777777" w:rsidR="00E42A45" w:rsidRDefault="00E42A45" w:rsidP="00E42A45">
            <w:pPr>
              <w:pStyle w:val="Texttabulky"/>
              <w:spacing w:after="0" w:line="240" w:lineRule="atLeast"/>
            </w:pPr>
            <w:r>
              <w:rPr>
                <w:sz w:val="18"/>
                <w:szCs w:val="18"/>
              </w:rPr>
              <w:t xml:space="preserve"> </w:t>
            </w:r>
          </w:p>
        </w:tc>
        <w:tc>
          <w:tcPr>
            <w:tcW w:w="4041" w:type="dxa"/>
            <w:tcBorders>
              <w:top w:val="single" w:sz="6" w:space="0" w:color="auto"/>
              <w:left w:val="single" w:sz="6" w:space="0" w:color="auto"/>
              <w:bottom w:val="single" w:sz="6" w:space="0" w:color="auto"/>
              <w:right w:val="single" w:sz="6" w:space="0" w:color="auto"/>
            </w:tcBorders>
          </w:tcPr>
          <w:p w14:paraId="2F29D289" w14:textId="77777777" w:rsidR="00E42A45" w:rsidRDefault="00E42A45" w:rsidP="00E42A45">
            <w:pPr>
              <w:pStyle w:val="Texttabulky"/>
              <w:spacing w:after="0" w:line="240" w:lineRule="atLeast"/>
            </w:pPr>
            <w:r>
              <w:t xml:space="preserve"> Extenzivní využívání jako TTP.  </w:t>
            </w:r>
          </w:p>
        </w:tc>
      </w:tr>
      <w:tr w:rsidR="00E42A45" w14:paraId="3431A799" w14:textId="77777777" w:rsidTr="00BB63DF">
        <w:trPr>
          <w:trHeight w:val="887"/>
        </w:trPr>
        <w:tc>
          <w:tcPr>
            <w:tcW w:w="792" w:type="dxa"/>
            <w:tcBorders>
              <w:top w:val="single" w:sz="6" w:space="0" w:color="auto"/>
              <w:left w:val="single" w:sz="6" w:space="0" w:color="auto"/>
              <w:bottom w:val="single" w:sz="6" w:space="0" w:color="auto"/>
              <w:right w:val="single" w:sz="6" w:space="0" w:color="auto"/>
            </w:tcBorders>
          </w:tcPr>
          <w:p w14:paraId="0084919B" w14:textId="77777777" w:rsidR="00E42A45" w:rsidRDefault="00E42A45" w:rsidP="00E42A45">
            <w:pPr>
              <w:pStyle w:val="Zkladntext"/>
              <w:spacing w:after="0" w:line="240" w:lineRule="atLeast"/>
            </w:pPr>
          </w:p>
          <w:p w14:paraId="78D2A293" w14:textId="77777777" w:rsidR="00E42A45" w:rsidRDefault="00E42A45" w:rsidP="00E42A45">
            <w:pPr>
              <w:pStyle w:val="Texttabulky"/>
              <w:spacing w:after="0" w:line="240" w:lineRule="atLeast"/>
            </w:pPr>
            <w:r>
              <w:rPr>
                <w:b/>
                <w:bCs/>
                <w:sz w:val="22"/>
                <w:szCs w:val="22"/>
              </w:rPr>
              <w:t>80</w:t>
            </w:r>
          </w:p>
          <w:p w14:paraId="43B3D53E"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650889DB" w14:textId="77777777" w:rsidR="00E42A45" w:rsidRDefault="00E42A45" w:rsidP="00E42A45">
            <w:pPr>
              <w:pStyle w:val="Zkladntext"/>
              <w:spacing w:after="0" w:line="240" w:lineRule="atLeast"/>
            </w:pPr>
          </w:p>
          <w:p w14:paraId="139D8AB3"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1DDEBD56" w14:textId="77777777" w:rsidR="00E42A45" w:rsidRDefault="00E42A45" w:rsidP="00E42A45">
            <w:pPr>
              <w:pStyle w:val="Texttabulky"/>
              <w:spacing w:after="0" w:line="240" w:lineRule="atLeast"/>
            </w:pPr>
            <w:r>
              <w:t>Dvě mezofilní louky s  vlhčími stanovišti. Blíže viz škrtací seznam č. 30. Dle informací SCHKO významné botanické lokality.</w:t>
            </w:r>
          </w:p>
        </w:tc>
        <w:tc>
          <w:tcPr>
            <w:tcW w:w="685" w:type="dxa"/>
            <w:tcBorders>
              <w:top w:val="single" w:sz="6" w:space="0" w:color="auto"/>
              <w:left w:val="single" w:sz="6" w:space="0" w:color="auto"/>
              <w:bottom w:val="single" w:sz="6" w:space="0" w:color="auto"/>
              <w:right w:val="single" w:sz="6" w:space="0" w:color="auto"/>
            </w:tcBorders>
          </w:tcPr>
          <w:p w14:paraId="05124A96" w14:textId="77777777" w:rsidR="00E42A45" w:rsidRDefault="00E42A45" w:rsidP="00E42A45">
            <w:pPr>
              <w:pStyle w:val="Zkladntext"/>
              <w:spacing w:after="0" w:line="240" w:lineRule="atLeast"/>
            </w:pPr>
          </w:p>
          <w:p w14:paraId="29C414C4"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625D667D" w14:textId="77777777" w:rsidR="00E42A45" w:rsidRDefault="00E42A45" w:rsidP="00E42A45">
            <w:pPr>
              <w:pStyle w:val="Texttabulky"/>
              <w:spacing w:after="0" w:line="240" w:lineRule="atLeast"/>
            </w:pPr>
            <w:r>
              <w:t xml:space="preserve"> Extenzivní využívání jako TTP.  </w:t>
            </w:r>
          </w:p>
        </w:tc>
      </w:tr>
      <w:tr w:rsidR="00E42A45" w14:paraId="0121DA81"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6FF7586B" w14:textId="77777777" w:rsidR="00E42A45" w:rsidRDefault="00E42A45" w:rsidP="00E42A45">
            <w:pPr>
              <w:pStyle w:val="Zkladntext"/>
              <w:spacing w:after="0" w:line="240" w:lineRule="atLeast"/>
            </w:pPr>
          </w:p>
          <w:p w14:paraId="7F07F7C7" w14:textId="77777777" w:rsidR="00E42A45" w:rsidRDefault="00E42A45" w:rsidP="00E42A45">
            <w:pPr>
              <w:pStyle w:val="Texttabulky"/>
              <w:spacing w:after="0" w:line="240" w:lineRule="atLeast"/>
            </w:pPr>
            <w:r>
              <w:rPr>
                <w:b/>
                <w:bCs/>
                <w:sz w:val="22"/>
                <w:szCs w:val="22"/>
              </w:rPr>
              <w:t>81</w:t>
            </w:r>
          </w:p>
          <w:p w14:paraId="6FB997AF"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3DFD014C" w14:textId="77777777" w:rsidR="00E42A45" w:rsidRDefault="00E42A45" w:rsidP="00E42A45">
            <w:pPr>
              <w:pStyle w:val="Zkladntext"/>
              <w:spacing w:after="0" w:line="240" w:lineRule="atLeast"/>
            </w:pPr>
          </w:p>
          <w:p w14:paraId="2E2789AA" w14:textId="77777777" w:rsidR="00E42A45" w:rsidRDefault="00E42A45" w:rsidP="00E42A45">
            <w:pPr>
              <w:pStyle w:val="Texttabulky"/>
              <w:spacing w:after="0" w:line="240" w:lineRule="atLeast"/>
            </w:pPr>
            <w:r>
              <w:rPr>
                <w:sz w:val="18"/>
                <w:szCs w:val="18"/>
              </w:rPr>
              <w:t>SF</w:t>
            </w:r>
          </w:p>
        </w:tc>
        <w:tc>
          <w:tcPr>
            <w:tcW w:w="3217" w:type="dxa"/>
            <w:tcBorders>
              <w:top w:val="single" w:sz="6" w:space="0" w:color="auto"/>
              <w:left w:val="single" w:sz="6" w:space="0" w:color="auto"/>
              <w:bottom w:val="single" w:sz="6" w:space="0" w:color="auto"/>
              <w:right w:val="single" w:sz="6" w:space="0" w:color="auto"/>
            </w:tcBorders>
          </w:tcPr>
          <w:p w14:paraId="3DD91C6B" w14:textId="77777777" w:rsidR="00E42A45" w:rsidRDefault="00E42A45" w:rsidP="00E42A45">
            <w:pPr>
              <w:pStyle w:val="Texttabulky"/>
              <w:spacing w:after="0" w:line="240" w:lineRule="atLeast"/>
            </w:pPr>
            <w:r>
              <w:t>Nekosené TTP s  vysokým obsahem kostřavy červené, druhově chudší. Blíže viz škrtací seznam č. 31.</w:t>
            </w:r>
          </w:p>
        </w:tc>
        <w:tc>
          <w:tcPr>
            <w:tcW w:w="685" w:type="dxa"/>
            <w:tcBorders>
              <w:top w:val="single" w:sz="6" w:space="0" w:color="auto"/>
              <w:left w:val="single" w:sz="6" w:space="0" w:color="auto"/>
              <w:bottom w:val="single" w:sz="6" w:space="0" w:color="auto"/>
              <w:right w:val="single" w:sz="6" w:space="0" w:color="auto"/>
            </w:tcBorders>
          </w:tcPr>
          <w:p w14:paraId="4D2410A8" w14:textId="77777777" w:rsidR="00E42A45" w:rsidRDefault="00E42A45" w:rsidP="00E42A45">
            <w:pPr>
              <w:pStyle w:val="Zkladntext"/>
              <w:spacing w:after="0" w:line="240" w:lineRule="atLeast"/>
            </w:pPr>
          </w:p>
          <w:p w14:paraId="7B9FEA6C" w14:textId="77777777" w:rsidR="00E42A45" w:rsidRDefault="00E42A45" w:rsidP="00E42A45">
            <w:pPr>
              <w:pStyle w:val="Texttabulky"/>
              <w:spacing w:after="0" w:line="240" w:lineRule="atLeast"/>
            </w:pPr>
            <w:r>
              <w:rPr>
                <w:sz w:val="18"/>
                <w:szCs w:val="18"/>
              </w:rPr>
              <w:t>2-3</w:t>
            </w:r>
          </w:p>
        </w:tc>
        <w:tc>
          <w:tcPr>
            <w:tcW w:w="4041" w:type="dxa"/>
            <w:tcBorders>
              <w:top w:val="single" w:sz="6" w:space="0" w:color="auto"/>
              <w:left w:val="single" w:sz="6" w:space="0" w:color="auto"/>
              <w:bottom w:val="single" w:sz="6" w:space="0" w:color="auto"/>
              <w:right w:val="single" w:sz="6" w:space="0" w:color="auto"/>
            </w:tcBorders>
          </w:tcPr>
          <w:p w14:paraId="40F138EE" w14:textId="77777777" w:rsidR="00E42A45" w:rsidRDefault="00E42A45" w:rsidP="00E42A45">
            <w:pPr>
              <w:pStyle w:val="Texttabulky"/>
              <w:spacing w:after="0" w:line="240" w:lineRule="atLeast"/>
            </w:pPr>
            <w:r>
              <w:t>Management ve smyslu zvýšení druh. diversity porostu.</w:t>
            </w:r>
          </w:p>
        </w:tc>
      </w:tr>
      <w:tr w:rsidR="00E42A45" w14:paraId="2E880C43" w14:textId="77777777" w:rsidTr="00BB63DF">
        <w:trPr>
          <w:trHeight w:val="665"/>
        </w:trPr>
        <w:tc>
          <w:tcPr>
            <w:tcW w:w="792" w:type="dxa"/>
            <w:tcBorders>
              <w:top w:val="single" w:sz="6" w:space="0" w:color="auto"/>
              <w:left w:val="single" w:sz="6" w:space="0" w:color="auto"/>
              <w:bottom w:val="single" w:sz="6" w:space="0" w:color="auto"/>
              <w:right w:val="single" w:sz="6" w:space="0" w:color="auto"/>
            </w:tcBorders>
          </w:tcPr>
          <w:p w14:paraId="0AC84AC0" w14:textId="77777777" w:rsidR="00E42A45" w:rsidRDefault="00E42A45" w:rsidP="00E42A45">
            <w:pPr>
              <w:pStyle w:val="Zkladntext"/>
              <w:spacing w:after="0" w:line="240" w:lineRule="atLeast"/>
            </w:pPr>
          </w:p>
          <w:p w14:paraId="40E870F5" w14:textId="77777777" w:rsidR="00E42A45" w:rsidRDefault="00E42A45" w:rsidP="00E42A45">
            <w:pPr>
              <w:pStyle w:val="Texttabulky"/>
              <w:spacing w:after="0" w:line="240" w:lineRule="atLeast"/>
            </w:pPr>
            <w:r>
              <w:rPr>
                <w:b/>
                <w:bCs/>
                <w:sz w:val="22"/>
                <w:szCs w:val="22"/>
              </w:rPr>
              <w:t>83</w:t>
            </w:r>
          </w:p>
          <w:p w14:paraId="304237BE"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77612FD0" w14:textId="77777777" w:rsidR="00E42A45" w:rsidRDefault="00E42A45" w:rsidP="00E42A45">
            <w:pPr>
              <w:pStyle w:val="Zkladntext"/>
              <w:spacing w:after="0" w:line="240" w:lineRule="atLeast"/>
            </w:pPr>
          </w:p>
          <w:p w14:paraId="66743CD1"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144DFA51" w14:textId="77777777" w:rsidR="00E42A45" w:rsidRDefault="00E42A45" w:rsidP="00E42A45">
            <w:pPr>
              <w:pStyle w:val="Texttabulky"/>
              <w:spacing w:after="0" w:line="240" w:lineRule="atLeast"/>
            </w:pPr>
            <w:r>
              <w:t>V současnosti nekosené travní porosty a zahrádkářská osada. Blíže viz škrtací seznam č. 33.</w:t>
            </w:r>
          </w:p>
        </w:tc>
        <w:tc>
          <w:tcPr>
            <w:tcW w:w="685" w:type="dxa"/>
            <w:tcBorders>
              <w:top w:val="single" w:sz="6" w:space="0" w:color="auto"/>
              <w:left w:val="single" w:sz="6" w:space="0" w:color="auto"/>
              <w:bottom w:val="single" w:sz="6" w:space="0" w:color="auto"/>
              <w:right w:val="single" w:sz="6" w:space="0" w:color="auto"/>
            </w:tcBorders>
          </w:tcPr>
          <w:p w14:paraId="0E88A77B" w14:textId="77777777" w:rsidR="00E42A45" w:rsidRDefault="00E42A45" w:rsidP="00E42A45">
            <w:pPr>
              <w:pStyle w:val="Zkladntext"/>
              <w:spacing w:after="0" w:line="240" w:lineRule="atLeast"/>
            </w:pPr>
          </w:p>
          <w:p w14:paraId="2B8DDA0C"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7BF2D952" w14:textId="77777777" w:rsidR="00E42A45" w:rsidRDefault="00E42A45" w:rsidP="00E42A45">
            <w:pPr>
              <w:pStyle w:val="Texttabulky"/>
              <w:spacing w:after="0" w:line="240" w:lineRule="atLeast"/>
            </w:pPr>
            <w:r>
              <w:t xml:space="preserve"> Zahrádkářská osada.</w:t>
            </w:r>
          </w:p>
        </w:tc>
      </w:tr>
      <w:tr w:rsidR="00E42A45" w14:paraId="7C69FBF4"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344B285A" w14:textId="77777777" w:rsidR="00E42A45" w:rsidRDefault="00E42A45" w:rsidP="00E42A45">
            <w:pPr>
              <w:pStyle w:val="Zkladntext"/>
              <w:spacing w:after="0" w:line="240" w:lineRule="atLeast"/>
            </w:pPr>
          </w:p>
          <w:p w14:paraId="4257DF82" w14:textId="77777777" w:rsidR="00E42A45" w:rsidRDefault="00E42A45" w:rsidP="00E42A45">
            <w:pPr>
              <w:pStyle w:val="Texttabulky"/>
              <w:spacing w:after="0" w:line="240" w:lineRule="atLeast"/>
            </w:pPr>
            <w:r>
              <w:rPr>
                <w:b/>
                <w:bCs/>
                <w:sz w:val="22"/>
                <w:szCs w:val="22"/>
              </w:rPr>
              <w:t>85</w:t>
            </w:r>
          </w:p>
          <w:p w14:paraId="40265DC3"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1AE7CC05" w14:textId="77777777" w:rsidR="00E42A45" w:rsidRDefault="00E42A45" w:rsidP="00E42A45">
            <w:pPr>
              <w:pStyle w:val="Zkladntext"/>
              <w:spacing w:after="0" w:line="240" w:lineRule="atLeast"/>
            </w:pPr>
          </w:p>
          <w:p w14:paraId="498AAEE9"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68650B57" w14:textId="77777777" w:rsidR="00E42A45" w:rsidRDefault="00E42A45" w:rsidP="00E42A45">
            <w:pPr>
              <w:pStyle w:val="Texttabulky"/>
              <w:spacing w:after="0" w:line="240" w:lineRule="atLeast"/>
            </w:pPr>
            <w:r>
              <w:t>Druhově poměrně bohatý, kosený porost louky v obci Bělá. Blíže viz škrtací seznam č. 35.</w:t>
            </w:r>
          </w:p>
        </w:tc>
        <w:tc>
          <w:tcPr>
            <w:tcW w:w="685" w:type="dxa"/>
            <w:tcBorders>
              <w:top w:val="single" w:sz="6" w:space="0" w:color="auto"/>
              <w:left w:val="single" w:sz="6" w:space="0" w:color="auto"/>
              <w:bottom w:val="single" w:sz="6" w:space="0" w:color="auto"/>
              <w:right w:val="single" w:sz="6" w:space="0" w:color="auto"/>
            </w:tcBorders>
          </w:tcPr>
          <w:p w14:paraId="0770FBA0" w14:textId="77777777" w:rsidR="00E42A45" w:rsidRDefault="00E42A45" w:rsidP="00E42A45">
            <w:pPr>
              <w:pStyle w:val="Zkladntext"/>
              <w:spacing w:after="0" w:line="240" w:lineRule="atLeast"/>
            </w:pPr>
          </w:p>
          <w:p w14:paraId="1471D5A3" w14:textId="77777777" w:rsidR="00E42A45" w:rsidRDefault="00E42A45" w:rsidP="00E42A45">
            <w:pPr>
              <w:pStyle w:val="Texttabulky"/>
              <w:spacing w:after="0" w:line="240" w:lineRule="atLeast"/>
            </w:pPr>
            <w:r>
              <w:rPr>
                <w:sz w:val="18"/>
                <w:szCs w:val="18"/>
              </w:rPr>
              <w:t>3</w:t>
            </w:r>
          </w:p>
        </w:tc>
        <w:tc>
          <w:tcPr>
            <w:tcW w:w="4041" w:type="dxa"/>
            <w:tcBorders>
              <w:top w:val="single" w:sz="6" w:space="0" w:color="auto"/>
              <w:left w:val="single" w:sz="6" w:space="0" w:color="auto"/>
              <w:bottom w:val="single" w:sz="6" w:space="0" w:color="auto"/>
              <w:right w:val="single" w:sz="6" w:space="0" w:color="auto"/>
            </w:tcBorders>
          </w:tcPr>
          <w:p w14:paraId="6E1D7DA4" w14:textId="77777777" w:rsidR="00E42A45" w:rsidRDefault="00E42A45" w:rsidP="00E42A45">
            <w:pPr>
              <w:pStyle w:val="Texttabulky"/>
              <w:spacing w:after="0" w:line="240" w:lineRule="atLeast"/>
            </w:pPr>
            <w:r>
              <w:t xml:space="preserve"> Extenzivní využívání jako TTP.  </w:t>
            </w:r>
          </w:p>
        </w:tc>
      </w:tr>
      <w:tr w:rsidR="00E42A45" w14:paraId="76F5E398" w14:textId="77777777" w:rsidTr="00BB63DF">
        <w:trPr>
          <w:trHeight w:val="887"/>
        </w:trPr>
        <w:tc>
          <w:tcPr>
            <w:tcW w:w="792" w:type="dxa"/>
            <w:tcBorders>
              <w:top w:val="single" w:sz="6" w:space="0" w:color="auto"/>
              <w:left w:val="single" w:sz="6" w:space="0" w:color="auto"/>
              <w:bottom w:val="single" w:sz="6" w:space="0" w:color="auto"/>
              <w:right w:val="single" w:sz="6" w:space="0" w:color="auto"/>
            </w:tcBorders>
          </w:tcPr>
          <w:p w14:paraId="08F3B7C1" w14:textId="77777777" w:rsidR="00E42A45" w:rsidRDefault="00E42A45" w:rsidP="00E42A45">
            <w:pPr>
              <w:pStyle w:val="Zkladntext"/>
              <w:spacing w:after="0" w:line="240" w:lineRule="atLeast"/>
            </w:pPr>
          </w:p>
          <w:p w14:paraId="08DD2130" w14:textId="77777777" w:rsidR="00E42A45" w:rsidRDefault="00E42A45" w:rsidP="00E42A45">
            <w:pPr>
              <w:pStyle w:val="Texttabulky"/>
              <w:spacing w:after="0" w:line="240" w:lineRule="atLeast"/>
            </w:pPr>
            <w:r>
              <w:rPr>
                <w:b/>
                <w:bCs/>
                <w:sz w:val="22"/>
                <w:szCs w:val="22"/>
              </w:rPr>
              <w:t>88</w:t>
            </w:r>
          </w:p>
          <w:p w14:paraId="264ED926"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39ED4ED0" w14:textId="77777777" w:rsidR="00E42A45" w:rsidRDefault="00E42A45" w:rsidP="00E42A45">
            <w:pPr>
              <w:pStyle w:val="Zkladntext"/>
              <w:spacing w:after="0" w:line="240" w:lineRule="atLeast"/>
            </w:pPr>
          </w:p>
          <w:p w14:paraId="5FF54A64"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6033CD72" w14:textId="77777777" w:rsidR="00E42A45" w:rsidRDefault="00E42A45" w:rsidP="00E42A45">
            <w:pPr>
              <w:pStyle w:val="Texttabulky"/>
              <w:spacing w:after="0" w:line="240" w:lineRule="atLeast"/>
            </w:pPr>
            <w:r>
              <w:t>Druhově bohaté porosty s  náletem dřevin, na kontaktu s  intravilánem porosty ruderalizovány. Blíže viz škrtací seznam č. 38.</w:t>
            </w:r>
          </w:p>
        </w:tc>
        <w:tc>
          <w:tcPr>
            <w:tcW w:w="685" w:type="dxa"/>
            <w:tcBorders>
              <w:top w:val="single" w:sz="6" w:space="0" w:color="auto"/>
              <w:left w:val="single" w:sz="6" w:space="0" w:color="auto"/>
              <w:bottom w:val="single" w:sz="6" w:space="0" w:color="auto"/>
              <w:right w:val="single" w:sz="6" w:space="0" w:color="auto"/>
            </w:tcBorders>
          </w:tcPr>
          <w:p w14:paraId="3E5D7691" w14:textId="77777777" w:rsidR="00E42A45" w:rsidRDefault="00E42A45" w:rsidP="00E42A45">
            <w:pPr>
              <w:pStyle w:val="Zkladntext"/>
              <w:spacing w:after="0" w:line="240" w:lineRule="atLeast"/>
            </w:pPr>
          </w:p>
          <w:p w14:paraId="229A5E96" w14:textId="77777777" w:rsidR="00E42A45" w:rsidRDefault="00E42A45" w:rsidP="00E42A45">
            <w:pPr>
              <w:pStyle w:val="Texttabulky"/>
              <w:spacing w:after="0" w:line="240" w:lineRule="atLeast"/>
            </w:pPr>
            <w:r>
              <w:rPr>
                <w:sz w:val="18"/>
                <w:szCs w:val="18"/>
              </w:rPr>
              <w:t>4</w:t>
            </w:r>
          </w:p>
        </w:tc>
        <w:tc>
          <w:tcPr>
            <w:tcW w:w="4041" w:type="dxa"/>
            <w:tcBorders>
              <w:top w:val="single" w:sz="6" w:space="0" w:color="auto"/>
              <w:left w:val="single" w:sz="6" w:space="0" w:color="auto"/>
              <w:bottom w:val="single" w:sz="6" w:space="0" w:color="auto"/>
              <w:right w:val="single" w:sz="6" w:space="0" w:color="auto"/>
            </w:tcBorders>
          </w:tcPr>
          <w:p w14:paraId="172B6607" w14:textId="77777777" w:rsidR="00E42A45" w:rsidRDefault="00E42A45" w:rsidP="00E42A45">
            <w:pPr>
              <w:pStyle w:val="Texttabulky"/>
              <w:spacing w:after="0" w:line="240" w:lineRule="atLeast"/>
            </w:pPr>
            <w:r>
              <w:t xml:space="preserve"> Extenzivní využívání jako TTP.  </w:t>
            </w:r>
          </w:p>
        </w:tc>
      </w:tr>
      <w:tr w:rsidR="00E42A45" w14:paraId="72DFBA28"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5229423E" w14:textId="77777777" w:rsidR="00E42A45" w:rsidRDefault="00E42A45" w:rsidP="00E42A45">
            <w:pPr>
              <w:pStyle w:val="Zkladntext"/>
              <w:spacing w:after="0" w:line="240" w:lineRule="atLeast"/>
            </w:pPr>
          </w:p>
          <w:p w14:paraId="13DF2077" w14:textId="77777777" w:rsidR="00E42A45" w:rsidRDefault="00E42A45" w:rsidP="00E42A45">
            <w:pPr>
              <w:pStyle w:val="Texttabulky"/>
              <w:spacing w:after="0" w:line="240" w:lineRule="atLeast"/>
            </w:pPr>
            <w:r>
              <w:rPr>
                <w:b/>
                <w:bCs/>
                <w:sz w:val="22"/>
                <w:szCs w:val="22"/>
              </w:rPr>
              <w:t>89</w:t>
            </w:r>
          </w:p>
          <w:p w14:paraId="71ED23D5"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3184A1D5" w14:textId="77777777" w:rsidR="00E42A45" w:rsidRDefault="00E42A45" w:rsidP="00E42A45">
            <w:pPr>
              <w:pStyle w:val="Zkladntext"/>
              <w:spacing w:after="0" w:line="240" w:lineRule="atLeast"/>
            </w:pPr>
          </w:p>
          <w:p w14:paraId="4841412B"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0A6DF1D4" w14:textId="77777777" w:rsidR="00E42A45" w:rsidRDefault="00E42A45" w:rsidP="00E42A45">
            <w:pPr>
              <w:pStyle w:val="Texttabulky"/>
              <w:spacing w:after="0" w:line="240" w:lineRule="atLeast"/>
            </w:pPr>
            <w:r>
              <w:t>Kosená louka v dolní části, v horní lada, druhově rel. Bohatší porosty. Blíže viz škrtací seznam č. 39.</w:t>
            </w:r>
          </w:p>
        </w:tc>
        <w:tc>
          <w:tcPr>
            <w:tcW w:w="685" w:type="dxa"/>
            <w:tcBorders>
              <w:top w:val="single" w:sz="6" w:space="0" w:color="auto"/>
              <w:left w:val="single" w:sz="6" w:space="0" w:color="auto"/>
              <w:bottom w:val="single" w:sz="6" w:space="0" w:color="auto"/>
              <w:right w:val="single" w:sz="6" w:space="0" w:color="auto"/>
            </w:tcBorders>
          </w:tcPr>
          <w:p w14:paraId="36E31860" w14:textId="77777777" w:rsidR="00E42A45" w:rsidRDefault="00E42A45" w:rsidP="00E42A45">
            <w:pPr>
              <w:pStyle w:val="Zkladntext"/>
              <w:spacing w:after="0" w:line="240" w:lineRule="atLeast"/>
            </w:pPr>
          </w:p>
          <w:p w14:paraId="412AE3DB"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25741F41" w14:textId="77777777" w:rsidR="00E42A45" w:rsidRDefault="00E42A45" w:rsidP="00E42A45">
            <w:pPr>
              <w:pStyle w:val="Texttabulky"/>
              <w:spacing w:after="0" w:line="240" w:lineRule="atLeast"/>
            </w:pPr>
            <w:r>
              <w:t xml:space="preserve"> Extenzivní využívání jako TTP..  </w:t>
            </w:r>
          </w:p>
        </w:tc>
      </w:tr>
      <w:tr w:rsidR="00E42A45" w14:paraId="340C84DE"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0BF57D8E" w14:textId="77777777" w:rsidR="00E42A45" w:rsidRDefault="00E42A45" w:rsidP="00E42A45">
            <w:pPr>
              <w:pStyle w:val="Zkladntext"/>
              <w:spacing w:after="0" w:line="240" w:lineRule="atLeast"/>
            </w:pPr>
          </w:p>
          <w:p w14:paraId="63DE6F26" w14:textId="77777777" w:rsidR="00E42A45" w:rsidRDefault="00E42A45" w:rsidP="00E42A45">
            <w:pPr>
              <w:pStyle w:val="Texttabulky"/>
              <w:spacing w:after="0" w:line="240" w:lineRule="atLeast"/>
            </w:pPr>
            <w:r>
              <w:rPr>
                <w:b/>
                <w:bCs/>
                <w:sz w:val="22"/>
                <w:szCs w:val="22"/>
              </w:rPr>
              <w:t>96</w:t>
            </w:r>
          </w:p>
          <w:p w14:paraId="675AF858"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27F62542" w14:textId="77777777" w:rsidR="00E42A45" w:rsidRDefault="00E42A45" w:rsidP="00E42A45">
            <w:pPr>
              <w:pStyle w:val="Zkladntext"/>
              <w:spacing w:after="0" w:line="240" w:lineRule="atLeast"/>
            </w:pPr>
          </w:p>
          <w:p w14:paraId="29000DEC"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0222F260" w14:textId="77777777" w:rsidR="00E42A45" w:rsidRDefault="00E42A45" w:rsidP="00E42A45">
            <w:pPr>
              <w:pStyle w:val="Texttabulky"/>
              <w:spacing w:after="0" w:line="240" w:lineRule="atLeast"/>
            </w:pPr>
            <w:r>
              <w:t>Dnes intenzivně využívané pastevní porosty, druhově rel. bohaté. Blíže viz škrtací seznam č. 46.</w:t>
            </w:r>
          </w:p>
        </w:tc>
        <w:tc>
          <w:tcPr>
            <w:tcW w:w="685" w:type="dxa"/>
            <w:tcBorders>
              <w:top w:val="single" w:sz="6" w:space="0" w:color="auto"/>
              <w:left w:val="single" w:sz="6" w:space="0" w:color="auto"/>
              <w:bottom w:val="single" w:sz="6" w:space="0" w:color="auto"/>
              <w:right w:val="single" w:sz="6" w:space="0" w:color="auto"/>
            </w:tcBorders>
          </w:tcPr>
          <w:p w14:paraId="11B905F9" w14:textId="77777777" w:rsidR="00E42A45" w:rsidRDefault="00E42A45" w:rsidP="00E42A45">
            <w:pPr>
              <w:pStyle w:val="Zkladntext"/>
              <w:spacing w:after="0" w:line="240" w:lineRule="atLeast"/>
            </w:pPr>
          </w:p>
          <w:p w14:paraId="0226E4AD"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291F6258" w14:textId="77777777" w:rsidR="00E42A45" w:rsidRDefault="00E42A45" w:rsidP="00E42A45">
            <w:pPr>
              <w:pStyle w:val="Texttabulky"/>
              <w:spacing w:after="0" w:line="240" w:lineRule="atLeast"/>
            </w:pPr>
            <w:r>
              <w:t xml:space="preserve"> Extenzivní využívání jako TTP..  </w:t>
            </w:r>
          </w:p>
        </w:tc>
      </w:tr>
      <w:tr w:rsidR="00E42A45" w14:paraId="33F79628"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5F51FA49" w14:textId="77777777" w:rsidR="00E42A45" w:rsidRDefault="00E42A45" w:rsidP="00E42A45">
            <w:pPr>
              <w:pStyle w:val="Zkladntext"/>
              <w:spacing w:after="0" w:line="240" w:lineRule="atLeast"/>
            </w:pPr>
          </w:p>
          <w:p w14:paraId="66FBA0DA" w14:textId="77777777" w:rsidR="00E42A45" w:rsidRDefault="00E42A45" w:rsidP="00E42A45">
            <w:pPr>
              <w:pStyle w:val="Texttabulky"/>
              <w:spacing w:after="0" w:line="240" w:lineRule="atLeast"/>
            </w:pPr>
            <w:r>
              <w:rPr>
                <w:b/>
                <w:bCs/>
                <w:sz w:val="22"/>
                <w:szCs w:val="22"/>
              </w:rPr>
              <w:t>99</w:t>
            </w:r>
          </w:p>
          <w:p w14:paraId="5E56BF55"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40F70E8C" w14:textId="77777777" w:rsidR="00E42A45" w:rsidRDefault="00E42A45" w:rsidP="00E42A45">
            <w:pPr>
              <w:pStyle w:val="Zkladntext"/>
              <w:spacing w:after="0" w:line="240" w:lineRule="atLeast"/>
            </w:pPr>
          </w:p>
          <w:p w14:paraId="60F5F590"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56DA73F2" w14:textId="77777777" w:rsidR="00E42A45" w:rsidRDefault="00E42A45" w:rsidP="00E42A45">
            <w:pPr>
              <w:pStyle w:val="Texttabulky"/>
              <w:spacing w:after="0" w:line="240" w:lineRule="atLeast"/>
            </w:pPr>
            <w:r>
              <w:t xml:space="preserve"> Druhově rel. bohaté TTP. Blíže viz škrtací seznam č. 49.</w:t>
            </w:r>
          </w:p>
        </w:tc>
        <w:tc>
          <w:tcPr>
            <w:tcW w:w="685" w:type="dxa"/>
            <w:tcBorders>
              <w:top w:val="single" w:sz="6" w:space="0" w:color="auto"/>
              <w:left w:val="single" w:sz="6" w:space="0" w:color="auto"/>
              <w:bottom w:val="single" w:sz="6" w:space="0" w:color="auto"/>
              <w:right w:val="single" w:sz="6" w:space="0" w:color="auto"/>
            </w:tcBorders>
          </w:tcPr>
          <w:p w14:paraId="159EF491" w14:textId="77777777" w:rsidR="00E42A45" w:rsidRDefault="00E42A45" w:rsidP="00E42A45">
            <w:pPr>
              <w:pStyle w:val="Zkladntext"/>
              <w:spacing w:after="0" w:line="240" w:lineRule="atLeast"/>
            </w:pPr>
          </w:p>
          <w:p w14:paraId="0E191680"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7380EC56" w14:textId="77777777" w:rsidR="00E42A45" w:rsidRDefault="00E42A45" w:rsidP="00E42A45">
            <w:pPr>
              <w:pStyle w:val="Texttabulky"/>
              <w:spacing w:after="0" w:line="240" w:lineRule="atLeast"/>
            </w:pPr>
            <w:r>
              <w:t xml:space="preserve"> Extenzivní využívání jako TTP..  </w:t>
            </w:r>
          </w:p>
        </w:tc>
      </w:tr>
      <w:tr w:rsidR="00E42A45" w14:paraId="0A399650"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3C483A33" w14:textId="77777777" w:rsidR="00E42A45" w:rsidRDefault="00E42A45" w:rsidP="00E42A45">
            <w:pPr>
              <w:pStyle w:val="Zkladntext"/>
              <w:spacing w:after="0" w:line="240" w:lineRule="atLeast"/>
            </w:pPr>
          </w:p>
          <w:p w14:paraId="39ED7CD0" w14:textId="77777777" w:rsidR="00E42A45" w:rsidRDefault="00E42A45" w:rsidP="00E42A45">
            <w:pPr>
              <w:pStyle w:val="Texttabulky"/>
              <w:spacing w:after="0" w:line="240" w:lineRule="atLeast"/>
            </w:pPr>
            <w:r>
              <w:rPr>
                <w:b/>
                <w:bCs/>
                <w:sz w:val="22"/>
                <w:szCs w:val="22"/>
              </w:rPr>
              <w:t>100</w:t>
            </w:r>
          </w:p>
          <w:p w14:paraId="66D9F993"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53485737" w14:textId="77777777" w:rsidR="00E42A45" w:rsidRDefault="00E42A45" w:rsidP="00E42A45">
            <w:pPr>
              <w:pStyle w:val="Zkladntext"/>
              <w:spacing w:after="0" w:line="240" w:lineRule="atLeast"/>
            </w:pPr>
          </w:p>
          <w:p w14:paraId="1946B884"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49216A22" w14:textId="77777777" w:rsidR="00E42A45" w:rsidRDefault="00E42A45" w:rsidP="00E42A45">
            <w:pPr>
              <w:pStyle w:val="Texttabulky"/>
              <w:spacing w:after="0" w:line="240" w:lineRule="atLeast"/>
            </w:pPr>
            <w:r>
              <w:t>Ruder. spol. vlhkomilných druhů, rel. cenný fragment. Blíže viz škrtací seznam č. 50.</w:t>
            </w:r>
          </w:p>
        </w:tc>
        <w:tc>
          <w:tcPr>
            <w:tcW w:w="685" w:type="dxa"/>
            <w:tcBorders>
              <w:top w:val="single" w:sz="6" w:space="0" w:color="auto"/>
              <w:left w:val="single" w:sz="6" w:space="0" w:color="auto"/>
              <w:bottom w:val="single" w:sz="6" w:space="0" w:color="auto"/>
              <w:right w:val="single" w:sz="6" w:space="0" w:color="auto"/>
            </w:tcBorders>
          </w:tcPr>
          <w:p w14:paraId="21F16D73" w14:textId="77777777" w:rsidR="00E42A45" w:rsidRDefault="00E42A45" w:rsidP="00E42A45">
            <w:pPr>
              <w:pStyle w:val="Zkladntext"/>
              <w:spacing w:after="0" w:line="240" w:lineRule="atLeast"/>
            </w:pPr>
          </w:p>
          <w:p w14:paraId="4600991D"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1FFEBA30" w14:textId="77777777" w:rsidR="00E42A45" w:rsidRDefault="00E42A45" w:rsidP="00E42A45">
            <w:pPr>
              <w:pStyle w:val="Texttabulky"/>
              <w:spacing w:after="0" w:line="240" w:lineRule="atLeast"/>
            </w:pPr>
            <w:r>
              <w:t xml:space="preserve"> Extenzivní management lokality.  </w:t>
            </w:r>
          </w:p>
        </w:tc>
      </w:tr>
      <w:tr w:rsidR="00E42A45" w14:paraId="0F86991C"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5E482A7E" w14:textId="77777777" w:rsidR="00E42A45" w:rsidRDefault="00E42A45" w:rsidP="00E42A45">
            <w:pPr>
              <w:pStyle w:val="Zkladntext"/>
              <w:spacing w:after="0" w:line="240" w:lineRule="atLeast"/>
            </w:pPr>
          </w:p>
          <w:p w14:paraId="1192FCCB" w14:textId="77777777" w:rsidR="00E42A45" w:rsidRDefault="00E42A45" w:rsidP="00E42A45">
            <w:pPr>
              <w:pStyle w:val="Texttabulky"/>
              <w:spacing w:after="0" w:line="240" w:lineRule="atLeast"/>
            </w:pPr>
            <w:r>
              <w:rPr>
                <w:b/>
                <w:bCs/>
                <w:sz w:val="22"/>
                <w:szCs w:val="22"/>
              </w:rPr>
              <w:t>101</w:t>
            </w:r>
          </w:p>
          <w:p w14:paraId="4EF8A321"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33970959" w14:textId="77777777" w:rsidR="00E42A45" w:rsidRDefault="00E42A45" w:rsidP="00E42A45">
            <w:pPr>
              <w:pStyle w:val="Zkladntext"/>
              <w:spacing w:after="0" w:line="240" w:lineRule="atLeast"/>
            </w:pPr>
          </w:p>
          <w:p w14:paraId="444E6570"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0E9645D1" w14:textId="77777777" w:rsidR="00E42A45" w:rsidRDefault="00E42A45" w:rsidP="00E42A45">
            <w:pPr>
              <w:pStyle w:val="Texttabulky"/>
              <w:spacing w:after="0" w:line="240" w:lineRule="atLeast"/>
            </w:pPr>
            <w:r>
              <w:t>Úzký pás o malé rozloze s  ruderalizovaným porostem, druhově chudým. Blíže viz škrtací seznam č. 51.</w:t>
            </w:r>
          </w:p>
        </w:tc>
        <w:tc>
          <w:tcPr>
            <w:tcW w:w="685" w:type="dxa"/>
            <w:tcBorders>
              <w:top w:val="single" w:sz="6" w:space="0" w:color="auto"/>
              <w:left w:val="single" w:sz="6" w:space="0" w:color="auto"/>
              <w:bottom w:val="single" w:sz="6" w:space="0" w:color="auto"/>
              <w:right w:val="single" w:sz="6" w:space="0" w:color="auto"/>
            </w:tcBorders>
          </w:tcPr>
          <w:p w14:paraId="36012B62" w14:textId="77777777" w:rsidR="00E42A45" w:rsidRDefault="00E42A45" w:rsidP="00E42A45">
            <w:pPr>
              <w:pStyle w:val="Zkladntext"/>
              <w:spacing w:after="0" w:line="240" w:lineRule="atLeast"/>
            </w:pPr>
          </w:p>
          <w:p w14:paraId="65EA1AE0" w14:textId="77777777" w:rsidR="00E42A45" w:rsidRDefault="00E42A45" w:rsidP="00E42A45">
            <w:pPr>
              <w:pStyle w:val="Texttabulky"/>
              <w:spacing w:after="0" w:line="240" w:lineRule="atLeast"/>
            </w:pPr>
            <w:r>
              <w:rPr>
                <w:sz w:val="18"/>
                <w:szCs w:val="18"/>
              </w:rPr>
              <w:t>3-4</w:t>
            </w:r>
          </w:p>
          <w:p w14:paraId="61160021" w14:textId="77777777" w:rsidR="00E42A45" w:rsidRDefault="00E42A45" w:rsidP="00E42A45">
            <w:pPr>
              <w:pStyle w:val="Texttabulky"/>
              <w:spacing w:after="0" w:line="240" w:lineRule="atLeast"/>
            </w:pPr>
            <w:r>
              <w:rPr>
                <w:sz w:val="18"/>
                <w:szCs w:val="18"/>
              </w:rPr>
              <w:t xml:space="preserve"> </w:t>
            </w:r>
          </w:p>
        </w:tc>
        <w:tc>
          <w:tcPr>
            <w:tcW w:w="4041" w:type="dxa"/>
            <w:tcBorders>
              <w:top w:val="single" w:sz="6" w:space="0" w:color="auto"/>
              <w:left w:val="single" w:sz="6" w:space="0" w:color="auto"/>
              <w:bottom w:val="single" w:sz="6" w:space="0" w:color="auto"/>
              <w:right w:val="single" w:sz="6" w:space="0" w:color="auto"/>
            </w:tcBorders>
          </w:tcPr>
          <w:p w14:paraId="240FDC63" w14:textId="77777777" w:rsidR="00E42A45" w:rsidRDefault="00E42A45" w:rsidP="00E42A45">
            <w:pPr>
              <w:pStyle w:val="Texttabulky"/>
              <w:spacing w:after="0" w:line="240" w:lineRule="atLeast"/>
            </w:pPr>
            <w:r>
              <w:t xml:space="preserve"> Management zaměřený na zvýšení druh. diverzity..  </w:t>
            </w:r>
          </w:p>
        </w:tc>
      </w:tr>
      <w:tr w:rsidR="00E42A45" w14:paraId="41D543A6"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39AC842A" w14:textId="77777777" w:rsidR="00E42A45" w:rsidRDefault="00E42A45" w:rsidP="00E42A45">
            <w:pPr>
              <w:pStyle w:val="Zkladntext"/>
              <w:spacing w:after="0" w:line="240" w:lineRule="atLeast"/>
            </w:pPr>
          </w:p>
          <w:p w14:paraId="2A57138E" w14:textId="77777777" w:rsidR="00E42A45" w:rsidRDefault="00E42A45" w:rsidP="00E42A45">
            <w:pPr>
              <w:pStyle w:val="Texttabulky"/>
              <w:spacing w:after="0" w:line="240" w:lineRule="atLeast"/>
            </w:pPr>
            <w:r>
              <w:rPr>
                <w:b/>
                <w:bCs/>
                <w:sz w:val="22"/>
                <w:szCs w:val="22"/>
              </w:rPr>
              <w:t>107</w:t>
            </w:r>
          </w:p>
          <w:p w14:paraId="6995EF52"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380B1A98" w14:textId="77777777" w:rsidR="00E42A45" w:rsidRDefault="00E42A45" w:rsidP="00E42A45">
            <w:pPr>
              <w:pStyle w:val="Zkladntext"/>
              <w:spacing w:after="0" w:line="240" w:lineRule="atLeast"/>
            </w:pPr>
          </w:p>
          <w:p w14:paraId="1D081216"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59AA99CD" w14:textId="77777777" w:rsidR="00E42A45" w:rsidRDefault="00E42A45" w:rsidP="00E42A45">
            <w:pPr>
              <w:pStyle w:val="Texttabulky"/>
              <w:spacing w:after="0" w:line="240" w:lineRule="atLeast"/>
            </w:pPr>
            <w:r>
              <w:t>Druhově rel. bohaté TTP. Blíže viz škrtací seznam č. 57.</w:t>
            </w:r>
          </w:p>
        </w:tc>
        <w:tc>
          <w:tcPr>
            <w:tcW w:w="685" w:type="dxa"/>
            <w:tcBorders>
              <w:top w:val="single" w:sz="6" w:space="0" w:color="auto"/>
              <w:left w:val="single" w:sz="6" w:space="0" w:color="auto"/>
              <w:bottom w:val="single" w:sz="6" w:space="0" w:color="auto"/>
              <w:right w:val="single" w:sz="6" w:space="0" w:color="auto"/>
            </w:tcBorders>
          </w:tcPr>
          <w:p w14:paraId="00DB3614" w14:textId="77777777" w:rsidR="00E42A45" w:rsidRDefault="00E42A45" w:rsidP="00E42A45">
            <w:pPr>
              <w:pStyle w:val="Zkladntext"/>
              <w:spacing w:after="0" w:line="240" w:lineRule="atLeast"/>
            </w:pPr>
          </w:p>
          <w:p w14:paraId="74B64041"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0ECBF727" w14:textId="77777777" w:rsidR="00E42A45" w:rsidRDefault="00E42A45" w:rsidP="00E42A45">
            <w:pPr>
              <w:pStyle w:val="Texttabulky"/>
              <w:spacing w:after="0" w:line="240" w:lineRule="atLeast"/>
            </w:pPr>
            <w:r>
              <w:t xml:space="preserve"> Extenzivní využívání jako TTP.  </w:t>
            </w:r>
          </w:p>
        </w:tc>
      </w:tr>
      <w:tr w:rsidR="00E42A45" w14:paraId="141DFB45"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2D90FECA" w14:textId="77777777" w:rsidR="00E42A45" w:rsidRDefault="00E42A45" w:rsidP="00E42A45">
            <w:pPr>
              <w:pStyle w:val="Zkladntext"/>
              <w:spacing w:after="0" w:line="240" w:lineRule="atLeast"/>
            </w:pPr>
          </w:p>
          <w:p w14:paraId="2E8B49CD" w14:textId="77777777" w:rsidR="00E42A45" w:rsidRDefault="00E42A45" w:rsidP="00E42A45">
            <w:pPr>
              <w:pStyle w:val="Texttabulky"/>
              <w:spacing w:after="0" w:line="240" w:lineRule="atLeast"/>
            </w:pPr>
            <w:r>
              <w:rPr>
                <w:b/>
                <w:bCs/>
                <w:sz w:val="22"/>
                <w:szCs w:val="22"/>
              </w:rPr>
              <w:t>108</w:t>
            </w:r>
          </w:p>
          <w:p w14:paraId="309AFCB7"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44DDB7A5" w14:textId="77777777" w:rsidR="00E42A45" w:rsidRDefault="00E42A45" w:rsidP="00E42A45">
            <w:pPr>
              <w:pStyle w:val="Zkladntext"/>
              <w:spacing w:after="0" w:line="240" w:lineRule="atLeast"/>
            </w:pPr>
          </w:p>
          <w:p w14:paraId="08DB1381"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5787F82E" w14:textId="77777777" w:rsidR="00E42A45" w:rsidRDefault="00E42A45" w:rsidP="00E42A45">
            <w:pPr>
              <w:pStyle w:val="Texttabulky"/>
              <w:spacing w:after="0" w:line="240" w:lineRule="atLeast"/>
            </w:pPr>
            <w:r>
              <w:t>Nekosené TTP (travní lada, druhově bohatší. Blíže viz škrtací seznam č. 58.</w:t>
            </w:r>
          </w:p>
        </w:tc>
        <w:tc>
          <w:tcPr>
            <w:tcW w:w="685" w:type="dxa"/>
            <w:tcBorders>
              <w:top w:val="single" w:sz="6" w:space="0" w:color="auto"/>
              <w:left w:val="single" w:sz="6" w:space="0" w:color="auto"/>
              <w:bottom w:val="single" w:sz="6" w:space="0" w:color="auto"/>
              <w:right w:val="single" w:sz="6" w:space="0" w:color="auto"/>
            </w:tcBorders>
          </w:tcPr>
          <w:p w14:paraId="1648DF05" w14:textId="77777777" w:rsidR="00E42A45" w:rsidRDefault="00E42A45" w:rsidP="00E42A45">
            <w:pPr>
              <w:pStyle w:val="Zkladntext"/>
              <w:spacing w:after="0" w:line="240" w:lineRule="atLeast"/>
            </w:pPr>
          </w:p>
          <w:p w14:paraId="04A08249" w14:textId="77777777" w:rsidR="00E42A45" w:rsidRDefault="00E42A45" w:rsidP="00E42A45">
            <w:pPr>
              <w:pStyle w:val="Texttabulky"/>
              <w:spacing w:after="0" w:line="240" w:lineRule="atLeast"/>
            </w:pPr>
            <w:r>
              <w:rPr>
                <w:sz w:val="18"/>
                <w:szCs w:val="18"/>
              </w:rPr>
              <w:t>2-3</w:t>
            </w:r>
          </w:p>
        </w:tc>
        <w:tc>
          <w:tcPr>
            <w:tcW w:w="4041" w:type="dxa"/>
            <w:tcBorders>
              <w:top w:val="single" w:sz="6" w:space="0" w:color="auto"/>
              <w:left w:val="single" w:sz="6" w:space="0" w:color="auto"/>
              <w:bottom w:val="single" w:sz="6" w:space="0" w:color="auto"/>
              <w:right w:val="single" w:sz="6" w:space="0" w:color="auto"/>
            </w:tcBorders>
          </w:tcPr>
          <w:p w14:paraId="1CB2D83A" w14:textId="77777777" w:rsidR="00E42A45" w:rsidRDefault="00E42A45" w:rsidP="00E42A45">
            <w:pPr>
              <w:pStyle w:val="Texttabulky"/>
              <w:spacing w:after="0" w:line="240" w:lineRule="atLeast"/>
            </w:pPr>
            <w:r>
              <w:t xml:space="preserve"> Extenzivní využívání jako TTP.  </w:t>
            </w:r>
          </w:p>
        </w:tc>
      </w:tr>
      <w:tr w:rsidR="00E42A45" w14:paraId="449830C7" w14:textId="77777777" w:rsidTr="00BB63DF">
        <w:trPr>
          <w:trHeight w:val="887"/>
        </w:trPr>
        <w:tc>
          <w:tcPr>
            <w:tcW w:w="792" w:type="dxa"/>
            <w:tcBorders>
              <w:top w:val="single" w:sz="6" w:space="0" w:color="auto"/>
              <w:left w:val="single" w:sz="6" w:space="0" w:color="auto"/>
              <w:bottom w:val="single" w:sz="6" w:space="0" w:color="auto"/>
              <w:right w:val="single" w:sz="6" w:space="0" w:color="auto"/>
            </w:tcBorders>
          </w:tcPr>
          <w:p w14:paraId="5D3D4382" w14:textId="77777777" w:rsidR="00E42A45" w:rsidRDefault="00E42A45" w:rsidP="00E42A45">
            <w:pPr>
              <w:pStyle w:val="Zkladntext"/>
              <w:spacing w:after="0" w:line="240" w:lineRule="atLeast"/>
            </w:pPr>
          </w:p>
          <w:p w14:paraId="1253A9F9" w14:textId="77777777" w:rsidR="00E42A45" w:rsidRDefault="00E42A45" w:rsidP="00E42A45">
            <w:pPr>
              <w:pStyle w:val="Texttabulky"/>
              <w:spacing w:after="0" w:line="240" w:lineRule="atLeast"/>
            </w:pPr>
            <w:r>
              <w:rPr>
                <w:b/>
                <w:bCs/>
                <w:sz w:val="22"/>
                <w:szCs w:val="22"/>
              </w:rPr>
              <w:t>130</w:t>
            </w:r>
          </w:p>
          <w:p w14:paraId="2EAC5D78"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258A9E49" w14:textId="77777777" w:rsidR="00E42A45" w:rsidRDefault="00E42A45" w:rsidP="00E42A45">
            <w:pPr>
              <w:pStyle w:val="Zkladntext"/>
              <w:spacing w:after="0" w:line="240" w:lineRule="atLeast"/>
            </w:pPr>
          </w:p>
          <w:p w14:paraId="51E71A41"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29E7113F" w14:textId="77777777" w:rsidR="00E42A45" w:rsidRDefault="00E42A45" w:rsidP="00E42A45">
            <w:pPr>
              <w:pStyle w:val="Texttabulky"/>
              <w:spacing w:after="0" w:line="240" w:lineRule="atLeast"/>
            </w:pPr>
            <w:r>
              <w:t>Mokřadní lokalita kolem potoka S  od obce Folknáře, s  velkou populací přesličky největší. Blíže viz škrtací seznam č. 80.</w:t>
            </w:r>
          </w:p>
        </w:tc>
        <w:tc>
          <w:tcPr>
            <w:tcW w:w="685" w:type="dxa"/>
            <w:tcBorders>
              <w:top w:val="single" w:sz="6" w:space="0" w:color="auto"/>
              <w:left w:val="single" w:sz="6" w:space="0" w:color="auto"/>
              <w:bottom w:val="single" w:sz="6" w:space="0" w:color="auto"/>
              <w:right w:val="single" w:sz="6" w:space="0" w:color="auto"/>
            </w:tcBorders>
          </w:tcPr>
          <w:p w14:paraId="208D6B5D" w14:textId="77777777" w:rsidR="00E42A45" w:rsidRDefault="00E42A45" w:rsidP="00E42A45">
            <w:pPr>
              <w:pStyle w:val="Zkladntext"/>
              <w:spacing w:after="0" w:line="240" w:lineRule="atLeast"/>
            </w:pPr>
          </w:p>
          <w:p w14:paraId="6C5CA194"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38AF9FF4" w14:textId="77777777" w:rsidR="00E42A45" w:rsidRDefault="00E42A45" w:rsidP="00E42A45">
            <w:pPr>
              <w:pStyle w:val="Texttabulky"/>
              <w:spacing w:after="0" w:line="240" w:lineRule="atLeast"/>
            </w:pPr>
            <w:r>
              <w:t xml:space="preserve"> Extenzivní využívání jako TTP.  </w:t>
            </w:r>
          </w:p>
        </w:tc>
      </w:tr>
      <w:tr w:rsidR="00E42A45" w14:paraId="2A56AE4C" w14:textId="77777777" w:rsidTr="00BB63DF">
        <w:trPr>
          <w:trHeight w:val="876"/>
        </w:trPr>
        <w:tc>
          <w:tcPr>
            <w:tcW w:w="792" w:type="dxa"/>
            <w:tcBorders>
              <w:top w:val="single" w:sz="6" w:space="0" w:color="auto"/>
              <w:left w:val="single" w:sz="6" w:space="0" w:color="auto"/>
              <w:bottom w:val="single" w:sz="6" w:space="0" w:color="auto"/>
              <w:right w:val="single" w:sz="6" w:space="0" w:color="auto"/>
            </w:tcBorders>
          </w:tcPr>
          <w:p w14:paraId="1D9413AB" w14:textId="77777777" w:rsidR="00E42A45" w:rsidRDefault="00E42A45" w:rsidP="00E42A45">
            <w:pPr>
              <w:pStyle w:val="Zkladntext"/>
              <w:spacing w:after="0" w:line="240" w:lineRule="atLeast"/>
            </w:pPr>
          </w:p>
          <w:p w14:paraId="54C344A3" w14:textId="77777777" w:rsidR="00E42A45" w:rsidRDefault="00E42A45" w:rsidP="00E42A45">
            <w:pPr>
              <w:pStyle w:val="Texttabulky"/>
              <w:spacing w:after="0" w:line="240" w:lineRule="atLeast"/>
            </w:pPr>
            <w:r>
              <w:rPr>
                <w:b/>
                <w:bCs/>
                <w:sz w:val="22"/>
                <w:szCs w:val="22"/>
              </w:rPr>
              <w:t>131</w:t>
            </w:r>
          </w:p>
          <w:p w14:paraId="622CFFEC"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7362F159" w14:textId="77777777" w:rsidR="00E42A45" w:rsidRDefault="00E42A45" w:rsidP="00E42A45">
            <w:pPr>
              <w:pStyle w:val="Zkladntext"/>
              <w:spacing w:after="0" w:line="240" w:lineRule="atLeast"/>
            </w:pPr>
          </w:p>
          <w:p w14:paraId="35D1E3C3"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501B7034" w14:textId="77777777" w:rsidR="00E42A45" w:rsidRDefault="00E42A45" w:rsidP="00E42A45">
            <w:pPr>
              <w:pStyle w:val="Texttabulky"/>
              <w:spacing w:after="0" w:line="240" w:lineRule="atLeast"/>
            </w:pPr>
            <w:r>
              <w:t>Hustá soustava mezí, lesních enkláv a starých extenz. sadů nad H. Chlumem. Heterogenní mozaika s  extenz. využ. TTP.</w:t>
            </w:r>
          </w:p>
        </w:tc>
        <w:tc>
          <w:tcPr>
            <w:tcW w:w="685" w:type="dxa"/>
            <w:tcBorders>
              <w:top w:val="single" w:sz="6" w:space="0" w:color="auto"/>
              <w:left w:val="single" w:sz="6" w:space="0" w:color="auto"/>
              <w:bottom w:val="single" w:sz="6" w:space="0" w:color="auto"/>
              <w:right w:val="single" w:sz="6" w:space="0" w:color="auto"/>
            </w:tcBorders>
          </w:tcPr>
          <w:p w14:paraId="47AC55DA" w14:textId="77777777" w:rsidR="00E42A45" w:rsidRDefault="00E42A45" w:rsidP="00E42A45">
            <w:pPr>
              <w:pStyle w:val="Zkladntext"/>
              <w:spacing w:after="0" w:line="240" w:lineRule="atLeast"/>
            </w:pPr>
          </w:p>
          <w:p w14:paraId="396679AB" w14:textId="77777777" w:rsidR="00E42A45" w:rsidRDefault="00E42A45" w:rsidP="00E42A45">
            <w:pPr>
              <w:pStyle w:val="Texttabulky"/>
              <w:spacing w:after="0" w:line="240" w:lineRule="atLeast"/>
            </w:pPr>
            <w:r>
              <w:rPr>
                <w:sz w:val="18"/>
                <w:szCs w:val="18"/>
              </w:rPr>
              <w:t>4</w:t>
            </w:r>
          </w:p>
        </w:tc>
        <w:tc>
          <w:tcPr>
            <w:tcW w:w="4041" w:type="dxa"/>
            <w:tcBorders>
              <w:top w:val="single" w:sz="6" w:space="0" w:color="auto"/>
              <w:left w:val="single" w:sz="6" w:space="0" w:color="auto"/>
              <w:bottom w:val="single" w:sz="6" w:space="0" w:color="auto"/>
              <w:right w:val="single" w:sz="6" w:space="0" w:color="auto"/>
            </w:tcBorders>
          </w:tcPr>
          <w:p w14:paraId="2B56570F" w14:textId="77777777" w:rsidR="00E42A45" w:rsidRDefault="00E42A45" w:rsidP="00E42A45">
            <w:pPr>
              <w:pStyle w:val="Texttabulky"/>
              <w:spacing w:after="0" w:line="240" w:lineRule="atLeast"/>
            </w:pPr>
            <w:r>
              <w:t xml:space="preserve"> Extenzivní management.  </w:t>
            </w:r>
          </w:p>
        </w:tc>
      </w:tr>
      <w:tr w:rsidR="00E42A45" w14:paraId="767EF7E5" w14:textId="77777777" w:rsidTr="00BB63DF">
        <w:trPr>
          <w:trHeight w:val="887"/>
        </w:trPr>
        <w:tc>
          <w:tcPr>
            <w:tcW w:w="792" w:type="dxa"/>
            <w:tcBorders>
              <w:top w:val="single" w:sz="6" w:space="0" w:color="auto"/>
              <w:left w:val="single" w:sz="6" w:space="0" w:color="auto"/>
              <w:bottom w:val="single" w:sz="6" w:space="0" w:color="auto"/>
              <w:right w:val="single" w:sz="6" w:space="0" w:color="auto"/>
            </w:tcBorders>
          </w:tcPr>
          <w:p w14:paraId="5A6956E6" w14:textId="77777777" w:rsidR="00E42A45" w:rsidRDefault="00E42A45" w:rsidP="00E42A45">
            <w:pPr>
              <w:pStyle w:val="Zkladntext"/>
              <w:spacing w:after="0" w:line="240" w:lineRule="atLeast"/>
            </w:pPr>
          </w:p>
          <w:p w14:paraId="1637A5BA" w14:textId="77777777" w:rsidR="00E42A45" w:rsidRDefault="00E42A45" w:rsidP="00E42A45">
            <w:pPr>
              <w:pStyle w:val="Texttabulky"/>
              <w:spacing w:after="0" w:line="240" w:lineRule="atLeast"/>
            </w:pPr>
            <w:r>
              <w:rPr>
                <w:b/>
                <w:bCs/>
                <w:sz w:val="22"/>
                <w:szCs w:val="22"/>
              </w:rPr>
              <w:t>132</w:t>
            </w:r>
          </w:p>
          <w:p w14:paraId="6FDD80D2"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1FA3F798" w14:textId="77777777" w:rsidR="00E42A45" w:rsidRDefault="00E42A45" w:rsidP="00E42A45">
            <w:pPr>
              <w:pStyle w:val="Zkladntext"/>
              <w:spacing w:after="0" w:line="240" w:lineRule="atLeast"/>
            </w:pPr>
          </w:p>
          <w:p w14:paraId="705E4D12"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6CBF96FC" w14:textId="77777777" w:rsidR="00E42A45" w:rsidRDefault="00E42A45" w:rsidP="00E42A45">
            <w:pPr>
              <w:pStyle w:val="Texttabulky"/>
              <w:spacing w:after="0" w:line="240" w:lineRule="atLeast"/>
            </w:pPr>
            <w:r>
              <w:t>Hustá soustava mezí, lesních enkláv a starých extenz. sadů nad H. Chlumem. Heterogenní mozaika s  extenz. využ. TTP.</w:t>
            </w:r>
          </w:p>
        </w:tc>
        <w:tc>
          <w:tcPr>
            <w:tcW w:w="685" w:type="dxa"/>
            <w:tcBorders>
              <w:top w:val="single" w:sz="6" w:space="0" w:color="auto"/>
              <w:left w:val="single" w:sz="6" w:space="0" w:color="auto"/>
              <w:bottom w:val="single" w:sz="6" w:space="0" w:color="auto"/>
              <w:right w:val="single" w:sz="6" w:space="0" w:color="auto"/>
            </w:tcBorders>
          </w:tcPr>
          <w:p w14:paraId="0D102DAC" w14:textId="77777777" w:rsidR="00E42A45" w:rsidRDefault="00E42A45" w:rsidP="00E42A45">
            <w:pPr>
              <w:pStyle w:val="Zkladntext"/>
              <w:spacing w:after="0" w:line="240" w:lineRule="atLeast"/>
            </w:pPr>
          </w:p>
          <w:p w14:paraId="40B4D728" w14:textId="77777777" w:rsidR="00E42A45" w:rsidRDefault="00E42A45" w:rsidP="00E42A45">
            <w:pPr>
              <w:pStyle w:val="Texttabulky"/>
              <w:spacing w:after="0" w:line="240" w:lineRule="atLeast"/>
            </w:pPr>
            <w:r>
              <w:rPr>
                <w:sz w:val="18"/>
                <w:szCs w:val="18"/>
              </w:rPr>
              <w:t>4</w:t>
            </w:r>
          </w:p>
        </w:tc>
        <w:tc>
          <w:tcPr>
            <w:tcW w:w="4041" w:type="dxa"/>
            <w:tcBorders>
              <w:top w:val="single" w:sz="6" w:space="0" w:color="auto"/>
              <w:left w:val="single" w:sz="6" w:space="0" w:color="auto"/>
              <w:bottom w:val="single" w:sz="6" w:space="0" w:color="auto"/>
              <w:right w:val="single" w:sz="6" w:space="0" w:color="auto"/>
            </w:tcBorders>
          </w:tcPr>
          <w:p w14:paraId="74AEF1CB" w14:textId="77777777" w:rsidR="00E42A45" w:rsidRDefault="00E42A45" w:rsidP="00E42A45">
            <w:pPr>
              <w:pStyle w:val="Texttabulky"/>
              <w:spacing w:after="0" w:line="240" w:lineRule="atLeast"/>
            </w:pPr>
            <w:r>
              <w:t xml:space="preserve"> Extenzivní management.  </w:t>
            </w:r>
          </w:p>
        </w:tc>
      </w:tr>
      <w:tr w:rsidR="00E42A45" w14:paraId="530DFA81"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7FF915D5" w14:textId="77777777" w:rsidR="00E42A45" w:rsidRDefault="00E42A45" w:rsidP="00E42A45">
            <w:pPr>
              <w:pStyle w:val="Zkladntext"/>
              <w:spacing w:after="0" w:line="240" w:lineRule="atLeast"/>
            </w:pPr>
          </w:p>
          <w:p w14:paraId="11C78025" w14:textId="77777777" w:rsidR="00E42A45" w:rsidRDefault="00E42A45" w:rsidP="00E42A45">
            <w:pPr>
              <w:pStyle w:val="Texttabulky"/>
              <w:spacing w:after="0" w:line="240" w:lineRule="atLeast"/>
            </w:pPr>
            <w:r>
              <w:rPr>
                <w:b/>
                <w:bCs/>
                <w:sz w:val="22"/>
                <w:szCs w:val="22"/>
              </w:rPr>
              <w:t>133</w:t>
            </w:r>
          </w:p>
          <w:p w14:paraId="2D8BD758"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68D124E1" w14:textId="77777777" w:rsidR="00E42A45" w:rsidRDefault="00E42A45" w:rsidP="00E42A45">
            <w:pPr>
              <w:pStyle w:val="Zkladntext"/>
              <w:spacing w:after="0" w:line="240" w:lineRule="atLeast"/>
            </w:pPr>
          </w:p>
          <w:p w14:paraId="3A80CABE"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79EEB04A" w14:textId="77777777" w:rsidR="00E42A45" w:rsidRDefault="00E42A45" w:rsidP="00E42A45">
            <w:pPr>
              <w:pStyle w:val="Texttabulky"/>
              <w:spacing w:after="0" w:line="240" w:lineRule="atLeast"/>
            </w:pPr>
            <w:r>
              <w:t>Protierozní soustava mezí šikmo po vrstevnicích nad Kr. Studencem.</w:t>
            </w:r>
          </w:p>
        </w:tc>
        <w:tc>
          <w:tcPr>
            <w:tcW w:w="685" w:type="dxa"/>
            <w:tcBorders>
              <w:top w:val="single" w:sz="6" w:space="0" w:color="auto"/>
              <w:left w:val="single" w:sz="6" w:space="0" w:color="auto"/>
              <w:bottom w:val="single" w:sz="6" w:space="0" w:color="auto"/>
              <w:right w:val="single" w:sz="6" w:space="0" w:color="auto"/>
            </w:tcBorders>
          </w:tcPr>
          <w:p w14:paraId="54EDFBD8" w14:textId="77777777" w:rsidR="00E42A45" w:rsidRDefault="00E42A45" w:rsidP="00E42A45">
            <w:pPr>
              <w:pStyle w:val="Zkladntext"/>
              <w:spacing w:after="0" w:line="240" w:lineRule="atLeast"/>
            </w:pPr>
          </w:p>
          <w:p w14:paraId="48E37C23"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5A1E2F6B" w14:textId="77777777" w:rsidR="00E42A45" w:rsidRDefault="00E42A45" w:rsidP="00E42A45">
            <w:pPr>
              <w:pStyle w:val="Texttabulky"/>
              <w:spacing w:after="0" w:line="240" w:lineRule="atLeast"/>
            </w:pPr>
            <w:r>
              <w:t xml:space="preserve"> Extenzivní management.  </w:t>
            </w:r>
          </w:p>
        </w:tc>
      </w:tr>
      <w:tr w:rsidR="00E42A45" w14:paraId="787F1506"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5A501083" w14:textId="77777777" w:rsidR="00E42A45" w:rsidRDefault="00E42A45" w:rsidP="00E42A45">
            <w:pPr>
              <w:pStyle w:val="Zkladntext"/>
              <w:spacing w:after="0" w:line="240" w:lineRule="atLeast"/>
            </w:pPr>
          </w:p>
          <w:p w14:paraId="4C964FC6" w14:textId="77777777" w:rsidR="00E42A45" w:rsidRDefault="00E42A45" w:rsidP="00E42A45">
            <w:pPr>
              <w:pStyle w:val="Texttabulky"/>
              <w:spacing w:after="0" w:line="240" w:lineRule="atLeast"/>
            </w:pPr>
            <w:r>
              <w:rPr>
                <w:b/>
                <w:bCs/>
                <w:sz w:val="22"/>
                <w:szCs w:val="22"/>
              </w:rPr>
              <w:t>134</w:t>
            </w:r>
          </w:p>
          <w:p w14:paraId="3D7F4522"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568BF9E6" w14:textId="77777777" w:rsidR="00E42A45" w:rsidRDefault="00E42A45" w:rsidP="00E42A45">
            <w:pPr>
              <w:pStyle w:val="Zkladntext"/>
              <w:spacing w:after="0" w:line="240" w:lineRule="atLeast"/>
            </w:pPr>
          </w:p>
          <w:p w14:paraId="52FED082"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1491F0E8" w14:textId="77777777" w:rsidR="00E42A45" w:rsidRDefault="00E42A45" w:rsidP="00E42A45">
            <w:pPr>
              <w:pStyle w:val="Texttabulky"/>
              <w:spacing w:after="0" w:line="240" w:lineRule="atLeast"/>
            </w:pPr>
            <w:r>
              <w:t>Dřevinné porosty liniového charakteru podél pramene přítoku Jílovského potoka.</w:t>
            </w:r>
          </w:p>
        </w:tc>
        <w:tc>
          <w:tcPr>
            <w:tcW w:w="685" w:type="dxa"/>
            <w:tcBorders>
              <w:top w:val="single" w:sz="6" w:space="0" w:color="auto"/>
              <w:left w:val="single" w:sz="6" w:space="0" w:color="auto"/>
              <w:bottom w:val="single" w:sz="6" w:space="0" w:color="auto"/>
              <w:right w:val="single" w:sz="6" w:space="0" w:color="auto"/>
            </w:tcBorders>
          </w:tcPr>
          <w:p w14:paraId="3DD3BA6A" w14:textId="77777777" w:rsidR="00E42A45" w:rsidRDefault="00E42A45" w:rsidP="00E42A45">
            <w:pPr>
              <w:pStyle w:val="Zkladntext"/>
              <w:spacing w:after="0" w:line="240" w:lineRule="atLeast"/>
            </w:pPr>
          </w:p>
          <w:p w14:paraId="7EA34EF1" w14:textId="77777777" w:rsidR="00E42A45" w:rsidRDefault="00E42A45" w:rsidP="00E42A45">
            <w:pPr>
              <w:pStyle w:val="Texttabulky"/>
              <w:spacing w:after="0" w:line="240" w:lineRule="atLeast"/>
            </w:pPr>
            <w:r>
              <w:rPr>
                <w:sz w:val="18"/>
                <w:szCs w:val="18"/>
              </w:rPr>
              <w:t>4</w:t>
            </w:r>
          </w:p>
        </w:tc>
        <w:tc>
          <w:tcPr>
            <w:tcW w:w="4041" w:type="dxa"/>
            <w:tcBorders>
              <w:top w:val="single" w:sz="6" w:space="0" w:color="auto"/>
              <w:left w:val="single" w:sz="6" w:space="0" w:color="auto"/>
              <w:bottom w:val="single" w:sz="6" w:space="0" w:color="auto"/>
              <w:right w:val="single" w:sz="6" w:space="0" w:color="auto"/>
            </w:tcBorders>
          </w:tcPr>
          <w:p w14:paraId="5A187CF8" w14:textId="77777777" w:rsidR="00E42A45" w:rsidRDefault="00E42A45" w:rsidP="00E42A45">
            <w:pPr>
              <w:pStyle w:val="Texttabulky"/>
              <w:spacing w:after="0" w:line="240" w:lineRule="atLeast"/>
            </w:pPr>
            <w:r>
              <w:t>Údržba porostů a koryta.</w:t>
            </w:r>
          </w:p>
        </w:tc>
      </w:tr>
      <w:tr w:rsidR="00E42A45" w14:paraId="51727114"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3E568CB4" w14:textId="77777777" w:rsidR="00E42A45" w:rsidRDefault="00E42A45" w:rsidP="00E42A45">
            <w:pPr>
              <w:pStyle w:val="Zkladntext"/>
              <w:spacing w:after="0" w:line="240" w:lineRule="atLeast"/>
            </w:pPr>
          </w:p>
          <w:p w14:paraId="1960A33E" w14:textId="77777777" w:rsidR="00E42A45" w:rsidRDefault="00E42A45" w:rsidP="00E42A45">
            <w:pPr>
              <w:pStyle w:val="Texttabulky"/>
              <w:spacing w:after="0" w:line="240" w:lineRule="atLeast"/>
            </w:pPr>
            <w:r>
              <w:rPr>
                <w:b/>
                <w:bCs/>
                <w:sz w:val="22"/>
                <w:szCs w:val="22"/>
              </w:rPr>
              <w:t>135</w:t>
            </w:r>
          </w:p>
          <w:p w14:paraId="2B6350CD"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1C1F82B2" w14:textId="77777777" w:rsidR="00E42A45" w:rsidRDefault="00E42A45" w:rsidP="00E42A45">
            <w:pPr>
              <w:pStyle w:val="Zkladntext"/>
              <w:spacing w:after="0" w:line="240" w:lineRule="atLeast"/>
            </w:pPr>
          </w:p>
          <w:p w14:paraId="7FE59F4E"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271D7FD4" w14:textId="77777777" w:rsidR="00E42A45" w:rsidRDefault="00E42A45" w:rsidP="00E42A45">
            <w:pPr>
              <w:pStyle w:val="Texttabulky"/>
              <w:spacing w:after="0" w:line="240" w:lineRule="atLeast"/>
            </w:pPr>
            <w:r>
              <w:t>Dřevinné porosty liniového charakteru podél pramene přítoku Jílovského potoka.</w:t>
            </w:r>
          </w:p>
        </w:tc>
        <w:tc>
          <w:tcPr>
            <w:tcW w:w="685" w:type="dxa"/>
            <w:tcBorders>
              <w:top w:val="single" w:sz="6" w:space="0" w:color="auto"/>
              <w:left w:val="single" w:sz="6" w:space="0" w:color="auto"/>
              <w:bottom w:val="single" w:sz="6" w:space="0" w:color="auto"/>
              <w:right w:val="single" w:sz="6" w:space="0" w:color="auto"/>
            </w:tcBorders>
          </w:tcPr>
          <w:p w14:paraId="31BDB1AC" w14:textId="77777777" w:rsidR="00E42A45" w:rsidRDefault="00E42A45" w:rsidP="00E42A45">
            <w:pPr>
              <w:pStyle w:val="Zkladntext"/>
              <w:spacing w:after="0" w:line="240" w:lineRule="atLeast"/>
            </w:pPr>
          </w:p>
          <w:p w14:paraId="5555DC2A" w14:textId="77777777" w:rsidR="00E42A45" w:rsidRDefault="00E42A45" w:rsidP="00E42A45">
            <w:pPr>
              <w:pStyle w:val="Texttabulky"/>
              <w:spacing w:after="0" w:line="240" w:lineRule="atLeast"/>
            </w:pPr>
            <w:r>
              <w:rPr>
                <w:sz w:val="18"/>
                <w:szCs w:val="18"/>
              </w:rPr>
              <w:t>4</w:t>
            </w:r>
          </w:p>
        </w:tc>
        <w:tc>
          <w:tcPr>
            <w:tcW w:w="4041" w:type="dxa"/>
            <w:tcBorders>
              <w:top w:val="single" w:sz="6" w:space="0" w:color="auto"/>
              <w:left w:val="single" w:sz="6" w:space="0" w:color="auto"/>
              <w:bottom w:val="single" w:sz="6" w:space="0" w:color="auto"/>
              <w:right w:val="single" w:sz="6" w:space="0" w:color="auto"/>
            </w:tcBorders>
          </w:tcPr>
          <w:p w14:paraId="59EC1870" w14:textId="77777777" w:rsidR="00E42A45" w:rsidRDefault="00E42A45" w:rsidP="00E42A45">
            <w:pPr>
              <w:pStyle w:val="Texttabulky"/>
              <w:spacing w:after="0" w:line="240" w:lineRule="atLeast"/>
            </w:pPr>
            <w:r>
              <w:t>Údržba porostů a koryta.</w:t>
            </w:r>
          </w:p>
        </w:tc>
      </w:tr>
      <w:tr w:rsidR="00E42A45" w14:paraId="2900380F" w14:textId="77777777" w:rsidTr="00BB63DF">
        <w:trPr>
          <w:trHeight w:val="1098"/>
        </w:trPr>
        <w:tc>
          <w:tcPr>
            <w:tcW w:w="792" w:type="dxa"/>
            <w:tcBorders>
              <w:top w:val="single" w:sz="6" w:space="0" w:color="auto"/>
              <w:left w:val="single" w:sz="6" w:space="0" w:color="auto"/>
              <w:bottom w:val="single" w:sz="6" w:space="0" w:color="auto"/>
              <w:right w:val="single" w:sz="6" w:space="0" w:color="auto"/>
            </w:tcBorders>
          </w:tcPr>
          <w:p w14:paraId="2E68F7CA" w14:textId="77777777" w:rsidR="00E42A45" w:rsidRDefault="00E42A45" w:rsidP="00E42A45">
            <w:pPr>
              <w:pStyle w:val="Zkladntext"/>
              <w:spacing w:after="0" w:line="240" w:lineRule="atLeast"/>
            </w:pPr>
          </w:p>
          <w:p w14:paraId="0BF6CCF7" w14:textId="77777777" w:rsidR="00E42A45" w:rsidRDefault="00E42A45" w:rsidP="00E42A45">
            <w:pPr>
              <w:pStyle w:val="Texttabulky"/>
              <w:spacing w:after="0" w:line="240" w:lineRule="atLeast"/>
            </w:pPr>
            <w:r>
              <w:rPr>
                <w:b/>
                <w:bCs/>
                <w:sz w:val="22"/>
                <w:szCs w:val="22"/>
              </w:rPr>
              <w:t>136</w:t>
            </w:r>
          </w:p>
          <w:p w14:paraId="1621C546"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2899C1FB" w14:textId="77777777" w:rsidR="00E42A45" w:rsidRDefault="00E42A45" w:rsidP="00E42A45">
            <w:pPr>
              <w:pStyle w:val="Zkladntext"/>
              <w:spacing w:after="0" w:line="240" w:lineRule="atLeast"/>
            </w:pPr>
          </w:p>
          <w:p w14:paraId="2DB392D3"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5D147DEB" w14:textId="77777777" w:rsidR="00E42A45" w:rsidRDefault="00E42A45" w:rsidP="00E42A45">
            <w:pPr>
              <w:pStyle w:val="Texttabulky"/>
              <w:spacing w:after="0" w:line="240" w:lineRule="atLeast"/>
            </w:pPr>
            <w:r>
              <w:t>Zazemněný rybník ve výběžku extenz. TTP uvnitř lesního komplexu s  mezními dřev. porosty. Botanicky významná lokalita (např. prstnatec májový, p. osmahlý, aj.)</w:t>
            </w:r>
          </w:p>
        </w:tc>
        <w:tc>
          <w:tcPr>
            <w:tcW w:w="685" w:type="dxa"/>
            <w:tcBorders>
              <w:top w:val="single" w:sz="6" w:space="0" w:color="auto"/>
              <w:left w:val="single" w:sz="6" w:space="0" w:color="auto"/>
              <w:bottom w:val="single" w:sz="6" w:space="0" w:color="auto"/>
              <w:right w:val="single" w:sz="6" w:space="0" w:color="auto"/>
            </w:tcBorders>
          </w:tcPr>
          <w:p w14:paraId="762F9555" w14:textId="77777777" w:rsidR="00E42A45" w:rsidRDefault="00E42A45" w:rsidP="00E42A45">
            <w:pPr>
              <w:pStyle w:val="Zkladntext"/>
              <w:spacing w:after="0" w:line="240" w:lineRule="atLeast"/>
            </w:pPr>
          </w:p>
          <w:p w14:paraId="1A80CC7A"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5A311BB1" w14:textId="77777777" w:rsidR="00E42A45" w:rsidRDefault="00E42A45" w:rsidP="00E42A45">
            <w:pPr>
              <w:pStyle w:val="Texttabulky"/>
              <w:spacing w:after="0" w:line="240" w:lineRule="atLeast"/>
            </w:pPr>
            <w:r>
              <w:t xml:space="preserve"> Extenzivní management lokality.  </w:t>
            </w:r>
          </w:p>
        </w:tc>
      </w:tr>
      <w:tr w:rsidR="00E42A45" w14:paraId="4CB9EC26"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08735A5D" w14:textId="77777777" w:rsidR="00E42A45" w:rsidRDefault="00E42A45" w:rsidP="00E42A45">
            <w:pPr>
              <w:pStyle w:val="Zkladntext"/>
              <w:spacing w:after="0" w:line="240" w:lineRule="atLeast"/>
            </w:pPr>
          </w:p>
          <w:p w14:paraId="4C5E5D21" w14:textId="77777777" w:rsidR="00E42A45" w:rsidRDefault="00E42A45" w:rsidP="00E42A45">
            <w:pPr>
              <w:pStyle w:val="Texttabulky"/>
              <w:spacing w:after="0" w:line="240" w:lineRule="atLeast"/>
            </w:pPr>
            <w:r>
              <w:rPr>
                <w:b/>
                <w:bCs/>
                <w:sz w:val="22"/>
                <w:szCs w:val="22"/>
              </w:rPr>
              <w:t>137</w:t>
            </w:r>
          </w:p>
          <w:p w14:paraId="5B278F6E"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17B66400" w14:textId="77777777" w:rsidR="00E42A45" w:rsidRDefault="00E42A45" w:rsidP="00E42A45">
            <w:pPr>
              <w:pStyle w:val="Zkladntext"/>
              <w:spacing w:after="0" w:line="240" w:lineRule="atLeast"/>
            </w:pPr>
          </w:p>
          <w:p w14:paraId="4B272333"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377E3524" w14:textId="77777777" w:rsidR="00E42A45" w:rsidRDefault="00E42A45" w:rsidP="00E42A45">
            <w:pPr>
              <w:pStyle w:val="Texttabulky"/>
              <w:spacing w:after="0" w:line="240" w:lineRule="atLeast"/>
            </w:pPr>
            <w:r>
              <w:t>Dřevinné porosty liniového charakteru podél pramene přítoku Labe.</w:t>
            </w:r>
          </w:p>
        </w:tc>
        <w:tc>
          <w:tcPr>
            <w:tcW w:w="685" w:type="dxa"/>
            <w:tcBorders>
              <w:top w:val="single" w:sz="6" w:space="0" w:color="auto"/>
              <w:left w:val="single" w:sz="6" w:space="0" w:color="auto"/>
              <w:bottom w:val="single" w:sz="6" w:space="0" w:color="auto"/>
              <w:right w:val="single" w:sz="6" w:space="0" w:color="auto"/>
            </w:tcBorders>
          </w:tcPr>
          <w:p w14:paraId="7FC98934" w14:textId="77777777" w:rsidR="00E42A45" w:rsidRDefault="00E42A45" w:rsidP="00E42A45">
            <w:pPr>
              <w:pStyle w:val="Zkladntext"/>
              <w:spacing w:after="0" w:line="240" w:lineRule="atLeast"/>
            </w:pPr>
          </w:p>
          <w:p w14:paraId="71A19C01" w14:textId="77777777" w:rsidR="00E42A45" w:rsidRDefault="00E42A45" w:rsidP="00E42A45">
            <w:pPr>
              <w:pStyle w:val="Texttabulky"/>
              <w:spacing w:after="0" w:line="240" w:lineRule="atLeast"/>
            </w:pPr>
            <w:r>
              <w:rPr>
                <w:sz w:val="18"/>
                <w:szCs w:val="18"/>
              </w:rPr>
              <w:t>4</w:t>
            </w:r>
          </w:p>
        </w:tc>
        <w:tc>
          <w:tcPr>
            <w:tcW w:w="4041" w:type="dxa"/>
            <w:tcBorders>
              <w:top w:val="single" w:sz="6" w:space="0" w:color="auto"/>
              <w:left w:val="single" w:sz="6" w:space="0" w:color="auto"/>
              <w:bottom w:val="single" w:sz="6" w:space="0" w:color="auto"/>
              <w:right w:val="single" w:sz="6" w:space="0" w:color="auto"/>
            </w:tcBorders>
          </w:tcPr>
          <w:p w14:paraId="5FEAC5FA" w14:textId="77777777" w:rsidR="00E42A45" w:rsidRDefault="00E42A45" w:rsidP="00E42A45">
            <w:pPr>
              <w:pStyle w:val="Texttabulky"/>
              <w:spacing w:after="0" w:line="240" w:lineRule="atLeast"/>
            </w:pPr>
            <w:r>
              <w:t>Údržba porostů a koryta.</w:t>
            </w:r>
          </w:p>
        </w:tc>
      </w:tr>
      <w:tr w:rsidR="00E42A45" w14:paraId="0183D0E3"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13A54FF7" w14:textId="77777777" w:rsidR="00E42A45" w:rsidRDefault="00E42A45" w:rsidP="00E42A45">
            <w:pPr>
              <w:pStyle w:val="Zkladntext"/>
              <w:spacing w:after="0" w:line="240" w:lineRule="atLeast"/>
            </w:pPr>
          </w:p>
          <w:p w14:paraId="47F96842" w14:textId="77777777" w:rsidR="00E42A45" w:rsidRDefault="00E42A45" w:rsidP="00E42A45">
            <w:pPr>
              <w:pStyle w:val="Texttabulky"/>
              <w:spacing w:after="0" w:line="240" w:lineRule="atLeast"/>
            </w:pPr>
            <w:r>
              <w:rPr>
                <w:b/>
                <w:bCs/>
                <w:sz w:val="22"/>
                <w:szCs w:val="22"/>
              </w:rPr>
              <w:t>138</w:t>
            </w:r>
          </w:p>
          <w:p w14:paraId="4621884A"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0F765055" w14:textId="77777777" w:rsidR="00E42A45" w:rsidRDefault="00E42A45" w:rsidP="00E42A45">
            <w:pPr>
              <w:pStyle w:val="Zkladntext"/>
              <w:spacing w:after="0" w:line="240" w:lineRule="atLeast"/>
            </w:pPr>
          </w:p>
          <w:p w14:paraId="48F4915D"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6979775F" w14:textId="77777777" w:rsidR="00E42A45" w:rsidRDefault="00E42A45" w:rsidP="00E42A45">
            <w:pPr>
              <w:pStyle w:val="Texttabulky"/>
              <w:spacing w:after="0" w:line="240" w:lineRule="atLeast"/>
            </w:pPr>
            <w:r>
              <w:t>Široké dřevinné porosty liniového charakteru podél vodního toku ve Folknářích.</w:t>
            </w:r>
          </w:p>
        </w:tc>
        <w:tc>
          <w:tcPr>
            <w:tcW w:w="685" w:type="dxa"/>
            <w:tcBorders>
              <w:top w:val="single" w:sz="6" w:space="0" w:color="auto"/>
              <w:left w:val="single" w:sz="6" w:space="0" w:color="auto"/>
              <w:bottom w:val="single" w:sz="6" w:space="0" w:color="auto"/>
              <w:right w:val="single" w:sz="6" w:space="0" w:color="auto"/>
            </w:tcBorders>
          </w:tcPr>
          <w:p w14:paraId="73E56880" w14:textId="77777777" w:rsidR="00E42A45" w:rsidRDefault="00E42A45" w:rsidP="00E42A45">
            <w:pPr>
              <w:pStyle w:val="Zkladntext"/>
              <w:spacing w:after="0" w:line="240" w:lineRule="atLeast"/>
            </w:pPr>
          </w:p>
          <w:p w14:paraId="42E6F368" w14:textId="77777777" w:rsidR="00E42A45" w:rsidRDefault="00E42A45" w:rsidP="00E42A45">
            <w:pPr>
              <w:pStyle w:val="Texttabulky"/>
              <w:spacing w:after="0" w:line="240" w:lineRule="atLeast"/>
            </w:pPr>
            <w:r>
              <w:rPr>
                <w:sz w:val="18"/>
                <w:szCs w:val="18"/>
              </w:rPr>
              <w:t>4</w:t>
            </w:r>
          </w:p>
        </w:tc>
        <w:tc>
          <w:tcPr>
            <w:tcW w:w="4041" w:type="dxa"/>
            <w:tcBorders>
              <w:top w:val="single" w:sz="6" w:space="0" w:color="auto"/>
              <w:left w:val="single" w:sz="6" w:space="0" w:color="auto"/>
              <w:bottom w:val="single" w:sz="6" w:space="0" w:color="auto"/>
              <w:right w:val="single" w:sz="6" w:space="0" w:color="auto"/>
            </w:tcBorders>
          </w:tcPr>
          <w:p w14:paraId="3114AED4" w14:textId="77777777" w:rsidR="00E42A45" w:rsidRDefault="00E42A45" w:rsidP="00E42A45">
            <w:pPr>
              <w:pStyle w:val="Texttabulky"/>
              <w:spacing w:after="0" w:line="240" w:lineRule="atLeast"/>
            </w:pPr>
            <w:r>
              <w:t>Údržba porostů a koryta.</w:t>
            </w:r>
          </w:p>
        </w:tc>
      </w:tr>
      <w:tr w:rsidR="00E42A45" w14:paraId="4C866592" w14:textId="77777777" w:rsidTr="00BB63DF">
        <w:trPr>
          <w:trHeight w:val="887"/>
        </w:trPr>
        <w:tc>
          <w:tcPr>
            <w:tcW w:w="792" w:type="dxa"/>
            <w:tcBorders>
              <w:top w:val="single" w:sz="6" w:space="0" w:color="auto"/>
              <w:left w:val="single" w:sz="6" w:space="0" w:color="auto"/>
              <w:bottom w:val="single" w:sz="6" w:space="0" w:color="auto"/>
              <w:right w:val="single" w:sz="6" w:space="0" w:color="auto"/>
            </w:tcBorders>
          </w:tcPr>
          <w:p w14:paraId="38F14E16" w14:textId="77777777" w:rsidR="00E42A45" w:rsidRDefault="00E42A45" w:rsidP="00E42A45">
            <w:pPr>
              <w:pStyle w:val="Zkladntext"/>
              <w:spacing w:after="0" w:line="240" w:lineRule="atLeast"/>
            </w:pPr>
          </w:p>
          <w:p w14:paraId="1C4D6F9F" w14:textId="77777777" w:rsidR="00E42A45" w:rsidRDefault="00E42A45" w:rsidP="00E42A45">
            <w:pPr>
              <w:pStyle w:val="Texttabulky"/>
              <w:spacing w:after="0" w:line="240" w:lineRule="atLeast"/>
            </w:pPr>
            <w:r>
              <w:rPr>
                <w:b/>
                <w:bCs/>
                <w:sz w:val="22"/>
                <w:szCs w:val="22"/>
              </w:rPr>
              <w:t>139</w:t>
            </w:r>
          </w:p>
          <w:p w14:paraId="61BFEC98"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1AE46826" w14:textId="77777777" w:rsidR="00E42A45" w:rsidRDefault="00E42A45" w:rsidP="00E42A45">
            <w:pPr>
              <w:pStyle w:val="Zkladntext"/>
              <w:spacing w:after="0" w:line="240" w:lineRule="atLeast"/>
            </w:pPr>
          </w:p>
          <w:p w14:paraId="477C46FB"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05BBE879" w14:textId="77777777" w:rsidR="00E42A45" w:rsidRDefault="00E42A45" w:rsidP="00E42A45">
            <w:pPr>
              <w:pStyle w:val="Texttabulky"/>
              <w:spacing w:after="0" w:line="240" w:lineRule="atLeast"/>
            </w:pPr>
            <w:r>
              <w:t>Široký liniový dřevinný porost s  vodním tokem a malou vodní nádrží na svahu a terénním stupni nad Novým Městem.</w:t>
            </w:r>
          </w:p>
        </w:tc>
        <w:tc>
          <w:tcPr>
            <w:tcW w:w="685" w:type="dxa"/>
            <w:tcBorders>
              <w:top w:val="single" w:sz="6" w:space="0" w:color="auto"/>
              <w:left w:val="single" w:sz="6" w:space="0" w:color="auto"/>
              <w:bottom w:val="single" w:sz="6" w:space="0" w:color="auto"/>
              <w:right w:val="single" w:sz="6" w:space="0" w:color="auto"/>
            </w:tcBorders>
          </w:tcPr>
          <w:p w14:paraId="14D222E8" w14:textId="77777777" w:rsidR="00E42A45" w:rsidRDefault="00E42A45" w:rsidP="00E42A45">
            <w:pPr>
              <w:pStyle w:val="Zkladntext"/>
              <w:spacing w:after="0" w:line="240" w:lineRule="atLeast"/>
            </w:pPr>
          </w:p>
          <w:p w14:paraId="5C91D38E" w14:textId="77777777" w:rsidR="00E42A45" w:rsidRDefault="00E42A45" w:rsidP="00E42A45">
            <w:pPr>
              <w:pStyle w:val="Texttabulky"/>
              <w:spacing w:after="0" w:line="240" w:lineRule="atLeast"/>
            </w:pPr>
            <w:r>
              <w:rPr>
                <w:sz w:val="18"/>
                <w:szCs w:val="18"/>
              </w:rPr>
              <w:t>3-4</w:t>
            </w:r>
          </w:p>
        </w:tc>
        <w:tc>
          <w:tcPr>
            <w:tcW w:w="4041" w:type="dxa"/>
            <w:tcBorders>
              <w:top w:val="single" w:sz="6" w:space="0" w:color="auto"/>
              <w:left w:val="single" w:sz="6" w:space="0" w:color="auto"/>
              <w:bottom w:val="single" w:sz="6" w:space="0" w:color="auto"/>
              <w:right w:val="single" w:sz="6" w:space="0" w:color="auto"/>
            </w:tcBorders>
          </w:tcPr>
          <w:p w14:paraId="616DCE0B" w14:textId="77777777" w:rsidR="00E42A45" w:rsidRDefault="00E42A45" w:rsidP="00E42A45">
            <w:pPr>
              <w:pStyle w:val="Texttabulky"/>
              <w:spacing w:after="0" w:line="240" w:lineRule="atLeast"/>
            </w:pPr>
            <w:r>
              <w:t>Údržba porostů, nádrže  a koryta.</w:t>
            </w:r>
          </w:p>
        </w:tc>
      </w:tr>
      <w:tr w:rsidR="00E42A45" w14:paraId="4914C947" w14:textId="77777777" w:rsidTr="00BB63DF">
        <w:trPr>
          <w:trHeight w:val="675"/>
        </w:trPr>
        <w:tc>
          <w:tcPr>
            <w:tcW w:w="792" w:type="dxa"/>
            <w:tcBorders>
              <w:top w:val="single" w:sz="6" w:space="0" w:color="auto"/>
              <w:left w:val="single" w:sz="6" w:space="0" w:color="auto"/>
              <w:bottom w:val="single" w:sz="6" w:space="0" w:color="auto"/>
              <w:right w:val="single" w:sz="6" w:space="0" w:color="auto"/>
            </w:tcBorders>
          </w:tcPr>
          <w:p w14:paraId="5AF36941" w14:textId="77777777" w:rsidR="00E42A45" w:rsidRDefault="00E42A45" w:rsidP="00E42A45">
            <w:pPr>
              <w:pStyle w:val="Zkladntext"/>
              <w:spacing w:after="0" w:line="240" w:lineRule="atLeast"/>
            </w:pPr>
          </w:p>
          <w:p w14:paraId="4719CCF0" w14:textId="77777777" w:rsidR="00E42A45" w:rsidRDefault="00E42A45" w:rsidP="00E42A45">
            <w:pPr>
              <w:pStyle w:val="Texttabulky"/>
              <w:spacing w:after="0" w:line="240" w:lineRule="atLeast"/>
            </w:pPr>
            <w:r>
              <w:rPr>
                <w:b/>
                <w:bCs/>
                <w:sz w:val="22"/>
                <w:szCs w:val="22"/>
              </w:rPr>
              <w:t>140</w:t>
            </w:r>
          </w:p>
          <w:p w14:paraId="43D7E35C" w14:textId="77777777" w:rsidR="00E42A45" w:rsidRDefault="00E42A45" w:rsidP="00E42A45">
            <w:pPr>
              <w:pStyle w:val="Zkladntext"/>
              <w:spacing w:after="0" w:line="240" w:lineRule="atLeast"/>
            </w:pPr>
          </w:p>
        </w:tc>
        <w:tc>
          <w:tcPr>
            <w:tcW w:w="634" w:type="dxa"/>
            <w:tcBorders>
              <w:top w:val="single" w:sz="6" w:space="0" w:color="auto"/>
              <w:left w:val="single" w:sz="6" w:space="0" w:color="auto"/>
              <w:bottom w:val="single" w:sz="6" w:space="0" w:color="auto"/>
              <w:right w:val="single" w:sz="6" w:space="0" w:color="auto"/>
            </w:tcBorders>
          </w:tcPr>
          <w:p w14:paraId="4C3A27E6" w14:textId="77777777" w:rsidR="00E42A45" w:rsidRDefault="00E42A45" w:rsidP="00E42A45">
            <w:pPr>
              <w:pStyle w:val="Zkladntext"/>
              <w:spacing w:after="0" w:line="240" w:lineRule="atLeast"/>
            </w:pPr>
          </w:p>
          <w:p w14:paraId="6E197679" w14:textId="77777777" w:rsidR="00E42A45" w:rsidRDefault="00E42A45" w:rsidP="00E42A45">
            <w:pPr>
              <w:pStyle w:val="Texttabulky"/>
              <w:spacing w:after="0" w:line="240" w:lineRule="atLeast"/>
            </w:pPr>
            <w:r>
              <w:rPr>
                <w:sz w:val="18"/>
                <w:szCs w:val="18"/>
              </w:rPr>
              <w:t>F</w:t>
            </w:r>
          </w:p>
        </w:tc>
        <w:tc>
          <w:tcPr>
            <w:tcW w:w="3217" w:type="dxa"/>
            <w:tcBorders>
              <w:top w:val="single" w:sz="6" w:space="0" w:color="auto"/>
              <w:left w:val="single" w:sz="6" w:space="0" w:color="auto"/>
              <w:bottom w:val="single" w:sz="6" w:space="0" w:color="auto"/>
              <w:right w:val="single" w:sz="6" w:space="0" w:color="auto"/>
            </w:tcBorders>
          </w:tcPr>
          <w:p w14:paraId="61E2EA94" w14:textId="77777777" w:rsidR="00E42A45" w:rsidRDefault="00E42A45" w:rsidP="00E42A45">
            <w:pPr>
              <w:pStyle w:val="Texttabulky"/>
              <w:spacing w:after="0" w:line="240" w:lineRule="atLeast"/>
            </w:pPr>
            <w:r>
              <w:t>Dvě lokality s lučními společenstvy uvnitř lesního porostu. Botanicky významná lokalita .</w:t>
            </w:r>
          </w:p>
        </w:tc>
        <w:tc>
          <w:tcPr>
            <w:tcW w:w="685" w:type="dxa"/>
            <w:tcBorders>
              <w:top w:val="single" w:sz="6" w:space="0" w:color="auto"/>
              <w:left w:val="single" w:sz="6" w:space="0" w:color="auto"/>
              <w:bottom w:val="single" w:sz="6" w:space="0" w:color="auto"/>
              <w:right w:val="single" w:sz="6" w:space="0" w:color="auto"/>
            </w:tcBorders>
          </w:tcPr>
          <w:p w14:paraId="594E1BE3" w14:textId="77777777" w:rsidR="00E42A45" w:rsidRDefault="00E42A45" w:rsidP="00E42A45">
            <w:pPr>
              <w:pStyle w:val="Zkladntext"/>
              <w:spacing w:after="0" w:line="240" w:lineRule="atLeast"/>
            </w:pPr>
          </w:p>
          <w:p w14:paraId="2490B16D" w14:textId="77777777" w:rsidR="00E42A45" w:rsidRDefault="00E42A45" w:rsidP="00E42A45">
            <w:pPr>
              <w:pStyle w:val="Zkladntext"/>
              <w:spacing w:after="0" w:line="240" w:lineRule="atLeast"/>
            </w:pPr>
          </w:p>
          <w:p w14:paraId="5DF373E5" w14:textId="77777777" w:rsidR="00E42A45" w:rsidRDefault="00E42A45" w:rsidP="00E42A45">
            <w:pPr>
              <w:pStyle w:val="Texttabulky"/>
              <w:spacing w:after="0" w:line="240" w:lineRule="atLeast"/>
            </w:pPr>
            <w:r>
              <w:rPr>
                <w:sz w:val="18"/>
                <w:szCs w:val="18"/>
              </w:rPr>
              <w:t>4</w:t>
            </w:r>
          </w:p>
        </w:tc>
        <w:tc>
          <w:tcPr>
            <w:tcW w:w="4041" w:type="dxa"/>
            <w:tcBorders>
              <w:top w:val="single" w:sz="6" w:space="0" w:color="auto"/>
              <w:left w:val="single" w:sz="6" w:space="0" w:color="auto"/>
              <w:bottom w:val="single" w:sz="6" w:space="0" w:color="auto"/>
              <w:right w:val="single" w:sz="6" w:space="0" w:color="auto"/>
            </w:tcBorders>
          </w:tcPr>
          <w:p w14:paraId="5FB1F51A" w14:textId="77777777" w:rsidR="00E42A45" w:rsidRDefault="00E42A45" w:rsidP="00E42A45">
            <w:pPr>
              <w:pStyle w:val="Texttabulky"/>
              <w:spacing w:after="0" w:line="240" w:lineRule="atLeast"/>
            </w:pPr>
            <w:r>
              <w:t>Obě lokality navrženy na vyhlášení jako přírodní rezervace</w:t>
            </w:r>
          </w:p>
        </w:tc>
      </w:tr>
    </w:tbl>
    <w:p w14:paraId="3D7A72AC" w14:textId="77777777" w:rsidR="00E42A45" w:rsidRDefault="00E42A45" w:rsidP="00CA23D0">
      <w:pPr>
        <w:jc w:val="both"/>
        <w:rPr>
          <w:rFonts w:ascii="Arial" w:hAnsi="Arial" w:cs="Arial"/>
          <w:sz w:val="22"/>
        </w:rPr>
      </w:pPr>
    </w:p>
    <w:p w14:paraId="1D8E0E12" w14:textId="77777777" w:rsidR="00E42A45" w:rsidRDefault="00E42A45" w:rsidP="00CA23D0">
      <w:pPr>
        <w:jc w:val="both"/>
        <w:rPr>
          <w:rFonts w:ascii="Arial" w:hAnsi="Arial" w:cs="Arial"/>
          <w:sz w:val="22"/>
        </w:rPr>
      </w:pPr>
    </w:p>
    <w:p w14:paraId="6DBE9D5B" w14:textId="77777777" w:rsidR="00E42A45" w:rsidRDefault="00E42A45" w:rsidP="00CA23D0">
      <w:pPr>
        <w:jc w:val="both"/>
        <w:rPr>
          <w:rFonts w:ascii="Arial" w:hAnsi="Arial" w:cs="Arial"/>
          <w:sz w:val="22"/>
        </w:rPr>
      </w:pPr>
    </w:p>
    <w:p w14:paraId="44A79D93" w14:textId="77777777" w:rsidR="00E42A45" w:rsidRDefault="00E42A45" w:rsidP="00CA23D0">
      <w:pPr>
        <w:jc w:val="both"/>
        <w:rPr>
          <w:rFonts w:ascii="Arial" w:hAnsi="Arial" w:cs="Arial"/>
          <w:sz w:val="22"/>
        </w:rPr>
      </w:pPr>
    </w:p>
    <w:p w14:paraId="6D54F16F" w14:textId="77777777" w:rsidR="00E42A45" w:rsidRDefault="00E42A45" w:rsidP="00CA23D0">
      <w:pPr>
        <w:jc w:val="both"/>
        <w:rPr>
          <w:rFonts w:ascii="Arial" w:hAnsi="Arial" w:cs="Arial"/>
          <w:sz w:val="22"/>
        </w:rPr>
      </w:pPr>
    </w:p>
    <w:p w14:paraId="6EBF11C7" w14:textId="77777777" w:rsidR="00E42A45" w:rsidRDefault="00E42A45" w:rsidP="00CA23D0">
      <w:pPr>
        <w:jc w:val="both"/>
        <w:rPr>
          <w:rFonts w:ascii="Arial" w:hAnsi="Arial" w:cs="Arial"/>
          <w:sz w:val="22"/>
        </w:rPr>
      </w:pPr>
    </w:p>
    <w:p w14:paraId="3319F335" w14:textId="77777777" w:rsidR="00E42A45" w:rsidRDefault="00E42A45" w:rsidP="00CA23D0">
      <w:pPr>
        <w:jc w:val="both"/>
        <w:rPr>
          <w:rFonts w:ascii="Arial" w:hAnsi="Arial" w:cs="Arial"/>
          <w:sz w:val="22"/>
        </w:rPr>
        <w:sectPr w:rsidR="00E42A45" w:rsidSect="00FC65E4">
          <w:footerReference w:type="default" r:id="rId180"/>
          <w:pgSz w:w="11906" w:h="16838"/>
          <w:pgMar w:top="1417" w:right="1417" w:bottom="1417" w:left="1417" w:header="708" w:footer="708" w:gutter="0"/>
          <w:pgNumType w:start="3"/>
          <w:cols w:space="708"/>
          <w:docGrid w:linePitch="360"/>
        </w:sectPr>
      </w:pPr>
    </w:p>
    <w:p w14:paraId="05941219" w14:textId="77777777" w:rsidR="00E42A45" w:rsidRPr="00E42A45" w:rsidRDefault="00E42A45" w:rsidP="00E42A45">
      <w:pPr>
        <w:suppressAutoHyphens w:val="0"/>
        <w:autoSpaceDE w:val="0"/>
        <w:autoSpaceDN w:val="0"/>
        <w:adjustRightInd w:val="0"/>
        <w:spacing w:before="120" w:line="288" w:lineRule="auto"/>
        <w:jc w:val="both"/>
        <w:rPr>
          <w:rFonts w:ascii="Arial" w:hAnsi="Arial"/>
          <w:b/>
          <w:bCs/>
          <w:caps/>
          <w:color w:val="000000"/>
          <w:sz w:val="32"/>
          <w:szCs w:val="32"/>
          <w:lang w:eastAsia="cs-CZ"/>
        </w:rPr>
      </w:pPr>
      <w:r w:rsidRPr="00E42A45">
        <w:rPr>
          <w:rFonts w:ascii="Arial" w:hAnsi="Arial"/>
          <w:b/>
          <w:bCs/>
          <w:caps/>
          <w:color w:val="000000"/>
          <w:sz w:val="32"/>
          <w:szCs w:val="32"/>
          <w:lang w:eastAsia="cs-CZ"/>
        </w:rPr>
        <w:lastRenderedPageBreak/>
        <w:t>L.3  BIOCENTRA</w:t>
      </w: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23"/>
        <w:gridCol w:w="3402"/>
        <w:gridCol w:w="6419"/>
      </w:tblGrid>
      <w:tr w:rsidR="00E42A45" w:rsidRPr="00E42A45" w14:paraId="290A639D" w14:textId="77777777" w:rsidTr="00E42A45">
        <w:trPr>
          <w:cantSplit/>
          <w:trHeight w:val="560"/>
        </w:trPr>
        <w:tc>
          <w:tcPr>
            <w:tcW w:w="4323" w:type="dxa"/>
            <w:shd w:val="clear" w:color="auto" w:fill="FFFFFF"/>
          </w:tcPr>
          <w:p w14:paraId="1C86F465" w14:textId="77777777" w:rsidR="00E42A45" w:rsidRPr="00E42A45" w:rsidRDefault="00E42A45" w:rsidP="00BB63DF">
            <w:pPr>
              <w:tabs>
                <w:tab w:val="left" w:pos="709"/>
              </w:tabs>
              <w:rPr>
                <w:sz w:val="20"/>
                <w:szCs w:val="20"/>
              </w:rPr>
            </w:pPr>
            <w:r w:rsidRPr="00E42A45">
              <w:rPr>
                <w:sz w:val="20"/>
                <w:szCs w:val="20"/>
              </w:rPr>
              <w:t>Pořadové číslo</w:t>
            </w:r>
          </w:p>
          <w:p w14:paraId="005A79B9" w14:textId="77777777" w:rsidR="00E42A45" w:rsidRPr="00E42A45" w:rsidRDefault="00E42A45" w:rsidP="00BB63DF">
            <w:pPr>
              <w:tabs>
                <w:tab w:val="left" w:pos="709"/>
              </w:tabs>
              <w:rPr>
                <w:b/>
                <w:sz w:val="20"/>
                <w:szCs w:val="20"/>
              </w:rPr>
            </w:pPr>
            <w:r w:rsidRPr="00E42A45">
              <w:rPr>
                <w:sz w:val="20"/>
                <w:szCs w:val="20"/>
              </w:rPr>
              <w:t xml:space="preserve">                                                </w:t>
            </w:r>
            <w:r w:rsidRPr="00E42A45">
              <w:rPr>
                <w:b/>
                <w:sz w:val="20"/>
                <w:szCs w:val="20"/>
              </w:rPr>
              <w:t>2</w:t>
            </w:r>
          </w:p>
        </w:tc>
        <w:tc>
          <w:tcPr>
            <w:tcW w:w="9821" w:type="dxa"/>
            <w:gridSpan w:val="2"/>
            <w:shd w:val="clear" w:color="auto" w:fill="FFFFFF"/>
          </w:tcPr>
          <w:p w14:paraId="29FC5612" w14:textId="77777777" w:rsidR="00E42A45" w:rsidRPr="00E42A45" w:rsidRDefault="00E42A45" w:rsidP="00BB63DF">
            <w:pPr>
              <w:tabs>
                <w:tab w:val="left" w:pos="709"/>
              </w:tabs>
              <w:rPr>
                <w:sz w:val="20"/>
                <w:szCs w:val="20"/>
              </w:rPr>
            </w:pPr>
            <w:r w:rsidRPr="00E42A45">
              <w:rPr>
                <w:sz w:val="20"/>
                <w:szCs w:val="20"/>
              </w:rPr>
              <w:t>Katastrální území</w:t>
            </w:r>
          </w:p>
          <w:p w14:paraId="507EBC4B" w14:textId="77777777" w:rsidR="00E42A45" w:rsidRPr="00E42A45" w:rsidRDefault="00E42A45" w:rsidP="00BB63DF">
            <w:pPr>
              <w:pStyle w:val="Nadpis4"/>
              <w:tabs>
                <w:tab w:val="left" w:pos="709"/>
              </w:tabs>
              <w:spacing w:before="0" w:after="0"/>
              <w:rPr>
                <w:caps/>
                <w:sz w:val="20"/>
                <w:szCs w:val="20"/>
              </w:rPr>
            </w:pPr>
            <w:r w:rsidRPr="00E42A45">
              <w:rPr>
                <w:caps/>
                <w:sz w:val="20"/>
                <w:szCs w:val="20"/>
              </w:rPr>
              <w:t xml:space="preserve">                                 Březiny, Děčín - Staré Město, Chlum</w:t>
            </w:r>
          </w:p>
        </w:tc>
      </w:tr>
      <w:tr w:rsidR="00E42A45" w:rsidRPr="00E42A45" w14:paraId="0ACEB28C" w14:textId="77777777" w:rsidTr="00BB63DF">
        <w:tc>
          <w:tcPr>
            <w:tcW w:w="4323" w:type="dxa"/>
            <w:shd w:val="clear" w:color="auto" w:fill="FFFFFF"/>
          </w:tcPr>
          <w:p w14:paraId="0E9C33C3" w14:textId="77777777" w:rsidR="00E42A45" w:rsidRPr="00E42A45" w:rsidRDefault="00E42A45" w:rsidP="00BB63DF">
            <w:pPr>
              <w:tabs>
                <w:tab w:val="left" w:pos="709"/>
              </w:tabs>
              <w:rPr>
                <w:sz w:val="20"/>
                <w:szCs w:val="20"/>
              </w:rPr>
            </w:pPr>
            <w:r w:rsidRPr="00E42A45">
              <w:rPr>
                <w:sz w:val="20"/>
                <w:szCs w:val="20"/>
              </w:rPr>
              <w:t>Název</w:t>
            </w:r>
          </w:p>
          <w:p w14:paraId="197A7C62" w14:textId="77777777" w:rsidR="00E42A45" w:rsidRPr="00E42A45" w:rsidRDefault="00E42A45" w:rsidP="00BB63DF">
            <w:pPr>
              <w:tabs>
                <w:tab w:val="left" w:pos="709"/>
              </w:tabs>
              <w:rPr>
                <w:b/>
                <w:caps/>
                <w:sz w:val="20"/>
                <w:szCs w:val="20"/>
              </w:rPr>
            </w:pPr>
            <w:r w:rsidRPr="00E42A45">
              <w:rPr>
                <w:b/>
                <w:caps/>
                <w:sz w:val="20"/>
                <w:szCs w:val="20"/>
              </w:rPr>
              <w:t xml:space="preserve">                                           Zelené údolí</w:t>
            </w:r>
          </w:p>
        </w:tc>
        <w:tc>
          <w:tcPr>
            <w:tcW w:w="3402" w:type="dxa"/>
            <w:shd w:val="clear" w:color="auto" w:fill="FFFFFF"/>
          </w:tcPr>
          <w:p w14:paraId="0B028C74" w14:textId="77777777" w:rsidR="00E42A45" w:rsidRPr="00E42A45" w:rsidRDefault="00E42A45" w:rsidP="00BB63DF">
            <w:pPr>
              <w:tabs>
                <w:tab w:val="left" w:pos="709"/>
              </w:tabs>
              <w:rPr>
                <w:sz w:val="20"/>
                <w:szCs w:val="20"/>
              </w:rPr>
            </w:pPr>
            <w:r w:rsidRPr="00E42A45">
              <w:rPr>
                <w:sz w:val="20"/>
                <w:szCs w:val="20"/>
              </w:rPr>
              <w:t xml:space="preserve">Mapový list            </w:t>
            </w:r>
          </w:p>
          <w:p w14:paraId="7BD2F13D" w14:textId="77777777" w:rsidR="00E42A45" w:rsidRPr="00E42A45" w:rsidRDefault="00E42A45" w:rsidP="00BB63DF">
            <w:pPr>
              <w:tabs>
                <w:tab w:val="left" w:pos="709"/>
              </w:tabs>
              <w:ind w:right="-22"/>
              <w:rPr>
                <w:sz w:val="20"/>
                <w:szCs w:val="20"/>
              </w:rPr>
            </w:pPr>
            <w:r w:rsidRPr="00E42A45">
              <w:rPr>
                <w:sz w:val="20"/>
                <w:szCs w:val="20"/>
              </w:rPr>
              <w:t xml:space="preserve">                          02-23-24</w:t>
            </w:r>
          </w:p>
        </w:tc>
        <w:tc>
          <w:tcPr>
            <w:tcW w:w="6419" w:type="dxa"/>
            <w:shd w:val="clear" w:color="auto" w:fill="FFFFFF"/>
          </w:tcPr>
          <w:p w14:paraId="667DACB7" w14:textId="77777777" w:rsidR="00E42A45" w:rsidRPr="00E42A45" w:rsidRDefault="00E42A45" w:rsidP="00BB63DF">
            <w:pPr>
              <w:tabs>
                <w:tab w:val="left" w:pos="709"/>
              </w:tabs>
              <w:rPr>
                <w:sz w:val="20"/>
                <w:szCs w:val="20"/>
              </w:rPr>
            </w:pPr>
            <w:r w:rsidRPr="00E42A45">
              <w:rPr>
                <w:sz w:val="20"/>
                <w:szCs w:val="20"/>
              </w:rPr>
              <w:t xml:space="preserve">Výměra      </w:t>
            </w:r>
          </w:p>
          <w:p w14:paraId="7E57D68C" w14:textId="77777777" w:rsidR="00E42A45" w:rsidRPr="00E42A45" w:rsidRDefault="00E42A45" w:rsidP="00BB63DF">
            <w:pPr>
              <w:tabs>
                <w:tab w:val="left" w:pos="709"/>
              </w:tabs>
              <w:rPr>
                <w:b/>
                <w:sz w:val="20"/>
                <w:szCs w:val="20"/>
              </w:rPr>
            </w:pPr>
            <w:r w:rsidRPr="00E42A45">
              <w:rPr>
                <w:sz w:val="20"/>
                <w:szCs w:val="20"/>
              </w:rPr>
              <w:t xml:space="preserve">                    </w:t>
            </w:r>
            <w:r w:rsidRPr="00E42A45">
              <w:rPr>
                <w:b/>
                <w:sz w:val="20"/>
                <w:szCs w:val="20"/>
              </w:rPr>
              <w:t xml:space="preserve">21,16 ha                           </w:t>
            </w:r>
          </w:p>
        </w:tc>
      </w:tr>
      <w:tr w:rsidR="00E42A45" w:rsidRPr="00E42A45" w14:paraId="479317F9" w14:textId="77777777" w:rsidTr="00BB63DF">
        <w:tc>
          <w:tcPr>
            <w:tcW w:w="4323" w:type="dxa"/>
            <w:shd w:val="clear" w:color="auto" w:fill="FFFFFF"/>
          </w:tcPr>
          <w:p w14:paraId="36A457BD" w14:textId="77777777" w:rsidR="00E42A45" w:rsidRPr="00E42A45" w:rsidRDefault="00E42A45" w:rsidP="00BB63DF">
            <w:pPr>
              <w:tabs>
                <w:tab w:val="left" w:pos="709"/>
              </w:tabs>
              <w:rPr>
                <w:sz w:val="20"/>
                <w:szCs w:val="20"/>
              </w:rPr>
            </w:pPr>
            <w:r w:rsidRPr="00E42A45">
              <w:rPr>
                <w:sz w:val="20"/>
                <w:szCs w:val="20"/>
              </w:rPr>
              <w:t>EVKP - ekologicky významný krajinný prvek</w:t>
            </w:r>
          </w:p>
          <w:p w14:paraId="59C6ADF3" w14:textId="77777777" w:rsidR="00E42A45" w:rsidRPr="00E42A45" w:rsidRDefault="00E42A45" w:rsidP="00BB63DF">
            <w:pPr>
              <w:tabs>
                <w:tab w:val="left" w:pos="709"/>
              </w:tabs>
              <w:rPr>
                <w:sz w:val="20"/>
                <w:szCs w:val="20"/>
              </w:rPr>
            </w:pPr>
            <w:r w:rsidRPr="00E42A45">
              <w:rPr>
                <w:sz w:val="20"/>
                <w:szCs w:val="20"/>
              </w:rPr>
              <w:t>EVKC - ekologicky významný krajinný celek</w:t>
            </w:r>
          </w:p>
          <w:p w14:paraId="360C1746" w14:textId="77777777" w:rsidR="00E42A45" w:rsidRPr="00E42A45" w:rsidRDefault="00E42A45" w:rsidP="00BB63DF">
            <w:pPr>
              <w:pStyle w:val="Nadpis6"/>
              <w:rPr>
                <w:sz w:val="20"/>
                <w:szCs w:val="20"/>
              </w:rPr>
            </w:pPr>
            <w:r w:rsidRPr="00E42A45">
              <w:rPr>
                <w:sz w:val="20"/>
                <w:szCs w:val="20"/>
              </w:rPr>
              <w:t>EVKO - ekologicky významná krajinná oblast</w:t>
            </w:r>
          </w:p>
          <w:p w14:paraId="08E5A3A9" w14:textId="77777777" w:rsidR="00E42A45" w:rsidRPr="00E42A45" w:rsidRDefault="00E42A45" w:rsidP="00BB63DF">
            <w:pPr>
              <w:tabs>
                <w:tab w:val="left" w:pos="709"/>
              </w:tabs>
              <w:rPr>
                <w:sz w:val="20"/>
                <w:szCs w:val="20"/>
              </w:rPr>
            </w:pPr>
            <w:r w:rsidRPr="00E42A45">
              <w:rPr>
                <w:sz w:val="20"/>
                <w:szCs w:val="20"/>
              </w:rPr>
              <w:t>EVLS  - ekologicky významné liniové společenstvo</w:t>
            </w:r>
          </w:p>
        </w:tc>
        <w:tc>
          <w:tcPr>
            <w:tcW w:w="3402" w:type="dxa"/>
            <w:shd w:val="clear" w:color="auto" w:fill="FFFFFF"/>
          </w:tcPr>
          <w:p w14:paraId="6CC44BF4" w14:textId="77777777" w:rsidR="00E42A45" w:rsidRPr="00E42A45" w:rsidRDefault="00E42A45" w:rsidP="00BB63DF">
            <w:pPr>
              <w:tabs>
                <w:tab w:val="left" w:pos="709"/>
              </w:tabs>
              <w:rPr>
                <w:sz w:val="20"/>
                <w:szCs w:val="20"/>
              </w:rPr>
            </w:pPr>
            <w:r w:rsidRPr="00E42A45">
              <w:rPr>
                <w:sz w:val="20"/>
                <w:szCs w:val="20"/>
              </w:rPr>
              <w:t>Biogeografický význam</w:t>
            </w:r>
          </w:p>
          <w:p w14:paraId="41A2CD5F" w14:textId="77777777" w:rsidR="00E42A45" w:rsidRPr="00E42A45" w:rsidRDefault="00E42A45" w:rsidP="00BB63DF">
            <w:pPr>
              <w:tabs>
                <w:tab w:val="left" w:pos="709"/>
              </w:tabs>
              <w:rPr>
                <w:b/>
                <w:sz w:val="20"/>
                <w:szCs w:val="20"/>
              </w:rPr>
            </w:pPr>
            <w:r w:rsidRPr="00E42A45">
              <w:rPr>
                <w:b/>
                <w:sz w:val="20"/>
                <w:szCs w:val="20"/>
              </w:rPr>
              <w:t xml:space="preserve">       - lokální, reprezentativní</w:t>
            </w:r>
          </w:p>
          <w:p w14:paraId="1DAD8790" w14:textId="77777777" w:rsidR="00E42A45" w:rsidRPr="00E42A45" w:rsidRDefault="00E42A45" w:rsidP="00BB63DF">
            <w:pPr>
              <w:tabs>
                <w:tab w:val="left" w:pos="709"/>
              </w:tabs>
              <w:ind w:left="345"/>
              <w:rPr>
                <w:sz w:val="20"/>
                <w:szCs w:val="20"/>
              </w:rPr>
            </w:pPr>
            <w:r w:rsidRPr="00E42A45">
              <w:rPr>
                <w:sz w:val="20"/>
                <w:szCs w:val="20"/>
              </w:rPr>
              <w:t xml:space="preserve"> -  regionální</w:t>
            </w:r>
          </w:p>
          <w:p w14:paraId="25364ED2" w14:textId="77777777" w:rsidR="00E42A45" w:rsidRPr="00E42A45" w:rsidRDefault="00E42A45" w:rsidP="00BB63DF">
            <w:pPr>
              <w:tabs>
                <w:tab w:val="left" w:pos="709"/>
              </w:tabs>
              <w:ind w:left="345"/>
              <w:rPr>
                <w:sz w:val="20"/>
                <w:szCs w:val="20"/>
              </w:rPr>
            </w:pPr>
            <w:r w:rsidRPr="00E42A45">
              <w:rPr>
                <w:sz w:val="20"/>
                <w:szCs w:val="20"/>
              </w:rPr>
              <w:t xml:space="preserve"> - nadregionální</w:t>
            </w:r>
          </w:p>
        </w:tc>
        <w:tc>
          <w:tcPr>
            <w:tcW w:w="6419" w:type="dxa"/>
            <w:shd w:val="clear" w:color="auto" w:fill="FFFFFF"/>
          </w:tcPr>
          <w:p w14:paraId="2F7A87E9" w14:textId="77777777" w:rsidR="00E42A45" w:rsidRPr="00E42A45" w:rsidRDefault="00E42A45" w:rsidP="00BB63DF">
            <w:pPr>
              <w:tabs>
                <w:tab w:val="left" w:pos="709"/>
              </w:tabs>
              <w:rPr>
                <w:sz w:val="20"/>
                <w:szCs w:val="20"/>
              </w:rPr>
            </w:pPr>
            <w:r w:rsidRPr="00E42A45">
              <w:rPr>
                <w:sz w:val="20"/>
                <w:szCs w:val="20"/>
              </w:rPr>
              <w:t>Stav</w:t>
            </w:r>
          </w:p>
          <w:p w14:paraId="0ABCC346" w14:textId="77777777" w:rsidR="00E42A45" w:rsidRPr="00E42A45" w:rsidRDefault="00E42A45" w:rsidP="00BB63DF">
            <w:pPr>
              <w:tabs>
                <w:tab w:val="left" w:pos="709"/>
              </w:tabs>
              <w:ind w:left="405"/>
              <w:rPr>
                <w:b/>
                <w:sz w:val="20"/>
                <w:szCs w:val="20"/>
              </w:rPr>
            </w:pPr>
            <w:r w:rsidRPr="00E42A45">
              <w:rPr>
                <w:b/>
                <w:sz w:val="20"/>
                <w:szCs w:val="20"/>
              </w:rPr>
              <w:t>-  funkčně vymezený</w:t>
            </w:r>
          </w:p>
          <w:p w14:paraId="069C0ECD" w14:textId="77777777" w:rsidR="00E42A45" w:rsidRPr="00E42A45" w:rsidRDefault="00E42A45" w:rsidP="00BB63DF">
            <w:pPr>
              <w:tabs>
                <w:tab w:val="left" w:pos="709"/>
              </w:tabs>
              <w:rPr>
                <w:sz w:val="20"/>
                <w:szCs w:val="20"/>
              </w:rPr>
            </w:pPr>
            <w:r w:rsidRPr="00E42A45">
              <w:rPr>
                <w:sz w:val="20"/>
                <w:szCs w:val="20"/>
              </w:rPr>
              <w:t xml:space="preserve">       -  semifunkční    </w:t>
            </w:r>
          </w:p>
          <w:p w14:paraId="2BF0950F" w14:textId="77777777" w:rsidR="00E42A45" w:rsidRPr="00E42A45" w:rsidRDefault="00E42A45" w:rsidP="00BB63DF">
            <w:pPr>
              <w:tabs>
                <w:tab w:val="left" w:pos="709"/>
              </w:tabs>
              <w:rPr>
                <w:sz w:val="20"/>
                <w:szCs w:val="20"/>
              </w:rPr>
            </w:pPr>
            <w:r w:rsidRPr="00E42A45">
              <w:rPr>
                <w:sz w:val="20"/>
                <w:szCs w:val="20"/>
              </w:rPr>
              <w:t xml:space="preserve">       -  navržený</w:t>
            </w:r>
          </w:p>
        </w:tc>
      </w:tr>
      <w:tr w:rsidR="00E42A45" w:rsidRPr="00E42A45" w14:paraId="5E0DB240" w14:textId="77777777" w:rsidTr="00BB63DF">
        <w:trPr>
          <w:cantSplit/>
        </w:trPr>
        <w:tc>
          <w:tcPr>
            <w:tcW w:w="14144" w:type="dxa"/>
            <w:gridSpan w:val="3"/>
            <w:shd w:val="clear" w:color="auto" w:fill="FFFFFF"/>
          </w:tcPr>
          <w:p w14:paraId="710B75C9" w14:textId="77777777" w:rsidR="00E42A45" w:rsidRPr="00E42A45" w:rsidRDefault="00E42A45" w:rsidP="00BB63DF">
            <w:pPr>
              <w:tabs>
                <w:tab w:val="left" w:pos="709"/>
              </w:tabs>
              <w:rPr>
                <w:sz w:val="20"/>
                <w:szCs w:val="20"/>
              </w:rPr>
            </w:pPr>
            <w:r w:rsidRPr="00E42A45">
              <w:rPr>
                <w:sz w:val="20"/>
                <w:szCs w:val="20"/>
              </w:rPr>
              <w:t>Geobiocenologická typizace (vegetační stupeň, trofická řada, hydrická řada)</w:t>
            </w:r>
          </w:p>
          <w:p w14:paraId="5FB2810D" w14:textId="77777777" w:rsidR="00E42A45" w:rsidRPr="00E42A45" w:rsidRDefault="00E42A45" w:rsidP="00BB63DF">
            <w:pPr>
              <w:tabs>
                <w:tab w:val="left" w:pos="709"/>
              </w:tabs>
              <w:rPr>
                <w:sz w:val="20"/>
                <w:szCs w:val="20"/>
              </w:rPr>
            </w:pPr>
            <w:r w:rsidRPr="00E42A45">
              <w:rPr>
                <w:sz w:val="20"/>
                <w:szCs w:val="20"/>
              </w:rPr>
              <w:t xml:space="preserve">                         3B3,   3BC3,  3C3, 2BD3 </w:t>
            </w:r>
          </w:p>
        </w:tc>
      </w:tr>
      <w:tr w:rsidR="00E42A45" w:rsidRPr="00E42A45" w14:paraId="22EEB03C" w14:textId="77777777" w:rsidTr="00BB63DF">
        <w:trPr>
          <w:cantSplit/>
          <w:trHeight w:val="5221"/>
        </w:trPr>
        <w:tc>
          <w:tcPr>
            <w:tcW w:w="14144" w:type="dxa"/>
            <w:gridSpan w:val="3"/>
          </w:tcPr>
          <w:p w14:paraId="4E7C3BFB" w14:textId="77777777" w:rsidR="00E42A45" w:rsidRPr="00E42A45" w:rsidRDefault="00E42A45" w:rsidP="00E42A45">
            <w:pPr>
              <w:pStyle w:val="Nadpis8"/>
              <w:spacing w:before="0"/>
            </w:pPr>
            <w:r w:rsidRPr="00E42A45">
              <w:t>Charakter ekotopu a bioty</w:t>
            </w:r>
          </w:p>
          <w:p w14:paraId="0F15FA42" w14:textId="77777777" w:rsidR="00E42A45" w:rsidRPr="00E42A45" w:rsidRDefault="00E42A45" w:rsidP="00E42A45">
            <w:pPr>
              <w:tabs>
                <w:tab w:val="left" w:pos="709"/>
              </w:tabs>
              <w:rPr>
                <w:sz w:val="20"/>
                <w:szCs w:val="20"/>
              </w:rPr>
            </w:pPr>
            <w:r w:rsidRPr="00E42A45">
              <w:rPr>
                <w:sz w:val="20"/>
                <w:szCs w:val="20"/>
              </w:rPr>
              <w:t xml:space="preserve">        Lokální biocentrum na trase nadregionálního biokoridoru. Tvoří jej příkré svahy Zeleného údolí s velkým převýšením mezi J (vrch Chlum) a S okrajem lokality (175 - 450 m n.m.).  Svah biocentra vytváří široké údolí se sklonem až 70 % a S až SV orientací. Západní hranici lokality tvoří část výrazného hřbetu. Z hlediska ekologických podmínek (zejména troficity) heterogenní stanoviště. </w:t>
            </w:r>
          </w:p>
          <w:p w14:paraId="592E62EF" w14:textId="77777777" w:rsidR="00E42A45" w:rsidRPr="00E42A45" w:rsidRDefault="00E42A45" w:rsidP="00E42A45">
            <w:pPr>
              <w:tabs>
                <w:tab w:val="left" w:pos="709"/>
              </w:tabs>
              <w:rPr>
                <w:sz w:val="20"/>
                <w:szCs w:val="20"/>
              </w:rPr>
            </w:pPr>
          </w:p>
          <w:p w14:paraId="63964410" w14:textId="77777777" w:rsidR="00E42A45" w:rsidRPr="00E42A45" w:rsidRDefault="00E42A45" w:rsidP="00E42A45">
            <w:pPr>
              <w:tabs>
                <w:tab w:val="left" w:pos="709"/>
              </w:tabs>
              <w:rPr>
                <w:sz w:val="20"/>
                <w:szCs w:val="20"/>
              </w:rPr>
            </w:pPr>
            <w:r w:rsidRPr="00E42A45">
              <w:rPr>
                <w:sz w:val="20"/>
                <w:szCs w:val="20"/>
              </w:rPr>
              <w:t xml:space="preserve">       Lesní společenstva jsou tvořena plošně vzato zejména porosty 7. a 11. věk. stupně, částečně též 8., 9. a v jižní části 3. věk. stupně. V aktuální dřevinné skladbě se uplatňuje:    DB, BK, HB, JS, SM, MD, BR, KL, OS, OL, LP                       SES = 4 (3)</w:t>
            </w:r>
          </w:p>
          <w:p w14:paraId="16BE0078" w14:textId="77777777" w:rsidR="00E42A45" w:rsidRPr="00E42A45" w:rsidRDefault="00E42A45" w:rsidP="00E42A45">
            <w:pPr>
              <w:tabs>
                <w:tab w:val="left" w:pos="709"/>
              </w:tabs>
              <w:rPr>
                <w:sz w:val="20"/>
                <w:szCs w:val="20"/>
              </w:rPr>
            </w:pPr>
          </w:p>
          <w:p w14:paraId="1224A93A" w14:textId="77777777" w:rsidR="00E42A45" w:rsidRPr="00E42A45" w:rsidRDefault="00E42A45" w:rsidP="00E42A45">
            <w:pPr>
              <w:tabs>
                <w:tab w:val="left" w:pos="709"/>
              </w:tabs>
              <w:rPr>
                <w:sz w:val="20"/>
                <w:szCs w:val="20"/>
              </w:rPr>
            </w:pPr>
            <w:r w:rsidRPr="00E42A45">
              <w:rPr>
                <w:sz w:val="20"/>
                <w:szCs w:val="20"/>
              </w:rPr>
              <w:t xml:space="preserve">      Dřevinná skladba je nepestřejší v okrajových (ekotonálních) partiích v jižní části biocentra, kde se k níže uvedeným dřevinám přidávají BR, OS, JIV, TRP, JS, a další. </w:t>
            </w:r>
          </w:p>
          <w:p w14:paraId="237CE14D" w14:textId="77777777" w:rsidR="00E42A45" w:rsidRPr="00E42A45" w:rsidRDefault="00E42A45" w:rsidP="00E42A45">
            <w:pPr>
              <w:tabs>
                <w:tab w:val="left" w:pos="709"/>
              </w:tabs>
              <w:rPr>
                <w:sz w:val="20"/>
                <w:szCs w:val="20"/>
              </w:rPr>
            </w:pPr>
            <w:r w:rsidRPr="00E42A45">
              <w:rPr>
                <w:sz w:val="20"/>
                <w:szCs w:val="20"/>
              </w:rPr>
              <w:t xml:space="preserve">     </w:t>
            </w:r>
            <w:r w:rsidRPr="00E42A45">
              <w:rPr>
                <w:b/>
                <w:sz w:val="20"/>
                <w:szCs w:val="20"/>
              </w:rPr>
              <w:t>lesní typy:</w:t>
            </w:r>
            <w:r w:rsidRPr="00E42A45">
              <w:rPr>
                <w:sz w:val="20"/>
                <w:szCs w:val="20"/>
              </w:rPr>
              <w:t xml:space="preserve">                3B2 - bohatá dbBK mařinková                            3S6 - svěží dbBK s mařinkou</w:t>
            </w:r>
          </w:p>
          <w:p w14:paraId="08DC088A" w14:textId="77777777" w:rsidR="00E42A45" w:rsidRPr="00E42A45" w:rsidRDefault="00E42A45" w:rsidP="00E42A45">
            <w:pPr>
              <w:tabs>
                <w:tab w:val="left" w:pos="709"/>
              </w:tabs>
              <w:rPr>
                <w:sz w:val="20"/>
                <w:szCs w:val="20"/>
              </w:rPr>
            </w:pPr>
            <w:r w:rsidRPr="00E42A45">
              <w:rPr>
                <w:sz w:val="20"/>
                <w:szCs w:val="20"/>
              </w:rPr>
              <w:t xml:space="preserve">                                       3D3 - obohacená dbBK bršlicová                        3D6 - obohacená  dbBK bažanková</w:t>
            </w:r>
          </w:p>
          <w:p w14:paraId="7C404722" w14:textId="77777777" w:rsidR="00E42A45" w:rsidRPr="00E42A45" w:rsidRDefault="00E42A45" w:rsidP="00E42A45">
            <w:pPr>
              <w:tabs>
                <w:tab w:val="left" w:pos="709"/>
              </w:tabs>
              <w:rPr>
                <w:sz w:val="20"/>
                <w:szCs w:val="20"/>
              </w:rPr>
            </w:pPr>
            <w:r w:rsidRPr="00E42A45">
              <w:rPr>
                <w:sz w:val="20"/>
                <w:szCs w:val="20"/>
              </w:rPr>
              <w:t xml:space="preserve">                                       3J2 - lipová JV kapradinová (balv.)                     2W1 - bazická bkDB </w:t>
            </w:r>
          </w:p>
          <w:p w14:paraId="48F5DB9C" w14:textId="77777777" w:rsidR="00E42A45" w:rsidRPr="00E42A45" w:rsidRDefault="00E42A45" w:rsidP="00E42A45">
            <w:pPr>
              <w:tabs>
                <w:tab w:val="left" w:pos="709"/>
              </w:tabs>
              <w:rPr>
                <w:sz w:val="20"/>
                <w:szCs w:val="20"/>
              </w:rPr>
            </w:pPr>
            <w:r w:rsidRPr="00E42A45">
              <w:rPr>
                <w:sz w:val="20"/>
                <w:szCs w:val="20"/>
              </w:rPr>
              <w:t xml:space="preserve">Bot.:   Asperula odorata, Actaea spicata, Senecio nemorensis, Mercurialis perennis, Carex sp., Dryopteris filix mas, Athyrium filix femina, </w:t>
            </w:r>
          </w:p>
          <w:p w14:paraId="1AF6DE0B" w14:textId="77777777" w:rsidR="00E42A45" w:rsidRPr="00E42A45" w:rsidRDefault="00E42A45" w:rsidP="00E42A45">
            <w:pPr>
              <w:tabs>
                <w:tab w:val="left" w:pos="709"/>
              </w:tabs>
              <w:rPr>
                <w:sz w:val="20"/>
                <w:szCs w:val="20"/>
              </w:rPr>
            </w:pPr>
            <w:r w:rsidRPr="00E42A45">
              <w:rPr>
                <w:sz w:val="20"/>
                <w:szCs w:val="20"/>
              </w:rPr>
              <w:t xml:space="preserve">           Deschampsia flexuosa,...</w:t>
            </w:r>
          </w:p>
          <w:p w14:paraId="0BB114D4" w14:textId="77777777" w:rsidR="00E42A45" w:rsidRPr="00E42A45" w:rsidRDefault="00E42A45" w:rsidP="00E42A45">
            <w:pPr>
              <w:tabs>
                <w:tab w:val="left" w:pos="709"/>
              </w:tabs>
              <w:rPr>
                <w:sz w:val="20"/>
                <w:szCs w:val="20"/>
              </w:rPr>
            </w:pPr>
            <w:r w:rsidRPr="00E42A45">
              <w:rPr>
                <w:sz w:val="20"/>
                <w:szCs w:val="20"/>
              </w:rPr>
              <w:t>Geol.: mezotrofní až eutrofní hnědá půda</w:t>
            </w:r>
          </w:p>
          <w:p w14:paraId="2378D1C6" w14:textId="77777777" w:rsidR="00E42A45" w:rsidRPr="00E42A45" w:rsidRDefault="00E42A45" w:rsidP="00E42A45">
            <w:pPr>
              <w:pStyle w:val="Zkladntext"/>
              <w:rPr>
                <w:sz w:val="20"/>
                <w:szCs w:val="20"/>
              </w:rPr>
            </w:pPr>
            <w:r w:rsidRPr="00E42A45">
              <w:rPr>
                <w:sz w:val="20"/>
                <w:szCs w:val="20"/>
              </w:rPr>
              <w:t xml:space="preserve">Návrh opatření :  </w:t>
            </w:r>
          </w:p>
          <w:p w14:paraId="6D145AB7" w14:textId="77777777" w:rsidR="00E42A45" w:rsidRPr="00E42A45" w:rsidRDefault="00E42A45" w:rsidP="00E42A45">
            <w:pPr>
              <w:tabs>
                <w:tab w:val="left" w:pos="709"/>
              </w:tabs>
              <w:rPr>
                <w:b/>
                <w:sz w:val="20"/>
                <w:szCs w:val="20"/>
              </w:rPr>
            </w:pPr>
            <w:r w:rsidRPr="00E42A45">
              <w:rPr>
                <w:b/>
                <w:sz w:val="20"/>
                <w:szCs w:val="20"/>
              </w:rPr>
              <w:t>dřeviny přirozené rekonstruované skladby podle SLT:      3B - BK6, DB3, HB1, JD                          3S - BK7, DB3, HB</w:t>
            </w:r>
          </w:p>
          <w:p w14:paraId="40E90AC1" w14:textId="77777777" w:rsidR="00E42A45" w:rsidRPr="00E42A45" w:rsidRDefault="00E42A45" w:rsidP="00E42A45">
            <w:pPr>
              <w:tabs>
                <w:tab w:val="left" w:pos="709"/>
              </w:tabs>
              <w:rPr>
                <w:b/>
                <w:sz w:val="20"/>
                <w:szCs w:val="20"/>
              </w:rPr>
            </w:pPr>
            <w:r w:rsidRPr="00E42A45">
              <w:rPr>
                <w:b/>
                <w:sz w:val="20"/>
                <w:szCs w:val="20"/>
              </w:rPr>
              <w:t xml:space="preserve">                                                                                                  3D - BK6, LP2, DB2, JV, JD                     3J - BK4, LP3, JV2, JD1, JL            </w:t>
            </w:r>
          </w:p>
          <w:p w14:paraId="474E53B9" w14:textId="77777777" w:rsidR="00E42A45" w:rsidRPr="00E42A45" w:rsidRDefault="00E42A45" w:rsidP="00E42A45">
            <w:pPr>
              <w:tabs>
                <w:tab w:val="left" w:pos="709"/>
              </w:tabs>
              <w:rPr>
                <w:b/>
                <w:sz w:val="20"/>
                <w:szCs w:val="20"/>
              </w:rPr>
            </w:pPr>
            <w:r w:rsidRPr="00E42A45">
              <w:rPr>
                <w:b/>
                <w:sz w:val="20"/>
                <w:szCs w:val="20"/>
              </w:rPr>
              <w:t xml:space="preserve"> Zakládáni (v rámci plánované obnovy) a výchova mladých porostů směrem k vertikální a horizontální členitosti a ve smyslu podpory dřevin přirozené skladby, ochrana před zvěří - nátěry, oplocení</w:t>
            </w:r>
          </w:p>
        </w:tc>
      </w:tr>
      <w:tr w:rsidR="00E42A45" w:rsidRPr="00E42A45" w14:paraId="3E073346" w14:textId="77777777" w:rsidTr="00BB63DF">
        <w:tc>
          <w:tcPr>
            <w:tcW w:w="4323" w:type="dxa"/>
            <w:shd w:val="clear" w:color="auto" w:fill="FFFFFF"/>
          </w:tcPr>
          <w:p w14:paraId="39EBA0F9" w14:textId="77777777" w:rsidR="00E42A45" w:rsidRPr="00E42A45" w:rsidRDefault="00E42A45" w:rsidP="00BB63DF">
            <w:pPr>
              <w:tabs>
                <w:tab w:val="left" w:pos="709"/>
              </w:tabs>
              <w:rPr>
                <w:sz w:val="20"/>
                <w:szCs w:val="20"/>
              </w:rPr>
            </w:pPr>
            <w:r w:rsidRPr="00E42A45">
              <w:rPr>
                <w:sz w:val="20"/>
                <w:szCs w:val="20"/>
              </w:rPr>
              <w:t>Vymezení                       LS Děčín, 754/B</w:t>
            </w:r>
          </w:p>
        </w:tc>
        <w:tc>
          <w:tcPr>
            <w:tcW w:w="9821" w:type="dxa"/>
            <w:gridSpan w:val="2"/>
            <w:shd w:val="clear" w:color="auto" w:fill="FFFFFF"/>
          </w:tcPr>
          <w:p w14:paraId="1F8B4C9F" w14:textId="77777777" w:rsidR="00E42A45" w:rsidRPr="00E42A45" w:rsidRDefault="00E42A45" w:rsidP="00BB63DF">
            <w:pPr>
              <w:tabs>
                <w:tab w:val="left" w:pos="709"/>
              </w:tabs>
              <w:rPr>
                <w:sz w:val="20"/>
                <w:szCs w:val="20"/>
              </w:rPr>
            </w:pPr>
            <w:r w:rsidRPr="00E42A45">
              <w:rPr>
                <w:sz w:val="20"/>
                <w:szCs w:val="20"/>
              </w:rPr>
              <w:t>Kultura                                                les</w:t>
            </w:r>
          </w:p>
        </w:tc>
      </w:tr>
      <w:tr w:rsidR="00E42A45" w:rsidRPr="00E42A45" w14:paraId="7DD00E32" w14:textId="77777777" w:rsidTr="00BB63DF">
        <w:trPr>
          <w:trHeight w:val="170"/>
        </w:trPr>
        <w:tc>
          <w:tcPr>
            <w:tcW w:w="4323" w:type="dxa"/>
            <w:shd w:val="clear" w:color="auto" w:fill="FFFFFF"/>
          </w:tcPr>
          <w:p w14:paraId="3546D128" w14:textId="77777777" w:rsidR="00E42A45" w:rsidRPr="00E42A45" w:rsidRDefault="00E42A45" w:rsidP="00BB63DF">
            <w:pPr>
              <w:tabs>
                <w:tab w:val="left" w:pos="709"/>
              </w:tabs>
              <w:rPr>
                <w:sz w:val="20"/>
                <w:szCs w:val="20"/>
              </w:rPr>
            </w:pPr>
            <w:r w:rsidRPr="00E42A45">
              <w:rPr>
                <w:sz w:val="20"/>
                <w:szCs w:val="20"/>
              </w:rPr>
              <w:lastRenderedPageBreak/>
              <w:t>Uživatel</w:t>
            </w:r>
          </w:p>
          <w:p w14:paraId="78D2C55E" w14:textId="77777777" w:rsidR="00E42A45" w:rsidRPr="00E42A45" w:rsidRDefault="00E42A45" w:rsidP="00BB63DF">
            <w:pPr>
              <w:tabs>
                <w:tab w:val="left" w:pos="709"/>
              </w:tabs>
              <w:rPr>
                <w:sz w:val="20"/>
                <w:szCs w:val="20"/>
              </w:rPr>
            </w:pPr>
            <w:r w:rsidRPr="00E42A45">
              <w:rPr>
                <w:sz w:val="20"/>
                <w:szCs w:val="20"/>
              </w:rPr>
              <w:t xml:space="preserve">                                            Lesy ČR</w:t>
            </w:r>
          </w:p>
        </w:tc>
        <w:tc>
          <w:tcPr>
            <w:tcW w:w="9821" w:type="dxa"/>
            <w:gridSpan w:val="2"/>
            <w:shd w:val="clear" w:color="auto" w:fill="FFFFFF"/>
          </w:tcPr>
          <w:p w14:paraId="48EA9F2F" w14:textId="77777777" w:rsidR="00E42A45" w:rsidRPr="00E42A45" w:rsidRDefault="00E42A45" w:rsidP="00BB63DF">
            <w:pPr>
              <w:tabs>
                <w:tab w:val="left" w:pos="709"/>
              </w:tabs>
              <w:rPr>
                <w:sz w:val="20"/>
                <w:szCs w:val="20"/>
              </w:rPr>
            </w:pPr>
            <w:r w:rsidRPr="00E42A45">
              <w:rPr>
                <w:sz w:val="20"/>
                <w:szCs w:val="20"/>
              </w:rPr>
              <w:t>Mapovatel</w:t>
            </w:r>
          </w:p>
          <w:p w14:paraId="6BE9A79C" w14:textId="77777777" w:rsidR="00E42A45" w:rsidRPr="00E42A45" w:rsidRDefault="00E42A45" w:rsidP="00BB63DF">
            <w:pPr>
              <w:tabs>
                <w:tab w:val="left" w:pos="709"/>
              </w:tabs>
              <w:rPr>
                <w:sz w:val="20"/>
                <w:szCs w:val="20"/>
              </w:rPr>
            </w:pPr>
            <w:r w:rsidRPr="00E42A45">
              <w:rPr>
                <w:sz w:val="20"/>
                <w:szCs w:val="20"/>
              </w:rPr>
              <w:t xml:space="preserve">                               Sklenička, Linhart, 1997</w:t>
            </w:r>
          </w:p>
        </w:tc>
      </w:tr>
      <w:tr w:rsidR="00E42A45" w:rsidRPr="00E42A45" w14:paraId="60F1E0E9" w14:textId="77777777" w:rsidTr="00BB63DF">
        <w:tc>
          <w:tcPr>
            <w:tcW w:w="14144" w:type="dxa"/>
            <w:gridSpan w:val="3"/>
            <w:shd w:val="clear" w:color="auto" w:fill="FFFFFF"/>
          </w:tcPr>
          <w:p w14:paraId="31BD7E30" w14:textId="77777777" w:rsidR="00E42A45" w:rsidRPr="00E42A45" w:rsidRDefault="00E42A45" w:rsidP="00BB63DF">
            <w:pPr>
              <w:tabs>
                <w:tab w:val="left" w:pos="709"/>
              </w:tabs>
              <w:rPr>
                <w:sz w:val="20"/>
                <w:szCs w:val="20"/>
              </w:rPr>
            </w:pPr>
            <w:r w:rsidRPr="00E42A45">
              <w:rPr>
                <w:sz w:val="20"/>
                <w:szCs w:val="20"/>
              </w:rPr>
              <w:t xml:space="preserve">Kategorie ochrany, rok vyhlášení                                        </w:t>
            </w:r>
          </w:p>
          <w:p w14:paraId="4D9ED22D" w14:textId="77777777" w:rsidR="00E42A45" w:rsidRPr="00E42A45" w:rsidRDefault="00E42A45" w:rsidP="00BB63DF">
            <w:pPr>
              <w:tabs>
                <w:tab w:val="left" w:pos="709"/>
              </w:tabs>
              <w:rPr>
                <w:b/>
                <w:sz w:val="20"/>
                <w:szCs w:val="20"/>
              </w:rPr>
            </w:pPr>
            <w:r w:rsidRPr="00E42A45">
              <w:rPr>
                <w:sz w:val="20"/>
                <w:szCs w:val="20"/>
              </w:rPr>
              <w:t xml:space="preserve">                                                                                    </w:t>
            </w:r>
            <w:r w:rsidRPr="00E42A45">
              <w:rPr>
                <w:b/>
                <w:sz w:val="20"/>
                <w:szCs w:val="20"/>
              </w:rPr>
              <w:t>CHKO České Středohoří - II. zóna</w:t>
            </w:r>
          </w:p>
        </w:tc>
      </w:tr>
    </w:tbl>
    <w:p w14:paraId="3A4E3F4F" w14:textId="77777777" w:rsidR="00E42A45" w:rsidRPr="00E42A45" w:rsidRDefault="00E42A45" w:rsidP="00CA23D0">
      <w:pPr>
        <w:jc w:val="both"/>
        <w:rPr>
          <w:rFonts w:ascii="Arial" w:hAnsi="Arial" w:cs="Arial"/>
          <w:sz w:val="20"/>
          <w:szCs w:val="20"/>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23"/>
        <w:gridCol w:w="3402"/>
        <w:gridCol w:w="6419"/>
      </w:tblGrid>
      <w:tr w:rsidR="00E42A45" w:rsidRPr="00E42A45" w14:paraId="41C85C4F" w14:textId="77777777" w:rsidTr="00BB63DF">
        <w:tc>
          <w:tcPr>
            <w:tcW w:w="4323" w:type="dxa"/>
            <w:shd w:val="clear" w:color="auto" w:fill="FFFFFF"/>
          </w:tcPr>
          <w:p w14:paraId="66DF8C6B" w14:textId="77777777" w:rsidR="00E42A45" w:rsidRPr="00E42A45" w:rsidRDefault="00E42A45" w:rsidP="00BB63DF">
            <w:pPr>
              <w:tabs>
                <w:tab w:val="left" w:pos="709"/>
              </w:tabs>
              <w:rPr>
                <w:sz w:val="20"/>
                <w:szCs w:val="20"/>
              </w:rPr>
            </w:pPr>
            <w:r w:rsidRPr="00E42A45">
              <w:rPr>
                <w:sz w:val="20"/>
                <w:szCs w:val="20"/>
              </w:rPr>
              <w:t>Pořadové číslo</w:t>
            </w:r>
          </w:p>
          <w:p w14:paraId="291AD318" w14:textId="77777777" w:rsidR="00E42A45" w:rsidRPr="00E42A45" w:rsidRDefault="00E42A45" w:rsidP="00BB63DF">
            <w:pPr>
              <w:tabs>
                <w:tab w:val="left" w:pos="709"/>
              </w:tabs>
              <w:rPr>
                <w:b/>
                <w:sz w:val="20"/>
                <w:szCs w:val="20"/>
              </w:rPr>
            </w:pPr>
            <w:r w:rsidRPr="00E42A45">
              <w:rPr>
                <w:sz w:val="20"/>
                <w:szCs w:val="20"/>
              </w:rPr>
              <w:t xml:space="preserve">                                                  </w:t>
            </w:r>
            <w:r w:rsidRPr="00E42A45">
              <w:rPr>
                <w:b/>
                <w:sz w:val="20"/>
                <w:szCs w:val="20"/>
              </w:rPr>
              <w:t>3</w:t>
            </w:r>
          </w:p>
        </w:tc>
        <w:tc>
          <w:tcPr>
            <w:tcW w:w="9821" w:type="dxa"/>
            <w:gridSpan w:val="2"/>
            <w:shd w:val="clear" w:color="auto" w:fill="FFFFFF"/>
          </w:tcPr>
          <w:p w14:paraId="0520FA9E" w14:textId="77777777" w:rsidR="00E42A45" w:rsidRPr="00E42A45" w:rsidRDefault="00E42A45" w:rsidP="00BB63DF">
            <w:pPr>
              <w:tabs>
                <w:tab w:val="left" w:pos="709"/>
              </w:tabs>
              <w:rPr>
                <w:sz w:val="20"/>
                <w:szCs w:val="20"/>
              </w:rPr>
            </w:pPr>
            <w:r w:rsidRPr="00E42A45">
              <w:rPr>
                <w:sz w:val="20"/>
                <w:szCs w:val="20"/>
              </w:rPr>
              <w:t>Katastrální území</w:t>
            </w:r>
          </w:p>
          <w:p w14:paraId="5D3B2A08" w14:textId="77777777" w:rsidR="00E42A45" w:rsidRPr="00E42A45" w:rsidRDefault="00E42A45" w:rsidP="00BB63DF">
            <w:pPr>
              <w:pStyle w:val="Nadpis4"/>
              <w:tabs>
                <w:tab w:val="left" w:pos="709"/>
              </w:tabs>
              <w:spacing w:before="0" w:after="0"/>
              <w:rPr>
                <w:caps/>
                <w:sz w:val="20"/>
                <w:szCs w:val="20"/>
              </w:rPr>
            </w:pPr>
            <w:r w:rsidRPr="00E42A45">
              <w:rPr>
                <w:caps/>
                <w:sz w:val="20"/>
                <w:szCs w:val="20"/>
              </w:rPr>
              <w:t xml:space="preserve">                                 Křešice, Chlum, Boletice</w:t>
            </w:r>
          </w:p>
        </w:tc>
      </w:tr>
      <w:tr w:rsidR="00E42A45" w:rsidRPr="00E42A45" w14:paraId="3BA3B76C" w14:textId="77777777" w:rsidTr="00BB63DF">
        <w:tc>
          <w:tcPr>
            <w:tcW w:w="4323" w:type="dxa"/>
            <w:shd w:val="clear" w:color="auto" w:fill="FFFFFF"/>
          </w:tcPr>
          <w:p w14:paraId="3E8A0FA7" w14:textId="77777777" w:rsidR="00E42A45" w:rsidRPr="00E42A45" w:rsidRDefault="00E42A45" w:rsidP="00BB63DF">
            <w:pPr>
              <w:tabs>
                <w:tab w:val="left" w:pos="709"/>
              </w:tabs>
              <w:rPr>
                <w:b/>
                <w:caps/>
                <w:sz w:val="20"/>
                <w:szCs w:val="20"/>
              </w:rPr>
            </w:pPr>
            <w:r w:rsidRPr="00E42A45">
              <w:rPr>
                <w:sz w:val="20"/>
                <w:szCs w:val="20"/>
              </w:rPr>
              <w:t xml:space="preserve">Název                                    </w:t>
            </w:r>
            <w:r w:rsidRPr="00E42A45">
              <w:rPr>
                <w:b/>
                <w:caps/>
                <w:sz w:val="20"/>
                <w:szCs w:val="20"/>
              </w:rPr>
              <w:t>Bučina nad Chlumem</w:t>
            </w:r>
          </w:p>
        </w:tc>
        <w:tc>
          <w:tcPr>
            <w:tcW w:w="3402" w:type="dxa"/>
            <w:shd w:val="clear" w:color="auto" w:fill="FFFFFF"/>
          </w:tcPr>
          <w:p w14:paraId="5187420C" w14:textId="77777777" w:rsidR="00E42A45" w:rsidRPr="00E42A45" w:rsidRDefault="00E42A45" w:rsidP="00BB63DF">
            <w:pPr>
              <w:tabs>
                <w:tab w:val="left" w:pos="709"/>
              </w:tabs>
              <w:rPr>
                <w:sz w:val="20"/>
                <w:szCs w:val="20"/>
              </w:rPr>
            </w:pPr>
            <w:r w:rsidRPr="00E42A45">
              <w:rPr>
                <w:sz w:val="20"/>
                <w:szCs w:val="20"/>
              </w:rPr>
              <w:t>Mapový list           02-23-24</w:t>
            </w:r>
          </w:p>
        </w:tc>
        <w:tc>
          <w:tcPr>
            <w:tcW w:w="6419" w:type="dxa"/>
            <w:shd w:val="clear" w:color="auto" w:fill="FFFFFF"/>
          </w:tcPr>
          <w:p w14:paraId="4CFDB208" w14:textId="77777777" w:rsidR="00E42A45" w:rsidRPr="00E42A45" w:rsidRDefault="00E42A45" w:rsidP="00BB63DF">
            <w:pPr>
              <w:tabs>
                <w:tab w:val="left" w:pos="709"/>
              </w:tabs>
              <w:rPr>
                <w:b/>
                <w:sz w:val="20"/>
                <w:szCs w:val="20"/>
              </w:rPr>
            </w:pPr>
            <w:r w:rsidRPr="00E42A45">
              <w:rPr>
                <w:sz w:val="20"/>
                <w:szCs w:val="20"/>
              </w:rPr>
              <w:t xml:space="preserve">Výměra </w:t>
            </w:r>
            <w:r w:rsidRPr="00E42A45">
              <w:rPr>
                <w:b/>
                <w:sz w:val="20"/>
                <w:szCs w:val="20"/>
              </w:rPr>
              <w:t xml:space="preserve">113,07 ha                           </w:t>
            </w:r>
          </w:p>
        </w:tc>
      </w:tr>
      <w:tr w:rsidR="00E42A45" w:rsidRPr="00E42A45" w14:paraId="2BEEB55D" w14:textId="77777777" w:rsidTr="00BB63DF">
        <w:tc>
          <w:tcPr>
            <w:tcW w:w="4323" w:type="dxa"/>
            <w:shd w:val="clear" w:color="auto" w:fill="FFFFFF"/>
          </w:tcPr>
          <w:p w14:paraId="12C06DE6" w14:textId="77777777" w:rsidR="00E42A45" w:rsidRPr="00E42A45" w:rsidRDefault="00E42A45" w:rsidP="00BB63DF">
            <w:pPr>
              <w:tabs>
                <w:tab w:val="left" w:pos="709"/>
              </w:tabs>
              <w:rPr>
                <w:sz w:val="20"/>
                <w:szCs w:val="20"/>
              </w:rPr>
            </w:pPr>
            <w:r w:rsidRPr="00E42A45">
              <w:rPr>
                <w:sz w:val="20"/>
                <w:szCs w:val="20"/>
              </w:rPr>
              <w:t>EVKP - ekologicky významný krajinný prvek</w:t>
            </w:r>
          </w:p>
          <w:p w14:paraId="7B44C4DA" w14:textId="77777777" w:rsidR="00E42A45" w:rsidRPr="00E42A45" w:rsidRDefault="00E42A45" w:rsidP="00BB63DF">
            <w:pPr>
              <w:tabs>
                <w:tab w:val="left" w:pos="709"/>
              </w:tabs>
              <w:rPr>
                <w:sz w:val="20"/>
                <w:szCs w:val="20"/>
              </w:rPr>
            </w:pPr>
            <w:r w:rsidRPr="00E42A45">
              <w:rPr>
                <w:sz w:val="20"/>
                <w:szCs w:val="20"/>
              </w:rPr>
              <w:t>EVKC - ekologicky významný krajinný celek</w:t>
            </w:r>
          </w:p>
          <w:p w14:paraId="1840D729" w14:textId="77777777" w:rsidR="00E42A45" w:rsidRPr="00E42A45" w:rsidRDefault="00E42A45" w:rsidP="00BB63DF">
            <w:pPr>
              <w:pStyle w:val="Nadpis6"/>
              <w:rPr>
                <w:sz w:val="20"/>
                <w:szCs w:val="20"/>
              </w:rPr>
            </w:pPr>
            <w:r w:rsidRPr="00E42A45">
              <w:rPr>
                <w:sz w:val="20"/>
                <w:szCs w:val="20"/>
              </w:rPr>
              <w:t>EVKO - ekologicky významná krajinná oblast</w:t>
            </w:r>
          </w:p>
          <w:p w14:paraId="0A8AEC08" w14:textId="77777777" w:rsidR="00E42A45" w:rsidRPr="00E42A45" w:rsidRDefault="00E42A45" w:rsidP="00BB63DF">
            <w:pPr>
              <w:tabs>
                <w:tab w:val="left" w:pos="709"/>
              </w:tabs>
              <w:rPr>
                <w:sz w:val="20"/>
                <w:szCs w:val="20"/>
              </w:rPr>
            </w:pPr>
            <w:r w:rsidRPr="00E42A45">
              <w:rPr>
                <w:sz w:val="20"/>
                <w:szCs w:val="20"/>
              </w:rPr>
              <w:t>EVLS  - ekologicky významné liniové společenstvo</w:t>
            </w:r>
          </w:p>
        </w:tc>
        <w:tc>
          <w:tcPr>
            <w:tcW w:w="3402" w:type="dxa"/>
            <w:shd w:val="clear" w:color="auto" w:fill="FFFFFF"/>
          </w:tcPr>
          <w:p w14:paraId="0E8DA1DC" w14:textId="77777777" w:rsidR="00E42A45" w:rsidRPr="00E42A45" w:rsidRDefault="00E42A45" w:rsidP="00BB63DF">
            <w:pPr>
              <w:tabs>
                <w:tab w:val="left" w:pos="709"/>
              </w:tabs>
              <w:rPr>
                <w:sz w:val="20"/>
                <w:szCs w:val="20"/>
              </w:rPr>
            </w:pPr>
            <w:r w:rsidRPr="00E42A45">
              <w:rPr>
                <w:sz w:val="20"/>
                <w:szCs w:val="20"/>
              </w:rPr>
              <w:t>Biogeografický význam</w:t>
            </w:r>
          </w:p>
          <w:p w14:paraId="6A873C2D" w14:textId="77777777" w:rsidR="00E42A45" w:rsidRPr="00E42A45" w:rsidRDefault="00E42A45" w:rsidP="00BB63DF">
            <w:pPr>
              <w:tabs>
                <w:tab w:val="left" w:pos="709"/>
              </w:tabs>
              <w:rPr>
                <w:sz w:val="20"/>
                <w:szCs w:val="20"/>
              </w:rPr>
            </w:pPr>
            <w:r w:rsidRPr="00E42A45">
              <w:rPr>
                <w:sz w:val="20"/>
                <w:szCs w:val="20"/>
              </w:rPr>
              <w:t xml:space="preserve">       -</w:t>
            </w:r>
            <w:r w:rsidRPr="00E42A45">
              <w:rPr>
                <w:sz w:val="20"/>
                <w:szCs w:val="20"/>
                <w:u w:val="single"/>
              </w:rPr>
              <w:t xml:space="preserve"> </w:t>
            </w:r>
            <w:r w:rsidRPr="00E42A45">
              <w:rPr>
                <w:sz w:val="20"/>
                <w:szCs w:val="20"/>
              </w:rPr>
              <w:t>lokální, reprezentativní</w:t>
            </w:r>
          </w:p>
          <w:p w14:paraId="611C8095" w14:textId="77777777" w:rsidR="00E42A45" w:rsidRPr="00E42A45" w:rsidRDefault="00E42A45" w:rsidP="00BB63DF">
            <w:pPr>
              <w:tabs>
                <w:tab w:val="left" w:pos="709"/>
              </w:tabs>
              <w:ind w:left="345"/>
              <w:rPr>
                <w:b/>
                <w:sz w:val="20"/>
                <w:szCs w:val="20"/>
              </w:rPr>
            </w:pPr>
            <w:r w:rsidRPr="00E42A45">
              <w:rPr>
                <w:sz w:val="20"/>
                <w:szCs w:val="20"/>
              </w:rPr>
              <w:t xml:space="preserve"> </w:t>
            </w:r>
            <w:r w:rsidRPr="00E42A45">
              <w:rPr>
                <w:b/>
                <w:sz w:val="20"/>
                <w:szCs w:val="20"/>
              </w:rPr>
              <w:t>- regionální, reprezentativní</w:t>
            </w:r>
          </w:p>
          <w:p w14:paraId="1D7DC619" w14:textId="77777777" w:rsidR="00E42A45" w:rsidRPr="00E42A45" w:rsidRDefault="00E42A45" w:rsidP="00BB63DF">
            <w:pPr>
              <w:tabs>
                <w:tab w:val="left" w:pos="709"/>
              </w:tabs>
              <w:ind w:left="345"/>
              <w:rPr>
                <w:sz w:val="20"/>
                <w:szCs w:val="20"/>
              </w:rPr>
            </w:pPr>
            <w:r w:rsidRPr="00E42A45">
              <w:rPr>
                <w:b/>
                <w:sz w:val="20"/>
                <w:szCs w:val="20"/>
              </w:rPr>
              <w:t xml:space="preserve"> </w:t>
            </w:r>
            <w:r w:rsidRPr="00E42A45">
              <w:rPr>
                <w:sz w:val="20"/>
                <w:szCs w:val="20"/>
              </w:rPr>
              <w:t>- nadregionální</w:t>
            </w:r>
          </w:p>
        </w:tc>
        <w:tc>
          <w:tcPr>
            <w:tcW w:w="6419" w:type="dxa"/>
            <w:shd w:val="clear" w:color="auto" w:fill="FFFFFF"/>
          </w:tcPr>
          <w:p w14:paraId="7D256B1F" w14:textId="77777777" w:rsidR="00E42A45" w:rsidRPr="00E42A45" w:rsidRDefault="00E42A45" w:rsidP="00BB63DF">
            <w:pPr>
              <w:tabs>
                <w:tab w:val="left" w:pos="709"/>
              </w:tabs>
              <w:rPr>
                <w:sz w:val="20"/>
                <w:szCs w:val="20"/>
              </w:rPr>
            </w:pPr>
            <w:r w:rsidRPr="00E42A45">
              <w:rPr>
                <w:sz w:val="20"/>
                <w:szCs w:val="20"/>
              </w:rPr>
              <w:t>Stav</w:t>
            </w:r>
          </w:p>
          <w:p w14:paraId="1F8B6D63" w14:textId="77777777" w:rsidR="00E42A45" w:rsidRPr="00E42A45" w:rsidRDefault="00E42A45" w:rsidP="00BB63DF">
            <w:pPr>
              <w:tabs>
                <w:tab w:val="left" w:pos="709"/>
              </w:tabs>
              <w:ind w:left="405"/>
              <w:rPr>
                <w:b/>
                <w:sz w:val="20"/>
                <w:szCs w:val="20"/>
              </w:rPr>
            </w:pPr>
            <w:r w:rsidRPr="00E42A45">
              <w:rPr>
                <w:b/>
                <w:sz w:val="20"/>
                <w:szCs w:val="20"/>
              </w:rPr>
              <w:t>-  funkčně vymezený</w:t>
            </w:r>
          </w:p>
          <w:p w14:paraId="42F042CF" w14:textId="77777777" w:rsidR="00E42A45" w:rsidRPr="00E42A45" w:rsidRDefault="00E42A45" w:rsidP="00BB63DF">
            <w:pPr>
              <w:tabs>
                <w:tab w:val="left" w:pos="709"/>
              </w:tabs>
              <w:rPr>
                <w:sz w:val="20"/>
                <w:szCs w:val="20"/>
              </w:rPr>
            </w:pPr>
            <w:r w:rsidRPr="00E42A45">
              <w:rPr>
                <w:sz w:val="20"/>
                <w:szCs w:val="20"/>
              </w:rPr>
              <w:t xml:space="preserve">       -  semifunkční    </w:t>
            </w:r>
          </w:p>
          <w:p w14:paraId="163FE2DB" w14:textId="77777777" w:rsidR="00E42A45" w:rsidRPr="00E42A45" w:rsidRDefault="00E42A45" w:rsidP="00BB63DF">
            <w:pPr>
              <w:tabs>
                <w:tab w:val="left" w:pos="709"/>
              </w:tabs>
              <w:rPr>
                <w:sz w:val="20"/>
                <w:szCs w:val="20"/>
              </w:rPr>
            </w:pPr>
            <w:r w:rsidRPr="00E42A45">
              <w:rPr>
                <w:sz w:val="20"/>
                <w:szCs w:val="20"/>
              </w:rPr>
              <w:t xml:space="preserve">        -  navržený</w:t>
            </w:r>
          </w:p>
        </w:tc>
      </w:tr>
      <w:tr w:rsidR="00E42A45" w:rsidRPr="00E42A45" w14:paraId="74FE57E0" w14:textId="77777777" w:rsidTr="00BB63DF">
        <w:tc>
          <w:tcPr>
            <w:tcW w:w="4323" w:type="dxa"/>
            <w:shd w:val="clear" w:color="auto" w:fill="FFFFFF"/>
          </w:tcPr>
          <w:p w14:paraId="7FB08766" w14:textId="77777777" w:rsidR="00E42A45" w:rsidRPr="00E42A45" w:rsidRDefault="00E42A45" w:rsidP="00BB63DF">
            <w:pPr>
              <w:tabs>
                <w:tab w:val="left" w:pos="709"/>
              </w:tabs>
              <w:rPr>
                <w:sz w:val="20"/>
                <w:szCs w:val="20"/>
              </w:rPr>
            </w:pPr>
            <w:r w:rsidRPr="00E42A45">
              <w:rPr>
                <w:sz w:val="20"/>
                <w:szCs w:val="20"/>
              </w:rPr>
              <w:t>Geobiocenologická typizace (vegetační stupeň, trofická řada, hydrická řada)</w:t>
            </w:r>
          </w:p>
          <w:p w14:paraId="3247535C" w14:textId="77777777" w:rsidR="00E42A45" w:rsidRPr="00E42A45" w:rsidRDefault="00E42A45" w:rsidP="00BB63DF">
            <w:pPr>
              <w:tabs>
                <w:tab w:val="left" w:pos="709"/>
              </w:tabs>
              <w:rPr>
                <w:sz w:val="20"/>
                <w:szCs w:val="20"/>
              </w:rPr>
            </w:pPr>
            <w:r w:rsidRPr="00E42A45">
              <w:rPr>
                <w:sz w:val="20"/>
                <w:szCs w:val="20"/>
              </w:rPr>
              <w:t xml:space="preserve">                         3B3,   3BC3,  3C3, 2BD1, 3BD3, 3C4 </w:t>
            </w:r>
          </w:p>
        </w:tc>
        <w:tc>
          <w:tcPr>
            <w:tcW w:w="9821" w:type="dxa"/>
            <w:gridSpan w:val="2"/>
            <w:shd w:val="clear" w:color="auto" w:fill="FFFFFF"/>
          </w:tcPr>
          <w:p w14:paraId="7555BB46" w14:textId="77777777" w:rsidR="00E42A45" w:rsidRPr="00E42A45" w:rsidRDefault="00E42A45" w:rsidP="00BB63DF">
            <w:pPr>
              <w:tabs>
                <w:tab w:val="left" w:pos="709"/>
              </w:tabs>
              <w:rPr>
                <w:sz w:val="20"/>
                <w:szCs w:val="20"/>
              </w:rPr>
            </w:pPr>
          </w:p>
        </w:tc>
      </w:tr>
      <w:tr w:rsidR="00E42A45" w:rsidRPr="00E42A45" w14:paraId="78E822E1" w14:textId="77777777" w:rsidTr="00BB63DF">
        <w:tc>
          <w:tcPr>
            <w:tcW w:w="14144" w:type="dxa"/>
            <w:gridSpan w:val="3"/>
          </w:tcPr>
          <w:p w14:paraId="5C7E187F" w14:textId="77777777" w:rsidR="00E42A45" w:rsidRPr="00E42A45" w:rsidRDefault="00E42A45" w:rsidP="00E42A45">
            <w:pPr>
              <w:pStyle w:val="Nadpis8"/>
              <w:ind w:left="0" w:firstLine="0"/>
            </w:pPr>
            <w:r w:rsidRPr="00E42A45">
              <w:lastRenderedPageBreak/>
              <w:t>Charakter ekotopu a bioty</w:t>
            </w:r>
          </w:p>
          <w:p w14:paraId="6C7E9E2B" w14:textId="77777777" w:rsidR="00E42A45" w:rsidRPr="00E42A45" w:rsidRDefault="00E42A45" w:rsidP="00BB63DF">
            <w:pPr>
              <w:tabs>
                <w:tab w:val="left" w:pos="709"/>
              </w:tabs>
              <w:rPr>
                <w:sz w:val="20"/>
                <w:szCs w:val="20"/>
              </w:rPr>
            </w:pPr>
            <w:r w:rsidRPr="00E42A45">
              <w:rPr>
                <w:sz w:val="20"/>
                <w:szCs w:val="20"/>
              </w:rPr>
              <w:t xml:space="preserve">        Regionální biocentrum na trase nadregionálního biokoridoru. Tvoří jej strmé svahy v nadm. výšce 210 - 380 m, převážně se Z, J a JZ orientací. Reliéf lokality je velmi rozmanitý, silně zvlněný, se sklonem svahů v průměru 30%.</w:t>
            </w:r>
          </w:p>
          <w:p w14:paraId="5086D640" w14:textId="77777777" w:rsidR="00E42A45" w:rsidRPr="00E42A45" w:rsidRDefault="00E42A45" w:rsidP="00BB63DF">
            <w:pPr>
              <w:tabs>
                <w:tab w:val="left" w:pos="709"/>
              </w:tabs>
              <w:rPr>
                <w:sz w:val="20"/>
                <w:szCs w:val="20"/>
              </w:rPr>
            </w:pPr>
            <w:r w:rsidRPr="00E42A45">
              <w:rPr>
                <w:sz w:val="20"/>
                <w:szCs w:val="20"/>
              </w:rPr>
              <w:t xml:space="preserve">       Západní hranici lokality tvoří mezní (okrajová) společenstva ekotonálního charakteru při přechodu les - extenzivní pastviny a rozptýlený intravilán.   Z hlediska ekologických podmínek (zejména troficity) jde o poměrně heterogenní stanoviště. </w:t>
            </w:r>
          </w:p>
          <w:p w14:paraId="5FD62E30" w14:textId="77777777" w:rsidR="00E42A45" w:rsidRPr="00E42A45" w:rsidRDefault="00E42A45" w:rsidP="00BB63DF">
            <w:pPr>
              <w:tabs>
                <w:tab w:val="left" w:pos="709"/>
              </w:tabs>
              <w:rPr>
                <w:sz w:val="20"/>
                <w:szCs w:val="20"/>
              </w:rPr>
            </w:pPr>
            <w:r w:rsidRPr="00E42A45">
              <w:rPr>
                <w:sz w:val="20"/>
                <w:szCs w:val="20"/>
              </w:rPr>
              <w:t xml:space="preserve">       Lesní společenstva jsou tvořena věkově proměnlivými porosty. V aktuální dřevinné skladbě se uplatňuje:</w:t>
            </w:r>
          </w:p>
          <w:p w14:paraId="36B6D895" w14:textId="77777777" w:rsidR="00E42A45" w:rsidRPr="00E42A45" w:rsidRDefault="00E42A45" w:rsidP="00BB63DF">
            <w:pPr>
              <w:tabs>
                <w:tab w:val="left" w:pos="709"/>
              </w:tabs>
              <w:rPr>
                <w:sz w:val="20"/>
                <w:szCs w:val="20"/>
              </w:rPr>
            </w:pPr>
          </w:p>
          <w:p w14:paraId="1F9F8A3F" w14:textId="77777777" w:rsidR="00E42A45" w:rsidRPr="00E42A45" w:rsidRDefault="00E42A45" w:rsidP="00BB63DF">
            <w:pPr>
              <w:tabs>
                <w:tab w:val="left" w:pos="709"/>
              </w:tabs>
              <w:rPr>
                <w:sz w:val="20"/>
                <w:szCs w:val="20"/>
              </w:rPr>
            </w:pPr>
            <w:r w:rsidRPr="00E42A45">
              <w:rPr>
                <w:sz w:val="20"/>
                <w:szCs w:val="20"/>
              </w:rPr>
              <w:t>756/D - MD, DB, JS, KL, OL, BR, HB, BK                                                756/E - SM, DB, HB, BO, JS, OS, KL, MD, OL, DG</w:t>
            </w:r>
          </w:p>
          <w:p w14:paraId="46875C9E" w14:textId="77777777" w:rsidR="00E42A45" w:rsidRPr="00E42A45" w:rsidRDefault="00E42A45" w:rsidP="00BB63DF">
            <w:pPr>
              <w:tabs>
                <w:tab w:val="left" w:pos="709"/>
              </w:tabs>
              <w:rPr>
                <w:sz w:val="20"/>
                <w:szCs w:val="20"/>
              </w:rPr>
            </w:pPr>
            <w:r w:rsidRPr="00E42A45">
              <w:rPr>
                <w:sz w:val="20"/>
                <w:szCs w:val="20"/>
              </w:rPr>
              <w:t>757/B - DB, BO, SM, BR, MD, JS, OL, JR, DG, AK, BK                           757/C - SM, JS, BO, BR, DB, OL, JS, OS, BK, MD</w:t>
            </w:r>
          </w:p>
          <w:p w14:paraId="51F8E90C" w14:textId="77777777" w:rsidR="00E42A45" w:rsidRPr="00E42A45" w:rsidRDefault="00E42A45" w:rsidP="00BB63DF">
            <w:pPr>
              <w:tabs>
                <w:tab w:val="left" w:pos="709"/>
              </w:tabs>
              <w:rPr>
                <w:sz w:val="20"/>
                <w:szCs w:val="20"/>
              </w:rPr>
            </w:pPr>
            <w:r w:rsidRPr="00E42A45">
              <w:rPr>
                <w:sz w:val="20"/>
                <w:szCs w:val="20"/>
              </w:rPr>
              <w:t>757/D - BO, DB, SM, JS, BR, MD, OL, OS                                               757/E - DB, BK, JS, BO, SM, KL, LP, MD</w:t>
            </w:r>
          </w:p>
          <w:p w14:paraId="55114E6B" w14:textId="77777777" w:rsidR="00E42A45" w:rsidRPr="00E42A45" w:rsidRDefault="00E42A45" w:rsidP="00BB63DF">
            <w:pPr>
              <w:tabs>
                <w:tab w:val="left" w:pos="709"/>
              </w:tabs>
              <w:rPr>
                <w:sz w:val="20"/>
                <w:szCs w:val="20"/>
              </w:rPr>
            </w:pPr>
            <w:r w:rsidRPr="00E42A45">
              <w:rPr>
                <w:sz w:val="20"/>
                <w:szCs w:val="20"/>
              </w:rPr>
              <w:t xml:space="preserve">757/F - SM, DB, BO, MD, BR, KL, OL, JS, BOC                                                                                                                                   SES = 4 (3,5) </w:t>
            </w:r>
          </w:p>
          <w:p w14:paraId="13FA4FA4" w14:textId="77777777" w:rsidR="00E42A45" w:rsidRPr="00E42A45" w:rsidRDefault="00E42A45" w:rsidP="00BB63DF">
            <w:pPr>
              <w:tabs>
                <w:tab w:val="left" w:pos="709"/>
              </w:tabs>
              <w:rPr>
                <w:sz w:val="20"/>
                <w:szCs w:val="20"/>
              </w:rPr>
            </w:pPr>
            <w:r w:rsidRPr="00E42A45">
              <w:rPr>
                <w:sz w:val="20"/>
                <w:szCs w:val="20"/>
              </w:rPr>
              <w:t xml:space="preserve">       Dřevinná skladba je nejpestřejší v okrajových (ekotonálních) partiích vzápadní části biocentra, kde se k výše uvedeným dřevinám přidávají OS, JIV, TRP,  RŠ, TR, HO,BČ.     </w:t>
            </w:r>
          </w:p>
          <w:p w14:paraId="04CE0838" w14:textId="77777777" w:rsidR="00E42A45" w:rsidRPr="00E42A45" w:rsidRDefault="00E42A45" w:rsidP="00BB63DF">
            <w:pPr>
              <w:tabs>
                <w:tab w:val="left" w:pos="709"/>
              </w:tabs>
              <w:rPr>
                <w:sz w:val="20"/>
                <w:szCs w:val="20"/>
              </w:rPr>
            </w:pPr>
            <w:r w:rsidRPr="00E42A45">
              <w:rPr>
                <w:sz w:val="20"/>
                <w:szCs w:val="20"/>
              </w:rPr>
              <w:t xml:space="preserve">                   </w:t>
            </w:r>
            <w:r w:rsidRPr="00E42A45">
              <w:rPr>
                <w:b/>
                <w:sz w:val="20"/>
                <w:szCs w:val="20"/>
              </w:rPr>
              <w:t>lesní typy:</w:t>
            </w:r>
            <w:r w:rsidRPr="00E42A45">
              <w:rPr>
                <w:sz w:val="20"/>
                <w:szCs w:val="20"/>
              </w:rPr>
              <w:t xml:space="preserve">   3B2 - bohatá dbBK mařinková                              3S6 - svěží dbBK s mařinkou</w:t>
            </w:r>
          </w:p>
          <w:p w14:paraId="6F1E0450" w14:textId="77777777" w:rsidR="00E42A45" w:rsidRPr="00E42A45" w:rsidRDefault="00E42A45" w:rsidP="00BB63DF">
            <w:pPr>
              <w:tabs>
                <w:tab w:val="left" w:pos="709"/>
              </w:tabs>
              <w:rPr>
                <w:sz w:val="20"/>
                <w:szCs w:val="20"/>
              </w:rPr>
            </w:pPr>
            <w:r w:rsidRPr="00E42A45">
              <w:rPr>
                <w:sz w:val="20"/>
                <w:szCs w:val="20"/>
              </w:rPr>
              <w:t xml:space="preserve">                                       3D3 - obohacená dbBK bršlicová                          3D6 - obohacená  dbBK bažanková</w:t>
            </w:r>
          </w:p>
          <w:p w14:paraId="6D986533" w14:textId="77777777" w:rsidR="00E42A45" w:rsidRPr="00E42A45" w:rsidRDefault="00E42A45" w:rsidP="00BB63DF">
            <w:pPr>
              <w:tabs>
                <w:tab w:val="left" w:pos="709"/>
              </w:tabs>
              <w:rPr>
                <w:sz w:val="20"/>
                <w:szCs w:val="20"/>
              </w:rPr>
            </w:pPr>
            <w:r w:rsidRPr="00E42A45">
              <w:rPr>
                <w:sz w:val="20"/>
                <w:szCs w:val="20"/>
              </w:rPr>
              <w:t xml:space="preserve">                                       3U1 - javorová JS bršlicová                                   3A3 - lpdbBK s pitulníkem</w:t>
            </w:r>
          </w:p>
          <w:p w14:paraId="0A6F445A" w14:textId="77777777" w:rsidR="00E42A45" w:rsidRPr="00E42A45" w:rsidRDefault="00E42A45" w:rsidP="00BB63DF">
            <w:pPr>
              <w:tabs>
                <w:tab w:val="left" w:pos="709"/>
              </w:tabs>
              <w:rPr>
                <w:sz w:val="20"/>
                <w:szCs w:val="20"/>
              </w:rPr>
            </w:pPr>
            <w:r w:rsidRPr="00E42A45">
              <w:rPr>
                <w:sz w:val="20"/>
                <w:szCs w:val="20"/>
              </w:rPr>
              <w:t xml:space="preserve">                                       3H1 - hlinitá dbBK šťavelová                                 2C3 - vysýchavá bkDB teplomilná</w:t>
            </w:r>
          </w:p>
          <w:p w14:paraId="699DD6AF" w14:textId="77777777" w:rsidR="00E42A45" w:rsidRPr="00E42A45" w:rsidRDefault="00E42A45" w:rsidP="00BB63DF">
            <w:pPr>
              <w:tabs>
                <w:tab w:val="left" w:pos="709"/>
              </w:tabs>
              <w:rPr>
                <w:sz w:val="20"/>
                <w:szCs w:val="20"/>
              </w:rPr>
            </w:pPr>
            <w:r w:rsidRPr="00E42A45">
              <w:rPr>
                <w:sz w:val="20"/>
                <w:szCs w:val="20"/>
              </w:rPr>
              <w:t xml:space="preserve">Bot.:   Asperula odorata, Senecio nemorensis, Mercurialis perennis, Carex sp., Dryopteris filix mas, Athyrium filix femina, </w:t>
            </w:r>
          </w:p>
          <w:p w14:paraId="6741D4EF" w14:textId="77777777" w:rsidR="00E42A45" w:rsidRPr="00E42A45" w:rsidRDefault="00E42A45" w:rsidP="00BB63DF">
            <w:pPr>
              <w:tabs>
                <w:tab w:val="left" w:pos="709"/>
              </w:tabs>
              <w:rPr>
                <w:sz w:val="20"/>
                <w:szCs w:val="20"/>
              </w:rPr>
            </w:pPr>
            <w:r w:rsidRPr="00E42A45">
              <w:rPr>
                <w:sz w:val="20"/>
                <w:szCs w:val="20"/>
              </w:rPr>
              <w:t xml:space="preserve">           Deschampsia flexuosa, v jižní části (údolní poloha) Aegopodium podagraria, Urtica dioica, Oxalis acetosella, Chaerophylum hirsutum,...</w:t>
            </w:r>
          </w:p>
          <w:p w14:paraId="6392BB19" w14:textId="77777777" w:rsidR="00E42A45" w:rsidRPr="00E42A45" w:rsidRDefault="00E42A45" w:rsidP="00BB63DF">
            <w:pPr>
              <w:tabs>
                <w:tab w:val="left" w:pos="709"/>
              </w:tabs>
              <w:rPr>
                <w:sz w:val="20"/>
                <w:szCs w:val="20"/>
              </w:rPr>
            </w:pPr>
            <w:r w:rsidRPr="00E42A45">
              <w:rPr>
                <w:sz w:val="20"/>
                <w:szCs w:val="20"/>
              </w:rPr>
              <w:t>Geol.: mezotrofní až eutrofní hnědá půda, v jižní části oglejená mezotrofní hnědá půda</w:t>
            </w:r>
          </w:p>
          <w:p w14:paraId="0F20ABF7" w14:textId="77777777" w:rsidR="00E42A45" w:rsidRPr="00E42A45" w:rsidRDefault="00E42A45" w:rsidP="00BB63DF">
            <w:pPr>
              <w:tabs>
                <w:tab w:val="left" w:pos="709"/>
              </w:tabs>
              <w:rPr>
                <w:sz w:val="20"/>
                <w:szCs w:val="20"/>
              </w:rPr>
            </w:pPr>
          </w:p>
          <w:p w14:paraId="7371DC33" w14:textId="77777777" w:rsidR="00E42A45" w:rsidRPr="00E42A45" w:rsidRDefault="00E42A45" w:rsidP="00BB63DF">
            <w:pPr>
              <w:tabs>
                <w:tab w:val="left" w:pos="709"/>
              </w:tabs>
              <w:rPr>
                <w:b/>
                <w:sz w:val="20"/>
                <w:szCs w:val="20"/>
              </w:rPr>
            </w:pPr>
            <w:r w:rsidRPr="00E42A45">
              <w:rPr>
                <w:b/>
                <w:sz w:val="20"/>
                <w:szCs w:val="20"/>
              </w:rPr>
              <w:t xml:space="preserve">Návrh opatření:  </w:t>
            </w:r>
          </w:p>
          <w:p w14:paraId="72197694" w14:textId="77777777" w:rsidR="00E42A45" w:rsidRPr="00E42A45" w:rsidRDefault="00E42A45" w:rsidP="00BB63DF">
            <w:pPr>
              <w:tabs>
                <w:tab w:val="left" w:pos="709"/>
              </w:tabs>
              <w:rPr>
                <w:b/>
                <w:sz w:val="20"/>
                <w:szCs w:val="20"/>
              </w:rPr>
            </w:pPr>
            <w:r w:rsidRPr="00E42A45">
              <w:rPr>
                <w:b/>
                <w:sz w:val="20"/>
                <w:szCs w:val="20"/>
              </w:rPr>
              <w:t>dřeviny přirozené rekonstruované skladby podle SLT:      3B - BK6, DB3, HB1, JD                    3S - BK7, DB3, HB</w:t>
            </w:r>
          </w:p>
          <w:p w14:paraId="55E6F4E4" w14:textId="77777777" w:rsidR="00E42A45" w:rsidRPr="00E42A45" w:rsidRDefault="00E42A45" w:rsidP="00BB63DF">
            <w:pPr>
              <w:tabs>
                <w:tab w:val="left" w:pos="709"/>
              </w:tabs>
              <w:rPr>
                <w:b/>
                <w:sz w:val="20"/>
                <w:szCs w:val="20"/>
              </w:rPr>
            </w:pPr>
            <w:r w:rsidRPr="00E42A45">
              <w:rPr>
                <w:b/>
                <w:sz w:val="20"/>
                <w:szCs w:val="20"/>
              </w:rPr>
              <w:t>3D - BK6, LP2, DB2, JV, JD          3J - BK4, LP3, JV2, JD1, JL                         3U - JS4, BK3, JD2, JV1, SM, DB      3A - BK5, LP2, DB1, JV1, JD1</w:t>
            </w:r>
          </w:p>
          <w:p w14:paraId="184DA2AD" w14:textId="77777777" w:rsidR="00E42A45" w:rsidRPr="00E42A45" w:rsidRDefault="00E42A45" w:rsidP="00BB63DF">
            <w:pPr>
              <w:tabs>
                <w:tab w:val="left" w:pos="709"/>
              </w:tabs>
              <w:rPr>
                <w:b/>
                <w:sz w:val="20"/>
                <w:szCs w:val="20"/>
              </w:rPr>
            </w:pPr>
            <w:r w:rsidRPr="00E42A45">
              <w:rPr>
                <w:b/>
                <w:sz w:val="20"/>
                <w:szCs w:val="20"/>
              </w:rPr>
              <w:t xml:space="preserve">3H - BK6, DB3, HB1, JD               2C - DB7, BK2, HB1                       </w:t>
            </w:r>
          </w:p>
          <w:p w14:paraId="75668423" w14:textId="77777777" w:rsidR="00E42A45" w:rsidRPr="00E42A45" w:rsidRDefault="00E42A45" w:rsidP="00BB63DF">
            <w:pPr>
              <w:tabs>
                <w:tab w:val="left" w:pos="709"/>
              </w:tabs>
              <w:rPr>
                <w:sz w:val="20"/>
                <w:szCs w:val="20"/>
              </w:rPr>
            </w:pPr>
            <w:r w:rsidRPr="00E42A45">
              <w:rPr>
                <w:b/>
                <w:sz w:val="20"/>
                <w:szCs w:val="20"/>
              </w:rPr>
              <w:t>Zakládáni (v rámci plánované obnovy) a výchova mladých porostů směrem k vertikální a horizontální členitosti a ve smyslu podpory dřevin přirozené skladby (cenných listnáčů), hospodaření ve vodoochranných lesích podřídit jejich funkci, ochrana před zvěří - nátěry, oplocení.</w:t>
            </w:r>
          </w:p>
        </w:tc>
      </w:tr>
      <w:tr w:rsidR="00E42A45" w:rsidRPr="00E42A45" w14:paraId="42AD10A2" w14:textId="77777777" w:rsidTr="00BB63DF">
        <w:tc>
          <w:tcPr>
            <w:tcW w:w="4323" w:type="dxa"/>
            <w:shd w:val="clear" w:color="auto" w:fill="FFFFFF"/>
          </w:tcPr>
          <w:p w14:paraId="7C8F0ECA" w14:textId="77777777" w:rsidR="00E42A45" w:rsidRPr="00E42A45" w:rsidRDefault="00E42A45" w:rsidP="00BB63DF">
            <w:pPr>
              <w:tabs>
                <w:tab w:val="left" w:pos="709"/>
              </w:tabs>
              <w:rPr>
                <w:sz w:val="20"/>
                <w:szCs w:val="20"/>
              </w:rPr>
            </w:pPr>
            <w:r w:rsidRPr="00E42A45">
              <w:rPr>
                <w:sz w:val="20"/>
                <w:szCs w:val="20"/>
              </w:rPr>
              <w:t>Vymezení           LS Děčín, 756/D,E   757/B,C,D,E,F</w:t>
            </w:r>
          </w:p>
        </w:tc>
        <w:tc>
          <w:tcPr>
            <w:tcW w:w="9821" w:type="dxa"/>
            <w:gridSpan w:val="2"/>
            <w:shd w:val="clear" w:color="auto" w:fill="FFFFFF"/>
          </w:tcPr>
          <w:p w14:paraId="173761BB" w14:textId="77777777" w:rsidR="00E42A45" w:rsidRPr="00E42A45" w:rsidRDefault="00E42A45" w:rsidP="00BB63DF">
            <w:pPr>
              <w:tabs>
                <w:tab w:val="left" w:pos="709"/>
              </w:tabs>
              <w:rPr>
                <w:b/>
                <w:sz w:val="20"/>
                <w:szCs w:val="20"/>
              </w:rPr>
            </w:pPr>
            <w:r w:rsidRPr="00E42A45">
              <w:rPr>
                <w:sz w:val="20"/>
                <w:szCs w:val="20"/>
              </w:rPr>
              <w:t>Kultura             les</w:t>
            </w:r>
          </w:p>
        </w:tc>
      </w:tr>
      <w:tr w:rsidR="00E42A45" w:rsidRPr="00E42A45" w14:paraId="4AF0BA9E" w14:textId="77777777" w:rsidTr="00BB63DF">
        <w:tc>
          <w:tcPr>
            <w:tcW w:w="4323" w:type="dxa"/>
            <w:shd w:val="clear" w:color="auto" w:fill="FFFFFF"/>
          </w:tcPr>
          <w:p w14:paraId="0463FE8E" w14:textId="77777777" w:rsidR="00E42A45" w:rsidRPr="00E42A45" w:rsidRDefault="00E42A45" w:rsidP="00BB63DF">
            <w:pPr>
              <w:tabs>
                <w:tab w:val="left" w:pos="709"/>
              </w:tabs>
              <w:rPr>
                <w:sz w:val="20"/>
                <w:szCs w:val="20"/>
              </w:rPr>
            </w:pPr>
            <w:r w:rsidRPr="00E42A45">
              <w:rPr>
                <w:sz w:val="20"/>
                <w:szCs w:val="20"/>
              </w:rPr>
              <w:t>Uživatel                                                        Lesy ČR</w:t>
            </w:r>
          </w:p>
        </w:tc>
        <w:tc>
          <w:tcPr>
            <w:tcW w:w="9821" w:type="dxa"/>
            <w:gridSpan w:val="2"/>
            <w:shd w:val="clear" w:color="auto" w:fill="FFFFFF"/>
          </w:tcPr>
          <w:p w14:paraId="0B29500D" w14:textId="77777777" w:rsidR="00E42A45" w:rsidRPr="00E42A45" w:rsidRDefault="00E42A45" w:rsidP="00BB63DF">
            <w:pPr>
              <w:tabs>
                <w:tab w:val="left" w:pos="709"/>
              </w:tabs>
              <w:rPr>
                <w:sz w:val="20"/>
                <w:szCs w:val="20"/>
              </w:rPr>
            </w:pPr>
            <w:r w:rsidRPr="00E42A45">
              <w:rPr>
                <w:sz w:val="20"/>
                <w:szCs w:val="20"/>
              </w:rPr>
              <w:t>Mapovate        Sklenička, Linhart, 1997</w:t>
            </w:r>
          </w:p>
        </w:tc>
      </w:tr>
      <w:tr w:rsidR="00E42A45" w:rsidRPr="00E42A45" w14:paraId="2DD81E90" w14:textId="77777777" w:rsidTr="00BB63DF">
        <w:trPr>
          <w:trHeight w:val="581"/>
        </w:trPr>
        <w:tc>
          <w:tcPr>
            <w:tcW w:w="14144" w:type="dxa"/>
            <w:gridSpan w:val="3"/>
            <w:shd w:val="clear" w:color="auto" w:fill="FFFFFF"/>
          </w:tcPr>
          <w:p w14:paraId="10342C92" w14:textId="77777777" w:rsidR="00E42A45" w:rsidRPr="00E42A45" w:rsidRDefault="00E42A45" w:rsidP="00BB63DF">
            <w:pPr>
              <w:tabs>
                <w:tab w:val="left" w:pos="709"/>
              </w:tabs>
              <w:rPr>
                <w:sz w:val="20"/>
                <w:szCs w:val="20"/>
              </w:rPr>
            </w:pPr>
            <w:r w:rsidRPr="00E42A45">
              <w:rPr>
                <w:sz w:val="20"/>
                <w:szCs w:val="20"/>
              </w:rPr>
              <w:t xml:space="preserve">Kategorie ochrany, rok vyhlášení                               </w:t>
            </w:r>
          </w:p>
          <w:p w14:paraId="3C9EA977" w14:textId="77777777" w:rsidR="00E42A45" w:rsidRPr="00E42A45" w:rsidRDefault="00E42A45" w:rsidP="00BB63DF">
            <w:pPr>
              <w:tabs>
                <w:tab w:val="left" w:pos="709"/>
              </w:tabs>
              <w:rPr>
                <w:sz w:val="20"/>
                <w:szCs w:val="20"/>
              </w:rPr>
            </w:pPr>
            <w:r w:rsidRPr="00E42A45">
              <w:rPr>
                <w:sz w:val="20"/>
                <w:szCs w:val="20"/>
              </w:rPr>
              <w:t xml:space="preserve">                                                                                  </w:t>
            </w:r>
            <w:r w:rsidRPr="00E42A45">
              <w:rPr>
                <w:b/>
                <w:sz w:val="20"/>
                <w:szCs w:val="20"/>
              </w:rPr>
              <w:t>CHKO České Středohoří - II. zóna</w:t>
            </w:r>
          </w:p>
        </w:tc>
      </w:tr>
    </w:tbl>
    <w:p w14:paraId="5719361B" w14:textId="77777777" w:rsidR="00E42A45" w:rsidRDefault="00E42A45" w:rsidP="00CA23D0">
      <w:pPr>
        <w:jc w:val="both"/>
        <w:rPr>
          <w:rFonts w:ascii="Arial" w:hAnsi="Arial" w:cs="Arial"/>
          <w:sz w:val="22"/>
        </w:rPr>
      </w:pPr>
    </w:p>
    <w:p w14:paraId="7D3D81B2" w14:textId="77777777" w:rsidR="00E42A45" w:rsidRDefault="00E42A45" w:rsidP="00CA23D0">
      <w:pPr>
        <w:jc w:val="both"/>
        <w:rPr>
          <w:rFonts w:ascii="Arial" w:hAnsi="Arial" w:cs="Arial"/>
          <w:sz w:val="22"/>
        </w:rPr>
      </w:pPr>
    </w:p>
    <w:p w14:paraId="3BA58C57" w14:textId="77777777" w:rsidR="00E42A45" w:rsidRDefault="00E42A45" w:rsidP="00CA23D0">
      <w:pPr>
        <w:jc w:val="both"/>
        <w:rPr>
          <w:rFonts w:ascii="Arial" w:hAnsi="Arial" w:cs="Arial"/>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426DF21E" w14:textId="77777777" w:rsidTr="00BB63DF">
        <w:tc>
          <w:tcPr>
            <w:tcW w:w="7072" w:type="dxa"/>
            <w:shd w:val="clear" w:color="auto" w:fill="FFFFFF"/>
          </w:tcPr>
          <w:p w14:paraId="5905B70D" w14:textId="77777777" w:rsidR="00E42A45" w:rsidRDefault="00E42A45" w:rsidP="00BB63DF">
            <w:pPr>
              <w:tabs>
                <w:tab w:val="left" w:pos="709"/>
              </w:tabs>
              <w:rPr>
                <w:b/>
                <w:sz w:val="36"/>
              </w:rPr>
            </w:pPr>
            <w:r>
              <w:rPr>
                <w:sz w:val="18"/>
              </w:rPr>
              <w:lastRenderedPageBreak/>
              <w:t xml:space="preserve">Pořadové číslo                                                                                  </w:t>
            </w:r>
            <w:r>
              <w:rPr>
                <w:b/>
                <w:sz w:val="36"/>
              </w:rPr>
              <w:t>4</w:t>
            </w:r>
          </w:p>
        </w:tc>
        <w:tc>
          <w:tcPr>
            <w:tcW w:w="7072" w:type="dxa"/>
            <w:gridSpan w:val="2"/>
            <w:shd w:val="clear" w:color="auto" w:fill="FFFFFF"/>
          </w:tcPr>
          <w:p w14:paraId="4B4C5892" w14:textId="77777777" w:rsidR="00E42A45" w:rsidRDefault="00E42A45" w:rsidP="00BB63DF">
            <w:pPr>
              <w:tabs>
                <w:tab w:val="left" w:pos="709"/>
              </w:tabs>
              <w:rPr>
                <w:sz w:val="18"/>
              </w:rPr>
            </w:pPr>
            <w:r>
              <w:rPr>
                <w:sz w:val="18"/>
              </w:rPr>
              <w:t>Katastrální území</w:t>
            </w:r>
          </w:p>
          <w:p w14:paraId="4AEEB3A1" w14:textId="77777777" w:rsidR="00E42A45" w:rsidRDefault="00E42A45" w:rsidP="00BB63DF">
            <w:pPr>
              <w:pStyle w:val="Nadpis4"/>
              <w:tabs>
                <w:tab w:val="left" w:pos="709"/>
              </w:tabs>
              <w:spacing w:before="0" w:after="0"/>
              <w:rPr>
                <w:caps/>
                <w:sz w:val="18"/>
              </w:rPr>
            </w:pPr>
            <w:r>
              <w:rPr>
                <w:caps/>
              </w:rPr>
              <w:t xml:space="preserve">                                 Křešice, Chlum, Boletice</w:t>
            </w:r>
          </w:p>
        </w:tc>
      </w:tr>
      <w:tr w:rsidR="00E42A45" w14:paraId="10D50A19" w14:textId="77777777" w:rsidTr="00BB63DF">
        <w:tc>
          <w:tcPr>
            <w:tcW w:w="7072" w:type="dxa"/>
            <w:shd w:val="clear" w:color="auto" w:fill="FFFFFF"/>
          </w:tcPr>
          <w:p w14:paraId="0EEE3F72" w14:textId="77777777" w:rsidR="00E42A45" w:rsidRDefault="00E42A45" w:rsidP="00BB63DF">
            <w:pPr>
              <w:tabs>
                <w:tab w:val="left" w:pos="709"/>
              </w:tabs>
              <w:rPr>
                <w:sz w:val="18"/>
              </w:rPr>
            </w:pPr>
            <w:r>
              <w:rPr>
                <w:sz w:val="18"/>
              </w:rPr>
              <w:t>Název</w:t>
            </w:r>
          </w:p>
          <w:p w14:paraId="6504A405" w14:textId="77777777" w:rsidR="00E42A45" w:rsidRDefault="00E42A45" w:rsidP="00BB63DF">
            <w:pPr>
              <w:tabs>
                <w:tab w:val="left" w:pos="709"/>
              </w:tabs>
              <w:rPr>
                <w:b/>
                <w:caps/>
                <w:sz w:val="18"/>
              </w:rPr>
            </w:pPr>
            <w:r>
              <w:rPr>
                <w:b/>
                <w:caps/>
                <w:sz w:val="18"/>
              </w:rPr>
              <w:t xml:space="preserve">                </w:t>
            </w:r>
            <w:r>
              <w:rPr>
                <w:b/>
                <w:caps/>
              </w:rPr>
              <w:t xml:space="preserve">Lesní a dřevinné porosty kolem Kameničky </w:t>
            </w:r>
          </w:p>
        </w:tc>
        <w:tc>
          <w:tcPr>
            <w:tcW w:w="3536" w:type="dxa"/>
            <w:shd w:val="clear" w:color="auto" w:fill="FFFFFF"/>
          </w:tcPr>
          <w:p w14:paraId="7E154913" w14:textId="77777777" w:rsidR="00E42A45" w:rsidRDefault="00E42A45" w:rsidP="00BB63DF">
            <w:pPr>
              <w:tabs>
                <w:tab w:val="left" w:pos="709"/>
              </w:tabs>
              <w:rPr>
                <w:b/>
                <w:sz w:val="18"/>
              </w:rPr>
            </w:pPr>
            <w:r>
              <w:rPr>
                <w:sz w:val="18"/>
              </w:rPr>
              <w:t xml:space="preserve">Mapový </w:t>
            </w:r>
            <w:r>
              <w:rPr>
                <w:sz w:val="20"/>
              </w:rPr>
              <w:t xml:space="preserve">list           </w:t>
            </w:r>
            <w:r>
              <w:rPr>
                <w:b/>
                <w:sz w:val="20"/>
              </w:rPr>
              <w:t xml:space="preserve"> </w:t>
            </w:r>
            <w:r>
              <w:rPr>
                <w:sz w:val="20"/>
              </w:rPr>
              <w:t>02-23-24</w:t>
            </w:r>
          </w:p>
        </w:tc>
        <w:tc>
          <w:tcPr>
            <w:tcW w:w="3536" w:type="dxa"/>
            <w:shd w:val="clear" w:color="auto" w:fill="FFFFFF"/>
          </w:tcPr>
          <w:p w14:paraId="11A1685F" w14:textId="77777777" w:rsidR="00E42A45" w:rsidRDefault="00E42A45" w:rsidP="00BB63DF">
            <w:pPr>
              <w:tabs>
                <w:tab w:val="left" w:pos="709"/>
              </w:tabs>
              <w:rPr>
                <w:sz w:val="18"/>
              </w:rPr>
            </w:pPr>
            <w:r>
              <w:rPr>
                <w:sz w:val="18"/>
              </w:rPr>
              <w:t xml:space="preserve">Výměra      </w:t>
            </w:r>
          </w:p>
          <w:p w14:paraId="782DD1C2" w14:textId="77777777" w:rsidR="00E42A45" w:rsidRDefault="00E42A45" w:rsidP="00BB63DF">
            <w:pPr>
              <w:tabs>
                <w:tab w:val="left" w:pos="709"/>
              </w:tabs>
              <w:rPr>
                <w:b/>
                <w:sz w:val="20"/>
              </w:rPr>
            </w:pPr>
            <w:r>
              <w:rPr>
                <w:b/>
                <w:sz w:val="20"/>
              </w:rPr>
              <w:t xml:space="preserve">            cca 18,5 ha (0,93 ha les)                           </w:t>
            </w:r>
          </w:p>
        </w:tc>
      </w:tr>
      <w:tr w:rsidR="00E42A45" w14:paraId="685B02F5" w14:textId="77777777" w:rsidTr="00BB63DF">
        <w:tc>
          <w:tcPr>
            <w:tcW w:w="7072" w:type="dxa"/>
            <w:shd w:val="clear" w:color="auto" w:fill="FFFFFF"/>
          </w:tcPr>
          <w:p w14:paraId="57F1160E" w14:textId="77777777" w:rsidR="00E42A45" w:rsidRPr="002D7515" w:rsidRDefault="00E42A45" w:rsidP="00BB63DF">
            <w:pPr>
              <w:pStyle w:val="Nadpis7"/>
            </w:pPr>
            <w:r w:rsidRPr="002D7515">
              <w:t>EVKP - ekologicky významný krajinný prvek</w:t>
            </w:r>
          </w:p>
          <w:p w14:paraId="56E80109" w14:textId="77777777" w:rsidR="00E42A45" w:rsidRDefault="00E42A45" w:rsidP="00BB63DF">
            <w:pPr>
              <w:tabs>
                <w:tab w:val="left" w:pos="709"/>
              </w:tabs>
              <w:rPr>
                <w:sz w:val="20"/>
              </w:rPr>
            </w:pPr>
            <w:r>
              <w:rPr>
                <w:sz w:val="20"/>
              </w:rPr>
              <w:t>EVKC - ekologicky významný krajinný celek</w:t>
            </w:r>
          </w:p>
          <w:p w14:paraId="1D7C89F8" w14:textId="77777777" w:rsidR="00E42A45" w:rsidRDefault="00E42A45" w:rsidP="00BB63DF">
            <w:pPr>
              <w:tabs>
                <w:tab w:val="left" w:pos="709"/>
              </w:tabs>
              <w:rPr>
                <w:sz w:val="20"/>
              </w:rPr>
            </w:pPr>
            <w:r>
              <w:rPr>
                <w:sz w:val="20"/>
              </w:rPr>
              <w:t>EVKO - ekologicky významná krajinná oblast</w:t>
            </w:r>
          </w:p>
          <w:p w14:paraId="4DC59E73"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315C73D3" w14:textId="77777777" w:rsidR="00E42A45" w:rsidRDefault="00E42A45" w:rsidP="00BB63DF">
            <w:pPr>
              <w:tabs>
                <w:tab w:val="left" w:pos="709"/>
              </w:tabs>
              <w:rPr>
                <w:sz w:val="20"/>
              </w:rPr>
            </w:pPr>
            <w:r>
              <w:rPr>
                <w:sz w:val="20"/>
              </w:rPr>
              <w:t>Biogeografický význam</w:t>
            </w:r>
          </w:p>
          <w:p w14:paraId="42D43B85" w14:textId="77777777" w:rsidR="00E42A45" w:rsidRDefault="00E42A45" w:rsidP="00BB63DF">
            <w:pPr>
              <w:tabs>
                <w:tab w:val="left" w:pos="709"/>
              </w:tabs>
              <w:rPr>
                <w:sz w:val="20"/>
              </w:rPr>
            </w:pPr>
            <w:r>
              <w:rPr>
                <w:sz w:val="20"/>
              </w:rPr>
              <w:t xml:space="preserve">       -</w:t>
            </w:r>
            <w:r>
              <w:rPr>
                <w:b/>
                <w:sz w:val="20"/>
              </w:rPr>
              <w:t xml:space="preserve"> lokální, reprezentativní</w:t>
            </w:r>
          </w:p>
          <w:p w14:paraId="62FC3D4C" w14:textId="77777777" w:rsidR="00E42A45" w:rsidRDefault="00E42A45" w:rsidP="00BB63DF">
            <w:pPr>
              <w:tabs>
                <w:tab w:val="left" w:pos="709"/>
              </w:tabs>
              <w:ind w:left="345"/>
              <w:rPr>
                <w:sz w:val="20"/>
              </w:rPr>
            </w:pPr>
            <w:r>
              <w:rPr>
                <w:sz w:val="20"/>
              </w:rPr>
              <w:t xml:space="preserve"> - regionální, reprezentativní</w:t>
            </w:r>
          </w:p>
          <w:p w14:paraId="01C8809A" w14:textId="77777777" w:rsidR="00E42A45" w:rsidRDefault="00E42A45" w:rsidP="00BB63DF">
            <w:pPr>
              <w:tabs>
                <w:tab w:val="left" w:pos="709"/>
              </w:tabs>
              <w:ind w:left="345"/>
              <w:rPr>
                <w:sz w:val="20"/>
              </w:rPr>
            </w:pPr>
            <w:r>
              <w:rPr>
                <w:sz w:val="20"/>
              </w:rPr>
              <w:t xml:space="preserve"> - nadregionální</w:t>
            </w:r>
          </w:p>
        </w:tc>
        <w:tc>
          <w:tcPr>
            <w:tcW w:w="3536" w:type="dxa"/>
            <w:shd w:val="clear" w:color="auto" w:fill="FFFFFF"/>
          </w:tcPr>
          <w:p w14:paraId="03FA4E52" w14:textId="77777777" w:rsidR="00E42A45" w:rsidRDefault="00E42A45" w:rsidP="00BB63DF">
            <w:pPr>
              <w:tabs>
                <w:tab w:val="left" w:pos="709"/>
              </w:tabs>
              <w:rPr>
                <w:sz w:val="18"/>
              </w:rPr>
            </w:pPr>
            <w:r>
              <w:rPr>
                <w:sz w:val="18"/>
              </w:rPr>
              <w:t>Stav</w:t>
            </w:r>
          </w:p>
          <w:p w14:paraId="349B4003" w14:textId="77777777" w:rsidR="00E42A45" w:rsidRDefault="00E42A45" w:rsidP="00BB63DF">
            <w:pPr>
              <w:tabs>
                <w:tab w:val="left" w:pos="709"/>
              </w:tabs>
              <w:ind w:left="405"/>
              <w:rPr>
                <w:sz w:val="20"/>
              </w:rPr>
            </w:pPr>
            <w:r>
              <w:rPr>
                <w:b/>
                <w:sz w:val="20"/>
              </w:rPr>
              <w:t>-  funkčně vymezený</w:t>
            </w:r>
          </w:p>
          <w:p w14:paraId="42F3819B" w14:textId="77777777" w:rsidR="00E42A45" w:rsidRDefault="00E42A45" w:rsidP="00BB63DF">
            <w:pPr>
              <w:tabs>
                <w:tab w:val="left" w:pos="709"/>
              </w:tabs>
              <w:rPr>
                <w:sz w:val="20"/>
              </w:rPr>
            </w:pPr>
            <w:r>
              <w:rPr>
                <w:sz w:val="20"/>
              </w:rPr>
              <w:t xml:space="preserve">       -  semifunkční    </w:t>
            </w:r>
          </w:p>
          <w:p w14:paraId="12BFEFB1" w14:textId="77777777" w:rsidR="00E42A45" w:rsidRDefault="00E42A45" w:rsidP="00BB63DF">
            <w:pPr>
              <w:tabs>
                <w:tab w:val="left" w:pos="709"/>
              </w:tabs>
              <w:rPr>
                <w:sz w:val="20"/>
              </w:rPr>
            </w:pPr>
            <w:r>
              <w:rPr>
                <w:sz w:val="20"/>
              </w:rPr>
              <w:t xml:space="preserve">        -  navržený</w:t>
            </w:r>
          </w:p>
        </w:tc>
      </w:tr>
      <w:tr w:rsidR="00E42A45" w14:paraId="34DF98E6" w14:textId="77777777" w:rsidTr="00BB63DF">
        <w:tc>
          <w:tcPr>
            <w:tcW w:w="7072" w:type="dxa"/>
            <w:shd w:val="clear" w:color="auto" w:fill="FFFFFF"/>
          </w:tcPr>
          <w:p w14:paraId="068D70E9" w14:textId="77777777" w:rsidR="00E42A45" w:rsidRDefault="00E42A45" w:rsidP="00BB63DF">
            <w:pPr>
              <w:tabs>
                <w:tab w:val="left" w:pos="709"/>
              </w:tabs>
              <w:rPr>
                <w:b/>
                <w:sz w:val="18"/>
              </w:rPr>
            </w:pPr>
            <w:r>
              <w:rPr>
                <w:b/>
                <w:sz w:val="18"/>
              </w:rPr>
              <w:t>Geobiocenologická typizace (vegetační stupeň, trofická řada, hydrická řada)</w:t>
            </w:r>
          </w:p>
          <w:p w14:paraId="7B315071" w14:textId="77777777" w:rsidR="00E42A45" w:rsidRDefault="00E42A45" w:rsidP="00BB63DF">
            <w:pPr>
              <w:tabs>
                <w:tab w:val="left" w:pos="709"/>
              </w:tabs>
            </w:pPr>
            <w:r>
              <w:t xml:space="preserve">                         3B3,   3BC3,  3C3, 2BD1, 3BD3, 3C4 </w:t>
            </w:r>
          </w:p>
        </w:tc>
        <w:tc>
          <w:tcPr>
            <w:tcW w:w="7072" w:type="dxa"/>
            <w:gridSpan w:val="2"/>
            <w:shd w:val="clear" w:color="auto" w:fill="FFFFFF"/>
          </w:tcPr>
          <w:p w14:paraId="2DE7E8ED" w14:textId="77777777" w:rsidR="00E42A45" w:rsidRDefault="00E42A45" w:rsidP="00BB63DF">
            <w:pPr>
              <w:tabs>
                <w:tab w:val="left" w:pos="709"/>
              </w:tabs>
            </w:pPr>
          </w:p>
        </w:tc>
      </w:tr>
      <w:tr w:rsidR="00E42A45" w14:paraId="3E2D78C5" w14:textId="77777777" w:rsidTr="00BB63DF">
        <w:tc>
          <w:tcPr>
            <w:tcW w:w="14144" w:type="dxa"/>
            <w:gridSpan w:val="3"/>
          </w:tcPr>
          <w:p w14:paraId="00F9905E" w14:textId="77777777" w:rsidR="00E42A45" w:rsidRPr="00B4044B" w:rsidRDefault="00E42A45" w:rsidP="00BB63DF">
            <w:pPr>
              <w:tabs>
                <w:tab w:val="left" w:pos="709"/>
              </w:tabs>
              <w:rPr>
                <w:b/>
                <w:sz w:val="18"/>
              </w:rPr>
            </w:pPr>
            <w:r>
              <w:rPr>
                <w:b/>
                <w:sz w:val="18"/>
              </w:rPr>
              <w:t>Charakter ekotopu a bioty</w:t>
            </w:r>
          </w:p>
          <w:p w14:paraId="01240D57" w14:textId="77777777" w:rsidR="00E42A45" w:rsidRDefault="00E42A45" w:rsidP="00BB63DF">
            <w:pPr>
              <w:tabs>
                <w:tab w:val="left" w:pos="709"/>
              </w:tabs>
              <w:rPr>
                <w:sz w:val="20"/>
              </w:rPr>
            </w:pPr>
            <w:r>
              <w:rPr>
                <w:sz w:val="20"/>
              </w:rPr>
              <w:t xml:space="preserve">        Lokalita situovaná na horním toku Kameničky při ústí pravostranného bezejmenného přítoku. Tvoří ji  lesní i nelesní dřevinné porosty na svazích se všesměrnou, především Z orientací, o sklonu kolem 20 %.  Nadm. výška se pohybuje od 360 do 470 m.  </w:t>
            </w:r>
          </w:p>
          <w:p w14:paraId="5F207602" w14:textId="77777777" w:rsidR="00E42A45" w:rsidRDefault="00E42A45" w:rsidP="00BB63DF">
            <w:pPr>
              <w:tabs>
                <w:tab w:val="left" w:pos="709"/>
              </w:tabs>
              <w:rPr>
                <w:sz w:val="20"/>
              </w:rPr>
            </w:pPr>
            <w:r>
              <w:rPr>
                <w:sz w:val="20"/>
              </w:rPr>
              <w:t xml:space="preserve">      Kamenička je ve zdejším úseku tokem s vesměs přírodním charakterem koryta, převážně hlouběji zaříznutého v terénu, s rozmanitými hydraulickými poměry. Dřevinné doprovodné a břehové porosty podél Kameničky jsou tvořeny zejména JS, OL, BK, DB, HB, SM, JIV, BR,...</w:t>
            </w:r>
          </w:p>
          <w:p w14:paraId="7B5C00ED" w14:textId="77777777" w:rsidR="00E42A45" w:rsidRDefault="00E42A45" w:rsidP="00BB63DF">
            <w:pPr>
              <w:tabs>
                <w:tab w:val="left" w:pos="709"/>
              </w:tabs>
              <w:rPr>
                <w:sz w:val="20"/>
              </w:rPr>
            </w:pPr>
            <w:r>
              <w:rPr>
                <w:sz w:val="20"/>
              </w:rPr>
              <w:t xml:space="preserve">Dřeviny v nelesní části biocentra sestávají nejčastěji z BR, JS, DB, BK, LP, OS, JIV, SM, HB.  </w:t>
            </w:r>
          </w:p>
          <w:p w14:paraId="139C7FA8" w14:textId="77777777" w:rsidR="00E42A45" w:rsidRDefault="00E42A45" w:rsidP="00BB63DF">
            <w:pPr>
              <w:tabs>
                <w:tab w:val="left" w:pos="709"/>
              </w:tabs>
              <w:rPr>
                <w:sz w:val="20"/>
              </w:rPr>
            </w:pPr>
            <w:r>
              <w:rPr>
                <w:sz w:val="20"/>
              </w:rPr>
              <w:t xml:space="preserve">       Z hlediska ekologických podmínek (troficity a hydricity) se jedná o poměrně heterogenní stanoviště. </w:t>
            </w:r>
          </w:p>
          <w:p w14:paraId="75DA17BC" w14:textId="77777777" w:rsidR="00E42A45" w:rsidRDefault="00E42A45" w:rsidP="00BB63DF">
            <w:pPr>
              <w:tabs>
                <w:tab w:val="left" w:pos="709"/>
              </w:tabs>
              <w:rPr>
                <w:sz w:val="20"/>
              </w:rPr>
            </w:pPr>
          </w:p>
          <w:p w14:paraId="4ACD80FB" w14:textId="77777777" w:rsidR="00E42A45" w:rsidRDefault="00E42A45" w:rsidP="00BB63DF">
            <w:pPr>
              <w:tabs>
                <w:tab w:val="left" w:pos="709"/>
              </w:tabs>
              <w:rPr>
                <w:sz w:val="20"/>
              </w:rPr>
            </w:pPr>
            <w:r>
              <w:rPr>
                <w:sz w:val="20"/>
              </w:rPr>
              <w:t xml:space="preserve"> Lesní společenstva jsou tvořena věkově proměnlivými porosty. V aktuální dřevinné skladbě se uplatňuje: JS, KL, DB, BR, OL      SES = 4</w:t>
            </w:r>
          </w:p>
          <w:p w14:paraId="48D9F66C" w14:textId="77777777" w:rsidR="00E42A45" w:rsidRDefault="00E42A45" w:rsidP="00BB63DF">
            <w:pPr>
              <w:tabs>
                <w:tab w:val="left" w:pos="709"/>
              </w:tabs>
              <w:rPr>
                <w:sz w:val="20"/>
              </w:rPr>
            </w:pPr>
            <w:r>
              <w:rPr>
                <w:sz w:val="20"/>
              </w:rPr>
              <w:t xml:space="preserve">   </w:t>
            </w:r>
          </w:p>
          <w:p w14:paraId="6CCF73E2" w14:textId="77777777" w:rsidR="00E42A45" w:rsidRDefault="00E42A45" w:rsidP="00BB63DF">
            <w:pPr>
              <w:tabs>
                <w:tab w:val="left" w:pos="709"/>
              </w:tabs>
              <w:rPr>
                <w:sz w:val="20"/>
              </w:rPr>
            </w:pPr>
            <w:r>
              <w:rPr>
                <w:sz w:val="20"/>
              </w:rPr>
              <w:t xml:space="preserve">                   </w:t>
            </w:r>
            <w:r>
              <w:rPr>
                <w:b/>
                <w:sz w:val="20"/>
              </w:rPr>
              <w:t>lesní typy</w:t>
            </w:r>
            <w:r>
              <w:rPr>
                <w:sz w:val="20"/>
              </w:rPr>
              <w:t>:   3U1 - javorová JS bršlicová                                 3S6 - svěží dbBK s mařinkou</w:t>
            </w:r>
          </w:p>
          <w:p w14:paraId="6D9D9F75" w14:textId="77777777" w:rsidR="00E42A45" w:rsidRDefault="00E42A45" w:rsidP="00BB63DF">
            <w:pPr>
              <w:tabs>
                <w:tab w:val="left" w:pos="709"/>
              </w:tabs>
              <w:rPr>
                <w:sz w:val="20"/>
              </w:rPr>
            </w:pPr>
            <w:r>
              <w:rPr>
                <w:sz w:val="20"/>
              </w:rPr>
              <w:t xml:space="preserve">                                       3D3 - obohacená dbBK bršlicová                        3H6 - hlinitá dbBK                                      </w:t>
            </w:r>
          </w:p>
          <w:p w14:paraId="52FB3D2B" w14:textId="77777777" w:rsidR="00E42A45" w:rsidRDefault="00E42A45" w:rsidP="00BB63DF">
            <w:pPr>
              <w:tabs>
                <w:tab w:val="left" w:pos="709"/>
              </w:tabs>
              <w:rPr>
                <w:i/>
                <w:sz w:val="20"/>
              </w:rPr>
            </w:pPr>
            <w:r>
              <w:rPr>
                <w:sz w:val="20"/>
              </w:rPr>
              <w:t xml:space="preserve">Bot.:   </w:t>
            </w:r>
            <w:r>
              <w:rPr>
                <w:i/>
                <w:sz w:val="20"/>
              </w:rPr>
              <w:t xml:space="preserve">Asperula odorata, Senecio nemorensis, Mercurialis perennis, Carex sp., Dryopteris filix mas, Athyrium filix femina, </w:t>
            </w:r>
          </w:p>
          <w:p w14:paraId="0B668998" w14:textId="77777777" w:rsidR="00E42A45" w:rsidRDefault="00E42A45" w:rsidP="00BB63DF">
            <w:pPr>
              <w:tabs>
                <w:tab w:val="left" w:pos="709"/>
              </w:tabs>
              <w:rPr>
                <w:i/>
                <w:sz w:val="20"/>
              </w:rPr>
            </w:pPr>
            <w:r>
              <w:rPr>
                <w:i/>
                <w:sz w:val="20"/>
              </w:rPr>
              <w:t xml:space="preserve">           Deschampsia flexuosa, </w:t>
            </w:r>
            <w:r>
              <w:rPr>
                <w:sz w:val="20"/>
              </w:rPr>
              <w:t xml:space="preserve">údolní poloha - </w:t>
            </w:r>
            <w:r>
              <w:rPr>
                <w:i/>
                <w:sz w:val="20"/>
              </w:rPr>
              <w:t>Aegopodium podagraria, Urtica dioica, Oxalis acetosella, Chaerophylum hirsutum, Corydalis</w:t>
            </w:r>
          </w:p>
          <w:p w14:paraId="77B94011" w14:textId="77777777" w:rsidR="00E42A45" w:rsidRDefault="00E42A45" w:rsidP="00BB63DF">
            <w:pPr>
              <w:tabs>
                <w:tab w:val="left" w:pos="709"/>
              </w:tabs>
              <w:rPr>
                <w:sz w:val="20"/>
              </w:rPr>
            </w:pPr>
            <w:r>
              <w:rPr>
                <w:i/>
                <w:sz w:val="20"/>
              </w:rPr>
              <w:t xml:space="preserve">          cava, Ficaria verna, Asarum europaeum, Hepatica nobilis</w:t>
            </w:r>
          </w:p>
          <w:p w14:paraId="18DBC0B1" w14:textId="77777777" w:rsidR="00E42A45" w:rsidRDefault="00E42A45" w:rsidP="00BB63DF">
            <w:pPr>
              <w:tabs>
                <w:tab w:val="left" w:pos="709"/>
              </w:tabs>
              <w:rPr>
                <w:sz w:val="20"/>
              </w:rPr>
            </w:pPr>
            <w:r>
              <w:rPr>
                <w:sz w:val="20"/>
              </w:rPr>
              <w:t>Geol.: mezotrofní až eutrofní hnědá půda, v údolní části oglejená mezotrofní hnědá půda</w:t>
            </w:r>
          </w:p>
          <w:p w14:paraId="417C0B29" w14:textId="77777777" w:rsidR="00E42A45" w:rsidRDefault="00E42A45" w:rsidP="00BB63DF">
            <w:pPr>
              <w:tabs>
                <w:tab w:val="left" w:pos="709"/>
              </w:tabs>
              <w:rPr>
                <w:sz w:val="20"/>
              </w:rPr>
            </w:pPr>
          </w:p>
          <w:p w14:paraId="4EC4FAF6" w14:textId="77777777" w:rsidR="00E42A45" w:rsidRDefault="00E42A45" w:rsidP="00BB63DF">
            <w:pPr>
              <w:tabs>
                <w:tab w:val="left" w:pos="709"/>
              </w:tabs>
              <w:rPr>
                <w:sz w:val="20"/>
              </w:rPr>
            </w:pPr>
            <w:r>
              <w:rPr>
                <w:b/>
                <w:sz w:val="20"/>
              </w:rPr>
              <w:t xml:space="preserve">Návrh opatření: </w:t>
            </w:r>
            <w:r>
              <w:rPr>
                <w:sz w:val="20"/>
              </w:rPr>
              <w:t xml:space="preserve"> </w:t>
            </w:r>
          </w:p>
          <w:p w14:paraId="75DC8BC0" w14:textId="77777777" w:rsidR="00E42A45" w:rsidRDefault="00E42A45" w:rsidP="00BB63DF">
            <w:pPr>
              <w:tabs>
                <w:tab w:val="left" w:pos="709"/>
              </w:tabs>
              <w:rPr>
                <w:b/>
                <w:sz w:val="20"/>
              </w:rPr>
            </w:pPr>
            <w:r>
              <w:rPr>
                <w:b/>
                <w:sz w:val="20"/>
              </w:rPr>
              <w:t>dřeviny přirozené rekonstruované skladby podle SLT:                                                            3S - BK7, DB3, HB</w:t>
            </w:r>
          </w:p>
          <w:p w14:paraId="28EA4388" w14:textId="77777777" w:rsidR="00E42A45" w:rsidRDefault="00E42A45" w:rsidP="00BB63DF">
            <w:pPr>
              <w:tabs>
                <w:tab w:val="left" w:pos="709"/>
              </w:tabs>
            </w:pPr>
            <w:r>
              <w:rPr>
                <w:b/>
                <w:sz w:val="20"/>
              </w:rPr>
              <w:t xml:space="preserve">                                                                                              3D - BK6, LP2, DB2, JV, JD            3U - JS4, BK3, JD2, JV1, SM, DB    3H - BK6, DB3, HB1, JD                                                              Zakládáni (v rámci plánované obnovy) a výchova mladých porostů směrem k vertikální a horizontální členitosti a ve smyslu podpory dřevin přirozené skladby (listnáčů), ochrana před zvěří - nátěry, oplocení</w:t>
            </w:r>
            <w:r>
              <w:rPr>
                <w:b/>
              </w:rPr>
              <w:t>.</w:t>
            </w:r>
          </w:p>
        </w:tc>
      </w:tr>
      <w:tr w:rsidR="00E42A45" w14:paraId="3B24E38B" w14:textId="77777777" w:rsidTr="00BB63DF">
        <w:tc>
          <w:tcPr>
            <w:tcW w:w="7072" w:type="dxa"/>
            <w:shd w:val="clear" w:color="auto" w:fill="FFFFFF"/>
          </w:tcPr>
          <w:p w14:paraId="717EF887" w14:textId="77777777" w:rsidR="00E42A45" w:rsidRDefault="00E42A45" w:rsidP="00BB63DF">
            <w:pPr>
              <w:tabs>
                <w:tab w:val="left" w:pos="709"/>
              </w:tabs>
              <w:rPr>
                <w:sz w:val="20"/>
              </w:rPr>
            </w:pPr>
            <w:r>
              <w:rPr>
                <w:sz w:val="18"/>
              </w:rPr>
              <w:t>Vymezení</w:t>
            </w:r>
            <w:r>
              <w:t xml:space="preserve">                 </w:t>
            </w:r>
            <w:r>
              <w:rPr>
                <w:sz w:val="20"/>
              </w:rPr>
              <w:t>LS Děčín, 761/D</w:t>
            </w:r>
          </w:p>
        </w:tc>
        <w:tc>
          <w:tcPr>
            <w:tcW w:w="7072" w:type="dxa"/>
            <w:gridSpan w:val="2"/>
            <w:shd w:val="clear" w:color="auto" w:fill="FFFFFF"/>
          </w:tcPr>
          <w:p w14:paraId="2F114084" w14:textId="77777777" w:rsidR="00E42A45" w:rsidRDefault="00E42A45" w:rsidP="00BB63DF">
            <w:pPr>
              <w:tabs>
                <w:tab w:val="left" w:pos="709"/>
              </w:tabs>
              <w:rPr>
                <w:sz w:val="18"/>
              </w:rPr>
            </w:pPr>
            <w:r>
              <w:rPr>
                <w:sz w:val="18"/>
              </w:rPr>
              <w:t xml:space="preserve">Kultura                        </w:t>
            </w:r>
            <w:r>
              <w:rPr>
                <w:sz w:val="20"/>
              </w:rPr>
              <w:t>les, ostatní plochy</w:t>
            </w:r>
          </w:p>
          <w:p w14:paraId="43E4C9F7" w14:textId="77777777" w:rsidR="00E42A45" w:rsidRDefault="00E42A45" w:rsidP="00BB63DF">
            <w:pPr>
              <w:tabs>
                <w:tab w:val="left" w:pos="709"/>
              </w:tabs>
              <w:rPr>
                <w:sz w:val="20"/>
              </w:rPr>
            </w:pPr>
          </w:p>
        </w:tc>
      </w:tr>
      <w:tr w:rsidR="00E42A45" w14:paraId="101DCB17" w14:textId="77777777" w:rsidTr="00BB63DF">
        <w:tc>
          <w:tcPr>
            <w:tcW w:w="7072" w:type="dxa"/>
            <w:shd w:val="clear" w:color="auto" w:fill="FFFFFF"/>
          </w:tcPr>
          <w:p w14:paraId="113A2B08" w14:textId="77777777" w:rsidR="00E42A45" w:rsidRDefault="00E42A45" w:rsidP="00BB63DF">
            <w:pPr>
              <w:tabs>
                <w:tab w:val="left" w:pos="709"/>
              </w:tabs>
              <w:rPr>
                <w:sz w:val="20"/>
              </w:rPr>
            </w:pPr>
            <w:r>
              <w:rPr>
                <w:sz w:val="18"/>
              </w:rPr>
              <w:t xml:space="preserve">Uživatel                                       </w:t>
            </w:r>
            <w:r>
              <w:rPr>
                <w:sz w:val="20"/>
              </w:rPr>
              <w:t>Lesy ČR</w:t>
            </w:r>
          </w:p>
        </w:tc>
        <w:tc>
          <w:tcPr>
            <w:tcW w:w="7072" w:type="dxa"/>
            <w:gridSpan w:val="2"/>
            <w:shd w:val="clear" w:color="auto" w:fill="FFFFFF"/>
          </w:tcPr>
          <w:p w14:paraId="7F919C15" w14:textId="77777777" w:rsidR="00E42A45" w:rsidRDefault="00E42A45" w:rsidP="00BB63DF">
            <w:pPr>
              <w:tabs>
                <w:tab w:val="left" w:pos="709"/>
              </w:tabs>
              <w:rPr>
                <w:sz w:val="18"/>
              </w:rPr>
            </w:pPr>
            <w:r>
              <w:rPr>
                <w:sz w:val="18"/>
              </w:rPr>
              <w:t>Mapovatel                   Sklenička, Linhart, 1997</w:t>
            </w:r>
          </w:p>
        </w:tc>
      </w:tr>
      <w:tr w:rsidR="00E42A45" w14:paraId="26B1F467" w14:textId="77777777" w:rsidTr="00BB63DF">
        <w:tc>
          <w:tcPr>
            <w:tcW w:w="14144" w:type="dxa"/>
            <w:gridSpan w:val="3"/>
            <w:shd w:val="clear" w:color="auto" w:fill="FFFFFF"/>
          </w:tcPr>
          <w:p w14:paraId="6204F5C3" w14:textId="77777777" w:rsidR="00E42A45" w:rsidRDefault="00E42A45" w:rsidP="00BB63DF">
            <w:pPr>
              <w:tabs>
                <w:tab w:val="left" w:pos="709"/>
              </w:tabs>
            </w:pPr>
            <w:r>
              <w:rPr>
                <w:sz w:val="18"/>
              </w:rPr>
              <w:t>Kategorie ochrany, rok vyhlášení</w:t>
            </w:r>
          </w:p>
          <w:p w14:paraId="735533D2" w14:textId="77777777" w:rsidR="00E42A45" w:rsidRPr="002D7515" w:rsidRDefault="00E42A45" w:rsidP="00BB63DF">
            <w:pPr>
              <w:pStyle w:val="Nadpis6"/>
              <w:rPr>
                <w:sz w:val="20"/>
              </w:rPr>
            </w:pPr>
            <w:r w:rsidRPr="002D7515">
              <w:lastRenderedPageBreak/>
              <w:t xml:space="preserve">                                                                     </w:t>
            </w:r>
            <w:r w:rsidRPr="002D7515">
              <w:rPr>
                <w:sz w:val="20"/>
              </w:rPr>
              <w:t>CHKO České Středohoří - II. / IV. zóna</w:t>
            </w:r>
          </w:p>
        </w:tc>
      </w:tr>
    </w:tbl>
    <w:p w14:paraId="13F9E9AA"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45EEF17D" w14:textId="77777777" w:rsidTr="00BB63DF">
        <w:tc>
          <w:tcPr>
            <w:tcW w:w="7072" w:type="dxa"/>
            <w:shd w:val="clear" w:color="auto" w:fill="FFFFFF"/>
          </w:tcPr>
          <w:p w14:paraId="7585D4DA" w14:textId="77777777" w:rsidR="00E42A45" w:rsidRDefault="00E42A45" w:rsidP="00BB63DF">
            <w:pPr>
              <w:tabs>
                <w:tab w:val="left" w:pos="709"/>
              </w:tabs>
              <w:rPr>
                <w:b/>
                <w:sz w:val="18"/>
              </w:rPr>
            </w:pPr>
            <w:r>
              <w:rPr>
                <w:b/>
                <w:sz w:val="18"/>
              </w:rPr>
              <w:t>Pořadové číslo</w:t>
            </w:r>
          </w:p>
          <w:p w14:paraId="2A43B4F2" w14:textId="77777777" w:rsidR="00E42A45" w:rsidRDefault="00E42A45" w:rsidP="00BB63DF">
            <w:pPr>
              <w:tabs>
                <w:tab w:val="left" w:pos="709"/>
              </w:tabs>
              <w:rPr>
                <w:b/>
                <w:sz w:val="36"/>
              </w:rPr>
            </w:pPr>
            <w:r>
              <w:rPr>
                <w:b/>
                <w:sz w:val="36"/>
              </w:rPr>
              <w:t xml:space="preserve">                                                5</w:t>
            </w:r>
          </w:p>
        </w:tc>
        <w:tc>
          <w:tcPr>
            <w:tcW w:w="7072" w:type="dxa"/>
            <w:gridSpan w:val="2"/>
            <w:shd w:val="clear" w:color="auto" w:fill="FFFFFF"/>
          </w:tcPr>
          <w:p w14:paraId="0281643C" w14:textId="77777777" w:rsidR="00E42A45" w:rsidRDefault="00E42A45" w:rsidP="00BB63DF">
            <w:pPr>
              <w:tabs>
                <w:tab w:val="left" w:pos="709"/>
              </w:tabs>
              <w:rPr>
                <w:sz w:val="18"/>
              </w:rPr>
            </w:pPr>
            <w:r>
              <w:rPr>
                <w:sz w:val="18"/>
              </w:rPr>
              <w:t>Katastrální území</w:t>
            </w:r>
          </w:p>
          <w:p w14:paraId="38EF0DBE" w14:textId="77777777" w:rsidR="00E42A45" w:rsidRDefault="00E42A45" w:rsidP="00BB63DF">
            <w:pPr>
              <w:tabs>
                <w:tab w:val="left" w:pos="709"/>
              </w:tabs>
              <w:rPr>
                <w:b/>
                <w:sz w:val="18"/>
              </w:rPr>
            </w:pPr>
            <w:r>
              <w:t xml:space="preserve">                                 </w:t>
            </w:r>
            <w:r>
              <w:rPr>
                <w:b/>
              </w:rPr>
              <w:t>Hoštice, Lesná</w:t>
            </w:r>
          </w:p>
        </w:tc>
      </w:tr>
      <w:tr w:rsidR="00E42A45" w14:paraId="130A0406" w14:textId="77777777" w:rsidTr="00BB63DF">
        <w:tc>
          <w:tcPr>
            <w:tcW w:w="7072" w:type="dxa"/>
            <w:shd w:val="clear" w:color="auto" w:fill="FFFFFF"/>
          </w:tcPr>
          <w:p w14:paraId="7AB3337B" w14:textId="77777777" w:rsidR="00E42A45" w:rsidRDefault="00E42A45" w:rsidP="00BB63DF">
            <w:pPr>
              <w:tabs>
                <w:tab w:val="left" w:pos="709"/>
              </w:tabs>
              <w:rPr>
                <w:b/>
                <w:sz w:val="18"/>
              </w:rPr>
            </w:pPr>
            <w:r>
              <w:rPr>
                <w:b/>
                <w:sz w:val="18"/>
              </w:rPr>
              <w:t>Název</w:t>
            </w:r>
          </w:p>
          <w:p w14:paraId="47CAE52D" w14:textId="77777777" w:rsidR="00E42A45" w:rsidRDefault="00E42A45" w:rsidP="00BB63DF">
            <w:pPr>
              <w:tabs>
                <w:tab w:val="left" w:pos="709"/>
              </w:tabs>
              <w:rPr>
                <w:b/>
                <w:caps/>
                <w:sz w:val="18"/>
              </w:rPr>
            </w:pPr>
            <w:r>
              <w:rPr>
                <w:b/>
                <w:caps/>
                <w:sz w:val="18"/>
              </w:rPr>
              <w:t xml:space="preserve">                     </w:t>
            </w:r>
            <w:r>
              <w:rPr>
                <w:b/>
                <w:caps/>
              </w:rPr>
              <w:t xml:space="preserve">Lesní porost nad Smordovem </w:t>
            </w:r>
          </w:p>
        </w:tc>
        <w:tc>
          <w:tcPr>
            <w:tcW w:w="3536" w:type="dxa"/>
            <w:shd w:val="clear" w:color="auto" w:fill="FFFFFF"/>
          </w:tcPr>
          <w:p w14:paraId="4DC6D3FA" w14:textId="77777777" w:rsidR="00E42A45" w:rsidRDefault="00E42A45" w:rsidP="00BB63DF">
            <w:pPr>
              <w:tabs>
                <w:tab w:val="left" w:pos="709"/>
              </w:tabs>
              <w:rPr>
                <w:sz w:val="18"/>
              </w:rPr>
            </w:pPr>
            <w:r>
              <w:rPr>
                <w:sz w:val="18"/>
              </w:rPr>
              <w:t xml:space="preserve">Mapový list           </w:t>
            </w:r>
          </w:p>
          <w:p w14:paraId="5FBEF57C" w14:textId="77777777" w:rsidR="00E42A45" w:rsidRDefault="00E42A45" w:rsidP="00BB63DF">
            <w:pPr>
              <w:tabs>
                <w:tab w:val="left" w:pos="709"/>
              </w:tabs>
              <w:rPr>
                <w:b/>
                <w:sz w:val="20"/>
              </w:rPr>
            </w:pPr>
            <w:r>
              <w:rPr>
                <w:b/>
                <w:sz w:val="20"/>
              </w:rPr>
              <w:t xml:space="preserve">                            </w:t>
            </w:r>
            <w:r>
              <w:rPr>
                <w:sz w:val="20"/>
              </w:rPr>
              <w:t>02-41-04</w:t>
            </w:r>
          </w:p>
        </w:tc>
        <w:tc>
          <w:tcPr>
            <w:tcW w:w="3536" w:type="dxa"/>
            <w:shd w:val="clear" w:color="auto" w:fill="FFFFFF"/>
          </w:tcPr>
          <w:p w14:paraId="3BDC83D1" w14:textId="77777777" w:rsidR="00E42A45" w:rsidRDefault="00E42A45" w:rsidP="00BB63DF">
            <w:pPr>
              <w:tabs>
                <w:tab w:val="left" w:pos="709"/>
              </w:tabs>
              <w:rPr>
                <w:b/>
                <w:sz w:val="18"/>
              </w:rPr>
            </w:pPr>
            <w:r>
              <w:rPr>
                <w:b/>
                <w:sz w:val="18"/>
              </w:rPr>
              <w:t xml:space="preserve">Výměra      </w:t>
            </w:r>
          </w:p>
          <w:p w14:paraId="15B9C6BD" w14:textId="77777777" w:rsidR="00E42A45" w:rsidRDefault="00E42A45" w:rsidP="00BB63DF">
            <w:pPr>
              <w:tabs>
                <w:tab w:val="left" w:pos="709"/>
              </w:tabs>
              <w:rPr>
                <w:b/>
                <w:sz w:val="20"/>
              </w:rPr>
            </w:pPr>
            <w:r>
              <w:rPr>
                <w:b/>
                <w:sz w:val="18"/>
              </w:rPr>
              <w:t xml:space="preserve">                     </w:t>
            </w:r>
            <w:r>
              <w:rPr>
                <w:b/>
                <w:sz w:val="20"/>
              </w:rPr>
              <w:t xml:space="preserve">10,62 ha                           </w:t>
            </w:r>
          </w:p>
        </w:tc>
      </w:tr>
      <w:tr w:rsidR="00E42A45" w14:paraId="552D70E5" w14:textId="77777777" w:rsidTr="00BB63DF">
        <w:tc>
          <w:tcPr>
            <w:tcW w:w="7072" w:type="dxa"/>
            <w:shd w:val="clear" w:color="auto" w:fill="FFFFFF"/>
          </w:tcPr>
          <w:p w14:paraId="024918F9" w14:textId="77777777" w:rsidR="00E42A45" w:rsidRDefault="00E42A45" w:rsidP="00BB63DF">
            <w:pPr>
              <w:tabs>
                <w:tab w:val="left" w:pos="709"/>
              </w:tabs>
              <w:rPr>
                <w:sz w:val="20"/>
              </w:rPr>
            </w:pPr>
            <w:r>
              <w:rPr>
                <w:sz w:val="20"/>
              </w:rPr>
              <w:t>EVKP - ekologicky významný krajinný prvek</w:t>
            </w:r>
          </w:p>
          <w:p w14:paraId="494FC42D" w14:textId="77777777" w:rsidR="00E42A45" w:rsidRDefault="00E42A45" w:rsidP="00BB63DF">
            <w:pPr>
              <w:tabs>
                <w:tab w:val="left" w:pos="709"/>
              </w:tabs>
              <w:rPr>
                <w:sz w:val="20"/>
              </w:rPr>
            </w:pPr>
            <w:r>
              <w:rPr>
                <w:sz w:val="20"/>
              </w:rPr>
              <w:t>EVKC - ekologicky významný krajinný celek</w:t>
            </w:r>
          </w:p>
          <w:p w14:paraId="1425C347" w14:textId="77777777" w:rsidR="00E42A45" w:rsidRDefault="00E42A45" w:rsidP="00BB63DF">
            <w:pPr>
              <w:tabs>
                <w:tab w:val="left" w:pos="709"/>
              </w:tabs>
              <w:rPr>
                <w:sz w:val="20"/>
              </w:rPr>
            </w:pPr>
            <w:r>
              <w:rPr>
                <w:sz w:val="20"/>
                <w:u w:val="single"/>
              </w:rPr>
              <w:t>EVKO - ekologicky významná krajinná oblast</w:t>
            </w:r>
          </w:p>
          <w:p w14:paraId="07C12581" w14:textId="77777777" w:rsidR="00E42A45" w:rsidRDefault="00E42A45" w:rsidP="00BB63DF">
            <w:pPr>
              <w:tabs>
                <w:tab w:val="left" w:pos="709"/>
              </w:tabs>
            </w:pPr>
            <w:r>
              <w:rPr>
                <w:sz w:val="20"/>
              </w:rPr>
              <w:t>EVLS  - ekologicky významné liniové společenstvo</w:t>
            </w:r>
          </w:p>
        </w:tc>
        <w:tc>
          <w:tcPr>
            <w:tcW w:w="3536" w:type="dxa"/>
            <w:shd w:val="clear" w:color="auto" w:fill="FFFFFF"/>
          </w:tcPr>
          <w:p w14:paraId="17C88DDF" w14:textId="77777777" w:rsidR="00E42A45" w:rsidRDefault="00E42A45" w:rsidP="00BB63DF">
            <w:pPr>
              <w:tabs>
                <w:tab w:val="left" w:pos="709"/>
              </w:tabs>
              <w:rPr>
                <w:sz w:val="18"/>
              </w:rPr>
            </w:pPr>
            <w:r>
              <w:rPr>
                <w:sz w:val="18"/>
              </w:rPr>
              <w:t>Biogeografický význam</w:t>
            </w:r>
          </w:p>
          <w:p w14:paraId="03F76CD9" w14:textId="77777777" w:rsidR="00E42A45" w:rsidRDefault="00E42A45" w:rsidP="00BB63DF">
            <w:pPr>
              <w:tabs>
                <w:tab w:val="left" w:pos="709"/>
              </w:tabs>
            </w:pPr>
            <w:r>
              <w:t xml:space="preserve">       -</w:t>
            </w:r>
            <w:r>
              <w:rPr>
                <w:b/>
              </w:rPr>
              <w:t xml:space="preserve"> lokální, reprezentativní</w:t>
            </w:r>
          </w:p>
          <w:p w14:paraId="46176339" w14:textId="77777777" w:rsidR="00E42A45" w:rsidRDefault="00E42A45" w:rsidP="00BB63DF">
            <w:pPr>
              <w:tabs>
                <w:tab w:val="left" w:pos="709"/>
              </w:tabs>
              <w:ind w:left="345"/>
              <w:rPr>
                <w:sz w:val="20"/>
              </w:rPr>
            </w:pPr>
            <w:r>
              <w:t xml:space="preserve"> </w:t>
            </w:r>
            <w:r>
              <w:rPr>
                <w:sz w:val="20"/>
              </w:rPr>
              <w:t>- regionální, reprezentativní</w:t>
            </w:r>
          </w:p>
          <w:p w14:paraId="0A4669DC" w14:textId="77777777" w:rsidR="00E42A45" w:rsidRDefault="00E42A45" w:rsidP="00BB63DF">
            <w:pPr>
              <w:tabs>
                <w:tab w:val="left" w:pos="709"/>
              </w:tabs>
              <w:ind w:left="345"/>
            </w:pPr>
            <w:r>
              <w:rPr>
                <w:sz w:val="20"/>
              </w:rPr>
              <w:t xml:space="preserve"> - nadregionální</w:t>
            </w:r>
          </w:p>
        </w:tc>
        <w:tc>
          <w:tcPr>
            <w:tcW w:w="3536" w:type="dxa"/>
            <w:shd w:val="clear" w:color="auto" w:fill="FFFFFF"/>
          </w:tcPr>
          <w:p w14:paraId="4A57E2D4" w14:textId="77777777" w:rsidR="00E42A45" w:rsidRPr="002D7515" w:rsidRDefault="00E42A45" w:rsidP="00BB63DF">
            <w:pPr>
              <w:pStyle w:val="Nadpis8"/>
            </w:pPr>
            <w:r w:rsidRPr="002D7515">
              <w:t>Stav</w:t>
            </w:r>
          </w:p>
          <w:p w14:paraId="28A5CAEA" w14:textId="77777777" w:rsidR="00E42A45" w:rsidRDefault="00E42A45" w:rsidP="00BB63DF">
            <w:pPr>
              <w:tabs>
                <w:tab w:val="left" w:pos="709"/>
              </w:tabs>
              <w:ind w:left="405"/>
            </w:pPr>
            <w:r>
              <w:rPr>
                <w:b/>
              </w:rPr>
              <w:t>-  funkčně vymezený</w:t>
            </w:r>
          </w:p>
          <w:p w14:paraId="7B663C0F" w14:textId="77777777" w:rsidR="00E42A45" w:rsidRDefault="00E42A45" w:rsidP="00BB63DF">
            <w:pPr>
              <w:tabs>
                <w:tab w:val="left" w:pos="709"/>
              </w:tabs>
              <w:rPr>
                <w:sz w:val="20"/>
              </w:rPr>
            </w:pPr>
            <w:r>
              <w:t xml:space="preserve">       </w:t>
            </w:r>
            <w:r>
              <w:rPr>
                <w:sz w:val="20"/>
              </w:rPr>
              <w:t xml:space="preserve">-  semifunkční    </w:t>
            </w:r>
          </w:p>
          <w:p w14:paraId="1C1B0F7A" w14:textId="77777777" w:rsidR="00E42A45" w:rsidRDefault="00E42A45" w:rsidP="00BB63DF">
            <w:pPr>
              <w:tabs>
                <w:tab w:val="left" w:pos="709"/>
              </w:tabs>
            </w:pPr>
            <w:r>
              <w:rPr>
                <w:sz w:val="20"/>
              </w:rPr>
              <w:t xml:space="preserve">        -  navržený</w:t>
            </w:r>
          </w:p>
        </w:tc>
      </w:tr>
      <w:tr w:rsidR="00E42A45" w14:paraId="0B176595" w14:textId="77777777" w:rsidTr="00BB63DF">
        <w:tc>
          <w:tcPr>
            <w:tcW w:w="7072" w:type="dxa"/>
            <w:shd w:val="clear" w:color="auto" w:fill="FFFFFF"/>
          </w:tcPr>
          <w:p w14:paraId="4B50D629" w14:textId="77777777" w:rsidR="00E42A45" w:rsidRDefault="00E42A45" w:rsidP="00BB63DF">
            <w:pPr>
              <w:tabs>
                <w:tab w:val="left" w:pos="709"/>
              </w:tabs>
              <w:rPr>
                <w:b/>
                <w:sz w:val="18"/>
              </w:rPr>
            </w:pPr>
            <w:r>
              <w:rPr>
                <w:b/>
                <w:sz w:val="18"/>
              </w:rPr>
              <w:t>Geobiocenologická typizace (vegetační stupeň, trofická řada, hydrická řada)</w:t>
            </w:r>
          </w:p>
          <w:p w14:paraId="7734BBFB" w14:textId="77777777" w:rsidR="00E42A45" w:rsidRDefault="00E42A45" w:rsidP="00BB63DF">
            <w:pPr>
              <w:tabs>
                <w:tab w:val="left" w:pos="709"/>
              </w:tabs>
            </w:pPr>
            <w:r>
              <w:t xml:space="preserve">                         3B3,  2BD1,  </w:t>
            </w:r>
          </w:p>
        </w:tc>
        <w:tc>
          <w:tcPr>
            <w:tcW w:w="7072" w:type="dxa"/>
            <w:gridSpan w:val="2"/>
            <w:shd w:val="clear" w:color="auto" w:fill="FFFFFF"/>
          </w:tcPr>
          <w:p w14:paraId="3D1C8B43" w14:textId="77777777" w:rsidR="00E42A45" w:rsidRDefault="00E42A45" w:rsidP="00BB63DF">
            <w:pPr>
              <w:tabs>
                <w:tab w:val="left" w:pos="709"/>
              </w:tabs>
            </w:pPr>
          </w:p>
        </w:tc>
      </w:tr>
      <w:tr w:rsidR="00E42A45" w14:paraId="508632B8" w14:textId="77777777" w:rsidTr="00BB63DF">
        <w:tc>
          <w:tcPr>
            <w:tcW w:w="14144" w:type="dxa"/>
            <w:gridSpan w:val="3"/>
          </w:tcPr>
          <w:p w14:paraId="1BA0A93F" w14:textId="77777777" w:rsidR="00E42A45" w:rsidRDefault="00E42A45" w:rsidP="00BB63DF">
            <w:pPr>
              <w:tabs>
                <w:tab w:val="left" w:pos="709"/>
              </w:tabs>
              <w:rPr>
                <w:b/>
                <w:sz w:val="18"/>
              </w:rPr>
            </w:pPr>
            <w:r>
              <w:rPr>
                <w:b/>
                <w:sz w:val="18"/>
              </w:rPr>
              <w:t>Charakter ekotopu a bioty</w:t>
            </w:r>
          </w:p>
          <w:p w14:paraId="7D899E7D" w14:textId="77777777" w:rsidR="00E42A45" w:rsidRDefault="00E42A45" w:rsidP="00BB63DF">
            <w:pPr>
              <w:tabs>
                <w:tab w:val="left" w:pos="709"/>
              </w:tabs>
              <w:rPr>
                <w:sz w:val="20"/>
              </w:rPr>
            </w:pPr>
            <w:r>
              <w:rPr>
                <w:sz w:val="20"/>
              </w:rPr>
              <w:t xml:space="preserve">        Lokální biocentrum na trase nadregionálního biokoridoru tvořené lesními porosty kolem bezejmenného vrchu (492,8 m n.m.). Na strmých svazích se všesměrnou orientací a o sklonu až 60% jsou místy balvanitá pole či skalní výchozy (v horních partiích vrchu). Nadmořská výška biocentra se pohybuje od 350 do 493 m. </w:t>
            </w:r>
          </w:p>
          <w:p w14:paraId="239221FD" w14:textId="77777777" w:rsidR="00E42A45" w:rsidRDefault="00E42A45" w:rsidP="00BB63DF">
            <w:pPr>
              <w:tabs>
                <w:tab w:val="left" w:pos="709"/>
              </w:tabs>
              <w:rPr>
                <w:sz w:val="20"/>
              </w:rPr>
            </w:pPr>
            <w:r>
              <w:rPr>
                <w:sz w:val="20"/>
              </w:rPr>
              <w:t xml:space="preserve">        Lokalita je z ekologického hlediska (troficita a hydricita) i z hlediska věkové struktury porostů poměrně homogenní. Ve věkové struktuře dominují porosty 8. věkového stupně.         </w:t>
            </w:r>
          </w:p>
          <w:p w14:paraId="382EB510" w14:textId="77777777" w:rsidR="00E42A45" w:rsidRDefault="00E42A45" w:rsidP="00BB63DF">
            <w:pPr>
              <w:tabs>
                <w:tab w:val="left" w:pos="709"/>
              </w:tabs>
              <w:rPr>
                <w:sz w:val="20"/>
              </w:rPr>
            </w:pPr>
            <w:r>
              <w:rPr>
                <w:sz w:val="20"/>
              </w:rPr>
              <w:t xml:space="preserve">       Dřeviny v ekotonálních (okrajových)  částech biocentra jsou reprezentovány nejčastěji  LP, OS, JIV, BR, JS, DB, BK,  SM, HB.   </w:t>
            </w:r>
          </w:p>
          <w:p w14:paraId="72E4EB98" w14:textId="77777777" w:rsidR="00E42A45" w:rsidRDefault="00E42A45" w:rsidP="00BB63DF">
            <w:pPr>
              <w:tabs>
                <w:tab w:val="left" w:pos="709"/>
              </w:tabs>
              <w:rPr>
                <w:sz w:val="20"/>
              </w:rPr>
            </w:pPr>
            <w:r>
              <w:rPr>
                <w:sz w:val="20"/>
              </w:rPr>
              <w:t xml:space="preserve">V aktuální dřevinné skladbě se uplatňuje: DB, BK, BR, BO, SM, MD        SES = 3 - 4 </w:t>
            </w:r>
          </w:p>
          <w:p w14:paraId="532F1CAE" w14:textId="77777777" w:rsidR="00E42A45" w:rsidRDefault="00E42A45" w:rsidP="00BB63DF">
            <w:pPr>
              <w:tabs>
                <w:tab w:val="left" w:pos="709"/>
              </w:tabs>
              <w:rPr>
                <w:sz w:val="20"/>
              </w:rPr>
            </w:pPr>
            <w:r>
              <w:rPr>
                <w:sz w:val="20"/>
              </w:rPr>
              <w:t xml:space="preserve">  </w:t>
            </w:r>
          </w:p>
          <w:p w14:paraId="516C1FCB" w14:textId="77777777" w:rsidR="00E42A45" w:rsidRDefault="00E42A45" w:rsidP="00BB63DF">
            <w:pPr>
              <w:tabs>
                <w:tab w:val="left" w:pos="709"/>
              </w:tabs>
              <w:rPr>
                <w:sz w:val="20"/>
              </w:rPr>
            </w:pPr>
            <w:r>
              <w:rPr>
                <w:sz w:val="20"/>
              </w:rPr>
              <w:t xml:space="preserve">                   </w:t>
            </w:r>
            <w:r>
              <w:rPr>
                <w:b/>
                <w:sz w:val="20"/>
              </w:rPr>
              <w:t>lesní typy</w:t>
            </w:r>
            <w:r>
              <w:rPr>
                <w:sz w:val="20"/>
              </w:rPr>
              <w:t>:   3S6 - svěží dbBK s mařinkou                              2C3 - vysýchavá bkDB teplomilná</w:t>
            </w:r>
          </w:p>
          <w:p w14:paraId="3C0C8DC1" w14:textId="77777777" w:rsidR="00E42A45" w:rsidRDefault="00E42A45" w:rsidP="00BB63DF">
            <w:pPr>
              <w:tabs>
                <w:tab w:val="left" w:pos="709"/>
              </w:tabs>
              <w:rPr>
                <w:sz w:val="20"/>
              </w:rPr>
            </w:pPr>
            <w:r>
              <w:rPr>
                <w:sz w:val="20"/>
              </w:rPr>
              <w:t xml:space="preserve">                                       3A3 - lpdbBK s pitulníkem                                      </w:t>
            </w:r>
          </w:p>
          <w:p w14:paraId="48A70B3E" w14:textId="77777777" w:rsidR="00E42A45" w:rsidRDefault="00E42A45" w:rsidP="00BB63DF">
            <w:pPr>
              <w:tabs>
                <w:tab w:val="left" w:pos="709"/>
              </w:tabs>
              <w:rPr>
                <w:i/>
                <w:sz w:val="20"/>
              </w:rPr>
            </w:pPr>
            <w:r>
              <w:rPr>
                <w:sz w:val="20"/>
              </w:rPr>
              <w:t xml:space="preserve">Bot.: </w:t>
            </w:r>
            <w:r>
              <w:rPr>
                <w:i/>
                <w:sz w:val="20"/>
              </w:rPr>
              <w:t xml:space="preserve">Asarum europaeum, Hepatica nobilis, Asperula odorata, Senecio nemorensis, Mercurialis perennis, Carex sp., Dryopteris filix mas,             </w:t>
            </w:r>
          </w:p>
          <w:p w14:paraId="4B67131A" w14:textId="77777777" w:rsidR="00E42A45" w:rsidRDefault="00E42A45" w:rsidP="00BB63DF">
            <w:pPr>
              <w:tabs>
                <w:tab w:val="left" w:pos="709"/>
              </w:tabs>
              <w:rPr>
                <w:sz w:val="20"/>
              </w:rPr>
            </w:pPr>
            <w:r>
              <w:rPr>
                <w:i/>
                <w:sz w:val="20"/>
              </w:rPr>
              <w:t xml:space="preserve">         Athyrium filix femina,  Deschampsia flexuosa, </w:t>
            </w:r>
          </w:p>
          <w:p w14:paraId="4C54B485" w14:textId="77777777" w:rsidR="00E42A45" w:rsidRDefault="00E42A45" w:rsidP="00BB63DF">
            <w:pPr>
              <w:tabs>
                <w:tab w:val="left" w:pos="709"/>
              </w:tabs>
              <w:rPr>
                <w:sz w:val="20"/>
              </w:rPr>
            </w:pPr>
            <w:r>
              <w:rPr>
                <w:sz w:val="20"/>
              </w:rPr>
              <w:t xml:space="preserve">Geol.: mezotrofní až eutrofní hnědá půda </w:t>
            </w:r>
          </w:p>
          <w:p w14:paraId="689E379E" w14:textId="77777777" w:rsidR="00E42A45" w:rsidRDefault="00E42A45" w:rsidP="00BB63DF">
            <w:pPr>
              <w:tabs>
                <w:tab w:val="left" w:pos="709"/>
              </w:tabs>
              <w:rPr>
                <w:sz w:val="20"/>
              </w:rPr>
            </w:pPr>
          </w:p>
          <w:p w14:paraId="18C8986B" w14:textId="77777777" w:rsidR="00E42A45" w:rsidRDefault="00E42A45" w:rsidP="00BB63DF">
            <w:pPr>
              <w:tabs>
                <w:tab w:val="left" w:pos="709"/>
              </w:tabs>
              <w:rPr>
                <w:b/>
                <w:sz w:val="20"/>
              </w:rPr>
            </w:pPr>
            <w:r>
              <w:rPr>
                <w:b/>
                <w:sz w:val="20"/>
              </w:rPr>
              <w:t xml:space="preserve">Návrh opatření :  </w:t>
            </w:r>
          </w:p>
          <w:p w14:paraId="628C098D" w14:textId="77777777" w:rsidR="00E42A45" w:rsidRDefault="00E42A45" w:rsidP="00BB63DF">
            <w:pPr>
              <w:tabs>
                <w:tab w:val="left" w:pos="709"/>
              </w:tabs>
              <w:rPr>
                <w:b/>
                <w:sz w:val="20"/>
              </w:rPr>
            </w:pPr>
            <w:r>
              <w:rPr>
                <w:b/>
                <w:sz w:val="20"/>
              </w:rPr>
              <w:t>dřeviny přirozené rekonstruované skladby podle SLT:        3S - BK7, DB3, HB</w:t>
            </w:r>
          </w:p>
          <w:p w14:paraId="31574768" w14:textId="77777777" w:rsidR="00E42A45" w:rsidRDefault="00E42A45" w:rsidP="00BB63DF">
            <w:pPr>
              <w:tabs>
                <w:tab w:val="left" w:pos="709"/>
              </w:tabs>
              <w:rPr>
                <w:b/>
                <w:sz w:val="20"/>
              </w:rPr>
            </w:pPr>
            <w:r>
              <w:rPr>
                <w:b/>
                <w:sz w:val="20"/>
              </w:rPr>
              <w:t xml:space="preserve">                                                                                                    2C - DB7, BK2, HB1      3A - BK5, LP2, DB1, JV1, JD1                                                                                      </w:t>
            </w:r>
          </w:p>
          <w:p w14:paraId="7C5B2ACF" w14:textId="77777777" w:rsidR="00E42A45" w:rsidRDefault="00E42A45" w:rsidP="00BB63DF">
            <w:pPr>
              <w:tabs>
                <w:tab w:val="left" w:pos="709"/>
              </w:tabs>
            </w:pPr>
            <w:r>
              <w:rPr>
                <w:b/>
                <w:sz w:val="20"/>
              </w:rPr>
              <w:t>Zakládáni (v rámci plánované obnovy) a výchova mladých porostů směrem k vertikální a horizontální členitosti a ve smyslu podpory dřevin přirozené skladby, ochrana před zvěří - nátěry, oplocení.</w:t>
            </w:r>
          </w:p>
        </w:tc>
      </w:tr>
      <w:tr w:rsidR="00E42A45" w14:paraId="2D7E688E" w14:textId="77777777" w:rsidTr="00BB63DF">
        <w:tc>
          <w:tcPr>
            <w:tcW w:w="7072" w:type="dxa"/>
            <w:shd w:val="clear" w:color="auto" w:fill="FFFFFF"/>
          </w:tcPr>
          <w:p w14:paraId="4754AFDC" w14:textId="77777777" w:rsidR="00E42A45" w:rsidRDefault="00E42A45" w:rsidP="00BB63DF">
            <w:pPr>
              <w:tabs>
                <w:tab w:val="left" w:pos="709"/>
              </w:tabs>
            </w:pPr>
            <w:r>
              <w:rPr>
                <w:sz w:val="18"/>
              </w:rPr>
              <w:t xml:space="preserve">Vymezení                        </w:t>
            </w:r>
            <w:r>
              <w:rPr>
                <w:sz w:val="20"/>
              </w:rPr>
              <w:t>LS Děčín, 762/C</w:t>
            </w:r>
          </w:p>
          <w:p w14:paraId="16EB5DCC" w14:textId="77777777" w:rsidR="00E42A45" w:rsidRDefault="00E42A45" w:rsidP="00BB63DF">
            <w:pPr>
              <w:tabs>
                <w:tab w:val="left" w:pos="709"/>
              </w:tabs>
              <w:rPr>
                <w:sz w:val="20"/>
              </w:rPr>
            </w:pPr>
          </w:p>
        </w:tc>
        <w:tc>
          <w:tcPr>
            <w:tcW w:w="7072" w:type="dxa"/>
            <w:gridSpan w:val="2"/>
            <w:shd w:val="clear" w:color="auto" w:fill="FFFFFF"/>
          </w:tcPr>
          <w:p w14:paraId="5E7A0A8A" w14:textId="77777777" w:rsidR="00E42A45" w:rsidRDefault="00E42A45" w:rsidP="00BB63DF">
            <w:pPr>
              <w:tabs>
                <w:tab w:val="left" w:pos="709"/>
              </w:tabs>
              <w:rPr>
                <w:sz w:val="18"/>
              </w:rPr>
            </w:pPr>
            <w:r>
              <w:rPr>
                <w:sz w:val="18"/>
              </w:rPr>
              <w:t xml:space="preserve">Kultura                      </w:t>
            </w:r>
            <w:r>
              <w:rPr>
                <w:sz w:val="20"/>
              </w:rPr>
              <w:t>les</w:t>
            </w:r>
          </w:p>
          <w:p w14:paraId="0AF32927" w14:textId="77777777" w:rsidR="00E42A45" w:rsidRDefault="00E42A45" w:rsidP="00BB63DF">
            <w:pPr>
              <w:tabs>
                <w:tab w:val="left" w:pos="709"/>
              </w:tabs>
              <w:rPr>
                <w:sz w:val="20"/>
              </w:rPr>
            </w:pPr>
            <w:r>
              <w:rPr>
                <w:sz w:val="20"/>
              </w:rPr>
              <w:t xml:space="preserve"> </w:t>
            </w:r>
          </w:p>
        </w:tc>
      </w:tr>
      <w:tr w:rsidR="00E42A45" w14:paraId="40252FDD" w14:textId="77777777" w:rsidTr="00BB63DF">
        <w:tc>
          <w:tcPr>
            <w:tcW w:w="7072" w:type="dxa"/>
            <w:shd w:val="clear" w:color="auto" w:fill="FFFFFF"/>
          </w:tcPr>
          <w:p w14:paraId="657DC994" w14:textId="77777777" w:rsidR="00E42A45" w:rsidRDefault="00E42A45" w:rsidP="00BB63DF">
            <w:pPr>
              <w:tabs>
                <w:tab w:val="left" w:pos="709"/>
              </w:tabs>
            </w:pPr>
            <w:r>
              <w:rPr>
                <w:sz w:val="18"/>
              </w:rPr>
              <w:t xml:space="preserve">Uživatel                                        </w:t>
            </w:r>
            <w:r>
              <w:rPr>
                <w:sz w:val="20"/>
              </w:rPr>
              <w:t>Lesy ČR</w:t>
            </w:r>
          </w:p>
          <w:p w14:paraId="25AB233C" w14:textId="77777777" w:rsidR="00E42A45" w:rsidRDefault="00E42A45" w:rsidP="00BB63DF">
            <w:pPr>
              <w:tabs>
                <w:tab w:val="left" w:pos="709"/>
              </w:tabs>
              <w:rPr>
                <w:sz w:val="20"/>
              </w:rPr>
            </w:pPr>
            <w:r>
              <w:rPr>
                <w:sz w:val="20"/>
              </w:rPr>
              <w:t xml:space="preserve">                     </w:t>
            </w:r>
          </w:p>
        </w:tc>
        <w:tc>
          <w:tcPr>
            <w:tcW w:w="7072" w:type="dxa"/>
            <w:gridSpan w:val="2"/>
            <w:shd w:val="clear" w:color="auto" w:fill="FFFFFF"/>
          </w:tcPr>
          <w:p w14:paraId="317380ED" w14:textId="77777777" w:rsidR="00E42A45" w:rsidRDefault="00E42A45" w:rsidP="00BB63DF">
            <w:pPr>
              <w:tabs>
                <w:tab w:val="left" w:pos="709"/>
              </w:tabs>
              <w:rPr>
                <w:sz w:val="18"/>
              </w:rPr>
            </w:pPr>
            <w:r>
              <w:rPr>
                <w:sz w:val="18"/>
              </w:rPr>
              <w:t>Mapovatel                 Sklenička, Linhart, 1997</w:t>
            </w:r>
          </w:p>
          <w:p w14:paraId="3725CC8E" w14:textId="77777777" w:rsidR="00E42A45" w:rsidRDefault="00E42A45" w:rsidP="00BB63DF">
            <w:pPr>
              <w:tabs>
                <w:tab w:val="left" w:pos="709"/>
              </w:tabs>
              <w:rPr>
                <w:sz w:val="18"/>
              </w:rPr>
            </w:pPr>
          </w:p>
        </w:tc>
      </w:tr>
      <w:tr w:rsidR="00E42A45" w14:paraId="16C6E208" w14:textId="77777777" w:rsidTr="00BB63DF">
        <w:tc>
          <w:tcPr>
            <w:tcW w:w="14144" w:type="dxa"/>
            <w:gridSpan w:val="3"/>
            <w:shd w:val="clear" w:color="auto" w:fill="FFFFFF"/>
          </w:tcPr>
          <w:p w14:paraId="6DAA07AD" w14:textId="77777777" w:rsidR="00E42A45" w:rsidRDefault="00E42A45" w:rsidP="00BB63DF">
            <w:pPr>
              <w:tabs>
                <w:tab w:val="left" w:pos="709"/>
              </w:tabs>
            </w:pPr>
            <w:r>
              <w:rPr>
                <w:sz w:val="18"/>
              </w:rPr>
              <w:lastRenderedPageBreak/>
              <w:t>Kategorie ochrany, rok vyhláše</w:t>
            </w:r>
            <w:r>
              <w:rPr>
                <w:b/>
                <w:sz w:val="18"/>
              </w:rPr>
              <w:t>ní</w:t>
            </w:r>
          </w:p>
          <w:p w14:paraId="2EF5623F" w14:textId="77777777" w:rsidR="00E42A45" w:rsidRDefault="00E42A45" w:rsidP="00BB63DF">
            <w:pPr>
              <w:tabs>
                <w:tab w:val="left" w:pos="709"/>
              </w:tabs>
              <w:rPr>
                <w:b/>
                <w:sz w:val="20"/>
              </w:rPr>
            </w:pPr>
            <w:r>
              <w:t xml:space="preserve">                                                                     </w:t>
            </w:r>
            <w:r>
              <w:rPr>
                <w:b/>
                <w:sz w:val="20"/>
              </w:rPr>
              <w:t>CHKO České Středohoří - II. / IV. zóna</w:t>
            </w:r>
          </w:p>
        </w:tc>
      </w:tr>
    </w:tbl>
    <w:p w14:paraId="66DA09E5"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3CD058B8" w14:textId="77777777" w:rsidTr="00BB63DF">
        <w:tc>
          <w:tcPr>
            <w:tcW w:w="7072" w:type="dxa"/>
            <w:shd w:val="clear" w:color="auto" w:fill="FFFFFF"/>
          </w:tcPr>
          <w:p w14:paraId="55BA90D9" w14:textId="77777777" w:rsidR="00E42A45" w:rsidRDefault="00E42A45" w:rsidP="00BB63DF">
            <w:pPr>
              <w:tabs>
                <w:tab w:val="left" w:pos="709"/>
              </w:tabs>
              <w:rPr>
                <w:b/>
                <w:sz w:val="18"/>
              </w:rPr>
            </w:pPr>
            <w:r>
              <w:rPr>
                <w:b/>
                <w:sz w:val="18"/>
              </w:rPr>
              <w:t>Pořadové číslo</w:t>
            </w:r>
          </w:p>
          <w:p w14:paraId="7153BBEE" w14:textId="77777777" w:rsidR="00E42A45" w:rsidRDefault="00E42A45" w:rsidP="00BB63DF">
            <w:pPr>
              <w:tabs>
                <w:tab w:val="left" w:pos="709"/>
              </w:tabs>
              <w:rPr>
                <w:b/>
                <w:sz w:val="36"/>
              </w:rPr>
            </w:pPr>
            <w:r>
              <w:rPr>
                <w:b/>
                <w:sz w:val="36"/>
              </w:rPr>
              <w:t xml:space="preserve">                                                6</w:t>
            </w:r>
          </w:p>
        </w:tc>
        <w:tc>
          <w:tcPr>
            <w:tcW w:w="7072" w:type="dxa"/>
            <w:gridSpan w:val="2"/>
            <w:shd w:val="clear" w:color="auto" w:fill="FFFFFF"/>
          </w:tcPr>
          <w:p w14:paraId="345D9744" w14:textId="77777777" w:rsidR="00E42A45" w:rsidRDefault="00E42A45" w:rsidP="00BB63DF">
            <w:pPr>
              <w:tabs>
                <w:tab w:val="left" w:pos="709"/>
              </w:tabs>
              <w:rPr>
                <w:sz w:val="18"/>
              </w:rPr>
            </w:pPr>
            <w:r>
              <w:rPr>
                <w:sz w:val="18"/>
              </w:rPr>
              <w:t>Katastrální území</w:t>
            </w:r>
          </w:p>
          <w:p w14:paraId="0580E4A6" w14:textId="77777777" w:rsidR="00E42A45" w:rsidRDefault="00E42A45" w:rsidP="00BB63DF">
            <w:pPr>
              <w:pStyle w:val="Nadpis4"/>
              <w:tabs>
                <w:tab w:val="left" w:pos="709"/>
              </w:tabs>
              <w:spacing w:before="0" w:after="0"/>
              <w:rPr>
                <w:caps/>
                <w:sz w:val="18"/>
              </w:rPr>
            </w:pPr>
            <w:r>
              <w:rPr>
                <w:caps/>
              </w:rPr>
              <w:t xml:space="preserve">                                Hoštice </w:t>
            </w:r>
          </w:p>
        </w:tc>
      </w:tr>
      <w:tr w:rsidR="00E42A45" w14:paraId="23C0A345" w14:textId="77777777" w:rsidTr="00BB63DF">
        <w:tc>
          <w:tcPr>
            <w:tcW w:w="7072" w:type="dxa"/>
            <w:shd w:val="clear" w:color="auto" w:fill="FFFFFF"/>
          </w:tcPr>
          <w:p w14:paraId="1FE86F53" w14:textId="77777777" w:rsidR="00E42A45" w:rsidRDefault="00E42A45" w:rsidP="00BB63DF">
            <w:pPr>
              <w:tabs>
                <w:tab w:val="left" w:pos="709"/>
              </w:tabs>
              <w:rPr>
                <w:b/>
                <w:sz w:val="18"/>
              </w:rPr>
            </w:pPr>
            <w:r>
              <w:rPr>
                <w:b/>
                <w:sz w:val="18"/>
              </w:rPr>
              <w:t>Název</w:t>
            </w:r>
          </w:p>
          <w:p w14:paraId="33038CE2" w14:textId="77777777" w:rsidR="00E42A45" w:rsidRDefault="00E42A45" w:rsidP="00BB63DF">
            <w:pPr>
              <w:tabs>
                <w:tab w:val="left" w:pos="709"/>
              </w:tabs>
              <w:rPr>
                <w:b/>
                <w:caps/>
                <w:sz w:val="18"/>
              </w:rPr>
            </w:pPr>
            <w:r>
              <w:rPr>
                <w:b/>
                <w:caps/>
                <w:sz w:val="18"/>
              </w:rPr>
              <w:t xml:space="preserve">                     </w:t>
            </w:r>
            <w:r>
              <w:rPr>
                <w:b/>
                <w:caps/>
              </w:rPr>
              <w:t xml:space="preserve">Louky a pastviny nad Všerazí </w:t>
            </w:r>
          </w:p>
        </w:tc>
        <w:tc>
          <w:tcPr>
            <w:tcW w:w="3536" w:type="dxa"/>
            <w:shd w:val="clear" w:color="auto" w:fill="FFFFFF"/>
          </w:tcPr>
          <w:p w14:paraId="2A4089C1" w14:textId="77777777" w:rsidR="00E42A45" w:rsidRDefault="00E42A45" w:rsidP="00BB63DF">
            <w:pPr>
              <w:tabs>
                <w:tab w:val="left" w:pos="709"/>
              </w:tabs>
              <w:rPr>
                <w:sz w:val="18"/>
              </w:rPr>
            </w:pPr>
            <w:r>
              <w:rPr>
                <w:sz w:val="18"/>
              </w:rPr>
              <w:t xml:space="preserve">Mapový list           </w:t>
            </w:r>
          </w:p>
          <w:p w14:paraId="08F167D1" w14:textId="77777777" w:rsidR="00E42A45" w:rsidRDefault="00E42A45" w:rsidP="00BB63DF">
            <w:pPr>
              <w:tabs>
                <w:tab w:val="left" w:pos="709"/>
              </w:tabs>
              <w:rPr>
                <w:b/>
                <w:sz w:val="20"/>
              </w:rPr>
            </w:pPr>
            <w:r>
              <w:rPr>
                <w:b/>
                <w:sz w:val="18"/>
              </w:rPr>
              <w:t xml:space="preserve">              </w:t>
            </w:r>
            <w:r>
              <w:t xml:space="preserve">            </w:t>
            </w:r>
            <w:r>
              <w:rPr>
                <w:sz w:val="20"/>
              </w:rPr>
              <w:t>02-41-04</w:t>
            </w:r>
          </w:p>
        </w:tc>
        <w:tc>
          <w:tcPr>
            <w:tcW w:w="3536" w:type="dxa"/>
            <w:shd w:val="clear" w:color="auto" w:fill="FFFFFF"/>
          </w:tcPr>
          <w:p w14:paraId="302860F8" w14:textId="77777777" w:rsidR="00E42A45" w:rsidRDefault="00E42A45" w:rsidP="00BB63DF">
            <w:pPr>
              <w:tabs>
                <w:tab w:val="left" w:pos="709"/>
              </w:tabs>
              <w:rPr>
                <w:sz w:val="18"/>
              </w:rPr>
            </w:pPr>
            <w:r>
              <w:rPr>
                <w:sz w:val="18"/>
              </w:rPr>
              <w:t xml:space="preserve">Výměra      </w:t>
            </w:r>
          </w:p>
          <w:p w14:paraId="181CCBBC" w14:textId="77777777" w:rsidR="00E42A45" w:rsidRDefault="00E42A45" w:rsidP="00BB63DF">
            <w:pPr>
              <w:tabs>
                <w:tab w:val="left" w:pos="709"/>
              </w:tabs>
              <w:rPr>
                <w:b/>
                <w:sz w:val="20"/>
              </w:rPr>
            </w:pPr>
            <w:r>
              <w:rPr>
                <w:b/>
                <w:sz w:val="20"/>
              </w:rPr>
              <w:t xml:space="preserve">                     cca 10 ha                           </w:t>
            </w:r>
          </w:p>
        </w:tc>
      </w:tr>
      <w:tr w:rsidR="00E42A45" w14:paraId="4DBFF442" w14:textId="77777777" w:rsidTr="00BB63DF">
        <w:tc>
          <w:tcPr>
            <w:tcW w:w="7072" w:type="dxa"/>
            <w:shd w:val="clear" w:color="auto" w:fill="FFFFFF"/>
          </w:tcPr>
          <w:p w14:paraId="30445BD8" w14:textId="77777777" w:rsidR="00E42A45" w:rsidRPr="002D7515" w:rsidRDefault="00E42A45" w:rsidP="00BB63DF">
            <w:pPr>
              <w:pStyle w:val="Nadpis6"/>
            </w:pPr>
            <w:r w:rsidRPr="002D7515">
              <w:t>EVKP - ekologicky významný krajinný prvek</w:t>
            </w:r>
          </w:p>
          <w:p w14:paraId="498435C6" w14:textId="77777777" w:rsidR="00E42A45" w:rsidRDefault="00E42A45" w:rsidP="00BB63DF">
            <w:pPr>
              <w:tabs>
                <w:tab w:val="left" w:pos="709"/>
              </w:tabs>
              <w:rPr>
                <w:sz w:val="20"/>
              </w:rPr>
            </w:pPr>
            <w:r>
              <w:rPr>
                <w:sz w:val="20"/>
              </w:rPr>
              <w:t>EVKC - ekologicky významný krajinný celek</w:t>
            </w:r>
          </w:p>
          <w:p w14:paraId="700FD1A1" w14:textId="77777777" w:rsidR="00E42A45" w:rsidRDefault="00E42A45" w:rsidP="00BB63DF">
            <w:pPr>
              <w:tabs>
                <w:tab w:val="left" w:pos="709"/>
              </w:tabs>
              <w:rPr>
                <w:sz w:val="20"/>
              </w:rPr>
            </w:pPr>
            <w:r>
              <w:rPr>
                <w:sz w:val="20"/>
              </w:rPr>
              <w:t>EVKO - ekologicky významná krajinná oblast</w:t>
            </w:r>
          </w:p>
          <w:p w14:paraId="29EA127D" w14:textId="77777777" w:rsidR="00E42A45" w:rsidRDefault="00E42A45" w:rsidP="00BB63DF">
            <w:pPr>
              <w:tabs>
                <w:tab w:val="left" w:pos="709"/>
              </w:tabs>
            </w:pPr>
            <w:r>
              <w:rPr>
                <w:sz w:val="20"/>
              </w:rPr>
              <w:t>EVLS  - ekologicky významné liniové společenstvo</w:t>
            </w:r>
          </w:p>
        </w:tc>
        <w:tc>
          <w:tcPr>
            <w:tcW w:w="3536" w:type="dxa"/>
            <w:shd w:val="clear" w:color="auto" w:fill="FFFFFF"/>
          </w:tcPr>
          <w:p w14:paraId="13D408C6" w14:textId="77777777" w:rsidR="00E42A45" w:rsidRDefault="00E42A45" w:rsidP="00BB63DF">
            <w:pPr>
              <w:tabs>
                <w:tab w:val="left" w:pos="709"/>
              </w:tabs>
              <w:rPr>
                <w:sz w:val="18"/>
              </w:rPr>
            </w:pPr>
            <w:r>
              <w:rPr>
                <w:sz w:val="18"/>
              </w:rPr>
              <w:t>Biogeografický význam</w:t>
            </w:r>
          </w:p>
          <w:p w14:paraId="486152B8" w14:textId="77777777" w:rsidR="00E42A45" w:rsidRDefault="00E42A45" w:rsidP="00BB63DF">
            <w:pPr>
              <w:tabs>
                <w:tab w:val="left" w:pos="709"/>
              </w:tabs>
            </w:pPr>
            <w:r>
              <w:t xml:space="preserve">       -</w:t>
            </w:r>
            <w:r>
              <w:rPr>
                <w:b/>
              </w:rPr>
              <w:t xml:space="preserve"> lokální, reprezentativní</w:t>
            </w:r>
          </w:p>
          <w:p w14:paraId="58AF3EEC" w14:textId="77777777" w:rsidR="00E42A45" w:rsidRDefault="00E42A45" w:rsidP="00BB63DF">
            <w:pPr>
              <w:tabs>
                <w:tab w:val="left" w:pos="709"/>
              </w:tabs>
              <w:ind w:left="345"/>
              <w:rPr>
                <w:sz w:val="20"/>
              </w:rPr>
            </w:pPr>
            <w:r>
              <w:rPr>
                <w:sz w:val="20"/>
              </w:rPr>
              <w:t xml:space="preserve"> - regionální, reprezentativní</w:t>
            </w:r>
          </w:p>
          <w:p w14:paraId="560DDB05" w14:textId="77777777" w:rsidR="00E42A45" w:rsidRDefault="00E42A45" w:rsidP="00BB63DF">
            <w:pPr>
              <w:tabs>
                <w:tab w:val="left" w:pos="709"/>
              </w:tabs>
              <w:ind w:left="345"/>
            </w:pPr>
            <w:r>
              <w:rPr>
                <w:sz w:val="20"/>
              </w:rPr>
              <w:t xml:space="preserve"> - nadregionální</w:t>
            </w:r>
          </w:p>
        </w:tc>
        <w:tc>
          <w:tcPr>
            <w:tcW w:w="3536" w:type="dxa"/>
            <w:shd w:val="clear" w:color="auto" w:fill="FFFFFF"/>
          </w:tcPr>
          <w:p w14:paraId="6C982F3F" w14:textId="77777777" w:rsidR="00E42A45" w:rsidRDefault="00E42A45" w:rsidP="00BB63DF">
            <w:pPr>
              <w:tabs>
                <w:tab w:val="left" w:pos="709"/>
              </w:tabs>
              <w:rPr>
                <w:sz w:val="18"/>
              </w:rPr>
            </w:pPr>
            <w:r>
              <w:rPr>
                <w:sz w:val="18"/>
              </w:rPr>
              <w:t>Stav</w:t>
            </w:r>
          </w:p>
          <w:p w14:paraId="25597B53" w14:textId="77777777" w:rsidR="00E42A45" w:rsidRDefault="00E42A45" w:rsidP="00BB63DF">
            <w:pPr>
              <w:tabs>
                <w:tab w:val="left" w:pos="709"/>
              </w:tabs>
              <w:ind w:left="405"/>
            </w:pPr>
            <w:r>
              <w:rPr>
                <w:b/>
              </w:rPr>
              <w:t>-  funkčně vymezený</w:t>
            </w:r>
          </w:p>
          <w:p w14:paraId="74DCE74E" w14:textId="77777777" w:rsidR="00E42A45" w:rsidRDefault="00E42A45" w:rsidP="00BB63DF">
            <w:pPr>
              <w:tabs>
                <w:tab w:val="left" w:pos="709"/>
              </w:tabs>
              <w:rPr>
                <w:sz w:val="20"/>
              </w:rPr>
            </w:pPr>
            <w:r>
              <w:rPr>
                <w:sz w:val="20"/>
              </w:rPr>
              <w:t xml:space="preserve">       -  semifunkční    </w:t>
            </w:r>
          </w:p>
          <w:p w14:paraId="59A29877" w14:textId="77777777" w:rsidR="00E42A45" w:rsidRDefault="00E42A45" w:rsidP="00BB63DF">
            <w:pPr>
              <w:tabs>
                <w:tab w:val="left" w:pos="709"/>
              </w:tabs>
            </w:pPr>
            <w:r>
              <w:rPr>
                <w:sz w:val="20"/>
              </w:rPr>
              <w:t xml:space="preserve">        -  navržený</w:t>
            </w:r>
          </w:p>
        </w:tc>
      </w:tr>
      <w:tr w:rsidR="00E42A45" w14:paraId="79CC4355" w14:textId="77777777" w:rsidTr="00BB63DF">
        <w:tc>
          <w:tcPr>
            <w:tcW w:w="7072" w:type="dxa"/>
            <w:shd w:val="clear" w:color="auto" w:fill="FFFFFF"/>
          </w:tcPr>
          <w:p w14:paraId="580A5873" w14:textId="77777777" w:rsidR="00E42A45" w:rsidRDefault="00E42A45" w:rsidP="00BB63DF">
            <w:pPr>
              <w:tabs>
                <w:tab w:val="left" w:pos="709"/>
              </w:tabs>
              <w:rPr>
                <w:b/>
                <w:sz w:val="18"/>
              </w:rPr>
            </w:pPr>
            <w:r>
              <w:rPr>
                <w:b/>
                <w:sz w:val="18"/>
              </w:rPr>
              <w:t>Geobiocenologická typizace (vegetační stupeň, trofická řada, hydrická řada)</w:t>
            </w:r>
          </w:p>
          <w:p w14:paraId="1FF010C4" w14:textId="77777777" w:rsidR="00E42A45" w:rsidRDefault="00E42A45" w:rsidP="00BB63DF">
            <w:pPr>
              <w:tabs>
                <w:tab w:val="left" w:pos="709"/>
              </w:tabs>
            </w:pPr>
            <w:r>
              <w:t xml:space="preserve">                         2B3  </w:t>
            </w:r>
          </w:p>
        </w:tc>
        <w:tc>
          <w:tcPr>
            <w:tcW w:w="7072" w:type="dxa"/>
            <w:gridSpan w:val="2"/>
            <w:shd w:val="clear" w:color="auto" w:fill="FFFFFF"/>
          </w:tcPr>
          <w:p w14:paraId="57BFF2A3" w14:textId="77777777" w:rsidR="00E42A45" w:rsidRDefault="00E42A45" w:rsidP="00BB63DF">
            <w:pPr>
              <w:tabs>
                <w:tab w:val="left" w:pos="709"/>
              </w:tabs>
            </w:pPr>
          </w:p>
        </w:tc>
      </w:tr>
      <w:tr w:rsidR="00E42A45" w14:paraId="43DEC1BA" w14:textId="77777777" w:rsidTr="00BB63DF">
        <w:tc>
          <w:tcPr>
            <w:tcW w:w="14144" w:type="dxa"/>
            <w:gridSpan w:val="3"/>
          </w:tcPr>
          <w:p w14:paraId="2C401834" w14:textId="77777777" w:rsidR="00E42A45" w:rsidRDefault="00E42A45" w:rsidP="00BB63DF">
            <w:pPr>
              <w:tabs>
                <w:tab w:val="left" w:pos="709"/>
              </w:tabs>
              <w:rPr>
                <w:b/>
                <w:sz w:val="18"/>
              </w:rPr>
            </w:pPr>
          </w:p>
          <w:p w14:paraId="31ED5457" w14:textId="77777777" w:rsidR="00E42A45" w:rsidRPr="00B4044B" w:rsidRDefault="00E42A45" w:rsidP="00BB63DF">
            <w:pPr>
              <w:tabs>
                <w:tab w:val="left" w:pos="709"/>
              </w:tabs>
              <w:rPr>
                <w:b/>
                <w:sz w:val="18"/>
              </w:rPr>
            </w:pPr>
            <w:r>
              <w:rPr>
                <w:b/>
                <w:sz w:val="18"/>
              </w:rPr>
              <w:t xml:space="preserve">Charakter ekotopu a bioty </w:t>
            </w:r>
          </w:p>
          <w:p w14:paraId="78C95216" w14:textId="77777777" w:rsidR="00E42A45" w:rsidRDefault="00E42A45" w:rsidP="00BB63DF">
            <w:pPr>
              <w:tabs>
                <w:tab w:val="left" w:pos="709"/>
              </w:tabs>
              <w:rPr>
                <w:sz w:val="20"/>
              </w:rPr>
            </w:pPr>
            <w:r>
              <w:rPr>
                <w:sz w:val="20"/>
              </w:rPr>
              <w:t xml:space="preserve">        Lokalita je situovaná nad osadou Všeraz na JZ exponovaném mírně zvlněném s četnými terénními stupni se všesměrnou orientací. Nadmořská výška lokality se pohybuje mezi 230 a 330 m. </w:t>
            </w:r>
          </w:p>
          <w:p w14:paraId="5E5F16F1" w14:textId="77777777" w:rsidR="00E42A45" w:rsidRDefault="00E42A45" w:rsidP="00BB63DF">
            <w:pPr>
              <w:tabs>
                <w:tab w:val="left" w:pos="709"/>
              </w:tabs>
              <w:rPr>
                <w:sz w:val="20"/>
              </w:rPr>
            </w:pPr>
            <w:r>
              <w:rPr>
                <w:sz w:val="20"/>
              </w:rPr>
              <w:t xml:space="preserve">        Prostorově heterogenní mozaika extenzivně využívaných a dočasně nevyužívaných TTP spolu s remízy, mezními dřevinnými doprovody terénních stupňů a volně rozptýlenými dřevinami je typickou ukázkou četných podobných ekosystémů doprovázejících zde údolí Labe. </w:t>
            </w:r>
          </w:p>
          <w:p w14:paraId="01000C9F" w14:textId="77777777" w:rsidR="00E42A45" w:rsidRDefault="00E42A45" w:rsidP="00BB63DF">
            <w:pPr>
              <w:tabs>
                <w:tab w:val="left" w:pos="709"/>
              </w:tabs>
              <w:rPr>
                <w:sz w:val="20"/>
              </w:rPr>
            </w:pPr>
            <w:r>
              <w:rPr>
                <w:sz w:val="20"/>
              </w:rPr>
              <w:t xml:space="preserve">        V dřevinné skladbě rozptýlené zeleně jsou zastoupeny zejména JS, BR, DB, ovocné stromy, OS, JIV, BK, HB,......</w:t>
            </w:r>
          </w:p>
          <w:p w14:paraId="79F0E6E8" w14:textId="77777777" w:rsidR="00E42A45" w:rsidRDefault="00E42A45" w:rsidP="00BB63DF">
            <w:pPr>
              <w:tabs>
                <w:tab w:val="left" w:pos="709"/>
              </w:tabs>
              <w:rPr>
                <w:sz w:val="20"/>
              </w:rPr>
            </w:pPr>
          </w:p>
          <w:p w14:paraId="29D7467F" w14:textId="77777777" w:rsidR="00E42A45" w:rsidRDefault="00E42A45" w:rsidP="00BB63DF">
            <w:pPr>
              <w:tabs>
                <w:tab w:val="left" w:pos="709"/>
              </w:tabs>
              <w:rPr>
                <w:sz w:val="20"/>
              </w:rPr>
            </w:pPr>
            <w:r>
              <w:rPr>
                <w:sz w:val="20"/>
              </w:rPr>
              <w:t xml:space="preserve">                                                                                                          SES = 3-4   </w:t>
            </w:r>
          </w:p>
          <w:p w14:paraId="42B85106" w14:textId="77777777" w:rsidR="00E42A45" w:rsidRDefault="00E42A45" w:rsidP="00BB63DF">
            <w:pPr>
              <w:tabs>
                <w:tab w:val="left" w:pos="709"/>
              </w:tabs>
              <w:rPr>
                <w:sz w:val="20"/>
              </w:rPr>
            </w:pPr>
            <w:r>
              <w:rPr>
                <w:sz w:val="20"/>
              </w:rPr>
              <w:t>Skupina typů geobiocenů :  FAGI - QUERCETA TYPICA</w:t>
            </w:r>
          </w:p>
          <w:p w14:paraId="340939AF" w14:textId="77777777" w:rsidR="00E42A45" w:rsidRDefault="00E42A45" w:rsidP="00BB63DF">
            <w:pPr>
              <w:tabs>
                <w:tab w:val="left" w:pos="709"/>
              </w:tabs>
              <w:rPr>
                <w:sz w:val="20"/>
              </w:rPr>
            </w:pPr>
            <w:r>
              <w:rPr>
                <w:sz w:val="20"/>
              </w:rPr>
              <w:t xml:space="preserve">                   </w:t>
            </w:r>
          </w:p>
          <w:p w14:paraId="60F6B4A1" w14:textId="77777777" w:rsidR="00E42A45" w:rsidRDefault="00E42A45" w:rsidP="00BB63DF">
            <w:pPr>
              <w:tabs>
                <w:tab w:val="left" w:pos="709"/>
              </w:tabs>
              <w:rPr>
                <w:sz w:val="20"/>
              </w:rPr>
            </w:pPr>
            <w:r>
              <w:rPr>
                <w:sz w:val="20"/>
              </w:rPr>
              <w:t>Bot.: viz škrtací seznam č. 47</w:t>
            </w:r>
          </w:p>
          <w:p w14:paraId="737C7E52" w14:textId="77777777" w:rsidR="00E42A45" w:rsidRDefault="00E42A45" w:rsidP="00BB63DF">
            <w:pPr>
              <w:tabs>
                <w:tab w:val="left" w:pos="709"/>
              </w:tabs>
              <w:rPr>
                <w:sz w:val="20"/>
              </w:rPr>
            </w:pPr>
            <w:r>
              <w:rPr>
                <w:sz w:val="20"/>
              </w:rPr>
              <w:t xml:space="preserve">Geol.: mezotrofní  hnědá půda  </w:t>
            </w:r>
          </w:p>
          <w:p w14:paraId="0A06F6F8" w14:textId="77777777" w:rsidR="00E42A45" w:rsidRDefault="00E42A45" w:rsidP="00BB63DF">
            <w:pPr>
              <w:tabs>
                <w:tab w:val="left" w:pos="709"/>
              </w:tabs>
              <w:rPr>
                <w:sz w:val="20"/>
              </w:rPr>
            </w:pPr>
          </w:p>
          <w:p w14:paraId="483D4037" w14:textId="77777777" w:rsidR="00E42A45" w:rsidRDefault="00E42A45" w:rsidP="00BB63DF">
            <w:pPr>
              <w:tabs>
                <w:tab w:val="left" w:pos="709"/>
              </w:tabs>
              <w:rPr>
                <w:sz w:val="20"/>
              </w:rPr>
            </w:pPr>
            <w:r>
              <w:rPr>
                <w:b/>
                <w:sz w:val="20"/>
              </w:rPr>
              <w:t xml:space="preserve">Návrh opatření : </w:t>
            </w:r>
            <w:r>
              <w:rPr>
                <w:sz w:val="20"/>
              </w:rPr>
              <w:t xml:space="preserve"> </w:t>
            </w:r>
          </w:p>
          <w:p w14:paraId="70D559B1" w14:textId="77777777" w:rsidR="00E42A45" w:rsidRPr="00B4044B" w:rsidRDefault="00E42A45" w:rsidP="00BB63DF">
            <w:pPr>
              <w:tabs>
                <w:tab w:val="left" w:pos="709"/>
              </w:tabs>
              <w:rPr>
                <w:b/>
                <w:sz w:val="20"/>
              </w:rPr>
            </w:pPr>
            <w:r>
              <w:rPr>
                <w:b/>
                <w:sz w:val="20"/>
              </w:rPr>
              <w:t xml:space="preserve">Extenzivní spásání popř. kosení lokality s ohledem na zachování dřevinných porostů. Vyloučení hnojení a zásahů do vodního režimu. </w:t>
            </w:r>
          </w:p>
        </w:tc>
      </w:tr>
      <w:tr w:rsidR="00E42A45" w14:paraId="0BC4D6FD" w14:textId="77777777" w:rsidTr="00BB63DF">
        <w:tc>
          <w:tcPr>
            <w:tcW w:w="7072" w:type="dxa"/>
            <w:shd w:val="clear" w:color="auto" w:fill="FFFFFF"/>
          </w:tcPr>
          <w:p w14:paraId="53BAE219" w14:textId="77777777" w:rsidR="00E42A45" w:rsidRDefault="00E42A45" w:rsidP="00BB63DF">
            <w:pPr>
              <w:tabs>
                <w:tab w:val="left" w:pos="709"/>
              </w:tabs>
            </w:pPr>
            <w:r>
              <w:rPr>
                <w:sz w:val="18"/>
              </w:rPr>
              <w:t>Vymezení</w:t>
            </w:r>
          </w:p>
          <w:p w14:paraId="4380B7A4" w14:textId="77777777" w:rsidR="00E42A45" w:rsidRDefault="00E42A45" w:rsidP="00BB63DF">
            <w:pPr>
              <w:tabs>
                <w:tab w:val="left" w:pos="709"/>
              </w:tabs>
            </w:pPr>
            <w:r>
              <w:t xml:space="preserve">                      </w:t>
            </w:r>
          </w:p>
        </w:tc>
        <w:tc>
          <w:tcPr>
            <w:tcW w:w="7072" w:type="dxa"/>
            <w:gridSpan w:val="2"/>
            <w:shd w:val="clear" w:color="auto" w:fill="FFFFFF"/>
          </w:tcPr>
          <w:p w14:paraId="3C11F142" w14:textId="77777777" w:rsidR="00E42A45" w:rsidRDefault="00E42A45" w:rsidP="00BB63DF">
            <w:pPr>
              <w:tabs>
                <w:tab w:val="left" w:pos="709"/>
              </w:tabs>
              <w:rPr>
                <w:sz w:val="18"/>
              </w:rPr>
            </w:pPr>
            <w:r>
              <w:rPr>
                <w:sz w:val="18"/>
              </w:rPr>
              <w:t xml:space="preserve">Kultura                      </w:t>
            </w:r>
            <w:r>
              <w:rPr>
                <w:sz w:val="20"/>
              </w:rPr>
              <w:t>louka, pastvina, ost. plochy</w:t>
            </w:r>
          </w:p>
          <w:p w14:paraId="17615349" w14:textId="77777777" w:rsidR="00E42A45" w:rsidRDefault="00E42A45" w:rsidP="00BB63DF">
            <w:pPr>
              <w:tabs>
                <w:tab w:val="left" w:pos="709"/>
              </w:tabs>
              <w:rPr>
                <w:sz w:val="20"/>
              </w:rPr>
            </w:pPr>
          </w:p>
        </w:tc>
      </w:tr>
      <w:tr w:rsidR="00E42A45" w14:paraId="3FDAF81C" w14:textId="77777777" w:rsidTr="00BB63DF">
        <w:tc>
          <w:tcPr>
            <w:tcW w:w="7072" w:type="dxa"/>
            <w:shd w:val="clear" w:color="auto" w:fill="FFFFFF"/>
          </w:tcPr>
          <w:p w14:paraId="1978559E" w14:textId="77777777" w:rsidR="00E42A45" w:rsidRDefault="00E42A45" w:rsidP="00BB63DF">
            <w:pPr>
              <w:tabs>
                <w:tab w:val="left" w:pos="709"/>
              </w:tabs>
            </w:pPr>
            <w:r>
              <w:rPr>
                <w:sz w:val="18"/>
              </w:rPr>
              <w:t>Uživatel</w:t>
            </w:r>
          </w:p>
          <w:p w14:paraId="38796098" w14:textId="77777777" w:rsidR="00E42A45" w:rsidRDefault="00E42A45" w:rsidP="00BB63DF">
            <w:pPr>
              <w:tabs>
                <w:tab w:val="left" w:pos="709"/>
              </w:tabs>
            </w:pPr>
            <w:r>
              <w:t xml:space="preserve">                      </w:t>
            </w:r>
          </w:p>
        </w:tc>
        <w:tc>
          <w:tcPr>
            <w:tcW w:w="7072" w:type="dxa"/>
            <w:gridSpan w:val="2"/>
            <w:shd w:val="clear" w:color="auto" w:fill="FFFFFF"/>
          </w:tcPr>
          <w:p w14:paraId="237B8B06" w14:textId="77777777" w:rsidR="00E42A45" w:rsidRDefault="00E42A45" w:rsidP="00BB63DF">
            <w:pPr>
              <w:tabs>
                <w:tab w:val="left" w:pos="709"/>
              </w:tabs>
              <w:rPr>
                <w:sz w:val="18"/>
              </w:rPr>
            </w:pPr>
            <w:r>
              <w:rPr>
                <w:sz w:val="18"/>
              </w:rPr>
              <w:t>Mapovatel                 Sklenička, Linhart, 1997</w:t>
            </w:r>
          </w:p>
          <w:p w14:paraId="55913CEB" w14:textId="77777777" w:rsidR="00E42A45" w:rsidRDefault="00E42A45" w:rsidP="00BB63DF">
            <w:pPr>
              <w:tabs>
                <w:tab w:val="left" w:pos="709"/>
              </w:tabs>
              <w:rPr>
                <w:sz w:val="18"/>
              </w:rPr>
            </w:pPr>
          </w:p>
        </w:tc>
      </w:tr>
      <w:tr w:rsidR="00E42A45" w14:paraId="6E51A740" w14:textId="77777777" w:rsidTr="00BB63DF">
        <w:tc>
          <w:tcPr>
            <w:tcW w:w="14144" w:type="dxa"/>
            <w:gridSpan w:val="3"/>
            <w:shd w:val="clear" w:color="auto" w:fill="FFFFFF"/>
          </w:tcPr>
          <w:p w14:paraId="4E6D23DC" w14:textId="77777777" w:rsidR="00E42A45" w:rsidRDefault="00E42A45" w:rsidP="00BB63DF">
            <w:pPr>
              <w:tabs>
                <w:tab w:val="left" w:pos="709"/>
              </w:tabs>
            </w:pPr>
            <w:r>
              <w:rPr>
                <w:sz w:val="18"/>
              </w:rPr>
              <w:t>Kategorie ochrany, rok vyhlášení</w:t>
            </w:r>
          </w:p>
          <w:p w14:paraId="4C059905" w14:textId="77777777" w:rsidR="00E42A45" w:rsidRDefault="00E42A45" w:rsidP="00BB63DF">
            <w:pPr>
              <w:tabs>
                <w:tab w:val="left" w:pos="709"/>
              </w:tabs>
              <w:rPr>
                <w:b/>
                <w:sz w:val="20"/>
              </w:rPr>
            </w:pPr>
            <w:r>
              <w:t xml:space="preserve">                                                                     </w:t>
            </w:r>
            <w:r>
              <w:rPr>
                <w:b/>
                <w:sz w:val="20"/>
              </w:rPr>
              <w:t>CHKO České Středohoří - II. zóna</w:t>
            </w:r>
          </w:p>
          <w:p w14:paraId="0DCC3674" w14:textId="77777777" w:rsidR="00E42A45" w:rsidRDefault="00E42A45" w:rsidP="00BB63DF">
            <w:pPr>
              <w:tabs>
                <w:tab w:val="left" w:pos="709"/>
              </w:tabs>
              <w:rPr>
                <w:b/>
                <w:sz w:val="20"/>
              </w:rPr>
            </w:pPr>
          </w:p>
        </w:tc>
      </w:tr>
    </w:tbl>
    <w:p w14:paraId="4D8A3B69"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3F14F08F" w14:textId="77777777" w:rsidTr="00BB63DF">
        <w:tc>
          <w:tcPr>
            <w:tcW w:w="7072" w:type="dxa"/>
            <w:shd w:val="clear" w:color="auto" w:fill="FFFFFF"/>
          </w:tcPr>
          <w:p w14:paraId="4B15FA0B" w14:textId="77777777" w:rsidR="00E42A45" w:rsidRDefault="00E42A45" w:rsidP="00BB63DF">
            <w:pPr>
              <w:tabs>
                <w:tab w:val="left" w:pos="709"/>
              </w:tabs>
              <w:rPr>
                <w:sz w:val="18"/>
              </w:rPr>
            </w:pPr>
            <w:r>
              <w:rPr>
                <w:sz w:val="18"/>
              </w:rPr>
              <w:t>Pořadové číslo</w:t>
            </w:r>
          </w:p>
          <w:p w14:paraId="25265C1A" w14:textId="77777777" w:rsidR="00E42A45" w:rsidRDefault="00E42A45" w:rsidP="00BB63DF">
            <w:pPr>
              <w:tabs>
                <w:tab w:val="left" w:pos="709"/>
              </w:tabs>
              <w:rPr>
                <w:b/>
                <w:sz w:val="36"/>
              </w:rPr>
            </w:pPr>
            <w:r>
              <w:rPr>
                <w:b/>
                <w:sz w:val="36"/>
              </w:rPr>
              <w:t xml:space="preserve">                                                7</w:t>
            </w:r>
          </w:p>
        </w:tc>
        <w:tc>
          <w:tcPr>
            <w:tcW w:w="7072" w:type="dxa"/>
            <w:gridSpan w:val="2"/>
            <w:shd w:val="clear" w:color="auto" w:fill="FFFFFF"/>
          </w:tcPr>
          <w:p w14:paraId="4BA81EB2" w14:textId="77777777" w:rsidR="00E42A45" w:rsidRDefault="00E42A45" w:rsidP="00BB63DF">
            <w:pPr>
              <w:tabs>
                <w:tab w:val="left" w:pos="709"/>
              </w:tabs>
              <w:rPr>
                <w:sz w:val="18"/>
              </w:rPr>
            </w:pPr>
            <w:r>
              <w:rPr>
                <w:sz w:val="18"/>
              </w:rPr>
              <w:t>Katastrální území</w:t>
            </w:r>
          </w:p>
          <w:p w14:paraId="0BAE76EC" w14:textId="77777777" w:rsidR="00E42A45" w:rsidRDefault="00E42A45" w:rsidP="00BB63DF">
            <w:pPr>
              <w:tabs>
                <w:tab w:val="left" w:pos="709"/>
              </w:tabs>
              <w:rPr>
                <w:b/>
                <w:sz w:val="18"/>
              </w:rPr>
            </w:pPr>
            <w:r>
              <w:t xml:space="preserve">                                 </w:t>
            </w:r>
            <w:r>
              <w:rPr>
                <w:b/>
              </w:rPr>
              <w:t>Babětín, Lesná</w:t>
            </w:r>
          </w:p>
        </w:tc>
      </w:tr>
      <w:tr w:rsidR="00E42A45" w14:paraId="04939F75" w14:textId="77777777" w:rsidTr="00BB63DF">
        <w:tc>
          <w:tcPr>
            <w:tcW w:w="7072" w:type="dxa"/>
            <w:shd w:val="clear" w:color="auto" w:fill="FFFFFF"/>
          </w:tcPr>
          <w:p w14:paraId="215D79F7" w14:textId="77777777" w:rsidR="00E42A45" w:rsidRDefault="00E42A45" w:rsidP="00BB63DF">
            <w:pPr>
              <w:tabs>
                <w:tab w:val="left" w:pos="709"/>
              </w:tabs>
              <w:rPr>
                <w:sz w:val="18"/>
              </w:rPr>
            </w:pPr>
            <w:r>
              <w:rPr>
                <w:sz w:val="18"/>
              </w:rPr>
              <w:t>Název</w:t>
            </w:r>
          </w:p>
          <w:p w14:paraId="1A1CAE4F" w14:textId="77777777" w:rsidR="00E42A45" w:rsidRDefault="00E42A45" w:rsidP="00BB63DF">
            <w:pPr>
              <w:tabs>
                <w:tab w:val="left" w:pos="709"/>
              </w:tabs>
              <w:rPr>
                <w:b/>
                <w:caps/>
                <w:sz w:val="18"/>
              </w:rPr>
            </w:pPr>
            <w:r>
              <w:rPr>
                <w:b/>
                <w:caps/>
                <w:sz w:val="18"/>
              </w:rPr>
              <w:t xml:space="preserve">                     </w:t>
            </w:r>
            <w:r>
              <w:rPr>
                <w:b/>
                <w:caps/>
              </w:rPr>
              <w:t xml:space="preserve">Lesní porost nad Babětínem </w:t>
            </w:r>
          </w:p>
        </w:tc>
        <w:tc>
          <w:tcPr>
            <w:tcW w:w="3536" w:type="dxa"/>
            <w:shd w:val="clear" w:color="auto" w:fill="FFFFFF"/>
          </w:tcPr>
          <w:p w14:paraId="5957BB4E" w14:textId="77777777" w:rsidR="00E42A45" w:rsidRDefault="00E42A45" w:rsidP="00BB63DF">
            <w:pPr>
              <w:tabs>
                <w:tab w:val="left" w:pos="709"/>
              </w:tabs>
              <w:rPr>
                <w:sz w:val="18"/>
              </w:rPr>
            </w:pPr>
            <w:r>
              <w:rPr>
                <w:sz w:val="18"/>
              </w:rPr>
              <w:t xml:space="preserve">Mapový list           </w:t>
            </w:r>
          </w:p>
          <w:p w14:paraId="15B9786E" w14:textId="77777777" w:rsidR="00E42A45" w:rsidRDefault="00E42A45" w:rsidP="00BB63DF">
            <w:pPr>
              <w:tabs>
                <w:tab w:val="left" w:pos="709"/>
              </w:tabs>
              <w:rPr>
                <w:sz w:val="20"/>
              </w:rPr>
            </w:pPr>
            <w:r>
              <w:rPr>
                <w:sz w:val="20"/>
              </w:rPr>
              <w:t xml:space="preserve">                            02-41-04</w:t>
            </w:r>
          </w:p>
        </w:tc>
        <w:tc>
          <w:tcPr>
            <w:tcW w:w="3536" w:type="dxa"/>
            <w:shd w:val="clear" w:color="auto" w:fill="FFFFFF"/>
          </w:tcPr>
          <w:p w14:paraId="074DC651" w14:textId="77777777" w:rsidR="00E42A45" w:rsidRDefault="00E42A45" w:rsidP="00BB63DF">
            <w:pPr>
              <w:tabs>
                <w:tab w:val="left" w:pos="709"/>
              </w:tabs>
              <w:rPr>
                <w:sz w:val="18"/>
              </w:rPr>
            </w:pPr>
            <w:r>
              <w:rPr>
                <w:sz w:val="18"/>
              </w:rPr>
              <w:t xml:space="preserve">Výměra      </w:t>
            </w:r>
          </w:p>
          <w:p w14:paraId="4DBDC74C" w14:textId="77777777" w:rsidR="00E42A45" w:rsidRDefault="00E42A45" w:rsidP="00BB63DF">
            <w:pPr>
              <w:tabs>
                <w:tab w:val="left" w:pos="709"/>
              </w:tabs>
              <w:rPr>
                <w:b/>
                <w:sz w:val="20"/>
              </w:rPr>
            </w:pPr>
            <w:r>
              <w:rPr>
                <w:sz w:val="18"/>
              </w:rPr>
              <w:t xml:space="preserve">                     </w:t>
            </w:r>
            <w:r>
              <w:rPr>
                <w:b/>
                <w:sz w:val="20"/>
              </w:rPr>
              <w:t xml:space="preserve">37,53 ha                           </w:t>
            </w:r>
          </w:p>
        </w:tc>
      </w:tr>
      <w:tr w:rsidR="00E42A45" w14:paraId="058145EB" w14:textId="77777777" w:rsidTr="00BB63DF">
        <w:tc>
          <w:tcPr>
            <w:tcW w:w="7072" w:type="dxa"/>
            <w:shd w:val="clear" w:color="auto" w:fill="FFFFFF"/>
          </w:tcPr>
          <w:p w14:paraId="2E58EDBF" w14:textId="77777777" w:rsidR="00E42A45" w:rsidRDefault="00E42A45" w:rsidP="00BB63DF">
            <w:pPr>
              <w:tabs>
                <w:tab w:val="left" w:pos="709"/>
              </w:tabs>
              <w:rPr>
                <w:sz w:val="20"/>
              </w:rPr>
            </w:pPr>
            <w:r>
              <w:rPr>
                <w:sz w:val="20"/>
              </w:rPr>
              <w:t>EVKP - ekologicky významný krajinný prvek</w:t>
            </w:r>
          </w:p>
          <w:p w14:paraId="24A5929A" w14:textId="77777777" w:rsidR="00E42A45" w:rsidRDefault="00E42A45" w:rsidP="00BB63DF">
            <w:pPr>
              <w:tabs>
                <w:tab w:val="left" w:pos="709"/>
              </w:tabs>
              <w:rPr>
                <w:sz w:val="20"/>
              </w:rPr>
            </w:pPr>
            <w:r>
              <w:rPr>
                <w:sz w:val="20"/>
              </w:rPr>
              <w:t>EVKC - ekologicky významný krajinný celek</w:t>
            </w:r>
          </w:p>
          <w:p w14:paraId="7EF5EC18" w14:textId="77777777" w:rsidR="00E42A45" w:rsidRPr="002D7515" w:rsidRDefault="00E42A45" w:rsidP="00BB63DF">
            <w:pPr>
              <w:pStyle w:val="Nadpis6"/>
            </w:pPr>
            <w:r w:rsidRPr="002D7515">
              <w:t>EVKO - ekologicky významná krajinná oblast</w:t>
            </w:r>
          </w:p>
          <w:p w14:paraId="3B6F3FDE"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35F1F7E6" w14:textId="77777777" w:rsidR="00E42A45" w:rsidRPr="002D7515" w:rsidRDefault="00E42A45" w:rsidP="00BB63DF">
            <w:pPr>
              <w:pStyle w:val="Nadpis8"/>
              <w:rPr>
                <w:b/>
              </w:rPr>
            </w:pPr>
            <w:r w:rsidRPr="002D7515">
              <w:rPr>
                <w:b/>
              </w:rPr>
              <w:t>Biogeografický význam</w:t>
            </w:r>
          </w:p>
          <w:p w14:paraId="1EBFFAA3" w14:textId="77777777" w:rsidR="00E42A45" w:rsidRDefault="00E42A45" w:rsidP="00BB63DF">
            <w:pPr>
              <w:tabs>
                <w:tab w:val="left" w:pos="709"/>
              </w:tabs>
            </w:pPr>
            <w:r>
              <w:t xml:space="preserve">       -</w:t>
            </w:r>
            <w:r>
              <w:rPr>
                <w:b/>
              </w:rPr>
              <w:t xml:space="preserve"> lokální, reprezentativní</w:t>
            </w:r>
          </w:p>
          <w:p w14:paraId="45FF0F03" w14:textId="77777777" w:rsidR="00E42A45" w:rsidRDefault="00E42A45" w:rsidP="00BB63DF">
            <w:pPr>
              <w:tabs>
                <w:tab w:val="left" w:pos="709"/>
              </w:tabs>
              <w:ind w:left="345"/>
              <w:rPr>
                <w:sz w:val="20"/>
              </w:rPr>
            </w:pPr>
            <w:r>
              <w:t xml:space="preserve"> - </w:t>
            </w:r>
            <w:r>
              <w:rPr>
                <w:sz w:val="20"/>
              </w:rPr>
              <w:t>regionální, reprezentativní</w:t>
            </w:r>
          </w:p>
          <w:p w14:paraId="64EFD116" w14:textId="77777777" w:rsidR="00E42A45" w:rsidRDefault="00E42A45" w:rsidP="00BB63DF">
            <w:pPr>
              <w:tabs>
                <w:tab w:val="left" w:pos="709"/>
              </w:tabs>
              <w:ind w:left="345"/>
            </w:pPr>
            <w:r>
              <w:rPr>
                <w:sz w:val="20"/>
              </w:rPr>
              <w:t xml:space="preserve"> - nadregi</w:t>
            </w:r>
            <w:r>
              <w:t>onální</w:t>
            </w:r>
          </w:p>
        </w:tc>
        <w:tc>
          <w:tcPr>
            <w:tcW w:w="3536" w:type="dxa"/>
            <w:shd w:val="clear" w:color="auto" w:fill="FFFFFF"/>
          </w:tcPr>
          <w:p w14:paraId="5F352184" w14:textId="77777777" w:rsidR="00E42A45" w:rsidRPr="002D7515" w:rsidRDefault="00E42A45" w:rsidP="00BB63DF">
            <w:pPr>
              <w:pStyle w:val="Nadpis8"/>
              <w:rPr>
                <w:b/>
              </w:rPr>
            </w:pPr>
            <w:r w:rsidRPr="002D7515">
              <w:rPr>
                <w:b/>
              </w:rPr>
              <w:t>Stav</w:t>
            </w:r>
          </w:p>
          <w:p w14:paraId="1453ADB5" w14:textId="77777777" w:rsidR="00E42A45" w:rsidRDefault="00E42A45" w:rsidP="00BB63DF">
            <w:pPr>
              <w:tabs>
                <w:tab w:val="left" w:pos="709"/>
              </w:tabs>
              <w:ind w:left="405"/>
            </w:pPr>
            <w:r>
              <w:rPr>
                <w:b/>
              </w:rPr>
              <w:t>-  funkčně vymezený</w:t>
            </w:r>
          </w:p>
          <w:p w14:paraId="693BA9AE" w14:textId="77777777" w:rsidR="00E42A45" w:rsidRDefault="00E42A45" w:rsidP="00BB63DF">
            <w:pPr>
              <w:tabs>
                <w:tab w:val="left" w:pos="709"/>
              </w:tabs>
              <w:rPr>
                <w:sz w:val="20"/>
              </w:rPr>
            </w:pPr>
            <w:r>
              <w:t xml:space="preserve">       </w:t>
            </w:r>
            <w:r>
              <w:rPr>
                <w:sz w:val="20"/>
              </w:rPr>
              <w:t xml:space="preserve">-  semifunkční    </w:t>
            </w:r>
          </w:p>
          <w:p w14:paraId="30E96981" w14:textId="77777777" w:rsidR="00E42A45" w:rsidRDefault="00E42A45" w:rsidP="00BB63DF">
            <w:pPr>
              <w:tabs>
                <w:tab w:val="left" w:pos="709"/>
              </w:tabs>
            </w:pPr>
            <w:r>
              <w:rPr>
                <w:sz w:val="20"/>
              </w:rPr>
              <w:t xml:space="preserve">        -  navržený</w:t>
            </w:r>
          </w:p>
        </w:tc>
      </w:tr>
      <w:tr w:rsidR="00E42A45" w14:paraId="147C44C2" w14:textId="77777777" w:rsidTr="00BB63DF">
        <w:tc>
          <w:tcPr>
            <w:tcW w:w="7072" w:type="dxa"/>
            <w:shd w:val="clear" w:color="auto" w:fill="FFFFFF"/>
          </w:tcPr>
          <w:p w14:paraId="4B6409DC" w14:textId="77777777" w:rsidR="00E42A45" w:rsidRDefault="00E42A45" w:rsidP="00BB63DF">
            <w:pPr>
              <w:tabs>
                <w:tab w:val="left" w:pos="709"/>
              </w:tabs>
              <w:rPr>
                <w:b/>
                <w:sz w:val="18"/>
              </w:rPr>
            </w:pPr>
            <w:r>
              <w:rPr>
                <w:b/>
                <w:sz w:val="18"/>
              </w:rPr>
              <w:t>Geobiocenologická typizace (vegetační stupeň, trofická řada, hydrická řada)</w:t>
            </w:r>
          </w:p>
          <w:p w14:paraId="57DB0D52" w14:textId="77777777" w:rsidR="00E42A45" w:rsidRDefault="00E42A45" w:rsidP="00BB63DF">
            <w:pPr>
              <w:tabs>
                <w:tab w:val="left" w:pos="709"/>
              </w:tabs>
            </w:pPr>
            <w:r>
              <w:t xml:space="preserve">                         3BD3,  2BD3, 2AB1  </w:t>
            </w:r>
          </w:p>
        </w:tc>
        <w:tc>
          <w:tcPr>
            <w:tcW w:w="7072" w:type="dxa"/>
            <w:gridSpan w:val="2"/>
            <w:shd w:val="clear" w:color="auto" w:fill="FFFFFF"/>
          </w:tcPr>
          <w:p w14:paraId="099AD8CF" w14:textId="77777777" w:rsidR="00E42A45" w:rsidRDefault="00E42A45" w:rsidP="00BB63DF">
            <w:pPr>
              <w:tabs>
                <w:tab w:val="left" w:pos="709"/>
              </w:tabs>
            </w:pPr>
          </w:p>
        </w:tc>
      </w:tr>
      <w:tr w:rsidR="00E42A45" w14:paraId="51CA8647" w14:textId="77777777" w:rsidTr="00BB63DF">
        <w:tc>
          <w:tcPr>
            <w:tcW w:w="14144" w:type="dxa"/>
            <w:gridSpan w:val="3"/>
          </w:tcPr>
          <w:p w14:paraId="7E668BDB" w14:textId="77777777" w:rsidR="00E42A45" w:rsidRPr="00B4044B" w:rsidRDefault="00E42A45" w:rsidP="00BB63DF">
            <w:pPr>
              <w:tabs>
                <w:tab w:val="left" w:pos="709"/>
              </w:tabs>
              <w:rPr>
                <w:b/>
                <w:sz w:val="18"/>
              </w:rPr>
            </w:pPr>
            <w:r>
              <w:rPr>
                <w:b/>
                <w:sz w:val="18"/>
              </w:rPr>
              <w:t>Charakter ekotopu a bioty</w:t>
            </w:r>
          </w:p>
          <w:p w14:paraId="3F105867" w14:textId="77777777" w:rsidR="00E42A45" w:rsidRDefault="00E42A45" w:rsidP="00BB63DF">
            <w:pPr>
              <w:tabs>
                <w:tab w:val="left" w:pos="709"/>
              </w:tabs>
              <w:rPr>
                <w:sz w:val="20"/>
              </w:rPr>
            </w:pPr>
            <w:r>
              <w:rPr>
                <w:sz w:val="20"/>
              </w:rPr>
              <w:t xml:space="preserve">        Lokální biocentrum na trase nadregionálního biokoridoru tvořené lesními porosty na strmých mírně zvlněných svazích jižně od vrchu Hůrka. Svahy jsou vesměs orientovány JZ směrem, jejich reliéf je mírně zvlněn s výraznějším údolím v severní části biocentra. Sklon svahů je v průměru kolem 50 %.    Nadmořská výška biocentra se pohybuje od 300 do 520m. </w:t>
            </w:r>
          </w:p>
          <w:p w14:paraId="711C4D65" w14:textId="77777777" w:rsidR="00E42A45" w:rsidRDefault="00E42A45" w:rsidP="00BB63DF">
            <w:pPr>
              <w:tabs>
                <w:tab w:val="left" w:pos="709"/>
              </w:tabs>
              <w:rPr>
                <w:sz w:val="20"/>
              </w:rPr>
            </w:pPr>
          </w:p>
          <w:p w14:paraId="65D1FDB2" w14:textId="77777777" w:rsidR="00E42A45" w:rsidRDefault="00E42A45" w:rsidP="00BB63DF">
            <w:pPr>
              <w:tabs>
                <w:tab w:val="left" w:pos="709"/>
              </w:tabs>
              <w:rPr>
                <w:sz w:val="20"/>
              </w:rPr>
            </w:pPr>
            <w:r>
              <w:rPr>
                <w:sz w:val="20"/>
              </w:rPr>
              <w:t xml:space="preserve">        Lokalita je z ekologického hlediska (troficita a hydricita) i z hlediska věkové struktury porostů poměrně variabilní. Ve věkové struktuře dominují porosty 12. a 14. věkového stupně.         </w:t>
            </w:r>
          </w:p>
          <w:p w14:paraId="43FE85FB" w14:textId="77777777" w:rsidR="00E42A45" w:rsidRDefault="00E42A45" w:rsidP="00BB63DF">
            <w:pPr>
              <w:tabs>
                <w:tab w:val="left" w:pos="709"/>
              </w:tabs>
              <w:rPr>
                <w:sz w:val="20"/>
              </w:rPr>
            </w:pPr>
            <w:r>
              <w:rPr>
                <w:sz w:val="20"/>
              </w:rPr>
              <w:t xml:space="preserve">       Dřeviny v ekotonálních (okrajových) částech biocentra (SV a JZ okraj) jsou reprezentovány nejčastěji  OS,  BR, JS, DB, BK,  SM, HB.   </w:t>
            </w:r>
          </w:p>
          <w:p w14:paraId="1666D2BD" w14:textId="77777777" w:rsidR="00E42A45" w:rsidRDefault="00E42A45" w:rsidP="00BB63DF">
            <w:pPr>
              <w:tabs>
                <w:tab w:val="left" w:pos="709"/>
              </w:tabs>
              <w:rPr>
                <w:sz w:val="20"/>
              </w:rPr>
            </w:pPr>
            <w:r>
              <w:rPr>
                <w:sz w:val="20"/>
              </w:rPr>
              <w:t xml:space="preserve">V aktuální dřevinné skladbě se uplatňuje:  </w:t>
            </w:r>
          </w:p>
          <w:p w14:paraId="01AF6D5D" w14:textId="77777777" w:rsidR="00E42A45" w:rsidRDefault="00E42A45" w:rsidP="00BB63DF">
            <w:pPr>
              <w:tabs>
                <w:tab w:val="left" w:pos="709"/>
              </w:tabs>
              <w:rPr>
                <w:sz w:val="20"/>
              </w:rPr>
            </w:pPr>
            <w:r>
              <w:rPr>
                <w:sz w:val="20"/>
              </w:rPr>
              <w:t>764/B - BK, DB, BO, SM, LP, HB, MD, KL, JS, VJ                                  764/C - BK, DB, BO, BOC, HB, SM, BR, OS, MD, KL</w:t>
            </w:r>
          </w:p>
          <w:p w14:paraId="42032DF3" w14:textId="77777777" w:rsidR="00E42A45" w:rsidRDefault="00E42A45" w:rsidP="00BB63DF">
            <w:pPr>
              <w:tabs>
                <w:tab w:val="left" w:pos="709"/>
              </w:tabs>
              <w:rPr>
                <w:sz w:val="20"/>
              </w:rPr>
            </w:pPr>
            <w:r>
              <w:rPr>
                <w:sz w:val="20"/>
              </w:rPr>
              <w:t xml:space="preserve">                                                                                                                 SES  = 4 (3)  </w:t>
            </w:r>
          </w:p>
          <w:p w14:paraId="0F06A0B8" w14:textId="77777777" w:rsidR="00E42A45" w:rsidRDefault="00E42A45" w:rsidP="00BB63DF">
            <w:pPr>
              <w:tabs>
                <w:tab w:val="left" w:pos="709"/>
              </w:tabs>
              <w:rPr>
                <w:sz w:val="20"/>
              </w:rPr>
            </w:pPr>
            <w:r>
              <w:rPr>
                <w:sz w:val="20"/>
              </w:rPr>
              <w:t xml:space="preserve">                   lesní typy:   3W1 (2,3,4) - bazická db BK                              2W1 - bazická bkDB</w:t>
            </w:r>
          </w:p>
          <w:p w14:paraId="0C506A5E" w14:textId="77777777" w:rsidR="00E42A45" w:rsidRDefault="00E42A45" w:rsidP="00BB63DF">
            <w:pPr>
              <w:tabs>
                <w:tab w:val="left" w:pos="709"/>
              </w:tabs>
              <w:rPr>
                <w:sz w:val="20"/>
              </w:rPr>
            </w:pPr>
            <w:r>
              <w:rPr>
                <w:sz w:val="20"/>
              </w:rPr>
              <w:t xml:space="preserve">                                      2Z4 - zakrslá bkDB s válečkou prapořitou                                                   </w:t>
            </w:r>
          </w:p>
          <w:p w14:paraId="040D627B" w14:textId="77777777" w:rsidR="00E42A45" w:rsidRDefault="00E42A45" w:rsidP="00BB63DF">
            <w:pPr>
              <w:tabs>
                <w:tab w:val="left" w:pos="709"/>
              </w:tabs>
              <w:rPr>
                <w:sz w:val="20"/>
              </w:rPr>
            </w:pPr>
            <w:r>
              <w:rPr>
                <w:sz w:val="20"/>
              </w:rPr>
              <w:t xml:space="preserve">Bot.: </w:t>
            </w:r>
            <w:r>
              <w:rPr>
                <w:i/>
                <w:sz w:val="20"/>
              </w:rPr>
              <w:t>Poa nemoralis, Melica nutans, Fragaria vesca, Hieracium silvaticum, Asperula odorata, Galium silvaticum</w:t>
            </w:r>
          </w:p>
          <w:p w14:paraId="1087C35B" w14:textId="77777777" w:rsidR="00E42A45" w:rsidRDefault="00E42A45" w:rsidP="00BB63DF">
            <w:pPr>
              <w:tabs>
                <w:tab w:val="left" w:pos="709"/>
              </w:tabs>
              <w:rPr>
                <w:sz w:val="20"/>
              </w:rPr>
            </w:pPr>
            <w:r>
              <w:rPr>
                <w:sz w:val="20"/>
              </w:rPr>
              <w:t xml:space="preserve">Geol.: mezotrofní až mezoeutrofní hnědá půda </w:t>
            </w:r>
          </w:p>
          <w:p w14:paraId="435E3627" w14:textId="77777777" w:rsidR="00E42A45" w:rsidRDefault="00E42A45" w:rsidP="00BB63DF">
            <w:pPr>
              <w:tabs>
                <w:tab w:val="left" w:pos="709"/>
              </w:tabs>
              <w:rPr>
                <w:sz w:val="20"/>
              </w:rPr>
            </w:pPr>
          </w:p>
          <w:p w14:paraId="10504392" w14:textId="77777777" w:rsidR="00E42A45" w:rsidRDefault="00E42A45" w:rsidP="00BB63DF">
            <w:pPr>
              <w:tabs>
                <w:tab w:val="left" w:pos="709"/>
              </w:tabs>
              <w:rPr>
                <w:sz w:val="20"/>
              </w:rPr>
            </w:pPr>
            <w:r>
              <w:rPr>
                <w:b/>
                <w:sz w:val="20"/>
              </w:rPr>
              <w:t xml:space="preserve">Návrh opatření </w:t>
            </w:r>
            <w:r>
              <w:rPr>
                <w:sz w:val="20"/>
              </w:rPr>
              <w:t xml:space="preserve">:  </w:t>
            </w:r>
          </w:p>
          <w:p w14:paraId="723D03DD" w14:textId="77777777" w:rsidR="00E42A45" w:rsidRDefault="00E42A45" w:rsidP="00BB63DF">
            <w:pPr>
              <w:tabs>
                <w:tab w:val="left" w:pos="709"/>
              </w:tabs>
              <w:rPr>
                <w:b/>
                <w:sz w:val="20"/>
              </w:rPr>
            </w:pPr>
            <w:r>
              <w:rPr>
                <w:b/>
                <w:sz w:val="20"/>
              </w:rPr>
              <w:t>dřeviny přirozené rekonstruované skladby podle SLT:                                                3W - BK7, DB2, LP1, JV, JD         2W - BK4, DB4, JV1, LP1</w:t>
            </w:r>
          </w:p>
          <w:p w14:paraId="29CA2E99" w14:textId="77777777" w:rsidR="00E42A45" w:rsidRPr="008A42DA" w:rsidRDefault="00E42A45" w:rsidP="00BB63DF">
            <w:pPr>
              <w:pStyle w:val="Zkladntext"/>
              <w:rPr>
                <w:b/>
              </w:rPr>
            </w:pPr>
            <w:r w:rsidRPr="008A42DA">
              <w:rPr>
                <w:b/>
              </w:rPr>
              <w:t xml:space="preserve">                                                                                                                                              2Z - BK7, DB2, BR1, BO                       </w:t>
            </w:r>
          </w:p>
          <w:p w14:paraId="4C6A5A0E" w14:textId="77777777" w:rsidR="00E42A45" w:rsidRDefault="00E42A45" w:rsidP="00BB63DF">
            <w:pPr>
              <w:pStyle w:val="Zkladntext"/>
            </w:pPr>
            <w:r>
              <w:t xml:space="preserve"> Zakládáni (v rámci plánované obnovy) a výchova mladých porostů směrem k vertikální a horizontální členitosti a ve smyslu podpory dřevin přirozené skladby, ochrana před zvěří - nátěry, oplocení.</w:t>
            </w:r>
          </w:p>
          <w:p w14:paraId="270DA6F3" w14:textId="77777777" w:rsidR="00E42A45" w:rsidRDefault="00E42A45" w:rsidP="00BB63DF">
            <w:pPr>
              <w:pStyle w:val="Styl1"/>
              <w:tabs>
                <w:tab w:val="left" w:pos="709"/>
              </w:tabs>
            </w:pPr>
          </w:p>
        </w:tc>
      </w:tr>
      <w:tr w:rsidR="00E42A45" w14:paraId="1879F7A3" w14:textId="77777777" w:rsidTr="00BB63DF">
        <w:tc>
          <w:tcPr>
            <w:tcW w:w="7072" w:type="dxa"/>
            <w:shd w:val="clear" w:color="auto" w:fill="FFFFFF"/>
          </w:tcPr>
          <w:p w14:paraId="618E2F01" w14:textId="77777777" w:rsidR="00E42A45" w:rsidRDefault="00E42A45" w:rsidP="00BB63DF">
            <w:pPr>
              <w:tabs>
                <w:tab w:val="left" w:pos="709"/>
              </w:tabs>
            </w:pPr>
            <w:r>
              <w:rPr>
                <w:sz w:val="18"/>
              </w:rPr>
              <w:t xml:space="preserve">Vymezení                    </w:t>
            </w:r>
            <w:r>
              <w:rPr>
                <w:sz w:val="20"/>
              </w:rPr>
              <w:t>LS Děčín, 764/B,C</w:t>
            </w:r>
          </w:p>
          <w:p w14:paraId="26AE11B5" w14:textId="77777777" w:rsidR="00E42A45" w:rsidRDefault="00E42A45" w:rsidP="00BB63DF">
            <w:pPr>
              <w:tabs>
                <w:tab w:val="left" w:pos="709"/>
              </w:tabs>
              <w:rPr>
                <w:sz w:val="20"/>
              </w:rPr>
            </w:pPr>
          </w:p>
        </w:tc>
        <w:tc>
          <w:tcPr>
            <w:tcW w:w="7072" w:type="dxa"/>
            <w:gridSpan w:val="2"/>
            <w:shd w:val="clear" w:color="auto" w:fill="FFFFFF"/>
          </w:tcPr>
          <w:p w14:paraId="7EEA0625" w14:textId="77777777" w:rsidR="00E42A45" w:rsidRDefault="00E42A45" w:rsidP="00BB63DF">
            <w:pPr>
              <w:tabs>
                <w:tab w:val="left" w:pos="709"/>
              </w:tabs>
              <w:rPr>
                <w:sz w:val="18"/>
              </w:rPr>
            </w:pPr>
            <w:r>
              <w:rPr>
                <w:sz w:val="18"/>
              </w:rPr>
              <w:lastRenderedPageBreak/>
              <w:t>Kultura</w:t>
            </w:r>
            <w:r>
              <w:rPr>
                <w:sz w:val="20"/>
              </w:rPr>
              <w:t xml:space="preserve">                  les</w:t>
            </w:r>
          </w:p>
          <w:p w14:paraId="72FABEE3" w14:textId="77777777" w:rsidR="00E42A45" w:rsidRDefault="00E42A45" w:rsidP="00BB63DF">
            <w:pPr>
              <w:tabs>
                <w:tab w:val="left" w:pos="709"/>
              </w:tabs>
              <w:rPr>
                <w:sz w:val="20"/>
              </w:rPr>
            </w:pPr>
            <w:r>
              <w:rPr>
                <w:sz w:val="20"/>
              </w:rPr>
              <w:lastRenderedPageBreak/>
              <w:t xml:space="preserve"> </w:t>
            </w:r>
          </w:p>
        </w:tc>
      </w:tr>
      <w:tr w:rsidR="00E42A45" w14:paraId="58D871C8" w14:textId="77777777" w:rsidTr="00BB63DF">
        <w:tc>
          <w:tcPr>
            <w:tcW w:w="7072" w:type="dxa"/>
            <w:shd w:val="clear" w:color="auto" w:fill="FFFFFF"/>
          </w:tcPr>
          <w:p w14:paraId="1A1DF4B8" w14:textId="77777777" w:rsidR="00E42A45" w:rsidRDefault="00E42A45" w:rsidP="00BB63DF">
            <w:pPr>
              <w:tabs>
                <w:tab w:val="left" w:pos="709"/>
              </w:tabs>
              <w:rPr>
                <w:sz w:val="20"/>
              </w:rPr>
            </w:pPr>
            <w:r>
              <w:rPr>
                <w:sz w:val="18"/>
              </w:rPr>
              <w:lastRenderedPageBreak/>
              <w:t>Uživatel</w:t>
            </w:r>
            <w:r>
              <w:rPr>
                <w:sz w:val="20"/>
              </w:rPr>
              <w:t xml:space="preserve">                                    Lesy ČR</w:t>
            </w:r>
          </w:p>
        </w:tc>
        <w:tc>
          <w:tcPr>
            <w:tcW w:w="7072" w:type="dxa"/>
            <w:gridSpan w:val="2"/>
            <w:shd w:val="clear" w:color="auto" w:fill="FFFFFF"/>
          </w:tcPr>
          <w:p w14:paraId="0A41FBC8" w14:textId="77777777" w:rsidR="00E42A45" w:rsidRDefault="00E42A45" w:rsidP="00BB63DF">
            <w:pPr>
              <w:tabs>
                <w:tab w:val="left" w:pos="709"/>
              </w:tabs>
              <w:rPr>
                <w:sz w:val="18"/>
              </w:rPr>
            </w:pPr>
            <w:r>
              <w:rPr>
                <w:sz w:val="18"/>
              </w:rPr>
              <w:t>Mapovatel                Sklenička, Linhart, 1997</w:t>
            </w:r>
          </w:p>
          <w:p w14:paraId="2064DF55" w14:textId="77777777" w:rsidR="00E42A45" w:rsidRDefault="00E42A45" w:rsidP="00BB63DF">
            <w:pPr>
              <w:tabs>
                <w:tab w:val="left" w:pos="709"/>
              </w:tabs>
              <w:rPr>
                <w:sz w:val="18"/>
              </w:rPr>
            </w:pPr>
            <w:r>
              <w:rPr>
                <w:sz w:val="18"/>
              </w:rPr>
              <w:t xml:space="preserve">                               </w:t>
            </w:r>
          </w:p>
        </w:tc>
      </w:tr>
      <w:tr w:rsidR="00E42A45" w14:paraId="3F45001F" w14:textId="77777777" w:rsidTr="00BB63DF">
        <w:tc>
          <w:tcPr>
            <w:tcW w:w="14144" w:type="dxa"/>
            <w:gridSpan w:val="3"/>
            <w:shd w:val="clear" w:color="auto" w:fill="FFFFFF"/>
          </w:tcPr>
          <w:p w14:paraId="0291DE73" w14:textId="77777777" w:rsidR="00E42A45" w:rsidRDefault="00E42A45" w:rsidP="00BB63DF">
            <w:pPr>
              <w:tabs>
                <w:tab w:val="left" w:pos="709"/>
              </w:tabs>
            </w:pPr>
            <w:r>
              <w:rPr>
                <w:sz w:val="18"/>
              </w:rPr>
              <w:t>Kategorie ochrany, rok vyhlášení</w:t>
            </w:r>
          </w:p>
          <w:p w14:paraId="310F9E9F" w14:textId="77777777" w:rsidR="00E42A45" w:rsidRDefault="00E42A45" w:rsidP="00BB63DF">
            <w:pPr>
              <w:tabs>
                <w:tab w:val="left" w:pos="709"/>
              </w:tabs>
              <w:rPr>
                <w:b/>
                <w:sz w:val="20"/>
              </w:rPr>
            </w:pPr>
            <w:r>
              <w:t xml:space="preserve">                                                                                 </w:t>
            </w:r>
            <w:r>
              <w:rPr>
                <w:b/>
                <w:sz w:val="20"/>
              </w:rPr>
              <w:t>CHKO České Středohoří - II. zóna</w:t>
            </w:r>
          </w:p>
        </w:tc>
      </w:tr>
    </w:tbl>
    <w:p w14:paraId="5522853E"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3210267B" w14:textId="77777777" w:rsidTr="00BB63DF">
        <w:tc>
          <w:tcPr>
            <w:tcW w:w="7072" w:type="dxa"/>
            <w:shd w:val="clear" w:color="auto" w:fill="FFFFFF"/>
          </w:tcPr>
          <w:p w14:paraId="285E8F84" w14:textId="77777777" w:rsidR="00E42A45" w:rsidRDefault="00E42A45" w:rsidP="00BB63DF">
            <w:pPr>
              <w:tabs>
                <w:tab w:val="left" w:pos="709"/>
              </w:tabs>
              <w:rPr>
                <w:b/>
                <w:sz w:val="18"/>
              </w:rPr>
            </w:pPr>
            <w:r>
              <w:rPr>
                <w:b/>
                <w:sz w:val="18"/>
              </w:rPr>
              <w:t>Pořadové číslo</w:t>
            </w:r>
          </w:p>
          <w:p w14:paraId="4EB47552" w14:textId="77777777" w:rsidR="00E42A45" w:rsidRDefault="00E42A45" w:rsidP="00BB63DF">
            <w:pPr>
              <w:tabs>
                <w:tab w:val="left" w:pos="709"/>
              </w:tabs>
              <w:rPr>
                <w:b/>
                <w:sz w:val="36"/>
              </w:rPr>
            </w:pPr>
            <w:r>
              <w:rPr>
                <w:b/>
                <w:sz w:val="36"/>
              </w:rPr>
              <w:t xml:space="preserve">                                                8</w:t>
            </w:r>
          </w:p>
        </w:tc>
        <w:tc>
          <w:tcPr>
            <w:tcW w:w="7072" w:type="dxa"/>
            <w:gridSpan w:val="2"/>
            <w:shd w:val="clear" w:color="auto" w:fill="FFFFFF"/>
          </w:tcPr>
          <w:p w14:paraId="7C05B7BB" w14:textId="77777777" w:rsidR="00E42A45" w:rsidRDefault="00E42A45" w:rsidP="00BB63DF">
            <w:pPr>
              <w:tabs>
                <w:tab w:val="left" w:pos="709"/>
              </w:tabs>
              <w:rPr>
                <w:sz w:val="18"/>
              </w:rPr>
            </w:pPr>
            <w:r>
              <w:rPr>
                <w:sz w:val="18"/>
              </w:rPr>
              <w:t>Katastrální území</w:t>
            </w:r>
          </w:p>
          <w:p w14:paraId="02668530" w14:textId="77777777" w:rsidR="00E42A45" w:rsidRDefault="00E42A45" w:rsidP="00BB63DF">
            <w:pPr>
              <w:pStyle w:val="Nadpis4"/>
              <w:tabs>
                <w:tab w:val="left" w:pos="709"/>
              </w:tabs>
              <w:spacing w:before="0" w:after="0"/>
              <w:rPr>
                <w:caps/>
                <w:sz w:val="18"/>
              </w:rPr>
            </w:pPr>
            <w:r>
              <w:rPr>
                <w:caps/>
              </w:rPr>
              <w:t xml:space="preserve">                                 Babětín, Těchlovice</w:t>
            </w:r>
          </w:p>
        </w:tc>
      </w:tr>
      <w:tr w:rsidR="00E42A45" w14:paraId="50ECE5B8" w14:textId="77777777" w:rsidTr="00BB63DF">
        <w:tc>
          <w:tcPr>
            <w:tcW w:w="7072" w:type="dxa"/>
            <w:shd w:val="clear" w:color="auto" w:fill="FFFFFF"/>
          </w:tcPr>
          <w:p w14:paraId="30A0FE53" w14:textId="77777777" w:rsidR="00E42A45" w:rsidRDefault="00E42A45" w:rsidP="00BB63DF">
            <w:pPr>
              <w:tabs>
                <w:tab w:val="left" w:pos="709"/>
              </w:tabs>
              <w:rPr>
                <w:b/>
                <w:sz w:val="18"/>
              </w:rPr>
            </w:pPr>
            <w:r>
              <w:rPr>
                <w:b/>
                <w:sz w:val="18"/>
              </w:rPr>
              <w:t>Název</w:t>
            </w:r>
          </w:p>
          <w:p w14:paraId="2B498521" w14:textId="77777777" w:rsidR="00E42A45" w:rsidRDefault="00E42A45" w:rsidP="00BB63DF">
            <w:pPr>
              <w:tabs>
                <w:tab w:val="left" w:pos="709"/>
              </w:tabs>
              <w:rPr>
                <w:b/>
                <w:caps/>
                <w:sz w:val="18"/>
              </w:rPr>
            </w:pPr>
            <w:r>
              <w:rPr>
                <w:b/>
                <w:caps/>
                <w:sz w:val="18"/>
              </w:rPr>
              <w:t xml:space="preserve">                                                                            </w:t>
            </w:r>
            <w:r>
              <w:rPr>
                <w:b/>
                <w:caps/>
              </w:rPr>
              <w:t>Poklona</w:t>
            </w:r>
          </w:p>
        </w:tc>
        <w:tc>
          <w:tcPr>
            <w:tcW w:w="3536" w:type="dxa"/>
            <w:shd w:val="clear" w:color="auto" w:fill="FFFFFF"/>
          </w:tcPr>
          <w:p w14:paraId="3E8507B3" w14:textId="77777777" w:rsidR="00E42A45" w:rsidRDefault="00E42A45" w:rsidP="00BB63DF">
            <w:pPr>
              <w:tabs>
                <w:tab w:val="left" w:pos="709"/>
              </w:tabs>
              <w:rPr>
                <w:sz w:val="18"/>
              </w:rPr>
            </w:pPr>
            <w:r>
              <w:rPr>
                <w:sz w:val="18"/>
              </w:rPr>
              <w:t xml:space="preserve">Mapový list           </w:t>
            </w:r>
          </w:p>
          <w:p w14:paraId="10852729" w14:textId="77777777" w:rsidR="00E42A45" w:rsidRDefault="00E42A45" w:rsidP="00BB63DF">
            <w:pPr>
              <w:tabs>
                <w:tab w:val="left" w:pos="709"/>
              </w:tabs>
              <w:rPr>
                <w:sz w:val="20"/>
              </w:rPr>
            </w:pPr>
            <w:r>
              <w:rPr>
                <w:sz w:val="18"/>
              </w:rPr>
              <w:t xml:space="preserve">                            </w:t>
            </w:r>
            <w:r>
              <w:rPr>
                <w:sz w:val="20"/>
              </w:rPr>
              <w:t>02-41-04</w:t>
            </w:r>
          </w:p>
        </w:tc>
        <w:tc>
          <w:tcPr>
            <w:tcW w:w="3536" w:type="dxa"/>
            <w:shd w:val="clear" w:color="auto" w:fill="FFFFFF"/>
          </w:tcPr>
          <w:p w14:paraId="5F3C0E29" w14:textId="77777777" w:rsidR="00E42A45" w:rsidRDefault="00E42A45" w:rsidP="00BB63DF">
            <w:pPr>
              <w:tabs>
                <w:tab w:val="left" w:pos="709"/>
              </w:tabs>
              <w:rPr>
                <w:sz w:val="18"/>
              </w:rPr>
            </w:pPr>
            <w:r>
              <w:rPr>
                <w:sz w:val="18"/>
              </w:rPr>
              <w:t xml:space="preserve">Výměra      </w:t>
            </w:r>
          </w:p>
          <w:p w14:paraId="1DF81290" w14:textId="77777777" w:rsidR="00E42A45" w:rsidRDefault="00E42A45" w:rsidP="00BB63DF">
            <w:pPr>
              <w:tabs>
                <w:tab w:val="left" w:pos="709"/>
              </w:tabs>
              <w:rPr>
                <w:b/>
                <w:sz w:val="20"/>
              </w:rPr>
            </w:pPr>
            <w:r>
              <w:rPr>
                <w:b/>
                <w:sz w:val="20"/>
              </w:rPr>
              <w:t xml:space="preserve">                     7,29 ha                           </w:t>
            </w:r>
          </w:p>
        </w:tc>
      </w:tr>
      <w:tr w:rsidR="00E42A45" w14:paraId="10043467" w14:textId="77777777" w:rsidTr="00BB63DF">
        <w:tc>
          <w:tcPr>
            <w:tcW w:w="7072" w:type="dxa"/>
            <w:shd w:val="clear" w:color="auto" w:fill="FFFFFF"/>
          </w:tcPr>
          <w:p w14:paraId="2B35A1A8" w14:textId="77777777" w:rsidR="00E42A45" w:rsidRDefault="00E42A45" w:rsidP="00BB63DF">
            <w:pPr>
              <w:tabs>
                <w:tab w:val="left" w:pos="709"/>
              </w:tabs>
              <w:rPr>
                <w:sz w:val="20"/>
              </w:rPr>
            </w:pPr>
            <w:r>
              <w:rPr>
                <w:sz w:val="20"/>
              </w:rPr>
              <w:t>EVKP - ekologicky významný krajinný prvek</w:t>
            </w:r>
          </w:p>
          <w:p w14:paraId="43876D64" w14:textId="77777777" w:rsidR="00E42A45" w:rsidRDefault="00E42A45" w:rsidP="00BB63DF">
            <w:pPr>
              <w:tabs>
                <w:tab w:val="left" w:pos="709"/>
              </w:tabs>
              <w:rPr>
                <w:sz w:val="20"/>
              </w:rPr>
            </w:pPr>
            <w:r>
              <w:rPr>
                <w:sz w:val="20"/>
              </w:rPr>
              <w:t>EVKC - ekologicky významný krajinný celek</w:t>
            </w:r>
          </w:p>
          <w:p w14:paraId="3D7C7A7B" w14:textId="77777777" w:rsidR="00E42A45" w:rsidRPr="002D7515" w:rsidRDefault="00E42A45" w:rsidP="00BB63DF">
            <w:pPr>
              <w:pStyle w:val="Nadpis6"/>
            </w:pPr>
            <w:r w:rsidRPr="002D7515">
              <w:t>EVKO - ekologicky významná krajinná oblast</w:t>
            </w:r>
          </w:p>
          <w:p w14:paraId="6B73A2C3"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4E380A20" w14:textId="77777777" w:rsidR="00E42A45" w:rsidRDefault="00E42A45" w:rsidP="00BB63DF">
            <w:pPr>
              <w:tabs>
                <w:tab w:val="left" w:pos="709"/>
              </w:tabs>
              <w:rPr>
                <w:sz w:val="20"/>
              </w:rPr>
            </w:pPr>
            <w:r>
              <w:rPr>
                <w:sz w:val="20"/>
              </w:rPr>
              <w:t>Biogeografický význam</w:t>
            </w:r>
          </w:p>
          <w:p w14:paraId="56E94E0E" w14:textId="77777777" w:rsidR="00E42A45" w:rsidRDefault="00E42A45" w:rsidP="00BB63DF">
            <w:pPr>
              <w:tabs>
                <w:tab w:val="left" w:pos="709"/>
              </w:tabs>
              <w:rPr>
                <w:b/>
              </w:rPr>
            </w:pPr>
            <w:r>
              <w:rPr>
                <w:b/>
              </w:rPr>
              <w:t xml:space="preserve">       - lokální, reprezentativní</w:t>
            </w:r>
          </w:p>
          <w:p w14:paraId="4F646685" w14:textId="77777777" w:rsidR="00E42A45" w:rsidRDefault="00E42A45" w:rsidP="00BB63DF">
            <w:pPr>
              <w:tabs>
                <w:tab w:val="left" w:pos="709"/>
              </w:tabs>
              <w:ind w:left="345"/>
              <w:rPr>
                <w:sz w:val="20"/>
              </w:rPr>
            </w:pPr>
            <w:r>
              <w:rPr>
                <w:sz w:val="20"/>
              </w:rPr>
              <w:t xml:space="preserve"> - regionální, reprezentativní</w:t>
            </w:r>
          </w:p>
          <w:p w14:paraId="59BDEAAF" w14:textId="77777777" w:rsidR="00E42A45" w:rsidRDefault="00E42A45" w:rsidP="00BB63DF">
            <w:pPr>
              <w:tabs>
                <w:tab w:val="left" w:pos="709"/>
              </w:tabs>
              <w:ind w:left="345"/>
            </w:pPr>
            <w:r>
              <w:rPr>
                <w:sz w:val="20"/>
              </w:rPr>
              <w:t xml:space="preserve"> - nadregionální</w:t>
            </w:r>
          </w:p>
        </w:tc>
        <w:tc>
          <w:tcPr>
            <w:tcW w:w="3536" w:type="dxa"/>
            <w:shd w:val="clear" w:color="auto" w:fill="FFFFFF"/>
          </w:tcPr>
          <w:p w14:paraId="65E12AC4" w14:textId="77777777" w:rsidR="00E42A45" w:rsidRDefault="00E42A45" w:rsidP="00BB63DF">
            <w:pPr>
              <w:tabs>
                <w:tab w:val="left" w:pos="709"/>
              </w:tabs>
              <w:rPr>
                <w:sz w:val="18"/>
              </w:rPr>
            </w:pPr>
            <w:r>
              <w:rPr>
                <w:sz w:val="18"/>
              </w:rPr>
              <w:t>Stav</w:t>
            </w:r>
          </w:p>
          <w:p w14:paraId="0A329053" w14:textId="77777777" w:rsidR="00E42A45" w:rsidRDefault="00E42A45" w:rsidP="00BB63DF">
            <w:pPr>
              <w:tabs>
                <w:tab w:val="left" w:pos="709"/>
              </w:tabs>
              <w:ind w:left="405"/>
              <w:rPr>
                <w:b/>
              </w:rPr>
            </w:pPr>
            <w:r>
              <w:rPr>
                <w:b/>
              </w:rPr>
              <w:t>-  funkčně vymezený</w:t>
            </w:r>
          </w:p>
          <w:p w14:paraId="50D781F0" w14:textId="77777777" w:rsidR="00E42A45" w:rsidRDefault="00E42A45" w:rsidP="00BB63DF">
            <w:pPr>
              <w:tabs>
                <w:tab w:val="left" w:pos="709"/>
              </w:tabs>
              <w:rPr>
                <w:sz w:val="20"/>
              </w:rPr>
            </w:pPr>
            <w:r>
              <w:rPr>
                <w:sz w:val="20"/>
              </w:rPr>
              <w:t xml:space="preserve">       -  semifunkční    </w:t>
            </w:r>
          </w:p>
          <w:p w14:paraId="76A0C075" w14:textId="77777777" w:rsidR="00E42A45" w:rsidRDefault="00E42A45" w:rsidP="00BB63DF">
            <w:pPr>
              <w:tabs>
                <w:tab w:val="left" w:pos="709"/>
              </w:tabs>
            </w:pPr>
            <w:r>
              <w:rPr>
                <w:sz w:val="20"/>
              </w:rPr>
              <w:t xml:space="preserve">        -  navržený</w:t>
            </w:r>
          </w:p>
        </w:tc>
      </w:tr>
      <w:tr w:rsidR="00E42A45" w14:paraId="51F08078" w14:textId="77777777" w:rsidTr="00BB63DF">
        <w:tc>
          <w:tcPr>
            <w:tcW w:w="7072" w:type="dxa"/>
            <w:shd w:val="clear" w:color="auto" w:fill="FFFFFF"/>
          </w:tcPr>
          <w:p w14:paraId="0C5B1C7A" w14:textId="77777777" w:rsidR="00E42A45" w:rsidRDefault="00E42A45" w:rsidP="00BB63DF">
            <w:pPr>
              <w:tabs>
                <w:tab w:val="left" w:pos="709"/>
              </w:tabs>
              <w:rPr>
                <w:b/>
                <w:sz w:val="18"/>
              </w:rPr>
            </w:pPr>
            <w:r>
              <w:rPr>
                <w:b/>
                <w:sz w:val="18"/>
              </w:rPr>
              <w:t>Geobiocenologická typizace (vegetační stupeň, trofická řada, hydrická řada)</w:t>
            </w:r>
          </w:p>
          <w:p w14:paraId="1E602B9F" w14:textId="77777777" w:rsidR="00E42A45" w:rsidRDefault="00E42A45" w:rsidP="00BB63DF">
            <w:pPr>
              <w:tabs>
                <w:tab w:val="left" w:pos="709"/>
              </w:tabs>
            </w:pPr>
            <w:r>
              <w:t xml:space="preserve">                         3BD3,  2BD3, 2AB1  </w:t>
            </w:r>
          </w:p>
        </w:tc>
        <w:tc>
          <w:tcPr>
            <w:tcW w:w="7072" w:type="dxa"/>
            <w:gridSpan w:val="2"/>
            <w:shd w:val="clear" w:color="auto" w:fill="FFFFFF"/>
          </w:tcPr>
          <w:p w14:paraId="6A76282F" w14:textId="77777777" w:rsidR="00E42A45" w:rsidRDefault="00E42A45" w:rsidP="00BB63DF">
            <w:pPr>
              <w:tabs>
                <w:tab w:val="left" w:pos="709"/>
              </w:tabs>
            </w:pPr>
          </w:p>
        </w:tc>
      </w:tr>
      <w:tr w:rsidR="00E42A45" w14:paraId="66F59386" w14:textId="77777777" w:rsidTr="00BB63DF">
        <w:tc>
          <w:tcPr>
            <w:tcW w:w="14144" w:type="dxa"/>
            <w:gridSpan w:val="3"/>
          </w:tcPr>
          <w:p w14:paraId="127D5CEE" w14:textId="77777777" w:rsidR="00E42A45" w:rsidRDefault="00E42A45" w:rsidP="00BB63DF">
            <w:pPr>
              <w:tabs>
                <w:tab w:val="left" w:pos="709"/>
              </w:tabs>
              <w:rPr>
                <w:b/>
                <w:sz w:val="18"/>
              </w:rPr>
            </w:pPr>
          </w:p>
          <w:p w14:paraId="6E62C810" w14:textId="77777777" w:rsidR="00E42A45" w:rsidRPr="00B4044B" w:rsidRDefault="00E42A45" w:rsidP="00BB63DF">
            <w:pPr>
              <w:tabs>
                <w:tab w:val="left" w:pos="709"/>
              </w:tabs>
              <w:rPr>
                <w:b/>
                <w:sz w:val="18"/>
              </w:rPr>
            </w:pPr>
            <w:r>
              <w:rPr>
                <w:b/>
                <w:sz w:val="18"/>
              </w:rPr>
              <w:t>Charakter ekotopu a bioty</w:t>
            </w:r>
          </w:p>
          <w:p w14:paraId="5EA1F117" w14:textId="77777777" w:rsidR="00E42A45" w:rsidRDefault="00E42A45" w:rsidP="00BB63DF">
            <w:pPr>
              <w:tabs>
                <w:tab w:val="left" w:pos="709"/>
              </w:tabs>
              <w:rPr>
                <w:sz w:val="20"/>
              </w:rPr>
            </w:pPr>
            <w:r>
              <w:rPr>
                <w:sz w:val="20"/>
              </w:rPr>
              <w:t xml:space="preserve">        Lokální biocentrum na trase nadregionálního biokoridoru tvořené lesními porosty na strmých mírně, místy výrazně zvlněných svazích.</w:t>
            </w:r>
          </w:p>
          <w:p w14:paraId="05AAF320" w14:textId="77777777" w:rsidR="00E42A45" w:rsidRDefault="00E42A45" w:rsidP="00BB63DF">
            <w:pPr>
              <w:tabs>
                <w:tab w:val="left" w:pos="709"/>
              </w:tabs>
              <w:rPr>
                <w:sz w:val="20"/>
              </w:rPr>
            </w:pPr>
            <w:r>
              <w:rPr>
                <w:sz w:val="20"/>
              </w:rPr>
              <w:t xml:space="preserve">Svahy jsou všesměrně orientovány.    Sklon svahů je místy až 120 %.    Nadmořská výška biocentra se pohybuje od 150 do 450 m. </w:t>
            </w:r>
          </w:p>
          <w:p w14:paraId="0A3DB818" w14:textId="77777777" w:rsidR="00E42A45" w:rsidRDefault="00E42A45" w:rsidP="00BB63DF">
            <w:pPr>
              <w:tabs>
                <w:tab w:val="left" w:pos="709"/>
              </w:tabs>
              <w:rPr>
                <w:sz w:val="20"/>
              </w:rPr>
            </w:pPr>
            <w:r>
              <w:rPr>
                <w:sz w:val="20"/>
              </w:rPr>
              <w:t xml:space="preserve">        Lokalita je z ekologického hlediska (troficita a hydricita) i z hlediska věkové struktury porostů málo variabilní. Ve věkové struktuře výrazně dominují porosty 10. věkového stupně.         </w:t>
            </w:r>
          </w:p>
          <w:p w14:paraId="7CCC1D4C" w14:textId="77777777" w:rsidR="00E42A45" w:rsidRDefault="00E42A45" w:rsidP="00BB63DF">
            <w:pPr>
              <w:tabs>
                <w:tab w:val="left" w:pos="709"/>
              </w:tabs>
              <w:rPr>
                <w:sz w:val="20"/>
              </w:rPr>
            </w:pPr>
            <w:r>
              <w:rPr>
                <w:sz w:val="20"/>
              </w:rPr>
              <w:t xml:space="preserve">       Dřeviny v ekotonálních (okrajových)  částech biocentra  jsou reprezentovány nejčastěji  OS,  BR, JS, DB, BK.   </w:t>
            </w:r>
          </w:p>
          <w:p w14:paraId="3D8CEFBC" w14:textId="77777777" w:rsidR="00E42A45" w:rsidRDefault="00E42A45" w:rsidP="00BB63DF">
            <w:pPr>
              <w:tabs>
                <w:tab w:val="left" w:pos="709"/>
              </w:tabs>
              <w:rPr>
                <w:sz w:val="20"/>
              </w:rPr>
            </w:pPr>
            <w:r>
              <w:rPr>
                <w:sz w:val="20"/>
              </w:rPr>
              <w:t>V aktuální dřevinné skladbě se uplatňuje:           766/A - BK, DB, HB, BO, SM                                       SES = 4 (3)</w:t>
            </w:r>
          </w:p>
          <w:p w14:paraId="62D5D457" w14:textId="77777777" w:rsidR="00E42A45" w:rsidRDefault="00E42A45" w:rsidP="00BB63DF">
            <w:pPr>
              <w:tabs>
                <w:tab w:val="left" w:pos="709"/>
              </w:tabs>
              <w:rPr>
                <w:sz w:val="20"/>
              </w:rPr>
            </w:pPr>
            <w:r>
              <w:rPr>
                <w:sz w:val="20"/>
              </w:rPr>
              <w:t xml:space="preserve">  </w:t>
            </w:r>
          </w:p>
          <w:p w14:paraId="403FEDAA" w14:textId="77777777" w:rsidR="00E42A45" w:rsidRDefault="00E42A45" w:rsidP="00BB63DF">
            <w:pPr>
              <w:tabs>
                <w:tab w:val="left" w:pos="709"/>
              </w:tabs>
              <w:rPr>
                <w:sz w:val="20"/>
              </w:rPr>
            </w:pPr>
            <w:r>
              <w:rPr>
                <w:b/>
                <w:sz w:val="20"/>
              </w:rPr>
              <w:t xml:space="preserve">                   lesní typy</w:t>
            </w:r>
            <w:r>
              <w:rPr>
                <w:sz w:val="20"/>
              </w:rPr>
              <w:t>:   3W1 (2,3,4) - bazická db BK                                 2W1 - bazická bkDB</w:t>
            </w:r>
          </w:p>
          <w:p w14:paraId="6F8D6759" w14:textId="77777777" w:rsidR="00E42A45" w:rsidRDefault="00E42A45" w:rsidP="00BB63DF">
            <w:pPr>
              <w:tabs>
                <w:tab w:val="left" w:pos="709"/>
              </w:tabs>
              <w:rPr>
                <w:sz w:val="20"/>
              </w:rPr>
            </w:pPr>
            <w:r>
              <w:rPr>
                <w:sz w:val="20"/>
              </w:rPr>
              <w:t xml:space="preserve">                                       2Z4 - zakrslá bkDB s válečkou prapořitou              3J9 - lipová JV roklinová</w:t>
            </w:r>
          </w:p>
          <w:p w14:paraId="1EC2C44F" w14:textId="77777777" w:rsidR="00E42A45" w:rsidRDefault="00E42A45" w:rsidP="00BB63DF">
            <w:pPr>
              <w:tabs>
                <w:tab w:val="left" w:pos="709"/>
              </w:tabs>
              <w:rPr>
                <w:sz w:val="20"/>
              </w:rPr>
            </w:pPr>
            <w:r>
              <w:rPr>
                <w:sz w:val="20"/>
              </w:rPr>
              <w:t xml:space="preserve">                                       </w:t>
            </w:r>
          </w:p>
          <w:p w14:paraId="30F1D1A8" w14:textId="77777777" w:rsidR="00E42A45" w:rsidRPr="00B4044B" w:rsidRDefault="00E42A45" w:rsidP="00BB63DF">
            <w:pPr>
              <w:tabs>
                <w:tab w:val="left" w:pos="709"/>
              </w:tabs>
              <w:rPr>
                <w:i/>
                <w:sz w:val="20"/>
              </w:rPr>
            </w:pPr>
            <w:r>
              <w:rPr>
                <w:sz w:val="20"/>
              </w:rPr>
              <w:t xml:space="preserve">Bot.: </w:t>
            </w:r>
            <w:r>
              <w:rPr>
                <w:i/>
                <w:sz w:val="20"/>
              </w:rPr>
              <w:t>Poa nemoralis, Melica nutans, Fragaria vesca, Hieracium silvaticum, Asperula odorata, Galium silvaticum</w:t>
            </w:r>
          </w:p>
          <w:p w14:paraId="4804F465" w14:textId="77777777" w:rsidR="00E42A45" w:rsidRDefault="00E42A45" w:rsidP="00BB63DF">
            <w:pPr>
              <w:tabs>
                <w:tab w:val="left" w:pos="709"/>
              </w:tabs>
              <w:rPr>
                <w:sz w:val="20"/>
              </w:rPr>
            </w:pPr>
            <w:r>
              <w:rPr>
                <w:sz w:val="20"/>
              </w:rPr>
              <w:t xml:space="preserve">Geol.: mezoeutrofní hnědá půda </w:t>
            </w:r>
          </w:p>
          <w:p w14:paraId="0120A2C8" w14:textId="77777777" w:rsidR="00E42A45" w:rsidRDefault="00E42A45" w:rsidP="00BB63DF">
            <w:pPr>
              <w:tabs>
                <w:tab w:val="left" w:pos="709"/>
              </w:tabs>
              <w:rPr>
                <w:sz w:val="20"/>
              </w:rPr>
            </w:pPr>
          </w:p>
          <w:p w14:paraId="5C118F32" w14:textId="77777777" w:rsidR="00E42A45" w:rsidRDefault="00E42A45" w:rsidP="00BB63DF">
            <w:pPr>
              <w:tabs>
                <w:tab w:val="left" w:pos="709"/>
              </w:tabs>
              <w:rPr>
                <w:sz w:val="20"/>
              </w:rPr>
            </w:pPr>
            <w:r>
              <w:rPr>
                <w:b/>
                <w:sz w:val="20"/>
              </w:rPr>
              <w:t xml:space="preserve">Návrh opatření : </w:t>
            </w:r>
            <w:r>
              <w:rPr>
                <w:sz w:val="20"/>
              </w:rPr>
              <w:t xml:space="preserve"> </w:t>
            </w:r>
          </w:p>
          <w:p w14:paraId="28AF6861" w14:textId="77777777" w:rsidR="00E42A45" w:rsidRDefault="00E42A45" w:rsidP="00BB63DF">
            <w:pPr>
              <w:tabs>
                <w:tab w:val="left" w:pos="709"/>
              </w:tabs>
              <w:rPr>
                <w:b/>
                <w:sz w:val="20"/>
              </w:rPr>
            </w:pPr>
            <w:r>
              <w:rPr>
                <w:b/>
                <w:sz w:val="20"/>
              </w:rPr>
              <w:t>dřeviny přirozené rekonstruované skladby podle SLT:                         3W - BK7, DB2, LP1, JV, JD         2W - BK4, DB4, JV1, LP1</w:t>
            </w:r>
          </w:p>
          <w:p w14:paraId="6C440FCD" w14:textId="77777777" w:rsidR="00E42A45" w:rsidRDefault="00E42A45" w:rsidP="00BB63DF">
            <w:pPr>
              <w:pStyle w:val="Zkladntext"/>
            </w:pPr>
            <w:r>
              <w:t xml:space="preserve">                                                                                                                       2Z - BK7, DB2, BR1, BO               3J - BK4, LP3, JV2, JD1, JL     </w:t>
            </w:r>
          </w:p>
          <w:p w14:paraId="0A1F1F04" w14:textId="77777777" w:rsidR="00E42A45" w:rsidRDefault="00E42A45" w:rsidP="00BB63DF">
            <w:pPr>
              <w:pStyle w:val="Zkladntext"/>
            </w:pPr>
            <w:r>
              <w:lastRenderedPageBreak/>
              <w:t>Zakládáni (v rámci plánované obnovy) a výchova mladých porostů směrem k vertikální a horizontální členitosti a ve smyslu podpory dřevin přirozené skladby, ochrana před zvěří - nátěry, oplocení.</w:t>
            </w:r>
          </w:p>
        </w:tc>
      </w:tr>
      <w:tr w:rsidR="00E42A45" w14:paraId="479BF1BE" w14:textId="77777777" w:rsidTr="00BB63DF">
        <w:tc>
          <w:tcPr>
            <w:tcW w:w="7072" w:type="dxa"/>
            <w:shd w:val="clear" w:color="auto" w:fill="FFFFFF"/>
          </w:tcPr>
          <w:p w14:paraId="762968EC" w14:textId="77777777" w:rsidR="00E42A45" w:rsidRDefault="00E42A45" w:rsidP="00BB63DF">
            <w:pPr>
              <w:tabs>
                <w:tab w:val="left" w:pos="709"/>
              </w:tabs>
            </w:pPr>
            <w:r>
              <w:rPr>
                <w:sz w:val="18"/>
              </w:rPr>
              <w:lastRenderedPageBreak/>
              <w:t>Vymezení</w:t>
            </w:r>
            <w:r>
              <w:rPr>
                <w:sz w:val="20"/>
              </w:rPr>
              <w:t xml:space="preserve">              LS Děčín, 766/A</w:t>
            </w:r>
          </w:p>
          <w:p w14:paraId="2DAB1F7F" w14:textId="77777777" w:rsidR="00E42A45" w:rsidRDefault="00E42A45" w:rsidP="00BB63DF">
            <w:pPr>
              <w:tabs>
                <w:tab w:val="left" w:pos="709"/>
              </w:tabs>
              <w:rPr>
                <w:sz w:val="20"/>
              </w:rPr>
            </w:pPr>
          </w:p>
        </w:tc>
        <w:tc>
          <w:tcPr>
            <w:tcW w:w="7072" w:type="dxa"/>
            <w:gridSpan w:val="2"/>
            <w:shd w:val="clear" w:color="auto" w:fill="FFFFFF"/>
          </w:tcPr>
          <w:p w14:paraId="18E4050F" w14:textId="77777777" w:rsidR="00E42A45" w:rsidRDefault="00E42A45" w:rsidP="00BB63DF">
            <w:pPr>
              <w:tabs>
                <w:tab w:val="left" w:pos="709"/>
              </w:tabs>
              <w:rPr>
                <w:sz w:val="18"/>
              </w:rPr>
            </w:pPr>
            <w:r>
              <w:rPr>
                <w:sz w:val="18"/>
              </w:rPr>
              <w:t>Kultura</w:t>
            </w:r>
            <w:r>
              <w:rPr>
                <w:sz w:val="20"/>
              </w:rPr>
              <w:t xml:space="preserve">                les</w:t>
            </w:r>
          </w:p>
          <w:p w14:paraId="7EA2D395" w14:textId="77777777" w:rsidR="00E42A45" w:rsidRDefault="00E42A45" w:rsidP="00BB63DF">
            <w:pPr>
              <w:tabs>
                <w:tab w:val="left" w:pos="709"/>
              </w:tabs>
              <w:rPr>
                <w:sz w:val="20"/>
              </w:rPr>
            </w:pPr>
          </w:p>
        </w:tc>
      </w:tr>
      <w:tr w:rsidR="00E42A45" w14:paraId="719B720A" w14:textId="77777777" w:rsidTr="00BB63DF">
        <w:tc>
          <w:tcPr>
            <w:tcW w:w="7072" w:type="dxa"/>
            <w:shd w:val="clear" w:color="auto" w:fill="FFFFFF"/>
          </w:tcPr>
          <w:p w14:paraId="4495CE2E" w14:textId="77777777" w:rsidR="00E42A45" w:rsidRDefault="00E42A45" w:rsidP="00BB63DF">
            <w:pPr>
              <w:tabs>
                <w:tab w:val="left" w:pos="709"/>
              </w:tabs>
            </w:pPr>
            <w:r>
              <w:rPr>
                <w:sz w:val="18"/>
              </w:rPr>
              <w:t>Uživatel</w:t>
            </w:r>
            <w:r>
              <w:rPr>
                <w:sz w:val="20"/>
              </w:rPr>
              <w:t xml:space="preserve">                Lesy ČR</w:t>
            </w:r>
          </w:p>
          <w:p w14:paraId="4213917A" w14:textId="77777777" w:rsidR="00E42A45" w:rsidRDefault="00E42A45" w:rsidP="00BB63DF">
            <w:pPr>
              <w:tabs>
                <w:tab w:val="left" w:pos="709"/>
              </w:tabs>
              <w:rPr>
                <w:sz w:val="20"/>
              </w:rPr>
            </w:pPr>
          </w:p>
        </w:tc>
        <w:tc>
          <w:tcPr>
            <w:tcW w:w="7072" w:type="dxa"/>
            <w:gridSpan w:val="2"/>
            <w:shd w:val="clear" w:color="auto" w:fill="FFFFFF"/>
          </w:tcPr>
          <w:p w14:paraId="03C0DC33" w14:textId="77777777" w:rsidR="00E42A45" w:rsidRDefault="00E42A45" w:rsidP="00BB63DF">
            <w:pPr>
              <w:tabs>
                <w:tab w:val="left" w:pos="709"/>
              </w:tabs>
              <w:rPr>
                <w:sz w:val="18"/>
              </w:rPr>
            </w:pPr>
            <w:r>
              <w:rPr>
                <w:sz w:val="18"/>
              </w:rPr>
              <w:t>Mapovatel             Sklenička, Linhart, 1997</w:t>
            </w:r>
          </w:p>
          <w:p w14:paraId="18CC5311" w14:textId="77777777" w:rsidR="00E42A45" w:rsidRDefault="00E42A45" w:rsidP="00BB63DF">
            <w:pPr>
              <w:tabs>
                <w:tab w:val="left" w:pos="709"/>
              </w:tabs>
              <w:rPr>
                <w:sz w:val="18"/>
              </w:rPr>
            </w:pPr>
            <w:r>
              <w:rPr>
                <w:sz w:val="18"/>
              </w:rPr>
              <w:t xml:space="preserve">                               </w:t>
            </w:r>
          </w:p>
        </w:tc>
      </w:tr>
      <w:tr w:rsidR="00E42A45" w14:paraId="5B63137F" w14:textId="77777777" w:rsidTr="00BB63DF">
        <w:tc>
          <w:tcPr>
            <w:tcW w:w="14144" w:type="dxa"/>
            <w:gridSpan w:val="3"/>
            <w:shd w:val="clear" w:color="auto" w:fill="FFFFFF"/>
          </w:tcPr>
          <w:p w14:paraId="7372D2AE" w14:textId="77777777" w:rsidR="00E42A45" w:rsidRDefault="00E42A45" w:rsidP="00BB63DF">
            <w:pPr>
              <w:tabs>
                <w:tab w:val="left" w:pos="709"/>
              </w:tabs>
            </w:pPr>
            <w:r>
              <w:rPr>
                <w:sz w:val="18"/>
              </w:rPr>
              <w:t>Kategorie ochrany, rok vyhlášení</w:t>
            </w:r>
          </w:p>
          <w:p w14:paraId="17095087" w14:textId="77777777" w:rsidR="00E42A45" w:rsidRPr="002D7515" w:rsidRDefault="00E42A45" w:rsidP="00BB63DF">
            <w:pPr>
              <w:pStyle w:val="Nadpis7"/>
            </w:pPr>
            <w:r w:rsidRPr="002D7515">
              <w:t xml:space="preserve">                                                                                             CHKO České Středohoří - II. zóna</w:t>
            </w:r>
          </w:p>
        </w:tc>
      </w:tr>
    </w:tbl>
    <w:p w14:paraId="02EFE1C8"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1B861AEB" w14:textId="77777777" w:rsidTr="00BB63DF">
        <w:tc>
          <w:tcPr>
            <w:tcW w:w="7072" w:type="dxa"/>
            <w:shd w:val="clear" w:color="auto" w:fill="FFFFFF"/>
          </w:tcPr>
          <w:p w14:paraId="47B565AF" w14:textId="77777777" w:rsidR="00E42A45" w:rsidRDefault="00E42A45" w:rsidP="00BB63DF">
            <w:pPr>
              <w:tabs>
                <w:tab w:val="left" w:pos="709"/>
              </w:tabs>
              <w:rPr>
                <w:sz w:val="18"/>
              </w:rPr>
            </w:pPr>
            <w:r>
              <w:rPr>
                <w:sz w:val="18"/>
              </w:rPr>
              <w:t>Pořadové číslo</w:t>
            </w:r>
          </w:p>
          <w:p w14:paraId="150AD4FA" w14:textId="77777777" w:rsidR="00E42A45" w:rsidRDefault="00E42A45" w:rsidP="00BB63DF">
            <w:pPr>
              <w:tabs>
                <w:tab w:val="left" w:pos="709"/>
              </w:tabs>
              <w:rPr>
                <w:b/>
                <w:sz w:val="36"/>
              </w:rPr>
            </w:pPr>
            <w:r>
              <w:rPr>
                <w:b/>
                <w:sz w:val="36"/>
              </w:rPr>
              <w:t xml:space="preserve">                                             11</w:t>
            </w:r>
          </w:p>
        </w:tc>
        <w:tc>
          <w:tcPr>
            <w:tcW w:w="7072" w:type="dxa"/>
            <w:gridSpan w:val="2"/>
            <w:shd w:val="clear" w:color="auto" w:fill="FFFFFF"/>
          </w:tcPr>
          <w:p w14:paraId="5B99429A" w14:textId="77777777" w:rsidR="00E42A45" w:rsidRDefault="00E42A45" w:rsidP="00BB63DF">
            <w:pPr>
              <w:tabs>
                <w:tab w:val="left" w:pos="709"/>
              </w:tabs>
              <w:rPr>
                <w:sz w:val="18"/>
              </w:rPr>
            </w:pPr>
            <w:r>
              <w:rPr>
                <w:sz w:val="18"/>
              </w:rPr>
              <w:t>Katastrální území</w:t>
            </w:r>
          </w:p>
          <w:p w14:paraId="219CE83C" w14:textId="77777777" w:rsidR="00E42A45" w:rsidRDefault="00E42A45" w:rsidP="00BB63DF">
            <w:pPr>
              <w:tabs>
                <w:tab w:val="left" w:pos="709"/>
              </w:tabs>
              <w:rPr>
                <w:b/>
                <w:sz w:val="18"/>
              </w:rPr>
            </w:pPr>
            <w:r>
              <w:t xml:space="preserve">                                </w:t>
            </w:r>
            <w:r>
              <w:rPr>
                <w:b/>
              </w:rPr>
              <w:t xml:space="preserve">Chlum </w:t>
            </w:r>
          </w:p>
        </w:tc>
      </w:tr>
      <w:tr w:rsidR="00E42A45" w14:paraId="67E272AF" w14:textId="77777777" w:rsidTr="00BB63DF">
        <w:tc>
          <w:tcPr>
            <w:tcW w:w="7072" w:type="dxa"/>
            <w:shd w:val="clear" w:color="auto" w:fill="FFFFFF"/>
          </w:tcPr>
          <w:p w14:paraId="02C36A0A" w14:textId="77777777" w:rsidR="00E42A45" w:rsidRDefault="00E42A45" w:rsidP="00BB63DF">
            <w:pPr>
              <w:tabs>
                <w:tab w:val="left" w:pos="709"/>
              </w:tabs>
              <w:rPr>
                <w:sz w:val="18"/>
              </w:rPr>
            </w:pPr>
            <w:r>
              <w:rPr>
                <w:sz w:val="18"/>
              </w:rPr>
              <w:t>Název</w:t>
            </w:r>
          </w:p>
          <w:p w14:paraId="1DC7ABBF" w14:textId="77777777" w:rsidR="00E42A45" w:rsidRDefault="00E42A45" w:rsidP="00BB63DF">
            <w:pPr>
              <w:tabs>
                <w:tab w:val="left" w:pos="709"/>
              </w:tabs>
              <w:rPr>
                <w:b/>
                <w:caps/>
                <w:sz w:val="18"/>
              </w:rPr>
            </w:pPr>
            <w:r>
              <w:rPr>
                <w:b/>
                <w:sz w:val="18"/>
              </w:rPr>
              <w:t xml:space="preserve">                                        </w:t>
            </w:r>
            <w:r>
              <w:rPr>
                <w:b/>
                <w:caps/>
              </w:rPr>
              <w:t xml:space="preserve">Louky pod Jedlovou </w:t>
            </w:r>
          </w:p>
        </w:tc>
        <w:tc>
          <w:tcPr>
            <w:tcW w:w="3536" w:type="dxa"/>
            <w:shd w:val="clear" w:color="auto" w:fill="FFFFFF"/>
          </w:tcPr>
          <w:p w14:paraId="10147504" w14:textId="77777777" w:rsidR="00E42A45" w:rsidRDefault="00E42A45" w:rsidP="00BB63DF">
            <w:pPr>
              <w:tabs>
                <w:tab w:val="left" w:pos="709"/>
              </w:tabs>
              <w:rPr>
                <w:sz w:val="18"/>
              </w:rPr>
            </w:pPr>
            <w:r>
              <w:rPr>
                <w:sz w:val="18"/>
              </w:rPr>
              <w:t xml:space="preserve">Mapový list           </w:t>
            </w:r>
          </w:p>
          <w:p w14:paraId="7BD9CE86" w14:textId="77777777" w:rsidR="00E42A45" w:rsidRDefault="00E42A45" w:rsidP="00BB63DF">
            <w:pPr>
              <w:tabs>
                <w:tab w:val="left" w:pos="709"/>
              </w:tabs>
              <w:rPr>
                <w:sz w:val="20"/>
              </w:rPr>
            </w:pPr>
            <w:r>
              <w:rPr>
                <w:sz w:val="18"/>
              </w:rPr>
              <w:t xml:space="preserve">              </w:t>
            </w:r>
            <w:r>
              <w:t xml:space="preserve">            </w:t>
            </w:r>
            <w:r>
              <w:rPr>
                <w:sz w:val="20"/>
              </w:rPr>
              <w:t>02-23-24</w:t>
            </w:r>
          </w:p>
        </w:tc>
        <w:tc>
          <w:tcPr>
            <w:tcW w:w="3536" w:type="dxa"/>
            <w:shd w:val="clear" w:color="auto" w:fill="FFFFFF"/>
          </w:tcPr>
          <w:p w14:paraId="6DD4F419" w14:textId="77777777" w:rsidR="00E42A45" w:rsidRDefault="00E42A45" w:rsidP="00BB63DF">
            <w:pPr>
              <w:tabs>
                <w:tab w:val="left" w:pos="709"/>
              </w:tabs>
              <w:rPr>
                <w:sz w:val="18"/>
              </w:rPr>
            </w:pPr>
            <w:r>
              <w:rPr>
                <w:sz w:val="18"/>
              </w:rPr>
              <w:t xml:space="preserve">Výměra      </w:t>
            </w:r>
          </w:p>
          <w:p w14:paraId="1DA54205" w14:textId="77777777" w:rsidR="00E42A45" w:rsidRDefault="00E42A45" w:rsidP="00BB63DF">
            <w:pPr>
              <w:tabs>
                <w:tab w:val="left" w:pos="709"/>
              </w:tabs>
              <w:rPr>
                <w:b/>
                <w:sz w:val="20"/>
              </w:rPr>
            </w:pPr>
            <w:r>
              <w:rPr>
                <w:b/>
                <w:sz w:val="20"/>
              </w:rPr>
              <w:t xml:space="preserve">                     cca 6 ha                           </w:t>
            </w:r>
          </w:p>
        </w:tc>
      </w:tr>
      <w:tr w:rsidR="00E42A45" w14:paraId="23D8D450" w14:textId="77777777" w:rsidTr="00BB63DF">
        <w:tc>
          <w:tcPr>
            <w:tcW w:w="7072" w:type="dxa"/>
            <w:shd w:val="clear" w:color="auto" w:fill="FFFFFF"/>
          </w:tcPr>
          <w:p w14:paraId="75569E9B" w14:textId="77777777" w:rsidR="00E42A45" w:rsidRPr="002D7515" w:rsidRDefault="00E42A45" w:rsidP="00BB63DF">
            <w:pPr>
              <w:pStyle w:val="Nadpis6"/>
            </w:pPr>
            <w:r w:rsidRPr="002D7515">
              <w:t>EVKP - ekologicky významný krajinný prvek</w:t>
            </w:r>
          </w:p>
          <w:p w14:paraId="170F83E4" w14:textId="77777777" w:rsidR="00E42A45" w:rsidRDefault="00E42A45" w:rsidP="00BB63DF">
            <w:pPr>
              <w:tabs>
                <w:tab w:val="left" w:pos="709"/>
              </w:tabs>
              <w:rPr>
                <w:sz w:val="20"/>
              </w:rPr>
            </w:pPr>
            <w:r>
              <w:rPr>
                <w:sz w:val="20"/>
              </w:rPr>
              <w:t>EVKC - ekologicky významný krajinný celek</w:t>
            </w:r>
          </w:p>
          <w:p w14:paraId="494384BD" w14:textId="77777777" w:rsidR="00E42A45" w:rsidRDefault="00E42A45" w:rsidP="00BB63DF">
            <w:pPr>
              <w:tabs>
                <w:tab w:val="left" w:pos="709"/>
              </w:tabs>
              <w:rPr>
                <w:sz w:val="20"/>
              </w:rPr>
            </w:pPr>
            <w:r>
              <w:rPr>
                <w:sz w:val="20"/>
              </w:rPr>
              <w:t>EVKO - ekologicky významná krajinná oblast</w:t>
            </w:r>
          </w:p>
          <w:p w14:paraId="3E48285E" w14:textId="77777777" w:rsidR="00E42A45" w:rsidRDefault="00E42A45" w:rsidP="00BB63DF">
            <w:pPr>
              <w:tabs>
                <w:tab w:val="left" w:pos="709"/>
              </w:tabs>
            </w:pPr>
            <w:r>
              <w:rPr>
                <w:sz w:val="20"/>
              </w:rPr>
              <w:t>EVLS  - ekologicky významné liniové společenstvo</w:t>
            </w:r>
          </w:p>
        </w:tc>
        <w:tc>
          <w:tcPr>
            <w:tcW w:w="3536" w:type="dxa"/>
            <w:shd w:val="clear" w:color="auto" w:fill="FFFFFF"/>
          </w:tcPr>
          <w:p w14:paraId="71417297" w14:textId="77777777" w:rsidR="00E42A45" w:rsidRDefault="00E42A45" w:rsidP="00BB63DF">
            <w:pPr>
              <w:pStyle w:val="Styl1"/>
              <w:tabs>
                <w:tab w:val="left" w:pos="709"/>
              </w:tabs>
              <w:rPr>
                <w:sz w:val="18"/>
              </w:rPr>
            </w:pPr>
            <w:r>
              <w:rPr>
                <w:sz w:val="18"/>
              </w:rPr>
              <w:t>Biogeografický význam</w:t>
            </w:r>
          </w:p>
          <w:p w14:paraId="76D5FFE4" w14:textId="77777777" w:rsidR="00E42A45" w:rsidRDefault="00E42A45" w:rsidP="00BB63DF">
            <w:pPr>
              <w:tabs>
                <w:tab w:val="left" w:pos="709"/>
              </w:tabs>
            </w:pPr>
            <w:r>
              <w:t xml:space="preserve">       -</w:t>
            </w:r>
            <w:r>
              <w:rPr>
                <w:b/>
              </w:rPr>
              <w:t xml:space="preserve"> lokální, reprezentativní</w:t>
            </w:r>
          </w:p>
          <w:p w14:paraId="0AC6C38B" w14:textId="77777777" w:rsidR="00E42A45" w:rsidRDefault="00E42A45" w:rsidP="00BB63DF">
            <w:pPr>
              <w:tabs>
                <w:tab w:val="left" w:pos="709"/>
              </w:tabs>
              <w:ind w:left="345"/>
              <w:rPr>
                <w:sz w:val="20"/>
              </w:rPr>
            </w:pPr>
            <w:r>
              <w:t xml:space="preserve"> </w:t>
            </w:r>
            <w:r>
              <w:rPr>
                <w:sz w:val="20"/>
              </w:rPr>
              <w:t>- regionální, reprezentativní</w:t>
            </w:r>
          </w:p>
          <w:p w14:paraId="06486CC3" w14:textId="77777777" w:rsidR="00E42A45" w:rsidRDefault="00E42A45" w:rsidP="00BB63DF">
            <w:pPr>
              <w:tabs>
                <w:tab w:val="left" w:pos="709"/>
              </w:tabs>
              <w:ind w:left="345"/>
            </w:pPr>
            <w:r>
              <w:rPr>
                <w:sz w:val="20"/>
              </w:rPr>
              <w:t xml:space="preserve"> - nadregionální</w:t>
            </w:r>
          </w:p>
        </w:tc>
        <w:tc>
          <w:tcPr>
            <w:tcW w:w="3536" w:type="dxa"/>
            <w:shd w:val="clear" w:color="auto" w:fill="FFFFFF"/>
          </w:tcPr>
          <w:p w14:paraId="23813056" w14:textId="77777777" w:rsidR="00E42A45" w:rsidRDefault="00E42A45" w:rsidP="00BB63DF">
            <w:pPr>
              <w:tabs>
                <w:tab w:val="left" w:pos="709"/>
              </w:tabs>
              <w:rPr>
                <w:sz w:val="18"/>
              </w:rPr>
            </w:pPr>
            <w:r>
              <w:rPr>
                <w:sz w:val="18"/>
              </w:rPr>
              <w:t>Stav</w:t>
            </w:r>
          </w:p>
          <w:p w14:paraId="2E280F43" w14:textId="77777777" w:rsidR="00E42A45" w:rsidRDefault="00E42A45" w:rsidP="00BB63DF">
            <w:pPr>
              <w:tabs>
                <w:tab w:val="left" w:pos="709"/>
              </w:tabs>
              <w:ind w:left="405"/>
            </w:pPr>
            <w:r>
              <w:rPr>
                <w:b/>
              </w:rPr>
              <w:t>-  funkčně vymezený</w:t>
            </w:r>
          </w:p>
          <w:p w14:paraId="51DE43C6" w14:textId="77777777" w:rsidR="00E42A45" w:rsidRDefault="00E42A45" w:rsidP="00BB63DF">
            <w:pPr>
              <w:tabs>
                <w:tab w:val="left" w:pos="709"/>
              </w:tabs>
              <w:rPr>
                <w:sz w:val="20"/>
              </w:rPr>
            </w:pPr>
            <w:r>
              <w:t xml:space="preserve">       </w:t>
            </w:r>
            <w:r>
              <w:rPr>
                <w:sz w:val="20"/>
              </w:rPr>
              <w:t xml:space="preserve">-  semifunkční    </w:t>
            </w:r>
          </w:p>
          <w:p w14:paraId="56DAD2E1" w14:textId="77777777" w:rsidR="00E42A45" w:rsidRDefault="00E42A45" w:rsidP="00BB63DF">
            <w:pPr>
              <w:tabs>
                <w:tab w:val="left" w:pos="709"/>
              </w:tabs>
            </w:pPr>
            <w:r>
              <w:rPr>
                <w:sz w:val="20"/>
              </w:rPr>
              <w:t xml:space="preserve">        -  navržený</w:t>
            </w:r>
          </w:p>
        </w:tc>
      </w:tr>
      <w:tr w:rsidR="00E42A45" w14:paraId="3E4683BC" w14:textId="77777777" w:rsidTr="00BB63DF">
        <w:tc>
          <w:tcPr>
            <w:tcW w:w="7072" w:type="dxa"/>
            <w:shd w:val="clear" w:color="auto" w:fill="FFFFFF"/>
          </w:tcPr>
          <w:p w14:paraId="5055BAFB" w14:textId="77777777" w:rsidR="00E42A45" w:rsidRDefault="00E42A45" w:rsidP="00BB63DF">
            <w:pPr>
              <w:tabs>
                <w:tab w:val="left" w:pos="709"/>
              </w:tabs>
              <w:rPr>
                <w:b/>
                <w:sz w:val="18"/>
              </w:rPr>
            </w:pPr>
            <w:r>
              <w:rPr>
                <w:b/>
                <w:sz w:val="18"/>
              </w:rPr>
              <w:t>Geobiocenologická typizace (vegetační stupeň, trofická řada, hydrická řada)</w:t>
            </w:r>
          </w:p>
          <w:p w14:paraId="03F318B0" w14:textId="77777777" w:rsidR="00E42A45" w:rsidRDefault="00E42A45" w:rsidP="00BB63DF">
            <w:pPr>
              <w:tabs>
                <w:tab w:val="left" w:pos="709"/>
              </w:tabs>
            </w:pPr>
            <w:r>
              <w:t xml:space="preserve">                                       4B3, 4B4  </w:t>
            </w:r>
          </w:p>
        </w:tc>
        <w:tc>
          <w:tcPr>
            <w:tcW w:w="7072" w:type="dxa"/>
            <w:gridSpan w:val="2"/>
            <w:shd w:val="clear" w:color="auto" w:fill="FFFFFF"/>
          </w:tcPr>
          <w:p w14:paraId="2006C1D3" w14:textId="77777777" w:rsidR="00E42A45" w:rsidRDefault="00E42A45" w:rsidP="00BB63DF">
            <w:pPr>
              <w:tabs>
                <w:tab w:val="left" w:pos="709"/>
              </w:tabs>
            </w:pPr>
          </w:p>
        </w:tc>
      </w:tr>
      <w:tr w:rsidR="00E42A45" w14:paraId="186BF219" w14:textId="77777777" w:rsidTr="00BB63DF">
        <w:tc>
          <w:tcPr>
            <w:tcW w:w="14144" w:type="dxa"/>
            <w:gridSpan w:val="3"/>
          </w:tcPr>
          <w:p w14:paraId="32389319" w14:textId="77777777" w:rsidR="00E42A45" w:rsidRDefault="00E42A45" w:rsidP="00BB63DF">
            <w:pPr>
              <w:tabs>
                <w:tab w:val="left" w:pos="709"/>
              </w:tabs>
              <w:rPr>
                <w:b/>
                <w:sz w:val="18"/>
              </w:rPr>
            </w:pPr>
          </w:p>
          <w:p w14:paraId="3F6FEAB7" w14:textId="77777777" w:rsidR="00E42A45" w:rsidRPr="00B4044B" w:rsidRDefault="00E42A45" w:rsidP="00BB63DF">
            <w:pPr>
              <w:tabs>
                <w:tab w:val="left" w:pos="709"/>
              </w:tabs>
              <w:rPr>
                <w:b/>
                <w:sz w:val="18"/>
              </w:rPr>
            </w:pPr>
            <w:r>
              <w:rPr>
                <w:b/>
                <w:sz w:val="18"/>
              </w:rPr>
              <w:t>Charakter ekotopu a bioty</w:t>
            </w:r>
          </w:p>
          <w:p w14:paraId="438C5701" w14:textId="77777777" w:rsidR="00E42A45" w:rsidRDefault="00E42A45" w:rsidP="00BB63DF">
            <w:pPr>
              <w:tabs>
                <w:tab w:val="left" w:pos="709"/>
              </w:tabs>
              <w:rPr>
                <w:sz w:val="20"/>
              </w:rPr>
            </w:pPr>
            <w:r>
              <w:rPr>
                <w:sz w:val="20"/>
              </w:rPr>
              <w:t xml:space="preserve">        Lokalita zahrnuje extenzivně využívané louky a pastviny vklíněné mezi lesní porosty.  Směrem ze S na J se dvakrát mění gradient hydricity, neboť střed lokality leží v údolní poloze, v které pramení levostranný přítok Ploučnice. Údolní reliéf terénu je místy přerušen terénními stupni.</w:t>
            </w:r>
          </w:p>
          <w:p w14:paraId="79F2AA1C" w14:textId="77777777" w:rsidR="00E42A45" w:rsidRDefault="00E42A45" w:rsidP="00BB63DF">
            <w:pPr>
              <w:tabs>
                <w:tab w:val="left" w:pos="709"/>
              </w:tabs>
              <w:rPr>
                <w:sz w:val="20"/>
              </w:rPr>
            </w:pPr>
            <w:r>
              <w:rPr>
                <w:sz w:val="20"/>
              </w:rPr>
              <w:t xml:space="preserve">Celé biocentrum je exponováno SZ při sklonu cca 15 %. Nadmořská výška lokality se pohybuje mezi 410 a 480 m. </w:t>
            </w:r>
          </w:p>
          <w:p w14:paraId="6D74F1D3" w14:textId="77777777" w:rsidR="00E42A45" w:rsidRDefault="00E42A45" w:rsidP="00BB63DF">
            <w:pPr>
              <w:tabs>
                <w:tab w:val="left" w:pos="709"/>
              </w:tabs>
              <w:rPr>
                <w:sz w:val="20"/>
              </w:rPr>
            </w:pPr>
            <w:r>
              <w:rPr>
                <w:sz w:val="20"/>
              </w:rPr>
              <w:t xml:space="preserve">        Uvnitř lokality a po jejích krajích jsou rozptýleny v různých formacích dřevinné porosty ve formě mezí na terénních stupních, remízu či solitér. Hodnotné jsou rovněž ekotony vznikající při okrajích na přechodu les - TTP. </w:t>
            </w:r>
          </w:p>
          <w:p w14:paraId="3A6E1D05" w14:textId="77777777" w:rsidR="00E42A45" w:rsidRDefault="00E42A45" w:rsidP="00BB63DF">
            <w:pPr>
              <w:tabs>
                <w:tab w:val="left" w:pos="709"/>
              </w:tabs>
              <w:rPr>
                <w:sz w:val="20"/>
              </w:rPr>
            </w:pPr>
          </w:p>
          <w:p w14:paraId="2D5C1BEA" w14:textId="77777777" w:rsidR="00E42A45" w:rsidRDefault="00E42A45" w:rsidP="00BB63DF">
            <w:pPr>
              <w:tabs>
                <w:tab w:val="left" w:pos="709"/>
              </w:tabs>
              <w:rPr>
                <w:sz w:val="20"/>
              </w:rPr>
            </w:pPr>
            <w:r>
              <w:rPr>
                <w:sz w:val="20"/>
              </w:rPr>
              <w:t>V dřevinné skladbě rozptýlené zeleně jsou zastoupeny zejména JS, OL, JIV, LÍ, BR, DB, ovocné stromy, OS,  BK, HB,......</w:t>
            </w:r>
          </w:p>
          <w:p w14:paraId="41A7A458" w14:textId="77777777" w:rsidR="00E42A45" w:rsidRDefault="00E42A45" w:rsidP="00BB63DF">
            <w:pPr>
              <w:tabs>
                <w:tab w:val="left" w:pos="709"/>
              </w:tabs>
              <w:rPr>
                <w:sz w:val="20"/>
              </w:rPr>
            </w:pPr>
            <w:r>
              <w:rPr>
                <w:sz w:val="20"/>
              </w:rPr>
              <w:t xml:space="preserve"> </w:t>
            </w:r>
          </w:p>
          <w:p w14:paraId="5758909F" w14:textId="77777777" w:rsidR="00E42A45" w:rsidRDefault="00E42A45" w:rsidP="00BB63DF">
            <w:pPr>
              <w:tabs>
                <w:tab w:val="left" w:pos="709"/>
              </w:tabs>
              <w:rPr>
                <w:sz w:val="20"/>
              </w:rPr>
            </w:pPr>
            <w:r>
              <w:rPr>
                <w:sz w:val="20"/>
              </w:rPr>
              <w:t xml:space="preserve">                                                                                                          SES = 3-4   </w:t>
            </w:r>
          </w:p>
          <w:p w14:paraId="7BB0F6A1" w14:textId="77777777" w:rsidR="00E42A45" w:rsidRDefault="00E42A45" w:rsidP="00BB63DF">
            <w:pPr>
              <w:tabs>
                <w:tab w:val="left" w:pos="709"/>
              </w:tabs>
              <w:rPr>
                <w:sz w:val="20"/>
              </w:rPr>
            </w:pPr>
            <w:r>
              <w:rPr>
                <w:sz w:val="20"/>
              </w:rPr>
              <w:t>Skupina typů geobiocenů :  QUERCI - ABIETA</w:t>
            </w:r>
          </w:p>
          <w:p w14:paraId="4EF27AA5" w14:textId="77777777" w:rsidR="00E42A45" w:rsidRDefault="00E42A45" w:rsidP="00BB63DF">
            <w:pPr>
              <w:tabs>
                <w:tab w:val="left" w:pos="709"/>
              </w:tabs>
              <w:rPr>
                <w:sz w:val="20"/>
              </w:rPr>
            </w:pPr>
            <w:r>
              <w:rPr>
                <w:sz w:val="20"/>
              </w:rPr>
              <w:t xml:space="preserve">                                            Querceta roboris sup.                   </w:t>
            </w:r>
          </w:p>
          <w:p w14:paraId="4757E508" w14:textId="77777777" w:rsidR="00E42A45" w:rsidRDefault="00E42A45" w:rsidP="00BB63DF">
            <w:pPr>
              <w:tabs>
                <w:tab w:val="left" w:pos="709"/>
              </w:tabs>
              <w:rPr>
                <w:sz w:val="20"/>
              </w:rPr>
            </w:pPr>
            <w:r>
              <w:rPr>
                <w:sz w:val="20"/>
              </w:rPr>
              <w:t>Bot.: viz  škrtací seznam č. 69</w:t>
            </w:r>
          </w:p>
          <w:p w14:paraId="11FA3CA0" w14:textId="77777777" w:rsidR="00E42A45" w:rsidRDefault="00E42A45" w:rsidP="00BB63DF">
            <w:pPr>
              <w:tabs>
                <w:tab w:val="left" w:pos="709"/>
              </w:tabs>
              <w:rPr>
                <w:sz w:val="20"/>
              </w:rPr>
            </w:pPr>
            <w:r>
              <w:rPr>
                <w:sz w:val="20"/>
              </w:rPr>
              <w:t xml:space="preserve">Geol.: mezotrofní  hnědá půda, v údolní poloze hnědá půda oglejená   </w:t>
            </w:r>
          </w:p>
          <w:p w14:paraId="47F47C00" w14:textId="77777777" w:rsidR="00E42A45" w:rsidRDefault="00E42A45" w:rsidP="00BB63DF">
            <w:pPr>
              <w:tabs>
                <w:tab w:val="left" w:pos="709"/>
              </w:tabs>
              <w:rPr>
                <w:sz w:val="20"/>
              </w:rPr>
            </w:pPr>
          </w:p>
          <w:p w14:paraId="0945D67B" w14:textId="77777777" w:rsidR="00E42A45" w:rsidRDefault="00E42A45" w:rsidP="00BB63DF">
            <w:pPr>
              <w:tabs>
                <w:tab w:val="left" w:pos="709"/>
              </w:tabs>
              <w:rPr>
                <w:sz w:val="20"/>
              </w:rPr>
            </w:pPr>
            <w:r>
              <w:rPr>
                <w:b/>
                <w:sz w:val="20"/>
              </w:rPr>
              <w:t xml:space="preserve">Návrh opatření : </w:t>
            </w:r>
            <w:r>
              <w:rPr>
                <w:sz w:val="20"/>
              </w:rPr>
              <w:t xml:space="preserve"> </w:t>
            </w:r>
          </w:p>
          <w:p w14:paraId="5741F54A" w14:textId="77777777" w:rsidR="00E42A45" w:rsidRPr="00B4044B" w:rsidRDefault="00E42A45" w:rsidP="00BB63DF">
            <w:pPr>
              <w:tabs>
                <w:tab w:val="left" w:pos="709"/>
              </w:tabs>
              <w:rPr>
                <w:b/>
                <w:sz w:val="20"/>
              </w:rPr>
            </w:pPr>
            <w:r>
              <w:rPr>
                <w:b/>
                <w:sz w:val="20"/>
              </w:rPr>
              <w:t xml:space="preserve">Extenzivní spásání popř. kosení lokality s ohledem na zachování dřevinných porostů. Vyloučení hnojení a zásahů do vodního režimu. </w:t>
            </w:r>
          </w:p>
        </w:tc>
      </w:tr>
      <w:tr w:rsidR="00E42A45" w14:paraId="0B7A58F8" w14:textId="77777777" w:rsidTr="00BB63DF">
        <w:tc>
          <w:tcPr>
            <w:tcW w:w="7072" w:type="dxa"/>
            <w:shd w:val="clear" w:color="auto" w:fill="FFFFFF"/>
          </w:tcPr>
          <w:p w14:paraId="0033773D" w14:textId="77777777" w:rsidR="00E42A45" w:rsidRDefault="00E42A45" w:rsidP="00BB63DF">
            <w:pPr>
              <w:tabs>
                <w:tab w:val="left" w:pos="709"/>
              </w:tabs>
            </w:pPr>
            <w:r>
              <w:rPr>
                <w:sz w:val="18"/>
              </w:rPr>
              <w:lastRenderedPageBreak/>
              <w:t>Vymezení</w:t>
            </w:r>
          </w:p>
        </w:tc>
        <w:tc>
          <w:tcPr>
            <w:tcW w:w="7072" w:type="dxa"/>
            <w:gridSpan w:val="2"/>
            <w:shd w:val="clear" w:color="auto" w:fill="FFFFFF"/>
          </w:tcPr>
          <w:p w14:paraId="5171FD95" w14:textId="77777777" w:rsidR="00E42A45" w:rsidRDefault="00E42A45" w:rsidP="00BB63DF">
            <w:pPr>
              <w:tabs>
                <w:tab w:val="left" w:pos="709"/>
              </w:tabs>
              <w:rPr>
                <w:sz w:val="20"/>
              </w:rPr>
            </w:pPr>
            <w:r>
              <w:rPr>
                <w:sz w:val="18"/>
              </w:rPr>
              <w:t xml:space="preserve">Kultura               </w:t>
            </w:r>
            <w:r>
              <w:rPr>
                <w:sz w:val="20"/>
              </w:rPr>
              <w:t>louka, pastvina, ost. plochy</w:t>
            </w:r>
          </w:p>
          <w:p w14:paraId="1D1A0D3B" w14:textId="77777777" w:rsidR="00E42A45" w:rsidRDefault="00E42A45" w:rsidP="00BB63DF">
            <w:pPr>
              <w:tabs>
                <w:tab w:val="left" w:pos="709"/>
              </w:tabs>
              <w:rPr>
                <w:sz w:val="20"/>
              </w:rPr>
            </w:pPr>
            <w:r>
              <w:t xml:space="preserve"> </w:t>
            </w:r>
          </w:p>
        </w:tc>
      </w:tr>
      <w:tr w:rsidR="00E42A45" w14:paraId="186DA048" w14:textId="77777777" w:rsidTr="00BB63DF">
        <w:tc>
          <w:tcPr>
            <w:tcW w:w="7072" w:type="dxa"/>
            <w:shd w:val="clear" w:color="auto" w:fill="FFFFFF"/>
          </w:tcPr>
          <w:p w14:paraId="6FB3CEF9" w14:textId="77777777" w:rsidR="00E42A45" w:rsidRDefault="00E42A45" w:rsidP="00BB63DF">
            <w:pPr>
              <w:tabs>
                <w:tab w:val="left" w:pos="709"/>
              </w:tabs>
            </w:pPr>
            <w:r>
              <w:rPr>
                <w:sz w:val="18"/>
              </w:rPr>
              <w:t>Uživatel</w:t>
            </w:r>
            <w:r>
              <w:t xml:space="preserve">                     </w:t>
            </w:r>
          </w:p>
        </w:tc>
        <w:tc>
          <w:tcPr>
            <w:tcW w:w="7072" w:type="dxa"/>
            <w:gridSpan w:val="2"/>
            <w:shd w:val="clear" w:color="auto" w:fill="FFFFFF"/>
          </w:tcPr>
          <w:p w14:paraId="60181F17" w14:textId="77777777" w:rsidR="00E42A45" w:rsidRDefault="00E42A45" w:rsidP="00BB63DF">
            <w:pPr>
              <w:tabs>
                <w:tab w:val="left" w:pos="709"/>
              </w:tabs>
              <w:rPr>
                <w:sz w:val="18"/>
              </w:rPr>
            </w:pPr>
            <w:r>
              <w:rPr>
                <w:sz w:val="18"/>
              </w:rPr>
              <w:t>Mapovatel          Sklenička, Linhart, 1997</w:t>
            </w:r>
          </w:p>
        </w:tc>
      </w:tr>
      <w:tr w:rsidR="00E42A45" w14:paraId="365D85CF" w14:textId="77777777" w:rsidTr="00BB63DF">
        <w:tc>
          <w:tcPr>
            <w:tcW w:w="14144" w:type="dxa"/>
            <w:gridSpan w:val="3"/>
            <w:shd w:val="clear" w:color="auto" w:fill="FFFFFF"/>
          </w:tcPr>
          <w:p w14:paraId="40AAA55A" w14:textId="77777777" w:rsidR="00E42A45" w:rsidRDefault="00E42A45" w:rsidP="00BB63DF">
            <w:pPr>
              <w:tabs>
                <w:tab w:val="left" w:pos="709"/>
              </w:tabs>
            </w:pPr>
            <w:r>
              <w:rPr>
                <w:sz w:val="18"/>
              </w:rPr>
              <w:t>Kategorie ochrany, rok vyhlášení</w:t>
            </w:r>
          </w:p>
          <w:p w14:paraId="6D963433" w14:textId="77777777" w:rsidR="00E42A45" w:rsidRDefault="00E42A45" w:rsidP="00BB63DF">
            <w:pPr>
              <w:tabs>
                <w:tab w:val="left" w:pos="709"/>
              </w:tabs>
              <w:rPr>
                <w:b/>
                <w:sz w:val="20"/>
              </w:rPr>
            </w:pPr>
            <w:r>
              <w:t xml:space="preserve">                                                                                    </w:t>
            </w:r>
            <w:r>
              <w:rPr>
                <w:b/>
                <w:sz w:val="20"/>
              </w:rPr>
              <w:t>CHKO České Středohoří - II. zóna</w:t>
            </w:r>
          </w:p>
        </w:tc>
      </w:tr>
    </w:tbl>
    <w:p w14:paraId="3CE324A6"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3554563F" w14:textId="77777777" w:rsidTr="00BB63DF">
        <w:tc>
          <w:tcPr>
            <w:tcW w:w="7072" w:type="dxa"/>
            <w:shd w:val="clear" w:color="auto" w:fill="FFFFFF"/>
          </w:tcPr>
          <w:p w14:paraId="7101D4F6" w14:textId="77777777" w:rsidR="00E42A45" w:rsidRDefault="00E42A45" w:rsidP="00BB63DF">
            <w:pPr>
              <w:tabs>
                <w:tab w:val="left" w:pos="709"/>
              </w:tabs>
              <w:rPr>
                <w:sz w:val="18"/>
              </w:rPr>
            </w:pPr>
            <w:r>
              <w:rPr>
                <w:sz w:val="18"/>
              </w:rPr>
              <w:t>Pořadové číslo</w:t>
            </w:r>
          </w:p>
          <w:p w14:paraId="6E53C758" w14:textId="77777777" w:rsidR="00E42A45" w:rsidRDefault="00E42A45" w:rsidP="00BB63DF">
            <w:pPr>
              <w:tabs>
                <w:tab w:val="left" w:pos="709"/>
              </w:tabs>
              <w:rPr>
                <w:b/>
                <w:sz w:val="36"/>
              </w:rPr>
            </w:pPr>
            <w:r>
              <w:rPr>
                <w:sz w:val="18"/>
              </w:rPr>
              <w:t xml:space="preserve">                                   </w:t>
            </w:r>
            <w:r>
              <w:t xml:space="preserve">                                                                </w:t>
            </w:r>
            <w:r>
              <w:rPr>
                <w:b/>
                <w:sz w:val="36"/>
              </w:rPr>
              <w:t>12</w:t>
            </w:r>
          </w:p>
        </w:tc>
        <w:tc>
          <w:tcPr>
            <w:tcW w:w="7072" w:type="dxa"/>
            <w:gridSpan w:val="2"/>
            <w:shd w:val="clear" w:color="auto" w:fill="FFFFFF"/>
          </w:tcPr>
          <w:p w14:paraId="1F135D0D" w14:textId="77777777" w:rsidR="00E42A45" w:rsidRDefault="00E42A45" w:rsidP="00BB63DF">
            <w:pPr>
              <w:tabs>
                <w:tab w:val="left" w:pos="709"/>
              </w:tabs>
              <w:rPr>
                <w:sz w:val="18"/>
              </w:rPr>
            </w:pPr>
            <w:r>
              <w:rPr>
                <w:sz w:val="18"/>
              </w:rPr>
              <w:t>Katastrální území</w:t>
            </w:r>
          </w:p>
          <w:p w14:paraId="44E58CB8" w14:textId="77777777" w:rsidR="00E42A45" w:rsidRDefault="00E42A45" w:rsidP="00BB63DF">
            <w:pPr>
              <w:tabs>
                <w:tab w:val="left" w:pos="709"/>
              </w:tabs>
              <w:rPr>
                <w:b/>
                <w:sz w:val="18"/>
              </w:rPr>
            </w:pPr>
            <w:r>
              <w:rPr>
                <w:sz w:val="18"/>
              </w:rPr>
              <w:t xml:space="preserve">                                           </w:t>
            </w:r>
            <w:r>
              <w:rPr>
                <w:b/>
              </w:rPr>
              <w:t>Bynov</w:t>
            </w:r>
          </w:p>
        </w:tc>
      </w:tr>
      <w:tr w:rsidR="00E42A45" w14:paraId="3A1F1695" w14:textId="77777777" w:rsidTr="00BB63DF">
        <w:tc>
          <w:tcPr>
            <w:tcW w:w="7072" w:type="dxa"/>
            <w:shd w:val="clear" w:color="auto" w:fill="FFFFFF"/>
          </w:tcPr>
          <w:p w14:paraId="7F7D7BD6" w14:textId="77777777" w:rsidR="00E42A45" w:rsidRDefault="00E42A45" w:rsidP="00BB63DF">
            <w:pPr>
              <w:tabs>
                <w:tab w:val="left" w:pos="709"/>
              </w:tabs>
              <w:rPr>
                <w:sz w:val="18"/>
              </w:rPr>
            </w:pPr>
            <w:r>
              <w:rPr>
                <w:sz w:val="18"/>
              </w:rPr>
              <w:t>Název</w:t>
            </w:r>
          </w:p>
          <w:p w14:paraId="0C04AF7D" w14:textId="77777777" w:rsidR="00E42A45" w:rsidRDefault="00E42A45" w:rsidP="00BB63DF">
            <w:pPr>
              <w:tabs>
                <w:tab w:val="left" w:pos="709"/>
              </w:tabs>
              <w:rPr>
                <w:b/>
                <w:caps/>
                <w:sz w:val="18"/>
              </w:rPr>
            </w:pPr>
            <w:r>
              <w:rPr>
                <w:sz w:val="18"/>
              </w:rPr>
              <w:t xml:space="preserve">                     </w:t>
            </w:r>
            <w:r>
              <w:t xml:space="preserve"> </w:t>
            </w:r>
            <w:r>
              <w:rPr>
                <w:b/>
                <w:caps/>
              </w:rPr>
              <w:t>Lesní porosty podél Sporného potoka</w:t>
            </w:r>
          </w:p>
        </w:tc>
        <w:tc>
          <w:tcPr>
            <w:tcW w:w="3536" w:type="dxa"/>
            <w:shd w:val="clear" w:color="auto" w:fill="FFFFFF"/>
          </w:tcPr>
          <w:p w14:paraId="2ACD13DF" w14:textId="77777777" w:rsidR="00E42A45" w:rsidRDefault="00E42A45" w:rsidP="00BB63DF">
            <w:pPr>
              <w:tabs>
                <w:tab w:val="left" w:pos="709"/>
              </w:tabs>
              <w:rPr>
                <w:sz w:val="18"/>
              </w:rPr>
            </w:pPr>
            <w:r>
              <w:rPr>
                <w:sz w:val="18"/>
              </w:rPr>
              <w:t xml:space="preserve">Mapový list           </w:t>
            </w:r>
          </w:p>
          <w:p w14:paraId="1880141A" w14:textId="77777777" w:rsidR="00E42A45" w:rsidRDefault="00E42A45" w:rsidP="00BB63DF">
            <w:pPr>
              <w:tabs>
                <w:tab w:val="left" w:pos="709"/>
              </w:tabs>
              <w:rPr>
                <w:sz w:val="20"/>
              </w:rPr>
            </w:pPr>
            <w:r>
              <w:rPr>
                <w:sz w:val="20"/>
              </w:rPr>
              <w:t xml:space="preserve">                            02-23-12</w:t>
            </w:r>
          </w:p>
        </w:tc>
        <w:tc>
          <w:tcPr>
            <w:tcW w:w="3536" w:type="dxa"/>
            <w:shd w:val="clear" w:color="auto" w:fill="FFFFFF"/>
          </w:tcPr>
          <w:p w14:paraId="048FE4DE" w14:textId="77777777" w:rsidR="00E42A45" w:rsidRDefault="00E42A45" w:rsidP="00BB63DF">
            <w:pPr>
              <w:tabs>
                <w:tab w:val="left" w:pos="709"/>
              </w:tabs>
              <w:rPr>
                <w:sz w:val="18"/>
              </w:rPr>
            </w:pPr>
            <w:r>
              <w:rPr>
                <w:sz w:val="18"/>
              </w:rPr>
              <w:t xml:space="preserve">Výměra             </w:t>
            </w:r>
          </w:p>
          <w:p w14:paraId="1F4BCDB3" w14:textId="77777777" w:rsidR="00E42A45" w:rsidRDefault="00E42A45" w:rsidP="00BB63DF">
            <w:pPr>
              <w:tabs>
                <w:tab w:val="left" w:pos="709"/>
              </w:tabs>
              <w:rPr>
                <w:b/>
                <w:sz w:val="20"/>
              </w:rPr>
            </w:pPr>
            <w:r>
              <w:rPr>
                <w:b/>
                <w:sz w:val="20"/>
              </w:rPr>
              <w:t xml:space="preserve">                     23,55 ha</w:t>
            </w:r>
          </w:p>
        </w:tc>
      </w:tr>
      <w:tr w:rsidR="00E42A45" w14:paraId="0B0CFB2C" w14:textId="77777777" w:rsidTr="00BB63DF">
        <w:tc>
          <w:tcPr>
            <w:tcW w:w="7072" w:type="dxa"/>
            <w:shd w:val="clear" w:color="auto" w:fill="FFFFFF"/>
          </w:tcPr>
          <w:p w14:paraId="55B221B4" w14:textId="77777777" w:rsidR="00E42A45" w:rsidRDefault="00E42A45" w:rsidP="00BB63DF">
            <w:pPr>
              <w:tabs>
                <w:tab w:val="left" w:pos="709"/>
              </w:tabs>
              <w:rPr>
                <w:sz w:val="20"/>
              </w:rPr>
            </w:pPr>
            <w:r>
              <w:rPr>
                <w:sz w:val="20"/>
              </w:rPr>
              <w:t>EVKP - ekologicky významný krajinný prvek</w:t>
            </w:r>
          </w:p>
          <w:p w14:paraId="2DC3CC7C" w14:textId="77777777" w:rsidR="00E42A45" w:rsidRDefault="00E42A45" w:rsidP="00BB63DF">
            <w:pPr>
              <w:tabs>
                <w:tab w:val="left" w:pos="709"/>
              </w:tabs>
              <w:rPr>
                <w:sz w:val="20"/>
              </w:rPr>
            </w:pPr>
            <w:r>
              <w:rPr>
                <w:sz w:val="20"/>
              </w:rPr>
              <w:t>EVKC - ekologicky významný krajinný celek</w:t>
            </w:r>
          </w:p>
          <w:p w14:paraId="4B887F92" w14:textId="77777777" w:rsidR="00E42A45" w:rsidRPr="002D7515" w:rsidRDefault="00E42A45" w:rsidP="00BB63DF">
            <w:pPr>
              <w:pStyle w:val="Nadpis6"/>
            </w:pPr>
            <w:r w:rsidRPr="002D7515">
              <w:t>EVKO - ekologicky významná krajinná oblast</w:t>
            </w:r>
          </w:p>
          <w:p w14:paraId="4E92EBAA"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7567BA9C" w14:textId="77777777" w:rsidR="00E42A45" w:rsidRDefault="00E42A45" w:rsidP="00BB63DF">
            <w:pPr>
              <w:tabs>
                <w:tab w:val="left" w:pos="709"/>
              </w:tabs>
              <w:rPr>
                <w:sz w:val="18"/>
              </w:rPr>
            </w:pPr>
            <w:r>
              <w:rPr>
                <w:sz w:val="18"/>
              </w:rPr>
              <w:t>Biogeografický význam</w:t>
            </w:r>
          </w:p>
          <w:p w14:paraId="276EFB6B" w14:textId="77777777" w:rsidR="00E42A45" w:rsidRDefault="00E42A45" w:rsidP="00BB63DF">
            <w:pPr>
              <w:tabs>
                <w:tab w:val="left" w:pos="709"/>
              </w:tabs>
              <w:rPr>
                <w:b/>
              </w:rPr>
            </w:pPr>
            <w:r>
              <w:t xml:space="preserve">       </w:t>
            </w:r>
            <w:r>
              <w:rPr>
                <w:b/>
              </w:rPr>
              <w:t>- lokální, reprezentativní</w:t>
            </w:r>
          </w:p>
          <w:p w14:paraId="67AFFE60" w14:textId="77777777" w:rsidR="00E42A45" w:rsidRDefault="00E42A45" w:rsidP="00BB63DF">
            <w:pPr>
              <w:tabs>
                <w:tab w:val="left" w:pos="709"/>
              </w:tabs>
              <w:ind w:left="345"/>
              <w:rPr>
                <w:sz w:val="20"/>
              </w:rPr>
            </w:pPr>
            <w:r>
              <w:t xml:space="preserve"> </w:t>
            </w:r>
            <w:r>
              <w:rPr>
                <w:sz w:val="20"/>
              </w:rPr>
              <w:t>-  regionální</w:t>
            </w:r>
          </w:p>
          <w:p w14:paraId="65BEA627" w14:textId="77777777" w:rsidR="00E42A45" w:rsidRDefault="00E42A45" w:rsidP="00BB63DF">
            <w:pPr>
              <w:tabs>
                <w:tab w:val="left" w:pos="709"/>
              </w:tabs>
              <w:ind w:left="345"/>
            </w:pPr>
            <w:r>
              <w:rPr>
                <w:sz w:val="20"/>
              </w:rPr>
              <w:t xml:space="preserve"> - nadregionální</w:t>
            </w:r>
          </w:p>
        </w:tc>
        <w:tc>
          <w:tcPr>
            <w:tcW w:w="3536" w:type="dxa"/>
            <w:shd w:val="clear" w:color="auto" w:fill="FFFFFF"/>
          </w:tcPr>
          <w:p w14:paraId="5DF91AFB" w14:textId="77777777" w:rsidR="00E42A45" w:rsidRDefault="00E42A45" w:rsidP="00BB63DF">
            <w:pPr>
              <w:tabs>
                <w:tab w:val="left" w:pos="709"/>
              </w:tabs>
              <w:rPr>
                <w:sz w:val="18"/>
              </w:rPr>
            </w:pPr>
            <w:r>
              <w:rPr>
                <w:sz w:val="18"/>
              </w:rPr>
              <w:t>Stav</w:t>
            </w:r>
          </w:p>
          <w:p w14:paraId="388CEFD8" w14:textId="77777777" w:rsidR="00E42A45" w:rsidRDefault="00E42A45" w:rsidP="00BB63DF">
            <w:pPr>
              <w:tabs>
                <w:tab w:val="left" w:pos="709"/>
              </w:tabs>
              <w:ind w:left="405"/>
              <w:rPr>
                <w:b/>
              </w:rPr>
            </w:pPr>
            <w:r>
              <w:t xml:space="preserve">-  </w:t>
            </w:r>
            <w:r>
              <w:rPr>
                <w:b/>
              </w:rPr>
              <w:t>funkčně vymezený</w:t>
            </w:r>
          </w:p>
          <w:p w14:paraId="11D9F116" w14:textId="77777777" w:rsidR="00E42A45" w:rsidRDefault="00E42A45" w:rsidP="00BB63DF">
            <w:pPr>
              <w:tabs>
                <w:tab w:val="left" w:pos="709"/>
              </w:tabs>
              <w:rPr>
                <w:sz w:val="20"/>
              </w:rPr>
            </w:pPr>
            <w:r>
              <w:t xml:space="preserve">       </w:t>
            </w:r>
            <w:r>
              <w:rPr>
                <w:sz w:val="20"/>
              </w:rPr>
              <w:t xml:space="preserve">-  semifunkční    </w:t>
            </w:r>
          </w:p>
          <w:p w14:paraId="710294A2" w14:textId="77777777" w:rsidR="00E42A45" w:rsidRDefault="00E42A45" w:rsidP="00BB63DF">
            <w:pPr>
              <w:tabs>
                <w:tab w:val="left" w:pos="709"/>
              </w:tabs>
            </w:pPr>
            <w:r>
              <w:rPr>
                <w:sz w:val="20"/>
              </w:rPr>
              <w:t xml:space="preserve">        -  navržený</w:t>
            </w:r>
          </w:p>
        </w:tc>
      </w:tr>
      <w:tr w:rsidR="00E42A45" w14:paraId="2446ED1B" w14:textId="77777777" w:rsidTr="00BB63DF">
        <w:tc>
          <w:tcPr>
            <w:tcW w:w="7072" w:type="dxa"/>
            <w:shd w:val="clear" w:color="auto" w:fill="FFFFFF"/>
          </w:tcPr>
          <w:p w14:paraId="0C0C8541" w14:textId="77777777" w:rsidR="00E42A45" w:rsidRDefault="00E42A45" w:rsidP="00BB63DF">
            <w:pPr>
              <w:tabs>
                <w:tab w:val="left" w:pos="709"/>
              </w:tabs>
              <w:rPr>
                <w:b/>
                <w:sz w:val="18"/>
              </w:rPr>
            </w:pPr>
            <w:r>
              <w:rPr>
                <w:b/>
                <w:sz w:val="18"/>
              </w:rPr>
              <w:t>Geobiocenologická typizace (vegetační stupeň, trofická řada, hydrická řada)</w:t>
            </w:r>
          </w:p>
          <w:p w14:paraId="5760BFEA" w14:textId="77777777" w:rsidR="00E42A45" w:rsidRPr="00B4044B" w:rsidRDefault="00E42A45" w:rsidP="00BB63DF">
            <w:pPr>
              <w:tabs>
                <w:tab w:val="left" w:pos="709"/>
              </w:tabs>
              <w:rPr>
                <w:sz w:val="18"/>
                <w:szCs w:val="18"/>
              </w:rPr>
            </w:pPr>
            <w:r w:rsidRPr="00B4044B">
              <w:rPr>
                <w:sz w:val="18"/>
                <w:szCs w:val="18"/>
              </w:rPr>
              <w:t xml:space="preserve">                       6AB3, 6AB4 </w:t>
            </w:r>
          </w:p>
        </w:tc>
        <w:tc>
          <w:tcPr>
            <w:tcW w:w="7072" w:type="dxa"/>
            <w:gridSpan w:val="2"/>
            <w:shd w:val="clear" w:color="auto" w:fill="FFFFFF"/>
          </w:tcPr>
          <w:p w14:paraId="35AF61C7" w14:textId="77777777" w:rsidR="00E42A45" w:rsidRDefault="00E42A45" w:rsidP="00BB63DF">
            <w:pPr>
              <w:tabs>
                <w:tab w:val="left" w:pos="709"/>
              </w:tabs>
            </w:pPr>
          </w:p>
        </w:tc>
      </w:tr>
      <w:tr w:rsidR="00E42A45" w14:paraId="6AE5C2DD" w14:textId="77777777" w:rsidTr="00BB63DF">
        <w:tc>
          <w:tcPr>
            <w:tcW w:w="14144" w:type="dxa"/>
            <w:gridSpan w:val="3"/>
          </w:tcPr>
          <w:p w14:paraId="5002E82B" w14:textId="77777777" w:rsidR="00E42A45" w:rsidRDefault="00E42A45" w:rsidP="00BB63DF">
            <w:pPr>
              <w:tabs>
                <w:tab w:val="left" w:pos="709"/>
              </w:tabs>
              <w:rPr>
                <w:b/>
                <w:sz w:val="18"/>
              </w:rPr>
            </w:pPr>
          </w:p>
          <w:p w14:paraId="1A919EC7" w14:textId="77777777" w:rsidR="00E42A45" w:rsidRDefault="00E42A45" w:rsidP="00BB63DF">
            <w:pPr>
              <w:tabs>
                <w:tab w:val="left" w:pos="709"/>
              </w:tabs>
            </w:pPr>
            <w:r>
              <w:rPr>
                <w:b/>
                <w:sz w:val="18"/>
              </w:rPr>
              <w:t>Charakter ekotopu a bioty</w:t>
            </w:r>
            <w:r>
              <w:t xml:space="preserve">       </w:t>
            </w:r>
          </w:p>
          <w:p w14:paraId="5F84F402" w14:textId="77777777" w:rsidR="00E42A45" w:rsidRDefault="00E42A45" w:rsidP="00BB63DF">
            <w:pPr>
              <w:tabs>
                <w:tab w:val="left" w:pos="709"/>
              </w:tabs>
              <w:rPr>
                <w:sz w:val="20"/>
              </w:rPr>
            </w:pPr>
            <w:r>
              <w:rPr>
                <w:sz w:val="20"/>
              </w:rPr>
              <w:t xml:space="preserve">Lesní porosty jižně od státní hranice na svazích levého břehu Sporného potoka. Na severu  je lokalita ohraničena státní hranicí. V SV cípu biocentra se vlévá Sporný potok do Rychnovského potoka. Biocentrum je situováno na V orientovaném místy balvanitém svahu se sklonem kolem 5%.                                                       SES = 3 - 4.   </w:t>
            </w:r>
          </w:p>
          <w:p w14:paraId="0A91E804" w14:textId="77777777" w:rsidR="00E42A45" w:rsidRDefault="00E42A45" w:rsidP="00BB63DF">
            <w:pPr>
              <w:tabs>
                <w:tab w:val="left" w:pos="709"/>
              </w:tabs>
              <w:rPr>
                <w:sz w:val="20"/>
              </w:rPr>
            </w:pPr>
            <w:r>
              <w:rPr>
                <w:sz w:val="20"/>
              </w:rPr>
              <w:t xml:space="preserve">Lesní porost je tvořen následujícími dřevinami: SM, BO, MD, SMP, BR, SMO </w:t>
            </w:r>
          </w:p>
          <w:p w14:paraId="1A7E9B86" w14:textId="77777777" w:rsidR="00E42A45" w:rsidRDefault="00E42A45" w:rsidP="00BB63DF">
            <w:pPr>
              <w:tabs>
                <w:tab w:val="left" w:pos="709"/>
              </w:tabs>
              <w:rPr>
                <w:sz w:val="20"/>
              </w:rPr>
            </w:pPr>
            <w:r>
              <w:rPr>
                <w:sz w:val="20"/>
              </w:rPr>
              <w:t xml:space="preserve"> </w:t>
            </w:r>
          </w:p>
          <w:p w14:paraId="062134C2" w14:textId="77777777" w:rsidR="00E42A45" w:rsidRDefault="00E42A45" w:rsidP="00BB63DF">
            <w:pPr>
              <w:tabs>
                <w:tab w:val="left" w:pos="709"/>
              </w:tabs>
              <w:rPr>
                <w:sz w:val="20"/>
              </w:rPr>
            </w:pPr>
            <w:r>
              <w:rPr>
                <w:b/>
                <w:sz w:val="20"/>
              </w:rPr>
              <w:t>Zastoupené lesní typy:</w:t>
            </w:r>
            <w:r>
              <w:rPr>
                <w:sz w:val="20"/>
              </w:rPr>
              <w:t xml:space="preserve">                 6K8(9) - kyselá smrková bučina                 6K4 - kyselá smrková bučina třtinová   </w:t>
            </w:r>
          </w:p>
          <w:p w14:paraId="42F1981F" w14:textId="77777777" w:rsidR="00E42A45" w:rsidRDefault="00E42A45" w:rsidP="00BB63DF">
            <w:pPr>
              <w:tabs>
                <w:tab w:val="left" w:pos="709"/>
              </w:tabs>
              <w:rPr>
                <w:sz w:val="20"/>
              </w:rPr>
            </w:pPr>
            <w:r>
              <w:rPr>
                <w:sz w:val="20"/>
              </w:rPr>
              <w:t xml:space="preserve">                                                            7G3 - podmáčená jedlová smrčina třtin. </w:t>
            </w:r>
          </w:p>
          <w:p w14:paraId="4965A617" w14:textId="77777777" w:rsidR="00E42A45" w:rsidRDefault="00E42A45" w:rsidP="00BB63DF">
            <w:pPr>
              <w:tabs>
                <w:tab w:val="left" w:pos="709"/>
              </w:tabs>
              <w:rPr>
                <w:sz w:val="20"/>
              </w:rPr>
            </w:pPr>
            <w:r>
              <w:rPr>
                <w:sz w:val="20"/>
              </w:rPr>
              <w:t xml:space="preserve">Hnědé půdy rašelinné podzolované oligotrofní horské a rašelinný glej </w:t>
            </w:r>
          </w:p>
          <w:p w14:paraId="5BA1AF79" w14:textId="77777777" w:rsidR="00E42A45" w:rsidRDefault="00E42A45" w:rsidP="00BB63DF">
            <w:pPr>
              <w:tabs>
                <w:tab w:val="left" w:pos="709"/>
              </w:tabs>
              <w:rPr>
                <w:sz w:val="20"/>
              </w:rPr>
            </w:pPr>
          </w:p>
          <w:p w14:paraId="64D59D1B" w14:textId="77777777" w:rsidR="00E42A45" w:rsidRDefault="00E42A45" w:rsidP="00BB63DF">
            <w:pPr>
              <w:tabs>
                <w:tab w:val="left" w:pos="709"/>
              </w:tabs>
              <w:rPr>
                <w:i/>
                <w:sz w:val="20"/>
              </w:rPr>
            </w:pPr>
            <w:r>
              <w:rPr>
                <w:sz w:val="20"/>
              </w:rPr>
              <w:t xml:space="preserve">Bot.: </w:t>
            </w:r>
            <w:r>
              <w:rPr>
                <w:i/>
                <w:sz w:val="20"/>
              </w:rPr>
              <w:t xml:space="preserve">Calamagrostis villosa, Dryopteris spinulosa, Vaccinium myrtillus, Gallum hercynicum, Sphagnum sp., Trientaliseuropea, Deschampsia </w:t>
            </w:r>
          </w:p>
          <w:p w14:paraId="71F90114" w14:textId="77777777" w:rsidR="00E42A45" w:rsidRPr="00B4044B" w:rsidRDefault="00E42A45" w:rsidP="00BB63DF">
            <w:pPr>
              <w:tabs>
                <w:tab w:val="left" w:pos="709"/>
              </w:tabs>
              <w:rPr>
                <w:i/>
                <w:sz w:val="20"/>
              </w:rPr>
            </w:pPr>
            <w:r>
              <w:rPr>
                <w:i/>
                <w:sz w:val="20"/>
              </w:rPr>
              <w:t xml:space="preserve">          flexuosa, Blechnum spicant, Carex sp.</w:t>
            </w:r>
          </w:p>
          <w:p w14:paraId="78AB4829" w14:textId="77777777" w:rsidR="00E42A45" w:rsidRDefault="00E42A45" w:rsidP="00BB63DF">
            <w:pPr>
              <w:tabs>
                <w:tab w:val="left" w:pos="709"/>
              </w:tabs>
              <w:rPr>
                <w:b/>
                <w:sz w:val="20"/>
              </w:rPr>
            </w:pPr>
            <w:r>
              <w:rPr>
                <w:b/>
                <w:sz w:val="20"/>
              </w:rPr>
              <w:t xml:space="preserve">Návrh opatření :  </w:t>
            </w:r>
          </w:p>
          <w:p w14:paraId="5DFC3C50" w14:textId="77777777" w:rsidR="00E42A45" w:rsidRDefault="00E42A45" w:rsidP="00BB63DF">
            <w:pPr>
              <w:tabs>
                <w:tab w:val="left" w:pos="709"/>
              </w:tabs>
              <w:rPr>
                <w:b/>
                <w:sz w:val="20"/>
              </w:rPr>
            </w:pPr>
            <w:r>
              <w:rPr>
                <w:b/>
                <w:sz w:val="20"/>
              </w:rPr>
              <w:t>Dřeviny přirozené rekonstruované skladby podle SLT:                                    6K - SM4, BK4, JD2, JR              7G - SM8, JD2, OL</w:t>
            </w:r>
          </w:p>
          <w:p w14:paraId="30A2A6CD" w14:textId="77777777" w:rsidR="00E42A45" w:rsidRDefault="00E42A45" w:rsidP="00BB63DF">
            <w:pPr>
              <w:tabs>
                <w:tab w:val="left" w:pos="709"/>
              </w:tabs>
            </w:pPr>
            <w:r>
              <w:rPr>
                <w:b/>
                <w:sz w:val="20"/>
              </w:rPr>
              <w:t>Opatření v porostu ve smyslu Generelu rekonstrukce, který je promítnut v platném LHP, s postupnou náhradou dřevin mimo přirozenou dřevinnou skladbu   -  výchovná opatření.</w:t>
            </w:r>
            <w:r>
              <w:t xml:space="preserve">                                </w:t>
            </w:r>
          </w:p>
        </w:tc>
      </w:tr>
      <w:tr w:rsidR="00E42A45" w14:paraId="15B4DD59" w14:textId="77777777" w:rsidTr="00BB63DF">
        <w:tc>
          <w:tcPr>
            <w:tcW w:w="7072" w:type="dxa"/>
            <w:shd w:val="clear" w:color="auto" w:fill="FFFFFF"/>
          </w:tcPr>
          <w:p w14:paraId="0B718190" w14:textId="77777777" w:rsidR="00E42A45" w:rsidRDefault="00E42A45" w:rsidP="00BB63DF">
            <w:pPr>
              <w:tabs>
                <w:tab w:val="left" w:pos="709"/>
              </w:tabs>
              <w:rPr>
                <w:sz w:val="20"/>
              </w:rPr>
            </w:pPr>
            <w:r>
              <w:rPr>
                <w:sz w:val="18"/>
              </w:rPr>
              <w:t>Vymezení</w:t>
            </w:r>
            <w:r>
              <w:t xml:space="preserve">             </w:t>
            </w:r>
            <w:r>
              <w:rPr>
                <w:sz w:val="20"/>
              </w:rPr>
              <w:t>LS Polesí Sněžník, 203/C</w:t>
            </w:r>
          </w:p>
        </w:tc>
        <w:tc>
          <w:tcPr>
            <w:tcW w:w="7072" w:type="dxa"/>
            <w:gridSpan w:val="2"/>
            <w:shd w:val="clear" w:color="auto" w:fill="FFFFFF"/>
          </w:tcPr>
          <w:p w14:paraId="1C842CBC" w14:textId="77777777" w:rsidR="00E42A45" w:rsidRDefault="00E42A45" w:rsidP="00BB63DF">
            <w:pPr>
              <w:tabs>
                <w:tab w:val="left" w:pos="709"/>
              </w:tabs>
              <w:rPr>
                <w:sz w:val="20"/>
              </w:rPr>
            </w:pPr>
            <w:r>
              <w:rPr>
                <w:sz w:val="18"/>
              </w:rPr>
              <w:t xml:space="preserve">Kultura                        </w:t>
            </w:r>
            <w:r>
              <w:rPr>
                <w:sz w:val="20"/>
              </w:rPr>
              <w:t xml:space="preserve">les </w:t>
            </w:r>
          </w:p>
        </w:tc>
      </w:tr>
      <w:tr w:rsidR="00E42A45" w14:paraId="145A1019" w14:textId="77777777" w:rsidTr="00BB63DF">
        <w:tc>
          <w:tcPr>
            <w:tcW w:w="7072" w:type="dxa"/>
            <w:shd w:val="clear" w:color="auto" w:fill="FFFFFF"/>
          </w:tcPr>
          <w:p w14:paraId="569C69E2" w14:textId="77777777" w:rsidR="00E42A45" w:rsidRDefault="00E42A45" w:rsidP="00BB63DF">
            <w:pPr>
              <w:tabs>
                <w:tab w:val="left" w:pos="709"/>
              </w:tabs>
            </w:pPr>
            <w:r>
              <w:rPr>
                <w:sz w:val="18"/>
              </w:rPr>
              <w:t>Uživatel</w:t>
            </w:r>
            <w:r>
              <w:t xml:space="preserve">                                           </w:t>
            </w:r>
          </w:p>
          <w:p w14:paraId="4996F90A" w14:textId="77777777" w:rsidR="00E42A45" w:rsidRDefault="00E42A45" w:rsidP="00BB63DF">
            <w:pPr>
              <w:tabs>
                <w:tab w:val="left" w:pos="709"/>
              </w:tabs>
              <w:rPr>
                <w:sz w:val="20"/>
              </w:rPr>
            </w:pPr>
            <w:r>
              <w:lastRenderedPageBreak/>
              <w:t xml:space="preserve">   </w:t>
            </w:r>
            <w:r>
              <w:rPr>
                <w:sz w:val="20"/>
              </w:rPr>
              <w:t>LČR</w:t>
            </w:r>
          </w:p>
        </w:tc>
        <w:tc>
          <w:tcPr>
            <w:tcW w:w="7072" w:type="dxa"/>
            <w:gridSpan w:val="2"/>
            <w:shd w:val="clear" w:color="auto" w:fill="FFFFFF"/>
          </w:tcPr>
          <w:p w14:paraId="3FDCCABA" w14:textId="77777777" w:rsidR="00E42A45" w:rsidRDefault="00E42A45" w:rsidP="00BB63DF">
            <w:pPr>
              <w:tabs>
                <w:tab w:val="left" w:pos="709"/>
              </w:tabs>
              <w:rPr>
                <w:sz w:val="18"/>
              </w:rPr>
            </w:pPr>
            <w:r>
              <w:rPr>
                <w:sz w:val="18"/>
              </w:rPr>
              <w:lastRenderedPageBreak/>
              <w:t>Mapovatel                   Sklenička, Linhart, 1997</w:t>
            </w:r>
          </w:p>
        </w:tc>
      </w:tr>
      <w:tr w:rsidR="00E42A45" w14:paraId="32E17E09" w14:textId="77777777" w:rsidTr="00BB63DF">
        <w:tc>
          <w:tcPr>
            <w:tcW w:w="14144" w:type="dxa"/>
            <w:gridSpan w:val="3"/>
            <w:shd w:val="clear" w:color="auto" w:fill="FFFFFF"/>
          </w:tcPr>
          <w:p w14:paraId="5E285058" w14:textId="77777777" w:rsidR="00E42A45" w:rsidRDefault="00E42A45" w:rsidP="00BB63DF">
            <w:pPr>
              <w:tabs>
                <w:tab w:val="left" w:pos="709"/>
              </w:tabs>
            </w:pPr>
            <w:r>
              <w:rPr>
                <w:sz w:val="18"/>
              </w:rPr>
              <w:t>Kategorie ochrany, rok vyhlášení</w:t>
            </w:r>
          </w:p>
          <w:p w14:paraId="4B9F21D3" w14:textId="77777777" w:rsidR="00E42A45" w:rsidRPr="002D7515" w:rsidRDefault="00E42A45" w:rsidP="00BB63DF">
            <w:pPr>
              <w:pStyle w:val="Nadpis7"/>
            </w:pPr>
            <w:r w:rsidRPr="002D7515">
              <w:t xml:space="preserve">                                                                                              CHKO Labské Pískovce - III. zóna</w:t>
            </w:r>
          </w:p>
        </w:tc>
      </w:tr>
    </w:tbl>
    <w:p w14:paraId="0FACE5B5"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718E46F0" w14:textId="77777777" w:rsidTr="00BB63DF">
        <w:tc>
          <w:tcPr>
            <w:tcW w:w="7072" w:type="dxa"/>
            <w:shd w:val="clear" w:color="auto" w:fill="FFFFFF"/>
          </w:tcPr>
          <w:p w14:paraId="76F4FA56" w14:textId="77777777" w:rsidR="00E42A45" w:rsidRDefault="00E42A45" w:rsidP="00BB63DF">
            <w:pPr>
              <w:tabs>
                <w:tab w:val="left" w:pos="709"/>
              </w:tabs>
              <w:rPr>
                <w:sz w:val="18"/>
              </w:rPr>
            </w:pPr>
            <w:r>
              <w:rPr>
                <w:sz w:val="18"/>
              </w:rPr>
              <w:t>Pořadové číslo</w:t>
            </w:r>
          </w:p>
          <w:p w14:paraId="2F34AE2E" w14:textId="77777777" w:rsidR="00E42A45" w:rsidRDefault="00E42A45" w:rsidP="00BB63DF">
            <w:pPr>
              <w:tabs>
                <w:tab w:val="left" w:pos="709"/>
              </w:tabs>
              <w:rPr>
                <w:b/>
                <w:sz w:val="36"/>
              </w:rPr>
            </w:pPr>
            <w:r>
              <w:rPr>
                <w:sz w:val="18"/>
              </w:rPr>
              <w:t xml:space="preserve">                                   </w:t>
            </w:r>
            <w:r>
              <w:t xml:space="preserve">                                                   </w:t>
            </w:r>
            <w:r>
              <w:rPr>
                <w:b/>
                <w:sz w:val="36"/>
              </w:rPr>
              <w:t>13</w:t>
            </w:r>
          </w:p>
        </w:tc>
        <w:tc>
          <w:tcPr>
            <w:tcW w:w="7072" w:type="dxa"/>
            <w:gridSpan w:val="2"/>
            <w:shd w:val="clear" w:color="auto" w:fill="FFFFFF"/>
          </w:tcPr>
          <w:p w14:paraId="130AD4C9" w14:textId="77777777" w:rsidR="00E42A45" w:rsidRDefault="00E42A45" w:rsidP="00BB63DF">
            <w:pPr>
              <w:tabs>
                <w:tab w:val="left" w:pos="709"/>
              </w:tabs>
              <w:rPr>
                <w:sz w:val="18"/>
              </w:rPr>
            </w:pPr>
            <w:r>
              <w:rPr>
                <w:sz w:val="18"/>
              </w:rPr>
              <w:t>Katastrální území</w:t>
            </w:r>
          </w:p>
          <w:p w14:paraId="2191CDBB" w14:textId="77777777" w:rsidR="00E42A45" w:rsidRDefault="00E42A45" w:rsidP="00BB63DF">
            <w:pPr>
              <w:tabs>
                <w:tab w:val="left" w:pos="709"/>
              </w:tabs>
              <w:rPr>
                <w:b/>
                <w:sz w:val="18"/>
              </w:rPr>
            </w:pPr>
            <w:r>
              <w:rPr>
                <w:b/>
                <w:sz w:val="18"/>
              </w:rPr>
              <w:t xml:space="preserve">                                           </w:t>
            </w:r>
            <w:r>
              <w:rPr>
                <w:b/>
              </w:rPr>
              <w:t>Bynov</w:t>
            </w:r>
          </w:p>
        </w:tc>
      </w:tr>
      <w:tr w:rsidR="00E42A45" w14:paraId="6F138330" w14:textId="77777777" w:rsidTr="00BB63DF">
        <w:tc>
          <w:tcPr>
            <w:tcW w:w="7072" w:type="dxa"/>
            <w:shd w:val="clear" w:color="auto" w:fill="FFFFFF"/>
          </w:tcPr>
          <w:p w14:paraId="7A445461" w14:textId="77777777" w:rsidR="00E42A45" w:rsidRDefault="00E42A45" w:rsidP="00BB63DF">
            <w:pPr>
              <w:tabs>
                <w:tab w:val="left" w:pos="709"/>
              </w:tabs>
              <w:rPr>
                <w:sz w:val="18"/>
              </w:rPr>
            </w:pPr>
            <w:r>
              <w:rPr>
                <w:sz w:val="18"/>
              </w:rPr>
              <w:t>Název</w:t>
            </w:r>
          </w:p>
          <w:p w14:paraId="2A65FC5C" w14:textId="77777777" w:rsidR="00E42A45" w:rsidRDefault="00E42A45" w:rsidP="00BB63DF">
            <w:pPr>
              <w:tabs>
                <w:tab w:val="left" w:pos="709"/>
              </w:tabs>
              <w:rPr>
                <w:b/>
                <w:caps/>
                <w:sz w:val="18"/>
              </w:rPr>
            </w:pPr>
            <w:r>
              <w:rPr>
                <w:sz w:val="18"/>
              </w:rPr>
              <w:t xml:space="preserve">                     </w:t>
            </w:r>
            <w:r>
              <w:t xml:space="preserve"> </w:t>
            </w:r>
            <w:r>
              <w:rPr>
                <w:b/>
                <w:caps/>
              </w:rPr>
              <w:t>Lesní porosty u Kristina Hrádku</w:t>
            </w:r>
          </w:p>
        </w:tc>
        <w:tc>
          <w:tcPr>
            <w:tcW w:w="3536" w:type="dxa"/>
            <w:shd w:val="clear" w:color="auto" w:fill="FFFFFF"/>
          </w:tcPr>
          <w:p w14:paraId="258F1749" w14:textId="77777777" w:rsidR="00E42A45" w:rsidRDefault="00E42A45" w:rsidP="00BB63DF">
            <w:pPr>
              <w:tabs>
                <w:tab w:val="left" w:pos="709"/>
              </w:tabs>
              <w:rPr>
                <w:sz w:val="18"/>
              </w:rPr>
            </w:pPr>
            <w:r>
              <w:rPr>
                <w:sz w:val="18"/>
              </w:rPr>
              <w:t xml:space="preserve">Mapový list           </w:t>
            </w:r>
          </w:p>
          <w:p w14:paraId="7D7D1864" w14:textId="77777777" w:rsidR="00E42A45" w:rsidRDefault="00E42A45" w:rsidP="00BB63DF">
            <w:pPr>
              <w:tabs>
                <w:tab w:val="left" w:pos="709"/>
              </w:tabs>
              <w:rPr>
                <w:sz w:val="20"/>
              </w:rPr>
            </w:pPr>
            <w:r>
              <w:rPr>
                <w:sz w:val="20"/>
              </w:rPr>
              <w:t xml:space="preserve">                            02-23-12, 13</w:t>
            </w:r>
          </w:p>
        </w:tc>
        <w:tc>
          <w:tcPr>
            <w:tcW w:w="3536" w:type="dxa"/>
            <w:shd w:val="clear" w:color="auto" w:fill="FFFFFF"/>
          </w:tcPr>
          <w:p w14:paraId="431DC278" w14:textId="77777777" w:rsidR="00E42A45" w:rsidRDefault="00E42A45" w:rsidP="00BB63DF">
            <w:pPr>
              <w:tabs>
                <w:tab w:val="left" w:pos="709"/>
              </w:tabs>
              <w:rPr>
                <w:sz w:val="18"/>
              </w:rPr>
            </w:pPr>
            <w:r>
              <w:rPr>
                <w:sz w:val="18"/>
              </w:rPr>
              <w:t xml:space="preserve">Výměra             </w:t>
            </w:r>
          </w:p>
          <w:p w14:paraId="67BA3F19" w14:textId="77777777" w:rsidR="00E42A45" w:rsidRDefault="00E42A45" w:rsidP="00BB63DF">
            <w:pPr>
              <w:tabs>
                <w:tab w:val="left" w:pos="709"/>
              </w:tabs>
              <w:rPr>
                <w:b/>
                <w:sz w:val="20"/>
              </w:rPr>
            </w:pPr>
            <w:r>
              <w:rPr>
                <w:b/>
                <w:sz w:val="20"/>
              </w:rPr>
              <w:t xml:space="preserve">                     25,10 ha</w:t>
            </w:r>
          </w:p>
        </w:tc>
      </w:tr>
      <w:tr w:rsidR="00E42A45" w14:paraId="2F78C35D" w14:textId="77777777" w:rsidTr="00BB63DF">
        <w:tc>
          <w:tcPr>
            <w:tcW w:w="7072" w:type="dxa"/>
            <w:shd w:val="clear" w:color="auto" w:fill="FFFFFF"/>
          </w:tcPr>
          <w:p w14:paraId="5A9CB1DC" w14:textId="77777777" w:rsidR="00E42A45" w:rsidRDefault="00E42A45" w:rsidP="00BB63DF">
            <w:pPr>
              <w:tabs>
                <w:tab w:val="left" w:pos="709"/>
              </w:tabs>
              <w:rPr>
                <w:sz w:val="20"/>
              </w:rPr>
            </w:pPr>
            <w:r>
              <w:rPr>
                <w:sz w:val="20"/>
              </w:rPr>
              <w:t>EVKP - ekologicky významný krajinný prvek</w:t>
            </w:r>
          </w:p>
          <w:p w14:paraId="486034A4" w14:textId="77777777" w:rsidR="00E42A45" w:rsidRDefault="00E42A45" w:rsidP="00BB63DF">
            <w:pPr>
              <w:tabs>
                <w:tab w:val="left" w:pos="709"/>
              </w:tabs>
              <w:rPr>
                <w:sz w:val="20"/>
              </w:rPr>
            </w:pPr>
            <w:r>
              <w:rPr>
                <w:sz w:val="20"/>
              </w:rPr>
              <w:t>EVKC - ekologicky významný krajinný celek</w:t>
            </w:r>
          </w:p>
          <w:p w14:paraId="2DD04AC0" w14:textId="77777777" w:rsidR="00E42A45" w:rsidRPr="002D7515" w:rsidRDefault="00E42A45" w:rsidP="00BB63DF">
            <w:pPr>
              <w:pStyle w:val="Nadpis6"/>
            </w:pPr>
            <w:r w:rsidRPr="002D7515">
              <w:t>EVKO - ekologicky významná krajinná oblast</w:t>
            </w:r>
          </w:p>
          <w:p w14:paraId="2AD0730E"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19DAA89F" w14:textId="77777777" w:rsidR="00E42A45" w:rsidRDefault="00E42A45" w:rsidP="00BB63DF">
            <w:pPr>
              <w:tabs>
                <w:tab w:val="left" w:pos="709"/>
              </w:tabs>
            </w:pPr>
            <w:r>
              <w:t>Biogeografický význam</w:t>
            </w:r>
          </w:p>
          <w:p w14:paraId="748388A4" w14:textId="77777777" w:rsidR="00E42A45" w:rsidRDefault="00E42A45" w:rsidP="00BB63DF">
            <w:pPr>
              <w:tabs>
                <w:tab w:val="left" w:pos="709"/>
              </w:tabs>
              <w:rPr>
                <w:b/>
              </w:rPr>
            </w:pPr>
            <w:r>
              <w:t xml:space="preserve">       </w:t>
            </w:r>
            <w:r>
              <w:rPr>
                <w:b/>
              </w:rPr>
              <w:t>- lokální, reprezentativní</w:t>
            </w:r>
          </w:p>
          <w:p w14:paraId="751DF436" w14:textId="77777777" w:rsidR="00E42A45" w:rsidRDefault="00E42A45" w:rsidP="00BB63DF">
            <w:pPr>
              <w:tabs>
                <w:tab w:val="left" w:pos="709"/>
              </w:tabs>
              <w:ind w:left="345"/>
              <w:rPr>
                <w:sz w:val="20"/>
              </w:rPr>
            </w:pPr>
            <w:r>
              <w:rPr>
                <w:sz w:val="20"/>
              </w:rPr>
              <w:t xml:space="preserve"> -  regionální</w:t>
            </w:r>
          </w:p>
          <w:p w14:paraId="192EA68B" w14:textId="77777777" w:rsidR="00E42A45" w:rsidRDefault="00E42A45" w:rsidP="00BB63DF">
            <w:pPr>
              <w:tabs>
                <w:tab w:val="left" w:pos="709"/>
              </w:tabs>
              <w:ind w:left="345"/>
            </w:pPr>
            <w:r>
              <w:rPr>
                <w:sz w:val="20"/>
              </w:rPr>
              <w:t xml:space="preserve"> - nadregionální</w:t>
            </w:r>
          </w:p>
        </w:tc>
        <w:tc>
          <w:tcPr>
            <w:tcW w:w="3536" w:type="dxa"/>
            <w:shd w:val="clear" w:color="auto" w:fill="FFFFFF"/>
          </w:tcPr>
          <w:p w14:paraId="2DB7DDC4" w14:textId="77777777" w:rsidR="00E42A45" w:rsidRDefault="00E42A45" w:rsidP="00BB63DF">
            <w:pPr>
              <w:tabs>
                <w:tab w:val="left" w:pos="709"/>
              </w:tabs>
              <w:rPr>
                <w:sz w:val="18"/>
              </w:rPr>
            </w:pPr>
            <w:r>
              <w:rPr>
                <w:sz w:val="18"/>
              </w:rPr>
              <w:t>Stav</w:t>
            </w:r>
          </w:p>
          <w:p w14:paraId="01C375AF" w14:textId="77777777" w:rsidR="00E42A45" w:rsidRDefault="00E42A45" w:rsidP="00BB63DF">
            <w:pPr>
              <w:tabs>
                <w:tab w:val="left" w:pos="709"/>
              </w:tabs>
              <w:ind w:left="405"/>
              <w:rPr>
                <w:b/>
              </w:rPr>
            </w:pPr>
            <w:r>
              <w:rPr>
                <w:b/>
              </w:rPr>
              <w:t>-  funkčně vymezený</w:t>
            </w:r>
          </w:p>
          <w:p w14:paraId="42866702" w14:textId="77777777" w:rsidR="00E42A45" w:rsidRDefault="00E42A45" w:rsidP="00BB63DF">
            <w:pPr>
              <w:tabs>
                <w:tab w:val="left" w:pos="709"/>
              </w:tabs>
              <w:rPr>
                <w:sz w:val="20"/>
              </w:rPr>
            </w:pPr>
            <w:r>
              <w:t xml:space="preserve">       </w:t>
            </w:r>
            <w:r>
              <w:rPr>
                <w:sz w:val="20"/>
              </w:rPr>
              <w:t xml:space="preserve">-  semifunkční    </w:t>
            </w:r>
          </w:p>
          <w:p w14:paraId="392A868E" w14:textId="77777777" w:rsidR="00E42A45" w:rsidRDefault="00E42A45" w:rsidP="00BB63DF">
            <w:pPr>
              <w:tabs>
                <w:tab w:val="left" w:pos="709"/>
              </w:tabs>
            </w:pPr>
            <w:r>
              <w:rPr>
                <w:sz w:val="20"/>
              </w:rPr>
              <w:t xml:space="preserve">        -  navržený</w:t>
            </w:r>
          </w:p>
        </w:tc>
      </w:tr>
      <w:tr w:rsidR="00E42A45" w14:paraId="2E630F47" w14:textId="77777777" w:rsidTr="00BB63DF">
        <w:tc>
          <w:tcPr>
            <w:tcW w:w="7072" w:type="dxa"/>
            <w:shd w:val="clear" w:color="auto" w:fill="FFFFFF"/>
          </w:tcPr>
          <w:p w14:paraId="46EB8F17" w14:textId="77777777" w:rsidR="00E42A45" w:rsidRDefault="00E42A45" w:rsidP="00BB63DF">
            <w:pPr>
              <w:tabs>
                <w:tab w:val="left" w:pos="709"/>
              </w:tabs>
              <w:rPr>
                <w:b/>
                <w:sz w:val="18"/>
              </w:rPr>
            </w:pPr>
            <w:r>
              <w:rPr>
                <w:b/>
                <w:sz w:val="18"/>
              </w:rPr>
              <w:t>Geobiocenologická typizace (vegetační stupeň, trofická řada, hydrická řada)</w:t>
            </w:r>
          </w:p>
          <w:p w14:paraId="55DD4A0F" w14:textId="77777777" w:rsidR="00E42A45" w:rsidRDefault="00E42A45" w:rsidP="00BB63DF">
            <w:pPr>
              <w:tabs>
                <w:tab w:val="left" w:pos="709"/>
              </w:tabs>
            </w:pPr>
            <w:r>
              <w:t xml:space="preserve">                       6AB3, 6AB4 (5) </w:t>
            </w:r>
          </w:p>
        </w:tc>
        <w:tc>
          <w:tcPr>
            <w:tcW w:w="7072" w:type="dxa"/>
            <w:gridSpan w:val="2"/>
            <w:shd w:val="clear" w:color="auto" w:fill="FFFFFF"/>
          </w:tcPr>
          <w:p w14:paraId="256F0016" w14:textId="77777777" w:rsidR="00E42A45" w:rsidRDefault="00E42A45" w:rsidP="00BB63DF">
            <w:pPr>
              <w:tabs>
                <w:tab w:val="left" w:pos="709"/>
              </w:tabs>
            </w:pPr>
          </w:p>
        </w:tc>
      </w:tr>
      <w:tr w:rsidR="00E42A45" w14:paraId="1586EB9F" w14:textId="77777777" w:rsidTr="00BB63DF">
        <w:tc>
          <w:tcPr>
            <w:tcW w:w="14144" w:type="dxa"/>
            <w:gridSpan w:val="3"/>
          </w:tcPr>
          <w:p w14:paraId="294DF4FB" w14:textId="77777777" w:rsidR="00E42A45" w:rsidRDefault="00E42A45" w:rsidP="00BB63DF">
            <w:pPr>
              <w:tabs>
                <w:tab w:val="left" w:pos="709"/>
              </w:tabs>
              <w:rPr>
                <w:sz w:val="20"/>
              </w:rPr>
            </w:pPr>
            <w:r>
              <w:rPr>
                <w:b/>
                <w:sz w:val="18"/>
              </w:rPr>
              <w:t xml:space="preserve">Charakter ekotopu a </w:t>
            </w:r>
            <w:r>
              <w:rPr>
                <w:b/>
                <w:sz w:val="20"/>
              </w:rPr>
              <w:t>bioty</w:t>
            </w:r>
            <w:r>
              <w:rPr>
                <w:sz w:val="20"/>
              </w:rPr>
              <w:t xml:space="preserve">      </w:t>
            </w:r>
          </w:p>
          <w:p w14:paraId="2EBC0106" w14:textId="77777777" w:rsidR="00E42A45" w:rsidRDefault="00E42A45" w:rsidP="00BB63DF">
            <w:pPr>
              <w:tabs>
                <w:tab w:val="left" w:pos="709"/>
              </w:tabs>
              <w:rPr>
                <w:sz w:val="20"/>
              </w:rPr>
            </w:pPr>
            <w:r>
              <w:rPr>
                <w:sz w:val="20"/>
              </w:rPr>
              <w:t xml:space="preserve"> Lesní porosty jihozápadně od Kristina Hrádku, na JZ straně ohraničené Liščím potokem. Biocentrum je situováno na mírném SZ orientovaném svahu se sklonem pouze kolem 3%.   V severní části biocentra pramení pravostranný přítok Liščího potoka.  Charakter obou vodních toků je vesměs přírodní bez významnější regulačních zásahů.  Podél vodních toků vznikají polopropustné bariéry z důvodu změny hydrického gradientu  </w:t>
            </w:r>
          </w:p>
          <w:p w14:paraId="7D8013B9" w14:textId="77777777" w:rsidR="00E42A45" w:rsidRDefault="00E42A45" w:rsidP="00BB63DF">
            <w:pPr>
              <w:tabs>
                <w:tab w:val="left" w:pos="709"/>
              </w:tabs>
              <w:rPr>
                <w:sz w:val="20"/>
              </w:rPr>
            </w:pPr>
            <w:r>
              <w:rPr>
                <w:sz w:val="20"/>
              </w:rPr>
              <w:t xml:space="preserve">                                             </w:t>
            </w:r>
          </w:p>
          <w:p w14:paraId="3581AA87" w14:textId="77777777" w:rsidR="00E42A45" w:rsidRDefault="00E42A45" w:rsidP="00BB63DF">
            <w:pPr>
              <w:tabs>
                <w:tab w:val="left" w:pos="709"/>
              </w:tabs>
              <w:rPr>
                <w:sz w:val="20"/>
              </w:rPr>
            </w:pPr>
            <w:r>
              <w:rPr>
                <w:sz w:val="20"/>
              </w:rPr>
              <w:t xml:space="preserve">SES = 3 - 4.   </w:t>
            </w:r>
          </w:p>
          <w:p w14:paraId="4A77BC82" w14:textId="77777777" w:rsidR="00E42A45" w:rsidRDefault="00E42A45" w:rsidP="00BB63DF">
            <w:pPr>
              <w:tabs>
                <w:tab w:val="left" w:pos="709"/>
              </w:tabs>
              <w:rPr>
                <w:sz w:val="20"/>
              </w:rPr>
            </w:pPr>
            <w:r>
              <w:rPr>
                <w:sz w:val="20"/>
              </w:rPr>
              <w:t>Lesní porost je tvořen následujícími dřevinami: BK, SM, BO, MD, SMP, SMO, s pestrou sk. 04 - SM, OL, BO, MD, JR, BR</w:t>
            </w:r>
          </w:p>
          <w:p w14:paraId="6E879B4B" w14:textId="77777777" w:rsidR="00E42A45" w:rsidRDefault="00E42A45" w:rsidP="00BB63DF">
            <w:pPr>
              <w:tabs>
                <w:tab w:val="left" w:pos="709"/>
              </w:tabs>
              <w:rPr>
                <w:sz w:val="20"/>
              </w:rPr>
            </w:pPr>
            <w:r>
              <w:rPr>
                <w:sz w:val="20"/>
              </w:rPr>
              <w:t xml:space="preserve"> </w:t>
            </w:r>
          </w:p>
          <w:p w14:paraId="635D84CE" w14:textId="77777777" w:rsidR="00E42A45" w:rsidRDefault="00E42A45" w:rsidP="00BB63DF">
            <w:pPr>
              <w:tabs>
                <w:tab w:val="left" w:pos="709"/>
              </w:tabs>
              <w:rPr>
                <w:sz w:val="20"/>
              </w:rPr>
            </w:pPr>
            <w:r>
              <w:rPr>
                <w:b/>
                <w:sz w:val="20"/>
              </w:rPr>
              <w:t>Zastoupené lesní typy</w:t>
            </w:r>
            <w:r>
              <w:rPr>
                <w:sz w:val="20"/>
              </w:rPr>
              <w:t xml:space="preserve">:                6K8(9) - kyselá smrková bučina                 6K4 - kyselá smrková bučina třtinová   </w:t>
            </w:r>
          </w:p>
          <w:p w14:paraId="15BCB6B8" w14:textId="77777777" w:rsidR="00E42A45" w:rsidRDefault="00E42A45" w:rsidP="00BB63DF">
            <w:pPr>
              <w:tabs>
                <w:tab w:val="left" w:pos="709"/>
              </w:tabs>
              <w:rPr>
                <w:sz w:val="20"/>
              </w:rPr>
            </w:pPr>
            <w:r>
              <w:rPr>
                <w:sz w:val="20"/>
              </w:rPr>
              <w:t xml:space="preserve">                                                          7G3 - podmáčená jedlová smrčina třtin. </w:t>
            </w:r>
          </w:p>
          <w:p w14:paraId="03BA6932" w14:textId="77777777" w:rsidR="00E42A45" w:rsidRDefault="00E42A45" w:rsidP="00BB63DF">
            <w:pPr>
              <w:tabs>
                <w:tab w:val="left" w:pos="709"/>
              </w:tabs>
              <w:rPr>
                <w:sz w:val="20"/>
              </w:rPr>
            </w:pPr>
          </w:p>
          <w:p w14:paraId="2162470F" w14:textId="77777777" w:rsidR="00E42A45" w:rsidRDefault="00E42A45" w:rsidP="00BB63DF">
            <w:pPr>
              <w:tabs>
                <w:tab w:val="left" w:pos="709"/>
              </w:tabs>
              <w:rPr>
                <w:sz w:val="20"/>
              </w:rPr>
            </w:pPr>
            <w:r>
              <w:rPr>
                <w:sz w:val="20"/>
              </w:rPr>
              <w:t xml:space="preserve">Hnědé půdy rašelinné podzolované oligotrofní horské a rašelinný glej </w:t>
            </w:r>
          </w:p>
          <w:p w14:paraId="524CBE26" w14:textId="77777777" w:rsidR="00E42A45" w:rsidRDefault="00E42A45" w:rsidP="00BB63DF">
            <w:pPr>
              <w:tabs>
                <w:tab w:val="left" w:pos="709"/>
              </w:tabs>
              <w:rPr>
                <w:sz w:val="20"/>
              </w:rPr>
            </w:pPr>
          </w:p>
          <w:p w14:paraId="65279E61" w14:textId="77777777" w:rsidR="00E42A45" w:rsidRDefault="00E42A45" w:rsidP="00BB63DF">
            <w:pPr>
              <w:tabs>
                <w:tab w:val="left" w:pos="709"/>
              </w:tabs>
              <w:rPr>
                <w:i/>
                <w:sz w:val="20"/>
              </w:rPr>
            </w:pPr>
            <w:r>
              <w:rPr>
                <w:sz w:val="20"/>
              </w:rPr>
              <w:t xml:space="preserve">Bot.: </w:t>
            </w:r>
            <w:r>
              <w:rPr>
                <w:i/>
                <w:sz w:val="20"/>
              </w:rPr>
              <w:t xml:space="preserve"> Dryopteris spinulosa, Vaccinium myrtillus, Gallum hercynicum, Sphagnum sp., Trientaliseuropea, Deschampsia </w:t>
            </w:r>
          </w:p>
          <w:p w14:paraId="3BF3E2A1" w14:textId="77777777" w:rsidR="00E42A45" w:rsidRDefault="00E42A45" w:rsidP="00BB63DF">
            <w:pPr>
              <w:tabs>
                <w:tab w:val="left" w:pos="709"/>
              </w:tabs>
              <w:rPr>
                <w:i/>
                <w:sz w:val="20"/>
              </w:rPr>
            </w:pPr>
            <w:r>
              <w:rPr>
                <w:i/>
                <w:sz w:val="20"/>
              </w:rPr>
              <w:t xml:space="preserve">          flexuosa, Blechnum spicant, Carex sp.</w:t>
            </w:r>
          </w:p>
          <w:p w14:paraId="164A09D7" w14:textId="77777777" w:rsidR="00E42A45" w:rsidRDefault="00E42A45" w:rsidP="00BB63DF">
            <w:pPr>
              <w:tabs>
                <w:tab w:val="left" w:pos="709"/>
              </w:tabs>
              <w:rPr>
                <w:b/>
                <w:sz w:val="20"/>
              </w:rPr>
            </w:pPr>
          </w:p>
          <w:p w14:paraId="31683E4B" w14:textId="77777777" w:rsidR="00E42A45" w:rsidRPr="00B4044B" w:rsidRDefault="00E42A45" w:rsidP="00BB63DF">
            <w:pPr>
              <w:pStyle w:val="Zkladntext"/>
              <w:rPr>
                <w:b/>
              </w:rPr>
            </w:pPr>
            <w:r w:rsidRPr="00B4044B">
              <w:rPr>
                <w:b/>
              </w:rPr>
              <w:t xml:space="preserve">Návrh opatření : </w:t>
            </w:r>
          </w:p>
          <w:p w14:paraId="072A9E23" w14:textId="77777777" w:rsidR="00E42A45" w:rsidRDefault="00E42A45" w:rsidP="00BB63DF">
            <w:pPr>
              <w:tabs>
                <w:tab w:val="left" w:pos="709"/>
              </w:tabs>
              <w:rPr>
                <w:b/>
                <w:sz w:val="20"/>
              </w:rPr>
            </w:pPr>
            <w:r>
              <w:rPr>
                <w:b/>
                <w:sz w:val="20"/>
              </w:rPr>
              <w:t>Dřeviny přirozené rekonstruované skladby podle SLT: 6K - SM4, BK4, JD2, JR              7G - SM8, JD2, OL</w:t>
            </w:r>
          </w:p>
          <w:p w14:paraId="090164DB" w14:textId="77777777" w:rsidR="00E42A45" w:rsidRDefault="00E42A45" w:rsidP="00BB63DF">
            <w:pPr>
              <w:tabs>
                <w:tab w:val="left" w:pos="709"/>
              </w:tabs>
            </w:pPr>
            <w:r>
              <w:rPr>
                <w:b/>
                <w:sz w:val="20"/>
              </w:rPr>
              <w:t>Opatření v porostu ve smyslu Generelu rekonstrukce, který je promítnut v platném LHP, s postupnou náhradou dřevin mimo přirozenou dřevinnou skladbu   -  výchovná opatření.</w:t>
            </w:r>
            <w:r>
              <w:t xml:space="preserve">                           </w:t>
            </w:r>
          </w:p>
        </w:tc>
      </w:tr>
      <w:tr w:rsidR="00E42A45" w14:paraId="1BB73324" w14:textId="77777777" w:rsidTr="00BB63DF">
        <w:tc>
          <w:tcPr>
            <w:tcW w:w="7072" w:type="dxa"/>
            <w:shd w:val="clear" w:color="auto" w:fill="FFFFFF"/>
          </w:tcPr>
          <w:p w14:paraId="7409DFDE" w14:textId="77777777" w:rsidR="00E42A45" w:rsidRDefault="00E42A45" w:rsidP="00BB63DF">
            <w:pPr>
              <w:tabs>
                <w:tab w:val="left" w:pos="709"/>
              </w:tabs>
              <w:rPr>
                <w:sz w:val="20"/>
              </w:rPr>
            </w:pPr>
            <w:r>
              <w:rPr>
                <w:sz w:val="18"/>
              </w:rPr>
              <w:lastRenderedPageBreak/>
              <w:t>Vymezení</w:t>
            </w:r>
            <w:r>
              <w:t xml:space="preserve">                   </w:t>
            </w:r>
            <w:r>
              <w:rPr>
                <w:sz w:val="20"/>
              </w:rPr>
              <w:t>LS Polesí Sněžník, 201/C</w:t>
            </w:r>
          </w:p>
        </w:tc>
        <w:tc>
          <w:tcPr>
            <w:tcW w:w="7072" w:type="dxa"/>
            <w:gridSpan w:val="2"/>
            <w:shd w:val="clear" w:color="auto" w:fill="FFFFFF"/>
          </w:tcPr>
          <w:p w14:paraId="39DE2ED3" w14:textId="77777777" w:rsidR="00E42A45" w:rsidRDefault="00E42A45" w:rsidP="00BB63DF">
            <w:pPr>
              <w:tabs>
                <w:tab w:val="left" w:pos="709"/>
              </w:tabs>
              <w:rPr>
                <w:sz w:val="20"/>
              </w:rPr>
            </w:pPr>
            <w:r>
              <w:rPr>
                <w:sz w:val="18"/>
              </w:rPr>
              <w:t xml:space="preserve">Kultura                     </w:t>
            </w:r>
            <w:r>
              <w:rPr>
                <w:sz w:val="20"/>
              </w:rPr>
              <w:t xml:space="preserve">les </w:t>
            </w:r>
          </w:p>
        </w:tc>
      </w:tr>
      <w:tr w:rsidR="00E42A45" w14:paraId="6E4A1E71" w14:textId="77777777" w:rsidTr="00BB63DF">
        <w:tc>
          <w:tcPr>
            <w:tcW w:w="7072" w:type="dxa"/>
            <w:shd w:val="clear" w:color="auto" w:fill="FFFFFF"/>
          </w:tcPr>
          <w:p w14:paraId="5E31A16D" w14:textId="77777777" w:rsidR="00E42A45" w:rsidRDefault="00E42A45" w:rsidP="00BB63DF">
            <w:pPr>
              <w:tabs>
                <w:tab w:val="left" w:pos="709"/>
              </w:tabs>
              <w:rPr>
                <w:sz w:val="20"/>
              </w:rPr>
            </w:pPr>
            <w:r>
              <w:rPr>
                <w:sz w:val="18"/>
              </w:rPr>
              <w:t>Uživatel</w:t>
            </w:r>
            <w:r>
              <w:t xml:space="preserve">                                                    </w:t>
            </w:r>
            <w:r>
              <w:rPr>
                <w:sz w:val="20"/>
              </w:rPr>
              <w:t>LČR</w:t>
            </w:r>
          </w:p>
          <w:p w14:paraId="310AB907" w14:textId="77777777" w:rsidR="00E42A45" w:rsidRDefault="00E42A45" w:rsidP="00BB63DF">
            <w:pPr>
              <w:tabs>
                <w:tab w:val="left" w:pos="709"/>
              </w:tabs>
              <w:rPr>
                <w:sz w:val="20"/>
              </w:rPr>
            </w:pPr>
          </w:p>
        </w:tc>
        <w:tc>
          <w:tcPr>
            <w:tcW w:w="7072" w:type="dxa"/>
            <w:gridSpan w:val="2"/>
            <w:shd w:val="clear" w:color="auto" w:fill="FFFFFF"/>
          </w:tcPr>
          <w:p w14:paraId="036900A3" w14:textId="77777777" w:rsidR="00E42A45" w:rsidRDefault="00E42A45" w:rsidP="00BB63DF">
            <w:pPr>
              <w:tabs>
                <w:tab w:val="left" w:pos="709"/>
              </w:tabs>
              <w:rPr>
                <w:sz w:val="18"/>
              </w:rPr>
            </w:pPr>
            <w:r>
              <w:rPr>
                <w:sz w:val="18"/>
              </w:rPr>
              <w:t>Mapovatel                Sklenička, Linhart, 1997</w:t>
            </w:r>
          </w:p>
        </w:tc>
      </w:tr>
      <w:tr w:rsidR="00E42A45" w14:paraId="421BC0F9" w14:textId="77777777" w:rsidTr="00BB63DF">
        <w:tc>
          <w:tcPr>
            <w:tcW w:w="14144" w:type="dxa"/>
            <w:gridSpan w:val="3"/>
            <w:shd w:val="clear" w:color="auto" w:fill="FFFFFF"/>
          </w:tcPr>
          <w:p w14:paraId="2C7EBBDB" w14:textId="77777777" w:rsidR="00E42A45" w:rsidRDefault="00E42A45" w:rsidP="00BB63DF">
            <w:pPr>
              <w:tabs>
                <w:tab w:val="left" w:pos="709"/>
              </w:tabs>
            </w:pPr>
            <w:r>
              <w:rPr>
                <w:sz w:val="18"/>
              </w:rPr>
              <w:t>Kategorie ochrany, rok vyhlášení</w:t>
            </w:r>
          </w:p>
          <w:p w14:paraId="14F97C21" w14:textId="77777777" w:rsidR="00E42A45" w:rsidRDefault="00E42A45" w:rsidP="00BB63DF">
            <w:pPr>
              <w:tabs>
                <w:tab w:val="left" w:pos="709"/>
              </w:tabs>
              <w:rPr>
                <w:b/>
                <w:sz w:val="20"/>
              </w:rPr>
            </w:pPr>
            <w:r>
              <w:t xml:space="preserve">                                                                               </w:t>
            </w:r>
            <w:r>
              <w:rPr>
                <w:b/>
                <w:sz w:val="20"/>
              </w:rPr>
              <w:t>CHKO Labské Pískovce - III. zóna</w:t>
            </w:r>
          </w:p>
        </w:tc>
      </w:tr>
    </w:tbl>
    <w:p w14:paraId="3DC6F922"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2D526CD7" w14:textId="77777777" w:rsidTr="00BB63DF">
        <w:tc>
          <w:tcPr>
            <w:tcW w:w="7072" w:type="dxa"/>
            <w:shd w:val="clear" w:color="auto" w:fill="FFFFFF"/>
          </w:tcPr>
          <w:p w14:paraId="15505DAD" w14:textId="77777777" w:rsidR="00E42A45" w:rsidRDefault="00E42A45" w:rsidP="00BB63DF">
            <w:pPr>
              <w:tabs>
                <w:tab w:val="left" w:pos="709"/>
              </w:tabs>
              <w:rPr>
                <w:sz w:val="18"/>
              </w:rPr>
            </w:pPr>
            <w:r>
              <w:rPr>
                <w:sz w:val="18"/>
              </w:rPr>
              <w:t>Pořadové číslo</w:t>
            </w:r>
          </w:p>
          <w:p w14:paraId="472684E6" w14:textId="77777777" w:rsidR="00E42A45" w:rsidRDefault="00E42A45" w:rsidP="00BB63DF">
            <w:pPr>
              <w:pStyle w:val="Podnadpis10"/>
              <w:keepNext w:val="0"/>
              <w:tabs>
                <w:tab w:val="left" w:pos="709"/>
              </w:tabs>
              <w:spacing w:before="0" w:after="0"/>
              <w:rPr>
                <w:caps w:val="0"/>
                <w:kern w:val="0"/>
              </w:rPr>
            </w:pPr>
            <w:r>
              <w:rPr>
                <w:caps w:val="0"/>
                <w:kern w:val="0"/>
              </w:rPr>
              <w:t xml:space="preserve">                                                      14</w:t>
            </w:r>
          </w:p>
        </w:tc>
        <w:tc>
          <w:tcPr>
            <w:tcW w:w="7072" w:type="dxa"/>
            <w:gridSpan w:val="2"/>
            <w:shd w:val="clear" w:color="auto" w:fill="FFFFFF"/>
          </w:tcPr>
          <w:p w14:paraId="2BC5373C" w14:textId="77777777" w:rsidR="00E42A45" w:rsidRDefault="00E42A45" w:rsidP="00BB63DF">
            <w:pPr>
              <w:tabs>
                <w:tab w:val="left" w:pos="709"/>
              </w:tabs>
              <w:rPr>
                <w:sz w:val="18"/>
              </w:rPr>
            </w:pPr>
            <w:r>
              <w:rPr>
                <w:sz w:val="18"/>
              </w:rPr>
              <w:t>Katastrální území</w:t>
            </w:r>
          </w:p>
          <w:p w14:paraId="47E4BDCE" w14:textId="77777777" w:rsidR="00E42A45" w:rsidRDefault="00E42A45" w:rsidP="00BB63DF">
            <w:pPr>
              <w:tabs>
                <w:tab w:val="left" w:pos="709"/>
              </w:tabs>
              <w:rPr>
                <w:b/>
                <w:sz w:val="18"/>
              </w:rPr>
            </w:pPr>
            <w:r>
              <w:rPr>
                <w:b/>
                <w:sz w:val="18"/>
              </w:rPr>
              <w:t xml:space="preserve">                                           </w:t>
            </w:r>
            <w:r>
              <w:rPr>
                <w:b/>
              </w:rPr>
              <w:t>Bynov</w:t>
            </w:r>
          </w:p>
        </w:tc>
      </w:tr>
      <w:tr w:rsidR="00E42A45" w14:paraId="39763924" w14:textId="77777777" w:rsidTr="00BB63DF">
        <w:tc>
          <w:tcPr>
            <w:tcW w:w="7072" w:type="dxa"/>
            <w:shd w:val="clear" w:color="auto" w:fill="FFFFFF"/>
          </w:tcPr>
          <w:p w14:paraId="4E264840" w14:textId="77777777" w:rsidR="00E42A45" w:rsidRDefault="00E42A45" w:rsidP="00BB63DF">
            <w:pPr>
              <w:tabs>
                <w:tab w:val="left" w:pos="709"/>
              </w:tabs>
              <w:rPr>
                <w:caps/>
                <w:sz w:val="18"/>
              </w:rPr>
            </w:pPr>
            <w:r>
              <w:rPr>
                <w:sz w:val="18"/>
              </w:rPr>
              <w:t>Název</w:t>
            </w:r>
          </w:p>
          <w:p w14:paraId="2DAE986B" w14:textId="77777777" w:rsidR="00E42A45" w:rsidRDefault="00E42A45" w:rsidP="00BB63DF">
            <w:pPr>
              <w:tabs>
                <w:tab w:val="left" w:pos="709"/>
              </w:tabs>
              <w:rPr>
                <w:b/>
                <w:caps/>
                <w:sz w:val="18"/>
              </w:rPr>
            </w:pPr>
            <w:r>
              <w:rPr>
                <w:b/>
                <w:caps/>
                <w:sz w:val="18"/>
              </w:rPr>
              <w:t xml:space="preserve">                     </w:t>
            </w:r>
            <w:r>
              <w:rPr>
                <w:b/>
                <w:caps/>
              </w:rPr>
              <w:t xml:space="preserve">                                               Bučina</w:t>
            </w:r>
          </w:p>
        </w:tc>
        <w:tc>
          <w:tcPr>
            <w:tcW w:w="3536" w:type="dxa"/>
            <w:shd w:val="clear" w:color="auto" w:fill="FFFFFF"/>
          </w:tcPr>
          <w:p w14:paraId="1E19FA32" w14:textId="77777777" w:rsidR="00E42A45" w:rsidRDefault="00E42A45" w:rsidP="00BB63DF">
            <w:pPr>
              <w:tabs>
                <w:tab w:val="left" w:pos="709"/>
              </w:tabs>
              <w:rPr>
                <w:sz w:val="18"/>
              </w:rPr>
            </w:pPr>
            <w:r>
              <w:rPr>
                <w:sz w:val="18"/>
              </w:rPr>
              <w:t xml:space="preserve">Mapový list           </w:t>
            </w:r>
          </w:p>
          <w:p w14:paraId="65A001EA" w14:textId="77777777" w:rsidR="00E42A45" w:rsidRDefault="00E42A45" w:rsidP="00BB63DF">
            <w:pPr>
              <w:tabs>
                <w:tab w:val="left" w:pos="709"/>
              </w:tabs>
              <w:rPr>
                <w:sz w:val="20"/>
              </w:rPr>
            </w:pPr>
            <w:r>
              <w:rPr>
                <w:sz w:val="18"/>
              </w:rPr>
              <w:t xml:space="preserve">                            </w:t>
            </w:r>
            <w:r>
              <w:rPr>
                <w:sz w:val="20"/>
              </w:rPr>
              <w:t>02-23-13</w:t>
            </w:r>
          </w:p>
        </w:tc>
        <w:tc>
          <w:tcPr>
            <w:tcW w:w="3536" w:type="dxa"/>
            <w:shd w:val="clear" w:color="auto" w:fill="FFFFFF"/>
          </w:tcPr>
          <w:p w14:paraId="46765F39" w14:textId="77777777" w:rsidR="00E42A45" w:rsidRDefault="00E42A45" w:rsidP="00BB63DF">
            <w:pPr>
              <w:tabs>
                <w:tab w:val="left" w:pos="709"/>
              </w:tabs>
              <w:rPr>
                <w:sz w:val="18"/>
              </w:rPr>
            </w:pPr>
            <w:r>
              <w:rPr>
                <w:sz w:val="18"/>
              </w:rPr>
              <w:t xml:space="preserve">Výměra             </w:t>
            </w:r>
          </w:p>
          <w:p w14:paraId="462FF927" w14:textId="77777777" w:rsidR="00E42A45" w:rsidRDefault="00E42A45" w:rsidP="00BB63DF">
            <w:pPr>
              <w:tabs>
                <w:tab w:val="left" w:pos="709"/>
              </w:tabs>
              <w:rPr>
                <w:b/>
                <w:sz w:val="20"/>
              </w:rPr>
            </w:pPr>
            <w:r>
              <w:rPr>
                <w:sz w:val="18"/>
              </w:rPr>
              <w:t xml:space="preserve">                     </w:t>
            </w:r>
            <w:r>
              <w:rPr>
                <w:b/>
                <w:sz w:val="20"/>
              </w:rPr>
              <w:t>13,73 ha</w:t>
            </w:r>
          </w:p>
        </w:tc>
      </w:tr>
      <w:tr w:rsidR="00E42A45" w14:paraId="7891DE84" w14:textId="77777777" w:rsidTr="00BB63DF">
        <w:tc>
          <w:tcPr>
            <w:tcW w:w="7072" w:type="dxa"/>
            <w:shd w:val="clear" w:color="auto" w:fill="FFFFFF"/>
          </w:tcPr>
          <w:p w14:paraId="077AEA1B" w14:textId="77777777" w:rsidR="00E42A45" w:rsidRDefault="00E42A45" w:rsidP="00BB63DF">
            <w:pPr>
              <w:tabs>
                <w:tab w:val="left" w:pos="709"/>
              </w:tabs>
              <w:rPr>
                <w:sz w:val="20"/>
              </w:rPr>
            </w:pPr>
            <w:r>
              <w:rPr>
                <w:sz w:val="20"/>
              </w:rPr>
              <w:t>EVKP - ekologicky významný krajinný prvek</w:t>
            </w:r>
          </w:p>
          <w:p w14:paraId="1173C0FD" w14:textId="77777777" w:rsidR="00E42A45" w:rsidRDefault="00E42A45" w:rsidP="00BB63DF">
            <w:pPr>
              <w:tabs>
                <w:tab w:val="left" w:pos="709"/>
              </w:tabs>
              <w:rPr>
                <w:sz w:val="20"/>
              </w:rPr>
            </w:pPr>
            <w:r>
              <w:rPr>
                <w:sz w:val="20"/>
              </w:rPr>
              <w:t>EVKC - ekologicky významný krajinný celek</w:t>
            </w:r>
          </w:p>
          <w:p w14:paraId="20BF5FB6" w14:textId="77777777" w:rsidR="00E42A45" w:rsidRPr="002D7515" w:rsidRDefault="00E42A45" w:rsidP="00BB63DF">
            <w:pPr>
              <w:pStyle w:val="Nadpis6"/>
            </w:pPr>
            <w:r w:rsidRPr="002D7515">
              <w:t>EVKO - ekologicky významná krajinná oblast</w:t>
            </w:r>
          </w:p>
          <w:p w14:paraId="68C78CA0"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4A6AC937" w14:textId="77777777" w:rsidR="00E42A45" w:rsidRDefault="00E42A45" w:rsidP="00BB63DF">
            <w:pPr>
              <w:tabs>
                <w:tab w:val="left" w:pos="709"/>
              </w:tabs>
            </w:pPr>
            <w:r>
              <w:t>Biogeografický význam</w:t>
            </w:r>
          </w:p>
          <w:p w14:paraId="7DB61CD1" w14:textId="77777777" w:rsidR="00E42A45" w:rsidRDefault="00E42A45" w:rsidP="00BB63DF">
            <w:pPr>
              <w:tabs>
                <w:tab w:val="left" w:pos="709"/>
              </w:tabs>
              <w:rPr>
                <w:b/>
              </w:rPr>
            </w:pPr>
            <w:r>
              <w:t xml:space="preserve">       </w:t>
            </w:r>
            <w:r>
              <w:rPr>
                <w:b/>
              </w:rPr>
              <w:t>- lokální, reprezentativní</w:t>
            </w:r>
          </w:p>
          <w:p w14:paraId="4E7C75F6" w14:textId="77777777" w:rsidR="00E42A45" w:rsidRDefault="00E42A45" w:rsidP="00BB63DF">
            <w:pPr>
              <w:tabs>
                <w:tab w:val="left" w:pos="709"/>
              </w:tabs>
              <w:ind w:left="345"/>
              <w:rPr>
                <w:sz w:val="20"/>
              </w:rPr>
            </w:pPr>
            <w:r>
              <w:t xml:space="preserve"> </w:t>
            </w:r>
            <w:r>
              <w:rPr>
                <w:sz w:val="20"/>
              </w:rPr>
              <w:t>-  regionální</w:t>
            </w:r>
          </w:p>
          <w:p w14:paraId="17C637E9" w14:textId="77777777" w:rsidR="00E42A45" w:rsidRDefault="00E42A45" w:rsidP="00BB63DF">
            <w:pPr>
              <w:tabs>
                <w:tab w:val="left" w:pos="709"/>
              </w:tabs>
              <w:ind w:left="345"/>
            </w:pPr>
            <w:r>
              <w:rPr>
                <w:sz w:val="20"/>
              </w:rPr>
              <w:t xml:space="preserve"> - nadregionální</w:t>
            </w:r>
          </w:p>
        </w:tc>
        <w:tc>
          <w:tcPr>
            <w:tcW w:w="3536" w:type="dxa"/>
            <w:shd w:val="clear" w:color="auto" w:fill="FFFFFF"/>
          </w:tcPr>
          <w:p w14:paraId="2A5B9B72" w14:textId="77777777" w:rsidR="00E42A45" w:rsidRDefault="00E42A45" w:rsidP="00BB63DF">
            <w:pPr>
              <w:tabs>
                <w:tab w:val="left" w:pos="709"/>
              </w:tabs>
              <w:rPr>
                <w:sz w:val="18"/>
              </w:rPr>
            </w:pPr>
            <w:r>
              <w:rPr>
                <w:sz w:val="18"/>
              </w:rPr>
              <w:t>Stav</w:t>
            </w:r>
          </w:p>
          <w:p w14:paraId="176727ED" w14:textId="77777777" w:rsidR="00E42A45" w:rsidRDefault="00E42A45" w:rsidP="00BB63DF">
            <w:pPr>
              <w:tabs>
                <w:tab w:val="left" w:pos="709"/>
              </w:tabs>
              <w:ind w:left="405"/>
              <w:rPr>
                <w:b/>
              </w:rPr>
            </w:pPr>
            <w:r>
              <w:rPr>
                <w:b/>
              </w:rPr>
              <w:t>-  funkčně vymezený</w:t>
            </w:r>
          </w:p>
          <w:p w14:paraId="6B737BD2" w14:textId="77777777" w:rsidR="00E42A45" w:rsidRDefault="00E42A45" w:rsidP="00BB63DF">
            <w:pPr>
              <w:tabs>
                <w:tab w:val="left" w:pos="709"/>
              </w:tabs>
              <w:rPr>
                <w:sz w:val="20"/>
              </w:rPr>
            </w:pPr>
            <w:r>
              <w:t xml:space="preserve">       </w:t>
            </w:r>
            <w:r>
              <w:rPr>
                <w:sz w:val="20"/>
              </w:rPr>
              <w:t xml:space="preserve">-  semifunkční    </w:t>
            </w:r>
          </w:p>
          <w:p w14:paraId="4862277E" w14:textId="77777777" w:rsidR="00E42A45" w:rsidRDefault="00E42A45" w:rsidP="00BB63DF">
            <w:pPr>
              <w:tabs>
                <w:tab w:val="left" w:pos="709"/>
              </w:tabs>
            </w:pPr>
            <w:r>
              <w:rPr>
                <w:sz w:val="20"/>
              </w:rPr>
              <w:t xml:space="preserve">        -  navržený</w:t>
            </w:r>
          </w:p>
        </w:tc>
      </w:tr>
      <w:tr w:rsidR="00E42A45" w14:paraId="2E0CB7CE" w14:textId="77777777" w:rsidTr="00BB63DF">
        <w:tc>
          <w:tcPr>
            <w:tcW w:w="7072" w:type="dxa"/>
            <w:shd w:val="clear" w:color="auto" w:fill="FFFFFF"/>
          </w:tcPr>
          <w:p w14:paraId="0F1274AD" w14:textId="77777777" w:rsidR="00E42A45" w:rsidRDefault="00E42A45" w:rsidP="00BB63DF">
            <w:pPr>
              <w:tabs>
                <w:tab w:val="left" w:pos="709"/>
              </w:tabs>
              <w:rPr>
                <w:b/>
                <w:sz w:val="18"/>
              </w:rPr>
            </w:pPr>
            <w:r>
              <w:rPr>
                <w:b/>
                <w:sz w:val="18"/>
              </w:rPr>
              <w:t>Geobiocenologická typizace (vegetační stupeň, trofická řada, hydrická řada)</w:t>
            </w:r>
          </w:p>
          <w:p w14:paraId="5212DB1A" w14:textId="77777777" w:rsidR="00E42A45" w:rsidRDefault="00E42A45" w:rsidP="00BB63DF">
            <w:pPr>
              <w:tabs>
                <w:tab w:val="left" w:pos="709"/>
              </w:tabs>
            </w:pPr>
            <w:r>
              <w:t xml:space="preserve">                       6AB3, 6AB4 (5) </w:t>
            </w:r>
          </w:p>
        </w:tc>
        <w:tc>
          <w:tcPr>
            <w:tcW w:w="7072" w:type="dxa"/>
            <w:gridSpan w:val="2"/>
            <w:shd w:val="clear" w:color="auto" w:fill="FFFFFF"/>
          </w:tcPr>
          <w:p w14:paraId="386C4E83" w14:textId="77777777" w:rsidR="00E42A45" w:rsidRDefault="00E42A45" w:rsidP="00BB63DF">
            <w:pPr>
              <w:tabs>
                <w:tab w:val="left" w:pos="709"/>
              </w:tabs>
            </w:pPr>
          </w:p>
        </w:tc>
      </w:tr>
      <w:tr w:rsidR="00E42A45" w14:paraId="520130F3" w14:textId="77777777" w:rsidTr="00BB63DF">
        <w:tc>
          <w:tcPr>
            <w:tcW w:w="14144" w:type="dxa"/>
            <w:gridSpan w:val="3"/>
          </w:tcPr>
          <w:p w14:paraId="38F426DD" w14:textId="77777777" w:rsidR="00E42A45" w:rsidRDefault="00E42A45" w:rsidP="00BB63DF">
            <w:pPr>
              <w:tabs>
                <w:tab w:val="left" w:pos="709"/>
              </w:tabs>
              <w:rPr>
                <w:b/>
                <w:sz w:val="20"/>
              </w:rPr>
            </w:pPr>
          </w:p>
          <w:p w14:paraId="0983BBA3" w14:textId="77777777" w:rsidR="00E42A45" w:rsidRDefault="00E42A45" w:rsidP="00BB63DF">
            <w:pPr>
              <w:tabs>
                <w:tab w:val="left" w:pos="709"/>
              </w:tabs>
              <w:rPr>
                <w:sz w:val="20"/>
              </w:rPr>
            </w:pPr>
            <w:r>
              <w:rPr>
                <w:b/>
                <w:sz w:val="20"/>
              </w:rPr>
              <w:t>Charakter ekotopu a bioty</w:t>
            </w:r>
            <w:r>
              <w:rPr>
                <w:sz w:val="20"/>
              </w:rPr>
              <w:t xml:space="preserve"> </w:t>
            </w:r>
          </w:p>
          <w:p w14:paraId="1DC21D68" w14:textId="77777777" w:rsidR="00E42A45" w:rsidRDefault="00E42A45" w:rsidP="00BB63DF">
            <w:pPr>
              <w:tabs>
                <w:tab w:val="left" w:pos="709"/>
              </w:tabs>
              <w:rPr>
                <w:sz w:val="20"/>
              </w:rPr>
            </w:pPr>
            <w:r>
              <w:rPr>
                <w:sz w:val="20"/>
              </w:rPr>
              <w:t xml:space="preserve"> Lesní porost situovaný v pramenné části Mlžného potoka mezi jeho dvěma prameny na severně exponovaném mírném hřbetě.  Nadmořská výška biocentra se pohybuje od 430 do 442 m, sklon svahů je v průměru 3%.    Charakter obou vodních toků je vesměs přírodní bez významnější regulačních zásahů.  Podél vodních toků vznikají polopropustné bariéry z důvodu změny hydrického gradientu.                                                            </w:t>
            </w:r>
          </w:p>
          <w:p w14:paraId="3AEED34E" w14:textId="77777777" w:rsidR="00E42A45" w:rsidRDefault="00E42A45" w:rsidP="00BB63DF">
            <w:pPr>
              <w:tabs>
                <w:tab w:val="left" w:pos="709"/>
              </w:tabs>
              <w:rPr>
                <w:sz w:val="20"/>
              </w:rPr>
            </w:pPr>
            <w:r>
              <w:rPr>
                <w:sz w:val="20"/>
              </w:rPr>
              <w:t xml:space="preserve">                                                                                                           SES = 3 - 4.   </w:t>
            </w:r>
          </w:p>
          <w:p w14:paraId="772D3DD6" w14:textId="77777777" w:rsidR="00E42A45" w:rsidRDefault="00E42A45" w:rsidP="00BB63DF">
            <w:pPr>
              <w:tabs>
                <w:tab w:val="left" w:pos="709"/>
              </w:tabs>
              <w:rPr>
                <w:sz w:val="20"/>
              </w:rPr>
            </w:pPr>
            <w:r>
              <w:rPr>
                <w:sz w:val="20"/>
              </w:rPr>
              <w:t>Lesní porost je tvořen následujícími dřevinami:  BK, MD, SM, BR, SMP, OL</w:t>
            </w:r>
          </w:p>
          <w:p w14:paraId="1DAA272A" w14:textId="77777777" w:rsidR="00E42A45" w:rsidRDefault="00E42A45" w:rsidP="00BB63DF">
            <w:pPr>
              <w:tabs>
                <w:tab w:val="left" w:pos="709"/>
              </w:tabs>
              <w:rPr>
                <w:sz w:val="20"/>
              </w:rPr>
            </w:pPr>
            <w:r>
              <w:rPr>
                <w:sz w:val="20"/>
              </w:rPr>
              <w:t xml:space="preserve"> </w:t>
            </w:r>
          </w:p>
          <w:p w14:paraId="23AD49CE" w14:textId="77777777" w:rsidR="00E42A45" w:rsidRDefault="00E42A45" w:rsidP="00BB63DF">
            <w:pPr>
              <w:tabs>
                <w:tab w:val="left" w:pos="709"/>
              </w:tabs>
              <w:rPr>
                <w:sz w:val="20"/>
              </w:rPr>
            </w:pPr>
            <w:r>
              <w:rPr>
                <w:b/>
                <w:sz w:val="20"/>
              </w:rPr>
              <w:t>Zastoupené lesní typy</w:t>
            </w:r>
            <w:r>
              <w:rPr>
                <w:sz w:val="20"/>
              </w:rPr>
              <w:t xml:space="preserve">:                6K4 - kyselá smrková bučina třtinová                          6G3 - podmáčená smrková jedlina třtinová </w:t>
            </w:r>
          </w:p>
          <w:p w14:paraId="49F52B9E" w14:textId="77777777" w:rsidR="00E42A45" w:rsidRDefault="00E42A45" w:rsidP="00BB63DF">
            <w:pPr>
              <w:tabs>
                <w:tab w:val="left" w:pos="709"/>
              </w:tabs>
              <w:rPr>
                <w:sz w:val="20"/>
              </w:rPr>
            </w:pPr>
          </w:p>
          <w:p w14:paraId="5D9726B0" w14:textId="77777777" w:rsidR="00E42A45" w:rsidRDefault="00E42A45" w:rsidP="00BB63DF">
            <w:pPr>
              <w:tabs>
                <w:tab w:val="left" w:pos="709"/>
              </w:tabs>
              <w:rPr>
                <w:sz w:val="20"/>
              </w:rPr>
            </w:pPr>
            <w:r>
              <w:rPr>
                <w:sz w:val="20"/>
              </w:rPr>
              <w:t xml:space="preserve">Hnědé půdy rašelinné podzolované oligotrofní horské a rašelinný glej </w:t>
            </w:r>
          </w:p>
          <w:p w14:paraId="0AB4030F" w14:textId="77777777" w:rsidR="00E42A45" w:rsidRDefault="00E42A45" w:rsidP="00BB63DF">
            <w:pPr>
              <w:tabs>
                <w:tab w:val="left" w:pos="709"/>
              </w:tabs>
              <w:rPr>
                <w:sz w:val="20"/>
              </w:rPr>
            </w:pPr>
          </w:p>
          <w:p w14:paraId="36E6171D" w14:textId="77777777" w:rsidR="00E42A45" w:rsidRDefault="00E42A45" w:rsidP="00BB63DF">
            <w:pPr>
              <w:tabs>
                <w:tab w:val="left" w:pos="709"/>
              </w:tabs>
              <w:rPr>
                <w:i/>
                <w:sz w:val="20"/>
              </w:rPr>
            </w:pPr>
            <w:r>
              <w:rPr>
                <w:sz w:val="20"/>
              </w:rPr>
              <w:t xml:space="preserve">Bot.: </w:t>
            </w:r>
            <w:r>
              <w:rPr>
                <w:i/>
                <w:sz w:val="20"/>
              </w:rPr>
              <w:t xml:space="preserve"> Dryopteris spinulosa, Vaccinium myrtillus, Gallum hercynicum, Sphagnum sp., Trientaliseuropea, Deschampsia </w:t>
            </w:r>
          </w:p>
          <w:p w14:paraId="34118402" w14:textId="77777777" w:rsidR="00E42A45" w:rsidRDefault="00E42A45" w:rsidP="00BB63DF">
            <w:pPr>
              <w:tabs>
                <w:tab w:val="left" w:pos="709"/>
              </w:tabs>
              <w:rPr>
                <w:i/>
                <w:sz w:val="20"/>
              </w:rPr>
            </w:pPr>
            <w:r>
              <w:rPr>
                <w:i/>
                <w:sz w:val="20"/>
              </w:rPr>
              <w:t xml:space="preserve">          flexuosa, Blechnum spicant, Carex sp.</w:t>
            </w:r>
          </w:p>
          <w:p w14:paraId="1F021DB7" w14:textId="77777777" w:rsidR="00E42A45" w:rsidRPr="00B4044B" w:rsidRDefault="00E42A45" w:rsidP="00BB63DF">
            <w:pPr>
              <w:pStyle w:val="Zkladntext"/>
              <w:rPr>
                <w:b/>
              </w:rPr>
            </w:pPr>
            <w:r>
              <w:rPr>
                <w:b/>
              </w:rPr>
              <w:t xml:space="preserve">Návrh opatření : </w:t>
            </w:r>
          </w:p>
          <w:p w14:paraId="2F3AB8EB" w14:textId="77777777" w:rsidR="00E42A45" w:rsidRDefault="00E42A45" w:rsidP="00BB63DF">
            <w:pPr>
              <w:tabs>
                <w:tab w:val="left" w:pos="709"/>
              </w:tabs>
              <w:rPr>
                <w:b/>
                <w:sz w:val="20"/>
              </w:rPr>
            </w:pPr>
            <w:r>
              <w:rPr>
                <w:b/>
                <w:sz w:val="20"/>
              </w:rPr>
              <w:t xml:space="preserve"> Dřeviny přirozené rekonstruované skladby podle SLT: 6K - SM4, BK4, JD2, JR              6G - SM5, JD4, BK (OL)1</w:t>
            </w:r>
          </w:p>
          <w:p w14:paraId="7AD4D520" w14:textId="77777777" w:rsidR="00E42A45" w:rsidRDefault="00E42A45" w:rsidP="00BB63DF">
            <w:pPr>
              <w:tabs>
                <w:tab w:val="left" w:pos="709"/>
              </w:tabs>
            </w:pPr>
            <w:r>
              <w:rPr>
                <w:b/>
                <w:sz w:val="20"/>
              </w:rPr>
              <w:t>Opatření v porostu ve smyslu Generelu rekonstrukce, který je promítnut v platném LHP, s postupnou náhradou dřevin mimo přirozenou dřevinnou skladbu   -  výchovná opatření.</w:t>
            </w:r>
            <w:r>
              <w:t xml:space="preserve">                       </w:t>
            </w:r>
          </w:p>
        </w:tc>
      </w:tr>
      <w:tr w:rsidR="00E42A45" w14:paraId="4FE6CAAC" w14:textId="77777777" w:rsidTr="00BB63DF">
        <w:tc>
          <w:tcPr>
            <w:tcW w:w="7072" w:type="dxa"/>
            <w:shd w:val="clear" w:color="auto" w:fill="FFFFFF"/>
          </w:tcPr>
          <w:p w14:paraId="12BFABBA" w14:textId="77777777" w:rsidR="00E42A45" w:rsidRDefault="00E42A45" w:rsidP="00BB63DF">
            <w:pPr>
              <w:tabs>
                <w:tab w:val="left" w:pos="709"/>
              </w:tabs>
              <w:rPr>
                <w:sz w:val="20"/>
              </w:rPr>
            </w:pPr>
            <w:r>
              <w:rPr>
                <w:sz w:val="18"/>
              </w:rPr>
              <w:t>Vymezení</w:t>
            </w:r>
            <w:r>
              <w:t xml:space="preserve">                </w:t>
            </w:r>
            <w:r>
              <w:rPr>
                <w:sz w:val="20"/>
              </w:rPr>
              <w:t>LS Polesí Sněžník, 132/A</w:t>
            </w:r>
          </w:p>
        </w:tc>
        <w:tc>
          <w:tcPr>
            <w:tcW w:w="7072" w:type="dxa"/>
            <w:gridSpan w:val="2"/>
            <w:shd w:val="clear" w:color="auto" w:fill="FFFFFF"/>
          </w:tcPr>
          <w:p w14:paraId="5E2BC30E" w14:textId="77777777" w:rsidR="00E42A45" w:rsidRDefault="00E42A45" w:rsidP="00BB63DF">
            <w:pPr>
              <w:tabs>
                <w:tab w:val="left" w:pos="709"/>
              </w:tabs>
              <w:rPr>
                <w:sz w:val="20"/>
              </w:rPr>
            </w:pPr>
            <w:r>
              <w:rPr>
                <w:sz w:val="18"/>
              </w:rPr>
              <w:t xml:space="preserve">Kultura                    </w:t>
            </w:r>
            <w:r>
              <w:rPr>
                <w:sz w:val="20"/>
              </w:rPr>
              <w:t xml:space="preserve">les </w:t>
            </w:r>
          </w:p>
        </w:tc>
      </w:tr>
      <w:tr w:rsidR="00E42A45" w14:paraId="6565EDE0" w14:textId="77777777" w:rsidTr="00BB63DF">
        <w:tc>
          <w:tcPr>
            <w:tcW w:w="7072" w:type="dxa"/>
            <w:shd w:val="clear" w:color="auto" w:fill="FFFFFF"/>
          </w:tcPr>
          <w:p w14:paraId="63FA1979" w14:textId="77777777" w:rsidR="00E42A45" w:rsidRDefault="00E42A45" w:rsidP="00BB63DF">
            <w:pPr>
              <w:tabs>
                <w:tab w:val="left" w:pos="709"/>
              </w:tabs>
              <w:rPr>
                <w:sz w:val="20"/>
              </w:rPr>
            </w:pPr>
            <w:r>
              <w:rPr>
                <w:sz w:val="18"/>
              </w:rPr>
              <w:lastRenderedPageBreak/>
              <w:t>Uživatel</w:t>
            </w:r>
            <w:r>
              <w:t xml:space="preserve">                                                 </w:t>
            </w:r>
            <w:r>
              <w:rPr>
                <w:sz w:val="20"/>
              </w:rPr>
              <w:t>LČR</w:t>
            </w:r>
          </w:p>
          <w:p w14:paraId="0CB033DE" w14:textId="77777777" w:rsidR="00E42A45" w:rsidRDefault="00E42A45" w:rsidP="00BB63DF">
            <w:pPr>
              <w:tabs>
                <w:tab w:val="left" w:pos="709"/>
              </w:tabs>
              <w:rPr>
                <w:sz w:val="20"/>
              </w:rPr>
            </w:pPr>
          </w:p>
        </w:tc>
        <w:tc>
          <w:tcPr>
            <w:tcW w:w="7072" w:type="dxa"/>
            <w:gridSpan w:val="2"/>
            <w:shd w:val="clear" w:color="auto" w:fill="FFFFFF"/>
          </w:tcPr>
          <w:p w14:paraId="5EC27741" w14:textId="77777777" w:rsidR="00E42A45" w:rsidRDefault="00E42A45" w:rsidP="00BB63DF">
            <w:pPr>
              <w:tabs>
                <w:tab w:val="left" w:pos="709"/>
              </w:tabs>
              <w:rPr>
                <w:sz w:val="18"/>
              </w:rPr>
            </w:pPr>
            <w:r>
              <w:rPr>
                <w:sz w:val="18"/>
              </w:rPr>
              <w:t>Mapovatel               Sklenička, Linhart, 1997</w:t>
            </w:r>
          </w:p>
        </w:tc>
      </w:tr>
      <w:tr w:rsidR="00E42A45" w14:paraId="7A4BA213" w14:textId="77777777" w:rsidTr="00BB63DF">
        <w:tc>
          <w:tcPr>
            <w:tcW w:w="14144" w:type="dxa"/>
            <w:gridSpan w:val="3"/>
            <w:shd w:val="clear" w:color="auto" w:fill="FFFFFF"/>
          </w:tcPr>
          <w:p w14:paraId="12638E7B" w14:textId="77777777" w:rsidR="00E42A45" w:rsidRDefault="00E42A45" w:rsidP="00BB63DF">
            <w:pPr>
              <w:tabs>
                <w:tab w:val="left" w:pos="709"/>
              </w:tabs>
            </w:pPr>
            <w:r>
              <w:rPr>
                <w:sz w:val="18"/>
              </w:rPr>
              <w:t>Kategorie ochrany, rok vyhlášení</w:t>
            </w:r>
          </w:p>
          <w:p w14:paraId="105DD1F0" w14:textId="77777777" w:rsidR="00E42A45" w:rsidRPr="002D7515" w:rsidRDefault="00E42A45" w:rsidP="00BB63DF">
            <w:pPr>
              <w:pStyle w:val="Nadpis7"/>
            </w:pPr>
            <w:r w:rsidRPr="002D7515">
              <w:t xml:space="preserve">                                                                                              CHKO Labské Pískovce - III. zóna</w:t>
            </w:r>
          </w:p>
        </w:tc>
      </w:tr>
    </w:tbl>
    <w:p w14:paraId="4295B474" w14:textId="77777777" w:rsidR="00E42A45" w:rsidRDefault="00E42A45" w:rsidP="00CA23D0">
      <w:pPr>
        <w:jc w:val="both"/>
        <w:rPr>
          <w:rFonts w:ascii="Arial" w:hAnsi="Arial" w:cs="Arial"/>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26A624B0" w14:textId="77777777" w:rsidTr="00BB63DF">
        <w:tc>
          <w:tcPr>
            <w:tcW w:w="7072" w:type="dxa"/>
            <w:shd w:val="clear" w:color="auto" w:fill="FFFFFF"/>
          </w:tcPr>
          <w:p w14:paraId="0438A23B" w14:textId="77777777" w:rsidR="00E42A45" w:rsidRDefault="00E42A45" w:rsidP="00BB63DF">
            <w:pPr>
              <w:tabs>
                <w:tab w:val="left" w:pos="709"/>
              </w:tabs>
              <w:rPr>
                <w:sz w:val="18"/>
              </w:rPr>
            </w:pPr>
            <w:r>
              <w:rPr>
                <w:sz w:val="18"/>
              </w:rPr>
              <w:t>Pořadové číslo</w:t>
            </w:r>
          </w:p>
          <w:p w14:paraId="0BB46DFB" w14:textId="77777777" w:rsidR="00E42A45" w:rsidRDefault="00E42A45" w:rsidP="00BB63DF">
            <w:pPr>
              <w:tabs>
                <w:tab w:val="left" w:pos="709"/>
              </w:tabs>
              <w:rPr>
                <w:sz w:val="18"/>
              </w:rPr>
            </w:pPr>
            <w:r>
              <w:t xml:space="preserve">                                                    </w:t>
            </w:r>
            <w:r>
              <w:rPr>
                <w:b/>
                <w:sz w:val="36"/>
              </w:rPr>
              <w:t xml:space="preserve">15 </w:t>
            </w:r>
            <w:r>
              <w:rPr>
                <w:sz w:val="18"/>
              </w:rPr>
              <w:t>(převzato z ÚSES Jílové u DC-č.1)</w:t>
            </w:r>
          </w:p>
        </w:tc>
        <w:tc>
          <w:tcPr>
            <w:tcW w:w="7072" w:type="dxa"/>
            <w:gridSpan w:val="2"/>
            <w:shd w:val="clear" w:color="auto" w:fill="FFFFFF"/>
          </w:tcPr>
          <w:p w14:paraId="23EBE0AC" w14:textId="77777777" w:rsidR="00E42A45" w:rsidRDefault="00E42A45" w:rsidP="00BB63DF">
            <w:pPr>
              <w:tabs>
                <w:tab w:val="left" w:pos="709"/>
              </w:tabs>
              <w:rPr>
                <w:sz w:val="18"/>
              </w:rPr>
            </w:pPr>
            <w:r>
              <w:rPr>
                <w:sz w:val="18"/>
              </w:rPr>
              <w:t>Katastrální území</w:t>
            </w:r>
          </w:p>
          <w:p w14:paraId="2B16D996" w14:textId="77777777" w:rsidR="00E42A45" w:rsidRDefault="00E42A45" w:rsidP="00BB63DF">
            <w:pPr>
              <w:tabs>
                <w:tab w:val="left" w:pos="709"/>
              </w:tabs>
              <w:rPr>
                <w:b/>
                <w:sz w:val="18"/>
              </w:rPr>
            </w:pPr>
            <w:r>
              <w:rPr>
                <w:b/>
                <w:sz w:val="18"/>
              </w:rPr>
              <w:t xml:space="preserve">                                     </w:t>
            </w:r>
            <w:r>
              <w:rPr>
                <w:b/>
              </w:rPr>
              <w:t xml:space="preserve">  Maxičky</w:t>
            </w:r>
          </w:p>
        </w:tc>
      </w:tr>
      <w:tr w:rsidR="00E42A45" w14:paraId="59C497F8" w14:textId="77777777" w:rsidTr="00BB63DF">
        <w:tc>
          <w:tcPr>
            <w:tcW w:w="7072" w:type="dxa"/>
            <w:shd w:val="clear" w:color="auto" w:fill="FFFFFF"/>
          </w:tcPr>
          <w:p w14:paraId="4EDA3B92" w14:textId="77777777" w:rsidR="00E42A45" w:rsidRDefault="00E42A45" w:rsidP="00BB63DF">
            <w:pPr>
              <w:tabs>
                <w:tab w:val="left" w:pos="709"/>
              </w:tabs>
              <w:rPr>
                <w:sz w:val="18"/>
              </w:rPr>
            </w:pPr>
            <w:r>
              <w:rPr>
                <w:sz w:val="18"/>
              </w:rPr>
              <w:t>Název</w:t>
            </w:r>
          </w:p>
          <w:p w14:paraId="252C1C65" w14:textId="77777777" w:rsidR="00E42A45" w:rsidRDefault="00E42A45" w:rsidP="00BB63DF">
            <w:pPr>
              <w:tabs>
                <w:tab w:val="left" w:pos="709"/>
              </w:tabs>
              <w:rPr>
                <w:b/>
                <w:caps/>
                <w:sz w:val="18"/>
              </w:rPr>
            </w:pPr>
            <w:r>
              <w:rPr>
                <w:b/>
                <w:caps/>
                <w:sz w:val="18"/>
              </w:rPr>
              <w:t xml:space="preserve">                              </w:t>
            </w:r>
            <w:r>
              <w:rPr>
                <w:b/>
                <w:caps/>
              </w:rPr>
              <w:t>Děčínský Sněžník</w:t>
            </w:r>
          </w:p>
        </w:tc>
        <w:tc>
          <w:tcPr>
            <w:tcW w:w="3536" w:type="dxa"/>
            <w:shd w:val="clear" w:color="auto" w:fill="FFFFFF"/>
          </w:tcPr>
          <w:p w14:paraId="284A05B1" w14:textId="77777777" w:rsidR="00E42A45" w:rsidRDefault="00E42A45" w:rsidP="00BB63DF">
            <w:pPr>
              <w:tabs>
                <w:tab w:val="left" w:pos="709"/>
              </w:tabs>
              <w:rPr>
                <w:sz w:val="18"/>
              </w:rPr>
            </w:pPr>
            <w:r>
              <w:rPr>
                <w:sz w:val="18"/>
              </w:rPr>
              <w:t xml:space="preserve">Mapový </w:t>
            </w:r>
            <w:r>
              <w:rPr>
                <w:sz w:val="20"/>
              </w:rPr>
              <w:t>list         02-23-13</w:t>
            </w:r>
          </w:p>
        </w:tc>
        <w:tc>
          <w:tcPr>
            <w:tcW w:w="3536" w:type="dxa"/>
            <w:shd w:val="clear" w:color="auto" w:fill="FFFFFF"/>
          </w:tcPr>
          <w:p w14:paraId="3AC91737" w14:textId="77777777" w:rsidR="00E42A45" w:rsidRDefault="00E42A45" w:rsidP="00BB63DF">
            <w:pPr>
              <w:tabs>
                <w:tab w:val="left" w:pos="709"/>
              </w:tabs>
              <w:rPr>
                <w:sz w:val="18"/>
              </w:rPr>
            </w:pPr>
            <w:r>
              <w:rPr>
                <w:sz w:val="18"/>
              </w:rPr>
              <w:t>Výměra</w:t>
            </w:r>
          </w:p>
          <w:p w14:paraId="4F8C707F" w14:textId="77777777" w:rsidR="00E42A45" w:rsidRDefault="00E42A45" w:rsidP="00BB63DF">
            <w:pPr>
              <w:tabs>
                <w:tab w:val="left" w:pos="709"/>
              </w:tabs>
              <w:rPr>
                <w:b/>
                <w:sz w:val="20"/>
              </w:rPr>
            </w:pPr>
            <w:r>
              <w:rPr>
                <w:b/>
                <w:sz w:val="20"/>
              </w:rPr>
              <w:t xml:space="preserve">                   204,55 ha</w:t>
            </w:r>
          </w:p>
        </w:tc>
      </w:tr>
      <w:tr w:rsidR="00E42A45" w14:paraId="22FBB3D9" w14:textId="77777777" w:rsidTr="00BB63DF">
        <w:tc>
          <w:tcPr>
            <w:tcW w:w="7072" w:type="dxa"/>
            <w:shd w:val="clear" w:color="auto" w:fill="FFFFFF"/>
          </w:tcPr>
          <w:p w14:paraId="6606EB25" w14:textId="77777777" w:rsidR="00E42A45" w:rsidRDefault="00E42A45" w:rsidP="00BB63DF">
            <w:pPr>
              <w:tabs>
                <w:tab w:val="left" w:pos="709"/>
              </w:tabs>
              <w:rPr>
                <w:sz w:val="20"/>
              </w:rPr>
            </w:pPr>
            <w:r>
              <w:rPr>
                <w:sz w:val="20"/>
              </w:rPr>
              <w:t>EVKP - ekologicky významný krajinný prvek</w:t>
            </w:r>
          </w:p>
          <w:p w14:paraId="3277D36B" w14:textId="77777777" w:rsidR="00E42A45" w:rsidRDefault="00E42A45" w:rsidP="00BB63DF">
            <w:pPr>
              <w:tabs>
                <w:tab w:val="left" w:pos="709"/>
              </w:tabs>
              <w:rPr>
                <w:sz w:val="20"/>
              </w:rPr>
            </w:pPr>
            <w:r>
              <w:rPr>
                <w:sz w:val="20"/>
              </w:rPr>
              <w:t>EVKC - ekologicky významný krajinný celek</w:t>
            </w:r>
          </w:p>
          <w:p w14:paraId="39F675B4" w14:textId="77777777" w:rsidR="00E42A45" w:rsidRPr="002D7515" w:rsidRDefault="00E42A45" w:rsidP="00BB63DF">
            <w:pPr>
              <w:pStyle w:val="Nadpis6"/>
            </w:pPr>
            <w:r w:rsidRPr="002D7515">
              <w:t>EVKO - ekologicky významná krajinná oblast</w:t>
            </w:r>
          </w:p>
          <w:p w14:paraId="3F0E5F52"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256B99F8" w14:textId="77777777" w:rsidR="00E42A45" w:rsidRDefault="00E42A45" w:rsidP="00BB63DF">
            <w:pPr>
              <w:pStyle w:val="Styl1"/>
              <w:tabs>
                <w:tab w:val="left" w:pos="709"/>
              </w:tabs>
              <w:rPr>
                <w:sz w:val="18"/>
              </w:rPr>
            </w:pPr>
            <w:r>
              <w:rPr>
                <w:sz w:val="18"/>
              </w:rPr>
              <w:t>Biogeografický význam</w:t>
            </w:r>
          </w:p>
          <w:p w14:paraId="2BFE7605" w14:textId="77777777" w:rsidR="00E42A45" w:rsidRDefault="00E42A45" w:rsidP="00BB63DF">
            <w:pPr>
              <w:tabs>
                <w:tab w:val="left" w:pos="709"/>
              </w:tabs>
              <w:rPr>
                <w:sz w:val="20"/>
              </w:rPr>
            </w:pPr>
            <w:r>
              <w:t xml:space="preserve">       </w:t>
            </w:r>
            <w:r>
              <w:rPr>
                <w:sz w:val="20"/>
              </w:rPr>
              <w:t>- lokální</w:t>
            </w:r>
          </w:p>
          <w:p w14:paraId="5C0256C3" w14:textId="77777777" w:rsidR="00E42A45" w:rsidRDefault="00E42A45" w:rsidP="00BB63DF">
            <w:pPr>
              <w:tabs>
                <w:tab w:val="left" w:pos="709"/>
              </w:tabs>
              <w:ind w:left="345"/>
              <w:rPr>
                <w:b/>
              </w:rPr>
            </w:pPr>
            <w:r>
              <w:t xml:space="preserve"> </w:t>
            </w:r>
            <w:r>
              <w:rPr>
                <w:b/>
              </w:rPr>
              <w:t>-  regionální, reprezentativní</w:t>
            </w:r>
          </w:p>
          <w:p w14:paraId="60C7527A" w14:textId="77777777" w:rsidR="00E42A45" w:rsidRDefault="00E42A45" w:rsidP="00BB63DF">
            <w:pPr>
              <w:tabs>
                <w:tab w:val="left" w:pos="709"/>
              </w:tabs>
              <w:ind w:left="345"/>
            </w:pPr>
            <w:r>
              <w:t xml:space="preserve"> - </w:t>
            </w:r>
            <w:r>
              <w:rPr>
                <w:sz w:val="20"/>
              </w:rPr>
              <w:t>nadregionální</w:t>
            </w:r>
          </w:p>
        </w:tc>
        <w:tc>
          <w:tcPr>
            <w:tcW w:w="3536" w:type="dxa"/>
            <w:shd w:val="clear" w:color="auto" w:fill="FFFFFF"/>
          </w:tcPr>
          <w:p w14:paraId="59B3F1C7" w14:textId="77777777" w:rsidR="00E42A45" w:rsidRDefault="00E42A45" w:rsidP="00BB63DF">
            <w:pPr>
              <w:tabs>
                <w:tab w:val="left" w:pos="709"/>
              </w:tabs>
              <w:rPr>
                <w:sz w:val="18"/>
              </w:rPr>
            </w:pPr>
            <w:r>
              <w:rPr>
                <w:sz w:val="18"/>
              </w:rPr>
              <w:t>Stav</w:t>
            </w:r>
          </w:p>
          <w:p w14:paraId="674F48DD" w14:textId="77777777" w:rsidR="00E42A45" w:rsidRDefault="00E42A45" w:rsidP="00BB63DF">
            <w:pPr>
              <w:tabs>
                <w:tab w:val="left" w:pos="709"/>
              </w:tabs>
              <w:ind w:left="405"/>
            </w:pPr>
            <w:r>
              <w:rPr>
                <w:b/>
              </w:rPr>
              <w:t>-  funkčně vymezený</w:t>
            </w:r>
          </w:p>
          <w:p w14:paraId="67AB43DD" w14:textId="77777777" w:rsidR="00E42A45" w:rsidRDefault="00E42A45" w:rsidP="00BB63DF">
            <w:pPr>
              <w:tabs>
                <w:tab w:val="left" w:pos="709"/>
              </w:tabs>
              <w:rPr>
                <w:sz w:val="20"/>
              </w:rPr>
            </w:pPr>
            <w:r>
              <w:rPr>
                <w:sz w:val="20"/>
              </w:rPr>
              <w:t xml:space="preserve">       -  semifunkční    </w:t>
            </w:r>
          </w:p>
          <w:p w14:paraId="30575F9C" w14:textId="77777777" w:rsidR="00E42A45" w:rsidRDefault="00E42A45" w:rsidP="00BB63DF">
            <w:pPr>
              <w:tabs>
                <w:tab w:val="left" w:pos="709"/>
              </w:tabs>
            </w:pPr>
            <w:r>
              <w:rPr>
                <w:sz w:val="20"/>
              </w:rPr>
              <w:t xml:space="preserve">        -  navržený</w:t>
            </w:r>
          </w:p>
        </w:tc>
      </w:tr>
      <w:tr w:rsidR="00E42A45" w14:paraId="5BED350C" w14:textId="77777777" w:rsidTr="00BB63DF">
        <w:tc>
          <w:tcPr>
            <w:tcW w:w="7072" w:type="dxa"/>
            <w:shd w:val="clear" w:color="auto" w:fill="FFFFFF"/>
          </w:tcPr>
          <w:p w14:paraId="2D2F4CF2" w14:textId="77777777" w:rsidR="00E42A45" w:rsidRDefault="00E42A45" w:rsidP="00BB63DF">
            <w:pPr>
              <w:tabs>
                <w:tab w:val="left" w:pos="709"/>
              </w:tabs>
              <w:rPr>
                <w:b/>
                <w:sz w:val="18"/>
              </w:rPr>
            </w:pPr>
            <w:r>
              <w:rPr>
                <w:b/>
                <w:sz w:val="18"/>
              </w:rPr>
              <w:t>Geobiocenologická typizace (vegetační stupeň, trofická řada, hydrická řada)</w:t>
            </w:r>
          </w:p>
          <w:p w14:paraId="0AA7B3D6" w14:textId="77777777" w:rsidR="00E42A45" w:rsidRDefault="00E42A45" w:rsidP="00BB63DF">
            <w:pPr>
              <w:tabs>
                <w:tab w:val="left" w:pos="709"/>
              </w:tabs>
            </w:pPr>
            <w:r>
              <w:t>6AB1, 6AB3, 6A4</w:t>
            </w:r>
          </w:p>
        </w:tc>
        <w:tc>
          <w:tcPr>
            <w:tcW w:w="7072" w:type="dxa"/>
            <w:gridSpan w:val="2"/>
            <w:shd w:val="clear" w:color="auto" w:fill="FFFFFF"/>
          </w:tcPr>
          <w:p w14:paraId="5EAADD00" w14:textId="77777777" w:rsidR="00E42A45" w:rsidRDefault="00E42A45" w:rsidP="00BB63DF">
            <w:pPr>
              <w:tabs>
                <w:tab w:val="left" w:pos="709"/>
              </w:tabs>
            </w:pPr>
          </w:p>
        </w:tc>
      </w:tr>
      <w:tr w:rsidR="00E42A45" w14:paraId="3270C586" w14:textId="77777777" w:rsidTr="00BB63DF">
        <w:tc>
          <w:tcPr>
            <w:tcW w:w="14144" w:type="dxa"/>
            <w:gridSpan w:val="3"/>
          </w:tcPr>
          <w:p w14:paraId="3618E45A" w14:textId="77777777" w:rsidR="00E42A45" w:rsidRPr="00B4044B" w:rsidRDefault="00E42A45" w:rsidP="00BB63DF">
            <w:pPr>
              <w:tabs>
                <w:tab w:val="left" w:pos="709"/>
              </w:tabs>
              <w:rPr>
                <w:b/>
                <w:sz w:val="18"/>
              </w:rPr>
            </w:pPr>
            <w:r>
              <w:rPr>
                <w:b/>
                <w:sz w:val="18"/>
              </w:rPr>
              <w:t>Charakter ekotopu a bioty</w:t>
            </w:r>
          </w:p>
          <w:p w14:paraId="73FD261C" w14:textId="77777777" w:rsidR="00E42A45" w:rsidRDefault="00E42A45" w:rsidP="00BB63DF">
            <w:pPr>
              <w:tabs>
                <w:tab w:val="left" w:pos="709"/>
              </w:tabs>
              <w:rPr>
                <w:sz w:val="20"/>
              </w:rPr>
            </w:pPr>
            <w:r>
              <w:rPr>
                <w:sz w:val="20"/>
              </w:rPr>
              <w:t xml:space="preserve">Biocentru částečně v řešeném území, převážně ležící ve správním území Jílového u DC. </w:t>
            </w:r>
          </w:p>
          <w:p w14:paraId="51AC0312" w14:textId="77777777" w:rsidR="00E42A45" w:rsidRDefault="00E42A45" w:rsidP="00BB63DF">
            <w:pPr>
              <w:tabs>
                <w:tab w:val="left" w:pos="709"/>
              </w:tabs>
              <w:rPr>
                <w:sz w:val="20"/>
              </w:rPr>
            </w:pPr>
            <w:r>
              <w:rPr>
                <w:sz w:val="20"/>
              </w:rPr>
              <w:t xml:space="preserve">Náhorní plato stolové hory Děčínský Sněžník se strmými svahy a skalními výchozy kvádrového pískovce. Biocentrum je situováno v nadm. výšce 610 - 723 m, jeho převážnou část tvoří náhorní plato, které je ohraničeno linií pískovcových výchozů. Nejníže položené partie biocentra jsou na velmi exponovaných svazích, zejména na jihu, jihovýchodě a jihozápadě lokality. Na kvádrovém pískovci se vytvořily půdy mělké, nevyvinuté, kamenité, často pouze s horizontem A na skále. Typickým zástupcem půd je železitý podzol s kyselou až místy velmi kyselou reakcí. </w:t>
            </w:r>
          </w:p>
          <w:p w14:paraId="4EFEAFF7" w14:textId="77777777" w:rsidR="00E42A45" w:rsidRDefault="00E42A45" w:rsidP="00BB63DF">
            <w:pPr>
              <w:tabs>
                <w:tab w:val="left" w:pos="709"/>
              </w:tabs>
              <w:rPr>
                <w:sz w:val="20"/>
              </w:rPr>
            </w:pPr>
          </w:p>
          <w:p w14:paraId="1BB17C30" w14:textId="77777777" w:rsidR="00E42A45" w:rsidRDefault="00E42A45" w:rsidP="00BB63DF">
            <w:pPr>
              <w:pStyle w:val="Zkladntext"/>
            </w:pPr>
            <w:r>
              <w:t xml:space="preserve">Lesní porosty: </w:t>
            </w:r>
          </w:p>
          <w:p w14:paraId="02F5EEAB" w14:textId="77777777" w:rsidR="00E42A45" w:rsidRDefault="00E42A45" w:rsidP="00BB63DF">
            <w:pPr>
              <w:pStyle w:val="Zkladntext"/>
            </w:pPr>
          </w:p>
          <w:p w14:paraId="2FD1D690" w14:textId="77777777" w:rsidR="00E42A45" w:rsidRDefault="00E42A45" w:rsidP="00BB63DF">
            <w:pPr>
              <w:tabs>
                <w:tab w:val="left" w:pos="709"/>
              </w:tabs>
              <w:rPr>
                <w:sz w:val="20"/>
              </w:rPr>
            </w:pPr>
            <w:r>
              <w:rPr>
                <w:sz w:val="20"/>
              </w:rPr>
              <w:t xml:space="preserve">           v dřevinné skladbě </w:t>
            </w:r>
            <w:r>
              <w:rPr>
                <w:sz w:val="20"/>
                <w:u w:val="single"/>
              </w:rPr>
              <w:t>náhorního plata</w:t>
            </w:r>
            <w:r>
              <w:rPr>
                <w:sz w:val="20"/>
              </w:rPr>
              <w:t xml:space="preserve"> dominuje smrk. Jedná se převážně o rozpadající se několikametrové pahýly. V podrostu listnáčů je ojedinělé zmlazení smrku dosud s minimálními známkami poškození. Kromě smrku je výrazně zastoupen modřín, který i ve vyšších věkových stupních vykazuje relativně dobrý zdravotní stav. Vzhledem k extrémnímu klimatu vytváří vlajkové koruny. Dochází zde místy i k jeho přirozenému zmlazení. Z listnáčů má nejvýznamnější zastoupení bříza, místy přežívají i výstavky. Ojediněle jsou na platu zastoupeny - jeřáb (poškozený zvěří, rozlámaný), buk (netvárný s řidšími korunami), osika (vtroušeně v mlazinách, relativně bez známek poškození), borovice (v mládí poškozována zvěří, přirozeně se zmlazuje.  Ojediněle se vyskytují (jeden až několik jedinců) smrk pichlavý, jasan, lípa, jírovec a dub.</w:t>
            </w:r>
          </w:p>
          <w:p w14:paraId="20210DE3" w14:textId="77777777" w:rsidR="00E42A45" w:rsidRDefault="00E42A45" w:rsidP="00BB63DF">
            <w:pPr>
              <w:tabs>
                <w:tab w:val="left" w:pos="709"/>
              </w:tabs>
              <w:rPr>
                <w:sz w:val="20"/>
              </w:rPr>
            </w:pPr>
          </w:p>
          <w:p w14:paraId="2F1E7118" w14:textId="77777777" w:rsidR="00E42A45" w:rsidRDefault="00E42A45" w:rsidP="00BB63DF">
            <w:pPr>
              <w:tabs>
                <w:tab w:val="left" w:pos="709"/>
              </w:tabs>
              <w:rPr>
                <w:sz w:val="20"/>
              </w:rPr>
            </w:pPr>
            <w:r>
              <w:rPr>
                <w:sz w:val="20"/>
              </w:rPr>
              <w:t xml:space="preserve">           </w:t>
            </w:r>
            <w:r>
              <w:rPr>
                <w:sz w:val="20"/>
                <w:u w:val="single"/>
              </w:rPr>
              <w:t xml:space="preserve">Svahy </w:t>
            </w:r>
            <w:r>
              <w:rPr>
                <w:sz w:val="20"/>
              </w:rPr>
              <w:t xml:space="preserve">biocentra nejsou lesnicky obhospodařovány (s vyjímkou JV svahů) lesní společenstva zde jsou ponechána sukcesi. Odumřelé smrčiny jsou podrostlé břízou, modřínem a borovicí, místy podrost zcela chybí. Ve svazích dobře prosperuje modřín, bříza, buk, místy dosud relativně zdravý smrk.  </w:t>
            </w:r>
          </w:p>
          <w:p w14:paraId="3DE55EF7" w14:textId="77777777" w:rsidR="00E42A45" w:rsidRDefault="00E42A45" w:rsidP="00BB63DF">
            <w:pPr>
              <w:tabs>
                <w:tab w:val="left" w:pos="709"/>
              </w:tabs>
              <w:rPr>
                <w:sz w:val="20"/>
              </w:rPr>
            </w:pPr>
            <w:r>
              <w:rPr>
                <w:sz w:val="20"/>
              </w:rPr>
              <w:t xml:space="preserve">           Les v těchto místech plní funkci půdoochrannou, příp. rekreační - nikoliv hospodářskou.</w:t>
            </w:r>
          </w:p>
          <w:p w14:paraId="2378FAE1" w14:textId="77777777" w:rsidR="00E42A45" w:rsidRDefault="00E42A45" w:rsidP="00BB63DF">
            <w:pPr>
              <w:tabs>
                <w:tab w:val="left" w:pos="709"/>
              </w:tabs>
              <w:rPr>
                <w:sz w:val="20"/>
              </w:rPr>
            </w:pPr>
          </w:p>
          <w:p w14:paraId="733D58B6" w14:textId="77777777" w:rsidR="00E42A45" w:rsidRDefault="00E42A45" w:rsidP="00BB63DF">
            <w:pPr>
              <w:tabs>
                <w:tab w:val="left" w:pos="709"/>
              </w:tabs>
              <w:rPr>
                <w:sz w:val="20"/>
              </w:rPr>
            </w:pPr>
            <w:r>
              <w:rPr>
                <w:sz w:val="20"/>
              </w:rPr>
              <w:lastRenderedPageBreak/>
              <w:t>Zastoupené lesní typy:   7Z2 - zakrslá buková smrčina třtinová (celá náhorní plošina)</w:t>
            </w:r>
          </w:p>
          <w:p w14:paraId="13812931" w14:textId="77777777" w:rsidR="00E42A45" w:rsidRDefault="00E42A45" w:rsidP="00BB63DF">
            <w:pPr>
              <w:tabs>
                <w:tab w:val="left" w:pos="709"/>
              </w:tabs>
              <w:rPr>
                <w:sz w:val="20"/>
              </w:rPr>
            </w:pPr>
            <w:r>
              <w:rPr>
                <w:sz w:val="20"/>
              </w:rPr>
              <w:t xml:space="preserve">                                       7Z9 - zakrslá buková smrčina svahová (prudké svahy pod skalami)</w:t>
            </w:r>
          </w:p>
          <w:p w14:paraId="5D160601" w14:textId="77777777" w:rsidR="00E42A45" w:rsidRDefault="00E42A45" w:rsidP="00BB63DF">
            <w:pPr>
              <w:tabs>
                <w:tab w:val="left" w:pos="709"/>
              </w:tabs>
              <w:rPr>
                <w:sz w:val="20"/>
              </w:rPr>
            </w:pPr>
            <w:r>
              <w:rPr>
                <w:sz w:val="20"/>
              </w:rPr>
              <w:t xml:space="preserve">                                       6Z1 - zakrslá smrková bučina borůvková</w:t>
            </w:r>
          </w:p>
          <w:p w14:paraId="30F13FF6" w14:textId="77777777" w:rsidR="00E42A45" w:rsidRDefault="00E42A45" w:rsidP="00BB63DF">
            <w:pPr>
              <w:tabs>
                <w:tab w:val="left" w:pos="709"/>
              </w:tabs>
              <w:rPr>
                <w:sz w:val="20"/>
              </w:rPr>
            </w:pPr>
            <w:r>
              <w:rPr>
                <w:sz w:val="20"/>
              </w:rPr>
              <w:t xml:space="preserve">                                       6Y1 - skeletová smrková bučina                                              </w:t>
            </w:r>
          </w:p>
          <w:p w14:paraId="322F93EA" w14:textId="77777777" w:rsidR="00E42A45" w:rsidRDefault="00E42A45" w:rsidP="00BB63DF">
            <w:pPr>
              <w:tabs>
                <w:tab w:val="left" w:pos="709"/>
              </w:tabs>
              <w:rPr>
                <w:sz w:val="20"/>
              </w:rPr>
            </w:pPr>
            <w:r>
              <w:rPr>
                <w:sz w:val="20"/>
              </w:rPr>
              <w:t>pokračování BC č. 1</w:t>
            </w:r>
          </w:p>
          <w:p w14:paraId="664A3FC9" w14:textId="77777777" w:rsidR="00E42A45" w:rsidRDefault="00E42A45" w:rsidP="00BB63DF">
            <w:pPr>
              <w:tabs>
                <w:tab w:val="left" w:pos="709"/>
              </w:tabs>
              <w:rPr>
                <w:sz w:val="20"/>
              </w:rPr>
            </w:pPr>
            <w:r>
              <w:rPr>
                <w:sz w:val="20"/>
              </w:rPr>
              <w:t xml:space="preserve">                                       6K1 - kyselá smrková bučina metlicová   </w:t>
            </w:r>
          </w:p>
          <w:p w14:paraId="497E02AC" w14:textId="77777777" w:rsidR="00E42A45" w:rsidRDefault="00E42A45" w:rsidP="00BB63DF">
            <w:pPr>
              <w:tabs>
                <w:tab w:val="left" w:pos="709"/>
              </w:tabs>
              <w:rPr>
                <w:sz w:val="20"/>
              </w:rPr>
            </w:pPr>
            <w:r>
              <w:rPr>
                <w:sz w:val="20"/>
              </w:rPr>
              <w:t xml:space="preserve">                                       6K4 - kyselá smrková bučina třtinová</w:t>
            </w:r>
          </w:p>
          <w:p w14:paraId="0239559B" w14:textId="77777777" w:rsidR="00E42A45" w:rsidRDefault="00E42A45" w:rsidP="00BB63DF">
            <w:pPr>
              <w:tabs>
                <w:tab w:val="left" w:pos="709"/>
              </w:tabs>
              <w:rPr>
                <w:sz w:val="20"/>
              </w:rPr>
            </w:pPr>
            <w:r>
              <w:rPr>
                <w:sz w:val="20"/>
              </w:rPr>
              <w:t xml:space="preserve">                                       7T2 - podmáčená chudá jedlová smrčina prutnatcová (prameniště)</w:t>
            </w:r>
          </w:p>
          <w:p w14:paraId="6C95DBF8" w14:textId="77777777" w:rsidR="00E42A45" w:rsidRDefault="00E42A45" w:rsidP="00BB63DF">
            <w:pPr>
              <w:tabs>
                <w:tab w:val="left" w:pos="709"/>
              </w:tabs>
              <w:rPr>
                <w:sz w:val="20"/>
              </w:rPr>
            </w:pPr>
            <w:r>
              <w:rPr>
                <w:sz w:val="20"/>
              </w:rPr>
              <w:t xml:space="preserve">          </w:t>
            </w:r>
          </w:p>
          <w:p w14:paraId="4C24AFEF" w14:textId="77777777" w:rsidR="00E42A45" w:rsidRDefault="00E42A45" w:rsidP="00BB63DF">
            <w:pPr>
              <w:tabs>
                <w:tab w:val="left" w:pos="709"/>
              </w:tabs>
            </w:pPr>
            <w:r>
              <w:rPr>
                <w:sz w:val="20"/>
              </w:rPr>
              <w:t>Převážná část lokality je v pásmu ohrožení exhalacemi B, svahy v západní části pak v pásmu C. Zvěř, konkrétně vysoká je zde přemnožena, avšak její aktivity vzhledem k porostům (poškození) nejsou limitující. Jedním z určujících faktorů pro tuto lokalitu je její rekreační atraktivita a zatížení (rozhledna).</w:t>
            </w:r>
          </w:p>
          <w:p w14:paraId="367E3187" w14:textId="77777777" w:rsidR="00E42A45" w:rsidRDefault="00E42A45" w:rsidP="00BB63DF">
            <w:pPr>
              <w:tabs>
                <w:tab w:val="left" w:pos="709"/>
              </w:tabs>
              <w:rPr>
                <w:sz w:val="20"/>
              </w:rPr>
            </w:pPr>
            <w:r>
              <w:rPr>
                <w:sz w:val="20"/>
              </w:rPr>
              <w:t>Bot.: druhotné porosty jsou tvořeny druhy, jež jsou uvedeny ve škrtacím seznamu</w:t>
            </w:r>
          </w:p>
          <w:p w14:paraId="223EC962" w14:textId="77777777" w:rsidR="00E42A45" w:rsidRDefault="00E42A45" w:rsidP="00BB63DF">
            <w:pPr>
              <w:tabs>
                <w:tab w:val="left" w:pos="709"/>
              </w:tabs>
              <w:rPr>
                <w:sz w:val="20"/>
              </w:rPr>
            </w:pPr>
          </w:p>
          <w:p w14:paraId="5DC07710" w14:textId="77777777" w:rsidR="00E42A45" w:rsidRPr="00B4044B" w:rsidRDefault="00E42A45" w:rsidP="00BB63DF">
            <w:pPr>
              <w:tabs>
                <w:tab w:val="left" w:pos="709"/>
              </w:tabs>
              <w:jc w:val="center"/>
              <w:rPr>
                <w:sz w:val="20"/>
              </w:rPr>
            </w:pPr>
            <w:r>
              <w:rPr>
                <w:sz w:val="20"/>
              </w:rPr>
              <w:t xml:space="preserve">SES = 3 - 4                                                             </w:t>
            </w:r>
          </w:p>
          <w:p w14:paraId="3BA47F13" w14:textId="77777777" w:rsidR="00E42A45" w:rsidRDefault="00E42A45" w:rsidP="00BB63DF">
            <w:pPr>
              <w:tabs>
                <w:tab w:val="left" w:pos="709"/>
              </w:tabs>
              <w:rPr>
                <w:b/>
                <w:sz w:val="20"/>
              </w:rPr>
            </w:pPr>
            <w:r>
              <w:rPr>
                <w:b/>
                <w:sz w:val="20"/>
              </w:rPr>
              <w:t xml:space="preserve">Návrh opatření: </w:t>
            </w:r>
          </w:p>
          <w:p w14:paraId="30ABC2B6" w14:textId="77777777" w:rsidR="00E42A45" w:rsidRDefault="00E42A45" w:rsidP="00BB63DF">
            <w:pPr>
              <w:tabs>
                <w:tab w:val="left" w:pos="709"/>
              </w:tabs>
              <w:rPr>
                <w:b/>
                <w:sz w:val="20"/>
              </w:rPr>
            </w:pPr>
          </w:p>
          <w:p w14:paraId="48598C8B" w14:textId="77777777" w:rsidR="00E42A45" w:rsidRDefault="00E42A45" w:rsidP="00BB63DF">
            <w:pPr>
              <w:tabs>
                <w:tab w:val="left" w:pos="709"/>
              </w:tabs>
              <w:rPr>
                <w:sz w:val="20"/>
              </w:rPr>
            </w:pPr>
            <w:r>
              <w:rPr>
                <w:sz w:val="20"/>
              </w:rPr>
              <w:t xml:space="preserve">                          Dřeviny přirozené rekonstruované skladby podle SLT </w:t>
            </w:r>
          </w:p>
          <w:p w14:paraId="2E7194D4" w14:textId="77777777" w:rsidR="00E42A45" w:rsidRDefault="00E42A45" w:rsidP="00BB63DF">
            <w:pPr>
              <w:tabs>
                <w:tab w:val="left" w:pos="709"/>
              </w:tabs>
              <w:rPr>
                <w:b/>
                <w:sz w:val="20"/>
              </w:rPr>
            </w:pPr>
            <w:r>
              <w:rPr>
                <w:b/>
                <w:sz w:val="20"/>
              </w:rPr>
              <w:t xml:space="preserve">                         7Z -  SM7, BK2, JD(BR,JR)1                                                          6Y - SM4, BK4, JD1, BR1, JR</w:t>
            </w:r>
          </w:p>
          <w:p w14:paraId="566744CF" w14:textId="77777777" w:rsidR="00E42A45" w:rsidRPr="002D7515" w:rsidRDefault="00E42A45" w:rsidP="00BB63DF">
            <w:pPr>
              <w:pStyle w:val="Nadpis7"/>
            </w:pPr>
            <w:r w:rsidRPr="002D7515">
              <w:t xml:space="preserve">                         7T - SM8, JD1, BR1, JR                                                                  6K - SM4, BK4, JD2, JR</w:t>
            </w:r>
          </w:p>
          <w:p w14:paraId="52C79117" w14:textId="77777777" w:rsidR="00E42A45" w:rsidRPr="00B4044B" w:rsidRDefault="00E42A45" w:rsidP="00BB63DF">
            <w:pPr>
              <w:pStyle w:val="Nadpis7"/>
            </w:pPr>
            <w:r w:rsidRPr="002D7515">
              <w:t xml:space="preserve">                     </w:t>
            </w:r>
            <w:r>
              <w:t xml:space="preserve">    6Z - SM4, BK4, JD1, BR1, JR</w:t>
            </w:r>
          </w:p>
          <w:p w14:paraId="4D15FBAB" w14:textId="77777777" w:rsidR="00E42A45" w:rsidRDefault="00E42A45" w:rsidP="00BB63DF">
            <w:pPr>
              <w:tabs>
                <w:tab w:val="left" w:pos="709"/>
              </w:tabs>
              <w:rPr>
                <w:b/>
                <w:sz w:val="20"/>
              </w:rPr>
            </w:pPr>
            <w:r>
              <w:rPr>
                <w:b/>
                <w:sz w:val="20"/>
              </w:rPr>
              <w:t>Lokalitu bude vhodné pojmout jako les s volnějším zápojem, místy plochy se skupinkami stromů i solitérami. Ve svazích pod náhorním platem navrhujeme ponechat lesní porost v maximální míře sukcesi, s výjimkou doplňování přirozeného zmlazení dřevinami stanovištně příslušnými. Opatření na náhorním platu navrhujeme vesměs v souladu s </w:t>
            </w:r>
            <w:r>
              <w:rPr>
                <w:b/>
                <w:sz w:val="20"/>
                <w:u w:val="single"/>
              </w:rPr>
              <w:t>Biotechnickým projektem zalesnění lokality Děčínský Sněžník, Lesprojekt Jablonec, 1990</w:t>
            </w:r>
            <w:r>
              <w:rPr>
                <w:b/>
                <w:sz w:val="20"/>
              </w:rPr>
              <w:t>, který byl již promítnut do LHP. Oproti tomuto projektu však navrhujeme při obnově vypustit modřín (i přes vesměs dobré zkušenosti s ním) a dub červený z cílových dřevinných skladeb. Uvedené dřeviny budou nahrazeny stanovištně příslušnými druhy.</w:t>
            </w:r>
          </w:p>
          <w:p w14:paraId="5F64A091" w14:textId="77777777" w:rsidR="00E42A45" w:rsidRDefault="00E42A45" w:rsidP="00BB63DF">
            <w:pPr>
              <w:tabs>
                <w:tab w:val="left" w:pos="709"/>
              </w:tabs>
            </w:pPr>
            <w:r>
              <w:rPr>
                <w:b/>
                <w:sz w:val="20"/>
              </w:rPr>
              <w:t xml:space="preserve"> Mladé kultury budou chráněny proti zvěři oplocením (bukové kultury v roce výsadby - kotlíky), neoplocené kultury budou chráněny nátěrem do věku 4 - 6ti le</w:t>
            </w:r>
            <w:r>
              <w:rPr>
                <w:sz w:val="20"/>
              </w:rPr>
              <w:t>t.</w:t>
            </w:r>
            <w:r>
              <w:t xml:space="preserve"> </w:t>
            </w:r>
          </w:p>
        </w:tc>
      </w:tr>
      <w:tr w:rsidR="00E42A45" w14:paraId="3CA956F8" w14:textId="77777777" w:rsidTr="00BB63DF">
        <w:tc>
          <w:tcPr>
            <w:tcW w:w="7072" w:type="dxa"/>
            <w:shd w:val="clear" w:color="auto" w:fill="FFFFFF"/>
          </w:tcPr>
          <w:p w14:paraId="2B568045" w14:textId="77777777" w:rsidR="00E42A45" w:rsidRDefault="00E42A45" w:rsidP="00BB63DF">
            <w:pPr>
              <w:tabs>
                <w:tab w:val="left" w:pos="709"/>
              </w:tabs>
              <w:rPr>
                <w:sz w:val="18"/>
              </w:rPr>
            </w:pPr>
            <w:r>
              <w:rPr>
                <w:sz w:val="18"/>
              </w:rPr>
              <w:lastRenderedPageBreak/>
              <w:t xml:space="preserve">Vymezení                LZ Děčín, Polesí Sněžník, </w:t>
            </w:r>
          </w:p>
          <w:p w14:paraId="3083A1B2" w14:textId="77777777" w:rsidR="00E42A45" w:rsidRDefault="00E42A45" w:rsidP="00BB63DF">
            <w:pPr>
              <w:tabs>
                <w:tab w:val="left" w:pos="709"/>
              </w:tabs>
            </w:pPr>
            <w:r>
              <w:rPr>
                <w:sz w:val="18"/>
              </w:rPr>
              <w:t xml:space="preserve">                               211/C, 212/A,B,C, 213/A,C, 218/C, 258/B</w:t>
            </w:r>
            <w:r>
              <w:t xml:space="preserve"> </w:t>
            </w:r>
          </w:p>
          <w:p w14:paraId="44DF0035" w14:textId="77777777" w:rsidR="00E42A45" w:rsidRDefault="00E42A45" w:rsidP="00BB63DF">
            <w:pPr>
              <w:tabs>
                <w:tab w:val="left" w:pos="709"/>
              </w:tabs>
            </w:pPr>
          </w:p>
        </w:tc>
        <w:tc>
          <w:tcPr>
            <w:tcW w:w="7072" w:type="dxa"/>
            <w:gridSpan w:val="2"/>
            <w:shd w:val="clear" w:color="auto" w:fill="FFFFFF"/>
          </w:tcPr>
          <w:p w14:paraId="3A17C33A" w14:textId="77777777" w:rsidR="00E42A45" w:rsidRDefault="00E42A45" w:rsidP="00BB63DF">
            <w:pPr>
              <w:tabs>
                <w:tab w:val="left" w:pos="709"/>
              </w:tabs>
              <w:rPr>
                <w:sz w:val="20"/>
              </w:rPr>
            </w:pPr>
            <w:r>
              <w:rPr>
                <w:sz w:val="18"/>
              </w:rPr>
              <w:t xml:space="preserve">Kultura                            </w:t>
            </w:r>
            <w:r>
              <w:rPr>
                <w:sz w:val="20"/>
              </w:rPr>
              <w:t>les</w:t>
            </w:r>
          </w:p>
        </w:tc>
      </w:tr>
      <w:tr w:rsidR="00E42A45" w14:paraId="0EE7290D" w14:textId="77777777" w:rsidTr="00BB63DF">
        <w:tc>
          <w:tcPr>
            <w:tcW w:w="7072" w:type="dxa"/>
            <w:shd w:val="clear" w:color="auto" w:fill="FFFFFF"/>
          </w:tcPr>
          <w:p w14:paraId="477A4C33" w14:textId="77777777" w:rsidR="00E42A45" w:rsidRDefault="00E42A45" w:rsidP="00BB63DF">
            <w:pPr>
              <w:tabs>
                <w:tab w:val="left" w:pos="709"/>
              </w:tabs>
              <w:rPr>
                <w:sz w:val="18"/>
              </w:rPr>
            </w:pPr>
            <w:r>
              <w:rPr>
                <w:sz w:val="18"/>
              </w:rPr>
              <w:t>Uživatel</w:t>
            </w:r>
            <w:r>
              <w:t xml:space="preserve">                                                              </w:t>
            </w:r>
            <w:r>
              <w:rPr>
                <w:sz w:val="20"/>
              </w:rPr>
              <w:t xml:space="preserve"> </w:t>
            </w:r>
            <w:r>
              <w:rPr>
                <w:sz w:val="18"/>
              </w:rPr>
              <w:t>LČR</w:t>
            </w:r>
          </w:p>
          <w:p w14:paraId="39CA0DC7" w14:textId="77777777" w:rsidR="00E42A45" w:rsidRDefault="00E42A45" w:rsidP="00BB63DF">
            <w:pPr>
              <w:tabs>
                <w:tab w:val="left" w:pos="709"/>
              </w:tabs>
              <w:rPr>
                <w:sz w:val="18"/>
              </w:rPr>
            </w:pPr>
          </w:p>
        </w:tc>
        <w:tc>
          <w:tcPr>
            <w:tcW w:w="7072" w:type="dxa"/>
            <w:gridSpan w:val="2"/>
            <w:shd w:val="clear" w:color="auto" w:fill="FFFFFF"/>
          </w:tcPr>
          <w:p w14:paraId="177F6F8D" w14:textId="77777777" w:rsidR="00E42A45" w:rsidRDefault="00E42A45" w:rsidP="00BB63DF">
            <w:pPr>
              <w:tabs>
                <w:tab w:val="left" w:pos="709"/>
              </w:tabs>
              <w:rPr>
                <w:sz w:val="18"/>
              </w:rPr>
            </w:pPr>
            <w:r>
              <w:rPr>
                <w:sz w:val="18"/>
              </w:rPr>
              <w:t xml:space="preserve">Mapovatel                      </w:t>
            </w:r>
            <w:r>
              <w:t xml:space="preserve"> </w:t>
            </w:r>
            <w:r>
              <w:rPr>
                <w:sz w:val="18"/>
              </w:rPr>
              <w:t>Sklenička, Linhart, 1996/97</w:t>
            </w:r>
          </w:p>
        </w:tc>
      </w:tr>
      <w:tr w:rsidR="00E42A45" w14:paraId="0F9B7DC0" w14:textId="77777777" w:rsidTr="00BB63DF">
        <w:tc>
          <w:tcPr>
            <w:tcW w:w="14144" w:type="dxa"/>
            <w:gridSpan w:val="3"/>
            <w:shd w:val="clear" w:color="auto" w:fill="FFFFFF"/>
          </w:tcPr>
          <w:p w14:paraId="551E8D5F" w14:textId="77777777" w:rsidR="00E42A45" w:rsidRDefault="00E42A45" w:rsidP="00BB63DF">
            <w:pPr>
              <w:tabs>
                <w:tab w:val="left" w:pos="709"/>
              </w:tabs>
            </w:pPr>
            <w:r>
              <w:rPr>
                <w:sz w:val="18"/>
              </w:rPr>
              <w:t>Kategorie ochrany, rok vyhlášení</w:t>
            </w:r>
          </w:p>
          <w:p w14:paraId="10225174" w14:textId="77777777" w:rsidR="00E42A45" w:rsidRDefault="00E42A45" w:rsidP="00BB63DF">
            <w:pPr>
              <w:tabs>
                <w:tab w:val="left" w:pos="709"/>
              </w:tabs>
              <w:rPr>
                <w:b/>
                <w:sz w:val="20"/>
              </w:rPr>
            </w:pPr>
            <w:r>
              <w:t xml:space="preserve">                                                                               </w:t>
            </w:r>
            <w:r>
              <w:rPr>
                <w:b/>
                <w:sz w:val="20"/>
              </w:rPr>
              <w:t>CHKO Labské Pískovce - III. zóna</w:t>
            </w:r>
          </w:p>
        </w:tc>
      </w:tr>
    </w:tbl>
    <w:p w14:paraId="5B33E17A"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7E3AC986" w14:textId="77777777" w:rsidTr="00BB63DF">
        <w:tc>
          <w:tcPr>
            <w:tcW w:w="7072" w:type="dxa"/>
            <w:shd w:val="clear" w:color="auto" w:fill="FFFFFF"/>
          </w:tcPr>
          <w:p w14:paraId="705DDE08" w14:textId="77777777" w:rsidR="00E42A45" w:rsidRDefault="00E42A45" w:rsidP="00BB63DF">
            <w:pPr>
              <w:tabs>
                <w:tab w:val="left" w:pos="709"/>
              </w:tabs>
              <w:rPr>
                <w:b/>
                <w:sz w:val="18"/>
              </w:rPr>
            </w:pPr>
            <w:r>
              <w:rPr>
                <w:b/>
                <w:sz w:val="18"/>
              </w:rPr>
              <w:t>Pořadové číslo</w:t>
            </w:r>
          </w:p>
          <w:p w14:paraId="5C1BDB81" w14:textId="77777777" w:rsidR="00E42A45" w:rsidRDefault="00E42A45" w:rsidP="00BB63DF">
            <w:pPr>
              <w:tabs>
                <w:tab w:val="left" w:pos="709"/>
              </w:tabs>
              <w:rPr>
                <w:b/>
                <w:sz w:val="36"/>
              </w:rPr>
            </w:pPr>
            <w:r>
              <w:rPr>
                <w:b/>
                <w:sz w:val="36"/>
              </w:rPr>
              <w:lastRenderedPageBreak/>
              <w:t xml:space="preserve">                                       16</w:t>
            </w:r>
          </w:p>
        </w:tc>
        <w:tc>
          <w:tcPr>
            <w:tcW w:w="7072" w:type="dxa"/>
            <w:gridSpan w:val="2"/>
            <w:shd w:val="clear" w:color="auto" w:fill="FFFFFF"/>
          </w:tcPr>
          <w:p w14:paraId="33C0D4C8" w14:textId="77777777" w:rsidR="00E42A45" w:rsidRDefault="00E42A45" w:rsidP="00BB63DF">
            <w:pPr>
              <w:tabs>
                <w:tab w:val="left" w:pos="709"/>
              </w:tabs>
              <w:rPr>
                <w:b/>
                <w:sz w:val="18"/>
              </w:rPr>
            </w:pPr>
            <w:r>
              <w:rPr>
                <w:b/>
                <w:sz w:val="18"/>
              </w:rPr>
              <w:lastRenderedPageBreak/>
              <w:t>Katastrální území</w:t>
            </w:r>
          </w:p>
          <w:p w14:paraId="07AFCC3C" w14:textId="77777777" w:rsidR="00E42A45" w:rsidRDefault="00E42A45" w:rsidP="00BB63DF">
            <w:pPr>
              <w:tabs>
                <w:tab w:val="left" w:pos="709"/>
              </w:tabs>
              <w:rPr>
                <w:b/>
                <w:sz w:val="18"/>
              </w:rPr>
            </w:pPr>
            <w:r>
              <w:rPr>
                <w:b/>
                <w:sz w:val="18"/>
              </w:rPr>
              <w:t xml:space="preserve">                                           </w:t>
            </w:r>
            <w:r>
              <w:rPr>
                <w:b/>
              </w:rPr>
              <w:t>Bynov</w:t>
            </w:r>
          </w:p>
        </w:tc>
      </w:tr>
      <w:tr w:rsidR="00E42A45" w14:paraId="0A0BD7FF" w14:textId="77777777" w:rsidTr="00BB63DF">
        <w:tc>
          <w:tcPr>
            <w:tcW w:w="7072" w:type="dxa"/>
            <w:shd w:val="clear" w:color="auto" w:fill="FFFFFF"/>
          </w:tcPr>
          <w:p w14:paraId="30520E92" w14:textId="77777777" w:rsidR="00E42A45" w:rsidRDefault="00E42A45" w:rsidP="00BB63DF">
            <w:pPr>
              <w:tabs>
                <w:tab w:val="left" w:pos="709"/>
              </w:tabs>
              <w:rPr>
                <w:b/>
                <w:sz w:val="18"/>
              </w:rPr>
            </w:pPr>
            <w:r>
              <w:rPr>
                <w:b/>
                <w:sz w:val="18"/>
              </w:rPr>
              <w:t>Název</w:t>
            </w:r>
          </w:p>
          <w:p w14:paraId="5705B84D" w14:textId="77777777" w:rsidR="00E42A45" w:rsidRDefault="00E42A45" w:rsidP="00BB63DF">
            <w:pPr>
              <w:tabs>
                <w:tab w:val="left" w:pos="709"/>
              </w:tabs>
              <w:rPr>
                <w:b/>
                <w:caps/>
                <w:sz w:val="18"/>
              </w:rPr>
            </w:pPr>
            <w:r>
              <w:rPr>
                <w:b/>
                <w:caps/>
                <w:sz w:val="18"/>
              </w:rPr>
              <w:t xml:space="preserve">                             </w:t>
            </w:r>
            <w:r>
              <w:rPr>
                <w:b/>
                <w:caps/>
              </w:rPr>
              <w:t xml:space="preserve">             Pod Sněžníkem</w:t>
            </w:r>
          </w:p>
        </w:tc>
        <w:tc>
          <w:tcPr>
            <w:tcW w:w="3536" w:type="dxa"/>
            <w:shd w:val="clear" w:color="auto" w:fill="FFFFFF"/>
          </w:tcPr>
          <w:p w14:paraId="117C43D5" w14:textId="77777777" w:rsidR="00E42A45" w:rsidRDefault="00E42A45" w:rsidP="00BB63DF">
            <w:pPr>
              <w:tabs>
                <w:tab w:val="left" w:pos="709"/>
              </w:tabs>
              <w:rPr>
                <w:b/>
                <w:sz w:val="18"/>
              </w:rPr>
            </w:pPr>
            <w:r>
              <w:rPr>
                <w:b/>
                <w:sz w:val="18"/>
              </w:rPr>
              <w:t xml:space="preserve">Mapový list           </w:t>
            </w:r>
          </w:p>
          <w:p w14:paraId="6742FE65" w14:textId="77777777" w:rsidR="00E42A45" w:rsidRDefault="00E42A45" w:rsidP="00BB63DF">
            <w:pPr>
              <w:tabs>
                <w:tab w:val="left" w:pos="709"/>
              </w:tabs>
              <w:rPr>
                <w:b/>
                <w:sz w:val="20"/>
              </w:rPr>
            </w:pPr>
            <w:r>
              <w:rPr>
                <w:b/>
                <w:sz w:val="20"/>
              </w:rPr>
              <w:t xml:space="preserve">                            </w:t>
            </w:r>
            <w:r>
              <w:rPr>
                <w:sz w:val="20"/>
              </w:rPr>
              <w:t>02-23-18</w:t>
            </w:r>
          </w:p>
        </w:tc>
        <w:tc>
          <w:tcPr>
            <w:tcW w:w="3536" w:type="dxa"/>
            <w:shd w:val="clear" w:color="auto" w:fill="FFFFFF"/>
          </w:tcPr>
          <w:p w14:paraId="1026557E" w14:textId="77777777" w:rsidR="00E42A45" w:rsidRDefault="00E42A45" w:rsidP="00BB63DF">
            <w:pPr>
              <w:tabs>
                <w:tab w:val="left" w:pos="709"/>
              </w:tabs>
              <w:rPr>
                <w:b/>
                <w:sz w:val="18"/>
              </w:rPr>
            </w:pPr>
            <w:r>
              <w:rPr>
                <w:b/>
                <w:sz w:val="18"/>
              </w:rPr>
              <w:t xml:space="preserve">Výměra             </w:t>
            </w:r>
          </w:p>
          <w:p w14:paraId="29AA6C5C" w14:textId="77777777" w:rsidR="00E42A45" w:rsidRDefault="00E42A45" w:rsidP="00BB63DF">
            <w:pPr>
              <w:tabs>
                <w:tab w:val="left" w:pos="709"/>
              </w:tabs>
              <w:rPr>
                <w:b/>
                <w:sz w:val="20"/>
              </w:rPr>
            </w:pPr>
            <w:r>
              <w:rPr>
                <w:b/>
                <w:sz w:val="20"/>
              </w:rPr>
              <w:t xml:space="preserve">                     6,85 ha</w:t>
            </w:r>
          </w:p>
        </w:tc>
      </w:tr>
      <w:tr w:rsidR="00E42A45" w14:paraId="62F839A0" w14:textId="77777777" w:rsidTr="00BB63DF">
        <w:tc>
          <w:tcPr>
            <w:tcW w:w="7072" w:type="dxa"/>
            <w:shd w:val="clear" w:color="auto" w:fill="FFFFFF"/>
          </w:tcPr>
          <w:p w14:paraId="036A0B8F" w14:textId="77777777" w:rsidR="00E42A45" w:rsidRDefault="00E42A45" w:rsidP="00BB63DF">
            <w:pPr>
              <w:tabs>
                <w:tab w:val="left" w:pos="709"/>
              </w:tabs>
              <w:rPr>
                <w:sz w:val="20"/>
              </w:rPr>
            </w:pPr>
            <w:r>
              <w:rPr>
                <w:sz w:val="20"/>
              </w:rPr>
              <w:t>EVKP - ekologicky významný krajinný prvek</w:t>
            </w:r>
          </w:p>
          <w:p w14:paraId="164A3016" w14:textId="77777777" w:rsidR="00E42A45" w:rsidRDefault="00E42A45" w:rsidP="00BB63DF">
            <w:pPr>
              <w:tabs>
                <w:tab w:val="left" w:pos="709"/>
              </w:tabs>
              <w:rPr>
                <w:sz w:val="20"/>
              </w:rPr>
            </w:pPr>
            <w:r>
              <w:rPr>
                <w:sz w:val="20"/>
              </w:rPr>
              <w:t>EVKC - ekologicky významný krajinný celek</w:t>
            </w:r>
          </w:p>
          <w:p w14:paraId="37238C3E" w14:textId="77777777" w:rsidR="00E42A45" w:rsidRPr="002D7515" w:rsidRDefault="00E42A45" w:rsidP="00BB63DF">
            <w:pPr>
              <w:pStyle w:val="Nadpis6"/>
            </w:pPr>
            <w:r w:rsidRPr="002D7515">
              <w:t>EVKO - ekologicky významná krajinná oblast</w:t>
            </w:r>
          </w:p>
          <w:p w14:paraId="69C7EE9A"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3619801C" w14:textId="77777777" w:rsidR="00E42A45" w:rsidRDefault="00E42A45" w:rsidP="00BB63DF">
            <w:pPr>
              <w:tabs>
                <w:tab w:val="left" w:pos="709"/>
              </w:tabs>
              <w:rPr>
                <w:sz w:val="18"/>
              </w:rPr>
            </w:pPr>
            <w:r>
              <w:rPr>
                <w:sz w:val="18"/>
              </w:rPr>
              <w:t>Biogeografický význam</w:t>
            </w:r>
          </w:p>
          <w:p w14:paraId="0B5476CF" w14:textId="77777777" w:rsidR="00E42A45" w:rsidRDefault="00E42A45" w:rsidP="00BB63DF">
            <w:pPr>
              <w:tabs>
                <w:tab w:val="left" w:pos="709"/>
              </w:tabs>
            </w:pPr>
            <w:r>
              <w:t xml:space="preserve">       -</w:t>
            </w:r>
            <w:r>
              <w:rPr>
                <w:b/>
              </w:rPr>
              <w:t xml:space="preserve"> lokální, reprezentativn</w:t>
            </w:r>
            <w:r>
              <w:rPr>
                <w:b/>
                <w:u w:val="single"/>
              </w:rPr>
              <w:t>í</w:t>
            </w:r>
          </w:p>
          <w:p w14:paraId="425EA55C" w14:textId="77777777" w:rsidR="00E42A45" w:rsidRDefault="00E42A45" w:rsidP="00BB63DF">
            <w:pPr>
              <w:tabs>
                <w:tab w:val="left" w:pos="709"/>
              </w:tabs>
              <w:ind w:left="345"/>
              <w:rPr>
                <w:sz w:val="20"/>
              </w:rPr>
            </w:pPr>
            <w:r>
              <w:t xml:space="preserve"> </w:t>
            </w:r>
            <w:r>
              <w:rPr>
                <w:sz w:val="20"/>
              </w:rPr>
              <w:t>-  regionální</w:t>
            </w:r>
          </w:p>
          <w:p w14:paraId="43FAA32C" w14:textId="77777777" w:rsidR="00E42A45" w:rsidRDefault="00E42A45" w:rsidP="00BB63DF">
            <w:pPr>
              <w:tabs>
                <w:tab w:val="left" w:pos="709"/>
              </w:tabs>
              <w:ind w:left="345"/>
            </w:pPr>
            <w:r>
              <w:rPr>
                <w:sz w:val="20"/>
              </w:rPr>
              <w:t xml:space="preserve"> - nadregionální</w:t>
            </w:r>
          </w:p>
        </w:tc>
        <w:tc>
          <w:tcPr>
            <w:tcW w:w="3536" w:type="dxa"/>
            <w:shd w:val="clear" w:color="auto" w:fill="FFFFFF"/>
          </w:tcPr>
          <w:p w14:paraId="0152A648" w14:textId="77777777" w:rsidR="00E42A45" w:rsidRDefault="00E42A45" w:rsidP="00BB63DF">
            <w:pPr>
              <w:tabs>
                <w:tab w:val="left" w:pos="709"/>
              </w:tabs>
              <w:rPr>
                <w:b/>
                <w:sz w:val="18"/>
              </w:rPr>
            </w:pPr>
            <w:r>
              <w:rPr>
                <w:b/>
                <w:sz w:val="18"/>
              </w:rPr>
              <w:t>Stav</w:t>
            </w:r>
          </w:p>
          <w:p w14:paraId="5AC1BCB8" w14:textId="77777777" w:rsidR="00E42A45" w:rsidRDefault="00E42A45" w:rsidP="00BB63DF">
            <w:pPr>
              <w:tabs>
                <w:tab w:val="left" w:pos="709"/>
              </w:tabs>
              <w:ind w:left="405"/>
            </w:pPr>
            <w:r>
              <w:rPr>
                <w:b/>
              </w:rPr>
              <w:t>-  funkčně vymezený</w:t>
            </w:r>
          </w:p>
          <w:p w14:paraId="5571D142" w14:textId="77777777" w:rsidR="00E42A45" w:rsidRDefault="00E42A45" w:rsidP="00BB63DF">
            <w:pPr>
              <w:tabs>
                <w:tab w:val="left" w:pos="709"/>
              </w:tabs>
              <w:rPr>
                <w:sz w:val="20"/>
              </w:rPr>
            </w:pPr>
            <w:r>
              <w:rPr>
                <w:sz w:val="20"/>
              </w:rPr>
              <w:t xml:space="preserve">       -  semifunkční    </w:t>
            </w:r>
          </w:p>
          <w:p w14:paraId="0A75C44B" w14:textId="77777777" w:rsidR="00E42A45" w:rsidRDefault="00E42A45" w:rsidP="00BB63DF">
            <w:pPr>
              <w:pStyle w:val="Styl1"/>
              <w:tabs>
                <w:tab w:val="left" w:pos="709"/>
              </w:tabs>
            </w:pPr>
            <w:r>
              <w:rPr>
                <w:sz w:val="20"/>
              </w:rPr>
              <w:t xml:space="preserve">        -  navržený</w:t>
            </w:r>
          </w:p>
        </w:tc>
      </w:tr>
      <w:tr w:rsidR="00E42A45" w14:paraId="489B70C2" w14:textId="77777777" w:rsidTr="00BB63DF">
        <w:tc>
          <w:tcPr>
            <w:tcW w:w="7072" w:type="dxa"/>
            <w:shd w:val="clear" w:color="auto" w:fill="FFFFFF"/>
          </w:tcPr>
          <w:p w14:paraId="67C79ACB" w14:textId="77777777" w:rsidR="00E42A45" w:rsidRDefault="00E42A45" w:rsidP="00BB63DF">
            <w:pPr>
              <w:tabs>
                <w:tab w:val="left" w:pos="709"/>
              </w:tabs>
              <w:rPr>
                <w:b/>
                <w:sz w:val="18"/>
              </w:rPr>
            </w:pPr>
            <w:r>
              <w:rPr>
                <w:b/>
                <w:sz w:val="18"/>
              </w:rPr>
              <w:t>Geobiocenologická typizace (vegetační stupeň, trofická řada, hydrická řada)</w:t>
            </w:r>
          </w:p>
          <w:p w14:paraId="6F8A5E9F" w14:textId="77777777" w:rsidR="00E42A45" w:rsidRDefault="00E42A45" w:rsidP="00BB63DF">
            <w:pPr>
              <w:tabs>
                <w:tab w:val="left" w:pos="709"/>
              </w:tabs>
            </w:pPr>
            <w:r>
              <w:t xml:space="preserve">                       6AB3  </w:t>
            </w:r>
          </w:p>
        </w:tc>
        <w:tc>
          <w:tcPr>
            <w:tcW w:w="7072" w:type="dxa"/>
            <w:gridSpan w:val="2"/>
            <w:shd w:val="clear" w:color="auto" w:fill="FFFFFF"/>
          </w:tcPr>
          <w:p w14:paraId="2A5CE3C9" w14:textId="77777777" w:rsidR="00E42A45" w:rsidRDefault="00E42A45" w:rsidP="00BB63DF">
            <w:pPr>
              <w:tabs>
                <w:tab w:val="left" w:pos="709"/>
              </w:tabs>
            </w:pPr>
          </w:p>
        </w:tc>
      </w:tr>
      <w:tr w:rsidR="00E42A45" w14:paraId="11A58F57" w14:textId="77777777" w:rsidTr="00BB63DF">
        <w:tc>
          <w:tcPr>
            <w:tcW w:w="14144" w:type="dxa"/>
            <w:gridSpan w:val="3"/>
          </w:tcPr>
          <w:p w14:paraId="0E419B0C" w14:textId="77777777" w:rsidR="00E42A45" w:rsidRDefault="00E42A45" w:rsidP="00BB63DF">
            <w:pPr>
              <w:tabs>
                <w:tab w:val="left" w:pos="709"/>
              </w:tabs>
            </w:pPr>
            <w:r>
              <w:rPr>
                <w:b/>
                <w:sz w:val="18"/>
              </w:rPr>
              <w:t>Charakter ekotopu a bioty</w:t>
            </w:r>
            <w:r>
              <w:t xml:space="preserve">   </w:t>
            </w:r>
          </w:p>
          <w:p w14:paraId="05E5C34D" w14:textId="77777777" w:rsidR="00E42A45" w:rsidRDefault="00E42A45" w:rsidP="00BB63DF">
            <w:pPr>
              <w:tabs>
                <w:tab w:val="left" w:pos="709"/>
              </w:tabs>
              <w:rPr>
                <w:sz w:val="20"/>
              </w:rPr>
            </w:pPr>
            <w:r>
              <w:rPr>
                <w:sz w:val="20"/>
              </w:rPr>
              <w:t>Lokální biocentrum na trase nadregionálního biokoridoru na jihovýchodně exponovaném svahu se sklonem cca 12 %.  Nadmořská výška lokality se pohybuje od 460 do 520 m.   Na jihu je lokalita ohraničena místní komunikací.</w:t>
            </w:r>
          </w:p>
          <w:p w14:paraId="5A820D54" w14:textId="77777777" w:rsidR="00E42A45" w:rsidRDefault="00E42A45" w:rsidP="00BB63DF">
            <w:pPr>
              <w:tabs>
                <w:tab w:val="left" w:pos="709"/>
              </w:tabs>
              <w:rPr>
                <w:sz w:val="20"/>
              </w:rPr>
            </w:pPr>
            <w:r>
              <w:rPr>
                <w:sz w:val="20"/>
              </w:rPr>
              <w:t xml:space="preserve">                                                                                                                 SES = 3 - 4.   </w:t>
            </w:r>
          </w:p>
          <w:p w14:paraId="4A463DBC" w14:textId="77777777" w:rsidR="00E42A45" w:rsidRDefault="00E42A45" w:rsidP="00BB63DF">
            <w:pPr>
              <w:tabs>
                <w:tab w:val="left" w:pos="709"/>
              </w:tabs>
              <w:rPr>
                <w:sz w:val="20"/>
              </w:rPr>
            </w:pPr>
            <w:r>
              <w:rPr>
                <w:sz w:val="20"/>
              </w:rPr>
              <w:t xml:space="preserve">Lesní porost je tvořen následujícími dřevinami: </w:t>
            </w:r>
          </w:p>
          <w:p w14:paraId="03BB368F" w14:textId="77777777" w:rsidR="00E42A45" w:rsidRDefault="00E42A45" w:rsidP="00BB63DF">
            <w:pPr>
              <w:tabs>
                <w:tab w:val="left" w:pos="709"/>
              </w:tabs>
              <w:rPr>
                <w:sz w:val="20"/>
              </w:rPr>
            </w:pPr>
            <w:r>
              <w:rPr>
                <w:sz w:val="20"/>
              </w:rPr>
              <w:t xml:space="preserve"> 257/C/17 - BK100                       257/D/03 - BK100                                257/D/06 - SM80, BR15, BO5              257/D/10 - MD100                        </w:t>
            </w:r>
          </w:p>
          <w:p w14:paraId="4028B695" w14:textId="77777777" w:rsidR="00E42A45" w:rsidRDefault="00E42A45" w:rsidP="00BB63DF">
            <w:pPr>
              <w:tabs>
                <w:tab w:val="left" w:pos="709"/>
              </w:tabs>
              <w:rPr>
                <w:sz w:val="20"/>
              </w:rPr>
            </w:pPr>
          </w:p>
          <w:p w14:paraId="74F15987" w14:textId="77777777" w:rsidR="00E42A45" w:rsidRDefault="00E42A45" w:rsidP="00BB63DF">
            <w:pPr>
              <w:tabs>
                <w:tab w:val="left" w:pos="709"/>
              </w:tabs>
              <w:rPr>
                <w:sz w:val="20"/>
              </w:rPr>
            </w:pPr>
            <w:r>
              <w:rPr>
                <w:b/>
                <w:sz w:val="20"/>
              </w:rPr>
              <w:t>Zastoupené lesní typy</w:t>
            </w:r>
            <w:r>
              <w:rPr>
                <w:sz w:val="20"/>
              </w:rPr>
              <w:t xml:space="preserve">:             6K1 - kyselá smrková bučina metlicová   </w:t>
            </w:r>
          </w:p>
          <w:p w14:paraId="6A04835B" w14:textId="77777777" w:rsidR="00E42A45" w:rsidRDefault="00E42A45" w:rsidP="00BB63DF">
            <w:pPr>
              <w:tabs>
                <w:tab w:val="left" w:pos="709"/>
              </w:tabs>
              <w:rPr>
                <w:sz w:val="20"/>
              </w:rPr>
            </w:pPr>
            <w:r>
              <w:rPr>
                <w:sz w:val="20"/>
              </w:rPr>
              <w:t xml:space="preserve">                                                    </w:t>
            </w:r>
          </w:p>
          <w:p w14:paraId="4A3028E1" w14:textId="77777777" w:rsidR="00E42A45" w:rsidRDefault="00E42A45" w:rsidP="00BB63DF">
            <w:pPr>
              <w:tabs>
                <w:tab w:val="left" w:pos="709"/>
              </w:tabs>
              <w:rPr>
                <w:sz w:val="20"/>
              </w:rPr>
            </w:pPr>
            <w:r>
              <w:rPr>
                <w:sz w:val="20"/>
              </w:rPr>
              <w:t xml:space="preserve">Geol.: Hnědé půdy rašelinné podzolované oligotrofní horské .  </w:t>
            </w:r>
          </w:p>
          <w:p w14:paraId="349D0C04" w14:textId="77777777" w:rsidR="00E42A45" w:rsidRDefault="00E42A45" w:rsidP="00BB63DF">
            <w:pPr>
              <w:tabs>
                <w:tab w:val="left" w:pos="709"/>
              </w:tabs>
              <w:rPr>
                <w:sz w:val="20"/>
              </w:rPr>
            </w:pPr>
          </w:p>
          <w:p w14:paraId="07E2CBD9" w14:textId="77777777" w:rsidR="00E42A45" w:rsidRDefault="00E42A45" w:rsidP="00BB63DF">
            <w:pPr>
              <w:tabs>
                <w:tab w:val="left" w:pos="709"/>
              </w:tabs>
              <w:rPr>
                <w:i/>
                <w:sz w:val="20"/>
              </w:rPr>
            </w:pPr>
            <w:r>
              <w:rPr>
                <w:sz w:val="20"/>
              </w:rPr>
              <w:t xml:space="preserve">Bot.: </w:t>
            </w:r>
            <w:r>
              <w:rPr>
                <w:i/>
                <w:sz w:val="20"/>
              </w:rPr>
              <w:t>Calamagrostis villosa, Dryopteris spinulosa, Vaccinium myrtillus,  Sphagnum sp., Trientaliseuropea, Deschampsia   flexuosa,</w:t>
            </w:r>
          </w:p>
          <w:p w14:paraId="22B307DE" w14:textId="77777777" w:rsidR="00E42A45" w:rsidRDefault="00E42A45" w:rsidP="00BB63DF">
            <w:pPr>
              <w:tabs>
                <w:tab w:val="left" w:pos="709"/>
              </w:tabs>
              <w:rPr>
                <w:i/>
                <w:sz w:val="20"/>
              </w:rPr>
            </w:pPr>
            <w:r>
              <w:rPr>
                <w:i/>
                <w:sz w:val="20"/>
              </w:rPr>
              <w:t xml:space="preserve">          Blechnum spicant, Carex sp.</w:t>
            </w:r>
          </w:p>
          <w:p w14:paraId="4941A6CA" w14:textId="77777777" w:rsidR="00E42A45" w:rsidRDefault="00E42A45" w:rsidP="00BB63DF">
            <w:pPr>
              <w:tabs>
                <w:tab w:val="left" w:pos="709"/>
              </w:tabs>
              <w:rPr>
                <w:b/>
                <w:sz w:val="20"/>
              </w:rPr>
            </w:pPr>
          </w:p>
          <w:p w14:paraId="76A876BC" w14:textId="77777777" w:rsidR="00E42A45" w:rsidRPr="00B4044B" w:rsidRDefault="00E42A45" w:rsidP="00BB63DF">
            <w:pPr>
              <w:pStyle w:val="Zkladntext"/>
              <w:rPr>
                <w:b/>
              </w:rPr>
            </w:pPr>
            <w:r w:rsidRPr="00B4044B">
              <w:rPr>
                <w:b/>
              </w:rPr>
              <w:t xml:space="preserve">Návrh opatření :     </w:t>
            </w:r>
          </w:p>
          <w:p w14:paraId="37E004F5" w14:textId="77777777" w:rsidR="00E42A45" w:rsidRDefault="00E42A45" w:rsidP="00BB63DF">
            <w:pPr>
              <w:tabs>
                <w:tab w:val="left" w:pos="709"/>
              </w:tabs>
              <w:rPr>
                <w:b/>
                <w:sz w:val="20"/>
              </w:rPr>
            </w:pPr>
            <w:r>
              <w:rPr>
                <w:b/>
                <w:sz w:val="20"/>
              </w:rPr>
              <w:t xml:space="preserve">Dřeviny přirozené rekonstruované skladby podle SLT:                 6K - SM4, BK4, JD2, JR               </w:t>
            </w:r>
          </w:p>
          <w:p w14:paraId="282AEBD2" w14:textId="77777777" w:rsidR="00E42A45" w:rsidRDefault="00E42A45" w:rsidP="00BB63DF">
            <w:pPr>
              <w:tabs>
                <w:tab w:val="left" w:pos="709"/>
              </w:tabs>
            </w:pPr>
            <w:r>
              <w:rPr>
                <w:b/>
                <w:sz w:val="20"/>
              </w:rPr>
              <w:t>Opatření v porostu ve smyslu Generelu rekonstrukce, který je promítnut v platném LHP, s  náhradou dřevin mimo přirozenou dřevinnou skladbu  (při obnově sk. 10).</w:t>
            </w:r>
            <w:r>
              <w:t xml:space="preserve">                         </w:t>
            </w:r>
          </w:p>
        </w:tc>
      </w:tr>
      <w:tr w:rsidR="00E42A45" w14:paraId="5B8D2DCC" w14:textId="77777777" w:rsidTr="00BB63DF">
        <w:tc>
          <w:tcPr>
            <w:tcW w:w="7072" w:type="dxa"/>
            <w:shd w:val="clear" w:color="auto" w:fill="FFFFFF"/>
          </w:tcPr>
          <w:p w14:paraId="1778AAFD" w14:textId="77777777" w:rsidR="00E42A45" w:rsidRDefault="00E42A45" w:rsidP="00BB63DF">
            <w:pPr>
              <w:tabs>
                <w:tab w:val="left" w:pos="709"/>
              </w:tabs>
              <w:rPr>
                <w:sz w:val="18"/>
              </w:rPr>
            </w:pPr>
            <w:r>
              <w:rPr>
                <w:sz w:val="18"/>
              </w:rPr>
              <w:t>Vymezení             LS       Sněžník, 257/C/17,  257/D/03,06,10</w:t>
            </w:r>
          </w:p>
        </w:tc>
        <w:tc>
          <w:tcPr>
            <w:tcW w:w="7072" w:type="dxa"/>
            <w:gridSpan w:val="2"/>
            <w:shd w:val="clear" w:color="auto" w:fill="FFFFFF"/>
          </w:tcPr>
          <w:p w14:paraId="0B447019" w14:textId="77777777" w:rsidR="00E42A45" w:rsidRDefault="00E42A45" w:rsidP="00BB63DF">
            <w:pPr>
              <w:tabs>
                <w:tab w:val="left" w:pos="709"/>
              </w:tabs>
              <w:rPr>
                <w:sz w:val="18"/>
              </w:rPr>
            </w:pPr>
            <w:r>
              <w:rPr>
                <w:sz w:val="18"/>
              </w:rPr>
              <w:t xml:space="preserve">Kultura                   les </w:t>
            </w:r>
          </w:p>
        </w:tc>
      </w:tr>
      <w:tr w:rsidR="00E42A45" w14:paraId="0B133FCC" w14:textId="77777777" w:rsidTr="00BB63DF">
        <w:tc>
          <w:tcPr>
            <w:tcW w:w="7072" w:type="dxa"/>
            <w:shd w:val="clear" w:color="auto" w:fill="FFFFFF"/>
          </w:tcPr>
          <w:p w14:paraId="5222C639" w14:textId="77777777" w:rsidR="00E42A45" w:rsidRDefault="00E42A45" w:rsidP="00BB63DF">
            <w:pPr>
              <w:tabs>
                <w:tab w:val="left" w:pos="709"/>
              </w:tabs>
              <w:rPr>
                <w:sz w:val="18"/>
              </w:rPr>
            </w:pPr>
            <w:r>
              <w:rPr>
                <w:sz w:val="18"/>
              </w:rPr>
              <w:t xml:space="preserve">Uživatel      </w:t>
            </w:r>
          </w:p>
          <w:p w14:paraId="1B1B4DC1" w14:textId="77777777" w:rsidR="00E42A45" w:rsidRDefault="00E42A45" w:rsidP="00BB63DF">
            <w:pPr>
              <w:tabs>
                <w:tab w:val="left" w:pos="709"/>
              </w:tabs>
              <w:rPr>
                <w:sz w:val="18"/>
              </w:rPr>
            </w:pPr>
            <w:r>
              <w:rPr>
                <w:sz w:val="18"/>
              </w:rPr>
              <w:t xml:space="preserve">                     LČR</w:t>
            </w:r>
          </w:p>
        </w:tc>
        <w:tc>
          <w:tcPr>
            <w:tcW w:w="7072" w:type="dxa"/>
            <w:gridSpan w:val="2"/>
            <w:shd w:val="clear" w:color="auto" w:fill="FFFFFF"/>
          </w:tcPr>
          <w:p w14:paraId="01829ED0" w14:textId="77777777" w:rsidR="00E42A45" w:rsidRDefault="00E42A45" w:rsidP="00BB63DF">
            <w:pPr>
              <w:tabs>
                <w:tab w:val="left" w:pos="709"/>
              </w:tabs>
              <w:rPr>
                <w:sz w:val="18"/>
              </w:rPr>
            </w:pPr>
            <w:r>
              <w:rPr>
                <w:sz w:val="18"/>
              </w:rPr>
              <w:t>Mapovatel              Sklenička, Linhart, 1997</w:t>
            </w:r>
          </w:p>
        </w:tc>
      </w:tr>
      <w:tr w:rsidR="00E42A45" w14:paraId="1596B2DE" w14:textId="77777777" w:rsidTr="00BB63DF">
        <w:tc>
          <w:tcPr>
            <w:tcW w:w="14144" w:type="dxa"/>
            <w:gridSpan w:val="3"/>
            <w:shd w:val="clear" w:color="auto" w:fill="FFFFFF"/>
          </w:tcPr>
          <w:p w14:paraId="7C832B5B" w14:textId="77777777" w:rsidR="00E42A45" w:rsidRDefault="00E42A45" w:rsidP="00BB63DF">
            <w:pPr>
              <w:tabs>
                <w:tab w:val="left" w:pos="709"/>
              </w:tabs>
            </w:pPr>
            <w:r>
              <w:rPr>
                <w:sz w:val="18"/>
              </w:rPr>
              <w:t>Kategorie ochrany, rok vyhlášení</w:t>
            </w:r>
          </w:p>
          <w:p w14:paraId="4F233AE1" w14:textId="77777777" w:rsidR="00E42A45" w:rsidRPr="002D7515" w:rsidRDefault="00E42A45" w:rsidP="00BB63DF">
            <w:pPr>
              <w:pStyle w:val="Nadpis7"/>
            </w:pPr>
            <w:r w:rsidRPr="002D7515">
              <w:t xml:space="preserve">            </w:t>
            </w:r>
            <w:r>
              <w:t xml:space="preserve">                               </w:t>
            </w:r>
            <w:r w:rsidRPr="002D7515">
              <w:t xml:space="preserve">                                                     CHKO Labské Pískovce - III. zóna</w:t>
            </w:r>
          </w:p>
        </w:tc>
      </w:tr>
    </w:tbl>
    <w:p w14:paraId="51589C0E" w14:textId="77777777" w:rsidR="00E42A45" w:rsidRDefault="00E42A45" w:rsidP="00CA23D0">
      <w:pPr>
        <w:jc w:val="both"/>
        <w:rPr>
          <w:rFonts w:ascii="Arial" w:hAnsi="Arial" w:cs="Arial"/>
          <w:sz w:val="22"/>
        </w:rPr>
      </w:pPr>
    </w:p>
    <w:p w14:paraId="4F67A1C6"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6A4410EF" w14:textId="77777777" w:rsidTr="00BB63DF">
        <w:tc>
          <w:tcPr>
            <w:tcW w:w="7072" w:type="dxa"/>
            <w:shd w:val="clear" w:color="auto" w:fill="FFFFFF"/>
          </w:tcPr>
          <w:p w14:paraId="55B5F6DB" w14:textId="77777777" w:rsidR="00E42A45" w:rsidRDefault="00E42A45" w:rsidP="00BB63DF">
            <w:pPr>
              <w:tabs>
                <w:tab w:val="left" w:pos="709"/>
              </w:tabs>
              <w:rPr>
                <w:b/>
                <w:sz w:val="18"/>
              </w:rPr>
            </w:pPr>
            <w:r>
              <w:rPr>
                <w:b/>
                <w:sz w:val="18"/>
              </w:rPr>
              <w:lastRenderedPageBreak/>
              <w:t>Pořadové číslo</w:t>
            </w:r>
          </w:p>
          <w:p w14:paraId="40CC05CD" w14:textId="77777777" w:rsidR="00E42A45" w:rsidRDefault="00E42A45" w:rsidP="00BB63DF">
            <w:pPr>
              <w:tabs>
                <w:tab w:val="left" w:pos="709"/>
              </w:tabs>
              <w:rPr>
                <w:b/>
                <w:sz w:val="36"/>
              </w:rPr>
            </w:pPr>
            <w:r>
              <w:rPr>
                <w:b/>
                <w:sz w:val="36"/>
              </w:rPr>
              <w:t xml:space="preserve">                                       17</w:t>
            </w:r>
          </w:p>
        </w:tc>
        <w:tc>
          <w:tcPr>
            <w:tcW w:w="7072" w:type="dxa"/>
            <w:gridSpan w:val="2"/>
            <w:shd w:val="clear" w:color="auto" w:fill="FFFFFF"/>
          </w:tcPr>
          <w:p w14:paraId="6E0765EF" w14:textId="77777777" w:rsidR="00E42A45" w:rsidRDefault="00E42A45" w:rsidP="00BB63DF">
            <w:pPr>
              <w:tabs>
                <w:tab w:val="left" w:pos="709"/>
              </w:tabs>
              <w:rPr>
                <w:b/>
                <w:sz w:val="18"/>
              </w:rPr>
            </w:pPr>
            <w:r>
              <w:rPr>
                <w:b/>
                <w:sz w:val="18"/>
              </w:rPr>
              <w:t>Katastrální území</w:t>
            </w:r>
          </w:p>
          <w:p w14:paraId="2CDE6136" w14:textId="77777777" w:rsidR="00E42A45" w:rsidRDefault="00E42A45" w:rsidP="00BB63DF">
            <w:pPr>
              <w:tabs>
                <w:tab w:val="left" w:pos="709"/>
              </w:tabs>
              <w:rPr>
                <w:b/>
                <w:sz w:val="18"/>
              </w:rPr>
            </w:pPr>
            <w:r>
              <w:rPr>
                <w:b/>
                <w:sz w:val="18"/>
              </w:rPr>
              <w:t xml:space="preserve">                                           </w:t>
            </w:r>
            <w:r>
              <w:rPr>
                <w:b/>
              </w:rPr>
              <w:t>Bynov</w:t>
            </w:r>
          </w:p>
        </w:tc>
      </w:tr>
      <w:tr w:rsidR="00E42A45" w14:paraId="0D3DF44E" w14:textId="77777777" w:rsidTr="00BB63DF">
        <w:tc>
          <w:tcPr>
            <w:tcW w:w="7072" w:type="dxa"/>
            <w:shd w:val="clear" w:color="auto" w:fill="FFFFFF"/>
          </w:tcPr>
          <w:p w14:paraId="504A8321" w14:textId="77777777" w:rsidR="00E42A45" w:rsidRDefault="00E42A45" w:rsidP="00BB63DF">
            <w:pPr>
              <w:tabs>
                <w:tab w:val="left" w:pos="709"/>
              </w:tabs>
              <w:rPr>
                <w:b/>
                <w:sz w:val="18"/>
              </w:rPr>
            </w:pPr>
            <w:r>
              <w:rPr>
                <w:b/>
                <w:sz w:val="18"/>
              </w:rPr>
              <w:t>Název</w:t>
            </w:r>
          </w:p>
          <w:p w14:paraId="55956ED1" w14:textId="77777777" w:rsidR="00E42A45" w:rsidRDefault="00E42A45" w:rsidP="00BB63DF">
            <w:pPr>
              <w:tabs>
                <w:tab w:val="left" w:pos="709"/>
              </w:tabs>
              <w:rPr>
                <w:b/>
                <w:caps/>
                <w:sz w:val="18"/>
              </w:rPr>
            </w:pPr>
            <w:r>
              <w:rPr>
                <w:b/>
                <w:caps/>
                <w:sz w:val="18"/>
              </w:rPr>
              <w:t xml:space="preserve">                             </w:t>
            </w:r>
            <w:r>
              <w:rPr>
                <w:b/>
                <w:caps/>
              </w:rPr>
              <w:t xml:space="preserve"> Rokle nad Bynovem</w:t>
            </w:r>
          </w:p>
        </w:tc>
        <w:tc>
          <w:tcPr>
            <w:tcW w:w="3536" w:type="dxa"/>
            <w:shd w:val="clear" w:color="auto" w:fill="FFFFFF"/>
          </w:tcPr>
          <w:p w14:paraId="60C91BFE" w14:textId="77777777" w:rsidR="00E42A45" w:rsidRDefault="00E42A45" w:rsidP="00BB63DF">
            <w:pPr>
              <w:tabs>
                <w:tab w:val="left" w:pos="709"/>
              </w:tabs>
              <w:rPr>
                <w:b/>
                <w:sz w:val="18"/>
              </w:rPr>
            </w:pPr>
            <w:r>
              <w:rPr>
                <w:b/>
                <w:sz w:val="18"/>
              </w:rPr>
              <w:t xml:space="preserve">Mapový list           </w:t>
            </w:r>
          </w:p>
          <w:p w14:paraId="1E43D7D6" w14:textId="77777777" w:rsidR="00E42A45" w:rsidRDefault="00E42A45" w:rsidP="00BB63DF">
            <w:pPr>
              <w:tabs>
                <w:tab w:val="left" w:pos="709"/>
              </w:tabs>
              <w:rPr>
                <w:b/>
                <w:sz w:val="20"/>
              </w:rPr>
            </w:pPr>
            <w:r>
              <w:rPr>
                <w:b/>
                <w:sz w:val="20"/>
              </w:rPr>
              <w:t xml:space="preserve">                            </w:t>
            </w:r>
            <w:r>
              <w:rPr>
                <w:sz w:val="20"/>
              </w:rPr>
              <w:t>02-23-18</w:t>
            </w:r>
          </w:p>
        </w:tc>
        <w:tc>
          <w:tcPr>
            <w:tcW w:w="3536" w:type="dxa"/>
            <w:shd w:val="clear" w:color="auto" w:fill="FFFFFF"/>
          </w:tcPr>
          <w:p w14:paraId="2BBBEA2F" w14:textId="77777777" w:rsidR="00E42A45" w:rsidRDefault="00E42A45" w:rsidP="00BB63DF">
            <w:pPr>
              <w:tabs>
                <w:tab w:val="left" w:pos="709"/>
              </w:tabs>
              <w:rPr>
                <w:b/>
                <w:sz w:val="18"/>
              </w:rPr>
            </w:pPr>
            <w:r>
              <w:rPr>
                <w:b/>
                <w:sz w:val="18"/>
              </w:rPr>
              <w:t xml:space="preserve">Výměra             </w:t>
            </w:r>
          </w:p>
          <w:p w14:paraId="6313E4D0" w14:textId="77777777" w:rsidR="00E42A45" w:rsidRDefault="00E42A45" w:rsidP="00BB63DF">
            <w:pPr>
              <w:tabs>
                <w:tab w:val="left" w:pos="709"/>
              </w:tabs>
              <w:rPr>
                <w:b/>
                <w:sz w:val="20"/>
              </w:rPr>
            </w:pPr>
            <w:r>
              <w:rPr>
                <w:b/>
                <w:sz w:val="18"/>
              </w:rPr>
              <w:t xml:space="preserve">                     </w:t>
            </w:r>
            <w:r>
              <w:rPr>
                <w:b/>
                <w:sz w:val="20"/>
              </w:rPr>
              <w:t>138,63 ha</w:t>
            </w:r>
          </w:p>
        </w:tc>
      </w:tr>
      <w:tr w:rsidR="00E42A45" w14:paraId="6B00D889" w14:textId="77777777" w:rsidTr="00BB63DF">
        <w:tc>
          <w:tcPr>
            <w:tcW w:w="7072" w:type="dxa"/>
            <w:shd w:val="clear" w:color="auto" w:fill="FFFFFF"/>
          </w:tcPr>
          <w:p w14:paraId="1CD207AA" w14:textId="77777777" w:rsidR="00E42A45" w:rsidRDefault="00E42A45" w:rsidP="00BB63DF">
            <w:pPr>
              <w:tabs>
                <w:tab w:val="left" w:pos="709"/>
              </w:tabs>
              <w:rPr>
                <w:sz w:val="20"/>
              </w:rPr>
            </w:pPr>
            <w:r>
              <w:rPr>
                <w:sz w:val="20"/>
              </w:rPr>
              <w:t>EVKP - ekologicky významný krajinný prvek</w:t>
            </w:r>
          </w:p>
          <w:p w14:paraId="407CC87E" w14:textId="77777777" w:rsidR="00E42A45" w:rsidRDefault="00E42A45" w:rsidP="00BB63DF">
            <w:pPr>
              <w:tabs>
                <w:tab w:val="left" w:pos="709"/>
              </w:tabs>
              <w:rPr>
                <w:sz w:val="20"/>
              </w:rPr>
            </w:pPr>
            <w:r>
              <w:rPr>
                <w:sz w:val="20"/>
              </w:rPr>
              <w:t>EVKC - ekologicky významný krajinný celek</w:t>
            </w:r>
          </w:p>
          <w:p w14:paraId="0E246B69" w14:textId="77777777" w:rsidR="00E42A45" w:rsidRPr="002D7515" w:rsidRDefault="00E42A45" w:rsidP="00BB63DF">
            <w:pPr>
              <w:pStyle w:val="Nadpis6"/>
            </w:pPr>
            <w:r w:rsidRPr="002D7515">
              <w:t>EVKO - ekologicky významná krajinná oblast</w:t>
            </w:r>
          </w:p>
          <w:p w14:paraId="26394242"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7DAFB0C5" w14:textId="77777777" w:rsidR="00E42A45" w:rsidRPr="002D7515" w:rsidRDefault="00E42A45" w:rsidP="00BB63DF">
            <w:pPr>
              <w:pStyle w:val="Nadpis8"/>
            </w:pPr>
            <w:r w:rsidRPr="002D7515">
              <w:t>Biogeografický význam</w:t>
            </w:r>
          </w:p>
          <w:p w14:paraId="581D6AC1" w14:textId="77777777" w:rsidR="00E42A45" w:rsidRDefault="00E42A45" w:rsidP="00BB63DF">
            <w:pPr>
              <w:tabs>
                <w:tab w:val="left" w:pos="709"/>
              </w:tabs>
              <w:rPr>
                <w:sz w:val="20"/>
              </w:rPr>
            </w:pPr>
            <w:r>
              <w:rPr>
                <w:sz w:val="20"/>
              </w:rPr>
              <w:t xml:space="preserve">       -</w:t>
            </w:r>
            <w:r>
              <w:rPr>
                <w:b/>
                <w:sz w:val="20"/>
                <w:u w:val="single"/>
              </w:rPr>
              <w:t xml:space="preserve"> </w:t>
            </w:r>
            <w:r>
              <w:rPr>
                <w:sz w:val="20"/>
              </w:rPr>
              <w:t xml:space="preserve">lokální </w:t>
            </w:r>
          </w:p>
          <w:p w14:paraId="7B954B3F" w14:textId="77777777" w:rsidR="00E42A45" w:rsidRDefault="00E42A45" w:rsidP="00BB63DF">
            <w:pPr>
              <w:tabs>
                <w:tab w:val="left" w:pos="709"/>
              </w:tabs>
              <w:ind w:left="345"/>
            </w:pPr>
            <w:r>
              <w:t xml:space="preserve"> </w:t>
            </w:r>
            <w:r>
              <w:rPr>
                <w:b/>
              </w:rPr>
              <w:t>- regionální, reprezentativní</w:t>
            </w:r>
          </w:p>
          <w:p w14:paraId="2974A7A0" w14:textId="77777777" w:rsidR="00E42A45" w:rsidRDefault="00E42A45" w:rsidP="00BB63DF">
            <w:pPr>
              <w:tabs>
                <w:tab w:val="left" w:pos="709"/>
              </w:tabs>
              <w:ind w:left="345"/>
              <w:rPr>
                <w:sz w:val="20"/>
              </w:rPr>
            </w:pPr>
            <w:r>
              <w:t xml:space="preserve"> </w:t>
            </w:r>
            <w:r>
              <w:rPr>
                <w:sz w:val="20"/>
              </w:rPr>
              <w:t>- nadregionální</w:t>
            </w:r>
          </w:p>
        </w:tc>
        <w:tc>
          <w:tcPr>
            <w:tcW w:w="3536" w:type="dxa"/>
            <w:shd w:val="clear" w:color="auto" w:fill="FFFFFF"/>
          </w:tcPr>
          <w:p w14:paraId="7B4F62CA" w14:textId="77777777" w:rsidR="00E42A45" w:rsidRDefault="00E42A45" w:rsidP="00BB63DF">
            <w:pPr>
              <w:tabs>
                <w:tab w:val="left" w:pos="709"/>
              </w:tabs>
              <w:rPr>
                <w:b/>
                <w:sz w:val="18"/>
              </w:rPr>
            </w:pPr>
            <w:r>
              <w:rPr>
                <w:b/>
                <w:sz w:val="18"/>
              </w:rPr>
              <w:t>Stav</w:t>
            </w:r>
          </w:p>
          <w:p w14:paraId="2F8DCC08" w14:textId="77777777" w:rsidR="00E42A45" w:rsidRDefault="00E42A45" w:rsidP="00BB63DF">
            <w:pPr>
              <w:tabs>
                <w:tab w:val="left" w:pos="709"/>
              </w:tabs>
              <w:ind w:left="405"/>
            </w:pPr>
            <w:r>
              <w:rPr>
                <w:b/>
              </w:rPr>
              <w:t>-  funkčně vymezený</w:t>
            </w:r>
          </w:p>
          <w:p w14:paraId="6DD91111" w14:textId="77777777" w:rsidR="00E42A45" w:rsidRDefault="00E42A45" w:rsidP="00BB63DF">
            <w:pPr>
              <w:tabs>
                <w:tab w:val="left" w:pos="709"/>
              </w:tabs>
              <w:rPr>
                <w:sz w:val="20"/>
              </w:rPr>
            </w:pPr>
            <w:r>
              <w:t xml:space="preserve">       </w:t>
            </w:r>
            <w:r>
              <w:rPr>
                <w:sz w:val="20"/>
              </w:rPr>
              <w:t xml:space="preserve">-  semifunkční    </w:t>
            </w:r>
          </w:p>
          <w:p w14:paraId="3B70A1ED" w14:textId="77777777" w:rsidR="00E42A45" w:rsidRDefault="00E42A45" w:rsidP="00BB63DF">
            <w:pPr>
              <w:tabs>
                <w:tab w:val="left" w:pos="709"/>
              </w:tabs>
            </w:pPr>
            <w:r>
              <w:rPr>
                <w:sz w:val="20"/>
              </w:rPr>
              <w:t xml:space="preserve">        -  navržený</w:t>
            </w:r>
          </w:p>
        </w:tc>
      </w:tr>
      <w:tr w:rsidR="00E42A45" w14:paraId="328F849C" w14:textId="77777777" w:rsidTr="00BB63DF">
        <w:tc>
          <w:tcPr>
            <w:tcW w:w="7072" w:type="dxa"/>
            <w:shd w:val="clear" w:color="auto" w:fill="FFFFFF"/>
          </w:tcPr>
          <w:p w14:paraId="1A7FFF00" w14:textId="77777777" w:rsidR="00E42A45" w:rsidRDefault="00E42A45" w:rsidP="00BB63DF">
            <w:pPr>
              <w:tabs>
                <w:tab w:val="left" w:pos="709"/>
              </w:tabs>
              <w:rPr>
                <w:b/>
                <w:sz w:val="18"/>
              </w:rPr>
            </w:pPr>
            <w:r>
              <w:rPr>
                <w:b/>
                <w:sz w:val="18"/>
              </w:rPr>
              <w:t>Geobiocenologická typizace (vegetační stupeň, trofická řada, hydrická řada)</w:t>
            </w:r>
          </w:p>
          <w:p w14:paraId="3B6666F6" w14:textId="77777777" w:rsidR="00E42A45" w:rsidRDefault="00E42A45" w:rsidP="00BB63DF">
            <w:pPr>
              <w:tabs>
                <w:tab w:val="left" w:pos="709"/>
              </w:tabs>
            </w:pPr>
            <w:r>
              <w:t xml:space="preserve">                       3AB3, 5AB3, 4AB2, 5A1, 4A1  </w:t>
            </w:r>
          </w:p>
        </w:tc>
        <w:tc>
          <w:tcPr>
            <w:tcW w:w="7072" w:type="dxa"/>
            <w:gridSpan w:val="2"/>
            <w:shd w:val="clear" w:color="auto" w:fill="FFFFFF"/>
          </w:tcPr>
          <w:p w14:paraId="6288BB8A" w14:textId="77777777" w:rsidR="00E42A45" w:rsidRDefault="00E42A45" w:rsidP="00BB63DF">
            <w:pPr>
              <w:pStyle w:val="Styl1"/>
              <w:tabs>
                <w:tab w:val="left" w:pos="709"/>
              </w:tabs>
            </w:pPr>
          </w:p>
        </w:tc>
      </w:tr>
      <w:tr w:rsidR="00E42A45" w14:paraId="3C4AD4C6" w14:textId="77777777" w:rsidTr="00BB63DF">
        <w:tc>
          <w:tcPr>
            <w:tcW w:w="14144" w:type="dxa"/>
            <w:gridSpan w:val="3"/>
          </w:tcPr>
          <w:p w14:paraId="46DF2897" w14:textId="77777777" w:rsidR="00E42A45" w:rsidRDefault="00E42A45" w:rsidP="00BB63DF">
            <w:pPr>
              <w:tabs>
                <w:tab w:val="left" w:pos="709"/>
              </w:tabs>
            </w:pPr>
            <w:r>
              <w:rPr>
                <w:b/>
                <w:sz w:val="18"/>
              </w:rPr>
              <w:t>Charakter ekotopu a bioty</w:t>
            </w:r>
            <w:r>
              <w:t xml:space="preserve">       </w:t>
            </w:r>
          </w:p>
          <w:p w14:paraId="7A25137A" w14:textId="77777777" w:rsidR="00E42A45" w:rsidRDefault="00E42A45" w:rsidP="00BB63DF">
            <w:pPr>
              <w:tabs>
                <w:tab w:val="left" w:pos="709"/>
              </w:tabs>
              <w:rPr>
                <w:sz w:val="20"/>
              </w:rPr>
            </w:pPr>
            <w:r>
              <w:rPr>
                <w:sz w:val="20"/>
              </w:rPr>
              <w:t xml:space="preserve">Regionální biocentrum na trase nadregionálního biokoridoru na převážně jihovýchodně exponovaných  svazích se sklonem až 60 %.  Nadmořská výška lokality se pohybuje od 210 do 435 m.   Reliéf svahů je výrazně zvlněný s četnými údolími, hřbety, terénními stupni a zářezy.  </w:t>
            </w:r>
          </w:p>
          <w:p w14:paraId="7B691B5D" w14:textId="77777777" w:rsidR="00E42A45" w:rsidRDefault="00E42A45" w:rsidP="00BB63DF">
            <w:pPr>
              <w:tabs>
                <w:tab w:val="left" w:pos="709"/>
              </w:tabs>
              <w:rPr>
                <w:sz w:val="20"/>
              </w:rPr>
            </w:pPr>
            <w:r>
              <w:rPr>
                <w:sz w:val="20"/>
              </w:rPr>
              <w:t xml:space="preserve">                                                                                                         SES =  4.   </w:t>
            </w:r>
          </w:p>
          <w:p w14:paraId="0A4BBC4B" w14:textId="77777777" w:rsidR="00E42A45" w:rsidRDefault="00E42A45" w:rsidP="00BB63DF">
            <w:pPr>
              <w:tabs>
                <w:tab w:val="left" w:pos="709"/>
              </w:tabs>
              <w:rPr>
                <w:sz w:val="20"/>
              </w:rPr>
            </w:pPr>
            <w:r>
              <w:rPr>
                <w:sz w:val="20"/>
              </w:rPr>
              <w:t xml:space="preserve">Lesní porost je tvořen následujícími dřevinami: </w:t>
            </w:r>
          </w:p>
          <w:p w14:paraId="16834651" w14:textId="77777777" w:rsidR="00E42A45" w:rsidRDefault="00E42A45" w:rsidP="00BB63DF">
            <w:pPr>
              <w:tabs>
                <w:tab w:val="left" w:pos="709"/>
              </w:tabs>
              <w:rPr>
                <w:sz w:val="20"/>
              </w:rPr>
            </w:pPr>
            <w:r>
              <w:rPr>
                <w:sz w:val="20"/>
              </w:rPr>
              <w:t>253/A - BK, BO, SM, MD, BR, SMP, VJ                                                    253/B - SM, BO, BK, BR</w:t>
            </w:r>
          </w:p>
          <w:p w14:paraId="452D4653" w14:textId="77777777" w:rsidR="00E42A45" w:rsidRDefault="00E42A45" w:rsidP="00BB63DF">
            <w:pPr>
              <w:tabs>
                <w:tab w:val="left" w:pos="709"/>
              </w:tabs>
              <w:rPr>
                <w:sz w:val="20"/>
              </w:rPr>
            </w:pPr>
            <w:r>
              <w:rPr>
                <w:sz w:val="20"/>
              </w:rPr>
              <w:t>253/C - SM, BO, BK, BR, MD                                                                    253/E - SM, BO, BK, BR, MD, OL, JR</w:t>
            </w:r>
          </w:p>
          <w:p w14:paraId="74EFC121" w14:textId="77777777" w:rsidR="00E42A45" w:rsidRDefault="00E42A45" w:rsidP="00BB63DF">
            <w:pPr>
              <w:tabs>
                <w:tab w:val="left" w:pos="709"/>
              </w:tabs>
              <w:rPr>
                <w:sz w:val="20"/>
              </w:rPr>
            </w:pPr>
            <w:r>
              <w:rPr>
                <w:sz w:val="20"/>
              </w:rPr>
              <w:t>254/B - BK, SM, BO, BR, MD                                                                    254/C - BK, SM, BO, BR, MD</w:t>
            </w:r>
          </w:p>
          <w:p w14:paraId="2CD10D2B" w14:textId="77777777" w:rsidR="00E42A45" w:rsidRDefault="00E42A45" w:rsidP="00BB63DF">
            <w:pPr>
              <w:tabs>
                <w:tab w:val="left" w:pos="709"/>
              </w:tabs>
              <w:rPr>
                <w:sz w:val="20"/>
              </w:rPr>
            </w:pPr>
            <w:r>
              <w:rPr>
                <w:sz w:val="20"/>
              </w:rPr>
              <w:t>254/D - BK, SM, BO, BR, MD, DB                                                             254/E - BK, SM, BO, BR, MD, DB, VJ, KL, JIV</w:t>
            </w:r>
          </w:p>
          <w:p w14:paraId="6AF2FFF6" w14:textId="77777777" w:rsidR="00E42A45" w:rsidRDefault="00E42A45" w:rsidP="00BB63DF">
            <w:pPr>
              <w:tabs>
                <w:tab w:val="left" w:pos="709"/>
              </w:tabs>
              <w:rPr>
                <w:sz w:val="20"/>
              </w:rPr>
            </w:pPr>
            <w:r>
              <w:rPr>
                <w:sz w:val="20"/>
              </w:rPr>
              <w:t xml:space="preserve"> </w:t>
            </w:r>
          </w:p>
          <w:p w14:paraId="07527C4D" w14:textId="77777777" w:rsidR="00E42A45" w:rsidRDefault="00E42A45" w:rsidP="00BB63DF">
            <w:pPr>
              <w:tabs>
                <w:tab w:val="left" w:pos="709"/>
              </w:tabs>
              <w:rPr>
                <w:sz w:val="20"/>
              </w:rPr>
            </w:pPr>
            <w:r>
              <w:rPr>
                <w:b/>
                <w:sz w:val="20"/>
              </w:rPr>
              <w:t>Zastoupené lesní typy:</w:t>
            </w:r>
            <w:r>
              <w:rPr>
                <w:sz w:val="20"/>
              </w:rPr>
              <w:t xml:space="preserve">          3K1- kyselá dbBK metlicová                        5K1 - kyselá jdBKmetlicová</w:t>
            </w:r>
          </w:p>
          <w:p w14:paraId="02775A3D" w14:textId="77777777" w:rsidR="00E42A45" w:rsidRDefault="00E42A45" w:rsidP="00BB63DF">
            <w:pPr>
              <w:tabs>
                <w:tab w:val="left" w:pos="709"/>
              </w:tabs>
              <w:rPr>
                <w:sz w:val="20"/>
              </w:rPr>
            </w:pPr>
            <w:r>
              <w:rPr>
                <w:sz w:val="20"/>
              </w:rPr>
              <w:t xml:space="preserve">                                                0K4 - kyselý (dbbk) bor na výr. podzolech    0K3 - kyselý (dbbk) bor borůvkový</w:t>
            </w:r>
          </w:p>
          <w:p w14:paraId="37CD757B" w14:textId="77777777" w:rsidR="00E42A45" w:rsidRDefault="00E42A45" w:rsidP="00BB63DF">
            <w:pPr>
              <w:tabs>
                <w:tab w:val="left" w:pos="709"/>
              </w:tabs>
              <w:rPr>
                <w:sz w:val="20"/>
              </w:rPr>
            </w:pPr>
            <w:r>
              <w:rPr>
                <w:sz w:val="20"/>
              </w:rPr>
              <w:t xml:space="preserve">                                                0N4 - smrkový bor údolní třtinový                 0N3 - smrkový bor údolní metlicový</w:t>
            </w:r>
          </w:p>
          <w:p w14:paraId="6020C6AD" w14:textId="77777777" w:rsidR="00E42A45" w:rsidRDefault="00E42A45" w:rsidP="00BB63DF">
            <w:pPr>
              <w:tabs>
                <w:tab w:val="left" w:pos="709"/>
              </w:tabs>
              <w:rPr>
                <w:sz w:val="20"/>
              </w:rPr>
            </w:pPr>
            <w:r>
              <w:rPr>
                <w:sz w:val="20"/>
              </w:rPr>
              <w:t xml:space="preserve">                                                0Y1 - roklinový bor                                         0Z1 - reliktní bor skalnatý </w:t>
            </w:r>
          </w:p>
          <w:p w14:paraId="6472C744" w14:textId="77777777" w:rsidR="00E42A45" w:rsidRDefault="00E42A45" w:rsidP="00BB63DF">
            <w:pPr>
              <w:tabs>
                <w:tab w:val="left" w:pos="709"/>
              </w:tabs>
              <w:rPr>
                <w:sz w:val="20"/>
              </w:rPr>
            </w:pPr>
          </w:p>
          <w:p w14:paraId="2253758A" w14:textId="77777777" w:rsidR="00E42A45" w:rsidRDefault="00E42A45" w:rsidP="00BB63DF">
            <w:pPr>
              <w:tabs>
                <w:tab w:val="left" w:pos="709"/>
              </w:tabs>
              <w:rPr>
                <w:sz w:val="20"/>
              </w:rPr>
            </w:pPr>
            <w:r>
              <w:rPr>
                <w:sz w:val="20"/>
              </w:rPr>
              <w:t xml:space="preserve">Geol.: Hnědé půdy rašelinné podzolované oligotrofní, podzol výrazný i nevýrazný, </w:t>
            </w:r>
          </w:p>
          <w:p w14:paraId="76D0EFF1" w14:textId="77777777" w:rsidR="00E42A45" w:rsidRDefault="00E42A45" w:rsidP="00BB63DF">
            <w:pPr>
              <w:tabs>
                <w:tab w:val="left" w:pos="709"/>
              </w:tabs>
              <w:rPr>
                <w:i/>
                <w:sz w:val="20"/>
              </w:rPr>
            </w:pPr>
            <w:r>
              <w:rPr>
                <w:sz w:val="20"/>
              </w:rPr>
              <w:t xml:space="preserve">Bot.: </w:t>
            </w:r>
            <w:r>
              <w:rPr>
                <w:i/>
                <w:sz w:val="20"/>
              </w:rPr>
              <w:t xml:space="preserve"> Dicranum scoparium, Calamagrostis villosa, Dryopteris spinulosa, Vaccinium myrtillus,  Sphagnum sp., Trientaliseuropea, Deschampsia          </w:t>
            </w:r>
          </w:p>
          <w:p w14:paraId="4891F553" w14:textId="77777777" w:rsidR="00E42A45" w:rsidRPr="00B4044B" w:rsidRDefault="00E42A45" w:rsidP="00BB63DF">
            <w:pPr>
              <w:tabs>
                <w:tab w:val="left" w:pos="709"/>
              </w:tabs>
              <w:rPr>
                <w:caps/>
              </w:rPr>
            </w:pPr>
            <w:r>
              <w:t xml:space="preserve">          flexuosa, Blechnum spicant, Carex sp., Vaccinium vitis idaea, </w:t>
            </w:r>
          </w:p>
          <w:p w14:paraId="227D45E6" w14:textId="77777777" w:rsidR="00E42A45" w:rsidRDefault="00E42A45" w:rsidP="00BB63DF">
            <w:pPr>
              <w:tabs>
                <w:tab w:val="left" w:pos="709"/>
              </w:tabs>
              <w:rPr>
                <w:b/>
                <w:sz w:val="20"/>
              </w:rPr>
            </w:pPr>
            <w:r>
              <w:rPr>
                <w:b/>
                <w:sz w:val="20"/>
              </w:rPr>
              <w:t xml:space="preserve">Návrh opatření :      </w:t>
            </w:r>
          </w:p>
          <w:p w14:paraId="3AEF4CBD" w14:textId="77777777" w:rsidR="00E42A45" w:rsidRDefault="00E42A45" w:rsidP="00BB63DF">
            <w:pPr>
              <w:tabs>
                <w:tab w:val="left" w:pos="709"/>
              </w:tabs>
              <w:rPr>
                <w:b/>
                <w:sz w:val="20"/>
              </w:rPr>
            </w:pPr>
            <w:r>
              <w:rPr>
                <w:b/>
                <w:sz w:val="20"/>
              </w:rPr>
              <w:t>Dřeviny přirozené rekonstruované skladby podle SLT:            3K -BK6, DB3, JD1               5K - JD3,5, BK5,5, SM1          0K - BO8, DB1, BK1                                               0N - BO5, SM4, BR1, BK                0Y - BO9, BR1, DB                0Z - BO9, BR1, DB</w:t>
            </w:r>
          </w:p>
          <w:p w14:paraId="095FD3BE" w14:textId="77777777" w:rsidR="00E42A45" w:rsidRDefault="00E42A45" w:rsidP="00BB63DF">
            <w:pPr>
              <w:tabs>
                <w:tab w:val="left" w:pos="709"/>
              </w:tabs>
            </w:pPr>
            <w:r>
              <w:rPr>
                <w:b/>
                <w:sz w:val="20"/>
              </w:rPr>
              <w:t>Opatření v porostu ve smyslu Generelu rekonstrukce, který je promítnut v platném LHP, s  náhradou dřevin mimo přirozenou dřevinnou skladbu   -  výchovná opatření.  Podpora cenných listnáčů.</w:t>
            </w:r>
            <w:r>
              <w:t xml:space="preserve">                         </w:t>
            </w:r>
          </w:p>
        </w:tc>
      </w:tr>
      <w:tr w:rsidR="00E42A45" w14:paraId="0370B08D" w14:textId="77777777" w:rsidTr="00BB63DF">
        <w:tc>
          <w:tcPr>
            <w:tcW w:w="7072" w:type="dxa"/>
            <w:shd w:val="clear" w:color="auto" w:fill="FFFFFF"/>
          </w:tcPr>
          <w:p w14:paraId="1DD184FA" w14:textId="77777777" w:rsidR="00E42A45" w:rsidRDefault="00E42A45" w:rsidP="00BB63DF">
            <w:pPr>
              <w:tabs>
                <w:tab w:val="left" w:pos="709"/>
              </w:tabs>
              <w:rPr>
                <w:sz w:val="18"/>
              </w:rPr>
            </w:pPr>
            <w:r>
              <w:rPr>
                <w:sz w:val="18"/>
              </w:rPr>
              <w:t>Vymezení            LS       Sněžník, 253/A,B,C,E    254/B,C,D,E</w:t>
            </w:r>
          </w:p>
        </w:tc>
        <w:tc>
          <w:tcPr>
            <w:tcW w:w="7072" w:type="dxa"/>
            <w:gridSpan w:val="2"/>
            <w:shd w:val="clear" w:color="auto" w:fill="FFFFFF"/>
          </w:tcPr>
          <w:p w14:paraId="09E72485" w14:textId="77777777" w:rsidR="00E42A45" w:rsidRDefault="00E42A45" w:rsidP="00BB63DF">
            <w:pPr>
              <w:tabs>
                <w:tab w:val="left" w:pos="709"/>
              </w:tabs>
              <w:rPr>
                <w:sz w:val="18"/>
              </w:rPr>
            </w:pPr>
            <w:r>
              <w:rPr>
                <w:sz w:val="18"/>
              </w:rPr>
              <w:t xml:space="preserve">Kultura                  les </w:t>
            </w:r>
          </w:p>
        </w:tc>
      </w:tr>
      <w:tr w:rsidR="00E42A45" w14:paraId="1F62829A" w14:textId="77777777" w:rsidTr="00BB63DF">
        <w:tc>
          <w:tcPr>
            <w:tcW w:w="7072" w:type="dxa"/>
            <w:shd w:val="clear" w:color="auto" w:fill="FFFFFF"/>
          </w:tcPr>
          <w:p w14:paraId="1531C779" w14:textId="77777777" w:rsidR="00E42A45" w:rsidRPr="002D7515" w:rsidRDefault="00E42A45" w:rsidP="00BB63DF">
            <w:pPr>
              <w:pStyle w:val="Nadpis8"/>
              <w:rPr>
                <w:b/>
              </w:rPr>
            </w:pPr>
            <w:r w:rsidRPr="002D7515">
              <w:rPr>
                <w:b/>
              </w:rPr>
              <w:lastRenderedPageBreak/>
              <w:t xml:space="preserve">Uživatel    </w:t>
            </w:r>
          </w:p>
          <w:p w14:paraId="31BE33EA" w14:textId="77777777" w:rsidR="00E42A45" w:rsidRPr="002D7515" w:rsidRDefault="00E42A45" w:rsidP="00BB63DF">
            <w:pPr>
              <w:pStyle w:val="Nadpis8"/>
              <w:rPr>
                <w:b/>
              </w:rPr>
            </w:pPr>
            <w:r w:rsidRPr="002D7515">
              <w:rPr>
                <w:b/>
              </w:rPr>
              <w:t xml:space="preserve">                                                              LČR</w:t>
            </w:r>
          </w:p>
        </w:tc>
        <w:tc>
          <w:tcPr>
            <w:tcW w:w="7072" w:type="dxa"/>
            <w:gridSpan w:val="2"/>
            <w:shd w:val="clear" w:color="auto" w:fill="FFFFFF"/>
          </w:tcPr>
          <w:p w14:paraId="68DA725F" w14:textId="77777777" w:rsidR="00E42A45" w:rsidRDefault="00E42A45" w:rsidP="00BB63DF">
            <w:pPr>
              <w:tabs>
                <w:tab w:val="left" w:pos="709"/>
              </w:tabs>
              <w:rPr>
                <w:sz w:val="18"/>
              </w:rPr>
            </w:pPr>
            <w:r>
              <w:rPr>
                <w:sz w:val="18"/>
              </w:rPr>
              <w:t>Mapovatel            Sklenička, Linhart, 1997</w:t>
            </w:r>
          </w:p>
        </w:tc>
      </w:tr>
      <w:tr w:rsidR="00E42A45" w14:paraId="4C7F7371" w14:textId="77777777" w:rsidTr="00BB63DF">
        <w:tc>
          <w:tcPr>
            <w:tcW w:w="14144" w:type="dxa"/>
            <w:gridSpan w:val="3"/>
            <w:shd w:val="clear" w:color="auto" w:fill="FFFFFF"/>
          </w:tcPr>
          <w:p w14:paraId="21390A7D" w14:textId="77777777" w:rsidR="00E42A45" w:rsidRDefault="00E42A45" w:rsidP="00BB63DF">
            <w:pPr>
              <w:tabs>
                <w:tab w:val="left" w:pos="709"/>
              </w:tabs>
            </w:pPr>
            <w:r>
              <w:rPr>
                <w:sz w:val="18"/>
              </w:rPr>
              <w:t>Kategorie ochrany, rok vyhlášení</w:t>
            </w:r>
          </w:p>
          <w:p w14:paraId="24542E43" w14:textId="77777777" w:rsidR="00E42A45" w:rsidRPr="002D7515" w:rsidRDefault="00E42A45" w:rsidP="00BB63DF">
            <w:pPr>
              <w:pStyle w:val="Nadpis7"/>
            </w:pPr>
            <w:r w:rsidRPr="002D7515">
              <w:t xml:space="preserve">                                                                                            CHKO Labské Pískovce - III. zóna</w:t>
            </w:r>
          </w:p>
        </w:tc>
      </w:tr>
    </w:tbl>
    <w:p w14:paraId="507C8B3E"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028C66E3" w14:textId="77777777" w:rsidTr="00BB63DF">
        <w:tc>
          <w:tcPr>
            <w:tcW w:w="7072" w:type="dxa"/>
            <w:shd w:val="clear" w:color="auto" w:fill="FFFFFF"/>
          </w:tcPr>
          <w:p w14:paraId="54F6B784" w14:textId="77777777" w:rsidR="00E42A45" w:rsidRDefault="00E42A45" w:rsidP="00BB63DF">
            <w:pPr>
              <w:tabs>
                <w:tab w:val="left" w:pos="709"/>
              </w:tabs>
              <w:rPr>
                <w:b/>
                <w:sz w:val="18"/>
              </w:rPr>
            </w:pPr>
            <w:r>
              <w:rPr>
                <w:b/>
                <w:sz w:val="18"/>
              </w:rPr>
              <w:t>Pořadové číslo</w:t>
            </w:r>
          </w:p>
          <w:p w14:paraId="17EB35AC" w14:textId="77777777" w:rsidR="00E42A45" w:rsidRDefault="00E42A45" w:rsidP="00BB63DF">
            <w:pPr>
              <w:tabs>
                <w:tab w:val="left" w:pos="709"/>
              </w:tabs>
              <w:rPr>
                <w:b/>
                <w:sz w:val="36"/>
              </w:rPr>
            </w:pPr>
            <w:r>
              <w:rPr>
                <w:b/>
                <w:sz w:val="36"/>
              </w:rPr>
              <w:t xml:space="preserve">                                                 18</w:t>
            </w:r>
          </w:p>
        </w:tc>
        <w:tc>
          <w:tcPr>
            <w:tcW w:w="7072" w:type="dxa"/>
            <w:gridSpan w:val="2"/>
            <w:shd w:val="clear" w:color="auto" w:fill="FFFFFF"/>
          </w:tcPr>
          <w:p w14:paraId="3576BE7C" w14:textId="77777777" w:rsidR="00E42A45" w:rsidRDefault="00E42A45" w:rsidP="00BB63DF">
            <w:pPr>
              <w:tabs>
                <w:tab w:val="left" w:pos="709"/>
              </w:tabs>
              <w:rPr>
                <w:b/>
                <w:sz w:val="18"/>
              </w:rPr>
            </w:pPr>
            <w:r>
              <w:rPr>
                <w:b/>
                <w:sz w:val="18"/>
              </w:rPr>
              <w:t>Katastrální území</w:t>
            </w:r>
          </w:p>
          <w:p w14:paraId="27765AF6" w14:textId="77777777" w:rsidR="00E42A45" w:rsidRDefault="00E42A45" w:rsidP="00BB63DF">
            <w:pPr>
              <w:tabs>
                <w:tab w:val="left" w:pos="709"/>
              </w:tabs>
              <w:rPr>
                <w:b/>
                <w:sz w:val="18"/>
              </w:rPr>
            </w:pPr>
            <w:r>
              <w:rPr>
                <w:b/>
                <w:sz w:val="18"/>
              </w:rPr>
              <w:t xml:space="preserve">                                           </w:t>
            </w:r>
            <w:r>
              <w:rPr>
                <w:b/>
              </w:rPr>
              <w:t xml:space="preserve">Bělá, </w:t>
            </w:r>
            <w:r>
              <w:rPr>
                <w:b/>
                <w:sz w:val="18"/>
              </w:rPr>
              <w:t xml:space="preserve"> </w:t>
            </w:r>
            <w:r>
              <w:rPr>
                <w:b/>
              </w:rPr>
              <w:t xml:space="preserve">Bynov, </w:t>
            </w:r>
          </w:p>
        </w:tc>
      </w:tr>
      <w:tr w:rsidR="00E42A45" w14:paraId="57687F6B" w14:textId="77777777" w:rsidTr="00BB63DF">
        <w:tc>
          <w:tcPr>
            <w:tcW w:w="7072" w:type="dxa"/>
            <w:shd w:val="clear" w:color="auto" w:fill="FFFFFF"/>
          </w:tcPr>
          <w:p w14:paraId="5F53CBEF" w14:textId="77777777" w:rsidR="00E42A45" w:rsidRDefault="00E42A45" w:rsidP="00BB63DF">
            <w:pPr>
              <w:tabs>
                <w:tab w:val="left" w:pos="709"/>
              </w:tabs>
              <w:rPr>
                <w:b/>
                <w:sz w:val="18"/>
              </w:rPr>
            </w:pPr>
            <w:r>
              <w:rPr>
                <w:b/>
                <w:sz w:val="18"/>
              </w:rPr>
              <w:t>Název</w:t>
            </w:r>
          </w:p>
          <w:p w14:paraId="2CC375E1" w14:textId="77777777" w:rsidR="00E42A45" w:rsidRDefault="00E42A45" w:rsidP="00BB63DF">
            <w:pPr>
              <w:tabs>
                <w:tab w:val="left" w:pos="709"/>
              </w:tabs>
              <w:rPr>
                <w:b/>
                <w:caps/>
                <w:sz w:val="18"/>
              </w:rPr>
            </w:pPr>
            <w:r>
              <w:rPr>
                <w:b/>
                <w:caps/>
                <w:sz w:val="18"/>
              </w:rPr>
              <w:t xml:space="preserve">                     </w:t>
            </w:r>
            <w:r>
              <w:rPr>
                <w:b/>
                <w:caps/>
              </w:rPr>
              <w:t xml:space="preserve">                             Bělská vyhlídka</w:t>
            </w:r>
          </w:p>
        </w:tc>
        <w:tc>
          <w:tcPr>
            <w:tcW w:w="3536" w:type="dxa"/>
            <w:shd w:val="clear" w:color="auto" w:fill="FFFFFF"/>
          </w:tcPr>
          <w:p w14:paraId="618E125A" w14:textId="77777777" w:rsidR="00E42A45" w:rsidRDefault="00E42A45" w:rsidP="00BB63DF">
            <w:pPr>
              <w:tabs>
                <w:tab w:val="left" w:pos="709"/>
              </w:tabs>
              <w:rPr>
                <w:b/>
                <w:sz w:val="18"/>
              </w:rPr>
            </w:pPr>
            <w:r>
              <w:rPr>
                <w:b/>
                <w:sz w:val="18"/>
              </w:rPr>
              <w:t xml:space="preserve">Mapový list           </w:t>
            </w:r>
          </w:p>
          <w:p w14:paraId="2262E9D4" w14:textId="77777777" w:rsidR="00E42A45" w:rsidRDefault="00E42A45" w:rsidP="00BB63DF">
            <w:pPr>
              <w:tabs>
                <w:tab w:val="left" w:pos="709"/>
              </w:tabs>
              <w:rPr>
                <w:b/>
                <w:sz w:val="20"/>
              </w:rPr>
            </w:pPr>
            <w:r>
              <w:rPr>
                <w:b/>
                <w:sz w:val="20"/>
              </w:rPr>
              <w:t xml:space="preserve">                            </w:t>
            </w:r>
            <w:r>
              <w:rPr>
                <w:sz w:val="20"/>
              </w:rPr>
              <w:t>02-23-18, 13</w:t>
            </w:r>
          </w:p>
        </w:tc>
        <w:tc>
          <w:tcPr>
            <w:tcW w:w="3536" w:type="dxa"/>
            <w:shd w:val="clear" w:color="auto" w:fill="FFFFFF"/>
          </w:tcPr>
          <w:p w14:paraId="47B12968" w14:textId="77777777" w:rsidR="00E42A45" w:rsidRDefault="00E42A45" w:rsidP="00BB63DF">
            <w:pPr>
              <w:tabs>
                <w:tab w:val="left" w:pos="709"/>
              </w:tabs>
              <w:rPr>
                <w:b/>
                <w:sz w:val="18"/>
              </w:rPr>
            </w:pPr>
            <w:r>
              <w:rPr>
                <w:b/>
                <w:sz w:val="18"/>
              </w:rPr>
              <w:t xml:space="preserve">Výměra             </w:t>
            </w:r>
          </w:p>
          <w:p w14:paraId="728E47E1" w14:textId="77777777" w:rsidR="00E42A45" w:rsidRDefault="00E42A45" w:rsidP="00BB63DF">
            <w:pPr>
              <w:tabs>
                <w:tab w:val="left" w:pos="709"/>
              </w:tabs>
              <w:rPr>
                <w:b/>
                <w:sz w:val="20"/>
              </w:rPr>
            </w:pPr>
            <w:r>
              <w:rPr>
                <w:b/>
                <w:sz w:val="20"/>
              </w:rPr>
              <w:t xml:space="preserve">                     167,95 ha</w:t>
            </w:r>
          </w:p>
        </w:tc>
      </w:tr>
      <w:tr w:rsidR="00E42A45" w14:paraId="3C8998E7" w14:textId="77777777" w:rsidTr="00BB63DF">
        <w:tc>
          <w:tcPr>
            <w:tcW w:w="7072" w:type="dxa"/>
            <w:shd w:val="clear" w:color="auto" w:fill="FFFFFF"/>
          </w:tcPr>
          <w:p w14:paraId="5EED0F4D" w14:textId="77777777" w:rsidR="00E42A45" w:rsidRDefault="00E42A45" w:rsidP="00BB63DF">
            <w:pPr>
              <w:tabs>
                <w:tab w:val="left" w:pos="709"/>
              </w:tabs>
              <w:rPr>
                <w:sz w:val="20"/>
              </w:rPr>
            </w:pPr>
            <w:r>
              <w:rPr>
                <w:sz w:val="20"/>
              </w:rPr>
              <w:t>EVKP - ekologicky významný krajinný prvek</w:t>
            </w:r>
          </w:p>
          <w:p w14:paraId="4770D83C" w14:textId="77777777" w:rsidR="00E42A45" w:rsidRDefault="00E42A45" w:rsidP="00BB63DF">
            <w:pPr>
              <w:tabs>
                <w:tab w:val="left" w:pos="709"/>
              </w:tabs>
              <w:rPr>
                <w:sz w:val="20"/>
              </w:rPr>
            </w:pPr>
            <w:r>
              <w:rPr>
                <w:sz w:val="20"/>
              </w:rPr>
              <w:t>EVKC - ekologicky významný krajinný celek</w:t>
            </w:r>
          </w:p>
          <w:p w14:paraId="4F2458C7" w14:textId="77777777" w:rsidR="00E42A45" w:rsidRPr="002D7515" w:rsidRDefault="00E42A45" w:rsidP="00BB63DF">
            <w:pPr>
              <w:pStyle w:val="Nadpis6"/>
            </w:pPr>
            <w:r w:rsidRPr="002D7515">
              <w:t>EVKO - ekologicky významná krajinná oblast</w:t>
            </w:r>
          </w:p>
          <w:p w14:paraId="406EA21C"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6F4DE183" w14:textId="77777777" w:rsidR="00E42A45" w:rsidRPr="002D7515" w:rsidRDefault="00E42A45" w:rsidP="00BB63DF">
            <w:pPr>
              <w:pStyle w:val="Nadpis8"/>
            </w:pPr>
            <w:r w:rsidRPr="002D7515">
              <w:t>Biogeografický význam</w:t>
            </w:r>
          </w:p>
          <w:p w14:paraId="19D15A86" w14:textId="77777777" w:rsidR="00E42A45" w:rsidRDefault="00E42A45" w:rsidP="00BB63DF">
            <w:pPr>
              <w:tabs>
                <w:tab w:val="left" w:pos="709"/>
              </w:tabs>
              <w:rPr>
                <w:sz w:val="20"/>
              </w:rPr>
            </w:pPr>
            <w:r>
              <w:rPr>
                <w:sz w:val="20"/>
              </w:rPr>
              <w:t xml:space="preserve">       -lokální </w:t>
            </w:r>
          </w:p>
          <w:p w14:paraId="0F8A8AF1" w14:textId="77777777" w:rsidR="00E42A45" w:rsidRDefault="00E42A45" w:rsidP="00BB63DF">
            <w:pPr>
              <w:tabs>
                <w:tab w:val="left" w:pos="709"/>
              </w:tabs>
              <w:ind w:left="345"/>
            </w:pPr>
            <w:r>
              <w:t xml:space="preserve"> </w:t>
            </w:r>
            <w:r>
              <w:rPr>
                <w:b/>
              </w:rPr>
              <w:t>- regionální, reprezentativní</w:t>
            </w:r>
          </w:p>
          <w:p w14:paraId="5101053C" w14:textId="77777777" w:rsidR="00E42A45" w:rsidRDefault="00E42A45" w:rsidP="00BB63DF">
            <w:pPr>
              <w:tabs>
                <w:tab w:val="left" w:pos="709"/>
              </w:tabs>
              <w:ind w:left="345"/>
              <w:rPr>
                <w:sz w:val="20"/>
              </w:rPr>
            </w:pPr>
            <w:r>
              <w:t xml:space="preserve"> </w:t>
            </w:r>
            <w:r>
              <w:rPr>
                <w:sz w:val="20"/>
              </w:rPr>
              <w:t>- nadregionální</w:t>
            </w:r>
          </w:p>
        </w:tc>
        <w:tc>
          <w:tcPr>
            <w:tcW w:w="3536" w:type="dxa"/>
            <w:shd w:val="clear" w:color="auto" w:fill="FFFFFF"/>
          </w:tcPr>
          <w:p w14:paraId="2F32A5CA" w14:textId="77777777" w:rsidR="00E42A45" w:rsidRDefault="00E42A45" w:rsidP="00BB63DF">
            <w:pPr>
              <w:tabs>
                <w:tab w:val="left" w:pos="709"/>
              </w:tabs>
              <w:rPr>
                <w:b/>
                <w:sz w:val="18"/>
              </w:rPr>
            </w:pPr>
            <w:r>
              <w:rPr>
                <w:b/>
                <w:sz w:val="18"/>
              </w:rPr>
              <w:t>Stav</w:t>
            </w:r>
          </w:p>
          <w:p w14:paraId="450F0BCD" w14:textId="77777777" w:rsidR="00E42A45" w:rsidRDefault="00E42A45" w:rsidP="00BB63DF">
            <w:pPr>
              <w:tabs>
                <w:tab w:val="left" w:pos="709"/>
              </w:tabs>
              <w:ind w:left="405"/>
            </w:pPr>
            <w:r>
              <w:rPr>
                <w:b/>
              </w:rPr>
              <w:t>-  funkčně vymezený</w:t>
            </w:r>
          </w:p>
          <w:p w14:paraId="6D449402" w14:textId="77777777" w:rsidR="00E42A45" w:rsidRDefault="00E42A45" w:rsidP="00BB63DF">
            <w:pPr>
              <w:tabs>
                <w:tab w:val="left" w:pos="709"/>
              </w:tabs>
              <w:rPr>
                <w:sz w:val="20"/>
              </w:rPr>
            </w:pPr>
            <w:r>
              <w:t xml:space="preserve">       </w:t>
            </w:r>
            <w:r>
              <w:rPr>
                <w:sz w:val="20"/>
              </w:rPr>
              <w:t xml:space="preserve">-  semifunkční    </w:t>
            </w:r>
          </w:p>
          <w:p w14:paraId="7AEEF713" w14:textId="77777777" w:rsidR="00E42A45" w:rsidRDefault="00E42A45" w:rsidP="00BB63DF">
            <w:pPr>
              <w:tabs>
                <w:tab w:val="left" w:pos="709"/>
              </w:tabs>
            </w:pPr>
            <w:r>
              <w:rPr>
                <w:sz w:val="20"/>
              </w:rPr>
              <w:t xml:space="preserve">        -  navržený</w:t>
            </w:r>
          </w:p>
        </w:tc>
      </w:tr>
      <w:tr w:rsidR="00E42A45" w14:paraId="2B9F3D90" w14:textId="77777777" w:rsidTr="00BB63DF">
        <w:tc>
          <w:tcPr>
            <w:tcW w:w="7072" w:type="dxa"/>
            <w:shd w:val="clear" w:color="auto" w:fill="FFFFFF"/>
          </w:tcPr>
          <w:p w14:paraId="05BB9948" w14:textId="77777777" w:rsidR="00E42A45" w:rsidRDefault="00E42A45" w:rsidP="00BB63DF">
            <w:pPr>
              <w:tabs>
                <w:tab w:val="left" w:pos="709"/>
              </w:tabs>
              <w:rPr>
                <w:b/>
                <w:sz w:val="18"/>
              </w:rPr>
            </w:pPr>
            <w:r>
              <w:rPr>
                <w:b/>
                <w:sz w:val="18"/>
              </w:rPr>
              <w:t>Geobiocenologická typizace (vegetační stupeň, trofická řada, hydrická řada)</w:t>
            </w:r>
          </w:p>
          <w:p w14:paraId="08F41DF3" w14:textId="77777777" w:rsidR="00E42A45" w:rsidRDefault="00E42A45" w:rsidP="00BB63DF">
            <w:pPr>
              <w:tabs>
                <w:tab w:val="left" w:pos="709"/>
              </w:tabs>
            </w:pPr>
            <w:r>
              <w:t xml:space="preserve">                       3AB3, 5AB3, 4AB2, 5A1, 4A1, 6AB3, 5C4    </w:t>
            </w:r>
          </w:p>
        </w:tc>
        <w:tc>
          <w:tcPr>
            <w:tcW w:w="7072" w:type="dxa"/>
            <w:gridSpan w:val="2"/>
            <w:shd w:val="clear" w:color="auto" w:fill="FFFFFF"/>
          </w:tcPr>
          <w:p w14:paraId="182DAEFF" w14:textId="77777777" w:rsidR="00E42A45" w:rsidRDefault="00E42A45" w:rsidP="00BB63DF">
            <w:pPr>
              <w:pStyle w:val="Styl1"/>
              <w:tabs>
                <w:tab w:val="left" w:pos="709"/>
              </w:tabs>
            </w:pPr>
          </w:p>
        </w:tc>
      </w:tr>
      <w:tr w:rsidR="00E42A45" w14:paraId="7F53FB3F" w14:textId="77777777" w:rsidTr="00BB63DF">
        <w:tc>
          <w:tcPr>
            <w:tcW w:w="14144" w:type="dxa"/>
            <w:gridSpan w:val="3"/>
          </w:tcPr>
          <w:p w14:paraId="17097762" w14:textId="77777777" w:rsidR="00E42A45" w:rsidRDefault="00E42A45" w:rsidP="00BB63DF">
            <w:pPr>
              <w:tabs>
                <w:tab w:val="left" w:pos="709"/>
              </w:tabs>
              <w:rPr>
                <w:b/>
                <w:sz w:val="18"/>
              </w:rPr>
            </w:pPr>
          </w:p>
          <w:p w14:paraId="6135BBAC" w14:textId="77777777" w:rsidR="00E42A45" w:rsidRDefault="00E42A45" w:rsidP="00BB63DF">
            <w:pPr>
              <w:tabs>
                <w:tab w:val="left" w:pos="709"/>
              </w:tabs>
            </w:pPr>
            <w:r>
              <w:rPr>
                <w:b/>
                <w:sz w:val="18"/>
              </w:rPr>
              <w:t>Charakter ekotopu a bioty</w:t>
            </w:r>
            <w:r>
              <w:t xml:space="preserve">  </w:t>
            </w:r>
          </w:p>
          <w:p w14:paraId="656DA3DA" w14:textId="77777777" w:rsidR="00E42A45" w:rsidRDefault="00E42A45" w:rsidP="00BB63DF">
            <w:pPr>
              <w:tabs>
                <w:tab w:val="left" w:pos="709"/>
              </w:tabs>
              <w:rPr>
                <w:sz w:val="20"/>
              </w:rPr>
            </w:pPr>
            <w:r>
              <w:rPr>
                <w:sz w:val="20"/>
              </w:rPr>
              <w:t xml:space="preserve">Regionální biocentrum na trase nadregionálního biokoridoru na všesměrně exponovaných svazích se sklonem 5 - 30 %.  Nadmořská výška lokality se pohybuje od 290 do 455 m.   Reliéf svahů je výrazně zvlněný s četnými údolími, hřbety, terénními stupni a zářezy.  Dominantou lokality jsou skalní pískovcové výchozy v liniových formacích i rozptýleně.  Z ekologického hlediska (troficita, hydricita) je biocentrum značně heterogenní. Součástí lokality jsou dva vodní toky - Bělský potok a jeho bezejmenný levostranný přítok. Charakter obou vodních toků je vesměs přírodní bez významnější regulačních zásahů.  Podél vodních toků vznikají polopropustné až nepropustné bariéry z důvodu změny hydrického gradientu                 </w:t>
            </w:r>
          </w:p>
          <w:p w14:paraId="3A33D164" w14:textId="77777777" w:rsidR="00E42A45" w:rsidRDefault="00E42A45" w:rsidP="00BB63DF">
            <w:pPr>
              <w:tabs>
                <w:tab w:val="left" w:pos="709"/>
              </w:tabs>
              <w:rPr>
                <w:sz w:val="20"/>
              </w:rPr>
            </w:pPr>
            <w:r>
              <w:rPr>
                <w:sz w:val="20"/>
              </w:rPr>
              <w:t xml:space="preserve"> SES =  4.</w:t>
            </w:r>
          </w:p>
          <w:p w14:paraId="70F4B215" w14:textId="77777777" w:rsidR="00E42A45" w:rsidRDefault="00E42A45" w:rsidP="00BB63DF">
            <w:pPr>
              <w:pStyle w:val="Zkladntext"/>
            </w:pPr>
            <w:r>
              <w:t xml:space="preserve">Lesní porost je tvořen následujícími dřevinami: </w:t>
            </w:r>
          </w:p>
          <w:p w14:paraId="7660B7C7" w14:textId="77777777" w:rsidR="00E42A45" w:rsidRDefault="00E42A45" w:rsidP="00BB63DF">
            <w:pPr>
              <w:tabs>
                <w:tab w:val="left" w:pos="709"/>
              </w:tabs>
              <w:rPr>
                <w:sz w:val="20"/>
              </w:rPr>
            </w:pPr>
          </w:p>
          <w:p w14:paraId="777739B6" w14:textId="77777777" w:rsidR="00E42A45" w:rsidRDefault="00E42A45" w:rsidP="00BB63DF">
            <w:pPr>
              <w:tabs>
                <w:tab w:val="left" w:pos="709"/>
              </w:tabs>
              <w:rPr>
                <w:sz w:val="20"/>
              </w:rPr>
            </w:pPr>
            <w:r>
              <w:rPr>
                <w:sz w:val="20"/>
              </w:rPr>
              <w:t>142/A - SM, BO, MD                                                                                   142/C - SM, BO</w:t>
            </w:r>
          </w:p>
          <w:p w14:paraId="33EDF507" w14:textId="77777777" w:rsidR="00E42A45" w:rsidRDefault="00E42A45" w:rsidP="00BB63DF">
            <w:pPr>
              <w:tabs>
                <w:tab w:val="left" w:pos="709"/>
              </w:tabs>
              <w:rPr>
                <w:sz w:val="20"/>
              </w:rPr>
            </w:pPr>
            <w:r>
              <w:rPr>
                <w:sz w:val="20"/>
              </w:rPr>
              <w:t>142/F - SM, MD, BR, JR, BR, KL, VJ                                                         142/G - SM, BO, BR, BK, MD, DB</w:t>
            </w:r>
          </w:p>
          <w:p w14:paraId="4ADDD566" w14:textId="77777777" w:rsidR="00E42A45" w:rsidRDefault="00E42A45" w:rsidP="00BB63DF">
            <w:pPr>
              <w:tabs>
                <w:tab w:val="left" w:pos="709"/>
              </w:tabs>
              <w:rPr>
                <w:sz w:val="20"/>
              </w:rPr>
            </w:pPr>
            <w:r>
              <w:rPr>
                <w:sz w:val="20"/>
              </w:rPr>
              <w:t>145/A - SM, BO, BR, BK, MD, DB, DBC                                                    145/B - SM, BK, MD, BO, BR</w:t>
            </w:r>
          </w:p>
          <w:p w14:paraId="3B508B50" w14:textId="77777777" w:rsidR="00E42A45" w:rsidRDefault="00E42A45" w:rsidP="00BB63DF">
            <w:pPr>
              <w:tabs>
                <w:tab w:val="left" w:pos="709"/>
              </w:tabs>
              <w:rPr>
                <w:sz w:val="20"/>
              </w:rPr>
            </w:pPr>
            <w:r>
              <w:rPr>
                <w:sz w:val="20"/>
              </w:rPr>
              <w:t>146/A - SM, BK, BO, MD, BR                                                                     146/B - SM, BK, BO, MD, BR, VJ</w:t>
            </w:r>
          </w:p>
          <w:p w14:paraId="1BFD4D10" w14:textId="77777777" w:rsidR="00E42A45" w:rsidRDefault="00E42A45" w:rsidP="00BB63DF">
            <w:pPr>
              <w:tabs>
                <w:tab w:val="left" w:pos="709"/>
              </w:tabs>
              <w:rPr>
                <w:sz w:val="20"/>
              </w:rPr>
            </w:pPr>
            <w:r>
              <w:rPr>
                <w:sz w:val="20"/>
              </w:rPr>
              <w:t>146/C - SM, BK, BO, MD, BR                                                                     146/D - SM, BK, BO, MD, BR</w:t>
            </w:r>
          </w:p>
          <w:p w14:paraId="5F821FD9" w14:textId="77777777" w:rsidR="00E42A45" w:rsidRDefault="00E42A45" w:rsidP="00BB63DF">
            <w:pPr>
              <w:tabs>
                <w:tab w:val="left" w:pos="709"/>
              </w:tabs>
              <w:rPr>
                <w:sz w:val="20"/>
              </w:rPr>
            </w:pPr>
            <w:r>
              <w:rPr>
                <w:sz w:val="20"/>
              </w:rPr>
              <w:t>146/E - SM, BK, BO, MD, BR, DB                                                              147/A - SM, BK, BO, MD, BR, VJ, OL</w:t>
            </w:r>
          </w:p>
          <w:p w14:paraId="1E0CBB26" w14:textId="77777777" w:rsidR="00E42A45" w:rsidRDefault="00E42A45" w:rsidP="00BB63DF">
            <w:pPr>
              <w:tabs>
                <w:tab w:val="left" w:pos="709"/>
              </w:tabs>
              <w:rPr>
                <w:sz w:val="20"/>
              </w:rPr>
            </w:pPr>
            <w:r>
              <w:rPr>
                <w:sz w:val="20"/>
              </w:rPr>
              <w:t>147/B - SM, BO, MD, BR                                                                            147/D - SM, BK, BO, MD, BR, VJ</w:t>
            </w:r>
          </w:p>
          <w:p w14:paraId="6974692F" w14:textId="77777777" w:rsidR="00E42A45" w:rsidRDefault="00E42A45" w:rsidP="00BB63DF">
            <w:pPr>
              <w:tabs>
                <w:tab w:val="left" w:pos="709"/>
              </w:tabs>
              <w:rPr>
                <w:sz w:val="20"/>
              </w:rPr>
            </w:pPr>
            <w:r>
              <w:rPr>
                <w:sz w:val="20"/>
              </w:rPr>
              <w:lastRenderedPageBreak/>
              <w:t>147/E - SM, BK, BO, MD, BR</w:t>
            </w:r>
          </w:p>
          <w:p w14:paraId="31F41BBF" w14:textId="77777777" w:rsidR="00E42A45" w:rsidRDefault="00E42A45" w:rsidP="00BB63DF">
            <w:pPr>
              <w:tabs>
                <w:tab w:val="left" w:pos="709"/>
              </w:tabs>
              <w:rPr>
                <w:sz w:val="20"/>
              </w:rPr>
            </w:pPr>
          </w:p>
          <w:p w14:paraId="7CD948E6" w14:textId="77777777" w:rsidR="00E42A45" w:rsidRDefault="00E42A45" w:rsidP="00BB63DF">
            <w:pPr>
              <w:tabs>
                <w:tab w:val="left" w:pos="709"/>
              </w:tabs>
              <w:rPr>
                <w:sz w:val="20"/>
              </w:rPr>
            </w:pPr>
          </w:p>
          <w:p w14:paraId="36CE8994" w14:textId="77777777" w:rsidR="00E42A45" w:rsidRDefault="00E42A45" w:rsidP="00BB63DF">
            <w:pPr>
              <w:tabs>
                <w:tab w:val="left" w:pos="709"/>
              </w:tabs>
              <w:rPr>
                <w:sz w:val="20"/>
              </w:rPr>
            </w:pPr>
            <w:r>
              <w:rPr>
                <w:sz w:val="20"/>
              </w:rPr>
              <w:t>Zastoupené lesní typy:                3K1- kyselá dbBK metlicová                        5K1 - kyselá jdBKmetlicová</w:t>
            </w:r>
          </w:p>
          <w:p w14:paraId="2C80CD81" w14:textId="77777777" w:rsidR="00E42A45" w:rsidRDefault="00E42A45" w:rsidP="00BB63DF">
            <w:pPr>
              <w:tabs>
                <w:tab w:val="left" w:pos="709"/>
              </w:tabs>
              <w:rPr>
                <w:sz w:val="20"/>
              </w:rPr>
            </w:pPr>
            <w:r>
              <w:rPr>
                <w:sz w:val="20"/>
              </w:rPr>
              <w:t xml:space="preserve">                                                    0K4 - kyselý (dbbk) bor na výr. podzolech   0K3 - kyselý (dbbk) bor borůvkový</w:t>
            </w:r>
          </w:p>
          <w:p w14:paraId="6458A66D" w14:textId="77777777" w:rsidR="00E42A45" w:rsidRDefault="00E42A45" w:rsidP="00BB63DF">
            <w:pPr>
              <w:tabs>
                <w:tab w:val="left" w:pos="709"/>
              </w:tabs>
              <w:rPr>
                <w:sz w:val="20"/>
              </w:rPr>
            </w:pPr>
            <w:r>
              <w:rPr>
                <w:sz w:val="20"/>
              </w:rPr>
              <w:t xml:space="preserve">                                                    0N4 - smrkový bor údolní třtinový                0N3 - smrkový bor údolní metlicový</w:t>
            </w:r>
          </w:p>
          <w:p w14:paraId="37F59843" w14:textId="77777777" w:rsidR="00E42A45" w:rsidRDefault="00E42A45" w:rsidP="00BB63DF">
            <w:pPr>
              <w:tabs>
                <w:tab w:val="left" w:pos="709"/>
              </w:tabs>
              <w:rPr>
                <w:sz w:val="20"/>
              </w:rPr>
            </w:pPr>
            <w:r>
              <w:rPr>
                <w:sz w:val="20"/>
              </w:rPr>
              <w:t xml:space="preserve">                                                    0Y1 - roklinový bor                                        0Z1- reliktní bor skalnatý </w:t>
            </w:r>
          </w:p>
          <w:p w14:paraId="63DF150F" w14:textId="77777777" w:rsidR="00E42A45" w:rsidRDefault="00E42A45" w:rsidP="00BB63DF">
            <w:pPr>
              <w:tabs>
                <w:tab w:val="left" w:pos="709"/>
              </w:tabs>
              <w:rPr>
                <w:sz w:val="20"/>
              </w:rPr>
            </w:pPr>
            <w:r>
              <w:rPr>
                <w:sz w:val="20"/>
              </w:rPr>
              <w:t xml:space="preserve">                                                    6N1 - kamenitá kys. sm BK s kapradí ost.   5U1 - vlhká jsJV úžlabní</w:t>
            </w:r>
          </w:p>
          <w:p w14:paraId="0037CEAC" w14:textId="77777777" w:rsidR="00E42A45" w:rsidRDefault="00E42A45" w:rsidP="00BB63DF">
            <w:pPr>
              <w:tabs>
                <w:tab w:val="left" w:pos="709"/>
              </w:tabs>
              <w:rPr>
                <w:sz w:val="20"/>
              </w:rPr>
            </w:pPr>
          </w:p>
          <w:p w14:paraId="78005760" w14:textId="77777777" w:rsidR="00E42A45" w:rsidRDefault="00E42A45" w:rsidP="00BB63DF">
            <w:pPr>
              <w:tabs>
                <w:tab w:val="left" w:pos="709"/>
              </w:tabs>
              <w:rPr>
                <w:sz w:val="20"/>
              </w:rPr>
            </w:pPr>
            <w:r>
              <w:rPr>
                <w:sz w:val="20"/>
              </w:rPr>
              <w:t xml:space="preserve">Geol.: Hnědé půdy rašelinné podzolované oligotrofní, podzol výrazný i nevýrazný, </w:t>
            </w:r>
          </w:p>
          <w:p w14:paraId="4024F53D" w14:textId="77777777" w:rsidR="00E42A45" w:rsidRDefault="00E42A45" w:rsidP="00BB63DF">
            <w:pPr>
              <w:tabs>
                <w:tab w:val="left" w:pos="709"/>
              </w:tabs>
              <w:rPr>
                <w:sz w:val="20"/>
              </w:rPr>
            </w:pPr>
          </w:p>
          <w:p w14:paraId="64E0F4A8" w14:textId="77777777" w:rsidR="00E42A45" w:rsidRDefault="00E42A45" w:rsidP="00BB63DF">
            <w:pPr>
              <w:tabs>
                <w:tab w:val="left" w:pos="709"/>
              </w:tabs>
              <w:rPr>
                <w:i/>
                <w:sz w:val="20"/>
              </w:rPr>
            </w:pPr>
            <w:r>
              <w:rPr>
                <w:sz w:val="20"/>
              </w:rPr>
              <w:t xml:space="preserve">Bot.: </w:t>
            </w:r>
            <w:r>
              <w:rPr>
                <w:i/>
                <w:sz w:val="20"/>
              </w:rPr>
              <w:t xml:space="preserve">Vaccinium myrtillus, Vaccinium vitis idaea,  Dicranum scoparium, Calamagrostis villosa, Dryopteris spinulosa ,  Sphagnum sp.,      </w:t>
            </w:r>
          </w:p>
          <w:p w14:paraId="2516C685" w14:textId="77777777" w:rsidR="00E42A45" w:rsidRPr="00A85749" w:rsidRDefault="00E42A45" w:rsidP="00BB63DF">
            <w:pPr>
              <w:tabs>
                <w:tab w:val="left" w:pos="709"/>
              </w:tabs>
              <w:rPr>
                <w:i/>
                <w:sz w:val="20"/>
              </w:rPr>
            </w:pPr>
            <w:r>
              <w:rPr>
                <w:i/>
                <w:sz w:val="20"/>
              </w:rPr>
              <w:t xml:space="preserve">        Trientaliseuropea, Deschampsia flexuosa, Blechnum spicant, Carex sp.,  </w:t>
            </w:r>
          </w:p>
          <w:p w14:paraId="75CAAEF6" w14:textId="77777777" w:rsidR="00E42A45" w:rsidRDefault="00E42A45" w:rsidP="00BB63DF"/>
          <w:p w14:paraId="7BA6FA9D" w14:textId="77777777" w:rsidR="00E42A45" w:rsidRDefault="00E42A45" w:rsidP="00BB63DF">
            <w:pPr>
              <w:tabs>
                <w:tab w:val="left" w:pos="709"/>
              </w:tabs>
              <w:rPr>
                <w:b/>
                <w:sz w:val="20"/>
              </w:rPr>
            </w:pPr>
            <w:r>
              <w:rPr>
                <w:b/>
                <w:sz w:val="20"/>
              </w:rPr>
              <w:t xml:space="preserve">Návrh opatření :     </w:t>
            </w:r>
          </w:p>
          <w:p w14:paraId="4FE964ED" w14:textId="77777777" w:rsidR="00E42A45" w:rsidRDefault="00E42A45" w:rsidP="00BB63DF">
            <w:pPr>
              <w:tabs>
                <w:tab w:val="left" w:pos="709"/>
              </w:tabs>
              <w:rPr>
                <w:b/>
                <w:sz w:val="20"/>
              </w:rPr>
            </w:pPr>
          </w:p>
          <w:p w14:paraId="47D1B6BB" w14:textId="77777777" w:rsidR="00E42A45" w:rsidRDefault="00E42A45" w:rsidP="00BB63DF">
            <w:pPr>
              <w:tabs>
                <w:tab w:val="left" w:pos="709"/>
              </w:tabs>
              <w:rPr>
                <w:b/>
                <w:sz w:val="20"/>
              </w:rPr>
            </w:pPr>
            <w:r>
              <w:rPr>
                <w:b/>
                <w:sz w:val="20"/>
              </w:rPr>
              <w:t>Dřeviny přirozené rekonstruované skladby podle SLT:     3K - BK6, DB3, JD1                        5K - JD3,5, BK5,5, SM1</w:t>
            </w:r>
          </w:p>
          <w:p w14:paraId="535C0D95" w14:textId="77777777" w:rsidR="00E42A45" w:rsidRDefault="00E42A45" w:rsidP="00BB63DF">
            <w:pPr>
              <w:tabs>
                <w:tab w:val="left" w:pos="709"/>
              </w:tabs>
              <w:rPr>
                <w:b/>
                <w:sz w:val="20"/>
              </w:rPr>
            </w:pPr>
            <w:r>
              <w:rPr>
                <w:b/>
                <w:sz w:val="20"/>
              </w:rPr>
              <w:t xml:space="preserve">                                                                                                 0K - BO8, DB1, BK1                        0N - BO5, SM4, BR1, BK                0Y - BO9, BR1, DB                                                                                                                          6N -  SM4, BK4, JD2, KL                 0Z - BO9, BR1, DB </w:t>
            </w:r>
          </w:p>
          <w:p w14:paraId="0D81EB51" w14:textId="77777777" w:rsidR="00E42A45" w:rsidRDefault="00E42A45" w:rsidP="00BB63DF">
            <w:pPr>
              <w:tabs>
                <w:tab w:val="left" w:pos="709"/>
              </w:tabs>
              <w:rPr>
                <w:b/>
                <w:sz w:val="20"/>
              </w:rPr>
            </w:pPr>
            <w:r>
              <w:rPr>
                <w:b/>
                <w:sz w:val="20"/>
              </w:rPr>
              <w:t xml:space="preserve">Opatření v porostu ve smyslu Generelu rekonstrukce, který je promítnut v platném LHP, s  náhradou dřevin mimo přirozenou dřevinnou skladbu   -  výchovná opatření.  </w:t>
            </w:r>
          </w:p>
          <w:p w14:paraId="4C2D4244" w14:textId="77777777" w:rsidR="00E42A45" w:rsidRDefault="00E42A45" w:rsidP="00BB63DF">
            <w:pPr>
              <w:tabs>
                <w:tab w:val="left" w:pos="709"/>
              </w:tabs>
            </w:pPr>
            <w:r>
              <w:rPr>
                <w:b/>
                <w:sz w:val="20"/>
              </w:rPr>
              <w:t>Podpora BK zejména v 146/A.</w:t>
            </w:r>
            <w:r>
              <w:t xml:space="preserve">                  </w:t>
            </w:r>
          </w:p>
        </w:tc>
      </w:tr>
      <w:tr w:rsidR="00E42A45" w14:paraId="67447334" w14:textId="77777777" w:rsidTr="00BB63DF">
        <w:tc>
          <w:tcPr>
            <w:tcW w:w="7072" w:type="dxa"/>
            <w:shd w:val="clear" w:color="auto" w:fill="FFFFFF"/>
          </w:tcPr>
          <w:p w14:paraId="53DAAA34" w14:textId="77777777" w:rsidR="00E42A45" w:rsidRDefault="00E42A45" w:rsidP="00BB63DF">
            <w:pPr>
              <w:tabs>
                <w:tab w:val="left" w:pos="709"/>
              </w:tabs>
              <w:rPr>
                <w:sz w:val="18"/>
              </w:rPr>
            </w:pPr>
            <w:r>
              <w:rPr>
                <w:sz w:val="18"/>
              </w:rPr>
              <w:lastRenderedPageBreak/>
              <w:t xml:space="preserve">Vymezení             LS  Sněžník, 145/A,B  146/A-F,  142/A,C,F,G  147/A,B,D,E  </w:t>
            </w:r>
          </w:p>
          <w:p w14:paraId="06C072B9" w14:textId="77777777" w:rsidR="00E42A45" w:rsidRDefault="00E42A45" w:rsidP="00BB63DF">
            <w:pPr>
              <w:tabs>
                <w:tab w:val="left" w:pos="709"/>
              </w:tabs>
              <w:rPr>
                <w:sz w:val="18"/>
              </w:rPr>
            </w:pPr>
          </w:p>
        </w:tc>
        <w:tc>
          <w:tcPr>
            <w:tcW w:w="7072" w:type="dxa"/>
            <w:gridSpan w:val="2"/>
            <w:shd w:val="clear" w:color="auto" w:fill="FFFFFF"/>
          </w:tcPr>
          <w:p w14:paraId="1FFDD0EA" w14:textId="77777777" w:rsidR="00E42A45" w:rsidRDefault="00E42A45" w:rsidP="00BB63DF">
            <w:pPr>
              <w:tabs>
                <w:tab w:val="left" w:pos="709"/>
              </w:tabs>
              <w:rPr>
                <w:sz w:val="18"/>
              </w:rPr>
            </w:pPr>
            <w:r>
              <w:rPr>
                <w:sz w:val="18"/>
              </w:rPr>
              <w:t xml:space="preserve">Kultura               les </w:t>
            </w:r>
          </w:p>
        </w:tc>
      </w:tr>
      <w:tr w:rsidR="00E42A45" w14:paraId="7834195E" w14:textId="77777777" w:rsidTr="00BB63DF">
        <w:tc>
          <w:tcPr>
            <w:tcW w:w="7072" w:type="dxa"/>
            <w:shd w:val="clear" w:color="auto" w:fill="FFFFFF"/>
          </w:tcPr>
          <w:p w14:paraId="480475B2" w14:textId="77777777" w:rsidR="00E42A45" w:rsidRDefault="00E42A45" w:rsidP="00BB63DF">
            <w:pPr>
              <w:tabs>
                <w:tab w:val="left" w:pos="709"/>
              </w:tabs>
              <w:rPr>
                <w:sz w:val="18"/>
              </w:rPr>
            </w:pPr>
            <w:r>
              <w:rPr>
                <w:sz w:val="18"/>
              </w:rPr>
              <w:t>Uživatel                                                    LČR</w:t>
            </w:r>
          </w:p>
          <w:p w14:paraId="6E240567" w14:textId="77777777" w:rsidR="00E42A45" w:rsidRDefault="00E42A45" w:rsidP="00BB63DF">
            <w:pPr>
              <w:tabs>
                <w:tab w:val="left" w:pos="709"/>
              </w:tabs>
              <w:rPr>
                <w:sz w:val="18"/>
              </w:rPr>
            </w:pPr>
          </w:p>
        </w:tc>
        <w:tc>
          <w:tcPr>
            <w:tcW w:w="7072" w:type="dxa"/>
            <w:gridSpan w:val="2"/>
            <w:shd w:val="clear" w:color="auto" w:fill="FFFFFF"/>
          </w:tcPr>
          <w:p w14:paraId="76F03527" w14:textId="77777777" w:rsidR="00E42A45" w:rsidRDefault="00E42A45" w:rsidP="00BB63DF">
            <w:pPr>
              <w:tabs>
                <w:tab w:val="left" w:pos="709"/>
              </w:tabs>
              <w:rPr>
                <w:sz w:val="18"/>
              </w:rPr>
            </w:pPr>
            <w:r>
              <w:rPr>
                <w:sz w:val="18"/>
              </w:rPr>
              <w:t>Mapovatel          Sklenička, Linhart, 1997</w:t>
            </w:r>
          </w:p>
        </w:tc>
      </w:tr>
      <w:tr w:rsidR="00E42A45" w14:paraId="2E9A3C38" w14:textId="77777777" w:rsidTr="00BB63DF">
        <w:tc>
          <w:tcPr>
            <w:tcW w:w="14144" w:type="dxa"/>
            <w:gridSpan w:val="3"/>
            <w:shd w:val="clear" w:color="auto" w:fill="FFFFFF"/>
          </w:tcPr>
          <w:p w14:paraId="01BE2343" w14:textId="77777777" w:rsidR="00E42A45" w:rsidRDefault="00E42A45" w:rsidP="00BB63DF">
            <w:pPr>
              <w:tabs>
                <w:tab w:val="left" w:pos="709"/>
              </w:tabs>
            </w:pPr>
            <w:r>
              <w:rPr>
                <w:sz w:val="18"/>
              </w:rPr>
              <w:t>Kategorie ochrany, rok vyhlášení</w:t>
            </w:r>
          </w:p>
          <w:p w14:paraId="765B7B68" w14:textId="77777777" w:rsidR="00E42A45" w:rsidRDefault="00E42A45" w:rsidP="00BB63DF">
            <w:pPr>
              <w:pStyle w:val="Nadpis7"/>
            </w:pPr>
            <w:r w:rsidRPr="002D7515">
              <w:t xml:space="preserve">                                                                                        CHKO Labské Pískovce - III. zóna</w:t>
            </w:r>
          </w:p>
        </w:tc>
      </w:tr>
    </w:tbl>
    <w:p w14:paraId="6E050F6D" w14:textId="77777777" w:rsidR="00E42A45" w:rsidRDefault="00E42A45" w:rsidP="00CA23D0">
      <w:pPr>
        <w:jc w:val="both"/>
        <w:rPr>
          <w:rFonts w:ascii="Arial" w:hAnsi="Arial" w:cs="Arial"/>
          <w:sz w:val="22"/>
        </w:rPr>
      </w:pPr>
    </w:p>
    <w:tbl>
      <w:tblPr>
        <w:tblW w:w="14219"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5"/>
        <w:gridCol w:w="6997"/>
        <w:gridCol w:w="75"/>
        <w:gridCol w:w="3461"/>
        <w:gridCol w:w="75"/>
        <w:gridCol w:w="3461"/>
        <w:gridCol w:w="75"/>
      </w:tblGrid>
      <w:tr w:rsidR="00E42A45" w14:paraId="1269320C" w14:textId="77777777" w:rsidTr="00E42A45">
        <w:trPr>
          <w:gridBefore w:val="1"/>
          <w:wBefore w:w="75" w:type="dxa"/>
        </w:trPr>
        <w:tc>
          <w:tcPr>
            <w:tcW w:w="7072" w:type="dxa"/>
            <w:gridSpan w:val="2"/>
            <w:shd w:val="clear" w:color="auto" w:fill="FFFFFF"/>
          </w:tcPr>
          <w:p w14:paraId="532DB5B1" w14:textId="77777777" w:rsidR="00E42A45" w:rsidRDefault="00E42A45" w:rsidP="00BB63DF">
            <w:pPr>
              <w:tabs>
                <w:tab w:val="left" w:pos="709"/>
              </w:tabs>
              <w:rPr>
                <w:b/>
                <w:sz w:val="18"/>
              </w:rPr>
            </w:pPr>
            <w:r>
              <w:rPr>
                <w:b/>
                <w:sz w:val="18"/>
              </w:rPr>
              <w:t>Pořadové číslo</w:t>
            </w:r>
          </w:p>
          <w:p w14:paraId="1BA03320" w14:textId="77777777" w:rsidR="00E42A45" w:rsidRDefault="00E42A45" w:rsidP="00BB63DF">
            <w:pPr>
              <w:tabs>
                <w:tab w:val="left" w:pos="709"/>
              </w:tabs>
              <w:rPr>
                <w:b/>
                <w:sz w:val="36"/>
              </w:rPr>
            </w:pPr>
            <w:r>
              <w:rPr>
                <w:b/>
                <w:sz w:val="18"/>
              </w:rPr>
              <w:t xml:space="preserve">                                   </w:t>
            </w:r>
            <w:r>
              <w:rPr>
                <w:b/>
              </w:rPr>
              <w:t xml:space="preserve">                                                </w:t>
            </w:r>
            <w:r>
              <w:rPr>
                <w:b/>
                <w:sz w:val="36"/>
              </w:rPr>
              <w:t>19</w:t>
            </w:r>
          </w:p>
        </w:tc>
        <w:tc>
          <w:tcPr>
            <w:tcW w:w="7072" w:type="dxa"/>
            <w:gridSpan w:val="4"/>
            <w:shd w:val="clear" w:color="auto" w:fill="FFFFFF"/>
          </w:tcPr>
          <w:p w14:paraId="6BD614B6" w14:textId="77777777" w:rsidR="00E42A45" w:rsidRDefault="00E42A45" w:rsidP="00BB63DF">
            <w:pPr>
              <w:tabs>
                <w:tab w:val="left" w:pos="709"/>
              </w:tabs>
              <w:rPr>
                <w:b/>
                <w:sz w:val="18"/>
              </w:rPr>
            </w:pPr>
            <w:r>
              <w:rPr>
                <w:b/>
                <w:sz w:val="18"/>
              </w:rPr>
              <w:t>Katastrální území</w:t>
            </w:r>
          </w:p>
          <w:p w14:paraId="0EE56BE7" w14:textId="77777777" w:rsidR="00E42A45" w:rsidRDefault="00E42A45" w:rsidP="00BB63DF">
            <w:pPr>
              <w:tabs>
                <w:tab w:val="left" w:pos="709"/>
              </w:tabs>
              <w:rPr>
                <w:b/>
                <w:sz w:val="18"/>
              </w:rPr>
            </w:pPr>
            <w:r>
              <w:rPr>
                <w:b/>
                <w:sz w:val="18"/>
              </w:rPr>
              <w:t xml:space="preserve">                                           </w:t>
            </w:r>
            <w:r>
              <w:rPr>
                <w:b/>
              </w:rPr>
              <w:t>Maxičky</w:t>
            </w:r>
          </w:p>
        </w:tc>
      </w:tr>
      <w:tr w:rsidR="00E42A45" w14:paraId="0D6E7646" w14:textId="77777777" w:rsidTr="00E42A45">
        <w:trPr>
          <w:gridBefore w:val="1"/>
          <w:wBefore w:w="75" w:type="dxa"/>
        </w:trPr>
        <w:tc>
          <w:tcPr>
            <w:tcW w:w="7072" w:type="dxa"/>
            <w:gridSpan w:val="2"/>
            <w:shd w:val="clear" w:color="auto" w:fill="FFFFFF"/>
          </w:tcPr>
          <w:p w14:paraId="68B1A184" w14:textId="77777777" w:rsidR="00E42A45" w:rsidRDefault="00E42A45" w:rsidP="00BB63DF">
            <w:pPr>
              <w:tabs>
                <w:tab w:val="left" w:pos="709"/>
              </w:tabs>
              <w:rPr>
                <w:b/>
                <w:sz w:val="18"/>
              </w:rPr>
            </w:pPr>
            <w:r>
              <w:rPr>
                <w:b/>
                <w:sz w:val="18"/>
              </w:rPr>
              <w:t>Název</w:t>
            </w:r>
          </w:p>
          <w:p w14:paraId="018E36C6" w14:textId="77777777" w:rsidR="00E42A45" w:rsidRDefault="00E42A45" w:rsidP="00BB63DF">
            <w:pPr>
              <w:tabs>
                <w:tab w:val="left" w:pos="709"/>
              </w:tabs>
              <w:rPr>
                <w:b/>
                <w:caps/>
                <w:sz w:val="18"/>
              </w:rPr>
            </w:pPr>
            <w:r>
              <w:rPr>
                <w:b/>
                <w:caps/>
                <w:sz w:val="18"/>
              </w:rPr>
              <w:t xml:space="preserve">                                       </w:t>
            </w:r>
            <w:r>
              <w:rPr>
                <w:b/>
                <w:caps/>
              </w:rPr>
              <w:t xml:space="preserve">                Pod Telefonkou</w:t>
            </w:r>
          </w:p>
        </w:tc>
        <w:tc>
          <w:tcPr>
            <w:tcW w:w="3536" w:type="dxa"/>
            <w:gridSpan w:val="2"/>
            <w:shd w:val="clear" w:color="auto" w:fill="FFFFFF"/>
          </w:tcPr>
          <w:p w14:paraId="47D7FA09" w14:textId="77777777" w:rsidR="00E42A45" w:rsidRDefault="00E42A45" w:rsidP="00BB63DF">
            <w:pPr>
              <w:tabs>
                <w:tab w:val="left" w:pos="709"/>
              </w:tabs>
              <w:rPr>
                <w:b/>
                <w:sz w:val="18"/>
              </w:rPr>
            </w:pPr>
            <w:r>
              <w:rPr>
                <w:b/>
                <w:sz w:val="18"/>
              </w:rPr>
              <w:t xml:space="preserve">Mapový list           </w:t>
            </w:r>
          </w:p>
          <w:p w14:paraId="439FF646" w14:textId="77777777" w:rsidR="00E42A45" w:rsidRDefault="00E42A45" w:rsidP="00BB63DF">
            <w:pPr>
              <w:tabs>
                <w:tab w:val="left" w:pos="709"/>
              </w:tabs>
              <w:rPr>
                <w:b/>
                <w:sz w:val="20"/>
              </w:rPr>
            </w:pPr>
            <w:r>
              <w:rPr>
                <w:b/>
                <w:sz w:val="20"/>
              </w:rPr>
              <w:t xml:space="preserve">                            </w:t>
            </w:r>
            <w:r>
              <w:rPr>
                <w:sz w:val="20"/>
              </w:rPr>
              <w:t>02-23-13</w:t>
            </w:r>
          </w:p>
        </w:tc>
        <w:tc>
          <w:tcPr>
            <w:tcW w:w="3536" w:type="dxa"/>
            <w:gridSpan w:val="2"/>
            <w:shd w:val="clear" w:color="auto" w:fill="FFFFFF"/>
          </w:tcPr>
          <w:p w14:paraId="6AB7B9E9" w14:textId="77777777" w:rsidR="00E42A45" w:rsidRDefault="00E42A45" w:rsidP="00BB63DF">
            <w:pPr>
              <w:tabs>
                <w:tab w:val="left" w:pos="709"/>
              </w:tabs>
              <w:rPr>
                <w:b/>
                <w:sz w:val="18"/>
              </w:rPr>
            </w:pPr>
            <w:r>
              <w:rPr>
                <w:b/>
                <w:sz w:val="18"/>
              </w:rPr>
              <w:t xml:space="preserve">Výměra             </w:t>
            </w:r>
          </w:p>
          <w:p w14:paraId="256421B9" w14:textId="77777777" w:rsidR="00E42A45" w:rsidRDefault="00E42A45" w:rsidP="00BB63DF">
            <w:pPr>
              <w:tabs>
                <w:tab w:val="left" w:pos="709"/>
              </w:tabs>
              <w:rPr>
                <w:b/>
                <w:sz w:val="20"/>
              </w:rPr>
            </w:pPr>
            <w:r>
              <w:rPr>
                <w:b/>
                <w:sz w:val="20"/>
              </w:rPr>
              <w:t xml:space="preserve">                     14,34 ha</w:t>
            </w:r>
          </w:p>
        </w:tc>
      </w:tr>
      <w:tr w:rsidR="00E42A45" w14:paraId="2E7D4C05" w14:textId="77777777" w:rsidTr="00E42A45">
        <w:trPr>
          <w:gridBefore w:val="1"/>
          <w:wBefore w:w="75" w:type="dxa"/>
        </w:trPr>
        <w:tc>
          <w:tcPr>
            <w:tcW w:w="7072" w:type="dxa"/>
            <w:gridSpan w:val="2"/>
            <w:shd w:val="clear" w:color="auto" w:fill="FFFFFF"/>
          </w:tcPr>
          <w:p w14:paraId="61BC1A85" w14:textId="77777777" w:rsidR="00E42A45" w:rsidRDefault="00E42A45" w:rsidP="00BB63DF">
            <w:pPr>
              <w:tabs>
                <w:tab w:val="left" w:pos="709"/>
              </w:tabs>
              <w:rPr>
                <w:sz w:val="20"/>
              </w:rPr>
            </w:pPr>
            <w:r>
              <w:rPr>
                <w:sz w:val="20"/>
              </w:rPr>
              <w:t>EVKP - ekologicky významný krajinný prvek</w:t>
            </w:r>
          </w:p>
          <w:p w14:paraId="085237E9" w14:textId="77777777" w:rsidR="00E42A45" w:rsidRDefault="00E42A45" w:rsidP="00BB63DF">
            <w:pPr>
              <w:tabs>
                <w:tab w:val="left" w:pos="709"/>
              </w:tabs>
              <w:rPr>
                <w:sz w:val="20"/>
              </w:rPr>
            </w:pPr>
            <w:r>
              <w:rPr>
                <w:sz w:val="20"/>
              </w:rPr>
              <w:t>EVKC - ekologicky významný krajinný celek</w:t>
            </w:r>
          </w:p>
          <w:p w14:paraId="5537A615" w14:textId="77777777" w:rsidR="00E42A45" w:rsidRPr="002D7515" w:rsidRDefault="00E42A45" w:rsidP="00BB63DF">
            <w:pPr>
              <w:pStyle w:val="Nadpis6"/>
            </w:pPr>
            <w:r w:rsidRPr="002D7515">
              <w:lastRenderedPageBreak/>
              <w:t>EVKO - ekologicky významná krajinná oblast</w:t>
            </w:r>
          </w:p>
          <w:p w14:paraId="52EB558F" w14:textId="77777777" w:rsidR="00E42A45" w:rsidRDefault="00E42A45" w:rsidP="00BB63DF">
            <w:pPr>
              <w:tabs>
                <w:tab w:val="left" w:pos="709"/>
              </w:tabs>
              <w:rPr>
                <w:sz w:val="20"/>
              </w:rPr>
            </w:pPr>
            <w:r>
              <w:rPr>
                <w:sz w:val="20"/>
              </w:rPr>
              <w:t>EVLS  - ekologicky významné liniové společenstvo</w:t>
            </w:r>
          </w:p>
        </w:tc>
        <w:tc>
          <w:tcPr>
            <w:tcW w:w="3536" w:type="dxa"/>
            <w:gridSpan w:val="2"/>
            <w:shd w:val="clear" w:color="auto" w:fill="FFFFFF"/>
          </w:tcPr>
          <w:p w14:paraId="293E384D" w14:textId="77777777" w:rsidR="00E42A45" w:rsidRPr="002D7515" w:rsidRDefault="00E42A45" w:rsidP="00BB63DF">
            <w:pPr>
              <w:pStyle w:val="Nadpis8"/>
            </w:pPr>
            <w:r w:rsidRPr="002D7515">
              <w:lastRenderedPageBreak/>
              <w:t>Biogeografický význam</w:t>
            </w:r>
          </w:p>
          <w:p w14:paraId="5302A449" w14:textId="77777777" w:rsidR="00E42A45" w:rsidRDefault="00E42A45" w:rsidP="00BB63DF">
            <w:pPr>
              <w:tabs>
                <w:tab w:val="left" w:pos="709"/>
              </w:tabs>
            </w:pPr>
            <w:r>
              <w:t xml:space="preserve">       -</w:t>
            </w:r>
            <w:r>
              <w:rPr>
                <w:b/>
              </w:rPr>
              <w:t xml:space="preserve"> lokální, reprezentativní</w:t>
            </w:r>
          </w:p>
          <w:p w14:paraId="276554D8" w14:textId="77777777" w:rsidR="00E42A45" w:rsidRDefault="00E42A45" w:rsidP="00BB63DF">
            <w:pPr>
              <w:tabs>
                <w:tab w:val="left" w:pos="709"/>
              </w:tabs>
              <w:ind w:left="345"/>
              <w:rPr>
                <w:sz w:val="20"/>
              </w:rPr>
            </w:pPr>
            <w:r>
              <w:rPr>
                <w:sz w:val="20"/>
              </w:rPr>
              <w:lastRenderedPageBreak/>
              <w:t xml:space="preserve"> -  regionální</w:t>
            </w:r>
          </w:p>
          <w:p w14:paraId="7574B184" w14:textId="77777777" w:rsidR="00E42A45" w:rsidRDefault="00E42A45" w:rsidP="00BB63DF">
            <w:pPr>
              <w:tabs>
                <w:tab w:val="left" w:pos="709"/>
              </w:tabs>
              <w:ind w:left="345"/>
            </w:pPr>
            <w:r>
              <w:rPr>
                <w:sz w:val="20"/>
              </w:rPr>
              <w:t xml:space="preserve"> -  nadregionální</w:t>
            </w:r>
          </w:p>
        </w:tc>
        <w:tc>
          <w:tcPr>
            <w:tcW w:w="3536" w:type="dxa"/>
            <w:gridSpan w:val="2"/>
            <w:shd w:val="clear" w:color="auto" w:fill="FFFFFF"/>
          </w:tcPr>
          <w:p w14:paraId="18CB06FF" w14:textId="77777777" w:rsidR="00E42A45" w:rsidRDefault="00E42A45" w:rsidP="00BB63DF">
            <w:pPr>
              <w:tabs>
                <w:tab w:val="left" w:pos="709"/>
              </w:tabs>
              <w:rPr>
                <w:b/>
                <w:sz w:val="18"/>
              </w:rPr>
            </w:pPr>
            <w:r>
              <w:rPr>
                <w:b/>
                <w:sz w:val="18"/>
              </w:rPr>
              <w:lastRenderedPageBreak/>
              <w:t>Stav</w:t>
            </w:r>
          </w:p>
          <w:p w14:paraId="3FD829CC" w14:textId="77777777" w:rsidR="00E42A45" w:rsidRDefault="00E42A45" w:rsidP="00BB63DF">
            <w:pPr>
              <w:tabs>
                <w:tab w:val="left" w:pos="709"/>
              </w:tabs>
              <w:ind w:left="405"/>
            </w:pPr>
            <w:r>
              <w:rPr>
                <w:b/>
              </w:rPr>
              <w:t>-  funkčně vymezený</w:t>
            </w:r>
          </w:p>
          <w:p w14:paraId="62C843AF" w14:textId="77777777" w:rsidR="00E42A45" w:rsidRDefault="00E42A45" w:rsidP="00BB63DF">
            <w:pPr>
              <w:pStyle w:val="Styl1"/>
              <w:tabs>
                <w:tab w:val="left" w:pos="709"/>
              </w:tabs>
              <w:rPr>
                <w:sz w:val="20"/>
              </w:rPr>
            </w:pPr>
            <w:r>
              <w:t xml:space="preserve">       </w:t>
            </w:r>
            <w:r>
              <w:rPr>
                <w:sz w:val="20"/>
              </w:rPr>
              <w:t xml:space="preserve">-  semifunkční    </w:t>
            </w:r>
          </w:p>
          <w:p w14:paraId="37D982D7" w14:textId="77777777" w:rsidR="00E42A45" w:rsidRDefault="00E42A45" w:rsidP="00BB63DF">
            <w:pPr>
              <w:tabs>
                <w:tab w:val="left" w:pos="709"/>
              </w:tabs>
            </w:pPr>
            <w:r>
              <w:rPr>
                <w:sz w:val="20"/>
              </w:rPr>
              <w:lastRenderedPageBreak/>
              <w:t xml:space="preserve">        -  navržený</w:t>
            </w:r>
          </w:p>
        </w:tc>
      </w:tr>
      <w:tr w:rsidR="00E42A45" w14:paraId="2C0E84A3" w14:textId="77777777" w:rsidTr="00E42A45">
        <w:trPr>
          <w:gridBefore w:val="1"/>
          <w:wBefore w:w="75" w:type="dxa"/>
        </w:trPr>
        <w:tc>
          <w:tcPr>
            <w:tcW w:w="7072" w:type="dxa"/>
            <w:gridSpan w:val="2"/>
            <w:shd w:val="clear" w:color="auto" w:fill="FFFFFF"/>
          </w:tcPr>
          <w:p w14:paraId="17DA3476" w14:textId="77777777" w:rsidR="00E42A45" w:rsidRDefault="00E42A45" w:rsidP="00BB63DF">
            <w:pPr>
              <w:tabs>
                <w:tab w:val="left" w:pos="709"/>
              </w:tabs>
              <w:rPr>
                <w:b/>
                <w:sz w:val="18"/>
              </w:rPr>
            </w:pPr>
            <w:r>
              <w:rPr>
                <w:b/>
                <w:sz w:val="18"/>
              </w:rPr>
              <w:lastRenderedPageBreak/>
              <w:t>Geobiocenologická typizace (vegetační stupeň, trofická řada, hydrická řada)</w:t>
            </w:r>
          </w:p>
          <w:p w14:paraId="291B41C6" w14:textId="77777777" w:rsidR="00E42A45" w:rsidRDefault="00E42A45" w:rsidP="00BB63DF">
            <w:pPr>
              <w:tabs>
                <w:tab w:val="left" w:pos="709"/>
              </w:tabs>
            </w:pPr>
            <w:r>
              <w:t xml:space="preserve">                       6AB3, 3A2, 4A3  </w:t>
            </w:r>
          </w:p>
        </w:tc>
        <w:tc>
          <w:tcPr>
            <w:tcW w:w="7072" w:type="dxa"/>
            <w:gridSpan w:val="4"/>
            <w:shd w:val="clear" w:color="auto" w:fill="FFFFFF"/>
          </w:tcPr>
          <w:p w14:paraId="15B71788" w14:textId="77777777" w:rsidR="00E42A45" w:rsidRDefault="00E42A45" w:rsidP="00BB63DF">
            <w:pPr>
              <w:tabs>
                <w:tab w:val="left" w:pos="709"/>
              </w:tabs>
            </w:pPr>
          </w:p>
        </w:tc>
      </w:tr>
      <w:tr w:rsidR="00E42A45" w14:paraId="46D293DB" w14:textId="77777777" w:rsidTr="00E42A45">
        <w:trPr>
          <w:gridBefore w:val="1"/>
          <w:wBefore w:w="75" w:type="dxa"/>
        </w:trPr>
        <w:tc>
          <w:tcPr>
            <w:tcW w:w="14144" w:type="dxa"/>
            <w:gridSpan w:val="6"/>
          </w:tcPr>
          <w:p w14:paraId="44033EF3" w14:textId="77777777" w:rsidR="00E42A45" w:rsidRDefault="00E42A45" w:rsidP="00BB63DF">
            <w:pPr>
              <w:tabs>
                <w:tab w:val="left" w:pos="709"/>
              </w:tabs>
            </w:pPr>
            <w:r>
              <w:rPr>
                <w:b/>
                <w:sz w:val="18"/>
              </w:rPr>
              <w:t>Charakter ekotopu a bioty</w:t>
            </w:r>
            <w:r>
              <w:t xml:space="preserve">   </w:t>
            </w:r>
          </w:p>
          <w:p w14:paraId="4B92D308" w14:textId="77777777" w:rsidR="00E42A45" w:rsidRDefault="00E42A45" w:rsidP="00BB63DF">
            <w:pPr>
              <w:tabs>
                <w:tab w:val="left" w:pos="709"/>
              </w:tabs>
              <w:rPr>
                <w:sz w:val="20"/>
              </w:rPr>
            </w:pPr>
            <w:r>
              <w:rPr>
                <w:sz w:val="20"/>
              </w:rPr>
              <w:t>Lokální biocentrum na trase nadregionálního biokoridoru na jihovýchodně mírném hřbetě se sklonem svahů cca 3 %.  Nadmořská výška lokality se pohybuje od 440 do 450 m.   Na severu  je lokalita ohraničena cestou (Telefonka).</w:t>
            </w:r>
          </w:p>
          <w:p w14:paraId="5AB6C32E" w14:textId="77777777" w:rsidR="00E42A45" w:rsidRDefault="00E42A45" w:rsidP="00BB63DF">
            <w:pPr>
              <w:tabs>
                <w:tab w:val="left" w:pos="709"/>
              </w:tabs>
              <w:rPr>
                <w:sz w:val="20"/>
              </w:rPr>
            </w:pPr>
            <w:r>
              <w:rPr>
                <w:sz w:val="20"/>
              </w:rPr>
              <w:t xml:space="preserve">                                                                                                                                   SES = 3 - 4.   </w:t>
            </w:r>
          </w:p>
          <w:p w14:paraId="306A9D6B" w14:textId="77777777" w:rsidR="00E42A45" w:rsidRDefault="00E42A45" w:rsidP="00BB63DF">
            <w:pPr>
              <w:tabs>
                <w:tab w:val="left" w:pos="709"/>
              </w:tabs>
              <w:rPr>
                <w:sz w:val="20"/>
              </w:rPr>
            </w:pPr>
            <w:r>
              <w:rPr>
                <w:sz w:val="20"/>
              </w:rPr>
              <w:t>Lesní porost je tvořen následujícími  dřevinami:  SM, BO, MD, BR, SMP</w:t>
            </w:r>
          </w:p>
          <w:p w14:paraId="0525E652" w14:textId="77777777" w:rsidR="00E42A45" w:rsidRDefault="00E42A45" w:rsidP="00BB63DF">
            <w:pPr>
              <w:tabs>
                <w:tab w:val="left" w:pos="709"/>
              </w:tabs>
              <w:rPr>
                <w:sz w:val="20"/>
              </w:rPr>
            </w:pPr>
            <w:r>
              <w:rPr>
                <w:sz w:val="20"/>
              </w:rPr>
              <w:t xml:space="preserve"> </w:t>
            </w:r>
          </w:p>
          <w:p w14:paraId="1A01801A" w14:textId="77777777" w:rsidR="00E42A45" w:rsidRDefault="00E42A45" w:rsidP="00BB63DF">
            <w:pPr>
              <w:tabs>
                <w:tab w:val="left" w:pos="709"/>
              </w:tabs>
              <w:rPr>
                <w:sz w:val="20"/>
              </w:rPr>
            </w:pPr>
            <w:r>
              <w:rPr>
                <w:b/>
                <w:sz w:val="20"/>
              </w:rPr>
              <w:t>Zastoupené lesní typy</w:t>
            </w:r>
            <w:r>
              <w:rPr>
                <w:sz w:val="20"/>
              </w:rPr>
              <w:t xml:space="preserve">:                6K8 - kyselá smrková bučina                               0M7 - chudý (db) BO   </w:t>
            </w:r>
          </w:p>
          <w:p w14:paraId="469C34A5" w14:textId="77777777" w:rsidR="00E42A45" w:rsidRDefault="00E42A45" w:rsidP="00BB63DF">
            <w:pPr>
              <w:tabs>
                <w:tab w:val="left" w:pos="709"/>
              </w:tabs>
              <w:rPr>
                <w:sz w:val="20"/>
              </w:rPr>
            </w:pPr>
            <w:r>
              <w:rPr>
                <w:sz w:val="20"/>
              </w:rPr>
              <w:t xml:space="preserve">                                                      0Q3 - chudý jddb BO bezkolencový</w:t>
            </w:r>
          </w:p>
          <w:p w14:paraId="719C778E" w14:textId="77777777" w:rsidR="00E42A45" w:rsidRDefault="00E42A45" w:rsidP="00BB63DF">
            <w:pPr>
              <w:tabs>
                <w:tab w:val="left" w:pos="709"/>
              </w:tabs>
              <w:rPr>
                <w:sz w:val="20"/>
              </w:rPr>
            </w:pPr>
          </w:p>
          <w:p w14:paraId="1AA365B8" w14:textId="77777777" w:rsidR="00E42A45" w:rsidRDefault="00E42A45" w:rsidP="00BB63DF">
            <w:pPr>
              <w:tabs>
                <w:tab w:val="left" w:pos="709"/>
              </w:tabs>
              <w:rPr>
                <w:sz w:val="20"/>
              </w:rPr>
            </w:pPr>
            <w:r>
              <w:rPr>
                <w:sz w:val="20"/>
              </w:rPr>
              <w:t xml:space="preserve">Geol.: Hnědé půdy rašelinné podzolované oligotrofní horské .  </w:t>
            </w:r>
          </w:p>
          <w:p w14:paraId="09820350" w14:textId="77777777" w:rsidR="00E42A45" w:rsidRDefault="00E42A45" w:rsidP="00BB63DF">
            <w:pPr>
              <w:tabs>
                <w:tab w:val="left" w:pos="709"/>
              </w:tabs>
              <w:rPr>
                <w:sz w:val="20"/>
              </w:rPr>
            </w:pPr>
          </w:p>
          <w:p w14:paraId="5BC5C1C4" w14:textId="77777777" w:rsidR="00E42A45" w:rsidRDefault="00E42A45" w:rsidP="00BB63DF">
            <w:pPr>
              <w:tabs>
                <w:tab w:val="left" w:pos="709"/>
              </w:tabs>
              <w:rPr>
                <w:i/>
                <w:sz w:val="20"/>
              </w:rPr>
            </w:pPr>
            <w:r>
              <w:rPr>
                <w:sz w:val="20"/>
              </w:rPr>
              <w:t xml:space="preserve">Bot.: </w:t>
            </w:r>
            <w:r>
              <w:rPr>
                <w:i/>
                <w:sz w:val="20"/>
              </w:rPr>
              <w:t xml:space="preserve">Vaccinium myrtillus, Dicranum scoparium,  Dryopteris spinulosa,   Sphagnum sp., Trientaliseuropea, Deschampsia  flexuosa,  Blechnum   </w:t>
            </w:r>
          </w:p>
          <w:p w14:paraId="4CA774C3" w14:textId="77777777" w:rsidR="00E42A45" w:rsidRDefault="00E42A45" w:rsidP="00BB63DF">
            <w:pPr>
              <w:tabs>
                <w:tab w:val="left" w:pos="709"/>
              </w:tabs>
              <w:rPr>
                <w:i/>
                <w:sz w:val="20"/>
              </w:rPr>
            </w:pPr>
            <w:r>
              <w:rPr>
                <w:i/>
                <w:sz w:val="20"/>
              </w:rPr>
              <w:t xml:space="preserve">         spicant, Carex sp., Calluna vulgaris</w:t>
            </w:r>
          </w:p>
          <w:p w14:paraId="4F3740A5" w14:textId="77777777" w:rsidR="00E42A45" w:rsidRDefault="00E42A45" w:rsidP="00BB63DF">
            <w:pPr>
              <w:tabs>
                <w:tab w:val="left" w:pos="709"/>
              </w:tabs>
              <w:rPr>
                <w:b/>
                <w:sz w:val="20"/>
              </w:rPr>
            </w:pPr>
          </w:p>
          <w:p w14:paraId="15B7D1AF" w14:textId="77777777" w:rsidR="00E42A45" w:rsidRDefault="00E42A45" w:rsidP="00BB63DF">
            <w:pPr>
              <w:tabs>
                <w:tab w:val="left" w:pos="709"/>
              </w:tabs>
              <w:rPr>
                <w:b/>
                <w:sz w:val="20"/>
              </w:rPr>
            </w:pPr>
            <w:r>
              <w:rPr>
                <w:b/>
                <w:sz w:val="20"/>
              </w:rPr>
              <w:t xml:space="preserve">Návrh opatření :     </w:t>
            </w:r>
          </w:p>
          <w:p w14:paraId="47F3F4F3" w14:textId="77777777" w:rsidR="00E42A45" w:rsidRDefault="00E42A45" w:rsidP="00BB63DF">
            <w:pPr>
              <w:tabs>
                <w:tab w:val="left" w:pos="709"/>
              </w:tabs>
              <w:rPr>
                <w:b/>
                <w:sz w:val="20"/>
              </w:rPr>
            </w:pPr>
            <w:r>
              <w:rPr>
                <w:b/>
                <w:sz w:val="20"/>
              </w:rPr>
              <w:t xml:space="preserve">Dřeviny přirozené rekonstruované skladby podle SLT:                  6K - SM4, BK4, JD2, JR         </w:t>
            </w:r>
          </w:p>
          <w:p w14:paraId="7508E7F7" w14:textId="77777777" w:rsidR="00E42A45" w:rsidRDefault="00E42A45" w:rsidP="00BB63DF">
            <w:pPr>
              <w:tabs>
                <w:tab w:val="left" w:pos="709"/>
              </w:tabs>
              <w:rPr>
                <w:b/>
                <w:sz w:val="20"/>
              </w:rPr>
            </w:pPr>
            <w:r>
              <w:rPr>
                <w:b/>
                <w:sz w:val="20"/>
              </w:rPr>
              <w:t xml:space="preserve">                                      0M - BO8, DB1, BR1                                      0Q - BO7, DB1, BR1, SM(JD)1  </w:t>
            </w:r>
          </w:p>
          <w:p w14:paraId="71B7D8D4" w14:textId="77777777" w:rsidR="00E42A45" w:rsidRDefault="00E42A45" w:rsidP="00BB63DF">
            <w:pPr>
              <w:tabs>
                <w:tab w:val="left" w:pos="709"/>
              </w:tabs>
              <w:rPr>
                <w:b/>
                <w:sz w:val="20"/>
              </w:rPr>
            </w:pPr>
            <w:r>
              <w:rPr>
                <w:b/>
                <w:sz w:val="20"/>
              </w:rPr>
              <w:t xml:space="preserve">               </w:t>
            </w:r>
          </w:p>
          <w:p w14:paraId="35061EA6" w14:textId="77777777" w:rsidR="00E42A45" w:rsidRDefault="00E42A45" w:rsidP="00BB63DF">
            <w:pPr>
              <w:tabs>
                <w:tab w:val="left" w:pos="709"/>
              </w:tabs>
            </w:pPr>
            <w:r>
              <w:rPr>
                <w:b/>
                <w:sz w:val="20"/>
              </w:rPr>
              <w:t>Opatření v porostu ve smyslu Generelu rekonstrukce, který je promítnut v platném LHP, s  náhradou dřevin mimo přirozenou dřevinnou skladbu   -  výchovná opatření.</w:t>
            </w:r>
            <w:r>
              <w:t xml:space="preserve">                                       </w:t>
            </w:r>
          </w:p>
        </w:tc>
      </w:tr>
      <w:tr w:rsidR="00E42A45" w14:paraId="6302E311" w14:textId="77777777" w:rsidTr="00E42A45">
        <w:trPr>
          <w:gridBefore w:val="1"/>
          <w:wBefore w:w="75" w:type="dxa"/>
        </w:trPr>
        <w:tc>
          <w:tcPr>
            <w:tcW w:w="7072" w:type="dxa"/>
            <w:gridSpan w:val="2"/>
            <w:shd w:val="clear" w:color="auto" w:fill="FFFFFF"/>
          </w:tcPr>
          <w:p w14:paraId="177F1253" w14:textId="77777777" w:rsidR="00E42A45" w:rsidRDefault="00E42A45" w:rsidP="00BB63DF">
            <w:pPr>
              <w:tabs>
                <w:tab w:val="left" w:pos="709"/>
              </w:tabs>
              <w:rPr>
                <w:sz w:val="18"/>
              </w:rPr>
            </w:pPr>
            <w:r>
              <w:rPr>
                <w:sz w:val="18"/>
              </w:rPr>
              <w:t>Vymezení             LS  Sněžník, 141/B</w:t>
            </w:r>
          </w:p>
        </w:tc>
        <w:tc>
          <w:tcPr>
            <w:tcW w:w="7072" w:type="dxa"/>
            <w:gridSpan w:val="4"/>
            <w:shd w:val="clear" w:color="auto" w:fill="FFFFFF"/>
          </w:tcPr>
          <w:p w14:paraId="00EEC4DC" w14:textId="77777777" w:rsidR="00E42A45" w:rsidRDefault="00E42A45" w:rsidP="00BB63DF">
            <w:pPr>
              <w:tabs>
                <w:tab w:val="left" w:pos="709"/>
              </w:tabs>
              <w:rPr>
                <w:sz w:val="18"/>
              </w:rPr>
            </w:pPr>
            <w:r>
              <w:rPr>
                <w:sz w:val="18"/>
              </w:rPr>
              <w:t xml:space="preserve">Kultura                les </w:t>
            </w:r>
          </w:p>
        </w:tc>
      </w:tr>
      <w:tr w:rsidR="00E42A45" w14:paraId="7A2D48DC" w14:textId="77777777" w:rsidTr="00E42A45">
        <w:trPr>
          <w:gridBefore w:val="1"/>
          <w:wBefore w:w="75" w:type="dxa"/>
        </w:trPr>
        <w:tc>
          <w:tcPr>
            <w:tcW w:w="7072" w:type="dxa"/>
            <w:gridSpan w:val="2"/>
            <w:shd w:val="clear" w:color="auto" w:fill="FFFFFF"/>
          </w:tcPr>
          <w:p w14:paraId="00CDF765" w14:textId="77777777" w:rsidR="00E42A45" w:rsidRDefault="00E42A45" w:rsidP="00BB63DF">
            <w:pPr>
              <w:tabs>
                <w:tab w:val="left" w:pos="709"/>
              </w:tabs>
              <w:rPr>
                <w:sz w:val="18"/>
              </w:rPr>
            </w:pPr>
            <w:r>
              <w:rPr>
                <w:sz w:val="18"/>
              </w:rPr>
              <w:t>Uživatel                LČ</w:t>
            </w:r>
          </w:p>
          <w:p w14:paraId="78989210" w14:textId="77777777" w:rsidR="00E42A45" w:rsidRDefault="00E42A45" w:rsidP="00BB63DF">
            <w:pPr>
              <w:tabs>
                <w:tab w:val="left" w:pos="709"/>
              </w:tabs>
              <w:rPr>
                <w:sz w:val="18"/>
              </w:rPr>
            </w:pPr>
          </w:p>
        </w:tc>
        <w:tc>
          <w:tcPr>
            <w:tcW w:w="7072" w:type="dxa"/>
            <w:gridSpan w:val="4"/>
            <w:shd w:val="clear" w:color="auto" w:fill="FFFFFF"/>
          </w:tcPr>
          <w:p w14:paraId="10286EBF" w14:textId="77777777" w:rsidR="00E42A45" w:rsidRDefault="00E42A45" w:rsidP="00BB63DF">
            <w:pPr>
              <w:tabs>
                <w:tab w:val="left" w:pos="709"/>
              </w:tabs>
              <w:rPr>
                <w:sz w:val="18"/>
              </w:rPr>
            </w:pPr>
            <w:r>
              <w:rPr>
                <w:sz w:val="18"/>
              </w:rPr>
              <w:t>Mapovatel           Sklenička, Linhart, 1997</w:t>
            </w:r>
          </w:p>
        </w:tc>
      </w:tr>
      <w:tr w:rsidR="00E42A45" w14:paraId="04290FA9" w14:textId="77777777" w:rsidTr="00E42A45">
        <w:trPr>
          <w:gridBefore w:val="1"/>
          <w:wBefore w:w="75" w:type="dxa"/>
        </w:trPr>
        <w:tc>
          <w:tcPr>
            <w:tcW w:w="14144" w:type="dxa"/>
            <w:gridSpan w:val="6"/>
            <w:shd w:val="clear" w:color="auto" w:fill="FFFFFF"/>
          </w:tcPr>
          <w:p w14:paraId="365117F5" w14:textId="77777777" w:rsidR="00E42A45" w:rsidRDefault="00E42A45" w:rsidP="00BB63DF">
            <w:pPr>
              <w:tabs>
                <w:tab w:val="left" w:pos="709"/>
              </w:tabs>
            </w:pPr>
            <w:r>
              <w:rPr>
                <w:sz w:val="18"/>
              </w:rPr>
              <w:t>Kategorie ochrany, rok vyhlášení</w:t>
            </w:r>
          </w:p>
          <w:p w14:paraId="6010EB8B" w14:textId="77777777" w:rsidR="00E42A45" w:rsidRPr="002D7515" w:rsidRDefault="00E42A45" w:rsidP="00BB63DF">
            <w:pPr>
              <w:pStyle w:val="Nadpis7"/>
            </w:pPr>
            <w:r w:rsidRPr="002D7515">
              <w:t xml:space="preserve">                                                                                          CHKO Labské Pískovce - III. zóna</w:t>
            </w:r>
          </w:p>
        </w:tc>
      </w:tr>
      <w:tr w:rsidR="00E42A45" w14:paraId="07FE8FBA" w14:textId="77777777" w:rsidTr="00E42A45">
        <w:trPr>
          <w:gridBefore w:val="1"/>
          <w:wBefore w:w="75" w:type="dxa"/>
        </w:trPr>
        <w:tc>
          <w:tcPr>
            <w:tcW w:w="7072" w:type="dxa"/>
            <w:gridSpan w:val="2"/>
            <w:shd w:val="clear" w:color="auto" w:fill="FFFFFF"/>
          </w:tcPr>
          <w:p w14:paraId="364A89E8" w14:textId="77777777" w:rsidR="00E42A45" w:rsidRDefault="00E42A45" w:rsidP="00BB63DF">
            <w:pPr>
              <w:tabs>
                <w:tab w:val="left" w:pos="709"/>
              </w:tabs>
              <w:rPr>
                <w:b/>
                <w:sz w:val="18"/>
              </w:rPr>
            </w:pPr>
            <w:r>
              <w:rPr>
                <w:b/>
                <w:sz w:val="18"/>
              </w:rPr>
              <w:t>Pořadové číslo</w:t>
            </w:r>
          </w:p>
          <w:p w14:paraId="64995602" w14:textId="77777777" w:rsidR="00E42A45" w:rsidRDefault="00E42A45" w:rsidP="00BB63DF">
            <w:pPr>
              <w:tabs>
                <w:tab w:val="left" w:pos="709"/>
              </w:tabs>
              <w:rPr>
                <w:b/>
                <w:sz w:val="36"/>
              </w:rPr>
            </w:pPr>
            <w:r>
              <w:rPr>
                <w:b/>
                <w:sz w:val="36"/>
              </w:rPr>
              <w:t xml:space="preserve">                                             20</w:t>
            </w:r>
          </w:p>
        </w:tc>
        <w:tc>
          <w:tcPr>
            <w:tcW w:w="7072" w:type="dxa"/>
            <w:gridSpan w:val="4"/>
            <w:shd w:val="clear" w:color="auto" w:fill="FFFFFF"/>
          </w:tcPr>
          <w:p w14:paraId="69856490" w14:textId="77777777" w:rsidR="00E42A45" w:rsidRDefault="00E42A45" w:rsidP="00BB63DF">
            <w:pPr>
              <w:tabs>
                <w:tab w:val="left" w:pos="709"/>
              </w:tabs>
              <w:rPr>
                <w:b/>
                <w:sz w:val="18"/>
              </w:rPr>
            </w:pPr>
            <w:r>
              <w:rPr>
                <w:b/>
                <w:sz w:val="18"/>
              </w:rPr>
              <w:t>Katastrální území</w:t>
            </w:r>
          </w:p>
          <w:p w14:paraId="3D6FE059" w14:textId="77777777" w:rsidR="00E42A45" w:rsidRDefault="00E42A45" w:rsidP="00BB63DF">
            <w:pPr>
              <w:tabs>
                <w:tab w:val="left" w:pos="709"/>
              </w:tabs>
              <w:rPr>
                <w:b/>
                <w:sz w:val="18"/>
              </w:rPr>
            </w:pPr>
            <w:r>
              <w:rPr>
                <w:b/>
                <w:sz w:val="18"/>
              </w:rPr>
              <w:t xml:space="preserve">                                           </w:t>
            </w:r>
            <w:r>
              <w:rPr>
                <w:b/>
              </w:rPr>
              <w:t xml:space="preserve">Maxičky </w:t>
            </w:r>
          </w:p>
        </w:tc>
      </w:tr>
      <w:tr w:rsidR="00E42A45" w14:paraId="6FF18779" w14:textId="77777777" w:rsidTr="00E42A45">
        <w:trPr>
          <w:gridBefore w:val="1"/>
          <w:wBefore w:w="75" w:type="dxa"/>
        </w:trPr>
        <w:tc>
          <w:tcPr>
            <w:tcW w:w="7072" w:type="dxa"/>
            <w:gridSpan w:val="2"/>
            <w:shd w:val="clear" w:color="auto" w:fill="FFFFFF"/>
          </w:tcPr>
          <w:p w14:paraId="4BDC7A6F" w14:textId="77777777" w:rsidR="00E42A45" w:rsidRDefault="00E42A45" w:rsidP="00BB63DF">
            <w:pPr>
              <w:tabs>
                <w:tab w:val="left" w:pos="709"/>
              </w:tabs>
              <w:rPr>
                <w:b/>
                <w:sz w:val="18"/>
              </w:rPr>
            </w:pPr>
            <w:r>
              <w:rPr>
                <w:b/>
                <w:sz w:val="18"/>
              </w:rPr>
              <w:t>Název</w:t>
            </w:r>
          </w:p>
          <w:p w14:paraId="6451C013" w14:textId="77777777" w:rsidR="00E42A45" w:rsidRDefault="00E42A45" w:rsidP="00BB63DF">
            <w:pPr>
              <w:tabs>
                <w:tab w:val="left" w:pos="709"/>
              </w:tabs>
              <w:rPr>
                <w:b/>
                <w:caps/>
                <w:sz w:val="18"/>
              </w:rPr>
            </w:pPr>
            <w:r>
              <w:rPr>
                <w:b/>
                <w:caps/>
                <w:sz w:val="18"/>
              </w:rPr>
              <w:t xml:space="preserve">                                                                    </w:t>
            </w:r>
            <w:r>
              <w:rPr>
                <w:b/>
                <w:caps/>
              </w:rPr>
              <w:t>Napajedla</w:t>
            </w:r>
          </w:p>
        </w:tc>
        <w:tc>
          <w:tcPr>
            <w:tcW w:w="3536" w:type="dxa"/>
            <w:gridSpan w:val="2"/>
            <w:shd w:val="clear" w:color="auto" w:fill="FFFFFF"/>
          </w:tcPr>
          <w:p w14:paraId="2F428B3F" w14:textId="77777777" w:rsidR="00E42A45" w:rsidRDefault="00E42A45" w:rsidP="00BB63DF">
            <w:pPr>
              <w:tabs>
                <w:tab w:val="left" w:pos="709"/>
              </w:tabs>
              <w:rPr>
                <w:b/>
                <w:sz w:val="18"/>
              </w:rPr>
            </w:pPr>
            <w:r>
              <w:rPr>
                <w:b/>
                <w:sz w:val="18"/>
              </w:rPr>
              <w:t xml:space="preserve">Mapový list           </w:t>
            </w:r>
          </w:p>
          <w:p w14:paraId="26E4AA68" w14:textId="77777777" w:rsidR="00E42A45" w:rsidRDefault="00E42A45" w:rsidP="00BB63DF">
            <w:pPr>
              <w:tabs>
                <w:tab w:val="left" w:pos="709"/>
              </w:tabs>
              <w:rPr>
                <w:b/>
                <w:sz w:val="20"/>
              </w:rPr>
            </w:pPr>
            <w:r>
              <w:rPr>
                <w:b/>
                <w:sz w:val="20"/>
              </w:rPr>
              <w:t xml:space="preserve">                           </w:t>
            </w:r>
            <w:r>
              <w:rPr>
                <w:sz w:val="20"/>
              </w:rPr>
              <w:t>02-23-18, 13</w:t>
            </w:r>
          </w:p>
        </w:tc>
        <w:tc>
          <w:tcPr>
            <w:tcW w:w="3536" w:type="dxa"/>
            <w:gridSpan w:val="2"/>
            <w:shd w:val="clear" w:color="auto" w:fill="FFFFFF"/>
          </w:tcPr>
          <w:p w14:paraId="2D6A2C4D" w14:textId="77777777" w:rsidR="00E42A45" w:rsidRDefault="00E42A45" w:rsidP="00BB63DF">
            <w:pPr>
              <w:tabs>
                <w:tab w:val="left" w:pos="709"/>
              </w:tabs>
              <w:rPr>
                <w:b/>
                <w:sz w:val="18"/>
              </w:rPr>
            </w:pPr>
            <w:r>
              <w:rPr>
                <w:b/>
                <w:sz w:val="18"/>
              </w:rPr>
              <w:t xml:space="preserve">Výměra             </w:t>
            </w:r>
          </w:p>
          <w:p w14:paraId="5D325B9D" w14:textId="77777777" w:rsidR="00E42A45" w:rsidRDefault="00E42A45" w:rsidP="00BB63DF">
            <w:pPr>
              <w:tabs>
                <w:tab w:val="left" w:pos="709"/>
              </w:tabs>
              <w:rPr>
                <w:b/>
                <w:sz w:val="20"/>
              </w:rPr>
            </w:pPr>
            <w:r>
              <w:rPr>
                <w:b/>
                <w:sz w:val="18"/>
              </w:rPr>
              <w:t xml:space="preserve">                     </w:t>
            </w:r>
            <w:r>
              <w:rPr>
                <w:b/>
                <w:sz w:val="20"/>
              </w:rPr>
              <w:t>166,49 ha</w:t>
            </w:r>
          </w:p>
        </w:tc>
      </w:tr>
      <w:tr w:rsidR="00E42A45" w14:paraId="4FCCFD2E" w14:textId="77777777" w:rsidTr="00E42A45">
        <w:trPr>
          <w:gridBefore w:val="1"/>
          <w:wBefore w:w="75" w:type="dxa"/>
        </w:trPr>
        <w:tc>
          <w:tcPr>
            <w:tcW w:w="7072" w:type="dxa"/>
            <w:gridSpan w:val="2"/>
            <w:shd w:val="clear" w:color="auto" w:fill="FFFFFF"/>
          </w:tcPr>
          <w:p w14:paraId="1FE72D50" w14:textId="77777777" w:rsidR="00E42A45" w:rsidRDefault="00E42A45" w:rsidP="00BB63DF">
            <w:pPr>
              <w:tabs>
                <w:tab w:val="left" w:pos="709"/>
              </w:tabs>
              <w:rPr>
                <w:sz w:val="20"/>
              </w:rPr>
            </w:pPr>
            <w:r>
              <w:rPr>
                <w:sz w:val="20"/>
              </w:rPr>
              <w:lastRenderedPageBreak/>
              <w:t>EVKP - ekologicky významný krajinný prvek</w:t>
            </w:r>
          </w:p>
          <w:p w14:paraId="02C20F63" w14:textId="77777777" w:rsidR="00E42A45" w:rsidRDefault="00E42A45" w:rsidP="00BB63DF">
            <w:pPr>
              <w:tabs>
                <w:tab w:val="left" w:pos="709"/>
              </w:tabs>
              <w:rPr>
                <w:sz w:val="20"/>
              </w:rPr>
            </w:pPr>
            <w:r>
              <w:rPr>
                <w:sz w:val="20"/>
              </w:rPr>
              <w:t>EVKC - ekologicky významný krajinný celek</w:t>
            </w:r>
          </w:p>
          <w:p w14:paraId="69D4FAB7" w14:textId="77777777" w:rsidR="00E42A45" w:rsidRPr="002D7515" w:rsidRDefault="00E42A45" w:rsidP="00BB63DF">
            <w:pPr>
              <w:pStyle w:val="Nadpis6"/>
            </w:pPr>
            <w:r w:rsidRPr="002D7515">
              <w:t>EVKO - ekologicky významná krajinná oblast</w:t>
            </w:r>
          </w:p>
          <w:p w14:paraId="2AA32FB3" w14:textId="77777777" w:rsidR="00E42A45" w:rsidRDefault="00E42A45" w:rsidP="00BB63DF">
            <w:pPr>
              <w:tabs>
                <w:tab w:val="left" w:pos="709"/>
              </w:tabs>
              <w:rPr>
                <w:sz w:val="20"/>
              </w:rPr>
            </w:pPr>
            <w:r>
              <w:rPr>
                <w:sz w:val="20"/>
              </w:rPr>
              <w:t>EVLS  - ekologicky významné liniové společenstvo</w:t>
            </w:r>
          </w:p>
        </w:tc>
        <w:tc>
          <w:tcPr>
            <w:tcW w:w="3536" w:type="dxa"/>
            <w:gridSpan w:val="2"/>
            <w:shd w:val="clear" w:color="auto" w:fill="FFFFFF"/>
          </w:tcPr>
          <w:p w14:paraId="5169C21D" w14:textId="77777777" w:rsidR="00E42A45" w:rsidRPr="002D7515" w:rsidRDefault="00E42A45" w:rsidP="00BB63DF">
            <w:pPr>
              <w:pStyle w:val="Nadpis8"/>
            </w:pPr>
            <w:r w:rsidRPr="002D7515">
              <w:t>Biogeografický význam</w:t>
            </w:r>
          </w:p>
          <w:p w14:paraId="6148B570" w14:textId="77777777" w:rsidR="00E42A45" w:rsidRDefault="00E42A45" w:rsidP="00BB63DF">
            <w:pPr>
              <w:tabs>
                <w:tab w:val="left" w:pos="709"/>
              </w:tabs>
              <w:rPr>
                <w:sz w:val="20"/>
              </w:rPr>
            </w:pPr>
            <w:r>
              <w:t xml:space="preserve">       </w:t>
            </w:r>
            <w:r>
              <w:rPr>
                <w:sz w:val="20"/>
              </w:rPr>
              <w:t>-</w:t>
            </w:r>
            <w:r>
              <w:rPr>
                <w:b/>
                <w:sz w:val="20"/>
                <w:u w:val="single"/>
              </w:rPr>
              <w:t xml:space="preserve"> </w:t>
            </w:r>
            <w:r>
              <w:rPr>
                <w:sz w:val="20"/>
              </w:rPr>
              <w:t xml:space="preserve">lokální </w:t>
            </w:r>
          </w:p>
          <w:p w14:paraId="3D6580E6" w14:textId="77777777" w:rsidR="00E42A45" w:rsidRDefault="00E42A45" w:rsidP="00BB63DF">
            <w:pPr>
              <w:tabs>
                <w:tab w:val="left" w:pos="709"/>
              </w:tabs>
              <w:ind w:left="345"/>
            </w:pPr>
            <w:r>
              <w:t xml:space="preserve"> </w:t>
            </w:r>
            <w:r>
              <w:rPr>
                <w:b/>
              </w:rPr>
              <w:t>- regionální, reprezentativní</w:t>
            </w:r>
          </w:p>
          <w:p w14:paraId="7A0ED104" w14:textId="77777777" w:rsidR="00E42A45" w:rsidRDefault="00E42A45" w:rsidP="00BB63DF">
            <w:pPr>
              <w:tabs>
                <w:tab w:val="left" w:pos="709"/>
              </w:tabs>
              <w:ind w:left="345"/>
              <w:rPr>
                <w:sz w:val="20"/>
              </w:rPr>
            </w:pPr>
            <w:r>
              <w:t xml:space="preserve"> </w:t>
            </w:r>
            <w:r>
              <w:rPr>
                <w:sz w:val="20"/>
              </w:rPr>
              <w:t>- nadregionální</w:t>
            </w:r>
          </w:p>
        </w:tc>
        <w:tc>
          <w:tcPr>
            <w:tcW w:w="3536" w:type="dxa"/>
            <w:gridSpan w:val="2"/>
            <w:shd w:val="clear" w:color="auto" w:fill="FFFFFF"/>
          </w:tcPr>
          <w:p w14:paraId="25758203" w14:textId="77777777" w:rsidR="00E42A45" w:rsidRDefault="00E42A45" w:rsidP="00BB63DF">
            <w:pPr>
              <w:tabs>
                <w:tab w:val="left" w:pos="709"/>
              </w:tabs>
              <w:rPr>
                <w:b/>
                <w:sz w:val="18"/>
              </w:rPr>
            </w:pPr>
            <w:r>
              <w:rPr>
                <w:b/>
                <w:sz w:val="18"/>
              </w:rPr>
              <w:t>Stav</w:t>
            </w:r>
          </w:p>
          <w:p w14:paraId="280974CC" w14:textId="77777777" w:rsidR="00E42A45" w:rsidRDefault="00E42A45" w:rsidP="00BB63DF">
            <w:pPr>
              <w:tabs>
                <w:tab w:val="left" w:pos="709"/>
              </w:tabs>
              <w:ind w:left="405"/>
            </w:pPr>
            <w:r>
              <w:rPr>
                <w:b/>
              </w:rPr>
              <w:t>-  funkčně vymezený</w:t>
            </w:r>
          </w:p>
          <w:p w14:paraId="0DD2896F" w14:textId="77777777" w:rsidR="00E42A45" w:rsidRDefault="00E42A45" w:rsidP="00BB63DF">
            <w:pPr>
              <w:tabs>
                <w:tab w:val="left" w:pos="709"/>
              </w:tabs>
              <w:rPr>
                <w:sz w:val="20"/>
              </w:rPr>
            </w:pPr>
            <w:r>
              <w:t xml:space="preserve">       </w:t>
            </w:r>
            <w:r>
              <w:rPr>
                <w:sz w:val="20"/>
              </w:rPr>
              <w:t xml:space="preserve">-  semifunkční    </w:t>
            </w:r>
          </w:p>
          <w:p w14:paraId="60EF1A33" w14:textId="77777777" w:rsidR="00E42A45" w:rsidRDefault="00E42A45" w:rsidP="00BB63DF">
            <w:pPr>
              <w:tabs>
                <w:tab w:val="left" w:pos="709"/>
              </w:tabs>
            </w:pPr>
            <w:r>
              <w:rPr>
                <w:sz w:val="20"/>
              </w:rPr>
              <w:t xml:space="preserve">        -  navržený</w:t>
            </w:r>
          </w:p>
        </w:tc>
      </w:tr>
      <w:tr w:rsidR="00E42A45" w14:paraId="338A398A" w14:textId="77777777" w:rsidTr="00E42A45">
        <w:trPr>
          <w:gridBefore w:val="1"/>
          <w:wBefore w:w="75" w:type="dxa"/>
        </w:trPr>
        <w:tc>
          <w:tcPr>
            <w:tcW w:w="7072" w:type="dxa"/>
            <w:gridSpan w:val="2"/>
            <w:shd w:val="clear" w:color="auto" w:fill="FFFFFF"/>
          </w:tcPr>
          <w:p w14:paraId="0619A1B6" w14:textId="77777777" w:rsidR="00E42A45" w:rsidRDefault="00E42A45" w:rsidP="00BB63DF">
            <w:pPr>
              <w:tabs>
                <w:tab w:val="left" w:pos="709"/>
              </w:tabs>
              <w:rPr>
                <w:b/>
                <w:sz w:val="18"/>
              </w:rPr>
            </w:pPr>
            <w:r>
              <w:rPr>
                <w:b/>
                <w:sz w:val="18"/>
              </w:rPr>
              <w:t>Geobiocenologická typizace (vegetační stupeň, trofická řada, hydrická řada)</w:t>
            </w:r>
          </w:p>
          <w:p w14:paraId="205D67FC" w14:textId="77777777" w:rsidR="00E42A45" w:rsidRDefault="00E42A45" w:rsidP="00BB63DF">
            <w:pPr>
              <w:tabs>
                <w:tab w:val="left" w:pos="709"/>
              </w:tabs>
            </w:pPr>
            <w:r>
              <w:t xml:space="preserve">                       6AB3, 6AB4    </w:t>
            </w:r>
          </w:p>
        </w:tc>
        <w:tc>
          <w:tcPr>
            <w:tcW w:w="7072" w:type="dxa"/>
            <w:gridSpan w:val="4"/>
            <w:shd w:val="clear" w:color="auto" w:fill="FFFFFF"/>
          </w:tcPr>
          <w:p w14:paraId="3A6AF01C" w14:textId="77777777" w:rsidR="00E42A45" w:rsidRDefault="00E42A45" w:rsidP="00BB63DF">
            <w:pPr>
              <w:tabs>
                <w:tab w:val="left" w:pos="709"/>
              </w:tabs>
            </w:pPr>
          </w:p>
        </w:tc>
      </w:tr>
      <w:tr w:rsidR="00E42A45" w14:paraId="157330F5" w14:textId="77777777" w:rsidTr="00E42A45">
        <w:trPr>
          <w:gridBefore w:val="1"/>
          <w:wBefore w:w="75" w:type="dxa"/>
        </w:trPr>
        <w:tc>
          <w:tcPr>
            <w:tcW w:w="14144" w:type="dxa"/>
            <w:gridSpan w:val="6"/>
          </w:tcPr>
          <w:p w14:paraId="58CE3507" w14:textId="77777777" w:rsidR="00E42A45" w:rsidRDefault="00E42A45" w:rsidP="00BB63DF">
            <w:pPr>
              <w:tabs>
                <w:tab w:val="left" w:pos="709"/>
              </w:tabs>
            </w:pPr>
            <w:r>
              <w:rPr>
                <w:b/>
                <w:sz w:val="18"/>
              </w:rPr>
              <w:t>Charakter ekotopu a bioty</w:t>
            </w:r>
            <w:r>
              <w:t xml:space="preserve">       </w:t>
            </w:r>
          </w:p>
          <w:p w14:paraId="79D53BD6" w14:textId="77777777" w:rsidR="00E42A45" w:rsidRDefault="00E42A45" w:rsidP="00BB63DF">
            <w:pPr>
              <w:tabs>
                <w:tab w:val="left" w:pos="709"/>
              </w:tabs>
              <w:rPr>
                <w:sz w:val="20"/>
              </w:rPr>
            </w:pPr>
            <w:r>
              <w:rPr>
                <w:sz w:val="20"/>
              </w:rPr>
              <w:t>Regionální biocentrum na trase nadregionálního biokoridoru vymezené v údolní poloze potoka Napajedla podél Královomlýnské cesty. Údolí je orientováno SZ směrem, při průměrném sklonu nivelety toku a potažmo údolí cca 1-2%.   Nadmořská výška lokality se pohybuje od 374 do 470m.  Z ekologického hlediska (troficita, hydricita) je biocentrum mírně homogenní. Součástí lokality je vodní tok  - Napajedla. Charakter toku je vesměs přírodní bez významnější regulačních zásahů.  Podél toku vzniká polopropustná  bariéra z důvodu změny hydrického gradientu</w:t>
            </w:r>
          </w:p>
          <w:p w14:paraId="046568F9" w14:textId="77777777" w:rsidR="00E42A45" w:rsidRDefault="00E42A45" w:rsidP="00BB63DF">
            <w:pPr>
              <w:tabs>
                <w:tab w:val="left" w:pos="709"/>
              </w:tabs>
              <w:rPr>
                <w:sz w:val="20"/>
              </w:rPr>
            </w:pPr>
            <w:r>
              <w:rPr>
                <w:sz w:val="20"/>
              </w:rPr>
              <w:t xml:space="preserve">                                                                                                         SES = 3 - 4.   </w:t>
            </w:r>
          </w:p>
          <w:p w14:paraId="4178BF0C" w14:textId="77777777" w:rsidR="00E42A45" w:rsidRDefault="00E42A45" w:rsidP="00BB63DF">
            <w:pPr>
              <w:tabs>
                <w:tab w:val="left" w:pos="709"/>
              </w:tabs>
              <w:rPr>
                <w:sz w:val="20"/>
              </w:rPr>
            </w:pPr>
            <w:r>
              <w:rPr>
                <w:sz w:val="20"/>
              </w:rPr>
              <w:t xml:space="preserve">Lesní porost je tvořen následujícími dřevinami:  </w:t>
            </w:r>
          </w:p>
          <w:p w14:paraId="5045F7BD" w14:textId="77777777" w:rsidR="00E42A45" w:rsidRDefault="00E42A45" w:rsidP="00BB63DF">
            <w:pPr>
              <w:tabs>
                <w:tab w:val="left" w:pos="709"/>
              </w:tabs>
              <w:rPr>
                <w:sz w:val="20"/>
              </w:rPr>
            </w:pPr>
            <w:r>
              <w:rPr>
                <w:sz w:val="20"/>
              </w:rPr>
              <w:t>115/A - SM, BO, MD                                                                                   115/D - SM, BO, VJ, MD, SMP, BK</w:t>
            </w:r>
          </w:p>
          <w:p w14:paraId="273DF955" w14:textId="77777777" w:rsidR="00E42A45" w:rsidRDefault="00E42A45" w:rsidP="00BB63DF">
            <w:pPr>
              <w:tabs>
                <w:tab w:val="left" w:pos="709"/>
              </w:tabs>
              <w:rPr>
                <w:sz w:val="20"/>
              </w:rPr>
            </w:pPr>
            <w:r>
              <w:rPr>
                <w:sz w:val="20"/>
              </w:rPr>
              <w:t>116/B - SM, BO, VJ, MD, SMP, BR                                                            116/C - SM, BO, VJ, MD, SMP, BR</w:t>
            </w:r>
          </w:p>
          <w:p w14:paraId="0F930C65" w14:textId="77777777" w:rsidR="00E42A45" w:rsidRDefault="00E42A45" w:rsidP="00BB63DF">
            <w:pPr>
              <w:tabs>
                <w:tab w:val="left" w:pos="709"/>
              </w:tabs>
              <w:rPr>
                <w:sz w:val="20"/>
              </w:rPr>
            </w:pPr>
            <w:r>
              <w:rPr>
                <w:sz w:val="20"/>
              </w:rPr>
              <w:t>116/D - SM, BO                                                                                          122/B - SM, MD, BO, BR</w:t>
            </w:r>
          </w:p>
          <w:p w14:paraId="174F425B" w14:textId="77777777" w:rsidR="00E42A45" w:rsidRDefault="00E42A45" w:rsidP="00BB63DF">
            <w:pPr>
              <w:tabs>
                <w:tab w:val="left" w:pos="709"/>
              </w:tabs>
              <w:rPr>
                <w:sz w:val="20"/>
              </w:rPr>
            </w:pPr>
            <w:r>
              <w:rPr>
                <w:sz w:val="20"/>
              </w:rPr>
              <w:t>122/C - SM, BO, MD                                                                                  123/E - SM, BR, MD, BO, SMP</w:t>
            </w:r>
          </w:p>
          <w:p w14:paraId="56B1515C" w14:textId="77777777" w:rsidR="00E42A45" w:rsidRDefault="00E42A45" w:rsidP="00BB63DF">
            <w:pPr>
              <w:tabs>
                <w:tab w:val="left" w:pos="709"/>
              </w:tabs>
              <w:rPr>
                <w:sz w:val="20"/>
              </w:rPr>
            </w:pPr>
            <w:r>
              <w:rPr>
                <w:sz w:val="20"/>
              </w:rPr>
              <w:t>123/F - SM, BR, MD                                                                                   135/A - SM, BO</w:t>
            </w:r>
          </w:p>
          <w:p w14:paraId="6B8B0804" w14:textId="77777777" w:rsidR="00E42A45" w:rsidRDefault="00E42A45" w:rsidP="00BB63DF">
            <w:pPr>
              <w:tabs>
                <w:tab w:val="left" w:pos="709"/>
              </w:tabs>
              <w:rPr>
                <w:sz w:val="20"/>
              </w:rPr>
            </w:pPr>
            <w:r>
              <w:rPr>
                <w:sz w:val="20"/>
              </w:rPr>
              <w:t>135/B - SM, BO, BK, BR, MD, SMP                                                           135/E - SM, BO, BK, BR, MD, SMP</w:t>
            </w:r>
          </w:p>
          <w:p w14:paraId="4FBF7A3D" w14:textId="77777777" w:rsidR="00E42A45" w:rsidRDefault="00E42A45" w:rsidP="00BB63DF">
            <w:pPr>
              <w:tabs>
                <w:tab w:val="left" w:pos="709"/>
              </w:tabs>
              <w:rPr>
                <w:sz w:val="20"/>
              </w:rPr>
            </w:pPr>
            <w:r>
              <w:rPr>
                <w:sz w:val="20"/>
              </w:rPr>
              <w:t>135/F - SM, BO, MD, SMP</w:t>
            </w:r>
          </w:p>
          <w:p w14:paraId="7FC14881" w14:textId="77777777" w:rsidR="00E42A45" w:rsidRDefault="00E42A45" w:rsidP="00BB63DF">
            <w:pPr>
              <w:tabs>
                <w:tab w:val="left" w:pos="709"/>
              </w:tabs>
              <w:rPr>
                <w:sz w:val="20"/>
              </w:rPr>
            </w:pPr>
          </w:p>
          <w:p w14:paraId="35076E9B" w14:textId="77777777" w:rsidR="00E42A45" w:rsidRDefault="00E42A45" w:rsidP="00BB63DF">
            <w:pPr>
              <w:tabs>
                <w:tab w:val="left" w:pos="709"/>
              </w:tabs>
              <w:rPr>
                <w:sz w:val="20"/>
              </w:rPr>
            </w:pPr>
            <w:r>
              <w:rPr>
                <w:b/>
                <w:sz w:val="20"/>
              </w:rPr>
              <w:t>Zastoupené lesní typy:</w:t>
            </w:r>
            <w:r>
              <w:rPr>
                <w:sz w:val="20"/>
              </w:rPr>
              <w:t xml:space="preserve">                6K1 - kyselá sm BK metlicová                        6K8,9 - kyselá sm BK  </w:t>
            </w:r>
          </w:p>
          <w:p w14:paraId="792AFFF4" w14:textId="77777777" w:rsidR="00E42A45" w:rsidRDefault="00E42A45" w:rsidP="00BB63DF">
            <w:pPr>
              <w:tabs>
                <w:tab w:val="left" w:pos="709"/>
              </w:tabs>
              <w:rPr>
                <w:sz w:val="20"/>
              </w:rPr>
            </w:pPr>
            <w:r>
              <w:rPr>
                <w:sz w:val="20"/>
              </w:rPr>
              <w:t xml:space="preserve">                                                       6G3 - podmáčená sm JD  třtinová                  </w:t>
            </w:r>
          </w:p>
          <w:p w14:paraId="01AA3712" w14:textId="77777777" w:rsidR="00E42A45" w:rsidRDefault="00E42A45" w:rsidP="00BB63DF">
            <w:pPr>
              <w:tabs>
                <w:tab w:val="left" w:pos="709"/>
              </w:tabs>
              <w:rPr>
                <w:sz w:val="20"/>
              </w:rPr>
            </w:pPr>
            <w:r>
              <w:rPr>
                <w:sz w:val="20"/>
              </w:rPr>
              <w:t>Geol.: Hnědé půdy oligomezotrofní, glejové půdy zrašelinělé</w:t>
            </w:r>
          </w:p>
          <w:p w14:paraId="7A0F51BA" w14:textId="77777777" w:rsidR="00E42A45" w:rsidRDefault="00E42A45" w:rsidP="00BB63DF">
            <w:pPr>
              <w:tabs>
                <w:tab w:val="left" w:pos="709"/>
              </w:tabs>
              <w:rPr>
                <w:sz w:val="20"/>
              </w:rPr>
            </w:pPr>
          </w:p>
          <w:p w14:paraId="38BF4282" w14:textId="77777777" w:rsidR="00E42A45" w:rsidRDefault="00E42A45" w:rsidP="00BB63DF">
            <w:pPr>
              <w:tabs>
                <w:tab w:val="left" w:pos="709"/>
              </w:tabs>
              <w:rPr>
                <w:i/>
                <w:sz w:val="20"/>
              </w:rPr>
            </w:pPr>
            <w:r>
              <w:rPr>
                <w:sz w:val="20"/>
              </w:rPr>
              <w:t xml:space="preserve">Bot.: </w:t>
            </w:r>
            <w:r>
              <w:rPr>
                <w:i/>
                <w:sz w:val="20"/>
              </w:rPr>
              <w:t xml:space="preserve">Calamagrostis villosa, Deschampsia flexuosa,  Dryopteris spinulosa ,  Oxalis acetosella, Carex sp. </w:t>
            </w:r>
          </w:p>
          <w:p w14:paraId="1C6756DC" w14:textId="77777777" w:rsidR="00E42A45" w:rsidRDefault="00E42A45" w:rsidP="00BB63DF">
            <w:pPr>
              <w:tabs>
                <w:tab w:val="left" w:pos="709"/>
              </w:tabs>
              <w:rPr>
                <w:b/>
              </w:rPr>
            </w:pPr>
          </w:p>
          <w:p w14:paraId="437C0366" w14:textId="77777777" w:rsidR="00E42A45" w:rsidRDefault="00E42A45" w:rsidP="00BB63DF">
            <w:pPr>
              <w:pStyle w:val="Zkladntext"/>
            </w:pPr>
            <w:r>
              <w:t xml:space="preserve">Návrh opatření :   </w:t>
            </w:r>
          </w:p>
          <w:p w14:paraId="079B32DB" w14:textId="77777777" w:rsidR="00E42A45" w:rsidRDefault="00E42A45" w:rsidP="00BB63DF">
            <w:pPr>
              <w:tabs>
                <w:tab w:val="left" w:pos="709"/>
              </w:tabs>
              <w:rPr>
                <w:b/>
                <w:sz w:val="20"/>
              </w:rPr>
            </w:pPr>
            <w:r>
              <w:rPr>
                <w:b/>
                <w:sz w:val="20"/>
              </w:rPr>
              <w:t>Dřeviny přirozené rekonstruované skladby podle SLT:     6K -SM4, BK4,  JD2, JŔ               6G - SM5, JD4, BK(OL)1</w:t>
            </w:r>
          </w:p>
          <w:p w14:paraId="67FAA405" w14:textId="77777777" w:rsidR="00E42A45" w:rsidRDefault="00E42A45" w:rsidP="00BB63DF">
            <w:pPr>
              <w:tabs>
                <w:tab w:val="left" w:pos="709"/>
              </w:tabs>
            </w:pPr>
            <w:r>
              <w:rPr>
                <w:b/>
                <w:sz w:val="20"/>
              </w:rPr>
              <w:t>Opatření v porostu ve smyslu Generelu rekonstrukce, který je promítnut v platném LHP, s  náhradou dřevin mimo přirozenou dřevinnou skladbu. Redukce SMP a MD, podpora BO, BK.</w:t>
            </w:r>
            <w:r>
              <w:t xml:space="preserve">                            </w:t>
            </w:r>
          </w:p>
        </w:tc>
      </w:tr>
      <w:tr w:rsidR="00E42A45" w14:paraId="4FAE28E1" w14:textId="77777777" w:rsidTr="00E42A45">
        <w:trPr>
          <w:gridBefore w:val="1"/>
          <w:wBefore w:w="75" w:type="dxa"/>
        </w:trPr>
        <w:tc>
          <w:tcPr>
            <w:tcW w:w="7072" w:type="dxa"/>
            <w:gridSpan w:val="2"/>
            <w:shd w:val="clear" w:color="auto" w:fill="FFFFFF"/>
          </w:tcPr>
          <w:p w14:paraId="7F29D202" w14:textId="77777777" w:rsidR="00E42A45" w:rsidRDefault="00E42A45" w:rsidP="00BB63DF">
            <w:pPr>
              <w:tabs>
                <w:tab w:val="left" w:pos="709"/>
              </w:tabs>
              <w:rPr>
                <w:sz w:val="18"/>
              </w:rPr>
            </w:pPr>
            <w:r>
              <w:rPr>
                <w:sz w:val="18"/>
              </w:rPr>
              <w:t xml:space="preserve">Vymezení        LS  Sněžník, 115/A,D,  116/B-D,  122/B, C  123/E, F  135/A,B,E,F  </w:t>
            </w:r>
          </w:p>
        </w:tc>
        <w:tc>
          <w:tcPr>
            <w:tcW w:w="7072" w:type="dxa"/>
            <w:gridSpan w:val="4"/>
            <w:shd w:val="clear" w:color="auto" w:fill="FFFFFF"/>
          </w:tcPr>
          <w:p w14:paraId="026AA0F9" w14:textId="77777777" w:rsidR="00E42A45" w:rsidRDefault="00E42A45" w:rsidP="00BB63DF">
            <w:pPr>
              <w:tabs>
                <w:tab w:val="left" w:pos="709"/>
              </w:tabs>
              <w:rPr>
                <w:sz w:val="18"/>
              </w:rPr>
            </w:pPr>
            <w:r>
              <w:rPr>
                <w:sz w:val="18"/>
              </w:rPr>
              <w:t xml:space="preserve">Kultura               les </w:t>
            </w:r>
          </w:p>
        </w:tc>
      </w:tr>
      <w:tr w:rsidR="00E42A45" w14:paraId="1FC2CCF3" w14:textId="77777777" w:rsidTr="00E42A45">
        <w:trPr>
          <w:gridBefore w:val="1"/>
          <w:wBefore w:w="75" w:type="dxa"/>
        </w:trPr>
        <w:tc>
          <w:tcPr>
            <w:tcW w:w="7072" w:type="dxa"/>
            <w:gridSpan w:val="2"/>
            <w:shd w:val="clear" w:color="auto" w:fill="FFFFFF"/>
          </w:tcPr>
          <w:p w14:paraId="676310F6" w14:textId="77777777" w:rsidR="00E42A45" w:rsidRDefault="00E42A45" w:rsidP="00BB63DF">
            <w:pPr>
              <w:tabs>
                <w:tab w:val="left" w:pos="709"/>
              </w:tabs>
              <w:rPr>
                <w:sz w:val="18"/>
              </w:rPr>
            </w:pPr>
            <w:r>
              <w:rPr>
                <w:sz w:val="18"/>
              </w:rPr>
              <w:t>Uživatel                                              LČR</w:t>
            </w:r>
          </w:p>
        </w:tc>
        <w:tc>
          <w:tcPr>
            <w:tcW w:w="7072" w:type="dxa"/>
            <w:gridSpan w:val="4"/>
            <w:shd w:val="clear" w:color="auto" w:fill="FFFFFF"/>
          </w:tcPr>
          <w:p w14:paraId="5E8E9A50" w14:textId="77777777" w:rsidR="00E42A45" w:rsidRDefault="00E42A45" w:rsidP="00BB63DF">
            <w:pPr>
              <w:tabs>
                <w:tab w:val="left" w:pos="709"/>
              </w:tabs>
              <w:rPr>
                <w:sz w:val="18"/>
              </w:rPr>
            </w:pPr>
            <w:r>
              <w:rPr>
                <w:sz w:val="18"/>
              </w:rPr>
              <w:t>Mapovatel          Sklenička, Linhart, 1997</w:t>
            </w:r>
          </w:p>
        </w:tc>
      </w:tr>
      <w:tr w:rsidR="00E42A45" w14:paraId="3E6D8B10" w14:textId="77777777" w:rsidTr="00E42A45">
        <w:trPr>
          <w:gridBefore w:val="1"/>
          <w:wBefore w:w="75" w:type="dxa"/>
        </w:trPr>
        <w:tc>
          <w:tcPr>
            <w:tcW w:w="14144" w:type="dxa"/>
            <w:gridSpan w:val="6"/>
            <w:shd w:val="clear" w:color="auto" w:fill="FFFFFF"/>
          </w:tcPr>
          <w:p w14:paraId="0F3D509C" w14:textId="77777777" w:rsidR="00E42A45" w:rsidRDefault="00E42A45" w:rsidP="00BB63DF">
            <w:pPr>
              <w:tabs>
                <w:tab w:val="left" w:pos="709"/>
              </w:tabs>
            </w:pPr>
            <w:r>
              <w:rPr>
                <w:sz w:val="18"/>
              </w:rPr>
              <w:t>Kategorie ochrany, rok vyhlášení</w:t>
            </w:r>
          </w:p>
          <w:p w14:paraId="3E4A2B57" w14:textId="77777777" w:rsidR="00E42A45" w:rsidRPr="002D7515" w:rsidRDefault="00E42A45" w:rsidP="00BB63DF">
            <w:pPr>
              <w:pStyle w:val="Nadpis7"/>
            </w:pPr>
            <w:r w:rsidRPr="002D7515">
              <w:t xml:space="preserve">                                                                                               CHKO Labské Pískovce - III. zóna</w:t>
            </w:r>
          </w:p>
        </w:tc>
      </w:tr>
      <w:tr w:rsidR="00E42A45" w14:paraId="35F57EEF" w14:textId="77777777" w:rsidTr="00E42A45">
        <w:trPr>
          <w:gridAfter w:val="1"/>
          <w:wAfter w:w="75" w:type="dxa"/>
        </w:trPr>
        <w:tc>
          <w:tcPr>
            <w:tcW w:w="7072" w:type="dxa"/>
            <w:gridSpan w:val="2"/>
            <w:shd w:val="clear" w:color="auto" w:fill="FFFFFF"/>
          </w:tcPr>
          <w:p w14:paraId="0B7CB238" w14:textId="77777777" w:rsidR="00E42A45" w:rsidRDefault="00E42A45" w:rsidP="00BB63DF">
            <w:pPr>
              <w:tabs>
                <w:tab w:val="left" w:pos="709"/>
              </w:tabs>
              <w:rPr>
                <w:b/>
                <w:sz w:val="18"/>
              </w:rPr>
            </w:pPr>
            <w:r>
              <w:rPr>
                <w:b/>
                <w:sz w:val="18"/>
              </w:rPr>
              <w:lastRenderedPageBreak/>
              <w:t>Pořadové číslo</w:t>
            </w:r>
          </w:p>
          <w:p w14:paraId="49CDB3CF" w14:textId="77777777" w:rsidR="00E42A45" w:rsidRDefault="00E42A45" w:rsidP="00BB63DF">
            <w:pPr>
              <w:tabs>
                <w:tab w:val="left" w:pos="709"/>
              </w:tabs>
              <w:rPr>
                <w:b/>
                <w:sz w:val="36"/>
              </w:rPr>
            </w:pPr>
            <w:r>
              <w:rPr>
                <w:b/>
                <w:sz w:val="36"/>
              </w:rPr>
              <w:t xml:space="preserve">                                                21</w:t>
            </w:r>
          </w:p>
        </w:tc>
        <w:tc>
          <w:tcPr>
            <w:tcW w:w="7072" w:type="dxa"/>
            <w:gridSpan w:val="4"/>
            <w:shd w:val="clear" w:color="auto" w:fill="FFFFFF"/>
          </w:tcPr>
          <w:p w14:paraId="7377DF24" w14:textId="77777777" w:rsidR="00E42A45" w:rsidRDefault="00E42A45" w:rsidP="00BB63DF">
            <w:pPr>
              <w:tabs>
                <w:tab w:val="left" w:pos="709"/>
              </w:tabs>
              <w:rPr>
                <w:b/>
                <w:sz w:val="18"/>
              </w:rPr>
            </w:pPr>
            <w:r>
              <w:rPr>
                <w:b/>
                <w:sz w:val="18"/>
              </w:rPr>
              <w:t>Katastrální území</w:t>
            </w:r>
          </w:p>
          <w:p w14:paraId="58B86B34" w14:textId="77777777" w:rsidR="00E42A45" w:rsidRDefault="00E42A45" w:rsidP="00BB63DF">
            <w:pPr>
              <w:tabs>
                <w:tab w:val="left" w:pos="709"/>
              </w:tabs>
              <w:rPr>
                <w:b/>
                <w:sz w:val="18"/>
              </w:rPr>
            </w:pPr>
            <w:r>
              <w:rPr>
                <w:b/>
                <w:sz w:val="18"/>
              </w:rPr>
              <w:t xml:space="preserve">                                           </w:t>
            </w:r>
            <w:r>
              <w:rPr>
                <w:b/>
              </w:rPr>
              <w:t>Maxičky</w:t>
            </w:r>
          </w:p>
        </w:tc>
      </w:tr>
      <w:tr w:rsidR="00E42A45" w14:paraId="174F75AB" w14:textId="77777777" w:rsidTr="00E42A45">
        <w:trPr>
          <w:gridAfter w:val="1"/>
          <w:wAfter w:w="75" w:type="dxa"/>
        </w:trPr>
        <w:tc>
          <w:tcPr>
            <w:tcW w:w="7072" w:type="dxa"/>
            <w:gridSpan w:val="2"/>
            <w:shd w:val="clear" w:color="auto" w:fill="FFFFFF"/>
          </w:tcPr>
          <w:p w14:paraId="261376E2" w14:textId="77777777" w:rsidR="00E42A45" w:rsidRDefault="00E42A45" w:rsidP="00BB63DF">
            <w:pPr>
              <w:tabs>
                <w:tab w:val="left" w:pos="709"/>
              </w:tabs>
              <w:rPr>
                <w:b/>
                <w:sz w:val="18"/>
              </w:rPr>
            </w:pPr>
            <w:r>
              <w:rPr>
                <w:b/>
                <w:sz w:val="18"/>
              </w:rPr>
              <w:t>Název</w:t>
            </w:r>
          </w:p>
          <w:p w14:paraId="53C490B2" w14:textId="77777777" w:rsidR="00E42A45" w:rsidRDefault="00E42A45" w:rsidP="00BB63DF">
            <w:pPr>
              <w:tabs>
                <w:tab w:val="left" w:pos="709"/>
              </w:tabs>
              <w:rPr>
                <w:b/>
                <w:caps/>
                <w:sz w:val="18"/>
              </w:rPr>
            </w:pPr>
            <w:r>
              <w:rPr>
                <w:b/>
                <w:caps/>
                <w:sz w:val="18"/>
              </w:rPr>
              <w:t xml:space="preserve">                                                                 </w:t>
            </w:r>
            <w:r>
              <w:rPr>
                <w:b/>
                <w:caps/>
              </w:rPr>
              <w:t xml:space="preserve">              U buku</w:t>
            </w:r>
          </w:p>
        </w:tc>
        <w:tc>
          <w:tcPr>
            <w:tcW w:w="3536" w:type="dxa"/>
            <w:gridSpan w:val="2"/>
            <w:shd w:val="clear" w:color="auto" w:fill="FFFFFF"/>
          </w:tcPr>
          <w:p w14:paraId="36EFD947" w14:textId="77777777" w:rsidR="00E42A45" w:rsidRDefault="00E42A45" w:rsidP="00BB63DF">
            <w:pPr>
              <w:tabs>
                <w:tab w:val="left" w:pos="709"/>
              </w:tabs>
              <w:rPr>
                <w:b/>
                <w:sz w:val="18"/>
              </w:rPr>
            </w:pPr>
            <w:r>
              <w:rPr>
                <w:b/>
                <w:sz w:val="18"/>
              </w:rPr>
              <w:t xml:space="preserve">Mapový list           </w:t>
            </w:r>
          </w:p>
          <w:p w14:paraId="2A6F3FC0" w14:textId="77777777" w:rsidR="00E42A45" w:rsidRDefault="00E42A45" w:rsidP="00BB63DF">
            <w:pPr>
              <w:tabs>
                <w:tab w:val="left" w:pos="709"/>
              </w:tabs>
              <w:rPr>
                <w:b/>
                <w:sz w:val="20"/>
              </w:rPr>
            </w:pPr>
            <w:r>
              <w:rPr>
                <w:b/>
                <w:sz w:val="18"/>
              </w:rPr>
              <w:t xml:space="preserve">                            </w:t>
            </w:r>
            <w:r>
              <w:rPr>
                <w:sz w:val="20"/>
              </w:rPr>
              <w:t>02-23-08</w:t>
            </w:r>
          </w:p>
        </w:tc>
        <w:tc>
          <w:tcPr>
            <w:tcW w:w="3536" w:type="dxa"/>
            <w:gridSpan w:val="2"/>
            <w:shd w:val="clear" w:color="auto" w:fill="FFFFFF"/>
          </w:tcPr>
          <w:p w14:paraId="08ED831E" w14:textId="77777777" w:rsidR="00E42A45" w:rsidRDefault="00E42A45" w:rsidP="00BB63DF">
            <w:pPr>
              <w:tabs>
                <w:tab w:val="left" w:pos="709"/>
              </w:tabs>
              <w:rPr>
                <w:b/>
                <w:sz w:val="18"/>
              </w:rPr>
            </w:pPr>
            <w:r>
              <w:rPr>
                <w:b/>
                <w:sz w:val="18"/>
              </w:rPr>
              <w:t xml:space="preserve">Výměra             </w:t>
            </w:r>
          </w:p>
          <w:p w14:paraId="1ACBCBA0" w14:textId="77777777" w:rsidR="00E42A45" w:rsidRDefault="00E42A45" w:rsidP="00BB63DF">
            <w:pPr>
              <w:tabs>
                <w:tab w:val="left" w:pos="709"/>
              </w:tabs>
              <w:rPr>
                <w:b/>
                <w:sz w:val="20"/>
              </w:rPr>
            </w:pPr>
            <w:r>
              <w:rPr>
                <w:b/>
                <w:sz w:val="18"/>
              </w:rPr>
              <w:t xml:space="preserve">                     </w:t>
            </w:r>
            <w:r>
              <w:rPr>
                <w:b/>
                <w:sz w:val="20"/>
              </w:rPr>
              <w:t>13,04 ha</w:t>
            </w:r>
          </w:p>
        </w:tc>
      </w:tr>
      <w:tr w:rsidR="00E42A45" w14:paraId="733488C8" w14:textId="77777777" w:rsidTr="00E42A45">
        <w:trPr>
          <w:gridAfter w:val="1"/>
          <w:wAfter w:w="75" w:type="dxa"/>
        </w:trPr>
        <w:tc>
          <w:tcPr>
            <w:tcW w:w="7072" w:type="dxa"/>
            <w:gridSpan w:val="2"/>
            <w:shd w:val="clear" w:color="auto" w:fill="FFFFFF"/>
          </w:tcPr>
          <w:p w14:paraId="5E61F1F8" w14:textId="77777777" w:rsidR="00E42A45" w:rsidRDefault="00E42A45" w:rsidP="00BB63DF">
            <w:pPr>
              <w:tabs>
                <w:tab w:val="left" w:pos="709"/>
              </w:tabs>
              <w:rPr>
                <w:sz w:val="20"/>
              </w:rPr>
            </w:pPr>
            <w:r>
              <w:rPr>
                <w:sz w:val="20"/>
              </w:rPr>
              <w:t>EVKP - ekologicky významný krajinný prvek</w:t>
            </w:r>
          </w:p>
          <w:p w14:paraId="6E8C908E" w14:textId="77777777" w:rsidR="00E42A45" w:rsidRDefault="00E42A45" w:rsidP="00BB63DF">
            <w:pPr>
              <w:tabs>
                <w:tab w:val="left" w:pos="709"/>
              </w:tabs>
              <w:rPr>
                <w:sz w:val="20"/>
              </w:rPr>
            </w:pPr>
            <w:r>
              <w:rPr>
                <w:sz w:val="20"/>
              </w:rPr>
              <w:t>EVKC - ekologicky významný krajinný celek</w:t>
            </w:r>
          </w:p>
          <w:p w14:paraId="21929325" w14:textId="77777777" w:rsidR="00E42A45" w:rsidRPr="002D7515" w:rsidRDefault="00E42A45" w:rsidP="00BB63DF">
            <w:pPr>
              <w:pStyle w:val="Nadpis6"/>
            </w:pPr>
            <w:r w:rsidRPr="002D7515">
              <w:t>EVKO - ekologicky významná krajinná oblast</w:t>
            </w:r>
          </w:p>
          <w:p w14:paraId="0F23BA27" w14:textId="77777777" w:rsidR="00E42A45" w:rsidRDefault="00E42A45" w:rsidP="00BB63DF">
            <w:pPr>
              <w:tabs>
                <w:tab w:val="left" w:pos="709"/>
              </w:tabs>
              <w:rPr>
                <w:sz w:val="20"/>
              </w:rPr>
            </w:pPr>
            <w:r>
              <w:rPr>
                <w:sz w:val="20"/>
              </w:rPr>
              <w:t>EVLS  - ekologicky významné liniové společenstvo</w:t>
            </w:r>
          </w:p>
        </w:tc>
        <w:tc>
          <w:tcPr>
            <w:tcW w:w="3536" w:type="dxa"/>
            <w:gridSpan w:val="2"/>
            <w:shd w:val="clear" w:color="auto" w:fill="FFFFFF"/>
          </w:tcPr>
          <w:p w14:paraId="68A9171F" w14:textId="77777777" w:rsidR="00E42A45" w:rsidRPr="002D7515" w:rsidRDefault="00E42A45" w:rsidP="00BB63DF">
            <w:pPr>
              <w:pStyle w:val="Nadpis8"/>
            </w:pPr>
            <w:r w:rsidRPr="002D7515">
              <w:t>Biogeografický význam</w:t>
            </w:r>
          </w:p>
          <w:p w14:paraId="39E8FFDE" w14:textId="77777777" w:rsidR="00E42A45" w:rsidRDefault="00E42A45" w:rsidP="00BB63DF">
            <w:pPr>
              <w:tabs>
                <w:tab w:val="left" w:pos="709"/>
              </w:tabs>
            </w:pPr>
            <w:r>
              <w:t xml:space="preserve">       -</w:t>
            </w:r>
            <w:r>
              <w:rPr>
                <w:b/>
              </w:rPr>
              <w:t xml:space="preserve"> lokální, reprezentativní</w:t>
            </w:r>
          </w:p>
          <w:p w14:paraId="3AACA7F0" w14:textId="77777777" w:rsidR="00E42A45" w:rsidRDefault="00E42A45" w:rsidP="00BB63DF">
            <w:pPr>
              <w:tabs>
                <w:tab w:val="left" w:pos="709"/>
              </w:tabs>
              <w:ind w:left="345"/>
              <w:rPr>
                <w:sz w:val="20"/>
              </w:rPr>
            </w:pPr>
            <w:r>
              <w:t xml:space="preserve"> </w:t>
            </w:r>
            <w:r>
              <w:rPr>
                <w:sz w:val="20"/>
              </w:rPr>
              <w:t>-  regionální</w:t>
            </w:r>
          </w:p>
          <w:p w14:paraId="0CB37630" w14:textId="77777777" w:rsidR="00E42A45" w:rsidRDefault="00E42A45" w:rsidP="00BB63DF">
            <w:pPr>
              <w:tabs>
                <w:tab w:val="left" w:pos="709"/>
              </w:tabs>
              <w:ind w:left="345"/>
            </w:pPr>
            <w:r>
              <w:rPr>
                <w:sz w:val="20"/>
              </w:rPr>
              <w:t xml:space="preserve"> - nadregionální</w:t>
            </w:r>
          </w:p>
        </w:tc>
        <w:tc>
          <w:tcPr>
            <w:tcW w:w="3536" w:type="dxa"/>
            <w:gridSpan w:val="2"/>
            <w:shd w:val="clear" w:color="auto" w:fill="FFFFFF"/>
          </w:tcPr>
          <w:p w14:paraId="5BC9B44D" w14:textId="77777777" w:rsidR="00E42A45" w:rsidRDefault="00E42A45" w:rsidP="00BB63DF">
            <w:pPr>
              <w:tabs>
                <w:tab w:val="left" w:pos="709"/>
              </w:tabs>
              <w:rPr>
                <w:b/>
                <w:sz w:val="18"/>
              </w:rPr>
            </w:pPr>
            <w:r>
              <w:rPr>
                <w:b/>
                <w:sz w:val="18"/>
              </w:rPr>
              <w:t>Stav</w:t>
            </w:r>
          </w:p>
          <w:p w14:paraId="6416D5E5" w14:textId="77777777" w:rsidR="00E42A45" w:rsidRDefault="00E42A45" w:rsidP="00BB63DF">
            <w:pPr>
              <w:tabs>
                <w:tab w:val="left" w:pos="709"/>
              </w:tabs>
              <w:ind w:left="405"/>
            </w:pPr>
            <w:r>
              <w:rPr>
                <w:b/>
              </w:rPr>
              <w:t>-  funkčně vymezený</w:t>
            </w:r>
          </w:p>
          <w:p w14:paraId="5B18AFEB" w14:textId="77777777" w:rsidR="00E42A45" w:rsidRDefault="00E42A45" w:rsidP="00BB63DF">
            <w:pPr>
              <w:tabs>
                <w:tab w:val="left" w:pos="709"/>
              </w:tabs>
              <w:rPr>
                <w:sz w:val="20"/>
              </w:rPr>
            </w:pPr>
            <w:r>
              <w:t xml:space="preserve">       </w:t>
            </w:r>
            <w:r>
              <w:rPr>
                <w:sz w:val="20"/>
              </w:rPr>
              <w:t xml:space="preserve">-  semifunkční    </w:t>
            </w:r>
          </w:p>
          <w:p w14:paraId="5D21C2A1" w14:textId="77777777" w:rsidR="00E42A45" w:rsidRDefault="00E42A45" w:rsidP="00BB63DF">
            <w:pPr>
              <w:tabs>
                <w:tab w:val="left" w:pos="709"/>
              </w:tabs>
            </w:pPr>
            <w:r>
              <w:rPr>
                <w:sz w:val="20"/>
              </w:rPr>
              <w:t xml:space="preserve">        -  navržený</w:t>
            </w:r>
          </w:p>
        </w:tc>
      </w:tr>
      <w:tr w:rsidR="00E42A45" w14:paraId="5D4128E7" w14:textId="77777777" w:rsidTr="00E42A45">
        <w:trPr>
          <w:gridAfter w:val="1"/>
          <w:wAfter w:w="75" w:type="dxa"/>
        </w:trPr>
        <w:tc>
          <w:tcPr>
            <w:tcW w:w="7072" w:type="dxa"/>
            <w:gridSpan w:val="2"/>
            <w:shd w:val="clear" w:color="auto" w:fill="FFFFFF"/>
          </w:tcPr>
          <w:p w14:paraId="417048E2" w14:textId="77777777" w:rsidR="00E42A45" w:rsidRDefault="00E42A45" w:rsidP="00BB63DF">
            <w:pPr>
              <w:tabs>
                <w:tab w:val="left" w:pos="709"/>
              </w:tabs>
              <w:rPr>
                <w:b/>
                <w:sz w:val="18"/>
              </w:rPr>
            </w:pPr>
            <w:r>
              <w:rPr>
                <w:b/>
                <w:sz w:val="18"/>
              </w:rPr>
              <w:t>Geobiocenologická typizace (vegetační stupeň, trofická řada, hydrická řada)</w:t>
            </w:r>
          </w:p>
          <w:p w14:paraId="0BA8D30E" w14:textId="77777777" w:rsidR="00E42A45" w:rsidRDefault="00E42A45" w:rsidP="00BB63DF">
            <w:pPr>
              <w:tabs>
                <w:tab w:val="left" w:pos="709"/>
              </w:tabs>
            </w:pPr>
            <w:r>
              <w:t xml:space="preserve">                       6AB3, 3A2  </w:t>
            </w:r>
          </w:p>
        </w:tc>
        <w:tc>
          <w:tcPr>
            <w:tcW w:w="7072" w:type="dxa"/>
            <w:gridSpan w:val="4"/>
            <w:shd w:val="clear" w:color="auto" w:fill="FFFFFF"/>
          </w:tcPr>
          <w:p w14:paraId="66B58877" w14:textId="77777777" w:rsidR="00E42A45" w:rsidRDefault="00E42A45" w:rsidP="00BB63DF">
            <w:pPr>
              <w:tabs>
                <w:tab w:val="left" w:pos="709"/>
              </w:tabs>
            </w:pPr>
          </w:p>
        </w:tc>
      </w:tr>
      <w:tr w:rsidR="00E42A45" w14:paraId="1E62DB69" w14:textId="77777777" w:rsidTr="00E42A45">
        <w:trPr>
          <w:gridAfter w:val="1"/>
          <w:wAfter w:w="75" w:type="dxa"/>
        </w:trPr>
        <w:tc>
          <w:tcPr>
            <w:tcW w:w="14144" w:type="dxa"/>
            <w:gridSpan w:val="6"/>
            <w:shd w:val="clear" w:color="auto" w:fill="FFFFFF"/>
          </w:tcPr>
          <w:p w14:paraId="27CB006F" w14:textId="77777777" w:rsidR="00E42A45" w:rsidRDefault="00E42A45" w:rsidP="00BB63DF">
            <w:pPr>
              <w:tabs>
                <w:tab w:val="left" w:pos="709"/>
              </w:tabs>
            </w:pPr>
            <w:r>
              <w:rPr>
                <w:b/>
                <w:sz w:val="18"/>
              </w:rPr>
              <w:t>Charakter ekotopu a bioty</w:t>
            </w:r>
            <w:r>
              <w:t xml:space="preserve">     </w:t>
            </w:r>
          </w:p>
          <w:p w14:paraId="31DC65FC" w14:textId="77777777" w:rsidR="00E42A45" w:rsidRDefault="00E42A45" w:rsidP="00BB63DF">
            <w:pPr>
              <w:tabs>
                <w:tab w:val="left" w:pos="709"/>
              </w:tabs>
              <w:rPr>
                <w:sz w:val="20"/>
              </w:rPr>
            </w:pPr>
            <w:r>
              <w:rPr>
                <w:sz w:val="20"/>
              </w:rPr>
              <w:t>Lokální biocentrum ve svahu nad potokem Potůčky, v jeho pramenné části na jihozápadně orientovaném svahu se sklonem cca 20 %.  Nadmořská výška lokality se pohybuje od 375 do 430 m.   Na jihu je lokalita ohraničena korytem potoka.</w:t>
            </w:r>
          </w:p>
          <w:p w14:paraId="6F414F35" w14:textId="77777777" w:rsidR="00E42A45" w:rsidRDefault="00E42A45" w:rsidP="00BB63DF">
            <w:pPr>
              <w:tabs>
                <w:tab w:val="left" w:pos="709"/>
              </w:tabs>
              <w:rPr>
                <w:sz w:val="20"/>
              </w:rPr>
            </w:pPr>
            <w:r>
              <w:rPr>
                <w:sz w:val="20"/>
              </w:rPr>
              <w:t xml:space="preserve">                                                                                                                                   SES = 3 - 4.   </w:t>
            </w:r>
          </w:p>
          <w:p w14:paraId="37889C37" w14:textId="77777777" w:rsidR="00E42A45" w:rsidRDefault="00E42A45" w:rsidP="00BB63DF">
            <w:pPr>
              <w:tabs>
                <w:tab w:val="left" w:pos="709"/>
              </w:tabs>
              <w:rPr>
                <w:sz w:val="20"/>
              </w:rPr>
            </w:pPr>
            <w:r>
              <w:rPr>
                <w:sz w:val="20"/>
              </w:rPr>
              <w:t>Lesní porost je tvořen následujícími dřevinami:  BO, SM, BR, VJ, MD</w:t>
            </w:r>
          </w:p>
          <w:p w14:paraId="0EDDBC7B" w14:textId="77777777" w:rsidR="00E42A45" w:rsidRDefault="00E42A45" w:rsidP="00BB63DF">
            <w:pPr>
              <w:tabs>
                <w:tab w:val="left" w:pos="709"/>
              </w:tabs>
              <w:rPr>
                <w:sz w:val="20"/>
              </w:rPr>
            </w:pPr>
          </w:p>
          <w:p w14:paraId="6B946DA2" w14:textId="77777777" w:rsidR="00E42A45" w:rsidRDefault="00E42A45" w:rsidP="00BB63DF">
            <w:pPr>
              <w:tabs>
                <w:tab w:val="left" w:pos="709"/>
              </w:tabs>
              <w:rPr>
                <w:sz w:val="20"/>
              </w:rPr>
            </w:pPr>
            <w:r>
              <w:rPr>
                <w:b/>
                <w:sz w:val="20"/>
              </w:rPr>
              <w:t>Zastoupené lesní typy:</w:t>
            </w:r>
            <w:r>
              <w:rPr>
                <w:sz w:val="20"/>
              </w:rPr>
              <w:t xml:space="preserve">                6K8 - kyselá smrková bučina                               0M7 - chudý (db) BO   </w:t>
            </w:r>
          </w:p>
          <w:p w14:paraId="383ECD79" w14:textId="77777777" w:rsidR="00E42A45" w:rsidRDefault="00E42A45" w:rsidP="00BB63DF">
            <w:pPr>
              <w:tabs>
                <w:tab w:val="left" w:pos="709"/>
              </w:tabs>
              <w:rPr>
                <w:sz w:val="20"/>
              </w:rPr>
            </w:pPr>
            <w:r>
              <w:rPr>
                <w:sz w:val="20"/>
              </w:rPr>
              <w:t xml:space="preserve">                                                    </w:t>
            </w:r>
          </w:p>
          <w:p w14:paraId="5C5D6AE7" w14:textId="77777777" w:rsidR="00E42A45" w:rsidRDefault="00E42A45" w:rsidP="00BB63DF">
            <w:pPr>
              <w:tabs>
                <w:tab w:val="left" w:pos="709"/>
              </w:tabs>
              <w:rPr>
                <w:sz w:val="20"/>
              </w:rPr>
            </w:pPr>
            <w:r>
              <w:rPr>
                <w:sz w:val="20"/>
              </w:rPr>
              <w:t xml:space="preserve">Geol.: Hnědé půdy rašelinné podzolované oligotrofní horské, hluboce výrazný podzol.  </w:t>
            </w:r>
          </w:p>
          <w:p w14:paraId="06DB18DB" w14:textId="77777777" w:rsidR="00E42A45" w:rsidRDefault="00E42A45" w:rsidP="00BB63DF">
            <w:pPr>
              <w:tabs>
                <w:tab w:val="left" w:pos="709"/>
              </w:tabs>
              <w:rPr>
                <w:sz w:val="20"/>
              </w:rPr>
            </w:pPr>
          </w:p>
          <w:p w14:paraId="1E55437B" w14:textId="77777777" w:rsidR="00E42A45" w:rsidRDefault="00E42A45" w:rsidP="00BB63DF">
            <w:pPr>
              <w:tabs>
                <w:tab w:val="left" w:pos="709"/>
              </w:tabs>
              <w:rPr>
                <w:i/>
                <w:sz w:val="20"/>
              </w:rPr>
            </w:pPr>
            <w:r>
              <w:rPr>
                <w:sz w:val="20"/>
              </w:rPr>
              <w:t xml:space="preserve">Bot.: </w:t>
            </w:r>
            <w:r>
              <w:rPr>
                <w:i/>
                <w:sz w:val="20"/>
              </w:rPr>
              <w:t xml:space="preserve">Vaccinium myrtillus, Dicranum scoparium,  Dryopteris spinulosa,   Sphagnum sp., Trientaliseuropea, Deschampsia  flexuosa,  Blechnum   </w:t>
            </w:r>
          </w:p>
          <w:p w14:paraId="480A88D2" w14:textId="77777777" w:rsidR="00E42A45" w:rsidRPr="000F301A" w:rsidRDefault="00E42A45" w:rsidP="00BB63DF">
            <w:pPr>
              <w:tabs>
                <w:tab w:val="left" w:pos="709"/>
              </w:tabs>
              <w:rPr>
                <w:i/>
                <w:sz w:val="20"/>
              </w:rPr>
            </w:pPr>
            <w:r>
              <w:rPr>
                <w:i/>
                <w:sz w:val="20"/>
              </w:rPr>
              <w:t xml:space="preserve">         spicant, Carex sp., Calluna vulgaris</w:t>
            </w:r>
          </w:p>
          <w:p w14:paraId="572FB089" w14:textId="77777777" w:rsidR="00E42A45" w:rsidRDefault="00E42A45" w:rsidP="00BB63DF">
            <w:pPr>
              <w:tabs>
                <w:tab w:val="left" w:pos="709"/>
              </w:tabs>
              <w:rPr>
                <w:b/>
                <w:sz w:val="20"/>
              </w:rPr>
            </w:pPr>
            <w:r>
              <w:rPr>
                <w:b/>
                <w:sz w:val="20"/>
              </w:rPr>
              <w:t xml:space="preserve">Návrh opatření :        </w:t>
            </w:r>
          </w:p>
          <w:p w14:paraId="5B946636" w14:textId="77777777" w:rsidR="00E42A45" w:rsidRDefault="00E42A45" w:rsidP="00BB63DF">
            <w:pPr>
              <w:tabs>
                <w:tab w:val="left" w:pos="709"/>
              </w:tabs>
              <w:rPr>
                <w:b/>
                <w:sz w:val="20"/>
              </w:rPr>
            </w:pPr>
            <w:r>
              <w:rPr>
                <w:b/>
                <w:sz w:val="20"/>
              </w:rPr>
              <w:t xml:space="preserve">Dřeviny přirozené rekonstruované skladby podle SLT:               6K - SM4, BK4, JD2, JR         </w:t>
            </w:r>
          </w:p>
          <w:p w14:paraId="67221BC7" w14:textId="77777777" w:rsidR="00E42A45" w:rsidRDefault="00E42A45" w:rsidP="00BB63DF">
            <w:pPr>
              <w:tabs>
                <w:tab w:val="left" w:pos="709"/>
              </w:tabs>
              <w:rPr>
                <w:b/>
                <w:sz w:val="20"/>
              </w:rPr>
            </w:pPr>
            <w:r>
              <w:rPr>
                <w:b/>
                <w:sz w:val="20"/>
              </w:rPr>
              <w:t xml:space="preserve">                                                                                                           0M - BO8, DB1, BR1                                                        </w:t>
            </w:r>
          </w:p>
          <w:p w14:paraId="22908C4B" w14:textId="77777777" w:rsidR="00E42A45" w:rsidRDefault="00E42A45" w:rsidP="00BB63DF">
            <w:pPr>
              <w:tabs>
                <w:tab w:val="left" w:pos="709"/>
              </w:tabs>
            </w:pPr>
            <w:r>
              <w:rPr>
                <w:b/>
                <w:sz w:val="20"/>
              </w:rPr>
              <w:t>Opatření v porostu ve smyslu Generelu rekonstrukce, který je promítnut v platném LHP, s  náhradou dřevin mimo přirozenou dřevinnou skladbu   -  výchovná opatření.</w:t>
            </w:r>
            <w:r>
              <w:t xml:space="preserve">                                       </w:t>
            </w:r>
          </w:p>
        </w:tc>
      </w:tr>
      <w:tr w:rsidR="00E42A45" w14:paraId="0CF42AF6" w14:textId="77777777" w:rsidTr="00E42A45">
        <w:trPr>
          <w:gridAfter w:val="1"/>
          <w:wAfter w:w="75" w:type="dxa"/>
        </w:trPr>
        <w:tc>
          <w:tcPr>
            <w:tcW w:w="7072" w:type="dxa"/>
            <w:gridSpan w:val="2"/>
            <w:shd w:val="clear" w:color="auto" w:fill="FFFFFF"/>
          </w:tcPr>
          <w:p w14:paraId="51880D88" w14:textId="77777777" w:rsidR="00E42A45" w:rsidRDefault="00E42A45" w:rsidP="00BB63DF">
            <w:pPr>
              <w:tabs>
                <w:tab w:val="left" w:pos="709"/>
              </w:tabs>
              <w:rPr>
                <w:sz w:val="18"/>
              </w:rPr>
            </w:pPr>
            <w:r>
              <w:rPr>
                <w:sz w:val="18"/>
              </w:rPr>
              <w:t>Vymezení             LS  Sněžník, 127/C</w:t>
            </w:r>
          </w:p>
        </w:tc>
        <w:tc>
          <w:tcPr>
            <w:tcW w:w="7072" w:type="dxa"/>
            <w:gridSpan w:val="4"/>
            <w:shd w:val="clear" w:color="auto" w:fill="FFFFFF"/>
          </w:tcPr>
          <w:p w14:paraId="6B7BF1B2" w14:textId="77777777" w:rsidR="00E42A45" w:rsidRDefault="00E42A45" w:rsidP="00BB63DF">
            <w:pPr>
              <w:tabs>
                <w:tab w:val="left" w:pos="709"/>
              </w:tabs>
              <w:rPr>
                <w:sz w:val="18"/>
              </w:rPr>
            </w:pPr>
            <w:r>
              <w:rPr>
                <w:sz w:val="18"/>
              </w:rPr>
              <w:t xml:space="preserve">Kultura                  les </w:t>
            </w:r>
          </w:p>
        </w:tc>
      </w:tr>
      <w:tr w:rsidR="00E42A45" w14:paraId="6DCF7495" w14:textId="77777777" w:rsidTr="00E42A45">
        <w:trPr>
          <w:gridAfter w:val="1"/>
          <w:wAfter w:w="75" w:type="dxa"/>
        </w:trPr>
        <w:tc>
          <w:tcPr>
            <w:tcW w:w="7072" w:type="dxa"/>
            <w:gridSpan w:val="2"/>
            <w:shd w:val="clear" w:color="auto" w:fill="FFFFFF"/>
          </w:tcPr>
          <w:p w14:paraId="0E20C50F" w14:textId="77777777" w:rsidR="00E42A45" w:rsidRDefault="00E42A45" w:rsidP="00BB63DF">
            <w:pPr>
              <w:tabs>
                <w:tab w:val="left" w:pos="709"/>
              </w:tabs>
              <w:rPr>
                <w:sz w:val="18"/>
              </w:rPr>
            </w:pPr>
            <w:r>
              <w:rPr>
                <w:sz w:val="18"/>
              </w:rPr>
              <w:t>Uživatel                LČR</w:t>
            </w:r>
          </w:p>
        </w:tc>
        <w:tc>
          <w:tcPr>
            <w:tcW w:w="7072" w:type="dxa"/>
            <w:gridSpan w:val="4"/>
            <w:shd w:val="clear" w:color="auto" w:fill="FFFFFF"/>
          </w:tcPr>
          <w:p w14:paraId="1A3491F0" w14:textId="77777777" w:rsidR="00E42A45" w:rsidRDefault="00E42A45" w:rsidP="00BB63DF">
            <w:pPr>
              <w:tabs>
                <w:tab w:val="left" w:pos="709"/>
              </w:tabs>
              <w:rPr>
                <w:sz w:val="18"/>
              </w:rPr>
            </w:pPr>
            <w:r>
              <w:rPr>
                <w:sz w:val="18"/>
              </w:rPr>
              <w:t>Mapovatel             Sklenička, Linhart, 1997</w:t>
            </w:r>
          </w:p>
        </w:tc>
      </w:tr>
      <w:tr w:rsidR="00E42A45" w14:paraId="29E5B031" w14:textId="77777777" w:rsidTr="00E42A45">
        <w:trPr>
          <w:gridAfter w:val="1"/>
          <w:wAfter w:w="75" w:type="dxa"/>
        </w:trPr>
        <w:tc>
          <w:tcPr>
            <w:tcW w:w="14144" w:type="dxa"/>
            <w:gridSpan w:val="6"/>
            <w:shd w:val="clear" w:color="auto" w:fill="FFFFFF"/>
          </w:tcPr>
          <w:p w14:paraId="4AB87482" w14:textId="77777777" w:rsidR="00E42A45" w:rsidRDefault="00E42A45" w:rsidP="00BB63DF">
            <w:pPr>
              <w:tabs>
                <w:tab w:val="left" w:pos="709"/>
              </w:tabs>
            </w:pPr>
            <w:r>
              <w:rPr>
                <w:sz w:val="18"/>
              </w:rPr>
              <w:t>Kategorie ochrany, rok vyhlášení</w:t>
            </w:r>
          </w:p>
          <w:p w14:paraId="215A8D26" w14:textId="77777777" w:rsidR="00E42A45" w:rsidRPr="002D7515" w:rsidRDefault="00E42A45" w:rsidP="00BB63DF">
            <w:pPr>
              <w:pStyle w:val="Nadpis7"/>
            </w:pPr>
            <w:r w:rsidRPr="002D7515">
              <w:t xml:space="preserve">                                                                                           CHKO Labské Pískovce - III. zóna</w:t>
            </w:r>
          </w:p>
        </w:tc>
      </w:tr>
    </w:tbl>
    <w:p w14:paraId="6BA502EB" w14:textId="77777777" w:rsidR="00E42A45" w:rsidRDefault="00E42A45" w:rsidP="00CA23D0">
      <w:pPr>
        <w:jc w:val="both"/>
        <w:rPr>
          <w:rFonts w:ascii="Arial" w:hAnsi="Arial" w:cs="Arial"/>
          <w:sz w:val="22"/>
        </w:rPr>
      </w:pPr>
    </w:p>
    <w:p w14:paraId="346DD746" w14:textId="77777777" w:rsidR="00E42A45" w:rsidRDefault="00E42A45" w:rsidP="00CA23D0">
      <w:pPr>
        <w:jc w:val="both"/>
        <w:rPr>
          <w:rFonts w:ascii="Arial" w:hAnsi="Arial" w:cs="Arial"/>
          <w:sz w:val="22"/>
        </w:rPr>
      </w:pPr>
    </w:p>
    <w:p w14:paraId="74E87377" w14:textId="77777777" w:rsidR="00E42A45" w:rsidRDefault="00E42A45" w:rsidP="00CA23D0">
      <w:pPr>
        <w:jc w:val="both"/>
        <w:rPr>
          <w:rFonts w:ascii="Arial" w:hAnsi="Arial" w:cs="Arial"/>
          <w:sz w:val="22"/>
        </w:rPr>
      </w:pPr>
    </w:p>
    <w:p w14:paraId="14A290AC"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0BC4F232" w14:textId="77777777" w:rsidTr="00BB63DF">
        <w:tc>
          <w:tcPr>
            <w:tcW w:w="7072" w:type="dxa"/>
            <w:shd w:val="clear" w:color="auto" w:fill="FFFFFF"/>
          </w:tcPr>
          <w:p w14:paraId="3B94D473" w14:textId="77777777" w:rsidR="00E42A45" w:rsidRDefault="00E42A45" w:rsidP="00BB63DF">
            <w:pPr>
              <w:tabs>
                <w:tab w:val="left" w:pos="709"/>
              </w:tabs>
              <w:rPr>
                <w:b/>
                <w:sz w:val="18"/>
              </w:rPr>
            </w:pPr>
            <w:r>
              <w:rPr>
                <w:b/>
                <w:sz w:val="18"/>
              </w:rPr>
              <w:lastRenderedPageBreak/>
              <w:t>Pořadové číslo</w:t>
            </w:r>
          </w:p>
          <w:p w14:paraId="57A721EF" w14:textId="77777777" w:rsidR="00E42A45" w:rsidRDefault="00E42A45" w:rsidP="00BB63DF">
            <w:pPr>
              <w:tabs>
                <w:tab w:val="left" w:pos="709"/>
              </w:tabs>
              <w:rPr>
                <w:b/>
                <w:sz w:val="36"/>
              </w:rPr>
            </w:pPr>
            <w:r>
              <w:rPr>
                <w:b/>
                <w:sz w:val="36"/>
              </w:rPr>
              <w:t xml:space="preserve">                                                       22</w:t>
            </w:r>
          </w:p>
        </w:tc>
        <w:tc>
          <w:tcPr>
            <w:tcW w:w="7072" w:type="dxa"/>
            <w:gridSpan w:val="2"/>
            <w:shd w:val="clear" w:color="auto" w:fill="FFFFFF"/>
          </w:tcPr>
          <w:p w14:paraId="41CDA5B7" w14:textId="77777777" w:rsidR="00E42A45" w:rsidRDefault="00E42A45" w:rsidP="00BB63DF">
            <w:pPr>
              <w:tabs>
                <w:tab w:val="left" w:pos="709"/>
              </w:tabs>
              <w:rPr>
                <w:b/>
                <w:sz w:val="18"/>
              </w:rPr>
            </w:pPr>
            <w:r>
              <w:rPr>
                <w:b/>
                <w:sz w:val="18"/>
              </w:rPr>
              <w:t>Katastrální území</w:t>
            </w:r>
          </w:p>
          <w:p w14:paraId="095B39CC" w14:textId="77777777" w:rsidR="00E42A45" w:rsidRDefault="00E42A45" w:rsidP="00BB63DF">
            <w:pPr>
              <w:tabs>
                <w:tab w:val="left" w:pos="709"/>
              </w:tabs>
              <w:rPr>
                <w:b/>
                <w:sz w:val="18"/>
              </w:rPr>
            </w:pPr>
            <w:r>
              <w:rPr>
                <w:b/>
                <w:sz w:val="18"/>
              </w:rPr>
              <w:t xml:space="preserve">                                           </w:t>
            </w:r>
            <w:r>
              <w:rPr>
                <w:b/>
              </w:rPr>
              <w:t>Dolní Žleb</w:t>
            </w:r>
          </w:p>
        </w:tc>
      </w:tr>
      <w:tr w:rsidR="00E42A45" w14:paraId="14915E53" w14:textId="77777777" w:rsidTr="00BB63DF">
        <w:tc>
          <w:tcPr>
            <w:tcW w:w="7072" w:type="dxa"/>
            <w:shd w:val="clear" w:color="auto" w:fill="FFFFFF"/>
          </w:tcPr>
          <w:p w14:paraId="1D8C2CA7" w14:textId="77777777" w:rsidR="00E42A45" w:rsidRDefault="00E42A45" w:rsidP="00BB63DF">
            <w:pPr>
              <w:tabs>
                <w:tab w:val="left" w:pos="709"/>
              </w:tabs>
              <w:rPr>
                <w:b/>
                <w:sz w:val="18"/>
              </w:rPr>
            </w:pPr>
            <w:r>
              <w:rPr>
                <w:b/>
                <w:sz w:val="18"/>
              </w:rPr>
              <w:t>Název</w:t>
            </w:r>
          </w:p>
          <w:p w14:paraId="2599B6E5" w14:textId="77777777" w:rsidR="00E42A45" w:rsidRDefault="00E42A45" w:rsidP="00BB63DF">
            <w:pPr>
              <w:tabs>
                <w:tab w:val="left" w:pos="709"/>
              </w:tabs>
              <w:rPr>
                <w:b/>
                <w:caps/>
                <w:sz w:val="18"/>
              </w:rPr>
            </w:pPr>
            <w:r>
              <w:rPr>
                <w:b/>
                <w:caps/>
                <w:sz w:val="18"/>
              </w:rPr>
              <w:t xml:space="preserve">   </w:t>
            </w:r>
            <w:r>
              <w:rPr>
                <w:b/>
                <w:caps/>
              </w:rPr>
              <w:t xml:space="preserve"> Lesní porost podél Klopotského potoka</w:t>
            </w:r>
          </w:p>
        </w:tc>
        <w:tc>
          <w:tcPr>
            <w:tcW w:w="3536" w:type="dxa"/>
            <w:shd w:val="clear" w:color="auto" w:fill="FFFFFF"/>
          </w:tcPr>
          <w:p w14:paraId="150A39D3" w14:textId="77777777" w:rsidR="00E42A45" w:rsidRDefault="00E42A45" w:rsidP="00BB63DF">
            <w:pPr>
              <w:tabs>
                <w:tab w:val="left" w:pos="709"/>
              </w:tabs>
              <w:rPr>
                <w:b/>
                <w:sz w:val="18"/>
              </w:rPr>
            </w:pPr>
            <w:r>
              <w:rPr>
                <w:b/>
                <w:sz w:val="18"/>
              </w:rPr>
              <w:t xml:space="preserve">Mapový list           </w:t>
            </w:r>
          </w:p>
          <w:p w14:paraId="445903D5" w14:textId="77777777" w:rsidR="00E42A45" w:rsidRDefault="00E42A45" w:rsidP="00BB63DF">
            <w:pPr>
              <w:tabs>
                <w:tab w:val="left" w:pos="709"/>
              </w:tabs>
              <w:rPr>
                <w:b/>
                <w:sz w:val="20"/>
              </w:rPr>
            </w:pPr>
            <w:r>
              <w:rPr>
                <w:b/>
                <w:sz w:val="18"/>
              </w:rPr>
              <w:t xml:space="preserve">                            </w:t>
            </w:r>
            <w:r>
              <w:rPr>
                <w:sz w:val="20"/>
              </w:rPr>
              <w:t>02-23-09</w:t>
            </w:r>
          </w:p>
        </w:tc>
        <w:tc>
          <w:tcPr>
            <w:tcW w:w="3536" w:type="dxa"/>
            <w:shd w:val="clear" w:color="auto" w:fill="FFFFFF"/>
          </w:tcPr>
          <w:p w14:paraId="25F4D45A" w14:textId="77777777" w:rsidR="00E42A45" w:rsidRDefault="00E42A45" w:rsidP="00BB63DF">
            <w:pPr>
              <w:tabs>
                <w:tab w:val="left" w:pos="709"/>
              </w:tabs>
              <w:rPr>
                <w:b/>
                <w:sz w:val="18"/>
              </w:rPr>
            </w:pPr>
            <w:r>
              <w:rPr>
                <w:b/>
                <w:sz w:val="18"/>
              </w:rPr>
              <w:t xml:space="preserve">Výměra             </w:t>
            </w:r>
          </w:p>
          <w:p w14:paraId="3C834F98" w14:textId="77777777" w:rsidR="00E42A45" w:rsidRDefault="00E42A45" w:rsidP="00BB63DF">
            <w:pPr>
              <w:tabs>
                <w:tab w:val="left" w:pos="709"/>
              </w:tabs>
              <w:rPr>
                <w:b/>
                <w:sz w:val="20"/>
              </w:rPr>
            </w:pPr>
            <w:r>
              <w:rPr>
                <w:b/>
                <w:sz w:val="18"/>
              </w:rPr>
              <w:t xml:space="preserve">                     </w:t>
            </w:r>
            <w:r>
              <w:rPr>
                <w:b/>
                <w:sz w:val="20"/>
              </w:rPr>
              <w:t>12,51 ha</w:t>
            </w:r>
          </w:p>
        </w:tc>
      </w:tr>
      <w:tr w:rsidR="00E42A45" w14:paraId="1C8CC9FE" w14:textId="77777777" w:rsidTr="00BB63DF">
        <w:tc>
          <w:tcPr>
            <w:tcW w:w="7072" w:type="dxa"/>
            <w:shd w:val="clear" w:color="auto" w:fill="FFFFFF"/>
          </w:tcPr>
          <w:p w14:paraId="27DC6368" w14:textId="77777777" w:rsidR="00E42A45" w:rsidRDefault="00E42A45" w:rsidP="00BB63DF">
            <w:pPr>
              <w:tabs>
                <w:tab w:val="left" w:pos="709"/>
              </w:tabs>
              <w:rPr>
                <w:sz w:val="20"/>
              </w:rPr>
            </w:pPr>
            <w:r>
              <w:rPr>
                <w:sz w:val="20"/>
              </w:rPr>
              <w:t>EVKP - ekologicky významný krajinný prvek</w:t>
            </w:r>
          </w:p>
          <w:p w14:paraId="4CDE4AAC" w14:textId="77777777" w:rsidR="00E42A45" w:rsidRDefault="00E42A45" w:rsidP="00BB63DF">
            <w:pPr>
              <w:tabs>
                <w:tab w:val="left" w:pos="709"/>
              </w:tabs>
              <w:rPr>
                <w:sz w:val="20"/>
              </w:rPr>
            </w:pPr>
            <w:r>
              <w:rPr>
                <w:sz w:val="20"/>
              </w:rPr>
              <w:t>EVKC - ekologicky významný krajinný celek</w:t>
            </w:r>
          </w:p>
          <w:p w14:paraId="06E383AD" w14:textId="77777777" w:rsidR="00E42A45" w:rsidRPr="002D7515" w:rsidRDefault="00E42A45" w:rsidP="00BB63DF">
            <w:pPr>
              <w:pStyle w:val="Nadpis6"/>
            </w:pPr>
            <w:r w:rsidRPr="002D7515">
              <w:t>EVKO - ekologicky významná krajinná oblast</w:t>
            </w:r>
          </w:p>
          <w:p w14:paraId="613F397F"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518D9913" w14:textId="77777777" w:rsidR="00E42A45" w:rsidRDefault="00E42A45" w:rsidP="00BB63DF">
            <w:pPr>
              <w:tabs>
                <w:tab w:val="left" w:pos="709"/>
              </w:tabs>
              <w:rPr>
                <w:b/>
              </w:rPr>
            </w:pPr>
            <w:r>
              <w:rPr>
                <w:b/>
              </w:rPr>
              <w:t>Biogeografický význam</w:t>
            </w:r>
          </w:p>
          <w:p w14:paraId="403642DF" w14:textId="77777777" w:rsidR="00E42A45" w:rsidRDefault="00E42A45" w:rsidP="00BB63DF">
            <w:pPr>
              <w:tabs>
                <w:tab w:val="left" w:pos="709"/>
              </w:tabs>
            </w:pPr>
            <w:r>
              <w:t xml:space="preserve">       -</w:t>
            </w:r>
            <w:r>
              <w:rPr>
                <w:b/>
              </w:rPr>
              <w:t xml:space="preserve"> lokální, reprezentativní</w:t>
            </w:r>
          </w:p>
          <w:p w14:paraId="7CB03E19" w14:textId="77777777" w:rsidR="00E42A45" w:rsidRDefault="00E42A45" w:rsidP="00BB63DF">
            <w:pPr>
              <w:tabs>
                <w:tab w:val="left" w:pos="709"/>
              </w:tabs>
              <w:ind w:left="345"/>
              <w:rPr>
                <w:sz w:val="20"/>
              </w:rPr>
            </w:pPr>
            <w:r>
              <w:t xml:space="preserve"> </w:t>
            </w:r>
            <w:r>
              <w:rPr>
                <w:sz w:val="20"/>
              </w:rPr>
              <w:t>-  regionální</w:t>
            </w:r>
          </w:p>
          <w:p w14:paraId="104B442A" w14:textId="77777777" w:rsidR="00E42A45" w:rsidRDefault="00E42A45" w:rsidP="00BB63DF">
            <w:pPr>
              <w:tabs>
                <w:tab w:val="left" w:pos="709"/>
              </w:tabs>
              <w:ind w:left="345"/>
            </w:pPr>
            <w:r>
              <w:rPr>
                <w:sz w:val="20"/>
              </w:rPr>
              <w:t xml:space="preserve"> - nadregionální</w:t>
            </w:r>
          </w:p>
        </w:tc>
        <w:tc>
          <w:tcPr>
            <w:tcW w:w="3536" w:type="dxa"/>
            <w:shd w:val="clear" w:color="auto" w:fill="FFFFFF"/>
          </w:tcPr>
          <w:p w14:paraId="3282B522" w14:textId="77777777" w:rsidR="00E42A45" w:rsidRDefault="00E42A45" w:rsidP="00BB63DF">
            <w:pPr>
              <w:tabs>
                <w:tab w:val="left" w:pos="709"/>
              </w:tabs>
              <w:rPr>
                <w:b/>
                <w:sz w:val="18"/>
              </w:rPr>
            </w:pPr>
            <w:r>
              <w:rPr>
                <w:b/>
                <w:sz w:val="18"/>
              </w:rPr>
              <w:t>Stav</w:t>
            </w:r>
          </w:p>
          <w:p w14:paraId="5B6BA3D4" w14:textId="77777777" w:rsidR="00E42A45" w:rsidRDefault="00E42A45" w:rsidP="00BB63DF">
            <w:pPr>
              <w:tabs>
                <w:tab w:val="left" w:pos="709"/>
              </w:tabs>
              <w:ind w:left="405"/>
            </w:pPr>
            <w:r>
              <w:rPr>
                <w:b/>
              </w:rPr>
              <w:t>-  funkčně vymezený</w:t>
            </w:r>
          </w:p>
          <w:p w14:paraId="4B78EAFC" w14:textId="77777777" w:rsidR="00E42A45" w:rsidRDefault="00E42A45" w:rsidP="00BB63DF">
            <w:pPr>
              <w:tabs>
                <w:tab w:val="left" w:pos="709"/>
              </w:tabs>
              <w:rPr>
                <w:sz w:val="20"/>
              </w:rPr>
            </w:pPr>
            <w:r>
              <w:t xml:space="preserve">       </w:t>
            </w:r>
            <w:r>
              <w:rPr>
                <w:sz w:val="20"/>
              </w:rPr>
              <w:t xml:space="preserve">-  semifunkční    </w:t>
            </w:r>
          </w:p>
          <w:p w14:paraId="78DB9FC2" w14:textId="77777777" w:rsidR="00E42A45" w:rsidRDefault="00E42A45" w:rsidP="00BB63DF">
            <w:pPr>
              <w:tabs>
                <w:tab w:val="left" w:pos="709"/>
              </w:tabs>
            </w:pPr>
            <w:r>
              <w:rPr>
                <w:sz w:val="20"/>
              </w:rPr>
              <w:t xml:space="preserve">        -  navržený</w:t>
            </w:r>
          </w:p>
        </w:tc>
      </w:tr>
      <w:tr w:rsidR="00E42A45" w14:paraId="6F50D664" w14:textId="77777777" w:rsidTr="00BB63DF">
        <w:tc>
          <w:tcPr>
            <w:tcW w:w="7072" w:type="dxa"/>
            <w:shd w:val="clear" w:color="auto" w:fill="FFFFFF"/>
          </w:tcPr>
          <w:p w14:paraId="602DDA22" w14:textId="77777777" w:rsidR="00E42A45" w:rsidRDefault="00E42A45" w:rsidP="00BB63DF">
            <w:pPr>
              <w:tabs>
                <w:tab w:val="left" w:pos="709"/>
              </w:tabs>
              <w:rPr>
                <w:b/>
                <w:sz w:val="18"/>
              </w:rPr>
            </w:pPr>
            <w:r>
              <w:rPr>
                <w:b/>
                <w:sz w:val="18"/>
              </w:rPr>
              <w:t>Geobiocenologická typizace (vegetační stupeň, trofická řada, hydrická řada)</w:t>
            </w:r>
          </w:p>
          <w:p w14:paraId="5A16216B" w14:textId="77777777" w:rsidR="00E42A45" w:rsidRDefault="00E42A45" w:rsidP="00BB63DF">
            <w:pPr>
              <w:tabs>
                <w:tab w:val="left" w:pos="709"/>
              </w:tabs>
            </w:pPr>
            <w:r>
              <w:t xml:space="preserve">                       5AB3, 4AB2, 6BC4  </w:t>
            </w:r>
          </w:p>
        </w:tc>
        <w:tc>
          <w:tcPr>
            <w:tcW w:w="7072" w:type="dxa"/>
            <w:gridSpan w:val="2"/>
            <w:shd w:val="clear" w:color="auto" w:fill="FFFFFF"/>
          </w:tcPr>
          <w:p w14:paraId="1E0CE243" w14:textId="77777777" w:rsidR="00E42A45" w:rsidRDefault="00E42A45" w:rsidP="00BB63DF">
            <w:pPr>
              <w:tabs>
                <w:tab w:val="left" w:pos="709"/>
              </w:tabs>
            </w:pPr>
          </w:p>
        </w:tc>
      </w:tr>
      <w:tr w:rsidR="00E42A45" w14:paraId="46385B0E" w14:textId="77777777" w:rsidTr="00BB63DF">
        <w:tc>
          <w:tcPr>
            <w:tcW w:w="14144" w:type="dxa"/>
            <w:gridSpan w:val="3"/>
            <w:shd w:val="clear" w:color="auto" w:fill="FFFFFF"/>
          </w:tcPr>
          <w:p w14:paraId="0B3DA10F" w14:textId="77777777" w:rsidR="00E42A45" w:rsidRDefault="00E42A45" w:rsidP="00BB63DF">
            <w:pPr>
              <w:tabs>
                <w:tab w:val="left" w:pos="709"/>
              </w:tabs>
            </w:pPr>
            <w:r>
              <w:rPr>
                <w:b/>
                <w:sz w:val="18"/>
              </w:rPr>
              <w:t>Charakter ekotopu a bioty</w:t>
            </w:r>
            <w:r>
              <w:t xml:space="preserve">     </w:t>
            </w:r>
          </w:p>
          <w:p w14:paraId="5658711F" w14:textId="77777777" w:rsidR="00E42A45" w:rsidRDefault="00E42A45" w:rsidP="00BB63DF">
            <w:pPr>
              <w:tabs>
                <w:tab w:val="left" w:pos="709"/>
              </w:tabs>
              <w:rPr>
                <w:sz w:val="20"/>
              </w:rPr>
            </w:pPr>
            <w:r>
              <w:rPr>
                <w:sz w:val="20"/>
              </w:rPr>
              <w:t xml:space="preserve">            Lokální biocentrum ve svahu nad Klopotským potokem, podél státní hranice na severně orientovaném svahu se sklonem   cca 25 %.  Nadmořská výška lokality se pohybuje od 290 do 370 m.   Na severu je lokalita ohraničena státní hranicí.</w:t>
            </w:r>
          </w:p>
          <w:p w14:paraId="19F8A6B4" w14:textId="77777777" w:rsidR="00E42A45" w:rsidRDefault="00E42A45" w:rsidP="00BB63DF">
            <w:pPr>
              <w:tabs>
                <w:tab w:val="left" w:pos="709"/>
              </w:tabs>
              <w:rPr>
                <w:sz w:val="20"/>
              </w:rPr>
            </w:pPr>
          </w:p>
          <w:p w14:paraId="73200534" w14:textId="77777777" w:rsidR="00E42A45" w:rsidRDefault="00E42A45" w:rsidP="00BB63DF">
            <w:pPr>
              <w:tabs>
                <w:tab w:val="left" w:pos="709"/>
              </w:tabs>
              <w:rPr>
                <w:sz w:val="20"/>
              </w:rPr>
            </w:pPr>
            <w:r>
              <w:rPr>
                <w:sz w:val="20"/>
              </w:rPr>
              <w:t xml:space="preserve">                                                                                                            SES = 3 - 4.   </w:t>
            </w:r>
          </w:p>
          <w:p w14:paraId="2E74967A" w14:textId="77777777" w:rsidR="00E42A45" w:rsidRDefault="00E42A45" w:rsidP="00BB63DF">
            <w:pPr>
              <w:tabs>
                <w:tab w:val="left" w:pos="709"/>
              </w:tabs>
              <w:rPr>
                <w:sz w:val="20"/>
              </w:rPr>
            </w:pPr>
            <w:r>
              <w:rPr>
                <w:sz w:val="20"/>
              </w:rPr>
              <w:t>Lesní porost je tvořen následujícími dřevinami:  SM, BO, BK, MD, BR, SMP, VJ</w:t>
            </w:r>
          </w:p>
          <w:p w14:paraId="49BD8017" w14:textId="77777777" w:rsidR="00E42A45" w:rsidRDefault="00E42A45" w:rsidP="00BB63DF">
            <w:pPr>
              <w:tabs>
                <w:tab w:val="left" w:pos="709"/>
              </w:tabs>
              <w:rPr>
                <w:sz w:val="20"/>
              </w:rPr>
            </w:pPr>
          </w:p>
          <w:p w14:paraId="05E7CDEC" w14:textId="77777777" w:rsidR="00E42A45" w:rsidRDefault="00E42A45" w:rsidP="00BB63DF">
            <w:pPr>
              <w:tabs>
                <w:tab w:val="left" w:pos="709"/>
              </w:tabs>
              <w:rPr>
                <w:sz w:val="20"/>
              </w:rPr>
            </w:pPr>
            <w:r>
              <w:rPr>
                <w:b/>
                <w:sz w:val="20"/>
              </w:rPr>
              <w:t>Zastoupené lesní typy</w:t>
            </w:r>
            <w:r>
              <w:rPr>
                <w:sz w:val="20"/>
              </w:rPr>
              <w:t xml:space="preserve">:                5K1 - kyselá jd BK metlicová                               0N3  - smrkový BO údolní metlicový </w:t>
            </w:r>
          </w:p>
          <w:p w14:paraId="28D388DD" w14:textId="77777777" w:rsidR="00E42A45" w:rsidRDefault="00E42A45" w:rsidP="00BB63DF">
            <w:pPr>
              <w:tabs>
                <w:tab w:val="left" w:pos="709"/>
              </w:tabs>
              <w:rPr>
                <w:sz w:val="20"/>
              </w:rPr>
            </w:pPr>
            <w:r>
              <w:rPr>
                <w:sz w:val="20"/>
              </w:rPr>
              <w:t xml:space="preserve">                                                       6V5 - vlhká sm BKúžlabní</w:t>
            </w:r>
          </w:p>
          <w:p w14:paraId="56364D9E" w14:textId="77777777" w:rsidR="00E42A45" w:rsidRDefault="00E42A45" w:rsidP="00BB63DF">
            <w:pPr>
              <w:tabs>
                <w:tab w:val="left" w:pos="709"/>
              </w:tabs>
              <w:rPr>
                <w:sz w:val="20"/>
              </w:rPr>
            </w:pPr>
          </w:p>
          <w:p w14:paraId="7C4C7D3D" w14:textId="77777777" w:rsidR="00E42A45" w:rsidRDefault="00E42A45" w:rsidP="00BB63DF">
            <w:pPr>
              <w:tabs>
                <w:tab w:val="left" w:pos="709"/>
              </w:tabs>
              <w:rPr>
                <w:sz w:val="20"/>
              </w:rPr>
            </w:pPr>
            <w:r>
              <w:rPr>
                <w:sz w:val="20"/>
              </w:rPr>
              <w:t xml:space="preserve">Geol.: Podzolované oligotrofní hnědé půdy, podzoly, oglejená mezotrofní horská půda </w:t>
            </w:r>
          </w:p>
          <w:p w14:paraId="1D6D7B02" w14:textId="77777777" w:rsidR="00E42A45" w:rsidRDefault="00E42A45" w:rsidP="00BB63DF">
            <w:pPr>
              <w:tabs>
                <w:tab w:val="left" w:pos="709"/>
              </w:tabs>
              <w:rPr>
                <w:sz w:val="20"/>
              </w:rPr>
            </w:pPr>
          </w:p>
          <w:p w14:paraId="0C14BA4C" w14:textId="77777777" w:rsidR="00E42A45" w:rsidRDefault="00E42A45" w:rsidP="00BB63DF">
            <w:pPr>
              <w:tabs>
                <w:tab w:val="left" w:pos="709"/>
              </w:tabs>
              <w:rPr>
                <w:i/>
                <w:sz w:val="20"/>
              </w:rPr>
            </w:pPr>
            <w:r>
              <w:rPr>
                <w:sz w:val="20"/>
              </w:rPr>
              <w:t xml:space="preserve">Bot.: </w:t>
            </w:r>
            <w:r>
              <w:rPr>
                <w:i/>
                <w:sz w:val="20"/>
              </w:rPr>
              <w:t xml:space="preserve">Deschampsia  flexuosa,  Vaccinium myrtillus, Dicranum scoparium,  Dryopteris spinulosa,   Sphagnum sp., Trientaliseuropea, Blechnum   </w:t>
            </w:r>
          </w:p>
          <w:p w14:paraId="123B9C6D" w14:textId="77777777" w:rsidR="00E42A45" w:rsidRDefault="00E42A45" w:rsidP="00BB63DF">
            <w:pPr>
              <w:tabs>
                <w:tab w:val="left" w:pos="709"/>
              </w:tabs>
              <w:rPr>
                <w:i/>
                <w:sz w:val="20"/>
              </w:rPr>
            </w:pPr>
            <w:r>
              <w:rPr>
                <w:i/>
                <w:sz w:val="20"/>
              </w:rPr>
              <w:t xml:space="preserve">         spicant, Carex sp., Calluna vulgaris, Hieracium silvaticum, Luzula nemorosa, </w:t>
            </w:r>
          </w:p>
          <w:p w14:paraId="13ECB886" w14:textId="77777777" w:rsidR="00E42A45" w:rsidRPr="004023F7" w:rsidRDefault="00E42A45" w:rsidP="00BB63DF">
            <w:pPr>
              <w:tabs>
                <w:tab w:val="left" w:pos="709"/>
              </w:tabs>
              <w:rPr>
                <w:b/>
                <w:sz w:val="20"/>
              </w:rPr>
            </w:pPr>
            <w:r w:rsidRPr="004023F7">
              <w:rPr>
                <w:b/>
                <w:sz w:val="20"/>
              </w:rPr>
              <w:t xml:space="preserve">Návrh opatření :      </w:t>
            </w:r>
          </w:p>
          <w:p w14:paraId="7B6FA59F" w14:textId="77777777" w:rsidR="00E42A45" w:rsidRPr="004023F7" w:rsidRDefault="00E42A45" w:rsidP="00BB63DF">
            <w:pPr>
              <w:tabs>
                <w:tab w:val="left" w:pos="709"/>
              </w:tabs>
              <w:rPr>
                <w:b/>
                <w:sz w:val="20"/>
              </w:rPr>
            </w:pPr>
            <w:r w:rsidRPr="004023F7">
              <w:rPr>
                <w:b/>
                <w:sz w:val="20"/>
              </w:rPr>
              <w:t xml:space="preserve">Dřeviny přirozené rekonstruované skladby podle SLT:               5K - JD3,5, BK5,5, SM1         </w:t>
            </w:r>
          </w:p>
          <w:p w14:paraId="0531C6C4" w14:textId="77777777" w:rsidR="00E42A45" w:rsidRDefault="00E42A45" w:rsidP="00BB63DF">
            <w:pPr>
              <w:tabs>
                <w:tab w:val="left" w:pos="709"/>
              </w:tabs>
              <w:rPr>
                <w:b/>
                <w:sz w:val="20"/>
              </w:rPr>
            </w:pPr>
            <w:r>
              <w:rPr>
                <w:b/>
                <w:sz w:val="20"/>
              </w:rPr>
              <w:t xml:space="preserve">                                                                                                           0N - BO5, SM4, BR1, BK                                     6V - BK3, JD4, SM3, KL, JS                   </w:t>
            </w:r>
          </w:p>
          <w:p w14:paraId="61A3065F" w14:textId="77777777" w:rsidR="00E42A45" w:rsidRDefault="00E42A45" w:rsidP="00BB63DF">
            <w:pPr>
              <w:tabs>
                <w:tab w:val="left" w:pos="709"/>
              </w:tabs>
            </w:pPr>
            <w:r>
              <w:rPr>
                <w:b/>
                <w:sz w:val="20"/>
              </w:rPr>
              <w:t>Opatření v porostu ve smyslu Generelu rekonstrukce, který je promítnut v platném LHP, s  náhradou dřevin mimo přirozenou dřevinnou skladbu   -  výchovná opatření.</w:t>
            </w:r>
            <w:r>
              <w:t xml:space="preserve">                                       </w:t>
            </w:r>
          </w:p>
        </w:tc>
      </w:tr>
      <w:tr w:rsidR="00E42A45" w14:paraId="202DCECC" w14:textId="77777777" w:rsidTr="00BB63DF">
        <w:tc>
          <w:tcPr>
            <w:tcW w:w="7072" w:type="dxa"/>
            <w:tcBorders>
              <w:bottom w:val="single" w:sz="4" w:space="0" w:color="auto"/>
            </w:tcBorders>
            <w:shd w:val="clear" w:color="auto" w:fill="FFFFFF"/>
          </w:tcPr>
          <w:p w14:paraId="7B09FB2E" w14:textId="77777777" w:rsidR="00E42A45" w:rsidRDefault="00E42A45" w:rsidP="00BB63DF">
            <w:pPr>
              <w:pStyle w:val="Nadpis8"/>
            </w:pPr>
            <w:r w:rsidRPr="004023F7">
              <w:rPr>
                <w:rFonts w:ascii="Times New Roman" w:hAnsi="Times New Roman"/>
                <w:i/>
                <w:iCs/>
                <w:sz w:val="18"/>
              </w:rPr>
              <w:t>Vymezení              LS  Sněžník, 101/C</w:t>
            </w:r>
          </w:p>
        </w:tc>
        <w:tc>
          <w:tcPr>
            <w:tcW w:w="7072" w:type="dxa"/>
            <w:gridSpan w:val="2"/>
            <w:tcBorders>
              <w:bottom w:val="single" w:sz="4" w:space="0" w:color="auto"/>
            </w:tcBorders>
            <w:shd w:val="clear" w:color="auto" w:fill="FFFFFF"/>
          </w:tcPr>
          <w:p w14:paraId="48F5FE69" w14:textId="77777777" w:rsidR="00E42A45" w:rsidRDefault="00E42A45" w:rsidP="00BB63DF">
            <w:pPr>
              <w:tabs>
                <w:tab w:val="left" w:pos="709"/>
              </w:tabs>
              <w:rPr>
                <w:sz w:val="18"/>
              </w:rPr>
            </w:pPr>
            <w:r>
              <w:rPr>
                <w:sz w:val="18"/>
              </w:rPr>
              <w:t xml:space="preserve">Kultura                       les </w:t>
            </w:r>
          </w:p>
        </w:tc>
      </w:tr>
      <w:tr w:rsidR="00E42A45" w14:paraId="68333A7D" w14:textId="77777777" w:rsidTr="00BB63DF">
        <w:tc>
          <w:tcPr>
            <w:tcW w:w="7072" w:type="dxa"/>
            <w:tcBorders>
              <w:bottom w:val="nil"/>
            </w:tcBorders>
            <w:shd w:val="clear" w:color="auto" w:fill="FFFFFF"/>
          </w:tcPr>
          <w:p w14:paraId="18633AFC" w14:textId="77777777" w:rsidR="00E42A45" w:rsidRDefault="00E42A45" w:rsidP="00BB63DF">
            <w:pPr>
              <w:tabs>
                <w:tab w:val="left" w:pos="709"/>
              </w:tabs>
              <w:rPr>
                <w:sz w:val="18"/>
              </w:rPr>
            </w:pPr>
            <w:r>
              <w:rPr>
                <w:sz w:val="18"/>
              </w:rPr>
              <w:t>Uživatel                 LČR</w:t>
            </w:r>
          </w:p>
          <w:p w14:paraId="31DA84FA" w14:textId="77777777" w:rsidR="00E42A45" w:rsidRDefault="00E42A45" w:rsidP="00BB63DF">
            <w:pPr>
              <w:tabs>
                <w:tab w:val="left" w:pos="709"/>
              </w:tabs>
              <w:rPr>
                <w:sz w:val="18"/>
              </w:rPr>
            </w:pPr>
          </w:p>
        </w:tc>
        <w:tc>
          <w:tcPr>
            <w:tcW w:w="7072" w:type="dxa"/>
            <w:gridSpan w:val="2"/>
            <w:tcBorders>
              <w:bottom w:val="nil"/>
            </w:tcBorders>
            <w:shd w:val="clear" w:color="auto" w:fill="FFFFFF"/>
          </w:tcPr>
          <w:p w14:paraId="272C43D6" w14:textId="77777777" w:rsidR="00E42A45" w:rsidRDefault="00E42A45" w:rsidP="00BB63DF">
            <w:pPr>
              <w:tabs>
                <w:tab w:val="left" w:pos="709"/>
              </w:tabs>
              <w:rPr>
                <w:sz w:val="18"/>
              </w:rPr>
            </w:pPr>
            <w:r>
              <w:rPr>
                <w:sz w:val="18"/>
              </w:rPr>
              <w:t>Mapovatel                  Sklenička, Linhart, 1997</w:t>
            </w:r>
          </w:p>
        </w:tc>
      </w:tr>
      <w:tr w:rsidR="00E42A45" w14:paraId="04D7CB0E" w14:textId="77777777" w:rsidTr="00BB63DF">
        <w:tc>
          <w:tcPr>
            <w:tcW w:w="14144" w:type="dxa"/>
            <w:gridSpan w:val="3"/>
            <w:tcBorders>
              <w:bottom w:val="single" w:sz="4" w:space="0" w:color="auto"/>
            </w:tcBorders>
            <w:shd w:val="clear" w:color="auto" w:fill="FFFFFF"/>
          </w:tcPr>
          <w:p w14:paraId="1057ADC5" w14:textId="77777777" w:rsidR="00E42A45" w:rsidRDefault="00E42A45" w:rsidP="00BB63DF">
            <w:pPr>
              <w:tabs>
                <w:tab w:val="left" w:pos="709"/>
              </w:tabs>
              <w:rPr>
                <w:b/>
                <w:sz w:val="18"/>
              </w:rPr>
            </w:pPr>
            <w:r>
              <w:rPr>
                <w:b/>
                <w:sz w:val="18"/>
              </w:rPr>
              <w:t>Kategorie ochrany, rok vyhlášení</w:t>
            </w:r>
          </w:p>
          <w:p w14:paraId="0EB228AC" w14:textId="77777777" w:rsidR="00E42A45" w:rsidRDefault="00E42A45" w:rsidP="00BB63DF">
            <w:pPr>
              <w:tabs>
                <w:tab w:val="left" w:pos="709"/>
              </w:tabs>
              <w:rPr>
                <w:b/>
                <w:sz w:val="18"/>
              </w:rPr>
            </w:pPr>
          </w:p>
          <w:p w14:paraId="63CF1A9C" w14:textId="77777777" w:rsidR="00E42A45" w:rsidRDefault="00E42A45" w:rsidP="00BB63DF">
            <w:pPr>
              <w:tabs>
                <w:tab w:val="left" w:pos="709"/>
              </w:tabs>
              <w:rPr>
                <w:b/>
                <w:sz w:val="20"/>
              </w:rPr>
            </w:pPr>
            <w:r>
              <w:rPr>
                <w:b/>
                <w:sz w:val="18"/>
              </w:rPr>
              <w:t xml:space="preserve">                                                                                                  </w:t>
            </w:r>
            <w:r>
              <w:rPr>
                <w:b/>
                <w:sz w:val="20"/>
              </w:rPr>
              <w:t>CHKO Labské Pískovce - III. zóna</w:t>
            </w:r>
          </w:p>
          <w:p w14:paraId="1B3CC17E" w14:textId="77777777" w:rsidR="00E42A45" w:rsidRDefault="00E42A45" w:rsidP="00BB63DF">
            <w:pPr>
              <w:tabs>
                <w:tab w:val="left" w:pos="709"/>
              </w:tabs>
            </w:pPr>
          </w:p>
        </w:tc>
      </w:tr>
    </w:tbl>
    <w:p w14:paraId="6595881D"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24CBE39F" w14:textId="77777777" w:rsidTr="00BB63DF">
        <w:tc>
          <w:tcPr>
            <w:tcW w:w="7072" w:type="dxa"/>
            <w:tcBorders>
              <w:top w:val="single" w:sz="4" w:space="0" w:color="auto"/>
            </w:tcBorders>
            <w:shd w:val="clear" w:color="auto" w:fill="FFFFFF"/>
          </w:tcPr>
          <w:p w14:paraId="3493AAEF" w14:textId="77777777" w:rsidR="00E42A45" w:rsidRDefault="00E42A45" w:rsidP="00BB63DF">
            <w:pPr>
              <w:tabs>
                <w:tab w:val="left" w:pos="709"/>
              </w:tabs>
              <w:rPr>
                <w:b/>
                <w:sz w:val="18"/>
              </w:rPr>
            </w:pPr>
            <w:r>
              <w:rPr>
                <w:b/>
                <w:sz w:val="18"/>
              </w:rPr>
              <w:t>Pořadové číslo</w:t>
            </w:r>
          </w:p>
          <w:p w14:paraId="201169F8" w14:textId="77777777" w:rsidR="00E42A45" w:rsidRDefault="00E42A45" w:rsidP="00BB63DF">
            <w:pPr>
              <w:tabs>
                <w:tab w:val="left" w:pos="709"/>
              </w:tabs>
              <w:rPr>
                <w:b/>
                <w:sz w:val="36"/>
              </w:rPr>
            </w:pPr>
            <w:r>
              <w:rPr>
                <w:b/>
                <w:sz w:val="36"/>
              </w:rPr>
              <w:t xml:space="preserve">                                                23</w:t>
            </w:r>
          </w:p>
        </w:tc>
        <w:tc>
          <w:tcPr>
            <w:tcW w:w="7072" w:type="dxa"/>
            <w:gridSpan w:val="2"/>
            <w:tcBorders>
              <w:top w:val="single" w:sz="4" w:space="0" w:color="auto"/>
            </w:tcBorders>
            <w:shd w:val="clear" w:color="auto" w:fill="FFFFFF"/>
          </w:tcPr>
          <w:p w14:paraId="571B0C16" w14:textId="77777777" w:rsidR="00E42A45" w:rsidRDefault="00E42A45" w:rsidP="00BB63DF">
            <w:pPr>
              <w:tabs>
                <w:tab w:val="left" w:pos="709"/>
              </w:tabs>
              <w:rPr>
                <w:b/>
                <w:sz w:val="18"/>
              </w:rPr>
            </w:pPr>
            <w:r>
              <w:rPr>
                <w:b/>
                <w:sz w:val="18"/>
              </w:rPr>
              <w:t>Katastrální území</w:t>
            </w:r>
          </w:p>
          <w:p w14:paraId="43AB7C49" w14:textId="77777777" w:rsidR="00E42A45" w:rsidRDefault="00E42A45" w:rsidP="00BB63DF">
            <w:pPr>
              <w:tabs>
                <w:tab w:val="left" w:pos="709"/>
              </w:tabs>
              <w:rPr>
                <w:b/>
                <w:sz w:val="18"/>
              </w:rPr>
            </w:pPr>
            <w:r>
              <w:rPr>
                <w:b/>
                <w:sz w:val="18"/>
              </w:rPr>
              <w:t xml:space="preserve">                                           </w:t>
            </w:r>
            <w:r>
              <w:rPr>
                <w:b/>
              </w:rPr>
              <w:t>Dolní Žleb</w:t>
            </w:r>
          </w:p>
        </w:tc>
      </w:tr>
      <w:tr w:rsidR="00E42A45" w14:paraId="15A5B658" w14:textId="77777777" w:rsidTr="00BB63DF">
        <w:tc>
          <w:tcPr>
            <w:tcW w:w="7072" w:type="dxa"/>
            <w:shd w:val="clear" w:color="auto" w:fill="FFFFFF"/>
          </w:tcPr>
          <w:p w14:paraId="3CE82234" w14:textId="77777777" w:rsidR="00E42A45" w:rsidRDefault="00E42A45" w:rsidP="00BB63DF">
            <w:pPr>
              <w:tabs>
                <w:tab w:val="left" w:pos="709"/>
              </w:tabs>
              <w:rPr>
                <w:b/>
                <w:sz w:val="18"/>
              </w:rPr>
            </w:pPr>
            <w:r>
              <w:rPr>
                <w:b/>
                <w:sz w:val="18"/>
              </w:rPr>
              <w:t>Název</w:t>
            </w:r>
          </w:p>
          <w:p w14:paraId="3074FDC2" w14:textId="77777777" w:rsidR="00E42A45" w:rsidRDefault="00E42A45" w:rsidP="00BB63DF">
            <w:pPr>
              <w:tabs>
                <w:tab w:val="left" w:pos="709"/>
              </w:tabs>
              <w:rPr>
                <w:b/>
                <w:caps/>
                <w:sz w:val="18"/>
              </w:rPr>
            </w:pPr>
            <w:r>
              <w:rPr>
                <w:b/>
                <w:sz w:val="18"/>
              </w:rPr>
              <w:t xml:space="preserve">                                                                               </w:t>
            </w:r>
            <w:r>
              <w:t xml:space="preserve"> </w:t>
            </w:r>
            <w:r>
              <w:rPr>
                <w:b/>
                <w:caps/>
              </w:rPr>
              <w:t>U křížku</w:t>
            </w:r>
          </w:p>
        </w:tc>
        <w:tc>
          <w:tcPr>
            <w:tcW w:w="3536" w:type="dxa"/>
            <w:shd w:val="clear" w:color="auto" w:fill="FFFFFF"/>
          </w:tcPr>
          <w:p w14:paraId="1337BF4A" w14:textId="77777777" w:rsidR="00E42A45" w:rsidRDefault="00E42A45" w:rsidP="00BB63DF">
            <w:pPr>
              <w:tabs>
                <w:tab w:val="left" w:pos="709"/>
              </w:tabs>
              <w:rPr>
                <w:b/>
                <w:sz w:val="18"/>
              </w:rPr>
            </w:pPr>
            <w:r>
              <w:rPr>
                <w:b/>
                <w:sz w:val="18"/>
              </w:rPr>
              <w:t xml:space="preserve">Mapový list           </w:t>
            </w:r>
          </w:p>
          <w:p w14:paraId="5CB23C1E" w14:textId="77777777" w:rsidR="00E42A45" w:rsidRDefault="00E42A45" w:rsidP="00BB63DF">
            <w:pPr>
              <w:tabs>
                <w:tab w:val="left" w:pos="709"/>
              </w:tabs>
              <w:rPr>
                <w:b/>
                <w:sz w:val="20"/>
              </w:rPr>
            </w:pPr>
            <w:r>
              <w:rPr>
                <w:b/>
                <w:sz w:val="18"/>
              </w:rPr>
              <w:t xml:space="preserve">                            </w:t>
            </w:r>
            <w:r>
              <w:rPr>
                <w:sz w:val="20"/>
              </w:rPr>
              <w:t>02-23-14</w:t>
            </w:r>
          </w:p>
        </w:tc>
        <w:tc>
          <w:tcPr>
            <w:tcW w:w="3536" w:type="dxa"/>
            <w:shd w:val="clear" w:color="auto" w:fill="FFFFFF"/>
          </w:tcPr>
          <w:p w14:paraId="3CB93A9E" w14:textId="77777777" w:rsidR="00E42A45" w:rsidRDefault="00E42A45" w:rsidP="00BB63DF">
            <w:pPr>
              <w:tabs>
                <w:tab w:val="left" w:pos="709"/>
              </w:tabs>
              <w:rPr>
                <w:b/>
                <w:sz w:val="18"/>
              </w:rPr>
            </w:pPr>
            <w:r>
              <w:rPr>
                <w:b/>
                <w:sz w:val="18"/>
              </w:rPr>
              <w:t xml:space="preserve">Výměra             </w:t>
            </w:r>
          </w:p>
          <w:p w14:paraId="290A9292" w14:textId="77777777" w:rsidR="00E42A45" w:rsidRDefault="00E42A45" w:rsidP="00BB63DF">
            <w:pPr>
              <w:tabs>
                <w:tab w:val="left" w:pos="709"/>
              </w:tabs>
              <w:rPr>
                <w:b/>
                <w:sz w:val="20"/>
              </w:rPr>
            </w:pPr>
            <w:r>
              <w:rPr>
                <w:b/>
                <w:sz w:val="18"/>
              </w:rPr>
              <w:t xml:space="preserve">                     </w:t>
            </w:r>
            <w:r>
              <w:rPr>
                <w:b/>
                <w:sz w:val="20"/>
              </w:rPr>
              <w:t>11,75 ha</w:t>
            </w:r>
          </w:p>
        </w:tc>
      </w:tr>
      <w:tr w:rsidR="00E42A45" w14:paraId="7DF767F4" w14:textId="77777777" w:rsidTr="00BB63DF">
        <w:tc>
          <w:tcPr>
            <w:tcW w:w="7072" w:type="dxa"/>
            <w:shd w:val="clear" w:color="auto" w:fill="FFFFFF"/>
          </w:tcPr>
          <w:p w14:paraId="11511681" w14:textId="77777777" w:rsidR="00E42A45" w:rsidRDefault="00E42A45" w:rsidP="00BB63DF">
            <w:pPr>
              <w:tabs>
                <w:tab w:val="left" w:pos="709"/>
              </w:tabs>
              <w:rPr>
                <w:sz w:val="20"/>
              </w:rPr>
            </w:pPr>
            <w:r>
              <w:rPr>
                <w:sz w:val="20"/>
              </w:rPr>
              <w:t>EVKP - ekologicky významný krajinný prvek</w:t>
            </w:r>
          </w:p>
          <w:p w14:paraId="6ED8FFBE" w14:textId="77777777" w:rsidR="00E42A45" w:rsidRDefault="00E42A45" w:rsidP="00BB63DF">
            <w:pPr>
              <w:tabs>
                <w:tab w:val="left" w:pos="709"/>
              </w:tabs>
              <w:rPr>
                <w:sz w:val="20"/>
              </w:rPr>
            </w:pPr>
            <w:r>
              <w:rPr>
                <w:sz w:val="20"/>
              </w:rPr>
              <w:t>EVKC - ekologicky významný krajinný celek</w:t>
            </w:r>
          </w:p>
          <w:p w14:paraId="15D814A9" w14:textId="77777777" w:rsidR="00E42A45" w:rsidRPr="002D7515" w:rsidRDefault="00E42A45" w:rsidP="00BB63DF">
            <w:pPr>
              <w:pStyle w:val="Nadpis6"/>
            </w:pPr>
            <w:r w:rsidRPr="002D7515">
              <w:t>EVKO - ekologicky významná krajinná oblast</w:t>
            </w:r>
          </w:p>
          <w:p w14:paraId="1D9D5BF5"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38DD8133" w14:textId="77777777" w:rsidR="00E42A45" w:rsidRPr="002D7515" w:rsidRDefault="00E42A45" w:rsidP="00BB63DF">
            <w:pPr>
              <w:pStyle w:val="Nadpis8"/>
            </w:pPr>
            <w:r w:rsidRPr="002D7515">
              <w:t>Biogeografický význam</w:t>
            </w:r>
          </w:p>
          <w:p w14:paraId="24B24809" w14:textId="77777777" w:rsidR="00E42A45" w:rsidRDefault="00E42A45" w:rsidP="00BB63DF">
            <w:pPr>
              <w:tabs>
                <w:tab w:val="left" w:pos="709"/>
              </w:tabs>
            </w:pPr>
            <w:r>
              <w:t xml:space="preserve">       -</w:t>
            </w:r>
            <w:r>
              <w:rPr>
                <w:b/>
              </w:rPr>
              <w:t xml:space="preserve"> lokální, reprezentativní</w:t>
            </w:r>
          </w:p>
          <w:p w14:paraId="6682582F" w14:textId="77777777" w:rsidR="00E42A45" w:rsidRDefault="00E42A45" w:rsidP="00BB63DF">
            <w:pPr>
              <w:tabs>
                <w:tab w:val="left" w:pos="709"/>
              </w:tabs>
              <w:ind w:left="345"/>
              <w:rPr>
                <w:sz w:val="20"/>
              </w:rPr>
            </w:pPr>
            <w:r>
              <w:t xml:space="preserve"> </w:t>
            </w:r>
            <w:r>
              <w:rPr>
                <w:sz w:val="20"/>
              </w:rPr>
              <w:t>-  regionální</w:t>
            </w:r>
          </w:p>
          <w:p w14:paraId="317DF7E3" w14:textId="77777777" w:rsidR="00E42A45" w:rsidRDefault="00E42A45" w:rsidP="00BB63DF">
            <w:pPr>
              <w:tabs>
                <w:tab w:val="left" w:pos="709"/>
              </w:tabs>
              <w:ind w:left="345"/>
            </w:pPr>
            <w:r>
              <w:rPr>
                <w:sz w:val="20"/>
              </w:rPr>
              <w:t xml:space="preserve"> - nadregionální</w:t>
            </w:r>
          </w:p>
        </w:tc>
        <w:tc>
          <w:tcPr>
            <w:tcW w:w="3536" w:type="dxa"/>
            <w:shd w:val="clear" w:color="auto" w:fill="FFFFFF"/>
          </w:tcPr>
          <w:p w14:paraId="489BA01F" w14:textId="77777777" w:rsidR="00E42A45" w:rsidRDefault="00E42A45" w:rsidP="00BB63DF">
            <w:pPr>
              <w:tabs>
                <w:tab w:val="left" w:pos="709"/>
              </w:tabs>
              <w:rPr>
                <w:b/>
                <w:sz w:val="18"/>
              </w:rPr>
            </w:pPr>
            <w:r>
              <w:rPr>
                <w:b/>
                <w:sz w:val="18"/>
              </w:rPr>
              <w:t>Stav</w:t>
            </w:r>
          </w:p>
          <w:p w14:paraId="155AAB3E" w14:textId="77777777" w:rsidR="00E42A45" w:rsidRDefault="00E42A45" w:rsidP="00BB63DF">
            <w:pPr>
              <w:tabs>
                <w:tab w:val="left" w:pos="709"/>
              </w:tabs>
              <w:ind w:left="405"/>
            </w:pPr>
            <w:r>
              <w:rPr>
                <w:b/>
              </w:rPr>
              <w:t>-  funkčně vymezený</w:t>
            </w:r>
          </w:p>
          <w:p w14:paraId="5268252A" w14:textId="77777777" w:rsidR="00E42A45" w:rsidRDefault="00E42A45" w:rsidP="00BB63DF">
            <w:pPr>
              <w:tabs>
                <w:tab w:val="left" w:pos="709"/>
              </w:tabs>
              <w:rPr>
                <w:sz w:val="20"/>
              </w:rPr>
            </w:pPr>
            <w:r>
              <w:t xml:space="preserve">       </w:t>
            </w:r>
            <w:r>
              <w:rPr>
                <w:sz w:val="20"/>
              </w:rPr>
              <w:t xml:space="preserve">-  semifunkční    </w:t>
            </w:r>
          </w:p>
          <w:p w14:paraId="0066AC94" w14:textId="77777777" w:rsidR="00E42A45" w:rsidRDefault="00E42A45" w:rsidP="00BB63DF">
            <w:pPr>
              <w:tabs>
                <w:tab w:val="left" w:pos="709"/>
              </w:tabs>
            </w:pPr>
            <w:r>
              <w:rPr>
                <w:sz w:val="20"/>
              </w:rPr>
              <w:t xml:space="preserve">        -  navržený</w:t>
            </w:r>
          </w:p>
        </w:tc>
      </w:tr>
      <w:tr w:rsidR="00E42A45" w14:paraId="6B7982FA" w14:textId="77777777" w:rsidTr="00BB63DF">
        <w:tc>
          <w:tcPr>
            <w:tcW w:w="7072" w:type="dxa"/>
            <w:shd w:val="clear" w:color="auto" w:fill="FFFFFF"/>
          </w:tcPr>
          <w:p w14:paraId="175BF2B5" w14:textId="77777777" w:rsidR="00E42A45" w:rsidRDefault="00E42A45" w:rsidP="00BB63DF">
            <w:pPr>
              <w:tabs>
                <w:tab w:val="left" w:pos="709"/>
              </w:tabs>
              <w:rPr>
                <w:b/>
                <w:sz w:val="18"/>
              </w:rPr>
            </w:pPr>
            <w:r>
              <w:rPr>
                <w:b/>
                <w:sz w:val="18"/>
              </w:rPr>
              <w:t>Geobiocenologická typizace (vegetační stupeň, trofická řada, hydrická řada)</w:t>
            </w:r>
          </w:p>
          <w:p w14:paraId="3D7ABD61" w14:textId="77777777" w:rsidR="00E42A45" w:rsidRDefault="00E42A45" w:rsidP="00BB63DF">
            <w:pPr>
              <w:tabs>
                <w:tab w:val="left" w:pos="709"/>
              </w:tabs>
            </w:pPr>
            <w:r>
              <w:t xml:space="preserve">                       6AB3, 3A2  </w:t>
            </w:r>
          </w:p>
        </w:tc>
        <w:tc>
          <w:tcPr>
            <w:tcW w:w="7072" w:type="dxa"/>
            <w:gridSpan w:val="2"/>
            <w:shd w:val="clear" w:color="auto" w:fill="FFFFFF"/>
          </w:tcPr>
          <w:p w14:paraId="28C011D9" w14:textId="77777777" w:rsidR="00E42A45" w:rsidRDefault="00E42A45" w:rsidP="00BB63DF">
            <w:pPr>
              <w:tabs>
                <w:tab w:val="left" w:pos="709"/>
              </w:tabs>
            </w:pPr>
          </w:p>
        </w:tc>
      </w:tr>
      <w:tr w:rsidR="00E42A45" w14:paraId="6CF3B140" w14:textId="77777777" w:rsidTr="00BB63DF">
        <w:tc>
          <w:tcPr>
            <w:tcW w:w="14144" w:type="dxa"/>
            <w:gridSpan w:val="3"/>
            <w:shd w:val="clear" w:color="auto" w:fill="FFFFFF"/>
          </w:tcPr>
          <w:p w14:paraId="2FA2A629" w14:textId="77777777" w:rsidR="00E42A45" w:rsidRDefault="00E42A45" w:rsidP="00BB63DF">
            <w:pPr>
              <w:tabs>
                <w:tab w:val="left" w:pos="709"/>
              </w:tabs>
            </w:pPr>
            <w:r>
              <w:rPr>
                <w:b/>
                <w:sz w:val="18"/>
              </w:rPr>
              <w:t>Charakter ekotopu a bioty</w:t>
            </w:r>
            <w:r>
              <w:t xml:space="preserve">  </w:t>
            </w:r>
          </w:p>
          <w:p w14:paraId="0DCD37C2" w14:textId="77777777" w:rsidR="00E42A45" w:rsidRDefault="00E42A45" w:rsidP="00BB63DF">
            <w:pPr>
              <w:tabs>
                <w:tab w:val="left" w:pos="709"/>
              </w:tabs>
            </w:pPr>
            <w:r>
              <w:t xml:space="preserve">     </w:t>
            </w:r>
          </w:p>
          <w:p w14:paraId="14E0BE2F" w14:textId="77777777" w:rsidR="00E42A45" w:rsidRDefault="00E42A45" w:rsidP="00BB63DF">
            <w:pPr>
              <w:tabs>
                <w:tab w:val="left" w:pos="709"/>
              </w:tabs>
              <w:rPr>
                <w:sz w:val="20"/>
              </w:rPr>
            </w:pPr>
            <w:r>
              <w:rPr>
                <w:sz w:val="20"/>
              </w:rPr>
              <w:t xml:space="preserve">Lokální biocentrum vymezené v lesním porostu pod Okrouhlíkem (493,8 m n.m.)   na severovýchodně orientovaném svahu výraného údolí se sklonem       cca 20 %.  Nadmořská výška lokality se pohybuje od 365 do 440 m.    </w:t>
            </w:r>
          </w:p>
          <w:p w14:paraId="0CECC71A" w14:textId="77777777" w:rsidR="00E42A45" w:rsidRDefault="00E42A45" w:rsidP="00BB63DF">
            <w:pPr>
              <w:tabs>
                <w:tab w:val="left" w:pos="709"/>
              </w:tabs>
              <w:rPr>
                <w:sz w:val="20"/>
              </w:rPr>
            </w:pPr>
            <w:r>
              <w:rPr>
                <w:sz w:val="20"/>
              </w:rPr>
              <w:t xml:space="preserve">                                                                                                                                    SES = 3 - 4.   </w:t>
            </w:r>
          </w:p>
          <w:p w14:paraId="729EE27F" w14:textId="77777777" w:rsidR="00E42A45" w:rsidRDefault="00E42A45" w:rsidP="00BB63DF">
            <w:pPr>
              <w:tabs>
                <w:tab w:val="left" w:pos="709"/>
              </w:tabs>
              <w:rPr>
                <w:sz w:val="20"/>
              </w:rPr>
            </w:pPr>
            <w:r>
              <w:rPr>
                <w:sz w:val="20"/>
              </w:rPr>
              <w:t>Lesní porost je tvořen následujícími dřevinami:  SM, BO, MD, BK, BR</w:t>
            </w:r>
          </w:p>
          <w:p w14:paraId="546408DD" w14:textId="77777777" w:rsidR="00E42A45" w:rsidRDefault="00E42A45" w:rsidP="00BB63DF">
            <w:pPr>
              <w:tabs>
                <w:tab w:val="left" w:pos="709"/>
              </w:tabs>
              <w:rPr>
                <w:sz w:val="20"/>
              </w:rPr>
            </w:pPr>
            <w:r>
              <w:rPr>
                <w:sz w:val="20"/>
              </w:rPr>
              <w:t xml:space="preserve"> </w:t>
            </w:r>
          </w:p>
          <w:p w14:paraId="1CB4E153" w14:textId="77777777" w:rsidR="00E42A45" w:rsidRDefault="00E42A45" w:rsidP="00BB63DF">
            <w:pPr>
              <w:tabs>
                <w:tab w:val="left" w:pos="709"/>
              </w:tabs>
              <w:rPr>
                <w:sz w:val="20"/>
              </w:rPr>
            </w:pPr>
            <w:r>
              <w:rPr>
                <w:b/>
                <w:sz w:val="20"/>
              </w:rPr>
              <w:t>Zastoupené lesní typy</w:t>
            </w:r>
            <w:r>
              <w:rPr>
                <w:sz w:val="20"/>
              </w:rPr>
              <w:t xml:space="preserve">:                6K1 - kyselá sm BK metlicová                              6K8 - kyselá sm BK </w:t>
            </w:r>
          </w:p>
          <w:p w14:paraId="6234FB3A" w14:textId="77777777" w:rsidR="00E42A45" w:rsidRDefault="00E42A45" w:rsidP="00BB63DF">
            <w:pPr>
              <w:tabs>
                <w:tab w:val="left" w:pos="709"/>
              </w:tabs>
              <w:rPr>
                <w:sz w:val="20"/>
              </w:rPr>
            </w:pPr>
            <w:r>
              <w:rPr>
                <w:sz w:val="20"/>
              </w:rPr>
              <w:t xml:space="preserve">                                                       6V5 - vlhká sm BKúžlabní</w:t>
            </w:r>
          </w:p>
          <w:p w14:paraId="2596C440" w14:textId="77777777" w:rsidR="00E42A45" w:rsidRDefault="00E42A45" w:rsidP="00BB63DF">
            <w:pPr>
              <w:tabs>
                <w:tab w:val="left" w:pos="709"/>
              </w:tabs>
              <w:rPr>
                <w:sz w:val="20"/>
              </w:rPr>
            </w:pPr>
          </w:p>
          <w:p w14:paraId="23F39F79" w14:textId="77777777" w:rsidR="00E42A45" w:rsidRDefault="00E42A45" w:rsidP="00BB63DF">
            <w:pPr>
              <w:tabs>
                <w:tab w:val="left" w:pos="709"/>
              </w:tabs>
              <w:rPr>
                <w:sz w:val="20"/>
              </w:rPr>
            </w:pPr>
            <w:r>
              <w:rPr>
                <w:sz w:val="20"/>
              </w:rPr>
              <w:t xml:space="preserve">Geol.: Podzolované oligotrofní hnědé půdy, oglejená mezotrofní horská půda </w:t>
            </w:r>
          </w:p>
          <w:p w14:paraId="54399EBA" w14:textId="77777777" w:rsidR="00E42A45" w:rsidRDefault="00E42A45" w:rsidP="00BB63DF">
            <w:pPr>
              <w:tabs>
                <w:tab w:val="left" w:pos="709"/>
              </w:tabs>
              <w:rPr>
                <w:sz w:val="20"/>
              </w:rPr>
            </w:pPr>
          </w:p>
          <w:p w14:paraId="418B2122" w14:textId="77777777" w:rsidR="00E42A45" w:rsidRDefault="00E42A45" w:rsidP="00BB63DF">
            <w:pPr>
              <w:tabs>
                <w:tab w:val="left" w:pos="709"/>
              </w:tabs>
              <w:rPr>
                <w:i/>
                <w:sz w:val="20"/>
              </w:rPr>
            </w:pPr>
            <w:r>
              <w:rPr>
                <w:sz w:val="20"/>
              </w:rPr>
              <w:t xml:space="preserve">Bot.: </w:t>
            </w:r>
            <w:r>
              <w:rPr>
                <w:i/>
                <w:sz w:val="20"/>
              </w:rPr>
              <w:t xml:space="preserve">Luzula nemorosa, Vaccinium myrtillus, Dicranum scoparium,  Deschampsia  flexuosa,  Dryopteris spinulosa,   Sphagnum sp., </w:t>
            </w:r>
          </w:p>
          <w:p w14:paraId="1182EDD8" w14:textId="77777777" w:rsidR="00E42A45" w:rsidRDefault="00E42A45" w:rsidP="00BB63DF">
            <w:pPr>
              <w:tabs>
                <w:tab w:val="left" w:pos="709"/>
              </w:tabs>
              <w:rPr>
                <w:i/>
                <w:sz w:val="20"/>
              </w:rPr>
            </w:pPr>
            <w:r>
              <w:rPr>
                <w:i/>
                <w:sz w:val="20"/>
              </w:rPr>
              <w:t xml:space="preserve">        Trientaliseuropea, Blechnum spicant, Carex sp., Calluna vulgaris, Hieracium silvaticum, </w:t>
            </w:r>
          </w:p>
          <w:p w14:paraId="66EB3ECC" w14:textId="77777777" w:rsidR="00E42A45" w:rsidRDefault="00E42A45" w:rsidP="00BB63DF">
            <w:pPr>
              <w:tabs>
                <w:tab w:val="left" w:pos="709"/>
              </w:tabs>
              <w:rPr>
                <w:b/>
                <w:sz w:val="20"/>
              </w:rPr>
            </w:pPr>
          </w:p>
          <w:p w14:paraId="69D51550" w14:textId="77777777" w:rsidR="00E42A45" w:rsidRDefault="00E42A45" w:rsidP="00BB63DF">
            <w:pPr>
              <w:tabs>
                <w:tab w:val="left" w:pos="709"/>
              </w:tabs>
              <w:rPr>
                <w:b/>
                <w:sz w:val="20"/>
              </w:rPr>
            </w:pPr>
            <w:r>
              <w:rPr>
                <w:b/>
                <w:sz w:val="20"/>
              </w:rPr>
              <w:t xml:space="preserve">Návrh opatření :       </w:t>
            </w:r>
          </w:p>
          <w:p w14:paraId="2E9F8BE9" w14:textId="77777777" w:rsidR="00E42A45" w:rsidRDefault="00E42A45" w:rsidP="00BB63DF">
            <w:pPr>
              <w:tabs>
                <w:tab w:val="left" w:pos="709"/>
              </w:tabs>
              <w:rPr>
                <w:b/>
                <w:sz w:val="20"/>
              </w:rPr>
            </w:pPr>
            <w:r>
              <w:rPr>
                <w:b/>
                <w:sz w:val="20"/>
              </w:rPr>
              <w:t xml:space="preserve">Dřeviny přirozené rekonstruované skladby podle SLT:               6K - SM4, BK4, JD2, JR         </w:t>
            </w:r>
          </w:p>
          <w:p w14:paraId="39C7280F" w14:textId="77777777" w:rsidR="00E42A45" w:rsidRDefault="00E42A45" w:rsidP="00BB63DF">
            <w:pPr>
              <w:tabs>
                <w:tab w:val="left" w:pos="709"/>
              </w:tabs>
              <w:rPr>
                <w:b/>
                <w:sz w:val="20"/>
              </w:rPr>
            </w:pPr>
            <w:r>
              <w:rPr>
                <w:b/>
                <w:sz w:val="20"/>
              </w:rPr>
              <w:t xml:space="preserve">                                                                                                            6V - BK3, JD4, SM3, KL, JS                            </w:t>
            </w:r>
          </w:p>
          <w:p w14:paraId="2858AD0E" w14:textId="77777777" w:rsidR="00E42A45" w:rsidRDefault="00E42A45" w:rsidP="00BB63DF">
            <w:pPr>
              <w:tabs>
                <w:tab w:val="left" w:pos="709"/>
              </w:tabs>
            </w:pPr>
            <w:r>
              <w:rPr>
                <w:b/>
                <w:sz w:val="20"/>
              </w:rPr>
              <w:t>Opatření v porostu ve smyslu Generelu rekonstrukce, který je promítnut v platném LHP, s  náhradou dřevin mimo přirozenou dřevinnou skladbu   -  výchovná opatření</w:t>
            </w:r>
            <w:r>
              <w:t xml:space="preserve">.                                     </w:t>
            </w:r>
          </w:p>
        </w:tc>
      </w:tr>
      <w:tr w:rsidR="00E42A45" w14:paraId="087E96CA" w14:textId="77777777" w:rsidTr="00BB63DF">
        <w:tc>
          <w:tcPr>
            <w:tcW w:w="7072" w:type="dxa"/>
            <w:shd w:val="clear" w:color="auto" w:fill="FFFFFF"/>
          </w:tcPr>
          <w:p w14:paraId="5BE3C2CF" w14:textId="77777777" w:rsidR="00E42A45" w:rsidRDefault="00E42A45" w:rsidP="00BB63DF">
            <w:pPr>
              <w:tabs>
                <w:tab w:val="left" w:pos="709"/>
              </w:tabs>
              <w:rPr>
                <w:sz w:val="18"/>
              </w:rPr>
            </w:pPr>
            <w:r>
              <w:rPr>
                <w:sz w:val="18"/>
              </w:rPr>
              <w:t>Vymezení              LS  Sněžník, 118/C</w:t>
            </w:r>
          </w:p>
        </w:tc>
        <w:tc>
          <w:tcPr>
            <w:tcW w:w="7072" w:type="dxa"/>
            <w:gridSpan w:val="2"/>
            <w:shd w:val="clear" w:color="auto" w:fill="FFFFFF"/>
          </w:tcPr>
          <w:p w14:paraId="4BB56207" w14:textId="77777777" w:rsidR="00E42A45" w:rsidRDefault="00E42A45" w:rsidP="00BB63DF">
            <w:pPr>
              <w:tabs>
                <w:tab w:val="left" w:pos="709"/>
              </w:tabs>
              <w:rPr>
                <w:sz w:val="18"/>
              </w:rPr>
            </w:pPr>
            <w:r>
              <w:rPr>
                <w:sz w:val="18"/>
              </w:rPr>
              <w:t xml:space="preserve">Kultura                 les </w:t>
            </w:r>
          </w:p>
        </w:tc>
      </w:tr>
      <w:tr w:rsidR="00E42A45" w14:paraId="205E180A" w14:textId="77777777" w:rsidTr="00BB63DF">
        <w:tc>
          <w:tcPr>
            <w:tcW w:w="7072" w:type="dxa"/>
            <w:tcBorders>
              <w:bottom w:val="single" w:sz="4" w:space="0" w:color="auto"/>
            </w:tcBorders>
            <w:shd w:val="clear" w:color="auto" w:fill="FFFFFF"/>
          </w:tcPr>
          <w:p w14:paraId="7B6B7A9A" w14:textId="77777777" w:rsidR="00E42A45" w:rsidRDefault="00E42A45" w:rsidP="00BB63DF">
            <w:pPr>
              <w:tabs>
                <w:tab w:val="left" w:pos="709"/>
              </w:tabs>
              <w:rPr>
                <w:sz w:val="18"/>
              </w:rPr>
            </w:pPr>
            <w:r>
              <w:rPr>
                <w:sz w:val="18"/>
              </w:rPr>
              <w:t xml:space="preserve">Uživatel                                            </w:t>
            </w:r>
          </w:p>
          <w:p w14:paraId="654B6120" w14:textId="77777777" w:rsidR="00E42A45" w:rsidRDefault="00E42A45" w:rsidP="00BB63DF">
            <w:pPr>
              <w:tabs>
                <w:tab w:val="left" w:pos="709"/>
              </w:tabs>
              <w:rPr>
                <w:sz w:val="18"/>
              </w:rPr>
            </w:pPr>
            <w:r>
              <w:rPr>
                <w:sz w:val="18"/>
              </w:rPr>
              <w:t xml:space="preserve">   LČR</w:t>
            </w:r>
          </w:p>
        </w:tc>
        <w:tc>
          <w:tcPr>
            <w:tcW w:w="7072" w:type="dxa"/>
            <w:gridSpan w:val="2"/>
            <w:tcBorders>
              <w:bottom w:val="single" w:sz="4" w:space="0" w:color="auto"/>
            </w:tcBorders>
            <w:shd w:val="clear" w:color="auto" w:fill="FFFFFF"/>
          </w:tcPr>
          <w:p w14:paraId="17D9FA25" w14:textId="77777777" w:rsidR="00E42A45" w:rsidRDefault="00E42A45" w:rsidP="00BB63DF">
            <w:pPr>
              <w:tabs>
                <w:tab w:val="left" w:pos="709"/>
              </w:tabs>
              <w:rPr>
                <w:sz w:val="18"/>
              </w:rPr>
            </w:pPr>
            <w:r>
              <w:rPr>
                <w:sz w:val="18"/>
              </w:rPr>
              <w:t>Mapovatel            Sklenička, Linhart, 1997</w:t>
            </w:r>
          </w:p>
        </w:tc>
      </w:tr>
      <w:tr w:rsidR="00E42A45" w14:paraId="243DEB74" w14:textId="77777777" w:rsidTr="00BB63DF">
        <w:tc>
          <w:tcPr>
            <w:tcW w:w="14144" w:type="dxa"/>
            <w:gridSpan w:val="3"/>
            <w:tcBorders>
              <w:bottom w:val="single" w:sz="4" w:space="0" w:color="auto"/>
            </w:tcBorders>
            <w:shd w:val="clear" w:color="auto" w:fill="FFFFFF"/>
          </w:tcPr>
          <w:p w14:paraId="54CCECC2" w14:textId="77777777" w:rsidR="00E42A45" w:rsidRDefault="00E42A45" w:rsidP="00BB63DF">
            <w:pPr>
              <w:tabs>
                <w:tab w:val="left" w:pos="709"/>
              </w:tabs>
              <w:rPr>
                <w:sz w:val="18"/>
              </w:rPr>
            </w:pPr>
            <w:r>
              <w:rPr>
                <w:sz w:val="18"/>
              </w:rPr>
              <w:t>Kategorie ochrany, rok vyhlášení</w:t>
            </w:r>
          </w:p>
          <w:p w14:paraId="54A39FFF" w14:textId="77777777" w:rsidR="00E42A45" w:rsidRPr="00ED0D43" w:rsidRDefault="00E42A45" w:rsidP="00BB63DF">
            <w:pPr>
              <w:tabs>
                <w:tab w:val="left" w:pos="709"/>
              </w:tabs>
            </w:pPr>
            <w:r>
              <w:rPr>
                <w:sz w:val="18"/>
              </w:rPr>
              <w:lastRenderedPageBreak/>
              <w:t xml:space="preserve">                                                                                                            </w:t>
            </w:r>
            <w:r>
              <w:rPr>
                <w:b/>
                <w:sz w:val="20"/>
              </w:rPr>
              <w:t>CHKO Labské Pískovce - III. zóna</w:t>
            </w:r>
            <w:r>
              <w:t xml:space="preserve">                                                                         </w:t>
            </w:r>
          </w:p>
        </w:tc>
      </w:tr>
    </w:tbl>
    <w:p w14:paraId="767E979B"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536"/>
      </w:tblGrid>
      <w:tr w:rsidR="00E42A45" w14:paraId="53979AA0" w14:textId="77777777" w:rsidTr="00BB63DF">
        <w:tc>
          <w:tcPr>
            <w:tcW w:w="7072" w:type="dxa"/>
            <w:tcBorders>
              <w:top w:val="single" w:sz="4" w:space="0" w:color="auto"/>
            </w:tcBorders>
            <w:shd w:val="clear" w:color="auto" w:fill="FFFFFF"/>
          </w:tcPr>
          <w:p w14:paraId="718B06AC" w14:textId="77777777" w:rsidR="00E42A45" w:rsidRDefault="00E42A45" w:rsidP="00BB63DF">
            <w:pPr>
              <w:tabs>
                <w:tab w:val="left" w:pos="709"/>
              </w:tabs>
              <w:rPr>
                <w:b/>
                <w:sz w:val="18"/>
              </w:rPr>
            </w:pPr>
            <w:r>
              <w:rPr>
                <w:b/>
                <w:sz w:val="18"/>
              </w:rPr>
              <w:t>Pořadové číslo</w:t>
            </w:r>
          </w:p>
          <w:p w14:paraId="7D8BEDF1" w14:textId="77777777" w:rsidR="00E42A45" w:rsidRDefault="00E42A45" w:rsidP="00BB63DF">
            <w:pPr>
              <w:tabs>
                <w:tab w:val="left" w:pos="709"/>
              </w:tabs>
              <w:rPr>
                <w:b/>
                <w:sz w:val="36"/>
              </w:rPr>
            </w:pPr>
            <w:r>
              <w:rPr>
                <w:b/>
                <w:sz w:val="36"/>
              </w:rPr>
              <w:t xml:space="preserve">                                              24</w:t>
            </w:r>
          </w:p>
        </w:tc>
        <w:tc>
          <w:tcPr>
            <w:tcW w:w="7072" w:type="dxa"/>
            <w:gridSpan w:val="2"/>
            <w:tcBorders>
              <w:top w:val="single" w:sz="4" w:space="0" w:color="auto"/>
            </w:tcBorders>
            <w:shd w:val="clear" w:color="auto" w:fill="FFFFFF"/>
          </w:tcPr>
          <w:p w14:paraId="7C342152" w14:textId="77777777" w:rsidR="00E42A45" w:rsidRDefault="00E42A45" w:rsidP="00BB63DF">
            <w:pPr>
              <w:tabs>
                <w:tab w:val="left" w:pos="709"/>
              </w:tabs>
              <w:rPr>
                <w:b/>
                <w:sz w:val="18"/>
              </w:rPr>
            </w:pPr>
            <w:r>
              <w:rPr>
                <w:b/>
                <w:sz w:val="18"/>
              </w:rPr>
              <w:t>Katastrální území</w:t>
            </w:r>
          </w:p>
          <w:p w14:paraId="76EF40D8" w14:textId="77777777" w:rsidR="00E42A45" w:rsidRDefault="00E42A45" w:rsidP="00BB63DF">
            <w:pPr>
              <w:tabs>
                <w:tab w:val="left" w:pos="709"/>
              </w:tabs>
              <w:rPr>
                <w:b/>
                <w:sz w:val="18"/>
              </w:rPr>
            </w:pPr>
            <w:r>
              <w:rPr>
                <w:b/>
                <w:sz w:val="18"/>
              </w:rPr>
              <w:t xml:space="preserve">                                           </w:t>
            </w:r>
            <w:r>
              <w:rPr>
                <w:b/>
              </w:rPr>
              <w:t xml:space="preserve">Dolní Žleb, Prostřední Žleb </w:t>
            </w:r>
          </w:p>
        </w:tc>
      </w:tr>
      <w:tr w:rsidR="00E42A45" w14:paraId="0928B44A" w14:textId="77777777" w:rsidTr="00BB63DF">
        <w:tc>
          <w:tcPr>
            <w:tcW w:w="7072" w:type="dxa"/>
            <w:shd w:val="clear" w:color="auto" w:fill="FFFFFF"/>
          </w:tcPr>
          <w:p w14:paraId="7A13C536" w14:textId="77777777" w:rsidR="00E42A45" w:rsidRDefault="00E42A45" w:rsidP="00BB63DF">
            <w:pPr>
              <w:tabs>
                <w:tab w:val="left" w:pos="709"/>
              </w:tabs>
              <w:rPr>
                <w:b/>
                <w:sz w:val="18"/>
              </w:rPr>
            </w:pPr>
            <w:r>
              <w:rPr>
                <w:b/>
                <w:sz w:val="18"/>
              </w:rPr>
              <w:t>Název</w:t>
            </w:r>
          </w:p>
          <w:p w14:paraId="6381A7B2" w14:textId="77777777" w:rsidR="00E42A45" w:rsidRDefault="00E42A45" w:rsidP="00BB63DF">
            <w:pPr>
              <w:tabs>
                <w:tab w:val="left" w:pos="709"/>
              </w:tabs>
              <w:rPr>
                <w:b/>
                <w:caps/>
                <w:sz w:val="18"/>
              </w:rPr>
            </w:pPr>
            <w:r>
              <w:rPr>
                <w:b/>
                <w:caps/>
                <w:sz w:val="18"/>
              </w:rPr>
              <w:t xml:space="preserve">                                                      </w:t>
            </w:r>
            <w:r>
              <w:rPr>
                <w:b/>
                <w:caps/>
              </w:rPr>
              <w:t xml:space="preserve">            Údolí Labe</w:t>
            </w:r>
          </w:p>
        </w:tc>
        <w:tc>
          <w:tcPr>
            <w:tcW w:w="3536" w:type="dxa"/>
            <w:shd w:val="clear" w:color="auto" w:fill="FFFFFF"/>
          </w:tcPr>
          <w:p w14:paraId="000B33E8" w14:textId="77777777" w:rsidR="00E42A45" w:rsidRDefault="00E42A45" w:rsidP="00BB63DF">
            <w:pPr>
              <w:tabs>
                <w:tab w:val="left" w:pos="709"/>
              </w:tabs>
              <w:rPr>
                <w:b/>
                <w:sz w:val="18"/>
              </w:rPr>
            </w:pPr>
            <w:r>
              <w:rPr>
                <w:b/>
                <w:sz w:val="18"/>
              </w:rPr>
              <w:t xml:space="preserve">Mapový list           </w:t>
            </w:r>
          </w:p>
          <w:p w14:paraId="48D2EF65" w14:textId="77777777" w:rsidR="00E42A45" w:rsidRDefault="00E42A45" w:rsidP="00BB63DF">
            <w:pPr>
              <w:tabs>
                <w:tab w:val="left" w:pos="709"/>
              </w:tabs>
              <w:rPr>
                <w:b/>
                <w:sz w:val="20"/>
              </w:rPr>
            </w:pPr>
            <w:r>
              <w:rPr>
                <w:b/>
                <w:sz w:val="18"/>
              </w:rPr>
              <w:t xml:space="preserve">                            </w:t>
            </w:r>
            <w:r>
              <w:rPr>
                <w:sz w:val="20"/>
              </w:rPr>
              <w:t>02-23-09, 14, 19</w:t>
            </w:r>
          </w:p>
        </w:tc>
        <w:tc>
          <w:tcPr>
            <w:tcW w:w="3536" w:type="dxa"/>
            <w:shd w:val="clear" w:color="auto" w:fill="FFFFFF"/>
          </w:tcPr>
          <w:p w14:paraId="5F36E4A9" w14:textId="77777777" w:rsidR="00E42A45" w:rsidRDefault="00E42A45" w:rsidP="00BB63DF">
            <w:pPr>
              <w:tabs>
                <w:tab w:val="left" w:pos="709"/>
              </w:tabs>
              <w:rPr>
                <w:b/>
                <w:sz w:val="18"/>
              </w:rPr>
            </w:pPr>
            <w:r>
              <w:rPr>
                <w:b/>
                <w:sz w:val="18"/>
              </w:rPr>
              <w:t xml:space="preserve">Výměra             </w:t>
            </w:r>
          </w:p>
          <w:p w14:paraId="57EF0F3E" w14:textId="77777777" w:rsidR="00E42A45" w:rsidRDefault="00E42A45" w:rsidP="00BB63DF">
            <w:pPr>
              <w:tabs>
                <w:tab w:val="left" w:pos="709"/>
              </w:tabs>
              <w:rPr>
                <w:b/>
                <w:sz w:val="20"/>
              </w:rPr>
            </w:pPr>
            <w:r>
              <w:rPr>
                <w:b/>
                <w:sz w:val="20"/>
              </w:rPr>
              <w:t xml:space="preserve">                     527,58 ha</w:t>
            </w:r>
          </w:p>
        </w:tc>
      </w:tr>
      <w:tr w:rsidR="00E42A45" w14:paraId="6241C6EE" w14:textId="77777777" w:rsidTr="00BB63DF">
        <w:tc>
          <w:tcPr>
            <w:tcW w:w="7072" w:type="dxa"/>
            <w:shd w:val="clear" w:color="auto" w:fill="FFFFFF"/>
          </w:tcPr>
          <w:p w14:paraId="79992A89" w14:textId="77777777" w:rsidR="00E42A45" w:rsidRDefault="00E42A45" w:rsidP="00BB63DF">
            <w:pPr>
              <w:tabs>
                <w:tab w:val="left" w:pos="709"/>
              </w:tabs>
              <w:rPr>
                <w:sz w:val="20"/>
              </w:rPr>
            </w:pPr>
            <w:r>
              <w:rPr>
                <w:sz w:val="20"/>
              </w:rPr>
              <w:t>EVKP - ekologicky významný krajinný prvek</w:t>
            </w:r>
          </w:p>
          <w:p w14:paraId="0401B7B1" w14:textId="77777777" w:rsidR="00E42A45" w:rsidRDefault="00E42A45" w:rsidP="00BB63DF">
            <w:pPr>
              <w:tabs>
                <w:tab w:val="left" w:pos="709"/>
              </w:tabs>
              <w:rPr>
                <w:sz w:val="20"/>
              </w:rPr>
            </w:pPr>
            <w:r>
              <w:rPr>
                <w:sz w:val="20"/>
              </w:rPr>
              <w:t>EVKC - ekologicky významný krajinný celek</w:t>
            </w:r>
          </w:p>
          <w:p w14:paraId="50F0C6C2" w14:textId="77777777" w:rsidR="00E42A45" w:rsidRPr="002D7515" w:rsidRDefault="00E42A45" w:rsidP="00BB63DF">
            <w:pPr>
              <w:pStyle w:val="Nadpis6"/>
            </w:pPr>
            <w:r w:rsidRPr="002D7515">
              <w:t>EVKO - ekologicky významná krajinná oblast</w:t>
            </w:r>
          </w:p>
          <w:p w14:paraId="4005E8ED"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3DC5ADE1" w14:textId="77777777" w:rsidR="00E42A45" w:rsidRDefault="00E42A45" w:rsidP="00BB63DF">
            <w:pPr>
              <w:tabs>
                <w:tab w:val="left" w:pos="709"/>
              </w:tabs>
              <w:rPr>
                <w:b/>
              </w:rPr>
            </w:pPr>
            <w:r>
              <w:rPr>
                <w:b/>
              </w:rPr>
              <w:t>Biogeografický význam</w:t>
            </w:r>
          </w:p>
          <w:p w14:paraId="63AC6C26" w14:textId="77777777" w:rsidR="00E42A45" w:rsidRDefault="00E42A45" w:rsidP="00BB63DF">
            <w:pPr>
              <w:tabs>
                <w:tab w:val="left" w:pos="709"/>
              </w:tabs>
              <w:rPr>
                <w:sz w:val="20"/>
              </w:rPr>
            </w:pPr>
            <w:r>
              <w:t xml:space="preserve">       </w:t>
            </w:r>
            <w:r>
              <w:rPr>
                <w:sz w:val="20"/>
              </w:rPr>
              <w:t>-</w:t>
            </w:r>
            <w:r>
              <w:rPr>
                <w:b/>
                <w:sz w:val="20"/>
                <w:u w:val="single"/>
              </w:rPr>
              <w:t xml:space="preserve"> </w:t>
            </w:r>
            <w:r>
              <w:rPr>
                <w:sz w:val="20"/>
              </w:rPr>
              <w:t xml:space="preserve">lokální </w:t>
            </w:r>
          </w:p>
          <w:p w14:paraId="68BDDEB8" w14:textId="77777777" w:rsidR="00E42A45" w:rsidRDefault="00E42A45" w:rsidP="00BB63DF">
            <w:pPr>
              <w:tabs>
                <w:tab w:val="left" w:pos="709"/>
              </w:tabs>
              <w:ind w:left="345"/>
            </w:pPr>
            <w:r>
              <w:t xml:space="preserve"> </w:t>
            </w:r>
            <w:r>
              <w:rPr>
                <w:b/>
              </w:rPr>
              <w:t>- regionální, reprezentativní</w:t>
            </w:r>
          </w:p>
          <w:p w14:paraId="57162EC8" w14:textId="77777777" w:rsidR="00E42A45" w:rsidRDefault="00E42A45" w:rsidP="00BB63DF">
            <w:pPr>
              <w:tabs>
                <w:tab w:val="left" w:pos="709"/>
              </w:tabs>
              <w:ind w:left="345"/>
              <w:rPr>
                <w:sz w:val="20"/>
              </w:rPr>
            </w:pPr>
            <w:r>
              <w:t xml:space="preserve"> </w:t>
            </w:r>
            <w:r>
              <w:rPr>
                <w:sz w:val="20"/>
              </w:rPr>
              <w:t>- nadregionální</w:t>
            </w:r>
          </w:p>
        </w:tc>
        <w:tc>
          <w:tcPr>
            <w:tcW w:w="3536" w:type="dxa"/>
            <w:shd w:val="clear" w:color="auto" w:fill="FFFFFF"/>
          </w:tcPr>
          <w:p w14:paraId="090D84C1" w14:textId="77777777" w:rsidR="00E42A45" w:rsidRDefault="00E42A45" w:rsidP="00BB63DF">
            <w:pPr>
              <w:tabs>
                <w:tab w:val="left" w:pos="709"/>
              </w:tabs>
              <w:rPr>
                <w:b/>
                <w:sz w:val="18"/>
              </w:rPr>
            </w:pPr>
            <w:r>
              <w:rPr>
                <w:b/>
                <w:sz w:val="18"/>
              </w:rPr>
              <w:t>Stav</w:t>
            </w:r>
          </w:p>
          <w:p w14:paraId="66AA8846" w14:textId="77777777" w:rsidR="00E42A45" w:rsidRDefault="00E42A45" w:rsidP="00BB63DF">
            <w:pPr>
              <w:tabs>
                <w:tab w:val="left" w:pos="709"/>
              </w:tabs>
              <w:ind w:left="405"/>
            </w:pPr>
            <w:r>
              <w:rPr>
                <w:b/>
              </w:rPr>
              <w:t>-  funkčně vymezený</w:t>
            </w:r>
          </w:p>
          <w:p w14:paraId="373ACD0E" w14:textId="77777777" w:rsidR="00E42A45" w:rsidRDefault="00E42A45" w:rsidP="00BB63DF">
            <w:pPr>
              <w:tabs>
                <w:tab w:val="left" w:pos="709"/>
              </w:tabs>
              <w:rPr>
                <w:sz w:val="20"/>
              </w:rPr>
            </w:pPr>
            <w:r>
              <w:t xml:space="preserve">       </w:t>
            </w:r>
            <w:r>
              <w:rPr>
                <w:sz w:val="20"/>
              </w:rPr>
              <w:t xml:space="preserve">-  semifunkční    </w:t>
            </w:r>
          </w:p>
          <w:p w14:paraId="65D973F1" w14:textId="77777777" w:rsidR="00E42A45" w:rsidRDefault="00E42A45" w:rsidP="00BB63DF">
            <w:pPr>
              <w:tabs>
                <w:tab w:val="left" w:pos="709"/>
              </w:tabs>
            </w:pPr>
            <w:r>
              <w:rPr>
                <w:sz w:val="20"/>
              </w:rPr>
              <w:t xml:space="preserve">        -  navržený</w:t>
            </w:r>
          </w:p>
        </w:tc>
      </w:tr>
      <w:tr w:rsidR="00E42A45" w14:paraId="1DBAE268" w14:textId="77777777" w:rsidTr="00BB63DF">
        <w:tc>
          <w:tcPr>
            <w:tcW w:w="7072" w:type="dxa"/>
            <w:shd w:val="clear" w:color="auto" w:fill="FFFFFF"/>
          </w:tcPr>
          <w:p w14:paraId="10798543" w14:textId="77777777" w:rsidR="00E42A45" w:rsidRDefault="00E42A45" w:rsidP="00BB63DF">
            <w:pPr>
              <w:tabs>
                <w:tab w:val="left" w:pos="709"/>
              </w:tabs>
              <w:rPr>
                <w:b/>
                <w:sz w:val="18"/>
              </w:rPr>
            </w:pPr>
            <w:r>
              <w:rPr>
                <w:b/>
                <w:sz w:val="18"/>
              </w:rPr>
              <w:t>Geobiocenologická typizace (vegetační stupeň, trofická řada, hydrická řada)</w:t>
            </w:r>
          </w:p>
          <w:p w14:paraId="20FA04ED" w14:textId="77777777" w:rsidR="00E42A45" w:rsidRDefault="00E42A45" w:rsidP="00BB63DF">
            <w:pPr>
              <w:tabs>
                <w:tab w:val="left" w:pos="709"/>
              </w:tabs>
            </w:pPr>
            <w:r>
              <w:t xml:space="preserve">                       3AB3, 4AB2, 5A1, 4A1     </w:t>
            </w:r>
          </w:p>
        </w:tc>
        <w:tc>
          <w:tcPr>
            <w:tcW w:w="7072" w:type="dxa"/>
            <w:gridSpan w:val="2"/>
            <w:shd w:val="clear" w:color="auto" w:fill="FFFFFF"/>
          </w:tcPr>
          <w:p w14:paraId="329BCAAB" w14:textId="77777777" w:rsidR="00E42A45" w:rsidRDefault="00E42A45" w:rsidP="00BB63DF">
            <w:pPr>
              <w:tabs>
                <w:tab w:val="left" w:pos="709"/>
              </w:tabs>
            </w:pPr>
          </w:p>
        </w:tc>
      </w:tr>
      <w:tr w:rsidR="00E42A45" w14:paraId="797FEA1B" w14:textId="77777777" w:rsidTr="00BB63DF">
        <w:tc>
          <w:tcPr>
            <w:tcW w:w="14144" w:type="dxa"/>
            <w:gridSpan w:val="3"/>
            <w:shd w:val="clear" w:color="auto" w:fill="FFFFFF"/>
          </w:tcPr>
          <w:p w14:paraId="258C72EB" w14:textId="77777777" w:rsidR="00E42A45" w:rsidRDefault="00E42A45" w:rsidP="00BB63DF">
            <w:pPr>
              <w:tabs>
                <w:tab w:val="left" w:pos="709"/>
              </w:tabs>
            </w:pPr>
            <w:r>
              <w:rPr>
                <w:b/>
                <w:sz w:val="18"/>
              </w:rPr>
              <w:t>Charakter ekotopu a bioty</w:t>
            </w:r>
            <w:r>
              <w:t xml:space="preserve">  </w:t>
            </w:r>
          </w:p>
          <w:p w14:paraId="1821719F" w14:textId="77777777" w:rsidR="00E42A45" w:rsidRDefault="00E42A45" w:rsidP="00BB63DF">
            <w:pPr>
              <w:tabs>
                <w:tab w:val="left" w:pos="709"/>
              </w:tabs>
              <w:rPr>
                <w:sz w:val="20"/>
              </w:rPr>
            </w:pPr>
            <w:r>
              <w:rPr>
                <w:sz w:val="20"/>
              </w:rPr>
              <w:t>Část regionálního biocentra na trase nadregionálního biokoridoru, vymezené na levém břehu Labe, spadající do řešeného území. Lesní porosty na převážně východně exponovaných svazích se sklonem převážně cca 50 %.  Nadmořská výška lokality se pohybuje od 120 do 400 m.   Reliéf svahů je výrazně zvlněný s četnými údolími (ústí přítoků Labe), hřbety, terénními stupni a zářezy.  Dominantou lokality jsou skalní pískovcové výchozy v liniových formacích vesměs kopírující trasu Labe  i rozptýleně.  Z ekologického hlediska (troficita, hydricita) je biocentrum výrazně heterogenní. Součástí lokality je řeka Labe a řada levostranných přítoků. Charakter přítoků je vesměs přírodní bez významnější regulačních zásahů. Oproti tomu je řeka Labe, zvláště v jižní části lokality, silně regulovaná s ohledem na splavnost koryta.   Podél vodních toků vznikají polopropustné až nepropustné bariéry z důvodu změny hydrického gradientu</w:t>
            </w:r>
          </w:p>
          <w:p w14:paraId="5610A8D7" w14:textId="77777777" w:rsidR="00E42A45" w:rsidRDefault="00E42A45" w:rsidP="00BB63DF">
            <w:pPr>
              <w:tabs>
                <w:tab w:val="left" w:pos="709"/>
              </w:tabs>
              <w:rPr>
                <w:sz w:val="20"/>
              </w:rPr>
            </w:pPr>
          </w:p>
          <w:p w14:paraId="582A3644" w14:textId="77777777" w:rsidR="00E42A45" w:rsidRDefault="00E42A45" w:rsidP="00BB63DF">
            <w:pPr>
              <w:tabs>
                <w:tab w:val="left" w:pos="709"/>
              </w:tabs>
              <w:rPr>
                <w:sz w:val="20"/>
              </w:rPr>
            </w:pPr>
            <w:r>
              <w:rPr>
                <w:sz w:val="20"/>
              </w:rPr>
              <w:t xml:space="preserve">Tytéž bariéry vznikají s ohledem na změnu gradientu troficity i hydricity podél skalních útvarů.                                                                                                         SES =  3-5   </w:t>
            </w:r>
          </w:p>
          <w:p w14:paraId="6670B9B3" w14:textId="77777777" w:rsidR="00E42A45" w:rsidRDefault="00E42A45" w:rsidP="00BB63DF">
            <w:pPr>
              <w:tabs>
                <w:tab w:val="left" w:pos="709"/>
              </w:tabs>
              <w:rPr>
                <w:sz w:val="20"/>
              </w:rPr>
            </w:pPr>
            <w:r>
              <w:rPr>
                <w:sz w:val="20"/>
              </w:rPr>
              <w:t xml:space="preserve">Lesní porost je tvořen následujícími dřevinami: </w:t>
            </w:r>
          </w:p>
          <w:p w14:paraId="0D90F08E" w14:textId="77777777" w:rsidR="00E42A45" w:rsidRDefault="00E42A45" w:rsidP="00BB63DF">
            <w:pPr>
              <w:tabs>
                <w:tab w:val="left" w:pos="709"/>
              </w:tabs>
              <w:rPr>
                <w:sz w:val="20"/>
              </w:rPr>
            </w:pPr>
            <w:r>
              <w:rPr>
                <w:sz w:val="20"/>
              </w:rPr>
              <w:t>102/B - BK, SM, BR, MD, BO, HB, KL                                                        102/C - BK, SM, BR, MD, BO, HB, KL, TR, JS, OL, JR</w:t>
            </w:r>
          </w:p>
          <w:p w14:paraId="0C6939FA" w14:textId="77777777" w:rsidR="00E42A45" w:rsidRDefault="00E42A45" w:rsidP="00BB63DF">
            <w:pPr>
              <w:tabs>
                <w:tab w:val="left" w:pos="709"/>
              </w:tabs>
              <w:rPr>
                <w:sz w:val="20"/>
              </w:rPr>
            </w:pPr>
            <w:r>
              <w:rPr>
                <w:sz w:val="20"/>
              </w:rPr>
              <w:t>102/C - BK, SM, BR, MD, BO, HB, KL, OL, JR                                          103/A - BK, SM, BR, MD, BO, HB, KL, JS, LP</w:t>
            </w:r>
          </w:p>
          <w:p w14:paraId="3BE1DCC0" w14:textId="77777777" w:rsidR="00E42A45" w:rsidRDefault="00E42A45" w:rsidP="00BB63DF">
            <w:pPr>
              <w:tabs>
                <w:tab w:val="left" w:pos="709"/>
              </w:tabs>
              <w:rPr>
                <w:sz w:val="20"/>
              </w:rPr>
            </w:pPr>
            <w:r>
              <w:rPr>
                <w:sz w:val="20"/>
              </w:rPr>
              <w:t>103/F - SM, BO, BK, BR, OL                                                                      103/G - SM, BO, BK, KL</w:t>
            </w:r>
          </w:p>
          <w:p w14:paraId="62DE7CAD" w14:textId="77777777" w:rsidR="00E42A45" w:rsidRDefault="00E42A45" w:rsidP="00BB63DF">
            <w:pPr>
              <w:tabs>
                <w:tab w:val="left" w:pos="709"/>
              </w:tabs>
              <w:rPr>
                <w:sz w:val="20"/>
              </w:rPr>
            </w:pPr>
            <w:r>
              <w:rPr>
                <w:sz w:val="20"/>
              </w:rPr>
              <w:t>104/A - BK, SM, BR, MD, BO, HB, KL, JS, JDO, JR                                  104/B - SM, DB, BO, VJ, BK, DBC, BR, MD</w:t>
            </w:r>
          </w:p>
          <w:p w14:paraId="0C61EB44" w14:textId="77777777" w:rsidR="00E42A45" w:rsidRDefault="00E42A45" w:rsidP="00BB63DF">
            <w:pPr>
              <w:tabs>
                <w:tab w:val="left" w:pos="709"/>
              </w:tabs>
              <w:rPr>
                <w:sz w:val="20"/>
              </w:rPr>
            </w:pPr>
            <w:r>
              <w:rPr>
                <w:sz w:val="20"/>
              </w:rPr>
              <w:t>104/C - BR, BO, MD, VJ, DBC, BK, SM                                                     119/C - BR, BO, MD, VJ, BK, SM</w:t>
            </w:r>
          </w:p>
          <w:p w14:paraId="238B5131" w14:textId="77777777" w:rsidR="00E42A45" w:rsidRDefault="00E42A45" w:rsidP="00BB63DF">
            <w:pPr>
              <w:tabs>
                <w:tab w:val="left" w:pos="709"/>
              </w:tabs>
              <w:rPr>
                <w:sz w:val="20"/>
              </w:rPr>
            </w:pPr>
            <w:r>
              <w:rPr>
                <w:sz w:val="20"/>
              </w:rPr>
              <w:t>105/A - BK, SM, BR, MD, BO, HB                                                              105/B - BO, VJ, BK, SM, MD, BR</w:t>
            </w:r>
          </w:p>
          <w:p w14:paraId="32B69533" w14:textId="77777777" w:rsidR="00E42A45" w:rsidRDefault="00E42A45" w:rsidP="00BB63DF">
            <w:pPr>
              <w:tabs>
                <w:tab w:val="left" w:pos="709"/>
              </w:tabs>
              <w:rPr>
                <w:sz w:val="20"/>
              </w:rPr>
            </w:pPr>
            <w:r>
              <w:rPr>
                <w:sz w:val="20"/>
              </w:rPr>
              <w:t xml:space="preserve">106/A - BR, BO, MD, VJ, DBC, BK, SM                                                     106/B - BR, BO, MD, HB, DBC, BK, SM </w:t>
            </w:r>
          </w:p>
          <w:p w14:paraId="21869B8C" w14:textId="77777777" w:rsidR="00E42A45" w:rsidRDefault="00E42A45" w:rsidP="00BB63DF">
            <w:pPr>
              <w:tabs>
                <w:tab w:val="left" w:pos="709"/>
              </w:tabs>
              <w:rPr>
                <w:sz w:val="20"/>
              </w:rPr>
            </w:pPr>
            <w:r>
              <w:rPr>
                <w:sz w:val="20"/>
              </w:rPr>
              <w:t>106/C - BR, BO, MD,  DBC, BK, SM, HB, KL, OS, DB                               106/D - SM, BK, BR, MD</w:t>
            </w:r>
          </w:p>
          <w:p w14:paraId="440A116A" w14:textId="77777777" w:rsidR="00E42A45" w:rsidRDefault="00E42A45" w:rsidP="00BB63DF">
            <w:pPr>
              <w:tabs>
                <w:tab w:val="left" w:pos="709"/>
              </w:tabs>
              <w:rPr>
                <w:sz w:val="20"/>
              </w:rPr>
            </w:pPr>
            <w:r>
              <w:rPr>
                <w:sz w:val="20"/>
              </w:rPr>
              <w:t>110/B - BK, SM, BO, MD, BR                                                                     110/C - BK, SM, BO, MD, BR, VJ</w:t>
            </w:r>
          </w:p>
          <w:p w14:paraId="514AFB41" w14:textId="77777777" w:rsidR="00E42A45" w:rsidRDefault="00E42A45" w:rsidP="00BB63DF">
            <w:pPr>
              <w:tabs>
                <w:tab w:val="left" w:pos="709"/>
              </w:tabs>
              <w:rPr>
                <w:sz w:val="20"/>
              </w:rPr>
            </w:pPr>
            <w:r>
              <w:rPr>
                <w:sz w:val="20"/>
              </w:rPr>
              <w:t>111/A - BK, SM, BO, MD, BR, KL, HB, OL                                                 111/B - BK, SM, BO, MD, BR, KL, HB, OL</w:t>
            </w:r>
          </w:p>
          <w:p w14:paraId="4495CE18" w14:textId="77777777" w:rsidR="00E42A45" w:rsidRDefault="00E42A45" w:rsidP="00BB63DF">
            <w:pPr>
              <w:tabs>
                <w:tab w:val="left" w:pos="709"/>
              </w:tabs>
              <w:rPr>
                <w:sz w:val="20"/>
              </w:rPr>
            </w:pPr>
            <w:r>
              <w:rPr>
                <w:sz w:val="20"/>
              </w:rPr>
              <w:t>111/C - BK, SM, BO, MD, BR, KL, HB, OL, VJ                                          111/D - BK, SM, BO, MD, BR, KL, HB, OL, VJ</w:t>
            </w:r>
          </w:p>
          <w:p w14:paraId="4210549F" w14:textId="77777777" w:rsidR="00E42A45" w:rsidRDefault="00E42A45" w:rsidP="00BB63DF">
            <w:pPr>
              <w:tabs>
                <w:tab w:val="left" w:pos="709"/>
              </w:tabs>
              <w:rPr>
                <w:sz w:val="20"/>
              </w:rPr>
            </w:pPr>
            <w:r>
              <w:rPr>
                <w:sz w:val="20"/>
              </w:rPr>
              <w:t>111/F - BK, SM, BO, MD, BR, KL, HB, OL, VJ                                           160/A - KL, JS, BK, SM, DB, HB, BR, BO, MD</w:t>
            </w:r>
          </w:p>
          <w:p w14:paraId="078B32CE" w14:textId="77777777" w:rsidR="00E42A45" w:rsidRDefault="00E42A45" w:rsidP="00BB63DF">
            <w:pPr>
              <w:tabs>
                <w:tab w:val="left" w:pos="709"/>
              </w:tabs>
              <w:rPr>
                <w:sz w:val="20"/>
              </w:rPr>
            </w:pPr>
            <w:r>
              <w:rPr>
                <w:sz w:val="20"/>
              </w:rPr>
              <w:t>160/B - KL, DBC, BK, SM, DB, BR, BO, MD                                              160/C - KL,  BK, SM, DB,  BR, BO, MD</w:t>
            </w:r>
          </w:p>
          <w:p w14:paraId="0228B08D" w14:textId="77777777" w:rsidR="00E42A45" w:rsidRDefault="00E42A45" w:rsidP="00BB63DF">
            <w:pPr>
              <w:tabs>
                <w:tab w:val="left" w:pos="709"/>
              </w:tabs>
              <w:rPr>
                <w:sz w:val="20"/>
              </w:rPr>
            </w:pPr>
            <w:r>
              <w:rPr>
                <w:sz w:val="20"/>
              </w:rPr>
              <w:t xml:space="preserve">160/D - HB, LP, DB, BR                                                                               61/A - SM, BO, MD, BR </w:t>
            </w:r>
          </w:p>
          <w:p w14:paraId="6E09CF09" w14:textId="77777777" w:rsidR="00E42A45" w:rsidRDefault="00E42A45" w:rsidP="00BB63DF">
            <w:pPr>
              <w:tabs>
                <w:tab w:val="left" w:pos="709"/>
              </w:tabs>
              <w:rPr>
                <w:sz w:val="20"/>
              </w:rPr>
            </w:pPr>
            <w:r>
              <w:rPr>
                <w:sz w:val="20"/>
              </w:rPr>
              <w:lastRenderedPageBreak/>
              <w:t>159/A - SM, BO, MD, BR, VJ, BK, SMP                                                     158/A - DB, HB, BR</w:t>
            </w:r>
          </w:p>
          <w:p w14:paraId="095886DC" w14:textId="77777777" w:rsidR="00E42A45" w:rsidRDefault="00E42A45" w:rsidP="00BB63DF">
            <w:pPr>
              <w:tabs>
                <w:tab w:val="left" w:pos="709"/>
              </w:tabs>
            </w:pPr>
            <w:r>
              <w:rPr>
                <w:sz w:val="20"/>
              </w:rPr>
              <w:t>158/B - SM, BO, MD, BR, BK, HB</w:t>
            </w:r>
          </w:p>
          <w:p w14:paraId="243A5069" w14:textId="77777777" w:rsidR="00E42A45" w:rsidRDefault="00E42A45" w:rsidP="00BB63DF">
            <w:pPr>
              <w:tabs>
                <w:tab w:val="left" w:pos="709"/>
              </w:tabs>
              <w:rPr>
                <w:sz w:val="20"/>
              </w:rPr>
            </w:pPr>
            <w:r>
              <w:rPr>
                <w:sz w:val="20"/>
              </w:rPr>
              <w:t>Nejčastěji zastoupené SLT:        3K - kyselá dbBK                                          3N - kamenitá kys. db BK</w:t>
            </w:r>
          </w:p>
          <w:p w14:paraId="6C2B7F3E" w14:textId="77777777" w:rsidR="00E42A45" w:rsidRDefault="00E42A45" w:rsidP="00BB63DF">
            <w:pPr>
              <w:tabs>
                <w:tab w:val="left" w:pos="709"/>
              </w:tabs>
              <w:rPr>
                <w:sz w:val="20"/>
              </w:rPr>
            </w:pPr>
            <w:r>
              <w:rPr>
                <w:sz w:val="20"/>
              </w:rPr>
              <w:t xml:space="preserve">                                                    0K - kyselý (dbbk) bor                                  0N  - smrkový bor údol0Y  - roklinový bor                                        </w:t>
            </w:r>
          </w:p>
          <w:p w14:paraId="5BBD6914" w14:textId="77777777" w:rsidR="00E42A45" w:rsidRDefault="00E42A45" w:rsidP="00BB63DF">
            <w:pPr>
              <w:tabs>
                <w:tab w:val="left" w:pos="709"/>
              </w:tabs>
              <w:rPr>
                <w:sz w:val="20"/>
              </w:rPr>
            </w:pPr>
            <w:r>
              <w:rPr>
                <w:sz w:val="20"/>
              </w:rPr>
              <w:t xml:space="preserve">                                                    0Z - reliktní bor                                            </w:t>
            </w:r>
          </w:p>
          <w:p w14:paraId="0C751257" w14:textId="77777777" w:rsidR="00E42A45" w:rsidRDefault="00E42A45" w:rsidP="00BB63DF">
            <w:pPr>
              <w:tabs>
                <w:tab w:val="left" w:pos="709"/>
              </w:tabs>
              <w:rPr>
                <w:sz w:val="20"/>
              </w:rPr>
            </w:pPr>
            <w:r>
              <w:rPr>
                <w:sz w:val="20"/>
              </w:rPr>
              <w:t xml:space="preserve">Geol.: Podzol výrazný i nevýrazný, hnědé půdy rašelinné podzolované oligotrofní, </w:t>
            </w:r>
          </w:p>
          <w:p w14:paraId="024D4091" w14:textId="77777777" w:rsidR="00E42A45" w:rsidRDefault="00E42A45" w:rsidP="00BB63DF">
            <w:pPr>
              <w:tabs>
                <w:tab w:val="left" w:pos="709"/>
              </w:tabs>
              <w:rPr>
                <w:i/>
                <w:sz w:val="20"/>
              </w:rPr>
            </w:pPr>
            <w:r>
              <w:rPr>
                <w:sz w:val="20"/>
              </w:rPr>
              <w:t xml:space="preserve">Bot.: </w:t>
            </w:r>
            <w:r>
              <w:rPr>
                <w:i/>
                <w:sz w:val="20"/>
              </w:rPr>
              <w:t xml:space="preserve">Vaccinium myrtillus, Vaccinium vitis idaea,  Dicranum scoparium, Calamagrostis villosa, Dryopteris spinulosa ,  Sphagnum sp.,      </w:t>
            </w:r>
          </w:p>
          <w:p w14:paraId="68B2AD8D" w14:textId="77777777" w:rsidR="00E42A45" w:rsidRPr="000F301A" w:rsidRDefault="00E42A45" w:rsidP="00BB63DF">
            <w:pPr>
              <w:tabs>
                <w:tab w:val="left" w:pos="709"/>
              </w:tabs>
              <w:rPr>
                <w:i/>
                <w:sz w:val="20"/>
              </w:rPr>
            </w:pPr>
            <w:r>
              <w:rPr>
                <w:i/>
                <w:sz w:val="20"/>
              </w:rPr>
              <w:t xml:space="preserve">        Trientaliseuropea, Deschampsia flexuosa, Blechnum spicant, Carex sp.,  </w:t>
            </w:r>
          </w:p>
          <w:p w14:paraId="29B8E0E1" w14:textId="77777777" w:rsidR="00E42A45" w:rsidRDefault="00E42A45" w:rsidP="00BB63DF">
            <w:pPr>
              <w:tabs>
                <w:tab w:val="left" w:pos="709"/>
              </w:tabs>
              <w:rPr>
                <w:b/>
                <w:sz w:val="20"/>
              </w:rPr>
            </w:pPr>
            <w:r>
              <w:rPr>
                <w:b/>
                <w:sz w:val="20"/>
              </w:rPr>
              <w:t xml:space="preserve">Návrh opatření :     </w:t>
            </w:r>
          </w:p>
          <w:p w14:paraId="3497DC60" w14:textId="77777777" w:rsidR="00E42A45" w:rsidRDefault="00E42A45" w:rsidP="00BB63DF">
            <w:pPr>
              <w:tabs>
                <w:tab w:val="left" w:pos="709"/>
              </w:tabs>
              <w:rPr>
                <w:b/>
                <w:sz w:val="20"/>
              </w:rPr>
            </w:pPr>
            <w:r>
              <w:rPr>
                <w:b/>
                <w:sz w:val="20"/>
              </w:rPr>
              <w:t>Dřeviny přirozené rekonstruované skladby podle SLT:                                                                         3K -BK6, DB3, JD1               3N - BK6, DB3, JD1, LP</w:t>
            </w:r>
          </w:p>
          <w:p w14:paraId="40EE1109" w14:textId="77777777" w:rsidR="00E42A45" w:rsidRPr="002D7515" w:rsidRDefault="00E42A45" w:rsidP="00BB63DF">
            <w:pPr>
              <w:pStyle w:val="Nadpis7"/>
            </w:pPr>
            <w:r w:rsidRPr="002D7515">
              <w:t xml:space="preserve">                                                 0K - BO8, DB1, BK1                          0N - BO5, SM4, BR1, BK                0Y - BO9, BR1, DB                0Z - BO9, BR1, DB</w:t>
            </w:r>
          </w:p>
          <w:p w14:paraId="08106F06" w14:textId="77777777" w:rsidR="00E42A45" w:rsidRDefault="00E42A45" w:rsidP="00BB63DF">
            <w:pPr>
              <w:tabs>
                <w:tab w:val="left" w:pos="709"/>
              </w:tabs>
            </w:pPr>
            <w:r>
              <w:rPr>
                <w:b/>
                <w:sz w:val="20"/>
              </w:rPr>
              <w:t>Opatření v porostu ve smyslu Generelu rekonstrukce, který je promítnut v platném LHP, s  náhradou dřevin mimo přirozenou dřevinnou skladbu   -  výchovná opatření.</w:t>
            </w:r>
            <w:r>
              <w:t xml:space="preserve">                                </w:t>
            </w:r>
          </w:p>
        </w:tc>
      </w:tr>
      <w:tr w:rsidR="00E42A45" w14:paraId="2F3089B8" w14:textId="77777777" w:rsidTr="00BB63DF">
        <w:tc>
          <w:tcPr>
            <w:tcW w:w="7072" w:type="dxa"/>
            <w:shd w:val="clear" w:color="auto" w:fill="FFFFFF"/>
          </w:tcPr>
          <w:p w14:paraId="3B44FF1A" w14:textId="77777777" w:rsidR="00E42A45" w:rsidRDefault="00E42A45" w:rsidP="00BB63DF">
            <w:pPr>
              <w:tabs>
                <w:tab w:val="left" w:pos="709"/>
              </w:tabs>
              <w:rPr>
                <w:sz w:val="18"/>
              </w:rPr>
            </w:pPr>
            <w:r>
              <w:rPr>
                <w:sz w:val="18"/>
              </w:rPr>
              <w:lastRenderedPageBreak/>
              <w:t>Vymezení        LS  Sněžník, 102/B-D,  103/A,F,G  104/A-C, 119/C,  105/A,B</w:t>
            </w:r>
          </w:p>
          <w:p w14:paraId="60FB547F" w14:textId="77777777" w:rsidR="00E42A45" w:rsidRDefault="00E42A45" w:rsidP="00BB63DF">
            <w:pPr>
              <w:tabs>
                <w:tab w:val="left" w:pos="709"/>
              </w:tabs>
              <w:rPr>
                <w:sz w:val="18"/>
              </w:rPr>
            </w:pPr>
            <w:r>
              <w:rPr>
                <w:sz w:val="18"/>
              </w:rPr>
              <w:t xml:space="preserve">                       106/A-D, 110/B,C,  111/A-E,  160/A-D,  161/A,  159/A,  158/A,B   </w:t>
            </w:r>
          </w:p>
          <w:p w14:paraId="24E573FD" w14:textId="77777777" w:rsidR="00E42A45" w:rsidRDefault="00E42A45" w:rsidP="00BB63DF">
            <w:pPr>
              <w:tabs>
                <w:tab w:val="left" w:pos="709"/>
              </w:tabs>
              <w:rPr>
                <w:sz w:val="18"/>
              </w:rPr>
            </w:pPr>
          </w:p>
        </w:tc>
        <w:tc>
          <w:tcPr>
            <w:tcW w:w="7072" w:type="dxa"/>
            <w:gridSpan w:val="2"/>
            <w:shd w:val="clear" w:color="auto" w:fill="FFFFFF"/>
          </w:tcPr>
          <w:p w14:paraId="119F8150" w14:textId="77777777" w:rsidR="00E42A45" w:rsidRDefault="00E42A45" w:rsidP="00BB63DF">
            <w:pPr>
              <w:tabs>
                <w:tab w:val="left" w:pos="709"/>
              </w:tabs>
              <w:rPr>
                <w:sz w:val="18"/>
              </w:rPr>
            </w:pPr>
            <w:r>
              <w:rPr>
                <w:sz w:val="18"/>
              </w:rPr>
              <w:t xml:space="preserve">Kultura               les, ost.pl., louka, pastvina, vod.pl, zaharda </w:t>
            </w:r>
          </w:p>
        </w:tc>
      </w:tr>
      <w:tr w:rsidR="00E42A45" w14:paraId="44253A49" w14:textId="77777777" w:rsidTr="00BB63DF">
        <w:tc>
          <w:tcPr>
            <w:tcW w:w="7072" w:type="dxa"/>
            <w:shd w:val="clear" w:color="auto" w:fill="FFFFFF"/>
          </w:tcPr>
          <w:p w14:paraId="74201F66" w14:textId="77777777" w:rsidR="00E42A45" w:rsidRDefault="00E42A45" w:rsidP="00BB63DF">
            <w:pPr>
              <w:tabs>
                <w:tab w:val="left" w:pos="709"/>
              </w:tabs>
              <w:rPr>
                <w:sz w:val="18"/>
              </w:rPr>
            </w:pPr>
            <w:r>
              <w:rPr>
                <w:sz w:val="18"/>
              </w:rPr>
              <w:t>Uživatel                                                     LČR</w:t>
            </w:r>
          </w:p>
          <w:p w14:paraId="0F6177CE" w14:textId="77777777" w:rsidR="00E42A45" w:rsidRDefault="00E42A45" w:rsidP="00BB63DF">
            <w:pPr>
              <w:tabs>
                <w:tab w:val="left" w:pos="709"/>
              </w:tabs>
              <w:rPr>
                <w:sz w:val="18"/>
              </w:rPr>
            </w:pPr>
          </w:p>
        </w:tc>
        <w:tc>
          <w:tcPr>
            <w:tcW w:w="7072" w:type="dxa"/>
            <w:gridSpan w:val="2"/>
            <w:shd w:val="clear" w:color="auto" w:fill="FFFFFF"/>
          </w:tcPr>
          <w:p w14:paraId="293DD51B" w14:textId="77777777" w:rsidR="00E42A45" w:rsidRDefault="00E42A45" w:rsidP="00BB63DF">
            <w:pPr>
              <w:tabs>
                <w:tab w:val="left" w:pos="709"/>
              </w:tabs>
              <w:rPr>
                <w:sz w:val="18"/>
              </w:rPr>
            </w:pPr>
            <w:r>
              <w:rPr>
                <w:sz w:val="18"/>
              </w:rPr>
              <w:t>Mapovatel         Sklenička, Linhart, 1997</w:t>
            </w:r>
          </w:p>
        </w:tc>
      </w:tr>
      <w:tr w:rsidR="00E42A45" w14:paraId="2CBB9B63" w14:textId="77777777" w:rsidTr="00BB63DF">
        <w:tc>
          <w:tcPr>
            <w:tcW w:w="14144" w:type="dxa"/>
            <w:gridSpan w:val="3"/>
            <w:shd w:val="clear" w:color="auto" w:fill="FFFFFF"/>
          </w:tcPr>
          <w:p w14:paraId="6339D550" w14:textId="77777777" w:rsidR="00E42A45" w:rsidRDefault="00E42A45" w:rsidP="00BB63DF">
            <w:pPr>
              <w:tabs>
                <w:tab w:val="left" w:pos="709"/>
              </w:tabs>
            </w:pPr>
            <w:r>
              <w:rPr>
                <w:sz w:val="18"/>
              </w:rPr>
              <w:t>Kategorie ochrany, rok vyhlášení</w:t>
            </w:r>
          </w:p>
          <w:p w14:paraId="3CB95340" w14:textId="77777777" w:rsidR="00E42A45" w:rsidRDefault="00E42A45" w:rsidP="00BB63DF">
            <w:pPr>
              <w:tabs>
                <w:tab w:val="left" w:pos="709"/>
              </w:tabs>
              <w:rPr>
                <w:b/>
                <w:sz w:val="20"/>
              </w:rPr>
            </w:pPr>
            <w:r>
              <w:t xml:space="preserve">                                                                                  </w:t>
            </w:r>
            <w:r>
              <w:rPr>
                <w:b/>
                <w:sz w:val="20"/>
              </w:rPr>
              <w:t>CHKO Labské Pískovce - I., II., IV. zóna</w:t>
            </w:r>
          </w:p>
        </w:tc>
      </w:tr>
    </w:tbl>
    <w:p w14:paraId="3444F657" w14:textId="77777777" w:rsidR="00E42A45" w:rsidRDefault="00E42A45" w:rsidP="00CA23D0">
      <w:pPr>
        <w:jc w:val="both"/>
        <w:rPr>
          <w:rFonts w:ascii="Arial" w:hAnsi="Arial" w:cs="Arial"/>
          <w:sz w:val="22"/>
        </w:rPr>
      </w:pPr>
    </w:p>
    <w:p w14:paraId="54AB251F" w14:textId="77777777" w:rsidR="00E42A45" w:rsidRDefault="00E42A45" w:rsidP="00CA23D0">
      <w:pPr>
        <w:jc w:val="both"/>
        <w:rPr>
          <w:rFonts w:ascii="Arial" w:hAnsi="Arial" w:cs="Arial"/>
          <w:sz w:val="22"/>
        </w:rPr>
      </w:pPr>
    </w:p>
    <w:p w14:paraId="44BBF4F9" w14:textId="77777777" w:rsidR="00E42A45" w:rsidRDefault="00E42A45" w:rsidP="00CA23D0">
      <w:pPr>
        <w:jc w:val="both"/>
        <w:rPr>
          <w:rFonts w:ascii="Arial" w:hAnsi="Arial" w:cs="Arial"/>
          <w:sz w:val="22"/>
        </w:rPr>
      </w:pPr>
    </w:p>
    <w:p w14:paraId="79B1BEB5" w14:textId="77777777" w:rsidR="00E42A45" w:rsidRDefault="00E42A45" w:rsidP="00CA23D0">
      <w:pPr>
        <w:jc w:val="both"/>
        <w:rPr>
          <w:rFonts w:ascii="Arial" w:hAnsi="Arial" w:cs="Arial"/>
          <w:sz w:val="22"/>
        </w:rPr>
      </w:pPr>
    </w:p>
    <w:p w14:paraId="32EE262F" w14:textId="77777777" w:rsidR="00E42A45" w:rsidRDefault="00E42A45" w:rsidP="00CA23D0">
      <w:pPr>
        <w:jc w:val="both"/>
        <w:rPr>
          <w:rFonts w:ascii="Arial" w:hAnsi="Arial" w:cs="Arial"/>
          <w:sz w:val="22"/>
        </w:rPr>
      </w:pPr>
    </w:p>
    <w:p w14:paraId="753B996F" w14:textId="77777777" w:rsidR="00E42A45" w:rsidRDefault="00E42A45" w:rsidP="00CA23D0">
      <w:pPr>
        <w:jc w:val="both"/>
        <w:rPr>
          <w:rFonts w:ascii="Arial" w:hAnsi="Arial" w:cs="Arial"/>
          <w:sz w:val="22"/>
        </w:rPr>
      </w:pPr>
    </w:p>
    <w:p w14:paraId="0A7A38A7" w14:textId="77777777" w:rsidR="00E42A45" w:rsidRDefault="00E42A45" w:rsidP="00CA23D0">
      <w:pPr>
        <w:jc w:val="both"/>
        <w:rPr>
          <w:rFonts w:ascii="Arial" w:hAnsi="Arial" w:cs="Arial"/>
          <w:sz w:val="22"/>
        </w:rPr>
      </w:pPr>
    </w:p>
    <w:p w14:paraId="0DDC25EE" w14:textId="77777777" w:rsidR="00E42A45" w:rsidRDefault="00E42A45" w:rsidP="00CA23D0">
      <w:pPr>
        <w:jc w:val="both"/>
        <w:rPr>
          <w:rFonts w:ascii="Arial" w:hAnsi="Arial" w:cs="Arial"/>
          <w:sz w:val="22"/>
        </w:rPr>
      </w:pPr>
    </w:p>
    <w:p w14:paraId="51A7C4F8" w14:textId="77777777" w:rsidR="00E42A45" w:rsidRDefault="00E42A45" w:rsidP="00CA23D0">
      <w:pPr>
        <w:jc w:val="both"/>
        <w:rPr>
          <w:rFonts w:ascii="Arial" w:hAnsi="Arial" w:cs="Arial"/>
          <w:sz w:val="22"/>
        </w:rPr>
      </w:pPr>
    </w:p>
    <w:p w14:paraId="2C3C5010" w14:textId="77777777" w:rsidR="00E42A45" w:rsidRDefault="00E42A45" w:rsidP="00CA23D0">
      <w:pPr>
        <w:jc w:val="both"/>
        <w:rPr>
          <w:rFonts w:ascii="Arial" w:hAnsi="Arial" w:cs="Arial"/>
          <w:sz w:val="22"/>
        </w:rPr>
      </w:pPr>
    </w:p>
    <w:p w14:paraId="20D833DB" w14:textId="77777777" w:rsidR="00E42A45" w:rsidRDefault="00E42A45" w:rsidP="00CA23D0">
      <w:pPr>
        <w:jc w:val="both"/>
        <w:rPr>
          <w:rFonts w:ascii="Arial" w:hAnsi="Arial" w:cs="Arial"/>
          <w:sz w:val="22"/>
        </w:rPr>
      </w:pPr>
    </w:p>
    <w:p w14:paraId="214A1B52" w14:textId="77777777" w:rsidR="00E42A45" w:rsidRDefault="00E42A45" w:rsidP="00CA23D0">
      <w:pPr>
        <w:jc w:val="both"/>
        <w:rPr>
          <w:rFonts w:ascii="Arial" w:hAnsi="Arial" w:cs="Arial"/>
          <w:sz w:val="22"/>
        </w:rPr>
      </w:pPr>
    </w:p>
    <w:p w14:paraId="3306EC8F" w14:textId="77777777" w:rsidR="00E42A45" w:rsidRDefault="00E42A45" w:rsidP="00CA23D0">
      <w:pPr>
        <w:jc w:val="both"/>
        <w:rPr>
          <w:rFonts w:ascii="Arial" w:hAnsi="Arial" w:cs="Arial"/>
          <w:sz w:val="22"/>
        </w:rPr>
      </w:pPr>
    </w:p>
    <w:p w14:paraId="2BAE06A3" w14:textId="77777777" w:rsidR="00E42A45" w:rsidRDefault="00E42A45" w:rsidP="00CA23D0">
      <w:pPr>
        <w:jc w:val="both"/>
        <w:rPr>
          <w:rFonts w:ascii="Arial" w:hAnsi="Arial" w:cs="Arial"/>
          <w:sz w:val="22"/>
        </w:rPr>
      </w:pPr>
    </w:p>
    <w:p w14:paraId="4E416924" w14:textId="77777777" w:rsidR="00E42A45" w:rsidRDefault="00E42A45" w:rsidP="00CA23D0">
      <w:pPr>
        <w:jc w:val="both"/>
        <w:rPr>
          <w:rFonts w:ascii="Arial" w:hAnsi="Arial" w:cs="Arial"/>
          <w:sz w:val="22"/>
        </w:rPr>
      </w:pPr>
    </w:p>
    <w:p w14:paraId="3E6B6052"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496"/>
        <w:gridCol w:w="40"/>
      </w:tblGrid>
      <w:tr w:rsidR="00E42A45" w14:paraId="05B57E0F" w14:textId="77777777" w:rsidTr="00E42A45">
        <w:tc>
          <w:tcPr>
            <w:tcW w:w="7072" w:type="dxa"/>
            <w:shd w:val="clear" w:color="auto" w:fill="FFFFFF"/>
          </w:tcPr>
          <w:p w14:paraId="385B0640" w14:textId="77777777" w:rsidR="00E42A45" w:rsidRDefault="00E42A45" w:rsidP="00BB63DF">
            <w:pPr>
              <w:tabs>
                <w:tab w:val="left" w:pos="709"/>
              </w:tabs>
              <w:rPr>
                <w:b/>
                <w:sz w:val="18"/>
              </w:rPr>
            </w:pPr>
            <w:r>
              <w:rPr>
                <w:b/>
                <w:sz w:val="18"/>
              </w:rPr>
              <w:lastRenderedPageBreak/>
              <w:t>Pořadové číslo</w:t>
            </w:r>
          </w:p>
          <w:p w14:paraId="170BA4A3" w14:textId="77777777" w:rsidR="00E42A45" w:rsidRDefault="00E42A45" w:rsidP="00BB63DF">
            <w:pPr>
              <w:tabs>
                <w:tab w:val="left" w:pos="709"/>
              </w:tabs>
              <w:rPr>
                <w:b/>
                <w:sz w:val="36"/>
              </w:rPr>
            </w:pPr>
            <w:r>
              <w:rPr>
                <w:b/>
                <w:sz w:val="18"/>
              </w:rPr>
              <w:t xml:space="preserve">                                   </w:t>
            </w:r>
            <w:r>
              <w:rPr>
                <w:b/>
              </w:rPr>
              <w:t xml:space="preserve">                                           </w:t>
            </w:r>
            <w:r>
              <w:rPr>
                <w:b/>
                <w:sz w:val="36"/>
              </w:rPr>
              <w:t>25</w:t>
            </w:r>
          </w:p>
        </w:tc>
        <w:tc>
          <w:tcPr>
            <w:tcW w:w="7072" w:type="dxa"/>
            <w:gridSpan w:val="3"/>
            <w:shd w:val="clear" w:color="auto" w:fill="FFFFFF"/>
          </w:tcPr>
          <w:p w14:paraId="34B7BD75" w14:textId="77777777" w:rsidR="00E42A45" w:rsidRDefault="00E42A45" w:rsidP="00BB63DF">
            <w:pPr>
              <w:tabs>
                <w:tab w:val="left" w:pos="709"/>
              </w:tabs>
              <w:rPr>
                <w:b/>
                <w:sz w:val="18"/>
              </w:rPr>
            </w:pPr>
            <w:r>
              <w:rPr>
                <w:b/>
                <w:sz w:val="18"/>
              </w:rPr>
              <w:t>Katastrální území</w:t>
            </w:r>
          </w:p>
          <w:p w14:paraId="07EC0CD8" w14:textId="77777777" w:rsidR="00E42A45" w:rsidRDefault="00E42A45" w:rsidP="00BB63DF">
            <w:pPr>
              <w:tabs>
                <w:tab w:val="left" w:pos="709"/>
              </w:tabs>
              <w:rPr>
                <w:b/>
                <w:sz w:val="18"/>
              </w:rPr>
            </w:pPr>
            <w:r>
              <w:rPr>
                <w:b/>
                <w:sz w:val="18"/>
              </w:rPr>
              <w:t xml:space="preserve">                                           </w:t>
            </w:r>
            <w:r>
              <w:rPr>
                <w:b/>
              </w:rPr>
              <w:t>Prostřední Žleb</w:t>
            </w:r>
          </w:p>
        </w:tc>
      </w:tr>
      <w:tr w:rsidR="00E42A45" w14:paraId="7076EE81" w14:textId="77777777" w:rsidTr="00E42A45">
        <w:tc>
          <w:tcPr>
            <w:tcW w:w="7072" w:type="dxa"/>
            <w:shd w:val="clear" w:color="auto" w:fill="FFFFFF"/>
          </w:tcPr>
          <w:p w14:paraId="1EB1B2C8" w14:textId="77777777" w:rsidR="00E42A45" w:rsidRDefault="00E42A45" w:rsidP="00BB63DF">
            <w:pPr>
              <w:tabs>
                <w:tab w:val="left" w:pos="709"/>
              </w:tabs>
              <w:rPr>
                <w:b/>
                <w:sz w:val="18"/>
              </w:rPr>
            </w:pPr>
            <w:r>
              <w:rPr>
                <w:b/>
                <w:sz w:val="18"/>
              </w:rPr>
              <w:t>Název</w:t>
            </w:r>
          </w:p>
          <w:p w14:paraId="22247860" w14:textId="77777777" w:rsidR="00E42A45" w:rsidRDefault="00E42A45" w:rsidP="00BB63DF">
            <w:pPr>
              <w:tabs>
                <w:tab w:val="left" w:pos="709"/>
              </w:tabs>
              <w:rPr>
                <w:b/>
                <w:caps/>
                <w:sz w:val="18"/>
              </w:rPr>
            </w:pPr>
            <w:r>
              <w:rPr>
                <w:b/>
                <w:caps/>
                <w:sz w:val="18"/>
              </w:rPr>
              <w:t xml:space="preserve">                     </w:t>
            </w:r>
            <w:r>
              <w:rPr>
                <w:b/>
                <w:caps/>
              </w:rPr>
              <w:t xml:space="preserve">                                            U sudu</w:t>
            </w:r>
          </w:p>
        </w:tc>
        <w:tc>
          <w:tcPr>
            <w:tcW w:w="3536" w:type="dxa"/>
            <w:shd w:val="clear" w:color="auto" w:fill="FFFFFF"/>
          </w:tcPr>
          <w:p w14:paraId="6C2ACCEB" w14:textId="77777777" w:rsidR="00E42A45" w:rsidRDefault="00E42A45" w:rsidP="00BB63DF">
            <w:pPr>
              <w:tabs>
                <w:tab w:val="left" w:pos="709"/>
              </w:tabs>
              <w:rPr>
                <w:b/>
                <w:sz w:val="18"/>
              </w:rPr>
            </w:pPr>
            <w:r>
              <w:rPr>
                <w:b/>
                <w:sz w:val="18"/>
              </w:rPr>
              <w:t xml:space="preserve">Mapový list           </w:t>
            </w:r>
          </w:p>
          <w:p w14:paraId="41044F9A" w14:textId="77777777" w:rsidR="00E42A45" w:rsidRDefault="00E42A45" w:rsidP="00BB63DF">
            <w:pPr>
              <w:tabs>
                <w:tab w:val="left" w:pos="709"/>
              </w:tabs>
              <w:rPr>
                <w:b/>
                <w:sz w:val="20"/>
              </w:rPr>
            </w:pPr>
            <w:r>
              <w:rPr>
                <w:b/>
                <w:sz w:val="18"/>
              </w:rPr>
              <w:t xml:space="preserve">                            </w:t>
            </w:r>
            <w:r>
              <w:rPr>
                <w:sz w:val="20"/>
              </w:rPr>
              <w:t>02-23-14</w:t>
            </w:r>
          </w:p>
        </w:tc>
        <w:tc>
          <w:tcPr>
            <w:tcW w:w="3536" w:type="dxa"/>
            <w:gridSpan w:val="2"/>
            <w:shd w:val="clear" w:color="auto" w:fill="FFFFFF"/>
          </w:tcPr>
          <w:p w14:paraId="5D6EA714" w14:textId="77777777" w:rsidR="00E42A45" w:rsidRDefault="00E42A45" w:rsidP="00BB63DF">
            <w:pPr>
              <w:tabs>
                <w:tab w:val="left" w:pos="709"/>
              </w:tabs>
              <w:rPr>
                <w:b/>
                <w:sz w:val="18"/>
              </w:rPr>
            </w:pPr>
            <w:r>
              <w:rPr>
                <w:b/>
                <w:sz w:val="18"/>
              </w:rPr>
              <w:t xml:space="preserve">Výměra             </w:t>
            </w:r>
          </w:p>
          <w:p w14:paraId="790C85D3" w14:textId="77777777" w:rsidR="00E42A45" w:rsidRDefault="00E42A45" w:rsidP="00BB63DF">
            <w:pPr>
              <w:tabs>
                <w:tab w:val="left" w:pos="709"/>
              </w:tabs>
              <w:rPr>
                <w:b/>
                <w:sz w:val="20"/>
              </w:rPr>
            </w:pPr>
            <w:r>
              <w:rPr>
                <w:b/>
                <w:sz w:val="18"/>
              </w:rPr>
              <w:t xml:space="preserve">                     </w:t>
            </w:r>
            <w:r>
              <w:rPr>
                <w:b/>
                <w:sz w:val="20"/>
              </w:rPr>
              <w:t>11,77 ha</w:t>
            </w:r>
          </w:p>
        </w:tc>
      </w:tr>
      <w:tr w:rsidR="00E42A45" w14:paraId="058B1F8D" w14:textId="77777777" w:rsidTr="00E42A45">
        <w:tc>
          <w:tcPr>
            <w:tcW w:w="7072" w:type="dxa"/>
            <w:shd w:val="clear" w:color="auto" w:fill="FFFFFF"/>
          </w:tcPr>
          <w:p w14:paraId="1DA8B8A3" w14:textId="77777777" w:rsidR="00E42A45" w:rsidRDefault="00E42A45" w:rsidP="00BB63DF">
            <w:pPr>
              <w:tabs>
                <w:tab w:val="left" w:pos="709"/>
              </w:tabs>
              <w:rPr>
                <w:sz w:val="20"/>
              </w:rPr>
            </w:pPr>
            <w:r>
              <w:rPr>
                <w:sz w:val="20"/>
              </w:rPr>
              <w:t>EVKP - ekologicky významný krajinný prvek</w:t>
            </w:r>
          </w:p>
          <w:p w14:paraId="6CBFFCBC" w14:textId="77777777" w:rsidR="00E42A45" w:rsidRDefault="00E42A45" w:rsidP="00BB63DF">
            <w:pPr>
              <w:tabs>
                <w:tab w:val="left" w:pos="709"/>
              </w:tabs>
              <w:rPr>
                <w:sz w:val="20"/>
              </w:rPr>
            </w:pPr>
            <w:r>
              <w:rPr>
                <w:sz w:val="20"/>
              </w:rPr>
              <w:t>EVKC - ekologicky významný krajinný celek</w:t>
            </w:r>
          </w:p>
          <w:p w14:paraId="1C4FA8FE" w14:textId="77777777" w:rsidR="00E42A45" w:rsidRPr="002D7515" w:rsidRDefault="00E42A45" w:rsidP="00BB63DF">
            <w:pPr>
              <w:pStyle w:val="Nadpis6"/>
            </w:pPr>
            <w:r w:rsidRPr="002D7515">
              <w:t>EVKO - ekologicky významná krajinná oblast</w:t>
            </w:r>
          </w:p>
          <w:p w14:paraId="3712D2F1"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68334A01" w14:textId="77777777" w:rsidR="00E42A45" w:rsidRPr="002D7515" w:rsidRDefault="00E42A45" w:rsidP="00BB63DF">
            <w:pPr>
              <w:pStyle w:val="Nadpis8"/>
            </w:pPr>
            <w:r w:rsidRPr="002D7515">
              <w:t>Biogeografický význam</w:t>
            </w:r>
          </w:p>
          <w:p w14:paraId="12AAFC21" w14:textId="77777777" w:rsidR="00E42A45" w:rsidRDefault="00E42A45" w:rsidP="00BB63DF">
            <w:pPr>
              <w:tabs>
                <w:tab w:val="left" w:pos="709"/>
              </w:tabs>
            </w:pPr>
            <w:r>
              <w:t xml:space="preserve">       -</w:t>
            </w:r>
            <w:r>
              <w:rPr>
                <w:b/>
              </w:rPr>
              <w:t xml:space="preserve"> lokální, reprezentativní</w:t>
            </w:r>
          </w:p>
          <w:p w14:paraId="449749D1" w14:textId="77777777" w:rsidR="00E42A45" w:rsidRDefault="00E42A45" w:rsidP="00BB63DF">
            <w:pPr>
              <w:tabs>
                <w:tab w:val="left" w:pos="709"/>
              </w:tabs>
              <w:ind w:left="345"/>
              <w:rPr>
                <w:sz w:val="20"/>
              </w:rPr>
            </w:pPr>
            <w:r>
              <w:t xml:space="preserve"> </w:t>
            </w:r>
            <w:r>
              <w:rPr>
                <w:sz w:val="20"/>
              </w:rPr>
              <w:t>-  regionální</w:t>
            </w:r>
          </w:p>
          <w:p w14:paraId="7AF7A9DE" w14:textId="77777777" w:rsidR="00E42A45" w:rsidRDefault="00E42A45" w:rsidP="00BB63DF">
            <w:pPr>
              <w:tabs>
                <w:tab w:val="left" w:pos="709"/>
              </w:tabs>
              <w:ind w:left="345"/>
            </w:pPr>
            <w:r>
              <w:rPr>
                <w:sz w:val="20"/>
              </w:rPr>
              <w:t xml:space="preserve"> - nadregionální</w:t>
            </w:r>
          </w:p>
        </w:tc>
        <w:tc>
          <w:tcPr>
            <w:tcW w:w="3536" w:type="dxa"/>
            <w:gridSpan w:val="2"/>
            <w:shd w:val="clear" w:color="auto" w:fill="FFFFFF"/>
          </w:tcPr>
          <w:p w14:paraId="0A3CACC7" w14:textId="77777777" w:rsidR="00E42A45" w:rsidRDefault="00E42A45" w:rsidP="00BB63DF">
            <w:pPr>
              <w:tabs>
                <w:tab w:val="left" w:pos="709"/>
              </w:tabs>
              <w:rPr>
                <w:b/>
                <w:sz w:val="18"/>
              </w:rPr>
            </w:pPr>
            <w:r>
              <w:rPr>
                <w:b/>
                <w:sz w:val="18"/>
              </w:rPr>
              <w:t>Stav</w:t>
            </w:r>
          </w:p>
          <w:p w14:paraId="54BCFCF9" w14:textId="77777777" w:rsidR="00E42A45" w:rsidRDefault="00E42A45" w:rsidP="00BB63DF">
            <w:pPr>
              <w:tabs>
                <w:tab w:val="left" w:pos="709"/>
              </w:tabs>
              <w:ind w:left="405"/>
            </w:pPr>
            <w:r>
              <w:rPr>
                <w:b/>
              </w:rPr>
              <w:t>-  funkčně vymezený</w:t>
            </w:r>
          </w:p>
          <w:p w14:paraId="7141BC83" w14:textId="77777777" w:rsidR="00E42A45" w:rsidRDefault="00E42A45" w:rsidP="00BB63DF">
            <w:pPr>
              <w:tabs>
                <w:tab w:val="left" w:pos="709"/>
              </w:tabs>
              <w:rPr>
                <w:sz w:val="20"/>
              </w:rPr>
            </w:pPr>
            <w:r>
              <w:t xml:space="preserve">       </w:t>
            </w:r>
            <w:r>
              <w:rPr>
                <w:sz w:val="20"/>
              </w:rPr>
              <w:t xml:space="preserve">-  semifunkční    </w:t>
            </w:r>
          </w:p>
          <w:p w14:paraId="01E9E88D" w14:textId="77777777" w:rsidR="00E42A45" w:rsidRDefault="00E42A45" w:rsidP="00BB63DF">
            <w:pPr>
              <w:tabs>
                <w:tab w:val="left" w:pos="709"/>
              </w:tabs>
            </w:pPr>
            <w:r>
              <w:rPr>
                <w:sz w:val="20"/>
              </w:rPr>
              <w:t xml:space="preserve">        -  navržený</w:t>
            </w:r>
          </w:p>
        </w:tc>
      </w:tr>
      <w:tr w:rsidR="00E42A45" w14:paraId="03D9D51B" w14:textId="77777777" w:rsidTr="00E42A45">
        <w:tc>
          <w:tcPr>
            <w:tcW w:w="7072" w:type="dxa"/>
            <w:shd w:val="clear" w:color="auto" w:fill="FFFFFF"/>
          </w:tcPr>
          <w:p w14:paraId="45460BCA" w14:textId="77777777" w:rsidR="00E42A45" w:rsidRDefault="00E42A45" w:rsidP="00BB63DF">
            <w:pPr>
              <w:tabs>
                <w:tab w:val="left" w:pos="709"/>
              </w:tabs>
              <w:rPr>
                <w:b/>
                <w:sz w:val="18"/>
              </w:rPr>
            </w:pPr>
            <w:r>
              <w:rPr>
                <w:b/>
                <w:sz w:val="18"/>
              </w:rPr>
              <w:t>Geobiocenologická typizace (vegetační stupeň, trofická řada, hydrická řada)</w:t>
            </w:r>
          </w:p>
          <w:p w14:paraId="2B3F0B42" w14:textId="77777777" w:rsidR="00E42A45" w:rsidRDefault="00E42A45" w:rsidP="00BB63DF">
            <w:pPr>
              <w:tabs>
                <w:tab w:val="left" w:pos="709"/>
              </w:tabs>
            </w:pPr>
            <w:r>
              <w:t xml:space="preserve">                       5AB3, 4AB2   </w:t>
            </w:r>
          </w:p>
        </w:tc>
        <w:tc>
          <w:tcPr>
            <w:tcW w:w="7072" w:type="dxa"/>
            <w:gridSpan w:val="3"/>
            <w:shd w:val="clear" w:color="auto" w:fill="FFFFFF"/>
          </w:tcPr>
          <w:p w14:paraId="2C9FA717" w14:textId="77777777" w:rsidR="00E42A45" w:rsidRDefault="00E42A45" w:rsidP="00BB63DF">
            <w:pPr>
              <w:tabs>
                <w:tab w:val="left" w:pos="709"/>
              </w:tabs>
            </w:pPr>
          </w:p>
        </w:tc>
      </w:tr>
      <w:tr w:rsidR="00E42A45" w14:paraId="3B520B30" w14:textId="77777777" w:rsidTr="00E42A45">
        <w:tc>
          <w:tcPr>
            <w:tcW w:w="14144" w:type="dxa"/>
            <w:gridSpan w:val="4"/>
            <w:shd w:val="clear" w:color="auto" w:fill="FFFFFF"/>
          </w:tcPr>
          <w:p w14:paraId="56D125AE" w14:textId="77777777" w:rsidR="00E42A45" w:rsidRDefault="00E42A45" w:rsidP="00BB63DF">
            <w:pPr>
              <w:tabs>
                <w:tab w:val="left" w:pos="709"/>
              </w:tabs>
            </w:pPr>
            <w:r>
              <w:rPr>
                <w:b/>
                <w:sz w:val="18"/>
              </w:rPr>
              <w:t>Charakter ekotopu a bioty</w:t>
            </w:r>
            <w:r>
              <w:t xml:space="preserve">  </w:t>
            </w:r>
          </w:p>
          <w:p w14:paraId="309F58E2" w14:textId="77777777" w:rsidR="00E42A45" w:rsidRDefault="00E42A45" w:rsidP="00BB63DF">
            <w:pPr>
              <w:tabs>
                <w:tab w:val="left" w:pos="709"/>
              </w:tabs>
              <w:rPr>
                <w:sz w:val="20"/>
              </w:rPr>
            </w:pPr>
            <w:r>
              <w:t xml:space="preserve">    </w:t>
            </w:r>
            <w:r>
              <w:rPr>
                <w:sz w:val="20"/>
              </w:rPr>
              <w:t xml:space="preserve">            Lokální biocentrum v údolní poloze, na vesměs jižně orientovaném svahu se sklonem cca 10 %.  Nadmořská výška lokality se pohybuje od 388 do 410 m.   Z hlediska ekologických podmínek (troficita, hydricita) se jedná o relativně homogenní stanoviště.</w:t>
            </w:r>
          </w:p>
          <w:p w14:paraId="6C219351" w14:textId="77777777" w:rsidR="00E42A45" w:rsidRDefault="00E42A45" w:rsidP="00BB63DF">
            <w:pPr>
              <w:tabs>
                <w:tab w:val="left" w:pos="709"/>
              </w:tabs>
              <w:rPr>
                <w:sz w:val="20"/>
              </w:rPr>
            </w:pPr>
          </w:p>
          <w:p w14:paraId="5F1D73A0" w14:textId="77777777" w:rsidR="00E42A45" w:rsidRDefault="00E42A45" w:rsidP="00BB63DF">
            <w:pPr>
              <w:tabs>
                <w:tab w:val="left" w:pos="709"/>
              </w:tabs>
              <w:rPr>
                <w:sz w:val="20"/>
              </w:rPr>
            </w:pPr>
            <w:r>
              <w:rPr>
                <w:sz w:val="20"/>
              </w:rPr>
              <w:t xml:space="preserve">                                                                                                                                                     SES = 3 - 4.   </w:t>
            </w:r>
          </w:p>
          <w:p w14:paraId="07E99BDE" w14:textId="77777777" w:rsidR="00E42A45" w:rsidRDefault="00E42A45" w:rsidP="00BB63DF">
            <w:pPr>
              <w:tabs>
                <w:tab w:val="left" w:pos="709"/>
              </w:tabs>
              <w:rPr>
                <w:sz w:val="20"/>
              </w:rPr>
            </w:pPr>
            <w:r>
              <w:rPr>
                <w:sz w:val="20"/>
              </w:rPr>
              <w:t>Lesní porost je tvořen následujícími dřevinami: SM, BK, BO, MD</w:t>
            </w:r>
          </w:p>
          <w:p w14:paraId="280D45DA" w14:textId="77777777" w:rsidR="00E42A45" w:rsidRDefault="00E42A45" w:rsidP="00BB63DF">
            <w:pPr>
              <w:tabs>
                <w:tab w:val="left" w:pos="709"/>
              </w:tabs>
              <w:rPr>
                <w:sz w:val="20"/>
              </w:rPr>
            </w:pPr>
            <w:r>
              <w:rPr>
                <w:sz w:val="20"/>
              </w:rPr>
              <w:t xml:space="preserve"> </w:t>
            </w:r>
          </w:p>
          <w:p w14:paraId="203D8A7F" w14:textId="77777777" w:rsidR="00E42A45" w:rsidRDefault="00E42A45" w:rsidP="00BB63DF">
            <w:pPr>
              <w:tabs>
                <w:tab w:val="left" w:pos="709"/>
              </w:tabs>
              <w:rPr>
                <w:sz w:val="20"/>
              </w:rPr>
            </w:pPr>
            <w:r>
              <w:rPr>
                <w:b/>
                <w:sz w:val="20"/>
              </w:rPr>
              <w:t>Zastoupené lesní typy</w:t>
            </w:r>
            <w:r>
              <w:rPr>
                <w:sz w:val="20"/>
              </w:rPr>
              <w:t xml:space="preserve">:                5K1 - kyselá jd BK metlicová                 0K5 - kyselý bk BO borůvkový  </w:t>
            </w:r>
          </w:p>
          <w:p w14:paraId="73F6FCDB" w14:textId="77777777" w:rsidR="00E42A45" w:rsidRDefault="00E42A45" w:rsidP="00BB63DF">
            <w:pPr>
              <w:tabs>
                <w:tab w:val="left" w:pos="709"/>
              </w:tabs>
              <w:rPr>
                <w:sz w:val="20"/>
              </w:rPr>
            </w:pPr>
            <w:r>
              <w:rPr>
                <w:sz w:val="20"/>
              </w:rPr>
              <w:t xml:space="preserve">                                                        5I1 - uléhavá kys. jd BK s bikou chlup. </w:t>
            </w:r>
          </w:p>
          <w:p w14:paraId="654F4BC7" w14:textId="77777777" w:rsidR="00E42A45" w:rsidRDefault="00E42A45" w:rsidP="00BB63DF">
            <w:pPr>
              <w:tabs>
                <w:tab w:val="left" w:pos="709"/>
              </w:tabs>
              <w:rPr>
                <w:sz w:val="20"/>
              </w:rPr>
            </w:pPr>
          </w:p>
          <w:p w14:paraId="2E1AF2A0" w14:textId="77777777" w:rsidR="00E42A45" w:rsidRDefault="00E42A45" w:rsidP="00BB63DF">
            <w:pPr>
              <w:tabs>
                <w:tab w:val="left" w:pos="709"/>
              </w:tabs>
              <w:rPr>
                <w:sz w:val="20"/>
              </w:rPr>
            </w:pPr>
            <w:r>
              <w:rPr>
                <w:sz w:val="20"/>
              </w:rPr>
              <w:t xml:space="preserve">Geol.: Podzolované oligotrofní hnědé půdy, podzoly, oglejená oligotrofní horská půda </w:t>
            </w:r>
          </w:p>
          <w:p w14:paraId="5ADABC17" w14:textId="77777777" w:rsidR="00E42A45" w:rsidRDefault="00E42A45" w:rsidP="00BB63DF">
            <w:pPr>
              <w:tabs>
                <w:tab w:val="left" w:pos="709"/>
              </w:tabs>
              <w:rPr>
                <w:sz w:val="20"/>
              </w:rPr>
            </w:pPr>
          </w:p>
          <w:p w14:paraId="146EA1A3" w14:textId="77777777" w:rsidR="00E42A45" w:rsidRDefault="00E42A45" w:rsidP="00BB63DF">
            <w:pPr>
              <w:tabs>
                <w:tab w:val="left" w:pos="709"/>
              </w:tabs>
              <w:rPr>
                <w:i/>
                <w:sz w:val="20"/>
              </w:rPr>
            </w:pPr>
            <w:r>
              <w:rPr>
                <w:sz w:val="20"/>
              </w:rPr>
              <w:t xml:space="preserve">Bot.: </w:t>
            </w:r>
            <w:r>
              <w:rPr>
                <w:i/>
                <w:sz w:val="20"/>
              </w:rPr>
              <w:t xml:space="preserve">Vaccinium myrtillus,  Deschampsia  flexuosa,  Dicranum scoparium,  Dryopteris spinulosa,   Sphagnum sp., Trientaliseuropea, Blechnum   </w:t>
            </w:r>
          </w:p>
          <w:p w14:paraId="733BB78A" w14:textId="77777777" w:rsidR="00E42A45" w:rsidRPr="00500416" w:rsidRDefault="00E42A45" w:rsidP="00BB63DF">
            <w:pPr>
              <w:tabs>
                <w:tab w:val="left" w:pos="709"/>
              </w:tabs>
              <w:rPr>
                <w:i/>
                <w:sz w:val="20"/>
              </w:rPr>
            </w:pPr>
            <w:r>
              <w:rPr>
                <w:i/>
                <w:sz w:val="20"/>
              </w:rPr>
              <w:t xml:space="preserve">         spicant, Carex sp., Calluna vulgaris, Hieracium silvaticum, Luzula nemorosa, </w:t>
            </w:r>
          </w:p>
          <w:p w14:paraId="54FD145B" w14:textId="77777777" w:rsidR="00E42A45" w:rsidRDefault="00E42A45" w:rsidP="00BB63DF"/>
          <w:p w14:paraId="0C02BE34" w14:textId="77777777" w:rsidR="00E42A45" w:rsidRPr="00500416" w:rsidRDefault="00E42A45" w:rsidP="00BB63DF">
            <w:pPr>
              <w:pStyle w:val="Zkladntext"/>
              <w:rPr>
                <w:b/>
              </w:rPr>
            </w:pPr>
            <w:r w:rsidRPr="00500416">
              <w:rPr>
                <w:b/>
              </w:rPr>
              <w:t xml:space="preserve">Návrh opatření :       </w:t>
            </w:r>
          </w:p>
          <w:p w14:paraId="60478DE1" w14:textId="77777777" w:rsidR="00E42A45" w:rsidRDefault="00E42A45" w:rsidP="00BB63DF">
            <w:pPr>
              <w:tabs>
                <w:tab w:val="left" w:pos="709"/>
              </w:tabs>
              <w:rPr>
                <w:b/>
                <w:sz w:val="20"/>
              </w:rPr>
            </w:pPr>
            <w:r>
              <w:rPr>
                <w:b/>
                <w:sz w:val="20"/>
              </w:rPr>
              <w:t xml:space="preserve">Dřeviny přirozené rekonstruované skladby podle SLT:               5K - JD3,5, BK5,5, SM1         </w:t>
            </w:r>
          </w:p>
          <w:p w14:paraId="341AEB66" w14:textId="77777777" w:rsidR="00E42A45" w:rsidRDefault="00E42A45" w:rsidP="00BB63DF">
            <w:pPr>
              <w:tabs>
                <w:tab w:val="left" w:pos="709"/>
              </w:tabs>
              <w:rPr>
                <w:b/>
                <w:sz w:val="20"/>
              </w:rPr>
            </w:pPr>
            <w:r>
              <w:rPr>
                <w:b/>
                <w:sz w:val="20"/>
              </w:rPr>
              <w:t xml:space="preserve">                                                                                                            0K - BO8, DB1, BK1                                                      5I - JD4, BK5, SM1                            </w:t>
            </w:r>
          </w:p>
          <w:p w14:paraId="07C568CC" w14:textId="77777777" w:rsidR="00E42A45" w:rsidRDefault="00E42A45" w:rsidP="00BB63DF">
            <w:pPr>
              <w:tabs>
                <w:tab w:val="left" w:pos="709"/>
              </w:tabs>
            </w:pPr>
            <w:r>
              <w:rPr>
                <w:b/>
                <w:sz w:val="20"/>
              </w:rPr>
              <w:t>Opatření v porostu ve smyslu Generelu rekonstrukce, který je promítnut v platném LHP, s  náhradou dřevin mimo přirozenou dřevinnou skladbu , postupná obnova porostu.</w:t>
            </w:r>
            <w:r>
              <w:t xml:space="preserve">                                </w:t>
            </w:r>
          </w:p>
        </w:tc>
      </w:tr>
      <w:tr w:rsidR="00E42A45" w14:paraId="6A7CA90A" w14:textId="77777777" w:rsidTr="00E42A45">
        <w:tc>
          <w:tcPr>
            <w:tcW w:w="7072" w:type="dxa"/>
            <w:shd w:val="clear" w:color="auto" w:fill="FFFFFF"/>
          </w:tcPr>
          <w:p w14:paraId="5584094D" w14:textId="77777777" w:rsidR="00E42A45" w:rsidRDefault="00E42A45" w:rsidP="00BB63DF">
            <w:pPr>
              <w:tabs>
                <w:tab w:val="left" w:pos="709"/>
              </w:tabs>
              <w:rPr>
                <w:sz w:val="18"/>
              </w:rPr>
            </w:pPr>
            <w:r>
              <w:rPr>
                <w:sz w:val="18"/>
              </w:rPr>
              <w:t>Vymezení           LS  Sněžník, 161/E</w:t>
            </w:r>
          </w:p>
        </w:tc>
        <w:tc>
          <w:tcPr>
            <w:tcW w:w="7072" w:type="dxa"/>
            <w:gridSpan w:val="3"/>
            <w:shd w:val="clear" w:color="auto" w:fill="FFFFFF"/>
          </w:tcPr>
          <w:p w14:paraId="4565B925" w14:textId="77777777" w:rsidR="00E42A45" w:rsidRDefault="00E42A45" w:rsidP="00BB63DF">
            <w:pPr>
              <w:tabs>
                <w:tab w:val="left" w:pos="709"/>
              </w:tabs>
              <w:rPr>
                <w:sz w:val="18"/>
              </w:rPr>
            </w:pPr>
            <w:r>
              <w:rPr>
                <w:sz w:val="18"/>
              </w:rPr>
              <w:t xml:space="preserve">Kultura                  les </w:t>
            </w:r>
          </w:p>
        </w:tc>
      </w:tr>
      <w:tr w:rsidR="00E42A45" w14:paraId="78E6F72B" w14:textId="77777777" w:rsidTr="00E42A45">
        <w:tc>
          <w:tcPr>
            <w:tcW w:w="7072" w:type="dxa"/>
            <w:shd w:val="clear" w:color="auto" w:fill="FFFFFF"/>
          </w:tcPr>
          <w:p w14:paraId="4B6DD45A" w14:textId="77777777" w:rsidR="00E42A45" w:rsidRDefault="00E42A45" w:rsidP="00BB63DF">
            <w:pPr>
              <w:tabs>
                <w:tab w:val="left" w:pos="709"/>
              </w:tabs>
              <w:rPr>
                <w:sz w:val="18"/>
              </w:rPr>
            </w:pPr>
            <w:r>
              <w:rPr>
                <w:sz w:val="18"/>
              </w:rPr>
              <w:t>Uživatel                                                    LČR</w:t>
            </w:r>
          </w:p>
          <w:p w14:paraId="4F7853DD" w14:textId="77777777" w:rsidR="00E42A45" w:rsidRDefault="00E42A45" w:rsidP="00BB63DF">
            <w:pPr>
              <w:tabs>
                <w:tab w:val="left" w:pos="709"/>
              </w:tabs>
              <w:rPr>
                <w:sz w:val="18"/>
              </w:rPr>
            </w:pPr>
          </w:p>
        </w:tc>
        <w:tc>
          <w:tcPr>
            <w:tcW w:w="7072" w:type="dxa"/>
            <w:gridSpan w:val="3"/>
            <w:shd w:val="clear" w:color="auto" w:fill="FFFFFF"/>
          </w:tcPr>
          <w:p w14:paraId="563636F3" w14:textId="77777777" w:rsidR="00E42A45" w:rsidRDefault="00E42A45" w:rsidP="00BB63DF">
            <w:pPr>
              <w:tabs>
                <w:tab w:val="left" w:pos="709"/>
              </w:tabs>
              <w:rPr>
                <w:sz w:val="18"/>
              </w:rPr>
            </w:pPr>
            <w:r>
              <w:rPr>
                <w:sz w:val="18"/>
              </w:rPr>
              <w:t>Mapovatel             Sklenička, Linhart, 1997</w:t>
            </w:r>
          </w:p>
        </w:tc>
      </w:tr>
      <w:tr w:rsidR="00E42A45" w14:paraId="78D7FF08" w14:textId="77777777" w:rsidTr="00E42A45">
        <w:tc>
          <w:tcPr>
            <w:tcW w:w="14144" w:type="dxa"/>
            <w:gridSpan w:val="4"/>
            <w:shd w:val="clear" w:color="auto" w:fill="FFFFFF"/>
          </w:tcPr>
          <w:p w14:paraId="4FA5263B" w14:textId="77777777" w:rsidR="00E42A45" w:rsidRDefault="00E42A45" w:rsidP="00BB63DF">
            <w:pPr>
              <w:tabs>
                <w:tab w:val="left" w:pos="709"/>
              </w:tabs>
            </w:pPr>
            <w:r>
              <w:rPr>
                <w:b/>
                <w:sz w:val="18"/>
              </w:rPr>
              <w:t>Kategorie ochrany, rok vyhlášení</w:t>
            </w:r>
          </w:p>
          <w:p w14:paraId="0DB877C8" w14:textId="77777777" w:rsidR="00E42A45" w:rsidRDefault="00E42A45" w:rsidP="00BB63DF">
            <w:pPr>
              <w:tabs>
                <w:tab w:val="left" w:pos="709"/>
              </w:tabs>
              <w:rPr>
                <w:b/>
                <w:sz w:val="20"/>
              </w:rPr>
            </w:pPr>
            <w:r>
              <w:t xml:space="preserve">                                                                                      </w:t>
            </w:r>
            <w:r>
              <w:rPr>
                <w:b/>
                <w:sz w:val="20"/>
              </w:rPr>
              <w:t>CHKO Labské Pískovce - III. zóna</w:t>
            </w:r>
          </w:p>
        </w:tc>
      </w:tr>
      <w:tr w:rsidR="00E42A45" w14:paraId="40CF96D7" w14:textId="77777777" w:rsidTr="00E42A45">
        <w:trPr>
          <w:gridAfter w:val="1"/>
          <w:wAfter w:w="40" w:type="dxa"/>
        </w:trPr>
        <w:tc>
          <w:tcPr>
            <w:tcW w:w="7072" w:type="dxa"/>
            <w:shd w:val="clear" w:color="auto" w:fill="FFFFFF"/>
          </w:tcPr>
          <w:p w14:paraId="115FCBC6" w14:textId="77777777" w:rsidR="00E42A45" w:rsidRDefault="00E42A45" w:rsidP="00BB63DF">
            <w:pPr>
              <w:tabs>
                <w:tab w:val="left" w:pos="709"/>
              </w:tabs>
              <w:rPr>
                <w:b/>
                <w:sz w:val="18"/>
              </w:rPr>
            </w:pPr>
            <w:r>
              <w:rPr>
                <w:b/>
                <w:sz w:val="18"/>
              </w:rPr>
              <w:t>Pořadové číslo</w:t>
            </w:r>
          </w:p>
          <w:p w14:paraId="231913C5" w14:textId="77777777" w:rsidR="00E42A45" w:rsidRDefault="00E42A45" w:rsidP="00BB63DF">
            <w:pPr>
              <w:tabs>
                <w:tab w:val="left" w:pos="709"/>
              </w:tabs>
              <w:rPr>
                <w:b/>
                <w:sz w:val="36"/>
              </w:rPr>
            </w:pPr>
            <w:r>
              <w:rPr>
                <w:b/>
                <w:sz w:val="36"/>
              </w:rPr>
              <w:lastRenderedPageBreak/>
              <w:t xml:space="preserve">                                                26</w:t>
            </w:r>
          </w:p>
        </w:tc>
        <w:tc>
          <w:tcPr>
            <w:tcW w:w="7032" w:type="dxa"/>
            <w:gridSpan w:val="2"/>
            <w:shd w:val="clear" w:color="auto" w:fill="FFFFFF"/>
          </w:tcPr>
          <w:p w14:paraId="14181FD2" w14:textId="77777777" w:rsidR="00E42A45" w:rsidRDefault="00E42A45" w:rsidP="00BB63DF">
            <w:pPr>
              <w:tabs>
                <w:tab w:val="left" w:pos="709"/>
              </w:tabs>
              <w:rPr>
                <w:b/>
                <w:sz w:val="18"/>
              </w:rPr>
            </w:pPr>
            <w:r>
              <w:rPr>
                <w:b/>
                <w:sz w:val="18"/>
              </w:rPr>
              <w:lastRenderedPageBreak/>
              <w:t>Katastrální území</w:t>
            </w:r>
          </w:p>
          <w:p w14:paraId="7C89780D" w14:textId="77777777" w:rsidR="00E42A45" w:rsidRDefault="00E42A45" w:rsidP="00BB63DF">
            <w:pPr>
              <w:tabs>
                <w:tab w:val="left" w:pos="709"/>
              </w:tabs>
              <w:rPr>
                <w:b/>
                <w:sz w:val="18"/>
              </w:rPr>
            </w:pPr>
            <w:r>
              <w:rPr>
                <w:b/>
                <w:sz w:val="18"/>
              </w:rPr>
              <w:lastRenderedPageBreak/>
              <w:t xml:space="preserve">                                           </w:t>
            </w:r>
            <w:r>
              <w:rPr>
                <w:b/>
              </w:rPr>
              <w:t>Prostřední Žleb</w:t>
            </w:r>
          </w:p>
        </w:tc>
      </w:tr>
      <w:tr w:rsidR="00E42A45" w14:paraId="447D4BAB" w14:textId="77777777" w:rsidTr="00E42A45">
        <w:trPr>
          <w:gridAfter w:val="1"/>
          <w:wAfter w:w="40" w:type="dxa"/>
        </w:trPr>
        <w:tc>
          <w:tcPr>
            <w:tcW w:w="7072" w:type="dxa"/>
            <w:shd w:val="clear" w:color="auto" w:fill="FFFFFF"/>
          </w:tcPr>
          <w:p w14:paraId="76DA835B" w14:textId="77777777" w:rsidR="00E42A45" w:rsidRDefault="00E42A45" w:rsidP="00BB63DF">
            <w:pPr>
              <w:tabs>
                <w:tab w:val="left" w:pos="709"/>
              </w:tabs>
              <w:rPr>
                <w:b/>
                <w:sz w:val="18"/>
              </w:rPr>
            </w:pPr>
            <w:r>
              <w:rPr>
                <w:b/>
                <w:sz w:val="18"/>
              </w:rPr>
              <w:lastRenderedPageBreak/>
              <w:t>Název</w:t>
            </w:r>
          </w:p>
          <w:p w14:paraId="37EE1E50" w14:textId="77777777" w:rsidR="00E42A45" w:rsidRDefault="00E42A45" w:rsidP="00BB63DF">
            <w:pPr>
              <w:tabs>
                <w:tab w:val="left" w:pos="709"/>
              </w:tabs>
              <w:rPr>
                <w:b/>
                <w:caps/>
                <w:sz w:val="18"/>
              </w:rPr>
            </w:pPr>
            <w:r>
              <w:rPr>
                <w:b/>
                <w:caps/>
                <w:sz w:val="18"/>
              </w:rPr>
              <w:t xml:space="preserve">                     </w:t>
            </w:r>
            <w:r>
              <w:rPr>
                <w:b/>
                <w:caps/>
              </w:rPr>
              <w:t xml:space="preserve">                                          U rybníka</w:t>
            </w:r>
          </w:p>
        </w:tc>
        <w:tc>
          <w:tcPr>
            <w:tcW w:w="3536" w:type="dxa"/>
            <w:shd w:val="clear" w:color="auto" w:fill="FFFFFF"/>
          </w:tcPr>
          <w:p w14:paraId="450DBE66" w14:textId="77777777" w:rsidR="00E42A45" w:rsidRDefault="00E42A45" w:rsidP="00BB63DF">
            <w:pPr>
              <w:tabs>
                <w:tab w:val="left" w:pos="709"/>
              </w:tabs>
              <w:rPr>
                <w:b/>
                <w:sz w:val="18"/>
              </w:rPr>
            </w:pPr>
            <w:r>
              <w:rPr>
                <w:b/>
                <w:sz w:val="18"/>
              </w:rPr>
              <w:t xml:space="preserve">Mapový list           </w:t>
            </w:r>
          </w:p>
          <w:p w14:paraId="3B4E3901" w14:textId="77777777" w:rsidR="00E42A45" w:rsidRDefault="00E42A45" w:rsidP="00BB63DF">
            <w:pPr>
              <w:tabs>
                <w:tab w:val="left" w:pos="709"/>
              </w:tabs>
              <w:rPr>
                <w:b/>
                <w:sz w:val="20"/>
              </w:rPr>
            </w:pPr>
            <w:r>
              <w:rPr>
                <w:b/>
                <w:sz w:val="18"/>
              </w:rPr>
              <w:t xml:space="preserve">                            </w:t>
            </w:r>
            <w:r>
              <w:rPr>
                <w:sz w:val="20"/>
              </w:rPr>
              <w:t>02-23-19</w:t>
            </w:r>
          </w:p>
        </w:tc>
        <w:tc>
          <w:tcPr>
            <w:tcW w:w="3496" w:type="dxa"/>
            <w:shd w:val="clear" w:color="auto" w:fill="FFFFFF"/>
          </w:tcPr>
          <w:p w14:paraId="42EDAF0F" w14:textId="77777777" w:rsidR="00E42A45" w:rsidRDefault="00E42A45" w:rsidP="00BB63DF">
            <w:pPr>
              <w:tabs>
                <w:tab w:val="left" w:pos="709"/>
              </w:tabs>
              <w:rPr>
                <w:b/>
                <w:sz w:val="18"/>
              </w:rPr>
            </w:pPr>
            <w:r>
              <w:rPr>
                <w:b/>
                <w:sz w:val="18"/>
              </w:rPr>
              <w:t xml:space="preserve">Výměra             </w:t>
            </w:r>
          </w:p>
          <w:p w14:paraId="3361A82B" w14:textId="77777777" w:rsidR="00E42A45" w:rsidRDefault="00E42A45" w:rsidP="00BB63DF">
            <w:pPr>
              <w:tabs>
                <w:tab w:val="left" w:pos="709"/>
              </w:tabs>
              <w:rPr>
                <w:b/>
                <w:sz w:val="20"/>
              </w:rPr>
            </w:pPr>
            <w:r>
              <w:rPr>
                <w:b/>
                <w:sz w:val="20"/>
              </w:rPr>
              <w:t xml:space="preserve">                     7,17 ha</w:t>
            </w:r>
          </w:p>
        </w:tc>
      </w:tr>
      <w:tr w:rsidR="00E42A45" w14:paraId="764101B9" w14:textId="77777777" w:rsidTr="00E42A45">
        <w:trPr>
          <w:gridAfter w:val="1"/>
          <w:wAfter w:w="40" w:type="dxa"/>
        </w:trPr>
        <w:tc>
          <w:tcPr>
            <w:tcW w:w="7072" w:type="dxa"/>
            <w:shd w:val="clear" w:color="auto" w:fill="FFFFFF"/>
          </w:tcPr>
          <w:p w14:paraId="15CCB4FE" w14:textId="77777777" w:rsidR="00E42A45" w:rsidRDefault="00E42A45" w:rsidP="00BB63DF">
            <w:pPr>
              <w:tabs>
                <w:tab w:val="left" w:pos="709"/>
              </w:tabs>
              <w:rPr>
                <w:sz w:val="20"/>
              </w:rPr>
            </w:pPr>
            <w:r>
              <w:rPr>
                <w:sz w:val="20"/>
              </w:rPr>
              <w:t>EVKP - ekologicky významný krajinný prvek</w:t>
            </w:r>
          </w:p>
          <w:p w14:paraId="69482DE4" w14:textId="77777777" w:rsidR="00E42A45" w:rsidRDefault="00E42A45" w:rsidP="00BB63DF">
            <w:pPr>
              <w:tabs>
                <w:tab w:val="left" w:pos="709"/>
              </w:tabs>
              <w:rPr>
                <w:sz w:val="20"/>
              </w:rPr>
            </w:pPr>
            <w:r>
              <w:rPr>
                <w:sz w:val="20"/>
              </w:rPr>
              <w:t>EVKC - ekologicky významný krajinný celek</w:t>
            </w:r>
          </w:p>
          <w:p w14:paraId="111577D2" w14:textId="77777777" w:rsidR="00E42A45" w:rsidRPr="002D7515" w:rsidRDefault="00E42A45" w:rsidP="00BB63DF">
            <w:pPr>
              <w:pStyle w:val="Nadpis6"/>
            </w:pPr>
            <w:r w:rsidRPr="002D7515">
              <w:t>EVKO - ekologicky významná krajinná oblast</w:t>
            </w:r>
          </w:p>
          <w:p w14:paraId="7FA26DA8" w14:textId="77777777" w:rsidR="00E42A45" w:rsidRDefault="00E42A45" w:rsidP="00BB63DF">
            <w:pPr>
              <w:tabs>
                <w:tab w:val="left" w:pos="709"/>
              </w:tabs>
              <w:rPr>
                <w:sz w:val="20"/>
              </w:rPr>
            </w:pPr>
            <w:r>
              <w:rPr>
                <w:sz w:val="20"/>
              </w:rPr>
              <w:t>EVLS  - ekologicky významné liniové společenstvo</w:t>
            </w:r>
          </w:p>
        </w:tc>
        <w:tc>
          <w:tcPr>
            <w:tcW w:w="3536" w:type="dxa"/>
            <w:shd w:val="clear" w:color="auto" w:fill="FFFFFF"/>
          </w:tcPr>
          <w:p w14:paraId="1555B2FB" w14:textId="77777777" w:rsidR="00E42A45" w:rsidRPr="002D7515" w:rsidRDefault="00E42A45" w:rsidP="00BB63DF">
            <w:pPr>
              <w:pStyle w:val="Nadpis8"/>
            </w:pPr>
            <w:r w:rsidRPr="002D7515">
              <w:t>Biogeografický význam</w:t>
            </w:r>
          </w:p>
          <w:p w14:paraId="13BFFEDC" w14:textId="77777777" w:rsidR="00E42A45" w:rsidRDefault="00E42A45" w:rsidP="00BB63DF">
            <w:pPr>
              <w:tabs>
                <w:tab w:val="left" w:pos="709"/>
              </w:tabs>
            </w:pPr>
            <w:r>
              <w:t xml:space="preserve">       -</w:t>
            </w:r>
            <w:r>
              <w:rPr>
                <w:b/>
              </w:rPr>
              <w:t xml:space="preserve"> lokální, reprezentativní</w:t>
            </w:r>
          </w:p>
          <w:p w14:paraId="47A0EFD3" w14:textId="77777777" w:rsidR="00E42A45" w:rsidRDefault="00E42A45" w:rsidP="00BB63DF">
            <w:pPr>
              <w:tabs>
                <w:tab w:val="left" w:pos="709"/>
              </w:tabs>
              <w:ind w:left="345"/>
              <w:rPr>
                <w:sz w:val="20"/>
              </w:rPr>
            </w:pPr>
            <w:r>
              <w:t xml:space="preserve"> </w:t>
            </w:r>
            <w:r>
              <w:rPr>
                <w:sz w:val="20"/>
              </w:rPr>
              <w:t>-  regionální</w:t>
            </w:r>
          </w:p>
          <w:p w14:paraId="041D4A72" w14:textId="77777777" w:rsidR="00E42A45" w:rsidRDefault="00E42A45" w:rsidP="00BB63DF">
            <w:pPr>
              <w:tabs>
                <w:tab w:val="left" w:pos="709"/>
              </w:tabs>
              <w:ind w:left="345"/>
            </w:pPr>
            <w:r>
              <w:rPr>
                <w:sz w:val="20"/>
              </w:rPr>
              <w:t xml:space="preserve"> - nadregionální</w:t>
            </w:r>
          </w:p>
        </w:tc>
        <w:tc>
          <w:tcPr>
            <w:tcW w:w="3496" w:type="dxa"/>
            <w:shd w:val="clear" w:color="auto" w:fill="FFFFFF"/>
          </w:tcPr>
          <w:p w14:paraId="72BDB441" w14:textId="77777777" w:rsidR="00E42A45" w:rsidRDefault="00E42A45" w:rsidP="00BB63DF">
            <w:pPr>
              <w:tabs>
                <w:tab w:val="left" w:pos="709"/>
              </w:tabs>
              <w:rPr>
                <w:b/>
                <w:sz w:val="18"/>
              </w:rPr>
            </w:pPr>
            <w:r>
              <w:rPr>
                <w:b/>
                <w:sz w:val="18"/>
              </w:rPr>
              <w:t>Stav</w:t>
            </w:r>
          </w:p>
          <w:p w14:paraId="72B90E55" w14:textId="77777777" w:rsidR="00E42A45" w:rsidRDefault="00E42A45" w:rsidP="00BB63DF">
            <w:pPr>
              <w:tabs>
                <w:tab w:val="left" w:pos="709"/>
              </w:tabs>
              <w:ind w:left="405"/>
            </w:pPr>
            <w:r>
              <w:rPr>
                <w:b/>
              </w:rPr>
              <w:t>-  funkčně vymezený</w:t>
            </w:r>
          </w:p>
          <w:p w14:paraId="4067C24C" w14:textId="77777777" w:rsidR="00E42A45" w:rsidRDefault="00E42A45" w:rsidP="00BB63DF">
            <w:pPr>
              <w:tabs>
                <w:tab w:val="left" w:pos="709"/>
              </w:tabs>
              <w:rPr>
                <w:sz w:val="20"/>
              </w:rPr>
            </w:pPr>
            <w:r>
              <w:t xml:space="preserve">       </w:t>
            </w:r>
            <w:r>
              <w:rPr>
                <w:sz w:val="20"/>
              </w:rPr>
              <w:t xml:space="preserve">-  semifunkční    </w:t>
            </w:r>
          </w:p>
          <w:p w14:paraId="6795BB58" w14:textId="77777777" w:rsidR="00E42A45" w:rsidRDefault="00E42A45" w:rsidP="00BB63DF">
            <w:pPr>
              <w:tabs>
                <w:tab w:val="left" w:pos="709"/>
              </w:tabs>
            </w:pPr>
            <w:r>
              <w:rPr>
                <w:sz w:val="20"/>
              </w:rPr>
              <w:t xml:space="preserve">        -  navržený</w:t>
            </w:r>
          </w:p>
        </w:tc>
      </w:tr>
      <w:tr w:rsidR="00E42A45" w14:paraId="3BE53F7F" w14:textId="77777777" w:rsidTr="00E42A45">
        <w:trPr>
          <w:gridAfter w:val="1"/>
          <w:wAfter w:w="40" w:type="dxa"/>
        </w:trPr>
        <w:tc>
          <w:tcPr>
            <w:tcW w:w="7072" w:type="dxa"/>
            <w:shd w:val="clear" w:color="auto" w:fill="FFFFFF"/>
          </w:tcPr>
          <w:p w14:paraId="36EBFF7B" w14:textId="77777777" w:rsidR="00E42A45" w:rsidRDefault="00E42A45" w:rsidP="00BB63DF">
            <w:pPr>
              <w:tabs>
                <w:tab w:val="left" w:pos="709"/>
              </w:tabs>
              <w:rPr>
                <w:b/>
                <w:sz w:val="18"/>
              </w:rPr>
            </w:pPr>
            <w:r>
              <w:rPr>
                <w:b/>
                <w:sz w:val="18"/>
              </w:rPr>
              <w:t>Geobiocenologická typizace (vegetační stupeň, trofická řada, hydrická řada)</w:t>
            </w:r>
          </w:p>
          <w:p w14:paraId="16B4F378" w14:textId="77777777" w:rsidR="00E42A45" w:rsidRDefault="00E42A45" w:rsidP="00BB63DF">
            <w:pPr>
              <w:tabs>
                <w:tab w:val="left" w:pos="709"/>
              </w:tabs>
            </w:pPr>
            <w:r>
              <w:t xml:space="preserve">                       3AB3, 4AB2, 5A1, 3C4   </w:t>
            </w:r>
          </w:p>
        </w:tc>
        <w:tc>
          <w:tcPr>
            <w:tcW w:w="7032" w:type="dxa"/>
            <w:gridSpan w:val="2"/>
            <w:shd w:val="clear" w:color="auto" w:fill="FFFFFF"/>
          </w:tcPr>
          <w:p w14:paraId="36ECF7A5" w14:textId="77777777" w:rsidR="00E42A45" w:rsidRDefault="00E42A45" w:rsidP="00BB63DF">
            <w:pPr>
              <w:tabs>
                <w:tab w:val="left" w:pos="709"/>
              </w:tabs>
            </w:pPr>
          </w:p>
        </w:tc>
      </w:tr>
      <w:tr w:rsidR="00E42A45" w14:paraId="58D2B3CC" w14:textId="77777777" w:rsidTr="00E42A45">
        <w:trPr>
          <w:gridAfter w:val="1"/>
          <w:wAfter w:w="40" w:type="dxa"/>
        </w:trPr>
        <w:tc>
          <w:tcPr>
            <w:tcW w:w="14104" w:type="dxa"/>
            <w:gridSpan w:val="3"/>
            <w:shd w:val="clear" w:color="auto" w:fill="FFFFFF"/>
          </w:tcPr>
          <w:p w14:paraId="64C1BAB5" w14:textId="77777777" w:rsidR="00E42A45" w:rsidRDefault="00E42A45" w:rsidP="00BB63DF">
            <w:pPr>
              <w:tabs>
                <w:tab w:val="left" w:pos="709"/>
              </w:tabs>
              <w:rPr>
                <w:sz w:val="20"/>
              </w:rPr>
            </w:pPr>
            <w:r>
              <w:rPr>
                <w:b/>
                <w:sz w:val="18"/>
              </w:rPr>
              <w:t xml:space="preserve">Charakter ekotopu a </w:t>
            </w:r>
            <w:r>
              <w:rPr>
                <w:b/>
                <w:sz w:val="20"/>
              </w:rPr>
              <w:t>bioty</w:t>
            </w:r>
            <w:r>
              <w:rPr>
                <w:sz w:val="20"/>
              </w:rPr>
              <w:t xml:space="preserve">    </w:t>
            </w:r>
          </w:p>
          <w:p w14:paraId="7724AE35" w14:textId="77777777" w:rsidR="00E42A45" w:rsidRDefault="00E42A45" w:rsidP="00BB63DF">
            <w:pPr>
              <w:tabs>
                <w:tab w:val="left" w:pos="709"/>
              </w:tabs>
              <w:rPr>
                <w:sz w:val="20"/>
              </w:rPr>
            </w:pPr>
            <w:r>
              <w:rPr>
                <w:sz w:val="20"/>
              </w:rPr>
              <w:t xml:space="preserve">    Lokální biocentrum nad čtvrtí Jalůvčí na okraji lesního komplexu.  Z jihu je lokalita ohraničena místní komunikací.  Reliéf lokality je značně členitý s pískovcovými skalními výchozy. Vesměs východně orientované svahy se sklonem cca 15 %.  Nadmořská výška lokality se pohybuje od 220 do 270 m.   Z hlediska ekologických podmínek (troficita, hydricita) se jedná o značně rozmanité stanoviště.</w:t>
            </w:r>
          </w:p>
          <w:p w14:paraId="553C1C24" w14:textId="77777777" w:rsidR="00E42A45" w:rsidRDefault="00E42A45" w:rsidP="00BB63DF">
            <w:pPr>
              <w:tabs>
                <w:tab w:val="left" w:pos="709"/>
              </w:tabs>
              <w:rPr>
                <w:sz w:val="20"/>
              </w:rPr>
            </w:pPr>
            <w:r>
              <w:rPr>
                <w:sz w:val="20"/>
              </w:rPr>
              <w:t xml:space="preserve">           Součástí biocentra je zazemněný průtočný rybník na potoku Ostružiník. Ten tvoří východní hranici biocentra a má vesměs přírodní charakter.                                                                                                         SES = 3 - 5   </w:t>
            </w:r>
          </w:p>
          <w:p w14:paraId="7E1078B3" w14:textId="77777777" w:rsidR="00E42A45" w:rsidRDefault="00E42A45" w:rsidP="00BB63DF">
            <w:pPr>
              <w:tabs>
                <w:tab w:val="left" w:pos="709"/>
              </w:tabs>
              <w:rPr>
                <w:sz w:val="20"/>
              </w:rPr>
            </w:pPr>
            <w:r>
              <w:rPr>
                <w:sz w:val="20"/>
              </w:rPr>
              <w:t xml:space="preserve">Lesní porost je tvořen následujícími dřevinami:    </w:t>
            </w:r>
            <w:r>
              <w:rPr>
                <w:caps/>
                <w:sz w:val="20"/>
              </w:rPr>
              <w:t>sm, bk, db, bo, js, br, dbc, ol, md, os, jr, kl</w:t>
            </w:r>
          </w:p>
          <w:p w14:paraId="58F3733F" w14:textId="77777777" w:rsidR="00E42A45" w:rsidRDefault="00E42A45" w:rsidP="00BB63DF">
            <w:pPr>
              <w:tabs>
                <w:tab w:val="left" w:pos="709"/>
              </w:tabs>
              <w:rPr>
                <w:sz w:val="20"/>
              </w:rPr>
            </w:pPr>
            <w:r>
              <w:rPr>
                <w:sz w:val="20"/>
              </w:rPr>
              <w:t xml:space="preserve"> </w:t>
            </w:r>
          </w:p>
          <w:p w14:paraId="0E991A6C" w14:textId="77777777" w:rsidR="00E42A45" w:rsidRDefault="00E42A45" w:rsidP="00BB63DF">
            <w:pPr>
              <w:tabs>
                <w:tab w:val="left" w:pos="709"/>
              </w:tabs>
              <w:rPr>
                <w:sz w:val="20"/>
              </w:rPr>
            </w:pPr>
            <w:r>
              <w:rPr>
                <w:b/>
                <w:sz w:val="20"/>
              </w:rPr>
              <w:t>Zastoupené lesní typy:</w:t>
            </w:r>
            <w:r>
              <w:rPr>
                <w:sz w:val="20"/>
              </w:rPr>
              <w:t xml:space="preserve">              3K1 - kyselá bd BK metlicová                             0K4 - kyselý dbbk BO na výr. podzolech  </w:t>
            </w:r>
          </w:p>
          <w:p w14:paraId="22974F3E" w14:textId="77777777" w:rsidR="00E42A45" w:rsidRDefault="00E42A45" w:rsidP="00BB63DF">
            <w:pPr>
              <w:tabs>
                <w:tab w:val="left" w:pos="709"/>
              </w:tabs>
              <w:rPr>
                <w:sz w:val="20"/>
              </w:rPr>
            </w:pPr>
            <w:r>
              <w:rPr>
                <w:sz w:val="20"/>
              </w:rPr>
              <w:t xml:space="preserve">                                                     0Y1 - roklinový BO                                              3U1 - javorová JS bršlicová</w:t>
            </w:r>
          </w:p>
          <w:p w14:paraId="21C7C53B" w14:textId="77777777" w:rsidR="00E42A45" w:rsidRDefault="00E42A45" w:rsidP="00BB63DF">
            <w:pPr>
              <w:tabs>
                <w:tab w:val="left" w:pos="709"/>
              </w:tabs>
              <w:rPr>
                <w:sz w:val="20"/>
              </w:rPr>
            </w:pPr>
            <w:r>
              <w:rPr>
                <w:sz w:val="20"/>
              </w:rPr>
              <w:t xml:space="preserve">                                                     0N3 - smrkový BO údolní metlicový</w:t>
            </w:r>
          </w:p>
          <w:p w14:paraId="07E63BC2" w14:textId="77777777" w:rsidR="00E42A45" w:rsidRDefault="00E42A45" w:rsidP="00BB63DF">
            <w:pPr>
              <w:tabs>
                <w:tab w:val="left" w:pos="709"/>
              </w:tabs>
              <w:rPr>
                <w:sz w:val="20"/>
              </w:rPr>
            </w:pPr>
            <w:r>
              <w:rPr>
                <w:sz w:val="20"/>
              </w:rPr>
              <w:t xml:space="preserve">Geol.: Podzolované oligotrofní hnědé půdy, podzoly, oglejená mezotrofní hnědá půda </w:t>
            </w:r>
          </w:p>
          <w:p w14:paraId="268F345B" w14:textId="77777777" w:rsidR="00E42A45" w:rsidRDefault="00E42A45" w:rsidP="00BB63DF">
            <w:pPr>
              <w:tabs>
                <w:tab w:val="left" w:pos="709"/>
              </w:tabs>
              <w:rPr>
                <w:sz w:val="20"/>
              </w:rPr>
            </w:pPr>
          </w:p>
          <w:p w14:paraId="5ED84758" w14:textId="77777777" w:rsidR="00E42A45" w:rsidRDefault="00E42A45" w:rsidP="00BB63DF">
            <w:pPr>
              <w:tabs>
                <w:tab w:val="left" w:pos="709"/>
              </w:tabs>
              <w:rPr>
                <w:i/>
              </w:rPr>
            </w:pPr>
            <w:r>
              <w:rPr>
                <w:sz w:val="20"/>
              </w:rPr>
              <w:t xml:space="preserve">Bot.: </w:t>
            </w:r>
            <w:r>
              <w:rPr>
                <w:i/>
                <w:sz w:val="20"/>
              </w:rPr>
              <w:t>Aegopodium podagraria, Urtica dioica, Chaerophylum hirsutum, Lysimachia nemorum,  Vaccinium myrtillus,  Deschampsia  flexuosa,  Dicranum scoparium,  Dryopteris spinulosa,   Sphagnum sp., Trientaliseuropea, Blechnum,  spicant, Carex sp., Calluna vulgaris, Hieracium silvaticum, Luzula nemorosa, Anemone nemorosa, Corydalis cava</w:t>
            </w:r>
            <w:r>
              <w:rPr>
                <w:i/>
              </w:rPr>
              <w:t xml:space="preserve"> </w:t>
            </w:r>
          </w:p>
          <w:p w14:paraId="2A35F554" w14:textId="77777777" w:rsidR="00E42A45" w:rsidRDefault="00E42A45" w:rsidP="00BB63DF">
            <w:pPr>
              <w:tabs>
                <w:tab w:val="left" w:pos="709"/>
              </w:tabs>
              <w:rPr>
                <w:b/>
              </w:rPr>
            </w:pPr>
          </w:p>
          <w:p w14:paraId="731162BE" w14:textId="77777777" w:rsidR="00E42A45" w:rsidRDefault="00E42A45" w:rsidP="00BB63DF">
            <w:pPr>
              <w:pStyle w:val="Zkladntext"/>
            </w:pPr>
            <w:r>
              <w:t xml:space="preserve">Návrh opatření :    </w:t>
            </w:r>
          </w:p>
          <w:p w14:paraId="7D05FAF2" w14:textId="77777777" w:rsidR="00E42A45" w:rsidRDefault="00E42A45" w:rsidP="00BB63DF">
            <w:pPr>
              <w:tabs>
                <w:tab w:val="left" w:pos="709"/>
              </w:tabs>
              <w:rPr>
                <w:b/>
                <w:sz w:val="20"/>
              </w:rPr>
            </w:pPr>
            <w:r>
              <w:rPr>
                <w:b/>
                <w:sz w:val="20"/>
              </w:rPr>
              <w:t xml:space="preserve">Dřeviny přirozené rekonstruované skladby podle SLT:               3K - BK6, DB3, JD1        </w:t>
            </w:r>
          </w:p>
          <w:p w14:paraId="697913B7" w14:textId="77777777" w:rsidR="00E42A45" w:rsidRDefault="00E42A45" w:rsidP="00BB63DF">
            <w:pPr>
              <w:tabs>
                <w:tab w:val="left" w:pos="709"/>
              </w:tabs>
              <w:rPr>
                <w:b/>
                <w:sz w:val="20"/>
              </w:rPr>
            </w:pPr>
            <w:r>
              <w:rPr>
                <w:b/>
                <w:sz w:val="20"/>
              </w:rPr>
              <w:t xml:space="preserve">                                               0K - BO8, DB1, BK1                           0N - BO5, SM4, BR1, BK                          3U - JS4, BK3, JD2, JV1, SM, DB                                 </w:t>
            </w:r>
          </w:p>
          <w:p w14:paraId="64F652C8" w14:textId="77777777" w:rsidR="00E42A45" w:rsidRDefault="00E42A45" w:rsidP="00BB63DF">
            <w:pPr>
              <w:tabs>
                <w:tab w:val="left" w:pos="709"/>
              </w:tabs>
            </w:pPr>
            <w:r>
              <w:rPr>
                <w:b/>
                <w:sz w:val="20"/>
              </w:rPr>
              <w:t xml:space="preserve"> Opatření v porostu ve smyslu Generelu rekonstrukce, který je promítnut v platném LHP, s  náhradou dřevin mimo přirozenou dřevinnou skladbu   -  výchovná opatření.</w:t>
            </w:r>
            <w:r>
              <w:t xml:space="preserve">                                    </w:t>
            </w:r>
          </w:p>
        </w:tc>
      </w:tr>
      <w:tr w:rsidR="00E42A45" w14:paraId="0EEFF125" w14:textId="77777777" w:rsidTr="00E42A45">
        <w:trPr>
          <w:gridAfter w:val="1"/>
          <w:wAfter w:w="40" w:type="dxa"/>
        </w:trPr>
        <w:tc>
          <w:tcPr>
            <w:tcW w:w="7072" w:type="dxa"/>
            <w:shd w:val="clear" w:color="auto" w:fill="FFFFFF"/>
          </w:tcPr>
          <w:p w14:paraId="26487D97" w14:textId="77777777" w:rsidR="00E42A45" w:rsidRDefault="00E42A45" w:rsidP="00BB63DF">
            <w:pPr>
              <w:tabs>
                <w:tab w:val="left" w:pos="709"/>
              </w:tabs>
              <w:rPr>
                <w:sz w:val="18"/>
              </w:rPr>
            </w:pPr>
            <w:r>
              <w:rPr>
                <w:sz w:val="18"/>
              </w:rPr>
              <w:t>Vymezení          LS  Sněžník, 153/E</w:t>
            </w:r>
          </w:p>
        </w:tc>
        <w:tc>
          <w:tcPr>
            <w:tcW w:w="7032" w:type="dxa"/>
            <w:gridSpan w:val="2"/>
            <w:shd w:val="clear" w:color="auto" w:fill="FFFFFF"/>
          </w:tcPr>
          <w:p w14:paraId="4606D396" w14:textId="77777777" w:rsidR="00E42A45" w:rsidRDefault="00E42A45" w:rsidP="00BB63DF">
            <w:pPr>
              <w:tabs>
                <w:tab w:val="left" w:pos="709"/>
              </w:tabs>
              <w:rPr>
                <w:sz w:val="18"/>
              </w:rPr>
            </w:pPr>
            <w:r>
              <w:rPr>
                <w:sz w:val="18"/>
              </w:rPr>
              <w:t xml:space="preserve">Kultura             les, vod.pl. </w:t>
            </w:r>
          </w:p>
        </w:tc>
      </w:tr>
      <w:tr w:rsidR="00E42A45" w14:paraId="7FBBF0AE" w14:textId="77777777" w:rsidTr="00E42A45">
        <w:trPr>
          <w:gridAfter w:val="1"/>
          <w:wAfter w:w="40" w:type="dxa"/>
        </w:trPr>
        <w:tc>
          <w:tcPr>
            <w:tcW w:w="7072" w:type="dxa"/>
            <w:shd w:val="clear" w:color="auto" w:fill="FFFFFF"/>
          </w:tcPr>
          <w:p w14:paraId="2602CF24" w14:textId="77777777" w:rsidR="00E42A45" w:rsidRDefault="00E42A45" w:rsidP="00BB63DF">
            <w:pPr>
              <w:tabs>
                <w:tab w:val="left" w:pos="709"/>
              </w:tabs>
              <w:rPr>
                <w:sz w:val="18"/>
              </w:rPr>
            </w:pPr>
            <w:r>
              <w:rPr>
                <w:sz w:val="18"/>
              </w:rPr>
              <w:t>Uživatel             LČR</w:t>
            </w:r>
          </w:p>
        </w:tc>
        <w:tc>
          <w:tcPr>
            <w:tcW w:w="7032" w:type="dxa"/>
            <w:gridSpan w:val="2"/>
            <w:shd w:val="clear" w:color="auto" w:fill="FFFFFF"/>
          </w:tcPr>
          <w:p w14:paraId="54D1627B" w14:textId="77777777" w:rsidR="00E42A45" w:rsidRDefault="00E42A45" w:rsidP="00BB63DF">
            <w:pPr>
              <w:tabs>
                <w:tab w:val="left" w:pos="709"/>
              </w:tabs>
              <w:rPr>
                <w:sz w:val="18"/>
              </w:rPr>
            </w:pPr>
            <w:r>
              <w:rPr>
                <w:sz w:val="18"/>
              </w:rPr>
              <w:t>Mapovatel        Sklenička, Linhart, 1997</w:t>
            </w:r>
          </w:p>
        </w:tc>
      </w:tr>
      <w:tr w:rsidR="00E42A45" w14:paraId="099D6E6A" w14:textId="77777777" w:rsidTr="00E42A45">
        <w:trPr>
          <w:gridAfter w:val="1"/>
          <w:wAfter w:w="40" w:type="dxa"/>
        </w:trPr>
        <w:tc>
          <w:tcPr>
            <w:tcW w:w="14104" w:type="dxa"/>
            <w:gridSpan w:val="3"/>
            <w:shd w:val="clear" w:color="auto" w:fill="FFFFFF"/>
          </w:tcPr>
          <w:p w14:paraId="680D47E8" w14:textId="77777777" w:rsidR="00E42A45" w:rsidRDefault="00E42A45" w:rsidP="00BB63DF">
            <w:pPr>
              <w:tabs>
                <w:tab w:val="left" w:pos="709"/>
              </w:tabs>
            </w:pPr>
            <w:r>
              <w:rPr>
                <w:sz w:val="18"/>
              </w:rPr>
              <w:t>Kategorie ochrany, rok vyhlášení</w:t>
            </w:r>
            <w:r>
              <w:t xml:space="preserve"> </w:t>
            </w:r>
          </w:p>
          <w:p w14:paraId="608C837E" w14:textId="77777777" w:rsidR="00E42A45" w:rsidRDefault="00E42A45" w:rsidP="00BB63DF">
            <w:pPr>
              <w:tabs>
                <w:tab w:val="left" w:pos="709"/>
              </w:tabs>
              <w:rPr>
                <w:b/>
                <w:sz w:val="20"/>
              </w:rPr>
            </w:pPr>
            <w:r>
              <w:t xml:space="preserve">                                                                                   </w:t>
            </w:r>
            <w:r>
              <w:rPr>
                <w:b/>
                <w:sz w:val="20"/>
              </w:rPr>
              <w:t>CHKO Labské Pískovce - IV. zóna</w:t>
            </w:r>
          </w:p>
        </w:tc>
      </w:tr>
      <w:tr w:rsidR="00E42A45" w14:paraId="3C95B2A4" w14:textId="77777777" w:rsidTr="00E42A45">
        <w:trPr>
          <w:gridAfter w:val="1"/>
          <w:wAfter w:w="40" w:type="dxa"/>
        </w:trPr>
        <w:tc>
          <w:tcPr>
            <w:tcW w:w="7072" w:type="dxa"/>
            <w:shd w:val="clear" w:color="auto" w:fill="FFFFFF"/>
          </w:tcPr>
          <w:p w14:paraId="77A192B9" w14:textId="77777777" w:rsidR="00E42A45" w:rsidRDefault="00E42A45" w:rsidP="00BB63DF">
            <w:pPr>
              <w:tabs>
                <w:tab w:val="left" w:pos="709"/>
              </w:tabs>
              <w:rPr>
                <w:b/>
                <w:sz w:val="18"/>
              </w:rPr>
            </w:pPr>
            <w:r>
              <w:rPr>
                <w:b/>
                <w:sz w:val="18"/>
              </w:rPr>
              <w:lastRenderedPageBreak/>
              <w:t>Pořadové číslo</w:t>
            </w:r>
          </w:p>
          <w:p w14:paraId="0C86C895" w14:textId="77777777" w:rsidR="00E42A45" w:rsidRDefault="00E42A45" w:rsidP="00BB63DF">
            <w:pPr>
              <w:tabs>
                <w:tab w:val="left" w:pos="709"/>
              </w:tabs>
              <w:rPr>
                <w:b/>
                <w:sz w:val="36"/>
              </w:rPr>
            </w:pPr>
            <w:r>
              <w:rPr>
                <w:b/>
                <w:sz w:val="36"/>
              </w:rPr>
              <w:t xml:space="preserve">                                                 27</w:t>
            </w:r>
          </w:p>
        </w:tc>
        <w:tc>
          <w:tcPr>
            <w:tcW w:w="7032" w:type="dxa"/>
            <w:gridSpan w:val="2"/>
            <w:shd w:val="clear" w:color="auto" w:fill="FFFFFF"/>
          </w:tcPr>
          <w:p w14:paraId="29C9BBE5" w14:textId="77777777" w:rsidR="00E42A45" w:rsidRDefault="00E42A45" w:rsidP="00BB63DF">
            <w:pPr>
              <w:tabs>
                <w:tab w:val="left" w:pos="709"/>
              </w:tabs>
              <w:rPr>
                <w:b/>
                <w:sz w:val="18"/>
              </w:rPr>
            </w:pPr>
            <w:r>
              <w:rPr>
                <w:b/>
                <w:sz w:val="18"/>
              </w:rPr>
              <w:t>Katastrální území</w:t>
            </w:r>
          </w:p>
          <w:p w14:paraId="3B3A09C6" w14:textId="77777777" w:rsidR="00E42A45" w:rsidRDefault="00E42A45" w:rsidP="00BB63DF">
            <w:pPr>
              <w:tabs>
                <w:tab w:val="left" w:pos="709"/>
              </w:tabs>
              <w:rPr>
                <w:b/>
                <w:sz w:val="18"/>
              </w:rPr>
            </w:pPr>
            <w:r>
              <w:rPr>
                <w:b/>
                <w:sz w:val="18"/>
              </w:rPr>
              <w:t xml:space="preserve">                                           </w:t>
            </w:r>
            <w:r>
              <w:rPr>
                <w:b/>
              </w:rPr>
              <w:t>Podmokly, Bělá</w:t>
            </w:r>
          </w:p>
        </w:tc>
      </w:tr>
      <w:tr w:rsidR="00E42A45" w14:paraId="182DB9BC" w14:textId="77777777" w:rsidTr="00E42A45">
        <w:trPr>
          <w:gridAfter w:val="1"/>
          <w:wAfter w:w="40" w:type="dxa"/>
        </w:trPr>
        <w:tc>
          <w:tcPr>
            <w:tcW w:w="7072" w:type="dxa"/>
            <w:shd w:val="clear" w:color="auto" w:fill="FFFFFF"/>
          </w:tcPr>
          <w:p w14:paraId="55F322E1" w14:textId="77777777" w:rsidR="00E42A45" w:rsidRDefault="00E42A45" w:rsidP="00BB63DF">
            <w:pPr>
              <w:tabs>
                <w:tab w:val="left" w:pos="709"/>
              </w:tabs>
              <w:rPr>
                <w:b/>
                <w:sz w:val="18"/>
              </w:rPr>
            </w:pPr>
            <w:r>
              <w:rPr>
                <w:b/>
                <w:sz w:val="18"/>
              </w:rPr>
              <w:t>Název</w:t>
            </w:r>
          </w:p>
          <w:p w14:paraId="6B8E01C1" w14:textId="77777777" w:rsidR="00E42A45" w:rsidRDefault="00E42A45" w:rsidP="00BB63DF">
            <w:pPr>
              <w:tabs>
                <w:tab w:val="left" w:pos="709"/>
              </w:tabs>
              <w:rPr>
                <w:b/>
                <w:caps/>
                <w:sz w:val="18"/>
              </w:rPr>
            </w:pPr>
            <w:r>
              <w:rPr>
                <w:b/>
                <w:caps/>
                <w:sz w:val="18"/>
              </w:rPr>
              <w:t xml:space="preserve">                                      </w:t>
            </w:r>
            <w:r>
              <w:rPr>
                <w:b/>
                <w:caps/>
              </w:rPr>
              <w:t>Lesní porost nad Bělou</w:t>
            </w:r>
          </w:p>
        </w:tc>
        <w:tc>
          <w:tcPr>
            <w:tcW w:w="3536" w:type="dxa"/>
            <w:shd w:val="clear" w:color="auto" w:fill="FFFFFF"/>
          </w:tcPr>
          <w:p w14:paraId="41E63828" w14:textId="77777777" w:rsidR="00E42A45" w:rsidRDefault="00E42A45" w:rsidP="00BB63DF">
            <w:pPr>
              <w:tabs>
                <w:tab w:val="left" w:pos="709"/>
              </w:tabs>
              <w:rPr>
                <w:b/>
                <w:sz w:val="18"/>
              </w:rPr>
            </w:pPr>
            <w:r>
              <w:rPr>
                <w:b/>
                <w:sz w:val="18"/>
              </w:rPr>
              <w:t xml:space="preserve">Mapový list           </w:t>
            </w:r>
          </w:p>
          <w:p w14:paraId="380537DD" w14:textId="77777777" w:rsidR="00E42A45" w:rsidRDefault="00E42A45" w:rsidP="00BB63DF">
            <w:pPr>
              <w:tabs>
                <w:tab w:val="left" w:pos="709"/>
              </w:tabs>
              <w:rPr>
                <w:b/>
                <w:sz w:val="20"/>
              </w:rPr>
            </w:pPr>
            <w:r>
              <w:rPr>
                <w:b/>
                <w:sz w:val="18"/>
              </w:rPr>
              <w:t xml:space="preserve">                            </w:t>
            </w:r>
            <w:r>
              <w:rPr>
                <w:sz w:val="20"/>
              </w:rPr>
              <w:t>02-23-18</w:t>
            </w:r>
          </w:p>
        </w:tc>
        <w:tc>
          <w:tcPr>
            <w:tcW w:w="3496" w:type="dxa"/>
            <w:shd w:val="clear" w:color="auto" w:fill="FFFFFF"/>
          </w:tcPr>
          <w:p w14:paraId="3B3CF140" w14:textId="77777777" w:rsidR="00E42A45" w:rsidRDefault="00E42A45" w:rsidP="00BB63DF">
            <w:pPr>
              <w:tabs>
                <w:tab w:val="left" w:pos="709"/>
              </w:tabs>
              <w:rPr>
                <w:b/>
                <w:sz w:val="18"/>
              </w:rPr>
            </w:pPr>
            <w:r>
              <w:rPr>
                <w:b/>
                <w:sz w:val="18"/>
              </w:rPr>
              <w:t xml:space="preserve">Výměra             </w:t>
            </w:r>
          </w:p>
          <w:p w14:paraId="2C000788" w14:textId="77777777" w:rsidR="00E42A45" w:rsidRDefault="00E42A45" w:rsidP="00BB63DF">
            <w:pPr>
              <w:tabs>
                <w:tab w:val="left" w:pos="709"/>
              </w:tabs>
              <w:rPr>
                <w:b/>
                <w:sz w:val="20"/>
              </w:rPr>
            </w:pPr>
            <w:r>
              <w:rPr>
                <w:b/>
                <w:sz w:val="18"/>
              </w:rPr>
              <w:t xml:space="preserve">                     </w:t>
            </w:r>
            <w:r>
              <w:rPr>
                <w:b/>
                <w:sz w:val="20"/>
              </w:rPr>
              <w:t>cca 5 ha</w:t>
            </w:r>
          </w:p>
        </w:tc>
      </w:tr>
      <w:tr w:rsidR="00E42A45" w14:paraId="74A4C78D" w14:textId="77777777" w:rsidTr="00E42A45">
        <w:trPr>
          <w:gridAfter w:val="1"/>
          <w:wAfter w:w="40" w:type="dxa"/>
        </w:trPr>
        <w:tc>
          <w:tcPr>
            <w:tcW w:w="7072" w:type="dxa"/>
            <w:shd w:val="clear" w:color="auto" w:fill="FFFFFF"/>
          </w:tcPr>
          <w:p w14:paraId="2D3B2628" w14:textId="77777777" w:rsidR="00E42A45" w:rsidRPr="002D7515" w:rsidRDefault="00E42A45" w:rsidP="00BB63DF">
            <w:pPr>
              <w:pStyle w:val="Nadpis6"/>
            </w:pPr>
            <w:r w:rsidRPr="002D7515">
              <w:t>EVKP - ekologicky významný krajinný prvek</w:t>
            </w:r>
          </w:p>
          <w:p w14:paraId="5133A399" w14:textId="77777777" w:rsidR="00E42A45" w:rsidRDefault="00E42A45" w:rsidP="00BB63DF">
            <w:pPr>
              <w:tabs>
                <w:tab w:val="left" w:pos="709"/>
              </w:tabs>
              <w:rPr>
                <w:sz w:val="20"/>
              </w:rPr>
            </w:pPr>
            <w:r>
              <w:rPr>
                <w:sz w:val="20"/>
              </w:rPr>
              <w:t>EVKC - ekologicky významný krajinný celek</w:t>
            </w:r>
          </w:p>
          <w:p w14:paraId="451800F8" w14:textId="77777777" w:rsidR="00E42A45" w:rsidRDefault="00E42A45" w:rsidP="00BB63DF">
            <w:pPr>
              <w:tabs>
                <w:tab w:val="left" w:pos="709"/>
              </w:tabs>
              <w:rPr>
                <w:sz w:val="20"/>
              </w:rPr>
            </w:pPr>
            <w:r>
              <w:rPr>
                <w:sz w:val="20"/>
              </w:rPr>
              <w:t>EVKO - ekologicky významná krajinná oblast</w:t>
            </w:r>
          </w:p>
          <w:p w14:paraId="44EA0282" w14:textId="77777777" w:rsidR="00E42A45" w:rsidRDefault="00E42A45" w:rsidP="00BB63DF">
            <w:pPr>
              <w:tabs>
                <w:tab w:val="left" w:pos="709"/>
              </w:tabs>
            </w:pPr>
            <w:r>
              <w:rPr>
                <w:sz w:val="20"/>
              </w:rPr>
              <w:t>EVLS  - ekologicky významné liniové společenstvo</w:t>
            </w:r>
          </w:p>
        </w:tc>
        <w:tc>
          <w:tcPr>
            <w:tcW w:w="3536" w:type="dxa"/>
            <w:shd w:val="clear" w:color="auto" w:fill="FFFFFF"/>
          </w:tcPr>
          <w:p w14:paraId="606F1BF4" w14:textId="77777777" w:rsidR="00E42A45" w:rsidRPr="002D7515" w:rsidRDefault="00E42A45" w:rsidP="00BB63DF">
            <w:pPr>
              <w:pStyle w:val="Nadpis8"/>
            </w:pPr>
            <w:r w:rsidRPr="002D7515">
              <w:t>Biogeografický význam</w:t>
            </w:r>
          </w:p>
          <w:p w14:paraId="21903A9B" w14:textId="77777777" w:rsidR="00E42A45" w:rsidRDefault="00E42A45" w:rsidP="00BB63DF">
            <w:pPr>
              <w:tabs>
                <w:tab w:val="left" w:pos="709"/>
              </w:tabs>
            </w:pPr>
            <w:r>
              <w:t xml:space="preserve">       -</w:t>
            </w:r>
            <w:r>
              <w:rPr>
                <w:b/>
              </w:rPr>
              <w:t xml:space="preserve"> lokální, reprezentativní</w:t>
            </w:r>
          </w:p>
          <w:p w14:paraId="3525136B" w14:textId="77777777" w:rsidR="00E42A45" w:rsidRDefault="00E42A45" w:rsidP="00BB63DF">
            <w:pPr>
              <w:tabs>
                <w:tab w:val="left" w:pos="709"/>
              </w:tabs>
              <w:ind w:left="345"/>
              <w:rPr>
                <w:sz w:val="20"/>
              </w:rPr>
            </w:pPr>
            <w:r>
              <w:t xml:space="preserve"> </w:t>
            </w:r>
            <w:r>
              <w:rPr>
                <w:sz w:val="20"/>
              </w:rPr>
              <w:t>-  regionální</w:t>
            </w:r>
          </w:p>
          <w:p w14:paraId="6A66B1CE" w14:textId="77777777" w:rsidR="00E42A45" w:rsidRDefault="00E42A45" w:rsidP="00BB63DF">
            <w:pPr>
              <w:tabs>
                <w:tab w:val="left" w:pos="709"/>
              </w:tabs>
              <w:ind w:left="345"/>
            </w:pPr>
            <w:r>
              <w:rPr>
                <w:sz w:val="20"/>
              </w:rPr>
              <w:t xml:space="preserve"> - nadregionální</w:t>
            </w:r>
          </w:p>
        </w:tc>
        <w:tc>
          <w:tcPr>
            <w:tcW w:w="3496" w:type="dxa"/>
            <w:shd w:val="clear" w:color="auto" w:fill="FFFFFF"/>
          </w:tcPr>
          <w:p w14:paraId="00C0260C" w14:textId="77777777" w:rsidR="00E42A45" w:rsidRDefault="00E42A45" w:rsidP="00BB63DF">
            <w:pPr>
              <w:tabs>
                <w:tab w:val="left" w:pos="709"/>
              </w:tabs>
              <w:rPr>
                <w:b/>
                <w:sz w:val="18"/>
              </w:rPr>
            </w:pPr>
            <w:r>
              <w:rPr>
                <w:b/>
                <w:sz w:val="18"/>
              </w:rPr>
              <w:t>Stav</w:t>
            </w:r>
          </w:p>
          <w:p w14:paraId="668057A6" w14:textId="77777777" w:rsidR="00E42A45" w:rsidRDefault="00E42A45" w:rsidP="00BB63DF">
            <w:pPr>
              <w:tabs>
                <w:tab w:val="left" w:pos="709"/>
              </w:tabs>
              <w:ind w:left="405"/>
            </w:pPr>
            <w:r>
              <w:rPr>
                <w:b/>
              </w:rPr>
              <w:t>-  funkčně vymezený</w:t>
            </w:r>
          </w:p>
          <w:p w14:paraId="64AF6B79" w14:textId="77777777" w:rsidR="00E42A45" w:rsidRDefault="00E42A45" w:rsidP="00BB63DF">
            <w:pPr>
              <w:tabs>
                <w:tab w:val="left" w:pos="709"/>
              </w:tabs>
              <w:rPr>
                <w:sz w:val="20"/>
              </w:rPr>
            </w:pPr>
            <w:r>
              <w:t xml:space="preserve">       </w:t>
            </w:r>
            <w:r>
              <w:rPr>
                <w:sz w:val="20"/>
              </w:rPr>
              <w:t xml:space="preserve">-  semifunkční    </w:t>
            </w:r>
          </w:p>
          <w:p w14:paraId="38BAE30A" w14:textId="77777777" w:rsidR="00E42A45" w:rsidRDefault="00E42A45" w:rsidP="00BB63DF">
            <w:pPr>
              <w:tabs>
                <w:tab w:val="left" w:pos="709"/>
              </w:tabs>
            </w:pPr>
            <w:r>
              <w:rPr>
                <w:sz w:val="20"/>
              </w:rPr>
              <w:t xml:space="preserve">        -  navržený</w:t>
            </w:r>
          </w:p>
        </w:tc>
      </w:tr>
      <w:tr w:rsidR="00E42A45" w14:paraId="27E85D56" w14:textId="77777777" w:rsidTr="00E42A45">
        <w:trPr>
          <w:gridAfter w:val="1"/>
          <w:wAfter w:w="40" w:type="dxa"/>
        </w:trPr>
        <w:tc>
          <w:tcPr>
            <w:tcW w:w="7072" w:type="dxa"/>
            <w:shd w:val="clear" w:color="auto" w:fill="FFFFFF"/>
          </w:tcPr>
          <w:p w14:paraId="70887304" w14:textId="77777777" w:rsidR="00E42A45" w:rsidRDefault="00E42A45" w:rsidP="00BB63DF">
            <w:pPr>
              <w:tabs>
                <w:tab w:val="left" w:pos="709"/>
              </w:tabs>
              <w:rPr>
                <w:b/>
                <w:sz w:val="18"/>
              </w:rPr>
            </w:pPr>
            <w:r>
              <w:rPr>
                <w:b/>
                <w:sz w:val="18"/>
              </w:rPr>
              <w:t>Geobiocenologická typizace (vegetační stupeň, trofická řada, hydrická řada)</w:t>
            </w:r>
          </w:p>
          <w:p w14:paraId="3DB157F7" w14:textId="77777777" w:rsidR="00E42A45" w:rsidRDefault="00E42A45" w:rsidP="00BB63DF">
            <w:pPr>
              <w:tabs>
                <w:tab w:val="left" w:pos="709"/>
              </w:tabs>
            </w:pPr>
            <w:r>
              <w:t xml:space="preserve">                        4AB2, 4A1    </w:t>
            </w:r>
          </w:p>
        </w:tc>
        <w:tc>
          <w:tcPr>
            <w:tcW w:w="7032" w:type="dxa"/>
            <w:gridSpan w:val="2"/>
            <w:shd w:val="clear" w:color="auto" w:fill="FFFFFF"/>
          </w:tcPr>
          <w:p w14:paraId="57886DC7" w14:textId="77777777" w:rsidR="00E42A45" w:rsidRDefault="00E42A45" w:rsidP="00BB63DF">
            <w:pPr>
              <w:tabs>
                <w:tab w:val="left" w:pos="709"/>
              </w:tabs>
            </w:pPr>
          </w:p>
        </w:tc>
      </w:tr>
      <w:tr w:rsidR="00E42A45" w14:paraId="51709D91" w14:textId="77777777" w:rsidTr="00E42A45">
        <w:trPr>
          <w:gridAfter w:val="1"/>
          <w:wAfter w:w="40" w:type="dxa"/>
        </w:trPr>
        <w:tc>
          <w:tcPr>
            <w:tcW w:w="14104" w:type="dxa"/>
            <w:gridSpan w:val="3"/>
            <w:shd w:val="clear" w:color="auto" w:fill="FFFFFF"/>
          </w:tcPr>
          <w:p w14:paraId="18517141" w14:textId="77777777" w:rsidR="00E42A45" w:rsidRDefault="00E42A45" w:rsidP="00BB63DF">
            <w:pPr>
              <w:tabs>
                <w:tab w:val="left" w:pos="709"/>
              </w:tabs>
            </w:pPr>
            <w:r>
              <w:rPr>
                <w:b/>
                <w:sz w:val="18"/>
              </w:rPr>
              <w:t>Charakter ekotopu a bioty</w:t>
            </w:r>
            <w:r>
              <w:t xml:space="preserve">   </w:t>
            </w:r>
          </w:p>
          <w:p w14:paraId="07728942" w14:textId="77777777" w:rsidR="00E42A45" w:rsidRDefault="00E42A45" w:rsidP="00BB63DF">
            <w:pPr>
              <w:tabs>
                <w:tab w:val="left" w:pos="709"/>
              </w:tabs>
              <w:rPr>
                <w:sz w:val="20"/>
              </w:rPr>
            </w:pPr>
            <w:r>
              <w:rPr>
                <w:sz w:val="20"/>
              </w:rPr>
              <w:t xml:space="preserve">  Lokální biocentrum nad městskou čtvrtí Bělá ve výběžku lesního komplexu.  Z jihu je lokalita levostranným přítokem Jílovského potoka - Bělským potokem.  Na něm je situován zazemněný průtočný rybník. Charakter toku je oproti přírodnímu pozměněn řadou regulačních zásahů. Reliéf lokality je značně členitý s pískovcovými skalními výchozy v SZ cípu biocentra. Vesměs JZ orientované svahy se sklonem až 70 %.  Nadmořská výška lokality se pohybuje od 160 do 240 m.   Z hlediska ekologických podmínek (troficita, hydricita) se jedná o méně rozmanité stanoviště.</w:t>
            </w:r>
          </w:p>
          <w:p w14:paraId="500856C2" w14:textId="77777777" w:rsidR="00E42A45" w:rsidRDefault="00E42A45" w:rsidP="00BB63DF">
            <w:pPr>
              <w:tabs>
                <w:tab w:val="left" w:pos="709"/>
              </w:tabs>
              <w:rPr>
                <w:sz w:val="20"/>
              </w:rPr>
            </w:pPr>
            <w:r>
              <w:rPr>
                <w:sz w:val="20"/>
              </w:rPr>
              <w:t xml:space="preserve">                                                                                                                                               SES = 4 - 5   </w:t>
            </w:r>
          </w:p>
          <w:p w14:paraId="6AF529A4" w14:textId="77777777" w:rsidR="00E42A45" w:rsidRDefault="00E42A45" w:rsidP="00BB63DF">
            <w:pPr>
              <w:tabs>
                <w:tab w:val="left" w:pos="709"/>
              </w:tabs>
              <w:rPr>
                <w:sz w:val="20"/>
              </w:rPr>
            </w:pPr>
            <w:r>
              <w:rPr>
                <w:sz w:val="20"/>
              </w:rPr>
              <w:t>Lesní porost je tvořen následujícími dřevinami:      hb, db</w:t>
            </w:r>
          </w:p>
          <w:p w14:paraId="5A4B5843" w14:textId="77777777" w:rsidR="00E42A45" w:rsidRDefault="00E42A45" w:rsidP="00BB63DF">
            <w:pPr>
              <w:tabs>
                <w:tab w:val="left" w:pos="709"/>
              </w:tabs>
              <w:rPr>
                <w:sz w:val="20"/>
              </w:rPr>
            </w:pPr>
            <w:r>
              <w:rPr>
                <w:sz w:val="20"/>
              </w:rPr>
              <w:t xml:space="preserve"> </w:t>
            </w:r>
          </w:p>
          <w:p w14:paraId="1785DA89" w14:textId="77777777" w:rsidR="00E42A45" w:rsidRDefault="00E42A45" w:rsidP="00BB63DF">
            <w:pPr>
              <w:tabs>
                <w:tab w:val="left" w:pos="709"/>
              </w:tabs>
              <w:rPr>
                <w:sz w:val="20"/>
              </w:rPr>
            </w:pPr>
            <w:r>
              <w:rPr>
                <w:b/>
                <w:sz w:val="20"/>
              </w:rPr>
              <w:t>Zastoupené lesní typy</w:t>
            </w:r>
            <w:r>
              <w:rPr>
                <w:sz w:val="20"/>
              </w:rPr>
              <w:t>:                 0K4 - kyselý dbbk BO na výr. podzolech             0K3 - kyselý dbbk BO borůvkový</w:t>
            </w:r>
          </w:p>
          <w:p w14:paraId="051D653B" w14:textId="77777777" w:rsidR="00E42A45" w:rsidRDefault="00E42A45" w:rsidP="00BB63DF">
            <w:pPr>
              <w:tabs>
                <w:tab w:val="left" w:pos="709"/>
              </w:tabs>
              <w:rPr>
                <w:sz w:val="20"/>
              </w:rPr>
            </w:pPr>
            <w:r>
              <w:rPr>
                <w:sz w:val="20"/>
              </w:rPr>
              <w:t xml:space="preserve">                                                        0Z1 - reliktní BO skalnatý                                               </w:t>
            </w:r>
          </w:p>
          <w:p w14:paraId="53C14965" w14:textId="77777777" w:rsidR="00E42A45" w:rsidRDefault="00E42A45" w:rsidP="00BB63DF">
            <w:pPr>
              <w:tabs>
                <w:tab w:val="left" w:pos="709"/>
              </w:tabs>
              <w:rPr>
                <w:sz w:val="20"/>
              </w:rPr>
            </w:pPr>
            <w:r>
              <w:rPr>
                <w:sz w:val="20"/>
              </w:rPr>
              <w:t xml:space="preserve">Geol.: Podzol výrazný i nevýrazný </w:t>
            </w:r>
          </w:p>
          <w:p w14:paraId="3929940A" w14:textId="77777777" w:rsidR="00E42A45" w:rsidRDefault="00E42A45" w:rsidP="00BB63DF">
            <w:pPr>
              <w:tabs>
                <w:tab w:val="left" w:pos="709"/>
              </w:tabs>
              <w:rPr>
                <w:i/>
                <w:sz w:val="20"/>
              </w:rPr>
            </w:pPr>
            <w:r>
              <w:rPr>
                <w:sz w:val="20"/>
              </w:rPr>
              <w:t xml:space="preserve">Bot.: </w:t>
            </w:r>
            <w:r>
              <w:rPr>
                <w:i/>
                <w:sz w:val="20"/>
              </w:rPr>
              <w:t xml:space="preserve">   Vaccinium myrtillus,  Deschampsia  flexuosa,  Dicranum scoparium,  Dryopteris spinulosa,   Sphagnum sp., Trientaliseuropea,          </w:t>
            </w:r>
          </w:p>
          <w:p w14:paraId="0B211023" w14:textId="77777777" w:rsidR="00E42A45" w:rsidRDefault="00E42A45" w:rsidP="00BB63DF">
            <w:pPr>
              <w:tabs>
                <w:tab w:val="left" w:pos="709"/>
              </w:tabs>
              <w:rPr>
                <w:i/>
                <w:sz w:val="20"/>
              </w:rPr>
            </w:pPr>
            <w:r>
              <w:rPr>
                <w:i/>
                <w:sz w:val="20"/>
              </w:rPr>
              <w:t xml:space="preserve">           Blechnum,  spicant, Carex sp.,  </w:t>
            </w:r>
          </w:p>
          <w:p w14:paraId="0E74D3A7" w14:textId="77777777" w:rsidR="00E42A45" w:rsidRDefault="00E42A45" w:rsidP="00BB63DF"/>
          <w:p w14:paraId="32E86557" w14:textId="77777777" w:rsidR="00E42A45" w:rsidRPr="00500416" w:rsidRDefault="00E42A45" w:rsidP="00BB63DF">
            <w:pPr>
              <w:pStyle w:val="Zkladntext"/>
              <w:rPr>
                <w:b/>
              </w:rPr>
            </w:pPr>
            <w:r>
              <w:rPr>
                <w:b/>
              </w:rPr>
              <w:t xml:space="preserve">Návrh opatření :    </w:t>
            </w:r>
            <w:r>
              <w:t xml:space="preserve">    </w:t>
            </w:r>
          </w:p>
          <w:p w14:paraId="188492E0" w14:textId="77777777" w:rsidR="00E42A45" w:rsidRDefault="00E42A45" w:rsidP="00BB63DF">
            <w:pPr>
              <w:tabs>
                <w:tab w:val="left" w:pos="709"/>
              </w:tabs>
              <w:rPr>
                <w:b/>
                <w:sz w:val="20"/>
              </w:rPr>
            </w:pPr>
            <w:r>
              <w:rPr>
                <w:b/>
                <w:sz w:val="20"/>
              </w:rPr>
              <w:t xml:space="preserve">Dřeviny přirozené rekonstruované skladby podle SLT:             0K - BO8, DB1, BK1               0Z - BO9, DB1, HB                                 </w:t>
            </w:r>
          </w:p>
          <w:p w14:paraId="31034DCE" w14:textId="77777777" w:rsidR="00E42A45" w:rsidRDefault="00E42A45" w:rsidP="00BB63DF">
            <w:pPr>
              <w:tabs>
                <w:tab w:val="left" w:pos="709"/>
              </w:tabs>
              <w:rPr>
                <w:b/>
                <w:sz w:val="20"/>
              </w:rPr>
            </w:pPr>
          </w:p>
          <w:p w14:paraId="66CC94AD" w14:textId="77777777" w:rsidR="00E42A45" w:rsidRDefault="00E42A45" w:rsidP="00BB63DF">
            <w:pPr>
              <w:tabs>
                <w:tab w:val="left" w:pos="709"/>
              </w:tabs>
            </w:pPr>
            <w:r>
              <w:rPr>
                <w:b/>
                <w:sz w:val="20"/>
              </w:rPr>
              <w:t>Opatření v porostu ve smyslu Generelu rekonstrukce, který je promítnut v platném LHP, s  náhradou dřevin mimo přirozenou dřevinnou skladbu. Udržet stabilitu porostu.</w:t>
            </w:r>
            <w:r>
              <w:t xml:space="preserve">                                   </w:t>
            </w:r>
          </w:p>
        </w:tc>
      </w:tr>
      <w:tr w:rsidR="00E42A45" w14:paraId="27E86423" w14:textId="77777777" w:rsidTr="00E42A45">
        <w:trPr>
          <w:gridAfter w:val="1"/>
          <w:wAfter w:w="40" w:type="dxa"/>
        </w:trPr>
        <w:tc>
          <w:tcPr>
            <w:tcW w:w="7072" w:type="dxa"/>
            <w:shd w:val="clear" w:color="auto" w:fill="FFFFFF"/>
          </w:tcPr>
          <w:p w14:paraId="6859B304" w14:textId="77777777" w:rsidR="00E42A45" w:rsidRDefault="00E42A45" w:rsidP="00BB63DF">
            <w:pPr>
              <w:tabs>
                <w:tab w:val="left" w:pos="709"/>
              </w:tabs>
              <w:rPr>
                <w:sz w:val="18"/>
              </w:rPr>
            </w:pPr>
            <w:r>
              <w:rPr>
                <w:sz w:val="18"/>
              </w:rPr>
              <w:t>Vymezení           LS  Sněžník, 151/G</w:t>
            </w:r>
          </w:p>
        </w:tc>
        <w:tc>
          <w:tcPr>
            <w:tcW w:w="7032" w:type="dxa"/>
            <w:gridSpan w:val="2"/>
            <w:shd w:val="clear" w:color="auto" w:fill="FFFFFF"/>
          </w:tcPr>
          <w:p w14:paraId="54359D82" w14:textId="77777777" w:rsidR="00E42A45" w:rsidRDefault="00E42A45" w:rsidP="00BB63DF">
            <w:pPr>
              <w:tabs>
                <w:tab w:val="left" w:pos="709"/>
              </w:tabs>
              <w:rPr>
                <w:sz w:val="18"/>
              </w:rPr>
            </w:pPr>
            <w:r>
              <w:rPr>
                <w:sz w:val="18"/>
              </w:rPr>
              <w:t xml:space="preserve">Kultura                   les  </w:t>
            </w:r>
          </w:p>
        </w:tc>
      </w:tr>
      <w:tr w:rsidR="00E42A45" w14:paraId="065CBA5C" w14:textId="77777777" w:rsidTr="00E42A45">
        <w:trPr>
          <w:gridAfter w:val="1"/>
          <w:wAfter w:w="40" w:type="dxa"/>
        </w:trPr>
        <w:tc>
          <w:tcPr>
            <w:tcW w:w="7072" w:type="dxa"/>
            <w:shd w:val="clear" w:color="auto" w:fill="FFFFFF"/>
          </w:tcPr>
          <w:p w14:paraId="19565960" w14:textId="77777777" w:rsidR="00E42A45" w:rsidRDefault="00E42A45" w:rsidP="00BB63DF">
            <w:pPr>
              <w:tabs>
                <w:tab w:val="left" w:pos="709"/>
              </w:tabs>
              <w:rPr>
                <w:sz w:val="18"/>
              </w:rPr>
            </w:pPr>
            <w:r>
              <w:rPr>
                <w:sz w:val="18"/>
              </w:rPr>
              <w:t>Uživatel                                                       LČR, město DC</w:t>
            </w:r>
          </w:p>
        </w:tc>
        <w:tc>
          <w:tcPr>
            <w:tcW w:w="7032" w:type="dxa"/>
            <w:gridSpan w:val="2"/>
            <w:shd w:val="clear" w:color="auto" w:fill="FFFFFF"/>
          </w:tcPr>
          <w:p w14:paraId="20AF765E" w14:textId="77777777" w:rsidR="00E42A45" w:rsidRDefault="00E42A45" w:rsidP="00BB63DF">
            <w:pPr>
              <w:tabs>
                <w:tab w:val="left" w:pos="709"/>
              </w:tabs>
              <w:rPr>
                <w:sz w:val="18"/>
              </w:rPr>
            </w:pPr>
            <w:r>
              <w:rPr>
                <w:sz w:val="18"/>
              </w:rPr>
              <w:t>Mapovatel              Sklenička, Linhart, 1997</w:t>
            </w:r>
          </w:p>
        </w:tc>
      </w:tr>
      <w:tr w:rsidR="00E42A45" w14:paraId="3A57D46B" w14:textId="77777777" w:rsidTr="00E42A45">
        <w:trPr>
          <w:gridAfter w:val="1"/>
          <w:wAfter w:w="40" w:type="dxa"/>
        </w:trPr>
        <w:tc>
          <w:tcPr>
            <w:tcW w:w="14104" w:type="dxa"/>
            <w:gridSpan w:val="3"/>
            <w:shd w:val="clear" w:color="auto" w:fill="FFFFFF"/>
          </w:tcPr>
          <w:p w14:paraId="2E661677" w14:textId="77777777" w:rsidR="00E42A45" w:rsidRDefault="00E42A45" w:rsidP="00BB63DF">
            <w:pPr>
              <w:tabs>
                <w:tab w:val="left" w:pos="709"/>
              </w:tabs>
            </w:pPr>
            <w:r>
              <w:rPr>
                <w:b/>
                <w:sz w:val="18"/>
              </w:rPr>
              <w:t>Kategorie ochrany, rok vyhlášení</w:t>
            </w:r>
          </w:p>
          <w:p w14:paraId="1D78B22B" w14:textId="77777777" w:rsidR="00E42A45" w:rsidRPr="002D7515" w:rsidRDefault="00E42A45" w:rsidP="00BB63DF">
            <w:pPr>
              <w:pStyle w:val="Nadpis7"/>
            </w:pPr>
            <w:r w:rsidRPr="002D7515">
              <w:t xml:space="preserve">                                                                                               CHKO Labské Pískovce - IV. zóna</w:t>
            </w:r>
          </w:p>
        </w:tc>
      </w:tr>
    </w:tbl>
    <w:p w14:paraId="567CDA92" w14:textId="77777777" w:rsidR="00E42A45" w:rsidRDefault="00E42A45" w:rsidP="00CA23D0">
      <w:pPr>
        <w:jc w:val="both"/>
        <w:rPr>
          <w:rFonts w:ascii="Arial" w:hAnsi="Arial" w:cs="Arial"/>
          <w:sz w:val="22"/>
        </w:rPr>
      </w:pPr>
    </w:p>
    <w:tbl>
      <w:tblPr>
        <w:tblW w:w="14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496"/>
      </w:tblGrid>
      <w:tr w:rsidR="00E42A45" w14:paraId="5D68DCA7" w14:textId="77777777" w:rsidTr="00BB63DF">
        <w:tc>
          <w:tcPr>
            <w:tcW w:w="7072" w:type="dxa"/>
            <w:shd w:val="clear" w:color="auto" w:fill="FFFFFF"/>
          </w:tcPr>
          <w:p w14:paraId="0ED9FABE" w14:textId="77777777" w:rsidR="00E42A45" w:rsidRDefault="00E42A45" w:rsidP="00BB63DF">
            <w:pPr>
              <w:tabs>
                <w:tab w:val="left" w:pos="709"/>
              </w:tabs>
              <w:rPr>
                <w:b/>
                <w:sz w:val="18"/>
              </w:rPr>
            </w:pPr>
            <w:r>
              <w:rPr>
                <w:b/>
                <w:sz w:val="18"/>
              </w:rPr>
              <w:lastRenderedPageBreak/>
              <w:t>Pořadové číslo</w:t>
            </w:r>
          </w:p>
          <w:p w14:paraId="5B750D7C" w14:textId="77777777" w:rsidR="00E42A45" w:rsidRDefault="00E42A45" w:rsidP="00BB63DF">
            <w:pPr>
              <w:tabs>
                <w:tab w:val="left" w:pos="709"/>
              </w:tabs>
              <w:rPr>
                <w:b/>
                <w:sz w:val="36"/>
              </w:rPr>
            </w:pPr>
            <w:r>
              <w:rPr>
                <w:b/>
                <w:sz w:val="18"/>
              </w:rPr>
              <w:t xml:space="preserve">                                   </w:t>
            </w:r>
            <w:r>
              <w:rPr>
                <w:b/>
              </w:rPr>
              <w:t xml:space="preserve">                                         </w:t>
            </w:r>
            <w:r>
              <w:rPr>
                <w:b/>
                <w:sz w:val="36"/>
              </w:rPr>
              <w:t>28</w:t>
            </w:r>
          </w:p>
        </w:tc>
        <w:tc>
          <w:tcPr>
            <w:tcW w:w="7032" w:type="dxa"/>
            <w:gridSpan w:val="2"/>
            <w:shd w:val="clear" w:color="auto" w:fill="FFFFFF"/>
          </w:tcPr>
          <w:p w14:paraId="34932C4F" w14:textId="77777777" w:rsidR="00E42A45" w:rsidRDefault="00E42A45" w:rsidP="00BB63DF">
            <w:pPr>
              <w:tabs>
                <w:tab w:val="left" w:pos="709"/>
              </w:tabs>
              <w:rPr>
                <w:b/>
                <w:sz w:val="18"/>
              </w:rPr>
            </w:pPr>
            <w:r>
              <w:rPr>
                <w:b/>
                <w:sz w:val="18"/>
              </w:rPr>
              <w:t>Katastrální území</w:t>
            </w:r>
          </w:p>
          <w:p w14:paraId="0D179983" w14:textId="77777777" w:rsidR="00E42A45" w:rsidRDefault="00E42A45" w:rsidP="00BB63DF">
            <w:pPr>
              <w:tabs>
                <w:tab w:val="left" w:pos="709"/>
              </w:tabs>
              <w:rPr>
                <w:b/>
                <w:sz w:val="18"/>
              </w:rPr>
            </w:pPr>
            <w:r>
              <w:rPr>
                <w:b/>
                <w:sz w:val="18"/>
              </w:rPr>
              <w:t xml:space="preserve">                                           </w:t>
            </w:r>
            <w:r>
              <w:rPr>
                <w:b/>
              </w:rPr>
              <w:t>Krásný Studenec</w:t>
            </w:r>
          </w:p>
        </w:tc>
      </w:tr>
      <w:tr w:rsidR="00E42A45" w14:paraId="2C9D06C5" w14:textId="77777777" w:rsidTr="00BB63DF">
        <w:tc>
          <w:tcPr>
            <w:tcW w:w="7072" w:type="dxa"/>
            <w:shd w:val="clear" w:color="auto" w:fill="FFFFFF"/>
          </w:tcPr>
          <w:p w14:paraId="1AE5D700" w14:textId="77777777" w:rsidR="00E42A45" w:rsidRDefault="00E42A45" w:rsidP="00BB63DF">
            <w:pPr>
              <w:tabs>
                <w:tab w:val="left" w:pos="709"/>
              </w:tabs>
              <w:rPr>
                <w:b/>
                <w:sz w:val="18"/>
              </w:rPr>
            </w:pPr>
            <w:r>
              <w:rPr>
                <w:b/>
                <w:sz w:val="18"/>
              </w:rPr>
              <w:t>Název</w:t>
            </w:r>
          </w:p>
          <w:p w14:paraId="7E75D6CA" w14:textId="77777777" w:rsidR="00E42A45" w:rsidRDefault="00E42A45" w:rsidP="00BB63DF">
            <w:pPr>
              <w:tabs>
                <w:tab w:val="left" w:pos="709"/>
              </w:tabs>
              <w:rPr>
                <w:b/>
                <w:caps/>
                <w:sz w:val="18"/>
              </w:rPr>
            </w:pPr>
            <w:r>
              <w:rPr>
                <w:b/>
                <w:caps/>
                <w:sz w:val="18"/>
              </w:rPr>
              <w:t xml:space="preserve">                                               </w:t>
            </w:r>
            <w:r>
              <w:rPr>
                <w:b/>
                <w:caps/>
              </w:rPr>
              <w:t xml:space="preserve">                   Klobouk</w:t>
            </w:r>
          </w:p>
        </w:tc>
        <w:tc>
          <w:tcPr>
            <w:tcW w:w="3536" w:type="dxa"/>
            <w:shd w:val="clear" w:color="auto" w:fill="FFFFFF"/>
          </w:tcPr>
          <w:p w14:paraId="09BE01A4" w14:textId="77777777" w:rsidR="00E42A45" w:rsidRDefault="00E42A45" w:rsidP="00BB63DF">
            <w:pPr>
              <w:tabs>
                <w:tab w:val="left" w:pos="709"/>
              </w:tabs>
              <w:rPr>
                <w:b/>
                <w:sz w:val="18"/>
              </w:rPr>
            </w:pPr>
            <w:r>
              <w:rPr>
                <w:b/>
                <w:sz w:val="18"/>
              </w:rPr>
              <w:t xml:space="preserve">Mapový list           </w:t>
            </w:r>
          </w:p>
          <w:p w14:paraId="5951A69A" w14:textId="77777777" w:rsidR="00E42A45" w:rsidRDefault="00E42A45" w:rsidP="00BB63DF">
            <w:pPr>
              <w:tabs>
                <w:tab w:val="left" w:pos="709"/>
              </w:tabs>
              <w:rPr>
                <w:b/>
                <w:sz w:val="20"/>
              </w:rPr>
            </w:pPr>
            <w:r>
              <w:rPr>
                <w:b/>
                <w:sz w:val="18"/>
              </w:rPr>
              <w:t xml:space="preserve">                            </w:t>
            </w:r>
            <w:r>
              <w:rPr>
                <w:sz w:val="20"/>
              </w:rPr>
              <w:t>02-23-18</w:t>
            </w:r>
          </w:p>
        </w:tc>
        <w:tc>
          <w:tcPr>
            <w:tcW w:w="3496" w:type="dxa"/>
            <w:shd w:val="clear" w:color="auto" w:fill="FFFFFF"/>
          </w:tcPr>
          <w:p w14:paraId="2C713A5D" w14:textId="77777777" w:rsidR="00E42A45" w:rsidRDefault="00E42A45" w:rsidP="00BB63DF">
            <w:pPr>
              <w:tabs>
                <w:tab w:val="left" w:pos="709"/>
              </w:tabs>
              <w:rPr>
                <w:b/>
                <w:sz w:val="18"/>
              </w:rPr>
            </w:pPr>
            <w:r>
              <w:rPr>
                <w:b/>
                <w:sz w:val="18"/>
              </w:rPr>
              <w:t xml:space="preserve">Výměra             </w:t>
            </w:r>
          </w:p>
          <w:p w14:paraId="0ED8C227" w14:textId="77777777" w:rsidR="00E42A45" w:rsidRDefault="00E42A45" w:rsidP="00BB63DF">
            <w:pPr>
              <w:tabs>
                <w:tab w:val="left" w:pos="709"/>
              </w:tabs>
              <w:rPr>
                <w:b/>
                <w:sz w:val="20"/>
              </w:rPr>
            </w:pPr>
            <w:r>
              <w:rPr>
                <w:b/>
                <w:sz w:val="18"/>
              </w:rPr>
              <w:t xml:space="preserve">                     </w:t>
            </w:r>
            <w:r>
              <w:rPr>
                <w:b/>
                <w:sz w:val="20"/>
              </w:rPr>
              <w:t>cca 18 ha</w:t>
            </w:r>
          </w:p>
        </w:tc>
      </w:tr>
      <w:tr w:rsidR="00E42A45" w14:paraId="0CD62F02" w14:textId="77777777" w:rsidTr="00BB63DF">
        <w:tc>
          <w:tcPr>
            <w:tcW w:w="7072" w:type="dxa"/>
            <w:shd w:val="clear" w:color="auto" w:fill="FFFFFF"/>
          </w:tcPr>
          <w:p w14:paraId="1F197AAD" w14:textId="77777777" w:rsidR="00E42A45" w:rsidRPr="002D7515" w:rsidRDefault="00E42A45" w:rsidP="00BB63DF">
            <w:pPr>
              <w:pStyle w:val="Nadpis6"/>
            </w:pPr>
            <w:r w:rsidRPr="002D7515">
              <w:t>EVKP - ekologicky významný krajinný prvek</w:t>
            </w:r>
          </w:p>
          <w:p w14:paraId="2F8400C9" w14:textId="77777777" w:rsidR="00E42A45" w:rsidRDefault="00E42A45" w:rsidP="00BB63DF">
            <w:pPr>
              <w:tabs>
                <w:tab w:val="left" w:pos="709"/>
              </w:tabs>
              <w:rPr>
                <w:sz w:val="20"/>
              </w:rPr>
            </w:pPr>
            <w:r>
              <w:rPr>
                <w:sz w:val="20"/>
              </w:rPr>
              <w:t>EVKC - ekologicky významný krajinný celek</w:t>
            </w:r>
          </w:p>
          <w:p w14:paraId="761EF2DC" w14:textId="77777777" w:rsidR="00E42A45" w:rsidRDefault="00E42A45" w:rsidP="00BB63DF">
            <w:pPr>
              <w:tabs>
                <w:tab w:val="left" w:pos="709"/>
              </w:tabs>
              <w:rPr>
                <w:sz w:val="20"/>
              </w:rPr>
            </w:pPr>
            <w:r>
              <w:rPr>
                <w:sz w:val="20"/>
              </w:rPr>
              <w:t>EVKO - ekologicky významná krajinná oblast</w:t>
            </w:r>
          </w:p>
          <w:p w14:paraId="1C57EBF1" w14:textId="77777777" w:rsidR="00E42A45" w:rsidRDefault="00E42A45" w:rsidP="00BB63DF">
            <w:pPr>
              <w:tabs>
                <w:tab w:val="left" w:pos="709"/>
              </w:tabs>
            </w:pPr>
            <w:r>
              <w:rPr>
                <w:sz w:val="20"/>
              </w:rPr>
              <w:t>EVLS  - ekologicky významné liniové společenstvo</w:t>
            </w:r>
          </w:p>
        </w:tc>
        <w:tc>
          <w:tcPr>
            <w:tcW w:w="3536" w:type="dxa"/>
            <w:shd w:val="clear" w:color="auto" w:fill="FFFFFF"/>
          </w:tcPr>
          <w:p w14:paraId="74034681" w14:textId="77777777" w:rsidR="00E42A45" w:rsidRPr="002D7515" w:rsidRDefault="00E42A45" w:rsidP="00BB63DF">
            <w:pPr>
              <w:pStyle w:val="Nadpis8"/>
            </w:pPr>
            <w:r w:rsidRPr="002D7515">
              <w:t>Biogeografický význam</w:t>
            </w:r>
          </w:p>
          <w:p w14:paraId="3CB4A76B" w14:textId="77777777" w:rsidR="00E42A45" w:rsidRDefault="00E42A45" w:rsidP="00BB63DF">
            <w:pPr>
              <w:tabs>
                <w:tab w:val="left" w:pos="709"/>
              </w:tabs>
            </w:pPr>
            <w:r>
              <w:t xml:space="preserve">       -</w:t>
            </w:r>
            <w:r>
              <w:rPr>
                <w:b/>
              </w:rPr>
              <w:t xml:space="preserve"> lokální, reprezentativní</w:t>
            </w:r>
          </w:p>
          <w:p w14:paraId="798784B7" w14:textId="77777777" w:rsidR="00E42A45" w:rsidRDefault="00E42A45" w:rsidP="00BB63DF">
            <w:pPr>
              <w:tabs>
                <w:tab w:val="left" w:pos="709"/>
              </w:tabs>
              <w:ind w:left="345"/>
              <w:rPr>
                <w:sz w:val="20"/>
              </w:rPr>
            </w:pPr>
            <w:r>
              <w:t xml:space="preserve"> -  </w:t>
            </w:r>
            <w:r>
              <w:rPr>
                <w:sz w:val="20"/>
              </w:rPr>
              <w:t>regionální</w:t>
            </w:r>
          </w:p>
          <w:p w14:paraId="5EFB604E" w14:textId="77777777" w:rsidR="00E42A45" w:rsidRDefault="00E42A45" w:rsidP="00BB63DF">
            <w:pPr>
              <w:tabs>
                <w:tab w:val="left" w:pos="709"/>
              </w:tabs>
              <w:ind w:left="345"/>
            </w:pPr>
            <w:r>
              <w:rPr>
                <w:sz w:val="20"/>
              </w:rPr>
              <w:t xml:space="preserve"> - nadregionální</w:t>
            </w:r>
          </w:p>
        </w:tc>
        <w:tc>
          <w:tcPr>
            <w:tcW w:w="3496" w:type="dxa"/>
            <w:shd w:val="clear" w:color="auto" w:fill="FFFFFF"/>
          </w:tcPr>
          <w:p w14:paraId="6CAA8C0A" w14:textId="77777777" w:rsidR="00E42A45" w:rsidRDefault="00E42A45" w:rsidP="00BB63DF">
            <w:pPr>
              <w:tabs>
                <w:tab w:val="left" w:pos="709"/>
              </w:tabs>
              <w:rPr>
                <w:b/>
                <w:sz w:val="18"/>
              </w:rPr>
            </w:pPr>
            <w:r>
              <w:rPr>
                <w:b/>
                <w:sz w:val="18"/>
              </w:rPr>
              <w:t>Stav</w:t>
            </w:r>
          </w:p>
          <w:p w14:paraId="65CB5790" w14:textId="77777777" w:rsidR="00E42A45" w:rsidRDefault="00E42A45" w:rsidP="00BB63DF">
            <w:pPr>
              <w:tabs>
                <w:tab w:val="left" w:pos="709"/>
              </w:tabs>
              <w:ind w:left="405"/>
            </w:pPr>
            <w:r>
              <w:rPr>
                <w:b/>
              </w:rPr>
              <w:t>-  funkčně vymezený</w:t>
            </w:r>
          </w:p>
          <w:p w14:paraId="44EB19EF" w14:textId="77777777" w:rsidR="00E42A45" w:rsidRDefault="00E42A45" w:rsidP="00BB63DF">
            <w:pPr>
              <w:tabs>
                <w:tab w:val="left" w:pos="709"/>
              </w:tabs>
              <w:rPr>
                <w:sz w:val="20"/>
              </w:rPr>
            </w:pPr>
            <w:r>
              <w:t xml:space="preserve">       </w:t>
            </w:r>
            <w:r>
              <w:rPr>
                <w:sz w:val="20"/>
              </w:rPr>
              <w:t xml:space="preserve">-  semifunkční    </w:t>
            </w:r>
          </w:p>
          <w:p w14:paraId="0A4ED1E0" w14:textId="77777777" w:rsidR="00E42A45" w:rsidRDefault="00E42A45" w:rsidP="00BB63DF">
            <w:pPr>
              <w:tabs>
                <w:tab w:val="left" w:pos="709"/>
              </w:tabs>
            </w:pPr>
            <w:r>
              <w:rPr>
                <w:sz w:val="20"/>
              </w:rPr>
              <w:t xml:space="preserve">        -  navržený</w:t>
            </w:r>
          </w:p>
        </w:tc>
      </w:tr>
      <w:tr w:rsidR="00E42A45" w14:paraId="65A1BFA7" w14:textId="77777777" w:rsidTr="00BB63DF">
        <w:tc>
          <w:tcPr>
            <w:tcW w:w="7072" w:type="dxa"/>
            <w:shd w:val="clear" w:color="auto" w:fill="FFFFFF"/>
          </w:tcPr>
          <w:p w14:paraId="0FD60EC9" w14:textId="77777777" w:rsidR="00E42A45" w:rsidRDefault="00E42A45" w:rsidP="00BB63DF">
            <w:pPr>
              <w:tabs>
                <w:tab w:val="left" w:pos="709"/>
              </w:tabs>
              <w:rPr>
                <w:b/>
                <w:sz w:val="18"/>
              </w:rPr>
            </w:pPr>
            <w:r>
              <w:rPr>
                <w:b/>
                <w:sz w:val="18"/>
              </w:rPr>
              <w:t>Geobiocenologická typizace (vegetační stupeň, trofická řada, hydrická řada)</w:t>
            </w:r>
          </w:p>
          <w:p w14:paraId="2201EB32" w14:textId="77777777" w:rsidR="00E42A45" w:rsidRDefault="00E42A45" w:rsidP="00BB63DF">
            <w:pPr>
              <w:tabs>
                <w:tab w:val="left" w:pos="709"/>
              </w:tabs>
            </w:pPr>
            <w:r>
              <w:t xml:space="preserve">                        3AB3, 3BC3, 3B3, 3BD3, 2C3, 2AB1, 1D1,       </w:t>
            </w:r>
          </w:p>
        </w:tc>
        <w:tc>
          <w:tcPr>
            <w:tcW w:w="7032" w:type="dxa"/>
            <w:gridSpan w:val="2"/>
            <w:shd w:val="clear" w:color="auto" w:fill="FFFFFF"/>
          </w:tcPr>
          <w:p w14:paraId="3EA89D27" w14:textId="77777777" w:rsidR="00E42A45" w:rsidRDefault="00E42A45" w:rsidP="00BB63DF">
            <w:pPr>
              <w:tabs>
                <w:tab w:val="left" w:pos="709"/>
              </w:tabs>
            </w:pPr>
          </w:p>
        </w:tc>
      </w:tr>
      <w:tr w:rsidR="00E42A45" w14:paraId="0A7F57A6" w14:textId="77777777" w:rsidTr="00BB63DF">
        <w:trPr>
          <w:trHeight w:val="4912"/>
        </w:trPr>
        <w:tc>
          <w:tcPr>
            <w:tcW w:w="14104" w:type="dxa"/>
            <w:gridSpan w:val="3"/>
            <w:shd w:val="clear" w:color="auto" w:fill="FFFFFF"/>
          </w:tcPr>
          <w:p w14:paraId="09424562" w14:textId="77777777" w:rsidR="00E42A45" w:rsidRDefault="00E42A45" w:rsidP="00BB63DF">
            <w:pPr>
              <w:tabs>
                <w:tab w:val="left" w:pos="709"/>
              </w:tabs>
            </w:pPr>
            <w:r>
              <w:rPr>
                <w:b/>
                <w:sz w:val="18"/>
              </w:rPr>
              <w:t>Charakter ekotopu a bioty</w:t>
            </w:r>
            <w:r>
              <w:t xml:space="preserve">   </w:t>
            </w:r>
          </w:p>
          <w:p w14:paraId="4E6C80AA" w14:textId="77777777" w:rsidR="00E42A45" w:rsidRDefault="00E42A45" w:rsidP="00BB63DF">
            <w:pPr>
              <w:tabs>
                <w:tab w:val="left" w:pos="709"/>
              </w:tabs>
              <w:rPr>
                <w:sz w:val="20"/>
              </w:rPr>
            </w:pPr>
            <w:r>
              <w:rPr>
                <w:sz w:val="20"/>
              </w:rPr>
              <w:t xml:space="preserve">Vrch Klobouk (501,9 m n. m.) a lesní porosty severně od něj, na prudkých svazích se všesměrnou orientací se sklonem až cca 70 %.  Nadmořská výška lokality se pohybuje od 360 do 502 m.   Z hlediska ekologických podmínek (troficita, hydricita) se jedná o mimořádně rozmanité stanoviště. Druhově bohatší dřevinné porosty jsou při jižním okraji, kde vzniká ekotonální efekt v okrajových partiích lesa.                                                                                                                   SES = 3 - 4   </w:t>
            </w:r>
          </w:p>
          <w:p w14:paraId="3390DF36" w14:textId="77777777" w:rsidR="00E42A45" w:rsidRDefault="00E42A45" w:rsidP="00BB63DF">
            <w:pPr>
              <w:tabs>
                <w:tab w:val="left" w:pos="709"/>
              </w:tabs>
              <w:rPr>
                <w:sz w:val="20"/>
              </w:rPr>
            </w:pPr>
            <w:r>
              <w:rPr>
                <w:sz w:val="20"/>
              </w:rPr>
              <w:t xml:space="preserve">Lesní porost je tvořen následujícími dřevinami:  </w:t>
            </w:r>
            <w:r>
              <w:rPr>
                <w:caps/>
                <w:sz w:val="20"/>
              </w:rPr>
              <w:t>db, br, sm, hb, kl, js</w:t>
            </w:r>
          </w:p>
          <w:p w14:paraId="57CFF235" w14:textId="77777777" w:rsidR="00E42A45" w:rsidRDefault="00E42A45" w:rsidP="00BB63DF">
            <w:pPr>
              <w:tabs>
                <w:tab w:val="left" w:pos="709"/>
              </w:tabs>
              <w:rPr>
                <w:sz w:val="20"/>
              </w:rPr>
            </w:pPr>
          </w:p>
          <w:p w14:paraId="5F8BC20E" w14:textId="77777777" w:rsidR="00E42A45" w:rsidRDefault="00E42A45" w:rsidP="00BB63DF">
            <w:pPr>
              <w:tabs>
                <w:tab w:val="left" w:pos="709"/>
              </w:tabs>
              <w:rPr>
                <w:sz w:val="20"/>
              </w:rPr>
            </w:pPr>
            <w:r>
              <w:rPr>
                <w:sz w:val="20"/>
              </w:rPr>
              <w:t>Zastoupené lesní typy:                 3K1 - kyselá db BK metlicová                              3A3 - lpdb BK s pitulníkem</w:t>
            </w:r>
          </w:p>
          <w:p w14:paraId="0FA07505" w14:textId="77777777" w:rsidR="00E42A45" w:rsidRDefault="00E42A45" w:rsidP="00BB63DF">
            <w:pPr>
              <w:tabs>
                <w:tab w:val="left" w:pos="709"/>
              </w:tabs>
              <w:rPr>
                <w:sz w:val="20"/>
              </w:rPr>
            </w:pPr>
            <w:r>
              <w:rPr>
                <w:sz w:val="20"/>
              </w:rPr>
              <w:t xml:space="preserve">                                                     3S6 - svěží db BK biková s mařinkou                  3H6 - hlinitá db BK </w:t>
            </w:r>
          </w:p>
          <w:p w14:paraId="19B603CE" w14:textId="77777777" w:rsidR="00E42A45" w:rsidRDefault="00E42A45" w:rsidP="00BB63DF">
            <w:pPr>
              <w:tabs>
                <w:tab w:val="left" w:pos="709"/>
              </w:tabs>
              <w:rPr>
                <w:sz w:val="20"/>
              </w:rPr>
            </w:pPr>
            <w:r>
              <w:rPr>
                <w:sz w:val="20"/>
              </w:rPr>
              <w:t xml:space="preserve">                                                     2A3 - jvbk DB lipnicová                                        1X9 - dřínová DB skalní lesostep</w:t>
            </w:r>
          </w:p>
          <w:p w14:paraId="76BCB825" w14:textId="77777777" w:rsidR="00E42A45" w:rsidRDefault="00E42A45" w:rsidP="00BB63DF">
            <w:pPr>
              <w:tabs>
                <w:tab w:val="left" w:pos="709"/>
              </w:tabs>
              <w:rPr>
                <w:sz w:val="20"/>
              </w:rPr>
            </w:pPr>
            <w:r>
              <w:rPr>
                <w:sz w:val="20"/>
              </w:rPr>
              <w:t xml:space="preserve">                                                     2Z4 - zakrslá bk DB s válečkou prap.                   1J3 - habrová JV kakostová   </w:t>
            </w:r>
          </w:p>
          <w:p w14:paraId="40F15A21" w14:textId="77777777" w:rsidR="00E42A45" w:rsidRDefault="00E42A45" w:rsidP="00BB63DF">
            <w:pPr>
              <w:tabs>
                <w:tab w:val="left" w:pos="709"/>
              </w:tabs>
              <w:rPr>
                <w:sz w:val="20"/>
              </w:rPr>
            </w:pPr>
            <w:r>
              <w:rPr>
                <w:sz w:val="20"/>
              </w:rPr>
              <w:t xml:space="preserve">                                              </w:t>
            </w:r>
          </w:p>
          <w:p w14:paraId="061B730B" w14:textId="77777777" w:rsidR="00E42A45" w:rsidRDefault="00E42A45" w:rsidP="00BB63DF">
            <w:pPr>
              <w:tabs>
                <w:tab w:val="left" w:pos="709"/>
              </w:tabs>
              <w:rPr>
                <w:sz w:val="20"/>
              </w:rPr>
            </w:pPr>
            <w:r>
              <w:rPr>
                <w:sz w:val="20"/>
              </w:rPr>
              <w:t xml:space="preserve">Geol.: oligotrofní až mezoeutrofní hnědá půda, nevyvinutá půda </w:t>
            </w:r>
          </w:p>
          <w:p w14:paraId="6619124F" w14:textId="77777777" w:rsidR="00E42A45" w:rsidRDefault="00E42A45" w:rsidP="00BB63DF">
            <w:pPr>
              <w:tabs>
                <w:tab w:val="left" w:pos="709"/>
              </w:tabs>
              <w:rPr>
                <w:i/>
                <w:sz w:val="20"/>
              </w:rPr>
            </w:pPr>
            <w:r>
              <w:rPr>
                <w:sz w:val="20"/>
              </w:rPr>
              <w:t xml:space="preserve">Bot.: </w:t>
            </w:r>
            <w:r>
              <w:rPr>
                <w:i/>
                <w:sz w:val="20"/>
              </w:rPr>
              <w:t xml:space="preserve">   Vaccinium myrtillus, Deschampsia  flexuosa,  Luzula nemorosa, Dicranum scoparium,  Hieracium silvaticum, Dryopteris spinulosa,   </w:t>
            </w:r>
          </w:p>
          <w:p w14:paraId="6AE04C12" w14:textId="77777777" w:rsidR="00E42A45" w:rsidRDefault="00E42A45" w:rsidP="00BB63DF">
            <w:pPr>
              <w:tabs>
                <w:tab w:val="left" w:pos="709"/>
              </w:tabs>
              <w:rPr>
                <w:i/>
                <w:sz w:val="20"/>
              </w:rPr>
            </w:pPr>
            <w:r>
              <w:rPr>
                <w:i/>
                <w:sz w:val="20"/>
              </w:rPr>
              <w:t xml:space="preserve">            Carex sp., Dicranium scoparium </w:t>
            </w:r>
          </w:p>
          <w:p w14:paraId="39D3338B" w14:textId="77777777" w:rsidR="00E42A45" w:rsidRDefault="00E42A45" w:rsidP="00BB63DF">
            <w:pPr>
              <w:tabs>
                <w:tab w:val="left" w:pos="709"/>
              </w:tabs>
              <w:rPr>
                <w:b/>
                <w:sz w:val="20"/>
              </w:rPr>
            </w:pPr>
          </w:p>
          <w:p w14:paraId="766D2FA3" w14:textId="77777777" w:rsidR="00E42A45" w:rsidRDefault="00E42A45" w:rsidP="00BB63DF">
            <w:pPr>
              <w:tabs>
                <w:tab w:val="left" w:pos="709"/>
              </w:tabs>
              <w:rPr>
                <w:b/>
                <w:sz w:val="20"/>
              </w:rPr>
            </w:pPr>
            <w:r>
              <w:rPr>
                <w:b/>
                <w:sz w:val="20"/>
              </w:rPr>
              <w:t xml:space="preserve">Návrh opatření :        </w:t>
            </w:r>
          </w:p>
          <w:p w14:paraId="55C97FBE" w14:textId="77777777" w:rsidR="00E42A45" w:rsidRDefault="00E42A45" w:rsidP="00BB63DF">
            <w:pPr>
              <w:tabs>
                <w:tab w:val="left" w:pos="709"/>
              </w:tabs>
              <w:rPr>
                <w:b/>
                <w:sz w:val="20"/>
              </w:rPr>
            </w:pPr>
            <w:r>
              <w:rPr>
                <w:b/>
                <w:sz w:val="20"/>
              </w:rPr>
              <w:t xml:space="preserve">Dřeviny přirozené rekonstruované skladby podle SLT:                        3K - BK6, DB3, JD1                         3A3 - BK5, LP2, DB1, JV1, JD1                                  </w:t>
            </w:r>
          </w:p>
          <w:p w14:paraId="2E367BDC" w14:textId="77777777" w:rsidR="00E42A45" w:rsidRPr="002D7515" w:rsidRDefault="00E42A45" w:rsidP="00BB63DF">
            <w:pPr>
              <w:pStyle w:val="Nadpis7"/>
            </w:pPr>
            <w:r w:rsidRPr="002D7515">
              <w:t xml:space="preserve">  3S - BK7, DB3, LP1                    3H - BK6, DB3, HB1, JD                      2A - DB5, BK1, LP2, JV1, HB1         1X - DB6, DB.P.2, HB1, BŔEK </w:t>
            </w:r>
          </w:p>
          <w:p w14:paraId="7B3A669C" w14:textId="77777777" w:rsidR="00E42A45" w:rsidRDefault="00E42A45" w:rsidP="00BB63DF">
            <w:pPr>
              <w:tabs>
                <w:tab w:val="left" w:pos="709"/>
              </w:tabs>
            </w:pPr>
            <w:r>
              <w:rPr>
                <w:b/>
                <w:sz w:val="20"/>
              </w:rPr>
              <w:t xml:space="preserve">  2Z - DB7, BK2,BR1, BO             1J - DB2, LP2, JV2, HB2, BŔEK                                                                                                                                   Obnovou a výchovou v  porostu podpořit dřeviny přirozené dř. skladby, zejména DB.P., břek a habr.</w:t>
            </w:r>
            <w:r>
              <w:t xml:space="preserve">                                   </w:t>
            </w:r>
          </w:p>
        </w:tc>
      </w:tr>
      <w:tr w:rsidR="00E42A45" w14:paraId="6BC6B102" w14:textId="77777777" w:rsidTr="00BB63DF">
        <w:tc>
          <w:tcPr>
            <w:tcW w:w="7072" w:type="dxa"/>
            <w:tcBorders>
              <w:bottom w:val="single" w:sz="4" w:space="0" w:color="auto"/>
            </w:tcBorders>
            <w:shd w:val="clear" w:color="auto" w:fill="FFFFFF"/>
          </w:tcPr>
          <w:p w14:paraId="52524136" w14:textId="77777777" w:rsidR="00E42A45" w:rsidRDefault="00E42A45" w:rsidP="00BB63DF">
            <w:pPr>
              <w:tabs>
                <w:tab w:val="left" w:pos="709"/>
              </w:tabs>
              <w:rPr>
                <w:sz w:val="18"/>
              </w:rPr>
            </w:pPr>
            <w:r>
              <w:rPr>
                <w:sz w:val="18"/>
              </w:rPr>
              <w:t>Vymezení           LS  Sněžník, 317/A,C</w:t>
            </w:r>
          </w:p>
        </w:tc>
        <w:tc>
          <w:tcPr>
            <w:tcW w:w="7032" w:type="dxa"/>
            <w:gridSpan w:val="2"/>
            <w:tcBorders>
              <w:bottom w:val="single" w:sz="4" w:space="0" w:color="auto"/>
            </w:tcBorders>
            <w:shd w:val="clear" w:color="auto" w:fill="FFFFFF"/>
          </w:tcPr>
          <w:p w14:paraId="389CA084" w14:textId="77777777" w:rsidR="00E42A45" w:rsidRDefault="00E42A45" w:rsidP="00BB63DF">
            <w:pPr>
              <w:tabs>
                <w:tab w:val="left" w:pos="709"/>
              </w:tabs>
              <w:rPr>
                <w:sz w:val="18"/>
              </w:rPr>
            </w:pPr>
            <w:r>
              <w:rPr>
                <w:sz w:val="18"/>
              </w:rPr>
              <w:t xml:space="preserve">Kultura                 les  </w:t>
            </w:r>
          </w:p>
        </w:tc>
      </w:tr>
      <w:tr w:rsidR="00E42A45" w14:paraId="4C41938E" w14:textId="77777777" w:rsidTr="00BB63DF">
        <w:tc>
          <w:tcPr>
            <w:tcW w:w="7072" w:type="dxa"/>
            <w:tcBorders>
              <w:bottom w:val="single" w:sz="4" w:space="0" w:color="auto"/>
            </w:tcBorders>
            <w:shd w:val="clear" w:color="auto" w:fill="FFFFFF"/>
          </w:tcPr>
          <w:p w14:paraId="40817763" w14:textId="77777777" w:rsidR="00E42A45" w:rsidRDefault="00E42A45" w:rsidP="00BB63DF">
            <w:pPr>
              <w:tabs>
                <w:tab w:val="left" w:pos="709"/>
              </w:tabs>
              <w:rPr>
                <w:sz w:val="18"/>
              </w:rPr>
            </w:pPr>
            <w:r>
              <w:rPr>
                <w:sz w:val="18"/>
              </w:rPr>
              <w:t>Uživatel             LČR, město DC</w:t>
            </w:r>
          </w:p>
          <w:p w14:paraId="41CDECE7" w14:textId="77777777" w:rsidR="00E42A45" w:rsidRDefault="00E42A45" w:rsidP="00BB63DF">
            <w:pPr>
              <w:tabs>
                <w:tab w:val="left" w:pos="709"/>
              </w:tabs>
              <w:rPr>
                <w:sz w:val="18"/>
              </w:rPr>
            </w:pPr>
          </w:p>
        </w:tc>
        <w:tc>
          <w:tcPr>
            <w:tcW w:w="7032" w:type="dxa"/>
            <w:gridSpan w:val="2"/>
            <w:tcBorders>
              <w:bottom w:val="single" w:sz="4" w:space="0" w:color="auto"/>
            </w:tcBorders>
            <w:shd w:val="clear" w:color="auto" w:fill="FFFFFF"/>
          </w:tcPr>
          <w:p w14:paraId="14062EE4" w14:textId="77777777" w:rsidR="00E42A45" w:rsidRDefault="00E42A45" w:rsidP="00BB63DF">
            <w:pPr>
              <w:tabs>
                <w:tab w:val="left" w:pos="709"/>
              </w:tabs>
              <w:rPr>
                <w:sz w:val="18"/>
              </w:rPr>
            </w:pPr>
            <w:r>
              <w:rPr>
                <w:sz w:val="18"/>
              </w:rPr>
              <w:t>Mapovatel            Sklenička, Linhart, 1997</w:t>
            </w:r>
          </w:p>
        </w:tc>
      </w:tr>
      <w:tr w:rsidR="00E42A45" w14:paraId="52A0EF18" w14:textId="77777777" w:rsidTr="00BB63DF">
        <w:tc>
          <w:tcPr>
            <w:tcW w:w="14104" w:type="dxa"/>
            <w:gridSpan w:val="3"/>
            <w:tcBorders>
              <w:top w:val="single" w:sz="4" w:space="0" w:color="auto"/>
              <w:left w:val="single" w:sz="4" w:space="0" w:color="auto"/>
              <w:bottom w:val="single" w:sz="4" w:space="0" w:color="auto"/>
              <w:right w:val="single" w:sz="4" w:space="0" w:color="auto"/>
            </w:tcBorders>
            <w:shd w:val="clear" w:color="auto" w:fill="FFFFFF"/>
          </w:tcPr>
          <w:p w14:paraId="0AC6874E" w14:textId="77777777" w:rsidR="00E42A45" w:rsidRDefault="00E42A45" w:rsidP="00BB63DF">
            <w:pPr>
              <w:tabs>
                <w:tab w:val="left" w:pos="709"/>
              </w:tabs>
              <w:rPr>
                <w:sz w:val="18"/>
              </w:rPr>
            </w:pPr>
            <w:r>
              <w:rPr>
                <w:sz w:val="18"/>
              </w:rPr>
              <w:t>Kategorie ochrany, rok vyhlášení</w:t>
            </w:r>
          </w:p>
          <w:p w14:paraId="7D417135" w14:textId="77777777" w:rsidR="00E42A45" w:rsidRDefault="00E42A45" w:rsidP="00BB63DF">
            <w:pPr>
              <w:tabs>
                <w:tab w:val="left" w:pos="709"/>
              </w:tabs>
              <w:rPr>
                <w:sz w:val="20"/>
              </w:rPr>
            </w:pPr>
            <w:r>
              <w:rPr>
                <w:sz w:val="20"/>
              </w:rPr>
              <w:t xml:space="preserve">                                                                             </w:t>
            </w:r>
            <w:r>
              <w:rPr>
                <w:b/>
                <w:sz w:val="20"/>
              </w:rPr>
              <w:t>CHKO České Středohoří - III. zóna</w:t>
            </w:r>
          </w:p>
        </w:tc>
      </w:tr>
      <w:tr w:rsidR="00E42A45" w14:paraId="569C0689" w14:textId="77777777" w:rsidTr="00BB63DF">
        <w:tc>
          <w:tcPr>
            <w:tcW w:w="7072" w:type="dxa"/>
            <w:tcBorders>
              <w:top w:val="single" w:sz="4" w:space="0" w:color="auto"/>
            </w:tcBorders>
            <w:shd w:val="clear" w:color="auto" w:fill="FFFFFF"/>
          </w:tcPr>
          <w:p w14:paraId="03015AD7" w14:textId="77777777" w:rsidR="00E42A45" w:rsidRDefault="00E42A45" w:rsidP="00BB63DF">
            <w:pPr>
              <w:tabs>
                <w:tab w:val="left" w:pos="709"/>
              </w:tabs>
              <w:rPr>
                <w:b/>
                <w:sz w:val="18"/>
              </w:rPr>
            </w:pPr>
            <w:r>
              <w:rPr>
                <w:b/>
                <w:sz w:val="18"/>
              </w:rPr>
              <w:lastRenderedPageBreak/>
              <w:t>Pořadové číslo</w:t>
            </w:r>
          </w:p>
          <w:p w14:paraId="6606ABE4" w14:textId="77777777" w:rsidR="00E42A45" w:rsidRDefault="00E42A45" w:rsidP="00BB63DF">
            <w:pPr>
              <w:tabs>
                <w:tab w:val="left" w:pos="709"/>
              </w:tabs>
              <w:rPr>
                <w:b/>
                <w:sz w:val="36"/>
              </w:rPr>
            </w:pPr>
            <w:r>
              <w:rPr>
                <w:b/>
                <w:sz w:val="36"/>
              </w:rPr>
              <w:t xml:space="preserve">                                                29</w:t>
            </w:r>
          </w:p>
        </w:tc>
        <w:tc>
          <w:tcPr>
            <w:tcW w:w="7032" w:type="dxa"/>
            <w:gridSpan w:val="2"/>
            <w:tcBorders>
              <w:top w:val="single" w:sz="4" w:space="0" w:color="auto"/>
            </w:tcBorders>
            <w:shd w:val="clear" w:color="auto" w:fill="FFFFFF"/>
          </w:tcPr>
          <w:p w14:paraId="28FD361B" w14:textId="77777777" w:rsidR="00E42A45" w:rsidRDefault="00E42A45" w:rsidP="00BB63DF">
            <w:pPr>
              <w:tabs>
                <w:tab w:val="left" w:pos="709"/>
              </w:tabs>
              <w:rPr>
                <w:b/>
                <w:sz w:val="18"/>
              </w:rPr>
            </w:pPr>
            <w:r>
              <w:rPr>
                <w:b/>
                <w:sz w:val="18"/>
              </w:rPr>
              <w:t>Katastrální území</w:t>
            </w:r>
          </w:p>
          <w:p w14:paraId="15115FFC" w14:textId="77777777" w:rsidR="00E42A45" w:rsidRDefault="00E42A45" w:rsidP="00BB63DF">
            <w:pPr>
              <w:tabs>
                <w:tab w:val="left" w:pos="709"/>
              </w:tabs>
              <w:rPr>
                <w:b/>
                <w:sz w:val="18"/>
              </w:rPr>
            </w:pPr>
            <w:r>
              <w:t xml:space="preserve">                         </w:t>
            </w:r>
            <w:r>
              <w:rPr>
                <w:b/>
              </w:rPr>
              <w:t>Chrochvice,</w:t>
            </w:r>
            <w:r>
              <w:rPr>
                <w:b/>
                <w:sz w:val="18"/>
              </w:rPr>
              <w:t xml:space="preserve"> </w:t>
            </w:r>
            <w:r>
              <w:rPr>
                <w:b/>
              </w:rPr>
              <w:t>Krásný Studenec,Vilsnice</w:t>
            </w:r>
          </w:p>
        </w:tc>
      </w:tr>
      <w:tr w:rsidR="00E42A45" w14:paraId="071D580F" w14:textId="77777777" w:rsidTr="00BB63DF">
        <w:tc>
          <w:tcPr>
            <w:tcW w:w="7072" w:type="dxa"/>
            <w:shd w:val="clear" w:color="auto" w:fill="FFFFFF"/>
          </w:tcPr>
          <w:p w14:paraId="3AB39441" w14:textId="77777777" w:rsidR="00E42A45" w:rsidRDefault="00E42A45" w:rsidP="00BB63DF">
            <w:pPr>
              <w:tabs>
                <w:tab w:val="left" w:pos="709"/>
              </w:tabs>
              <w:rPr>
                <w:b/>
                <w:sz w:val="18"/>
              </w:rPr>
            </w:pPr>
            <w:r>
              <w:rPr>
                <w:b/>
                <w:sz w:val="18"/>
              </w:rPr>
              <w:t>Název</w:t>
            </w:r>
          </w:p>
          <w:p w14:paraId="164B5D54" w14:textId="77777777" w:rsidR="00E42A45" w:rsidRDefault="00E42A45" w:rsidP="00BB63DF">
            <w:pPr>
              <w:tabs>
                <w:tab w:val="left" w:pos="709"/>
              </w:tabs>
              <w:rPr>
                <w:b/>
                <w:caps/>
                <w:sz w:val="18"/>
              </w:rPr>
            </w:pPr>
            <w:r>
              <w:rPr>
                <w:b/>
                <w:caps/>
                <w:sz w:val="18"/>
              </w:rPr>
              <w:t xml:space="preserve">                                                                              </w:t>
            </w:r>
            <w:r>
              <w:rPr>
                <w:b/>
                <w:caps/>
              </w:rPr>
              <w:t>Chmelník</w:t>
            </w:r>
          </w:p>
        </w:tc>
        <w:tc>
          <w:tcPr>
            <w:tcW w:w="3536" w:type="dxa"/>
            <w:shd w:val="clear" w:color="auto" w:fill="FFFFFF"/>
          </w:tcPr>
          <w:p w14:paraId="64481F94" w14:textId="77777777" w:rsidR="00E42A45" w:rsidRDefault="00E42A45" w:rsidP="00BB63DF">
            <w:pPr>
              <w:tabs>
                <w:tab w:val="left" w:pos="709"/>
              </w:tabs>
              <w:rPr>
                <w:b/>
                <w:sz w:val="18"/>
              </w:rPr>
            </w:pPr>
            <w:r>
              <w:rPr>
                <w:b/>
                <w:sz w:val="18"/>
              </w:rPr>
              <w:t xml:space="preserve">Mapový list           </w:t>
            </w:r>
          </w:p>
          <w:p w14:paraId="3DF05638" w14:textId="77777777" w:rsidR="00E42A45" w:rsidRDefault="00E42A45" w:rsidP="00BB63DF">
            <w:pPr>
              <w:tabs>
                <w:tab w:val="left" w:pos="709"/>
              </w:tabs>
              <w:rPr>
                <w:b/>
                <w:sz w:val="20"/>
              </w:rPr>
            </w:pPr>
            <w:r>
              <w:rPr>
                <w:b/>
                <w:sz w:val="20"/>
              </w:rPr>
              <w:t xml:space="preserve">                            </w:t>
            </w:r>
            <w:r>
              <w:rPr>
                <w:sz w:val="20"/>
              </w:rPr>
              <w:t>02-23-23</w:t>
            </w:r>
          </w:p>
        </w:tc>
        <w:tc>
          <w:tcPr>
            <w:tcW w:w="3496" w:type="dxa"/>
            <w:shd w:val="clear" w:color="auto" w:fill="FFFFFF"/>
          </w:tcPr>
          <w:p w14:paraId="482879EF" w14:textId="77777777" w:rsidR="00E42A45" w:rsidRDefault="00E42A45" w:rsidP="00BB63DF">
            <w:pPr>
              <w:tabs>
                <w:tab w:val="left" w:pos="709"/>
              </w:tabs>
              <w:rPr>
                <w:b/>
                <w:sz w:val="18"/>
              </w:rPr>
            </w:pPr>
            <w:r>
              <w:rPr>
                <w:b/>
                <w:sz w:val="18"/>
              </w:rPr>
              <w:t xml:space="preserve">Výměra             </w:t>
            </w:r>
          </w:p>
          <w:p w14:paraId="53DAACA0" w14:textId="77777777" w:rsidR="00E42A45" w:rsidRDefault="00E42A45" w:rsidP="00BB63DF">
            <w:pPr>
              <w:tabs>
                <w:tab w:val="left" w:pos="709"/>
              </w:tabs>
              <w:rPr>
                <w:b/>
                <w:sz w:val="20"/>
              </w:rPr>
            </w:pPr>
            <w:r>
              <w:rPr>
                <w:b/>
                <w:sz w:val="18"/>
              </w:rPr>
              <w:t xml:space="preserve">                     </w:t>
            </w:r>
            <w:r>
              <w:rPr>
                <w:b/>
                <w:sz w:val="20"/>
              </w:rPr>
              <w:t>cca 45  ha</w:t>
            </w:r>
          </w:p>
        </w:tc>
      </w:tr>
      <w:tr w:rsidR="00E42A45" w14:paraId="1B3E023E" w14:textId="77777777" w:rsidTr="00BB63DF">
        <w:tc>
          <w:tcPr>
            <w:tcW w:w="7072" w:type="dxa"/>
            <w:shd w:val="clear" w:color="auto" w:fill="FFFFFF"/>
          </w:tcPr>
          <w:p w14:paraId="0BC7FA70" w14:textId="77777777" w:rsidR="00E42A45" w:rsidRPr="002D7515" w:rsidRDefault="00E42A45" w:rsidP="00BB63DF">
            <w:pPr>
              <w:pStyle w:val="Nadpis6"/>
            </w:pPr>
            <w:r w:rsidRPr="002D7515">
              <w:t>EVKP - ekologicky významný krajinný prvek</w:t>
            </w:r>
          </w:p>
          <w:p w14:paraId="11DF5D01" w14:textId="77777777" w:rsidR="00E42A45" w:rsidRDefault="00E42A45" w:rsidP="00BB63DF">
            <w:pPr>
              <w:tabs>
                <w:tab w:val="left" w:pos="709"/>
              </w:tabs>
              <w:rPr>
                <w:sz w:val="20"/>
              </w:rPr>
            </w:pPr>
            <w:r>
              <w:rPr>
                <w:sz w:val="20"/>
              </w:rPr>
              <w:t>EVKC - ekologicky významný krajinný celek</w:t>
            </w:r>
          </w:p>
          <w:p w14:paraId="40FF9953" w14:textId="77777777" w:rsidR="00E42A45" w:rsidRDefault="00E42A45" w:rsidP="00BB63DF">
            <w:pPr>
              <w:tabs>
                <w:tab w:val="left" w:pos="709"/>
              </w:tabs>
              <w:rPr>
                <w:sz w:val="20"/>
              </w:rPr>
            </w:pPr>
            <w:r>
              <w:rPr>
                <w:sz w:val="20"/>
              </w:rPr>
              <w:t>EVKO - ekologicky významná krajinná oblast</w:t>
            </w:r>
          </w:p>
          <w:p w14:paraId="28A9D434" w14:textId="77777777" w:rsidR="00E42A45" w:rsidRDefault="00E42A45" w:rsidP="00BB63DF">
            <w:pPr>
              <w:tabs>
                <w:tab w:val="left" w:pos="709"/>
              </w:tabs>
            </w:pPr>
            <w:r>
              <w:rPr>
                <w:sz w:val="20"/>
              </w:rPr>
              <w:t>EVLS  - ekologicky významné liniové společenstvo</w:t>
            </w:r>
          </w:p>
        </w:tc>
        <w:tc>
          <w:tcPr>
            <w:tcW w:w="3536" w:type="dxa"/>
            <w:shd w:val="clear" w:color="auto" w:fill="FFFFFF"/>
          </w:tcPr>
          <w:p w14:paraId="163E9A92" w14:textId="77777777" w:rsidR="00E42A45" w:rsidRPr="002D7515" w:rsidRDefault="00E42A45" w:rsidP="00BB63DF">
            <w:pPr>
              <w:pStyle w:val="Nadpis8"/>
            </w:pPr>
            <w:r w:rsidRPr="002D7515">
              <w:t>Biogeografický význam</w:t>
            </w:r>
          </w:p>
          <w:p w14:paraId="7ABC980B" w14:textId="77777777" w:rsidR="00E42A45" w:rsidRDefault="00E42A45" w:rsidP="00BB63DF">
            <w:pPr>
              <w:tabs>
                <w:tab w:val="left" w:pos="709"/>
              </w:tabs>
            </w:pPr>
            <w:r>
              <w:t xml:space="preserve">       -</w:t>
            </w:r>
            <w:r>
              <w:rPr>
                <w:b/>
              </w:rPr>
              <w:t xml:space="preserve"> lokální, reprezentativní</w:t>
            </w:r>
          </w:p>
          <w:p w14:paraId="3021E95D" w14:textId="77777777" w:rsidR="00E42A45" w:rsidRDefault="00E42A45" w:rsidP="00BB63DF">
            <w:pPr>
              <w:tabs>
                <w:tab w:val="left" w:pos="709"/>
              </w:tabs>
              <w:ind w:left="345"/>
              <w:rPr>
                <w:sz w:val="20"/>
              </w:rPr>
            </w:pPr>
            <w:r>
              <w:t xml:space="preserve"> </w:t>
            </w:r>
            <w:r>
              <w:rPr>
                <w:sz w:val="20"/>
              </w:rPr>
              <w:t>-  regionální</w:t>
            </w:r>
          </w:p>
          <w:p w14:paraId="200268EF" w14:textId="77777777" w:rsidR="00E42A45" w:rsidRDefault="00E42A45" w:rsidP="00BB63DF">
            <w:pPr>
              <w:tabs>
                <w:tab w:val="left" w:pos="709"/>
              </w:tabs>
              <w:ind w:left="345"/>
            </w:pPr>
            <w:r>
              <w:rPr>
                <w:sz w:val="20"/>
              </w:rPr>
              <w:t xml:space="preserve"> - nadregionální</w:t>
            </w:r>
          </w:p>
        </w:tc>
        <w:tc>
          <w:tcPr>
            <w:tcW w:w="3496" w:type="dxa"/>
            <w:shd w:val="clear" w:color="auto" w:fill="FFFFFF"/>
          </w:tcPr>
          <w:p w14:paraId="17804BA1" w14:textId="77777777" w:rsidR="00E42A45" w:rsidRDefault="00E42A45" w:rsidP="00BB63DF">
            <w:pPr>
              <w:tabs>
                <w:tab w:val="left" w:pos="709"/>
              </w:tabs>
              <w:rPr>
                <w:b/>
                <w:sz w:val="18"/>
              </w:rPr>
            </w:pPr>
            <w:r>
              <w:rPr>
                <w:b/>
                <w:sz w:val="18"/>
              </w:rPr>
              <w:t>Stav</w:t>
            </w:r>
          </w:p>
          <w:p w14:paraId="2FE218CF" w14:textId="77777777" w:rsidR="00E42A45" w:rsidRDefault="00E42A45" w:rsidP="00BB63DF">
            <w:pPr>
              <w:tabs>
                <w:tab w:val="left" w:pos="709"/>
              </w:tabs>
              <w:ind w:left="405"/>
            </w:pPr>
            <w:r>
              <w:rPr>
                <w:b/>
              </w:rPr>
              <w:t>-  funkčně vymezený</w:t>
            </w:r>
          </w:p>
          <w:p w14:paraId="0FDE9551" w14:textId="77777777" w:rsidR="00E42A45" w:rsidRDefault="00E42A45" w:rsidP="00BB63DF">
            <w:pPr>
              <w:tabs>
                <w:tab w:val="left" w:pos="709"/>
              </w:tabs>
              <w:rPr>
                <w:sz w:val="20"/>
              </w:rPr>
            </w:pPr>
            <w:r>
              <w:t xml:space="preserve">       </w:t>
            </w:r>
            <w:r>
              <w:rPr>
                <w:sz w:val="20"/>
              </w:rPr>
              <w:t xml:space="preserve">-  semifunkční    </w:t>
            </w:r>
          </w:p>
          <w:p w14:paraId="69130F47" w14:textId="77777777" w:rsidR="00E42A45" w:rsidRDefault="00E42A45" w:rsidP="00BB63DF">
            <w:pPr>
              <w:tabs>
                <w:tab w:val="left" w:pos="709"/>
              </w:tabs>
            </w:pPr>
            <w:r>
              <w:rPr>
                <w:sz w:val="20"/>
              </w:rPr>
              <w:t xml:space="preserve">        -  navržený</w:t>
            </w:r>
          </w:p>
        </w:tc>
      </w:tr>
      <w:tr w:rsidR="00E42A45" w14:paraId="749CA4AB" w14:textId="77777777" w:rsidTr="00BB63DF">
        <w:tc>
          <w:tcPr>
            <w:tcW w:w="7072" w:type="dxa"/>
            <w:shd w:val="clear" w:color="auto" w:fill="FFFFFF"/>
          </w:tcPr>
          <w:p w14:paraId="34E8CA22" w14:textId="77777777" w:rsidR="00E42A45" w:rsidRDefault="00E42A45" w:rsidP="00BB63DF">
            <w:pPr>
              <w:tabs>
                <w:tab w:val="left" w:pos="709"/>
              </w:tabs>
              <w:rPr>
                <w:b/>
                <w:sz w:val="18"/>
              </w:rPr>
            </w:pPr>
            <w:r>
              <w:rPr>
                <w:b/>
                <w:sz w:val="18"/>
              </w:rPr>
              <w:t>Geobiocenologická typizace (vegetační stupeň, trofická řada, hydrická řada)</w:t>
            </w:r>
          </w:p>
          <w:p w14:paraId="619F4A60" w14:textId="77777777" w:rsidR="00E42A45" w:rsidRDefault="00E42A45" w:rsidP="00BB63DF">
            <w:pPr>
              <w:tabs>
                <w:tab w:val="left" w:pos="709"/>
              </w:tabs>
            </w:pPr>
            <w:r>
              <w:t xml:space="preserve">                        2C3, 3C3, 2B3, 2BD1, 2AB1, 3BD3,     </w:t>
            </w:r>
          </w:p>
        </w:tc>
        <w:tc>
          <w:tcPr>
            <w:tcW w:w="7032" w:type="dxa"/>
            <w:gridSpan w:val="2"/>
            <w:shd w:val="clear" w:color="auto" w:fill="FFFFFF"/>
          </w:tcPr>
          <w:p w14:paraId="36F51E6A" w14:textId="77777777" w:rsidR="00E42A45" w:rsidRDefault="00E42A45" w:rsidP="00BB63DF">
            <w:pPr>
              <w:tabs>
                <w:tab w:val="left" w:pos="709"/>
              </w:tabs>
            </w:pPr>
          </w:p>
        </w:tc>
      </w:tr>
      <w:tr w:rsidR="00E42A45" w14:paraId="40DC78CA" w14:textId="77777777" w:rsidTr="00BB63DF">
        <w:tc>
          <w:tcPr>
            <w:tcW w:w="14104" w:type="dxa"/>
            <w:gridSpan w:val="3"/>
            <w:shd w:val="clear" w:color="auto" w:fill="FFFFFF"/>
          </w:tcPr>
          <w:p w14:paraId="38661DFF" w14:textId="77777777" w:rsidR="00E42A45" w:rsidRDefault="00E42A45" w:rsidP="00BB63DF">
            <w:pPr>
              <w:tabs>
                <w:tab w:val="left" w:pos="709"/>
              </w:tabs>
            </w:pPr>
            <w:r>
              <w:rPr>
                <w:b/>
                <w:sz w:val="18"/>
              </w:rPr>
              <w:t>Charakter ekotopu a bioty</w:t>
            </w:r>
            <w:r>
              <w:t xml:space="preserve">       </w:t>
            </w:r>
          </w:p>
          <w:p w14:paraId="40998C70" w14:textId="77777777" w:rsidR="00E42A45" w:rsidRDefault="00E42A45" w:rsidP="00BB63DF">
            <w:pPr>
              <w:tabs>
                <w:tab w:val="left" w:pos="709"/>
              </w:tabs>
              <w:rPr>
                <w:sz w:val="20"/>
              </w:rPr>
            </w:pPr>
            <w:r>
              <w:rPr>
                <w:sz w:val="20"/>
              </w:rPr>
              <w:t xml:space="preserve">Vrch Cmelník   (508,1 m n. m.) s  lesními porosty na  všesměrně orientovaných, často balvanitých svazích se sklonem  až cca 100 %.  Nadmořská výška lokality se pohybuje od 315 do 508 m.   Z hlediska ekologických podmínek (troficita, hydricita) se jedná o značně rozmanité stanoviště. </w:t>
            </w:r>
          </w:p>
          <w:p w14:paraId="5DAD857E" w14:textId="77777777" w:rsidR="00E42A45" w:rsidRDefault="00E42A45" w:rsidP="00BB63DF">
            <w:pPr>
              <w:tabs>
                <w:tab w:val="left" w:pos="709"/>
              </w:tabs>
              <w:rPr>
                <w:sz w:val="20"/>
              </w:rPr>
            </w:pPr>
            <w:r>
              <w:rPr>
                <w:sz w:val="20"/>
              </w:rPr>
              <w:t xml:space="preserve">                                                                                                                      SES = 3 - 4   </w:t>
            </w:r>
          </w:p>
          <w:p w14:paraId="64E726B0" w14:textId="77777777" w:rsidR="00E42A45" w:rsidRDefault="00E42A45" w:rsidP="00BB63DF">
            <w:pPr>
              <w:tabs>
                <w:tab w:val="left" w:pos="709"/>
              </w:tabs>
              <w:rPr>
                <w:sz w:val="20"/>
              </w:rPr>
            </w:pPr>
            <w:r>
              <w:rPr>
                <w:sz w:val="20"/>
              </w:rPr>
              <w:t xml:space="preserve">Lesní porost je tvořen následujícími dřevinami: </w:t>
            </w:r>
            <w:r>
              <w:rPr>
                <w:caps/>
                <w:sz w:val="20"/>
              </w:rPr>
              <w:t>db, br, sm, hb, kl, js, BO, OS, BK</w:t>
            </w:r>
          </w:p>
          <w:p w14:paraId="12C407B4" w14:textId="77777777" w:rsidR="00E42A45" w:rsidRDefault="00E42A45" w:rsidP="00BB63DF">
            <w:pPr>
              <w:tabs>
                <w:tab w:val="left" w:pos="709"/>
              </w:tabs>
              <w:rPr>
                <w:sz w:val="20"/>
              </w:rPr>
            </w:pPr>
          </w:p>
          <w:p w14:paraId="05684F19" w14:textId="77777777" w:rsidR="00E42A45" w:rsidRDefault="00E42A45" w:rsidP="00BB63DF">
            <w:pPr>
              <w:tabs>
                <w:tab w:val="left" w:pos="709"/>
              </w:tabs>
              <w:rPr>
                <w:sz w:val="20"/>
              </w:rPr>
            </w:pPr>
            <w:r>
              <w:rPr>
                <w:b/>
                <w:sz w:val="20"/>
              </w:rPr>
              <w:t>Zastoupené lesní typy</w:t>
            </w:r>
            <w:r>
              <w:rPr>
                <w:sz w:val="20"/>
              </w:rPr>
              <w:t xml:space="preserve">:              2A3 - jvbk DB lipnicová                                        3A5 - lpdb BK kapradinová                                                 </w:t>
            </w:r>
          </w:p>
          <w:p w14:paraId="0DAF293C" w14:textId="77777777" w:rsidR="00E42A45" w:rsidRDefault="00E42A45" w:rsidP="00BB63DF">
            <w:pPr>
              <w:tabs>
                <w:tab w:val="left" w:pos="709"/>
              </w:tabs>
              <w:rPr>
                <w:sz w:val="20"/>
              </w:rPr>
            </w:pPr>
            <w:r>
              <w:rPr>
                <w:sz w:val="20"/>
              </w:rPr>
              <w:t xml:space="preserve">                                                     2B1 - bohatá bk DB lipnicová s mařinkou            2B3 - bohatá bk DB mařinková                                                       </w:t>
            </w:r>
          </w:p>
          <w:p w14:paraId="13CD8A4A" w14:textId="77777777" w:rsidR="00E42A45" w:rsidRDefault="00E42A45" w:rsidP="00BB63DF">
            <w:pPr>
              <w:tabs>
                <w:tab w:val="left" w:pos="709"/>
              </w:tabs>
              <w:rPr>
                <w:sz w:val="20"/>
              </w:rPr>
            </w:pPr>
            <w:r>
              <w:rPr>
                <w:sz w:val="20"/>
              </w:rPr>
              <w:t xml:space="preserve">                                                     2C2 - vysýchavá bk DB lipnicová                         2Z4 - zakrslá bk DB s válečkou prap. </w:t>
            </w:r>
          </w:p>
          <w:p w14:paraId="4F3EE1CB" w14:textId="77777777" w:rsidR="00E42A45" w:rsidRDefault="00E42A45" w:rsidP="00BB63DF">
            <w:pPr>
              <w:tabs>
                <w:tab w:val="left" w:pos="709"/>
              </w:tabs>
              <w:rPr>
                <w:sz w:val="20"/>
              </w:rPr>
            </w:pPr>
            <w:r>
              <w:rPr>
                <w:sz w:val="20"/>
              </w:rPr>
              <w:t xml:space="preserve">                                                     3H1 - hlinitá db BK šťavelová                              3W2 - bázická db BK</w:t>
            </w:r>
          </w:p>
          <w:p w14:paraId="3A690954" w14:textId="77777777" w:rsidR="00E42A45" w:rsidRDefault="00E42A45" w:rsidP="00BB63DF">
            <w:pPr>
              <w:tabs>
                <w:tab w:val="left" w:pos="709"/>
              </w:tabs>
              <w:rPr>
                <w:sz w:val="20"/>
              </w:rPr>
            </w:pPr>
            <w:r>
              <w:rPr>
                <w:sz w:val="20"/>
              </w:rPr>
              <w:t xml:space="preserve">Geol.: oligotrofní až mezoeutrofní hnědá půda, nevyvinutá půda </w:t>
            </w:r>
          </w:p>
          <w:p w14:paraId="6A97BA86" w14:textId="77777777" w:rsidR="00E42A45" w:rsidRDefault="00E42A45" w:rsidP="00BB63DF">
            <w:pPr>
              <w:tabs>
                <w:tab w:val="left" w:pos="709"/>
              </w:tabs>
              <w:rPr>
                <w:i/>
                <w:sz w:val="20"/>
              </w:rPr>
            </w:pPr>
            <w:r>
              <w:rPr>
                <w:sz w:val="20"/>
              </w:rPr>
              <w:t xml:space="preserve">Bot.:   </w:t>
            </w:r>
            <w:r>
              <w:rPr>
                <w:i/>
                <w:sz w:val="20"/>
              </w:rPr>
              <w:t xml:space="preserve">Dicranum scoparium,  Hieracium silvaticum, Dryopteris spinulosa Deschampsia  flexuosa,  Luzula nemorosa, , Carex sp., Dicranium </w:t>
            </w:r>
          </w:p>
          <w:p w14:paraId="59DB8CCE" w14:textId="77777777" w:rsidR="00E42A45" w:rsidRDefault="00E42A45" w:rsidP="00BB63DF">
            <w:pPr>
              <w:tabs>
                <w:tab w:val="left" w:pos="709"/>
              </w:tabs>
              <w:rPr>
                <w:i/>
                <w:sz w:val="20"/>
              </w:rPr>
            </w:pPr>
            <w:r>
              <w:rPr>
                <w:i/>
                <w:sz w:val="20"/>
              </w:rPr>
              <w:t xml:space="preserve">            scoparium </w:t>
            </w:r>
          </w:p>
          <w:p w14:paraId="56B5AAC7" w14:textId="77777777" w:rsidR="00E42A45" w:rsidRDefault="00E42A45" w:rsidP="00BB63DF">
            <w:pPr>
              <w:tabs>
                <w:tab w:val="left" w:pos="709"/>
              </w:tabs>
              <w:rPr>
                <w:b/>
                <w:sz w:val="20"/>
              </w:rPr>
            </w:pPr>
          </w:p>
          <w:p w14:paraId="12657C5F" w14:textId="77777777" w:rsidR="00E42A45" w:rsidRPr="00500416" w:rsidRDefault="00E42A45" w:rsidP="00BB63DF">
            <w:pPr>
              <w:pStyle w:val="Zkladntext"/>
              <w:rPr>
                <w:b/>
              </w:rPr>
            </w:pPr>
            <w:r w:rsidRPr="00500416">
              <w:rPr>
                <w:b/>
              </w:rPr>
              <w:t xml:space="preserve">Návrh opatření :       </w:t>
            </w:r>
          </w:p>
          <w:p w14:paraId="5A610773" w14:textId="77777777" w:rsidR="00E42A45" w:rsidRDefault="00E42A45" w:rsidP="00BB63DF">
            <w:pPr>
              <w:tabs>
                <w:tab w:val="left" w:pos="709"/>
              </w:tabs>
              <w:rPr>
                <w:b/>
                <w:sz w:val="20"/>
              </w:rPr>
            </w:pPr>
            <w:r>
              <w:rPr>
                <w:b/>
                <w:sz w:val="20"/>
              </w:rPr>
              <w:t xml:space="preserve">Dřeviny přirozené rekonstruované skladby podle SLT:     2A - DB5, BK1, LP2, JV1, HB1         2B - DB6, BK3, HB1, LP+         2S - DB6, BK3, HB1                                2C - DB7, BK2, HB1                                                                3A - BK5, LP2, DB1, JV1, JD1          2Z - DB7, BK2, BR1, BO          3H - BK6, DB3, HB1, JD           </w:t>
            </w:r>
          </w:p>
          <w:p w14:paraId="5767B6CB" w14:textId="77777777" w:rsidR="00E42A45" w:rsidRPr="000A285F" w:rsidRDefault="00E42A45" w:rsidP="00BB63DF">
            <w:pPr>
              <w:tabs>
                <w:tab w:val="left" w:pos="709"/>
              </w:tabs>
              <w:rPr>
                <w:b/>
                <w:sz w:val="20"/>
              </w:rPr>
            </w:pPr>
            <w:r>
              <w:rPr>
                <w:b/>
                <w:sz w:val="20"/>
              </w:rPr>
              <w:t xml:space="preserve"> Při obnově a výchově v  porostu podpořit dřeviny přirozené dř. skladby.   </w:t>
            </w:r>
            <w:r>
              <w:t xml:space="preserve">                           </w:t>
            </w:r>
          </w:p>
        </w:tc>
      </w:tr>
      <w:tr w:rsidR="00E42A45" w14:paraId="61E10B95" w14:textId="77777777" w:rsidTr="00BB63DF">
        <w:tc>
          <w:tcPr>
            <w:tcW w:w="7072" w:type="dxa"/>
            <w:shd w:val="clear" w:color="auto" w:fill="FFFFFF"/>
          </w:tcPr>
          <w:p w14:paraId="6512BE90" w14:textId="77777777" w:rsidR="00E42A45" w:rsidRDefault="00E42A45" w:rsidP="00BB63DF">
            <w:pPr>
              <w:tabs>
                <w:tab w:val="left" w:pos="709"/>
              </w:tabs>
              <w:rPr>
                <w:sz w:val="18"/>
              </w:rPr>
            </w:pPr>
            <w:r>
              <w:rPr>
                <w:sz w:val="18"/>
              </w:rPr>
              <w:t>Vymezení          LS  Sněžník, 323/B</w:t>
            </w:r>
          </w:p>
          <w:p w14:paraId="1B258AB5" w14:textId="77777777" w:rsidR="00E42A45" w:rsidRDefault="00E42A45" w:rsidP="00BB63DF">
            <w:pPr>
              <w:tabs>
                <w:tab w:val="left" w:pos="709"/>
              </w:tabs>
              <w:rPr>
                <w:sz w:val="18"/>
              </w:rPr>
            </w:pPr>
          </w:p>
        </w:tc>
        <w:tc>
          <w:tcPr>
            <w:tcW w:w="7032" w:type="dxa"/>
            <w:gridSpan w:val="2"/>
            <w:shd w:val="clear" w:color="auto" w:fill="FFFFFF"/>
          </w:tcPr>
          <w:p w14:paraId="0A4706EB" w14:textId="77777777" w:rsidR="00E42A45" w:rsidRDefault="00E42A45" w:rsidP="00BB63DF">
            <w:pPr>
              <w:tabs>
                <w:tab w:val="left" w:pos="709"/>
              </w:tabs>
              <w:rPr>
                <w:sz w:val="18"/>
              </w:rPr>
            </w:pPr>
            <w:r>
              <w:rPr>
                <w:sz w:val="18"/>
              </w:rPr>
              <w:t xml:space="preserve">Kultura                 les  </w:t>
            </w:r>
          </w:p>
        </w:tc>
      </w:tr>
      <w:tr w:rsidR="00E42A45" w14:paraId="6483FE8B" w14:textId="77777777" w:rsidTr="00BB63DF">
        <w:tc>
          <w:tcPr>
            <w:tcW w:w="7072" w:type="dxa"/>
            <w:shd w:val="clear" w:color="auto" w:fill="FFFFFF"/>
          </w:tcPr>
          <w:p w14:paraId="11864566" w14:textId="77777777" w:rsidR="00E42A45" w:rsidRDefault="00E42A45" w:rsidP="00BB63DF">
            <w:pPr>
              <w:tabs>
                <w:tab w:val="left" w:pos="709"/>
              </w:tabs>
              <w:rPr>
                <w:sz w:val="18"/>
              </w:rPr>
            </w:pPr>
            <w:r>
              <w:rPr>
                <w:sz w:val="18"/>
              </w:rPr>
              <w:t>Uživatel                                                 město DC</w:t>
            </w:r>
          </w:p>
          <w:p w14:paraId="67210D9A" w14:textId="77777777" w:rsidR="00E42A45" w:rsidRDefault="00E42A45" w:rsidP="00BB63DF">
            <w:pPr>
              <w:tabs>
                <w:tab w:val="left" w:pos="709"/>
              </w:tabs>
              <w:rPr>
                <w:sz w:val="18"/>
              </w:rPr>
            </w:pPr>
          </w:p>
        </w:tc>
        <w:tc>
          <w:tcPr>
            <w:tcW w:w="7032" w:type="dxa"/>
            <w:gridSpan w:val="2"/>
            <w:shd w:val="clear" w:color="auto" w:fill="FFFFFF"/>
          </w:tcPr>
          <w:p w14:paraId="7A13CBF2" w14:textId="77777777" w:rsidR="00E42A45" w:rsidRDefault="00E42A45" w:rsidP="00BB63DF">
            <w:pPr>
              <w:tabs>
                <w:tab w:val="left" w:pos="709"/>
              </w:tabs>
              <w:rPr>
                <w:sz w:val="18"/>
              </w:rPr>
            </w:pPr>
            <w:r>
              <w:rPr>
                <w:sz w:val="18"/>
              </w:rPr>
              <w:t>Mapovatel            Sklenička, Linhart, 1997</w:t>
            </w:r>
          </w:p>
        </w:tc>
      </w:tr>
      <w:tr w:rsidR="00E42A45" w14:paraId="7C487298" w14:textId="77777777" w:rsidTr="00BB63DF">
        <w:tc>
          <w:tcPr>
            <w:tcW w:w="14104" w:type="dxa"/>
            <w:gridSpan w:val="3"/>
            <w:shd w:val="clear" w:color="auto" w:fill="FFFFFF"/>
          </w:tcPr>
          <w:p w14:paraId="36C90F9C" w14:textId="77777777" w:rsidR="00E42A45" w:rsidRDefault="00E42A45" w:rsidP="00BB63DF">
            <w:pPr>
              <w:tabs>
                <w:tab w:val="left" w:pos="709"/>
              </w:tabs>
            </w:pPr>
            <w:r>
              <w:rPr>
                <w:b/>
                <w:sz w:val="18"/>
              </w:rPr>
              <w:t>Kategorie ochrany, rok vyhlášení</w:t>
            </w:r>
          </w:p>
          <w:p w14:paraId="5A68A9D7" w14:textId="77777777" w:rsidR="00E42A45" w:rsidRDefault="00E42A45" w:rsidP="00BB63DF">
            <w:pPr>
              <w:tabs>
                <w:tab w:val="left" w:pos="709"/>
              </w:tabs>
              <w:rPr>
                <w:b/>
                <w:sz w:val="20"/>
              </w:rPr>
            </w:pPr>
            <w:r>
              <w:t xml:space="preserve">                                                                                     </w:t>
            </w:r>
            <w:r>
              <w:rPr>
                <w:b/>
                <w:sz w:val="20"/>
              </w:rPr>
              <w:t>CHKO České Středohoří - III. zóna</w:t>
            </w:r>
          </w:p>
        </w:tc>
      </w:tr>
    </w:tbl>
    <w:p w14:paraId="02613B17" w14:textId="77777777" w:rsidR="00E42A45" w:rsidRDefault="00E42A45" w:rsidP="00CA23D0">
      <w:pPr>
        <w:jc w:val="both"/>
        <w:rPr>
          <w:rFonts w:ascii="Arial" w:hAnsi="Arial" w:cs="Arial"/>
          <w:sz w:val="22"/>
        </w:rPr>
      </w:pPr>
    </w:p>
    <w:p w14:paraId="67249D39" w14:textId="77777777" w:rsidR="00E42A45" w:rsidRDefault="00E42A45" w:rsidP="00CA23D0">
      <w:pPr>
        <w:jc w:val="both"/>
        <w:rPr>
          <w:rFonts w:ascii="Arial" w:hAnsi="Arial" w:cs="Arial"/>
          <w:sz w:val="22"/>
        </w:rPr>
      </w:pPr>
    </w:p>
    <w:tbl>
      <w:tblPr>
        <w:tblW w:w="14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496"/>
      </w:tblGrid>
      <w:tr w:rsidR="00E42A45" w14:paraId="1A001644" w14:textId="77777777" w:rsidTr="00BB63DF">
        <w:tc>
          <w:tcPr>
            <w:tcW w:w="7072" w:type="dxa"/>
            <w:shd w:val="clear" w:color="auto" w:fill="FFFFFF"/>
          </w:tcPr>
          <w:p w14:paraId="02B07293" w14:textId="77777777" w:rsidR="00E42A45" w:rsidRDefault="00E42A45" w:rsidP="00BB63DF">
            <w:pPr>
              <w:tabs>
                <w:tab w:val="left" w:pos="709"/>
              </w:tabs>
              <w:rPr>
                <w:b/>
                <w:sz w:val="18"/>
              </w:rPr>
            </w:pPr>
            <w:r>
              <w:rPr>
                <w:b/>
                <w:sz w:val="18"/>
              </w:rPr>
              <w:lastRenderedPageBreak/>
              <w:t>Pořadové číslo</w:t>
            </w:r>
          </w:p>
          <w:p w14:paraId="462813DF" w14:textId="77777777" w:rsidR="00E42A45" w:rsidRDefault="00E42A45" w:rsidP="00BB63DF">
            <w:pPr>
              <w:tabs>
                <w:tab w:val="left" w:pos="709"/>
              </w:tabs>
              <w:rPr>
                <w:b/>
                <w:sz w:val="36"/>
              </w:rPr>
            </w:pPr>
            <w:r>
              <w:rPr>
                <w:b/>
                <w:sz w:val="36"/>
              </w:rPr>
              <w:t xml:space="preserve">                                            30</w:t>
            </w:r>
          </w:p>
        </w:tc>
        <w:tc>
          <w:tcPr>
            <w:tcW w:w="7032" w:type="dxa"/>
            <w:gridSpan w:val="2"/>
            <w:shd w:val="clear" w:color="auto" w:fill="FFFFFF"/>
          </w:tcPr>
          <w:p w14:paraId="0A8F1AC6" w14:textId="77777777" w:rsidR="00E42A45" w:rsidRDefault="00E42A45" w:rsidP="00BB63DF">
            <w:pPr>
              <w:tabs>
                <w:tab w:val="left" w:pos="709"/>
              </w:tabs>
              <w:rPr>
                <w:b/>
                <w:sz w:val="18"/>
              </w:rPr>
            </w:pPr>
            <w:r>
              <w:rPr>
                <w:b/>
                <w:sz w:val="18"/>
              </w:rPr>
              <w:t>Katastrální území</w:t>
            </w:r>
          </w:p>
          <w:p w14:paraId="2F02D05C" w14:textId="77777777" w:rsidR="00E42A45" w:rsidRDefault="00E42A45" w:rsidP="00BB63DF">
            <w:pPr>
              <w:tabs>
                <w:tab w:val="left" w:pos="709"/>
              </w:tabs>
              <w:rPr>
                <w:b/>
                <w:sz w:val="18"/>
              </w:rPr>
            </w:pPr>
            <w:r>
              <w:rPr>
                <w:b/>
                <w:sz w:val="18"/>
              </w:rPr>
              <w:t xml:space="preserve">                                           </w:t>
            </w:r>
            <w:r>
              <w:rPr>
                <w:b/>
              </w:rPr>
              <w:t>Krásný Studenec, Podmokly</w:t>
            </w:r>
          </w:p>
        </w:tc>
      </w:tr>
      <w:tr w:rsidR="00E42A45" w14:paraId="6F93A5CF" w14:textId="77777777" w:rsidTr="00BB63DF">
        <w:tc>
          <w:tcPr>
            <w:tcW w:w="7072" w:type="dxa"/>
            <w:shd w:val="clear" w:color="auto" w:fill="FFFFFF"/>
          </w:tcPr>
          <w:p w14:paraId="1062F510" w14:textId="77777777" w:rsidR="00E42A45" w:rsidRDefault="00E42A45" w:rsidP="00BB63DF">
            <w:pPr>
              <w:tabs>
                <w:tab w:val="left" w:pos="709"/>
              </w:tabs>
              <w:rPr>
                <w:b/>
                <w:sz w:val="18"/>
              </w:rPr>
            </w:pPr>
            <w:r>
              <w:rPr>
                <w:b/>
                <w:sz w:val="18"/>
              </w:rPr>
              <w:t>Název</w:t>
            </w:r>
          </w:p>
          <w:p w14:paraId="3F602FCB" w14:textId="77777777" w:rsidR="00E42A45" w:rsidRDefault="00E42A45" w:rsidP="00BB63DF">
            <w:pPr>
              <w:tabs>
                <w:tab w:val="left" w:pos="709"/>
              </w:tabs>
              <w:rPr>
                <w:b/>
                <w:caps/>
                <w:sz w:val="18"/>
              </w:rPr>
            </w:pPr>
            <w:r>
              <w:rPr>
                <w:b/>
                <w:caps/>
                <w:sz w:val="18"/>
              </w:rPr>
              <w:t xml:space="preserve">                                        </w:t>
            </w:r>
            <w:r>
              <w:rPr>
                <w:b/>
                <w:caps/>
              </w:rPr>
              <w:t xml:space="preserve">         Popovický vrch</w:t>
            </w:r>
          </w:p>
        </w:tc>
        <w:tc>
          <w:tcPr>
            <w:tcW w:w="3536" w:type="dxa"/>
            <w:shd w:val="clear" w:color="auto" w:fill="FFFFFF"/>
          </w:tcPr>
          <w:p w14:paraId="68165570" w14:textId="77777777" w:rsidR="00E42A45" w:rsidRDefault="00E42A45" w:rsidP="00BB63DF">
            <w:pPr>
              <w:tabs>
                <w:tab w:val="left" w:pos="709"/>
              </w:tabs>
              <w:rPr>
                <w:b/>
                <w:sz w:val="18"/>
              </w:rPr>
            </w:pPr>
            <w:r>
              <w:rPr>
                <w:b/>
                <w:sz w:val="18"/>
              </w:rPr>
              <w:t xml:space="preserve">Mapový list           </w:t>
            </w:r>
          </w:p>
          <w:p w14:paraId="3BD88999" w14:textId="77777777" w:rsidR="00E42A45" w:rsidRDefault="00E42A45" w:rsidP="00BB63DF">
            <w:pPr>
              <w:tabs>
                <w:tab w:val="left" w:pos="709"/>
              </w:tabs>
              <w:rPr>
                <w:b/>
                <w:sz w:val="20"/>
              </w:rPr>
            </w:pPr>
            <w:r>
              <w:rPr>
                <w:b/>
                <w:sz w:val="20"/>
              </w:rPr>
              <w:t xml:space="preserve">                            </w:t>
            </w:r>
            <w:r>
              <w:rPr>
                <w:sz w:val="20"/>
              </w:rPr>
              <w:t>02-23-18</w:t>
            </w:r>
          </w:p>
        </w:tc>
        <w:tc>
          <w:tcPr>
            <w:tcW w:w="3496" w:type="dxa"/>
            <w:shd w:val="clear" w:color="auto" w:fill="FFFFFF"/>
          </w:tcPr>
          <w:p w14:paraId="7D23793C" w14:textId="77777777" w:rsidR="00E42A45" w:rsidRDefault="00E42A45" w:rsidP="00BB63DF">
            <w:pPr>
              <w:tabs>
                <w:tab w:val="left" w:pos="709"/>
              </w:tabs>
              <w:rPr>
                <w:b/>
                <w:sz w:val="18"/>
              </w:rPr>
            </w:pPr>
            <w:r>
              <w:rPr>
                <w:b/>
                <w:sz w:val="18"/>
              </w:rPr>
              <w:t xml:space="preserve">Výměra             </w:t>
            </w:r>
          </w:p>
          <w:p w14:paraId="54EEFE03" w14:textId="77777777" w:rsidR="00E42A45" w:rsidRDefault="00E42A45" w:rsidP="00BB63DF">
            <w:pPr>
              <w:tabs>
                <w:tab w:val="left" w:pos="709"/>
              </w:tabs>
              <w:rPr>
                <w:b/>
                <w:sz w:val="20"/>
              </w:rPr>
            </w:pPr>
            <w:r>
              <w:t xml:space="preserve">                     </w:t>
            </w:r>
            <w:r>
              <w:rPr>
                <w:b/>
                <w:sz w:val="20"/>
              </w:rPr>
              <w:t xml:space="preserve">cca 18,5 ha </w:t>
            </w:r>
          </w:p>
        </w:tc>
      </w:tr>
      <w:tr w:rsidR="00E42A45" w14:paraId="2C6C6817" w14:textId="77777777" w:rsidTr="00BB63DF">
        <w:tc>
          <w:tcPr>
            <w:tcW w:w="7072" w:type="dxa"/>
            <w:shd w:val="clear" w:color="auto" w:fill="FFFFFF"/>
          </w:tcPr>
          <w:p w14:paraId="0E4CE58C" w14:textId="77777777" w:rsidR="00E42A45" w:rsidRPr="002D7515" w:rsidRDefault="00E42A45" w:rsidP="00BB63DF">
            <w:pPr>
              <w:pStyle w:val="Nadpis6"/>
            </w:pPr>
            <w:r w:rsidRPr="002D7515">
              <w:t>EVKP - ekologicky významný krajinný prvek</w:t>
            </w:r>
          </w:p>
          <w:p w14:paraId="370EDC57" w14:textId="77777777" w:rsidR="00E42A45" w:rsidRDefault="00E42A45" w:rsidP="00BB63DF">
            <w:pPr>
              <w:tabs>
                <w:tab w:val="left" w:pos="709"/>
              </w:tabs>
              <w:rPr>
                <w:sz w:val="20"/>
              </w:rPr>
            </w:pPr>
            <w:r>
              <w:rPr>
                <w:sz w:val="20"/>
              </w:rPr>
              <w:t>EVKC - ekologicky významný krajinný celek</w:t>
            </w:r>
          </w:p>
          <w:p w14:paraId="5027BD16" w14:textId="77777777" w:rsidR="00E42A45" w:rsidRDefault="00E42A45" w:rsidP="00BB63DF">
            <w:pPr>
              <w:tabs>
                <w:tab w:val="left" w:pos="709"/>
              </w:tabs>
              <w:rPr>
                <w:sz w:val="20"/>
              </w:rPr>
            </w:pPr>
            <w:r>
              <w:rPr>
                <w:sz w:val="20"/>
              </w:rPr>
              <w:t>EVKO - ekologicky významná krajinná oblast</w:t>
            </w:r>
          </w:p>
          <w:p w14:paraId="1F8DD9C6" w14:textId="77777777" w:rsidR="00E42A45" w:rsidRDefault="00E42A45" w:rsidP="00BB63DF">
            <w:pPr>
              <w:tabs>
                <w:tab w:val="left" w:pos="709"/>
              </w:tabs>
            </w:pPr>
            <w:r>
              <w:rPr>
                <w:sz w:val="20"/>
              </w:rPr>
              <w:t>EVLS  - ekologicky významné liniové společenstvo</w:t>
            </w:r>
          </w:p>
        </w:tc>
        <w:tc>
          <w:tcPr>
            <w:tcW w:w="3536" w:type="dxa"/>
            <w:shd w:val="clear" w:color="auto" w:fill="FFFFFF"/>
          </w:tcPr>
          <w:p w14:paraId="1FE8402C" w14:textId="77777777" w:rsidR="00E42A45" w:rsidRPr="002D7515" w:rsidRDefault="00E42A45" w:rsidP="00BB63DF">
            <w:pPr>
              <w:pStyle w:val="Nadpis8"/>
            </w:pPr>
            <w:r w:rsidRPr="002D7515">
              <w:t>Biogeografický význam</w:t>
            </w:r>
          </w:p>
          <w:p w14:paraId="2BF29727" w14:textId="77777777" w:rsidR="00E42A45" w:rsidRDefault="00E42A45" w:rsidP="00BB63DF">
            <w:pPr>
              <w:tabs>
                <w:tab w:val="left" w:pos="709"/>
              </w:tabs>
            </w:pPr>
            <w:r>
              <w:t xml:space="preserve">       -</w:t>
            </w:r>
            <w:r>
              <w:rPr>
                <w:b/>
              </w:rPr>
              <w:t xml:space="preserve"> lokální, reprezentativní</w:t>
            </w:r>
          </w:p>
          <w:p w14:paraId="149D6B5E" w14:textId="77777777" w:rsidR="00E42A45" w:rsidRDefault="00E42A45" w:rsidP="00BB63DF">
            <w:pPr>
              <w:tabs>
                <w:tab w:val="left" w:pos="709"/>
              </w:tabs>
              <w:ind w:left="345"/>
              <w:rPr>
                <w:sz w:val="20"/>
              </w:rPr>
            </w:pPr>
            <w:r>
              <w:t xml:space="preserve"> </w:t>
            </w:r>
            <w:r>
              <w:rPr>
                <w:sz w:val="20"/>
              </w:rPr>
              <w:t>-  regionální</w:t>
            </w:r>
          </w:p>
          <w:p w14:paraId="762CB176" w14:textId="77777777" w:rsidR="00E42A45" w:rsidRDefault="00E42A45" w:rsidP="00BB63DF">
            <w:pPr>
              <w:tabs>
                <w:tab w:val="left" w:pos="709"/>
              </w:tabs>
              <w:ind w:left="345"/>
            </w:pPr>
            <w:r>
              <w:rPr>
                <w:sz w:val="20"/>
              </w:rPr>
              <w:t xml:space="preserve"> - nadregionální</w:t>
            </w:r>
          </w:p>
        </w:tc>
        <w:tc>
          <w:tcPr>
            <w:tcW w:w="3496" w:type="dxa"/>
            <w:shd w:val="clear" w:color="auto" w:fill="FFFFFF"/>
          </w:tcPr>
          <w:p w14:paraId="2BA1048A" w14:textId="77777777" w:rsidR="00E42A45" w:rsidRDefault="00E42A45" w:rsidP="00BB63DF">
            <w:pPr>
              <w:tabs>
                <w:tab w:val="left" w:pos="709"/>
              </w:tabs>
              <w:rPr>
                <w:b/>
                <w:sz w:val="18"/>
              </w:rPr>
            </w:pPr>
            <w:r>
              <w:rPr>
                <w:b/>
                <w:sz w:val="18"/>
              </w:rPr>
              <w:t>Stav</w:t>
            </w:r>
          </w:p>
          <w:p w14:paraId="5B37E199" w14:textId="77777777" w:rsidR="00E42A45" w:rsidRDefault="00E42A45" w:rsidP="00BB63DF">
            <w:pPr>
              <w:tabs>
                <w:tab w:val="left" w:pos="709"/>
              </w:tabs>
              <w:ind w:left="405"/>
            </w:pPr>
            <w:r>
              <w:rPr>
                <w:b/>
              </w:rPr>
              <w:t>-  funkčně vymezený</w:t>
            </w:r>
          </w:p>
          <w:p w14:paraId="09D67EA8" w14:textId="77777777" w:rsidR="00E42A45" w:rsidRDefault="00E42A45" w:rsidP="00BB63DF">
            <w:pPr>
              <w:tabs>
                <w:tab w:val="left" w:pos="709"/>
              </w:tabs>
              <w:rPr>
                <w:sz w:val="20"/>
              </w:rPr>
            </w:pPr>
            <w:r>
              <w:t xml:space="preserve">       </w:t>
            </w:r>
            <w:r>
              <w:rPr>
                <w:sz w:val="20"/>
              </w:rPr>
              <w:t xml:space="preserve">-  semifunkční    </w:t>
            </w:r>
          </w:p>
          <w:p w14:paraId="04C59EDE" w14:textId="77777777" w:rsidR="00E42A45" w:rsidRDefault="00E42A45" w:rsidP="00BB63DF">
            <w:pPr>
              <w:tabs>
                <w:tab w:val="left" w:pos="709"/>
              </w:tabs>
            </w:pPr>
            <w:r>
              <w:rPr>
                <w:sz w:val="20"/>
              </w:rPr>
              <w:t xml:space="preserve">        -  navržený</w:t>
            </w:r>
          </w:p>
        </w:tc>
      </w:tr>
      <w:tr w:rsidR="00E42A45" w14:paraId="443BEAE6" w14:textId="77777777" w:rsidTr="00BB63DF">
        <w:tc>
          <w:tcPr>
            <w:tcW w:w="7072" w:type="dxa"/>
            <w:shd w:val="clear" w:color="auto" w:fill="FFFFFF"/>
          </w:tcPr>
          <w:p w14:paraId="55E21218" w14:textId="77777777" w:rsidR="00E42A45" w:rsidRDefault="00E42A45" w:rsidP="00BB63DF">
            <w:pPr>
              <w:tabs>
                <w:tab w:val="left" w:pos="709"/>
              </w:tabs>
              <w:rPr>
                <w:b/>
                <w:sz w:val="18"/>
              </w:rPr>
            </w:pPr>
            <w:r>
              <w:rPr>
                <w:b/>
                <w:sz w:val="18"/>
              </w:rPr>
              <w:t>Geobiocenologická typizace (vegetační stupeň, trofická řada, hydrická řada)</w:t>
            </w:r>
          </w:p>
          <w:p w14:paraId="5CDD1775" w14:textId="77777777" w:rsidR="00E42A45" w:rsidRDefault="00E42A45" w:rsidP="00BB63DF">
            <w:pPr>
              <w:tabs>
                <w:tab w:val="left" w:pos="709"/>
              </w:tabs>
            </w:pPr>
            <w:r>
              <w:t xml:space="preserve">                        2C3, 2AB3, 2B3, 3C3, 2BD1    </w:t>
            </w:r>
          </w:p>
        </w:tc>
        <w:tc>
          <w:tcPr>
            <w:tcW w:w="7032" w:type="dxa"/>
            <w:gridSpan w:val="2"/>
            <w:shd w:val="clear" w:color="auto" w:fill="FFFFFF"/>
          </w:tcPr>
          <w:p w14:paraId="28D9BD32" w14:textId="77777777" w:rsidR="00E42A45" w:rsidRDefault="00E42A45" w:rsidP="00BB63DF">
            <w:pPr>
              <w:tabs>
                <w:tab w:val="left" w:pos="709"/>
              </w:tabs>
            </w:pPr>
          </w:p>
        </w:tc>
      </w:tr>
      <w:tr w:rsidR="00E42A45" w14:paraId="7AC496D3" w14:textId="77777777" w:rsidTr="00BB63DF">
        <w:tc>
          <w:tcPr>
            <w:tcW w:w="14104" w:type="dxa"/>
            <w:gridSpan w:val="3"/>
            <w:shd w:val="clear" w:color="auto" w:fill="FFFFFF"/>
          </w:tcPr>
          <w:p w14:paraId="49AF5B30" w14:textId="77777777" w:rsidR="00E42A45" w:rsidRDefault="00E42A45" w:rsidP="00BB63DF">
            <w:pPr>
              <w:tabs>
                <w:tab w:val="left" w:pos="709"/>
              </w:tabs>
            </w:pPr>
            <w:r>
              <w:rPr>
                <w:b/>
                <w:sz w:val="18"/>
              </w:rPr>
              <w:t>Charakter ekotopu a bioty</w:t>
            </w:r>
            <w:r>
              <w:t xml:space="preserve">     </w:t>
            </w:r>
          </w:p>
          <w:p w14:paraId="674A0DE9" w14:textId="77777777" w:rsidR="00E42A45" w:rsidRDefault="00E42A45" w:rsidP="00BB63DF">
            <w:pPr>
              <w:tabs>
                <w:tab w:val="left" w:pos="709"/>
              </w:tabs>
              <w:rPr>
                <w:sz w:val="20"/>
              </w:rPr>
            </w:pPr>
            <w:r>
              <w:rPr>
                <w:sz w:val="20"/>
              </w:rPr>
              <w:t xml:space="preserve">Popovický vrch   (356,4  m n.m.) s  lesními porosty na  všesměrně orientovaných svazích se sklonem  až cca 30 %.  Nadmořská výška lokality se pohybuje od 280 do 356 m.   Z hlediska ekologických podmínek (troficita, hydricita) se jedná o mimořádně rozmanité stanoviště. Druhově bohatší dřevinné porosty jsou při rozhraní les - louka, kde vzniká ekotonální efekt v okrajových partiích lesa.                                                                                                                        SES = 3 - 4   </w:t>
            </w:r>
          </w:p>
          <w:p w14:paraId="1F049CCE" w14:textId="77777777" w:rsidR="00E42A45" w:rsidRDefault="00E42A45" w:rsidP="00BB63DF">
            <w:pPr>
              <w:tabs>
                <w:tab w:val="left" w:pos="709"/>
              </w:tabs>
              <w:rPr>
                <w:sz w:val="20"/>
              </w:rPr>
            </w:pPr>
            <w:r>
              <w:rPr>
                <w:sz w:val="20"/>
              </w:rPr>
              <w:t xml:space="preserve">Lesní porost je tvořen následujícími dřevinami:   </w:t>
            </w:r>
          </w:p>
          <w:p w14:paraId="0F0059AA" w14:textId="77777777" w:rsidR="00E42A45" w:rsidRDefault="00E42A45" w:rsidP="00BB63DF">
            <w:pPr>
              <w:tabs>
                <w:tab w:val="left" w:pos="709"/>
              </w:tabs>
              <w:rPr>
                <w:sz w:val="20"/>
              </w:rPr>
            </w:pPr>
            <w:r>
              <w:rPr>
                <w:sz w:val="20"/>
              </w:rPr>
              <w:t>321/D - DB, LP, MD, SM, OL, LP, DBC                                                     321/E - SM, DB, BO, MD, JS</w:t>
            </w:r>
          </w:p>
          <w:p w14:paraId="1B7C8588" w14:textId="77777777" w:rsidR="00E42A45" w:rsidRDefault="00E42A45" w:rsidP="00BB63DF">
            <w:pPr>
              <w:tabs>
                <w:tab w:val="left" w:pos="709"/>
              </w:tabs>
              <w:rPr>
                <w:sz w:val="20"/>
              </w:rPr>
            </w:pPr>
          </w:p>
          <w:p w14:paraId="131B83C8" w14:textId="77777777" w:rsidR="00E42A45" w:rsidRDefault="00E42A45" w:rsidP="00BB63DF">
            <w:pPr>
              <w:tabs>
                <w:tab w:val="left" w:pos="709"/>
              </w:tabs>
              <w:rPr>
                <w:sz w:val="20"/>
              </w:rPr>
            </w:pPr>
            <w:r>
              <w:rPr>
                <w:b/>
                <w:sz w:val="20"/>
              </w:rPr>
              <w:t>Zastoupené lesní typy</w:t>
            </w:r>
            <w:r>
              <w:rPr>
                <w:sz w:val="20"/>
              </w:rPr>
              <w:t xml:space="preserve">:              2A3 - jvbk DB lipnicová                                        2N1 - kamenitá kys. bk DB se třtinou rákosovou                                                </w:t>
            </w:r>
          </w:p>
          <w:p w14:paraId="219B4D2D" w14:textId="77777777" w:rsidR="00E42A45" w:rsidRDefault="00E42A45" w:rsidP="00BB63DF">
            <w:pPr>
              <w:tabs>
                <w:tab w:val="left" w:pos="709"/>
              </w:tabs>
              <w:rPr>
                <w:sz w:val="20"/>
              </w:rPr>
            </w:pPr>
            <w:r>
              <w:rPr>
                <w:sz w:val="20"/>
              </w:rPr>
              <w:t xml:space="preserve">                                                     2B1 - bohatá bk DB lipnicová s mařinkou           2S4 - svěží bk DB biková s lipnicí</w:t>
            </w:r>
          </w:p>
          <w:p w14:paraId="5DEC6FB1" w14:textId="77777777" w:rsidR="00E42A45" w:rsidRDefault="00E42A45" w:rsidP="00BB63DF">
            <w:pPr>
              <w:tabs>
                <w:tab w:val="left" w:pos="709"/>
              </w:tabs>
              <w:rPr>
                <w:sz w:val="20"/>
              </w:rPr>
            </w:pPr>
            <w:r>
              <w:rPr>
                <w:sz w:val="20"/>
              </w:rPr>
              <w:t xml:space="preserve">                                                     2K3 - kyselá bk DB biková                                   3J2 - lipová JV kapradinová </w:t>
            </w:r>
          </w:p>
          <w:p w14:paraId="5285C9EB" w14:textId="77777777" w:rsidR="00E42A45" w:rsidRDefault="00E42A45" w:rsidP="00BB63DF">
            <w:pPr>
              <w:tabs>
                <w:tab w:val="left" w:pos="709"/>
              </w:tabs>
              <w:rPr>
                <w:sz w:val="20"/>
              </w:rPr>
            </w:pPr>
            <w:r>
              <w:rPr>
                <w:sz w:val="20"/>
              </w:rPr>
              <w:t xml:space="preserve">                                                     2C2 - vysýchavá bk DB lipnicová                        2B3 - bohatá bk DB mařinková                                                                                                      </w:t>
            </w:r>
          </w:p>
          <w:p w14:paraId="71A0166F" w14:textId="77777777" w:rsidR="00E42A45" w:rsidRDefault="00E42A45" w:rsidP="00BB63DF">
            <w:pPr>
              <w:tabs>
                <w:tab w:val="left" w:pos="709"/>
              </w:tabs>
              <w:rPr>
                <w:sz w:val="20"/>
              </w:rPr>
            </w:pPr>
            <w:r>
              <w:rPr>
                <w:sz w:val="20"/>
              </w:rPr>
              <w:t xml:space="preserve">Geol.: oligotrofní až mezoeutrofní hnědá půda </w:t>
            </w:r>
          </w:p>
          <w:p w14:paraId="258986E7" w14:textId="77777777" w:rsidR="00E42A45" w:rsidRDefault="00E42A45" w:rsidP="00BB63DF">
            <w:pPr>
              <w:tabs>
                <w:tab w:val="left" w:pos="709"/>
              </w:tabs>
              <w:rPr>
                <w:i/>
                <w:sz w:val="20"/>
              </w:rPr>
            </w:pPr>
            <w:r>
              <w:rPr>
                <w:sz w:val="20"/>
              </w:rPr>
              <w:t xml:space="preserve">Bot.: </w:t>
            </w:r>
            <w:r>
              <w:rPr>
                <w:i/>
                <w:sz w:val="20"/>
              </w:rPr>
              <w:t xml:space="preserve">   Deschampsia  flexuosa,  Luzula nemorosa, Dicranum scoparium,  Hieracium silvaticum, Dryopteris spinulosa, Carex sp., Dicranium </w:t>
            </w:r>
          </w:p>
          <w:p w14:paraId="28091905" w14:textId="77777777" w:rsidR="00E42A45" w:rsidRDefault="00E42A45" w:rsidP="00BB63DF">
            <w:pPr>
              <w:tabs>
                <w:tab w:val="left" w:pos="709"/>
              </w:tabs>
              <w:rPr>
                <w:i/>
                <w:sz w:val="20"/>
              </w:rPr>
            </w:pPr>
            <w:r>
              <w:rPr>
                <w:i/>
                <w:sz w:val="20"/>
              </w:rPr>
              <w:t xml:space="preserve">            scoparium </w:t>
            </w:r>
          </w:p>
          <w:p w14:paraId="0011AB23" w14:textId="77777777" w:rsidR="00E42A45" w:rsidRDefault="00E42A45" w:rsidP="00BB63DF">
            <w:pPr>
              <w:tabs>
                <w:tab w:val="left" w:pos="709"/>
              </w:tabs>
              <w:rPr>
                <w:b/>
                <w:sz w:val="20"/>
              </w:rPr>
            </w:pPr>
          </w:p>
          <w:p w14:paraId="40DF1AC8" w14:textId="77777777" w:rsidR="00E42A45" w:rsidRDefault="00E42A45" w:rsidP="00BB63DF">
            <w:pPr>
              <w:tabs>
                <w:tab w:val="left" w:pos="709"/>
              </w:tabs>
              <w:rPr>
                <w:b/>
                <w:sz w:val="20"/>
              </w:rPr>
            </w:pPr>
            <w:r>
              <w:rPr>
                <w:b/>
                <w:sz w:val="20"/>
              </w:rPr>
              <w:t xml:space="preserve">Návrh opatření :        </w:t>
            </w:r>
          </w:p>
          <w:p w14:paraId="4A1345EC" w14:textId="77777777" w:rsidR="00E42A45" w:rsidRDefault="00E42A45" w:rsidP="00BB63DF">
            <w:pPr>
              <w:tabs>
                <w:tab w:val="left" w:pos="709"/>
              </w:tabs>
              <w:rPr>
                <w:b/>
                <w:sz w:val="20"/>
              </w:rPr>
            </w:pPr>
            <w:r>
              <w:rPr>
                <w:b/>
                <w:sz w:val="20"/>
              </w:rPr>
              <w:t>Dřeviny přirozené rekonstruované skladby podle SLT:                                2A - DB5, BK1, LP2, JV1, HB1        2N - DB7, BK3, LP</w:t>
            </w:r>
          </w:p>
          <w:p w14:paraId="606E38FD" w14:textId="77777777" w:rsidR="00E42A45" w:rsidRDefault="00E42A45" w:rsidP="00BB63DF">
            <w:pPr>
              <w:tabs>
                <w:tab w:val="left" w:pos="709"/>
              </w:tabs>
              <w:rPr>
                <w:b/>
                <w:sz w:val="20"/>
              </w:rPr>
            </w:pPr>
            <w:r>
              <w:rPr>
                <w:b/>
                <w:sz w:val="20"/>
              </w:rPr>
              <w:t xml:space="preserve">                 2B - DB6, BK3, HB1, LP+            2S - DB6, BK3, HB1                    2K - DB7, BK3, JR                            3J - BK4, LP3, JV2, JD1, JL</w:t>
            </w:r>
          </w:p>
          <w:p w14:paraId="7F8D1BF8" w14:textId="77777777" w:rsidR="00E42A45" w:rsidRDefault="00E42A45" w:rsidP="00BB63DF">
            <w:pPr>
              <w:tabs>
                <w:tab w:val="left" w:pos="709"/>
              </w:tabs>
              <w:rPr>
                <w:b/>
                <w:sz w:val="20"/>
              </w:rPr>
            </w:pPr>
            <w:r>
              <w:rPr>
                <w:b/>
                <w:sz w:val="20"/>
              </w:rPr>
              <w:t xml:space="preserve">                 2C - DB7, BK2, HB1         </w:t>
            </w:r>
          </w:p>
          <w:p w14:paraId="63770608" w14:textId="77777777" w:rsidR="00E42A45" w:rsidRDefault="00E42A45" w:rsidP="00BB63DF">
            <w:pPr>
              <w:tabs>
                <w:tab w:val="left" w:pos="709"/>
              </w:tabs>
            </w:pPr>
            <w:r>
              <w:rPr>
                <w:b/>
                <w:sz w:val="20"/>
              </w:rPr>
              <w:t>Obnovou a výchovou v  porostu podpořit dřeviny přirozené dř. skladby.</w:t>
            </w:r>
            <w:r>
              <w:t xml:space="preserve">  </w:t>
            </w:r>
          </w:p>
          <w:p w14:paraId="682F545E" w14:textId="77777777" w:rsidR="00E42A45" w:rsidRDefault="00E42A45" w:rsidP="00BB63DF">
            <w:pPr>
              <w:tabs>
                <w:tab w:val="left" w:pos="709"/>
              </w:tabs>
            </w:pPr>
            <w:r>
              <w:t xml:space="preserve">                                    </w:t>
            </w:r>
          </w:p>
        </w:tc>
      </w:tr>
      <w:tr w:rsidR="00E42A45" w14:paraId="29C8B5B3" w14:textId="77777777" w:rsidTr="00BB63DF">
        <w:tc>
          <w:tcPr>
            <w:tcW w:w="7072" w:type="dxa"/>
            <w:shd w:val="clear" w:color="auto" w:fill="FFFFFF"/>
          </w:tcPr>
          <w:p w14:paraId="62DB2672" w14:textId="77777777" w:rsidR="00E42A45" w:rsidRDefault="00E42A45" w:rsidP="00BB63DF">
            <w:pPr>
              <w:tabs>
                <w:tab w:val="left" w:pos="709"/>
              </w:tabs>
              <w:rPr>
                <w:sz w:val="18"/>
              </w:rPr>
            </w:pPr>
            <w:r>
              <w:rPr>
                <w:sz w:val="18"/>
              </w:rPr>
              <w:t>Vymezení           LS  Sněžník, 321/D,E</w:t>
            </w:r>
          </w:p>
        </w:tc>
        <w:tc>
          <w:tcPr>
            <w:tcW w:w="7032" w:type="dxa"/>
            <w:gridSpan w:val="2"/>
            <w:shd w:val="clear" w:color="auto" w:fill="FFFFFF"/>
          </w:tcPr>
          <w:p w14:paraId="0C5EBEC1" w14:textId="77777777" w:rsidR="00E42A45" w:rsidRDefault="00E42A45" w:rsidP="00BB63DF">
            <w:pPr>
              <w:tabs>
                <w:tab w:val="left" w:pos="709"/>
              </w:tabs>
              <w:rPr>
                <w:sz w:val="18"/>
              </w:rPr>
            </w:pPr>
            <w:r>
              <w:rPr>
                <w:sz w:val="18"/>
              </w:rPr>
              <w:t xml:space="preserve">Kultura                 les  </w:t>
            </w:r>
          </w:p>
        </w:tc>
      </w:tr>
      <w:tr w:rsidR="00E42A45" w14:paraId="173C56AF" w14:textId="77777777" w:rsidTr="00BB63DF">
        <w:tc>
          <w:tcPr>
            <w:tcW w:w="7072" w:type="dxa"/>
            <w:shd w:val="clear" w:color="auto" w:fill="FFFFFF"/>
          </w:tcPr>
          <w:p w14:paraId="13EF67BA" w14:textId="77777777" w:rsidR="00E42A45" w:rsidRDefault="00E42A45" w:rsidP="00BB63DF">
            <w:pPr>
              <w:tabs>
                <w:tab w:val="left" w:pos="709"/>
              </w:tabs>
              <w:rPr>
                <w:sz w:val="18"/>
              </w:rPr>
            </w:pPr>
            <w:r>
              <w:rPr>
                <w:sz w:val="18"/>
              </w:rPr>
              <w:t>Uživatel</w:t>
            </w:r>
          </w:p>
          <w:p w14:paraId="626AF9EC" w14:textId="77777777" w:rsidR="00E42A45" w:rsidRDefault="00E42A45" w:rsidP="00BB63DF">
            <w:pPr>
              <w:tabs>
                <w:tab w:val="left" w:pos="709"/>
              </w:tabs>
              <w:rPr>
                <w:sz w:val="18"/>
              </w:rPr>
            </w:pPr>
            <w:r>
              <w:rPr>
                <w:sz w:val="18"/>
              </w:rPr>
              <w:t xml:space="preserve">                     LČR, město DC</w:t>
            </w:r>
          </w:p>
        </w:tc>
        <w:tc>
          <w:tcPr>
            <w:tcW w:w="7032" w:type="dxa"/>
            <w:gridSpan w:val="2"/>
            <w:shd w:val="clear" w:color="auto" w:fill="FFFFFF"/>
          </w:tcPr>
          <w:p w14:paraId="3D02CB25" w14:textId="77777777" w:rsidR="00E42A45" w:rsidRDefault="00E42A45" w:rsidP="00BB63DF">
            <w:pPr>
              <w:tabs>
                <w:tab w:val="left" w:pos="709"/>
              </w:tabs>
              <w:rPr>
                <w:sz w:val="18"/>
              </w:rPr>
            </w:pPr>
            <w:r>
              <w:rPr>
                <w:sz w:val="18"/>
              </w:rPr>
              <w:t>Mapovatel</w:t>
            </w:r>
          </w:p>
          <w:p w14:paraId="2F382050" w14:textId="77777777" w:rsidR="00E42A45" w:rsidRDefault="00E42A45" w:rsidP="00BB63DF">
            <w:pPr>
              <w:tabs>
                <w:tab w:val="left" w:pos="709"/>
              </w:tabs>
              <w:rPr>
                <w:sz w:val="18"/>
              </w:rPr>
            </w:pPr>
            <w:r>
              <w:rPr>
                <w:sz w:val="18"/>
              </w:rPr>
              <w:t xml:space="preserve">                               Sklenička, Linhart, 1997</w:t>
            </w:r>
          </w:p>
        </w:tc>
      </w:tr>
      <w:tr w:rsidR="00E42A45" w14:paraId="51764EEC" w14:textId="77777777" w:rsidTr="00BB63DF">
        <w:tc>
          <w:tcPr>
            <w:tcW w:w="14104" w:type="dxa"/>
            <w:gridSpan w:val="3"/>
            <w:shd w:val="clear" w:color="auto" w:fill="FFFFFF"/>
          </w:tcPr>
          <w:p w14:paraId="00D64534" w14:textId="77777777" w:rsidR="00E42A45" w:rsidRDefault="00E42A45" w:rsidP="00BB63DF">
            <w:pPr>
              <w:tabs>
                <w:tab w:val="left" w:pos="709"/>
              </w:tabs>
            </w:pPr>
            <w:r>
              <w:rPr>
                <w:sz w:val="18"/>
              </w:rPr>
              <w:t>Kategorie ochrany, rok vyhlášení</w:t>
            </w:r>
          </w:p>
          <w:p w14:paraId="37299643" w14:textId="77777777" w:rsidR="00E42A45" w:rsidRDefault="00E42A45" w:rsidP="00BB63DF">
            <w:pPr>
              <w:tabs>
                <w:tab w:val="left" w:pos="709"/>
              </w:tabs>
              <w:rPr>
                <w:b/>
                <w:sz w:val="20"/>
              </w:rPr>
            </w:pPr>
            <w:r>
              <w:t xml:space="preserve">                                                                                      </w:t>
            </w:r>
            <w:r>
              <w:rPr>
                <w:b/>
                <w:sz w:val="20"/>
              </w:rPr>
              <w:t>CHKO České Středohoří - IV. zóna</w:t>
            </w:r>
          </w:p>
        </w:tc>
      </w:tr>
      <w:tr w:rsidR="00E42A45" w14:paraId="68CA2E17" w14:textId="77777777" w:rsidTr="00BB63DF">
        <w:tc>
          <w:tcPr>
            <w:tcW w:w="7072" w:type="dxa"/>
            <w:shd w:val="clear" w:color="auto" w:fill="FFFFFF"/>
          </w:tcPr>
          <w:p w14:paraId="42BE9D15" w14:textId="77777777" w:rsidR="00E42A45" w:rsidRDefault="00E42A45" w:rsidP="00BB63DF">
            <w:pPr>
              <w:tabs>
                <w:tab w:val="left" w:pos="709"/>
              </w:tabs>
              <w:rPr>
                <w:b/>
                <w:sz w:val="18"/>
              </w:rPr>
            </w:pPr>
            <w:r>
              <w:rPr>
                <w:b/>
                <w:sz w:val="18"/>
              </w:rPr>
              <w:lastRenderedPageBreak/>
              <w:t>Pořadové číslo</w:t>
            </w:r>
          </w:p>
          <w:p w14:paraId="259D174E" w14:textId="77777777" w:rsidR="00E42A45" w:rsidRDefault="00E42A45" w:rsidP="00BB63DF">
            <w:pPr>
              <w:tabs>
                <w:tab w:val="left" w:pos="709"/>
              </w:tabs>
              <w:rPr>
                <w:b/>
                <w:sz w:val="36"/>
              </w:rPr>
            </w:pPr>
            <w:r>
              <w:rPr>
                <w:b/>
                <w:sz w:val="36"/>
              </w:rPr>
              <w:t xml:space="preserve">                                             31</w:t>
            </w:r>
          </w:p>
        </w:tc>
        <w:tc>
          <w:tcPr>
            <w:tcW w:w="7032" w:type="dxa"/>
            <w:gridSpan w:val="2"/>
            <w:shd w:val="clear" w:color="auto" w:fill="FFFFFF"/>
          </w:tcPr>
          <w:p w14:paraId="1693DBA9" w14:textId="77777777" w:rsidR="00E42A45" w:rsidRDefault="00E42A45" w:rsidP="00BB63DF">
            <w:pPr>
              <w:tabs>
                <w:tab w:val="left" w:pos="709"/>
              </w:tabs>
              <w:rPr>
                <w:b/>
                <w:sz w:val="18"/>
              </w:rPr>
            </w:pPr>
            <w:r>
              <w:rPr>
                <w:b/>
                <w:sz w:val="18"/>
              </w:rPr>
              <w:t>Katastrální území</w:t>
            </w:r>
          </w:p>
          <w:p w14:paraId="415EB172" w14:textId="77777777" w:rsidR="00E42A45" w:rsidRDefault="00E42A45" w:rsidP="00BB63DF">
            <w:pPr>
              <w:tabs>
                <w:tab w:val="left" w:pos="709"/>
              </w:tabs>
              <w:rPr>
                <w:b/>
              </w:rPr>
            </w:pPr>
            <w:r>
              <w:rPr>
                <w:b/>
              </w:rPr>
              <w:t xml:space="preserve">                        Děčín, Březiny, Prostřední žleb, DC-Staré Město,                                          Nebočady, Chrochvice, Křešice, Boletice, Těchlovice       </w:t>
            </w:r>
          </w:p>
        </w:tc>
      </w:tr>
      <w:tr w:rsidR="00E42A45" w14:paraId="7A0C8345" w14:textId="77777777" w:rsidTr="00BB63DF">
        <w:tc>
          <w:tcPr>
            <w:tcW w:w="7072" w:type="dxa"/>
            <w:shd w:val="clear" w:color="auto" w:fill="FFFFFF"/>
          </w:tcPr>
          <w:p w14:paraId="2F5713BB" w14:textId="77777777" w:rsidR="00E42A45" w:rsidRDefault="00E42A45" w:rsidP="00BB63DF">
            <w:pPr>
              <w:tabs>
                <w:tab w:val="left" w:pos="709"/>
              </w:tabs>
              <w:rPr>
                <w:b/>
                <w:sz w:val="18"/>
              </w:rPr>
            </w:pPr>
            <w:r>
              <w:rPr>
                <w:b/>
                <w:sz w:val="18"/>
              </w:rPr>
              <w:t>Název</w:t>
            </w:r>
          </w:p>
          <w:p w14:paraId="3A9CAB93" w14:textId="77777777" w:rsidR="00E42A45" w:rsidRDefault="00E42A45" w:rsidP="00BB63DF">
            <w:pPr>
              <w:tabs>
                <w:tab w:val="left" w:pos="709"/>
              </w:tabs>
              <w:rPr>
                <w:b/>
                <w:caps/>
                <w:sz w:val="18"/>
              </w:rPr>
            </w:pPr>
            <w:r>
              <w:rPr>
                <w:b/>
                <w:sz w:val="18"/>
              </w:rPr>
              <w:t xml:space="preserve">                                                                     </w:t>
            </w:r>
            <w:r>
              <w:rPr>
                <w:b/>
                <w:caps/>
              </w:rPr>
              <w:t>řeka Labe</w:t>
            </w:r>
          </w:p>
        </w:tc>
        <w:tc>
          <w:tcPr>
            <w:tcW w:w="3536" w:type="dxa"/>
            <w:shd w:val="clear" w:color="auto" w:fill="FFFFFF"/>
          </w:tcPr>
          <w:p w14:paraId="276EFA8C" w14:textId="77777777" w:rsidR="00E42A45" w:rsidRDefault="00E42A45" w:rsidP="00BB63DF">
            <w:pPr>
              <w:tabs>
                <w:tab w:val="left" w:pos="709"/>
              </w:tabs>
              <w:rPr>
                <w:b/>
                <w:sz w:val="18"/>
              </w:rPr>
            </w:pPr>
            <w:r>
              <w:rPr>
                <w:b/>
                <w:sz w:val="18"/>
              </w:rPr>
              <w:t xml:space="preserve">Mapový list           </w:t>
            </w:r>
          </w:p>
          <w:p w14:paraId="678EA606" w14:textId="77777777" w:rsidR="00E42A45" w:rsidRDefault="00E42A45" w:rsidP="00BB63DF">
            <w:pPr>
              <w:tabs>
                <w:tab w:val="left" w:pos="709"/>
              </w:tabs>
              <w:rPr>
                <w:b/>
                <w:sz w:val="20"/>
              </w:rPr>
            </w:pPr>
            <w:r>
              <w:rPr>
                <w:b/>
                <w:sz w:val="18"/>
              </w:rPr>
              <w:t xml:space="preserve">   </w:t>
            </w:r>
            <w:r>
              <w:rPr>
                <w:sz w:val="20"/>
              </w:rPr>
              <w:t>02-23-19, 23, 24       02-41-04, 09</w:t>
            </w:r>
          </w:p>
        </w:tc>
        <w:tc>
          <w:tcPr>
            <w:tcW w:w="3496" w:type="dxa"/>
            <w:shd w:val="clear" w:color="auto" w:fill="FFFFFF"/>
          </w:tcPr>
          <w:p w14:paraId="668413DC" w14:textId="77777777" w:rsidR="00E42A45" w:rsidRDefault="00E42A45" w:rsidP="00BB63DF">
            <w:pPr>
              <w:tabs>
                <w:tab w:val="left" w:pos="709"/>
              </w:tabs>
              <w:rPr>
                <w:b/>
                <w:sz w:val="18"/>
              </w:rPr>
            </w:pPr>
            <w:r>
              <w:rPr>
                <w:b/>
                <w:sz w:val="18"/>
              </w:rPr>
              <w:t xml:space="preserve">Výměra             </w:t>
            </w:r>
          </w:p>
          <w:p w14:paraId="73FADD66" w14:textId="77777777" w:rsidR="00E42A45" w:rsidRDefault="00E42A45" w:rsidP="00BB63DF">
            <w:pPr>
              <w:tabs>
                <w:tab w:val="left" w:pos="709"/>
              </w:tabs>
              <w:rPr>
                <w:b/>
                <w:sz w:val="20"/>
              </w:rPr>
            </w:pPr>
            <w:r>
              <w:rPr>
                <w:b/>
                <w:sz w:val="20"/>
              </w:rPr>
              <w:t xml:space="preserve">                     cca á 3 - 5 ha</w:t>
            </w:r>
          </w:p>
        </w:tc>
      </w:tr>
      <w:tr w:rsidR="00E42A45" w14:paraId="430745FB" w14:textId="77777777" w:rsidTr="00BB63DF">
        <w:tc>
          <w:tcPr>
            <w:tcW w:w="7072" w:type="dxa"/>
            <w:shd w:val="clear" w:color="auto" w:fill="FFFFFF"/>
          </w:tcPr>
          <w:p w14:paraId="4D14D997" w14:textId="77777777" w:rsidR="00E42A45" w:rsidRDefault="00E42A45" w:rsidP="00BB63DF">
            <w:pPr>
              <w:tabs>
                <w:tab w:val="left" w:pos="709"/>
              </w:tabs>
              <w:rPr>
                <w:sz w:val="20"/>
              </w:rPr>
            </w:pPr>
            <w:r>
              <w:rPr>
                <w:sz w:val="20"/>
              </w:rPr>
              <w:t>EVKP - ekologicky významný krajinný prvek</w:t>
            </w:r>
          </w:p>
          <w:p w14:paraId="33EC4282" w14:textId="77777777" w:rsidR="00E42A45" w:rsidRDefault="00E42A45" w:rsidP="00BB63DF">
            <w:pPr>
              <w:tabs>
                <w:tab w:val="left" w:pos="709"/>
              </w:tabs>
              <w:rPr>
                <w:sz w:val="20"/>
              </w:rPr>
            </w:pPr>
            <w:r>
              <w:rPr>
                <w:sz w:val="20"/>
              </w:rPr>
              <w:t>EVKC - ekologicky významný krajinný celek</w:t>
            </w:r>
          </w:p>
          <w:p w14:paraId="09C0481A" w14:textId="77777777" w:rsidR="00E42A45" w:rsidRDefault="00E42A45" w:rsidP="00BB63DF">
            <w:pPr>
              <w:tabs>
                <w:tab w:val="left" w:pos="709"/>
              </w:tabs>
              <w:rPr>
                <w:sz w:val="20"/>
              </w:rPr>
            </w:pPr>
            <w:r>
              <w:rPr>
                <w:sz w:val="20"/>
              </w:rPr>
              <w:t>EVKO - ekologicky významná krajinná oblast</w:t>
            </w:r>
          </w:p>
          <w:p w14:paraId="309ABCE0" w14:textId="77777777" w:rsidR="00E42A45" w:rsidRPr="002D7515" w:rsidRDefault="00E42A45" w:rsidP="00BB63DF">
            <w:pPr>
              <w:pStyle w:val="Nadpis6"/>
            </w:pPr>
            <w:r w:rsidRPr="002D7515">
              <w:t>EVLS  - ekologicky významné liniové společenstvo</w:t>
            </w:r>
          </w:p>
        </w:tc>
        <w:tc>
          <w:tcPr>
            <w:tcW w:w="3536" w:type="dxa"/>
            <w:shd w:val="clear" w:color="auto" w:fill="FFFFFF"/>
          </w:tcPr>
          <w:p w14:paraId="3B4CB664" w14:textId="77777777" w:rsidR="00E42A45" w:rsidRPr="002D7515" w:rsidRDefault="00E42A45" w:rsidP="00BB63DF">
            <w:pPr>
              <w:pStyle w:val="Nadpis8"/>
            </w:pPr>
            <w:r w:rsidRPr="002D7515">
              <w:t>Biogeografický význam</w:t>
            </w:r>
          </w:p>
          <w:p w14:paraId="08FDEC14" w14:textId="77777777" w:rsidR="00E42A45" w:rsidRDefault="00E42A45" w:rsidP="00BB63DF">
            <w:pPr>
              <w:tabs>
                <w:tab w:val="left" w:pos="709"/>
              </w:tabs>
            </w:pPr>
            <w:r>
              <w:t xml:space="preserve">       -</w:t>
            </w:r>
            <w:r>
              <w:rPr>
                <w:b/>
              </w:rPr>
              <w:t xml:space="preserve"> lokální, reprezentativní</w:t>
            </w:r>
          </w:p>
          <w:p w14:paraId="10567543" w14:textId="77777777" w:rsidR="00E42A45" w:rsidRDefault="00E42A45" w:rsidP="00BB63DF">
            <w:pPr>
              <w:tabs>
                <w:tab w:val="left" w:pos="709"/>
              </w:tabs>
              <w:ind w:left="345"/>
              <w:rPr>
                <w:sz w:val="20"/>
              </w:rPr>
            </w:pPr>
            <w:r>
              <w:t xml:space="preserve"> </w:t>
            </w:r>
            <w:r>
              <w:rPr>
                <w:sz w:val="20"/>
              </w:rPr>
              <w:t>-  regionální</w:t>
            </w:r>
          </w:p>
          <w:p w14:paraId="5FDD5571" w14:textId="77777777" w:rsidR="00E42A45" w:rsidRDefault="00E42A45" w:rsidP="00BB63DF">
            <w:pPr>
              <w:tabs>
                <w:tab w:val="left" w:pos="709"/>
              </w:tabs>
              <w:ind w:left="345"/>
            </w:pPr>
            <w:r>
              <w:rPr>
                <w:sz w:val="20"/>
              </w:rPr>
              <w:t xml:space="preserve"> - nadregionální</w:t>
            </w:r>
          </w:p>
        </w:tc>
        <w:tc>
          <w:tcPr>
            <w:tcW w:w="3496" w:type="dxa"/>
            <w:shd w:val="clear" w:color="auto" w:fill="FFFFFF"/>
          </w:tcPr>
          <w:p w14:paraId="4923C28A" w14:textId="77777777" w:rsidR="00E42A45" w:rsidRDefault="00E42A45" w:rsidP="00BB63DF">
            <w:pPr>
              <w:tabs>
                <w:tab w:val="left" w:pos="709"/>
              </w:tabs>
              <w:rPr>
                <w:b/>
                <w:sz w:val="18"/>
              </w:rPr>
            </w:pPr>
            <w:r>
              <w:rPr>
                <w:b/>
                <w:sz w:val="18"/>
              </w:rPr>
              <w:t>Stav</w:t>
            </w:r>
          </w:p>
          <w:p w14:paraId="7BEB16F3" w14:textId="77777777" w:rsidR="00E42A45" w:rsidRDefault="00E42A45" w:rsidP="00BB63DF">
            <w:pPr>
              <w:tabs>
                <w:tab w:val="left" w:pos="709"/>
              </w:tabs>
              <w:ind w:left="405"/>
            </w:pPr>
            <w:r>
              <w:rPr>
                <w:b/>
              </w:rPr>
              <w:t>-  funkčně vymezený</w:t>
            </w:r>
          </w:p>
          <w:p w14:paraId="04DC5AEC" w14:textId="77777777" w:rsidR="00E42A45" w:rsidRDefault="00E42A45" w:rsidP="00BB63DF">
            <w:pPr>
              <w:tabs>
                <w:tab w:val="left" w:pos="709"/>
              </w:tabs>
              <w:rPr>
                <w:sz w:val="20"/>
              </w:rPr>
            </w:pPr>
            <w:r>
              <w:t xml:space="preserve">       </w:t>
            </w:r>
            <w:r>
              <w:rPr>
                <w:sz w:val="20"/>
              </w:rPr>
              <w:t xml:space="preserve">-  semifunkční    </w:t>
            </w:r>
          </w:p>
          <w:p w14:paraId="1498BFEB" w14:textId="77777777" w:rsidR="00E42A45" w:rsidRDefault="00E42A45" w:rsidP="00BB63DF">
            <w:pPr>
              <w:tabs>
                <w:tab w:val="left" w:pos="709"/>
              </w:tabs>
            </w:pPr>
            <w:r>
              <w:rPr>
                <w:sz w:val="20"/>
              </w:rPr>
              <w:t xml:space="preserve">        -  navržený</w:t>
            </w:r>
          </w:p>
        </w:tc>
      </w:tr>
      <w:tr w:rsidR="00E42A45" w14:paraId="1144D631" w14:textId="77777777" w:rsidTr="00BB63DF">
        <w:tc>
          <w:tcPr>
            <w:tcW w:w="7072" w:type="dxa"/>
            <w:shd w:val="clear" w:color="auto" w:fill="FFFFFF"/>
          </w:tcPr>
          <w:p w14:paraId="09147D16" w14:textId="77777777" w:rsidR="00E42A45" w:rsidRDefault="00E42A45" w:rsidP="00BB63DF">
            <w:pPr>
              <w:tabs>
                <w:tab w:val="left" w:pos="709"/>
              </w:tabs>
              <w:rPr>
                <w:b/>
                <w:sz w:val="18"/>
              </w:rPr>
            </w:pPr>
            <w:r>
              <w:rPr>
                <w:b/>
                <w:sz w:val="18"/>
              </w:rPr>
              <w:t>Geobiocenologická typizace (vegetační stupeň, trofická řada, hydrická řada)</w:t>
            </w:r>
          </w:p>
          <w:p w14:paraId="720F72BB" w14:textId="77777777" w:rsidR="00E42A45" w:rsidRDefault="00E42A45" w:rsidP="00BB63DF">
            <w:pPr>
              <w:tabs>
                <w:tab w:val="left" w:pos="709"/>
              </w:tabs>
            </w:pPr>
            <w:r>
              <w:t xml:space="preserve">                        1BC5 - </w:t>
            </w:r>
            <w:r>
              <w:rPr>
                <w:i/>
              </w:rPr>
              <w:t>Querci roboris - fraxineta inf.</w:t>
            </w:r>
            <w:r>
              <w:t xml:space="preserve">    </w:t>
            </w:r>
          </w:p>
        </w:tc>
        <w:tc>
          <w:tcPr>
            <w:tcW w:w="7032" w:type="dxa"/>
            <w:gridSpan w:val="2"/>
            <w:shd w:val="clear" w:color="auto" w:fill="FFFFFF"/>
          </w:tcPr>
          <w:p w14:paraId="55B1638C" w14:textId="77777777" w:rsidR="00E42A45" w:rsidRDefault="00E42A45" w:rsidP="00BB63DF">
            <w:pPr>
              <w:tabs>
                <w:tab w:val="left" w:pos="709"/>
              </w:tabs>
            </w:pPr>
          </w:p>
        </w:tc>
      </w:tr>
      <w:tr w:rsidR="00E42A45" w14:paraId="325820CD" w14:textId="77777777" w:rsidTr="00BB63DF">
        <w:tc>
          <w:tcPr>
            <w:tcW w:w="14104" w:type="dxa"/>
            <w:gridSpan w:val="3"/>
            <w:shd w:val="clear" w:color="auto" w:fill="FFFFFF"/>
          </w:tcPr>
          <w:p w14:paraId="18D9D199" w14:textId="77777777" w:rsidR="00E42A45" w:rsidRDefault="00E42A45" w:rsidP="00BB63DF">
            <w:pPr>
              <w:tabs>
                <w:tab w:val="left" w:pos="709"/>
              </w:tabs>
            </w:pPr>
            <w:r>
              <w:rPr>
                <w:b/>
                <w:sz w:val="18"/>
              </w:rPr>
              <w:t>Charakter ekotopu a bioty</w:t>
            </w:r>
            <w:r>
              <w:t xml:space="preserve">      </w:t>
            </w:r>
          </w:p>
          <w:p w14:paraId="774A8C1B" w14:textId="77777777" w:rsidR="00E42A45" w:rsidRDefault="00E42A45" w:rsidP="00BB63DF">
            <w:pPr>
              <w:tabs>
                <w:tab w:val="left" w:pos="709"/>
              </w:tabs>
              <w:rPr>
                <w:sz w:val="20"/>
              </w:rPr>
            </w:pPr>
            <w:r>
              <w:t xml:space="preserve"> </w:t>
            </w:r>
            <w:r>
              <w:rPr>
                <w:sz w:val="20"/>
              </w:rPr>
              <w:t xml:space="preserve">Lokální biocentrum na trase nadregionálního biokoridoru vložené, vymezené formálně z důvodu metodických pokynů.  Řeka Labe o šířce cca 50 - 100 m, lemovaná po obou stranách žel. tratí, resp. silnicí, níže zástavbou až téměř k břehové hraně. Břehové a doprovodné dřevinné porosty jsou proměnlivé místy sporadické, tvořené převážně VB, JIV, DB, OL, JS, BR, ....    Řeka je spolu s ekosystémy v údolí jedinečným migračním koridorem nejen pro ichtyofaunu, ale též pro ptactvo a potažmo i rostliny.   </w:t>
            </w:r>
          </w:p>
          <w:p w14:paraId="01EDEA7D" w14:textId="77777777" w:rsidR="00E42A45" w:rsidRDefault="00E42A45" w:rsidP="00BB63DF">
            <w:pPr>
              <w:tabs>
                <w:tab w:val="left" w:pos="709"/>
              </w:tabs>
              <w:rPr>
                <w:sz w:val="20"/>
              </w:rPr>
            </w:pPr>
            <w:r>
              <w:rPr>
                <w:sz w:val="20"/>
              </w:rPr>
              <w:t xml:space="preserve">                                                               SES = 3 - 4. </w:t>
            </w:r>
          </w:p>
          <w:p w14:paraId="1F49687F" w14:textId="77777777" w:rsidR="00E42A45" w:rsidRDefault="00E42A45" w:rsidP="00BB63DF">
            <w:pPr>
              <w:tabs>
                <w:tab w:val="left" w:pos="709"/>
              </w:tabs>
              <w:rPr>
                <w:sz w:val="20"/>
              </w:rPr>
            </w:pPr>
            <w:r>
              <w:rPr>
                <w:sz w:val="20"/>
              </w:rPr>
              <w:t>Rybí obsádka je prokazatelně tvořena těmito druhy:</w:t>
            </w:r>
          </w:p>
          <w:p w14:paraId="5E3A949F" w14:textId="77777777" w:rsidR="00E42A45" w:rsidRDefault="00E42A45" w:rsidP="00BB63DF">
            <w:pPr>
              <w:rPr>
                <w:sz w:val="20"/>
              </w:rPr>
            </w:pPr>
            <w:r>
              <w:rPr>
                <w:sz w:val="20"/>
              </w:rPr>
              <w:t xml:space="preserve">                                                - candát obecný                           - lipan podhorní</w:t>
            </w:r>
          </w:p>
          <w:p w14:paraId="0864895B" w14:textId="77777777" w:rsidR="00E42A45" w:rsidRDefault="00E42A45" w:rsidP="00BB63DF">
            <w:pPr>
              <w:rPr>
                <w:sz w:val="20"/>
              </w:rPr>
            </w:pPr>
            <w:r>
              <w:rPr>
                <w:sz w:val="20"/>
              </w:rPr>
              <w:t xml:space="preserve">                                                - cejn velký                                  - mník jednovousý   (ohrožený druh)</w:t>
            </w:r>
          </w:p>
          <w:p w14:paraId="13F629A0" w14:textId="77777777" w:rsidR="00E42A45" w:rsidRDefault="00E42A45" w:rsidP="00BB63DF">
            <w:pPr>
              <w:rPr>
                <w:sz w:val="20"/>
              </w:rPr>
            </w:pPr>
            <w:r>
              <w:rPr>
                <w:sz w:val="20"/>
              </w:rPr>
              <w:t xml:space="preserve">                                                - cejnek malý                               - okoun říční</w:t>
            </w:r>
          </w:p>
          <w:p w14:paraId="65A79020" w14:textId="77777777" w:rsidR="00E42A45" w:rsidRDefault="00E42A45" w:rsidP="00BB63DF">
            <w:pPr>
              <w:rPr>
                <w:sz w:val="20"/>
              </w:rPr>
            </w:pPr>
            <w:r>
              <w:rPr>
                <w:sz w:val="20"/>
              </w:rPr>
              <w:t xml:space="preserve">                                                - hrouzek obecný                        - parma obecná</w:t>
            </w:r>
          </w:p>
          <w:p w14:paraId="685113E2" w14:textId="77777777" w:rsidR="00E42A45" w:rsidRDefault="00E42A45" w:rsidP="00BB63DF">
            <w:pPr>
              <w:rPr>
                <w:sz w:val="20"/>
              </w:rPr>
            </w:pPr>
            <w:r>
              <w:rPr>
                <w:sz w:val="20"/>
              </w:rPr>
              <w:t xml:space="preserve">                                                - jelec jesen                                 - perlín ostrobřichý</w:t>
            </w:r>
          </w:p>
          <w:p w14:paraId="0974B366" w14:textId="77777777" w:rsidR="00E42A45" w:rsidRDefault="00E42A45" w:rsidP="00BB63DF">
            <w:pPr>
              <w:rPr>
                <w:sz w:val="20"/>
              </w:rPr>
            </w:pPr>
            <w:r>
              <w:rPr>
                <w:sz w:val="20"/>
              </w:rPr>
              <w:t xml:space="preserve">                                                - jelec proudník                           - plotice obecná </w:t>
            </w:r>
          </w:p>
          <w:p w14:paraId="5D1311EA" w14:textId="77777777" w:rsidR="00E42A45" w:rsidRDefault="00E42A45" w:rsidP="00BB63DF">
            <w:pPr>
              <w:rPr>
                <w:sz w:val="20"/>
              </w:rPr>
            </w:pPr>
            <w:r>
              <w:rPr>
                <w:sz w:val="20"/>
              </w:rPr>
              <w:t xml:space="preserve">                                                - kapr obecný                              - štika obecná </w:t>
            </w:r>
          </w:p>
          <w:p w14:paraId="3FA3313F" w14:textId="77777777" w:rsidR="00E42A45" w:rsidRDefault="00E42A45" w:rsidP="00BB63DF">
            <w:pPr>
              <w:rPr>
                <w:sz w:val="20"/>
              </w:rPr>
            </w:pPr>
            <w:r>
              <w:rPr>
                <w:sz w:val="20"/>
              </w:rPr>
              <w:t xml:space="preserve">                                                - karas obecný                            - úhoř říční </w:t>
            </w:r>
          </w:p>
          <w:p w14:paraId="72A525A9" w14:textId="77777777" w:rsidR="00E42A45" w:rsidRDefault="00E42A45" w:rsidP="00BB63DF">
            <w:pPr>
              <w:rPr>
                <w:sz w:val="20"/>
              </w:rPr>
            </w:pPr>
            <w:r>
              <w:rPr>
                <w:sz w:val="20"/>
              </w:rPr>
              <w:t xml:space="preserve">                                                - lín obecný                                                                            </w:t>
            </w:r>
          </w:p>
          <w:p w14:paraId="44A2B430" w14:textId="77777777" w:rsidR="00E42A45" w:rsidRDefault="00E42A45" w:rsidP="00BB63DF">
            <w:r>
              <w:rPr>
                <w:sz w:val="20"/>
              </w:rPr>
              <w:t xml:space="preserve">  Geol.: nivní půda na nivních náplavech</w:t>
            </w:r>
            <w:r>
              <w:t xml:space="preserve"> </w:t>
            </w:r>
          </w:p>
          <w:p w14:paraId="30E76F94" w14:textId="77777777" w:rsidR="00E42A45" w:rsidRDefault="00E42A45" w:rsidP="00BB63DF">
            <w:pPr>
              <w:tabs>
                <w:tab w:val="left" w:pos="709"/>
              </w:tabs>
              <w:rPr>
                <w:b/>
                <w:sz w:val="20"/>
              </w:rPr>
            </w:pPr>
          </w:p>
          <w:p w14:paraId="39B047F3" w14:textId="77777777" w:rsidR="00E42A45" w:rsidRDefault="00E42A45" w:rsidP="00BB63DF">
            <w:pPr>
              <w:tabs>
                <w:tab w:val="left" w:pos="709"/>
              </w:tabs>
              <w:rPr>
                <w:b/>
                <w:sz w:val="20"/>
              </w:rPr>
            </w:pPr>
            <w:r>
              <w:rPr>
                <w:b/>
                <w:sz w:val="20"/>
              </w:rPr>
              <w:t xml:space="preserve">Návrh opatření :       </w:t>
            </w:r>
          </w:p>
          <w:p w14:paraId="3AC4FE2F" w14:textId="77777777" w:rsidR="00E42A45" w:rsidRDefault="00E42A45" w:rsidP="00BB63DF">
            <w:pPr>
              <w:tabs>
                <w:tab w:val="left" w:pos="709"/>
              </w:tabs>
            </w:pPr>
            <w:r>
              <w:rPr>
                <w:b/>
                <w:sz w:val="20"/>
              </w:rPr>
              <w:t>Doplňovat dřeviny v doprovodných dřevinných porostech a obecně revitalizovat břehy řeky.</w:t>
            </w:r>
            <w:r>
              <w:t xml:space="preserve">                                       </w:t>
            </w:r>
          </w:p>
        </w:tc>
      </w:tr>
      <w:tr w:rsidR="00E42A45" w14:paraId="7707AAA9" w14:textId="77777777" w:rsidTr="00BB63DF">
        <w:tc>
          <w:tcPr>
            <w:tcW w:w="7072" w:type="dxa"/>
            <w:shd w:val="clear" w:color="auto" w:fill="FFFFFF"/>
          </w:tcPr>
          <w:p w14:paraId="79EF1623" w14:textId="77777777" w:rsidR="00E42A45" w:rsidRDefault="00E42A45" w:rsidP="00BB63DF">
            <w:pPr>
              <w:tabs>
                <w:tab w:val="left" w:pos="709"/>
              </w:tabs>
              <w:rPr>
                <w:sz w:val="18"/>
              </w:rPr>
            </w:pPr>
            <w:r>
              <w:rPr>
                <w:sz w:val="18"/>
              </w:rPr>
              <w:t>Vymezení</w:t>
            </w:r>
          </w:p>
          <w:p w14:paraId="6431295C" w14:textId="77777777" w:rsidR="00E42A45" w:rsidRDefault="00E42A45" w:rsidP="00BB63DF">
            <w:pPr>
              <w:tabs>
                <w:tab w:val="left" w:pos="709"/>
              </w:tabs>
              <w:rPr>
                <w:sz w:val="18"/>
              </w:rPr>
            </w:pPr>
            <w:r>
              <w:rPr>
                <w:sz w:val="18"/>
              </w:rPr>
              <w:t xml:space="preserve">                      </w:t>
            </w:r>
          </w:p>
        </w:tc>
        <w:tc>
          <w:tcPr>
            <w:tcW w:w="7032" w:type="dxa"/>
            <w:gridSpan w:val="2"/>
            <w:shd w:val="clear" w:color="auto" w:fill="FFFFFF"/>
          </w:tcPr>
          <w:p w14:paraId="4D0C96F2" w14:textId="77777777" w:rsidR="00E42A45" w:rsidRDefault="00E42A45" w:rsidP="00BB63DF">
            <w:pPr>
              <w:tabs>
                <w:tab w:val="left" w:pos="709"/>
              </w:tabs>
              <w:rPr>
                <w:sz w:val="18"/>
              </w:rPr>
            </w:pPr>
            <w:r>
              <w:rPr>
                <w:sz w:val="18"/>
              </w:rPr>
              <w:t xml:space="preserve">Kultura                vodní plocha, ostatní plochy  </w:t>
            </w:r>
          </w:p>
        </w:tc>
      </w:tr>
      <w:tr w:rsidR="00E42A45" w14:paraId="6325D274" w14:textId="77777777" w:rsidTr="00BB63DF">
        <w:tc>
          <w:tcPr>
            <w:tcW w:w="7072" w:type="dxa"/>
            <w:shd w:val="clear" w:color="auto" w:fill="FFFFFF"/>
          </w:tcPr>
          <w:p w14:paraId="7C2B130C" w14:textId="77777777" w:rsidR="00E42A45" w:rsidRDefault="00E42A45" w:rsidP="00BB63DF">
            <w:pPr>
              <w:tabs>
                <w:tab w:val="left" w:pos="709"/>
              </w:tabs>
              <w:rPr>
                <w:sz w:val="18"/>
              </w:rPr>
            </w:pPr>
            <w:r>
              <w:rPr>
                <w:sz w:val="18"/>
              </w:rPr>
              <w:t>Uživatel         Povodí Labe</w:t>
            </w:r>
          </w:p>
          <w:p w14:paraId="1B86A4BA" w14:textId="77777777" w:rsidR="00E42A45" w:rsidRDefault="00E42A45" w:rsidP="00BB63DF">
            <w:pPr>
              <w:tabs>
                <w:tab w:val="left" w:pos="709"/>
              </w:tabs>
              <w:rPr>
                <w:sz w:val="18"/>
              </w:rPr>
            </w:pPr>
          </w:p>
        </w:tc>
        <w:tc>
          <w:tcPr>
            <w:tcW w:w="7032" w:type="dxa"/>
            <w:gridSpan w:val="2"/>
            <w:shd w:val="clear" w:color="auto" w:fill="FFFFFF"/>
          </w:tcPr>
          <w:p w14:paraId="176A46AB" w14:textId="77777777" w:rsidR="00E42A45" w:rsidRDefault="00E42A45" w:rsidP="00BB63DF">
            <w:pPr>
              <w:tabs>
                <w:tab w:val="left" w:pos="709"/>
              </w:tabs>
              <w:rPr>
                <w:sz w:val="18"/>
              </w:rPr>
            </w:pPr>
            <w:r>
              <w:rPr>
                <w:sz w:val="18"/>
              </w:rPr>
              <w:t>Mapovatel           Sklenička, Linhart, 1997</w:t>
            </w:r>
          </w:p>
        </w:tc>
      </w:tr>
      <w:tr w:rsidR="00E42A45" w14:paraId="68570935" w14:textId="77777777" w:rsidTr="00BB63DF">
        <w:tc>
          <w:tcPr>
            <w:tcW w:w="14104" w:type="dxa"/>
            <w:gridSpan w:val="3"/>
            <w:shd w:val="clear" w:color="auto" w:fill="FFFFFF"/>
          </w:tcPr>
          <w:p w14:paraId="3D079F28" w14:textId="77777777" w:rsidR="00E42A45" w:rsidRDefault="00E42A45" w:rsidP="00BB63DF">
            <w:pPr>
              <w:tabs>
                <w:tab w:val="left" w:pos="709"/>
              </w:tabs>
            </w:pPr>
            <w:r>
              <w:rPr>
                <w:b/>
                <w:sz w:val="18"/>
              </w:rPr>
              <w:t>Kategorie ochrany, rok vyhlášení</w:t>
            </w:r>
          </w:p>
          <w:p w14:paraId="68719466" w14:textId="77777777" w:rsidR="00E42A45" w:rsidRPr="002D7515" w:rsidRDefault="00E42A45" w:rsidP="00BB63DF">
            <w:pPr>
              <w:pStyle w:val="Nadpis7"/>
            </w:pPr>
            <w:r w:rsidRPr="002D7515">
              <w:t xml:space="preserve">                                                                     CHKO Labské Pískovce II., IV.zóna ,  CHKO České Středohoří - IV. zóna</w:t>
            </w:r>
          </w:p>
        </w:tc>
      </w:tr>
      <w:tr w:rsidR="00E42A45" w14:paraId="5142DFEB" w14:textId="77777777" w:rsidTr="00BB63DF">
        <w:tc>
          <w:tcPr>
            <w:tcW w:w="7072" w:type="dxa"/>
            <w:shd w:val="clear" w:color="auto" w:fill="FFFFFF"/>
          </w:tcPr>
          <w:p w14:paraId="6E0935A1" w14:textId="77777777" w:rsidR="00E42A45" w:rsidRDefault="00E42A45" w:rsidP="00BB63DF">
            <w:pPr>
              <w:tabs>
                <w:tab w:val="left" w:pos="709"/>
              </w:tabs>
              <w:rPr>
                <w:b/>
                <w:sz w:val="18"/>
              </w:rPr>
            </w:pPr>
            <w:r>
              <w:rPr>
                <w:b/>
                <w:sz w:val="18"/>
              </w:rPr>
              <w:lastRenderedPageBreak/>
              <w:t>Pořadové číslo</w:t>
            </w:r>
          </w:p>
          <w:p w14:paraId="725B5998" w14:textId="77777777" w:rsidR="00E42A45" w:rsidRDefault="00E42A45" w:rsidP="00BB63DF">
            <w:pPr>
              <w:tabs>
                <w:tab w:val="left" w:pos="709"/>
              </w:tabs>
              <w:rPr>
                <w:b/>
                <w:sz w:val="36"/>
              </w:rPr>
            </w:pPr>
            <w:r>
              <w:rPr>
                <w:b/>
                <w:sz w:val="36"/>
              </w:rPr>
              <w:t xml:space="preserve">                                               32</w:t>
            </w:r>
          </w:p>
        </w:tc>
        <w:tc>
          <w:tcPr>
            <w:tcW w:w="7032" w:type="dxa"/>
            <w:gridSpan w:val="2"/>
            <w:shd w:val="clear" w:color="auto" w:fill="FFFFFF"/>
          </w:tcPr>
          <w:p w14:paraId="35892304" w14:textId="77777777" w:rsidR="00E42A45" w:rsidRDefault="00E42A45" w:rsidP="00BB63DF">
            <w:pPr>
              <w:tabs>
                <w:tab w:val="left" w:pos="709"/>
              </w:tabs>
              <w:rPr>
                <w:b/>
                <w:sz w:val="18"/>
              </w:rPr>
            </w:pPr>
            <w:r>
              <w:rPr>
                <w:b/>
                <w:sz w:val="18"/>
              </w:rPr>
              <w:t>Katastrální území</w:t>
            </w:r>
          </w:p>
          <w:p w14:paraId="69112199" w14:textId="77777777" w:rsidR="00E42A45" w:rsidRDefault="00E42A45" w:rsidP="00BB63DF">
            <w:pPr>
              <w:tabs>
                <w:tab w:val="left" w:pos="709"/>
              </w:tabs>
              <w:rPr>
                <w:b/>
                <w:sz w:val="18"/>
              </w:rPr>
            </w:pPr>
            <w:r>
              <w:rPr>
                <w:b/>
                <w:sz w:val="18"/>
              </w:rPr>
              <w:t xml:space="preserve">                                           </w:t>
            </w:r>
            <w:r>
              <w:rPr>
                <w:b/>
              </w:rPr>
              <w:t>Děčín, Březiny</w:t>
            </w:r>
          </w:p>
        </w:tc>
      </w:tr>
      <w:tr w:rsidR="00E42A45" w14:paraId="3C80850B" w14:textId="77777777" w:rsidTr="00BB63DF">
        <w:tc>
          <w:tcPr>
            <w:tcW w:w="7072" w:type="dxa"/>
            <w:shd w:val="clear" w:color="auto" w:fill="FFFFFF"/>
          </w:tcPr>
          <w:p w14:paraId="0D952572" w14:textId="77777777" w:rsidR="00E42A45" w:rsidRDefault="00E42A45" w:rsidP="00BB63DF">
            <w:pPr>
              <w:tabs>
                <w:tab w:val="left" w:pos="709"/>
              </w:tabs>
              <w:rPr>
                <w:b/>
                <w:sz w:val="18"/>
              </w:rPr>
            </w:pPr>
            <w:r>
              <w:rPr>
                <w:b/>
                <w:sz w:val="18"/>
              </w:rPr>
              <w:t>Název</w:t>
            </w:r>
          </w:p>
          <w:p w14:paraId="2DCA4F8C" w14:textId="77777777" w:rsidR="00E42A45" w:rsidRDefault="00E42A45" w:rsidP="00BB63DF">
            <w:pPr>
              <w:tabs>
                <w:tab w:val="left" w:pos="709"/>
              </w:tabs>
              <w:rPr>
                <w:b/>
                <w:caps/>
                <w:sz w:val="18"/>
              </w:rPr>
            </w:pPr>
            <w:r>
              <w:rPr>
                <w:b/>
                <w:caps/>
                <w:sz w:val="18"/>
              </w:rPr>
              <w:t xml:space="preserve">                                     </w:t>
            </w:r>
            <w:r>
              <w:rPr>
                <w:b/>
                <w:caps/>
              </w:rPr>
              <w:t>Ústí  Ploučnice do Labe</w:t>
            </w:r>
          </w:p>
        </w:tc>
        <w:tc>
          <w:tcPr>
            <w:tcW w:w="3536" w:type="dxa"/>
            <w:shd w:val="clear" w:color="auto" w:fill="FFFFFF"/>
          </w:tcPr>
          <w:p w14:paraId="455A6C20" w14:textId="77777777" w:rsidR="00E42A45" w:rsidRDefault="00E42A45" w:rsidP="00BB63DF">
            <w:pPr>
              <w:tabs>
                <w:tab w:val="left" w:pos="709"/>
              </w:tabs>
              <w:rPr>
                <w:b/>
                <w:sz w:val="18"/>
              </w:rPr>
            </w:pPr>
            <w:r>
              <w:rPr>
                <w:b/>
                <w:sz w:val="18"/>
              </w:rPr>
              <w:t xml:space="preserve">Mapový list           </w:t>
            </w:r>
          </w:p>
          <w:p w14:paraId="38F2DF4B" w14:textId="77777777" w:rsidR="00E42A45" w:rsidRDefault="00E42A45" w:rsidP="00BB63DF">
            <w:pPr>
              <w:tabs>
                <w:tab w:val="left" w:pos="709"/>
              </w:tabs>
              <w:rPr>
                <w:b/>
                <w:sz w:val="20"/>
              </w:rPr>
            </w:pPr>
            <w:r>
              <w:rPr>
                <w:b/>
                <w:sz w:val="18"/>
              </w:rPr>
              <w:t xml:space="preserve">                            </w:t>
            </w:r>
            <w:r>
              <w:rPr>
                <w:sz w:val="20"/>
              </w:rPr>
              <w:t>02-23-19</w:t>
            </w:r>
          </w:p>
        </w:tc>
        <w:tc>
          <w:tcPr>
            <w:tcW w:w="3496" w:type="dxa"/>
            <w:shd w:val="clear" w:color="auto" w:fill="FFFFFF"/>
          </w:tcPr>
          <w:p w14:paraId="586D07A7" w14:textId="77777777" w:rsidR="00E42A45" w:rsidRDefault="00E42A45" w:rsidP="00BB63DF">
            <w:pPr>
              <w:tabs>
                <w:tab w:val="left" w:pos="709"/>
              </w:tabs>
              <w:rPr>
                <w:b/>
                <w:sz w:val="18"/>
              </w:rPr>
            </w:pPr>
            <w:r>
              <w:rPr>
                <w:b/>
                <w:sz w:val="18"/>
              </w:rPr>
              <w:t xml:space="preserve">Výměra             </w:t>
            </w:r>
          </w:p>
          <w:p w14:paraId="69CB6F7A" w14:textId="77777777" w:rsidR="00E42A45" w:rsidRDefault="00E42A45" w:rsidP="00BB63DF">
            <w:pPr>
              <w:tabs>
                <w:tab w:val="left" w:pos="709"/>
              </w:tabs>
              <w:rPr>
                <w:b/>
                <w:sz w:val="20"/>
              </w:rPr>
            </w:pPr>
            <w:r>
              <w:rPr>
                <w:b/>
                <w:sz w:val="18"/>
              </w:rPr>
              <w:t xml:space="preserve">                     </w:t>
            </w:r>
            <w:r>
              <w:rPr>
                <w:b/>
                <w:sz w:val="20"/>
              </w:rPr>
              <w:t>cca 4 ha</w:t>
            </w:r>
          </w:p>
        </w:tc>
      </w:tr>
      <w:tr w:rsidR="00E42A45" w14:paraId="6A0F7E2C" w14:textId="77777777" w:rsidTr="00BB63DF">
        <w:tc>
          <w:tcPr>
            <w:tcW w:w="7072" w:type="dxa"/>
            <w:shd w:val="clear" w:color="auto" w:fill="FFFFFF"/>
          </w:tcPr>
          <w:p w14:paraId="297CDC27" w14:textId="77777777" w:rsidR="00E42A45" w:rsidRDefault="00E42A45" w:rsidP="00BB63DF">
            <w:pPr>
              <w:tabs>
                <w:tab w:val="left" w:pos="709"/>
              </w:tabs>
              <w:rPr>
                <w:sz w:val="20"/>
              </w:rPr>
            </w:pPr>
            <w:r>
              <w:rPr>
                <w:sz w:val="20"/>
              </w:rPr>
              <w:t>EVKP - ekologicky významný krajinný prvek</w:t>
            </w:r>
          </w:p>
          <w:p w14:paraId="36167FE3" w14:textId="77777777" w:rsidR="00E42A45" w:rsidRDefault="00E42A45" w:rsidP="00BB63DF">
            <w:pPr>
              <w:tabs>
                <w:tab w:val="left" w:pos="709"/>
              </w:tabs>
              <w:rPr>
                <w:sz w:val="20"/>
              </w:rPr>
            </w:pPr>
            <w:r>
              <w:rPr>
                <w:sz w:val="20"/>
              </w:rPr>
              <w:t>EVKC - ekologicky významný krajinný celek</w:t>
            </w:r>
          </w:p>
          <w:p w14:paraId="1834F864" w14:textId="77777777" w:rsidR="00E42A45" w:rsidRDefault="00E42A45" w:rsidP="00BB63DF">
            <w:pPr>
              <w:tabs>
                <w:tab w:val="left" w:pos="709"/>
              </w:tabs>
              <w:rPr>
                <w:sz w:val="20"/>
              </w:rPr>
            </w:pPr>
            <w:r>
              <w:rPr>
                <w:sz w:val="20"/>
              </w:rPr>
              <w:t>EVKO - ekologicky významná krajinná oblast</w:t>
            </w:r>
          </w:p>
          <w:p w14:paraId="4329CE66" w14:textId="77777777" w:rsidR="00E42A45" w:rsidRPr="002D7515" w:rsidRDefault="00E42A45" w:rsidP="00BB63DF">
            <w:pPr>
              <w:pStyle w:val="Nadpis6"/>
            </w:pPr>
            <w:r w:rsidRPr="002D7515">
              <w:t>EVLS  - ekologicky významné liniové společenstvo</w:t>
            </w:r>
          </w:p>
        </w:tc>
        <w:tc>
          <w:tcPr>
            <w:tcW w:w="3536" w:type="dxa"/>
            <w:shd w:val="clear" w:color="auto" w:fill="FFFFFF"/>
          </w:tcPr>
          <w:p w14:paraId="35DFF021" w14:textId="77777777" w:rsidR="00E42A45" w:rsidRPr="002D7515" w:rsidRDefault="00E42A45" w:rsidP="00BB63DF">
            <w:pPr>
              <w:pStyle w:val="Nadpis8"/>
            </w:pPr>
            <w:r w:rsidRPr="002D7515">
              <w:t>Biogeografický význam</w:t>
            </w:r>
          </w:p>
          <w:p w14:paraId="6B0BE9FE" w14:textId="77777777" w:rsidR="00E42A45" w:rsidRDefault="00E42A45" w:rsidP="00BB63DF">
            <w:pPr>
              <w:tabs>
                <w:tab w:val="left" w:pos="709"/>
              </w:tabs>
            </w:pPr>
            <w:r>
              <w:t xml:space="preserve">       -</w:t>
            </w:r>
            <w:r>
              <w:rPr>
                <w:b/>
              </w:rPr>
              <w:t xml:space="preserve"> lokální, reprezentativní</w:t>
            </w:r>
          </w:p>
          <w:p w14:paraId="431CA478" w14:textId="77777777" w:rsidR="00E42A45" w:rsidRDefault="00E42A45" w:rsidP="00BB63DF">
            <w:pPr>
              <w:tabs>
                <w:tab w:val="left" w:pos="709"/>
              </w:tabs>
              <w:ind w:left="345"/>
              <w:rPr>
                <w:sz w:val="20"/>
              </w:rPr>
            </w:pPr>
            <w:r>
              <w:t xml:space="preserve"> </w:t>
            </w:r>
            <w:r>
              <w:rPr>
                <w:sz w:val="20"/>
              </w:rPr>
              <w:t>-  regionální</w:t>
            </w:r>
          </w:p>
          <w:p w14:paraId="3CDE585A" w14:textId="77777777" w:rsidR="00E42A45" w:rsidRDefault="00E42A45" w:rsidP="00BB63DF">
            <w:pPr>
              <w:tabs>
                <w:tab w:val="left" w:pos="709"/>
              </w:tabs>
              <w:ind w:left="345"/>
            </w:pPr>
            <w:r>
              <w:rPr>
                <w:sz w:val="20"/>
              </w:rPr>
              <w:t xml:space="preserve"> - nadregionální</w:t>
            </w:r>
          </w:p>
        </w:tc>
        <w:tc>
          <w:tcPr>
            <w:tcW w:w="3496" w:type="dxa"/>
            <w:shd w:val="clear" w:color="auto" w:fill="FFFFFF"/>
          </w:tcPr>
          <w:p w14:paraId="38F0367C" w14:textId="77777777" w:rsidR="00E42A45" w:rsidRDefault="00E42A45" w:rsidP="00BB63DF">
            <w:pPr>
              <w:tabs>
                <w:tab w:val="left" w:pos="709"/>
              </w:tabs>
              <w:rPr>
                <w:b/>
                <w:sz w:val="18"/>
              </w:rPr>
            </w:pPr>
            <w:r>
              <w:rPr>
                <w:b/>
                <w:sz w:val="18"/>
              </w:rPr>
              <w:t>Stav</w:t>
            </w:r>
          </w:p>
          <w:p w14:paraId="7266F8F4" w14:textId="77777777" w:rsidR="00E42A45" w:rsidRDefault="00E42A45" w:rsidP="00BB63DF">
            <w:pPr>
              <w:tabs>
                <w:tab w:val="left" w:pos="709"/>
              </w:tabs>
              <w:ind w:left="405"/>
            </w:pPr>
            <w:r>
              <w:rPr>
                <w:b/>
              </w:rPr>
              <w:t>-  funkčně vymezený</w:t>
            </w:r>
          </w:p>
          <w:p w14:paraId="73699489" w14:textId="77777777" w:rsidR="00E42A45" w:rsidRDefault="00E42A45" w:rsidP="00BB63DF">
            <w:pPr>
              <w:tabs>
                <w:tab w:val="left" w:pos="709"/>
              </w:tabs>
              <w:rPr>
                <w:sz w:val="20"/>
              </w:rPr>
            </w:pPr>
            <w:r>
              <w:t xml:space="preserve">       </w:t>
            </w:r>
            <w:r>
              <w:rPr>
                <w:sz w:val="20"/>
              </w:rPr>
              <w:t xml:space="preserve">-  semifunkční    </w:t>
            </w:r>
          </w:p>
          <w:p w14:paraId="34743B30" w14:textId="77777777" w:rsidR="00E42A45" w:rsidRDefault="00E42A45" w:rsidP="00BB63DF">
            <w:pPr>
              <w:tabs>
                <w:tab w:val="left" w:pos="709"/>
              </w:tabs>
            </w:pPr>
            <w:r>
              <w:rPr>
                <w:sz w:val="20"/>
              </w:rPr>
              <w:t xml:space="preserve">        -  navržený</w:t>
            </w:r>
          </w:p>
        </w:tc>
      </w:tr>
      <w:tr w:rsidR="00E42A45" w14:paraId="5E3852B8" w14:textId="77777777" w:rsidTr="00BB63DF">
        <w:tc>
          <w:tcPr>
            <w:tcW w:w="7072" w:type="dxa"/>
            <w:shd w:val="clear" w:color="auto" w:fill="FFFFFF"/>
          </w:tcPr>
          <w:p w14:paraId="6F6840BD" w14:textId="77777777" w:rsidR="00E42A45" w:rsidRDefault="00E42A45" w:rsidP="00BB63DF">
            <w:pPr>
              <w:tabs>
                <w:tab w:val="left" w:pos="709"/>
              </w:tabs>
              <w:rPr>
                <w:b/>
                <w:sz w:val="18"/>
              </w:rPr>
            </w:pPr>
            <w:r>
              <w:rPr>
                <w:b/>
                <w:sz w:val="18"/>
              </w:rPr>
              <w:t>Geobiocenologická typizace (vegetační stupeň, trofická řada, hydrická řada)</w:t>
            </w:r>
          </w:p>
          <w:p w14:paraId="0D887BF0" w14:textId="77777777" w:rsidR="00E42A45" w:rsidRDefault="00E42A45" w:rsidP="00BB63DF">
            <w:pPr>
              <w:tabs>
                <w:tab w:val="left" w:pos="709"/>
              </w:tabs>
            </w:pPr>
            <w:r>
              <w:t xml:space="preserve">                        1BC5 - </w:t>
            </w:r>
            <w:r>
              <w:rPr>
                <w:i/>
              </w:rPr>
              <w:t>Querci roboris - fraxineta inf.</w:t>
            </w:r>
          </w:p>
        </w:tc>
        <w:tc>
          <w:tcPr>
            <w:tcW w:w="7032" w:type="dxa"/>
            <w:gridSpan w:val="2"/>
            <w:shd w:val="clear" w:color="auto" w:fill="FFFFFF"/>
          </w:tcPr>
          <w:p w14:paraId="4807619B" w14:textId="77777777" w:rsidR="00E42A45" w:rsidRDefault="00E42A45" w:rsidP="00BB63DF">
            <w:pPr>
              <w:tabs>
                <w:tab w:val="left" w:pos="709"/>
              </w:tabs>
            </w:pPr>
          </w:p>
        </w:tc>
      </w:tr>
      <w:tr w:rsidR="00E42A45" w14:paraId="1168F418" w14:textId="77777777" w:rsidTr="00BB63DF">
        <w:trPr>
          <w:trHeight w:val="529"/>
        </w:trPr>
        <w:tc>
          <w:tcPr>
            <w:tcW w:w="14104" w:type="dxa"/>
            <w:gridSpan w:val="3"/>
            <w:shd w:val="clear" w:color="auto" w:fill="FFFFFF"/>
          </w:tcPr>
          <w:p w14:paraId="31CA4DC3" w14:textId="77777777" w:rsidR="00E42A45" w:rsidRDefault="00E42A45" w:rsidP="00BB63DF">
            <w:pPr>
              <w:tabs>
                <w:tab w:val="left" w:pos="709"/>
              </w:tabs>
            </w:pPr>
            <w:r>
              <w:rPr>
                <w:b/>
                <w:sz w:val="18"/>
              </w:rPr>
              <w:t>Charakter ekotopu a bioty</w:t>
            </w:r>
            <w:r>
              <w:t xml:space="preserve">  </w:t>
            </w:r>
          </w:p>
          <w:p w14:paraId="3916016A" w14:textId="77777777" w:rsidR="00E42A45" w:rsidRDefault="00E42A45" w:rsidP="00BB63DF">
            <w:pPr>
              <w:tabs>
                <w:tab w:val="left" w:pos="709"/>
              </w:tabs>
              <w:rPr>
                <w:sz w:val="20"/>
              </w:rPr>
            </w:pPr>
            <w:r>
              <w:rPr>
                <w:sz w:val="20"/>
              </w:rPr>
              <w:t xml:space="preserve">Lokální biocentrum na trase nadregionálního biokoridoru vložené, vymezené u ústí Ploučnice do Labe formálně z důvodu metodických pokynů.  Řeka Labe o šířce cca 80 m, lemovaná po obou stranách   zástavbou až téměř k břehové hraně. Břehové a doprovodné dřevinné porosty jsou   sporadické, tvořené převážně VB, JIV, DB, OL, JS, BR, ....    Řeka je spolu s ekosystémy v údolí jedinečným migračním koridorem nejen pro ichtyofaunu, ale též pro ptactvo a potažmo i rostliny. </w:t>
            </w:r>
          </w:p>
          <w:p w14:paraId="1C41159A" w14:textId="77777777" w:rsidR="00E42A45" w:rsidRDefault="00E42A45" w:rsidP="00BB63DF">
            <w:pPr>
              <w:tabs>
                <w:tab w:val="left" w:pos="709"/>
              </w:tabs>
              <w:rPr>
                <w:sz w:val="20"/>
              </w:rPr>
            </w:pPr>
            <w:r>
              <w:rPr>
                <w:sz w:val="20"/>
              </w:rPr>
              <w:t xml:space="preserve">                                                                                                          SES = 3 - 4   </w:t>
            </w:r>
          </w:p>
          <w:p w14:paraId="07E68379" w14:textId="77777777" w:rsidR="00E42A45" w:rsidRDefault="00E42A45" w:rsidP="00BB63DF">
            <w:pPr>
              <w:pStyle w:val="Zkladntext"/>
            </w:pPr>
            <w:r>
              <w:t>Rybí obsádka je prokazatelně tvořena těmito druhy:</w:t>
            </w:r>
          </w:p>
          <w:p w14:paraId="314E7A39" w14:textId="77777777" w:rsidR="00E42A45" w:rsidRDefault="00E42A45" w:rsidP="00BB63DF">
            <w:pPr>
              <w:rPr>
                <w:sz w:val="20"/>
              </w:rPr>
            </w:pPr>
            <w:r>
              <w:rPr>
                <w:sz w:val="20"/>
              </w:rPr>
              <w:t xml:space="preserve">                                                - candát obecný                           - lipan podhorní</w:t>
            </w:r>
          </w:p>
          <w:p w14:paraId="2AB39834" w14:textId="77777777" w:rsidR="00E42A45" w:rsidRDefault="00E42A45" w:rsidP="00BB63DF">
            <w:pPr>
              <w:rPr>
                <w:sz w:val="20"/>
              </w:rPr>
            </w:pPr>
            <w:r>
              <w:rPr>
                <w:sz w:val="20"/>
              </w:rPr>
              <w:t xml:space="preserve">                                                - cejn velký                                  - mník jednovousý   (ohrožený druh)</w:t>
            </w:r>
          </w:p>
          <w:p w14:paraId="46E2BEE8" w14:textId="77777777" w:rsidR="00E42A45" w:rsidRDefault="00E42A45" w:rsidP="00BB63DF">
            <w:pPr>
              <w:rPr>
                <w:sz w:val="20"/>
              </w:rPr>
            </w:pPr>
            <w:r>
              <w:rPr>
                <w:sz w:val="20"/>
              </w:rPr>
              <w:t xml:space="preserve">                                                - cejnek malý                               - okoun říční</w:t>
            </w:r>
          </w:p>
          <w:p w14:paraId="03C2B715" w14:textId="77777777" w:rsidR="00E42A45" w:rsidRDefault="00E42A45" w:rsidP="00BB63DF">
            <w:pPr>
              <w:rPr>
                <w:sz w:val="20"/>
              </w:rPr>
            </w:pPr>
            <w:r>
              <w:rPr>
                <w:sz w:val="20"/>
              </w:rPr>
              <w:t xml:space="preserve">                                                - hrouzek obecný                        - parma obecná</w:t>
            </w:r>
          </w:p>
          <w:p w14:paraId="5FF64A36" w14:textId="77777777" w:rsidR="00E42A45" w:rsidRDefault="00E42A45" w:rsidP="00BB63DF">
            <w:pPr>
              <w:rPr>
                <w:sz w:val="20"/>
              </w:rPr>
            </w:pPr>
            <w:r>
              <w:rPr>
                <w:sz w:val="20"/>
              </w:rPr>
              <w:t xml:space="preserve">                                                - jelec jesen                                 - perlín ostrobřichý</w:t>
            </w:r>
          </w:p>
          <w:p w14:paraId="0689F28E" w14:textId="77777777" w:rsidR="00E42A45" w:rsidRDefault="00E42A45" w:rsidP="00BB63DF">
            <w:pPr>
              <w:rPr>
                <w:sz w:val="20"/>
              </w:rPr>
            </w:pPr>
            <w:r>
              <w:rPr>
                <w:sz w:val="20"/>
              </w:rPr>
              <w:t xml:space="preserve">                                                - jelec proudník                           - plotice obecná </w:t>
            </w:r>
          </w:p>
          <w:p w14:paraId="752AEB81" w14:textId="77777777" w:rsidR="00E42A45" w:rsidRDefault="00E42A45" w:rsidP="00BB63DF">
            <w:pPr>
              <w:rPr>
                <w:sz w:val="20"/>
              </w:rPr>
            </w:pPr>
            <w:r>
              <w:rPr>
                <w:sz w:val="20"/>
              </w:rPr>
              <w:t xml:space="preserve">                                                - kapr obecný                              - štika obecná </w:t>
            </w:r>
          </w:p>
          <w:p w14:paraId="0A999D5E" w14:textId="77777777" w:rsidR="00E42A45" w:rsidRDefault="00E42A45" w:rsidP="00BB63DF">
            <w:pPr>
              <w:rPr>
                <w:sz w:val="20"/>
              </w:rPr>
            </w:pPr>
            <w:r>
              <w:rPr>
                <w:sz w:val="20"/>
              </w:rPr>
              <w:t xml:space="preserve">                                                - karas obecný                            - úhoř říční </w:t>
            </w:r>
          </w:p>
          <w:p w14:paraId="4236C909" w14:textId="77777777" w:rsidR="00E42A45" w:rsidRDefault="00E42A45" w:rsidP="00BB63DF">
            <w:pPr>
              <w:rPr>
                <w:sz w:val="20"/>
              </w:rPr>
            </w:pPr>
            <w:r>
              <w:rPr>
                <w:sz w:val="20"/>
              </w:rPr>
              <w:t xml:space="preserve">                                                - lín obecný                                                                            </w:t>
            </w:r>
          </w:p>
          <w:p w14:paraId="4ACB265A" w14:textId="77777777" w:rsidR="00E42A45" w:rsidRDefault="00E42A45" w:rsidP="00BB63DF">
            <w:r>
              <w:rPr>
                <w:sz w:val="20"/>
              </w:rPr>
              <w:t xml:space="preserve">  Geol.: nivní půda na nivních náplavech</w:t>
            </w:r>
            <w:r>
              <w:t xml:space="preserve"> </w:t>
            </w:r>
          </w:p>
          <w:p w14:paraId="6E8B1A7E" w14:textId="77777777" w:rsidR="00E42A45" w:rsidRDefault="00E42A45" w:rsidP="00BB63DF">
            <w:pPr>
              <w:pStyle w:val="Podnadpis20"/>
              <w:keepNext w:val="0"/>
              <w:tabs>
                <w:tab w:val="left" w:pos="709"/>
              </w:tabs>
              <w:spacing w:before="0" w:after="0"/>
              <w:rPr>
                <w:caps w:val="0"/>
                <w:kern w:val="0"/>
                <w:sz w:val="20"/>
              </w:rPr>
            </w:pPr>
            <w:r>
              <w:rPr>
                <w:caps w:val="0"/>
                <w:kern w:val="0"/>
                <w:sz w:val="20"/>
              </w:rPr>
              <w:t xml:space="preserve">Návrh opatření :       </w:t>
            </w:r>
          </w:p>
          <w:p w14:paraId="69843EC5" w14:textId="77777777" w:rsidR="00E42A45" w:rsidRDefault="00E42A45" w:rsidP="00BB63DF">
            <w:pPr>
              <w:tabs>
                <w:tab w:val="left" w:pos="709"/>
              </w:tabs>
            </w:pPr>
            <w:r>
              <w:rPr>
                <w:b/>
                <w:sz w:val="20"/>
              </w:rPr>
              <w:t>Doplňovat dřeviny v doprovodných dřevinných porostech a obecně revitalizovat břehy řeky</w:t>
            </w:r>
            <w:r>
              <w:t xml:space="preserve">.        </w:t>
            </w:r>
          </w:p>
        </w:tc>
      </w:tr>
      <w:tr w:rsidR="00E42A45" w14:paraId="1B985E61" w14:textId="77777777" w:rsidTr="00BB63DF">
        <w:tc>
          <w:tcPr>
            <w:tcW w:w="7072" w:type="dxa"/>
            <w:shd w:val="clear" w:color="auto" w:fill="FFFFFF"/>
          </w:tcPr>
          <w:p w14:paraId="0268FF1C" w14:textId="77777777" w:rsidR="00E42A45" w:rsidRDefault="00E42A45" w:rsidP="00BB63DF">
            <w:pPr>
              <w:tabs>
                <w:tab w:val="left" w:pos="709"/>
              </w:tabs>
              <w:rPr>
                <w:sz w:val="18"/>
              </w:rPr>
            </w:pPr>
            <w:r>
              <w:rPr>
                <w:sz w:val="18"/>
              </w:rPr>
              <w:t>Vymezení</w:t>
            </w:r>
          </w:p>
        </w:tc>
        <w:tc>
          <w:tcPr>
            <w:tcW w:w="7032" w:type="dxa"/>
            <w:gridSpan w:val="2"/>
            <w:shd w:val="clear" w:color="auto" w:fill="FFFFFF"/>
          </w:tcPr>
          <w:p w14:paraId="110F861A" w14:textId="77777777" w:rsidR="00E42A45" w:rsidRDefault="00E42A45" w:rsidP="00BB63DF">
            <w:pPr>
              <w:tabs>
                <w:tab w:val="left" w:pos="709"/>
              </w:tabs>
              <w:rPr>
                <w:sz w:val="18"/>
              </w:rPr>
            </w:pPr>
            <w:r>
              <w:rPr>
                <w:sz w:val="18"/>
              </w:rPr>
              <w:t xml:space="preserve">Kultura              vodní pl., ost.pl.  </w:t>
            </w:r>
          </w:p>
        </w:tc>
      </w:tr>
      <w:tr w:rsidR="00E42A45" w14:paraId="22D20A1C" w14:textId="77777777" w:rsidTr="00BB63DF">
        <w:tc>
          <w:tcPr>
            <w:tcW w:w="7072" w:type="dxa"/>
            <w:shd w:val="clear" w:color="auto" w:fill="FFFFFF"/>
          </w:tcPr>
          <w:p w14:paraId="3F696BEE" w14:textId="77777777" w:rsidR="00E42A45" w:rsidRDefault="00E42A45" w:rsidP="00BB63DF">
            <w:pPr>
              <w:tabs>
                <w:tab w:val="left" w:pos="709"/>
              </w:tabs>
              <w:rPr>
                <w:sz w:val="18"/>
              </w:rPr>
            </w:pPr>
            <w:r>
              <w:rPr>
                <w:sz w:val="18"/>
              </w:rPr>
              <w:t>Uživatel             Povodí Labe</w:t>
            </w:r>
          </w:p>
        </w:tc>
        <w:tc>
          <w:tcPr>
            <w:tcW w:w="7032" w:type="dxa"/>
            <w:gridSpan w:val="2"/>
            <w:shd w:val="clear" w:color="auto" w:fill="FFFFFF"/>
          </w:tcPr>
          <w:p w14:paraId="4A5E683F" w14:textId="77777777" w:rsidR="00E42A45" w:rsidRDefault="00E42A45" w:rsidP="00BB63DF">
            <w:pPr>
              <w:tabs>
                <w:tab w:val="left" w:pos="709"/>
              </w:tabs>
              <w:rPr>
                <w:sz w:val="18"/>
              </w:rPr>
            </w:pPr>
            <w:r>
              <w:rPr>
                <w:sz w:val="18"/>
              </w:rPr>
              <w:t>Mapovatel         Sklenička, Linhart, 1997</w:t>
            </w:r>
          </w:p>
        </w:tc>
      </w:tr>
      <w:tr w:rsidR="00E42A45" w14:paraId="4EEEE210" w14:textId="77777777" w:rsidTr="00BB63DF">
        <w:tc>
          <w:tcPr>
            <w:tcW w:w="14104" w:type="dxa"/>
            <w:gridSpan w:val="3"/>
            <w:shd w:val="clear" w:color="auto" w:fill="FFFFFF"/>
          </w:tcPr>
          <w:p w14:paraId="6EDAAA1D" w14:textId="77777777" w:rsidR="00E42A45" w:rsidRDefault="00E42A45" w:rsidP="00BB63DF">
            <w:pPr>
              <w:tabs>
                <w:tab w:val="left" w:pos="709"/>
              </w:tabs>
            </w:pPr>
            <w:r>
              <w:rPr>
                <w:sz w:val="18"/>
              </w:rPr>
              <w:t>Kategorie ochrany, rok vyhlášení</w:t>
            </w:r>
          </w:p>
          <w:p w14:paraId="55BD017C" w14:textId="77777777" w:rsidR="00E42A45" w:rsidRDefault="00E42A45" w:rsidP="00BB63DF">
            <w:pPr>
              <w:tabs>
                <w:tab w:val="left" w:pos="709"/>
              </w:tabs>
              <w:rPr>
                <w:b/>
                <w:sz w:val="20"/>
              </w:rPr>
            </w:pPr>
            <w:r>
              <w:t xml:space="preserve">                                                                                  </w:t>
            </w:r>
            <w:r>
              <w:rPr>
                <w:b/>
                <w:sz w:val="20"/>
              </w:rPr>
              <w:t>CHKO České Středohoří - IV. zóna</w:t>
            </w:r>
          </w:p>
        </w:tc>
      </w:tr>
    </w:tbl>
    <w:p w14:paraId="3D636EDB" w14:textId="77777777" w:rsidR="00E42A45" w:rsidRDefault="00E42A45" w:rsidP="00CA23D0">
      <w:pPr>
        <w:jc w:val="both"/>
        <w:rPr>
          <w:rFonts w:ascii="Arial" w:hAnsi="Arial" w:cs="Arial"/>
          <w:sz w:val="22"/>
        </w:rPr>
      </w:pPr>
    </w:p>
    <w:p w14:paraId="2AA0A8BE" w14:textId="77777777" w:rsidR="00E42A45" w:rsidRDefault="00E42A45" w:rsidP="00CA23D0">
      <w:pPr>
        <w:jc w:val="both"/>
        <w:rPr>
          <w:rFonts w:ascii="Arial" w:hAnsi="Arial" w:cs="Arial"/>
          <w:sz w:val="22"/>
        </w:rPr>
      </w:pPr>
    </w:p>
    <w:p w14:paraId="70764B0D" w14:textId="77777777" w:rsidR="00E42A45" w:rsidRDefault="00E42A45" w:rsidP="00CA23D0">
      <w:pPr>
        <w:jc w:val="both"/>
        <w:rPr>
          <w:rFonts w:ascii="Arial" w:hAnsi="Arial" w:cs="Arial"/>
          <w:sz w:val="22"/>
        </w:rPr>
      </w:pPr>
    </w:p>
    <w:tbl>
      <w:tblPr>
        <w:tblW w:w="14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3536"/>
        <w:gridCol w:w="3496"/>
      </w:tblGrid>
      <w:tr w:rsidR="00E42A45" w14:paraId="1BE18A8C" w14:textId="77777777" w:rsidTr="00BB63DF">
        <w:tc>
          <w:tcPr>
            <w:tcW w:w="7072" w:type="dxa"/>
            <w:shd w:val="clear" w:color="auto" w:fill="FFFFFF"/>
          </w:tcPr>
          <w:p w14:paraId="052A1D40" w14:textId="77777777" w:rsidR="00E42A45" w:rsidRDefault="00E42A45" w:rsidP="00BB63DF">
            <w:pPr>
              <w:tabs>
                <w:tab w:val="left" w:pos="709"/>
              </w:tabs>
              <w:rPr>
                <w:b/>
                <w:sz w:val="18"/>
              </w:rPr>
            </w:pPr>
            <w:r>
              <w:rPr>
                <w:b/>
                <w:sz w:val="18"/>
              </w:rPr>
              <w:lastRenderedPageBreak/>
              <w:t>Pořadové číslo</w:t>
            </w:r>
          </w:p>
          <w:p w14:paraId="3BB0C68A" w14:textId="77777777" w:rsidR="00E42A45" w:rsidRDefault="00E42A45" w:rsidP="00BB63DF">
            <w:pPr>
              <w:tabs>
                <w:tab w:val="left" w:pos="709"/>
              </w:tabs>
              <w:rPr>
                <w:b/>
                <w:sz w:val="36"/>
              </w:rPr>
            </w:pPr>
            <w:r>
              <w:rPr>
                <w:b/>
                <w:sz w:val="36"/>
              </w:rPr>
              <w:t xml:space="preserve">                                                 33</w:t>
            </w:r>
          </w:p>
        </w:tc>
        <w:tc>
          <w:tcPr>
            <w:tcW w:w="7032" w:type="dxa"/>
            <w:gridSpan w:val="2"/>
            <w:shd w:val="clear" w:color="auto" w:fill="FFFFFF"/>
          </w:tcPr>
          <w:p w14:paraId="07BD6F02" w14:textId="77777777" w:rsidR="00E42A45" w:rsidRDefault="00E42A45" w:rsidP="00BB63DF">
            <w:pPr>
              <w:tabs>
                <w:tab w:val="left" w:pos="709"/>
              </w:tabs>
              <w:rPr>
                <w:b/>
                <w:sz w:val="18"/>
              </w:rPr>
            </w:pPr>
            <w:r>
              <w:rPr>
                <w:b/>
                <w:sz w:val="18"/>
              </w:rPr>
              <w:t>Katastrální území</w:t>
            </w:r>
          </w:p>
          <w:p w14:paraId="09584F29" w14:textId="77777777" w:rsidR="00E42A45" w:rsidRDefault="00E42A45" w:rsidP="00BB63DF">
            <w:pPr>
              <w:tabs>
                <w:tab w:val="left" w:pos="709"/>
              </w:tabs>
              <w:rPr>
                <w:b/>
                <w:sz w:val="18"/>
              </w:rPr>
            </w:pPr>
            <w:r>
              <w:rPr>
                <w:b/>
                <w:sz w:val="18"/>
              </w:rPr>
              <w:t xml:space="preserve">                                           </w:t>
            </w:r>
            <w:r>
              <w:rPr>
                <w:b/>
              </w:rPr>
              <w:t>Nebočady, Dobkovice</w:t>
            </w:r>
          </w:p>
        </w:tc>
      </w:tr>
      <w:tr w:rsidR="00E42A45" w14:paraId="6A467F0B" w14:textId="77777777" w:rsidTr="00BB63DF">
        <w:tc>
          <w:tcPr>
            <w:tcW w:w="7072" w:type="dxa"/>
            <w:shd w:val="clear" w:color="auto" w:fill="FFFFFF"/>
          </w:tcPr>
          <w:p w14:paraId="368CEE9B" w14:textId="77777777" w:rsidR="00E42A45" w:rsidRDefault="00E42A45" w:rsidP="00BB63DF">
            <w:pPr>
              <w:tabs>
                <w:tab w:val="left" w:pos="709"/>
              </w:tabs>
              <w:rPr>
                <w:b/>
                <w:sz w:val="18"/>
              </w:rPr>
            </w:pPr>
            <w:r>
              <w:rPr>
                <w:b/>
                <w:sz w:val="18"/>
              </w:rPr>
              <w:t>Název</w:t>
            </w:r>
          </w:p>
          <w:p w14:paraId="57AA90AA" w14:textId="77777777" w:rsidR="00E42A45" w:rsidRDefault="00E42A45" w:rsidP="00BB63DF">
            <w:pPr>
              <w:tabs>
                <w:tab w:val="left" w:pos="709"/>
              </w:tabs>
              <w:rPr>
                <w:b/>
                <w:caps/>
                <w:sz w:val="18"/>
              </w:rPr>
            </w:pPr>
            <w:r>
              <w:rPr>
                <w:b/>
                <w:caps/>
                <w:sz w:val="18"/>
              </w:rPr>
              <w:t xml:space="preserve">                                                           </w:t>
            </w:r>
            <w:r>
              <w:rPr>
                <w:b/>
                <w:caps/>
              </w:rPr>
              <w:t>Nebočadský luh</w:t>
            </w:r>
          </w:p>
        </w:tc>
        <w:tc>
          <w:tcPr>
            <w:tcW w:w="3536" w:type="dxa"/>
            <w:shd w:val="clear" w:color="auto" w:fill="FFFFFF"/>
          </w:tcPr>
          <w:p w14:paraId="457CBA3A" w14:textId="77777777" w:rsidR="00E42A45" w:rsidRDefault="00E42A45" w:rsidP="00BB63DF">
            <w:pPr>
              <w:tabs>
                <w:tab w:val="left" w:pos="709"/>
              </w:tabs>
              <w:rPr>
                <w:b/>
                <w:sz w:val="18"/>
              </w:rPr>
            </w:pPr>
            <w:r>
              <w:rPr>
                <w:b/>
                <w:sz w:val="18"/>
              </w:rPr>
              <w:t xml:space="preserve">Mapový list           </w:t>
            </w:r>
          </w:p>
          <w:p w14:paraId="5D010F32" w14:textId="77777777" w:rsidR="00E42A45" w:rsidRDefault="00E42A45" w:rsidP="00BB63DF">
            <w:pPr>
              <w:tabs>
                <w:tab w:val="left" w:pos="709"/>
              </w:tabs>
              <w:rPr>
                <w:sz w:val="20"/>
              </w:rPr>
            </w:pPr>
            <w:r>
              <w:rPr>
                <w:b/>
                <w:sz w:val="18"/>
              </w:rPr>
              <w:t xml:space="preserve">                            </w:t>
            </w:r>
            <w:r>
              <w:rPr>
                <w:sz w:val="20"/>
              </w:rPr>
              <w:t>02-41-04</w:t>
            </w:r>
          </w:p>
        </w:tc>
        <w:tc>
          <w:tcPr>
            <w:tcW w:w="3496" w:type="dxa"/>
            <w:shd w:val="clear" w:color="auto" w:fill="FFFFFF"/>
          </w:tcPr>
          <w:p w14:paraId="0CB0DFFD" w14:textId="77777777" w:rsidR="00E42A45" w:rsidRDefault="00E42A45" w:rsidP="00BB63DF">
            <w:pPr>
              <w:tabs>
                <w:tab w:val="left" w:pos="709"/>
              </w:tabs>
              <w:rPr>
                <w:b/>
                <w:sz w:val="18"/>
              </w:rPr>
            </w:pPr>
            <w:r>
              <w:rPr>
                <w:b/>
                <w:sz w:val="18"/>
              </w:rPr>
              <w:t xml:space="preserve">Výměra             </w:t>
            </w:r>
          </w:p>
          <w:p w14:paraId="788D92D2" w14:textId="77777777" w:rsidR="00E42A45" w:rsidRDefault="00E42A45" w:rsidP="00BB63DF">
            <w:pPr>
              <w:tabs>
                <w:tab w:val="left" w:pos="709"/>
              </w:tabs>
              <w:rPr>
                <w:b/>
                <w:sz w:val="20"/>
              </w:rPr>
            </w:pPr>
            <w:r>
              <w:rPr>
                <w:b/>
                <w:sz w:val="20"/>
              </w:rPr>
              <w:t xml:space="preserve">                     cca 18 ha</w:t>
            </w:r>
          </w:p>
        </w:tc>
      </w:tr>
      <w:tr w:rsidR="00E42A45" w14:paraId="37DC0467" w14:textId="77777777" w:rsidTr="00BB63DF">
        <w:tc>
          <w:tcPr>
            <w:tcW w:w="7072" w:type="dxa"/>
            <w:shd w:val="clear" w:color="auto" w:fill="FFFFFF"/>
          </w:tcPr>
          <w:p w14:paraId="2D84B378" w14:textId="77777777" w:rsidR="00E42A45" w:rsidRDefault="00E42A45" w:rsidP="00BB63DF">
            <w:pPr>
              <w:tabs>
                <w:tab w:val="left" w:pos="709"/>
              </w:tabs>
              <w:rPr>
                <w:sz w:val="20"/>
              </w:rPr>
            </w:pPr>
            <w:r>
              <w:rPr>
                <w:sz w:val="20"/>
              </w:rPr>
              <w:t>EVKP - ekologicky významný krajinný prvek</w:t>
            </w:r>
          </w:p>
          <w:p w14:paraId="56E5E0B4" w14:textId="77777777" w:rsidR="00E42A45" w:rsidRDefault="00E42A45" w:rsidP="00BB63DF">
            <w:pPr>
              <w:tabs>
                <w:tab w:val="left" w:pos="709"/>
              </w:tabs>
              <w:rPr>
                <w:sz w:val="20"/>
              </w:rPr>
            </w:pPr>
            <w:r>
              <w:rPr>
                <w:sz w:val="20"/>
              </w:rPr>
              <w:t>EVKC - ekologicky významný krajinný celek</w:t>
            </w:r>
          </w:p>
          <w:p w14:paraId="4BEA38A0" w14:textId="77777777" w:rsidR="00E42A45" w:rsidRDefault="00E42A45" w:rsidP="00BB63DF">
            <w:pPr>
              <w:tabs>
                <w:tab w:val="left" w:pos="709"/>
              </w:tabs>
              <w:rPr>
                <w:sz w:val="20"/>
              </w:rPr>
            </w:pPr>
            <w:r>
              <w:rPr>
                <w:sz w:val="20"/>
              </w:rPr>
              <w:t>EVKO - ekologicky významná krajinná oblast</w:t>
            </w:r>
          </w:p>
          <w:p w14:paraId="738B26CB" w14:textId="77777777" w:rsidR="00E42A45" w:rsidRPr="002D7515" w:rsidRDefault="00E42A45" w:rsidP="00BB63DF">
            <w:pPr>
              <w:pStyle w:val="Nadpis6"/>
            </w:pPr>
            <w:r w:rsidRPr="002D7515">
              <w:t>EVLS  - ekologicky významné liniové společenstvo</w:t>
            </w:r>
          </w:p>
        </w:tc>
        <w:tc>
          <w:tcPr>
            <w:tcW w:w="3536" w:type="dxa"/>
            <w:shd w:val="clear" w:color="auto" w:fill="FFFFFF"/>
          </w:tcPr>
          <w:p w14:paraId="3C5C1D54" w14:textId="77777777" w:rsidR="00E42A45" w:rsidRPr="002D7515" w:rsidRDefault="00E42A45" w:rsidP="00BB63DF">
            <w:pPr>
              <w:pStyle w:val="Nadpis8"/>
            </w:pPr>
            <w:r w:rsidRPr="002D7515">
              <w:t>Biogeografický význam</w:t>
            </w:r>
          </w:p>
          <w:p w14:paraId="34DDE26D" w14:textId="77777777" w:rsidR="00E42A45" w:rsidRDefault="00E42A45" w:rsidP="00BB63DF">
            <w:pPr>
              <w:tabs>
                <w:tab w:val="left" w:pos="709"/>
              </w:tabs>
            </w:pPr>
            <w:r>
              <w:t xml:space="preserve">       -</w:t>
            </w:r>
            <w:r>
              <w:rPr>
                <w:b/>
              </w:rPr>
              <w:t xml:space="preserve"> lokální, reprezentativní</w:t>
            </w:r>
          </w:p>
          <w:p w14:paraId="3F44514E" w14:textId="77777777" w:rsidR="00E42A45" w:rsidRDefault="00E42A45" w:rsidP="00BB63DF">
            <w:pPr>
              <w:tabs>
                <w:tab w:val="left" w:pos="709"/>
              </w:tabs>
              <w:ind w:left="345"/>
              <w:rPr>
                <w:sz w:val="20"/>
              </w:rPr>
            </w:pPr>
            <w:r>
              <w:t xml:space="preserve"> </w:t>
            </w:r>
            <w:r>
              <w:rPr>
                <w:sz w:val="20"/>
              </w:rPr>
              <w:t>-  regionální</w:t>
            </w:r>
          </w:p>
          <w:p w14:paraId="3AEFF1C8" w14:textId="77777777" w:rsidR="00E42A45" w:rsidRDefault="00E42A45" w:rsidP="00BB63DF">
            <w:pPr>
              <w:tabs>
                <w:tab w:val="left" w:pos="709"/>
              </w:tabs>
              <w:ind w:left="345"/>
            </w:pPr>
            <w:r>
              <w:rPr>
                <w:sz w:val="20"/>
              </w:rPr>
              <w:t xml:space="preserve"> - nadregionální</w:t>
            </w:r>
          </w:p>
        </w:tc>
        <w:tc>
          <w:tcPr>
            <w:tcW w:w="3496" w:type="dxa"/>
            <w:shd w:val="clear" w:color="auto" w:fill="FFFFFF"/>
          </w:tcPr>
          <w:p w14:paraId="221B5455" w14:textId="77777777" w:rsidR="00E42A45" w:rsidRDefault="00E42A45" w:rsidP="00BB63DF">
            <w:pPr>
              <w:tabs>
                <w:tab w:val="left" w:pos="709"/>
              </w:tabs>
              <w:rPr>
                <w:b/>
                <w:sz w:val="18"/>
              </w:rPr>
            </w:pPr>
            <w:r>
              <w:rPr>
                <w:b/>
                <w:sz w:val="18"/>
              </w:rPr>
              <w:t>Stav</w:t>
            </w:r>
          </w:p>
          <w:p w14:paraId="0D7F1015" w14:textId="77777777" w:rsidR="00E42A45" w:rsidRDefault="00E42A45" w:rsidP="00BB63DF">
            <w:pPr>
              <w:tabs>
                <w:tab w:val="left" w:pos="709"/>
              </w:tabs>
              <w:ind w:left="405"/>
            </w:pPr>
            <w:r>
              <w:rPr>
                <w:b/>
              </w:rPr>
              <w:t>-  funkčně vymezený</w:t>
            </w:r>
          </w:p>
          <w:p w14:paraId="5E98A8E1" w14:textId="77777777" w:rsidR="00E42A45" w:rsidRDefault="00E42A45" w:rsidP="00BB63DF">
            <w:pPr>
              <w:tabs>
                <w:tab w:val="left" w:pos="709"/>
              </w:tabs>
              <w:rPr>
                <w:sz w:val="20"/>
              </w:rPr>
            </w:pPr>
            <w:r>
              <w:t xml:space="preserve">       </w:t>
            </w:r>
            <w:r>
              <w:rPr>
                <w:sz w:val="20"/>
              </w:rPr>
              <w:t xml:space="preserve">-  semifunkční    </w:t>
            </w:r>
          </w:p>
          <w:p w14:paraId="2193A2DF" w14:textId="77777777" w:rsidR="00E42A45" w:rsidRDefault="00E42A45" w:rsidP="00BB63DF">
            <w:pPr>
              <w:tabs>
                <w:tab w:val="left" w:pos="709"/>
              </w:tabs>
            </w:pPr>
            <w:r>
              <w:rPr>
                <w:sz w:val="20"/>
              </w:rPr>
              <w:t xml:space="preserve">        -  navržený</w:t>
            </w:r>
          </w:p>
        </w:tc>
      </w:tr>
      <w:tr w:rsidR="00E42A45" w14:paraId="5FEA3B7E" w14:textId="77777777" w:rsidTr="00BB63DF">
        <w:tc>
          <w:tcPr>
            <w:tcW w:w="7072" w:type="dxa"/>
            <w:shd w:val="clear" w:color="auto" w:fill="FFFFFF"/>
          </w:tcPr>
          <w:p w14:paraId="0EA1B086" w14:textId="77777777" w:rsidR="00E42A45" w:rsidRDefault="00E42A45" w:rsidP="00BB63DF">
            <w:pPr>
              <w:tabs>
                <w:tab w:val="left" w:pos="709"/>
              </w:tabs>
              <w:rPr>
                <w:b/>
                <w:sz w:val="18"/>
              </w:rPr>
            </w:pPr>
            <w:r>
              <w:rPr>
                <w:b/>
                <w:sz w:val="18"/>
              </w:rPr>
              <w:t>Geobiocenologická typizace (vegetační stupeň, trofická řada, hydrická řada)</w:t>
            </w:r>
          </w:p>
          <w:p w14:paraId="6BFDB4A2" w14:textId="77777777" w:rsidR="00E42A45" w:rsidRDefault="00E42A45" w:rsidP="00BB63DF">
            <w:pPr>
              <w:tabs>
                <w:tab w:val="left" w:pos="709"/>
              </w:tabs>
            </w:pPr>
            <w:r>
              <w:t xml:space="preserve">                        1BC5 - </w:t>
            </w:r>
            <w:r>
              <w:rPr>
                <w:i/>
              </w:rPr>
              <w:t>Querci roboris - fraxineta inf.</w:t>
            </w:r>
          </w:p>
        </w:tc>
        <w:tc>
          <w:tcPr>
            <w:tcW w:w="7032" w:type="dxa"/>
            <w:gridSpan w:val="2"/>
            <w:shd w:val="clear" w:color="auto" w:fill="FFFFFF"/>
          </w:tcPr>
          <w:p w14:paraId="7F078E47" w14:textId="77777777" w:rsidR="00E42A45" w:rsidRDefault="00E42A45" w:rsidP="00BB63DF">
            <w:pPr>
              <w:tabs>
                <w:tab w:val="left" w:pos="709"/>
              </w:tabs>
            </w:pPr>
          </w:p>
        </w:tc>
      </w:tr>
      <w:tr w:rsidR="00E42A45" w14:paraId="7A548EE9" w14:textId="77777777" w:rsidTr="00BB63DF">
        <w:tc>
          <w:tcPr>
            <w:tcW w:w="14104" w:type="dxa"/>
            <w:gridSpan w:val="3"/>
            <w:shd w:val="clear" w:color="auto" w:fill="FFFFFF"/>
          </w:tcPr>
          <w:p w14:paraId="37F93ACC" w14:textId="77777777" w:rsidR="00E42A45" w:rsidRDefault="00E42A45" w:rsidP="00BB63DF">
            <w:pPr>
              <w:tabs>
                <w:tab w:val="left" w:pos="709"/>
              </w:tabs>
            </w:pPr>
            <w:r>
              <w:rPr>
                <w:b/>
                <w:sz w:val="18"/>
              </w:rPr>
              <w:t>Charakter ekotopu a bioty</w:t>
            </w:r>
            <w:r>
              <w:t xml:space="preserve">  </w:t>
            </w:r>
          </w:p>
          <w:p w14:paraId="6F517EC5" w14:textId="77777777" w:rsidR="00E42A45" w:rsidRDefault="00E42A45" w:rsidP="00BB63DF">
            <w:pPr>
              <w:tabs>
                <w:tab w:val="left" w:pos="709"/>
              </w:tabs>
              <w:rPr>
                <w:sz w:val="20"/>
              </w:rPr>
            </w:pPr>
            <w:r>
              <w:rPr>
                <w:sz w:val="20"/>
              </w:rPr>
              <w:t xml:space="preserve">Lokální biocentrum na trase nadregionálního biokoridoru vložené, vymezené v místě PP Nebočadský    Řeka Labe o šířce cca 50  m zde vytváří slepé rameno s poloostrovem s dřevinnými společenstvy . Zastoupeny jsou typické dřeviny tvrdého i měkkého luhu.   </w:t>
            </w:r>
          </w:p>
          <w:p w14:paraId="24794387" w14:textId="77777777" w:rsidR="00E42A45" w:rsidRDefault="00E42A45" w:rsidP="00BB63DF">
            <w:pPr>
              <w:tabs>
                <w:tab w:val="left" w:pos="709"/>
              </w:tabs>
              <w:rPr>
                <w:sz w:val="20"/>
              </w:rPr>
            </w:pPr>
            <w:r>
              <w:rPr>
                <w:sz w:val="20"/>
              </w:rPr>
              <w:t>Ornitologicky významná lokalita.</w:t>
            </w:r>
          </w:p>
          <w:p w14:paraId="5B20648A" w14:textId="77777777" w:rsidR="00E42A45" w:rsidRDefault="00E42A45" w:rsidP="00BB63DF">
            <w:pPr>
              <w:tabs>
                <w:tab w:val="left" w:pos="709"/>
              </w:tabs>
              <w:rPr>
                <w:sz w:val="20"/>
              </w:rPr>
            </w:pPr>
          </w:p>
          <w:p w14:paraId="04BDDB74" w14:textId="77777777" w:rsidR="00E42A45" w:rsidRDefault="00E42A45" w:rsidP="00BB63DF">
            <w:pPr>
              <w:tabs>
                <w:tab w:val="left" w:pos="709"/>
              </w:tabs>
              <w:rPr>
                <w:sz w:val="20"/>
              </w:rPr>
            </w:pPr>
            <w:r>
              <w:rPr>
                <w:sz w:val="20"/>
              </w:rPr>
              <w:t xml:space="preserve">        Blíže viz rezervační kniha.</w:t>
            </w:r>
          </w:p>
          <w:p w14:paraId="0298920A" w14:textId="77777777" w:rsidR="00E42A45" w:rsidRDefault="00E42A45" w:rsidP="00BB63DF">
            <w:pPr>
              <w:tabs>
                <w:tab w:val="left" w:pos="709"/>
              </w:tabs>
              <w:rPr>
                <w:sz w:val="20"/>
              </w:rPr>
            </w:pPr>
            <w:r>
              <w:rPr>
                <w:sz w:val="20"/>
              </w:rPr>
              <w:t xml:space="preserve">                                                                                                          SES = 4  </w:t>
            </w:r>
          </w:p>
          <w:p w14:paraId="32273325" w14:textId="77777777" w:rsidR="00E42A45" w:rsidRDefault="00E42A45" w:rsidP="00BB63DF">
            <w:pPr>
              <w:rPr>
                <w:sz w:val="20"/>
              </w:rPr>
            </w:pPr>
            <w:r>
              <w:rPr>
                <w:sz w:val="20"/>
              </w:rPr>
              <w:t xml:space="preserve">  Geol.: nivní půda na nivních náplavech</w:t>
            </w:r>
          </w:p>
          <w:p w14:paraId="24E1DE0C" w14:textId="77777777" w:rsidR="00E42A45" w:rsidRPr="005663DB" w:rsidRDefault="00E42A45" w:rsidP="00BB63DF">
            <w:pPr>
              <w:rPr>
                <w:i/>
              </w:rPr>
            </w:pPr>
            <w:r>
              <w:rPr>
                <w:i/>
              </w:rPr>
              <w:t xml:space="preserve"> </w:t>
            </w:r>
          </w:p>
          <w:p w14:paraId="08104768" w14:textId="77777777" w:rsidR="00E42A45" w:rsidRDefault="00E42A45" w:rsidP="00BB63DF">
            <w:pPr>
              <w:tabs>
                <w:tab w:val="left" w:pos="709"/>
              </w:tabs>
              <w:rPr>
                <w:b/>
                <w:sz w:val="20"/>
              </w:rPr>
            </w:pPr>
            <w:r>
              <w:rPr>
                <w:b/>
                <w:sz w:val="20"/>
              </w:rPr>
              <w:t xml:space="preserve">Návrh opatření :       </w:t>
            </w:r>
          </w:p>
          <w:p w14:paraId="73901A79" w14:textId="77777777" w:rsidR="00E42A45" w:rsidRDefault="00E42A45" w:rsidP="00BB63DF">
            <w:pPr>
              <w:tabs>
                <w:tab w:val="left" w:pos="709"/>
              </w:tabs>
            </w:pPr>
            <w:r>
              <w:rPr>
                <w:b/>
                <w:sz w:val="20"/>
              </w:rPr>
              <w:t xml:space="preserve">                                                       Dle plánu péče o PP.</w:t>
            </w:r>
            <w:r>
              <w:t xml:space="preserve">                                    </w:t>
            </w:r>
          </w:p>
        </w:tc>
      </w:tr>
      <w:tr w:rsidR="00E42A45" w14:paraId="1A359970" w14:textId="77777777" w:rsidTr="00BB63DF">
        <w:tc>
          <w:tcPr>
            <w:tcW w:w="7072" w:type="dxa"/>
            <w:shd w:val="clear" w:color="auto" w:fill="FFFFFF"/>
          </w:tcPr>
          <w:p w14:paraId="18FB83B2" w14:textId="77777777" w:rsidR="00E42A45" w:rsidRDefault="00E42A45" w:rsidP="00BB63DF">
            <w:pPr>
              <w:tabs>
                <w:tab w:val="left" w:pos="709"/>
              </w:tabs>
              <w:rPr>
                <w:sz w:val="18"/>
              </w:rPr>
            </w:pPr>
            <w:r>
              <w:rPr>
                <w:sz w:val="18"/>
              </w:rPr>
              <w:t>Vymezení</w:t>
            </w:r>
          </w:p>
          <w:p w14:paraId="03F811AB" w14:textId="77777777" w:rsidR="00E42A45" w:rsidRDefault="00E42A45" w:rsidP="00BB63DF">
            <w:pPr>
              <w:tabs>
                <w:tab w:val="left" w:pos="709"/>
              </w:tabs>
              <w:rPr>
                <w:sz w:val="18"/>
              </w:rPr>
            </w:pPr>
            <w:r>
              <w:rPr>
                <w:sz w:val="18"/>
              </w:rPr>
              <w:t xml:space="preserve"> </w:t>
            </w:r>
          </w:p>
        </w:tc>
        <w:tc>
          <w:tcPr>
            <w:tcW w:w="7032" w:type="dxa"/>
            <w:gridSpan w:val="2"/>
            <w:shd w:val="clear" w:color="auto" w:fill="FFFFFF"/>
          </w:tcPr>
          <w:p w14:paraId="5ECA83F8" w14:textId="77777777" w:rsidR="00E42A45" w:rsidRDefault="00E42A45" w:rsidP="00BB63DF">
            <w:pPr>
              <w:tabs>
                <w:tab w:val="left" w:pos="709"/>
              </w:tabs>
              <w:rPr>
                <w:sz w:val="18"/>
              </w:rPr>
            </w:pPr>
            <w:r>
              <w:rPr>
                <w:sz w:val="18"/>
              </w:rPr>
              <w:t xml:space="preserve">Kultura              vodní pl., ost.pl.  </w:t>
            </w:r>
          </w:p>
        </w:tc>
      </w:tr>
      <w:tr w:rsidR="00E42A45" w14:paraId="503D2170" w14:textId="77777777" w:rsidTr="00BB63DF">
        <w:tc>
          <w:tcPr>
            <w:tcW w:w="7072" w:type="dxa"/>
            <w:shd w:val="clear" w:color="auto" w:fill="FFFFFF"/>
          </w:tcPr>
          <w:p w14:paraId="154C1716" w14:textId="77777777" w:rsidR="00E42A45" w:rsidRDefault="00E42A45" w:rsidP="00BB63DF">
            <w:pPr>
              <w:tabs>
                <w:tab w:val="left" w:pos="709"/>
              </w:tabs>
              <w:rPr>
                <w:sz w:val="18"/>
              </w:rPr>
            </w:pPr>
            <w:r>
              <w:rPr>
                <w:sz w:val="18"/>
              </w:rPr>
              <w:t>Uživatel            Povodí Labe</w:t>
            </w:r>
          </w:p>
          <w:p w14:paraId="231E5FB7" w14:textId="77777777" w:rsidR="00E42A45" w:rsidRDefault="00E42A45" w:rsidP="00BB63DF">
            <w:pPr>
              <w:tabs>
                <w:tab w:val="left" w:pos="709"/>
              </w:tabs>
              <w:rPr>
                <w:sz w:val="18"/>
              </w:rPr>
            </w:pPr>
          </w:p>
        </w:tc>
        <w:tc>
          <w:tcPr>
            <w:tcW w:w="7032" w:type="dxa"/>
            <w:gridSpan w:val="2"/>
            <w:shd w:val="clear" w:color="auto" w:fill="FFFFFF"/>
          </w:tcPr>
          <w:p w14:paraId="5F4AB636" w14:textId="77777777" w:rsidR="00E42A45" w:rsidRDefault="00E42A45" w:rsidP="00BB63DF">
            <w:pPr>
              <w:tabs>
                <w:tab w:val="left" w:pos="709"/>
              </w:tabs>
              <w:rPr>
                <w:sz w:val="18"/>
              </w:rPr>
            </w:pPr>
            <w:r>
              <w:rPr>
                <w:sz w:val="18"/>
              </w:rPr>
              <w:t>Mapoval            Sklenička, Linhart, 1997</w:t>
            </w:r>
          </w:p>
        </w:tc>
      </w:tr>
      <w:tr w:rsidR="00E42A45" w14:paraId="6C6C218C" w14:textId="77777777" w:rsidTr="00BB63DF">
        <w:tc>
          <w:tcPr>
            <w:tcW w:w="14104" w:type="dxa"/>
            <w:gridSpan w:val="3"/>
            <w:shd w:val="clear" w:color="auto" w:fill="FFFFFF"/>
          </w:tcPr>
          <w:p w14:paraId="5438AE23" w14:textId="77777777" w:rsidR="00E42A45" w:rsidRDefault="00E42A45" w:rsidP="00BB63DF">
            <w:pPr>
              <w:tabs>
                <w:tab w:val="left" w:pos="709"/>
              </w:tabs>
            </w:pPr>
            <w:r>
              <w:rPr>
                <w:b/>
                <w:sz w:val="18"/>
              </w:rPr>
              <w:t>Kategorie ochrany, rok vyhlášení</w:t>
            </w:r>
          </w:p>
          <w:p w14:paraId="1D7D5680" w14:textId="77777777" w:rsidR="00E42A45" w:rsidRDefault="00E42A45" w:rsidP="00BB63DF">
            <w:pPr>
              <w:tabs>
                <w:tab w:val="left" w:pos="709"/>
              </w:tabs>
              <w:rPr>
                <w:b/>
                <w:sz w:val="20"/>
              </w:rPr>
            </w:pPr>
            <w:r>
              <w:t xml:space="preserve">                                                                        </w:t>
            </w:r>
            <w:r>
              <w:rPr>
                <w:b/>
                <w:sz w:val="20"/>
              </w:rPr>
              <w:t>CHKO České Středohoří - IV. zóna, Přírodní památka</w:t>
            </w:r>
          </w:p>
        </w:tc>
      </w:tr>
    </w:tbl>
    <w:p w14:paraId="0B4FE8C8" w14:textId="77777777" w:rsidR="00E42A45" w:rsidRDefault="00E42A45" w:rsidP="00CA23D0">
      <w:pPr>
        <w:jc w:val="both"/>
        <w:rPr>
          <w:rFonts w:ascii="Arial" w:hAnsi="Arial" w:cs="Arial"/>
          <w:sz w:val="22"/>
        </w:rPr>
      </w:pPr>
    </w:p>
    <w:p w14:paraId="13A1E9F2" w14:textId="77777777" w:rsidR="00E42A45" w:rsidRDefault="00E42A45" w:rsidP="00CA23D0">
      <w:pPr>
        <w:jc w:val="both"/>
        <w:rPr>
          <w:rFonts w:ascii="Arial" w:hAnsi="Arial" w:cs="Arial"/>
          <w:sz w:val="22"/>
        </w:rPr>
      </w:pPr>
    </w:p>
    <w:p w14:paraId="45989F9D" w14:textId="77777777" w:rsidR="00E42A45" w:rsidRDefault="00E42A45" w:rsidP="00CA23D0">
      <w:pPr>
        <w:jc w:val="both"/>
        <w:rPr>
          <w:rFonts w:ascii="Arial" w:hAnsi="Arial" w:cs="Arial"/>
          <w:sz w:val="22"/>
        </w:rPr>
      </w:pPr>
    </w:p>
    <w:p w14:paraId="0B301471" w14:textId="77777777" w:rsidR="00E42A45" w:rsidRDefault="00E42A45" w:rsidP="00CA23D0">
      <w:pPr>
        <w:jc w:val="both"/>
        <w:rPr>
          <w:rFonts w:ascii="Arial" w:hAnsi="Arial" w:cs="Arial"/>
          <w:sz w:val="22"/>
        </w:rPr>
      </w:pPr>
    </w:p>
    <w:p w14:paraId="4E8CF4B0" w14:textId="77777777" w:rsidR="00E42A45" w:rsidRDefault="00E42A45" w:rsidP="00CA23D0">
      <w:pPr>
        <w:jc w:val="both"/>
        <w:rPr>
          <w:rFonts w:ascii="Arial" w:hAnsi="Arial" w:cs="Arial"/>
          <w:sz w:val="22"/>
        </w:rPr>
      </w:pPr>
    </w:p>
    <w:p w14:paraId="1093E247" w14:textId="77777777" w:rsidR="00E42A45" w:rsidRDefault="00E42A45" w:rsidP="00CA23D0">
      <w:pPr>
        <w:jc w:val="both"/>
        <w:rPr>
          <w:rFonts w:ascii="Arial" w:hAnsi="Arial" w:cs="Arial"/>
          <w:sz w:val="22"/>
        </w:rPr>
      </w:pPr>
    </w:p>
    <w:p w14:paraId="145C6535" w14:textId="77777777" w:rsidR="00E42A45" w:rsidRDefault="00E42A45" w:rsidP="00CA23D0">
      <w:pPr>
        <w:jc w:val="both"/>
        <w:rPr>
          <w:rFonts w:ascii="Arial" w:hAnsi="Arial" w:cs="Arial"/>
          <w:sz w:val="22"/>
        </w:rPr>
      </w:pPr>
    </w:p>
    <w:p w14:paraId="37A36A8F" w14:textId="77777777" w:rsidR="00E42A45" w:rsidRDefault="00E42A45" w:rsidP="00CA23D0">
      <w:pPr>
        <w:jc w:val="both"/>
        <w:rPr>
          <w:rFonts w:ascii="Arial" w:hAnsi="Arial" w:cs="Arial"/>
          <w:sz w:val="22"/>
        </w:rPr>
      </w:pPr>
    </w:p>
    <w:p w14:paraId="133BD4A8"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7072"/>
      </w:tblGrid>
      <w:tr w:rsidR="00E42A45" w14:paraId="63AAD63A" w14:textId="77777777" w:rsidTr="00BB63DF">
        <w:tc>
          <w:tcPr>
            <w:tcW w:w="7072" w:type="dxa"/>
            <w:shd w:val="clear" w:color="auto" w:fill="FFFFFF"/>
          </w:tcPr>
          <w:p w14:paraId="7959E94D" w14:textId="77777777" w:rsidR="00E42A45" w:rsidRDefault="00E42A45" w:rsidP="00BB63DF">
            <w:pPr>
              <w:tabs>
                <w:tab w:val="left" w:pos="709"/>
              </w:tabs>
              <w:rPr>
                <w:b/>
                <w:sz w:val="18"/>
              </w:rPr>
            </w:pPr>
            <w:r>
              <w:rPr>
                <w:b/>
                <w:sz w:val="18"/>
              </w:rPr>
              <w:t>Pořadové číslo</w:t>
            </w:r>
          </w:p>
          <w:p w14:paraId="095818A0" w14:textId="77777777" w:rsidR="00E42A45" w:rsidRDefault="00E42A45" w:rsidP="00BB63DF">
            <w:pPr>
              <w:tabs>
                <w:tab w:val="left" w:pos="709"/>
              </w:tabs>
              <w:rPr>
                <w:b/>
                <w:sz w:val="36"/>
              </w:rPr>
            </w:pPr>
            <w:r>
              <w:rPr>
                <w:b/>
                <w:sz w:val="18"/>
              </w:rPr>
              <w:t xml:space="preserve">                                   </w:t>
            </w:r>
            <w:r>
              <w:rPr>
                <w:b/>
              </w:rPr>
              <w:t xml:space="preserve">                                           </w:t>
            </w:r>
            <w:r>
              <w:rPr>
                <w:b/>
                <w:sz w:val="36"/>
              </w:rPr>
              <w:t>34</w:t>
            </w:r>
          </w:p>
        </w:tc>
        <w:tc>
          <w:tcPr>
            <w:tcW w:w="7072" w:type="dxa"/>
            <w:shd w:val="clear" w:color="auto" w:fill="FFFFFF"/>
          </w:tcPr>
          <w:p w14:paraId="13B56A19" w14:textId="77777777" w:rsidR="00E42A45" w:rsidRDefault="00E42A45" w:rsidP="00BB63DF">
            <w:pPr>
              <w:tabs>
                <w:tab w:val="left" w:pos="709"/>
              </w:tabs>
              <w:rPr>
                <w:sz w:val="18"/>
              </w:rPr>
            </w:pPr>
            <w:r>
              <w:rPr>
                <w:sz w:val="18"/>
              </w:rPr>
              <w:t>Katastrální území</w:t>
            </w:r>
          </w:p>
          <w:p w14:paraId="31B40EDC" w14:textId="77777777" w:rsidR="00E42A45" w:rsidRDefault="00E42A45" w:rsidP="00BB63DF">
            <w:pPr>
              <w:tabs>
                <w:tab w:val="left" w:pos="709"/>
              </w:tabs>
              <w:rPr>
                <w:b/>
                <w:sz w:val="18"/>
              </w:rPr>
            </w:pPr>
            <w:r>
              <w:rPr>
                <w:b/>
                <w:sz w:val="18"/>
              </w:rPr>
              <w:t xml:space="preserve">                                           </w:t>
            </w:r>
            <w:r>
              <w:rPr>
                <w:b/>
              </w:rPr>
              <w:t>Březiny, Folknáře</w:t>
            </w:r>
          </w:p>
        </w:tc>
      </w:tr>
      <w:tr w:rsidR="00E42A45" w14:paraId="00D89081" w14:textId="77777777" w:rsidTr="00BB63DF">
        <w:trPr>
          <w:cantSplit/>
        </w:trPr>
        <w:tc>
          <w:tcPr>
            <w:tcW w:w="7072" w:type="dxa"/>
            <w:shd w:val="clear" w:color="auto" w:fill="FFFFFF"/>
          </w:tcPr>
          <w:p w14:paraId="2BE953C7" w14:textId="77777777" w:rsidR="00E42A45" w:rsidRDefault="00E42A45" w:rsidP="00BB63DF">
            <w:pPr>
              <w:tabs>
                <w:tab w:val="left" w:pos="709"/>
              </w:tabs>
              <w:rPr>
                <w:b/>
                <w:sz w:val="18"/>
              </w:rPr>
            </w:pPr>
            <w:r>
              <w:rPr>
                <w:b/>
                <w:sz w:val="18"/>
              </w:rPr>
              <w:t>Název</w:t>
            </w:r>
          </w:p>
          <w:p w14:paraId="313FB191" w14:textId="77777777" w:rsidR="00E42A45" w:rsidRDefault="00E42A45" w:rsidP="00BB63DF">
            <w:pPr>
              <w:tabs>
                <w:tab w:val="left" w:pos="709"/>
              </w:tabs>
              <w:rPr>
                <w:b/>
                <w:caps/>
                <w:sz w:val="18"/>
              </w:rPr>
            </w:pPr>
            <w:r>
              <w:rPr>
                <w:b/>
                <w:caps/>
                <w:sz w:val="18"/>
              </w:rPr>
              <w:t xml:space="preserve">                     </w:t>
            </w:r>
            <w:r>
              <w:rPr>
                <w:b/>
                <w:caps/>
              </w:rPr>
              <w:t xml:space="preserve">                     les mezi Folknáři a Březinami</w:t>
            </w:r>
          </w:p>
        </w:tc>
        <w:tc>
          <w:tcPr>
            <w:tcW w:w="7072" w:type="dxa"/>
            <w:shd w:val="clear" w:color="auto" w:fill="FFFFFF"/>
          </w:tcPr>
          <w:p w14:paraId="738BCAF5" w14:textId="77777777" w:rsidR="00E42A45" w:rsidRDefault="00E42A45" w:rsidP="00BB63DF">
            <w:pPr>
              <w:tabs>
                <w:tab w:val="left" w:pos="709"/>
              </w:tabs>
              <w:rPr>
                <w:sz w:val="18"/>
              </w:rPr>
            </w:pPr>
            <w:r>
              <w:rPr>
                <w:sz w:val="18"/>
              </w:rPr>
              <w:t xml:space="preserve">Mapový list           </w:t>
            </w:r>
          </w:p>
          <w:p w14:paraId="54F61D8D" w14:textId="77777777" w:rsidR="00E42A45" w:rsidRDefault="00E42A45" w:rsidP="00BB63DF">
            <w:pPr>
              <w:tabs>
                <w:tab w:val="left" w:pos="709"/>
              </w:tabs>
              <w:rPr>
                <w:sz w:val="20"/>
              </w:rPr>
            </w:pPr>
            <w:r>
              <w:rPr>
                <w:b/>
                <w:sz w:val="18"/>
              </w:rPr>
              <w:t xml:space="preserve">                                             </w:t>
            </w:r>
            <w:r>
              <w:rPr>
                <w:sz w:val="20"/>
              </w:rPr>
              <w:t>02-23-19</w:t>
            </w:r>
          </w:p>
        </w:tc>
      </w:tr>
      <w:tr w:rsidR="00E42A45" w14:paraId="0B31D88B" w14:textId="77777777" w:rsidTr="00BB63DF">
        <w:trPr>
          <w:cantSplit/>
        </w:trPr>
        <w:tc>
          <w:tcPr>
            <w:tcW w:w="7072" w:type="dxa"/>
            <w:shd w:val="clear" w:color="auto" w:fill="FFFFFF"/>
          </w:tcPr>
          <w:p w14:paraId="0F2C5605" w14:textId="77777777" w:rsidR="00E42A45" w:rsidRPr="002D7515" w:rsidRDefault="00E42A45" w:rsidP="00BB63DF">
            <w:pPr>
              <w:pStyle w:val="Nadpis7"/>
            </w:pPr>
            <w:r w:rsidRPr="002D7515">
              <w:t>EVKP - ekologicky významný krajinný prvek</w:t>
            </w:r>
          </w:p>
          <w:p w14:paraId="32ECB74A" w14:textId="77777777" w:rsidR="00E42A45" w:rsidRDefault="00E42A45" w:rsidP="00BB63DF">
            <w:pPr>
              <w:tabs>
                <w:tab w:val="left" w:pos="709"/>
              </w:tabs>
              <w:rPr>
                <w:sz w:val="20"/>
              </w:rPr>
            </w:pPr>
          </w:p>
        </w:tc>
        <w:tc>
          <w:tcPr>
            <w:tcW w:w="7072" w:type="dxa"/>
            <w:shd w:val="clear" w:color="auto" w:fill="FFFFFF"/>
          </w:tcPr>
          <w:p w14:paraId="3E405D13" w14:textId="77777777" w:rsidR="00E42A45" w:rsidRPr="002D7515" w:rsidRDefault="00E42A45" w:rsidP="00BB63DF">
            <w:pPr>
              <w:pStyle w:val="Nadpis8"/>
              <w:rPr>
                <w:b/>
              </w:rPr>
            </w:pPr>
            <w:r w:rsidRPr="002D7515">
              <w:rPr>
                <w:b/>
              </w:rPr>
              <w:t>Biogeografický význam :</w:t>
            </w:r>
          </w:p>
          <w:p w14:paraId="463F7329" w14:textId="77777777" w:rsidR="00E42A45" w:rsidRDefault="00E42A45" w:rsidP="00BB63DF">
            <w:pPr>
              <w:tabs>
                <w:tab w:val="left" w:pos="709"/>
              </w:tabs>
              <w:rPr>
                <w:b/>
              </w:rPr>
            </w:pPr>
            <w:r>
              <w:rPr>
                <w:b/>
              </w:rPr>
              <w:t xml:space="preserve">                                    </w:t>
            </w:r>
            <w:r>
              <w:rPr>
                <w:b/>
                <w:sz w:val="20"/>
              </w:rPr>
              <w:t>lokální  biocentrum</w:t>
            </w:r>
            <w:r>
              <w:rPr>
                <w:b/>
              </w:rPr>
              <w:t xml:space="preserve"> </w:t>
            </w:r>
          </w:p>
        </w:tc>
      </w:tr>
      <w:tr w:rsidR="00E42A45" w14:paraId="76679B2A" w14:textId="77777777" w:rsidTr="00BB63DF">
        <w:tc>
          <w:tcPr>
            <w:tcW w:w="7072" w:type="dxa"/>
            <w:shd w:val="clear" w:color="auto" w:fill="FFFFFF"/>
          </w:tcPr>
          <w:p w14:paraId="124D0E83" w14:textId="77777777" w:rsidR="00E42A45" w:rsidRDefault="00E42A45" w:rsidP="00BB63DF">
            <w:pPr>
              <w:tabs>
                <w:tab w:val="left" w:pos="709"/>
              </w:tabs>
            </w:pPr>
            <w:r>
              <w:rPr>
                <w:b/>
                <w:sz w:val="18"/>
              </w:rPr>
              <w:t xml:space="preserve">Geobiocenologická typizace :     </w:t>
            </w:r>
            <w:r>
              <w:t xml:space="preserve">3B3, 3BC3   </w:t>
            </w:r>
          </w:p>
        </w:tc>
        <w:tc>
          <w:tcPr>
            <w:tcW w:w="7072" w:type="dxa"/>
            <w:shd w:val="clear" w:color="auto" w:fill="FFFFFF"/>
          </w:tcPr>
          <w:p w14:paraId="31326C0A" w14:textId="77777777" w:rsidR="00E42A45" w:rsidRDefault="00E42A45" w:rsidP="00BB63DF">
            <w:pPr>
              <w:tabs>
                <w:tab w:val="left" w:pos="709"/>
              </w:tabs>
            </w:pPr>
            <w:r>
              <w:rPr>
                <w:sz w:val="18"/>
              </w:rPr>
              <w:t>Rozloha</w:t>
            </w:r>
            <w:r>
              <w:rPr>
                <w:b/>
                <w:sz w:val="18"/>
              </w:rPr>
              <w:t xml:space="preserve">:                             </w:t>
            </w:r>
            <w:r>
              <w:rPr>
                <w:b/>
                <w:sz w:val="20"/>
              </w:rPr>
              <w:t>7,0 ha</w:t>
            </w:r>
          </w:p>
        </w:tc>
      </w:tr>
      <w:tr w:rsidR="00E42A45" w14:paraId="26A1291A" w14:textId="77777777" w:rsidTr="00BB63DF">
        <w:tc>
          <w:tcPr>
            <w:tcW w:w="14144" w:type="dxa"/>
            <w:gridSpan w:val="2"/>
            <w:shd w:val="clear" w:color="auto" w:fill="FFFFFF"/>
          </w:tcPr>
          <w:p w14:paraId="7FB88ACC" w14:textId="77777777" w:rsidR="00E42A45" w:rsidRDefault="00E42A45" w:rsidP="00BB63DF">
            <w:pPr>
              <w:tabs>
                <w:tab w:val="left" w:pos="709"/>
              </w:tabs>
              <w:rPr>
                <w:sz w:val="20"/>
              </w:rPr>
            </w:pPr>
            <w:r>
              <w:rPr>
                <w:b/>
                <w:sz w:val="20"/>
              </w:rPr>
              <w:t>Charakteristika ekotopu a bioty</w:t>
            </w:r>
            <w:r>
              <w:rPr>
                <w:sz w:val="20"/>
              </w:rPr>
              <w:t xml:space="preserve">  </w:t>
            </w:r>
          </w:p>
          <w:p w14:paraId="65B1ADB7" w14:textId="77777777" w:rsidR="00E42A45" w:rsidRDefault="00E42A45" w:rsidP="00BB63DF">
            <w:pPr>
              <w:tabs>
                <w:tab w:val="left" w:pos="709"/>
              </w:tabs>
              <w:rPr>
                <w:sz w:val="20"/>
              </w:rPr>
            </w:pPr>
            <w:r>
              <w:rPr>
                <w:sz w:val="20"/>
              </w:rPr>
              <w:t>Lokální biocentrum umístěné při tocích potoků mezi Folknáři a Březinami. Biocentrum tvoří ve vrchních partiích Alnetum s příměsí JS, spodní partie jsou porostlé svahovým lesem, část biocentra SM monokultura s příměsí dalších dřevin. Obohacený ekoton s keři.</w:t>
            </w:r>
          </w:p>
          <w:p w14:paraId="6C623E30" w14:textId="77777777" w:rsidR="00E42A45" w:rsidRDefault="00E42A45" w:rsidP="00BB63DF">
            <w:pPr>
              <w:tabs>
                <w:tab w:val="left" w:pos="709"/>
              </w:tabs>
              <w:rPr>
                <w:sz w:val="20"/>
              </w:rPr>
            </w:pPr>
          </w:p>
          <w:p w14:paraId="0FF8A92F" w14:textId="77777777" w:rsidR="00E42A45" w:rsidRDefault="00E42A45" w:rsidP="00BB63DF">
            <w:pPr>
              <w:tabs>
                <w:tab w:val="left" w:pos="709"/>
              </w:tabs>
              <w:rPr>
                <w:sz w:val="20"/>
              </w:rPr>
            </w:pPr>
            <w:r>
              <w:rPr>
                <w:sz w:val="20"/>
              </w:rPr>
              <w:t xml:space="preserve">SES = 3  Původní lesní sopolečenstva byla tvořena hlinitou dbBK a obohacenou dbBK bršlicovou.   </w:t>
            </w:r>
          </w:p>
          <w:p w14:paraId="517F195C" w14:textId="77777777" w:rsidR="00E42A45" w:rsidRDefault="00E42A45" w:rsidP="00BB63DF">
            <w:pPr>
              <w:tabs>
                <w:tab w:val="left" w:pos="709"/>
              </w:tabs>
              <w:rPr>
                <w:sz w:val="20"/>
              </w:rPr>
            </w:pPr>
          </w:p>
          <w:p w14:paraId="13FCBB7C" w14:textId="77777777" w:rsidR="00E42A45" w:rsidRDefault="00E42A45" w:rsidP="00BB63DF">
            <w:pPr>
              <w:tabs>
                <w:tab w:val="left" w:pos="709"/>
              </w:tabs>
              <w:rPr>
                <w:sz w:val="20"/>
              </w:rPr>
            </w:pPr>
          </w:p>
          <w:p w14:paraId="61B14E73" w14:textId="77777777" w:rsidR="00E42A45" w:rsidRDefault="00E42A45" w:rsidP="00BB63DF">
            <w:pPr>
              <w:tabs>
                <w:tab w:val="left" w:pos="709"/>
              </w:tabs>
              <w:rPr>
                <w:sz w:val="20"/>
              </w:rPr>
            </w:pPr>
            <w:r>
              <w:rPr>
                <w:sz w:val="20"/>
              </w:rPr>
              <w:t>Bot.  : E3 tvoří SM, OL, JS, JVK, JVM, DBL, DBZ, LPM, BK</w:t>
            </w:r>
          </w:p>
          <w:p w14:paraId="6A1B79C7" w14:textId="77777777" w:rsidR="00E42A45" w:rsidRDefault="00E42A45" w:rsidP="00BB63DF">
            <w:pPr>
              <w:tabs>
                <w:tab w:val="left" w:pos="709"/>
              </w:tabs>
              <w:rPr>
                <w:sz w:val="20"/>
              </w:rPr>
            </w:pPr>
            <w:r>
              <w:rPr>
                <w:sz w:val="20"/>
              </w:rPr>
              <w:t xml:space="preserve">          E2 tvořeno BČ, TR, RŠ, HO  hl. v ekotonu</w:t>
            </w:r>
          </w:p>
          <w:p w14:paraId="3B1BA5A1" w14:textId="77777777" w:rsidR="00E42A45" w:rsidRDefault="00E42A45" w:rsidP="00BB63DF">
            <w:pPr>
              <w:tabs>
                <w:tab w:val="left" w:pos="709"/>
              </w:tabs>
              <w:rPr>
                <w:i/>
                <w:sz w:val="20"/>
              </w:rPr>
            </w:pPr>
            <w:r>
              <w:rPr>
                <w:sz w:val="20"/>
              </w:rPr>
              <w:t xml:space="preserve">          E1 zastoupeno druhy </w:t>
            </w:r>
            <w:r>
              <w:rPr>
                <w:i/>
                <w:sz w:val="20"/>
              </w:rPr>
              <w:t>,  Dryopteris filix-mas, Asperula odorata, Viola riviniana, Primula veris, Anenone nemorosa,</w:t>
            </w:r>
          </w:p>
          <w:p w14:paraId="2EADDF44" w14:textId="77777777" w:rsidR="00E42A45" w:rsidRDefault="00E42A45" w:rsidP="00BB63DF">
            <w:pPr>
              <w:tabs>
                <w:tab w:val="left" w:pos="709"/>
              </w:tabs>
              <w:rPr>
                <w:i/>
                <w:sz w:val="20"/>
              </w:rPr>
            </w:pPr>
            <w:r>
              <w:rPr>
                <w:i/>
                <w:sz w:val="20"/>
              </w:rPr>
              <w:t xml:space="preserve">                                               Aegopodium podagraria </w:t>
            </w:r>
          </w:p>
          <w:p w14:paraId="5F5AFC02" w14:textId="77777777" w:rsidR="00E42A45" w:rsidRDefault="00E42A45" w:rsidP="00BB63DF">
            <w:pPr>
              <w:tabs>
                <w:tab w:val="left" w:pos="709"/>
              </w:tabs>
              <w:rPr>
                <w:i/>
                <w:sz w:val="20"/>
              </w:rPr>
            </w:pPr>
          </w:p>
          <w:p w14:paraId="4082BD6E" w14:textId="77777777" w:rsidR="00E42A45" w:rsidRDefault="00E42A45" w:rsidP="00BB63DF">
            <w:pPr>
              <w:tabs>
                <w:tab w:val="left" w:pos="709"/>
              </w:tabs>
              <w:rPr>
                <w:sz w:val="20"/>
              </w:rPr>
            </w:pPr>
            <w:r>
              <w:rPr>
                <w:sz w:val="20"/>
              </w:rPr>
              <w:t>Geol.: Hnědé půdy mezotrofní, místě oglejené, hlinito-písčité až jílovito-hlinité</w:t>
            </w:r>
          </w:p>
          <w:p w14:paraId="72AA0398" w14:textId="77777777" w:rsidR="00E42A45" w:rsidRDefault="00E42A45" w:rsidP="00BB63DF"/>
          <w:p w14:paraId="7F58C7DD" w14:textId="77777777" w:rsidR="00E42A45" w:rsidRPr="000A285F" w:rsidRDefault="00E42A45" w:rsidP="00BB63DF">
            <w:pPr>
              <w:pStyle w:val="Zkladntext"/>
              <w:rPr>
                <w:b/>
              </w:rPr>
            </w:pPr>
            <w:r w:rsidRPr="000A285F">
              <w:rPr>
                <w:b/>
              </w:rPr>
              <w:t xml:space="preserve">Návrh opatření :   </w:t>
            </w:r>
          </w:p>
          <w:p w14:paraId="0BF86DFD" w14:textId="77777777" w:rsidR="00E42A45" w:rsidRPr="000A285F" w:rsidRDefault="00E42A45" w:rsidP="00BB63DF">
            <w:pPr>
              <w:pStyle w:val="Zkladntext"/>
              <w:rPr>
                <w:b/>
              </w:rPr>
            </w:pPr>
            <w:r w:rsidRPr="000A285F">
              <w:rPr>
                <w:b/>
              </w:rPr>
              <w:t>Výchovné zásahy ve stávajících porostech, nové výsadby vést v poměru přirozené dřevinné skladby.</w:t>
            </w:r>
          </w:p>
          <w:p w14:paraId="54A02A65" w14:textId="77777777" w:rsidR="00E42A45" w:rsidRDefault="00E42A45" w:rsidP="00BB63DF">
            <w:pPr>
              <w:pStyle w:val="Zkladntext"/>
            </w:pPr>
            <w:r>
              <w:t xml:space="preserve">    </w:t>
            </w:r>
          </w:p>
          <w:p w14:paraId="1F875A55" w14:textId="77777777" w:rsidR="00E42A45" w:rsidRPr="000A285F" w:rsidRDefault="00E42A45" w:rsidP="00BB63DF">
            <w:pPr>
              <w:tabs>
                <w:tab w:val="left" w:pos="709"/>
              </w:tabs>
              <w:rPr>
                <w:b/>
                <w:sz w:val="20"/>
              </w:rPr>
            </w:pPr>
            <w:r>
              <w:rPr>
                <w:b/>
                <w:sz w:val="20"/>
              </w:rPr>
              <w:t xml:space="preserve">Přirozená skladba podle v souborech lesních typů :    </w:t>
            </w:r>
            <w:r>
              <w:rPr>
                <w:b/>
                <w:caps/>
                <w:sz w:val="20"/>
              </w:rPr>
              <w:t>3d</w:t>
            </w:r>
            <w:r>
              <w:rPr>
                <w:b/>
                <w:sz w:val="20"/>
              </w:rPr>
              <w:t xml:space="preserve"> – BK6, LP2, DB2, JV, JD, 3H – BK6, DB3, HB1, JD </w:t>
            </w:r>
          </w:p>
        </w:tc>
      </w:tr>
      <w:tr w:rsidR="00E42A45" w14:paraId="37FF31A1" w14:textId="77777777" w:rsidTr="00BB63DF">
        <w:tc>
          <w:tcPr>
            <w:tcW w:w="7072" w:type="dxa"/>
            <w:shd w:val="clear" w:color="auto" w:fill="FFFFFF"/>
          </w:tcPr>
          <w:p w14:paraId="0FB28318" w14:textId="77777777" w:rsidR="00E42A45" w:rsidRDefault="00E42A45" w:rsidP="00BB63DF">
            <w:pPr>
              <w:tabs>
                <w:tab w:val="left" w:pos="709"/>
              </w:tabs>
              <w:rPr>
                <w:sz w:val="18"/>
              </w:rPr>
            </w:pPr>
            <w:r>
              <w:rPr>
                <w:sz w:val="18"/>
              </w:rPr>
              <w:t xml:space="preserve">Odd., por., sk.   :    603 / </w:t>
            </w:r>
          </w:p>
        </w:tc>
        <w:tc>
          <w:tcPr>
            <w:tcW w:w="7072" w:type="dxa"/>
            <w:shd w:val="clear" w:color="auto" w:fill="FFFFFF"/>
          </w:tcPr>
          <w:p w14:paraId="4E5BEF7B" w14:textId="77777777" w:rsidR="00E42A45" w:rsidRDefault="00E42A45" w:rsidP="00BB63DF">
            <w:pPr>
              <w:tabs>
                <w:tab w:val="left" w:pos="709"/>
              </w:tabs>
              <w:rPr>
                <w:sz w:val="18"/>
              </w:rPr>
            </w:pPr>
            <w:r>
              <w:rPr>
                <w:sz w:val="18"/>
              </w:rPr>
              <w:t xml:space="preserve">Kultura :                   les </w:t>
            </w:r>
          </w:p>
        </w:tc>
      </w:tr>
      <w:tr w:rsidR="00E42A45" w14:paraId="62C4DEF3" w14:textId="77777777" w:rsidTr="00BB63DF">
        <w:tc>
          <w:tcPr>
            <w:tcW w:w="7072" w:type="dxa"/>
            <w:shd w:val="clear" w:color="auto" w:fill="FFFFFF"/>
          </w:tcPr>
          <w:p w14:paraId="541FAF33" w14:textId="77777777" w:rsidR="00E42A45" w:rsidRDefault="00E42A45" w:rsidP="00BB63DF">
            <w:pPr>
              <w:tabs>
                <w:tab w:val="left" w:pos="709"/>
              </w:tabs>
              <w:rPr>
                <w:sz w:val="18"/>
              </w:rPr>
            </w:pPr>
            <w:r>
              <w:rPr>
                <w:sz w:val="18"/>
              </w:rPr>
              <w:t>Uživatel :                                                   LČR  - LZ  Děčín</w:t>
            </w:r>
          </w:p>
          <w:p w14:paraId="5E911CD4" w14:textId="77777777" w:rsidR="00E42A45" w:rsidRDefault="00E42A45" w:rsidP="00BB63DF">
            <w:pPr>
              <w:tabs>
                <w:tab w:val="left" w:pos="709"/>
              </w:tabs>
              <w:rPr>
                <w:sz w:val="18"/>
              </w:rPr>
            </w:pPr>
          </w:p>
        </w:tc>
        <w:tc>
          <w:tcPr>
            <w:tcW w:w="7072" w:type="dxa"/>
            <w:shd w:val="clear" w:color="auto" w:fill="FFFFFF"/>
          </w:tcPr>
          <w:p w14:paraId="000BE10A" w14:textId="77777777" w:rsidR="00E42A45" w:rsidRDefault="00E42A45" w:rsidP="00BB63DF">
            <w:pPr>
              <w:tabs>
                <w:tab w:val="left" w:pos="709"/>
              </w:tabs>
              <w:rPr>
                <w:sz w:val="18"/>
              </w:rPr>
            </w:pPr>
            <w:r>
              <w:rPr>
                <w:sz w:val="18"/>
              </w:rPr>
              <w:t>Mapovatel :             Jebavý , 1996</w:t>
            </w:r>
          </w:p>
        </w:tc>
      </w:tr>
      <w:tr w:rsidR="00E42A45" w14:paraId="6577362D" w14:textId="77777777" w:rsidTr="00BB63DF">
        <w:tc>
          <w:tcPr>
            <w:tcW w:w="14144" w:type="dxa"/>
            <w:gridSpan w:val="2"/>
            <w:shd w:val="clear" w:color="auto" w:fill="FFFFFF"/>
          </w:tcPr>
          <w:p w14:paraId="35A9F176" w14:textId="77777777" w:rsidR="00E42A45" w:rsidRDefault="00E42A45" w:rsidP="00BB63DF">
            <w:pPr>
              <w:tabs>
                <w:tab w:val="left" w:pos="709"/>
              </w:tabs>
            </w:pPr>
            <w:r>
              <w:rPr>
                <w:b/>
                <w:sz w:val="18"/>
              </w:rPr>
              <w:t>Kategorie ochrany, rok vyhlášení :</w:t>
            </w:r>
          </w:p>
          <w:p w14:paraId="53A11388" w14:textId="77777777" w:rsidR="00E42A45" w:rsidRDefault="00E42A45" w:rsidP="00BB63DF">
            <w:pPr>
              <w:tabs>
                <w:tab w:val="left" w:pos="709"/>
              </w:tabs>
              <w:rPr>
                <w:b/>
                <w:sz w:val="20"/>
              </w:rPr>
            </w:pPr>
            <w:r>
              <w:t xml:space="preserve">                                                                                      </w:t>
            </w:r>
            <w:r>
              <w:rPr>
                <w:b/>
                <w:sz w:val="20"/>
              </w:rPr>
              <w:t>CHKO Labské Pískovce - IV. zóna</w:t>
            </w:r>
          </w:p>
        </w:tc>
      </w:tr>
    </w:tbl>
    <w:p w14:paraId="29663A29" w14:textId="77777777" w:rsidR="00E42A45" w:rsidRDefault="00E42A45" w:rsidP="00CA23D0">
      <w:pPr>
        <w:jc w:val="both"/>
        <w:rPr>
          <w:rFonts w:ascii="Arial" w:hAnsi="Arial" w:cs="Arial"/>
          <w:sz w:val="22"/>
        </w:rPr>
      </w:pPr>
    </w:p>
    <w:p w14:paraId="51D1FA41" w14:textId="77777777" w:rsidR="00E42A45" w:rsidRDefault="00E42A45" w:rsidP="00CA23D0">
      <w:pPr>
        <w:jc w:val="both"/>
        <w:rPr>
          <w:rFonts w:ascii="Arial" w:hAnsi="Arial" w:cs="Arial"/>
          <w:sz w:val="22"/>
        </w:rPr>
      </w:pPr>
    </w:p>
    <w:p w14:paraId="7F7A74C3"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7072"/>
      </w:tblGrid>
      <w:tr w:rsidR="00E42A45" w14:paraId="1F968C79" w14:textId="77777777" w:rsidTr="00BB63DF">
        <w:tc>
          <w:tcPr>
            <w:tcW w:w="7072" w:type="dxa"/>
            <w:shd w:val="clear" w:color="auto" w:fill="FFFFFF"/>
          </w:tcPr>
          <w:p w14:paraId="17DE6549" w14:textId="77777777" w:rsidR="00E42A45" w:rsidRDefault="00E42A45" w:rsidP="00BB63DF">
            <w:pPr>
              <w:tabs>
                <w:tab w:val="left" w:pos="709"/>
              </w:tabs>
              <w:rPr>
                <w:b/>
                <w:sz w:val="18"/>
              </w:rPr>
            </w:pPr>
            <w:r>
              <w:rPr>
                <w:b/>
                <w:sz w:val="18"/>
              </w:rPr>
              <w:lastRenderedPageBreak/>
              <w:t>Pořadové číslo</w:t>
            </w:r>
          </w:p>
          <w:p w14:paraId="49E07284" w14:textId="77777777" w:rsidR="00E42A45" w:rsidRDefault="00E42A45" w:rsidP="00BB63DF">
            <w:pPr>
              <w:tabs>
                <w:tab w:val="left" w:pos="709"/>
              </w:tabs>
              <w:rPr>
                <w:b/>
                <w:sz w:val="36"/>
              </w:rPr>
            </w:pPr>
            <w:r>
              <w:rPr>
                <w:b/>
                <w:sz w:val="18"/>
              </w:rPr>
              <w:t xml:space="preserve">                                   </w:t>
            </w:r>
            <w:r>
              <w:rPr>
                <w:b/>
              </w:rPr>
              <w:t xml:space="preserve">                                           </w:t>
            </w:r>
            <w:r>
              <w:rPr>
                <w:b/>
                <w:sz w:val="36"/>
              </w:rPr>
              <w:t>35</w:t>
            </w:r>
          </w:p>
        </w:tc>
        <w:tc>
          <w:tcPr>
            <w:tcW w:w="7072" w:type="dxa"/>
            <w:shd w:val="clear" w:color="auto" w:fill="FFFFFF"/>
          </w:tcPr>
          <w:p w14:paraId="4296195B" w14:textId="77777777" w:rsidR="00E42A45" w:rsidRDefault="00E42A45" w:rsidP="00BB63DF">
            <w:pPr>
              <w:tabs>
                <w:tab w:val="left" w:pos="709"/>
              </w:tabs>
              <w:rPr>
                <w:sz w:val="18"/>
              </w:rPr>
            </w:pPr>
            <w:r>
              <w:rPr>
                <w:sz w:val="18"/>
              </w:rPr>
              <w:t>Katastrální území</w:t>
            </w:r>
          </w:p>
          <w:p w14:paraId="13578503" w14:textId="77777777" w:rsidR="00E42A45" w:rsidRDefault="00E42A45" w:rsidP="00BB63DF">
            <w:pPr>
              <w:tabs>
                <w:tab w:val="left" w:pos="709"/>
              </w:tabs>
              <w:rPr>
                <w:b/>
                <w:sz w:val="18"/>
              </w:rPr>
            </w:pPr>
            <w:r>
              <w:rPr>
                <w:b/>
                <w:sz w:val="18"/>
              </w:rPr>
              <w:t xml:space="preserve">                                             </w:t>
            </w:r>
            <w:r>
              <w:rPr>
                <w:b/>
              </w:rPr>
              <w:t>Folknáře, Ludvíkovice</w:t>
            </w:r>
          </w:p>
        </w:tc>
      </w:tr>
      <w:tr w:rsidR="00E42A45" w14:paraId="187AED17" w14:textId="77777777" w:rsidTr="00BB63DF">
        <w:trPr>
          <w:cantSplit/>
        </w:trPr>
        <w:tc>
          <w:tcPr>
            <w:tcW w:w="7072" w:type="dxa"/>
            <w:shd w:val="clear" w:color="auto" w:fill="FFFFFF"/>
          </w:tcPr>
          <w:p w14:paraId="6D97C343" w14:textId="77777777" w:rsidR="00E42A45" w:rsidRDefault="00E42A45" w:rsidP="00BB63DF">
            <w:pPr>
              <w:tabs>
                <w:tab w:val="left" w:pos="709"/>
              </w:tabs>
              <w:rPr>
                <w:b/>
                <w:sz w:val="18"/>
              </w:rPr>
            </w:pPr>
            <w:r>
              <w:rPr>
                <w:b/>
                <w:sz w:val="18"/>
              </w:rPr>
              <w:t>Název</w:t>
            </w:r>
          </w:p>
          <w:p w14:paraId="722AE237" w14:textId="77777777" w:rsidR="00E42A45" w:rsidRDefault="00E42A45" w:rsidP="00BB63DF">
            <w:pPr>
              <w:tabs>
                <w:tab w:val="left" w:pos="709"/>
              </w:tabs>
              <w:rPr>
                <w:b/>
                <w:caps/>
                <w:sz w:val="18"/>
              </w:rPr>
            </w:pPr>
            <w:r>
              <w:rPr>
                <w:b/>
                <w:caps/>
                <w:sz w:val="18"/>
              </w:rPr>
              <w:t xml:space="preserve">                     </w:t>
            </w:r>
            <w:r>
              <w:rPr>
                <w:b/>
                <w:caps/>
              </w:rPr>
              <w:t xml:space="preserve">              HÁJ MEZI fOLKNÁŘI A lUDVIKOVICEMI</w:t>
            </w:r>
          </w:p>
        </w:tc>
        <w:tc>
          <w:tcPr>
            <w:tcW w:w="7072" w:type="dxa"/>
            <w:shd w:val="clear" w:color="auto" w:fill="FFFFFF"/>
          </w:tcPr>
          <w:p w14:paraId="72354200" w14:textId="77777777" w:rsidR="00E42A45" w:rsidRDefault="00E42A45" w:rsidP="00BB63DF">
            <w:pPr>
              <w:tabs>
                <w:tab w:val="left" w:pos="709"/>
              </w:tabs>
              <w:rPr>
                <w:sz w:val="18"/>
              </w:rPr>
            </w:pPr>
            <w:r>
              <w:rPr>
                <w:sz w:val="18"/>
              </w:rPr>
              <w:t xml:space="preserve">Mapový list           </w:t>
            </w:r>
          </w:p>
          <w:p w14:paraId="0031FB1B" w14:textId="77777777" w:rsidR="00E42A45" w:rsidRDefault="00E42A45" w:rsidP="00BB63DF">
            <w:pPr>
              <w:tabs>
                <w:tab w:val="left" w:pos="709"/>
              </w:tabs>
              <w:rPr>
                <w:sz w:val="20"/>
              </w:rPr>
            </w:pPr>
            <w:r>
              <w:rPr>
                <w:b/>
                <w:sz w:val="18"/>
              </w:rPr>
              <w:t xml:space="preserve">                                             </w:t>
            </w:r>
            <w:r>
              <w:rPr>
                <w:sz w:val="20"/>
              </w:rPr>
              <w:t xml:space="preserve">02-23-19  a  </w:t>
            </w:r>
            <w:r>
              <w:rPr>
                <w:sz w:val="18"/>
              </w:rPr>
              <w:t xml:space="preserve">  </w:t>
            </w:r>
            <w:r>
              <w:rPr>
                <w:sz w:val="20"/>
              </w:rPr>
              <w:t>02-23-20</w:t>
            </w:r>
          </w:p>
        </w:tc>
      </w:tr>
      <w:tr w:rsidR="00E42A45" w14:paraId="3A5CA970" w14:textId="77777777" w:rsidTr="00BB63DF">
        <w:trPr>
          <w:cantSplit/>
        </w:trPr>
        <w:tc>
          <w:tcPr>
            <w:tcW w:w="7072" w:type="dxa"/>
            <w:shd w:val="clear" w:color="auto" w:fill="FFFFFF"/>
          </w:tcPr>
          <w:p w14:paraId="3EE63A43" w14:textId="77777777" w:rsidR="00E42A45" w:rsidRPr="002D7515" w:rsidRDefault="00E42A45" w:rsidP="00BB63DF">
            <w:pPr>
              <w:pStyle w:val="Nadpis7"/>
            </w:pPr>
            <w:r w:rsidRPr="002D7515">
              <w:t>EVKP - ekologicky významný krajinný prvek</w:t>
            </w:r>
          </w:p>
          <w:p w14:paraId="2155F94F" w14:textId="77777777" w:rsidR="00E42A45" w:rsidRDefault="00E42A45" w:rsidP="00BB63DF">
            <w:pPr>
              <w:tabs>
                <w:tab w:val="left" w:pos="709"/>
              </w:tabs>
              <w:rPr>
                <w:sz w:val="20"/>
              </w:rPr>
            </w:pPr>
          </w:p>
        </w:tc>
        <w:tc>
          <w:tcPr>
            <w:tcW w:w="7072" w:type="dxa"/>
            <w:shd w:val="clear" w:color="auto" w:fill="FFFFFF"/>
          </w:tcPr>
          <w:p w14:paraId="7A4A1700" w14:textId="77777777" w:rsidR="00E42A45" w:rsidRPr="002D7515" w:rsidRDefault="00E42A45" w:rsidP="00BB63DF">
            <w:pPr>
              <w:pStyle w:val="Nadpis8"/>
              <w:rPr>
                <w:b/>
              </w:rPr>
            </w:pPr>
            <w:r w:rsidRPr="002D7515">
              <w:rPr>
                <w:b/>
              </w:rPr>
              <w:t>Biogeografický význam</w:t>
            </w:r>
          </w:p>
          <w:p w14:paraId="076149E6" w14:textId="77777777" w:rsidR="00E42A45" w:rsidRDefault="00E42A45" w:rsidP="00BB63DF">
            <w:pPr>
              <w:tabs>
                <w:tab w:val="left" w:pos="709"/>
              </w:tabs>
            </w:pPr>
            <w:r>
              <w:t xml:space="preserve">                                     </w:t>
            </w:r>
            <w:r>
              <w:rPr>
                <w:b/>
              </w:rPr>
              <w:t>lokální biocentrum</w:t>
            </w:r>
          </w:p>
        </w:tc>
      </w:tr>
      <w:tr w:rsidR="00E42A45" w14:paraId="0E8934C3" w14:textId="77777777" w:rsidTr="00BB63DF">
        <w:tc>
          <w:tcPr>
            <w:tcW w:w="7072" w:type="dxa"/>
            <w:shd w:val="clear" w:color="auto" w:fill="FFFFFF"/>
          </w:tcPr>
          <w:p w14:paraId="0FDCFFF6" w14:textId="77777777" w:rsidR="00E42A45" w:rsidRDefault="00E42A45" w:rsidP="00BB63DF">
            <w:pPr>
              <w:tabs>
                <w:tab w:val="left" w:pos="709"/>
              </w:tabs>
            </w:pPr>
            <w:r>
              <w:rPr>
                <w:b/>
                <w:sz w:val="18"/>
              </w:rPr>
              <w:t xml:space="preserve">Geobiocenologická typizace :   </w:t>
            </w:r>
            <w:r>
              <w:rPr>
                <w:b/>
              </w:rPr>
              <w:t>3BC5, 3AB3</w:t>
            </w:r>
            <w:r>
              <w:t xml:space="preserve">  </w:t>
            </w:r>
          </w:p>
        </w:tc>
        <w:tc>
          <w:tcPr>
            <w:tcW w:w="7072" w:type="dxa"/>
            <w:shd w:val="clear" w:color="auto" w:fill="FFFFFF"/>
          </w:tcPr>
          <w:p w14:paraId="2C5444C7" w14:textId="77777777" w:rsidR="00E42A45" w:rsidRDefault="00E42A45" w:rsidP="00BB63DF">
            <w:pPr>
              <w:tabs>
                <w:tab w:val="left" w:pos="709"/>
              </w:tabs>
              <w:rPr>
                <w:sz w:val="18"/>
              </w:rPr>
            </w:pPr>
            <w:r>
              <w:rPr>
                <w:sz w:val="18"/>
              </w:rPr>
              <w:t>Rozloha :</w:t>
            </w:r>
          </w:p>
          <w:p w14:paraId="37DF59EA" w14:textId="77777777" w:rsidR="00E42A45" w:rsidRDefault="00E42A45" w:rsidP="00BB63DF">
            <w:pPr>
              <w:tabs>
                <w:tab w:val="left" w:pos="709"/>
              </w:tabs>
            </w:pPr>
            <w:r>
              <w:rPr>
                <w:b/>
                <w:sz w:val="18"/>
              </w:rPr>
              <w:t xml:space="preserve">                                             </w:t>
            </w:r>
            <w:r>
              <w:rPr>
                <w:b/>
                <w:sz w:val="20"/>
              </w:rPr>
              <w:t>13,0 ha</w:t>
            </w:r>
          </w:p>
        </w:tc>
      </w:tr>
      <w:tr w:rsidR="00E42A45" w14:paraId="3BE5EB16" w14:textId="77777777" w:rsidTr="00BB63DF">
        <w:tc>
          <w:tcPr>
            <w:tcW w:w="14144" w:type="dxa"/>
            <w:gridSpan w:val="2"/>
            <w:shd w:val="clear" w:color="auto" w:fill="FFFFFF"/>
          </w:tcPr>
          <w:p w14:paraId="40B9CCA5" w14:textId="77777777" w:rsidR="00E42A45" w:rsidRPr="004023F7" w:rsidRDefault="00E42A45" w:rsidP="00BB63DF">
            <w:pPr>
              <w:tabs>
                <w:tab w:val="left" w:pos="709"/>
              </w:tabs>
              <w:rPr>
                <w:sz w:val="20"/>
              </w:rPr>
            </w:pPr>
            <w:r>
              <w:rPr>
                <w:b/>
                <w:sz w:val="20"/>
              </w:rPr>
              <w:t>Charakteristika  ekotopu a bioty</w:t>
            </w:r>
            <w:r>
              <w:rPr>
                <w:sz w:val="20"/>
              </w:rPr>
              <w:t xml:space="preserve">  :</w:t>
            </w:r>
          </w:p>
          <w:p w14:paraId="32ECAB70" w14:textId="77777777" w:rsidR="00E42A45" w:rsidRDefault="00E42A45" w:rsidP="00BB63DF">
            <w:pPr>
              <w:tabs>
                <w:tab w:val="left" w:pos="709"/>
              </w:tabs>
              <w:rPr>
                <w:sz w:val="20"/>
              </w:rPr>
            </w:pPr>
            <w:r>
              <w:rPr>
                <w:sz w:val="20"/>
              </w:rPr>
              <w:t>Lokální biocentrum umístěné Z od silnice z Děčína – Folknářů do Děčína – Ludvíkovic. . Biocentrum tvoří smíšený jasanový porost s dalšími</w:t>
            </w:r>
          </w:p>
          <w:p w14:paraId="3C79A4D4" w14:textId="77777777" w:rsidR="00E42A45" w:rsidRDefault="00E42A45" w:rsidP="00BB63DF">
            <w:pPr>
              <w:tabs>
                <w:tab w:val="left" w:pos="709"/>
              </w:tabs>
              <w:rPr>
                <w:sz w:val="20"/>
              </w:rPr>
            </w:pPr>
            <w:r>
              <w:rPr>
                <w:sz w:val="20"/>
              </w:rPr>
              <w:t>listnáči a SM, část topolový porost. Vlhké stanoviště v údolí a na svazích okolo soutoku potoků ( pravostranných přítoků Ploučnice ).</w:t>
            </w:r>
          </w:p>
          <w:p w14:paraId="21B53B40" w14:textId="77777777" w:rsidR="00E42A45" w:rsidRDefault="00E42A45" w:rsidP="00BB63DF">
            <w:pPr>
              <w:tabs>
                <w:tab w:val="left" w:pos="709"/>
              </w:tabs>
              <w:rPr>
                <w:sz w:val="20"/>
              </w:rPr>
            </w:pPr>
            <w:r>
              <w:rPr>
                <w:sz w:val="20"/>
              </w:rPr>
              <w:t>Původní společenstva byla tvořena jasanovými OL potočními a kyselou dbBK metlicovou.</w:t>
            </w:r>
          </w:p>
          <w:p w14:paraId="40AEBEBF" w14:textId="77777777" w:rsidR="00E42A45" w:rsidRDefault="00E42A45" w:rsidP="00BB63DF">
            <w:pPr>
              <w:tabs>
                <w:tab w:val="left" w:pos="709"/>
              </w:tabs>
              <w:rPr>
                <w:sz w:val="20"/>
              </w:rPr>
            </w:pPr>
          </w:p>
          <w:p w14:paraId="0AD87D95" w14:textId="77777777" w:rsidR="00E42A45" w:rsidRDefault="00E42A45" w:rsidP="00BB63DF">
            <w:pPr>
              <w:tabs>
                <w:tab w:val="left" w:pos="709"/>
              </w:tabs>
              <w:rPr>
                <w:sz w:val="20"/>
              </w:rPr>
            </w:pPr>
            <w:r>
              <w:rPr>
                <w:sz w:val="20"/>
              </w:rPr>
              <w:t xml:space="preserve">SES = 3 - 4   </w:t>
            </w:r>
          </w:p>
          <w:p w14:paraId="2E566897" w14:textId="77777777" w:rsidR="00E42A45" w:rsidRDefault="00E42A45" w:rsidP="00BB63DF">
            <w:pPr>
              <w:tabs>
                <w:tab w:val="left" w:pos="709"/>
              </w:tabs>
              <w:rPr>
                <w:sz w:val="20"/>
              </w:rPr>
            </w:pPr>
          </w:p>
          <w:p w14:paraId="43F729D2" w14:textId="77777777" w:rsidR="00E42A45" w:rsidRDefault="00E42A45" w:rsidP="00BB63DF">
            <w:pPr>
              <w:tabs>
                <w:tab w:val="left" w:pos="709"/>
              </w:tabs>
              <w:rPr>
                <w:sz w:val="20"/>
              </w:rPr>
            </w:pPr>
            <w:r>
              <w:rPr>
                <w:sz w:val="20"/>
              </w:rPr>
              <w:t>Bot. : E3  tvoří JS, VB, OL, BŘ, TPO, LPM, DBL, DBZ, JVK, JVM, SM</w:t>
            </w:r>
          </w:p>
          <w:p w14:paraId="7C0C2345" w14:textId="77777777" w:rsidR="00E42A45" w:rsidRDefault="00E42A45" w:rsidP="00BB63DF">
            <w:pPr>
              <w:tabs>
                <w:tab w:val="left" w:pos="709"/>
              </w:tabs>
              <w:rPr>
                <w:sz w:val="20"/>
              </w:rPr>
            </w:pPr>
            <w:r>
              <w:rPr>
                <w:sz w:val="20"/>
              </w:rPr>
              <w:t xml:space="preserve">         E2  tvořeno BČ, VJ</w:t>
            </w:r>
          </w:p>
          <w:p w14:paraId="78B200EE" w14:textId="77777777" w:rsidR="00E42A45" w:rsidRDefault="00E42A45" w:rsidP="00BB63DF">
            <w:pPr>
              <w:tabs>
                <w:tab w:val="left" w:pos="709"/>
              </w:tabs>
              <w:rPr>
                <w:i/>
                <w:sz w:val="20"/>
              </w:rPr>
            </w:pPr>
            <w:r>
              <w:rPr>
                <w:sz w:val="20"/>
              </w:rPr>
              <w:t xml:space="preserve">         E1 zastoupeno druhy </w:t>
            </w:r>
            <w:r>
              <w:rPr>
                <w:i/>
                <w:sz w:val="20"/>
              </w:rPr>
              <w:t>Primula veris</w:t>
            </w:r>
            <w:r>
              <w:rPr>
                <w:sz w:val="20"/>
              </w:rPr>
              <w:t xml:space="preserve">, </w:t>
            </w:r>
            <w:r>
              <w:rPr>
                <w:i/>
                <w:sz w:val="20"/>
              </w:rPr>
              <w:t xml:space="preserve">  Dryopteris filix  - mas, Aegopodium podagraria, Ficaria verna, Vuiola silvatica,</w:t>
            </w:r>
          </w:p>
          <w:p w14:paraId="5FDA95D5" w14:textId="77777777" w:rsidR="00E42A45" w:rsidRDefault="00E42A45" w:rsidP="00BB63DF">
            <w:pPr>
              <w:tabs>
                <w:tab w:val="left" w:pos="709"/>
              </w:tabs>
              <w:rPr>
                <w:i/>
                <w:sz w:val="20"/>
              </w:rPr>
            </w:pPr>
            <w:r>
              <w:rPr>
                <w:i/>
                <w:sz w:val="20"/>
              </w:rPr>
              <w:t xml:space="preserve">                                           Anemone nemorosa, Urtica dioica </w:t>
            </w:r>
          </w:p>
          <w:p w14:paraId="5FB2F175" w14:textId="77777777" w:rsidR="00E42A45" w:rsidRDefault="00E42A45" w:rsidP="00BB63DF">
            <w:pPr>
              <w:tabs>
                <w:tab w:val="left" w:pos="709"/>
              </w:tabs>
              <w:rPr>
                <w:i/>
                <w:sz w:val="20"/>
              </w:rPr>
            </w:pPr>
          </w:p>
          <w:p w14:paraId="6EE5F09D" w14:textId="77777777" w:rsidR="00E42A45" w:rsidRDefault="00E42A45" w:rsidP="00BB63DF">
            <w:pPr>
              <w:tabs>
                <w:tab w:val="left" w:pos="709"/>
              </w:tabs>
              <w:rPr>
                <w:sz w:val="20"/>
              </w:rPr>
            </w:pPr>
            <w:r>
              <w:rPr>
                <w:sz w:val="20"/>
              </w:rPr>
              <w:t>Geol. : Gleje až hnědé půdy oglejené, hlinito-písčité až jílovito-hlinité, štěrkovité</w:t>
            </w:r>
          </w:p>
          <w:p w14:paraId="064CB272" w14:textId="77777777" w:rsidR="00E42A45" w:rsidRDefault="00E42A45" w:rsidP="00BB63DF">
            <w:pPr>
              <w:tabs>
                <w:tab w:val="left" w:pos="709"/>
              </w:tabs>
              <w:rPr>
                <w:sz w:val="20"/>
              </w:rPr>
            </w:pPr>
          </w:p>
          <w:p w14:paraId="4766792F" w14:textId="77777777" w:rsidR="00E42A45" w:rsidRPr="000A285F" w:rsidRDefault="00E42A45" w:rsidP="00BB63DF">
            <w:pPr>
              <w:pStyle w:val="Zkladntext"/>
              <w:rPr>
                <w:b/>
              </w:rPr>
            </w:pPr>
            <w:r>
              <w:rPr>
                <w:b/>
              </w:rPr>
              <w:t xml:space="preserve">Návrh opatření :       </w:t>
            </w:r>
          </w:p>
          <w:p w14:paraId="4143DBA3" w14:textId="77777777" w:rsidR="00E42A45" w:rsidRPr="000A285F" w:rsidRDefault="00E42A45" w:rsidP="00BB63DF">
            <w:pPr>
              <w:pStyle w:val="Zkladntext"/>
              <w:rPr>
                <w:b/>
              </w:rPr>
            </w:pPr>
            <w:r w:rsidRPr="000A285F">
              <w:rPr>
                <w:b/>
              </w:rPr>
              <w:t xml:space="preserve">Postupná obnova přirozené dřevinné skladby. </w:t>
            </w:r>
          </w:p>
          <w:p w14:paraId="634DD4B4" w14:textId="77777777" w:rsidR="00E42A45" w:rsidRPr="004023F7" w:rsidRDefault="00E42A45" w:rsidP="00BB63DF">
            <w:pPr>
              <w:pStyle w:val="Zkladntext"/>
              <w:rPr>
                <w:b/>
              </w:rPr>
            </w:pPr>
            <w:r w:rsidRPr="000A285F">
              <w:rPr>
                <w:b/>
              </w:rPr>
              <w:t xml:space="preserve">Přirozená skladba v souborech lesních typů : 3L – </w:t>
            </w:r>
            <w:r>
              <w:rPr>
                <w:b/>
              </w:rPr>
              <w:t>OL7, JS3, SM, 3K – BK6, DB4, JD</w:t>
            </w:r>
          </w:p>
        </w:tc>
      </w:tr>
      <w:tr w:rsidR="00E42A45" w14:paraId="25708DA3" w14:textId="77777777" w:rsidTr="00BB63DF">
        <w:tc>
          <w:tcPr>
            <w:tcW w:w="7072" w:type="dxa"/>
            <w:shd w:val="clear" w:color="auto" w:fill="FFFFFF"/>
          </w:tcPr>
          <w:p w14:paraId="7E7881D5" w14:textId="77777777" w:rsidR="00E42A45" w:rsidRDefault="00E42A45" w:rsidP="00BB63DF">
            <w:pPr>
              <w:tabs>
                <w:tab w:val="left" w:pos="709"/>
              </w:tabs>
              <w:rPr>
                <w:sz w:val="18"/>
              </w:rPr>
            </w:pPr>
            <w:r>
              <w:rPr>
                <w:sz w:val="18"/>
              </w:rPr>
              <w:t xml:space="preserve">Odd., por., sk.   :                         601 / D          </w:t>
            </w:r>
          </w:p>
        </w:tc>
        <w:tc>
          <w:tcPr>
            <w:tcW w:w="7072" w:type="dxa"/>
            <w:shd w:val="clear" w:color="auto" w:fill="FFFFFF"/>
          </w:tcPr>
          <w:p w14:paraId="7019B639" w14:textId="77777777" w:rsidR="00E42A45" w:rsidRDefault="00E42A45" w:rsidP="00BB63DF">
            <w:pPr>
              <w:tabs>
                <w:tab w:val="left" w:pos="709"/>
              </w:tabs>
              <w:rPr>
                <w:sz w:val="18"/>
              </w:rPr>
            </w:pPr>
            <w:r>
              <w:rPr>
                <w:sz w:val="18"/>
              </w:rPr>
              <w:t xml:space="preserve">Kultura:                 les </w:t>
            </w:r>
          </w:p>
        </w:tc>
      </w:tr>
      <w:tr w:rsidR="00E42A45" w14:paraId="057E09D0" w14:textId="77777777" w:rsidTr="00BB63DF">
        <w:tc>
          <w:tcPr>
            <w:tcW w:w="7072" w:type="dxa"/>
            <w:shd w:val="clear" w:color="auto" w:fill="FFFFFF"/>
          </w:tcPr>
          <w:p w14:paraId="69F67377" w14:textId="77777777" w:rsidR="00E42A45" w:rsidRDefault="00E42A45" w:rsidP="00BB63DF">
            <w:pPr>
              <w:tabs>
                <w:tab w:val="left" w:pos="709"/>
              </w:tabs>
              <w:rPr>
                <w:sz w:val="18"/>
              </w:rPr>
            </w:pPr>
            <w:r>
              <w:rPr>
                <w:sz w:val="18"/>
              </w:rPr>
              <w:t>Uživatel :                                                   LČR  - LZ Děčín</w:t>
            </w:r>
          </w:p>
          <w:p w14:paraId="2EB8807C" w14:textId="77777777" w:rsidR="00E42A45" w:rsidRDefault="00E42A45" w:rsidP="00BB63DF">
            <w:pPr>
              <w:tabs>
                <w:tab w:val="left" w:pos="709"/>
              </w:tabs>
              <w:rPr>
                <w:sz w:val="18"/>
              </w:rPr>
            </w:pPr>
          </w:p>
        </w:tc>
        <w:tc>
          <w:tcPr>
            <w:tcW w:w="7072" w:type="dxa"/>
            <w:shd w:val="clear" w:color="auto" w:fill="FFFFFF"/>
          </w:tcPr>
          <w:p w14:paraId="7725F03B" w14:textId="77777777" w:rsidR="00E42A45" w:rsidRDefault="00E42A45" w:rsidP="00BB63DF">
            <w:pPr>
              <w:tabs>
                <w:tab w:val="left" w:pos="709"/>
              </w:tabs>
              <w:rPr>
                <w:sz w:val="18"/>
              </w:rPr>
            </w:pPr>
            <w:r>
              <w:rPr>
                <w:sz w:val="18"/>
              </w:rPr>
              <w:t xml:space="preserve">Mapovatel .           Jebavý , 1996 </w:t>
            </w:r>
          </w:p>
        </w:tc>
      </w:tr>
      <w:tr w:rsidR="00E42A45" w14:paraId="3698CFAA" w14:textId="77777777" w:rsidTr="00BB63DF">
        <w:tc>
          <w:tcPr>
            <w:tcW w:w="14144" w:type="dxa"/>
            <w:gridSpan w:val="2"/>
            <w:shd w:val="clear" w:color="auto" w:fill="FFFFFF"/>
          </w:tcPr>
          <w:p w14:paraId="4F4B2623" w14:textId="77777777" w:rsidR="00E42A45" w:rsidRDefault="00E42A45" w:rsidP="00BB63DF">
            <w:pPr>
              <w:tabs>
                <w:tab w:val="left" w:pos="709"/>
              </w:tabs>
            </w:pPr>
            <w:r>
              <w:rPr>
                <w:b/>
                <w:sz w:val="18"/>
              </w:rPr>
              <w:t>Kategorie ochrany, rok vyhlášení</w:t>
            </w:r>
          </w:p>
          <w:p w14:paraId="1102E1B0" w14:textId="77777777" w:rsidR="00E42A45" w:rsidRDefault="00E42A45" w:rsidP="00BB63DF">
            <w:pPr>
              <w:tabs>
                <w:tab w:val="left" w:pos="709"/>
              </w:tabs>
              <w:rPr>
                <w:b/>
                <w:sz w:val="20"/>
              </w:rPr>
            </w:pPr>
            <w:r>
              <w:t xml:space="preserve">                                                                                      </w:t>
            </w:r>
            <w:r>
              <w:rPr>
                <w:b/>
                <w:sz w:val="20"/>
              </w:rPr>
              <w:t>CHKO Labské Pískovce - IV. zóna</w:t>
            </w:r>
          </w:p>
        </w:tc>
      </w:tr>
    </w:tbl>
    <w:p w14:paraId="1F63857A" w14:textId="77777777" w:rsidR="00E42A45" w:rsidRDefault="00E42A45" w:rsidP="00CA23D0">
      <w:pPr>
        <w:jc w:val="both"/>
        <w:rPr>
          <w:rFonts w:ascii="Arial" w:hAnsi="Arial" w:cs="Arial"/>
          <w:sz w:val="22"/>
        </w:rPr>
      </w:pPr>
    </w:p>
    <w:p w14:paraId="48044F32" w14:textId="77777777" w:rsidR="00E42A45" w:rsidRDefault="00E42A45" w:rsidP="00CA23D0">
      <w:pPr>
        <w:jc w:val="both"/>
        <w:rPr>
          <w:rFonts w:ascii="Arial" w:hAnsi="Arial" w:cs="Arial"/>
          <w:sz w:val="22"/>
        </w:rPr>
      </w:pPr>
    </w:p>
    <w:p w14:paraId="685EFBA4" w14:textId="77777777" w:rsidR="00E42A45" w:rsidRDefault="00E42A45" w:rsidP="00CA23D0">
      <w:pPr>
        <w:jc w:val="both"/>
        <w:rPr>
          <w:rFonts w:ascii="Arial" w:hAnsi="Arial" w:cs="Arial"/>
          <w:sz w:val="22"/>
        </w:rPr>
      </w:pPr>
    </w:p>
    <w:p w14:paraId="1EE8B18D"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7072"/>
      </w:tblGrid>
      <w:tr w:rsidR="00E42A45" w14:paraId="09F30BAF" w14:textId="77777777" w:rsidTr="00BB63DF">
        <w:tc>
          <w:tcPr>
            <w:tcW w:w="7072" w:type="dxa"/>
            <w:shd w:val="clear" w:color="auto" w:fill="FFFFFF"/>
          </w:tcPr>
          <w:p w14:paraId="5FF02212" w14:textId="77777777" w:rsidR="00E42A45" w:rsidRDefault="00E42A45" w:rsidP="00BB63DF">
            <w:pPr>
              <w:tabs>
                <w:tab w:val="left" w:pos="709"/>
              </w:tabs>
              <w:rPr>
                <w:b/>
                <w:sz w:val="18"/>
              </w:rPr>
            </w:pPr>
            <w:r>
              <w:rPr>
                <w:b/>
                <w:sz w:val="18"/>
              </w:rPr>
              <w:lastRenderedPageBreak/>
              <w:t>Pořadové číslo</w:t>
            </w:r>
          </w:p>
          <w:p w14:paraId="1A58010E" w14:textId="77777777" w:rsidR="00E42A45" w:rsidRDefault="00E42A45" w:rsidP="00BB63DF">
            <w:pPr>
              <w:tabs>
                <w:tab w:val="left" w:pos="709"/>
              </w:tabs>
              <w:rPr>
                <w:b/>
                <w:sz w:val="36"/>
              </w:rPr>
            </w:pPr>
            <w:r>
              <w:rPr>
                <w:b/>
                <w:sz w:val="18"/>
              </w:rPr>
              <w:t xml:space="preserve">                                   </w:t>
            </w:r>
            <w:r>
              <w:rPr>
                <w:b/>
              </w:rPr>
              <w:t xml:space="preserve">                                           </w:t>
            </w:r>
            <w:r>
              <w:rPr>
                <w:b/>
                <w:sz w:val="36"/>
              </w:rPr>
              <w:t>36</w:t>
            </w:r>
          </w:p>
        </w:tc>
        <w:tc>
          <w:tcPr>
            <w:tcW w:w="7072" w:type="dxa"/>
            <w:shd w:val="clear" w:color="auto" w:fill="FFFFFF"/>
          </w:tcPr>
          <w:p w14:paraId="3D2D3ADF" w14:textId="77777777" w:rsidR="00E42A45" w:rsidRDefault="00E42A45" w:rsidP="00BB63DF">
            <w:pPr>
              <w:tabs>
                <w:tab w:val="left" w:pos="709"/>
              </w:tabs>
              <w:rPr>
                <w:sz w:val="18"/>
              </w:rPr>
            </w:pPr>
            <w:r>
              <w:rPr>
                <w:sz w:val="18"/>
              </w:rPr>
              <w:t>Katastrální území</w:t>
            </w:r>
          </w:p>
          <w:p w14:paraId="0B384D1D" w14:textId="77777777" w:rsidR="00E42A45" w:rsidRDefault="00E42A45" w:rsidP="00BB63DF">
            <w:pPr>
              <w:tabs>
                <w:tab w:val="left" w:pos="709"/>
              </w:tabs>
              <w:rPr>
                <w:b/>
                <w:sz w:val="18"/>
              </w:rPr>
            </w:pPr>
            <w:r>
              <w:rPr>
                <w:b/>
                <w:sz w:val="18"/>
              </w:rPr>
              <w:t xml:space="preserve">                                               </w:t>
            </w:r>
            <w:r>
              <w:rPr>
                <w:b/>
              </w:rPr>
              <w:t>Folknáře</w:t>
            </w:r>
          </w:p>
        </w:tc>
      </w:tr>
      <w:tr w:rsidR="00E42A45" w14:paraId="619D0F74" w14:textId="77777777" w:rsidTr="00BB63DF">
        <w:trPr>
          <w:cantSplit/>
        </w:trPr>
        <w:tc>
          <w:tcPr>
            <w:tcW w:w="7072" w:type="dxa"/>
            <w:shd w:val="clear" w:color="auto" w:fill="FFFFFF"/>
          </w:tcPr>
          <w:p w14:paraId="4C13EA40" w14:textId="77777777" w:rsidR="00E42A45" w:rsidRDefault="00E42A45" w:rsidP="00BB63DF">
            <w:pPr>
              <w:tabs>
                <w:tab w:val="left" w:pos="709"/>
              </w:tabs>
              <w:rPr>
                <w:b/>
                <w:sz w:val="18"/>
              </w:rPr>
            </w:pPr>
            <w:r>
              <w:rPr>
                <w:b/>
                <w:sz w:val="18"/>
              </w:rPr>
              <w:t>Název</w:t>
            </w:r>
          </w:p>
          <w:p w14:paraId="330E8380" w14:textId="77777777" w:rsidR="00E42A45" w:rsidRDefault="00E42A45" w:rsidP="00BB63DF">
            <w:pPr>
              <w:tabs>
                <w:tab w:val="left" w:pos="709"/>
              </w:tabs>
              <w:rPr>
                <w:b/>
                <w:caps/>
                <w:sz w:val="18"/>
              </w:rPr>
            </w:pPr>
            <w:r>
              <w:rPr>
                <w:b/>
                <w:caps/>
                <w:sz w:val="18"/>
              </w:rPr>
              <w:t xml:space="preserve">                     </w:t>
            </w:r>
            <w:r>
              <w:rPr>
                <w:b/>
                <w:caps/>
              </w:rPr>
              <w:t xml:space="preserve">                     západní svahy Sokolího vrchu</w:t>
            </w:r>
          </w:p>
        </w:tc>
        <w:tc>
          <w:tcPr>
            <w:tcW w:w="7072" w:type="dxa"/>
            <w:shd w:val="clear" w:color="auto" w:fill="FFFFFF"/>
          </w:tcPr>
          <w:p w14:paraId="4ED78EB4" w14:textId="77777777" w:rsidR="00E42A45" w:rsidRDefault="00E42A45" w:rsidP="00BB63DF">
            <w:pPr>
              <w:tabs>
                <w:tab w:val="left" w:pos="709"/>
              </w:tabs>
              <w:rPr>
                <w:sz w:val="18"/>
              </w:rPr>
            </w:pPr>
            <w:r>
              <w:rPr>
                <w:sz w:val="18"/>
              </w:rPr>
              <w:t xml:space="preserve">Mapový list           </w:t>
            </w:r>
          </w:p>
          <w:p w14:paraId="3E8A7AFD" w14:textId="77777777" w:rsidR="00E42A45" w:rsidRDefault="00E42A45" w:rsidP="00BB63DF">
            <w:pPr>
              <w:tabs>
                <w:tab w:val="left" w:pos="709"/>
              </w:tabs>
              <w:rPr>
                <w:b/>
                <w:sz w:val="20"/>
              </w:rPr>
            </w:pPr>
            <w:r>
              <w:rPr>
                <w:b/>
                <w:sz w:val="18"/>
              </w:rPr>
              <w:t xml:space="preserve">                                               </w:t>
            </w:r>
            <w:r>
              <w:rPr>
                <w:sz w:val="20"/>
              </w:rPr>
              <w:t>02-23-20</w:t>
            </w:r>
          </w:p>
        </w:tc>
      </w:tr>
      <w:tr w:rsidR="00E42A45" w14:paraId="5EB4239D" w14:textId="77777777" w:rsidTr="00BB63DF">
        <w:trPr>
          <w:cantSplit/>
        </w:trPr>
        <w:tc>
          <w:tcPr>
            <w:tcW w:w="7072" w:type="dxa"/>
            <w:shd w:val="clear" w:color="auto" w:fill="FFFFFF"/>
          </w:tcPr>
          <w:p w14:paraId="6166C349" w14:textId="77777777" w:rsidR="00E42A45" w:rsidRPr="002D7515" w:rsidRDefault="00E42A45" w:rsidP="00BB63DF">
            <w:pPr>
              <w:pStyle w:val="Nadpis7"/>
            </w:pPr>
            <w:r w:rsidRPr="002D7515">
              <w:t>EVKC - ekologicky významný krajinný celek</w:t>
            </w:r>
          </w:p>
          <w:p w14:paraId="3E5EA1CF" w14:textId="77777777" w:rsidR="00E42A45" w:rsidRDefault="00E42A45" w:rsidP="00BB63DF">
            <w:pPr>
              <w:tabs>
                <w:tab w:val="left" w:pos="709"/>
              </w:tabs>
              <w:rPr>
                <w:sz w:val="20"/>
              </w:rPr>
            </w:pPr>
          </w:p>
        </w:tc>
        <w:tc>
          <w:tcPr>
            <w:tcW w:w="7072" w:type="dxa"/>
            <w:shd w:val="clear" w:color="auto" w:fill="FFFFFF"/>
          </w:tcPr>
          <w:p w14:paraId="4F725751" w14:textId="77777777" w:rsidR="00E42A45" w:rsidRPr="002D7515" w:rsidRDefault="00E42A45" w:rsidP="00BB63DF">
            <w:pPr>
              <w:pStyle w:val="Nadpis8"/>
              <w:rPr>
                <w:b/>
              </w:rPr>
            </w:pPr>
            <w:r w:rsidRPr="002D7515">
              <w:rPr>
                <w:b/>
              </w:rPr>
              <w:t>Biogeografický význam</w:t>
            </w:r>
          </w:p>
          <w:p w14:paraId="708CA573" w14:textId="77777777" w:rsidR="00E42A45" w:rsidRDefault="00E42A45" w:rsidP="00BB63DF">
            <w:pPr>
              <w:tabs>
                <w:tab w:val="left" w:pos="709"/>
              </w:tabs>
            </w:pPr>
            <w:r>
              <w:t xml:space="preserve">                                       </w:t>
            </w:r>
            <w:r>
              <w:rPr>
                <w:b/>
              </w:rPr>
              <w:t>lokální  biocentrum</w:t>
            </w:r>
          </w:p>
        </w:tc>
      </w:tr>
      <w:tr w:rsidR="00E42A45" w14:paraId="0A00DEF1" w14:textId="77777777" w:rsidTr="00BB63DF">
        <w:tc>
          <w:tcPr>
            <w:tcW w:w="7072" w:type="dxa"/>
            <w:shd w:val="clear" w:color="auto" w:fill="FFFFFF"/>
          </w:tcPr>
          <w:p w14:paraId="3FC71B2C" w14:textId="77777777" w:rsidR="00E42A45" w:rsidRDefault="00E42A45" w:rsidP="00BB63DF">
            <w:pPr>
              <w:tabs>
                <w:tab w:val="left" w:pos="709"/>
              </w:tabs>
            </w:pPr>
            <w:r>
              <w:rPr>
                <w:b/>
                <w:sz w:val="18"/>
              </w:rPr>
              <w:t xml:space="preserve">Geobiocenologická typizace </w:t>
            </w:r>
            <w:r>
              <w:rPr>
                <w:b/>
              </w:rPr>
              <w:t>:    4B4, 3B3, 3BD3</w:t>
            </w:r>
          </w:p>
        </w:tc>
        <w:tc>
          <w:tcPr>
            <w:tcW w:w="7072" w:type="dxa"/>
            <w:shd w:val="clear" w:color="auto" w:fill="FFFFFF"/>
          </w:tcPr>
          <w:p w14:paraId="546A385B" w14:textId="77777777" w:rsidR="00E42A45" w:rsidRDefault="00E42A45" w:rsidP="00BB63DF">
            <w:pPr>
              <w:tabs>
                <w:tab w:val="left" w:pos="709"/>
              </w:tabs>
              <w:rPr>
                <w:sz w:val="20"/>
              </w:rPr>
            </w:pPr>
            <w:r>
              <w:rPr>
                <w:sz w:val="20"/>
              </w:rPr>
              <w:t xml:space="preserve">Rozloha </w:t>
            </w:r>
            <w:r>
              <w:rPr>
                <w:b/>
                <w:sz w:val="20"/>
              </w:rPr>
              <w:t>:                           8,0 ha</w:t>
            </w:r>
          </w:p>
        </w:tc>
      </w:tr>
      <w:tr w:rsidR="00E42A45" w14:paraId="30E8E39E" w14:textId="77777777" w:rsidTr="00BB63DF">
        <w:tc>
          <w:tcPr>
            <w:tcW w:w="14144" w:type="dxa"/>
            <w:gridSpan w:val="2"/>
            <w:shd w:val="clear" w:color="auto" w:fill="FFFFFF"/>
          </w:tcPr>
          <w:p w14:paraId="5E757BE5" w14:textId="77777777" w:rsidR="00E42A45" w:rsidRDefault="00E42A45" w:rsidP="00BB63DF">
            <w:pPr>
              <w:tabs>
                <w:tab w:val="left" w:pos="709"/>
              </w:tabs>
              <w:rPr>
                <w:b/>
                <w:sz w:val="18"/>
              </w:rPr>
            </w:pPr>
          </w:p>
          <w:p w14:paraId="5C1EF0CF" w14:textId="77777777" w:rsidR="00E42A45" w:rsidRPr="004023F7" w:rsidRDefault="00E42A45" w:rsidP="00BB63DF">
            <w:pPr>
              <w:tabs>
                <w:tab w:val="left" w:pos="709"/>
              </w:tabs>
              <w:rPr>
                <w:sz w:val="20"/>
              </w:rPr>
            </w:pPr>
            <w:r>
              <w:rPr>
                <w:b/>
                <w:sz w:val="20"/>
              </w:rPr>
              <w:t>Charakteristika ekotopu a bioty :</w:t>
            </w:r>
            <w:r>
              <w:rPr>
                <w:sz w:val="20"/>
              </w:rPr>
              <w:t xml:space="preserve">  </w:t>
            </w:r>
            <w:r>
              <w:t xml:space="preserve"> </w:t>
            </w:r>
          </w:p>
          <w:p w14:paraId="2A090F44" w14:textId="77777777" w:rsidR="00E42A45" w:rsidRDefault="00E42A45" w:rsidP="00BB63DF">
            <w:pPr>
              <w:tabs>
                <w:tab w:val="left" w:pos="709"/>
              </w:tabs>
              <w:rPr>
                <w:sz w:val="20"/>
              </w:rPr>
            </w:pPr>
            <w:r>
              <w:rPr>
                <w:sz w:val="20"/>
              </w:rPr>
              <w:t>Lokální biocentrum umístěné na Z svazích Sokolího vrchu a v údolí potoka. Biocentrum tvoří porost SM monokultury s příměsí</w:t>
            </w:r>
          </w:p>
          <w:p w14:paraId="389B63EB" w14:textId="77777777" w:rsidR="00E42A45" w:rsidRDefault="00E42A45" w:rsidP="00BB63DF">
            <w:pPr>
              <w:tabs>
                <w:tab w:val="left" w:pos="709"/>
              </w:tabs>
              <w:rPr>
                <w:sz w:val="20"/>
              </w:rPr>
            </w:pPr>
            <w:r>
              <w:rPr>
                <w:sz w:val="20"/>
              </w:rPr>
              <w:t>dalších dřevin a při potoce jasanová olšina, část smíšené porosty</w:t>
            </w:r>
          </w:p>
          <w:p w14:paraId="3C54FB66" w14:textId="77777777" w:rsidR="00E42A45" w:rsidRDefault="00E42A45" w:rsidP="00BB63DF">
            <w:pPr>
              <w:tabs>
                <w:tab w:val="left" w:pos="709"/>
              </w:tabs>
              <w:rPr>
                <w:sz w:val="20"/>
              </w:rPr>
            </w:pPr>
          </w:p>
          <w:p w14:paraId="233D4768" w14:textId="77777777" w:rsidR="00E42A45" w:rsidRDefault="00E42A45" w:rsidP="00BB63DF">
            <w:pPr>
              <w:tabs>
                <w:tab w:val="left" w:pos="709"/>
              </w:tabs>
              <w:rPr>
                <w:sz w:val="20"/>
              </w:rPr>
            </w:pPr>
            <w:r>
              <w:rPr>
                <w:sz w:val="20"/>
              </w:rPr>
              <w:t xml:space="preserve">SES = 3    </w:t>
            </w:r>
          </w:p>
          <w:p w14:paraId="00E921F9" w14:textId="77777777" w:rsidR="00E42A45" w:rsidRDefault="00E42A45" w:rsidP="00BB63DF">
            <w:pPr>
              <w:tabs>
                <w:tab w:val="left" w:pos="709"/>
              </w:tabs>
              <w:rPr>
                <w:sz w:val="20"/>
              </w:rPr>
            </w:pPr>
            <w:r>
              <w:rPr>
                <w:sz w:val="20"/>
              </w:rPr>
              <w:t>Původní společenstva byla tvořena svěží dbJD šťavelovou, bohatou dbBK mařinkovou a vlhkou dbBK netýkavkovou přimykající se k toku potoka.</w:t>
            </w:r>
          </w:p>
          <w:p w14:paraId="0AC901FC" w14:textId="77777777" w:rsidR="00E42A45" w:rsidRDefault="00E42A45" w:rsidP="00BB63DF">
            <w:pPr>
              <w:tabs>
                <w:tab w:val="left" w:pos="709"/>
              </w:tabs>
              <w:rPr>
                <w:sz w:val="20"/>
              </w:rPr>
            </w:pPr>
          </w:p>
          <w:p w14:paraId="5C5DE0AF" w14:textId="77777777" w:rsidR="00E42A45" w:rsidRDefault="00E42A45" w:rsidP="00BB63DF">
            <w:pPr>
              <w:tabs>
                <w:tab w:val="left" w:pos="709"/>
              </w:tabs>
              <w:rPr>
                <w:sz w:val="20"/>
              </w:rPr>
            </w:pPr>
          </w:p>
          <w:p w14:paraId="18819180" w14:textId="77777777" w:rsidR="00E42A45" w:rsidRDefault="00E42A45" w:rsidP="00BB63DF">
            <w:pPr>
              <w:tabs>
                <w:tab w:val="left" w:pos="709"/>
              </w:tabs>
              <w:rPr>
                <w:sz w:val="20"/>
              </w:rPr>
            </w:pPr>
            <w:r>
              <w:rPr>
                <w:sz w:val="20"/>
              </w:rPr>
              <w:t>Bot.  :  E3  tvoří SM, JS, OL, příměsi BK, LPM, DBZ, DBL, BŘ</w:t>
            </w:r>
          </w:p>
          <w:p w14:paraId="3DB7974B" w14:textId="77777777" w:rsidR="00E42A45" w:rsidRDefault="00E42A45" w:rsidP="00BB63DF">
            <w:pPr>
              <w:tabs>
                <w:tab w:val="left" w:pos="709"/>
              </w:tabs>
              <w:rPr>
                <w:i/>
                <w:sz w:val="20"/>
              </w:rPr>
            </w:pPr>
            <w:r>
              <w:rPr>
                <w:sz w:val="20"/>
              </w:rPr>
              <w:t xml:space="preserve">           E1  zastoupeno druhy </w:t>
            </w:r>
            <w:r>
              <w:rPr>
                <w:i/>
                <w:sz w:val="20"/>
              </w:rPr>
              <w:t>Primula veris</w:t>
            </w:r>
            <w:r>
              <w:rPr>
                <w:sz w:val="20"/>
              </w:rPr>
              <w:t xml:space="preserve">, </w:t>
            </w:r>
            <w:r>
              <w:rPr>
                <w:i/>
                <w:sz w:val="20"/>
              </w:rPr>
              <w:t>Dryopteris filix  - mas, Aegopodium podagraria, Ficaria verna, Vuiola silvatica,</w:t>
            </w:r>
          </w:p>
          <w:p w14:paraId="4733F023" w14:textId="77777777" w:rsidR="00E42A45" w:rsidRDefault="00E42A45" w:rsidP="00BB63DF">
            <w:pPr>
              <w:tabs>
                <w:tab w:val="left" w:pos="709"/>
              </w:tabs>
              <w:rPr>
                <w:i/>
                <w:sz w:val="20"/>
              </w:rPr>
            </w:pPr>
            <w:r>
              <w:rPr>
                <w:i/>
                <w:sz w:val="20"/>
              </w:rPr>
              <w:t xml:space="preserve">                                           Anemone nemorosa, Urtica dioica, Asperula odorata </w:t>
            </w:r>
          </w:p>
          <w:p w14:paraId="2E904B07" w14:textId="77777777" w:rsidR="00E42A45" w:rsidRDefault="00E42A45" w:rsidP="00BB63DF">
            <w:pPr>
              <w:tabs>
                <w:tab w:val="left" w:pos="709"/>
              </w:tabs>
              <w:rPr>
                <w:sz w:val="20"/>
              </w:rPr>
            </w:pPr>
          </w:p>
          <w:p w14:paraId="709B1CFD" w14:textId="77777777" w:rsidR="00E42A45" w:rsidRDefault="00E42A45" w:rsidP="00BB63DF">
            <w:pPr>
              <w:tabs>
                <w:tab w:val="left" w:pos="709"/>
              </w:tabs>
              <w:rPr>
                <w:sz w:val="20"/>
              </w:rPr>
            </w:pPr>
            <w:r>
              <w:rPr>
                <w:sz w:val="20"/>
              </w:rPr>
              <w:t>Geol.: Oglejené půdy a hnědé půdy oglejené, hlinito-písčité až jílovito-hlinité, mezotrofní až eutrofní</w:t>
            </w:r>
          </w:p>
          <w:p w14:paraId="09B400C3" w14:textId="77777777" w:rsidR="00E42A45" w:rsidRDefault="00E42A45" w:rsidP="00BB63DF"/>
          <w:p w14:paraId="598DED37" w14:textId="77777777" w:rsidR="00E42A45" w:rsidRPr="000A285F" w:rsidRDefault="00E42A45" w:rsidP="00BB63DF">
            <w:pPr>
              <w:pStyle w:val="Zkladntext"/>
              <w:rPr>
                <w:b/>
              </w:rPr>
            </w:pPr>
            <w:r>
              <w:rPr>
                <w:b/>
              </w:rPr>
              <w:t xml:space="preserve">Návrh opatření :   </w:t>
            </w:r>
          </w:p>
          <w:p w14:paraId="34D22F8C" w14:textId="77777777" w:rsidR="00E42A45" w:rsidRPr="000A285F" w:rsidRDefault="00E42A45" w:rsidP="00BB63DF">
            <w:pPr>
              <w:pStyle w:val="Zkladntext"/>
              <w:rPr>
                <w:b/>
              </w:rPr>
            </w:pPr>
            <w:r w:rsidRPr="000A285F">
              <w:rPr>
                <w:b/>
              </w:rPr>
              <w:t>Postupná změna druhové skladby s cílem dosažení přirozené skladby dřevin.</w:t>
            </w:r>
          </w:p>
          <w:p w14:paraId="7E76DC28" w14:textId="77777777" w:rsidR="00E42A45" w:rsidRPr="004023F7" w:rsidRDefault="00E42A45" w:rsidP="00BB63DF">
            <w:pPr>
              <w:pStyle w:val="Zkladntext"/>
              <w:rPr>
                <w:b/>
              </w:rPr>
            </w:pPr>
            <w:r w:rsidRPr="000A285F">
              <w:rPr>
                <w:b/>
              </w:rPr>
              <w:t>Přirozená skladba v souborech lesních typů : 3B, 3V – BK6, DB3, HB1, JD, 3V – BK4, DB4, JV2,</w:t>
            </w:r>
            <w:r>
              <w:rPr>
                <w:b/>
              </w:rPr>
              <w:t xml:space="preserve"> JD, 4O – BK4, DB5, JD1, TPO   </w:t>
            </w:r>
            <w:r>
              <w:t xml:space="preserve">                  </w:t>
            </w:r>
          </w:p>
        </w:tc>
      </w:tr>
      <w:tr w:rsidR="00E42A45" w14:paraId="51BEEE29" w14:textId="77777777" w:rsidTr="00BB63DF">
        <w:tc>
          <w:tcPr>
            <w:tcW w:w="7072" w:type="dxa"/>
            <w:shd w:val="clear" w:color="auto" w:fill="FFFFFF"/>
          </w:tcPr>
          <w:p w14:paraId="7170EC41" w14:textId="77777777" w:rsidR="00E42A45" w:rsidRDefault="00E42A45" w:rsidP="00BB63DF">
            <w:pPr>
              <w:tabs>
                <w:tab w:val="left" w:pos="709"/>
              </w:tabs>
              <w:rPr>
                <w:sz w:val="18"/>
              </w:rPr>
            </w:pPr>
            <w:r>
              <w:rPr>
                <w:sz w:val="18"/>
              </w:rPr>
              <w:t>Odd., por., sk.   :          602/C/ 1, 3, 4, 5, 8</w:t>
            </w:r>
          </w:p>
        </w:tc>
        <w:tc>
          <w:tcPr>
            <w:tcW w:w="7072" w:type="dxa"/>
            <w:shd w:val="clear" w:color="auto" w:fill="FFFFFF"/>
          </w:tcPr>
          <w:p w14:paraId="14245AE0" w14:textId="77777777" w:rsidR="00E42A45" w:rsidRDefault="00E42A45" w:rsidP="00BB63DF">
            <w:pPr>
              <w:tabs>
                <w:tab w:val="left" w:pos="709"/>
              </w:tabs>
              <w:rPr>
                <w:sz w:val="18"/>
              </w:rPr>
            </w:pPr>
            <w:r>
              <w:rPr>
                <w:sz w:val="18"/>
              </w:rPr>
              <w:t xml:space="preserve">Kultura                  les </w:t>
            </w:r>
          </w:p>
        </w:tc>
      </w:tr>
      <w:tr w:rsidR="00E42A45" w14:paraId="69EBF5DE" w14:textId="77777777" w:rsidTr="00BB63DF">
        <w:tc>
          <w:tcPr>
            <w:tcW w:w="7072" w:type="dxa"/>
            <w:shd w:val="clear" w:color="auto" w:fill="FFFFFF"/>
          </w:tcPr>
          <w:p w14:paraId="24C369DF" w14:textId="77777777" w:rsidR="00E42A45" w:rsidRDefault="00E42A45" w:rsidP="00BB63DF">
            <w:pPr>
              <w:tabs>
                <w:tab w:val="left" w:pos="709"/>
              </w:tabs>
              <w:rPr>
                <w:sz w:val="18"/>
              </w:rPr>
            </w:pPr>
            <w:r>
              <w:rPr>
                <w:sz w:val="18"/>
              </w:rPr>
              <w:t>Uživatel                                                    LČR  - LZDěčín</w:t>
            </w:r>
          </w:p>
          <w:p w14:paraId="77C154B8" w14:textId="77777777" w:rsidR="00E42A45" w:rsidRDefault="00E42A45" w:rsidP="00BB63DF">
            <w:pPr>
              <w:tabs>
                <w:tab w:val="left" w:pos="709"/>
              </w:tabs>
              <w:rPr>
                <w:sz w:val="18"/>
              </w:rPr>
            </w:pPr>
          </w:p>
        </w:tc>
        <w:tc>
          <w:tcPr>
            <w:tcW w:w="7072" w:type="dxa"/>
            <w:shd w:val="clear" w:color="auto" w:fill="FFFFFF"/>
          </w:tcPr>
          <w:p w14:paraId="4EDC0656" w14:textId="77777777" w:rsidR="00E42A45" w:rsidRDefault="00E42A45" w:rsidP="00BB63DF">
            <w:pPr>
              <w:tabs>
                <w:tab w:val="left" w:pos="709"/>
              </w:tabs>
              <w:rPr>
                <w:sz w:val="18"/>
              </w:rPr>
            </w:pPr>
            <w:r>
              <w:rPr>
                <w:sz w:val="18"/>
              </w:rPr>
              <w:t>Mapovatel            Jebavý , 1996</w:t>
            </w:r>
          </w:p>
        </w:tc>
      </w:tr>
      <w:tr w:rsidR="00E42A45" w14:paraId="50AD5835" w14:textId="77777777" w:rsidTr="00BB63DF">
        <w:tc>
          <w:tcPr>
            <w:tcW w:w="14144" w:type="dxa"/>
            <w:gridSpan w:val="2"/>
            <w:shd w:val="clear" w:color="auto" w:fill="FFFFFF"/>
          </w:tcPr>
          <w:p w14:paraId="1C4443AE" w14:textId="77777777" w:rsidR="00E42A45" w:rsidRDefault="00E42A45" w:rsidP="00BB63DF">
            <w:pPr>
              <w:tabs>
                <w:tab w:val="left" w:pos="709"/>
              </w:tabs>
            </w:pPr>
            <w:r>
              <w:rPr>
                <w:b/>
                <w:sz w:val="18"/>
              </w:rPr>
              <w:t>Kategorie ochrany, rok vyhlášení</w:t>
            </w:r>
          </w:p>
          <w:p w14:paraId="01E5319F" w14:textId="77777777" w:rsidR="00E42A45" w:rsidRDefault="00E42A45" w:rsidP="00BB63DF">
            <w:pPr>
              <w:tabs>
                <w:tab w:val="left" w:pos="709"/>
              </w:tabs>
              <w:rPr>
                <w:b/>
                <w:sz w:val="20"/>
              </w:rPr>
            </w:pPr>
            <w:r>
              <w:t xml:space="preserve">                                                                                      </w:t>
            </w:r>
            <w:r>
              <w:rPr>
                <w:b/>
                <w:sz w:val="20"/>
              </w:rPr>
              <w:t>CHKO Labské Pískovce - III. zóna</w:t>
            </w:r>
          </w:p>
        </w:tc>
      </w:tr>
    </w:tbl>
    <w:p w14:paraId="251DD2FB" w14:textId="77777777" w:rsidR="00E42A45" w:rsidRDefault="00E42A45" w:rsidP="00CA23D0">
      <w:pPr>
        <w:jc w:val="both"/>
        <w:rPr>
          <w:rFonts w:ascii="Arial" w:hAnsi="Arial" w:cs="Arial"/>
          <w:sz w:val="22"/>
        </w:rPr>
      </w:pPr>
    </w:p>
    <w:p w14:paraId="0433BCFB" w14:textId="77777777" w:rsidR="00E42A45" w:rsidRDefault="00E42A45" w:rsidP="00CA23D0">
      <w:pPr>
        <w:jc w:val="both"/>
        <w:rPr>
          <w:rFonts w:ascii="Arial" w:hAnsi="Arial" w:cs="Arial"/>
          <w:sz w:val="22"/>
        </w:rPr>
      </w:pPr>
    </w:p>
    <w:p w14:paraId="4FE59BD6" w14:textId="77777777" w:rsidR="00E42A45" w:rsidRDefault="00E42A45" w:rsidP="00CA23D0">
      <w:pPr>
        <w:jc w:val="both"/>
        <w:rPr>
          <w:rFonts w:ascii="Arial" w:hAnsi="Arial" w:cs="Arial"/>
          <w:sz w:val="22"/>
        </w:rPr>
      </w:pPr>
    </w:p>
    <w:p w14:paraId="3698327D"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7072"/>
      </w:tblGrid>
      <w:tr w:rsidR="00E42A45" w14:paraId="4E71630D" w14:textId="77777777" w:rsidTr="00BB63DF">
        <w:tc>
          <w:tcPr>
            <w:tcW w:w="7072" w:type="dxa"/>
            <w:shd w:val="clear" w:color="auto" w:fill="FFFFFF"/>
          </w:tcPr>
          <w:p w14:paraId="07D5C5C6" w14:textId="77777777" w:rsidR="00E42A45" w:rsidRDefault="00E42A45" w:rsidP="00BB63DF">
            <w:pPr>
              <w:tabs>
                <w:tab w:val="left" w:pos="709"/>
              </w:tabs>
              <w:rPr>
                <w:b/>
                <w:sz w:val="18"/>
              </w:rPr>
            </w:pPr>
            <w:r>
              <w:rPr>
                <w:b/>
                <w:sz w:val="18"/>
              </w:rPr>
              <w:lastRenderedPageBreak/>
              <w:t>Pořadové číslo</w:t>
            </w:r>
          </w:p>
          <w:p w14:paraId="2F10E0AC" w14:textId="77777777" w:rsidR="00E42A45" w:rsidRDefault="00E42A45" w:rsidP="00BB63DF">
            <w:pPr>
              <w:tabs>
                <w:tab w:val="left" w:pos="709"/>
              </w:tabs>
              <w:rPr>
                <w:b/>
                <w:sz w:val="36"/>
              </w:rPr>
            </w:pPr>
            <w:r>
              <w:rPr>
                <w:b/>
                <w:sz w:val="18"/>
              </w:rPr>
              <w:t xml:space="preserve">                                   </w:t>
            </w:r>
            <w:r>
              <w:rPr>
                <w:b/>
              </w:rPr>
              <w:t xml:space="preserve">                                           </w:t>
            </w:r>
            <w:r>
              <w:rPr>
                <w:b/>
                <w:sz w:val="36"/>
              </w:rPr>
              <w:t>37</w:t>
            </w:r>
          </w:p>
        </w:tc>
        <w:tc>
          <w:tcPr>
            <w:tcW w:w="7072" w:type="dxa"/>
            <w:shd w:val="clear" w:color="auto" w:fill="FFFFFF"/>
          </w:tcPr>
          <w:p w14:paraId="3587F29D" w14:textId="77777777" w:rsidR="00E42A45" w:rsidRDefault="00E42A45" w:rsidP="00BB63DF">
            <w:pPr>
              <w:tabs>
                <w:tab w:val="left" w:pos="709"/>
              </w:tabs>
              <w:rPr>
                <w:sz w:val="18"/>
              </w:rPr>
            </w:pPr>
            <w:r>
              <w:rPr>
                <w:sz w:val="18"/>
              </w:rPr>
              <w:t>Katastrální území</w:t>
            </w:r>
          </w:p>
          <w:p w14:paraId="3B73397E" w14:textId="77777777" w:rsidR="00E42A45" w:rsidRDefault="00E42A45" w:rsidP="00BB63DF">
            <w:pPr>
              <w:tabs>
                <w:tab w:val="left" w:pos="709"/>
              </w:tabs>
              <w:rPr>
                <w:b/>
                <w:sz w:val="18"/>
              </w:rPr>
            </w:pPr>
            <w:r>
              <w:rPr>
                <w:b/>
                <w:sz w:val="18"/>
              </w:rPr>
              <w:t xml:space="preserve">                                               </w:t>
            </w:r>
            <w:r>
              <w:rPr>
                <w:b/>
              </w:rPr>
              <w:t>Březiny</w:t>
            </w:r>
          </w:p>
        </w:tc>
      </w:tr>
      <w:tr w:rsidR="00E42A45" w14:paraId="027D344A" w14:textId="77777777" w:rsidTr="00BB63DF">
        <w:trPr>
          <w:cantSplit/>
        </w:trPr>
        <w:tc>
          <w:tcPr>
            <w:tcW w:w="7072" w:type="dxa"/>
            <w:shd w:val="clear" w:color="auto" w:fill="FFFFFF"/>
          </w:tcPr>
          <w:p w14:paraId="6EF1C01D" w14:textId="77777777" w:rsidR="00E42A45" w:rsidRDefault="00E42A45" w:rsidP="00BB63DF">
            <w:pPr>
              <w:tabs>
                <w:tab w:val="left" w:pos="709"/>
              </w:tabs>
              <w:rPr>
                <w:b/>
                <w:sz w:val="18"/>
              </w:rPr>
            </w:pPr>
            <w:r>
              <w:rPr>
                <w:b/>
                <w:sz w:val="18"/>
              </w:rPr>
              <w:t>Název</w:t>
            </w:r>
          </w:p>
          <w:p w14:paraId="4B6402EF" w14:textId="77777777" w:rsidR="00E42A45" w:rsidRDefault="00E42A45" w:rsidP="00BB63DF">
            <w:pPr>
              <w:tabs>
                <w:tab w:val="left" w:pos="709"/>
              </w:tabs>
              <w:rPr>
                <w:b/>
                <w:caps/>
                <w:sz w:val="18"/>
              </w:rPr>
            </w:pPr>
            <w:r>
              <w:rPr>
                <w:b/>
                <w:caps/>
                <w:sz w:val="18"/>
              </w:rPr>
              <w:t xml:space="preserve">                     </w:t>
            </w:r>
            <w:r>
              <w:rPr>
                <w:b/>
                <w:caps/>
              </w:rPr>
              <w:t xml:space="preserve">                                            ptačí  důl</w:t>
            </w:r>
          </w:p>
        </w:tc>
        <w:tc>
          <w:tcPr>
            <w:tcW w:w="7072" w:type="dxa"/>
            <w:shd w:val="clear" w:color="auto" w:fill="FFFFFF"/>
          </w:tcPr>
          <w:p w14:paraId="56D161F7" w14:textId="77777777" w:rsidR="00E42A45" w:rsidRDefault="00E42A45" w:rsidP="00BB63DF">
            <w:pPr>
              <w:tabs>
                <w:tab w:val="left" w:pos="709"/>
              </w:tabs>
              <w:rPr>
                <w:sz w:val="18"/>
              </w:rPr>
            </w:pPr>
            <w:r>
              <w:rPr>
                <w:sz w:val="18"/>
              </w:rPr>
              <w:t xml:space="preserve">Mapový list           </w:t>
            </w:r>
          </w:p>
          <w:p w14:paraId="39A82416" w14:textId="77777777" w:rsidR="00E42A45" w:rsidRDefault="00E42A45" w:rsidP="00BB63DF">
            <w:pPr>
              <w:tabs>
                <w:tab w:val="left" w:pos="709"/>
              </w:tabs>
              <w:rPr>
                <w:b/>
                <w:sz w:val="20"/>
              </w:rPr>
            </w:pPr>
            <w:r>
              <w:rPr>
                <w:b/>
                <w:sz w:val="18"/>
              </w:rPr>
              <w:t xml:space="preserve">                                               </w:t>
            </w:r>
            <w:r>
              <w:rPr>
                <w:sz w:val="20"/>
              </w:rPr>
              <w:t>02-23-20</w:t>
            </w:r>
          </w:p>
        </w:tc>
      </w:tr>
      <w:tr w:rsidR="00E42A45" w14:paraId="40E96F95" w14:textId="77777777" w:rsidTr="00BB63DF">
        <w:trPr>
          <w:cantSplit/>
        </w:trPr>
        <w:tc>
          <w:tcPr>
            <w:tcW w:w="7072" w:type="dxa"/>
            <w:shd w:val="clear" w:color="auto" w:fill="FFFFFF"/>
          </w:tcPr>
          <w:p w14:paraId="184BBBA0" w14:textId="77777777" w:rsidR="00E42A45" w:rsidRPr="002D7515" w:rsidRDefault="00E42A45" w:rsidP="00BB63DF">
            <w:pPr>
              <w:pStyle w:val="Nadpis7"/>
            </w:pPr>
            <w:r w:rsidRPr="002D7515">
              <w:t>EVKC - ekologicky významný krajinný celek</w:t>
            </w:r>
          </w:p>
        </w:tc>
        <w:tc>
          <w:tcPr>
            <w:tcW w:w="7072" w:type="dxa"/>
            <w:shd w:val="clear" w:color="auto" w:fill="FFFFFF"/>
          </w:tcPr>
          <w:p w14:paraId="2C699A35" w14:textId="77777777" w:rsidR="00E42A45" w:rsidRPr="002D7515" w:rsidRDefault="00E42A45" w:rsidP="00BB63DF">
            <w:pPr>
              <w:pStyle w:val="Nadpis8"/>
              <w:rPr>
                <w:b/>
              </w:rPr>
            </w:pPr>
            <w:r w:rsidRPr="002D7515">
              <w:rPr>
                <w:b/>
              </w:rPr>
              <w:t>Biogeografický význam</w:t>
            </w:r>
          </w:p>
          <w:p w14:paraId="6A4DACC2" w14:textId="77777777" w:rsidR="00E42A45" w:rsidRDefault="00E42A45" w:rsidP="00BB63DF">
            <w:pPr>
              <w:tabs>
                <w:tab w:val="left" w:pos="709"/>
              </w:tabs>
            </w:pPr>
            <w:r>
              <w:t xml:space="preserve">                                      </w:t>
            </w:r>
            <w:r>
              <w:rPr>
                <w:b/>
              </w:rPr>
              <w:t>lokální  biocentrum</w:t>
            </w:r>
          </w:p>
        </w:tc>
      </w:tr>
      <w:tr w:rsidR="00E42A45" w14:paraId="7AE8F0D9" w14:textId="77777777" w:rsidTr="00BB63DF">
        <w:tc>
          <w:tcPr>
            <w:tcW w:w="7072" w:type="dxa"/>
            <w:shd w:val="clear" w:color="auto" w:fill="FFFFFF"/>
          </w:tcPr>
          <w:p w14:paraId="566A908D" w14:textId="77777777" w:rsidR="00E42A45" w:rsidRDefault="00E42A45" w:rsidP="00BB63DF">
            <w:pPr>
              <w:tabs>
                <w:tab w:val="left" w:pos="709"/>
              </w:tabs>
            </w:pPr>
            <w:r>
              <w:rPr>
                <w:b/>
                <w:sz w:val="18"/>
              </w:rPr>
              <w:t xml:space="preserve">Geobiocenologická  typizace   </w:t>
            </w:r>
            <w:r>
              <w:rPr>
                <w:b/>
              </w:rPr>
              <w:t xml:space="preserve">2BD3 </w:t>
            </w:r>
          </w:p>
        </w:tc>
        <w:tc>
          <w:tcPr>
            <w:tcW w:w="7072" w:type="dxa"/>
            <w:shd w:val="clear" w:color="auto" w:fill="FFFFFF"/>
          </w:tcPr>
          <w:p w14:paraId="513860DD" w14:textId="77777777" w:rsidR="00E42A45" w:rsidRDefault="00E42A45" w:rsidP="00BB63DF">
            <w:pPr>
              <w:tabs>
                <w:tab w:val="left" w:pos="709"/>
              </w:tabs>
              <w:rPr>
                <w:sz w:val="20"/>
              </w:rPr>
            </w:pPr>
            <w:r>
              <w:rPr>
                <w:sz w:val="20"/>
              </w:rPr>
              <w:t xml:space="preserve">Rozloha  </w:t>
            </w:r>
            <w:r>
              <w:rPr>
                <w:b/>
                <w:sz w:val="20"/>
              </w:rPr>
              <w:t>:                          9,0 ha</w:t>
            </w:r>
          </w:p>
        </w:tc>
      </w:tr>
      <w:tr w:rsidR="00E42A45" w14:paraId="757BF60C" w14:textId="77777777" w:rsidTr="00BB63DF">
        <w:tc>
          <w:tcPr>
            <w:tcW w:w="14144" w:type="dxa"/>
            <w:gridSpan w:val="2"/>
            <w:shd w:val="clear" w:color="auto" w:fill="FFFFFF"/>
          </w:tcPr>
          <w:p w14:paraId="556CAA9E" w14:textId="77777777" w:rsidR="00E42A45" w:rsidRPr="004023F7" w:rsidRDefault="00E42A45" w:rsidP="00BB63DF">
            <w:pPr>
              <w:tabs>
                <w:tab w:val="left" w:pos="709"/>
              </w:tabs>
              <w:rPr>
                <w:sz w:val="20"/>
              </w:rPr>
            </w:pPr>
            <w:r>
              <w:rPr>
                <w:b/>
                <w:sz w:val="20"/>
              </w:rPr>
              <w:t>Charakteristika  ekotopu a bioty :</w:t>
            </w:r>
            <w:r>
              <w:rPr>
                <w:sz w:val="20"/>
              </w:rPr>
              <w:t xml:space="preserve">  </w:t>
            </w:r>
          </w:p>
          <w:p w14:paraId="44DA5DEB" w14:textId="77777777" w:rsidR="00E42A45" w:rsidRDefault="00E42A45" w:rsidP="00BB63DF">
            <w:pPr>
              <w:tabs>
                <w:tab w:val="left" w:pos="709"/>
              </w:tabs>
              <w:rPr>
                <w:sz w:val="20"/>
              </w:rPr>
            </w:pPr>
            <w:r>
              <w:rPr>
                <w:sz w:val="20"/>
              </w:rPr>
              <w:t xml:space="preserve">Lokální biocentrum umístěné převážně na jižních svazích Pustého vrchu a tvořené smíšeným porostem s převahou listnáčů, </w:t>
            </w:r>
          </w:p>
          <w:p w14:paraId="0851D724" w14:textId="77777777" w:rsidR="00E42A45" w:rsidRDefault="00E42A45" w:rsidP="00BB63DF">
            <w:pPr>
              <w:tabs>
                <w:tab w:val="left" w:pos="709"/>
              </w:tabs>
              <w:rPr>
                <w:sz w:val="20"/>
              </w:rPr>
            </w:pPr>
            <w:r>
              <w:rPr>
                <w:sz w:val="20"/>
              </w:rPr>
              <w:t>mezi kterými je nejvíce zastoupen BK. V části biocentra i SM porosty.</w:t>
            </w:r>
          </w:p>
          <w:p w14:paraId="46B74097" w14:textId="77777777" w:rsidR="00E42A45" w:rsidRDefault="00E42A45" w:rsidP="00BB63DF">
            <w:pPr>
              <w:tabs>
                <w:tab w:val="left" w:pos="709"/>
              </w:tabs>
              <w:rPr>
                <w:sz w:val="20"/>
              </w:rPr>
            </w:pPr>
          </w:p>
          <w:p w14:paraId="7F35C9C0" w14:textId="77777777" w:rsidR="00E42A45" w:rsidRDefault="00E42A45" w:rsidP="00BB63DF">
            <w:pPr>
              <w:tabs>
                <w:tab w:val="left" w:pos="709"/>
              </w:tabs>
              <w:rPr>
                <w:sz w:val="20"/>
              </w:rPr>
            </w:pPr>
            <w:r>
              <w:rPr>
                <w:sz w:val="20"/>
              </w:rPr>
              <w:t>SES = 4   Původní společenstva tvořily bohaté bkDB a bohaté dbBK.</w:t>
            </w:r>
          </w:p>
          <w:p w14:paraId="4D89D657" w14:textId="77777777" w:rsidR="00E42A45" w:rsidRDefault="00E42A45" w:rsidP="00BB63DF">
            <w:pPr>
              <w:tabs>
                <w:tab w:val="left" w:pos="709"/>
              </w:tabs>
              <w:rPr>
                <w:sz w:val="20"/>
              </w:rPr>
            </w:pPr>
          </w:p>
          <w:p w14:paraId="3BF0B0BB" w14:textId="77777777" w:rsidR="00E42A45" w:rsidRDefault="00E42A45" w:rsidP="00BB63DF">
            <w:pPr>
              <w:tabs>
                <w:tab w:val="left" w:pos="709"/>
              </w:tabs>
              <w:rPr>
                <w:sz w:val="20"/>
              </w:rPr>
            </w:pPr>
          </w:p>
          <w:p w14:paraId="1BB8C9B5" w14:textId="77777777" w:rsidR="00E42A45" w:rsidRDefault="00E42A45" w:rsidP="00BB63DF">
            <w:pPr>
              <w:tabs>
                <w:tab w:val="left" w:pos="709"/>
              </w:tabs>
              <w:rPr>
                <w:sz w:val="20"/>
              </w:rPr>
            </w:pPr>
            <w:r>
              <w:rPr>
                <w:sz w:val="20"/>
              </w:rPr>
              <w:t>Bot. :       E3  tvoří BK, JS, DBL, DBZ, LPM, JVM, JVK, JVB, HB, SM</w:t>
            </w:r>
          </w:p>
          <w:p w14:paraId="1B1EDB14" w14:textId="77777777" w:rsidR="00E42A45" w:rsidRDefault="00E42A45" w:rsidP="00BB63DF">
            <w:pPr>
              <w:tabs>
                <w:tab w:val="left" w:pos="709"/>
              </w:tabs>
              <w:rPr>
                <w:i/>
                <w:sz w:val="20"/>
              </w:rPr>
            </w:pPr>
            <w:r>
              <w:rPr>
                <w:sz w:val="20"/>
              </w:rPr>
              <w:t xml:space="preserve">                E1  zastoupeno druhy  </w:t>
            </w:r>
            <w:r>
              <w:rPr>
                <w:i/>
                <w:sz w:val="20"/>
              </w:rPr>
              <w:t>Hepatica nobilis</w:t>
            </w:r>
            <w:r>
              <w:rPr>
                <w:sz w:val="20"/>
              </w:rPr>
              <w:t xml:space="preserve">, </w:t>
            </w:r>
            <w:r>
              <w:rPr>
                <w:i/>
                <w:sz w:val="20"/>
              </w:rPr>
              <w:t>Dryopteris filix  - mas, Aegopodium podagraria, Asperula odorata,  Vuiola silvatica,</w:t>
            </w:r>
          </w:p>
          <w:p w14:paraId="09C75C32" w14:textId="77777777" w:rsidR="00E42A45" w:rsidRPr="00E951C5" w:rsidRDefault="00E42A45" w:rsidP="00BB63DF">
            <w:pPr>
              <w:tabs>
                <w:tab w:val="left" w:pos="709"/>
              </w:tabs>
              <w:rPr>
                <w:i/>
                <w:sz w:val="20"/>
              </w:rPr>
            </w:pPr>
            <w:r>
              <w:rPr>
                <w:i/>
                <w:sz w:val="20"/>
              </w:rPr>
              <w:t xml:space="preserve">                                                    Anemone nemorosa, Asarum europaeum, Oxalis acetosella </w:t>
            </w:r>
          </w:p>
          <w:p w14:paraId="40289A0B" w14:textId="77777777" w:rsidR="00E42A45" w:rsidRDefault="00E42A45" w:rsidP="00BB63DF">
            <w:pPr>
              <w:tabs>
                <w:tab w:val="left" w:pos="709"/>
              </w:tabs>
              <w:rPr>
                <w:sz w:val="20"/>
              </w:rPr>
            </w:pPr>
          </w:p>
          <w:p w14:paraId="70AA7474" w14:textId="77777777" w:rsidR="00E42A45" w:rsidRPr="00E951C5" w:rsidRDefault="00E42A45" w:rsidP="00BB63DF">
            <w:pPr>
              <w:tabs>
                <w:tab w:val="left" w:pos="709"/>
              </w:tabs>
              <w:rPr>
                <w:sz w:val="20"/>
              </w:rPr>
            </w:pPr>
            <w:r>
              <w:rPr>
                <w:sz w:val="20"/>
              </w:rPr>
              <w:t>Geol.:  Hnědé půdy eutrofní až mezotrofní, hlinito-písčité až jílovito-hlinité, kamenité</w:t>
            </w:r>
          </w:p>
          <w:p w14:paraId="56428BE3" w14:textId="77777777" w:rsidR="00E42A45" w:rsidRDefault="00E42A45" w:rsidP="00BB63DF"/>
          <w:p w14:paraId="51FD6625" w14:textId="77777777" w:rsidR="00E42A45" w:rsidRPr="000A285F" w:rsidRDefault="00E42A45" w:rsidP="00BB63DF">
            <w:pPr>
              <w:pStyle w:val="Zkladntext"/>
              <w:rPr>
                <w:b/>
              </w:rPr>
            </w:pPr>
            <w:r>
              <w:rPr>
                <w:b/>
              </w:rPr>
              <w:t xml:space="preserve">Návrh opatření :     </w:t>
            </w:r>
          </w:p>
          <w:p w14:paraId="01447BC0" w14:textId="77777777" w:rsidR="00E42A45" w:rsidRPr="000A285F" w:rsidRDefault="00E42A45" w:rsidP="00BB63DF">
            <w:pPr>
              <w:pStyle w:val="Zkladntext"/>
              <w:rPr>
                <w:b/>
              </w:rPr>
            </w:pPr>
            <w:r w:rsidRPr="000A285F">
              <w:rPr>
                <w:b/>
              </w:rPr>
              <w:t>Postupná změna druhové skladby s cílem dosažení přirozené skladby dřevin.</w:t>
            </w:r>
          </w:p>
          <w:p w14:paraId="3B4C3437" w14:textId="77777777" w:rsidR="00E42A45" w:rsidRPr="004023F7" w:rsidRDefault="00E42A45" w:rsidP="00BB63DF">
            <w:pPr>
              <w:pStyle w:val="Zkladntext"/>
              <w:rPr>
                <w:b/>
              </w:rPr>
            </w:pPr>
            <w:r w:rsidRPr="000A285F">
              <w:rPr>
                <w:b/>
              </w:rPr>
              <w:t>Přirozená skladba v souborech lesních typů :  2V – DB6, BK3, H</w:t>
            </w:r>
            <w:r>
              <w:rPr>
                <w:b/>
              </w:rPr>
              <w:t>B1, LP+, 3V – BK6, DB3, HB1, JD</w:t>
            </w:r>
            <w:r>
              <w:t xml:space="preserve">  </w:t>
            </w:r>
          </w:p>
        </w:tc>
      </w:tr>
      <w:tr w:rsidR="00E42A45" w14:paraId="4E92201A" w14:textId="77777777" w:rsidTr="00BB63DF">
        <w:tc>
          <w:tcPr>
            <w:tcW w:w="7072" w:type="dxa"/>
            <w:shd w:val="clear" w:color="auto" w:fill="FFFFFF"/>
          </w:tcPr>
          <w:p w14:paraId="2F9B2E62" w14:textId="77777777" w:rsidR="00E42A45" w:rsidRDefault="00E42A45" w:rsidP="00BB63DF">
            <w:pPr>
              <w:tabs>
                <w:tab w:val="left" w:pos="709"/>
              </w:tabs>
              <w:rPr>
                <w:sz w:val="18"/>
              </w:rPr>
            </w:pPr>
            <w:r>
              <w:rPr>
                <w:sz w:val="18"/>
              </w:rPr>
              <w:t>Odd., por., sk.   :            604 / B / 11 / 6y</w:t>
            </w:r>
          </w:p>
        </w:tc>
        <w:tc>
          <w:tcPr>
            <w:tcW w:w="7072" w:type="dxa"/>
            <w:shd w:val="clear" w:color="auto" w:fill="FFFFFF"/>
          </w:tcPr>
          <w:p w14:paraId="6F4F4189" w14:textId="77777777" w:rsidR="00E42A45" w:rsidRDefault="00E42A45" w:rsidP="00BB63DF">
            <w:pPr>
              <w:tabs>
                <w:tab w:val="left" w:pos="709"/>
              </w:tabs>
              <w:rPr>
                <w:sz w:val="18"/>
              </w:rPr>
            </w:pPr>
            <w:r>
              <w:rPr>
                <w:sz w:val="18"/>
              </w:rPr>
              <w:t xml:space="preserve">Kultura                  les </w:t>
            </w:r>
          </w:p>
        </w:tc>
      </w:tr>
      <w:tr w:rsidR="00E42A45" w14:paraId="5DE69E67" w14:textId="77777777" w:rsidTr="00BB63DF">
        <w:tc>
          <w:tcPr>
            <w:tcW w:w="7072" w:type="dxa"/>
            <w:shd w:val="clear" w:color="auto" w:fill="FFFFFF"/>
          </w:tcPr>
          <w:p w14:paraId="56E65EAF" w14:textId="77777777" w:rsidR="00E42A45" w:rsidRDefault="00E42A45" w:rsidP="00BB63DF">
            <w:pPr>
              <w:tabs>
                <w:tab w:val="left" w:pos="709"/>
              </w:tabs>
              <w:rPr>
                <w:sz w:val="18"/>
              </w:rPr>
            </w:pPr>
            <w:r>
              <w:rPr>
                <w:sz w:val="18"/>
              </w:rPr>
              <w:t>Uživatel                                                    LČR  - LZ Děčín</w:t>
            </w:r>
          </w:p>
          <w:p w14:paraId="5ECB4639" w14:textId="77777777" w:rsidR="00E42A45" w:rsidRDefault="00E42A45" w:rsidP="00BB63DF">
            <w:pPr>
              <w:tabs>
                <w:tab w:val="left" w:pos="709"/>
              </w:tabs>
              <w:rPr>
                <w:sz w:val="18"/>
              </w:rPr>
            </w:pPr>
          </w:p>
        </w:tc>
        <w:tc>
          <w:tcPr>
            <w:tcW w:w="7072" w:type="dxa"/>
            <w:shd w:val="clear" w:color="auto" w:fill="FFFFFF"/>
          </w:tcPr>
          <w:p w14:paraId="3751F311" w14:textId="77777777" w:rsidR="00E42A45" w:rsidRDefault="00E42A45" w:rsidP="00BB63DF">
            <w:pPr>
              <w:tabs>
                <w:tab w:val="left" w:pos="709"/>
              </w:tabs>
              <w:rPr>
                <w:sz w:val="18"/>
              </w:rPr>
            </w:pPr>
            <w:r>
              <w:rPr>
                <w:sz w:val="18"/>
              </w:rPr>
              <w:t>Mapovatel            Jebavý , 1996</w:t>
            </w:r>
          </w:p>
        </w:tc>
      </w:tr>
      <w:tr w:rsidR="00E42A45" w14:paraId="2A04A54A" w14:textId="77777777" w:rsidTr="00BB63DF">
        <w:tc>
          <w:tcPr>
            <w:tcW w:w="14144" w:type="dxa"/>
            <w:gridSpan w:val="2"/>
            <w:shd w:val="clear" w:color="auto" w:fill="FFFFFF"/>
          </w:tcPr>
          <w:p w14:paraId="7357BD57" w14:textId="77777777" w:rsidR="00E42A45" w:rsidRDefault="00E42A45" w:rsidP="00BB63DF">
            <w:pPr>
              <w:tabs>
                <w:tab w:val="left" w:pos="709"/>
              </w:tabs>
            </w:pPr>
            <w:r>
              <w:rPr>
                <w:b/>
                <w:sz w:val="18"/>
              </w:rPr>
              <w:t>Kategorie ochrany, rok vyhlášení</w:t>
            </w:r>
          </w:p>
          <w:p w14:paraId="0807B057" w14:textId="77777777" w:rsidR="00E42A45" w:rsidRDefault="00E42A45" w:rsidP="00BB63DF">
            <w:pPr>
              <w:tabs>
                <w:tab w:val="left" w:pos="709"/>
              </w:tabs>
              <w:rPr>
                <w:b/>
                <w:sz w:val="20"/>
              </w:rPr>
            </w:pPr>
            <w:r>
              <w:t xml:space="preserve">                                                                                      </w:t>
            </w:r>
            <w:r>
              <w:rPr>
                <w:b/>
                <w:sz w:val="20"/>
              </w:rPr>
              <w:t>CHKO Labské Pískovce - III. zóna</w:t>
            </w:r>
          </w:p>
        </w:tc>
      </w:tr>
      <w:tr w:rsidR="00E42A45" w14:paraId="42866F2D" w14:textId="77777777" w:rsidTr="00BB63DF">
        <w:tc>
          <w:tcPr>
            <w:tcW w:w="7072" w:type="dxa"/>
            <w:shd w:val="clear" w:color="auto" w:fill="FFFFFF"/>
          </w:tcPr>
          <w:p w14:paraId="0F45DDC1" w14:textId="77777777" w:rsidR="00E42A45" w:rsidRDefault="00E42A45" w:rsidP="00BB63DF">
            <w:pPr>
              <w:tabs>
                <w:tab w:val="left" w:pos="709"/>
              </w:tabs>
              <w:rPr>
                <w:b/>
                <w:sz w:val="18"/>
              </w:rPr>
            </w:pPr>
            <w:r>
              <w:rPr>
                <w:b/>
                <w:sz w:val="18"/>
              </w:rPr>
              <w:t>Pořadové číslo</w:t>
            </w:r>
          </w:p>
          <w:p w14:paraId="0658EEBD" w14:textId="77777777" w:rsidR="00E42A45" w:rsidRDefault="00E42A45" w:rsidP="00BB63DF">
            <w:pPr>
              <w:tabs>
                <w:tab w:val="left" w:pos="709"/>
              </w:tabs>
              <w:rPr>
                <w:b/>
                <w:sz w:val="36"/>
              </w:rPr>
            </w:pPr>
            <w:r>
              <w:rPr>
                <w:b/>
                <w:sz w:val="18"/>
              </w:rPr>
              <w:t xml:space="preserve">                                   </w:t>
            </w:r>
            <w:r>
              <w:rPr>
                <w:b/>
              </w:rPr>
              <w:t xml:space="preserve">                                           </w:t>
            </w:r>
            <w:r>
              <w:rPr>
                <w:b/>
                <w:sz w:val="36"/>
              </w:rPr>
              <w:t>38</w:t>
            </w:r>
          </w:p>
        </w:tc>
        <w:tc>
          <w:tcPr>
            <w:tcW w:w="7072" w:type="dxa"/>
            <w:shd w:val="clear" w:color="auto" w:fill="FFFFFF"/>
          </w:tcPr>
          <w:p w14:paraId="1CCB6FED" w14:textId="77777777" w:rsidR="00E42A45" w:rsidRDefault="00E42A45" w:rsidP="00BB63DF">
            <w:pPr>
              <w:tabs>
                <w:tab w:val="left" w:pos="709"/>
              </w:tabs>
              <w:rPr>
                <w:sz w:val="18"/>
              </w:rPr>
            </w:pPr>
            <w:r>
              <w:rPr>
                <w:sz w:val="18"/>
              </w:rPr>
              <w:t>Katastrální území</w:t>
            </w:r>
          </w:p>
          <w:p w14:paraId="43919178" w14:textId="77777777" w:rsidR="00E42A45" w:rsidRPr="002D7515" w:rsidRDefault="00E42A45" w:rsidP="00BB63DF">
            <w:pPr>
              <w:pStyle w:val="Nadpis6"/>
            </w:pPr>
            <w:r w:rsidRPr="002D7515">
              <w:t xml:space="preserve">                                           Březiny</w:t>
            </w:r>
          </w:p>
        </w:tc>
      </w:tr>
      <w:tr w:rsidR="00E42A45" w14:paraId="63750ECF" w14:textId="77777777" w:rsidTr="00BB63DF">
        <w:trPr>
          <w:cantSplit/>
        </w:trPr>
        <w:tc>
          <w:tcPr>
            <w:tcW w:w="7072" w:type="dxa"/>
            <w:shd w:val="clear" w:color="auto" w:fill="FFFFFF"/>
          </w:tcPr>
          <w:p w14:paraId="3A63EF3C" w14:textId="77777777" w:rsidR="00E42A45" w:rsidRDefault="00E42A45" w:rsidP="00BB63DF">
            <w:pPr>
              <w:tabs>
                <w:tab w:val="left" w:pos="709"/>
              </w:tabs>
              <w:rPr>
                <w:b/>
                <w:sz w:val="18"/>
              </w:rPr>
            </w:pPr>
            <w:r>
              <w:rPr>
                <w:b/>
                <w:sz w:val="18"/>
              </w:rPr>
              <w:t>Název</w:t>
            </w:r>
          </w:p>
          <w:p w14:paraId="26DD9B21" w14:textId="77777777" w:rsidR="00E42A45" w:rsidRDefault="00E42A45" w:rsidP="00BB63DF">
            <w:pPr>
              <w:tabs>
                <w:tab w:val="left" w:pos="709"/>
              </w:tabs>
              <w:rPr>
                <w:b/>
                <w:caps/>
                <w:sz w:val="18"/>
              </w:rPr>
            </w:pPr>
            <w:r>
              <w:rPr>
                <w:b/>
                <w:caps/>
                <w:sz w:val="18"/>
              </w:rPr>
              <w:t xml:space="preserve">                     </w:t>
            </w:r>
            <w:r>
              <w:rPr>
                <w:b/>
                <w:caps/>
              </w:rPr>
              <w:t xml:space="preserve">                                              špičák</w:t>
            </w:r>
          </w:p>
        </w:tc>
        <w:tc>
          <w:tcPr>
            <w:tcW w:w="7072" w:type="dxa"/>
            <w:shd w:val="clear" w:color="auto" w:fill="FFFFFF"/>
          </w:tcPr>
          <w:p w14:paraId="1E94FBA9" w14:textId="77777777" w:rsidR="00E42A45" w:rsidRDefault="00E42A45" w:rsidP="00BB63DF">
            <w:pPr>
              <w:tabs>
                <w:tab w:val="left" w:pos="709"/>
              </w:tabs>
              <w:rPr>
                <w:sz w:val="18"/>
              </w:rPr>
            </w:pPr>
            <w:r>
              <w:rPr>
                <w:sz w:val="18"/>
              </w:rPr>
              <w:t xml:space="preserve">Mapový list           </w:t>
            </w:r>
          </w:p>
          <w:p w14:paraId="54873E7C" w14:textId="77777777" w:rsidR="00E42A45" w:rsidRDefault="00E42A45" w:rsidP="00BB63DF">
            <w:pPr>
              <w:tabs>
                <w:tab w:val="left" w:pos="709"/>
              </w:tabs>
              <w:rPr>
                <w:b/>
                <w:sz w:val="20"/>
              </w:rPr>
            </w:pPr>
            <w:r>
              <w:rPr>
                <w:b/>
                <w:sz w:val="18"/>
              </w:rPr>
              <w:t xml:space="preserve">                                                    </w:t>
            </w:r>
            <w:r>
              <w:rPr>
                <w:sz w:val="20"/>
              </w:rPr>
              <w:t>02-23-20</w:t>
            </w:r>
          </w:p>
        </w:tc>
      </w:tr>
      <w:tr w:rsidR="00E42A45" w14:paraId="2C9AA6D9" w14:textId="77777777" w:rsidTr="00BB63DF">
        <w:trPr>
          <w:cantSplit/>
        </w:trPr>
        <w:tc>
          <w:tcPr>
            <w:tcW w:w="7072" w:type="dxa"/>
            <w:shd w:val="clear" w:color="auto" w:fill="FFFFFF"/>
          </w:tcPr>
          <w:p w14:paraId="1CC60D64" w14:textId="77777777" w:rsidR="00E42A45" w:rsidRPr="002D7515" w:rsidRDefault="00E42A45" w:rsidP="00BB63DF">
            <w:pPr>
              <w:pStyle w:val="Nadpis7"/>
            </w:pPr>
            <w:r w:rsidRPr="002D7515">
              <w:lastRenderedPageBreak/>
              <w:t>EVKC - ekologicky významný krajinný celek</w:t>
            </w:r>
          </w:p>
        </w:tc>
        <w:tc>
          <w:tcPr>
            <w:tcW w:w="7072" w:type="dxa"/>
            <w:shd w:val="clear" w:color="auto" w:fill="FFFFFF"/>
          </w:tcPr>
          <w:p w14:paraId="74FC8845" w14:textId="77777777" w:rsidR="00E42A45" w:rsidRPr="002D7515" w:rsidRDefault="00E42A45" w:rsidP="00BB63DF">
            <w:pPr>
              <w:pStyle w:val="Nadpis8"/>
              <w:rPr>
                <w:b/>
              </w:rPr>
            </w:pPr>
            <w:r w:rsidRPr="002D7515">
              <w:rPr>
                <w:b/>
              </w:rPr>
              <w:t>Biogeografický význam</w:t>
            </w:r>
          </w:p>
          <w:p w14:paraId="1704C232" w14:textId="77777777" w:rsidR="00E42A45" w:rsidRDefault="00E42A45" w:rsidP="00BB63DF">
            <w:pPr>
              <w:tabs>
                <w:tab w:val="left" w:pos="709"/>
              </w:tabs>
            </w:pPr>
            <w:r>
              <w:t xml:space="preserve">                                           </w:t>
            </w:r>
            <w:r>
              <w:rPr>
                <w:b/>
              </w:rPr>
              <w:t>lokální biocentrum</w:t>
            </w:r>
          </w:p>
        </w:tc>
      </w:tr>
      <w:tr w:rsidR="00E42A45" w14:paraId="6062A8D3" w14:textId="77777777" w:rsidTr="00BB63DF">
        <w:tc>
          <w:tcPr>
            <w:tcW w:w="7072" w:type="dxa"/>
            <w:shd w:val="clear" w:color="auto" w:fill="FFFFFF"/>
          </w:tcPr>
          <w:p w14:paraId="43FF8C87" w14:textId="77777777" w:rsidR="00E42A45" w:rsidRDefault="00E42A45" w:rsidP="00BB63DF">
            <w:pPr>
              <w:tabs>
                <w:tab w:val="left" w:pos="709"/>
              </w:tabs>
            </w:pPr>
            <w:r>
              <w:rPr>
                <w:b/>
                <w:sz w:val="18"/>
              </w:rPr>
              <w:t xml:space="preserve">Geobiocenologická typizace     </w:t>
            </w:r>
            <w:r>
              <w:rPr>
                <w:b/>
              </w:rPr>
              <w:t>2BD3</w:t>
            </w:r>
          </w:p>
        </w:tc>
        <w:tc>
          <w:tcPr>
            <w:tcW w:w="7072" w:type="dxa"/>
            <w:shd w:val="clear" w:color="auto" w:fill="FFFFFF"/>
          </w:tcPr>
          <w:p w14:paraId="3DBEEBA3" w14:textId="77777777" w:rsidR="00E42A45" w:rsidRDefault="00E42A45" w:rsidP="00BB63DF">
            <w:pPr>
              <w:tabs>
                <w:tab w:val="left" w:pos="709"/>
              </w:tabs>
              <w:rPr>
                <w:sz w:val="18"/>
              </w:rPr>
            </w:pPr>
            <w:r>
              <w:rPr>
                <w:sz w:val="18"/>
              </w:rPr>
              <w:t xml:space="preserve">Rozloha :                                     </w:t>
            </w:r>
            <w:r>
              <w:rPr>
                <w:b/>
                <w:sz w:val="20"/>
              </w:rPr>
              <w:t>8,0 ha</w:t>
            </w:r>
          </w:p>
        </w:tc>
      </w:tr>
      <w:tr w:rsidR="00E42A45" w14:paraId="075EF31F" w14:textId="77777777" w:rsidTr="00BB63DF">
        <w:tc>
          <w:tcPr>
            <w:tcW w:w="14144" w:type="dxa"/>
            <w:gridSpan w:val="2"/>
            <w:shd w:val="clear" w:color="auto" w:fill="FFFFFF"/>
          </w:tcPr>
          <w:p w14:paraId="43F393F9" w14:textId="77777777" w:rsidR="00E42A45" w:rsidRDefault="00E42A45" w:rsidP="00BB63DF">
            <w:pPr>
              <w:tabs>
                <w:tab w:val="left" w:pos="709"/>
              </w:tabs>
              <w:rPr>
                <w:b/>
                <w:sz w:val="18"/>
              </w:rPr>
            </w:pPr>
          </w:p>
          <w:p w14:paraId="728091D1" w14:textId="77777777" w:rsidR="00E42A45" w:rsidRDefault="00E42A45" w:rsidP="00BB63DF">
            <w:pPr>
              <w:tabs>
                <w:tab w:val="left" w:pos="709"/>
              </w:tabs>
            </w:pPr>
            <w:r>
              <w:rPr>
                <w:b/>
                <w:sz w:val="18"/>
              </w:rPr>
              <w:t>Charakteristika  ekotopu a bioty :</w:t>
            </w:r>
            <w:r>
              <w:t xml:space="preserve">      </w:t>
            </w:r>
          </w:p>
          <w:p w14:paraId="49670160" w14:textId="77777777" w:rsidR="00E42A45" w:rsidRDefault="00E42A45" w:rsidP="00BB63DF">
            <w:pPr>
              <w:tabs>
                <w:tab w:val="left" w:pos="709"/>
              </w:tabs>
              <w:rPr>
                <w:sz w:val="20"/>
              </w:rPr>
            </w:pPr>
            <w:r>
              <w:rPr>
                <w:sz w:val="20"/>
              </w:rPr>
              <w:t>Lokální biocentrum umístěné v lesním systému vrchu Špičák. Porosty smíšeného BK a SM lesa vrcholových partií a boků kopce převážně západní,</w:t>
            </w:r>
          </w:p>
          <w:p w14:paraId="0FACA2DC" w14:textId="77777777" w:rsidR="00E42A45" w:rsidRDefault="00E42A45" w:rsidP="00BB63DF">
            <w:pPr>
              <w:tabs>
                <w:tab w:val="left" w:pos="709"/>
              </w:tabs>
              <w:rPr>
                <w:sz w:val="20"/>
              </w:rPr>
            </w:pPr>
            <w:r>
              <w:rPr>
                <w:sz w:val="20"/>
              </w:rPr>
              <w:t xml:space="preserve">jižní a východní orientace, charakteristické druhy bylinného patra. Kamenné výchozy.  </w:t>
            </w:r>
          </w:p>
          <w:p w14:paraId="6CF0835F" w14:textId="77777777" w:rsidR="00E42A45" w:rsidRDefault="00E42A45" w:rsidP="00BB63DF">
            <w:pPr>
              <w:tabs>
                <w:tab w:val="left" w:pos="709"/>
              </w:tabs>
              <w:rPr>
                <w:sz w:val="20"/>
              </w:rPr>
            </w:pPr>
            <w:r>
              <w:rPr>
                <w:sz w:val="20"/>
              </w:rPr>
              <w:t xml:space="preserve">                                                                                                                                                     </w:t>
            </w:r>
          </w:p>
          <w:p w14:paraId="61ECCF37" w14:textId="77777777" w:rsidR="00E42A45" w:rsidRDefault="00E42A45" w:rsidP="00BB63DF">
            <w:pPr>
              <w:tabs>
                <w:tab w:val="left" w:pos="709"/>
              </w:tabs>
              <w:rPr>
                <w:sz w:val="20"/>
              </w:rPr>
            </w:pPr>
            <w:r>
              <w:rPr>
                <w:sz w:val="20"/>
              </w:rPr>
              <w:t>SES = 4.</w:t>
            </w:r>
          </w:p>
          <w:p w14:paraId="54D66CFC" w14:textId="77777777" w:rsidR="00E42A45" w:rsidRDefault="00E42A45" w:rsidP="00BB63DF">
            <w:pPr>
              <w:tabs>
                <w:tab w:val="left" w:pos="709"/>
              </w:tabs>
              <w:rPr>
                <w:sz w:val="20"/>
              </w:rPr>
            </w:pPr>
            <w:r>
              <w:rPr>
                <w:sz w:val="20"/>
              </w:rPr>
              <w:t>Původní společenstva tvořily lipové JV kapradinové (balv.) ve vrcholových partiích a bohaté dbBK strdivkové a svěží dbJD šťavelové na svazích kopce.</w:t>
            </w:r>
          </w:p>
          <w:p w14:paraId="411FF0FD" w14:textId="77777777" w:rsidR="00E42A45" w:rsidRDefault="00E42A45" w:rsidP="00BB63DF">
            <w:pPr>
              <w:tabs>
                <w:tab w:val="left" w:pos="709"/>
              </w:tabs>
              <w:rPr>
                <w:sz w:val="20"/>
              </w:rPr>
            </w:pPr>
            <w:r>
              <w:rPr>
                <w:sz w:val="20"/>
              </w:rPr>
              <w:t xml:space="preserve">  </w:t>
            </w:r>
          </w:p>
          <w:p w14:paraId="016CF3E7" w14:textId="77777777" w:rsidR="00E42A45" w:rsidRDefault="00E42A45" w:rsidP="00BB63DF">
            <w:pPr>
              <w:tabs>
                <w:tab w:val="left" w:pos="709"/>
              </w:tabs>
              <w:rPr>
                <w:sz w:val="20"/>
              </w:rPr>
            </w:pPr>
            <w:r>
              <w:rPr>
                <w:sz w:val="20"/>
              </w:rPr>
              <w:t>Bot. :   E3  tvoří  BK, SM, DBL, DBZ, LPM, JVM, JVK, JVB,HB</w:t>
            </w:r>
          </w:p>
          <w:p w14:paraId="4BD59E2A" w14:textId="77777777" w:rsidR="00E42A45" w:rsidRDefault="00E42A45" w:rsidP="00BB63DF">
            <w:pPr>
              <w:tabs>
                <w:tab w:val="left" w:pos="709"/>
              </w:tabs>
              <w:rPr>
                <w:i/>
                <w:sz w:val="20"/>
              </w:rPr>
            </w:pPr>
            <w:r>
              <w:rPr>
                <w:sz w:val="20"/>
              </w:rPr>
              <w:t xml:space="preserve">           E1  zastoupeno druhy </w:t>
            </w:r>
            <w:r>
              <w:rPr>
                <w:i/>
                <w:sz w:val="20"/>
              </w:rPr>
              <w:t>Hepatica nobilis</w:t>
            </w:r>
            <w:r>
              <w:rPr>
                <w:sz w:val="20"/>
              </w:rPr>
              <w:t xml:space="preserve">, </w:t>
            </w:r>
            <w:r>
              <w:rPr>
                <w:i/>
                <w:sz w:val="20"/>
              </w:rPr>
              <w:t>Dryopteris filix  - mas, Oxalis acetosella, Asperula odorata,  Vuiola silvatica,</w:t>
            </w:r>
          </w:p>
          <w:p w14:paraId="5D218268" w14:textId="77777777" w:rsidR="00E42A45" w:rsidRDefault="00E42A45" w:rsidP="00BB63DF">
            <w:pPr>
              <w:tabs>
                <w:tab w:val="left" w:pos="709"/>
              </w:tabs>
              <w:rPr>
                <w:i/>
                <w:sz w:val="20"/>
              </w:rPr>
            </w:pPr>
            <w:r>
              <w:rPr>
                <w:i/>
                <w:sz w:val="20"/>
              </w:rPr>
              <w:t xml:space="preserve">                                              Anemone nemorosa, Asarum europaeum, </w:t>
            </w:r>
          </w:p>
          <w:p w14:paraId="6994AA38" w14:textId="77777777" w:rsidR="00E42A45" w:rsidRDefault="00E42A45" w:rsidP="00BB63DF">
            <w:pPr>
              <w:tabs>
                <w:tab w:val="left" w:pos="709"/>
              </w:tabs>
              <w:rPr>
                <w:sz w:val="20"/>
              </w:rPr>
            </w:pPr>
          </w:p>
          <w:p w14:paraId="07530967" w14:textId="77777777" w:rsidR="00E42A45" w:rsidRDefault="00E42A45" w:rsidP="00BB63DF">
            <w:pPr>
              <w:tabs>
                <w:tab w:val="left" w:pos="709"/>
              </w:tabs>
              <w:rPr>
                <w:sz w:val="20"/>
              </w:rPr>
            </w:pPr>
          </w:p>
          <w:p w14:paraId="179C6CD7" w14:textId="77777777" w:rsidR="00E42A45" w:rsidRDefault="00E42A45" w:rsidP="00BB63DF">
            <w:pPr>
              <w:tabs>
                <w:tab w:val="left" w:pos="709"/>
              </w:tabs>
              <w:rPr>
                <w:sz w:val="20"/>
              </w:rPr>
            </w:pPr>
            <w:r>
              <w:rPr>
                <w:sz w:val="20"/>
              </w:rPr>
              <w:t xml:space="preserve">Geol. :   Hnědé půdy eutrofní až mezotrofní, hlinito-písčité až písčito-hlinité, kamenité, hnědý ranker, skeletový, </w:t>
            </w:r>
          </w:p>
          <w:p w14:paraId="67084553" w14:textId="77777777" w:rsidR="00E42A45" w:rsidRDefault="00E42A45" w:rsidP="00BB63DF">
            <w:pPr>
              <w:tabs>
                <w:tab w:val="left" w:pos="709"/>
              </w:tabs>
              <w:rPr>
                <w:sz w:val="20"/>
              </w:rPr>
            </w:pPr>
            <w:r>
              <w:rPr>
                <w:sz w:val="20"/>
              </w:rPr>
              <w:t xml:space="preserve">             mezotrofní pseudoglej písčito-hlinitý až jílovito-hlinitý.</w:t>
            </w:r>
          </w:p>
          <w:p w14:paraId="43587D75" w14:textId="77777777" w:rsidR="00E42A45" w:rsidRDefault="00E42A45" w:rsidP="00BB63DF"/>
          <w:p w14:paraId="34D1D875" w14:textId="77777777" w:rsidR="00E42A45" w:rsidRPr="000A285F" w:rsidRDefault="00E42A45" w:rsidP="00BB63DF">
            <w:pPr>
              <w:pStyle w:val="Zkladntext"/>
              <w:rPr>
                <w:b/>
              </w:rPr>
            </w:pPr>
            <w:r>
              <w:rPr>
                <w:b/>
              </w:rPr>
              <w:t xml:space="preserve">Návrh opatření :       </w:t>
            </w:r>
          </w:p>
          <w:p w14:paraId="7169CA02" w14:textId="77777777" w:rsidR="00E42A45" w:rsidRPr="000A285F" w:rsidRDefault="00E42A45" w:rsidP="00BB63DF">
            <w:pPr>
              <w:pStyle w:val="Zkladntext"/>
              <w:rPr>
                <w:b/>
              </w:rPr>
            </w:pPr>
            <w:r w:rsidRPr="000A285F">
              <w:rPr>
                <w:b/>
              </w:rPr>
              <w:t>Postupná změna druhové skladby s cílem dosažení přirozené skladby dřevin.</w:t>
            </w:r>
          </w:p>
          <w:p w14:paraId="02778FD6" w14:textId="77777777" w:rsidR="00E42A45" w:rsidRPr="000A285F" w:rsidRDefault="00E42A45" w:rsidP="00BB63DF">
            <w:pPr>
              <w:pStyle w:val="Zkladntext"/>
              <w:rPr>
                <w:b/>
              </w:rPr>
            </w:pPr>
            <w:r w:rsidRPr="000A285F">
              <w:rPr>
                <w:b/>
              </w:rPr>
              <w:t xml:space="preserve">Přirozená skladba v souborech lesních typů :  3J – BK4, LP3, JV2, JL1, JD, 3B – BK6, DB3, HB1, JD, 3D – BK6, </w:t>
            </w:r>
          </w:p>
          <w:p w14:paraId="3FD5C7CE" w14:textId="77777777" w:rsidR="00E42A45" w:rsidRPr="004023F7" w:rsidRDefault="00E42A45" w:rsidP="00BB63DF">
            <w:pPr>
              <w:pStyle w:val="Zkladntext"/>
              <w:rPr>
                <w:b/>
              </w:rPr>
            </w:pPr>
            <w:r w:rsidRPr="000A285F">
              <w:rPr>
                <w:b/>
              </w:rPr>
              <w:t xml:space="preserve">                                                                               LP2, DB2, JV, JD, 3H – BK6, DB3, HB1, JD, 4O – BK4, DB5, JD1, TPO</w:t>
            </w:r>
            <w:r>
              <w:t xml:space="preserve">               </w:t>
            </w:r>
          </w:p>
        </w:tc>
      </w:tr>
      <w:tr w:rsidR="00E42A45" w14:paraId="3F0E359A" w14:textId="77777777" w:rsidTr="00BB63DF">
        <w:tc>
          <w:tcPr>
            <w:tcW w:w="7072" w:type="dxa"/>
            <w:shd w:val="clear" w:color="auto" w:fill="FFFFFF"/>
          </w:tcPr>
          <w:p w14:paraId="60A1A91A" w14:textId="77777777" w:rsidR="00E42A45" w:rsidRDefault="00E42A45" w:rsidP="00BB63DF">
            <w:pPr>
              <w:tabs>
                <w:tab w:val="left" w:pos="709"/>
              </w:tabs>
              <w:rPr>
                <w:sz w:val="18"/>
              </w:rPr>
            </w:pPr>
            <w:r>
              <w:rPr>
                <w:sz w:val="18"/>
              </w:rPr>
              <w:t>Odd., por., sk.   :                                       605 / A</w:t>
            </w:r>
          </w:p>
        </w:tc>
        <w:tc>
          <w:tcPr>
            <w:tcW w:w="7072" w:type="dxa"/>
            <w:shd w:val="clear" w:color="auto" w:fill="FFFFFF"/>
          </w:tcPr>
          <w:p w14:paraId="34E1372B" w14:textId="77777777" w:rsidR="00E42A45" w:rsidRDefault="00E42A45" w:rsidP="00BB63DF">
            <w:pPr>
              <w:tabs>
                <w:tab w:val="left" w:pos="709"/>
              </w:tabs>
              <w:rPr>
                <w:sz w:val="18"/>
              </w:rPr>
            </w:pPr>
            <w:r>
              <w:rPr>
                <w:sz w:val="18"/>
              </w:rPr>
              <w:t xml:space="preserve">Kultura                  les </w:t>
            </w:r>
          </w:p>
        </w:tc>
      </w:tr>
      <w:tr w:rsidR="00E42A45" w14:paraId="1FB80503" w14:textId="77777777" w:rsidTr="00BB63DF">
        <w:tc>
          <w:tcPr>
            <w:tcW w:w="7072" w:type="dxa"/>
            <w:shd w:val="clear" w:color="auto" w:fill="FFFFFF"/>
          </w:tcPr>
          <w:p w14:paraId="1F2B2BA4" w14:textId="77777777" w:rsidR="00E42A45" w:rsidRDefault="00E42A45" w:rsidP="00BB63DF">
            <w:pPr>
              <w:tabs>
                <w:tab w:val="left" w:pos="709"/>
              </w:tabs>
              <w:rPr>
                <w:sz w:val="18"/>
              </w:rPr>
            </w:pPr>
            <w:r>
              <w:rPr>
                <w:sz w:val="18"/>
              </w:rPr>
              <w:t>Uživatel                                                    LČR  - LZ Děčín</w:t>
            </w:r>
          </w:p>
          <w:p w14:paraId="5635EC1F" w14:textId="77777777" w:rsidR="00E42A45" w:rsidRDefault="00E42A45" w:rsidP="00BB63DF">
            <w:pPr>
              <w:tabs>
                <w:tab w:val="left" w:pos="709"/>
              </w:tabs>
              <w:rPr>
                <w:sz w:val="18"/>
              </w:rPr>
            </w:pPr>
          </w:p>
        </w:tc>
        <w:tc>
          <w:tcPr>
            <w:tcW w:w="7072" w:type="dxa"/>
            <w:shd w:val="clear" w:color="auto" w:fill="FFFFFF"/>
          </w:tcPr>
          <w:p w14:paraId="6DB04E48" w14:textId="77777777" w:rsidR="00E42A45" w:rsidRDefault="00E42A45" w:rsidP="00BB63DF">
            <w:pPr>
              <w:tabs>
                <w:tab w:val="left" w:pos="709"/>
              </w:tabs>
              <w:rPr>
                <w:sz w:val="18"/>
              </w:rPr>
            </w:pPr>
            <w:r>
              <w:rPr>
                <w:sz w:val="18"/>
              </w:rPr>
              <w:t>Mapovatel Jebavý , 1996</w:t>
            </w:r>
          </w:p>
        </w:tc>
      </w:tr>
      <w:tr w:rsidR="00E42A45" w14:paraId="72A03751" w14:textId="77777777" w:rsidTr="00BB63DF">
        <w:tc>
          <w:tcPr>
            <w:tcW w:w="14144" w:type="dxa"/>
            <w:gridSpan w:val="2"/>
            <w:shd w:val="clear" w:color="auto" w:fill="FFFFFF"/>
          </w:tcPr>
          <w:p w14:paraId="71A50A72" w14:textId="77777777" w:rsidR="00E42A45" w:rsidRDefault="00E42A45" w:rsidP="00BB63DF">
            <w:pPr>
              <w:tabs>
                <w:tab w:val="left" w:pos="709"/>
              </w:tabs>
            </w:pPr>
            <w:r>
              <w:rPr>
                <w:b/>
                <w:sz w:val="18"/>
              </w:rPr>
              <w:t>Kategorie ochrany, rok vyhlášení</w:t>
            </w:r>
          </w:p>
          <w:p w14:paraId="638EA6C1" w14:textId="77777777" w:rsidR="00E42A45" w:rsidRDefault="00E42A45" w:rsidP="00BB63DF">
            <w:pPr>
              <w:tabs>
                <w:tab w:val="left" w:pos="709"/>
              </w:tabs>
              <w:rPr>
                <w:b/>
                <w:sz w:val="20"/>
              </w:rPr>
            </w:pPr>
            <w:r>
              <w:t xml:space="preserve">                                                                                      </w:t>
            </w:r>
            <w:r>
              <w:rPr>
                <w:b/>
                <w:sz w:val="20"/>
              </w:rPr>
              <w:t>CHKO Labské Pískovce - III. zóna</w:t>
            </w:r>
          </w:p>
        </w:tc>
      </w:tr>
    </w:tbl>
    <w:p w14:paraId="07770C46" w14:textId="77777777" w:rsidR="00E42A45" w:rsidRDefault="00E42A45" w:rsidP="00CA23D0">
      <w:pPr>
        <w:jc w:val="both"/>
        <w:rPr>
          <w:rFonts w:ascii="Arial" w:hAnsi="Arial" w:cs="Arial"/>
          <w:sz w:val="22"/>
        </w:rPr>
      </w:pPr>
    </w:p>
    <w:p w14:paraId="7D1E97FE" w14:textId="77777777" w:rsidR="00E42A45" w:rsidRDefault="00E42A45" w:rsidP="00CA23D0">
      <w:pPr>
        <w:jc w:val="both"/>
        <w:rPr>
          <w:rFonts w:ascii="Arial" w:hAnsi="Arial" w:cs="Arial"/>
          <w:sz w:val="22"/>
        </w:rPr>
      </w:pPr>
    </w:p>
    <w:p w14:paraId="19B9DED1" w14:textId="77777777" w:rsidR="00E42A45" w:rsidRDefault="00E42A45" w:rsidP="00CA23D0">
      <w:pPr>
        <w:jc w:val="both"/>
        <w:rPr>
          <w:rFonts w:ascii="Arial" w:hAnsi="Arial" w:cs="Arial"/>
          <w:sz w:val="22"/>
        </w:rPr>
      </w:pPr>
    </w:p>
    <w:p w14:paraId="0AA5AF00" w14:textId="77777777" w:rsidR="00E42A45" w:rsidRDefault="00E42A45" w:rsidP="00CA23D0">
      <w:pPr>
        <w:jc w:val="both"/>
        <w:rPr>
          <w:rFonts w:ascii="Arial" w:hAnsi="Arial" w:cs="Arial"/>
          <w:sz w:val="22"/>
        </w:rPr>
      </w:pPr>
    </w:p>
    <w:p w14:paraId="113759E3" w14:textId="77777777" w:rsidR="00E42A45" w:rsidRDefault="00E42A45" w:rsidP="00CA23D0">
      <w:pPr>
        <w:jc w:val="both"/>
        <w:rPr>
          <w:rFonts w:ascii="Arial" w:hAnsi="Arial" w:cs="Arial"/>
          <w:sz w:val="22"/>
        </w:rPr>
      </w:pPr>
    </w:p>
    <w:p w14:paraId="13800680" w14:textId="77777777" w:rsidR="00E42A45" w:rsidRDefault="00E42A45" w:rsidP="00CA23D0">
      <w:pPr>
        <w:jc w:val="both"/>
        <w:rPr>
          <w:rFonts w:ascii="Arial" w:hAnsi="Arial" w:cs="Arial"/>
          <w:sz w:val="22"/>
        </w:rPr>
      </w:pPr>
    </w:p>
    <w:tbl>
      <w:tblPr>
        <w:tblW w:w="14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72"/>
        <w:gridCol w:w="7072"/>
      </w:tblGrid>
      <w:tr w:rsidR="00E42A45" w14:paraId="1EDC7FCE" w14:textId="77777777" w:rsidTr="00BB63DF">
        <w:tc>
          <w:tcPr>
            <w:tcW w:w="7072" w:type="dxa"/>
            <w:shd w:val="clear" w:color="auto" w:fill="FFFFFF"/>
          </w:tcPr>
          <w:p w14:paraId="31861659" w14:textId="77777777" w:rsidR="00E42A45" w:rsidRDefault="00E42A45" w:rsidP="00BB63DF">
            <w:pPr>
              <w:tabs>
                <w:tab w:val="left" w:pos="709"/>
              </w:tabs>
              <w:rPr>
                <w:b/>
                <w:sz w:val="18"/>
              </w:rPr>
            </w:pPr>
            <w:r>
              <w:rPr>
                <w:b/>
                <w:sz w:val="18"/>
              </w:rPr>
              <w:lastRenderedPageBreak/>
              <w:t>Pořadové číslo</w:t>
            </w:r>
          </w:p>
          <w:p w14:paraId="00141081" w14:textId="77777777" w:rsidR="00E42A45" w:rsidRDefault="00E42A45" w:rsidP="00BB63DF">
            <w:pPr>
              <w:tabs>
                <w:tab w:val="left" w:pos="709"/>
              </w:tabs>
              <w:rPr>
                <w:b/>
                <w:sz w:val="36"/>
              </w:rPr>
            </w:pPr>
            <w:r>
              <w:rPr>
                <w:b/>
                <w:sz w:val="18"/>
              </w:rPr>
              <w:t xml:space="preserve">                                   </w:t>
            </w:r>
            <w:r>
              <w:rPr>
                <w:b/>
              </w:rPr>
              <w:t xml:space="preserve">                                           </w:t>
            </w:r>
            <w:r>
              <w:rPr>
                <w:b/>
                <w:sz w:val="36"/>
              </w:rPr>
              <w:t>39</w:t>
            </w:r>
          </w:p>
        </w:tc>
        <w:tc>
          <w:tcPr>
            <w:tcW w:w="7072" w:type="dxa"/>
            <w:shd w:val="clear" w:color="auto" w:fill="FFFFFF"/>
          </w:tcPr>
          <w:p w14:paraId="1CC9D2DF" w14:textId="77777777" w:rsidR="00E42A45" w:rsidRDefault="00E42A45" w:rsidP="00BB63DF">
            <w:pPr>
              <w:tabs>
                <w:tab w:val="left" w:pos="709"/>
              </w:tabs>
              <w:rPr>
                <w:sz w:val="18"/>
              </w:rPr>
            </w:pPr>
            <w:r>
              <w:rPr>
                <w:sz w:val="18"/>
              </w:rPr>
              <w:t>Katastrální území</w:t>
            </w:r>
          </w:p>
          <w:p w14:paraId="05AB7CB9" w14:textId="77777777" w:rsidR="00E42A45" w:rsidRPr="002D7515" w:rsidRDefault="00E42A45" w:rsidP="00BB63DF">
            <w:pPr>
              <w:pStyle w:val="Nadpis6"/>
            </w:pPr>
            <w:r w:rsidRPr="002D7515">
              <w:t xml:space="preserve">                                           Březiny</w:t>
            </w:r>
          </w:p>
        </w:tc>
      </w:tr>
      <w:tr w:rsidR="00E42A45" w14:paraId="2BFD0721" w14:textId="77777777" w:rsidTr="00BB63DF">
        <w:trPr>
          <w:cantSplit/>
        </w:trPr>
        <w:tc>
          <w:tcPr>
            <w:tcW w:w="7072" w:type="dxa"/>
            <w:shd w:val="clear" w:color="auto" w:fill="FFFFFF"/>
          </w:tcPr>
          <w:p w14:paraId="0C1FB6F7" w14:textId="77777777" w:rsidR="00E42A45" w:rsidRDefault="00E42A45" w:rsidP="00BB63DF">
            <w:pPr>
              <w:tabs>
                <w:tab w:val="left" w:pos="709"/>
              </w:tabs>
              <w:rPr>
                <w:b/>
                <w:sz w:val="18"/>
              </w:rPr>
            </w:pPr>
            <w:r>
              <w:rPr>
                <w:b/>
                <w:sz w:val="18"/>
              </w:rPr>
              <w:t>Název</w:t>
            </w:r>
          </w:p>
          <w:p w14:paraId="37BACCE4" w14:textId="77777777" w:rsidR="00E42A45" w:rsidRPr="002D7515" w:rsidRDefault="00E42A45" w:rsidP="00BB63DF">
            <w:pPr>
              <w:pStyle w:val="Nadpis6"/>
              <w:rPr>
                <w:caps/>
              </w:rPr>
            </w:pPr>
            <w:r w:rsidRPr="002D7515">
              <w:rPr>
                <w:caps/>
              </w:rPr>
              <w:t xml:space="preserve">                         severovýchodní svahy nad ploučnicí</w:t>
            </w:r>
          </w:p>
        </w:tc>
        <w:tc>
          <w:tcPr>
            <w:tcW w:w="7072" w:type="dxa"/>
            <w:shd w:val="clear" w:color="auto" w:fill="FFFFFF"/>
          </w:tcPr>
          <w:p w14:paraId="14531249" w14:textId="77777777" w:rsidR="00E42A45" w:rsidRDefault="00E42A45" w:rsidP="00BB63DF">
            <w:pPr>
              <w:tabs>
                <w:tab w:val="left" w:pos="709"/>
              </w:tabs>
              <w:rPr>
                <w:sz w:val="18"/>
              </w:rPr>
            </w:pPr>
            <w:r>
              <w:rPr>
                <w:sz w:val="18"/>
              </w:rPr>
              <w:t xml:space="preserve">Mapový list           </w:t>
            </w:r>
          </w:p>
          <w:p w14:paraId="51F12A9F" w14:textId="77777777" w:rsidR="00E42A45" w:rsidRDefault="00E42A45" w:rsidP="00BB63DF">
            <w:pPr>
              <w:tabs>
                <w:tab w:val="left" w:pos="709"/>
              </w:tabs>
              <w:rPr>
                <w:b/>
                <w:sz w:val="20"/>
              </w:rPr>
            </w:pPr>
            <w:r>
              <w:rPr>
                <w:b/>
                <w:sz w:val="18"/>
              </w:rPr>
              <w:t xml:space="preserve">                                                    </w:t>
            </w:r>
            <w:r>
              <w:rPr>
                <w:sz w:val="20"/>
              </w:rPr>
              <w:t>02-23-25</w:t>
            </w:r>
          </w:p>
        </w:tc>
      </w:tr>
      <w:tr w:rsidR="00E42A45" w14:paraId="1FC30B4B" w14:textId="77777777" w:rsidTr="00BB63DF">
        <w:trPr>
          <w:cantSplit/>
        </w:trPr>
        <w:tc>
          <w:tcPr>
            <w:tcW w:w="7072" w:type="dxa"/>
            <w:shd w:val="clear" w:color="auto" w:fill="FFFFFF"/>
          </w:tcPr>
          <w:p w14:paraId="25075003" w14:textId="77777777" w:rsidR="00E42A45" w:rsidRPr="002D7515" w:rsidRDefault="00E42A45" w:rsidP="00BB63DF">
            <w:pPr>
              <w:pStyle w:val="Nadpis7"/>
            </w:pPr>
            <w:r w:rsidRPr="002D7515">
              <w:t>EVKC - ekologicky významný krajinný prvek</w:t>
            </w:r>
          </w:p>
        </w:tc>
        <w:tc>
          <w:tcPr>
            <w:tcW w:w="7072" w:type="dxa"/>
            <w:shd w:val="clear" w:color="auto" w:fill="FFFFFF"/>
          </w:tcPr>
          <w:p w14:paraId="24954075" w14:textId="77777777" w:rsidR="00E42A45" w:rsidRPr="002D7515" w:rsidRDefault="00E42A45" w:rsidP="00BB63DF">
            <w:pPr>
              <w:pStyle w:val="Nadpis8"/>
              <w:rPr>
                <w:b/>
              </w:rPr>
            </w:pPr>
            <w:r w:rsidRPr="002D7515">
              <w:rPr>
                <w:b/>
              </w:rPr>
              <w:t>Biogeografický význam</w:t>
            </w:r>
          </w:p>
          <w:p w14:paraId="0CD69948" w14:textId="77777777" w:rsidR="00E42A45" w:rsidRDefault="00E42A45" w:rsidP="00BB63DF">
            <w:pPr>
              <w:tabs>
                <w:tab w:val="left" w:pos="709"/>
              </w:tabs>
            </w:pPr>
            <w:r>
              <w:t xml:space="preserve">                                           </w:t>
            </w:r>
            <w:r>
              <w:rPr>
                <w:b/>
              </w:rPr>
              <w:t>lokální biocentrum</w:t>
            </w:r>
          </w:p>
        </w:tc>
      </w:tr>
      <w:tr w:rsidR="00E42A45" w14:paraId="0BDA74E6" w14:textId="77777777" w:rsidTr="00BB63DF">
        <w:tc>
          <w:tcPr>
            <w:tcW w:w="7072" w:type="dxa"/>
            <w:shd w:val="clear" w:color="auto" w:fill="FFFFFF"/>
          </w:tcPr>
          <w:p w14:paraId="1894EF33" w14:textId="77777777" w:rsidR="00E42A45" w:rsidRDefault="00E42A45" w:rsidP="00BB63DF">
            <w:pPr>
              <w:tabs>
                <w:tab w:val="left" w:pos="709"/>
              </w:tabs>
            </w:pPr>
            <w:r>
              <w:rPr>
                <w:b/>
                <w:sz w:val="18"/>
              </w:rPr>
              <w:t xml:space="preserve">Geobiocenologická typizace     </w:t>
            </w:r>
            <w:r>
              <w:rPr>
                <w:b/>
              </w:rPr>
              <w:t>2BD3</w:t>
            </w:r>
          </w:p>
        </w:tc>
        <w:tc>
          <w:tcPr>
            <w:tcW w:w="7072" w:type="dxa"/>
            <w:shd w:val="clear" w:color="auto" w:fill="FFFFFF"/>
          </w:tcPr>
          <w:p w14:paraId="24A93EC9" w14:textId="77777777" w:rsidR="00E42A45" w:rsidRDefault="00E42A45" w:rsidP="00BB63DF">
            <w:pPr>
              <w:tabs>
                <w:tab w:val="left" w:pos="709"/>
              </w:tabs>
              <w:rPr>
                <w:sz w:val="18"/>
              </w:rPr>
            </w:pPr>
            <w:r>
              <w:rPr>
                <w:sz w:val="18"/>
              </w:rPr>
              <w:t xml:space="preserve">Rozloha </w:t>
            </w:r>
            <w:r>
              <w:rPr>
                <w:b/>
                <w:sz w:val="20"/>
              </w:rPr>
              <w:t>:                                 5,0 ha</w:t>
            </w:r>
          </w:p>
        </w:tc>
      </w:tr>
      <w:tr w:rsidR="00E42A45" w14:paraId="55F555F0" w14:textId="77777777" w:rsidTr="00BB63DF">
        <w:tc>
          <w:tcPr>
            <w:tcW w:w="14144" w:type="dxa"/>
            <w:gridSpan w:val="2"/>
            <w:shd w:val="clear" w:color="auto" w:fill="FFFFFF"/>
          </w:tcPr>
          <w:p w14:paraId="56C340CB" w14:textId="77777777" w:rsidR="00E42A45" w:rsidRPr="004023F7" w:rsidRDefault="00E42A45" w:rsidP="00BB63DF">
            <w:pPr>
              <w:tabs>
                <w:tab w:val="left" w:pos="709"/>
              </w:tabs>
              <w:rPr>
                <w:sz w:val="20"/>
              </w:rPr>
            </w:pPr>
            <w:r>
              <w:rPr>
                <w:b/>
                <w:sz w:val="20"/>
              </w:rPr>
              <w:t>Charakteristika  ekotopu a bioty :</w:t>
            </w:r>
            <w:r>
              <w:rPr>
                <w:sz w:val="20"/>
              </w:rPr>
              <w:t xml:space="preserve">  </w:t>
            </w:r>
            <w:r>
              <w:t xml:space="preserve">  </w:t>
            </w:r>
          </w:p>
          <w:p w14:paraId="1B999027" w14:textId="77777777" w:rsidR="00E42A45" w:rsidRDefault="00E42A45" w:rsidP="00BB63DF">
            <w:pPr>
              <w:tabs>
                <w:tab w:val="left" w:pos="709"/>
              </w:tabs>
              <w:rPr>
                <w:sz w:val="20"/>
              </w:rPr>
            </w:pPr>
            <w:r>
              <w:rPr>
                <w:sz w:val="20"/>
              </w:rPr>
              <w:t xml:space="preserve">Lokální biocentrum umístěné na lesem porostlých svazích SV orientace nad řekou Ploučnicí. Je tvořeno listnatým smíšeným bukovým porostem </w:t>
            </w:r>
          </w:p>
          <w:p w14:paraId="6D3BEAED" w14:textId="77777777" w:rsidR="00E42A45" w:rsidRDefault="00E42A45" w:rsidP="00BB63DF">
            <w:pPr>
              <w:tabs>
                <w:tab w:val="left" w:pos="709"/>
              </w:tabs>
              <w:rPr>
                <w:sz w:val="20"/>
              </w:rPr>
            </w:pPr>
            <w:r>
              <w:rPr>
                <w:sz w:val="20"/>
              </w:rPr>
              <w:t>s příměsí dalších dřevin, v severní části SM porostem, poblíž řeky ve spodních partiích porostu zastoupen i JL a OL.</w:t>
            </w:r>
          </w:p>
          <w:p w14:paraId="2EB0803B" w14:textId="77777777" w:rsidR="00E42A45" w:rsidRDefault="00E42A45" w:rsidP="00BB63DF">
            <w:pPr>
              <w:tabs>
                <w:tab w:val="left" w:pos="709"/>
              </w:tabs>
              <w:rPr>
                <w:sz w:val="20"/>
              </w:rPr>
            </w:pPr>
          </w:p>
          <w:p w14:paraId="44343445" w14:textId="77777777" w:rsidR="00E42A45" w:rsidRDefault="00E42A45" w:rsidP="00BB63DF">
            <w:pPr>
              <w:tabs>
                <w:tab w:val="left" w:pos="709"/>
              </w:tabs>
              <w:rPr>
                <w:sz w:val="20"/>
              </w:rPr>
            </w:pPr>
            <w:r>
              <w:rPr>
                <w:sz w:val="20"/>
              </w:rPr>
              <w:t>SES = 5</w:t>
            </w:r>
          </w:p>
          <w:p w14:paraId="21C616EE" w14:textId="77777777" w:rsidR="00E42A45" w:rsidRDefault="00E42A45" w:rsidP="00BB63DF">
            <w:pPr>
              <w:tabs>
                <w:tab w:val="left" w:pos="709"/>
              </w:tabs>
              <w:rPr>
                <w:sz w:val="20"/>
              </w:rPr>
            </w:pPr>
            <w:r>
              <w:rPr>
                <w:sz w:val="20"/>
              </w:rPr>
              <w:t>Původní společenstva tvořily bohaté bkDB. Biocentrum je součástí NPP Březinské tisy. Lesní společenstva obsahují skupiny s porosty tisu společně s LPM.</w:t>
            </w:r>
          </w:p>
          <w:p w14:paraId="476A7676" w14:textId="77777777" w:rsidR="00E42A45" w:rsidRDefault="00E42A45" w:rsidP="00BB63DF">
            <w:pPr>
              <w:tabs>
                <w:tab w:val="left" w:pos="709"/>
              </w:tabs>
              <w:rPr>
                <w:sz w:val="20"/>
              </w:rPr>
            </w:pPr>
            <w:r>
              <w:rPr>
                <w:sz w:val="20"/>
              </w:rPr>
              <w:t xml:space="preserve">  </w:t>
            </w:r>
          </w:p>
          <w:p w14:paraId="5A4F6A14" w14:textId="77777777" w:rsidR="00E42A45" w:rsidRDefault="00E42A45" w:rsidP="00BB63DF">
            <w:pPr>
              <w:tabs>
                <w:tab w:val="left" w:pos="709"/>
              </w:tabs>
              <w:rPr>
                <w:sz w:val="20"/>
              </w:rPr>
            </w:pPr>
            <w:r>
              <w:rPr>
                <w:sz w:val="20"/>
              </w:rPr>
              <w:t>Bot. :   E3  tvoří LPM, HB, DBL, DBZ, JVM, JVK, SM, OL, JS, BK, Taxus baccata</w:t>
            </w:r>
          </w:p>
          <w:p w14:paraId="33A5599B" w14:textId="77777777" w:rsidR="00E42A45" w:rsidRDefault="00E42A45" w:rsidP="00BB63DF">
            <w:pPr>
              <w:tabs>
                <w:tab w:val="left" w:pos="709"/>
              </w:tabs>
              <w:rPr>
                <w:sz w:val="20"/>
              </w:rPr>
            </w:pPr>
            <w:r>
              <w:rPr>
                <w:sz w:val="20"/>
              </w:rPr>
              <w:t xml:space="preserve">           E2   tvořeno BČ, VJ v ekotonu</w:t>
            </w:r>
          </w:p>
          <w:p w14:paraId="696B6F11" w14:textId="77777777" w:rsidR="00E42A45" w:rsidRDefault="00E42A45" w:rsidP="00BB63DF">
            <w:pPr>
              <w:tabs>
                <w:tab w:val="left" w:pos="709"/>
              </w:tabs>
              <w:rPr>
                <w:i/>
                <w:sz w:val="20"/>
              </w:rPr>
            </w:pPr>
            <w:r>
              <w:rPr>
                <w:sz w:val="20"/>
              </w:rPr>
              <w:t xml:space="preserve">           E1  zastoupeno druhy </w:t>
            </w:r>
            <w:r>
              <w:rPr>
                <w:i/>
                <w:sz w:val="20"/>
              </w:rPr>
              <w:t>Hepatica nobilis</w:t>
            </w:r>
            <w:r>
              <w:rPr>
                <w:sz w:val="20"/>
              </w:rPr>
              <w:t xml:space="preserve">, </w:t>
            </w:r>
            <w:r>
              <w:rPr>
                <w:i/>
                <w:sz w:val="20"/>
              </w:rPr>
              <w:t>Dryopteris filix  - mas, Oxalis acetosella, Asperula odorata,  Vuiola silvatica, Primula veris,</w:t>
            </w:r>
          </w:p>
          <w:p w14:paraId="5990BE42" w14:textId="77777777" w:rsidR="00E42A45" w:rsidRPr="00E951C5" w:rsidRDefault="00E42A45" w:rsidP="00BB63DF">
            <w:pPr>
              <w:tabs>
                <w:tab w:val="left" w:pos="709"/>
              </w:tabs>
              <w:rPr>
                <w:i/>
                <w:sz w:val="20"/>
              </w:rPr>
            </w:pPr>
            <w:r>
              <w:rPr>
                <w:i/>
                <w:sz w:val="20"/>
              </w:rPr>
              <w:t xml:space="preserve">                                              Anemone nemorosa, Asarum europaeum, </w:t>
            </w:r>
          </w:p>
          <w:p w14:paraId="20DFD713" w14:textId="77777777" w:rsidR="00E42A45" w:rsidRDefault="00E42A45" w:rsidP="00BB63DF">
            <w:pPr>
              <w:tabs>
                <w:tab w:val="left" w:pos="709"/>
              </w:tabs>
              <w:rPr>
                <w:sz w:val="20"/>
              </w:rPr>
            </w:pPr>
          </w:p>
          <w:p w14:paraId="464AB95C" w14:textId="77777777" w:rsidR="00E42A45" w:rsidRDefault="00E42A45" w:rsidP="00BB63DF">
            <w:pPr>
              <w:tabs>
                <w:tab w:val="left" w:pos="709"/>
              </w:tabs>
              <w:rPr>
                <w:b/>
              </w:rPr>
            </w:pPr>
            <w:r>
              <w:rPr>
                <w:sz w:val="20"/>
              </w:rPr>
              <w:t>Geol. :   Hnědé půdy mezotrofní, hlinito-písčité se skeletem, balvany</w:t>
            </w:r>
          </w:p>
          <w:p w14:paraId="3BB5E6DF" w14:textId="77777777" w:rsidR="00E42A45" w:rsidRDefault="00E42A45" w:rsidP="00BB63DF"/>
          <w:p w14:paraId="4C66DACB" w14:textId="77777777" w:rsidR="00E42A45" w:rsidRPr="000A285F" w:rsidRDefault="00E42A45" w:rsidP="00BB63DF">
            <w:pPr>
              <w:tabs>
                <w:tab w:val="left" w:pos="709"/>
              </w:tabs>
              <w:rPr>
                <w:b/>
                <w:sz w:val="20"/>
              </w:rPr>
            </w:pPr>
            <w:r w:rsidRPr="000A285F">
              <w:rPr>
                <w:b/>
                <w:sz w:val="20"/>
              </w:rPr>
              <w:t xml:space="preserve">Návrh opatření :       </w:t>
            </w:r>
          </w:p>
          <w:p w14:paraId="20E47929" w14:textId="77777777" w:rsidR="00E42A45" w:rsidRPr="000A285F" w:rsidRDefault="00E42A45" w:rsidP="00BB63DF">
            <w:pPr>
              <w:tabs>
                <w:tab w:val="left" w:pos="709"/>
              </w:tabs>
              <w:rPr>
                <w:b/>
                <w:sz w:val="20"/>
              </w:rPr>
            </w:pPr>
            <w:r w:rsidRPr="000A285F">
              <w:rPr>
                <w:b/>
                <w:sz w:val="20"/>
              </w:rPr>
              <w:t>Ochrana stávajících porostů, nové výsadby provádět v poměru přirozené skladby dřevin.</w:t>
            </w:r>
          </w:p>
          <w:p w14:paraId="7808E472" w14:textId="77777777" w:rsidR="00E42A45" w:rsidRDefault="00E42A45" w:rsidP="00BB63DF">
            <w:pPr>
              <w:tabs>
                <w:tab w:val="left" w:pos="709"/>
              </w:tabs>
              <w:rPr>
                <w:b/>
                <w:sz w:val="20"/>
              </w:rPr>
            </w:pPr>
            <w:r>
              <w:rPr>
                <w:b/>
                <w:sz w:val="20"/>
              </w:rPr>
              <w:t>Zachování světlostních podmínek ve společenstvech lípa – tis.</w:t>
            </w:r>
          </w:p>
          <w:p w14:paraId="0830DF5B" w14:textId="77777777" w:rsidR="00E42A45" w:rsidRPr="004023F7" w:rsidRDefault="00E42A45" w:rsidP="00BB63DF">
            <w:pPr>
              <w:tabs>
                <w:tab w:val="left" w:pos="709"/>
              </w:tabs>
              <w:rPr>
                <w:b/>
                <w:sz w:val="20"/>
              </w:rPr>
            </w:pPr>
            <w:r>
              <w:rPr>
                <w:b/>
                <w:sz w:val="20"/>
              </w:rPr>
              <w:t>Přirozená skladba v souborech lesních typů : 2V – DB6, BK3, HB1, LP+ , 3V – BK6, DB3, HB1, JD</w:t>
            </w:r>
            <w:r>
              <w:t xml:space="preserve">                     </w:t>
            </w:r>
          </w:p>
        </w:tc>
      </w:tr>
      <w:tr w:rsidR="00E42A45" w14:paraId="4B86F98B" w14:textId="77777777" w:rsidTr="00BB63DF">
        <w:tc>
          <w:tcPr>
            <w:tcW w:w="7072" w:type="dxa"/>
            <w:shd w:val="clear" w:color="auto" w:fill="FFFFFF"/>
          </w:tcPr>
          <w:p w14:paraId="3FEEB4A6" w14:textId="77777777" w:rsidR="00E42A45" w:rsidRDefault="00E42A45" w:rsidP="00BB63DF">
            <w:pPr>
              <w:tabs>
                <w:tab w:val="left" w:pos="709"/>
              </w:tabs>
              <w:rPr>
                <w:sz w:val="18"/>
              </w:rPr>
            </w:pPr>
            <w:r>
              <w:rPr>
                <w:sz w:val="18"/>
              </w:rPr>
              <w:t>Odd., por., sk.   :                                       608/ B / 6y, 6</w:t>
            </w:r>
          </w:p>
        </w:tc>
        <w:tc>
          <w:tcPr>
            <w:tcW w:w="7072" w:type="dxa"/>
            <w:shd w:val="clear" w:color="auto" w:fill="FFFFFF"/>
          </w:tcPr>
          <w:p w14:paraId="439523B0" w14:textId="77777777" w:rsidR="00E42A45" w:rsidRDefault="00E42A45" w:rsidP="00BB63DF">
            <w:pPr>
              <w:tabs>
                <w:tab w:val="left" w:pos="709"/>
              </w:tabs>
              <w:rPr>
                <w:sz w:val="18"/>
              </w:rPr>
            </w:pPr>
            <w:r>
              <w:rPr>
                <w:sz w:val="18"/>
              </w:rPr>
              <w:t xml:space="preserve">Kultura                  les </w:t>
            </w:r>
          </w:p>
        </w:tc>
      </w:tr>
      <w:tr w:rsidR="00E42A45" w14:paraId="40416056" w14:textId="77777777" w:rsidTr="00BB63DF">
        <w:tc>
          <w:tcPr>
            <w:tcW w:w="7072" w:type="dxa"/>
            <w:shd w:val="clear" w:color="auto" w:fill="FFFFFF"/>
          </w:tcPr>
          <w:p w14:paraId="142024D6" w14:textId="77777777" w:rsidR="00E42A45" w:rsidRDefault="00E42A45" w:rsidP="00BB63DF">
            <w:pPr>
              <w:tabs>
                <w:tab w:val="left" w:pos="709"/>
              </w:tabs>
              <w:rPr>
                <w:sz w:val="18"/>
              </w:rPr>
            </w:pPr>
            <w:r>
              <w:rPr>
                <w:sz w:val="18"/>
              </w:rPr>
              <w:t>Uživatel                                                    LČR  - LZ Děčín</w:t>
            </w:r>
          </w:p>
          <w:p w14:paraId="3031E954" w14:textId="77777777" w:rsidR="00E42A45" w:rsidRDefault="00E42A45" w:rsidP="00BB63DF">
            <w:pPr>
              <w:tabs>
                <w:tab w:val="left" w:pos="709"/>
              </w:tabs>
              <w:rPr>
                <w:sz w:val="18"/>
              </w:rPr>
            </w:pPr>
          </w:p>
        </w:tc>
        <w:tc>
          <w:tcPr>
            <w:tcW w:w="7072" w:type="dxa"/>
            <w:shd w:val="clear" w:color="auto" w:fill="FFFFFF"/>
          </w:tcPr>
          <w:p w14:paraId="05D10F37" w14:textId="77777777" w:rsidR="00E42A45" w:rsidRDefault="00E42A45" w:rsidP="00BB63DF">
            <w:pPr>
              <w:tabs>
                <w:tab w:val="left" w:pos="709"/>
              </w:tabs>
              <w:rPr>
                <w:sz w:val="18"/>
              </w:rPr>
            </w:pPr>
            <w:r>
              <w:rPr>
                <w:sz w:val="18"/>
              </w:rPr>
              <w:t>Mapovatel Jebavý , 1996</w:t>
            </w:r>
          </w:p>
        </w:tc>
      </w:tr>
      <w:tr w:rsidR="00E42A45" w14:paraId="40F95EBC" w14:textId="77777777" w:rsidTr="00BB63DF">
        <w:tc>
          <w:tcPr>
            <w:tcW w:w="14144" w:type="dxa"/>
            <w:gridSpan w:val="2"/>
            <w:shd w:val="clear" w:color="auto" w:fill="FFFFFF"/>
          </w:tcPr>
          <w:p w14:paraId="2719954A" w14:textId="77777777" w:rsidR="00E42A45" w:rsidRDefault="00E42A45" w:rsidP="00BB63DF">
            <w:pPr>
              <w:tabs>
                <w:tab w:val="left" w:pos="709"/>
              </w:tabs>
            </w:pPr>
            <w:r>
              <w:rPr>
                <w:b/>
                <w:sz w:val="18"/>
              </w:rPr>
              <w:t>Kategorie ochrany, rok vyhlášení</w:t>
            </w:r>
          </w:p>
          <w:p w14:paraId="1B810DC1" w14:textId="77777777" w:rsidR="00E42A45" w:rsidRDefault="00E42A45" w:rsidP="00BB63DF">
            <w:pPr>
              <w:tabs>
                <w:tab w:val="left" w:pos="709"/>
              </w:tabs>
              <w:rPr>
                <w:b/>
                <w:sz w:val="20"/>
              </w:rPr>
            </w:pPr>
            <w:r>
              <w:t xml:space="preserve">                                                                                      </w:t>
            </w:r>
            <w:r>
              <w:rPr>
                <w:b/>
                <w:sz w:val="20"/>
              </w:rPr>
              <w:t>CHKO Labské Pískovce - II. zóna</w:t>
            </w:r>
          </w:p>
        </w:tc>
      </w:tr>
    </w:tbl>
    <w:p w14:paraId="39B41FEC" w14:textId="77777777" w:rsidR="00E42A45" w:rsidRDefault="00E42A45" w:rsidP="00CA23D0">
      <w:pPr>
        <w:jc w:val="both"/>
        <w:rPr>
          <w:rFonts w:ascii="Arial" w:hAnsi="Arial" w:cs="Arial"/>
          <w:sz w:val="22"/>
        </w:rPr>
      </w:pPr>
    </w:p>
    <w:p w14:paraId="4E398177" w14:textId="77777777" w:rsidR="00E42A45" w:rsidRDefault="00E42A45" w:rsidP="00CA23D0">
      <w:pPr>
        <w:jc w:val="both"/>
        <w:rPr>
          <w:rFonts w:ascii="Arial" w:hAnsi="Arial" w:cs="Arial"/>
          <w:sz w:val="22"/>
        </w:rPr>
      </w:pPr>
    </w:p>
    <w:p w14:paraId="0F289F2E" w14:textId="77777777" w:rsidR="00E42A45" w:rsidRDefault="00E42A45" w:rsidP="00CA23D0">
      <w:pPr>
        <w:jc w:val="both"/>
        <w:rPr>
          <w:rFonts w:ascii="Arial" w:hAnsi="Arial" w:cs="Arial"/>
          <w:sz w:val="22"/>
        </w:rPr>
      </w:pPr>
    </w:p>
    <w:p w14:paraId="246F5F3C" w14:textId="77777777" w:rsidR="00E42A45" w:rsidRDefault="00E42A45" w:rsidP="00CA23D0">
      <w:pPr>
        <w:jc w:val="both"/>
        <w:rPr>
          <w:rFonts w:ascii="Arial" w:hAnsi="Arial" w:cs="Arial"/>
          <w:sz w:val="22"/>
        </w:rPr>
      </w:pPr>
    </w:p>
    <w:p w14:paraId="5FA54B20" w14:textId="77777777" w:rsidR="00E42A45" w:rsidRDefault="00E42A45" w:rsidP="00CA23D0">
      <w:pPr>
        <w:jc w:val="both"/>
        <w:rPr>
          <w:rFonts w:ascii="Arial" w:hAnsi="Arial" w:cs="Arial"/>
          <w:sz w:val="22"/>
        </w:rPr>
        <w:sectPr w:rsidR="00E42A45" w:rsidSect="00D75F38">
          <w:pgSz w:w="16838" w:h="11906" w:orient="landscape"/>
          <w:pgMar w:top="1417" w:right="1417" w:bottom="1417" w:left="1417" w:header="708" w:footer="708" w:gutter="0"/>
          <w:pgNumType w:start="327"/>
          <w:cols w:space="708"/>
          <w:docGrid w:linePitch="360"/>
        </w:sectPr>
      </w:pPr>
    </w:p>
    <w:p w14:paraId="633FEBA8" w14:textId="77777777" w:rsidR="00C51217" w:rsidRPr="006E1907" w:rsidRDefault="00C51217" w:rsidP="00C51217">
      <w:pPr>
        <w:tabs>
          <w:tab w:val="decimal" w:pos="72"/>
          <w:tab w:val="decimal" w:pos="144"/>
          <w:tab w:val="right" w:pos="2679"/>
        </w:tabs>
        <w:spacing w:before="120" w:line="288" w:lineRule="auto"/>
        <w:ind w:left="72"/>
        <w:jc w:val="both"/>
        <w:rPr>
          <w:rFonts w:ascii="Arial" w:hAnsi="Arial" w:cs="Arial"/>
          <w:b/>
          <w:color w:val="00B050"/>
          <w:spacing w:val="3"/>
        </w:rPr>
      </w:pPr>
      <w:r w:rsidRPr="006E1907">
        <w:rPr>
          <w:rFonts w:ascii="Arial" w:hAnsi="Arial" w:cs="Arial"/>
          <w:b/>
          <w:color w:val="00B050"/>
          <w:spacing w:val="3"/>
        </w:rPr>
        <w:lastRenderedPageBreak/>
        <w:t>(Z1) NÁVRH ÚZEMNÍHO SYSTÉMU EKOLOGICKÉ STABILITY</w:t>
      </w:r>
    </w:p>
    <w:p w14:paraId="26406E7D" w14:textId="77777777" w:rsidR="00C51217" w:rsidRPr="00D80B5E" w:rsidRDefault="00C51217" w:rsidP="00C51217">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D80B5E">
        <w:rPr>
          <w:rFonts w:ascii="Arial" w:hAnsi="Arial" w:cs="Arial"/>
          <w:b/>
          <w:color w:val="00B050"/>
          <w:spacing w:val="3"/>
          <w:sz w:val="22"/>
          <w:szCs w:val="22"/>
        </w:rPr>
        <w:t>KONCEPCE ŘEŠENÍ ÚSES</w:t>
      </w:r>
    </w:p>
    <w:p w14:paraId="10DB7ED0" w14:textId="77777777" w:rsidR="00C51217" w:rsidRPr="00D80B5E" w:rsidRDefault="00C51217" w:rsidP="00C51217">
      <w:pPr>
        <w:spacing w:before="120" w:line="288" w:lineRule="auto"/>
        <w:ind w:left="74" w:firstLine="709"/>
        <w:jc w:val="both"/>
        <w:rPr>
          <w:rFonts w:ascii="Arial" w:hAnsi="Arial" w:cs="Arial"/>
          <w:color w:val="00B050"/>
          <w:spacing w:val="3"/>
          <w:sz w:val="22"/>
          <w:szCs w:val="22"/>
        </w:rPr>
      </w:pPr>
      <w:r w:rsidRPr="00D80B5E">
        <w:rPr>
          <w:rFonts w:ascii="Arial" w:hAnsi="Arial" w:cs="Arial"/>
          <w:color w:val="00B050"/>
          <w:spacing w:val="3"/>
          <w:sz w:val="22"/>
          <w:szCs w:val="22"/>
        </w:rPr>
        <w:t>Koncepce ÚSES zpracovaná a schválená v ÚPn M Děčín je beze změny. Nově navržené lokality nejsou v rozporu s prvky USES. Lokality 1, 2, 4, 5, 7, 8, 8, 9, 10 se nacházejí v</w:t>
      </w:r>
      <w:r>
        <w:rPr>
          <w:rFonts w:ascii="Arial" w:hAnsi="Arial" w:cs="Arial"/>
          <w:color w:val="00B050"/>
          <w:spacing w:val="3"/>
          <w:sz w:val="22"/>
          <w:szCs w:val="22"/>
        </w:rPr>
        <w:t> </w:t>
      </w:r>
      <w:r w:rsidRPr="00D80B5E">
        <w:rPr>
          <w:rFonts w:ascii="Arial" w:hAnsi="Arial" w:cs="Arial"/>
          <w:color w:val="00B050"/>
          <w:spacing w:val="3"/>
          <w:sz w:val="22"/>
          <w:szCs w:val="22"/>
        </w:rPr>
        <w:t>ochranném pásmu (2</w:t>
      </w:r>
      <w:r>
        <w:rPr>
          <w:rFonts w:ascii="Arial" w:hAnsi="Arial" w:cs="Arial"/>
          <w:color w:val="00B050"/>
          <w:spacing w:val="3"/>
          <w:sz w:val="22"/>
          <w:szCs w:val="22"/>
        </w:rPr>
        <w:t xml:space="preserve"> </w:t>
      </w:r>
      <w:r w:rsidRPr="00D80B5E">
        <w:rPr>
          <w:rFonts w:ascii="Arial" w:hAnsi="Arial" w:cs="Arial"/>
          <w:color w:val="00B050"/>
          <w:spacing w:val="3"/>
          <w:sz w:val="22"/>
          <w:szCs w:val="22"/>
        </w:rPr>
        <w:t>000 m) nadregionálního biokoridoru Labe K 8 - vodní.</w:t>
      </w:r>
    </w:p>
    <w:p w14:paraId="4F9CBD64" w14:textId="77777777" w:rsidR="00C51217" w:rsidRDefault="00C51217" w:rsidP="00C51217">
      <w:pPr>
        <w:tabs>
          <w:tab w:val="decimal" w:pos="72"/>
          <w:tab w:val="decimal" w:pos="144"/>
          <w:tab w:val="right" w:pos="2679"/>
        </w:tabs>
        <w:spacing w:before="120" w:line="288" w:lineRule="auto"/>
        <w:ind w:left="72"/>
        <w:jc w:val="both"/>
        <w:rPr>
          <w:color w:val="00B050"/>
          <w:spacing w:val="3"/>
          <w:sz w:val="22"/>
          <w:szCs w:val="22"/>
        </w:rPr>
      </w:pPr>
    </w:p>
    <w:p w14:paraId="4B1A7846" w14:textId="77777777" w:rsidR="00C51217" w:rsidRPr="006E1907" w:rsidRDefault="00C51217" w:rsidP="00C51217">
      <w:pPr>
        <w:spacing w:before="120" w:line="288" w:lineRule="auto"/>
        <w:jc w:val="both"/>
        <w:rPr>
          <w:rFonts w:ascii="Arial" w:hAnsi="Arial" w:cs="Arial"/>
          <w:b/>
          <w:color w:val="BF8F00"/>
        </w:rPr>
      </w:pPr>
      <w:r w:rsidRPr="006E1907">
        <w:rPr>
          <w:rFonts w:ascii="Arial" w:hAnsi="Arial" w:cs="Arial"/>
          <w:b/>
          <w:color w:val="BF8F00"/>
        </w:rPr>
        <w:t>(Z2) KONCEPCI USPOŘÁDÁNÍ KRAJINY, UZEMNÍ SYSTÉM EKOLOGICKÉ STABILITY,</w:t>
      </w:r>
    </w:p>
    <w:p w14:paraId="5184F231" w14:textId="77777777" w:rsidR="00C51217" w:rsidRPr="008C388F" w:rsidRDefault="00C51217" w:rsidP="00C51217">
      <w:pPr>
        <w:spacing w:before="120" w:line="288" w:lineRule="auto"/>
        <w:jc w:val="both"/>
        <w:rPr>
          <w:rFonts w:ascii="Arial" w:hAnsi="Arial" w:cs="Arial"/>
          <w:b/>
          <w:color w:val="BF8F00"/>
          <w:sz w:val="22"/>
          <w:szCs w:val="22"/>
        </w:rPr>
      </w:pPr>
      <w:r w:rsidRPr="008C388F">
        <w:rPr>
          <w:rFonts w:ascii="Arial" w:hAnsi="Arial" w:cs="Arial"/>
          <w:b/>
          <w:color w:val="BF8F00"/>
          <w:sz w:val="22"/>
          <w:szCs w:val="22"/>
        </w:rPr>
        <w:t>KONCEPCE ŘEŠENÍ ÚSES</w:t>
      </w:r>
    </w:p>
    <w:p w14:paraId="744C16B1" w14:textId="77777777" w:rsidR="00C51217" w:rsidRPr="008C388F" w:rsidRDefault="00C51217" w:rsidP="00C51217">
      <w:pPr>
        <w:spacing w:before="120" w:line="288" w:lineRule="auto"/>
        <w:ind w:firstLine="709"/>
        <w:jc w:val="both"/>
        <w:rPr>
          <w:rFonts w:ascii="Arial" w:hAnsi="Arial" w:cs="Arial"/>
          <w:color w:val="BF8F00"/>
          <w:sz w:val="22"/>
          <w:szCs w:val="22"/>
        </w:rPr>
      </w:pPr>
      <w:r w:rsidRPr="008C388F">
        <w:rPr>
          <w:rFonts w:ascii="Arial" w:hAnsi="Arial" w:cs="Arial"/>
          <w:color w:val="BF8F00"/>
          <w:sz w:val="22"/>
          <w:szCs w:val="22"/>
        </w:rPr>
        <w:t>Koncepce územního systému ekologické stability schváleného územního plánu z roku 2002 není návrhem 2. změny ÚPn M dotčena.</w:t>
      </w:r>
    </w:p>
    <w:p w14:paraId="260F7CCA" w14:textId="77777777" w:rsidR="00C51217" w:rsidRPr="00D610A2" w:rsidRDefault="00C51217" w:rsidP="00C51217">
      <w:pPr>
        <w:tabs>
          <w:tab w:val="decimal" w:pos="72"/>
          <w:tab w:val="decimal" w:pos="144"/>
          <w:tab w:val="right" w:pos="2679"/>
        </w:tabs>
        <w:spacing w:before="120" w:line="288" w:lineRule="auto"/>
        <w:ind w:left="72"/>
        <w:jc w:val="both"/>
        <w:rPr>
          <w:color w:val="0066FF"/>
          <w:spacing w:val="3"/>
          <w:sz w:val="22"/>
          <w:szCs w:val="22"/>
        </w:rPr>
      </w:pPr>
    </w:p>
    <w:p w14:paraId="3B3307DB" w14:textId="77777777" w:rsidR="00C51217" w:rsidRPr="006E1907" w:rsidRDefault="00C51217" w:rsidP="00C51217">
      <w:pPr>
        <w:spacing w:before="120" w:line="288" w:lineRule="auto"/>
        <w:jc w:val="both"/>
        <w:rPr>
          <w:rFonts w:ascii="Arial" w:hAnsi="Arial" w:cs="Arial"/>
          <w:b/>
          <w:color w:val="0066FF"/>
        </w:rPr>
      </w:pPr>
      <w:r w:rsidRPr="006E1907">
        <w:rPr>
          <w:rFonts w:ascii="Arial" w:hAnsi="Arial" w:cs="Arial"/>
          <w:b/>
          <w:color w:val="0066FF"/>
        </w:rPr>
        <w:t>(Z4) NÁVRH ÚZEMNÍHO SYSTÉMU EKOLOGICKÉ STABILITY</w:t>
      </w:r>
    </w:p>
    <w:p w14:paraId="2FC1386C" w14:textId="77777777" w:rsidR="00C51217" w:rsidRPr="00D610A2" w:rsidRDefault="00C51217" w:rsidP="00C51217">
      <w:pPr>
        <w:spacing w:before="120" w:line="288" w:lineRule="auto"/>
        <w:jc w:val="both"/>
        <w:rPr>
          <w:rFonts w:ascii="Arial" w:hAnsi="Arial" w:cs="Arial"/>
          <w:b/>
          <w:color w:val="0066FF"/>
          <w:sz w:val="22"/>
          <w:szCs w:val="22"/>
        </w:rPr>
      </w:pPr>
      <w:r w:rsidRPr="00D610A2">
        <w:rPr>
          <w:rFonts w:ascii="Arial" w:hAnsi="Arial" w:cs="Arial"/>
          <w:b/>
          <w:color w:val="0066FF"/>
          <w:sz w:val="22"/>
          <w:szCs w:val="22"/>
        </w:rPr>
        <w:t>KONCEPCE ŘEŠENÍ ÚSES</w:t>
      </w:r>
    </w:p>
    <w:p w14:paraId="229E553D" w14:textId="6F862BB0" w:rsidR="00C51217" w:rsidRPr="00D610A2" w:rsidRDefault="00C51217" w:rsidP="00C51217">
      <w:pPr>
        <w:spacing w:before="120" w:line="288" w:lineRule="auto"/>
        <w:ind w:firstLine="709"/>
        <w:jc w:val="both"/>
        <w:rPr>
          <w:rFonts w:ascii="Arial" w:hAnsi="Arial" w:cs="Arial"/>
          <w:color w:val="0066FF"/>
          <w:sz w:val="22"/>
          <w:szCs w:val="22"/>
        </w:rPr>
      </w:pPr>
      <w:r w:rsidRPr="00D610A2">
        <w:rPr>
          <w:rFonts w:ascii="Arial" w:hAnsi="Arial" w:cs="Arial"/>
          <w:color w:val="0066FF"/>
          <w:sz w:val="22"/>
          <w:szCs w:val="22"/>
        </w:rPr>
        <w:t xml:space="preserve">Koncepce </w:t>
      </w:r>
      <w:r w:rsidR="00E04BFA">
        <w:rPr>
          <w:rFonts w:ascii="Arial" w:hAnsi="Arial" w:cs="Arial"/>
          <w:color w:val="0066FF"/>
          <w:sz w:val="22"/>
          <w:szCs w:val="22"/>
        </w:rPr>
        <w:t>Ú</w:t>
      </w:r>
      <w:r w:rsidRPr="00D610A2">
        <w:rPr>
          <w:rFonts w:ascii="Arial" w:hAnsi="Arial" w:cs="Arial"/>
          <w:color w:val="0066FF"/>
          <w:sz w:val="22"/>
          <w:szCs w:val="22"/>
        </w:rPr>
        <w:t xml:space="preserve">SES zpracovaná a schválená v ÚPn M Děčín je beze změny. Nově navržená lokalita se územního systému, ani ochranného pásma </w:t>
      </w:r>
      <w:r w:rsidR="00E04BFA">
        <w:rPr>
          <w:rFonts w:ascii="Arial" w:hAnsi="Arial" w:cs="Arial"/>
          <w:color w:val="0066FF"/>
          <w:sz w:val="22"/>
          <w:szCs w:val="22"/>
        </w:rPr>
        <w:t>Ú</w:t>
      </w:r>
      <w:r w:rsidRPr="00D610A2">
        <w:rPr>
          <w:rFonts w:ascii="Arial" w:hAnsi="Arial" w:cs="Arial"/>
          <w:color w:val="0066FF"/>
          <w:sz w:val="22"/>
          <w:szCs w:val="22"/>
        </w:rPr>
        <w:t>SES nedotýká.</w:t>
      </w:r>
    </w:p>
    <w:p w14:paraId="2F38BC02" w14:textId="77777777" w:rsidR="00C51217" w:rsidRDefault="00C51217" w:rsidP="00C51217">
      <w:pPr>
        <w:tabs>
          <w:tab w:val="decimal" w:pos="72"/>
          <w:tab w:val="decimal" w:pos="144"/>
          <w:tab w:val="right" w:pos="2679"/>
        </w:tabs>
        <w:spacing w:before="120" w:line="288" w:lineRule="auto"/>
        <w:ind w:left="72"/>
        <w:jc w:val="both"/>
        <w:rPr>
          <w:color w:val="0066FF"/>
          <w:spacing w:val="3"/>
          <w:sz w:val="22"/>
          <w:szCs w:val="22"/>
        </w:rPr>
      </w:pPr>
    </w:p>
    <w:p w14:paraId="2E917112" w14:textId="77777777" w:rsidR="00C51217" w:rsidRPr="006E1907" w:rsidRDefault="00C51217" w:rsidP="00C51217">
      <w:pPr>
        <w:spacing w:before="120" w:line="288" w:lineRule="auto"/>
        <w:jc w:val="both"/>
        <w:rPr>
          <w:rFonts w:ascii="Arial" w:hAnsi="Arial" w:cs="Arial"/>
          <w:b/>
          <w:color w:val="D60093"/>
        </w:rPr>
      </w:pPr>
      <w:r>
        <w:rPr>
          <w:rFonts w:ascii="Arial" w:hAnsi="Arial" w:cs="Arial"/>
          <w:b/>
          <w:color w:val="D60093"/>
        </w:rPr>
        <w:t>(Z6) KONCEPCE</w:t>
      </w:r>
      <w:r w:rsidRPr="006E1907">
        <w:rPr>
          <w:rFonts w:ascii="Arial" w:hAnsi="Arial" w:cs="Arial"/>
          <w:b/>
          <w:color w:val="D60093"/>
        </w:rPr>
        <w:t xml:space="preserve"> USPOŘÁDÁNÍ KRAJINY, UZEMNÍ SYSTÉM EKOLOGICKÉ STABI</w:t>
      </w:r>
      <w:r>
        <w:rPr>
          <w:rFonts w:ascii="Arial" w:hAnsi="Arial" w:cs="Arial"/>
          <w:b/>
          <w:color w:val="D60093"/>
        </w:rPr>
        <w:t>LITY</w:t>
      </w:r>
    </w:p>
    <w:p w14:paraId="1CAB78F0" w14:textId="77777777" w:rsidR="00C51217" w:rsidRPr="00D610A2" w:rsidRDefault="00C51217" w:rsidP="00C51217">
      <w:pPr>
        <w:spacing w:before="120" w:line="288" w:lineRule="auto"/>
        <w:jc w:val="both"/>
        <w:rPr>
          <w:rFonts w:ascii="Arial" w:hAnsi="Arial" w:cs="Arial"/>
          <w:b/>
          <w:color w:val="D60093"/>
          <w:sz w:val="22"/>
          <w:szCs w:val="22"/>
        </w:rPr>
      </w:pPr>
      <w:r w:rsidRPr="00D610A2">
        <w:rPr>
          <w:rFonts w:ascii="Arial" w:hAnsi="Arial" w:cs="Arial"/>
          <w:b/>
          <w:color w:val="D60093"/>
          <w:sz w:val="22"/>
          <w:szCs w:val="22"/>
        </w:rPr>
        <w:t>KONCEPCE ŘEŠENÍ ÚSES</w:t>
      </w:r>
    </w:p>
    <w:p w14:paraId="794B47E8" w14:textId="77777777" w:rsidR="00C51217" w:rsidRPr="00D610A2" w:rsidRDefault="00C51217" w:rsidP="00C51217">
      <w:pPr>
        <w:spacing w:before="120" w:line="288" w:lineRule="auto"/>
        <w:ind w:firstLine="709"/>
        <w:jc w:val="both"/>
        <w:rPr>
          <w:rFonts w:ascii="Arial" w:hAnsi="Arial" w:cs="Arial"/>
          <w:color w:val="D60093"/>
          <w:sz w:val="22"/>
          <w:szCs w:val="22"/>
        </w:rPr>
      </w:pPr>
      <w:r w:rsidRPr="00D610A2">
        <w:rPr>
          <w:rFonts w:ascii="Arial" w:hAnsi="Arial" w:cs="Arial"/>
          <w:color w:val="D60093"/>
          <w:sz w:val="22"/>
          <w:szCs w:val="22"/>
        </w:rPr>
        <w:t xml:space="preserve">Koncepce územního systému ekologické stability schváleného územního plánu z roku 2002 je jen částečně návrhem 6. změny UPn M dotčena. </w:t>
      </w:r>
    </w:p>
    <w:p w14:paraId="58127C60" w14:textId="77777777" w:rsidR="00C51217" w:rsidRPr="00D80B5E" w:rsidRDefault="00C51217" w:rsidP="00C51217">
      <w:pPr>
        <w:pStyle w:val="Odstavecseseznamem"/>
        <w:numPr>
          <w:ilvl w:val="0"/>
          <w:numId w:val="98"/>
        </w:numPr>
        <w:spacing w:before="120" w:after="0" w:line="288" w:lineRule="auto"/>
        <w:ind w:left="426"/>
        <w:jc w:val="both"/>
        <w:rPr>
          <w:rFonts w:ascii="Arial" w:hAnsi="Arial" w:cs="Arial"/>
          <w:color w:val="D60093"/>
        </w:rPr>
      </w:pPr>
      <w:r w:rsidRPr="00D610A2">
        <w:rPr>
          <w:rFonts w:ascii="Arial" w:hAnsi="Arial" w:cs="Arial"/>
          <w:color w:val="D60093"/>
        </w:rPr>
        <w:t>Plocha 6Z -80 Plocha zasahuje do schváleného lokálního biokoridoru. Realizace plochy je podmíněna funkčností lokálního biokoridor.</w:t>
      </w:r>
    </w:p>
    <w:p w14:paraId="583A5AB2" w14:textId="77777777" w:rsidR="00C51217" w:rsidRDefault="00C51217" w:rsidP="00C51217">
      <w:pPr>
        <w:pStyle w:val="Nadpis3"/>
        <w:spacing w:before="120" w:line="288" w:lineRule="auto"/>
        <w:rPr>
          <w:caps/>
          <w:snapToGrid w:val="0"/>
          <w:color w:val="FF0000"/>
        </w:rPr>
      </w:pPr>
      <w:bookmarkStart w:id="20" w:name="_Toc354838623"/>
    </w:p>
    <w:p w14:paraId="51B6471D" w14:textId="77777777" w:rsidR="00C51217" w:rsidRPr="008B79F1" w:rsidRDefault="00C51217" w:rsidP="00C51217">
      <w:pPr>
        <w:pStyle w:val="Nadpis3"/>
        <w:spacing w:before="120" w:line="288" w:lineRule="auto"/>
        <w:rPr>
          <w:b/>
          <w:smallCaps/>
          <w:snapToGrid w:val="0"/>
          <w:color w:val="FF0000"/>
        </w:rPr>
      </w:pPr>
      <w:r w:rsidRPr="008B79F1">
        <w:rPr>
          <w:b/>
          <w:caps/>
          <w:snapToGrid w:val="0"/>
          <w:color w:val="FF0000"/>
        </w:rPr>
        <w:t>(z8) Koncepce řešení</w:t>
      </w:r>
      <w:r w:rsidRPr="008B79F1">
        <w:rPr>
          <w:b/>
          <w:smallCaps/>
          <w:snapToGrid w:val="0"/>
          <w:color w:val="FF0000"/>
        </w:rPr>
        <w:t xml:space="preserve"> ÚSES</w:t>
      </w:r>
      <w:bookmarkEnd w:id="20"/>
    </w:p>
    <w:p w14:paraId="58D30551" w14:textId="77777777" w:rsidR="00C51217" w:rsidRPr="00D610A2" w:rsidRDefault="00C51217" w:rsidP="00C51217">
      <w:pPr>
        <w:spacing w:before="120" w:line="288" w:lineRule="auto"/>
        <w:ind w:firstLine="709"/>
        <w:rPr>
          <w:rFonts w:ascii="Arial" w:hAnsi="Arial" w:cs="Arial"/>
          <w:color w:val="FF0000"/>
          <w:sz w:val="22"/>
          <w:szCs w:val="22"/>
        </w:rPr>
      </w:pPr>
      <w:r w:rsidRPr="00D610A2">
        <w:rPr>
          <w:rFonts w:ascii="Arial" w:hAnsi="Arial" w:cs="Arial"/>
          <w:color w:val="FF0000"/>
          <w:sz w:val="22"/>
          <w:szCs w:val="22"/>
        </w:rPr>
        <w:t>8. změna ÚP města Děčín v řešeném území zpřesňuje nadregionální a regionální prvky ÚSES dle ZÚR ÚK, lokální prvky ÚSES a zájmové plochy ochrany přírody 8. změna ÚP Děčín respektuje.</w:t>
      </w:r>
    </w:p>
    <w:p w14:paraId="327FCFD7" w14:textId="77777777" w:rsidR="00C51217" w:rsidRPr="006E1907" w:rsidRDefault="00C51217" w:rsidP="00C51217">
      <w:pPr>
        <w:spacing w:before="120" w:line="288" w:lineRule="auto"/>
        <w:ind w:firstLine="709"/>
        <w:rPr>
          <w:rFonts w:ascii="Arial" w:hAnsi="Arial" w:cs="Arial"/>
          <w:b/>
          <w:iCs/>
          <w:color w:val="FF0000"/>
          <w:sz w:val="22"/>
          <w:szCs w:val="22"/>
        </w:rPr>
      </w:pPr>
      <w:r w:rsidRPr="006E1907">
        <w:rPr>
          <w:rFonts w:ascii="Arial" w:hAnsi="Arial" w:cs="Arial"/>
          <w:b/>
          <w:iCs/>
          <w:color w:val="FF0000"/>
          <w:sz w:val="22"/>
          <w:szCs w:val="22"/>
        </w:rPr>
        <w:t>V řešeném území je navrhováno zpřesnění:</w:t>
      </w:r>
    </w:p>
    <w:p w14:paraId="6C5535A8" w14:textId="77777777" w:rsidR="00C51217" w:rsidRPr="00D610A2" w:rsidRDefault="00C51217" w:rsidP="00C51217">
      <w:pPr>
        <w:tabs>
          <w:tab w:val="left" w:pos="2977"/>
          <w:tab w:val="left" w:pos="3119"/>
        </w:tabs>
        <w:spacing w:before="120" w:line="288" w:lineRule="auto"/>
        <w:rPr>
          <w:rFonts w:ascii="Arial" w:hAnsi="Arial" w:cs="Arial"/>
          <w:b/>
          <w:color w:val="FF0000"/>
          <w:sz w:val="22"/>
          <w:szCs w:val="22"/>
        </w:rPr>
      </w:pPr>
      <w:r w:rsidRPr="00D610A2">
        <w:rPr>
          <w:rFonts w:ascii="Arial" w:hAnsi="Arial" w:cs="Arial"/>
          <w:color w:val="FF0000"/>
          <w:sz w:val="22"/>
          <w:szCs w:val="22"/>
        </w:rPr>
        <w:t xml:space="preserve">regionální biocentra </w:t>
      </w:r>
      <w:r>
        <w:rPr>
          <w:rFonts w:ascii="Arial" w:hAnsi="Arial" w:cs="Arial"/>
          <w:color w:val="FF0000"/>
          <w:sz w:val="22"/>
          <w:szCs w:val="22"/>
        </w:rPr>
        <w:tab/>
      </w:r>
      <w:r>
        <w:rPr>
          <w:rFonts w:ascii="Arial" w:hAnsi="Arial" w:cs="Arial"/>
          <w:color w:val="FF0000"/>
          <w:sz w:val="22"/>
          <w:szCs w:val="22"/>
        </w:rPr>
        <w:tab/>
      </w:r>
      <w:r w:rsidRPr="00D610A2">
        <w:rPr>
          <w:rFonts w:ascii="Arial" w:hAnsi="Arial" w:cs="Arial"/>
          <w:b/>
          <w:color w:val="FF0000"/>
          <w:sz w:val="22"/>
          <w:szCs w:val="22"/>
        </w:rPr>
        <w:t xml:space="preserve">RBC  021 Březinské tisy </w:t>
      </w:r>
      <w:r w:rsidRPr="00D610A2">
        <w:rPr>
          <w:rFonts w:ascii="Arial" w:hAnsi="Arial" w:cs="Arial"/>
          <w:color w:val="FF0000"/>
          <w:sz w:val="22"/>
          <w:szCs w:val="22"/>
        </w:rPr>
        <w:t>(NPP, PR)</w:t>
      </w:r>
    </w:p>
    <w:p w14:paraId="1BF863F9" w14:textId="77777777" w:rsidR="00C51217" w:rsidRPr="00D610A2" w:rsidRDefault="00C51217" w:rsidP="00C51217">
      <w:pPr>
        <w:tabs>
          <w:tab w:val="left" w:pos="3157"/>
        </w:tabs>
        <w:spacing w:before="120" w:line="288" w:lineRule="auto"/>
        <w:ind w:left="60"/>
        <w:rPr>
          <w:rFonts w:ascii="Arial" w:hAnsi="Arial" w:cs="Arial"/>
          <w:b/>
          <w:color w:val="FF0000"/>
          <w:sz w:val="22"/>
          <w:szCs w:val="22"/>
        </w:rPr>
      </w:pPr>
      <w:r w:rsidRPr="00D610A2">
        <w:rPr>
          <w:rFonts w:ascii="Arial" w:hAnsi="Arial" w:cs="Arial"/>
          <w:color w:val="FF0000"/>
          <w:sz w:val="22"/>
          <w:szCs w:val="22"/>
        </w:rPr>
        <w:t xml:space="preserve">                                              </w:t>
      </w:r>
      <w:r>
        <w:rPr>
          <w:rFonts w:ascii="Arial" w:hAnsi="Arial" w:cs="Arial"/>
          <w:color w:val="FF0000"/>
          <w:sz w:val="22"/>
          <w:szCs w:val="22"/>
        </w:rPr>
        <w:tab/>
      </w:r>
      <w:r w:rsidRPr="00D610A2">
        <w:rPr>
          <w:rFonts w:ascii="Arial" w:hAnsi="Arial" w:cs="Arial"/>
          <w:b/>
          <w:color w:val="FF0000"/>
          <w:sz w:val="22"/>
          <w:szCs w:val="22"/>
        </w:rPr>
        <w:t xml:space="preserve">RBC  1367 Chlum </w:t>
      </w:r>
    </w:p>
    <w:p w14:paraId="231FF757" w14:textId="77777777" w:rsidR="00C51217" w:rsidRPr="00D610A2" w:rsidRDefault="00C51217" w:rsidP="00C51217">
      <w:pPr>
        <w:tabs>
          <w:tab w:val="left" w:pos="3157"/>
        </w:tabs>
        <w:spacing w:before="120" w:line="288" w:lineRule="auto"/>
        <w:ind w:left="60"/>
        <w:rPr>
          <w:rFonts w:ascii="Arial" w:hAnsi="Arial" w:cs="Arial"/>
          <w:b/>
          <w:color w:val="FF0000"/>
          <w:sz w:val="22"/>
          <w:szCs w:val="22"/>
        </w:rPr>
      </w:pPr>
      <w:r w:rsidRPr="00D610A2">
        <w:rPr>
          <w:rFonts w:ascii="Arial" w:hAnsi="Arial" w:cs="Arial"/>
          <w:b/>
          <w:color w:val="FF0000"/>
          <w:sz w:val="22"/>
          <w:szCs w:val="22"/>
        </w:rPr>
        <w:t xml:space="preserve">                                               </w:t>
      </w:r>
      <w:r w:rsidRPr="00D610A2">
        <w:rPr>
          <w:rFonts w:ascii="Arial" w:hAnsi="Arial" w:cs="Arial"/>
          <w:b/>
          <w:color w:val="FF0000"/>
          <w:sz w:val="22"/>
          <w:szCs w:val="22"/>
        </w:rPr>
        <w:tab/>
      </w:r>
      <w:r>
        <w:rPr>
          <w:rFonts w:ascii="Arial" w:hAnsi="Arial" w:cs="Arial"/>
          <w:b/>
          <w:color w:val="FF0000"/>
          <w:sz w:val="22"/>
          <w:szCs w:val="22"/>
        </w:rPr>
        <w:t xml:space="preserve">RBC 1370 </w:t>
      </w:r>
      <w:r w:rsidRPr="00D610A2">
        <w:rPr>
          <w:rFonts w:ascii="Arial" w:hAnsi="Arial" w:cs="Arial"/>
          <w:b/>
          <w:color w:val="FF0000"/>
          <w:sz w:val="22"/>
          <w:szCs w:val="22"/>
        </w:rPr>
        <w:t xml:space="preserve">Údolí Labe </w:t>
      </w:r>
    </w:p>
    <w:p w14:paraId="1C607AB5" w14:textId="77777777" w:rsidR="00C51217" w:rsidRPr="00D610A2" w:rsidRDefault="00C51217" w:rsidP="00C51217">
      <w:pPr>
        <w:tabs>
          <w:tab w:val="left" w:pos="3157"/>
        </w:tabs>
        <w:spacing w:before="120" w:line="288" w:lineRule="auto"/>
        <w:ind w:left="60"/>
        <w:rPr>
          <w:rFonts w:ascii="Arial" w:hAnsi="Arial" w:cs="Arial"/>
          <w:b/>
          <w:color w:val="FF0000"/>
          <w:sz w:val="22"/>
          <w:szCs w:val="22"/>
        </w:rPr>
      </w:pPr>
      <w:r w:rsidRPr="00D610A2">
        <w:rPr>
          <w:rFonts w:ascii="Arial" w:hAnsi="Arial" w:cs="Arial"/>
          <w:color w:val="FF0000"/>
          <w:sz w:val="22"/>
          <w:szCs w:val="22"/>
        </w:rPr>
        <w:lastRenderedPageBreak/>
        <w:t xml:space="preserve">                                              </w:t>
      </w:r>
      <w:r w:rsidRPr="00D610A2">
        <w:rPr>
          <w:rFonts w:ascii="Arial" w:hAnsi="Arial" w:cs="Arial"/>
          <w:color w:val="FF0000"/>
          <w:sz w:val="22"/>
          <w:szCs w:val="22"/>
        </w:rPr>
        <w:tab/>
      </w:r>
      <w:r>
        <w:rPr>
          <w:rFonts w:ascii="Arial" w:hAnsi="Arial" w:cs="Arial"/>
          <w:b/>
          <w:color w:val="FF0000"/>
          <w:sz w:val="22"/>
          <w:szCs w:val="22"/>
        </w:rPr>
        <w:t>RBC  1371</w:t>
      </w:r>
      <w:r w:rsidRPr="00D610A2">
        <w:rPr>
          <w:rFonts w:ascii="Arial" w:hAnsi="Arial" w:cs="Arial"/>
          <w:b/>
          <w:color w:val="FF0000"/>
          <w:sz w:val="22"/>
          <w:szCs w:val="22"/>
        </w:rPr>
        <w:t xml:space="preserve"> Skalní útvary u Bělského potoka</w:t>
      </w:r>
    </w:p>
    <w:p w14:paraId="3C502AC6" w14:textId="77777777" w:rsidR="00C51217" w:rsidRPr="00D610A2" w:rsidRDefault="00C51217" w:rsidP="00C51217">
      <w:pPr>
        <w:tabs>
          <w:tab w:val="left" w:pos="3157"/>
        </w:tabs>
        <w:spacing w:before="120" w:line="288" w:lineRule="auto"/>
        <w:ind w:left="60"/>
        <w:rPr>
          <w:rFonts w:ascii="Arial" w:hAnsi="Arial" w:cs="Arial"/>
          <w:b/>
          <w:color w:val="FF0000"/>
          <w:sz w:val="22"/>
          <w:szCs w:val="22"/>
        </w:rPr>
      </w:pPr>
      <w:r w:rsidRPr="00D610A2">
        <w:rPr>
          <w:rFonts w:ascii="Arial" w:hAnsi="Arial" w:cs="Arial"/>
          <w:color w:val="FF0000"/>
          <w:sz w:val="22"/>
          <w:szCs w:val="22"/>
        </w:rPr>
        <w:t xml:space="preserve">nadregionální biokoridory -  </w:t>
      </w:r>
      <w:r w:rsidRPr="00D610A2">
        <w:rPr>
          <w:rFonts w:ascii="Arial" w:hAnsi="Arial" w:cs="Arial"/>
          <w:color w:val="FF0000"/>
          <w:sz w:val="22"/>
          <w:szCs w:val="22"/>
        </w:rPr>
        <w:tab/>
      </w:r>
      <w:r>
        <w:rPr>
          <w:rFonts w:ascii="Arial" w:hAnsi="Arial" w:cs="Arial"/>
          <w:b/>
          <w:color w:val="FF0000"/>
          <w:sz w:val="22"/>
          <w:szCs w:val="22"/>
        </w:rPr>
        <w:t xml:space="preserve">NRBK K8 </w:t>
      </w:r>
      <w:r w:rsidRPr="00D610A2">
        <w:rPr>
          <w:rFonts w:ascii="Arial" w:hAnsi="Arial" w:cs="Arial"/>
          <w:b/>
          <w:color w:val="FF0000"/>
          <w:sz w:val="22"/>
          <w:szCs w:val="22"/>
        </w:rPr>
        <w:t>Stříbrný roh (19) – státní hranice</w:t>
      </w:r>
    </w:p>
    <w:p w14:paraId="6A85D088" w14:textId="77777777" w:rsidR="00C51217" w:rsidRPr="00D610A2" w:rsidRDefault="00C51217" w:rsidP="00C51217">
      <w:pPr>
        <w:tabs>
          <w:tab w:val="left" w:pos="3157"/>
        </w:tabs>
        <w:spacing w:before="120" w:line="288" w:lineRule="auto"/>
        <w:ind w:left="60"/>
        <w:rPr>
          <w:rFonts w:ascii="Arial" w:hAnsi="Arial" w:cs="Arial"/>
          <w:b/>
          <w:color w:val="FF0000"/>
          <w:sz w:val="22"/>
          <w:szCs w:val="22"/>
        </w:rPr>
      </w:pPr>
      <w:r w:rsidRPr="00D610A2">
        <w:rPr>
          <w:rFonts w:ascii="Arial" w:hAnsi="Arial" w:cs="Arial"/>
          <w:color w:val="FF0000"/>
          <w:sz w:val="22"/>
          <w:szCs w:val="22"/>
        </w:rPr>
        <w:t xml:space="preserve">regionální biokoridory     -     </w:t>
      </w:r>
      <w:r w:rsidRPr="00D610A2">
        <w:rPr>
          <w:rFonts w:ascii="Arial" w:hAnsi="Arial" w:cs="Arial"/>
          <w:color w:val="FF0000"/>
          <w:sz w:val="22"/>
          <w:szCs w:val="22"/>
        </w:rPr>
        <w:tab/>
      </w:r>
      <w:r w:rsidRPr="00D610A2">
        <w:rPr>
          <w:rFonts w:ascii="Arial" w:hAnsi="Arial" w:cs="Arial"/>
          <w:b/>
          <w:color w:val="FF0000"/>
          <w:sz w:val="22"/>
          <w:szCs w:val="22"/>
        </w:rPr>
        <w:t>RBK 550 Popovičský vrch – K8</w:t>
      </w:r>
    </w:p>
    <w:p w14:paraId="2A9DF31C" w14:textId="77777777" w:rsidR="00C51217" w:rsidRPr="00D610A2" w:rsidRDefault="00C51217" w:rsidP="00C51217">
      <w:pPr>
        <w:spacing w:before="120" w:line="288" w:lineRule="auto"/>
        <w:ind w:firstLine="709"/>
        <w:rPr>
          <w:rFonts w:ascii="Arial" w:hAnsi="Arial" w:cs="Arial"/>
          <w:color w:val="FF0000"/>
          <w:sz w:val="22"/>
          <w:szCs w:val="22"/>
        </w:rPr>
      </w:pPr>
      <w:r w:rsidRPr="00D610A2">
        <w:rPr>
          <w:rFonts w:ascii="Arial" w:hAnsi="Arial" w:cs="Arial"/>
          <w:color w:val="FF0000"/>
          <w:sz w:val="22"/>
          <w:szCs w:val="22"/>
        </w:rPr>
        <w:t>Způsob zpřesnění: na základě ÚP, min. šíře biokorid</w:t>
      </w:r>
      <w:r>
        <w:rPr>
          <w:rFonts w:ascii="Arial" w:hAnsi="Arial" w:cs="Arial"/>
          <w:color w:val="FF0000"/>
          <w:sz w:val="22"/>
          <w:szCs w:val="22"/>
        </w:rPr>
        <w:t>orů 40 m.</w:t>
      </w:r>
    </w:p>
    <w:p w14:paraId="08843CC3" w14:textId="77777777" w:rsidR="00C51217" w:rsidRPr="00B129BF" w:rsidRDefault="00C51217" w:rsidP="00C51217">
      <w:pPr>
        <w:spacing w:before="120" w:line="288" w:lineRule="auto"/>
        <w:ind w:firstLine="709"/>
        <w:rPr>
          <w:rFonts w:ascii="Arial" w:hAnsi="Arial" w:cs="Arial"/>
          <w:color w:val="FF0000"/>
          <w:sz w:val="22"/>
          <w:szCs w:val="22"/>
        </w:rPr>
      </w:pPr>
      <w:r w:rsidRPr="00D610A2">
        <w:rPr>
          <w:rFonts w:ascii="Arial" w:hAnsi="Arial" w:cs="Arial"/>
          <w:color w:val="FF0000"/>
          <w:sz w:val="22"/>
          <w:szCs w:val="22"/>
        </w:rPr>
        <w:t xml:space="preserve">8. </w:t>
      </w:r>
      <w:r>
        <w:rPr>
          <w:rFonts w:ascii="Arial" w:hAnsi="Arial" w:cs="Arial"/>
          <w:color w:val="FF0000"/>
          <w:sz w:val="22"/>
          <w:szCs w:val="22"/>
        </w:rPr>
        <w:t>z</w:t>
      </w:r>
      <w:r w:rsidRPr="00D610A2">
        <w:rPr>
          <w:rFonts w:ascii="Arial" w:hAnsi="Arial" w:cs="Arial"/>
          <w:color w:val="FF0000"/>
          <w:sz w:val="22"/>
          <w:szCs w:val="22"/>
        </w:rPr>
        <w:t>měna ÚP Děčín nemění koncepci uspořádání krajiny.</w:t>
      </w:r>
    </w:p>
    <w:p w14:paraId="541BB22C" w14:textId="77777777" w:rsidR="00C51217" w:rsidRPr="00D610A2" w:rsidRDefault="00C51217" w:rsidP="00C51217">
      <w:pPr>
        <w:tabs>
          <w:tab w:val="decimal" w:pos="72"/>
          <w:tab w:val="decimal" w:pos="144"/>
          <w:tab w:val="right" w:pos="2679"/>
        </w:tabs>
        <w:spacing w:before="120" w:line="288" w:lineRule="auto"/>
        <w:ind w:left="72"/>
        <w:jc w:val="both"/>
        <w:rPr>
          <w:color w:val="0066FF"/>
          <w:spacing w:val="3"/>
          <w:sz w:val="22"/>
          <w:szCs w:val="22"/>
        </w:rPr>
      </w:pPr>
    </w:p>
    <w:p w14:paraId="458F17B4" w14:textId="77777777" w:rsidR="00E42A45" w:rsidRDefault="00E42A45" w:rsidP="00CA23D0">
      <w:pPr>
        <w:jc w:val="both"/>
        <w:rPr>
          <w:rFonts w:ascii="Arial" w:hAnsi="Arial" w:cs="Arial"/>
          <w:sz w:val="22"/>
        </w:rPr>
      </w:pPr>
    </w:p>
    <w:p w14:paraId="1D8D2671" w14:textId="7991AA32" w:rsidR="00C51217" w:rsidRPr="00FF2F84" w:rsidRDefault="00D75F38" w:rsidP="00CA23D0">
      <w:pPr>
        <w:jc w:val="both"/>
        <w:rPr>
          <w:rFonts w:ascii="Arial" w:hAnsi="Arial" w:cs="Arial"/>
          <w:b/>
          <w:color w:val="18B8B0"/>
          <w:sz w:val="22"/>
        </w:rPr>
      </w:pPr>
      <w:r w:rsidRPr="00FF2F84">
        <w:rPr>
          <w:rFonts w:ascii="Arial" w:hAnsi="Arial" w:cs="Arial"/>
          <w:b/>
          <w:color w:val="18B8B0"/>
          <w:sz w:val="22"/>
        </w:rPr>
        <w:t xml:space="preserve">(Z12) </w:t>
      </w:r>
      <w:r w:rsidR="008B79F1" w:rsidRPr="00FF2F84">
        <w:rPr>
          <w:rFonts w:ascii="Arial" w:hAnsi="Arial" w:cs="Arial"/>
          <w:b/>
          <w:color w:val="18B8B0"/>
          <w:sz w:val="22"/>
        </w:rPr>
        <w:t>KONCEPCE ÚSES</w:t>
      </w:r>
    </w:p>
    <w:p w14:paraId="48B597E9" w14:textId="77777777" w:rsidR="008B79F1" w:rsidRPr="00FF2F84" w:rsidRDefault="008B79F1" w:rsidP="00CA23D0">
      <w:pPr>
        <w:jc w:val="both"/>
        <w:rPr>
          <w:rFonts w:ascii="Arial" w:hAnsi="Arial" w:cs="Arial"/>
          <w:b/>
          <w:color w:val="18B8B0"/>
          <w:sz w:val="22"/>
        </w:rPr>
      </w:pPr>
    </w:p>
    <w:p w14:paraId="0F18BB7F" w14:textId="77777777" w:rsidR="00A14F50" w:rsidRPr="00FF2F84" w:rsidRDefault="00A14F50" w:rsidP="00A14F50">
      <w:pPr>
        <w:jc w:val="both"/>
        <w:rPr>
          <w:rFonts w:ascii="Arial" w:hAnsi="Arial" w:cs="Arial"/>
          <w:color w:val="18B8B0"/>
          <w:sz w:val="22"/>
        </w:rPr>
      </w:pPr>
      <w:r w:rsidRPr="00FF2F84">
        <w:rPr>
          <w:rFonts w:ascii="Arial" w:hAnsi="Arial" w:cs="Arial"/>
          <w:color w:val="18B8B0"/>
          <w:sz w:val="22"/>
        </w:rPr>
        <w:t>V rámci Změny č. 12 ÚP dochází k úpravám a zpřesnění řešení ÚSES v souvislosti s úpravami vedení koridoru pro přeložku silnice I/13 Děčín - Ludvíkovice (Folknářská spojka).</w:t>
      </w:r>
    </w:p>
    <w:p w14:paraId="42DDB10E" w14:textId="77777777" w:rsidR="00A14F50" w:rsidRPr="00FF2F84" w:rsidRDefault="00A14F50" w:rsidP="00A14F50">
      <w:pPr>
        <w:jc w:val="both"/>
        <w:rPr>
          <w:rFonts w:ascii="Arial" w:hAnsi="Arial" w:cs="Arial"/>
          <w:color w:val="18B8B0"/>
          <w:sz w:val="22"/>
        </w:rPr>
      </w:pPr>
    </w:p>
    <w:p w14:paraId="08C7885C" w14:textId="2900A43B" w:rsidR="00592A74" w:rsidRPr="00FF2F84" w:rsidRDefault="00A14F50" w:rsidP="00CA23D0">
      <w:pPr>
        <w:jc w:val="both"/>
        <w:rPr>
          <w:rFonts w:ascii="Arial" w:hAnsi="Arial" w:cs="Arial"/>
          <w:color w:val="18B8B0"/>
          <w:sz w:val="22"/>
        </w:rPr>
      </w:pPr>
      <w:r w:rsidRPr="00FF2F84">
        <w:rPr>
          <w:rFonts w:ascii="Arial" w:hAnsi="Arial" w:cs="Arial"/>
          <w:color w:val="18B8B0"/>
          <w:sz w:val="22"/>
        </w:rPr>
        <w:t xml:space="preserve">V </w:t>
      </w:r>
      <w:r w:rsidR="00592A74" w:rsidRPr="00FF2F84">
        <w:rPr>
          <w:rFonts w:ascii="Arial" w:hAnsi="Arial" w:cs="Arial"/>
          <w:color w:val="18B8B0"/>
          <w:sz w:val="22"/>
        </w:rPr>
        <w:t>těch částech území, kde dochází ke střetu prvků ÚSES s koridorem CNZ.D(12) musí být zabezpečena funkčnost těchto prvků pomocí podchodů nebo nadchodů (ekodukty, mostní objekty apod.). Vedení koridoru CNZ.D(12) nemůže znemožnit nebo podstatně narušit funkčnost jednotlivých skladebních prvků ÚSES. Biokoridory, které jsou dotčeny změnou č.</w:t>
      </w:r>
      <w:r w:rsidR="00E819EA" w:rsidRPr="00FF2F84">
        <w:rPr>
          <w:rFonts w:ascii="Arial" w:hAnsi="Arial" w:cs="Arial"/>
          <w:color w:val="18B8B0"/>
          <w:sz w:val="22"/>
        </w:rPr>
        <w:t xml:space="preserve"> 12 ÚP Děčín jsou vymezeny</w:t>
      </w:r>
      <w:r w:rsidR="00592A74" w:rsidRPr="00FF2F84">
        <w:rPr>
          <w:rFonts w:ascii="Arial" w:hAnsi="Arial" w:cs="Arial"/>
          <w:color w:val="18B8B0"/>
          <w:sz w:val="22"/>
        </w:rPr>
        <w:t xml:space="preserve"> rámcově a </w:t>
      </w:r>
      <w:r w:rsidR="00E819EA" w:rsidRPr="00FF2F84">
        <w:rPr>
          <w:rFonts w:ascii="Arial" w:hAnsi="Arial" w:cs="Arial"/>
          <w:color w:val="18B8B0"/>
          <w:sz w:val="22"/>
        </w:rPr>
        <w:t xml:space="preserve">během komplexní </w:t>
      </w:r>
      <w:r w:rsidR="00592A74" w:rsidRPr="00FF2F84">
        <w:rPr>
          <w:rFonts w:ascii="Arial" w:hAnsi="Arial" w:cs="Arial"/>
          <w:color w:val="18B8B0"/>
          <w:sz w:val="22"/>
        </w:rPr>
        <w:t>aktualizace ÚSES pro celé území města Děčín budou dále zpřesněny a fixovány dle podkladů AOPK a to i s ohledem na konkrétnější podobu přeložky silnice I/13 Děčín – Ludvíkovice (Folknářská spojka).</w:t>
      </w:r>
    </w:p>
    <w:p w14:paraId="779069C7" w14:textId="0E48B0AF" w:rsidR="008B79F1" w:rsidRPr="00FF2F84" w:rsidRDefault="008B79F1" w:rsidP="00CA23D0">
      <w:pPr>
        <w:jc w:val="both"/>
        <w:rPr>
          <w:rFonts w:ascii="Arial" w:hAnsi="Arial" w:cs="Arial"/>
          <w:color w:val="18B8B0"/>
          <w:sz w:val="22"/>
        </w:rPr>
      </w:pPr>
    </w:p>
    <w:p w14:paraId="3C8B3BD7" w14:textId="0A5B8DDC" w:rsidR="00A74E92" w:rsidRPr="00FF2F84" w:rsidRDefault="00A14F50" w:rsidP="00A74E92">
      <w:pPr>
        <w:jc w:val="both"/>
        <w:rPr>
          <w:rFonts w:ascii="Arial" w:hAnsi="Arial" w:cs="Arial"/>
          <w:color w:val="18B8B0"/>
          <w:sz w:val="22"/>
          <w:szCs w:val="22"/>
        </w:rPr>
      </w:pPr>
      <w:r w:rsidRPr="00FF2F84">
        <w:rPr>
          <w:rFonts w:ascii="Arial" w:hAnsi="Arial" w:cs="Arial"/>
          <w:color w:val="18B8B0"/>
          <w:sz w:val="22"/>
          <w:szCs w:val="22"/>
        </w:rPr>
        <w:t>K</w:t>
      </w:r>
      <w:r w:rsidR="00A74E92" w:rsidRPr="00FF2F84">
        <w:rPr>
          <w:rFonts w:ascii="Arial" w:hAnsi="Arial" w:cs="Arial"/>
          <w:color w:val="18B8B0"/>
          <w:sz w:val="22"/>
          <w:szCs w:val="22"/>
        </w:rPr>
        <w:t>oridor</w:t>
      </w:r>
      <w:r w:rsidRPr="00FF2F84">
        <w:rPr>
          <w:rFonts w:ascii="Arial" w:hAnsi="Arial" w:cs="Arial"/>
          <w:color w:val="18B8B0"/>
          <w:sz w:val="22"/>
          <w:szCs w:val="22"/>
        </w:rPr>
        <w:t xml:space="preserve"> CNZ.D(12) je ve střetu s těmito</w:t>
      </w:r>
      <w:r w:rsidR="00A74E92" w:rsidRPr="00FF2F84">
        <w:rPr>
          <w:rFonts w:ascii="Arial" w:hAnsi="Arial" w:cs="Arial"/>
          <w:color w:val="18B8B0"/>
          <w:sz w:val="22"/>
          <w:szCs w:val="22"/>
        </w:rPr>
        <w:t> </w:t>
      </w:r>
      <w:r w:rsidR="005E0BF5" w:rsidRPr="00FF2F84">
        <w:rPr>
          <w:rFonts w:ascii="Arial" w:hAnsi="Arial" w:cs="Arial"/>
          <w:color w:val="18B8B0"/>
          <w:sz w:val="22"/>
          <w:szCs w:val="22"/>
        </w:rPr>
        <w:t>biokoridory</w:t>
      </w:r>
      <w:r w:rsidRPr="00FF2F84">
        <w:rPr>
          <w:rFonts w:ascii="Arial" w:hAnsi="Arial" w:cs="Arial"/>
          <w:color w:val="18B8B0"/>
          <w:sz w:val="22"/>
          <w:szCs w:val="22"/>
        </w:rPr>
        <w:t xml:space="preserve">: </w:t>
      </w:r>
    </w:p>
    <w:p w14:paraId="4B086C8E" w14:textId="44838DFB" w:rsidR="00C51217" w:rsidRPr="00FF2F84" w:rsidRDefault="00A74E92" w:rsidP="00A74E92">
      <w:pPr>
        <w:pStyle w:val="Odstavecseseznamem"/>
        <w:numPr>
          <w:ilvl w:val="0"/>
          <w:numId w:val="143"/>
        </w:numPr>
        <w:jc w:val="both"/>
        <w:rPr>
          <w:rFonts w:ascii="Arial" w:hAnsi="Arial" w:cs="Arial"/>
          <w:color w:val="18B8B0"/>
        </w:rPr>
      </w:pPr>
      <w:r w:rsidRPr="00FF2F84">
        <w:rPr>
          <w:rFonts w:ascii="Arial" w:hAnsi="Arial" w:cs="Arial"/>
          <w:color w:val="18B8B0"/>
        </w:rPr>
        <w:t>Lokální biokoridor mezi LBC Libverda a LBC Ptačí důl pod Pustým vrchem</w:t>
      </w:r>
    </w:p>
    <w:p w14:paraId="2AD13D72" w14:textId="25A19929" w:rsidR="00A74E92" w:rsidRPr="00FF2F84" w:rsidRDefault="00A74E92" w:rsidP="00A74E92">
      <w:pPr>
        <w:pStyle w:val="Odstavecseseznamem"/>
        <w:numPr>
          <w:ilvl w:val="0"/>
          <w:numId w:val="143"/>
        </w:numPr>
        <w:jc w:val="both"/>
        <w:rPr>
          <w:rFonts w:ascii="Arial" w:hAnsi="Arial" w:cs="Arial"/>
          <w:color w:val="18B8B0"/>
        </w:rPr>
      </w:pPr>
      <w:r w:rsidRPr="00FF2F84">
        <w:rPr>
          <w:rFonts w:ascii="Arial" w:hAnsi="Arial" w:cs="Arial"/>
          <w:color w:val="18B8B0"/>
        </w:rPr>
        <w:t>Lokální biokoridor mezi LBC Libverda a LBC Na ráně</w:t>
      </w:r>
    </w:p>
    <w:p w14:paraId="437D75C3" w14:textId="6DFC613D" w:rsidR="00A74E92" w:rsidRPr="00FF2F84" w:rsidRDefault="00A74E92" w:rsidP="00A74E92">
      <w:pPr>
        <w:pStyle w:val="Odstavecseseznamem"/>
        <w:numPr>
          <w:ilvl w:val="0"/>
          <w:numId w:val="143"/>
        </w:numPr>
        <w:jc w:val="both"/>
        <w:rPr>
          <w:rFonts w:ascii="Arial" w:hAnsi="Arial" w:cs="Arial"/>
          <w:color w:val="18B8B0"/>
        </w:rPr>
      </w:pPr>
      <w:r w:rsidRPr="00FF2F84">
        <w:rPr>
          <w:rFonts w:ascii="Arial" w:hAnsi="Arial" w:cs="Arial"/>
          <w:color w:val="18B8B0"/>
        </w:rPr>
        <w:t>Lokální biokoridor mezi LBC Na ráně a LBC Prameny Folknářského potoka</w:t>
      </w:r>
    </w:p>
    <w:p w14:paraId="718EC492" w14:textId="3B92715A" w:rsidR="00A74E92" w:rsidRPr="00FF2F84" w:rsidRDefault="00A74E92" w:rsidP="00A74E92">
      <w:pPr>
        <w:pStyle w:val="Odstavecseseznamem"/>
        <w:numPr>
          <w:ilvl w:val="0"/>
          <w:numId w:val="143"/>
        </w:numPr>
        <w:jc w:val="both"/>
        <w:rPr>
          <w:rFonts w:ascii="Arial" w:hAnsi="Arial" w:cs="Arial"/>
          <w:color w:val="18B8B0"/>
        </w:rPr>
      </w:pPr>
      <w:r w:rsidRPr="00FF2F84">
        <w:rPr>
          <w:rFonts w:ascii="Arial" w:hAnsi="Arial" w:cs="Arial"/>
          <w:color w:val="18B8B0"/>
        </w:rPr>
        <w:t>Lokální biokoridor mezi LBC Olšiny a LBC Kumpoltický potok</w:t>
      </w:r>
    </w:p>
    <w:p w14:paraId="52C66497" w14:textId="003DB4C0" w:rsidR="0050677D" w:rsidRPr="00FF2F84" w:rsidRDefault="0050677D" w:rsidP="00A74E92">
      <w:pPr>
        <w:pStyle w:val="Odstavecseseznamem"/>
        <w:numPr>
          <w:ilvl w:val="0"/>
          <w:numId w:val="143"/>
        </w:numPr>
        <w:jc w:val="both"/>
        <w:rPr>
          <w:rFonts w:ascii="Arial" w:hAnsi="Arial" w:cs="Arial"/>
          <w:color w:val="18B8B0"/>
        </w:rPr>
      </w:pPr>
      <w:r w:rsidRPr="00FF2F84">
        <w:rPr>
          <w:rFonts w:ascii="Arial" w:hAnsi="Arial" w:cs="Arial"/>
          <w:color w:val="18B8B0"/>
        </w:rPr>
        <w:t>Nadregionální biokoridor K8 Stříbrný roh (19) – státní hranice</w:t>
      </w:r>
    </w:p>
    <w:p w14:paraId="5A4BD5E2" w14:textId="3DC339E5" w:rsidR="0050677D" w:rsidRPr="00FF2F84" w:rsidRDefault="0050677D" w:rsidP="00A74E92">
      <w:pPr>
        <w:pStyle w:val="Odstavecseseznamem"/>
        <w:numPr>
          <w:ilvl w:val="0"/>
          <w:numId w:val="143"/>
        </w:numPr>
        <w:jc w:val="both"/>
        <w:rPr>
          <w:rFonts w:ascii="Arial" w:hAnsi="Arial" w:cs="Arial"/>
          <w:color w:val="18B8B0"/>
        </w:rPr>
      </w:pPr>
      <w:r w:rsidRPr="00FF2F84">
        <w:rPr>
          <w:rFonts w:ascii="Arial" w:hAnsi="Arial" w:cs="Arial"/>
          <w:color w:val="18B8B0"/>
        </w:rPr>
        <w:t>Regionální biokoridor 550 Popovičský vrch – K8</w:t>
      </w:r>
    </w:p>
    <w:p w14:paraId="11C8AE02" w14:textId="2DF8FAA5" w:rsidR="0050677D" w:rsidRPr="00FF2F84" w:rsidRDefault="00BD20AB" w:rsidP="005E0BF5">
      <w:pPr>
        <w:spacing w:after="240"/>
        <w:jc w:val="both"/>
        <w:rPr>
          <w:rFonts w:ascii="Arial" w:hAnsi="Arial" w:cs="Arial"/>
          <w:color w:val="18B8B0"/>
          <w:sz w:val="22"/>
          <w:szCs w:val="22"/>
        </w:rPr>
      </w:pPr>
      <w:r w:rsidRPr="00FF2F84">
        <w:rPr>
          <w:rFonts w:ascii="Arial" w:hAnsi="Arial" w:cs="Arial"/>
          <w:color w:val="18B8B0"/>
          <w:sz w:val="22"/>
          <w:szCs w:val="22"/>
        </w:rPr>
        <w:t xml:space="preserve">Vedení lokálního biokoridoru mezi LBC Libverda a LBC Ptačí důl pod Pustým vrchem se v jižní části upravuje </w:t>
      </w:r>
      <w:r w:rsidR="0050677D" w:rsidRPr="00FF2F84">
        <w:rPr>
          <w:rFonts w:ascii="Arial" w:hAnsi="Arial" w:cs="Arial"/>
          <w:color w:val="18B8B0"/>
          <w:sz w:val="22"/>
          <w:szCs w:val="22"/>
        </w:rPr>
        <w:t>pomocí rámcového koridoru o šíři 40 m.</w:t>
      </w:r>
      <w:r w:rsidRPr="00FF2F84">
        <w:rPr>
          <w:rFonts w:ascii="Arial" w:hAnsi="Arial" w:cs="Arial"/>
          <w:color w:val="18B8B0"/>
          <w:sz w:val="22"/>
          <w:szCs w:val="22"/>
        </w:rPr>
        <w:t xml:space="preserve"> Původní vedení biokoridoru jižním směrem bylo zaslepeno bez vazby na další prvky ÚSES. Proto je jeho vedení v tomto úseku nahrazeno </w:t>
      </w:r>
      <w:r w:rsidR="0050677D" w:rsidRPr="00FF2F84">
        <w:rPr>
          <w:rFonts w:ascii="Arial" w:hAnsi="Arial" w:cs="Arial"/>
          <w:color w:val="18B8B0"/>
          <w:sz w:val="22"/>
          <w:szCs w:val="22"/>
        </w:rPr>
        <w:t xml:space="preserve">rámcovým koridorem </w:t>
      </w:r>
      <w:r w:rsidRPr="00FF2F84">
        <w:rPr>
          <w:rFonts w:ascii="Arial" w:hAnsi="Arial" w:cs="Arial"/>
          <w:color w:val="18B8B0"/>
          <w:sz w:val="22"/>
          <w:szCs w:val="22"/>
        </w:rPr>
        <w:t xml:space="preserve">a bude upřesněno v rámci komplexní aktualizace a úprav ÚSES v souvislostech pro celé správní území města Děčín dle aktuálních podkladů.  </w:t>
      </w:r>
    </w:p>
    <w:p w14:paraId="03ABEA35" w14:textId="18A9455A" w:rsidR="00680707" w:rsidRPr="00FF2F84" w:rsidRDefault="004F49C1" w:rsidP="005E0BF5">
      <w:pPr>
        <w:spacing w:before="240" w:after="240"/>
        <w:jc w:val="both"/>
        <w:rPr>
          <w:rFonts w:ascii="Arial" w:hAnsi="Arial" w:cs="Arial"/>
          <w:color w:val="18B8B0"/>
          <w:sz w:val="22"/>
          <w:szCs w:val="22"/>
        </w:rPr>
      </w:pPr>
      <w:r w:rsidRPr="00FF2F84">
        <w:rPr>
          <w:rFonts w:ascii="Arial" w:hAnsi="Arial" w:cs="Arial"/>
          <w:color w:val="18B8B0"/>
          <w:sz w:val="22"/>
          <w:szCs w:val="22"/>
        </w:rPr>
        <w:t>Vedení nadregionálního biokoridoru K8</w:t>
      </w:r>
      <w:r w:rsidR="006A14E8" w:rsidRPr="00FF2F84">
        <w:rPr>
          <w:rFonts w:ascii="Arial" w:hAnsi="Arial" w:cs="Arial"/>
          <w:color w:val="18B8B0"/>
          <w:sz w:val="22"/>
          <w:szCs w:val="22"/>
        </w:rPr>
        <w:t xml:space="preserve"> (Stříbrný roh (19) – státní hranice)</w:t>
      </w:r>
      <w:r w:rsidRPr="00FF2F84">
        <w:rPr>
          <w:rFonts w:ascii="Arial" w:hAnsi="Arial" w:cs="Arial"/>
          <w:color w:val="18B8B0"/>
          <w:sz w:val="22"/>
          <w:szCs w:val="22"/>
        </w:rPr>
        <w:t xml:space="preserve"> </w:t>
      </w:r>
      <w:r w:rsidR="00DB143C" w:rsidRPr="00FF2F84">
        <w:rPr>
          <w:rFonts w:ascii="Arial" w:hAnsi="Arial" w:cs="Arial"/>
          <w:color w:val="18B8B0"/>
          <w:sz w:val="22"/>
          <w:szCs w:val="22"/>
        </w:rPr>
        <w:t>a regionálního biokoridoru 550</w:t>
      </w:r>
      <w:r w:rsidR="006A14E8" w:rsidRPr="00FF2F84">
        <w:rPr>
          <w:rFonts w:ascii="Arial" w:hAnsi="Arial" w:cs="Arial"/>
          <w:color w:val="18B8B0"/>
          <w:sz w:val="22"/>
          <w:szCs w:val="22"/>
        </w:rPr>
        <w:t xml:space="preserve"> (Popovičský vrch – K8)</w:t>
      </w:r>
      <w:r w:rsidR="00CE622F" w:rsidRPr="00FF2F84">
        <w:rPr>
          <w:rFonts w:ascii="Arial" w:hAnsi="Arial" w:cs="Arial"/>
          <w:color w:val="18B8B0"/>
          <w:sz w:val="22"/>
          <w:szCs w:val="22"/>
        </w:rPr>
        <w:t xml:space="preserve"> střetávající</w:t>
      </w:r>
      <w:r w:rsidR="0050677D" w:rsidRPr="00FF2F84">
        <w:rPr>
          <w:rFonts w:ascii="Arial" w:hAnsi="Arial" w:cs="Arial"/>
          <w:color w:val="18B8B0"/>
          <w:sz w:val="22"/>
          <w:szCs w:val="22"/>
        </w:rPr>
        <w:t>ch</w:t>
      </w:r>
      <w:r w:rsidR="00CE622F" w:rsidRPr="00FF2F84">
        <w:rPr>
          <w:rFonts w:ascii="Arial" w:hAnsi="Arial" w:cs="Arial"/>
          <w:color w:val="18B8B0"/>
          <w:sz w:val="22"/>
          <w:szCs w:val="22"/>
        </w:rPr>
        <w:t xml:space="preserve"> se s koridorem silnice I/13 (Folknářská spojka)</w:t>
      </w:r>
      <w:r w:rsidR="006A14E8" w:rsidRPr="00FF2F84">
        <w:rPr>
          <w:rFonts w:ascii="Arial" w:hAnsi="Arial" w:cs="Arial"/>
          <w:color w:val="18B8B0"/>
          <w:sz w:val="22"/>
          <w:szCs w:val="22"/>
        </w:rPr>
        <w:t xml:space="preserve"> </w:t>
      </w:r>
      <w:r w:rsidR="0050677D" w:rsidRPr="00FF2F84">
        <w:rPr>
          <w:rFonts w:ascii="Arial" w:hAnsi="Arial" w:cs="Arial"/>
          <w:color w:val="18B8B0"/>
          <w:sz w:val="22"/>
          <w:szCs w:val="22"/>
        </w:rPr>
        <w:t>neodpovídají</w:t>
      </w:r>
      <w:r w:rsidR="00680707" w:rsidRPr="00FF2F84">
        <w:rPr>
          <w:rFonts w:ascii="Arial" w:hAnsi="Arial" w:cs="Arial"/>
          <w:color w:val="18B8B0"/>
          <w:sz w:val="22"/>
          <w:szCs w:val="22"/>
        </w:rPr>
        <w:t xml:space="preserve"> </w:t>
      </w:r>
      <w:r w:rsidR="00CE622F" w:rsidRPr="00FF2F84">
        <w:rPr>
          <w:rFonts w:ascii="Arial" w:hAnsi="Arial" w:cs="Arial"/>
          <w:color w:val="18B8B0"/>
          <w:sz w:val="22"/>
          <w:szCs w:val="22"/>
        </w:rPr>
        <w:t>řešení ÚSES v </w:t>
      </w:r>
      <w:r w:rsidR="00680707" w:rsidRPr="00FF2F84">
        <w:rPr>
          <w:rFonts w:ascii="Arial" w:hAnsi="Arial" w:cs="Arial"/>
          <w:color w:val="18B8B0"/>
          <w:sz w:val="22"/>
          <w:szCs w:val="22"/>
        </w:rPr>
        <w:t>ZÚR ÚK – ÚZ po vydání 1., 2., 3., a 4.</w:t>
      </w:r>
      <w:r w:rsidR="00E819EA" w:rsidRPr="00FF2F84">
        <w:rPr>
          <w:rFonts w:ascii="Arial" w:hAnsi="Arial" w:cs="Arial"/>
          <w:color w:val="18B8B0"/>
          <w:sz w:val="22"/>
          <w:szCs w:val="22"/>
        </w:rPr>
        <w:t>, 5. a 7.</w:t>
      </w:r>
      <w:r w:rsidR="00680707" w:rsidRPr="00FF2F84">
        <w:rPr>
          <w:rFonts w:ascii="Arial" w:hAnsi="Arial" w:cs="Arial"/>
          <w:color w:val="18B8B0"/>
          <w:sz w:val="22"/>
          <w:szCs w:val="22"/>
        </w:rPr>
        <w:t xml:space="preserve"> aktualizace.  </w:t>
      </w:r>
      <w:r w:rsidR="005E0BF5" w:rsidRPr="00FF2F84">
        <w:rPr>
          <w:rFonts w:ascii="Arial" w:hAnsi="Arial" w:cs="Arial"/>
          <w:color w:val="18B8B0"/>
          <w:sz w:val="22"/>
          <w:szCs w:val="22"/>
        </w:rPr>
        <w:t>Změna</w:t>
      </w:r>
      <w:r w:rsidR="006A14E8" w:rsidRPr="00FF2F84">
        <w:rPr>
          <w:rFonts w:ascii="Arial" w:hAnsi="Arial" w:cs="Arial"/>
          <w:color w:val="18B8B0"/>
          <w:sz w:val="22"/>
          <w:szCs w:val="22"/>
        </w:rPr>
        <w:t xml:space="preserve"> č. 12 ÚP </w:t>
      </w:r>
      <w:r w:rsidR="005E0BF5" w:rsidRPr="00FF2F84">
        <w:rPr>
          <w:rFonts w:ascii="Arial" w:hAnsi="Arial" w:cs="Arial"/>
          <w:color w:val="18B8B0"/>
          <w:sz w:val="22"/>
          <w:szCs w:val="22"/>
        </w:rPr>
        <w:t xml:space="preserve">upravuje vedení těchto koridorů pomocí rámcového koridoru o šíři 100 m </w:t>
      </w:r>
      <w:r w:rsidR="00680707" w:rsidRPr="00FF2F84">
        <w:rPr>
          <w:rFonts w:ascii="Arial" w:hAnsi="Arial" w:cs="Arial"/>
          <w:color w:val="18B8B0"/>
          <w:sz w:val="22"/>
          <w:szCs w:val="22"/>
        </w:rPr>
        <w:t xml:space="preserve">a současně je </w:t>
      </w:r>
      <w:r w:rsidR="005E0BF5" w:rsidRPr="00FF2F84">
        <w:rPr>
          <w:rFonts w:ascii="Arial" w:hAnsi="Arial" w:cs="Arial"/>
          <w:color w:val="18B8B0"/>
          <w:sz w:val="22"/>
          <w:szCs w:val="22"/>
        </w:rPr>
        <w:t>uvádí</w:t>
      </w:r>
      <w:r w:rsidRPr="00FF2F84">
        <w:rPr>
          <w:rFonts w:ascii="Arial" w:hAnsi="Arial" w:cs="Arial"/>
          <w:color w:val="18B8B0"/>
          <w:sz w:val="22"/>
          <w:szCs w:val="22"/>
        </w:rPr>
        <w:t xml:space="preserve"> </w:t>
      </w:r>
      <w:r w:rsidR="00CE622F" w:rsidRPr="00FF2F84">
        <w:rPr>
          <w:rFonts w:ascii="Arial" w:hAnsi="Arial" w:cs="Arial"/>
          <w:color w:val="18B8B0"/>
          <w:sz w:val="22"/>
          <w:szCs w:val="22"/>
        </w:rPr>
        <w:t xml:space="preserve">do souladu s platnou nadřazenou </w:t>
      </w:r>
      <w:r w:rsidR="00680707" w:rsidRPr="00FF2F84">
        <w:rPr>
          <w:rFonts w:ascii="Arial" w:hAnsi="Arial" w:cs="Arial"/>
          <w:color w:val="18B8B0"/>
          <w:sz w:val="22"/>
          <w:szCs w:val="22"/>
        </w:rPr>
        <w:t xml:space="preserve">ÚPD. </w:t>
      </w:r>
    </w:p>
    <w:p w14:paraId="59ED47A1" w14:textId="27D68B65" w:rsidR="0050677D" w:rsidRPr="00FF2F84" w:rsidRDefault="0050677D" w:rsidP="00CA23D0">
      <w:pPr>
        <w:jc w:val="both"/>
        <w:rPr>
          <w:rFonts w:ascii="Arial" w:hAnsi="Arial" w:cs="Arial"/>
          <w:color w:val="18B8B0"/>
          <w:sz w:val="22"/>
          <w:szCs w:val="22"/>
        </w:rPr>
      </w:pPr>
      <w:r w:rsidRPr="00FF2F84">
        <w:rPr>
          <w:rFonts w:ascii="Arial" w:hAnsi="Arial" w:cs="Arial"/>
          <w:color w:val="18B8B0"/>
          <w:sz w:val="22"/>
          <w:szCs w:val="22"/>
        </w:rPr>
        <w:t xml:space="preserve">Dále dochází k úpravě vymezení lokálních biocenter </w:t>
      </w:r>
      <w:r w:rsidR="00B23DDC" w:rsidRPr="00FF2F84">
        <w:rPr>
          <w:rFonts w:ascii="Arial" w:hAnsi="Arial" w:cs="Arial"/>
          <w:color w:val="18B8B0"/>
          <w:sz w:val="22"/>
          <w:szCs w:val="22"/>
        </w:rPr>
        <w:t>3</w:t>
      </w:r>
      <w:r w:rsidRPr="00FF2F84">
        <w:rPr>
          <w:rFonts w:ascii="Arial" w:hAnsi="Arial" w:cs="Arial"/>
          <w:color w:val="18B8B0"/>
          <w:sz w:val="22"/>
          <w:szCs w:val="22"/>
        </w:rPr>
        <w:t>6 - Prameny Folknářského potoka a 34</w:t>
      </w:r>
      <w:r w:rsidR="00912010" w:rsidRPr="00FF2F84">
        <w:rPr>
          <w:rFonts w:ascii="Arial" w:hAnsi="Arial" w:cs="Arial"/>
          <w:color w:val="18B8B0"/>
          <w:sz w:val="22"/>
          <w:szCs w:val="22"/>
        </w:rPr>
        <w:t xml:space="preserve"> -</w:t>
      </w:r>
      <w:r w:rsidRPr="00FF2F84">
        <w:rPr>
          <w:rFonts w:ascii="Arial" w:hAnsi="Arial" w:cs="Arial"/>
          <w:color w:val="18B8B0"/>
          <w:sz w:val="22"/>
          <w:szCs w:val="22"/>
        </w:rPr>
        <w:t xml:space="preserve"> </w:t>
      </w:r>
      <w:r w:rsidR="00912010" w:rsidRPr="00FF2F84">
        <w:rPr>
          <w:rFonts w:ascii="Arial" w:hAnsi="Arial" w:cs="Arial"/>
          <w:color w:val="18B8B0"/>
          <w:sz w:val="22"/>
          <w:szCs w:val="22"/>
        </w:rPr>
        <w:t>L</w:t>
      </w:r>
      <w:r w:rsidR="009F7958" w:rsidRPr="00FF2F84">
        <w:rPr>
          <w:rFonts w:ascii="Arial" w:hAnsi="Arial" w:cs="Arial"/>
          <w:color w:val="18B8B0"/>
          <w:sz w:val="22"/>
          <w:szCs w:val="22"/>
        </w:rPr>
        <w:t>es mezi Folknáři a Březinami tak, aby nebyly v překryvu s koridorem CNZ.D(12).</w:t>
      </w:r>
    </w:p>
    <w:p w14:paraId="37812BFF" w14:textId="77777777" w:rsidR="0050677D" w:rsidRDefault="0050677D" w:rsidP="00CA23D0">
      <w:pPr>
        <w:jc w:val="both"/>
        <w:rPr>
          <w:rFonts w:ascii="Arial" w:hAnsi="Arial" w:cs="Arial"/>
          <w:color w:val="18B8B0"/>
          <w:sz w:val="22"/>
          <w:szCs w:val="22"/>
          <w:highlight w:val="yellow"/>
        </w:rPr>
      </w:pPr>
    </w:p>
    <w:p w14:paraId="4354FDC5" w14:textId="77777777" w:rsidR="00C51217" w:rsidRDefault="00C51217" w:rsidP="00CA23D0">
      <w:pPr>
        <w:jc w:val="both"/>
        <w:rPr>
          <w:rFonts w:ascii="Arial" w:hAnsi="Arial" w:cs="Arial"/>
          <w:sz w:val="22"/>
        </w:rPr>
      </w:pPr>
    </w:p>
    <w:p w14:paraId="0FCA5559" w14:textId="77777777" w:rsidR="00BB63DF" w:rsidRDefault="00AC341C" w:rsidP="00AC341C">
      <w:pPr>
        <w:pStyle w:val="Nadpis"/>
        <w:jc w:val="left"/>
      </w:pPr>
      <w:r>
        <w:rPr>
          <w:sz w:val="48"/>
          <w:szCs w:val="48"/>
        </w:rPr>
        <w:lastRenderedPageBreak/>
        <w:t>M. VYMEZENÍ VEŘEJNĚ PROSPĚŠNÝCH STAVEB A ASANAČNÍCH ÚPRAV</w:t>
      </w:r>
    </w:p>
    <w:p w14:paraId="6038EC3B" w14:textId="77777777" w:rsidR="00BB63DF" w:rsidRPr="00F31579" w:rsidRDefault="00BB63DF" w:rsidP="00BB63DF">
      <w:pPr>
        <w:pStyle w:val="Zkladntext"/>
        <w:spacing w:before="120" w:line="288" w:lineRule="auto"/>
        <w:jc w:val="both"/>
        <w:rPr>
          <w:rFonts w:cs="Arial"/>
          <w:sz w:val="22"/>
          <w:szCs w:val="22"/>
        </w:rPr>
      </w:pPr>
    </w:p>
    <w:p w14:paraId="02CB766B" w14:textId="77777777" w:rsidR="00BB63DF" w:rsidRPr="00F31579" w:rsidRDefault="00BB63DF" w:rsidP="00BB63DF">
      <w:pPr>
        <w:pStyle w:val="Zkladntext"/>
        <w:spacing w:before="120" w:line="288" w:lineRule="auto"/>
        <w:jc w:val="both"/>
        <w:rPr>
          <w:rFonts w:cs="Arial"/>
          <w:sz w:val="22"/>
          <w:szCs w:val="22"/>
        </w:rPr>
      </w:pPr>
      <w:r w:rsidRPr="00F31579">
        <w:rPr>
          <w:rFonts w:cs="Arial"/>
          <w:sz w:val="22"/>
          <w:szCs w:val="22"/>
        </w:rPr>
        <w:t>Rozsah a vymezení "veřejně prospěšných staveb" je provedeno na základě úplného znění stavebního zákona č.</w:t>
      </w:r>
      <w:r>
        <w:rPr>
          <w:rFonts w:cs="Arial"/>
          <w:sz w:val="22"/>
          <w:szCs w:val="22"/>
        </w:rPr>
        <w:t xml:space="preserve"> </w:t>
      </w:r>
      <w:r w:rsidRPr="00F31579">
        <w:rPr>
          <w:rFonts w:cs="Arial"/>
          <w:sz w:val="22"/>
          <w:szCs w:val="22"/>
        </w:rPr>
        <w:t>50/76 Sb. a doplňujících změn dle zákona č.</w:t>
      </w:r>
      <w:r>
        <w:rPr>
          <w:rFonts w:cs="Arial"/>
          <w:sz w:val="22"/>
          <w:szCs w:val="22"/>
        </w:rPr>
        <w:t xml:space="preserve"> </w:t>
      </w:r>
      <w:r w:rsidRPr="00F31579">
        <w:rPr>
          <w:rFonts w:cs="Arial"/>
          <w:sz w:val="22"/>
          <w:szCs w:val="22"/>
        </w:rPr>
        <w:t>103/90 Sb. a zákona č</w:t>
      </w:r>
      <w:r>
        <w:rPr>
          <w:rFonts w:cs="Arial"/>
          <w:sz w:val="22"/>
          <w:szCs w:val="22"/>
        </w:rPr>
        <w:t>. 262/92 Sb., části čtvrté § 108</w:t>
      </w:r>
      <w:r w:rsidRPr="00F31579">
        <w:rPr>
          <w:rFonts w:cs="Arial"/>
          <w:sz w:val="22"/>
          <w:szCs w:val="22"/>
        </w:rPr>
        <w:t>. Za veřejně prospěšné stavby se navrhují stavby určené pro veřejně prospěšné služby a pro veřejně technické vybavení území</w:t>
      </w:r>
      <w:r>
        <w:rPr>
          <w:rFonts w:cs="Arial"/>
          <w:sz w:val="22"/>
          <w:szCs w:val="22"/>
        </w:rPr>
        <w:t xml:space="preserve"> města podporující jeho rozvoj a ochranu životního prostředí.</w:t>
      </w:r>
    </w:p>
    <w:tbl>
      <w:tblPr>
        <w:tblW w:w="0" w:type="auto"/>
        <w:tblInd w:w="43" w:type="dxa"/>
        <w:tblLayout w:type="fixed"/>
        <w:tblCellMar>
          <w:left w:w="43" w:type="dxa"/>
          <w:right w:w="43" w:type="dxa"/>
        </w:tblCellMar>
        <w:tblLook w:val="0000" w:firstRow="0" w:lastRow="0" w:firstColumn="0" w:lastColumn="0" w:noHBand="0" w:noVBand="0"/>
      </w:tblPr>
      <w:tblGrid>
        <w:gridCol w:w="559"/>
        <w:gridCol w:w="8207"/>
      </w:tblGrid>
      <w:tr w:rsidR="00BB63DF" w:rsidRPr="00F31579" w14:paraId="3C955DB5" w14:textId="77777777" w:rsidTr="00BB63DF">
        <w:tc>
          <w:tcPr>
            <w:tcW w:w="559" w:type="dxa"/>
            <w:tcBorders>
              <w:top w:val="nil"/>
              <w:left w:val="nil"/>
              <w:bottom w:val="nil"/>
              <w:right w:val="nil"/>
            </w:tcBorders>
          </w:tcPr>
          <w:p w14:paraId="528A9853"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A1</w:t>
            </w:r>
          </w:p>
        </w:tc>
        <w:tc>
          <w:tcPr>
            <w:tcW w:w="8207" w:type="dxa"/>
            <w:tcBorders>
              <w:top w:val="nil"/>
              <w:left w:val="nil"/>
              <w:bottom w:val="nil"/>
              <w:right w:val="nil"/>
            </w:tcBorders>
          </w:tcPr>
          <w:p w14:paraId="2A027D80"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Nové Město, Kamenická ul.</w:t>
            </w:r>
            <w:r>
              <w:rPr>
                <w:rFonts w:cs="Arial"/>
                <w:sz w:val="22"/>
                <w:szCs w:val="22"/>
              </w:rPr>
              <w:t xml:space="preserve"> </w:t>
            </w:r>
            <w:r w:rsidRPr="00F31579">
              <w:rPr>
                <w:rFonts w:cs="Arial"/>
                <w:sz w:val="22"/>
                <w:szCs w:val="22"/>
              </w:rPr>
              <w:t>- malometrážní byty 150 b</w:t>
            </w:r>
            <w:r>
              <w:rPr>
                <w:rFonts w:cs="Arial"/>
                <w:sz w:val="22"/>
                <w:szCs w:val="22"/>
              </w:rPr>
              <w:t>.</w:t>
            </w:r>
            <w:r w:rsidRPr="00F31579">
              <w:rPr>
                <w:rFonts w:cs="Arial"/>
                <w:sz w:val="22"/>
                <w:szCs w:val="22"/>
              </w:rPr>
              <w:t>j.</w:t>
            </w:r>
          </w:p>
        </w:tc>
      </w:tr>
      <w:tr w:rsidR="00BB63DF" w:rsidRPr="00F31579" w14:paraId="643F552C" w14:textId="77777777" w:rsidTr="00BB63DF">
        <w:tc>
          <w:tcPr>
            <w:tcW w:w="559" w:type="dxa"/>
            <w:tcBorders>
              <w:top w:val="nil"/>
              <w:left w:val="nil"/>
              <w:bottom w:val="nil"/>
              <w:right w:val="nil"/>
            </w:tcBorders>
          </w:tcPr>
          <w:p w14:paraId="4938CA29"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A2</w:t>
            </w:r>
          </w:p>
        </w:tc>
        <w:tc>
          <w:tcPr>
            <w:tcW w:w="8207" w:type="dxa"/>
            <w:tcBorders>
              <w:top w:val="nil"/>
              <w:left w:val="nil"/>
              <w:bottom w:val="nil"/>
              <w:right w:val="nil"/>
            </w:tcBorders>
          </w:tcPr>
          <w:p w14:paraId="22B065D5"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Podmokly, Jungmanova ul. - malometrážní byty, penzion 10 b</w:t>
            </w:r>
            <w:r>
              <w:rPr>
                <w:rFonts w:cs="Arial"/>
                <w:sz w:val="22"/>
                <w:szCs w:val="22"/>
              </w:rPr>
              <w:t>.</w:t>
            </w:r>
            <w:r w:rsidRPr="00F31579">
              <w:rPr>
                <w:rFonts w:cs="Arial"/>
                <w:sz w:val="22"/>
                <w:szCs w:val="22"/>
              </w:rPr>
              <w:t>j.</w:t>
            </w:r>
          </w:p>
        </w:tc>
      </w:tr>
      <w:tr w:rsidR="00BB63DF" w:rsidRPr="00F31579" w14:paraId="41782146" w14:textId="77777777" w:rsidTr="00BB63DF">
        <w:tc>
          <w:tcPr>
            <w:tcW w:w="559" w:type="dxa"/>
            <w:tcBorders>
              <w:top w:val="nil"/>
              <w:left w:val="nil"/>
              <w:bottom w:val="nil"/>
              <w:right w:val="nil"/>
            </w:tcBorders>
          </w:tcPr>
          <w:p w14:paraId="6CB36D0C"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A3</w:t>
            </w:r>
          </w:p>
        </w:tc>
        <w:tc>
          <w:tcPr>
            <w:tcW w:w="8207" w:type="dxa"/>
            <w:tcBorders>
              <w:top w:val="nil"/>
              <w:left w:val="nil"/>
              <w:bottom w:val="nil"/>
              <w:right w:val="nil"/>
            </w:tcBorders>
          </w:tcPr>
          <w:p w14:paraId="3A6B4D10"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Podmokly, Ruská ul. - malomatrážní byty, penzion 15 b</w:t>
            </w:r>
            <w:r>
              <w:rPr>
                <w:rFonts w:cs="Arial"/>
                <w:sz w:val="22"/>
                <w:szCs w:val="22"/>
              </w:rPr>
              <w:t>.</w:t>
            </w:r>
            <w:r w:rsidRPr="00F31579">
              <w:rPr>
                <w:rFonts w:cs="Arial"/>
                <w:sz w:val="22"/>
                <w:szCs w:val="22"/>
              </w:rPr>
              <w:t>.j.</w:t>
            </w:r>
          </w:p>
        </w:tc>
      </w:tr>
      <w:tr w:rsidR="00BB63DF" w:rsidRPr="00F31579" w14:paraId="0A6C0F9A" w14:textId="77777777" w:rsidTr="00BB63DF">
        <w:tc>
          <w:tcPr>
            <w:tcW w:w="559" w:type="dxa"/>
            <w:tcBorders>
              <w:top w:val="nil"/>
              <w:left w:val="nil"/>
              <w:bottom w:val="nil"/>
              <w:right w:val="nil"/>
            </w:tcBorders>
          </w:tcPr>
          <w:p w14:paraId="38A158B1"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A4</w:t>
            </w:r>
          </w:p>
        </w:tc>
        <w:tc>
          <w:tcPr>
            <w:tcW w:w="8207" w:type="dxa"/>
            <w:tcBorders>
              <w:top w:val="nil"/>
              <w:left w:val="nil"/>
              <w:bottom w:val="nil"/>
              <w:right w:val="nil"/>
            </w:tcBorders>
          </w:tcPr>
          <w:p w14:paraId="20D4451C"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Podmokly, Ruská ul. - malometrážní byty, penzion 20 b</w:t>
            </w:r>
            <w:r>
              <w:rPr>
                <w:rFonts w:cs="Arial"/>
                <w:sz w:val="22"/>
                <w:szCs w:val="22"/>
              </w:rPr>
              <w:t>.</w:t>
            </w:r>
            <w:r w:rsidRPr="00F31579">
              <w:rPr>
                <w:rFonts w:cs="Arial"/>
                <w:sz w:val="22"/>
                <w:szCs w:val="22"/>
              </w:rPr>
              <w:t>.j.</w:t>
            </w:r>
          </w:p>
        </w:tc>
      </w:tr>
      <w:tr w:rsidR="00BB63DF" w:rsidRPr="00F31579" w14:paraId="40111084" w14:textId="77777777" w:rsidTr="00BB63DF">
        <w:tc>
          <w:tcPr>
            <w:tcW w:w="559" w:type="dxa"/>
            <w:tcBorders>
              <w:top w:val="nil"/>
              <w:left w:val="nil"/>
              <w:bottom w:val="nil"/>
              <w:right w:val="nil"/>
            </w:tcBorders>
          </w:tcPr>
          <w:p w14:paraId="6E9F44E9"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A5</w:t>
            </w:r>
          </w:p>
        </w:tc>
        <w:tc>
          <w:tcPr>
            <w:tcW w:w="8207" w:type="dxa"/>
            <w:tcBorders>
              <w:top w:val="nil"/>
              <w:left w:val="nil"/>
              <w:bottom w:val="nil"/>
              <w:right w:val="nil"/>
            </w:tcBorders>
          </w:tcPr>
          <w:p w14:paraId="6F2380CC"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ZŚ Máchova - dětské dopravní a sportovní hřiště, rekonstrukce zeleně</w:t>
            </w:r>
          </w:p>
        </w:tc>
      </w:tr>
      <w:tr w:rsidR="00BB63DF" w:rsidRPr="00F31579" w14:paraId="63DFFC2F" w14:textId="77777777" w:rsidTr="00BB63DF">
        <w:tc>
          <w:tcPr>
            <w:tcW w:w="559" w:type="dxa"/>
            <w:tcBorders>
              <w:top w:val="nil"/>
              <w:left w:val="nil"/>
              <w:bottom w:val="nil"/>
              <w:right w:val="nil"/>
            </w:tcBorders>
          </w:tcPr>
          <w:p w14:paraId="69B35BE9"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A6</w:t>
            </w:r>
          </w:p>
        </w:tc>
        <w:tc>
          <w:tcPr>
            <w:tcW w:w="8207" w:type="dxa"/>
            <w:tcBorders>
              <w:top w:val="nil"/>
              <w:left w:val="nil"/>
              <w:bottom w:val="nil"/>
              <w:right w:val="nil"/>
            </w:tcBorders>
          </w:tcPr>
          <w:p w14:paraId="20D9F02F"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zámek - komplexní dostavba, přestavba a rekonstrukce areálu</w:t>
            </w:r>
          </w:p>
        </w:tc>
      </w:tr>
      <w:tr w:rsidR="00BB63DF" w:rsidRPr="00F31579" w14:paraId="4E631142" w14:textId="77777777" w:rsidTr="00BB63DF">
        <w:tc>
          <w:tcPr>
            <w:tcW w:w="559" w:type="dxa"/>
            <w:tcBorders>
              <w:top w:val="nil"/>
              <w:left w:val="nil"/>
              <w:bottom w:val="nil"/>
              <w:right w:val="nil"/>
            </w:tcBorders>
          </w:tcPr>
          <w:p w14:paraId="22DA915C"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A7</w:t>
            </w:r>
          </w:p>
        </w:tc>
        <w:tc>
          <w:tcPr>
            <w:tcW w:w="8207" w:type="dxa"/>
            <w:tcBorders>
              <w:top w:val="nil"/>
              <w:left w:val="nil"/>
              <w:bottom w:val="nil"/>
              <w:right w:val="nil"/>
            </w:tcBorders>
          </w:tcPr>
          <w:p w14:paraId="36073AAF"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rekonstrukce objektu městských lázní a topného zdroje - rehabilitační centrum</w:t>
            </w:r>
          </w:p>
        </w:tc>
      </w:tr>
      <w:tr w:rsidR="00BB63DF" w:rsidRPr="00F31579" w14:paraId="2A858021" w14:textId="77777777" w:rsidTr="00BB63DF">
        <w:tc>
          <w:tcPr>
            <w:tcW w:w="559" w:type="dxa"/>
            <w:tcBorders>
              <w:top w:val="nil"/>
              <w:left w:val="nil"/>
              <w:bottom w:val="nil"/>
              <w:right w:val="nil"/>
            </w:tcBorders>
          </w:tcPr>
          <w:p w14:paraId="4999E7F8"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A8</w:t>
            </w:r>
          </w:p>
        </w:tc>
        <w:tc>
          <w:tcPr>
            <w:tcW w:w="8207" w:type="dxa"/>
            <w:tcBorders>
              <w:top w:val="nil"/>
              <w:left w:val="nil"/>
              <w:bottom w:val="nil"/>
              <w:right w:val="nil"/>
            </w:tcBorders>
          </w:tcPr>
          <w:p w14:paraId="3064EA83"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Podmokly, Jílovský potok - revitalizace a rehabilitace nábřeží, cyklistická trasa</w:t>
            </w:r>
          </w:p>
        </w:tc>
      </w:tr>
      <w:tr w:rsidR="00BB63DF" w:rsidRPr="00F31579" w14:paraId="752BE60C" w14:textId="77777777" w:rsidTr="00BB63DF">
        <w:tc>
          <w:tcPr>
            <w:tcW w:w="559" w:type="dxa"/>
            <w:tcBorders>
              <w:top w:val="nil"/>
              <w:left w:val="nil"/>
              <w:bottom w:val="nil"/>
              <w:right w:val="nil"/>
            </w:tcBorders>
          </w:tcPr>
          <w:p w14:paraId="5E9131FA"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A9</w:t>
            </w:r>
          </w:p>
        </w:tc>
        <w:tc>
          <w:tcPr>
            <w:tcW w:w="8207" w:type="dxa"/>
            <w:tcBorders>
              <w:top w:val="nil"/>
              <w:left w:val="nil"/>
              <w:bottom w:val="nil"/>
              <w:right w:val="nil"/>
            </w:tcBorders>
          </w:tcPr>
          <w:p w14:paraId="0337224F"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Podmokly, TJ LOKOMOTIVA - šatny, techn. zázemí, parkoviště</w:t>
            </w:r>
          </w:p>
        </w:tc>
      </w:tr>
      <w:tr w:rsidR="00BB63DF" w:rsidRPr="00F31579" w14:paraId="6D4925D8" w14:textId="77777777" w:rsidTr="00BB63DF">
        <w:tc>
          <w:tcPr>
            <w:tcW w:w="559" w:type="dxa"/>
            <w:tcBorders>
              <w:top w:val="nil"/>
              <w:left w:val="nil"/>
              <w:bottom w:val="nil"/>
              <w:right w:val="nil"/>
            </w:tcBorders>
          </w:tcPr>
          <w:p w14:paraId="302540CA"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A10</w:t>
            </w:r>
          </w:p>
        </w:tc>
        <w:tc>
          <w:tcPr>
            <w:tcW w:w="8207" w:type="dxa"/>
            <w:tcBorders>
              <w:top w:val="nil"/>
              <w:left w:val="nil"/>
              <w:bottom w:val="nil"/>
              <w:right w:val="nil"/>
            </w:tcBorders>
          </w:tcPr>
          <w:p w14:paraId="20335B7A"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Rozbělesy, Ústecká ul. - rekonstrukce areálu kostela a fary</w:t>
            </w:r>
          </w:p>
        </w:tc>
      </w:tr>
      <w:tr w:rsidR="00BB63DF" w:rsidRPr="00F31579" w14:paraId="25CDCAA8" w14:textId="77777777" w:rsidTr="00BB63DF">
        <w:tc>
          <w:tcPr>
            <w:tcW w:w="559" w:type="dxa"/>
            <w:tcBorders>
              <w:top w:val="nil"/>
              <w:left w:val="nil"/>
              <w:bottom w:val="nil"/>
              <w:right w:val="nil"/>
            </w:tcBorders>
          </w:tcPr>
          <w:p w14:paraId="2A3DB719"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A11</w:t>
            </w:r>
          </w:p>
        </w:tc>
        <w:tc>
          <w:tcPr>
            <w:tcW w:w="8207" w:type="dxa"/>
            <w:tcBorders>
              <w:top w:val="nil"/>
              <w:left w:val="nil"/>
              <w:bottom w:val="nil"/>
              <w:right w:val="nil"/>
            </w:tcBorders>
          </w:tcPr>
          <w:p w14:paraId="1CA5F5A7"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Bělá, Terezínský rybník - sportovní areál (sportovní hala - JITŘENKA,hřiště, zeleň)</w:t>
            </w:r>
          </w:p>
        </w:tc>
      </w:tr>
      <w:tr w:rsidR="00BB63DF" w:rsidRPr="00F31579" w14:paraId="739AA54B" w14:textId="77777777" w:rsidTr="00BB63DF">
        <w:tc>
          <w:tcPr>
            <w:tcW w:w="559" w:type="dxa"/>
            <w:tcBorders>
              <w:top w:val="nil"/>
              <w:left w:val="nil"/>
              <w:bottom w:val="nil"/>
              <w:right w:val="nil"/>
            </w:tcBorders>
          </w:tcPr>
          <w:p w14:paraId="62E45157"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A12</w:t>
            </w:r>
          </w:p>
        </w:tc>
        <w:tc>
          <w:tcPr>
            <w:tcW w:w="8207" w:type="dxa"/>
            <w:tcBorders>
              <w:top w:val="nil"/>
              <w:left w:val="nil"/>
              <w:bottom w:val="nil"/>
              <w:right w:val="nil"/>
            </w:tcBorders>
          </w:tcPr>
          <w:p w14:paraId="6C116D4A"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Bynov, tréninkové hřiště</w:t>
            </w:r>
          </w:p>
        </w:tc>
      </w:tr>
      <w:tr w:rsidR="00BB63DF" w:rsidRPr="00F31579" w14:paraId="2F420898" w14:textId="77777777" w:rsidTr="00BB63DF">
        <w:tc>
          <w:tcPr>
            <w:tcW w:w="559" w:type="dxa"/>
            <w:tcBorders>
              <w:top w:val="nil"/>
              <w:left w:val="nil"/>
              <w:bottom w:val="nil"/>
              <w:right w:val="nil"/>
            </w:tcBorders>
          </w:tcPr>
          <w:p w14:paraId="0EC4205D"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A13</w:t>
            </w:r>
          </w:p>
        </w:tc>
        <w:tc>
          <w:tcPr>
            <w:tcW w:w="8207" w:type="dxa"/>
            <w:tcBorders>
              <w:top w:val="nil"/>
              <w:left w:val="nil"/>
              <w:bottom w:val="nil"/>
              <w:right w:val="nil"/>
            </w:tcBorders>
          </w:tcPr>
          <w:p w14:paraId="151A5BD7"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Staré Město, TJ START - loděnice,rekonstrukce stadionu (likvidace staveb. dvora)</w:t>
            </w:r>
          </w:p>
        </w:tc>
      </w:tr>
      <w:tr w:rsidR="00BB63DF" w:rsidRPr="00F31579" w14:paraId="3BC91E6E" w14:textId="77777777" w:rsidTr="00BB63DF">
        <w:tc>
          <w:tcPr>
            <w:tcW w:w="559" w:type="dxa"/>
            <w:tcBorders>
              <w:top w:val="nil"/>
              <w:left w:val="nil"/>
              <w:bottom w:val="nil"/>
              <w:right w:val="nil"/>
            </w:tcBorders>
          </w:tcPr>
          <w:p w14:paraId="13507F9F"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A14</w:t>
            </w:r>
          </w:p>
        </w:tc>
        <w:tc>
          <w:tcPr>
            <w:tcW w:w="8207" w:type="dxa"/>
            <w:tcBorders>
              <w:top w:val="nil"/>
              <w:left w:val="nil"/>
              <w:bottom w:val="nil"/>
              <w:right w:val="nil"/>
            </w:tcBorders>
          </w:tcPr>
          <w:p w14:paraId="123CA66B"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Kamenická - sportovní a rekreační areál, veřejná zeleň</w:t>
            </w:r>
          </w:p>
        </w:tc>
      </w:tr>
      <w:tr w:rsidR="00BB63DF" w:rsidRPr="00F31579" w14:paraId="386EEDAE" w14:textId="77777777" w:rsidTr="00BB63DF">
        <w:tc>
          <w:tcPr>
            <w:tcW w:w="559" w:type="dxa"/>
            <w:tcBorders>
              <w:top w:val="nil"/>
              <w:left w:val="nil"/>
              <w:bottom w:val="nil"/>
              <w:right w:val="nil"/>
            </w:tcBorders>
          </w:tcPr>
          <w:p w14:paraId="2DA12759"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A15</w:t>
            </w:r>
          </w:p>
        </w:tc>
        <w:tc>
          <w:tcPr>
            <w:tcW w:w="8207" w:type="dxa"/>
            <w:tcBorders>
              <w:top w:val="nil"/>
              <w:left w:val="nil"/>
              <w:bottom w:val="nil"/>
              <w:right w:val="nil"/>
            </w:tcBorders>
          </w:tcPr>
          <w:p w14:paraId="1A6F3C74"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Folknáře, hřbitov - rozšíření areálu</w:t>
            </w:r>
          </w:p>
        </w:tc>
      </w:tr>
      <w:tr w:rsidR="00BB63DF" w:rsidRPr="00F31579" w14:paraId="00D38456" w14:textId="77777777" w:rsidTr="00BB63DF">
        <w:tc>
          <w:tcPr>
            <w:tcW w:w="559" w:type="dxa"/>
            <w:tcBorders>
              <w:top w:val="nil"/>
              <w:left w:val="nil"/>
              <w:bottom w:val="nil"/>
              <w:right w:val="nil"/>
            </w:tcBorders>
          </w:tcPr>
          <w:p w14:paraId="12A10740"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lastRenderedPageBreak/>
              <w:t>A16</w:t>
            </w:r>
          </w:p>
        </w:tc>
        <w:tc>
          <w:tcPr>
            <w:tcW w:w="8207" w:type="dxa"/>
            <w:tcBorders>
              <w:top w:val="nil"/>
              <w:left w:val="nil"/>
              <w:bottom w:val="nil"/>
              <w:right w:val="nil"/>
            </w:tcBorders>
          </w:tcPr>
          <w:p w14:paraId="469FF053"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Podmokly, Labské nábřeží - komplexní rekonstrukce,</w:t>
            </w:r>
            <w:r>
              <w:rPr>
                <w:rFonts w:cs="Arial"/>
                <w:sz w:val="22"/>
                <w:szCs w:val="22"/>
              </w:rPr>
              <w:t xml:space="preserve"> </w:t>
            </w:r>
            <w:r w:rsidRPr="00F31579">
              <w:rPr>
                <w:rFonts w:cs="Arial"/>
                <w:sz w:val="22"/>
                <w:szCs w:val="22"/>
              </w:rPr>
              <w:t>promenáda,</w:t>
            </w:r>
            <w:r>
              <w:rPr>
                <w:rFonts w:cs="Arial"/>
                <w:sz w:val="22"/>
                <w:szCs w:val="22"/>
              </w:rPr>
              <w:t xml:space="preserve"> </w:t>
            </w:r>
            <w:r w:rsidRPr="00F31579">
              <w:rPr>
                <w:rFonts w:cs="Arial"/>
                <w:sz w:val="22"/>
                <w:szCs w:val="22"/>
              </w:rPr>
              <w:t>park,</w:t>
            </w:r>
            <w:r>
              <w:rPr>
                <w:rFonts w:cs="Arial"/>
                <w:sz w:val="22"/>
                <w:szCs w:val="22"/>
              </w:rPr>
              <w:t xml:space="preserve"> </w:t>
            </w:r>
            <w:r w:rsidRPr="00F31579">
              <w:rPr>
                <w:rFonts w:cs="Arial"/>
                <w:sz w:val="22"/>
                <w:szCs w:val="22"/>
              </w:rPr>
              <w:t>cyklistická trasa</w:t>
            </w:r>
          </w:p>
        </w:tc>
      </w:tr>
      <w:tr w:rsidR="00BB63DF" w:rsidRPr="00F31579" w14:paraId="4D1A5502" w14:textId="77777777" w:rsidTr="00BB63DF">
        <w:tc>
          <w:tcPr>
            <w:tcW w:w="559" w:type="dxa"/>
            <w:tcBorders>
              <w:top w:val="nil"/>
              <w:left w:val="nil"/>
              <w:bottom w:val="nil"/>
              <w:right w:val="nil"/>
            </w:tcBorders>
          </w:tcPr>
          <w:p w14:paraId="4D888519"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A17</w:t>
            </w:r>
          </w:p>
        </w:tc>
        <w:tc>
          <w:tcPr>
            <w:tcW w:w="8207" w:type="dxa"/>
            <w:tcBorders>
              <w:top w:val="nil"/>
              <w:left w:val="nil"/>
              <w:bottom w:val="nil"/>
              <w:right w:val="nil"/>
            </w:tcBorders>
          </w:tcPr>
          <w:p w14:paraId="0966F038"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Staré Město,</w:t>
            </w:r>
            <w:r>
              <w:rPr>
                <w:rFonts w:cs="Arial"/>
                <w:sz w:val="22"/>
                <w:szCs w:val="22"/>
              </w:rPr>
              <w:t xml:space="preserve"> </w:t>
            </w:r>
            <w:r w:rsidRPr="00F31579">
              <w:rPr>
                <w:rFonts w:cs="Arial"/>
                <w:sz w:val="22"/>
                <w:szCs w:val="22"/>
              </w:rPr>
              <w:t>Labské nábřeží,</w:t>
            </w:r>
            <w:r>
              <w:rPr>
                <w:rFonts w:cs="Arial"/>
                <w:sz w:val="22"/>
                <w:szCs w:val="22"/>
              </w:rPr>
              <w:t xml:space="preserve"> </w:t>
            </w:r>
            <w:r w:rsidRPr="00F31579">
              <w:rPr>
                <w:rFonts w:cs="Arial"/>
                <w:sz w:val="22"/>
                <w:szCs w:val="22"/>
              </w:rPr>
              <w:t>soutok - park, sport, promenáda, cyklistické trasy, přívoz</w:t>
            </w:r>
          </w:p>
        </w:tc>
      </w:tr>
      <w:tr w:rsidR="00BB63DF" w:rsidRPr="00F31579" w14:paraId="2E59D664" w14:textId="77777777" w:rsidTr="00BB63DF">
        <w:tc>
          <w:tcPr>
            <w:tcW w:w="559" w:type="dxa"/>
            <w:tcBorders>
              <w:top w:val="nil"/>
              <w:left w:val="nil"/>
              <w:bottom w:val="nil"/>
              <w:right w:val="nil"/>
            </w:tcBorders>
          </w:tcPr>
          <w:p w14:paraId="063BFE34"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A18</w:t>
            </w:r>
          </w:p>
        </w:tc>
        <w:tc>
          <w:tcPr>
            <w:tcW w:w="8207" w:type="dxa"/>
            <w:tcBorders>
              <w:top w:val="nil"/>
              <w:left w:val="nil"/>
              <w:bottom w:val="nil"/>
              <w:right w:val="nil"/>
            </w:tcBorders>
          </w:tcPr>
          <w:p w14:paraId="4693C783"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Popovice, U kaple - rozšíření lesoparku Bažantnice, rekonstrukce prostoru, sport</w:t>
            </w:r>
          </w:p>
        </w:tc>
      </w:tr>
      <w:tr w:rsidR="00BB63DF" w:rsidRPr="00F31579" w14:paraId="541CC6F0" w14:textId="77777777" w:rsidTr="00BB63DF">
        <w:tc>
          <w:tcPr>
            <w:tcW w:w="559" w:type="dxa"/>
            <w:tcBorders>
              <w:top w:val="nil"/>
              <w:left w:val="nil"/>
              <w:bottom w:val="nil"/>
              <w:right w:val="nil"/>
            </w:tcBorders>
          </w:tcPr>
          <w:p w14:paraId="47828016"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A19</w:t>
            </w:r>
          </w:p>
        </w:tc>
        <w:tc>
          <w:tcPr>
            <w:tcW w:w="8207" w:type="dxa"/>
            <w:tcBorders>
              <w:top w:val="nil"/>
              <w:left w:val="nil"/>
              <w:bottom w:val="nil"/>
              <w:right w:val="nil"/>
            </w:tcBorders>
          </w:tcPr>
          <w:p w14:paraId="7478A9F3"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Děčín, Na hůrkách - rekonstrukce a rozšíření ploch na lesopark</w:t>
            </w:r>
          </w:p>
        </w:tc>
      </w:tr>
      <w:tr w:rsidR="00BB63DF" w:rsidRPr="00F31579" w14:paraId="398113C7" w14:textId="77777777" w:rsidTr="00BB63DF">
        <w:tc>
          <w:tcPr>
            <w:tcW w:w="559" w:type="dxa"/>
            <w:tcBorders>
              <w:top w:val="nil"/>
              <w:left w:val="nil"/>
              <w:bottom w:val="nil"/>
              <w:right w:val="nil"/>
            </w:tcBorders>
          </w:tcPr>
          <w:p w14:paraId="6F08C22C"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A20</w:t>
            </w:r>
          </w:p>
        </w:tc>
        <w:tc>
          <w:tcPr>
            <w:tcW w:w="8207" w:type="dxa"/>
            <w:tcBorders>
              <w:top w:val="nil"/>
              <w:left w:val="nil"/>
              <w:bottom w:val="nil"/>
              <w:right w:val="nil"/>
            </w:tcBorders>
          </w:tcPr>
          <w:p w14:paraId="3E0DFBC9"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Nové Město, u nemocnice - veřejná zeleň, nemocniční park</w:t>
            </w:r>
          </w:p>
        </w:tc>
      </w:tr>
      <w:tr w:rsidR="00BB63DF" w:rsidRPr="00F31579" w14:paraId="1346EC8F" w14:textId="77777777" w:rsidTr="00BB63DF">
        <w:tc>
          <w:tcPr>
            <w:tcW w:w="559" w:type="dxa"/>
            <w:tcBorders>
              <w:top w:val="nil"/>
              <w:left w:val="nil"/>
              <w:bottom w:val="nil"/>
              <w:right w:val="nil"/>
            </w:tcBorders>
          </w:tcPr>
          <w:p w14:paraId="27E09741"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A21</w:t>
            </w:r>
          </w:p>
        </w:tc>
        <w:tc>
          <w:tcPr>
            <w:tcW w:w="8207" w:type="dxa"/>
            <w:tcBorders>
              <w:top w:val="nil"/>
              <w:left w:val="nil"/>
              <w:bottom w:val="nil"/>
              <w:right w:val="nil"/>
            </w:tcBorders>
          </w:tcPr>
          <w:p w14:paraId="6E1769E8"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Boletice n.</w:t>
            </w:r>
            <w:r>
              <w:rPr>
                <w:rFonts w:cs="Arial"/>
                <w:sz w:val="22"/>
                <w:szCs w:val="22"/>
              </w:rPr>
              <w:t xml:space="preserve"> </w:t>
            </w:r>
            <w:r w:rsidRPr="00F31579">
              <w:rPr>
                <w:rFonts w:cs="Arial"/>
                <w:sz w:val="22"/>
                <w:szCs w:val="22"/>
              </w:rPr>
              <w:t>L. - rekonstrukce a rozšíření ploch na lesopark, sport</w:t>
            </w:r>
          </w:p>
        </w:tc>
      </w:tr>
      <w:tr w:rsidR="00BB63DF" w:rsidRPr="00F31579" w14:paraId="65658355" w14:textId="77777777" w:rsidTr="00BB63DF">
        <w:tc>
          <w:tcPr>
            <w:tcW w:w="559" w:type="dxa"/>
            <w:tcBorders>
              <w:top w:val="nil"/>
              <w:left w:val="nil"/>
              <w:bottom w:val="nil"/>
              <w:right w:val="nil"/>
            </w:tcBorders>
          </w:tcPr>
          <w:p w14:paraId="22EDE66B"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A22</w:t>
            </w:r>
          </w:p>
        </w:tc>
        <w:tc>
          <w:tcPr>
            <w:tcW w:w="8207" w:type="dxa"/>
            <w:tcBorders>
              <w:top w:val="nil"/>
              <w:left w:val="nil"/>
              <w:bottom w:val="nil"/>
              <w:right w:val="nil"/>
            </w:tcBorders>
          </w:tcPr>
          <w:p w14:paraId="1BAD60C1"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Březiny, obytný soubor - veřejná zeleň, sportovní hřiště</w:t>
            </w:r>
          </w:p>
        </w:tc>
      </w:tr>
      <w:tr w:rsidR="00BB63DF" w:rsidRPr="00F31579" w14:paraId="7F335BB0" w14:textId="77777777" w:rsidTr="00BB63DF">
        <w:tc>
          <w:tcPr>
            <w:tcW w:w="559" w:type="dxa"/>
            <w:tcBorders>
              <w:top w:val="nil"/>
              <w:left w:val="nil"/>
              <w:bottom w:val="nil"/>
              <w:right w:val="nil"/>
            </w:tcBorders>
          </w:tcPr>
          <w:p w14:paraId="026C4F11"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A23</w:t>
            </w:r>
          </w:p>
        </w:tc>
        <w:tc>
          <w:tcPr>
            <w:tcW w:w="8207" w:type="dxa"/>
            <w:tcBorders>
              <w:top w:val="nil"/>
              <w:left w:val="nil"/>
              <w:bottom w:val="nil"/>
              <w:right w:val="nil"/>
            </w:tcBorders>
          </w:tcPr>
          <w:p w14:paraId="1021E3F8"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recyklační dvůr odpadu - areál CTZ Děčín východ</w:t>
            </w:r>
          </w:p>
        </w:tc>
      </w:tr>
      <w:tr w:rsidR="00BB63DF" w:rsidRPr="00F31579" w14:paraId="7058B238" w14:textId="77777777" w:rsidTr="00BB63DF">
        <w:tc>
          <w:tcPr>
            <w:tcW w:w="559" w:type="dxa"/>
            <w:tcBorders>
              <w:top w:val="nil"/>
              <w:left w:val="nil"/>
              <w:bottom w:val="nil"/>
              <w:right w:val="nil"/>
            </w:tcBorders>
          </w:tcPr>
          <w:p w14:paraId="7051616D" w14:textId="77777777" w:rsidR="00BB63DF" w:rsidRPr="00F31579" w:rsidRDefault="00BB63DF" w:rsidP="00BB63DF">
            <w:pPr>
              <w:pStyle w:val="Texttabulky"/>
              <w:spacing w:before="120" w:line="288" w:lineRule="auto"/>
              <w:rPr>
                <w:rFonts w:cs="Arial"/>
                <w:sz w:val="22"/>
                <w:szCs w:val="22"/>
              </w:rPr>
            </w:pPr>
            <w:r w:rsidRPr="00F31579">
              <w:rPr>
                <w:rFonts w:cs="Arial"/>
                <w:b/>
                <w:bCs/>
                <w:sz w:val="22"/>
                <w:szCs w:val="22"/>
              </w:rPr>
              <w:t>A24</w:t>
            </w:r>
          </w:p>
        </w:tc>
        <w:tc>
          <w:tcPr>
            <w:tcW w:w="8207" w:type="dxa"/>
            <w:tcBorders>
              <w:top w:val="nil"/>
              <w:left w:val="nil"/>
              <w:bottom w:val="nil"/>
              <w:right w:val="nil"/>
            </w:tcBorders>
          </w:tcPr>
          <w:p w14:paraId="7D13816A" w14:textId="77777777" w:rsidR="00BB63DF" w:rsidRPr="00F31579" w:rsidRDefault="00BB63DF" w:rsidP="00BB63DF">
            <w:pPr>
              <w:pStyle w:val="Texttabulky"/>
              <w:spacing w:before="120" w:line="288" w:lineRule="auto"/>
              <w:rPr>
                <w:rFonts w:cs="Arial"/>
                <w:sz w:val="22"/>
                <w:szCs w:val="22"/>
              </w:rPr>
            </w:pPr>
            <w:r w:rsidRPr="00F31579">
              <w:rPr>
                <w:rFonts w:cs="Arial"/>
                <w:sz w:val="22"/>
                <w:szCs w:val="22"/>
              </w:rPr>
              <w:t>rozšíření areálu TS + sportovní hřiště</w:t>
            </w:r>
          </w:p>
        </w:tc>
      </w:tr>
    </w:tbl>
    <w:p w14:paraId="15BA1225" w14:textId="77777777" w:rsidR="00BB63DF" w:rsidRPr="00F31579" w:rsidRDefault="00BB63DF" w:rsidP="00BB63DF">
      <w:pPr>
        <w:pStyle w:val="Zkladntext"/>
        <w:spacing w:before="120" w:line="288" w:lineRule="auto"/>
        <w:jc w:val="both"/>
        <w:rPr>
          <w:rFonts w:cs="Arial"/>
          <w:b/>
          <w:bCs/>
          <w:sz w:val="22"/>
          <w:szCs w:val="22"/>
        </w:rPr>
      </w:pPr>
    </w:p>
    <w:p w14:paraId="1E56DC67" w14:textId="77777777" w:rsidR="00BB63DF" w:rsidRPr="00AC341C" w:rsidRDefault="00BB63DF" w:rsidP="00BB63DF">
      <w:pPr>
        <w:pStyle w:val="Zkladntext"/>
        <w:rPr>
          <w:rFonts w:ascii="Arial" w:hAnsi="Arial" w:cs="Arial"/>
          <w:b/>
          <w:bCs/>
          <w:caps/>
          <w:sz w:val="32"/>
          <w:szCs w:val="32"/>
        </w:rPr>
      </w:pPr>
      <w:r w:rsidRPr="00AC341C">
        <w:rPr>
          <w:rFonts w:ascii="Arial" w:hAnsi="Arial" w:cs="Arial"/>
          <w:b/>
          <w:bCs/>
          <w:sz w:val="32"/>
          <w:szCs w:val="32"/>
        </w:rPr>
        <w:t xml:space="preserve">VEŘEJNĚ PROSPĚŠNÉ STAVBY </w:t>
      </w:r>
      <w:r w:rsidRPr="00AC341C">
        <w:rPr>
          <w:rFonts w:ascii="Arial" w:hAnsi="Arial" w:cs="Arial"/>
          <w:b/>
          <w:bCs/>
          <w:caps/>
          <w:sz w:val="32"/>
          <w:szCs w:val="32"/>
        </w:rPr>
        <w:t>dopravy</w:t>
      </w:r>
    </w:p>
    <w:p w14:paraId="05520F6C" w14:textId="77777777" w:rsidR="00BB63DF" w:rsidRPr="00AC341C" w:rsidRDefault="00BB63DF" w:rsidP="00BB63DF">
      <w:pPr>
        <w:pStyle w:val="Zkladntext"/>
        <w:rPr>
          <w:rFonts w:ascii="Arial" w:hAnsi="Arial" w:cs="Arial"/>
        </w:rPr>
      </w:pPr>
    </w:p>
    <w:p w14:paraId="382657F5" w14:textId="77777777" w:rsidR="00BB63DF" w:rsidRPr="00AC341C" w:rsidRDefault="00BB63DF" w:rsidP="00BB63DF">
      <w:pPr>
        <w:pStyle w:val="podnadpis2"/>
        <w:spacing w:after="600"/>
        <w:rPr>
          <w:rFonts w:cs="Arial"/>
          <w:sz w:val="28"/>
          <w:szCs w:val="28"/>
        </w:rPr>
      </w:pPr>
      <w:r w:rsidRPr="00AC341C">
        <w:rPr>
          <w:rFonts w:cs="Arial"/>
          <w:sz w:val="28"/>
          <w:szCs w:val="28"/>
        </w:rPr>
        <w:t xml:space="preserve">LINIOVÉ STAVBY </w:t>
      </w:r>
    </w:p>
    <w:p w14:paraId="320934E9" w14:textId="77777777" w:rsidR="00BB63DF" w:rsidRPr="00AC341C" w:rsidRDefault="00BB63DF" w:rsidP="00BB63DF">
      <w:pPr>
        <w:pStyle w:val="Zkladntext"/>
        <w:spacing w:before="120" w:line="288" w:lineRule="auto"/>
        <w:jc w:val="both"/>
        <w:rPr>
          <w:rFonts w:ascii="Arial" w:hAnsi="Arial" w:cs="Arial"/>
        </w:rPr>
      </w:pPr>
      <w:r w:rsidRPr="00AC341C">
        <w:rPr>
          <w:rFonts w:ascii="Arial" w:hAnsi="Arial" w:cs="Arial"/>
          <w:b/>
          <w:bCs/>
          <w:caps/>
        </w:rPr>
        <w:t>A - České dráhy</w:t>
      </w:r>
    </w:p>
    <w:p w14:paraId="263F9F7E"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D1</w:t>
      </w:r>
      <w:r w:rsidRPr="00AC341C">
        <w:rPr>
          <w:rFonts w:ascii="Arial" w:hAnsi="Arial" w:cs="Arial"/>
          <w:b/>
          <w:bCs/>
          <w:sz w:val="22"/>
          <w:szCs w:val="22"/>
        </w:rPr>
        <w:tab/>
      </w:r>
      <w:r w:rsidRPr="00AC341C">
        <w:rPr>
          <w:rFonts w:ascii="Arial" w:hAnsi="Arial" w:cs="Arial"/>
          <w:sz w:val="22"/>
          <w:szCs w:val="22"/>
        </w:rPr>
        <w:t>A0 - Modernizace I. železničního koridoru Břeclav - Děčín - Berlín včetně úpravy přejezdu v Přípeři.</w:t>
      </w:r>
    </w:p>
    <w:p w14:paraId="71D67E3C"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sz w:val="22"/>
          <w:szCs w:val="22"/>
        </w:rPr>
        <w:t>D2</w:t>
      </w:r>
      <w:r w:rsidRPr="00AC341C">
        <w:rPr>
          <w:rFonts w:ascii="Arial" w:hAnsi="Arial" w:cs="Arial"/>
          <w:sz w:val="22"/>
          <w:szCs w:val="22"/>
        </w:rPr>
        <w:tab/>
        <w:t>A1 - Podchod pro pěší z přednádražního prostoru do ulice Práce (v rámci přestavby železniční stanice Děčín-hl. n.).</w:t>
      </w:r>
    </w:p>
    <w:p w14:paraId="4CB5BF5A"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D3</w:t>
      </w:r>
      <w:r w:rsidRPr="00AC341C">
        <w:rPr>
          <w:rFonts w:ascii="Arial" w:hAnsi="Arial" w:cs="Arial"/>
          <w:b/>
          <w:bCs/>
          <w:sz w:val="22"/>
          <w:szCs w:val="22"/>
        </w:rPr>
        <w:tab/>
      </w:r>
      <w:r w:rsidRPr="00AC341C">
        <w:rPr>
          <w:rFonts w:ascii="Arial" w:hAnsi="Arial" w:cs="Arial"/>
          <w:sz w:val="22"/>
          <w:szCs w:val="22"/>
        </w:rPr>
        <w:t>A4 - Přeložka vlečky do Rozběles v ul. Práce.</w:t>
      </w:r>
    </w:p>
    <w:p w14:paraId="737ACDC3"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D4</w:t>
      </w:r>
      <w:r w:rsidRPr="00AC341C">
        <w:rPr>
          <w:rFonts w:ascii="Arial" w:hAnsi="Arial" w:cs="Arial"/>
          <w:b/>
          <w:bCs/>
          <w:sz w:val="22"/>
          <w:szCs w:val="22"/>
        </w:rPr>
        <w:tab/>
      </w:r>
      <w:r w:rsidRPr="00AC341C">
        <w:rPr>
          <w:rFonts w:ascii="Arial" w:hAnsi="Arial" w:cs="Arial"/>
          <w:sz w:val="22"/>
          <w:szCs w:val="22"/>
        </w:rPr>
        <w:t>A5 - Vlečka k ČOV v Boleticích.</w:t>
      </w:r>
    </w:p>
    <w:p w14:paraId="4934AB86" w14:textId="77777777" w:rsidR="00BB63DF" w:rsidRPr="00AC341C" w:rsidRDefault="00BB63DF" w:rsidP="00BB63DF">
      <w:pPr>
        <w:pStyle w:val="Zkladntext"/>
        <w:spacing w:before="120" w:line="288" w:lineRule="auto"/>
        <w:jc w:val="both"/>
        <w:rPr>
          <w:rFonts w:ascii="Arial" w:hAnsi="Arial" w:cs="Arial"/>
          <w:b/>
          <w:bCs/>
          <w:caps/>
        </w:rPr>
      </w:pPr>
      <w:r w:rsidRPr="00AC341C">
        <w:rPr>
          <w:rFonts w:ascii="Arial" w:hAnsi="Arial" w:cs="Arial"/>
          <w:b/>
          <w:bCs/>
          <w:caps/>
        </w:rPr>
        <w:t>B - silnice I/13</w:t>
      </w:r>
    </w:p>
    <w:p w14:paraId="04A50CEC"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D5</w:t>
      </w:r>
      <w:r w:rsidRPr="00AC341C">
        <w:rPr>
          <w:rFonts w:ascii="Arial" w:hAnsi="Arial" w:cs="Arial"/>
          <w:b/>
          <w:bCs/>
          <w:sz w:val="22"/>
          <w:szCs w:val="22"/>
        </w:rPr>
        <w:tab/>
      </w:r>
      <w:r w:rsidRPr="00AC341C">
        <w:rPr>
          <w:rFonts w:ascii="Arial" w:hAnsi="Arial" w:cs="Arial"/>
          <w:sz w:val="22"/>
          <w:szCs w:val="22"/>
        </w:rPr>
        <w:t>B2 - Komplexní rekonstrukce ulice Práce (přeložka sil. I/62) v Rozbělesech a realizace mimoúrovňové křižovatky na levém předmostí Nového mostu.</w:t>
      </w:r>
    </w:p>
    <w:p w14:paraId="4AED7A06" w14:textId="74CF3150" w:rsidR="00BB63DF" w:rsidRPr="00682E20" w:rsidRDefault="00BB63DF" w:rsidP="00BB63DF">
      <w:pPr>
        <w:pStyle w:val="Zkladntext"/>
        <w:spacing w:before="120" w:line="288" w:lineRule="auto"/>
        <w:ind w:left="709" w:hanging="709"/>
        <w:jc w:val="both"/>
        <w:rPr>
          <w:rFonts w:ascii="Arial" w:hAnsi="Arial" w:cs="Arial"/>
          <w:color w:val="18B8B0"/>
          <w:sz w:val="22"/>
          <w:szCs w:val="22"/>
        </w:rPr>
      </w:pPr>
      <w:r w:rsidRPr="00682E20">
        <w:rPr>
          <w:rFonts w:ascii="Arial" w:hAnsi="Arial" w:cs="Arial"/>
          <w:b/>
          <w:bCs/>
          <w:color w:val="000000" w:themeColor="text1"/>
          <w:sz w:val="22"/>
          <w:szCs w:val="22"/>
        </w:rPr>
        <w:t>D6</w:t>
      </w:r>
      <w:r w:rsidR="001A40ED" w:rsidRPr="00682E20">
        <w:rPr>
          <w:rFonts w:ascii="Arial" w:hAnsi="Arial" w:cs="Arial"/>
          <w:b/>
          <w:bCs/>
          <w:color w:val="000000" w:themeColor="text1"/>
          <w:sz w:val="22"/>
          <w:szCs w:val="22"/>
        </w:rPr>
        <w:t xml:space="preserve"> </w:t>
      </w:r>
      <w:r w:rsidRPr="00682E20">
        <w:rPr>
          <w:rFonts w:ascii="Arial" w:hAnsi="Arial" w:cs="Arial"/>
          <w:b/>
          <w:bCs/>
          <w:color w:val="000000" w:themeColor="text1"/>
          <w:sz w:val="22"/>
          <w:szCs w:val="22"/>
        </w:rPr>
        <w:tab/>
      </w:r>
      <w:r w:rsidRPr="00682E20">
        <w:rPr>
          <w:rFonts w:ascii="Arial" w:hAnsi="Arial" w:cs="Arial"/>
          <w:color w:val="000000" w:themeColor="text1"/>
          <w:sz w:val="22"/>
          <w:szCs w:val="22"/>
        </w:rPr>
        <w:t xml:space="preserve">B3 - Přeložka sil. I/13 v pravobřežní části Děčína v </w:t>
      </w:r>
      <w:r w:rsidRPr="00FF2F84">
        <w:rPr>
          <w:rFonts w:ascii="Arial" w:hAnsi="Arial" w:cs="Arial"/>
          <w:color w:val="000000" w:themeColor="text1"/>
          <w:sz w:val="22"/>
          <w:szCs w:val="22"/>
        </w:rPr>
        <w:t>prostoru Libverdy</w:t>
      </w:r>
      <w:r w:rsidR="00FF2F84" w:rsidRPr="00FF2F84">
        <w:rPr>
          <w:rFonts w:ascii="Arial" w:hAnsi="Arial" w:cs="Arial"/>
          <w:color w:val="000000" w:themeColor="text1"/>
          <w:sz w:val="22"/>
          <w:szCs w:val="22"/>
        </w:rPr>
        <w:t>.</w:t>
      </w:r>
      <w:r w:rsidRPr="00FF2F84">
        <w:rPr>
          <w:rFonts w:ascii="Arial" w:hAnsi="Arial" w:cs="Arial"/>
          <w:color w:val="009999"/>
          <w:sz w:val="22"/>
          <w:szCs w:val="22"/>
        </w:rPr>
        <w:t xml:space="preserve"> </w:t>
      </w:r>
      <w:r w:rsidRPr="00FF2F84">
        <w:rPr>
          <w:rFonts w:ascii="Arial" w:hAnsi="Arial" w:cs="Arial"/>
          <w:color w:val="000000" w:themeColor="text1"/>
          <w:sz w:val="22"/>
          <w:szCs w:val="22"/>
        </w:rPr>
        <w:t xml:space="preserve">Trasa je součástí komplexní přestavby tahu od Děčína po Nový Bor. </w:t>
      </w:r>
      <w:r w:rsidR="00682E20" w:rsidRPr="00FF2F84">
        <w:rPr>
          <w:rFonts w:ascii="Arial" w:hAnsi="Arial" w:cs="Arial"/>
          <w:color w:val="18B8B0"/>
          <w:sz w:val="22"/>
          <w:szCs w:val="22"/>
        </w:rPr>
        <w:t xml:space="preserve">VPS </w:t>
      </w:r>
      <w:r w:rsidR="004C7A8D" w:rsidRPr="00FF2F84">
        <w:rPr>
          <w:rFonts w:ascii="Arial" w:hAnsi="Arial" w:cs="Arial"/>
          <w:color w:val="18B8B0"/>
          <w:sz w:val="22"/>
          <w:szCs w:val="22"/>
        </w:rPr>
        <w:t>je v úseku Libverda - Březiny nahrazena koridorem CNZ.D(12).</w:t>
      </w:r>
      <w:r w:rsidR="004C7A8D">
        <w:rPr>
          <w:rFonts w:ascii="Arial" w:hAnsi="Arial" w:cs="Arial"/>
          <w:color w:val="18B8B0"/>
          <w:sz w:val="22"/>
          <w:szCs w:val="22"/>
        </w:rPr>
        <w:t xml:space="preserve"> </w:t>
      </w:r>
    </w:p>
    <w:p w14:paraId="136F0C2D"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lastRenderedPageBreak/>
        <w:t>D7</w:t>
      </w:r>
      <w:r w:rsidRPr="00AC341C">
        <w:rPr>
          <w:rFonts w:ascii="Arial" w:hAnsi="Arial" w:cs="Arial"/>
          <w:b/>
          <w:bCs/>
          <w:sz w:val="22"/>
          <w:szCs w:val="22"/>
        </w:rPr>
        <w:tab/>
      </w:r>
      <w:r w:rsidRPr="00AC341C">
        <w:rPr>
          <w:rFonts w:ascii="Arial" w:hAnsi="Arial" w:cs="Arial"/>
          <w:sz w:val="22"/>
          <w:szCs w:val="22"/>
        </w:rPr>
        <w:t>B4 - Komplexní rekonstrukce a šířková úprava stávajícího průtahu sil. I/13 v Bynově a Dolním Oldřichově</w:t>
      </w:r>
    </w:p>
    <w:p w14:paraId="2632E594" w14:textId="77777777" w:rsidR="00BB63DF" w:rsidRPr="00AC341C" w:rsidRDefault="00BB63DF" w:rsidP="00BB63DF">
      <w:pPr>
        <w:pStyle w:val="Zkladntext"/>
        <w:spacing w:before="120" w:line="288" w:lineRule="auto"/>
        <w:jc w:val="both"/>
        <w:rPr>
          <w:rFonts w:ascii="Arial" w:hAnsi="Arial" w:cs="Arial"/>
          <w:b/>
          <w:bCs/>
          <w:caps/>
        </w:rPr>
      </w:pPr>
      <w:r w:rsidRPr="00AC341C">
        <w:rPr>
          <w:rFonts w:ascii="Arial" w:hAnsi="Arial" w:cs="Arial"/>
          <w:b/>
          <w:bCs/>
          <w:caps/>
        </w:rPr>
        <w:t>C - SILNICE II/261</w:t>
      </w:r>
    </w:p>
    <w:p w14:paraId="099E2055"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D8</w:t>
      </w:r>
      <w:r w:rsidRPr="00AC341C">
        <w:rPr>
          <w:rFonts w:ascii="Arial" w:hAnsi="Arial" w:cs="Arial"/>
          <w:b/>
          <w:bCs/>
          <w:sz w:val="22"/>
          <w:szCs w:val="22"/>
        </w:rPr>
        <w:tab/>
      </w:r>
      <w:r w:rsidRPr="00AC341C">
        <w:rPr>
          <w:rFonts w:ascii="Arial" w:hAnsi="Arial" w:cs="Arial"/>
          <w:sz w:val="22"/>
          <w:szCs w:val="22"/>
        </w:rPr>
        <w:t>C1 - Přeložka silnice II/261 v úseku Staré Město - Křešice s mimoúrovňovým přechodem dráhy a s opětným napojením na stávající trasu v ul. Vítězství.</w:t>
      </w:r>
    </w:p>
    <w:p w14:paraId="124B0DE3" w14:textId="77777777" w:rsidR="00BB63DF" w:rsidRPr="00AC341C" w:rsidRDefault="00BB63DF" w:rsidP="00BB63DF">
      <w:pPr>
        <w:pStyle w:val="Zkladntext"/>
        <w:spacing w:before="120" w:line="288" w:lineRule="auto"/>
        <w:jc w:val="both"/>
        <w:rPr>
          <w:rFonts w:ascii="Arial" w:hAnsi="Arial" w:cs="Arial"/>
          <w:b/>
          <w:bCs/>
          <w:caps/>
        </w:rPr>
      </w:pPr>
      <w:r w:rsidRPr="00AC341C">
        <w:rPr>
          <w:rFonts w:ascii="Arial" w:hAnsi="Arial" w:cs="Arial"/>
          <w:b/>
          <w:bCs/>
          <w:caps/>
        </w:rPr>
        <w:t>D - Folknářská spojka</w:t>
      </w:r>
    </w:p>
    <w:p w14:paraId="61A8ECEE" w14:textId="49025618" w:rsidR="001A40ED" w:rsidRPr="001A40ED" w:rsidRDefault="001A40ED" w:rsidP="00736A9D">
      <w:pPr>
        <w:pStyle w:val="Zkladntext"/>
        <w:spacing w:before="120" w:line="288" w:lineRule="auto"/>
        <w:jc w:val="both"/>
        <w:rPr>
          <w:rFonts w:ascii="Arial" w:hAnsi="Arial" w:cs="Arial"/>
          <w:color w:val="18B8B0"/>
          <w:sz w:val="22"/>
          <w:szCs w:val="22"/>
        </w:rPr>
      </w:pPr>
      <w:r w:rsidRPr="00FF2F84">
        <w:rPr>
          <w:rFonts w:ascii="Arial" w:hAnsi="Arial" w:cs="Arial"/>
          <w:b/>
          <w:color w:val="18B8B0"/>
          <w:sz w:val="22"/>
          <w:szCs w:val="22"/>
        </w:rPr>
        <w:t>CNZ.D(12)</w:t>
      </w:r>
      <w:r w:rsidRPr="00FF2F84">
        <w:rPr>
          <w:rFonts w:ascii="Arial" w:hAnsi="Arial" w:cs="Arial"/>
          <w:color w:val="18B8B0"/>
          <w:sz w:val="22"/>
          <w:szCs w:val="22"/>
        </w:rPr>
        <w:t xml:space="preserve"> </w:t>
      </w:r>
      <w:r w:rsidR="00736A9D" w:rsidRPr="00FF2F84">
        <w:rPr>
          <w:rFonts w:ascii="Arial" w:hAnsi="Arial" w:cs="Arial"/>
          <w:color w:val="18B8B0"/>
          <w:sz w:val="22"/>
          <w:szCs w:val="22"/>
        </w:rPr>
        <w:t>Př</w:t>
      </w:r>
      <w:r w:rsidRPr="00FF2F84">
        <w:rPr>
          <w:rFonts w:ascii="Arial" w:hAnsi="Arial" w:cs="Arial"/>
          <w:color w:val="18B8B0"/>
          <w:sz w:val="22"/>
          <w:szCs w:val="22"/>
        </w:rPr>
        <w:t>eložka sil. I/13</w:t>
      </w:r>
      <w:r w:rsidR="00682E20" w:rsidRPr="00FF2F84">
        <w:rPr>
          <w:rFonts w:ascii="Arial" w:hAnsi="Arial" w:cs="Arial"/>
          <w:color w:val="18B8B0"/>
          <w:sz w:val="22"/>
          <w:szCs w:val="22"/>
        </w:rPr>
        <w:t xml:space="preserve"> Děčín - Ludvíkovice</w:t>
      </w:r>
      <w:r w:rsidR="00736A9D" w:rsidRPr="00FF2F84">
        <w:rPr>
          <w:rFonts w:ascii="Arial" w:hAnsi="Arial" w:cs="Arial"/>
          <w:color w:val="18B8B0"/>
          <w:sz w:val="22"/>
          <w:szCs w:val="22"/>
        </w:rPr>
        <w:t xml:space="preserve"> (Tzv. Folknářská spojka odlehčujícící ulici Kamenickou)</w:t>
      </w:r>
      <w:r w:rsidRPr="00FF2F84">
        <w:rPr>
          <w:rFonts w:ascii="Arial" w:hAnsi="Arial" w:cs="Arial"/>
          <w:color w:val="18B8B0"/>
          <w:sz w:val="22"/>
          <w:szCs w:val="22"/>
        </w:rPr>
        <w:t xml:space="preserve"> v pravobřežní části Děčína v prostoru Libverdy</w:t>
      </w:r>
      <w:r w:rsidR="00736A9D" w:rsidRPr="00FF2F84">
        <w:rPr>
          <w:rFonts w:ascii="Arial" w:hAnsi="Arial" w:cs="Arial"/>
          <w:color w:val="18B8B0"/>
          <w:sz w:val="22"/>
          <w:szCs w:val="22"/>
        </w:rPr>
        <w:t>,</w:t>
      </w:r>
      <w:r w:rsidRPr="00FF2F84">
        <w:rPr>
          <w:rFonts w:ascii="Arial" w:hAnsi="Arial" w:cs="Arial"/>
          <w:color w:val="18B8B0"/>
          <w:sz w:val="22"/>
          <w:szCs w:val="22"/>
        </w:rPr>
        <w:t xml:space="preserve"> včetně mimoúrovňové křižovatky na Folknářské spojce. </w:t>
      </w:r>
      <w:r w:rsidR="00736A9D" w:rsidRPr="00FF2F84">
        <w:rPr>
          <w:rFonts w:ascii="Arial" w:hAnsi="Arial" w:cs="Arial"/>
          <w:color w:val="18B8B0"/>
          <w:sz w:val="22"/>
          <w:szCs w:val="22"/>
        </w:rPr>
        <w:t>V rámci koridoru jsou zahrnuty</w:t>
      </w:r>
      <w:r w:rsidRPr="00FF2F84">
        <w:rPr>
          <w:rFonts w:ascii="Arial" w:hAnsi="Arial" w:cs="Arial"/>
          <w:color w:val="18B8B0"/>
          <w:sz w:val="22"/>
          <w:szCs w:val="22"/>
        </w:rPr>
        <w:t xml:space="preserve"> </w:t>
      </w:r>
      <w:r w:rsidR="00736A9D" w:rsidRPr="00FF2F84">
        <w:rPr>
          <w:rFonts w:ascii="Arial" w:hAnsi="Arial" w:cs="Arial"/>
          <w:color w:val="18B8B0"/>
          <w:sz w:val="22"/>
          <w:szCs w:val="22"/>
        </w:rPr>
        <w:t>stavby</w:t>
      </w:r>
      <w:r w:rsidRPr="00FF2F84">
        <w:rPr>
          <w:rFonts w:ascii="Arial" w:hAnsi="Arial" w:cs="Arial"/>
          <w:color w:val="18B8B0"/>
          <w:sz w:val="22"/>
          <w:szCs w:val="22"/>
        </w:rPr>
        <w:t xml:space="preserve"> souv</w:t>
      </w:r>
      <w:r w:rsidR="00736A9D" w:rsidRPr="00FF2F84">
        <w:rPr>
          <w:rFonts w:ascii="Arial" w:hAnsi="Arial" w:cs="Arial"/>
          <w:color w:val="18B8B0"/>
          <w:sz w:val="22"/>
          <w:szCs w:val="22"/>
        </w:rPr>
        <w:t>isející</w:t>
      </w:r>
      <w:r w:rsidRPr="00FF2F84">
        <w:rPr>
          <w:rFonts w:ascii="Arial" w:hAnsi="Arial" w:cs="Arial"/>
          <w:color w:val="18B8B0"/>
          <w:sz w:val="22"/>
          <w:szCs w:val="22"/>
        </w:rPr>
        <w:t xml:space="preserve"> s touto přeložkou. Trasa je součástí komplexní přestavby tahu od Děčína po Nový Bor.</w:t>
      </w:r>
    </w:p>
    <w:p w14:paraId="28964EB0" w14:textId="77777777" w:rsidR="00BB63DF" w:rsidRPr="00AC341C" w:rsidRDefault="00BB63DF" w:rsidP="00BB63DF">
      <w:pPr>
        <w:pStyle w:val="Zkladntext"/>
        <w:spacing w:before="120" w:line="288" w:lineRule="auto"/>
        <w:jc w:val="both"/>
        <w:rPr>
          <w:rFonts w:ascii="Arial" w:hAnsi="Arial" w:cs="Arial"/>
          <w:b/>
          <w:bCs/>
          <w:caps/>
        </w:rPr>
      </w:pPr>
      <w:r w:rsidRPr="00AC341C">
        <w:rPr>
          <w:rFonts w:ascii="Arial" w:hAnsi="Arial" w:cs="Arial"/>
          <w:b/>
          <w:bCs/>
          <w:caps/>
        </w:rPr>
        <w:t>E - Letná - Oldřichov</w:t>
      </w:r>
    </w:p>
    <w:p w14:paraId="295582D1"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D10</w:t>
      </w:r>
      <w:r w:rsidRPr="00AC341C">
        <w:rPr>
          <w:rFonts w:ascii="Arial" w:hAnsi="Arial" w:cs="Arial"/>
          <w:b/>
          <w:bCs/>
          <w:sz w:val="22"/>
          <w:szCs w:val="22"/>
        </w:rPr>
        <w:tab/>
      </w:r>
      <w:r w:rsidRPr="00AC341C">
        <w:rPr>
          <w:rFonts w:ascii="Arial" w:hAnsi="Arial" w:cs="Arial"/>
          <w:sz w:val="22"/>
          <w:szCs w:val="22"/>
        </w:rPr>
        <w:t>E - Komunikační propojení Horního Oldřichova s Letnou.</w:t>
      </w:r>
    </w:p>
    <w:p w14:paraId="50884D56" w14:textId="77777777" w:rsidR="00BB63DF" w:rsidRPr="00AC341C" w:rsidRDefault="00BB63DF" w:rsidP="00BB63DF">
      <w:pPr>
        <w:pStyle w:val="Zkladntext"/>
        <w:spacing w:before="120" w:line="288" w:lineRule="auto"/>
        <w:jc w:val="both"/>
        <w:rPr>
          <w:rFonts w:ascii="Arial" w:hAnsi="Arial" w:cs="Arial"/>
          <w:b/>
          <w:bCs/>
          <w:caps/>
        </w:rPr>
      </w:pPr>
      <w:r w:rsidRPr="00AC341C">
        <w:rPr>
          <w:rFonts w:ascii="Arial" w:hAnsi="Arial" w:cs="Arial"/>
          <w:b/>
          <w:bCs/>
          <w:caps/>
        </w:rPr>
        <w:t>H - cyklistické trasy</w:t>
      </w:r>
    </w:p>
    <w:p w14:paraId="180BCC0A"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D11</w:t>
      </w:r>
      <w:r w:rsidRPr="00AC341C">
        <w:rPr>
          <w:rFonts w:ascii="Arial" w:hAnsi="Arial" w:cs="Arial"/>
          <w:b/>
          <w:bCs/>
          <w:sz w:val="22"/>
          <w:szCs w:val="22"/>
        </w:rPr>
        <w:tab/>
      </w:r>
      <w:r w:rsidRPr="00AC341C">
        <w:rPr>
          <w:rFonts w:ascii="Arial" w:hAnsi="Arial" w:cs="Arial"/>
          <w:sz w:val="22"/>
          <w:szCs w:val="22"/>
        </w:rPr>
        <w:t>H1 - cyklotrasa vedená údolím Labe Nebočady - Prostřední Žleb.</w:t>
      </w:r>
    </w:p>
    <w:p w14:paraId="179F4F69"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D12</w:t>
      </w:r>
      <w:r w:rsidRPr="00AC341C">
        <w:rPr>
          <w:rFonts w:ascii="Arial" w:hAnsi="Arial" w:cs="Arial"/>
          <w:b/>
          <w:bCs/>
          <w:sz w:val="22"/>
          <w:szCs w:val="22"/>
        </w:rPr>
        <w:tab/>
      </w:r>
      <w:r w:rsidRPr="00AC341C">
        <w:rPr>
          <w:rFonts w:ascii="Arial" w:hAnsi="Arial" w:cs="Arial"/>
          <w:sz w:val="22"/>
          <w:szCs w:val="22"/>
        </w:rPr>
        <w:t>H2 - cyklotrasa vedená údolím Jílovského potoka Podmokly – Jílové.</w:t>
      </w:r>
    </w:p>
    <w:p w14:paraId="55B63653"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D13</w:t>
      </w:r>
      <w:r w:rsidRPr="00AC341C">
        <w:rPr>
          <w:rFonts w:ascii="Arial" w:hAnsi="Arial" w:cs="Arial"/>
          <w:b/>
          <w:bCs/>
          <w:sz w:val="22"/>
          <w:szCs w:val="22"/>
        </w:rPr>
        <w:tab/>
      </w:r>
      <w:r w:rsidRPr="00AC341C">
        <w:rPr>
          <w:rFonts w:ascii="Arial" w:hAnsi="Arial" w:cs="Arial"/>
          <w:sz w:val="22"/>
          <w:szCs w:val="22"/>
        </w:rPr>
        <w:t>H3 - cyklotrasa vedená údolím Ploučnice Staré město – Březiny.</w:t>
      </w:r>
    </w:p>
    <w:p w14:paraId="4A4EFD6C" w14:textId="77777777" w:rsidR="00BB63DF" w:rsidRPr="00AC341C" w:rsidRDefault="00BB63DF" w:rsidP="00BB63DF">
      <w:pPr>
        <w:pStyle w:val="Zkladntext"/>
        <w:spacing w:before="120" w:line="288" w:lineRule="auto"/>
        <w:jc w:val="both"/>
        <w:rPr>
          <w:rFonts w:ascii="Arial" w:hAnsi="Arial" w:cs="Arial"/>
          <w:sz w:val="22"/>
          <w:szCs w:val="22"/>
        </w:rPr>
      </w:pPr>
    </w:p>
    <w:p w14:paraId="535CE7F5" w14:textId="77777777" w:rsidR="00BB63DF" w:rsidRPr="00AC341C" w:rsidRDefault="00BB63DF" w:rsidP="00BB63DF">
      <w:pPr>
        <w:pStyle w:val="Zkladntext"/>
        <w:spacing w:before="120" w:line="288" w:lineRule="auto"/>
        <w:jc w:val="both"/>
        <w:rPr>
          <w:rFonts w:ascii="Arial" w:hAnsi="Arial" w:cs="Arial"/>
          <w:b/>
          <w:bCs/>
          <w:caps/>
        </w:rPr>
      </w:pPr>
      <w:r w:rsidRPr="00AC341C">
        <w:rPr>
          <w:rFonts w:ascii="Arial" w:hAnsi="Arial" w:cs="Arial"/>
          <w:b/>
          <w:bCs/>
          <w:caps/>
        </w:rPr>
        <w:t>LOKAlity Sektor I. A</w:t>
      </w:r>
    </w:p>
    <w:p w14:paraId="2E3B8609"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D14</w:t>
      </w:r>
      <w:r w:rsidRPr="00AC341C">
        <w:rPr>
          <w:rFonts w:ascii="Arial" w:hAnsi="Arial" w:cs="Arial"/>
          <w:sz w:val="22"/>
          <w:szCs w:val="22"/>
        </w:rPr>
        <w:tab/>
        <w:t>I/1 - HG 56 v rámci dostavby bloku v Jeronýmově ulici.</w:t>
      </w:r>
    </w:p>
    <w:p w14:paraId="3C91CD8E"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D15</w:t>
      </w:r>
      <w:r w:rsidRPr="00AC341C">
        <w:rPr>
          <w:rFonts w:ascii="Arial" w:hAnsi="Arial" w:cs="Arial"/>
          <w:b/>
          <w:bCs/>
          <w:sz w:val="22"/>
          <w:szCs w:val="22"/>
        </w:rPr>
        <w:tab/>
      </w:r>
      <w:r w:rsidRPr="00AC341C">
        <w:rPr>
          <w:rFonts w:ascii="Arial" w:hAnsi="Arial" w:cs="Arial"/>
          <w:sz w:val="22"/>
          <w:szCs w:val="22"/>
        </w:rPr>
        <w:t>I/16 - revitalizace nábřeží, promenáda a pěší zóna na Jílovském potoku.</w:t>
      </w:r>
    </w:p>
    <w:p w14:paraId="40878299"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D16</w:t>
      </w:r>
      <w:r w:rsidRPr="00AC341C">
        <w:rPr>
          <w:rFonts w:ascii="Arial" w:hAnsi="Arial" w:cs="Arial"/>
          <w:b/>
          <w:bCs/>
          <w:sz w:val="22"/>
          <w:szCs w:val="22"/>
        </w:rPr>
        <w:tab/>
      </w:r>
      <w:r w:rsidRPr="00AC341C">
        <w:rPr>
          <w:rFonts w:ascii="Arial" w:hAnsi="Arial" w:cs="Arial"/>
          <w:sz w:val="22"/>
          <w:szCs w:val="22"/>
        </w:rPr>
        <w:t>I/17 - terminál hromadné dopravy v Podmoklech.</w:t>
      </w:r>
    </w:p>
    <w:p w14:paraId="29AA0266"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D17</w:t>
      </w:r>
      <w:r w:rsidRPr="00AC341C">
        <w:rPr>
          <w:rFonts w:ascii="Arial" w:hAnsi="Arial" w:cs="Arial"/>
          <w:b/>
          <w:bCs/>
          <w:sz w:val="22"/>
          <w:szCs w:val="22"/>
        </w:rPr>
        <w:tab/>
      </w:r>
      <w:r w:rsidRPr="00AC341C">
        <w:rPr>
          <w:rFonts w:ascii="Arial" w:hAnsi="Arial" w:cs="Arial"/>
          <w:sz w:val="22"/>
          <w:szCs w:val="22"/>
        </w:rPr>
        <w:t>I/19 - přístupová MK a parkoviště P50 u TJ Lokomotiva.</w:t>
      </w:r>
    </w:p>
    <w:p w14:paraId="7A2ABC39"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D18</w:t>
      </w:r>
      <w:r w:rsidRPr="00AC341C">
        <w:rPr>
          <w:rFonts w:ascii="Arial" w:hAnsi="Arial" w:cs="Arial"/>
          <w:b/>
          <w:bCs/>
          <w:sz w:val="22"/>
          <w:szCs w:val="22"/>
        </w:rPr>
        <w:tab/>
      </w:r>
      <w:r w:rsidRPr="00AC341C">
        <w:rPr>
          <w:rFonts w:ascii="Arial" w:hAnsi="Arial" w:cs="Arial"/>
          <w:sz w:val="22"/>
          <w:szCs w:val="22"/>
        </w:rPr>
        <w:t>I/20 - pěší stezka kombinovaná s cyklistickou podél břehu Labe od navrhovaného přívozu v RozbělesÍch po Tyršův most.</w:t>
      </w:r>
    </w:p>
    <w:p w14:paraId="5483C740"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D19</w:t>
      </w:r>
      <w:r w:rsidRPr="00AC341C">
        <w:rPr>
          <w:rFonts w:ascii="Arial" w:hAnsi="Arial" w:cs="Arial"/>
          <w:b/>
          <w:bCs/>
          <w:sz w:val="22"/>
          <w:szCs w:val="22"/>
        </w:rPr>
        <w:tab/>
      </w:r>
      <w:r w:rsidRPr="00AC341C">
        <w:rPr>
          <w:rFonts w:ascii="Arial" w:hAnsi="Arial" w:cs="Arial"/>
          <w:sz w:val="22"/>
          <w:szCs w:val="22"/>
        </w:rPr>
        <w:t>I/23 - rekonstrukce křižovatky Teplická - Pivovarská u Ovčí lávky.</w:t>
      </w:r>
    </w:p>
    <w:p w14:paraId="5E7FB57E"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D20</w:t>
      </w:r>
      <w:r w:rsidRPr="00AC341C">
        <w:rPr>
          <w:rFonts w:ascii="Arial" w:hAnsi="Arial" w:cs="Arial"/>
          <w:b/>
          <w:bCs/>
          <w:sz w:val="22"/>
          <w:szCs w:val="22"/>
        </w:rPr>
        <w:tab/>
      </w:r>
      <w:r w:rsidRPr="00AC341C">
        <w:rPr>
          <w:rFonts w:ascii="Arial" w:hAnsi="Arial" w:cs="Arial"/>
          <w:sz w:val="22"/>
          <w:szCs w:val="22"/>
        </w:rPr>
        <w:t>I/24 - Pěší podchod pod nádražím ČD s propojením do ulice Práce a s PP200.</w:t>
      </w:r>
    </w:p>
    <w:p w14:paraId="64629B68"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D21</w:t>
      </w:r>
      <w:r w:rsidRPr="00AC341C">
        <w:rPr>
          <w:rFonts w:ascii="Arial" w:hAnsi="Arial" w:cs="Arial"/>
          <w:b/>
          <w:bCs/>
          <w:sz w:val="22"/>
          <w:szCs w:val="22"/>
        </w:rPr>
        <w:tab/>
      </w:r>
      <w:r w:rsidRPr="00AC341C">
        <w:rPr>
          <w:rFonts w:ascii="Arial" w:hAnsi="Arial" w:cs="Arial"/>
          <w:sz w:val="22"/>
          <w:szCs w:val="22"/>
        </w:rPr>
        <w:t>I/25 - parkoviště u ZOO P50.</w:t>
      </w:r>
    </w:p>
    <w:p w14:paraId="35F0CF8E"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D22</w:t>
      </w:r>
      <w:r w:rsidRPr="00AC341C">
        <w:rPr>
          <w:rFonts w:ascii="Arial" w:hAnsi="Arial" w:cs="Arial"/>
          <w:b/>
          <w:bCs/>
          <w:sz w:val="22"/>
          <w:szCs w:val="22"/>
        </w:rPr>
        <w:tab/>
      </w:r>
      <w:r w:rsidRPr="00AC341C">
        <w:rPr>
          <w:rFonts w:ascii="Arial" w:hAnsi="Arial" w:cs="Arial"/>
          <w:sz w:val="22"/>
          <w:szCs w:val="22"/>
        </w:rPr>
        <w:t>I/26 - kruhové uspořádání křižovatky, rekonstrukce podjezdu ČD na Labském nábřeží.</w:t>
      </w:r>
    </w:p>
    <w:p w14:paraId="72574E34"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D23</w:t>
      </w:r>
      <w:r w:rsidRPr="00AC341C">
        <w:rPr>
          <w:rFonts w:ascii="Arial" w:hAnsi="Arial" w:cs="Arial"/>
          <w:b/>
          <w:bCs/>
          <w:sz w:val="22"/>
          <w:szCs w:val="22"/>
        </w:rPr>
        <w:tab/>
      </w:r>
      <w:r w:rsidRPr="00AC341C">
        <w:rPr>
          <w:rFonts w:ascii="Arial" w:hAnsi="Arial" w:cs="Arial"/>
          <w:sz w:val="22"/>
          <w:szCs w:val="22"/>
        </w:rPr>
        <w:t>I/27 - zkapacitnění podjezdu trati ČD "Pětimostí", zaslepení ul. Práce.</w:t>
      </w:r>
    </w:p>
    <w:p w14:paraId="1A601602"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D24</w:t>
      </w:r>
      <w:r w:rsidRPr="00AC341C">
        <w:rPr>
          <w:rFonts w:ascii="Arial" w:hAnsi="Arial" w:cs="Arial"/>
          <w:b/>
          <w:bCs/>
          <w:sz w:val="22"/>
          <w:szCs w:val="22"/>
        </w:rPr>
        <w:tab/>
      </w:r>
      <w:r w:rsidRPr="00AC341C">
        <w:rPr>
          <w:rFonts w:ascii="Arial" w:hAnsi="Arial" w:cs="Arial"/>
          <w:sz w:val="22"/>
          <w:szCs w:val="22"/>
        </w:rPr>
        <w:t>I/28 - parkoviště P 8 v Chelčického ulici u divadla.</w:t>
      </w:r>
    </w:p>
    <w:p w14:paraId="7338FA9A"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D25</w:t>
      </w:r>
      <w:r w:rsidRPr="00AC341C">
        <w:rPr>
          <w:rFonts w:ascii="Arial" w:hAnsi="Arial" w:cs="Arial"/>
          <w:b/>
          <w:bCs/>
          <w:sz w:val="22"/>
          <w:szCs w:val="22"/>
        </w:rPr>
        <w:tab/>
      </w:r>
      <w:r w:rsidRPr="00AC341C">
        <w:rPr>
          <w:rFonts w:ascii="Arial" w:hAnsi="Arial" w:cs="Arial"/>
          <w:sz w:val="22"/>
          <w:szCs w:val="22"/>
        </w:rPr>
        <w:t>I/29 - parkoviště P 50 v ul. Práce u hřiště.</w:t>
      </w:r>
    </w:p>
    <w:p w14:paraId="6BF2E8C5" w14:textId="77777777" w:rsidR="00BB63DF" w:rsidRPr="00AC341C" w:rsidRDefault="00BB63DF" w:rsidP="00BB63DF">
      <w:pPr>
        <w:pStyle w:val="Zkladntext"/>
        <w:spacing w:before="120" w:line="288" w:lineRule="auto"/>
        <w:jc w:val="both"/>
        <w:rPr>
          <w:rFonts w:ascii="Arial" w:hAnsi="Arial" w:cs="Arial"/>
          <w:b/>
          <w:bCs/>
          <w:caps/>
          <w:sz w:val="22"/>
          <w:szCs w:val="22"/>
        </w:rPr>
      </w:pPr>
      <w:r w:rsidRPr="00AC341C">
        <w:rPr>
          <w:rFonts w:ascii="Arial" w:hAnsi="Arial" w:cs="Arial"/>
          <w:b/>
          <w:bCs/>
          <w:caps/>
          <w:sz w:val="22"/>
          <w:szCs w:val="22"/>
        </w:rPr>
        <w:t>lokality Sektor I. B</w:t>
      </w:r>
    </w:p>
    <w:p w14:paraId="60D8AD19"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lastRenderedPageBreak/>
        <w:t>D26</w:t>
      </w:r>
      <w:r w:rsidRPr="00AC341C">
        <w:rPr>
          <w:rFonts w:ascii="Arial" w:hAnsi="Arial" w:cs="Arial"/>
          <w:b/>
          <w:bCs/>
          <w:sz w:val="22"/>
          <w:szCs w:val="22"/>
        </w:rPr>
        <w:tab/>
      </w:r>
      <w:r w:rsidRPr="00AC341C">
        <w:rPr>
          <w:rFonts w:ascii="Arial" w:hAnsi="Arial" w:cs="Arial"/>
          <w:sz w:val="22"/>
          <w:szCs w:val="22"/>
        </w:rPr>
        <w:t>I/8 - nové napojení navrhovaného parkoviště P60 z ul. U plovárny, 2 osobní výtahy.</w:t>
      </w:r>
    </w:p>
    <w:p w14:paraId="737588B2"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D27</w:t>
      </w:r>
      <w:r w:rsidRPr="00AC341C">
        <w:rPr>
          <w:rFonts w:ascii="Arial" w:hAnsi="Arial" w:cs="Arial"/>
          <w:sz w:val="22"/>
          <w:szCs w:val="22"/>
        </w:rPr>
        <w:tab/>
        <w:t>I/18 - komplexní přestavba Masarykova náměstí, parking, okružní křižovatka.</w:t>
      </w:r>
    </w:p>
    <w:p w14:paraId="7F0A1516"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D28</w:t>
      </w:r>
      <w:r w:rsidRPr="00AC341C">
        <w:rPr>
          <w:rFonts w:ascii="Arial" w:hAnsi="Arial" w:cs="Arial"/>
          <w:b/>
          <w:bCs/>
          <w:sz w:val="22"/>
          <w:szCs w:val="22"/>
        </w:rPr>
        <w:tab/>
      </w:r>
      <w:r w:rsidRPr="00AC341C">
        <w:rPr>
          <w:rFonts w:ascii="Arial" w:hAnsi="Arial" w:cs="Arial"/>
          <w:sz w:val="22"/>
          <w:szCs w:val="22"/>
        </w:rPr>
        <w:t>I/19 - parkoviště U plovárny, P20 + P30 + 7BUS.</w:t>
      </w:r>
    </w:p>
    <w:p w14:paraId="40D7FA15"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D29</w:t>
      </w:r>
      <w:r w:rsidRPr="00AC341C">
        <w:rPr>
          <w:rFonts w:ascii="Arial" w:hAnsi="Arial" w:cs="Arial"/>
          <w:b/>
          <w:bCs/>
          <w:sz w:val="22"/>
          <w:szCs w:val="22"/>
        </w:rPr>
        <w:tab/>
      </w:r>
      <w:r w:rsidRPr="00AC341C">
        <w:rPr>
          <w:rFonts w:ascii="Arial" w:hAnsi="Arial" w:cs="Arial"/>
          <w:sz w:val="22"/>
          <w:szCs w:val="22"/>
        </w:rPr>
        <w:t>I/20 - halová garáž HG 280 ve Fugnerově ulici.</w:t>
      </w:r>
    </w:p>
    <w:p w14:paraId="38A1D2AB"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D30</w:t>
      </w:r>
      <w:r w:rsidRPr="00AC341C">
        <w:rPr>
          <w:rFonts w:ascii="Arial" w:hAnsi="Arial" w:cs="Arial"/>
          <w:b/>
          <w:bCs/>
          <w:sz w:val="22"/>
          <w:szCs w:val="22"/>
        </w:rPr>
        <w:tab/>
      </w:r>
      <w:r w:rsidRPr="00AC341C">
        <w:rPr>
          <w:rFonts w:ascii="Arial" w:hAnsi="Arial" w:cs="Arial"/>
          <w:sz w:val="22"/>
          <w:szCs w:val="22"/>
        </w:rPr>
        <w:t>I/21 - halová garáž HG 240 v Maroldově ulici.</w:t>
      </w:r>
    </w:p>
    <w:p w14:paraId="331BB833"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D31</w:t>
      </w:r>
      <w:r w:rsidRPr="00AC341C">
        <w:rPr>
          <w:rFonts w:ascii="Arial" w:hAnsi="Arial" w:cs="Arial"/>
          <w:b/>
          <w:bCs/>
          <w:sz w:val="22"/>
          <w:szCs w:val="22"/>
        </w:rPr>
        <w:tab/>
      </w:r>
      <w:r w:rsidRPr="00AC341C">
        <w:rPr>
          <w:rFonts w:ascii="Arial" w:hAnsi="Arial" w:cs="Arial"/>
          <w:sz w:val="22"/>
          <w:szCs w:val="22"/>
        </w:rPr>
        <w:t>I/22 - halová garáž HG 100 v Zámecké ul.</w:t>
      </w:r>
    </w:p>
    <w:p w14:paraId="49763A58"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D32</w:t>
      </w:r>
      <w:r w:rsidRPr="00AC341C">
        <w:rPr>
          <w:rFonts w:ascii="Arial" w:hAnsi="Arial" w:cs="Arial"/>
          <w:b/>
          <w:bCs/>
          <w:sz w:val="22"/>
          <w:szCs w:val="22"/>
        </w:rPr>
        <w:tab/>
      </w:r>
      <w:r w:rsidRPr="00AC341C">
        <w:rPr>
          <w:rFonts w:ascii="Arial" w:hAnsi="Arial" w:cs="Arial"/>
          <w:sz w:val="22"/>
          <w:szCs w:val="22"/>
        </w:rPr>
        <w:t>I/23 - parkoviště v ul. U plovárny, P80 + 5 BUS.</w:t>
      </w:r>
    </w:p>
    <w:p w14:paraId="57A91630"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D33</w:t>
      </w:r>
      <w:r w:rsidRPr="00AC341C">
        <w:rPr>
          <w:rFonts w:ascii="Arial" w:hAnsi="Arial" w:cs="Arial"/>
          <w:b/>
          <w:bCs/>
          <w:sz w:val="22"/>
          <w:szCs w:val="22"/>
        </w:rPr>
        <w:tab/>
      </w:r>
      <w:r w:rsidRPr="00AC341C">
        <w:rPr>
          <w:rFonts w:ascii="Arial" w:hAnsi="Arial" w:cs="Arial"/>
          <w:sz w:val="22"/>
          <w:szCs w:val="22"/>
        </w:rPr>
        <w:t>I/24 - přestavba Oblouková ulice, napojení na 2. polské armády.</w:t>
      </w:r>
    </w:p>
    <w:p w14:paraId="0CC50F93"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D34</w:t>
      </w:r>
      <w:r w:rsidRPr="00AC341C">
        <w:rPr>
          <w:rFonts w:ascii="Arial" w:hAnsi="Arial" w:cs="Arial"/>
          <w:b/>
          <w:bCs/>
          <w:sz w:val="22"/>
          <w:szCs w:val="22"/>
        </w:rPr>
        <w:tab/>
      </w:r>
      <w:r w:rsidRPr="00AC341C">
        <w:rPr>
          <w:rFonts w:ascii="Arial" w:hAnsi="Arial" w:cs="Arial"/>
          <w:sz w:val="22"/>
          <w:szCs w:val="22"/>
        </w:rPr>
        <w:t>I/25 - okružní křižovatka na nám. Svobody.</w:t>
      </w:r>
    </w:p>
    <w:p w14:paraId="7EF32F99"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D35</w:t>
      </w:r>
      <w:r w:rsidRPr="00AC341C">
        <w:rPr>
          <w:rFonts w:ascii="Arial" w:hAnsi="Arial" w:cs="Arial"/>
          <w:b/>
          <w:bCs/>
          <w:sz w:val="22"/>
          <w:szCs w:val="22"/>
        </w:rPr>
        <w:tab/>
      </w:r>
      <w:r w:rsidRPr="00AC341C">
        <w:rPr>
          <w:rFonts w:ascii="Arial" w:hAnsi="Arial" w:cs="Arial"/>
          <w:sz w:val="22"/>
          <w:szCs w:val="22"/>
        </w:rPr>
        <w:t>I/26 - parkoviště na terénu a PP60 u polyfunkčního domu (KOKOS).</w:t>
      </w:r>
    </w:p>
    <w:p w14:paraId="5275FF6F"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D36</w:t>
      </w:r>
      <w:r w:rsidRPr="00AC341C">
        <w:rPr>
          <w:rFonts w:ascii="Arial" w:hAnsi="Arial" w:cs="Arial"/>
          <w:b/>
          <w:bCs/>
          <w:sz w:val="22"/>
          <w:szCs w:val="22"/>
        </w:rPr>
        <w:tab/>
      </w:r>
      <w:r w:rsidRPr="00AC341C">
        <w:rPr>
          <w:rFonts w:ascii="Arial" w:hAnsi="Arial" w:cs="Arial"/>
          <w:sz w:val="22"/>
          <w:szCs w:val="22"/>
        </w:rPr>
        <w:t>I/27 - parkoviště na Labské u os. Přístavu P150 s přístupovou MK.</w:t>
      </w:r>
    </w:p>
    <w:p w14:paraId="13D53319"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D37</w:t>
      </w:r>
      <w:r w:rsidRPr="00AC341C">
        <w:rPr>
          <w:rFonts w:ascii="Arial" w:hAnsi="Arial" w:cs="Arial"/>
          <w:b/>
          <w:bCs/>
          <w:sz w:val="22"/>
          <w:szCs w:val="22"/>
        </w:rPr>
        <w:tab/>
      </w:r>
      <w:r w:rsidRPr="00AC341C">
        <w:rPr>
          <w:rFonts w:ascii="Arial" w:hAnsi="Arial" w:cs="Arial"/>
          <w:sz w:val="22"/>
          <w:szCs w:val="22"/>
        </w:rPr>
        <w:t>I/28 - halová garáž HG 140 v Duchcovské ulici.</w:t>
      </w:r>
    </w:p>
    <w:p w14:paraId="7515FD87"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D38</w:t>
      </w:r>
      <w:r w:rsidRPr="00AC341C">
        <w:rPr>
          <w:rFonts w:ascii="Arial" w:hAnsi="Arial" w:cs="Arial"/>
          <w:b/>
          <w:bCs/>
          <w:sz w:val="22"/>
          <w:szCs w:val="22"/>
        </w:rPr>
        <w:tab/>
      </w:r>
      <w:r w:rsidRPr="00AC341C">
        <w:rPr>
          <w:rFonts w:ascii="Arial" w:hAnsi="Arial" w:cs="Arial"/>
          <w:sz w:val="22"/>
          <w:szCs w:val="22"/>
        </w:rPr>
        <w:t>I/30 - parkoviště  P50 + 8 BUS na Labské u nábřeží.</w:t>
      </w:r>
    </w:p>
    <w:p w14:paraId="67AC0DC4"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D39</w:t>
      </w:r>
      <w:r w:rsidRPr="00AC341C">
        <w:rPr>
          <w:rFonts w:ascii="Arial" w:hAnsi="Arial" w:cs="Arial"/>
          <w:b/>
          <w:bCs/>
          <w:sz w:val="22"/>
          <w:szCs w:val="22"/>
        </w:rPr>
        <w:tab/>
      </w:r>
      <w:r w:rsidRPr="00AC341C">
        <w:rPr>
          <w:rFonts w:ascii="Arial" w:hAnsi="Arial" w:cs="Arial"/>
          <w:sz w:val="22"/>
          <w:szCs w:val="22"/>
        </w:rPr>
        <w:t>I/31 - parkoviště P42 za střediskem na Duchcovské.</w:t>
      </w:r>
    </w:p>
    <w:p w14:paraId="4E98FD6E"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D40</w:t>
      </w:r>
      <w:r w:rsidRPr="00AC341C">
        <w:rPr>
          <w:rFonts w:ascii="Arial" w:hAnsi="Arial" w:cs="Arial"/>
          <w:b/>
          <w:bCs/>
          <w:sz w:val="22"/>
          <w:szCs w:val="22"/>
        </w:rPr>
        <w:tab/>
      </w:r>
      <w:r w:rsidRPr="00AC341C">
        <w:rPr>
          <w:rFonts w:ascii="Arial" w:hAnsi="Arial" w:cs="Arial"/>
          <w:sz w:val="22"/>
          <w:szCs w:val="22"/>
        </w:rPr>
        <w:t>I/32 - parkoviště u policie P150, rek. a dostavba.</w:t>
      </w:r>
    </w:p>
    <w:p w14:paraId="5E3F4E02" w14:textId="77777777" w:rsidR="00BB63DF" w:rsidRPr="00AC341C" w:rsidRDefault="00BB63DF" w:rsidP="00BB63DF">
      <w:pPr>
        <w:pStyle w:val="Zkladntext"/>
        <w:spacing w:before="120" w:line="288" w:lineRule="auto"/>
        <w:jc w:val="both"/>
        <w:rPr>
          <w:rFonts w:ascii="Arial" w:hAnsi="Arial" w:cs="Arial"/>
          <w:sz w:val="22"/>
          <w:szCs w:val="22"/>
        </w:rPr>
      </w:pPr>
    </w:p>
    <w:p w14:paraId="3DA095E4" w14:textId="77777777" w:rsidR="00BB63DF" w:rsidRPr="00AC341C" w:rsidRDefault="00BB63DF" w:rsidP="00BB63DF">
      <w:pPr>
        <w:pStyle w:val="Zkladntext"/>
        <w:spacing w:before="120" w:line="288" w:lineRule="auto"/>
        <w:jc w:val="both"/>
        <w:rPr>
          <w:rFonts w:ascii="Arial" w:hAnsi="Arial" w:cs="Arial"/>
          <w:sz w:val="22"/>
          <w:szCs w:val="22"/>
        </w:rPr>
      </w:pPr>
    </w:p>
    <w:p w14:paraId="54A32CA2" w14:textId="77777777" w:rsidR="00BB63DF" w:rsidRPr="00AC341C" w:rsidRDefault="00BB63DF" w:rsidP="00BB63DF">
      <w:pPr>
        <w:pStyle w:val="Zkladntext"/>
        <w:spacing w:before="120" w:line="288" w:lineRule="auto"/>
        <w:jc w:val="both"/>
        <w:rPr>
          <w:rFonts w:ascii="Arial" w:hAnsi="Arial" w:cs="Arial"/>
          <w:b/>
          <w:bCs/>
          <w:caps/>
          <w:sz w:val="22"/>
          <w:szCs w:val="22"/>
        </w:rPr>
      </w:pPr>
      <w:r w:rsidRPr="00AC341C">
        <w:rPr>
          <w:rFonts w:ascii="Arial" w:hAnsi="Arial" w:cs="Arial"/>
          <w:b/>
          <w:bCs/>
          <w:caps/>
          <w:sz w:val="22"/>
          <w:szCs w:val="22"/>
        </w:rPr>
        <w:t>lokality Sektor II.</w:t>
      </w:r>
    </w:p>
    <w:p w14:paraId="12F436C5"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D41</w:t>
      </w:r>
      <w:r w:rsidRPr="00AC341C">
        <w:rPr>
          <w:rFonts w:ascii="Arial" w:hAnsi="Arial" w:cs="Arial"/>
          <w:b/>
          <w:bCs/>
          <w:sz w:val="22"/>
          <w:szCs w:val="22"/>
        </w:rPr>
        <w:tab/>
      </w:r>
      <w:r w:rsidRPr="00AC341C">
        <w:rPr>
          <w:rFonts w:ascii="Arial" w:hAnsi="Arial" w:cs="Arial"/>
          <w:sz w:val="22"/>
          <w:szCs w:val="22"/>
        </w:rPr>
        <w:t>II/5 - přístupová MK k polyfunkčnímu bloku v ul. Jiřího z Poděbrad.</w:t>
      </w:r>
    </w:p>
    <w:p w14:paraId="3DE5D6F8"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D42</w:t>
      </w:r>
      <w:r w:rsidRPr="00AC341C">
        <w:rPr>
          <w:rFonts w:ascii="Arial" w:hAnsi="Arial" w:cs="Arial"/>
          <w:b/>
          <w:bCs/>
          <w:sz w:val="22"/>
          <w:szCs w:val="22"/>
        </w:rPr>
        <w:tab/>
      </w:r>
      <w:r w:rsidRPr="00AC341C">
        <w:rPr>
          <w:rFonts w:ascii="Arial" w:hAnsi="Arial" w:cs="Arial"/>
          <w:sz w:val="22"/>
          <w:szCs w:val="22"/>
        </w:rPr>
        <w:t>II/9 - přístupová MK k bloku v ul. Kozinova.</w:t>
      </w:r>
    </w:p>
    <w:p w14:paraId="3574B2CC"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D43</w:t>
      </w:r>
      <w:r w:rsidRPr="00AC341C">
        <w:rPr>
          <w:rFonts w:ascii="Arial" w:hAnsi="Arial" w:cs="Arial"/>
          <w:b/>
          <w:bCs/>
          <w:sz w:val="22"/>
          <w:szCs w:val="22"/>
        </w:rPr>
        <w:tab/>
      </w:r>
      <w:r w:rsidRPr="00AC341C">
        <w:rPr>
          <w:rFonts w:ascii="Arial" w:hAnsi="Arial" w:cs="Arial"/>
          <w:sz w:val="22"/>
          <w:szCs w:val="22"/>
        </w:rPr>
        <w:t>II/18 - parkoviště na Labském nábřeží P188 + BUS P30.</w:t>
      </w:r>
    </w:p>
    <w:p w14:paraId="58FC199E"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D44</w:t>
      </w:r>
      <w:r w:rsidRPr="00AC341C">
        <w:rPr>
          <w:rFonts w:ascii="Arial" w:hAnsi="Arial" w:cs="Arial"/>
          <w:b/>
          <w:bCs/>
          <w:sz w:val="22"/>
          <w:szCs w:val="22"/>
        </w:rPr>
        <w:tab/>
      </w:r>
      <w:r w:rsidRPr="00AC341C">
        <w:rPr>
          <w:rFonts w:ascii="Arial" w:hAnsi="Arial" w:cs="Arial"/>
          <w:sz w:val="22"/>
          <w:szCs w:val="22"/>
        </w:rPr>
        <w:t>II/20 - cyklotrasa na Labském nábřeží.</w:t>
      </w:r>
    </w:p>
    <w:p w14:paraId="5A6FB69C"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D45</w:t>
      </w:r>
      <w:r w:rsidRPr="00AC341C">
        <w:rPr>
          <w:rFonts w:ascii="Arial" w:hAnsi="Arial" w:cs="Arial"/>
          <w:b/>
          <w:bCs/>
          <w:sz w:val="22"/>
          <w:szCs w:val="22"/>
        </w:rPr>
        <w:tab/>
      </w:r>
      <w:r w:rsidRPr="00AC341C">
        <w:rPr>
          <w:rFonts w:ascii="Arial" w:hAnsi="Arial" w:cs="Arial"/>
          <w:sz w:val="22"/>
          <w:szCs w:val="22"/>
        </w:rPr>
        <w:t>II/28 - parkoviště P100 v Želenicích v Lounské ul.</w:t>
      </w:r>
    </w:p>
    <w:p w14:paraId="0ABD7450"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D46</w:t>
      </w:r>
      <w:r w:rsidRPr="00AC341C">
        <w:rPr>
          <w:rFonts w:ascii="Arial" w:hAnsi="Arial" w:cs="Arial"/>
          <w:b/>
          <w:bCs/>
          <w:sz w:val="22"/>
          <w:szCs w:val="22"/>
        </w:rPr>
        <w:tab/>
      </w:r>
      <w:r w:rsidRPr="00AC341C">
        <w:rPr>
          <w:rFonts w:ascii="Arial" w:hAnsi="Arial" w:cs="Arial"/>
          <w:sz w:val="22"/>
          <w:szCs w:val="22"/>
        </w:rPr>
        <w:t>II/29 - dvoupodlažní halové garáže HG200, včetně návrhu přístupové MK v Želenicích.</w:t>
      </w:r>
    </w:p>
    <w:p w14:paraId="2123DB49"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D47</w:t>
      </w:r>
      <w:r w:rsidRPr="00AC341C">
        <w:rPr>
          <w:rFonts w:ascii="Arial" w:hAnsi="Arial" w:cs="Arial"/>
          <w:b/>
          <w:bCs/>
          <w:sz w:val="22"/>
          <w:szCs w:val="22"/>
        </w:rPr>
        <w:tab/>
      </w:r>
      <w:r w:rsidRPr="00AC341C">
        <w:rPr>
          <w:rFonts w:ascii="Arial" w:hAnsi="Arial" w:cs="Arial"/>
          <w:sz w:val="22"/>
          <w:szCs w:val="22"/>
        </w:rPr>
        <w:t>II/30 - halové garáže HG300 v Želenicích u potoka.</w:t>
      </w:r>
    </w:p>
    <w:p w14:paraId="77A0382A"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D48</w:t>
      </w:r>
      <w:r w:rsidRPr="00AC341C">
        <w:rPr>
          <w:rFonts w:ascii="Arial" w:hAnsi="Arial" w:cs="Arial"/>
          <w:b/>
          <w:bCs/>
          <w:sz w:val="22"/>
          <w:szCs w:val="22"/>
        </w:rPr>
        <w:tab/>
      </w:r>
      <w:r w:rsidRPr="00AC341C">
        <w:rPr>
          <w:rFonts w:ascii="Arial" w:hAnsi="Arial" w:cs="Arial"/>
          <w:sz w:val="22"/>
          <w:szCs w:val="22"/>
        </w:rPr>
        <w:t>II/31 - podzemní garáže PP200 v Želenicích.</w:t>
      </w:r>
    </w:p>
    <w:p w14:paraId="58978962"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D49</w:t>
      </w:r>
      <w:r w:rsidRPr="00AC341C">
        <w:rPr>
          <w:rFonts w:ascii="Arial" w:hAnsi="Arial" w:cs="Arial"/>
          <w:b/>
          <w:bCs/>
          <w:sz w:val="22"/>
          <w:szCs w:val="22"/>
        </w:rPr>
        <w:tab/>
      </w:r>
      <w:r w:rsidRPr="00AC341C">
        <w:rPr>
          <w:rFonts w:ascii="Arial" w:hAnsi="Arial" w:cs="Arial"/>
          <w:sz w:val="22"/>
          <w:szCs w:val="22"/>
        </w:rPr>
        <w:t>II/33 - halové garáže HG240 ve Slezské ul.</w:t>
      </w:r>
    </w:p>
    <w:p w14:paraId="487E649F"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D50</w:t>
      </w:r>
      <w:r w:rsidRPr="00AC341C">
        <w:rPr>
          <w:rFonts w:ascii="Arial" w:hAnsi="Arial" w:cs="Arial"/>
          <w:b/>
          <w:bCs/>
          <w:sz w:val="22"/>
          <w:szCs w:val="22"/>
        </w:rPr>
        <w:tab/>
      </w:r>
      <w:r w:rsidRPr="00AC341C">
        <w:rPr>
          <w:rFonts w:ascii="Arial" w:hAnsi="Arial" w:cs="Arial"/>
          <w:sz w:val="22"/>
          <w:szCs w:val="22"/>
        </w:rPr>
        <w:t>II/34 - podzemní parking PP100 ve vnitrobloku na Ruské.</w:t>
      </w:r>
    </w:p>
    <w:p w14:paraId="33E6F071"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D51</w:t>
      </w:r>
      <w:r w:rsidRPr="00AC341C">
        <w:rPr>
          <w:rFonts w:ascii="Arial" w:hAnsi="Arial" w:cs="Arial"/>
          <w:b/>
          <w:bCs/>
          <w:sz w:val="22"/>
          <w:szCs w:val="22"/>
        </w:rPr>
        <w:tab/>
      </w:r>
      <w:r w:rsidRPr="00AC341C">
        <w:rPr>
          <w:rFonts w:ascii="Arial" w:hAnsi="Arial" w:cs="Arial"/>
          <w:sz w:val="22"/>
          <w:szCs w:val="22"/>
        </w:rPr>
        <w:t>II/36 - komunikační propojení Klostermannova – Budapešťská.</w:t>
      </w:r>
    </w:p>
    <w:p w14:paraId="3DA3003C"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D52</w:t>
      </w:r>
      <w:r w:rsidRPr="00AC341C">
        <w:rPr>
          <w:rFonts w:ascii="Arial" w:hAnsi="Arial" w:cs="Arial"/>
          <w:b/>
          <w:bCs/>
          <w:sz w:val="22"/>
          <w:szCs w:val="22"/>
        </w:rPr>
        <w:tab/>
      </w:r>
      <w:r w:rsidRPr="00AC341C">
        <w:rPr>
          <w:rFonts w:ascii="Arial" w:hAnsi="Arial" w:cs="Arial"/>
          <w:sz w:val="22"/>
          <w:szCs w:val="22"/>
        </w:rPr>
        <w:t>II/37 - parkoviště P40 ve Slovanské ulici.</w:t>
      </w:r>
    </w:p>
    <w:p w14:paraId="314CC7D4"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D53</w:t>
      </w:r>
      <w:r w:rsidRPr="00AC341C">
        <w:rPr>
          <w:rFonts w:ascii="Arial" w:hAnsi="Arial" w:cs="Arial"/>
          <w:b/>
          <w:bCs/>
          <w:sz w:val="22"/>
          <w:szCs w:val="22"/>
        </w:rPr>
        <w:tab/>
      </w:r>
      <w:r w:rsidRPr="00AC341C">
        <w:rPr>
          <w:rFonts w:ascii="Arial" w:hAnsi="Arial" w:cs="Arial"/>
          <w:sz w:val="22"/>
          <w:szCs w:val="22"/>
        </w:rPr>
        <w:t>II/38 - parkoviště P60 ve Slezské ulici.</w:t>
      </w:r>
    </w:p>
    <w:p w14:paraId="699AD52C"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lastRenderedPageBreak/>
        <w:t>D54</w:t>
      </w:r>
      <w:r w:rsidRPr="00AC341C">
        <w:rPr>
          <w:rFonts w:ascii="Arial" w:hAnsi="Arial" w:cs="Arial"/>
          <w:b/>
          <w:bCs/>
          <w:sz w:val="22"/>
          <w:szCs w:val="22"/>
        </w:rPr>
        <w:tab/>
      </w:r>
      <w:r w:rsidRPr="00AC341C">
        <w:rPr>
          <w:rFonts w:ascii="Arial" w:hAnsi="Arial" w:cs="Arial"/>
          <w:sz w:val="22"/>
          <w:szCs w:val="22"/>
        </w:rPr>
        <w:t>II/39 - rozšíření ul. Za bažantnicí, optimalizace komunikačního propojení.</w:t>
      </w:r>
    </w:p>
    <w:p w14:paraId="73F0EBEC"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D55</w:t>
      </w:r>
      <w:r w:rsidRPr="00AC341C">
        <w:rPr>
          <w:rFonts w:ascii="Arial" w:hAnsi="Arial" w:cs="Arial"/>
          <w:b/>
          <w:bCs/>
          <w:sz w:val="22"/>
          <w:szCs w:val="22"/>
        </w:rPr>
        <w:tab/>
      </w:r>
      <w:r w:rsidRPr="00AC341C">
        <w:rPr>
          <w:rFonts w:ascii="Arial" w:hAnsi="Arial" w:cs="Arial"/>
          <w:sz w:val="22"/>
          <w:szCs w:val="22"/>
        </w:rPr>
        <w:t>II/40 - obratiště pro BUS v Želenicích.</w:t>
      </w:r>
    </w:p>
    <w:p w14:paraId="7C97AEFF"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D56</w:t>
      </w:r>
      <w:r w:rsidRPr="00AC341C">
        <w:rPr>
          <w:rFonts w:ascii="Arial" w:hAnsi="Arial" w:cs="Arial"/>
          <w:b/>
          <w:bCs/>
          <w:sz w:val="22"/>
          <w:szCs w:val="22"/>
        </w:rPr>
        <w:tab/>
      </w:r>
      <w:r w:rsidRPr="00AC341C">
        <w:rPr>
          <w:rFonts w:ascii="Arial" w:hAnsi="Arial" w:cs="Arial"/>
          <w:sz w:val="22"/>
          <w:szCs w:val="22"/>
        </w:rPr>
        <w:t>II/41 - halové garáže HG200 v ul. U Tvrze.</w:t>
      </w:r>
    </w:p>
    <w:p w14:paraId="62216CFD"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D57</w:t>
      </w:r>
      <w:r w:rsidRPr="00AC341C">
        <w:rPr>
          <w:rFonts w:ascii="Arial" w:hAnsi="Arial" w:cs="Arial"/>
          <w:b/>
          <w:bCs/>
          <w:sz w:val="22"/>
          <w:szCs w:val="22"/>
        </w:rPr>
        <w:tab/>
      </w:r>
      <w:r w:rsidRPr="00AC341C">
        <w:rPr>
          <w:rFonts w:ascii="Arial" w:hAnsi="Arial" w:cs="Arial"/>
          <w:sz w:val="22"/>
          <w:szCs w:val="22"/>
        </w:rPr>
        <w:t>II/42 - parkoviště P67 v Ovocné ulici.</w:t>
      </w:r>
    </w:p>
    <w:p w14:paraId="375F0598"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D58</w:t>
      </w:r>
      <w:r w:rsidRPr="00AC341C">
        <w:rPr>
          <w:rFonts w:ascii="Arial" w:hAnsi="Arial" w:cs="Arial"/>
          <w:b/>
          <w:bCs/>
          <w:sz w:val="22"/>
          <w:szCs w:val="22"/>
        </w:rPr>
        <w:tab/>
      </w:r>
      <w:r w:rsidRPr="00AC341C">
        <w:rPr>
          <w:rFonts w:ascii="Arial" w:hAnsi="Arial" w:cs="Arial"/>
          <w:sz w:val="22"/>
          <w:szCs w:val="22"/>
        </w:rPr>
        <w:t>II/43 - přívoz v RozbělesÍch.</w:t>
      </w:r>
    </w:p>
    <w:p w14:paraId="53667055" w14:textId="77777777" w:rsidR="00BB63DF" w:rsidRPr="00AC341C" w:rsidRDefault="00BB63DF" w:rsidP="00BB63DF">
      <w:pPr>
        <w:pStyle w:val="Zkladntext"/>
        <w:spacing w:before="120" w:line="288" w:lineRule="auto"/>
        <w:jc w:val="both"/>
        <w:rPr>
          <w:rFonts w:ascii="Arial" w:hAnsi="Arial" w:cs="Arial"/>
          <w:sz w:val="22"/>
          <w:szCs w:val="22"/>
        </w:rPr>
      </w:pPr>
    </w:p>
    <w:p w14:paraId="1BF05E19" w14:textId="77777777" w:rsidR="00BB63DF" w:rsidRPr="00AC341C" w:rsidRDefault="00BB63DF" w:rsidP="00BB63DF">
      <w:pPr>
        <w:pStyle w:val="Zkladntext"/>
        <w:spacing w:before="120" w:line="288" w:lineRule="auto"/>
        <w:jc w:val="both"/>
        <w:rPr>
          <w:rFonts w:ascii="Arial" w:hAnsi="Arial" w:cs="Arial"/>
          <w:sz w:val="22"/>
          <w:szCs w:val="22"/>
        </w:rPr>
      </w:pPr>
    </w:p>
    <w:p w14:paraId="6F56AA2A" w14:textId="77777777" w:rsidR="00BB63DF" w:rsidRPr="00AC341C" w:rsidRDefault="00BB63DF" w:rsidP="00BB63DF">
      <w:pPr>
        <w:pStyle w:val="Zkladntext"/>
        <w:spacing w:before="120" w:line="288" w:lineRule="auto"/>
        <w:jc w:val="both"/>
        <w:rPr>
          <w:rFonts w:ascii="Arial" w:hAnsi="Arial" w:cs="Arial"/>
          <w:b/>
          <w:bCs/>
          <w:caps/>
          <w:sz w:val="22"/>
          <w:szCs w:val="22"/>
        </w:rPr>
      </w:pPr>
      <w:r w:rsidRPr="00AC341C">
        <w:rPr>
          <w:rFonts w:ascii="Arial" w:hAnsi="Arial" w:cs="Arial"/>
          <w:b/>
          <w:bCs/>
          <w:caps/>
          <w:sz w:val="22"/>
          <w:szCs w:val="22"/>
        </w:rPr>
        <w:t>lokality Sektor III.</w:t>
      </w:r>
    </w:p>
    <w:p w14:paraId="6ACAF93A"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D59</w:t>
      </w:r>
      <w:r w:rsidRPr="00AC341C">
        <w:rPr>
          <w:rFonts w:ascii="Arial" w:hAnsi="Arial" w:cs="Arial"/>
          <w:b/>
          <w:bCs/>
          <w:sz w:val="22"/>
          <w:szCs w:val="22"/>
        </w:rPr>
        <w:tab/>
      </w:r>
      <w:r w:rsidRPr="00AC341C">
        <w:rPr>
          <w:rFonts w:ascii="Arial" w:hAnsi="Arial" w:cs="Arial"/>
          <w:sz w:val="22"/>
          <w:szCs w:val="22"/>
        </w:rPr>
        <w:t>III/11 - obratiště BUS ve Slovanské ul. Na Letné.</w:t>
      </w:r>
    </w:p>
    <w:p w14:paraId="07C81C89" w14:textId="77777777" w:rsidR="00BB63DF" w:rsidRPr="00AC341C" w:rsidRDefault="00BB63DF" w:rsidP="00BB63DF">
      <w:pPr>
        <w:pStyle w:val="Zkladntext"/>
        <w:spacing w:before="120" w:line="288" w:lineRule="auto"/>
        <w:jc w:val="both"/>
        <w:rPr>
          <w:rFonts w:ascii="Arial" w:hAnsi="Arial" w:cs="Arial"/>
          <w:sz w:val="22"/>
          <w:szCs w:val="22"/>
        </w:rPr>
      </w:pPr>
    </w:p>
    <w:p w14:paraId="22FB6DFE" w14:textId="77777777" w:rsidR="00BB63DF" w:rsidRPr="00AC341C" w:rsidRDefault="00BB63DF" w:rsidP="00BB63DF">
      <w:pPr>
        <w:pStyle w:val="Zkladntext"/>
        <w:spacing w:before="120" w:line="288" w:lineRule="auto"/>
        <w:jc w:val="both"/>
        <w:rPr>
          <w:rFonts w:ascii="Arial" w:hAnsi="Arial" w:cs="Arial"/>
          <w:sz w:val="22"/>
          <w:szCs w:val="22"/>
        </w:rPr>
      </w:pPr>
    </w:p>
    <w:p w14:paraId="22B761EC"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caps/>
          <w:sz w:val="22"/>
          <w:szCs w:val="22"/>
        </w:rPr>
        <w:t>lokality Sektor IV</w:t>
      </w:r>
      <w:r w:rsidRPr="00AC341C">
        <w:rPr>
          <w:rFonts w:ascii="Arial" w:hAnsi="Arial" w:cs="Arial"/>
          <w:caps/>
          <w:sz w:val="22"/>
          <w:szCs w:val="22"/>
        </w:rPr>
        <w:t>.</w:t>
      </w:r>
    </w:p>
    <w:p w14:paraId="70345A7F"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D60</w:t>
      </w:r>
      <w:r w:rsidRPr="00AC341C">
        <w:rPr>
          <w:rFonts w:ascii="Arial" w:hAnsi="Arial" w:cs="Arial"/>
          <w:b/>
          <w:bCs/>
          <w:sz w:val="22"/>
          <w:szCs w:val="22"/>
        </w:rPr>
        <w:tab/>
      </w:r>
      <w:r w:rsidRPr="00AC341C">
        <w:rPr>
          <w:rFonts w:ascii="Arial" w:hAnsi="Arial" w:cs="Arial"/>
          <w:sz w:val="22"/>
          <w:szCs w:val="22"/>
        </w:rPr>
        <w:t>IV/17 - parkoviště P15 u vodní plochy Terezínský rybník.</w:t>
      </w:r>
    </w:p>
    <w:p w14:paraId="2380AA15"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D61</w:t>
      </w:r>
      <w:r w:rsidRPr="00AC341C">
        <w:rPr>
          <w:rFonts w:ascii="Arial" w:hAnsi="Arial" w:cs="Arial"/>
          <w:b/>
          <w:bCs/>
          <w:sz w:val="22"/>
          <w:szCs w:val="22"/>
        </w:rPr>
        <w:tab/>
      </w:r>
      <w:r w:rsidRPr="00AC341C">
        <w:rPr>
          <w:rFonts w:ascii="Arial" w:hAnsi="Arial" w:cs="Arial"/>
          <w:sz w:val="22"/>
          <w:szCs w:val="22"/>
        </w:rPr>
        <w:t>IV/22 - hromadná garáž HG200 u výtopny v Bynově.</w:t>
      </w:r>
    </w:p>
    <w:p w14:paraId="1A09A97E"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D62</w:t>
      </w:r>
      <w:r w:rsidRPr="00AC341C">
        <w:rPr>
          <w:rFonts w:ascii="Arial" w:hAnsi="Arial" w:cs="Arial"/>
          <w:b/>
          <w:bCs/>
          <w:sz w:val="22"/>
          <w:szCs w:val="22"/>
        </w:rPr>
        <w:tab/>
      </w:r>
      <w:r w:rsidRPr="00AC341C">
        <w:rPr>
          <w:rFonts w:ascii="Arial" w:hAnsi="Arial" w:cs="Arial"/>
          <w:sz w:val="22"/>
          <w:szCs w:val="22"/>
        </w:rPr>
        <w:t>IV/23 - parkoviště u hřiště P50 v Bynově na Teplické ul.</w:t>
      </w:r>
    </w:p>
    <w:p w14:paraId="7FB813A5"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D63</w:t>
      </w:r>
      <w:r w:rsidRPr="00AC341C">
        <w:rPr>
          <w:rFonts w:ascii="Arial" w:hAnsi="Arial" w:cs="Arial"/>
          <w:b/>
          <w:bCs/>
          <w:sz w:val="22"/>
          <w:szCs w:val="22"/>
        </w:rPr>
        <w:tab/>
      </w:r>
      <w:r w:rsidRPr="00AC341C">
        <w:rPr>
          <w:rFonts w:ascii="Arial" w:hAnsi="Arial" w:cs="Arial"/>
          <w:sz w:val="22"/>
          <w:szCs w:val="22"/>
        </w:rPr>
        <w:t>IV/24 - hromadná garáž HG400 v Bynově na Teplické ul.</w:t>
      </w:r>
    </w:p>
    <w:p w14:paraId="53D6AF14"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D64</w:t>
      </w:r>
      <w:r w:rsidRPr="00AC341C">
        <w:rPr>
          <w:rFonts w:ascii="Arial" w:hAnsi="Arial" w:cs="Arial"/>
          <w:b/>
          <w:bCs/>
          <w:sz w:val="22"/>
          <w:szCs w:val="22"/>
        </w:rPr>
        <w:tab/>
      </w:r>
      <w:r w:rsidRPr="00AC341C">
        <w:rPr>
          <w:rFonts w:ascii="Arial" w:hAnsi="Arial" w:cs="Arial"/>
          <w:sz w:val="22"/>
          <w:szCs w:val="22"/>
        </w:rPr>
        <w:t>IV/25 - obratiště pro BUS v Bynově.</w:t>
      </w:r>
    </w:p>
    <w:p w14:paraId="6E078222" w14:textId="77777777" w:rsidR="00BB63DF" w:rsidRPr="00AC341C" w:rsidRDefault="00BB63DF" w:rsidP="00BB63DF">
      <w:pPr>
        <w:pStyle w:val="Zkladntext"/>
        <w:spacing w:before="120" w:line="288" w:lineRule="auto"/>
        <w:jc w:val="both"/>
        <w:rPr>
          <w:rFonts w:ascii="Arial" w:hAnsi="Arial" w:cs="Arial"/>
          <w:sz w:val="22"/>
          <w:szCs w:val="22"/>
        </w:rPr>
      </w:pPr>
    </w:p>
    <w:p w14:paraId="31183376" w14:textId="77777777" w:rsidR="00BB63DF" w:rsidRPr="00AC341C" w:rsidRDefault="00BB63DF" w:rsidP="00BB63DF">
      <w:pPr>
        <w:pStyle w:val="Zkladntext"/>
        <w:spacing w:before="120" w:line="288" w:lineRule="auto"/>
        <w:jc w:val="both"/>
        <w:rPr>
          <w:rFonts w:ascii="Arial" w:hAnsi="Arial" w:cs="Arial"/>
          <w:sz w:val="22"/>
          <w:szCs w:val="22"/>
        </w:rPr>
      </w:pPr>
    </w:p>
    <w:p w14:paraId="087AF8EF" w14:textId="77777777" w:rsidR="00BB63DF" w:rsidRPr="00AC341C" w:rsidRDefault="00BB63DF" w:rsidP="00BB63DF">
      <w:pPr>
        <w:pStyle w:val="Zkladntext"/>
        <w:spacing w:before="120" w:line="288" w:lineRule="auto"/>
        <w:jc w:val="both"/>
        <w:rPr>
          <w:rFonts w:ascii="Arial" w:hAnsi="Arial" w:cs="Arial"/>
          <w:b/>
          <w:bCs/>
          <w:caps/>
          <w:sz w:val="22"/>
          <w:szCs w:val="22"/>
        </w:rPr>
      </w:pPr>
      <w:r w:rsidRPr="00AC341C">
        <w:rPr>
          <w:rFonts w:ascii="Arial" w:hAnsi="Arial" w:cs="Arial"/>
          <w:b/>
          <w:bCs/>
          <w:caps/>
          <w:sz w:val="22"/>
          <w:szCs w:val="22"/>
        </w:rPr>
        <w:t>lokality Sektor V.</w:t>
      </w:r>
    </w:p>
    <w:p w14:paraId="70AC8BBD"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 xml:space="preserve">v sektoru není vymezena žádná VPS </w:t>
      </w:r>
      <w:r w:rsidRPr="00AC341C">
        <w:rPr>
          <w:rFonts w:ascii="Arial" w:hAnsi="Arial" w:cs="Arial"/>
          <w:sz w:val="22"/>
          <w:szCs w:val="22"/>
        </w:rPr>
        <w:t>(VD Prostřední Žleb vyřazeno).</w:t>
      </w:r>
    </w:p>
    <w:p w14:paraId="2679C43A" w14:textId="77777777" w:rsidR="00BB63DF" w:rsidRPr="00AC341C" w:rsidRDefault="00BB63DF" w:rsidP="00BB63DF">
      <w:pPr>
        <w:pStyle w:val="Zkladntext"/>
        <w:spacing w:before="120" w:line="288" w:lineRule="auto"/>
        <w:jc w:val="both"/>
        <w:rPr>
          <w:rFonts w:ascii="Arial" w:hAnsi="Arial" w:cs="Arial"/>
          <w:sz w:val="22"/>
          <w:szCs w:val="22"/>
        </w:rPr>
      </w:pPr>
    </w:p>
    <w:p w14:paraId="2869B492" w14:textId="77777777" w:rsidR="00BB63DF" w:rsidRPr="00AC341C" w:rsidRDefault="00BB63DF" w:rsidP="00BB63DF">
      <w:pPr>
        <w:pStyle w:val="Zkladntext"/>
        <w:spacing w:before="120" w:line="288" w:lineRule="auto"/>
        <w:jc w:val="both"/>
        <w:rPr>
          <w:rFonts w:ascii="Arial" w:hAnsi="Arial" w:cs="Arial"/>
          <w:sz w:val="22"/>
          <w:szCs w:val="22"/>
        </w:rPr>
      </w:pPr>
    </w:p>
    <w:p w14:paraId="7A411429" w14:textId="77777777" w:rsidR="00BB63DF" w:rsidRPr="00AC341C" w:rsidRDefault="00BB63DF" w:rsidP="00BB63DF">
      <w:pPr>
        <w:pStyle w:val="Zkladntext"/>
        <w:spacing w:before="120" w:line="288" w:lineRule="auto"/>
        <w:jc w:val="both"/>
        <w:rPr>
          <w:rFonts w:ascii="Arial" w:hAnsi="Arial" w:cs="Arial"/>
          <w:b/>
          <w:bCs/>
          <w:caps/>
          <w:sz w:val="22"/>
          <w:szCs w:val="22"/>
        </w:rPr>
      </w:pPr>
      <w:r w:rsidRPr="00AC341C">
        <w:rPr>
          <w:rFonts w:ascii="Arial" w:hAnsi="Arial" w:cs="Arial"/>
          <w:b/>
          <w:bCs/>
          <w:caps/>
          <w:sz w:val="22"/>
          <w:szCs w:val="22"/>
        </w:rPr>
        <w:t>lokality Sektor VI.</w:t>
      </w:r>
    </w:p>
    <w:p w14:paraId="2DAF61E8"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D66</w:t>
      </w:r>
      <w:r w:rsidRPr="00AC341C">
        <w:rPr>
          <w:rFonts w:ascii="Arial" w:hAnsi="Arial" w:cs="Arial"/>
          <w:b/>
          <w:bCs/>
          <w:sz w:val="22"/>
          <w:szCs w:val="22"/>
        </w:rPr>
        <w:tab/>
      </w:r>
      <w:r w:rsidRPr="00AC341C">
        <w:rPr>
          <w:rFonts w:ascii="Arial" w:hAnsi="Arial" w:cs="Arial"/>
          <w:sz w:val="22"/>
          <w:szCs w:val="22"/>
        </w:rPr>
        <w:t>VI/1 - parkoviště P60 a podzemní PP100 na Kamenické ul.</w:t>
      </w:r>
    </w:p>
    <w:p w14:paraId="3C4BC23F"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D67</w:t>
      </w:r>
      <w:r w:rsidRPr="00AC341C">
        <w:rPr>
          <w:rFonts w:ascii="Arial" w:hAnsi="Arial" w:cs="Arial"/>
          <w:b/>
          <w:bCs/>
          <w:sz w:val="22"/>
          <w:szCs w:val="22"/>
        </w:rPr>
        <w:tab/>
      </w:r>
      <w:r w:rsidRPr="00AC341C">
        <w:rPr>
          <w:rFonts w:ascii="Arial" w:hAnsi="Arial" w:cs="Arial"/>
          <w:sz w:val="22"/>
          <w:szCs w:val="22"/>
        </w:rPr>
        <w:t>VI/19 - parkoviště P100 u hřbitova ve Folknářích.</w:t>
      </w:r>
    </w:p>
    <w:p w14:paraId="4167B0DF"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D68</w:t>
      </w:r>
      <w:r w:rsidRPr="00AC341C">
        <w:rPr>
          <w:rFonts w:ascii="Arial" w:hAnsi="Arial" w:cs="Arial"/>
          <w:b/>
          <w:bCs/>
          <w:sz w:val="22"/>
          <w:szCs w:val="22"/>
        </w:rPr>
        <w:tab/>
      </w:r>
      <w:r w:rsidRPr="00AC341C">
        <w:rPr>
          <w:rFonts w:ascii="Arial" w:hAnsi="Arial" w:cs="Arial"/>
          <w:sz w:val="22"/>
          <w:szCs w:val="22"/>
        </w:rPr>
        <w:t>VI/35 - parkoviště P60 a HG240 v Březinách.</w:t>
      </w:r>
    </w:p>
    <w:p w14:paraId="41F92784"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D69</w:t>
      </w:r>
      <w:r w:rsidRPr="00AC341C">
        <w:rPr>
          <w:rFonts w:ascii="Arial" w:hAnsi="Arial" w:cs="Arial"/>
          <w:b/>
          <w:bCs/>
          <w:sz w:val="22"/>
          <w:szCs w:val="22"/>
        </w:rPr>
        <w:tab/>
      </w:r>
      <w:r w:rsidRPr="00AC341C">
        <w:rPr>
          <w:rFonts w:ascii="Arial" w:hAnsi="Arial" w:cs="Arial"/>
          <w:sz w:val="22"/>
          <w:szCs w:val="22"/>
        </w:rPr>
        <w:t>VI/36 - podzemní PP60 ve Forsterově ul.</w:t>
      </w:r>
    </w:p>
    <w:p w14:paraId="0E6DB7E4"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D70</w:t>
      </w:r>
      <w:r w:rsidRPr="00AC341C">
        <w:rPr>
          <w:rFonts w:ascii="Arial" w:hAnsi="Arial" w:cs="Arial"/>
          <w:b/>
          <w:bCs/>
          <w:sz w:val="22"/>
          <w:szCs w:val="22"/>
        </w:rPr>
        <w:tab/>
      </w:r>
      <w:r w:rsidRPr="00AC341C">
        <w:rPr>
          <w:rFonts w:ascii="Arial" w:hAnsi="Arial" w:cs="Arial"/>
          <w:sz w:val="22"/>
          <w:szCs w:val="22"/>
        </w:rPr>
        <w:t>VI/39 - parkoviště P60+P80+P30 v sídlišti v Březinách.</w:t>
      </w:r>
    </w:p>
    <w:p w14:paraId="22345D81"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D71</w:t>
      </w:r>
      <w:r w:rsidRPr="00AC341C">
        <w:rPr>
          <w:rFonts w:ascii="Arial" w:hAnsi="Arial" w:cs="Arial"/>
          <w:b/>
          <w:bCs/>
          <w:sz w:val="22"/>
          <w:szCs w:val="22"/>
        </w:rPr>
        <w:tab/>
      </w:r>
      <w:r w:rsidRPr="00AC341C">
        <w:rPr>
          <w:rFonts w:ascii="Arial" w:hAnsi="Arial" w:cs="Arial"/>
          <w:sz w:val="22"/>
          <w:szCs w:val="22"/>
        </w:rPr>
        <w:t>VI/40 - chodník podél MK od MŠ v Březinách do Libverdy.</w:t>
      </w:r>
    </w:p>
    <w:p w14:paraId="4DF3CFC4" w14:textId="77777777" w:rsidR="00BB63DF" w:rsidRPr="00AC341C" w:rsidRDefault="00BB63DF" w:rsidP="00BB63DF">
      <w:pPr>
        <w:pStyle w:val="Zkladntext"/>
        <w:spacing w:before="120" w:line="288" w:lineRule="auto"/>
        <w:jc w:val="both"/>
        <w:rPr>
          <w:rFonts w:ascii="Arial" w:hAnsi="Arial" w:cs="Arial"/>
          <w:sz w:val="22"/>
          <w:szCs w:val="22"/>
        </w:rPr>
      </w:pPr>
    </w:p>
    <w:p w14:paraId="1D766AFF" w14:textId="77777777" w:rsidR="00BB63DF" w:rsidRPr="00AC341C" w:rsidRDefault="00BB63DF" w:rsidP="00BB63DF">
      <w:pPr>
        <w:pStyle w:val="Zkladntext"/>
        <w:spacing w:before="120" w:line="288" w:lineRule="auto"/>
        <w:jc w:val="both"/>
        <w:rPr>
          <w:rFonts w:ascii="Arial" w:hAnsi="Arial" w:cs="Arial"/>
          <w:sz w:val="22"/>
          <w:szCs w:val="22"/>
        </w:rPr>
      </w:pPr>
    </w:p>
    <w:p w14:paraId="62F3757A" w14:textId="77777777" w:rsidR="00BB63DF" w:rsidRPr="00AC341C" w:rsidRDefault="00BB63DF" w:rsidP="00BB63DF">
      <w:pPr>
        <w:pStyle w:val="Zkladntext"/>
        <w:spacing w:before="120" w:line="288" w:lineRule="auto"/>
        <w:jc w:val="both"/>
        <w:rPr>
          <w:rFonts w:ascii="Arial" w:hAnsi="Arial" w:cs="Arial"/>
          <w:b/>
          <w:bCs/>
          <w:caps/>
          <w:sz w:val="22"/>
          <w:szCs w:val="22"/>
        </w:rPr>
      </w:pPr>
      <w:r w:rsidRPr="00AC341C">
        <w:rPr>
          <w:rFonts w:ascii="Arial" w:hAnsi="Arial" w:cs="Arial"/>
          <w:b/>
          <w:bCs/>
          <w:caps/>
          <w:sz w:val="22"/>
          <w:szCs w:val="22"/>
        </w:rPr>
        <w:lastRenderedPageBreak/>
        <w:t>lokality Sektor VII.</w:t>
      </w:r>
    </w:p>
    <w:p w14:paraId="30EEB60B"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D72</w:t>
      </w:r>
      <w:r w:rsidRPr="00AC341C">
        <w:rPr>
          <w:rFonts w:ascii="Arial" w:hAnsi="Arial" w:cs="Arial"/>
          <w:b/>
          <w:bCs/>
          <w:sz w:val="22"/>
          <w:szCs w:val="22"/>
        </w:rPr>
        <w:tab/>
      </w:r>
      <w:r w:rsidRPr="00AC341C">
        <w:rPr>
          <w:rFonts w:ascii="Arial" w:hAnsi="Arial" w:cs="Arial"/>
          <w:sz w:val="22"/>
          <w:szCs w:val="22"/>
        </w:rPr>
        <w:t>VII/1 - přístupová MK k polyfunkčnímu objektu v Boleticích - u parku.</w:t>
      </w:r>
    </w:p>
    <w:p w14:paraId="50CA8CFA"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D73</w:t>
      </w:r>
      <w:r w:rsidRPr="00AC341C">
        <w:rPr>
          <w:rFonts w:ascii="Arial" w:hAnsi="Arial" w:cs="Arial"/>
          <w:b/>
          <w:bCs/>
          <w:sz w:val="22"/>
          <w:szCs w:val="22"/>
        </w:rPr>
        <w:tab/>
      </w:r>
      <w:r w:rsidRPr="00AC341C">
        <w:rPr>
          <w:rFonts w:ascii="Arial" w:hAnsi="Arial" w:cs="Arial"/>
          <w:sz w:val="22"/>
          <w:szCs w:val="22"/>
        </w:rPr>
        <w:t>VII/4 - přístupová MK k polyfunkčnímu objektu a k bytovému domu v Boleticích.</w:t>
      </w:r>
    </w:p>
    <w:p w14:paraId="058F2984"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D74</w:t>
      </w:r>
      <w:r w:rsidRPr="00AC341C">
        <w:rPr>
          <w:rFonts w:ascii="Arial" w:hAnsi="Arial" w:cs="Arial"/>
          <w:b/>
          <w:bCs/>
          <w:sz w:val="22"/>
          <w:szCs w:val="22"/>
        </w:rPr>
        <w:tab/>
      </w:r>
      <w:r w:rsidRPr="00AC341C">
        <w:rPr>
          <w:rFonts w:ascii="Arial" w:hAnsi="Arial" w:cs="Arial"/>
          <w:sz w:val="22"/>
          <w:szCs w:val="22"/>
        </w:rPr>
        <w:t>VII/26 - halová garáž HG200 v Boleticích u trati.</w:t>
      </w:r>
    </w:p>
    <w:p w14:paraId="6038667F"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D75</w:t>
      </w:r>
      <w:r w:rsidRPr="00AC341C">
        <w:rPr>
          <w:rFonts w:ascii="Arial" w:hAnsi="Arial" w:cs="Arial"/>
          <w:b/>
          <w:bCs/>
          <w:sz w:val="22"/>
          <w:szCs w:val="22"/>
        </w:rPr>
        <w:tab/>
      </w:r>
      <w:r w:rsidRPr="00AC341C">
        <w:rPr>
          <w:rFonts w:ascii="Arial" w:hAnsi="Arial" w:cs="Arial"/>
          <w:sz w:val="22"/>
          <w:szCs w:val="22"/>
        </w:rPr>
        <w:t>VII/27 - halová garáž HG200 a parkoviště P150 v Boleticích v obytném souboru.</w:t>
      </w:r>
    </w:p>
    <w:p w14:paraId="6EC10328"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D76</w:t>
      </w:r>
      <w:r w:rsidRPr="00AC341C">
        <w:rPr>
          <w:rFonts w:ascii="Arial" w:hAnsi="Arial" w:cs="Arial"/>
          <w:b/>
          <w:bCs/>
          <w:sz w:val="22"/>
          <w:szCs w:val="22"/>
        </w:rPr>
        <w:tab/>
      </w:r>
      <w:r w:rsidRPr="00AC341C">
        <w:rPr>
          <w:rFonts w:ascii="Arial" w:hAnsi="Arial" w:cs="Arial"/>
          <w:sz w:val="22"/>
          <w:szCs w:val="22"/>
        </w:rPr>
        <w:t>VII/28 - parkoviště P100 v Boleticích v obytném souboru.</w:t>
      </w:r>
    </w:p>
    <w:p w14:paraId="7DA2FA62"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D77</w:t>
      </w:r>
      <w:r w:rsidRPr="00AC341C">
        <w:rPr>
          <w:rFonts w:ascii="Arial" w:hAnsi="Arial" w:cs="Arial"/>
          <w:b/>
          <w:bCs/>
          <w:sz w:val="22"/>
          <w:szCs w:val="22"/>
        </w:rPr>
        <w:tab/>
      </w:r>
      <w:r w:rsidRPr="00AC341C">
        <w:rPr>
          <w:rFonts w:ascii="Arial" w:hAnsi="Arial" w:cs="Arial"/>
          <w:sz w:val="22"/>
          <w:szCs w:val="22"/>
        </w:rPr>
        <w:t>VII/29 - parkoviště P30 na Kostelní ulici.</w:t>
      </w:r>
    </w:p>
    <w:p w14:paraId="706C6E52"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D78</w:t>
      </w:r>
      <w:r w:rsidRPr="00AC341C">
        <w:rPr>
          <w:rFonts w:ascii="Arial" w:hAnsi="Arial" w:cs="Arial"/>
          <w:b/>
          <w:bCs/>
          <w:sz w:val="22"/>
          <w:szCs w:val="22"/>
        </w:rPr>
        <w:tab/>
      </w:r>
      <w:r w:rsidRPr="00AC341C">
        <w:rPr>
          <w:rFonts w:ascii="Arial" w:hAnsi="Arial" w:cs="Arial"/>
          <w:sz w:val="22"/>
          <w:szCs w:val="22"/>
        </w:rPr>
        <w:t>VII/30 - rekonstrukce a rozšíření Kostelní ulice.</w:t>
      </w:r>
    </w:p>
    <w:p w14:paraId="0AD12F36"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D79</w:t>
      </w:r>
      <w:r w:rsidRPr="00AC341C">
        <w:rPr>
          <w:rFonts w:ascii="Arial" w:hAnsi="Arial" w:cs="Arial"/>
          <w:b/>
          <w:bCs/>
          <w:sz w:val="22"/>
          <w:szCs w:val="22"/>
        </w:rPr>
        <w:tab/>
      </w:r>
      <w:r w:rsidRPr="00AC341C">
        <w:rPr>
          <w:rFonts w:ascii="Arial" w:hAnsi="Arial" w:cs="Arial"/>
          <w:sz w:val="22"/>
          <w:szCs w:val="22"/>
        </w:rPr>
        <w:t>VII/32 - rekonstrukce, rozšíření profilu v oblouku silnice II/261 v Nebočadech.</w:t>
      </w:r>
    </w:p>
    <w:p w14:paraId="160CE1FE"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D80</w:t>
      </w:r>
      <w:r w:rsidRPr="00AC341C">
        <w:rPr>
          <w:rFonts w:ascii="Arial" w:hAnsi="Arial" w:cs="Arial"/>
          <w:b/>
          <w:bCs/>
          <w:sz w:val="22"/>
          <w:szCs w:val="22"/>
        </w:rPr>
        <w:tab/>
      </w:r>
      <w:r w:rsidRPr="00AC341C">
        <w:rPr>
          <w:rFonts w:ascii="Arial" w:hAnsi="Arial" w:cs="Arial"/>
          <w:sz w:val="22"/>
          <w:szCs w:val="22"/>
        </w:rPr>
        <w:t>VII/33 - obratiště BUS v Jakubech.</w:t>
      </w:r>
    </w:p>
    <w:p w14:paraId="074689AB" w14:textId="77777777" w:rsidR="00BB63DF" w:rsidRPr="00AC341C" w:rsidRDefault="00BB63DF" w:rsidP="00BB63DF">
      <w:pPr>
        <w:pStyle w:val="Zkladntext"/>
        <w:spacing w:before="120" w:line="288" w:lineRule="auto"/>
        <w:jc w:val="both"/>
        <w:rPr>
          <w:rFonts w:ascii="Arial" w:hAnsi="Arial" w:cs="Arial"/>
          <w:sz w:val="22"/>
          <w:szCs w:val="22"/>
        </w:rPr>
      </w:pPr>
    </w:p>
    <w:p w14:paraId="381C2808" w14:textId="77777777" w:rsidR="00BB63DF" w:rsidRPr="00AC341C" w:rsidRDefault="00BB63DF" w:rsidP="00BB63DF">
      <w:pPr>
        <w:pStyle w:val="Zkladntext"/>
        <w:spacing w:before="120" w:line="288" w:lineRule="auto"/>
        <w:jc w:val="both"/>
        <w:rPr>
          <w:rFonts w:ascii="Arial" w:hAnsi="Arial" w:cs="Arial"/>
          <w:sz w:val="22"/>
          <w:szCs w:val="22"/>
        </w:rPr>
      </w:pPr>
    </w:p>
    <w:p w14:paraId="2B389C9D" w14:textId="77777777" w:rsidR="00BB63DF" w:rsidRPr="00AC341C" w:rsidRDefault="00BB63DF" w:rsidP="00BB63DF">
      <w:pPr>
        <w:pStyle w:val="Zkladntext"/>
        <w:spacing w:before="120" w:line="288" w:lineRule="auto"/>
        <w:jc w:val="both"/>
        <w:rPr>
          <w:rFonts w:ascii="Arial" w:hAnsi="Arial" w:cs="Arial"/>
          <w:b/>
          <w:bCs/>
          <w:caps/>
          <w:sz w:val="22"/>
          <w:szCs w:val="22"/>
        </w:rPr>
      </w:pPr>
      <w:r w:rsidRPr="00AC341C">
        <w:rPr>
          <w:rFonts w:ascii="Arial" w:hAnsi="Arial" w:cs="Arial"/>
          <w:b/>
          <w:bCs/>
          <w:caps/>
          <w:sz w:val="22"/>
          <w:szCs w:val="22"/>
        </w:rPr>
        <w:t>lokality Sektor VIII.</w:t>
      </w:r>
    </w:p>
    <w:p w14:paraId="35DD077B"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D81</w:t>
      </w:r>
      <w:r w:rsidRPr="00AC341C">
        <w:rPr>
          <w:rFonts w:ascii="Arial" w:hAnsi="Arial" w:cs="Arial"/>
          <w:b/>
          <w:bCs/>
          <w:sz w:val="22"/>
          <w:szCs w:val="22"/>
        </w:rPr>
        <w:tab/>
      </w:r>
      <w:r w:rsidRPr="00AC341C">
        <w:rPr>
          <w:rFonts w:ascii="Arial" w:hAnsi="Arial" w:cs="Arial"/>
          <w:sz w:val="22"/>
          <w:szCs w:val="22"/>
        </w:rPr>
        <w:t>VIII/3 - parkoviště P20 v Maxičkách.</w:t>
      </w:r>
    </w:p>
    <w:p w14:paraId="7B74C85B"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D82</w:t>
      </w:r>
      <w:r w:rsidRPr="00AC341C">
        <w:rPr>
          <w:rFonts w:ascii="Arial" w:hAnsi="Arial" w:cs="Arial"/>
          <w:b/>
          <w:bCs/>
          <w:sz w:val="22"/>
          <w:szCs w:val="22"/>
        </w:rPr>
        <w:tab/>
      </w:r>
      <w:r w:rsidRPr="00AC341C">
        <w:rPr>
          <w:rFonts w:ascii="Arial" w:hAnsi="Arial" w:cs="Arial"/>
          <w:sz w:val="22"/>
          <w:szCs w:val="22"/>
        </w:rPr>
        <w:t>VIII/4 - rekonstrukce a komunikace (lesní cesty) vedené ve směru od Maxiček do Dolního Žlebu.</w:t>
      </w:r>
    </w:p>
    <w:p w14:paraId="4A37409F" w14:textId="77777777" w:rsidR="00BB63DF" w:rsidRPr="00AC341C" w:rsidRDefault="00BB63DF" w:rsidP="00BB63DF">
      <w:pPr>
        <w:pStyle w:val="Zkladntext"/>
        <w:spacing w:before="120" w:line="288" w:lineRule="auto"/>
        <w:ind w:left="709" w:hanging="709"/>
        <w:jc w:val="both"/>
        <w:rPr>
          <w:rFonts w:ascii="Arial" w:hAnsi="Arial" w:cs="Arial"/>
          <w:sz w:val="22"/>
          <w:szCs w:val="22"/>
        </w:rPr>
      </w:pPr>
    </w:p>
    <w:p w14:paraId="44B6ED73" w14:textId="77777777" w:rsidR="00BB63DF" w:rsidRPr="00AC341C" w:rsidRDefault="00BB63DF" w:rsidP="00BB63DF">
      <w:pPr>
        <w:pStyle w:val="Zkladntext"/>
        <w:spacing w:before="120" w:line="288" w:lineRule="auto"/>
        <w:rPr>
          <w:rFonts w:ascii="Arial" w:hAnsi="Arial" w:cs="Arial"/>
        </w:rPr>
      </w:pPr>
    </w:p>
    <w:p w14:paraId="38C03EE0" w14:textId="77777777" w:rsidR="00BB63DF" w:rsidRPr="00AC341C" w:rsidRDefault="00BB63DF" w:rsidP="00BB63DF">
      <w:pPr>
        <w:pStyle w:val="Zkladntext"/>
        <w:rPr>
          <w:rFonts w:ascii="Arial" w:hAnsi="Arial" w:cs="Arial"/>
          <w:b/>
          <w:bCs/>
          <w:sz w:val="32"/>
          <w:szCs w:val="32"/>
        </w:rPr>
      </w:pPr>
      <w:r w:rsidRPr="00AC341C">
        <w:rPr>
          <w:rFonts w:ascii="Arial" w:hAnsi="Arial" w:cs="Arial"/>
          <w:b/>
          <w:bCs/>
          <w:sz w:val="32"/>
          <w:szCs w:val="32"/>
        </w:rPr>
        <w:t>VEŘEJNĚ PROSPĚŠNÉ STAVBY VODNÍHO HOSPODÁŘSTVÍ</w:t>
      </w:r>
    </w:p>
    <w:p w14:paraId="4238F902" w14:textId="77777777" w:rsidR="00BB63DF" w:rsidRPr="00AC341C" w:rsidRDefault="00BB63DF" w:rsidP="00BB63DF">
      <w:pPr>
        <w:pStyle w:val="Zkladntext"/>
        <w:rPr>
          <w:rFonts w:ascii="Arial" w:hAnsi="Arial" w:cs="Arial"/>
          <w:b/>
          <w:bCs/>
          <w:sz w:val="32"/>
          <w:szCs w:val="32"/>
        </w:rPr>
      </w:pPr>
    </w:p>
    <w:p w14:paraId="1EB58F34" w14:textId="77777777" w:rsidR="00BB63DF" w:rsidRPr="00AC341C" w:rsidRDefault="00BB63DF" w:rsidP="00BB63DF">
      <w:pPr>
        <w:pStyle w:val="podnadpis2"/>
        <w:spacing w:before="120" w:after="0" w:line="288" w:lineRule="auto"/>
        <w:jc w:val="both"/>
        <w:rPr>
          <w:rFonts w:cs="Arial"/>
          <w:sz w:val="28"/>
          <w:szCs w:val="28"/>
        </w:rPr>
      </w:pPr>
      <w:r w:rsidRPr="00AC341C">
        <w:rPr>
          <w:rFonts w:cs="Arial"/>
          <w:sz w:val="28"/>
          <w:szCs w:val="28"/>
        </w:rPr>
        <w:t>zásobování vodou</w:t>
      </w:r>
    </w:p>
    <w:p w14:paraId="364390B0"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V1</w:t>
      </w:r>
      <w:r w:rsidRPr="00AC341C">
        <w:rPr>
          <w:rFonts w:ascii="Arial" w:hAnsi="Arial" w:cs="Arial"/>
          <w:sz w:val="22"/>
          <w:szCs w:val="22"/>
        </w:rPr>
        <w:tab/>
        <w:t>Vodojem Letná 150 m</w:t>
      </w:r>
      <w:r w:rsidRPr="00AC341C">
        <w:rPr>
          <w:rFonts w:ascii="Arial" w:hAnsi="Arial" w:cs="Arial"/>
          <w:sz w:val="22"/>
          <w:szCs w:val="22"/>
          <w:vertAlign w:val="superscript"/>
        </w:rPr>
        <w:t>3</w:t>
      </w:r>
      <w:r w:rsidRPr="00AC341C">
        <w:rPr>
          <w:rFonts w:ascii="Arial" w:hAnsi="Arial" w:cs="Arial"/>
          <w:sz w:val="22"/>
          <w:szCs w:val="22"/>
        </w:rPr>
        <w:t xml:space="preserve"> a zásobní řady pro navrženou zásobu.</w:t>
      </w:r>
    </w:p>
    <w:p w14:paraId="59127EC3"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V2</w:t>
      </w:r>
      <w:r w:rsidRPr="00AC341C">
        <w:rPr>
          <w:rFonts w:ascii="Arial" w:hAnsi="Arial" w:cs="Arial"/>
          <w:sz w:val="22"/>
          <w:szCs w:val="22"/>
        </w:rPr>
        <w:tab/>
        <w:t>Nový přívodní řad z vodojemu Václavov do vodojemu Popovice DN 100 a zásobní řady pro navrženou zástavbu z vodojemu Popovice.</w:t>
      </w:r>
    </w:p>
    <w:p w14:paraId="3595DBFA" w14:textId="77777777" w:rsidR="00BB63DF" w:rsidRPr="00AC341C" w:rsidRDefault="00BB63DF" w:rsidP="00BB63DF">
      <w:pPr>
        <w:pStyle w:val="Zkladntext"/>
        <w:spacing w:before="120" w:line="288" w:lineRule="auto"/>
        <w:ind w:left="709" w:hanging="709"/>
        <w:jc w:val="both"/>
        <w:rPr>
          <w:rFonts w:ascii="Arial" w:hAnsi="Arial" w:cs="Arial"/>
          <w:sz w:val="22"/>
          <w:szCs w:val="22"/>
        </w:rPr>
      </w:pPr>
    </w:p>
    <w:p w14:paraId="5124D731" w14:textId="77777777" w:rsidR="00BB63DF" w:rsidRPr="00AC341C" w:rsidRDefault="00BB63DF" w:rsidP="00BB63DF">
      <w:pPr>
        <w:pStyle w:val="podnadpis2"/>
        <w:spacing w:before="120" w:after="0" w:line="288" w:lineRule="auto"/>
        <w:jc w:val="both"/>
        <w:rPr>
          <w:rFonts w:cs="Arial"/>
          <w:sz w:val="28"/>
          <w:szCs w:val="28"/>
        </w:rPr>
      </w:pPr>
      <w:r w:rsidRPr="00AC341C">
        <w:rPr>
          <w:rFonts w:cs="Arial"/>
          <w:sz w:val="28"/>
          <w:szCs w:val="28"/>
        </w:rPr>
        <w:t>likvidace odpadních vod</w:t>
      </w:r>
    </w:p>
    <w:p w14:paraId="0D6056AF" w14:textId="77777777" w:rsidR="00BB63DF" w:rsidRPr="00AC341C" w:rsidRDefault="00BB63DF" w:rsidP="00BB63DF">
      <w:pPr>
        <w:pStyle w:val="podnadpis2"/>
        <w:spacing w:before="120" w:after="0" w:line="288" w:lineRule="auto"/>
        <w:jc w:val="both"/>
        <w:rPr>
          <w:rFonts w:cs="Arial"/>
          <w:sz w:val="28"/>
          <w:szCs w:val="28"/>
        </w:rPr>
      </w:pPr>
    </w:p>
    <w:p w14:paraId="43EA2FEC" w14:textId="77777777" w:rsidR="00BB63DF" w:rsidRPr="00AC341C" w:rsidRDefault="00BB63DF" w:rsidP="00BB63DF">
      <w:pPr>
        <w:pStyle w:val="Zkladntext"/>
        <w:spacing w:before="120" w:line="288" w:lineRule="auto"/>
        <w:ind w:left="709" w:hanging="707"/>
        <w:jc w:val="both"/>
        <w:rPr>
          <w:rFonts w:ascii="Arial" w:hAnsi="Arial" w:cs="Arial"/>
          <w:sz w:val="22"/>
          <w:szCs w:val="22"/>
        </w:rPr>
      </w:pPr>
      <w:r w:rsidRPr="00AC341C">
        <w:rPr>
          <w:rFonts w:ascii="Arial" w:hAnsi="Arial" w:cs="Arial"/>
          <w:b/>
          <w:bCs/>
          <w:sz w:val="22"/>
          <w:szCs w:val="22"/>
        </w:rPr>
        <w:t>K1</w:t>
      </w:r>
      <w:r w:rsidRPr="00AC341C">
        <w:rPr>
          <w:rFonts w:ascii="Arial" w:hAnsi="Arial" w:cs="Arial"/>
          <w:sz w:val="22"/>
          <w:szCs w:val="22"/>
        </w:rPr>
        <w:tab/>
        <w:t>Splašková kanalizace DN 300 (250) v Oldřichově Jelení ulici v úseku od železničního podjezdu na konec stávající zástavby.</w:t>
      </w:r>
    </w:p>
    <w:p w14:paraId="0A3D3AFE" w14:textId="77777777" w:rsidR="00BB63DF" w:rsidRPr="00AC341C" w:rsidRDefault="00BB63DF" w:rsidP="00BB63DF">
      <w:pPr>
        <w:pStyle w:val="Zkladntext"/>
        <w:spacing w:before="120" w:line="288" w:lineRule="auto"/>
        <w:ind w:left="709" w:hanging="707"/>
        <w:jc w:val="both"/>
        <w:rPr>
          <w:rFonts w:ascii="Arial" w:hAnsi="Arial" w:cs="Arial"/>
          <w:sz w:val="22"/>
          <w:szCs w:val="22"/>
        </w:rPr>
      </w:pPr>
      <w:r w:rsidRPr="00AC341C">
        <w:rPr>
          <w:rFonts w:ascii="Arial" w:hAnsi="Arial" w:cs="Arial"/>
          <w:b/>
          <w:bCs/>
          <w:sz w:val="22"/>
          <w:szCs w:val="22"/>
        </w:rPr>
        <w:t>K2</w:t>
      </w:r>
      <w:r w:rsidRPr="00AC341C">
        <w:rPr>
          <w:rFonts w:ascii="Arial" w:hAnsi="Arial" w:cs="Arial"/>
          <w:sz w:val="22"/>
          <w:szCs w:val="22"/>
        </w:rPr>
        <w:tab/>
        <w:t>Splašková kanalizace v celé lokalitě Oldřichov.</w:t>
      </w:r>
    </w:p>
    <w:p w14:paraId="6A0CD5F9" w14:textId="77777777" w:rsidR="00BB63DF" w:rsidRPr="00AC341C" w:rsidRDefault="00BB63DF" w:rsidP="00BB63DF">
      <w:pPr>
        <w:pStyle w:val="Zkladntext"/>
        <w:spacing w:before="120" w:line="288" w:lineRule="auto"/>
        <w:ind w:left="709" w:hanging="707"/>
        <w:jc w:val="both"/>
        <w:rPr>
          <w:rFonts w:ascii="Arial" w:hAnsi="Arial" w:cs="Arial"/>
          <w:sz w:val="22"/>
          <w:szCs w:val="22"/>
        </w:rPr>
      </w:pPr>
      <w:r w:rsidRPr="00AC341C">
        <w:rPr>
          <w:rFonts w:ascii="Arial" w:hAnsi="Arial" w:cs="Arial"/>
          <w:b/>
          <w:bCs/>
          <w:sz w:val="22"/>
          <w:szCs w:val="22"/>
        </w:rPr>
        <w:lastRenderedPageBreak/>
        <w:t>K3</w:t>
      </w:r>
      <w:r w:rsidRPr="00AC341C">
        <w:rPr>
          <w:rFonts w:ascii="Arial" w:hAnsi="Arial" w:cs="Arial"/>
          <w:sz w:val="22"/>
          <w:szCs w:val="22"/>
        </w:rPr>
        <w:tab/>
        <w:t>Obnova dešťového odvodnění Oldřichov (kombinace zatrubněných úseků s příkopy) v celé lokalitě.</w:t>
      </w:r>
    </w:p>
    <w:p w14:paraId="0979980A"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K4</w:t>
      </w:r>
      <w:r w:rsidRPr="00AC341C">
        <w:rPr>
          <w:rFonts w:ascii="Arial" w:hAnsi="Arial" w:cs="Arial"/>
          <w:sz w:val="22"/>
          <w:szCs w:val="22"/>
        </w:rPr>
        <w:tab/>
        <w:t>Splašková kanalizace v ulicích "U Korkárny" a "Pod vrchem" v Bynově.</w:t>
      </w:r>
    </w:p>
    <w:p w14:paraId="18CA5E4C"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K5</w:t>
      </w:r>
      <w:r w:rsidRPr="00AC341C">
        <w:rPr>
          <w:rFonts w:ascii="Arial" w:hAnsi="Arial" w:cs="Arial"/>
          <w:sz w:val="22"/>
          <w:szCs w:val="22"/>
        </w:rPr>
        <w:tab/>
        <w:t>Jednotná kanalizace v "Kyjevské ulici" Bynov.</w:t>
      </w:r>
    </w:p>
    <w:p w14:paraId="269058F6"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K6</w:t>
      </w:r>
      <w:r w:rsidRPr="00AC341C">
        <w:rPr>
          <w:rFonts w:ascii="Arial" w:hAnsi="Arial" w:cs="Arial"/>
          <w:sz w:val="22"/>
          <w:szCs w:val="22"/>
        </w:rPr>
        <w:tab/>
        <w:t>Dešťové odvodnění Lesní cesty Bynov. Jedná se o kombinaci otevřeného příkopu a zatrubněné stoky odvádějících povrchové vody do Jílovského potoka.</w:t>
      </w:r>
    </w:p>
    <w:p w14:paraId="0AB1968F"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K7</w:t>
      </w:r>
      <w:r w:rsidRPr="00AC341C">
        <w:rPr>
          <w:rFonts w:ascii="Arial" w:hAnsi="Arial" w:cs="Arial"/>
          <w:sz w:val="22"/>
          <w:szCs w:val="22"/>
        </w:rPr>
        <w:tab/>
        <w:t>Splašková a dešťová kanalizace v ulici Červený vrch, čerpací stanice splašků.</w:t>
      </w:r>
    </w:p>
    <w:p w14:paraId="59E9A079"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K8</w:t>
      </w:r>
      <w:r w:rsidRPr="00AC341C">
        <w:rPr>
          <w:rFonts w:ascii="Arial" w:hAnsi="Arial" w:cs="Arial"/>
          <w:sz w:val="22"/>
          <w:szCs w:val="22"/>
        </w:rPr>
        <w:tab/>
        <w:t xml:space="preserve">Dešťová kanalizace v ulici "Pod Svahem". </w:t>
      </w:r>
    </w:p>
    <w:p w14:paraId="72BE2875"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K9</w:t>
      </w:r>
      <w:r w:rsidRPr="00AC341C">
        <w:rPr>
          <w:rFonts w:ascii="Arial" w:hAnsi="Arial" w:cs="Arial"/>
          <w:sz w:val="22"/>
          <w:szCs w:val="22"/>
        </w:rPr>
        <w:tab/>
        <w:t>Napojení kanalizace Nového města, podchycení jednotlivých vyústí novou kanalizací v ulici Labská svedené do navržené čerpací stanice Maroldova, odtud výtlačný řad do stoky XXIV.</w:t>
      </w:r>
    </w:p>
    <w:p w14:paraId="0422FCEE"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K10</w:t>
      </w:r>
      <w:r w:rsidRPr="00AC341C">
        <w:rPr>
          <w:rFonts w:ascii="Arial" w:hAnsi="Arial" w:cs="Arial"/>
          <w:sz w:val="22"/>
          <w:szCs w:val="22"/>
        </w:rPr>
        <w:tab/>
        <w:t>Dešťová kanalizace v ulici "V Sadech" – Nové město.</w:t>
      </w:r>
    </w:p>
    <w:p w14:paraId="4D4DE3A4"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K11</w:t>
      </w:r>
      <w:r w:rsidRPr="00AC341C">
        <w:rPr>
          <w:rFonts w:ascii="Arial" w:hAnsi="Arial" w:cs="Arial"/>
          <w:sz w:val="22"/>
          <w:szCs w:val="22"/>
        </w:rPr>
        <w:tab/>
        <w:t>Dešťová a splašková kanalizace v celé ulici "Za Sadem" v Březinách. Řešení spočívá v odkanalizování dolní a zvlášť horní části ulice včetně zachycení extravilánových vod a podchycení stávající kanalizace.</w:t>
      </w:r>
    </w:p>
    <w:p w14:paraId="4022F8B9"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K12</w:t>
      </w:r>
      <w:r w:rsidRPr="00AC341C">
        <w:rPr>
          <w:rFonts w:ascii="Arial" w:hAnsi="Arial" w:cs="Arial"/>
          <w:sz w:val="22"/>
          <w:szCs w:val="22"/>
        </w:rPr>
        <w:tab/>
        <w:t>Splašková kanalizace v Březové ulici Březiny.</w:t>
      </w:r>
    </w:p>
    <w:p w14:paraId="18ACAB80"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K13</w:t>
      </w:r>
      <w:r w:rsidRPr="00AC341C">
        <w:rPr>
          <w:rFonts w:ascii="Arial" w:hAnsi="Arial" w:cs="Arial"/>
          <w:sz w:val="22"/>
          <w:szCs w:val="22"/>
        </w:rPr>
        <w:tab/>
        <w:t>Splašková kanalizace Folknářská: podchycení stávající stoky a převedení do stoky Liberecká.</w:t>
      </w:r>
    </w:p>
    <w:p w14:paraId="333BFC42"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K14</w:t>
      </w:r>
      <w:r w:rsidRPr="00AC341C">
        <w:rPr>
          <w:rFonts w:ascii="Arial" w:hAnsi="Arial" w:cs="Arial"/>
          <w:sz w:val="22"/>
          <w:szCs w:val="22"/>
        </w:rPr>
        <w:tab/>
        <w:t>Splašková kanalizace v ulicích Záhořova, U dvora a Kotlářská.</w:t>
      </w:r>
    </w:p>
    <w:p w14:paraId="1F4930A4"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K15</w:t>
      </w:r>
      <w:r w:rsidRPr="00AC341C">
        <w:rPr>
          <w:rFonts w:ascii="Arial" w:hAnsi="Arial" w:cs="Arial"/>
          <w:sz w:val="22"/>
          <w:szCs w:val="22"/>
        </w:rPr>
        <w:tab/>
        <w:t>Odvodnění v ulici "U dvora a Kotlářská".</w:t>
      </w:r>
    </w:p>
    <w:p w14:paraId="55DBD40D"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K16</w:t>
      </w:r>
      <w:r w:rsidRPr="00AC341C">
        <w:rPr>
          <w:rFonts w:ascii="Arial" w:hAnsi="Arial" w:cs="Arial"/>
          <w:sz w:val="22"/>
          <w:szCs w:val="22"/>
        </w:rPr>
        <w:tab/>
        <w:t>Splašková kanalizace v ulicích Staroměstské nábřeží, U trati, Sochorova, Koperníkova, Na točně, Havlíčkova, Dlouhá, Šikmá, Průchodní, Zemědělská, U Sokolovny převážně v Křešicích. Stoky svedené do čerpací stanice navržené pro tuto část, výtlačný řad a gravitační stoka do hlavní čerpací stanice Křešice.</w:t>
      </w:r>
    </w:p>
    <w:p w14:paraId="6D62D3B5"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K17</w:t>
      </w:r>
      <w:r w:rsidRPr="00AC341C">
        <w:rPr>
          <w:rFonts w:ascii="Arial" w:hAnsi="Arial" w:cs="Arial"/>
          <w:sz w:val="22"/>
          <w:szCs w:val="22"/>
        </w:rPr>
        <w:tab/>
        <w:t>Splašková kanalizace v ulicích Družinová, Klicperova, U školy, Potoční, Luční, hlavní čerpací stanice.</w:t>
      </w:r>
    </w:p>
    <w:p w14:paraId="0360B08F"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K18</w:t>
      </w:r>
      <w:r w:rsidRPr="00AC341C">
        <w:rPr>
          <w:rFonts w:ascii="Arial" w:hAnsi="Arial" w:cs="Arial"/>
          <w:sz w:val="22"/>
          <w:szCs w:val="22"/>
        </w:rPr>
        <w:tab/>
        <w:t>Křešice a výtlačný řad do výtlaku "A" k ČOV.</w:t>
      </w:r>
    </w:p>
    <w:p w14:paraId="2F61FD58"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K19</w:t>
      </w:r>
      <w:r w:rsidRPr="00AC341C">
        <w:rPr>
          <w:rFonts w:ascii="Arial" w:hAnsi="Arial" w:cs="Arial"/>
          <w:sz w:val="22"/>
          <w:szCs w:val="22"/>
        </w:rPr>
        <w:tab/>
        <w:t>Splašková kanalizace v ulicích "u Přívozu" a "Polabí" a přečerpání do hlavního systému města.</w:t>
      </w:r>
    </w:p>
    <w:p w14:paraId="5D40F6ED"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K20</w:t>
      </w:r>
      <w:r w:rsidRPr="00AC341C">
        <w:rPr>
          <w:rFonts w:ascii="Arial" w:hAnsi="Arial" w:cs="Arial"/>
          <w:sz w:val="22"/>
          <w:szCs w:val="22"/>
        </w:rPr>
        <w:tab/>
        <w:t>Splašková kanalizace v celé lokalitě Krásný Studenec, zahrnutí vybudování splaškové kanalizace v ulicích "Na Skluzu" a "Hraniční" a svedení do stoky v ulici Krásnostudenecké. Napojení je podmíněno rekonstrukcí stávající stoky Krásnostudenecká a Novoměstská na potřebný profil.</w:t>
      </w:r>
    </w:p>
    <w:p w14:paraId="204DD9C3"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K21</w:t>
      </w:r>
      <w:r w:rsidRPr="00AC341C">
        <w:rPr>
          <w:rFonts w:ascii="Arial" w:hAnsi="Arial" w:cs="Arial"/>
          <w:sz w:val="22"/>
          <w:szCs w:val="22"/>
        </w:rPr>
        <w:tab/>
        <w:t>Splašková kanalizace v ulici Rokycanova Chrochvice a přečerpání do stoky v ulici Novoměstské.</w:t>
      </w:r>
    </w:p>
    <w:p w14:paraId="65A7C463"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K22</w:t>
      </w:r>
      <w:r w:rsidRPr="00AC341C">
        <w:rPr>
          <w:rFonts w:ascii="Arial" w:hAnsi="Arial" w:cs="Arial"/>
          <w:sz w:val="22"/>
          <w:szCs w:val="22"/>
        </w:rPr>
        <w:tab/>
        <w:t>Odvodnění komunikace Jílovská - Chrochvice, Krásný studenec.</w:t>
      </w:r>
    </w:p>
    <w:p w14:paraId="7025ECCB"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lastRenderedPageBreak/>
        <w:t>K23</w:t>
      </w:r>
      <w:r w:rsidRPr="00AC341C">
        <w:rPr>
          <w:rFonts w:ascii="Arial" w:hAnsi="Arial" w:cs="Arial"/>
          <w:sz w:val="22"/>
          <w:szCs w:val="22"/>
        </w:rPr>
        <w:tab/>
        <w:t>Splašková kanalizace v ulici "V Lukách" od nové zástavby do ulice Vilsnické (stoku nutno též vybudovat) a napojit na navrhovanou stoku v ulici Květinové pobřežní sběrač a přečerpání do výtlaku A.</w:t>
      </w:r>
    </w:p>
    <w:p w14:paraId="79FA17FC"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K24</w:t>
      </w:r>
      <w:r w:rsidRPr="00AC341C">
        <w:rPr>
          <w:rFonts w:ascii="Arial" w:hAnsi="Arial" w:cs="Arial"/>
          <w:sz w:val="22"/>
          <w:szCs w:val="22"/>
        </w:rPr>
        <w:tab/>
        <w:t>Splašková kanalizace v ulici Květinové Chmelnice a v příslušně spádované části Vilsnické ulice.</w:t>
      </w:r>
    </w:p>
    <w:p w14:paraId="0A7722A6"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K25</w:t>
      </w:r>
      <w:r w:rsidRPr="00AC341C">
        <w:rPr>
          <w:rFonts w:ascii="Arial" w:hAnsi="Arial" w:cs="Arial"/>
          <w:sz w:val="22"/>
          <w:szCs w:val="22"/>
        </w:rPr>
        <w:tab/>
        <w:t>Splašková kanalizace Třešňová (do Květinové)</w:t>
      </w:r>
    </w:p>
    <w:p w14:paraId="1778F6C6"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K26</w:t>
      </w:r>
      <w:r w:rsidRPr="00AC341C">
        <w:rPr>
          <w:rFonts w:ascii="Arial" w:hAnsi="Arial" w:cs="Arial"/>
          <w:sz w:val="22"/>
          <w:szCs w:val="22"/>
        </w:rPr>
        <w:tab/>
        <w:t>Splašková kanalizace Višňová, Vřesová a Chmelnická Vilsnice. Nutno zajistit převedení k ČOV Děčín v Boleticích. Ve vyjmenovaných ulicích je návrh omezen stávající zástavbou, tj. od stávající kanalizace proti proudu na konec dnešní zástavby.</w:t>
      </w:r>
    </w:p>
    <w:p w14:paraId="169FD3D0"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 xml:space="preserve">K27 </w:t>
      </w:r>
      <w:r w:rsidRPr="00AC341C">
        <w:rPr>
          <w:rFonts w:ascii="Arial" w:hAnsi="Arial" w:cs="Arial"/>
          <w:sz w:val="22"/>
          <w:szCs w:val="22"/>
        </w:rPr>
        <w:tab/>
        <w:t>Jednotná kanalizace v ulici Lidické a části Kladské svedené do stávající stoky v Dělnické ulici Rozbělesy.</w:t>
      </w:r>
    </w:p>
    <w:p w14:paraId="0C8D89CA"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 xml:space="preserve">K28 </w:t>
      </w:r>
      <w:r w:rsidRPr="00AC341C">
        <w:rPr>
          <w:rFonts w:ascii="Arial" w:hAnsi="Arial" w:cs="Arial"/>
          <w:sz w:val="22"/>
          <w:szCs w:val="22"/>
        </w:rPr>
        <w:tab/>
        <w:t>Jednotná kanalizace ve zbylé části ulice Kladské (u sv. Jana) a to v úseku od ulice Jiřího z Poděbrad do stávající stoky v Dělnické ulici.</w:t>
      </w:r>
    </w:p>
    <w:p w14:paraId="2CEBB8D7"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K29</w:t>
      </w:r>
      <w:r w:rsidRPr="00AC341C">
        <w:rPr>
          <w:rFonts w:ascii="Arial" w:hAnsi="Arial" w:cs="Arial"/>
          <w:sz w:val="22"/>
          <w:szCs w:val="22"/>
        </w:rPr>
        <w:t xml:space="preserve"> </w:t>
      </w:r>
      <w:r w:rsidRPr="00AC341C">
        <w:rPr>
          <w:rFonts w:ascii="Arial" w:hAnsi="Arial" w:cs="Arial"/>
          <w:sz w:val="22"/>
          <w:szCs w:val="22"/>
        </w:rPr>
        <w:tab/>
        <w:t>Odvodnění ulice "Na Spádu" Škrabky a to v úseku od ulice "Pod lesem" do Terezínského rybníka.</w:t>
      </w:r>
    </w:p>
    <w:p w14:paraId="6A1EDB42"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K30</w:t>
      </w:r>
      <w:r w:rsidRPr="00AC341C">
        <w:rPr>
          <w:rFonts w:ascii="Arial" w:hAnsi="Arial" w:cs="Arial"/>
          <w:sz w:val="22"/>
          <w:szCs w:val="22"/>
        </w:rPr>
        <w:t xml:space="preserve"> </w:t>
      </w:r>
      <w:r w:rsidRPr="00AC341C">
        <w:rPr>
          <w:rFonts w:ascii="Arial" w:hAnsi="Arial" w:cs="Arial"/>
          <w:sz w:val="22"/>
          <w:szCs w:val="22"/>
        </w:rPr>
        <w:tab/>
        <w:t>Splašková kanalizace v ulicích Zahradní a Vančurova Škrabky.</w:t>
      </w:r>
    </w:p>
    <w:p w14:paraId="3CCE53EF"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 xml:space="preserve">K31 </w:t>
      </w:r>
      <w:r w:rsidRPr="00AC341C">
        <w:rPr>
          <w:rFonts w:ascii="Arial" w:hAnsi="Arial" w:cs="Arial"/>
          <w:sz w:val="22"/>
          <w:szCs w:val="22"/>
        </w:rPr>
        <w:tab/>
        <w:t>Splašková kanalizace Žitná, Pod hřištěm a 5. května a Pod Úvozem v Jalůvčí a zajištění převedení do systému městské kanalizace. Stoku u Jalůvčí (VII) podchytit a zajistit přečerpání odpadních vod do hlavních sběračů. (čerpací stanice a výtlak) odvodnění Žitné a 5. května v Jalůvčí.</w:t>
      </w:r>
    </w:p>
    <w:p w14:paraId="5276D350"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K32</w:t>
      </w:r>
      <w:r w:rsidRPr="00AC341C">
        <w:rPr>
          <w:rFonts w:ascii="Arial" w:hAnsi="Arial" w:cs="Arial"/>
          <w:sz w:val="22"/>
          <w:szCs w:val="22"/>
        </w:rPr>
        <w:t xml:space="preserve"> </w:t>
      </w:r>
      <w:r w:rsidRPr="00AC341C">
        <w:rPr>
          <w:rFonts w:ascii="Arial" w:hAnsi="Arial" w:cs="Arial"/>
          <w:sz w:val="22"/>
          <w:szCs w:val="22"/>
        </w:rPr>
        <w:tab/>
        <w:t>Splašková kanalizace v Bělé v ulicích Jasná, Včelná, Saská, Družstevní, Tělocvičná se svedením do stávající kanalizace DN 1000 v Saské ulici.</w:t>
      </w:r>
    </w:p>
    <w:p w14:paraId="33957596"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 xml:space="preserve">K33 </w:t>
      </w:r>
      <w:r w:rsidRPr="00AC341C">
        <w:rPr>
          <w:rFonts w:ascii="Arial" w:hAnsi="Arial" w:cs="Arial"/>
          <w:sz w:val="22"/>
          <w:szCs w:val="22"/>
        </w:rPr>
        <w:tab/>
        <w:t>Jednotná kanalizace ve Sněžnické ulici (Čechy).</w:t>
      </w:r>
    </w:p>
    <w:p w14:paraId="07CCC6F3"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 xml:space="preserve">K34 </w:t>
      </w:r>
      <w:r w:rsidRPr="00AC341C">
        <w:rPr>
          <w:rFonts w:ascii="Arial" w:hAnsi="Arial" w:cs="Arial"/>
          <w:sz w:val="22"/>
          <w:szCs w:val="22"/>
        </w:rPr>
        <w:tab/>
        <w:t>Podtlaková splašková kanalizace v ulicích "Ke trati" a "Říčná" splašková kanalizace v ulici Neumanově a převedení splašků z jmenovaných ulic do stávající stoky v ulici Vítězství.</w:t>
      </w:r>
    </w:p>
    <w:p w14:paraId="55F90861"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 xml:space="preserve">K35 </w:t>
      </w:r>
      <w:r w:rsidRPr="00AC341C">
        <w:rPr>
          <w:rFonts w:ascii="Arial" w:hAnsi="Arial" w:cs="Arial"/>
          <w:sz w:val="22"/>
          <w:szCs w:val="22"/>
        </w:rPr>
        <w:tab/>
        <w:t>Splašková kanalizace v celé lokalitě Folknáře. Jedna větev do Folknářské, druhá do Liberecké.</w:t>
      </w:r>
    </w:p>
    <w:p w14:paraId="4DC3629B"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 xml:space="preserve">K36 </w:t>
      </w:r>
      <w:r w:rsidRPr="00AC341C">
        <w:rPr>
          <w:rFonts w:ascii="Arial" w:hAnsi="Arial" w:cs="Arial"/>
          <w:sz w:val="22"/>
          <w:szCs w:val="22"/>
        </w:rPr>
        <w:tab/>
        <w:t>Splašková kanalizace v ulici Kamenná Boletice.</w:t>
      </w:r>
    </w:p>
    <w:p w14:paraId="5BAAA754"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K37</w:t>
      </w:r>
      <w:r w:rsidRPr="00AC341C">
        <w:rPr>
          <w:rFonts w:ascii="Arial" w:hAnsi="Arial" w:cs="Arial"/>
          <w:sz w:val="22"/>
          <w:szCs w:val="22"/>
        </w:rPr>
        <w:t xml:space="preserve"> </w:t>
      </w:r>
      <w:r w:rsidRPr="00AC341C">
        <w:rPr>
          <w:rFonts w:ascii="Arial" w:hAnsi="Arial" w:cs="Arial"/>
          <w:sz w:val="22"/>
          <w:szCs w:val="22"/>
        </w:rPr>
        <w:tab/>
        <w:t>Splašková kanalizace Nebočady, přečerpání do Boletic.</w:t>
      </w:r>
    </w:p>
    <w:p w14:paraId="3CE2253F"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 xml:space="preserve">K38 </w:t>
      </w:r>
      <w:r w:rsidRPr="00AC341C">
        <w:rPr>
          <w:rFonts w:ascii="Arial" w:hAnsi="Arial" w:cs="Arial"/>
          <w:sz w:val="22"/>
          <w:szCs w:val="22"/>
        </w:rPr>
        <w:tab/>
        <w:t>Napojení stoky VI. "Teplická ulice" akce sestává z čerpací odpadních vod Teplická, čerpací stanice odpadních vod Pastýřská výtlaku V4 a V3 zajišťující po přepojení přečerpání do sběrače B.</w:t>
      </w:r>
    </w:p>
    <w:p w14:paraId="4ABBB2A9"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 xml:space="preserve">K39 </w:t>
      </w:r>
      <w:r w:rsidRPr="00AC341C">
        <w:rPr>
          <w:rFonts w:ascii="Arial" w:hAnsi="Arial" w:cs="Arial"/>
          <w:sz w:val="22"/>
          <w:szCs w:val="22"/>
        </w:rPr>
        <w:tab/>
        <w:t>Podchycení odpadních vod z povodí stoky VII. sestává z čerpací stanice Přípeř a výtlačného řadu do čerpací stanice Pastýřská. (Spolu s odpadními vodami z Červeného vrchu po vybudování zde navržené splaškové kanalizace.)</w:t>
      </w:r>
    </w:p>
    <w:p w14:paraId="1DC1CFE5"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lastRenderedPageBreak/>
        <w:t xml:space="preserve">K40 </w:t>
      </w:r>
      <w:r w:rsidRPr="00AC341C">
        <w:rPr>
          <w:rFonts w:ascii="Arial" w:hAnsi="Arial" w:cs="Arial"/>
          <w:sz w:val="22"/>
          <w:szCs w:val="22"/>
        </w:rPr>
        <w:tab/>
        <w:t>Přečerpání odpadních vod z povodí stoky XXV. do stoky XIV.</w:t>
      </w:r>
    </w:p>
    <w:p w14:paraId="2F513725"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 xml:space="preserve">K41 </w:t>
      </w:r>
      <w:r w:rsidRPr="00AC341C">
        <w:rPr>
          <w:rFonts w:ascii="Arial" w:hAnsi="Arial" w:cs="Arial"/>
          <w:b/>
          <w:bCs/>
          <w:sz w:val="22"/>
          <w:szCs w:val="22"/>
        </w:rPr>
        <w:tab/>
      </w:r>
      <w:r w:rsidRPr="00AC341C">
        <w:rPr>
          <w:rFonts w:ascii="Arial" w:hAnsi="Arial" w:cs="Arial"/>
          <w:sz w:val="22"/>
          <w:szCs w:val="22"/>
        </w:rPr>
        <w:t>Odpadní vody ze stoky XXVI. přečerpat do stoky v Provaznické ulici.</w:t>
      </w:r>
    </w:p>
    <w:p w14:paraId="59BD4DB2"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 xml:space="preserve">K42 </w:t>
      </w:r>
      <w:r w:rsidRPr="00AC341C">
        <w:rPr>
          <w:rFonts w:ascii="Arial" w:hAnsi="Arial" w:cs="Arial"/>
          <w:sz w:val="22"/>
          <w:szCs w:val="22"/>
        </w:rPr>
        <w:tab/>
        <w:t>Podchycení extravilánových vod ( Březiny, Boletice n. L., Letná ).</w:t>
      </w:r>
    </w:p>
    <w:p w14:paraId="4E5A9BE6" w14:textId="77777777" w:rsidR="00BB63DF" w:rsidRPr="00AC341C" w:rsidRDefault="00BB63DF" w:rsidP="00BB63DF">
      <w:pPr>
        <w:pStyle w:val="Zkladntext"/>
        <w:spacing w:before="120" w:line="288" w:lineRule="auto"/>
        <w:ind w:left="709" w:hanging="709"/>
        <w:jc w:val="both"/>
        <w:rPr>
          <w:rFonts w:ascii="Arial" w:hAnsi="Arial" w:cs="Arial"/>
          <w:sz w:val="22"/>
          <w:szCs w:val="22"/>
        </w:rPr>
      </w:pPr>
    </w:p>
    <w:p w14:paraId="051BB886" w14:textId="77777777" w:rsidR="00BB63DF" w:rsidRPr="00AC341C" w:rsidRDefault="00BB63DF" w:rsidP="00BB63DF">
      <w:pPr>
        <w:pStyle w:val="podnadpis2"/>
        <w:spacing w:before="120" w:after="0" w:line="288" w:lineRule="auto"/>
        <w:jc w:val="both"/>
        <w:rPr>
          <w:rFonts w:cs="Arial"/>
          <w:sz w:val="28"/>
          <w:szCs w:val="28"/>
        </w:rPr>
      </w:pPr>
      <w:r w:rsidRPr="00AC341C">
        <w:rPr>
          <w:rFonts w:cs="Arial"/>
          <w:sz w:val="28"/>
          <w:szCs w:val="28"/>
        </w:rPr>
        <w:t>úpravy vodních toků</w:t>
      </w:r>
    </w:p>
    <w:p w14:paraId="1382AAB9" w14:textId="77777777" w:rsidR="00BB63DF" w:rsidRPr="00AC341C" w:rsidRDefault="00BB63DF" w:rsidP="00BB63DF">
      <w:pPr>
        <w:pStyle w:val="podnadpis2"/>
        <w:spacing w:before="120" w:after="0" w:line="288" w:lineRule="auto"/>
        <w:jc w:val="both"/>
        <w:rPr>
          <w:rFonts w:cs="Arial"/>
          <w:sz w:val="28"/>
          <w:szCs w:val="28"/>
        </w:rPr>
      </w:pPr>
    </w:p>
    <w:p w14:paraId="16DC3DF9"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VT1</w:t>
      </w:r>
      <w:r w:rsidRPr="00AC341C">
        <w:rPr>
          <w:rFonts w:ascii="Arial" w:hAnsi="Arial" w:cs="Arial"/>
          <w:sz w:val="22"/>
          <w:szCs w:val="22"/>
        </w:rPr>
        <w:tab/>
        <w:t>Úprava Jílovského potoka od km 4,821 po km 5,683 u benzinové pumpy v Bynově.</w:t>
      </w:r>
    </w:p>
    <w:p w14:paraId="1A4226DE"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 xml:space="preserve">VT2 </w:t>
      </w:r>
      <w:r w:rsidRPr="00AC341C">
        <w:rPr>
          <w:rFonts w:ascii="Arial" w:hAnsi="Arial" w:cs="Arial"/>
          <w:sz w:val="22"/>
          <w:szCs w:val="22"/>
        </w:rPr>
        <w:tab/>
        <w:t>Úprava Jílovského potoka v úseku od km 4,528 po km 4,821.</w:t>
      </w:r>
    </w:p>
    <w:p w14:paraId="76D9C8F8"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 xml:space="preserve">VT3 </w:t>
      </w:r>
      <w:r w:rsidRPr="00AC341C">
        <w:rPr>
          <w:rFonts w:ascii="Arial" w:hAnsi="Arial" w:cs="Arial"/>
          <w:sz w:val="22"/>
          <w:szCs w:val="22"/>
        </w:rPr>
        <w:tab/>
        <w:t>Úprava Jílovského potoka v úseku od km 2,9 po km 4,025.</w:t>
      </w:r>
    </w:p>
    <w:p w14:paraId="1BFFC663"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 xml:space="preserve">VT4 </w:t>
      </w:r>
      <w:r w:rsidRPr="00AC341C">
        <w:rPr>
          <w:rFonts w:ascii="Arial" w:hAnsi="Arial" w:cs="Arial"/>
          <w:sz w:val="22"/>
          <w:szCs w:val="22"/>
        </w:rPr>
        <w:tab/>
        <w:t>Úprava Jílovského potoka v úseku od km 0,635 po km 1,065.</w:t>
      </w:r>
    </w:p>
    <w:p w14:paraId="3E6A73D8" w14:textId="77777777" w:rsidR="00BB63DF" w:rsidRPr="00AC341C" w:rsidRDefault="00BB63DF" w:rsidP="00BB63DF">
      <w:pPr>
        <w:pStyle w:val="Zkladntext"/>
        <w:spacing w:before="120" w:line="288" w:lineRule="auto"/>
        <w:ind w:left="709" w:hanging="709"/>
        <w:jc w:val="both"/>
        <w:rPr>
          <w:rFonts w:ascii="Arial" w:hAnsi="Arial" w:cs="Arial"/>
          <w:sz w:val="22"/>
          <w:szCs w:val="22"/>
        </w:rPr>
      </w:pPr>
      <w:r w:rsidRPr="00AC341C">
        <w:rPr>
          <w:rFonts w:ascii="Arial" w:hAnsi="Arial" w:cs="Arial"/>
          <w:b/>
          <w:bCs/>
          <w:sz w:val="22"/>
          <w:szCs w:val="22"/>
        </w:rPr>
        <w:t>VT5</w:t>
      </w:r>
      <w:r w:rsidRPr="00AC341C">
        <w:rPr>
          <w:rFonts w:ascii="Arial" w:hAnsi="Arial" w:cs="Arial"/>
          <w:sz w:val="22"/>
          <w:szCs w:val="22"/>
        </w:rPr>
        <w:t xml:space="preserve"> </w:t>
      </w:r>
      <w:r w:rsidRPr="00AC341C">
        <w:rPr>
          <w:rFonts w:ascii="Arial" w:hAnsi="Arial" w:cs="Arial"/>
          <w:sz w:val="22"/>
          <w:szCs w:val="22"/>
        </w:rPr>
        <w:tab/>
        <w:t>Úprava Oldřichovského potoka v délce 350m od začátku zakryté části proti proudu do Jeleního potoka.</w:t>
      </w:r>
    </w:p>
    <w:p w14:paraId="14EB01EF"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 xml:space="preserve">VT6 </w:t>
      </w:r>
      <w:r w:rsidRPr="00AC341C">
        <w:rPr>
          <w:rFonts w:ascii="Arial" w:hAnsi="Arial" w:cs="Arial"/>
          <w:sz w:val="22"/>
          <w:szCs w:val="22"/>
        </w:rPr>
        <w:tab/>
        <w:t>Obnova opevnění Chrochvického potoka od vyústění do Labe přes zastavěnou část.</w:t>
      </w:r>
    </w:p>
    <w:p w14:paraId="16B5E6D9"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 xml:space="preserve">VT7 </w:t>
      </w:r>
      <w:r w:rsidRPr="00AC341C">
        <w:rPr>
          <w:rFonts w:ascii="Arial" w:hAnsi="Arial" w:cs="Arial"/>
          <w:sz w:val="22"/>
          <w:szCs w:val="22"/>
        </w:rPr>
        <w:tab/>
        <w:t>Zkapacitnění koryta toku  SMS Ústí n/L 5 ve Vilsnici.</w:t>
      </w:r>
    </w:p>
    <w:p w14:paraId="5B65CF13"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 xml:space="preserve">VT8 </w:t>
      </w:r>
      <w:r w:rsidRPr="00AC341C">
        <w:rPr>
          <w:rFonts w:ascii="Arial" w:hAnsi="Arial" w:cs="Arial"/>
          <w:sz w:val="22"/>
          <w:szCs w:val="22"/>
        </w:rPr>
        <w:tab/>
        <w:t>Zkapacitnění koryt toků SMS Ústí n/L 6 a 6A ve Vilsnici.</w:t>
      </w:r>
    </w:p>
    <w:p w14:paraId="6BC5E73D"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b/>
          <w:bCs/>
          <w:sz w:val="22"/>
          <w:szCs w:val="22"/>
        </w:rPr>
        <w:t>VT9</w:t>
      </w:r>
      <w:r w:rsidRPr="00AC341C">
        <w:rPr>
          <w:rFonts w:ascii="Arial" w:hAnsi="Arial" w:cs="Arial"/>
          <w:sz w:val="22"/>
          <w:szCs w:val="22"/>
        </w:rPr>
        <w:t xml:space="preserve"> </w:t>
      </w:r>
      <w:r w:rsidRPr="00AC341C">
        <w:rPr>
          <w:rFonts w:ascii="Arial" w:hAnsi="Arial" w:cs="Arial"/>
          <w:sz w:val="22"/>
          <w:szCs w:val="22"/>
        </w:rPr>
        <w:tab/>
        <w:t>Úprava Bělského potoka v km 0,418 po km 1,418 nad Terezínským rybníkem.</w:t>
      </w:r>
    </w:p>
    <w:p w14:paraId="2244F91C" w14:textId="77777777" w:rsidR="00BB63DF" w:rsidRPr="00AC341C" w:rsidRDefault="00BB63DF" w:rsidP="00BB63DF">
      <w:pPr>
        <w:pStyle w:val="Zkladntext"/>
        <w:spacing w:before="120" w:line="288" w:lineRule="auto"/>
        <w:jc w:val="both"/>
        <w:rPr>
          <w:rFonts w:ascii="Arial" w:hAnsi="Arial" w:cs="Arial"/>
          <w:sz w:val="22"/>
          <w:szCs w:val="22"/>
        </w:rPr>
      </w:pPr>
    </w:p>
    <w:p w14:paraId="4B157B04" w14:textId="77777777" w:rsidR="00BB63DF" w:rsidRPr="00AC341C" w:rsidRDefault="00BB63DF" w:rsidP="00BB63DF">
      <w:pPr>
        <w:pStyle w:val="Zkladntext"/>
        <w:spacing w:before="120" w:line="288" w:lineRule="auto"/>
        <w:jc w:val="both"/>
        <w:rPr>
          <w:rFonts w:ascii="Arial" w:hAnsi="Arial" w:cs="Arial"/>
          <w:sz w:val="22"/>
          <w:szCs w:val="22"/>
        </w:rPr>
      </w:pPr>
    </w:p>
    <w:p w14:paraId="121D2C1C" w14:textId="77777777" w:rsidR="00BB63DF" w:rsidRPr="00AC341C" w:rsidRDefault="00BB63DF" w:rsidP="00BB63DF">
      <w:pPr>
        <w:pStyle w:val="podnadpis2"/>
        <w:spacing w:before="120" w:after="0" w:line="288" w:lineRule="auto"/>
        <w:jc w:val="both"/>
        <w:rPr>
          <w:rFonts w:cs="Arial"/>
          <w:szCs w:val="22"/>
        </w:rPr>
      </w:pPr>
    </w:p>
    <w:p w14:paraId="0431F7FB" w14:textId="77777777" w:rsidR="00BB63DF" w:rsidRPr="00AC341C" w:rsidRDefault="00BB63DF" w:rsidP="00BB63DF">
      <w:pPr>
        <w:pStyle w:val="Zkladntext"/>
        <w:rPr>
          <w:rFonts w:ascii="Arial" w:hAnsi="Arial" w:cs="Arial"/>
          <w:b/>
          <w:bCs/>
          <w:sz w:val="32"/>
          <w:szCs w:val="32"/>
        </w:rPr>
      </w:pPr>
      <w:r w:rsidRPr="00AC341C">
        <w:rPr>
          <w:rFonts w:ascii="Arial" w:hAnsi="Arial" w:cs="Arial"/>
          <w:b/>
          <w:bCs/>
          <w:sz w:val="32"/>
          <w:szCs w:val="32"/>
        </w:rPr>
        <w:t>VEŘEJNĚ PROSPĚŠNÉ STAVBY ENERGETIKY A SPOJŮ</w:t>
      </w:r>
    </w:p>
    <w:p w14:paraId="0C030871" w14:textId="77777777" w:rsidR="00BB63DF" w:rsidRPr="00AC341C" w:rsidRDefault="00BB63DF" w:rsidP="00BB63DF">
      <w:pPr>
        <w:pStyle w:val="Zkladntext"/>
        <w:spacing w:before="120" w:line="288" w:lineRule="auto"/>
        <w:ind w:firstLine="709"/>
        <w:jc w:val="both"/>
        <w:rPr>
          <w:rFonts w:ascii="Arial" w:hAnsi="Arial" w:cs="Arial"/>
          <w:sz w:val="22"/>
          <w:szCs w:val="22"/>
        </w:rPr>
      </w:pPr>
      <w:r w:rsidRPr="00AC341C">
        <w:rPr>
          <w:rFonts w:ascii="Arial" w:hAnsi="Arial" w:cs="Arial"/>
          <w:sz w:val="22"/>
          <w:szCs w:val="22"/>
        </w:rPr>
        <w:t>Podnikání v energetických odvětvích má nejen strategický význam pro chod hospodářství a životní úroveň obyvatelstva, ale může být i příčinou veřejného ohrožení. Proto je podřízeno zvláštnímu režimu stanovenému zákonem č. 222/1994 a je deklarováno jako podnikání ve veřejném zájmu. Zařízení pro rozvod energií je třeba považovat za veřejně prospěšné stavby, pro které lze rozhodnutím stavebního úřadu vyvlastnit nebo omezit vlastnická práva k pozemkům a stavbám.</w:t>
      </w:r>
    </w:p>
    <w:p w14:paraId="6B6789A0" w14:textId="77777777" w:rsidR="00BB63DF" w:rsidRPr="00AC341C" w:rsidRDefault="00BB63DF" w:rsidP="00BB63DF">
      <w:pPr>
        <w:pStyle w:val="Zkladntext"/>
        <w:spacing w:before="120" w:line="288" w:lineRule="auto"/>
        <w:ind w:firstLine="709"/>
        <w:jc w:val="both"/>
        <w:rPr>
          <w:rFonts w:ascii="Arial" w:hAnsi="Arial" w:cs="Arial"/>
          <w:sz w:val="22"/>
          <w:szCs w:val="22"/>
        </w:rPr>
      </w:pPr>
    </w:p>
    <w:tbl>
      <w:tblPr>
        <w:tblW w:w="10011" w:type="dxa"/>
        <w:tblInd w:w="54" w:type="dxa"/>
        <w:tblLayout w:type="fixed"/>
        <w:tblCellMar>
          <w:left w:w="54" w:type="dxa"/>
          <w:right w:w="54" w:type="dxa"/>
        </w:tblCellMar>
        <w:tblLook w:val="0000" w:firstRow="0" w:lastRow="0" w:firstColumn="0" w:lastColumn="0" w:noHBand="0" w:noVBand="0"/>
      </w:tblPr>
      <w:tblGrid>
        <w:gridCol w:w="567"/>
        <w:gridCol w:w="128"/>
        <w:gridCol w:w="5259"/>
        <w:gridCol w:w="4057"/>
      </w:tblGrid>
      <w:tr w:rsidR="00BB63DF" w:rsidRPr="00AC341C" w14:paraId="6DD20554" w14:textId="77777777" w:rsidTr="00AC341C">
        <w:tc>
          <w:tcPr>
            <w:tcW w:w="10011" w:type="dxa"/>
            <w:gridSpan w:val="4"/>
            <w:tcBorders>
              <w:top w:val="nil"/>
              <w:left w:val="nil"/>
              <w:bottom w:val="nil"/>
            </w:tcBorders>
          </w:tcPr>
          <w:p w14:paraId="7E17B043" w14:textId="77777777" w:rsidR="00BB63DF" w:rsidRPr="00AC341C" w:rsidRDefault="00BB63DF" w:rsidP="00BB63DF">
            <w:pPr>
              <w:pStyle w:val="Texttabulky"/>
              <w:keepNext/>
              <w:spacing w:before="120" w:line="288" w:lineRule="auto"/>
              <w:rPr>
                <w:rFonts w:cs="Arial"/>
                <w:sz w:val="28"/>
                <w:szCs w:val="28"/>
              </w:rPr>
            </w:pPr>
            <w:r w:rsidRPr="00AC341C">
              <w:rPr>
                <w:rFonts w:cs="Arial"/>
                <w:b/>
                <w:bCs/>
                <w:caps/>
                <w:sz w:val="28"/>
                <w:szCs w:val="28"/>
              </w:rPr>
              <w:t>stavby elektrorozvodné</w:t>
            </w:r>
          </w:p>
        </w:tc>
      </w:tr>
      <w:tr w:rsidR="00BB63DF" w:rsidRPr="00AC341C" w14:paraId="15ABC5CA" w14:textId="77777777" w:rsidTr="00AC341C">
        <w:tc>
          <w:tcPr>
            <w:tcW w:w="567" w:type="dxa"/>
            <w:tcBorders>
              <w:top w:val="nil"/>
              <w:left w:val="nil"/>
              <w:bottom w:val="nil"/>
              <w:right w:val="nil"/>
            </w:tcBorders>
          </w:tcPr>
          <w:p w14:paraId="2D23659F"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E1</w:t>
            </w:r>
          </w:p>
        </w:tc>
        <w:tc>
          <w:tcPr>
            <w:tcW w:w="128" w:type="dxa"/>
            <w:tcBorders>
              <w:top w:val="nil"/>
              <w:left w:val="nil"/>
              <w:bottom w:val="nil"/>
              <w:right w:val="nil"/>
            </w:tcBorders>
          </w:tcPr>
          <w:p w14:paraId="41FE5336"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54CB1F46"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301 včetně kabelové přípojky VN</w:t>
            </w:r>
          </w:p>
        </w:tc>
        <w:tc>
          <w:tcPr>
            <w:tcW w:w="4057" w:type="dxa"/>
            <w:tcBorders>
              <w:top w:val="nil"/>
              <w:left w:val="nil"/>
              <w:bottom w:val="nil"/>
              <w:right w:val="nil"/>
            </w:tcBorders>
          </w:tcPr>
          <w:p w14:paraId="0F7BA669"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 xml:space="preserve">I.A - I/9, I/17 </w:t>
            </w:r>
          </w:p>
        </w:tc>
      </w:tr>
      <w:tr w:rsidR="00BB63DF" w:rsidRPr="00AC341C" w14:paraId="7DC495C9" w14:textId="77777777" w:rsidTr="00AC341C">
        <w:tc>
          <w:tcPr>
            <w:tcW w:w="567" w:type="dxa"/>
            <w:tcBorders>
              <w:top w:val="nil"/>
              <w:left w:val="nil"/>
              <w:bottom w:val="nil"/>
              <w:right w:val="nil"/>
            </w:tcBorders>
          </w:tcPr>
          <w:p w14:paraId="79CFA055"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E2</w:t>
            </w:r>
          </w:p>
        </w:tc>
        <w:tc>
          <w:tcPr>
            <w:tcW w:w="128" w:type="dxa"/>
            <w:tcBorders>
              <w:top w:val="nil"/>
              <w:left w:val="nil"/>
              <w:bottom w:val="nil"/>
              <w:right w:val="nil"/>
            </w:tcBorders>
          </w:tcPr>
          <w:p w14:paraId="2D46E7CC"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14374DF6"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302 včetně kabelové přípojky VN</w:t>
            </w:r>
          </w:p>
        </w:tc>
        <w:tc>
          <w:tcPr>
            <w:tcW w:w="4057" w:type="dxa"/>
            <w:tcBorders>
              <w:top w:val="nil"/>
              <w:left w:val="nil"/>
              <w:bottom w:val="nil"/>
              <w:right w:val="nil"/>
            </w:tcBorders>
          </w:tcPr>
          <w:p w14:paraId="28B68978"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 xml:space="preserve">I.B - I/8 </w:t>
            </w:r>
          </w:p>
        </w:tc>
      </w:tr>
      <w:tr w:rsidR="00BB63DF" w:rsidRPr="00AC341C" w14:paraId="39BCA775" w14:textId="77777777" w:rsidTr="00AC341C">
        <w:tc>
          <w:tcPr>
            <w:tcW w:w="567" w:type="dxa"/>
            <w:tcBorders>
              <w:top w:val="nil"/>
              <w:left w:val="nil"/>
              <w:bottom w:val="nil"/>
              <w:right w:val="nil"/>
            </w:tcBorders>
          </w:tcPr>
          <w:p w14:paraId="79B32E03"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E3</w:t>
            </w:r>
          </w:p>
        </w:tc>
        <w:tc>
          <w:tcPr>
            <w:tcW w:w="128" w:type="dxa"/>
            <w:tcBorders>
              <w:top w:val="nil"/>
              <w:left w:val="nil"/>
              <w:bottom w:val="nil"/>
              <w:right w:val="nil"/>
            </w:tcBorders>
          </w:tcPr>
          <w:p w14:paraId="69F91BCE"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14AC8B46"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303 včetně kabelové přípojky VN</w:t>
            </w:r>
          </w:p>
        </w:tc>
        <w:tc>
          <w:tcPr>
            <w:tcW w:w="4057" w:type="dxa"/>
            <w:tcBorders>
              <w:top w:val="nil"/>
              <w:left w:val="nil"/>
              <w:bottom w:val="nil"/>
              <w:right w:val="nil"/>
            </w:tcBorders>
          </w:tcPr>
          <w:p w14:paraId="3A67C35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II/1, II/2</w:t>
            </w:r>
          </w:p>
        </w:tc>
      </w:tr>
      <w:tr w:rsidR="00BB63DF" w:rsidRPr="00AC341C" w14:paraId="68661DFB" w14:textId="77777777" w:rsidTr="00AC341C">
        <w:tc>
          <w:tcPr>
            <w:tcW w:w="567" w:type="dxa"/>
            <w:tcBorders>
              <w:top w:val="nil"/>
              <w:left w:val="nil"/>
              <w:bottom w:val="nil"/>
              <w:right w:val="nil"/>
            </w:tcBorders>
          </w:tcPr>
          <w:p w14:paraId="157113B7"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lastRenderedPageBreak/>
              <w:t>E4</w:t>
            </w:r>
          </w:p>
        </w:tc>
        <w:tc>
          <w:tcPr>
            <w:tcW w:w="128" w:type="dxa"/>
            <w:tcBorders>
              <w:top w:val="nil"/>
              <w:left w:val="nil"/>
              <w:bottom w:val="nil"/>
              <w:right w:val="nil"/>
            </w:tcBorders>
          </w:tcPr>
          <w:p w14:paraId="2E0E0FA6"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6C7B27AC"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304 včetně kabelové přípojky VN</w:t>
            </w:r>
          </w:p>
        </w:tc>
        <w:tc>
          <w:tcPr>
            <w:tcW w:w="4057" w:type="dxa"/>
            <w:tcBorders>
              <w:top w:val="nil"/>
              <w:left w:val="nil"/>
              <w:bottom w:val="nil"/>
              <w:right w:val="nil"/>
            </w:tcBorders>
          </w:tcPr>
          <w:p w14:paraId="4BADDF8E"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II/5, II/6, II/7</w:t>
            </w:r>
          </w:p>
        </w:tc>
      </w:tr>
      <w:tr w:rsidR="00BB63DF" w:rsidRPr="00AC341C" w14:paraId="236CFFB4" w14:textId="77777777" w:rsidTr="00AC341C">
        <w:tc>
          <w:tcPr>
            <w:tcW w:w="567" w:type="dxa"/>
            <w:tcBorders>
              <w:top w:val="nil"/>
              <w:left w:val="nil"/>
              <w:bottom w:val="nil"/>
              <w:right w:val="nil"/>
            </w:tcBorders>
          </w:tcPr>
          <w:p w14:paraId="30990665"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E5</w:t>
            </w:r>
          </w:p>
        </w:tc>
        <w:tc>
          <w:tcPr>
            <w:tcW w:w="128" w:type="dxa"/>
            <w:tcBorders>
              <w:top w:val="nil"/>
              <w:left w:val="nil"/>
              <w:bottom w:val="nil"/>
              <w:right w:val="nil"/>
            </w:tcBorders>
          </w:tcPr>
          <w:p w14:paraId="79970CDB"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32D5284B"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305 včetně kabelové přípojky VN</w:t>
            </w:r>
          </w:p>
        </w:tc>
        <w:tc>
          <w:tcPr>
            <w:tcW w:w="4057" w:type="dxa"/>
            <w:tcBorders>
              <w:top w:val="nil"/>
              <w:left w:val="nil"/>
              <w:bottom w:val="nil"/>
              <w:right w:val="nil"/>
            </w:tcBorders>
          </w:tcPr>
          <w:p w14:paraId="36778D1A" w14:textId="77777777" w:rsidR="00BB63DF" w:rsidRPr="00AC341C" w:rsidRDefault="00BB63DF" w:rsidP="00AC341C">
            <w:pPr>
              <w:pStyle w:val="Texttabulky"/>
              <w:spacing w:before="120" w:after="0" w:line="288" w:lineRule="auto"/>
              <w:ind w:left="172" w:hanging="172"/>
              <w:rPr>
                <w:rFonts w:cs="Arial"/>
                <w:sz w:val="22"/>
                <w:szCs w:val="22"/>
              </w:rPr>
            </w:pPr>
            <w:r w:rsidRPr="00AC341C">
              <w:rPr>
                <w:rFonts w:cs="Arial"/>
                <w:sz w:val="22"/>
                <w:szCs w:val="22"/>
              </w:rPr>
              <w:t>II/8, II/9, II/10</w:t>
            </w:r>
          </w:p>
        </w:tc>
      </w:tr>
      <w:tr w:rsidR="00BB63DF" w:rsidRPr="00AC341C" w14:paraId="79BD4C79" w14:textId="77777777" w:rsidTr="00AC341C">
        <w:tc>
          <w:tcPr>
            <w:tcW w:w="567" w:type="dxa"/>
            <w:tcBorders>
              <w:top w:val="nil"/>
              <w:left w:val="nil"/>
              <w:bottom w:val="nil"/>
              <w:right w:val="nil"/>
            </w:tcBorders>
          </w:tcPr>
          <w:p w14:paraId="279A6D64"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128" w:type="dxa"/>
            <w:tcBorders>
              <w:top w:val="nil"/>
              <w:left w:val="nil"/>
              <w:bottom w:val="nil"/>
              <w:right w:val="nil"/>
            </w:tcBorders>
          </w:tcPr>
          <w:p w14:paraId="6A63565D"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7FF52119"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4057" w:type="dxa"/>
            <w:tcBorders>
              <w:top w:val="nil"/>
              <w:left w:val="nil"/>
              <w:bottom w:val="nil"/>
              <w:right w:val="nil"/>
            </w:tcBorders>
          </w:tcPr>
          <w:p w14:paraId="7A03AAD3" w14:textId="77777777" w:rsidR="00BB63DF" w:rsidRPr="00AC341C" w:rsidRDefault="00BB63DF" w:rsidP="00AC341C">
            <w:pPr>
              <w:pStyle w:val="Zkladntext"/>
              <w:spacing w:before="120" w:after="0" w:line="288" w:lineRule="auto"/>
              <w:jc w:val="both"/>
              <w:rPr>
                <w:rFonts w:ascii="Arial" w:hAnsi="Arial" w:cs="Arial"/>
                <w:sz w:val="22"/>
                <w:szCs w:val="22"/>
              </w:rPr>
            </w:pPr>
          </w:p>
        </w:tc>
      </w:tr>
      <w:tr w:rsidR="00BB63DF" w:rsidRPr="00AC341C" w14:paraId="2035EEAA" w14:textId="77777777" w:rsidTr="00AC341C">
        <w:tc>
          <w:tcPr>
            <w:tcW w:w="567" w:type="dxa"/>
            <w:tcBorders>
              <w:top w:val="nil"/>
              <w:left w:val="nil"/>
              <w:bottom w:val="nil"/>
              <w:right w:val="nil"/>
            </w:tcBorders>
          </w:tcPr>
          <w:p w14:paraId="6E2BA67B"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E6</w:t>
            </w:r>
          </w:p>
        </w:tc>
        <w:tc>
          <w:tcPr>
            <w:tcW w:w="128" w:type="dxa"/>
            <w:tcBorders>
              <w:top w:val="nil"/>
              <w:left w:val="nil"/>
              <w:bottom w:val="nil"/>
              <w:right w:val="nil"/>
            </w:tcBorders>
          </w:tcPr>
          <w:p w14:paraId="1B9EA583"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30404A9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306 včetně kabelové přípojky VN</w:t>
            </w:r>
          </w:p>
        </w:tc>
        <w:tc>
          <w:tcPr>
            <w:tcW w:w="4057" w:type="dxa"/>
            <w:tcBorders>
              <w:top w:val="nil"/>
              <w:left w:val="nil"/>
              <w:bottom w:val="nil"/>
              <w:right w:val="nil"/>
            </w:tcBorders>
          </w:tcPr>
          <w:p w14:paraId="2D794417"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II/11, II/21</w:t>
            </w:r>
          </w:p>
        </w:tc>
      </w:tr>
      <w:tr w:rsidR="00BB63DF" w:rsidRPr="00AC341C" w14:paraId="7E01B32F" w14:textId="77777777" w:rsidTr="00AC341C">
        <w:tc>
          <w:tcPr>
            <w:tcW w:w="567" w:type="dxa"/>
            <w:tcBorders>
              <w:top w:val="nil"/>
              <w:left w:val="nil"/>
              <w:bottom w:val="nil"/>
              <w:right w:val="nil"/>
            </w:tcBorders>
          </w:tcPr>
          <w:p w14:paraId="5011AE19"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E7</w:t>
            </w:r>
          </w:p>
        </w:tc>
        <w:tc>
          <w:tcPr>
            <w:tcW w:w="128" w:type="dxa"/>
            <w:tcBorders>
              <w:top w:val="nil"/>
              <w:left w:val="nil"/>
              <w:bottom w:val="nil"/>
              <w:right w:val="nil"/>
            </w:tcBorders>
          </w:tcPr>
          <w:p w14:paraId="5150D3B7"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24D6FD22"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307 včetně kabelové přípojky VN</w:t>
            </w:r>
          </w:p>
        </w:tc>
        <w:tc>
          <w:tcPr>
            <w:tcW w:w="4057" w:type="dxa"/>
            <w:tcBorders>
              <w:top w:val="nil"/>
              <w:left w:val="nil"/>
              <w:bottom w:val="nil"/>
              <w:right w:val="nil"/>
            </w:tcBorders>
          </w:tcPr>
          <w:p w14:paraId="66B9B92C"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IV/8</w:t>
            </w:r>
          </w:p>
        </w:tc>
      </w:tr>
      <w:tr w:rsidR="00BB63DF" w:rsidRPr="00AC341C" w14:paraId="5F05CA1C" w14:textId="77777777" w:rsidTr="00AC341C">
        <w:tc>
          <w:tcPr>
            <w:tcW w:w="567" w:type="dxa"/>
            <w:tcBorders>
              <w:top w:val="nil"/>
              <w:left w:val="nil"/>
              <w:bottom w:val="nil"/>
              <w:right w:val="nil"/>
            </w:tcBorders>
          </w:tcPr>
          <w:p w14:paraId="224408FD"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E8</w:t>
            </w:r>
          </w:p>
        </w:tc>
        <w:tc>
          <w:tcPr>
            <w:tcW w:w="128" w:type="dxa"/>
            <w:tcBorders>
              <w:top w:val="nil"/>
              <w:left w:val="nil"/>
              <w:bottom w:val="nil"/>
              <w:right w:val="nil"/>
            </w:tcBorders>
          </w:tcPr>
          <w:p w14:paraId="27198F94"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1AA5E70D"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308 včetně venk. přípojky VN</w:t>
            </w:r>
          </w:p>
        </w:tc>
        <w:tc>
          <w:tcPr>
            <w:tcW w:w="4057" w:type="dxa"/>
            <w:tcBorders>
              <w:top w:val="nil"/>
              <w:left w:val="nil"/>
              <w:bottom w:val="nil"/>
              <w:right w:val="nil"/>
            </w:tcBorders>
          </w:tcPr>
          <w:p w14:paraId="699D9FBB"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V/4</w:t>
            </w:r>
          </w:p>
        </w:tc>
      </w:tr>
      <w:tr w:rsidR="00BB63DF" w:rsidRPr="00AC341C" w14:paraId="50A57F14" w14:textId="77777777" w:rsidTr="00AC341C">
        <w:tc>
          <w:tcPr>
            <w:tcW w:w="567" w:type="dxa"/>
            <w:tcBorders>
              <w:top w:val="nil"/>
              <w:left w:val="nil"/>
              <w:bottom w:val="nil"/>
              <w:right w:val="nil"/>
            </w:tcBorders>
          </w:tcPr>
          <w:p w14:paraId="7C2773B4"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E9</w:t>
            </w:r>
          </w:p>
        </w:tc>
        <w:tc>
          <w:tcPr>
            <w:tcW w:w="128" w:type="dxa"/>
            <w:tcBorders>
              <w:top w:val="nil"/>
              <w:left w:val="nil"/>
              <w:bottom w:val="nil"/>
              <w:right w:val="nil"/>
            </w:tcBorders>
          </w:tcPr>
          <w:p w14:paraId="108EB0F0"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4D269412" w14:textId="77777777" w:rsidR="00BB63DF" w:rsidRPr="00AC341C" w:rsidRDefault="00BB63DF" w:rsidP="00AC341C">
            <w:pPr>
              <w:pStyle w:val="Texttabulky"/>
              <w:spacing w:before="120" w:after="0" w:line="288" w:lineRule="auto"/>
              <w:ind w:right="512"/>
              <w:rPr>
                <w:rFonts w:cs="Arial"/>
                <w:sz w:val="22"/>
                <w:szCs w:val="22"/>
              </w:rPr>
            </w:pPr>
            <w:r w:rsidRPr="00AC341C">
              <w:rPr>
                <w:rFonts w:cs="Arial"/>
                <w:sz w:val="22"/>
                <w:szCs w:val="22"/>
              </w:rPr>
              <w:t>transformovna MVE č. 309 včetně kabelové přípojky VN do rozvodny 110 kV Děčín východ</w:t>
            </w:r>
          </w:p>
        </w:tc>
        <w:tc>
          <w:tcPr>
            <w:tcW w:w="4057" w:type="dxa"/>
            <w:tcBorders>
              <w:top w:val="nil"/>
              <w:left w:val="nil"/>
              <w:bottom w:val="nil"/>
              <w:right w:val="nil"/>
            </w:tcBorders>
          </w:tcPr>
          <w:p w14:paraId="5C0B48CF"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V/4 * v případě energetického využití VD</w:t>
            </w:r>
          </w:p>
          <w:p w14:paraId="37F517F9" w14:textId="77777777" w:rsidR="00BB63DF" w:rsidRPr="00AC341C" w:rsidRDefault="00BB63DF" w:rsidP="00AC341C">
            <w:pPr>
              <w:pStyle w:val="Zkladntext"/>
              <w:spacing w:before="120" w:after="0" w:line="288" w:lineRule="auto"/>
              <w:jc w:val="both"/>
              <w:rPr>
                <w:rFonts w:ascii="Arial" w:hAnsi="Arial" w:cs="Arial"/>
                <w:sz w:val="22"/>
                <w:szCs w:val="22"/>
              </w:rPr>
            </w:pPr>
          </w:p>
        </w:tc>
      </w:tr>
      <w:tr w:rsidR="00BB63DF" w:rsidRPr="00AC341C" w14:paraId="5D894EE9" w14:textId="77777777" w:rsidTr="00AC341C">
        <w:tc>
          <w:tcPr>
            <w:tcW w:w="567" w:type="dxa"/>
            <w:tcBorders>
              <w:top w:val="nil"/>
              <w:left w:val="nil"/>
              <w:bottom w:val="nil"/>
              <w:right w:val="nil"/>
            </w:tcBorders>
          </w:tcPr>
          <w:p w14:paraId="7808F103"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E10</w:t>
            </w:r>
          </w:p>
        </w:tc>
        <w:tc>
          <w:tcPr>
            <w:tcW w:w="128" w:type="dxa"/>
            <w:tcBorders>
              <w:top w:val="nil"/>
              <w:left w:val="nil"/>
              <w:bottom w:val="nil"/>
              <w:right w:val="nil"/>
            </w:tcBorders>
          </w:tcPr>
          <w:p w14:paraId="0A12FCA0"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15723568"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310 včetně kabelové přípojky VN</w:t>
            </w:r>
          </w:p>
        </w:tc>
        <w:tc>
          <w:tcPr>
            <w:tcW w:w="4057" w:type="dxa"/>
            <w:tcBorders>
              <w:top w:val="nil"/>
              <w:left w:val="nil"/>
              <w:bottom w:val="nil"/>
              <w:right w:val="nil"/>
            </w:tcBorders>
          </w:tcPr>
          <w:p w14:paraId="5977A1DC"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VI/1</w:t>
            </w:r>
          </w:p>
        </w:tc>
      </w:tr>
      <w:tr w:rsidR="00BB63DF" w:rsidRPr="00AC341C" w14:paraId="55EE033C" w14:textId="77777777" w:rsidTr="00AC341C">
        <w:tc>
          <w:tcPr>
            <w:tcW w:w="567" w:type="dxa"/>
            <w:tcBorders>
              <w:top w:val="nil"/>
              <w:left w:val="nil"/>
              <w:bottom w:val="nil"/>
              <w:right w:val="nil"/>
            </w:tcBorders>
          </w:tcPr>
          <w:p w14:paraId="77A52040"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E11</w:t>
            </w:r>
          </w:p>
        </w:tc>
        <w:tc>
          <w:tcPr>
            <w:tcW w:w="128" w:type="dxa"/>
            <w:tcBorders>
              <w:top w:val="nil"/>
              <w:left w:val="nil"/>
              <w:bottom w:val="nil"/>
              <w:right w:val="nil"/>
            </w:tcBorders>
          </w:tcPr>
          <w:p w14:paraId="14D32EC3"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04B5BDE5"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311 včetně kabelové přípojky VN</w:t>
            </w:r>
          </w:p>
        </w:tc>
        <w:tc>
          <w:tcPr>
            <w:tcW w:w="4057" w:type="dxa"/>
            <w:tcBorders>
              <w:top w:val="nil"/>
              <w:left w:val="nil"/>
              <w:bottom w:val="nil"/>
              <w:right w:val="nil"/>
            </w:tcBorders>
          </w:tcPr>
          <w:p w14:paraId="4B429F81"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VI/3, VI/4, VI/8</w:t>
            </w:r>
          </w:p>
        </w:tc>
      </w:tr>
      <w:tr w:rsidR="00BB63DF" w:rsidRPr="00AC341C" w14:paraId="51F610C0" w14:textId="77777777" w:rsidTr="00AC341C">
        <w:tc>
          <w:tcPr>
            <w:tcW w:w="567" w:type="dxa"/>
            <w:tcBorders>
              <w:top w:val="nil"/>
              <w:left w:val="nil"/>
              <w:bottom w:val="nil"/>
              <w:right w:val="nil"/>
            </w:tcBorders>
          </w:tcPr>
          <w:p w14:paraId="26FEF9CD"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E12</w:t>
            </w:r>
          </w:p>
        </w:tc>
        <w:tc>
          <w:tcPr>
            <w:tcW w:w="128" w:type="dxa"/>
            <w:tcBorders>
              <w:top w:val="nil"/>
              <w:left w:val="nil"/>
              <w:bottom w:val="nil"/>
              <w:right w:val="nil"/>
            </w:tcBorders>
          </w:tcPr>
          <w:p w14:paraId="1EC2019F"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13C4E391"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312 včetně kabelové přípojky VN</w:t>
            </w:r>
          </w:p>
        </w:tc>
        <w:tc>
          <w:tcPr>
            <w:tcW w:w="4057" w:type="dxa"/>
            <w:tcBorders>
              <w:top w:val="nil"/>
              <w:left w:val="nil"/>
              <w:bottom w:val="nil"/>
              <w:right w:val="nil"/>
            </w:tcBorders>
          </w:tcPr>
          <w:p w14:paraId="035AEB0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VI/18</w:t>
            </w:r>
          </w:p>
        </w:tc>
      </w:tr>
      <w:tr w:rsidR="00BB63DF" w:rsidRPr="00AC341C" w14:paraId="7B78A519" w14:textId="77777777" w:rsidTr="00AC341C">
        <w:tc>
          <w:tcPr>
            <w:tcW w:w="567" w:type="dxa"/>
            <w:tcBorders>
              <w:top w:val="nil"/>
              <w:left w:val="nil"/>
              <w:bottom w:val="nil"/>
              <w:right w:val="nil"/>
            </w:tcBorders>
          </w:tcPr>
          <w:p w14:paraId="67ED86F7"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E13</w:t>
            </w:r>
          </w:p>
        </w:tc>
        <w:tc>
          <w:tcPr>
            <w:tcW w:w="128" w:type="dxa"/>
            <w:tcBorders>
              <w:top w:val="nil"/>
              <w:left w:val="nil"/>
              <w:bottom w:val="nil"/>
              <w:right w:val="nil"/>
            </w:tcBorders>
          </w:tcPr>
          <w:p w14:paraId="1E5F9D2E"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551DB352"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313 včetně kabelové přípojky VN</w:t>
            </w:r>
          </w:p>
        </w:tc>
        <w:tc>
          <w:tcPr>
            <w:tcW w:w="4057" w:type="dxa"/>
            <w:tcBorders>
              <w:top w:val="nil"/>
              <w:left w:val="nil"/>
              <w:bottom w:val="nil"/>
              <w:right w:val="nil"/>
            </w:tcBorders>
          </w:tcPr>
          <w:p w14:paraId="6F7520CF"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VII/4, VII/5</w:t>
            </w:r>
          </w:p>
        </w:tc>
      </w:tr>
      <w:tr w:rsidR="00BB63DF" w:rsidRPr="00AC341C" w14:paraId="40DAD54E" w14:textId="77777777" w:rsidTr="00AC341C">
        <w:tc>
          <w:tcPr>
            <w:tcW w:w="567" w:type="dxa"/>
            <w:tcBorders>
              <w:top w:val="nil"/>
              <w:left w:val="nil"/>
              <w:bottom w:val="nil"/>
              <w:right w:val="nil"/>
            </w:tcBorders>
          </w:tcPr>
          <w:p w14:paraId="5E62B2AE"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E14</w:t>
            </w:r>
          </w:p>
        </w:tc>
        <w:tc>
          <w:tcPr>
            <w:tcW w:w="128" w:type="dxa"/>
            <w:tcBorders>
              <w:top w:val="nil"/>
              <w:left w:val="nil"/>
              <w:bottom w:val="nil"/>
              <w:right w:val="nil"/>
            </w:tcBorders>
          </w:tcPr>
          <w:p w14:paraId="0B6DAE22"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09BDF791"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314 včetně venk. přípojky VN</w:t>
            </w:r>
          </w:p>
        </w:tc>
        <w:tc>
          <w:tcPr>
            <w:tcW w:w="4057" w:type="dxa"/>
            <w:tcBorders>
              <w:top w:val="nil"/>
              <w:left w:val="nil"/>
              <w:bottom w:val="nil"/>
              <w:right w:val="nil"/>
            </w:tcBorders>
          </w:tcPr>
          <w:p w14:paraId="57CF2567"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VII/18</w:t>
            </w:r>
          </w:p>
        </w:tc>
      </w:tr>
      <w:tr w:rsidR="00BB63DF" w:rsidRPr="00AC341C" w14:paraId="7BB61533" w14:textId="77777777" w:rsidTr="00AC341C">
        <w:tc>
          <w:tcPr>
            <w:tcW w:w="567" w:type="dxa"/>
            <w:tcBorders>
              <w:top w:val="nil"/>
              <w:left w:val="nil"/>
              <w:bottom w:val="nil"/>
              <w:right w:val="nil"/>
            </w:tcBorders>
          </w:tcPr>
          <w:p w14:paraId="2635F8F7"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E15</w:t>
            </w:r>
          </w:p>
        </w:tc>
        <w:tc>
          <w:tcPr>
            <w:tcW w:w="128" w:type="dxa"/>
            <w:tcBorders>
              <w:top w:val="nil"/>
              <w:left w:val="nil"/>
              <w:bottom w:val="nil"/>
              <w:right w:val="nil"/>
            </w:tcBorders>
          </w:tcPr>
          <w:p w14:paraId="7F9CD738"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3EF98817"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315 včetně venk. přípojky VN</w:t>
            </w:r>
          </w:p>
        </w:tc>
        <w:tc>
          <w:tcPr>
            <w:tcW w:w="4057" w:type="dxa"/>
            <w:tcBorders>
              <w:top w:val="nil"/>
              <w:left w:val="nil"/>
              <w:bottom w:val="nil"/>
              <w:right w:val="nil"/>
            </w:tcBorders>
          </w:tcPr>
          <w:p w14:paraId="05E6A0DE"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VII/19</w:t>
            </w:r>
          </w:p>
        </w:tc>
      </w:tr>
      <w:tr w:rsidR="00BB63DF" w:rsidRPr="00AC341C" w14:paraId="201FE97C" w14:textId="77777777" w:rsidTr="00AC341C">
        <w:tc>
          <w:tcPr>
            <w:tcW w:w="567" w:type="dxa"/>
            <w:tcBorders>
              <w:top w:val="nil"/>
              <w:left w:val="nil"/>
              <w:bottom w:val="nil"/>
              <w:right w:val="nil"/>
            </w:tcBorders>
          </w:tcPr>
          <w:p w14:paraId="13583A58"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E16</w:t>
            </w:r>
          </w:p>
        </w:tc>
        <w:tc>
          <w:tcPr>
            <w:tcW w:w="128" w:type="dxa"/>
            <w:tcBorders>
              <w:top w:val="nil"/>
              <w:left w:val="nil"/>
              <w:bottom w:val="nil"/>
              <w:right w:val="nil"/>
            </w:tcBorders>
          </w:tcPr>
          <w:p w14:paraId="3AC2FC57"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65575C3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316 včetně venk. přípojky VN</w:t>
            </w:r>
          </w:p>
        </w:tc>
        <w:tc>
          <w:tcPr>
            <w:tcW w:w="4057" w:type="dxa"/>
            <w:tcBorders>
              <w:top w:val="nil"/>
              <w:left w:val="nil"/>
              <w:bottom w:val="nil"/>
              <w:right w:val="nil"/>
            </w:tcBorders>
          </w:tcPr>
          <w:p w14:paraId="63787B52"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III/9</w:t>
            </w:r>
          </w:p>
        </w:tc>
      </w:tr>
      <w:tr w:rsidR="00BB63DF" w:rsidRPr="00AC341C" w14:paraId="49365ED1" w14:textId="77777777" w:rsidTr="00AC341C">
        <w:tc>
          <w:tcPr>
            <w:tcW w:w="567" w:type="dxa"/>
            <w:tcBorders>
              <w:top w:val="nil"/>
              <w:left w:val="nil"/>
              <w:bottom w:val="nil"/>
              <w:right w:val="nil"/>
            </w:tcBorders>
          </w:tcPr>
          <w:p w14:paraId="034CF4B8"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E17</w:t>
            </w:r>
          </w:p>
        </w:tc>
        <w:tc>
          <w:tcPr>
            <w:tcW w:w="128" w:type="dxa"/>
            <w:tcBorders>
              <w:top w:val="nil"/>
              <w:left w:val="nil"/>
              <w:bottom w:val="nil"/>
              <w:right w:val="nil"/>
            </w:tcBorders>
          </w:tcPr>
          <w:p w14:paraId="3A54F2F0"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67F8AE97"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vedení VVN 110 kV Želenice - Babylon</w:t>
            </w:r>
          </w:p>
        </w:tc>
        <w:tc>
          <w:tcPr>
            <w:tcW w:w="4057" w:type="dxa"/>
            <w:tcBorders>
              <w:top w:val="nil"/>
              <w:left w:val="nil"/>
              <w:bottom w:val="nil"/>
              <w:right w:val="nil"/>
            </w:tcBorders>
          </w:tcPr>
          <w:p w14:paraId="4A4EB9B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zvýšení spolehlivosti zásobování Děčína elektřinou</w:t>
            </w:r>
          </w:p>
        </w:tc>
      </w:tr>
      <w:tr w:rsidR="00BB63DF" w:rsidRPr="00AC341C" w14:paraId="3346FC2A" w14:textId="77777777" w:rsidTr="00AC341C">
        <w:tc>
          <w:tcPr>
            <w:tcW w:w="567" w:type="dxa"/>
            <w:tcBorders>
              <w:top w:val="nil"/>
              <w:left w:val="nil"/>
              <w:bottom w:val="nil"/>
              <w:right w:val="nil"/>
            </w:tcBorders>
          </w:tcPr>
          <w:p w14:paraId="45E05583"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E18</w:t>
            </w:r>
          </w:p>
        </w:tc>
        <w:tc>
          <w:tcPr>
            <w:tcW w:w="128" w:type="dxa"/>
            <w:tcBorders>
              <w:top w:val="nil"/>
              <w:left w:val="nil"/>
              <w:bottom w:val="nil"/>
              <w:right w:val="nil"/>
            </w:tcBorders>
          </w:tcPr>
          <w:p w14:paraId="4A3D5769"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2E4F224D"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propojovací kabel VN mezi trafostanicemi č. 194 a 201 (Boletice)</w:t>
            </w:r>
          </w:p>
        </w:tc>
        <w:tc>
          <w:tcPr>
            <w:tcW w:w="4057" w:type="dxa"/>
            <w:tcBorders>
              <w:top w:val="nil"/>
              <w:left w:val="nil"/>
              <w:bottom w:val="nil"/>
              <w:right w:val="nil"/>
            </w:tcBorders>
          </w:tcPr>
          <w:p w14:paraId="2CE39E91"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uvolnění rozvojové plochy VII/15 pro výstavbu</w:t>
            </w:r>
          </w:p>
        </w:tc>
      </w:tr>
      <w:tr w:rsidR="00BB63DF" w:rsidRPr="00AC341C" w14:paraId="789250E3" w14:textId="77777777" w:rsidTr="00AC341C">
        <w:tc>
          <w:tcPr>
            <w:tcW w:w="567" w:type="dxa"/>
            <w:tcBorders>
              <w:top w:val="nil"/>
              <w:left w:val="nil"/>
              <w:bottom w:val="nil"/>
              <w:right w:val="nil"/>
            </w:tcBorders>
          </w:tcPr>
          <w:p w14:paraId="4544A8C8"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E19</w:t>
            </w:r>
          </w:p>
        </w:tc>
        <w:tc>
          <w:tcPr>
            <w:tcW w:w="128" w:type="dxa"/>
            <w:tcBorders>
              <w:top w:val="nil"/>
              <w:left w:val="nil"/>
              <w:bottom w:val="nil"/>
              <w:right w:val="nil"/>
            </w:tcBorders>
          </w:tcPr>
          <w:p w14:paraId="760BCC1B"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3DA224A4"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trafostanice č. 317 včetně kabelové přípojky VN</w:t>
            </w:r>
          </w:p>
        </w:tc>
        <w:tc>
          <w:tcPr>
            <w:tcW w:w="4057" w:type="dxa"/>
            <w:tcBorders>
              <w:top w:val="nil"/>
              <w:left w:val="nil"/>
              <w:bottom w:val="nil"/>
              <w:right w:val="nil"/>
            </w:tcBorders>
          </w:tcPr>
          <w:p w14:paraId="106472BC"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VI/32</w:t>
            </w:r>
          </w:p>
        </w:tc>
      </w:tr>
      <w:tr w:rsidR="00BB63DF" w:rsidRPr="00AC341C" w14:paraId="36CACDA0" w14:textId="77777777" w:rsidTr="00AC341C">
        <w:tc>
          <w:tcPr>
            <w:tcW w:w="567" w:type="dxa"/>
            <w:tcBorders>
              <w:top w:val="nil"/>
              <w:left w:val="nil"/>
              <w:bottom w:val="nil"/>
              <w:right w:val="nil"/>
            </w:tcBorders>
          </w:tcPr>
          <w:p w14:paraId="20361651"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E20</w:t>
            </w:r>
          </w:p>
        </w:tc>
        <w:tc>
          <w:tcPr>
            <w:tcW w:w="128" w:type="dxa"/>
            <w:tcBorders>
              <w:top w:val="nil"/>
              <w:left w:val="nil"/>
              <w:bottom w:val="nil"/>
              <w:right w:val="nil"/>
            </w:tcBorders>
          </w:tcPr>
          <w:p w14:paraId="5602F306"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4A31FF9A"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2 vývodní vedení 22 kV pro stávající trasu Děčín - Česká Kamenice</w:t>
            </w:r>
          </w:p>
        </w:tc>
        <w:tc>
          <w:tcPr>
            <w:tcW w:w="4057" w:type="dxa"/>
            <w:tcBorders>
              <w:top w:val="nil"/>
              <w:left w:val="nil"/>
              <w:bottom w:val="nil"/>
              <w:right w:val="nil"/>
            </w:tcBorders>
          </w:tcPr>
          <w:p w14:paraId="7B27894A"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zvýšení spolehlivosti dodávek elektřiny do území ve směru na Č. Kamenici</w:t>
            </w:r>
          </w:p>
        </w:tc>
      </w:tr>
      <w:tr w:rsidR="00BB63DF" w:rsidRPr="00AC341C" w14:paraId="35E71B2B" w14:textId="77777777" w:rsidTr="00AC341C">
        <w:tc>
          <w:tcPr>
            <w:tcW w:w="567" w:type="dxa"/>
            <w:tcBorders>
              <w:top w:val="nil"/>
              <w:left w:val="nil"/>
              <w:right w:val="nil"/>
            </w:tcBorders>
          </w:tcPr>
          <w:p w14:paraId="1D3F42C7"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E21</w:t>
            </w:r>
          </w:p>
        </w:tc>
        <w:tc>
          <w:tcPr>
            <w:tcW w:w="128" w:type="dxa"/>
            <w:tcBorders>
              <w:top w:val="nil"/>
              <w:left w:val="nil"/>
              <w:right w:val="nil"/>
            </w:tcBorders>
          </w:tcPr>
          <w:p w14:paraId="1EF182FE"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right w:val="nil"/>
            </w:tcBorders>
          </w:tcPr>
          <w:p w14:paraId="323B14AE"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propojovací vedení 22 kV</w:t>
            </w:r>
          </w:p>
        </w:tc>
        <w:tc>
          <w:tcPr>
            <w:tcW w:w="4057" w:type="dxa"/>
            <w:tcBorders>
              <w:top w:val="nil"/>
              <w:left w:val="nil"/>
              <w:right w:val="nil"/>
            </w:tcBorders>
          </w:tcPr>
          <w:p w14:paraId="1F9518DA"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výstavba nového vedení</w:t>
            </w:r>
          </w:p>
        </w:tc>
      </w:tr>
      <w:tr w:rsidR="00BB63DF" w:rsidRPr="00AC341C" w14:paraId="730DD933" w14:textId="77777777" w:rsidTr="00AC341C">
        <w:tc>
          <w:tcPr>
            <w:tcW w:w="10011" w:type="dxa"/>
            <w:gridSpan w:val="4"/>
            <w:tcBorders>
              <w:top w:val="nil"/>
              <w:left w:val="nil"/>
              <w:bottom w:val="nil"/>
            </w:tcBorders>
          </w:tcPr>
          <w:p w14:paraId="7E0A0E65" w14:textId="77777777" w:rsidR="00BB63DF" w:rsidRPr="00AC341C" w:rsidRDefault="00BB63DF" w:rsidP="00BB63DF">
            <w:pPr>
              <w:pStyle w:val="Texttabulky"/>
              <w:spacing w:before="120" w:line="288" w:lineRule="auto"/>
              <w:rPr>
                <w:rFonts w:cs="Arial"/>
                <w:b/>
                <w:bCs/>
                <w:caps/>
                <w:sz w:val="28"/>
                <w:szCs w:val="28"/>
              </w:rPr>
            </w:pPr>
          </w:p>
          <w:p w14:paraId="62D7275C" w14:textId="77777777" w:rsidR="00BB63DF" w:rsidRPr="00AC341C" w:rsidRDefault="00BB63DF" w:rsidP="00BB63DF">
            <w:pPr>
              <w:pStyle w:val="Texttabulky"/>
              <w:spacing w:before="120" w:line="288" w:lineRule="auto"/>
              <w:rPr>
                <w:rFonts w:cs="Arial"/>
                <w:sz w:val="28"/>
                <w:szCs w:val="28"/>
              </w:rPr>
            </w:pPr>
            <w:r w:rsidRPr="00AC341C">
              <w:rPr>
                <w:rFonts w:cs="Arial"/>
                <w:b/>
                <w:bCs/>
                <w:caps/>
                <w:sz w:val="28"/>
                <w:szCs w:val="28"/>
              </w:rPr>
              <w:t>stavby teplárenské</w:t>
            </w:r>
          </w:p>
        </w:tc>
      </w:tr>
      <w:tr w:rsidR="00BB63DF" w:rsidRPr="00AC341C" w14:paraId="71C28F22" w14:textId="77777777" w:rsidTr="00AC341C">
        <w:tc>
          <w:tcPr>
            <w:tcW w:w="567" w:type="dxa"/>
            <w:tcBorders>
              <w:top w:val="nil"/>
              <w:left w:val="nil"/>
              <w:bottom w:val="nil"/>
              <w:right w:val="nil"/>
            </w:tcBorders>
          </w:tcPr>
          <w:p w14:paraId="75525F21"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T1</w:t>
            </w:r>
          </w:p>
        </w:tc>
        <w:tc>
          <w:tcPr>
            <w:tcW w:w="128" w:type="dxa"/>
            <w:tcBorders>
              <w:top w:val="nil"/>
              <w:left w:val="nil"/>
              <w:bottom w:val="nil"/>
              <w:right w:val="nil"/>
            </w:tcBorders>
          </w:tcPr>
          <w:p w14:paraId="74185A83"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65555896"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primerní rozvody CZT</w:t>
            </w:r>
          </w:p>
        </w:tc>
        <w:tc>
          <w:tcPr>
            <w:tcW w:w="4057" w:type="dxa"/>
            <w:tcBorders>
              <w:top w:val="nil"/>
              <w:left w:val="nil"/>
              <w:bottom w:val="nil"/>
              <w:right w:val="nil"/>
            </w:tcBorders>
          </w:tcPr>
          <w:p w14:paraId="16345C38"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plošná teplofikace, Podmokly, II/2,II/25</w:t>
            </w:r>
          </w:p>
        </w:tc>
      </w:tr>
      <w:tr w:rsidR="00BB63DF" w:rsidRPr="00AC341C" w14:paraId="2997FD92" w14:textId="77777777" w:rsidTr="00AC341C">
        <w:tc>
          <w:tcPr>
            <w:tcW w:w="567" w:type="dxa"/>
            <w:tcBorders>
              <w:top w:val="nil"/>
              <w:left w:val="nil"/>
              <w:bottom w:val="nil"/>
              <w:right w:val="nil"/>
            </w:tcBorders>
          </w:tcPr>
          <w:p w14:paraId="4FF9ED6F"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T2</w:t>
            </w:r>
          </w:p>
        </w:tc>
        <w:tc>
          <w:tcPr>
            <w:tcW w:w="128" w:type="dxa"/>
            <w:tcBorders>
              <w:top w:val="nil"/>
              <w:left w:val="nil"/>
              <w:bottom w:val="nil"/>
              <w:right w:val="nil"/>
            </w:tcBorders>
          </w:tcPr>
          <w:p w14:paraId="42168C52"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76120D3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zdroj CZT Děčín východ</w:t>
            </w:r>
          </w:p>
        </w:tc>
        <w:tc>
          <w:tcPr>
            <w:tcW w:w="4057" w:type="dxa"/>
            <w:tcBorders>
              <w:top w:val="nil"/>
              <w:left w:val="nil"/>
              <w:bottom w:val="nil"/>
              <w:right w:val="nil"/>
            </w:tcBorders>
          </w:tcPr>
          <w:p w14:paraId="2D90DDC1"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plošná teplofikace, Děčín 1, Staré Město, Nové Město, Březiny</w:t>
            </w:r>
          </w:p>
        </w:tc>
      </w:tr>
      <w:tr w:rsidR="00BB63DF" w:rsidRPr="00AC341C" w14:paraId="0B485A9B" w14:textId="77777777" w:rsidTr="00AC341C">
        <w:tc>
          <w:tcPr>
            <w:tcW w:w="567" w:type="dxa"/>
            <w:tcBorders>
              <w:top w:val="nil"/>
              <w:left w:val="nil"/>
              <w:bottom w:val="nil"/>
              <w:right w:val="nil"/>
            </w:tcBorders>
          </w:tcPr>
          <w:p w14:paraId="46E79651"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T3</w:t>
            </w:r>
          </w:p>
        </w:tc>
        <w:tc>
          <w:tcPr>
            <w:tcW w:w="128" w:type="dxa"/>
            <w:tcBorders>
              <w:top w:val="nil"/>
              <w:left w:val="nil"/>
              <w:bottom w:val="nil"/>
              <w:right w:val="nil"/>
            </w:tcBorders>
          </w:tcPr>
          <w:p w14:paraId="3D7E77D2"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37C77753" w14:textId="77777777" w:rsidR="00BB63DF" w:rsidRPr="00AC341C" w:rsidRDefault="00BB63DF" w:rsidP="00AC341C">
            <w:pPr>
              <w:pStyle w:val="Texttabulky"/>
              <w:spacing w:before="120" w:after="0" w:line="288" w:lineRule="auto"/>
              <w:ind w:right="375"/>
              <w:rPr>
                <w:rFonts w:cs="Arial"/>
                <w:sz w:val="22"/>
                <w:szCs w:val="22"/>
              </w:rPr>
            </w:pPr>
            <w:r w:rsidRPr="00AC341C">
              <w:rPr>
                <w:rFonts w:cs="Arial"/>
                <w:sz w:val="22"/>
                <w:szCs w:val="22"/>
              </w:rPr>
              <w:t>páteřní primerní rozvody CZT ze zdroje Děčín východ</w:t>
            </w:r>
          </w:p>
        </w:tc>
        <w:tc>
          <w:tcPr>
            <w:tcW w:w="4057" w:type="dxa"/>
            <w:tcBorders>
              <w:top w:val="nil"/>
              <w:left w:val="nil"/>
              <w:bottom w:val="nil"/>
              <w:right w:val="nil"/>
            </w:tcBorders>
          </w:tcPr>
          <w:p w14:paraId="7A39824A"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plošná teplofikace, Děčín 1, Staré Město, Nové Město</w:t>
            </w:r>
          </w:p>
        </w:tc>
      </w:tr>
      <w:tr w:rsidR="00BB63DF" w:rsidRPr="00AC341C" w14:paraId="7258E202" w14:textId="77777777" w:rsidTr="00AC341C">
        <w:tc>
          <w:tcPr>
            <w:tcW w:w="567" w:type="dxa"/>
            <w:tcBorders>
              <w:top w:val="nil"/>
              <w:left w:val="nil"/>
              <w:bottom w:val="nil"/>
              <w:right w:val="nil"/>
            </w:tcBorders>
          </w:tcPr>
          <w:p w14:paraId="71C89A63"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T4</w:t>
            </w:r>
          </w:p>
        </w:tc>
        <w:tc>
          <w:tcPr>
            <w:tcW w:w="128" w:type="dxa"/>
            <w:tcBorders>
              <w:top w:val="nil"/>
              <w:left w:val="nil"/>
              <w:bottom w:val="nil"/>
              <w:right w:val="nil"/>
            </w:tcBorders>
          </w:tcPr>
          <w:p w14:paraId="37D7BD01"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6A7A9EB6"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primerních rozvodů CZT</w:t>
            </w:r>
          </w:p>
        </w:tc>
        <w:tc>
          <w:tcPr>
            <w:tcW w:w="4057" w:type="dxa"/>
            <w:tcBorders>
              <w:top w:val="nil"/>
              <w:left w:val="nil"/>
              <w:bottom w:val="nil"/>
              <w:right w:val="nil"/>
            </w:tcBorders>
          </w:tcPr>
          <w:p w14:paraId="7D2793AA"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II/25</w:t>
            </w:r>
          </w:p>
        </w:tc>
      </w:tr>
      <w:tr w:rsidR="00BB63DF" w:rsidRPr="00AC341C" w14:paraId="5B91B102" w14:textId="77777777" w:rsidTr="00AC341C">
        <w:tc>
          <w:tcPr>
            <w:tcW w:w="567" w:type="dxa"/>
            <w:tcBorders>
              <w:top w:val="nil"/>
              <w:left w:val="nil"/>
              <w:bottom w:val="nil"/>
              <w:right w:val="nil"/>
            </w:tcBorders>
          </w:tcPr>
          <w:p w14:paraId="56E34D4D"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lastRenderedPageBreak/>
              <w:t>T5</w:t>
            </w:r>
          </w:p>
        </w:tc>
        <w:tc>
          <w:tcPr>
            <w:tcW w:w="128" w:type="dxa"/>
            <w:tcBorders>
              <w:top w:val="nil"/>
              <w:left w:val="nil"/>
              <w:bottom w:val="nil"/>
              <w:right w:val="nil"/>
            </w:tcBorders>
          </w:tcPr>
          <w:p w14:paraId="6919766F"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10E17D02"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primerních rozvodů CZT</w:t>
            </w:r>
          </w:p>
        </w:tc>
        <w:tc>
          <w:tcPr>
            <w:tcW w:w="4057" w:type="dxa"/>
            <w:tcBorders>
              <w:top w:val="nil"/>
              <w:left w:val="nil"/>
              <w:bottom w:val="nil"/>
              <w:right w:val="nil"/>
            </w:tcBorders>
          </w:tcPr>
          <w:p w14:paraId="358572CB"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VI/1</w:t>
            </w:r>
          </w:p>
        </w:tc>
      </w:tr>
      <w:tr w:rsidR="00BB63DF" w:rsidRPr="00AC341C" w14:paraId="6DB8A23E" w14:textId="77777777" w:rsidTr="00AC341C">
        <w:tc>
          <w:tcPr>
            <w:tcW w:w="567" w:type="dxa"/>
            <w:tcBorders>
              <w:top w:val="nil"/>
              <w:left w:val="nil"/>
              <w:bottom w:val="nil"/>
              <w:right w:val="nil"/>
            </w:tcBorders>
          </w:tcPr>
          <w:p w14:paraId="7F407CB4"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T6</w:t>
            </w:r>
          </w:p>
        </w:tc>
        <w:tc>
          <w:tcPr>
            <w:tcW w:w="128" w:type="dxa"/>
            <w:tcBorders>
              <w:top w:val="nil"/>
              <w:left w:val="nil"/>
              <w:bottom w:val="nil"/>
              <w:right w:val="nil"/>
            </w:tcBorders>
          </w:tcPr>
          <w:p w14:paraId="67FD0391"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707ECD61"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primerních rozvodů CZT</w:t>
            </w:r>
          </w:p>
        </w:tc>
        <w:tc>
          <w:tcPr>
            <w:tcW w:w="4057" w:type="dxa"/>
            <w:tcBorders>
              <w:top w:val="nil"/>
              <w:left w:val="nil"/>
              <w:bottom w:val="nil"/>
              <w:right w:val="nil"/>
            </w:tcBorders>
          </w:tcPr>
          <w:p w14:paraId="4B99FE2B"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VI/25</w:t>
            </w:r>
          </w:p>
        </w:tc>
      </w:tr>
      <w:tr w:rsidR="00BB63DF" w:rsidRPr="00AC341C" w14:paraId="305472C5" w14:textId="77777777" w:rsidTr="00AC341C">
        <w:tc>
          <w:tcPr>
            <w:tcW w:w="567" w:type="dxa"/>
            <w:tcBorders>
              <w:top w:val="nil"/>
              <w:left w:val="nil"/>
              <w:bottom w:val="nil"/>
              <w:right w:val="nil"/>
            </w:tcBorders>
          </w:tcPr>
          <w:p w14:paraId="5F351092"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T7</w:t>
            </w:r>
          </w:p>
        </w:tc>
        <w:tc>
          <w:tcPr>
            <w:tcW w:w="128" w:type="dxa"/>
            <w:tcBorders>
              <w:top w:val="nil"/>
              <w:left w:val="nil"/>
              <w:bottom w:val="nil"/>
              <w:right w:val="nil"/>
            </w:tcBorders>
          </w:tcPr>
          <w:p w14:paraId="11C9882F"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7B7A301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primerních rozvodů CZT</w:t>
            </w:r>
          </w:p>
        </w:tc>
        <w:tc>
          <w:tcPr>
            <w:tcW w:w="4057" w:type="dxa"/>
            <w:tcBorders>
              <w:top w:val="nil"/>
              <w:left w:val="nil"/>
              <w:bottom w:val="nil"/>
              <w:right w:val="nil"/>
            </w:tcBorders>
          </w:tcPr>
          <w:p w14:paraId="1992D079"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VII/1, VII/15, VII/3</w:t>
            </w:r>
          </w:p>
        </w:tc>
      </w:tr>
      <w:tr w:rsidR="00BB63DF" w:rsidRPr="00AC341C" w14:paraId="0D87E61E" w14:textId="77777777" w:rsidTr="00AC341C">
        <w:tc>
          <w:tcPr>
            <w:tcW w:w="567" w:type="dxa"/>
            <w:tcBorders>
              <w:top w:val="nil"/>
              <w:left w:val="nil"/>
              <w:bottom w:val="nil"/>
              <w:right w:val="nil"/>
            </w:tcBorders>
          </w:tcPr>
          <w:p w14:paraId="32C3CDFA"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T8</w:t>
            </w:r>
          </w:p>
        </w:tc>
        <w:tc>
          <w:tcPr>
            <w:tcW w:w="128" w:type="dxa"/>
            <w:tcBorders>
              <w:top w:val="nil"/>
              <w:left w:val="nil"/>
              <w:bottom w:val="nil"/>
              <w:right w:val="nil"/>
            </w:tcBorders>
          </w:tcPr>
          <w:p w14:paraId="1CC1C491"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509EB2DC"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primerních rozvodů CZT</w:t>
            </w:r>
          </w:p>
        </w:tc>
        <w:tc>
          <w:tcPr>
            <w:tcW w:w="4057" w:type="dxa"/>
            <w:tcBorders>
              <w:top w:val="nil"/>
              <w:left w:val="nil"/>
              <w:bottom w:val="nil"/>
              <w:right w:val="nil"/>
            </w:tcBorders>
          </w:tcPr>
          <w:p w14:paraId="734086FF"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VII/4</w:t>
            </w:r>
          </w:p>
        </w:tc>
      </w:tr>
      <w:tr w:rsidR="00BB63DF" w:rsidRPr="00AC341C" w14:paraId="20252576" w14:textId="77777777" w:rsidTr="00AC341C">
        <w:tc>
          <w:tcPr>
            <w:tcW w:w="567" w:type="dxa"/>
            <w:tcBorders>
              <w:top w:val="nil"/>
              <w:left w:val="nil"/>
              <w:bottom w:val="nil"/>
              <w:right w:val="nil"/>
            </w:tcBorders>
          </w:tcPr>
          <w:p w14:paraId="3193BB94"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T9</w:t>
            </w:r>
          </w:p>
        </w:tc>
        <w:tc>
          <w:tcPr>
            <w:tcW w:w="128" w:type="dxa"/>
            <w:tcBorders>
              <w:top w:val="nil"/>
              <w:left w:val="nil"/>
              <w:bottom w:val="nil"/>
              <w:right w:val="nil"/>
            </w:tcBorders>
          </w:tcPr>
          <w:p w14:paraId="0B8FFCD4"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2DE2FF3F"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tepelný napaječ Kabelovna - Podmokly</w:t>
            </w:r>
          </w:p>
        </w:tc>
        <w:tc>
          <w:tcPr>
            <w:tcW w:w="4057" w:type="dxa"/>
            <w:tcBorders>
              <w:top w:val="nil"/>
              <w:left w:val="nil"/>
              <w:bottom w:val="nil"/>
              <w:right w:val="nil"/>
            </w:tcBorders>
          </w:tcPr>
          <w:p w14:paraId="7866F07F"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plošná teplofikace Podmokel</w:t>
            </w:r>
          </w:p>
        </w:tc>
      </w:tr>
      <w:tr w:rsidR="00BB63DF" w:rsidRPr="00AC341C" w14:paraId="1949FC7F" w14:textId="77777777" w:rsidTr="00AC341C">
        <w:tc>
          <w:tcPr>
            <w:tcW w:w="567" w:type="dxa"/>
            <w:tcBorders>
              <w:top w:val="nil"/>
              <w:left w:val="nil"/>
              <w:right w:val="nil"/>
            </w:tcBorders>
          </w:tcPr>
          <w:p w14:paraId="4C1AD3F1"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T10</w:t>
            </w:r>
          </w:p>
        </w:tc>
        <w:tc>
          <w:tcPr>
            <w:tcW w:w="128" w:type="dxa"/>
            <w:tcBorders>
              <w:top w:val="nil"/>
              <w:left w:val="nil"/>
              <w:right w:val="nil"/>
            </w:tcBorders>
          </w:tcPr>
          <w:p w14:paraId="3C41A79B"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right w:val="nil"/>
            </w:tcBorders>
          </w:tcPr>
          <w:p w14:paraId="3DC7C418"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výstavba kogenerační jednotky</w:t>
            </w:r>
          </w:p>
        </w:tc>
        <w:tc>
          <w:tcPr>
            <w:tcW w:w="4057" w:type="dxa"/>
            <w:tcBorders>
              <w:top w:val="nil"/>
              <w:left w:val="nil"/>
              <w:right w:val="nil"/>
            </w:tcBorders>
          </w:tcPr>
          <w:p w14:paraId="33BA9DF1"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Boletice, VII/4</w:t>
            </w:r>
          </w:p>
        </w:tc>
      </w:tr>
      <w:tr w:rsidR="00BB63DF" w:rsidRPr="00AC341C" w14:paraId="7BD91302" w14:textId="77777777" w:rsidTr="00AC341C">
        <w:tc>
          <w:tcPr>
            <w:tcW w:w="10011" w:type="dxa"/>
            <w:gridSpan w:val="4"/>
            <w:tcBorders>
              <w:top w:val="nil"/>
              <w:left w:val="nil"/>
              <w:bottom w:val="nil"/>
            </w:tcBorders>
          </w:tcPr>
          <w:p w14:paraId="466854BA" w14:textId="77777777" w:rsidR="00BB63DF" w:rsidRPr="00AC341C" w:rsidRDefault="00BB63DF" w:rsidP="00BB63DF">
            <w:pPr>
              <w:pStyle w:val="Texttabulky"/>
              <w:spacing w:before="120" w:line="288" w:lineRule="auto"/>
              <w:rPr>
                <w:rFonts w:cs="Arial"/>
                <w:b/>
                <w:bCs/>
                <w:caps/>
                <w:sz w:val="28"/>
                <w:szCs w:val="28"/>
              </w:rPr>
            </w:pPr>
          </w:p>
          <w:p w14:paraId="2B872D14" w14:textId="77777777" w:rsidR="00BB63DF" w:rsidRPr="00AC341C" w:rsidRDefault="00BB63DF" w:rsidP="00BB63DF">
            <w:pPr>
              <w:pStyle w:val="Texttabulky"/>
              <w:spacing w:before="120" w:line="288" w:lineRule="auto"/>
              <w:rPr>
                <w:rFonts w:cs="Arial"/>
                <w:b/>
                <w:bCs/>
                <w:caps/>
                <w:sz w:val="28"/>
                <w:szCs w:val="28"/>
              </w:rPr>
            </w:pPr>
            <w:r w:rsidRPr="00AC341C">
              <w:rPr>
                <w:rFonts w:cs="Arial"/>
                <w:b/>
                <w:bCs/>
                <w:caps/>
                <w:sz w:val="28"/>
                <w:szCs w:val="28"/>
              </w:rPr>
              <w:t>stavby plynárenské</w:t>
            </w:r>
          </w:p>
        </w:tc>
      </w:tr>
      <w:tr w:rsidR="00BB63DF" w:rsidRPr="00AC341C" w14:paraId="151B0609" w14:textId="77777777" w:rsidTr="00AC341C">
        <w:tc>
          <w:tcPr>
            <w:tcW w:w="567" w:type="dxa"/>
            <w:tcBorders>
              <w:top w:val="nil"/>
              <w:left w:val="nil"/>
              <w:bottom w:val="nil"/>
              <w:right w:val="nil"/>
            </w:tcBorders>
          </w:tcPr>
          <w:p w14:paraId="51BB1D26"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P1</w:t>
            </w:r>
          </w:p>
        </w:tc>
        <w:tc>
          <w:tcPr>
            <w:tcW w:w="128" w:type="dxa"/>
            <w:tcBorders>
              <w:top w:val="nil"/>
              <w:left w:val="nil"/>
              <w:bottom w:val="nil"/>
              <w:right w:val="nil"/>
            </w:tcBorders>
          </w:tcPr>
          <w:p w14:paraId="125A2A87"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281E29DA"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NTL sítě</w:t>
            </w:r>
          </w:p>
        </w:tc>
        <w:tc>
          <w:tcPr>
            <w:tcW w:w="4057" w:type="dxa"/>
            <w:tcBorders>
              <w:top w:val="nil"/>
              <w:left w:val="nil"/>
              <w:bottom w:val="nil"/>
              <w:right w:val="nil"/>
            </w:tcBorders>
          </w:tcPr>
          <w:p w14:paraId="28385B8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II/3</w:t>
            </w:r>
          </w:p>
        </w:tc>
      </w:tr>
      <w:tr w:rsidR="00BB63DF" w:rsidRPr="00AC341C" w14:paraId="6C701528" w14:textId="77777777" w:rsidTr="00AC341C">
        <w:tc>
          <w:tcPr>
            <w:tcW w:w="567" w:type="dxa"/>
            <w:tcBorders>
              <w:top w:val="nil"/>
              <w:left w:val="nil"/>
              <w:bottom w:val="nil"/>
              <w:right w:val="nil"/>
            </w:tcBorders>
          </w:tcPr>
          <w:p w14:paraId="48C33427"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P2</w:t>
            </w:r>
          </w:p>
        </w:tc>
        <w:tc>
          <w:tcPr>
            <w:tcW w:w="128" w:type="dxa"/>
            <w:tcBorders>
              <w:top w:val="nil"/>
              <w:left w:val="nil"/>
              <w:bottom w:val="nil"/>
              <w:right w:val="nil"/>
            </w:tcBorders>
          </w:tcPr>
          <w:p w14:paraId="03B48E71"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40C94976"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0514077E"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II/5</w:t>
            </w:r>
          </w:p>
        </w:tc>
      </w:tr>
      <w:tr w:rsidR="00BB63DF" w:rsidRPr="00AC341C" w14:paraId="6FD2C281" w14:textId="77777777" w:rsidTr="00AC341C">
        <w:tc>
          <w:tcPr>
            <w:tcW w:w="567" w:type="dxa"/>
            <w:tcBorders>
              <w:top w:val="nil"/>
              <w:left w:val="nil"/>
              <w:bottom w:val="nil"/>
              <w:right w:val="nil"/>
            </w:tcBorders>
          </w:tcPr>
          <w:p w14:paraId="22E89C10"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P3</w:t>
            </w:r>
          </w:p>
        </w:tc>
        <w:tc>
          <w:tcPr>
            <w:tcW w:w="128" w:type="dxa"/>
            <w:tcBorders>
              <w:top w:val="nil"/>
              <w:left w:val="nil"/>
              <w:bottom w:val="nil"/>
              <w:right w:val="nil"/>
            </w:tcBorders>
          </w:tcPr>
          <w:p w14:paraId="50B7E774"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3A373E95"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7468B41D"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II/6</w:t>
            </w:r>
          </w:p>
        </w:tc>
      </w:tr>
      <w:tr w:rsidR="00BB63DF" w:rsidRPr="00AC341C" w14:paraId="3593EBFA" w14:textId="77777777" w:rsidTr="00AC341C">
        <w:tc>
          <w:tcPr>
            <w:tcW w:w="567" w:type="dxa"/>
            <w:tcBorders>
              <w:top w:val="nil"/>
              <w:left w:val="nil"/>
              <w:bottom w:val="nil"/>
              <w:right w:val="nil"/>
            </w:tcBorders>
          </w:tcPr>
          <w:p w14:paraId="037CC661"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P4</w:t>
            </w:r>
          </w:p>
        </w:tc>
        <w:tc>
          <w:tcPr>
            <w:tcW w:w="128" w:type="dxa"/>
            <w:tcBorders>
              <w:top w:val="nil"/>
              <w:left w:val="nil"/>
              <w:bottom w:val="nil"/>
              <w:right w:val="nil"/>
            </w:tcBorders>
          </w:tcPr>
          <w:p w14:paraId="64D31FEC"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127C92C7"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5017A14D"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II/7, II/8, II/9, II/10, II/11, II/21</w:t>
            </w:r>
          </w:p>
        </w:tc>
      </w:tr>
      <w:tr w:rsidR="00BB63DF" w:rsidRPr="00AC341C" w14:paraId="5140C6A0" w14:textId="77777777" w:rsidTr="00AC341C">
        <w:tc>
          <w:tcPr>
            <w:tcW w:w="567" w:type="dxa"/>
            <w:tcBorders>
              <w:top w:val="nil"/>
              <w:left w:val="nil"/>
              <w:bottom w:val="nil"/>
              <w:right w:val="nil"/>
            </w:tcBorders>
          </w:tcPr>
          <w:p w14:paraId="06D0A9F8"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P5</w:t>
            </w:r>
          </w:p>
        </w:tc>
        <w:tc>
          <w:tcPr>
            <w:tcW w:w="128" w:type="dxa"/>
            <w:tcBorders>
              <w:top w:val="nil"/>
              <w:left w:val="nil"/>
              <w:bottom w:val="nil"/>
              <w:right w:val="nil"/>
            </w:tcBorders>
          </w:tcPr>
          <w:p w14:paraId="0E1541E6"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608DCDE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3B1FE27E"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II/12</w:t>
            </w:r>
          </w:p>
        </w:tc>
      </w:tr>
      <w:tr w:rsidR="00BB63DF" w:rsidRPr="00AC341C" w14:paraId="3112BE24" w14:textId="77777777" w:rsidTr="00AC341C">
        <w:tc>
          <w:tcPr>
            <w:tcW w:w="567" w:type="dxa"/>
            <w:tcBorders>
              <w:top w:val="nil"/>
              <w:left w:val="nil"/>
              <w:bottom w:val="nil"/>
              <w:right w:val="nil"/>
            </w:tcBorders>
          </w:tcPr>
          <w:p w14:paraId="3D10D393"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P6</w:t>
            </w:r>
          </w:p>
        </w:tc>
        <w:tc>
          <w:tcPr>
            <w:tcW w:w="128" w:type="dxa"/>
            <w:tcBorders>
              <w:top w:val="nil"/>
              <w:left w:val="nil"/>
              <w:bottom w:val="nil"/>
              <w:right w:val="nil"/>
            </w:tcBorders>
          </w:tcPr>
          <w:p w14:paraId="49917403"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6C1C671C"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NTL sítě</w:t>
            </w:r>
          </w:p>
        </w:tc>
        <w:tc>
          <w:tcPr>
            <w:tcW w:w="4057" w:type="dxa"/>
            <w:tcBorders>
              <w:top w:val="nil"/>
              <w:left w:val="nil"/>
              <w:bottom w:val="nil"/>
              <w:right w:val="nil"/>
            </w:tcBorders>
          </w:tcPr>
          <w:p w14:paraId="18AC9D14"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II/13</w:t>
            </w:r>
          </w:p>
        </w:tc>
      </w:tr>
      <w:tr w:rsidR="00BB63DF" w:rsidRPr="00AC341C" w14:paraId="737FA8FB" w14:textId="77777777" w:rsidTr="00AC341C">
        <w:tc>
          <w:tcPr>
            <w:tcW w:w="567" w:type="dxa"/>
            <w:tcBorders>
              <w:top w:val="nil"/>
              <w:left w:val="nil"/>
              <w:bottom w:val="nil"/>
              <w:right w:val="nil"/>
            </w:tcBorders>
          </w:tcPr>
          <w:p w14:paraId="3715358F"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P7</w:t>
            </w:r>
          </w:p>
        </w:tc>
        <w:tc>
          <w:tcPr>
            <w:tcW w:w="128" w:type="dxa"/>
            <w:tcBorders>
              <w:top w:val="nil"/>
              <w:left w:val="nil"/>
              <w:bottom w:val="nil"/>
              <w:right w:val="nil"/>
            </w:tcBorders>
          </w:tcPr>
          <w:p w14:paraId="43B4778E"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7D5B5CCC"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NTL sítě</w:t>
            </w:r>
          </w:p>
        </w:tc>
        <w:tc>
          <w:tcPr>
            <w:tcW w:w="4057" w:type="dxa"/>
            <w:tcBorders>
              <w:top w:val="nil"/>
              <w:left w:val="nil"/>
              <w:bottom w:val="nil"/>
              <w:right w:val="nil"/>
            </w:tcBorders>
          </w:tcPr>
          <w:p w14:paraId="3503F2A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III/2</w:t>
            </w:r>
          </w:p>
        </w:tc>
      </w:tr>
      <w:tr w:rsidR="00BB63DF" w:rsidRPr="00AC341C" w14:paraId="45C1A95A" w14:textId="77777777" w:rsidTr="00AC341C">
        <w:tc>
          <w:tcPr>
            <w:tcW w:w="567" w:type="dxa"/>
            <w:tcBorders>
              <w:top w:val="nil"/>
              <w:left w:val="nil"/>
              <w:bottom w:val="nil"/>
              <w:right w:val="nil"/>
            </w:tcBorders>
          </w:tcPr>
          <w:p w14:paraId="0382A29E"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P8</w:t>
            </w:r>
          </w:p>
        </w:tc>
        <w:tc>
          <w:tcPr>
            <w:tcW w:w="128" w:type="dxa"/>
            <w:tcBorders>
              <w:top w:val="nil"/>
              <w:left w:val="nil"/>
              <w:bottom w:val="nil"/>
              <w:right w:val="nil"/>
            </w:tcBorders>
          </w:tcPr>
          <w:p w14:paraId="45A53D92"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6F37F063"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NTL sítě</w:t>
            </w:r>
          </w:p>
        </w:tc>
        <w:tc>
          <w:tcPr>
            <w:tcW w:w="4057" w:type="dxa"/>
            <w:tcBorders>
              <w:top w:val="nil"/>
              <w:left w:val="nil"/>
              <w:bottom w:val="nil"/>
              <w:right w:val="nil"/>
            </w:tcBorders>
          </w:tcPr>
          <w:p w14:paraId="500E0AD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III/3</w:t>
            </w:r>
          </w:p>
        </w:tc>
      </w:tr>
      <w:tr w:rsidR="00BB63DF" w:rsidRPr="00AC341C" w14:paraId="71F85EED" w14:textId="77777777" w:rsidTr="00AC341C">
        <w:tc>
          <w:tcPr>
            <w:tcW w:w="567" w:type="dxa"/>
            <w:tcBorders>
              <w:top w:val="nil"/>
              <w:left w:val="nil"/>
              <w:bottom w:val="nil"/>
              <w:right w:val="nil"/>
            </w:tcBorders>
          </w:tcPr>
          <w:p w14:paraId="318AA8BB"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P9</w:t>
            </w:r>
          </w:p>
        </w:tc>
        <w:tc>
          <w:tcPr>
            <w:tcW w:w="128" w:type="dxa"/>
            <w:tcBorders>
              <w:top w:val="nil"/>
              <w:left w:val="nil"/>
              <w:bottom w:val="nil"/>
              <w:right w:val="nil"/>
            </w:tcBorders>
          </w:tcPr>
          <w:p w14:paraId="2F77C8E7"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21631DE3"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NTL sítě</w:t>
            </w:r>
          </w:p>
        </w:tc>
        <w:tc>
          <w:tcPr>
            <w:tcW w:w="4057" w:type="dxa"/>
            <w:tcBorders>
              <w:top w:val="nil"/>
              <w:left w:val="nil"/>
              <w:bottom w:val="nil"/>
              <w:right w:val="nil"/>
            </w:tcBorders>
          </w:tcPr>
          <w:p w14:paraId="727E4A61"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III/4</w:t>
            </w:r>
          </w:p>
        </w:tc>
      </w:tr>
      <w:tr w:rsidR="00BB63DF" w:rsidRPr="00AC341C" w14:paraId="4FA31372" w14:textId="77777777" w:rsidTr="00AC341C">
        <w:tc>
          <w:tcPr>
            <w:tcW w:w="567" w:type="dxa"/>
            <w:tcBorders>
              <w:top w:val="nil"/>
              <w:left w:val="nil"/>
              <w:bottom w:val="nil"/>
              <w:right w:val="nil"/>
            </w:tcBorders>
          </w:tcPr>
          <w:p w14:paraId="605E9552"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P10</w:t>
            </w:r>
          </w:p>
        </w:tc>
        <w:tc>
          <w:tcPr>
            <w:tcW w:w="128" w:type="dxa"/>
            <w:tcBorders>
              <w:top w:val="nil"/>
              <w:left w:val="nil"/>
              <w:bottom w:val="nil"/>
              <w:right w:val="nil"/>
            </w:tcBorders>
          </w:tcPr>
          <w:p w14:paraId="279341EF"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57552AD1"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79586838"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IV/2</w:t>
            </w:r>
          </w:p>
        </w:tc>
      </w:tr>
      <w:tr w:rsidR="00BB63DF" w:rsidRPr="00AC341C" w14:paraId="017C54D5" w14:textId="77777777" w:rsidTr="00AC341C">
        <w:tc>
          <w:tcPr>
            <w:tcW w:w="567" w:type="dxa"/>
            <w:tcBorders>
              <w:top w:val="nil"/>
              <w:left w:val="nil"/>
              <w:bottom w:val="nil"/>
              <w:right w:val="nil"/>
            </w:tcBorders>
          </w:tcPr>
          <w:p w14:paraId="3E2DD3DB"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P11</w:t>
            </w:r>
          </w:p>
        </w:tc>
        <w:tc>
          <w:tcPr>
            <w:tcW w:w="128" w:type="dxa"/>
            <w:tcBorders>
              <w:top w:val="nil"/>
              <w:left w:val="nil"/>
              <w:bottom w:val="nil"/>
              <w:right w:val="nil"/>
            </w:tcBorders>
          </w:tcPr>
          <w:p w14:paraId="7F25516C"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55B18668"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167E2C75"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IV/3</w:t>
            </w:r>
          </w:p>
        </w:tc>
      </w:tr>
      <w:tr w:rsidR="00BB63DF" w:rsidRPr="00AC341C" w14:paraId="3F16A982" w14:textId="77777777" w:rsidTr="00AC341C">
        <w:tc>
          <w:tcPr>
            <w:tcW w:w="567" w:type="dxa"/>
            <w:tcBorders>
              <w:top w:val="nil"/>
              <w:left w:val="nil"/>
              <w:bottom w:val="nil"/>
              <w:right w:val="nil"/>
            </w:tcBorders>
          </w:tcPr>
          <w:p w14:paraId="19CF1811"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P12</w:t>
            </w:r>
          </w:p>
        </w:tc>
        <w:tc>
          <w:tcPr>
            <w:tcW w:w="128" w:type="dxa"/>
            <w:tcBorders>
              <w:top w:val="nil"/>
              <w:left w:val="nil"/>
              <w:bottom w:val="nil"/>
              <w:right w:val="nil"/>
            </w:tcBorders>
          </w:tcPr>
          <w:p w14:paraId="38DB0FDB"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46FC1512"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NTL sítě</w:t>
            </w:r>
          </w:p>
        </w:tc>
        <w:tc>
          <w:tcPr>
            <w:tcW w:w="4057" w:type="dxa"/>
            <w:tcBorders>
              <w:top w:val="nil"/>
              <w:left w:val="nil"/>
              <w:bottom w:val="nil"/>
              <w:right w:val="nil"/>
            </w:tcBorders>
          </w:tcPr>
          <w:p w14:paraId="4FC120DD"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IV/4</w:t>
            </w:r>
          </w:p>
        </w:tc>
      </w:tr>
      <w:tr w:rsidR="00BB63DF" w:rsidRPr="00AC341C" w14:paraId="7F6AECEC" w14:textId="77777777" w:rsidTr="00AC341C">
        <w:tc>
          <w:tcPr>
            <w:tcW w:w="567" w:type="dxa"/>
            <w:tcBorders>
              <w:top w:val="nil"/>
              <w:left w:val="nil"/>
              <w:bottom w:val="nil"/>
              <w:right w:val="nil"/>
            </w:tcBorders>
          </w:tcPr>
          <w:p w14:paraId="6371B74B"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P13</w:t>
            </w:r>
          </w:p>
        </w:tc>
        <w:tc>
          <w:tcPr>
            <w:tcW w:w="128" w:type="dxa"/>
            <w:tcBorders>
              <w:top w:val="nil"/>
              <w:left w:val="nil"/>
              <w:bottom w:val="nil"/>
              <w:right w:val="nil"/>
            </w:tcBorders>
          </w:tcPr>
          <w:p w14:paraId="1C9194A3"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17FFE345"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4EBE8E6E"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IV/5</w:t>
            </w:r>
          </w:p>
        </w:tc>
      </w:tr>
      <w:tr w:rsidR="00BB63DF" w:rsidRPr="00AC341C" w14:paraId="6C230997" w14:textId="77777777" w:rsidTr="00AC341C">
        <w:tc>
          <w:tcPr>
            <w:tcW w:w="567" w:type="dxa"/>
            <w:tcBorders>
              <w:top w:val="nil"/>
              <w:left w:val="nil"/>
              <w:bottom w:val="nil"/>
              <w:right w:val="nil"/>
            </w:tcBorders>
          </w:tcPr>
          <w:p w14:paraId="44100734"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P14</w:t>
            </w:r>
          </w:p>
        </w:tc>
        <w:tc>
          <w:tcPr>
            <w:tcW w:w="128" w:type="dxa"/>
            <w:tcBorders>
              <w:top w:val="nil"/>
              <w:left w:val="nil"/>
              <w:bottom w:val="nil"/>
              <w:right w:val="nil"/>
            </w:tcBorders>
          </w:tcPr>
          <w:p w14:paraId="35F13E44"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02EE9185"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1551547D"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IV/6</w:t>
            </w:r>
          </w:p>
        </w:tc>
      </w:tr>
      <w:tr w:rsidR="00BB63DF" w:rsidRPr="00AC341C" w14:paraId="014AFC18" w14:textId="77777777" w:rsidTr="00AC341C">
        <w:tc>
          <w:tcPr>
            <w:tcW w:w="567" w:type="dxa"/>
            <w:tcBorders>
              <w:top w:val="nil"/>
              <w:left w:val="nil"/>
              <w:bottom w:val="nil"/>
              <w:right w:val="nil"/>
            </w:tcBorders>
          </w:tcPr>
          <w:p w14:paraId="1733CFF5"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P15</w:t>
            </w:r>
          </w:p>
        </w:tc>
        <w:tc>
          <w:tcPr>
            <w:tcW w:w="128" w:type="dxa"/>
            <w:tcBorders>
              <w:top w:val="nil"/>
              <w:left w:val="nil"/>
              <w:bottom w:val="nil"/>
              <w:right w:val="nil"/>
            </w:tcBorders>
          </w:tcPr>
          <w:p w14:paraId="39BDA546"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3B7A3BE8"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5B590613"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IV/7</w:t>
            </w:r>
          </w:p>
        </w:tc>
      </w:tr>
      <w:tr w:rsidR="00BB63DF" w:rsidRPr="00AC341C" w14:paraId="64E4DFE7" w14:textId="77777777" w:rsidTr="00AC341C">
        <w:tc>
          <w:tcPr>
            <w:tcW w:w="567" w:type="dxa"/>
            <w:tcBorders>
              <w:top w:val="nil"/>
              <w:left w:val="nil"/>
              <w:bottom w:val="nil"/>
              <w:right w:val="nil"/>
            </w:tcBorders>
          </w:tcPr>
          <w:p w14:paraId="34B5DB7E"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P16</w:t>
            </w:r>
          </w:p>
        </w:tc>
        <w:tc>
          <w:tcPr>
            <w:tcW w:w="128" w:type="dxa"/>
            <w:tcBorders>
              <w:top w:val="nil"/>
              <w:left w:val="nil"/>
              <w:bottom w:val="nil"/>
              <w:right w:val="nil"/>
            </w:tcBorders>
          </w:tcPr>
          <w:p w14:paraId="3FB24226"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34A074D3"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0AAE89B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IV/8</w:t>
            </w:r>
          </w:p>
        </w:tc>
      </w:tr>
      <w:tr w:rsidR="00BB63DF" w:rsidRPr="00AC341C" w14:paraId="1E2449C9" w14:textId="77777777" w:rsidTr="00AC341C">
        <w:tc>
          <w:tcPr>
            <w:tcW w:w="567" w:type="dxa"/>
            <w:tcBorders>
              <w:top w:val="nil"/>
              <w:left w:val="nil"/>
              <w:bottom w:val="nil"/>
              <w:right w:val="nil"/>
            </w:tcBorders>
          </w:tcPr>
          <w:p w14:paraId="3B6E9F3F"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P17</w:t>
            </w:r>
          </w:p>
        </w:tc>
        <w:tc>
          <w:tcPr>
            <w:tcW w:w="128" w:type="dxa"/>
            <w:tcBorders>
              <w:top w:val="nil"/>
              <w:left w:val="nil"/>
              <w:bottom w:val="nil"/>
              <w:right w:val="nil"/>
            </w:tcBorders>
          </w:tcPr>
          <w:p w14:paraId="1DE0172B"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38E599F3"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5B4FC423"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IV/9</w:t>
            </w:r>
          </w:p>
        </w:tc>
      </w:tr>
      <w:tr w:rsidR="00BB63DF" w:rsidRPr="00AC341C" w14:paraId="0CEB70EE" w14:textId="77777777" w:rsidTr="00AC341C">
        <w:tc>
          <w:tcPr>
            <w:tcW w:w="567" w:type="dxa"/>
            <w:tcBorders>
              <w:top w:val="nil"/>
              <w:left w:val="nil"/>
              <w:bottom w:val="nil"/>
              <w:right w:val="nil"/>
            </w:tcBorders>
          </w:tcPr>
          <w:p w14:paraId="712F5A0A"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P18</w:t>
            </w:r>
          </w:p>
        </w:tc>
        <w:tc>
          <w:tcPr>
            <w:tcW w:w="128" w:type="dxa"/>
            <w:tcBorders>
              <w:top w:val="nil"/>
              <w:left w:val="nil"/>
              <w:bottom w:val="nil"/>
              <w:right w:val="nil"/>
            </w:tcBorders>
          </w:tcPr>
          <w:p w14:paraId="409E3069"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0FB412E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0A44CFFA"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severní část Bynova</w:t>
            </w:r>
          </w:p>
        </w:tc>
      </w:tr>
      <w:tr w:rsidR="00BB63DF" w:rsidRPr="00AC341C" w14:paraId="7A159DD9" w14:textId="77777777" w:rsidTr="00AC341C">
        <w:tc>
          <w:tcPr>
            <w:tcW w:w="567" w:type="dxa"/>
            <w:tcBorders>
              <w:top w:val="nil"/>
              <w:left w:val="nil"/>
              <w:bottom w:val="nil"/>
              <w:right w:val="nil"/>
            </w:tcBorders>
          </w:tcPr>
          <w:p w14:paraId="3F581C66"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P19</w:t>
            </w:r>
          </w:p>
        </w:tc>
        <w:tc>
          <w:tcPr>
            <w:tcW w:w="128" w:type="dxa"/>
            <w:tcBorders>
              <w:top w:val="nil"/>
              <w:left w:val="nil"/>
              <w:bottom w:val="nil"/>
              <w:right w:val="nil"/>
            </w:tcBorders>
          </w:tcPr>
          <w:p w14:paraId="324648E7"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4D678335"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NTL sítě</w:t>
            </w:r>
          </w:p>
        </w:tc>
        <w:tc>
          <w:tcPr>
            <w:tcW w:w="4057" w:type="dxa"/>
            <w:tcBorders>
              <w:top w:val="nil"/>
              <w:left w:val="nil"/>
              <w:bottom w:val="nil"/>
              <w:right w:val="nil"/>
            </w:tcBorders>
          </w:tcPr>
          <w:p w14:paraId="1721786D"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VI/2</w:t>
            </w:r>
          </w:p>
        </w:tc>
      </w:tr>
      <w:tr w:rsidR="00BB63DF" w:rsidRPr="00AC341C" w14:paraId="6DB51AD1" w14:textId="77777777" w:rsidTr="00AC341C">
        <w:tc>
          <w:tcPr>
            <w:tcW w:w="567" w:type="dxa"/>
            <w:tcBorders>
              <w:top w:val="nil"/>
              <w:left w:val="nil"/>
              <w:bottom w:val="nil"/>
              <w:right w:val="nil"/>
            </w:tcBorders>
          </w:tcPr>
          <w:p w14:paraId="2A558D23"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P20</w:t>
            </w:r>
          </w:p>
        </w:tc>
        <w:tc>
          <w:tcPr>
            <w:tcW w:w="128" w:type="dxa"/>
            <w:tcBorders>
              <w:top w:val="nil"/>
              <w:left w:val="nil"/>
              <w:bottom w:val="nil"/>
              <w:right w:val="nil"/>
            </w:tcBorders>
          </w:tcPr>
          <w:p w14:paraId="2F144292"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374AA02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NTL sítě</w:t>
            </w:r>
          </w:p>
        </w:tc>
        <w:tc>
          <w:tcPr>
            <w:tcW w:w="4057" w:type="dxa"/>
            <w:tcBorders>
              <w:top w:val="nil"/>
              <w:left w:val="nil"/>
              <w:bottom w:val="nil"/>
              <w:right w:val="nil"/>
            </w:tcBorders>
          </w:tcPr>
          <w:p w14:paraId="44EDB13C"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VI/18</w:t>
            </w:r>
          </w:p>
        </w:tc>
      </w:tr>
      <w:tr w:rsidR="00BB63DF" w:rsidRPr="00AC341C" w14:paraId="35B8A75E" w14:textId="77777777" w:rsidTr="00AC341C">
        <w:tc>
          <w:tcPr>
            <w:tcW w:w="567" w:type="dxa"/>
            <w:tcBorders>
              <w:top w:val="nil"/>
              <w:left w:val="nil"/>
              <w:bottom w:val="nil"/>
              <w:right w:val="nil"/>
            </w:tcBorders>
          </w:tcPr>
          <w:p w14:paraId="57D2C3D4"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P21</w:t>
            </w:r>
          </w:p>
        </w:tc>
        <w:tc>
          <w:tcPr>
            <w:tcW w:w="128" w:type="dxa"/>
            <w:tcBorders>
              <w:top w:val="nil"/>
              <w:left w:val="nil"/>
              <w:bottom w:val="nil"/>
              <w:right w:val="nil"/>
            </w:tcBorders>
          </w:tcPr>
          <w:p w14:paraId="4BAF7841"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25A52018"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4ACD0153"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VI/3, VI/8</w:t>
            </w:r>
          </w:p>
        </w:tc>
      </w:tr>
      <w:tr w:rsidR="00BB63DF" w:rsidRPr="00AC341C" w14:paraId="1C9464B0" w14:textId="77777777" w:rsidTr="00AC341C">
        <w:tc>
          <w:tcPr>
            <w:tcW w:w="567" w:type="dxa"/>
            <w:tcBorders>
              <w:top w:val="nil"/>
              <w:left w:val="nil"/>
              <w:bottom w:val="nil"/>
              <w:right w:val="nil"/>
            </w:tcBorders>
          </w:tcPr>
          <w:p w14:paraId="07F98F4D"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P22</w:t>
            </w:r>
          </w:p>
        </w:tc>
        <w:tc>
          <w:tcPr>
            <w:tcW w:w="128" w:type="dxa"/>
            <w:tcBorders>
              <w:top w:val="nil"/>
              <w:left w:val="nil"/>
              <w:bottom w:val="nil"/>
              <w:right w:val="nil"/>
            </w:tcBorders>
          </w:tcPr>
          <w:p w14:paraId="0BFB41C3"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41167F93"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STL sítě</w:t>
            </w:r>
          </w:p>
        </w:tc>
        <w:tc>
          <w:tcPr>
            <w:tcW w:w="4057" w:type="dxa"/>
            <w:tcBorders>
              <w:top w:val="nil"/>
              <w:left w:val="nil"/>
              <w:bottom w:val="nil"/>
              <w:right w:val="nil"/>
            </w:tcBorders>
          </w:tcPr>
          <w:p w14:paraId="17290AEA"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VI/32</w:t>
            </w:r>
          </w:p>
        </w:tc>
      </w:tr>
      <w:tr w:rsidR="00BB63DF" w:rsidRPr="00AC341C" w14:paraId="28B3A00C" w14:textId="77777777" w:rsidTr="00AC341C">
        <w:tc>
          <w:tcPr>
            <w:tcW w:w="567" w:type="dxa"/>
            <w:tcBorders>
              <w:top w:val="nil"/>
              <w:left w:val="nil"/>
              <w:bottom w:val="nil"/>
              <w:right w:val="nil"/>
            </w:tcBorders>
          </w:tcPr>
          <w:p w14:paraId="03E777D4"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lastRenderedPageBreak/>
              <w:t>P23</w:t>
            </w:r>
          </w:p>
        </w:tc>
        <w:tc>
          <w:tcPr>
            <w:tcW w:w="128" w:type="dxa"/>
            <w:tcBorders>
              <w:top w:val="nil"/>
              <w:left w:val="nil"/>
              <w:bottom w:val="nil"/>
              <w:right w:val="nil"/>
            </w:tcBorders>
          </w:tcPr>
          <w:p w14:paraId="61ECA2DB"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4E309728"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plošná plynofikace</w:t>
            </w:r>
          </w:p>
        </w:tc>
        <w:tc>
          <w:tcPr>
            <w:tcW w:w="4057" w:type="dxa"/>
            <w:tcBorders>
              <w:top w:val="nil"/>
              <w:left w:val="nil"/>
              <w:bottom w:val="nil"/>
              <w:right w:val="nil"/>
            </w:tcBorders>
          </w:tcPr>
          <w:p w14:paraId="3923AD14"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Křešice, VII/24</w:t>
            </w:r>
          </w:p>
        </w:tc>
      </w:tr>
      <w:tr w:rsidR="00BB63DF" w:rsidRPr="00AC341C" w14:paraId="4398AFB3" w14:textId="77777777" w:rsidTr="00AC341C">
        <w:tc>
          <w:tcPr>
            <w:tcW w:w="567" w:type="dxa"/>
            <w:tcBorders>
              <w:top w:val="nil"/>
              <w:left w:val="nil"/>
              <w:bottom w:val="nil"/>
              <w:right w:val="nil"/>
            </w:tcBorders>
          </w:tcPr>
          <w:p w14:paraId="0E0FC6A7"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P24</w:t>
            </w:r>
          </w:p>
        </w:tc>
        <w:tc>
          <w:tcPr>
            <w:tcW w:w="128" w:type="dxa"/>
            <w:tcBorders>
              <w:top w:val="nil"/>
              <w:left w:val="nil"/>
              <w:bottom w:val="nil"/>
              <w:right w:val="nil"/>
            </w:tcBorders>
          </w:tcPr>
          <w:p w14:paraId="0E44A36D"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7A3E4D42"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plošná plynofikace</w:t>
            </w:r>
          </w:p>
        </w:tc>
        <w:tc>
          <w:tcPr>
            <w:tcW w:w="4057" w:type="dxa"/>
            <w:tcBorders>
              <w:top w:val="nil"/>
              <w:left w:val="nil"/>
              <w:bottom w:val="nil"/>
              <w:right w:val="nil"/>
            </w:tcBorders>
          </w:tcPr>
          <w:p w14:paraId="4326D3D0"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Nebočady, VII/21</w:t>
            </w:r>
          </w:p>
        </w:tc>
      </w:tr>
      <w:tr w:rsidR="00BB63DF" w:rsidRPr="00AC341C" w14:paraId="56E4B451" w14:textId="77777777" w:rsidTr="00AC341C">
        <w:tc>
          <w:tcPr>
            <w:tcW w:w="567" w:type="dxa"/>
            <w:tcBorders>
              <w:top w:val="nil"/>
              <w:left w:val="nil"/>
              <w:bottom w:val="nil"/>
              <w:right w:val="nil"/>
            </w:tcBorders>
          </w:tcPr>
          <w:p w14:paraId="53993766"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P25</w:t>
            </w:r>
          </w:p>
        </w:tc>
        <w:tc>
          <w:tcPr>
            <w:tcW w:w="128" w:type="dxa"/>
            <w:tcBorders>
              <w:top w:val="nil"/>
              <w:left w:val="nil"/>
              <w:bottom w:val="nil"/>
              <w:right w:val="nil"/>
            </w:tcBorders>
          </w:tcPr>
          <w:p w14:paraId="37EF27EF"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6CDBDA88"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rozšíření NTL sítě</w:t>
            </w:r>
          </w:p>
        </w:tc>
        <w:tc>
          <w:tcPr>
            <w:tcW w:w="4057" w:type="dxa"/>
            <w:tcBorders>
              <w:top w:val="nil"/>
              <w:left w:val="nil"/>
              <w:bottom w:val="nil"/>
              <w:right w:val="nil"/>
            </w:tcBorders>
          </w:tcPr>
          <w:p w14:paraId="495B8406"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VII/5, VII/6</w:t>
            </w:r>
          </w:p>
        </w:tc>
      </w:tr>
      <w:tr w:rsidR="00BB63DF" w:rsidRPr="00AC341C" w14:paraId="05495543" w14:textId="77777777" w:rsidTr="00AC341C">
        <w:tc>
          <w:tcPr>
            <w:tcW w:w="567" w:type="dxa"/>
            <w:tcBorders>
              <w:top w:val="nil"/>
              <w:left w:val="nil"/>
              <w:bottom w:val="nil"/>
              <w:right w:val="nil"/>
            </w:tcBorders>
          </w:tcPr>
          <w:p w14:paraId="1EE674F9" w14:textId="77777777" w:rsidR="00BB63DF" w:rsidRPr="00AC341C" w:rsidRDefault="00BB63DF" w:rsidP="00AC341C">
            <w:pPr>
              <w:pStyle w:val="Texttabulky"/>
              <w:spacing w:before="120" w:after="0" w:line="288" w:lineRule="auto"/>
              <w:rPr>
                <w:rFonts w:cs="Arial"/>
                <w:sz w:val="22"/>
                <w:szCs w:val="22"/>
              </w:rPr>
            </w:pPr>
            <w:r w:rsidRPr="00AC341C">
              <w:rPr>
                <w:rFonts w:cs="Arial"/>
                <w:b/>
                <w:bCs/>
                <w:sz w:val="22"/>
                <w:szCs w:val="22"/>
              </w:rPr>
              <w:t>P26</w:t>
            </w:r>
          </w:p>
        </w:tc>
        <w:tc>
          <w:tcPr>
            <w:tcW w:w="128" w:type="dxa"/>
            <w:tcBorders>
              <w:top w:val="nil"/>
              <w:left w:val="nil"/>
              <w:bottom w:val="nil"/>
              <w:right w:val="nil"/>
            </w:tcBorders>
          </w:tcPr>
          <w:p w14:paraId="0A223D5E" w14:textId="77777777" w:rsidR="00BB63DF" w:rsidRPr="00AC341C" w:rsidRDefault="00BB63DF" w:rsidP="00AC341C">
            <w:pPr>
              <w:pStyle w:val="Zkladntext"/>
              <w:spacing w:before="120" w:after="0" w:line="288" w:lineRule="auto"/>
              <w:jc w:val="both"/>
              <w:rPr>
                <w:rFonts w:ascii="Arial" w:hAnsi="Arial" w:cs="Arial"/>
                <w:sz w:val="22"/>
                <w:szCs w:val="22"/>
              </w:rPr>
            </w:pPr>
          </w:p>
        </w:tc>
        <w:tc>
          <w:tcPr>
            <w:tcW w:w="5259" w:type="dxa"/>
            <w:tcBorders>
              <w:top w:val="nil"/>
              <w:left w:val="nil"/>
              <w:bottom w:val="nil"/>
              <w:right w:val="nil"/>
            </w:tcBorders>
          </w:tcPr>
          <w:p w14:paraId="5E98E882"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plošná plynofikace</w:t>
            </w:r>
          </w:p>
        </w:tc>
        <w:tc>
          <w:tcPr>
            <w:tcW w:w="4057" w:type="dxa"/>
            <w:tcBorders>
              <w:top w:val="nil"/>
              <w:left w:val="nil"/>
              <w:bottom w:val="nil"/>
              <w:right w:val="nil"/>
            </w:tcBorders>
          </w:tcPr>
          <w:p w14:paraId="2B1CA742" w14:textId="77777777" w:rsidR="00BB63DF" w:rsidRPr="00AC341C" w:rsidRDefault="00BB63DF" w:rsidP="00AC341C">
            <w:pPr>
              <w:pStyle w:val="Texttabulky"/>
              <w:spacing w:before="120" w:after="0" w:line="288" w:lineRule="auto"/>
              <w:rPr>
                <w:rFonts w:cs="Arial"/>
                <w:sz w:val="22"/>
                <w:szCs w:val="22"/>
              </w:rPr>
            </w:pPr>
            <w:r w:rsidRPr="00AC341C">
              <w:rPr>
                <w:rFonts w:cs="Arial"/>
                <w:sz w:val="22"/>
                <w:szCs w:val="22"/>
              </w:rPr>
              <w:t>Vilsnice</w:t>
            </w:r>
          </w:p>
        </w:tc>
      </w:tr>
      <w:tr w:rsidR="00BB63DF" w:rsidRPr="00AC341C" w14:paraId="1DF4CAC3" w14:textId="77777777" w:rsidTr="00AC341C">
        <w:trPr>
          <w:cantSplit/>
        </w:trPr>
        <w:tc>
          <w:tcPr>
            <w:tcW w:w="10011" w:type="dxa"/>
            <w:gridSpan w:val="4"/>
            <w:tcBorders>
              <w:top w:val="nil"/>
              <w:left w:val="nil"/>
              <w:bottom w:val="nil"/>
            </w:tcBorders>
          </w:tcPr>
          <w:p w14:paraId="6958AD59" w14:textId="77777777" w:rsidR="00BB63DF" w:rsidRPr="00AC341C" w:rsidRDefault="00BB63DF" w:rsidP="00BB63DF">
            <w:pPr>
              <w:pStyle w:val="podnadpis2"/>
              <w:spacing w:before="120" w:after="0" w:line="288" w:lineRule="auto"/>
              <w:jc w:val="both"/>
              <w:rPr>
                <w:rFonts w:cs="Arial"/>
                <w:sz w:val="28"/>
                <w:szCs w:val="28"/>
              </w:rPr>
            </w:pPr>
          </w:p>
          <w:p w14:paraId="09FF3083" w14:textId="77777777" w:rsidR="00BB63DF" w:rsidRPr="00AC341C" w:rsidRDefault="00BB63DF" w:rsidP="00BB63DF">
            <w:pPr>
              <w:pStyle w:val="podnadpis2"/>
              <w:spacing w:before="120" w:after="0" w:line="288" w:lineRule="auto"/>
              <w:jc w:val="both"/>
              <w:rPr>
                <w:rFonts w:cs="Arial"/>
                <w:sz w:val="28"/>
                <w:szCs w:val="28"/>
              </w:rPr>
            </w:pPr>
            <w:r w:rsidRPr="00AC341C">
              <w:rPr>
                <w:rFonts w:cs="Arial"/>
                <w:sz w:val="28"/>
                <w:szCs w:val="28"/>
              </w:rPr>
              <w:t>spoje</w:t>
            </w:r>
          </w:p>
        </w:tc>
      </w:tr>
      <w:tr w:rsidR="00BB63DF" w:rsidRPr="00AC341C" w14:paraId="4AD2F89F" w14:textId="77777777" w:rsidTr="00AC341C">
        <w:trPr>
          <w:cantSplit/>
        </w:trPr>
        <w:tc>
          <w:tcPr>
            <w:tcW w:w="567" w:type="dxa"/>
            <w:tcBorders>
              <w:top w:val="nil"/>
              <w:left w:val="nil"/>
              <w:bottom w:val="nil"/>
              <w:right w:val="nil"/>
            </w:tcBorders>
          </w:tcPr>
          <w:p w14:paraId="53136505" w14:textId="77777777" w:rsidR="00BB63DF" w:rsidRPr="00AC341C" w:rsidRDefault="00BB63DF" w:rsidP="00BB63DF">
            <w:pPr>
              <w:pStyle w:val="Texttabulky"/>
              <w:spacing w:before="120" w:line="288" w:lineRule="auto"/>
              <w:rPr>
                <w:rFonts w:cs="Arial"/>
                <w:sz w:val="22"/>
                <w:szCs w:val="22"/>
              </w:rPr>
            </w:pPr>
            <w:r w:rsidRPr="00AC341C">
              <w:rPr>
                <w:rFonts w:cs="Arial"/>
                <w:b/>
                <w:bCs/>
                <w:caps/>
                <w:sz w:val="22"/>
                <w:szCs w:val="22"/>
              </w:rPr>
              <w:t>S</w:t>
            </w:r>
          </w:p>
        </w:tc>
        <w:tc>
          <w:tcPr>
            <w:tcW w:w="128" w:type="dxa"/>
            <w:tcBorders>
              <w:top w:val="nil"/>
              <w:left w:val="nil"/>
              <w:bottom w:val="nil"/>
              <w:right w:val="nil"/>
            </w:tcBorders>
          </w:tcPr>
          <w:p w14:paraId="2A1743EA" w14:textId="77777777" w:rsidR="00BB63DF" w:rsidRPr="00AC341C" w:rsidRDefault="00BB63DF" w:rsidP="00BB63DF">
            <w:pPr>
              <w:pStyle w:val="Zkladntext"/>
              <w:spacing w:before="120" w:line="288" w:lineRule="auto"/>
              <w:jc w:val="both"/>
              <w:rPr>
                <w:rFonts w:ascii="Arial" w:hAnsi="Arial" w:cs="Arial"/>
                <w:sz w:val="22"/>
                <w:szCs w:val="22"/>
              </w:rPr>
            </w:pPr>
          </w:p>
        </w:tc>
        <w:tc>
          <w:tcPr>
            <w:tcW w:w="9316" w:type="dxa"/>
            <w:gridSpan w:val="2"/>
            <w:tcBorders>
              <w:top w:val="nil"/>
              <w:left w:val="nil"/>
              <w:bottom w:val="nil"/>
              <w:right w:val="nil"/>
            </w:tcBorders>
          </w:tcPr>
          <w:p w14:paraId="59952C57" w14:textId="77777777" w:rsidR="00BB63DF" w:rsidRPr="00AC341C" w:rsidRDefault="00BB63DF" w:rsidP="00BB63DF">
            <w:pPr>
              <w:pStyle w:val="Zkladntext"/>
              <w:spacing w:before="120" w:line="288" w:lineRule="auto"/>
              <w:jc w:val="both"/>
              <w:rPr>
                <w:rFonts w:ascii="Arial" w:hAnsi="Arial" w:cs="Arial"/>
                <w:sz w:val="22"/>
                <w:szCs w:val="22"/>
              </w:rPr>
            </w:pPr>
            <w:r w:rsidRPr="00AC341C">
              <w:rPr>
                <w:rFonts w:ascii="Arial" w:hAnsi="Arial" w:cs="Arial"/>
                <w:sz w:val="22"/>
                <w:szCs w:val="22"/>
              </w:rPr>
              <w:t>Územní plán neřeší detailně rozvoj místní sítě, v grafické části jsou zakresleny dálkové kabely a telekomunikační uzly (ústředny). Napojení jednotlivých rozvojových ploch na místní síť bude řešeno v zastavovacích studiích rozvojových ploch a konkretizované trasy připojovacích kabelů mohou být prohlášeny za stavbu veřejně prospěšnou.</w:t>
            </w:r>
          </w:p>
        </w:tc>
      </w:tr>
    </w:tbl>
    <w:p w14:paraId="1A98BEA3" w14:textId="77777777" w:rsidR="00BB63DF" w:rsidRPr="000C43F1" w:rsidRDefault="00BB63DF" w:rsidP="00BB63DF">
      <w:pPr>
        <w:autoSpaceDE w:val="0"/>
        <w:autoSpaceDN w:val="0"/>
        <w:adjustRightInd w:val="0"/>
        <w:spacing w:before="120" w:line="288" w:lineRule="auto"/>
        <w:jc w:val="both"/>
        <w:rPr>
          <w:rFonts w:ascii="Arial" w:hAnsi="Arial" w:cs="Arial"/>
          <w:sz w:val="22"/>
          <w:szCs w:val="22"/>
        </w:rPr>
      </w:pPr>
    </w:p>
    <w:p w14:paraId="70D622A4" w14:textId="77777777" w:rsidR="00BB63DF" w:rsidRPr="00185932" w:rsidRDefault="00BB63DF" w:rsidP="00BB63DF">
      <w:pPr>
        <w:tabs>
          <w:tab w:val="decimal" w:pos="72"/>
          <w:tab w:val="decimal" w:pos="144"/>
          <w:tab w:val="right" w:pos="2679"/>
        </w:tabs>
        <w:spacing w:before="120" w:line="288" w:lineRule="auto"/>
        <w:ind w:left="72"/>
        <w:jc w:val="both"/>
        <w:rPr>
          <w:rFonts w:ascii="Arial" w:hAnsi="Arial" w:cs="Arial"/>
          <w:b/>
          <w:color w:val="00B050"/>
          <w:spacing w:val="3"/>
        </w:rPr>
      </w:pPr>
      <w:r w:rsidRPr="00185932">
        <w:rPr>
          <w:rFonts w:ascii="Arial" w:hAnsi="Arial" w:cs="Arial"/>
          <w:b/>
          <w:color w:val="00B050"/>
          <w:spacing w:val="3"/>
        </w:rPr>
        <w:t>(Z1) VYMEZENÍ PLOCH VEŘEJNÉ PROSPĚŠNÝCH STAVEB, ASANACÍ A</w:t>
      </w:r>
      <w:r>
        <w:rPr>
          <w:rFonts w:ascii="Arial" w:hAnsi="Arial" w:cs="Arial"/>
          <w:b/>
          <w:color w:val="00B050"/>
          <w:spacing w:val="3"/>
        </w:rPr>
        <w:t> </w:t>
      </w:r>
      <w:r w:rsidRPr="00185932">
        <w:rPr>
          <w:rFonts w:ascii="Arial" w:hAnsi="Arial" w:cs="Arial"/>
          <w:b/>
          <w:color w:val="00B050"/>
          <w:spacing w:val="3"/>
        </w:rPr>
        <w:t>ASANAČNÍCH ÚPRAV</w:t>
      </w:r>
    </w:p>
    <w:p w14:paraId="61FBECF4" w14:textId="77777777" w:rsidR="00BB63DF" w:rsidRPr="000C43F1" w:rsidRDefault="00BB63DF" w:rsidP="00BB63DF">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0C43F1">
        <w:rPr>
          <w:rFonts w:ascii="Arial" w:hAnsi="Arial" w:cs="Arial"/>
          <w:b/>
          <w:color w:val="00B050"/>
          <w:spacing w:val="3"/>
          <w:sz w:val="22"/>
          <w:szCs w:val="22"/>
        </w:rPr>
        <w:t>Dopravní část</w:t>
      </w:r>
    </w:p>
    <w:p w14:paraId="18BE44C1" w14:textId="77777777" w:rsidR="00BB63DF" w:rsidRPr="000C43F1" w:rsidRDefault="00BB63DF" w:rsidP="00BB63DF">
      <w:pPr>
        <w:spacing w:line="288" w:lineRule="auto"/>
        <w:jc w:val="both"/>
        <w:rPr>
          <w:rFonts w:ascii="Arial" w:hAnsi="Arial" w:cs="Arial"/>
          <w:color w:val="00B050"/>
          <w:spacing w:val="3"/>
          <w:sz w:val="22"/>
          <w:szCs w:val="22"/>
        </w:rPr>
      </w:pPr>
      <w:r w:rsidRPr="000C43F1">
        <w:rPr>
          <w:rFonts w:ascii="Arial" w:hAnsi="Arial" w:cs="Arial"/>
          <w:color w:val="00B050"/>
          <w:spacing w:val="3"/>
          <w:sz w:val="22"/>
          <w:szCs w:val="22"/>
        </w:rPr>
        <w:t>D83</w:t>
      </w:r>
      <w:r>
        <w:rPr>
          <w:rFonts w:ascii="Arial" w:hAnsi="Arial" w:cs="Arial"/>
          <w:color w:val="00B050"/>
          <w:spacing w:val="3"/>
          <w:sz w:val="22"/>
          <w:szCs w:val="22"/>
        </w:rPr>
        <w:tab/>
      </w:r>
      <w:r w:rsidRPr="000C43F1">
        <w:rPr>
          <w:rFonts w:ascii="Arial" w:hAnsi="Arial" w:cs="Arial"/>
          <w:color w:val="00B050"/>
          <w:spacing w:val="3"/>
          <w:sz w:val="22"/>
          <w:szCs w:val="22"/>
        </w:rPr>
        <w:t xml:space="preserve">Rozšíření stávající komunikace k lokalitě č. 2. </w:t>
      </w:r>
    </w:p>
    <w:p w14:paraId="56605A1B" w14:textId="77777777" w:rsidR="00BB63DF" w:rsidRPr="000C43F1" w:rsidRDefault="00BB63DF" w:rsidP="00BB63DF">
      <w:pPr>
        <w:spacing w:line="288" w:lineRule="auto"/>
        <w:jc w:val="both"/>
        <w:rPr>
          <w:rFonts w:ascii="Arial" w:hAnsi="Arial" w:cs="Arial"/>
          <w:color w:val="00B050"/>
          <w:spacing w:val="3"/>
          <w:sz w:val="22"/>
          <w:szCs w:val="22"/>
        </w:rPr>
      </w:pPr>
      <w:r w:rsidRPr="000C43F1">
        <w:rPr>
          <w:rFonts w:ascii="Arial" w:hAnsi="Arial" w:cs="Arial"/>
          <w:color w:val="00B050"/>
          <w:spacing w:val="3"/>
          <w:sz w:val="22"/>
          <w:szCs w:val="22"/>
        </w:rPr>
        <w:t>D84</w:t>
      </w:r>
      <w:r>
        <w:rPr>
          <w:rFonts w:ascii="Arial" w:hAnsi="Arial" w:cs="Arial"/>
          <w:color w:val="00B050"/>
          <w:spacing w:val="3"/>
          <w:sz w:val="22"/>
          <w:szCs w:val="22"/>
        </w:rPr>
        <w:tab/>
      </w:r>
      <w:r w:rsidRPr="000C43F1">
        <w:rPr>
          <w:rFonts w:ascii="Arial" w:hAnsi="Arial" w:cs="Arial"/>
          <w:color w:val="00B050"/>
          <w:spacing w:val="3"/>
          <w:sz w:val="22"/>
          <w:szCs w:val="22"/>
        </w:rPr>
        <w:t>Rozšíření stávající komunikace k lokalitě č. 3.</w:t>
      </w:r>
    </w:p>
    <w:p w14:paraId="496DAE47" w14:textId="77777777" w:rsidR="00BB63DF" w:rsidRPr="000C43F1" w:rsidRDefault="00BB63DF" w:rsidP="00BB63DF">
      <w:pPr>
        <w:spacing w:line="288" w:lineRule="auto"/>
        <w:jc w:val="both"/>
        <w:rPr>
          <w:rFonts w:ascii="Arial" w:hAnsi="Arial" w:cs="Arial"/>
          <w:color w:val="00B050"/>
          <w:spacing w:val="3"/>
          <w:sz w:val="22"/>
          <w:szCs w:val="22"/>
        </w:rPr>
      </w:pPr>
      <w:r w:rsidRPr="000C43F1">
        <w:rPr>
          <w:rFonts w:ascii="Arial" w:hAnsi="Arial" w:cs="Arial"/>
          <w:color w:val="00B050"/>
          <w:spacing w:val="3"/>
          <w:sz w:val="22"/>
          <w:szCs w:val="22"/>
        </w:rPr>
        <w:t>D85</w:t>
      </w:r>
      <w:r>
        <w:rPr>
          <w:rFonts w:ascii="Arial" w:hAnsi="Arial" w:cs="Arial"/>
          <w:color w:val="00B050"/>
          <w:spacing w:val="3"/>
          <w:sz w:val="22"/>
          <w:szCs w:val="22"/>
        </w:rPr>
        <w:tab/>
      </w:r>
      <w:r w:rsidRPr="000C43F1">
        <w:rPr>
          <w:rFonts w:ascii="Arial" w:hAnsi="Arial" w:cs="Arial"/>
          <w:color w:val="00B050"/>
          <w:spacing w:val="3"/>
          <w:sz w:val="22"/>
          <w:szCs w:val="22"/>
        </w:rPr>
        <w:t xml:space="preserve">Rozšíření stávající komunikace </w:t>
      </w:r>
      <w:r>
        <w:rPr>
          <w:rFonts w:ascii="Arial" w:hAnsi="Arial" w:cs="Arial"/>
          <w:color w:val="00B050"/>
          <w:spacing w:val="3"/>
          <w:sz w:val="22"/>
          <w:szCs w:val="22"/>
        </w:rPr>
        <w:t>(</w:t>
      </w:r>
      <w:r w:rsidRPr="000C43F1">
        <w:rPr>
          <w:rFonts w:ascii="Arial" w:hAnsi="Arial" w:cs="Arial"/>
          <w:color w:val="00B050"/>
          <w:spacing w:val="3"/>
          <w:sz w:val="22"/>
          <w:szCs w:val="22"/>
        </w:rPr>
        <w:t>u zahrádek</w:t>
      </w:r>
      <w:r>
        <w:rPr>
          <w:rFonts w:ascii="Arial" w:hAnsi="Arial" w:cs="Arial"/>
          <w:color w:val="00B050"/>
          <w:spacing w:val="3"/>
          <w:sz w:val="22"/>
          <w:szCs w:val="22"/>
        </w:rPr>
        <w:t>)</w:t>
      </w:r>
      <w:r w:rsidRPr="000C43F1">
        <w:rPr>
          <w:rFonts w:ascii="Arial" w:hAnsi="Arial" w:cs="Arial"/>
          <w:color w:val="00B050"/>
          <w:spacing w:val="3"/>
          <w:sz w:val="22"/>
          <w:szCs w:val="22"/>
        </w:rPr>
        <w:t xml:space="preserve"> k lokalitě č. 4.</w:t>
      </w:r>
    </w:p>
    <w:p w14:paraId="0FC3A5EC" w14:textId="77777777" w:rsidR="00BB63DF" w:rsidRPr="000C43F1" w:rsidRDefault="00BB63DF" w:rsidP="00BB63DF">
      <w:pPr>
        <w:spacing w:line="288" w:lineRule="auto"/>
        <w:jc w:val="both"/>
        <w:rPr>
          <w:rFonts w:ascii="Arial" w:hAnsi="Arial" w:cs="Arial"/>
          <w:color w:val="00B050"/>
          <w:spacing w:val="3"/>
          <w:sz w:val="22"/>
          <w:szCs w:val="22"/>
        </w:rPr>
      </w:pPr>
      <w:r w:rsidRPr="000C43F1">
        <w:rPr>
          <w:rFonts w:ascii="Arial" w:hAnsi="Arial" w:cs="Arial"/>
          <w:color w:val="00B050"/>
          <w:spacing w:val="3"/>
          <w:sz w:val="22"/>
          <w:szCs w:val="22"/>
        </w:rPr>
        <w:t>D86</w:t>
      </w:r>
      <w:r>
        <w:rPr>
          <w:rFonts w:ascii="Arial" w:hAnsi="Arial" w:cs="Arial"/>
          <w:color w:val="00B050"/>
          <w:spacing w:val="3"/>
          <w:sz w:val="22"/>
          <w:szCs w:val="22"/>
        </w:rPr>
        <w:tab/>
      </w:r>
      <w:r w:rsidRPr="000C43F1">
        <w:rPr>
          <w:rFonts w:ascii="Arial" w:hAnsi="Arial" w:cs="Arial"/>
          <w:color w:val="00B050"/>
          <w:spacing w:val="3"/>
          <w:sz w:val="22"/>
          <w:szCs w:val="22"/>
        </w:rPr>
        <w:t>Rozšíření stávající živičné komunikace v Dolním Oldřichově k lokalitě č. 4.</w:t>
      </w:r>
    </w:p>
    <w:p w14:paraId="5FC11730" w14:textId="77777777" w:rsidR="00BB63DF" w:rsidRPr="000C43F1" w:rsidRDefault="00BB63DF" w:rsidP="00BB63DF">
      <w:pPr>
        <w:spacing w:line="288" w:lineRule="auto"/>
        <w:jc w:val="both"/>
        <w:rPr>
          <w:rFonts w:ascii="Arial" w:hAnsi="Arial" w:cs="Arial"/>
          <w:color w:val="00B050"/>
          <w:spacing w:val="3"/>
          <w:sz w:val="22"/>
          <w:szCs w:val="22"/>
        </w:rPr>
      </w:pPr>
      <w:r w:rsidRPr="000C43F1">
        <w:rPr>
          <w:rFonts w:ascii="Arial" w:hAnsi="Arial" w:cs="Arial"/>
          <w:color w:val="00B050"/>
          <w:spacing w:val="3"/>
          <w:sz w:val="22"/>
          <w:szCs w:val="22"/>
        </w:rPr>
        <w:t>D87</w:t>
      </w:r>
      <w:r>
        <w:rPr>
          <w:rFonts w:ascii="Arial" w:hAnsi="Arial" w:cs="Arial"/>
          <w:color w:val="00B050"/>
          <w:spacing w:val="3"/>
          <w:sz w:val="22"/>
          <w:szCs w:val="22"/>
        </w:rPr>
        <w:tab/>
      </w:r>
      <w:r w:rsidRPr="000C43F1">
        <w:rPr>
          <w:rFonts w:ascii="Arial" w:hAnsi="Arial" w:cs="Arial"/>
          <w:color w:val="00B050"/>
          <w:spacing w:val="3"/>
          <w:sz w:val="22"/>
          <w:szCs w:val="22"/>
        </w:rPr>
        <w:t>Rozšíření stávající živičné komunikace na Letné k lokalitě č. 4.</w:t>
      </w:r>
    </w:p>
    <w:p w14:paraId="0DA37F15" w14:textId="77777777" w:rsidR="00BB63DF" w:rsidRPr="000C43F1" w:rsidRDefault="00BB63DF" w:rsidP="00BB63DF">
      <w:pPr>
        <w:spacing w:line="288" w:lineRule="auto"/>
        <w:jc w:val="both"/>
        <w:rPr>
          <w:rFonts w:ascii="Arial" w:hAnsi="Arial" w:cs="Arial"/>
          <w:color w:val="00B050"/>
          <w:spacing w:val="3"/>
          <w:sz w:val="22"/>
          <w:szCs w:val="22"/>
        </w:rPr>
      </w:pPr>
      <w:r w:rsidRPr="000C43F1">
        <w:rPr>
          <w:rFonts w:ascii="Arial" w:hAnsi="Arial" w:cs="Arial"/>
          <w:color w:val="00B050"/>
          <w:spacing w:val="3"/>
          <w:sz w:val="22"/>
          <w:szCs w:val="22"/>
        </w:rPr>
        <w:t>D88</w:t>
      </w:r>
      <w:r>
        <w:rPr>
          <w:rFonts w:ascii="Arial" w:hAnsi="Arial" w:cs="Arial"/>
          <w:color w:val="00B050"/>
          <w:spacing w:val="3"/>
          <w:sz w:val="22"/>
          <w:szCs w:val="22"/>
        </w:rPr>
        <w:tab/>
      </w:r>
      <w:r w:rsidRPr="000C43F1">
        <w:rPr>
          <w:rFonts w:ascii="Arial" w:hAnsi="Arial" w:cs="Arial"/>
          <w:color w:val="00B050"/>
          <w:spacing w:val="3"/>
          <w:sz w:val="22"/>
          <w:szCs w:val="22"/>
        </w:rPr>
        <w:t>Rozšíření stáva</w:t>
      </w:r>
      <w:r>
        <w:rPr>
          <w:rFonts w:ascii="Arial" w:hAnsi="Arial" w:cs="Arial"/>
          <w:color w:val="00B050"/>
          <w:spacing w:val="3"/>
          <w:sz w:val="22"/>
          <w:szCs w:val="22"/>
        </w:rPr>
        <w:t>jící živičné komunikace (</w:t>
      </w:r>
      <w:r w:rsidRPr="000C43F1">
        <w:rPr>
          <w:rFonts w:ascii="Arial" w:hAnsi="Arial" w:cs="Arial"/>
          <w:color w:val="00B050"/>
          <w:spacing w:val="3"/>
          <w:sz w:val="22"/>
          <w:szCs w:val="22"/>
        </w:rPr>
        <w:t xml:space="preserve">řad. </w:t>
      </w:r>
      <w:r>
        <w:rPr>
          <w:rFonts w:ascii="Arial" w:hAnsi="Arial" w:cs="Arial"/>
          <w:color w:val="00B050"/>
          <w:spacing w:val="3"/>
          <w:sz w:val="22"/>
          <w:szCs w:val="22"/>
        </w:rPr>
        <w:t>G</w:t>
      </w:r>
      <w:r w:rsidRPr="000C43F1">
        <w:rPr>
          <w:rFonts w:ascii="Arial" w:hAnsi="Arial" w:cs="Arial"/>
          <w:color w:val="00B050"/>
          <w:spacing w:val="3"/>
          <w:sz w:val="22"/>
          <w:szCs w:val="22"/>
        </w:rPr>
        <w:t>aráž</w:t>
      </w:r>
      <w:r>
        <w:rPr>
          <w:rFonts w:ascii="Arial" w:hAnsi="Arial" w:cs="Arial"/>
          <w:color w:val="00B050"/>
          <w:spacing w:val="3"/>
          <w:sz w:val="22"/>
          <w:szCs w:val="22"/>
        </w:rPr>
        <w:t>e)</w:t>
      </w:r>
      <w:r w:rsidRPr="000C43F1">
        <w:rPr>
          <w:rFonts w:ascii="Arial" w:hAnsi="Arial" w:cs="Arial"/>
          <w:color w:val="00B050"/>
          <w:spacing w:val="3"/>
          <w:sz w:val="22"/>
          <w:szCs w:val="22"/>
        </w:rPr>
        <w:t xml:space="preserve"> v lokalitě č. 7 a 10.</w:t>
      </w:r>
    </w:p>
    <w:p w14:paraId="544EF8A8" w14:textId="77777777" w:rsidR="00BB63DF" w:rsidRPr="000C43F1" w:rsidRDefault="00BB63DF" w:rsidP="00BB63DF">
      <w:pPr>
        <w:spacing w:line="288" w:lineRule="auto"/>
        <w:jc w:val="both"/>
        <w:rPr>
          <w:rFonts w:ascii="Arial" w:hAnsi="Arial" w:cs="Arial"/>
          <w:color w:val="00B050"/>
          <w:spacing w:val="3"/>
          <w:sz w:val="22"/>
          <w:szCs w:val="22"/>
        </w:rPr>
      </w:pPr>
      <w:r w:rsidRPr="000C43F1">
        <w:rPr>
          <w:rFonts w:ascii="Arial" w:hAnsi="Arial" w:cs="Arial"/>
          <w:color w:val="00B050"/>
          <w:spacing w:val="3"/>
          <w:sz w:val="22"/>
          <w:szCs w:val="22"/>
        </w:rPr>
        <w:t>D89</w:t>
      </w:r>
      <w:r>
        <w:rPr>
          <w:rFonts w:ascii="Arial" w:hAnsi="Arial" w:cs="Arial"/>
          <w:color w:val="00B050"/>
          <w:spacing w:val="3"/>
          <w:sz w:val="22"/>
          <w:szCs w:val="22"/>
        </w:rPr>
        <w:tab/>
      </w:r>
      <w:r w:rsidRPr="000C43F1">
        <w:rPr>
          <w:rFonts w:ascii="Arial" w:hAnsi="Arial" w:cs="Arial"/>
          <w:color w:val="00B050"/>
          <w:spacing w:val="3"/>
          <w:sz w:val="22"/>
          <w:szCs w:val="22"/>
        </w:rPr>
        <w:t xml:space="preserve">Rozšíření stávající </w:t>
      </w:r>
      <w:r>
        <w:rPr>
          <w:rFonts w:ascii="Arial" w:hAnsi="Arial" w:cs="Arial"/>
          <w:color w:val="00B050"/>
          <w:spacing w:val="3"/>
          <w:sz w:val="22"/>
          <w:szCs w:val="22"/>
        </w:rPr>
        <w:t>živičné komunikace (</w:t>
      </w:r>
      <w:r w:rsidRPr="000C43F1">
        <w:rPr>
          <w:rFonts w:ascii="Arial" w:hAnsi="Arial" w:cs="Arial"/>
          <w:color w:val="00B050"/>
          <w:spacing w:val="3"/>
          <w:sz w:val="22"/>
          <w:szCs w:val="22"/>
        </w:rPr>
        <w:t>U Obory</w:t>
      </w:r>
      <w:r>
        <w:rPr>
          <w:rFonts w:ascii="Arial" w:hAnsi="Arial" w:cs="Arial"/>
          <w:color w:val="00B050"/>
          <w:spacing w:val="3"/>
          <w:sz w:val="22"/>
          <w:szCs w:val="22"/>
        </w:rPr>
        <w:t xml:space="preserve">) </w:t>
      </w:r>
      <w:r w:rsidRPr="000C43F1">
        <w:rPr>
          <w:rFonts w:ascii="Arial" w:hAnsi="Arial" w:cs="Arial"/>
          <w:color w:val="00B050"/>
          <w:spacing w:val="3"/>
          <w:sz w:val="22"/>
          <w:szCs w:val="22"/>
        </w:rPr>
        <w:t>k lokalitě č. 8.</w:t>
      </w:r>
    </w:p>
    <w:p w14:paraId="74A62F6D" w14:textId="77777777" w:rsidR="00BB63DF" w:rsidRPr="000C43F1" w:rsidRDefault="00BB63DF" w:rsidP="00BB63DF">
      <w:pPr>
        <w:spacing w:line="288" w:lineRule="auto"/>
        <w:ind w:hanging="70"/>
        <w:jc w:val="both"/>
        <w:rPr>
          <w:rFonts w:ascii="Arial" w:hAnsi="Arial" w:cs="Arial"/>
          <w:color w:val="00B050"/>
          <w:spacing w:val="3"/>
          <w:sz w:val="22"/>
          <w:szCs w:val="22"/>
        </w:rPr>
      </w:pPr>
      <w:r>
        <w:rPr>
          <w:rFonts w:ascii="Arial" w:hAnsi="Arial" w:cs="Arial"/>
          <w:color w:val="00B050"/>
          <w:spacing w:val="3"/>
          <w:sz w:val="22"/>
          <w:szCs w:val="22"/>
        </w:rPr>
        <w:t xml:space="preserve"> </w:t>
      </w:r>
      <w:r w:rsidRPr="000C43F1">
        <w:rPr>
          <w:rFonts w:ascii="Arial" w:hAnsi="Arial" w:cs="Arial"/>
          <w:color w:val="00B050"/>
          <w:spacing w:val="3"/>
          <w:sz w:val="22"/>
          <w:szCs w:val="22"/>
        </w:rPr>
        <w:t>D90</w:t>
      </w:r>
      <w:r>
        <w:rPr>
          <w:rFonts w:ascii="Arial" w:hAnsi="Arial" w:cs="Arial"/>
          <w:color w:val="00B050"/>
          <w:spacing w:val="3"/>
          <w:sz w:val="22"/>
          <w:szCs w:val="22"/>
        </w:rPr>
        <w:tab/>
      </w:r>
      <w:r w:rsidRPr="000C43F1">
        <w:rPr>
          <w:rFonts w:ascii="Arial" w:hAnsi="Arial" w:cs="Arial"/>
          <w:color w:val="00B050"/>
          <w:spacing w:val="3"/>
          <w:sz w:val="22"/>
          <w:szCs w:val="22"/>
        </w:rPr>
        <w:t>Místní komunikace k lokalitě č. 8 (změna etapy výstavby).</w:t>
      </w:r>
    </w:p>
    <w:p w14:paraId="2676661B" w14:textId="77777777" w:rsidR="00BB63DF" w:rsidRPr="000C43F1" w:rsidRDefault="00BB63DF" w:rsidP="00BB63DF">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0C43F1">
        <w:rPr>
          <w:rFonts w:ascii="Arial" w:hAnsi="Arial" w:cs="Arial"/>
          <w:b/>
          <w:color w:val="00B050"/>
          <w:spacing w:val="3"/>
          <w:sz w:val="22"/>
          <w:szCs w:val="22"/>
        </w:rPr>
        <w:t>Část vodní hospodářství, odkanalizování</w:t>
      </w:r>
    </w:p>
    <w:p w14:paraId="2737D6E1"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V3</w:t>
      </w:r>
      <w:r>
        <w:rPr>
          <w:rFonts w:ascii="Arial" w:hAnsi="Arial" w:cs="Arial"/>
          <w:color w:val="00B050"/>
          <w:spacing w:val="3"/>
          <w:sz w:val="22"/>
          <w:szCs w:val="22"/>
        </w:rPr>
        <w:tab/>
      </w:r>
      <w:r w:rsidRPr="000C43F1">
        <w:rPr>
          <w:rFonts w:ascii="Arial" w:hAnsi="Arial" w:cs="Arial"/>
          <w:color w:val="00B050"/>
          <w:spacing w:val="3"/>
          <w:sz w:val="22"/>
          <w:szCs w:val="22"/>
        </w:rPr>
        <w:t>vodovodní výtlak pro lokalitu č. 1. - STARÁ CHMELNICE</w:t>
      </w:r>
    </w:p>
    <w:p w14:paraId="243B2AA4"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V4</w:t>
      </w:r>
      <w:r>
        <w:rPr>
          <w:rFonts w:ascii="Arial" w:hAnsi="Arial" w:cs="Arial"/>
          <w:color w:val="00B050"/>
          <w:spacing w:val="3"/>
          <w:sz w:val="22"/>
          <w:szCs w:val="22"/>
        </w:rPr>
        <w:tab/>
      </w:r>
      <w:r w:rsidRPr="000C43F1">
        <w:rPr>
          <w:rFonts w:ascii="Arial" w:hAnsi="Arial" w:cs="Arial"/>
          <w:color w:val="00B050"/>
          <w:spacing w:val="3"/>
          <w:sz w:val="22"/>
          <w:szCs w:val="22"/>
        </w:rPr>
        <w:t>nový vodovodní řad DN 110 pro lokalitu č. 2. - KŘEŠICE</w:t>
      </w:r>
    </w:p>
    <w:p w14:paraId="0CDF9233"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V5</w:t>
      </w:r>
      <w:r>
        <w:rPr>
          <w:rFonts w:ascii="Arial" w:hAnsi="Arial" w:cs="Arial"/>
          <w:color w:val="00B050"/>
          <w:spacing w:val="3"/>
          <w:sz w:val="22"/>
          <w:szCs w:val="22"/>
        </w:rPr>
        <w:tab/>
      </w:r>
      <w:r w:rsidRPr="000C43F1">
        <w:rPr>
          <w:rFonts w:ascii="Arial" w:hAnsi="Arial" w:cs="Arial"/>
          <w:color w:val="00B050"/>
          <w:spacing w:val="3"/>
          <w:sz w:val="22"/>
          <w:szCs w:val="22"/>
        </w:rPr>
        <w:t xml:space="preserve">nový vodovodní řad DN 90 pro lokalitu č. 3. - FOLKNÁŘE I. </w:t>
      </w:r>
    </w:p>
    <w:p w14:paraId="77F85FFA"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V6</w:t>
      </w:r>
      <w:r>
        <w:rPr>
          <w:rFonts w:ascii="Arial" w:hAnsi="Arial" w:cs="Arial"/>
          <w:color w:val="00B050"/>
          <w:spacing w:val="3"/>
          <w:sz w:val="22"/>
          <w:szCs w:val="22"/>
        </w:rPr>
        <w:tab/>
      </w:r>
      <w:r w:rsidRPr="000C43F1">
        <w:rPr>
          <w:rFonts w:ascii="Arial" w:hAnsi="Arial" w:cs="Arial"/>
          <w:color w:val="00B050"/>
          <w:spacing w:val="3"/>
          <w:sz w:val="22"/>
          <w:szCs w:val="22"/>
        </w:rPr>
        <w:t>nový vodovodní řad DN 90-150 pro lokalitu č. 5. - FOLKNÁŘE u.</w:t>
      </w:r>
    </w:p>
    <w:p w14:paraId="0E86F588"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V7</w:t>
      </w:r>
      <w:r>
        <w:rPr>
          <w:rFonts w:ascii="Arial" w:hAnsi="Arial" w:cs="Arial"/>
          <w:color w:val="00B050"/>
          <w:spacing w:val="3"/>
          <w:sz w:val="22"/>
          <w:szCs w:val="22"/>
        </w:rPr>
        <w:tab/>
      </w:r>
      <w:r w:rsidRPr="000C43F1">
        <w:rPr>
          <w:rFonts w:ascii="Arial" w:hAnsi="Arial" w:cs="Arial"/>
          <w:color w:val="00B050"/>
          <w:spacing w:val="3"/>
          <w:sz w:val="22"/>
          <w:szCs w:val="22"/>
        </w:rPr>
        <w:t>nový vodovodní řad DN 150 pro lokalitu č. 8 - CI-[ROCHVICE</w:t>
      </w:r>
    </w:p>
    <w:p w14:paraId="6A8611AF"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VT 10</w:t>
      </w:r>
      <w:r>
        <w:rPr>
          <w:rFonts w:ascii="Arial" w:hAnsi="Arial" w:cs="Arial"/>
          <w:color w:val="00B050"/>
          <w:spacing w:val="3"/>
          <w:sz w:val="22"/>
          <w:szCs w:val="22"/>
        </w:rPr>
        <w:tab/>
      </w:r>
      <w:r w:rsidRPr="000C43F1">
        <w:rPr>
          <w:rFonts w:ascii="Arial" w:hAnsi="Arial" w:cs="Arial"/>
          <w:color w:val="00B050"/>
          <w:spacing w:val="3"/>
          <w:sz w:val="22"/>
          <w:szCs w:val="22"/>
        </w:rPr>
        <w:t xml:space="preserve"> záchytný příkop extravilánových vod pro lokality č. 7. a 10</w:t>
      </w:r>
      <w:r>
        <w:rPr>
          <w:rFonts w:ascii="Arial" w:hAnsi="Arial" w:cs="Arial"/>
          <w:color w:val="00B050"/>
          <w:spacing w:val="3"/>
          <w:sz w:val="22"/>
          <w:szCs w:val="22"/>
        </w:rPr>
        <w:t xml:space="preserve"> </w:t>
      </w:r>
      <w:r w:rsidRPr="000C43F1">
        <w:rPr>
          <w:rFonts w:ascii="Arial" w:hAnsi="Arial" w:cs="Arial"/>
          <w:color w:val="00B050"/>
          <w:spacing w:val="3"/>
          <w:sz w:val="22"/>
          <w:szCs w:val="22"/>
        </w:rPr>
        <w:t>- STARE MĚSTO</w:t>
      </w:r>
    </w:p>
    <w:p w14:paraId="34615804" w14:textId="77777777" w:rsidR="00BB63DF" w:rsidRPr="000C43F1" w:rsidRDefault="00BB63DF" w:rsidP="00BB63DF">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0C43F1">
        <w:rPr>
          <w:rFonts w:ascii="Arial" w:hAnsi="Arial" w:cs="Arial"/>
          <w:b/>
          <w:color w:val="00B050"/>
          <w:spacing w:val="3"/>
          <w:sz w:val="22"/>
          <w:szCs w:val="22"/>
        </w:rPr>
        <w:t>Část energetika a spoje</w:t>
      </w:r>
    </w:p>
    <w:p w14:paraId="157A6B72"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E22</w:t>
      </w:r>
      <w:r>
        <w:rPr>
          <w:rFonts w:ascii="Arial" w:hAnsi="Arial" w:cs="Arial"/>
          <w:color w:val="00B050"/>
          <w:spacing w:val="3"/>
          <w:sz w:val="22"/>
          <w:szCs w:val="22"/>
        </w:rPr>
        <w:tab/>
      </w:r>
      <w:r w:rsidRPr="000C43F1">
        <w:rPr>
          <w:rFonts w:ascii="Arial" w:hAnsi="Arial" w:cs="Arial"/>
          <w:color w:val="00B050"/>
          <w:spacing w:val="3"/>
          <w:sz w:val="22"/>
          <w:szCs w:val="22"/>
        </w:rPr>
        <w:t xml:space="preserve">výstavba kabelové trafostanice č. 320 včetně kabelové vn přípojky </w:t>
      </w:r>
      <w:r>
        <w:rPr>
          <w:rFonts w:ascii="Arial" w:hAnsi="Arial" w:cs="Arial"/>
          <w:color w:val="00B050"/>
          <w:spacing w:val="3"/>
          <w:sz w:val="22"/>
          <w:szCs w:val="22"/>
        </w:rPr>
        <w:t>lokalita</w:t>
      </w:r>
      <w:r w:rsidRPr="000C43F1">
        <w:rPr>
          <w:rFonts w:ascii="Arial" w:hAnsi="Arial" w:cs="Arial"/>
          <w:color w:val="00B050"/>
          <w:spacing w:val="3"/>
          <w:sz w:val="22"/>
          <w:szCs w:val="22"/>
        </w:rPr>
        <w:t xml:space="preserve"> č. </w:t>
      </w:r>
      <w:r>
        <w:rPr>
          <w:rFonts w:ascii="Arial" w:hAnsi="Arial" w:cs="Arial"/>
          <w:color w:val="00B050"/>
          <w:spacing w:val="3"/>
          <w:sz w:val="22"/>
          <w:szCs w:val="22"/>
        </w:rPr>
        <w:t>3</w:t>
      </w:r>
    </w:p>
    <w:p w14:paraId="1478ADAA"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E23</w:t>
      </w:r>
      <w:r>
        <w:rPr>
          <w:rFonts w:ascii="Arial" w:hAnsi="Arial" w:cs="Arial"/>
          <w:color w:val="00B050"/>
          <w:spacing w:val="3"/>
          <w:sz w:val="22"/>
          <w:szCs w:val="22"/>
        </w:rPr>
        <w:tab/>
      </w:r>
      <w:r w:rsidRPr="000C43F1">
        <w:rPr>
          <w:rFonts w:ascii="Arial" w:hAnsi="Arial" w:cs="Arial"/>
          <w:color w:val="00B050"/>
          <w:spacing w:val="3"/>
          <w:sz w:val="22"/>
          <w:szCs w:val="22"/>
        </w:rPr>
        <w:t xml:space="preserve">výstavba kabelové trafostanice č. </w:t>
      </w:r>
      <w:r>
        <w:rPr>
          <w:rFonts w:ascii="Arial" w:hAnsi="Arial" w:cs="Arial"/>
          <w:color w:val="00B050"/>
          <w:spacing w:val="3"/>
          <w:sz w:val="22"/>
          <w:szCs w:val="22"/>
        </w:rPr>
        <w:t>321</w:t>
      </w:r>
      <w:r w:rsidRPr="000C43F1">
        <w:rPr>
          <w:rFonts w:ascii="Arial" w:hAnsi="Arial" w:cs="Arial"/>
          <w:color w:val="00B050"/>
          <w:spacing w:val="3"/>
          <w:sz w:val="22"/>
          <w:szCs w:val="22"/>
        </w:rPr>
        <w:t xml:space="preserve"> včetně kabelové vn přípojky </w:t>
      </w:r>
      <w:r>
        <w:rPr>
          <w:rFonts w:ascii="Arial" w:hAnsi="Arial" w:cs="Arial"/>
          <w:color w:val="00B050"/>
          <w:spacing w:val="3"/>
          <w:sz w:val="22"/>
          <w:szCs w:val="22"/>
        </w:rPr>
        <w:t>lokalita</w:t>
      </w:r>
      <w:r w:rsidRPr="000C43F1">
        <w:rPr>
          <w:rFonts w:ascii="Arial" w:hAnsi="Arial" w:cs="Arial"/>
          <w:color w:val="00B050"/>
          <w:spacing w:val="3"/>
          <w:sz w:val="22"/>
          <w:szCs w:val="22"/>
        </w:rPr>
        <w:t xml:space="preserve"> č. </w:t>
      </w:r>
      <w:r>
        <w:rPr>
          <w:rFonts w:ascii="Arial" w:hAnsi="Arial" w:cs="Arial"/>
          <w:color w:val="00B050"/>
          <w:spacing w:val="3"/>
          <w:sz w:val="22"/>
          <w:szCs w:val="22"/>
        </w:rPr>
        <w:t>4</w:t>
      </w:r>
    </w:p>
    <w:p w14:paraId="74AAFD8A" w14:textId="77777777" w:rsidR="00BB63DF" w:rsidRPr="000C43F1" w:rsidRDefault="00BB63DF" w:rsidP="00BB63DF">
      <w:pPr>
        <w:spacing w:line="288" w:lineRule="auto"/>
        <w:ind w:left="709" w:hanging="637"/>
        <w:jc w:val="both"/>
        <w:rPr>
          <w:rFonts w:ascii="Arial" w:hAnsi="Arial" w:cs="Arial"/>
          <w:color w:val="00B050"/>
          <w:spacing w:val="3"/>
          <w:sz w:val="22"/>
          <w:szCs w:val="22"/>
        </w:rPr>
      </w:pPr>
      <w:r w:rsidRPr="000C43F1">
        <w:rPr>
          <w:rFonts w:ascii="Arial" w:hAnsi="Arial" w:cs="Arial"/>
          <w:color w:val="00B050"/>
          <w:spacing w:val="3"/>
          <w:sz w:val="22"/>
          <w:szCs w:val="22"/>
        </w:rPr>
        <w:t>E24</w:t>
      </w:r>
      <w:r>
        <w:rPr>
          <w:rFonts w:ascii="Arial" w:hAnsi="Arial" w:cs="Arial"/>
          <w:color w:val="00B050"/>
          <w:spacing w:val="3"/>
          <w:sz w:val="22"/>
          <w:szCs w:val="22"/>
        </w:rPr>
        <w:tab/>
      </w:r>
      <w:r w:rsidRPr="000C43F1">
        <w:rPr>
          <w:rFonts w:ascii="Arial" w:hAnsi="Arial" w:cs="Arial"/>
          <w:color w:val="00B050"/>
          <w:spacing w:val="3"/>
          <w:sz w:val="22"/>
          <w:szCs w:val="22"/>
        </w:rPr>
        <w:t xml:space="preserve">výstavba kabelové trafostanice č. 322 včetně kabelové vn přípojky </w:t>
      </w:r>
      <w:r>
        <w:rPr>
          <w:rFonts w:ascii="Arial" w:hAnsi="Arial" w:cs="Arial"/>
          <w:color w:val="00B050"/>
          <w:spacing w:val="3"/>
          <w:sz w:val="22"/>
          <w:szCs w:val="22"/>
        </w:rPr>
        <w:t>lokalita</w:t>
      </w:r>
      <w:r w:rsidRPr="000C43F1">
        <w:rPr>
          <w:rFonts w:ascii="Arial" w:hAnsi="Arial" w:cs="Arial"/>
          <w:color w:val="00B050"/>
          <w:spacing w:val="3"/>
          <w:sz w:val="22"/>
          <w:szCs w:val="22"/>
        </w:rPr>
        <w:t xml:space="preserve"> č. </w:t>
      </w:r>
      <w:r>
        <w:rPr>
          <w:rFonts w:ascii="Arial" w:hAnsi="Arial" w:cs="Arial"/>
          <w:color w:val="00B050"/>
          <w:spacing w:val="3"/>
          <w:sz w:val="22"/>
          <w:szCs w:val="22"/>
        </w:rPr>
        <w:t>7 a 10</w:t>
      </w:r>
    </w:p>
    <w:p w14:paraId="5ECD8C78"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E25</w:t>
      </w:r>
      <w:r>
        <w:rPr>
          <w:rFonts w:ascii="Arial" w:hAnsi="Arial" w:cs="Arial"/>
          <w:color w:val="00B050"/>
          <w:spacing w:val="3"/>
          <w:sz w:val="22"/>
          <w:szCs w:val="22"/>
        </w:rPr>
        <w:tab/>
      </w:r>
      <w:r w:rsidRPr="000C43F1">
        <w:rPr>
          <w:rFonts w:ascii="Arial" w:hAnsi="Arial" w:cs="Arial"/>
          <w:color w:val="00B050"/>
          <w:spacing w:val="3"/>
          <w:sz w:val="22"/>
          <w:szCs w:val="22"/>
        </w:rPr>
        <w:t xml:space="preserve">výstavba kabelové trafostanice č. 323 včetně kabelové vn přípojky </w:t>
      </w:r>
      <w:r>
        <w:rPr>
          <w:rFonts w:ascii="Arial" w:hAnsi="Arial" w:cs="Arial"/>
          <w:color w:val="00B050"/>
          <w:spacing w:val="3"/>
          <w:sz w:val="22"/>
          <w:szCs w:val="22"/>
        </w:rPr>
        <w:t>lokalita</w:t>
      </w:r>
      <w:r w:rsidRPr="000C43F1">
        <w:rPr>
          <w:rFonts w:ascii="Arial" w:hAnsi="Arial" w:cs="Arial"/>
          <w:color w:val="00B050"/>
          <w:spacing w:val="3"/>
          <w:sz w:val="22"/>
          <w:szCs w:val="22"/>
        </w:rPr>
        <w:t xml:space="preserve"> č. </w:t>
      </w:r>
      <w:r>
        <w:rPr>
          <w:rFonts w:ascii="Arial" w:hAnsi="Arial" w:cs="Arial"/>
          <w:color w:val="00B050"/>
          <w:spacing w:val="3"/>
          <w:sz w:val="22"/>
          <w:szCs w:val="22"/>
        </w:rPr>
        <w:t>8</w:t>
      </w:r>
    </w:p>
    <w:p w14:paraId="0E92C2D2" w14:textId="77777777" w:rsidR="00BB63DF" w:rsidRPr="000C43F1" w:rsidRDefault="00BB63DF" w:rsidP="00BB63DF">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0C43F1">
        <w:rPr>
          <w:rFonts w:ascii="Arial" w:hAnsi="Arial" w:cs="Arial"/>
          <w:b/>
          <w:color w:val="00B050"/>
          <w:spacing w:val="3"/>
          <w:sz w:val="22"/>
          <w:szCs w:val="22"/>
        </w:rPr>
        <w:t>Veřejně prospěšné stavby plynárenské</w:t>
      </w:r>
    </w:p>
    <w:p w14:paraId="2F48A2FE"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P27</w:t>
      </w:r>
      <w:r>
        <w:rPr>
          <w:rFonts w:ascii="Arial" w:hAnsi="Arial" w:cs="Arial"/>
          <w:color w:val="00B050"/>
          <w:spacing w:val="3"/>
          <w:sz w:val="22"/>
          <w:szCs w:val="22"/>
        </w:rPr>
        <w:tab/>
      </w:r>
      <w:r w:rsidRPr="000C43F1">
        <w:rPr>
          <w:rFonts w:ascii="Arial" w:hAnsi="Arial" w:cs="Arial"/>
          <w:color w:val="00B050"/>
          <w:spacing w:val="3"/>
          <w:sz w:val="22"/>
          <w:szCs w:val="22"/>
        </w:rPr>
        <w:t xml:space="preserve">výstavba STL plynovodu </w:t>
      </w:r>
      <w:r>
        <w:rPr>
          <w:rFonts w:ascii="Arial" w:hAnsi="Arial" w:cs="Arial"/>
          <w:color w:val="00B050"/>
          <w:spacing w:val="3"/>
          <w:sz w:val="22"/>
          <w:szCs w:val="22"/>
        </w:rPr>
        <w:t>lokalita</w:t>
      </w:r>
      <w:r w:rsidRPr="000C43F1">
        <w:rPr>
          <w:rFonts w:ascii="Arial" w:hAnsi="Arial" w:cs="Arial"/>
          <w:color w:val="00B050"/>
          <w:spacing w:val="3"/>
          <w:sz w:val="22"/>
          <w:szCs w:val="22"/>
        </w:rPr>
        <w:t xml:space="preserve"> č. </w:t>
      </w:r>
      <w:r>
        <w:rPr>
          <w:rFonts w:ascii="Arial" w:hAnsi="Arial" w:cs="Arial"/>
          <w:color w:val="00B050"/>
          <w:spacing w:val="3"/>
          <w:sz w:val="22"/>
          <w:szCs w:val="22"/>
        </w:rPr>
        <w:t>2</w:t>
      </w:r>
    </w:p>
    <w:p w14:paraId="10A1C6AA"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P28</w:t>
      </w:r>
      <w:r>
        <w:rPr>
          <w:rFonts w:ascii="Arial" w:hAnsi="Arial" w:cs="Arial"/>
          <w:color w:val="00B050"/>
          <w:spacing w:val="3"/>
          <w:sz w:val="22"/>
          <w:szCs w:val="22"/>
        </w:rPr>
        <w:tab/>
      </w:r>
      <w:r w:rsidRPr="000C43F1">
        <w:rPr>
          <w:rFonts w:ascii="Arial" w:hAnsi="Arial" w:cs="Arial"/>
          <w:color w:val="00B050"/>
          <w:spacing w:val="3"/>
          <w:sz w:val="22"/>
          <w:szCs w:val="22"/>
        </w:rPr>
        <w:t xml:space="preserve">výstavba STL plynovodu </w:t>
      </w:r>
      <w:r>
        <w:rPr>
          <w:rFonts w:ascii="Arial" w:hAnsi="Arial" w:cs="Arial"/>
          <w:color w:val="00B050"/>
          <w:spacing w:val="3"/>
          <w:sz w:val="22"/>
          <w:szCs w:val="22"/>
        </w:rPr>
        <w:t>lokalita</w:t>
      </w:r>
      <w:r w:rsidRPr="000C43F1">
        <w:rPr>
          <w:rFonts w:ascii="Arial" w:hAnsi="Arial" w:cs="Arial"/>
          <w:color w:val="00B050"/>
          <w:spacing w:val="3"/>
          <w:sz w:val="22"/>
          <w:szCs w:val="22"/>
        </w:rPr>
        <w:t xml:space="preserve"> č. </w:t>
      </w:r>
      <w:r>
        <w:rPr>
          <w:rFonts w:ascii="Arial" w:hAnsi="Arial" w:cs="Arial"/>
          <w:color w:val="00B050"/>
          <w:spacing w:val="3"/>
          <w:sz w:val="22"/>
          <w:szCs w:val="22"/>
        </w:rPr>
        <w:t>4</w:t>
      </w:r>
    </w:p>
    <w:p w14:paraId="294F19D0"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lastRenderedPageBreak/>
        <w:t>P29</w:t>
      </w:r>
      <w:r>
        <w:rPr>
          <w:rFonts w:ascii="Arial" w:hAnsi="Arial" w:cs="Arial"/>
          <w:color w:val="00B050"/>
          <w:spacing w:val="3"/>
          <w:sz w:val="22"/>
          <w:szCs w:val="22"/>
        </w:rPr>
        <w:tab/>
      </w:r>
      <w:r w:rsidRPr="000C43F1">
        <w:rPr>
          <w:rFonts w:ascii="Arial" w:hAnsi="Arial" w:cs="Arial"/>
          <w:color w:val="00B050"/>
          <w:spacing w:val="3"/>
          <w:sz w:val="22"/>
          <w:szCs w:val="22"/>
        </w:rPr>
        <w:t xml:space="preserve">výstavba VTL regulační stanice včetně VTL přípojky </w:t>
      </w:r>
      <w:r>
        <w:rPr>
          <w:rFonts w:ascii="Arial" w:hAnsi="Arial" w:cs="Arial"/>
          <w:color w:val="00B050"/>
          <w:spacing w:val="3"/>
          <w:sz w:val="22"/>
          <w:szCs w:val="22"/>
        </w:rPr>
        <w:t>lokalita</w:t>
      </w:r>
      <w:r w:rsidRPr="000C43F1">
        <w:rPr>
          <w:rFonts w:ascii="Arial" w:hAnsi="Arial" w:cs="Arial"/>
          <w:color w:val="00B050"/>
          <w:spacing w:val="3"/>
          <w:sz w:val="22"/>
          <w:szCs w:val="22"/>
        </w:rPr>
        <w:t xml:space="preserve"> č. </w:t>
      </w:r>
      <w:r>
        <w:rPr>
          <w:rFonts w:ascii="Arial" w:hAnsi="Arial" w:cs="Arial"/>
          <w:color w:val="00B050"/>
          <w:spacing w:val="3"/>
          <w:sz w:val="22"/>
          <w:szCs w:val="22"/>
        </w:rPr>
        <w:t>7 a 10</w:t>
      </w:r>
    </w:p>
    <w:p w14:paraId="5A9E00ED"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P3</w:t>
      </w:r>
      <w:r>
        <w:rPr>
          <w:rFonts w:ascii="Arial" w:hAnsi="Arial" w:cs="Arial"/>
          <w:color w:val="00B050"/>
          <w:spacing w:val="3"/>
          <w:sz w:val="22"/>
          <w:szCs w:val="22"/>
        </w:rPr>
        <w:t>0</w:t>
      </w:r>
      <w:r>
        <w:rPr>
          <w:rFonts w:ascii="Arial" w:hAnsi="Arial" w:cs="Arial"/>
          <w:color w:val="00B050"/>
          <w:spacing w:val="3"/>
          <w:sz w:val="22"/>
          <w:szCs w:val="22"/>
        </w:rPr>
        <w:tab/>
      </w:r>
      <w:r w:rsidRPr="000C43F1">
        <w:rPr>
          <w:rFonts w:ascii="Arial" w:hAnsi="Arial" w:cs="Arial"/>
          <w:color w:val="00B050"/>
          <w:spacing w:val="3"/>
          <w:sz w:val="22"/>
          <w:szCs w:val="22"/>
        </w:rPr>
        <w:t xml:space="preserve">výstavba STL plynovodu </w:t>
      </w:r>
      <w:r>
        <w:rPr>
          <w:rFonts w:ascii="Arial" w:hAnsi="Arial" w:cs="Arial"/>
          <w:color w:val="00B050"/>
          <w:spacing w:val="3"/>
          <w:sz w:val="22"/>
          <w:szCs w:val="22"/>
        </w:rPr>
        <w:t>lokalita</w:t>
      </w:r>
      <w:r w:rsidRPr="000C43F1">
        <w:rPr>
          <w:rFonts w:ascii="Arial" w:hAnsi="Arial" w:cs="Arial"/>
          <w:color w:val="00B050"/>
          <w:spacing w:val="3"/>
          <w:sz w:val="22"/>
          <w:szCs w:val="22"/>
        </w:rPr>
        <w:t xml:space="preserve"> č. </w:t>
      </w:r>
      <w:r>
        <w:rPr>
          <w:rFonts w:ascii="Arial" w:hAnsi="Arial" w:cs="Arial"/>
          <w:color w:val="00B050"/>
          <w:spacing w:val="3"/>
          <w:sz w:val="22"/>
          <w:szCs w:val="22"/>
        </w:rPr>
        <w:t>7</w:t>
      </w:r>
    </w:p>
    <w:p w14:paraId="7A965F0F"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P31</w:t>
      </w:r>
      <w:r>
        <w:rPr>
          <w:rFonts w:ascii="Arial" w:hAnsi="Arial" w:cs="Arial"/>
          <w:color w:val="00B050"/>
          <w:spacing w:val="3"/>
          <w:sz w:val="22"/>
          <w:szCs w:val="22"/>
        </w:rPr>
        <w:tab/>
      </w:r>
      <w:r w:rsidRPr="000C43F1">
        <w:rPr>
          <w:rFonts w:ascii="Arial" w:hAnsi="Arial" w:cs="Arial"/>
          <w:color w:val="00B050"/>
          <w:spacing w:val="3"/>
          <w:sz w:val="22"/>
          <w:szCs w:val="22"/>
        </w:rPr>
        <w:t xml:space="preserve">výstavba NTL plynovodu </w:t>
      </w:r>
      <w:r>
        <w:rPr>
          <w:rFonts w:ascii="Arial" w:hAnsi="Arial" w:cs="Arial"/>
          <w:color w:val="00B050"/>
          <w:spacing w:val="3"/>
          <w:sz w:val="22"/>
          <w:szCs w:val="22"/>
        </w:rPr>
        <w:t>lokalita</w:t>
      </w:r>
      <w:r w:rsidRPr="000C43F1">
        <w:rPr>
          <w:rFonts w:ascii="Arial" w:hAnsi="Arial" w:cs="Arial"/>
          <w:color w:val="00B050"/>
          <w:spacing w:val="3"/>
          <w:sz w:val="22"/>
          <w:szCs w:val="22"/>
        </w:rPr>
        <w:t xml:space="preserve"> č. 8</w:t>
      </w:r>
    </w:p>
    <w:p w14:paraId="75C9AFEB" w14:textId="77777777" w:rsidR="00BB63DF" w:rsidRPr="000C43F1" w:rsidRDefault="00BB63DF" w:rsidP="00BB63DF">
      <w:pPr>
        <w:spacing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P32</w:t>
      </w:r>
      <w:r>
        <w:rPr>
          <w:rFonts w:ascii="Arial" w:hAnsi="Arial" w:cs="Arial"/>
          <w:color w:val="00B050"/>
          <w:spacing w:val="3"/>
          <w:sz w:val="22"/>
          <w:szCs w:val="22"/>
        </w:rPr>
        <w:tab/>
      </w:r>
      <w:r w:rsidRPr="000C43F1">
        <w:rPr>
          <w:rFonts w:ascii="Arial" w:hAnsi="Arial" w:cs="Arial"/>
          <w:color w:val="00B050"/>
          <w:spacing w:val="3"/>
          <w:sz w:val="22"/>
          <w:szCs w:val="22"/>
        </w:rPr>
        <w:t xml:space="preserve">výstavba STL plynovodu </w:t>
      </w:r>
      <w:r>
        <w:rPr>
          <w:rFonts w:ascii="Arial" w:hAnsi="Arial" w:cs="Arial"/>
          <w:color w:val="00B050"/>
          <w:spacing w:val="3"/>
          <w:sz w:val="22"/>
          <w:szCs w:val="22"/>
        </w:rPr>
        <w:t>lokalita</w:t>
      </w:r>
      <w:r w:rsidRPr="000C43F1">
        <w:rPr>
          <w:rFonts w:ascii="Arial" w:hAnsi="Arial" w:cs="Arial"/>
          <w:color w:val="00B050"/>
          <w:spacing w:val="3"/>
          <w:sz w:val="22"/>
          <w:szCs w:val="22"/>
        </w:rPr>
        <w:t xml:space="preserve"> č. 10</w:t>
      </w:r>
    </w:p>
    <w:p w14:paraId="556EB2BF" w14:textId="77777777" w:rsidR="00BB63DF" w:rsidRPr="000C43F1" w:rsidRDefault="00BB63DF" w:rsidP="00BB63DF">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0C43F1">
        <w:rPr>
          <w:rFonts w:ascii="Arial" w:hAnsi="Arial" w:cs="Arial"/>
          <w:b/>
          <w:color w:val="00B050"/>
          <w:spacing w:val="3"/>
          <w:sz w:val="22"/>
          <w:szCs w:val="22"/>
        </w:rPr>
        <w:t>Využití již navržených a schválených VPS v územním plánu z roku 2002</w:t>
      </w:r>
    </w:p>
    <w:p w14:paraId="12CC2447" w14:textId="77777777" w:rsidR="00BB63DF" w:rsidRPr="000C43F1" w:rsidRDefault="00BB63DF" w:rsidP="00BB63DF">
      <w:pPr>
        <w:spacing w:before="120"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E11</w:t>
      </w:r>
      <w:r>
        <w:rPr>
          <w:rFonts w:ascii="Arial" w:hAnsi="Arial" w:cs="Arial"/>
          <w:color w:val="00B050"/>
          <w:spacing w:val="3"/>
          <w:sz w:val="22"/>
          <w:szCs w:val="22"/>
        </w:rPr>
        <w:tab/>
      </w:r>
      <w:r w:rsidRPr="000C43F1">
        <w:rPr>
          <w:rFonts w:ascii="Arial" w:hAnsi="Arial" w:cs="Arial"/>
          <w:color w:val="00B050"/>
          <w:spacing w:val="3"/>
          <w:sz w:val="22"/>
          <w:szCs w:val="22"/>
        </w:rPr>
        <w:t>výstavba kabelové trafostanice č. 311 včetně kabelové vn přípojky (rozvoj. plocha č. 5)</w:t>
      </w:r>
    </w:p>
    <w:p w14:paraId="3C9877EF" w14:textId="77777777" w:rsidR="00BB63DF" w:rsidRPr="000C43F1" w:rsidRDefault="00BB63DF" w:rsidP="00BB63DF">
      <w:pPr>
        <w:spacing w:before="120"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E16</w:t>
      </w:r>
      <w:r>
        <w:rPr>
          <w:rFonts w:ascii="Arial" w:hAnsi="Arial" w:cs="Arial"/>
          <w:color w:val="00B050"/>
          <w:spacing w:val="3"/>
          <w:sz w:val="22"/>
          <w:szCs w:val="22"/>
        </w:rPr>
        <w:tab/>
      </w:r>
      <w:r w:rsidRPr="000C43F1">
        <w:rPr>
          <w:rFonts w:ascii="Arial" w:hAnsi="Arial" w:cs="Arial"/>
          <w:color w:val="00B050"/>
          <w:spacing w:val="3"/>
          <w:sz w:val="22"/>
          <w:szCs w:val="22"/>
        </w:rPr>
        <w:t>výstavba sloupové trafostanice č. 3 16 včetně přípojky vn (rozvoj. plocha č. 1)</w:t>
      </w:r>
    </w:p>
    <w:p w14:paraId="403DD1E2" w14:textId="77777777" w:rsidR="00BB63DF" w:rsidRPr="000C43F1" w:rsidRDefault="00BB63DF" w:rsidP="00BB63DF">
      <w:pPr>
        <w:spacing w:before="120"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P7</w:t>
      </w:r>
      <w:r>
        <w:rPr>
          <w:rFonts w:ascii="Arial" w:hAnsi="Arial" w:cs="Arial"/>
          <w:color w:val="00B050"/>
          <w:spacing w:val="3"/>
          <w:sz w:val="22"/>
          <w:szCs w:val="22"/>
        </w:rPr>
        <w:tab/>
      </w:r>
      <w:r w:rsidRPr="000C43F1">
        <w:rPr>
          <w:rFonts w:ascii="Arial" w:hAnsi="Arial" w:cs="Arial"/>
          <w:color w:val="00B050"/>
          <w:spacing w:val="3"/>
          <w:sz w:val="22"/>
          <w:szCs w:val="22"/>
        </w:rPr>
        <w:t>výstavba NTL plynovodu (rozvoj. plocha č. 8)</w:t>
      </w:r>
    </w:p>
    <w:p w14:paraId="1EA99E93" w14:textId="77777777" w:rsidR="00BB63DF" w:rsidRPr="000C43F1" w:rsidRDefault="00BB63DF" w:rsidP="00BB63DF">
      <w:pPr>
        <w:spacing w:before="120"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PS</w:t>
      </w:r>
      <w:r>
        <w:rPr>
          <w:rFonts w:ascii="Arial" w:hAnsi="Arial" w:cs="Arial"/>
          <w:color w:val="00B050"/>
          <w:spacing w:val="3"/>
          <w:sz w:val="22"/>
          <w:szCs w:val="22"/>
        </w:rPr>
        <w:tab/>
      </w:r>
      <w:r w:rsidRPr="000C43F1">
        <w:rPr>
          <w:rFonts w:ascii="Arial" w:hAnsi="Arial" w:cs="Arial"/>
          <w:color w:val="00B050"/>
          <w:spacing w:val="3"/>
          <w:sz w:val="22"/>
          <w:szCs w:val="22"/>
        </w:rPr>
        <w:t>výstavba NTL plynovodu (rozvoj. plocha č. 8)</w:t>
      </w:r>
    </w:p>
    <w:p w14:paraId="6C352E37" w14:textId="77777777" w:rsidR="00BB63DF" w:rsidRPr="000C43F1" w:rsidRDefault="00BB63DF" w:rsidP="00BB63DF">
      <w:pPr>
        <w:spacing w:before="120"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P21</w:t>
      </w:r>
      <w:r>
        <w:rPr>
          <w:rFonts w:ascii="Arial" w:hAnsi="Arial" w:cs="Arial"/>
          <w:color w:val="00B050"/>
          <w:spacing w:val="3"/>
          <w:sz w:val="22"/>
          <w:szCs w:val="22"/>
        </w:rPr>
        <w:tab/>
      </w:r>
      <w:r w:rsidRPr="000C43F1">
        <w:rPr>
          <w:rFonts w:ascii="Arial" w:hAnsi="Arial" w:cs="Arial"/>
          <w:color w:val="00B050"/>
          <w:spacing w:val="3"/>
          <w:sz w:val="22"/>
          <w:szCs w:val="22"/>
        </w:rPr>
        <w:t>výstavba STL plynovodu (rozvoj. plocha č. 5</w:t>
      </w:r>
    </w:p>
    <w:p w14:paraId="4F3AD264" w14:textId="77777777" w:rsidR="00BB63DF" w:rsidRPr="000C43F1" w:rsidRDefault="00BB63DF" w:rsidP="00BB63DF">
      <w:pPr>
        <w:spacing w:before="120" w:line="288" w:lineRule="auto"/>
        <w:ind w:left="72"/>
        <w:jc w:val="both"/>
        <w:rPr>
          <w:rFonts w:ascii="Arial" w:hAnsi="Arial" w:cs="Arial"/>
          <w:color w:val="00B050"/>
          <w:spacing w:val="3"/>
          <w:sz w:val="22"/>
          <w:szCs w:val="22"/>
        </w:rPr>
      </w:pPr>
      <w:r w:rsidRPr="000C43F1">
        <w:rPr>
          <w:rFonts w:ascii="Arial" w:hAnsi="Arial" w:cs="Arial"/>
          <w:color w:val="00B050"/>
          <w:spacing w:val="3"/>
          <w:sz w:val="22"/>
          <w:szCs w:val="22"/>
        </w:rPr>
        <w:t>P23</w:t>
      </w:r>
      <w:r>
        <w:rPr>
          <w:rFonts w:ascii="Arial" w:hAnsi="Arial" w:cs="Arial"/>
          <w:color w:val="00B050"/>
          <w:spacing w:val="3"/>
          <w:sz w:val="22"/>
          <w:szCs w:val="22"/>
        </w:rPr>
        <w:tab/>
      </w:r>
      <w:r w:rsidRPr="000C43F1">
        <w:rPr>
          <w:rFonts w:ascii="Arial" w:hAnsi="Arial" w:cs="Arial"/>
          <w:color w:val="00B050"/>
          <w:spacing w:val="3"/>
          <w:sz w:val="22"/>
          <w:szCs w:val="22"/>
        </w:rPr>
        <w:t>výstavba STL plynovodu, plošná plynofikace sídla Křešice (rozvoj. plocha č. 2)</w:t>
      </w:r>
    </w:p>
    <w:p w14:paraId="1EA61B13" w14:textId="77777777" w:rsidR="00BB63DF" w:rsidRPr="000C43F1" w:rsidRDefault="00BB63DF" w:rsidP="00BB63DF">
      <w:pPr>
        <w:autoSpaceDE w:val="0"/>
        <w:autoSpaceDN w:val="0"/>
        <w:adjustRightInd w:val="0"/>
        <w:spacing w:before="120" w:line="288" w:lineRule="auto"/>
        <w:jc w:val="both"/>
        <w:rPr>
          <w:rFonts w:ascii="Arial" w:hAnsi="Arial" w:cs="Arial"/>
          <w:sz w:val="22"/>
          <w:szCs w:val="22"/>
        </w:rPr>
      </w:pPr>
    </w:p>
    <w:p w14:paraId="65696C16" w14:textId="77777777" w:rsidR="00BB63DF" w:rsidRPr="00B63E16" w:rsidRDefault="00BB63DF" w:rsidP="00BB63DF">
      <w:pPr>
        <w:keepNext/>
        <w:spacing w:before="120" w:line="288" w:lineRule="auto"/>
        <w:jc w:val="both"/>
        <w:rPr>
          <w:rFonts w:ascii="Arial" w:hAnsi="Arial" w:cs="Arial"/>
          <w:b/>
          <w:color w:val="BF8F00"/>
        </w:rPr>
      </w:pPr>
      <w:r w:rsidRPr="00B63E16">
        <w:rPr>
          <w:rFonts w:ascii="Arial" w:hAnsi="Arial" w:cs="Arial"/>
          <w:b/>
          <w:color w:val="BF8F00"/>
        </w:rPr>
        <w:t>(Z2) VYMEZENÍ VEŘEJNĚ PROSPĚŠNÝCH STAVEB VEŘEJNÉ PROSPĚŠNÝCH OPATŘENÍ, PRO KTERÉ LZE PRÁVA K POZEMKÚM A STAVBÁM VYVL</w:t>
      </w:r>
      <w:r>
        <w:rPr>
          <w:rFonts w:ascii="Arial" w:hAnsi="Arial" w:cs="Arial"/>
          <w:b/>
          <w:color w:val="BF8F00"/>
        </w:rPr>
        <w:t>ASTNIT</w:t>
      </w:r>
    </w:p>
    <w:p w14:paraId="18646D13" w14:textId="77777777" w:rsidR="00BB63DF" w:rsidRPr="000C43F1" w:rsidRDefault="00BB63DF" w:rsidP="00BB63DF">
      <w:pPr>
        <w:spacing w:before="120" w:line="288" w:lineRule="auto"/>
        <w:jc w:val="both"/>
        <w:rPr>
          <w:rFonts w:ascii="Arial" w:hAnsi="Arial" w:cs="Arial"/>
          <w:color w:val="BF8F00"/>
          <w:sz w:val="22"/>
          <w:szCs w:val="22"/>
        </w:rPr>
      </w:pPr>
      <w:r w:rsidRPr="008D5C88">
        <w:rPr>
          <w:rFonts w:ascii="Arial" w:hAnsi="Arial" w:cs="Arial"/>
          <w:noProof/>
          <w:color w:val="BF8F00"/>
          <w:sz w:val="22"/>
          <w:szCs w:val="22"/>
          <w:lang w:eastAsia="cs-CZ"/>
        </w:rPr>
        <w:drawing>
          <wp:inline distT="0" distB="0" distL="0" distR="0" wp14:anchorId="0CAA6AB5" wp14:editId="00CC4FC4">
            <wp:extent cx="5848985" cy="4020185"/>
            <wp:effectExtent l="38100" t="38100" r="37465" b="37465"/>
            <wp:docPr id="25293" name="Obrázek 25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5848985" cy="4020185"/>
                    </a:xfrm>
                    <a:prstGeom prst="rect">
                      <a:avLst/>
                    </a:prstGeom>
                    <a:noFill/>
                    <a:ln w="38100" cmpd="sng">
                      <a:solidFill>
                        <a:srgbClr val="BF8F00"/>
                      </a:solidFill>
                      <a:miter lim="800000"/>
                      <a:headEnd/>
                      <a:tailEnd/>
                    </a:ln>
                    <a:effectLst/>
                  </pic:spPr>
                </pic:pic>
              </a:graphicData>
            </a:graphic>
          </wp:inline>
        </w:drawing>
      </w:r>
    </w:p>
    <w:p w14:paraId="5FB926A6" w14:textId="77777777" w:rsidR="00BB63DF" w:rsidRPr="000C43F1" w:rsidRDefault="00BB63DF" w:rsidP="00BB63DF">
      <w:pPr>
        <w:spacing w:before="120" w:line="288" w:lineRule="auto"/>
        <w:jc w:val="both"/>
        <w:rPr>
          <w:rFonts w:ascii="Arial" w:hAnsi="Arial" w:cs="Arial"/>
          <w:color w:val="BF8F00"/>
          <w:sz w:val="22"/>
          <w:szCs w:val="22"/>
        </w:rPr>
      </w:pPr>
      <w:r w:rsidRPr="008D5C88">
        <w:rPr>
          <w:rFonts w:ascii="Arial" w:hAnsi="Arial" w:cs="Arial"/>
          <w:noProof/>
          <w:color w:val="BF8F00"/>
          <w:sz w:val="22"/>
          <w:szCs w:val="22"/>
          <w:lang w:eastAsia="cs-CZ"/>
        </w:rPr>
        <w:lastRenderedPageBreak/>
        <w:drawing>
          <wp:inline distT="0" distB="0" distL="0" distR="0" wp14:anchorId="391CB38C" wp14:editId="1D20D52F">
            <wp:extent cx="5911850" cy="2254250"/>
            <wp:effectExtent l="38100" t="38100" r="31750" b="31750"/>
            <wp:docPr id="25292" name="Obrázek 25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5911850" cy="2254250"/>
                    </a:xfrm>
                    <a:prstGeom prst="rect">
                      <a:avLst/>
                    </a:prstGeom>
                    <a:noFill/>
                    <a:ln w="38100" cmpd="sng">
                      <a:solidFill>
                        <a:srgbClr val="BF8F00"/>
                      </a:solidFill>
                      <a:miter lim="800000"/>
                      <a:headEnd/>
                      <a:tailEnd/>
                    </a:ln>
                    <a:effectLst/>
                  </pic:spPr>
                </pic:pic>
              </a:graphicData>
            </a:graphic>
          </wp:inline>
        </w:drawing>
      </w:r>
    </w:p>
    <w:p w14:paraId="5D0CA9B6" w14:textId="77777777" w:rsidR="00BB63DF" w:rsidRPr="000C43F1" w:rsidRDefault="00BB63DF" w:rsidP="00BB63DF">
      <w:pPr>
        <w:spacing w:before="120" w:line="288" w:lineRule="auto"/>
        <w:jc w:val="both"/>
        <w:rPr>
          <w:rFonts w:ascii="Arial" w:hAnsi="Arial" w:cs="Arial"/>
          <w:b/>
          <w:color w:val="BF8F00"/>
          <w:sz w:val="22"/>
          <w:szCs w:val="22"/>
        </w:rPr>
      </w:pPr>
      <w:r>
        <w:rPr>
          <w:rFonts w:ascii="Arial" w:hAnsi="Arial" w:cs="Arial"/>
          <w:b/>
          <w:color w:val="BF8F00"/>
          <w:sz w:val="22"/>
          <w:szCs w:val="22"/>
        </w:rPr>
        <w:t>h</w:t>
      </w:r>
      <w:r w:rsidRPr="000C43F1">
        <w:rPr>
          <w:rFonts w:ascii="Arial" w:hAnsi="Arial" w:cs="Arial"/>
          <w:b/>
          <w:color w:val="BF8F00"/>
          <w:sz w:val="22"/>
          <w:szCs w:val="22"/>
        </w:rPr>
        <w:t>) VYMEZENÍ DALŠÍCH VEŘEJN</w:t>
      </w:r>
      <w:r>
        <w:rPr>
          <w:rFonts w:ascii="Arial" w:hAnsi="Arial" w:cs="Arial"/>
          <w:b/>
          <w:color w:val="BF8F00"/>
          <w:sz w:val="22"/>
          <w:szCs w:val="22"/>
        </w:rPr>
        <w:t>Ě</w:t>
      </w:r>
      <w:r w:rsidRPr="000C43F1">
        <w:rPr>
          <w:rFonts w:ascii="Arial" w:hAnsi="Arial" w:cs="Arial"/>
          <w:b/>
          <w:color w:val="BF8F00"/>
          <w:sz w:val="22"/>
          <w:szCs w:val="22"/>
        </w:rPr>
        <w:t xml:space="preserve"> PROSPĚŠNÝCH STAVEB A VEŘEJNÉ PROSPĚŠNÝCH OPATŘENÍ, PRO KTERÉ LZE UPLATNIT PŘEDKUPNÍ PRÁVO,</w:t>
      </w:r>
    </w:p>
    <w:p w14:paraId="49D78B2D" w14:textId="77777777" w:rsidR="00BB63DF" w:rsidRPr="000C43F1" w:rsidRDefault="00BB63DF" w:rsidP="00BB63DF">
      <w:pPr>
        <w:spacing w:before="120" w:line="288" w:lineRule="auto"/>
        <w:ind w:firstLine="709"/>
        <w:jc w:val="both"/>
        <w:rPr>
          <w:rFonts w:ascii="Arial" w:hAnsi="Arial" w:cs="Arial"/>
          <w:color w:val="BF8F00"/>
          <w:sz w:val="22"/>
          <w:szCs w:val="22"/>
        </w:rPr>
      </w:pPr>
      <w:r w:rsidRPr="000C43F1">
        <w:rPr>
          <w:rFonts w:ascii="Arial" w:hAnsi="Arial" w:cs="Arial"/>
          <w:color w:val="BF8F00"/>
          <w:sz w:val="22"/>
          <w:szCs w:val="22"/>
        </w:rPr>
        <w:t>Stavby nebyly vymezovány</w:t>
      </w:r>
      <w:r>
        <w:rPr>
          <w:rFonts w:ascii="Arial" w:hAnsi="Arial" w:cs="Arial"/>
          <w:color w:val="BF8F00"/>
          <w:sz w:val="22"/>
          <w:szCs w:val="22"/>
        </w:rPr>
        <w:t>.</w:t>
      </w:r>
    </w:p>
    <w:p w14:paraId="6D0311F0" w14:textId="77777777" w:rsidR="00BB63DF" w:rsidRPr="00B63E16" w:rsidRDefault="00BB63DF" w:rsidP="00BB63DF">
      <w:pPr>
        <w:keepNext/>
        <w:spacing w:before="120" w:line="288" w:lineRule="auto"/>
        <w:jc w:val="both"/>
        <w:rPr>
          <w:rFonts w:ascii="Arial" w:hAnsi="Arial" w:cs="Arial"/>
          <w:b/>
          <w:color w:val="0066FF"/>
        </w:rPr>
      </w:pPr>
      <w:r>
        <w:rPr>
          <w:rFonts w:ascii="Arial" w:hAnsi="Arial" w:cs="Arial"/>
          <w:b/>
          <w:color w:val="0066FF"/>
        </w:rPr>
        <w:br w:type="page"/>
      </w:r>
      <w:r w:rsidRPr="00B63E16">
        <w:rPr>
          <w:rFonts w:ascii="Arial" w:hAnsi="Arial" w:cs="Arial"/>
          <w:b/>
          <w:color w:val="0066FF"/>
        </w:rPr>
        <w:lastRenderedPageBreak/>
        <w:t>(Z4) VEŘEJNÉ PROSPĚŠNÉ STAVBY</w:t>
      </w:r>
    </w:p>
    <w:p w14:paraId="29D4272A" w14:textId="77777777" w:rsidR="00BB63DF" w:rsidRPr="000C43F1" w:rsidRDefault="00BB63DF" w:rsidP="00BB63DF">
      <w:pPr>
        <w:spacing w:before="120" w:line="288" w:lineRule="auto"/>
        <w:jc w:val="both"/>
        <w:rPr>
          <w:rFonts w:ascii="Arial" w:hAnsi="Arial" w:cs="Arial"/>
          <w:b/>
          <w:color w:val="0066FF"/>
          <w:sz w:val="22"/>
          <w:szCs w:val="22"/>
        </w:rPr>
      </w:pPr>
      <w:r w:rsidRPr="000C43F1">
        <w:rPr>
          <w:rFonts w:ascii="Arial" w:hAnsi="Arial" w:cs="Arial"/>
          <w:b/>
          <w:color w:val="0066FF"/>
          <w:sz w:val="22"/>
          <w:szCs w:val="22"/>
        </w:rPr>
        <w:t>Dopravní část</w:t>
      </w:r>
    </w:p>
    <w:p w14:paraId="4AEF3D37" w14:textId="77777777" w:rsidR="00BB63DF" w:rsidRPr="000C43F1" w:rsidRDefault="00BB63DF" w:rsidP="00BB63DF">
      <w:pPr>
        <w:spacing w:before="120" w:line="288" w:lineRule="auto"/>
        <w:ind w:left="993" w:hanging="993"/>
        <w:jc w:val="both"/>
        <w:rPr>
          <w:rFonts w:ascii="Arial" w:hAnsi="Arial" w:cs="Arial"/>
          <w:color w:val="0066FF"/>
          <w:sz w:val="22"/>
          <w:szCs w:val="22"/>
        </w:rPr>
      </w:pPr>
      <w:r w:rsidRPr="000C43F1">
        <w:rPr>
          <w:rFonts w:ascii="Arial" w:hAnsi="Arial" w:cs="Arial"/>
          <w:b/>
          <w:color w:val="0066FF"/>
          <w:sz w:val="22"/>
          <w:szCs w:val="22"/>
        </w:rPr>
        <w:t>Z4-D1</w:t>
      </w:r>
      <w:r w:rsidRPr="000C43F1">
        <w:rPr>
          <w:rFonts w:ascii="Arial" w:hAnsi="Arial" w:cs="Arial"/>
          <w:color w:val="0066FF"/>
          <w:sz w:val="22"/>
          <w:szCs w:val="22"/>
        </w:rPr>
        <w:t xml:space="preserve"> </w:t>
      </w:r>
      <w:r w:rsidRPr="000C43F1">
        <w:rPr>
          <w:rFonts w:ascii="Arial" w:hAnsi="Arial" w:cs="Arial"/>
          <w:color w:val="0066FF"/>
          <w:sz w:val="22"/>
          <w:szCs w:val="22"/>
        </w:rPr>
        <w:tab/>
        <w:t>Rozšíření stávající Albánské ulice a navazující nová přístupová komunikace do</w:t>
      </w:r>
      <w:r>
        <w:rPr>
          <w:rFonts w:ascii="Arial" w:hAnsi="Arial" w:cs="Arial"/>
          <w:color w:val="0066FF"/>
          <w:sz w:val="22"/>
          <w:szCs w:val="22"/>
        </w:rPr>
        <w:t> </w:t>
      </w:r>
      <w:r w:rsidRPr="000C43F1">
        <w:rPr>
          <w:rFonts w:ascii="Arial" w:hAnsi="Arial" w:cs="Arial"/>
          <w:color w:val="0066FF"/>
          <w:sz w:val="22"/>
          <w:szCs w:val="22"/>
        </w:rPr>
        <w:t>severní části lokality.</w:t>
      </w:r>
    </w:p>
    <w:p w14:paraId="570C4158" w14:textId="77777777" w:rsidR="00BB63DF" w:rsidRPr="000C43F1" w:rsidRDefault="00BB63DF" w:rsidP="00BB63DF">
      <w:pPr>
        <w:spacing w:before="120" w:line="288" w:lineRule="auto"/>
        <w:ind w:left="993" w:hanging="993"/>
        <w:jc w:val="both"/>
        <w:rPr>
          <w:rFonts w:ascii="Arial" w:hAnsi="Arial" w:cs="Arial"/>
          <w:color w:val="0066FF"/>
          <w:sz w:val="22"/>
          <w:szCs w:val="22"/>
        </w:rPr>
      </w:pPr>
      <w:r w:rsidRPr="000C43F1">
        <w:rPr>
          <w:rFonts w:ascii="Arial" w:hAnsi="Arial" w:cs="Arial"/>
          <w:b/>
          <w:color w:val="0066FF"/>
          <w:sz w:val="22"/>
          <w:szCs w:val="22"/>
        </w:rPr>
        <w:t>Z4-D2</w:t>
      </w:r>
      <w:r w:rsidRPr="000C43F1">
        <w:rPr>
          <w:rFonts w:ascii="Arial" w:hAnsi="Arial" w:cs="Arial"/>
          <w:color w:val="0066FF"/>
          <w:sz w:val="22"/>
          <w:szCs w:val="22"/>
        </w:rPr>
        <w:t xml:space="preserve"> </w:t>
      </w:r>
      <w:r w:rsidRPr="000C43F1">
        <w:rPr>
          <w:rFonts w:ascii="Arial" w:hAnsi="Arial" w:cs="Arial"/>
          <w:color w:val="0066FF"/>
          <w:sz w:val="22"/>
          <w:szCs w:val="22"/>
        </w:rPr>
        <w:tab/>
        <w:t>Chodník pro pěší při východním okraji lokality.</w:t>
      </w:r>
    </w:p>
    <w:p w14:paraId="0C33A90F" w14:textId="77777777" w:rsidR="00BB63DF" w:rsidRPr="000C43F1" w:rsidRDefault="00BB63DF" w:rsidP="00BB63DF">
      <w:pPr>
        <w:spacing w:before="120" w:line="288" w:lineRule="auto"/>
        <w:jc w:val="both"/>
        <w:rPr>
          <w:rFonts w:ascii="Arial" w:hAnsi="Arial" w:cs="Arial"/>
          <w:b/>
          <w:color w:val="0066FF"/>
          <w:sz w:val="22"/>
          <w:szCs w:val="22"/>
        </w:rPr>
      </w:pPr>
      <w:r w:rsidRPr="000C43F1">
        <w:rPr>
          <w:rFonts w:ascii="Arial" w:hAnsi="Arial" w:cs="Arial"/>
          <w:b/>
          <w:color w:val="0066FF"/>
          <w:sz w:val="22"/>
          <w:szCs w:val="22"/>
        </w:rPr>
        <w:t>Část vodní hospodářství, odkanalizování</w:t>
      </w:r>
    </w:p>
    <w:p w14:paraId="34E960FE" w14:textId="77777777" w:rsidR="00BB63DF" w:rsidRPr="000C43F1" w:rsidRDefault="00BB63DF" w:rsidP="00BB63DF">
      <w:pPr>
        <w:spacing w:before="120" w:line="288" w:lineRule="auto"/>
        <w:ind w:left="993" w:hanging="993"/>
        <w:jc w:val="both"/>
        <w:rPr>
          <w:rFonts w:ascii="Arial" w:hAnsi="Arial" w:cs="Arial"/>
          <w:color w:val="0066FF"/>
          <w:sz w:val="22"/>
          <w:szCs w:val="22"/>
        </w:rPr>
      </w:pPr>
      <w:r w:rsidRPr="000C43F1">
        <w:rPr>
          <w:rFonts w:ascii="Arial" w:hAnsi="Arial" w:cs="Arial"/>
          <w:b/>
          <w:color w:val="0066FF"/>
          <w:sz w:val="22"/>
          <w:szCs w:val="22"/>
        </w:rPr>
        <w:t>Z4-K1</w:t>
      </w:r>
      <w:r w:rsidRPr="000C43F1">
        <w:rPr>
          <w:rFonts w:ascii="Arial" w:hAnsi="Arial" w:cs="Arial"/>
          <w:color w:val="0066FF"/>
          <w:sz w:val="22"/>
          <w:szCs w:val="22"/>
        </w:rPr>
        <w:tab/>
        <w:t>nová splašková kanalizační stoka DN300(250) od lokality do stávající kanalizace v</w:t>
      </w:r>
      <w:r>
        <w:rPr>
          <w:rFonts w:ascii="Arial" w:hAnsi="Arial" w:cs="Arial"/>
          <w:color w:val="0066FF"/>
          <w:sz w:val="22"/>
          <w:szCs w:val="22"/>
        </w:rPr>
        <w:t> </w:t>
      </w:r>
      <w:r w:rsidRPr="000C43F1">
        <w:rPr>
          <w:rFonts w:ascii="Arial" w:hAnsi="Arial" w:cs="Arial"/>
          <w:color w:val="0066FF"/>
          <w:sz w:val="22"/>
          <w:szCs w:val="22"/>
        </w:rPr>
        <w:t>Albánské ulici.</w:t>
      </w:r>
    </w:p>
    <w:p w14:paraId="783AC11E" w14:textId="77777777" w:rsidR="00BB63DF" w:rsidRPr="000C43F1" w:rsidRDefault="00BB63DF" w:rsidP="00BB63DF">
      <w:pPr>
        <w:spacing w:before="120" w:line="288" w:lineRule="auto"/>
        <w:jc w:val="both"/>
        <w:rPr>
          <w:rFonts w:ascii="Arial" w:hAnsi="Arial" w:cs="Arial"/>
          <w:b/>
          <w:color w:val="0066FF"/>
          <w:sz w:val="22"/>
          <w:szCs w:val="22"/>
        </w:rPr>
      </w:pPr>
      <w:r w:rsidRPr="000C43F1">
        <w:rPr>
          <w:rFonts w:ascii="Arial" w:hAnsi="Arial" w:cs="Arial"/>
          <w:b/>
          <w:color w:val="0066FF"/>
          <w:sz w:val="22"/>
          <w:szCs w:val="22"/>
        </w:rPr>
        <w:t>Část energetika a spoje</w:t>
      </w:r>
    </w:p>
    <w:p w14:paraId="010F9BBB" w14:textId="77777777" w:rsidR="00BB63DF" w:rsidRPr="000C43F1" w:rsidRDefault="00BB63DF" w:rsidP="00BB63DF">
      <w:pPr>
        <w:spacing w:before="120" w:line="288" w:lineRule="auto"/>
        <w:ind w:left="993" w:hanging="993"/>
        <w:jc w:val="both"/>
        <w:rPr>
          <w:rFonts w:ascii="Arial" w:hAnsi="Arial" w:cs="Arial"/>
          <w:color w:val="0066FF"/>
          <w:sz w:val="22"/>
          <w:szCs w:val="22"/>
        </w:rPr>
      </w:pPr>
      <w:r w:rsidRPr="000C43F1">
        <w:rPr>
          <w:rFonts w:ascii="Arial" w:hAnsi="Arial" w:cs="Arial"/>
          <w:b/>
          <w:color w:val="0066FF"/>
          <w:sz w:val="22"/>
          <w:szCs w:val="22"/>
        </w:rPr>
        <w:t>Z4-P1</w:t>
      </w:r>
      <w:r w:rsidRPr="000C43F1">
        <w:rPr>
          <w:rFonts w:ascii="Arial" w:hAnsi="Arial" w:cs="Arial"/>
          <w:color w:val="0066FF"/>
          <w:sz w:val="22"/>
          <w:szCs w:val="22"/>
        </w:rPr>
        <w:tab/>
        <w:t>výstavba STL plynovodu pro zásobo</w:t>
      </w:r>
      <w:r>
        <w:rPr>
          <w:rFonts w:ascii="Arial" w:hAnsi="Arial" w:cs="Arial"/>
          <w:color w:val="0066FF"/>
          <w:sz w:val="22"/>
          <w:szCs w:val="22"/>
        </w:rPr>
        <w:t>vání rozvojových ploch III/7, II</w:t>
      </w:r>
      <w:r w:rsidRPr="000C43F1">
        <w:rPr>
          <w:rFonts w:ascii="Arial" w:hAnsi="Arial" w:cs="Arial"/>
          <w:color w:val="0066FF"/>
          <w:sz w:val="22"/>
          <w:szCs w:val="22"/>
        </w:rPr>
        <w:t>/13 a II/ 14</w:t>
      </w:r>
    </w:p>
    <w:p w14:paraId="4ED603EA" w14:textId="77777777" w:rsidR="00BB63DF" w:rsidRPr="00B63E16" w:rsidRDefault="00BB63DF" w:rsidP="00BB63DF">
      <w:pPr>
        <w:spacing w:before="120" w:line="288" w:lineRule="auto"/>
        <w:jc w:val="both"/>
        <w:rPr>
          <w:rFonts w:ascii="Arial" w:hAnsi="Arial" w:cs="Arial"/>
          <w:i/>
          <w:color w:val="0066FF"/>
          <w:sz w:val="22"/>
          <w:szCs w:val="22"/>
        </w:rPr>
      </w:pPr>
      <w:r w:rsidRPr="00B63E16">
        <w:rPr>
          <w:rFonts w:ascii="Arial" w:hAnsi="Arial" w:cs="Arial"/>
          <w:i/>
          <w:color w:val="0066FF"/>
          <w:sz w:val="22"/>
          <w:szCs w:val="22"/>
        </w:rPr>
        <w:t>Poznámka: tato VPS nahrazuje VPS P6 ze schváleného územního plánu, která byla určena pro</w:t>
      </w:r>
      <w:r>
        <w:rPr>
          <w:rFonts w:ascii="Arial" w:hAnsi="Arial" w:cs="Arial"/>
          <w:i/>
          <w:color w:val="0066FF"/>
          <w:sz w:val="22"/>
          <w:szCs w:val="22"/>
        </w:rPr>
        <w:t> </w:t>
      </w:r>
      <w:r w:rsidRPr="00B63E16">
        <w:rPr>
          <w:rFonts w:ascii="Arial" w:hAnsi="Arial" w:cs="Arial"/>
          <w:i/>
          <w:color w:val="0066FF"/>
          <w:sz w:val="22"/>
          <w:szCs w:val="22"/>
        </w:rPr>
        <w:t xml:space="preserve">zásobování ploch </w:t>
      </w:r>
      <w:r>
        <w:rPr>
          <w:rFonts w:ascii="Arial" w:hAnsi="Arial" w:cs="Arial"/>
          <w:i/>
          <w:color w:val="0066FF"/>
          <w:sz w:val="22"/>
          <w:szCs w:val="22"/>
        </w:rPr>
        <w:t>II</w:t>
      </w:r>
      <w:r w:rsidRPr="00B63E16">
        <w:rPr>
          <w:rFonts w:ascii="Arial" w:hAnsi="Arial" w:cs="Arial"/>
          <w:i/>
          <w:color w:val="0066FF"/>
          <w:sz w:val="22"/>
          <w:szCs w:val="22"/>
        </w:rPr>
        <w:t>/13 a II/ 14. Povede v souběhu se stávajícím kabelem vysokého napětí.</w:t>
      </w:r>
    </w:p>
    <w:p w14:paraId="0360FD95" w14:textId="77777777" w:rsidR="00BB63DF" w:rsidRDefault="00BB63DF" w:rsidP="00BB63DF">
      <w:pPr>
        <w:spacing w:before="120" w:line="288" w:lineRule="auto"/>
        <w:jc w:val="both"/>
        <w:rPr>
          <w:rFonts w:ascii="Arial" w:hAnsi="Arial" w:cs="Arial"/>
          <w:b/>
          <w:color w:val="D60093"/>
          <w:sz w:val="22"/>
          <w:szCs w:val="22"/>
        </w:rPr>
      </w:pPr>
    </w:p>
    <w:p w14:paraId="3AECE657" w14:textId="77777777" w:rsidR="00BB63DF" w:rsidRPr="000C43F1" w:rsidRDefault="00BB63DF" w:rsidP="00BB63DF">
      <w:pPr>
        <w:spacing w:before="120" w:line="288" w:lineRule="auto"/>
        <w:jc w:val="both"/>
        <w:rPr>
          <w:rFonts w:ascii="Arial" w:hAnsi="Arial" w:cs="Arial"/>
          <w:b/>
          <w:color w:val="D60093"/>
          <w:sz w:val="22"/>
          <w:szCs w:val="22"/>
        </w:rPr>
      </w:pPr>
      <w:r w:rsidRPr="000C43F1">
        <w:rPr>
          <w:rFonts w:ascii="Arial" w:hAnsi="Arial" w:cs="Arial"/>
          <w:b/>
          <w:color w:val="D60093"/>
          <w:sz w:val="22"/>
          <w:szCs w:val="22"/>
        </w:rPr>
        <w:t>(Z6) VYMEZENÍ VEŘEJN</w:t>
      </w:r>
      <w:r>
        <w:rPr>
          <w:rFonts w:ascii="Arial" w:hAnsi="Arial" w:cs="Arial"/>
          <w:b/>
          <w:color w:val="D60093"/>
          <w:sz w:val="22"/>
          <w:szCs w:val="22"/>
        </w:rPr>
        <w:t>Ě</w:t>
      </w:r>
      <w:r w:rsidRPr="000C43F1">
        <w:rPr>
          <w:rFonts w:ascii="Arial" w:hAnsi="Arial" w:cs="Arial"/>
          <w:b/>
          <w:color w:val="D60093"/>
          <w:sz w:val="22"/>
          <w:szCs w:val="22"/>
        </w:rPr>
        <w:t xml:space="preserve"> PROSPĚŠNÝCH STAVEB</w:t>
      </w:r>
      <w:r>
        <w:rPr>
          <w:rFonts w:ascii="Arial" w:hAnsi="Arial" w:cs="Arial"/>
          <w:b/>
          <w:color w:val="D60093"/>
          <w:sz w:val="22"/>
          <w:szCs w:val="22"/>
        </w:rPr>
        <w:t>,</w:t>
      </w:r>
      <w:r w:rsidRPr="000C43F1">
        <w:rPr>
          <w:rFonts w:ascii="Arial" w:hAnsi="Arial" w:cs="Arial"/>
          <w:b/>
          <w:color w:val="D60093"/>
          <w:sz w:val="22"/>
          <w:szCs w:val="22"/>
        </w:rPr>
        <w:t xml:space="preserve"> VEŘEJN</w:t>
      </w:r>
      <w:r>
        <w:rPr>
          <w:rFonts w:ascii="Arial" w:hAnsi="Arial" w:cs="Arial"/>
          <w:b/>
          <w:color w:val="D60093"/>
          <w:sz w:val="22"/>
          <w:szCs w:val="22"/>
        </w:rPr>
        <w:t>Ě</w:t>
      </w:r>
      <w:r w:rsidRPr="000C43F1">
        <w:rPr>
          <w:rFonts w:ascii="Arial" w:hAnsi="Arial" w:cs="Arial"/>
          <w:b/>
          <w:color w:val="D60093"/>
          <w:sz w:val="22"/>
          <w:szCs w:val="22"/>
        </w:rPr>
        <w:t xml:space="preserve"> PROSPĚŠNÝCH OPATŘEN</w:t>
      </w:r>
      <w:r>
        <w:rPr>
          <w:rFonts w:ascii="Arial" w:hAnsi="Arial" w:cs="Arial"/>
          <w:b/>
          <w:color w:val="D60093"/>
          <w:sz w:val="22"/>
          <w:szCs w:val="22"/>
        </w:rPr>
        <w:t>Í</w:t>
      </w:r>
      <w:r w:rsidRPr="000C43F1">
        <w:rPr>
          <w:rFonts w:ascii="Arial" w:hAnsi="Arial" w:cs="Arial"/>
          <w:b/>
          <w:color w:val="D60093"/>
          <w:sz w:val="22"/>
          <w:szCs w:val="22"/>
        </w:rPr>
        <w:t>, PRO KTERÉ LZE PRÁVA K POZEMK</w:t>
      </w:r>
      <w:r>
        <w:rPr>
          <w:rFonts w:ascii="Arial" w:hAnsi="Arial" w:cs="Arial"/>
          <w:b/>
          <w:color w:val="D60093"/>
          <w:sz w:val="22"/>
          <w:szCs w:val="22"/>
        </w:rPr>
        <w:t>ŮM A STAVBÁM VYVLASTNIT</w:t>
      </w:r>
    </w:p>
    <w:p w14:paraId="2D4D6DB3" w14:textId="77777777" w:rsidR="00BB63DF" w:rsidRPr="000C43F1" w:rsidRDefault="00BB63DF" w:rsidP="00BB63DF">
      <w:pPr>
        <w:spacing w:before="120" w:line="288" w:lineRule="auto"/>
        <w:ind w:firstLine="709"/>
        <w:jc w:val="both"/>
        <w:rPr>
          <w:rFonts w:ascii="Arial" w:hAnsi="Arial" w:cs="Arial"/>
          <w:color w:val="D60093"/>
          <w:sz w:val="22"/>
          <w:szCs w:val="22"/>
        </w:rPr>
      </w:pPr>
      <w:r w:rsidRPr="000C43F1">
        <w:rPr>
          <w:rFonts w:ascii="Arial" w:hAnsi="Arial" w:cs="Arial"/>
          <w:color w:val="D60093"/>
          <w:sz w:val="22"/>
          <w:szCs w:val="22"/>
        </w:rPr>
        <w:t>Tabulka obsahuje navržené veřejně prospěšné stavby (DS 1 a W 17 - W 32) a stavby uvedené v ÚPD dříve zpracované, které budou pro navržený rozvoj rovněž využity.</w:t>
      </w:r>
    </w:p>
    <w:p w14:paraId="0E763A8E" w14:textId="77777777" w:rsidR="00BB63DF" w:rsidRPr="00D12A7B" w:rsidRDefault="00BB63DF" w:rsidP="00BB63DF">
      <w:pPr>
        <w:spacing w:line="276" w:lineRule="auto"/>
        <w:jc w:val="center"/>
        <w:rPr>
          <w:rFonts w:ascii="Arial" w:hAnsi="Arial" w:cs="Arial"/>
          <w:color w:val="D60093"/>
          <w:sz w:val="22"/>
          <w:szCs w:val="22"/>
        </w:rPr>
      </w:pPr>
      <w:r w:rsidRPr="008D5C88">
        <w:rPr>
          <w:rFonts w:ascii="Arial" w:hAnsi="Arial" w:cs="Arial"/>
          <w:noProof/>
          <w:color w:val="D60093"/>
          <w:sz w:val="22"/>
          <w:szCs w:val="22"/>
          <w:lang w:eastAsia="cs-CZ"/>
        </w:rPr>
        <w:drawing>
          <wp:inline distT="0" distB="0" distL="0" distR="0" wp14:anchorId="0F9F2A6B" wp14:editId="682B0324">
            <wp:extent cx="5375910" cy="3799205"/>
            <wp:effectExtent l="38100" t="38100" r="34290" b="29845"/>
            <wp:docPr id="25291" name="Obrázek 25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5375910" cy="3799205"/>
                    </a:xfrm>
                    <a:prstGeom prst="rect">
                      <a:avLst/>
                    </a:prstGeom>
                    <a:noFill/>
                    <a:ln w="38100" cmpd="sng">
                      <a:solidFill>
                        <a:srgbClr val="D60093"/>
                      </a:solidFill>
                      <a:miter lim="800000"/>
                      <a:headEnd/>
                      <a:tailEnd/>
                    </a:ln>
                    <a:effectLst/>
                  </pic:spPr>
                </pic:pic>
              </a:graphicData>
            </a:graphic>
          </wp:inline>
        </w:drawing>
      </w:r>
    </w:p>
    <w:p w14:paraId="68B11AD9" w14:textId="77777777" w:rsidR="00BB63DF" w:rsidRPr="00D12A7B" w:rsidRDefault="00BB63DF" w:rsidP="00BB63DF">
      <w:pPr>
        <w:spacing w:before="120" w:line="288" w:lineRule="auto"/>
        <w:jc w:val="both"/>
        <w:rPr>
          <w:rFonts w:ascii="Arial" w:hAnsi="Arial" w:cs="Arial"/>
          <w:b/>
          <w:color w:val="D60093"/>
          <w:sz w:val="22"/>
          <w:szCs w:val="22"/>
        </w:rPr>
      </w:pPr>
      <w:r>
        <w:rPr>
          <w:rFonts w:ascii="Arial" w:hAnsi="Arial" w:cs="Arial"/>
          <w:b/>
          <w:color w:val="D60093"/>
          <w:sz w:val="22"/>
          <w:szCs w:val="22"/>
        </w:rPr>
        <w:lastRenderedPageBreak/>
        <w:t>h) VYMEZENÍ DALŠÍCH VEŘEJNĚ PROSPĚ</w:t>
      </w:r>
      <w:r w:rsidRPr="00D12A7B">
        <w:rPr>
          <w:rFonts w:ascii="Arial" w:hAnsi="Arial" w:cs="Arial"/>
          <w:b/>
          <w:color w:val="D60093"/>
          <w:sz w:val="22"/>
          <w:szCs w:val="22"/>
        </w:rPr>
        <w:t>ŠNÝCH STAVEB A VEŘEJN</w:t>
      </w:r>
      <w:r>
        <w:rPr>
          <w:rFonts w:ascii="Arial" w:hAnsi="Arial" w:cs="Arial"/>
          <w:b/>
          <w:color w:val="D60093"/>
          <w:sz w:val="22"/>
          <w:szCs w:val="22"/>
        </w:rPr>
        <w:t>Ě</w:t>
      </w:r>
      <w:r w:rsidRPr="00D12A7B">
        <w:rPr>
          <w:rFonts w:ascii="Arial" w:hAnsi="Arial" w:cs="Arial"/>
          <w:b/>
          <w:color w:val="D60093"/>
          <w:sz w:val="22"/>
          <w:szCs w:val="22"/>
        </w:rPr>
        <w:t xml:space="preserve"> PROSPĚŠNÝCH OPATŘENÍ, PRO KTERÉ LZE UPLATNIT PŘEDKUPNÍ PRÁVO,</w:t>
      </w:r>
    </w:p>
    <w:p w14:paraId="6D5FD8B0" w14:textId="77777777" w:rsidR="00BB63DF" w:rsidRPr="00D12A7B" w:rsidRDefault="00BB63DF" w:rsidP="00BB63DF">
      <w:pPr>
        <w:spacing w:before="120" w:line="288" w:lineRule="auto"/>
        <w:ind w:firstLine="709"/>
        <w:jc w:val="both"/>
        <w:rPr>
          <w:rFonts w:ascii="Arial" w:hAnsi="Arial" w:cs="Arial"/>
          <w:color w:val="D60093"/>
          <w:sz w:val="22"/>
          <w:szCs w:val="22"/>
        </w:rPr>
      </w:pPr>
      <w:r w:rsidRPr="00D12A7B">
        <w:rPr>
          <w:rFonts w:ascii="Arial" w:hAnsi="Arial" w:cs="Arial"/>
          <w:color w:val="D60093"/>
          <w:sz w:val="22"/>
          <w:szCs w:val="22"/>
        </w:rPr>
        <w:t>Stavby nebyly vymezovány</w:t>
      </w:r>
      <w:r>
        <w:rPr>
          <w:rFonts w:ascii="Arial" w:hAnsi="Arial" w:cs="Arial"/>
          <w:color w:val="D60093"/>
          <w:sz w:val="22"/>
          <w:szCs w:val="22"/>
        </w:rPr>
        <w:t>.</w:t>
      </w:r>
    </w:p>
    <w:p w14:paraId="1108BA52" w14:textId="77777777" w:rsidR="00BB63DF" w:rsidRDefault="00BB63DF" w:rsidP="00BB63DF">
      <w:pPr>
        <w:pStyle w:val="Odstavecseseznamem"/>
        <w:autoSpaceDE w:val="0"/>
        <w:autoSpaceDN w:val="0"/>
        <w:adjustRightInd w:val="0"/>
        <w:spacing w:before="120" w:line="288" w:lineRule="auto"/>
        <w:ind w:left="0"/>
        <w:rPr>
          <w:rFonts w:ascii="Arial" w:hAnsi="Arial" w:cs="Arial"/>
          <w:b/>
          <w:bCs/>
          <w:smallCaps/>
          <w:color w:val="FF0000"/>
        </w:rPr>
      </w:pPr>
      <w:bookmarkStart w:id="21" w:name="_Toc354838632"/>
    </w:p>
    <w:p w14:paraId="16E0A24D" w14:textId="77777777" w:rsidR="00BB63DF" w:rsidRPr="009060E8" w:rsidRDefault="00BB63DF" w:rsidP="00BB63DF">
      <w:pPr>
        <w:pStyle w:val="Odstavecseseznamem"/>
        <w:autoSpaceDE w:val="0"/>
        <w:autoSpaceDN w:val="0"/>
        <w:adjustRightInd w:val="0"/>
        <w:spacing w:before="120" w:line="288" w:lineRule="auto"/>
        <w:ind w:left="0"/>
        <w:rPr>
          <w:rFonts w:ascii="Arial" w:hAnsi="Arial" w:cs="Arial"/>
          <w:b/>
          <w:bCs/>
          <w:smallCaps/>
          <w:color w:val="FF0000"/>
        </w:rPr>
      </w:pPr>
      <w:r>
        <w:rPr>
          <w:rFonts w:ascii="Arial" w:hAnsi="Arial" w:cs="Arial"/>
          <w:b/>
          <w:bCs/>
          <w:smallCaps/>
          <w:color w:val="FF0000"/>
        </w:rPr>
        <w:t xml:space="preserve">(Z8) </w:t>
      </w:r>
      <w:r w:rsidRPr="009060E8">
        <w:rPr>
          <w:rFonts w:ascii="Arial" w:hAnsi="Arial" w:cs="Arial"/>
          <w:b/>
          <w:bCs/>
          <w:smallCaps/>
          <w:color w:val="FF0000"/>
        </w:rPr>
        <w:t>vymezení veřejně prospěšných staveb, veřejně prospěšných opatření, staveb a opatření k zajišťování obrany a bezpečnosti státu a ploch pro asanaci, pro které lze práva k pozemkům a stavbám vyvlastnit,</w:t>
      </w:r>
      <w:bookmarkEnd w:id="21"/>
    </w:p>
    <w:p w14:paraId="42BF1487" w14:textId="77777777" w:rsidR="00BB63DF" w:rsidRPr="00065AA7" w:rsidRDefault="00BB63DF" w:rsidP="00BB63DF">
      <w:pPr>
        <w:spacing w:before="120" w:line="288" w:lineRule="auto"/>
        <w:jc w:val="both"/>
        <w:rPr>
          <w:rFonts w:ascii="Arial" w:hAnsi="Arial" w:cs="Arial"/>
          <w:b/>
          <w:color w:val="FF0000"/>
          <w:sz w:val="22"/>
          <w:szCs w:val="22"/>
        </w:rPr>
      </w:pPr>
      <w:bookmarkStart w:id="22" w:name="_Toc354838633"/>
      <w:r w:rsidRPr="00065AA7">
        <w:rPr>
          <w:rFonts w:ascii="Arial" w:hAnsi="Arial" w:cs="Arial"/>
          <w:b/>
          <w:color w:val="FF0000"/>
          <w:sz w:val="22"/>
          <w:szCs w:val="22"/>
        </w:rPr>
        <w:t>Umístění veřejně prospěšných staveb</w:t>
      </w:r>
      <w:bookmarkEnd w:id="22"/>
      <w:r w:rsidRPr="00065AA7">
        <w:rPr>
          <w:rFonts w:ascii="Arial" w:hAnsi="Arial" w:cs="Arial"/>
          <w:b/>
          <w:color w:val="FF0000"/>
          <w:sz w:val="22"/>
          <w:szCs w:val="22"/>
        </w:rPr>
        <w:t xml:space="preserve"> </w:t>
      </w:r>
    </w:p>
    <w:p w14:paraId="37834D7E" w14:textId="77777777" w:rsidR="00BB63DF" w:rsidRPr="009060E8" w:rsidRDefault="00BB63DF" w:rsidP="00BB63DF">
      <w:pPr>
        <w:spacing w:before="120" w:line="288" w:lineRule="auto"/>
        <w:ind w:firstLine="709"/>
        <w:jc w:val="both"/>
        <w:rPr>
          <w:rFonts w:ascii="Arial" w:hAnsi="Arial" w:cs="Arial"/>
          <w:color w:val="FF0000"/>
          <w:sz w:val="22"/>
          <w:szCs w:val="22"/>
        </w:rPr>
      </w:pPr>
      <w:r w:rsidRPr="009060E8">
        <w:rPr>
          <w:rFonts w:ascii="Arial" w:hAnsi="Arial" w:cs="Arial"/>
          <w:color w:val="FF0000"/>
          <w:sz w:val="22"/>
          <w:szCs w:val="22"/>
        </w:rPr>
        <w:t>VPO nejsou navrhována</w:t>
      </w:r>
    </w:p>
    <w:p w14:paraId="4340BB6E" w14:textId="77777777" w:rsidR="00BB63DF" w:rsidRPr="00065AA7" w:rsidRDefault="00BB63DF" w:rsidP="00BB63DF">
      <w:pPr>
        <w:spacing w:before="120" w:line="288" w:lineRule="auto"/>
        <w:jc w:val="both"/>
        <w:rPr>
          <w:rFonts w:ascii="Arial" w:hAnsi="Arial" w:cs="Arial"/>
          <w:b/>
          <w:color w:val="FF0000"/>
          <w:sz w:val="22"/>
          <w:szCs w:val="22"/>
        </w:rPr>
      </w:pPr>
      <w:r w:rsidRPr="00065AA7">
        <w:rPr>
          <w:rFonts w:ascii="Arial" w:hAnsi="Arial" w:cs="Arial"/>
          <w:b/>
          <w:color w:val="FF0000"/>
          <w:sz w:val="22"/>
          <w:szCs w:val="22"/>
        </w:rPr>
        <w:t>Energetika</w:t>
      </w:r>
    </w:p>
    <w:p w14:paraId="256350F1" w14:textId="77777777" w:rsidR="00BB63DF" w:rsidRPr="009060E8" w:rsidRDefault="00BB63DF" w:rsidP="00BB63DF">
      <w:pPr>
        <w:spacing w:before="120" w:line="288" w:lineRule="auto"/>
        <w:ind w:firstLine="709"/>
        <w:jc w:val="both"/>
        <w:rPr>
          <w:rFonts w:ascii="Arial" w:hAnsi="Arial" w:cs="Arial"/>
          <w:color w:val="FF0000"/>
          <w:sz w:val="22"/>
          <w:szCs w:val="22"/>
        </w:rPr>
      </w:pPr>
      <w:r w:rsidRPr="009060E8">
        <w:rPr>
          <w:rFonts w:ascii="Arial" w:hAnsi="Arial" w:cs="Arial"/>
          <w:color w:val="FF0000"/>
          <w:sz w:val="22"/>
          <w:szCs w:val="22"/>
        </w:rPr>
        <w:t>Tabulka obsahuje navržené veřejně prospěšné stavby (8Z-XX) a stavby uvedené v  ÚPD dříve zpracované a schválené, které budou pro navržený rozvoj rovněž využity (6Z-XX = 6.změna UPn+ označení VPS v dané dokumentaci).</w:t>
      </w:r>
    </w:p>
    <w:p w14:paraId="6E24E931" w14:textId="77777777" w:rsidR="00BB63DF" w:rsidRPr="009060E8" w:rsidRDefault="00BB63DF" w:rsidP="00BB63DF">
      <w:pPr>
        <w:rPr>
          <w:rFonts w:ascii="Arial" w:hAnsi="Arial" w:cs="Arial"/>
          <w:b/>
          <w:color w:val="FF0000"/>
        </w:rPr>
      </w:pPr>
    </w:p>
    <w:tbl>
      <w:tblPr>
        <w:tblW w:w="9239" w:type="dxa"/>
        <w:tblInd w:w="-229" w:type="dxa"/>
        <w:tblLayout w:type="fixed"/>
        <w:tblCellMar>
          <w:top w:w="55" w:type="dxa"/>
          <w:left w:w="55" w:type="dxa"/>
          <w:bottom w:w="55" w:type="dxa"/>
          <w:right w:w="55" w:type="dxa"/>
        </w:tblCellMar>
        <w:tblLook w:val="0000" w:firstRow="0" w:lastRow="0" w:firstColumn="0" w:lastColumn="0" w:noHBand="0" w:noVBand="0"/>
      </w:tblPr>
      <w:tblGrid>
        <w:gridCol w:w="993"/>
        <w:gridCol w:w="1551"/>
        <w:gridCol w:w="1692"/>
        <w:gridCol w:w="1258"/>
        <w:gridCol w:w="1736"/>
        <w:gridCol w:w="2009"/>
      </w:tblGrid>
      <w:tr w:rsidR="00BB63DF" w:rsidRPr="00037946" w14:paraId="26B55BAA" w14:textId="77777777" w:rsidTr="00BB63DF">
        <w:trPr>
          <w:trHeight w:val="345"/>
          <w:tblHeader/>
        </w:trPr>
        <w:tc>
          <w:tcPr>
            <w:tcW w:w="993" w:type="dxa"/>
            <w:tcBorders>
              <w:top w:val="single" w:sz="36" w:space="0" w:color="FF0000"/>
              <w:left w:val="single" w:sz="36" w:space="0" w:color="FF0000"/>
              <w:bottom w:val="single" w:sz="8" w:space="0" w:color="000000"/>
            </w:tcBorders>
            <w:shd w:val="clear" w:color="auto" w:fill="BFBFBF"/>
            <w:vAlign w:val="center"/>
          </w:tcPr>
          <w:p w14:paraId="1912ED1F" w14:textId="77777777" w:rsidR="00BB63DF" w:rsidRPr="00037946" w:rsidRDefault="00BB63DF" w:rsidP="00BB63DF">
            <w:pPr>
              <w:rPr>
                <w:rFonts w:ascii="Arial" w:hAnsi="Arial" w:cs="Arial"/>
                <w:b/>
                <w:sz w:val="22"/>
                <w:szCs w:val="22"/>
              </w:rPr>
            </w:pPr>
            <w:r w:rsidRPr="00037946">
              <w:rPr>
                <w:rFonts w:ascii="Arial" w:hAnsi="Arial" w:cs="Arial"/>
                <w:b/>
                <w:sz w:val="22"/>
                <w:szCs w:val="22"/>
              </w:rPr>
              <w:t>VPS č.</w:t>
            </w:r>
          </w:p>
        </w:tc>
        <w:tc>
          <w:tcPr>
            <w:tcW w:w="1551" w:type="dxa"/>
            <w:tcBorders>
              <w:top w:val="single" w:sz="36" w:space="0" w:color="FF0000"/>
              <w:left w:val="single" w:sz="8" w:space="0" w:color="000000"/>
              <w:bottom w:val="single" w:sz="8" w:space="0" w:color="000000"/>
            </w:tcBorders>
            <w:shd w:val="clear" w:color="auto" w:fill="BFBFBF"/>
            <w:vAlign w:val="center"/>
          </w:tcPr>
          <w:p w14:paraId="061F7C88" w14:textId="77777777" w:rsidR="00BB63DF" w:rsidRPr="00037946" w:rsidRDefault="00BB63DF" w:rsidP="00BB63DF">
            <w:pPr>
              <w:rPr>
                <w:rFonts w:ascii="Arial" w:hAnsi="Arial" w:cs="Arial"/>
                <w:b/>
                <w:sz w:val="22"/>
                <w:szCs w:val="22"/>
              </w:rPr>
            </w:pPr>
            <w:r w:rsidRPr="00037946">
              <w:rPr>
                <w:rFonts w:ascii="Arial" w:hAnsi="Arial" w:cs="Arial"/>
                <w:b/>
                <w:sz w:val="22"/>
                <w:szCs w:val="22"/>
              </w:rPr>
              <w:t>druh stavby</w:t>
            </w:r>
          </w:p>
        </w:tc>
        <w:tc>
          <w:tcPr>
            <w:tcW w:w="1692" w:type="dxa"/>
            <w:tcBorders>
              <w:top w:val="single" w:sz="36" w:space="0" w:color="FF0000"/>
              <w:left w:val="single" w:sz="8" w:space="0" w:color="000000"/>
              <w:bottom w:val="single" w:sz="8" w:space="0" w:color="000000"/>
            </w:tcBorders>
            <w:shd w:val="clear" w:color="auto" w:fill="BFBFBF"/>
            <w:vAlign w:val="center"/>
          </w:tcPr>
          <w:p w14:paraId="00F91EB7" w14:textId="77777777" w:rsidR="00BB63DF" w:rsidRPr="00037946" w:rsidRDefault="00BB63DF" w:rsidP="00BB63DF">
            <w:pPr>
              <w:rPr>
                <w:rFonts w:ascii="Arial" w:hAnsi="Arial" w:cs="Arial"/>
                <w:b/>
                <w:sz w:val="22"/>
                <w:szCs w:val="22"/>
              </w:rPr>
            </w:pPr>
            <w:r w:rsidRPr="00037946">
              <w:rPr>
                <w:rFonts w:ascii="Arial" w:hAnsi="Arial" w:cs="Arial"/>
                <w:b/>
                <w:sz w:val="22"/>
                <w:szCs w:val="22"/>
              </w:rPr>
              <w:t>číslo parcely</w:t>
            </w:r>
          </w:p>
        </w:tc>
        <w:tc>
          <w:tcPr>
            <w:tcW w:w="1258" w:type="dxa"/>
            <w:tcBorders>
              <w:top w:val="single" w:sz="36" w:space="0" w:color="FF0000"/>
              <w:left w:val="single" w:sz="8" w:space="0" w:color="000000"/>
              <w:bottom w:val="single" w:sz="8" w:space="0" w:color="000000"/>
            </w:tcBorders>
            <w:shd w:val="clear" w:color="auto" w:fill="BFBFBF"/>
            <w:vAlign w:val="center"/>
          </w:tcPr>
          <w:p w14:paraId="701BF385" w14:textId="77777777" w:rsidR="00BB63DF" w:rsidRPr="00037946" w:rsidRDefault="00BB63DF" w:rsidP="00BB63DF">
            <w:pPr>
              <w:rPr>
                <w:rFonts w:ascii="Arial" w:hAnsi="Arial" w:cs="Arial"/>
                <w:b/>
                <w:sz w:val="22"/>
                <w:szCs w:val="22"/>
              </w:rPr>
            </w:pPr>
            <w:r w:rsidRPr="00037946">
              <w:rPr>
                <w:rFonts w:ascii="Arial" w:hAnsi="Arial" w:cs="Arial"/>
                <w:b/>
                <w:sz w:val="22"/>
                <w:szCs w:val="22"/>
              </w:rPr>
              <w:t>pro lokalitu</w:t>
            </w:r>
          </w:p>
        </w:tc>
        <w:tc>
          <w:tcPr>
            <w:tcW w:w="1736" w:type="dxa"/>
            <w:tcBorders>
              <w:top w:val="single" w:sz="36" w:space="0" w:color="FF0000"/>
              <w:left w:val="single" w:sz="2" w:space="0" w:color="000000"/>
              <w:bottom w:val="single" w:sz="8" w:space="0" w:color="000000"/>
            </w:tcBorders>
            <w:shd w:val="clear" w:color="auto" w:fill="BFBFBF"/>
            <w:vAlign w:val="center"/>
          </w:tcPr>
          <w:p w14:paraId="7B5A397D" w14:textId="77777777" w:rsidR="00BB63DF" w:rsidRPr="00037946" w:rsidRDefault="00BB63DF" w:rsidP="00BB63DF">
            <w:pPr>
              <w:rPr>
                <w:rFonts w:ascii="Arial" w:hAnsi="Arial" w:cs="Arial"/>
                <w:b/>
                <w:sz w:val="22"/>
                <w:szCs w:val="22"/>
              </w:rPr>
            </w:pPr>
            <w:r w:rsidRPr="00037946">
              <w:rPr>
                <w:rFonts w:ascii="Arial" w:hAnsi="Arial" w:cs="Arial"/>
                <w:b/>
                <w:sz w:val="22"/>
                <w:szCs w:val="22"/>
              </w:rPr>
              <w:t>katastr</w:t>
            </w:r>
          </w:p>
        </w:tc>
        <w:tc>
          <w:tcPr>
            <w:tcW w:w="2009" w:type="dxa"/>
            <w:tcBorders>
              <w:top w:val="single" w:sz="36" w:space="0" w:color="FF0000"/>
              <w:left w:val="single" w:sz="2" w:space="0" w:color="000000"/>
              <w:bottom w:val="single" w:sz="8" w:space="0" w:color="000000"/>
              <w:right w:val="single" w:sz="36" w:space="0" w:color="FF0000"/>
            </w:tcBorders>
            <w:shd w:val="clear" w:color="auto" w:fill="BFBFBF"/>
            <w:vAlign w:val="center"/>
          </w:tcPr>
          <w:p w14:paraId="4F5C65AC" w14:textId="77777777" w:rsidR="00BB63DF" w:rsidRPr="00037946" w:rsidRDefault="00BB63DF" w:rsidP="00BB63DF">
            <w:pPr>
              <w:rPr>
                <w:rFonts w:ascii="Arial Black" w:hAnsi="Arial Black" w:cs="Arial Black"/>
                <w:sz w:val="22"/>
                <w:szCs w:val="22"/>
              </w:rPr>
            </w:pPr>
            <w:r w:rsidRPr="00037946">
              <w:rPr>
                <w:rFonts w:ascii="Arial" w:hAnsi="Arial" w:cs="Arial"/>
                <w:b/>
                <w:sz w:val="22"/>
                <w:szCs w:val="22"/>
              </w:rPr>
              <w:t>podmiňující VPS dříve navržené</w:t>
            </w:r>
          </w:p>
        </w:tc>
      </w:tr>
      <w:tr w:rsidR="00BB63DF" w:rsidRPr="00037946" w14:paraId="3AEC21EE" w14:textId="77777777" w:rsidTr="00BB63DF">
        <w:trPr>
          <w:trHeight w:val="345"/>
        </w:trPr>
        <w:tc>
          <w:tcPr>
            <w:tcW w:w="993" w:type="dxa"/>
            <w:tcBorders>
              <w:left w:val="single" w:sz="36" w:space="0" w:color="FF0000"/>
              <w:bottom w:val="single" w:sz="2" w:space="0" w:color="000000"/>
            </w:tcBorders>
            <w:vAlign w:val="center"/>
          </w:tcPr>
          <w:p w14:paraId="168A5CFB" w14:textId="77777777" w:rsidR="00BB63DF" w:rsidRPr="00037946" w:rsidRDefault="00BB63DF" w:rsidP="00BB63DF">
            <w:pPr>
              <w:rPr>
                <w:sz w:val="22"/>
                <w:szCs w:val="22"/>
              </w:rPr>
            </w:pPr>
            <w:r w:rsidRPr="00037946">
              <w:rPr>
                <w:rFonts w:ascii="Arial Black" w:hAnsi="Arial Black" w:cs="Arial Black"/>
                <w:sz w:val="22"/>
                <w:szCs w:val="22"/>
              </w:rPr>
              <w:t>8Z-P1</w:t>
            </w:r>
          </w:p>
        </w:tc>
        <w:tc>
          <w:tcPr>
            <w:tcW w:w="1551" w:type="dxa"/>
            <w:tcBorders>
              <w:left w:val="single" w:sz="8" w:space="0" w:color="000000"/>
              <w:bottom w:val="single" w:sz="2" w:space="0" w:color="000000"/>
            </w:tcBorders>
            <w:vAlign w:val="center"/>
          </w:tcPr>
          <w:p w14:paraId="551DC2F4" w14:textId="77777777" w:rsidR="00BB63DF" w:rsidRPr="00037946" w:rsidRDefault="00BB63DF" w:rsidP="00BB63DF">
            <w:pPr>
              <w:rPr>
                <w:sz w:val="22"/>
                <w:szCs w:val="22"/>
              </w:rPr>
            </w:pPr>
            <w:r w:rsidRPr="00037946">
              <w:rPr>
                <w:sz w:val="22"/>
                <w:szCs w:val="22"/>
              </w:rPr>
              <w:t>STL plynovod</w:t>
            </w:r>
          </w:p>
        </w:tc>
        <w:tc>
          <w:tcPr>
            <w:tcW w:w="1692" w:type="dxa"/>
            <w:tcBorders>
              <w:left w:val="single" w:sz="8" w:space="0" w:color="000000"/>
              <w:bottom w:val="single" w:sz="2" w:space="0" w:color="000000"/>
            </w:tcBorders>
            <w:vAlign w:val="center"/>
          </w:tcPr>
          <w:p w14:paraId="71CCE633" w14:textId="77777777" w:rsidR="00BB63DF" w:rsidRPr="00037946" w:rsidRDefault="00BB63DF" w:rsidP="00BB63DF">
            <w:pPr>
              <w:snapToGrid w:val="0"/>
              <w:rPr>
                <w:sz w:val="22"/>
                <w:szCs w:val="22"/>
              </w:rPr>
            </w:pPr>
          </w:p>
        </w:tc>
        <w:tc>
          <w:tcPr>
            <w:tcW w:w="1258" w:type="dxa"/>
            <w:tcBorders>
              <w:left w:val="single" w:sz="8" w:space="0" w:color="000000"/>
              <w:bottom w:val="single" w:sz="2" w:space="0" w:color="000000"/>
            </w:tcBorders>
            <w:vAlign w:val="center"/>
          </w:tcPr>
          <w:p w14:paraId="5CA83161" w14:textId="77777777" w:rsidR="00BB63DF" w:rsidRPr="00037946" w:rsidRDefault="00BB63DF" w:rsidP="00BB63DF">
            <w:pPr>
              <w:rPr>
                <w:sz w:val="22"/>
                <w:szCs w:val="22"/>
              </w:rPr>
            </w:pPr>
            <w:r w:rsidRPr="00037946">
              <w:rPr>
                <w:sz w:val="22"/>
                <w:szCs w:val="22"/>
              </w:rPr>
              <w:t>8z-06 8z-40</w:t>
            </w:r>
          </w:p>
          <w:p w14:paraId="3B7B4402" w14:textId="77777777" w:rsidR="00BB63DF" w:rsidRPr="00037946" w:rsidRDefault="00BB63DF" w:rsidP="00BB63DF">
            <w:pPr>
              <w:rPr>
                <w:sz w:val="22"/>
                <w:szCs w:val="22"/>
              </w:rPr>
            </w:pPr>
            <w:r w:rsidRPr="00037946">
              <w:rPr>
                <w:sz w:val="22"/>
                <w:szCs w:val="22"/>
              </w:rPr>
              <w:t>8z-50b</w:t>
            </w:r>
          </w:p>
        </w:tc>
        <w:tc>
          <w:tcPr>
            <w:tcW w:w="1736" w:type="dxa"/>
            <w:tcBorders>
              <w:left w:val="single" w:sz="2" w:space="0" w:color="000000"/>
              <w:bottom w:val="single" w:sz="2" w:space="0" w:color="000000"/>
            </w:tcBorders>
            <w:vAlign w:val="center"/>
          </w:tcPr>
          <w:p w14:paraId="02ECDE8A" w14:textId="77777777" w:rsidR="00BB63DF" w:rsidRPr="00037946" w:rsidRDefault="00BB63DF" w:rsidP="00BB63DF">
            <w:pPr>
              <w:rPr>
                <w:sz w:val="22"/>
                <w:szCs w:val="22"/>
              </w:rPr>
            </w:pPr>
            <w:r w:rsidRPr="00037946">
              <w:rPr>
                <w:sz w:val="22"/>
                <w:szCs w:val="22"/>
              </w:rPr>
              <w:t>Horní Oldřichov</w:t>
            </w:r>
          </w:p>
        </w:tc>
        <w:tc>
          <w:tcPr>
            <w:tcW w:w="2009" w:type="dxa"/>
            <w:tcBorders>
              <w:left w:val="single" w:sz="2" w:space="0" w:color="000000"/>
              <w:bottom w:val="single" w:sz="2" w:space="0" w:color="000000"/>
              <w:right w:val="single" w:sz="36" w:space="0" w:color="FF0000"/>
            </w:tcBorders>
            <w:vAlign w:val="center"/>
          </w:tcPr>
          <w:p w14:paraId="5422177E" w14:textId="77777777" w:rsidR="00BB63DF" w:rsidRPr="00037946" w:rsidRDefault="00BB63DF" w:rsidP="00BB63DF">
            <w:pPr>
              <w:jc w:val="center"/>
              <w:rPr>
                <w:rFonts w:ascii="Arial Black" w:hAnsi="Arial Black" w:cs="Arial Black"/>
                <w:sz w:val="22"/>
                <w:szCs w:val="22"/>
              </w:rPr>
            </w:pPr>
            <w:r w:rsidRPr="00037946">
              <w:rPr>
                <w:sz w:val="22"/>
                <w:szCs w:val="22"/>
              </w:rPr>
              <w:t>x</w:t>
            </w:r>
          </w:p>
        </w:tc>
      </w:tr>
      <w:tr w:rsidR="00BB63DF" w:rsidRPr="00037946" w14:paraId="71C66006" w14:textId="77777777" w:rsidTr="00BB63DF">
        <w:trPr>
          <w:trHeight w:val="345"/>
        </w:trPr>
        <w:tc>
          <w:tcPr>
            <w:tcW w:w="993" w:type="dxa"/>
            <w:tcBorders>
              <w:left w:val="single" w:sz="36" w:space="0" w:color="FF0000"/>
              <w:bottom w:val="single" w:sz="2" w:space="0" w:color="000000"/>
            </w:tcBorders>
            <w:vAlign w:val="center"/>
          </w:tcPr>
          <w:p w14:paraId="0FDE7A2F" w14:textId="77777777" w:rsidR="00BB63DF" w:rsidRPr="00037946" w:rsidRDefault="00BB63DF" w:rsidP="00BB63DF">
            <w:pPr>
              <w:rPr>
                <w:sz w:val="22"/>
                <w:szCs w:val="22"/>
              </w:rPr>
            </w:pPr>
            <w:r w:rsidRPr="00037946">
              <w:rPr>
                <w:rFonts w:ascii="Arial Black" w:hAnsi="Arial Black" w:cs="Arial Black"/>
                <w:sz w:val="22"/>
                <w:szCs w:val="22"/>
              </w:rPr>
              <w:t>8Z-P2</w:t>
            </w:r>
          </w:p>
        </w:tc>
        <w:tc>
          <w:tcPr>
            <w:tcW w:w="1551" w:type="dxa"/>
            <w:tcBorders>
              <w:left w:val="single" w:sz="8" w:space="0" w:color="000000"/>
              <w:bottom w:val="single" w:sz="2" w:space="0" w:color="000000"/>
            </w:tcBorders>
            <w:vAlign w:val="center"/>
          </w:tcPr>
          <w:p w14:paraId="650224EE" w14:textId="77777777" w:rsidR="00BB63DF" w:rsidRPr="00037946" w:rsidRDefault="00BB63DF" w:rsidP="00BB63DF">
            <w:pPr>
              <w:rPr>
                <w:sz w:val="22"/>
                <w:szCs w:val="22"/>
              </w:rPr>
            </w:pPr>
            <w:r w:rsidRPr="00037946">
              <w:rPr>
                <w:sz w:val="22"/>
                <w:szCs w:val="22"/>
              </w:rPr>
              <w:t>STL plynovod</w:t>
            </w:r>
          </w:p>
        </w:tc>
        <w:tc>
          <w:tcPr>
            <w:tcW w:w="1692" w:type="dxa"/>
            <w:tcBorders>
              <w:left w:val="single" w:sz="8" w:space="0" w:color="000000"/>
              <w:bottom w:val="single" w:sz="2" w:space="0" w:color="000000"/>
            </w:tcBorders>
            <w:vAlign w:val="center"/>
          </w:tcPr>
          <w:p w14:paraId="1E4F9FB8" w14:textId="77777777" w:rsidR="00BB63DF" w:rsidRPr="00037946" w:rsidRDefault="00BB63DF" w:rsidP="00BB63DF">
            <w:pPr>
              <w:rPr>
                <w:sz w:val="22"/>
                <w:szCs w:val="22"/>
              </w:rPr>
            </w:pPr>
            <w:r w:rsidRPr="00037946">
              <w:rPr>
                <w:sz w:val="22"/>
                <w:szCs w:val="22"/>
              </w:rPr>
              <w:t>pp č. 1549/4, ../3, ../2, ../1. 1341/9, 302/3, ../2,</w:t>
            </w:r>
          </w:p>
        </w:tc>
        <w:tc>
          <w:tcPr>
            <w:tcW w:w="1258" w:type="dxa"/>
            <w:tcBorders>
              <w:left w:val="single" w:sz="8" w:space="0" w:color="000000"/>
              <w:bottom w:val="single" w:sz="2" w:space="0" w:color="000000"/>
            </w:tcBorders>
            <w:vAlign w:val="center"/>
          </w:tcPr>
          <w:p w14:paraId="6FAF26D7" w14:textId="77777777" w:rsidR="00BB63DF" w:rsidRPr="00037946" w:rsidRDefault="00BB63DF" w:rsidP="00BB63DF">
            <w:pPr>
              <w:rPr>
                <w:sz w:val="22"/>
                <w:szCs w:val="22"/>
              </w:rPr>
            </w:pPr>
            <w:r w:rsidRPr="00037946">
              <w:rPr>
                <w:sz w:val="22"/>
                <w:szCs w:val="22"/>
              </w:rPr>
              <w:t>8z-08</w:t>
            </w:r>
          </w:p>
          <w:p w14:paraId="2D71ED82" w14:textId="77777777" w:rsidR="00BB63DF" w:rsidRPr="00037946" w:rsidRDefault="00BB63DF" w:rsidP="00BB63DF">
            <w:pPr>
              <w:rPr>
                <w:sz w:val="22"/>
                <w:szCs w:val="22"/>
              </w:rPr>
            </w:pPr>
            <w:r w:rsidRPr="00037946">
              <w:rPr>
                <w:sz w:val="22"/>
                <w:szCs w:val="22"/>
              </w:rPr>
              <w:t>8z-43</w:t>
            </w:r>
          </w:p>
        </w:tc>
        <w:tc>
          <w:tcPr>
            <w:tcW w:w="1736" w:type="dxa"/>
            <w:tcBorders>
              <w:left w:val="single" w:sz="2" w:space="0" w:color="000000"/>
              <w:bottom w:val="single" w:sz="2" w:space="0" w:color="000000"/>
            </w:tcBorders>
            <w:vAlign w:val="center"/>
          </w:tcPr>
          <w:p w14:paraId="06B1612F" w14:textId="77777777" w:rsidR="00BB63DF" w:rsidRPr="00037946" w:rsidRDefault="00BB63DF" w:rsidP="00BB63DF">
            <w:pPr>
              <w:rPr>
                <w:sz w:val="22"/>
                <w:szCs w:val="22"/>
              </w:rPr>
            </w:pPr>
            <w:r w:rsidRPr="00037946">
              <w:rPr>
                <w:sz w:val="22"/>
                <w:szCs w:val="22"/>
              </w:rPr>
              <w:t>Horní Oldřichov</w:t>
            </w:r>
          </w:p>
        </w:tc>
        <w:tc>
          <w:tcPr>
            <w:tcW w:w="2009" w:type="dxa"/>
            <w:tcBorders>
              <w:left w:val="single" w:sz="2" w:space="0" w:color="000000"/>
              <w:bottom w:val="single" w:sz="2" w:space="0" w:color="000000"/>
              <w:right w:val="single" w:sz="36" w:space="0" w:color="FF0000"/>
            </w:tcBorders>
            <w:vAlign w:val="center"/>
          </w:tcPr>
          <w:p w14:paraId="5DE9EA17" w14:textId="77777777" w:rsidR="00BB63DF" w:rsidRPr="00037946" w:rsidRDefault="00BB63DF" w:rsidP="00BB63DF">
            <w:pPr>
              <w:rPr>
                <w:rFonts w:ascii="Arial Black" w:hAnsi="Arial Black" w:cs="Arial Black"/>
                <w:sz w:val="22"/>
                <w:szCs w:val="22"/>
              </w:rPr>
            </w:pPr>
            <w:r w:rsidRPr="00037946">
              <w:rPr>
                <w:sz w:val="22"/>
                <w:szCs w:val="22"/>
              </w:rPr>
              <w:t xml:space="preserve">1Z-P28 /STL plynovod/  </w:t>
            </w:r>
          </w:p>
        </w:tc>
      </w:tr>
      <w:tr w:rsidR="00BB63DF" w:rsidRPr="00037946" w14:paraId="44E8C948" w14:textId="77777777" w:rsidTr="00BB63DF">
        <w:trPr>
          <w:trHeight w:val="345"/>
        </w:trPr>
        <w:tc>
          <w:tcPr>
            <w:tcW w:w="993" w:type="dxa"/>
            <w:tcBorders>
              <w:left w:val="single" w:sz="36" w:space="0" w:color="FF0000"/>
              <w:bottom w:val="single" w:sz="2" w:space="0" w:color="000000"/>
            </w:tcBorders>
            <w:vAlign w:val="center"/>
          </w:tcPr>
          <w:p w14:paraId="625EC70E" w14:textId="77777777" w:rsidR="00BB63DF" w:rsidRPr="00037946" w:rsidRDefault="00BB63DF" w:rsidP="00BB63DF">
            <w:pPr>
              <w:rPr>
                <w:sz w:val="22"/>
                <w:szCs w:val="22"/>
              </w:rPr>
            </w:pPr>
            <w:r w:rsidRPr="00037946">
              <w:rPr>
                <w:rFonts w:ascii="Arial Black" w:hAnsi="Arial Black" w:cs="Arial Black"/>
                <w:sz w:val="22"/>
                <w:szCs w:val="22"/>
              </w:rPr>
              <w:t>8Z-P3</w:t>
            </w:r>
          </w:p>
        </w:tc>
        <w:tc>
          <w:tcPr>
            <w:tcW w:w="1551" w:type="dxa"/>
            <w:tcBorders>
              <w:left w:val="single" w:sz="8" w:space="0" w:color="000000"/>
              <w:bottom w:val="single" w:sz="2" w:space="0" w:color="000000"/>
            </w:tcBorders>
            <w:vAlign w:val="center"/>
          </w:tcPr>
          <w:p w14:paraId="69074E1B" w14:textId="77777777" w:rsidR="00BB63DF" w:rsidRPr="00037946" w:rsidRDefault="00BB63DF" w:rsidP="00BB63DF">
            <w:pPr>
              <w:rPr>
                <w:sz w:val="22"/>
                <w:szCs w:val="22"/>
              </w:rPr>
            </w:pPr>
            <w:r w:rsidRPr="00037946">
              <w:rPr>
                <w:sz w:val="22"/>
                <w:szCs w:val="22"/>
              </w:rPr>
              <w:t>STL plynovod</w:t>
            </w:r>
          </w:p>
        </w:tc>
        <w:tc>
          <w:tcPr>
            <w:tcW w:w="1692" w:type="dxa"/>
            <w:tcBorders>
              <w:left w:val="single" w:sz="8" w:space="0" w:color="000000"/>
              <w:bottom w:val="single" w:sz="2" w:space="0" w:color="000000"/>
            </w:tcBorders>
            <w:vAlign w:val="center"/>
          </w:tcPr>
          <w:p w14:paraId="584C62D5" w14:textId="77777777" w:rsidR="00BB63DF" w:rsidRPr="00037946" w:rsidRDefault="00BB63DF" w:rsidP="00BB63DF">
            <w:pPr>
              <w:rPr>
                <w:sz w:val="22"/>
                <w:szCs w:val="22"/>
              </w:rPr>
            </w:pPr>
            <w:r w:rsidRPr="00037946">
              <w:rPr>
                <w:sz w:val="22"/>
                <w:szCs w:val="22"/>
              </w:rPr>
              <w:t>pp č. 3725/16</w:t>
            </w:r>
          </w:p>
        </w:tc>
        <w:tc>
          <w:tcPr>
            <w:tcW w:w="1258" w:type="dxa"/>
            <w:tcBorders>
              <w:left w:val="single" w:sz="8" w:space="0" w:color="000000"/>
              <w:bottom w:val="single" w:sz="2" w:space="0" w:color="000000"/>
            </w:tcBorders>
            <w:vAlign w:val="center"/>
          </w:tcPr>
          <w:p w14:paraId="05787D58" w14:textId="77777777" w:rsidR="00BB63DF" w:rsidRPr="00037946" w:rsidRDefault="00BB63DF" w:rsidP="00BB63DF">
            <w:pPr>
              <w:rPr>
                <w:sz w:val="22"/>
                <w:szCs w:val="22"/>
              </w:rPr>
            </w:pPr>
            <w:r w:rsidRPr="00037946">
              <w:rPr>
                <w:sz w:val="22"/>
                <w:szCs w:val="22"/>
              </w:rPr>
              <w:t>8z-16</w:t>
            </w:r>
          </w:p>
        </w:tc>
        <w:tc>
          <w:tcPr>
            <w:tcW w:w="1736" w:type="dxa"/>
            <w:tcBorders>
              <w:left w:val="single" w:sz="2" w:space="0" w:color="000000"/>
              <w:bottom w:val="single" w:sz="2" w:space="0" w:color="000000"/>
            </w:tcBorders>
            <w:vAlign w:val="center"/>
          </w:tcPr>
          <w:p w14:paraId="7A6D4506" w14:textId="77777777" w:rsidR="00BB63DF" w:rsidRPr="00037946" w:rsidRDefault="00BB63DF" w:rsidP="00BB63DF">
            <w:pPr>
              <w:rPr>
                <w:sz w:val="22"/>
                <w:szCs w:val="22"/>
              </w:rPr>
            </w:pPr>
            <w:r w:rsidRPr="00037946">
              <w:rPr>
                <w:sz w:val="22"/>
                <w:szCs w:val="22"/>
              </w:rPr>
              <w:t>Podmokly</w:t>
            </w:r>
          </w:p>
        </w:tc>
        <w:tc>
          <w:tcPr>
            <w:tcW w:w="2009" w:type="dxa"/>
            <w:tcBorders>
              <w:left w:val="single" w:sz="2" w:space="0" w:color="000000"/>
              <w:bottom w:val="single" w:sz="2" w:space="0" w:color="000000"/>
              <w:right w:val="single" w:sz="36" w:space="0" w:color="FF0000"/>
            </w:tcBorders>
            <w:vAlign w:val="center"/>
          </w:tcPr>
          <w:p w14:paraId="4CFDEFE4" w14:textId="77777777" w:rsidR="00BB63DF" w:rsidRPr="00037946" w:rsidRDefault="00BB63DF" w:rsidP="00BB63DF">
            <w:pPr>
              <w:jc w:val="center"/>
              <w:rPr>
                <w:rFonts w:ascii="Arial Black" w:hAnsi="Arial Black" w:cs="Arial Black"/>
                <w:sz w:val="22"/>
                <w:szCs w:val="22"/>
              </w:rPr>
            </w:pPr>
            <w:r w:rsidRPr="00037946">
              <w:rPr>
                <w:sz w:val="22"/>
                <w:szCs w:val="22"/>
              </w:rPr>
              <w:t>x</w:t>
            </w:r>
          </w:p>
        </w:tc>
      </w:tr>
      <w:tr w:rsidR="00BB63DF" w:rsidRPr="00037946" w14:paraId="485BB1F0" w14:textId="77777777" w:rsidTr="00BB63DF">
        <w:trPr>
          <w:trHeight w:val="345"/>
        </w:trPr>
        <w:tc>
          <w:tcPr>
            <w:tcW w:w="993" w:type="dxa"/>
            <w:tcBorders>
              <w:left w:val="single" w:sz="36" w:space="0" w:color="FF0000"/>
              <w:bottom w:val="single" w:sz="2" w:space="0" w:color="000000"/>
            </w:tcBorders>
            <w:vAlign w:val="center"/>
          </w:tcPr>
          <w:p w14:paraId="317EA5A0" w14:textId="77777777" w:rsidR="00BB63DF" w:rsidRPr="00037946" w:rsidRDefault="00BB63DF" w:rsidP="00BB63DF">
            <w:pPr>
              <w:rPr>
                <w:sz w:val="22"/>
                <w:szCs w:val="22"/>
              </w:rPr>
            </w:pPr>
            <w:r w:rsidRPr="00037946">
              <w:rPr>
                <w:rFonts w:ascii="Arial Black" w:hAnsi="Arial Black" w:cs="Arial Black"/>
                <w:sz w:val="22"/>
                <w:szCs w:val="22"/>
              </w:rPr>
              <w:t>8Z-P5</w:t>
            </w:r>
          </w:p>
        </w:tc>
        <w:tc>
          <w:tcPr>
            <w:tcW w:w="1551" w:type="dxa"/>
            <w:tcBorders>
              <w:left w:val="single" w:sz="8" w:space="0" w:color="000000"/>
              <w:bottom w:val="single" w:sz="2" w:space="0" w:color="000000"/>
            </w:tcBorders>
            <w:vAlign w:val="center"/>
          </w:tcPr>
          <w:p w14:paraId="62A4B620" w14:textId="77777777" w:rsidR="00BB63DF" w:rsidRPr="00037946" w:rsidRDefault="00BB63DF" w:rsidP="00BB63DF">
            <w:pPr>
              <w:rPr>
                <w:sz w:val="22"/>
                <w:szCs w:val="22"/>
              </w:rPr>
            </w:pPr>
            <w:r w:rsidRPr="00037946">
              <w:rPr>
                <w:sz w:val="22"/>
                <w:szCs w:val="22"/>
              </w:rPr>
              <w:t>NTL plynovod</w:t>
            </w:r>
          </w:p>
        </w:tc>
        <w:tc>
          <w:tcPr>
            <w:tcW w:w="1692" w:type="dxa"/>
            <w:tcBorders>
              <w:left w:val="single" w:sz="8" w:space="0" w:color="000000"/>
              <w:bottom w:val="single" w:sz="2" w:space="0" w:color="000000"/>
            </w:tcBorders>
            <w:vAlign w:val="center"/>
          </w:tcPr>
          <w:p w14:paraId="63EBE302" w14:textId="77777777" w:rsidR="00BB63DF" w:rsidRPr="00037946" w:rsidRDefault="00BB63DF" w:rsidP="00BB63DF">
            <w:pPr>
              <w:rPr>
                <w:sz w:val="22"/>
                <w:szCs w:val="22"/>
              </w:rPr>
            </w:pPr>
            <w:r w:rsidRPr="00037946">
              <w:rPr>
                <w:sz w:val="22"/>
                <w:szCs w:val="22"/>
              </w:rPr>
              <w:t>pp č. 2935/2, 3133</w:t>
            </w:r>
          </w:p>
        </w:tc>
        <w:tc>
          <w:tcPr>
            <w:tcW w:w="1258" w:type="dxa"/>
            <w:tcBorders>
              <w:left w:val="single" w:sz="8" w:space="0" w:color="000000"/>
              <w:bottom w:val="single" w:sz="2" w:space="0" w:color="000000"/>
            </w:tcBorders>
            <w:vAlign w:val="center"/>
          </w:tcPr>
          <w:p w14:paraId="6B70A774" w14:textId="77777777" w:rsidR="00BB63DF" w:rsidRPr="00037946" w:rsidRDefault="00BB63DF" w:rsidP="00BB63DF">
            <w:pPr>
              <w:rPr>
                <w:sz w:val="22"/>
                <w:szCs w:val="22"/>
              </w:rPr>
            </w:pPr>
            <w:r w:rsidRPr="00037946">
              <w:rPr>
                <w:sz w:val="22"/>
                <w:szCs w:val="22"/>
              </w:rPr>
              <w:t>8z-32</w:t>
            </w:r>
          </w:p>
        </w:tc>
        <w:tc>
          <w:tcPr>
            <w:tcW w:w="1736" w:type="dxa"/>
            <w:tcBorders>
              <w:left w:val="single" w:sz="2" w:space="0" w:color="000000"/>
              <w:bottom w:val="single" w:sz="2" w:space="0" w:color="000000"/>
            </w:tcBorders>
            <w:vAlign w:val="center"/>
          </w:tcPr>
          <w:p w14:paraId="5BD50446" w14:textId="77777777" w:rsidR="00BB63DF" w:rsidRPr="00037946" w:rsidRDefault="00BB63DF" w:rsidP="00BB63DF">
            <w:pPr>
              <w:rPr>
                <w:sz w:val="22"/>
                <w:szCs w:val="22"/>
              </w:rPr>
            </w:pPr>
            <w:r w:rsidRPr="00037946">
              <w:rPr>
                <w:sz w:val="22"/>
                <w:szCs w:val="22"/>
              </w:rPr>
              <w:t>Podmokly</w:t>
            </w:r>
          </w:p>
        </w:tc>
        <w:tc>
          <w:tcPr>
            <w:tcW w:w="2009" w:type="dxa"/>
            <w:tcBorders>
              <w:left w:val="single" w:sz="2" w:space="0" w:color="000000"/>
              <w:bottom w:val="single" w:sz="2" w:space="0" w:color="000000"/>
              <w:right w:val="single" w:sz="36" w:space="0" w:color="FF0000"/>
            </w:tcBorders>
            <w:vAlign w:val="center"/>
          </w:tcPr>
          <w:p w14:paraId="1611EA71" w14:textId="77777777" w:rsidR="00BB63DF" w:rsidRPr="00037946" w:rsidRDefault="00BB63DF" w:rsidP="00BB63DF">
            <w:pPr>
              <w:jc w:val="center"/>
              <w:rPr>
                <w:rFonts w:ascii="Arial Black" w:hAnsi="Arial Black" w:cs="Arial Black"/>
                <w:sz w:val="22"/>
                <w:szCs w:val="22"/>
              </w:rPr>
            </w:pPr>
            <w:r w:rsidRPr="00037946">
              <w:rPr>
                <w:sz w:val="22"/>
                <w:szCs w:val="22"/>
              </w:rPr>
              <w:t>x</w:t>
            </w:r>
          </w:p>
        </w:tc>
      </w:tr>
      <w:tr w:rsidR="00BB63DF" w:rsidRPr="00037946" w14:paraId="684C2DBD" w14:textId="77777777" w:rsidTr="00BB63DF">
        <w:trPr>
          <w:trHeight w:val="345"/>
        </w:trPr>
        <w:tc>
          <w:tcPr>
            <w:tcW w:w="993" w:type="dxa"/>
            <w:tcBorders>
              <w:top w:val="single" w:sz="2" w:space="0" w:color="000000"/>
              <w:left w:val="single" w:sz="36" w:space="0" w:color="FF0000"/>
              <w:bottom w:val="single" w:sz="4" w:space="0" w:color="auto"/>
            </w:tcBorders>
            <w:vAlign w:val="center"/>
          </w:tcPr>
          <w:p w14:paraId="00C62992" w14:textId="77777777" w:rsidR="00BB63DF" w:rsidRPr="00037946" w:rsidRDefault="00BB63DF" w:rsidP="00BB63DF">
            <w:pPr>
              <w:rPr>
                <w:sz w:val="22"/>
                <w:szCs w:val="22"/>
              </w:rPr>
            </w:pPr>
            <w:r w:rsidRPr="00037946">
              <w:rPr>
                <w:rFonts w:ascii="Arial Black" w:hAnsi="Arial Black" w:cs="Arial Black"/>
                <w:sz w:val="22"/>
                <w:szCs w:val="22"/>
              </w:rPr>
              <w:t>8Z-P6</w:t>
            </w:r>
          </w:p>
        </w:tc>
        <w:tc>
          <w:tcPr>
            <w:tcW w:w="1551" w:type="dxa"/>
            <w:tcBorders>
              <w:top w:val="single" w:sz="2" w:space="0" w:color="000000"/>
              <w:left w:val="single" w:sz="8" w:space="0" w:color="000000"/>
              <w:bottom w:val="single" w:sz="4" w:space="0" w:color="auto"/>
            </w:tcBorders>
            <w:vAlign w:val="center"/>
          </w:tcPr>
          <w:p w14:paraId="4D35704C" w14:textId="77777777" w:rsidR="00BB63DF" w:rsidRPr="00037946" w:rsidRDefault="00BB63DF" w:rsidP="00BB63DF">
            <w:pPr>
              <w:rPr>
                <w:sz w:val="22"/>
                <w:szCs w:val="22"/>
              </w:rPr>
            </w:pPr>
            <w:r w:rsidRPr="00037946">
              <w:rPr>
                <w:sz w:val="22"/>
                <w:szCs w:val="22"/>
              </w:rPr>
              <w:t>STL plynovod</w:t>
            </w:r>
          </w:p>
        </w:tc>
        <w:tc>
          <w:tcPr>
            <w:tcW w:w="1692" w:type="dxa"/>
            <w:tcBorders>
              <w:top w:val="single" w:sz="2" w:space="0" w:color="000000"/>
              <w:left w:val="single" w:sz="8" w:space="0" w:color="000000"/>
              <w:bottom w:val="single" w:sz="4" w:space="0" w:color="auto"/>
            </w:tcBorders>
            <w:vAlign w:val="center"/>
          </w:tcPr>
          <w:p w14:paraId="1621FE89" w14:textId="77777777" w:rsidR="00BB63DF" w:rsidRPr="00037946" w:rsidRDefault="00BB63DF" w:rsidP="00BB63DF">
            <w:pPr>
              <w:snapToGrid w:val="0"/>
              <w:rPr>
                <w:sz w:val="22"/>
                <w:szCs w:val="22"/>
              </w:rPr>
            </w:pPr>
          </w:p>
        </w:tc>
        <w:tc>
          <w:tcPr>
            <w:tcW w:w="1258" w:type="dxa"/>
            <w:tcBorders>
              <w:top w:val="single" w:sz="2" w:space="0" w:color="000000"/>
              <w:left w:val="single" w:sz="8" w:space="0" w:color="000000"/>
              <w:bottom w:val="single" w:sz="4" w:space="0" w:color="auto"/>
            </w:tcBorders>
            <w:vAlign w:val="center"/>
          </w:tcPr>
          <w:p w14:paraId="312E946E" w14:textId="77777777" w:rsidR="00BB63DF" w:rsidRPr="00037946" w:rsidRDefault="00BB63DF" w:rsidP="00BB63DF">
            <w:pPr>
              <w:rPr>
                <w:sz w:val="22"/>
                <w:szCs w:val="22"/>
              </w:rPr>
            </w:pPr>
            <w:r w:rsidRPr="00037946">
              <w:rPr>
                <w:sz w:val="22"/>
                <w:szCs w:val="22"/>
              </w:rPr>
              <w:t>8z-03 8z-12</w:t>
            </w:r>
          </w:p>
        </w:tc>
        <w:tc>
          <w:tcPr>
            <w:tcW w:w="1736" w:type="dxa"/>
            <w:tcBorders>
              <w:top w:val="single" w:sz="2" w:space="0" w:color="000000"/>
              <w:left w:val="single" w:sz="2" w:space="0" w:color="000000"/>
              <w:bottom w:val="single" w:sz="4" w:space="0" w:color="auto"/>
            </w:tcBorders>
            <w:vAlign w:val="center"/>
          </w:tcPr>
          <w:p w14:paraId="6300FE73" w14:textId="77777777" w:rsidR="00BB63DF" w:rsidRPr="00037946" w:rsidRDefault="00BB63DF" w:rsidP="00BB63DF">
            <w:pPr>
              <w:rPr>
                <w:sz w:val="22"/>
                <w:szCs w:val="22"/>
              </w:rPr>
            </w:pPr>
            <w:r w:rsidRPr="00037946">
              <w:rPr>
                <w:sz w:val="22"/>
                <w:szCs w:val="22"/>
              </w:rPr>
              <w:t>Vilsnice</w:t>
            </w:r>
          </w:p>
        </w:tc>
        <w:tc>
          <w:tcPr>
            <w:tcW w:w="2009" w:type="dxa"/>
            <w:tcBorders>
              <w:top w:val="single" w:sz="2" w:space="0" w:color="000000"/>
              <w:left w:val="single" w:sz="2" w:space="0" w:color="000000"/>
              <w:bottom w:val="single" w:sz="4" w:space="0" w:color="auto"/>
              <w:right w:val="single" w:sz="36" w:space="0" w:color="FF0000"/>
            </w:tcBorders>
            <w:vAlign w:val="center"/>
          </w:tcPr>
          <w:p w14:paraId="382E6E59" w14:textId="77777777" w:rsidR="00BB63DF" w:rsidRPr="00037946" w:rsidRDefault="00BB63DF" w:rsidP="00BB63DF">
            <w:pPr>
              <w:jc w:val="center"/>
              <w:rPr>
                <w:rFonts w:ascii="Arial Black" w:hAnsi="Arial Black" w:cs="Arial Black"/>
                <w:sz w:val="22"/>
                <w:szCs w:val="22"/>
              </w:rPr>
            </w:pPr>
            <w:r w:rsidRPr="00037946">
              <w:rPr>
                <w:sz w:val="22"/>
                <w:szCs w:val="22"/>
              </w:rPr>
              <w:t>x</w:t>
            </w:r>
          </w:p>
        </w:tc>
      </w:tr>
      <w:tr w:rsidR="00BB63DF" w:rsidRPr="00037946" w14:paraId="2726333E" w14:textId="77777777" w:rsidTr="00BB63DF">
        <w:trPr>
          <w:trHeight w:val="345"/>
        </w:trPr>
        <w:tc>
          <w:tcPr>
            <w:tcW w:w="993" w:type="dxa"/>
            <w:tcBorders>
              <w:top w:val="single" w:sz="4" w:space="0" w:color="auto"/>
              <w:left w:val="single" w:sz="36" w:space="0" w:color="FF0000"/>
              <w:bottom w:val="single" w:sz="4" w:space="0" w:color="auto"/>
            </w:tcBorders>
            <w:vAlign w:val="center"/>
          </w:tcPr>
          <w:p w14:paraId="4D838A98" w14:textId="77777777" w:rsidR="00BB63DF" w:rsidRPr="00037946" w:rsidRDefault="00BB63DF" w:rsidP="00BB63DF">
            <w:pPr>
              <w:rPr>
                <w:sz w:val="22"/>
                <w:szCs w:val="22"/>
              </w:rPr>
            </w:pPr>
            <w:r w:rsidRPr="00037946">
              <w:rPr>
                <w:rFonts w:ascii="Arial Black" w:hAnsi="Arial Black" w:cs="Arial Black"/>
                <w:sz w:val="22"/>
                <w:szCs w:val="22"/>
              </w:rPr>
              <w:t>8Z-P8</w:t>
            </w:r>
          </w:p>
        </w:tc>
        <w:tc>
          <w:tcPr>
            <w:tcW w:w="1551" w:type="dxa"/>
            <w:tcBorders>
              <w:top w:val="single" w:sz="4" w:space="0" w:color="auto"/>
              <w:left w:val="single" w:sz="8" w:space="0" w:color="000000"/>
              <w:bottom w:val="single" w:sz="4" w:space="0" w:color="auto"/>
            </w:tcBorders>
            <w:vAlign w:val="center"/>
          </w:tcPr>
          <w:p w14:paraId="4A68C861" w14:textId="77777777" w:rsidR="00BB63DF" w:rsidRPr="00037946" w:rsidRDefault="00BB63DF" w:rsidP="00BB63DF">
            <w:pPr>
              <w:rPr>
                <w:sz w:val="22"/>
                <w:szCs w:val="22"/>
              </w:rPr>
            </w:pPr>
            <w:r w:rsidRPr="00037946">
              <w:rPr>
                <w:sz w:val="22"/>
                <w:szCs w:val="22"/>
              </w:rPr>
              <w:t>STL plynovod</w:t>
            </w:r>
          </w:p>
        </w:tc>
        <w:tc>
          <w:tcPr>
            <w:tcW w:w="1692" w:type="dxa"/>
            <w:tcBorders>
              <w:top w:val="single" w:sz="4" w:space="0" w:color="auto"/>
              <w:left w:val="single" w:sz="8" w:space="0" w:color="000000"/>
              <w:bottom w:val="single" w:sz="4" w:space="0" w:color="auto"/>
            </w:tcBorders>
            <w:vAlign w:val="center"/>
          </w:tcPr>
          <w:p w14:paraId="30DBFEF1" w14:textId="77777777" w:rsidR="00BB63DF" w:rsidRPr="00037946" w:rsidRDefault="00BB63DF" w:rsidP="00BB63DF">
            <w:pPr>
              <w:rPr>
                <w:sz w:val="22"/>
                <w:szCs w:val="22"/>
              </w:rPr>
            </w:pPr>
            <w:r w:rsidRPr="00037946">
              <w:rPr>
                <w:sz w:val="22"/>
                <w:szCs w:val="22"/>
              </w:rPr>
              <w:t>280/4, 280/3, 280/1281</w:t>
            </w:r>
          </w:p>
        </w:tc>
        <w:tc>
          <w:tcPr>
            <w:tcW w:w="1258" w:type="dxa"/>
            <w:tcBorders>
              <w:top w:val="single" w:sz="4" w:space="0" w:color="auto"/>
              <w:left w:val="single" w:sz="8" w:space="0" w:color="000000"/>
              <w:bottom w:val="single" w:sz="4" w:space="0" w:color="auto"/>
            </w:tcBorders>
            <w:vAlign w:val="center"/>
          </w:tcPr>
          <w:p w14:paraId="02D024E4" w14:textId="77777777" w:rsidR="00BB63DF" w:rsidRPr="00037946" w:rsidRDefault="00BB63DF" w:rsidP="00BB63DF">
            <w:pPr>
              <w:rPr>
                <w:sz w:val="22"/>
                <w:szCs w:val="22"/>
              </w:rPr>
            </w:pPr>
            <w:r w:rsidRPr="00037946">
              <w:rPr>
                <w:sz w:val="22"/>
                <w:szCs w:val="22"/>
              </w:rPr>
              <w:t>8z-13</w:t>
            </w:r>
          </w:p>
        </w:tc>
        <w:tc>
          <w:tcPr>
            <w:tcW w:w="1736" w:type="dxa"/>
            <w:tcBorders>
              <w:top w:val="single" w:sz="4" w:space="0" w:color="auto"/>
              <w:left w:val="single" w:sz="2" w:space="0" w:color="000000"/>
              <w:bottom w:val="single" w:sz="4" w:space="0" w:color="auto"/>
            </w:tcBorders>
            <w:vAlign w:val="center"/>
          </w:tcPr>
          <w:p w14:paraId="0624014B" w14:textId="77777777" w:rsidR="00BB63DF" w:rsidRPr="00037946" w:rsidRDefault="00BB63DF" w:rsidP="00BB63DF">
            <w:pPr>
              <w:rPr>
                <w:sz w:val="22"/>
                <w:szCs w:val="22"/>
              </w:rPr>
            </w:pPr>
            <w:r w:rsidRPr="00037946">
              <w:rPr>
                <w:sz w:val="22"/>
                <w:szCs w:val="22"/>
              </w:rPr>
              <w:t>Nebočady</w:t>
            </w:r>
          </w:p>
        </w:tc>
        <w:tc>
          <w:tcPr>
            <w:tcW w:w="2009" w:type="dxa"/>
            <w:tcBorders>
              <w:top w:val="single" w:sz="4" w:space="0" w:color="auto"/>
              <w:left w:val="single" w:sz="2" w:space="0" w:color="000000"/>
              <w:bottom w:val="single" w:sz="4" w:space="0" w:color="auto"/>
              <w:right w:val="single" w:sz="36" w:space="0" w:color="FF0000"/>
            </w:tcBorders>
            <w:vAlign w:val="center"/>
          </w:tcPr>
          <w:p w14:paraId="2E525225" w14:textId="77777777" w:rsidR="00BB63DF" w:rsidRPr="00037946" w:rsidRDefault="00BB63DF" w:rsidP="00BB63DF">
            <w:pPr>
              <w:rPr>
                <w:rFonts w:ascii="Arial Black" w:hAnsi="Arial Black" w:cs="Arial Black"/>
                <w:sz w:val="22"/>
                <w:szCs w:val="22"/>
              </w:rPr>
            </w:pPr>
            <w:r w:rsidRPr="00037946">
              <w:rPr>
                <w:sz w:val="22"/>
                <w:szCs w:val="22"/>
              </w:rPr>
              <w:t>návrh UPn-P24 /STL plynovod/</w:t>
            </w:r>
          </w:p>
        </w:tc>
      </w:tr>
      <w:tr w:rsidR="00BB63DF" w:rsidRPr="00037946" w14:paraId="6ED9F8B1" w14:textId="77777777" w:rsidTr="00BB63DF">
        <w:trPr>
          <w:trHeight w:val="345"/>
        </w:trPr>
        <w:tc>
          <w:tcPr>
            <w:tcW w:w="993" w:type="dxa"/>
            <w:tcBorders>
              <w:top w:val="single" w:sz="4" w:space="0" w:color="auto"/>
              <w:left w:val="single" w:sz="36" w:space="0" w:color="FF0000"/>
              <w:bottom w:val="single" w:sz="2" w:space="0" w:color="000000"/>
            </w:tcBorders>
            <w:vAlign w:val="center"/>
          </w:tcPr>
          <w:p w14:paraId="7F88ABFF" w14:textId="77777777" w:rsidR="00BB63DF" w:rsidRPr="00037946" w:rsidRDefault="00BB63DF" w:rsidP="00BB63DF">
            <w:pPr>
              <w:rPr>
                <w:sz w:val="22"/>
                <w:szCs w:val="22"/>
              </w:rPr>
            </w:pPr>
            <w:r w:rsidRPr="00037946">
              <w:rPr>
                <w:rFonts w:ascii="Arial Black" w:hAnsi="Arial Black" w:cs="Arial Black"/>
                <w:sz w:val="22"/>
                <w:szCs w:val="22"/>
              </w:rPr>
              <w:t xml:space="preserve">8Z-P9  </w:t>
            </w:r>
          </w:p>
        </w:tc>
        <w:tc>
          <w:tcPr>
            <w:tcW w:w="1551" w:type="dxa"/>
            <w:tcBorders>
              <w:top w:val="single" w:sz="4" w:space="0" w:color="auto"/>
              <w:left w:val="single" w:sz="8" w:space="0" w:color="000000"/>
              <w:bottom w:val="single" w:sz="2" w:space="0" w:color="000000"/>
            </w:tcBorders>
            <w:vAlign w:val="center"/>
          </w:tcPr>
          <w:p w14:paraId="393B4F5C" w14:textId="77777777" w:rsidR="00BB63DF" w:rsidRPr="00037946" w:rsidRDefault="00BB63DF" w:rsidP="00BB63DF">
            <w:pPr>
              <w:rPr>
                <w:sz w:val="22"/>
                <w:szCs w:val="22"/>
              </w:rPr>
            </w:pPr>
            <w:r w:rsidRPr="00037946">
              <w:rPr>
                <w:sz w:val="22"/>
                <w:szCs w:val="22"/>
              </w:rPr>
              <w:t>STL plynovod</w:t>
            </w:r>
          </w:p>
        </w:tc>
        <w:tc>
          <w:tcPr>
            <w:tcW w:w="1692" w:type="dxa"/>
            <w:tcBorders>
              <w:top w:val="single" w:sz="4" w:space="0" w:color="auto"/>
              <w:left w:val="single" w:sz="8" w:space="0" w:color="000000"/>
              <w:bottom w:val="single" w:sz="2" w:space="0" w:color="000000"/>
            </w:tcBorders>
            <w:vAlign w:val="center"/>
          </w:tcPr>
          <w:p w14:paraId="33604614" w14:textId="77777777" w:rsidR="00BB63DF" w:rsidRPr="00037946" w:rsidRDefault="00BB63DF" w:rsidP="00BB63DF">
            <w:pPr>
              <w:rPr>
                <w:sz w:val="22"/>
                <w:szCs w:val="22"/>
              </w:rPr>
            </w:pPr>
            <w:r w:rsidRPr="00037946">
              <w:rPr>
                <w:sz w:val="22"/>
                <w:szCs w:val="22"/>
              </w:rPr>
              <w:t>pp č. 580, 579</w:t>
            </w:r>
          </w:p>
        </w:tc>
        <w:tc>
          <w:tcPr>
            <w:tcW w:w="1258" w:type="dxa"/>
            <w:tcBorders>
              <w:top w:val="single" w:sz="4" w:space="0" w:color="auto"/>
              <w:left w:val="single" w:sz="8" w:space="0" w:color="000000"/>
              <w:bottom w:val="single" w:sz="2" w:space="0" w:color="000000"/>
            </w:tcBorders>
            <w:vAlign w:val="center"/>
          </w:tcPr>
          <w:p w14:paraId="0F6D35F3" w14:textId="77777777" w:rsidR="00BB63DF" w:rsidRPr="00037946" w:rsidRDefault="00BB63DF" w:rsidP="00BB63DF">
            <w:pPr>
              <w:rPr>
                <w:sz w:val="22"/>
                <w:szCs w:val="22"/>
              </w:rPr>
            </w:pPr>
            <w:r w:rsidRPr="00037946">
              <w:rPr>
                <w:sz w:val="22"/>
                <w:szCs w:val="22"/>
              </w:rPr>
              <w:t>8z-52</w:t>
            </w:r>
          </w:p>
        </w:tc>
        <w:tc>
          <w:tcPr>
            <w:tcW w:w="1736" w:type="dxa"/>
            <w:tcBorders>
              <w:top w:val="single" w:sz="4" w:space="0" w:color="auto"/>
              <w:left w:val="single" w:sz="2" w:space="0" w:color="000000"/>
              <w:bottom w:val="single" w:sz="2" w:space="0" w:color="000000"/>
            </w:tcBorders>
            <w:vAlign w:val="center"/>
          </w:tcPr>
          <w:p w14:paraId="6BBB6618" w14:textId="77777777" w:rsidR="00BB63DF" w:rsidRPr="00037946" w:rsidRDefault="00BB63DF" w:rsidP="00BB63DF">
            <w:pPr>
              <w:rPr>
                <w:sz w:val="22"/>
                <w:szCs w:val="22"/>
              </w:rPr>
            </w:pPr>
            <w:r w:rsidRPr="00037946">
              <w:rPr>
                <w:sz w:val="22"/>
                <w:szCs w:val="22"/>
              </w:rPr>
              <w:t>Vilsnice</w:t>
            </w:r>
          </w:p>
        </w:tc>
        <w:tc>
          <w:tcPr>
            <w:tcW w:w="2009" w:type="dxa"/>
            <w:tcBorders>
              <w:top w:val="single" w:sz="4" w:space="0" w:color="auto"/>
              <w:left w:val="single" w:sz="2" w:space="0" w:color="000000"/>
              <w:bottom w:val="single" w:sz="2" w:space="0" w:color="000000"/>
              <w:right w:val="single" w:sz="36" w:space="0" w:color="FF0000"/>
            </w:tcBorders>
            <w:vAlign w:val="center"/>
          </w:tcPr>
          <w:p w14:paraId="0F48971D" w14:textId="77777777" w:rsidR="00BB63DF" w:rsidRPr="00037946" w:rsidRDefault="00BB63DF" w:rsidP="00BB63DF">
            <w:pPr>
              <w:rPr>
                <w:rFonts w:ascii="Arial Black" w:hAnsi="Arial Black" w:cs="Arial Black"/>
                <w:sz w:val="22"/>
                <w:szCs w:val="22"/>
              </w:rPr>
            </w:pPr>
            <w:r w:rsidRPr="00037946">
              <w:rPr>
                <w:sz w:val="22"/>
                <w:szCs w:val="22"/>
              </w:rPr>
              <w:t xml:space="preserve">6Z-WT 26 /STL plynovod/ </w:t>
            </w:r>
          </w:p>
        </w:tc>
      </w:tr>
      <w:tr w:rsidR="00BB63DF" w:rsidRPr="00037946" w14:paraId="6FD9FD51" w14:textId="77777777" w:rsidTr="00BB63DF">
        <w:trPr>
          <w:trHeight w:val="345"/>
        </w:trPr>
        <w:tc>
          <w:tcPr>
            <w:tcW w:w="993" w:type="dxa"/>
            <w:tcBorders>
              <w:top w:val="single" w:sz="2" w:space="0" w:color="000000"/>
              <w:left w:val="single" w:sz="36" w:space="0" w:color="FF0000"/>
              <w:bottom w:val="single" w:sz="4" w:space="0" w:color="auto"/>
            </w:tcBorders>
            <w:vAlign w:val="center"/>
          </w:tcPr>
          <w:p w14:paraId="3B26913E" w14:textId="77777777" w:rsidR="00BB63DF" w:rsidRPr="00037946" w:rsidRDefault="00BB63DF" w:rsidP="00BB63DF">
            <w:pPr>
              <w:rPr>
                <w:sz w:val="22"/>
                <w:szCs w:val="22"/>
              </w:rPr>
            </w:pPr>
            <w:r w:rsidRPr="00037946">
              <w:rPr>
                <w:rFonts w:ascii="Arial Black" w:hAnsi="Arial Black" w:cs="Arial Black"/>
                <w:sz w:val="22"/>
                <w:szCs w:val="22"/>
              </w:rPr>
              <w:t>8Z-E1</w:t>
            </w:r>
          </w:p>
        </w:tc>
        <w:tc>
          <w:tcPr>
            <w:tcW w:w="1551" w:type="dxa"/>
            <w:tcBorders>
              <w:top w:val="single" w:sz="2" w:space="0" w:color="000000"/>
              <w:left w:val="single" w:sz="8" w:space="0" w:color="000000"/>
              <w:bottom w:val="single" w:sz="4" w:space="0" w:color="auto"/>
            </w:tcBorders>
            <w:vAlign w:val="center"/>
          </w:tcPr>
          <w:p w14:paraId="519EC393" w14:textId="77777777" w:rsidR="00BB63DF" w:rsidRPr="00037946" w:rsidRDefault="00BB63DF" w:rsidP="00BB63DF">
            <w:pPr>
              <w:rPr>
                <w:sz w:val="22"/>
                <w:szCs w:val="22"/>
              </w:rPr>
            </w:pPr>
            <w:r w:rsidRPr="00037946">
              <w:rPr>
                <w:sz w:val="22"/>
                <w:szCs w:val="22"/>
              </w:rPr>
              <w:t>TS + kabel. přípojka VN</w:t>
            </w:r>
          </w:p>
        </w:tc>
        <w:tc>
          <w:tcPr>
            <w:tcW w:w="1692" w:type="dxa"/>
            <w:tcBorders>
              <w:top w:val="single" w:sz="2" w:space="0" w:color="000000"/>
              <w:left w:val="single" w:sz="8" w:space="0" w:color="000000"/>
              <w:bottom w:val="single" w:sz="4" w:space="0" w:color="auto"/>
            </w:tcBorders>
            <w:vAlign w:val="center"/>
          </w:tcPr>
          <w:p w14:paraId="52C1C641" w14:textId="77777777" w:rsidR="00BB63DF" w:rsidRPr="00037946" w:rsidRDefault="00BB63DF" w:rsidP="00BB63DF">
            <w:pPr>
              <w:rPr>
                <w:sz w:val="22"/>
                <w:szCs w:val="22"/>
              </w:rPr>
            </w:pPr>
            <w:r w:rsidRPr="00037946">
              <w:rPr>
                <w:sz w:val="22"/>
                <w:szCs w:val="22"/>
              </w:rPr>
              <w:t>pp č. 3725/16</w:t>
            </w:r>
          </w:p>
        </w:tc>
        <w:tc>
          <w:tcPr>
            <w:tcW w:w="1258" w:type="dxa"/>
            <w:tcBorders>
              <w:top w:val="single" w:sz="2" w:space="0" w:color="000000"/>
              <w:left w:val="single" w:sz="8" w:space="0" w:color="000000"/>
              <w:bottom w:val="single" w:sz="4" w:space="0" w:color="auto"/>
            </w:tcBorders>
            <w:vAlign w:val="center"/>
          </w:tcPr>
          <w:p w14:paraId="6EDF7C02" w14:textId="77777777" w:rsidR="00BB63DF" w:rsidRPr="00037946" w:rsidRDefault="00BB63DF" w:rsidP="00BB63DF">
            <w:pPr>
              <w:rPr>
                <w:sz w:val="22"/>
                <w:szCs w:val="22"/>
              </w:rPr>
            </w:pPr>
            <w:r w:rsidRPr="00037946">
              <w:rPr>
                <w:sz w:val="22"/>
                <w:szCs w:val="22"/>
              </w:rPr>
              <w:t>8z-16</w:t>
            </w:r>
          </w:p>
        </w:tc>
        <w:tc>
          <w:tcPr>
            <w:tcW w:w="1736" w:type="dxa"/>
            <w:tcBorders>
              <w:top w:val="single" w:sz="2" w:space="0" w:color="000000"/>
              <w:left w:val="single" w:sz="2" w:space="0" w:color="000000"/>
              <w:bottom w:val="single" w:sz="4" w:space="0" w:color="auto"/>
            </w:tcBorders>
            <w:vAlign w:val="center"/>
          </w:tcPr>
          <w:p w14:paraId="0EA5551C" w14:textId="77777777" w:rsidR="00BB63DF" w:rsidRPr="00037946" w:rsidRDefault="00BB63DF" w:rsidP="00BB63DF">
            <w:pPr>
              <w:rPr>
                <w:sz w:val="22"/>
                <w:szCs w:val="22"/>
              </w:rPr>
            </w:pPr>
            <w:r w:rsidRPr="00037946">
              <w:rPr>
                <w:sz w:val="22"/>
                <w:szCs w:val="22"/>
              </w:rPr>
              <w:t>Podmokly</w:t>
            </w:r>
          </w:p>
        </w:tc>
        <w:tc>
          <w:tcPr>
            <w:tcW w:w="2009" w:type="dxa"/>
            <w:tcBorders>
              <w:top w:val="single" w:sz="2" w:space="0" w:color="000000"/>
              <w:left w:val="single" w:sz="2" w:space="0" w:color="000000"/>
              <w:bottom w:val="single" w:sz="4" w:space="0" w:color="auto"/>
              <w:right w:val="single" w:sz="36" w:space="0" w:color="FF0000"/>
            </w:tcBorders>
            <w:vAlign w:val="center"/>
          </w:tcPr>
          <w:p w14:paraId="77BEDABA" w14:textId="77777777" w:rsidR="00BB63DF" w:rsidRPr="00037946" w:rsidRDefault="00BB63DF" w:rsidP="00BB63DF">
            <w:pPr>
              <w:jc w:val="center"/>
              <w:rPr>
                <w:rFonts w:ascii="Arial Black" w:hAnsi="Arial Black" w:cs="Arial Black"/>
                <w:sz w:val="22"/>
                <w:szCs w:val="22"/>
              </w:rPr>
            </w:pPr>
            <w:r w:rsidRPr="00037946">
              <w:rPr>
                <w:sz w:val="22"/>
                <w:szCs w:val="22"/>
              </w:rPr>
              <w:t>x</w:t>
            </w:r>
          </w:p>
        </w:tc>
      </w:tr>
      <w:tr w:rsidR="00BB63DF" w:rsidRPr="00037946" w14:paraId="1E2817DC" w14:textId="77777777" w:rsidTr="00BB63DF">
        <w:trPr>
          <w:trHeight w:val="345"/>
        </w:trPr>
        <w:tc>
          <w:tcPr>
            <w:tcW w:w="993" w:type="dxa"/>
            <w:tcBorders>
              <w:top w:val="single" w:sz="4" w:space="0" w:color="auto"/>
              <w:left w:val="single" w:sz="36" w:space="0" w:color="FF0000"/>
              <w:bottom w:val="single" w:sz="4" w:space="0" w:color="auto"/>
            </w:tcBorders>
            <w:vAlign w:val="center"/>
          </w:tcPr>
          <w:p w14:paraId="18D7EE0F" w14:textId="77777777" w:rsidR="00BB63DF" w:rsidRPr="00037946" w:rsidRDefault="00BB63DF" w:rsidP="00BB63DF">
            <w:pPr>
              <w:rPr>
                <w:sz w:val="22"/>
                <w:szCs w:val="22"/>
              </w:rPr>
            </w:pPr>
            <w:r w:rsidRPr="00037946">
              <w:rPr>
                <w:rFonts w:ascii="Arial Black" w:hAnsi="Arial Black" w:cs="Arial Black"/>
                <w:sz w:val="22"/>
                <w:szCs w:val="22"/>
              </w:rPr>
              <w:t xml:space="preserve">8Z-E4  </w:t>
            </w:r>
          </w:p>
        </w:tc>
        <w:tc>
          <w:tcPr>
            <w:tcW w:w="1551" w:type="dxa"/>
            <w:tcBorders>
              <w:top w:val="single" w:sz="4" w:space="0" w:color="auto"/>
              <w:left w:val="single" w:sz="8" w:space="0" w:color="000000"/>
              <w:bottom w:val="single" w:sz="4" w:space="0" w:color="auto"/>
            </w:tcBorders>
            <w:vAlign w:val="center"/>
          </w:tcPr>
          <w:p w14:paraId="2ED48300" w14:textId="77777777" w:rsidR="00BB63DF" w:rsidRPr="00037946" w:rsidRDefault="00BB63DF" w:rsidP="00BB63DF">
            <w:pPr>
              <w:rPr>
                <w:sz w:val="22"/>
                <w:szCs w:val="22"/>
              </w:rPr>
            </w:pPr>
            <w:r w:rsidRPr="00037946">
              <w:rPr>
                <w:sz w:val="22"/>
                <w:szCs w:val="22"/>
              </w:rPr>
              <w:t>TS + venkovní přípojka VN</w:t>
            </w:r>
          </w:p>
        </w:tc>
        <w:tc>
          <w:tcPr>
            <w:tcW w:w="1692" w:type="dxa"/>
            <w:tcBorders>
              <w:top w:val="single" w:sz="4" w:space="0" w:color="auto"/>
              <w:left w:val="single" w:sz="8" w:space="0" w:color="000000"/>
              <w:bottom w:val="single" w:sz="4" w:space="0" w:color="auto"/>
            </w:tcBorders>
            <w:vAlign w:val="center"/>
          </w:tcPr>
          <w:p w14:paraId="29B270C4" w14:textId="77777777" w:rsidR="00BB63DF" w:rsidRPr="00037946" w:rsidRDefault="00BB63DF" w:rsidP="00BB63DF">
            <w:pPr>
              <w:rPr>
                <w:sz w:val="22"/>
                <w:szCs w:val="22"/>
              </w:rPr>
            </w:pPr>
            <w:r w:rsidRPr="00037946">
              <w:rPr>
                <w:sz w:val="22"/>
                <w:szCs w:val="22"/>
              </w:rPr>
              <w:t>pp č.379/8, 373/3, 370/1</w:t>
            </w:r>
          </w:p>
        </w:tc>
        <w:tc>
          <w:tcPr>
            <w:tcW w:w="1258" w:type="dxa"/>
            <w:tcBorders>
              <w:top w:val="single" w:sz="4" w:space="0" w:color="auto"/>
              <w:left w:val="single" w:sz="8" w:space="0" w:color="000000"/>
              <w:bottom w:val="single" w:sz="4" w:space="0" w:color="auto"/>
            </w:tcBorders>
            <w:vAlign w:val="center"/>
          </w:tcPr>
          <w:p w14:paraId="3D9CD9E8" w14:textId="77777777" w:rsidR="00BB63DF" w:rsidRPr="00037946" w:rsidRDefault="00BB63DF" w:rsidP="00BB63DF">
            <w:pPr>
              <w:rPr>
                <w:sz w:val="22"/>
                <w:szCs w:val="22"/>
              </w:rPr>
            </w:pPr>
            <w:r w:rsidRPr="00037946">
              <w:rPr>
                <w:sz w:val="22"/>
                <w:szCs w:val="22"/>
              </w:rPr>
              <w:t>8z-47</w:t>
            </w:r>
          </w:p>
        </w:tc>
        <w:tc>
          <w:tcPr>
            <w:tcW w:w="1736" w:type="dxa"/>
            <w:tcBorders>
              <w:top w:val="single" w:sz="4" w:space="0" w:color="auto"/>
              <w:left w:val="single" w:sz="2" w:space="0" w:color="000000"/>
              <w:bottom w:val="single" w:sz="4" w:space="0" w:color="auto"/>
            </w:tcBorders>
            <w:vAlign w:val="center"/>
          </w:tcPr>
          <w:p w14:paraId="456076CB" w14:textId="77777777" w:rsidR="00BB63DF" w:rsidRPr="00037946" w:rsidRDefault="00BB63DF" w:rsidP="00BB63DF">
            <w:pPr>
              <w:rPr>
                <w:sz w:val="22"/>
                <w:szCs w:val="22"/>
              </w:rPr>
            </w:pPr>
            <w:r w:rsidRPr="00037946">
              <w:rPr>
                <w:sz w:val="22"/>
                <w:szCs w:val="22"/>
              </w:rPr>
              <w:t>Křešice u Děčína</w:t>
            </w:r>
          </w:p>
        </w:tc>
        <w:tc>
          <w:tcPr>
            <w:tcW w:w="2009" w:type="dxa"/>
            <w:tcBorders>
              <w:top w:val="single" w:sz="4" w:space="0" w:color="auto"/>
              <w:left w:val="single" w:sz="2" w:space="0" w:color="000000"/>
              <w:bottom w:val="single" w:sz="4" w:space="0" w:color="auto"/>
              <w:right w:val="single" w:sz="36" w:space="0" w:color="FF0000"/>
            </w:tcBorders>
            <w:vAlign w:val="center"/>
          </w:tcPr>
          <w:p w14:paraId="20BA1799" w14:textId="77777777" w:rsidR="00BB63DF" w:rsidRPr="00037946" w:rsidRDefault="00BB63DF" w:rsidP="00BB63DF">
            <w:pPr>
              <w:jc w:val="center"/>
              <w:rPr>
                <w:rFonts w:ascii="Arial Black" w:hAnsi="Arial Black" w:cs="Arial Black"/>
                <w:sz w:val="22"/>
                <w:szCs w:val="22"/>
              </w:rPr>
            </w:pPr>
            <w:r w:rsidRPr="00037946">
              <w:rPr>
                <w:sz w:val="22"/>
                <w:szCs w:val="22"/>
              </w:rPr>
              <w:t>x</w:t>
            </w:r>
          </w:p>
        </w:tc>
      </w:tr>
      <w:tr w:rsidR="00BB63DF" w:rsidRPr="00037946" w14:paraId="55973F22" w14:textId="77777777" w:rsidTr="00BB63DF">
        <w:trPr>
          <w:trHeight w:val="345"/>
        </w:trPr>
        <w:tc>
          <w:tcPr>
            <w:tcW w:w="993" w:type="dxa"/>
            <w:tcBorders>
              <w:top w:val="single" w:sz="4" w:space="0" w:color="auto"/>
              <w:left w:val="single" w:sz="36" w:space="0" w:color="FF0000"/>
              <w:bottom w:val="single" w:sz="36" w:space="0" w:color="FF0000"/>
            </w:tcBorders>
            <w:shd w:val="clear" w:color="auto" w:fill="auto"/>
            <w:vAlign w:val="center"/>
          </w:tcPr>
          <w:p w14:paraId="03280D25" w14:textId="77777777" w:rsidR="00BB63DF" w:rsidRPr="00037946" w:rsidRDefault="00BB63DF" w:rsidP="00BB63DF">
            <w:pPr>
              <w:rPr>
                <w:sz w:val="22"/>
                <w:szCs w:val="22"/>
              </w:rPr>
            </w:pPr>
            <w:r w:rsidRPr="00037946">
              <w:rPr>
                <w:rFonts w:ascii="Arial Black" w:hAnsi="Arial Black" w:cs="Arial Black"/>
                <w:sz w:val="22"/>
                <w:szCs w:val="22"/>
              </w:rPr>
              <w:t>8Z-E6</w:t>
            </w:r>
          </w:p>
        </w:tc>
        <w:tc>
          <w:tcPr>
            <w:tcW w:w="1551" w:type="dxa"/>
            <w:tcBorders>
              <w:top w:val="single" w:sz="4" w:space="0" w:color="auto"/>
              <w:left w:val="single" w:sz="8" w:space="0" w:color="000000"/>
              <w:bottom w:val="single" w:sz="36" w:space="0" w:color="FF0000"/>
            </w:tcBorders>
            <w:shd w:val="clear" w:color="auto" w:fill="auto"/>
            <w:vAlign w:val="center"/>
          </w:tcPr>
          <w:p w14:paraId="328CFD17" w14:textId="77777777" w:rsidR="00BB63DF" w:rsidRPr="00037946" w:rsidRDefault="00BB63DF" w:rsidP="00BB63DF">
            <w:pPr>
              <w:rPr>
                <w:sz w:val="22"/>
                <w:szCs w:val="22"/>
              </w:rPr>
            </w:pPr>
            <w:r w:rsidRPr="00037946">
              <w:rPr>
                <w:sz w:val="22"/>
                <w:szCs w:val="22"/>
              </w:rPr>
              <w:t>venkovní vedení 110 kV</w:t>
            </w:r>
          </w:p>
        </w:tc>
        <w:tc>
          <w:tcPr>
            <w:tcW w:w="1692" w:type="dxa"/>
            <w:tcBorders>
              <w:top w:val="single" w:sz="4" w:space="0" w:color="auto"/>
              <w:left w:val="single" w:sz="8" w:space="0" w:color="000000"/>
              <w:bottom w:val="single" w:sz="36" w:space="0" w:color="FF0000"/>
            </w:tcBorders>
            <w:shd w:val="clear" w:color="auto" w:fill="auto"/>
            <w:vAlign w:val="center"/>
          </w:tcPr>
          <w:p w14:paraId="65D61B1F" w14:textId="77777777" w:rsidR="00BB63DF" w:rsidRPr="00037946" w:rsidRDefault="00BB63DF" w:rsidP="00BB63DF">
            <w:pPr>
              <w:rPr>
                <w:sz w:val="22"/>
                <w:szCs w:val="22"/>
              </w:rPr>
            </w:pPr>
          </w:p>
        </w:tc>
        <w:tc>
          <w:tcPr>
            <w:tcW w:w="1258" w:type="dxa"/>
            <w:tcBorders>
              <w:top w:val="single" w:sz="4" w:space="0" w:color="auto"/>
              <w:left w:val="single" w:sz="8" w:space="0" w:color="000000"/>
              <w:bottom w:val="single" w:sz="36" w:space="0" w:color="FF0000"/>
            </w:tcBorders>
            <w:shd w:val="clear" w:color="auto" w:fill="auto"/>
            <w:vAlign w:val="center"/>
          </w:tcPr>
          <w:p w14:paraId="61DB54D8" w14:textId="77777777" w:rsidR="00BB63DF" w:rsidRPr="00037946" w:rsidRDefault="00BB63DF" w:rsidP="00BB63DF">
            <w:pPr>
              <w:rPr>
                <w:sz w:val="22"/>
                <w:szCs w:val="22"/>
              </w:rPr>
            </w:pPr>
            <w:r w:rsidRPr="00037946">
              <w:rPr>
                <w:sz w:val="22"/>
                <w:szCs w:val="22"/>
              </w:rPr>
              <w:t>propojení rozvoden Želenice a Babylon</w:t>
            </w:r>
          </w:p>
        </w:tc>
        <w:tc>
          <w:tcPr>
            <w:tcW w:w="1736" w:type="dxa"/>
            <w:tcBorders>
              <w:top w:val="single" w:sz="4" w:space="0" w:color="auto"/>
              <w:left w:val="single" w:sz="2" w:space="0" w:color="000000"/>
              <w:bottom w:val="single" w:sz="36" w:space="0" w:color="FF0000"/>
            </w:tcBorders>
            <w:shd w:val="clear" w:color="auto" w:fill="auto"/>
            <w:vAlign w:val="center"/>
          </w:tcPr>
          <w:p w14:paraId="3652C17B" w14:textId="77777777" w:rsidR="00BB63DF" w:rsidRPr="00037946" w:rsidRDefault="00BB63DF" w:rsidP="00BB63DF">
            <w:pPr>
              <w:rPr>
                <w:sz w:val="18"/>
                <w:szCs w:val="18"/>
              </w:rPr>
            </w:pPr>
            <w:r w:rsidRPr="00037946">
              <w:rPr>
                <w:sz w:val="16"/>
                <w:szCs w:val="16"/>
              </w:rPr>
              <w:t>Podmokly, Chrochvice, Vilsnice, Nebočady, Hoštice u</w:t>
            </w:r>
            <w:r w:rsidRPr="00037946">
              <w:rPr>
                <w:sz w:val="18"/>
                <w:szCs w:val="18"/>
              </w:rPr>
              <w:t xml:space="preserve"> DC, Lesná u DC</w:t>
            </w:r>
          </w:p>
        </w:tc>
        <w:tc>
          <w:tcPr>
            <w:tcW w:w="2009" w:type="dxa"/>
            <w:tcBorders>
              <w:top w:val="single" w:sz="4" w:space="0" w:color="auto"/>
              <w:left w:val="single" w:sz="2" w:space="0" w:color="000000"/>
              <w:bottom w:val="single" w:sz="36" w:space="0" w:color="FF0000"/>
              <w:right w:val="single" w:sz="36" w:space="0" w:color="FF0000"/>
            </w:tcBorders>
            <w:shd w:val="clear" w:color="auto" w:fill="auto"/>
            <w:vAlign w:val="center"/>
          </w:tcPr>
          <w:p w14:paraId="1FD54B73" w14:textId="77777777" w:rsidR="00BB63DF" w:rsidRPr="00037946" w:rsidRDefault="00BB63DF" w:rsidP="00BB63DF">
            <w:pPr>
              <w:jc w:val="center"/>
              <w:rPr>
                <w:sz w:val="22"/>
                <w:szCs w:val="22"/>
              </w:rPr>
            </w:pPr>
            <w:r w:rsidRPr="00037946">
              <w:rPr>
                <w:sz w:val="22"/>
                <w:szCs w:val="22"/>
              </w:rPr>
              <w:t xml:space="preserve">Z přesněný koridor ZÚR ÚK </w:t>
            </w:r>
          </w:p>
          <w:p w14:paraId="54BC445B" w14:textId="77777777" w:rsidR="00BB63DF" w:rsidRPr="00037946" w:rsidRDefault="00BB63DF" w:rsidP="00BB63DF">
            <w:pPr>
              <w:jc w:val="center"/>
              <w:rPr>
                <w:sz w:val="22"/>
                <w:szCs w:val="22"/>
              </w:rPr>
            </w:pPr>
            <w:r w:rsidRPr="00037946">
              <w:rPr>
                <w:sz w:val="22"/>
                <w:szCs w:val="22"/>
              </w:rPr>
              <w:t>VPS z roku 2002 (E17)</w:t>
            </w:r>
            <w:r w:rsidRPr="00037946">
              <w:rPr>
                <w:b/>
                <w:i/>
                <w:sz w:val="22"/>
                <w:szCs w:val="22"/>
              </w:rPr>
              <w:t xml:space="preserve">v šíři </w:t>
            </w:r>
            <w:smartTag w:uri="urn:schemas-microsoft-com:office:smarttags" w:element="metricconverter">
              <w:smartTagPr>
                <w:attr w:name="ProductID" w:val="50 m"/>
              </w:smartTagPr>
              <w:r w:rsidRPr="00037946">
                <w:rPr>
                  <w:b/>
                  <w:i/>
                  <w:sz w:val="22"/>
                  <w:szCs w:val="22"/>
                </w:rPr>
                <w:t>50 m</w:t>
              </w:r>
            </w:smartTag>
          </w:p>
        </w:tc>
      </w:tr>
    </w:tbl>
    <w:p w14:paraId="265DE0A8" w14:textId="77777777" w:rsidR="00BB63DF" w:rsidRPr="009060E8" w:rsidRDefault="00BB63DF" w:rsidP="00BB63DF">
      <w:pPr>
        <w:autoSpaceDE w:val="0"/>
        <w:autoSpaceDN w:val="0"/>
        <w:adjustRightInd w:val="0"/>
        <w:spacing w:before="120" w:line="288" w:lineRule="auto"/>
        <w:rPr>
          <w:rFonts w:ascii="Arial" w:hAnsi="Arial" w:cs="Arial"/>
          <w:color w:val="FF0000"/>
          <w:sz w:val="20"/>
        </w:rPr>
      </w:pPr>
    </w:p>
    <w:p w14:paraId="7A8056AF" w14:textId="77777777" w:rsidR="00BB63DF" w:rsidRPr="00B63E16" w:rsidRDefault="00145DAF" w:rsidP="00BB63DF">
      <w:pPr>
        <w:pStyle w:val="Odstavecseseznamem"/>
        <w:autoSpaceDE w:val="0"/>
        <w:autoSpaceDN w:val="0"/>
        <w:adjustRightInd w:val="0"/>
        <w:spacing w:before="120" w:line="288" w:lineRule="auto"/>
        <w:ind w:left="0"/>
        <w:rPr>
          <w:rFonts w:ascii="Arial" w:hAnsi="Arial" w:cs="Arial"/>
          <w:b/>
          <w:bCs/>
          <w:smallCaps/>
          <w:color w:val="FF0000"/>
        </w:rPr>
      </w:pPr>
      <w:r w:rsidRPr="00B63E16">
        <w:rPr>
          <w:rFonts w:ascii="Arial" w:hAnsi="Arial" w:cs="Arial"/>
          <w:b/>
          <w:bCs/>
          <w:smallCaps/>
          <w:color w:val="FF0000"/>
        </w:rPr>
        <w:lastRenderedPageBreak/>
        <w:t>(Z8) VYMEZENÍ VEŘEJNĚ PROSPĚŠNÝCH STAVEB A VEŘEJNÝCH PROSTRANSTVÍ, PRO KTERÉ LZE UPLATNIT PŘEDKUPNÍ PRÁVO, S UVEDENÍM V ČÍ PROSPĚCH JE PŘEDKUPNÍ PRÁVO ZŘIZOVÁNO, PARCELNÍCH ČÍSEL POZEMKŮ, NÁZVU KATASTRÁLNÍHO ÚZEMÍ A PŘÍPADNĚ DALŠÍCH ÚDAJŮ PODLE § 5 ODST. 1</w:t>
      </w:r>
      <w:r>
        <w:rPr>
          <w:rFonts w:ascii="Arial" w:hAnsi="Arial" w:cs="Arial"/>
          <w:b/>
          <w:bCs/>
          <w:smallCaps/>
          <w:color w:val="FF0000"/>
        </w:rPr>
        <w:t xml:space="preserve"> </w:t>
      </w:r>
      <w:r w:rsidRPr="00B63E16">
        <w:rPr>
          <w:rFonts w:ascii="Arial" w:hAnsi="Arial" w:cs="Arial"/>
          <w:b/>
          <w:bCs/>
          <w:smallCaps/>
          <w:color w:val="FF0000"/>
        </w:rPr>
        <w:t>KATASTRÁLNÍHO ZÁKONA</w:t>
      </w:r>
    </w:p>
    <w:p w14:paraId="288A669F" w14:textId="77777777" w:rsidR="00BB63DF" w:rsidRPr="008700E9" w:rsidRDefault="00BB63DF" w:rsidP="00BB63DF">
      <w:pPr>
        <w:spacing w:before="120" w:line="288" w:lineRule="auto"/>
        <w:ind w:firstLine="709"/>
        <w:jc w:val="both"/>
        <w:rPr>
          <w:rFonts w:ascii="Arial" w:hAnsi="Arial" w:cs="Arial"/>
          <w:color w:val="FF0000"/>
          <w:sz w:val="22"/>
          <w:szCs w:val="22"/>
        </w:rPr>
      </w:pPr>
      <w:r w:rsidRPr="008700E9">
        <w:rPr>
          <w:rFonts w:ascii="Arial" w:hAnsi="Arial" w:cs="Arial"/>
          <w:color w:val="FF0000"/>
          <w:sz w:val="22"/>
          <w:szCs w:val="22"/>
        </w:rPr>
        <w:t>Veřejně prospěšné stavby a opatření, pro které lze uplatnit předkupní právo nejsou vymezovány.</w:t>
      </w:r>
    </w:p>
    <w:p w14:paraId="608F9CBB" w14:textId="77777777" w:rsidR="00BB63DF" w:rsidRDefault="00BB63DF" w:rsidP="00BB63DF">
      <w:pPr>
        <w:autoSpaceDE w:val="0"/>
        <w:autoSpaceDN w:val="0"/>
        <w:adjustRightInd w:val="0"/>
        <w:rPr>
          <w:rFonts w:ascii="Arial" w:hAnsi="Arial" w:cs="Arial"/>
          <w:sz w:val="20"/>
        </w:rPr>
      </w:pPr>
    </w:p>
    <w:p w14:paraId="007C89E7" w14:textId="77777777" w:rsidR="00C51217" w:rsidRDefault="00C51217" w:rsidP="00CA23D0">
      <w:pPr>
        <w:jc w:val="both"/>
        <w:rPr>
          <w:rFonts w:ascii="Arial" w:hAnsi="Arial" w:cs="Arial"/>
          <w:sz w:val="22"/>
        </w:rPr>
      </w:pPr>
    </w:p>
    <w:p w14:paraId="44C31FD6" w14:textId="77777777" w:rsidR="00AC341C" w:rsidRDefault="00AC341C" w:rsidP="00CA23D0">
      <w:pPr>
        <w:jc w:val="both"/>
        <w:rPr>
          <w:rFonts w:ascii="Arial" w:hAnsi="Arial" w:cs="Arial"/>
          <w:sz w:val="22"/>
        </w:rPr>
      </w:pPr>
    </w:p>
    <w:p w14:paraId="0CA92213" w14:textId="77777777" w:rsidR="00AC341C" w:rsidRPr="00FF2F84" w:rsidRDefault="00145DAF" w:rsidP="00145DAF">
      <w:pPr>
        <w:spacing w:after="240"/>
        <w:jc w:val="both"/>
        <w:rPr>
          <w:rFonts w:ascii="Arial" w:hAnsi="Arial" w:cs="Arial"/>
          <w:b/>
          <w:color w:val="18B8B0"/>
          <w:sz w:val="22"/>
        </w:rPr>
      </w:pPr>
      <w:r w:rsidRPr="00FF2F84">
        <w:rPr>
          <w:rFonts w:ascii="Arial" w:hAnsi="Arial" w:cs="Arial"/>
          <w:b/>
          <w:color w:val="18B8B0"/>
          <w:sz w:val="22"/>
        </w:rPr>
        <w:t xml:space="preserve">(Z12) VEŘEJNĚ PROSPĚŠNÉ STAVBY DOPRAVY </w:t>
      </w:r>
    </w:p>
    <w:p w14:paraId="4F8CDCDD" w14:textId="1F15D211" w:rsidR="00145DAF" w:rsidRPr="00FF2F84" w:rsidRDefault="00145DAF" w:rsidP="00145DAF">
      <w:pPr>
        <w:spacing w:after="240"/>
        <w:jc w:val="both"/>
        <w:rPr>
          <w:rFonts w:ascii="Arial" w:hAnsi="Arial" w:cs="Arial"/>
          <w:color w:val="18B8B0"/>
          <w:sz w:val="22"/>
        </w:rPr>
      </w:pPr>
      <w:r w:rsidRPr="00FF2F84">
        <w:rPr>
          <w:rFonts w:ascii="Arial" w:hAnsi="Arial" w:cs="Arial"/>
          <w:color w:val="18B8B0"/>
          <w:sz w:val="22"/>
        </w:rPr>
        <w:t>V rá</w:t>
      </w:r>
      <w:r w:rsidR="00437823" w:rsidRPr="00FF2F84">
        <w:rPr>
          <w:rFonts w:ascii="Arial" w:hAnsi="Arial" w:cs="Arial"/>
          <w:color w:val="18B8B0"/>
          <w:sz w:val="22"/>
        </w:rPr>
        <w:t xml:space="preserve">mci změny č. 12 se vypouští část VPS </w:t>
      </w:r>
      <w:r w:rsidRPr="00FF2F84">
        <w:rPr>
          <w:rFonts w:ascii="Arial" w:hAnsi="Arial" w:cs="Arial"/>
          <w:color w:val="18B8B0"/>
          <w:sz w:val="22"/>
        </w:rPr>
        <w:t xml:space="preserve">D6 a </w:t>
      </w:r>
      <w:r w:rsidR="00437823" w:rsidRPr="00FF2F84">
        <w:rPr>
          <w:rFonts w:ascii="Arial" w:hAnsi="Arial" w:cs="Arial"/>
          <w:color w:val="18B8B0"/>
          <w:sz w:val="22"/>
        </w:rPr>
        <w:t xml:space="preserve">celá VPS </w:t>
      </w:r>
      <w:r w:rsidRPr="00FF2F84">
        <w:rPr>
          <w:rFonts w:ascii="Arial" w:hAnsi="Arial" w:cs="Arial"/>
          <w:color w:val="18B8B0"/>
          <w:sz w:val="22"/>
        </w:rPr>
        <w:t xml:space="preserve">D9 a tyto stavby jsou nahrazeny koridorem CNZ.D(12): </w:t>
      </w:r>
    </w:p>
    <w:p w14:paraId="6A01D955" w14:textId="4C5968A4" w:rsidR="00145DAF" w:rsidRPr="00FF2F84" w:rsidRDefault="00145DAF" w:rsidP="00437823">
      <w:pPr>
        <w:pStyle w:val="Zkladntext"/>
        <w:numPr>
          <w:ilvl w:val="0"/>
          <w:numId w:val="143"/>
        </w:numPr>
        <w:spacing w:before="120" w:after="240" w:line="288" w:lineRule="auto"/>
        <w:jc w:val="both"/>
        <w:rPr>
          <w:rFonts w:ascii="Arial" w:hAnsi="Arial" w:cs="Arial"/>
          <w:color w:val="18B8B0"/>
          <w:sz w:val="22"/>
          <w:szCs w:val="22"/>
        </w:rPr>
      </w:pPr>
      <w:r w:rsidRPr="00FF2F84">
        <w:rPr>
          <w:rFonts w:ascii="Arial" w:hAnsi="Arial" w:cs="Arial"/>
          <w:b/>
          <w:color w:val="18B8B0"/>
          <w:sz w:val="22"/>
          <w:szCs w:val="22"/>
        </w:rPr>
        <w:t>CNZ.D(12)</w:t>
      </w:r>
      <w:r w:rsidRPr="00FF2F84">
        <w:rPr>
          <w:rFonts w:ascii="Arial" w:hAnsi="Arial" w:cs="Arial"/>
          <w:color w:val="18B8B0"/>
          <w:sz w:val="22"/>
          <w:szCs w:val="22"/>
        </w:rPr>
        <w:t xml:space="preserve"> Přeložka sil. I/13</w:t>
      </w:r>
      <w:r w:rsidR="00437823" w:rsidRPr="00FF2F84">
        <w:rPr>
          <w:rFonts w:ascii="Arial" w:hAnsi="Arial" w:cs="Arial"/>
          <w:color w:val="18B8B0"/>
          <w:sz w:val="22"/>
          <w:szCs w:val="22"/>
        </w:rPr>
        <w:t xml:space="preserve"> Děčín - Ludvíkovice</w:t>
      </w:r>
      <w:r w:rsidRPr="00FF2F84">
        <w:rPr>
          <w:rFonts w:ascii="Arial" w:hAnsi="Arial" w:cs="Arial"/>
          <w:color w:val="18B8B0"/>
          <w:sz w:val="22"/>
          <w:szCs w:val="22"/>
        </w:rPr>
        <w:t xml:space="preserve"> (</w:t>
      </w:r>
      <w:r w:rsidR="00D356C7" w:rsidRPr="00FF2F84">
        <w:rPr>
          <w:rFonts w:ascii="Arial" w:hAnsi="Arial" w:cs="Arial"/>
          <w:color w:val="18B8B0"/>
          <w:sz w:val="22"/>
          <w:szCs w:val="22"/>
        </w:rPr>
        <w:t>t</w:t>
      </w:r>
      <w:r w:rsidRPr="00FF2F84">
        <w:rPr>
          <w:rFonts w:ascii="Arial" w:hAnsi="Arial" w:cs="Arial"/>
          <w:color w:val="18B8B0"/>
          <w:sz w:val="22"/>
          <w:szCs w:val="22"/>
        </w:rPr>
        <w:t>zv. Folknářská spojka</w:t>
      </w:r>
      <w:r w:rsidR="00D356C7" w:rsidRPr="00FF2F84">
        <w:rPr>
          <w:rFonts w:ascii="Arial" w:hAnsi="Arial" w:cs="Arial"/>
          <w:color w:val="18B8B0"/>
          <w:sz w:val="22"/>
          <w:szCs w:val="22"/>
        </w:rPr>
        <w:t>) odlehčující ulici Kamenickou</w:t>
      </w:r>
      <w:r w:rsidRPr="00FF2F84">
        <w:rPr>
          <w:rFonts w:ascii="Arial" w:hAnsi="Arial" w:cs="Arial"/>
          <w:color w:val="18B8B0"/>
          <w:sz w:val="22"/>
          <w:szCs w:val="22"/>
        </w:rPr>
        <w:t xml:space="preserve"> v pravobřežní části Děčína v prostoru Libverdy, včetně mimoúrovňové křižovatky na Folknářské spojce. V rámci koridoru jsou zahrnuty stavby související s touto přeložkou. Trasa je součástí komplexní přestavby tahu od Děčína po Nový Bor.</w:t>
      </w:r>
    </w:p>
    <w:p w14:paraId="63FB83EB" w14:textId="77777777" w:rsidR="00AC341C" w:rsidRDefault="00AC341C" w:rsidP="00CA23D0">
      <w:pPr>
        <w:jc w:val="both"/>
        <w:rPr>
          <w:rFonts w:ascii="Arial" w:hAnsi="Arial" w:cs="Arial"/>
          <w:sz w:val="22"/>
        </w:rPr>
      </w:pPr>
    </w:p>
    <w:p w14:paraId="4300B9BE" w14:textId="77777777" w:rsidR="00AC341C" w:rsidRDefault="00AC341C" w:rsidP="00CA23D0">
      <w:pPr>
        <w:jc w:val="both"/>
        <w:rPr>
          <w:rFonts w:ascii="Arial" w:hAnsi="Arial" w:cs="Arial"/>
          <w:sz w:val="22"/>
        </w:rPr>
      </w:pPr>
    </w:p>
    <w:p w14:paraId="0DE29308" w14:textId="77777777" w:rsidR="00AC341C" w:rsidRDefault="00AC341C" w:rsidP="00CA23D0">
      <w:pPr>
        <w:jc w:val="both"/>
        <w:rPr>
          <w:rFonts w:ascii="Arial" w:hAnsi="Arial" w:cs="Arial"/>
          <w:sz w:val="22"/>
        </w:rPr>
      </w:pPr>
    </w:p>
    <w:p w14:paraId="482F47B0" w14:textId="77777777" w:rsidR="00AC341C" w:rsidRDefault="00AC341C" w:rsidP="00CA23D0">
      <w:pPr>
        <w:jc w:val="both"/>
        <w:rPr>
          <w:rFonts w:ascii="Arial" w:hAnsi="Arial" w:cs="Arial"/>
          <w:sz w:val="22"/>
        </w:rPr>
      </w:pPr>
    </w:p>
    <w:p w14:paraId="58DE041A" w14:textId="77777777" w:rsidR="00AC341C" w:rsidRDefault="00AC341C" w:rsidP="00CA23D0">
      <w:pPr>
        <w:jc w:val="both"/>
        <w:rPr>
          <w:rFonts w:ascii="Arial" w:hAnsi="Arial" w:cs="Arial"/>
          <w:sz w:val="22"/>
        </w:rPr>
      </w:pPr>
    </w:p>
    <w:p w14:paraId="58503921" w14:textId="77777777" w:rsidR="00AC341C" w:rsidRDefault="00AC341C" w:rsidP="00CA23D0">
      <w:pPr>
        <w:jc w:val="both"/>
        <w:rPr>
          <w:rFonts w:ascii="Arial" w:hAnsi="Arial" w:cs="Arial"/>
          <w:sz w:val="22"/>
        </w:rPr>
      </w:pPr>
    </w:p>
    <w:p w14:paraId="18AC7F1B" w14:textId="77777777" w:rsidR="00AC341C" w:rsidRDefault="00AC341C" w:rsidP="00CA23D0">
      <w:pPr>
        <w:jc w:val="both"/>
        <w:rPr>
          <w:rFonts w:ascii="Arial" w:hAnsi="Arial" w:cs="Arial"/>
          <w:sz w:val="22"/>
        </w:rPr>
      </w:pPr>
    </w:p>
    <w:p w14:paraId="2C94F9AA" w14:textId="77777777" w:rsidR="00AC341C" w:rsidRDefault="00AC341C" w:rsidP="00CA23D0">
      <w:pPr>
        <w:jc w:val="both"/>
        <w:rPr>
          <w:rFonts w:ascii="Arial" w:hAnsi="Arial" w:cs="Arial"/>
          <w:sz w:val="22"/>
        </w:rPr>
      </w:pPr>
    </w:p>
    <w:p w14:paraId="6A3AB3D7" w14:textId="77777777" w:rsidR="00AC341C" w:rsidRDefault="00AC341C" w:rsidP="00CA23D0">
      <w:pPr>
        <w:jc w:val="both"/>
        <w:rPr>
          <w:rFonts w:ascii="Arial" w:hAnsi="Arial" w:cs="Arial"/>
          <w:sz w:val="22"/>
        </w:rPr>
      </w:pPr>
    </w:p>
    <w:p w14:paraId="69122B13" w14:textId="77777777" w:rsidR="00AC341C" w:rsidRDefault="00AC341C" w:rsidP="00CA23D0">
      <w:pPr>
        <w:jc w:val="both"/>
        <w:rPr>
          <w:rFonts w:ascii="Arial" w:hAnsi="Arial" w:cs="Arial"/>
          <w:sz w:val="22"/>
        </w:rPr>
      </w:pPr>
    </w:p>
    <w:p w14:paraId="790B6E49" w14:textId="77777777" w:rsidR="00AC341C" w:rsidRDefault="00AC341C" w:rsidP="00CA23D0">
      <w:pPr>
        <w:jc w:val="both"/>
        <w:rPr>
          <w:rFonts w:ascii="Arial" w:hAnsi="Arial" w:cs="Arial"/>
          <w:sz w:val="22"/>
        </w:rPr>
      </w:pPr>
    </w:p>
    <w:p w14:paraId="4692E66C" w14:textId="77777777" w:rsidR="00AC341C" w:rsidRDefault="00AC341C" w:rsidP="00CA23D0">
      <w:pPr>
        <w:jc w:val="both"/>
        <w:rPr>
          <w:rFonts w:ascii="Arial" w:hAnsi="Arial" w:cs="Arial"/>
          <w:sz w:val="22"/>
        </w:rPr>
      </w:pPr>
    </w:p>
    <w:p w14:paraId="0C9E9979" w14:textId="77777777" w:rsidR="00AC341C" w:rsidRDefault="00AC341C" w:rsidP="00CA23D0">
      <w:pPr>
        <w:jc w:val="both"/>
        <w:rPr>
          <w:rFonts w:ascii="Arial" w:hAnsi="Arial" w:cs="Arial"/>
          <w:sz w:val="22"/>
        </w:rPr>
      </w:pPr>
    </w:p>
    <w:p w14:paraId="3B728170" w14:textId="77777777" w:rsidR="00AC341C" w:rsidRDefault="00AC341C" w:rsidP="00CA23D0">
      <w:pPr>
        <w:jc w:val="both"/>
        <w:rPr>
          <w:rFonts w:ascii="Arial" w:hAnsi="Arial" w:cs="Arial"/>
          <w:sz w:val="22"/>
        </w:rPr>
      </w:pPr>
    </w:p>
    <w:p w14:paraId="32DC6E4B" w14:textId="77777777" w:rsidR="00AC341C" w:rsidRDefault="00AC341C" w:rsidP="00CA23D0">
      <w:pPr>
        <w:jc w:val="both"/>
        <w:rPr>
          <w:rFonts w:ascii="Arial" w:hAnsi="Arial" w:cs="Arial"/>
          <w:sz w:val="22"/>
        </w:rPr>
      </w:pPr>
    </w:p>
    <w:p w14:paraId="4D800D76" w14:textId="77777777" w:rsidR="00AC341C" w:rsidRDefault="00AC341C" w:rsidP="00CA23D0">
      <w:pPr>
        <w:jc w:val="both"/>
        <w:rPr>
          <w:rFonts w:ascii="Arial" w:hAnsi="Arial" w:cs="Arial"/>
          <w:sz w:val="22"/>
        </w:rPr>
      </w:pPr>
    </w:p>
    <w:p w14:paraId="44913604" w14:textId="77777777" w:rsidR="00AC341C" w:rsidRDefault="00AC341C" w:rsidP="00CA23D0">
      <w:pPr>
        <w:jc w:val="both"/>
        <w:rPr>
          <w:rFonts w:ascii="Arial" w:hAnsi="Arial" w:cs="Arial"/>
          <w:sz w:val="22"/>
        </w:rPr>
      </w:pPr>
    </w:p>
    <w:p w14:paraId="11D2229B" w14:textId="77777777" w:rsidR="00AC341C" w:rsidRDefault="00AC341C" w:rsidP="00CA23D0">
      <w:pPr>
        <w:jc w:val="both"/>
        <w:rPr>
          <w:rFonts w:ascii="Arial" w:hAnsi="Arial" w:cs="Arial"/>
          <w:sz w:val="22"/>
        </w:rPr>
      </w:pPr>
    </w:p>
    <w:p w14:paraId="45863E0B" w14:textId="77777777" w:rsidR="00AC341C" w:rsidRDefault="00AC341C" w:rsidP="00CA23D0">
      <w:pPr>
        <w:jc w:val="both"/>
        <w:rPr>
          <w:rFonts w:ascii="Arial" w:hAnsi="Arial" w:cs="Arial"/>
          <w:sz w:val="22"/>
        </w:rPr>
      </w:pPr>
    </w:p>
    <w:p w14:paraId="4A070C81" w14:textId="77777777" w:rsidR="00AC341C" w:rsidRDefault="00AC341C" w:rsidP="00CA23D0">
      <w:pPr>
        <w:jc w:val="both"/>
        <w:rPr>
          <w:rFonts w:ascii="Arial" w:hAnsi="Arial" w:cs="Arial"/>
          <w:sz w:val="22"/>
        </w:rPr>
      </w:pPr>
    </w:p>
    <w:p w14:paraId="0B7788E8" w14:textId="77777777" w:rsidR="00AC341C" w:rsidRDefault="00AC341C" w:rsidP="00CA23D0">
      <w:pPr>
        <w:jc w:val="both"/>
        <w:rPr>
          <w:rFonts w:ascii="Arial" w:hAnsi="Arial" w:cs="Arial"/>
          <w:sz w:val="22"/>
        </w:rPr>
      </w:pPr>
    </w:p>
    <w:p w14:paraId="03CBF02C" w14:textId="77777777" w:rsidR="00AC341C" w:rsidRDefault="00AC341C" w:rsidP="00CA23D0">
      <w:pPr>
        <w:jc w:val="both"/>
        <w:rPr>
          <w:rFonts w:ascii="Arial" w:hAnsi="Arial" w:cs="Arial"/>
          <w:sz w:val="22"/>
        </w:rPr>
      </w:pPr>
    </w:p>
    <w:p w14:paraId="41C96AD4" w14:textId="77777777" w:rsidR="00AC341C" w:rsidRDefault="00AC341C" w:rsidP="00CA23D0">
      <w:pPr>
        <w:jc w:val="both"/>
        <w:rPr>
          <w:rFonts w:ascii="Arial" w:hAnsi="Arial" w:cs="Arial"/>
          <w:sz w:val="22"/>
        </w:rPr>
      </w:pPr>
    </w:p>
    <w:p w14:paraId="67140C3F" w14:textId="77777777" w:rsidR="00AC341C" w:rsidRDefault="00AC341C" w:rsidP="00CA23D0">
      <w:pPr>
        <w:jc w:val="both"/>
        <w:rPr>
          <w:rFonts w:ascii="Arial" w:hAnsi="Arial" w:cs="Arial"/>
          <w:sz w:val="22"/>
        </w:rPr>
      </w:pPr>
    </w:p>
    <w:p w14:paraId="0726C6CD" w14:textId="77777777" w:rsidR="00AC341C" w:rsidRDefault="00AC341C" w:rsidP="00CA23D0">
      <w:pPr>
        <w:jc w:val="both"/>
        <w:rPr>
          <w:rFonts w:ascii="Arial" w:hAnsi="Arial" w:cs="Arial"/>
          <w:sz w:val="22"/>
        </w:rPr>
      </w:pPr>
    </w:p>
    <w:p w14:paraId="75A547E3" w14:textId="77777777" w:rsidR="00AC341C" w:rsidRDefault="00AC341C" w:rsidP="00CA23D0">
      <w:pPr>
        <w:jc w:val="both"/>
        <w:rPr>
          <w:rFonts w:ascii="Arial" w:hAnsi="Arial" w:cs="Arial"/>
          <w:sz w:val="22"/>
        </w:rPr>
      </w:pPr>
    </w:p>
    <w:p w14:paraId="60C3D01D" w14:textId="77777777" w:rsidR="00AC341C" w:rsidRDefault="00AC341C" w:rsidP="00CA23D0">
      <w:pPr>
        <w:jc w:val="both"/>
        <w:rPr>
          <w:rFonts w:ascii="Arial" w:hAnsi="Arial" w:cs="Arial"/>
          <w:sz w:val="22"/>
        </w:rPr>
      </w:pPr>
    </w:p>
    <w:p w14:paraId="5313E417" w14:textId="77777777" w:rsidR="009617F5" w:rsidRPr="005E3464" w:rsidRDefault="009617F5" w:rsidP="00C66C1F">
      <w:pPr>
        <w:pStyle w:val="Nadpis"/>
        <w:jc w:val="left"/>
        <w:rPr>
          <w:sz w:val="48"/>
          <w:szCs w:val="48"/>
        </w:rPr>
      </w:pPr>
      <w:r w:rsidRPr="005E3464">
        <w:rPr>
          <w:sz w:val="48"/>
          <w:szCs w:val="48"/>
        </w:rPr>
        <w:lastRenderedPageBreak/>
        <w:t xml:space="preserve">N.  </w:t>
      </w:r>
      <w:r w:rsidR="00910916" w:rsidRPr="005E3464">
        <w:rPr>
          <w:sz w:val="48"/>
          <w:szCs w:val="48"/>
        </w:rPr>
        <w:t>VYHODNOCENÍ DŮSLEDKŮ NÁVRHU NA ZPF A PUPFL</w:t>
      </w:r>
    </w:p>
    <w:p w14:paraId="3D22345A" w14:textId="77777777" w:rsidR="009617F5" w:rsidRDefault="009617F5" w:rsidP="009617F5">
      <w:pPr>
        <w:pStyle w:val="Zkladntext"/>
        <w:spacing w:before="120" w:line="288" w:lineRule="auto"/>
        <w:jc w:val="both"/>
      </w:pPr>
    </w:p>
    <w:p w14:paraId="643F2D0C" w14:textId="77777777" w:rsidR="009617F5" w:rsidRPr="009617F5" w:rsidRDefault="009617F5" w:rsidP="009617F5">
      <w:pPr>
        <w:pStyle w:val="podnadpis1"/>
        <w:rPr>
          <w:rFonts w:cs="Arial"/>
        </w:rPr>
      </w:pPr>
      <w:r w:rsidRPr="009617F5">
        <w:rPr>
          <w:rFonts w:cs="Arial"/>
        </w:rPr>
        <w:t>n1.  zábor zpf</w:t>
      </w:r>
    </w:p>
    <w:p w14:paraId="66B002B8" w14:textId="77777777" w:rsidR="009617F5" w:rsidRPr="009617F5" w:rsidRDefault="009617F5" w:rsidP="009617F5">
      <w:pPr>
        <w:pStyle w:val="Zkladntext"/>
        <w:spacing w:before="120" w:line="288" w:lineRule="auto"/>
        <w:ind w:firstLine="709"/>
        <w:jc w:val="both"/>
        <w:rPr>
          <w:rFonts w:ascii="Arial" w:hAnsi="Arial" w:cs="Arial"/>
        </w:rPr>
      </w:pPr>
      <w:r w:rsidRPr="009617F5">
        <w:rPr>
          <w:rFonts w:ascii="Arial" w:hAnsi="Arial" w:cs="Arial"/>
        </w:rPr>
        <w:t xml:space="preserve">Pro územní rozvoj, navržený územním plánem Děčína, byly jednotlivé plochy vyhodnoceny podle zákona o ochraně zemědělského půdního fondu č.334/1992. Řešeným územím je správní obvod Městského úřadu Děčín. </w:t>
      </w:r>
    </w:p>
    <w:p w14:paraId="09653320" w14:textId="77777777" w:rsidR="009617F5" w:rsidRPr="009617F5" w:rsidRDefault="009617F5" w:rsidP="009617F5">
      <w:pPr>
        <w:pStyle w:val="Zkladntext"/>
        <w:jc w:val="both"/>
        <w:rPr>
          <w:rFonts w:ascii="Arial" w:hAnsi="Arial" w:cs="Arial"/>
        </w:rPr>
      </w:pPr>
    </w:p>
    <w:p w14:paraId="0A6703C8" w14:textId="77777777" w:rsidR="009617F5" w:rsidRPr="009617F5" w:rsidRDefault="009617F5" w:rsidP="009617F5">
      <w:pPr>
        <w:pStyle w:val="Zkladntext"/>
        <w:spacing w:before="120" w:line="288" w:lineRule="auto"/>
        <w:jc w:val="both"/>
        <w:rPr>
          <w:rFonts w:ascii="Arial" w:hAnsi="Arial" w:cs="Arial"/>
        </w:rPr>
      </w:pPr>
      <w:r w:rsidRPr="009617F5">
        <w:rPr>
          <w:rFonts w:ascii="Arial" w:hAnsi="Arial" w:cs="Arial"/>
          <w:b/>
          <w:bCs/>
          <w:caps/>
        </w:rPr>
        <w:t xml:space="preserve">  </w:t>
      </w:r>
      <w:r w:rsidRPr="009617F5">
        <w:rPr>
          <w:rFonts w:ascii="Arial" w:hAnsi="Arial" w:cs="Arial"/>
          <w:b/>
          <w:bCs/>
          <w:caps/>
        </w:rPr>
        <w:tab/>
        <w:t xml:space="preserve">    základní údaje o katastrálních územích - stav 2000</w:t>
      </w:r>
    </w:p>
    <w:tbl>
      <w:tblPr>
        <w:tblW w:w="0" w:type="auto"/>
        <w:jc w:val="center"/>
        <w:tblLayout w:type="fixed"/>
        <w:tblCellMar>
          <w:left w:w="30" w:type="dxa"/>
          <w:right w:w="30" w:type="dxa"/>
        </w:tblCellMar>
        <w:tblLook w:val="0000" w:firstRow="0" w:lastRow="0" w:firstColumn="0" w:lastColumn="0" w:noHBand="0" w:noVBand="0"/>
      </w:tblPr>
      <w:tblGrid>
        <w:gridCol w:w="1950"/>
        <w:gridCol w:w="887"/>
        <w:gridCol w:w="900"/>
        <w:gridCol w:w="1023"/>
        <w:gridCol w:w="995"/>
        <w:gridCol w:w="845"/>
        <w:gridCol w:w="979"/>
      </w:tblGrid>
      <w:tr w:rsidR="009617F5" w:rsidRPr="009617F5" w14:paraId="2AEC6ADA"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2D08C921" w14:textId="77777777" w:rsidR="009617F5" w:rsidRPr="009617F5" w:rsidRDefault="009617F5" w:rsidP="009617F5">
            <w:pPr>
              <w:pStyle w:val="Zkladntext"/>
              <w:spacing w:after="0" w:line="240" w:lineRule="atLeast"/>
              <w:jc w:val="center"/>
              <w:rPr>
                <w:rFonts w:ascii="Arial" w:hAnsi="Arial" w:cs="Arial"/>
              </w:rPr>
            </w:pPr>
          </w:p>
          <w:p w14:paraId="4518B6AD" w14:textId="77777777" w:rsidR="009617F5" w:rsidRPr="009617F5" w:rsidRDefault="009617F5" w:rsidP="009617F5">
            <w:pPr>
              <w:pStyle w:val="Texttabulky"/>
              <w:spacing w:after="0" w:line="240" w:lineRule="atLeast"/>
              <w:jc w:val="center"/>
              <w:rPr>
                <w:rFonts w:cs="Arial"/>
              </w:rPr>
            </w:pPr>
            <w:r w:rsidRPr="009617F5">
              <w:rPr>
                <w:rFonts w:cs="Arial"/>
                <w:b/>
                <w:bCs/>
              </w:rPr>
              <w:t>název kat. území</w:t>
            </w:r>
          </w:p>
        </w:tc>
        <w:tc>
          <w:tcPr>
            <w:tcW w:w="887" w:type="dxa"/>
            <w:tcBorders>
              <w:top w:val="single" w:sz="6" w:space="0" w:color="auto"/>
              <w:left w:val="single" w:sz="6" w:space="0" w:color="auto"/>
              <w:bottom w:val="single" w:sz="6" w:space="0" w:color="auto"/>
              <w:right w:val="single" w:sz="6" w:space="0" w:color="auto"/>
            </w:tcBorders>
          </w:tcPr>
          <w:p w14:paraId="6024F3D2" w14:textId="77777777" w:rsidR="009617F5" w:rsidRPr="009617F5" w:rsidRDefault="009617F5" w:rsidP="009617F5">
            <w:pPr>
              <w:pStyle w:val="Zkladntext"/>
              <w:spacing w:after="0" w:line="240" w:lineRule="atLeast"/>
              <w:jc w:val="center"/>
              <w:rPr>
                <w:rFonts w:ascii="Arial" w:hAnsi="Arial" w:cs="Arial"/>
              </w:rPr>
            </w:pPr>
          </w:p>
          <w:p w14:paraId="04AAAB7D" w14:textId="77777777" w:rsidR="009617F5" w:rsidRPr="009617F5" w:rsidRDefault="009617F5" w:rsidP="009617F5">
            <w:pPr>
              <w:pStyle w:val="Texttabulky"/>
              <w:spacing w:after="0" w:line="240" w:lineRule="atLeast"/>
              <w:jc w:val="center"/>
              <w:rPr>
                <w:rFonts w:cs="Arial"/>
              </w:rPr>
            </w:pPr>
            <w:r w:rsidRPr="009617F5">
              <w:rPr>
                <w:rFonts w:cs="Arial"/>
                <w:b/>
                <w:bCs/>
              </w:rPr>
              <w:t>výměra celkem</w:t>
            </w:r>
          </w:p>
        </w:tc>
        <w:tc>
          <w:tcPr>
            <w:tcW w:w="900" w:type="dxa"/>
            <w:tcBorders>
              <w:top w:val="single" w:sz="6" w:space="0" w:color="auto"/>
              <w:left w:val="single" w:sz="6" w:space="0" w:color="auto"/>
              <w:bottom w:val="single" w:sz="6" w:space="0" w:color="auto"/>
              <w:right w:val="single" w:sz="6" w:space="0" w:color="auto"/>
            </w:tcBorders>
          </w:tcPr>
          <w:p w14:paraId="228198FA" w14:textId="77777777" w:rsidR="009617F5" w:rsidRPr="009617F5" w:rsidRDefault="009617F5" w:rsidP="009617F5">
            <w:pPr>
              <w:pStyle w:val="Zkladntext"/>
              <w:spacing w:after="0" w:line="240" w:lineRule="atLeast"/>
              <w:jc w:val="center"/>
              <w:rPr>
                <w:rFonts w:ascii="Arial" w:hAnsi="Arial" w:cs="Arial"/>
              </w:rPr>
            </w:pPr>
          </w:p>
          <w:p w14:paraId="60D67BFF" w14:textId="77777777" w:rsidR="009617F5" w:rsidRPr="009617F5" w:rsidRDefault="009617F5" w:rsidP="009617F5">
            <w:pPr>
              <w:pStyle w:val="Texttabulky"/>
              <w:spacing w:after="0" w:line="240" w:lineRule="atLeast"/>
              <w:jc w:val="center"/>
              <w:rPr>
                <w:rFonts w:cs="Arial"/>
              </w:rPr>
            </w:pPr>
            <w:r w:rsidRPr="009617F5">
              <w:rPr>
                <w:rFonts w:cs="Arial"/>
                <w:b/>
                <w:bCs/>
              </w:rPr>
              <w:t>zemědělská půda</w:t>
            </w:r>
          </w:p>
        </w:tc>
        <w:tc>
          <w:tcPr>
            <w:tcW w:w="1023" w:type="dxa"/>
            <w:tcBorders>
              <w:top w:val="single" w:sz="6" w:space="0" w:color="auto"/>
              <w:left w:val="single" w:sz="6" w:space="0" w:color="auto"/>
              <w:bottom w:val="single" w:sz="6" w:space="0" w:color="auto"/>
              <w:right w:val="single" w:sz="6" w:space="0" w:color="auto"/>
            </w:tcBorders>
          </w:tcPr>
          <w:p w14:paraId="1F5FC2ED" w14:textId="77777777" w:rsidR="009617F5" w:rsidRPr="009617F5" w:rsidRDefault="009617F5" w:rsidP="009617F5">
            <w:pPr>
              <w:pStyle w:val="Zkladntext"/>
              <w:spacing w:after="0" w:line="240" w:lineRule="atLeast"/>
              <w:jc w:val="center"/>
              <w:rPr>
                <w:rFonts w:ascii="Arial" w:hAnsi="Arial" w:cs="Arial"/>
              </w:rPr>
            </w:pPr>
          </w:p>
          <w:p w14:paraId="37C5B70B" w14:textId="77777777" w:rsidR="009617F5" w:rsidRPr="009617F5" w:rsidRDefault="009617F5" w:rsidP="009617F5">
            <w:pPr>
              <w:pStyle w:val="Texttabulky"/>
              <w:spacing w:after="0" w:line="240" w:lineRule="atLeast"/>
              <w:jc w:val="center"/>
              <w:rPr>
                <w:rFonts w:cs="Arial"/>
              </w:rPr>
            </w:pPr>
            <w:r w:rsidRPr="009617F5">
              <w:rPr>
                <w:rFonts w:cs="Arial"/>
                <w:b/>
                <w:bCs/>
              </w:rPr>
              <w:t>lesní pozemky</w:t>
            </w:r>
          </w:p>
        </w:tc>
        <w:tc>
          <w:tcPr>
            <w:tcW w:w="995" w:type="dxa"/>
            <w:tcBorders>
              <w:top w:val="single" w:sz="6" w:space="0" w:color="auto"/>
              <w:left w:val="single" w:sz="6" w:space="0" w:color="auto"/>
              <w:bottom w:val="single" w:sz="6" w:space="0" w:color="auto"/>
              <w:right w:val="single" w:sz="6" w:space="0" w:color="auto"/>
            </w:tcBorders>
          </w:tcPr>
          <w:p w14:paraId="370BFCA2" w14:textId="77777777" w:rsidR="009617F5" w:rsidRPr="009617F5" w:rsidRDefault="009617F5" w:rsidP="009617F5">
            <w:pPr>
              <w:pStyle w:val="Zkladntext"/>
              <w:spacing w:after="0" w:line="240" w:lineRule="atLeast"/>
              <w:jc w:val="center"/>
              <w:rPr>
                <w:rFonts w:ascii="Arial" w:hAnsi="Arial" w:cs="Arial"/>
              </w:rPr>
            </w:pPr>
          </w:p>
          <w:p w14:paraId="61E7B24F" w14:textId="77777777" w:rsidR="009617F5" w:rsidRPr="009617F5" w:rsidRDefault="009617F5" w:rsidP="009617F5">
            <w:pPr>
              <w:pStyle w:val="Texttabulky"/>
              <w:spacing w:after="0" w:line="240" w:lineRule="atLeast"/>
              <w:jc w:val="center"/>
              <w:rPr>
                <w:rFonts w:cs="Arial"/>
              </w:rPr>
            </w:pPr>
            <w:r w:rsidRPr="009617F5">
              <w:rPr>
                <w:rFonts w:cs="Arial"/>
                <w:b/>
                <w:bCs/>
              </w:rPr>
              <w:t>vodní plochy</w:t>
            </w:r>
          </w:p>
        </w:tc>
        <w:tc>
          <w:tcPr>
            <w:tcW w:w="845" w:type="dxa"/>
            <w:tcBorders>
              <w:top w:val="single" w:sz="6" w:space="0" w:color="auto"/>
              <w:left w:val="single" w:sz="6" w:space="0" w:color="auto"/>
              <w:bottom w:val="single" w:sz="6" w:space="0" w:color="auto"/>
              <w:right w:val="single" w:sz="6" w:space="0" w:color="auto"/>
            </w:tcBorders>
          </w:tcPr>
          <w:p w14:paraId="10B06A47" w14:textId="77777777" w:rsidR="009617F5" w:rsidRPr="009617F5" w:rsidRDefault="009617F5" w:rsidP="009617F5">
            <w:pPr>
              <w:pStyle w:val="Zkladntext"/>
              <w:spacing w:after="0" w:line="240" w:lineRule="atLeast"/>
              <w:jc w:val="center"/>
              <w:rPr>
                <w:rFonts w:ascii="Arial" w:hAnsi="Arial" w:cs="Arial"/>
              </w:rPr>
            </w:pPr>
          </w:p>
          <w:p w14:paraId="5AE9D6A5" w14:textId="77777777" w:rsidR="009617F5" w:rsidRPr="009617F5" w:rsidRDefault="009617F5" w:rsidP="009617F5">
            <w:pPr>
              <w:pStyle w:val="Texttabulky"/>
              <w:spacing w:after="0" w:line="240" w:lineRule="atLeast"/>
              <w:jc w:val="center"/>
              <w:rPr>
                <w:rFonts w:cs="Arial"/>
              </w:rPr>
            </w:pPr>
            <w:r w:rsidRPr="009617F5">
              <w:rPr>
                <w:rFonts w:cs="Arial"/>
                <w:b/>
                <w:bCs/>
              </w:rPr>
              <w:t>zastavěné území</w:t>
            </w:r>
          </w:p>
        </w:tc>
        <w:tc>
          <w:tcPr>
            <w:tcW w:w="979" w:type="dxa"/>
            <w:tcBorders>
              <w:top w:val="single" w:sz="6" w:space="0" w:color="auto"/>
              <w:left w:val="single" w:sz="6" w:space="0" w:color="auto"/>
              <w:bottom w:val="single" w:sz="6" w:space="0" w:color="auto"/>
              <w:right w:val="single" w:sz="6" w:space="0" w:color="auto"/>
            </w:tcBorders>
          </w:tcPr>
          <w:p w14:paraId="57DC6243" w14:textId="77777777" w:rsidR="009617F5" w:rsidRPr="009617F5" w:rsidRDefault="009617F5" w:rsidP="009617F5">
            <w:pPr>
              <w:pStyle w:val="Zkladntext"/>
              <w:spacing w:after="0" w:line="240" w:lineRule="atLeast"/>
              <w:jc w:val="center"/>
              <w:rPr>
                <w:rFonts w:ascii="Arial" w:hAnsi="Arial" w:cs="Arial"/>
              </w:rPr>
            </w:pPr>
          </w:p>
          <w:p w14:paraId="3CB29AE0" w14:textId="77777777" w:rsidR="009617F5" w:rsidRPr="009617F5" w:rsidRDefault="009617F5" w:rsidP="009617F5">
            <w:pPr>
              <w:pStyle w:val="Texttabulky"/>
              <w:spacing w:after="0" w:line="240" w:lineRule="atLeast"/>
              <w:jc w:val="center"/>
              <w:rPr>
                <w:rFonts w:cs="Arial"/>
              </w:rPr>
            </w:pPr>
            <w:r w:rsidRPr="009617F5">
              <w:rPr>
                <w:rFonts w:cs="Arial"/>
                <w:b/>
                <w:bCs/>
              </w:rPr>
              <w:t>ostatní plochy</w:t>
            </w:r>
          </w:p>
        </w:tc>
      </w:tr>
      <w:tr w:rsidR="009617F5" w:rsidRPr="009617F5" w14:paraId="3E850B17"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4ACC011D" w14:textId="77777777" w:rsidR="009617F5" w:rsidRPr="009617F5" w:rsidRDefault="009617F5" w:rsidP="009617F5">
            <w:pPr>
              <w:pStyle w:val="Texttabulky"/>
              <w:spacing w:after="0" w:line="240" w:lineRule="atLeast"/>
              <w:rPr>
                <w:rFonts w:cs="Arial"/>
              </w:rPr>
            </w:pPr>
            <w:r w:rsidRPr="009617F5">
              <w:rPr>
                <w:rFonts w:cs="Arial"/>
              </w:rPr>
              <w:t>Bělá u Děčína</w:t>
            </w:r>
          </w:p>
        </w:tc>
        <w:tc>
          <w:tcPr>
            <w:tcW w:w="887" w:type="dxa"/>
            <w:tcBorders>
              <w:top w:val="single" w:sz="6" w:space="0" w:color="auto"/>
              <w:left w:val="single" w:sz="6" w:space="0" w:color="auto"/>
              <w:bottom w:val="single" w:sz="6" w:space="0" w:color="auto"/>
              <w:right w:val="single" w:sz="6" w:space="0" w:color="auto"/>
            </w:tcBorders>
          </w:tcPr>
          <w:p w14:paraId="0F53A029" w14:textId="77777777" w:rsidR="009617F5" w:rsidRPr="009617F5" w:rsidRDefault="009617F5" w:rsidP="009617F5">
            <w:pPr>
              <w:pStyle w:val="Texttabulky"/>
              <w:spacing w:after="0" w:line="240" w:lineRule="atLeast"/>
              <w:jc w:val="right"/>
              <w:rPr>
                <w:rFonts w:cs="Arial"/>
              </w:rPr>
            </w:pPr>
            <w:r w:rsidRPr="009617F5">
              <w:rPr>
                <w:rFonts w:cs="Arial"/>
              </w:rPr>
              <w:t>563,86</w:t>
            </w:r>
          </w:p>
        </w:tc>
        <w:tc>
          <w:tcPr>
            <w:tcW w:w="900" w:type="dxa"/>
            <w:tcBorders>
              <w:top w:val="single" w:sz="6" w:space="0" w:color="auto"/>
              <w:left w:val="single" w:sz="6" w:space="0" w:color="auto"/>
              <w:bottom w:val="single" w:sz="6" w:space="0" w:color="auto"/>
              <w:right w:val="single" w:sz="6" w:space="0" w:color="auto"/>
            </w:tcBorders>
          </w:tcPr>
          <w:p w14:paraId="16340A95" w14:textId="77777777" w:rsidR="009617F5" w:rsidRPr="009617F5" w:rsidRDefault="009617F5" w:rsidP="009617F5">
            <w:pPr>
              <w:pStyle w:val="Texttabulky"/>
              <w:spacing w:after="0" w:line="240" w:lineRule="atLeast"/>
              <w:jc w:val="right"/>
              <w:rPr>
                <w:rFonts w:cs="Arial"/>
              </w:rPr>
            </w:pPr>
            <w:r w:rsidRPr="009617F5">
              <w:rPr>
                <w:rFonts w:cs="Arial"/>
              </w:rPr>
              <w:t>71,21</w:t>
            </w:r>
          </w:p>
        </w:tc>
        <w:tc>
          <w:tcPr>
            <w:tcW w:w="1023" w:type="dxa"/>
            <w:tcBorders>
              <w:top w:val="single" w:sz="6" w:space="0" w:color="auto"/>
              <w:left w:val="single" w:sz="6" w:space="0" w:color="auto"/>
              <w:bottom w:val="single" w:sz="6" w:space="0" w:color="auto"/>
              <w:right w:val="single" w:sz="6" w:space="0" w:color="auto"/>
            </w:tcBorders>
          </w:tcPr>
          <w:p w14:paraId="6586A6C1" w14:textId="77777777" w:rsidR="009617F5" w:rsidRPr="009617F5" w:rsidRDefault="009617F5" w:rsidP="009617F5">
            <w:pPr>
              <w:pStyle w:val="Texttabulky"/>
              <w:spacing w:after="0" w:line="240" w:lineRule="atLeast"/>
              <w:jc w:val="right"/>
              <w:rPr>
                <w:rFonts w:cs="Arial"/>
              </w:rPr>
            </w:pPr>
            <w:r w:rsidRPr="009617F5">
              <w:rPr>
                <w:rFonts w:cs="Arial"/>
              </w:rPr>
              <w:t>464,36</w:t>
            </w:r>
          </w:p>
        </w:tc>
        <w:tc>
          <w:tcPr>
            <w:tcW w:w="995" w:type="dxa"/>
            <w:tcBorders>
              <w:top w:val="single" w:sz="6" w:space="0" w:color="auto"/>
              <w:left w:val="single" w:sz="6" w:space="0" w:color="auto"/>
              <w:bottom w:val="single" w:sz="6" w:space="0" w:color="auto"/>
              <w:right w:val="single" w:sz="6" w:space="0" w:color="auto"/>
            </w:tcBorders>
          </w:tcPr>
          <w:p w14:paraId="79B835E4" w14:textId="77777777" w:rsidR="009617F5" w:rsidRPr="009617F5" w:rsidRDefault="009617F5" w:rsidP="009617F5">
            <w:pPr>
              <w:pStyle w:val="Texttabulky"/>
              <w:spacing w:after="0" w:line="240" w:lineRule="atLeast"/>
              <w:jc w:val="right"/>
              <w:rPr>
                <w:rFonts w:cs="Arial"/>
              </w:rPr>
            </w:pPr>
            <w:r w:rsidRPr="009617F5">
              <w:rPr>
                <w:rFonts w:cs="Arial"/>
              </w:rPr>
              <w:t>0,36</w:t>
            </w:r>
          </w:p>
        </w:tc>
        <w:tc>
          <w:tcPr>
            <w:tcW w:w="845" w:type="dxa"/>
            <w:tcBorders>
              <w:top w:val="single" w:sz="6" w:space="0" w:color="auto"/>
              <w:left w:val="single" w:sz="6" w:space="0" w:color="auto"/>
              <w:bottom w:val="single" w:sz="6" w:space="0" w:color="auto"/>
              <w:right w:val="single" w:sz="6" w:space="0" w:color="auto"/>
            </w:tcBorders>
          </w:tcPr>
          <w:p w14:paraId="2AF86EBB" w14:textId="77777777" w:rsidR="009617F5" w:rsidRPr="009617F5" w:rsidRDefault="009617F5" w:rsidP="009617F5">
            <w:pPr>
              <w:pStyle w:val="Texttabulky"/>
              <w:spacing w:after="0" w:line="240" w:lineRule="atLeast"/>
              <w:jc w:val="right"/>
              <w:rPr>
                <w:rFonts w:cs="Arial"/>
              </w:rPr>
            </w:pPr>
            <w:r w:rsidRPr="009617F5">
              <w:rPr>
                <w:rFonts w:cs="Arial"/>
              </w:rPr>
              <w:t>9,36</w:t>
            </w:r>
          </w:p>
        </w:tc>
        <w:tc>
          <w:tcPr>
            <w:tcW w:w="979" w:type="dxa"/>
            <w:tcBorders>
              <w:top w:val="single" w:sz="6" w:space="0" w:color="auto"/>
              <w:left w:val="single" w:sz="6" w:space="0" w:color="auto"/>
              <w:bottom w:val="single" w:sz="6" w:space="0" w:color="auto"/>
              <w:right w:val="single" w:sz="6" w:space="0" w:color="auto"/>
            </w:tcBorders>
          </w:tcPr>
          <w:p w14:paraId="17BCBC00" w14:textId="77777777" w:rsidR="009617F5" w:rsidRPr="009617F5" w:rsidRDefault="009617F5" w:rsidP="009617F5">
            <w:pPr>
              <w:pStyle w:val="Texttabulky"/>
              <w:spacing w:after="0" w:line="240" w:lineRule="atLeast"/>
              <w:jc w:val="right"/>
              <w:rPr>
                <w:rFonts w:cs="Arial"/>
              </w:rPr>
            </w:pPr>
            <w:r w:rsidRPr="009617F5">
              <w:rPr>
                <w:rFonts w:cs="Arial"/>
              </w:rPr>
              <w:t>18,56</w:t>
            </w:r>
          </w:p>
        </w:tc>
      </w:tr>
      <w:tr w:rsidR="009617F5" w:rsidRPr="009617F5" w14:paraId="4EE782D0"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110748F3" w14:textId="77777777" w:rsidR="009617F5" w:rsidRPr="009617F5" w:rsidRDefault="009617F5" w:rsidP="009617F5">
            <w:pPr>
              <w:pStyle w:val="Texttabulky"/>
              <w:spacing w:after="0" w:line="240" w:lineRule="atLeast"/>
              <w:rPr>
                <w:rFonts w:cs="Arial"/>
              </w:rPr>
            </w:pPr>
            <w:r w:rsidRPr="009617F5">
              <w:rPr>
                <w:rFonts w:cs="Arial"/>
              </w:rPr>
              <w:t>Boletice nad Labem</w:t>
            </w:r>
          </w:p>
        </w:tc>
        <w:tc>
          <w:tcPr>
            <w:tcW w:w="887" w:type="dxa"/>
            <w:tcBorders>
              <w:top w:val="single" w:sz="6" w:space="0" w:color="auto"/>
              <w:left w:val="single" w:sz="6" w:space="0" w:color="auto"/>
              <w:bottom w:val="single" w:sz="6" w:space="0" w:color="auto"/>
              <w:right w:val="single" w:sz="6" w:space="0" w:color="auto"/>
            </w:tcBorders>
          </w:tcPr>
          <w:p w14:paraId="5F8652B7" w14:textId="77777777" w:rsidR="009617F5" w:rsidRPr="009617F5" w:rsidRDefault="009617F5" w:rsidP="009617F5">
            <w:pPr>
              <w:pStyle w:val="Texttabulky"/>
              <w:spacing w:after="0" w:line="240" w:lineRule="atLeast"/>
              <w:jc w:val="right"/>
              <w:rPr>
                <w:rFonts w:cs="Arial"/>
              </w:rPr>
            </w:pPr>
            <w:r w:rsidRPr="009617F5">
              <w:rPr>
                <w:rFonts w:cs="Arial"/>
              </w:rPr>
              <w:t>256,65</w:t>
            </w:r>
          </w:p>
        </w:tc>
        <w:tc>
          <w:tcPr>
            <w:tcW w:w="900" w:type="dxa"/>
            <w:tcBorders>
              <w:top w:val="single" w:sz="6" w:space="0" w:color="auto"/>
              <w:left w:val="single" w:sz="6" w:space="0" w:color="auto"/>
              <w:bottom w:val="single" w:sz="6" w:space="0" w:color="auto"/>
              <w:right w:val="single" w:sz="6" w:space="0" w:color="auto"/>
            </w:tcBorders>
          </w:tcPr>
          <w:p w14:paraId="3F20186A" w14:textId="77777777" w:rsidR="009617F5" w:rsidRPr="009617F5" w:rsidRDefault="009617F5" w:rsidP="009617F5">
            <w:pPr>
              <w:pStyle w:val="Texttabulky"/>
              <w:spacing w:after="0" w:line="240" w:lineRule="atLeast"/>
              <w:jc w:val="right"/>
              <w:rPr>
                <w:rFonts w:cs="Arial"/>
              </w:rPr>
            </w:pPr>
            <w:r w:rsidRPr="009617F5">
              <w:rPr>
                <w:rFonts w:cs="Arial"/>
              </w:rPr>
              <w:t>110,73</w:t>
            </w:r>
          </w:p>
        </w:tc>
        <w:tc>
          <w:tcPr>
            <w:tcW w:w="1023" w:type="dxa"/>
            <w:tcBorders>
              <w:top w:val="single" w:sz="6" w:space="0" w:color="auto"/>
              <w:left w:val="single" w:sz="6" w:space="0" w:color="auto"/>
              <w:bottom w:val="single" w:sz="6" w:space="0" w:color="auto"/>
              <w:right w:val="single" w:sz="6" w:space="0" w:color="auto"/>
            </w:tcBorders>
          </w:tcPr>
          <w:p w14:paraId="4D555D7E" w14:textId="77777777" w:rsidR="009617F5" w:rsidRPr="009617F5" w:rsidRDefault="009617F5" w:rsidP="009617F5">
            <w:pPr>
              <w:pStyle w:val="Texttabulky"/>
              <w:spacing w:after="0" w:line="240" w:lineRule="atLeast"/>
              <w:jc w:val="right"/>
              <w:rPr>
                <w:rFonts w:cs="Arial"/>
              </w:rPr>
            </w:pPr>
            <w:r w:rsidRPr="009617F5">
              <w:rPr>
                <w:rFonts w:cs="Arial"/>
              </w:rPr>
              <w:t>66,95</w:t>
            </w:r>
          </w:p>
        </w:tc>
        <w:tc>
          <w:tcPr>
            <w:tcW w:w="995" w:type="dxa"/>
            <w:tcBorders>
              <w:top w:val="single" w:sz="6" w:space="0" w:color="auto"/>
              <w:left w:val="single" w:sz="6" w:space="0" w:color="auto"/>
              <w:bottom w:val="single" w:sz="6" w:space="0" w:color="auto"/>
              <w:right w:val="single" w:sz="6" w:space="0" w:color="auto"/>
            </w:tcBorders>
          </w:tcPr>
          <w:p w14:paraId="5EF09372" w14:textId="77777777" w:rsidR="009617F5" w:rsidRPr="009617F5" w:rsidRDefault="009617F5" w:rsidP="009617F5">
            <w:pPr>
              <w:pStyle w:val="Texttabulky"/>
              <w:spacing w:after="0" w:line="240" w:lineRule="atLeast"/>
              <w:jc w:val="right"/>
              <w:rPr>
                <w:rFonts w:cs="Arial"/>
              </w:rPr>
            </w:pPr>
            <w:r w:rsidRPr="009617F5">
              <w:rPr>
                <w:rFonts w:cs="Arial"/>
              </w:rPr>
              <w:t>11,29</w:t>
            </w:r>
          </w:p>
        </w:tc>
        <w:tc>
          <w:tcPr>
            <w:tcW w:w="845" w:type="dxa"/>
            <w:tcBorders>
              <w:top w:val="single" w:sz="6" w:space="0" w:color="auto"/>
              <w:left w:val="single" w:sz="6" w:space="0" w:color="auto"/>
              <w:bottom w:val="single" w:sz="6" w:space="0" w:color="auto"/>
              <w:right w:val="single" w:sz="6" w:space="0" w:color="auto"/>
            </w:tcBorders>
          </w:tcPr>
          <w:p w14:paraId="4E55731A" w14:textId="77777777" w:rsidR="009617F5" w:rsidRPr="009617F5" w:rsidRDefault="009617F5" w:rsidP="009617F5">
            <w:pPr>
              <w:pStyle w:val="Texttabulky"/>
              <w:spacing w:after="0" w:line="240" w:lineRule="atLeast"/>
              <w:jc w:val="right"/>
              <w:rPr>
                <w:rFonts w:cs="Arial"/>
              </w:rPr>
            </w:pPr>
            <w:r w:rsidRPr="009617F5">
              <w:rPr>
                <w:rFonts w:cs="Arial"/>
              </w:rPr>
              <w:t>30,22</w:t>
            </w:r>
          </w:p>
        </w:tc>
        <w:tc>
          <w:tcPr>
            <w:tcW w:w="979" w:type="dxa"/>
            <w:tcBorders>
              <w:top w:val="single" w:sz="6" w:space="0" w:color="auto"/>
              <w:left w:val="single" w:sz="6" w:space="0" w:color="auto"/>
              <w:bottom w:val="single" w:sz="6" w:space="0" w:color="auto"/>
              <w:right w:val="single" w:sz="6" w:space="0" w:color="auto"/>
            </w:tcBorders>
          </w:tcPr>
          <w:p w14:paraId="3F2D7B7F" w14:textId="77777777" w:rsidR="009617F5" w:rsidRPr="009617F5" w:rsidRDefault="009617F5" w:rsidP="009617F5">
            <w:pPr>
              <w:pStyle w:val="Texttabulky"/>
              <w:spacing w:after="0" w:line="240" w:lineRule="atLeast"/>
              <w:jc w:val="right"/>
              <w:rPr>
                <w:rFonts w:cs="Arial"/>
              </w:rPr>
            </w:pPr>
            <w:r w:rsidRPr="009617F5">
              <w:rPr>
                <w:rFonts w:cs="Arial"/>
              </w:rPr>
              <w:t>37,46</w:t>
            </w:r>
          </w:p>
        </w:tc>
      </w:tr>
      <w:tr w:rsidR="009617F5" w:rsidRPr="009617F5" w14:paraId="205439DD"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229250F0" w14:textId="77777777" w:rsidR="009617F5" w:rsidRPr="009617F5" w:rsidRDefault="009617F5" w:rsidP="009617F5">
            <w:pPr>
              <w:pStyle w:val="Texttabulky"/>
              <w:spacing w:after="0" w:line="240" w:lineRule="atLeast"/>
              <w:rPr>
                <w:rFonts w:cs="Arial"/>
              </w:rPr>
            </w:pPr>
            <w:r w:rsidRPr="009617F5">
              <w:rPr>
                <w:rFonts w:cs="Arial"/>
              </w:rPr>
              <w:t>Březiny u Děčína</w:t>
            </w:r>
          </w:p>
        </w:tc>
        <w:tc>
          <w:tcPr>
            <w:tcW w:w="887" w:type="dxa"/>
            <w:tcBorders>
              <w:top w:val="single" w:sz="6" w:space="0" w:color="auto"/>
              <w:left w:val="single" w:sz="6" w:space="0" w:color="auto"/>
              <w:bottom w:val="single" w:sz="6" w:space="0" w:color="auto"/>
              <w:right w:val="single" w:sz="6" w:space="0" w:color="auto"/>
            </w:tcBorders>
          </w:tcPr>
          <w:p w14:paraId="6237C5D3" w14:textId="77777777" w:rsidR="009617F5" w:rsidRPr="009617F5" w:rsidRDefault="009617F5" w:rsidP="009617F5">
            <w:pPr>
              <w:pStyle w:val="Texttabulky"/>
              <w:spacing w:after="0" w:line="240" w:lineRule="atLeast"/>
              <w:jc w:val="right"/>
              <w:rPr>
                <w:rFonts w:cs="Arial"/>
              </w:rPr>
            </w:pPr>
            <w:r w:rsidRPr="009617F5">
              <w:rPr>
                <w:rFonts w:cs="Arial"/>
              </w:rPr>
              <w:t>433,6</w:t>
            </w:r>
          </w:p>
        </w:tc>
        <w:tc>
          <w:tcPr>
            <w:tcW w:w="900" w:type="dxa"/>
            <w:tcBorders>
              <w:top w:val="single" w:sz="6" w:space="0" w:color="auto"/>
              <w:left w:val="single" w:sz="6" w:space="0" w:color="auto"/>
              <w:bottom w:val="single" w:sz="6" w:space="0" w:color="auto"/>
              <w:right w:val="single" w:sz="6" w:space="0" w:color="auto"/>
            </w:tcBorders>
          </w:tcPr>
          <w:p w14:paraId="10AD2A2A" w14:textId="77777777" w:rsidR="009617F5" w:rsidRPr="009617F5" w:rsidRDefault="009617F5" w:rsidP="009617F5">
            <w:pPr>
              <w:pStyle w:val="Texttabulky"/>
              <w:spacing w:after="0" w:line="240" w:lineRule="atLeast"/>
              <w:jc w:val="right"/>
              <w:rPr>
                <w:rFonts w:cs="Arial"/>
              </w:rPr>
            </w:pPr>
            <w:r w:rsidRPr="009617F5">
              <w:rPr>
                <w:rFonts w:cs="Arial"/>
              </w:rPr>
              <w:t>198,84</w:t>
            </w:r>
          </w:p>
        </w:tc>
        <w:tc>
          <w:tcPr>
            <w:tcW w:w="1023" w:type="dxa"/>
            <w:tcBorders>
              <w:top w:val="single" w:sz="6" w:space="0" w:color="auto"/>
              <w:left w:val="single" w:sz="6" w:space="0" w:color="auto"/>
              <w:bottom w:val="single" w:sz="6" w:space="0" w:color="auto"/>
              <w:right w:val="single" w:sz="6" w:space="0" w:color="auto"/>
            </w:tcBorders>
          </w:tcPr>
          <w:p w14:paraId="5E37400F" w14:textId="77777777" w:rsidR="009617F5" w:rsidRPr="009617F5" w:rsidRDefault="009617F5" w:rsidP="009617F5">
            <w:pPr>
              <w:pStyle w:val="Texttabulky"/>
              <w:spacing w:after="0" w:line="240" w:lineRule="atLeast"/>
              <w:jc w:val="right"/>
              <w:rPr>
                <w:rFonts w:cs="Arial"/>
              </w:rPr>
            </w:pPr>
            <w:r w:rsidRPr="009617F5">
              <w:rPr>
                <w:rFonts w:cs="Arial"/>
              </w:rPr>
              <w:t>162,54</w:t>
            </w:r>
          </w:p>
        </w:tc>
        <w:tc>
          <w:tcPr>
            <w:tcW w:w="995" w:type="dxa"/>
            <w:tcBorders>
              <w:top w:val="single" w:sz="6" w:space="0" w:color="auto"/>
              <w:left w:val="single" w:sz="6" w:space="0" w:color="auto"/>
              <w:bottom w:val="single" w:sz="6" w:space="0" w:color="auto"/>
              <w:right w:val="single" w:sz="6" w:space="0" w:color="auto"/>
            </w:tcBorders>
          </w:tcPr>
          <w:p w14:paraId="08A15F23" w14:textId="77777777" w:rsidR="009617F5" w:rsidRPr="009617F5" w:rsidRDefault="009617F5" w:rsidP="009617F5">
            <w:pPr>
              <w:pStyle w:val="Texttabulky"/>
              <w:spacing w:after="0" w:line="240" w:lineRule="atLeast"/>
              <w:jc w:val="right"/>
              <w:rPr>
                <w:rFonts w:cs="Arial"/>
              </w:rPr>
            </w:pPr>
            <w:r w:rsidRPr="009617F5">
              <w:rPr>
                <w:rFonts w:cs="Arial"/>
              </w:rPr>
              <w:t>7,24</w:t>
            </w:r>
          </w:p>
        </w:tc>
        <w:tc>
          <w:tcPr>
            <w:tcW w:w="845" w:type="dxa"/>
            <w:tcBorders>
              <w:top w:val="single" w:sz="6" w:space="0" w:color="auto"/>
              <w:left w:val="single" w:sz="6" w:space="0" w:color="auto"/>
              <w:bottom w:val="single" w:sz="6" w:space="0" w:color="auto"/>
              <w:right w:val="single" w:sz="6" w:space="0" w:color="auto"/>
            </w:tcBorders>
          </w:tcPr>
          <w:p w14:paraId="31CB7378" w14:textId="77777777" w:rsidR="009617F5" w:rsidRPr="009617F5" w:rsidRDefault="009617F5" w:rsidP="009617F5">
            <w:pPr>
              <w:pStyle w:val="Texttabulky"/>
              <w:spacing w:after="0" w:line="240" w:lineRule="atLeast"/>
              <w:jc w:val="right"/>
              <w:rPr>
                <w:rFonts w:cs="Arial"/>
              </w:rPr>
            </w:pPr>
            <w:r w:rsidRPr="009617F5">
              <w:rPr>
                <w:rFonts w:cs="Arial"/>
              </w:rPr>
              <w:t>10,72</w:t>
            </w:r>
          </w:p>
        </w:tc>
        <w:tc>
          <w:tcPr>
            <w:tcW w:w="979" w:type="dxa"/>
            <w:tcBorders>
              <w:top w:val="single" w:sz="6" w:space="0" w:color="auto"/>
              <w:left w:val="single" w:sz="6" w:space="0" w:color="auto"/>
              <w:bottom w:val="single" w:sz="6" w:space="0" w:color="auto"/>
              <w:right w:val="single" w:sz="6" w:space="0" w:color="auto"/>
            </w:tcBorders>
          </w:tcPr>
          <w:p w14:paraId="65198D72" w14:textId="77777777" w:rsidR="009617F5" w:rsidRPr="009617F5" w:rsidRDefault="009617F5" w:rsidP="009617F5">
            <w:pPr>
              <w:pStyle w:val="Texttabulky"/>
              <w:spacing w:after="0" w:line="240" w:lineRule="atLeast"/>
              <w:jc w:val="right"/>
              <w:rPr>
                <w:rFonts w:cs="Arial"/>
              </w:rPr>
            </w:pPr>
            <w:r w:rsidRPr="009617F5">
              <w:rPr>
                <w:rFonts w:cs="Arial"/>
              </w:rPr>
              <w:t>54,27</w:t>
            </w:r>
          </w:p>
        </w:tc>
      </w:tr>
      <w:tr w:rsidR="009617F5" w:rsidRPr="009617F5" w14:paraId="066D3FF2"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5A3C98E4" w14:textId="77777777" w:rsidR="009617F5" w:rsidRPr="009617F5" w:rsidRDefault="009617F5" w:rsidP="009617F5">
            <w:pPr>
              <w:pStyle w:val="Texttabulky"/>
              <w:spacing w:after="0" w:line="240" w:lineRule="atLeast"/>
              <w:rPr>
                <w:rFonts w:cs="Arial"/>
              </w:rPr>
            </w:pPr>
            <w:r w:rsidRPr="009617F5">
              <w:rPr>
                <w:rFonts w:cs="Arial"/>
              </w:rPr>
              <w:t>Bynov</w:t>
            </w:r>
          </w:p>
        </w:tc>
        <w:tc>
          <w:tcPr>
            <w:tcW w:w="887" w:type="dxa"/>
            <w:tcBorders>
              <w:top w:val="single" w:sz="6" w:space="0" w:color="auto"/>
              <w:left w:val="single" w:sz="6" w:space="0" w:color="auto"/>
              <w:bottom w:val="single" w:sz="6" w:space="0" w:color="auto"/>
              <w:right w:val="single" w:sz="6" w:space="0" w:color="auto"/>
            </w:tcBorders>
          </w:tcPr>
          <w:p w14:paraId="61C25937" w14:textId="77777777" w:rsidR="009617F5" w:rsidRPr="009617F5" w:rsidRDefault="009617F5" w:rsidP="009617F5">
            <w:pPr>
              <w:pStyle w:val="Texttabulky"/>
              <w:spacing w:after="0" w:line="240" w:lineRule="atLeast"/>
              <w:jc w:val="right"/>
              <w:rPr>
                <w:rFonts w:cs="Arial"/>
              </w:rPr>
            </w:pPr>
            <w:r w:rsidRPr="009617F5">
              <w:rPr>
                <w:rFonts w:cs="Arial"/>
              </w:rPr>
              <w:t>1 525,32</w:t>
            </w:r>
          </w:p>
        </w:tc>
        <w:tc>
          <w:tcPr>
            <w:tcW w:w="900" w:type="dxa"/>
            <w:tcBorders>
              <w:top w:val="single" w:sz="6" w:space="0" w:color="auto"/>
              <w:left w:val="single" w:sz="6" w:space="0" w:color="auto"/>
              <w:bottom w:val="single" w:sz="6" w:space="0" w:color="auto"/>
              <w:right w:val="single" w:sz="6" w:space="0" w:color="auto"/>
            </w:tcBorders>
          </w:tcPr>
          <w:p w14:paraId="77E56C84" w14:textId="77777777" w:rsidR="009617F5" w:rsidRPr="009617F5" w:rsidRDefault="009617F5" w:rsidP="009617F5">
            <w:pPr>
              <w:pStyle w:val="Texttabulky"/>
              <w:spacing w:after="0" w:line="240" w:lineRule="atLeast"/>
              <w:jc w:val="right"/>
              <w:rPr>
                <w:rFonts w:cs="Arial"/>
              </w:rPr>
            </w:pPr>
            <w:r w:rsidRPr="009617F5">
              <w:rPr>
                <w:rFonts w:cs="Arial"/>
              </w:rPr>
              <w:t>46</w:t>
            </w:r>
          </w:p>
        </w:tc>
        <w:tc>
          <w:tcPr>
            <w:tcW w:w="1023" w:type="dxa"/>
            <w:tcBorders>
              <w:top w:val="single" w:sz="6" w:space="0" w:color="auto"/>
              <w:left w:val="single" w:sz="6" w:space="0" w:color="auto"/>
              <w:bottom w:val="single" w:sz="6" w:space="0" w:color="auto"/>
              <w:right w:val="single" w:sz="6" w:space="0" w:color="auto"/>
            </w:tcBorders>
          </w:tcPr>
          <w:p w14:paraId="3781067B" w14:textId="77777777" w:rsidR="009617F5" w:rsidRPr="009617F5" w:rsidRDefault="009617F5" w:rsidP="009617F5">
            <w:pPr>
              <w:pStyle w:val="Texttabulky"/>
              <w:spacing w:after="0" w:line="240" w:lineRule="atLeast"/>
              <w:jc w:val="right"/>
              <w:rPr>
                <w:rFonts w:cs="Arial"/>
              </w:rPr>
            </w:pPr>
            <w:r w:rsidRPr="009617F5">
              <w:rPr>
                <w:rFonts w:cs="Arial"/>
              </w:rPr>
              <w:t>1 402,23</w:t>
            </w:r>
          </w:p>
        </w:tc>
        <w:tc>
          <w:tcPr>
            <w:tcW w:w="995" w:type="dxa"/>
            <w:tcBorders>
              <w:top w:val="single" w:sz="6" w:space="0" w:color="auto"/>
              <w:left w:val="single" w:sz="6" w:space="0" w:color="auto"/>
              <w:bottom w:val="single" w:sz="6" w:space="0" w:color="auto"/>
              <w:right w:val="single" w:sz="6" w:space="0" w:color="auto"/>
            </w:tcBorders>
          </w:tcPr>
          <w:p w14:paraId="6BE26057" w14:textId="77777777" w:rsidR="009617F5" w:rsidRPr="009617F5" w:rsidRDefault="009617F5" w:rsidP="009617F5">
            <w:pPr>
              <w:pStyle w:val="Texttabulky"/>
              <w:spacing w:after="0" w:line="240" w:lineRule="atLeast"/>
              <w:jc w:val="right"/>
              <w:rPr>
                <w:rFonts w:cs="Arial"/>
              </w:rPr>
            </w:pPr>
            <w:r w:rsidRPr="009617F5">
              <w:rPr>
                <w:rFonts w:cs="Arial"/>
              </w:rPr>
              <w:t>4,27</w:t>
            </w:r>
          </w:p>
        </w:tc>
        <w:tc>
          <w:tcPr>
            <w:tcW w:w="845" w:type="dxa"/>
            <w:tcBorders>
              <w:top w:val="single" w:sz="6" w:space="0" w:color="auto"/>
              <w:left w:val="single" w:sz="6" w:space="0" w:color="auto"/>
              <w:bottom w:val="single" w:sz="6" w:space="0" w:color="auto"/>
              <w:right w:val="single" w:sz="6" w:space="0" w:color="auto"/>
            </w:tcBorders>
          </w:tcPr>
          <w:p w14:paraId="6696EAA1" w14:textId="77777777" w:rsidR="009617F5" w:rsidRPr="009617F5" w:rsidRDefault="009617F5" w:rsidP="009617F5">
            <w:pPr>
              <w:pStyle w:val="Texttabulky"/>
              <w:spacing w:after="0" w:line="240" w:lineRule="atLeast"/>
              <w:jc w:val="right"/>
              <w:rPr>
                <w:rFonts w:cs="Arial"/>
              </w:rPr>
            </w:pPr>
            <w:r w:rsidRPr="009617F5">
              <w:rPr>
                <w:rFonts w:cs="Arial"/>
              </w:rPr>
              <w:t>12,76</w:t>
            </w:r>
          </w:p>
        </w:tc>
        <w:tc>
          <w:tcPr>
            <w:tcW w:w="979" w:type="dxa"/>
            <w:tcBorders>
              <w:top w:val="single" w:sz="6" w:space="0" w:color="auto"/>
              <w:left w:val="single" w:sz="6" w:space="0" w:color="auto"/>
              <w:bottom w:val="single" w:sz="6" w:space="0" w:color="auto"/>
              <w:right w:val="single" w:sz="6" w:space="0" w:color="auto"/>
            </w:tcBorders>
          </w:tcPr>
          <w:p w14:paraId="46B41A99" w14:textId="77777777" w:rsidR="009617F5" w:rsidRPr="009617F5" w:rsidRDefault="009617F5" w:rsidP="009617F5">
            <w:pPr>
              <w:pStyle w:val="Texttabulky"/>
              <w:spacing w:after="0" w:line="240" w:lineRule="atLeast"/>
              <w:jc w:val="right"/>
              <w:rPr>
                <w:rFonts w:cs="Arial"/>
              </w:rPr>
            </w:pPr>
            <w:r w:rsidRPr="009617F5">
              <w:rPr>
                <w:rFonts w:cs="Arial"/>
              </w:rPr>
              <w:t>60,06</w:t>
            </w:r>
          </w:p>
        </w:tc>
      </w:tr>
      <w:tr w:rsidR="009617F5" w:rsidRPr="009617F5" w14:paraId="79EDF11F"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283ACAA8" w14:textId="77777777" w:rsidR="009617F5" w:rsidRPr="009617F5" w:rsidRDefault="009617F5" w:rsidP="009617F5">
            <w:pPr>
              <w:pStyle w:val="Texttabulky"/>
              <w:spacing w:after="0" w:line="240" w:lineRule="atLeast"/>
              <w:rPr>
                <w:rFonts w:cs="Arial"/>
              </w:rPr>
            </w:pPr>
            <w:r w:rsidRPr="009617F5">
              <w:rPr>
                <w:rFonts w:cs="Arial"/>
              </w:rPr>
              <w:t>Děčín</w:t>
            </w:r>
          </w:p>
        </w:tc>
        <w:tc>
          <w:tcPr>
            <w:tcW w:w="887" w:type="dxa"/>
            <w:tcBorders>
              <w:top w:val="single" w:sz="6" w:space="0" w:color="auto"/>
              <w:left w:val="single" w:sz="6" w:space="0" w:color="auto"/>
              <w:bottom w:val="single" w:sz="6" w:space="0" w:color="auto"/>
              <w:right w:val="single" w:sz="6" w:space="0" w:color="auto"/>
            </w:tcBorders>
          </w:tcPr>
          <w:p w14:paraId="727D5B28" w14:textId="77777777" w:rsidR="009617F5" w:rsidRPr="009617F5" w:rsidRDefault="009617F5" w:rsidP="009617F5">
            <w:pPr>
              <w:pStyle w:val="Texttabulky"/>
              <w:spacing w:after="0" w:line="240" w:lineRule="atLeast"/>
              <w:jc w:val="right"/>
              <w:rPr>
                <w:rFonts w:cs="Arial"/>
              </w:rPr>
            </w:pPr>
            <w:r w:rsidRPr="009617F5">
              <w:rPr>
                <w:rFonts w:cs="Arial"/>
              </w:rPr>
              <w:t>460,6</w:t>
            </w:r>
          </w:p>
        </w:tc>
        <w:tc>
          <w:tcPr>
            <w:tcW w:w="900" w:type="dxa"/>
            <w:tcBorders>
              <w:top w:val="single" w:sz="6" w:space="0" w:color="auto"/>
              <w:left w:val="single" w:sz="6" w:space="0" w:color="auto"/>
              <w:bottom w:val="single" w:sz="6" w:space="0" w:color="auto"/>
              <w:right w:val="single" w:sz="6" w:space="0" w:color="auto"/>
            </w:tcBorders>
          </w:tcPr>
          <w:p w14:paraId="4E1EFC5A" w14:textId="77777777" w:rsidR="009617F5" w:rsidRPr="009617F5" w:rsidRDefault="009617F5" w:rsidP="009617F5">
            <w:pPr>
              <w:pStyle w:val="Texttabulky"/>
              <w:spacing w:after="0" w:line="240" w:lineRule="atLeast"/>
              <w:jc w:val="right"/>
              <w:rPr>
                <w:rFonts w:cs="Arial"/>
              </w:rPr>
            </w:pPr>
            <w:r w:rsidRPr="009617F5">
              <w:rPr>
                <w:rFonts w:cs="Arial"/>
              </w:rPr>
              <w:t>87,47</w:t>
            </w:r>
          </w:p>
        </w:tc>
        <w:tc>
          <w:tcPr>
            <w:tcW w:w="1023" w:type="dxa"/>
            <w:tcBorders>
              <w:top w:val="single" w:sz="6" w:space="0" w:color="auto"/>
              <w:left w:val="single" w:sz="6" w:space="0" w:color="auto"/>
              <w:bottom w:val="single" w:sz="6" w:space="0" w:color="auto"/>
              <w:right w:val="single" w:sz="6" w:space="0" w:color="auto"/>
            </w:tcBorders>
          </w:tcPr>
          <w:p w14:paraId="15C3D50D" w14:textId="77777777" w:rsidR="009617F5" w:rsidRPr="009617F5" w:rsidRDefault="009617F5" w:rsidP="009617F5">
            <w:pPr>
              <w:pStyle w:val="Texttabulky"/>
              <w:spacing w:after="0" w:line="240" w:lineRule="atLeast"/>
              <w:jc w:val="right"/>
              <w:rPr>
                <w:rFonts w:cs="Arial"/>
              </w:rPr>
            </w:pPr>
            <w:r w:rsidRPr="009617F5">
              <w:rPr>
                <w:rFonts w:cs="Arial"/>
              </w:rPr>
              <w:t>76,74</w:t>
            </w:r>
          </w:p>
        </w:tc>
        <w:tc>
          <w:tcPr>
            <w:tcW w:w="995" w:type="dxa"/>
            <w:tcBorders>
              <w:top w:val="single" w:sz="6" w:space="0" w:color="auto"/>
              <w:left w:val="single" w:sz="6" w:space="0" w:color="auto"/>
              <w:bottom w:val="single" w:sz="6" w:space="0" w:color="auto"/>
              <w:right w:val="single" w:sz="6" w:space="0" w:color="auto"/>
            </w:tcBorders>
          </w:tcPr>
          <w:p w14:paraId="14D10AB9" w14:textId="77777777" w:rsidR="009617F5" w:rsidRPr="009617F5" w:rsidRDefault="009617F5" w:rsidP="009617F5">
            <w:pPr>
              <w:pStyle w:val="Texttabulky"/>
              <w:spacing w:after="0" w:line="240" w:lineRule="atLeast"/>
              <w:jc w:val="right"/>
              <w:rPr>
                <w:rFonts w:cs="Arial"/>
              </w:rPr>
            </w:pPr>
            <w:r w:rsidRPr="009617F5">
              <w:rPr>
                <w:rFonts w:cs="Arial"/>
              </w:rPr>
              <w:t>37,41</w:t>
            </w:r>
          </w:p>
        </w:tc>
        <w:tc>
          <w:tcPr>
            <w:tcW w:w="845" w:type="dxa"/>
            <w:tcBorders>
              <w:top w:val="single" w:sz="6" w:space="0" w:color="auto"/>
              <w:left w:val="single" w:sz="6" w:space="0" w:color="auto"/>
              <w:bottom w:val="single" w:sz="6" w:space="0" w:color="auto"/>
              <w:right w:val="single" w:sz="6" w:space="0" w:color="auto"/>
            </w:tcBorders>
          </w:tcPr>
          <w:p w14:paraId="32951B1F" w14:textId="77777777" w:rsidR="009617F5" w:rsidRPr="009617F5" w:rsidRDefault="009617F5" w:rsidP="009617F5">
            <w:pPr>
              <w:pStyle w:val="Texttabulky"/>
              <w:spacing w:after="0" w:line="240" w:lineRule="atLeast"/>
              <w:jc w:val="right"/>
              <w:rPr>
                <w:rFonts w:cs="Arial"/>
              </w:rPr>
            </w:pPr>
            <w:r w:rsidRPr="009617F5">
              <w:rPr>
                <w:rFonts w:cs="Arial"/>
              </w:rPr>
              <w:t>62,98</w:t>
            </w:r>
          </w:p>
        </w:tc>
        <w:tc>
          <w:tcPr>
            <w:tcW w:w="979" w:type="dxa"/>
            <w:tcBorders>
              <w:top w:val="single" w:sz="6" w:space="0" w:color="auto"/>
              <w:left w:val="single" w:sz="6" w:space="0" w:color="auto"/>
              <w:bottom w:val="single" w:sz="6" w:space="0" w:color="auto"/>
              <w:right w:val="single" w:sz="6" w:space="0" w:color="auto"/>
            </w:tcBorders>
          </w:tcPr>
          <w:p w14:paraId="1D3E4BC8" w14:textId="77777777" w:rsidR="009617F5" w:rsidRPr="009617F5" w:rsidRDefault="009617F5" w:rsidP="009617F5">
            <w:pPr>
              <w:pStyle w:val="Texttabulky"/>
              <w:spacing w:after="0" w:line="240" w:lineRule="atLeast"/>
              <w:jc w:val="right"/>
              <w:rPr>
                <w:rFonts w:cs="Arial"/>
              </w:rPr>
            </w:pPr>
            <w:r w:rsidRPr="009617F5">
              <w:rPr>
                <w:rFonts w:cs="Arial"/>
              </w:rPr>
              <w:t>196</w:t>
            </w:r>
          </w:p>
        </w:tc>
      </w:tr>
      <w:tr w:rsidR="009617F5" w:rsidRPr="009617F5" w14:paraId="4B13A4F1"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38483EAE" w14:textId="77777777" w:rsidR="009617F5" w:rsidRPr="009617F5" w:rsidRDefault="009617F5" w:rsidP="009617F5">
            <w:pPr>
              <w:pStyle w:val="Texttabulky"/>
              <w:spacing w:after="0" w:line="240" w:lineRule="atLeast"/>
              <w:rPr>
                <w:rFonts w:cs="Arial"/>
              </w:rPr>
            </w:pPr>
            <w:r w:rsidRPr="009617F5">
              <w:rPr>
                <w:rFonts w:cs="Arial"/>
              </w:rPr>
              <w:t>Děčín-Staré Město</w:t>
            </w:r>
          </w:p>
        </w:tc>
        <w:tc>
          <w:tcPr>
            <w:tcW w:w="887" w:type="dxa"/>
            <w:tcBorders>
              <w:top w:val="single" w:sz="6" w:space="0" w:color="auto"/>
              <w:left w:val="single" w:sz="6" w:space="0" w:color="auto"/>
              <w:bottom w:val="single" w:sz="6" w:space="0" w:color="auto"/>
              <w:right w:val="single" w:sz="6" w:space="0" w:color="auto"/>
            </w:tcBorders>
          </w:tcPr>
          <w:p w14:paraId="46995BF9" w14:textId="77777777" w:rsidR="009617F5" w:rsidRPr="009617F5" w:rsidRDefault="009617F5" w:rsidP="009617F5">
            <w:pPr>
              <w:pStyle w:val="Texttabulky"/>
              <w:spacing w:after="0" w:line="240" w:lineRule="atLeast"/>
              <w:jc w:val="right"/>
              <w:rPr>
                <w:rFonts w:cs="Arial"/>
              </w:rPr>
            </w:pPr>
            <w:r w:rsidRPr="009617F5">
              <w:rPr>
                <w:rFonts w:cs="Arial"/>
              </w:rPr>
              <w:t>297,36</w:t>
            </w:r>
          </w:p>
        </w:tc>
        <w:tc>
          <w:tcPr>
            <w:tcW w:w="900" w:type="dxa"/>
            <w:tcBorders>
              <w:top w:val="single" w:sz="6" w:space="0" w:color="auto"/>
              <w:left w:val="single" w:sz="6" w:space="0" w:color="auto"/>
              <w:bottom w:val="single" w:sz="6" w:space="0" w:color="auto"/>
              <w:right w:val="single" w:sz="6" w:space="0" w:color="auto"/>
            </w:tcBorders>
          </w:tcPr>
          <w:p w14:paraId="046A333B" w14:textId="77777777" w:rsidR="009617F5" w:rsidRPr="009617F5" w:rsidRDefault="009617F5" w:rsidP="009617F5">
            <w:pPr>
              <w:pStyle w:val="Texttabulky"/>
              <w:spacing w:after="0" w:line="240" w:lineRule="atLeast"/>
              <w:jc w:val="right"/>
              <w:rPr>
                <w:rFonts w:cs="Arial"/>
              </w:rPr>
            </w:pPr>
            <w:r w:rsidRPr="009617F5">
              <w:rPr>
                <w:rFonts w:cs="Arial"/>
              </w:rPr>
              <w:t>89,44</w:t>
            </w:r>
          </w:p>
        </w:tc>
        <w:tc>
          <w:tcPr>
            <w:tcW w:w="1023" w:type="dxa"/>
            <w:tcBorders>
              <w:top w:val="single" w:sz="6" w:space="0" w:color="auto"/>
              <w:left w:val="single" w:sz="6" w:space="0" w:color="auto"/>
              <w:bottom w:val="single" w:sz="6" w:space="0" w:color="auto"/>
              <w:right w:val="single" w:sz="6" w:space="0" w:color="auto"/>
            </w:tcBorders>
          </w:tcPr>
          <w:p w14:paraId="793C14C1" w14:textId="77777777" w:rsidR="009617F5" w:rsidRPr="009617F5" w:rsidRDefault="009617F5" w:rsidP="009617F5">
            <w:pPr>
              <w:pStyle w:val="Texttabulky"/>
              <w:spacing w:after="0" w:line="240" w:lineRule="atLeast"/>
              <w:jc w:val="right"/>
              <w:rPr>
                <w:rFonts w:cs="Arial"/>
              </w:rPr>
            </w:pPr>
            <w:r w:rsidRPr="009617F5">
              <w:rPr>
                <w:rFonts w:cs="Arial"/>
              </w:rPr>
              <w:t>102,13</w:t>
            </w:r>
          </w:p>
        </w:tc>
        <w:tc>
          <w:tcPr>
            <w:tcW w:w="995" w:type="dxa"/>
            <w:tcBorders>
              <w:top w:val="single" w:sz="6" w:space="0" w:color="auto"/>
              <w:left w:val="single" w:sz="6" w:space="0" w:color="auto"/>
              <w:bottom w:val="single" w:sz="6" w:space="0" w:color="auto"/>
              <w:right w:val="single" w:sz="6" w:space="0" w:color="auto"/>
            </w:tcBorders>
          </w:tcPr>
          <w:p w14:paraId="10F52468" w14:textId="77777777" w:rsidR="009617F5" w:rsidRPr="009617F5" w:rsidRDefault="009617F5" w:rsidP="009617F5">
            <w:pPr>
              <w:pStyle w:val="Texttabulky"/>
              <w:spacing w:after="0" w:line="240" w:lineRule="atLeast"/>
              <w:jc w:val="right"/>
              <w:rPr>
                <w:rFonts w:cs="Arial"/>
              </w:rPr>
            </w:pPr>
            <w:r w:rsidRPr="009617F5">
              <w:rPr>
                <w:rFonts w:cs="Arial"/>
              </w:rPr>
              <w:t>14,26</w:t>
            </w:r>
          </w:p>
        </w:tc>
        <w:tc>
          <w:tcPr>
            <w:tcW w:w="845" w:type="dxa"/>
            <w:tcBorders>
              <w:top w:val="single" w:sz="6" w:space="0" w:color="auto"/>
              <w:left w:val="single" w:sz="6" w:space="0" w:color="auto"/>
              <w:bottom w:val="single" w:sz="6" w:space="0" w:color="auto"/>
              <w:right w:val="single" w:sz="6" w:space="0" w:color="auto"/>
            </w:tcBorders>
          </w:tcPr>
          <w:p w14:paraId="278259AA" w14:textId="77777777" w:rsidR="009617F5" w:rsidRPr="009617F5" w:rsidRDefault="009617F5" w:rsidP="009617F5">
            <w:pPr>
              <w:pStyle w:val="Texttabulky"/>
              <w:spacing w:after="0" w:line="240" w:lineRule="atLeast"/>
              <w:jc w:val="right"/>
              <w:rPr>
                <w:rFonts w:cs="Arial"/>
              </w:rPr>
            </w:pPr>
            <w:r w:rsidRPr="009617F5">
              <w:rPr>
                <w:rFonts w:cs="Arial"/>
              </w:rPr>
              <w:t>20,39</w:t>
            </w:r>
          </w:p>
        </w:tc>
        <w:tc>
          <w:tcPr>
            <w:tcW w:w="979" w:type="dxa"/>
            <w:tcBorders>
              <w:top w:val="single" w:sz="6" w:space="0" w:color="auto"/>
              <w:left w:val="single" w:sz="6" w:space="0" w:color="auto"/>
              <w:bottom w:val="single" w:sz="6" w:space="0" w:color="auto"/>
              <w:right w:val="single" w:sz="6" w:space="0" w:color="auto"/>
            </w:tcBorders>
          </w:tcPr>
          <w:p w14:paraId="4EB684DB" w14:textId="77777777" w:rsidR="009617F5" w:rsidRPr="009617F5" w:rsidRDefault="009617F5" w:rsidP="009617F5">
            <w:pPr>
              <w:pStyle w:val="Texttabulky"/>
              <w:spacing w:after="0" w:line="240" w:lineRule="atLeast"/>
              <w:jc w:val="right"/>
              <w:rPr>
                <w:rFonts w:cs="Arial"/>
              </w:rPr>
            </w:pPr>
            <w:r w:rsidRPr="009617F5">
              <w:rPr>
                <w:rFonts w:cs="Arial"/>
              </w:rPr>
              <w:t>71,14</w:t>
            </w:r>
          </w:p>
        </w:tc>
      </w:tr>
      <w:tr w:rsidR="009617F5" w:rsidRPr="009617F5" w14:paraId="0333607D"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4BAB9428" w14:textId="77777777" w:rsidR="009617F5" w:rsidRPr="009617F5" w:rsidRDefault="009617F5" w:rsidP="009617F5">
            <w:pPr>
              <w:pStyle w:val="Texttabulky"/>
              <w:spacing w:after="0" w:line="240" w:lineRule="atLeast"/>
              <w:rPr>
                <w:rFonts w:cs="Arial"/>
              </w:rPr>
            </w:pPr>
            <w:r w:rsidRPr="009617F5">
              <w:rPr>
                <w:rFonts w:cs="Arial"/>
              </w:rPr>
              <w:t>Dolní Žleb</w:t>
            </w:r>
          </w:p>
        </w:tc>
        <w:tc>
          <w:tcPr>
            <w:tcW w:w="887" w:type="dxa"/>
            <w:tcBorders>
              <w:top w:val="single" w:sz="6" w:space="0" w:color="auto"/>
              <w:left w:val="single" w:sz="6" w:space="0" w:color="auto"/>
              <w:bottom w:val="single" w:sz="6" w:space="0" w:color="auto"/>
              <w:right w:val="single" w:sz="6" w:space="0" w:color="auto"/>
            </w:tcBorders>
          </w:tcPr>
          <w:p w14:paraId="105F9DDF" w14:textId="77777777" w:rsidR="009617F5" w:rsidRPr="009617F5" w:rsidRDefault="009617F5" w:rsidP="009617F5">
            <w:pPr>
              <w:pStyle w:val="Texttabulky"/>
              <w:spacing w:after="0" w:line="240" w:lineRule="atLeast"/>
              <w:jc w:val="right"/>
              <w:rPr>
                <w:rFonts w:cs="Arial"/>
              </w:rPr>
            </w:pPr>
            <w:r w:rsidRPr="009617F5">
              <w:rPr>
                <w:rFonts w:cs="Arial"/>
              </w:rPr>
              <w:t>1 090,67</w:t>
            </w:r>
          </w:p>
        </w:tc>
        <w:tc>
          <w:tcPr>
            <w:tcW w:w="900" w:type="dxa"/>
            <w:tcBorders>
              <w:top w:val="single" w:sz="6" w:space="0" w:color="auto"/>
              <w:left w:val="single" w:sz="6" w:space="0" w:color="auto"/>
              <w:bottom w:val="single" w:sz="6" w:space="0" w:color="auto"/>
              <w:right w:val="single" w:sz="6" w:space="0" w:color="auto"/>
            </w:tcBorders>
          </w:tcPr>
          <w:p w14:paraId="3F383799" w14:textId="77777777" w:rsidR="009617F5" w:rsidRPr="009617F5" w:rsidRDefault="009617F5" w:rsidP="009617F5">
            <w:pPr>
              <w:pStyle w:val="Texttabulky"/>
              <w:spacing w:after="0" w:line="240" w:lineRule="atLeast"/>
              <w:jc w:val="right"/>
              <w:rPr>
                <w:rFonts w:cs="Arial"/>
              </w:rPr>
            </w:pPr>
            <w:r w:rsidRPr="009617F5">
              <w:rPr>
                <w:rFonts w:cs="Arial"/>
              </w:rPr>
              <w:t>29,07</w:t>
            </w:r>
          </w:p>
        </w:tc>
        <w:tc>
          <w:tcPr>
            <w:tcW w:w="1023" w:type="dxa"/>
            <w:tcBorders>
              <w:top w:val="single" w:sz="6" w:space="0" w:color="auto"/>
              <w:left w:val="single" w:sz="6" w:space="0" w:color="auto"/>
              <w:bottom w:val="single" w:sz="6" w:space="0" w:color="auto"/>
              <w:right w:val="single" w:sz="6" w:space="0" w:color="auto"/>
            </w:tcBorders>
          </w:tcPr>
          <w:p w14:paraId="6AB9BC46" w14:textId="77777777" w:rsidR="009617F5" w:rsidRPr="009617F5" w:rsidRDefault="009617F5" w:rsidP="009617F5">
            <w:pPr>
              <w:pStyle w:val="Texttabulky"/>
              <w:spacing w:after="0" w:line="240" w:lineRule="atLeast"/>
              <w:jc w:val="right"/>
              <w:rPr>
                <w:rFonts w:cs="Arial"/>
              </w:rPr>
            </w:pPr>
            <w:r w:rsidRPr="009617F5">
              <w:rPr>
                <w:rFonts w:cs="Arial"/>
              </w:rPr>
              <w:t>1 000,57</w:t>
            </w:r>
          </w:p>
        </w:tc>
        <w:tc>
          <w:tcPr>
            <w:tcW w:w="995" w:type="dxa"/>
            <w:tcBorders>
              <w:top w:val="single" w:sz="6" w:space="0" w:color="auto"/>
              <w:left w:val="single" w:sz="6" w:space="0" w:color="auto"/>
              <w:bottom w:val="single" w:sz="6" w:space="0" w:color="auto"/>
              <w:right w:val="single" w:sz="6" w:space="0" w:color="auto"/>
            </w:tcBorders>
          </w:tcPr>
          <w:p w14:paraId="7278C582" w14:textId="77777777" w:rsidR="009617F5" w:rsidRPr="009617F5" w:rsidRDefault="009617F5" w:rsidP="009617F5">
            <w:pPr>
              <w:pStyle w:val="Texttabulky"/>
              <w:spacing w:after="0" w:line="240" w:lineRule="atLeast"/>
              <w:jc w:val="right"/>
              <w:rPr>
                <w:rFonts w:cs="Arial"/>
              </w:rPr>
            </w:pPr>
            <w:r w:rsidRPr="009617F5">
              <w:rPr>
                <w:rFonts w:cs="Arial"/>
              </w:rPr>
              <w:t>24,23</w:t>
            </w:r>
          </w:p>
        </w:tc>
        <w:tc>
          <w:tcPr>
            <w:tcW w:w="845" w:type="dxa"/>
            <w:tcBorders>
              <w:top w:val="single" w:sz="6" w:space="0" w:color="auto"/>
              <w:left w:val="single" w:sz="6" w:space="0" w:color="auto"/>
              <w:bottom w:val="single" w:sz="6" w:space="0" w:color="auto"/>
              <w:right w:val="single" w:sz="6" w:space="0" w:color="auto"/>
            </w:tcBorders>
          </w:tcPr>
          <w:p w14:paraId="1E3E04A4" w14:textId="77777777" w:rsidR="009617F5" w:rsidRPr="009617F5" w:rsidRDefault="009617F5" w:rsidP="009617F5">
            <w:pPr>
              <w:pStyle w:val="Texttabulky"/>
              <w:spacing w:after="0" w:line="240" w:lineRule="atLeast"/>
              <w:jc w:val="right"/>
              <w:rPr>
                <w:rFonts w:cs="Arial"/>
              </w:rPr>
            </w:pPr>
            <w:r w:rsidRPr="009617F5">
              <w:rPr>
                <w:rFonts w:cs="Arial"/>
              </w:rPr>
              <w:t>3,25</w:t>
            </w:r>
          </w:p>
        </w:tc>
        <w:tc>
          <w:tcPr>
            <w:tcW w:w="979" w:type="dxa"/>
            <w:tcBorders>
              <w:top w:val="single" w:sz="6" w:space="0" w:color="auto"/>
              <w:left w:val="single" w:sz="6" w:space="0" w:color="auto"/>
              <w:bottom w:val="single" w:sz="6" w:space="0" w:color="auto"/>
              <w:right w:val="single" w:sz="6" w:space="0" w:color="auto"/>
            </w:tcBorders>
          </w:tcPr>
          <w:p w14:paraId="4C44B728" w14:textId="77777777" w:rsidR="009617F5" w:rsidRPr="009617F5" w:rsidRDefault="009617F5" w:rsidP="009617F5">
            <w:pPr>
              <w:pStyle w:val="Texttabulky"/>
              <w:spacing w:after="0" w:line="240" w:lineRule="atLeast"/>
              <w:jc w:val="right"/>
              <w:rPr>
                <w:rFonts w:cs="Arial"/>
              </w:rPr>
            </w:pPr>
            <w:r w:rsidRPr="009617F5">
              <w:rPr>
                <w:rFonts w:cs="Arial"/>
              </w:rPr>
              <w:t>33,55</w:t>
            </w:r>
          </w:p>
        </w:tc>
      </w:tr>
      <w:tr w:rsidR="009617F5" w:rsidRPr="009617F5" w14:paraId="2867682A"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65093E8D" w14:textId="77777777" w:rsidR="009617F5" w:rsidRPr="009617F5" w:rsidRDefault="009617F5" w:rsidP="009617F5">
            <w:pPr>
              <w:pStyle w:val="Texttabulky"/>
              <w:spacing w:after="0" w:line="240" w:lineRule="atLeast"/>
              <w:rPr>
                <w:rFonts w:cs="Arial"/>
              </w:rPr>
            </w:pPr>
            <w:r w:rsidRPr="009617F5">
              <w:rPr>
                <w:rFonts w:cs="Arial"/>
              </w:rPr>
              <w:t>Folknáře</w:t>
            </w:r>
          </w:p>
        </w:tc>
        <w:tc>
          <w:tcPr>
            <w:tcW w:w="887" w:type="dxa"/>
            <w:tcBorders>
              <w:top w:val="single" w:sz="6" w:space="0" w:color="auto"/>
              <w:left w:val="single" w:sz="6" w:space="0" w:color="auto"/>
              <w:bottom w:val="single" w:sz="6" w:space="0" w:color="auto"/>
              <w:right w:val="single" w:sz="6" w:space="0" w:color="auto"/>
            </w:tcBorders>
          </w:tcPr>
          <w:p w14:paraId="2EB18855" w14:textId="77777777" w:rsidR="009617F5" w:rsidRPr="009617F5" w:rsidRDefault="009617F5" w:rsidP="009617F5">
            <w:pPr>
              <w:pStyle w:val="Texttabulky"/>
              <w:spacing w:after="0" w:line="240" w:lineRule="atLeast"/>
              <w:jc w:val="right"/>
              <w:rPr>
                <w:rFonts w:cs="Arial"/>
              </w:rPr>
            </w:pPr>
            <w:r w:rsidRPr="009617F5">
              <w:rPr>
                <w:rFonts w:cs="Arial"/>
              </w:rPr>
              <w:t>245,1</w:t>
            </w:r>
          </w:p>
        </w:tc>
        <w:tc>
          <w:tcPr>
            <w:tcW w:w="900" w:type="dxa"/>
            <w:tcBorders>
              <w:top w:val="single" w:sz="6" w:space="0" w:color="auto"/>
              <w:left w:val="single" w:sz="6" w:space="0" w:color="auto"/>
              <w:bottom w:val="single" w:sz="6" w:space="0" w:color="auto"/>
              <w:right w:val="single" w:sz="6" w:space="0" w:color="auto"/>
            </w:tcBorders>
          </w:tcPr>
          <w:p w14:paraId="6BC7FEF1" w14:textId="77777777" w:rsidR="009617F5" w:rsidRPr="009617F5" w:rsidRDefault="009617F5" w:rsidP="009617F5">
            <w:pPr>
              <w:pStyle w:val="Texttabulky"/>
              <w:spacing w:after="0" w:line="240" w:lineRule="atLeast"/>
              <w:jc w:val="right"/>
              <w:rPr>
                <w:rFonts w:cs="Arial"/>
              </w:rPr>
            </w:pPr>
            <w:r w:rsidRPr="009617F5">
              <w:rPr>
                <w:rFonts w:cs="Arial"/>
              </w:rPr>
              <w:t>131,97</w:t>
            </w:r>
          </w:p>
        </w:tc>
        <w:tc>
          <w:tcPr>
            <w:tcW w:w="1023" w:type="dxa"/>
            <w:tcBorders>
              <w:top w:val="single" w:sz="6" w:space="0" w:color="auto"/>
              <w:left w:val="single" w:sz="6" w:space="0" w:color="auto"/>
              <w:bottom w:val="single" w:sz="6" w:space="0" w:color="auto"/>
              <w:right w:val="single" w:sz="6" w:space="0" w:color="auto"/>
            </w:tcBorders>
          </w:tcPr>
          <w:p w14:paraId="728C4A20" w14:textId="77777777" w:rsidR="009617F5" w:rsidRPr="009617F5" w:rsidRDefault="009617F5" w:rsidP="009617F5">
            <w:pPr>
              <w:pStyle w:val="Texttabulky"/>
              <w:spacing w:after="0" w:line="240" w:lineRule="atLeast"/>
              <w:jc w:val="right"/>
              <w:rPr>
                <w:rFonts w:cs="Arial"/>
              </w:rPr>
            </w:pPr>
            <w:r w:rsidRPr="009617F5">
              <w:rPr>
                <w:rFonts w:cs="Arial"/>
              </w:rPr>
              <w:t>92,6</w:t>
            </w:r>
          </w:p>
        </w:tc>
        <w:tc>
          <w:tcPr>
            <w:tcW w:w="995" w:type="dxa"/>
            <w:tcBorders>
              <w:top w:val="single" w:sz="6" w:space="0" w:color="auto"/>
              <w:left w:val="single" w:sz="6" w:space="0" w:color="auto"/>
              <w:bottom w:val="single" w:sz="6" w:space="0" w:color="auto"/>
              <w:right w:val="single" w:sz="6" w:space="0" w:color="auto"/>
            </w:tcBorders>
          </w:tcPr>
          <w:p w14:paraId="0B04A118" w14:textId="77777777" w:rsidR="009617F5" w:rsidRPr="009617F5" w:rsidRDefault="009617F5" w:rsidP="009617F5">
            <w:pPr>
              <w:pStyle w:val="Texttabulky"/>
              <w:spacing w:after="0" w:line="240" w:lineRule="atLeast"/>
              <w:jc w:val="right"/>
              <w:rPr>
                <w:rFonts w:cs="Arial"/>
              </w:rPr>
            </w:pPr>
            <w:r w:rsidRPr="009617F5">
              <w:rPr>
                <w:rFonts w:cs="Arial"/>
              </w:rPr>
              <w:t>0,65</w:t>
            </w:r>
          </w:p>
        </w:tc>
        <w:tc>
          <w:tcPr>
            <w:tcW w:w="845" w:type="dxa"/>
            <w:tcBorders>
              <w:top w:val="single" w:sz="6" w:space="0" w:color="auto"/>
              <w:left w:val="single" w:sz="6" w:space="0" w:color="auto"/>
              <w:bottom w:val="single" w:sz="6" w:space="0" w:color="auto"/>
              <w:right w:val="single" w:sz="6" w:space="0" w:color="auto"/>
            </w:tcBorders>
          </w:tcPr>
          <w:p w14:paraId="4BA4C5BF" w14:textId="77777777" w:rsidR="009617F5" w:rsidRPr="009617F5" w:rsidRDefault="009617F5" w:rsidP="009617F5">
            <w:pPr>
              <w:pStyle w:val="Texttabulky"/>
              <w:spacing w:after="0" w:line="240" w:lineRule="atLeast"/>
              <w:jc w:val="right"/>
              <w:rPr>
                <w:rFonts w:cs="Arial"/>
              </w:rPr>
            </w:pPr>
            <w:r w:rsidRPr="009617F5">
              <w:rPr>
                <w:rFonts w:cs="Arial"/>
              </w:rPr>
              <w:t>3,66</w:t>
            </w:r>
          </w:p>
        </w:tc>
        <w:tc>
          <w:tcPr>
            <w:tcW w:w="979" w:type="dxa"/>
            <w:tcBorders>
              <w:top w:val="single" w:sz="6" w:space="0" w:color="auto"/>
              <w:left w:val="single" w:sz="6" w:space="0" w:color="auto"/>
              <w:bottom w:val="single" w:sz="6" w:space="0" w:color="auto"/>
              <w:right w:val="single" w:sz="6" w:space="0" w:color="auto"/>
            </w:tcBorders>
          </w:tcPr>
          <w:p w14:paraId="0B431ACA" w14:textId="77777777" w:rsidR="009617F5" w:rsidRPr="009617F5" w:rsidRDefault="009617F5" w:rsidP="009617F5">
            <w:pPr>
              <w:pStyle w:val="Texttabulky"/>
              <w:spacing w:after="0" w:line="240" w:lineRule="atLeast"/>
              <w:jc w:val="right"/>
              <w:rPr>
                <w:rFonts w:cs="Arial"/>
              </w:rPr>
            </w:pPr>
            <w:r w:rsidRPr="009617F5">
              <w:rPr>
                <w:rFonts w:cs="Arial"/>
              </w:rPr>
              <w:t>16,23</w:t>
            </w:r>
          </w:p>
        </w:tc>
      </w:tr>
      <w:tr w:rsidR="009617F5" w:rsidRPr="009617F5" w14:paraId="76AA480F"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2213D040" w14:textId="77777777" w:rsidR="009617F5" w:rsidRPr="009617F5" w:rsidRDefault="009617F5" w:rsidP="009617F5">
            <w:pPr>
              <w:pStyle w:val="Texttabulky"/>
              <w:spacing w:after="0" w:line="240" w:lineRule="atLeast"/>
              <w:rPr>
                <w:rFonts w:cs="Arial"/>
              </w:rPr>
            </w:pPr>
            <w:r w:rsidRPr="009617F5">
              <w:rPr>
                <w:rFonts w:cs="Arial"/>
              </w:rPr>
              <w:t>Horní Oldřichov</w:t>
            </w:r>
          </w:p>
        </w:tc>
        <w:tc>
          <w:tcPr>
            <w:tcW w:w="887" w:type="dxa"/>
            <w:tcBorders>
              <w:top w:val="single" w:sz="6" w:space="0" w:color="auto"/>
              <w:left w:val="single" w:sz="6" w:space="0" w:color="auto"/>
              <w:bottom w:val="single" w:sz="6" w:space="0" w:color="auto"/>
              <w:right w:val="single" w:sz="6" w:space="0" w:color="auto"/>
            </w:tcBorders>
          </w:tcPr>
          <w:p w14:paraId="6D28FB8B" w14:textId="77777777" w:rsidR="009617F5" w:rsidRPr="009617F5" w:rsidRDefault="009617F5" w:rsidP="009617F5">
            <w:pPr>
              <w:pStyle w:val="Texttabulky"/>
              <w:spacing w:after="0" w:line="240" w:lineRule="atLeast"/>
              <w:jc w:val="right"/>
              <w:rPr>
                <w:rFonts w:cs="Arial"/>
              </w:rPr>
            </w:pPr>
            <w:r w:rsidRPr="009617F5">
              <w:rPr>
                <w:rFonts w:cs="Arial"/>
              </w:rPr>
              <w:t>142,87</w:t>
            </w:r>
          </w:p>
        </w:tc>
        <w:tc>
          <w:tcPr>
            <w:tcW w:w="900" w:type="dxa"/>
            <w:tcBorders>
              <w:top w:val="single" w:sz="6" w:space="0" w:color="auto"/>
              <w:left w:val="single" w:sz="6" w:space="0" w:color="auto"/>
              <w:bottom w:val="single" w:sz="6" w:space="0" w:color="auto"/>
              <w:right w:val="single" w:sz="6" w:space="0" w:color="auto"/>
            </w:tcBorders>
          </w:tcPr>
          <w:p w14:paraId="5846EA99" w14:textId="77777777" w:rsidR="009617F5" w:rsidRPr="009617F5" w:rsidRDefault="009617F5" w:rsidP="009617F5">
            <w:pPr>
              <w:pStyle w:val="Texttabulky"/>
              <w:spacing w:after="0" w:line="240" w:lineRule="atLeast"/>
              <w:jc w:val="right"/>
              <w:rPr>
                <w:rFonts w:cs="Arial"/>
              </w:rPr>
            </w:pPr>
            <w:r w:rsidRPr="009617F5">
              <w:rPr>
                <w:rFonts w:cs="Arial"/>
              </w:rPr>
              <w:t>65,27</w:t>
            </w:r>
          </w:p>
        </w:tc>
        <w:tc>
          <w:tcPr>
            <w:tcW w:w="1023" w:type="dxa"/>
            <w:tcBorders>
              <w:top w:val="single" w:sz="6" w:space="0" w:color="auto"/>
              <w:left w:val="single" w:sz="6" w:space="0" w:color="auto"/>
              <w:bottom w:val="single" w:sz="6" w:space="0" w:color="auto"/>
              <w:right w:val="single" w:sz="6" w:space="0" w:color="auto"/>
            </w:tcBorders>
          </w:tcPr>
          <w:p w14:paraId="33A2C706" w14:textId="77777777" w:rsidR="009617F5" w:rsidRPr="009617F5" w:rsidRDefault="009617F5" w:rsidP="009617F5">
            <w:pPr>
              <w:pStyle w:val="Texttabulky"/>
              <w:spacing w:after="0" w:line="240" w:lineRule="atLeast"/>
              <w:jc w:val="right"/>
              <w:rPr>
                <w:rFonts w:cs="Arial"/>
              </w:rPr>
            </w:pPr>
            <w:r w:rsidRPr="009617F5">
              <w:rPr>
                <w:rFonts w:cs="Arial"/>
              </w:rPr>
              <w:t>32,83</w:t>
            </w:r>
          </w:p>
        </w:tc>
        <w:tc>
          <w:tcPr>
            <w:tcW w:w="995" w:type="dxa"/>
            <w:tcBorders>
              <w:top w:val="single" w:sz="6" w:space="0" w:color="auto"/>
              <w:left w:val="single" w:sz="6" w:space="0" w:color="auto"/>
              <w:bottom w:val="single" w:sz="6" w:space="0" w:color="auto"/>
              <w:right w:val="single" w:sz="6" w:space="0" w:color="auto"/>
            </w:tcBorders>
          </w:tcPr>
          <w:p w14:paraId="06BA0A0C" w14:textId="77777777" w:rsidR="009617F5" w:rsidRPr="009617F5" w:rsidRDefault="009617F5" w:rsidP="009617F5">
            <w:pPr>
              <w:pStyle w:val="Texttabulky"/>
              <w:spacing w:after="0" w:line="240" w:lineRule="atLeast"/>
              <w:jc w:val="right"/>
              <w:rPr>
                <w:rFonts w:cs="Arial"/>
              </w:rPr>
            </w:pPr>
            <w:r w:rsidRPr="009617F5">
              <w:rPr>
                <w:rFonts w:cs="Arial"/>
              </w:rPr>
              <w:t>2,81</w:t>
            </w:r>
          </w:p>
        </w:tc>
        <w:tc>
          <w:tcPr>
            <w:tcW w:w="845" w:type="dxa"/>
            <w:tcBorders>
              <w:top w:val="single" w:sz="6" w:space="0" w:color="auto"/>
              <w:left w:val="single" w:sz="6" w:space="0" w:color="auto"/>
              <w:bottom w:val="single" w:sz="6" w:space="0" w:color="auto"/>
              <w:right w:val="single" w:sz="6" w:space="0" w:color="auto"/>
            </w:tcBorders>
          </w:tcPr>
          <w:p w14:paraId="2A20322C" w14:textId="77777777" w:rsidR="009617F5" w:rsidRPr="009617F5" w:rsidRDefault="009617F5" w:rsidP="009617F5">
            <w:pPr>
              <w:pStyle w:val="Texttabulky"/>
              <w:spacing w:after="0" w:line="240" w:lineRule="atLeast"/>
              <w:jc w:val="right"/>
              <w:rPr>
                <w:rFonts w:cs="Arial"/>
              </w:rPr>
            </w:pPr>
            <w:r w:rsidRPr="009617F5">
              <w:rPr>
                <w:rFonts w:cs="Arial"/>
              </w:rPr>
              <w:t>15,26</w:t>
            </w:r>
          </w:p>
        </w:tc>
        <w:tc>
          <w:tcPr>
            <w:tcW w:w="979" w:type="dxa"/>
            <w:tcBorders>
              <w:top w:val="single" w:sz="6" w:space="0" w:color="auto"/>
              <w:left w:val="single" w:sz="6" w:space="0" w:color="auto"/>
              <w:bottom w:val="single" w:sz="6" w:space="0" w:color="auto"/>
              <w:right w:val="single" w:sz="6" w:space="0" w:color="auto"/>
            </w:tcBorders>
          </w:tcPr>
          <w:p w14:paraId="30318439" w14:textId="77777777" w:rsidR="009617F5" w:rsidRPr="009617F5" w:rsidRDefault="009617F5" w:rsidP="009617F5">
            <w:pPr>
              <w:pStyle w:val="Texttabulky"/>
              <w:spacing w:after="0" w:line="240" w:lineRule="atLeast"/>
              <w:jc w:val="right"/>
              <w:rPr>
                <w:rFonts w:cs="Arial"/>
              </w:rPr>
            </w:pPr>
            <w:r w:rsidRPr="009617F5">
              <w:rPr>
                <w:rFonts w:cs="Arial"/>
              </w:rPr>
              <w:t>26,7</w:t>
            </w:r>
          </w:p>
        </w:tc>
      </w:tr>
      <w:tr w:rsidR="009617F5" w:rsidRPr="009617F5" w14:paraId="5BE17C92"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7D9B60FB" w14:textId="77777777" w:rsidR="009617F5" w:rsidRPr="009617F5" w:rsidRDefault="009617F5" w:rsidP="009617F5">
            <w:pPr>
              <w:pStyle w:val="Texttabulky"/>
              <w:spacing w:after="0" w:line="240" w:lineRule="atLeast"/>
              <w:rPr>
                <w:rFonts w:cs="Arial"/>
              </w:rPr>
            </w:pPr>
            <w:r w:rsidRPr="009617F5">
              <w:rPr>
                <w:rFonts w:cs="Arial"/>
              </w:rPr>
              <w:t>Hoštice nad Labem</w:t>
            </w:r>
          </w:p>
        </w:tc>
        <w:tc>
          <w:tcPr>
            <w:tcW w:w="887" w:type="dxa"/>
            <w:tcBorders>
              <w:top w:val="single" w:sz="6" w:space="0" w:color="auto"/>
              <w:left w:val="single" w:sz="6" w:space="0" w:color="auto"/>
              <w:bottom w:val="single" w:sz="6" w:space="0" w:color="auto"/>
              <w:right w:val="single" w:sz="6" w:space="0" w:color="auto"/>
            </w:tcBorders>
          </w:tcPr>
          <w:p w14:paraId="4CE46F00" w14:textId="77777777" w:rsidR="009617F5" w:rsidRPr="009617F5" w:rsidRDefault="009617F5" w:rsidP="009617F5">
            <w:pPr>
              <w:pStyle w:val="Texttabulky"/>
              <w:spacing w:after="0" w:line="240" w:lineRule="atLeast"/>
              <w:jc w:val="right"/>
              <w:rPr>
                <w:rFonts w:cs="Arial"/>
              </w:rPr>
            </w:pPr>
            <w:r w:rsidRPr="009617F5">
              <w:rPr>
                <w:rFonts w:cs="Arial"/>
              </w:rPr>
              <w:t>255,54</w:t>
            </w:r>
          </w:p>
        </w:tc>
        <w:tc>
          <w:tcPr>
            <w:tcW w:w="900" w:type="dxa"/>
            <w:tcBorders>
              <w:top w:val="single" w:sz="6" w:space="0" w:color="auto"/>
              <w:left w:val="single" w:sz="6" w:space="0" w:color="auto"/>
              <w:bottom w:val="single" w:sz="6" w:space="0" w:color="auto"/>
              <w:right w:val="single" w:sz="6" w:space="0" w:color="auto"/>
            </w:tcBorders>
          </w:tcPr>
          <w:p w14:paraId="7283298A" w14:textId="77777777" w:rsidR="009617F5" w:rsidRPr="009617F5" w:rsidRDefault="009617F5" w:rsidP="009617F5">
            <w:pPr>
              <w:pStyle w:val="Texttabulky"/>
              <w:spacing w:after="0" w:line="240" w:lineRule="atLeast"/>
              <w:jc w:val="right"/>
              <w:rPr>
                <w:rFonts w:cs="Arial"/>
              </w:rPr>
            </w:pPr>
            <w:r w:rsidRPr="009617F5">
              <w:rPr>
                <w:rFonts w:cs="Arial"/>
              </w:rPr>
              <w:t>110</w:t>
            </w:r>
          </w:p>
        </w:tc>
        <w:tc>
          <w:tcPr>
            <w:tcW w:w="1023" w:type="dxa"/>
            <w:tcBorders>
              <w:top w:val="single" w:sz="6" w:space="0" w:color="auto"/>
              <w:left w:val="single" w:sz="6" w:space="0" w:color="auto"/>
              <w:bottom w:val="single" w:sz="6" w:space="0" w:color="auto"/>
              <w:right w:val="single" w:sz="6" w:space="0" w:color="auto"/>
            </w:tcBorders>
          </w:tcPr>
          <w:p w14:paraId="2CDD8B78" w14:textId="77777777" w:rsidR="009617F5" w:rsidRPr="009617F5" w:rsidRDefault="009617F5" w:rsidP="009617F5">
            <w:pPr>
              <w:pStyle w:val="Texttabulky"/>
              <w:spacing w:after="0" w:line="240" w:lineRule="atLeast"/>
              <w:jc w:val="right"/>
              <w:rPr>
                <w:rFonts w:cs="Arial"/>
              </w:rPr>
            </w:pPr>
            <w:r w:rsidRPr="009617F5">
              <w:rPr>
                <w:rFonts w:cs="Arial"/>
              </w:rPr>
              <w:t>107,81</w:t>
            </w:r>
          </w:p>
        </w:tc>
        <w:tc>
          <w:tcPr>
            <w:tcW w:w="995" w:type="dxa"/>
            <w:tcBorders>
              <w:top w:val="single" w:sz="6" w:space="0" w:color="auto"/>
              <w:left w:val="single" w:sz="6" w:space="0" w:color="auto"/>
              <w:bottom w:val="single" w:sz="6" w:space="0" w:color="auto"/>
              <w:right w:val="single" w:sz="6" w:space="0" w:color="auto"/>
            </w:tcBorders>
          </w:tcPr>
          <w:p w14:paraId="4A3C49A5" w14:textId="77777777" w:rsidR="009617F5" w:rsidRPr="009617F5" w:rsidRDefault="009617F5" w:rsidP="009617F5">
            <w:pPr>
              <w:pStyle w:val="Texttabulky"/>
              <w:spacing w:after="0" w:line="240" w:lineRule="atLeast"/>
              <w:jc w:val="right"/>
              <w:rPr>
                <w:rFonts w:cs="Arial"/>
              </w:rPr>
            </w:pPr>
            <w:r w:rsidRPr="009617F5">
              <w:rPr>
                <w:rFonts w:cs="Arial"/>
              </w:rPr>
              <w:t>0</w:t>
            </w:r>
          </w:p>
        </w:tc>
        <w:tc>
          <w:tcPr>
            <w:tcW w:w="845" w:type="dxa"/>
            <w:tcBorders>
              <w:top w:val="single" w:sz="6" w:space="0" w:color="auto"/>
              <w:left w:val="single" w:sz="6" w:space="0" w:color="auto"/>
              <w:bottom w:val="single" w:sz="6" w:space="0" w:color="auto"/>
              <w:right w:val="single" w:sz="6" w:space="0" w:color="auto"/>
            </w:tcBorders>
          </w:tcPr>
          <w:p w14:paraId="05E20A9F" w14:textId="77777777" w:rsidR="009617F5" w:rsidRPr="009617F5" w:rsidRDefault="009617F5" w:rsidP="009617F5">
            <w:pPr>
              <w:pStyle w:val="Texttabulky"/>
              <w:spacing w:after="0" w:line="240" w:lineRule="atLeast"/>
              <w:jc w:val="right"/>
              <w:rPr>
                <w:rFonts w:cs="Arial"/>
              </w:rPr>
            </w:pPr>
            <w:r w:rsidRPr="009617F5">
              <w:rPr>
                <w:rFonts w:cs="Arial"/>
              </w:rPr>
              <w:t>2,69</w:t>
            </w:r>
          </w:p>
        </w:tc>
        <w:tc>
          <w:tcPr>
            <w:tcW w:w="979" w:type="dxa"/>
            <w:tcBorders>
              <w:top w:val="single" w:sz="6" w:space="0" w:color="auto"/>
              <w:left w:val="single" w:sz="6" w:space="0" w:color="auto"/>
              <w:bottom w:val="single" w:sz="6" w:space="0" w:color="auto"/>
              <w:right w:val="single" w:sz="6" w:space="0" w:color="auto"/>
            </w:tcBorders>
          </w:tcPr>
          <w:p w14:paraId="4BBE3AC5" w14:textId="77777777" w:rsidR="009617F5" w:rsidRPr="009617F5" w:rsidRDefault="009617F5" w:rsidP="009617F5">
            <w:pPr>
              <w:pStyle w:val="Texttabulky"/>
              <w:spacing w:after="0" w:line="240" w:lineRule="atLeast"/>
              <w:jc w:val="right"/>
              <w:rPr>
                <w:rFonts w:cs="Arial"/>
              </w:rPr>
            </w:pPr>
            <w:r w:rsidRPr="009617F5">
              <w:rPr>
                <w:rFonts w:cs="Arial"/>
              </w:rPr>
              <w:t>35,04</w:t>
            </w:r>
          </w:p>
        </w:tc>
      </w:tr>
      <w:tr w:rsidR="009617F5" w:rsidRPr="009617F5" w14:paraId="32891C85"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7474C12E" w14:textId="77777777" w:rsidR="009617F5" w:rsidRPr="009617F5" w:rsidRDefault="009617F5" w:rsidP="009617F5">
            <w:pPr>
              <w:pStyle w:val="Texttabulky"/>
              <w:spacing w:after="0" w:line="240" w:lineRule="atLeast"/>
              <w:rPr>
                <w:rFonts w:cs="Arial"/>
              </w:rPr>
            </w:pPr>
            <w:r w:rsidRPr="009617F5">
              <w:rPr>
                <w:rFonts w:cs="Arial"/>
              </w:rPr>
              <w:t>Chlum u Děčína</w:t>
            </w:r>
          </w:p>
        </w:tc>
        <w:tc>
          <w:tcPr>
            <w:tcW w:w="887" w:type="dxa"/>
            <w:tcBorders>
              <w:top w:val="single" w:sz="6" w:space="0" w:color="auto"/>
              <w:left w:val="single" w:sz="6" w:space="0" w:color="auto"/>
              <w:bottom w:val="single" w:sz="6" w:space="0" w:color="auto"/>
              <w:right w:val="single" w:sz="6" w:space="0" w:color="auto"/>
            </w:tcBorders>
          </w:tcPr>
          <w:p w14:paraId="3E24013D" w14:textId="77777777" w:rsidR="009617F5" w:rsidRPr="009617F5" w:rsidRDefault="009617F5" w:rsidP="009617F5">
            <w:pPr>
              <w:pStyle w:val="Texttabulky"/>
              <w:spacing w:after="0" w:line="240" w:lineRule="atLeast"/>
              <w:jc w:val="right"/>
              <w:rPr>
                <w:rFonts w:cs="Arial"/>
              </w:rPr>
            </w:pPr>
            <w:r w:rsidRPr="009617F5">
              <w:rPr>
                <w:rFonts w:cs="Arial"/>
              </w:rPr>
              <w:t>343,75</w:t>
            </w:r>
          </w:p>
        </w:tc>
        <w:tc>
          <w:tcPr>
            <w:tcW w:w="900" w:type="dxa"/>
            <w:tcBorders>
              <w:top w:val="single" w:sz="6" w:space="0" w:color="auto"/>
              <w:left w:val="single" w:sz="6" w:space="0" w:color="auto"/>
              <w:bottom w:val="single" w:sz="6" w:space="0" w:color="auto"/>
              <w:right w:val="single" w:sz="6" w:space="0" w:color="auto"/>
            </w:tcBorders>
          </w:tcPr>
          <w:p w14:paraId="065060FF" w14:textId="77777777" w:rsidR="009617F5" w:rsidRPr="009617F5" w:rsidRDefault="009617F5" w:rsidP="009617F5">
            <w:pPr>
              <w:pStyle w:val="Texttabulky"/>
              <w:spacing w:after="0" w:line="240" w:lineRule="atLeast"/>
              <w:jc w:val="right"/>
              <w:rPr>
                <w:rFonts w:cs="Arial"/>
              </w:rPr>
            </w:pPr>
            <w:r w:rsidRPr="009617F5">
              <w:rPr>
                <w:rFonts w:cs="Arial"/>
              </w:rPr>
              <w:t>197,86</w:t>
            </w:r>
          </w:p>
        </w:tc>
        <w:tc>
          <w:tcPr>
            <w:tcW w:w="1023" w:type="dxa"/>
            <w:tcBorders>
              <w:top w:val="single" w:sz="6" w:space="0" w:color="auto"/>
              <w:left w:val="single" w:sz="6" w:space="0" w:color="auto"/>
              <w:bottom w:val="single" w:sz="6" w:space="0" w:color="auto"/>
              <w:right w:val="single" w:sz="6" w:space="0" w:color="auto"/>
            </w:tcBorders>
          </w:tcPr>
          <w:p w14:paraId="54A5D653" w14:textId="77777777" w:rsidR="009617F5" w:rsidRPr="009617F5" w:rsidRDefault="009617F5" w:rsidP="009617F5">
            <w:pPr>
              <w:pStyle w:val="Texttabulky"/>
              <w:spacing w:after="0" w:line="240" w:lineRule="atLeast"/>
              <w:jc w:val="right"/>
              <w:rPr>
                <w:rFonts w:cs="Arial"/>
              </w:rPr>
            </w:pPr>
            <w:r w:rsidRPr="009617F5">
              <w:rPr>
                <w:rFonts w:cs="Arial"/>
              </w:rPr>
              <w:t>125,6</w:t>
            </w:r>
          </w:p>
        </w:tc>
        <w:tc>
          <w:tcPr>
            <w:tcW w:w="995" w:type="dxa"/>
            <w:tcBorders>
              <w:top w:val="single" w:sz="6" w:space="0" w:color="auto"/>
              <w:left w:val="single" w:sz="6" w:space="0" w:color="auto"/>
              <w:bottom w:val="single" w:sz="6" w:space="0" w:color="auto"/>
              <w:right w:val="single" w:sz="6" w:space="0" w:color="auto"/>
            </w:tcBorders>
          </w:tcPr>
          <w:p w14:paraId="791C1720" w14:textId="77777777" w:rsidR="009617F5" w:rsidRPr="009617F5" w:rsidRDefault="009617F5" w:rsidP="009617F5">
            <w:pPr>
              <w:pStyle w:val="Texttabulky"/>
              <w:spacing w:after="0" w:line="240" w:lineRule="atLeast"/>
              <w:jc w:val="right"/>
              <w:rPr>
                <w:rFonts w:cs="Arial"/>
              </w:rPr>
            </w:pPr>
            <w:r w:rsidRPr="009617F5">
              <w:rPr>
                <w:rFonts w:cs="Arial"/>
              </w:rPr>
              <w:t>0,35</w:t>
            </w:r>
          </w:p>
        </w:tc>
        <w:tc>
          <w:tcPr>
            <w:tcW w:w="845" w:type="dxa"/>
            <w:tcBorders>
              <w:top w:val="single" w:sz="6" w:space="0" w:color="auto"/>
              <w:left w:val="single" w:sz="6" w:space="0" w:color="auto"/>
              <w:bottom w:val="single" w:sz="6" w:space="0" w:color="auto"/>
              <w:right w:val="single" w:sz="6" w:space="0" w:color="auto"/>
            </w:tcBorders>
          </w:tcPr>
          <w:p w14:paraId="45B012D2" w14:textId="77777777" w:rsidR="009617F5" w:rsidRPr="009617F5" w:rsidRDefault="009617F5" w:rsidP="009617F5">
            <w:pPr>
              <w:pStyle w:val="Texttabulky"/>
              <w:spacing w:after="0" w:line="240" w:lineRule="atLeast"/>
              <w:jc w:val="right"/>
              <w:rPr>
                <w:rFonts w:cs="Arial"/>
              </w:rPr>
            </w:pPr>
            <w:r w:rsidRPr="009617F5">
              <w:rPr>
                <w:rFonts w:cs="Arial"/>
              </w:rPr>
              <w:t>3,16</w:t>
            </w:r>
          </w:p>
        </w:tc>
        <w:tc>
          <w:tcPr>
            <w:tcW w:w="979" w:type="dxa"/>
            <w:tcBorders>
              <w:top w:val="single" w:sz="6" w:space="0" w:color="auto"/>
              <w:left w:val="single" w:sz="6" w:space="0" w:color="auto"/>
              <w:bottom w:val="single" w:sz="6" w:space="0" w:color="auto"/>
              <w:right w:val="single" w:sz="6" w:space="0" w:color="auto"/>
            </w:tcBorders>
          </w:tcPr>
          <w:p w14:paraId="0ECEE739" w14:textId="77777777" w:rsidR="009617F5" w:rsidRPr="009617F5" w:rsidRDefault="009617F5" w:rsidP="009617F5">
            <w:pPr>
              <w:pStyle w:val="Texttabulky"/>
              <w:spacing w:after="0" w:line="240" w:lineRule="atLeast"/>
              <w:jc w:val="right"/>
              <w:rPr>
                <w:rFonts w:cs="Arial"/>
              </w:rPr>
            </w:pPr>
            <w:r w:rsidRPr="009617F5">
              <w:rPr>
                <w:rFonts w:cs="Arial"/>
              </w:rPr>
              <w:t>16,78</w:t>
            </w:r>
          </w:p>
        </w:tc>
      </w:tr>
      <w:tr w:rsidR="009617F5" w:rsidRPr="009617F5" w14:paraId="64A9568E"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5117F79A" w14:textId="77777777" w:rsidR="009617F5" w:rsidRPr="009617F5" w:rsidRDefault="009617F5" w:rsidP="009617F5">
            <w:pPr>
              <w:pStyle w:val="Texttabulky"/>
              <w:spacing w:after="0" w:line="240" w:lineRule="atLeast"/>
              <w:rPr>
                <w:rFonts w:cs="Arial"/>
              </w:rPr>
            </w:pPr>
            <w:r w:rsidRPr="009617F5">
              <w:rPr>
                <w:rFonts w:cs="Arial"/>
              </w:rPr>
              <w:t>Chrochvice</w:t>
            </w:r>
          </w:p>
        </w:tc>
        <w:tc>
          <w:tcPr>
            <w:tcW w:w="887" w:type="dxa"/>
            <w:tcBorders>
              <w:top w:val="single" w:sz="6" w:space="0" w:color="auto"/>
              <w:left w:val="single" w:sz="6" w:space="0" w:color="auto"/>
              <w:bottom w:val="single" w:sz="6" w:space="0" w:color="auto"/>
              <w:right w:val="single" w:sz="6" w:space="0" w:color="auto"/>
            </w:tcBorders>
          </w:tcPr>
          <w:p w14:paraId="1F82AE42" w14:textId="77777777" w:rsidR="009617F5" w:rsidRPr="009617F5" w:rsidRDefault="009617F5" w:rsidP="009617F5">
            <w:pPr>
              <w:pStyle w:val="Texttabulky"/>
              <w:spacing w:after="0" w:line="240" w:lineRule="atLeast"/>
              <w:jc w:val="right"/>
              <w:rPr>
                <w:rFonts w:cs="Arial"/>
              </w:rPr>
            </w:pPr>
            <w:r w:rsidRPr="009617F5">
              <w:rPr>
                <w:rFonts w:cs="Arial"/>
              </w:rPr>
              <w:t>146,36</w:t>
            </w:r>
          </w:p>
        </w:tc>
        <w:tc>
          <w:tcPr>
            <w:tcW w:w="900" w:type="dxa"/>
            <w:tcBorders>
              <w:top w:val="single" w:sz="6" w:space="0" w:color="auto"/>
              <w:left w:val="single" w:sz="6" w:space="0" w:color="auto"/>
              <w:bottom w:val="single" w:sz="6" w:space="0" w:color="auto"/>
              <w:right w:val="single" w:sz="6" w:space="0" w:color="auto"/>
            </w:tcBorders>
          </w:tcPr>
          <w:p w14:paraId="7363CF3F" w14:textId="77777777" w:rsidR="009617F5" w:rsidRPr="009617F5" w:rsidRDefault="009617F5" w:rsidP="009617F5">
            <w:pPr>
              <w:pStyle w:val="Texttabulky"/>
              <w:spacing w:after="0" w:line="240" w:lineRule="atLeast"/>
              <w:jc w:val="right"/>
              <w:rPr>
                <w:rFonts w:cs="Arial"/>
              </w:rPr>
            </w:pPr>
            <w:r w:rsidRPr="009617F5">
              <w:rPr>
                <w:rFonts w:cs="Arial"/>
              </w:rPr>
              <w:t>75,22</w:t>
            </w:r>
          </w:p>
        </w:tc>
        <w:tc>
          <w:tcPr>
            <w:tcW w:w="1023" w:type="dxa"/>
            <w:tcBorders>
              <w:top w:val="single" w:sz="6" w:space="0" w:color="auto"/>
              <w:left w:val="single" w:sz="6" w:space="0" w:color="auto"/>
              <w:bottom w:val="single" w:sz="6" w:space="0" w:color="auto"/>
              <w:right w:val="single" w:sz="6" w:space="0" w:color="auto"/>
            </w:tcBorders>
          </w:tcPr>
          <w:p w14:paraId="5712A9B5" w14:textId="77777777" w:rsidR="009617F5" w:rsidRPr="009617F5" w:rsidRDefault="009617F5" w:rsidP="009617F5">
            <w:pPr>
              <w:pStyle w:val="Texttabulky"/>
              <w:spacing w:after="0" w:line="240" w:lineRule="atLeast"/>
              <w:jc w:val="right"/>
              <w:rPr>
                <w:rFonts w:cs="Arial"/>
              </w:rPr>
            </w:pPr>
            <w:r w:rsidRPr="009617F5">
              <w:rPr>
                <w:rFonts w:cs="Arial"/>
              </w:rPr>
              <w:t>39,58</w:t>
            </w:r>
          </w:p>
        </w:tc>
        <w:tc>
          <w:tcPr>
            <w:tcW w:w="995" w:type="dxa"/>
            <w:tcBorders>
              <w:top w:val="single" w:sz="6" w:space="0" w:color="auto"/>
              <w:left w:val="single" w:sz="6" w:space="0" w:color="auto"/>
              <w:bottom w:val="single" w:sz="6" w:space="0" w:color="auto"/>
              <w:right w:val="single" w:sz="6" w:space="0" w:color="auto"/>
            </w:tcBorders>
          </w:tcPr>
          <w:p w14:paraId="02056E7B" w14:textId="77777777" w:rsidR="009617F5" w:rsidRPr="009617F5" w:rsidRDefault="009617F5" w:rsidP="009617F5">
            <w:pPr>
              <w:pStyle w:val="Texttabulky"/>
              <w:spacing w:after="0" w:line="240" w:lineRule="atLeast"/>
              <w:jc w:val="right"/>
              <w:rPr>
                <w:rFonts w:cs="Arial"/>
              </w:rPr>
            </w:pPr>
            <w:r w:rsidRPr="009617F5">
              <w:rPr>
                <w:rFonts w:cs="Arial"/>
              </w:rPr>
              <w:t>3,57</w:t>
            </w:r>
          </w:p>
        </w:tc>
        <w:tc>
          <w:tcPr>
            <w:tcW w:w="845" w:type="dxa"/>
            <w:tcBorders>
              <w:top w:val="single" w:sz="6" w:space="0" w:color="auto"/>
              <w:left w:val="single" w:sz="6" w:space="0" w:color="auto"/>
              <w:bottom w:val="single" w:sz="6" w:space="0" w:color="auto"/>
              <w:right w:val="single" w:sz="6" w:space="0" w:color="auto"/>
            </w:tcBorders>
          </w:tcPr>
          <w:p w14:paraId="256C237A" w14:textId="77777777" w:rsidR="009617F5" w:rsidRPr="009617F5" w:rsidRDefault="009617F5" w:rsidP="009617F5">
            <w:pPr>
              <w:pStyle w:val="Texttabulky"/>
              <w:spacing w:after="0" w:line="240" w:lineRule="atLeast"/>
              <w:jc w:val="right"/>
              <w:rPr>
                <w:rFonts w:cs="Arial"/>
              </w:rPr>
            </w:pPr>
            <w:r w:rsidRPr="009617F5">
              <w:rPr>
                <w:rFonts w:cs="Arial"/>
              </w:rPr>
              <w:t>8,9</w:t>
            </w:r>
          </w:p>
        </w:tc>
        <w:tc>
          <w:tcPr>
            <w:tcW w:w="979" w:type="dxa"/>
            <w:tcBorders>
              <w:top w:val="single" w:sz="6" w:space="0" w:color="auto"/>
              <w:left w:val="single" w:sz="6" w:space="0" w:color="auto"/>
              <w:bottom w:val="single" w:sz="6" w:space="0" w:color="auto"/>
              <w:right w:val="single" w:sz="6" w:space="0" w:color="auto"/>
            </w:tcBorders>
          </w:tcPr>
          <w:p w14:paraId="4099BB0A" w14:textId="77777777" w:rsidR="009617F5" w:rsidRPr="009617F5" w:rsidRDefault="009617F5" w:rsidP="009617F5">
            <w:pPr>
              <w:pStyle w:val="Texttabulky"/>
              <w:spacing w:after="0" w:line="240" w:lineRule="atLeast"/>
              <w:jc w:val="right"/>
              <w:rPr>
                <w:rFonts w:cs="Arial"/>
              </w:rPr>
            </w:pPr>
            <w:r w:rsidRPr="009617F5">
              <w:rPr>
                <w:rFonts w:cs="Arial"/>
              </w:rPr>
              <w:t>19,1</w:t>
            </w:r>
          </w:p>
        </w:tc>
      </w:tr>
      <w:tr w:rsidR="009617F5" w:rsidRPr="009617F5" w14:paraId="2B7E064C"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4F6A8351" w14:textId="77777777" w:rsidR="009617F5" w:rsidRPr="009617F5" w:rsidRDefault="009617F5" w:rsidP="009617F5">
            <w:pPr>
              <w:pStyle w:val="Texttabulky"/>
              <w:spacing w:after="0" w:line="240" w:lineRule="atLeast"/>
              <w:rPr>
                <w:rFonts w:cs="Arial"/>
              </w:rPr>
            </w:pPr>
            <w:r w:rsidRPr="009617F5">
              <w:rPr>
                <w:rFonts w:cs="Arial"/>
              </w:rPr>
              <w:t>Krásný Studenec</w:t>
            </w:r>
          </w:p>
        </w:tc>
        <w:tc>
          <w:tcPr>
            <w:tcW w:w="887" w:type="dxa"/>
            <w:tcBorders>
              <w:top w:val="single" w:sz="6" w:space="0" w:color="auto"/>
              <w:left w:val="single" w:sz="6" w:space="0" w:color="auto"/>
              <w:bottom w:val="single" w:sz="6" w:space="0" w:color="auto"/>
              <w:right w:val="single" w:sz="6" w:space="0" w:color="auto"/>
            </w:tcBorders>
          </w:tcPr>
          <w:p w14:paraId="443C8C53" w14:textId="77777777" w:rsidR="009617F5" w:rsidRPr="009617F5" w:rsidRDefault="009617F5" w:rsidP="009617F5">
            <w:pPr>
              <w:pStyle w:val="Texttabulky"/>
              <w:spacing w:after="0" w:line="240" w:lineRule="atLeast"/>
              <w:jc w:val="right"/>
              <w:rPr>
                <w:rFonts w:cs="Arial"/>
              </w:rPr>
            </w:pPr>
            <w:r w:rsidRPr="009617F5">
              <w:rPr>
                <w:rFonts w:cs="Arial"/>
              </w:rPr>
              <w:t>591,98</w:t>
            </w:r>
          </w:p>
        </w:tc>
        <w:tc>
          <w:tcPr>
            <w:tcW w:w="900" w:type="dxa"/>
            <w:tcBorders>
              <w:top w:val="single" w:sz="6" w:space="0" w:color="auto"/>
              <w:left w:val="single" w:sz="6" w:space="0" w:color="auto"/>
              <w:bottom w:val="single" w:sz="6" w:space="0" w:color="auto"/>
              <w:right w:val="single" w:sz="6" w:space="0" w:color="auto"/>
            </w:tcBorders>
          </w:tcPr>
          <w:p w14:paraId="61E01415" w14:textId="77777777" w:rsidR="009617F5" w:rsidRPr="009617F5" w:rsidRDefault="009617F5" w:rsidP="009617F5">
            <w:pPr>
              <w:pStyle w:val="Texttabulky"/>
              <w:spacing w:after="0" w:line="240" w:lineRule="atLeast"/>
              <w:jc w:val="right"/>
              <w:rPr>
                <w:rFonts w:cs="Arial"/>
              </w:rPr>
            </w:pPr>
            <w:r w:rsidRPr="009617F5">
              <w:rPr>
                <w:rFonts w:cs="Arial"/>
              </w:rPr>
              <w:t>331,97</w:t>
            </w:r>
          </w:p>
        </w:tc>
        <w:tc>
          <w:tcPr>
            <w:tcW w:w="1023" w:type="dxa"/>
            <w:tcBorders>
              <w:top w:val="single" w:sz="6" w:space="0" w:color="auto"/>
              <w:left w:val="single" w:sz="6" w:space="0" w:color="auto"/>
              <w:bottom w:val="single" w:sz="6" w:space="0" w:color="auto"/>
              <w:right w:val="single" w:sz="6" w:space="0" w:color="auto"/>
            </w:tcBorders>
          </w:tcPr>
          <w:p w14:paraId="6C6F51DA" w14:textId="77777777" w:rsidR="009617F5" w:rsidRPr="009617F5" w:rsidRDefault="009617F5" w:rsidP="009617F5">
            <w:pPr>
              <w:pStyle w:val="Texttabulky"/>
              <w:spacing w:after="0" w:line="240" w:lineRule="atLeast"/>
              <w:jc w:val="right"/>
              <w:rPr>
                <w:rFonts w:cs="Arial"/>
              </w:rPr>
            </w:pPr>
            <w:r w:rsidRPr="009617F5">
              <w:rPr>
                <w:rFonts w:cs="Arial"/>
              </w:rPr>
              <w:t>224,2</w:t>
            </w:r>
          </w:p>
        </w:tc>
        <w:tc>
          <w:tcPr>
            <w:tcW w:w="995" w:type="dxa"/>
            <w:tcBorders>
              <w:top w:val="single" w:sz="6" w:space="0" w:color="auto"/>
              <w:left w:val="single" w:sz="6" w:space="0" w:color="auto"/>
              <w:bottom w:val="single" w:sz="6" w:space="0" w:color="auto"/>
              <w:right w:val="single" w:sz="6" w:space="0" w:color="auto"/>
            </w:tcBorders>
          </w:tcPr>
          <w:p w14:paraId="05A40B70" w14:textId="77777777" w:rsidR="009617F5" w:rsidRPr="009617F5" w:rsidRDefault="009617F5" w:rsidP="009617F5">
            <w:pPr>
              <w:pStyle w:val="Texttabulky"/>
              <w:spacing w:after="0" w:line="240" w:lineRule="atLeast"/>
              <w:jc w:val="right"/>
              <w:rPr>
                <w:rFonts w:cs="Arial"/>
              </w:rPr>
            </w:pPr>
            <w:r w:rsidRPr="009617F5">
              <w:rPr>
                <w:rFonts w:cs="Arial"/>
              </w:rPr>
              <w:t>1,79</w:t>
            </w:r>
          </w:p>
        </w:tc>
        <w:tc>
          <w:tcPr>
            <w:tcW w:w="845" w:type="dxa"/>
            <w:tcBorders>
              <w:top w:val="single" w:sz="6" w:space="0" w:color="auto"/>
              <w:left w:val="single" w:sz="6" w:space="0" w:color="auto"/>
              <w:bottom w:val="single" w:sz="6" w:space="0" w:color="auto"/>
              <w:right w:val="single" w:sz="6" w:space="0" w:color="auto"/>
            </w:tcBorders>
          </w:tcPr>
          <w:p w14:paraId="01578941" w14:textId="77777777" w:rsidR="009617F5" w:rsidRPr="009617F5" w:rsidRDefault="009617F5" w:rsidP="009617F5">
            <w:pPr>
              <w:pStyle w:val="Texttabulky"/>
              <w:spacing w:after="0" w:line="240" w:lineRule="atLeast"/>
              <w:jc w:val="right"/>
              <w:rPr>
                <w:rFonts w:cs="Arial"/>
              </w:rPr>
            </w:pPr>
            <w:r w:rsidRPr="009617F5">
              <w:rPr>
                <w:rFonts w:cs="Arial"/>
              </w:rPr>
              <w:t>5,93</w:t>
            </w:r>
          </w:p>
        </w:tc>
        <w:tc>
          <w:tcPr>
            <w:tcW w:w="979" w:type="dxa"/>
            <w:tcBorders>
              <w:top w:val="single" w:sz="6" w:space="0" w:color="auto"/>
              <w:left w:val="single" w:sz="6" w:space="0" w:color="auto"/>
              <w:bottom w:val="single" w:sz="6" w:space="0" w:color="auto"/>
              <w:right w:val="single" w:sz="6" w:space="0" w:color="auto"/>
            </w:tcBorders>
          </w:tcPr>
          <w:p w14:paraId="1639339F" w14:textId="77777777" w:rsidR="009617F5" w:rsidRPr="009617F5" w:rsidRDefault="009617F5" w:rsidP="009617F5">
            <w:pPr>
              <w:pStyle w:val="Texttabulky"/>
              <w:spacing w:after="0" w:line="240" w:lineRule="atLeast"/>
              <w:jc w:val="right"/>
              <w:rPr>
                <w:rFonts w:cs="Arial"/>
              </w:rPr>
            </w:pPr>
            <w:r w:rsidRPr="009617F5">
              <w:rPr>
                <w:rFonts w:cs="Arial"/>
              </w:rPr>
              <w:t>28,1</w:t>
            </w:r>
          </w:p>
        </w:tc>
      </w:tr>
      <w:tr w:rsidR="009617F5" w:rsidRPr="009617F5" w14:paraId="10EF3820"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1CC4650B" w14:textId="77777777" w:rsidR="009617F5" w:rsidRPr="009617F5" w:rsidRDefault="009617F5" w:rsidP="009617F5">
            <w:pPr>
              <w:pStyle w:val="Texttabulky"/>
              <w:spacing w:after="0" w:line="240" w:lineRule="atLeast"/>
              <w:rPr>
                <w:rFonts w:cs="Arial"/>
              </w:rPr>
            </w:pPr>
            <w:r w:rsidRPr="009617F5">
              <w:rPr>
                <w:rFonts w:cs="Arial"/>
              </w:rPr>
              <w:t>Křešice u Děčína</w:t>
            </w:r>
          </w:p>
        </w:tc>
        <w:tc>
          <w:tcPr>
            <w:tcW w:w="887" w:type="dxa"/>
            <w:tcBorders>
              <w:top w:val="single" w:sz="6" w:space="0" w:color="auto"/>
              <w:left w:val="single" w:sz="6" w:space="0" w:color="auto"/>
              <w:bottom w:val="single" w:sz="6" w:space="0" w:color="auto"/>
              <w:right w:val="single" w:sz="6" w:space="0" w:color="auto"/>
            </w:tcBorders>
          </w:tcPr>
          <w:p w14:paraId="35652782" w14:textId="77777777" w:rsidR="009617F5" w:rsidRPr="009617F5" w:rsidRDefault="009617F5" w:rsidP="009617F5">
            <w:pPr>
              <w:pStyle w:val="Texttabulky"/>
              <w:spacing w:after="0" w:line="240" w:lineRule="atLeast"/>
              <w:jc w:val="right"/>
              <w:rPr>
                <w:rFonts w:cs="Arial"/>
              </w:rPr>
            </w:pPr>
            <w:r w:rsidRPr="009617F5">
              <w:rPr>
                <w:rFonts w:cs="Arial"/>
              </w:rPr>
              <w:t>391,11</w:t>
            </w:r>
          </w:p>
        </w:tc>
        <w:tc>
          <w:tcPr>
            <w:tcW w:w="900" w:type="dxa"/>
            <w:tcBorders>
              <w:top w:val="single" w:sz="6" w:space="0" w:color="auto"/>
              <w:left w:val="single" w:sz="6" w:space="0" w:color="auto"/>
              <w:bottom w:val="single" w:sz="6" w:space="0" w:color="auto"/>
              <w:right w:val="single" w:sz="6" w:space="0" w:color="auto"/>
            </w:tcBorders>
          </w:tcPr>
          <w:p w14:paraId="04A97385" w14:textId="77777777" w:rsidR="009617F5" w:rsidRPr="009617F5" w:rsidRDefault="009617F5" w:rsidP="009617F5">
            <w:pPr>
              <w:pStyle w:val="Texttabulky"/>
              <w:spacing w:after="0" w:line="240" w:lineRule="atLeast"/>
              <w:jc w:val="right"/>
              <w:rPr>
                <w:rFonts w:cs="Arial"/>
              </w:rPr>
            </w:pPr>
            <w:r w:rsidRPr="009617F5">
              <w:rPr>
                <w:rFonts w:cs="Arial"/>
              </w:rPr>
              <w:t>196,72</w:t>
            </w:r>
          </w:p>
        </w:tc>
        <w:tc>
          <w:tcPr>
            <w:tcW w:w="1023" w:type="dxa"/>
            <w:tcBorders>
              <w:top w:val="single" w:sz="6" w:space="0" w:color="auto"/>
              <w:left w:val="single" w:sz="6" w:space="0" w:color="auto"/>
              <w:bottom w:val="single" w:sz="6" w:space="0" w:color="auto"/>
              <w:right w:val="single" w:sz="6" w:space="0" w:color="auto"/>
            </w:tcBorders>
          </w:tcPr>
          <w:p w14:paraId="73C16378" w14:textId="77777777" w:rsidR="009617F5" w:rsidRPr="009617F5" w:rsidRDefault="009617F5" w:rsidP="009617F5">
            <w:pPr>
              <w:pStyle w:val="Texttabulky"/>
              <w:spacing w:after="0" w:line="240" w:lineRule="atLeast"/>
              <w:jc w:val="right"/>
              <w:rPr>
                <w:rFonts w:cs="Arial"/>
              </w:rPr>
            </w:pPr>
            <w:r w:rsidRPr="009617F5">
              <w:rPr>
                <w:rFonts w:cs="Arial"/>
              </w:rPr>
              <w:t>117,9</w:t>
            </w:r>
          </w:p>
        </w:tc>
        <w:tc>
          <w:tcPr>
            <w:tcW w:w="995" w:type="dxa"/>
            <w:tcBorders>
              <w:top w:val="single" w:sz="6" w:space="0" w:color="auto"/>
              <w:left w:val="single" w:sz="6" w:space="0" w:color="auto"/>
              <w:bottom w:val="single" w:sz="6" w:space="0" w:color="auto"/>
              <w:right w:val="single" w:sz="6" w:space="0" w:color="auto"/>
            </w:tcBorders>
          </w:tcPr>
          <w:p w14:paraId="5D11EE99" w14:textId="77777777" w:rsidR="009617F5" w:rsidRPr="009617F5" w:rsidRDefault="009617F5" w:rsidP="009617F5">
            <w:pPr>
              <w:pStyle w:val="Texttabulky"/>
              <w:spacing w:after="0" w:line="240" w:lineRule="atLeast"/>
              <w:jc w:val="right"/>
              <w:rPr>
                <w:rFonts w:cs="Arial"/>
              </w:rPr>
            </w:pPr>
            <w:r w:rsidRPr="009617F5">
              <w:rPr>
                <w:rFonts w:cs="Arial"/>
              </w:rPr>
              <w:t>16,51</w:t>
            </w:r>
          </w:p>
        </w:tc>
        <w:tc>
          <w:tcPr>
            <w:tcW w:w="845" w:type="dxa"/>
            <w:tcBorders>
              <w:top w:val="single" w:sz="6" w:space="0" w:color="auto"/>
              <w:left w:val="single" w:sz="6" w:space="0" w:color="auto"/>
              <w:bottom w:val="single" w:sz="6" w:space="0" w:color="auto"/>
              <w:right w:val="single" w:sz="6" w:space="0" w:color="auto"/>
            </w:tcBorders>
          </w:tcPr>
          <w:p w14:paraId="13FB551A" w14:textId="77777777" w:rsidR="009617F5" w:rsidRPr="009617F5" w:rsidRDefault="009617F5" w:rsidP="009617F5">
            <w:pPr>
              <w:pStyle w:val="Texttabulky"/>
              <w:spacing w:after="0" w:line="240" w:lineRule="atLeast"/>
              <w:jc w:val="right"/>
              <w:rPr>
                <w:rFonts w:cs="Arial"/>
              </w:rPr>
            </w:pPr>
            <w:r w:rsidRPr="009617F5">
              <w:rPr>
                <w:rFonts w:cs="Arial"/>
              </w:rPr>
              <w:t>10,85</w:t>
            </w:r>
          </w:p>
        </w:tc>
        <w:tc>
          <w:tcPr>
            <w:tcW w:w="979" w:type="dxa"/>
            <w:tcBorders>
              <w:top w:val="single" w:sz="6" w:space="0" w:color="auto"/>
              <w:left w:val="single" w:sz="6" w:space="0" w:color="auto"/>
              <w:bottom w:val="single" w:sz="6" w:space="0" w:color="auto"/>
              <w:right w:val="single" w:sz="6" w:space="0" w:color="auto"/>
            </w:tcBorders>
          </w:tcPr>
          <w:p w14:paraId="2BFC810A" w14:textId="77777777" w:rsidR="009617F5" w:rsidRPr="009617F5" w:rsidRDefault="009617F5" w:rsidP="009617F5">
            <w:pPr>
              <w:pStyle w:val="Texttabulky"/>
              <w:spacing w:after="0" w:line="240" w:lineRule="atLeast"/>
              <w:jc w:val="right"/>
              <w:rPr>
                <w:rFonts w:cs="Arial"/>
              </w:rPr>
            </w:pPr>
            <w:r w:rsidRPr="009617F5">
              <w:rPr>
                <w:rFonts w:cs="Arial"/>
              </w:rPr>
              <w:t>49,13</w:t>
            </w:r>
          </w:p>
        </w:tc>
      </w:tr>
      <w:tr w:rsidR="009617F5" w:rsidRPr="009617F5" w14:paraId="197EDE3A"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4448CEC9" w14:textId="77777777" w:rsidR="009617F5" w:rsidRPr="009617F5" w:rsidRDefault="009617F5" w:rsidP="009617F5">
            <w:pPr>
              <w:pStyle w:val="Texttabulky"/>
              <w:spacing w:after="0" w:line="240" w:lineRule="atLeast"/>
              <w:rPr>
                <w:rFonts w:cs="Arial"/>
              </w:rPr>
            </w:pPr>
            <w:r w:rsidRPr="009617F5">
              <w:rPr>
                <w:rFonts w:cs="Arial"/>
              </w:rPr>
              <w:t>Lesná u Děčína</w:t>
            </w:r>
          </w:p>
        </w:tc>
        <w:tc>
          <w:tcPr>
            <w:tcW w:w="887" w:type="dxa"/>
            <w:tcBorders>
              <w:top w:val="single" w:sz="6" w:space="0" w:color="auto"/>
              <w:left w:val="single" w:sz="6" w:space="0" w:color="auto"/>
              <w:bottom w:val="single" w:sz="6" w:space="0" w:color="auto"/>
              <w:right w:val="single" w:sz="6" w:space="0" w:color="auto"/>
            </w:tcBorders>
          </w:tcPr>
          <w:p w14:paraId="3831C079" w14:textId="77777777" w:rsidR="009617F5" w:rsidRPr="009617F5" w:rsidRDefault="009617F5" w:rsidP="009617F5">
            <w:pPr>
              <w:pStyle w:val="Texttabulky"/>
              <w:spacing w:after="0" w:line="240" w:lineRule="atLeast"/>
              <w:jc w:val="right"/>
              <w:rPr>
                <w:rFonts w:cs="Arial"/>
              </w:rPr>
            </w:pPr>
            <w:r w:rsidRPr="009617F5">
              <w:rPr>
                <w:rFonts w:cs="Arial"/>
              </w:rPr>
              <w:t>346,11</w:t>
            </w:r>
          </w:p>
        </w:tc>
        <w:tc>
          <w:tcPr>
            <w:tcW w:w="900" w:type="dxa"/>
            <w:tcBorders>
              <w:top w:val="single" w:sz="6" w:space="0" w:color="auto"/>
              <w:left w:val="single" w:sz="6" w:space="0" w:color="auto"/>
              <w:bottom w:val="single" w:sz="6" w:space="0" w:color="auto"/>
              <w:right w:val="single" w:sz="6" w:space="0" w:color="auto"/>
            </w:tcBorders>
          </w:tcPr>
          <w:p w14:paraId="67B1B86C" w14:textId="77777777" w:rsidR="009617F5" w:rsidRPr="009617F5" w:rsidRDefault="009617F5" w:rsidP="009617F5">
            <w:pPr>
              <w:pStyle w:val="Texttabulky"/>
              <w:spacing w:after="0" w:line="240" w:lineRule="atLeast"/>
              <w:jc w:val="right"/>
              <w:rPr>
                <w:rFonts w:cs="Arial"/>
              </w:rPr>
            </w:pPr>
            <w:r w:rsidRPr="009617F5">
              <w:rPr>
                <w:rFonts w:cs="Arial"/>
              </w:rPr>
              <w:t>216,92</w:t>
            </w:r>
          </w:p>
        </w:tc>
        <w:tc>
          <w:tcPr>
            <w:tcW w:w="1023" w:type="dxa"/>
            <w:tcBorders>
              <w:top w:val="single" w:sz="6" w:space="0" w:color="auto"/>
              <w:left w:val="single" w:sz="6" w:space="0" w:color="auto"/>
              <w:bottom w:val="single" w:sz="6" w:space="0" w:color="auto"/>
              <w:right w:val="single" w:sz="6" w:space="0" w:color="auto"/>
            </w:tcBorders>
          </w:tcPr>
          <w:p w14:paraId="27FCF89A" w14:textId="77777777" w:rsidR="009617F5" w:rsidRPr="009617F5" w:rsidRDefault="009617F5" w:rsidP="009617F5">
            <w:pPr>
              <w:pStyle w:val="Texttabulky"/>
              <w:spacing w:after="0" w:line="240" w:lineRule="atLeast"/>
              <w:jc w:val="right"/>
              <w:rPr>
                <w:rFonts w:cs="Arial"/>
              </w:rPr>
            </w:pPr>
            <w:r w:rsidRPr="009617F5">
              <w:rPr>
                <w:rFonts w:cs="Arial"/>
              </w:rPr>
              <w:t>93,97</w:t>
            </w:r>
          </w:p>
        </w:tc>
        <w:tc>
          <w:tcPr>
            <w:tcW w:w="995" w:type="dxa"/>
            <w:tcBorders>
              <w:top w:val="single" w:sz="6" w:space="0" w:color="auto"/>
              <w:left w:val="single" w:sz="6" w:space="0" w:color="auto"/>
              <w:bottom w:val="single" w:sz="6" w:space="0" w:color="auto"/>
              <w:right w:val="single" w:sz="6" w:space="0" w:color="auto"/>
            </w:tcBorders>
          </w:tcPr>
          <w:p w14:paraId="2ED9FEF8" w14:textId="77777777" w:rsidR="009617F5" w:rsidRPr="009617F5" w:rsidRDefault="009617F5" w:rsidP="009617F5">
            <w:pPr>
              <w:pStyle w:val="Texttabulky"/>
              <w:spacing w:after="0" w:line="240" w:lineRule="atLeast"/>
              <w:jc w:val="right"/>
              <w:rPr>
                <w:rFonts w:cs="Arial"/>
              </w:rPr>
            </w:pPr>
            <w:r w:rsidRPr="009617F5">
              <w:rPr>
                <w:rFonts w:cs="Arial"/>
              </w:rPr>
              <w:t>0,95</w:t>
            </w:r>
          </w:p>
        </w:tc>
        <w:tc>
          <w:tcPr>
            <w:tcW w:w="845" w:type="dxa"/>
            <w:tcBorders>
              <w:top w:val="single" w:sz="6" w:space="0" w:color="auto"/>
              <w:left w:val="single" w:sz="6" w:space="0" w:color="auto"/>
              <w:bottom w:val="single" w:sz="6" w:space="0" w:color="auto"/>
              <w:right w:val="single" w:sz="6" w:space="0" w:color="auto"/>
            </w:tcBorders>
          </w:tcPr>
          <w:p w14:paraId="7C172D75" w14:textId="77777777" w:rsidR="009617F5" w:rsidRPr="009617F5" w:rsidRDefault="009617F5" w:rsidP="009617F5">
            <w:pPr>
              <w:pStyle w:val="Texttabulky"/>
              <w:spacing w:after="0" w:line="240" w:lineRule="atLeast"/>
              <w:jc w:val="right"/>
              <w:rPr>
                <w:rFonts w:cs="Arial"/>
              </w:rPr>
            </w:pPr>
            <w:r w:rsidRPr="009617F5">
              <w:rPr>
                <w:rFonts w:cs="Arial"/>
              </w:rPr>
              <w:t>3,65</w:t>
            </w:r>
          </w:p>
        </w:tc>
        <w:tc>
          <w:tcPr>
            <w:tcW w:w="979" w:type="dxa"/>
            <w:tcBorders>
              <w:top w:val="single" w:sz="6" w:space="0" w:color="auto"/>
              <w:left w:val="single" w:sz="6" w:space="0" w:color="auto"/>
              <w:bottom w:val="single" w:sz="6" w:space="0" w:color="auto"/>
              <w:right w:val="single" w:sz="6" w:space="0" w:color="auto"/>
            </w:tcBorders>
          </w:tcPr>
          <w:p w14:paraId="2037D8A4" w14:textId="77777777" w:rsidR="009617F5" w:rsidRPr="009617F5" w:rsidRDefault="009617F5" w:rsidP="009617F5">
            <w:pPr>
              <w:pStyle w:val="Texttabulky"/>
              <w:spacing w:after="0" w:line="240" w:lineRule="atLeast"/>
              <w:jc w:val="right"/>
              <w:rPr>
                <w:rFonts w:cs="Arial"/>
              </w:rPr>
            </w:pPr>
            <w:r w:rsidRPr="009617F5">
              <w:rPr>
                <w:rFonts w:cs="Arial"/>
              </w:rPr>
              <w:t>30,63</w:t>
            </w:r>
          </w:p>
        </w:tc>
      </w:tr>
      <w:tr w:rsidR="009617F5" w:rsidRPr="009617F5" w14:paraId="7954FBE7"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332017F6" w14:textId="77777777" w:rsidR="009617F5" w:rsidRPr="009617F5" w:rsidRDefault="009617F5" w:rsidP="009617F5">
            <w:pPr>
              <w:pStyle w:val="Texttabulky"/>
              <w:spacing w:after="0" w:line="240" w:lineRule="atLeast"/>
              <w:rPr>
                <w:rFonts w:cs="Arial"/>
              </w:rPr>
            </w:pPr>
            <w:r w:rsidRPr="009617F5">
              <w:rPr>
                <w:rFonts w:cs="Arial"/>
              </w:rPr>
              <w:t>Loubí u Děčína</w:t>
            </w:r>
          </w:p>
        </w:tc>
        <w:tc>
          <w:tcPr>
            <w:tcW w:w="887" w:type="dxa"/>
            <w:tcBorders>
              <w:top w:val="single" w:sz="6" w:space="0" w:color="auto"/>
              <w:left w:val="single" w:sz="6" w:space="0" w:color="auto"/>
              <w:bottom w:val="single" w:sz="6" w:space="0" w:color="auto"/>
              <w:right w:val="single" w:sz="6" w:space="0" w:color="auto"/>
            </w:tcBorders>
          </w:tcPr>
          <w:p w14:paraId="7143F761" w14:textId="77777777" w:rsidR="009617F5" w:rsidRPr="009617F5" w:rsidRDefault="009617F5" w:rsidP="009617F5">
            <w:pPr>
              <w:pStyle w:val="Texttabulky"/>
              <w:spacing w:after="0" w:line="240" w:lineRule="atLeast"/>
              <w:jc w:val="right"/>
              <w:rPr>
                <w:rFonts w:cs="Arial"/>
              </w:rPr>
            </w:pPr>
            <w:r w:rsidRPr="009617F5">
              <w:rPr>
                <w:rFonts w:cs="Arial"/>
              </w:rPr>
              <w:t>47,35</w:t>
            </w:r>
          </w:p>
        </w:tc>
        <w:tc>
          <w:tcPr>
            <w:tcW w:w="900" w:type="dxa"/>
            <w:tcBorders>
              <w:top w:val="single" w:sz="6" w:space="0" w:color="auto"/>
              <w:left w:val="single" w:sz="6" w:space="0" w:color="auto"/>
              <w:bottom w:val="single" w:sz="6" w:space="0" w:color="auto"/>
              <w:right w:val="single" w:sz="6" w:space="0" w:color="auto"/>
            </w:tcBorders>
          </w:tcPr>
          <w:p w14:paraId="57763B39" w14:textId="77777777" w:rsidR="009617F5" w:rsidRPr="009617F5" w:rsidRDefault="009617F5" w:rsidP="009617F5">
            <w:pPr>
              <w:pStyle w:val="Texttabulky"/>
              <w:spacing w:after="0" w:line="240" w:lineRule="atLeast"/>
              <w:jc w:val="right"/>
              <w:rPr>
                <w:rFonts w:cs="Arial"/>
              </w:rPr>
            </w:pPr>
            <w:r w:rsidRPr="009617F5">
              <w:rPr>
                <w:rFonts w:cs="Arial"/>
              </w:rPr>
              <w:t>15,34</w:t>
            </w:r>
          </w:p>
        </w:tc>
        <w:tc>
          <w:tcPr>
            <w:tcW w:w="1023" w:type="dxa"/>
            <w:tcBorders>
              <w:top w:val="single" w:sz="6" w:space="0" w:color="auto"/>
              <w:left w:val="single" w:sz="6" w:space="0" w:color="auto"/>
              <w:bottom w:val="single" w:sz="6" w:space="0" w:color="auto"/>
              <w:right w:val="single" w:sz="6" w:space="0" w:color="auto"/>
            </w:tcBorders>
          </w:tcPr>
          <w:p w14:paraId="6DCAE4A1" w14:textId="77777777" w:rsidR="009617F5" w:rsidRPr="009617F5" w:rsidRDefault="009617F5" w:rsidP="009617F5">
            <w:pPr>
              <w:pStyle w:val="Texttabulky"/>
              <w:spacing w:after="0" w:line="240" w:lineRule="atLeast"/>
              <w:jc w:val="right"/>
              <w:rPr>
                <w:rFonts w:cs="Arial"/>
              </w:rPr>
            </w:pPr>
            <w:r w:rsidRPr="009617F5">
              <w:rPr>
                <w:rFonts w:cs="Arial"/>
              </w:rPr>
              <w:t>8,89</w:t>
            </w:r>
          </w:p>
        </w:tc>
        <w:tc>
          <w:tcPr>
            <w:tcW w:w="995" w:type="dxa"/>
            <w:tcBorders>
              <w:top w:val="single" w:sz="6" w:space="0" w:color="auto"/>
              <w:left w:val="single" w:sz="6" w:space="0" w:color="auto"/>
              <w:bottom w:val="single" w:sz="6" w:space="0" w:color="auto"/>
              <w:right w:val="single" w:sz="6" w:space="0" w:color="auto"/>
            </w:tcBorders>
          </w:tcPr>
          <w:p w14:paraId="1BB1D60C" w14:textId="77777777" w:rsidR="009617F5" w:rsidRPr="009617F5" w:rsidRDefault="009617F5" w:rsidP="009617F5">
            <w:pPr>
              <w:pStyle w:val="Texttabulky"/>
              <w:spacing w:after="0" w:line="240" w:lineRule="atLeast"/>
              <w:jc w:val="right"/>
              <w:rPr>
                <w:rFonts w:cs="Arial"/>
              </w:rPr>
            </w:pPr>
            <w:r w:rsidRPr="009617F5">
              <w:rPr>
                <w:rFonts w:cs="Arial"/>
              </w:rPr>
              <w:t>0,85</w:t>
            </w:r>
          </w:p>
        </w:tc>
        <w:tc>
          <w:tcPr>
            <w:tcW w:w="845" w:type="dxa"/>
            <w:tcBorders>
              <w:top w:val="single" w:sz="6" w:space="0" w:color="auto"/>
              <w:left w:val="single" w:sz="6" w:space="0" w:color="auto"/>
              <w:bottom w:val="single" w:sz="6" w:space="0" w:color="auto"/>
              <w:right w:val="single" w:sz="6" w:space="0" w:color="auto"/>
            </w:tcBorders>
          </w:tcPr>
          <w:p w14:paraId="106D5105" w14:textId="77777777" w:rsidR="009617F5" w:rsidRPr="009617F5" w:rsidRDefault="009617F5" w:rsidP="009617F5">
            <w:pPr>
              <w:pStyle w:val="Texttabulky"/>
              <w:spacing w:after="0" w:line="240" w:lineRule="atLeast"/>
              <w:jc w:val="right"/>
              <w:rPr>
                <w:rFonts w:cs="Arial"/>
              </w:rPr>
            </w:pPr>
            <w:r w:rsidRPr="009617F5">
              <w:rPr>
                <w:rFonts w:cs="Arial"/>
              </w:rPr>
              <w:t>1,65</w:t>
            </w:r>
          </w:p>
        </w:tc>
        <w:tc>
          <w:tcPr>
            <w:tcW w:w="979" w:type="dxa"/>
            <w:tcBorders>
              <w:top w:val="single" w:sz="6" w:space="0" w:color="auto"/>
              <w:left w:val="single" w:sz="6" w:space="0" w:color="auto"/>
              <w:bottom w:val="single" w:sz="6" w:space="0" w:color="auto"/>
              <w:right w:val="single" w:sz="6" w:space="0" w:color="auto"/>
            </w:tcBorders>
          </w:tcPr>
          <w:p w14:paraId="4CC9EB4E" w14:textId="77777777" w:rsidR="009617F5" w:rsidRPr="009617F5" w:rsidRDefault="009617F5" w:rsidP="009617F5">
            <w:pPr>
              <w:pStyle w:val="Texttabulky"/>
              <w:spacing w:after="0" w:line="240" w:lineRule="atLeast"/>
              <w:jc w:val="right"/>
              <w:rPr>
                <w:rFonts w:cs="Arial"/>
              </w:rPr>
            </w:pPr>
            <w:r w:rsidRPr="009617F5">
              <w:rPr>
                <w:rFonts w:cs="Arial"/>
              </w:rPr>
              <w:t>20,62</w:t>
            </w:r>
          </w:p>
        </w:tc>
      </w:tr>
      <w:tr w:rsidR="009617F5" w:rsidRPr="009617F5" w14:paraId="2F8CCB2F"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4C50D4B0" w14:textId="77777777" w:rsidR="009617F5" w:rsidRPr="009617F5" w:rsidRDefault="009617F5" w:rsidP="009617F5">
            <w:pPr>
              <w:pStyle w:val="Texttabulky"/>
              <w:spacing w:after="0" w:line="240" w:lineRule="atLeast"/>
              <w:rPr>
                <w:rFonts w:cs="Arial"/>
              </w:rPr>
            </w:pPr>
            <w:r w:rsidRPr="009617F5">
              <w:rPr>
                <w:rFonts w:cs="Arial"/>
              </w:rPr>
              <w:t>Maxičky</w:t>
            </w:r>
          </w:p>
        </w:tc>
        <w:tc>
          <w:tcPr>
            <w:tcW w:w="887" w:type="dxa"/>
            <w:tcBorders>
              <w:top w:val="single" w:sz="6" w:space="0" w:color="auto"/>
              <w:left w:val="single" w:sz="6" w:space="0" w:color="auto"/>
              <w:bottom w:val="single" w:sz="6" w:space="0" w:color="auto"/>
              <w:right w:val="single" w:sz="6" w:space="0" w:color="auto"/>
            </w:tcBorders>
          </w:tcPr>
          <w:p w14:paraId="53FC42DF" w14:textId="77777777" w:rsidR="009617F5" w:rsidRPr="009617F5" w:rsidRDefault="009617F5" w:rsidP="009617F5">
            <w:pPr>
              <w:pStyle w:val="Texttabulky"/>
              <w:spacing w:after="0" w:line="240" w:lineRule="atLeast"/>
              <w:jc w:val="right"/>
              <w:rPr>
                <w:rFonts w:cs="Arial"/>
              </w:rPr>
            </w:pPr>
            <w:r w:rsidRPr="009617F5">
              <w:rPr>
                <w:rFonts w:cs="Arial"/>
              </w:rPr>
              <w:t>1 854,12</w:t>
            </w:r>
          </w:p>
        </w:tc>
        <w:tc>
          <w:tcPr>
            <w:tcW w:w="900" w:type="dxa"/>
            <w:tcBorders>
              <w:top w:val="single" w:sz="6" w:space="0" w:color="auto"/>
              <w:left w:val="single" w:sz="6" w:space="0" w:color="auto"/>
              <w:bottom w:val="single" w:sz="6" w:space="0" w:color="auto"/>
              <w:right w:val="single" w:sz="6" w:space="0" w:color="auto"/>
            </w:tcBorders>
          </w:tcPr>
          <w:p w14:paraId="0F9E442D" w14:textId="77777777" w:rsidR="009617F5" w:rsidRPr="009617F5" w:rsidRDefault="009617F5" w:rsidP="009617F5">
            <w:pPr>
              <w:pStyle w:val="Texttabulky"/>
              <w:spacing w:after="0" w:line="240" w:lineRule="atLeast"/>
              <w:jc w:val="right"/>
              <w:rPr>
                <w:rFonts w:cs="Arial"/>
              </w:rPr>
            </w:pPr>
            <w:r w:rsidRPr="009617F5">
              <w:rPr>
                <w:rFonts w:cs="Arial"/>
              </w:rPr>
              <w:t>20,23</w:t>
            </w:r>
          </w:p>
        </w:tc>
        <w:tc>
          <w:tcPr>
            <w:tcW w:w="1023" w:type="dxa"/>
            <w:tcBorders>
              <w:top w:val="single" w:sz="6" w:space="0" w:color="auto"/>
              <w:left w:val="single" w:sz="6" w:space="0" w:color="auto"/>
              <w:bottom w:val="single" w:sz="6" w:space="0" w:color="auto"/>
              <w:right w:val="single" w:sz="6" w:space="0" w:color="auto"/>
            </w:tcBorders>
          </w:tcPr>
          <w:p w14:paraId="45AA19AF" w14:textId="77777777" w:rsidR="009617F5" w:rsidRPr="009617F5" w:rsidRDefault="009617F5" w:rsidP="009617F5">
            <w:pPr>
              <w:pStyle w:val="Texttabulky"/>
              <w:spacing w:after="0" w:line="240" w:lineRule="atLeast"/>
              <w:jc w:val="right"/>
              <w:rPr>
                <w:rFonts w:cs="Arial"/>
              </w:rPr>
            </w:pPr>
            <w:r w:rsidRPr="009617F5">
              <w:rPr>
                <w:rFonts w:cs="Arial"/>
              </w:rPr>
              <w:t>1 790,12</w:t>
            </w:r>
          </w:p>
        </w:tc>
        <w:tc>
          <w:tcPr>
            <w:tcW w:w="995" w:type="dxa"/>
            <w:tcBorders>
              <w:top w:val="single" w:sz="6" w:space="0" w:color="auto"/>
              <w:left w:val="single" w:sz="6" w:space="0" w:color="auto"/>
              <w:bottom w:val="single" w:sz="6" w:space="0" w:color="auto"/>
              <w:right w:val="single" w:sz="6" w:space="0" w:color="auto"/>
            </w:tcBorders>
          </w:tcPr>
          <w:p w14:paraId="29A83647" w14:textId="77777777" w:rsidR="009617F5" w:rsidRPr="009617F5" w:rsidRDefault="009617F5" w:rsidP="009617F5">
            <w:pPr>
              <w:pStyle w:val="Texttabulky"/>
              <w:spacing w:after="0" w:line="240" w:lineRule="atLeast"/>
              <w:jc w:val="right"/>
              <w:rPr>
                <w:rFonts w:cs="Arial"/>
              </w:rPr>
            </w:pPr>
            <w:r w:rsidRPr="009617F5">
              <w:rPr>
                <w:rFonts w:cs="Arial"/>
              </w:rPr>
              <w:t>3,1</w:t>
            </w:r>
          </w:p>
        </w:tc>
        <w:tc>
          <w:tcPr>
            <w:tcW w:w="845" w:type="dxa"/>
            <w:tcBorders>
              <w:top w:val="single" w:sz="6" w:space="0" w:color="auto"/>
              <w:left w:val="single" w:sz="6" w:space="0" w:color="auto"/>
              <w:bottom w:val="single" w:sz="6" w:space="0" w:color="auto"/>
              <w:right w:val="single" w:sz="6" w:space="0" w:color="auto"/>
            </w:tcBorders>
          </w:tcPr>
          <w:p w14:paraId="35370441" w14:textId="77777777" w:rsidR="009617F5" w:rsidRPr="009617F5" w:rsidRDefault="009617F5" w:rsidP="009617F5">
            <w:pPr>
              <w:pStyle w:val="Texttabulky"/>
              <w:spacing w:after="0" w:line="240" w:lineRule="atLeast"/>
              <w:jc w:val="right"/>
              <w:rPr>
                <w:rFonts w:cs="Arial"/>
              </w:rPr>
            </w:pPr>
            <w:r w:rsidRPr="009617F5">
              <w:rPr>
                <w:rFonts w:cs="Arial"/>
              </w:rPr>
              <w:t>3,17</w:t>
            </w:r>
          </w:p>
        </w:tc>
        <w:tc>
          <w:tcPr>
            <w:tcW w:w="979" w:type="dxa"/>
            <w:tcBorders>
              <w:top w:val="single" w:sz="6" w:space="0" w:color="auto"/>
              <w:left w:val="single" w:sz="6" w:space="0" w:color="auto"/>
              <w:bottom w:val="single" w:sz="6" w:space="0" w:color="auto"/>
              <w:right w:val="single" w:sz="6" w:space="0" w:color="auto"/>
            </w:tcBorders>
          </w:tcPr>
          <w:p w14:paraId="1AAB0FE0" w14:textId="77777777" w:rsidR="009617F5" w:rsidRPr="009617F5" w:rsidRDefault="009617F5" w:rsidP="009617F5">
            <w:pPr>
              <w:pStyle w:val="Texttabulky"/>
              <w:spacing w:after="0" w:line="240" w:lineRule="atLeast"/>
              <w:jc w:val="right"/>
              <w:rPr>
                <w:rFonts w:cs="Arial"/>
              </w:rPr>
            </w:pPr>
            <w:r w:rsidRPr="009617F5">
              <w:rPr>
                <w:rFonts w:cs="Arial"/>
              </w:rPr>
              <w:t>37,5</w:t>
            </w:r>
          </w:p>
        </w:tc>
      </w:tr>
      <w:tr w:rsidR="009617F5" w:rsidRPr="009617F5" w14:paraId="6F13F7E7"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475B9680" w14:textId="77777777" w:rsidR="009617F5" w:rsidRPr="009617F5" w:rsidRDefault="009617F5" w:rsidP="009617F5">
            <w:pPr>
              <w:pStyle w:val="Texttabulky"/>
              <w:spacing w:after="0" w:line="240" w:lineRule="atLeast"/>
              <w:rPr>
                <w:rFonts w:cs="Arial"/>
              </w:rPr>
            </w:pPr>
            <w:r w:rsidRPr="009617F5">
              <w:rPr>
                <w:rFonts w:cs="Arial"/>
              </w:rPr>
              <w:t>Nebočady</w:t>
            </w:r>
          </w:p>
        </w:tc>
        <w:tc>
          <w:tcPr>
            <w:tcW w:w="887" w:type="dxa"/>
            <w:tcBorders>
              <w:top w:val="single" w:sz="6" w:space="0" w:color="auto"/>
              <w:left w:val="single" w:sz="6" w:space="0" w:color="auto"/>
              <w:bottom w:val="single" w:sz="6" w:space="0" w:color="auto"/>
              <w:right w:val="single" w:sz="6" w:space="0" w:color="auto"/>
            </w:tcBorders>
          </w:tcPr>
          <w:p w14:paraId="1FA990D5" w14:textId="77777777" w:rsidR="009617F5" w:rsidRPr="009617F5" w:rsidRDefault="009617F5" w:rsidP="009617F5">
            <w:pPr>
              <w:pStyle w:val="Texttabulky"/>
              <w:spacing w:after="0" w:line="240" w:lineRule="atLeast"/>
              <w:jc w:val="right"/>
              <w:rPr>
                <w:rFonts w:cs="Arial"/>
              </w:rPr>
            </w:pPr>
            <w:r w:rsidRPr="009617F5">
              <w:rPr>
                <w:rFonts w:cs="Arial"/>
              </w:rPr>
              <w:t>276,45</w:t>
            </w:r>
          </w:p>
        </w:tc>
        <w:tc>
          <w:tcPr>
            <w:tcW w:w="900" w:type="dxa"/>
            <w:tcBorders>
              <w:top w:val="single" w:sz="6" w:space="0" w:color="auto"/>
              <w:left w:val="single" w:sz="6" w:space="0" w:color="auto"/>
              <w:bottom w:val="single" w:sz="6" w:space="0" w:color="auto"/>
              <w:right w:val="single" w:sz="6" w:space="0" w:color="auto"/>
            </w:tcBorders>
          </w:tcPr>
          <w:p w14:paraId="4725F72C" w14:textId="77777777" w:rsidR="009617F5" w:rsidRPr="009617F5" w:rsidRDefault="009617F5" w:rsidP="009617F5">
            <w:pPr>
              <w:pStyle w:val="Texttabulky"/>
              <w:spacing w:after="0" w:line="240" w:lineRule="atLeast"/>
              <w:jc w:val="right"/>
              <w:rPr>
                <w:rFonts w:cs="Arial"/>
              </w:rPr>
            </w:pPr>
            <w:r w:rsidRPr="009617F5">
              <w:rPr>
                <w:rFonts w:cs="Arial"/>
              </w:rPr>
              <w:t>134,45</w:t>
            </w:r>
          </w:p>
        </w:tc>
        <w:tc>
          <w:tcPr>
            <w:tcW w:w="1023" w:type="dxa"/>
            <w:tcBorders>
              <w:top w:val="single" w:sz="6" w:space="0" w:color="auto"/>
              <w:left w:val="single" w:sz="6" w:space="0" w:color="auto"/>
              <w:bottom w:val="single" w:sz="6" w:space="0" w:color="auto"/>
              <w:right w:val="single" w:sz="6" w:space="0" w:color="auto"/>
            </w:tcBorders>
          </w:tcPr>
          <w:p w14:paraId="16882AE1" w14:textId="77777777" w:rsidR="009617F5" w:rsidRPr="009617F5" w:rsidRDefault="009617F5" w:rsidP="009617F5">
            <w:pPr>
              <w:pStyle w:val="Texttabulky"/>
              <w:spacing w:after="0" w:line="240" w:lineRule="atLeast"/>
              <w:jc w:val="right"/>
              <w:rPr>
                <w:rFonts w:cs="Arial"/>
              </w:rPr>
            </w:pPr>
            <w:r w:rsidRPr="009617F5">
              <w:rPr>
                <w:rFonts w:cs="Arial"/>
              </w:rPr>
              <w:t>68,62</w:t>
            </w:r>
          </w:p>
        </w:tc>
        <w:tc>
          <w:tcPr>
            <w:tcW w:w="995" w:type="dxa"/>
            <w:tcBorders>
              <w:top w:val="single" w:sz="6" w:space="0" w:color="auto"/>
              <w:left w:val="single" w:sz="6" w:space="0" w:color="auto"/>
              <w:bottom w:val="single" w:sz="6" w:space="0" w:color="auto"/>
              <w:right w:val="single" w:sz="6" w:space="0" w:color="auto"/>
            </w:tcBorders>
          </w:tcPr>
          <w:p w14:paraId="00E1AFB1" w14:textId="77777777" w:rsidR="009617F5" w:rsidRPr="009617F5" w:rsidRDefault="009617F5" w:rsidP="009617F5">
            <w:pPr>
              <w:pStyle w:val="Texttabulky"/>
              <w:spacing w:after="0" w:line="240" w:lineRule="atLeast"/>
              <w:jc w:val="right"/>
              <w:rPr>
                <w:rFonts w:cs="Arial"/>
              </w:rPr>
            </w:pPr>
            <w:r w:rsidRPr="009617F5">
              <w:rPr>
                <w:rFonts w:cs="Arial"/>
              </w:rPr>
              <w:t>25,75</w:t>
            </w:r>
          </w:p>
        </w:tc>
        <w:tc>
          <w:tcPr>
            <w:tcW w:w="845" w:type="dxa"/>
            <w:tcBorders>
              <w:top w:val="single" w:sz="6" w:space="0" w:color="auto"/>
              <w:left w:val="single" w:sz="6" w:space="0" w:color="auto"/>
              <w:bottom w:val="single" w:sz="6" w:space="0" w:color="auto"/>
              <w:right w:val="single" w:sz="6" w:space="0" w:color="auto"/>
            </w:tcBorders>
          </w:tcPr>
          <w:p w14:paraId="6D1DC462" w14:textId="77777777" w:rsidR="009617F5" w:rsidRPr="009617F5" w:rsidRDefault="009617F5" w:rsidP="009617F5">
            <w:pPr>
              <w:pStyle w:val="Texttabulky"/>
              <w:spacing w:after="0" w:line="240" w:lineRule="atLeast"/>
              <w:jc w:val="right"/>
              <w:rPr>
                <w:rFonts w:cs="Arial"/>
              </w:rPr>
            </w:pPr>
            <w:r w:rsidRPr="009617F5">
              <w:rPr>
                <w:rFonts w:cs="Arial"/>
              </w:rPr>
              <w:t>5,53</w:t>
            </w:r>
          </w:p>
        </w:tc>
        <w:tc>
          <w:tcPr>
            <w:tcW w:w="979" w:type="dxa"/>
            <w:tcBorders>
              <w:top w:val="single" w:sz="6" w:space="0" w:color="auto"/>
              <w:left w:val="single" w:sz="6" w:space="0" w:color="auto"/>
              <w:bottom w:val="single" w:sz="6" w:space="0" w:color="auto"/>
              <w:right w:val="single" w:sz="6" w:space="0" w:color="auto"/>
            </w:tcBorders>
          </w:tcPr>
          <w:p w14:paraId="2A03CE74" w14:textId="77777777" w:rsidR="009617F5" w:rsidRPr="009617F5" w:rsidRDefault="009617F5" w:rsidP="009617F5">
            <w:pPr>
              <w:pStyle w:val="Texttabulky"/>
              <w:spacing w:after="0" w:line="240" w:lineRule="atLeast"/>
              <w:jc w:val="right"/>
              <w:rPr>
                <w:rFonts w:cs="Arial"/>
              </w:rPr>
            </w:pPr>
            <w:r w:rsidRPr="009617F5">
              <w:rPr>
                <w:rFonts w:cs="Arial"/>
              </w:rPr>
              <w:t>42,09</w:t>
            </w:r>
          </w:p>
        </w:tc>
      </w:tr>
      <w:tr w:rsidR="009617F5" w:rsidRPr="009617F5" w14:paraId="01D59519"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6C1A48DC" w14:textId="77777777" w:rsidR="009617F5" w:rsidRPr="009617F5" w:rsidRDefault="009617F5" w:rsidP="009617F5">
            <w:pPr>
              <w:pStyle w:val="Texttabulky"/>
              <w:spacing w:after="0" w:line="240" w:lineRule="atLeast"/>
              <w:rPr>
                <w:rFonts w:cs="Arial"/>
              </w:rPr>
            </w:pPr>
            <w:r w:rsidRPr="009617F5">
              <w:rPr>
                <w:rFonts w:cs="Arial"/>
              </w:rPr>
              <w:t>Podmokly</w:t>
            </w:r>
          </w:p>
        </w:tc>
        <w:tc>
          <w:tcPr>
            <w:tcW w:w="887" w:type="dxa"/>
            <w:tcBorders>
              <w:top w:val="single" w:sz="6" w:space="0" w:color="auto"/>
              <w:left w:val="single" w:sz="6" w:space="0" w:color="auto"/>
              <w:bottom w:val="single" w:sz="6" w:space="0" w:color="auto"/>
              <w:right w:val="single" w:sz="6" w:space="0" w:color="auto"/>
            </w:tcBorders>
          </w:tcPr>
          <w:p w14:paraId="476A0826" w14:textId="77777777" w:rsidR="009617F5" w:rsidRPr="009617F5" w:rsidRDefault="009617F5" w:rsidP="009617F5">
            <w:pPr>
              <w:pStyle w:val="Texttabulky"/>
              <w:spacing w:after="0" w:line="240" w:lineRule="atLeast"/>
              <w:jc w:val="right"/>
              <w:rPr>
                <w:rFonts w:cs="Arial"/>
              </w:rPr>
            </w:pPr>
            <w:r w:rsidRPr="009617F5">
              <w:rPr>
                <w:rFonts w:cs="Arial"/>
              </w:rPr>
              <w:t>688,86</w:t>
            </w:r>
          </w:p>
        </w:tc>
        <w:tc>
          <w:tcPr>
            <w:tcW w:w="900" w:type="dxa"/>
            <w:tcBorders>
              <w:top w:val="single" w:sz="6" w:space="0" w:color="auto"/>
              <w:left w:val="single" w:sz="6" w:space="0" w:color="auto"/>
              <w:bottom w:val="single" w:sz="6" w:space="0" w:color="auto"/>
              <w:right w:val="single" w:sz="6" w:space="0" w:color="auto"/>
            </w:tcBorders>
          </w:tcPr>
          <w:p w14:paraId="49C766C1" w14:textId="77777777" w:rsidR="009617F5" w:rsidRPr="009617F5" w:rsidRDefault="009617F5" w:rsidP="009617F5">
            <w:pPr>
              <w:pStyle w:val="Texttabulky"/>
              <w:spacing w:after="0" w:line="240" w:lineRule="atLeast"/>
              <w:jc w:val="right"/>
              <w:rPr>
                <w:rFonts w:cs="Arial"/>
              </w:rPr>
            </w:pPr>
            <w:r w:rsidRPr="009617F5">
              <w:rPr>
                <w:rFonts w:cs="Arial"/>
              </w:rPr>
              <w:t>194,99</w:t>
            </w:r>
          </w:p>
        </w:tc>
        <w:tc>
          <w:tcPr>
            <w:tcW w:w="1023" w:type="dxa"/>
            <w:tcBorders>
              <w:top w:val="single" w:sz="6" w:space="0" w:color="auto"/>
              <w:left w:val="single" w:sz="6" w:space="0" w:color="auto"/>
              <w:bottom w:val="single" w:sz="6" w:space="0" w:color="auto"/>
              <w:right w:val="single" w:sz="6" w:space="0" w:color="auto"/>
            </w:tcBorders>
          </w:tcPr>
          <w:p w14:paraId="01BDE8DD" w14:textId="77777777" w:rsidR="009617F5" w:rsidRPr="009617F5" w:rsidRDefault="009617F5" w:rsidP="009617F5">
            <w:pPr>
              <w:pStyle w:val="Texttabulky"/>
              <w:spacing w:after="0" w:line="240" w:lineRule="atLeast"/>
              <w:jc w:val="right"/>
              <w:rPr>
                <w:rFonts w:cs="Arial"/>
              </w:rPr>
            </w:pPr>
            <w:r w:rsidRPr="009617F5">
              <w:rPr>
                <w:rFonts w:cs="Arial"/>
              </w:rPr>
              <w:t>100,07</w:t>
            </w:r>
          </w:p>
        </w:tc>
        <w:tc>
          <w:tcPr>
            <w:tcW w:w="995" w:type="dxa"/>
            <w:tcBorders>
              <w:top w:val="single" w:sz="6" w:space="0" w:color="auto"/>
              <w:left w:val="single" w:sz="6" w:space="0" w:color="auto"/>
              <w:bottom w:val="single" w:sz="6" w:space="0" w:color="auto"/>
              <w:right w:val="single" w:sz="6" w:space="0" w:color="auto"/>
            </w:tcBorders>
          </w:tcPr>
          <w:p w14:paraId="6D9B053A" w14:textId="77777777" w:rsidR="009617F5" w:rsidRPr="009617F5" w:rsidRDefault="009617F5" w:rsidP="009617F5">
            <w:pPr>
              <w:pStyle w:val="Texttabulky"/>
              <w:spacing w:after="0" w:line="240" w:lineRule="atLeast"/>
              <w:jc w:val="right"/>
              <w:rPr>
                <w:rFonts w:cs="Arial"/>
              </w:rPr>
            </w:pPr>
            <w:r w:rsidRPr="009617F5">
              <w:rPr>
                <w:rFonts w:cs="Arial"/>
              </w:rPr>
              <w:t>42,13</w:t>
            </w:r>
          </w:p>
        </w:tc>
        <w:tc>
          <w:tcPr>
            <w:tcW w:w="845" w:type="dxa"/>
            <w:tcBorders>
              <w:top w:val="single" w:sz="6" w:space="0" w:color="auto"/>
              <w:left w:val="single" w:sz="6" w:space="0" w:color="auto"/>
              <w:bottom w:val="single" w:sz="6" w:space="0" w:color="auto"/>
              <w:right w:val="single" w:sz="6" w:space="0" w:color="auto"/>
            </w:tcBorders>
          </w:tcPr>
          <w:p w14:paraId="6F2482F2" w14:textId="77777777" w:rsidR="009617F5" w:rsidRPr="009617F5" w:rsidRDefault="009617F5" w:rsidP="009617F5">
            <w:pPr>
              <w:pStyle w:val="Texttabulky"/>
              <w:spacing w:after="0" w:line="240" w:lineRule="atLeast"/>
              <w:jc w:val="right"/>
              <w:rPr>
                <w:rFonts w:cs="Arial"/>
              </w:rPr>
            </w:pPr>
            <w:r w:rsidRPr="009617F5">
              <w:rPr>
                <w:rFonts w:cs="Arial"/>
              </w:rPr>
              <w:t>112,64</w:t>
            </w:r>
          </w:p>
        </w:tc>
        <w:tc>
          <w:tcPr>
            <w:tcW w:w="979" w:type="dxa"/>
            <w:tcBorders>
              <w:top w:val="single" w:sz="6" w:space="0" w:color="auto"/>
              <w:left w:val="single" w:sz="6" w:space="0" w:color="auto"/>
              <w:bottom w:val="single" w:sz="6" w:space="0" w:color="auto"/>
              <w:right w:val="single" w:sz="6" w:space="0" w:color="auto"/>
            </w:tcBorders>
          </w:tcPr>
          <w:p w14:paraId="66C07F03" w14:textId="77777777" w:rsidR="009617F5" w:rsidRPr="009617F5" w:rsidRDefault="009617F5" w:rsidP="009617F5">
            <w:pPr>
              <w:pStyle w:val="Texttabulky"/>
              <w:spacing w:after="0" w:line="240" w:lineRule="atLeast"/>
              <w:jc w:val="right"/>
              <w:rPr>
                <w:rFonts w:cs="Arial"/>
              </w:rPr>
            </w:pPr>
            <w:r w:rsidRPr="009617F5">
              <w:rPr>
                <w:rFonts w:cs="Arial"/>
              </w:rPr>
              <w:t>239,03</w:t>
            </w:r>
          </w:p>
        </w:tc>
      </w:tr>
      <w:tr w:rsidR="009617F5" w:rsidRPr="009617F5" w14:paraId="74AD1182"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79C58EFC" w14:textId="77777777" w:rsidR="009617F5" w:rsidRPr="009617F5" w:rsidRDefault="009617F5" w:rsidP="009617F5">
            <w:pPr>
              <w:pStyle w:val="Texttabulky"/>
              <w:spacing w:after="0" w:line="240" w:lineRule="atLeast"/>
              <w:rPr>
                <w:rFonts w:cs="Arial"/>
              </w:rPr>
            </w:pPr>
            <w:r w:rsidRPr="009617F5">
              <w:rPr>
                <w:rFonts w:cs="Arial"/>
              </w:rPr>
              <w:t>Prostřední Žleb</w:t>
            </w:r>
          </w:p>
        </w:tc>
        <w:tc>
          <w:tcPr>
            <w:tcW w:w="887" w:type="dxa"/>
            <w:tcBorders>
              <w:top w:val="single" w:sz="6" w:space="0" w:color="auto"/>
              <w:left w:val="single" w:sz="6" w:space="0" w:color="auto"/>
              <w:bottom w:val="single" w:sz="6" w:space="0" w:color="auto"/>
              <w:right w:val="single" w:sz="6" w:space="0" w:color="auto"/>
            </w:tcBorders>
          </w:tcPr>
          <w:p w14:paraId="2B0B4E84" w14:textId="77777777" w:rsidR="009617F5" w:rsidRPr="009617F5" w:rsidRDefault="009617F5" w:rsidP="009617F5">
            <w:pPr>
              <w:pStyle w:val="Texttabulky"/>
              <w:spacing w:after="0" w:line="240" w:lineRule="atLeast"/>
              <w:jc w:val="right"/>
              <w:rPr>
                <w:rFonts w:cs="Arial"/>
              </w:rPr>
            </w:pPr>
            <w:r w:rsidRPr="009617F5">
              <w:rPr>
                <w:rFonts w:cs="Arial"/>
              </w:rPr>
              <w:t>1 115,27</w:t>
            </w:r>
          </w:p>
        </w:tc>
        <w:tc>
          <w:tcPr>
            <w:tcW w:w="900" w:type="dxa"/>
            <w:tcBorders>
              <w:top w:val="single" w:sz="6" w:space="0" w:color="auto"/>
              <w:left w:val="single" w:sz="6" w:space="0" w:color="auto"/>
              <w:bottom w:val="single" w:sz="6" w:space="0" w:color="auto"/>
              <w:right w:val="single" w:sz="6" w:space="0" w:color="auto"/>
            </w:tcBorders>
          </w:tcPr>
          <w:p w14:paraId="6BCFD6D2" w14:textId="77777777" w:rsidR="009617F5" w:rsidRPr="009617F5" w:rsidRDefault="009617F5" w:rsidP="009617F5">
            <w:pPr>
              <w:pStyle w:val="Texttabulky"/>
              <w:spacing w:after="0" w:line="240" w:lineRule="atLeast"/>
              <w:jc w:val="right"/>
              <w:rPr>
                <w:rFonts w:cs="Arial"/>
              </w:rPr>
            </w:pPr>
            <w:r w:rsidRPr="009617F5">
              <w:rPr>
                <w:rFonts w:cs="Arial"/>
              </w:rPr>
              <w:t>99,48</w:t>
            </w:r>
          </w:p>
        </w:tc>
        <w:tc>
          <w:tcPr>
            <w:tcW w:w="1023" w:type="dxa"/>
            <w:tcBorders>
              <w:top w:val="single" w:sz="6" w:space="0" w:color="auto"/>
              <w:left w:val="single" w:sz="6" w:space="0" w:color="auto"/>
              <w:bottom w:val="single" w:sz="6" w:space="0" w:color="auto"/>
              <w:right w:val="single" w:sz="6" w:space="0" w:color="auto"/>
            </w:tcBorders>
          </w:tcPr>
          <w:p w14:paraId="1F713153" w14:textId="77777777" w:rsidR="009617F5" w:rsidRPr="009617F5" w:rsidRDefault="009617F5" w:rsidP="009617F5">
            <w:pPr>
              <w:pStyle w:val="Texttabulky"/>
              <w:spacing w:after="0" w:line="240" w:lineRule="atLeast"/>
              <w:jc w:val="right"/>
              <w:rPr>
                <w:rFonts w:cs="Arial"/>
              </w:rPr>
            </w:pPr>
            <w:r w:rsidRPr="009617F5">
              <w:rPr>
                <w:rFonts w:cs="Arial"/>
              </w:rPr>
              <w:t>849,39</w:t>
            </w:r>
          </w:p>
        </w:tc>
        <w:tc>
          <w:tcPr>
            <w:tcW w:w="995" w:type="dxa"/>
            <w:tcBorders>
              <w:top w:val="single" w:sz="6" w:space="0" w:color="auto"/>
              <w:left w:val="single" w:sz="6" w:space="0" w:color="auto"/>
              <w:bottom w:val="single" w:sz="6" w:space="0" w:color="auto"/>
              <w:right w:val="single" w:sz="6" w:space="0" w:color="auto"/>
            </w:tcBorders>
          </w:tcPr>
          <w:p w14:paraId="547DFA85" w14:textId="77777777" w:rsidR="009617F5" w:rsidRPr="009617F5" w:rsidRDefault="009617F5" w:rsidP="009617F5">
            <w:pPr>
              <w:pStyle w:val="Texttabulky"/>
              <w:spacing w:after="0" w:line="240" w:lineRule="atLeast"/>
              <w:jc w:val="right"/>
              <w:rPr>
                <w:rFonts w:cs="Arial"/>
              </w:rPr>
            </w:pPr>
            <w:r w:rsidRPr="009617F5">
              <w:rPr>
                <w:rFonts w:cs="Arial"/>
              </w:rPr>
              <w:t>89,99</w:t>
            </w:r>
          </w:p>
        </w:tc>
        <w:tc>
          <w:tcPr>
            <w:tcW w:w="845" w:type="dxa"/>
            <w:tcBorders>
              <w:top w:val="single" w:sz="6" w:space="0" w:color="auto"/>
              <w:left w:val="single" w:sz="6" w:space="0" w:color="auto"/>
              <w:bottom w:val="single" w:sz="6" w:space="0" w:color="auto"/>
              <w:right w:val="single" w:sz="6" w:space="0" w:color="auto"/>
            </w:tcBorders>
          </w:tcPr>
          <w:p w14:paraId="00009118" w14:textId="77777777" w:rsidR="009617F5" w:rsidRPr="009617F5" w:rsidRDefault="009617F5" w:rsidP="009617F5">
            <w:pPr>
              <w:pStyle w:val="Texttabulky"/>
              <w:spacing w:after="0" w:line="240" w:lineRule="atLeast"/>
              <w:jc w:val="right"/>
              <w:rPr>
                <w:rFonts w:cs="Arial"/>
              </w:rPr>
            </w:pPr>
            <w:r w:rsidRPr="009617F5">
              <w:rPr>
                <w:rFonts w:cs="Arial"/>
              </w:rPr>
              <w:t>10,01</w:t>
            </w:r>
          </w:p>
        </w:tc>
        <w:tc>
          <w:tcPr>
            <w:tcW w:w="979" w:type="dxa"/>
            <w:tcBorders>
              <w:top w:val="single" w:sz="6" w:space="0" w:color="auto"/>
              <w:left w:val="single" w:sz="6" w:space="0" w:color="auto"/>
              <w:bottom w:val="single" w:sz="6" w:space="0" w:color="auto"/>
              <w:right w:val="single" w:sz="6" w:space="0" w:color="auto"/>
            </w:tcBorders>
          </w:tcPr>
          <w:p w14:paraId="30CAF1DA" w14:textId="77777777" w:rsidR="009617F5" w:rsidRPr="009617F5" w:rsidRDefault="009617F5" w:rsidP="009617F5">
            <w:pPr>
              <w:pStyle w:val="Texttabulky"/>
              <w:spacing w:after="0" w:line="240" w:lineRule="atLeast"/>
              <w:jc w:val="right"/>
              <w:rPr>
                <w:rFonts w:cs="Arial"/>
              </w:rPr>
            </w:pPr>
            <w:r w:rsidRPr="009617F5">
              <w:rPr>
                <w:rFonts w:cs="Arial"/>
              </w:rPr>
              <w:t>66,4</w:t>
            </w:r>
          </w:p>
        </w:tc>
      </w:tr>
      <w:tr w:rsidR="009617F5" w:rsidRPr="009617F5" w14:paraId="760A75A7"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2E85A3A3" w14:textId="77777777" w:rsidR="009617F5" w:rsidRPr="009617F5" w:rsidRDefault="009617F5" w:rsidP="009617F5">
            <w:pPr>
              <w:pStyle w:val="Texttabulky"/>
              <w:spacing w:after="0" w:line="240" w:lineRule="atLeast"/>
              <w:rPr>
                <w:rFonts w:cs="Arial"/>
              </w:rPr>
            </w:pPr>
            <w:r w:rsidRPr="009617F5">
              <w:rPr>
                <w:rFonts w:cs="Arial"/>
              </w:rPr>
              <w:t>Velká Veleň</w:t>
            </w:r>
          </w:p>
        </w:tc>
        <w:tc>
          <w:tcPr>
            <w:tcW w:w="887" w:type="dxa"/>
            <w:tcBorders>
              <w:top w:val="single" w:sz="6" w:space="0" w:color="auto"/>
              <w:left w:val="single" w:sz="6" w:space="0" w:color="auto"/>
              <w:bottom w:val="single" w:sz="6" w:space="0" w:color="auto"/>
              <w:right w:val="single" w:sz="6" w:space="0" w:color="auto"/>
            </w:tcBorders>
          </w:tcPr>
          <w:p w14:paraId="57E35DFC" w14:textId="77777777" w:rsidR="009617F5" w:rsidRPr="009617F5" w:rsidRDefault="009617F5" w:rsidP="009617F5">
            <w:pPr>
              <w:pStyle w:val="Texttabulky"/>
              <w:spacing w:after="0" w:line="240" w:lineRule="atLeast"/>
              <w:jc w:val="right"/>
              <w:rPr>
                <w:rFonts w:cs="Arial"/>
              </w:rPr>
            </w:pPr>
            <w:r w:rsidRPr="009617F5">
              <w:rPr>
                <w:rFonts w:cs="Arial"/>
              </w:rPr>
              <w:t>396,61</w:t>
            </w:r>
          </w:p>
        </w:tc>
        <w:tc>
          <w:tcPr>
            <w:tcW w:w="900" w:type="dxa"/>
            <w:tcBorders>
              <w:top w:val="single" w:sz="6" w:space="0" w:color="auto"/>
              <w:left w:val="single" w:sz="6" w:space="0" w:color="auto"/>
              <w:bottom w:val="single" w:sz="6" w:space="0" w:color="auto"/>
              <w:right w:val="single" w:sz="6" w:space="0" w:color="auto"/>
            </w:tcBorders>
          </w:tcPr>
          <w:p w14:paraId="4899681C" w14:textId="77777777" w:rsidR="009617F5" w:rsidRPr="009617F5" w:rsidRDefault="009617F5" w:rsidP="009617F5">
            <w:pPr>
              <w:pStyle w:val="Texttabulky"/>
              <w:spacing w:after="0" w:line="240" w:lineRule="atLeast"/>
              <w:jc w:val="right"/>
              <w:rPr>
                <w:rFonts w:cs="Arial"/>
              </w:rPr>
            </w:pPr>
            <w:r w:rsidRPr="009617F5">
              <w:rPr>
                <w:rFonts w:cs="Arial"/>
              </w:rPr>
              <w:t>283,58</w:t>
            </w:r>
          </w:p>
        </w:tc>
        <w:tc>
          <w:tcPr>
            <w:tcW w:w="1023" w:type="dxa"/>
            <w:tcBorders>
              <w:top w:val="single" w:sz="6" w:space="0" w:color="auto"/>
              <w:left w:val="single" w:sz="6" w:space="0" w:color="auto"/>
              <w:bottom w:val="single" w:sz="6" w:space="0" w:color="auto"/>
              <w:right w:val="single" w:sz="6" w:space="0" w:color="auto"/>
            </w:tcBorders>
          </w:tcPr>
          <w:p w14:paraId="403BD2AA" w14:textId="77777777" w:rsidR="009617F5" w:rsidRPr="009617F5" w:rsidRDefault="009617F5" w:rsidP="009617F5">
            <w:pPr>
              <w:pStyle w:val="Texttabulky"/>
              <w:spacing w:after="0" w:line="240" w:lineRule="atLeast"/>
              <w:jc w:val="right"/>
              <w:rPr>
                <w:rFonts w:cs="Arial"/>
              </w:rPr>
            </w:pPr>
            <w:r w:rsidRPr="009617F5">
              <w:rPr>
                <w:rFonts w:cs="Arial"/>
              </w:rPr>
              <w:t>58,89</w:t>
            </w:r>
          </w:p>
        </w:tc>
        <w:tc>
          <w:tcPr>
            <w:tcW w:w="995" w:type="dxa"/>
            <w:tcBorders>
              <w:top w:val="single" w:sz="6" w:space="0" w:color="auto"/>
              <w:left w:val="single" w:sz="6" w:space="0" w:color="auto"/>
              <w:bottom w:val="single" w:sz="6" w:space="0" w:color="auto"/>
              <w:right w:val="single" w:sz="6" w:space="0" w:color="auto"/>
            </w:tcBorders>
          </w:tcPr>
          <w:p w14:paraId="520D8B17" w14:textId="77777777" w:rsidR="009617F5" w:rsidRPr="009617F5" w:rsidRDefault="009617F5" w:rsidP="009617F5">
            <w:pPr>
              <w:pStyle w:val="Texttabulky"/>
              <w:spacing w:after="0" w:line="240" w:lineRule="atLeast"/>
              <w:jc w:val="right"/>
              <w:rPr>
                <w:rFonts w:cs="Arial"/>
              </w:rPr>
            </w:pPr>
            <w:r w:rsidRPr="009617F5">
              <w:rPr>
                <w:rFonts w:cs="Arial"/>
              </w:rPr>
              <w:t>1</w:t>
            </w:r>
          </w:p>
        </w:tc>
        <w:tc>
          <w:tcPr>
            <w:tcW w:w="845" w:type="dxa"/>
            <w:tcBorders>
              <w:top w:val="single" w:sz="6" w:space="0" w:color="auto"/>
              <w:left w:val="single" w:sz="6" w:space="0" w:color="auto"/>
              <w:bottom w:val="single" w:sz="6" w:space="0" w:color="auto"/>
              <w:right w:val="single" w:sz="6" w:space="0" w:color="auto"/>
            </w:tcBorders>
          </w:tcPr>
          <w:p w14:paraId="6C9DC832" w14:textId="77777777" w:rsidR="009617F5" w:rsidRPr="009617F5" w:rsidRDefault="009617F5" w:rsidP="009617F5">
            <w:pPr>
              <w:pStyle w:val="Texttabulky"/>
              <w:spacing w:after="0" w:line="240" w:lineRule="atLeast"/>
              <w:jc w:val="right"/>
              <w:rPr>
                <w:rFonts w:cs="Arial"/>
              </w:rPr>
            </w:pPr>
            <w:r w:rsidRPr="009617F5">
              <w:rPr>
                <w:rFonts w:cs="Arial"/>
              </w:rPr>
              <w:t>4,12</w:t>
            </w:r>
          </w:p>
        </w:tc>
        <w:tc>
          <w:tcPr>
            <w:tcW w:w="979" w:type="dxa"/>
            <w:tcBorders>
              <w:top w:val="single" w:sz="6" w:space="0" w:color="auto"/>
              <w:left w:val="single" w:sz="6" w:space="0" w:color="auto"/>
              <w:bottom w:val="single" w:sz="6" w:space="0" w:color="auto"/>
              <w:right w:val="single" w:sz="6" w:space="0" w:color="auto"/>
            </w:tcBorders>
          </w:tcPr>
          <w:p w14:paraId="7C161401" w14:textId="77777777" w:rsidR="009617F5" w:rsidRPr="009617F5" w:rsidRDefault="009617F5" w:rsidP="009617F5">
            <w:pPr>
              <w:pStyle w:val="Texttabulky"/>
              <w:spacing w:after="0" w:line="240" w:lineRule="atLeast"/>
              <w:jc w:val="right"/>
              <w:rPr>
                <w:rFonts w:cs="Arial"/>
              </w:rPr>
            </w:pPr>
            <w:r w:rsidRPr="009617F5">
              <w:rPr>
                <w:rFonts w:cs="Arial"/>
              </w:rPr>
              <w:t>49,02</w:t>
            </w:r>
          </w:p>
        </w:tc>
      </w:tr>
      <w:tr w:rsidR="009617F5" w:rsidRPr="009617F5" w14:paraId="6BC748A4"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0A507B49" w14:textId="77777777" w:rsidR="009617F5" w:rsidRPr="009617F5" w:rsidRDefault="009617F5" w:rsidP="009617F5">
            <w:pPr>
              <w:pStyle w:val="Texttabulky"/>
              <w:spacing w:after="0" w:line="240" w:lineRule="atLeast"/>
              <w:rPr>
                <w:rFonts w:cs="Arial"/>
              </w:rPr>
            </w:pPr>
            <w:r w:rsidRPr="009617F5">
              <w:rPr>
                <w:rFonts w:cs="Arial"/>
              </w:rPr>
              <w:t>Vilsnice</w:t>
            </w:r>
          </w:p>
        </w:tc>
        <w:tc>
          <w:tcPr>
            <w:tcW w:w="887" w:type="dxa"/>
            <w:tcBorders>
              <w:top w:val="single" w:sz="6" w:space="0" w:color="auto"/>
              <w:left w:val="single" w:sz="6" w:space="0" w:color="auto"/>
              <w:bottom w:val="single" w:sz="6" w:space="0" w:color="auto"/>
              <w:right w:val="single" w:sz="6" w:space="0" w:color="auto"/>
            </w:tcBorders>
          </w:tcPr>
          <w:p w14:paraId="4C965D7C" w14:textId="77777777" w:rsidR="009617F5" w:rsidRPr="009617F5" w:rsidRDefault="009617F5" w:rsidP="009617F5">
            <w:pPr>
              <w:pStyle w:val="Texttabulky"/>
              <w:spacing w:after="0" w:line="240" w:lineRule="atLeast"/>
              <w:jc w:val="right"/>
              <w:rPr>
                <w:rFonts w:cs="Arial"/>
              </w:rPr>
            </w:pPr>
            <w:r w:rsidRPr="009617F5">
              <w:rPr>
                <w:rFonts w:cs="Arial"/>
              </w:rPr>
              <w:t>333,93</w:t>
            </w:r>
          </w:p>
        </w:tc>
        <w:tc>
          <w:tcPr>
            <w:tcW w:w="900" w:type="dxa"/>
            <w:tcBorders>
              <w:top w:val="single" w:sz="6" w:space="0" w:color="auto"/>
              <w:left w:val="single" w:sz="6" w:space="0" w:color="auto"/>
              <w:bottom w:val="single" w:sz="6" w:space="0" w:color="auto"/>
              <w:right w:val="single" w:sz="6" w:space="0" w:color="auto"/>
            </w:tcBorders>
          </w:tcPr>
          <w:p w14:paraId="3F8D4034" w14:textId="77777777" w:rsidR="009617F5" w:rsidRPr="009617F5" w:rsidRDefault="009617F5" w:rsidP="009617F5">
            <w:pPr>
              <w:pStyle w:val="Texttabulky"/>
              <w:spacing w:after="0" w:line="240" w:lineRule="atLeast"/>
              <w:jc w:val="right"/>
              <w:rPr>
                <w:rFonts w:cs="Arial"/>
              </w:rPr>
            </w:pPr>
            <w:r w:rsidRPr="009617F5">
              <w:rPr>
                <w:rFonts w:cs="Arial"/>
              </w:rPr>
              <w:t>190,31</w:t>
            </w:r>
          </w:p>
        </w:tc>
        <w:tc>
          <w:tcPr>
            <w:tcW w:w="1023" w:type="dxa"/>
            <w:tcBorders>
              <w:top w:val="single" w:sz="6" w:space="0" w:color="auto"/>
              <w:left w:val="single" w:sz="6" w:space="0" w:color="auto"/>
              <w:bottom w:val="single" w:sz="6" w:space="0" w:color="auto"/>
              <w:right w:val="single" w:sz="6" w:space="0" w:color="auto"/>
            </w:tcBorders>
          </w:tcPr>
          <w:p w14:paraId="28E4E2C9" w14:textId="77777777" w:rsidR="009617F5" w:rsidRPr="009617F5" w:rsidRDefault="009617F5" w:rsidP="009617F5">
            <w:pPr>
              <w:pStyle w:val="Texttabulky"/>
              <w:spacing w:after="0" w:line="240" w:lineRule="atLeast"/>
              <w:jc w:val="right"/>
              <w:rPr>
                <w:rFonts w:cs="Arial"/>
              </w:rPr>
            </w:pPr>
            <w:r w:rsidRPr="009617F5">
              <w:rPr>
                <w:rFonts w:cs="Arial"/>
              </w:rPr>
              <w:t>93,15</w:t>
            </w:r>
          </w:p>
        </w:tc>
        <w:tc>
          <w:tcPr>
            <w:tcW w:w="995" w:type="dxa"/>
            <w:tcBorders>
              <w:top w:val="single" w:sz="6" w:space="0" w:color="auto"/>
              <w:left w:val="single" w:sz="6" w:space="0" w:color="auto"/>
              <w:bottom w:val="single" w:sz="6" w:space="0" w:color="auto"/>
              <w:right w:val="single" w:sz="6" w:space="0" w:color="auto"/>
            </w:tcBorders>
          </w:tcPr>
          <w:p w14:paraId="6FDCEEF7" w14:textId="77777777" w:rsidR="009617F5" w:rsidRPr="009617F5" w:rsidRDefault="009617F5" w:rsidP="009617F5">
            <w:pPr>
              <w:pStyle w:val="Texttabulky"/>
              <w:spacing w:after="0" w:line="240" w:lineRule="atLeast"/>
              <w:jc w:val="right"/>
              <w:rPr>
                <w:rFonts w:cs="Arial"/>
              </w:rPr>
            </w:pPr>
            <w:r w:rsidRPr="009617F5">
              <w:rPr>
                <w:rFonts w:cs="Arial"/>
              </w:rPr>
              <w:t>6,44</w:t>
            </w:r>
          </w:p>
        </w:tc>
        <w:tc>
          <w:tcPr>
            <w:tcW w:w="845" w:type="dxa"/>
            <w:tcBorders>
              <w:top w:val="single" w:sz="6" w:space="0" w:color="auto"/>
              <w:left w:val="single" w:sz="6" w:space="0" w:color="auto"/>
              <w:bottom w:val="single" w:sz="6" w:space="0" w:color="auto"/>
              <w:right w:val="single" w:sz="6" w:space="0" w:color="auto"/>
            </w:tcBorders>
          </w:tcPr>
          <w:p w14:paraId="09C8718B" w14:textId="77777777" w:rsidR="009617F5" w:rsidRPr="009617F5" w:rsidRDefault="009617F5" w:rsidP="009617F5">
            <w:pPr>
              <w:pStyle w:val="Texttabulky"/>
              <w:spacing w:after="0" w:line="240" w:lineRule="atLeast"/>
              <w:jc w:val="right"/>
              <w:rPr>
                <w:rFonts w:cs="Arial"/>
              </w:rPr>
            </w:pPr>
            <w:r w:rsidRPr="009617F5">
              <w:rPr>
                <w:rFonts w:cs="Arial"/>
              </w:rPr>
              <w:t>7,03</w:t>
            </w:r>
          </w:p>
        </w:tc>
        <w:tc>
          <w:tcPr>
            <w:tcW w:w="979" w:type="dxa"/>
            <w:tcBorders>
              <w:top w:val="single" w:sz="6" w:space="0" w:color="auto"/>
              <w:left w:val="single" w:sz="6" w:space="0" w:color="auto"/>
              <w:bottom w:val="single" w:sz="6" w:space="0" w:color="auto"/>
              <w:right w:val="single" w:sz="6" w:space="0" w:color="auto"/>
            </w:tcBorders>
          </w:tcPr>
          <w:p w14:paraId="69B8A60E" w14:textId="77777777" w:rsidR="009617F5" w:rsidRPr="009617F5" w:rsidRDefault="009617F5" w:rsidP="009617F5">
            <w:pPr>
              <w:pStyle w:val="Texttabulky"/>
              <w:spacing w:after="0" w:line="240" w:lineRule="atLeast"/>
              <w:jc w:val="right"/>
              <w:rPr>
                <w:rFonts w:cs="Arial"/>
              </w:rPr>
            </w:pPr>
            <w:r w:rsidRPr="009617F5">
              <w:rPr>
                <w:rFonts w:cs="Arial"/>
              </w:rPr>
              <w:t>37</w:t>
            </w:r>
          </w:p>
        </w:tc>
      </w:tr>
      <w:tr w:rsidR="009617F5" w:rsidRPr="009617F5" w14:paraId="56FD33E6" w14:textId="77777777" w:rsidTr="00286F7D">
        <w:trPr>
          <w:jc w:val="center"/>
        </w:trPr>
        <w:tc>
          <w:tcPr>
            <w:tcW w:w="1950" w:type="dxa"/>
            <w:tcBorders>
              <w:top w:val="single" w:sz="6" w:space="0" w:color="auto"/>
              <w:left w:val="single" w:sz="6" w:space="0" w:color="auto"/>
              <w:bottom w:val="single" w:sz="6" w:space="0" w:color="auto"/>
              <w:right w:val="single" w:sz="6" w:space="0" w:color="auto"/>
            </w:tcBorders>
          </w:tcPr>
          <w:p w14:paraId="573AA873" w14:textId="77777777" w:rsidR="009617F5" w:rsidRPr="009617F5" w:rsidRDefault="009617F5" w:rsidP="009617F5">
            <w:pPr>
              <w:pStyle w:val="Texttabulky"/>
              <w:spacing w:after="0" w:line="240" w:lineRule="atLeast"/>
              <w:rPr>
                <w:rFonts w:cs="Arial"/>
              </w:rPr>
            </w:pPr>
            <w:r w:rsidRPr="009617F5">
              <w:rPr>
                <w:rFonts w:cs="Arial"/>
                <w:b/>
                <w:bCs/>
              </w:rPr>
              <w:t>Město celkem</w:t>
            </w:r>
          </w:p>
        </w:tc>
        <w:tc>
          <w:tcPr>
            <w:tcW w:w="887" w:type="dxa"/>
            <w:tcBorders>
              <w:top w:val="single" w:sz="6" w:space="0" w:color="auto"/>
              <w:left w:val="single" w:sz="6" w:space="0" w:color="auto"/>
              <w:bottom w:val="single" w:sz="6" w:space="0" w:color="auto"/>
              <w:right w:val="single" w:sz="6" w:space="0" w:color="auto"/>
            </w:tcBorders>
          </w:tcPr>
          <w:p w14:paraId="005D1AC6" w14:textId="77777777" w:rsidR="009617F5" w:rsidRPr="009617F5" w:rsidRDefault="009617F5" w:rsidP="009617F5">
            <w:pPr>
              <w:pStyle w:val="Texttabulky"/>
              <w:spacing w:after="0" w:line="240" w:lineRule="atLeast"/>
              <w:jc w:val="right"/>
              <w:rPr>
                <w:rFonts w:cs="Arial"/>
              </w:rPr>
            </w:pPr>
            <w:r w:rsidRPr="009617F5">
              <w:rPr>
                <w:rFonts w:cs="Arial"/>
                <w:b/>
                <w:bCs/>
              </w:rPr>
              <w:t>11 803,47</w:t>
            </w:r>
          </w:p>
        </w:tc>
        <w:tc>
          <w:tcPr>
            <w:tcW w:w="900" w:type="dxa"/>
            <w:tcBorders>
              <w:top w:val="single" w:sz="6" w:space="0" w:color="auto"/>
              <w:left w:val="single" w:sz="6" w:space="0" w:color="auto"/>
              <w:bottom w:val="single" w:sz="6" w:space="0" w:color="auto"/>
              <w:right w:val="single" w:sz="6" w:space="0" w:color="auto"/>
            </w:tcBorders>
          </w:tcPr>
          <w:p w14:paraId="0ED8CCFD" w14:textId="77777777" w:rsidR="009617F5" w:rsidRPr="009617F5" w:rsidRDefault="009617F5" w:rsidP="009617F5">
            <w:pPr>
              <w:pStyle w:val="Texttabulky"/>
              <w:spacing w:after="0" w:line="240" w:lineRule="atLeast"/>
              <w:jc w:val="right"/>
              <w:rPr>
                <w:rFonts w:cs="Arial"/>
              </w:rPr>
            </w:pPr>
            <w:r w:rsidRPr="009617F5">
              <w:rPr>
                <w:rFonts w:cs="Arial"/>
                <w:b/>
                <w:bCs/>
              </w:rPr>
              <w:t>2 897,07</w:t>
            </w:r>
          </w:p>
        </w:tc>
        <w:tc>
          <w:tcPr>
            <w:tcW w:w="1023" w:type="dxa"/>
            <w:tcBorders>
              <w:top w:val="single" w:sz="6" w:space="0" w:color="auto"/>
              <w:left w:val="single" w:sz="6" w:space="0" w:color="auto"/>
              <w:bottom w:val="single" w:sz="6" w:space="0" w:color="auto"/>
              <w:right w:val="single" w:sz="6" w:space="0" w:color="auto"/>
            </w:tcBorders>
          </w:tcPr>
          <w:p w14:paraId="2E3CBC16" w14:textId="77777777" w:rsidR="009617F5" w:rsidRPr="009617F5" w:rsidRDefault="009617F5" w:rsidP="009617F5">
            <w:pPr>
              <w:pStyle w:val="Texttabulky"/>
              <w:spacing w:after="0" w:line="240" w:lineRule="atLeast"/>
              <w:jc w:val="right"/>
              <w:rPr>
                <w:rFonts w:cs="Arial"/>
              </w:rPr>
            </w:pPr>
            <w:r w:rsidRPr="009617F5">
              <w:rPr>
                <w:rFonts w:cs="Arial"/>
                <w:b/>
                <w:bCs/>
              </w:rPr>
              <w:t>7 079,14</w:t>
            </w:r>
          </w:p>
        </w:tc>
        <w:tc>
          <w:tcPr>
            <w:tcW w:w="995" w:type="dxa"/>
            <w:tcBorders>
              <w:top w:val="single" w:sz="6" w:space="0" w:color="auto"/>
              <w:left w:val="single" w:sz="6" w:space="0" w:color="auto"/>
              <w:bottom w:val="single" w:sz="6" w:space="0" w:color="auto"/>
              <w:right w:val="single" w:sz="6" w:space="0" w:color="auto"/>
            </w:tcBorders>
          </w:tcPr>
          <w:p w14:paraId="6B086659" w14:textId="77777777" w:rsidR="009617F5" w:rsidRPr="009617F5" w:rsidRDefault="009617F5" w:rsidP="009617F5">
            <w:pPr>
              <w:pStyle w:val="Texttabulky"/>
              <w:spacing w:after="0" w:line="240" w:lineRule="atLeast"/>
              <w:jc w:val="right"/>
              <w:rPr>
                <w:rFonts w:cs="Arial"/>
              </w:rPr>
            </w:pPr>
            <w:r w:rsidRPr="009617F5">
              <w:rPr>
                <w:rFonts w:cs="Arial"/>
                <w:b/>
                <w:bCs/>
              </w:rPr>
              <w:t>294,95</w:t>
            </w:r>
          </w:p>
        </w:tc>
        <w:tc>
          <w:tcPr>
            <w:tcW w:w="845" w:type="dxa"/>
            <w:tcBorders>
              <w:top w:val="single" w:sz="6" w:space="0" w:color="auto"/>
              <w:left w:val="single" w:sz="6" w:space="0" w:color="auto"/>
              <w:bottom w:val="single" w:sz="6" w:space="0" w:color="auto"/>
              <w:right w:val="single" w:sz="6" w:space="0" w:color="auto"/>
            </w:tcBorders>
          </w:tcPr>
          <w:p w14:paraId="3C4B45E4" w14:textId="77777777" w:rsidR="009617F5" w:rsidRPr="009617F5" w:rsidRDefault="009617F5" w:rsidP="009617F5">
            <w:pPr>
              <w:pStyle w:val="Texttabulky"/>
              <w:spacing w:after="0" w:line="240" w:lineRule="atLeast"/>
              <w:jc w:val="right"/>
              <w:rPr>
                <w:rFonts w:cs="Arial"/>
              </w:rPr>
            </w:pPr>
            <w:r w:rsidRPr="009617F5">
              <w:rPr>
                <w:rFonts w:cs="Arial"/>
                <w:b/>
                <w:bCs/>
              </w:rPr>
              <w:t>347,93</w:t>
            </w:r>
          </w:p>
        </w:tc>
        <w:tc>
          <w:tcPr>
            <w:tcW w:w="979" w:type="dxa"/>
            <w:tcBorders>
              <w:top w:val="single" w:sz="6" w:space="0" w:color="auto"/>
              <w:left w:val="single" w:sz="6" w:space="0" w:color="auto"/>
              <w:bottom w:val="single" w:sz="6" w:space="0" w:color="auto"/>
              <w:right w:val="single" w:sz="6" w:space="0" w:color="auto"/>
            </w:tcBorders>
          </w:tcPr>
          <w:p w14:paraId="2EC5027D" w14:textId="77777777" w:rsidR="009617F5" w:rsidRPr="009617F5" w:rsidRDefault="009617F5" w:rsidP="009617F5">
            <w:pPr>
              <w:pStyle w:val="Texttabulky"/>
              <w:spacing w:after="0" w:line="240" w:lineRule="atLeast"/>
              <w:jc w:val="right"/>
              <w:rPr>
                <w:rFonts w:cs="Arial"/>
              </w:rPr>
            </w:pPr>
            <w:r w:rsidRPr="009617F5">
              <w:rPr>
                <w:rFonts w:cs="Arial"/>
                <w:b/>
                <w:bCs/>
              </w:rPr>
              <w:t>1 184,41</w:t>
            </w:r>
          </w:p>
        </w:tc>
      </w:tr>
    </w:tbl>
    <w:p w14:paraId="4ABCEB20" w14:textId="77777777" w:rsidR="009617F5" w:rsidRPr="009617F5" w:rsidRDefault="009617F5" w:rsidP="009617F5">
      <w:pPr>
        <w:autoSpaceDE w:val="0"/>
        <w:autoSpaceDN w:val="0"/>
        <w:adjustRightInd w:val="0"/>
        <w:rPr>
          <w:rFonts w:ascii="Arial" w:hAnsi="Arial" w:cs="Arial"/>
          <w:sz w:val="20"/>
        </w:rPr>
      </w:pPr>
    </w:p>
    <w:p w14:paraId="4C950C08" w14:textId="77777777" w:rsidR="009617F5" w:rsidRPr="009617F5" w:rsidRDefault="009617F5" w:rsidP="009617F5">
      <w:pPr>
        <w:pStyle w:val="Zkladntext"/>
        <w:spacing w:before="120" w:line="288" w:lineRule="auto"/>
        <w:rPr>
          <w:rFonts w:ascii="Arial" w:hAnsi="Arial" w:cs="Arial"/>
        </w:rPr>
      </w:pPr>
      <w:r w:rsidRPr="009617F5">
        <w:rPr>
          <w:rFonts w:ascii="Arial" w:hAnsi="Arial" w:cs="Arial"/>
          <w:b/>
          <w:bCs/>
        </w:rPr>
        <w:t>Klimatický región</w:t>
      </w:r>
    </w:p>
    <w:p w14:paraId="0CFB6DD8" w14:textId="77777777" w:rsidR="009617F5" w:rsidRPr="009617F5" w:rsidRDefault="009617F5" w:rsidP="009617F5">
      <w:pPr>
        <w:pStyle w:val="Zkladntext"/>
        <w:spacing w:before="120" w:line="288" w:lineRule="auto"/>
        <w:ind w:firstLine="709"/>
        <w:jc w:val="both"/>
        <w:rPr>
          <w:rFonts w:ascii="Arial" w:hAnsi="Arial" w:cs="Arial"/>
          <w:sz w:val="22"/>
          <w:szCs w:val="22"/>
        </w:rPr>
      </w:pPr>
      <w:r w:rsidRPr="009617F5">
        <w:rPr>
          <w:rFonts w:ascii="Arial" w:hAnsi="Arial" w:cs="Arial"/>
          <w:sz w:val="22"/>
          <w:szCs w:val="22"/>
        </w:rPr>
        <w:t xml:space="preserve">je v nižších polohách T2 teplý, mírně suchý, se sumou teplot nad 10°C 2 600-2 800. Průměrná roční teplota se pohybuje v rozmezí 8-9°C, průměrný roční úhrn srážek je 500-600 mm, pravděpodobnost suchých vegetačních období je 20-30, vláhová jistota 2-4. Ve vyšších polohách je klimatický región MT2, mírně teplý, mírně vlhký se sumou teplot nad 10°C </w:t>
      </w:r>
      <w:r w:rsidRPr="009617F5">
        <w:rPr>
          <w:rFonts w:ascii="Arial" w:hAnsi="Arial" w:cs="Arial"/>
          <w:sz w:val="22"/>
          <w:szCs w:val="22"/>
        </w:rPr>
        <w:br/>
      </w:r>
      <w:r w:rsidRPr="009617F5">
        <w:rPr>
          <w:rFonts w:ascii="Arial" w:hAnsi="Arial" w:cs="Arial"/>
          <w:sz w:val="22"/>
          <w:szCs w:val="22"/>
        </w:rPr>
        <w:lastRenderedPageBreak/>
        <w:t>2 200-2 500. Průměrná roční teplota je 7-8°C, průměrný roční úhrn srážek 550-650, místy až 700 mm. Pravděpodobnost suchých vegetačních období je 15-30, vláhová jistota 4-10.</w:t>
      </w:r>
    </w:p>
    <w:p w14:paraId="24B1B044" w14:textId="77777777" w:rsidR="009617F5" w:rsidRPr="009617F5" w:rsidRDefault="009617F5" w:rsidP="009617F5">
      <w:pPr>
        <w:pStyle w:val="Zkladntext"/>
        <w:spacing w:before="120" w:line="288" w:lineRule="auto"/>
        <w:rPr>
          <w:rFonts w:ascii="Arial" w:hAnsi="Arial" w:cs="Arial"/>
          <w:b/>
          <w:bCs/>
        </w:rPr>
      </w:pPr>
      <w:r w:rsidRPr="009617F5">
        <w:rPr>
          <w:rFonts w:ascii="Arial" w:hAnsi="Arial" w:cs="Arial"/>
          <w:b/>
          <w:bCs/>
        </w:rPr>
        <w:t>Celková výměra zemědělské půdy</w:t>
      </w:r>
    </w:p>
    <w:p w14:paraId="4FC3EE67" w14:textId="77777777" w:rsidR="009617F5" w:rsidRPr="009617F5" w:rsidRDefault="009617F5" w:rsidP="009617F5">
      <w:pPr>
        <w:pStyle w:val="Zkladntext"/>
        <w:spacing w:before="120" w:line="288" w:lineRule="auto"/>
        <w:ind w:firstLine="709"/>
        <w:jc w:val="both"/>
        <w:rPr>
          <w:rFonts w:ascii="Arial" w:hAnsi="Arial" w:cs="Arial"/>
          <w:sz w:val="22"/>
          <w:szCs w:val="22"/>
        </w:rPr>
      </w:pPr>
      <w:r w:rsidRPr="009617F5">
        <w:rPr>
          <w:rFonts w:ascii="Arial" w:hAnsi="Arial" w:cs="Arial"/>
          <w:sz w:val="22"/>
          <w:szCs w:val="22"/>
        </w:rPr>
        <w:t>je v řešeném území je 2879ha, což je 24,5% z celkové rozlohy řešeného území ÚPN. Z toho je orné půdy 33%, ploch sadů a zahrad 22% a trvalých travních porostů (TTP - louky, pastviny) je 44%. Po útlumu zemědělské výroby je řada pozemků nevyužívána, zvláště ve vyšších polohách leží ladem jak orná půda, tak i louky a pastviny.</w:t>
      </w:r>
    </w:p>
    <w:p w14:paraId="2A9DCD1F" w14:textId="77777777" w:rsidR="009617F5" w:rsidRPr="009617F5" w:rsidRDefault="009617F5" w:rsidP="009617F5">
      <w:pPr>
        <w:pStyle w:val="Zkladntext"/>
        <w:spacing w:before="120" w:line="288" w:lineRule="auto"/>
        <w:ind w:firstLine="709"/>
        <w:jc w:val="both"/>
        <w:rPr>
          <w:rFonts w:ascii="Arial" w:hAnsi="Arial" w:cs="Arial"/>
          <w:sz w:val="22"/>
          <w:szCs w:val="22"/>
        </w:rPr>
      </w:pPr>
    </w:p>
    <w:p w14:paraId="02D2E0BA" w14:textId="77777777" w:rsidR="009617F5" w:rsidRPr="009617F5" w:rsidRDefault="009617F5" w:rsidP="009617F5">
      <w:pPr>
        <w:pStyle w:val="Zkladntext"/>
        <w:spacing w:before="120" w:line="288" w:lineRule="auto"/>
        <w:ind w:firstLine="851"/>
        <w:rPr>
          <w:rFonts w:ascii="Arial" w:hAnsi="Arial" w:cs="Arial"/>
        </w:rPr>
      </w:pPr>
      <w:r w:rsidRPr="009617F5">
        <w:rPr>
          <w:rFonts w:ascii="Arial" w:hAnsi="Arial" w:cs="Arial"/>
          <w:b/>
          <w:bCs/>
          <w:sz w:val="22"/>
          <w:szCs w:val="22"/>
        </w:rPr>
        <w:t>STRUKTURA ZEMĚDĚLSKÉHO PŮDNÍHO FONDU</w:t>
      </w:r>
    </w:p>
    <w:tbl>
      <w:tblPr>
        <w:tblW w:w="0" w:type="auto"/>
        <w:jc w:val="center"/>
        <w:tblLayout w:type="fixed"/>
        <w:tblCellMar>
          <w:left w:w="30" w:type="dxa"/>
          <w:right w:w="30" w:type="dxa"/>
        </w:tblCellMar>
        <w:tblLook w:val="0000" w:firstRow="0" w:lastRow="0" w:firstColumn="0" w:lastColumn="0" w:noHBand="0" w:noVBand="0"/>
      </w:tblPr>
      <w:tblGrid>
        <w:gridCol w:w="1609"/>
        <w:gridCol w:w="1023"/>
        <w:gridCol w:w="662"/>
        <w:gridCol w:w="884"/>
        <w:gridCol w:w="567"/>
        <w:gridCol w:w="709"/>
        <w:gridCol w:w="650"/>
        <w:gridCol w:w="709"/>
        <w:gridCol w:w="892"/>
      </w:tblGrid>
      <w:tr w:rsidR="009617F5" w:rsidRPr="009617F5" w14:paraId="579A0ADE"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6F03F777" w14:textId="77777777" w:rsidR="009617F5" w:rsidRPr="009617F5" w:rsidRDefault="009617F5" w:rsidP="009617F5">
            <w:pPr>
              <w:pStyle w:val="Texttabulky"/>
              <w:spacing w:after="0"/>
              <w:jc w:val="center"/>
              <w:rPr>
                <w:rFonts w:cs="Arial"/>
              </w:rPr>
            </w:pPr>
            <w:r w:rsidRPr="009617F5">
              <w:rPr>
                <w:rFonts w:cs="Arial"/>
                <w:b/>
                <w:bCs/>
              </w:rPr>
              <w:t>katastrální území</w:t>
            </w:r>
          </w:p>
        </w:tc>
        <w:tc>
          <w:tcPr>
            <w:tcW w:w="1023" w:type="dxa"/>
            <w:tcBorders>
              <w:top w:val="single" w:sz="6" w:space="0" w:color="auto"/>
              <w:left w:val="single" w:sz="6" w:space="0" w:color="auto"/>
              <w:bottom w:val="single" w:sz="6" w:space="0" w:color="auto"/>
              <w:right w:val="single" w:sz="6" w:space="0" w:color="auto"/>
            </w:tcBorders>
          </w:tcPr>
          <w:p w14:paraId="06397D68" w14:textId="77777777" w:rsidR="009617F5" w:rsidRPr="009617F5" w:rsidRDefault="009617F5" w:rsidP="009617F5">
            <w:pPr>
              <w:pStyle w:val="Texttabulky"/>
              <w:spacing w:after="0"/>
              <w:jc w:val="center"/>
              <w:rPr>
                <w:rFonts w:cs="Arial"/>
              </w:rPr>
            </w:pPr>
            <w:r w:rsidRPr="009617F5">
              <w:rPr>
                <w:rFonts w:cs="Arial"/>
                <w:b/>
                <w:bCs/>
              </w:rPr>
              <w:t>zemědělská půda celkem</w:t>
            </w:r>
          </w:p>
        </w:tc>
        <w:tc>
          <w:tcPr>
            <w:tcW w:w="662" w:type="dxa"/>
            <w:tcBorders>
              <w:top w:val="single" w:sz="6" w:space="0" w:color="auto"/>
              <w:left w:val="single" w:sz="6" w:space="0" w:color="auto"/>
              <w:bottom w:val="single" w:sz="6" w:space="0" w:color="auto"/>
              <w:right w:val="single" w:sz="6" w:space="0" w:color="auto"/>
            </w:tcBorders>
          </w:tcPr>
          <w:p w14:paraId="668CBBD9" w14:textId="77777777" w:rsidR="009617F5" w:rsidRPr="009617F5" w:rsidRDefault="009617F5" w:rsidP="009617F5">
            <w:pPr>
              <w:pStyle w:val="Texttabulky"/>
              <w:spacing w:after="0"/>
              <w:jc w:val="center"/>
              <w:rPr>
                <w:rFonts w:cs="Arial"/>
              </w:rPr>
            </w:pPr>
            <w:r w:rsidRPr="009617F5">
              <w:rPr>
                <w:rFonts w:cs="Arial"/>
                <w:b/>
                <w:bCs/>
              </w:rPr>
              <w:t>orná půda</w:t>
            </w:r>
          </w:p>
        </w:tc>
        <w:tc>
          <w:tcPr>
            <w:tcW w:w="884" w:type="dxa"/>
            <w:tcBorders>
              <w:top w:val="single" w:sz="6" w:space="0" w:color="auto"/>
              <w:left w:val="single" w:sz="6" w:space="0" w:color="auto"/>
              <w:bottom w:val="single" w:sz="6" w:space="0" w:color="auto"/>
              <w:right w:val="single" w:sz="6" w:space="0" w:color="auto"/>
            </w:tcBorders>
          </w:tcPr>
          <w:p w14:paraId="400F4F18" w14:textId="77777777" w:rsidR="009617F5" w:rsidRPr="009617F5" w:rsidRDefault="009617F5" w:rsidP="009617F5">
            <w:pPr>
              <w:pStyle w:val="Texttabulky"/>
              <w:spacing w:after="0"/>
              <w:jc w:val="center"/>
              <w:rPr>
                <w:rFonts w:cs="Arial"/>
              </w:rPr>
            </w:pPr>
            <w:r w:rsidRPr="009617F5">
              <w:rPr>
                <w:rFonts w:cs="Arial"/>
                <w:b/>
                <w:bCs/>
              </w:rPr>
              <w:t>chmelnice</w:t>
            </w:r>
          </w:p>
        </w:tc>
        <w:tc>
          <w:tcPr>
            <w:tcW w:w="567" w:type="dxa"/>
            <w:tcBorders>
              <w:top w:val="single" w:sz="6" w:space="0" w:color="auto"/>
              <w:left w:val="single" w:sz="6" w:space="0" w:color="auto"/>
              <w:bottom w:val="single" w:sz="6" w:space="0" w:color="auto"/>
              <w:right w:val="single" w:sz="6" w:space="0" w:color="auto"/>
            </w:tcBorders>
          </w:tcPr>
          <w:p w14:paraId="265A2EB3" w14:textId="77777777" w:rsidR="009617F5" w:rsidRPr="009617F5" w:rsidRDefault="009617F5" w:rsidP="009617F5">
            <w:pPr>
              <w:pStyle w:val="Texttabulky"/>
              <w:spacing w:after="0"/>
              <w:jc w:val="center"/>
              <w:rPr>
                <w:rFonts w:cs="Arial"/>
              </w:rPr>
            </w:pPr>
            <w:r w:rsidRPr="009617F5">
              <w:rPr>
                <w:rFonts w:cs="Arial"/>
                <w:b/>
                <w:bCs/>
              </w:rPr>
              <w:t>vinice</w:t>
            </w:r>
          </w:p>
        </w:tc>
        <w:tc>
          <w:tcPr>
            <w:tcW w:w="709" w:type="dxa"/>
            <w:tcBorders>
              <w:top w:val="single" w:sz="6" w:space="0" w:color="auto"/>
              <w:left w:val="single" w:sz="6" w:space="0" w:color="auto"/>
              <w:bottom w:val="single" w:sz="6" w:space="0" w:color="auto"/>
              <w:right w:val="single" w:sz="6" w:space="0" w:color="auto"/>
            </w:tcBorders>
          </w:tcPr>
          <w:p w14:paraId="6CBE60D7" w14:textId="77777777" w:rsidR="009617F5" w:rsidRPr="009617F5" w:rsidRDefault="009617F5" w:rsidP="009617F5">
            <w:pPr>
              <w:pStyle w:val="Texttabulky"/>
              <w:spacing w:after="0"/>
              <w:jc w:val="center"/>
              <w:rPr>
                <w:rFonts w:cs="Arial"/>
              </w:rPr>
            </w:pPr>
            <w:r w:rsidRPr="009617F5">
              <w:rPr>
                <w:rFonts w:cs="Arial"/>
                <w:b/>
                <w:bCs/>
              </w:rPr>
              <w:t>zahrady</w:t>
            </w:r>
          </w:p>
        </w:tc>
        <w:tc>
          <w:tcPr>
            <w:tcW w:w="650" w:type="dxa"/>
            <w:tcBorders>
              <w:top w:val="single" w:sz="6" w:space="0" w:color="auto"/>
              <w:left w:val="single" w:sz="6" w:space="0" w:color="auto"/>
              <w:bottom w:val="single" w:sz="6" w:space="0" w:color="auto"/>
              <w:right w:val="single" w:sz="6" w:space="0" w:color="auto"/>
            </w:tcBorders>
          </w:tcPr>
          <w:p w14:paraId="5E9613CF" w14:textId="77777777" w:rsidR="009617F5" w:rsidRPr="009617F5" w:rsidRDefault="009617F5" w:rsidP="009617F5">
            <w:pPr>
              <w:pStyle w:val="Texttabulky"/>
              <w:spacing w:after="0"/>
              <w:jc w:val="center"/>
              <w:rPr>
                <w:rFonts w:cs="Arial"/>
              </w:rPr>
            </w:pPr>
            <w:r w:rsidRPr="009617F5">
              <w:rPr>
                <w:rFonts w:cs="Arial"/>
                <w:b/>
                <w:bCs/>
              </w:rPr>
              <w:t>sady</w:t>
            </w:r>
          </w:p>
        </w:tc>
        <w:tc>
          <w:tcPr>
            <w:tcW w:w="709" w:type="dxa"/>
            <w:tcBorders>
              <w:top w:val="single" w:sz="6" w:space="0" w:color="auto"/>
              <w:left w:val="single" w:sz="6" w:space="0" w:color="auto"/>
              <w:bottom w:val="single" w:sz="6" w:space="0" w:color="auto"/>
              <w:right w:val="single" w:sz="6" w:space="0" w:color="auto"/>
            </w:tcBorders>
          </w:tcPr>
          <w:p w14:paraId="3E82E835" w14:textId="77777777" w:rsidR="009617F5" w:rsidRPr="009617F5" w:rsidRDefault="009617F5" w:rsidP="009617F5">
            <w:pPr>
              <w:pStyle w:val="Texttabulky"/>
              <w:spacing w:after="0"/>
              <w:jc w:val="center"/>
              <w:rPr>
                <w:rFonts w:cs="Arial"/>
              </w:rPr>
            </w:pPr>
            <w:r w:rsidRPr="009617F5">
              <w:rPr>
                <w:rFonts w:cs="Arial"/>
                <w:b/>
                <w:bCs/>
              </w:rPr>
              <w:t>louky</w:t>
            </w:r>
          </w:p>
        </w:tc>
        <w:tc>
          <w:tcPr>
            <w:tcW w:w="892" w:type="dxa"/>
            <w:tcBorders>
              <w:top w:val="single" w:sz="6" w:space="0" w:color="auto"/>
              <w:left w:val="single" w:sz="6" w:space="0" w:color="auto"/>
              <w:bottom w:val="single" w:sz="6" w:space="0" w:color="auto"/>
              <w:right w:val="single" w:sz="6" w:space="0" w:color="auto"/>
            </w:tcBorders>
          </w:tcPr>
          <w:p w14:paraId="3F130455" w14:textId="77777777" w:rsidR="009617F5" w:rsidRPr="009617F5" w:rsidRDefault="009617F5" w:rsidP="009617F5">
            <w:pPr>
              <w:pStyle w:val="Texttabulky"/>
              <w:spacing w:after="0"/>
              <w:jc w:val="center"/>
              <w:rPr>
                <w:rFonts w:cs="Arial"/>
              </w:rPr>
            </w:pPr>
            <w:r w:rsidRPr="009617F5">
              <w:rPr>
                <w:rFonts w:cs="Arial"/>
                <w:b/>
                <w:bCs/>
              </w:rPr>
              <w:t>pastviny</w:t>
            </w:r>
          </w:p>
        </w:tc>
      </w:tr>
      <w:tr w:rsidR="009617F5" w:rsidRPr="009617F5" w14:paraId="36A7EA30"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4B9FC642" w14:textId="77777777" w:rsidR="009617F5" w:rsidRPr="009617F5" w:rsidRDefault="009617F5" w:rsidP="009617F5">
            <w:pPr>
              <w:pStyle w:val="Texttabulky"/>
              <w:spacing w:after="0"/>
              <w:rPr>
                <w:rFonts w:cs="Arial"/>
              </w:rPr>
            </w:pPr>
            <w:r w:rsidRPr="009617F5">
              <w:rPr>
                <w:rFonts w:cs="Arial"/>
              </w:rPr>
              <w:t>Děčín</w:t>
            </w:r>
          </w:p>
        </w:tc>
        <w:tc>
          <w:tcPr>
            <w:tcW w:w="1023" w:type="dxa"/>
            <w:tcBorders>
              <w:top w:val="single" w:sz="6" w:space="0" w:color="auto"/>
              <w:left w:val="single" w:sz="6" w:space="0" w:color="auto"/>
              <w:bottom w:val="single" w:sz="6" w:space="0" w:color="auto"/>
              <w:right w:val="single" w:sz="6" w:space="0" w:color="auto"/>
            </w:tcBorders>
          </w:tcPr>
          <w:p w14:paraId="4B85A320" w14:textId="77777777" w:rsidR="009617F5" w:rsidRPr="009617F5" w:rsidRDefault="009617F5" w:rsidP="009617F5">
            <w:pPr>
              <w:pStyle w:val="Texttabulky"/>
              <w:spacing w:after="0"/>
              <w:jc w:val="right"/>
              <w:rPr>
                <w:rFonts w:cs="Arial"/>
              </w:rPr>
            </w:pPr>
            <w:r w:rsidRPr="009617F5">
              <w:rPr>
                <w:rFonts w:cs="Arial"/>
              </w:rPr>
              <w:t>85,4</w:t>
            </w:r>
          </w:p>
        </w:tc>
        <w:tc>
          <w:tcPr>
            <w:tcW w:w="662" w:type="dxa"/>
            <w:tcBorders>
              <w:top w:val="single" w:sz="6" w:space="0" w:color="auto"/>
              <w:left w:val="single" w:sz="6" w:space="0" w:color="auto"/>
              <w:bottom w:val="single" w:sz="6" w:space="0" w:color="auto"/>
              <w:right w:val="single" w:sz="6" w:space="0" w:color="auto"/>
            </w:tcBorders>
          </w:tcPr>
          <w:p w14:paraId="60CFD199" w14:textId="77777777" w:rsidR="009617F5" w:rsidRPr="009617F5" w:rsidRDefault="009617F5" w:rsidP="009617F5">
            <w:pPr>
              <w:pStyle w:val="Texttabulky"/>
              <w:spacing w:after="0"/>
              <w:jc w:val="right"/>
              <w:rPr>
                <w:rFonts w:cs="Arial"/>
              </w:rPr>
            </w:pPr>
            <w:r w:rsidRPr="009617F5">
              <w:rPr>
                <w:rFonts w:cs="Arial"/>
              </w:rPr>
              <w:t>12,21</w:t>
            </w:r>
          </w:p>
        </w:tc>
        <w:tc>
          <w:tcPr>
            <w:tcW w:w="884" w:type="dxa"/>
            <w:tcBorders>
              <w:top w:val="single" w:sz="6" w:space="0" w:color="auto"/>
              <w:left w:val="single" w:sz="6" w:space="0" w:color="auto"/>
              <w:bottom w:val="single" w:sz="6" w:space="0" w:color="auto"/>
              <w:right w:val="single" w:sz="6" w:space="0" w:color="auto"/>
            </w:tcBorders>
          </w:tcPr>
          <w:p w14:paraId="1FA8C5A8"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28B3872A"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0A551487" w14:textId="77777777" w:rsidR="009617F5" w:rsidRPr="009617F5" w:rsidRDefault="009617F5" w:rsidP="009617F5">
            <w:pPr>
              <w:pStyle w:val="Texttabulky"/>
              <w:spacing w:after="0"/>
              <w:jc w:val="right"/>
              <w:rPr>
                <w:rFonts w:cs="Arial"/>
              </w:rPr>
            </w:pPr>
            <w:r w:rsidRPr="009617F5">
              <w:rPr>
                <w:rFonts w:cs="Arial"/>
              </w:rPr>
              <w:t>49,2</w:t>
            </w:r>
          </w:p>
        </w:tc>
        <w:tc>
          <w:tcPr>
            <w:tcW w:w="650" w:type="dxa"/>
            <w:tcBorders>
              <w:top w:val="single" w:sz="6" w:space="0" w:color="auto"/>
              <w:left w:val="single" w:sz="6" w:space="0" w:color="auto"/>
              <w:bottom w:val="single" w:sz="6" w:space="0" w:color="auto"/>
              <w:right w:val="single" w:sz="6" w:space="0" w:color="auto"/>
            </w:tcBorders>
          </w:tcPr>
          <w:p w14:paraId="7D013058" w14:textId="77777777" w:rsidR="009617F5" w:rsidRPr="009617F5" w:rsidRDefault="009617F5" w:rsidP="009617F5">
            <w:pPr>
              <w:pStyle w:val="Texttabulky"/>
              <w:spacing w:after="0"/>
              <w:jc w:val="right"/>
              <w:rPr>
                <w:rFonts w:cs="Arial"/>
              </w:rPr>
            </w:pPr>
            <w:r w:rsidRPr="009617F5">
              <w:rPr>
                <w:rFonts w:cs="Arial"/>
              </w:rPr>
              <w:t>14,54</w:t>
            </w:r>
          </w:p>
        </w:tc>
        <w:tc>
          <w:tcPr>
            <w:tcW w:w="709" w:type="dxa"/>
            <w:tcBorders>
              <w:top w:val="single" w:sz="6" w:space="0" w:color="auto"/>
              <w:left w:val="single" w:sz="6" w:space="0" w:color="auto"/>
              <w:bottom w:val="single" w:sz="6" w:space="0" w:color="auto"/>
              <w:right w:val="single" w:sz="6" w:space="0" w:color="auto"/>
            </w:tcBorders>
          </w:tcPr>
          <w:p w14:paraId="31A88DBD" w14:textId="77777777" w:rsidR="009617F5" w:rsidRPr="009617F5" w:rsidRDefault="009617F5" w:rsidP="009617F5">
            <w:pPr>
              <w:pStyle w:val="Texttabulky"/>
              <w:spacing w:after="0"/>
              <w:jc w:val="right"/>
              <w:rPr>
                <w:rFonts w:cs="Arial"/>
              </w:rPr>
            </w:pPr>
            <w:r w:rsidRPr="009617F5">
              <w:rPr>
                <w:rFonts w:cs="Arial"/>
              </w:rPr>
              <w:t>5,53</w:t>
            </w:r>
          </w:p>
        </w:tc>
        <w:tc>
          <w:tcPr>
            <w:tcW w:w="892" w:type="dxa"/>
            <w:tcBorders>
              <w:top w:val="single" w:sz="6" w:space="0" w:color="auto"/>
              <w:left w:val="single" w:sz="6" w:space="0" w:color="auto"/>
              <w:bottom w:val="single" w:sz="6" w:space="0" w:color="auto"/>
              <w:right w:val="single" w:sz="6" w:space="0" w:color="auto"/>
            </w:tcBorders>
          </w:tcPr>
          <w:p w14:paraId="2A52698C" w14:textId="77777777" w:rsidR="009617F5" w:rsidRPr="009617F5" w:rsidRDefault="009617F5" w:rsidP="009617F5">
            <w:pPr>
              <w:pStyle w:val="Texttabulky"/>
              <w:spacing w:after="0"/>
              <w:jc w:val="right"/>
              <w:rPr>
                <w:rFonts w:cs="Arial"/>
              </w:rPr>
            </w:pPr>
            <w:r w:rsidRPr="009617F5">
              <w:rPr>
                <w:rFonts w:cs="Arial"/>
              </w:rPr>
              <w:t>3,93</w:t>
            </w:r>
          </w:p>
        </w:tc>
      </w:tr>
      <w:tr w:rsidR="009617F5" w:rsidRPr="009617F5" w14:paraId="44EF0621"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62D01478" w14:textId="77777777" w:rsidR="009617F5" w:rsidRPr="009617F5" w:rsidRDefault="009617F5" w:rsidP="009617F5">
            <w:pPr>
              <w:pStyle w:val="Texttabulky"/>
              <w:spacing w:after="0"/>
              <w:rPr>
                <w:rFonts w:cs="Arial"/>
              </w:rPr>
            </w:pPr>
            <w:r w:rsidRPr="009617F5">
              <w:rPr>
                <w:rFonts w:cs="Arial"/>
              </w:rPr>
              <w:t>Bělá u Děčína</w:t>
            </w:r>
          </w:p>
        </w:tc>
        <w:tc>
          <w:tcPr>
            <w:tcW w:w="1023" w:type="dxa"/>
            <w:tcBorders>
              <w:top w:val="single" w:sz="6" w:space="0" w:color="auto"/>
              <w:left w:val="single" w:sz="6" w:space="0" w:color="auto"/>
              <w:bottom w:val="single" w:sz="6" w:space="0" w:color="auto"/>
              <w:right w:val="single" w:sz="6" w:space="0" w:color="auto"/>
            </w:tcBorders>
          </w:tcPr>
          <w:p w14:paraId="63AE220C" w14:textId="77777777" w:rsidR="009617F5" w:rsidRPr="009617F5" w:rsidRDefault="009617F5" w:rsidP="009617F5">
            <w:pPr>
              <w:pStyle w:val="Texttabulky"/>
              <w:spacing w:after="0"/>
              <w:jc w:val="right"/>
              <w:rPr>
                <w:rFonts w:cs="Arial"/>
              </w:rPr>
            </w:pPr>
            <w:r w:rsidRPr="009617F5">
              <w:rPr>
                <w:rFonts w:cs="Arial"/>
              </w:rPr>
              <w:t>70,93</w:t>
            </w:r>
          </w:p>
        </w:tc>
        <w:tc>
          <w:tcPr>
            <w:tcW w:w="662" w:type="dxa"/>
            <w:tcBorders>
              <w:top w:val="single" w:sz="6" w:space="0" w:color="auto"/>
              <w:left w:val="single" w:sz="6" w:space="0" w:color="auto"/>
              <w:bottom w:val="single" w:sz="6" w:space="0" w:color="auto"/>
              <w:right w:val="single" w:sz="6" w:space="0" w:color="auto"/>
            </w:tcBorders>
          </w:tcPr>
          <w:p w14:paraId="2A5D1A20" w14:textId="77777777" w:rsidR="009617F5" w:rsidRPr="009617F5" w:rsidRDefault="009617F5" w:rsidP="009617F5">
            <w:pPr>
              <w:pStyle w:val="Texttabulky"/>
              <w:spacing w:after="0"/>
              <w:jc w:val="right"/>
              <w:rPr>
                <w:rFonts w:cs="Arial"/>
              </w:rPr>
            </w:pPr>
            <w:r w:rsidRPr="009617F5">
              <w:rPr>
                <w:rFonts w:cs="Arial"/>
              </w:rPr>
              <w:t>0,21</w:t>
            </w:r>
          </w:p>
        </w:tc>
        <w:tc>
          <w:tcPr>
            <w:tcW w:w="884" w:type="dxa"/>
            <w:tcBorders>
              <w:top w:val="single" w:sz="6" w:space="0" w:color="auto"/>
              <w:left w:val="single" w:sz="6" w:space="0" w:color="auto"/>
              <w:bottom w:val="single" w:sz="6" w:space="0" w:color="auto"/>
              <w:right w:val="single" w:sz="6" w:space="0" w:color="auto"/>
            </w:tcBorders>
          </w:tcPr>
          <w:p w14:paraId="50C00974"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72377A15"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55537AC1" w14:textId="77777777" w:rsidR="009617F5" w:rsidRPr="009617F5" w:rsidRDefault="009617F5" w:rsidP="009617F5">
            <w:pPr>
              <w:pStyle w:val="Texttabulky"/>
              <w:spacing w:after="0"/>
              <w:jc w:val="right"/>
              <w:rPr>
                <w:rFonts w:cs="Arial"/>
              </w:rPr>
            </w:pPr>
            <w:r w:rsidRPr="009617F5">
              <w:rPr>
                <w:rFonts w:cs="Arial"/>
              </w:rPr>
              <w:t>30,39</w:t>
            </w:r>
          </w:p>
        </w:tc>
        <w:tc>
          <w:tcPr>
            <w:tcW w:w="650" w:type="dxa"/>
            <w:tcBorders>
              <w:top w:val="single" w:sz="6" w:space="0" w:color="auto"/>
              <w:left w:val="single" w:sz="6" w:space="0" w:color="auto"/>
              <w:bottom w:val="single" w:sz="6" w:space="0" w:color="auto"/>
              <w:right w:val="single" w:sz="6" w:space="0" w:color="auto"/>
            </w:tcBorders>
          </w:tcPr>
          <w:p w14:paraId="7E991327" w14:textId="77777777" w:rsidR="009617F5" w:rsidRPr="009617F5" w:rsidRDefault="009617F5" w:rsidP="009617F5">
            <w:pPr>
              <w:pStyle w:val="Texttabulky"/>
              <w:spacing w:after="0"/>
              <w:jc w:val="right"/>
              <w:rPr>
                <w:rFonts w:cs="Arial"/>
              </w:rPr>
            </w:pPr>
            <w:r w:rsidRPr="009617F5">
              <w:rPr>
                <w:rFonts w:cs="Arial"/>
              </w:rPr>
              <w:t>2,36</w:t>
            </w:r>
          </w:p>
        </w:tc>
        <w:tc>
          <w:tcPr>
            <w:tcW w:w="709" w:type="dxa"/>
            <w:tcBorders>
              <w:top w:val="single" w:sz="6" w:space="0" w:color="auto"/>
              <w:left w:val="single" w:sz="6" w:space="0" w:color="auto"/>
              <w:bottom w:val="single" w:sz="6" w:space="0" w:color="auto"/>
              <w:right w:val="single" w:sz="6" w:space="0" w:color="auto"/>
            </w:tcBorders>
          </w:tcPr>
          <w:p w14:paraId="5180C597" w14:textId="77777777" w:rsidR="009617F5" w:rsidRPr="009617F5" w:rsidRDefault="009617F5" w:rsidP="009617F5">
            <w:pPr>
              <w:pStyle w:val="Texttabulky"/>
              <w:spacing w:after="0"/>
              <w:jc w:val="right"/>
              <w:rPr>
                <w:rFonts w:cs="Arial"/>
              </w:rPr>
            </w:pPr>
            <w:r w:rsidRPr="009617F5">
              <w:rPr>
                <w:rFonts w:cs="Arial"/>
              </w:rPr>
              <w:t>31,96</w:t>
            </w:r>
          </w:p>
        </w:tc>
        <w:tc>
          <w:tcPr>
            <w:tcW w:w="892" w:type="dxa"/>
            <w:tcBorders>
              <w:top w:val="single" w:sz="6" w:space="0" w:color="auto"/>
              <w:left w:val="single" w:sz="6" w:space="0" w:color="auto"/>
              <w:bottom w:val="single" w:sz="6" w:space="0" w:color="auto"/>
              <w:right w:val="single" w:sz="6" w:space="0" w:color="auto"/>
            </w:tcBorders>
          </w:tcPr>
          <w:p w14:paraId="54290699" w14:textId="77777777" w:rsidR="009617F5" w:rsidRPr="009617F5" w:rsidRDefault="009617F5" w:rsidP="009617F5">
            <w:pPr>
              <w:pStyle w:val="Texttabulky"/>
              <w:spacing w:after="0"/>
              <w:jc w:val="right"/>
              <w:rPr>
                <w:rFonts w:cs="Arial"/>
              </w:rPr>
            </w:pPr>
            <w:r w:rsidRPr="009617F5">
              <w:rPr>
                <w:rFonts w:cs="Arial"/>
              </w:rPr>
              <w:t>6,02</w:t>
            </w:r>
          </w:p>
        </w:tc>
      </w:tr>
      <w:tr w:rsidR="009617F5" w:rsidRPr="009617F5" w14:paraId="07760082"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20CB0512" w14:textId="77777777" w:rsidR="009617F5" w:rsidRPr="009617F5" w:rsidRDefault="009617F5" w:rsidP="009617F5">
            <w:pPr>
              <w:pStyle w:val="Texttabulky"/>
              <w:spacing w:after="0"/>
              <w:rPr>
                <w:rFonts w:cs="Arial"/>
              </w:rPr>
            </w:pPr>
            <w:r w:rsidRPr="009617F5">
              <w:rPr>
                <w:rFonts w:cs="Arial"/>
              </w:rPr>
              <w:t>Bynov</w:t>
            </w:r>
          </w:p>
        </w:tc>
        <w:tc>
          <w:tcPr>
            <w:tcW w:w="1023" w:type="dxa"/>
            <w:tcBorders>
              <w:top w:val="single" w:sz="6" w:space="0" w:color="auto"/>
              <w:left w:val="single" w:sz="6" w:space="0" w:color="auto"/>
              <w:bottom w:val="single" w:sz="6" w:space="0" w:color="auto"/>
              <w:right w:val="single" w:sz="6" w:space="0" w:color="auto"/>
            </w:tcBorders>
          </w:tcPr>
          <w:p w14:paraId="278E384A" w14:textId="77777777" w:rsidR="009617F5" w:rsidRPr="009617F5" w:rsidRDefault="009617F5" w:rsidP="009617F5">
            <w:pPr>
              <w:pStyle w:val="Texttabulky"/>
              <w:spacing w:after="0"/>
              <w:jc w:val="right"/>
              <w:rPr>
                <w:rFonts w:cs="Arial"/>
              </w:rPr>
            </w:pPr>
            <w:r w:rsidRPr="009617F5">
              <w:rPr>
                <w:rFonts w:cs="Arial"/>
              </w:rPr>
              <w:t>46,39</w:t>
            </w:r>
          </w:p>
        </w:tc>
        <w:tc>
          <w:tcPr>
            <w:tcW w:w="662" w:type="dxa"/>
            <w:tcBorders>
              <w:top w:val="single" w:sz="6" w:space="0" w:color="auto"/>
              <w:left w:val="single" w:sz="6" w:space="0" w:color="auto"/>
              <w:bottom w:val="single" w:sz="6" w:space="0" w:color="auto"/>
              <w:right w:val="single" w:sz="6" w:space="0" w:color="auto"/>
            </w:tcBorders>
          </w:tcPr>
          <w:p w14:paraId="161243EE" w14:textId="77777777" w:rsidR="009617F5" w:rsidRPr="009617F5" w:rsidRDefault="009617F5" w:rsidP="009617F5">
            <w:pPr>
              <w:pStyle w:val="Texttabulky"/>
              <w:spacing w:after="0"/>
              <w:jc w:val="right"/>
              <w:rPr>
                <w:rFonts w:cs="Arial"/>
              </w:rPr>
            </w:pPr>
            <w:r w:rsidRPr="009617F5">
              <w:rPr>
                <w:rFonts w:cs="Arial"/>
              </w:rPr>
              <w:t>0,65</w:t>
            </w:r>
          </w:p>
        </w:tc>
        <w:tc>
          <w:tcPr>
            <w:tcW w:w="884" w:type="dxa"/>
            <w:tcBorders>
              <w:top w:val="single" w:sz="6" w:space="0" w:color="auto"/>
              <w:left w:val="single" w:sz="6" w:space="0" w:color="auto"/>
              <w:bottom w:val="single" w:sz="6" w:space="0" w:color="auto"/>
              <w:right w:val="single" w:sz="6" w:space="0" w:color="auto"/>
            </w:tcBorders>
          </w:tcPr>
          <w:p w14:paraId="55C4BB28"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774CC21F"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56C0223C" w14:textId="77777777" w:rsidR="009617F5" w:rsidRPr="009617F5" w:rsidRDefault="009617F5" w:rsidP="009617F5">
            <w:pPr>
              <w:pStyle w:val="Texttabulky"/>
              <w:spacing w:after="0"/>
              <w:jc w:val="right"/>
              <w:rPr>
                <w:rFonts w:cs="Arial"/>
              </w:rPr>
            </w:pPr>
            <w:r w:rsidRPr="009617F5">
              <w:rPr>
                <w:rFonts w:cs="Arial"/>
              </w:rPr>
              <w:t>19,65</w:t>
            </w:r>
          </w:p>
        </w:tc>
        <w:tc>
          <w:tcPr>
            <w:tcW w:w="650" w:type="dxa"/>
            <w:tcBorders>
              <w:top w:val="single" w:sz="6" w:space="0" w:color="auto"/>
              <w:left w:val="single" w:sz="6" w:space="0" w:color="auto"/>
              <w:bottom w:val="single" w:sz="6" w:space="0" w:color="auto"/>
              <w:right w:val="single" w:sz="6" w:space="0" w:color="auto"/>
            </w:tcBorders>
          </w:tcPr>
          <w:p w14:paraId="23EE451F" w14:textId="77777777" w:rsidR="009617F5" w:rsidRPr="009617F5" w:rsidRDefault="009617F5" w:rsidP="009617F5">
            <w:pPr>
              <w:pStyle w:val="Texttabulky"/>
              <w:spacing w:after="0"/>
              <w:jc w:val="right"/>
              <w:rPr>
                <w:rFonts w:cs="Arial"/>
              </w:rPr>
            </w:pPr>
            <w:r w:rsidRPr="009617F5">
              <w:rPr>
                <w:rFonts w:cs="Arial"/>
              </w:rPr>
              <w:t>0,79</w:t>
            </w:r>
          </w:p>
        </w:tc>
        <w:tc>
          <w:tcPr>
            <w:tcW w:w="709" w:type="dxa"/>
            <w:tcBorders>
              <w:top w:val="single" w:sz="6" w:space="0" w:color="auto"/>
              <w:left w:val="single" w:sz="6" w:space="0" w:color="auto"/>
              <w:bottom w:val="single" w:sz="6" w:space="0" w:color="auto"/>
              <w:right w:val="single" w:sz="6" w:space="0" w:color="auto"/>
            </w:tcBorders>
          </w:tcPr>
          <w:p w14:paraId="06DE6A44" w14:textId="77777777" w:rsidR="009617F5" w:rsidRPr="009617F5" w:rsidRDefault="009617F5" w:rsidP="009617F5">
            <w:pPr>
              <w:pStyle w:val="Texttabulky"/>
              <w:spacing w:after="0"/>
              <w:jc w:val="right"/>
              <w:rPr>
                <w:rFonts w:cs="Arial"/>
              </w:rPr>
            </w:pPr>
            <w:r w:rsidRPr="009617F5">
              <w:rPr>
                <w:rFonts w:cs="Arial"/>
              </w:rPr>
              <w:t>23,02</w:t>
            </w:r>
          </w:p>
        </w:tc>
        <w:tc>
          <w:tcPr>
            <w:tcW w:w="892" w:type="dxa"/>
            <w:tcBorders>
              <w:top w:val="single" w:sz="6" w:space="0" w:color="auto"/>
              <w:left w:val="single" w:sz="6" w:space="0" w:color="auto"/>
              <w:bottom w:val="single" w:sz="6" w:space="0" w:color="auto"/>
              <w:right w:val="single" w:sz="6" w:space="0" w:color="auto"/>
            </w:tcBorders>
          </w:tcPr>
          <w:p w14:paraId="1D9F686E" w14:textId="77777777" w:rsidR="009617F5" w:rsidRPr="009617F5" w:rsidRDefault="009617F5" w:rsidP="009617F5">
            <w:pPr>
              <w:pStyle w:val="Texttabulky"/>
              <w:spacing w:after="0"/>
              <w:jc w:val="right"/>
              <w:rPr>
                <w:rFonts w:cs="Arial"/>
              </w:rPr>
            </w:pPr>
            <w:r w:rsidRPr="009617F5">
              <w:rPr>
                <w:rFonts w:cs="Arial"/>
              </w:rPr>
              <w:t>2,27</w:t>
            </w:r>
          </w:p>
        </w:tc>
      </w:tr>
      <w:tr w:rsidR="009617F5" w:rsidRPr="009617F5" w14:paraId="6E4B0F45"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54FE25B6" w14:textId="77777777" w:rsidR="009617F5" w:rsidRPr="009617F5" w:rsidRDefault="009617F5" w:rsidP="009617F5">
            <w:pPr>
              <w:pStyle w:val="Texttabulky"/>
              <w:spacing w:after="0"/>
              <w:rPr>
                <w:rFonts w:cs="Arial"/>
              </w:rPr>
            </w:pPr>
            <w:r w:rsidRPr="009617F5">
              <w:rPr>
                <w:rFonts w:cs="Arial"/>
              </w:rPr>
              <w:t>Horní Oldřichov</w:t>
            </w:r>
          </w:p>
        </w:tc>
        <w:tc>
          <w:tcPr>
            <w:tcW w:w="1023" w:type="dxa"/>
            <w:tcBorders>
              <w:top w:val="single" w:sz="6" w:space="0" w:color="auto"/>
              <w:left w:val="single" w:sz="6" w:space="0" w:color="auto"/>
              <w:bottom w:val="single" w:sz="6" w:space="0" w:color="auto"/>
              <w:right w:val="single" w:sz="6" w:space="0" w:color="auto"/>
            </w:tcBorders>
          </w:tcPr>
          <w:p w14:paraId="34F99095" w14:textId="77777777" w:rsidR="009617F5" w:rsidRPr="009617F5" w:rsidRDefault="009617F5" w:rsidP="009617F5">
            <w:pPr>
              <w:pStyle w:val="Texttabulky"/>
              <w:spacing w:after="0"/>
              <w:jc w:val="right"/>
              <w:rPr>
                <w:rFonts w:cs="Arial"/>
              </w:rPr>
            </w:pPr>
            <w:r w:rsidRPr="009617F5">
              <w:rPr>
                <w:rFonts w:cs="Arial"/>
              </w:rPr>
              <w:t>65,19</w:t>
            </w:r>
          </w:p>
        </w:tc>
        <w:tc>
          <w:tcPr>
            <w:tcW w:w="662" w:type="dxa"/>
            <w:tcBorders>
              <w:top w:val="single" w:sz="6" w:space="0" w:color="auto"/>
              <w:left w:val="single" w:sz="6" w:space="0" w:color="auto"/>
              <w:bottom w:val="single" w:sz="6" w:space="0" w:color="auto"/>
              <w:right w:val="single" w:sz="6" w:space="0" w:color="auto"/>
            </w:tcBorders>
          </w:tcPr>
          <w:p w14:paraId="652C7952" w14:textId="77777777" w:rsidR="009617F5" w:rsidRPr="009617F5" w:rsidRDefault="009617F5" w:rsidP="009617F5">
            <w:pPr>
              <w:pStyle w:val="Texttabulky"/>
              <w:spacing w:after="0"/>
              <w:jc w:val="right"/>
              <w:rPr>
                <w:rFonts w:cs="Arial"/>
              </w:rPr>
            </w:pPr>
            <w:r w:rsidRPr="009617F5">
              <w:rPr>
                <w:rFonts w:cs="Arial"/>
              </w:rPr>
              <w:t>7,58</w:t>
            </w:r>
          </w:p>
        </w:tc>
        <w:tc>
          <w:tcPr>
            <w:tcW w:w="884" w:type="dxa"/>
            <w:tcBorders>
              <w:top w:val="single" w:sz="6" w:space="0" w:color="auto"/>
              <w:left w:val="single" w:sz="6" w:space="0" w:color="auto"/>
              <w:bottom w:val="single" w:sz="6" w:space="0" w:color="auto"/>
              <w:right w:val="single" w:sz="6" w:space="0" w:color="auto"/>
            </w:tcBorders>
          </w:tcPr>
          <w:p w14:paraId="76372CC8"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3DBDE75F"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396204F3" w14:textId="77777777" w:rsidR="009617F5" w:rsidRPr="009617F5" w:rsidRDefault="009617F5" w:rsidP="009617F5">
            <w:pPr>
              <w:pStyle w:val="Texttabulky"/>
              <w:spacing w:after="0"/>
              <w:jc w:val="right"/>
              <w:rPr>
                <w:rFonts w:cs="Arial"/>
              </w:rPr>
            </w:pPr>
            <w:r w:rsidRPr="009617F5">
              <w:rPr>
                <w:rFonts w:cs="Arial"/>
              </w:rPr>
              <w:t>21,18</w:t>
            </w:r>
          </w:p>
        </w:tc>
        <w:tc>
          <w:tcPr>
            <w:tcW w:w="650" w:type="dxa"/>
            <w:tcBorders>
              <w:top w:val="single" w:sz="6" w:space="0" w:color="auto"/>
              <w:left w:val="single" w:sz="6" w:space="0" w:color="auto"/>
              <w:bottom w:val="single" w:sz="6" w:space="0" w:color="auto"/>
              <w:right w:val="single" w:sz="6" w:space="0" w:color="auto"/>
            </w:tcBorders>
          </w:tcPr>
          <w:p w14:paraId="0064A52A" w14:textId="77777777" w:rsidR="009617F5" w:rsidRPr="009617F5" w:rsidRDefault="009617F5" w:rsidP="009617F5">
            <w:pPr>
              <w:pStyle w:val="Texttabulky"/>
              <w:spacing w:after="0"/>
              <w:jc w:val="right"/>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3020E94A" w14:textId="77777777" w:rsidR="009617F5" w:rsidRPr="009617F5" w:rsidRDefault="009617F5" w:rsidP="009617F5">
            <w:pPr>
              <w:pStyle w:val="Texttabulky"/>
              <w:spacing w:after="0"/>
              <w:jc w:val="right"/>
              <w:rPr>
                <w:rFonts w:cs="Arial"/>
              </w:rPr>
            </w:pPr>
            <w:r w:rsidRPr="009617F5">
              <w:rPr>
                <w:rFonts w:cs="Arial"/>
              </w:rPr>
              <w:t>31,22</w:t>
            </w:r>
          </w:p>
        </w:tc>
        <w:tc>
          <w:tcPr>
            <w:tcW w:w="892" w:type="dxa"/>
            <w:tcBorders>
              <w:top w:val="single" w:sz="6" w:space="0" w:color="auto"/>
              <w:left w:val="single" w:sz="6" w:space="0" w:color="auto"/>
              <w:bottom w:val="single" w:sz="6" w:space="0" w:color="auto"/>
              <w:right w:val="single" w:sz="6" w:space="0" w:color="auto"/>
            </w:tcBorders>
          </w:tcPr>
          <w:p w14:paraId="79A29C17" w14:textId="77777777" w:rsidR="009617F5" w:rsidRPr="009617F5" w:rsidRDefault="009617F5" w:rsidP="009617F5">
            <w:pPr>
              <w:pStyle w:val="Texttabulky"/>
              <w:spacing w:after="0"/>
              <w:jc w:val="right"/>
              <w:rPr>
                <w:rFonts w:cs="Arial"/>
              </w:rPr>
            </w:pPr>
            <w:r w:rsidRPr="009617F5">
              <w:rPr>
                <w:rFonts w:cs="Arial"/>
              </w:rPr>
              <w:t>5,21</w:t>
            </w:r>
          </w:p>
        </w:tc>
      </w:tr>
      <w:tr w:rsidR="009617F5" w:rsidRPr="009617F5" w14:paraId="44AA5582"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5095C014" w14:textId="77777777" w:rsidR="009617F5" w:rsidRPr="009617F5" w:rsidRDefault="009617F5" w:rsidP="009617F5">
            <w:pPr>
              <w:pStyle w:val="Texttabulky"/>
              <w:spacing w:after="0"/>
              <w:rPr>
                <w:rFonts w:cs="Arial"/>
              </w:rPr>
            </w:pPr>
            <w:r w:rsidRPr="009617F5">
              <w:rPr>
                <w:rFonts w:cs="Arial"/>
              </w:rPr>
              <w:t>Chrochvice</w:t>
            </w:r>
          </w:p>
        </w:tc>
        <w:tc>
          <w:tcPr>
            <w:tcW w:w="1023" w:type="dxa"/>
            <w:tcBorders>
              <w:top w:val="single" w:sz="6" w:space="0" w:color="auto"/>
              <w:left w:val="single" w:sz="6" w:space="0" w:color="auto"/>
              <w:bottom w:val="single" w:sz="6" w:space="0" w:color="auto"/>
              <w:right w:val="single" w:sz="6" w:space="0" w:color="auto"/>
            </w:tcBorders>
          </w:tcPr>
          <w:p w14:paraId="1BF69C67" w14:textId="77777777" w:rsidR="009617F5" w:rsidRPr="009617F5" w:rsidRDefault="009617F5" w:rsidP="009617F5">
            <w:pPr>
              <w:pStyle w:val="Texttabulky"/>
              <w:spacing w:after="0"/>
              <w:jc w:val="right"/>
              <w:rPr>
                <w:rFonts w:cs="Arial"/>
              </w:rPr>
            </w:pPr>
            <w:r w:rsidRPr="009617F5">
              <w:rPr>
                <w:rFonts w:cs="Arial"/>
              </w:rPr>
              <w:t>75,13</w:t>
            </w:r>
          </w:p>
        </w:tc>
        <w:tc>
          <w:tcPr>
            <w:tcW w:w="662" w:type="dxa"/>
            <w:tcBorders>
              <w:top w:val="single" w:sz="6" w:space="0" w:color="auto"/>
              <w:left w:val="single" w:sz="6" w:space="0" w:color="auto"/>
              <w:bottom w:val="single" w:sz="6" w:space="0" w:color="auto"/>
              <w:right w:val="single" w:sz="6" w:space="0" w:color="auto"/>
            </w:tcBorders>
          </w:tcPr>
          <w:p w14:paraId="5EDAECCA" w14:textId="77777777" w:rsidR="009617F5" w:rsidRPr="009617F5" w:rsidRDefault="009617F5" w:rsidP="009617F5">
            <w:pPr>
              <w:pStyle w:val="Texttabulky"/>
              <w:spacing w:after="0"/>
              <w:jc w:val="right"/>
              <w:rPr>
                <w:rFonts w:cs="Arial"/>
              </w:rPr>
            </w:pPr>
            <w:r w:rsidRPr="009617F5">
              <w:rPr>
                <w:rFonts w:cs="Arial"/>
              </w:rPr>
              <w:t>16,47</w:t>
            </w:r>
          </w:p>
        </w:tc>
        <w:tc>
          <w:tcPr>
            <w:tcW w:w="884" w:type="dxa"/>
            <w:tcBorders>
              <w:top w:val="single" w:sz="6" w:space="0" w:color="auto"/>
              <w:left w:val="single" w:sz="6" w:space="0" w:color="auto"/>
              <w:bottom w:val="single" w:sz="6" w:space="0" w:color="auto"/>
              <w:right w:val="single" w:sz="6" w:space="0" w:color="auto"/>
            </w:tcBorders>
          </w:tcPr>
          <w:p w14:paraId="0FBAE544"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0FFA1A0D"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08C62EFB" w14:textId="77777777" w:rsidR="009617F5" w:rsidRPr="009617F5" w:rsidRDefault="009617F5" w:rsidP="009617F5">
            <w:pPr>
              <w:pStyle w:val="Texttabulky"/>
              <w:spacing w:after="0"/>
              <w:jc w:val="right"/>
              <w:rPr>
                <w:rFonts w:cs="Arial"/>
              </w:rPr>
            </w:pPr>
            <w:r w:rsidRPr="009617F5">
              <w:rPr>
                <w:rFonts w:cs="Arial"/>
              </w:rPr>
              <w:t>26,99</w:t>
            </w:r>
          </w:p>
        </w:tc>
        <w:tc>
          <w:tcPr>
            <w:tcW w:w="650" w:type="dxa"/>
            <w:tcBorders>
              <w:top w:val="single" w:sz="6" w:space="0" w:color="auto"/>
              <w:left w:val="single" w:sz="6" w:space="0" w:color="auto"/>
              <w:bottom w:val="single" w:sz="6" w:space="0" w:color="auto"/>
              <w:right w:val="single" w:sz="6" w:space="0" w:color="auto"/>
            </w:tcBorders>
          </w:tcPr>
          <w:p w14:paraId="360506E3" w14:textId="77777777" w:rsidR="009617F5" w:rsidRPr="009617F5" w:rsidRDefault="009617F5" w:rsidP="009617F5">
            <w:pPr>
              <w:pStyle w:val="Texttabulky"/>
              <w:spacing w:after="0"/>
              <w:jc w:val="right"/>
              <w:rPr>
                <w:rFonts w:cs="Arial"/>
              </w:rPr>
            </w:pPr>
            <w:r w:rsidRPr="009617F5">
              <w:rPr>
                <w:rFonts w:cs="Arial"/>
              </w:rPr>
              <w:t>1,97</w:t>
            </w:r>
          </w:p>
        </w:tc>
        <w:tc>
          <w:tcPr>
            <w:tcW w:w="709" w:type="dxa"/>
            <w:tcBorders>
              <w:top w:val="single" w:sz="6" w:space="0" w:color="auto"/>
              <w:left w:val="single" w:sz="6" w:space="0" w:color="auto"/>
              <w:bottom w:val="single" w:sz="6" w:space="0" w:color="auto"/>
              <w:right w:val="single" w:sz="6" w:space="0" w:color="auto"/>
            </w:tcBorders>
          </w:tcPr>
          <w:p w14:paraId="79E5F2AD" w14:textId="77777777" w:rsidR="009617F5" w:rsidRPr="009617F5" w:rsidRDefault="009617F5" w:rsidP="009617F5">
            <w:pPr>
              <w:pStyle w:val="Texttabulky"/>
              <w:spacing w:after="0"/>
              <w:jc w:val="right"/>
              <w:rPr>
                <w:rFonts w:cs="Arial"/>
              </w:rPr>
            </w:pPr>
            <w:r w:rsidRPr="009617F5">
              <w:rPr>
                <w:rFonts w:cs="Arial"/>
              </w:rPr>
              <w:t>2,03</w:t>
            </w:r>
          </w:p>
        </w:tc>
        <w:tc>
          <w:tcPr>
            <w:tcW w:w="892" w:type="dxa"/>
            <w:tcBorders>
              <w:top w:val="single" w:sz="6" w:space="0" w:color="auto"/>
              <w:left w:val="single" w:sz="6" w:space="0" w:color="auto"/>
              <w:bottom w:val="single" w:sz="6" w:space="0" w:color="auto"/>
              <w:right w:val="single" w:sz="6" w:space="0" w:color="auto"/>
            </w:tcBorders>
          </w:tcPr>
          <w:p w14:paraId="059BCA3E" w14:textId="77777777" w:rsidR="009617F5" w:rsidRPr="009617F5" w:rsidRDefault="009617F5" w:rsidP="009617F5">
            <w:pPr>
              <w:pStyle w:val="Texttabulky"/>
              <w:spacing w:after="0"/>
              <w:jc w:val="right"/>
              <w:rPr>
                <w:rFonts w:cs="Arial"/>
              </w:rPr>
            </w:pPr>
            <w:r w:rsidRPr="009617F5">
              <w:rPr>
                <w:rFonts w:cs="Arial"/>
              </w:rPr>
              <w:t>27,68</w:t>
            </w:r>
          </w:p>
        </w:tc>
      </w:tr>
      <w:tr w:rsidR="009617F5" w:rsidRPr="009617F5" w14:paraId="4F90150E"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559F43C7" w14:textId="77777777" w:rsidR="009617F5" w:rsidRPr="009617F5" w:rsidRDefault="009617F5" w:rsidP="009617F5">
            <w:pPr>
              <w:pStyle w:val="Texttabulky"/>
              <w:spacing w:after="0"/>
              <w:rPr>
                <w:rFonts w:cs="Arial"/>
              </w:rPr>
            </w:pPr>
            <w:r w:rsidRPr="009617F5">
              <w:rPr>
                <w:rFonts w:cs="Arial"/>
              </w:rPr>
              <w:t>Loubí u Děčína</w:t>
            </w:r>
          </w:p>
        </w:tc>
        <w:tc>
          <w:tcPr>
            <w:tcW w:w="1023" w:type="dxa"/>
            <w:tcBorders>
              <w:top w:val="single" w:sz="6" w:space="0" w:color="auto"/>
              <w:left w:val="single" w:sz="6" w:space="0" w:color="auto"/>
              <w:bottom w:val="single" w:sz="6" w:space="0" w:color="auto"/>
              <w:right w:val="single" w:sz="6" w:space="0" w:color="auto"/>
            </w:tcBorders>
          </w:tcPr>
          <w:p w14:paraId="59F8042E" w14:textId="77777777" w:rsidR="009617F5" w:rsidRPr="009617F5" w:rsidRDefault="009617F5" w:rsidP="009617F5">
            <w:pPr>
              <w:pStyle w:val="Texttabulky"/>
              <w:spacing w:after="0"/>
              <w:jc w:val="right"/>
              <w:rPr>
                <w:rFonts w:cs="Arial"/>
              </w:rPr>
            </w:pPr>
            <w:r w:rsidRPr="009617F5">
              <w:rPr>
                <w:rFonts w:cs="Arial"/>
              </w:rPr>
              <w:t>15,34</w:t>
            </w:r>
          </w:p>
        </w:tc>
        <w:tc>
          <w:tcPr>
            <w:tcW w:w="662" w:type="dxa"/>
            <w:tcBorders>
              <w:top w:val="single" w:sz="6" w:space="0" w:color="auto"/>
              <w:left w:val="single" w:sz="6" w:space="0" w:color="auto"/>
              <w:bottom w:val="single" w:sz="6" w:space="0" w:color="auto"/>
              <w:right w:val="single" w:sz="6" w:space="0" w:color="auto"/>
            </w:tcBorders>
          </w:tcPr>
          <w:p w14:paraId="1AC53F37" w14:textId="77777777" w:rsidR="009617F5" w:rsidRPr="009617F5" w:rsidRDefault="009617F5" w:rsidP="009617F5">
            <w:pPr>
              <w:pStyle w:val="Texttabulky"/>
              <w:spacing w:after="0"/>
              <w:jc w:val="right"/>
              <w:rPr>
                <w:rFonts w:cs="Arial"/>
              </w:rPr>
            </w:pPr>
            <w:r w:rsidRPr="009617F5">
              <w:rPr>
                <w:rFonts w:cs="Arial"/>
              </w:rPr>
              <w:t>0,15</w:t>
            </w:r>
          </w:p>
        </w:tc>
        <w:tc>
          <w:tcPr>
            <w:tcW w:w="884" w:type="dxa"/>
            <w:tcBorders>
              <w:top w:val="single" w:sz="6" w:space="0" w:color="auto"/>
              <w:left w:val="single" w:sz="6" w:space="0" w:color="auto"/>
              <w:bottom w:val="single" w:sz="6" w:space="0" w:color="auto"/>
              <w:right w:val="single" w:sz="6" w:space="0" w:color="auto"/>
            </w:tcBorders>
          </w:tcPr>
          <w:p w14:paraId="1C16E70A"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35AA3E1B"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5F1D529F" w14:textId="77777777" w:rsidR="009617F5" w:rsidRPr="009617F5" w:rsidRDefault="009617F5" w:rsidP="009617F5">
            <w:pPr>
              <w:pStyle w:val="Texttabulky"/>
              <w:spacing w:after="0"/>
              <w:jc w:val="right"/>
              <w:rPr>
                <w:rFonts w:cs="Arial"/>
              </w:rPr>
            </w:pPr>
            <w:r w:rsidRPr="009617F5">
              <w:rPr>
                <w:rFonts w:cs="Arial"/>
              </w:rPr>
              <w:t>5,1</w:t>
            </w:r>
          </w:p>
        </w:tc>
        <w:tc>
          <w:tcPr>
            <w:tcW w:w="650" w:type="dxa"/>
            <w:tcBorders>
              <w:top w:val="single" w:sz="6" w:space="0" w:color="auto"/>
              <w:left w:val="single" w:sz="6" w:space="0" w:color="auto"/>
              <w:bottom w:val="single" w:sz="6" w:space="0" w:color="auto"/>
              <w:right w:val="single" w:sz="6" w:space="0" w:color="auto"/>
            </w:tcBorders>
          </w:tcPr>
          <w:p w14:paraId="02F77C2D" w14:textId="77777777" w:rsidR="009617F5" w:rsidRPr="009617F5" w:rsidRDefault="009617F5" w:rsidP="009617F5">
            <w:pPr>
              <w:pStyle w:val="Texttabulky"/>
              <w:spacing w:after="0"/>
              <w:jc w:val="right"/>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6B6378BA" w14:textId="77777777" w:rsidR="009617F5" w:rsidRPr="009617F5" w:rsidRDefault="009617F5" w:rsidP="009617F5">
            <w:pPr>
              <w:pStyle w:val="Texttabulky"/>
              <w:spacing w:after="0"/>
              <w:jc w:val="right"/>
              <w:rPr>
                <w:rFonts w:cs="Arial"/>
              </w:rPr>
            </w:pPr>
            <w:r w:rsidRPr="009617F5">
              <w:rPr>
                <w:rFonts w:cs="Arial"/>
              </w:rPr>
              <w:t>7,53</w:t>
            </w:r>
          </w:p>
        </w:tc>
        <w:tc>
          <w:tcPr>
            <w:tcW w:w="892" w:type="dxa"/>
            <w:tcBorders>
              <w:top w:val="single" w:sz="6" w:space="0" w:color="auto"/>
              <w:left w:val="single" w:sz="6" w:space="0" w:color="auto"/>
              <w:bottom w:val="single" w:sz="6" w:space="0" w:color="auto"/>
              <w:right w:val="single" w:sz="6" w:space="0" w:color="auto"/>
            </w:tcBorders>
          </w:tcPr>
          <w:p w14:paraId="621B621E" w14:textId="77777777" w:rsidR="009617F5" w:rsidRPr="009617F5" w:rsidRDefault="009617F5" w:rsidP="009617F5">
            <w:pPr>
              <w:pStyle w:val="Texttabulky"/>
              <w:spacing w:after="0"/>
              <w:jc w:val="right"/>
              <w:rPr>
                <w:rFonts w:cs="Arial"/>
              </w:rPr>
            </w:pPr>
            <w:r w:rsidRPr="009617F5">
              <w:rPr>
                <w:rFonts w:cs="Arial"/>
              </w:rPr>
              <w:t>2,56</w:t>
            </w:r>
          </w:p>
        </w:tc>
      </w:tr>
      <w:tr w:rsidR="009617F5" w:rsidRPr="009617F5" w14:paraId="7F2C7E2A"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65849319" w14:textId="77777777" w:rsidR="009617F5" w:rsidRPr="009617F5" w:rsidRDefault="009617F5" w:rsidP="009617F5">
            <w:pPr>
              <w:pStyle w:val="Texttabulky"/>
              <w:spacing w:after="0"/>
              <w:rPr>
                <w:rFonts w:cs="Arial"/>
              </w:rPr>
            </w:pPr>
            <w:r w:rsidRPr="009617F5">
              <w:rPr>
                <w:rFonts w:cs="Arial"/>
              </w:rPr>
              <w:t>Maxičky</w:t>
            </w:r>
          </w:p>
        </w:tc>
        <w:tc>
          <w:tcPr>
            <w:tcW w:w="1023" w:type="dxa"/>
            <w:tcBorders>
              <w:top w:val="single" w:sz="6" w:space="0" w:color="auto"/>
              <w:left w:val="single" w:sz="6" w:space="0" w:color="auto"/>
              <w:bottom w:val="single" w:sz="6" w:space="0" w:color="auto"/>
              <w:right w:val="single" w:sz="6" w:space="0" w:color="auto"/>
            </w:tcBorders>
          </w:tcPr>
          <w:p w14:paraId="2A0C1E32" w14:textId="77777777" w:rsidR="009617F5" w:rsidRPr="009617F5" w:rsidRDefault="009617F5" w:rsidP="009617F5">
            <w:pPr>
              <w:pStyle w:val="Texttabulky"/>
              <w:spacing w:after="0"/>
              <w:jc w:val="right"/>
              <w:rPr>
                <w:rFonts w:cs="Arial"/>
              </w:rPr>
            </w:pPr>
            <w:r w:rsidRPr="009617F5">
              <w:rPr>
                <w:rFonts w:cs="Arial"/>
              </w:rPr>
              <w:t>20,25</w:t>
            </w:r>
          </w:p>
        </w:tc>
        <w:tc>
          <w:tcPr>
            <w:tcW w:w="662" w:type="dxa"/>
            <w:tcBorders>
              <w:top w:val="single" w:sz="6" w:space="0" w:color="auto"/>
              <w:left w:val="single" w:sz="6" w:space="0" w:color="auto"/>
              <w:bottom w:val="single" w:sz="6" w:space="0" w:color="auto"/>
              <w:right w:val="single" w:sz="6" w:space="0" w:color="auto"/>
            </w:tcBorders>
          </w:tcPr>
          <w:p w14:paraId="2DEF1E29" w14:textId="77777777" w:rsidR="009617F5" w:rsidRPr="009617F5" w:rsidRDefault="009617F5" w:rsidP="009617F5">
            <w:pPr>
              <w:pStyle w:val="Texttabulky"/>
              <w:spacing w:after="0"/>
              <w:jc w:val="right"/>
              <w:rPr>
                <w:rFonts w:cs="Arial"/>
              </w:rPr>
            </w:pPr>
            <w:r w:rsidRPr="009617F5">
              <w:rPr>
                <w:rFonts w:cs="Arial"/>
              </w:rPr>
              <w:t>0,25</w:t>
            </w:r>
          </w:p>
        </w:tc>
        <w:tc>
          <w:tcPr>
            <w:tcW w:w="884" w:type="dxa"/>
            <w:tcBorders>
              <w:top w:val="single" w:sz="6" w:space="0" w:color="auto"/>
              <w:left w:val="single" w:sz="6" w:space="0" w:color="auto"/>
              <w:bottom w:val="single" w:sz="6" w:space="0" w:color="auto"/>
              <w:right w:val="single" w:sz="6" w:space="0" w:color="auto"/>
            </w:tcBorders>
          </w:tcPr>
          <w:p w14:paraId="4964D500"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3C4C2D21"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516C1371" w14:textId="77777777" w:rsidR="009617F5" w:rsidRPr="009617F5" w:rsidRDefault="009617F5" w:rsidP="009617F5">
            <w:pPr>
              <w:pStyle w:val="Texttabulky"/>
              <w:spacing w:after="0"/>
              <w:jc w:val="right"/>
              <w:rPr>
                <w:rFonts w:cs="Arial"/>
              </w:rPr>
            </w:pPr>
            <w:r w:rsidRPr="009617F5">
              <w:rPr>
                <w:rFonts w:cs="Arial"/>
              </w:rPr>
              <w:t>4,55</w:t>
            </w:r>
          </w:p>
        </w:tc>
        <w:tc>
          <w:tcPr>
            <w:tcW w:w="650" w:type="dxa"/>
            <w:tcBorders>
              <w:top w:val="single" w:sz="6" w:space="0" w:color="auto"/>
              <w:left w:val="single" w:sz="6" w:space="0" w:color="auto"/>
              <w:bottom w:val="single" w:sz="6" w:space="0" w:color="auto"/>
              <w:right w:val="single" w:sz="6" w:space="0" w:color="auto"/>
            </w:tcBorders>
          </w:tcPr>
          <w:p w14:paraId="3A32C8B1" w14:textId="77777777" w:rsidR="009617F5" w:rsidRPr="009617F5" w:rsidRDefault="009617F5" w:rsidP="009617F5">
            <w:pPr>
              <w:pStyle w:val="Texttabulky"/>
              <w:spacing w:after="0"/>
              <w:jc w:val="right"/>
              <w:rPr>
                <w:rFonts w:cs="Arial"/>
              </w:rPr>
            </w:pPr>
            <w:r w:rsidRPr="009617F5">
              <w:rPr>
                <w:rFonts w:cs="Arial"/>
              </w:rPr>
              <w:t>0,97</w:t>
            </w:r>
          </w:p>
        </w:tc>
        <w:tc>
          <w:tcPr>
            <w:tcW w:w="709" w:type="dxa"/>
            <w:tcBorders>
              <w:top w:val="single" w:sz="6" w:space="0" w:color="auto"/>
              <w:left w:val="single" w:sz="6" w:space="0" w:color="auto"/>
              <w:bottom w:val="single" w:sz="6" w:space="0" w:color="auto"/>
              <w:right w:val="single" w:sz="6" w:space="0" w:color="auto"/>
            </w:tcBorders>
          </w:tcPr>
          <w:p w14:paraId="494A04B1" w14:textId="77777777" w:rsidR="009617F5" w:rsidRPr="009617F5" w:rsidRDefault="009617F5" w:rsidP="009617F5">
            <w:pPr>
              <w:pStyle w:val="Texttabulky"/>
              <w:spacing w:after="0"/>
              <w:jc w:val="right"/>
              <w:rPr>
                <w:rFonts w:cs="Arial"/>
              </w:rPr>
            </w:pPr>
            <w:r w:rsidRPr="009617F5">
              <w:rPr>
                <w:rFonts w:cs="Arial"/>
              </w:rPr>
              <w:t>12,91</w:t>
            </w:r>
          </w:p>
        </w:tc>
        <w:tc>
          <w:tcPr>
            <w:tcW w:w="892" w:type="dxa"/>
            <w:tcBorders>
              <w:top w:val="single" w:sz="6" w:space="0" w:color="auto"/>
              <w:left w:val="single" w:sz="6" w:space="0" w:color="auto"/>
              <w:bottom w:val="single" w:sz="6" w:space="0" w:color="auto"/>
              <w:right w:val="single" w:sz="6" w:space="0" w:color="auto"/>
            </w:tcBorders>
          </w:tcPr>
          <w:p w14:paraId="37A2E4B3" w14:textId="77777777" w:rsidR="009617F5" w:rsidRPr="009617F5" w:rsidRDefault="009617F5" w:rsidP="009617F5">
            <w:pPr>
              <w:pStyle w:val="Texttabulky"/>
              <w:spacing w:after="0"/>
              <w:jc w:val="right"/>
              <w:rPr>
                <w:rFonts w:cs="Arial"/>
              </w:rPr>
            </w:pPr>
            <w:r w:rsidRPr="009617F5">
              <w:rPr>
                <w:rFonts w:cs="Arial"/>
              </w:rPr>
              <w:t>1,57</w:t>
            </w:r>
          </w:p>
        </w:tc>
      </w:tr>
      <w:tr w:rsidR="009617F5" w:rsidRPr="009617F5" w14:paraId="27882745"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68F11AF9" w14:textId="77777777" w:rsidR="009617F5" w:rsidRPr="009617F5" w:rsidRDefault="009617F5" w:rsidP="009617F5">
            <w:pPr>
              <w:pStyle w:val="Texttabulky"/>
              <w:spacing w:after="0"/>
              <w:rPr>
                <w:rFonts w:cs="Arial"/>
              </w:rPr>
            </w:pPr>
            <w:r w:rsidRPr="009617F5">
              <w:rPr>
                <w:rFonts w:cs="Arial"/>
              </w:rPr>
              <w:t>Podmokly</w:t>
            </w:r>
          </w:p>
        </w:tc>
        <w:tc>
          <w:tcPr>
            <w:tcW w:w="1023" w:type="dxa"/>
            <w:tcBorders>
              <w:top w:val="single" w:sz="6" w:space="0" w:color="auto"/>
              <w:left w:val="single" w:sz="6" w:space="0" w:color="auto"/>
              <w:bottom w:val="single" w:sz="6" w:space="0" w:color="auto"/>
              <w:right w:val="single" w:sz="6" w:space="0" w:color="auto"/>
            </w:tcBorders>
          </w:tcPr>
          <w:p w14:paraId="04A4BD45" w14:textId="77777777" w:rsidR="009617F5" w:rsidRPr="009617F5" w:rsidRDefault="009617F5" w:rsidP="009617F5">
            <w:pPr>
              <w:pStyle w:val="Texttabulky"/>
              <w:spacing w:after="0"/>
              <w:jc w:val="right"/>
              <w:rPr>
                <w:rFonts w:cs="Arial"/>
              </w:rPr>
            </w:pPr>
            <w:r w:rsidRPr="009617F5">
              <w:rPr>
                <w:rFonts w:cs="Arial"/>
              </w:rPr>
              <w:t>196,64</w:t>
            </w:r>
          </w:p>
        </w:tc>
        <w:tc>
          <w:tcPr>
            <w:tcW w:w="662" w:type="dxa"/>
            <w:tcBorders>
              <w:top w:val="single" w:sz="6" w:space="0" w:color="auto"/>
              <w:left w:val="single" w:sz="6" w:space="0" w:color="auto"/>
              <w:bottom w:val="single" w:sz="6" w:space="0" w:color="auto"/>
              <w:right w:val="single" w:sz="6" w:space="0" w:color="auto"/>
            </w:tcBorders>
          </w:tcPr>
          <w:p w14:paraId="3EFDA861" w14:textId="77777777" w:rsidR="009617F5" w:rsidRPr="009617F5" w:rsidRDefault="009617F5" w:rsidP="009617F5">
            <w:pPr>
              <w:pStyle w:val="Texttabulky"/>
              <w:spacing w:after="0"/>
              <w:jc w:val="right"/>
              <w:rPr>
                <w:rFonts w:cs="Arial"/>
              </w:rPr>
            </w:pPr>
            <w:r w:rsidRPr="009617F5">
              <w:rPr>
                <w:rFonts w:cs="Arial"/>
              </w:rPr>
              <w:t>41,29</w:t>
            </w:r>
          </w:p>
        </w:tc>
        <w:tc>
          <w:tcPr>
            <w:tcW w:w="884" w:type="dxa"/>
            <w:tcBorders>
              <w:top w:val="single" w:sz="6" w:space="0" w:color="auto"/>
              <w:left w:val="single" w:sz="6" w:space="0" w:color="auto"/>
              <w:bottom w:val="single" w:sz="6" w:space="0" w:color="auto"/>
              <w:right w:val="single" w:sz="6" w:space="0" w:color="auto"/>
            </w:tcBorders>
          </w:tcPr>
          <w:p w14:paraId="24316071"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154D824E"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598CA71A" w14:textId="77777777" w:rsidR="009617F5" w:rsidRPr="009617F5" w:rsidRDefault="009617F5" w:rsidP="009617F5">
            <w:pPr>
              <w:pStyle w:val="Texttabulky"/>
              <w:spacing w:after="0"/>
              <w:jc w:val="right"/>
              <w:rPr>
                <w:rFonts w:cs="Arial"/>
              </w:rPr>
            </w:pPr>
            <w:r w:rsidRPr="009617F5">
              <w:rPr>
                <w:rFonts w:cs="Arial"/>
              </w:rPr>
              <w:t>102,92</w:t>
            </w:r>
          </w:p>
        </w:tc>
        <w:tc>
          <w:tcPr>
            <w:tcW w:w="650" w:type="dxa"/>
            <w:tcBorders>
              <w:top w:val="single" w:sz="6" w:space="0" w:color="auto"/>
              <w:left w:val="single" w:sz="6" w:space="0" w:color="auto"/>
              <w:bottom w:val="single" w:sz="6" w:space="0" w:color="auto"/>
              <w:right w:val="single" w:sz="6" w:space="0" w:color="auto"/>
            </w:tcBorders>
          </w:tcPr>
          <w:p w14:paraId="03F37634" w14:textId="77777777" w:rsidR="009617F5" w:rsidRPr="009617F5" w:rsidRDefault="009617F5" w:rsidP="009617F5">
            <w:pPr>
              <w:pStyle w:val="Texttabulky"/>
              <w:spacing w:after="0"/>
              <w:jc w:val="right"/>
              <w:rPr>
                <w:rFonts w:cs="Arial"/>
              </w:rPr>
            </w:pPr>
            <w:r w:rsidRPr="009617F5">
              <w:rPr>
                <w:rFonts w:cs="Arial"/>
              </w:rPr>
              <w:t>5,38</w:t>
            </w:r>
          </w:p>
        </w:tc>
        <w:tc>
          <w:tcPr>
            <w:tcW w:w="709" w:type="dxa"/>
            <w:tcBorders>
              <w:top w:val="single" w:sz="6" w:space="0" w:color="auto"/>
              <w:left w:val="single" w:sz="6" w:space="0" w:color="auto"/>
              <w:bottom w:val="single" w:sz="6" w:space="0" w:color="auto"/>
              <w:right w:val="single" w:sz="6" w:space="0" w:color="auto"/>
            </w:tcBorders>
          </w:tcPr>
          <w:p w14:paraId="2E0A4FA1" w14:textId="77777777" w:rsidR="009617F5" w:rsidRPr="009617F5" w:rsidRDefault="009617F5" w:rsidP="009617F5">
            <w:pPr>
              <w:pStyle w:val="Texttabulky"/>
              <w:spacing w:after="0"/>
              <w:jc w:val="right"/>
              <w:rPr>
                <w:rFonts w:cs="Arial"/>
              </w:rPr>
            </w:pPr>
            <w:r w:rsidRPr="009617F5">
              <w:rPr>
                <w:rFonts w:cs="Arial"/>
              </w:rPr>
              <w:t>32,07</w:t>
            </w:r>
          </w:p>
        </w:tc>
        <w:tc>
          <w:tcPr>
            <w:tcW w:w="892" w:type="dxa"/>
            <w:tcBorders>
              <w:top w:val="single" w:sz="6" w:space="0" w:color="auto"/>
              <w:left w:val="single" w:sz="6" w:space="0" w:color="auto"/>
              <w:bottom w:val="single" w:sz="6" w:space="0" w:color="auto"/>
              <w:right w:val="single" w:sz="6" w:space="0" w:color="auto"/>
            </w:tcBorders>
          </w:tcPr>
          <w:p w14:paraId="5C9DA9CE" w14:textId="77777777" w:rsidR="009617F5" w:rsidRPr="009617F5" w:rsidRDefault="009617F5" w:rsidP="009617F5">
            <w:pPr>
              <w:pStyle w:val="Texttabulky"/>
              <w:spacing w:after="0"/>
              <w:jc w:val="right"/>
              <w:rPr>
                <w:rFonts w:cs="Arial"/>
              </w:rPr>
            </w:pPr>
            <w:r w:rsidRPr="009617F5">
              <w:rPr>
                <w:rFonts w:cs="Arial"/>
              </w:rPr>
              <w:t>14,99</w:t>
            </w:r>
          </w:p>
        </w:tc>
      </w:tr>
      <w:tr w:rsidR="009617F5" w:rsidRPr="009617F5" w14:paraId="2B072E95"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2D5736F8" w14:textId="77777777" w:rsidR="009617F5" w:rsidRPr="009617F5" w:rsidRDefault="009617F5" w:rsidP="009617F5">
            <w:pPr>
              <w:pStyle w:val="Texttabulky"/>
              <w:spacing w:after="0"/>
              <w:rPr>
                <w:rFonts w:cs="Arial"/>
              </w:rPr>
            </w:pPr>
            <w:r w:rsidRPr="009617F5">
              <w:rPr>
                <w:rFonts w:cs="Arial"/>
              </w:rPr>
              <w:t>Prostřední Žleb</w:t>
            </w:r>
          </w:p>
        </w:tc>
        <w:tc>
          <w:tcPr>
            <w:tcW w:w="1023" w:type="dxa"/>
            <w:tcBorders>
              <w:top w:val="single" w:sz="6" w:space="0" w:color="auto"/>
              <w:left w:val="single" w:sz="6" w:space="0" w:color="auto"/>
              <w:bottom w:val="single" w:sz="6" w:space="0" w:color="auto"/>
              <w:right w:val="single" w:sz="6" w:space="0" w:color="auto"/>
            </w:tcBorders>
          </w:tcPr>
          <w:p w14:paraId="05E484B7" w14:textId="77777777" w:rsidR="009617F5" w:rsidRPr="009617F5" w:rsidRDefault="009617F5" w:rsidP="009617F5">
            <w:pPr>
              <w:pStyle w:val="Texttabulky"/>
              <w:spacing w:after="0"/>
              <w:jc w:val="right"/>
              <w:rPr>
                <w:rFonts w:cs="Arial"/>
              </w:rPr>
            </w:pPr>
            <w:r w:rsidRPr="009617F5">
              <w:rPr>
                <w:rFonts w:cs="Arial"/>
              </w:rPr>
              <w:t>98,86</w:t>
            </w:r>
          </w:p>
        </w:tc>
        <w:tc>
          <w:tcPr>
            <w:tcW w:w="662" w:type="dxa"/>
            <w:tcBorders>
              <w:top w:val="single" w:sz="6" w:space="0" w:color="auto"/>
              <w:left w:val="single" w:sz="6" w:space="0" w:color="auto"/>
              <w:bottom w:val="single" w:sz="6" w:space="0" w:color="auto"/>
              <w:right w:val="single" w:sz="6" w:space="0" w:color="auto"/>
            </w:tcBorders>
          </w:tcPr>
          <w:p w14:paraId="2AC411EF" w14:textId="77777777" w:rsidR="009617F5" w:rsidRPr="009617F5" w:rsidRDefault="009617F5" w:rsidP="009617F5">
            <w:pPr>
              <w:pStyle w:val="Texttabulky"/>
              <w:spacing w:after="0"/>
              <w:jc w:val="right"/>
              <w:rPr>
                <w:rFonts w:cs="Arial"/>
              </w:rPr>
            </w:pPr>
            <w:r w:rsidRPr="009617F5">
              <w:rPr>
                <w:rFonts w:cs="Arial"/>
              </w:rPr>
              <w:t>6,74</w:t>
            </w:r>
          </w:p>
        </w:tc>
        <w:tc>
          <w:tcPr>
            <w:tcW w:w="884" w:type="dxa"/>
            <w:tcBorders>
              <w:top w:val="single" w:sz="6" w:space="0" w:color="auto"/>
              <w:left w:val="single" w:sz="6" w:space="0" w:color="auto"/>
              <w:bottom w:val="single" w:sz="6" w:space="0" w:color="auto"/>
              <w:right w:val="single" w:sz="6" w:space="0" w:color="auto"/>
            </w:tcBorders>
          </w:tcPr>
          <w:p w14:paraId="3EF0D32B"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37E1EE31"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717B91E8" w14:textId="77777777" w:rsidR="009617F5" w:rsidRPr="009617F5" w:rsidRDefault="009617F5" w:rsidP="009617F5">
            <w:pPr>
              <w:pStyle w:val="Texttabulky"/>
              <w:spacing w:after="0"/>
              <w:jc w:val="right"/>
              <w:rPr>
                <w:rFonts w:cs="Arial"/>
              </w:rPr>
            </w:pPr>
            <w:r w:rsidRPr="009617F5">
              <w:rPr>
                <w:rFonts w:cs="Arial"/>
              </w:rPr>
              <w:t>34,85</w:t>
            </w:r>
          </w:p>
        </w:tc>
        <w:tc>
          <w:tcPr>
            <w:tcW w:w="650" w:type="dxa"/>
            <w:tcBorders>
              <w:top w:val="single" w:sz="6" w:space="0" w:color="auto"/>
              <w:left w:val="single" w:sz="6" w:space="0" w:color="auto"/>
              <w:bottom w:val="single" w:sz="6" w:space="0" w:color="auto"/>
              <w:right w:val="single" w:sz="6" w:space="0" w:color="auto"/>
            </w:tcBorders>
          </w:tcPr>
          <w:p w14:paraId="2C9975C2" w14:textId="77777777" w:rsidR="009617F5" w:rsidRPr="009617F5" w:rsidRDefault="009617F5" w:rsidP="009617F5">
            <w:pPr>
              <w:pStyle w:val="Texttabulky"/>
              <w:spacing w:after="0"/>
              <w:jc w:val="right"/>
              <w:rPr>
                <w:rFonts w:cs="Arial"/>
              </w:rPr>
            </w:pPr>
            <w:r w:rsidRPr="009617F5">
              <w:rPr>
                <w:rFonts w:cs="Arial"/>
              </w:rPr>
              <w:t>1,28</w:t>
            </w:r>
          </w:p>
        </w:tc>
        <w:tc>
          <w:tcPr>
            <w:tcW w:w="709" w:type="dxa"/>
            <w:tcBorders>
              <w:top w:val="single" w:sz="6" w:space="0" w:color="auto"/>
              <w:left w:val="single" w:sz="6" w:space="0" w:color="auto"/>
              <w:bottom w:val="single" w:sz="6" w:space="0" w:color="auto"/>
              <w:right w:val="single" w:sz="6" w:space="0" w:color="auto"/>
            </w:tcBorders>
          </w:tcPr>
          <w:p w14:paraId="16474C5A" w14:textId="77777777" w:rsidR="009617F5" w:rsidRPr="009617F5" w:rsidRDefault="009617F5" w:rsidP="009617F5">
            <w:pPr>
              <w:pStyle w:val="Texttabulky"/>
              <w:spacing w:after="0"/>
              <w:jc w:val="right"/>
              <w:rPr>
                <w:rFonts w:cs="Arial"/>
              </w:rPr>
            </w:pPr>
            <w:r w:rsidRPr="009617F5">
              <w:rPr>
                <w:rFonts w:cs="Arial"/>
              </w:rPr>
              <w:t>45,63</w:t>
            </w:r>
          </w:p>
        </w:tc>
        <w:tc>
          <w:tcPr>
            <w:tcW w:w="892" w:type="dxa"/>
            <w:tcBorders>
              <w:top w:val="single" w:sz="6" w:space="0" w:color="auto"/>
              <w:left w:val="single" w:sz="6" w:space="0" w:color="auto"/>
              <w:bottom w:val="single" w:sz="6" w:space="0" w:color="auto"/>
              <w:right w:val="single" w:sz="6" w:space="0" w:color="auto"/>
            </w:tcBorders>
          </w:tcPr>
          <w:p w14:paraId="4848C700" w14:textId="77777777" w:rsidR="009617F5" w:rsidRPr="009617F5" w:rsidRDefault="009617F5" w:rsidP="009617F5">
            <w:pPr>
              <w:pStyle w:val="Texttabulky"/>
              <w:spacing w:after="0"/>
              <w:jc w:val="right"/>
              <w:rPr>
                <w:rFonts w:cs="Arial"/>
              </w:rPr>
            </w:pPr>
            <w:r w:rsidRPr="009617F5">
              <w:rPr>
                <w:rFonts w:cs="Arial"/>
              </w:rPr>
              <w:t>10,36</w:t>
            </w:r>
          </w:p>
        </w:tc>
      </w:tr>
      <w:tr w:rsidR="009617F5" w:rsidRPr="009617F5" w14:paraId="4344AED2"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4D92CCF7" w14:textId="77777777" w:rsidR="009617F5" w:rsidRPr="009617F5" w:rsidRDefault="009617F5" w:rsidP="009617F5">
            <w:pPr>
              <w:pStyle w:val="Texttabulky"/>
              <w:spacing w:after="0"/>
              <w:rPr>
                <w:rFonts w:cs="Arial"/>
              </w:rPr>
            </w:pPr>
            <w:r w:rsidRPr="009617F5">
              <w:rPr>
                <w:rFonts w:cs="Arial"/>
              </w:rPr>
              <w:t>Děčín - Staré Město</w:t>
            </w:r>
          </w:p>
        </w:tc>
        <w:tc>
          <w:tcPr>
            <w:tcW w:w="1023" w:type="dxa"/>
            <w:tcBorders>
              <w:top w:val="single" w:sz="6" w:space="0" w:color="auto"/>
              <w:left w:val="single" w:sz="6" w:space="0" w:color="auto"/>
              <w:bottom w:val="single" w:sz="6" w:space="0" w:color="auto"/>
              <w:right w:val="single" w:sz="6" w:space="0" w:color="auto"/>
            </w:tcBorders>
          </w:tcPr>
          <w:p w14:paraId="13CDFA79" w14:textId="77777777" w:rsidR="009617F5" w:rsidRPr="009617F5" w:rsidRDefault="009617F5" w:rsidP="009617F5">
            <w:pPr>
              <w:pStyle w:val="Texttabulky"/>
              <w:spacing w:after="0"/>
              <w:jc w:val="right"/>
              <w:rPr>
                <w:rFonts w:cs="Arial"/>
              </w:rPr>
            </w:pPr>
            <w:r w:rsidRPr="009617F5">
              <w:rPr>
                <w:rFonts w:cs="Arial"/>
              </w:rPr>
              <w:t>87,72</w:t>
            </w:r>
          </w:p>
        </w:tc>
        <w:tc>
          <w:tcPr>
            <w:tcW w:w="662" w:type="dxa"/>
            <w:tcBorders>
              <w:top w:val="single" w:sz="6" w:space="0" w:color="auto"/>
              <w:left w:val="single" w:sz="6" w:space="0" w:color="auto"/>
              <w:bottom w:val="single" w:sz="6" w:space="0" w:color="auto"/>
              <w:right w:val="single" w:sz="6" w:space="0" w:color="auto"/>
            </w:tcBorders>
          </w:tcPr>
          <w:p w14:paraId="600EA628" w14:textId="77777777" w:rsidR="009617F5" w:rsidRPr="009617F5" w:rsidRDefault="009617F5" w:rsidP="009617F5">
            <w:pPr>
              <w:pStyle w:val="Texttabulky"/>
              <w:spacing w:after="0"/>
              <w:jc w:val="right"/>
              <w:rPr>
                <w:rFonts w:cs="Arial"/>
              </w:rPr>
            </w:pPr>
            <w:r w:rsidRPr="009617F5">
              <w:rPr>
                <w:rFonts w:cs="Arial"/>
              </w:rPr>
              <w:t>31,75</w:t>
            </w:r>
          </w:p>
        </w:tc>
        <w:tc>
          <w:tcPr>
            <w:tcW w:w="884" w:type="dxa"/>
            <w:tcBorders>
              <w:top w:val="single" w:sz="6" w:space="0" w:color="auto"/>
              <w:left w:val="single" w:sz="6" w:space="0" w:color="auto"/>
              <w:bottom w:val="single" w:sz="6" w:space="0" w:color="auto"/>
              <w:right w:val="single" w:sz="6" w:space="0" w:color="auto"/>
            </w:tcBorders>
          </w:tcPr>
          <w:p w14:paraId="2D094132"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5716EDE2"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25B0E553" w14:textId="77777777" w:rsidR="009617F5" w:rsidRPr="009617F5" w:rsidRDefault="009617F5" w:rsidP="009617F5">
            <w:pPr>
              <w:pStyle w:val="Texttabulky"/>
              <w:spacing w:after="0"/>
              <w:jc w:val="right"/>
              <w:rPr>
                <w:rFonts w:cs="Arial"/>
              </w:rPr>
            </w:pPr>
            <w:r w:rsidRPr="009617F5">
              <w:rPr>
                <w:rFonts w:cs="Arial"/>
              </w:rPr>
              <w:t>29,91</w:t>
            </w:r>
          </w:p>
        </w:tc>
        <w:tc>
          <w:tcPr>
            <w:tcW w:w="650" w:type="dxa"/>
            <w:tcBorders>
              <w:top w:val="single" w:sz="6" w:space="0" w:color="auto"/>
              <w:left w:val="single" w:sz="6" w:space="0" w:color="auto"/>
              <w:bottom w:val="single" w:sz="6" w:space="0" w:color="auto"/>
              <w:right w:val="single" w:sz="6" w:space="0" w:color="auto"/>
            </w:tcBorders>
          </w:tcPr>
          <w:p w14:paraId="0E5A5C0D" w14:textId="77777777" w:rsidR="009617F5" w:rsidRPr="009617F5" w:rsidRDefault="009617F5" w:rsidP="009617F5">
            <w:pPr>
              <w:pStyle w:val="Texttabulky"/>
              <w:spacing w:after="0"/>
              <w:jc w:val="right"/>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3B8A095C" w14:textId="77777777" w:rsidR="009617F5" w:rsidRPr="009617F5" w:rsidRDefault="009617F5" w:rsidP="009617F5">
            <w:pPr>
              <w:pStyle w:val="Texttabulky"/>
              <w:spacing w:after="0"/>
              <w:jc w:val="right"/>
              <w:rPr>
                <w:rFonts w:cs="Arial"/>
              </w:rPr>
            </w:pPr>
            <w:r w:rsidRPr="009617F5">
              <w:rPr>
                <w:rFonts w:cs="Arial"/>
              </w:rPr>
              <w:t>21,69</w:t>
            </w:r>
          </w:p>
        </w:tc>
        <w:tc>
          <w:tcPr>
            <w:tcW w:w="892" w:type="dxa"/>
            <w:tcBorders>
              <w:top w:val="single" w:sz="6" w:space="0" w:color="auto"/>
              <w:left w:val="single" w:sz="6" w:space="0" w:color="auto"/>
              <w:bottom w:val="single" w:sz="6" w:space="0" w:color="auto"/>
              <w:right w:val="single" w:sz="6" w:space="0" w:color="auto"/>
            </w:tcBorders>
          </w:tcPr>
          <w:p w14:paraId="3995CF76" w14:textId="77777777" w:rsidR="009617F5" w:rsidRPr="009617F5" w:rsidRDefault="009617F5" w:rsidP="009617F5">
            <w:pPr>
              <w:pStyle w:val="Texttabulky"/>
              <w:spacing w:after="0"/>
              <w:jc w:val="right"/>
              <w:rPr>
                <w:rFonts w:cs="Arial"/>
              </w:rPr>
            </w:pPr>
            <w:r w:rsidRPr="009617F5">
              <w:rPr>
                <w:rFonts w:cs="Arial"/>
              </w:rPr>
              <w:t>4,37</w:t>
            </w:r>
          </w:p>
        </w:tc>
      </w:tr>
      <w:tr w:rsidR="009617F5" w:rsidRPr="009617F5" w14:paraId="70700631"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3CF376AC" w14:textId="77777777" w:rsidR="009617F5" w:rsidRPr="009617F5" w:rsidRDefault="009617F5" w:rsidP="009617F5">
            <w:pPr>
              <w:pStyle w:val="Texttabulky"/>
              <w:spacing w:after="0"/>
              <w:rPr>
                <w:rFonts w:cs="Arial"/>
              </w:rPr>
            </w:pPr>
            <w:r w:rsidRPr="009617F5">
              <w:rPr>
                <w:rFonts w:cs="Arial"/>
              </w:rPr>
              <w:t>Vilsnice</w:t>
            </w:r>
          </w:p>
        </w:tc>
        <w:tc>
          <w:tcPr>
            <w:tcW w:w="1023" w:type="dxa"/>
            <w:tcBorders>
              <w:top w:val="single" w:sz="6" w:space="0" w:color="auto"/>
              <w:left w:val="single" w:sz="6" w:space="0" w:color="auto"/>
              <w:bottom w:val="single" w:sz="6" w:space="0" w:color="auto"/>
              <w:right w:val="single" w:sz="6" w:space="0" w:color="auto"/>
            </w:tcBorders>
          </w:tcPr>
          <w:p w14:paraId="631C69CB" w14:textId="77777777" w:rsidR="009617F5" w:rsidRPr="009617F5" w:rsidRDefault="009617F5" w:rsidP="009617F5">
            <w:pPr>
              <w:pStyle w:val="Texttabulky"/>
              <w:spacing w:after="0"/>
              <w:jc w:val="right"/>
              <w:rPr>
                <w:rFonts w:cs="Arial"/>
              </w:rPr>
            </w:pPr>
            <w:r w:rsidRPr="009617F5">
              <w:rPr>
                <w:rFonts w:cs="Arial"/>
              </w:rPr>
              <w:t>191,48</w:t>
            </w:r>
          </w:p>
        </w:tc>
        <w:tc>
          <w:tcPr>
            <w:tcW w:w="662" w:type="dxa"/>
            <w:tcBorders>
              <w:top w:val="single" w:sz="6" w:space="0" w:color="auto"/>
              <w:left w:val="single" w:sz="6" w:space="0" w:color="auto"/>
              <w:bottom w:val="single" w:sz="6" w:space="0" w:color="auto"/>
              <w:right w:val="single" w:sz="6" w:space="0" w:color="auto"/>
            </w:tcBorders>
          </w:tcPr>
          <w:p w14:paraId="54136B42" w14:textId="77777777" w:rsidR="009617F5" w:rsidRPr="009617F5" w:rsidRDefault="009617F5" w:rsidP="009617F5">
            <w:pPr>
              <w:pStyle w:val="Texttabulky"/>
              <w:spacing w:after="0"/>
              <w:jc w:val="right"/>
              <w:rPr>
                <w:rFonts w:cs="Arial"/>
              </w:rPr>
            </w:pPr>
            <w:r w:rsidRPr="009617F5">
              <w:rPr>
                <w:rFonts w:cs="Arial"/>
              </w:rPr>
              <w:t>49,64</w:t>
            </w:r>
          </w:p>
        </w:tc>
        <w:tc>
          <w:tcPr>
            <w:tcW w:w="884" w:type="dxa"/>
            <w:tcBorders>
              <w:top w:val="single" w:sz="6" w:space="0" w:color="auto"/>
              <w:left w:val="single" w:sz="6" w:space="0" w:color="auto"/>
              <w:bottom w:val="single" w:sz="6" w:space="0" w:color="auto"/>
              <w:right w:val="single" w:sz="6" w:space="0" w:color="auto"/>
            </w:tcBorders>
          </w:tcPr>
          <w:p w14:paraId="0806AD01"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0327B3AB"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2524525B" w14:textId="77777777" w:rsidR="009617F5" w:rsidRPr="009617F5" w:rsidRDefault="009617F5" w:rsidP="009617F5">
            <w:pPr>
              <w:pStyle w:val="Texttabulky"/>
              <w:spacing w:after="0"/>
              <w:jc w:val="right"/>
              <w:rPr>
                <w:rFonts w:cs="Arial"/>
              </w:rPr>
            </w:pPr>
            <w:r w:rsidRPr="009617F5">
              <w:rPr>
                <w:rFonts w:cs="Arial"/>
              </w:rPr>
              <w:t>25,47</w:t>
            </w:r>
          </w:p>
        </w:tc>
        <w:tc>
          <w:tcPr>
            <w:tcW w:w="650" w:type="dxa"/>
            <w:tcBorders>
              <w:top w:val="single" w:sz="6" w:space="0" w:color="auto"/>
              <w:left w:val="single" w:sz="6" w:space="0" w:color="auto"/>
              <w:bottom w:val="single" w:sz="6" w:space="0" w:color="auto"/>
              <w:right w:val="single" w:sz="6" w:space="0" w:color="auto"/>
            </w:tcBorders>
          </w:tcPr>
          <w:p w14:paraId="7D783F7B" w14:textId="77777777" w:rsidR="009617F5" w:rsidRPr="009617F5" w:rsidRDefault="009617F5" w:rsidP="009617F5">
            <w:pPr>
              <w:pStyle w:val="Texttabulky"/>
              <w:spacing w:after="0"/>
              <w:jc w:val="right"/>
              <w:rPr>
                <w:rFonts w:cs="Arial"/>
              </w:rPr>
            </w:pPr>
            <w:r w:rsidRPr="009617F5">
              <w:rPr>
                <w:rFonts w:cs="Arial"/>
              </w:rPr>
              <w:t>22,78</w:t>
            </w:r>
          </w:p>
        </w:tc>
        <w:tc>
          <w:tcPr>
            <w:tcW w:w="709" w:type="dxa"/>
            <w:tcBorders>
              <w:top w:val="single" w:sz="6" w:space="0" w:color="auto"/>
              <w:left w:val="single" w:sz="6" w:space="0" w:color="auto"/>
              <w:bottom w:val="single" w:sz="6" w:space="0" w:color="auto"/>
              <w:right w:val="single" w:sz="6" w:space="0" w:color="auto"/>
            </w:tcBorders>
          </w:tcPr>
          <w:p w14:paraId="09283B09" w14:textId="77777777" w:rsidR="009617F5" w:rsidRPr="009617F5" w:rsidRDefault="009617F5" w:rsidP="009617F5">
            <w:pPr>
              <w:pStyle w:val="Texttabulky"/>
              <w:spacing w:after="0"/>
              <w:jc w:val="right"/>
              <w:rPr>
                <w:rFonts w:cs="Arial"/>
              </w:rPr>
            </w:pPr>
            <w:r w:rsidRPr="009617F5">
              <w:rPr>
                <w:rFonts w:cs="Arial"/>
              </w:rPr>
              <w:t>19,69</w:t>
            </w:r>
          </w:p>
        </w:tc>
        <w:tc>
          <w:tcPr>
            <w:tcW w:w="892" w:type="dxa"/>
            <w:tcBorders>
              <w:top w:val="single" w:sz="6" w:space="0" w:color="auto"/>
              <w:left w:val="single" w:sz="6" w:space="0" w:color="auto"/>
              <w:bottom w:val="single" w:sz="6" w:space="0" w:color="auto"/>
              <w:right w:val="single" w:sz="6" w:space="0" w:color="auto"/>
            </w:tcBorders>
          </w:tcPr>
          <w:p w14:paraId="676D8ABB" w14:textId="77777777" w:rsidR="009617F5" w:rsidRPr="009617F5" w:rsidRDefault="009617F5" w:rsidP="009617F5">
            <w:pPr>
              <w:pStyle w:val="Texttabulky"/>
              <w:spacing w:after="0"/>
              <w:jc w:val="right"/>
              <w:rPr>
                <w:rFonts w:cs="Arial"/>
              </w:rPr>
            </w:pPr>
            <w:r w:rsidRPr="009617F5">
              <w:rPr>
                <w:rFonts w:cs="Arial"/>
              </w:rPr>
              <w:t>73,9</w:t>
            </w:r>
          </w:p>
        </w:tc>
      </w:tr>
      <w:tr w:rsidR="009617F5" w:rsidRPr="009617F5" w14:paraId="05056036"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14AA72F9" w14:textId="77777777" w:rsidR="009617F5" w:rsidRPr="009617F5" w:rsidRDefault="009617F5" w:rsidP="009617F5">
            <w:pPr>
              <w:pStyle w:val="Texttabulky"/>
              <w:spacing w:after="0"/>
              <w:rPr>
                <w:rFonts w:cs="Arial"/>
              </w:rPr>
            </w:pPr>
            <w:r w:rsidRPr="009617F5">
              <w:rPr>
                <w:rFonts w:cs="Arial"/>
              </w:rPr>
              <w:t>Dolní Žleb</w:t>
            </w:r>
          </w:p>
        </w:tc>
        <w:tc>
          <w:tcPr>
            <w:tcW w:w="1023" w:type="dxa"/>
            <w:tcBorders>
              <w:top w:val="single" w:sz="6" w:space="0" w:color="auto"/>
              <w:left w:val="single" w:sz="6" w:space="0" w:color="auto"/>
              <w:bottom w:val="single" w:sz="6" w:space="0" w:color="auto"/>
              <w:right w:val="single" w:sz="6" w:space="0" w:color="auto"/>
            </w:tcBorders>
          </w:tcPr>
          <w:p w14:paraId="6A0986F5" w14:textId="77777777" w:rsidR="009617F5" w:rsidRPr="009617F5" w:rsidRDefault="009617F5" w:rsidP="009617F5">
            <w:pPr>
              <w:pStyle w:val="Texttabulky"/>
              <w:spacing w:after="0"/>
              <w:jc w:val="right"/>
              <w:rPr>
                <w:rFonts w:cs="Arial"/>
              </w:rPr>
            </w:pPr>
            <w:r w:rsidRPr="009617F5">
              <w:rPr>
                <w:rFonts w:cs="Arial"/>
              </w:rPr>
              <w:t>28,87</w:t>
            </w:r>
          </w:p>
        </w:tc>
        <w:tc>
          <w:tcPr>
            <w:tcW w:w="662" w:type="dxa"/>
            <w:tcBorders>
              <w:top w:val="single" w:sz="6" w:space="0" w:color="auto"/>
              <w:left w:val="single" w:sz="6" w:space="0" w:color="auto"/>
              <w:bottom w:val="single" w:sz="6" w:space="0" w:color="auto"/>
              <w:right w:val="single" w:sz="6" w:space="0" w:color="auto"/>
            </w:tcBorders>
          </w:tcPr>
          <w:p w14:paraId="0A8B504E" w14:textId="77777777" w:rsidR="009617F5" w:rsidRPr="009617F5" w:rsidRDefault="009617F5" w:rsidP="009617F5">
            <w:pPr>
              <w:pStyle w:val="Texttabulky"/>
              <w:spacing w:after="0"/>
              <w:jc w:val="right"/>
              <w:rPr>
                <w:rFonts w:cs="Arial"/>
              </w:rPr>
            </w:pPr>
            <w:r w:rsidRPr="009617F5">
              <w:rPr>
                <w:rFonts w:cs="Arial"/>
              </w:rPr>
              <w:t>1,98</w:t>
            </w:r>
          </w:p>
        </w:tc>
        <w:tc>
          <w:tcPr>
            <w:tcW w:w="884" w:type="dxa"/>
            <w:tcBorders>
              <w:top w:val="single" w:sz="6" w:space="0" w:color="auto"/>
              <w:left w:val="single" w:sz="6" w:space="0" w:color="auto"/>
              <w:bottom w:val="single" w:sz="6" w:space="0" w:color="auto"/>
              <w:right w:val="single" w:sz="6" w:space="0" w:color="auto"/>
            </w:tcBorders>
          </w:tcPr>
          <w:p w14:paraId="1D947803"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63CCBCFD"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407B3510" w14:textId="77777777" w:rsidR="009617F5" w:rsidRPr="009617F5" w:rsidRDefault="009617F5" w:rsidP="009617F5">
            <w:pPr>
              <w:pStyle w:val="Texttabulky"/>
              <w:spacing w:after="0"/>
              <w:jc w:val="right"/>
              <w:rPr>
                <w:rFonts w:cs="Arial"/>
              </w:rPr>
            </w:pPr>
            <w:r w:rsidRPr="009617F5">
              <w:rPr>
                <w:rFonts w:cs="Arial"/>
              </w:rPr>
              <w:t>12,04</w:t>
            </w:r>
          </w:p>
        </w:tc>
        <w:tc>
          <w:tcPr>
            <w:tcW w:w="650" w:type="dxa"/>
            <w:tcBorders>
              <w:top w:val="single" w:sz="6" w:space="0" w:color="auto"/>
              <w:left w:val="single" w:sz="6" w:space="0" w:color="auto"/>
              <w:bottom w:val="single" w:sz="6" w:space="0" w:color="auto"/>
              <w:right w:val="single" w:sz="6" w:space="0" w:color="auto"/>
            </w:tcBorders>
          </w:tcPr>
          <w:p w14:paraId="51AF8A04" w14:textId="77777777" w:rsidR="009617F5" w:rsidRPr="009617F5" w:rsidRDefault="009617F5" w:rsidP="009617F5">
            <w:pPr>
              <w:pStyle w:val="Texttabulky"/>
              <w:spacing w:after="0"/>
              <w:jc w:val="right"/>
              <w:rPr>
                <w:rFonts w:cs="Arial"/>
              </w:rPr>
            </w:pPr>
            <w:r w:rsidRPr="009617F5">
              <w:rPr>
                <w:rFonts w:cs="Arial"/>
              </w:rPr>
              <w:t>0,72</w:t>
            </w:r>
          </w:p>
        </w:tc>
        <w:tc>
          <w:tcPr>
            <w:tcW w:w="709" w:type="dxa"/>
            <w:tcBorders>
              <w:top w:val="single" w:sz="6" w:space="0" w:color="auto"/>
              <w:left w:val="single" w:sz="6" w:space="0" w:color="auto"/>
              <w:bottom w:val="single" w:sz="6" w:space="0" w:color="auto"/>
              <w:right w:val="single" w:sz="6" w:space="0" w:color="auto"/>
            </w:tcBorders>
          </w:tcPr>
          <w:p w14:paraId="564EA82C" w14:textId="77777777" w:rsidR="009617F5" w:rsidRPr="009617F5" w:rsidRDefault="009617F5" w:rsidP="009617F5">
            <w:pPr>
              <w:pStyle w:val="Texttabulky"/>
              <w:spacing w:after="0"/>
              <w:jc w:val="right"/>
              <w:rPr>
                <w:rFonts w:cs="Arial"/>
              </w:rPr>
            </w:pPr>
            <w:r w:rsidRPr="009617F5">
              <w:rPr>
                <w:rFonts w:cs="Arial"/>
              </w:rPr>
              <w:t>10,41</w:t>
            </w:r>
          </w:p>
        </w:tc>
        <w:tc>
          <w:tcPr>
            <w:tcW w:w="892" w:type="dxa"/>
            <w:tcBorders>
              <w:top w:val="single" w:sz="6" w:space="0" w:color="auto"/>
              <w:left w:val="single" w:sz="6" w:space="0" w:color="auto"/>
              <w:bottom w:val="single" w:sz="6" w:space="0" w:color="auto"/>
              <w:right w:val="single" w:sz="6" w:space="0" w:color="auto"/>
            </w:tcBorders>
          </w:tcPr>
          <w:p w14:paraId="22968F54" w14:textId="77777777" w:rsidR="009617F5" w:rsidRPr="009617F5" w:rsidRDefault="009617F5" w:rsidP="009617F5">
            <w:pPr>
              <w:pStyle w:val="Texttabulky"/>
              <w:spacing w:after="0"/>
              <w:jc w:val="right"/>
              <w:rPr>
                <w:rFonts w:cs="Arial"/>
              </w:rPr>
            </w:pPr>
            <w:r w:rsidRPr="009617F5">
              <w:rPr>
                <w:rFonts w:cs="Arial"/>
              </w:rPr>
              <w:t>3,72</w:t>
            </w:r>
          </w:p>
        </w:tc>
      </w:tr>
      <w:tr w:rsidR="009617F5" w:rsidRPr="009617F5" w14:paraId="0250A5B0"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3A48B12A" w14:textId="77777777" w:rsidR="009617F5" w:rsidRPr="009617F5" w:rsidRDefault="009617F5" w:rsidP="009617F5">
            <w:pPr>
              <w:pStyle w:val="Texttabulky"/>
              <w:spacing w:after="0"/>
              <w:rPr>
                <w:rFonts w:cs="Arial"/>
              </w:rPr>
            </w:pPr>
            <w:r w:rsidRPr="009617F5">
              <w:rPr>
                <w:rFonts w:cs="Arial"/>
              </w:rPr>
              <w:t>Krásný Studenec</w:t>
            </w:r>
          </w:p>
        </w:tc>
        <w:tc>
          <w:tcPr>
            <w:tcW w:w="1023" w:type="dxa"/>
            <w:tcBorders>
              <w:top w:val="single" w:sz="6" w:space="0" w:color="auto"/>
              <w:left w:val="single" w:sz="6" w:space="0" w:color="auto"/>
              <w:bottom w:val="single" w:sz="6" w:space="0" w:color="auto"/>
              <w:right w:val="single" w:sz="6" w:space="0" w:color="auto"/>
            </w:tcBorders>
          </w:tcPr>
          <w:p w14:paraId="11C15EEB" w14:textId="77777777" w:rsidR="009617F5" w:rsidRPr="009617F5" w:rsidRDefault="009617F5" w:rsidP="009617F5">
            <w:pPr>
              <w:pStyle w:val="Texttabulky"/>
              <w:spacing w:after="0"/>
              <w:jc w:val="right"/>
              <w:rPr>
                <w:rFonts w:cs="Arial"/>
              </w:rPr>
            </w:pPr>
            <w:r w:rsidRPr="009617F5">
              <w:rPr>
                <w:rFonts w:cs="Arial"/>
              </w:rPr>
              <w:t>331,65</w:t>
            </w:r>
          </w:p>
        </w:tc>
        <w:tc>
          <w:tcPr>
            <w:tcW w:w="662" w:type="dxa"/>
            <w:tcBorders>
              <w:top w:val="single" w:sz="6" w:space="0" w:color="auto"/>
              <w:left w:val="single" w:sz="6" w:space="0" w:color="auto"/>
              <w:bottom w:val="single" w:sz="6" w:space="0" w:color="auto"/>
              <w:right w:val="single" w:sz="6" w:space="0" w:color="auto"/>
            </w:tcBorders>
          </w:tcPr>
          <w:p w14:paraId="42631BDD" w14:textId="77777777" w:rsidR="009617F5" w:rsidRPr="009617F5" w:rsidRDefault="009617F5" w:rsidP="009617F5">
            <w:pPr>
              <w:pStyle w:val="Texttabulky"/>
              <w:spacing w:after="0"/>
              <w:jc w:val="right"/>
              <w:rPr>
                <w:rFonts w:cs="Arial"/>
              </w:rPr>
            </w:pPr>
            <w:r w:rsidRPr="009617F5">
              <w:rPr>
                <w:rFonts w:cs="Arial"/>
              </w:rPr>
              <w:t>173,9</w:t>
            </w:r>
          </w:p>
        </w:tc>
        <w:tc>
          <w:tcPr>
            <w:tcW w:w="884" w:type="dxa"/>
            <w:tcBorders>
              <w:top w:val="single" w:sz="6" w:space="0" w:color="auto"/>
              <w:left w:val="single" w:sz="6" w:space="0" w:color="auto"/>
              <w:bottom w:val="single" w:sz="6" w:space="0" w:color="auto"/>
              <w:right w:val="single" w:sz="6" w:space="0" w:color="auto"/>
            </w:tcBorders>
          </w:tcPr>
          <w:p w14:paraId="6F30B37E"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3A62CA2E"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7AF325A4" w14:textId="77777777" w:rsidR="009617F5" w:rsidRPr="009617F5" w:rsidRDefault="009617F5" w:rsidP="009617F5">
            <w:pPr>
              <w:pStyle w:val="Texttabulky"/>
              <w:spacing w:after="0"/>
              <w:jc w:val="right"/>
              <w:rPr>
                <w:rFonts w:cs="Arial"/>
              </w:rPr>
            </w:pPr>
            <w:r w:rsidRPr="009617F5">
              <w:rPr>
                <w:rFonts w:cs="Arial"/>
              </w:rPr>
              <w:t>18,79</w:t>
            </w:r>
          </w:p>
        </w:tc>
        <w:tc>
          <w:tcPr>
            <w:tcW w:w="650" w:type="dxa"/>
            <w:tcBorders>
              <w:top w:val="single" w:sz="6" w:space="0" w:color="auto"/>
              <w:left w:val="single" w:sz="6" w:space="0" w:color="auto"/>
              <w:bottom w:val="single" w:sz="6" w:space="0" w:color="auto"/>
              <w:right w:val="single" w:sz="6" w:space="0" w:color="auto"/>
            </w:tcBorders>
          </w:tcPr>
          <w:p w14:paraId="5CF80A19" w14:textId="77777777" w:rsidR="009617F5" w:rsidRPr="009617F5" w:rsidRDefault="009617F5" w:rsidP="009617F5">
            <w:pPr>
              <w:pStyle w:val="Texttabulky"/>
              <w:spacing w:after="0"/>
              <w:jc w:val="right"/>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32A8554C" w14:textId="77777777" w:rsidR="009617F5" w:rsidRPr="009617F5" w:rsidRDefault="009617F5" w:rsidP="009617F5">
            <w:pPr>
              <w:pStyle w:val="Texttabulky"/>
              <w:spacing w:after="0"/>
              <w:jc w:val="right"/>
              <w:rPr>
                <w:rFonts w:cs="Arial"/>
              </w:rPr>
            </w:pPr>
            <w:r w:rsidRPr="009617F5">
              <w:rPr>
                <w:rFonts w:cs="Arial"/>
              </w:rPr>
              <w:t>61,63</w:t>
            </w:r>
          </w:p>
        </w:tc>
        <w:tc>
          <w:tcPr>
            <w:tcW w:w="892" w:type="dxa"/>
            <w:tcBorders>
              <w:top w:val="single" w:sz="6" w:space="0" w:color="auto"/>
              <w:left w:val="single" w:sz="6" w:space="0" w:color="auto"/>
              <w:bottom w:val="single" w:sz="6" w:space="0" w:color="auto"/>
              <w:right w:val="single" w:sz="6" w:space="0" w:color="auto"/>
            </w:tcBorders>
          </w:tcPr>
          <w:p w14:paraId="7EDD13E1" w14:textId="77777777" w:rsidR="009617F5" w:rsidRPr="009617F5" w:rsidRDefault="009617F5" w:rsidP="009617F5">
            <w:pPr>
              <w:pStyle w:val="Texttabulky"/>
              <w:spacing w:after="0"/>
              <w:jc w:val="right"/>
              <w:rPr>
                <w:rFonts w:cs="Arial"/>
              </w:rPr>
            </w:pPr>
            <w:r w:rsidRPr="009617F5">
              <w:rPr>
                <w:rFonts w:cs="Arial"/>
              </w:rPr>
              <w:t>77,33</w:t>
            </w:r>
          </w:p>
        </w:tc>
      </w:tr>
      <w:tr w:rsidR="009617F5" w:rsidRPr="009617F5" w14:paraId="37706207"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6AF109A8" w14:textId="77777777" w:rsidR="009617F5" w:rsidRPr="009617F5" w:rsidRDefault="009617F5" w:rsidP="009617F5">
            <w:pPr>
              <w:pStyle w:val="Texttabulky"/>
              <w:spacing w:after="0"/>
              <w:rPr>
                <w:rFonts w:cs="Arial"/>
              </w:rPr>
            </w:pPr>
            <w:r w:rsidRPr="009617F5">
              <w:rPr>
                <w:rFonts w:cs="Arial"/>
              </w:rPr>
              <w:t>Březiny u Děčína</w:t>
            </w:r>
          </w:p>
        </w:tc>
        <w:tc>
          <w:tcPr>
            <w:tcW w:w="1023" w:type="dxa"/>
            <w:tcBorders>
              <w:top w:val="single" w:sz="6" w:space="0" w:color="auto"/>
              <w:left w:val="single" w:sz="6" w:space="0" w:color="auto"/>
              <w:bottom w:val="single" w:sz="6" w:space="0" w:color="auto"/>
              <w:right w:val="single" w:sz="6" w:space="0" w:color="auto"/>
            </w:tcBorders>
          </w:tcPr>
          <w:p w14:paraId="3C0C5F21" w14:textId="77777777" w:rsidR="009617F5" w:rsidRPr="009617F5" w:rsidRDefault="009617F5" w:rsidP="009617F5">
            <w:pPr>
              <w:pStyle w:val="Texttabulky"/>
              <w:spacing w:after="0"/>
              <w:jc w:val="right"/>
              <w:rPr>
                <w:rFonts w:cs="Arial"/>
              </w:rPr>
            </w:pPr>
            <w:r w:rsidRPr="009617F5">
              <w:rPr>
                <w:rFonts w:cs="Arial"/>
              </w:rPr>
              <w:t>197,57</w:t>
            </w:r>
          </w:p>
        </w:tc>
        <w:tc>
          <w:tcPr>
            <w:tcW w:w="662" w:type="dxa"/>
            <w:tcBorders>
              <w:top w:val="single" w:sz="6" w:space="0" w:color="auto"/>
              <w:left w:val="single" w:sz="6" w:space="0" w:color="auto"/>
              <w:bottom w:val="single" w:sz="6" w:space="0" w:color="auto"/>
              <w:right w:val="single" w:sz="6" w:space="0" w:color="auto"/>
            </w:tcBorders>
          </w:tcPr>
          <w:p w14:paraId="41AA5186" w14:textId="77777777" w:rsidR="009617F5" w:rsidRPr="009617F5" w:rsidRDefault="009617F5" w:rsidP="009617F5">
            <w:pPr>
              <w:pStyle w:val="Texttabulky"/>
              <w:spacing w:after="0"/>
              <w:jc w:val="right"/>
              <w:rPr>
                <w:rFonts w:cs="Arial"/>
              </w:rPr>
            </w:pPr>
            <w:r w:rsidRPr="009617F5">
              <w:rPr>
                <w:rFonts w:cs="Arial"/>
              </w:rPr>
              <w:t>53,7</w:t>
            </w:r>
          </w:p>
        </w:tc>
        <w:tc>
          <w:tcPr>
            <w:tcW w:w="884" w:type="dxa"/>
            <w:tcBorders>
              <w:top w:val="single" w:sz="6" w:space="0" w:color="auto"/>
              <w:left w:val="single" w:sz="6" w:space="0" w:color="auto"/>
              <w:bottom w:val="single" w:sz="6" w:space="0" w:color="auto"/>
              <w:right w:val="single" w:sz="6" w:space="0" w:color="auto"/>
            </w:tcBorders>
          </w:tcPr>
          <w:p w14:paraId="3E066808"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16D1D965"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0B8DAD0B" w14:textId="77777777" w:rsidR="009617F5" w:rsidRPr="009617F5" w:rsidRDefault="009617F5" w:rsidP="009617F5">
            <w:pPr>
              <w:pStyle w:val="Texttabulky"/>
              <w:spacing w:after="0"/>
              <w:jc w:val="right"/>
              <w:rPr>
                <w:rFonts w:cs="Arial"/>
              </w:rPr>
            </w:pPr>
            <w:r w:rsidRPr="009617F5">
              <w:rPr>
                <w:rFonts w:cs="Arial"/>
              </w:rPr>
              <w:t>16,41</w:t>
            </w:r>
          </w:p>
        </w:tc>
        <w:tc>
          <w:tcPr>
            <w:tcW w:w="650" w:type="dxa"/>
            <w:tcBorders>
              <w:top w:val="single" w:sz="6" w:space="0" w:color="auto"/>
              <w:left w:val="single" w:sz="6" w:space="0" w:color="auto"/>
              <w:bottom w:val="single" w:sz="6" w:space="0" w:color="auto"/>
              <w:right w:val="single" w:sz="6" w:space="0" w:color="auto"/>
            </w:tcBorders>
          </w:tcPr>
          <w:p w14:paraId="55343F0F" w14:textId="77777777" w:rsidR="009617F5" w:rsidRPr="009617F5" w:rsidRDefault="009617F5" w:rsidP="009617F5">
            <w:pPr>
              <w:pStyle w:val="Texttabulky"/>
              <w:spacing w:after="0"/>
              <w:jc w:val="right"/>
              <w:rPr>
                <w:rFonts w:cs="Arial"/>
              </w:rPr>
            </w:pPr>
            <w:r w:rsidRPr="009617F5">
              <w:rPr>
                <w:rFonts w:cs="Arial"/>
              </w:rPr>
              <w:t>35,64</w:t>
            </w:r>
          </w:p>
        </w:tc>
        <w:tc>
          <w:tcPr>
            <w:tcW w:w="709" w:type="dxa"/>
            <w:tcBorders>
              <w:top w:val="single" w:sz="6" w:space="0" w:color="auto"/>
              <w:left w:val="single" w:sz="6" w:space="0" w:color="auto"/>
              <w:bottom w:val="single" w:sz="6" w:space="0" w:color="auto"/>
              <w:right w:val="single" w:sz="6" w:space="0" w:color="auto"/>
            </w:tcBorders>
          </w:tcPr>
          <w:p w14:paraId="506407E7" w14:textId="77777777" w:rsidR="009617F5" w:rsidRPr="009617F5" w:rsidRDefault="009617F5" w:rsidP="009617F5">
            <w:pPr>
              <w:pStyle w:val="Texttabulky"/>
              <w:spacing w:after="0"/>
              <w:jc w:val="right"/>
              <w:rPr>
                <w:rFonts w:cs="Arial"/>
              </w:rPr>
            </w:pPr>
            <w:r w:rsidRPr="009617F5">
              <w:rPr>
                <w:rFonts w:cs="Arial"/>
              </w:rPr>
              <w:t>56,68</w:t>
            </w:r>
          </w:p>
        </w:tc>
        <w:tc>
          <w:tcPr>
            <w:tcW w:w="892" w:type="dxa"/>
            <w:tcBorders>
              <w:top w:val="single" w:sz="6" w:space="0" w:color="auto"/>
              <w:left w:val="single" w:sz="6" w:space="0" w:color="auto"/>
              <w:bottom w:val="single" w:sz="6" w:space="0" w:color="auto"/>
              <w:right w:val="single" w:sz="6" w:space="0" w:color="auto"/>
            </w:tcBorders>
          </w:tcPr>
          <w:p w14:paraId="28900083" w14:textId="77777777" w:rsidR="009617F5" w:rsidRPr="009617F5" w:rsidRDefault="009617F5" w:rsidP="009617F5">
            <w:pPr>
              <w:pStyle w:val="Texttabulky"/>
              <w:spacing w:after="0"/>
              <w:jc w:val="right"/>
              <w:rPr>
                <w:rFonts w:cs="Arial"/>
              </w:rPr>
            </w:pPr>
            <w:r w:rsidRPr="009617F5">
              <w:rPr>
                <w:rFonts w:cs="Arial"/>
              </w:rPr>
              <w:t>35,14</w:t>
            </w:r>
          </w:p>
        </w:tc>
      </w:tr>
      <w:tr w:rsidR="009617F5" w:rsidRPr="009617F5" w14:paraId="775FD1B7"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6D6D8879" w14:textId="77777777" w:rsidR="009617F5" w:rsidRPr="009617F5" w:rsidRDefault="009617F5" w:rsidP="009617F5">
            <w:pPr>
              <w:pStyle w:val="Texttabulky"/>
              <w:spacing w:after="0"/>
              <w:rPr>
                <w:rFonts w:cs="Arial"/>
              </w:rPr>
            </w:pPr>
            <w:r w:rsidRPr="009617F5">
              <w:rPr>
                <w:rFonts w:cs="Arial"/>
              </w:rPr>
              <w:t>Folknáře</w:t>
            </w:r>
          </w:p>
        </w:tc>
        <w:tc>
          <w:tcPr>
            <w:tcW w:w="1023" w:type="dxa"/>
            <w:tcBorders>
              <w:top w:val="single" w:sz="6" w:space="0" w:color="auto"/>
              <w:left w:val="single" w:sz="6" w:space="0" w:color="auto"/>
              <w:bottom w:val="single" w:sz="6" w:space="0" w:color="auto"/>
              <w:right w:val="single" w:sz="6" w:space="0" w:color="auto"/>
            </w:tcBorders>
          </w:tcPr>
          <w:p w14:paraId="1E19734F" w14:textId="77777777" w:rsidR="009617F5" w:rsidRPr="009617F5" w:rsidRDefault="009617F5" w:rsidP="009617F5">
            <w:pPr>
              <w:pStyle w:val="Texttabulky"/>
              <w:spacing w:after="0"/>
              <w:jc w:val="right"/>
              <w:rPr>
                <w:rFonts w:cs="Arial"/>
              </w:rPr>
            </w:pPr>
            <w:r w:rsidRPr="009617F5">
              <w:rPr>
                <w:rFonts w:cs="Arial"/>
              </w:rPr>
              <w:t>131,26</w:t>
            </w:r>
          </w:p>
        </w:tc>
        <w:tc>
          <w:tcPr>
            <w:tcW w:w="662" w:type="dxa"/>
            <w:tcBorders>
              <w:top w:val="single" w:sz="6" w:space="0" w:color="auto"/>
              <w:left w:val="single" w:sz="6" w:space="0" w:color="auto"/>
              <w:bottom w:val="single" w:sz="6" w:space="0" w:color="auto"/>
              <w:right w:val="single" w:sz="6" w:space="0" w:color="auto"/>
            </w:tcBorders>
          </w:tcPr>
          <w:p w14:paraId="51696029" w14:textId="77777777" w:rsidR="009617F5" w:rsidRPr="009617F5" w:rsidRDefault="009617F5" w:rsidP="009617F5">
            <w:pPr>
              <w:pStyle w:val="Texttabulky"/>
              <w:spacing w:after="0"/>
              <w:jc w:val="right"/>
              <w:rPr>
                <w:rFonts w:cs="Arial"/>
              </w:rPr>
            </w:pPr>
            <w:r w:rsidRPr="009617F5">
              <w:rPr>
                <w:rFonts w:cs="Arial"/>
              </w:rPr>
              <w:t>89,85</w:t>
            </w:r>
          </w:p>
        </w:tc>
        <w:tc>
          <w:tcPr>
            <w:tcW w:w="884" w:type="dxa"/>
            <w:tcBorders>
              <w:top w:val="single" w:sz="6" w:space="0" w:color="auto"/>
              <w:left w:val="single" w:sz="6" w:space="0" w:color="auto"/>
              <w:bottom w:val="single" w:sz="6" w:space="0" w:color="auto"/>
              <w:right w:val="single" w:sz="6" w:space="0" w:color="auto"/>
            </w:tcBorders>
          </w:tcPr>
          <w:p w14:paraId="529AE327"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1B093C57"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4C5CA208" w14:textId="77777777" w:rsidR="009617F5" w:rsidRPr="009617F5" w:rsidRDefault="009617F5" w:rsidP="009617F5">
            <w:pPr>
              <w:pStyle w:val="Texttabulky"/>
              <w:spacing w:after="0"/>
              <w:jc w:val="right"/>
              <w:rPr>
                <w:rFonts w:cs="Arial"/>
              </w:rPr>
            </w:pPr>
            <w:r w:rsidRPr="009617F5">
              <w:rPr>
                <w:rFonts w:cs="Arial"/>
              </w:rPr>
              <w:t>17,86</w:t>
            </w:r>
          </w:p>
        </w:tc>
        <w:tc>
          <w:tcPr>
            <w:tcW w:w="650" w:type="dxa"/>
            <w:tcBorders>
              <w:top w:val="single" w:sz="6" w:space="0" w:color="auto"/>
              <w:left w:val="single" w:sz="6" w:space="0" w:color="auto"/>
              <w:bottom w:val="single" w:sz="6" w:space="0" w:color="auto"/>
              <w:right w:val="single" w:sz="6" w:space="0" w:color="auto"/>
            </w:tcBorders>
          </w:tcPr>
          <w:p w14:paraId="18C0F13D" w14:textId="77777777" w:rsidR="009617F5" w:rsidRPr="009617F5" w:rsidRDefault="009617F5" w:rsidP="009617F5">
            <w:pPr>
              <w:pStyle w:val="Texttabulky"/>
              <w:spacing w:after="0"/>
              <w:jc w:val="right"/>
              <w:rPr>
                <w:rFonts w:cs="Arial"/>
              </w:rPr>
            </w:pPr>
            <w:r w:rsidRPr="009617F5">
              <w:rPr>
                <w:rFonts w:cs="Arial"/>
              </w:rPr>
              <w:t>11,05</w:t>
            </w:r>
          </w:p>
        </w:tc>
        <w:tc>
          <w:tcPr>
            <w:tcW w:w="709" w:type="dxa"/>
            <w:tcBorders>
              <w:top w:val="single" w:sz="6" w:space="0" w:color="auto"/>
              <w:left w:val="single" w:sz="6" w:space="0" w:color="auto"/>
              <w:bottom w:val="single" w:sz="6" w:space="0" w:color="auto"/>
              <w:right w:val="single" w:sz="6" w:space="0" w:color="auto"/>
            </w:tcBorders>
          </w:tcPr>
          <w:p w14:paraId="3CF36CF4" w14:textId="77777777" w:rsidR="009617F5" w:rsidRPr="009617F5" w:rsidRDefault="009617F5" w:rsidP="009617F5">
            <w:pPr>
              <w:pStyle w:val="Texttabulky"/>
              <w:spacing w:after="0"/>
              <w:jc w:val="right"/>
              <w:rPr>
                <w:rFonts w:cs="Arial"/>
              </w:rPr>
            </w:pPr>
            <w:r w:rsidRPr="009617F5">
              <w:rPr>
                <w:rFonts w:cs="Arial"/>
              </w:rPr>
              <w:t>8,38</w:t>
            </w:r>
          </w:p>
        </w:tc>
        <w:tc>
          <w:tcPr>
            <w:tcW w:w="892" w:type="dxa"/>
            <w:tcBorders>
              <w:top w:val="single" w:sz="6" w:space="0" w:color="auto"/>
              <w:left w:val="single" w:sz="6" w:space="0" w:color="auto"/>
              <w:bottom w:val="single" w:sz="6" w:space="0" w:color="auto"/>
              <w:right w:val="single" w:sz="6" w:space="0" w:color="auto"/>
            </w:tcBorders>
          </w:tcPr>
          <w:p w14:paraId="61A7A488" w14:textId="77777777" w:rsidR="009617F5" w:rsidRPr="009617F5" w:rsidRDefault="009617F5" w:rsidP="009617F5">
            <w:pPr>
              <w:pStyle w:val="Texttabulky"/>
              <w:spacing w:after="0"/>
              <w:jc w:val="right"/>
              <w:rPr>
                <w:rFonts w:cs="Arial"/>
              </w:rPr>
            </w:pPr>
            <w:r w:rsidRPr="009617F5">
              <w:rPr>
                <w:rFonts w:cs="Arial"/>
              </w:rPr>
              <w:t>4,12</w:t>
            </w:r>
          </w:p>
        </w:tc>
      </w:tr>
      <w:tr w:rsidR="009617F5" w:rsidRPr="009617F5" w14:paraId="729E31C4"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31FD514B" w14:textId="77777777" w:rsidR="009617F5" w:rsidRPr="009617F5" w:rsidRDefault="009617F5" w:rsidP="009617F5">
            <w:pPr>
              <w:pStyle w:val="Texttabulky"/>
              <w:spacing w:after="0"/>
              <w:rPr>
                <w:rFonts w:cs="Arial"/>
              </w:rPr>
            </w:pPr>
            <w:r w:rsidRPr="009617F5">
              <w:rPr>
                <w:rFonts w:cs="Arial"/>
              </w:rPr>
              <w:t>Chlum u Děčína</w:t>
            </w:r>
          </w:p>
        </w:tc>
        <w:tc>
          <w:tcPr>
            <w:tcW w:w="1023" w:type="dxa"/>
            <w:tcBorders>
              <w:top w:val="single" w:sz="6" w:space="0" w:color="auto"/>
              <w:left w:val="single" w:sz="6" w:space="0" w:color="auto"/>
              <w:bottom w:val="single" w:sz="6" w:space="0" w:color="auto"/>
              <w:right w:val="single" w:sz="6" w:space="0" w:color="auto"/>
            </w:tcBorders>
          </w:tcPr>
          <w:p w14:paraId="5E246ECE" w14:textId="77777777" w:rsidR="009617F5" w:rsidRPr="009617F5" w:rsidRDefault="009617F5" w:rsidP="009617F5">
            <w:pPr>
              <w:pStyle w:val="Texttabulky"/>
              <w:spacing w:after="0"/>
              <w:jc w:val="right"/>
              <w:rPr>
                <w:rFonts w:cs="Arial"/>
              </w:rPr>
            </w:pPr>
            <w:r w:rsidRPr="009617F5">
              <w:rPr>
                <w:rFonts w:cs="Arial"/>
              </w:rPr>
              <w:t>197,52</w:t>
            </w:r>
          </w:p>
        </w:tc>
        <w:tc>
          <w:tcPr>
            <w:tcW w:w="662" w:type="dxa"/>
            <w:tcBorders>
              <w:top w:val="single" w:sz="6" w:space="0" w:color="auto"/>
              <w:left w:val="single" w:sz="6" w:space="0" w:color="auto"/>
              <w:bottom w:val="single" w:sz="6" w:space="0" w:color="auto"/>
              <w:right w:val="single" w:sz="6" w:space="0" w:color="auto"/>
            </w:tcBorders>
          </w:tcPr>
          <w:p w14:paraId="36BBB665" w14:textId="77777777" w:rsidR="009617F5" w:rsidRPr="009617F5" w:rsidRDefault="009617F5" w:rsidP="009617F5">
            <w:pPr>
              <w:pStyle w:val="Texttabulky"/>
              <w:spacing w:after="0"/>
              <w:jc w:val="right"/>
              <w:rPr>
                <w:rFonts w:cs="Arial"/>
              </w:rPr>
            </w:pPr>
            <w:r w:rsidRPr="009617F5">
              <w:rPr>
                <w:rFonts w:cs="Arial"/>
              </w:rPr>
              <w:t>36,45</w:t>
            </w:r>
          </w:p>
        </w:tc>
        <w:tc>
          <w:tcPr>
            <w:tcW w:w="884" w:type="dxa"/>
            <w:tcBorders>
              <w:top w:val="single" w:sz="6" w:space="0" w:color="auto"/>
              <w:left w:val="single" w:sz="6" w:space="0" w:color="auto"/>
              <w:bottom w:val="single" w:sz="6" w:space="0" w:color="auto"/>
              <w:right w:val="single" w:sz="6" w:space="0" w:color="auto"/>
            </w:tcBorders>
          </w:tcPr>
          <w:p w14:paraId="5A510733"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718E0671"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709A11DD" w14:textId="77777777" w:rsidR="009617F5" w:rsidRPr="009617F5" w:rsidRDefault="009617F5" w:rsidP="009617F5">
            <w:pPr>
              <w:pStyle w:val="Texttabulky"/>
              <w:spacing w:after="0"/>
              <w:jc w:val="right"/>
              <w:rPr>
                <w:rFonts w:cs="Arial"/>
              </w:rPr>
            </w:pPr>
            <w:r w:rsidRPr="009617F5">
              <w:rPr>
                <w:rFonts w:cs="Arial"/>
              </w:rPr>
              <w:t>6,24</w:t>
            </w:r>
          </w:p>
        </w:tc>
        <w:tc>
          <w:tcPr>
            <w:tcW w:w="650" w:type="dxa"/>
            <w:tcBorders>
              <w:top w:val="single" w:sz="6" w:space="0" w:color="auto"/>
              <w:left w:val="single" w:sz="6" w:space="0" w:color="auto"/>
              <w:bottom w:val="single" w:sz="6" w:space="0" w:color="auto"/>
              <w:right w:val="single" w:sz="6" w:space="0" w:color="auto"/>
            </w:tcBorders>
          </w:tcPr>
          <w:p w14:paraId="61AC2C04" w14:textId="77777777" w:rsidR="009617F5" w:rsidRPr="009617F5" w:rsidRDefault="009617F5" w:rsidP="009617F5">
            <w:pPr>
              <w:pStyle w:val="Texttabulky"/>
              <w:spacing w:after="0"/>
              <w:jc w:val="right"/>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2521827A" w14:textId="77777777" w:rsidR="009617F5" w:rsidRPr="009617F5" w:rsidRDefault="009617F5" w:rsidP="009617F5">
            <w:pPr>
              <w:pStyle w:val="Texttabulky"/>
              <w:spacing w:after="0"/>
              <w:jc w:val="right"/>
              <w:rPr>
                <w:rFonts w:cs="Arial"/>
              </w:rPr>
            </w:pPr>
            <w:r w:rsidRPr="009617F5">
              <w:rPr>
                <w:rFonts w:cs="Arial"/>
              </w:rPr>
              <w:t>64,68</w:t>
            </w:r>
          </w:p>
        </w:tc>
        <w:tc>
          <w:tcPr>
            <w:tcW w:w="892" w:type="dxa"/>
            <w:tcBorders>
              <w:top w:val="single" w:sz="6" w:space="0" w:color="auto"/>
              <w:left w:val="single" w:sz="6" w:space="0" w:color="auto"/>
              <w:bottom w:val="single" w:sz="6" w:space="0" w:color="auto"/>
              <w:right w:val="single" w:sz="6" w:space="0" w:color="auto"/>
            </w:tcBorders>
          </w:tcPr>
          <w:p w14:paraId="119740D0" w14:textId="77777777" w:rsidR="009617F5" w:rsidRPr="009617F5" w:rsidRDefault="009617F5" w:rsidP="009617F5">
            <w:pPr>
              <w:pStyle w:val="Texttabulky"/>
              <w:spacing w:after="0"/>
              <w:jc w:val="right"/>
              <w:rPr>
                <w:rFonts w:cs="Arial"/>
              </w:rPr>
            </w:pPr>
            <w:r w:rsidRPr="009617F5">
              <w:rPr>
                <w:rFonts w:cs="Arial"/>
              </w:rPr>
              <w:t>90,16</w:t>
            </w:r>
          </w:p>
        </w:tc>
      </w:tr>
      <w:tr w:rsidR="009617F5" w:rsidRPr="009617F5" w14:paraId="565B7F6B"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39E833F9" w14:textId="77777777" w:rsidR="009617F5" w:rsidRPr="009617F5" w:rsidRDefault="009617F5" w:rsidP="009617F5">
            <w:pPr>
              <w:pStyle w:val="Texttabulky"/>
              <w:spacing w:after="0"/>
              <w:rPr>
                <w:rFonts w:cs="Arial"/>
              </w:rPr>
            </w:pPr>
            <w:r w:rsidRPr="009617F5">
              <w:rPr>
                <w:rFonts w:cs="Arial"/>
              </w:rPr>
              <w:t>Boletice nad Labem</w:t>
            </w:r>
          </w:p>
        </w:tc>
        <w:tc>
          <w:tcPr>
            <w:tcW w:w="1023" w:type="dxa"/>
            <w:tcBorders>
              <w:top w:val="single" w:sz="6" w:space="0" w:color="auto"/>
              <w:left w:val="single" w:sz="6" w:space="0" w:color="auto"/>
              <w:bottom w:val="single" w:sz="6" w:space="0" w:color="auto"/>
              <w:right w:val="single" w:sz="6" w:space="0" w:color="auto"/>
            </w:tcBorders>
          </w:tcPr>
          <w:p w14:paraId="1C1EB665" w14:textId="77777777" w:rsidR="009617F5" w:rsidRPr="009617F5" w:rsidRDefault="009617F5" w:rsidP="009617F5">
            <w:pPr>
              <w:pStyle w:val="Texttabulky"/>
              <w:spacing w:after="0"/>
              <w:jc w:val="right"/>
              <w:rPr>
                <w:rFonts w:cs="Arial"/>
              </w:rPr>
            </w:pPr>
            <w:r w:rsidRPr="009617F5">
              <w:rPr>
                <w:rFonts w:cs="Arial"/>
              </w:rPr>
              <w:t>113,13</w:t>
            </w:r>
          </w:p>
        </w:tc>
        <w:tc>
          <w:tcPr>
            <w:tcW w:w="662" w:type="dxa"/>
            <w:tcBorders>
              <w:top w:val="single" w:sz="6" w:space="0" w:color="auto"/>
              <w:left w:val="single" w:sz="6" w:space="0" w:color="auto"/>
              <w:bottom w:val="single" w:sz="6" w:space="0" w:color="auto"/>
              <w:right w:val="single" w:sz="6" w:space="0" w:color="auto"/>
            </w:tcBorders>
          </w:tcPr>
          <w:p w14:paraId="6147F97C" w14:textId="77777777" w:rsidR="009617F5" w:rsidRPr="009617F5" w:rsidRDefault="009617F5" w:rsidP="009617F5">
            <w:pPr>
              <w:pStyle w:val="Texttabulky"/>
              <w:spacing w:after="0"/>
              <w:jc w:val="right"/>
              <w:rPr>
                <w:rFonts w:cs="Arial"/>
              </w:rPr>
            </w:pPr>
            <w:r w:rsidRPr="009617F5">
              <w:rPr>
                <w:rFonts w:cs="Arial"/>
              </w:rPr>
              <w:t>46,98</w:t>
            </w:r>
          </w:p>
        </w:tc>
        <w:tc>
          <w:tcPr>
            <w:tcW w:w="884" w:type="dxa"/>
            <w:tcBorders>
              <w:top w:val="single" w:sz="6" w:space="0" w:color="auto"/>
              <w:left w:val="single" w:sz="6" w:space="0" w:color="auto"/>
              <w:bottom w:val="single" w:sz="6" w:space="0" w:color="auto"/>
              <w:right w:val="single" w:sz="6" w:space="0" w:color="auto"/>
            </w:tcBorders>
          </w:tcPr>
          <w:p w14:paraId="213AFE1D"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6F335FDF"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20F1D6D7" w14:textId="77777777" w:rsidR="009617F5" w:rsidRPr="009617F5" w:rsidRDefault="009617F5" w:rsidP="009617F5">
            <w:pPr>
              <w:pStyle w:val="Texttabulky"/>
              <w:spacing w:after="0"/>
              <w:jc w:val="right"/>
              <w:rPr>
                <w:rFonts w:cs="Arial"/>
              </w:rPr>
            </w:pPr>
            <w:r w:rsidRPr="009617F5">
              <w:rPr>
                <w:rFonts w:cs="Arial"/>
              </w:rPr>
              <w:t>23,08</w:t>
            </w:r>
          </w:p>
        </w:tc>
        <w:tc>
          <w:tcPr>
            <w:tcW w:w="650" w:type="dxa"/>
            <w:tcBorders>
              <w:top w:val="single" w:sz="6" w:space="0" w:color="auto"/>
              <w:left w:val="single" w:sz="6" w:space="0" w:color="auto"/>
              <w:bottom w:val="single" w:sz="6" w:space="0" w:color="auto"/>
              <w:right w:val="single" w:sz="6" w:space="0" w:color="auto"/>
            </w:tcBorders>
          </w:tcPr>
          <w:p w14:paraId="78CBAE13" w14:textId="77777777" w:rsidR="009617F5" w:rsidRPr="009617F5" w:rsidRDefault="009617F5" w:rsidP="009617F5">
            <w:pPr>
              <w:pStyle w:val="Texttabulky"/>
              <w:spacing w:after="0"/>
              <w:jc w:val="right"/>
              <w:rPr>
                <w:rFonts w:cs="Arial"/>
              </w:rPr>
            </w:pPr>
            <w:r w:rsidRPr="009617F5">
              <w:rPr>
                <w:rFonts w:cs="Arial"/>
              </w:rPr>
              <w:t>15,07</w:t>
            </w:r>
          </w:p>
        </w:tc>
        <w:tc>
          <w:tcPr>
            <w:tcW w:w="709" w:type="dxa"/>
            <w:tcBorders>
              <w:top w:val="single" w:sz="6" w:space="0" w:color="auto"/>
              <w:left w:val="single" w:sz="6" w:space="0" w:color="auto"/>
              <w:bottom w:val="single" w:sz="6" w:space="0" w:color="auto"/>
              <w:right w:val="single" w:sz="6" w:space="0" w:color="auto"/>
            </w:tcBorders>
          </w:tcPr>
          <w:p w14:paraId="38E2030B" w14:textId="77777777" w:rsidR="009617F5" w:rsidRPr="009617F5" w:rsidRDefault="009617F5" w:rsidP="009617F5">
            <w:pPr>
              <w:pStyle w:val="Texttabulky"/>
              <w:spacing w:after="0"/>
              <w:jc w:val="right"/>
              <w:rPr>
                <w:rFonts w:cs="Arial"/>
              </w:rPr>
            </w:pPr>
            <w:r w:rsidRPr="009617F5">
              <w:rPr>
                <w:rFonts w:cs="Arial"/>
              </w:rPr>
              <w:t>22,26</w:t>
            </w:r>
          </w:p>
        </w:tc>
        <w:tc>
          <w:tcPr>
            <w:tcW w:w="892" w:type="dxa"/>
            <w:tcBorders>
              <w:top w:val="single" w:sz="6" w:space="0" w:color="auto"/>
              <w:left w:val="single" w:sz="6" w:space="0" w:color="auto"/>
              <w:bottom w:val="single" w:sz="6" w:space="0" w:color="auto"/>
              <w:right w:val="single" w:sz="6" w:space="0" w:color="auto"/>
            </w:tcBorders>
          </w:tcPr>
          <w:p w14:paraId="519B8573" w14:textId="77777777" w:rsidR="009617F5" w:rsidRPr="009617F5" w:rsidRDefault="009617F5" w:rsidP="009617F5">
            <w:pPr>
              <w:pStyle w:val="Texttabulky"/>
              <w:spacing w:after="0"/>
              <w:jc w:val="right"/>
              <w:rPr>
                <w:rFonts w:cs="Arial"/>
              </w:rPr>
            </w:pPr>
            <w:r w:rsidRPr="009617F5">
              <w:rPr>
                <w:rFonts w:cs="Arial"/>
              </w:rPr>
              <w:t>5,75</w:t>
            </w:r>
          </w:p>
        </w:tc>
      </w:tr>
      <w:tr w:rsidR="009617F5" w:rsidRPr="009617F5" w14:paraId="205D480C"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0F340244" w14:textId="77777777" w:rsidR="009617F5" w:rsidRPr="009617F5" w:rsidRDefault="009617F5" w:rsidP="009617F5">
            <w:pPr>
              <w:pStyle w:val="Texttabulky"/>
              <w:spacing w:after="0"/>
              <w:rPr>
                <w:rFonts w:cs="Arial"/>
              </w:rPr>
            </w:pPr>
            <w:r w:rsidRPr="009617F5">
              <w:rPr>
                <w:rFonts w:cs="Arial"/>
              </w:rPr>
              <w:t>Křešice u Děčína</w:t>
            </w:r>
          </w:p>
        </w:tc>
        <w:tc>
          <w:tcPr>
            <w:tcW w:w="1023" w:type="dxa"/>
            <w:tcBorders>
              <w:top w:val="single" w:sz="6" w:space="0" w:color="auto"/>
              <w:left w:val="single" w:sz="6" w:space="0" w:color="auto"/>
              <w:bottom w:val="single" w:sz="6" w:space="0" w:color="auto"/>
              <w:right w:val="single" w:sz="6" w:space="0" w:color="auto"/>
            </w:tcBorders>
          </w:tcPr>
          <w:p w14:paraId="5947AEBD" w14:textId="77777777" w:rsidR="009617F5" w:rsidRPr="009617F5" w:rsidRDefault="009617F5" w:rsidP="009617F5">
            <w:pPr>
              <w:pStyle w:val="Texttabulky"/>
              <w:spacing w:after="0"/>
              <w:jc w:val="right"/>
              <w:rPr>
                <w:rFonts w:cs="Arial"/>
              </w:rPr>
            </w:pPr>
            <w:r w:rsidRPr="009617F5">
              <w:rPr>
                <w:rFonts w:cs="Arial"/>
              </w:rPr>
              <w:t>196,55</w:t>
            </w:r>
          </w:p>
        </w:tc>
        <w:tc>
          <w:tcPr>
            <w:tcW w:w="662" w:type="dxa"/>
            <w:tcBorders>
              <w:top w:val="single" w:sz="6" w:space="0" w:color="auto"/>
              <w:left w:val="single" w:sz="6" w:space="0" w:color="auto"/>
              <w:bottom w:val="single" w:sz="6" w:space="0" w:color="auto"/>
              <w:right w:val="single" w:sz="6" w:space="0" w:color="auto"/>
            </w:tcBorders>
          </w:tcPr>
          <w:p w14:paraId="2E075FCE" w14:textId="77777777" w:rsidR="009617F5" w:rsidRPr="009617F5" w:rsidRDefault="009617F5" w:rsidP="009617F5">
            <w:pPr>
              <w:pStyle w:val="Texttabulky"/>
              <w:spacing w:after="0"/>
              <w:jc w:val="right"/>
              <w:rPr>
                <w:rFonts w:cs="Arial"/>
              </w:rPr>
            </w:pPr>
            <w:r w:rsidRPr="009617F5">
              <w:rPr>
                <w:rFonts w:cs="Arial"/>
              </w:rPr>
              <w:t>103,19</w:t>
            </w:r>
          </w:p>
        </w:tc>
        <w:tc>
          <w:tcPr>
            <w:tcW w:w="884" w:type="dxa"/>
            <w:tcBorders>
              <w:top w:val="single" w:sz="6" w:space="0" w:color="auto"/>
              <w:left w:val="single" w:sz="6" w:space="0" w:color="auto"/>
              <w:bottom w:val="single" w:sz="6" w:space="0" w:color="auto"/>
              <w:right w:val="single" w:sz="6" w:space="0" w:color="auto"/>
            </w:tcBorders>
          </w:tcPr>
          <w:p w14:paraId="6BF31ED3"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68F27F4F"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3A0AE0E0" w14:textId="77777777" w:rsidR="009617F5" w:rsidRPr="009617F5" w:rsidRDefault="009617F5" w:rsidP="009617F5">
            <w:pPr>
              <w:pStyle w:val="Texttabulky"/>
              <w:spacing w:after="0"/>
              <w:jc w:val="right"/>
              <w:rPr>
                <w:rFonts w:cs="Arial"/>
              </w:rPr>
            </w:pPr>
            <w:r w:rsidRPr="009617F5">
              <w:rPr>
                <w:rFonts w:cs="Arial"/>
              </w:rPr>
              <w:t>21,49</w:t>
            </w:r>
          </w:p>
        </w:tc>
        <w:tc>
          <w:tcPr>
            <w:tcW w:w="650" w:type="dxa"/>
            <w:tcBorders>
              <w:top w:val="single" w:sz="6" w:space="0" w:color="auto"/>
              <w:left w:val="single" w:sz="6" w:space="0" w:color="auto"/>
              <w:bottom w:val="single" w:sz="6" w:space="0" w:color="auto"/>
              <w:right w:val="single" w:sz="6" w:space="0" w:color="auto"/>
            </w:tcBorders>
          </w:tcPr>
          <w:p w14:paraId="4E61CFC9" w14:textId="77777777" w:rsidR="009617F5" w:rsidRPr="009617F5" w:rsidRDefault="009617F5" w:rsidP="009617F5">
            <w:pPr>
              <w:pStyle w:val="Texttabulky"/>
              <w:spacing w:after="0"/>
              <w:jc w:val="right"/>
              <w:rPr>
                <w:rFonts w:cs="Arial"/>
              </w:rPr>
            </w:pPr>
            <w:r w:rsidRPr="009617F5">
              <w:rPr>
                <w:rFonts w:cs="Arial"/>
              </w:rPr>
              <w:t>27,83</w:t>
            </w:r>
          </w:p>
        </w:tc>
        <w:tc>
          <w:tcPr>
            <w:tcW w:w="709" w:type="dxa"/>
            <w:tcBorders>
              <w:top w:val="single" w:sz="6" w:space="0" w:color="auto"/>
              <w:left w:val="single" w:sz="6" w:space="0" w:color="auto"/>
              <w:bottom w:val="single" w:sz="6" w:space="0" w:color="auto"/>
              <w:right w:val="single" w:sz="6" w:space="0" w:color="auto"/>
            </w:tcBorders>
          </w:tcPr>
          <w:p w14:paraId="196D26C4" w14:textId="77777777" w:rsidR="009617F5" w:rsidRPr="009617F5" w:rsidRDefault="009617F5" w:rsidP="009617F5">
            <w:pPr>
              <w:pStyle w:val="Texttabulky"/>
              <w:spacing w:after="0"/>
              <w:jc w:val="right"/>
              <w:rPr>
                <w:rFonts w:cs="Arial"/>
              </w:rPr>
            </w:pPr>
            <w:r w:rsidRPr="009617F5">
              <w:rPr>
                <w:rFonts w:cs="Arial"/>
              </w:rPr>
              <w:t>29,28</w:t>
            </w:r>
          </w:p>
        </w:tc>
        <w:tc>
          <w:tcPr>
            <w:tcW w:w="892" w:type="dxa"/>
            <w:tcBorders>
              <w:top w:val="single" w:sz="6" w:space="0" w:color="auto"/>
              <w:left w:val="single" w:sz="6" w:space="0" w:color="auto"/>
              <w:bottom w:val="single" w:sz="6" w:space="0" w:color="auto"/>
              <w:right w:val="single" w:sz="6" w:space="0" w:color="auto"/>
            </w:tcBorders>
          </w:tcPr>
          <w:p w14:paraId="0B74F164" w14:textId="77777777" w:rsidR="009617F5" w:rsidRPr="009617F5" w:rsidRDefault="009617F5" w:rsidP="009617F5">
            <w:pPr>
              <w:pStyle w:val="Texttabulky"/>
              <w:spacing w:after="0"/>
              <w:jc w:val="right"/>
              <w:rPr>
                <w:rFonts w:cs="Arial"/>
              </w:rPr>
            </w:pPr>
            <w:r w:rsidRPr="009617F5">
              <w:rPr>
                <w:rFonts w:cs="Arial"/>
              </w:rPr>
              <w:t>14,75</w:t>
            </w:r>
          </w:p>
        </w:tc>
      </w:tr>
      <w:tr w:rsidR="009617F5" w:rsidRPr="009617F5" w14:paraId="548BC008"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35A1A91C" w14:textId="77777777" w:rsidR="009617F5" w:rsidRPr="009617F5" w:rsidRDefault="009617F5" w:rsidP="009617F5">
            <w:pPr>
              <w:pStyle w:val="Texttabulky"/>
              <w:spacing w:after="0"/>
              <w:rPr>
                <w:rFonts w:cs="Arial"/>
              </w:rPr>
            </w:pPr>
            <w:r w:rsidRPr="009617F5">
              <w:rPr>
                <w:rFonts w:cs="Arial"/>
              </w:rPr>
              <w:t>Nebočady</w:t>
            </w:r>
          </w:p>
        </w:tc>
        <w:tc>
          <w:tcPr>
            <w:tcW w:w="1023" w:type="dxa"/>
            <w:tcBorders>
              <w:top w:val="single" w:sz="6" w:space="0" w:color="auto"/>
              <w:left w:val="single" w:sz="6" w:space="0" w:color="auto"/>
              <w:bottom w:val="single" w:sz="6" w:space="0" w:color="auto"/>
              <w:right w:val="single" w:sz="6" w:space="0" w:color="auto"/>
            </w:tcBorders>
          </w:tcPr>
          <w:p w14:paraId="15E16C38" w14:textId="77777777" w:rsidR="009617F5" w:rsidRPr="009617F5" w:rsidRDefault="009617F5" w:rsidP="009617F5">
            <w:pPr>
              <w:pStyle w:val="Texttabulky"/>
              <w:spacing w:after="0"/>
              <w:jc w:val="right"/>
              <w:rPr>
                <w:rFonts w:cs="Arial"/>
              </w:rPr>
            </w:pPr>
            <w:r w:rsidRPr="009617F5">
              <w:rPr>
                <w:rFonts w:cs="Arial"/>
              </w:rPr>
              <w:t>134,28</w:t>
            </w:r>
          </w:p>
        </w:tc>
        <w:tc>
          <w:tcPr>
            <w:tcW w:w="662" w:type="dxa"/>
            <w:tcBorders>
              <w:top w:val="single" w:sz="6" w:space="0" w:color="auto"/>
              <w:left w:val="single" w:sz="6" w:space="0" w:color="auto"/>
              <w:bottom w:val="single" w:sz="6" w:space="0" w:color="auto"/>
              <w:right w:val="single" w:sz="6" w:space="0" w:color="auto"/>
            </w:tcBorders>
          </w:tcPr>
          <w:p w14:paraId="04015A0B" w14:textId="77777777" w:rsidR="009617F5" w:rsidRPr="009617F5" w:rsidRDefault="009617F5" w:rsidP="009617F5">
            <w:pPr>
              <w:pStyle w:val="Texttabulky"/>
              <w:spacing w:after="0"/>
              <w:jc w:val="right"/>
              <w:rPr>
                <w:rFonts w:cs="Arial"/>
              </w:rPr>
            </w:pPr>
            <w:r w:rsidRPr="009617F5">
              <w:rPr>
                <w:rFonts w:cs="Arial"/>
              </w:rPr>
              <w:t>68,48</w:t>
            </w:r>
          </w:p>
        </w:tc>
        <w:tc>
          <w:tcPr>
            <w:tcW w:w="884" w:type="dxa"/>
            <w:tcBorders>
              <w:top w:val="single" w:sz="6" w:space="0" w:color="auto"/>
              <w:left w:val="single" w:sz="6" w:space="0" w:color="auto"/>
              <w:bottom w:val="single" w:sz="6" w:space="0" w:color="auto"/>
              <w:right w:val="single" w:sz="6" w:space="0" w:color="auto"/>
            </w:tcBorders>
          </w:tcPr>
          <w:p w14:paraId="42E8063A"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5A43BBAE"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7383EF87" w14:textId="77777777" w:rsidR="009617F5" w:rsidRPr="009617F5" w:rsidRDefault="009617F5" w:rsidP="009617F5">
            <w:pPr>
              <w:pStyle w:val="Texttabulky"/>
              <w:spacing w:after="0"/>
              <w:jc w:val="right"/>
              <w:rPr>
                <w:rFonts w:cs="Arial"/>
              </w:rPr>
            </w:pPr>
            <w:r w:rsidRPr="009617F5">
              <w:rPr>
                <w:rFonts w:cs="Arial"/>
              </w:rPr>
              <w:t>9,45</w:t>
            </w:r>
          </w:p>
        </w:tc>
        <w:tc>
          <w:tcPr>
            <w:tcW w:w="650" w:type="dxa"/>
            <w:tcBorders>
              <w:top w:val="single" w:sz="6" w:space="0" w:color="auto"/>
              <w:left w:val="single" w:sz="6" w:space="0" w:color="auto"/>
              <w:bottom w:val="single" w:sz="6" w:space="0" w:color="auto"/>
              <w:right w:val="single" w:sz="6" w:space="0" w:color="auto"/>
            </w:tcBorders>
          </w:tcPr>
          <w:p w14:paraId="27890EC6" w14:textId="77777777" w:rsidR="009617F5" w:rsidRPr="009617F5" w:rsidRDefault="009617F5" w:rsidP="009617F5">
            <w:pPr>
              <w:pStyle w:val="Texttabulky"/>
              <w:spacing w:after="0"/>
              <w:jc w:val="right"/>
              <w:rPr>
                <w:rFonts w:cs="Arial"/>
              </w:rPr>
            </w:pPr>
            <w:r w:rsidRPr="009617F5">
              <w:rPr>
                <w:rFonts w:cs="Arial"/>
              </w:rPr>
              <w:t>1,57</w:t>
            </w:r>
          </w:p>
        </w:tc>
        <w:tc>
          <w:tcPr>
            <w:tcW w:w="709" w:type="dxa"/>
            <w:tcBorders>
              <w:top w:val="single" w:sz="6" w:space="0" w:color="auto"/>
              <w:left w:val="single" w:sz="6" w:space="0" w:color="auto"/>
              <w:bottom w:val="single" w:sz="6" w:space="0" w:color="auto"/>
              <w:right w:val="single" w:sz="6" w:space="0" w:color="auto"/>
            </w:tcBorders>
          </w:tcPr>
          <w:p w14:paraId="500877CD" w14:textId="77777777" w:rsidR="009617F5" w:rsidRPr="009617F5" w:rsidRDefault="009617F5" w:rsidP="009617F5">
            <w:pPr>
              <w:pStyle w:val="Texttabulky"/>
              <w:spacing w:after="0"/>
              <w:jc w:val="right"/>
              <w:rPr>
                <w:rFonts w:cs="Arial"/>
              </w:rPr>
            </w:pPr>
            <w:r w:rsidRPr="009617F5">
              <w:rPr>
                <w:rFonts w:cs="Arial"/>
              </w:rPr>
              <w:t>37,04</w:t>
            </w:r>
          </w:p>
        </w:tc>
        <w:tc>
          <w:tcPr>
            <w:tcW w:w="892" w:type="dxa"/>
            <w:tcBorders>
              <w:top w:val="single" w:sz="6" w:space="0" w:color="auto"/>
              <w:left w:val="single" w:sz="6" w:space="0" w:color="auto"/>
              <w:bottom w:val="single" w:sz="6" w:space="0" w:color="auto"/>
              <w:right w:val="single" w:sz="6" w:space="0" w:color="auto"/>
            </w:tcBorders>
          </w:tcPr>
          <w:p w14:paraId="6FE8E450" w14:textId="77777777" w:rsidR="009617F5" w:rsidRPr="009617F5" w:rsidRDefault="009617F5" w:rsidP="009617F5">
            <w:pPr>
              <w:pStyle w:val="Texttabulky"/>
              <w:spacing w:after="0"/>
              <w:jc w:val="right"/>
              <w:rPr>
                <w:rFonts w:cs="Arial"/>
              </w:rPr>
            </w:pPr>
            <w:r w:rsidRPr="009617F5">
              <w:rPr>
                <w:rFonts w:cs="Arial"/>
              </w:rPr>
              <w:t>17,73</w:t>
            </w:r>
          </w:p>
        </w:tc>
      </w:tr>
      <w:tr w:rsidR="009617F5" w:rsidRPr="009617F5" w14:paraId="09BF409C"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1052CD33" w14:textId="77777777" w:rsidR="009617F5" w:rsidRPr="009617F5" w:rsidRDefault="009617F5" w:rsidP="009617F5">
            <w:pPr>
              <w:pStyle w:val="Texttabulky"/>
              <w:spacing w:after="0"/>
              <w:rPr>
                <w:rFonts w:cs="Arial"/>
              </w:rPr>
            </w:pPr>
            <w:r w:rsidRPr="009617F5">
              <w:rPr>
                <w:rFonts w:cs="Arial"/>
              </w:rPr>
              <w:t>Lesná u Děčína</w:t>
            </w:r>
          </w:p>
        </w:tc>
        <w:tc>
          <w:tcPr>
            <w:tcW w:w="1023" w:type="dxa"/>
            <w:tcBorders>
              <w:top w:val="single" w:sz="6" w:space="0" w:color="auto"/>
              <w:left w:val="single" w:sz="6" w:space="0" w:color="auto"/>
              <w:bottom w:val="single" w:sz="6" w:space="0" w:color="auto"/>
              <w:right w:val="single" w:sz="6" w:space="0" w:color="auto"/>
            </w:tcBorders>
          </w:tcPr>
          <w:p w14:paraId="5396CC48" w14:textId="77777777" w:rsidR="009617F5" w:rsidRPr="009617F5" w:rsidRDefault="009617F5" w:rsidP="009617F5">
            <w:pPr>
              <w:pStyle w:val="Texttabulky"/>
              <w:spacing w:after="0"/>
              <w:jc w:val="right"/>
              <w:rPr>
                <w:rFonts w:cs="Arial"/>
              </w:rPr>
            </w:pPr>
            <w:r w:rsidRPr="009617F5">
              <w:rPr>
                <w:rFonts w:cs="Arial"/>
              </w:rPr>
              <w:t>216,29</w:t>
            </w:r>
          </w:p>
        </w:tc>
        <w:tc>
          <w:tcPr>
            <w:tcW w:w="662" w:type="dxa"/>
            <w:tcBorders>
              <w:top w:val="single" w:sz="6" w:space="0" w:color="auto"/>
              <w:left w:val="single" w:sz="6" w:space="0" w:color="auto"/>
              <w:bottom w:val="single" w:sz="6" w:space="0" w:color="auto"/>
              <w:right w:val="single" w:sz="6" w:space="0" w:color="auto"/>
            </w:tcBorders>
          </w:tcPr>
          <w:p w14:paraId="5B27CD2E" w14:textId="77777777" w:rsidR="009617F5" w:rsidRPr="009617F5" w:rsidRDefault="009617F5" w:rsidP="009617F5">
            <w:pPr>
              <w:pStyle w:val="Texttabulky"/>
              <w:spacing w:after="0"/>
              <w:jc w:val="right"/>
              <w:rPr>
                <w:rFonts w:cs="Arial"/>
              </w:rPr>
            </w:pPr>
            <w:r w:rsidRPr="009617F5">
              <w:rPr>
                <w:rFonts w:cs="Arial"/>
              </w:rPr>
              <w:t>127,78</w:t>
            </w:r>
          </w:p>
        </w:tc>
        <w:tc>
          <w:tcPr>
            <w:tcW w:w="884" w:type="dxa"/>
            <w:tcBorders>
              <w:top w:val="single" w:sz="6" w:space="0" w:color="auto"/>
              <w:left w:val="single" w:sz="6" w:space="0" w:color="auto"/>
              <w:bottom w:val="single" w:sz="6" w:space="0" w:color="auto"/>
              <w:right w:val="single" w:sz="6" w:space="0" w:color="auto"/>
            </w:tcBorders>
          </w:tcPr>
          <w:p w14:paraId="20F7548D"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4B735BD8"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23975745" w14:textId="77777777" w:rsidR="009617F5" w:rsidRPr="009617F5" w:rsidRDefault="009617F5" w:rsidP="009617F5">
            <w:pPr>
              <w:pStyle w:val="Texttabulky"/>
              <w:spacing w:after="0"/>
              <w:jc w:val="right"/>
              <w:rPr>
                <w:rFonts w:cs="Arial"/>
              </w:rPr>
            </w:pPr>
            <w:r w:rsidRPr="009617F5">
              <w:rPr>
                <w:rFonts w:cs="Arial"/>
              </w:rPr>
              <w:t>8,19</w:t>
            </w:r>
          </w:p>
        </w:tc>
        <w:tc>
          <w:tcPr>
            <w:tcW w:w="650" w:type="dxa"/>
            <w:tcBorders>
              <w:top w:val="single" w:sz="6" w:space="0" w:color="auto"/>
              <w:left w:val="single" w:sz="6" w:space="0" w:color="auto"/>
              <w:bottom w:val="single" w:sz="6" w:space="0" w:color="auto"/>
              <w:right w:val="single" w:sz="6" w:space="0" w:color="auto"/>
            </w:tcBorders>
          </w:tcPr>
          <w:p w14:paraId="7FFBB7D2" w14:textId="77777777" w:rsidR="009617F5" w:rsidRPr="009617F5" w:rsidRDefault="009617F5" w:rsidP="009617F5">
            <w:pPr>
              <w:pStyle w:val="Texttabulky"/>
              <w:spacing w:after="0"/>
              <w:jc w:val="right"/>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76C7F79C" w14:textId="77777777" w:rsidR="009617F5" w:rsidRPr="009617F5" w:rsidRDefault="009617F5" w:rsidP="009617F5">
            <w:pPr>
              <w:pStyle w:val="Texttabulky"/>
              <w:spacing w:after="0"/>
              <w:jc w:val="right"/>
              <w:rPr>
                <w:rFonts w:cs="Arial"/>
              </w:rPr>
            </w:pPr>
            <w:r w:rsidRPr="009617F5">
              <w:rPr>
                <w:rFonts w:cs="Arial"/>
              </w:rPr>
              <w:t>63,99</w:t>
            </w:r>
          </w:p>
        </w:tc>
        <w:tc>
          <w:tcPr>
            <w:tcW w:w="892" w:type="dxa"/>
            <w:tcBorders>
              <w:top w:val="single" w:sz="6" w:space="0" w:color="auto"/>
              <w:left w:val="single" w:sz="6" w:space="0" w:color="auto"/>
              <w:bottom w:val="single" w:sz="6" w:space="0" w:color="auto"/>
              <w:right w:val="single" w:sz="6" w:space="0" w:color="auto"/>
            </w:tcBorders>
          </w:tcPr>
          <w:p w14:paraId="7073137B" w14:textId="77777777" w:rsidR="009617F5" w:rsidRPr="009617F5" w:rsidRDefault="009617F5" w:rsidP="009617F5">
            <w:pPr>
              <w:pStyle w:val="Texttabulky"/>
              <w:spacing w:after="0"/>
              <w:jc w:val="right"/>
              <w:rPr>
                <w:rFonts w:cs="Arial"/>
              </w:rPr>
            </w:pPr>
            <w:r w:rsidRPr="009617F5">
              <w:rPr>
                <w:rFonts w:cs="Arial"/>
              </w:rPr>
              <w:t>16,35</w:t>
            </w:r>
          </w:p>
        </w:tc>
      </w:tr>
      <w:tr w:rsidR="009617F5" w:rsidRPr="009617F5" w14:paraId="6065CCD3"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091E5BF2" w14:textId="77777777" w:rsidR="009617F5" w:rsidRPr="009617F5" w:rsidRDefault="009617F5" w:rsidP="009617F5">
            <w:pPr>
              <w:pStyle w:val="Texttabulky"/>
              <w:spacing w:after="0"/>
              <w:rPr>
                <w:rFonts w:cs="Arial"/>
              </w:rPr>
            </w:pPr>
            <w:r w:rsidRPr="009617F5">
              <w:rPr>
                <w:rFonts w:cs="Arial"/>
              </w:rPr>
              <w:t>Hoštice nad Labem</w:t>
            </w:r>
          </w:p>
        </w:tc>
        <w:tc>
          <w:tcPr>
            <w:tcW w:w="1023" w:type="dxa"/>
            <w:tcBorders>
              <w:top w:val="single" w:sz="6" w:space="0" w:color="auto"/>
              <w:left w:val="single" w:sz="6" w:space="0" w:color="auto"/>
              <w:bottom w:val="single" w:sz="6" w:space="0" w:color="auto"/>
              <w:right w:val="single" w:sz="6" w:space="0" w:color="auto"/>
            </w:tcBorders>
          </w:tcPr>
          <w:p w14:paraId="6CB9FA06" w14:textId="77777777" w:rsidR="009617F5" w:rsidRPr="009617F5" w:rsidRDefault="009617F5" w:rsidP="009617F5">
            <w:pPr>
              <w:pStyle w:val="Texttabulky"/>
              <w:spacing w:after="0"/>
              <w:jc w:val="right"/>
              <w:rPr>
                <w:rFonts w:cs="Arial"/>
              </w:rPr>
            </w:pPr>
            <w:r w:rsidRPr="009617F5">
              <w:rPr>
                <w:rFonts w:cs="Arial"/>
              </w:rPr>
              <w:t>109,89</w:t>
            </w:r>
          </w:p>
        </w:tc>
        <w:tc>
          <w:tcPr>
            <w:tcW w:w="662" w:type="dxa"/>
            <w:tcBorders>
              <w:top w:val="single" w:sz="6" w:space="0" w:color="auto"/>
              <w:left w:val="single" w:sz="6" w:space="0" w:color="auto"/>
              <w:bottom w:val="single" w:sz="6" w:space="0" w:color="auto"/>
              <w:right w:val="single" w:sz="6" w:space="0" w:color="auto"/>
            </w:tcBorders>
          </w:tcPr>
          <w:p w14:paraId="35B9B157" w14:textId="77777777" w:rsidR="009617F5" w:rsidRPr="009617F5" w:rsidRDefault="009617F5" w:rsidP="009617F5">
            <w:pPr>
              <w:pStyle w:val="Texttabulky"/>
              <w:spacing w:after="0"/>
              <w:jc w:val="right"/>
              <w:rPr>
                <w:rFonts w:cs="Arial"/>
              </w:rPr>
            </w:pPr>
            <w:r w:rsidRPr="009617F5">
              <w:rPr>
                <w:rFonts w:cs="Arial"/>
              </w:rPr>
              <w:t>2,33</w:t>
            </w:r>
          </w:p>
        </w:tc>
        <w:tc>
          <w:tcPr>
            <w:tcW w:w="884" w:type="dxa"/>
            <w:tcBorders>
              <w:top w:val="single" w:sz="6" w:space="0" w:color="auto"/>
              <w:left w:val="single" w:sz="6" w:space="0" w:color="auto"/>
              <w:bottom w:val="single" w:sz="6" w:space="0" w:color="auto"/>
              <w:right w:val="single" w:sz="6" w:space="0" w:color="auto"/>
            </w:tcBorders>
          </w:tcPr>
          <w:p w14:paraId="2FD52582"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1F0CA9F8"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43E15C58" w14:textId="77777777" w:rsidR="009617F5" w:rsidRPr="009617F5" w:rsidRDefault="009617F5" w:rsidP="009617F5">
            <w:pPr>
              <w:pStyle w:val="Texttabulky"/>
              <w:spacing w:after="0"/>
              <w:jc w:val="right"/>
              <w:rPr>
                <w:rFonts w:cs="Arial"/>
              </w:rPr>
            </w:pPr>
            <w:r w:rsidRPr="009617F5">
              <w:rPr>
                <w:rFonts w:cs="Arial"/>
              </w:rPr>
              <w:t>2,36</w:t>
            </w:r>
          </w:p>
        </w:tc>
        <w:tc>
          <w:tcPr>
            <w:tcW w:w="650" w:type="dxa"/>
            <w:tcBorders>
              <w:top w:val="single" w:sz="6" w:space="0" w:color="auto"/>
              <w:left w:val="single" w:sz="6" w:space="0" w:color="auto"/>
              <w:bottom w:val="single" w:sz="6" w:space="0" w:color="auto"/>
              <w:right w:val="single" w:sz="6" w:space="0" w:color="auto"/>
            </w:tcBorders>
          </w:tcPr>
          <w:p w14:paraId="37A08039" w14:textId="77777777" w:rsidR="009617F5" w:rsidRPr="009617F5" w:rsidRDefault="009617F5" w:rsidP="009617F5">
            <w:pPr>
              <w:pStyle w:val="Texttabulky"/>
              <w:spacing w:after="0"/>
              <w:jc w:val="right"/>
              <w:rPr>
                <w:rFonts w:cs="Arial"/>
              </w:rPr>
            </w:pPr>
            <w:r w:rsidRPr="009617F5">
              <w:rPr>
                <w:rFonts w:cs="Arial"/>
              </w:rPr>
              <w:t>9,95</w:t>
            </w:r>
          </w:p>
        </w:tc>
        <w:tc>
          <w:tcPr>
            <w:tcW w:w="709" w:type="dxa"/>
            <w:tcBorders>
              <w:top w:val="single" w:sz="6" w:space="0" w:color="auto"/>
              <w:left w:val="single" w:sz="6" w:space="0" w:color="auto"/>
              <w:bottom w:val="single" w:sz="6" w:space="0" w:color="auto"/>
              <w:right w:val="single" w:sz="6" w:space="0" w:color="auto"/>
            </w:tcBorders>
          </w:tcPr>
          <w:p w14:paraId="2363E5E6" w14:textId="77777777" w:rsidR="009617F5" w:rsidRPr="009617F5" w:rsidRDefault="009617F5" w:rsidP="009617F5">
            <w:pPr>
              <w:pStyle w:val="Texttabulky"/>
              <w:spacing w:after="0"/>
              <w:jc w:val="right"/>
              <w:rPr>
                <w:rFonts w:cs="Arial"/>
              </w:rPr>
            </w:pPr>
            <w:r w:rsidRPr="009617F5">
              <w:rPr>
                <w:rFonts w:cs="Arial"/>
              </w:rPr>
              <w:t>14,79</w:t>
            </w:r>
          </w:p>
        </w:tc>
        <w:tc>
          <w:tcPr>
            <w:tcW w:w="892" w:type="dxa"/>
            <w:tcBorders>
              <w:top w:val="single" w:sz="6" w:space="0" w:color="auto"/>
              <w:left w:val="single" w:sz="6" w:space="0" w:color="auto"/>
              <w:bottom w:val="single" w:sz="6" w:space="0" w:color="auto"/>
              <w:right w:val="single" w:sz="6" w:space="0" w:color="auto"/>
            </w:tcBorders>
          </w:tcPr>
          <w:p w14:paraId="4A775E34" w14:textId="77777777" w:rsidR="009617F5" w:rsidRPr="009617F5" w:rsidRDefault="009617F5" w:rsidP="009617F5">
            <w:pPr>
              <w:pStyle w:val="Texttabulky"/>
              <w:spacing w:after="0"/>
              <w:jc w:val="right"/>
              <w:rPr>
                <w:rFonts w:cs="Arial"/>
              </w:rPr>
            </w:pPr>
            <w:r w:rsidRPr="009617F5">
              <w:rPr>
                <w:rFonts w:cs="Arial"/>
              </w:rPr>
              <w:t>80,46</w:t>
            </w:r>
          </w:p>
        </w:tc>
      </w:tr>
      <w:tr w:rsidR="009617F5" w:rsidRPr="009617F5" w14:paraId="23DEF19E"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3C6FB5FC" w14:textId="77777777" w:rsidR="009617F5" w:rsidRPr="009617F5" w:rsidRDefault="009617F5" w:rsidP="009617F5">
            <w:pPr>
              <w:pStyle w:val="Texttabulky"/>
              <w:spacing w:after="0"/>
              <w:rPr>
                <w:rFonts w:cs="Arial"/>
              </w:rPr>
            </w:pPr>
            <w:r w:rsidRPr="009617F5">
              <w:rPr>
                <w:rFonts w:cs="Arial"/>
              </w:rPr>
              <w:t>Velká Veleň</w:t>
            </w:r>
          </w:p>
        </w:tc>
        <w:tc>
          <w:tcPr>
            <w:tcW w:w="1023" w:type="dxa"/>
            <w:tcBorders>
              <w:top w:val="single" w:sz="6" w:space="0" w:color="auto"/>
              <w:left w:val="single" w:sz="6" w:space="0" w:color="auto"/>
              <w:bottom w:val="single" w:sz="6" w:space="0" w:color="auto"/>
              <w:right w:val="single" w:sz="6" w:space="0" w:color="auto"/>
            </w:tcBorders>
          </w:tcPr>
          <w:p w14:paraId="24A55DA3" w14:textId="77777777" w:rsidR="009617F5" w:rsidRPr="009617F5" w:rsidRDefault="009617F5" w:rsidP="009617F5">
            <w:pPr>
              <w:pStyle w:val="Texttabulky"/>
              <w:spacing w:after="0"/>
              <w:jc w:val="right"/>
              <w:rPr>
                <w:rFonts w:cs="Arial"/>
              </w:rPr>
            </w:pPr>
            <w:r w:rsidRPr="009617F5">
              <w:rPr>
                <w:rFonts w:cs="Arial"/>
              </w:rPr>
              <w:t>268,79</w:t>
            </w:r>
          </w:p>
        </w:tc>
        <w:tc>
          <w:tcPr>
            <w:tcW w:w="662" w:type="dxa"/>
            <w:tcBorders>
              <w:top w:val="single" w:sz="6" w:space="0" w:color="auto"/>
              <w:left w:val="single" w:sz="6" w:space="0" w:color="auto"/>
              <w:bottom w:val="single" w:sz="6" w:space="0" w:color="auto"/>
              <w:right w:val="single" w:sz="6" w:space="0" w:color="auto"/>
            </w:tcBorders>
          </w:tcPr>
          <w:p w14:paraId="77060EED" w14:textId="77777777" w:rsidR="009617F5" w:rsidRPr="009617F5" w:rsidRDefault="009617F5" w:rsidP="009617F5">
            <w:pPr>
              <w:pStyle w:val="Texttabulky"/>
              <w:spacing w:after="0"/>
              <w:jc w:val="right"/>
              <w:rPr>
                <w:rFonts w:cs="Arial"/>
              </w:rPr>
            </w:pPr>
            <w:r w:rsidRPr="009617F5">
              <w:rPr>
                <w:rFonts w:cs="Arial"/>
              </w:rPr>
              <w:t>104,91</w:t>
            </w:r>
          </w:p>
        </w:tc>
        <w:tc>
          <w:tcPr>
            <w:tcW w:w="884" w:type="dxa"/>
            <w:tcBorders>
              <w:top w:val="single" w:sz="6" w:space="0" w:color="auto"/>
              <w:left w:val="single" w:sz="6" w:space="0" w:color="auto"/>
              <w:bottom w:val="single" w:sz="6" w:space="0" w:color="auto"/>
              <w:right w:val="single" w:sz="6" w:space="0" w:color="auto"/>
            </w:tcBorders>
          </w:tcPr>
          <w:p w14:paraId="3E779CB3" w14:textId="77777777" w:rsidR="009617F5" w:rsidRPr="009617F5" w:rsidRDefault="009617F5" w:rsidP="009617F5">
            <w:pPr>
              <w:pStyle w:val="Texttabulky"/>
              <w:spacing w:after="0"/>
              <w:jc w:val="center"/>
              <w:rPr>
                <w:rFonts w:cs="Arial"/>
              </w:rPr>
            </w:pPr>
            <w:r w:rsidRPr="009617F5">
              <w:rPr>
                <w:rFonts w:cs="Arial"/>
              </w:rPr>
              <w:t>0</w:t>
            </w:r>
          </w:p>
        </w:tc>
        <w:tc>
          <w:tcPr>
            <w:tcW w:w="567" w:type="dxa"/>
            <w:tcBorders>
              <w:top w:val="single" w:sz="6" w:space="0" w:color="auto"/>
              <w:left w:val="single" w:sz="6" w:space="0" w:color="auto"/>
              <w:bottom w:val="single" w:sz="6" w:space="0" w:color="auto"/>
              <w:right w:val="single" w:sz="6" w:space="0" w:color="auto"/>
            </w:tcBorders>
          </w:tcPr>
          <w:p w14:paraId="0DC34996" w14:textId="77777777" w:rsidR="009617F5" w:rsidRPr="009617F5" w:rsidRDefault="009617F5" w:rsidP="009617F5">
            <w:pPr>
              <w:pStyle w:val="Texttabulky"/>
              <w:spacing w:after="0"/>
              <w:jc w:val="center"/>
              <w:rPr>
                <w:rFonts w:cs="Arial"/>
              </w:rPr>
            </w:pPr>
            <w:r w:rsidRPr="009617F5">
              <w:rPr>
                <w:rFonts w:cs="Arial"/>
              </w:rPr>
              <w:t>0</w:t>
            </w:r>
          </w:p>
        </w:tc>
        <w:tc>
          <w:tcPr>
            <w:tcW w:w="709" w:type="dxa"/>
            <w:tcBorders>
              <w:top w:val="single" w:sz="6" w:space="0" w:color="auto"/>
              <w:left w:val="single" w:sz="6" w:space="0" w:color="auto"/>
              <w:bottom w:val="single" w:sz="6" w:space="0" w:color="auto"/>
              <w:right w:val="single" w:sz="6" w:space="0" w:color="auto"/>
            </w:tcBorders>
          </w:tcPr>
          <w:p w14:paraId="17EAA8B5" w14:textId="77777777" w:rsidR="009617F5" w:rsidRPr="009617F5" w:rsidRDefault="009617F5" w:rsidP="009617F5">
            <w:pPr>
              <w:pStyle w:val="Texttabulky"/>
              <w:spacing w:after="0"/>
              <w:jc w:val="right"/>
              <w:rPr>
                <w:rFonts w:cs="Arial"/>
              </w:rPr>
            </w:pPr>
            <w:r w:rsidRPr="009617F5">
              <w:rPr>
                <w:rFonts w:cs="Arial"/>
              </w:rPr>
              <w:t>5,64</w:t>
            </w:r>
          </w:p>
        </w:tc>
        <w:tc>
          <w:tcPr>
            <w:tcW w:w="650" w:type="dxa"/>
            <w:tcBorders>
              <w:top w:val="single" w:sz="6" w:space="0" w:color="auto"/>
              <w:left w:val="single" w:sz="6" w:space="0" w:color="auto"/>
              <w:bottom w:val="single" w:sz="6" w:space="0" w:color="auto"/>
              <w:right w:val="single" w:sz="6" w:space="0" w:color="auto"/>
            </w:tcBorders>
          </w:tcPr>
          <w:p w14:paraId="2056D77C" w14:textId="77777777" w:rsidR="009617F5" w:rsidRPr="009617F5" w:rsidRDefault="009617F5" w:rsidP="009617F5">
            <w:pPr>
              <w:pStyle w:val="Texttabulky"/>
              <w:spacing w:after="0"/>
              <w:jc w:val="right"/>
              <w:rPr>
                <w:rFonts w:cs="Arial"/>
              </w:rPr>
            </w:pPr>
            <w:r w:rsidRPr="009617F5">
              <w:rPr>
                <w:rFonts w:cs="Arial"/>
              </w:rPr>
              <w:t>1,74</w:t>
            </w:r>
          </w:p>
        </w:tc>
        <w:tc>
          <w:tcPr>
            <w:tcW w:w="709" w:type="dxa"/>
            <w:tcBorders>
              <w:top w:val="single" w:sz="6" w:space="0" w:color="auto"/>
              <w:left w:val="single" w:sz="6" w:space="0" w:color="auto"/>
              <w:bottom w:val="single" w:sz="6" w:space="0" w:color="auto"/>
              <w:right w:val="single" w:sz="6" w:space="0" w:color="auto"/>
            </w:tcBorders>
          </w:tcPr>
          <w:p w14:paraId="3E957E92" w14:textId="77777777" w:rsidR="009617F5" w:rsidRPr="009617F5" w:rsidRDefault="009617F5" w:rsidP="009617F5">
            <w:pPr>
              <w:pStyle w:val="Texttabulky"/>
              <w:spacing w:after="0"/>
              <w:jc w:val="right"/>
              <w:rPr>
                <w:rFonts w:cs="Arial"/>
              </w:rPr>
            </w:pPr>
            <w:r w:rsidRPr="009617F5">
              <w:rPr>
                <w:rFonts w:cs="Arial"/>
              </w:rPr>
              <w:t>52,28</w:t>
            </w:r>
          </w:p>
        </w:tc>
        <w:tc>
          <w:tcPr>
            <w:tcW w:w="892" w:type="dxa"/>
            <w:tcBorders>
              <w:top w:val="single" w:sz="6" w:space="0" w:color="auto"/>
              <w:left w:val="single" w:sz="6" w:space="0" w:color="auto"/>
              <w:bottom w:val="single" w:sz="6" w:space="0" w:color="auto"/>
              <w:right w:val="single" w:sz="6" w:space="0" w:color="auto"/>
            </w:tcBorders>
          </w:tcPr>
          <w:p w14:paraId="08258EAB" w14:textId="77777777" w:rsidR="009617F5" w:rsidRPr="009617F5" w:rsidRDefault="009617F5" w:rsidP="009617F5">
            <w:pPr>
              <w:pStyle w:val="Texttabulky"/>
              <w:spacing w:after="0"/>
              <w:jc w:val="right"/>
              <w:rPr>
                <w:rFonts w:cs="Arial"/>
              </w:rPr>
            </w:pPr>
            <w:r w:rsidRPr="009617F5">
              <w:rPr>
                <w:rFonts w:cs="Arial"/>
              </w:rPr>
              <w:t>104,22</w:t>
            </w:r>
          </w:p>
        </w:tc>
      </w:tr>
      <w:tr w:rsidR="009617F5" w:rsidRPr="009617F5" w14:paraId="1A304968"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3AE7F66B" w14:textId="77777777" w:rsidR="009617F5" w:rsidRPr="009617F5" w:rsidRDefault="009617F5" w:rsidP="009617F5">
            <w:pPr>
              <w:pStyle w:val="Texttabulky"/>
              <w:spacing w:after="0"/>
              <w:rPr>
                <w:rFonts w:cs="Arial"/>
              </w:rPr>
            </w:pPr>
            <w:r w:rsidRPr="009617F5">
              <w:rPr>
                <w:rFonts w:cs="Arial"/>
                <w:b/>
                <w:bCs/>
                <w:sz w:val="18"/>
                <w:szCs w:val="18"/>
              </w:rPr>
              <w:t>CELKEM 1/1/1997</w:t>
            </w:r>
          </w:p>
        </w:tc>
        <w:tc>
          <w:tcPr>
            <w:tcW w:w="1023" w:type="dxa"/>
            <w:tcBorders>
              <w:top w:val="single" w:sz="6" w:space="0" w:color="auto"/>
              <w:left w:val="single" w:sz="6" w:space="0" w:color="auto"/>
              <w:bottom w:val="single" w:sz="6" w:space="0" w:color="auto"/>
              <w:right w:val="single" w:sz="6" w:space="0" w:color="auto"/>
            </w:tcBorders>
          </w:tcPr>
          <w:p w14:paraId="6FE52D4D" w14:textId="77777777" w:rsidR="009617F5" w:rsidRPr="009617F5" w:rsidRDefault="009617F5" w:rsidP="009617F5">
            <w:pPr>
              <w:pStyle w:val="Texttabulky"/>
              <w:spacing w:after="0"/>
              <w:jc w:val="right"/>
              <w:rPr>
                <w:rFonts w:cs="Arial"/>
              </w:rPr>
            </w:pPr>
            <w:r w:rsidRPr="009617F5">
              <w:rPr>
                <w:rFonts w:cs="Arial"/>
                <w:b/>
                <w:bCs/>
                <w:sz w:val="18"/>
                <w:szCs w:val="18"/>
              </w:rPr>
              <w:t>2 879,13</w:t>
            </w:r>
          </w:p>
        </w:tc>
        <w:tc>
          <w:tcPr>
            <w:tcW w:w="662" w:type="dxa"/>
            <w:tcBorders>
              <w:top w:val="single" w:sz="6" w:space="0" w:color="auto"/>
              <w:left w:val="single" w:sz="6" w:space="0" w:color="auto"/>
              <w:bottom w:val="single" w:sz="6" w:space="0" w:color="auto"/>
              <w:right w:val="single" w:sz="6" w:space="0" w:color="auto"/>
            </w:tcBorders>
          </w:tcPr>
          <w:p w14:paraId="4607D949" w14:textId="77777777" w:rsidR="009617F5" w:rsidRPr="009617F5" w:rsidRDefault="009617F5" w:rsidP="009617F5">
            <w:pPr>
              <w:pStyle w:val="Texttabulky"/>
              <w:spacing w:after="0"/>
              <w:jc w:val="right"/>
              <w:rPr>
                <w:rFonts w:cs="Arial"/>
              </w:rPr>
            </w:pPr>
            <w:r w:rsidRPr="009617F5">
              <w:rPr>
                <w:rFonts w:cs="Arial"/>
                <w:b/>
                <w:bCs/>
                <w:sz w:val="18"/>
                <w:szCs w:val="18"/>
              </w:rPr>
              <w:t>976,49</w:t>
            </w:r>
          </w:p>
        </w:tc>
        <w:tc>
          <w:tcPr>
            <w:tcW w:w="884" w:type="dxa"/>
            <w:tcBorders>
              <w:top w:val="single" w:sz="6" w:space="0" w:color="auto"/>
              <w:left w:val="single" w:sz="6" w:space="0" w:color="auto"/>
              <w:bottom w:val="single" w:sz="6" w:space="0" w:color="auto"/>
              <w:right w:val="single" w:sz="6" w:space="0" w:color="auto"/>
            </w:tcBorders>
          </w:tcPr>
          <w:p w14:paraId="3627982B" w14:textId="77777777" w:rsidR="009617F5" w:rsidRPr="009617F5" w:rsidRDefault="009617F5" w:rsidP="009617F5">
            <w:pPr>
              <w:pStyle w:val="Texttabulky"/>
              <w:spacing w:after="0"/>
              <w:jc w:val="center"/>
              <w:rPr>
                <w:rFonts w:cs="Arial"/>
              </w:rPr>
            </w:pPr>
            <w:r w:rsidRPr="009617F5">
              <w:rPr>
                <w:rFonts w:cs="Arial"/>
                <w:b/>
                <w:bCs/>
                <w:sz w:val="18"/>
                <w:szCs w:val="18"/>
              </w:rPr>
              <w:t>0</w:t>
            </w:r>
          </w:p>
        </w:tc>
        <w:tc>
          <w:tcPr>
            <w:tcW w:w="567" w:type="dxa"/>
            <w:tcBorders>
              <w:top w:val="single" w:sz="6" w:space="0" w:color="auto"/>
              <w:left w:val="single" w:sz="6" w:space="0" w:color="auto"/>
              <w:bottom w:val="single" w:sz="6" w:space="0" w:color="auto"/>
              <w:right w:val="single" w:sz="6" w:space="0" w:color="auto"/>
            </w:tcBorders>
          </w:tcPr>
          <w:p w14:paraId="28056A83" w14:textId="77777777" w:rsidR="009617F5" w:rsidRPr="009617F5" w:rsidRDefault="009617F5" w:rsidP="009617F5">
            <w:pPr>
              <w:pStyle w:val="Texttabulky"/>
              <w:spacing w:after="0"/>
              <w:jc w:val="center"/>
              <w:rPr>
                <w:rFonts w:cs="Arial"/>
              </w:rPr>
            </w:pPr>
            <w:r w:rsidRPr="009617F5">
              <w:rPr>
                <w:rFonts w:cs="Arial"/>
                <w:b/>
                <w:bCs/>
                <w:sz w:val="18"/>
                <w:szCs w:val="18"/>
              </w:rPr>
              <w:t>0</w:t>
            </w:r>
          </w:p>
        </w:tc>
        <w:tc>
          <w:tcPr>
            <w:tcW w:w="709" w:type="dxa"/>
            <w:tcBorders>
              <w:top w:val="single" w:sz="6" w:space="0" w:color="auto"/>
              <w:left w:val="single" w:sz="6" w:space="0" w:color="auto"/>
              <w:bottom w:val="single" w:sz="6" w:space="0" w:color="auto"/>
              <w:right w:val="single" w:sz="6" w:space="0" w:color="auto"/>
            </w:tcBorders>
          </w:tcPr>
          <w:p w14:paraId="72D3E29A" w14:textId="77777777" w:rsidR="009617F5" w:rsidRPr="009617F5" w:rsidRDefault="009617F5" w:rsidP="009617F5">
            <w:pPr>
              <w:pStyle w:val="Texttabulky"/>
              <w:spacing w:after="0"/>
              <w:jc w:val="right"/>
              <w:rPr>
                <w:rFonts w:cs="Arial"/>
              </w:rPr>
            </w:pPr>
            <w:r w:rsidRPr="009617F5">
              <w:rPr>
                <w:rFonts w:cs="Arial"/>
                <w:b/>
                <w:bCs/>
                <w:sz w:val="18"/>
                <w:szCs w:val="18"/>
              </w:rPr>
              <w:t>491,75</w:t>
            </w:r>
          </w:p>
        </w:tc>
        <w:tc>
          <w:tcPr>
            <w:tcW w:w="650" w:type="dxa"/>
            <w:tcBorders>
              <w:top w:val="single" w:sz="6" w:space="0" w:color="auto"/>
              <w:left w:val="single" w:sz="6" w:space="0" w:color="auto"/>
              <w:bottom w:val="single" w:sz="6" w:space="0" w:color="auto"/>
              <w:right w:val="single" w:sz="6" w:space="0" w:color="auto"/>
            </w:tcBorders>
          </w:tcPr>
          <w:p w14:paraId="45A924EE" w14:textId="77777777" w:rsidR="009617F5" w:rsidRPr="009617F5" w:rsidRDefault="009617F5" w:rsidP="009617F5">
            <w:pPr>
              <w:pStyle w:val="Texttabulky"/>
              <w:spacing w:after="0"/>
              <w:jc w:val="right"/>
              <w:rPr>
                <w:rFonts w:cs="Arial"/>
              </w:rPr>
            </w:pPr>
            <w:r w:rsidRPr="009617F5">
              <w:rPr>
                <w:rFonts w:cs="Arial"/>
                <w:b/>
                <w:bCs/>
                <w:sz w:val="18"/>
                <w:szCs w:val="18"/>
              </w:rPr>
              <w:t>153,62</w:t>
            </w:r>
          </w:p>
        </w:tc>
        <w:tc>
          <w:tcPr>
            <w:tcW w:w="709" w:type="dxa"/>
            <w:tcBorders>
              <w:top w:val="single" w:sz="6" w:space="0" w:color="auto"/>
              <w:left w:val="single" w:sz="6" w:space="0" w:color="auto"/>
              <w:bottom w:val="single" w:sz="6" w:space="0" w:color="auto"/>
              <w:right w:val="single" w:sz="6" w:space="0" w:color="auto"/>
            </w:tcBorders>
          </w:tcPr>
          <w:p w14:paraId="04FAA963" w14:textId="77777777" w:rsidR="009617F5" w:rsidRPr="009617F5" w:rsidRDefault="009617F5" w:rsidP="009617F5">
            <w:pPr>
              <w:pStyle w:val="Texttabulky"/>
              <w:spacing w:after="0"/>
              <w:jc w:val="right"/>
              <w:rPr>
                <w:rFonts w:cs="Arial"/>
              </w:rPr>
            </w:pPr>
            <w:r w:rsidRPr="009617F5">
              <w:rPr>
                <w:rFonts w:cs="Arial"/>
                <w:b/>
                <w:bCs/>
                <w:sz w:val="18"/>
                <w:szCs w:val="18"/>
              </w:rPr>
              <w:t>654,68</w:t>
            </w:r>
          </w:p>
        </w:tc>
        <w:tc>
          <w:tcPr>
            <w:tcW w:w="892" w:type="dxa"/>
            <w:tcBorders>
              <w:top w:val="single" w:sz="6" w:space="0" w:color="auto"/>
              <w:left w:val="single" w:sz="6" w:space="0" w:color="auto"/>
              <w:bottom w:val="single" w:sz="6" w:space="0" w:color="auto"/>
              <w:right w:val="single" w:sz="6" w:space="0" w:color="auto"/>
            </w:tcBorders>
          </w:tcPr>
          <w:p w14:paraId="1F40F629" w14:textId="77777777" w:rsidR="009617F5" w:rsidRPr="009617F5" w:rsidRDefault="009617F5" w:rsidP="009617F5">
            <w:pPr>
              <w:pStyle w:val="Texttabulky"/>
              <w:spacing w:after="0"/>
              <w:jc w:val="right"/>
              <w:rPr>
                <w:rFonts w:cs="Arial"/>
              </w:rPr>
            </w:pPr>
            <w:r w:rsidRPr="009617F5">
              <w:rPr>
                <w:rFonts w:cs="Arial"/>
                <w:b/>
                <w:bCs/>
                <w:sz w:val="18"/>
                <w:szCs w:val="18"/>
              </w:rPr>
              <w:t>602,6</w:t>
            </w:r>
          </w:p>
        </w:tc>
      </w:tr>
      <w:tr w:rsidR="009617F5" w:rsidRPr="009617F5" w14:paraId="2872FEC4" w14:textId="77777777" w:rsidTr="00286F7D">
        <w:trPr>
          <w:jc w:val="center"/>
        </w:trPr>
        <w:tc>
          <w:tcPr>
            <w:tcW w:w="1609" w:type="dxa"/>
            <w:tcBorders>
              <w:top w:val="single" w:sz="6" w:space="0" w:color="auto"/>
              <w:left w:val="single" w:sz="6" w:space="0" w:color="auto"/>
              <w:bottom w:val="single" w:sz="6" w:space="0" w:color="auto"/>
              <w:right w:val="single" w:sz="6" w:space="0" w:color="auto"/>
            </w:tcBorders>
          </w:tcPr>
          <w:p w14:paraId="497CCB56" w14:textId="77777777" w:rsidR="009617F5" w:rsidRPr="009617F5" w:rsidRDefault="009617F5" w:rsidP="009617F5">
            <w:pPr>
              <w:pStyle w:val="Texttabulky"/>
              <w:spacing w:after="0"/>
              <w:rPr>
                <w:rFonts w:cs="Arial"/>
              </w:rPr>
            </w:pPr>
            <w:r w:rsidRPr="009617F5">
              <w:rPr>
                <w:rFonts w:cs="Arial"/>
                <w:b/>
                <w:bCs/>
                <w:sz w:val="18"/>
                <w:szCs w:val="18"/>
              </w:rPr>
              <w:t>CELKEM 1/1/2000</w:t>
            </w:r>
          </w:p>
        </w:tc>
        <w:tc>
          <w:tcPr>
            <w:tcW w:w="1023" w:type="dxa"/>
            <w:tcBorders>
              <w:top w:val="single" w:sz="6" w:space="0" w:color="auto"/>
              <w:left w:val="single" w:sz="6" w:space="0" w:color="auto"/>
              <w:bottom w:val="single" w:sz="6" w:space="0" w:color="auto"/>
              <w:right w:val="single" w:sz="6" w:space="0" w:color="auto"/>
            </w:tcBorders>
          </w:tcPr>
          <w:p w14:paraId="539170B1" w14:textId="77777777" w:rsidR="009617F5" w:rsidRPr="009617F5" w:rsidRDefault="009617F5" w:rsidP="009617F5">
            <w:pPr>
              <w:pStyle w:val="Texttabulky"/>
              <w:spacing w:after="0"/>
              <w:jc w:val="right"/>
              <w:rPr>
                <w:rFonts w:cs="Arial"/>
              </w:rPr>
            </w:pPr>
            <w:r w:rsidRPr="009617F5">
              <w:rPr>
                <w:rFonts w:cs="Arial"/>
                <w:b/>
                <w:bCs/>
                <w:sz w:val="18"/>
                <w:szCs w:val="18"/>
              </w:rPr>
              <w:t>2 833</w:t>
            </w:r>
          </w:p>
        </w:tc>
        <w:tc>
          <w:tcPr>
            <w:tcW w:w="662" w:type="dxa"/>
            <w:tcBorders>
              <w:top w:val="single" w:sz="6" w:space="0" w:color="auto"/>
              <w:left w:val="single" w:sz="6" w:space="0" w:color="auto"/>
              <w:bottom w:val="single" w:sz="6" w:space="0" w:color="auto"/>
              <w:right w:val="single" w:sz="6" w:space="0" w:color="auto"/>
            </w:tcBorders>
          </w:tcPr>
          <w:p w14:paraId="0D9D16F6" w14:textId="77777777" w:rsidR="009617F5" w:rsidRPr="009617F5" w:rsidRDefault="009617F5" w:rsidP="009617F5">
            <w:pPr>
              <w:pStyle w:val="Texttabulky"/>
              <w:spacing w:after="0"/>
              <w:jc w:val="right"/>
              <w:rPr>
                <w:rFonts w:cs="Arial"/>
              </w:rPr>
            </w:pPr>
            <w:r w:rsidRPr="009617F5">
              <w:rPr>
                <w:rFonts w:cs="Arial"/>
                <w:b/>
                <w:bCs/>
                <w:sz w:val="18"/>
                <w:szCs w:val="18"/>
              </w:rPr>
              <w:t>962</w:t>
            </w:r>
          </w:p>
        </w:tc>
        <w:tc>
          <w:tcPr>
            <w:tcW w:w="884" w:type="dxa"/>
            <w:tcBorders>
              <w:top w:val="single" w:sz="6" w:space="0" w:color="auto"/>
              <w:left w:val="single" w:sz="6" w:space="0" w:color="auto"/>
              <w:bottom w:val="single" w:sz="6" w:space="0" w:color="auto"/>
              <w:right w:val="single" w:sz="6" w:space="0" w:color="auto"/>
            </w:tcBorders>
          </w:tcPr>
          <w:p w14:paraId="5E869AFB" w14:textId="77777777" w:rsidR="009617F5" w:rsidRPr="009617F5" w:rsidRDefault="009617F5" w:rsidP="009617F5">
            <w:pPr>
              <w:pStyle w:val="Texttabulky"/>
              <w:spacing w:after="0"/>
              <w:jc w:val="center"/>
              <w:rPr>
                <w:rFonts w:cs="Arial"/>
              </w:rPr>
            </w:pPr>
            <w:r w:rsidRPr="009617F5">
              <w:rPr>
                <w:rFonts w:cs="Arial"/>
                <w:b/>
                <w:bCs/>
              </w:rPr>
              <w:t>0</w:t>
            </w:r>
          </w:p>
        </w:tc>
        <w:tc>
          <w:tcPr>
            <w:tcW w:w="567" w:type="dxa"/>
            <w:tcBorders>
              <w:top w:val="single" w:sz="6" w:space="0" w:color="auto"/>
              <w:left w:val="single" w:sz="6" w:space="0" w:color="auto"/>
              <w:bottom w:val="single" w:sz="6" w:space="0" w:color="auto"/>
              <w:right w:val="single" w:sz="6" w:space="0" w:color="auto"/>
            </w:tcBorders>
          </w:tcPr>
          <w:p w14:paraId="6CF47130" w14:textId="77777777" w:rsidR="009617F5" w:rsidRPr="009617F5" w:rsidRDefault="009617F5" w:rsidP="009617F5">
            <w:pPr>
              <w:pStyle w:val="Texttabulky"/>
              <w:spacing w:after="0"/>
              <w:jc w:val="center"/>
              <w:rPr>
                <w:rFonts w:cs="Arial"/>
              </w:rPr>
            </w:pPr>
            <w:r w:rsidRPr="009617F5">
              <w:rPr>
                <w:rFonts w:cs="Arial"/>
                <w:b/>
                <w:bCs/>
              </w:rPr>
              <w:t>0</w:t>
            </w:r>
          </w:p>
        </w:tc>
        <w:tc>
          <w:tcPr>
            <w:tcW w:w="1359" w:type="dxa"/>
            <w:gridSpan w:val="2"/>
            <w:tcBorders>
              <w:top w:val="single" w:sz="6" w:space="0" w:color="auto"/>
              <w:left w:val="single" w:sz="6" w:space="0" w:color="auto"/>
              <w:bottom w:val="single" w:sz="6" w:space="0" w:color="auto"/>
              <w:right w:val="single" w:sz="6" w:space="0" w:color="auto"/>
            </w:tcBorders>
          </w:tcPr>
          <w:p w14:paraId="78A72EC0" w14:textId="77777777" w:rsidR="009617F5" w:rsidRPr="009617F5" w:rsidRDefault="009617F5" w:rsidP="009617F5">
            <w:pPr>
              <w:pStyle w:val="Zkladntext"/>
              <w:spacing w:after="0"/>
              <w:rPr>
                <w:rFonts w:ascii="Arial" w:hAnsi="Arial" w:cs="Arial"/>
              </w:rPr>
            </w:pPr>
            <w:r w:rsidRPr="009617F5">
              <w:rPr>
                <w:rFonts w:ascii="Arial" w:hAnsi="Arial" w:cs="Arial"/>
                <w:b/>
                <w:bCs/>
                <w:sz w:val="18"/>
                <w:szCs w:val="18"/>
              </w:rPr>
              <w:t>632</w:t>
            </w:r>
          </w:p>
        </w:tc>
        <w:tc>
          <w:tcPr>
            <w:tcW w:w="1601" w:type="dxa"/>
            <w:gridSpan w:val="2"/>
            <w:tcBorders>
              <w:top w:val="single" w:sz="6" w:space="0" w:color="auto"/>
              <w:left w:val="single" w:sz="6" w:space="0" w:color="auto"/>
              <w:bottom w:val="single" w:sz="6" w:space="0" w:color="auto"/>
              <w:right w:val="single" w:sz="6" w:space="0" w:color="auto"/>
            </w:tcBorders>
          </w:tcPr>
          <w:p w14:paraId="40B986BE" w14:textId="77777777" w:rsidR="009617F5" w:rsidRPr="009617F5" w:rsidRDefault="009617F5" w:rsidP="009617F5">
            <w:pPr>
              <w:pStyle w:val="Zkladntext"/>
              <w:spacing w:after="0"/>
              <w:rPr>
                <w:rFonts w:ascii="Arial" w:hAnsi="Arial" w:cs="Arial"/>
              </w:rPr>
            </w:pPr>
            <w:r w:rsidRPr="009617F5">
              <w:rPr>
                <w:rFonts w:ascii="Arial" w:hAnsi="Arial" w:cs="Arial"/>
                <w:b/>
                <w:bCs/>
                <w:sz w:val="18"/>
                <w:szCs w:val="18"/>
              </w:rPr>
              <w:t>1 239</w:t>
            </w:r>
          </w:p>
        </w:tc>
      </w:tr>
    </w:tbl>
    <w:p w14:paraId="5EA47394" w14:textId="77777777" w:rsidR="009617F5" w:rsidRPr="009617F5" w:rsidRDefault="009617F5" w:rsidP="009617F5">
      <w:pPr>
        <w:autoSpaceDE w:val="0"/>
        <w:autoSpaceDN w:val="0"/>
        <w:adjustRightInd w:val="0"/>
        <w:rPr>
          <w:rFonts w:ascii="Arial" w:hAnsi="Arial" w:cs="Arial"/>
          <w:sz w:val="20"/>
        </w:rPr>
      </w:pPr>
    </w:p>
    <w:p w14:paraId="65F2CE74" w14:textId="77777777" w:rsidR="009617F5" w:rsidRPr="009617F5" w:rsidRDefault="009617F5" w:rsidP="009617F5">
      <w:pPr>
        <w:pStyle w:val="Zkladntext"/>
        <w:spacing w:before="120" w:line="288" w:lineRule="auto"/>
        <w:rPr>
          <w:rFonts w:ascii="Arial" w:hAnsi="Arial" w:cs="Arial"/>
          <w:b/>
          <w:bCs/>
        </w:rPr>
      </w:pPr>
      <w:r w:rsidRPr="009617F5">
        <w:rPr>
          <w:rFonts w:ascii="Arial" w:hAnsi="Arial" w:cs="Arial"/>
          <w:b/>
          <w:bCs/>
        </w:rPr>
        <w:t>Pedologická charakteristika</w:t>
      </w:r>
    </w:p>
    <w:p w14:paraId="2EE7223E"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sz w:val="22"/>
          <w:szCs w:val="22"/>
        </w:rPr>
        <w:t xml:space="preserve">půd je dána bonitovanou půdně ekologickou jednotkou, a to jejím druhým dvojčíslím - hlavní půdní jednotkou. U ploch, na kterých je navržen trvalý zábor zemědělské půdy jsou </w:t>
      </w:r>
      <w:r w:rsidRPr="009617F5">
        <w:rPr>
          <w:rFonts w:ascii="Arial" w:hAnsi="Arial" w:cs="Arial"/>
          <w:b/>
          <w:bCs/>
          <w:sz w:val="22"/>
          <w:szCs w:val="22"/>
        </w:rPr>
        <w:t>následující charakteristiky HPJ:</w:t>
      </w:r>
    </w:p>
    <w:p w14:paraId="74195FCA" w14:textId="77777777" w:rsidR="009617F5" w:rsidRPr="009617F5" w:rsidRDefault="009617F5" w:rsidP="009617F5">
      <w:pPr>
        <w:pStyle w:val="dka"/>
        <w:spacing w:before="120" w:line="288" w:lineRule="auto"/>
        <w:ind w:left="1134" w:hanging="1134"/>
        <w:jc w:val="both"/>
        <w:rPr>
          <w:rFonts w:cs="Arial"/>
        </w:rPr>
      </w:pPr>
      <w:r w:rsidRPr="009617F5">
        <w:rPr>
          <w:rFonts w:cs="Arial"/>
          <w:b/>
          <w:bCs/>
        </w:rPr>
        <w:t>HPJ 10</w:t>
      </w:r>
      <w:r w:rsidRPr="009617F5">
        <w:rPr>
          <w:rFonts w:cs="Arial"/>
        </w:rPr>
        <w:t xml:space="preserve"> - hnědozemě, včetně slabě oglejených forem na spraši, středně těžké, vodní režim příznivý</w:t>
      </w:r>
    </w:p>
    <w:p w14:paraId="0C7CBC3A" w14:textId="77777777" w:rsidR="009617F5" w:rsidRPr="009617F5" w:rsidRDefault="009617F5" w:rsidP="009617F5">
      <w:pPr>
        <w:pStyle w:val="dka"/>
        <w:spacing w:before="120" w:line="288" w:lineRule="auto"/>
        <w:jc w:val="both"/>
        <w:rPr>
          <w:rFonts w:cs="Arial"/>
        </w:rPr>
      </w:pPr>
      <w:r w:rsidRPr="009617F5">
        <w:rPr>
          <w:rFonts w:cs="Arial"/>
          <w:b/>
          <w:bCs/>
        </w:rPr>
        <w:t>HPJ 14</w:t>
      </w:r>
      <w:r w:rsidRPr="009617F5">
        <w:rPr>
          <w:rFonts w:cs="Arial"/>
        </w:rPr>
        <w:t xml:space="preserve"> - illimerizované půdy na sprašových hlínách, středně těžké, vláhové poměry příznivé</w:t>
      </w:r>
    </w:p>
    <w:p w14:paraId="284DA9A8" w14:textId="77777777" w:rsidR="009617F5" w:rsidRPr="009617F5" w:rsidRDefault="009617F5" w:rsidP="009617F5">
      <w:pPr>
        <w:pStyle w:val="dka"/>
        <w:spacing w:before="120" w:line="288" w:lineRule="auto"/>
        <w:jc w:val="both"/>
        <w:rPr>
          <w:rFonts w:cs="Arial"/>
        </w:rPr>
      </w:pPr>
      <w:r w:rsidRPr="009617F5">
        <w:rPr>
          <w:rFonts w:cs="Arial"/>
          <w:b/>
          <w:bCs/>
        </w:rPr>
        <w:t>HPJ 28</w:t>
      </w:r>
      <w:r w:rsidRPr="009617F5">
        <w:rPr>
          <w:rFonts w:cs="Arial"/>
        </w:rPr>
        <w:t xml:space="preserve"> - hnědé půdy kyseléna vyvřelinách, středně těžké, dobré vláhové poměry</w:t>
      </w:r>
    </w:p>
    <w:p w14:paraId="4672486E" w14:textId="77777777" w:rsidR="009617F5" w:rsidRPr="009617F5" w:rsidRDefault="009617F5" w:rsidP="009617F5">
      <w:pPr>
        <w:pStyle w:val="dka"/>
        <w:spacing w:before="120" w:line="288" w:lineRule="auto"/>
        <w:jc w:val="both"/>
        <w:rPr>
          <w:rFonts w:cs="Arial"/>
        </w:rPr>
      </w:pPr>
      <w:r w:rsidRPr="009617F5">
        <w:rPr>
          <w:rFonts w:cs="Arial"/>
          <w:b/>
          <w:bCs/>
        </w:rPr>
        <w:t>HPJ 41</w:t>
      </w:r>
      <w:r w:rsidRPr="009617F5">
        <w:rPr>
          <w:rFonts w:cs="Arial"/>
        </w:rPr>
        <w:t xml:space="preserve"> - svažité půdy, středně těžké, štěrkovité, vláhové poměry závislé na srážkách</w:t>
      </w:r>
    </w:p>
    <w:p w14:paraId="295178DB" w14:textId="77777777" w:rsidR="009617F5" w:rsidRPr="009617F5" w:rsidRDefault="009617F5" w:rsidP="009617F5">
      <w:pPr>
        <w:pStyle w:val="dka"/>
        <w:spacing w:before="120" w:line="288" w:lineRule="auto"/>
        <w:jc w:val="both"/>
        <w:rPr>
          <w:rFonts w:cs="Arial"/>
        </w:rPr>
      </w:pPr>
      <w:r w:rsidRPr="009617F5">
        <w:rPr>
          <w:rFonts w:cs="Arial"/>
          <w:b/>
          <w:bCs/>
        </w:rPr>
        <w:lastRenderedPageBreak/>
        <w:t>HPJ 50</w:t>
      </w:r>
      <w:r w:rsidRPr="009617F5">
        <w:rPr>
          <w:rFonts w:cs="Arial"/>
        </w:rPr>
        <w:t xml:space="preserve"> - hnědé půdy oglejené, středně těžké, kamenité, zamokřené</w:t>
      </w:r>
    </w:p>
    <w:p w14:paraId="35963BAE"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sz w:val="22"/>
          <w:szCs w:val="22"/>
        </w:rPr>
        <w:t xml:space="preserve">Mimo hodnot BPEJ je uveden další údaj, a to stupeň přednosti a třída ochrany zemědělského půdního fondu, která je tabulkově přiřazena vždy k jednotlivé BPEJ. Tyto hodnoty určují kvalitu ZPF, nahrazující bonitní třídy. Výše uvedené údaje jsou vždy uvedeny v následujících tabulkách. </w:t>
      </w:r>
    </w:p>
    <w:p w14:paraId="5F7C5F0C"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sz w:val="22"/>
          <w:szCs w:val="22"/>
        </w:rPr>
        <w:t xml:space="preserve">Navrhované plochy pro zástavbu se nedotknou místní komunikační sítě ani polních cest, pouze se navrhuje zkvalitnění a místní povrchová úprava (MK, ÚK). </w:t>
      </w:r>
    </w:p>
    <w:p w14:paraId="41572B39"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sz w:val="22"/>
          <w:szCs w:val="22"/>
        </w:rPr>
        <w:t xml:space="preserve">Komplexní pozemkové úpravy v tomto území nebyly zatím zpracované, ani v nejbližší době se s nimi neuvažuje. </w:t>
      </w:r>
    </w:p>
    <w:p w14:paraId="4821F7B5"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sz w:val="22"/>
          <w:szCs w:val="22"/>
        </w:rPr>
        <w:t>V řešeném území se nenachází chráněné ložiskové území ani dobývací prostor.</w:t>
      </w:r>
    </w:p>
    <w:p w14:paraId="5A28B7F7"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sz w:val="22"/>
          <w:szCs w:val="22"/>
        </w:rPr>
        <w:t xml:space="preserve">Na základě požadavků MěÚ Děčín pro zajištění rozvoje města byly navrženy vhodné plochy </w:t>
      </w:r>
      <w:r w:rsidRPr="009617F5">
        <w:rPr>
          <w:rFonts w:ascii="Arial" w:hAnsi="Arial" w:cs="Arial"/>
          <w:sz w:val="22"/>
          <w:szCs w:val="22"/>
        </w:rPr>
        <w:tab/>
        <w:t>pro výstavbu, která by svými parametry odpovídala požadovanému rozvoji města. Plochy záboru jsou rozděleny podle způsobu využití, to znamená bydlení (MD městské domy, BD bytové domy, RD rodinné domy), objekty pro občanskou výstavbu (OV, S sport) podnikatelské aktivity (V výroba), veřejnou zeleň - parky (Z) a dopravní stavby (D).</w:t>
      </w:r>
    </w:p>
    <w:p w14:paraId="67265712" w14:textId="77777777" w:rsidR="009617F5" w:rsidRPr="009617F5" w:rsidRDefault="009617F5" w:rsidP="009617F5">
      <w:pPr>
        <w:pStyle w:val="Zkladntext"/>
        <w:rPr>
          <w:rFonts w:ascii="Arial" w:hAnsi="Arial" w:cs="Arial"/>
        </w:rPr>
      </w:pPr>
    </w:p>
    <w:p w14:paraId="44E72D4C" w14:textId="77777777" w:rsidR="009617F5" w:rsidRPr="009617F5" w:rsidRDefault="009617F5" w:rsidP="009617F5">
      <w:pPr>
        <w:pStyle w:val="Zkladntext"/>
        <w:spacing w:before="120" w:line="288" w:lineRule="auto"/>
        <w:rPr>
          <w:rFonts w:ascii="Arial" w:hAnsi="Arial" w:cs="Arial"/>
          <w:sz w:val="22"/>
          <w:szCs w:val="22"/>
        </w:rPr>
      </w:pPr>
      <w:r w:rsidRPr="009617F5">
        <w:rPr>
          <w:rFonts w:ascii="Arial" w:hAnsi="Arial" w:cs="Arial"/>
          <w:b/>
          <w:bCs/>
          <w:caps/>
          <w:sz w:val="22"/>
          <w:szCs w:val="22"/>
        </w:rPr>
        <w:t>Pro vypracování návrhu řešení ÚPN byly:</w:t>
      </w:r>
    </w:p>
    <w:p w14:paraId="73C19BB1" w14:textId="77777777" w:rsidR="009617F5" w:rsidRPr="009617F5" w:rsidRDefault="009617F5" w:rsidP="009617F5">
      <w:pPr>
        <w:pStyle w:val="Znaka1"/>
        <w:numPr>
          <w:ilvl w:val="0"/>
          <w:numId w:val="99"/>
        </w:numPr>
        <w:spacing w:before="120" w:line="288" w:lineRule="auto"/>
        <w:ind w:left="426"/>
        <w:jc w:val="both"/>
        <w:rPr>
          <w:rFonts w:cs="Arial"/>
          <w:sz w:val="22"/>
          <w:szCs w:val="22"/>
        </w:rPr>
      </w:pPr>
      <w:r w:rsidRPr="009617F5">
        <w:rPr>
          <w:rFonts w:cs="Arial"/>
          <w:sz w:val="22"/>
          <w:szCs w:val="22"/>
        </w:rPr>
        <w:t>využity všechny podklady, informace, studie a záměry Městského úřadu (územní rozhodnutí, stavební povolení)</w:t>
      </w:r>
    </w:p>
    <w:p w14:paraId="657EC265" w14:textId="77777777" w:rsidR="009617F5" w:rsidRPr="009617F5" w:rsidRDefault="009617F5" w:rsidP="009617F5">
      <w:pPr>
        <w:pStyle w:val="Znaka1"/>
        <w:numPr>
          <w:ilvl w:val="0"/>
          <w:numId w:val="99"/>
        </w:numPr>
        <w:spacing w:before="120" w:line="288" w:lineRule="auto"/>
        <w:ind w:left="426"/>
        <w:jc w:val="both"/>
        <w:rPr>
          <w:rFonts w:cs="Arial"/>
          <w:sz w:val="22"/>
          <w:szCs w:val="22"/>
        </w:rPr>
      </w:pPr>
      <w:r w:rsidRPr="009617F5">
        <w:rPr>
          <w:rFonts w:cs="Arial"/>
          <w:sz w:val="22"/>
          <w:szCs w:val="22"/>
        </w:rPr>
        <w:t xml:space="preserve">okresního úřadu a všech dalších organizací a správců sítí podílejících se svojí činností na rozvoji města. </w:t>
      </w:r>
    </w:p>
    <w:p w14:paraId="4AF48883" w14:textId="77777777" w:rsidR="009617F5" w:rsidRPr="009617F5" w:rsidRDefault="009617F5" w:rsidP="009617F5">
      <w:pPr>
        <w:pStyle w:val="Znaka1"/>
        <w:numPr>
          <w:ilvl w:val="0"/>
          <w:numId w:val="99"/>
        </w:numPr>
        <w:spacing w:before="120" w:line="288" w:lineRule="auto"/>
        <w:ind w:left="426"/>
        <w:jc w:val="both"/>
        <w:rPr>
          <w:rFonts w:cs="Arial"/>
          <w:sz w:val="22"/>
          <w:szCs w:val="22"/>
        </w:rPr>
      </w:pPr>
      <w:r w:rsidRPr="009617F5">
        <w:rPr>
          <w:rFonts w:cs="Arial"/>
          <w:sz w:val="22"/>
          <w:szCs w:val="22"/>
        </w:rPr>
        <w:t xml:space="preserve">využity všechny územní rezervy - plochy ležící uvnitř současně zastavěného území, po jejich vyčerpání byla výstavba navržena za hranici zastavěného území. Dále byly v max. míře navrženy rekonstrukce event. i změny funkce u stávajících objektů či areálů. </w:t>
      </w:r>
    </w:p>
    <w:p w14:paraId="2225F20B" w14:textId="77777777" w:rsidR="009617F5" w:rsidRPr="009617F5" w:rsidRDefault="009617F5" w:rsidP="009617F5">
      <w:pPr>
        <w:pStyle w:val="Zkladntext"/>
        <w:spacing w:before="120" w:line="288" w:lineRule="auto"/>
        <w:rPr>
          <w:rFonts w:ascii="Arial" w:hAnsi="Arial" w:cs="Arial"/>
          <w:sz w:val="22"/>
          <w:szCs w:val="22"/>
        </w:rPr>
      </w:pPr>
    </w:p>
    <w:p w14:paraId="24C34B6B" w14:textId="77777777" w:rsidR="009617F5" w:rsidRPr="009617F5" w:rsidRDefault="009617F5" w:rsidP="009617F5">
      <w:pPr>
        <w:pStyle w:val="Zkladntext"/>
        <w:spacing w:before="120" w:line="288" w:lineRule="auto"/>
        <w:rPr>
          <w:rFonts w:ascii="Arial" w:hAnsi="Arial" w:cs="Arial"/>
          <w:sz w:val="22"/>
          <w:szCs w:val="22"/>
        </w:rPr>
      </w:pPr>
      <w:r w:rsidRPr="009617F5">
        <w:rPr>
          <w:rFonts w:ascii="Arial" w:hAnsi="Arial" w:cs="Arial"/>
          <w:b/>
          <w:bCs/>
        </w:rPr>
        <w:t>Hranice SZÚ</w:t>
      </w:r>
      <w:r w:rsidRPr="009617F5">
        <w:rPr>
          <w:rFonts w:ascii="Arial" w:hAnsi="Arial" w:cs="Arial"/>
          <w:sz w:val="22"/>
          <w:szCs w:val="22"/>
        </w:rPr>
        <w:t xml:space="preserve"> (současné zastavěné území) </w:t>
      </w:r>
    </w:p>
    <w:p w14:paraId="7330FCEB" w14:textId="77777777" w:rsidR="009617F5" w:rsidRPr="009617F5" w:rsidRDefault="009617F5" w:rsidP="009617F5">
      <w:pPr>
        <w:pStyle w:val="Zkladntext"/>
        <w:spacing w:before="120" w:line="288" w:lineRule="auto"/>
        <w:rPr>
          <w:rFonts w:ascii="Arial" w:hAnsi="Arial" w:cs="Arial"/>
          <w:sz w:val="22"/>
          <w:szCs w:val="22"/>
        </w:rPr>
      </w:pPr>
      <w:r w:rsidRPr="009617F5">
        <w:rPr>
          <w:rFonts w:ascii="Arial" w:hAnsi="Arial" w:cs="Arial"/>
          <w:sz w:val="22"/>
          <w:szCs w:val="22"/>
        </w:rPr>
        <w:t xml:space="preserve">byla oproti konceptu upravena dle: podkladů Katastrálního úřadu Děčín, "Pomůcky Ústavu územního rozvoje Brno - 1999, Metodického pokynu Pozemkového fondu ČR - 1998 a zápisu z jednání MpMR a Pozemkového fondu ČR 1999" a odsouhlasena OkÚ Děčín - RRR a schválena městským zastupitelstvem. </w:t>
      </w:r>
    </w:p>
    <w:p w14:paraId="3963B44A" w14:textId="77777777" w:rsidR="009617F5" w:rsidRPr="009617F5" w:rsidRDefault="009617F5" w:rsidP="009617F5">
      <w:pPr>
        <w:pStyle w:val="Zkladntext"/>
        <w:spacing w:before="120" w:line="288" w:lineRule="auto"/>
        <w:ind w:firstLine="709"/>
        <w:jc w:val="both"/>
        <w:rPr>
          <w:rFonts w:ascii="Arial" w:hAnsi="Arial" w:cs="Arial"/>
          <w:sz w:val="22"/>
          <w:szCs w:val="22"/>
        </w:rPr>
      </w:pPr>
      <w:r w:rsidRPr="009617F5">
        <w:rPr>
          <w:rFonts w:ascii="Arial" w:hAnsi="Arial" w:cs="Arial"/>
          <w:sz w:val="22"/>
          <w:szCs w:val="22"/>
        </w:rPr>
        <w:t xml:space="preserve">V následujících tabulkách je </w:t>
      </w:r>
      <w:r w:rsidRPr="009617F5">
        <w:rPr>
          <w:rFonts w:ascii="Arial" w:hAnsi="Arial" w:cs="Arial"/>
          <w:b/>
          <w:bCs/>
          <w:sz w:val="22"/>
          <w:szCs w:val="22"/>
        </w:rPr>
        <w:t xml:space="preserve">vypočten trvalý zábor ZPF, a to v členění podle městských sektorů a jednotlivých lokalit. </w:t>
      </w:r>
      <w:r w:rsidRPr="009617F5">
        <w:rPr>
          <w:rFonts w:ascii="Arial" w:hAnsi="Arial" w:cs="Arial"/>
          <w:sz w:val="22"/>
          <w:szCs w:val="22"/>
        </w:rPr>
        <w:t>V tabulce je ke každé lokalitě uveden kód BPEJ, třída ochrany ZPF, zábor a kultura (</w:t>
      </w:r>
      <w:r w:rsidRPr="009617F5">
        <w:rPr>
          <w:rFonts w:ascii="Arial" w:hAnsi="Arial" w:cs="Arial"/>
          <w:b/>
          <w:bCs/>
          <w:strike/>
          <w:sz w:val="22"/>
          <w:szCs w:val="22"/>
        </w:rPr>
        <w:t>O</w:t>
      </w:r>
      <w:r w:rsidRPr="009617F5">
        <w:rPr>
          <w:rFonts w:ascii="Arial" w:hAnsi="Arial" w:cs="Arial"/>
          <w:sz w:val="22"/>
          <w:szCs w:val="22"/>
        </w:rPr>
        <w:t xml:space="preserve"> ostatní plochy a stavební parcely, </w:t>
      </w:r>
      <w:r w:rsidRPr="009617F5">
        <w:rPr>
          <w:rFonts w:ascii="Arial" w:hAnsi="Arial" w:cs="Arial"/>
          <w:b/>
          <w:bCs/>
          <w:sz w:val="22"/>
          <w:szCs w:val="22"/>
        </w:rPr>
        <w:t>O</w:t>
      </w:r>
      <w:r w:rsidRPr="009617F5">
        <w:rPr>
          <w:rFonts w:ascii="Arial" w:hAnsi="Arial" w:cs="Arial"/>
          <w:sz w:val="22"/>
          <w:szCs w:val="22"/>
        </w:rPr>
        <w:t xml:space="preserve"> orná půda, </w:t>
      </w:r>
      <w:r w:rsidRPr="009617F5">
        <w:rPr>
          <w:rFonts w:ascii="Arial" w:hAnsi="Arial" w:cs="Arial"/>
          <w:b/>
          <w:bCs/>
          <w:sz w:val="22"/>
          <w:szCs w:val="22"/>
        </w:rPr>
        <w:t>TTP</w:t>
      </w:r>
      <w:r w:rsidRPr="009617F5">
        <w:rPr>
          <w:rFonts w:ascii="Arial" w:hAnsi="Arial" w:cs="Arial"/>
          <w:sz w:val="22"/>
          <w:szCs w:val="22"/>
        </w:rPr>
        <w:t xml:space="preserve"> louky a pastviny,</w:t>
      </w:r>
      <w:r w:rsidRPr="009617F5">
        <w:rPr>
          <w:rFonts w:ascii="Arial" w:hAnsi="Arial" w:cs="Arial"/>
          <w:b/>
          <w:bCs/>
          <w:sz w:val="22"/>
          <w:szCs w:val="22"/>
        </w:rPr>
        <w:t xml:space="preserve"> S</w:t>
      </w:r>
      <w:r w:rsidRPr="009617F5">
        <w:rPr>
          <w:rFonts w:ascii="Arial" w:hAnsi="Arial" w:cs="Arial"/>
          <w:sz w:val="22"/>
          <w:szCs w:val="22"/>
        </w:rPr>
        <w:t xml:space="preserve"> sady a zahrady). Trvalý zábor je přehledně rozdělen na zábor celkem, v současně zastavěném území a mimo něj.</w:t>
      </w:r>
    </w:p>
    <w:p w14:paraId="41084A88" w14:textId="77777777" w:rsidR="009617F5" w:rsidRPr="009617F5" w:rsidRDefault="009617F5" w:rsidP="009617F5">
      <w:pPr>
        <w:pStyle w:val="Zkladntext"/>
        <w:spacing w:before="120" w:line="288" w:lineRule="auto"/>
        <w:ind w:firstLine="709"/>
        <w:jc w:val="both"/>
        <w:rPr>
          <w:rFonts w:ascii="Arial" w:hAnsi="Arial" w:cs="Arial"/>
          <w:sz w:val="22"/>
          <w:szCs w:val="22"/>
        </w:rPr>
      </w:pPr>
    </w:p>
    <w:p w14:paraId="76202077" w14:textId="77777777" w:rsidR="009617F5" w:rsidRPr="009617F5" w:rsidRDefault="009617F5" w:rsidP="009617F5">
      <w:pPr>
        <w:pStyle w:val="Zkladntext"/>
        <w:spacing w:before="120" w:line="288" w:lineRule="auto"/>
        <w:ind w:firstLine="709"/>
        <w:jc w:val="both"/>
        <w:rPr>
          <w:rFonts w:ascii="Arial" w:hAnsi="Arial" w:cs="Arial"/>
          <w:sz w:val="22"/>
          <w:szCs w:val="22"/>
        </w:rPr>
      </w:pPr>
      <w:r w:rsidRPr="009617F5">
        <w:rPr>
          <w:rFonts w:ascii="Arial" w:hAnsi="Arial" w:cs="Arial"/>
          <w:sz w:val="22"/>
          <w:szCs w:val="22"/>
        </w:rPr>
        <w:lastRenderedPageBreak/>
        <w:t>V návrhu územního plánu jsou vyznačeny plochy záboru v návrhovém období, výhledové rezervní plochy, které nejsou vyhodnoceny.</w:t>
      </w:r>
      <w:r w:rsidRPr="009617F5">
        <w:rPr>
          <w:rFonts w:ascii="Arial" w:hAnsi="Arial" w:cs="Arial"/>
          <w:sz w:val="22"/>
          <w:szCs w:val="22"/>
        </w:rPr>
        <w:tab/>
      </w:r>
    </w:p>
    <w:p w14:paraId="498A65FF" w14:textId="77777777" w:rsidR="009617F5" w:rsidRPr="009617F5" w:rsidRDefault="009617F5" w:rsidP="009617F5">
      <w:pPr>
        <w:pStyle w:val="Zkladntext"/>
        <w:spacing w:before="120" w:line="288" w:lineRule="auto"/>
        <w:ind w:firstLine="709"/>
        <w:jc w:val="both"/>
        <w:rPr>
          <w:rFonts w:ascii="Arial" w:hAnsi="Arial" w:cs="Arial"/>
          <w:sz w:val="22"/>
          <w:szCs w:val="22"/>
        </w:rPr>
      </w:pPr>
      <w:r w:rsidRPr="009617F5">
        <w:rPr>
          <w:rFonts w:ascii="Arial" w:hAnsi="Arial" w:cs="Arial"/>
          <w:sz w:val="22"/>
          <w:szCs w:val="22"/>
        </w:rPr>
        <w:t>Samostatně jsou vyhodnoceny liniové dopravní stavby (silnice, místní komunikace, cyklistické stezky.</w:t>
      </w:r>
    </w:p>
    <w:p w14:paraId="5D77CFB6" w14:textId="77777777" w:rsidR="009617F5" w:rsidRPr="009617F5" w:rsidRDefault="009617F5" w:rsidP="009617F5">
      <w:pPr>
        <w:pStyle w:val="Zkladntext"/>
        <w:spacing w:before="120" w:line="288" w:lineRule="auto"/>
        <w:ind w:firstLine="709"/>
        <w:jc w:val="both"/>
        <w:rPr>
          <w:rFonts w:ascii="Arial" w:hAnsi="Arial" w:cs="Arial"/>
          <w:sz w:val="22"/>
          <w:szCs w:val="22"/>
        </w:rPr>
      </w:pPr>
      <w:r w:rsidRPr="009617F5">
        <w:rPr>
          <w:rFonts w:ascii="Arial" w:hAnsi="Arial" w:cs="Arial"/>
          <w:sz w:val="22"/>
          <w:szCs w:val="22"/>
        </w:rPr>
        <w:t>Vypočtené výměry pozemků určených k trvalému záboru jsou orientačními údaji, jejich přesný rozsah bude uveden až v projektové dokumentaci stavby.</w:t>
      </w:r>
    </w:p>
    <w:p w14:paraId="58685E6B" w14:textId="77777777" w:rsidR="009617F5" w:rsidRPr="009617F5" w:rsidRDefault="009617F5" w:rsidP="009617F5">
      <w:pPr>
        <w:pStyle w:val="dka"/>
        <w:tabs>
          <w:tab w:val="left" w:pos="708"/>
          <w:tab w:val="left" w:pos="1547"/>
          <w:tab w:val="left" w:pos="4248"/>
          <w:tab w:val="left" w:pos="5309"/>
          <w:tab w:val="left" w:pos="6563"/>
          <w:tab w:val="left" w:pos="7788"/>
        </w:tabs>
        <w:spacing w:before="120" w:line="288" w:lineRule="auto"/>
        <w:ind w:firstLine="709"/>
        <w:jc w:val="both"/>
        <w:rPr>
          <w:rFonts w:cs="Arial"/>
        </w:rPr>
      </w:pPr>
      <w:r w:rsidRPr="009617F5">
        <w:rPr>
          <w:rFonts w:cs="Arial"/>
          <w:b/>
          <w:bCs/>
        </w:rPr>
        <w:t>Změny v bilanci trvalého záboru ZPF oproti konceptu řešení jsou vyvolány těmito skutečnostmi:</w:t>
      </w:r>
    </w:p>
    <w:p w14:paraId="36FB1EE4" w14:textId="77777777" w:rsidR="009617F5" w:rsidRPr="009617F5" w:rsidRDefault="009617F5" w:rsidP="009617F5">
      <w:pPr>
        <w:pStyle w:val="dka"/>
        <w:numPr>
          <w:ilvl w:val="0"/>
          <w:numId w:val="100"/>
        </w:numPr>
        <w:spacing w:before="120" w:after="0" w:line="288" w:lineRule="auto"/>
        <w:ind w:left="426"/>
        <w:rPr>
          <w:rFonts w:cs="Arial"/>
        </w:rPr>
      </w:pPr>
      <w:r w:rsidRPr="009617F5">
        <w:rPr>
          <w:rFonts w:cs="Arial"/>
        </w:rPr>
        <w:t>změnami v rozsahu a počtu lokalit dle souborného stanoviska;</w:t>
      </w:r>
    </w:p>
    <w:p w14:paraId="5ADCD982" w14:textId="77777777" w:rsidR="009617F5" w:rsidRPr="009617F5" w:rsidRDefault="009617F5" w:rsidP="009617F5">
      <w:pPr>
        <w:pStyle w:val="dka"/>
        <w:numPr>
          <w:ilvl w:val="0"/>
          <w:numId w:val="100"/>
        </w:numPr>
        <w:spacing w:before="120" w:after="0" w:line="288" w:lineRule="auto"/>
        <w:ind w:left="426"/>
        <w:rPr>
          <w:rFonts w:cs="Arial"/>
        </w:rPr>
      </w:pPr>
      <w:r w:rsidRPr="009617F5">
        <w:rPr>
          <w:rFonts w:cs="Arial"/>
        </w:rPr>
        <w:t>upřesněním dle vydaných územních rozhodnutí a stavebních povolení;</w:t>
      </w:r>
    </w:p>
    <w:p w14:paraId="65913168" w14:textId="77777777" w:rsidR="009617F5" w:rsidRPr="009617F5" w:rsidRDefault="009617F5" w:rsidP="009617F5">
      <w:pPr>
        <w:pStyle w:val="dka"/>
        <w:numPr>
          <w:ilvl w:val="0"/>
          <w:numId w:val="100"/>
        </w:numPr>
        <w:spacing w:before="120" w:after="0" w:line="288" w:lineRule="auto"/>
        <w:ind w:left="426"/>
        <w:rPr>
          <w:rFonts w:cs="Arial"/>
        </w:rPr>
      </w:pPr>
      <w:r w:rsidRPr="009617F5">
        <w:rPr>
          <w:rFonts w:cs="Arial"/>
        </w:rPr>
        <w:t>upřesněním dle zpracovaných projektů a schválených studií;</w:t>
      </w:r>
    </w:p>
    <w:p w14:paraId="0E21532D" w14:textId="77777777" w:rsidR="009617F5" w:rsidRPr="009617F5" w:rsidRDefault="009617F5" w:rsidP="009617F5">
      <w:pPr>
        <w:pStyle w:val="dka"/>
        <w:numPr>
          <w:ilvl w:val="0"/>
          <w:numId w:val="100"/>
        </w:numPr>
        <w:spacing w:before="120" w:after="0" w:line="288" w:lineRule="auto"/>
        <w:ind w:left="426"/>
        <w:rPr>
          <w:rFonts w:cs="Arial"/>
        </w:rPr>
      </w:pPr>
      <w:r w:rsidRPr="009617F5">
        <w:rPr>
          <w:rFonts w:cs="Arial"/>
        </w:rPr>
        <w:t>požadovanými změnami v etapizaci výstavby (návrhové období - výhled);</w:t>
      </w:r>
    </w:p>
    <w:p w14:paraId="2F80AA82" w14:textId="77777777" w:rsidR="009617F5" w:rsidRPr="009617F5" w:rsidRDefault="009617F5" w:rsidP="009617F5">
      <w:pPr>
        <w:pStyle w:val="dka"/>
        <w:numPr>
          <w:ilvl w:val="0"/>
          <w:numId w:val="100"/>
        </w:numPr>
        <w:spacing w:before="120" w:after="0" w:line="288" w:lineRule="auto"/>
        <w:ind w:left="426"/>
        <w:rPr>
          <w:rFonts w:cs="Arial"/>
        </w:rPr>
      </w:pPr>
      <w:r w:rsidRPr="009617F5">
        <w:rPr>
          <w:rFonts w:cs="Arial"/>
        </w:rPr>
        <w:t>upřesněním dle výpisů z evidence nemovitostí (kultury).</w:t>
      </w:r>
    </w:p>
    <w:tbl>
      <w:tblPr>
        <w:tblW w:w="0" w:type="auto"/>
        <w:tblLayout w:type="fixed"/>
        <w:tblCellMar>
          <w:left w:w="30" w:type="dxa"/>
          <w:right w:w="30" w:type="dxa"/>
        </w:tblCellMar>
        <w:tblLook w:val="0000" w:firstRow="0" w:lastRow="0" w:firstColumn="0" w:lastColumn="0" w:noHBand="0" w:noVBand="0"/>
      </w:tblPr>
      <w:tblGrid>
        <w:gridCol w:w="1050"/>
        <w:gridCol w:w="6163"/>
      </w:tblGrid>
      <w:tr w:rsidR="009617F5" w:rsidRPr="009617F5" w14:paraId="1F57FFA7" w14:textId="77777777" w:rsidTr="00286F7D">
        <w:tc>
          <w:tcPr>
            <w:tcW w:w="1050" w:type="dxa"/>
            <w:tcBorders>
              <w:top w:val="nil"/>
              <w:left w:val="nil"/>
              <w:bottom w:val="nil"/>
              <w:right w:val="nil"/>
            </w:tcBorders>
          </w:tcPr>
          <w:p w14:paraId="761A09CD" w14:textId="77777777" w:rsidR="009617F5" w:rsidRPr="009617F5" w:rsidRDefault="009617F5" w:rsidP="00286F7D">
            <w:pPr>
              <w:pStyle w:val="Texttabulky"/>
              <w:spacing w:before="120" w:line="288" w:lineRule="auto"/>
              <w:jc w:val="center"/>
              <w:rPr>
                <w:rFonts w:cs="Arial"/>
                <w:sz w:val="22"/>
                <w:szCs w:val="22"/>
              </w:rPr>
            </w:pPr>
            <w:r w:rsidRPr="009617F5">
              <w:rPr>
                <w:rFonts w:cs="Arial"/>
                <w:b/>
                <w:bCs/>
                <w:sz w:val="22"/>
                <w:szCs w:val="22"/>
              </w:rPr>
              <w:t>RD</w:t>
            </w:r>
          </w:p>
        </w:tc>
        <w:tc>
          <w:tcPr>
            <w:tcW w:w="6163" w:type="dxa"/>
            <w:tcBorders>
              <w:top w:val="nil"/>
              <w:left w:val="nil"/>
              <w:bottom w:val="nil"/>
              <w:right w:val="nil"/>
            </w:tcBorders>
          </w:tcPr>
          <w:p w14:paraId="5FF6EFBD" w14:textId="77777777" w:rsidR="009617F5" w:rsidRPr="009617F5" w:rsidRDefault="009617F5" w:rsidP="00286F7D">
            <w:pPr>
              <w:pStyle w:val="Texttabulky"/>
              <w:spacing w:before="120" w:line="288" w:lineRule="auto"/>
              <w:rPr>
                <w:rFonts w:cs="Arial"/>
                <w:sz w:val="22"/>
                <w:szCs w:val="22"/>
              </w:rPr>
            </w:pPr>
            <w:r w:rsidRPr="009617F5">
              <w:rPr>
                <w:rFonts w:cs="Arial"/>
                <w:sz w:val="22"/>
                <w:szCs w:val="22"/>
              </w:rPr>
              <w:t>rodinný dům</w:t>
            </w:r>
          </w:p>
        </w:tc>
      </w:tr>
      <w:tr w:rsidR="009617F5" w:rsidRPr="009617F5" w14:paraId="4F99D981" w14:textId="77777777" w:rsidTr="00286F7D">
        <w:tc>
          <w:tcPr>
            <w:tcW w:w="1050" w:type="dxa"/>
            <w:tcBorders>
              <w:top w:val="nil"/>
              <w:left w:val="nil"/>
              <w:bottom w:val="nil"/>
              <w:right w:val="nil"/>
            </w:tcBorders>
          </w:tcPr>
          <w:p w14:paraId="0DF762EB" w14:textId="77777777" w:rsidR="009617F5" w:rsidRPr="009617F5" w:rsidRDefault="009617F5" w:rsidP="00286F7D">
            <w:pPr>
              <w:pStyle w:val="Texttabulky"/>
              <w:spacing w:before="120" w:line="288" w:lineRule="auto"/>
              <w:jc w:val="center"/>
              <w:rPr>
                <w:rFonts w:cs="Arial"/>
                <w:sz w:val="22"/>
                <w:szCs w:val="22"/>
              </w:rPr>
            </w:pPr>
            <w:r w:rsidRPr="009617F5">
              <w:rPr>
                <w:rFonts w:cs="Arial"/>
                <w:b/>
                <w:bCs/>
                <w:sz w:val="22"/>
                <w:szCs w:val="22"/>
              </w:rPr>
              <w:t>MD</w:t>
            </w:r>
          </w:p>
        </w:tc>
        <w:tc>
          <w:tcPr>
            <w:tcW w:w="6163" w:type="dxa"/>
            <w:tcBorders>
              <w:top w:val="nil"/>
              <w:left w:val="nil"/>
              <w:bottom w:val="nil"/>
              <w:right w:val="nil"/>
            </w:tcBorders>
          </w:tcPr>
          <w:p w14:paraId="669A7C27" w14:textId="77777777" w:rsidR="009617F5" w:rsidRPr="009617F5" w:rsidRDefault="009617F5" w:rsidP="00286F7D">
            <w:pPr>
              <w:pStyle w:val="Texttabulky"/>
              <w:spacing w:before="120" w:line="288" w:lineRule="auto"/>
              <w:rPr>
                <w:rFonts w:cs="Arial"/>
                <w:sz w:val="22"/>
                <w:szCs w:val="22"/>
              </w:rPr>
            </w:pPr>
            <w:r w:rsidRPr="009617F5">
              <w:rPr>
                <w:rFonts w:cs="Arial"/>
                <w:sz w:val="22"/>
                <w:szCs w:val="22"/>
              </w:rPr>
              <w:t>městský polyfunkční dům (trvalé bydlení + vybavenost, komerce)</w:t>
            </w:r>
          </w:p>
        </w:tc>
      </w:tr>
      <w:tr w:rsidR="009617F5" w:rsidRPr="009617F5" w14:paraId="6EAC7C0D" w14:textId="77777777" w:rsidTr="00286F7D">
        <w:tc>
          <w:tcPr>
            <w:tcW w:w="1050" w:type="dxa"/>
            <w:tcBorders>
              <w:top w:val="nil"/>
              <w:left w:val="nil"/>
              <w:bottom w:val="nil"/>
              <w:right w:val="nil"/>
            </w:tcBorders>
          </w:tcPr>
          <w:p w14:paraId="5C3A14EF" w14:textId="77777777" w:rsidR="009617F5" w:rsidRPr="009617F5" w:rsidRDefault="009617F5" w:rsidP="00286F7D">
            <w:pPr>
              <w:pStyle w:val="Texttabulky"/>
              <w:spacing w:before="120" w:line="288" w:lineRule="auto"/>
              <w:jc w:val="center"/>
              <w:rPr>
                <w:rFonts w:cs="Arial"/>
                <w:sz w:val="22"/>
                <w:szCs w:val="22"/>
              </w:rPr>
            </w:pPr>
            <w:r w:rsidRPr="009617F5">
              <w:rPr>
                <w:rFonts w:cs="Arial"/>
                <w:b/>
                <w:bCs/>
                <w:sz w:val="22"/>
                <w:szCs w:val="22"/>
              </w:rPr>
              <w:t>BD</w:t>
            </w:r>
          </w:p>
        </w:tc>
        <w:tc>
          <w:tcPr>
            <w:tcW w:w="6163" w:type="dxa"/>
            <w:tcBorders>
              <w:top w:val="nil"/>
              <w:left w:val="nil"/>
              <w:bottom w:val="nil"/>
              <w:right w:val="nil"/>
            </w:tcBorders>
          </w:tcPr>
          <w:p w14:paraId="3B420451" w14:textId="77777777" w:rsidR="009617F5" w:rsidRPr="009617F5" w:rsidRDefault="009617F5" w:rsidP="00286F7D">
            <w:pPr>
              <w:pStyle w:val="Texttabulky"/>
              <w:spacing w:before="120" w:line="288" w:lineRule="auto"/>
              <w:rPr>
                <w:rFonts w:cs="Arial"/>
                <w:sz w:val="22"/>
                <w:szCs w:val="22"/>
              </w:rPr>
            </w:pPr>
            <w:r w:rsidRPr="009617F5">
              <w:rPr>
                <w:rFonts w:cs="Arial"/>
                <w:sz w:val="22"/>
                <w:szCs w:val="22"/>
              </w:rPr>
              <w:t>monofunkční bytový dům (čisté kolektivní bydlení)</w:t>
            </w:r>
          </w:p>
        </w:tc>
      </w:tr>
      <w:tr w:rsidR="009617F5" w:rsidRPr="009617F5" w14:paraId="1E076EDF" w14:textId="77777777" w:rsidTr="00286F7D">
        <w:tc>
          <w:tcPr>
            <w:tcW w:w="1050" w:type="dxa"/>
            <w:tcBorders>
              <w:top w:val="nil"/>
              <w:left w:val="nil"/>
              <w:bottom w:val="nil"/>
              <w:right w:val="nil"/>
            </w:tcBorders>
          </w:tcPr>
          <w:p w14:paraId="6A1FFCC0" w14:textId="77777777" w:rsidR="009617F5" w:rsidRPr="009617F5" w:rsidRDefault="009617F5" w:rsidP="00286F7D">
            <w:pPr>
              <w:pStyle w:val="Texttabulky"/>
              <w:spacing w:before="120" w:line="288" w:lineRule="auto"/>
              <w:jc w:val="center"/>
              <w:rPr>
                <w:rFonts w:cs="Arial"/>
                <w:sz w:val="22"/>
                <w:szCs w:val="22"/>
              </w:rPr>
            </w:pPr>
            <w:r w:rsidRPr="009617F5">
              <w:rPr>
                <w:rFonts w:cs="Arial"/>
                <w:b/>
                <w:bCs/>
                <w:sz w:val="22"/>
                <w:szCs w:val="22"/>
              </w:rPr>
              <w:t>OV</w:t>
            </w:r>
          </w:p>
        </w:tc>
        <w:tc>
          <w:tcPr>
            <w:tcW w:w="6163" w:type="dxa"/>
            <w:tcBorders>
              <w:top w:val="nil"/>
              <w:left w:val="nil"/>
              <w:bottom w:val="nil"/>
              <w:right w:val="nil"/>
            </w:tcBorders>
          </w:tcPr>
          <w:p w14:paraId="68303FAB" w14:textId="77777777" w:rsidR="009617F5" w:rsidRPr="009617F5" w:rsidRDefault="009617F5" w:rsidP="00286F7D">
            <w:pPr>
              <w:pStyle w:val="Texttabulky"/>
              <w:spacing w:before="120" w:line="288" w:lineRule="auto"/>
              <w:rPr>
                <w:rFonts w:cs="Arial"/>
                <w:sz w:val="22"/>
                <w:szCs w:val="22"/>
              </w:rPr>
            </w:pPr>
            <w:r w:rsidRPr="009617F5">
              <w:rPr>
                <w:rFonts w:cs="Arial"/>
                <w:sz w:val="22"/>
                <w:szCs w:val="22"/>
              </w:rPr>
              <w:t xml:space="preserve">zařízení občanského vybavení  </w:t>
            </w:r>
          </w:p>
        </w:tc>
      </w:tr>
      <w:tr w:rsidR="009617F5" w:rsidRPr="009617F5" w14:paraId="67F31CDD" w14:textId="77777777" w:rsidTr="00286F7D">
        <w:tc>
          <w:tcPr>
            <w:tcW w:w="1050" w:type="dxa"/>
            <w:tcBorders>
              <w:top w:val="nil"/>
              <w:left w:val="nil"/>
              <w:bottom w:val="nil"/>
              <w:right w:val="nil"/>
            </w:tcBorders>
          </w:tcPr>
          <w:p w14:paraId="1E351C22" w14:textId="77777777" w:rsidR="009617F5" w:rsidRPr="009617F5" w:rsidRDefault="009617F5" w:rsidP="00286F7D">
            <w:pPr>
              <w:pStyle w:val="Texttabulky"/>
              <w:spacing w:before="120" w:line="288" w:lineRule="auto"/>
              <w:jc w:val="center"/>
              <w:rPr>
                <w:rFonts w:cs="Arial"/>
                <w:sz w:val="22"/>
                <w:szCs w:val="22"/>
              </w:rPr>
            </w:pPr>
            <w:r w:rsidRPr="009617F5">
              <w:rPr>
                <w:rFonts w:cs="Arial"/>
                <w:b/>
                <w:bCs/>
                <w:caps/>
                <w:sz w:val="22"/>
                <w:szCs w:val="22"/>
              </w:rPr>
              <w:t>sport</w:t>
            </w:r>
          </w:p>
        </w:tc>
        <w:tc>
          <w:tcPr>
            <w:tcW w:w="6163" w:type="dxa"/>
            <w:tcBorders>
              <w:top w:val="nil"/>
              <w:left w:val="nil"/>
              <w:bottom w:val="nil"/>
              <w:right w:val="nil"/>
            </w:tcBorders>
          </w:tcPr>
          <w:p w14:paraId="768503E3" w14:textId="77777777" w:rsidR="009617F5" w:rsidRPr="009617F5" w:rsidRDefault="009617F5" w:rsidP="00286F7D">
            <w:pPr>
              <w:pStyle w:val="Texttabulky"/>
              <w:spacing w:before="120" w:line="288" w:lineRule="auto"/>
              <w:rPr>
                <w:rFonts w:cs="Arial"/>
                <w:sz w:val="22"/>
                <w:szCs w:val="22"/>
              </w:rPr>
            </w:pPr>
            <w:r w:rsidRPr="009617F5">
              <w:rPr>
                <w:rFonts w:cs="Arial"/>
                <w:sz w:val="22"/>
                <w:szCs w:val="22"/>
              </w:rPr>
              <w:t>tělovýchovná zařízení</w:t>
            </w:r>
          </w:p>
        </w:tc>
      </w:tr>
      <w:tr w:rsidR="009617F5" w:rsidRPr="009617F5" w14:paraId="4086CB3A" w14:textId="77777777" w:rsidTr="00286F7D">
        <w:tc>
          <w:tcPr>
            <w:tcW w:w="1050" w:type="dxa"/>
            <w:tcBorders>
              <w:top w:val="nil"/>
              <w:left w:val="nil"/>
              <w:bottom w:val="nil"/>
              <w:right w:val="nil"/>
            </w:tcBorders>
          </w:tcPr>
          <w:p w14:paraId="74A73ECC" w14:textId="77777777" w:rsidR="009617F5" w:rsidRPr="009617F5" w:rsidRDefault="009617F5" w:rsidP="00286F7D">
            <w:pPr>
              <w:pStyle w:val="Texttabulky"/>
              <w:spacing w:before="120" w:line="288" w:lineRule="auto"/>
              <w:jc w:val="center"/>
              <w:rPr>
                <w:rFonts w:cs="Arial"/>
                <w:sz w:val="22"/>
                <w:szCs w:val="22"/>
              </w:rPr>
            </w:pPr>
            <w:r w:rsidRPr="009617F5">
              <w:rPr>
                <w:rFonts w:cs="Arial"/>
                <w:b/>
                <w:bCs/>
                <w:sz w:val="22"/>
                <w:szCs w:val="22"/>
              </w:rPr>
              <w:t>D</w:t>
            </w:r>
          </w:p>
        </w:tc>
        <w:tc>
          <w:tcPr>
            <w:tcW w:w="6163" w:type="dxa"/>
            <w:tcBorders>
              <w:top w:val="nil"/>
              <w:left w:val="nil"/>
              <w:bottom w:val="nil"/>
              <w:right w:val="nil"/>
            </w:tcBorders>
          </w:tcPr>
          <w:p w14:paraId="4F210342" w14:textId="77777777" w:rsidR="009617F5" w:rsidRPr="009617F5" w:rsidRDefault="009617F5" w:rsidP="00286F7D">
            <w:pPr>
              <w:pStyle w:val="Texttabulky"/>
              <w:spacing w:before="120" w:line="288" w:lineRule="auto"/>
              <w:rPr>
                <w:rFonts w:cs="Arial"/>
                <w:sz w:val="22"/>
                <w:szCs w:val="22"/>
              </w:rPr>
            </w:pPr>
            <w:r w:rsidRPr="009617F5">
              <w:rPr>
                <w:rFonts w:cs="Arial"/>
                <w:sz w:val="22"/>
                <w:szCs w:val="22"/>
              </w:rPr>
              <w:t>dopravní plochy a zařízení</w:t>
            </w:r>
          </w:p>
        </w:tc>
      </w:tr>
      <w:tr w:rsidR="009617F5" w:rsidRPr="009617F5" w14:paraId="7D2D91BA" w14:textId="77777777" w:rsidTr="00286F7D">
        <w:tc>
          <w:tcPr>
            <w:tcW w:w="1050" w:type="dxa"/>
            <w:tcBorders>
              <w:top w:val="nil"/>
              <w:left w:val="nil"/>
              <w:bottom w:val="nil"/>
              <w:right w:val="nil"/>
            </w:tcBorders>
          </w:tcPr>
          <w:p w14:paraId="0E2F3828" w14:textId="77777777" w:rsidR="009617F5" w:rsidRPr="009617F5" w:rsidRDefault="009617F5" w:rsidP="00286F7D">
            <w:pPr>
              <w:pStyle w:val="Texttabulky"/>
              <w:spacing w:before="120" w:line="288" w:lineRule="auto"/>
              <w:jc w:val="center"/>
              <w:rPr>
                <w:rFonts w:cs="Arial"/>
                <w:sz w:val="22"/>
                <w:szCs w:val="22"/>
              </w:rPr>
            </w:pPr>
            <w:r w:rsidRPr="009617F5">
              <w:rPr>
                <w:rFonts w:cs="Arial"/>
                <w:b/>
                <w:bCs/>
                <w:sz w:val="22"/>
                <w:szCs w:val="22"/>
              </w:rPr>
              <w:t>Z</w:t>
            </w:r>
          </w:p>
        </w:tc>
        <w:tc>
          <w:tcPr>
            <w:tcW w:w="6163" w:type="dxa"/>
            <w:tcBorders>
              <w:top w:val="nil"/>
              <w:left w:val="nil"/>
              <w:bottom w:val="nil"/>
              <w:right w:val="nil"/>
            </w:tcBorders>
          </w:tcPr>
          <w:p w14:paraId="4489FFF7" w14:textId="77777777" w:rsidR="009617F5" w:rsidRPr="009617F5" w:rsidRDefault="009617F5" w:rsidP="00286F7D">
            <w:pPr>
              <w:pStyle w:val="Texttabulky"/>
              <w:spacing w:before="120" w:line="288" w:lineRule="auto"/>
              <w:rPr>
                <w:rFonts w:cs="Arial"/>
                <w:sz w:val="22"/>
                <w:szCs w:val="22"/>
              </w:rPr>
            </w:pPr>
            <w:r w:rsidRPr="009617F5">
              <w:rPr>
                <w:rFonts w:cs="Arial"/>
                <w:sz w:val="22"/>
                <w:szCs w:val="22"/>
              </w:rPr>
              <w:t>veřejná zeleň, parky</w:t>
            </w:r>
          </w:p>
        </w:tc>
      </w:tr>
      <w:tr w:rsidR="009617F5" w:rsidRPr="009617F5" w14:paraId="181F6CC2" w14:textId="77777777" w:rsidTr="00286F7D">
        <w:tc>
          <w:tcPr>
            <w:tcW w:w="1050" w:type="dxa"/>
            <w:tcBorders>
              <w:top w:val="nil"/>
              <w:left w:val="nil"/>
              <w:bottom w:val="nil"/>
              <w:right w:val="nil"/>
            </w:tcBorders>
          </w:tcPr>
          <w:p w14:paraId="583C7518" w14:textId="77777777" w:rsidR="009617F5" w:rsidRPr="009617F5" w:rsidRDefault="009617F5" w:rsidP="00286F7D">
            <w:pPr>
              <w:pStyle w:val="Texttabulky"/>
              <w:spacing w:before="120" w:line="288" w:lineRule="auto"/>
              <w:jc w:val="center"/>
              <w:rPr>
                <w:rFonts w:cs="Arial"/>
                <w:sz w:val="22"/>
                <w:szCs w:val="22"/>
              </w:rPr>
            </w:pPr>
            <w:r w:rsidRPr="009617F5">
              <w:rPr>
                <w:rFonts w:cs="Arial"/>
                <w:b/>
                <w:bCs/>
                <w:sz w:val="22"/>
                <w:szCs w:val="22"/>
              </w:rPr>
              <w:t>VÝROBA</w:t>
            </w:r>
          </w:p>
        </w:tc>
        <w:tc>
          <w:tcPr>
            <w:tcW w:w="6163" w:type="dxa"/>
            <w:tcBorders>
              <w:top w:val="nil"/>
              <w:left w:val="nil"/>
              <w:bottom w:val="nil"/>
              <w:right w:val="nil"/>
            </w:tcBorders>
          </w:tcPr>
          <w:p w14:paraId="2265028C" w14:textId="77777777" w:rsidR="009617F5" w:rsidRPr="009617F5" w:rsidRDefault="009617F5" w:rsidP="00286F7D">
            <w:pPr>
              <w:pStyle w:val="Texttabulky"/>
              <w:spacing w:before="120" w:line="288" w:lineRule="auto"/>
              <w:rPr>
                <w:rFonts w:cs="Arial"/>
                <w:sz w:val="22"/>
                <w:szCs w:val="22"/>
              </w:rPr>
            </w:pPr>
            <w:r w:rsidRPr="009617F5">
              <w:rPr>
                <w:rFonts w:cs="Arial"/>
                <w:sz w:val="22"/>
                <w:szCs w:val="22"/>
              </w:rPr>
              <w:t>průmysl, sklady, výrobní služby</w:t>
            </w:r>
          </w:p>
        </w:tc>
      </w:tr>
    </w:tbl>
    <w:p w14:paraId="089C154A"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p>
    <w:p w14:paraId="66E95DF2"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p>
    <w:p w14:paraId="21C5F13F"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p>
    <w:p w14:paraId="41C4B9AE"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p>
    <w:p w14:paraId="3314201A"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p>
    <w:p w14:paraId="262061C2"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p>
    <w:p w14:paraId="435320EC"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p>
    <w:p w14:paraId="6722E894"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p>
    <w:p w14:paraId="414176B8"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r w:rsidRPr="009617F5">
        <w:rPr>
          <w:rFonts w:ascii="Arial" w:hAnsi="Arial" w:cs="Arial"/>
          <w:noProof/>
          <w:lang w:eastAsia="cs-CZ"/>
        </w:rPr>
        <w:lastRenderedPageBreak/>
        <w:drawing>
          <wp:anchor distT="0" distB="0" distL="114300" distR="114300" simplePos="0" relativeHeight="251773952" behindDoc="0" locked="0" layoutInCell="1" allowOverlap="1" wp14:anchorId="552465BA" wp14:editId="705F6EC1">
            <wp:simplePos x="0" y="0"/>
            <wp:positionH relativeFrom="margin">
              <wp:posOffset>-722</wp:posOffset>
            </wp:positionH>
            <wp:positionV relativeFrom="margin">
              <wp:posOffset>-118505</wp:posOffset>
            </wp:positionV>
            <wp:extent cx="5448300" cy="8637270"/>
            <wp:effectExtent l="0" t="0" r="0" b="0"/>
            <wp:wrapSquare wrapText="bothSides"/>
            <wp:docPr id="10598" name="Obrázek 10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5448300" cy="8637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743B7A"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r w:rsidRPr="009617F5">
        <w:rPr>
          <w:rFonts w:ascii="Arial" w:hAnsi="Arial" w:cs="Arial"/>
          <w:noProof/>
          <w:lang w:eastAsia="cs-CZ"/>
        </w:rPr>
        <w:lastRenderedPageBreak/>
        <w:drawing>
          <wp:anchor distT="0" distB="0" distL="114300" distR="114300" simplePos="0" relativeHeight="251774976" behindDoc="0" locked="0" layoutInCell="1" allowOverlap="1" wp14:anchorId="1828C851" wp14:editId="6F999BF9">
            <wp:simplePos x="0" y="0"/>
            <wp:positionH relativeFrom="margin">
              <wp:align>right</wp:align>
            </wp:positionH>
            <wp:positionV relativeFrom="margin">
              <wp:posOffset>-78828</wp:posOffset>
            </wp:positionV>
            <wp:extent cx="5475605" cy="8551545"/>
            <wp:effectExtent l="0" t="0" r="0" b="1905"/>
            <wp:wrapSquare wrapText="bothSides"/>
            <wp:docPr id="10597" name="Obrázek 10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5475605" cy="85515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1A6781"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r w:rsidRPr="009617F5">
        <w:rPr>
          <w:rFonts w:ascii="Arial" w:hAnsi="Arial" w:cs="Arial"/>
          <w:noProof/>
          <w:lang w:eastAsia="cs-CZ"/>
        </w:rPr>
        <w:lastRenderedPageBreak/>
        <w:drawing>
          <wp:anchor distT="0" distB="0" distL="114300" distR="114300" simplePos="0" relativeHeight="251776000" behindDoc="0" locked="0" layoutInCell="1" allowOverlap="1" wp14:anchorId="73018369" wp14:editId="1C1B38F9">
            <wp:simplePos x="0" y="0"/>
            <wp:positionH relativeFrom="margin">
              <wp:align>left</wp:align>
            </wp:positionH>
            <wp:positionV relativeFrom="margin">
              <wp:align>top</wp:align>
            </wp:positionV>
            <wp:extent cx="5659120" cy="8559800"/>
            <wp:effectExtent l="0" t="0" r="0" b="0"/>
            <wp:wrapSquare wrapText="bothSides"/>
            <wp:docPr id="10596" name="Obrázek 10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5659120" cy="8559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016B79"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r w:rsidRPr="009617F5">
        <w:rPr>
          <w:rFonts w:ascii="Arial" w:hAnsi="Arial" w:cs="Arial"/>
          <w:noProof/>
          <w:lang w:eastAsia="cs-CZ"/>
        </w:rPr>
        <w:lastRenderedPageBreak/>
        <w:drawing>
          <wp:anchor distT="0" distB="0" distL="114300" distR="114300" simplePos="0" relativeHeight="251777024" behindDoc="0" locked="0" layoutInCell="1" allowOverlap="1" wp14:anchorId="5B657C9A" wp14:editId="5F69F91C">
            <wp:simplePos x="0" y="0"/>
            <wp:positionH relativeFrom="margin">
              <wp:align>left</wp:align>
            </wp:positionH>
            <wp:positionV relativeFrom="margin">
              <wp:align>top</wp:align>
            </wp:positionV>
            <wp:extent cx="5602605" cy="8484235"/>
            <wp:effectExtent l="0" t="0" r="0" b="0"/>
            <wp:wrapSquare wrapText="bothSides"/>
            <wp:docPr id="10595" name="Obrázek 10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5602605" cy="8484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84CFDA" w14:textId="77777777" w:rsidR="009617F5" w:rsidRPr="009617F5" w:rsidRDefault="009617F5" w:rsidP="009617F5">
      <w:pPr>
        <w:pStyle w:val="Zkladntext"/>
        <w:spacing w:before="120" w:line="288" w:lineRule="auto"/>
        <w:ind w:firstLine="709"/>
        <w:jc w:val="both"/>
        <w:rPr>
          <w:rFonts w:ascii="Arial" w:hAnsi="Arial" w:cs="Arial"/>
          <w:sz w:val="22"/>
          <w:szCs w:val="22"/>
          <w:highlight w:val="magenta"/>
        </w:rPr>
      </w:pPr>
      <w:r w:rsidRPr="009617F5">
        <w:rPr>
          <w:rFonts w:ascii="Arial" w:hAnsi="Arial" w:cs="Arial"/>
          <w:noProof/>
          <w:lang w:eastAsia="cs-CZ"/>
        </w:rPr>
        <w:lastRenderedPageBreak/>
        <w:drawing>
          <wp:anchor distT="0" distB="0" distL="114300" distR="114300" simplePos="0" relativeHeight="251778048" behindDoc="0" locked="0" layoutInCell="1" allowOverlap="1" wp14:anchorId="7F8686DA" wp14:editId="66F057AC">
            <wp:simplePos x="0" y="0"/>
            <wp:positionH relativeFrom="margin">
              <wp:align>left</wp:align>
            </wp:positionH>
            <wp:positionV relativeFrom="margin">
              <wp:align>top</wp:align>
            </wp:positionV>
            <wp:extent cx="5424805" cy="8495030"/>
            <wp:effectExtent l="0" t="0" r="4445" b="1270"/>
            <wp:wrapSquare wrapText="bothSides"/>
            <wp:docPr id="10594" name="Obrázek 10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424805" cy="84950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26E8A9" w14:textId="77777777" w:rsidR="009617F5" w:rsidRPr="009617F5" w:rsidRDefault="009617F5" w:rsidP="009617F5">
      <w:pPr>
        <w:pStyle w:val="Zkladntext"/>
        <w:spacing w:before="120" w:line="288" w:lineRule="auto"/>
        <w:ind w:firstLine="709"/>
        <w:jc w:val="both"/>
        <w:rPr>
          <w:rFonts w:ascii="Arial" w:hAnsi="Arial" w:cs="Arial"/>
          <w:sz w:val="22"/>
          <w:szCs w:val="22"/>
        </w:rPr>
      </w:pPr>
      <w:r w:rsidRPr="009617F5">
        <w:rPr>
          <w:rFonts w:ascii="Arial" w:hAnsi="Arial" w:cs="Arial"/>
          <w:noProof/>
          <w:lang w:eastAsia="cs-CZ"/>
        </w:rPr>
        <w:lastRenderedPageBreak/>
        <w:drawing>
          <wp:anchor distT="0" distB="0" distL="114300" distR="114300" simplePos="0" relativeHeight="251779072" behindDoc="0" locked="0" layoutInCell="1" allowOverlap="1" wp14:anchorId="2D6052B4" wp14:editId="63518879">
            <wp:simplePos x="0" y="0"/>
            <wp:positionH relativeFrom="margin">
              <wp:align>left</wp:align>
            </wp:positionH>
            <wp:positionV relativeFrom="margin">
              <wp:align>top</wp:align>
            </wp:positionV>
            <wp:extent cx="5767705" cy="8462645"/>
            <wp:effectExtent l="0" t="0" r="4445" b="0"/>
            <wp:wrapSquare wrapText="bothSides"/>
            <wp:docPr id="10593" name="Obrázek 10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5767705" cy="84626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B88F02" w14:textId="77777777" w:rsidR="009617F5" w:rsidRPr="009617F5" w:rsidRDefault="00F050E6" w:rsidP="009617F5">
      <w:pPr>
        <w:pStyle w:val="Zkladntext"/>
        <w:spacing w:before="120" w:line="288" w:lineRule="auto"/>
        <w:ind w:firstLine="709"/>
        <w:jc w:val="both"/>
        <w:rPr>
          <w:rFonts w:ascii="Arial" w:hAnsi="Arial" w:cs="Arial"/>
          <w:sz w:val="22"/>
          <w:szCs w:val="22"/>
        </w:rPr>
      </w:pPr>
      <w:r w:rsidRPr="00F050E6">
        <w:rPr>
          <w:rFonts w:ascii="Century Gothic" w:hAnsi="Century Gothic"/>
          <w:noProof/>
          <w:lang w:eastAsia="cs-CZ"/>
        </w:rPr>
        <w:lastRenderedPageBreak/>
        <mc:AlternateContent>
          <mc:Choice Requires="wps">
            <w:drawing>
              <wp:anchor distT="45720" distB="45720" distL="114300" distR="114300" simplePos="0" relativeHeight="251830272" behindDoc="0" locked="0" layoutInCell="1" allowOverlap="1" wp14:anchorId="49ED75EE" wp14:editId="35D1FB7C">
                <wp:simplePos x="0" y="0"/>
                <wp:positionH relativeFrom="page">
                  <wp:posOffset>4711956</wp:posOffset>
                </wp:positionH>
                <wp:positionV relativeFrom="paragraph">
                  <wp:posOffset>8037195</wp:posOffset>
                </wp:positionV>
                <wp:extent cx="522514" cy="368135"/>
                <wp:effectExtent l="19050" t="19050" r="11430" b="13335"/>
                <wp:wrapNone/>
                <wp:docPr id="19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514" cy="368135"/>
                        </a:xfrm>
                        <a:prstGeom prst="rect">
                          <a:avLst/>
                        </a:prstGeom>
                        <a:solidFill>
                          <a:srgbClr val="FFFFFF"/>
                        </a:solidFill>
                        <a:ln w="38100">
                          <a:solidFill>
                            <a:srgbClr val="009999"/>
                          </a:solidFill>
                          <a:miter lim="800000"/>
                          <a:headEnd/>
                          <a:tailEnd/>
                        </a:ln>
                      </wps:spPr>
                      <wps:txbx>
                        <w:txbxContent>
                          <w:p w14:paraId="07E004E7" w14:textId="77777777" w:rsidR="007D43F6" w:rsidRPr="00F050E6" w:rsidRDefault="007D43F6" w:rsidP="00F050E6">
                            <w:pPr>
                              <w:rPr>
                                <w:rFonts w:ascii="Arial" w:hAnsi="Arial" w:cs="Arial"/>
                                <w:color w:val="009999"/>
                                <w:sz w:val="18"/>
                              </w:rPr>
                            </w:pPr>
                            <w:r w:rsidRPr="00F050E6">
                              <w:rPr>
                                <w:rFonts w:ascii="Arial" w:hAnsi="Arial" w:cs="Arial"/>
                                <w:color w:val="009999"/>
                                <w:sz w:val="18"/>
                              </w:rPr>
                              <w:t>0</w:t>
                            </w:r>
                          </w:p>
                          <w:p w14:paraId="3828C9F7" w14:textId="77777777" w:rsidR="007D43F6" w:rsidRPr="00F050E6" w:rsidRDefault="007D43F6" w:rsidP="00F050E6">
                            <w:pPr>
                              <w:rPr>
                                <w:rFonts w:ascii="Arial" w:hAnsi="Arial" w:cs="Arial"/>
                                <w:color w:val="009999"/>
                                <w:sz w:val="18"/>
                              </w:rPr>
                            </w:pPr>
                            <w:r>
                              <w:rPr>
                                <w:rFonts w:ascii="Arial" w:hAnsi="Arial" w:cs="Arial"/>
                                <w:color w:val="009999"/>
                                <w:sz w:val="18"/>
                              </w:rPr>
                              <w:t>5,444</w:t>
                            </w:r>
                          </w:p>
                          <w:p w14:paraId="0FD8E8FB" w14:textId="77777777" w:rsidR="007D43F6" w:rsidRPr="00F050E6" w:rsidRDefault="007D43F6" w:rsidP="00F050E6">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ED75EE" id="_x0000_t202" coordsize="21600,21600" o:spt="202" path="m,l,21600r21600,l21600,xe">
                <v:stroke joinstyle="miter"/>
                <v:path gradientshapeok="t" o:connecttype="rect"/>
              </v:shapetype>
              <v:shape id="Textové pole 2" o:spid="_x0000_s1026" type="#_x0000_t202" style="position:absolute;left:0;text-align:left;margin-left:371pt;margin-top:632.85pt;width:41.15pt;height:29pt;z-index:25183027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" strokecolor="#099" strokeweight="3pt">
                <v:textbox>
                  <w:txbxContent>
                    <w:p w14:paraId="07E004E7" w14:textId="77777777" w:rsidR="007D43F6" w:rsidRPr="00F050E6" w:rsidRDefault="007D43F6" w:rsidP="00F050E6">
                      <w:pPr>
                        <w:rPr>
                          <w:rFonts w:ascii="Arial" w:hAnsi="Arial" w:cs="Arial"/>
                          <w:color w:val="009999"/>
                          <w:sz w:val="18"/>
                        </w:rPr>
                      </w:pPr>
                      <w:r w:rsidRPr="00F050E6">
                        <w:rPr>
                          <w:rFonts w:ascii="Arial" w:hAnsi="Arial" w:cs="Arial"/>
                          <w:color w:val="009999"/>
                          <w:sz w:val="18"/>
                        </w:rPr>
                        <w:t>0</w:t>
                      </w:r>
                    </w:p>
                    <w:p w14:paraId="3828C9F7" w14:textId="77777777" w:rsidR="007D43F6" w:rsidRPr="00F050E6" w:rsidRDefault="007D43F6" w:rsidP="00F050E6">
                      <w:pPr>
                        <w:rPr>
                          <w:rFonts w:ascii="Arial" w:hAnsi="Arial" w:cs="Arial"/>
                          <w:color w:val="009999"/>
                          <w:sz w:val="18"/>
                        </w:rPr>
                      </w:pPr>
                      <w:r>
                        <w:rPr>
                          <w:rFonts w:ascii="Arial" w:hAnsi="Arial" w:cs="Arial"/>
                          <w:color w:val="009999"/>
                          <w:sz w:val="18"/>
                        </w:rPr>
                        <w:t>5,444</w:t>
                      </w:r>
                    </w:p>
                    <w:p w14:paraId="0FD8E8FB" w14:textId="77777777" w:rsidR="007D43F6" w:rsidRPr="00F050E6" w:rsidRDefault="007D43F6" w:rsidP="00F050E6">
                      <w:pPr>
                        <w:rPr>
                          <w:color w:val="009999"/>
                        </w:rPr>
                      </w:pPr>
                    </w:p>
                  </w:txbxContent>
                </v:textbox>
                <w10:wrap anchorx="page"/>
              </v:shape>
            </w:pict>
          </mc:Fallback>
        </mc:AlternateContent>
      </w:r>
      <w:r w:rsidRPr="00F050E6">
        <w:rPr>
          <w:rFonts w:ascii="Century Gothic" w:hAnsi="Century Gothic"/>
          <w:noProof/>
          <w:lang w:eastAsia="cs-CZ"/>
        </w:rPr>
        <mc:AlternateContent>
          <mc:Choice Requires="wps">
            <w:drawing>
              <wp:anchor distT="45720" distB="45720" distL="114300" distR="114300" simplePos="0" relativeHeight="251832320" behindDoc="0" locked="0" layoutInCell="1" allowOverlap="1" wp14:anchorId="53A99D96" wp14:editId="2D0F5FA8">
                <wp:simplePos x="0" y="0"/>
                <wp:positionH relativeFrom="page">
                  <wp:posOffset>5377534</wp:posOffset>
                </wp:positionH>
                <wp:positionV relativeFrom="paragraph">
                  <wp:posOffset>8025246</wp:posOffset>
                </wp:positionV>
                <wp:extent cx="522514" cy="368135"/>
                <wp:effectExtent l="19050" t="19050" r="11430" b="13335"/>
                <wp:wrapNone/>
                <wp:docPr id="19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514" cy="368135"/>
                        </a:xfrm>
                        <a:prstGeom prst="rect">
                          <a:avLst/>
                        </a:prstGeom>
                        <a:solidFill>
                          <a:srgbClr val="FFFFFF"/>
                        </a:solidFill>
                        <a:ln w="38100">
                          <a:solidFill>
                            <a:srgbClr val="009999"/>
                          </a:solidFill>
                          <a:miter lim="800000"/>
                          <a:headEnd/>
                          <a:tailEnd/>
                        </a:ln>
                      </wps:spPr>
                      <wps:txbx>
                        <w:txbxContent>
                          <w:p w14:paraId="1FD80919" w14:textId="77777777" w:rsidR="007D43F6" w:rsidRPr="00F050E6" w:rsidRDefault="007D43F6" w:rsidP="00F050E6">
                            <w:pPr>
                              <w:rPr>
                                <w:rFonts w:ascii="Arial" w:hAnsi="Arial" w:cs="Arial"/>
                                <w:color w:val="009999"/>
                                <w:sz w:val="18"/>
                              </w:rPr>
                            </w:pPr>
                            <w:r w:rsidRPr="00F050E6">
                              <w:rPr>
                                <w:rFonts w:ascii="Arial" w:hAnsi="Arial" w:cs="Arial"/>
                                <w:color w:val="009999"/>
                                <w:sz w:val="18"/>
                              </w:rPr>
                              <w:t>0</w:t>
                            </w:r>
                          </w:p>
                          <w:p w14:paraId="3DE1B6BC" w14:textId="77777777" w:rsidR="007D43F6" w:rsidRPr="00F050E6" w:rsidRDefault="007D43F6" w:rsidP="00F050E6">
                            <w:pPr>
                              <w:rPr>
                                <w:rFonts w:ascii="Arial" w:hAnsi="Arial" w:cs="Arial"/>
                                <w:color w:val="009999"/>
                                <w:sz w:val="18"/>
                              </w:rPr>
                            </w:pPr>
                            <w:r>
                              <w:rPr>
                                <w:rFonts w:ascii="Arial" w:hAnsi="Arial" w:cs="Arial"/>
                                <w:color w:val="009999"/>
                                <w:sz w:val="18"/>
                              </w:rPr>
                              <w:t>0,267</w:t>
                            </w:r>
                          </w:p>
                          <w:p w14:paraId="172C1C0C" w14:textId="77777777" w:rsidR="007D43F6" w:rsidRPr="00F050E6" w:rsidRDefault="007D43F6" w:rsidP="00F050E6">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A99D96" id="_x0000_s1027" type="#_x0000_t202" style="position:absolute;left:0;text-align:left;margin-left:423.45pt;margin-top:631.9pt;width:41.15pt;height:29pt;z-index:25183232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" strokecolor="#099" strokeweight="3pt">
                <v:textbox>
                  <w:txbxContent>
                    <w:p w14:paraId="1FD80919" w14:textId="77777777" w:rsidR="007D43F6" w:rsidRPr="00F050E6" w:rsidRDefault="007D43F6" w:rsidP="00F050E6">
                      <w:pPr>
                        <w:rPr>
                          <w:rFonts w:ascii="Arial" w:hAnsi="Arial" w:cs="Arial"/>
                          <w:color w:val="009999"/>
                          <w:sz w:val="18"/>
                        </w:rPr>
                      </w:pPr>
                      <w:r w:rsidRPr="00F050E6">
                        <w:rPr>
                          <w:rFonts w:ascii="Arial" w:hAnsi="Arial" w:cs="Arial"/>
                          <w:color w:val="009999"/>
                          <w:sz w:val="18"/>
                        </w:rPr>
                        <w:t>0</w:t>
                      </w:r>
                    </w:p>
                    <w:p w14:paraId="3DE1B6BC" w14:textId="77777777" w:rsidR="007D43F6" w:rsidRPr="00F050E6" w:rsidRDefault="007D43F6" w:rsidP="00F050E6">
                      <w:pPr>
                        <w:rPr>
                          <w:rFonts w:ascii="Arial" w:hAnsi="Arial" w:cs="Arial"/>
                          <w:color w:val="009999"/>
                          <w:sz w:val="18"/>
                        </w:rPr>
                      </w:pPr>
                      <w:r>
                        <w:rPr>
                          <w:rFonts w:ascii="Arial" w:hAnsi="Arial" w:cs="Arial"/>
                          <w:color w:val="009999"/>
                          <w:sz w:val="18"/>
                        </w:rPr>
                        <w:t>0,267</w:t>
                      </w:r>
                    </w:p>
                    <w:p w14:paraId="172C1C0C" w14:textId="77777777" w:rsidR="007D43F6" w:rsidRPr="00F050E6" w:rsidRDefault="007D43F6" w:rsidP="00F050E6">
                      <w:pPr>
                        <w:rPr>
                          <w:color w:val="009999"/>
                        </w:rPr>
                      </w:pPr>
                    </w:p>
                  </w:txbxContent>
                </v:textbox>
                <w10:wrap anchorx="page"/>
              </v:shape>
            </w:pict>
          </mc:Fallback>
        </mc:AlternateContent>
      </w:r>
      <w:r w:rsidRPr="00F050E6">
        <w:rPr>
          <w:rFonts w:ascii="Century Gothic" w:hAnsi="Century Gothic"/>
          <w:noProof/>
          <w:lang w:eastAsia="cs-CZ"/>
        </w:rPr>
        <mc:AlternateContent>
          <mc:Choice Requires="wps">
            <w:drawing>
              <wp:anchor distT="45720" distB="45720" distL="114300" distR="114300" simplePos="0" relativeHeight="251828224" behindDoc="0" locked="0" layoutInCell="1" allowOverlap="1" wp14:anchorId="41D5738B" wp14:editId="34BE6839">
                <wp:simplePos x="0" y="0"/>
                <wp:positionH relativeFrom="page">
                  <wp:posOffset>4084131</wp:posOffset>
                </wp:positionH>
                <wp:positionV relativeFrom="paragraph">
                  <wp:posOffset>8050909</wp:posOffset>
                </wp:positionV>
                <wp:extent cx="522514" cy="368135"/>
                <wp:effectExtent l="19050" t="19050" r="11430" b="13335"/>
                <wp:wrapNone/>
                <wp:docPr id="21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514" cy="368135"/>
                        </a:xfrm>
                        <a:prstGeom prst="rect">
                          <a:avLst/>
                        </a:prstGeom>
                        <a:solidFill>
                          <a:srgbClr val="FFFFFF"/>
                        </a:solidFill>
                        <a:ln w="38100">
                          <a:solidFill>
                            <a:srgbClr val="009999"/>
                          </a:solidFill>
                          <a:miter lim="800000"/>
                          <a:headEnd/>
                          <a:tailEnd/>
                        </a:ln>
                      </wps:spPr>
                      <wps:txbx>
                        <w:txbxContent>
                          <w:p w14:paraId="3D93172A" w14:textId="77777777" w:rsidR="007D43F6" w:rsidRPr="00F050E6" w:rsidRDefault="007D43F6" w:rsidP="00F050E6">
                            <w:pPr>
                              <w:rPr>
                                <w:rFonts w:ascii="Arial" w:hAnsi="Arial" w:cs="Arial"/>
                                <w:color w:val="009999"/>
                                <w:sz w:val="18"/>
                              </w:rPr>
                            </w:pPr>
                            <w:r w:rsidRPr="00F050E6">
                              <w:rPr>
                                <w:rFonts w:ascii="Arial" w:hAnsi="Arial" w:cs="Arial"/>
                                <w:color w:val="009999"/>
                                <w:sz w:val="18"/>
                              </w:rPr>
                              <w:t>0</w:t>
                            </w:r>
                          </w:p>
                          <w:p w14:paraId="4EEC7262" w14:textId="77777777" w:rsidR="007D43F6" w:rsidRPr="00F050E6" w:rsidRDefault="007D43F6" w:rsidP="00F050E6">
                            <w:pPr>
                              <w:rPr>
                                <w:rFonts w:ascii="Arial" w:hAnsi="Arial" w:cs="Arial"/>
                                <w:color w:val="009999"/>
                                <w:sz w:val="18"/>
                              </w:rPr>
                            </w:pPr>
                            <w:r w:rsidRPr="00F050E6">
                              <w:rPr>
                                <w:rFonts w:ascii="Arial" w:hAnsi="Arial" w:cs="Arial"/>
                                <w:color w:val="009999"/>
                                <w:sz w:val="18"/>
                              </w:rPr>
                              <w:t>5,711</w:t>
                            </w:r>
                          </w:p>
                          <w:p w14:paraId="5FED086B" w14:textId="77777777" w:rsidR="007D43F6" w:rsidRPr="00F050E6" w:rsidRDefault="007D43F6" w:rsidP="00F050E6">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D5738B" id="_x0000_s1028" type="#_x0000_t202" style="position:absolute;left:0;text-align:left;margin-left:321.6pt;margin-top:633.95pt;width:41.15pt;height:29pt;z-index:25182822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" strokecolor="#099" strokeweight="3pt">
                <v:textbox>
                  <w:txbxContent>
                    <w:p w14:paraId="3D93172A" w14:textId="77777777" w:rsidR="007D43F6" w:rsidRPr="00F050E6" w:rsidRDefault="007D43F6" w:rsidP="00F050E6">
                      <w:pPr>
                        <w:rPr>
                          <w:rFonts w:ascii="Arial" w:hAnsi="Arial" w:cs="Arial"/>
                          <w:color w:val="009999"/>
                          <w:sz w:val="18"/>
                        </w:rPr>
                      </w:pPr>
                      <w:r w:rsidRPr="00F050E6">
                        <w:rPr>
                          <w:rFonts w:ascii="Arial" w:hAnsi="Arial" w:cs="Arial"/>
                          <w:color w:val="009999"/>
                          <w:sz w:val="18"/>
                        </w:rPr>
                        <w:t>0</w:t>
                      </w:r>
                    </w:p>
                    <w:p w14:paraId="4EEC7262" w14:textId="77777777" w:rsidR="007D43F6" w:rsidRPr="00F050E6" w:rsidRDefault="007D43F6" w:rsidP="00F050E6">
                      <w:pPr>
                        <w:rPr>
                          <w:rFonts w:ascii="Arial" w:hAnsi="Arial" w:cs="Arial"/>
                          <w:color w:val="009999"/>
                          <w:sz w:val="18"/>
                        </w:rPr>
                      </w:pPr>
                      <w:r w:rsidRPr="00F050E6">
                        <w:rPr>
                          <w:rFonts w:ascii="Arial" w:hAnsi="Arial" w:cs="Arial"/>
                          <w:color w:val="009999"/>
                          <w:sz w:val="18"/>
                        </w:rPr>
                        <w:t>5,711</w:t>
                      </w:r>
                    </w:p>
                    <w:p w14:paraId="5FED086B" w14:textId="77777777" w:rsidR="007D43F6" w:rsidRPr="00F050E6" w:rsidRDefault="007D43F6" w:rsidP="00F050E6">
                      <w:pPr>
                        <w:rPr>
                          <w:color w:val="009999"/>
                        </w:rPr>
                      </w:pPr>
                    </w:p>
                  </w:txbxContent>
                </v:textbox>
                <w10:wrap anchorx="page"/>
              </v:shape>
            </w:pict>
          </mc:Fallback>
        </mc:AlternateContent>
      </w:r>
      <w:r>
        <w:rPr>
          <w:rFonts w:ascii="Arial" w:hAnsi="Arial" w:cs="Arial"/>
          <w:noProof/>
          <w:lang w:eastAsia="cs-CZ"/>
        </w:rPr>
        <mc:AlternateContent>
          <mc:Choice Requires="wps">
            <w:drawing>
              <wp:anchor distT="0" distB="0" distL="114300" distR="114300" simplePos="0" relativeHeight="251806720" behindDoc="0" locked="0" layoutInCell="1" allowOverlap="1" wp14:anchorId="07B12C8D" wp14:editId="3306C888">
                <wp:simplePos x="0" y="0"/>
                <wp:positionH relativeFrom="margin">
                  <wp:posOffset>117689</wp:posOffset>
                </wp:positionH>
                <wp:positionV relativeFrom="paragraph">
                  <wp:posOffset>6911439</wp:posOffset>
                </wp:positionV>
                <wp:extent cx="5324475" cy="973777"/>
                <wp:effectExtent l="19050" t="19050" r="47625" b="36195"/>
                <wp:wrapNone/>
                <wp:docPr id="6" name="Obdélník 6"/>
                <wp:cNvGraphicFramePr/>
                <a:graphic xmlns:a="http://schemas.openxmlformats.org/drawingml/2006/main">
                  <a:graphicData uri="http://schemas.microsoft.com/office/word/2010/wordprocessingShape">
                    <wps:wsp>
                      <wps:cNvSpPr/>
                      <wps:spPr>
                        <a:xfrm>
                          <a:off x="0" y="0"/>
                          <a:ext cx="5324475" cy="973777"/>
                        </a:xfrm>
                        <a:prstGeom prst="rect">
                          <a:avLst/>
                        </a:prstGeom>
                        <a:noFill/>
                        <a:ln w="5715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D2CDEC" id="Obdélník 6" o:spid="_x0000_s1026" style="position:absolute;margin-left:9.25pt;margin-top:544.2pt;width:419.25pt;height:76.7pt;z-index:251806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" filled="f" strokecolor="#18b8b0" strokeweight="4.5pt">
                <w10:wrap anchorx="margin"/>
              </v:rect>
            </w:pict>
          </mc:Fallback>
        </mc:AlternateContent>
      </w:r>
      <w:r w:rsidR="00754FF6">
        <w:rPr>
          <w:rFonts w:ascii="Arial" w:hAnsi="Arial" w:cs="Arial"/>
          <w:noProof/>
          <w:lang w:eastAsia="cs-CZ"/>
        </w:rPr>
        <mc:AlternateContent>
          <mc:Choice Requires="wps">
            <w:drawing>
              <wp:anchor distT="0" distB="0" distL="114300" distR="114300" simplePos="0" relativeHeight="251807744" behindDoc="0" locked="0" layoutInCell="1" allowOverlap="1" wp14:anchorId="2647E2CC" wp14:editId="2ED47A56">
                <wp:simplePos x="0" y="0"/>
                <wp:positionH relativeFrom="column">
                  <wp:posOffset>144779</wp:posOffset>
                </wp:positionH>
                <wp:positionV relativeFrom="paragraph">
                  <wp:posOffset>6905625</wp:posOffset>
                </wp:positionV>
                <wp:extent cx="5305425" cy="1019175"/>
                <wp:effectExtent l="19050" t="19050" r="28575" b="28575"/>
                <wp:wrapNone/>
                <wp:docPr id="7" name="Přímá spojnice 7"/>
                <wp:cNvGraphicFramePr/>
                <a:graphic xmlns:a="http://schemas.openxmlformats.org/drawingml/2006/main">
                  <a:graphicData uri="http://schemas.microsoft.com/office/word/2010/wordprocessingShape">
                    <wps:wsp>
                      <wps:cNvCnPr/>
                      <wps:spPr>
                        <a:xfrm flipV="1">
                          <a:off x="0" y="0"/>
                          <a:ext cx="5305425" cy="1019175"/>
                        </a:xfrm>
                        <a:prstGeom prst="line">
                          <a:avLst/>
                        </a:prstGeom>
                        <a:ln w="38100">
                          <a:solidFill>
                            <a:srgbClr val="18B8B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1B33CDC" id="Přímá spojnice 7" o:spid="_x0000_s1026" style="position:absolute;flip:y;z-index:251807744;visibility:visible;mso-wrap-style:square;mso-wrap-distance-left:9pt;mso-wrap-distance-top:0;mso-wrap-distance-right:9pt;mso-wrap-distance-bottom:0;mso-position-horizontal:absolute;mso-position-horizontal-relative:text;mso-position-vertical:absolute;mso-position-vertical-relative:text" from="11.4pt,543.75pt" to="429.15pt,6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" strokecolor="#18b8b0" strokeweight="3pt">
                <v:stroke joinstyle="miter"/>
              </v:line>
            </w:pict>
          </mc:Fallback>
        </mc:AlternateContent>
      </w:r>
      <w:r w:rsidR="009617F5" w:rsidRPr="009617F5">
        <w:rPr>
          <w:rFonts w:ascii="Arial" w:hAnsi="Arial" w:cs="Arial"/>
          <w:noProof/>
          <w:lang w:eastAsia="cs-CZ"/>
        </w:rPr>
        <w:drawing>
          <wp:anchor distT="0" distB="0" distL="114300" distR="114300" simplePos="0" relativeHeight="251780096" behindDoc="0" locked="0" layoutInCell="1" allowOverlap="1" wp14:anchorId="286600FF" wp14:editId="6C41029D">
            <wp:simplePos x="0" y="0"/>
            <wp:positionH relativeFrom="margin">
              <wp:align>left</wp:align>
            </wp:positionH>
            <wp:positionV relativeFrom="margin">
              <wp:align>top</wp:align>
            </wp:positionV>
            <wp:extent cx="5462905" cy="8506460"/>
            <wp:effectExtent l="0" t="0" r="4445" b="8890"/>
            <wp:wrapSquare wrapText="bothSides"/>
            <wp:docPr id="10592" name="Obrázek 10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5462905" cy="8506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5323FC" w14:textId="77777777" w:rsidR="009617F5" w:rsidRPr="009617F5" w:rsidRDefault="001E205E" w:rsidP="009617F5">
      <w:pPr>
        <w:pStyle w:val="Zkladntext"/>
        <w:spacing w:before="120" w:line="288" w:lineRule="auto"/>
        <w:ind w:firstLine="709"/>
        <w:jc w:val="both"/>
        <w:rPr>
          <w:rFonts w:ascii="Arial" w:hAnsi="Arial" w:cs="Arial"/>
          <w:sz w:val="22"/>
          <w:szCs w:val="22"/>
          <w:highlight w:val="magenta"/>
        </w:rPr>
      </w:pPr>
      <w:r w:rsidRPr="001E205E">
        <w:rPr>
          <w:rFonts w:ascii="Arial" w:hAnsi="Arial" w:cs="Arial"/>
          <w:noProof/>
          <w:sz w:val="22"/>
          <w:szCs w:val="22"/>
          <w:lang w:eastAsia="cs-CZ"/>
        </w:rPr>
        <w:lastRenderedPageBreak/>
        <mc:AlternateContent>
          <mc:Choice Requires="wps">
            <w:drawing>
              <wp:anchor distT="45720" distB="45720" distL="114300" distR="114300" simplePos="0" relativeHeight="251840512" behindDoc="0" locked="0" layoutInCell="1" allowOverlap="1" wp14:anchorId="150E21EC" wp14:editId="5A3808F7">
                <wp:simplePos x="0" y="0"/>
                <wp:positionH relativeFrom="page">
                  <wp:posOffset>4013860</wp:posOffset>
                </wp:positionH>
                <wp:positionV relativeFrom="paragraph">
                  <wp:posOffset>8063345</wp:posOffset>
                </wp:positionV>
                <wp:extent cx="676893" cy="367665"/>
                <wp:effectExtent l="19050" t="19050" r="28575" b="13335"/>
                <wp:wrapNone/>
                <wp:docPr id="19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893" cy="367665"/>
                        </a:xfrm>
                        <a:prstGeom prst="rect">
                          <a:avLst/>
                        </a:prstGeom>
                        <a:solidFill>
                          <a:srgbClr val="FFFFFF"/>
                        </a:solidFill>
                        <a:ln w="38100">
                          <a:solidFill>
                            <a:srgbClr val="009999"/>
                          </a:solidFill>
                          <a:miter lim="800000"/>
                          <a:headEnd/>
                          <a:tailEnd/>
                        </a:ln>
                      </wps:spPr>
                      <wps:txbx>
                        <w:txbxContent>
                          <w:p w14:paraId="09ECEEFC" w14:textId="77777777" w:rsidR="007D43F6" w:rsidRPr="00F050E6" w:rsidRDefault="007D43F6" w:rsidP="001E205E">
                            <w:pPr>
                              <w:rPr>
                                <w:rFonts w:ascii="Arial" w:hAnsi="Arial" w:cs="Arial"/>
                                <w:color w:val="009999"/>
                                <w:sz w:val="18"/>
                              </w:rPr>
                            </w:pPr>
                            <w:r>
                              <w:rPr>
                                <w:rFonts w:ascii="Arial" w:hAnsi="Arial" w:cs="Arial"/>
                                <w:color w:val="009999"/>
                                <w:sz w:val="18"/>
                              </w:rPr>
                              <w:t>103,178</w:t>
                            </w:r>
                          </w:p>
                          <w:p w14:paraId="6198FD94" w14:textId="77777777" w:rsidR="007D43F6" w:rsidRPr="00F050E6" w:rsidRDefault="007D43F6" w:rsidP="001E205E">
                            <w:pPr>
                              <w:rPr>
                                <w:rFonts w:ascii="Arial" w:hAnsi="Arial" w:cs="Arial"/>
                                <w:color w:val="009999"/>
                                <w:sz w:val="18"/>
                              </w:rPr>
                            </w:pPr>
                            <w:r>
                              <w:rPr>
                                <w:rFonts w:ascii="Arial" w:hAnsi="Arial" w:cs="Arial"/>
                                <w:color w:val="009999"/>
                                <w:sz w:val="18"/>
                              </w:rPr>
                              <w:t>88,763</w:t>
                            </w:r>
                          </w:p>
                          <w:p w14:paraId="45451445"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0E21EC" id="_x0000_s1029" type="#_x0000_t202" style="position:absolute;left:0;text-align:left;margin-left:316.05pt;margin-top:634.9pt;width:53.3pt;height:28.95pt;z-index:2518405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" strokecolor="#099" strokeweight="3pt">
                <v:textbox>
                  <w:txbxContent>
                    <w:p w14:paraId="09ECEEFC" w14:textId="77777777" w:rsidR="007D43F6" w:rsidRPr="00F050E6" w:rsidRDefault="007D43F6" w:rsidP="001E205E">
                      <w:pPr>
                        <w:rPr>
                          <w:rFonts w:ascii="Arial" w:hAnsi="Arial" w:cs="Arial"/>
                          <w:color w:val="009999"/>
                          <w:sz w:val="18"/>
                        </w:rPr>
                      </w:pPr>
                      <w:r>
                        <w:rPr>
                          <w:rFonts w:ascii="Arial" w:hAnsi="Arial" w:cs="Arial"/>
                          <w:color w:val="009999"/>
                          <w:sz w:val="18"/>
                        </w:rPr>
                        <w:t>103,178</w:t>
                      </w:r>
                    </w:p>
                    <w:p w14:paraId="6198FD94" w14:textId="77777777" w:rsidR="007D43F6" w:rsidRPr="00F050E6" w:rsidRDefault="007D43F6" w:rsidP="001E205E">
                      <w:pPr>
                        <w:rPr>
                          <w:rFonts w:ascii="Arial" w:hAnsi="Arial" w:cs="Arial"/>
                          <w:color w:val="009999"/>
                          <w:sz w:val="18"/>
                        </w:rPr>
                      </w:pPr>
                      <w:r>
                        <w:rPr>
                          <w:rFonts w:ascii="Arial" w:hAnsi="Arial" w:cs="Arial"/>
                          <w:color w:val="009999"/>
                          <w:sz w:val="18"/>
                        </w:rPr>
                        <w:t>88,763</w:t>
                      </w:r>
                    </w:p>
                    <w:p w14:paraId="45451445" w14:textId="77777777" w:rsidR="007D43F6" w:rsidRPr="00F050E6" w:rsidRDefault="007D43F6" w:rsidP="001E205E">
                      <w:pPr>
                        <w:rPr>
                          <w:color w:val="009999"/>
                        </w:rPr>
                      </w:pPr>
                    </w:p>
                  </w:txbxContent>
                </v:textbox>
                <w10:wrap anchorx="page"/>
              </v:shape>
            </w:pict>
          </mc:Fallback>
        </mc:AlternateContent>
      </w:r>
      <w:r w:rsidRPr="00F050E6">
        <w:rPr>
          <w:rFonts w:ascii="Century Gothic" w:hAnsi="Century Gothic"/>
          <w:noProof/>
          <w:lang w:eastAsia="cs-CZ"/>
        </w:rPr>
        <mc:AlternateContent>
          <mc:Choice Requires="wps">
            <w:drawing>
              <wp:anchor distT="45720" distB="45720" distL="114300" distR="114300" simplePos="0" relativeHeight="251838464" behindDoc="0" locked="0" layoutInCell="1" allowOverlap="1" wp14:anchorId="32BCC858" wp14:editId="0F5E9EEE">
                <wp:simplePos x="0" y="0"/>
                <wp:positionH relativeFrom="page">
                  <wp:posOffset>5221605</wp:posOffset>
                </wp:positionH>
                <wp:positionV relativeFrom="paragraph">
                  <wp:posOffset>7609205</wp:posOffset>
                </wp:positionV>
                <wp:extent cx="605155" cy="367665"/>
                <wp:effectExtent l="19050" t="19050" r="23495" b="13335"/>
                <wp:wrapNone/>
                <wp:docPr id="19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367665"/>
                        </a:xfrm>
                        <a:prstGeom prst="rect">
                          <a:avLst/>
                        </a:prstGeom>
                        <a:solidFill>
                          <a:srgbClr val="FFFFFF"/>
                        </a:solidFill>
                        <a:ln w="38100">
                          <a:solidFill>
                            <a:srgbClr val="009999"/>
                          </a:solidFill>
                          <a:miter lim="800000"/>
                          <a:headEnd/>
                          <a:tailEnd/>
                        </a:ln>
                      </wps:spPr>
                      <wps:txbx>
                        <w:txbxContent>
                          <w:p w14:paraId="3429C988" w14:textId="77777777" w:rsidR="007D43F6" w:rsidRPr="00F050E6" w:rsidRDefault="007D43F6" w:rsidP="00F050E6">
                            <w:pPr>
                              <w:rPr>
                                <w:rFonts w:ascii="Arial" w:hAnsi="Arial" w:cs="Arial"/>
                                <w:color w:val="009999"/>
                                <w:sz w:val="18"/>
                              </w:rPr>
                            </w:pPr>
                            <w:r>
                              <w:rPr>
                                <w:rFonts w:ascii="Arial" w:hAnsi="Arial" w:cs="Arial"/>
                                <w:color w:val="009999"/>
                                <w:sz w:val="18"/>
                              </w:rPr>
                              <w:t>1,856</w:t>
                            </w:r>
                          </w:p>
                          <w:p w14:paraId="42252725" w14:textId="77777777" w:rsidR="007D43F6" w:rsidRPr="00F050E6" w:rsidRDefault="007D43F6" w:rsidP="00F050E6">
                            <w:pPr>
                              <w:rPr>
                                <w:rFonts w:ascii="Arial" w:hAnsi="Arial" w:cs="Arial"/>
                                <w:color w:val="009999"/>
                                <w:sz w:val="18"/>
                              </w:rPr>
                            </w:pPr>
                            <w:r>
                              <w:rPr>
                                <w:rFonts w:ascii="Arial" w:hAnsi="Arial" w:cs="Arial"/>
                                <w:color w:val="009999"/>
                                <w:sz w:val="18"/>
                              </w:rPr>
                              <w:t>4,815</w:t>
                            </w:r>
                          </w:p>
                          <w:p w14:paraId="265B8DE2" w14:textId="77777777" w:rsidR="007D43F6" w:rsidRPr="00F050E6" w:rsidRDefault="007D43F6" w:rsidP="00F050E6">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BCC858" id="_x0000_s1030" type="#_x0000_t202" style="position:absolute;left:0;text-align:left;margin-left:411.15pt;margin-top:599.15pt;width:47.65pt;height:28.95pt;z-index:2518384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" strokecolor="#099" strokeweight="3pt">
                <v:textbox>
                  <w:txbxContent>
                    <w:p w14:paraId="3429C988" w14:textId="77777777" w:rsidR="007D43F6" w:rsidRPr="00F050E6" w:rsidRDefault="007D43F6" w:rsidP="00F050E6">
                      <w:pPr>
                        <w:rPr>
                          <w:rFonts w:ascii="Arial" w:hAnsi="Arial" w:cs="Arial"/>
                          <w:color w:val="009999"/>
                          <w:sz w:val="18"/>
                        </w:rPr>
                      </w:pPr>
                      <w:r>
                        <w:rPr>
                          <w:rFonts w:ascii="Arial" w:hAnsi="Arial" w:cs="Arial"/>
                          <w:color w:val="009999"/>
                          <w:sz w:val="18"/>
                        </w:rPr>
                        <w:t>1,856</w:t>
                      </w:r>
                    </w:p>
                    <w:p w14:paraId="42252725" w14:textId="77777777" w:rsidR="007D43F6" w:rsidRPr="00F050E6" w:rsidRDefault="007D43F6" w:rsidP="00F050E6">
                      <w:pPr>
                        <w:rPr>
                          <w:rFonts w:ascii="Arial" w:hAnsi="Arial" w:cs="Arial"/>
                          <w:color w:val="009999"/>
                          <w:sz w:val="18"/>
                        </w:rPr>
                      </w:pPr>
                      <w:r>
                        <w:rPr>
                          <w:rFonts w:ascii="Arial" w:hAnsi="Arial" w:cs="Arial"/>
                          <w:color w:val="009999"/>
                          <w:sz w:val="18"/>
                        </w:rPr>
                        <w:t>4,815</w:t>
                      </w:r>
                    </w:p>
                    <w:p w14:paraId="265B8DE2" w14:textId="77777777" w:rsidR="007D43F6" w:rsidRPr="00F050E6" w:rsidRDefault="007D43F6" w:rsidP="00F050E6">
                      <w:pPr>
                        <w:rPr>
                          <w:color w:val="009999"/>
                        </w:rPr>
                      </w:pPr>
                    </w:p>
                  </w:txbxContent>
                </v:textbox>
                <w10:wrap anchorx="page"/>
              </v:shape>
            </w:pict>
          </mc:Fallback>
        </mc:AlternateContent>
      </w:r>
      <w:r w:rsidRPr="00F050E6">
        <w:rPr>
          <w:rFonts w:ascii="Century Gothic" w:hAnsi="Century Gothic"/>
          <w:noProof/>
          <w:lang w:eastAsia="cs-CZ"/>
        </w:rPr>
        <mc:AlternateContent>
          <mc:Choice Requires="wps">
            <w:drawing>
              <wp:anchor distT="45720" distB="45720" distL="114300" distR="114300" simplePos="0" relativeHeight="251836416" behindDoc="0" locked="0" layoutInCell="1" allowOverlap="1" wp14:anchorId="3C03C476" wp14:editId="7794BEF3">
                <wp:simplePos x="0" y="0"/>
                <wp:positionH relativeFrom="page">
                  <wp:posOffset>4615815</wp:posOffset>
                </wp:positionH>
                <wp:positionV relativeFrom="paragraph">
                  <wp:posOffset>7609205</wp:posOffset>
                </wp:positionV>
                <wp:extent cx="605155" cy="367665"/>
                <wp:effectExtent l="19050" t="19050" r="23495" b="13335"/>
                <wp:wrapNone/>
                <wp:docPr id="19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367665"/>
                        </a:xfrm>
                        <a:prstGeom prst="rect">
                          <a:avLst/>
                        </a:prstGeom>
                        <a:solidFill>
                          <a:srgbClr val="FFFFFF"/>
                        </a:solidFill>
                        <a:ln w="38100">
                          <a:solidFill>
                            <a:srgbClr val="009999"/>
                          </a:solidFill>
                          <a:miter lim="800000"/>
                          <a:headEnd/>
                          <a:tailEnd/>
                        </a:ln>
                      </wps:spPr>
                      <wps:txbx>
                        <w:txbxContent>
                          <w:p w14:paraId="5228C0E7" w14:textId="77777777" w:rsidR="007D43F6" w:rsidRPr="00F050E6" w:rsidRDefault="007D43F6" w:rsidP="00F050E6">
                            <w:pPr>
                              <w:rPr>
                                <w:rFonts w:ascii="Arial" w:hAnsi="Arial" w:cs="Arial"/>
                                <w:color w:val="009999"/>
                                <w:sz w:val="18"/>
                              </w:rPr>
                            </w:pPr>
                            <w:r>
                              <w:rPr>
                                <w:rFonts w:ascii="Arial" w:hAnsi="Arial" w:cs="Arial"/>
                                <w:color w:val="009999"/>
                                <w:sz w:val="18"/>
                              </w:rPr>
                              <w:t>2,011</w:t>
                            </w:r>
                          </w:p>
                          <w:p w14:paraId="007D4686" w14:textId="77777777" w:rsidR="007D43F6" w:rsidRPr="00F050E6" w:rsidRDefault="007D43F6" w:rsidP="00F050E6">
                            <w:pPr>
                              <w:rPr>
                                <w:rFonts w:ascii="Arial" w:hAnsi="Arial" w:cs="Arial"/>
                                <w:color w:val="009999"/>
                                <w:sz w:val="18"/>
                              </w:rPr>
                            </w:pPr>
                            <w:r>
                              <w:rPr>
                                <w:rFonts w:ascii="Arial" w:hAnsi="Arial" w:cs="Arial"/>
                                <w:color w:val="009999"/>
                                <w:sz w:val="18"/>
                              </w:rPr>
                              <w:t>12,101</w:t>
                            </w:r>
                          </w:p>
                          <w:p w14:paraId="610725AB" w14:textId="77777777" w:rsidR="007D43F6" w:rsidRPr="00F050E6" w:rsidRDefault="007D43F6" w:rsidP="00F050E6">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03C476" id="_x0000_s1031" type="#_x0000_t202" style="position:absolute;left:0;text-align:left;margin-left:363.45pt;margin-top:599.15pt;width:47.65pt;height:28.95pt;z-index:25183641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" strokecolor="#099" strokeweight="3pt">
                <v:textbox>
                  <w:txbxContent>
                    <w:p w14:paraId="5228C0E7" w14:textId="77777777" w:rsidR="007D43F6" w:rsidRPr="00F050E6" w:rsidRDefault="007D43F6" w:rsidP="00F050E6">
                      <w:pPr>
                        <w:rPr>
                          <w:rFonts w:ascii="Arial" w:hAnsi="Arial" w:cs="Arial"/>
                          <w:color w:val="009999"/>
                          <w:sz w:val="18"/>
                        </w:rPr>
                      </w:pPr>
                      <w:r>
                        <w:rPr>
                          <w:rFonts w:ascii="Arial" w:hAnsi="Arial" w:cs="Arial"/>
                          <w:color w:val="009999"/>
                          <w:sz w:val="18"/>
                        </w:rPr>
                        <w:t>2,011</w:t>
                      </w:r>
                    </w:p>
                    <w:p w14:paraId="007D4686" w14:textId="77777777" w:rsidR="007D43F6" w:rsidRPr="00F050E6" w:rsidRDefault="007D43F6" w:rsidP="00F050E6">
                      <w:pPr>
                        <w:rPr>
                          <w:rFonts w:ascii="Arial" w:hAnsi="Arial" w:cs="Arial"/>
                          <w:color w:val="009999"/>
                          <w:sz w:val="18"/>
                        </w:rPr>
                      </w:pPr>
                      <w:r>
                        <w:rPr>
                          <w:rFonts w:ascii="Arial" w:hAnsi="Arial" w:cs="Arial"/>
                          <w:color w:val="009999"/>
                          <w:sz w:val="18"/>
                        </w:rPr>
                        <w:t>12,101</w:t>
                      </w:r>
                    </w:p>
                    <w:p w14:paraId="610725AB" w14:textId="77777777" w:rsidR="007D43F6" w:rsidRPr="00F050E6" w:rsidRDefault="007D43F6" w:rsidP="00F050E6">
                      <w:pPr>
                        <w:rPr>
                          <w:color w:val="009999"/>
                        </w:rPr>
                      </w:pPr>
                    </w:p>
                  </w:txbxContent>
                </v:textbox>
                <w10:wrap anchorx="page"/>
              </v:shape>
            </w:pict>
          </mc:Fallback>
        </mc:AlternateContent>
      </w:r>
      <w:r w:rsidRPr="00F050E6">
        <w:rPr>
          <w:rFonts w:ascii="Century Gothic" w:hAnsi="Century Gothic"/>
          <w:noProof/>
          <w:lang w:eastAsia="cs-CZ"/>
        </w:rPr>
        <mc:AlternateContent>
          <mc:Choice Requires="wps">
            <w:drawing>
              <wp:anchor distT="45720" distB="45720" distL="114300" distR="114300" simplePos="0" relativeHeight="251834368" behindDoc="0" locked="0" layoutInCell="1" allowOverlap="1" wp14:anchorId="206E798C" wp14:editId="4939C0B5">
                <wp:simplePos x="0" y="0"/>
                <wp:positionH relativeFrom="page">
                  <wp:posOffset>4013076</wp:posOffset>
                </wp:positionH>
                <wp:positionV relativeFrom="paragraph">
                  <wp:posOffset>7611300</wp:posOffset>
                </wp:positionV>
                <wp:extent cx="605642" cy="368135"/>
                <wp:effectExtent l="19050" t="19050" r="23495" b="13335"/>
                <wp:wrapNone/>
                <wp:docPr id="19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642" cy="368135"/>
                        </a:xfrm>
                        <a:prstGeom prst="rect">
                          <a:avLst/>
                        </a:prstGeom>
                        <a:solidFill>
                          <a:srgbClr val="FFFFFF"/>
                        </a:solidFill>
                        <a:ln w="38100">
                          <a:solidFill>
                            <a:srgbClr val="009999"/>
                          </a:solidFill>
                          <a:miter lim="800000"/>
                          <a:headEnd/>
                          <a:tailEnd/>
                        </a:ln>
                      </wps:spPr>
                      <wps:txbx>
                        <w:txbxContent>
                          <w:p w14:paraId="42CEA5CC" w14:textId="77777777" w:rsidR="007D43F6" w:rsidRPr="00F050E6" w:rsidRDefault="007D43F6" w:rsidP="00F050E6">
                            <w:pPr>
                              <w:rPr>
                                <w:rFonts w:ascii="Arial" w:hAnsi="Arial" w:cs="Arial"/>
                                <w:color w:val="009999"/>
                                <w:sz w:val="18"/>
                              </w:rPr>
                            </w:pPr>
                            <w:r>
                              <w:rPr>
                                <w:rFonts w:ascii="Arial" w:hAnsi="Arial" w:cs="Arial"/>
                                <w:color w:val="009999"/>
                                <w:sz w:val="18"/>
                              </w:rPr>
                              <w:t>3,867</w:t>
                            </w:r>
                          </w:p>
                          <w:p w14:paraId="0CBB69FD" w14:textId="77777777" w:rsidR="007D43F6" w:rsidRPr="00F050E6" w:rsidRDefault="007D43F6" w:rsidP="00F050E6">
                            <w:pPr>
                              <w:rPr>
                                <w:rFonts w:ascii="Arial" w:hAnsi="Arial" w:cs="Arial"/>
                                <w:color w:val="009999"/>
                                <w:sz w:val="18"/>
                              </w:rPr>
                            </w:pPr>
                            <w:r>
                              <w:rPr>
                                <w:rFonts w:ascii="Arial" w:hAnsi="Arial" w:cs="Arial"/>
                                <w:color w:val="009999"/>
                                <w:sz w:val="18"/>
                              </w:rPr>
                              <w:t>16,916</w:t>
                            </w:r>
                          </w:p>
                          <w:p w14:paraId="0CDDD173" w14:textId="77777777" w:rsidR="007D43F6" w:rsidRPr="00F050E6" w:rsidRDefault="007D43F6" w:rsidP="00F050E6">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6E798C" id="_x0000_s1032" type="#_x0000_t202" style="position:absolute;left:0;text-align:left;margin-left:316pt;margin-top:599.3pt;width:47.7pt;height:29pt;z-index:25183436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" strokecolor="#099" strokeweight="3pt">
                <v:textbox>
                  <w:txbxContent>
                    <w:p w14:paraId="42CEA5CC" w14:textId="77777777" w:rsidR="007D43F6" w:rsidRPr="00F050E6" w:rsidRDefault="007D43F6" w:rsidP="00F050E6">
                      <w:pPr>
                        <w:rPr>
                          <w:rFonts w:ascii="Arial" w:hAnsi="Arial" w:cs="Arial"/>
                          <w:color w:val="009999"/>
                          <w:sz w:val="18"/>
                        </w:rPr>
                      </w:pPr>
                      <w:r>
                        <w:rPr>
                          <w:rFonts w:ascii="Arial" w:hAnsi="Arial" w:cs="Arial"/>
                          <w:color w:val="009999"/>
                          <w:sz w:val="18"/>
                        </w:rPr>
                        <w:t>3,867</w:t>
                      </w:r>
                    </w:p>
                    <w:p w14:paraId="0CBB69FD" w14:textId="77777777" w:rsidR="007D43F6" w:rsidRPr="00F050E6" w:rsidRDefault="007D43F6" w:rsidP="00F050E6">
                      <w:pPr>
                        <w:rPr>
                          <w:rFonts w:ascii="Arial" w:hAnsi="Arial" w:cs="Arial"/>
                          <w:color w:val="009999"/>
                          <w:sz w:val="18"/>
                        </w:rPr>
                      </w:pPr>
                      <w:r>
                        <w:rPr>
                          <w:rFonts w:ascii="Arial" w:hAnsi="Arial" w:cs="Arial"/>
                          <w:color w:val="009999"/>
                          <w:sz w:val="18"/>
                        </w:rPr>
                        <w:t>16,916</w:t>
                      </w:r>
                    </w:p>
                    <w:p w14:paraId="0CDDD173" w14:textId="77777777" w:rsidR="007D43F6" w:rsidRPr="00F050E6" w:rsidRDefault="007D43F6" w:rsidP="00F050E6">
                      <w:pPr>
                        <w:rPr>
                          <w:color w:val="009999"/>
                        </w:rPr>
                      </w:pP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41536" behindDoc="0" locked="0" layoutInCell="1" allowOverlap="1" wp14:anchorId="47A2B938" wp14:editId="48A86E89">
                <wp:simplePos x="0" y="0"/>
                <wp:positionH relativeFrom="page">
                  <wp:posOffset>4617720</wp:posOffset>
                </wp:positionH>
                <wp:positionV relativeFrom="paragraph">
                  <wp:posOffset>8054340</wp:posOffset>
                </wp:positionV>
                <wp:extent cx="605155" cy="367665"/>
                <wp:effectExtent l="19050" t="19050" r="23495" b="13335"/>
                <wp:wrapNone/>
                <wp:docPr id="199"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367665"/>
                        </a:xfrm>
                        <a:prstGeom prst="rect">
                          <a:avLst/>
                        </a:prstGeom>
                        <a:solidFill>
                          <a:srgbClr val="FFFFFF"/>
                        </a:solidFill>
                        <a:ln w="38100">
                          <a:solidFill>
                            <a:srgbClr val="009999"/>
                          </a:solidFill>
                          <a:miter lim="800000"/>
                          <a:headEnd/>
                          <a:tailEnd/>
                        </a:ln>
                      </wps:spPr>
                      <wps:txbx>
                        <w:txbxContent>
                          <w:p w14:paraId="349B67A1" w14:textId="77777777" w:rsidR="007D43F6" w:rsidRPr="00F050E6" w:rsidRDefault="007D43F6" w:rsidP="001E205E">
                            <w:pPr>
                              <w:rPr>
                                <w:rFonts w:ascii="Arial" w:hAnsi="Arial" w:cs="Arial"/>
                                <w:color w:val="009999"/>
                                <w:sz w:val="18"/>
                              </w:rPr>
                            </w:pPr>
                            <w:r>
                              <w:rPr>
                                <w:rFonts w:ascii="Arial" w:hAnsi="Arial" w:cs="Arial"/>
                                <w:color w:val="009999"/>
                                <w:sz w:val="18"/>
                              </w:rPr>
                              <w:t>52,059</w:t>
                            </w:r>
                          </w:p>
                          <w:p w14:paraId="48E3584A" w14:textId="77777777" w:rsidR="007D43F6" w:rsidRPr="00F050E6" w:rsidRDefault="007D43F6" w:rsidP="001E205E">
                            <w:pPr>
                              <w:rPr>
                                <w:rFonts w:ascii="Arial" w:hAnsi="Arial" w:cs="Arial"/>
                                <w:color w:val="009999"/>
                                <w:sz w:val="18"/>
                              </w:rPr>
                            </w:pPr>
                            <w:r>
                              <w:rPr>
                                <w:rFonts w:ascii="Arial" w:hAnsi="Arial" w:cs="Arial"/>
                                <w:color w:val="009999"/>
                                <w:sz w:val="18"/>
                              </w:rPr>
                              <w:t>76,420</w:t>
                            </w:r>
                          </w:p>
                          <w:p w14:paraId="54BEEFB0"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A2B938" id="_x0000_s1033" type="#_x0000_t202" style="position:absolute;left:0;text-align:left;margin-left:363.6pt;margin-top:634.2pt;width:47.65pt;height:28.95pt;z-index:25184153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" strokecolor="#099" strokeweight="3pt">
                <v:textbox>
                  <w:txbxContent>
                    <w:p w14:paraId="349B67A1" w14:textId="77777777" w:rsidR="007D43F6" w:rsidRPr="00F050E6" w:rsidRDefault="007D43F6" w:rsidP="001E205E">
                      <w:pPr>
                        <w:rPr>
                          <w:rFonts w:ascii="Arial" w:hAnsi="Arial" w:cs="Arial"/>
                          <w:color w:val="009999"/>
                          <w:sz w:val="18"/>
                        </w:rPr>
                      </w:pPr>
                      <w:r>
                        <w:rPr>
                          <w:rFonts w:ascii="Arial" w:hAnsi="Arial" w:cs="Arial"/>
                          <w:color w:val="009999"/>
                          <w:sz w:val="18"/>
                        </w:rPr>
                        <w:t>52,059</w:t>
                      </w:r>
                    </w:p>
                    <w:p w14:paraId="48E3584A" w14:textId="77777777" w:rsidR="007D43F6" w:rsidRPr="00F050E6" w:rsidRDefault="007D43F6" w:rsidP="001E205E">
                      <w:pPr>
                        <w:rPr>
                          <w:rFonts w:ascii="Arial" w:hAnsi="Arial" w:cs="Arial"/>
                          <w:color w:val="009999"/>
                          <w:sz w:val="18"/>
                        </w:rPr>
                      </w:pPr>
                      <w:r>
                        <w:rPr>
                          <w:rFonts w:ascii="Arial" w:hAnsi="Arial" w:cs="Arial"/>
                          <w:color w:val="009999"/>
                          <w:sz w:val="18"/>
                        </w:rPr>
                        <w:t>76,420</w:t>
                      </w:r>
                    </w:p>
                    <w:p w14:paraId="54BEEFB0" w14:textId="77777777" w:rsidR="007D43F6" w:rsidRPr="00F050E6" w:rsidRDefault="007D43F6" w:rsidP="001E205E">
                      <w:pPr>
                        <w:rPr>
                          <w:color w:val="009999"/>
                        </w:rPr>
                      </w:pP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42560" behindDoc="0" locked="0" layoutInCell="1" allowOverlap="1" wp14:anchorId="00A56BC5" wp14:editId="65240A8E">
                <wp:simplePos x="0" y="0"/>
                <wp:positionH relativeFrom="page">
                  <wp:posOffset>5223963</wp:posOffset>
                </wp:positionH>
                <wp:positionV relativeFrom="paragraph">
                  <wp:posOffset>8054496</wp:posOffset>
                </wp:positionV>
                <wp:extent cx="605642" cy="368135"/>
                <wp:effectExtent l="19050" t="19050" r="23495" b="13335"/>
                <wp:wrapNone/>
                <wp:docPr id="20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642" cy="368135"/>
                        </a:xfrm>
                        <a:prstGeom prst="rect">
                          <a:avLst/>
                        </a:prstGeom>
                        <a:solidFill>
                          <a:srgbClr val="FFFFFF"/>
                        </a:solidFill>
                        <a:ln w="38100">
                          <a:solidFill>
                            <a:srgbClr val="009999"/>
                          </a:solidFill>
                          <a:miter lim="800000"/>
                          <a:headEnd/>
                          <a:tailEnd/>
                        </a:ln>
                      </wps:spPr>
                      <wps:txbx>
                        <w:txbxContent>
                          <w:p w14:paraId="202552F6" w14:textId="77777777" w:rsidR="007D43F6" w:rsidRPr="00F050E6" w:rsidRDefault="007D43F6" w:rsidP="001E205E">
                            <w:pPr>
                              <w:rPr>
                                <w:rFonts w:ascii="Arial" w:hAnsi="Arial" w:cs="Arial"/>
                                <w:color w:val="009999"/>
                                <w:sz w:val="18"/>
                              </w:rPr>
                            </w:pPr>
                            <w:r>
                              <w:rPr>
                                <w:rFonts w:ascii="Arial" w:hAnsi="Arial" w:cs="Arial"/>
                                <w:color w:val="009999"/>
                                <w:sz w:val="18"/>
                              </w:rPr>
                              <w:t>51,119</w:t>
                            </w:r>
                          </w:p>
                          <w:p w14:paraId="52EC7212" w14:textId="77777777" w:rsidR="007D43F6" w:rsidRPr="00F050E6" w:rsidRDefault="007D43F6" w:rsidP="001E205E">
                            <w:pPr>
                              <w:rPr>
                                <w:rFonts w:ascii="Arial" w:hAnsi="Arial" w:cs="Arial"/>
                                <w:color w:val="009999"/>
                                <w:sz w:val="18"/>
                              </w:rPr>
                            </w:pPr>
                            <w:r>
                              <w:rPr>
                                <w:rFonts w:ascii="Arial" w:hAnsi="Arial" w:cs="Arial"/>
                                <w:color w:val="009999"/>
                                <w:sz w:val="18"/>
                              </w:rPr>
                              <w:t>12,343</w:t>
                            </w:r>
                          </w:p>
                          <w:p w14:paraId="53E0FA0C"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A56BC5" id="_x0000_s1034" type="#_x0000_t202" style="position:absolute;left:0;text-align:left;margin-left:411.35pt;margin-top:634.2pt;width:47.7pt;height:29pt;z-index:25184256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" strokecolor="#099" strokeweight="3pt">
                <v:textbox>
                  <w:txbxContent>
                    <w:p w14:paraId="202552F6" w14:textId="77777777" w:rsidR="007D43F6" w:rsidRPr="00F050E6" w:rsidRDefault="007D43F6" w:rsidP="001E205E">
                      <w:pPr>
                        <w:rPr>
                          <w:rFonts w:ascii="Arial" w:hAnsi="Arial" w:cs="Arial"/>
                          <w:color w:val="009999"/>
                          <w:sz w:val="18"/>
                        </w:rPr>
                      </w:pPr>
                      <w:r>
                        <w:rPr>
                          <w:rFonts w:ascii="Arial" w:hAnsi="Arial" w:cs="Arial"/>
                          <w:color w:val="009999"/>
                          <w:sz w:val="18"/>
                        </w:rPr>
                        <w:t>51,119</w:t>
                      </w:r>
                    </w:p>
                    <w:p w14:paraId="52EC7212" w14:textId="77777777" w:rsidR="007D43F6" w:rsidRPr="00F050E6" w:rsidRDefault="007D43F6" w:rsidP="001E205E">
                      <w:pPr>
                        <w:rPr>
                          <w:rFonts w:ascii="Arial" w:hAnsi="Arial" w:cs="Arial"/>
                          <w:color w:val="009999"/>
                          <w:sz w:val="18"/>
                        </w:rPr>
                      </w:pPr>
                      <w:r>
                        <w:rPr>
                          <w:rFonts w:ascii="Arial" w:hAnsi="Arial" w:cs="Arial"/>
                          <w:color w:val="009999"/>
                          <w:sz w:val="18"/>
                        </w:rPr>
                        <w:t>12,343</w:t>
                      </w:r>
                    </w:p>
                    <w:p w14:paraId="53E0FA0C" w14:textId="77777777" w:rsidR="007D43F6" w:rsidRPr="00F050E6" w:rsidRDefault="007D43F6" w:rsidP="001E205E">
                      <w:pPr>
                        <w:rPr>
                          <w:color w:val="009999"/>
                        </w:rPr>
                      </w:pPr>
                    </w:p>
                  </w:txbxContent>
                </v:textbox>
                <w10:wrap anchorx="page"/>
              </v:shape>
            </w:pict>
          </mc:Fallback>
        </mc:AlternateContent>
      </w:r>
      <w:r w:rsidR="00754FF6">
        <w:rPr>
          <w:rFonts w:ascii="Arial" w:hAnsi="Arial" w:cs="Arial"/>
          <w:noProof/>
          <w:lang w:eastAsia="cs-CZ"/>
        </w:rPr>
        <mc:AlternateContent>
          <mc:Choice Requires="wps">
            <w:drawing>
              <wp:anchor distT="0" distB="0" distL="114300" distR="114300" simplePos="0" relativeHeight="251809792" behindDoc="0" locked="0" layoutInCell="1" allowOverlap="1" wp14:anchorId="32B5C6F3" wp14:editId="029E23A9">
                <wp:simplePos x="0" y="0"/>
                <wp:positionH relativeFrom="margin">
                  <wp:posOffset>87630</wp:posOffset>
                </wp:positionH>
                <wp:positionV relativeFrom="paragraph">
                  <wp:posOffset>2019300</wp:posOffset>
                </wp:positionV>
                <wp:extent cx="5238750" cy="1704975"/>
                <wp:effectExtent l="19050" t="19050" r="19050" b="28575"/>
                <wp:wrapNone/>
                <wp:docPr id="8" name="Přímá spojnice 8"/>
                <wp:cNvGraphicFramePr/>
                <a:graphic xmlns:a="http://schemas.openxmlformats.org/drawingml/2006/main">
                  <a:graphicData uri="http://schemas.microsoft.com/office/word/2010/wordprocessingShape">
                    <wps:wsp>
                      <wps:cNvCnPr/>
                      <wps:spPr>
                        <a:xfrm flipV="1">
                          <a:off x="0" y="0"/>
                          <a:ext cx="5238750" cy="1704975"/>
                        </a:xfrm>
                        <a:prstGeom prst="line">
                          <a:avLst/>
                        </a:prstGeom>
                        <a:ln w="38100">
                          <a:solidFill>
                            <a:srgbClr val="18B8B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2880BC" id="Přímá spojnice 8" o:spid="_x0000_s1026" style="position:absolute;flip:y;z-index:251809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6.9pt,159pt" to="419.4pt,29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" strokecolor="#18b8b0" strokeweight="3pt">
                <v:stroke joinstyle="miter"/>
                <w10:wrap anchorx="margin"/>
              </v:line>
            </w:pict>
          </mc:Fallback>
        </mc:AlternateContent>
      </w:r>
      <w:r w:rsidR="00754FF6">
        <w:rPr>
          <w:rFonts w:ascii="Arial" w:hAnsi="Arial" w:cs="Arial"/>
          <w:noProof/>
          <w:lang w:eastAsia="cs-CZ"/>
        </w:rPr>
        <mc:AlternateContent>
          <mc:Choice Requires="wps">
            <w:drawing>
              <wp:anchor distT="0" distB="0" distL="114300" distR="114300" simplePos="0" relativeHeight="251804672" behindDoc="0" locked="0" layoutInCell="1" allowOverlap="1" wp14:anchorId="07CAB389" wp14:editId="06563789">
                <wp:simplePos x="0" y="0"/>
                <wp:positionH relativeFrom="column">
                  <wp:posOffset>87630</wp:posOffset>
                </wp:positionH>
                <wp:positionV relativeFrom="paragraph">
                  <wp:posOffset>1981200</wp:posOffset>
                </wp:positionV>
                <wp:extent cx="5257800" cy="1752600"/>
                <wp:effectExtent l="19050" t="19050" r="38100" b="38100"/>
                <wp:wrapNone/>
                <wp:docPr id="5" name="Obdélník 5"/>
                <wp:cNvGraphicFramePr/>
                <a:graphic xmlns:a="http://schemas.openxmlformats.org/drawingml/2006/main">
                  <a:graphicData uri="http://schemas.microsoft.com/office/word/2010/wordprocessingShape">
                    <wps:wsp>
                      <wps:cNvSpPr/>
                      <wps:spPr>
                        <a:xfrm>
                          <a:off x="0" y="0"/>
                          <a:ext cx="5257800" cy="1752600"/>
                        </a:xfrm>
                        <a:prstGeom prst="rect">
                          <a:avLst/>
                        </a:prstGeom>
                        <a:noFill/>
                        <a:ln w="5715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80CEFF" id="Obdélník 5" o:spid="_x0000_s1026" style="position:absolute;margin-left:6.9pt;margin-top:156pt;width:414pt;height:138pt;z-index:251804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" filled="f" strokecolor="#18b8b0" strokeweight="4.5pt"/>
            </w:pict>
          </mc:Fallback>
        </mc:AlternateContent>
      </w:r>
      <w:r w:rsidR="009617F5" w:rsidRPr="009617F5">
        <w:rPr>
          <w:rFonts w:ascii="Arial" w:hAnsi="Arial" w:cs="Arial"/>
          <w:noProof/>
          <w:lang w:eastAsia="cs-CZ"/>
        </w:rPr>
        <w:drawing>
          <wp:anchor distT="0" distB="0" distL="114300" distR="114300" simplePos="0" relativeHeight="251781120" behindDoc="0" locked="0" layoutInCell="1" allowOverlap="1" wp14:anchorId="349D460C" wp14:editId="1095094A">
            <wp:simplePos x="0" y="0"/>
            <wp:positionH relativeFrom="margin">
              <wp:align>left</wp:align>
            </wp:positionH>
            <wp:positionV relativeFrom="margin">
              <wp:align>top</wp:align>
            </wp:positionV>
            <wp:extent cx="5399405" cy="8471535"/>
            <wp:effectExtent l="0" t="0" r="0" b="5715"/>
            <wp:wrapSquare wrapText="bothSides"/>
            <wp:docPr id="10591" name="Obrázek 10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5399405" cy="84715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982F86" w14:textId="77777777" w:rsidR="009617F5" w:rsidRPr="009617F5" w:rsidRDefault="001E205E" w:rsidP="009617F5">
      <w:pPr>
        <w:pStyle w:val="Zkladntext"/>
        <w:spacing w:before="120" w:line="288" w:lineRule="auto"/>
        <w:ind w:firstLine="709"/>
        <w:jc w:val="both"/>
        <w:rPr>
          <w:rFonts w:ascii="Arial" w:hAnsi="Arial" w:cs="Arial"/>
          <w:sz w:val="22"/>
          <w:szCs w:val="22"/>
          <w:highlight w:val="magenta"/>
        </w:rPr>
      </w:pPr>
      <w:r w:rsidRPr="001E205E">
        <w:rPr>
          <w:rFonts w:ascii="Arial" w:hAnsi="Arial" w:cs="Arial"/>
          <w:noProof/>
          <w:sz w:val="22"/>
          <w:szCs w:val="22"/>
          <w:lang w:eastAsia="cs-CZ"/>
        </w:rPr>
        <w:lastRenderedPageBreak/>
        <mc:AlternateContent>
          <mc:Choice Requires="wps">
            <w:drawing>
              <wp:anchor distT="45720" distB="45720" distL="114300" distR="114300" simplePos="0" relativeHeight="251856896" behindDoc="0" locked="0" layoutInCell="1" allowOverlap="1" wp14:anchorId="4092210B" wp14:editId="410A6F93">
                <wp:simplePos x="0" y="0"/>
                <wp:positionH relativeFrom="page">
                  <wp:posOffset>5151491</wp:posOffset>
                </wp:positionH>
                <wp:positionV relativeFrom="paragraph">
                  <wp:posOffset>8179534</wp:posOffset>
                </wp:positionV>
                <wp:extent cx="534389" cy="249382"/>
                <wp:effectExtent l="19050" t="19050" r="18415" b="17780"/>
                <wp:wrapNone/>
                <wp:docPr id="20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389" cy="249382"/>
                        </a:xfrm>
                        <a:prstGeom prst="rect">
                          <a:avLst/>
                        </a:prstGeom>
                        <a:solidFill>
                          <a:srgbClr val="FFFFFF"/>
                        </a:solidFill>
                        <a:ln w="38100">
                          <a:solidFill>
                            <a:srgbClr val="009999"/>
                          </a:solidFill>
                          <a:miter lim="800000"/>
                          <a:headEnd/>
                          <a:tailEnd/>
                        </a:ln>
                      </wps:spPr>
                      <wps:txbx>
                        <w:txbxContent>
                          <w:p w14:paraId="1A34E0AE" w14:textId="77777777" w:rsidR="007D43F6" w:rsidRPr="001E205E" w:rsidRDefault="007D43F6" w:rsidP="001E205E">
                            <w:pPr>
                              <w:rPr>
                                <w:rFonts w:ascii="Arial" w:hAnsi="Arial" w:cs="Arial"/>
                                <w:color w:val="009999"/>
                                <w:sz w:val="18"/>
                              </w:rPr>
                            </w:pPr>
                            <w:r>
                              <w:rPr>
                                <w:rFonts w:ascii="Arial" w:hAnsi="Arial" w:cs="Arial"/>
                                <w:color w:val="009999"/>
                                <w:sz w:val="18"/>
                              </w:rPr>
                              <w:t>1,856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92210B" id="_x0000_s1035" type="#_x0000_t202" style="position:absolute;left:0;text-align:left;margin-left:405.65pt;margin-top:644.05pt;width:42.1pt;height:19.65pt;z-index:25185689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" strokecolor="#099" strokeweight="3pt">
                <v:textbox>
                  <w:txbxContent>
                    <w:p w14:paraId="1A34E0AE" w14:textId="77777777" w:rsidR="007D43F6" w:rsidRPr="001E205E" w:rsidRDefault="007D43F6" w:rsidP="001E205E">
                      <w:pPr>
                        <w:rPr>
                          <w:rFonts w:ascii="Arial" w:hAnsi="Arial" w:cs="Arial"/>
                          <w:color w:val="009999"/>
                          <w:sz w:val="18"/>
                        </w:rPr>
                      </w:pPr>
                      <w:r>
                        <w:rPr>
                          <w:rFonts w:ascii="Arial" w:hAnsi="Arial" w:cs="Arial"/>
                          <w:color w:val="009999"/>
                          <w:sz w:val="18"/>
                        </w:rPr>
                        <w:t>1,856</w:t>
                      </w: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54848" behindDoc="0" locked="0" layoutInCell="1" allowOverlap="1" wp14:anchorId="4867264E" wp14:editId="38355840">
                <wp:simplePos x="0" y="0"/>
                <wp:positionH relativeFrom="page">
                  <wp:posOffset>4225431</wp:posOffset>
                </wp:positionH>
                <wp:positionV relativeFrom="paragraph">
                  <wp:posOffset>8179617</wp:posOffset>
                </wp:positionV>
                <wp:extent cx="534389" cy="249382"/>
                <wp:effectExtent l="19050" t="19050" r="18415" b="17780"/>
                <wp:wrapNone/>
                <wp:docPr id="20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389" cy="249382"/>
                        </a:xfrm>
                        <a:prstGeom prst="rect">
                          <a:avLst/>
                        </a:prstGeom>
                        <a:solidFill>
                          <a:srgbClr val="FFFFFF"/>
                        </a:solidFill>
                        <a:ln w="38100">
                          <a:solidFill>
                            <a:srgbClr val="009999"/>
                          </a:solidFill>
                          <a:miter lim="800000"/>
                          <a:headEnd/>
                          <a:tailEnd/>
                        </a:ln>
                      </wps:spPr>
                      <wps:txbx>
                        <w:txbxContent>
                          <w:p w14:paraId="778D73B5" w14:textId="77777777" w:rsidR="007D43F6" w:rsidRPr="001E205E" w:rsidRDefault="007D43F6" w:rsidP="001E205E">
                            <w:pPr>
                              <w:rPr>
                                <w:rFonts w:ascii="Arial" w:hAnsi="Arial" w:cs="Arial"/>
                                <w:color w:val="009999"/>
                                <w:sz w:val="18"/>
                              </w:rPr>
                            </w:pPr>
                            <w:r>
                              <w:rPr>
                                <w:rFonts w:ascii="Arial" w:hAnsi="Arial" w:cs="Arial"/>
                                <w:color w:val="009999"/>
                                <w:sz w:val="18"/>
                              </w:rPr>
                              <w:t>2,011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67264E" id="_x0000_s1036" type="#_x0000_t202" style="position:absolute;left:0;text-align:left;margin-left:332.7pt;margin-top:644.05pt;width:42.1pt;height:19.65pt;z-index:25185484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" strokecolor="#099" strokeweight="3pt">
                <v:textbox>
                  <w:txbxContent>
                    <w:p w14:paraId="778D73B5" w14:textId="77777777" w:rsidR="007D43F6" w:rsidRPr="001E205E" w:rsidRDefault="007D43F6" w:rsidP="001E205E">
                      <w:pPr>
                        <w:rPr>
                          <w:rFonts w:ascii="Arial" w:hAnsi="Arial" w:cs="Arial"/>
                          <w:color w:val="009999"/>
                          <w:sz w:val="18"/>
                        </w:rPr>
                      </w:pPr>
                      <w:r>
                        <w:rPr>
                          <w:rFonts w:ascii="Arial" w:hAnsi="Arial" w:cs="Arial"/>
                          <w:color w:val="009999"/>
                          <w:sz w:val="18"/>
                        </w:rPr>
                        <w:t>2,011</w:t>
                      </w: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52800" behindDoc="0" locked="0" layoutInCell="1" allowOverlap="1" wp14:anchorId="718767E3" wp14:editId="72A96B18">
                <wp:simplePos x="0" y="0"/>
                <wp:positionH relativeFrom="page">
                  <wp:posOffset>2968436</wp:posOffset>
                </wp:positionH>
                <wp:positionV relativeFrom="paragraph">
                  <wp:posOffset>8158290</wp:posOffset>
                </wp:positionV>
                <wp:extent cx="534389" cy="249382"/>
                <wp:effectExtent l="19050" t="19050" r="18415" b="17780"/>
                <wp:wrapNone/>
                <wp:docPr id="20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389" cy="249382"/>
                        </a:xfrm>
                        <a:prstGeom prst="rect">
                          <a:avLst/>
                        </a:prstGeom>
                        <a:solidFill>
                          <a:srgbClr val="FFFFFF"/>
                        </a:solidFill>
                        <a:ln w="38100">
                          <a:solidFill>
                            <a:srgbClr val="009999"/>
                          </a:solidFill>
                          <a:miter lim="800000"/>
                          <a:headEnd/>
                          <a:tailEnd/>
                        </a:ln>
                      </wps:spPr>
                      <wps:txbx>
                        <w:txbxContent>
                          <w:p w14:paraId="06F60F83" w14:textId="77777777" w:rsidR="007D43F6" w:rsidRPr="001E205E" w:rsidRDefault="007D43F6" w:rsidP="001E205E">
                            <w:pPr>
                              <w:rPr>
                                <w:rFonts w:ascii="Arial" w:hAnsi="Arial" w:cs="Arial"/>
                                <w:color w:val="009999"/>
                                <w:sz w:val="18"/>
                              </w:rPr>
                            </w:pPr>
                            <w:r>
                              <w:rPr>
                                <w:rFonts w:ascii="Arial" w:hAnsi="Arial" w:cs="Arial"/>
                                <w:color w:val="009999"/>
                                <w:sz w:val="18"/>
                              </w:rPr>
                              <w:t>3,867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8767E3" id="_x0000_s1037" type="#_x0000_t202" style="position:absolute;left:0;text-align:left;margin-left:233.75pt;margin-top:642.4pt;width:42.1pt;height:19.65pt;z-index:25185280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" strokecolor="#099" strokeweight="3pt">
                <v:textbox>
                  <w:txbxContent>
                    <w:p w14:paraId="06F60F83" w14:textId="77777777" w:rsidR="007D43F6" w:rsidRPr="001E205E" w:rsidRDefault="007D43F6" w:rsidP="001E205E">
                      <w:pPr>
                        <w:rPr>
                          <w:rFonts w:ascii="Arial" w:hAnsi="Arial" w:cs="Arial"/>
                          <w:color w:val="009999"/>
                          <w:sz w:val="18"/>
                        </w:rPr>
                      </w:pPr>
                      <w:r>
                        <w:rPr>
                          <w:rFonts w:ascii="Arial" w:hAnsi="Arial" w:cs="Arial"/>
                          <w:color w:val="009999"/>
                          <w:sz w:val="18"/>
                        </w:rPr>
                        <w:t>3,867</w:t>
                      </w:r>
                    </w:p>
                  </w:txbxContent>
                </v:textbox>
                <w10:wrap anchorx="page"/>
              </v:shape>
            </w:pict>
          </mc:Fallback>
        </mc:AlternateContent>
      </w:r>
      <w:r>
        <w:rPr>
          <w:rFonts w:ascii="Arial" w:hAnsi="Arial" w:cs="Arial"/>
          <w:noProof/>
          <w:lang w:eastAsia="cs-CZ"/>
        </w:rPr>
        <mc:AlternateContent>
          <mc:Choice Requires="wps">
            <w:drawing>
              <wp:anchor distT="0" distB="0" distL="114300" distR="114300" simplePos="0" relativeHeight="251850752" behindDoc="0" locked="0" layoutInCell="1" allowOverlap="1" wp14:anchorId="687E6CD4" wp14:editId="5521FD9F">
                <wp:simplePos x="0" y="0"/>
                <wp:positionH relativeFrom="margin">
                  <wp:posOffset>212692</wp:posOffset>
                </wp:positionH>
                <wp:positionV relativeFrom="paragraph">
                  <wp:posOffset>7267698</wp:posOffset>
                </wp:positionV>
                <wp:extent cx="4476997" cy="540748"/>
                <wp:effectExtent l="19050" t="19050" r="19050" b="31115"/>
                <wp:wrapNone/>
                <wp:docPr id="204" name="Přímá spojnice 204"/>
                <wp:cNvGraphicFramePr/>
                <a:graphic xmlns:a="http://schemas.openxmlformats.org/drawingml/2006/main">
                  <a:graphicData uri="http://schemas.microsoft.com/office/word/2010/wordprocessingShape">
                    <wps:wsp>
                      <wps:cNvCnPr/>
                      <wps:spPr>
                        <a:xfrm flipV="1">
                          <a:off x="0" y="0"/>
                          <a:ext cx="4476997" cy="540748"/>
                        </a:xfrm>
                        <a:prstGeom prst="line">
                          <a:avLst/>
                        </a:prstGeom>
                        <a:ln w="38100">
                          <a:solidFill>
                            <a:srgbClr val="18B8B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03B6DF" id="Přímá spojnice 204" o:spid="_x0000_s1026" style="position:absolute;flip:y;z-index:251850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6.75pt,572.25pt" to="369.25pt,6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" strokecolor="#18b8b0" strokeweight="3pt">
                <v:stroke joinstyle="miter"/>
                <w10:wrap anchorx="margin"/>
              </v:line>
            </w:pict>
          </mc:Fallback>
        </mc:AlternateContent>
      </w:r>
      <w:r>
        <w:rPr>
          <w:rFonts w:ascii="Arial" w:hAnsi="Arial" w:cs="Arial"/>
          <w:noProof/>
          <w:lang w:eastAsia="cs-CZ"/>
        </w:rPr>
        <mc:AlternateContent>
          <mc:Choice Requires="wps">
            <w:drawing>
              <wp:anchor distT="0" distB="0" distL="114300" distR="114300" simplePos="0" relativeHeight="251848704" behindDoc="0" locked="0" layoutInCell="1" allowOverlap="1" wp14:anchorId="140B993A" wp14:editId="1C01FF18">
                <wp:simplePos x="0" y="0"/>
                <wp:positionH relativeFrom="margin">
                  <wp:posOffset>248318</wp:posOffset>
                </wp:positionH>
                <wp:positionV relativeFrom="paragraph">
                  <wp:posOffset>6103916</wp:posOffset>
                </wp:positionV>
                <wp:extent cx="4465064" cy="802450"/>
                <wp:effectExtent l="19050" t="19050" r="31115" b="36195"/>
                <wp:wrapNone/>
                <wp:docPr id="203" name="Přímá spojnice 203"/>
                <wp:cNvGraphicFramePr/>
                <a:graphic xmlns:a="http://schemas.openxmlformats.org/drawingml/2006/main">
                  <a:graphicData uri="http://schemas.microsoft.com/office/word/2010/wordprocessingShape">
                    <wps:wsp>
                      <wps:cNvCnPr/>
                      <wps:spPr>
                        <a:xfrm flipV="1">
                          <a:off x="0" y="0"/>
                          <a:ext cx="4465064" cy="802450"/>
                        </a:xfrm>
                        <a:prstGeom prst="line">
                          <a:avLst/>
                        </a:prstGeom>
                        <a:ln w="38100">
                          <a:solidFill>
                            <a:srgbClr val="18B8B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15C124" id="Přímá spojnice 203" o:spid="_x0000_s1026" style="position:absolute;flip:y;z-index:251848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9.55pt,480.6pt" to="371.15pt,54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" strokecolor="#18b8b0" strokeweight="3pt">
                <v:stroke joinstyle="miter"/>
                <w10:wrap anchorx="margin"/>
              </v:line>
            </w:pict>
          </mc:Fallback>
        </mc:AlternateContent>
      </w:r>
      <w:r>
        <w:rPr>
          <w:rFonts w:ascii="Arial" w:hAnsi="Arial" w:cs="Arial"/>
          <w:noProof/>
          <w:lang w:eastAsia="cs-CZ"/>
        </w:rPr>
        <mc:AlternateContent>
          <mc:Choice Requires="wps">
            <w:drawing>
              <wp:anchor distT="0" distB="0" distL="114300" distR="114300" simplePos="0" relativeHeight="251846656" behindDoc="0" locked="0" layoutInCell="1" allowOverlap="1" wp14:anchorId="13A3F7F7" wp14:editId="146C73B5">
                <wp:simplePos x="0" y="0"/>
                <wp:positionH relativeFrom="column">
                  <wp:posOffset>224567</wp:posOffset>
                </wp:positionH>
                <wp:positionV relativeFrom="paragraph">
                  <wp:posOffset>6092043</wp:posOffset>
                </wp:positionV>
                <wp:extent cx="4488815" cy="830340"/>
                <wp:effectExtent l="19050" t="19050" r="45085" b="46355"/>
                <wp:wrapNone/>
                <wp:docPr id="202" name="Obdélník 202"/>
                <wp:cNvGraphicFramePr/>
                <a:graphic xmlns:a="http://schemas.openxmlformats.org/drawingml/2006/main">
                  <a:graphicData uri="http://schemas.microsoft.com/office/word/2010/wordprocessingShape">
                    <wps:wsp>
                      <wps:cNvSpPr/>
                      <wps:spPr>
                        <a:xfrm>
                          <a:off x="0" y="0"/>
                          <a:ext cx="4488815" cy="830340"/>
                        </a:xfrm>
                        <a:prstGeom prst="rect">
                          <a:avLst/>
                        </a:prstGeom>
                        <a:noFill/>
                        <a:ln w="5715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1B7618" id="Obdélník 202" o:spid="_x0000_s1026" style="position:absolute;margin-left:17.7pt;margin-top:479.7pt;width:353.45pt;height:65.4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" filled="f" strokecolor="#18b8b0" strokeweight="4.5pt"/>
            </w:pict>
          </mc:Fallback>
        </mc:AlternateContent>
      </w:r>
      <w:r>
        <w:rPr>
          <w:rFonts w:ascii="Arial" w:hAnsi="Arial" w:cs="Arial"/>
          <w:noProof/>
          <w:lang w:eastAsia="cs-CZ"/>
        </w:rPr>
        <mc:AlternateContent>
          <mc:Choice Requires="wps">
            <w:drawing>
              <wp:anchor distT="0" distB="0" distL="114300" distR="114300" simplePos="0" relativeHeight="251844608" behindDoc="0" locked="0" layoutInCell="1" allowOverlap="1" wp14:anchorId="1F9FAA57" wp14:editId="4B569F4D">
                <wp:simplePos x="0" y="0"/>
                <wp:positionH relativeFrom="column">
                  <wp:posOffset>224567</wp:posOffset>
                </wp:positionH>
                <wp:positionV relativeFrom="paragraph">
                  <wp:posOffset>7255824</wp:posOffset>
                </wp:positionV>
                <wp:extent cx="4488815" cy="570016"/>
                <wp:effectExtent l="19050" t="19050" r="45085" b="40005"/>
                <wp:wrapNone/>
                <wp:docPr id="201" name="Obdélník 201"/>
                <wp:cNvGraphicFramePr/>
                <a:graphic xmlns:a="http://schemas.openxmlformats.org/drawingml/2006/main">
                  <a:graphicData uri="http://schemas.microsoft.com/office/word/2010/wordprocessingShape">
                    <wps:wsp>
                      <wps:cNvSpPr/>
                      <wps:spPr>
                        <a:xfrm>
                          <a:off x="0" y="0"/>
                          <a:ext cx="4488815" cy="570016"/>
                        </a:xfrm>
                        <a:prstGeom prst="rect">
                          <a:avLst/>
                        </a:prstGeom>
                        <a:noFill/>
                        <a:ln w="5715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AB843D" id="Obdélník 201" o:spid="_x0000_s1026" style="position:absolute;margin-left:17.7pt;margin-top:571.3pt;width:353.45pt;height:44.9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" filled="f" strokecolor="#18b8b0" strokeweight="4.5pt"/>
            </w:pict>
          </mc:Fallback>
        </mc:AlternateContent>
      </w:r>
      <w:r w:rsidR="009617F5" w:rsidRPr="009617F5">
        <w:rPr>
          <w:rFonts w:ascii="Arial" w:hAnsi="Arial" w:cs="Arial"/>
          <w:noProof/>
          <w:lang w:eastAsia="cs-CZ"/>
        </w:rPr>
        <w:drawing>
          <wp:anchor distT="0" distB="0" distL="114300" distR="114300" simplePos="0" relativeHeight="251782144" behindDoc="0" locked="0" layoutInCell="1" allowOverlap="1" wp14:anchorId="552A22B1" wp14:editId="4C81B259">
            <wp:simplePos x="0" y="0"/>
            <wp:positionH relativeFrom="margin">
              <wp:align>left</wp:align>
            </wp:positionH>
            <wp:positionV relativeFrom="margin">
              <wp:align>top</wp:align>
            </wp:positionV>
            <wp:extent cx="4967605" cy="8510270"/>
            <wp:effectExtent l="0" t="0" r="4445" b="5080"/>
            <wp:wrapSquare wrapText="bothSides"/>
            <wp:docPr id="10590" name="Obrázek 10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4967605" cy="8510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63EB45" w14:textId="77777777" w:rsidR="009617F5" w:rsidRPr="009617F5" w:rsidRDefault="009617F5" w:rsidP="009617F5">
      <w:pPr>
        <w:pStyle w:val="Zkladntext"/>
        <w:spacing w:before="120" w:line="288" w:lineRule="auto"/>
        <w:ind w:firstLine="709"/>
        <w:jc w:val="both"/>
        <w:rPr>
          <w:rFonts w:ascii="Arial" w:hAnsi="Arial" w:cs="Arial"/>
          <w:sz w:val="22"/>
          <w:szCs w:val="22"/>
        </w:rPr>
      </w:pPr>
      <w:r w:rsidRPr="009617F5">
        <w:rPr>
          <w:rFonts w:ascii="Arial" w:hAnsi="Arial" w:cs="Arial"/>
          <w:noProof/>
          <w:sz w:val="22"/>
          <w:szCs w:val="22"/>
          <w:lang w:eastAsia="cs-CZ"/>
        </w:rPr>
        <w:lastRenderedPageBreak/>
        <w:drawing>
          <wp:anchor distT="0" distB="0" distL="114300" distR="114300" simplePos="0" relativeHeight="251785216" behindDoc="0" locked="0" layoutInCell="1" allowOverlap="1" wp14:anchorId="26A3D634" wp14:editId="765D4282">
            <wp:simplePos x="0" y="0"/>
            <wp:positionH relativeFrom="margin">
              <wp:posOffset>-88900</wp:posOffset>
            </wp:positionH>
            <wp:positionV relativeFrom="margin">
              <wp:posOffset>63500</wp:posOffset>
            </wp:positionV>
            <wp:extent cx="5780405" cy="8387080"/>
            <wp:effectExtent l="0" t="0" r="0" b="0"/>
            <wp:wrapSquare wrapText="bothSides"/>
            <wp:docPr id="10589" name="Obrázek 10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5780405" cy="83870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456365" w14:textId="77777777" w:rsidR="009617F5" w:rsidRPr="009617F5" w:rsidRDefault="001E205E" w:rsidP="009617F5">
      <w:pPr>
        <w:pStyle w:val="Zkladntext"/>
        <w:spacing w:before="120" w:line="288" w:lineRule="auto"/>
        <w:ind w:firstLine="709"/>
        <w:jc w:val="both"/>
        <w:rPr>
          <w:rFonts w:ascii="Arial" w:hAnsi="Arial" w:cs="Arial"/>
          <w:sz w:val="22"/>
          <w:szCs w:val="22"/>
        </w:rPr>
      </w:pPr>
      <w:r w:rsidRPr="001E205E">
        <w:rPr>
          <w:rFonts w:ascii="Arial" w:hAnsi="Arial" w:cs="Arial"/>
          <w:noProof/>
          <w:sz w:val="22"/>
          <w:szCs w:val="22"/>
          <w:lang w:eastAsia="cs-CZ"/>
        </w:rPr>
        <w:lastRenderedPageBreak/>
        <mc:AlternateContent>
          <mc:Choice Requires="wps">
            <w:drawing>
              <wp:anchor distT="45720" distB="45720" distL="114300" distR="114300" simplePos="0" relativeHeight="251860992" behindDoc="0" locked="0" layoutInCell="1" allowOverlap="1" wp14:anchorId="72CD6936" wp14:editId="4D4A43B6">
                <wp:simplePos x="0" y="0"/>
                <wp:positionH relativeFrom="page">
                  <wp:posOffset>5450840</wp:posOffset>
                </wp:positionH>
                <wp:positionV relativeFrom="paragraph">
                  <wp:posOffset>8136890</wp:posOffset>
                </wp:positionV>
                <wp:extent cx="521970" cy="367665"/>
                <wp:effectExtent l="19050" t="19050" r="11430" b="13335"/>
                <wp:wrapNone/>
                <wp:docPr id="21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 cy="367665"/>
                        </a:xfrm>
                        <a:prstGeom prst="rect">
                          <a:avLst/>
                        </a:prstGeom>
                        <a:solidFill>
                          <a:srgbClr val="FFFFFF"/>
                        </a:solidFill>
                        <a:ln w="38100">
                          <a:solidFill>
                            <a:srgbClr val="009999"/>
                          </a:solidFill>
                          <a:miter lim="800000"/>
                          <a:headEnd/>
                          <a:tailEnd/>
                        </a:ln>
                      </wps:spPr>
                      <wps:txbx>
                        <w:txbxContent>
                          <w:p w14:paraId="14941BA2" w14:textId="77777777" w:rsidR="007D43F6" w:rsidRPr="00F050E6" w:rsidRDefault="007D43F6" w:rsidP="001E205E">
                            <w:pPr>
                              <w:rPr>
                                <w:rFonts w:ascii="Arial" w:hAnsi="Arial" w:cs="Arial"/>
                                <w:color w:val="009999"/>
                                <w:sz w:val="18"/>
                              </w:rPr>
                            </w:pPr>
                            <w:r w:rsidRPr="00F050E6">
                              <w:rPr>
                                <w:rFonts w:ascii="Arial" w:hAnsi="Arial" w:cs="Arial"/>
                                <w:color w:val="009999"/>
                                <w:sz w:val="18"/>
                              </w:rPr>
                              <w:t>0</w:t>
                            </w:r>
                          </w:p>
                          <w:p w14:paraId="10F4DC96" w14:textId="77777777" w:rsidR="007D43F6" w:rsidRPr="00F050E6" w:rsidRDefault="007D43F6" w:rsidP="001E205E">
                            <w:pPr>
                              <w:rPr>
                                <w:rFonts w:ascii="Arial" w:hAnsi="Arial" w:cs="Arial"/>
                                <w:color w:val="009999"/>
                                <w:sz w:val="18"/>
                              </w:rPr>
                            </w:pPr>
                            <w:r>
                              <w:rPr>
                                <w:rFonts w:ascii="Arial" w:hAnsi="Arial" w:cs="Arial"/>
                                <w:color w:val="009999"/>
                                <w:sz w:val="18"/>
                              </w:rPr>
                              <w:t>0,267</w:t>
                            </w:r>
                          </w:p>
                          <w:p w14:paraId="1CBF2BF4"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CD6936" id="_x0000_s1038" type="#_x0000_t202" style="position:absolute;left:0;text-align:left;margin-left:429.2pt;margin-top:640.7pt;width:41.1pt;height:28.95pt;z-index:25186099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" strokecolor="#099" strokeweight="3pt">
                <v:textbox>
                  <w:txbxContent>
                    <w:p w14:paraId="14941BA2" w14:textId="77777777" w:rsidR="007D43F6" w:rsidRPr="00F050E6" w:rsidRDefault="007D43F6" w:rsidP="001E205E">
                      <w:pPr>
                        <w:rPr>
                          <w:rFonts w:ascii="Arial" w:hAnsi="Arial" w:cs="Arial"/>
                          <w:color w:val="009999"/>
                          <w:sz w:val="18"/>
                        </w:rPr>
                      </w:pPr>
                      <w:r w:rsidRPr="00F050E6">
                        <w:rPr>
                          <w:rFonts w:ascii="Arial" w:hAnsi="Arial" w:cs="Arial"/>
                          <w:color w:val="009999"/>
                          <w:sz w:val="18"/>
                        </w:rPr>
                        <w:t>0</w:t>
                      </w:r>
                    </w:p>
                    <w:p w14:paraId="10F4DC96" w14:textId="77777777" w:rsidR="007D43F6" w:rsidRPr="00F050E6" w:rsidRDefault="007D43F6" w:rsidP="001E205E">
                      <w:pPr>
                        <w:rPr>
                          <w:rFonts w:ascii="Arial" w:hAnsi="Arial" w:cs="Arial"/>
                          <w:color w:val="009999"/>
                          <w:sz w:val="18"/>
                        </w:rPr>
                      </w:pPr>
                      <w:r>
                        <w:rPr>
                          <w:rFonts w:ascii="Arial" w:hAnsi="Arial" w:cs="Arial"/>
                          <w:color w:val="009999"/>
                          <w:sz w:val="18"/>
                        </w:rPr>
                        <w:t>0,267</w:t>
                      </w:r>
                    </w:p>
                    <w:p w14:paraId="1CBF2BF4" w14:textId="77777777" w:rsidR="007D43F6" w:rsidRPr="00F050E6" w:rsidRDefault="007D43F6" w:rsidP="001E205E">
                      <w:pPr>
                        <w:rPr>
                          <w:color w:val="009999"/>
                        </w:rPr>
                      </w:pP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59968" behindDoc="0" locked="0" layoutInCell="1" allowOverlap="1" wp14:anchorId="35148A24" wp14:editId="70044591">
                <wp:simplePos x="0" y="0"/>
                <wp:positionH relativeFrom="page">
                  <wp:posOffset>4785360</wp:posOffset>
                </wp:positionH>
                <wp:positionV relativeFrom="paragraph">
                  <wp:posOffset>8148955</wp:posOffset>
                </wp:positionV>
                <wp:extent cx="521970" cy="367665"/>
                <wp:effectExtent l="19050" t="19050" r="11430" b="13335"/>
                <wp:wrapNone/>
                <wp:docPr id="209"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 cy="367665"/>
                        </a:xfrm>
                        <a:prstGeom prst="rect">
                          <a:avLst/>
                        </a:prstGeom>
                        <a:solidFill>
                          <a:srgbClr val="FFFFFF"/>
                        </a:solidFill>
                        <a:ln w="38100">
                          <a:solidFill>
                            <a:srgbClr val="009999"/>
                          </a:solidFill>
                          <a:miter lim="800000"/>
                          <a:headEnd/>
                          <a:tailEnd/>
                        </a:ln>
                      </wps:spPr>
                      <wps:txbx>
                        <w:txbxContent>
                          <w:p w14:paraId="18174E5B" w14:textId="77777777" w:rsidR="007D43F6" w:rsidRPr="00F050E6" w:rsidRDefault="007D43F6" w:rsidP="001E205E">
                            <w:pPr>
                              <w:rPr>
                                <w:rFonts w:ascii="Arial" w:hAnsi="Arial" w:cs="Arial"/>
                                <w:color w:val="009999"/>
                                <w:sz w:val="18"/>
                              </w:rPr>
                            </w:pPr>
                            <w:r w:rsidRPr="00F050E6">
                              <w:rPr>
                                <w:rFonts w:ascii="Arial" w:hAnsi="Arial" w:cs="Arial"/>
                                <w:color w:val="009999"/>
                                <w:sz w:val="18"/>
                              </w:rPr>
                              <w:t>0</w:t>
                            </w:r>
                          </w:p>
                          <w:p w14:paraId="5125AE2F" w14:textId="77777777" w:rsidR="007D43F6" w:rsidRPr="00F050E6" w:rsidRDefault="007D43F6" w:rsidP="001E205E">
                            <w:pPr>
                              <w:rPr>
                                <w:rFonts w:ascii="Arial" w:hAnsi="Arial" w:cs="Arial"/>
                                <w:color w:val="009999"/>
                                <w:sz w:val="18"/>
                              </w:rPr>
                            </w:pPr>
                            <w:r>
                              <w:rPr>
                                <w:rFonts w:ascii="Arial" w:hAnsi="Arial" w:cs="Arial"/>
                                <w:color w:val="009999"/>
                                <w:sz w:val="18"/>
                              </w:rPr>
                              <w:t>5,444</w:t>
                            </w:r>
                          </w:p>
                          <w:p w14:paraId="2D981299"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148A24" id="_x0000_s1039" type="#_x0000_t202" style="position:absolute;left:0;text-align:left;margin-left:376.8pt;margin-top:641.65pt;width:41.1pt;height:28.95pt;z-index:25185996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" strokecolor="#099" strokeweight="3pt">
                <v:textbox>
                  <w:txbxContent>
                    <w:p w14:paraId="18174E5B" w14:textId="77777777" w:rsidR="007D43F6" w:rsidRPr="00F050E6" w:rsidRDefault="007D43F6" w:rsidP="001E205E">
                      <w:pPr>
                        <w:rPr>
                          <w:rFonts w:ascii="Arial" w:hAnsi="Arial" w:cs="Arial"/>
                          <w:color w:val="009999"/>
                          <w:sz w:val="18"/>
                        </w:rPr>
                      </w:pPr>
                      <w:r w:rsidRPr="00F050E6">
                        <w:rPr>
                          <w:rFonts w:ascii="Arial" w:hAnsi="Arial" w:cs="Arial"/>
                          <w:color w:val="009999"/>
                          <w:sz w:val="18"/>
                        </w:rPr>
                        <w:t>0</w:t>
                      </w:r>
                    </w:p>
                    <w:p w14:paraId="5125AE2F" w14:textId="77777777" w:rsidR="007D43F6" w:rsidRPr="00F050E6" w:rsidRDefault="007D43F6" w:rsidP="001E205E">
                      <w:pPr>
                        <w:rPr>
                          <w:rFonts w:ascii="Arial" w:hAnsi="Arial" w:cs="Arial"/>
                          <w:color w:val="009999"/>
                          <w:sz w:val="18"/>
                        </w:rPr>
                      </w:pPr>
                      <w:r>
                        <w:rPr>
                          <w:rFonts w:ascii="Arial" w:hAnsi="Arial" w:cs="Arial"/>
                          <w:color w:val="009999"/>
                          <w:sz w:val="18"/>
                        </w:rPr>
                        <w:t>5,444</w:t>
                      </w:r>
                    </w:p>
                    <w:p w14:paraId="2D981299" w14:textId="77777777" w:rsidR="007D43F6" w:rsidRPr="00F050E6" w:rsidRDefault="007D43F6" w:rsidP="001E205E">
                      <w:pPr>
                        <w:rPr>
                          <w:color w:val="009999"/>
                        </w:rPr>
                      </w:pP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58944" behindDoc="0" locked="0" layoutInCell="1" allowOverlap="1" wp14:anchorId="6EEDB83F" wp14:editId="30C22A5F">
                <wp:simplePos x="0" y="0"/>
                <wp:positionH relativeFrom="page">
                  <wp:posOffset>4157428</wp:posOffset>
                </wp:positionH>
                <wp:positionV relativeFrom="paragraph">
                  <wp:posOffset>8162892</wp:posOffset>
                </wp:positionV>
                <wp:extent cx="522514" cy="368135"/>
                <wp:effectExtent l="19050" t="19050" r="11430" b="13335"/>
                <wp:wrapNone/>
                <wp:docPr id="20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514" cy="368135"/>
                        </a:xfrm>
                        <a:prstGeom prst="rect">
                          <a:avLst/>
                        </a:prstGeom>
                        <a:solidFill>
                          <a:srgbClr val="FFFFFF"/>
                        </a:solidFill>
                        <a:ln w="38100">
                          <a:solidFill>
                            <a:srgbClr val="009999"/>
                          </a:solidFill>
                          <a:miter lim="800000"/>
                          <a:headEnd/>
                          <a:tailEnd/>
                        </a:ln>
                      </wps:spPr>
                      <wps:txbx>
                        <w:txbxContent>
                          <w:p w14:paraId="442E86BD" w14:textId="77777777" w:rsidR="007D43F6" w:rsidRPr="00F050E6" w:rsidRDefault="007D43F6" w:rsidP="001E205E">
                            <w:pPr>
                              <w:rPr>
                                <w:rFonts w:ascii="Arial" w:hAnsi="Arial" w:cs="Arial"/>
                                <w:color w:val="009999"/>
                                <w:sz w:val="18"/>
                              </w:rPr>
                            </w:pPr>
                            <w:r w:rsidRPr="00F050E6">
                              <w:rPr>
                                <w:rFonts w:ascii="Arial" w:hAnsi="Arial" w:cs="Arial"/>
                                <w:color w:val="009999"/>
                                <w:sz w:val="18"/>
                              </w:rPr>
                              <w:t>0</w:t>
                            </w:r>
                          </w:p>
                          <w:p w14:paraId="47F3CBAA" w14:textId="77777777" w:rsidR="007D43F6" w:rsidRPr="00F050E6" w:rsidRDefault="007D43F6" w:rsidP="001E205E">
                            <w:pPr>
                              <w:rPr>
                                <w:rFonts w:ascii="Arial" w:hAnsi="Arial" w:cs="Arial"/>
                                <w:color w:val="009999"/>
                                <w:sz w:val="18"/>
                              </w:rPr>
                            </w:pPr>
                            <w:r w:rsidRPr="00F050E6">
                              <w:rPr>
                                <w:rFonts w:ascii="Arial" w:hAnsi="Arial" w:cs="Arial"/>
                                <w:color w:val="009999"/>
                                <w:sz w:val="18"/>
                              </w:rPr>
                              <w:t>5,711</w:t>
                            </w:r>
                          </w:p>
                          <w:p w14:paraId="6ED90BC7"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EDB83F" id="_x0000_s1040" type="#_x0000_t202" style="position:absolute;left:0;text-align:left;margin-left:327.35pt;margin-top:642.75pt;width:41.15pt;height:29pt;z-index:25185894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" strokecolor="#099" strokeweight="3pt">
                <v:textbox>
                  <w:txbxContent>
                    <w:p w14:paraId="442E86BD" w14:textId="77777777" w:rsidR="007D43F6" w:rsidRPr="00F050E6" w:rsidRDefault="007D43F6" w:rsidP="001E205E">
                      <w:pPr>
                        <w:rPr>
                          <w:rFonts w:ascii="Arial" w:hAnsi="Arial" w:cs="Arial"/>
                          <w:color w:val="009999"/>
                          <w:sz w:val="18"/>
                        </w:rPr>
                      </w:pPr>
                      <w:r w:rsidRPr="00F050E6">
                        <w:rPr>
                          <w:rFonts w:ascii="Arial" w:hAnsi="Arial" w:cs="Arial"/>
                          <w:color w:val="009999"/>
                          <w:sz w:val="18"/>
                        </w:rPr>
                        <w:t>0</w:t>
                      </w:r>
                    </w:p>
                    <w:p w14:paraId="47F3CBAA" w14:textId="77777777" w:rsidR="007D43F6" w:rsidRPr="00F050E6" w:rsidRDefault="007D43F6" w:rsidP="001E205E">
                      <w:pPr>
                        <w:rPr>
                          <w:rFonts w:ascii="Arial" w:hAnsi="Arial" w:cs="Arial"/>
                          <w:color w:val="009999"/>
                          <w:sz w:val="18"/>
                        </w:rPr>
                      </w:pPr>
                      <w:r w:rsidRPr="00F050E6">
                        <w:rPr>
                          <w:rFonts w:ascii="Arial" w:hAnsi="Arial" w:cs="Arial"/>
                          <w:color w:val="009999"/>
                          <w:sz w:val="18"/>
                        </w:rPr>
                        <w:t>5,711</w:t>
                      </w:r>
                    </w:p>
                    <w:p w14:paraId="6ED90BC7" w14:textId="77777777" w:rsidR="007D43F6" w:rsidRPr="00F050E6" w:rsidRDefault="007D43F6" w:rsidP="001E205E">
                      <w:pPr>
                        <w:rPr>
                          <w:color w:val="009999"/>
                        </w:rPr>
                      </w:pPr>
                    </w:p>
                  </w:txbxContent>
                </v:textbox>
                <w10:wrap anchorx="page"/>
              </v:shape>
            </w:pict>
          </mc:Fallback>
        </mc:AlternateContent>
      </w:r>
      <w:r w:rsidR="00AA568B">
        <w:rPr>
          <w:rFonts w:ascii="Arial" w:hAnsi="Arial" w:cs="Arial"/>
          <w:noProof/>
          <w:lang w:eastAsia="cs-CZ"/>
        </w:rPr>
        <mc:AlternateContent>
          <mc:Choice Requires="wps">
            <w:drawing>
              <wp:anchor distT="0" distB="0" distL="114300" distR="114300" simplePos="0" relativeHeight="251823104" behindDoc="0" locked="0" layoutInCell="1" allowOverlap="1" wp14:anchorId="23E03E21" wp14:editId="6CBC33A1">
                <wp:simplePos x="0" y="0"/>
                <wp:positionH relativeFrom="column">
                  <wp:posOffset>202019</wp:posOffset>
                </wp:positionH>
                <wp:positionV relativeFrom="paragraph">
                  <wp:posOffset>6961269</wp:posOffset>
                </wp:positionV>
                <wp:extent cx="5305425" cy="1019175"/>
                <wp:effectExtent l="19050" t="19050" r="28575" b="28575"/>
                <wp:wrapNone/>
                <wp:docPr id="24019" name="Přímá spojnice 24019"/>
                <wp:cNvGraphicFramePr/>
                <a:graphic xmlns:a="http://schemas.openxmlformats.org/drawingml/2006/main">
                  <a:graphicData uri="http://schemas.microsoft.com/office/word/2010/wordprocessingShape">
                    <wps:wsp>
                      <wps:cNvCnPr/>
                      <wps:spPr>
                        <a:xfrm flipV="1">
                          <a:off x="0" y="0"/>
                          <a:ext cx="5305425" cy="1019175"/>
                        </a:xfrm>
                        <a:prstGeom prst="line">
                          <a:avLst/>
                        </a:prstGeom>
                        <a:ln w="38100">
                          <a:solidFill>
                            <a:srgbClr val="18B8B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B520AC9" id="Přímá spojnice 24019" o:spid="_x0000_s1026" style="position:absolute;flip:y;z-index:251823104;visibility:visible;mso-wrap-style:square;mso-wrap-distance-left:9pt;mso-wrap-distance-top:0;mso-wrap-distance-right:9pt;mso-wrap-distance-bottom:0;mso-position-horizontal:absolute;mso-position-horizontal-relative:text;mso-position-vertical:absolute;mso-position-vertical-relative:text" from="15.9pt,548.15pt" to="433.65pt,6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" strokecolor="#18b8b0" strokeweight="3pt">
                <v:stroke joinstyle="miter"/>
              </v:line>
            </w:pict>
          </mc:Fallback>
        </mc:AlternateContent>
      </w:r>
      <w:r w:rsidR="00AA568B">
        <w:rPr>
          <w:rFonts w:ascii="Arial" w:hAnsi="Arial" w:cs="Arial"/>
          <w:noProof/>
          <w:lang w:eastAsia="cs-CZ"/>
        </w:rPr>
        <mc:AlternateContent>
          <mc:Choice Requires="wps">
            <w:drawing>
              <wp:anchor distT="0" distB="0" distL="114300" distR="114300" simplePos="0" relativeHeight="251821056" behindDoc="0" locked="0" layoutInCell="1" allowOverlap="1" wp14:anchorId="0B1597CF" wp14:editId="566D9E77">
                <wp:simplePos x="0" y="0"/>
                <wp:positionH relativeFrom="margin">
                  <wp:align>right</wp:align>
                </wp:positionH>
                <wp:positionV relativeFrom="paragraph">
                  <wp:posOffset>6964326</wp:posOffset>
                </wp:positionV>
                <wp:extent cx="5252484" cy="1019175"/>
                <wp:effectExtent l="19050" t="19050" r="43815" b="47625"/>
                <wp:wrapNone/>
                <wp:docPr id="24018" name="Obdélník 24018"/>
                <wp:cNvGraphicFramePr/>
                <a:graphic xmlns:a="http://schemas.openxmlformats.org/drawingml/2006/main">
                  <a:graphicData uri="http://schemas.microsoft.com/office/word/2010/wordprocessingShape">
                    <wps:wsp>
                      <wps:cNvSpPr/>
                      <wps:spPr>
                        <a:xfrm>
                          <a:off x="0" y="0"/>
                          <a:ext cx="5252484" cy="1019175"/>
                        </a:xfrm>
                        <a:prstGeom prst="rect">
                          <a:avLst/>
                        </a:prstGeom>
                        <a:noFill/>
                        <a:ln w="5715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1FB5EA" id="Obdélník 24018" o:spid="_x0000_s1026" style="position:absolute;margin-left:362.4pt;margin-top:548.35pt;width:413.6pt;height:80.25pt;z-index:2518210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" filled="f" strokecolor="#18b8b0" strokeweight="4.5pt">
                <w10:wrap anchorx="margin"/>
              </v:rect>
            </w:pict>
          </mc:Fallback>
        </mc:AlternateContent>
      </w:r>
      <w:r w:rsidR="009617F5" w:rsidRPr="009617F5">
        <w:rPr>
          <w:rFonts w:ascii="Arial" w:hAnsi="Arial" w:cs="Arial"/>
          <w:noProof/>
          <w:sz w:val="22"/>
          <w:szCs w:val="22"/>
          <w:lang w:eastAsia="cs-CZ"/>
        </w:rPr>
        <w:drawing>
          <wp:anchor distT="0" distB="0" distL="114300" distR="114300" simplePos="0" relativeHeight="251786240" behindDoc="0" locked="0" layoutInCell="1" allowOverlap="1" wp14:anchorId="466512E6" wp14:editId="2E92C8F6">
            <wp:simplePos x="0" y="0"/>
            <wp:positionH relativeFrom="margin">
              <wp:posOffset>152400</wp:posOffset>
            </wp:positionH>
            <wp:positionV relativeFrom="margin">
              <wp:posOffset>152400</wp:posOffset>
            </wp:positionV>
            <wp:extent cx="5435600" cy="8420100"/>
            <wp:effectExtent l="0" t="0" r="0" b="0"/>
            <wp:wrapSquare wrapText="bothSides"/>
            <wp:docPr id="10588" name="Obrázek 10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435600" cy="842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0315C6" w14:textId="77777777" w:rsidR="009617F5" w:rsidRPr="009617F5" w:rsidRDefault="001E205E" w:rsidP="009617F5">
      <w:pPr>
        <w:pStyle w:val="Zkladntext"/>
        <w:spacing w:before="120" w:line="288" w:lineRule="auto"/>
        <w:ind w:firstLine="709"/>
        <w:jc w:val="both"/>
        <w:rPr>
          <w:rFonts w:ascii="Arial" w:hAnsi="Arial" w:cs="Arial"/>
          <w:sz w:val="22"/>
          <w:szCs w:val="22"/>
          <w:highlight w:val="magenta"/>
        </w:rPr>
      </w:pPr>
      <w:r w:rsidRPr="001E205E">
        <w:rPr>
          <w:rFonts w:ascii="Arial" w:hAnsi="Arial" w:cs="Arial"/>
          <w:noProof/>
          <w:sz w:val="22"/>
          <w:szCs w:val="22"/>
          <w:lang w:eastAsia="cs-CZ"/>
        </w:rPr>
        <w:lastRenderedPageBreak/>
        <mc:AlternateContent>
          <mc:Choice Requires="wps">
            <w:drawing>
              <wp:anchor distT="45720" distB="45720" distL="114300" distR="114300" simplePos="0" relativeHeight="251863040" behindDoc="0" locked="0" layoutInCell="1" allowOverlap="1" wp14:anchorId="5034632D" wp14:editId="04CD9F13">
                <wp:simplePos x="0" y="0"/>
                <wp:positionH relativeFrom="page">
                  <wp:posOffset>4050030</wp:posOffset>
                </wp:positionH>
                <wp:positionV relativeFrom="paragraph">
                  <wp:posOffset>7735570</wp:posOffset>
                </wp:positionV>
                <wp:extent cx="605155" cy="367665"/>
                <wp:effectExtent l="19050" t="19050" r="23495" b="13335"/>
                <wp:wrapNone/>
                <wp:docPr id="21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367665"/>
                        </a:xfrm>
                        <a:prstGeom prst="rect">
                          <a:avLst/>
                        </a:prstGeom>
                        <a:solidFill>
                          <a:srgbClr val="FFFFFF"/>
                        </a:solidFill>
                        <a:ln w="38100">
                          <a:solidFill>
                            <a:srgbClr val="009999"/>
                          </a:solidFill>
                          <a:miter lim="800000"/>
                          <a:headEnd/>
                          <a:tailEnd/>
                        </a:ln>
                      </wps:spPr>
                      <wps:txbx>
                        <w:txbxContent>
                          <w:p w14:paraId="4B1E7807" w14:textId="77777777" w:rsidR="007D43F6" w:rsidRPr="00F050E6" w:rsidRDefault="007D43F6" w:rsidP="001E205E">
                            <w:pPr>
                              <w:rPr>
                                <w:rFonts w:ascii="Arial" w:hAnsi="Arial" w:cs="Arial"/>
                                <w:color w:val="009999"/>
                                <w:sz w:val="18"/>
                              </w:rPr>
                            </w:pPr>
                            <w:r>
                              <w:rPr>
                                <w:rFonts w:ascii="Arial" w:hAnsi="Arial" w:cs="Arial"/>
                                <w:color w:val="009999"/>
                                <w:sz w:val="18"/>
                              </w:rPr>
                              <w:t>3,867</w:t>
                            </w:r>
                          </w:p>
                          <w:p w14:paraId="6AEF7E01" w14:textId="77777777" w:rsidR="007D43F6" w:rsidRPr="00F050E6" w:rsidRDefault="007D43F6" w:rsidP="001E205E">
                            <w:pPr>
                              <w:rPr>
                                <w:rFonts w:ascii="Arial" w:hAnsi="Arial" w:cs="Arial"/>
                                <w:color w:val="009999"/>
                                <w:sz w:val="18"/>
                              </w:rPr>
                            </w:pPr>
                            <w:r>
                              <w:rPr>
                                <w:rFonts w:ascii="Arial" w:hAnsi="Arial" w:cs="Arial"/>
                                <w:color w:val="009999"/>
                                <w:sz w:val="18"/>
                              </w:rPr>
                              <w:t>16,916</w:t>
                            </w:r>
                          </w:p>
                          <w:p w14:paraId="00C1E7ED"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34632D" id="_x0000_s1041" type="#_x0000_t202" style="position:absolute;left:0;text-align:left;margin-left:318.9pt;margin-top:609.1pt;width:47.65pt;height:28.95pt;z-index:2518630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" strokecolor="#099" strokeweight="3pt">
                <v:textbox>
                  <w:txbxContent>
                    <w:p w14:paraId="4B1E7807" w14:textId="77777777" w:rsidR="007D43F6" w:rsidRPr="00F050E6" w:rsidRDefault="007D43F6" w:rsidP="001E205E">
                      <w:pPr>
                        <w:rPr>
                          <w:rFonts w:ascii="Arial" w:hAnsi="Arial" w:cs="Arial"/>
                          <w:color w:val="009999"/>
                          <w:sz w:val="18"/>
                        </w:rPr>
                      </w:pPr>
                      <w:r>
                        <w:rPr>
                          <w:rFonts w:ascii="Arial" w:hAnsi="Arial" w:cs="Arial"/>
                          <w:color w:val="009999"/>
                          <w:sz w:val="18"/>
                        </w:rPr>
                        <w:t>3,867</w:t>
                      </w:r>
                    </w:p>
                    <w:p w14:paraId="6AEF7E01" w14:textId="77777777" w:rsidR="007D43F6" w:rsidRPr="00F050E6" w:rsidRDefault="007D43F6" w:rsidP="001E205E">
                      <w:pPr>
                        <w:rPr>
                          <w:rFonts w:ascii="Arial" w:hAnsi="Arial" w:cs="Arial"/>
                          <w:color w:val="009999"/>
                          <w:sz w:val="18"/>
                        </w:rPr>
                      </w:pPr>
                      <w:r>
                        <w:rPr>
                          <w:rFonts w:ascii="Arial" w:hAnsi="Arial" w:cs="Arial"/>
                          <w:color w:val="009999"/>
                          <w:sz w:val="18"/>
                        </w:rPr>
                        <w:t>16,916</w:t>
                      </w:r>
                    </w:p>
                    <w:p w14:paraId="00C1E7ED" w14:textId="77777777" w:rsidR="007D43F6" w:rsidRPr="00F050E6" w:rsidRDefault="007D43F6" w:rsidP="001E205E">
                      <w:pPr>
                        <w:rPr>
                          <w:color w:val="009999"/>
                        </w:rPr>
                      </w:pP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64064" behindDoc="0" locked="0" layoutInCell="1" allowOverlap="1" wp14:anchorId="5F5C5AB1" wp14:editId="75101A61">
                <wp:simplePos x="0" y="0"/>
                <wp:positionH relativeFrom="page">
                  <wp:posOffset>4653280</wp:posOffset>
                </wp:positionH>
                <wp:positionV relativeFrom="paragraph">
                  <wp:posOffset>7733665</wp:posOffset>
                </wp:positionV>
                <wp:extent cx="605155" cy="367665"/>
                <wp:effectExtent l="19050" t="19050" r="23495" b="13335"/>
                <wp:wrapNone/>
                <wp:docPr id="21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367665"/>
                        </a:xfrm>
                        <a:prstGeom prst="rect">
                          <a:avLst/>
                        </a:prstGeom>
                        <a:solidFill>
                          <a:srgbClr val="FFFFFF"/>
                        </a:solidFill>
                        <a:ln w="38100">
                          <a:solidFill>
                            <a:srgbClr val="009999"/>
                          </a:solidFill>
                          <a:miter lim="800000"/>
                          <a:headEnd/>
                          <a:tailEnd/>
                        </a:ln>
                      </wps:spPr>
                      <wps:txbx>
                        <w:txbxContent>
                          <w:p w14:paraId="39E2925F" w14:textId="77777777" w:rsidR="007D43F6" w:rsidRPr="00F050E6" w:rsidRDefault="007D43F6" w:rsidP="001E205E">
                            <w:pPr>
                              <w:rPr>
                                <w:rFonts w:ascii="Arial" w:hAnsi="Arial" w:cs="Arial"/>
                                <w:color w:val="009999"/>
                                <w:sz w:val="18"/>
                              </w:rPr>
                            </w:pPr>
                            <w:r>
                              <w:rPr>
                                <w:rFonts w:ascii="Arial" w:hAnsi="Arial" w:cs="Arial"/>
                                <w:color w:val="009999"/>
                                <w:sz w:val="18"/>
                              </w:rPr>
                              <w:t>2,011</w:t>
                            </w:r>
                          </w:p>
                          <w:p w14:paraId="44162B41" w14:textId="77777777" w:rsidR="007D43F6" w:rsidRPr="00F050E6" w:rsidRDefault="007D43F6" w:rsidP="001E205E">
                            <w:pPr>
                              <w:rPr>
                                <w:rFonts w:ascii="Arial" w:hAnsi="Arial" w:cs="Arial"/>
                                <w:color w:val="009999"/>
                                <w:sz w:val="18"/>
                              </w:rPr>
                            </w:pPr>
                            <w:r>
                              <w:rPr>
                                <w:rFonts w:ascii="Arial" w:hAnsi="Arial" w:cs="Arial"/>
                                <w:color w:val="009999"/>
                                <w:sz w:val="18"/>
                              </w:rPr>
                              <w:t>12,101</w:t>
                            </w:r>
                          </w:p>
                          <w:p w14:paraId="21862B97"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5C5AB1" id="_x0000_s1042" type="#_x0000_t202" style="position:absolute;left:0;text-align:left;margin-left:366.4pt;margin-top:608.95pt;width:47.65pt;height:28.95pt;z-index:2518640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" strokecolor="#099" strokeweight="3pt">
                <v:textbox>
                  <w:txbxContent>
                    <w:p w14:paraId="39E2925F" w14:textId="77777777" w:rsidR="007D43F6" w:rsidRPr="00F050E6" w:rsidRDefault="007D43F6" w:rsidP="001E205E">
                      <w:pPr>
                        <w:rPr>
                          <w:rFonts w:ascii="Arial" w:hAnsi="Arial" w:cs="Arial"/>
                          <w:color w:val="009999"/>
                          <w:sz w:val="18"/>
                        </w:rPr>
                      </w:pPr>
                      <w:r>
                        <w:rPr>
                          <w:rFonts w:ascii="Arial" w:hAnsi="Arial" w:cs="Arial"/>
                          <w:color w:val="009999"/>
                          <w:sz w:val="18"/>
                        </w:rPr>
                        <w:t>2,011</w:t>
                      </w:r>
                    </w:p>
                    <w:p w14:paraId="44162B41" w14:textId="77777777" w:rsidR="007D43F6" w:rsidRPr="00F050E6" w:rsidRDefault="007D43F6" w:rsidP="001E205E">
                      <w:pPr>
                        <w:rPr>
                          <w:rFonts w:ascii="Arial" w:hAnsi="Arial" w:cs="Arial"/>
                          <w:color w:val="009999"/>
                          <w:sz w:val="18"/>
                        </w:rPr>
                      </w:pPr>
                      <w:r>
                        <w:rPr>
                          <w:rFonts w:ascii="Arial" w:hAnsi="Arial" w:cs="Arial"/>
                          <w:color w:val="009999"/>
                          <w:sz w:val="18"/>
                        </w:rPr>
                        <w:t>12,101</w:t>
                      </w:r>
                    </w:p>
                    <w:p w14:paraId="21862B97" w14:textId="77777777" w:rsidR="007D43F6" w:rsidRPr="00F050E6" w:rsidRDefault="007D43F6" w:rsidP="001E205E">
                      <w:pPr>
                        <w:rPr>
                          <w:color w:val="009999"/>
                        </w:rPr>
                      </w:pP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65088" behindDoc="0" locked="0" layoutInCell="1" allowOverlap="1" wp14:anchorId="05D0F287" wp14:editId="3BF4DF1D">
                <wp:simplePos x="0" y="0"/>
                <wp:positionH relativeFrom="page">
                  <wp:posOffset>5259070</wp:posOffset>
                </wp:positionH>
                <wp:positionV relativeFrom="paragraph">
                  <wp:posOffset>7733665</wp:posOffset>
                </wp:positionV>
                <wp:extent cx="605155" cy="367665"/>
                <wp:effectExtent l="19050" t="19050" r="23495" b="13335"/>
                <wp:wrapNone/>
                <wp:docPr id="21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367665"/>
                        </a:xfrm>
                        <a:prstGeom prst="rect">
                          <a:avLst/>
                        </a:prstGeom>
                        <a:solidFill>
                          <a:srgbClr val="FFFFFF"/>
                        </a:solidFill>
                        <a:ln w="38100">
                          <a:solidFill>
                            <a:srgbClr val="009999"/>
                          </a:solidFill>
                          <a:miter lim="800000"/>
                          <a:headEnd/>
                          <a:tailEnd/>
                        </a:ln>
                      </wps:spPr>
                      <wps:txbx>
                        <w:txbxContent>
                          <w:p w14:paraId="2D12F7CF" w14:textId="77777777" w:rsidR="007D43F6" w:rsidRPr="00F050E6" w:rsidRDefault="007D43F6" w:rsidP="001E205E">
                            <w:pPr>
                              <w:rPr>
                                <w:rFonts w:ascii="Arial" w:hAnsi="Arial" w:cs="Arial"/>
                                <w:color w:val="009999"/>
                                <w:sz w:val="18"/>
                              </w:rPr>
                            </w:pPr>
                            <w:r>
                              <w:rPr>
                                <w:rFonts w:ascii="Arial" w:hAnsi="Arial" w:cs="Arial"/>
                                <w:color w:val="009999"/>
                                <w:sz w:val="18"/>
                              </w:rPr>
                              <w:t>1,856</w:t>
                            </w:r>
                          </w:p>
                          <w:p w14:paraId="4BB97E77" w14:textId="77777777" w:rsidR="007D43F6" w:rsidRPr="00F050E6" w:rsidRDefault="007D43F6" w:rsidP="001E205E">
                            <w:pPr>
                              <w:rPr>
                                <w:rFonts w:ascii="Arial" w:hAnsi="Arial" w:cs="Arial"/>
                                <w:color w:val="009999"/>
                                <w:sz w:val="18"/>
                              </w:rPr>
                            </w:pPr>
                            <w:r>
                              <w:rPr>
                                <w:rFonts w:ascii="Arial" w:hAnsi="Arial" w:cs="Arial"/>
                                <w:color w:val="009999"/>
                                <w:sz w:val="18"/>
                              </w:rPr>
                              <w:t>4,815</w:t>
                            </w:r>
                          </w:p>
                          <w:p w14:paraId="263572E6"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D0F287" id="_x0000_s1043" type="#_x0000_t202" style="position:absolute;left:0;text-align:left;margin-left:414.1pt;margin-top:608.95pt;width:47.65pt;height:28.95pt;z-index:25186508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" strokecolor="#099" strokeweight="3pt">
                <v:textbox>
                  <w:txbxContent>
                    <w:p w14:paraId="2D12F7CF" w14:textId="77777777" w:rsidR="007D43F6" w:rsidRPr="00F050E6" w:rsidRDefault="007D43F6" w:rsidP="001E205E">
                      <w:pPr>
                        <w:rPr>
                          <w:rFonts w:ascii="Arial" w:hAnsi="Arial" w:cs="Arial"/>
                          <w:color w:val="009999"/>
                          <w:sz w:val="18"/>
                        </w:rPr>
                      </w:pPr>
                      <w:r>
                        <w:rPr>
                          <w:rFonts w:ascii="Arial" w:hAnsi="Arial" w:cs="Arial"/>
                          <w:color w:val="009999"/>
                          <w:sz w:val="18"/>
                        </w:rPr>
                        <w:t>1,856</w:t>
                      </w:r>
                    </w:p>
                    <w:p w14:paraId="4BB97E77" w14:textId="77777777" w:rsidR="007D43F6" w:rsidRPr="00F050E6" w:rsidRDefault="007D43F6" w:rsidP="001E205E">
                      <w:pPr>
                        <w:rPr>
                          <w:rFonts w:ascii="Arial" w:hAnsi="Arial" w:cs="Arial"/>
                          <w:color w:val="009999"/>
                          <w:sz w:val="18"/>
                        </w:rPr>
                      </w:pPr>
                      <w:r>
                        <w:rPr>
                          <w:rFonts w:ascii="Arial" w:hAnsi="Arial" w:cs="Arial"/>
                          <w:color w:val="009999"/>
                          <w:sz w:val="18"/>
                        </w:rPr>
                        <w:t>4,815</w:t>
                      </w:r>
                    </w:p>
                    <w:p w14:paraId="263572E6" w14:textId="77777777" w:rsidR="007D43F6" w:rsidRPr="00F050E6" w:rsidRDefault="007D43F6" w:rsidP="001E205E">
                      <w:pPr>
                        <w:rPr>
                          <w:color w:val="009999"/>
                        </w:rPr>
                      </w:pP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66112" behindDoc="0" locked="0" layoutInCell="1" allowOverlap="1" wp14:anchorId="3C202C9C" wp14:editId="395C24AE">
                <wp:simplePos x="0" y="0"/>
                <wp:positionH relativeFrom="page">
                  <wp:posOffset>4051300</wp:posOffset>
                </wp:positionH>
                <wp:positionV relativeFrom="paragraph">
                  <wp:posOffset>8187690</wp:posOffset>
                </wp:positionV>
                <wp:extent cx="676275" cy="367665"/>
                <wp:effectExtent l="19050" t="19050" r="28575" b="13335"/>
                <wp:wrapNone/>
                <wp:docPr id="21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67665"/>
                        </a:xfrm>
                        <a:prstGeom prst="rect">
                          <a:avLst/>
                        </a:prstGeom>
                        <a:solidFill>
                          <a:srgbClr val="FFFFFF"/>
                        </a:solidFill>
                        <a:ln w="38100">
                          <a:solidFill>
                            <a:srgbClr val="009999"/>
                          </a:solidFill>
                          <a:miter lim="800000"/>
                          <a:headEnd/>
                          <a:tailEnd/>
                        </a:ln>
                      </wps:spPr>
                      <wps:txbx>
                        <w:txbxContent>
                          <w:p w14:paraId="01AFC32E" w14:textId="77777777" w:rsidR="007D43F6" w:rsidRPr="00F050E6" w:rsidRDefault="007D43F6" w:rsidP="001E205E">
                            <w:pPr>
                              <w:rPr>
                                <w:rFonts w:ascii="Arial" w:hAnsi="Arial" w:cs="Arial"/>
                                <w:color w:val="009999"/>
                                <w:sz w:val="18"/>
                              </w:rPr>
                            </w:pPr>
                            <w:r>
                              <w:rPr>
                                <w:rFonts w:ascii="Arial" w:hAnsi="Arial" w:cs="Arial"/>
                                <w:color w:val="009999"/>
                                <w:sz w:val="18"/>
                              </w:rPr>
                              <w:t>103,178</w:t>
                            </w:r>
                          </w:p>
                          <w:p w14:paraId="4EDF7F12" w14:textId="77777777" w:rsidR="007D43F6" w:rsidRPr="00F050E6" w:rsidRDefault="007D43F6" w:rsidP="001E205E">
                            <w:pPr>
                              <w:rPr>
                                <w:rFonts w:ascii="Arial" w:hAnsi="Arial" w:cs="Arial"/>
                                <w:color w:val="009999"/>
                                <w:sz w:val="18"/>
                              </w:rPr>
                            </w:pPr>
                            <w:r>
                              <w:rPr>
                                <w:rFonts w:ascii="Arial" w:hAnsi="Arial" w:cs="Arial"/>
                                <w:color w:val="009999"/>
                                <w:sz w:val="18"/>
                              </w:rPr>
                              <w:t>88,763</w:t>
                            </w:r>
                          </w:p>
                          <w:p w14:paraId="6F1ABAB1"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202C9C" id="_x0000_s1044" type="#_x0000_t202" style="position:absolute;left:0;text-align:left;margin-left:319pt;margin-top:644.7pt;width:53.25pt;height:28.95pt;z-index:2518661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" strokecolor="#099" strokeweight="3pt">
                <v:textbox>
                  <w:txbxContent>
                    <w:p w14:paraId="01AFC32E" w14:textId="77777777" w:rsidR="007D43F6" w:rsidRPr="00F050E6" w:rsidRDefault="007D43F6" w:rsidP="001E205E">
                      <w:pPr>
                        <w:rPr>
                          <w:rFonts w:ascii="Arial" w:hAnsi="Arial" w:cs="Arial"/>
                          <w:color w:val="009999"/>
                          <w:sz w:val="18"/>
                        </w:rPr>
                      </w:pPr>
                      <w:r>
                        <w:rPr>
                          <w:rFonts w:ascii="Arial" w:hAnsi="Arial" w:cs="Arial"/>
                          <w:color w:val="009999"/>
                          <w:sz w:val="18"/>
                        </w:rPr>
                        <w:t>103,178</w:t>
                      </w:r>
                    </w:p>
                    <w:p w14:paraId="4EDF7F12" w14:textId="77777777" w:rsidR="007D43F6" w:rsidRPr="00F050E6" w:rsidRDefault="007D43F6" w:rsidP="001E205E">
                      <w:pPr>
                        <w:rPr>
                          <w:rFonts w:ascii="Arial" w:hAnsi="Arial" w:cs="Arial"/>
                          <w:color w:val="009999"/>
                          <w:sz w:val="18"/>
                        </w:rPr>
                      </w:pPr>
                      <w:r>
                        <w:rPr>
                          <w:rFonts w:ascii="Arial" w:hAnsi="Arial" w:cs="Arial"/>
                          <w:color w:val="009999"/>
                          <w:sz w:val="18"/>
                        </w:rPr>
                        <w:t>88,763</w:t>
                      </w:r>
                    </w:p>
                    <w:p w14:paraId="6F1ABAB1" w14:textId="77777777" w:rsidR="007D43F6" w:rsidRPr="00F050E6" w:rsidRDefault="007D43F6" w:rsidP="001E205E">
                      <w:pPr>
                        <w:rPr>
                          <w:color w:val="009999"/>
                        </w:rPr>
                      </w:pP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67136" behindDoc="0" locked="0" layoutInCell="1" allowOverlap="1" wp14:anchorId="1EF7F00B" wp14:editId="28C09EC1">
                <wp:simplePos x="0" y="0"/>
                <wp:positionH relativeFrom="page">
                  <wp:posOffset>4655185</wp:posOffset>
                </wp:positionH>
                <wp:positionV relativeFrom="paragraph">
                  <wp:posOffset>8178800</wp:posOffset>
                </wp:positionV>
                <wp:extent cx="605155" cy="367665"/>
                <wp:effectExtent l="19050" t="19050" r="23495" b="13335"/>
                <wp:wrapNone/>
                <wp:docPr id="21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367665"/>
                        </a:xfrm>
                        <a:prstGeom prst="rect">
                          <a:avLst/>
                        </a:prstGeom>
                        <a:solidFill>
                          <a:srgbClr val="FFFFFF"/>
                        </a:solidFill>
                        <a:ln w="38100">
                          <a:solidFill>
                            <a:srgbClr val="009999"/>
                          </a:solidFill>
                          <a:miter lim="800000"/>
                          <a:headEnd/>
                          <a:tailEnd/>
                        </a:ln>
                      </wps:spPr>
                      <wps:txbx>
                        <w:txbxContent>
                          <w:p w14:paraId="129CCAD3" w14:textId="77777777" w:rsidR="007D43F6" w:rsidRPr="00F050E6" w:rsidRDefault="007D43F6" w:rsidP="001E205E">
                            <w:pPr>
                              <w:rPr>
                                <w:rFonts w:ascii="Arial" w:hAnsi="Arial" w:cs="Arial"/>
                                <w:color w:val="009999"/>
                                <w:sz w:val="18"/>
                              </w:rPr>
                            </w:pPr>
                            <w:r>
                              <w:rPr>
                                <w:rFonts w:ascii="Arial" w:hAnsi="Arial" w:cs="Arial"/>
                                <w:color w:val="009999"/>
                                <w:sz w:val="18"/>
                              </w:rPr>
                              <w:t>52,059</w:t>
                            </w:r>
                          </w:p>
                          <w:p w14:paraId="241DBB9F" w14:textId="77777777" w:rsidR="007D43F6" w:rsidRPr="00F050E6" w:rsidRDefault="007D43F6" w:rsidP="001E205E">
                            <w:pPr>
                              <w:rPr>
                                <w:rFonts w:ascii="Arial" w:hAnsi="Arial" w:cs="Arial"/>
                                <w:color w:val="009999"/>
                                <w:sz w:val="18"/>
                              </w:rPr>
                            </w:pPr>
                            <w:r>
                              <w:rPr>
                                <w:rFonts w:ascii="Arial" w:hAnsi="Arial" w:cs="Arial"/>
                                <w:color w:val="009999"/>
                                <w:sz w:val="18"/>
                              </w:rPr>
                              <w:t>76,420</w:t>
                            </w:r>
                          </w:p>
                          <w:p w14:paraId="23B39ABB"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F7F00B" id="_x0000_s1045" type="#_x0000_t202" style="position:absolute;left:0;text-align:left;margin-left:366.55pt;margin-top:644pt;width:47.65pt;height:28.95pt;z-index:25186713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" strokecolor="#099" strokeweight="3pt">
                <v:textbox>
                  <w:txbxContent>
                    <w:p w14:paraId="129CCAD3" w14:textId="77777777" w:rsidR="007D43F6" w:rsidRPr="00F050E6" w:rsidRDefault="007D43F6" w:rsidP="001E205E">
                      <w:pPr>
                        <w:rPr>
                          <w:rFonts w:ascii="Arial" w:hAnsi="Arial" w:cs="Arial"/>
                          <w:color w:val="009999"/>
                          <w:sz w:val="18"/>
                        </w:rPr>
                      </w:pPr>
                      <w:r>
                        <w:rPr>
                          <w:rFonts w:ascii="Arial" w:hAnsi="Arial" w:cs="Arial"/>
                          <w:color w:val="009999"/>
                          <w:sz w:val="18"/>
                        </w:rPr>
                        <w:t>52,059</w:t>
                      </w:r>
                    </w:p>
                    <w:p w14:paraId="241DBB9F" w14:textId="77777777" w:rsidR="007D43F6" w:rsidRPr="00F050E6" w:rsidRDefault="007D43F6" w:rsidP="001E205E">
                      <w:pPr>
                        <w:rPr>
                          <w:rFonts w:ascii="Arial" w:hAnsi="Arial" w:cs="Arial"/>
                          <w:color w:val="009999"/>
                          <w:sz w:val="18"/>
                        </w:rPr>
                      </w:pPr>
                      <w:r>
                        <w:rPr>
                          <w:rFonts w:ascii="Arial" w:hAnsi="Arial" w:cs="Arial"/>
                          <w:color w:val="009999"/>
                          <w:sz w:val="18"/>
                        </w:rPr>
                        <w:t>76,420</w:t>
                      </w:r>
                    </w:p>
                    <w:p w14:paraId="23B39ABB" w14:textId="77777777" w:rsidR="007D43F6" w:rsidRPr="00F050E6" w:rsidRDefault="007D43F6" w:rsidP="001E205E">
                      <w:pPr>
                        <w:rPr>
                          <w:color w:val="009999"/>
                        </w:rPr>
                      </w:pP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68160" behindDoc="0" locked="0" layoutInCell="1" allowOverlap="1" wp14:anchorId="009713E8" wp14:editId="3EE34AD4">
                <wp:simplePos x="0" y="0"/>
                <wp:positionH relativeFrom="page">
                  <wp:posOffset>5261495</wp:posOffset>
                </wp:positionH>
                <wp:positionV relativeFrom="paragraph">
                  <wp:posOffset>8178866</wp:posOffset>
                </wp:positionV>
                <wp:extent cx="605642" cy="368135"/>
                <wp:effectExtent l="19050" t="19050" r="23495" b="13335"/>
                <wp:wrapNone/>
                <wp:docPr id="21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642" cy="368135"/>
                        </a:xfrm>
                        <a:prstGeom prst="rect">
                          <a:avLst/>
                        </a:prstGeom>
                        <a:solidFill>
                          <a:srgbClr val="FFFFFF"/>
                        </a:solidFill>
                        <a:ln w="38100">
                          <a:solidFill>
                            <a:srgbClr val="009999"/>
                          </a:solidFill>
                          <a:miter lim="800000"/>
                          <a:headEnd/>
                          <a:tailEnd/>
                        </a:ln>
                      </wps:spPr>
                      <wps:txbx>
                        <w:txbxContent>
                          <w:p w14:paraId="0C7DDC86" w14:textId="77777777" w:rsidR="007D43F6" w:rsidRPr="00F050E6" w:rsidRDefault="007D43F6" w:rsidP="001E205E">
                            <w:pPr>
                              <w:rPr>
                                <w:rFonts w:ascii="Arial" w:hAnsi="Arial" w:cs="Arial"/>
                                <w:color w:val="009999"/>
                                <w:sz w:val="18"/>
                              </w:rPr>
                            </w:pPr>
                            <w:r>
                              <w:rPr>
                                <w:rFonts w:ascii="Arial" w:hAnsi="Arial" w:cs="Arial"/>
                                <w:color w:val="009999"/>
                                <w:sz w:val="18"/>
                              </w:rPr>
                              <w:t>51,119</w:t>
                            </w:r>
                          </w:p>
                          <w:p w14:paraId="5381C58A" w14:textId="77777777" w:rsidR="007D43F6" w:rsidRPr="00F050E6" w:rsidRDefault="007D43F6" w:rsidP="001E205E">
                            <w:pPr>
                              <w:rPr>
                                <w:rFonts w:ascii="Arial" w:hAnsi="Arial" w:cs="Arial"/>
                                <w:color w:val="009999"/>
                                <w:sz w:val="18"/>
                              </w:rPr>
                            </w:pPr>
                            <w:r>
                              <w:rPr>
                                <w:rFonts w:ascii="Arial" w:hAnsi="Arial" w:cs="Arial"/>
                                <w:color w:val="009999"/>
                                <w:sz w:val="18"/>
                              </w:rPr>
                              <w:t>12,343</w:t>
                            </w:r>
                          </w:p>
                          <w:p w14:paraId="34841633" w14:textId="77777777" w:rsidR="007D43F6" w:rsidRPr="00F050E6" w:rsidRDefault="007D43F6" w:rsidP="001E205E">
                            <w:pPr>
                              <w:rPr>
                                <w:color w:val="00999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9713E8" id="_x0000_s1046" type="#_x0000_t202" style="position:absolute;left:0;text-align:left;margin-left:414.3pt;margin-top:644pt;width:47.7pt;height:29pt;z-index:25186816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" strokecolor="#099" strokeweight="3pt">
                <v:textbox>
                  <w:txbxContent>
                    <w:p w14:paraId="0C7DDC86" w14:textId="77777777" w:rsidR="007D43F6" w:rsidRPr="00F050E6" w:rsidRDefault="007D43F6" w:rsidP="001E205E">
                      <w:pPr>
                        <w:rPr>
                          <w:rFonts w:ascii="Arial" w:hAnsi="Arial" w:cs="Arial"/>
                          <w:color w:val="009999"/>
                          <w:sz w:val="18"/>
                        </w:rPr>
                      </w:pPr>
                      <w:r>
                        <w:rPr>
                          <w:rFonts w:ascii="Arial" w:hAnsi="Arial" w:cs="Arial"/>
                          <w:color w:val="009999"/>
                          <w:sz w:val="18"/>
                        </w:rPr>
                        <w:t>51,119</w:t>
                      </w:r>
                    </w:p>
                    <w:p w14:paraId="5381C58A" w14:textId="77777777" w:rsidR="007D43F6" w:rsidRPr="00F050E6" w:rsidRDefault="007D43F6" w:rsidP="001E205E">
                      <w:pPr>
                        <w:rPr>
                          <w:rFonts w:ascii="Arial" w:hAnsi="Arial" w:cs="Arial"/>
                          <w:color w:val="009999"/>
                          <w:sz w:val="18"/>
                        </w:rPr>
                      </w:pPr>
                      <w:r>
                        <w:rPr>
                          <w:rFonts w:ascii="Arial" w:hAnsi="Arial" w:cs="Arial"/>
                          <w:color w:val="009999"/>
                          <w:sz w:val="18"/>
                        </w:rPr>
                        <w:t>12,343</w:t>
                      </w:r>
                    </w:p>
                    <w:p w14:paraId="34841633" w14:textId="77777777" w:rsidR="007D43F6" w:rsidRPr="00F050E6" w:rsidRDefault="007D43F6" w:rsidP="001E205E">
                      <w:pPr>
                        <w:rPr>
                          <w:color w:val="009999"/>
                        </w:rPr>
                      </w:pPr>
                    </w:p>
                  </w:txbxContent>
                </v:textbox>
                <w10:wrap anchorx="page"/>
              </v:shape>
            </w:pict>
          </mc:Fallback>
        </mc:AlternateContent>
      </w:r>
      <w:r w:rsidR="00AA568B" w:rsidRPr="00AA568B">
        <w:rPr>
          <w:rFonts w:ascii="Arial" w:hAnsi="Arial" w:cs="Arial"/>
          <w:noProof/>
          <w:sz w:val="22"/>
          <w:szCs w:val="22"/>
          <w:lang w:eastAsia="cs-CZ"/>
        </w:rPr>
        <mc:AlternateContent>
          <mc:Choice Requires="wps">
            <w:drawing>
              <wp:anchor distT="0" distB="0" distL="114300" distR="114300" simplePos="0" relativeHeight="251826176" behindDoc="0" locked="0" layoutInCell="1" allowOverlap="1" wp14:anchorId="30BA6C8D" wp14:editId="7AE331BD">
                <wp:simplePos x="0" y="0"/>
                <wp:positionH relativeFrom="margin">
                  <wp:posOffset>156076</wp:posOffset>
                </wp:positionH>
                <wp:positionV relativeFrom="paragraph">
                  <wp:posOffset>2264735</wp:posOffset>
                </wp:positionV>
                <wp:extent cx="5100527" cy="1403498"/>
                <wp:effectExtent l="19050" t="19050" r="24130" b="25400"/>
                <wp:wrapNone/>
                <wp:docPr id="24021" name="Přímá spojnice 24021"/>
                <wp:cNvGraphicFramePr/>
                <a:graphic xmlns:a="http://schemas.openxmlformats.org/drawingml/2006/main">
                  <a:graphicData uri="http://schemas.microsoft.com/office/word/2010/wordprocessingShape">
                    <wps:wsp>
                      <wps:cNvCnPr/>
                      <wps:spPr>
                        <a:xfrm flipV="1">
                          <a:off x="0" y="0"/>
                          <a:ext cx="5100527" cy="1403498"/>
                        </a:xfrm>
                        <a:prstGeom prst="line">
                          <a:avLst/>
                        </a:prstGeom>
                        <a:ln w="38100">
                          <a:solidFill>
                            <a:srgbClr val="18B8B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577D44" id="Přímá spojnice 24021" o:spid="_x0000_s1026" style="position:absolute;flip:y;z-index:251826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2.3pt,178.35pt" to="413.9pt,28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" strokecolor="#18b8b0" strokeweight="3pt">
                <v:stroke joinstyle="miter"/>
                <w10:wrap anchorx="margin"/>
              </v:line>
            </w:pict>
          </mc:Fallback>
        </mc:AlternateContent>
      </w:r>
      <w:r w:rsidR="00AA568B" w:rsidRPr="00AA568B">
        <w:rPr>
          <w:rFonts w:ascii="Arial" w:hAnsi="Arial" w:cs="Arial"/>
          <w:noProof/>
          <w:sz w:val="22"/>
          <w:szCs w:val="22"/>
          <w:lang w:eastAsia="cs-CZ"/>
        </w:rPr>
        <mc:AlternateContent>
          <mc:Choice Requires="wps">
            <w:drawing>
              <wp:anchor distT="0" distB="0" distL="114300" distR="114300" simplePos="0" relativeHeight="251825152" behindDoc="0" locked="0" layoutInCell="1" allowOverlap="1" wp14:anchorId="78F81BAA" wp14:editId="614A3A46">
                <wp:simplePos x="0" y="0"/>
                <wp:positionH relativeFrom="page">
                  <wp:posOffset>1265274</wp:posOffset>
                </wp:positionH>
                <wp:positionV relativeFrom="paragraph">
                  <wp:posOffset>2254102</wp:posOffset>
                </wp:positionV>
                <wp:extent cx="5140842" cy="1435396"/>
                <wp:effectExtent l="19050" t="19050" r="41275" b="31750"/>
                <wp:wrapNone/>
                <wp:docPr id="24020" name="Obdélník 24020"/>
                <wp:cNvGraphicFramePr/>
                <a:graphic xmlns:a="http://schemas.openxmlformats.org/drawingml/2006/main">
                  <a:graphicData uri="http://schemas.microsoft.com/office/word/2010/wordprocessingShape">
                    <wps:wsp>
                      <wps:cNvSpPr/>
                      <wps:spPr>
                        <a:xfrm>
                          <a:off x="0" y="0"/>
                          <a:ext cx="5140842" cy="1435396"/>
                        </a:xfrm>
                        <a:prstGeom prst="rect">
                          <a:avLst/>
                        </a:prstGeom>
                        <a:noFill/>
                        <a:ln w="5715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79BEFF" id="Obdélník 24020" o:spid="_x0000_s1026" style="position:absolute;margin-left:99.65pt;margin-top:177.5pt;width:404.8pt;height:113pt;z-index:251825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" filled="f" strokecolor="#18b8b0" strokeweight="4.5pt">
                <w10:wrap anchorx="page"/>
              </v:rect>
            </w:pict>
          </mc:Fallback>
        </mc:AlternateContent>
      </w:r>
      <w:r w:rsidR="009617F5" w:rsidRPr="009617F5">
        <w:rPr>
          <w:rFonts w:ascii="Arial" w:hAnsi="Arial" w:cs="Arial"/>
          <w:noProof/>
          <w:lang w:eastAsia="cs-CZ"/>
        </w:rPr>
        <w:drawing>
          <wp:anchor distT="0" distB="0" distL="114300" distR="114300" simplePos="0" relativeHeight="251783168" behindDoc="0" locked="0" layoutInCell="1" allowOverlap="1" wp14:anchorId="77AA7075" wp14:editId="60A94152">
            <wp:simplePos x="0" y="0"/>
            <wp:positionH relativeFrom="margin">
              <wp:align>left</wp:align>
            </wp:positionH>
            <wp:positionV relativeFrom="margin">
              <wp:align>top</wp:align>
            </wp:positionV>
            <wp:extent cx="5410835" cy="8632825"/>
            <wp:effectExtent l="0" t="0" r="0" b="0"/>
            <wp:wrapSquare wrapText="bothSides"/>
            <wp:docPr id="10587" name="Obrázek 10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5410835" cy="8632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671EFB" w14:textId="77777777" w:rsidR="009617F5" w:rsidRPr="009617F5" w:rsidRDefault="001E205E" w:rsidP="009617F5">
      <w:pPr>
        <w:pStyle w:val="Zkladntext"/>
        <w:spacing w:before="120" w:line="288" w:lineRule="auto"/>
        <w:ind w:firstLine="709"/>
        <w:jc w:val="both"/>
        <w:rPr>
          <w:rFonts w:ascii="Arial" w:hAnsi="Arial" w:cs="Arial"/>
          <w:sz w:val="22"/>
          <w:szCs w:val="22"/>
          <w:highlight w:val="magenta"/>
        </w:rPr>
      </w:pPr>
      <w:r w:rsidRPr="001E205E">
        <w:rPr>
          <w:rFonts w:ascii="Arial" w:hAnsi="Arial" w:cs="Arial"/>
          <w:noProof/>
          <w:sz w:val="22"/>
          <w:szCs w:val="22"/>
          <w:lang w:eastAsia="cs-CZ"/>
        </w:rPr>
        <w:lastRenderedPageBreak/>
        <mc:AlternateContent>
          <mc:Choice Requires="wps">
            <w:drawing>
              <wp:anchor distT="45720" distB="45720" distL="114300" distR="114300" simplePos="0" relativeHeight="251876352" behindDoc="0" locked="0" layoutInCell="1" allowOverlap="1" wp14:anchorId="583BDAB4" wp14:editId="0B420529">
                <wp:simplePos x="0" y="0"/>
                <wp:positionH relativeFrom="page">
                  <wp:posOffset>5429250</wp:posOffset>
                </wp:positionH>
                <wp:positionV relativeFrom="paragraph">
                  <wp:posOffset>8327390</wp:posOffset>
                </wp:positionV>
                <wp:extent cx="534035" cy="248920"/>
                <wp:effectExtent l="19050" t="19050" r="18415" b="17780"/>
                <wp:wrapNone/>
                <wp:docPr id="22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035" cy="248920"/>
                        </a:xfrm>
                        <a:prstGeom prst="rect">
                          <a:avLst/>
                        </a:prstGeom>
                        <a:solidFill>
                          <a:srgbClr val="FFFFFF"/>
                        </a:solidFill>
                        <a:ln w="38100">
                          <a:solidFill>
                            <a:srgbClr val="009999"/>
                          </a:solidFill>
                          <a:miter lim="800000"/>
                          <a:headEnd/>
                          <a:tailEnd/>
                        </a:ln>
                      </wps:spPr>
                      <wps:txbx>
                        <w:txbxContent>
                          <w:p w14:paraId="2695AF6D" w14:textId="77777777" w:rsidR="007D43F6" w:rsidRPr="001E205E" w:rsidRDefault="007D43F6" w:rsidP="001E205E">
                            <w:pPr>
                              <w:rPr>
                                <w:rFonts w:ascii="Arial" w:hAnsi="Arial" w:cs="Arial"/>
                                <w:color w:val="009999"/>
                                <w:sz w:val="18"/>
                              </w:rPr>
                            </w:pPr>
                            <w:r>
                              <w:rPr>
                                <w:rFonts w:ascii="Arial" w:hAnsi="Arial" w:cs="Arial"/>
                                <w:color w:val="009999"/>
                                <w:sz w:val="18"/>
                              </w:rPr>
                              <w:t>1,856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3BDAB4" id="_x0000_s1047" type="#_x0000_t202" style="position:absolute;left:0;text-align:left;margin-left:427.5pt;margin-top:655.7pt;width:42.05pt;height:19.6pt;z-index:25187635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" strokecolor="#099" strokeweight="3pt">
                <v:textbox>
                  <w:txbxContent>
                    <w:p w14:paraId="2695AF6D" w14:textId="77777777" w:rsidR="007D43F6" w:rsidRPr="001E205E" w:rsidRDefault="007D43F6" w:rsidP="001E205E">
                      <w:pPr>
                        <w:rPr>
                          <w:rFonts w:ascii="Arial" w:hAnsi="Arial" w:cs="Arial"/>
                          <w:color w:val="009999"/>
                          <w:sz w:val="18"/>
                        </w:rPr>
                      </w:pPr>
                      <w:r>
                        <w:rPr>
                          <w:rFonts w:ascii="Arial" w:hAnsi="Arial" w:cs="Arial"/>
                          <w:color w:val="009999"/>
                          <w:sz w:val="18"/>
                        </w:rPr>
                        <w:t>1,856</w:t>
                      </w: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75328" behindDoc="0" locked="0" layoutInCell="1" allowOverlap="1" wp14:anchorId="7ECC9A3B" wp14:editId="0A45CD50">
                <wp:simplePos x="0" y="0"/>
                <wp:positionH relativeFrom="page">
                  <wp:posOffset>4503420</wp:posOffset>
                </wp:positionH>
                <wp:positionV relativeFrom="paragraph">
                  <wp:posOffset>8327390</wp:posOffset>
                </wp:positionV>
                <wp:extent cx="534035" cy="248920"/>
                <wp:effectExtent l="19050" t="19050" r="18415" b="17780"/>
                <wp:wrapNone/>
                <wp:docPr id="22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035" cy="248920"/>
                        </a:xfrm>
                        <a:prstGeom prst="rect">
                          <a:avLst/>
                        </a:prstGeom>
                        <a:solidFill>
                          <a:srgbClr val="FFFFFF"/>
                        </a:solidFill>
                        <a:ln w="38100">
                          <a:solidFill>
                            <a:srgbClr val="009999"/>
                          </a:solidFill>
                          <a:miter lim="800000"/>
                          <a:headEnd/>
                          <a:tailEnd/>
                        </a:ln>
                      </wps:spPr>
                      <wps:txbx>
                        <w:txbxContent>
                          <w:p w14:paraId="2499C055" w14:textId="77777777" w:rsidR="007D43F6" w:rsidRPr="001E205E" w:rsidRDefault="007D43F6" w:rsidP="001E205E">
                            <w:pPr>
                              <w:rPr>
                                <w:rFonts w:ascii="Arial" w:hAnsi="Arial" w:cs="Arial"/>
                                <w:color w:val="009999"/>
                                <w:sz w:val="18"/>
                              </w:rPr>
                            </w:pPr>
                            <w:r>
                              <w:rPr>
                                <w:rFonts w:ascii="Arial" w:hAnsi="Arial" w:cs="Arial"/>
                                <w:color w:val="009999"/>
                                <w:sz w:val="18"/>
                              </w:rPr>
                              <w:t>2,011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CC9A3B" id="_x0000_s1048" type="#_x0000_t202" style="position:absolute;left:0;text-align:left;margin-left:354.6pt;margin-top:655.7pt;width:42.05pt;height:19.6pt;z-index:25187532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" strokecolor="#099" strokeweight="3pt">
                <v:textbox>
                  <w:txbxContent>
                    <w:p w14:paraId="2499C055" w14:textId="77777777" w:rsidR="007D43F6" w:rsidRPr="001E205E" w:rsidRDefault="007D43F6" w:rsidP="001E205E">
                      <w:pPr>
                        <w:rPr>
                          <w:rFonts w:ascii="Arial" w:hAnsi="Arial" w:cs="Arial"/>
                          <w:color w:val="009999"/>
                          <w:sz w:val="18"/>
                        </w:rPr>
                      </w:pPr>
                      <w:r>
                        <w:rPr>
                          <w:rFonts w:ascii="Arial" w:hAnsi="Arial" w:cs="Arial"/>
                          <w:color w:val="009999"/>
                          <w:sz w:val="18"/>
                        </w:rPr>
                        <w:t>2,011</w:t>
                      </w: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45720" distB="45720" distL="114300" distR="114300" simplePos="0" relativeHeight="251874304" behindDoc="0" locked="0" layoutInCell="1" allowOverlap="1" wp14:anchorId="32E21D8D" wp14:editId="27947980">
                <wp:simplePos x="0" y="0"/>
                <wp:positionH relativeFrom="page">
                  <wp:posOffset>3246120</wp:posOffset>
                </wp:positionH>
                <wp:positionV relativeFrom="paragraph">
                  <wp:posOffset>8305800</wp:posOffset>
                </wp:positionV>
                <wp:extent cx="534035" cy="248920"/>
                <wp:effectExtent l="19050" t="19050" r="18415" b="17780"/>
                <wp:wrapNone/>
                <wp:docPr id="22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035" cy="248920"/>
                        </a:xfrm>
                        <a:prstGeom prst="rect">
                          <a:avLst/>
                        </a:prstGeom>
                        <a:solidFill>
                          <a:srgbClr val="FFFFFF"/>
                        </a:solidFill>
                        <a:ln w="38100">
                          <a:solidFill>
                            <a:srgbClr val="009999"/>
                          </a:solidFill>
                          <a:miter lim="800000"/>
                          <a:headEnd/>
                          <a:tailEnd/>
                        </a:ln>
                      </wps:spPr>
                      <wps:txbx>
                        <w:txbxContent>
                          <w:p w14:paraId="3C6102D9" w14:textId="77777777" w:rsidR="007D43F6" w:rsidRPr="001E205E" w:rsidRDefault="007D43F6" w:rsidP="001E205E">
                            <w:pPr>
                              <w:rPr>
                                <w:rFonts w:ascii="Arial" w:hAnsi="Arial" w:cs="Arial"/>
                                <w:color w:val="009999"/>
                                <w:sz w:val="18"/>
                              </w:rPr>
                            </w:pPr>
                            <w:r>
                              <w:rPr>
                                <w:rFonts w:ascii="Arial" w:hAnsi="Arial" w:cs="Arial"/>
                                <w:color w:val="009999"/>
                                <w:sz w:val="18"/>
                              </w:rPr>
                              <w:t>3,867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21D8D" id="_x0000_s1049" type="#_x0000_t202" style="position:absolute;left:0;text-align:left;margin-left:255.6pt;margin-top:654pt;width:42.05pt;height:19.6pt;z-index:25187430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" strokecolor="#099" strokeweight="3pt">
                <v:textbox>
                  <w:txbxContent>
                    <w:p w14:paraId="3C6102D9" w14:textId="77777777" w:rsidR="007D43F6" w:rsidRPr="001E205E" w:rsidRDefault="007D43F6" w:rsidP="001E205E">
                      <w:pPr>
                        <w:rPr>
                          <w:rFonts w:ascii="Arial" w:hAnsi="Arial" w:cs="Arial"/>
                          <w:color w:val="009999"/>
                          <w:sz w:val="18"/>
                        </w:rPr>
                      </w:pPr>
                      <w:r>
                        <w:rPr>
                          <w:rFonts w:ascii="Arial" w:hAnsi="Arial" w:cs="Arial"/>
                          <w:color w:val="009999"/>
                          <w:sz w:val="18"/>
                        </w:rPr>
                        <w:t>3,867</w:t>
                      </w:r>
                    </w:p>
                  </w:txbxContent>
                </v:textbox>
                <w10:wrap anchorx="page"/>
              </v:shape>
            </w:pict>
          </mc:Fallback>
        </mc:AlternateContent>
      </w:r>
      <w:r w:rsidRPr="001E205E">
        <w:rPr>
          <w:rFonts w:ascii="Arial" w:hAnsi="Arial" w:cs="Arial"/>
          <w:noProof/>
          <w:sz w:val="22"/>
          <w:szCs w:val="22"/>
          <w:lang w:eastAsia="cs-CZ"/>
        </w:rPr>
        <mc:AlternateContent>
          <mc:Choice Requires="wps">
            <w:drawing>
              <wp:anchor distT="0" distB="0" distL="114300" distR="114300" simplePos="0" relativeHeight="251873280" behindDoc="0" locked="0" layoutInCell="1" allowOverlap="1" wp14:anchorId="0605DDB9" wp14:editId="2A17BADB">
                <wp:simplePos x="0" y="0"/>
                <wp:positionH relativeFrom="margin">
                  <wp:posOffset>490220</wp:posOffset>
                </wp:positionH>
                <wp:positionV relativeFrom="paragraph">
                  <wp:posOffset>7369810</wp:posOffset>
                </wp:positionV>
                <wp:extent cx="4476750" cy="540385"/>
                <wp:effectExtent l="19050" t="19050" r="19050" b="31115"/>
                <wp:wrapNone/>
                <wp:docPr id="221" name="Přímá spojnice 221"/>
                <wp:cNvGraphicFramePr/>
                <a:graphic xmlns:a="http://schemas.openxmlformats.org/drawingml/2006/main">
                  <a:graphicData uri="http://schemas.microsoft.com/office/word/2010/wordprocessingShape">
                    <wps:wsp>
                      <wps:cNvCnPr/>
                      <wps:spPr>
                        <a:xfrm flipV="1">
                          <a:off x="0" y="0"/>
                          <a:ext cx="4476750" cy="540385"/>
                        </a:xfrm>
                        <a:prstGeom prst="line">
                          <a:avLst/>
                        </a:prstGeom>
                        <a:ln w="38100">
                          <a:solidFill>
                            <a:srgbClr val="18B8B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2757E1" id="Přímá spojnice 221" o:spid="_x0000_s1026" style="position:absolute;flip:y;z-index:251873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8.6pt,580.3pt" to="391.1pt,6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" strokecolor="#18b8b0" strokeweight="3pt">
                <v:stroke joinstyle="miter"/>
                <w10:wrap anchorx="margin"/>
              </v:line>
            </w:pict>
          </mc:Fallback>
        </mc:AlternateContent>
      </w:r>
      <w:r w:rsidRPr="001E205E">
        <w:rPr>
          <w:rFonts w:ascii="Arial" w:hAnsi="Arial" w:cs="Arial"/>
          <w:noProof/>
          <w:sz w:val="22"/>
          <w:szCs w:val="22"/>
          <w:lang w:eastAsia="cs-CZ"/>
        </w:rPr>
        <mc:AlternateContent>
          <mc:Choice Requires="wps">
            <w:drawing>
              <wp:anchor distT="0" distB="0" distL="114300" distR="114300" simplePos="0" relativeHeight="251872256" behindDoc="0" locked="0" layoutInCell="1" allowOverlap="1" wp14:anchorId="6B682352" wp14:editId="151FF0BC">
                <wp:simplePos x="0" y="0"/>
                <wp:positionH relativeFrom="margin">
                  <wp:posOffset>526415</wp:posOffset>
                </wp:positionH>
                <wp:positionV relativeFrom="paragraph">
                  <wp:posOffset>6205855</wp:posOffset>
                </wp:positionV>
                <wp:extent cx="4464685" cy="802005"/>
                <wp:effectExtent l="19050" t="19050" r="31115" b="36195"/>
                <wp:wrapNone/>
                <wp:docPr id="220" name="Přímá spojnice 220"/>
                <wp:cNvGraphicFramePr/>
                <a:graphic xmlns:a="http://schemas.openxmlformats.org/drawingml/2006/main">
                  <a:graphicData uri="http://schemas.microsoft.com/office/word/2010/wordprocessingShape">
                    <wps:wsp>
                      <wps:cNvCnPr/>
                      <wps:spPr>
                        <a:xfrm flipV="1">
                          <a:off x="0" y="0"/>
                          <a:ext cx="4464685" cy="802005"/>
                        </a:xfrm>
                        <a:prstGeom prst="line">
                          <a:avLst/>
                        </a:prstGeom>
                        <a:ln w="38100">
                          <a:solidFill>
                            <a:srgbClr val="18B8B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2904A2" id="Přímá spojnice 220" o:spid="_x0000_s1026" style="position:absolute;flip:y;z-index:251872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1.45pt,488.65pt" to="393pt,55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" strokecolor="#18b8b0" strokeweight="3pt">
                <v:stroke joinstyle="miter"/>
                <w10:wrap anchorx="margin"/>
              </v:line>
            </w:pict>
          </mc:Fallback>
        </mc:AlternateContent>
      </w:r>
      <w:r w:rsidRPr="001E205E">
        <w:rPr>
          <w:rFonts w:ascii="Arial" w:hAnsi="Arial" w:cs="Arial"/>
          <w:noProof/>
          <w:sz w:val="22"/>
          <w:szCs w:val="22"/>
          <w:lang w:eastAsia="cs-CZ"/>
        </w:rPr>
        <mc:AlternateContent>
          <mc:Choice Requires="wps">
            <w:drawing>
              <wp:anchor distT="0" distB="0" distL="114300" distR="114300" simplePos="0" relativeHeight="251871232" behindDoc="0" locked="0" layoutInCell="1" allowOverlap="1" wp14:anchorId="05631E2A" wp14:editId="4688D7C5">
                <wp:simplePos x="0" y="0"/>
                <wp:positionH relativeFrom="column">
                  <wp:posOffset>502285</wp:posOffset>
                </wp:positionH>
                <wp:positionV relativeFrom="paragraph">
                  <wp:posOffset>6193790</wp:posOffset>
                </wp:positionV>
                <wp:extent cx="4488815" cy="829945"/>
                <wp:effectExtent l="19050" t="19050" r="45085" b="46355"/>
                <wp:wrapNone/>
                <wp:docPr id="219" name="Obdélník 219"/>
                <wp:cNvGraphicFramePr/>
                <a:graphic xmlns:a="http://schemas.openxmlformats.org/drawingml/2006/main">
                  <a:graphicData uri="http://schemas.microsoft.com/office/word/2010/wordprocessingShape">
                    <wps:wsp>
                      <wps:cNvSpPr/>
                      <wps:spPr>
                        <a:xfrm>
                          <a:off x="0" y="0"/>
                          <a:ext cx="4488815" cy="829945"/>
                        </a:xfrm>
                        <a:prstGeom prst="rect">
                          <a:avLst/>
                        </a:prstGeom>
                        <a:noFill/>
                        <a:ln w="5715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33AB58" id="Obdélník 219" o:spid="_x0000_s1026" style="position:absolute;margin-left:39.55pt;margin-top:487.7pt;width:353.45pt;height:65.35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" filled="f" strokecolor="#18b8b0" strokeweight="4.5pt"/>
            </w:pict>
          </mc:Fallback>
        </mc:AlternateContent>
      </w:r>
      <w:r w:rsidRPr="001E205E">
        <w:rPr>
          <w:rFonts w:ascii="Arial" w:hAnsi="Arial" w:cs="Arial"/>
          <w:noProof/>
          <w:sz w:val="22"/>
          <w:szCs w:val="22"/>
          <w:lang w:eastAsia="cs-CZ"/>
        </w:rPr>
        <mc:AlternateContent>
          <mc:Choice Requires="wps">
            <w:drawing>
              <wp:anchor distT="0" distB="0" distL="114300" distR="114300" simplePos="0" relativeHeight="251870208" behindDoc="0" locked="0" layoutInCell="1" allowOverlap="1" wp14:anchorId="0ACA8858" wp14:editId="16DD6167">
                <wp:simplePos x="0" y="0"/>
                <wp:positionH relativeFrom="column">
                  <wp:posOffset>502335</wp:posOffset>
                </wp:positionH>
                <wp:positionV relativeFrom="paragraph">
                  <wp:posOffset>7358174</wp:posOffset>
                </wp:positionV>
                <wp:extent cx="4488815" cy="570016"/>
                <wp:effectExtent l="19050" t="19050" r="45085" b="40005"/>
                <wp:wrapNone/>
                <wp:docPr id="218" name="Obdélník 218"/>
                <wp:cNvGraphicFramePr/>
                <a:graphic xmlns:a="http://schemas.openxmlformats.org/drawingml/2006/main">
                  <a:graphicData uri="http://schemas.microsoft.com/office/word/2010/wordprocessingShape">
                    <wps:wsp>
                      <wps:cNvSpPr/>
                      <wps:spPr>
                        <a:xfrm>
                          <a:off x="0" y="0"/>
                          <a:ext cx="4488815" cy="570016"/>
                        </a:xfrm>
                        <a:prstGeom prst="rect">
                          <a:avLst/>
                        </a:prstGeom>
                        <a:noFill/>
                        <a:ln w="5715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9A07C6" id="Obdélník 218" o:spid="_x0000_s1026" style="position:absolute;margin-left:39.55pt;margin-top:579.4pt;width:353.45pt;height:44.9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" filled="f" strokecolor="#18b8b0" strokeweight="4.5pt"/>
            </w:pict>
          </mc:Fallback>
        </mc:AlternateContent>
      </w:r>
      <w:r w:rsidR="009617F5" w:rsidRPr="009617F5">
        <w:rPr>
          <w:rFonts w:ascii="Arial" w:hAnsi="Arial" w:cs="Arial"/>
          <w:noProof/>
          <w:lang w:eastAsia="cs-CZ"/>
        </w:rPr>
        <w:drawing>
          <wp:anchor distT="0" distB="0" distL="114300" distR="114300" simplePos="0" relativeHeight="251784192" behindDoc="0" locked="0" layoutInCell="1" allowOverlap="1" wp14:anchorId="45EE6032" wp14:editId="64ED2558">
            <wp:simplePos x="0" y="0"/>
            <wp:positionH relativeFrom="margin">
              <wp:posOffset>321945</wp:posOffset>
            </wp:positionH>
            <wp:positionV relativeFrom="margin">
              <wp:posOffset>-212725</wp:posOffset>
            </wp:positionV>
            <wp:extent cx="4827905" cy="8876030"/>
            <wp:effectExtent l="0" t="0" r="0" b="1270"/>
            <wp:wrapSquare wrapText="bothSides"/>
            <wp:docPr id="10586" name="Obrázek 10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4827905" cy="88760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1C32B0" w14:textId="77777777" w:rsidR="009617F5" w:rsidRPr="009617F5" w:rsidRDefault="009617F5" w:rsidP="009617F5">
      <w:pPr>
        <w:pStyle w:val="podnadpis1"/>
        <w:rPr>
          <w:rFonts w:cs="Arial"/>
        </w:rPr>
      </w:pPr>
      <w:r w:rsidRPr="009617F5">
        <w:rPr>
          <w:rFonts w:cs="Arial"/>
        </w:rPr>
        <w:lastRenderedPageBreak/>
        <w:t>n2.   zábor pupfl</w:t>
      </w:r>
    </w:p>
    <w:p w14:paraId="10D169ED"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sz w:val="22"/>
          <w:szCs w:val="22"/>
        </w:rPr>
        <w:t>Lesní porosty se rozkládají na ploše 5013 ha, což představuje 57 % a je to největší zastoupení ve struktuře ploch. Převážná část lesních porostů je ve správě Lesů ČR se sídlem v Hradci Králové, oblastní inspektorát Děčín. V lesích hospodářskou činnost provozuje a.s. Lesko Děčín. V rámci restitucí byly obecní lesy vráceny Městskému úřadu. Vybrané plochy těchto lesů uvažuje MěÚ převést na lesy rekreační, se sportovně rekreační funkcí a pro příměstskou turistiku. Hospodaření v lesích si zajišťuje MěÚ vlastní organizací.</w:t>
      </w:r>
    </w:p>
    <w:p w14:paraId="4CD95BF9"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sz w:val="22"/>
          <w:szCs w:val="22"/>
        </w:rPr>
        <w:t>Na pravém břehu Labe jsou lesní porosty ve správě Lesní správy Děčín, na levém břehu Lesní správy Sněžník.</w:t>
      </w:r>
    </w:p>
    <w:p w14:paraId="49AA461C"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sz w:val="22"/>
          <w:szCs w:val="22"/>
        </w:rPr>
        <w:t>Hospodářská činnost v lesích probíhá podle nového Lesního hospodářského plánu, který má platnost od r. 1995.</w:t>
      </w:r>
    </w:p>
    <w:p w14:paraId="2450742B"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sz w:val="22"/>
          <w:szCs w:val="22"/>
        </w:rPr>
        <w:t xml:space="preserve">Lesní porosty jsou zařazeny do kategorie lesů 3e- lesy postižené exhalacemi, místy se překrývají s  lesy půdoochrannými zvláště ve svažitých polohách a v místech, která jsou ohrožena sesuvy. </w:t>
      </w:r>
    </w:p>
    <w:p w14:paraId="3D8560D9"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sz w:val="22"/>
          <w:szCs w:val="22"/>
        </w:rPr>
        <w:t>Druhová skladba je přizpůsobena hospodářskému významu lesa, ze 60 % převládají jehličnaté porosty, z toho je smrku cca 62 %, borovice 38 %. Listnatých porostů je zhruba 40 %, největší zastoupení má buk 20 %, dub 15 % a ostatní listnaté dřeviny 5 %. V nové výsadbě se prosazují listnaté dřeviny (dub, jasan, lípa, buk), které se svou skladbou přibližují původní dřevinné skladbě lesa v tomto prostředí.</w:t>
      </w:r>
    </w:p>
    <w:p w14:paraId="40E14CC2" w14:textId="77777777" w:rsidR="009617F5" w:rsidRPr="009617F5" w:rsidRDefault="009617F5" w:rsidP="009617F5">
      <w:pPr>
        <w:pStyle w:val="Zkladntext"/>
        <w:spacing w:before="120" w:line="288" w:lineRule="auto"/>
        <w:jc w:val="both"/>
        <w:rPr>
          <w:rFonts w:ascii="Arial" w:hAnsi="Arial" w:cs="Arial"/>
          <w:sz w:val="22"/>
          <w:szCs w:val="22"/>
        </w:rPr>
      </w:pPr>
      <w:r w:rsidRPr="009617F5">
        <w:rPr>
          <w:rFonts w:ascii="Arial" w:hAnsi="Arial" w:cs="Arial"/>
          <w:b/>
          <w:bCs/>
          <w:sz w:val="22"/>
          <w:szCs w:val="22"/>
        </w:rPr>
        <w:t>Návrhem územního plánu dochází k záboru ploch určených k plnění funkce lesa - PUPFL v tomto rozsahu:</w:t>
      </w:r>
    </w:p>
    <w:p w14:paraId="3758BB15" w14:textId="77777777" w:rsidR="009617F5" w:rsidRPr="009617F5" w:rsidRDefault="009617F5" w:rsidP="009617F5">
      <w:pPr>
        <w:pStyle w:val="Zkladntext"/>
        <w:numPr>
          <w:ilvl w:val="0"/>
          <w:numId w:val="101"/>
        </w:numPr>
        <w:suppressAutoHyphens w:val="0"/>
        <w:autoSpaceDE w:val="0"/>
        <w:autoSpaceDN w:val="0"/>
        <w:adjustRightInd w:val="0"/>
        <w:spacing w:before="120" w:after="0" w:line="288" w:lineRule="auto"/>
        <w:ind w:left="426"/>
        <w:jc w:val="both"/>
        <w:rPr>
          <w:rFonts w:ascii="Arial" w:hAnsi="Arial" w:cs="Arial"/>
          <w:sz w:val="22"/>
          <w:szCs w:val="22"/>
        </w:rPr>
      </w:pPr>
      <w:r w:rsidRPr="009617F5">
        <w:rPr>
          <w:rFonts w:ascii="Arial" w:hAnsi="Arial" w:cs="Arial"/>
          <w:sz w:val="22"/>
          <w:szCs w:val="22"/>
        </w:rPr>
        <w:t xml:space="preserve">rekonstrukce MK Chlum-St. Město (F) </w:t>
      </w:r>
      <w:r w:rsidRPr="009617F5">
        <w:rPr>
          <w:rFonts w:ascii="Arial" w:hAnsi="Arial" w:cs="Arial"/>
          <w:sz w:val="22"/>
          <w:szCs w:val="22"/>
        </w:rPr>
        <w:tab/>
      </w:r>
      <w:r w:rsidRPr="009617F5">
        <w:rPr>
          <w:rFonts w:ascii="Arial" w:hAnsi="Arial" w:cs="Arial"/>
          <w:sz w:val="22"/>
          <w:szCs w:val="22"/>
        </w:rPr>
        <w:tab/>
        <w:t>0,01 ha (k. ú. St. Město, Horní Chlum);</w:t>
      </w:r>
    </w:p>
    <w:p w14:paraId="620DD67D" w14:textId="77777777" w:rsidR="009617F5" w:rsidRPr="009617F5" w:rsidRDefault="009617F5" w:rsidP="009617F5">
      <w:pPr>
        <w:pStyle w:val="Zkladntext"/>
        <w:numPr>
          <w:ilvl w:val="0"/>
          <w:numId w:val="101"/>
        </w:numPr>
        <w:suppressAutoHyphens w:val="0"/>
        <w:autoSpaceDE w:val="0"/>
        <w:autoSpaceDN w:val="0"/>
        <w:adjustRightInd w:val="0"/>
        <w:spacing w:before="120" w:after="0" w:line="288" w:lineRule="auto"/>
        <w:ind w:left="426"/>
        <w:jc w:val="both"/>
        <w:rPr>
          <w:rFonts w:ascii="Arial" w:hAnsi="Arial" w:cs="Arial"/>
          <w:sz w:val="22"/>
          <w:szCs w:val="22"/>
        </w:rPr>
      </w:pPr>
      <w:r w:rsidRPr="009617F5">
        <w:rPr>
          <w:rFonts w:ascii="Arial" w:hAnsi="Arial" w:cs="Arial"/>
          <w:sz w:val="22"/>
          <w:szCs w:val="22"/>
        </w:rPr>
        <w:t xml:space="preserve">přístupová MK k VD Prostřední Žleb </w:t>
      </w:r>
      <w:r w:rsidRPr="009617F5">
        <w:rPr>
          <w:rFonts w:ascii="Arial" w:hAnsi="Arial" w:cs="Arial"/>
          <w:sz w:val="22"/>
          <w:szCs w:val="22"/>
        </w:rPr>
        <w:tab/>
      </w:r>
      <w:r w:rsidRPr="009617F5">
        <w:rPr>
          <w:rFonts w:ascii="Arial" w:hAnsi="Arial" w:cs="Arial"/>
          <w:sz w:val="22"/>
          <w:szCs w:val="22"/>
        </w:rPr>
        <w:tab/>
        <w:t>0,02 ha (k. ú. Loubí).</w:t>
      </w:r>
    </w:p>
    <w:p w14:paraId="47EA6CA6" w14:textId="77777777" w:rsidR="009617F5" w:rsidRPr="009617F5" w:rsidRDefault="009617F5" w:rsidP="009617F5">
      <w:pPr>
        <w:pStyle w:val="Zkladntext"/>
        <w:spacing w:before="120" w:line="288" w:lineRule="auto"/>
        <w:ind w:firstLine="709"/>
        <w:jc w:val="both"/>
        <w:rPr>
          <w:rFonts w:ascii="Arial" w:hAnsi="Arial" w:cs="Arial"/>
          <w:sz w:val="22"/>
          <w:szCs w:val="22"/>
        </w:rPr>
      </w:pPr>
      <w:r w:rsidRPr="009617F5">
        <w:rPr>
          <w:rFonts w:ascii="Arial" w:hAnsi="Arial" w:cs="Arial"/>
          <w:sz w:val="22"/>
          <w:szCs w:val="22"/>
        </w:rPr>
        <w:t>Vyhodnocení trvalého záboru (výpočtu trvalého záboru) PUPFL, provede referát životního prostředí OkÚ Děčín, který je tímto úkolem ze zákona pověřen (viz. vyjádření referátu životního prostředí Okresního úřadu Děčín ze dne 06. 06. 1997).</w:t>
      </w:r>
    </w:p>
    <w:p w14:paraId="07570416" w14:textId="77777777" w:rsidR="009617F5" w:rsidRPr="009617F5" w:rsidRDefault="009617F5" w:rsidP="009617F5">
      <w:pPr>
        <w:pStyle w:val="Zkladntext"/>
        <w:rPr>
          <w:rFonts w:ascii="Arial" w:hAnsi="Arial" w:cs="Arial"/>
        </w:rPr>
      </w:pPr>
    </w:p>
    <w:p w14:paraId="3044630F" w14:textId="77777777" w:rsidR="009617F5" w:rsidRPr="009617F5" w:rsidRDefault="009617F5" w:rsidP="009617F5">
      <w:pPr>
        <w:pStyle w:val="Zkladntext"/>
        <w:rPr>
          <w:rFonts w:ascii="Arial" w:hAnsi="Arial" w:cs="Arial"/>
        </w:rPr>
      </w:pPr>
    </w:p>
    <w:p w14:paraId="4A991096" w14:textId="77777777" w:rsidR="009617F5" w:rsidRPr="009617F5" w:rsidRDefault="009617F5" w:rsidP="009617F5">
      <w:pPr>
        <w:tabs>
          <w:tab w:val="decimal" w:pos="72"/>
          <w:tab w:val="decimal" w:pos="144"/>
          <w:tab w:val="right" w:pos="2679"/>
        </w:tabs>
        <w:spacing w:before="120" w:line="288" w:lineRule="auto"/>
        <w:ind w:left="74"/>
        <w:jc w:val="both"/>
        <w:rPr>
          <w:rFonts w:ascii="Arial" w:hAnsi="Arial" w:cs="Arial"/>
          <w:b/>
          <w:color w:val="00B050"/>
          <w:spacing w:val="3"/>
        </w:rPr>
      </w:pPr>
      <w:r w:rsidRPr="009617F5">
        <w:rPr>
          <w:rFonts w:ascii="Arial" w:hAnsi="Arial" w:cs="Arial"/>
          <w:b/>
          <w:color w:val="00B050"/>
          <w:spacing w:val="3"/>
        </w:rPr>
        <w:t>(Z1) VYHODNOCENÍ PŘEDPOKLÁDANÝCH DŮSLEDKŮ NAVRHOVANÉHO ŘEŠENÍ NA ŽIVOTNÍ PROSTŘEDÍ, NA ZEMĚDĚLSKÝ PŮDNÍ FOND A NA POZEMKY URČENÉ K PLNĚNÍ FUNKCE LESA PODLE ZVLÁŠTNÍCH PŘEDPISŮ (TEXT PŘEVZAT Z ODŮVODNĚNÍ  ZMĚNY Č. 2)</w:t>
      </w:r>
    </w:p>
    <w:p w14:paraId="6D1E3809" w14:textId="77777777" w:rsidR="009617F5" w:rsidRPr="009617F5" w:rsidRDefault="009617F5" w:rsidP="009617F5">
      <w:pPr>
        <w:tabs>
          <w:tab w:val="decimal" w:pos="72"/>
          <w:tab w:val="decimal" w:pos="144"/>
          <w:tab w:val="right" w:pos="2679"/>
        </w:tabs>
        <w:spacing w:before="120" w:line="288" w:lineRule="auto"/>
        <w:ind w:left="74"/>
        <w:jc w:val="both"/>
        <w:rPr>
          <w:rFonts w:ascii="Arial" w:hAnsi="Arial" w:cs="Arial"/>
          <w:b/>
          <w:color w:val="00B050"/>
          <w:spacing w:val="3"/>
          <w:sz w:val="22"/>
          <w:szCs w:val="22"/>
        </w:rPr>
      </w:pPr>
      <w:r w:rsidRPr="009617F5">
        <w:rPr>
          <w:rFonts w:ascii="Arial" w:hAnsi="Arial" w:cs="Arial"/>
          <w:b/>
          <w:color w:val="00B050"/>
          <w:spacing w:val="3"/>
          <w:sz w:val="22"/>
          <w:szCs w:val="22"/>
        </w:rPr>
        <w:t>PŘEDPOKLÁDANÉ DŮSLEDKY NA ŽIVOTNÍ PROSTŘEDÍ</w:t>
      </w:r>
    </w:p>
    <w:p w14:paraId="3B58A08A" w14:textId="77777777" w:rsidR="009617F5" w:rsidRPr="009617F5" w:rsidRDefault="009617F5" w:rsidP="009617F5">
      <w:pPr>
        <w:tabs>
          <w:tab w:val="decimal" w:pos="72"/>
          <w:tab w:val="decimal" w:pos="144"/>
          <w:tab w:val="right" w:pos="2679"/>
        </w:tabs>
        <w:spacing w:before="120" w:line="288" w:lineRule="auto"/>
        <w:ind w:left="74" w:firstLine="709"/>
        <w:jc w:val="both"/>
        <w:rPr>
          <w:rFonts w:ascii="Arial" w:hAnsi="Arial" w:cs="Arial"/>
          <w:color w:val="00B050"/>
          <w:spacing w:val="3"/>
          <w:sz w:val="22"/>
          <w:szCs w:val="22"/>
        </w:rPr>
      </w:pPr>
      <w:r w:rsidRPr="009617F5">
        <w:rPr>
          <w:rFonts w:ascii="Arial" w:hAnsi="Arial" w:cs="Arial"/>
          <w:color w:val="00B050"/>
          <w:spacing w:val="3"/>
          <w:sz w:val="22"/>
          <w:szCs w:val="22"/>
        </w:rPr>
        <w:t>V souladu s § 17 odst. a) zákona. 86/2002 Sb., nově navržené lokality musí respektovat požadavky na ochranu ovzduší k zabezpečení jeho odpovídající kvality v souladu s emisním stropem a programy snižování emisí znečišťujících látek.</w:t>
      </w:r>
    </w:p>
    <w:p w14:paraId="52139DEE" w14:textId="77777777" w:rsidR="009617F5" w:rsidRPr="009617F5" w:rsidRDefault="009617F5" w:rsidP="009617F5">
      <w:pPr>
        <w:tabs>
          <w:tab w:val="decimal" w:pos="72"/>
          <w:tab w:val="decimal" w:pos="144"/>
          <w:tab w:val="right" w:pos="2679"/>
        </w:tabs>
        <w:spacing w:before="120" w:line="288" w:lineRule="auto"/>
        <w:ind w:left="74"/>
        <w:jc w:val="both"/>
        <w:rPr>
          <w:rFonts w:ascii="Arial" w:hAnsi="Arial" w:cs="Arial"/>
          <w:b/>
          <w:color w:val="00B050"/>
          <w:spacing w:val="3"/>
          <w:sz w:val="22"/>
          <w:szCs w:val="22"/>
        </w:rPr>
      </w:pPr>
    </w:p>
    <w:p w14:paraId="559E9E75" w14:textId="77777777" w:rsidR="009617F5" w:rsidRPr="009617F5" w:rsidRDefault="009617F5" w:rsidP="009617F5">
      <w:pPr>
        <w:tabs>
          <w:tab w:val="decimal" w:pos="72"/>
          <w:tab w:val="decimal" w:pos="144"/>
          <w:tab w:val="right" w:pos="2679"/>
        </w:tabs>
        <w:spacing w:before="120" w:line="288" w:lineRule="auto"/>
        <w:ind w:left="74"/>
        <w:jc w:val="both"/>
        <w:rPr>
          <w:rFonts w:ascii="Arial" w:hAnsi="Arial" w:cs="Arial"/>
          <w:b/>
          <w:color w:val="00B050"/>
          <w:spacing w:val="3"/>
          <w:sz w:val="22"/>
          <w:szCs w:val="22"/>
        </w:rPr>
      </w:pPr>
      <w:r w:rsidRPr="009617F5">
        <w:rPr>
          <w:rFonts w:ascii="Arial" w:hAnsi="Arial" w:cs="Arial"/>
          <w:b/>
          <w:color w:val="00B050"/>
          <w:spacing w:val="3"/>
          <w:sz w:val="22"/>
          <w:szCs w:val="22"/>
        </w:rPr>
        <w:lastRenderedPageBreak/>
        <w:t>PŘEDPOKLÁDANÉ DŮSLEDKY NA ZEMĚDĚLSKÝ PŮDNÍ FOND</w:t>
      </w:r>
    </w:p>
    <w:p w14:paraId="4131D707" w14:textId="77777777" w:rsidR="009617F5" w:rsidRPr="009617F5" w:rsidRDefault="009617F5" w:rsidP="009617F5">
      <w:pPr>
        <w:tabs>
          <w:tab w:val="decimal" w:pos="72"/>
          <w:tab w:val="decimal" w:pos="144"/>
          <w:tab w:val="right" w:pos="2679"/>
        </w:tabs>
        <w:spacing w:before="120" w:line="288" w:lineRule="auto"/>
        <w:ind w:left="74"/>
        <w:jc w:val="both"/>
        <w:rPr>
          <w:rFonts w:ascii="Arial" w:hAnsi="Arial" w:cs="Arial"/>
          <w:b/>
          <w:color w:val="00B050"/>
          <w:spacing w:val="3"/>
          <w:sz w:val="22"/>
          <w:szCs w:val="22"/>
        </w:rPr>
      </w:pPr>
      <w:r w:rsidRPr="009617F5">
        <w:rPr>
          <w:rFonts w:ascii="Arial" w:hAnsi="Arial" w:cs="Arial"/>
          <w:b/>
          <w:color w:val="00B050"/>
          <w:spacing w:val="3"/>
          <w:sz w:val="22"/>
          <w:szCs w:val="22"/>
        </w:rPr>
        <w:t>VYHODNOCENÍ PŘEDPOKLÁDANÉHO ZÁBORU ZPF</w:t>
      </w:r>
    </w:p>
    <w:p w14:paraId="3013104B" w14:textId="77777777" w:rsidR="009617F5" w:rsidRPr="009617F5" w:rsidRDefault="009617F5" w:rsidP="009617F5">
      <w:pPr>
        <w:tabs>
          <w:tab w:val="decimal" w:pos="72"/>
          <w:tab w:val="decimal" w:pos="144"/>
          <w:tab w:val="right" w:pos="2679"/>
        </w:tabs>
        <w:spacing w:before="120" w:line="288" w:lineRule="auto"/>
        <w:ind w:left="74"/>
        <w:jc w:val="both"/>
        <w:rPr>
          <w:rFonts w:ascii="Arial" w:hAnsi="Arial" w:cs="Arial"/>
          <w:b/>
          <w:color w:val="00B050"/>
          <w:spacing w:val="3"/>
          <w:sz w:val="22"/>
          <w:szCs w:val="22"/>
        </w:rPr>
      </w:pPr>
    </w:p>
    <w:p w14:paraId="6664E489" w14:textId="77777777" w:rsidR="009617F5" w:rsidRPr="009617F5" w:rsidRDefault="009617F5" w:rsidP="009617F5">
      <w:pPr>
        <w:tabs>
          <w:tab w:val="decimal" w:pos="72"/>
          <w:tab w:val="decimal" w:pos="144"/>
          <w:tab w:val="right" w:pos="2679"/>
        </w:tabs>
        <w:spacing w:before="36" w:line="276" w:lineRule="auto"/>
        <w:ind w:left="72"/>
        <w:jc w:val="both"/>
        <w:rPr>
          <w:rFonts w:ascii="Arial" w:hAnsi="Arial" w:cs="Arial"/>
          <w:color w:val="00B050"/>
          <w:spacing w:val="3"/>
          <w:sz w:val="22"/>
          <w:szCs w:val="22"/>
        </w:rPr>
      </w:pPr>
      <w:r w:rsidRPr="009617F5">
        <w:rPr>
          <w:rFonts w:ascii="Arial" w:hAnsi="Arial" w:cs="Arial"/>
          <w:noProof/>
          <w:color w:val="00B050"/>
          <w:spacing w:val="3"/>
          <w:sz w:val="22"/>
          <w:szCs w:val="22"/>
          <w:lang w:eastAsia="cs-CZ"/>
        </w:rPr>
        <w:drawing>
          <wp:inline distT="0" distB="0" distL="0" distR="0" wp14:anchorId="78BE903C" wp14:editId="41B043E2">
            <wp:extent cx="5691505" cy="1891665"/>
            <wp:effectExtent l="38100" t="38100" r="42545" b="32385"/>
            <wp:docPr id="10561" name="Obrázek 10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2"/>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5691505" cy="1891665"/>
                    </a:xfrm>
                    <a:prstGeom prst="rect">
                      <a:avLst/>
                    </a:prstGeom>
                    <a:noFill/>
                    <a:ln w="38100" cmpd="sng">
                      <a:solidFill>
                        <a:srgbClr val="00B050"/>
                      </a:solidFill>
                      <a:miter lim="800000"/>
                      <a:headEnd/>
                      <a:tailEnd/>
                    </a:ln>
                    <a:effectLst/>
                  </pic:spPr>
                </pic:pic>
              </a:graphicData>
            </a:graphic>
          </wp:inline>
        </w:drawing>
      </w:r>
    </w:p>
    <w:p w14:paraId="47A04D10" w14:textId="77777777" w:rsidR="009617F5" w:rsidRPr="009617F5" w:rsidRDefault="009617F5" w:rsidP="009617F5">
      <w:pPr>
        <w:tabs>
          <w:tab w:val="decimal" w:pos="72"/>
          <w:tab w:val="decimal" w:pos="144"/>
          <w:tab w:val="right" w:pos="2679"/>
        </w:tabs>
        <w:spacing w:before="36" w:line="276" w:lineRule="auto"/>
        <w:ind w:left="72"/>
        <w:jc w:val="both"/>
        <w:rPr>
          <w:rFonts w:ascii="Arial" w:hAnsi="Arial" w:cs="Arial"/>
          <w:color w:val="00B050"/>
          <w:spacing w:val="3"/>
          <w:sz w:val="22"/>
          <w:szCs w:val="22"/>
        </w:rPr>
      </w:pPr>
      <w:r w:rsidRPr="009617F5">
        <w:rPr>
          <w:rFonts w:ascii="Arial" w:hAnsi="Arial" w:cs="Arial"/>
          <w:noProof/>
          <w:color w:val="00B050"/>
          <w:spacing w:val="3"/>
          <w:sz w:val="22"/>
          <w:szCs w:val="22"/>
          <w:lang w:eastAsia="cs-CZ"/>
        </w:rPr>
        <w:lastRenderedPageBreak/>
        <w:drawing>
          <wp:inline distT="0" distB="0" distL="0" distR="0" wp14:anchorId="22291922" wp14:editId="1DB5F3A3">
            <wp:extent cx="5581015" cy="7756525"/>
            <wp:effectExtent l="38100" t="38100" r="38735" b="34925"/>
            <wp:docPr id="10560" name="Obrázek 10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4"/>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5581015" cy="7756525"/>
                    </a:xfrm>
                    <a:prstGeom prst="rect">
                      <a:avLst/>
                    </a:prstGeom>
                    <a:noFill/>
                    <a:ln w="38100" cmpd="sng">
                      <a:solidFill>
                        <a:srgbClr val="00B050"/>
                      </a:solidFill>
                      <a:miter lim="800000"/>
                      <a:headEnd/>
                      <a:tailEnd/>
                    </a:ln>
                    <a:effectLst/>
                  </pic:spPr>
                </pic:pic>
              </a:graphicData>
            </a:graphic>
          </wp:inline>
        </w:drawing>
      </w:r>
    </w:p>
    <w:p w14:paraId="6BB92ADD" w14:textId="77777777" w:rsidR="009617F5" w:rsidRPr="009617F5" w:rsidRDefault="009617F5" w:rsidP="009617F5">
      <w:pPr>
        <w:tabs>
          <w:tab w:val="decimal" w:pos="72"/>
          <w:tab w:val="decimal" w:pos="144"/>
          <w:tab w:val="right" w:pos="2679"/>
        </w:tabs>
        <w:spacing w:before="36" w:line="276" w:lineRule="auto"/>
        <w:ind w:left="72"/>
        <w:jc w:val="both"/>
        <w:rPr>
          <w:rFonts w:ascii="Arial" w:hAnsi="Arial" w:cs="Arial"/>
          <w:color w:val="00B050"/>
          <w:spacing w:val="3"/>
          <w:sz w:val="22"/>
          <w:szCs w:val="22"/>
        </w:rPr>
      </w:pPr>
      <w:r w:rsidRPr="009617F5">
        <w:rPr>
          <w:rFonts w:ascii="Arial" w:hAnsi="Arial" w:cs="Arial"/>
          <w:noProof/>
          <w:color w:val="00B050"/>
          <w:spacing w:val="3"/>
          <w:sz w:val="22"/>
          <w:szCs w:val="22"/>
          <w:lang w:eastAsia="cs-CZ"/>
        </w:rPr>
        <w:lastRenderedPageBreak/>
        <w:drawing>
          <wp:inline distT="0" distB="0" distL="0" distR="0" wp14:anchorId="68507639" wp14:editId="71D469E1">
            <wp:extent cx="5581015" cy="6684645"/>
            <wp:effectExtent l="38100" t="38100" r="38735" b="40005"/>
            <wp:docPr id="25343" name="Obrázek 25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5"/>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5581015" cy="6684645"/>
                    </a:xfrm>
                    <a:prstGeom prst="rect">
                      <a:avLst/>
                    </a:prstGeom>
                    <a:noFill/>
                    <a:ln w="38100" cmpd="sng">
                      <a:solidFill>
                        <a:srgbClr val="00B050"/>
                      </a:solidFill>
                      <a:miter lim="800000"/>
                      <a:headEnd/>
                      <a:tailEnd/>
                    </a:ln>
                    <a:effectLst/>
                  </pic:spPr>
                </pic:pic>
              </a:graphicData>
            </a:graphic>
          </wp:inline>
        </w:drawing>
      </w:r>
    </w:p>
    <w:p w14:paraId="39AE4823" w14:textId="77777777" w:rsidR="009617F5" w:rsidRPr="009617F5" w:rsidRDefault="009617F5" w:rsidP="009617F5">
      <w:pPr>
        <w:tabs>
          <w:tab w:val="decimal" w:pos="72"/>
          <w:tab w:val="decimal" w:pos="144"/>
          <w:tab w:val="right" w:pos="2679"/>
        </w:tabs>
        <w:spacing w:before="120" w:line="288" w:lineRule="auto"/>
        <w:ind w:left="72"/>
        <w:jc w:val="both"/>
        <w:rPr>
          <w:rFonts w:ascii="Arial" w:hAnsi="Arial" w:cs="Arial"/>
          <w:b/>
          <w:color w:val="00B050"/>
          <w:spacing w:val="3"/>
          <w:sz w:val="22"/>
          <w:szCs w:val="22"/>
        </w:rPr>
      </w:pPr>
    </w:p>
    <w:p w14:paraId="6E123743" w14:textId="77777777" w:rsidR="009617F5" w:rsidRPr="009617F5" w:rsidRDefault="009617F5" w:rsidP="009617F5">
      <w:pPr>
        <w:tabs>
          <w:tab w:val="decimal" w:pos="72"/>
          <w:tab w:val="decimal" w:pos="144"/>
          <w:tab w:val="right" w:pos="2679"/>
        </w:tabs>
        <w:spacing w:before="120" w:line="288" w:lineRule="auto"/>
        <w:ind w:left="72"/>
        <w:jc w:val="both"/>
        <w:rPr>
          <w:rFonts w:ascii="Arial" w:hAnsi="Arial" w:cs="Arial"/>
          <w:b/>
          <w:color w:val="00B050"/>
          <w:spacing w:val="3"/>
          <w:sz w:val="22"/>
          <w:szCs w:val="22"/>
        </w:rPr>
      </w:pPr>
      <w:r w:rsidRPr="009617F5">
        <w:rPr>
          <w:rFonts w:ascii="Arial" w:hAnsi="Arial" w:cs="Arial"/>
          <w:b/>
          <w:color w:val="00B050"/>
          <w:spacing w:val="3"/>
          <w:sz w:val="22"/>
          <w:szCs w:val="22"/>
        </w:rPr>
        <w:t>PŘEDPOKLÁDANÉ DŮSLEDKY NA LESNÍ PŮDNÍ FOND</w:t>
      </w:r>
    </w:p>
    <w:p w14:paraId="4BDEE94B" w14:textId="77777777" w:rsidR="009617F5" w:rsidRPr="009617F5" w:rsidRDefault="009617F5" w:rsidP="009617F5">
      <w:pPr>
        <w:spacing w:before="120" w:line="288" w:lineRule="auto"/>
        <w:ind w:left="72" w:firstLine="637"/>
        <w:jc w:val="both"/>
        <w:rPr>
          <w:rFonts w:ascii="Arial" w:hAnsi="Arial" w:cs="Arial"/>
          <w:color w:val="00B050"/>
          <w:spacing w:val="3"/>
          <w:sz w:val="22"/>
          <w:szCs w:val="22"/>
        </w:rPr>
      </w:pPr>
      <w:r w:rsidRPr="009617F5">
        <w:rPr>
          <w:rFonts w:ascii="Arial" w:hAnsi="Arial" w:cs="Arial"/>
          <w:color w:val="00B050"/>
          <w:spacing w:val="3"/>
          <w:sz w:val="22"/>
          <w:szCs w:val="22"/>
        </w:rPr>
        <w:t>K záboru lesního &amp; půdního fondu, v důsledku návrhu 1. změny ÚPn M, nedochází.</w:t>
      </w:r>
    </w:p>
    <w:p w14:paraId="41A8C813" w14:textId="77777777" w:rsidR="009617F5" w:rsidRPr="009617F5" w:rsidRDefault="009617F5" w:rsidP="009617F5">
      <w:pPr>
        <w:tabs>
          <w:tab w:val="decimal" w:pos="72"/>
          <w:tab w:val="decimal" w:pos="144"/>
          <w:tab w:val="right" w:pos="2679"/>
        </w:tabs>
        <w:spacing w:before="120" w:line="288" w:lineRule="auto"/>
        <w:ind w:left="72"/>
        <w:jc w:val="both"/>
        <w:rPr>
          <w:rFonts w:ascii="Arial" w:hAnsi="Arial" w:cs="Arial"/>
          <w:color w:val="00B050"/>
          <w:spacing w:val="3"/>
          <w:sz w:val="22"/>
          <w:szCs w:val="22"/>
        </w:rPr>
      </w:pPr>
    </w:p>
    <w:p w14:paraId="031054FA" w14:textId="77777777" w:rsidR="009617F5" w:rsidRPr="009617F5" w:rsidRDefault="009617F5" w:rsidP="009617F5">
      <w:pPr>
        <w:tabs>
          <w:tab w:val="decimal" w:pos="72"/>
          <w:tab w:val="decimal" w:pos="144"/>
          <w:tab w:val="left" w:pos="993"/>
          <w:tab w:val="right" w:pos="2679"/>
        </w:tabs>
        <w:spacing w:before="120" w:line="288" w:lineRule="auto"/>
        <w:ind w:left="72"/>
        <w:jc w:val="both"/>
        <w:rPr>
          <w:rFonts w:ascii="Arial" w:hAnsi="Arial" w:cs="Arial"/>
          <w:b/>
          <w:color w:val="BF8F00"/>
          <w:spacing w:val="3"/>
          <w:sz w:val="22"/>
          <w:szCs w:val="22"/>
        </w:rPr>
      </w:pPr>
      <w:r w:rsidRPr="009617F5">
        <w:rPr>
          <w:rFonts w:ascii="Arial" w:hAnsi="Arial" w:cs="Arial"/>
          <w:color w:val="BF8F00"/>
          <w:spacing w:val="3"/>
          <w:sz w:val="22"/>
          <w:szCs w:val="22"/>
        </w:rPr>
        <w:br w:type="page"/>
      </w:r>
      <w:r w:rsidRPr="009617F5">
        <w:rPr>
          <w:rFonts w:ascii="Arial" w:hAnsi="Arial" w:cs="Arial"/>
          <w:b/>
          <w:color w:val="BF8F00"/>
          <w:spacing w:val="3"/>
          <w:szCs w:val="22"/>
        </w:rPr>
        <w:lastRenderedPageBreak/>
        <w:t>(Z2)</w:t>
      </w:r>
      <w:r w:rsidRPr="009617F5">
        <w:rPr>
          <w:rFonts w:ascii="Arial" w:hAnsi="Arial" w:cs="Arial"/>
          <w:b/>
          <w:color w:val="BF8F00"/>
          <w:spacing w:val="3"/>
          <w:szCs w:val="22"/>
        </w:rPr>
        <w:tab/>
        <w:t>PŘEDPOKLÁDANÉ DŮSLEDKY NA ŽIVOTNÍ PROSTŘEDÍ</w:t>
      </w:r>
    </w:p>
    <w:p w14:paraId="2498A6A8" w14:textId="77777777" w:rsidR="009617F5" w:rsidRPr="009617F5" w:rsidRDefault="009617F5" w:rsidP="009617F5">
      <w:pPr>
        <w:spacing w:after="397" w:line="248" w:lineRule="auto"/>
        <w:ind w:right="11"/>
        <w:rPr>
          <w:rFonts w:ascii="Arial" w:hAnsi="Arial" w:cs="Arial"/>
          <w:color w:val="BF8F00"/>
          <w:sz w:val="22"/>
        </w:rPr>
      </w:pPr>
      <w:r w:rsidRPr="009617F5">
        <w:rPr>
          <w:rFonts w:ascii="Arial" w:eastAsia="Calibri" w:hAnsi="Arial" w:cs="Arial"/>
          <w:color w:val="BF8F00"/>
          <w:sz w:val="22"/>
        </w:rPr>
        <w:t>V souladu s §17 odst. a) zákona. 86/2002 Sb. nově navržené lokality respektují požadavky na ochranu ovzduší k zabezpečení jeho odpovídající kvality v souladu s emisním stropem a programy snižování emisí znečišťujících látek.</w:t>
      </w:r>
    </w:p>
    <w:p w14:paraId="0F3E387A" w14:textId="77777777" w:rsidR="009617F5" w:rsidRPr="009617F5" w:rsidRDefault="009617F5" w:rsidP="009617F5">
      <w:pPr>
        <w:tabs>
          <w:tab w:val="decimal" w:pos="72"/>
          <w:tab w:val="decimal" w:pos="144"/>
          <w:tab w:val="right" w:pos="2679"/>
        </w:tabs>
        <w:spacing w:before="120" w:line="288" w:lineRule="auto"/>
        <w:ind w:left="72"/>
        <w:jc w:val="both"/>
        <w:rPr>
          <w:rFonts w:ascii="Arial" w:hAnsi="Arial" w:cs="Arial"/>
        </w:rPr>
      </w:pPr>
      <w:r w:rsidRPr="009617F5">
        <w:rPr>
          <w:rFonts w:ascii="Arial" w:hAnsi="Arial" w:cs="Arial"/>
          <w:color w:val="BF8F00"/>
          <w:spacing w:val="3"/>
          <w:sz w:val="22"/>
          <w:szCs w:val="22"/>
        </w:rPr>
        <w:t xml:space="preserve"> (</w:t>
      </w:r>
      <w:r w:rsidRPr="009617F5">
        <w:rPr>
          <w:rFonts w:ascii="Arial" w:hAnsi="Arial" w:cs="Arial"/>
          <w:b/>
          <w:color w:val="BF8F00"/>
          <w:spacing w:val="3"/>
        </w:rPr>
        <w:t>Z2) PŘEDPOKLÁDANÉ DŮSLEDKY NAVRHOVANÉHO ŘEŠENÍ NA ZEMĚDĚLSKÝ PŮDNÍ FOND</w:t>
      </w:r>
    </w:p>
    <w:p w14:paraId="610968B3" w14:textId="77777777" w:rsidR="009617F5" w:rsidRPr="009617F5" w:rsidRDefault="009617F5" w:rsidP="009617F5">
      <w:pPr>
        <w:spacing w:line="259" w:lineRule="auto"/>
        <w:ind w:right="10555"/>
        <w:jc w:val="right"/>
        <w:rPr>
          <w:rFonts w:ascii="Arial" w:hAnsi="Arial" w:cs="Arial"/>
          <w:noProof/>
        </w:rPr>
      </w:pPr>
      <w:r w:rsidRPr="009617F5">
        <w:rPr>
          <w:rFonts w:ascii="Arial" w:hAnsi="Arial" w:cs="Arial"/>
          <w:noProof/>
          <w:lang w:eastAsia="cs-CZ"/>
        </w:rPr>
        <w:drawing>
          <wp:anchor distT="0" distB="0" distL="114300" distR="114300" simplePos="0" relativeHeight="251750400" behindDoc="0" locked="0" layoutInCell="1" allowOverlap="0" wp14:anchorId="7CEEE2A2" wp14:editId="73795177">
            <wp:simplePos x="0" y="0"/>
            <wp:positionH relativeFrom="page">
              <wp:posOffset>420370</wp:posOffset>
            </wp:positionH>
            <wp:positionV relativeFrom="page">
              <wp:posOffset>3198495</wp:posOffset>
            </wp:positionV>
            <wp:extent cx="12065" cy="24130"/>
            <wp:effectExtent l="0" t="0" r="0" b="0"/>
            <wp:wrapTopAndBottom/>
            <wp:docPr id="10585" name="Obrázek 10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704"/>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12065" cy="241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lang w:eastAsia="cs-CZ"/>
        </w:rPr>
        <w:drawing>
          <wp:anchor distT="0" distB="0" distL="114300" distR="114300" simplePos="0" relativeHeight="251751424" behindDoc="0" locked="0" layoutInCell="1" allowOverlap="0" wp14:anchorId="103742BC" wp14:editId="3307ED8E">
            <wp:simplePos x="0" y="0"/>
            <wp:positionH relativeFrom="page">
              <wp:posOffset>7186930</wp:posOffset>
            </wp:positionH>
            <wp:positionV relativeFrom="page">
              <wp:posOffset>2146300</wp:posOffset>
            </wp:positionV>
            <wp:extent cx="8890" cy="8890"/>
            <wp:effectExtent l="0" t="0" r="0" b="0"/>
            <wp:wrapTopAndBottom/>
            <wp:docPr id="10584" name="Obrázek 10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24"/>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lang w:eastAsia="cs-CZ"/>
        </w:rPr>
        <w:drawing>
          <wp:anchor distT="0" distB="0" distL="114300" distR="114300" simplePos="0" relativeHeight="251752448" behindDoc="0" locked="0" layoutInCell="1" allowOverlap="0" wp14:anchorId="52313075" wp14:editId="441CEA78">
            <wp:simplePos x="0" y="0"/>
            <wp:positionH relativeFrom="page">
              <wp:posOffset>7184390</wp:posOffset>
            </wp:positionH>
            <wp:positionV relativeFrom="page">
              <wp:posOffset>2487930</wp:posOffset>
            </wp:positionV>
            <wp:extent cx="76200" cy="45720"/>
            <wp:effectExtent l="0" t="0" r="0" b="0"/>
            <wp:wrapTopAndBottom/>
            <wp:docPr id="10583" name="Obrázek 10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706"/>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76200" cy="45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lang w:eastAsia="cs-CZ"/>
        </w:rPr>
        <w:drawing>
          <wp:anchor distT="0" distB="0" distL="114300" distR="114300" simplePos="0" relativeHeight="251753472" behindDoc="0" locked="0" layoutInCell="1" allowOverlap="0" wp14:anchorId="245BE200" wp14:editId="73F9DCC2">
            <wp:simplePos x="0" y="0"/>
            <wp:positionH relativeFrom="page">
              <wp:posOffset>621665</wp:posOffset>
            </wp:positionH>
            <wp:positionV relativeFrom="page">
              <wp:posOffset>9183370</wp:posOffset>
            </wp:positionV>
            <wp:extent cx="6350" cy="6350"/>
            <wp:effectExtent l="0" t="0" r="0" b="0"/>
            <wp:wrapTopAndBottom/>
            <wp:docPr id="10582" name="Obrázek 10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45"/>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lang w:eastAsia="cs-CZ"/>
        </w:rPr>
        <w:drawing>
          <wp:anchor distT="0" distB="0" distL="114300" distR="114300" simplePos="0" relativeHeight="251754496" behindDoc="0" locked="0" layoutInCell="1" allowOverlap="0" wp14:anchorId="5396F89C" wp14:editId="61CC5582">
            <wp:simplePos x="0" y="0"/>
            <wp:positionH relativeFrom="page">
              <wp:posOffset>539750</wp:posOffset>
            </wp:positionH>
            <wp:positionV relativeFrom="page">
              <wp:posOffset>9268460</wp:posOffset>
            </wp:positionV>
            <wp:extent cx="8890" cy="6350"/>
            <wp:effectExtent l="0" t="0" r="0" b="0"/>
            <wp:wrapTopAndBottom/>
            <wp:docPr id="10581" name="Obrázek 10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46"/>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8890" cy="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lang w:eastAsia="cs-CZ"/>
        </w:rPr>
        <w:drawing>
          <wp:anchor distT="0" distB="0" distL="114300" distR="114300" simplePos="0" relativeHeight="251755520" behindDoc="0" locked="0" layoutInCell="1" allowOverlap="0" wp14:anchorId="76F93816" wp14:editId="51E9985B">
            <wp:simplePos x="0" y="0"/>
            <wp:positionH relativeFrom="page">
              <wp:posOffset>466090</wp:posOffset>
            </wp:positionH>
            <wp:positionV relativeFrom="page">
              <wp:posOffset>4896485</wp:posOffset>
            </wp:positionV>
            <wp:extent cx="39370" cy="52070"/>
            <wp:effectExtent l="0" t="0" r="0" b="5080"/>
            <wp:wrapTopAndBottom/>
            <wp:docPr id="10580" name="Obrázek 10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708"/>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39370" cy="520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lang w:eastAsia="cs-CZ"/>
        </w:rPr>
        <w:drawing>
          <wp:anchor distT="0" distB="0" distL="114300" distR="114300" simplePos="0" relativeHeight="251756544" behindDoc="0" locked="0" layoutInCell="1" allowOverlap="0" wp14:anchorId="0986B859" wp14:editId="105AE748">
            <wp:simplePos x="0" y="0"/>
            <wp:positionH relativeFrom="page">
              <wp:posOffset>7186930</wp:posOffset>
            </wp:positionH>
            <wp:positionV relativeFrom="page">
              <wp:posOffset>5024755</wp:posOffset>
            </wp:positionV>
            <wp:extent cx="6350" cy="3175"/>
            <wp:effectExtent l="0" t="0" r="0" b="0"/>
            <wp:wrapTopAndBottom/>
            <wp:docPr id="10579" name="Obrázek 10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37"/>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6350"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lang w:eastAsia="cs-CZ"/>
        </w:rPr>
        <w:drawing>
          <wp:anchor distT="0" distB="0" distL="114300" distR="114300" simplePos="0" relativeHeight="251757568" behindDoc="0" locked="0" layoutInCell="1" allowOverlap="0" wp14:anchorId="0A676A6F" wp14:editId="3C6ADD6C">
            <wp:simplePos x="0" y="0"/>
            <wp:positionH relativeFrom="page">
              <wp:posOffset>7181215</wp:posOffset>
            </wp:positionH>
            <wp:positionV relativeFrom="page">
              <wp:posOffset>5680075</wp:posOffset>
            </wp:positionV>
            <wp:extent cx="24130" cy="39370"/>
            <wp:effectExtent l="0" t="0" r="0" b="0"/>
            <wp:wrapTopAndBottom/>
            <wp:docPr id="10578" name="Obrázek 10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710"/>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24130" cy="393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lang w:eastAsia="cs-CZ"/>
        </w:rPr>
        <w:drawing>
          <wp:anchor distT="0" distB="0" distL="114300" distR="114300" simplePos="0" relativeHeight="251758592" behindDoc="0" locked="0" layoutInCell="1" allowOverlap="0" wp14:anchorId="6ABD3B71" wp14:editId="789E5BA1">
            <wp:simplePos x="0" y="0"/>
            <wp:positionH relativeFrom="page">
              <wp:posOffset>7193280</wp:posOffset>
            </wp:positionH>
            <wp:positionV relativeFrom="page">
              <wp:posOffset>6512560</wp:posOffset>
            </wp:positionV>
            <wp:extent cx="3175" cy="6350"/>
            <wp:effectExtent l="0" t="0" r="0" b="0"/>
            <wp:wrapTopAndBottom/>
            <wp:docPr id="10577" name="Obrázek 10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42"/>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3175" cy="6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0286B3" w14:textId="77777777" w:rsidR="009617F5" w:rsidRPr="009617F5" w:rsidRDefault="009617F5" w:rsidP="009617F5">
      <w:pPr>
        <w:spacing w:before="240" w:after="13" w:line="248" w:lineRule="auto"/>
        <w:jc w:val="both"/>
        <w:rPr>
          <w:rFonts w:ascii="Arial" w:hAnsi="Arial" w:cs="Arial"/>
          <w:color w:val="BF8F00"/>
        </w:rPr>
      </w:pPr>
      <w:r w:rsidRPr="009617F5">
        <w:rPr>
          <w:rFonts w:ascii="Arial" w:eastAsia="Calibri" w:hAnsi="Arial" w:cs="Arial"/>
          <w:color w:val="BF8F00"/>
          <w:sz w:val="28"/>
        </w:rPr>
        <w:t>VYHODNOCENÍ PŘEDPOKLÁDANÝCH DŮSLEDKŮ NAVRHOVANÉHO ŘEŠENÍ NA ZEMĚDĚLSKÝ PŮDNÍ FOND A POZEMKY URČENÉ K PLNĚNÍ FUNKCE LESA.</w:t>
      </w:r>
    </w:p>
    <w:p w14:paraId="18F65B8B" w14:textId="77777777" w:rsidR="009617F5" w:rsidRPr="009617F5" w:rsidRDefault="009617F5" w:rsidP="009617F5">
      <w:pPr>
        <w:spacing w:after="291" w:line="248" w:lineRule="auto"/>
        <w:ind w:right="9"/>
        <w:jc w:val="both"/>
        <w:rPr>
          <w:rFonts w:ascii="Arial" w:hAnsi="Arial" w:cs="Arial"/>
          <w:color w:val="BF8F00"/>
        </w:rPr>
      </w:pPr>
      <w:r w:rsidRPr="009617F5">
        <w:rPr>
          <w:rFonts w:ascii="Arial" w:eastAsia="Calibri" w:hAnsi="Arial" w:cs="Arial"/>
          <w:color w:val="BF8F00"/>
        </w:rPr>
        <w:t>Návrh 2. změny ÚP byl zpracován na základě projednaného a schváleného zadání konkrétních invariantních ploch. Dle zadání nebylo požadováno variantní řešení.</w:t>
      </w:r>
    </w:p>
    <w:p w14:paraId="3E22A728" w14:textId="77777777" w:rsidR="009617F5" w:rsidRPr="009617F5" w:rsidRDefault="009617F5" w:rsidP="009617F5">
      <w:pPr>
        <w:spacing w:after="295" w:line="248" w:lineRule="auto"/>
        <w:ind w:right="9"/>
        <w:jc w:val="both"/>
        <w:rPr>
          <w:rFonts w:ascii="Arial" w:hAnsi="Arial" w:cs="Arial"/>
          <w:color w:val="BF8F00"/>
        </w:rPr>
      </w:pPr>
      <w:r w:rsidRPr="009617F5">
        <w:rPr>
          <w:rFonts w:ascii="Arial" w:eastAsia="Calibri" w:hAnsi="Arial" w:cs="Arial"/>
          <w:color w:val="BF8F00"/>
        </w:rPr>
        <w:t xml:space="preserve">Navrhovaným řešením nejsou dotčeny pozemky, do kterých v minulosti byly vloženy investice do půdy. Navrhované řešení se netýká zemědělských staveb prvovýroby a </w:t>
      </w:r>
      <w:r w:rsidRPr="009617F5">
        <w:rPr>
          <w:rFonts w:ascii="Arial" w:hAnsi="Arial" w:cs="Arial"/>
          <w:noProof/>
          <w:color w:val="BF8F00"/>
          <w:lang w:eastAsia="cs-CZ"/>
        </w:rPr>
        <w:drawing>
          <wp:inline distT="0" distB="0" distL="0" distR="0" wp14:anchorId="6E2E19CF" wp14:editId="79A110CF">
            <wp:extent cx="15875" cy="78740"/>
            <wp:effectExtent l="0" t="0" r="3175" b="0"/>
            <wp:docPr id="25342" name="Obrázek 25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850"/>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15875" cy="78740"/>
                    </a:xfrm>
                    <a:prstGeom prst="rect">
                      <a:avLst/>
                    </a:prstGeom>
                    <a:noFill/>
                    <a:ln>
                      <a:noFill/>
                    </a:ln>
                  </pic:spPr>
                </pic:pic>
              </a:graphicData>
            </a:graphic>
          </wp:inline>
        </w:drawing>
      </w:r>
      <w:r w:rsidRPr="009617F5">
        <w:rPr>
          <w:rFonts w:ascii="Arial" w:eastAsia="Calibri" w:hAnsi="Arial" w:cs="Arial"/>
          <w:color w:val="BF8F00"/>
        </w:rPr>
        <w:t>zemědělských areálů.</w:t>
      </w:r>
    </w:p>
    <w:p w14:paraId="52738432" w14:textId="77777777" w:rsidR="009617F5" w:rsidRPr="009617F5" w:rsidRDefault="009617F5" w:rsidP="009617F5">
      <w:pPr>
        <w:spacing w:after="253" w:line="248" w:lineRule="auto"/>
        <w:ind w:right="9"/>
        <w:jc w:val="both"/>
        <w:rPr>
          <w:rFonts w:ascii="Arial" w:hAnsi="Arial" w:cs="Arial"/>
          <w:color w:val="BF8F00"/>
        </w:rPr>
      </w:pPr>
      <w:r w:rsidRPr="009617F5">
        <w:rPr>
          <w:rFonts w:ascii="Arial" w:eastAsia="Calibri" w:hAnsi="Arial" w:cs="Arial"/>
          <w:color w:val="BF8F00"/>
        </w:rPr>
        <w:t>Celé řešené území 2. změny UP Děčína leží na území CHKO Českého středohoří nebo Labských pískovců. Ekologická stabilita území není dotčena a je v souladu s režimem v jednotlivých zónách CHKO.</w:t>
      </w:r>
    </w:p>
    <w:p w14:paraId="34A343C3" w14:textId="77777777" w:rsidR="009617F5" w:rsidRPr="009617F5" w:rsidRDefault="009617F5" w:rsidP="009617F5">
      <w:pPr>
        <w:spacing w:after="15" w:line="248" w:lineRule="auto"/>
        <w:ind w:right="9"/>
        <w:jc w:val="both"/>
        <w:rPr>
          <w:rFonts w:ascii="Arial" w:eastAsia="Calibri" w:hAnsi="Arial" w:cs="Arial"/>
          <w:color w:val="BF8F00"/>
        </w:rPr>
      </w:pPr>
      <w:r w:rsidRPr="009617F5">
        <w:rPr>
          <w:rFonts w:ascii="Arial" w:eastAsia="Calibri" w:hAnsi="Arial" w:cs="Arial"/>
          <w:color w:val="BF8F00"/>
        </w:rPr>
        <w:t>Posílení retenční schopnosti krajiny je dáno návrhem retenčních opatření:</w:t>
      </w:r>
    </w:p>
    <w:p w14:paraId="766B6242" w14:textId="77777777" w:rsidR="009617F5" w:rsidRPr="009617F5" w:rsidRDefault="009617F5" w:rsidP="009617F5">
      <w:pPr>
        <w:numPr>
          <w:ilvl w:val="1"/>
          <w:numId w:val="102"/>
        </w:numPr>
        <w:suppressAutoHyphens w:val="0"/>
        <w:spacing w:after="15" w:line="248" w:lineRule="auto"/>
        <w:ind w:left="709" w:right="9" w:hanging="360"/>
        <w:jc w:val="both"/>
        <w:rPr>
          <w:rFonts w:ascii="Arial" w:hAnsi="Arial" w:cs="Arial"/>
          <w:color w:val="BF8F00"/>
        </w:rPr>
      </w:pPr>
      <w:r w:rsidRPr="009617F5">
        <w:rPr>
          <w:rFonts w:ascii="Arial" w:eastAsia="Calibri" w:hAnsi="Arial" w:cs="Arial"/>
          <w:color w:val="BF8F00"/>
        </w:rPr>
        <w:t>U větších lokalit bude vytvořena vlastní akumulace vody pro požární účely.</w:t>
      </w:r>
    </w:p>
    <w:p w14:paraId="10A576B0" w14:textId="77777777" w:rsidR="009617F5" w:rsidRPr="009617F5" w:rsidRDefault="009617F5" w:rsidP="009617F5">
      <w:pPr>
        <w:numPr>
          <w:ilvl w:val="1"/>
          <w:numId w:val="102"/>
        </w:numPr>
        <w:suppressAutoHyphens w:val="0"/>
        <w:spacing w:after="15" w:line="248" w:lineRule="auto"/>
        <w:ind w:left="709" w:right="9" w:hanging="360"/>
        <w:jc w:val="both"/>
        <w:rPr>
          <w:rFonts w:ascii="Arial" w:hAnsi="Arial" w:cs="Arial"/>
          <w:color w:val="BF8F00"/>
        </w:rPr>
      </w:pPr>
      <w:r w:rsidRPr="009617F5">
        <w:rPr>
          <w:rFonts w:ascii="Arial" w:eastAsia="Calibri" w:hAnsi="Arial" w:cs="Arial"/>
          <w:color w:val="BF8F00"/>
        </w:rPr>
        <w:t>Dešťové vody z RD a přilehlých ploch se navrhuje podchytávat do domovních dešťových nádrží a likvidovat je na vlastních pozemcích.</w:t>
      </w:r>
    </w:p>
    <w:p w14:paraId="36C70964" w14:textId="77777777" w:rsidR="009617F5" w:rsidRPr="009617F5" w:rsidRDefault="009617F5" w:rsidP="009617F5">
      <w:pPr>
        <w:numPr>
          <w:ilvl w:val="1"/>
          <w:numId w:val="102"/>
        </w:numPr>
        <w:suppressAutoHyphens w:val="0"/>
        <w:spacing w:after="15" w:line="248" w:lineRule="auto"/>
        <w:ind w:left="709" w:right="9" w:hanging="360"/>
        <w:jc w:val="both"/>
        <w:rPr>
          <w:rFonts w:ascii="Arial" w:hAnsi="Arial" w:cs="Arial"/>
          <w:color w:val="BF8F00"/>
        </w:rPr>
      </w:pPr>
      <w:r w:rsidRPr="009617F5">
        <w:rPr>
          <w:rFonts w:ascii="Arial" w:eastAsia="Calibri" w:hAnsi="Arial" w:cs="Arial"/>
          <w:color w:val="BF8F00"/>
        </w:rPr>
        <w:t>Pro ochranu lokalit č. 2 a 3 před přívalovými vodami z extravilánu je třeba realizovat převod povrchových vod.</w:t>
      </w:r>
    </w:p>
    <w:p w14:paraId="0CC017CC" w14:textId="77777777" w:rsidR="009617F5" w:rsidRPr="009617F5" w:rsidRDefault="009617F5" w:rsidP="009617F5">
      <w:pPr>
        <w:numPr>
          <w:ilvl w:val="1"/>
          <w:numId w:val="102"/>
        </w:numPr>
        <w:suppressAutoHyphens w:val="0"/>
        <w:spacing w:after="15" w:line="248" w:lineRule="auto"/>
        <w:ind w:left="709" w:right="9" w:hanging="360"/>
        <w:jc w:val="both"/>
        <w:rPr>
          <w:rFonts w:ascii="Arial" w:hAnsi="Arial" w:cs="Arial"/>
          <w:color w:val="BF8F00"/>
        </w:rPr>
      </w:pPr>
      <w:r w:rsidRPr="009617F5">
        <w:rPr>
          <w:rFonts w:ascii="Arial" w:eastAsia="Calibri" w:hAnsi="Arial" w:cs="Arial"/>
          <w:color w:val="BF8F00"/>
        </w:rPr>
        <w:t>Pro ochranu lokalit č. 1 a 18 je nutno zajistit průchodnost koryt malých toků (správce ZVS Ústí nad Labem) v blízkosti sousedství lokalit.</w:t>
      </w:r>
    </w:p>
    <w:p w14:paraId="405DB81D" w14:textId="77777777" w:rsidR="009617F5" w:rsidRPr="009617F5" w:rsidRDefault="009617F5" w:rsidP="009617F5">
      <w:pPr>
        <w:spacing w:after="424" w:line="248" w:lineRule="auto"/>
        <w:ind w:left="709" w:right="9"/>
        <w:jc w:val="both"/>
        <w:rPr>
          <w:rFonts w:ascii="Arial" w:hAnsi="Arial" w:cs="Arial"/>
          <w:color w:val="BF8F00"/>
        </w:rPr>
      </w:pPr>
      <w:r w:rsidRPr="009617F5">
        <w:rPr>
          <w:rFonts w:ascii="Arial" w:eastAsia="Calibri" w:hAnsi="Arial" w:cs="Arial"/>
          <w:color w:val="BF8F00"/>
        </w:rPr>
        <w:t>U části lokalit je navrženo obslužné komunikace v plochách odvodnit otevřenými zatravněnými příkopy s osazenými objekty pro retenci a infiltraci.</w:t>
      </w:r>
    </w:p>
    <w:p w14:paraId="666D038E" w14:textId="77777777" w:rsidR="009617F5" w:rsidRPr="009617F5" w:rsidRDefault="009617F5" w:rsidP="009617F5">
      <w:pPr>
        <w:spacing w:after="13" w:line="248" w:lineRule="auto"/>
        <w:ind w:left="24" w:hanging="10"/>
        <w:rPr>
          <w:rFonts w:ascii="Arial" w:eastAsia="Calibri" w:hAnsi="Arial" w:cs="Arial"/>
          <w:color w:val="BF8F00"/>
          <w:sz w:val="28"/>
        </w:rPr>
      </w:pPr>
      <w:r w:rsidRPr="009617F5">
        <w:rPr>
          <w:rFonts w:ascii="Arial" w:eastAsia="Calibri" w:hAnsi="Arial" w:cs="Arial"/>
          <w:color w:val="BF8F00"/>
          <w:sz w:val="28"/>
        </w:rPr>
        <w:t>PŘEHLED VYBRANÝCH NAVRŽENÝCH PLOCH ÚP</w:t>
      </w:r>
    </w:p>
    <w:p w14:paraId="7F2E4250" w14:textId="77777777" w:rsidR="009617F5" w:rsidRPr="009617F5" w:rsidRDefault="009617F5" w:rsidP="009617F5">
      <w:pPr>
        <w:spacing w:after="13" w:line="248" w:lineRule="auto"/>
        <w:ind w:left="24" w:hanging="10"/>
        <w:rPr>
          <w:rFonts w:ascii="Arial" w:eastAsia="Calibri" w:hAnsi="Arial" w:cs="Arial"/>
          <w:sz w:val="28"/>
        </w:rPr>
      </w:pPr>
      <w:r w:rsidRPr="009617F5">
        <w:rPr>
          <w:rFonts w:ascii="Arial" w:eastAsia="Calibri" w:hAnsi="Arial" w:cs="Arial"/>
          <w:noProof/>
          <w:sz w:val="28"/>
          <w:lang w:eastAsia="cs-CZ"/>
        </w:rPr>
        <w:lastRenderedPageBreak/>
        <w:drawing>
          <wp:inline distT="0" distB="0" distL="0" distR="0" wp14:anchorId="330EC3B8" wp14:editId="587740AF">
            <wp:extent cx="5828665" cy="1573530"/>
            <wp:effectExtent l="76200" t="114300" r="76835" b="121920"/>
            <wp:docPr id="10576" name="Obrázek 10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0"/>
                    <pic:cNvPicPr>
                      <a:picLocks noChangeAspect="1" noChangeArrowheads="1"/>
                    </pic:cNvPicPr>
                  </pic:nvPicPr>
                  <pic:blipFill>
                    <a:blip r:embed="rId210">
                      <a:extLst>
                        <a:ext uri="{28A0092B-C50C-407E-A947-70E740481C1C}">
                          <a14:useLocalDpi xmlns:a14="http://schemas.microsoft.com/office/drawing/2010/main" val="0"/>
                        </a:ext>
                      </a:extLst>
                    </a:blip>
                    <a:srcRect b="10231"/>
                    <a:stretch>
                      <a:fillRect/>
                    </a:stretch>
                  </pic:blipFill>
                  <pic:spPr bwMode="auto">
                    <a:xfrm rot="60000">
                      <a:off x="0" y="0"/>
                      <a:ext cx="5828665" cy="1573530"/>
                    </a:xfrm>
                    <a:prstGeom prst="rect">
                      <a:avLst/>
                    </a:prstGeom>
                    <a:noFill/>
                    <a:ln w="57150">
                      <a:solidFill>
                        <a:srgbClr val="BF8F00"/>
                      </a:solidFill>
                      <a:miter lim="800000"/>
                      <a:headEnd/>
                      <a:tailEnd/>
                    </a:ln>
                  </pic:spPr>
                </pic:pic>
              </a:graphicData>
            </a:graphic>
          </wp:inline>
        </w:drawing>
      </w:r>
    </w:p>
    <w:p w14:paraId="2CB2EE33" w14:textId="77777777" w:rsidR="009617F5" w:rsidRPr="009617F5" w:rsidRDefault="009617F5" w:rsidP="009617F5">
      <w:pPr>
        <w:spacing w:after="13" w:line="248" w:lineRule="auto"/>
        <w:ind w:left="24" w:hanging="10"/>
        <w:rPr>
          <w:rFonts w:ascii="Arial" w:hAnsi="Arial" w:cs="Arial"/>
          <w:noProof/>
        </w:rPr>
      </w:pPr>
      <w:r w:rsidRPr="009617F5">
        <w:rPr>
          <w:rFonts w:ascii="Arial" w:hAnsi="Arial" w:cs="Arial"/>
          <w:noProof/>
          <w:lang w:eastAsia="cs-CZ"/>
        </w:rPr>
        <w:drawing>
          <wp:inline distT="0" distB="0" distL="0" distR="0" wp14:anchorId="71F9676B" wp14:editId="080158A7">
            <wp:extent cx="5848985" cy="3957320"/>
            <wp:effectExtent l="57150" t="57150" r="56515" b="62230"/>
            <wp:docPr id="25341" name="Obrázek 25341" descr="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0" descr="t1"/>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5848985" cy="3957320"/>
                    </a:xfrm>
                    <a:prstGeom prst="rect">
                      <a:avLst/>
                    </a:prstGeom>
                    <a:noFill/>
                    <a:ln w="57150" cmpd="sng">
                      <a:solidFill>
                        <a:schemeClr val="accent4">
                          <a:lumMod val="75000"/>
                          <a:lumOff val="0"/>
                        </a:schemeClr>
                      </a:solidFill>
                      <a:miter lim="800000"/>
                      <a:headEnd/>
                      <a:tailEnd/>
                    </a:ln>
                    <a:effectLst/>
                  </pic:spPr>
                </pic:pic>
              </a:graphicData>
            </a:graphic>
          </wp:inline>
        </w:drawing>
      </w:r>
    </w:p>
    <w:p w14:paraId="6768ED2C" w14:textId="77777777" w:rsidR="009617F5" w:rsidRPr="009617F5" w:rsidRDefault="009617F5" w:rsidP="009617F5">
      <w:pPr>
        <w:spacing w:after="57" w:line="216" w:lineRule="auto"/>
        <w:ind w:right="19" w:hanging="10"/>
        <w:rPr>
          <w:rFonts w:ascii="Arial" w:eastAsia="Calibri" w:hAnsi="Arial" w:cs="Arial"/>
          <w:color w:val="BF8F00"/>
        </w:rPr>
      </w:pPr>
    </w:p>
    <w:p w14:paraId="3F5F983C" w14:textId="77777777" w:rsidR="009617F5" w:rsidRPr="009617F5" w:rsidRDefault="009617F5" w:rsidP="009617F5">
      <w:pPr>
        <w:spacing w:after="57" w:line="216" w:lineRule="auto"/>
        <w:ind w:right="19" w:hanging="10"/>
        <w:rPr>
          <w:rFonts w:ascii="Arial" w:hAnsi="Arial" w:cs="Arial"/>
          <w:color w:val="BF8F00"/>
        </w:rPr>
      </w:pPr>
      <w:r w:rsidRPr="009617F5">
        <w:rPr>
          <w:rFonts w:ascii="Arial" w:eastAsia="Calibri" w:hAnsi="Arial" w:cs="Arial"/>
          <w:color w:val="BF8F00"/>
        </w:rPr>
        <w:t xml:space="preserve">PŘEDPOKLÁDANÉ DŮSLEDKY NAVRHOVANÉHO ŘEŠENÍ NA ZEMĚDĚLSKÝ PŮDNÍ </w:t>
      </w:r>
      <w:r w:rsidRPr="009617F5">
        <w:rPr>
          <w:rFonts w:ascii="Arial" w:hAnsi="Arial" w:cs="Arial"/>
          <w:noProof/>
          <w:color w:val="BF8F00"/>
          <w:sz w:val="28"/>
          <w:lang w:eastAsia="cs-CZ"/>
        </w:rPr>
        <w:drawing>
          <wp:anchor distT="0" distB="0" distL="114300" distR="114300" simplePos="0" relativeHeight="251765760" behindDoc="0" locked="0" layoutInCell="1" allowOverlap="1" wp14:anchorId="36B2BDFC" wp14:editId="022F32AF">
            <wp:simplePos x="0" y="0"/>
            <wp:positionH relativeFrom="margin">
              <wp:posOffset>60960</wp:posOffset>
            </wp:positionH>
            <wp:positionV relativeFrom="margin">
              <wp:posOffset>6485890</wp:posOffset>
            </wp:positionV>
            <wp:extent cx="5937885" cy="1426210"/>
            <wp:effectExtent l="57150" t="57150" r="62865" b="59690"/>
            <wp:wrapSquare wrapText="bothSides"/>
            <wp:docPr id="10575" name="Obrázek 10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5937885" cy="1426210"/>
                    </a:xfrm>
                    <a:prstGeom prst="rect">
                      <a:avLst/>
                    </a:prstGeom>
                    <a:noFill/>
                    <a:ln w="57150">
                      <a:solidFill>
                        <a:srgbClr val="BF8F00"/>
                      </a:solidFill>
                      <a:miter lim="800000"/>
                      <a:headEnd/>
                      <a:tailEnd/>
                    </a:ln>
                    <a:effectLst/>
                  </pic:spPr>
                </pic:pic>
              </a:graphicData>
            </a:graphic>
            <wp14:sizeRelH relativeFrom="page">
              <wp14:pctWidth>0</wp14:pctWidth>
            </wp14:sizeRelH>
            <wp14:sizeRelV relativeFrom="page">
              <wp14:pctHeight>0</wp14:pctHeight>
            </wp14:sizeRelV>
          </wp:anchor>
        </w:drawing>
      </w:r>
      <w:r w:rsidRPr="009617F5">
        <w:rPr>
          <w:rFonts w:ascii="Arial" w:eastAsia="Calibri" w:hAnsi="Arial" w:cs="Arial"/>
          <w:color w:val="BF8F00"/>
        </w:rPr>
        <w:t>FOND</w:t>
      </w:r>
    </w:p>
    <w:p w14:paraId="51601B2D" w14:textId="77777777" w:rsidR="009617F5" w:rsidRPr="009617F5" w:rsidRDefault="009617F5" w:rsidP="009617F5">
      <w:pPr>
        <w:spacing w:after="1280" w:line="259" w:lineRule="auto"/>
        <w:ind w:right="10555"/>
        <w:rPr>
          <w:rFonts w:ascii="Arial" w:hAnsi="Arial" w:cs="Arial"/>
        </w:rPr>
      </w:pPr>
      <w:r w:rsidRPr="009617F5">
        <w:rPr>
          <w:rFonts w:ascii="Arial" w:hAnsi="Arial" w:cs="Arial"/>
          <w:noProof/>
          <w:lang w:eastAsia="cs-CZ"/>
        </w:rPr>
        <w:lastRenderedPageBreak/>
        <w:drawing>
          <wp:inline distT="0" distB="0" distL="0" distR="0" wp14:anchorId="67B817A6" wp14:editId="1C701E5D">
            <wp:extent cx="5738495" cy="7867015"/>
            <wp:effectExtent l="57150" t="57150" r="52705" b="57785"/>
            <wp:docPr id="25340" name="Obrázek 25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5738495" cy="7867015"/>
                    </a:xfrm>
                    <a:prstGeom prst="rect">
                      <a:avLst/>
                    </a:prstGeom>
                    <a:noFill/>
                    <a:ln w="57150" cmpd="sng">
                      <a:solidFill>
                        <a:schemeClr val="accent4">
                          <a:lumMod val="75000"/>
                          <a:lumOff val="0"/>
                        </a:schemeClr>
                      </a:solidFill>
                      <a:miter lim="800000"/>
                      <a:headEnd/>
                      <a:tailEnd/>
                    </a:ln>
                    <a:effectLst/>
                  </pic:spPr>
                </pic:pic>
              </a:graphicData>
            </a:graphic>
          </wp:inline>
        </w:drawing>
      </w:r>
    </w:p>
    <w:p w14:paraId="6EFF5DF8" w14:textId="77777777" w:rsidR="009617F5" w:rsidRPr="009617F5" w:rsidRDefault="009617F5" w:rsidP="009617F5">
      <w:pPr>
        <w:spacing w:after="1280" w:line="259" w:lineRule="auto"/>
        <w:ind w:right="10555"/>
        <w:jc w:val="center"/>
        <w:rPr>
          <w:rFonts w:ascii="Arial" w:hAnsi="Arial" w:cs="Arial"/>
        </w:rPr>
      </w:pPr>
      <w:r w:rsidRPr="009617F5">
        <w:rPr>
          <w:rFonts w:ascii="Arial" w:hAnsi="Arial" w:cs="Arial"/>
          <w:noProof/>
          <w:lang w:eastAsia="cs-CZ"/>
        </w:rPr>
        <w:lastRenderedPageBreak/>
        <w:drawing>
          <wp:inline distT="0" distB="0" distL="0" distR="0" wp14:anchorId="1449A536" wp14:editId="6853D0C5">
            <wp:extent cx="5786120" cy="6968490"/>
            <wp:effectExtent l="57150" t="57150" r="62230" b="60960"/>
            <wp:docPr id="25339" name="Obrázek 25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5786120" cy="6968490"/>
                    </a:xfrm>
                    <a:prstGeom prst="rect">
                      <a:avLst/>
                    </a:prstGeom>
                    <a:noFill/>
                    <a:ln w="57150" cmpd="sng">
                      <a:solidFill>
                        <a:schemeClr val="accent4">
                          <a:lumMod val="75000"/>
                          <a:lumOff val="0"/>
                        </a:schemeClr>
                      </a:solidFill>
                      <a:miter lim="800000"/>
                      <a:headEnd/>
                      <a:tailEnd/>
                    </a:ln>
                    <a:effectLst/>
                  </pic:spPr>
                </pic:pic>
              </a:graphicData>
            </a:graphic>
          </wp:inline>
        </w:drawing>
      </w:r>
      <w:r w:rsidRPr="009617F5">
        <w:rPr>
          <w:rFonts w:ascii="Arial" w:hAnsi="Arial" w:cs="Arial"/>
          <w:noProof/>
          <w:lang w:eastAsia="cs-CZ"/>
        </w:rPr>
        <w:drawing>
          <wp:anchor distT="0" distB="0" distL="114300" distR="114300" simplePos="0" relativeHeight="251759616" behindDoc="0" locked="0" layoutInCell="1" allowOverlap="0" wp14:anchorId="727D12B2" wp14:editId="43431D8A">
            <wp:simplePos x="0" y="0"/>
            <wp:positionH relativeFrom="page">
              <wp:posOffset>7208520</wp:posOffset>
            </wp:positionH>
            <wp:positionV relativeFrom="page">
              <wp:posOffset>2326005</wp:posOffset>
            </wp:positionV>
            <wp:extent cx="88265" cy="39370"/>
            <wp:effectExtent l="0" t="0" r="6985" b="0"/>
            <wp:wrapTopAndBottom/>
            <wp:docPr id="10574" name="Obrázek 10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730"/>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88265" cy="393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lang w:eastAsia="cs-CZ"/>
        </w:rPr>
        <w:drawing>
          <wp:anchor distT="0" distB="0" distL="114300" distR="114300" simplePos="0" relativeHeight="251760640" behindDoc="0" locked="0" layoutInCell="1" allowOverlap="0" wp14:anchorId="00D1201D" wp14:editId="71C99801">
            <wp:simplePos x="0" y="0"/>
            <wp:positionH relativeFrom="page">
              <wp:posOffset>7220585</wp:posOffset>
            </wp:positionH>
            <wp:positionV relativeFrom="page">
              <wp:posOffset>2633980</wp:posOffset>
            </wp:positionV>
            <wp:extent cx="33655" cy="18415"/>
            <wp:effectExtent l="0" t="0" r="4445" b="635"/>
            <wp:wrapTopAndBottom/>
            <wp:docPr id="10573" name="Obrázek 10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732"/>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33655" cy="184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lang w:eastAsia="cs-CZ"/>
        </w:rPr>
        <w:drawing>
          <wp:anchor distT="0" distB="0" distL="114300" distR="114300" simplePos="0" relativeHeight="251761664" behindDoc="0" locked="0" layoutInCell="1" allowOverlap="0" wp14:anchorId="5DD9434B" wp14:editId="72F76D09">
            <wp:simplePos x="0" y="0"/>
            <wp:positionH relativeFrom="page">
              <wp:posOffset>7199630</wp:posOffset>
            </wp:positionH>
            <wp:positionV relativeFrom="page">
              <wp:posOffset>1670685</wp:posOffset>
            </wp:positionV>
            <wp:extent cx="12065" cy="6350"/>
            <wp:effectExtent l="0" t="0" r="0" b="0"/>
            <wp:wrapTopAndBottom/>
            <wp:docPr id="10572" name="Obrázek 10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62"/>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2065" cy="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lang w:eastAsia="cs-CZ"/>
        </w:rPr>
        <w:drawing>
          <wp:anchor distT="0" distB="0" distL="114300" distR="114300" simplePos="0" relativeHeight="251762688" behindDoc="0" locked="0" layoutInCell="1" allowOverlap="0" wp14:anchorId="191ED57A" wp14:editId="4EF06FAD">
            <wp:simplePos x="0" y="0"/>
            <wp:positionH relativeFrom="page">
              <wp:posOffset>7171690</wp:posOffset>
            </wp:positionH>
            <wp:positionV relativeFrom="page">
              <wp:posOffset>6930390</wp:posOffset>
            </wp:positionV>
            <wp:extent cx="3175" cy="6350"/>
            <wp:effectExtent l="0" t="0" r="0" b="0"/>
            <wp:wrapTopAndBottom/>
            <wp:docPr id="10571" name="Obrázek 10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05"/>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3175" cy="635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8364" w:type="dxa"/>
        <w:tblInd w:w="399" w:type="dxa"/>
        <w:tblBorders>
          <w:top w:val="single" w:sz="36" w:space="0" w:color="BF8F00"/>
          <w:left w:val="single" w:sz="36" w:space="0" w:color="BF8F00"/>
          <w:bottom w:val="single" w:sz="36" w:space="0" w:color="BF8F00"/>
          <w:right w:val="single" w:sz="36" w:space="0" w:color="BF8F00"/>
          <w:insideH w:val="single" w:sz="2" w:space="0" w:color="000000"/>
          <w:insideV w:val="single" w:sz="2" w:space="0" w:color="000000"/>
        </w:tblBorders>
        <w:tblCellMar>
          <w:top w:w="72" w:type="dxa"/>
          <w:left w:w="115" w:type="dxa"/>
          <w:right w:w="185" w:type="dxa"/>
        </w:tblCellMar>
        <w:tblLook w:val="04A0" w:firstRow="1" w:lastRow="0" w:firstColumn="1" w:lastColumn="0" w:noHBand="0" w:noVBand="1"/>
      </w:tblPr>
      <w:tblGrid>
        <w:gridCol w:w="6946"/>
        <w:gridCol w:w="1418"/>
      </w:tblGrid>
      <w:tr w:rsidR="009617F5" w:rsidRPr="009617F5" w14:paraId="40B01678" w14:textId="77777777" w:rsidTr="00286F7D">
        <w:trPr>
          <w:trHeight w:val="272"/>
        </w:trPr>
        <w:tc>
          <w:tcPr>
            <w:tcW w:w="6946" w:type="dxa"/>
            <w:shd w:val="clear" w:color="auto" w:fill="auto"/>
          </w:tcPr>
          <w:p w14:paraId="55C4DE04" w14:textId="77777777" w:rsidR="009617F5" w:rsidRPr="009617F5" w:rsidRDefault="009617F5" w:rsidP="00286F7D">
            <w:pPr>
              <w:spacing w:line="259" w:lineRule="auto"/>
              <w:jc w:val="right"/>
              <w:rPr>
                <w:rFonts w:ascii="Arial" w:hAnsi="Arial" w:cs="Arial"/>
                <w:color w:val="BF8F00"/>
                <w:sz w:val="22"/>
                <w:szCs w:val="22"/>
              </w:rPr>
            </w:pPr>
            <w:r w:rsidRPr="009617F5">
              <w:rPr>
                <w:rFonts w:ascii="Arial" w:hAnsi="Arial" w:cs="Arial"/>
                <w:color w:val="BF8F00"/>
                <w:sz w:val="22"/>
                <w:szCs w:val="22"/>
              </w:rPr>
              <w:t>ZPF mimo zastavěné území</w:t>
            </w:r>
          </w:p>
        </w:tc>
        <w:tc>
          <w:tcPr>
            <w:tcW w:w="1418" w:type="dxa"/>
            <w:shd w:val="clear" w:color="auto" w:fill="auto"/>
          </w:tcPr>
          <w:p w14:paraId="7C862115" w14:textId="77777777" w:rsidR="009617F5" w:rsidRPr="009617F5" w:rsidRDefault="009617F5" w:rsidP="00286F7D">
            <w:pPr>
              <w:spacing w:line="259" w:lineRule="auto"/>
              <w:jc w:val="center"/>
              <w:rPr>
                <w:rFonts w:ascii="Arial" w:hAnsi="Arial" w:cs="Arial"/>
                <w:color w:val="BF8F00"/>
                <w:sz w:val="22"/>
                <w:szCs w:val="22"/>
              </w:rPr>
            </w:pPr>
            <w:r w:rsidRPr="009617F5">
              <w:rPr>
                <w:rFonts w:ascii="Arial" w:eastAsia="Calibri" w:hAnsi="Arial" w:cs="Arial"/>
                <w:color w:val="BF8F00"/>
                <w:sz w:val="22"/>
                <w:szCs w:val="22"/>
              </w:rPr>
              <w:t>42,4175</w:t>
            </w:r>
          </w:p>
        </w:tc>
      </w:tr>
      <w:tr w:rsidR="009617F5" w:rsidRPr="009617F5" w14:paraId="22C07416" w14:textId="77777777" w:rsidTr="00286F7D">
        <w:trPr>
          <w:trHeight w:val="274"/>
        </w:trPr>
        <w:tc>
          <w:tcPr>
            <w:tcW w:w="6946" w:type="dxa"/>
            <w:shd w:val="clear" w:color="auto" w:fill="auto"/>
          </w:tcPr>
          <w:p w14:paraId="3E5ACC8A" w14:textId="77777777" w:rsidR="009617F5" w:rsidRPr="009617F5" w:rsidRDefault="009617F5" w:rsidP="00286F7D">
            <w:pPr>
              <w:spacing w:line="259" w:lineRule="auto"/>
              <w:jc w:val="right"/>
              <w:rPr>
                <w:rFonts w:ascii="Arial" w:hAnsi="Arial" w:cs="Arial"/>
                <w:color w:val="BF8F00"/>
                <w:sz w:val="22"/>
                <w:szCs w:val="22"/>
              </w:rPr>
            </w:pPr>
            <w:r w:rsidRPr="009617F5">
              <w:rPr>
                <w:rFonts w:ascii="Arial" w:hAnsi="Arial" w:cs="Arial"/>
                <w:color w:val="BF8F00"/>
                <w:sz w:val="22"/>
                <w:szCs w:val="22"/>
              </w:rPr>
              <w:t>ZPF v zastavěném území</w:t>
            </w:r>
          </w:p>
        </w:tc>
        <w:tc>
          <w:tcPr>
            <w:tcW w:w="1418" w:type="dxa"/>
            <w:shd w:val="clear" w:color="auto" w:fill="auto"/>
          </w:tcPr>
          <w:p w14:paraId="3C65A6E5" w14:textId="77777777" w:rsidR="009617F5" w:rsidRPr="009617F5" w:rsidRDefault="009617F5" w:rsidP="00286F7D">
            <w:pPr>
              <w:spacing w:line="259" w:lineRule="auto"/>
              <w:jc w:val="center"/>
              <w:rPr>
                <w:rFonts w:ascii="Arial" w:hAnsi="Arial" w:cs="Arial"/>
                <w:color w:val="BF8F00"/>
                <w:sz w:val="22"/>
                <w:szCs w:val="22"/>
              </w:rPr>
            </w:pPr>
            <w:r w:rsidRPr="009617F5">
              <w:rPr>
                <w:rFonts w:ascii="Arial" w:eastAsia="Calibri" w:hAnsi="Arial" w:cs="Arial"/>
                <w:color w:val="BF8F00"/>
                <w:sz w:val="22"/>
                <w:szCs w:val="22"/>
              </w:rPr>
              <w:t>0,5630</w:t>
            </w:r>
          </w:p>
        </w:tc>
      </w:tr>
      <w:tr w:rsidR="009617F5" w:rsidRPr="009617F5" w14:paraId="2A692B60" w14:textId="77777777" w:rsidTr="00286F7D">
        <w:trPr>
          <w:trHeight w:val="274"/>
        </w:trPr>
        <w:tc>
          <w:tcPr>
            <w:tcW w:w="6946" w:type="dxa"/>
            <w:shd w:val="clear" w:color="auto" w:fill="auto"/>
          </w:tcPr>
          <w:p w14:paraId="4C32421D" w14:textId="77777777" w:rsidR="009617F5" w:rsidRPr="009617F5" w:rsidRDefault="009617F5" w:rsidP="00286F7D">
            <w:pPr>
              <w:spacing w:line="259" w:lineRule="auto"/>
              <w:ind w:right="125"/>
              <w:jc w:val="right"/>
              <w:rPr>
                <w:rFonts w:ascii="Arial" w:hAnsi="Arial" w:cs="Arial"/>
                <w:color w:val="BF8F00"/>
                <w:sz w:val="22"/>
                <w:szCs w:val="22"/>
              </w:rPr>
            </w:pPr>
            <w:r w:rsidRPr="009617F5">
              <w:rPr>
                <w:rFonts w:ascii="Arial" w:hAnsi="Arial" w:cs="Arial"/>
                <w:color w:val="BF8F00"/>
                <w:sz w:val="22"/>
                <w:szCs w:val="22"/>
              </w:rPr>
              <w:lastRenderedPageBreak/>
              <w:t>Z toho ZPF na plochách s II. stupněm ochran</w:t>
            </w:r>
          </w:p>
        </w:tc>
        <w:tc>
          <w:tcPr>
            <w:tcW w:w="1418" w:type="dxa"/>
            <w:shd w:val="clear" w:color="auto" w:fill="auto"/>
          </w:tcPr>
          <w:p w14:paraId="3F1F2F5F" w14:textId="77777777" w:rsidR="009617F5" w:rsidRPr="009617F5" w:rsidRDefault="009617F5" w:rsidP="00286F7D">
            <w:pPr>
              <w:spacing w:line="259" w:lineRule="auto"/>
              <w:jc w:val="center"/>
              <w:rPr>
                <w:rFonts w:ascii="Arial" w:hAnsi="Arial" w:cs="Arial"/>
                <w:color w:val="BF8F00"/>
                <w:sz w:val="22"/>
                <w:szCs w:val="22"/>
              </w:rPr>
            </w:pPr>
            <w:r w:rsidRPr="009617F5">
              <w:rPr>
                <w:rFonts w:ascii="Arial" w:eastAsia="Calibri" w:hAnsi="Arial" w:cs="Arial"/>
                <w:color w:val="BF8F00"/>
                <w:sz w:val="22"/>
                <w:szCs w:val="22"/>
              </w:rPr>
              <w:t>14,9825</w:t>
            </w:r>
          </w:p>
        </w:tc>
      </w:tr>
      <w:tr w:rsidR="009617F5" w:rsidRPr="009617F5" w14:paraId="78C3CFD4" w14:textId="77777777" w:rsidTr="00286F7D">
        <w:tblPrEx>
          <w:tblCellMar>
            <w:right w:w="184" w:type="dxa"/>
          </w:tblCellMar>
        </w:tblPrEx>
        <w:trPr>
          <w:trHeight w:val="274"/>
        </w:trPr>
        <w:tc>
          <w:tcPr>
            <w:tcW w:w="6946" w:type="dxa"/>
            <w:shd w:val="clear" w:color="auto" w:fill="auto"/>
          </w:tcPr>
          <w:p w14:paraId="1FB1CFE1" w14:textId="77777777" w:rsidR="009617F5" w:rsidRPr="009617F5" w:rsidRDefault="009617F5" w:rsidP="00286F7D">
            <w:pPr>
              <w:spacing w:line="259" w:lineRule="auto"/>
              <w:jc w:val="right"/>
              <w:rPr>
                <w:rFonts w:ascii="Arial" w:hAnsi="Arial" w:cs="Arial"/>
                <w:color w:val="BF8F00"/>
                <w:sz w:val="22"/>
                <w:szCs w:val="22"/>
              </w:rPr>
            </w:pPr>
            <w:r w:rsidRPr="009617F5">
              <w:rPr>
                <w:rFonts w:ascii="Arial" w:hAnsi="Arial" w:cs="Arial"/>
                <w:color w:val="BF8F00"/>
                <w:sz w:val="22"/>
                <w:szCs w:val="22"/>
              </w:rPr>
              <w:t>Ostatní plochy a zastavěné plochy</w:t>
            </w:r>
          </w:p>
        </w:tc>
        <w:tc>
          <w:tcPr>
            <w:tcW w:w="1418" w:type="dxa"/>
            <w:shd w:val="clear" w:color="auto" w:fill="auto"/>
          </w:tcPr>
          <w:p w14:paraId="0380A197" w14:textId="77777777" w:rsidR="009617F5" w:rsidRPr="009617F5" w:rsidRDefault="009617F5" w:rsidP="00286F7D">
            <w:pPr>
              <w:spacing w:line="259" w:lineRule="auto"/>
              <w:jc w:val="center"/>
              <w:rPr>
                <w:rFonts w:ascii="Arial" w:hAnsi="Arial" w:cs="Arial"/>
                <w:color w:val="BF8F00"/>
                <w:sz w:val="22"/>
                <w:szCs w:val="22"/>
              </w:rPr>
            </w:pPr>
            <w:r w:rsidRPr="009617F5">
              <w:rPr>
                <w:rFonts w:ascii="Arial" w:hAnsi="Arial" w:cs="Arial"/>
                <w:color w:val="BF8F00"/>
                <w:sz w:val="22"/>
                <w:szCs w:val="22"/>
              </w:rPr>
              <w:t>7,0728</w:t>
            </w:r>
          </w:p>
        </w:tc>
      </w:tr>
      <w:tr w:rsidR="009617F5" w:rsidRPr="009617F5" w14:paraId="70A935F2" w14:textId="77777777" w:rsidTr="00286F7D">
        <w:tblPrEx>
          <w:tblCellMar>
            <w:right w:w="184" w:type="dxa"/>
          </w:tblCellMar>
        </w:tblPrEx>
        <w:trPr>
          <w:trHeight w:val="274"/>
        </w:trPr>
        <w:tc>
          <w:tcPr>
            <w:tcW w:w="6946" w:type="dxa"/>
            <w:shd w:val="clear" w:color="auto" w:fill="auto"/>
          </w:tcPr>
          <w:p w14:paraId="0B08FE24" w14:textId="77777777" w:rsidR="009617F5" w:rsidRPr="009617F5" w:rsidRDefault="009617F5" w:rsidP="00286F7D">
            <w:pPr>
              <w:spacing w:line="259" w:lineRule="auto"/>
              <w:ind w:right="5"/>
              <w:jc w:val="right"/>
              <w:rPr>
                <w:rFonts w:ascii="Arial" w:hAnsi="Arial" w:cs="Arial"/>
                <w:color w:val="BF8F00"/>
                <w:sz w:val="22"/>
                <w:szCs w:val="22"/>
              </w:rPr>
            </w:pPr>
            <w:r w:rsidRPr="009617F5">
              <w:rPr>
                <w:rFonts w:ascii="Arial" w:hAnsi="Arial" w:cs="Arial"/>
                <w:color w:val="BF8F00"/>
                <w:sz w:val="22"/>
                <w:szCs w:val="22"/>
              </w:rPr>
              <w:t>celkem</w:t>
            </w:r>
          </w:p>
        </w:tc>
        <w:tc>
          <w:tcPr>
            <w:tcW w:w="1418" w:type="dxa"/>
            <w:shd w:val="clear" w:color="auto" w:fill="auto"/>
          </w:tcPr>
          <w:p w14:paraId="730A63F2" w14:textId="77777777" w:rsidR="009617F5" w:rsidRPr="009617F5" w:rsidRDefault="009617F5" w:rsidP="00286F7D">
            <w:pPr>
              <w:spacing w:line="259" w:lineRule="auto"/>
              <w:jc w:val="center"/>
              <w:rPr>
                <w:rFonts w:ascii="Arial" w:hAnsi="Arial" w:cs="Arial"/>
                <w:color w:val="BF8F00"/>
                <w:sz w:val="22"/>
                <w:szCs w:val="22"/>
              </w:rPr>
            </w:pPr>
            <w:r w:rsidRPr="009617F5">
              <w:rPr>
                <w:rFonts w:ascii="Arial" w:hAnsi="Arial" w:cs="Arial"/>
                <w:color w:val="BF8F00"/>
                <w:sz w:val="22"/>
                <w:szCs w:val="22"/>
              </w:rPr>
              <w:t>50,0434</w:t>
            </w:r>
          </w:p>
        </w:tc>
      </w:tr>
    </w:tbl>
    <w:p w14:paraId="268768A5" w14:textId="77777777" w:rsidR="009617F5" w:rsidRPr="009617F5" w:rsidRDefault="009617F5" w:rsidP="009617F5">
      <w:pPr>
        <w:spacing w:line="249" w:lineRule="auto"/>
        <w:ind w:firstLine="917"/>
        <w:rPr>
          <w:rFonts w:ascii="Arial" w:hAnsi="Arial" w:cs="Arial"/>
          <w:color w:val="BF8F00"/>
        </w:rPr>
      </w:pPr>
    </w:p>
    <w:p w14:paraId="33C652CA" w14:textId="77777777" w:rsidR="009617F5" w:rsidRPr="009617F5" w:rsidRDefault="009617F5" w:rsidP="009617F5">
      <w:pPr>
        <w:spacing w:line="249" w:lineRule="auto"/>
        <w:ind w:firstLine="917"/>
        <w:rPr>
          <w:rFonts w:ascii="Arial" w:hAnsi="Arial" w:cs="Arial"/>
          <w:color w:val="BF8F00"/>
        </w:rPr>
      </w:pPr>
      <w:r w:rsidRPr="009617F5">
        <w:rPr>
          <w:rFonts w:ascii="Arial" w:hAnsi="Arial" w:cs="Arial"/>
          <w:color w:val="BF8F00"/>
        </w:rPr>
        <w:t>PŘEDPOKLÁDANÝ ZÁBOR DLE FUNKČNÍHO VYUŽITÍ A ZASTAVITELNOSTI</w:t>
      </w:r>
    </w:p>
    <w:p w14:paraId="5A62E8D9" w14:textId="77777777" w:rsidR="009617F5" w:rsidRPr="009617F5" w:rsidRDefault="009617F5" w:rsidP="009617F5">
      <w:pPr>
        <w:spacing w:line="249" w:lineRule="auto"/>
        <w:ind w:hanging="5"/>
        <w:rPr>
          <w:rFonts w:ascii="Arial" w:hAnsi="Arial" w:cs="Arial"/>
        </w:rPr>
      </w:pPr>
      <w:r w:rsidRPr="009617F5">
        <w:rPr>
          <w:rFonts w:ascii="Arial" w:hAnsi="Arial" w:cs="Arial"/>
          <w:noProof/>
          <w:lang w:eastAsia="cs-CZ"/>
        </w:rPr>
        <w:drawing>
          <wp:inline distT="0" distB="0" distL="0" distR="0" wp14:anchorId="78F92F30" wp14:editId="0A94417F">
            <wp:extent cx="5754370" cy="2916555"/>
            <wp:effectExtent l="57150" t="57150" r="55880" b="55245"/>
            <wp:docPr id="25336" name="Obrázek 25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5754370" cy="2916555"/>
                    </a:xfrm>
                    <a:prstGeom prst="rect">
                      <a:avLst/>
                    </a:prstGeom>
                    <a:noFill/>
                    <a:ln w="57150" cmpd="sng">
                      <a:solidFill>
                        <a:schemeClr val="accent4">
                          <a:lumMod val="75000"/>
                          <a:lumOff val="0"/>
                        </a:schemeClr>
                      </a:solidFill>
                      <a:miter lim="800000"/>
                      <a:headEnd/>
                      <a:tailEnd/>
                    </a:ln>
                    <a:effectLst/>
                  </pic:spPr>
                </pic:pic>
              </a:graphicData>
            </a:graphic>
          </wp:inline>
        </w:drawing>
      </w:r>
    </w:p>
    <w:p w14:paraId="1F8BA207" w14:textId="77777777" w:rsidR="009617F5" w:rsidRPr="009617F5" w:rsidRDefault="009617F5" w:rsidP="009617F5">
      <w:pPr>
        <w:spacing w:after="114" w:line="249" w:lineRule="auto"/>
        <w:ind w:hanging="5"/>
        <w:rPr>
          <w:rFonts w:ascii="Arial" w:hAnsi="Arial" w:cs="Arial"/>
          <w:color w:val="BF8F00"/>
          <w:sz w:val="22"/>
        </w:rPr>
      </w:pPr>
      <w:r w:rsidRPr="009617F5">
        <w:rPr>
          <w:rFonts w:ascii="Arial" w:hAnsi="Arial" w:cs="Arial"/>
          <w:color w:val="BF8F00"/>
          <w:sz w:val="22"/>
        </w:rPr>
        <w:t>PŘEDPOKLÁDANÉ DŮSLEDKY NAVRHOVANÉHO ŘEŠENÍ NA LESNÍ PŮDNÍ FOND</w:t>
      </w:r>
    </w:p>
    <w:p w14:paraId="4AD3AE2D" w14:textId="77777777" w:rsidR="009617F5" w:rsidRPr="009617F5" w:rsidRDefault="009617F5" w:rsidP="009617F5">
      <w:pPr>
        <w:spacing w:after="10" w:line="249" w:lineRule="auto"/>
        <w:ind w:hanging="5"/>
        <w:rPr>
          <w:rFonts w:ascii="Arial" w:hAnsi="Arial" w:cs="Arial"/>
          <w:color w:val="BF8F00"/>
          <w:sz w:val="22"/>
        </w:rPr>
      </w:pPr>
      <w:r w:rsidRPr="009617F5">
        <w:rPr>
          <w:rFonts w:ascii="Arial" w:hAnsi="Arial" w:cs="Arial"/>
          <w:color w:val="BF8F00"/>
          <w:sz w:val="22"/>
        </w:rPr>
        <w:t>K záboru lesního a půdního fondu, v důsledku návrhu 2. změny UP nedojde. Plochy 2. změny</w:t>
      </w:r>
      <w:r w:rsidRPr="009617F5">
        <w:rPr>
          <w:rFonts w:ascii="Arial" w:hAnsi="Arial" w:cs="Arial"/>
          <w:noProof/>
          <w:color w:val="BF8F00"/>
          <w:sz w:val="22"/>
          <w:lang w:eastAsia="cs-CZ"/>
        </w:rPr>
        <w:drawing>
          <wp:inline distT="0" distB="0" distL="0" distR="0" wp14:anchorId="74A15EC1" wp14:editId="6DBD061A">
            <wp:extent cx="15875" cy="15875"/>
            <wp:effectExtent l="0" t="0" r="0" b="0"/>
            <wp:docPr id="25335" name="Obrázek 25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62"/>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35CDC0B3" w14:textId="77777777" w:rsidR="009617F5" w:rsidRPr="009617F5" w:rsidRDefault="009617F5" w:rsidP="009617F5">
      <w:pPr>
        <w:spacing w:after="332" w:line="249" w:lineRule="auto"/>
        <w:ind w:hanging="5"/>
        <w:rPr>
          <w:rFonts w:ascii="Arial" w:hAnsi="Arial" w:cs="Arial"/>
          <w:color w:val="BF8F00"/>
          <w:sz w:val="22"/>
        </w:rPr>
      </w:pPr>
      <w:r w:rsidRPr="009617F5">
        <w:rPr>
          <w:rFonts w:ascii="Arial" w:hAnsi="Arial" w:cs="Arial"/>
          <w:noProof/>
          <w:color w:val="BF8F00"/>
          <w:sz w:val="22"/>
          <w:lang w:eastAsia="cs-CZ"/>
        </w:rPr>
        <w:drawing>
          <wp:anchor distT="0" distB="0" distL="114300" distR="114300" simplePos="0" relativeHeight="251763712" behindDoc="0" locked="0" layoutInCell="1" allowOverlap="0" wp14:anchorId="079FF42E" wp14:editId="1E674F5F">
            <wp:simplePos x="0" y="0"/>
            <wp:positionH relativeFrom="page">
              <wp:posOffset>6705600</wp:posOffset>
            </wp:positionH>
            <wp:positionV relativeFrom="page">
              <wp:posOffset>7823200</wp:posOffset>
            </wp:positionV>
            <wp:extent cx="3175" cy="3175"/>
            <wp:effectExtent l="0" t="0" r="0" b="0"/>
            <wp:wrapTopAndBottom/>
            <wp:docPr id="10570" name="Obrázek 10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72"/>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175" cy="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color w:val="BF8F00"/>
          <w:sz w:val="22"/>
          <w:lang w:eastAsia="cs-CZ"/>
        </w:rPr>
        <w:drawing>
          <wp:anchor distT="0" distB="0" distL="114300" distR="114300" simplePos="0" relativeHeight="251764736" behindDoc="0" locked="0" layoutInCell="1" allowOverlap="0" wp14:anchorId="7C5CAE00" wp14:editId="0A8C2293">
            <wp:simplePos x="0" y="0"/>
            <wp:positionH relativeFrom="page">
              <wp:posOffset>6708775</wp:posOffset>
            </wp:positionH>
            <wp:positionV relativeFrom="page">
              <wp:posOffset>7015480</wp:posOffset>
            </wp:positionV>
            <wp:extent cx="6350" cy="8890"/>
            <wp:effectExtent l="0" t="0" r="0" b="0"/>
            <wp:wrapSquare wrapText="bothSides"/>
            <wp:docPr id="10569" name="Obrázek 10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69"/>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6350" cy="8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color w:val="BF8F00"/>
          <w:sz w:val="22"/>
        </w:rPr>
        <w:t xml:space="preserve">č. 2, 18, 24, 26, 29, 30, 31, leží částečně v ochranném pásmu lesa. Nutno je považovat za </w:t>
      </w:r>
      <w:r w:rsidRPr="009617F5">
        <w:rPr>
          <w:rFonts w:ascii="Arial" w:hAnsi="Arial" w:cs="Arial"/>
          <w:noProof/>
          <w:color w:val="BF8F00"/>
          <w:sz w:val="22"/>
          <w:lang w:eastAsia="cs-CZ"/>
        </w:rPr>
        <w:drawing>
          <wp:inline distT="0" distB="0" distL="0" distR="0" wp14:anchorId="3D171C85" wp14:editId="3AAE0038">
            <wp:extent cx="15875" cy="15875"/>
            <wp:effectExtent l="0" t="0" r="0" b="0"/>
            <wp:docPr id="25334" name="Obrázek 25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63"/>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hAnsi="Arial" w:cs="Arial"/>
          <w:color w:val="BF8F00"/>
          <w:sz w:val="22"/>
        </w:rPr>
        <w:t>podmínečně vhodné. Podmínka je dána souhlasem dle zákona 289/1995 Sb.</w:t>
      </w:r>
      <w:r w:rsidRPr="009617F5">
        <w:rPr>
          <w:rFonts w:ascii="Arial" w:hAnsi="Arial" w:cs="Arial"/>
          <w:noProof/>
          <w:color w:val="BF8F00"/>
          <w:sz w:val="22"/>
          <w:lang w:eastAsia="cs-CZ"/>
        </w:rPr>
        <w:drawing>
          <wp:inline distT="0" distB="0" distL="0" distR="0" wp14:anchorId="404B3F62" wp14:editId="21CB60AE">
            <wp:extent cx="15875" cy="15875"/>
            <wp:effectExtent l="0" t="0" r="0" b="0"/>
            <wp:docPr id="25333" name="Obrázek 25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64"/>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31667064" w14:textId="77777777" w:rsidR="009617F5" w:rsidRPr="009617F5" w:rsidRDefault="009617F5" w:rsidP="009617F5">
      <w:pPr>
        <w:tabs>
          <w:tab w:val="decimal" w:pos="72"/>
          <w:tab w:val="decimal" w:pos="144"/>
          <w:tab w:val="right" w:pos="2679"/>
        </w:tabs>
        <w:spacing w:before="120" w:line="288" w:lineRule="auto"/>
        <w:ind w:left="72"/>
        <w:jc w:val="both"/>
        <w:rPr>
          <w:rFonts w:ascii="Arial" w:hAnsi="Arial" w:cs="Arial"/>
          <w:color w:val="BF8F00"/>
          <w:spacing w:val="3"/>
          <w:sz w:val="22"/>
          <w:szCs w:val="22"/>
        </w:rPr>
      </w:pPr>
    </w:p>
    <w:p w14:paraId="41F26C3E" w14:textId="77777777" w:rsidR="009617F5" w:rsidRPr="009617F5" w:rsidRDefault="009617F5" w:rsidP="009617F5">
      <w:pPr>
        <w:spacing w:before="120" w:line="288" w:lineRule="auto"/>
        <w:jc w:val="both"/>
        <w:rPr>
          <w:rFonts w:ascii="Arial" w:hAnsi="Arial" w:cs="Arial"/>
          <w:b/>
          <w:color w:val="0066FF"/>
        </w:rPr>
      </w:pPr>
      <w:r w:rsidRPr="009617F5">
        <w:rPr>
          <w:rFonts w:ascii="Arial" w:hAnsi="Arial" w:cs="Arial"/>
          <w:b/>
          <w:color w:val="0066FF"/>
        </w:rPr>
        <w:t>(Z4) VYHODNOCENÍ PŘEDPOKLÁDANÝCH DŮSLEDKŮ NAVRHOVANÉHO ŘEŠENÍ NA ŽIVOTNÍ PROSTŘEDÍ, NA ZEMĚDĚLSKÝ PŮDNÍ FOND A NA POZEMKY URČENÉ K PLNĚNÍ FUNKCE LESA PODLE ZVLÁŠTNÍCH PŘEDPISŮ PŘEDPOKLÁDANÉ DŮSLEDKY NA ŽIVOTNÍ PROSTŘEDÍ</w:t>
      </w:r>
    </w:p>
    <w:p w14:paraId="0C2F5E0B" w14:textId="77777777" w:rsidR="009617F5" w:rsidRPr="009617F5" w:rsidRDefault="009617F5" w:rsidP="009617F5">
      <w:pPr>
        <w:spacing w:before="120" w:line="288" w:lineRule="auto"/>
        <w:ind w:firstLine="709"/>
        <w:jc w:val="both"/>
        <w:rPr>
          <w:rFonts w:ascii="Arial" w:hAnsi="Arial" w:cs="Arial"/>
          <w:color w:val="0066FF"/>
          <w:sz w:val="22"/>
          <w:szCs w:val="22"/>
        </w:rPr>
      </w:pPr>
      <w:r w:rsidRPr="009617F5">
        <w:rPr>
          <w:rFonts w:ascii="Arial" w:hAnsi="Arial" w:cs="Arial"/>
          <w:color w:val="0066FF"/>
          <w:sz w:val="22"/>
          <w:szCs w:val="22"/>
        </w:rPr>
        <w:t>V souladu s § 17 odst. a) zákona. 86/2002 Sb., nově navržená lokalita musí respektovat požadavky na ochranu ovzduší k zabezpečení jeho odpovídající kvality v souladu s emisním stropem a programy snižování emisí znečišťujících látek.</w:t>
      </w:r>
    </w:p>
    <w:p w14:paraId="10378578" w14:textId="77777777" w:rsidR="009617F5" w:rsidRPr="009617F5" w:rsidRDefault="009617F5" w:rsidP="009617F5">
      <w:pPr>
        <w:spacing w:before="120" w:line="288" w:lineRule="auto"/>
        <w:jc w:val="both"/>
        <w:rPr>
          <w:rFonts w:ascii="Arial" w:hAnsi="Arial" w:cs="Arial"/>
          <w:b/>
          <w:color w:val="0066FF"/>
          <w:sz w:val="22"/>
          <w:szCs w:val="22"/>
        </w:rPr>
      </w:pPr>
    </w:p>
    <w:p w14:paraId="3D080C49" w14:textId="77777777" w:rsidR="009617F5" w:rsidRPr="009617F5" w:rsidRDefault="009617F5" w:rsidP="009617F5">
      <w:pPr>
        <w:spacing w:before="120" w:line="288" w:lineRule="auto"/>
        <w:jc w:val="both"/>
        <w:rPr>
          <w:rFonts w:ascii="Arial" w:hAnsi="Arial" w:cs="Arial"/>
          <w:b/>
          <w:color w:val="0066FF"/>
          <w:sz w:val="22"/>
          <w:szCs w:val="22"/>
        </w:rPr>
      </w:pPr>
      <w:r w:rsidRPr="009617F5">
        <w:rPr>
          <w:rFonts w:ascii="Arial" w:hAnsi="Arial" w:cs="Arial"/>
          <w:b/>
          <w:color w:val="0066FF"/>
          <w:sz w:val="22"/>
          <w:szCs w:val="22"/>
        </w:rPr>
        <w:t>PŘEDPOKLÁDANÉ DŮSLEDKY NA ZEMĚDĚLSKÝ PŮDNÍ FOND</w:t>
      </w:r>
    </w:p>
    <w:p w14:paraId="78CC0F21" w14:textId="77777777" w:rsidR="009617F5" w:rsidRPr="009617F5" w:rsidRDefault="009617F5" w:rsidP="009617F5">
      <w:pPr>
        <w:spacing w:before="120" w:line="288" w:lineRule="auto"/>
        <w:jc w:val="both"/>
        <w:rPr>
          <w:rFonts w:ascii="Arial" w:hAnsi="Arial" w:cs="Arial"/>
          <w:b/>
          <w:color w:val="0066FF"/>
          <w:sz w:val="22"/>
          <w:szCs w:val="22"/>
        </w:rPr>
      </w:pPr>
      <w:r w:rsidRPr="009617F5">
        <w:rPr>
          <w:rFonts w:ascii="Arial" w:hAnsi="Arial" w:cs="Arial"/>
          <w:b/>
          <w:color w:val="0066FF"/>
          <w:sz w:val="22"/>
          <w:szCs w:val="22"/>
        </w:rPr>
        <w:t>VYHODNOCENÍ PŘEDPOKLÁDANÉHO ZÁBORU ZPF</w:t>
      </w:r>
    </w:p>
    <w:p w14:paraId="476D512F" w14:textId="77777777" w:rsidR="009617F5" w:rsidRPr="009617F5" w:rsidRDefault="009617F5" w:rsidP="009617F5">
      <w:pPr>
        <w:spacing w:line="276" w:lineRule="auto"/>
        <w:jc w:val="both"/>
        <w:rPr>
          <w:rFonts w:ascii="Arial" w:hAnsi="Arial" w:cs="Arial"/>
          <w:color w:val="0066FF"/>
          <w:sz w:val="22"/>
          <w:szCs w:val="22"/>
        </w:rPr>
      </w:pPr>
      <w:r w:rsidRPr="009617F5">
        <w:rPr>
          <w:rFonts w:ascii="Arial" w:hAnsi="Arial" w:cs="Arial"/>
          <w:noProof/>
          <w:color w:val="0066FF"/>
          <w:sz w:val="22"/>
          <w:szCs w:val="22"/>
          <w:lang w:eastAsia="cs-CZ"/>
        </w:rPr>
        <w:lastRenderedPageBreak/>
        <w:drawing>
          <wp:inline distT="0" distB="0" distL="0" distR="0" wp14:anchorId="1248B108" wp14:editId="09BC2DC4">
            <wp:extent cx="5770245" cy="1844675"/>
            <wp:effectExtent l="38100" t="38100" r="40005" b="41275"/>
            <wp:docPr id="25332" name="Obrázek 25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5770245" cy="1844675"/>
                    </a:xfrm>
                    <a:prstGeom prst="rect">
                      <a:avLst/>
                    </a:prstGeom>
                    <a:noFill/>
                    <a:ln w="38100" cmpd="sng">
                      <a:solidFill>
                        <a:srgbClr val="0066FF"/>
                      </a:solidFill>
                      <a:miter lim="800000"/>
                      <a:headEnd/>
                      <a:tailEnd/>
                    </a:ln>
                    <a:effectLst/>
                  </pic:spPr>
                </pic:pic>
              </a:graphicData>
            </a:graphic>
          </wp:inline>
        </w:drawing>
      </w:r>
    </w:p>
    <w:p w14:paraId="47D05D01" w14:textId="77777777" w:rsidR="009617F5" w:rsidRPr="009617F5" w:rsidRDefault="009617F5" w:rsidP="009617F5">
      <w:pPr>
        <w:spacing w:line="276" w:lineRule="auto"/>
        <w:ind w:firstLine="709"/>
        <w:jc w:val="both"/>
        <w:rPr>
          <w:rFonts w:ascii="Arial" w:hAnsi="Arial" w:cs="Arial"/>
          <w:color w:val="0066FF"/>
          <w:sz w:val="22"/>
          <w:szCs w:val="22"/>
        </w:rPr>
      </w:pPr>
    </w:p>
    <w:p w14:paraId="1F8CBC8B" w14:textId="77777777" w:rsidR="009617F5" w:rsidRPr="009617F5" w:rsidRDefault="009617F5" w:rsidP="009617F5">
      <w:pPr>
        <w:spacing w:line="276" w:lineRule="auto"/>
        <w:ind w:firstLine="709"/>
        <w:jc w:val="both"/>
        <w:rPr>
          <w:rFonts w:ascii="Arial" w:hAnsi="Arial" w:cs="Arial"/>
          <w:color w:val="0066FF"/>
          <w:sz w:val="22"/>
          <w:szCs w:val="22"/>
        </w:rPr>
      </w:pPr>
      <w:r w:rsidRPr="009617F5">
        <w:rPr>
          <w:rFonts w:ascii="Arial" w:hAnsi="Arial" w:cs="Arial"/>
          <w:color w:val="0066FF"/>
          <w:sz w:val="22"/>
          <w:szCs w:val="22"/>
        </w:rPr>
        <w:t>Členění dle funkce</w:t>
      </w:r>
    </w:p>
    <w:p w14:paraId="7529D76A" w14:textId="77777777" w:rsidR="009617F5" w:rsidRPr="009617F5" w:rsidRDefault="009617F5" w:rsidP="009617F5">
      <w:pPr>
        <w:spacing w:line="276" w:lineRule="auto"/>
        <w:jc w:val="both"/>
        <w:rPr>
          <w:rFonts w:ascii="Arial" w:hAnsi="Arial" w:cs="Arial"/>
          <w:color w:val="0066FF"/>
          <w:sz w:val="22"/>
          <w:szCs w:val="22"/>
        </w:rPr>
      </w:pPr>
    </w:p>
    <w:p w14:paraId="613A032E" w14:textId="77777777" w:rsidR="009617F5" w:rsidRPr="009617F5" w:rsidRDefault="009617F5" w:rsidP="009617F5">
      <w:pPr>
        <w:spacing w:line="276" w:lineRule="auto"/>
        <w:jc w:val="both"/>
        <w:rPr>
          <w:rFonts w:ascii="Arial" w:hAnsi="Arial" w:cs="Arial"/>
          <w:color w:val="0066FF"/>
          <w:sz w:val="22"/>
          <w:szCs w:val="22"/>
        </w:rPr>
      </w:pPr>
      <w:r w:rsidRPr="009617F5">
        <w:rPr>
          <w:rFonts w:ascii="Arial" w:hAnsi="Arial" w:cs="Arial"/>
          <w:noProof/>
          <w:color w:val="0066FF"/>
          <w:sz w:val="22"/>
          <w:szCs w:val="22"/>
          <w:lang w:eastAsia="cs-CZ"/>
        </w:rPr>
        <w:drawing>
          <wp:inline distT="0" distB="0" distL="0" distR="0" wp14:anchorId="133471FA" wp14:editId="5E053905">
            <wp:extent cx="5754370" cy="1150620"/>
            <wp:effectExtent l="38100" t="38100" r="36830" b="30480"/>
            <wp:docPr id="25331" name="Obrázek 25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8"/>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5754370" cy="1150620"/>
                    </a:xfrm>
                    <a:prstGeom prst="rect">
                      <a:avLst/>
                    </a:prstGeom>
                    <a:noFill/>
                    <a:ln w="38100" cmpd="sng">
                      <a:solidFill>
                        <a:srgbClr val="0066FF"/>
                      </a:solidFill>
                      <a:miter lim="800000"/>
                      <a:headEnd/>
                      <a:tailEnd/>
                    </a:ln>
                    <a:effectLst/>
                  </pic:spPr>
                </pic:pic>
              </a:graphicData>
            </a:graphic>
          </wp:inline>
        </w:drawing>
      </w:r>
    </w:p>
    <w:p w14:paraId="0998D75A" w14:textId="77777777" w:rsidR="009617F5" w:rsidRPr="009617F5" w:rsidRDefault="009617F5" w:rsidP="009617F5">
      <w:pPr>
        <w:spacing w:before="120" w:line="288" w:lineRule="auto"/>
        <w:jc w:val="both"/>
        <w:rPr>
          <w:rFonts w:ascii="Arial" w:hAnsi="Arial" w:cs="Arial"/>
          <w:b/>
          <w:color w:val="0066FF"/>
          <w:sz w:val="22"/>
          <w:szCs w:val="22"/>
        </w:rPr>
      </w:pPr>
      <w:r w:rsidRPr="009617F5">
        <w:rPr>
          <w:rFonts w:ascii="Arial" w:hAnsi="Arial" w:cs="Arial"/>
          <w:b/>
          <w:color w:val="0066FF"/>
          <w:sz w:val="22"/>
          <w:szCs w:val="22"/>
        </w:rPr>
        <w:t>PŘEDPOKLÁDANÉ DŮSLEDKY NA LESNÍ PŮDNÍ FOND</w:t>
      </w:r>
    </w:p>
    <w:p w14:paraId="478A50CA" w14:textId="77777777" w:rsidR="009617F5" w:rsidRPr="009617F5" w:rsidRDefault="009617F5" w:rsidP="009617F5">
      <w:pPr>
        <w:spacing w:before="120" w:line="288" w:lineRule="auto"/>
        <w:ind w:firstLine="709"/>
        <w:jc w:val="both"/>
        <w:rPr>
          <w:rFonts w:ascii="Arial" w:hAnsi="Arial" w:cs="Arial"/>
          <w:color w:val="0066FF"/>
          <w:sz w:val="22"/>
          <w:szCs w:val="22"/>
        </w:rPr>
      </w:pPr>
      <w:r w:rsidRPr="009617F5">
        <w:rPr>
          <w:rFonts w:ascii="Arial" w:hAnsi="Arial" w:cs="Arial"/>
          <w:color w:val="0066FF"/>
          <w:sz w:val="22"/>
          <w:szCs w:val="22"/>
        </w:rPr>
        <w:t>K záboru lesního a půdního fondu, v důsledku návrhu 4. změny ÚPn M, nedochází.</w:t>
      </w:r>
    </w:p>
    <w:p w14:paraId="204A3EF6" w14:textId="77777777" w:rsidR="009617F5" w:rsidRPr="009617F5" w:rsidRDefault="009617F5" w:rsidP="009617F5">
      <w:pPr>
        <w:tabs>
          <w:tab w:val="decimal" w:pos="72"/>
          <w:tab w:val="decimal" w:pos="144"/>
          <w:tab w:val="right" w:pos="2679"/>
        </w:tabs>
        <w:spacing w:before="36" w:line="276" w:lineRule="auto"/>
        <w:ind w:left="72"/>
        <w:jc w:val="both"/>
        <w:rPr>
          <w:rFonts w:ascii="Arial" w:hAnsi="Arial" w:cs="Arial"/>
          <w:color w:val="BF8F00"/>
          <w:spacing w:val="3"/>
          <w:sz w:val="22"/>
          <w:szCs w:val="22"/>
        </w:rPr>
      </w:pPr>
    </w:p>
    <w:p w14:paraId="5B5E1438" w14:textId="77777777" w:rsidR="009617F5" w:rsidRPr="009617F5" w:rsidRDefault="009617F5" w:rsidP="009617F5">
      <w:pPr>
        <w:tabs>
          <w:tab w:val="decimal" w:pos="72"/>
          <w:tab w:val="decimal" w:pos="144"/>
          <w:tab w:val="right" w:pos="2679"/>
        </w:tabs>
        <w:spacing w:before="36" w:line="276" w:lineRule="auto"/>
        <w:ind w:left="72"/>
        <w:jc w:val="both"/>
        <w:rPr>
          <w:rFonts w:ascii="Arial" w:hAnsi="Arial" w:cs="Arial"/>
          <w:b/>
          <w:color w:val="D60093"/>
          <w:spacing w:val="3"/>
        </w:rPr>
      </w:pPr>
      <w:r w:rsidRPr="009617F5">
        <w:rPr>
          <w:rFonts w:ascii="Arial" w:hAnsi="Arial" w:cs="Arial"/>
          <w:b/>
          <w:color w:val="D60093"/>
          <w:spacing w:val="3"/>
        </w:rPr>
        <w:t>(Z6) VYHODNOCENÍ PŘEDPOKLÁDANÝCH DŮSLEDKŮ NAVRHOVANÉHO ŘEŠENÍ NA ŽIVOTNÍ PROSTŘEDÍ, NA ZEMĚDĚLSKÝ PŮDNÍ FOND A POZEMKY URČENÉ K PLNĚNÍ FUNKCE LESA. (TEXT PŘEVZAT Z ODŮVODNĚNÍ ZMĚNY Č. 6)</w:t>
      </w:r>
    </w:p>
    <w:p w14:paraId="433A92AB" w14:textId="77777777" w:rsidR="009617F5" w:rsidRPr="009617F5" w:rsidRDefault="009617F5" w:rsidP="009617F5">
      <w:pPr>
        <w:tabs>
          <w:tab w:val="left" w:pos="8931"/>
          <w:tab w:val="left" w:pos="9068"/>
        </w:tabs>
        <w:spacing w:after="44" w:line="276" w:lineRule="auto"/>
        <w:ind w:right="-4"/>
        <w:rPr>
          <w:rFonts w:ascii="Arial" w:hAnsi="Arial" w:cs="Arial"/>
          <w:color w:val="D60093"/>
          <w:spacing w:val="3"/>
          <w:sz w:val="20"/>
        </w:rPr>
      </w:pPr>
      <w:r w:rsidRPr="009617F5">
        <w:rPr>
          <w:rFonts w:ascii="Arial" w:hAnsi="Arial" w:cs="Arial"/>
          <w:color w:val="D60093"/>
          <w:spacing w:val="3"/>
          <w:sz w:val="20"/>
        </w:rPr>
        <w:t>V souladu s 17 odst. a) zákona. 86/2002 Sb. nově navržené lokality respektují požadavky na ochranu ovzduší k zabezpečení jeho odpovídající kvality v souladu s emisním stropem a programy snižování emisí znečišťujících látek.</w:t>
      </w:r>
    </w:p>
    <w:p w14:paraId="39197A4C" w14:textId="77777777" w:rsidR="009617F5" w:rsidRPr="009617F5" w:rsidRDefault="009617F5" w:rsidP="009617F5">
      <w:pPr>
        <w:tabs>
          <w:tab w:val="left" w:pos="8931"/>
          <w:tab w:val="left" w:pos="9068"/>
        </w:tabs>
        <w:spacing w:after="14" w:line="276" w:lineRule="auto"/>
        <w:ind w:right="-4"/>
        <w:rPr>
          <w:rFonts w:ascii="Arial" w:hAnsi="Arial" w:cs="Arial"/>
          <w:b/>
          <w:color w:val="D60093"/>
          <w:sz w:val="22"/>
        </w:rPr>
      </w:pPr>
      <w:r w:rsidRPr="009617F5">
        <w:rPr>
          <w:rFonts w:ascii="Arial" w:eastAsia="Calibri" w:hAnsi="Arial" w:cs="Arial"/>
          <w:b/>
          <w:color w:val="D60093"/>
          <w:sz w:val="22"/>
        </w:rPr>
        <w:t>(dle příl. č.3 k vyhlášce 13/1994 Sb. o ochraně půdního fondu)</w:t>
      </w:r>
    </w:p>
    <w:p w14:paraId="217576B9" w14:textId="77777777" w:rsidR="009617F5" w:rsidRPr="009617F5" w:rsidRDefault="009617F5" w:rsidP="009617F5">
      <w:pPr>
        <w:tabs>
          <w:tab w:val="left" w:pos="8931"/>
          <w:tab w:val="left" w:pos="9068"/>
        </w:tabs>
        <w:spacing w:after="191" w:line="276" w:lineRule="auto"/>
        <w:ind w:right="-4"/>
        <w:rPr>
          <w:rFonts w:ascii="Arial" w:hAnsi="Arial" w:cs="Arial"/>
          <w:b/>
          <w:color w:val="D60093"/>
          <w:sz w:val="22"/>
        </w:rPr>
      </w:pPr>
      <w:r w:rsidRPr="009617F5">
        <w:rPr>
          <w:rFonts w:ascii="Arial" w:eastAsia="Calibri" w:hAnsi="Arial" w:cs="Arial"/>
          <w:b/>
          <w:color w:val="D60093"/>
          <w:sz w:val="22"/>
        </w:rPr>
        <w:t>OSNOVA:</w:t>
      </w:r>
    </w:p>
    <w:p w14:paraId="32586B21" w14:textId="77777777" w:rsidR="009617F5" w:rsidRPr="009617F5" w:rsidRDefault="009617F5" w:rsidP="009617F5">
      <w:pPr>
        <w:pStyle w:val="Odstavecseseznamem"/>
        <w:numPr>
          <w:ilvl w:val="0"/>
          <w:numId w:val="104"/>
        </w:numPr>
        <w:spacing w:after="5" w:line="276" w:lineRule="auto"/>
        <w:ind w:right="50"/>
        <w:jc w:val="both"/>
        <w:rPr>
          <w:rFonts w:ascii="Arial" w:hAnsi="Arial" w:cs="Arial"/>
          <w:color w:val="D60093"/>
          <w:szCs w:val="24"/>
        </w:rPr>
      </w:pPr>
      <w:r w:rsidRPr="009617F5">
        <w:rPr>
          <w:rFonts w:ascii="Arial" w:hAnsi="Arial" w:cs="Arial"/>
          <w:noProof/>
          <w:color w:val="D60093"/>
          <w:lang w:eastAsia="cs-CZ"/>
        </w:rPr>
        <w:drawing>
          <wp:inline distT="0" distB="0" distL="0" distR="0" wp14:anchorId="09694D4F" wp14:editId="27C79708">
            <wp:extent cx="15875" cy="15875"/>
            <wp:effectExtent l="0" t="0" r="0" b="0"/>
            <wp:docPr id="25330" name="Obrázek 25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66"/>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hAnsi="Arial" w:cs="Arial"/>
          <w:color w:val="D60093"/>
          <w:szCs w:val="24"/>
        </w:rPr>
        <w:t>ÚDAJE O POZEMCÍCH DOTČENĚ PŮDY</w:t>
      </w:r>
      <w:r w:rsidRPr="009617F5">
        <w:rPr>
          <w:rFonts w:ascii="Arial" w:hAnsi="Arial" w:cs="Arial"/>
          <w:noProof/>
          <w:color w:val="D60093"/>
          <w:lang w:eastAsia="cs-CZ"/>
        </w:rPr>
        <w:drawing>
          <wp:inline distT="0" distB="0" distL="0" distR="0" wp14:anchorId="2EF9E4C0" wp14:editId="43C9613B">
            <wp:extent cx="15875" cy="15875"/>
            <wp:effectExtent l="0" t="0" r="0" b="0"/>
            <wp:docPr id="25329" name="Obrázek 25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67"/>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05129540" w14:textId="77777777" w:rsidR="009617F5" w:rsidRPr="009617F5" w:rsidRDefault="009617F5" w:rsidP="009617F5">
      <w:pPr>
        <w:pStyle w:val="Odstavecseseznamem"/>
        <w:numPr>
          <w:ilvl w:val="1"/>
          <w:numId w:val="104"/>
        </w:numPr>
        <w:tabs>
          <w:tab w:val="left" w:pos="851"/>
        </w:tabs>
        <w:spacing w:after="5" w:line="276" w:lineRule="auto"/>
        <w:ind w:right="1195"/>
        <w:jc w:val="both"/>
        <w:rPr>
          <w:rFonts w:ascii="Arial" w:hAnsi="Arial" w:cs="Arial"/>
          <w:color w:val="D60093"/>
          <w:szCs w:val="24"/>
        </w:rPr>
      </w:pPr>
      <w:r w:rsidRPr="009617F5">
        <w:rPr>
          <w:rFonts w:ascii="Arial" w:hAnsi="Arial" w:cs="Arial"/>
          <w:color w:val="D60093"/>
          <w:szCs w:val="24"/>
        </w:rPr>
        <w:t>CELKOVÝ ROZSAH PLOCH URČENÝCH K ROZVOJI</w:t>
      </w:r>
    </w:p>
    <w:p w14:paraId="34F47DEF" w14:textId="77777777" w:rsidR="009617F5" w:rsidRPr="009617F5" w:rsidRDefault="009617F5" w:rsidP="009617F5">
      <w:pPr>
        <w:pStyle w:val="Odstavecseseznamem"/>
        <w:numPr>
          <w:ilvl w:val="1"/>
          <w:numId w:val="104"/>
        </w:numPr>
        <w:tabs>
          <w:tab w:val="left" w:pos="851"/>
        </w:tabs>
        <w:spacing w:after="5" w:line="276" w:lineRule="auto"/>
        <w:ind w:right="1195"/>
        <w:jc w:val="both"/>
        <w:rPr>
          <w:rFonts w:ascii="Arial" w:hAnsi="Arial" w:cs="Arial"/>
          <w:color w:val="D60093"/>
          <w:szCs w:val="24"/>
        </w:rPr>
      </w:pPr>
      <w:r w:rsidRPr="009617F5">
        <w:rPr>
          <w:rFonts w:ascii="Arial" w:hAnsi="Arial" w:cs="Arial"/>
          <w:color w:val="D60093"/>
          <w:szCs w:val="24"/>
        </w:rPr>
        <w:t>PODÍL ZPF V ROZVOJOVÝCH PLOCHÁCH</w:t>
      </w:r>
    </w:p>
    <w:p w14:paraId="229010D1" w14:textId="77777777" w:rsidR="009617F5" w:rsidRPr="009617F5" w:rsidRDefault="009617F5" w:rsidP="009617F5">
      <w:pPr>
        <w:pStyle w:val="Odstavecseseznamem"/>
        <w:numPr>
          <w:ilvl w:val="1"/>
          <w:numId w:val="104"/>
        </w:numPr>
        <w:tabs>
          <w:tab w:val="left" w:pos="851"/>
        </w:tabs>
        <w:spacing w:after="5" w:line="276" w:lineRule="auto"/>
        <w:ind w:right="1195"/>
        <w:jc w:val="both"/>
        <w:rPr>
          <w:rFonts w:ascii="Arial" w:hAnsi="Arial" w:cs="Arial"/>
          <w:color w:val="D60093"/>
          <w:szCs w:val="24"/>
        </w:rPr>
      </w:pPr>
      <w:r w:rsidRPr="009617F5">
        <w:rPr>
          <w:rFonts w:ascii="Arial" w:hAnsi="Arial" w:cs="Arial"/>
          <w:color w:val="D60093"/>
          <w:szCs w:val="24"/>
        </w:rPr>
        <w:t>ÚDAJE O DRUHU POZEMKŮ ZPF V ROZVOJOVÝCH PLOCHÁCH</w:t>
      </w:r>
    </w:p>
    <w:p w14:paraId="0BE1F759" w14:textId="77777777" w:rsidR="009617F5" w:rsidRPr="009617F5" w:rsidRDefault="009617F5" w:rsidP="009617F5">
      <w:pPr>
        <w:pStyle w:val="Odstavecseseznamem"/>
        <w:numPr>
          <w:ilvl w:val="1"/>
          <w:numId w:val="104"/>
        </w:numPr>
        <w:tabs>
          <w:tab w:val="left" w:pos="851"/>
        </w:tabs>
        <w:spacing w:after="5" w:line="276" w:lineRule="auto"/>
        <w:ind w:right="475"/>
        <w:jc w:val="both"/>
        <w:rPr>
          <w:rFonts w:ascii="Arial" w:hAnsi="Arial" w:cs="Arial"/>
          <w:color w:val="D60093"/>
          <w:szCs w:val="24"/>
        </w:rPr>
      </w:pPr>
      <w:r w:rsidRPr="009617F5">
        <w:rPr>
          <w:rFonts w:ascii="Arial" w:hAnsi="Arial" w:cs="Arial"/>
          <w:color w:val="D60093"/>
          <w:szCs w:val="24"/>
        </w:rPr>
        <w:t>ÚDAJE O ZAŘAZENÍ ZEMĚDĚLSKÉ PŮDY DO BPEJ, TŘÍDĚ OCHRANY ZPF</w:t>
      </w:r>
      <w:r w:rsidRPr="009617F5">
        <w:rPr>
          <w:rFonts w:ascii="Arial" w:hAnsi="Arial" w:cs="Arial"/>
          <w:noProof/>
          <w:color w:val="D60093"/>
          <w:lang w:eastAsia="cs-CZ"/>
        </w:rPr>
        <w:drawing>
          <wp:inline distT="0" distB="0" distL="0" distR="0" wp14:anchorId="1FA3F937" wp14:editId="709C7238">
            <wp:extent cx="15875" cy="15875"/>
            <wp:effectExtent l="0" t="0" r="0" b="0"/>
            <wp:docPr id="25328" name="Obrázek 25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6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76DAC781" w14:textId="77777777" w:rsidR="009617F5" w:rsidRPr="009617F5" w:rsidRDefault="009617F5" w:rsidP="009617F5">
      <w:pPr>
        <w:pStyle w:val="Odstavecseseznamem"/>
        <w:numPr>
          <w:ilvl w:val="0"/>
          <w:numId w:val="104"/>
        </w:numPr>
        <w:tabs>
          <w:tab w:val="left" w:pos="426"/>
        </w:tabs>
        <w:spacing w:after="5" w:line="276" w:lineRule="auto"/>
        <w:ind w:right="1195"/>
        <w:jc w:val="both"/>
        <w:rPr>
          <w:rFonts w:ascii="Arial" w:hAnsi="Arial" w:cs="Arial"/>
          <w:color w:val="D60093"/>
          <w:szCs w:val="24"/>
        </w:rPr>
      </w:pPr>
      <w:r w:rsidRPr="009617F5">
        <w:rPr>
          <w:rFonts w:ascii="Arial" w:hAnsi="Arial" w:cs="Arial"/>
          <w:color w:val="D60093"/>
          <w:szCs w:val="24"/>
        </w:rPr>
        <w:t>ÚDAJE O USKUTEČNĚNÝCH INVESTICÍCH DO PŮDY</w:t>
      </w:r>
    </w:p>
    <w:p w14:paraId="42248637" w14:textId="77777777" w:rsidR="009617F5" w:rsidRPr="009617F5" w:rsidRDefault="009617F5" w:rsidP="009617F5">
      <w:pPr>
        <w:pStyle w:val="Odstavecseseznamem"/>
        <w:numPr>
          <w:ilvl w:val="0"/>
          <w:numId w:val="104"/>
        </w:numPr>
        <w:tabs>
          <w:tab w:val="left" w:pos="426"/>
        </w:tabs>
        <w:spacing w:after="5" w:line="276" w:lineRule="auto"/>
        <w:ind w:right="1195"/>
        <w:jc w:val="both"/>
        <w:rPr>
          <w:rFonts w:ascii="Arial" w:hAnsi="Arial" w:cs="Arial"/>
          <w:color w:val="D60093"/>
          <w:szCs w:val="24"/>
        </w:rPr>
      </w:pPr>
      <w:r w:rsidRPr="009617F5">
        <w:rPr>
          <w:rFonts w:ascii="Arial" w:hAnsi="Arial" w:cs="Arial"/>
          <w:color w:val="D60093"/>
          <w:szCs w:val="24"/>
        </w:rPr>
        <w:t>ÚDAJE O AREÁLECH A OBJEKTECH ZEMĚDĚLSKÉ VÝROBY</w:t>
      </w:r>
    </w:p>
    <w:p w14:paraId="0E3DCA9E" w14:textId="77777777" w:rsidR="009617F5" w:rsidRPr="009617F5" w:rsidRDefault="009617F5" w:rsidP="009617F5">
      <w:pPr>
        <w:pStyle w:val="Odstavecseseznamem"/>
        <w:numPr>
          <w:ilvl w:val="0"/>
          <w:numId w:val="104"/>
        </w:numPr>
        <w:tabs>
          <w:tab w:val="left" w:pos="426"/>
        </w:tabs>
        <w:spacing w:after="5" w:line="276" w:lineRule="auto"/>
        <w:ind w:right="1195"/>
        <w:jc w:val="both"/>
        <w:rPr>
          <w:rFonts w:ascii="Arial" w:hAnsi="Arial" w:cs="Arial"/>
          <w:color w:val="D60093"/>
          <w:szCs w:val="24"/>
        </w:rPr>
      </w:pPr>
      <w:r w:rsidRPr="009617F5">
        <w:rPr>
          <w:rFonts w:ascii="Arial" w:hAnsi="Arial" w:cs="Arial"/>
          <w:color w:val="D60093"/>
          <w:szCs w:val="24"/>
        </w:rPr>
        <w:t>ÚDAJE O USPOŘÁDÁNÍ ZPF V ÚZEMÍ, ÚSES, CHKO</w:t>
      </w:r>
      <w:r w:rsidRPr="009617F5">
        <w:rPr>
          <w:rFonts w:ascii="Arial" w:hAnsi="Arial" w:cs="Arial"/>
          <w:noProof/>
          <w:color w:val="D60093"/>
          <w:lang w:eastAsia="cs-CZ"/>
        </w:rPr>
        <w:drawing>
          <wp:inline distT="0" distB="0" distL="0" distR="0" wp14:anchorId="3CD6B3DF" wp14:editId="13BF50A6">
            <wp:extent cx="15875" cy="15875"/>
            <wp:effectExtent l="0" t="0" r="0" b="0"/>
            <wp:docPr id="25327" name="Obrázek 25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6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7392D2AE" w14:textId="77777777" w:rsidR="009617F5" w:rsidRPr="009617F5" w:rsidRDefault="009617F5" w:rsidP="009617F5">
      <w:pPr>
        <w:pStyle w:val="Odstavecseseznamem"/>
        <w:numPr>
          <w:ilvl w:val="0"/>
          <w:numId w:val="104"/>
        </w:numPr>
        <w:tabs>
          <w:tab w:val="left" w:pos="426"/>
        </w:tabs>
        <w:spacing w:after="5" w:line="276" w:lineRule="auto"/>
        <w:ind w:right="1195"/>
        <w:jc w:val="both"/>
        <w:rPr>
          <w:rFonts w:ascii="Arial" w:hAnsi="Arial" w:cs="Arial"/>
          <w:color w:val="D60093"/>
          <w:szCs w:val="24"/>
        </w:rPr>
      </w:pPr>
      <w:r w:rsidRPr="009617F5">
        <w:rPr>
          <w:rFonts w:ascii="Arial" w:hAnsi="Arial" w:cs="Arial"/>
          <w:color w:val="D60093"/>
          <w:szCs w:val="24"/>
        </w:rPr>
        <w:t>HRANICE ÚZEMNÍCH OBVODŮ A KATASTRÁLNÍCH ÚZEMÍ</w:t>
      </w:r>
    </w:p>
    <w:p w14:paraId="62A961C2" w14:textId="77777777" w:rsidR="009617F5" w:rsidRPr="009617F5" w:rsidRDefault="009617F5" w:rsidP="009617F5">
      <w:pPr>
        <w:pStyle w:val="Odstavecseseznamem"/>
        <w:numPr>
          <w:ilvl w:val="0"/>
          <w:numId w:val="104"/>
        </w:numPr>
        <w:tabs>
          <w:tab w:val="left" w:pos="426"/>
        </w:tabs>
        <w:spacing w:after="5" w:line="276" w:lineRule="auto"/>
        <w:ind w:right="1195"/>
        <w:jc w:val="both"/>
        <w:rPr>
          <w:rFonts w:ascii="Arial" w:hAnsi="Arial" w:cs="Arial"/>
          <w:color w:val="D60093"/>
          <w:szCs w:val="24"/>
        </w:rPr>
      </w:pPr>
      <w:r w:rsidRPr="009617F5">
        <w:rPr>
          <w:rFonts w:ascii="Arial" w:hAnsi="Arial" w:cs="Arial"/>
          <w:color w:val="D60093"/>
          <w:szCs w:val="24"/>
        </w:rPr>
        <w:t>ZDŮVODNĚNÍ NAVRHOVANÉHO ŘEŠENÍ</w:t>
      </w:r>
    </w:p>
    <w:p w14:paraId="171835C2" w14:textId="77777777" w:rsidR="009617F5" w:rsidRPr="009617F5" w:rsidRDefault="009617F5" w:rsidP="009617F5">
      <w:pPr>
        <w:pStyle w:val="Odstavecseseznamem"/>
        <w:numPr>
          <w:ilvl w:val="0"/>
          <w:numId w:val="104"/>
        </w:numPr>
        <w:tabs>
          <w:tab w:val="left" w:pos="426"/>
        </w:tabs>
        <w:spacing w:after="5" w:line="276" w:lineRule="auto"/>
        <w:ind w:right="1195"/>
        <w:jc w:val="both"/>
        <w:rPr>
          <w:rFonts w:ascii="Arial" w:hAnsi="Arial" w:cs="Arial"/>
          <w:color w:val="D60093"/>
          <w:szCs w:val="24"/>
        </w:rPr>
      </w:pPr>
      <w:r w:rsidRPr="009617F5">
        <w:rPr>
          <w:rFonts w:ascii="Arial" w:hAnsi="Arial" w:cs="Arial"/>
          <w:color w:val="D60093"/>
          <w:szCs w:val="24"/>
        </w:rPr>
        <w:t>HRANICE SOUČASNĚ ZASTAVĚNÉHO ÚZEMÍ A POZEMKOVÁ DRŽBA</w:t>
      </w:r>
    </w:p>
    <w:p w14:paraId="16D304A2" w14:textId="77777777" w:rsidR="009617F5" w:rsidRPr="009617F5" w:rsidRDefault="009617F5" w:rsidP="009617F5">
      <w:pPr>
        <w:pStyle w:val="Odstavecseseznamem"/>
        <w:numPr>
          <w:ilvl w:val="0"/>
          <w:numId w:val="104"/>
        </w:numPr>
        <w:tabs>
          <w:tab w:val="left" w:pos="426"/>
        </w:tabs>
        <w:spacing w:after="5" w:line="276" w:lineRule="auto"/>
        <w:ind w:right="1195"/>
        <w:jc w:val="both"/>
        <w:rPr>
          <w:rFonts w:ascii="Arial" w:hAnsi="Arial" w:cs="Arial"/>
          <w:color w:val="D60093"/>
          <w:szCs w:val="24"/>
        </w:rPr>
      </w:pPr>
      <w:r w:rsidRPr="009617F5">
        <w:rPr>
          <w:rFonts w:ascii="Arial" w:hAnsi="Arial" w:cs="Arial"/>
          <w:noProof/>
          <w:color w:val="D60093"/>
          <w:lang w:eastAsia="cs-CZ"/>
        </w:rPr>
        <w:lastRenderedPageBreak/>
        <w:drawing>
          <wp:inline distT="0" distB="0" distL="0" distR="0" wp14:anchorId="2D85B397" wp14:editId="7D478609">
            <wp:extent cx="15875" cy="15875"/>
            <wp:effectExtent l="0" t="0" r="0" b="0"/>
            <wp:docPr id="25326" name="Obrázek 25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70"/>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hAnsi="Arial" w:cs="Arial"/>
          <w:color w:val="D60093"/>
          <w:szCs w:val="24"/>
        </w:rPr>
        <w:t>DOBÝVACÍ PROSTORY, CHLÚ</w:t>
      </w:r>
    </w:p>
    <w:p w14:paraId="38657453" w14:textId="77777777" w:rsidR="009617F5" w:rsidRPr="009617F5" w:rsidRDefault="009617F5" w:rsidP="009617F5">
      <w:pPr>
        <w:pStyle w:val="Odstavecseseznamem"/>
        <w:numPr>
          <w:ilvl w:val="0"/>
          <w:numId w:val="104"/>
        </w:numPr>
        <w:tabs>
          <w:tab w:val="left" w:pos="426"/>
        </w:tabs>
        <w:spacing w:after="5" w:line="276" w:lineRule="auto"/>
        <w:ind w:right="1195"/>
        <w:jc w:val="both"/>
        <w:rPr>
          <w:rFonts w:ascii="Arial" w:hAnsi="Arial" w:cs="Arial"/>
          <w:color w:val="D60093"/>
          <w:szCs w:val="24"/>
        </w:rPr>
      </w:pPr>
      <w:r w:rsidRPr="009617F5">
        <w:rPr>
          <w:rFonts w:ascii="Arial" w:hAnsi="Arial" w:cs="Arial"/>
          <w:color w:val="D60093"/>
          <w:szCs w:val="24"/>
        </w:rPr>
        <w:t>PROTIEROZNÍ OCHRANA</w:t>
      </w:r>
    </w:p>
    <w:p w14:paraId="272C53D8" w14:textId="77777777" w:rsidR="009617F5" w:rsidRPr="009617F5" w:rsidRDefault="009617F5" w:rsidP="009617F5">
      <w:pPr>
        <w:pStyle w:val="Odstavecseseznamem"/>
        <w:numPr>
          <w:ilvl w:val="0"/>
          <w:numId w:val="104"/>
        </w:numPr>
        <w:tabs>
          <w:tab w:val="left" w:pos="426"/>
        </w:tabs>
        <w:spacing w:line="276" w:lineRule="auto"/>
        <w:ind w:right="1195"/>
        <w:jc w:val="both"/>
        <w:rPr>
          <w:rFonts w:ascii="Arial" w:hAnsi="Arial" w:cs="Arial"/>
          <w:color w:val="D60093"/>
          <w:szCs w:val="24"/>
        </w:rPr>
      </w:pPr>
      <w:r w:rsidRPr="009617F5">
        <w:rPr>
          <w:rFonts w:ascii="Arial" w:hAnsi="Arial" w:cs="Arial"/>
          <w:color w:val="D60093"/>
          <w:szCs w:val="24"/>
        </w:rPr>
        <w:t>PODKLADY</w:t>
      </w:r>
    </w:p>
    <w:p w14:paraId="6A994814" w14:textId="77777777" w:rsidR="009617F5" w:rsidRPr="009617F5" w:rsidRDefault="009617F5" w:rsidP="009617F5">
      <w:pPr>
        <w:pStyle w:val="Odstavecseseznamem"/>
        <w:numPr>
          <w:ilvl w:val="1"/>
          <w:numId w:val="103"/>
        </w:numPr>
        <w:tabs>
          <w:tab w:val="left" w:pos="709"/>
        </w:tabs>
        <w:spacing w:after="0" w:line="276" w:lineRule="auto"/>
        <w:ind w:right="1326"/>
        <w:jc w:val="both"/>
        <w:rPr>
          <w:rFonts w:ascii="Arial" w:hAnsi="Arial" w:cs="Arial"/>
          <w:b/>
          <w:color w:val="D60093"/>
          <w:szCs w:val="24"/>
        </w:rPr>
      </w:pPr>
      <w:r w:rsidRPr="009617F5">
        <w:rPr>
          <w:rFonts w:ascii="Arial" w:hAnsi="Arial" w:cs="Arial"/>
          <w:b/>
          <w:color w:val="D60093"/>
          <w:szCs w:val="24"/>
        </w:rPr>
        <w:t>ÚDAJE O POZEMCÍCH DOTČENÉ PŮDY REKAPITULACE:</w:t>
      </w:r>
    </w:p>
    <w:tbl>
      <w:tblPr>
        <w:tblW w:w="8789" w:type="dxa"/>
        <w:tblInd w:w="142" w:type="dxa"/>
        <w:tblCellMar>
          <w:left w:w="0" w:type="dxa"/>
          <w:right w:w="0" w:type="dxa"/>
        </w:tblCellMar>
        <w:tblLook w:val="04A0" w:firstRow="1" w:lastRow="0" w:firstColumn="1" w:lastColumn="0" w:noHBand="0" w:noVBand="1"/>
      </w:tblPr>
      <w:tblGrid>
        <w:gridCol w:w="7514"/>
        <w:gridCol w:w="1275"/>
      </w:tblGrid>
      <w:tr w:rsidR="009617F5" w:rsidRPr="009617F5" w14:paraId="0155B14A" w14:textId="77777777" w:rsidTr="00286F7D">
        <w:trPr>
          <w:trHeight w:val="208"/>
        </w:trPr>
        <w:tc>
          <w:tcPr>
            <w:tcW w:w="7514" w:type="dxa"/>
            <w:shd w:val="clear" w:color="auto" w:fill="auto"/>
          </w:tcPr>
          <w:p w14:paraId="156F1377" w14:textId="77777777" w:rsidR="009617F5" w:rsidRPr="009617F5" w:rsidRDefault="009617F5" w:rsidP="00286F7D">
            <w:pPr>
              <w:tabs>
                <w:tab w:val="left" w:pos="8931"/>
                <w:tab w:val="left" w:pos="9068"/>
              </w:tabs>
              <w:spacing w:line="276" w:lineRule="auto"/>
              <w:rPr>
                <w:rFonts w:ascii="Arial" w:hAnsi="Arial" w:cs="Arial"/>
                <w:color w:val="D60093"/>
                <w:sz w:val="20"/>
              </w:rPr>
            </w:pPr>
            <w:r w:rsidRPr="009617F5">
              <w:rPr>
                <w:rFonts w:ascii="Arial" w:eastAsia="Calibri" w:hAnsi="Arial" w:cs="Arial"/>
                <w:color w:val="D60093"/>
                <w:sz w:val="20"/>
              </w:rPr>
              <w:t>celková výměra rozvojových ploch.</w:t>
            </w:r>
          </w:p>
        </w:tc>
        <w:tc>
          <w:tcPr>
            <w:tcW w:w="1275" w:type="dxa"/>
            <w:shd w:val="clear" w:color="auto" w:fill="auto"/>
          </w:tcPr>
          <w:p w14:paraId="614A7ACB" w14:textId="77777777" w:rsidR="009617F5" w:rsidRPr="009617F5" w:rsidRDefault="009617F5" w:rsidP="00286F7D">
            <w:pPr>
              <w:tabs>
                <w:tab w:val="left" w:pos="8931"/>
                <w:tab w:val="left" w:pos="9068"/>
              </w:tabs>
              <w:spacing w:line="276" w:lineRule="auto"/>
              <w:rPr>
                <w:rFonts w:ascii="Arial" w:hAnsi="Arial" w:cs="Arial"/>
                <w:color w:val="D60093"/>
                <w:sz w:val="20"/>
              </w:rPr>
            </w:pPr>
            <w:r w:rsidRPr="009617F5">
              <w:rPr>
                <w:rFonts w:ascii="Arial" w:eastAsia="Calibri" w:hAnsi="Arial" w:cs="Arial"/>
                <w:color w:val="D60093"/>
                <w:sz w:val="20"/>
              </w:rPr>
              <w:t>13,1466 ha</w:t>
            </w:r>
          </w:p>
        </w:tc>
      </w:tr>
      <w:tr w:rsidR="009617F5" w:rsidRPr="009617F5" w14:paraId="1F27E28C" w14:textId="77777777" w:rsidTr="00286F7D">
        <w:trPr>
          <w:trHeight w:val="45"/>
        </w:trPr>
        <w:tc>
          <w:tcPr>
            <w:tcW w:w="7514" w:type="dxa"/>
            <w:shd w:val="clear" w:color="auto" w:fill="auto"/>
          </w:tcPr>
          <w:p w14:paraId="4F7F1ACE" w14:textId="77777777" w:rsidR="009617F5" w:rsidRPr="009617F5" w:rsidRDefault="009617F5" w:rsidP="00286F7D">
            <w:pPr>
              <w:tabs>
                <w:tab w:val="left" w:pos="8931"/>
                <w:tab w:val="left" w:pos="9068"/>
              </w:tabs>
              <w:spacing w:line="276" w:lineRule="auto"/>
              <w:rPr>
                <w:rFonts w:ascii="Arial" w:hAnsi="Arial" w:cs="Arial"/>
                <w:color w:val="D60093"/>
                <w:sz w:val="20"/>
              </w:rPr>
            </w:pPr>
            <w:r w:rsidRPr="009617F5">
              <w:rPr>
                <w:rFonts w:ascii="Arial" w:eastAsia="Calibri" w:hAnsi="Arial" w:cs="Arial"/>
                <w:color w:val="D60093"/>
                <w:sz w:val="20"/>
              </w:rPr>
              <w:t>výměra ZPF v rozvojových plochách</w:t>
            </w:r>
          </w:p>
        </w:tc>
        <w:tc>
          <w:tcPr>
            <w:tcW w:w="1275" w:type="dxa"/>
            <w:shd w:val="clear" w:color="auto" w:fill="auto"/>
          </w:tcPr>
          <w:p w14:paraId="5A343025" w14:textId="77777777" w:rsidR="009617F5" w:rsidRPr="009617F5" w:rsidRDefault="009617F5" w:rsidP="00286F7D">
            <w:pPr>
              <w:tabs>
                <w:tab w:val="left" w:pos="8931"/>
                <w:tab w:val="left" w:pos="9068"/>
              </w:tabs>
              <w:spacing w:line="276" w:lineRule="auto"/>
              <w:rPr>
                <w:rFonts w:ascii="Arial" w:hAnsi="Arial" w:cs="Arial"/>
                <w:color w:val="D60093"/>
                <w:sz w:val="20"/>
              </w:rPr>
            </w:pPr>
            <w:r w:rsidRPr="009617F5">
              <w:rPr>
                <w:rFonts w:ascii="Arial" w:eastAsia="Calibri" w:hAnsi="Arial" w:cs="Arial"/>
                <w:color w:val="D60093"/>
                <w:sz w:val="20"/>
              </w:rPr>
              <w:t>11,0961 ha</w:t>
            </w:r>
          </w:p>
        </w:tc>
      </w:tr>
      <w:tr w:rsidR="009617F5" w:rsidRPr="009617F5" w14:paraId="02B019E6" w14:textId="77777777" w:rsidTr="00286F7D">
        <w:trPr>
          <w:trHeight w:val="327"/>
        </w:trPr>
        <w:tc>
          <w:tcPr>
            <w:tcW w:w="7514" w:type="dxa"/>
            <w:shd w:val="clear" w:color="auto" w:fill="auto"/>
          </w:tcPr>
          <w:p w14:paraId="582AC5F0" w14:textId="77777777" w:rsidR="009617F5" w:rsidRPr="009617F5" w:rsidRDefault="009617F5" w:rsidP="00286F7D">
            <w:pPr>
              <w:tabs>
                <w:tab w:val="left" w:pos="8931"/>
                <w:tab w:val="left" w:pos="9068"/>
              </w:tabs>
              <w:spacing w:line="276" w:lineRule="auto"/>
              <w:rPr>
                <w:rFonts w:ascii="Arial" w:eastAsia="Calibri" w:hAnsi="Arial" w:cs="Arial"/>
                <w:color w:val="D60093"/>
                <w:sz w:val="20"/>
              </w:rPr>
            </w:pPr>
            <w:r w:rsidRPr="009617F5">
              <w:rPr>
                <w:rFonts w:ascii="Arial" w:eastAsia="Calibri" w:hAnsi="Arial" w:cs="Arial"/>
                <w:color w:val="D60093"/>
                <w:sz w:val="20"/>
              </w:rPr>
              <w:t>ZPF uvnitř S ZÚO:</w:t>
            </w:r>
          </w:p>
        </w:tc>
        <w:tc>
          <w:tcPr>
            <w:tcW w:w="1275" w:type="dxa"/>
            <w:shd w:val="clear" w:color="auto" w:fill="auto"/>
          </w:tcPr>
          <w:p w14:paraId="7BF8610D" w14:textId="77777777" w:rsidR="009617F5" w:rsidRPr="009617F5" w:rsidRDefault="009617F5" w:rsidP="00286F7D">
            <w:pPr>
              <w:tabs>
                <w:tab w:val="left" w:pos="8931"/>
                <w:tab w:val="left" w:pos="9068"/>
              </w:tabs>
              <w:spacing w:line="276" w:lineRule="auto"/>
              <w:rPr>
                <w:rFonts w:ascii="Arial" w:hAnsi="Arial" w:cs="Arial"/>
                <w:color w:val="D60093"/>
                <w:sz w:val="20"/>
              </w:rPr>
            </w:pPr>
            <w:r w:rsidRPr="009617F5">
              <w:rPr>
                <w:rFonts w:ascii="Arial" w:eastAsia="Calibri" w:hAnsi="Arial" w:cs="Arial"/>
                <w:color w:val="D60093"/>
                <w:sz w:val="20"/>
              </w:rPr>
              <w:t>3,7667 ha</w:t>
            </w:r>
          </w:p>
        </w:tc>
      </w:tr>
      <w:tr w:rsidR="009617F5" w:rsidRPr="009617F5" w14:paraId="4A08B882" w14:textId="77777777" w:rsidTr="00286F7D">
        <w:trPr>
          <w:trHeight w:val="214"/>
        </w:trPr>
        <w:tc>
          <w:tcPr>
            <w:tcW w:w="7514" w:type="dxa"/>
            <w:shd w:val="clear" w:color="auto" w:fill="auto"/>
          </w:tcPr>
          <w:p w14:paraId="38DE4EDE" w14:textId="77777777" w:rsidR="009617F5" w:rsidRPr="009617F5" w:rsidRDefault="009617F5" w:rsidP="00286F7D">
            <w:pPr>
              <w:tabs>
                <w:tab w:val="left" w:pos="8931"/>
                <w:tab w:val="left" w:pos="9068"/>
              </w:tabs>
              <w:spacing w:line="276" w:lineRule="auto"/>
              <w:rPr>
                <w:rFonts w:ascii="Arial" w:hAnsi="Arial" w:cs="Arial"/>
                <w:color w:val="D60093"/>
                <w:sz w:val="20"/>
              </w:rPr>
            </w:pPr>
            <w:r w:rsidRPr="009617F5">
              <w:rPr>
                <w:rFonts w:ascii="Arial" w:eastAsia="Calibri" w:hAnsi="Arial" w:cs="Arial"/>
                <w:color w:val="D60093"/>
                <w:sz w:val="20"/>
              </w:rPr>
              <w:t>ZPF vně S ZÚO:</w:t>
            </w:r>
            <w:r w:rsidRPr="009617F5">
              <w:rPr>
                <w:rFonts w:ascii="Arial" w:hAnsi="Arial" w:cs="Arial"/>
                <w:noProof/>
                <w:color w:val="D60093"/>
                <w:sz w:val="20"/>
                <w:szCs w:val="22"/>
                <w:lang w:eastAsia="cs-CZ"/>
              </w:rPr>
              <w:drawing>
                <wp:inline distT="0" distB="0" distL="0" distR="0" wp14:anchorId="3BEE13D6" wp14:editId="377BC94A">
                  <wp:extent cx="15875" cy="15875"/>
                  <wp:effectExtent l="0" t="0" r="0" b="0"/>
                  <wp:docPr id="25325" name="Obrázek 25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7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tc>
        <w:tc>
          <w:tcPr>
            <w:tcW w:w="1275" w:type="dxa"/>
            <w:shd w:val="clear" w:color="auto" w:fill="auto"/>
          </w:tcPr>
          <w:p w14:paraId="43846AF9" w14:textId="77777777" w:rsidR="009617F5" w:rsidRPr="009617F5" w:rsidRDefault="009617F5" w:rsidP="00286F7D">
            <w:pPr>
              <w:tabs>
                <w:tab w:val="left" w:pos="8931"/>
                <w:tab w:val="left" w:pos="9068"/>
              </w:tabs>
              <w:spacing w:line="276" w:lineRule="auto"/>
              <w:rPr>
                <w:rFonts w:ascii="Arial" w:hAnsi="Arial" w:cs="Arial"/>
                <w:color w:val="D60093"/>
                <w:sz w:val="20"/>
              </w:rPr>
            </w:pPr>
            <w:r w:rsidRPr="009617F5">
              <w:rPr>
                <w:rFonts w:ascii="Arial" w:eastAsia="Calibri" w:hAnsi="Arial" w:cs="Arial"/>
                <w:color w:val="D60093"/>
                <w:sz w:val="20"/>
              </w:rPr>
              <w:t>6,8019 ha</w:t>
            </w:r>
          </w:p>
        </w:tc>
      </w:tr>
      <w:tr w:rsidR="009617F5" w:rsidRPr="009617F5" w14:paraId="3B2F0A23" w14:textId="77777777" w:rsidTr="00286F7D">
        <w:trPr>
          <w:trHeight w:val="260"/>
        </w:trPr>
        <w:tc>
          <w:tcPr>
            <w:tcW w:w="7514" w:type="dxa"/>
            <w:shd w:val="clear" w:color="auto" w:fill="auto"/>
          </w:tcPr>
          <w:p w14:paraId="4B9B3C33" w14:textId="77777777" w:rsidR="009617F5" w:rsidRPr="009617F5" w:rsidRDefault="009617F5" w:rsidP="00286F7D">
            <w:pPr>
              <w:tabs>
                <w:tab w:val="left" w:pos="8931"/>
                <w:tab w:val="left" w:pos="9068"/>
              </w:tabs>
              <w:spacing w:line="276" w:lineRule="auto"/>
              <w:rPr>
                <w:rFonts w:ascii="Arial" w:hAnsi="Arial" w:cs="Arial"/>
                <w:color w:val="D60093"/>
                <w:sz w:val="20"/>
              </w:rPr>
            </w:pPr>
            <w:r w:rsidRPr="009617F5">
              <w:rPr>
                <w:rFonts w:ascii="Arial" w:hAnsi="Arial" w:cs="Arial"/>
                <w:noProof/>
                <w:color w:val="D60093"/>
                <w:sz w:val="20"/>
                <w:szCs w:val="22"/>
                <w:lang w:eastAsia="cs-CZ"/>
              </w:rPr>
              <w:drawing>
                <wp:inline distT="0" distB="0" distL="0" distR="0" wp14:anchorId="22E5FFD7" wp14:editId="6C949A6B">
                  <wp:extent cx="15875" cy="15875"/>
                  <wp:effectExtent l="0" t="0" r="0" b="0"/>
                  <wp:docPr id="25324" name="Obrázek 25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72"/>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eastAsia="Calibri" w:hAnsi="Arial" w:cs="Arial"/>
                <w:color w:val="D60093"/>
                <w:sz w:val="20"/>
              </w:rPr>
              <w:t>Z toho výměra půd II. stupně ochrany</w:t>
            </w:r>
          </w:p>
        </w:tc>
        <w:tc>
          <w:tcPr>
            <w:tcW w:w="1275" w:type="dxa"/>
            <w:shd w:val="clear" w:color="auto" w:fill="auto"/>
          </w:tcPr>
          <w:p w14:paraId="1D615CBA" w14:textId="77777777" w:rsidR="009617F5" w:rsidRPr="009617F5" w:rsidRDefault="009617F5" w:rsidP="00286F7D">
            <w:pPr>
              <w:tabs>
                <w:tab w:val="left" w:pos="8931"/>
                <w:tab w:val="left" w:pos="9068"/>
              </w:tabs>
              <w:spacing w:line="276" w:lineRule="auto"/>
              <w:rPr>
                <w:rFonts w:ascii="Arial" w:hAnsi="Arial" w:cs="Arial"/>
                <w:color w:val="D60093"/>
                <w:sz w:val="20"/>
              </w:rPr>
            </w:pPr>
            <w:r w:rsidRPr="009617F5">
              <w:rPr>
                <w:rFonts w:ascii="Arial" w:eastAsia="Calibri" w:hAnsi="Arial" w:cs="Arial"/>
                <w:color w:val="D60093"/>
                <w:sz w:val="20"/>
              </w:rPr>
              <w:t>4,2716 ha</w:t>
            </w:r>
          </w:p>
        </w:tc>
      </w:tr>
      <w:tr w:rsidR="009617F5" w:rsidRPr="009617F5" w14:paraId="645BF4D8" w14:textId="77777777" w:rsidTr="00286F7D">
        <w:trPr>
          <w:trHeight w:val="308"/>
        </w:trPr>
        <w:tc>
          <w:tcPr>
            <w:tcW w:w="7514" w:type="dxa"/>
            <w:shd w:val="clear" w:color="auto" w:fill="auto"/>
          </w:tcPr>
          <w:p w14:paraId="16A4ADE5" w14:textId="77777777" w:rsidR="009617F5" w:rsidRPr="009617F5" w:rsidRDefault="009617F5" w:rsidP="00286F7D">
            <w:pPr>
              <w:tabs>
                <w:tab w:val="left" w:pos="8931"/>
                <w:tab w:val="left" w:pos="9068"/>
              </w:tabs>
              <w:spacing w:line="276" w:lineRule="auto"/>
              <w:rPr>
                <w:rFonts w:ascii="Arial" w:hAnsi="Arial" w:cs="Arial"/>
                <w:color w:val="D60093"/>
                <w:sz w:val="20"/>
              </w:rPr>
            </w:pPr>
            <w:r w:rsidRPr="009617F5">
              <w:rPr>
                <w:rFonts w:ascii="Arial" w:eastAsia="Calibri" w:hAnsi="Arial" w:cs="Arial"/>
                <w:color w:val="D60093"/>
                <w:sz w:val="20"/>
              </w:rPr>
              <w:t>Nezemědělská půda (zastavěné a ostatní pl.)</w:t>
            </w:r>
          </w:p>
        </w:tc>
        <w:tc>
          <w:tcPr>
            <w:tcW w:w="1275" w:type="dxa"/>
            <w:shd w:val="clear" w:color="auto" w:fill="auto"/>
          </w:tcPr>
          <w:p w14:paraId="46AFE11D" w14:textId="77777777" w:rsidR="009617F5" w:rsidRPr="009617F5" w:rsidRDefault="009617F5" w:rsidP="00286F7D">
            <w:pPr>
              <w:tabs>
                <w:tab w:val="left" w:pos="8931"/>
                <w:tab w:val="left" w:pos="9068"/>
              </w:tabs>
              <w:spacing w:line="276" w:lineRule="auto"/>
              <w:rPr>
                <w:rFonts w:ascii="Arial" w:hAnsi="Arial" w:cs="Arial"/>
                <w:color w:val="D60093"/>
                <w:sz w:val="20"/>
              </w:rPr>
            </w:pPr>
            <w:r w:rsidRPr="009617F5">
              <w:rPr>
                <w:rFonts w:ascii="Arial" w:eastAsia="Calibri" w:hAnsi="Arial" w:cs="Arial"/>
                <w:color w:val="D60093"/>
                <w:sz w:val="20"/>
              </w:rPr>
              <w:t>2,0505 ha</w:t>
            </w:r>
          </w:p>
        </w:tc>
      </w:tr>
    </w:tbl>
    <w:p w14:paraId="36CCDE1B" w14:textId="77777777" w:rsidR="009617F5" w:rsidRPr="009617F5" w:rsidRDefault="009617F5" w:rsidP="009617F5">
      <w:pPr>
        <w:tabs>
          <w:tab w:val="left" w:pos="8931"/>
          <w:tab w:val="left" w:pos="9068"/>
        </w:tabs>
        <w:spacing w:after="47" w:line="276" w:lineRule="auto"/>
        <w:rPr>
          <w:rFonts w:ascii="Arial" w:eastAsia="Calibri" w:hAnsi="Arial" w:cs="Arial"/>
          <w:color w:val="D60093"/>
          <w:sz w:val="22"/>
        </w:rPr>
      </w:pPr>
    </w:p>
    <w:p w14:paraId="6C719144" w14:textId="77777777" w:rsidR="009617F5" w:rsidRPr="009617F5" w:rsidRDefault="009617F5" w:rsidP="009617F5">
      <w:pPr>
        <w:tabs>
          <w:tab w:val="left" w:pos="8931"/>
          <w:tab w:val="left" w:pos="9068"/>
        </w:tabs>
        <w:spacing w:after="47" w:line="276" w:lineRule="auto"/>
        <w:rPr>
          <w:rFonts w:ascii="Arial" w:hAnsi="Arial" w:cs="Arial"/>
          <w:b/>
          <w:color w:val="D60093"/>
          <w:sz w:val="22"/>
        </w:rPr>
      </w:pPr>
      <w:r w:rsidRPr="009617F5">
        <w:rPr>
          <w:rFonts w:ascii="Arial" w:eastAsia="Calibri" w:hAnsi="Arial" w:cs="Arial"/>
          <w:b/>
          <w:color w:val="D60093"/>
          <w:sz w:val="22"/>
        </w:rPr>
        <w:t>1.1. Celkový rozsah ploch určených k rozvoji</w:t>
      </w:r>
    </w:p>
    <w:p w14:paraId="5BDEC747" w14:textId="77777777" w:rsidR="009617F5" w:rsidRPr="009617F5" w:rsidRDefault="009617F5" w:rsidP="009617F5">
      <w:pPr>
        <w:tabs>
          <w:tab w:val="left" w:pos="8931"/>
          <w:tab w:val="left" w:pos="9068"/>
        </w:tabs>
        <w:spacing w:after="280" w:line="276" w:lineRule="auto"/>
        <w:ind w:right="-4"/>
        <w:rPr>
          <w:rFonts w:ascii="Arial" w:eastAsia="Calibri" w:hAnsi="Arial" w:cs="Arial"/>
          <w:color w:val="D60093"/>
          <w:sz w:val="22"/>
        </w:rPr>
      </w:pPr>
      <w:r w:rsidRPr="009617F5">
        <w:rPr>
          <w:rFonts w:ascii="Arial" w:eastAsia="Calibri" w:hAnsi="Arial" w:cs="Arial"/>
          <w:color w:val="D60093"/>
          <w:sz w:val="22"/>
        </w:rPr>
        <w:t xml:space="preserve">Pro rozvoj města Děčín a obcí je navrhována plocha celkové výměry 13,1-166 ha. </w:t>
      </w:r>
      <w:r w:rsidRPr="009617F5">
        <w:rPr>
          <w:rFonts w:ascii="Arial" w:hAnsi="Arial" w:cs="Arial"/>
          <w:noProof/>
          <w:color w:val="D60093"/>
          <w:sz w:val="22"/>
          <w:lang w:eastAsia="cs-CZ"/>
        </w:rPr>
        <w:drawing>
          <wp:inline distT="0" distB="0" distL="0" distR="0" wp14:anchorId="1BF4E75F" wp14:editId="1D5CDB97">
            <wp:extent cx="15875" cy="15875"/>
            <wp:effectExtent l="0" t="0" r="0" b="0"/>
            <wp:docPr id="25323" name="Obrázek 25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546"/>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0C8FC617" w14:textId="77777777" w:rsidR="009617F5" w:rsidRPr="009617F5" w:rsidRDefault="009617F5" w:rsidP="009617F5">
      <w:pPr>
        <w:tabs>
          <w:tab w:val="left" w:pos="8931"/>
          <w:tab w:val="left" w:pos="9068"/>
        </w:tabs>
        <w:spacing w:after="280" w:line="276" w:lineRule="auto"/>
        <w:ind w:right="1260"/>
        <w:rPr>
          <w:rFonts w:ascii="Arial" w:hAnsi="Arial" w:cs="Arial"/>
          <w:color w:val="D60093"/>
          <w:sz w:val="22"/>
        </w:rPr>
      </w:pPr>
      <w:r w:rsidRPr="009617F5">
        <w:rPr>
          <w:rFonts w:ascii="Arial" w:eastAsia="Calibri" w:hAnsi="Arial" w:cs="Arial"/>
          <w:color w:val="D60093"/>
          <w:sz w:val="22"/>
          <w:u w:val="single" w:color="000000"/>
        </w:rPr>
        <w:t>Tato výměra zahrnuje zemědělské i nezemědělské pozemky.</w:t>
      </w:r>
    </w:p>
    <w:p w14:paraId="02AF04ED" w14:textId="77777777" w:rsidR="009617F5" w:rsidRPr="009617F5" w:rsidRDefault="009617F5" w:rsidP="009617F5">
      <w:pPr>
        <w:tabs>
          <w:tab w:val="left" w:pos="8931"/>
          <w:tab w:val="left" w:pos="9068"/>
        </w:tabs>
        <w:spacing w:line="276" w:lineRule="auto"/>
        <w:ind w:right="1195"/>
        <w:rPr>
          <w:rFonts w:ascii="Arial" w:hAnsi="Arial" w:cs="Arial"/>
          <w:color w:val="D60093"/>
          <w:sz w:val="22"/>
        </w:rPr>
      </w:pPr>
      <w:r w:rsidRPr="009617F5">
        <w:rPr>
          <w:rFonts w:ascii="Arial" w:eastAsia="Calibri" w:hAnsi="Arial" w:cs="Arial"/>
          <w:color w:val="D60093"/>
          <w:sz w:val="22"/>
        </w:rPr>
        <w:t>POZNÁMKY:</w:t>
      </w:r>
    </w:p>
    <w:p w14:paraId="0F5C9DCA" w14:textId="77777777" w:rsidR="009617F5" w:rsidRPr="009617F5" w:rsidRDefault="009617F5" w:rsidP="009617F5">
      <w:pPr>
        <w:tabs>
          <w:tab w:val="left" w:pos="8931"/>
          <w:tab w:val="left" w:pos="9068"/>
        </w:tabs>
        <w:spacing w:after="8" w:line="276" w:lineRule="auto"/>
        <w:ind w:right="-4"/>
        <w:rPr>
          <w:rFonts w:ascii="Arial" w:hAnsi="Arial" w:cs="Arial"/>
          <w:color w:val="D60093"/>
          <w:sz w:val="22"/>
        </w:rPr>
      </w:pPr>
      <w:r w:rsidRPr="009617F5">
        <w:rPr>
          <w:rFonts w:ascii="Arial" w:eastAsia="Calibri" w:hAnsi="Arial" w:cs="Arial"/>
          <w:color w:val="D60093"/>
          <w:sz w:val="22"/>
        </w:rPr>
        <w:t>Založení prvků ÚSES se děje dle § 59 zák. 114/92 Sb. Na založení prvků ÚSES se nevztahují ustanovení o ochraně ZPF a PUPFL, proto zde nejsou zábory pro nefunkční prvky ÚSES uvedeny. Prvky ÚSES nejsou navrhovány.</w:t>
      </w:r>
    </w:p>
    <w:p w14:paraId="6F1E0FDF" w14:textId="77777777" w:rsidR="009617F5" w:rsidRPr="009617F5" w:rsidRDefault="009617F5" w:rsidP="009617F5">
      <w:pPr>
        <w:tabs>
          <w:tab w:val="left" w:pos="8931"/>
          <w:tab w:val="left" w:pos="9068"/>
        </w:tabs>
        <w:spacing w:after="28" w:line="276" w:lineRule="auto"/>
        <w:ind w:right="-4"/>
        <w:rPr>
          <w:rFonts w:ascii="Arial" w:hAnsi="Arial" w:cs="Arial"/>
          <w:color w:val="D60093"/>
          <w:sz w:val="22"/>
        </w:rPr>
      </w:pPr>
      <w:r w:rsidRPr="009617F5">
        <w:rPr>
          <w:rFonts w:ascii="Arial" w:eastAsia="Calibri" w:hAnsi="Arial" w:cs="Arial"/>
          <w:color w:val="D60093"/>
          <w:sz w:val="22"/>
        </w:rPr>
        <w:t xml:space="preserve">V tabulce 1. </w:t>
      </w:r>
      <w:r w:rsidRPr="009617F5">
        <w:rPr>
          <w:rFonts w:ascii="Arial" w:eastAsia="Calibri" w:hAnsi="Arial" w:cs="Arial"/>
          <w:color w:val="D60093"/>
          <w:sz w:val="22"/>
          <w:u w:val="single" w:color="000000"/>
        </w:rPr>
        <w:t>„ROZVOJOVÉ PLOCHY —základní údaje"</w:t>
      </w:r>
      <w:r w:rsidRPr="009617F5">
        <w:rPr>
          <w:rFonts w:ascii="Arial" w:eastAsia="Calibri" w:hAnsi="Arial" w:cs="Arial"/>
          <w:color w:val="D60093"/>
          <w:sz w:val="22"/>
        </w:rPr>
        <w:t xml:space="preserve"> jsou uvedeny základní údaje k jednotlivým rozvojovým plochám.</w:t>
      </w:r>
    </w:p>
    <w:p w14:paraId="6F53C569" w14:textId="77777777" w:rsidR="009617F5" w:rsidRPr="009617F5" w:rsidRDefault="009617F5" w:rsidP="009617F5">
      <w:pPr>
        <w:pStyle w:val="Nadpis3"/>
        <w:tabs>
          <w:tab w:val="left" w:pos="8931"/>
          <w:tab w:val="left" w:pos="9068"/>
        </w:tabs>
        <w:spacing w:after="9" w:line="276" w:lineRule="auto"/>
        <w:ind w:right="-4"/>
        <w:rPr>
          <w:rFonts w:ascii="Arial" w:hAnsi="Arial" w:cs="Arial"/>
          <w:color w:val="D60093"/>
          <w:sz w:val="22"/>
        </w:rPr>
      </w:pPr>
      <w:r w:rsidRPr="009617F5">
        <w:rPr>
          <w:rFonts w:ascii="Arial" w:hAnsi="Arial" w:cs="Arial"/>
          <w:noProof/>
          <w:color w:val="D60093"/>
          <w:sz w:val="22"/>
          <w:lang w:eastAsia="cs-CZ"/>
        </w:rPr>
        <w:drawing>
          <wp:inline distT="0" distB="0" distL="0" distR="0" wp14:anchorId="0E60EC8D" wp14:editId="375F95A5">
            <wp:extent cx="15875" cy="15875"/>
            <wp:effectExtent l="0" t="0" r="0" b="0"/>
            <wp:docPr id="25322" name="Obrázek 25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76"/>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eastAsia="Calibri" w:hAnsi="Arial" w:cs="Arial"/>
          <w:color w:val="D60093"/>
          <w:sz w:val="22"/>
        </w:rPr>
        <w:t>Podrobné údaje obsahuje tabulka 2. „ROZVOJOVÉ PLOCHY — podrobné údaje”</w:t>
      </w:r>
    </w:p>
    <w:p w14:paraId="7BC94075" w14:textId="77777777" w:rsidR="009617F5" w:rsidRPr="009617F5" w:rsidRDefault="009617F5" w:rsidP="009617F5">
      <w:pPr>
        <w:tabs>
          <w:tab w:val="left" w:pos="8931"/>
          <w:tab w:val="left" w:pos="9068"/>
        </w:tabs>
        <w:spacing w:line="276" w:lineRule="auto"/>
        <w:ind w:right="-4"/>
        <w:rPr>
          <w:rFonts w:ascii="Arial" w:eastAsia="Calibri" w:hAnsi="Arial" w:cs="Arial"/>
          <w:color w:val="D60093"/>
          <w:sz w:val="22"/>
        </w:rPr>
      </w:pPr>
    </w:p>
    <w:p w14:paraId="72BAB752" w14:textId="77777777" w:rsidR="009617F5" w:rsidRPr="009617F5" w:rsidRDefault="009617F5" w:rsidP="009617F5">
      <w:pPr>
        <w:tabs>
          <w:tab w:val="left" w:pos="8931"/>
          <w:tab w:val="left" w:pos="9068"/>
        </w:tabs>
        <w:spacing w:line="276" w:lineRule="auto"/>
        <w:ind w:right="-4"/>
        <w:rPr>
          <w:rFonts w:ascii="Arial" w:hAnsi="Arial" w:cs="Arial"/>
          <w:color w:val="D60093"/>
          <w:sz w:val="22"/>
        </w:rPr>
      </w:pPr>
      <w:r w:rsidRPr="009617F5">
        <w:rPr>
          <w:rFonts w:ascii="Arial" w:eastAsia="Calibri" w:hAnsi="Arial" w:cs="Arial"/>
          <w:color w:val="D60093"/>
          <w:sz w:val="22"/>
        </w:rPr>
        <w:t>TAB. 1: ROZVOJOVÉ PLOCHY - základní údaje</w:t>
      </w:r>
    </w:p>
    <w:p w14:paraId="0017B782" w14:textId="77777777" w:rsidR="009617F5" w:rsidRPr="009617F5" w:rsidRDefault="009617F5" w:rsidP="009617F5">
      <w:pPr>
        <w:tabs>
          <w:tab w:val="left" w:pos="8931"/>
          <w:tab w:val="left" w:pos="9068"/>
        </w:tabs>
        <w:spacing w:line="276" w:lineRule="auto"/>
        <w:rPr>
          <w:rFonts w:ascii="Arial" w:hAnsi="Arial" w:cs="Arial"/>
          <w:color w:val="D60093"/>
          <w:sz w:val="22"/>
        </w:rPr>
      </w:pPr>
      <w:r w:rsidRPr="009617F5">
        <w:rPr>
          <w:rFonts w:ascii="Arial" w:hAnsi="Arial" w:cs="Arial"/>
          <w:noProof/>
          <w:color w:val="D60093"/>
          <w:sz w:val="22"/>
          <w:lang w:eastAsia="cs-CZ"/>
        </w:rPr>
        <w:lastRenderedPageBreak/>
        <w:drawing>
          <wp:inline distT="0" distB="0" distL="0" distR="0" wp14:anchorId="68FCAC29" wp14:editId="40659D33">
            <wp:extent cx="5880735" cy="7867015"/>
            <wp:effectExtent l="57150" t="57150" r="62865" b="57785"/>
            <wp:docPr id="25321" name="Obrázek 25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2"/>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5880735" cy="7867015"/>
                    </a:xfrm>
                    <a:prstGeom prst="rect">
                      <a:avLst/>
                    </a:prstGeom>
                    <a:noFill/>
                    <a:ln w="57150" cmpd="sng">
                      <a:solidFill>
                        <a:srgbClr val="D60093"/>
                      </a:solidFill>
                      <a:miter lim="800000"/>
                      <a:headEnd/>
                      <a:tailEnd/>
                    </a:ln>
                    <a:effectLst/>
                  </pic:spPr>
                </pic:pic>
              </a:graphicData>
            </a:graphic>
          </wp:inline>
        </w:drawing>
      </w:r>
    </w:p>
    <w:p w14:paraId="28E7AD4D" w14:textId="77777777" w:rsidR="009617F5" w:rsidRPr="009617F5" w:rsidRDefault="009617F5" w:rsidP="009617F5">
      <w:pPr>
        <w:tabs>
          <w:tab w:val="left" w:pos="8931"/>
          <w:tab w:val="left" w:pos="9068"/>
        </w:tabs>
        <w:spacing w:line="276" w:lineRule="auto"/>
        <w:rPr>
          <w:rFonts w:ascii="Arial" w:hAnsi="Arial" w:cs="Arial"/>
          <w:color w:val="D60093"/>
          <w:sz w:val="22"/>
        </w:rPr>
      </w:pPr>
    </w:p>
    <w:p w14:paraId="5AF029DB" w14:textId="77777777" w:rsidR="009617F5" w:rsidRPr="009617F5" w:rsidRDefault="009617F5" w:rsidP="009617F5">
      <w:pPr>
        <w:tabs>
          <w:tab w:val="left" w:pos="8931"/>
          <w:tab w:val="left" w:pos="9068"/>
        </w:tabs>
        <w:spacing w:line="276" w:lineRule="auto"/>
        <w:rPr>
          <w:rFonts w:ascii="Arial" w:hAnsi="Arial" w:cs="Arial"/>
          <w:color w:val="D60093"/>
          <w:sz w:val="22"/>
        </w:rPr>
      </w:pPr>
      <w:r w:rsidRPr="009617F5">
        <w:rPr>
          <w:rFonts w:ascii="Arial" w:hAnsi="Arial" w:cs="Arial"/>
          <w:noProof/>
          <w:color w:val="D60093"/>
          <w:sz w:val="22"/>
          <w:lang w:eastAsia="cs-CZ"/>
        </w:rPr>
        <w:lastRenderedPageBreak/>
        <w:drawing>
          <wp:inline distT="0" distB="0" distL="0" distR="0" wp14:anchorId="154C947B" wp14:editId="35E8FC30">
            <wp:extent cx="5770245" cy="7709535"/>
            <wp:effectExtent l="57150" t="57150" r="59055" b="62865"/>
            <wp:docPr id="25320" name="Obrázek 25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3"/>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5770245" cy="7709535"/>
                    </a:xfrm>
                    <a:prstGeom prst="rect">
                      <a:avLst/>
                    </a:prstGeom>
                    <a:noFill/>
                    <a:ln w="57150" cmpd="sng">
                      <a:solidFill>
                        <a:srgbClr val="D60093"/>
                      </a:solidFill>
                      <a:miter lim="800000"/>
                      <a:headEnd/>
                      <a:tailEnd/>
                    </a:ln>
                    <a:effectLst/>
                  </pic:spPr>
                </pic:pic>
              </a:graphicData>
            </a:graphic>
          </wp:inline>
        </w:drawing>
      </w:r>
    </w:p>
    <w:p w14:paraId="4A829797" w14:textId="77777777" w:rsidR="009617F5" w:rsidRPr="009617F5" w:rsidRDefault="009617F5" w:rsidP="009617F5">
      <w:pPr>
        <w:tabs>
          <w:tab w:val="left" w:pos="8931"/>
          <w:tab w:val="left" w:pos="9068"/>
        </w:tabs>
        <w:spacing w:line="276" w:lineRule="auto"/>
        <w:rPr>
          <w:rFonts w:ascii="Arial" w:hAnsi="Arial" w:cs="Arial"/>
          <w:color w:val="D60093"/>
          <w:sz w:val="22"/>
        </w:rPr>
      </w:pPr>
    </w:p>
    <w:p w14:paraId="0EFE5E51" w14:textId="77777777" w:rsidR="009617F5" w:rsidRPr="009617F5" w:rsidRDefault="009617F5" w:rsidP="009617F5">
      <w:pPr>
        <w:tabs>
          <w:tab w:val="left" w:pos="8931"/>
          <w:tab w:val="left" w:pos="9068"/>
        </w:tabs>
        <w:spacing w:line="276" w:lineRule="auto"/>
        <w:rPr>
          <w:rFonts w:ascii="Arial" w:hAnsi="Arial" w:cs="Arial"/>
          <w:color w:val="D60093"/>
          <w:sz w:val="22"/>
        </w:rPr>
      </w:pPr>
      <w:r w:rsidRPr="009617F5">
        <w:rPr>
          <w:rFonts w:ascii="Arial" w:hAnsi="Arial" w:cs="Arial"/>
          <w:noProof/>
          <w:color w:val="D60093"/>
          <w:sz w:val="22"/>
          <w:lang w:eastAsia="cs-CZ"/>
        </w:rPr>
        <w:lastRenderedPageBreak/>
        <w:drawing>
          <wp:inline distT="0" distB="0" distL="0" distR="0" wp14:anchorId="461F9E8B" wp14:editId="461223EC">
            <wp:extent cx="5691505" cy="1576705"/>
            <wp:effectExtent l="57150" t="57150" r="61595" b="61595"/>
            <wp:docPr id="25319" name="Obrázek 25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4"/>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5691505" cy="1576705"/>
                    </a:xfrm>
                    <a:prstGeom prst="rect">
                      <a:avLst/>
                    </a:prstGeom>
                    <a:noFill/>
                    <a:ln w="57150" cmpd="sng">
                      <a:solidFill>
                        <a:srgbClr val="D60093"/>
                      </a:solidFill>
                      <a:miter lim="800000"/>
                      <a:headEnd/>
                      <a:tailEnd/>
                    </a:ln>
                    <a:effectLst/>
                  </pic:spPr>
                </pic:pic>
              </a:graphicData>
            </a:graphic>
          </wp:inline>
        </w:drawing>
      </w:r>
    </w:p>
    <w:p w14:paraId="4F74F076" w14:textId="77777777" w:rsidR="009617F5" w:rsidRPr="009617F5" w:rsidRDefault="009617F5" w:rsidP="009617F5">
      <w:pPr>
        <w:tabs>
          <w:tab w:val="left" w:pos="8931"/>
          <w:tab w:val="left" w:pos="9068"/>
        </w:tabs>
        <w:spacing w:after="99" w:line="276" w:lineRule="auto"/>
        <w:rPr>
          <w:rFonts w:ascii="Arial" w:hAnsi="Arial" w:cs="Arial"/>
          <w:b/>
          <w:color w:val="D60093"/>
          <w:sz w:val="22"/>
        </w:rPr>
      </w:pPr>
      <w:r w:rsidRPr="009617F5">
        <w:rPr>
          <w:rFonts w:ascii="Arial" w:eastAsia="Calibri" w:hAnsi="Arial" w:cs="Arial"/>
          <w:b/>
          <w:color w:val="D60093"/>
          <w:sz w:val="22"/>
        </w:rPr>
        <w:t>1.2. Podíl ZPF v rozvojových plochách</w:t>
      </w:r>
    </w:p>
    <w:p w14:paraId="5439D10F" w14:textId="77777777" w:rsidR="009617F5" w:rsidRPr="009617F5" w:rsidRDefault="009617F5" w:rsidP="009617F5">
      <w:pPr>
        <w:tabs>
          <w:tab w:val="left" w:pos="8931"/>
          <w:tab w:val="left" w:pos="9068"/>
        </w:tabs>
        <w:spacing w:after="16" w:line="276" w:lineRule="auto"/>
        <w:rPr>
          <w:rFonts w:ascii="Arial" w:hAnsi="Arial" w:cs="Arial"/>
          <w:color w:val="D60093"/>
          <w:sz w:val="22"/>
        </w:rPr>
      </w:pPr>
      <w:r w:rsidRPr="009617F5">
        <w:rPr>
          <w:rFonts w:ascii="Arial" w:eastAsia="Calibri" w:hAnsi="Arial" w:cs="Arial"/>
          <w:color w:val="D60093"/>
          <w:sz w:val="22"/>
        </w:rPr>
        <w:t>Z celé výměry ploch určených k rozvoji je 13,1466 ha je evidováno v ZPF 11,0961 ha.</w:t>
      </w:r>
    </w:p>
    <w:p w14:paraId="4915FF65" w14:textId="77777777" w:rsidR="009617F5" w:rsidRPr="009617F5" w:rsidRDefault="009617F5" w:rsidP="009617F5">
      <w:pPr>
        <w:tabs>
          <w:tab w:val="left" w:pos="8931"/>
          <w:tab w:val="left" w:pos="9068"/>
        </w:tabs>
        <w:spacing w:after="16" w:line="276" w:lineRule="auto"/>
        <w:rPr>
          <w:rFonts w:ascii="Arial" w:hAnsi="Arial" w:cs="Arial"/>
          <w:color w:val="D60093"/>
          <w:sz w:val="22"/>
        </w:rPr>
      </w:pPr>
      <w:r w:rsidRPr="009617F5">
        <w:rPr>
          <w:rFonts w:ascii="Arial" w:eastAsia="Calibri" w:hAnsi="Arial" w:cs="Arial"/>
          <w:color w:val="D60093"/>
          <w:sz w:val="22"/>
        </w:rPr>
        <w:t>Jde 0 84,4% celkové výměry rozvojových ploch.</w:t>
      </w:r>
    </w:p>
    <w:p w14:paraId="6BF3A273" w14:textId="77777777" w:rsidR="009617F5" w:rsidRPr="009617F5" w:rsidRDefault="009617F5" w:rsidP="009617F5">
      <w:pPr>
        <w:tabs>
          <w:tab w:val="left" w:pos="8931"/>
          <w:tab w:val="left" w:pos="9068"/>
        </w:tabs>
        <w:spacing w:after="59" w:line="276" w:lineRule="auto"/>
        <w:rPr>
          <w:rFonts w:ascii="Arial" w:hAnsi="Arial" w:cs="Arial"/>
          <w:color w:val="D60093"/>
          <w:sz w:val="22"/>
        </w:rPr>
      </w:pPr>
      <w:r w:rsidRPr="009617F5">
        <w:rPr>
          <w:rFonts w:ascii="Arial" w:eastAsia="Calibri" w:hAnsi="Arial" w:cs="Arial"/>
          <w:color w:val="D60093"/>
          <w:sz w:val="22"/>
        </w:rPr>
        <w:t>Z toho:</w:t>
      </w:r>
    </w:p>
    <w:p w14:paraId="7CAC1108" w14:textId="77777777" w:rsidR="009617F5" w:rsidRPr="009617F5" w:rsidRDefault="009617F5" w:rsidP="009617F5">
      <w:pPr>
        <w:tabs>
          <w:tab w:val="center" w:pos="1627"/>
          <w:tab w:val="center" w:pos="6246"/>
          <w:tab w:val="left" w:pos="8931"/>
          <w:tab w:val="left" w:pos="9068"/>
        </w:tabs>
        <w:spacing w:after="16" w:line="276" w:lineRule="auto"/>
        <w:rPr>
          <w:rFonts w:ascii="Arial" w:hAnsi="Arial" w:cs="Arial"/>
          <w:color w:val="D60093"/>
          <w:sz w:val="22"/>
        </w:rPr>
      </w:pPr>
      <w:r w:rsidRPr="009617F5">
        <w:rPr>
          <w:rFonts w:ascii="Arial" w:hAnsi="Arial" w:cs="Arial"/>
          <w:color w:val="D60093"/>
          <w:sz w:val="22"/>
        </w:rPr>
        <w:tab/>
      </w:r>
      <w:r w:rsidRPr="009617F5">
        <w:rPr>
          <w:rFonts w:ascii="Arial" w:eastAsia="Calibri" w:hAnsi="Arial" w:cs="Arial"/>
          <w:color w:val="D60093"/>
          <w:sz w:val="22"/>
        </w:rPr>
        <w:t>ZPF uvnitř S ZÚO:</w:t>
      </w:r>
      <w:r w:rsidRPr="009617F5">
        <w:rPr>
          <w:rFonts w:ascii="Arial" w:eastAsia="Calibri" w:hAnsi="Arial" w:cs="Arial"/>
          <w:color w:val="D60093"/>
          <w:sz w:val="22"/>
        </w:rPr>
        <w:tab/>
        <w:t>3,7667 ha</w:t>
      </w:r>
    </w:p>
    <w:p w14:paraId="70165877" w14:textId="77777777" w:rsidR="009617F5" w:rsidRPr="009617F5" w:rsidRDefault="009617F5" w:rsidP="009617F5">
      <w:pPr>
        <w:tabs>
          <w:tab w:val="center" w:pos="1516"/>
          <w:tab w:val="center" w:pos="6278"/>
          <w:tab w:val="left" w:pos="8931"/>
          <w:tab w:val="left" w:pos="9068"/>
        </w:tabs>
        <w:spacing w:after="123" w:line="276" w:lineRule="auto"/>
        <w:rPr>
          <w:rFonts w:ascii="Arial" w:hAnsi="Arial" w:cs="Arial"/>
          <w:color w:val="D60093"/>
          <w:sz w:val="22"/>
        </w:rPr>
      </w:pPr>
      <w:r w:rsidRPr="009617F5">
        <w:rPr>
          <w:rFonts w:ascii="Arial" w:hAnsi="Arial" w:cs="Arial"/>
          <w:color w:val="D60093"/>
          <w:sz w:val="22"/>
        </w:rPr>
        <w:tab/>
      </w:r>
      <w:r w:rsidRPr="009617F5">
        <w:rPr>
          <w:rFonts w:ascii="Arial" w:eastAsia="Calibri" w:hAnsi="Arial" w:cs="Arial"/>
          <w:color w:val="D60093"/>
          <w:sz w:val="22"/>
        </w:rPr>
        <w:t>ZPF vně S ZÚO:</w:t>
      </w:r>
      <w:r w:rsidRPr="009617F5">
        <w:rPr>
          <w:rFonts w:ascii="Arial" w:eastAsia="Calibri" w:hAnsi="Arial" w:cs="Arial"/>
          <w:color w:val="D60093"/>
          <w:sz w:val="22"/>
        </w:rPr>
        <w:tab/>
        <w:t>7,3294 ha</w:t>
      </w:r>
    </w:p>
    <w:p w14:paraId="244CB11D" w14:textId="77777777" w:rsidR="009617F5" w:rsidRPr="009617F5" w:rsidRDefault="009617F5" w:rsidP="009617F5">
      <w:pPr>
        <w:tabs>
          <w:tab w:val="left" w:pos="8931"/>
          <w:tab w:val="left" w:pos="9068"/>
        </w:tabs>
        <w:spacing w:after="68" w:line="276" w:lineRule="auto"/>
        <w:rPr>
          <w:rFonts w:ascii="Arial" w:hAnsi="Arial" w:cs="Arial"/>
          <w:b/>
          <w:color w:val="D60093"/>
          <w:sz w:val="22"/>
        </w:rPr>
      </w:pPr>
      <w:r w:rsidRPr="009617F5">
        <w:rPr>
          <w:rFonts w:ascii="Arial" w:eastAsia="Calibri" w:hAnsi="Arial" w:cs="Arial"/>
          <w:b/>
          <w:color w:val="D60093"/>
          <w:sz w:val="22"/>
        </w:rPr>
        <w:t>1.3. Údaje o druhu pozemků ZPF v rozvojových plochách</w:t>
      </w:r>
    </w:p>
    <w:p w14:paraId="2D335DF5" w14:textId="77777777" w:rsidR="009617F5" w:rsidRPr="009617F5" w:rsidRDefault="009617F5" w:rsidP="009617F5">
      <w:pPr>
        <w:tabs>
          <w:tab w:val="left" w:pos="8931"/>
          <w:tab w:val="left" w:pos="9068"/>
        </w:tabs>
        <w:spacing w:line="276" w:lineRule="auto"/>
        <w:rPr>
          <w:rFonts w:ascii="Arial" w:hAnsi="Arial" w:cs="Arial"/>
          <w:color w:val="D60093"/>
          <w:sz w:val="22"/>
        </w:rPr>
      </w:pPr>
      <w:r w:rsidRPr="009617F5">
        <w:rPr>
          <w:rFonts w:ascii="Arial" w:eastAsia="Calibri" w:hAnsi="Arial" w:cs="Arial"/>
          <w:color w:val="D60093"/>
          <w:sz w:val="22"/>
        </w:rPr>
        <w:t xml:space="preserve">K zástavbě je navrhována převážně zahrady a trvalý travní porost, orná půda tvoří </w:t>
      </w:r>
      <w:r w:rsidRPr="009617F5">
        <w:rPr>
          <w:rFonts w:ascii="Arial" w:hAnsi="Arial" w:cs="Arial"/>
          <w:noProof/>
          <w:color w:val="D60093"/>
          <w:sz w:val="22"/>
          <w:lang w:eastAsia="cs-CZ"/>
        </w:rPr>
        <w:drawing>
          <wp:inline distT="0" distB="0" distL="0" distR="0" wp14:anchorId="40F8DE04" wp14:editId="266A0BA8">
            <wp:extent cx="15875" cy="15875"/>
            <wp:effectExtent l="0" t="0" r="0" b="0"/>
            <wp:docPr id="25318" name="Obrázek 25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01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eastAsia="Calibri" w:hAnsi="Arial" w:cs="Arial"/>
          <w:color w:val="D60093"/>
          <w:sz w:val="22"/>
        </w:rPr>
        <w:t>pouze 1,1 % ploch ZPF navrhovaných k záboru.</w:t>
      </w:r>
    </w:p>
    <w:p w14:paraId="26A8513A" w14:textId="77777777" w:rsidR="009617F5" w:rsidRPr="009617F5" w:rsidRDefault="009617F5" w:rsidP="009617F5">
      <w:pPr>
        <w:tabs>
          <w:tab w:val="left" w:pos="8931"/>
          <w:tab w:val="left" w:pos="9068"/>
        </w:tabs>
        <w:spacing w:after="76" w:line="276" w:lineRule="auto"/>
        <w:rPr>
          <w:rFonts w:ascii="Arial" w:hAnsi="Arial" w:cs="Arial"/>
          <w:b/>
          <w:color w:val="D60093"/>
          <w:sz w:val="22"/>
        </w:rPr>
      </w:pPr>
      <w:r w:rsidRPr="009617F5">
        <w:rPr>
          <w:rFonts w:ascii="Arial" w:eastAsia="Calibri" w:hAnsi="Arial" w:cs="Arial"/>
          <w:b/>
          <w:color w:val="D60093"/>
          <w:sz w:val="22"/>
        </w:rPr>
        <w:t>1.4. Údaje o zařazení zemědělské půdy do BPEJ, třídě ochrany ZPF</w:t>
      </w:r>
    </w:p>
    <w:p w14:paraId="2240F404" w14:textId="77777777" w:rsidR="009617F5" w:rsidRPr="009617F5" w:rsidRDefault="009617F5" w:rsidP="009617F5">
      <w:pPr>
        <w:tabs>
          <w:tab w:val="left" w:pos="8931"/>
          <w:tab w:val="left" w:pos="9068"/>
        </w:tabs>
        <w:spacing w:line="276" w:lineRule="auto"/>
        <w:rPr>
          <w:rFonts w:ascii="Arial" w:hAnsi="Arial" w:cs="Arial"/>
          <w:color w:val="D60093"/>
          <w:sz w:val="22"/>
        </w:rPr>
      </w:pPr>
      <w:r w:rsidRPr="009617F5">
        <w:rPr>
          <w:rFonts w:ascii="Arial" w:eastAsia="Calibri" w:hAnsi="Arial" w:cs="Arial"/>
          <w:color w:val="D60093"/>
          <w:sz w:val="22"/>
        </w:rPr>
        <w:t>Řešené území není zahnuto do zranitelných oblastí ve smyslu Nařízení vlády č. 103/2003 Sb. o stanovení zranitelných oblastí a o používání a skladování hnojiv a statkových hnojiv, střídání plodin a provádění protierozních opatření v těchto oblastech.</w:t>
      </w:r>
      <w:r w:rsidRPr="009617F5">
        <w:rPr>
          <w:rFonts w:ascii="Arial" w:hAnsi="Arial" w:cs="Arial"/>
          <w:noProof/>
          <w:color w:val="D60093"/>
          <w:sz w:val="22"/>
          <w:lang w:eastAsia="cs-CZ"/>
        </w:rPr>
        <w:drawing>
          <wp:inline distT="0" distB="0" distL="0" distR="0" wp14:anchorId="4D4DFB74" wp14:editId="43B47FA9">
            <wp:extent cx="15875" cy="15875"/>
            <wp:effectExtent l="0" t="0" r="0" b="0"/>
            <wp:docPr id="25317" name="Obrázek 25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014"/>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30DDFE0B" w14:textId="77777777" w:rsidR="009617F5" w:rsidRPr="009617F5" w:rsidRDefault="009617F5" w:rsidP="009617F5">
      <w:pPr>
        <w:tabs>
          <w:tab w:val="left" w:pos="8931"/>
          <w:tab w:val="left" w:pos="9068"/>
        </w:tabs>
        <w:spacing w:after="16" w:line="276" w:lineRule="auto"/>
        <w:rPr>
          <w:rFonts w:ascii="Arial" w:eastAsia="Calibri" w:hAnsi="Arial" w:cs="Arial"/>
          <w:color w:val="D60093"/>
          <w:sz w:val="22"/>
          <w:u w:val="single" w:color="000000"/>
        </w:rPr>
      </w:pPr>
      <w:r w:rsidRPr="009617F5">
        <w:rPr>
          <w:rFonts w:ascii="Arial" w:eastAsia="Calibri" w:hAnsi="Arial" w:cs="Arial"/>
          <w:color w:val="D60093"/>
          <w:sz w:val="22"/>
        </w:rPr>
        <w:t xml:space="preserve">Výčet BPEJ, třídu ochrany dle MP OOLP MŽP ČR č. j. OOLP/1067/96 je uveden </w:t>
      </w:r>
      <w:r w:rsidRPr="009617F5">
        <w:rPr>
          <w:rFonts w:ascii="Arial" w:hAnsi="Arial" w:cs="Arial"/>
          <w:noProof/>
          <w:color w:val="D60093"/>
          <w:sz w:val="22"/>
          <w:lang w:eastAsia="cs-CZ"/>
        </w:rPr>
        <w:drawing>
          <wp:inline distT="0" distB="0" distL="0" distR="0" wp14:anchorId="7E924D28" wp14:editId="4DA704C5">
            <wp:extent cx="15875" cy="15875"/>
            <wp:effectExtent l="0" t="0" r="0" b="0"/>
            <wp:docPr id="25316" name="Obrázek 25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015"/>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eastAsia="Calibri" w:hAnsi="Arial" w:cs="Arial"/>
          <w:color w:val="D60093"/>
          <w:sz w:val="22"/>
        </w:rPr>
        <w:t xml:space="preserve">v tabulce č. 2. </w:t>
      </w:r>
      <w:r w:rsidRPr="009617F5">
        <w:rPr>
          <w:rFonts w:ascii="Arial" w:eastAsia="Calibri" w:hAnsi="Arial" w:cs="Arial"/>
          <w:color w:val="D60093"/>
          <w:sz w:val="22"/>
          <w:u w:val="single" w:color="000000"/>
        </w:rPr>
        <w:t>„ROZVO.JOVÉ PLOCHY - podrobné údaje</w:t>
      </w:r>
    </w:p>
    <w:p w14:paraId="4F67B580" w14:textId="77777777" w:rsidR="009617F5" w:rsidRPr="009617F5" w:rsidRDefault="009617F5" w:rsidP="009617F5">
      <w:pPr>
        <w:tabs>
          <w:tab w:val="center" w:pos="3474"/>
          <w:tab w:val="left" w:pos="8931"/>
          <w:tab w:val="left" w:pos="9068"/>
          <w:tab w:val="center" w:pos="9140"/>
        </w:tabs>
        <w:spacing w:after="136" w:line="276" w:lineRule="auto"/>
        <w:rPr>
          <w:rFonts w:ascii="Arial" w:hAnsi="Arial" w:cs="Arial"/>
          <w:color w:val="D60093"/>
          <w:sz w:val="22"/>
        </w:rPr>
      </w:pPr>
      <w:r w:rsidRPr="009617F5">
        <w:rPr>
          <w:rFonts w:ascii="Arial" w:hAnsi="Arial" w:cs="Arial"/>
          <w:noProof/>
          <w:color w:val="D60093"/>
          <w:sz w:val="22"/>
          <w:lang w:eastAsia="cs-CZ"/>
        </w:rPr>
        <w:drawing>
          <wp:inline distT="0" distB="0" distL="0" distR="0" wp14:anchorId="1B6EE28B" wp14:editId="07F5B455">
            <wp:extent cx="5927725" cy="2979420"/>
            <wp:effectExtent l="57150" t="57150" r="53975" b="49530"/>
            <wp:docPr id="25315" name="Obrázek 25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5"/>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5927725" cy="2979420"/>
                    </a:xfrm>
                    <a:prstGeom prst="rect">
                      <a:avLst/>
                    </a:prstGeom>
                    <a:noFill/>
                    <a:ln w="57150" cmpd="sng">
                      <a:solidFill>
                        <a:srgbClr val="D60093"/>
                      </a:solidFill>
                      <a:miter lim="800000"/>
                      <a:headEnd/>
                      <a:tailEnd/>
                    </a:ln>
                    <a:effectLst/>
                  </pic:spPr>
                </pic:pic>
              </a:graphicData>
            </a:graphic>
          </wp:inline>
        </w:drawing>
      </w:r>
    </w:p>
    <w:p w14:paraId="58AAD09B" w14:textId="77777777" w:rsidR="009617F5" w:rsidRPr="009617F5" w:rsidRDefault="009617F5" w:rsidP="009617F5">
      <w:pPr>
        <w:tabs>
          <w:tab w:val="center" w:pos="3474"/>
          <w:tab w:val="left" w:pos="8931"/>
          <w:tab w:val="left" w:pos="9068"/>
          <w:tab w:val="center" w:pos="9140"/>
        </w:tabs>
        <w:spacing w:after="136" w:line="276" w:lineRule="auto"/>
        <w:rPr>
          <w:rFonts w:ascii="Arial" w:hAnsi="Arial" w:cs="Arial"/>
          <w:color w:val="D60093"/>
          <w:sz w:val="22"/>
        </w:rPr>
      </w:pPr>
      <w:r w:rsidRPr="009617F5">
        <w:rPr>
          <w:rFonts w:ascii="Arial" w:hAnsi="Arial" w:cs="Arial"/>
          <w:noProof/>
          <w:color w:val="D60093"/>
          <w:sz w:val="22"/>
          <w:lang w:eastAsia="cs-CZ"/>
        </w:rPr>
        <w:lastRenderedPageBreak/>
        <w:drawing>
          <wp:inline distT="0" distB="0" distL="0" distR="0" wp14:anchorId="7813DF71" wp14:editId="2D6FE597">
            <wp:extent cx="5911850" cy="7614920"/>
            <wp:effectExtent l="57150" t="57150" r="50800" b="62230"/>
            <wp:docPr id="25314" name="Obrázek 25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6"/>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0" y="0"/>
                      <a:ext cx="5911850" cy="7614920"/>
                    </a:xfrm>
                    <a:prstGeom prst="rect">
                      <a:avLst/>
                    </a:prstGeom>
                    <a:noFill/>
                    <a:ln w="57150" cmpd="sng">
                      <a:solidFill>
                        <a:srgbClr val="D60093"/>
                      </a:solidFill>
                      <a:miter lim="800000"/>
                      <a:headEnd/>
                      <a:tailEnd/>
                    </a:ln>
                    <a:effectLst/>
                  </pic:spPr>
                </pic:pic>
              </a:graphicData>
            </a:graphic>
          </wp:inline>
        </w:drawing>
      </w:r>
    </w:p>
    <w:p w14:paraId="2C11B3BC" w14:textId="77777777" w:rsidR="009617F5" w:rsidRPr="009617F5" w:rsidRDefault="009617F5" w:rsidP="009617F5">
      <w:pPr>
        <w:tabs>
          <w:tab w:val="center" w:pos="3474"/>
          <w:tab w:val="left" w:pos="8931"/>
          <w:tab w:val="left" w:pos="9068"/>
          <w:tab w:val="center" w:pos="9140"/>
        </w:tabs>
        <w:spacing w:after="136" w:line="276" w:lineRule="auto"/>
        <w:rPr>
          <w:rFonts w:ascii="Arial" w:hAnsi="Arial" w:cs="Arial"/>
          <w:color w:val="D60093"/>
          <w:sz w:val="22"/>
        </w:rPr>
      </w:pPr>
      <w:r w:rsidRPr="009617F5">
        <w:rPr>
          <w:rFonts w:ascii="Arial" w:hAnsi="Arial" w:cs="Arial"/>
          <w:noProof/>
          <w:color w:val="D60093"/>
          <w:sz w:val="22"/>
          <w:lang w:eastAsia="cs-CZ"/>
        </w:rPr>
        <w:lastRenderedPageBreak/>
        <w:drawing>
          <wp:inline distT="0" distB="0" distL="0" distR="0" wp14:anchorId="38C7AF4B" wp14:editId="5F9C9720">
            <wp:extent cx="6006465" cy="8040370"/>
            <wp:effectExtent l="57150" t="57150" r="51435" b="55880"/>
            <wp:docPr id="25313" name="Obrázek 25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7"/>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6006465" cy="8040370"/>
                    </a:xfrm>
                    <a:prstGeom prst="rect">
                      <a:avLst/>
                    </a:prstGeom>
                    <a:noFill/>
                    <a:ln w="57150" cmpd="sng">
                      <a:solidFill>
                        <a:srgbClr val="D60093"/>
                      </a:solidFill>
                      <a:miter lim="800000"/>
                      <a:headEnd/>
                      <a:tailEnd/>
                    </a:ln>
                    <a:effectLst/>
                  </pic:spPr>
                </pic:pic>
              </a:graphicData>
            </a:graphic>
          </wp:inline>
        </w:drawing>
      </w:r>
    </w:p>
    <w:p w14:paraId="3E28FC94" w14:textId="77777777" w:rsidR="009617F5" w:rsidRPr="009617F5" w:rsidRDefault="009617F5" w:rsidP="009617F5">
      <w:pPr>
        <w:tabs>
          <w:tab w:val="center" w:pos="3474"/>
          <w:tab w:val="left" w:pos="8931"/>
          <w:tab w:val="left" w:pos="9068"/>
          <w:tab w:val="center" w:pos="9140"/>
        </w:tabs>
        <w:spacing w:after="136" w:line="276" w:lineRule="auto"/>
        <w:rPr>
          <w:rFonts w:ascii="Arial" w:hAnsi="Arial" w:cs="Arial"/>
          <w:color w:val="D60093"/>
          <w:sz w:val="22"/>
        </w:rPr>
      </w:pPr>
      <w:r w:rsidRPr="009617F5">
        <w:rPr>
          <w:rFonts w:ascii="Arial" w:hAnsi="Arial" w:cs="Arial"/>
          <w:noProof/>
          <w:color w:val="D60093"/>
          <w:sz w:val="22"/>
          <w:lang w:eastAsia="cs-CZ"/>
        </w:rPr>
        <w:lastRenderedPageBreak/>
        <w:drawing>
          <wp:inline distT="0" distB="0" distL="0" distR="0" wp14:anchorId="155EA063" wp14:editId="6A3BAFCF">
            <wp:extent cx="5975350" cy="7788275"/>
            <wp:effectExtent l="57150" t="57150" r="63500" b="60325"/>
            <wp:docPr id="25312" name="Obrázek 25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8"/>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0" y="0"/>
                      <a:ext cx="5975350" cy="7788275"/>
                    </a:xfrm>
                    <a:prstGeom prst="rect">
                      <a:avLst/>
                    </a:prstGeom>
                    <a:noFill/>
                    <a:ln w="57150" cmpd="sng">
                      <a:solidFill>
                        <a:srgbClr val="D60093"/>
                      </a:solidFill>
                      <a:miter lim="800000"/>
                      <a:headEnd/>
                      <a:tailEnd/>
                    </a:ln>
                    <a:effectLst/>
                  </pic:spPr>
                </pic:pic>
              </a:graphicData>
            </a:graphic>
          </wp:inline>
        </w:drawing>
      </w:r>
    </w:p>
    <w:p w14:paraId="456E85F8" w14:textId="77777777" w:rsidR="009617F5" w:rsidRPr="009617F5" w:rsidRDefault="009617F5" w:rsidP="009617F5">
      <w:pPr>
        <w:tabs>
          <w:tab w:val="center" w:pos="3474"/>
          <w:tab w:val="left" w:pos="8931"/>
          <w:tab w:val="left" w:pos="9068"/>
          <w:tab w:val="center" w:pos="9140"/>
        </w:tabs>
        <w:spacing w:after="136" w:line="276" w:lineRule="auto"/>
        <w:rPr>
          <w:rFonts w:ascii="Arial" w:hAnsi="Arial" w:cs="Arial"/>
          <w:color w:val="D60093"/>
          <w:sz w:val="22"/>
        </w:rPr>
      </w:pPr>
      <w:r w:rsidRPr="009617F5">
        <w:rPr>
          <w:rFonts w:ascii="Arial" w:hAnsi="Arial" w:cs="Arial"/>
          <w:noProof/>
          <w:color w:val="D60093"/>
          <w:sz w:val="22"/>
          <w:lang w:eastAsia="cs-CZ"/>
        </w:rPr>
        <w:lastRenderedPageBreak/>
        <w:drawing>
          <wp:inline distT="0" distB="0" distL="0" distR="0" wp14:anchorId="0ED47ABC" wp14:editId="08752C4E">
            <wp:extent cx="5880735" cy="7835265"/>
            <wp:effectExtent l="57150" t="57150" r="62865" b="51435"/>
            <wp:docPr id="25311" name="Obrázek 25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9"/>
                    <pic:cNvPicPr>
                      <a:picLocks noChangeAspect="1" noChangeArrowheads="1"/>
                    </pic:cNvPicPr>
                  </pic:nvPicPr>
                  <pic:blipFill>
                    <a:blip r:embed="rId237">
                      <a:extLst>
                        <a:ext uri="{28A0092B-C50C-407E-A947-70E740481C1C}">
                          <a14:useLocalDpi xmlns:a14="http://schemas.microsoft.com/office/drawing/2010/main" val="0"/>
                        </a:ext>
                      </a:extLst>
                    </a:blip>
                    <a:srcRect/>
                    <a:stretch>
                      <a:fillRect/>
                    </a:stretch>
                  </pic:blipFill>
                  <pic:spPr bwMode="auto">
                    <a:xfrm>
                      <a:off x="0" y="0"/>
                      <a:ext cx="5880735" cy="7835265"/>
                    </a:xfrm>
                    <a:prstGeom prst="rect">
                      <a:avLst/>
                    </a:prstGeom>
                    <a:noFill/>
                    <a:ln w="57150" cmpd="sng">
                      <a:solidFill>
                        <a:srgbClr val="D60093"/>
                      </a:solidFill>
                      <a:miter lim="800000"/>
                      <a:headEnd/>
                      <a:tailEnd/>
                    </a:ln>
                    <a:effectLst/>
                  </pic:spPr>
                </pic:pic>
              </a:graphicData>
            </a:graphic>
          </wp:inline>
        </w:drawing>
      </w:r>
    </w:p>
    <w:p w14:paraId="3C164A85" w14:textId="77777777" w:rsidR="009617F5" w:rsidRPr="009617F5" w:rsidRDefault="009617F5" w:rsidP="009617F5">
      <w:pPr>
        <w:tabs>
          <w:tab w:val="center" w:pos="3474"/>
          <w:tab w:val="left" w:pos="8931"/>
          <w:tab w:val="left" w:pos="9068"/>
          <w:tab w:val="center" w:pos="9140"/>
        </w:tabs>
        <w:spacing w:after="136" w:line="276" w:lineRule="auto"/>
        <w:rPr>
          <w:rFonts w:ascii="Arial" w:hAnsi="Arial" w:cs="Arial"/>
          <w:color w:val="D60093"/>
          <w:sz w:val="22"/>
        </w:rPr>
      </w:pPr>
      <w:r w:rsidRPr="009617F5">
        <w:rPr>
          <w:rFonts w:ascii="Arial" w:hAnsi="Arial" w:cs="Arial"/>
          <w:noProof/>
          <w:color w:val="D60093"/>
          <w:sz w:val="22"/>
          <w:lang w:eastAsia="cs-CZ"/>
        </w:rPr>
        <w:lastRenderedPageBreak/>
        <w:drawing>
          <wp:inline distT="0" distB="0" distL="0" distR="0" wp14:anchorId="1231740C" wp14:editId="0E3D9D52">
            <wp:extent cx="5975350" cy="7835265"/>
            <wp:effectExtent l="57150" t="57150" r="63500" b="51435"/>
            <wp:docPr id="25310" name="Obrázek 25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0"/>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0" y="0"/>
                      <a:ext cx="5975350" cy="7835265"/>
                    </a:xfrm>
                    <a:prstGeom prst="rect">
                      <a:avLst/>
                    </a:prstGeom>
                    <a:noFill/>
                    <a:ln w="57150" cmpd="sng">
                      <a:solidFill>
                        <a:srgbClr val="D60093"/>
                      </a:solidFill>
                      <a:miter lim="800000"/>
                      <a:headEnd/>
                      <a:tailEnd/>
                    </a:ln>
                    <a:effectLst/>
                  </pic:spPr>
                </pic:pic>
              </a:graphicData>
            </a:graphic>
          </wp:inline>
        </w:drawing>
      </w:r>
    </w:p>
    <w:p w14:paraId="3E359879" w14:textId="77777777" w:rsidR="009617F5" w:rsidRPr="009617F5" w:rsidRDefault="009617F5" w:rsidP="009617F5">
      <w:pPr>
        <w:tabs>
          <w:tab w:val="center" w:pos="3474"/>
          <w:tab w:val="left" w:pos="8931"/>
          <w:tab w:val="left" w:pos="9068"/>
          <w:tab w:val="center" w:pos="9140"/>
        </w:tabs>
        <w:spacing w:after="136" w:line="276" w:lineRule="auto"/>
        <w:rPr>
          <w:rFonts w:ascii="Arial" w:hAnsi="Arial" w:cs="Arial"/>
          <w:color w:val="D60093"/>
          <w:sz w:val="22"/>
        </w:rPr>
      </w:pPr>
      <w:r w:rsidRPr="009617F5">
        <w:rPr>
          <w:rFonts w:ascii="Arial" w:hAnsi="Arial" w:cs="Arial"/>
          <w:noProof/>
          <w:color w:val="D60093"/>
          <w:sz w:val="22"/>
          <w:lang w:eastAsia="cs-CZ"/>
        </w:rPr>
        <w:lastRenderedPageBreak/>
        <w:drawing>
          <wp:inline distT="0" distB="0" distL="0" distR="0" wp14:anchorId="6CC905AA" wp14:editId="76EB3168">
            <wp:extent cx="5975350" cy="6527165"/>
            <wp:effectExtent l="57150" t="57150" r="63500" b="64135"/>
            <wp:docPr id="25309" name="Obrázek 25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1"/>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5975350" cy="6527165"/>
                    </a:xfrm>
                    <a:prstGeom prst="rect">
                      <a:avLst/>
                    </a:prstGeom>
                    <a:noFill/>
                    <a:ln w="57150" cmpd="sng">
                      <a:solidFill>
                        <a:srgbClr val="D60093"/>
                      </a:solidFill>
                      <a:miter lim="800000"/>
                      <a:headEnd/>
                      <a:tailEnd/>
                    </a:ln>
                    <a:effectLst/>
                  </pic:spPr>
                </pic:pic>
              </a:graphicData>
            </a:graphic>
          </wp:inline>
        </w:drawing>
      </w:r>
    </w:p>
    <w:p w14:paraId="292730BA" w14:textId="77777777" w:rsidR="009617F5" w:rsidRPr="009617F5" w:rsidRDefault="009617F5" w:rsidP="009617F5">
      <w:pPr>
        <w:tabs>
          <w:tab w:val="left" w:pos="8931"/>
          <w:tab w:val="left" w:pos="9068"/>
        </w:tabs>
        <w:spacing w:after="16" w:line="276" w:lineRule="auto"/>
        <w:rPr>
          <w:rFonts w:ascii="Arial" w:eastAsia="Calibri" w:hAnsi="Arial" w:cs="Arial"/>
          <w:b/>
          <w:color w:val="D60093"/>
          <w:sz w:val="22"/>
        </w:rPr>
      </w:pPr>
      <w:r w:rsidRPr="009617F5">
        <w:rPr>
          <w:rFonts w:ascii="Arial" w:eastAsia="Calibri" w:hAnsi="Arial" w:cs="Arial"/>
          <w:b/>
          <w:color w:val="D60093"/>
          <w:sz w:val="22"/>
        </w:rPr>
        <w:t>Zábor chráněných půd:</w:t>
      </w:r>
    </w:p>
    <w:p w14:paraId="5F851015" w14:textId="77777777" w:rsidR="009617F5" w:rsidRPr="009617F5" w:rsidRDefault="009617F5" w:rsidP="009617F5">
      <w:pPr>
        <w:tabs>
          <w:tab w:val="left" w:pos="8931"/>
          <w:tab w:val="left" w:pos="9068"/>
        </w:tabs>
        <w:spacing w:after="16" w:line="276" w:lineRule="auto"/>
        <w:rPr>
          <w:rFonts w:ascii="Arial" w:eastAsia="Calibri" w:hAnsi="Arial" w:cs="Arial"/>
          <w:color w:val="D60093"/>
          <w:sz w:val="22"/>
        </w:rPr>
      </w:pPr>
    </w:p>
    <w:p w14:paraId="0EC6DE88" w14:textId="77777777" w:rsidR="009617F5" w:rsidRPr="009617F5" w:rsidRDefault="009617F5" w:rsidP="009617F5">
      <w:pPr>
        <w:tabs>
          <w:tab w:val="left" w:pos="8931"/>
          <w:tab w:val="left" w:pos="9068"/>
        </w:tabs>
        <w:spacing w:after="16" w:line="276" w:lineRule="auto"/>
        <w:rPr>
          <w:rFonts w:ascii="Arial" w:hAnsi="Arial" w:cs="Arial"/>
          <w:color w:val="D60093"/>
          <w:sz w:val="22"/>
        </w:rPr>
      </w:pPr>
      <w:r w:rsidRPr="009617F5">
        <w:rPr>
          <w:rFonts w:ascii="Arial" w:eastAsia="Calibri" w:hAnsi="Arial" w:cs="Arial"/>
          <w:color w:val="D60093"/>
          <w:sz w:val="22"/>
        </w:rPr>
        <w:t>Třídou ochrany zemědělské půdy je určena zastavitelnost pro potřeby územního plánování. V Metodickém pokynu odboru ochrany lesa a půdy MŽP ČR ze dne 1. 10. 1996 č. j. OOLP/1067/96 k odnímání půdy ze zemědělského půdního fondu ve znění zákona ČNR č. 10/1993 Sb. je uvedeno že:</w:t>
      </w:r>
    </w:p>
    <w:p w14:paraId="7E53C645" w14:textId="77777777" w:rsidR="009617F5" w:rsidRPr="009617F5" w:rsidRDefault="009617F5" w:rsidP="009617F5">
      <w:pPr>
        <w:pStyle w:val="Odstavecseseznamem"/>
        <w:numPr>
          <w:ilvl w:val="0"/>
          <w:numId w:val="105"/>
        </w:numPr>
        <w:tabs>
          <w:tab w:val="left" w:pos="709"/>
        </w:tabs>
        <w:spacing w:after="16" w:line="276" w:lineRule="auto"/>
        <w:jc w:val="both"/>
        <w:rPr>
          <w:rFonts w:ascii="Arial" w:hAnsi="Arial" w:cs="Arial"/>
          <w:color w:val="D60093"/>
          <w:szCs w:val="24"/>
        </w:rPr>
      </w:pPr>
      <w:r w:rsidRPr="009617F5">
        <w:rPr>
          <w:rFonts w:ascii="Arial" w:hAnsi="Arial" w:cs="Arial"/>
          <w:b/>
          <w:color w:val="D60093"/>
          <w:szCs w:val="24"/>
        </w:rPr>
        <w:t>Do II. třídy</w:t>
      </w:r>
      <w:r w:rsidRPr="009617F5">
        <w:rPr>
          <w:rFonts w:ascii="Arial" w:hAnsi="Arial" w:cs="Arial"/>
          <w:color w:val="D60093"/>
          <w:szCs w:val="24"/>
        </w:rPr>
        <w:t xml:space="preserve"> ochrany zemědělské půdy jsou situovány zemědělské půdy, které mají v rámci klimatických regionů nadprůměrnou produkční schopnost. Ve</w:t>
      </w:r>
      <w:r w:rsidRPr="009617F5">
        <w:rPr>
          <w:rFonts w:ascii="Arial" w:hAnsi="Arial" w:cs="Arial"/>
          <w:noProof/>
          <w:color w:val="D60093"/>
          <w:szCs w:val="24"/>
        </w:rPr>
        <w:t xml:space="preserve"> vztahu</w:t>
      </w:r>
    </w:p>
    <w:p w14:paraId="6EEA2E1D" w14:textId="77777777" w:rsidR="009617F5" w:rsidRPr="009617F5" w:rsidRDefault="009617F5" w:rsidP="009617F5">
      <w:pPr>
        <w:pStyle w:val="Odstavecseseznamem"/>
        <w:tabs>
          <w:tab w:val="left" w:pos="709"/>
        </w:tabs>
        <w:spacing w:after="16" w:line="276" w:lineRule="auto"/>
        <w:rPr>
          <w:rFonts w:ascii="Arial" w:hAnsi="Arial" w:cs="Arial"/>
          <w:color w:val="D60093"/>
          <w:szCs w:val="24"/>
        </w:rPr>
      </w:pPr>
      <w:r w:rsidRPr="009617F5">
        <w:rPr>
          <w:rFonts w:ascii="Arial" w:hAnsi="Arial" w:cs="Arial"/>
          <w:color w:val="D60093"/>
          <w:szCs w:val="24"/>
        </w:rPr>
        <w:lastRenderedPageBreak/>
        <w:t>k ochraně zemědělského půdního fondu jde o půdy vysoce chráněné, jen podmíněně odnímatelné a s ohledem na územní plánování také jen podmíněně zastavitelné.</w:t>
      </w:r>
    </w:p>
    <w:p w14:paraId="28F801DA" w14:textId="77777777" w:rsidR="009617F5" w:rsidRPr="009617F5" w:rsidRDefault="009617F5" w:rsidP="009617F5">
      <w:pPr>
        <w:pStyle w:val="Odstavecseseznamem"/>
        <w:numPr>
          <w:ilvl w:val="0"/>
          <w:numId w:val="105"/>
        </w:numPr>
        <w:tabs>
          <w:tab w:val="left" w:pos="709"/>
        </w:tabs>
        <w:spacing w:after="16" w:line="276" w:lineRule="auto"/>
        <w:jc w:val="both"/>
        <w:rPr>
          <w:rFonts w:ascii="Arial" w:hAnsi="Arial" w:cs="Arial"/>
          <w:color w:val="D60093"/>
          <w:szCs w:val="24"/>
        </w:rPr>
      </w:pPr>
      <w:r w:rsidRPr="009617F5">
        <w:rPr>
          <w:rFonts w:ascii="Arial" w:hAnsi="Arial" w:cs="Arial"/>
          <w:b/>
          <w:color w:val="D60093"/>
          <w:szCs w:val="24"/>
        </w:rPr>
        <w:t>Do III. třídy</w:t>
      </w:r>
      <w:r w:rsidRPr="009617F5">
        <w:rPr>
          <w:rFonts w:ascii="Arial" w:hAnsi="Arial" w:cs="Arial"/>
          <w:color w:val="D60093"/>
          <w:szCs w:val="24"/>
        </w:rPr>
        <w:t xml:space="preserve"> ochrany jsou sloučeny půdy v jednotlivých klimatických regionech s průměrnou produkční schopností a středním stupněm ochrany, které je možno územním plánováním využít pro event. výstavbu.</w:t>
      </w:r>
    </w:p>
    <w:p w14:paraId="4D6BD0A7" w14:textId="77777777" w:rsidR="009617F5" w:rsidRPr="009617F5" w:rsidRDefault="009617F5" w:rsidP="009617F5">
      <w:pPr>
        <w:pStyle w:val="Odstavecseseznamem"/>
        <w:numPr>
          <w:ilvl w:val="0"/>
          <w:numId w:val="105"/>
        </w:numPr>
        <w:tabs>
          <w:tab w:val="left" w:pos="709"/>
        </w:tabs>
        <w:spacing w:after="16" w:line="276" w:lineRule="auto"/>
        <w:jc w:val="both"/>
        <w:rPr>
          <w:rFonts w:ascii="Arial" w:hAnsi="Arial" w:cs="Arial"/>
          <w:color w:val="D60093"/>
          <w:szCs w:val="24"/>
        </w:rPr>
      </w:pPr>
      <w:r w:rsidRPr="009617F5">
        <w:rPr>
          <w:rFonts w:ascii="Arial" w:hAnsi="Arial" w:cs="Arial"/>
          <w:b/>
          <w:color w:val="D60093"/>
          <w:szCs w:val="24"/>
        </w:rPr>
        <w:t>Do IV. třídy</w:t>
      </w:r>
      <w:r w:rsidRPr="009617F5">
        <w:rPr>
          <w:rFonts w:ascii="Arial" w:hAnsi="Arial" w:cs="Arial"/>
          <w:color w:val="D60093"/>
          <w:szCs w:val="24"/>
        </w:rPr>
        <w:t xml:space="preserve"> ochrany jsou sdruženy půdy s převážně průměrnou produkční </w:t>
      </w:r>
      <w:r w:rsidRPr="009617F5">
        <w:rPr>
          <w:rFonts w:ascii="Arial" w:hAnsi="Arial" w:cs="Arial"/>
          <w:noProof/>
          <w:color w:val="D60093"/>
          <w:lang w:eastAsia="cs-CZ"/>
        </w:rPr>
        <w:drawing>
          <wp:inline distT="0" distB="0" distL="0" distR="0" wp14:anchorId="37D35D4A" wp14:editId="42AEB91F">
            <wp:extent cx="15875" cy="15875"/>
            <wp:effectExtent l="0" t="0" r="0" b="0"/>
            <wp:docPr id="25308" name="Obrázek 25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215"/>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hAnsi="Arial" w:cs="Arial"/>
          <w:color w:val="D60093"/>
          <w:szCs w:val="24"/>
        </w:rPr>
        <w:t>schopností v rámci příslušných klimatických regionů, s jen omezenou ochranou, využitelné i pro výstavbu.</w:t>
      </w:r>
    </w:p>
    <w:p w14:paraId="3C3062F2" w14:textId="77777777" w:rsidR="009617F5" w:rsidRPr="009617F5" w:rsidRDefault="009617F5" w:rsidP="009617F5">
      <w:pPr>
        <w:pStyle w:val="Odstavecseseznamem"/>
        <w:numPr>
          <w:ilvl w:val="0"/>
          <w:numId w:val="105"/>
        </w:numPr>
        <w:tabs>
          <w:tab w:val="left" w:pos="709"/>
        </w:tabs>
        <w:spacing w:after="123" w:line="276" w:lineRule="auto"/>
        <w:jc w:val="both"/>
        <w:rPr>
          <w:rFonts w:ascii="Arial" w:hAnsi="Arial" w:cs="Arial"/>
          <w:color w:val="D60093"/>
          <w:szCs w:val="24"/>
        </w:rPr>
      </w:pPr>
      <w:r w:rsidRPr="009617F5">
        <w:rPr>
          <w:rFonts w:ascii="Arial" w:hAnsi="Arial" w:cs="Arial"/>
          <w:b/>
          <w:color w:val="D60093"/>
          <w:szCs w:val="24"/>
        </w:rPr>
        <w:t>Do V. třídy</w:t>
      </w:r>
      <w:r w:rsidRPr="009617F5">
        <w:rPr>
          <w:rFonts w:ascii="Arial" w:hAnsi="Arial" w:cs="Arial"/>
          <w:color w:val="D60093"/>
          <w:szCs w:val="24"/>
        </w:rPr>
        <w:t xml:space="preserve"> ochrany jsou zahrnuty půdy s velmi nízkou produkční schopností, včetně půd mělkých, svažitých, hydromorfních štěrkovitých až kamenitých a erozně nejvíce ohrožených. Většinou jde o zemědělské půdy pro zemědělské účely postradatelné. U těchto půd lze předpokládat efektivnější nezemědělské využití. Jde většinou o půdy s nižším stupněm ochrany s výjimkou vymezených ochranných pásem a chráněných území a dalších zájmů ochrany přírody.</w:t>
      </w:r>
    </w:p>
    <w:p w14:paraId="2750B44F" w14:textId="77777777" w:rsidR="009617F5" w:rsidRPr="009617F5" w:rsidRDefault="009617F5" w:rsidP="009617F5">
      <w:pPr>
        <w:tabs>
          <w:tab w:val="left" w:pos="8931"/>
          <w:tab w:val="left" w:pos="9068"/>
        </w:tabs>
        <w:spacing w:after="17" w:line="276" w:lineRule="auto"/>
        <w:rPr>
          <w:rFonts w:ascii="Arial" w:hAnsi="Arial" w:cs="Arial"/>
          <w:b/>
          <w:color w:val="D60093"/>
          <w:sz w:val="22"/>
        </w:rPr>
      </w:pPr>
      <w:r w:rsidRPr="009617F5">
        <w:rPr>
          <w:rFonts w:ascii="Arial" w:eastAsia="Calibri" w:hAnsi="Arial" w:cs="Arial"/>
          <w:b/>
          <w:color w:val="D60093"/>
          <w:sz w:val="22"/>
        </w:rPr>
        <w:t>Pro rozvoj byly navrženy i chráněné druhy půd. Jejich rozsah uvádí následující přehled:</w:t>
      </w:r>
      <w:r w:rsidRPr="009617F5">
        <w:rPr>
          <w:rFonts w:ascii="Arial" w:hAnsi="Arial" w:cs="Arial"/>
          <w:b/>
          <w:noProof/>
          <w:color w:val="D60093"/>
          <w:sz w:val="22"/>
          <w:lang w:eastAsia="cs-CZ"/>
        </w:rPr>
        <w:drawing>
          <wp:inline distT="0" distB="0" distL="0" distR="0" wp14:anchorId="4400C0EA" wp14:editId="6BF5A500">
            <wp:extent cx="15875" cy="15875"/>
            <wp:effectExtent l="0" t="0" r="0" b="0"/>
            <wp:docPr id="25307" name="Obrázek 25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21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5E21FEBC" w14:textId="77777777" w:rsidR="009617F5" w:rsidRPr="009617F5" w:rsidRDefault="009617F5" w:rsidP="009617F5">
      <w:pPr>
        <w:pStyle w:val="Nadpis1"/>
        <w:tabs>
          <w:tab w:val="left" w:pos="8931"/>
          <w:tab w:val="left" w:pos="9068"/>
        </w:tabs>
        <w:spacing w:after="36" w:line="276" w:lineRule="auto"/>
        <w:jc w:val="both"/>
        <w:rPr>
          <w:rFonts w:ascii="Arial" w:hAnsi="Arial" w:cs="Arial"/>
          <w:color w:val="D60093"/>
          <w:sz w:val="22"/>
          <w:szCs w:val="24"/>
        </w:rPr>
      </w:pPr>
      <w:r w:rsidRPr="009617F5">
        <w:rPr>
          <w:rFonts w:ascii="Arial" w:hAnsi="Arial" w:cs="Arial"/>
          <w:noProof/>
          <w:color w:val="D60093"/>
          <w:sz w:val="22"/>
          <w:szCs w:val="24"/>
          <w:lang w:eastAsia="cs-CZ"/>
        </w:rPr>
        <w:drawing>
          <wp:inline distT="0" distB="0" distL="0" distR="0" wp14:anchorId="49C7E297" wp14:editId="144CA2C9">
            <wp:extent cx="5817235" cy="772795"/>
            <wp:effectExtent l="57150" t="57150" r="50165" b="65405"/>
            <wp:docPr id="25306" name="Obrázek 25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2"/>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0" y="0"/>
                      <a:ext cx="5817235" cy="772795"/>
                    </a:xfrm>
                    <a:prstGeom prst="rect">
                      <a:avLst/>
                    </a:prstGeom>
                    <a:noFill/>
                    <a:ln w="57150" cmpd="sng">
                      <a:solidFill>
                        <a:srgbClr val="D60093"/>
                      </a:solidFill>
                      <a:miter lim="800000"/>
                      <a:headEnd/>
                      <a:tailEnd/>
                    </a:ln>
                    <a:effectLst/>
                  </pic:spPr>
                </pic:pic>
              </a:graphicData>
            </a:graphic>
          </wp:inline>
        </w:drawing>
      </w:r>
    </w:p>
    <w:p w14:paraId="59364970" w14:textId="77777777" w:rsidR="009617F5" w:rsidRPr="009617F5" w:rsidRDefault="009617F5" w:rsidP="009617F5">
      <w:pPr>
        <w:pStyle w:val="Nadpis1"/>
        <w:tabs>
          <w:tab w:val="left" w:pos="8931"/>
          <w:tab w:val="left" w:pos="9068"/>
        </w:tabs>
        <w:spacing w:after="36" w:line="276" w:lineRule="auto"/>
        <w:jc w:val="both"/>
        <w:rPr>
          <w:rFonts w:ascii="Arial" w:hAnsi="Arial" w:cs="Arial"/>
          <w:b/>
          <w:color w:val="D60093"/>
          <w:sz w:val="22"/>
          <w:szCs w:val="24"/>
        </w:rPr>
      </w:pPr>
      <w:r w:rsidRPr="009617F5">
        <w:rPr>
          <w:rFonts w:ascii="Arial" w:hAnsi="Arial" w:cs="Arial"/>
          <w:color w:val="D60093"/>
          <w:sz w:val="22"/>
          <w:szCs w:val="24"/>
        </w:rPr>
        <w:t>2. ÚDAJE O USKUTEČNĚNÝCH INVESTICÍCH DO PŮDY</w:t>
      </w:r>
    </w:p>
    <w:p w14:paraId="12AC310C" w14:textId="77777777" w:rsidR="009617F5" w:rsidRPr="009617F5" w:rsidRDefault="009617F5" w:rsidP="009617F5">
      <w:pPr>
        <w:tabs>
          <w:tab w:val="left" w:pos="8931"/>
          <w:tab w:val="left" w:pos="9068"/>
        </w:tabs>
        <w:spacing w:after="168" w:line="276" w:lineRule="auto"/>
        <w:rPr>
          <w:rFonts w:ascii="Arial" w:hAnsi="Arial" w:cs="Arial"/>
          <w:color w:val="D60093"/>
          <w:sz w:val="22"/>
        </w:rPr>
      </w:pPr>
      <w:r w:rsidRPr="009617F5">
        <w:rPr>
          <w:rFonts w:ascii="Arial" w:eastAsia="Calibri" w:hAnsi="Arial" w:cs="Arial"/>
          <w:color w:val="D60093"/>
          <w:sz w:val="22"/>
        </w:rPr>
        <w:t>Na plochách určených k rozvoji nebyly v minulosti realizovány žádné zúrodňovací investice.</w:t>
      </w:r>
    </w:p>
    <w:p w14:paraId="72E2474A" w14:textId="77777777" w:rsidR="009617F5" w:rsidRPr="009617F5" w:rsidRDefault="009617F5" w:rsidP="009617F5">
      <w:pPr>
        <w:pStyle w:val="Nadpis2"/>
        <w:tabs>
          <w:tab w:val="left" w:pos="8931"/>
          <w:tab w:val="left" w:pos="9068"/>
        </w:tabs>
        <w:spacing w:after="11" w:line="276" w:lineRule="auto"/>
        <w:jc w:val="both"/>
        <w:rPr>
          <w:rFonts w:ascii="Arial" w:hAnsi="Arial" w:cs="Arial"/>
          <w:b/>
          <w:color w:val="D60093"/>
          <w:sz w:val="22"/>
          <w:szCs w:val="24"/>
        </w:rPr>
      </w:pPr>
      <w:r w:rsidRPr="009617F5">
        <w:rPr>
          <w:rFonts w:ascii="Arial" w:hAnsi="Arial" w:cs="Arial"/>
          <w:b/>
          <w:color w:val="D60093"/>
          <w:sz w:val="22"/>
          <w:szCs w:val="24"/>
        </w:rPr>
        <w:t>3. ÚDAJE O AREÁLECH A OBJEKTECH ZEMĚDĚLSKÉ VÝROBY</w:t>
      </w:r>
    </w:p>
    <w:p w14:paraId="6DD5C8FB" w14:textId="77777777" w:rsidR="009617F5" w:rsidRPr="009617F5" w:rsidRDefault="009617F5" w:rsidP="009617F5">
      <w:pPr>
        <w:tabs>
          <w:tab w:val="left" w:pos="8931"/>
          <w:tab w:val="left" w:pos="9068"/>
        </w:tabs>
        <w:spacing w:after="178" w:line="276" w:lineRule="auto"/>
        <w:rPr>
          <w:rFonts w:ascii="Arial" w:hAnsi="Arial" w:cs="Arial"/>
          <w:color w:val="D60093"/>
          <w:sz w:val="22"/>
        </w:rPr>
      </w:pPr>
      <w:r w:rsidRPr="009617F5">
        <w:rPr>
          <w:rFonts w:ascii="Arial" w:eastAsia="Calibri" w:hAnsi="Arial" w:cs="Arial"/>
          <w:color w:val="D60093"/>
          <w:sz w:val="22"/>
        </w:rPr>
        <w:t>Na rozvojových plochách se nenalézá žádné zařízení (silážní jáma, zpevněné polní hnojiště, rampa, a pod), sloužící v současné době zemědělské výrobě.</w:t>
      </w:r>
    </w:p>
    <w:p w14:paraId="3D8C42FD" w14:textId="77777777" w:rsidR="009617F5" w:rsidRPr="009617F5" w:rsidRDefault="009617F5" w:rsidP="009617F5">
      <w:pPr>
        <w:pStyle w:val="Nadpis1"/>
        <w:tabs>
          <w:tab w:val="left" w:pos="8931"/>
          <w:tab w:val="left" w:pos="9068"/>
        </w:tabs>
        <w:spacing w:line="276" w:lineRule="auto"/>
        <w:jc w:val="both"/>
        <w:rPr>
          <w:rFonts w:ascii="Arial" w:hAnsi="Arial" w:cs="Arial"/>
          <w:b/>
          <w:color w:val="D60093"/>
          <w:sz w:val="22"/>
          <w:szCs w:val="24"/>
        </w:rPr>
      </w:pPr>
      <w:r w:rsidRPr="009617F5">
        <w:rPr>
          <w:rFonts w:ascii="Arial" w:hAnsi="Arial" w:cs="Arial"/>
          <w:color w:val="D60093"/>
          <w:sz w:val="22"/>
          <w:szCs w:val="24"/>
        </w:rPr>
        <w:t>4. ÚDAJE O USPOŘÁDÁNÍ ZPF V ÚZEMÍ, ÚSES, CHKO</w:t>
      </w:r>
      <w:r w:rsidRPr="009617F5">
        <w:rPr>
          <w:rFonts w:ascii="Arial" w:hAnsi="Arial" w:cs="Arial"/>
          <w:b/>
          <w:noProof/>
          <w:color w:val="D60093"/>
          <w:sz w:val="22"/>
          <w:szCs w:val="24"/>
          <w:lang w:eastAsia="cs-CZ"/>
        </w:rPr>
        <w:drawing>
          <wp:inline distT="0" distB="0" distL="0" distR="0" wp14:anchorId="5B0DAA05" wp14:editId="36407A14">
            <wp:extent cx="15875" cy="94615"/>
            <wp:effectExtent l="0" t="0" r="3175" b="635"/>
            <wp:docPr id="25305" name="Obrázek 25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637"/>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15875" cy="94615"/>
                    </a:xfrm>
                    <a:prstGeom prst="rect">
                      <a:avLst/>
                    </a:prstGeom>
                    <a:noFill/>
                    <a:ln>
                      <a:noFill/>
                    </a:ln>
                  </pic:spPr>
                </pic:pic>
              </a:graphicData>
            </a:graphic>
          </wp:inline>
        </w:drawing>
      </w:r>
      <w:r w:rsidRPr="009617F5">
        <w:rPr>
          <w:rFonts w:ascii="Arial" w:hAnsi="Arial" w:cs="Arial"/>
          <w:b/>
          <w:noProof/>
          <w:color w:val="D60093"/>
          <w:sz w:val="22"/>
          <w:szCs w:val="24"/>
          <w:lang w:eastAsia="cs-CZ"/>
        </w:rPr>
        <w:drawing>
          <wp:inline distT="0" distB="0" distL="0" distR="0" wp14:anchorId="62981932" wp14:editId="000B7B65">
            <wp:extent cx="15875" cy="94615"/>
            <wp:effectExtent l="0" t="0" r="3175" b="635"/>
            <wp:docPr id="25304" name="Obrázek 25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637"/>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15875" cy="94615"/>
                    </a:xfrm>
                    <a:prstGeom prst="rect">
                      <a:avLst/>
                    </a:prstGeom>
                    <a:noFill/>
                    <a:ln>
                      <a:noFill/>
                    </a:ln>
                  </pic:spPr>
                </pic:pic>
              </a:graphicData>
            </a:graphic>
          </wp:inline>
        </w:drawing>
      </w:r>
    </w:p>
    <w:p w14:paraId="48F2BCDA" w14:textId="77777777" w:rsidR="009617F5" w:rsidRPr="009617F5" w:rsidRDefault="009617F5" w:rsidP="009617F5">
      <w:pPr>
        <w:tabs>
          <w:tab w:val="left" w:pos="8931"/>
          <w:tab w:val="left" w:pos="9068"/>
        </w:tabs>
        <w:spacing w:after="267" w:line="276" w:lineRule="auto"/>
        <w:rPr>
          <w:rFonts w:ascii="Arial" w:hAnsi="Arial" w:cs="Arial"/>
          <w:color w:val="D60093"/>
          <w:sz w:val="22"/>
        </w:rPr>
      </w:pPr>
      <w:r w:rsidRPr="009617F5">
        <w:rPr>
          <w:rFonts w:ascii="Arial" w:eastAsia="Calibri" w:hAnsi="Arial" w:cs="Arial"/>
          <w:color w:val="D60093"/>
          <w:sz w:val="22"/>
        </w:rPr>
        <w:t>Zemědělská půda není v území uspořádána do rozlehlých honů členěných zemědělskými komunikacemi i komunikacemi vyššího řádu. Stávající zemědělské komunikace nebudou navrhovaným řešením dotčeny.</w:t>
      </w:r>
    </w:p>
    <w:p w14:paraId="2343C1FA" w14:textId="77777777" w:rsidR="009617F5" w:rsidRPr="009617F5" w:rsidRDefault="009617F5" w:rsidP="009617F5">
      <w:pPr>
        <w:tabs>
          <w:tab w:val="left" w:pos="8931"/>
          <w:tab w:val="left" w:pos="9068"/>
        </w:tabs>
        <w:spacing w:after="16" w:line="276" w:lineRule="auto"/>
        <w:rPr>
          <w:rFonts w:ascii="Arial" w:hAnsi="Arial" w:cs="Arial"/>
          <w:color w:val="D60093"/>
          <w:sz w:val="22"/>
        </w:rPr>
      </w:pPr>
      <w:r w:rsidRPr="009617F5">
        <w:rPr>
          <w:rFonts w:ascii="Arial" w:eastAsia="Calibri" w:hAnsi="Arial" w:cs="Arial"/>
          <w:color w:val="D60093"/>
          <w:sz w:val="22"/>
        </w:rPr>
        <w:t>ÚSES</w:t>
      </w:r>
    </w:p>
    <w:p w14:paraId="797551EF" w14:textId="77777777" w:rsidR="009617F5" w:rsidRPr="009617F5" w:rsidRDefault="009617F5" w:rsidP="009617F5">
      <w:pPr>
        <w:tabs>
          <w:tab w:val="left" w:pos="8931"/>
          <w:tab w:val="left" w:pos="9068"/>
        </w:tabs>
        <w:spacing w:after="16" w:line="276" w:lineRule="auto"/>
        <w:rPr>
          <w:rFonts w:ascii="Arial" w:hAnsi="Arial" w:cs="Arial"/>
          <w:color w:val="D60093"/>
          <w:sz w:val="22"/>
        </w:rPr>
      </w:pPr>
      <w:r w:rsidRPr="009617F5">
        <w:rPr>
          <w:rFonts w:ascii="Arial" w:eastAsia="Calibri" w:hAnsi="Arial" w:cs="Arial"/>
          <w:color w:val="D60093"/>
          <w:sz w:val="22"/>
        </w:rPr>
        <w:t xml:space="preserve">Navržené rozvojové plochy nejsou ve střetu s lokalizací prvků ÚSES. Výjimku tvoří plocha č. 6Z-80, která částečně zasahuje do prvku ÚSES. </w:t>
      </w:r>
      <w:r w:rsidRPr="009617F5">
        <w:rPr>
          <w:rFonts w:ascii="Arial" w:hAnsi="Arial" w:cs="Arial"/>
          <w:noProof/>
          <w:color w:val="D60093"/>
          <w:sz w:val="22"/>
          <w:lang w:eastAsia="cs-CZ"/>
        </w:rPr>
        <w:drawing>
          <wp:inline distT="0" distB="0" distL="0" distR="0" wp14:anchorId="53897834" wp14:editId="5BD54AAB">
            <wp:extent cx="15875" cy="15875"/>
            <wp:effectExtent l="0" t="0" r="0" b="0"/>
            <wp:docPr id="25303" name="Obrázek 25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221"/>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eastAsia="Calibri" w:hAnsi="Arial" w:cs="Arial"/>
          <w:color w:val="D60093"/>
          <w:sz w:val="22"/>
        </w:rPr>
        <w:t>CHKO České středohoří a CHKO Labské pískovce</w:t>
      </w:r>
    </w:p>
    <w:p w14:paraId="24D52DEB" w14:textId="77777777" w:rsidR="009617F5" w:rsidRPr="009617F5" w:rsidRDefault="009617F5" w:rsidP="009617F5">
      <w:pPr>
        <w:tabs>
          <w:tab w:val="left" w:pos="8931"/>
          <w:tab w:val="left" w:pos="9068"/>
        </w:tabs>
        <w:spacing w:after="16" w:line="276" w:lineRule="auto"/>
        <w:rPr>
          <w:rFonts w:ascii="Arial" w:hAnsi="Arial" w:cs="Arial"/>
          <w:color w:val="D60093"/>
          <w:sz w:val="22"/>
        </w:rPr>
      </w:pPr>
      <w:r w:rsidRPr="009617F5">
        <w:rPr>
          <w:rFonts w:ascii="Arial" w:eastAsia="Calibri" w:hAnsi="Arial" w:cs="Arial"/>
          <w:color w:val="D60093"/>
          <w:sz w:val="22"/>
        </w:rPr>
        <w:t>Jižní část území leží v CHKO České středohoří Severní část řešeného území spadá do CHKO Labské pískovce. V prostoru CHKO je nutno respektovat ochranné podmínky jednotlivých zón ochrany. Vymezení CHKO je nutno respektovat až do úrovně jednotlivých parcel.</w:t>
      </w:r>
    </w:p>
    <w:p w14:paraId="214F6006" w14:textId="77777777" w:rsidR="009617F5" w:rsidRPr="009617F5" w:rsidRDefault="009617F5" w:rsidP="009617F5">
      <w:pPr>
        <w:tabs>
          <w:tab w:val="left" w:pos="8931"/>
          <w:tab w:val="left" w:pos="9068"/>
        </w:tabs>
        <w:spacing w:after="454" w:line="276" w:lineRule="auto"/>
        <w:rPr>
          <w:rFonts w:ascii="Arial" w:hAnsi="Arial" w:cs="Arial"/>
          <w:color w:val="D60093"/>
          <w:sz w:val="22"/>
        </w:rPr>
      </w:pPr>
    </w:p>
    <w:p w14:paraId="7D237CE0" w14:textId="77777777" w:rsidR="009617F5" w:rsidRPr="009617F5" w:rsidRDefault="009617F5" w:rsidP="009617F5">
      <w:pPr>
        <w:tabs>
          <w:tab w:val="left" w:pos="8931"/>
          <w:tab w:val="left" w:pos="9068"/>
        </w:tabs>
        <w:spacing w:line="276" w:lineRule="auto"/>
        <w:rPr>
          <w:rFonts w:ascii="Arial" w:hAnsi="Arial" w:cs="Arial"/>
          <w:color w:val="D60093"/>
          <w:sz w:val="22"/>
        </w:rPr>
      </w:pPr>
      <w:r w:rsidRPr="009617F5">
        <w:rPr>
          <w:rFonts w:ascii="Arial" w:hAnsi="Arial" w:cs="Arial"/>
          <w:noProof/>
          <w:color w:val="D60093"/>
          <w:sz w:val="22"/>
          <w:lang w:eastAsia="cs-CZ"/>
        </w:rPr>
        <w:lastRenderedPageBreak/>
        <w:drawing>
          <wp:inline distT="0" distB="0" distL="0" distR="0" wp14:anchorId="209E5931" wp14:editId="75D062D2">
            <wp:extent cx="46990" cy="15875"/>
            <wp:effectExtent l="0" t="0" r="0" b="3175"/>
            <wp:docPr id="25302" name="Obrázek 25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34"/>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46990" cy="15875"/>
                    </a:xfrm>
                    <a:prstGeom prst="rect">
                      <a:avLst/>
                    </a:prstGeom>
                    <a:noFill/>
                    <a:ln>
                      <a:noFill/>
                    </a:ln>
                  </pic:spPr>
                </pic:pic>
              </a:graphicData>
            </a:graphic>
          </wp:inline>
        </w:drawing>
      </w:r>
    </w:p>
    <w:p w14:paraId="557A8E24" w14:textId="77777777" w:rsidR="009617F5" w:rsidRPr="009617F5" w:rsidRDefault="009617F5" w:rsidP="009617F5">
      <w:pPr>
        <w:tabs>
          <w:tab w:val="center" w:pos="4288"/>
          <w:tab w:val="left" w:pos="8931"/>
          <w:tab w:val="left" w:pos="9068"/>
        </w:tabs>
        <w:spacing w:after="226" w:line="276" w:lineRule="auto"/>
        <w:rPr>
          <w:rFonts w:ascii="Arial" w:hAnsi="Arial" w:cs="Arial"/>
          <w:b/>
          <w:color w:val="D60093"/>
          <w:sz w:val="22"/>
        </w:rPr>
      </w:pPr>
      <w:r w:rsidRPr="009617F5">
        <w:rPr>
          <w:rFonts w:ascii="Arial" w:eastAsia="Calibri" w:hAnsi="Arial" w:cs="Arial"/>
          <w:b/>
          <w:color w:val="D60093"/>
          <w:sz w:val="22"/>
        </w:rPr>
        <w:t>5. HRANICE ÚZEMNÍCH OBVODŮ A KATASTRÁLNÍCH ÚZEMÍ</w:t>
      </w:r>
    </w:p>
    <w:p w14:paraId="59ABE327" w14:textId="77777777" w:rsidR="009617F5" w:rsidRPr="009617F5" w:rsidRDefault="009617F5" w:rsidP="009617F5">
      <w:pPr>
        <w:tabs>
          <w:tab w:val="left" w:pos="8931"/>
          <w:tab w:val="left" w:pos="9068"/>
        </w:tabs>
        <w:spacing w:after="188" w:line="276" w:lineRule="auto"/>
        <w:ind w:right="1195"/>
        <w:rPr>
          <w:rFonts w:ascii="Arial" w:hAnsi="Arial" w:cs="Arial"/>
          <w:color w:val="D60093"/>
          <w:sz w:val="22"/>
        </w:rPr>
      </w:pPr>
      <w:r w:rsidRPr="009617F5">
        <w:rPr>
          <w:rFonts w:ascii="Arial" w:eastAsia="Calibri" w:hAnsi="Arial" w:cs="Arial"/>
          <w:color w:val="D60093"/>
          <w:sz w:val="22"/>
        </w:rPr>
        <w:t>Hranice správního území města Děčín jsou hranicí řešeného území.</w:t>
      </w:r>
    </w:p>
    <w:p w14:paraId="32363479" w14:textId="77777777" w:rsidR="009617F5" w:rsidRPr="009617F5" w:rsidRDefault="009617F5" w:rsidP="009617F5">
      <w:pPr>
        <w:tabs>
          <w:tab w:val="left" w:pos="8931"/>
          <w:tab w:val="left" w:pos="9068"/>
        </w:tabs>
        <w:spacing w:after="132" w:line="276" w:lineRule="auto"/>
        <w:rPr>
          <w:rFonts w:ascii="Arial" w:hAnsi="Arial" w:cs="Arial"/>
          <w:b/>
          <w:color w:val="D60093"/>
          <w:sz w:val="22"/>
        </w:rPr>
      </w:pPr>
      <w:r w:rsidRPr="009617F5">
        <w:rPr>
          <w:rFonts w:ascii="Arial" w:eastAsia="Calibri" w:hAnsi="Arial" w:cs="Arial"/>
          <w:b/>
          <w:color w:val="D60093"/>
          <w:sz w:val="22"/>
        </w:rPr>
        <w:t>6. ZDŮVODNĚNÍ NAVRHOVANÉHO ŘEŠENÍ</w:t>
      </w:r>
    </w:p>
    <w:p w14:paraId="6487CF9C" w14:textId="77777777" w:rsidR="009617F5" w:rsidRPr="009617F5" w:rsidRDefault="009617F5" w:rsidP="009617F5">
      <w:pPr>
        <w:tabs>
          <w:tab w:val="left" w:pos="8931"/>
          <w:tab w:val="left" w:pos="9068"/>
        </w:tabs>
        <w:spacing w:after="35" w:line="276" w:lineRule="auto"/>
        <w:ind w:right="43"/>
        <w:rPr>
          <w:rFonts w:ascii="Arial" w:hAnsi="Arial" w:cs="Arial"/>
          <w:color w:val="D60093"/>
          <w:sz w:val="22"/>
        </w:rPr>
      </w:pPr>
      <w:r w:rsidRPr="009617F5">
        <w:rPr>
          <w:rFonts w:ascii="Arial" w:eastAsia="Calibri" w:hAnsi="Arial" w:cs="Arial"/>
          <w:color w:val="D60093"/>
          <w:sz w:val="22"/>
        </w:rPr>
        <w:t>Zemědělství je v řešeném území není intenzivně rozvinuto. Orná půda tvoří necelých 10% ZPF. Stávající zástavba je z části situována do prostoru s výskytem chráněných druhů půd. Rozvojové plochy, navrhované jako pokračování stávající zástavby a zahrnují v některých případech i chráněnou půdu.</w:t>
      </w:r>
    </w:p>
    <w:p w14:paraId="493482B7" w14:textId="77777777" w:rsidR="009617F5" w:rsidRPr="009617F5" w:rsidRDefault="009617F5" w:rsidP="009617F5">
      <w:pPr>
        <w:tabs>
          <w:tab w:val="left" w:pos="8931"/>
          <w:tab w:val="left" w:pos="9068"/>
        </w:tabs>
        <w:spacing w:after="22" w:line="276" w:lineRule="auto"/>
        <w:rPr>
          <w:rFonts w:ascii="Arial" w:hAnsi="Arial" w:cs="Arial"/>
          <w:color w:val="D60093"/>
          <w:sz w:val="22"/>
        </w:rPr>
      </w:pPr>
      <w:r w:rsidRPr="009617F5">
        <w:rPr>
          <w:rFonts w:ascii="Arial" w:hAnsi="Arial" w:cs="Arial"/>
          <w:noProof/>
          <w:color w:val="D60093"/>
          <w:sz w:val="22"/>
          <w:lang w:eastAsia="cs-CZ"/>
        </w:rPr>
        <w:drawing>
          <wp:inline distT="0" distB="0" distL="0" distR="0" wp14:anchorId="566C1111" wp14:editId="0AD79FE8">
            <wp:extent cx="31750" cy="15875"/>
            <wp:effectExtent l="0" t="0" r="6350" b="3175"/>
            <wp:docPr id="25301" name="Obrázek 25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642"/>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31750" cy="15875"/>
                    </a:xfrm>
                    <a:prstGeom prst="rect">
                      <a:avLst/>
                    </a:prstGeom>
                    <a:noFill/>
                    <a:ln>
                      <a:noFill/>
                    </a:ln>
                  </pic:spPr>
                </pic:pic>
              </a:graphicData>
            </a:graphic>
          </wp:inline>
        </w:drawing>
      </w:r>
    </w:p>
    <w:p w14:paraId="7E8787A9" w14:textId="77777777" w:rsidR="009617F5" w:rsidRPr="009617F5" w:rsidRDefault="009617F5" w:rsidP="009617F5">
      <w:pPr>
        <w:tabs>
          <w:tab w:val="center" w:pos="5382"/>
          <w:tab w:val="left" w:pos="8931"/>
          <w:tab w:val="left" w:pos="9068"/>
        </w:tabs>
        <w:spacing w:line="276" w:lineRule="auto"/>
        <w:rPr>
          <w:rFonts w:ascii="Arial" w:hAnsi="Arial" w:cs="Arial"/>
          <w:color w:val="D60093"/>
          <w:sz w:val="22"/>
        </w:rPr>
      </w:pPr>
      <w:r w:rsidRPr="009617F5">
        <w:rPr>
          <w:rFonts w:ascii="Arial" w:eastAsia="Calibri" w:hAnsi="Arial" w:cs="Arial"/>
          <w:color w:val="D60093"/>
          <w:sz w:val="22"/>
        </w:rPr>
        <w:t>V přímém okolí města Děčín nedojde k oslabení zemědělského potenciálu.</w:t>
      </w:r>
    </w:p>
    <w:p w14:paraId="306C4ECA" w14:textId="77777777" w:rsidR="009617F5" w:rsidRPr="009617F5" w:rsidRDefault="009617F5" w:rsidP="009617F5">
      <w:pPr>
        <w:tabs>
          <w:tab w:val="left" w:pos="8931"/>
          <w:tab w:val="left" w:pos="9068"/>
        </w:tabs>
        <w:spacing w:line="276" w:lineRule="auto"/>
        <w:rPr>
          <w:rFonts w:ascii="Arial" w:eastAsia="Calibri" w:hAnsi="Arial" w:cs="Arial"/>
          <w:color w:val="D60093"/>
          <w:sz w:val="22"/>
        </w:rPr>
      </w:pPr>
      <w:r w:rsidRPr="009617F5">
        <w:rPr>
          <w:rFonts w:ascii="Arial" w:eastAsia="Calibri" w:hAnsi="Arial" w:cs="Arial"/>
          <w:color w:val="D60093"/>
          <w:sz w:val="22"/>
        </w:rPr>
        <w:t>Na významu bude nabývat zejména funkce obytná, která je řešením preferována. Dále bude posílena funkce obslužná a funkce drobné výroby a funkce dopravní.</w:t>
      </w:r>
    </w:p>
    <w:p w14:paraId="4617608B" w14:textId="77777777" w:rsidR="009617F5" w:rsidRPr="009617F5" w:rsidRDefault="009617F5" w:rsidP="009617F5">
      <w:pPr>
        <w:pStyle w:val="Nadpis1"/>
        <w:tabs>
          <w:tab w:val="center" w:pos="4846"/>
          <w:tab w:val="left" w:pos="8931"/>
          <w:tab w:val="left" w:pos="9068"/>
        </w:tabs>
        <w:spacing w:line="276" w:lineRule="auto"/>
        <w:jc w:val="both"/>
        <w:rPr>
          <w:rFonts w:ascii="Arial" w:hAnsi="Arial" w:cs="Arial"/>
          <w:b/>
          <w:color w:val="D60093"/>
          <w:sz w:val="22"/>
          <w:szCs w:val="24"/>
        </w:rPr>
      </w:pPr>
      <w:r w:rsidRPr="009617F5">
        <w:rPr>
          <w:rFonts w:ascii="Arial" w:hAnsi="Arial" w:cs="Arial"/>
          <w:color w:val="D60093"/>
          <w:sz w:val="22"/>
          <w:szCs w:val="24"/>
        </w:rPr>
        <w:t>7. HRANICE SOUČASNĚ ZASTAVĚNÉHO ÚZEMÍ A POZEMKOVÁ DRŽBA</w:t>
      </w:r>
    </w:p>
    <w:p w14:paraId="09DF8114" w14:textId="77777777" w:rsidR="009617F5" w:rsidRPr="009617F5" w:rsidRDefault="009617F5" w:rsidP="009617F5">
      <w:pPr>
        <w:tabs>
          <w:tab w:val="left" w:pos="8931"/>
          <w:tab w:val="left" w:pos="9068"/>
        </w:tabs>
        <w:spacing w:after="59" w:line="276" w:lineRule="auto"/>
        <w:rPr>
          <w:rFonts w:ascii="Arial" w:hAnsi="Arial" w:cs="Arial"/>
          <w:color w:val="D60093"/>
          <w:sz w:val="22"/>
        </w:rPr>
      </w:pPr>
      <w:r w:rsidRPr="009617F5">
        <w:rPr>
          <w:rFonts w:ascii="Arial" w:eastAsia="Calibri" w:hAnsi="Arial" w:cs="Arial"/>
          <w:color w:val="D60093"/>
          <w:sz w:val="22"/>
        </w:rPr>
        <w:t xml:space="preserve">Převažující část ZPF rozvojových ploch je situována vně současně zastavěného území </w:t>
      </w:r>
      <w:r w:rsidRPr="009617F5">
        <w:rPr>
          <w:rFonts w:ascii="Arial" w:hAnsi="Arial" w:cs="Arial"/>
          <w:noProof/>
          <w:color w:val="D60093"/>
          <w:sz w:val="22"/>
          <w:lang w:eastAsia="cs-CZ"/>
        </w:rPr>
        <w:drawing>
          <wp:inline distT="0" distB="0" distL="0" distR="0" wp14:anchorId="0D1E3BE2" wp14:editId="5BEC1435">
            <wp:extent cx="15875" cy="15875"/>
            <wp:effectExtent l="0" t="0" r="0" b="0"/>
            <wp:docPr id="25300" name="Obrázek 25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3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eastAsia="Calibri" w:hAnsi="Arial" w:cs="Arial"/>
          <w:color w:val="D60093"/>
          <w:sz w:val="22"/>
        </w:rPr>
        <w:t>obcí. Hranice ZUO je zobrazena v grafické části.</w:t>
      </w:r>
    </w:p>
    <w:p w14:paraId="5E6781CE" w14:textId="77777777" w:rsidR="009617F5" w:rsidRPr="009617F5" w:rsidRDefault="009617F5" w:rsidP="009617F5">
      <w:pPr>
        <w:tabs>
          <w:tab w:val="left" w:pos="8931"/>
          <w:tab w:val="left" w:pos="9068"/>
        </w:tabs>
        <w:spacing w:after="188" w:line="276" w:lineRule="auto"/>
        <w:rPr>
          <w:rFonts w:ascii="Arial" w:hAnsi="Arial" w:cs="Arial"/>
          <w:color w:val="D60093"/>
          <w:sz w:val="22"/>
        </w:rPr>
      </w:pPr>
      <w:r w:rsidRPr="009617F5">
        <w:rPr>
          <w:rFonts w:ascii="Arial" w:eastAsia="Calibri" w:hAnsi="Arial" w:cs="Arial"/>
          <w:color w:val="D60093"/>
          <w:sz w:val="22"/>
        </w:rPr>
        <w:t>Plochy navržené k zástavbě jsou převážně majetkem soukromých osob, města Děčín.</w:t>
      </w:r>
    </w:p>
    <w:p w14:paraId="43EB95C0" w14:textId="77777777" w:rsidR="009617F5" w:rsidRPr="009617F5" w:rsidRDefault="009617F5" w:rsidP="009617F5">
      <w:pPr>
        <w:pStyle w:val="Nadpis2"/>
        <w:tabs>
          <w:tab w:val="left" w:pos="8931"/>
          <w:tab w:val="left" w:pos="9068"/>
        </w:tabs>
        <w:spacing w:after="100" w:line="276" w:lineRule="auto"/>
        <w:jc w:val="both"/>
        <w:rPr>
          <w:rFonts w:ascii="Arial" w:hAnsi="Arial" w:cs="Arial"/>
          <w:color w:val="D60093"/>
          <w:sz w:val="22"/>
          <w:szCs w:val="24"/>
        </w:rPr>
      </w:pPr>
      <w:r w:rsidRPr="009617F5">
        <w:rPr>
          <w:rFonts w:ascii="Arial" w:hAnsi="Arial" w:cs="Arial"/>
          <w:noProof/>
          <w:color w:val="D60093"/>
          <w:sz w:val="22"/>
          <w:szCs w:val="24"/>
          <w:lang w:eastAsia="cs-CZ"/>
        </w:rPr>
        <w:drawing>
          <wp:inline distT="0" distB="0" distL="0" distR="0" wp14:anchorId="0AD01D8F" wp14:editId="6D0AA46E">
            <wp:extent cx="15875" cy="15875"/>
            <wp:effectExtent l="0" t="0" r="0" b="0"/>
            <wp:docPr id="25299" name="Obrázek 25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39"/>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hAnsi="Arial" w:cs="Arial"/>
          <w:b/>
          <w:color w:val="D60093"/>
          <w:sz w:val="22"/>
          <w:szCs w:val="24"/>
        </w:rPr>
        <w:t>8. DOBÝVACÍ PROSTORY, CHLÚ</w:t>
      </w:r>
    </w:p>
    <w:p w14:paraId="3FDCBF64" w14:textId="77777777" w:rsidR="009617F5" w:rsidRPr="009617F5" w:rsidRDefault="009617F5" w:rsidP="009617F5">
      <w:pPr>
        <w:tabs>
          <w:tab w:val="left" w:pos="8931"/>
          <w:tab w:val="left" w:pos="9068"/>
        </w:tabs>
        <w:spacing w:after="187" w:line="276" w:lineRule="auto"/>
        <w:rPr>
          <w:rFonts w:ascii="Arial" w:hAnsi="Arial" w:cs="Arial"/>
          <w:color w:val="D60093"/>
          <w:sz w:val="22"/>
        </w:rPr>
      </w:pPr>
      <w:r w:rsidRPr="009617F5">
        <w:rPr>
          <w:rFonts w:ascii="Arial" w:eastAsia="Calibri" w:hAnsi="Arial" w:cs="Arial"/>
          <w:color w:val="D60093"/>
          <w:sz w:val="22"/>
        </w:rPr>
        <w:t xml:space="preserve">Rozvojové plochy nejsou situovány do prostorů chráněných jak o zdroje nerostných </w:t>
      </w:r>
      <w:r w:rsidRPr="009617F5">
        <w:rPr>
          <w:rFonts w:ascii="Arial" w:hAnsi="Arial" w:cs="Arial"/>
          <w:noProof/>
          <w:color w:val="D60093"/>
          <w:sz w:val="22"/>
          <w:lang w:eastAsia="cs-CZ"/>
        </w:rPr>
        <w:drawing>
          <wp:inline distT="0" distB="0" distL="0" distR="0" wp14:anchorId="4C52F39D" wp14:editId="2558BE5B">
            <wp:extent cx="15875" cy="15875"/>
            <wp:effectExtent l="0" t="0" r="0" b="0"/>
            <wp:docPr id="25298" name="Obrázek 25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644"/>
                    <pic:cNvPicPr>
                      <a:picLocks noChangeAspect="1" noChangeArrowheads="1"/>
                    </pic:cNvPicPr>
                  </pic:nvPicPr>
                  <pic:blipFill>
                    <a:blip r:embed="rId24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eastAsia="Calibri" w:hAnsi="Arial" w:cs="Arial"/>
          <w:color w:val="D60093"/>
          <w:sz w:val="22"/>
        </w:rPr>
        <w:t>surovin.</w:t>
      </w:r>
    </w:p>
    <w:p w14:paraId="12A7349A" w14:textId="77777777" w:rsidR="009617F5" w:rsidRPr="009617F5" w:rsidRDefault="009617F5" w:rsidP="009617F5">
      <w:pPr>
        <w:pStyle w:val="Nadpis1"/>
        <w:tabs>
          <w:tab w:val="left" w:pos="8931"/>
          <w:tab w:val="left" w:pos="9068"/>
        </w:tabs>
        <w:spacing w:line="276" w:lineRule="auto"/>
        <w:jc w:val="both"/>
        <w:rPr>
          <w:rFonts w:ascii="Arial" w:hAnsi="Arial" w:cs="Arial"/>
          <w:b/>
          <w:color w:val="D60093"/>
          <w:sz w:val="22"/>
          <w:szCs w:val="24"/>
        </w:rPr>
      </w:pPr>
      <w:r w:rsidRPr="009617F5">
        <w:rPr>
          <w:rFonts w:ascii="Arial" w:hAnsi="Arial" w:cs="Arial"/>
          <w:noProof/>
          <w:color w:val="D60093"/>
          <w:sz w:val="28"/>
          <w:lang w:eastAsia="cs-CZ"/>
        </w:rPr>
        <w:drawing>
          <wp:anchor distT="0" distB="0" distL="114300" distR="114300" simplePos="0" relativeHeight="251766784" behindDoc="0" locked="0" layoutInCell="1" allowOverlap="0" wp14:anchorId="588B673F" wp14:editId="7704D2F2">
            <wp:simplePos x="0" y="0"/>
            <wp:positionH relativeFrom="page">
              <wp:posOffset>164465</wp:posOffset>
            </wp:positionH>
            <wp:positionV relativeFrom="page">
              <wp:posOffset>2917190</wp:posOffset>
            </wp:positionV>
            <wp:extent cx="4445" cy="8890"/>
            <wp:effectExtent l="0" t="0" r="0" b="0"/>
            <wp:wrapSquare wrapText="bothSides"/>
            <wp:docPr id="10568" name="Obrázek 10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37"/>
                    <pic:cNvPicPr>
                      <a:picLocks noChangeAspect="1" noChangeArrowheads="1"/>
                    </pic:cNvPicPr>
                  </pic:nvPicPr>
                  <pic:blipFill>
                    <a:blip r:embed="rId247">
                      <a:extLst>
                        <a:ext uri="{28A0092B-C50C-407E-A947-70E740481C1C}">
                          <a14:useLocalDpi xmlns:a14="http://schemas.microsoft.com/office/drawing/2010/main" val="0"/>
                        </a:ext>
                      </a:extLst>
                    </a:blip>
                    <a:srcRect/>
                    <a:stretch>
                      <a:fillRect/>
                    </a:stretch>
                  </pic:blipFill>
                  <pic:spPr bwMode="auto">
                    <a:xfrm>
                      <a:off x="0" y="0"/>
                      <a:ext cx="4445" cy="8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color w:val="D60093"/>
          <w:sz w:val="28"/>
          <w:lang w:eastAsia="cs-CZ"/>
        </w:rPr>
        <w:drawing>
          <wp:anchor distT="0" distB="0" distL="114300" distR="114300" simplePos="0" relativeHeight="251767808" behindDoc="0" locked="0" layoutInCell="1" allowOverlap="0" wp14:anchorId="0F1D7FCF" wp14:editId="79BCDF45">
            <wp:simplePos x="0" y="0"/>
            <wp:positionH relativeFrom="page">
              <wp:posOffset>137160</wp:posOffset>
            </wp:positionH>
            <wp:positionV relativeFrom="page">
              <wp:posOffset>5207635</wp:posOffset>
            </wp:positionV>
            <wp:extent cx="22860" cy="13970"/>
            <wp:effectExtent l="0" t="0" r="0" b="0"/>
            <wp:wrapTopAndBottom/>
            <wp:docPr id="10567" name="Obrázek 10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42"/>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22860" cy="139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color w:val="D60093"/>
          <w:sz w:val="28"/>
          <w:lang w:eastAsia="cs-CZ"/>
        </w:rPr>
        <w:drawing>
          <wp:anchor distT="0" distB="0" distL="114300" distR="114300" simplePos="0" relativeHeight="251768832" behindDoc="0" locked="0" layoutInCell="1" allowOverlap="0" wp14:anchorId="5DCE474F" wp14:editId="4D929B9B">
            <wp:simplePos x="0" y="0"/>
            <wp:positionH relativeFrom="page">
              <wp:posOffset>137160</wp:posOffset>
            </wp:positionH>
            <wp:positionV relativeFrom="page">
              <wp:posOffset>5481955</wp:posOffset>
            </wp:positionV>
            <wp:extent cx="27305" cy="8890"/>
            <wp:effectExtent l="0" t="0" r="0" b="0"/>
            <wp:wrapSquare wrapText="bothSides"/>
            <wp:docPr id="10566" name="Obrázek 10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44"/>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0" y="0"/>
                      <a:ext cx="27305" cy="8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color w:val="D60093"/>
          <w:sz w:val="28"/>
          <w:lang w:eastAsia="cs-CZ"/>
        </w:rPr>
        <w:drawing>
          <wp:anchor distT="0" distB="0" distL="114300" distR="114300" simplePos="0" relativeHeight="251769856" behindDoc="0" locked="0" layoutInCell="1" allowOverlap="0" wp14:anchorId="0C687775" wp14:editId="1EBB776E">
            <wp:simplePos x="0" y="0"/>
            <wp:positionH relativeFrom="page">
              <wp:posOffset>132715</wp:posOffset>
            </wp:positionH>
            <wp:positionV relativeFrom="page">
              <wp:posOffset>6236335</wp:posOffset>
            </wp:positionV>
            <wp:extent cx="22860" cy="13970"/>
            <wp:effectExtent l="0" t="0" r="0" b="0"/>
            <wp:wrapSquare wrapText="bothSides"/>
            <wp:docPr id="10565" name="Obrázek 10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48"/>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22860" cy="139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color w:val="D60093"/>
          <w:sz w:val="28"/>
          <w:lang w:eastAsia="cs-CZ"/>
        </w:rPr>
        <w:drawing>
          <wp:anchor distT="0" distB="0" distL="114300" distR="114300" simplePos="0" relativeHeight="251770880" behindDoc="0" locked="0" layoutInCell="1" allowOverlap="0" wp14:anchorId="18E18C15" wp14:editId="1FC7C24B">
            <wp:simplePos x="0" y="0"/>
            <wp:positionH relativeFrom="page">
              <wp:posOffset>128270</wp:posOffset>
            </wp:positionH>
            <wp:positionV relativeFrom="page">
              <wp:posOffset>6506210</wp:posOffset>
            </wp:positionV>
            <wp:extent cx="22860" cy="13970"/>
            <wp:effectExtent l="0" t="0" r="0" b="0"/>
            <wp:wrapSquare wrapText="bothSides"/>
            <wp:docPr id="10564" name="Obrázek 10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49"/>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22860" cy="139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color w:val="D60093"/>
          <w:sz w:val="28"/>
          <w:lang w:eastAsia="cs-CZ"/>
        </w:rPr>
        <w:drawing>
          <wp:anchor distT="0" distB="0" distL="114300" distR="114300" simplePos="0" relativeHeight="251771904" behindDoc="0" locked="0" layoutInCell="1" allowOverlap="0" wp14:anchorId="4D7587B8" wp14:editId="30E47AD5">
            <wp:simplePos x="0" y="0"/>
            <wp:positionH relativeFrom="page">
              <wp:posOffset>132715</wp:posOffset>
            </wp:positionH>
            <wp:positionV relativeFrom="page">
              <wp:posOffset>7265035</wp:posOffset>
            </wp:positionV>
            <wp:extent cx="13970" cy="8890"/>
            <wp:effectExtent l="0" t="0" r="0" b="0"/>
            <wp:wrapSquare wrapText="bothSides"/>
            <wp:docPr id="10563" name="Obrázek 10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50"/>
                    <pic:cNvPicPr>
                      <a:picLocks noChangeAspect="1" noChangeArrowheads="1"/>
                    </pic:cNvPicPr>
                  </pic:nvPicPr>
                  <pic:blipFill>
                    <a:blip r:embed="rId252">
                      <a:extLst>
                        <a:ext uri="{28A0092B-C50C-407E-A947-70E740481C1C}">
                          <a14:useLocalDpi xmlns:a14="http://schemas.microsoft.com/office/drawing/2010/main" val="0"/>
                        </a:ext>
                      </a:extLst>
                    </a:blip>
                    <a:srcRect/>
                    <a:stretch>
                      <a:fillRect/>
                    </a:stretch>
                  </pic:blipFill>
                  <pic:spPr bwMode="auto">
                    <a:xfrm>
                      <a:off x="0" y="0"/>
                      <a:ext cx="13970" cy="8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noProof/>
          <w:color w:val="D60093"/>
          <w:sz w:val="28"/>
          <w:lang w:eastAsia="cs-CZ"/>
        </w:rPr>
        <w:drawing>
          <wp:anchor distT="0" distB="0" distL="114300" distR="114300" simplePos="0" relativeHeight="251772928" behindDoc="0" locked="0" layoutInCell="1" allowOverlap="0" wp14:anchorId="484900D0" wp14:editId="33B117AF">
            <wp:simplePos x="0" y="0"/>
            <wp:positionH relativeFrom="page">
              <wp:posOffset>128270</wp:posOffset>
            </wp:positionH>
            <wp:positionV relativeFrom="page">
              <wp:posOffset>7534910</wp:posOffset>
            </wp:positionV>
            <wp:extent cx="36830" cy="18415"/>
            <wp:effectExtent l="0" t="0" r="1270" b="635"/>
            <wp:wrapTopAndBottom/>
            <wp:docPr id="10562" name="Obrázek 10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51"/>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bwMode="auto">
                    <a:xfrm>
                      <a:off x="0" y="0"/>
                      <a:ext cx="36830" cy="184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17F5">
        <w:rPr>
          <w:rFonts w:ascii="Arial" w:hAnsi="Arial" w:cs="Arial"/>
          <w:color w:val="D60093"/>
          <w:sz w:val="22"/>
          <w:szCs w:val="24"/>
        </w:rPr>
        <w:t>9. PROTIEROZNÍ OCHRANA</w:t>
      </w:r>
    </w:p>
    <w:p w14:paraId="3399A02F" w14:textId="77777777" w:rsidR="009617F5" w:rsidRPr="009617F5" w:rsidRDefault="009617F5" w:rsidP="009617F5">
      <w:pPr>
        <w:tabs>
          <w:tab w:val="left" w:pos="8931"/>
          <w:tab w:val="left" w:pos="9068"/>
        </w:tabs>
        <w:spacing w:before="240" w:after="64" w:line="276" w:lineRule="auto"/>
        <w:ind w:right="36"/>
        <w:rPr>
          <w:rFonts w:ascii="Arial" w:hAnsi="Arial" w:cs="Arial"/>
          <w:color w:val="D60093"/>
          <w:sz w:val="22"/>
        </w:rPr>
      </w:pPr>
      <w:r w:rsidRPr="009617F5">
        <w:rPr>
          <w:rFonts w:ascii="Arial" w:eastAsia="Calibri" w:hAnsi="Arial" w:cs="Arial"/>
          <w:color w:val="D60093"/>
          <w:sz w:val="22"/>
        </w:rPr>
        <w:t xml:space="preserve">I Zvyšování retenční schopnosti území a protierozní ochrana půd je významnou součástí </w:t>
      </w:r>
      <w:r w:rsidRPr="009617F5">
        <w:rPr>
          <w:rFonts w:ascii="Arial" w:hAnsi="Arial" w:cs="Arial"/>
          <w:noProof/>
          <w:color w:val="D60093"/>
          <w:sz w:val="22"/>
          <w:lang w:eastAsia="cs-CZ"/>
        </w:rPr>
        <w:drawing>
          <wp:inline distT="0" distB="0" distL="0" distR="0" wp14:anchorId="2BE67289" wp14:editId="42C4C311">
            <wp:extent cx="15875" cy="15875"/>
            <wp:effectExtent l="0" t="0" r="0" b="0"/>
            <wp:docPr id="25297" name="Obrázek 25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4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eastAsia="Calibri" w:hAnsi="Arial" w:cs="Arial"/>
          <w:color w:val="D60093"/>
          <w:sz w:val="22"/>
        </w:rPr>
        <w:t xml:space="preserve">péče o území. Tato péče je zakotvena v ČSN 75 4500 Protierozní ochrana zemědělské </w:t>
      </w:r>
      <w:r w:rsidRPr="009617F5">
        <w:rPr>
          <w:rFonts w:ascii="Arial" w:hAnsi="Arial" w:cs="Arial"/>
          <w:noProof/>
          <w:color w:val="D60093"/>
          <w:sz w:val="22"/>
          <w:lang w:eastAsia="cs-CZ"/>
        </w:rPr>
        <w:drawing>
          <wp:inline distT="0" distB="0" distL="0" distR="0" wp14:anchorId="117C4017" wp14:editId="66B36ED2">
            <wp:extent cx="15875" cy="15875"/>
            <wp:effectExtent l="0" t="0" r="0" b="0"/>
            <wp:docPr id="25296" name="Obrázek 25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4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eastAsia="Calibri" w:hAnsi="Arial" w:cs="Arial"/>
          <w:color w:val="D60093"/>
          <w:sz w:val="22"/>
        </w:rPr>
        <w:t xml:space="preserve">půdy. Dále se uplatňuje jako součást metodiky 16/1995 Zásady navrhování územních </w:t>
      </w:r>
      <w:r w:rsidRPr="009617F5">
        <w:rPr>
          <w:rFonts w:ascii="Arial" w:hAnsi="Arial" w:cs="Arial"/>
          <w:noProof/>
          <w:color w:val="D60093"/>
          <w:sz w:val="22"/>
          <w:lang w:eastAsia="cs-CZ"/>
        </w:rPr>
        <w:drawing>
          <wp:inline distT="0" distB="0" distL="0" distR="0" wp14:anchorId="0CAF5E89" wp14:editId="3ECA64FE">
            <wp:extent cx="15875" cy="15875"/>
            <wp:effectExtent l="0" t="0" r="0" b="0"/>
            <wp:docPr id="25295" name="Obrázek 25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46"/>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Pr="009617F5">
        <w:rPr>
          <w:rFonts w:ascii="Arial" w:eastAsia="Calibri" w:hAnsi="Arial" w:cs="Arial"/>
          <w:color w:val="D60093"/>
          <w:sz w:val="22"/>
        </w:rPr>
        <w:t>systémů ekologické stability v rámci procesu pozemkových úprav a zejména v metodice pro zpracování jednoduchých a komplexních pozemkových úprav (dále JPÚ, KPÚ).</w:t>
      </w:r>
      <w:r w:rsidRPr="009617F5">
        <w:rPr>
          <w:rFonts w:ascii="Arial" w:hAnsi="Arial" w:cs="Arial"/>
          <w:noProof/>
          <w:color w:val="D60093"/>
          <w:sz w:val="22"/>
          <w:lang w:eastAsia="cs-CZ"/>
        </w:rPr>
        <w:drawing>
          <wp:inline distT="0" distB="0" distL="0" distR="0" wp14:anchorId="75913917" wp14:editId="5F4818DF">
            <wp:extent cx="15875" cy="15875"/>
            <wp:effectExtent l="0" t="0" r="0" b="0"/>
            <wp:docPr id="25294" name="Obrázek 25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47"/>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27A2F34F" w14:textId="77777777" w:rsidR="009617F5" w:rsidRPr="009617F5" w:rsidRDefault="009617F5" w:rsidP="009617F5">
      <w:pPr>
        <w:tabs>
          <w:tab w:val="left" w:pos="8931"/>
          <w:tab w:val="left" w:pos="9068"/>
        </w:tabs>
        <w:spacing w:line="276" w:lineRule="auto"/>
        <w:ind w:right="65"/>
        <w:rPr>
          <w:rFonts w:ascii="Arial" w:hAnsi="Arial" w:cs="Arial"/>
          <w:color w:val="D60093"/>
          <w:sz w:val="22"/>
        </w:rPr>
      </w:pPr>
      <w:r w:rsidRPr="009617F5">
        <w:rPr>
          <w:rFonts w:ascii="Arial" w:eastAsia="Calibri" w:hAnsi="Arial" w:cs="Arial"/>
          <w:color w:val="D60093"/>
          <w:sz w:val="22"/>
        </w:rPr>
        <w:t>Územní plán předpokládá zachování veškerých stávajících ploch s protierozní funkcí a doporučuje průběžné provádění pouze takových zásahů, které retenční schopnost území nenaruší.</w:t>
      </w:r>
    </w:p>
    <w:p w14:paraId="315CD513" w14:textId="77777777" w:rsidR="009617F5" w:rsidRPr="009617F5" w:rsidRDefault="009617F5" w:rsidP="009617F5">
      <w:pPr>
        <w:tabs>
          <w:tab w:val="left" w:pos="8931"/>
          <w:tab w:val="left" w:pos="9068"/>
        </w:tabs>
        <w:spacing w:after="36" w:line="276" w:lineRule="auto"/>
        <w:rPr>
          <w:rFonts w:ascii="Arial" w:hAnsi="Arial" w:cs="Arial"/>
          <w:color w:val="D60093"/>
          <w:sz w:val="22"/>
        </w:rPr>
      </w:pPr>
      <w:r w:rsidRPr="009617F5">
        <w:rPr>
          <w:rFonts w:ascii="Arial" w:eastAsia="Calibri" w:hAnsi="Arial" w:cs="Arial"/>
          <w:color w:val="D60093"/>
          <w:sz w:val="22"/>
        </w:rPr>
        <w:t>Ohrožení zemědělských půd řešeného území erozí je předběžně hodnoceno jako středně vysoké až vysoké.</w:t>
      </w:r>
    </w:p>
    <w:p w14:paraId="5166F64B" w14:textId="77777777" w:rsidR="009617F5" w:rsidRPr="009617F5" w:rsidRDefault="009617F5" w:rsidP="009617F5">
      <w:pPr>
        <w:tabs>
          <w:tab w:val="left" w:pos="8931"/>
          <w:tab w:val="left" w:pos="9068"/>
        </w:tabs>
        <w:spacing w:line="276" w:lineRule="auto"/>
        <w:rPr>
          <w:rFonts w:ascii="Arial" w:hAnsi="Arial" w:cs="Arial"/>
          <w:color w:val="D60093"/>
          <w:sz w:val="22"/>
        </w:rPr>
      </w:pPr>
      <w:r w:rsidRPr="009617F5">
        <w:rPr>
          <w:rFonts w:ascii="Arial" w:eastAsia="Calibri" w:hAnsi="Arial" w:cs="Arial"/>
          <w:color w:val="D60093"/>
          <w:sz w:val="22"/>
        </w:rPr>
        <w:t>Je doporučeno případné zásahy do ploch ZPF provádět tak aby byla posílena I protierozní funkce. Dále je doporučeno čištění příkopů a odstraňování splavenin od</w:t>
      </w:r>
    </w:p>
    <w:p w14:paraId="76038484" w14:textId="77777777" w:rsidR="009617F5" w:rsidRPr="009617F5" w:rsidRDefault="009617F5" w:rsidP="009617F5">
      <w:pPr>
        <w:tabs>
          <w:tab w:val="left" w:pos="8931"/>
          <w:tab w:val="left" w:pos="9068"/>
        </w:tabs>
        <w:spacing w:after="218" w:line="276" w:lineRule="auto"/>
        <w:ind w:right="79"/>
        <w:rPr>
          <w:rFonts w:ascii="Arial" w:hAnsi="Arial" w:cs="Arial"/>
          <w:color w:val="D60093"/>
          <w:sz w:val="22"/>
        </w:rPr>
      </w:pPr>
      <w:r w:rsidRPr="009617F5">
        <w:rPr>
          <w:rFonts w:ascii="Arial" w:eastAsia="Calibri" w:hAnsi="Arial" w:cs="Arial"/>
          <w:color w:val="D60093"/>
          <w:sz w:val="22"/>
        </w:rPr>
        <w:t>cest. V rámci budoucích projektů pozemkových úprav (JPÚ, KPÚ) dle zák. č. 221/1993 Sb. o pozemkových úpravách je požadováno důsledné vyhodnocení erozních poměrů a navržení protierozní ochrany pomocí souboru technických opatření proti vodní erozi na zemědělském půdním fondu v souladu s ČSN 75 450() Protierozní ochrana zemědělské půdy.</w:t>
      </w:r>
    </w:p>
    <w:p w14:paraId="7FFFC405" w14:textId="77777777" w:rsidR="009617F5" w:rsidRPr="009617F5" w:rsidRDefault="009617F5" w:rsidP="009617F5">
      <w:pPr>
        <w:pStyle w:val="Nadpis2"/>
        <w:tabs>
          <w:tab w:val="left" w:pos="8931"/>
          <w:tab w:val="left" w:pos="9068"/>
        </w:tabs>
        <w:spacing w:after="66" w:line="276" w:lineRule="auto"/>
        <w:jc w:val="both"/>
        <w:rPr>
          <w:rFonts w:ascii="Arial" w:hAnsi="Arial" w:cs="Arial"/>
          <w:b/>
          <w:color w:val="D60093"/>
          <w:sz w:val="22"/>
          <w:szCs w:val="24"/>
        </w:rPr>
      </w:pPr>
      <w:r w:rsidRPr="009617F5">
        <w:rPr>
          <w:rFonts w:ascii="Arial" w:hAnsi="Arial" w:cs="Arial"/>
          <w:b/>
          <w:color w:val="D60093"/>
          <w:sz w:val="22"/>
          <w:szCs w:val="24"/>
        </w:rPr>
        <w:t>10. PODKLADY</w:t>
      </w:r>
    </w:p>
    <w:p w14:paraId="120FEEA1" w14:textId="77777777" w:rsidR="009617F5" w:rsidRPr="009617F5" w:rsidRDefault="009617F5" w:rsidP="009617F5">
      <w:pPr>
        <w:tabs>
          <w:tab w:val="left" w:pos="8931"/>
          <w:tab w:val="left" w:pos="9068"/>
        </w:tabs>
        <w:spacing w:line="276" w:lineRule="auto"/>
        <w:ind w:right="1195"/>
        <w:rPr>
          <w:rFonts w:ascii="Arial" w:hAnsi="Arial" w:cs="Arial"/>
          <w:color w:val="D60093"/>
          <w:sz w:val="22"/>
        </w:rPr>
      </w:pPr>
      <w:r w:rsidRPr="009617F5">
        <w:rPr>
          <w:rFonts w:ascii="Arial" w:eastAsia="Calibri" w:hAnsi="Arial" w:cs="Arial"/>
          <w:color w:val="D60093"/>
          <w:sz w:val="22"/>
        </w:rPr>
        <w:t>Uzemní plán Děčín. 2002 a Zadání 6. změny UP M Děčína.</w:t>
      </w:r>
    </w:p>
    <w:p w14:paraId="08423EE1" w14:textId="77777777" w:rsidR="009617F5" w:rsidRPr="009617F5" w:rsidRDefault="009617F5" w:rsidP="009617F5">
      <w:pPr>
        <w:tabs>
          <w:tab w:val="decimal" w:pos="72"/>
          <w:tab w:val="decimal" w:pos="144"/>
          <w:tab w:val="right" w:pos="2679"/>
        </w:tabs>
        <w:spacing w:before="36" w:line="276" w:lineRule="auto"/>
        <w:ind w:left="72"/>
        <w:jc w:val="both"/>
        <w:rPr>
          <w:rFonts w:ascii="Arial" w:hAnsi="Arial" w:cs="Arial"/>
          <w:b/>
          <w:color w:val="D60093"/>
          <w:spacing w:val="3"/>
        </w:rPr>
      </w:pPr>
    </w:p>
    <w:p w14:paraId="7072ED8A" w14:textId="77777777" w:rsidR="009617F5" w:rsidRPr="009617F5" w:rsidRDefault="009617F5" w:rsidP="009617F5">
      <w:pPr>
        <w:tabs>
          <w:tab w:val="decimal" w:pos="72"/>
          <w:tab w:val="decimal" w:pos="144"/>
          <w:tab w:val="right" w:pos="2679"/>
        </w:tabs>
        <w:spacing w:before="36" w:line="276" w:lineRule="auto"/>
        <w:jc w:val="both"/>
        <w:rPr>
          <w:rFonts w:ascii="Arial" w:hAnsi="Arial" w:cs="Arial"/>
          <w:b/>
          <w:color w:val="FF0000"/>
          <w:spacing w:val="3"/>
        </w:rPr>
      </w:pPr>
      <w:r w:rsidRPr="009617F5">
        <w:rPr>
          <w:rFonts w:ascii="Arial" w:hAnsi="Arial" w:cs="Arial"/>
          <w:b/>
          <w:color w:val="FF0000"/>
          <w:spacing w:val="3"/>
        </w:rPr>
        <w:t xml:space="preserve">(Z8) VYHODNOCENÍ PŘEDPOKLÁDANÝCH DŮSLEDKŮ NAVRHOVANÉHO ŘEŠENÍ NA ZEMĚDĚLSKÝ PŮDNÍ FOND A POZEMKY URČENÉ K PLNĚNÍ FUNKCE LESA </w:t>
      </w:r>
      <w:r w:rsidRPr="009617F5">
        <w:rPr>
          <w:rFonts w:ascii="Arial" w:hAnsi="Arial" w:cs="Arial"/>
          <w:b/>
          <w:color w:val="FF0000"/>
        </w:rPr>
        <w:t>(TEXT PŘEVZAT Z ODŮVODNĚNÍ ZMĚNY Č. 8)</w:t>
      </w:r>
    </w:p>
    <w:p w14:paraId="040FC2FE"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(dle příl. č.3 k vyhlášce 13/1994 Sb. o ochraně půdního fondu a Společného metodického doporučení Odboru územního plánování MMR a Odboru ochrany  horninového a půdního prostředí MŽP z července 2011.)</w:t>
      </w:r>
    </w:p>
    <w:p w14:paraId="6BB8477D"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V nezastavěném území lze v souladu s jeho charakterem umisťovat stavby, zařízení, a jiná opatření pouze pro zemědělství, lesnictví, vodní hospodářství, těžbu nerostů, pro ochranu přírody a krajiny, pro veřejnou dopravní a technickou infrastrukturu, pro snižování nebezpečí ekologických a přírodních katastrof a pro odstraňování jejich důsledků, a dále taková technická opatření a stavby, které zlepší podmínky jeho využití pro účely rekreace a cestovního ruchu, například cyklistické stezky, hygienická zařízení, ekologická a informační centra. Uvedené stavby, zařízení a jiná opatření včetně staveb, které s nimi bezprostředně souvisejí včetně oplocení, lze v nezastavěném území umisťovat.</w:t>
      </w:r>
    </w:p>
    <w:p w14:paraId="179B6F9D"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Územně plánovací dokumentace tyto stavby nevylučuje.</w:t>
      </w:r>
    </w:p>
    <w:p w14:paraId="41158E69" w14:textId="77777777" w:rsidR="009617F5" w:rsidRPr="009617F5" w:rsidRDefault="009617F5" w:rsidP="009617F5">
      <w:pPr>
        <w:rPr>
          <w:rFonts w:ascii="Arial" w:hAnsi="Arial" w:cs="Arial"/>
          <w:bCs/>
          <w:color w:val="FF0000"/>
          <w:sz w:val="22"/>
          <w:u w:val="single"/>
        </w:rPr>
      </w:pPr>
    </w:p>
    <w:p w14:paraId="73052AB5" w14:textId="77777777" w:rsidR="009617F5" w:rsidRPr="009617F5" w:rsidRDefault="009617F5" w:rsidP="009617F5">
      <w:pPr>
        <w:rPr>
          <w:rFonts w:ascii="Arial" w:hAnsi="Arial" w:cs="Arial"/>
          <w:bCs/>
          <w:color w:val="FF0000"/>
          <w:sz w:val="22"/>
          <w:u w:val="single"/>
        </w:rPr>
      </w:pPr>
      <w:r w:rsidRPr="009617F5">
        <w:rPr>
          <w:rFonts w:ascii="Arial" w:hAnsi="Arial" w:cs="Arial"/>
          <w:bCs/>
          <w:color w:val="FF0000"/>
          <w:sz w:val="22"/>
          <w:u w:val="single"/>
        </w:rPr>
        <w:t>Osnova</w:t>
      </w:r>
      <w:r w:rsidRPr="009617F5">
        <w:rPr>
          <w:rFonts w:ascii="Arial" w:hAnsi="Arial" w:cs="Arial"/>
          <w:color w:val="FF0000"/>
          <w:sz w:val="22"/>
          <w:u w:val="single"/>
        </w:rPr>
        <w:t xml:space="preserve"> vyhodnocení předpokládaných důsledků navrhovaného řešení</w:t>
      </w:r>
      <w:r w:rsidRPr="009617F5">
        <w:rPr>
          <w:rFonts w:ascii="Arial" w:hAnsi="Arial" w:cs="Arial"/>
          <w:bCs/>
          <w:color w:val="FF0000"/>
          <w:sz w:val="22"/>
          <w:u w:val="single"/>
        </w:rPr>
        <w:t>:</w:t>
      </w:r>
    </w:p>
    <w:p w14:paraId="2844566B" w14:textId="77777777" w:rsidR="009617F5" w:rsidRPr="009617F5" w:rsidRDefault="009617F5" w:rsidP="009617F5">
      <w:pPr>
        <w:rPr>
          <w:rFonts w:ascii="Arial" w:hAnsi="Arial" w:cs="Arial"/>
          <w:color w:val="FF0000"/>
          <w:sz w:val="22"/>
        </w:rPr>
      </w:pPr>
      <w:bookmarkStart w:id="23" w:name="_Toc354376724"/>
      <w:r w:rsidRPr="009617F5">
        <w:rPr>
          <w:rFonts w:ascii="Arial" w:hAnsi="Arial" w:cs="Arial"/>
          <w:color w:val="FF0000"/>
          <w:sz w:val="22"/>
        </w:rPr>
        <w:t>1. ÚDAJE O POZEMCÍCH DOTČENÉ PŮDY</w:t>
      </w:r>
      <w:bookmarkEnd w:id="23"/>
    </w:p>
    <w:p w14:paraId="60B419AA" w14:textId="77777777" w:rsidR="009617F5" w:rsidRPr="009617F5" w:rsidRDefault="009617F5" w:rsidP="009617F5">
      <w:pPr>
        <w:ind w:left="1416"/>
        <w:rPr>
          <w:rFonts w:ascii="Arial" w:hAnsi="Arial" w:cs="Arial"/>
          <w:bCs/>
          <w:color w:val="FF0000"/>
          <w:sz w:val="22"/>
        </w:rPr>
      </w:pPr>
      <w:r w:rsidRPr="009617F5">
        <w:rPr>
          <w:rFonts w:ascii="Arial" w:hAnsi="Arial" w:cs="Arial"/>
          <w:bCs/>
          <w:color w:val="FF0000"/>
          <w:sz w:val="22"/>
        </w:rPr>
        <w:t xml:space="preserve">Celkový rozsah ploch určených k rozvoji </w:t>
      </w:r>
    </w:p>
    <w:p w14:paraId="784983F1" w14:textId="77777777" w:rsidR="009617F5" w:rsidRPr="009617F5" w:rsidRDefault="009617F5" w:rsidP="009617F5">
      <w:pPr>
        <w:ind w:left="1416"/>
        <w:rPr>
          <w:rFonts w:ascii="Arial" w:hAnsi="Arial" w:cs="Arial"/>
          <w:bCs/>
          <w:color w:val="FF0000"/>
          <w:sz w:val="22"/>
        </w:rPr>
      </w:pPr>
      <w:r w:rsidRPr="009617F5">
        <w:rPr>
          <w:rFonts w:ascii="Arial" w:hAnsi="Arial" w:cs="Arial"/>
          <w:bCs/>
          <w:color w:val="FF0000"/>
          <w:sz w:val="22"/>
        </w:rPr>
        <w:t xml:space="preserve">Podíl ZPF v plochách určených k rozvoji </w:t>
      </w:r>
    </w:p>
    <w:p w14:paraId="3757B80D" w14:textId="77777777" w:rsidR="009617F5" w:rsidRPr="009617F5" w:rsidRDefault="009617F5" w:rsidP="009617F5">
      <w:pPr>
        <w:ind w:left="1416"/>
        <w:rPr>
          <w:rFonts w:ascii="Arial" w:hAnsi="Arial" w:cs="Arial"/>
          <w:bCs/>
          <w:color w:val="FF0000"/>
          <w:sz w:val="22"/>
        </w:rPr>
      </w:pPr>
      <w:r w:rsidRPr="009617F5">
        <w:rPr>
          <w:rFonts w:ascii="Arial" w:hAnsi="Arial" w:cs="Arial"/>
          <w:bCs/>
          <w:color w:val="FF0000"/>
          <w:sz w:val="22"/>
        </w:rPr>
        <w:t xml:space="preserve">Údaje o druhu pozemků ZPF určených k zástavbě </w:t>
      </w:r>
    </w:p>
    <w:p w14:paraId="3B3C9C2C" w14:textId="77777777" w:rsidR="009617F5" w:rsidRPr="009617F5" w:rsidRDefault="009617F5" w:rsidP="009617F5">
      <w:pPr>
        <w:ind w:left="1416"/>
        <w:rPr>
          <w:rFonts w:ascii="Arial" w:hAnsi="Arial" w:cs="Arial"/>
          <w:bCs/>
          <w:color w:val="FF0000"/>
          <w:sz w:val="22"/>
        </w:rPr>
      </w:pPr>
      <w:r w:rsidRPr="009617F5">
        <w:rPr>
          <w:rFonts w:ascii="Arial" w:hAnsi="Arial" w:cs="Arial"/>
          <w:bCs/>
          <w:color w:val="FF0000"/>
          <w:sz w:val="22"/>
        </w:rPr>
        <w:t xml:space="preserve">Údaje o zařazení zemědělské půdy do BPEJ, třídě ochrany ZPF  </w:t>
      </w:r>
    </w:p>
    <w:p w14:paraId="1F400879" w14:textId="77777777" w:rsidR="009617F5" w:rsidRPr="009617F5" w:rsidRDefault="009617F5" w:rsidP="009617F5">
      <w:pPr>
        <w:rPr>
          <w:rFonts w:ascii="Arial" w:hAnsi="Arial" w:cs="Arial"/>
          <w:color w:val="FF0000"/>
          <w:sz w:val="22"/>
        </w:rPr>
      </w:pPr>
      <w:bookmarkStart w:id="24" w:name="_Toc354376725"/>
      <w:r w:rsidRPr="009617F5">
        <w:rPr>
          <w:rFonts w:ascii="Arial" w:hAnsi="Arial" w:cs="Arial"/>
          <w:color w:val="FF0000"/>
          <w:sz w:val="22"/>
        </w:rPr>
        <w:t>2. ÚDAJE O USKUTEČNĚNÝCH INVESTICÍCH DO PŮDY</w:t>
      </w:r>
      <w:bookmarkEnd w:id="24"/>
    </w:p>
    <w:p w14:paraId="7691BE2E" w14:textId="77777777" w:rsidR="009617F5" w:rsidRPr="009617F5" w:rsidRDefault="009617F5" w:rsidP="009617F5">
      <w:pPr>
        <w:rPr>
          <w:rFonts w:ascii="Arial" w:hAnsi="Arial" w:cs="Arial"/>
          <w:color w:val="FF0000"/>
          <w:sz w:val="22"/>
        </w:rPr>
      </w:pPr>
      <w:bookmarkStart w:id="25" w:name="_Toc354376726"/>
      <w:r w:rsidRPr="009617F5">
        <w:rPr>
          <w:rFonts w:ascii="Arial" w:hAnsi="Arial" w:cs="Arial"/>
          <w:color w:val="FF0000"/>
          <w:sz w:val="22"/>
        </w:rPr>
        <w:t>3. ÚDAJE O AREÁLECH A OBJEKTECH ZEMĚDĚLSKÉ VÝROBY</w:t>
      </w:r>
      <w:bookmarkEnd w:id="25"/>
    </w:p>
    <w:p w14:paraId="5039DBB4" w14:textId="77777777" w:rsidR="009617F5" w:rsidRPr="009617F5" w:rsidRDefault="009617F5" w:rsidP="009617F5">
      <w:pPr>
        <w:rPr>
          <w:rFonts w:ascii="Arial" w:hAnsi="Arial" w:cs="Arial"/>
          <w:color w:val="FF0000"/>
          <w:sz w:val="22"/>
        </w:rPr>
      </w:pPr>
      <w:bookmarkStart w:id="26" w:name="_Toc354376727"/>
      <w:r w:rsidRPr="009617F5">
        <w:rPr>
          <w:rFonts w:ascii="Arial" w:hAnsi="Arial" w:cs="Arial"/>
          <w:color w:val="FF0000"/>
          <w:sz w:val="22"/>
        </w:rPr>
        <w:t>4. ÚDAJE O USPOŘÁDÁNÍ ZPF V ÚZEMÍ, ÚSES</w:t>
      </w:r>
      <w:bookmarkEnd w:id="26"/>
    </w:p>
    <w:p w14:paraId="56AE5EEF" w14:textId="77777777" w:rsidR="009617F5" w:rsidRPr="009617F5" w:rsidRDefault="009617F5" w:rsidP="009617F5">
      <w:pPr>
        <w:rPr>
          <w:rFonts w:ascii="Arial" w:hAnsi="Arial" w:cs="Arial"/>
          <w:color w:val="FF0000"/>
          <w:sz w:val="22"/>
        </w:rPr>
      </w:pPr>
      <w:bookmarkStart w:id="27" w:name="_Toc354376728"/>
      <w:r w:rsidRPr="009617F5">
        <w:rPr>
          <w:rFonts w:ascii="Arial" w:hAnsi="Arial" w:cs="Arial"/>
          <w:color w:val="FF0000"/>
          <w:sz w:val="22"/>
        </w:rPr>
        <w:t>5. HRANICE ÚZEMNÍCH OBVODŮ A KATASTRÁLNÍCH ÚZEMÍ</w:t>
      </w:r>
      <w:bookmarkEnd w:id="27"/>
      <w:r w:rsidRPr="009617F5">
        <w:rPr>
          <w:rFonts w:ascii="Arial" w:hAnsi="Arial" w:cs="Arial"/>
          <w:color w:val="FF0000"/>
          <w:sz w:val="22"/>
        </w:rPr>
        <w:tab/>
      </w:r>
    </w:p>
    <w:p w14:paraId="7A7CC8CB" w14:textId="77777777" w:rsidR="009617F5" w:rsidRPr="009617F5" w:rsidRDefault="009617F5" w:rsidP="009617F5">
      <w:pPr>
        <w:rPr>
          <w:rFonts w:ascii="Arial" w:hAnsi="Arial" w:cs="Arial"/>
          <w:color w:val="FF0000"/>
          <w:sz w:val="22"/>
        </w:rPr>
      </w:pPr>
      <w:bookmarkStart w:id="28" w:name="_Toc354376729"/>
      <w:r w:rsidRPr="009617F5">
        <w:rPr>
          <w:rFonts w:ascii="Arial" w:hAnsi="Arial" w:cs="Arial"/>
          <w:color w:val="FF0000"/>
          <w:sz w:val="22"/>
        </w:rPr>
        <w:t>6. ZDŮVODNĚNÍ NAVRHOVANÉHO ŘEŠENÍ</w:t>
      </w:r>
      <w:bookmarkEnd w:id="28"/>
    </w:p>
    <w:p w14:paraId="20300903" w14:textId="77777777" w:rsidR="009617F5" w:rsidRPr="009617F5" w:rsidRDefault="009617F5" w:rsidP="009617F5">
      <w:pPr>
        <w:rPr>
          <w:rFonts w:ascii="Arial" w:hAnsi="Arial" w:cs="Arial"/>
          <w:color w:val="FF0000"/>
          <w:sz w:val="22"/>
        </w:rPr>
      </w:pPr>
      <w:bookmarkStart w:id="29" w:name="_Toc354376730"/>
      <w:r w:rsidRPr="009617F5">
        <w:rPr>
          <w:rFonts w:ascii="Arial" w:hAnsi="Arial" w:cs="Arial"/>
          <w:color w:val="FF0000"/>
          <w:sz w:val="22"/>
        </w:rPr>
        <w:t>7. HRANICE SOUČASNĚ ZASTAVĚNÉHO ÚZEMÍ A POZEMKOVÁ DRŽBA</w:t>
      </w:r>
      <w:bookmarkEnd w:id="29"/>
    </w:p>
    <w:p w14:paraId="6DD675E7" w14:textId="77777777" w:rsidR="009617F5" w:rsidRPr="009617F5" w:rsidRDefault="009617F5" w:rsidP="009617F5">
      <w:pPr>
        <w:rPr>
          <w:rFonts w:ascii="Arial" w:hAnsi="Arial" w:cs="Arial"/>
          <w:color w:val="FF0000"/>
          <w:sz w:val="22"/>
        </w:rPr>
      </w:pPr>
      <w:bookmarkStart w:id="30" w:name="_Toc354376731"/>
      <w:r w:rsidRPr="009617F5">
        <w:rPr>
          <w:rFonts w:ascii="Arial" w:hAnsi="Arial" w:cs="Arial"/>
          <w:color w:val="FF0000"/>
          <w:sz w:val="22"/>
        </w:rPr>
        <w:t>8. PROTIEROZNÍ OCHRANA</w:t>
      </w:r>
      <w:bookmarkEnd w:id="30"/>
      <w:r w:rsidRPr="009617F5">
        <w:rPr>
          <w:rFonts w:ascii="Arial" w:hAnsi="Arial" w:cs="Arial"/>
          <w:color w:val="FF0000"/>
          <w:sz w:val="22"/>
        </w:rPr>
        <w:tab/>
      </w:r>
    </w:p>
    <w:p w14:paraId="57761980" w14:textId="77777777" w:rsidR="009617F5" w:rsidRPr="009617F5" w:rsidRDefault="009617F5" w:rsidP="009617F5">
      <w:pPr>
        <w:rPr>
          <w:rFonts w:ascii="Arial" w:hAnsi="Arial" w:cs="Arial"/>
          <w:color w:val="FF0000"/>
          <w:sz w:val="22"/>
        </w:rPr>
      </w:pPr>
      <w:bookmarkStart w:id="31" w:name="_Toc354376732"/>
      <w:r w:rsidRPr="009617F5">
        <w:rPr>
          <w:rFonts w:ascii="Arial" w:hAnsi="Arial" w:cs="Arial"/>
          <w:color w:val="FF0000"/>
          <w:sz w:val="22"/>
        </w:rPr>
        <w:t>9. PODKLADY</w:t>
      </w:r>
      <w:bookmarkEnd w:id="31"/>
    </w:p>
    <w:p w14:paraId="68BD23A1" w14:textId="77777777" w:rsidR="009617F5" w:rsidRPr="009617F5" w:rsidRDefault="009617F5" w:rsidP="009617F5">
      <w:pPr>
        <w:rPr>
          <w:rFonts w:ascii="Arial" w:hAnsi="Arial" w:cs="Arial"/>
          <w:color w:val="FF0000"/>
          <w:sz w:val="22"/>
        </w:rPr>
      </w:pPr>
    </w:p>
    <w:p w14:paraId="3B0CD96A" w14:textId="77777777" w:rsidR="009617F5" w:rsidRPr="009617F5" w:rsidRDefault="009617F5" w:rsidP="009617F5">
      <w:pPr>
        <w:pStyle w:val="Sty3"/>
        <w:rPr>
          <w:rFonts w:cs="Arial"/>
          <w:color w:val="FF0000"/>
          <w:sz w:val="20"/>
        </w:rPr>
      </w:pPr>
      <w:bookmarkStart w:id="32" w:name="_Toc358720207"/>
      <w:r w:rsidRPr="009617F5">
        <w:rPr>
          <w:rFonts w:cs="Arial"/>
          <w:color w:val="FF0000"/>
          <w:sz w:val="20"/>
        </w:rPr>
        <w:t>1. ÚDAJE O POZEMCÍCH DOTČENÉ PŮDY</w:t>
      </w:r>
      <w:bookmarkEnd w:id="32"/>
    </w:p>
    <w:p w14:paraId="76FD8FFF" w14:textId="77777777" w:rsidR="009617F5" w:rsidRPr="009617F5" w:rsidRDefault="009617F5" w:rsidP="009617F5">
      <w:pPr>
        <w:rPr>
          <w:rFonts w:ascii="Arial" w:hAnsi="Arial" w:cs="Arial"/>
          <w:b/>
          <w:color w:val="FF0000"/>
          <w:sz w:val="22"/>
        </w:rPr>
      </w:pPr>
    </w:p>
    <w:p w14:paraId="788A1754"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t xml:space="preserve">REKAPITULACE:                </w:t>
      </w:r>
    </w:p>
    <w:p w14:paraId="64ADEEB8" w14:textId="77777777" w:rsidR="009617F5" w:rsidRPr="009617F5" w:rsidRDefault="009617F5" w:rsidP="009617F5">
      <w:pPr>
        <w:rPr>
          <w:rFonts w:ascii="Arial" w:hAnsi="Arial" w:cs="Arial"/>
          <w:color w:val="FF0000"/>
          <w:sz w:val="22"/>
          <w:highlight w:val="lightGray"/>
        </w:rPr>
      </w:pPr>
    </w:p>
    <w:p w14:paraId="7FABF6C3" w14:textId="77777777" w:rsidR="009617F5" w:rsidRPr="009617F5" w:rsidRDefault="009617F5" w:rsidP="009617F5">
      <w:pPr>
        <w:rPr>
          <w:rFonts w:ascii="Arial" w:hAnsi="Arial" w:cs="Arial"/>
          <w:color w:val="FF0000"/>
          <w:sz w:val="22"/>
        </w:rPr>
      </w:pPr>
      <w:bookmarkStart w:id="33" w:name="_Toc354376733"/>
      <w:r w:rsidRPr="009617F5">
        <w:rPr>
          <w:rFonts w:ascii="Arial" w:hAnsi="Arial" w:cs="Arial"/>
          <w:b/>
          <w:color w:val="FF0000"/>
          <w:sz w:val="22"/>
        </w:rPr>
        <w:t>celková výměra</w:t>
      </w:r>
      <w:r w:rsidRPr="009617F5">
        <w:rPr>
          <w:rFonts w:ascii="Arial" w:hAnsi="Arial" w:cs="Arial"/>
          <w:color w:val="FF0000"/>
          <w:sz w:val="22"/>
        </w:rPr>
        <w:t xml:space="preserve"> rozvojových ploch</w:t>
      </w:r>
      <w:r w:rsidRPr="009617F5">
        <w:rPr>
          <w:rFonts w:ascii="Arial" w:hAnsi="Arial" w:cs="Arial"/>
          <w:color w:val="FF0000"/>
          <w:sz w:val="22"/>
        </w:rPr>
        <w:tab/>
      </w:r>
      <w:r w:rsidRPr="009617F5">
        <w:rPr>
          <w:rFonts w:ascii="Arial" w:hAnsi="Arial" w:cs="Arial"/>
          <w:color w:val="FF0000"/>
          <w:sz w:val="22"/>
        </w:rPr>
        <w:tab/>
      </w:r>
      <w:r w:rsidRPr="009617F5">
        <w:rPr>
          <w:rFonts w:ascii="Arial" w:hAnsi="Arial" w:cs="Arial"/>
          <w:color w:val="FF0000"/>
          <w:sz w:val="22"/>
        </w:rPr>
        <w:tab/>
      </w:r>
      <w:r w:rsidRPr="009617F5">
        <w:rPr>
          <w:rFonts w:ascii="Arial" w:hAnsi="Arial" w:cs="Arial"/>
          <w:color w:val="FF0000"/>
          <w:sz w:val="22"/>
        </w:rPr>
        <w:tab/>
      </w:r>
      <w:r w:rsidRPr="009617F5">
        <w:rPr>
          <w:rFonts w:ascii="Arial" w:hAnsi="Arial" w:cs="Arial"/>
          <w:b/>
          <w:color w:val="FF0000"/>
          <w:sz w:val="22"/>
        </w:rPr>
        <w:t xml:space="preserve">11,5116 </w:t>
      </w:r>
      <w:r w:rsidRPr="009617F5">
        <w:rPr>
          <w:rFonts w:ascii="Arial" w:hAnsi="Arial" w:cs="Arial"/>
          <w:color w:val="FF0000"/>
          <w:sz w:val="22"/>
        </w:rPr>
        <w:t>ha</w:t>
      </w:r>
    </w:p>
    <w:p w14:paraId="03268297"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z toho nepodléhá vyhodnocení</w:t>
      </w:r>
      <w:r w:rsidRPr="009617F5">
        <w:rPr>
          <w:rFonts w:ascii="Arial" w:hAnsi="Arial" w:cs="Arial"/>
          <w:color w:val="FF0000"/>
          <w:sz w:val="22"/>
        </w:rPr>
        <w:tab/>
      </w:r>
      <w:r w:rsidRPr="009617F5">
        <w:rPr>
          <w:rFonts w:ascii="Arial" w:hAnsi="Arial" w:cs="Arial"/>
          <w:color w:val="FF0000"/>
          <w:sz w:val="22"/>
        </w:rPr>
        <w:tab/>
        <w:t xml:space="preserve">  </w:t>
      </w:r>
      <w:r w:rsidRPr="009617F5">
        <w:rPr>
          <w:rFonts w:ascii="Arial" w:hAnsi="Arial" w:cs="Arial"/>
          <w:color w:val="FF0000"/>
          <w:sz w:val="22"/>
        </w:rPr>
        <w:tab/>
        <w:t xml:space="preserve">                  1,96 ha</w:t>
      </w:r>
    </w:p>
    <w:p w14:paraId="776C961F" w14:textId="77777777" w:rsidR="009617F5" w:rsidRPr="009617F5" w:rsidRDefault="009617F5" w:rsidP="009617F5">
      <w:pPr>
        <w:rPr>
          <w:rFonts w:ascii="Arial" w:hAnsi="Arial" w:cs="Arial"/>
          <w:bCs/>
          <w:color w:val="FF0000"/>
          <w:sz w:val="22"/>
        </w:rPr>
      </w:pPr>
    </w:p>
    <w:p w14:paraId="1BC8171B" w14:textId="77777777" w:rsidR="009617F5" w:rsidRPr="009617F5" w:rsidRDefault="009617F5" w:rsidP="009617F5">
      <w:pPr>
        <w:rPr>
          <w:rFonts w:ascii="Arial" w:hAnsi="Arial" w:cs="Arial"/>
          <w:color w:val="FF0000"/>
          <w:sz w:val="22"/>
        </w:rPr>
      </w:pPr>
      <w:r w:rsidRPr="009617F5">
        <w:rPr>
          <w:rFonts w:ascii="Arial" w:hAnsi="Arial" w:cs="Arial"/>
          <w:b/>
          <w:color w:val="FF0000"/>
          <w:sz w:val="22"/>
        </w:rPr>
        <w:t>výměra ZPF</w:t>
      </w:r>
      <w:r w:rsidRPr="009617F5">
        <w:rPr>
          <w:rFonts w:ascii="Arial" w:hAnsi="Arial" w:cs="Arial"/>
          <w:color w:val="FF0000"/>
          <w:sz w:val="22"/>
        </w:rPr>
        <w:t xml:space="preserve"> v plochách podléhajících vyhodnocení  </w:t>
      </w:r>
      <w:r w:rsidRPr="009617F5">
        <w:rPr>
          <w:rFonts w:ascii="Arial" w:hAnsi="Arial" w:cs="Arial"/>
          <w:color w:val="FF0000"/>
          <w:sz w:val="22"/>
        </w:rPr>
        <w:tab/>
        <w:t>9,5516 ha</w:t>
      </w:r>
      <w:r w:rsidRPr="009617F5">
        <w:rPr>
          <w:rFonts w:ascii="Arial" w:hAnsi="Arial" w:cs="Arial"/>
          <w:color w:val="FF0000"/>
          <w:sz w:val="22"/>
        </w:rPr>
        <w:tab/>
      </w:r>
      <w:r w:rsidRPr="009617F5">
        <w:rPr>
          <w:rFonts w:ascii="Arial" w:hAnsi="Arial" w:cs="Arial"/>
          <w:color w:val="FF0000"/>
          <w:sz w:val="22"/>
        </w:rPr>
        <w:tab/>
      </w:r>
    </w:p>
    <w:p w14:paraId="662B2A51" w14:textId="77777777" w:rsidR="009617F5" w:rsidRPr="009617F5" w:rsidRDefault="009617F5" w:rsidP="009617F5">
      <w:pPr>
        <w:rPr>
          <w:rFonts w:ascii="Arial" w:hAnsi="Arial" w:cs="Arial"/>
          <w:bCs/>
          <w:color w:val="FF0000"/>
          <w:sz w:val="22"/>
        </w:rPr>
      </w:pPr>
      <w:r w:rsidRPr="009617F5">
        <w:rPr>
          <w:rFonts w:ascii="Arial" w:hAnsi="Arial" w:cs="Arial"/>
          <w:bCs/>
          <w:color w:val="FF0000"/>
          <w:sz w:val="22"/>
        </w:rPr>
        <w:t>ZPF podléhající vyhodnocení uvnitř ZÚ:</w:t>
      </w:r>
      <w:r w:rsidRPr="009617F5">
        <w:rPr>
          <w:rFonts w:ascii="Arial" w:hAnsi="Arial" w:cs="Arial"/>
          <w:bCs/>
          <w:color w:val="FF0000"/>
          <w:sz w:val="22"/>
        </w:rPr>
        <w:tab/>
      </w:r>
      <w:r w:rsidRPr="009617F5">
        <w:rPr>
          <w:rFonts w:ascii="Arial" w:hAnsi="Arial" w:cs="Arial"/>
          <w:bCs/>
          <w:color w:val="FF0000"/>
          <w:sz w:val="22"/>
        </w:rPr>
        <w:tab/>
        <w:t xml:space="preserve">   </w:t>
      </w:r>
      <w:r w:rsidRPr="009617F5">
        <w:rPr>
          <w:rFonts w:ascii="Arial" w:hAnsi="Arial" w:cs="Arial"/>
          <w:bCs/>
          <w:color w:val="FF0000"/>
          <w:sz w:val="22"/>
        </w:rPr>
        <w:tab/>
        <w:t xml:space="preserve">       0,0 ha</w:t>
      </w:r>
    </w:p>
    <w:p w14:paraId="21035885" w14:textId="77777777" w:rsidR="009617F5" w:rsidRPr="009617F5" w:rsidRDefault="009617F5" w:rsidP="009617F5">
      <w:pPr>
        <w:rPr>
          <w:rFonts w:ascii="Arial" w:hAnsi="Arial" w:cs="Arial"/>
          <w:color w:val="FF0000"/>
          <w:sz w:val="22"/>
        </w:rPr>
      </w:pPr>
      <w:r w:rsidRPr="009617F5">
        <w:rPr>
          <w:rFonts w:ascii="Arial" w:hAnsi="Arial" w:cs="Arial"/>
          <w:bCs/>
          <w:color w:val="FF0000"/>
          <w:sz w:val="22"/>
        </w:rPr>
        <w:t>ZPF vně ZÚ:</w:t>
      </w:r>
      <w:r w:rsidRPr="009617F5">
        <w:rPr>
          <w:rFonts w:ascii="Arial" w:hAnsi="Arial" w:cs="Arial"/>
          <w:bCs/>
          <w:color w:val="FF0000"/>
          <w:sz w:val="22"/>
        </w:rPr>
        <w:tab/>
      </w:r>
      <w:r w:rsidRPr="009617F5">
        <w:rPr>
          <w:rFonts w:ascii="Arial" w:hAnsi="Arial" w:cs="Arial"/>
          <w:bCs/>
          <w:color w:val="FF0000"/>
          <w:sz w:val="22"/>
        </w:rPr>
        <w:tab/>
      </w:r>
      <w:r w:rsidRPr="009617F5">
        <w:rPr>
          <w:rFonts w:ascii="Arial" w:hAnsi="Arial" w:cs="Arial"/>
          <w:bCs/>
          <w:color w:val="FF0000"/>
          <w:sz w:val="22"/>
        </w:rPr>
        <w:tab/>
      </w:r>
      <w:r w:rsidRPr="009617F5">
        <w:rPr>
          <w:rFonts w:ascii="Arial" w:hAnsi="Arial" w:cs="Arial"/>
          <w:bCs/>
          <w:color w:val="FF0000"/>
          <w:sz w:val="22"/>
        </w:rPr>
        <w:tab/>
      </w:r>
      <w:r w:rsidRPr="009617F5">
        <w:rPr>
          <w:rFonts w:ascii="Arial" w:hAnsi="Arial" w:cs="Arial"/>
          <w:bCs/>
          <w:color w:val="FF0000"/>
          <w:sz w:val="22"/>
        </w:rPr>
        <w:tab/>
        <w:t xml:space="preserve"> </w:t>
      </w:r>
      <w:r w:rsidRPr="009617F5">
        <w:rPr>
          <w:rFonts w:ascii="Arial" w:hAnsi="Arial" w:cs="Arial"/>
          <w:bCs/>
          <w:color w:val="FF0000"/>
          <w:sz w:val="22"/>
        </w:rPr>
        <w:tab/>
      </w:r>
      <w:r w:rsidRPr="009617F5">
        <w:rPr>
          <w:rFonts w:ascii="Arial" w:hAnsi="Arial" w:cs="Arial"/>
          <w:bCs/>
          <w:color w:val="FF0000"/>
          <w:sz w:val="22"/>
        </w:rPr>
        <w:tab/>
      </w:r>
      <w:r w:rsidRPr="009617F5">
        <w:rPr>
          <w:rFonts w:ascii="Arial" w:hAnsi="Arial" w:cs="Arial"/>
          <w:color w:val="FF0000"/>
          <w:sz w:val="22"/>
        </w:rPr>
        <w:t>9,5516 ha</w:t>
      </w:r>
    </w:p>
    <w:p w14:paraId="186799CB"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výměra půd I.tř. ochrany</w:t>
      </w:r>
      <w:r w:rsidRPr="009617F5">
        <w:rPr>
          <w:rFonts w:ascii="Arial" w:hAnsi="Arial" w:cs="Arial"/>
          <w:color w:val="FF0000"/>
          <w:sz w:val="22"/>
        </w:rPr>
        <w:tab/>
      </w:r>
      <w:r w:rsidRPr="009617F5">
        <w:rPr>
          <w:rFonts w:ascii="Arial" w:hAnsi="Arial" w:cs="Arial"/>
          <w:color w:val="FF0000"/>
          <w:sz w:val="22"/>
        </w:rPr>
        <w:tab/>
      </w:r>
      <w:r w:rsidRPr="009617F5">
        <w:rPr>
          <w:rFonts w:ascii="Arial" w:hAnsi="Arial" w:cs="Arial"/>
          <w:color w:val="FF0000"/>
          <w:sz w:val="22"/>
        </w:rPr>
        <w:tab/>
      </w:r>
      <w:r w:rsidRPr="009617F5">
        <w:rPr>
          <w:rFonts w:ascii="Arial" w:hAnsi="Arial" w:cs="Arial"/>
          <w:color w:val="FF0000"/>
          <w:sz w:val="22"/>
        </w:rPr>
        <w:tab/>
        <w:t xml:space="preserve">     </w:t>
      </w:r>
      <w:r w:rsidRPr="009617F5">
        <w:rPr>
          <w:rFonts w:ascii="Arial" w:hAnsi="Arial" w:cs="Arial"/>
          <w:color w:val="FF0000"/>
          <w:sz w:val="22"/>
        </w:rPr>
        <w:tab/>
        <w:t xml:space="preserve"> 0,0 ha</w:t>
      </w:r>
    </w:p>
    <w:p w14:paraId="5983D26B"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výměra půd II.tř. ochrany</w:t>
      </w:r>
      <w:r w:rsidRPr="009617F5">
        <w:rPr>
          <w:rFonts w:ascii="Arial" w:hAnsi="Arial" w:cs="Arial"/>
          <w:color w:val="FF0000"/>
          <w:sz w:val="22"/>
        </w:rPr>
        <w:tab/>
      </w:r>
      <w:r w:rsidRPr="009617F5">
        <w:rPr>
          <w:rFonts w:ascii="Arial" w:hAnsi="Arial" w:cs="Arial"/>
          <w:color w:val="FF0000"/>
          <w:sz w:val="22"/>
        </w:rPr>
        <w:tab/>
        <w:t xml:space="preserve">   </w:t>
      </w:r>
      <w:r w:rsidRPr="009617F5">
        <w:rPr>
          <w:rFonts w:ascii="Arial" w:hAnsi="Arial" w:cs="Arial"/>
          <w:color w:val="FF0000"/>
          <w:sz w:val="22"/>
        </w:rPr>
        <w:tab/>
      </w:r>
      <w:r w:rsidRPr="009617F5">
        <w:rPr>
          <w:rFonts w:ascii="Arial" w:hAnsi="Arial" w:cs="Arial"/>
          <w:color w:val="FF0000"/>
          <w:sz w:val="22"/>
        </w:rPr>
        <w:tab/>
        <w:t xml:space="preserve">   </w:t>
      </w:r>
      <w:r w:rsidRPr="009617F5">
        <w:rPr>
          <w:rFonts w:ascii="Arial" w:hAnsi="Arial" w:cs="Arial"/>
          <w:color w:val="FF0000"/>
          <w:sz w:val="22"/>
        </w:rPr>
        <w:tab/>
        <w:t xml:space="preserve"> 2,9392 ha</w:t>
      </w:r>
    </w:p>
    <w:p w14:paraId="312C2C43" w14:textId="77777777" w:rsidR="009617F5" w:rsidRPr="009617F5" w:rsidRDefault="009617F5" w:rsidP="009617F5">
      <w:pPr>
        <w:rPr>
          <w:rFonts w:ascii="Arial" w:hAnsi="Arial" w:cs="Arial"/>
          <w:color w:val="FF0000"/>
          <w:sz w:val="22"/>
        </w:rPr>
      </w:pPr>
    </w:p>
    <w:p w14:paraId="06AAD492" w14:textId="77777777" w:rsidR="009617F5" w:rsidRPr="009617F5" w:rsidRDefault="009617F5" w:rsidP="009617F5">
      <w:pPr>
        <w:rPr>
          <w:rFonts w:ascii="Arial" w:hAnsi="Arial" w:cs="Arial"/>
          <w:color w:val="FF0000"/>
          <w:sz w:val="22"/>
        </w:rPr>
      </w:pPr>
      <w:r w:rsidRPr="009617F5">
        <w:rPr>
          <w:rFonts w:ascii="Arial" w:hAnsi="Arial" w:cs="Arial"/>
          <w:b/>
          <w:color w:val="FF0000"/>
          <w:sz w:val="22"/>
        </w:rPr>
        <w:t>výměra záboru PUPFL</w:t>
      </w:r>
      <w:r w:rsidRPr="009617F5">
        <w:rPr>
          <w:rFonts w:ascii="Arial" w:hAnsi="Arial" w:cs="Arial"/>
          <w:color w:val="FF0000"/>
          <w:sz w:val="22"/>
        </w:rPr>
        <w:t>:</w:t>
      </w:r>
      <w:r w:rsidRPr="009617F5">
        <w:rPr>
          <w:rFonts w:ascii="Arial" w:hAnsi="Arial" w:cs="Arial"/>
          <w:color w:val="FF0000"/>
          <w:sz w:val="22"/>
        </w:rPr>
        <w:tab/>
      </w:r>
      <w:r w:rsidRPr="009617F5">
        <w:rPr>
          <w:rFonts w:ascii="Arial" w:hAnsi="Arial" w:cs="Arial"/>
          <w:color w:val="FF0000"/>
          <w:sz w:val="22"/>
        </w:rPr>
        <w:tab/>
      </w:r>
      <w:r w:rsidRPr="009617F5">
        <w:rPr>
          <w:rFonts w:ascii="Arial" w:hAnsi="Arial" w:cs="Arial"/>
          <w:color w:val="FF0000"/>
          <w:sz w:val="22"/>
        </w:rPr>
        <w:tab/>
      </w:r>
      <w:r w:rsidRPr="009617F5">
        <w:rPr>
          <w:rFonts w:ascii="Arial" w:hAnsi="Arial" w:cs="Arial"/>
          <w:color w:val="FF0000"/>
          <w:sz w:val="22"/>
        </w:rPr>
        <w:tab/>
      </w:r>
      <w:r w:rsidRPr="009617F5">
        <w:rPr>
          <w:rFonts w:ascii="Arial" w:hAnsi="Arial" w:cs="Arial"/>
          <w:color w:val="FF0000"/>
          <w:sz w:val="22"/>
        </w:rPr>
        <w:tab/>
        <w:t xml:space="preserve"> 0,0 ha</w:t>
      </w:r>
    </w:p>
    <w:p w14:paraId="62A98A6D" w14:textId="77777777" w:rsidR="009617F5" w:rsidRPr="009617F5" w:rsidRDefault="009617F5" w:rsidP="009617F5">
      <w:pPr>
        <w:rPr>
          <w:rFonts w:ascii="Arial" w:hAnsi="Arial" w:cs="Arial"/>
          <w:color w:val="FF0000"/>
          <w:sz w:val="22"/>
          <w:u w:val="single"/>
        </w:rPr>
      </w:pPr>
    </w:p>
    <w:p w14:paraId="1D3069F1" w14:textId="77777777" w:rsidR="009617F5" w:rsidRPr="009617F5" w:rsidRDefault="009617F5" w:rsidP="009617F5">
      <w:pPr>
        <w:pStyle w:val="Nadpis3"/>
        <w:rPr>
          <w:rFonts w:ascii="Arial" w:hAnsi="Arial" w:cs="Arial"/>
          <w:color w:val="FF0000"/>
        </w:rPr>
      </w:pPr>
      <w:bookmarkStart w:id="34" w:name="_Toc358720208"/>
      <w:r w:rsidRPr="009617F5">
        <w:rPr>
          <w:rFonts w:ascii="Arial" w:hAnsi="Arial" w:cs="Arial"/>
          <w:color w:val="FF0000"/>
        </w:rPr>
        <w:t>1.1. Celkový rozsah ploch určených k rozvoji</w:t>
      </w:r>
      <w:bookmarkEnd w:id="33"/>
      <w:bookmarkEnd w:id="34"/>
      <w:r w:rsidRPr="009617F5">
        <w:rPr>
          <w:rFonts w:ascii="Arial" w:hAnsi="Arial" w:cs="Arial"/>
          <w:color w:val="FF0000"/>
        </w:rPr>
        <w:t xml:space="preserve"> </w:t>
      </w:r>
    </w:p>
    <w:p w14:paraId="655CFD11"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 xml:space="preserve">Pro rozvoj obcí a přestavby je navrhována plocha celkové výměry 11,5116 ha.  </w:t>
      </w:r>
    </w:p>
    <w:p w14:paraId="3B65700F"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 xml:space="preserve">Tato plocha zahrnuje zemědělské pozemky podléhající vyhodnocení, dále pak nezemědělské pozemky a rovněž již zastavěné pozemky určené k přestavbě, ležící uvnitř </w:t>
      </w:r>
      <w:r w:rsidRPr="009617F5">
        <w:rPr>
          <w:rFonts w:ascii="Arial" w:hAnsi="Arial" w:cs="Arial"/>
          <w:color w:val="FF0000"/>
          <w:sz w:val="22"/>
        </w:rPr>
        <w:lastRenderedPageBreak/>
        <w:t xml:space="preserve">nebo vně zastavěného území, které dle Společného metodického doporučení Odboru územního plánování MMR a Odboru ochrany horninového a půdního prostředí MŽP červen 2011, splňují kriteria, podle kterých </w:t>
      </w:r>
      <w:r w:rsidRPr="009617F5">
        <w:rPr>
          <w:rFonts w:ascii="Arial" w:hAnsi="Arial" w:cs="Arial"/>
          <w:color w:val="FF0000"/>
          <w:sz w:val="22"/>
          <w:u w:val="single"/>
        </w:rPr>
        <w:t xml:space="preserve">nepodléhají </w:t>
      </w:r>
      <w:r w:rsidRPr="009617F5">
        <w:rPr>
          <w:rFonts w:ascii="Arial" w:hAnsi="Arial" w:cs="Arial"/>
          <w:color w:val="FF0000"/>
          <w:sz w:val="22"/>
        </w:rPr>
        <w:t>vyhodnocení předpokládaných důsledků řešení na ZPF. (Podrobně viz kapitola 6.)</w:t>
      </w:r>
    </w:p>
    <w:p w14:paraId="3D88C518" w14:textId="77777777" w:rsidR="009617F5" w:rsidRPr="009617F5" w:rsidRDefault="009617F5" w:rsidP="009617F5">
      <w:pPr>
        <w:pStyle w:val="Nadpis3"/>
        <w:jc w:val="both"/>
        <w:rPr>
          <w:rFonts w:ascii="Arial" w:hAnsi="Arial" w:cs="Arial"/>
          <w:color w:val="FF0000"/>
        </w:rPr>
      </w:pPr>
      <w:bookmarkStart w:id="35" w:name="_Toc358720209"/>
      <w:r w:rsidRPr="009617F5">
        <w:rPr>
          <w:rFonts w:ascii="Arial" w:hAnsi="Arial" w:cs="Arial"/>
          <w:color w:val="FF0000"/>
        </w:rPr>
        <w:t>1.2. Podíl ZPF v plochách určených k rozvoji</w:t>
      </w:r>
      <w:bookmarkEnd w:id="35"/>
      <w:r w:rsidRPr="009617F5">
        <w:rPr>
          <w:rFonts w:ascii="Arial" w:hAnsi="Arial" w:cs="Arial"/>
          <w:color w:val="FF0000"/>
        </w:rPr>
        <w:t xml:space="preserve"> </w:t>
      </w:r>
    </w:p>
    <w:p w14:paraId="42FDF4CC"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 xml:space="preserve">K rozvoji obcí je navrhován zábor  </w:t>
      </w:r>
      <w:r w:rsidRPr="009617F5">
        <w:rPr>
          <w:rFonts w:ascii="Arial" w:hAnsi="Arial" w:cs="Arial"/>
          <w:b/>
          <w:color w:val="FF0000"/>
          <w:sz w:val="22"/>
        </w:rPr>
        <w:t>ZPF</w:t>
      </w:r>
      <w:r w:rsidRPr="009617F5">
        <w:rPr>
          <w:rFonts w:ascii="Arial" w:hAnsi="Arial" w:cs="Arial"/>
          <w:color w:val="FF0000"/>
          <w:sz w:val="22"/>
        </w:rPr>
        <w:t xml:space="preserve">  o výměře 9,5516 ha.</w:t>
      </w:r>
    </w:p>
    <w:p w14:paraId="23A5101A"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Zábor ZPF v plochách podléhajících vyhodnocení v celém rozsahu leží vně ZÚ.</w:t>
      </w:r>
    </w:p>
    <w:p w14:paraId="0E676EB2" w14:textId="77777777" w:rsidR="009617F5" w:rsidRPr="009617F5" w:rsidRDefault="009617F5" w:rsidP="009617F5">
      <w:pPr>
        <w:jc w:val="both"/>
        <w:rPr>
          <w:rFonts w:ascii="Arial" w:hAnsi="Arial" w:cs="Arial"/>
          <w:color w:val="FF0000"/>
          <w:sz w:val="22"/>
        </w:rPr>
      </w:pPr>
    </w:p>
    <w:p w14:paraId="310E4D73"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Vyhodnocení předpokládaných důsledků navrhovaného řešení na ZPF je provedeno dle Společného metodického doporučení Odboru územního plánování MMR a Odboru ochrany horninového a půdního prostředí MŽP, červen 2011. V souladu s odst. 2. výše uvedeného Metodického doporučení:</w:t>
      </w:r>
    </w:p>
    <w:p w14:paraId="0CBE03C1" w14:textId="77777777" w:rsidR="009617F5" w:rsidRPr="009617F5" w:rsidRDefault="009617F5" w:rsidP="009617F5">
      <w:pPr>
        <w:numPr>
          <w:ilvl w:val="0"/>
          <w:numId w:val="108"/>
        </w:numPr>
        <w:suppressAutoHyphens w:val="0"/>
        <w:jc w:val="both"/>
        <w:rPr>
          <w:rFonts w:ascii="Arial" w:hAnsi="Arial" w:cs="Arial"/>
          <w:color w:val="FF0000"/>
          <w:sz w:val="22"/>
        </w:rPr>
      </w:pPr>
      <w:r w:rsidRPr="009617F5">
        <w:rPr>
          <w:rFonts w:ascii="Arial" w:hAnsi="Arial" w:cs="Arial"/>
          <w:color w:val="FF0000"/>
          <w:sz w:val="22"/>
        </w:rPr>
        <w:t>v zastavěných částech území se nevyhodnocuje zábor lokality do výměry 2 000m</w:t>
      </w:r>
      <w:r w:rsidRPr="009617F5">
        <w:rPr>
          <w:rFonts w:ascii="Arial" w:hAnsi="Arial" w:cs="Arial"/>
          <w:color w:val="FF0000"/>
          <w:sz w:val="22"/>
          <w:vertAlign w:val="superscript"/>
        </w:rPr>
        <w:t>2</w:t>
      </w:r>
      <w:r w:rsidRPr="009617F5">
        <w:rPr>
          <w:rFonts w:ascii="Arial" w:hAnsi="Arial" w:cs="Arial"/>
          <w:color w:val="FF0000"/>
          <w:sz w:val="22"/>
        </w:rPr>
        <w:t xml:space="preserve"> </w:t>
      </w:r>
    </w:p>
    <w:p w14:paraId="70A2C7D2" w14:textId="77777777" w:rsidR="009617F5" w:rsidRPr="009617F5" w:rsidRDefault="009617F5" w:rsidP="009617F5">
      <w:pPr>
        <w:numPr>
          <w:ilvl w:val="0"/>
          <w:numId w:val="108"/>
        </w:numPr>
        <w:suppressAutoHyphens w:val="0"/>
        <w:jc w:val="both"/>
        <w:rPr>
          <w:rFonts w:ascii="Arial" w:hAnsi="Arial" w:cs="Arial"/>
          <w:color w:val="FF0000"/>
          <w:sz w:val="22"/>
        </w:rPr>
      </w:pPr>
      <w:r w:rsidRPr="009617F5">
        <w:rPr>
          <w:rFonts w:ascii="Arial" w:hAnsi="Arial" w:cs="Arial"/>
          <w:color w:val="FF0000"/>
          <w:sz w:val="22"/>
        </w:rPr>
        <w:t xml:space="preserve">plochy pro bydlení se v zastavěném území nevyhodnocují </w:t>
      </w:r>
    </w:p>
    <w:p w14:paraId="2FD8B2C9" w14:textId="77777777" w:rsidR="009617F5" w:rsidRPr="009617F5" w:rsidRDefault="009617F5" w:rsidP="009617F5">
      <w:pPr>
        <w:jc w:val="both"/>
        <w:rPr>
          <w:rFonts w:ascii="Arial" w:hAnsi="Arial" w:cs="Arial"/>
          <w:color w:val="FF0000"/>
          <w:sz w:val="22"/>
        </w:rPr>
      </w:pPr>
    </w:p>
    <w:p w14:paraId="274F8749" w14:textId="77777777" w:rsidR="009617F5" w:rsidRPr="009617F5" w:rsidRDefault="009617F5" w:rsidP="009617F5">
      <w:pPr>
        <w:jc w:val="both"/>
        <w:rPr>
          <w:rFonts w:ascii="Arial" w:hAnsi="Arial" w:cs="Arial"/>
          <w:b/>
          <w:color w:val="FF0000"/>
          <w:sz w:val="22"/>
          <w:u w:val="single"/>
        </w:rPr>
      </w:pPr>
      <w:r w:rsidRPr="009617F5">
        <w:rPr>
          <w:rFonts w:ascii="Arial" w:hAnsi="Arial" w:cs="Arial"/>
          <w:color w:val="FF0000"/>
          <w:sz w:val="22"/>
        </w:rPr>
        <w:t xml:space="preserve">Při akceptování uvedených Zásad řešení záboru ZPF </w:t>
      </w:r>
      <w:r w:rsidRPr="009617F5">
        <w:rPr>
          <w:rFonts w:ascii="Arial" w:hAnsi="Arial" w:cs="Arial"/>
          <w:b/>
          <w:color w:val="FF0000"/>
          <w:sz w:val="22"/>
          <w:u w:val="single"/>
        </w:rPr>
        <w:t>nejsou uvnitř zastavěného území navrhovány žádné rozvojové plochy, které by podléhaly vyhodnocení důsledků řešení na ZPF.</w:t>
      </w:r>
    </w:p>
    <w:p w14:paraId="3105D330" w14:textId="77777777" w:rsidR="009617F5" w:rsidRPr="009617F5" w:rsidRDefault="009617F5" w:rsidP="009617F5">
      <w:pPr>
        <w:jc w:val="both"/>
        <w:rPr>
          <w:rFonts w:ascii="Arial" w:hAnsi="Arial" w:cs="Arial"/>
          <w:bCs/>
          <w:color w:val="FF0000"/>
          <w:sz w:val="22"/>
        </w:rPr>
      </w:pPr>
      <w:r w:rsidRPr="009617F5">
        <w:rPr>
          <w:rFonts w:ascii="Arial" w:hAnsi="Arial" w:cs="Arial"/>
          <w:bCs/>
          <w:color w:val="FF0000"/>
          <w:sz w:val="22"/>
        </w:rPr>
        <w:t xml:space="preserve">Podrobné údaje přináší přiložená tabulka zpracovaná dle Společného metodického doporučení Odboru územního plánování MMR a Odboru ochrany horninového a půdního prostředí MŽP z července 2011. </w:t>
      </w:r>
    </w:p>
    <w:p w14:paraId="47839FD8" w14:textId="77777777" w:rsidR="009617F5" w:rsidRPr="009617F5" w:rsidRDefault="009617F5" w:rsidP="009617F5">
      <w:pPr>
        <w:rPr>
          <w:rFonts w:ascii="Arial" w:hAnsi="Arial" w:cs="Arial"/>
          <w:bCs/>
          <w:color w:val="FF0000"/>
          <w:sz w:val="22"/>
        </w:rPr>
        <w:sectPr w:rsidR="009617F5" w:rsidRPr="009617F5" w:rsidSect="00D75F38">
          <w:headerReference w:type="even" r:id="rId255"/>
          <w:headerReference w:type="default" r:id="rId256"/>
          <w:footerReference w:type="even" r:id="rId257"/>
          <w:footerReference w:type="default" r:id="rId258"/>
          <w:headerReference w:type="first" r:id="rId259"/>
          <w:footerReference w:type="first" r:id="rId260"/>
          <w:pgSz w:w="11907" w:h="16840" w:code="9"/>
          <w:pgMar w:top="1440" w:right="1440" w:bottom="1440" w:left="1797" w:header="709" w:footer="1134" w:gutter="0"/>
          <w:pgNumType w:start="367"/>
          <w:cols w:space="708"/>
          <w:docGrid w:linePitch="326"/>
        </w:sectPr>
      </w:pPr>
    </w:p>
    <w:p w14:paraId="1F97FF48" w14:textId="77777777" w:rsidR="009617F5" w:rsidRPr="009617F5" w:rsidRDefault="009617F5" w:rsidP="009617F5">
      <w:pPr>
        <w:rPr>
          <w:rFonts w:ascii="Arial" w:hAnsi="Arial" w:cs="Arial"/>
          <w:b/>
          <w:color w:val="FF0000"/>
          <w:szCs w:val="28"/>
        </w:rPr>
      </w:pPr>
      <w:r w:rsidRPr="009617F5">
        <w:rPr>
          <w:rFonts w:ascii="Arial" w:hAnsi="Arial" w:cs="Arial"/>
          <w:b/>
          <w:color w:val="FF0000"/>
          <w:szCs w:val="28"/>
        </w:rPr>
        <w:lastRenderedPageBreak/>
        <w:t>Tabulka „Vyhodnocení předpokládaných důsledků navrhovaného řešení na zemědělský půdní fond“</w:t>
      </w:r>
    </w:p>
    <w:p w14:paraId="25293085"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t>Katastrální území:</w:t>
      </w:r>
      <w:r w:rsidRPr="009617F5">
        <w:rPr>
          <w:rFonts w:ascii="Arial" w:hAnsi="Arial" w:cs="Arial"/>
          <w:b/>
          <w:color w:val="FF0000"/>
          <w:sz w:val="22"/>
        </w:rPr>
        <w:tab/>
        <w:t>Bělá u Děčína</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0A0" w:firstRow="1" w:lastRow="0" w:firstColumn="1" w:lastColumn="0" w:noHBand="0" w:noVBand="0"/>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00FC974C" w14:textId="77777777" w:rsidTr="00286F7D">
        <w:trPr>
          <w:tblHeader/>
        </w:trPr>
        <w:tc>
          <w:tcPr>
            <w:tcW w:w="833" w:type="dxa"/>
            <w:vMerge w:val="restart"/>
            <w:shd w:val="clear" w:color="auto" w:fill="auto"/>
          </w:tcPr>
          <w:p w14:paraId="38371D1B" w14:textId="77777777" w:rsidR="009617F5" w:rsidRPr="009617F5" w:rsidRDefault="009617F5" w:rsidP="00286F7D">
            <w:pPr>
              <w:rPr>
                <w:rFonts w:ascii="Arial" w:hAnsi="Arial" w:cs="Arial"/>
                <w:b/>
                <w:sz w:val="14"/>
                <w:szCs w:val="16"/>
              </w:rPr>
            </w:pPr>
          </w:p>
          <w:p w14:paraId="356476E4" w14:textId="77777777" w:rsidR="009617F5" w:rsidRPr="009617F5" w:rsidRDefault="009617F5" w:rsidP="00286F7D">
            <w:pPr>
              <w:rPr>
                <w:rFonts w:ascii="Arial" w:hAnsi="Arial" w:cs="Arial"/>
                <w:b/>
                <w:sz w:val="14"/>
                <w:szCs w:val="16"/>
              </w:rPr>
            </w:pPr>
          </w:p>
          <w:p w14:paraId="6A31D9C0"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shd w:val="clear" w:color="auto" w:fill="auto"/>
          </w:tcPr>
          <w:p w14:paraId="157B7B30" w14:textId="77777777" w:rsidR="009617F5" w:rsidRPr="009617F5" w:rsidRDefault="009617F5" w:rsidP="00286F7D">
            <w:pPr>
              <w:rPr>
                <w:rFonts w:ascii="Arial" w:hAnsi="Arial" w:cs="Arial"/>
                <w:b/>
                <w:sz w:val="14"/>
                <w:szCs w:val="16"/>
              </w:rPr>
            </w:pPr>
          </w:p>
          <w:p w14:paraId="3D318B26" w14:textId="77777777" w:rsidR="009617F5" w:rsidRPr="009617F5" w:rsidRDefault="009617F5" w:rsidP="00286F7D">
            <w:pPr>
              <w:rPr>
                <w:rFonts w:ascii="Arial" w:hAnsi="Arial" w:cs="Arial"/>
                <w:b/>
                <w:sz w:val="14"/>
                <w:szCs w:val="16"/>
              </w:rPr>
            </w:pPr>
          </w:p>
          <w:p w14:paraId="30B3F8D0"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shd w:val="clear" w:color="auto" w:fill="auto"/>
          </w:tcPr>
          <w:p w14:paraId="035D0C66" w14:textId="77777777" w:rsidR="009617F5" w:rsidRPr="009617F5" w:rsidRDefault="009617F5" w:rsidP="00286F7D">
            <w:pPr>
              <w:rPr>
                <w:rFonts w:ascii="Arial" w:hAnsi="Arial" w:cs="Arial"/>
                <w:b/>
                <w:sz w:val="14"/>
                <w:szCs w:val="16"/>
              </w:rPr>
            </w:pPr>
          </w:p>
          <w:p w14:paraId="23B14773"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shd w:val="clear" w:color="auto" w:fill="auto"/>
          </w:tcPr>
          <w:p w14:paraId="630EC890" w14:textId="77777777" w:rsidR="009617F5" w:rsidRPr="009617F5" w:rsidRDefault="009617F5" w:rsidP="00286F7D">
            <w:pPr>
              <w:jc w:val="center"/>
              <w:rPr>
                <w:rFonts w:ascii="Arial" w:hAnsi="Arial" w:cs="Arial"/>
                <w:b/>
                <w:sz w:val="14"/>
                <w:szCs w:val="16"/>
              </w:rPr>
            </w:pPr>
          </w:p>
          <w:p w14:paraId="4931289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jednotlivých kultur</w:t>
            </w:r>
          </w:p>
          <w:p w14:paraId="7DEEC80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4098" w:type="dxa"/>
            <w:gridSpan w:val="5"/>
            <w:shd w:val="clear" w:color="auto" w:fill="auto"/>
          </w:tcPr>
          <w:p w14:paraId="4C7C7D99" w14:textId="77777777" w:rsidR="009617F5" w:rsidRPr="009617F5" w:rsidRDefault="009617F5" w:rsidP="00286F7D">
            <w:pPr>
              <w:rPr>
                <w:rFonts w:ascii="Arial" w:hAnsi="Arial" w:cs="Arial"/>
                <w:b/>
                <w:sz w:val="14"/>
                <w:szCs w:val="16"/>
              </w:rPr>
            </w:pPr>
          </w:p>
          <w:p w14:paraId="5EEB345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tříd ochrany</w:t>
            </w:r>
          </w:p>
          <w:p w14:paraId="0042EA2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1647" w:type="dxa"/>
            <w:vMerge w:val="restart"/>
            <w:shd w:val="clear" w:color="auto" w:fill="auto"/>
          </w:tcPr>
          <w:p w14:paraId="221ECFFD" w14:textId="77777777" w:rsidR="009617F5" w:rsidRPr="009617F5" w:rsidRDefault="009617F5" w:rsidP="00286F7D">
            <w:pPr>
              <w:rPr>
                <w:rFonts w:ascii="Arial" w:hAnsi="Arial" w:cs="Arial"/>
                <w:b/>
                <w:sz w:val="14"/>
                <w:szCs w:val="16"/>
              </w:rPr>
            </w:pPr>
          </w:p>
          <w:p w14:paraId="131DD842" w14:textId="77777777" w:rsidR="009617F5" w:rsidRPr="009617F5" w:rsidRDefault="009617F5" w:rsidP="00286F7D">
            <w:pPr>
              <w:jc w:val="center"/>
              <w:rPr>
                <w:rFonts w:ascii="Arial" w:hAnsi="Arial" w:cs="Arial"/>
                <w:b/>
                <w:sz w:val="14"/>
                <w:szCs w:val="16"/>
              </w:rPr>
            </w:pPr>
          </w:p>
          <w:p w14:paraId="7AFE187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Investice do půdy (ha)</w:t>
            </w:r>
          </w:p>
        </w:tc>
      </w:tr>
      <w:tr w:rsidR="009617F5" w:rsidRPr="009617F5" w14:paraId="1DC6CB9C" w14:textId="77777777" w:rsidTr="00286F7D">
        <w:trPr>
          <w:tblHeader/>
        </w:trPr>
        <w:tc>
          <w:tcPr>
            <w:tcW w:w="833" w:type="dxa"/>
            <w:vMerge/>
            <w:shd w:val="clear" w:color="auto" w:fill="auto"/>
          </w:tcPr>
          <w:p w14:paraId="7544F5FA" w14:textId="77777777" w:rsidR="009617F5" w:rsidRPr="009617F5" w:rsidRDefault="009617F5" w:rsidP="00286F7D">
            <w:pPr>
              <w:rPr>
                <w:rFonts w:ascii="Arial" w:hAnsi="Arial" w:cs="Arial"/>
                <w:b/>
                <w:sz w:val="14"/>
                <w:szCs w:val="16"/>
              </w:rPr>
            </w:pPr>
          </w:p>
        </w:tc>
        <w:tc>
          <w:tcPr>
            <w:tcW w:w="1641" w:type="dxa"/>
            <w:vMerge/>
            <w:shd w:val="clear" w:color="auto" w:fill="auto"/>
          </w:tcPr>
          <w:p w14:paraId="719D80F0" w14:textId="77777777" w:rsidR="009617F5" w:rsidRPr="009617F5" w:rsidRDefault="009617F5" w:rsidP="00286F7D">
            <w:pPr>
              <w:rPr>
                <w:rFonts w:ascii="Arial" w:hAnsi="Arial" w:cs="Arial"/>
                <w:b/>
                <w:sz w:val="14"/>
                <w:szCs w:val="16"/>
              </w:rPr>
            </w:pPr>
          </w:p>
        </w:tc>
        <w:tc>
          <w:tcPr>
            <w:tcW w:w="836" w:type="dxa"/>
            <w:vMerge/>
            <w:shd w:val="clear" w:color="auto" w:fill="auto"/>
          </w:tcPr>
          <w:p w14:paraId="42686C00" w14:textId="77777777" w:rsidR="009617F5" w:rsidRPr="009617F5" w:rsidRDefault="009617F5" w:rsidP="00286F7D">
            <w:pPr>
              <w:rPr>
                <w:rFonts w:ascii="Arial" w:hAnsi="Arial" w:cs="Arial"/>
                <w:b/>
                <w:sz w:val="14"/>
                <w:szCs w:val="16"/>
              </w:rPr>
            </w:pPr>
          </w:p>
        </w:tc>
        <w:tc>
          <w:tcPr>
            <w:tcW w:w="828" w:type="dxa"/>
            <w:shd w:val="clear" w:color="auto" w:fill="auto"/>
          </w:tcPr>
          <w:p w14:paraId="3B041CBC"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27CF1EE2"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shd w:val="clear" w:color="auto" w:fill="auto"/>
          </w:tcPr>
          <w:p w14:paraId="4FE07B9F"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shd w:val="clear" w:color="auto" w:fill="auto"/>
          </w:tcPr>
          <w:p w14:paraId="71F37373"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shd w:val="clear" w:color="auto" w:fill="auto"/>
          </w:tcPr>
          <w:p w14:paraId="23A10A2D"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shd w:val="clear" w:color="auto" w:fill="auto"/>
          </w:tcPr>
          <w:p w14:paraId="74101C83"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shd w:val="clear" w:color="auto" w:fill="auto"/>
          </w:tcPr>
          <w:p w14:paraId="2922C853"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shd w:val="clear" w:color="auto" w:fill="auto"/>
          </w:tcPr>
          <w:p w14:paraId="366BE002"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shd w:val="clear" w:color="auto" w:fill="auto"/>
          </w:tcPr>
          <w:p w14:paraId="637D8DFB"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shd w:val="clear" w:color="auto" w:fill="auto"/>
          </w:tcPr>
          <w:p w14:paraId="62BCCD8B"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shd w:val="clear" w:color="auto" w:fill="auto"/>
          </w:tcPr>
          <w:p w14:paraId="002634E7"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1647" w:type="dxa"/>
            <w:vMerge/>
            <w:shd w:val="clear" w:color="auto" w:fill="auto"/>
          </w:tcPr>
          <w:p w14:paraId="54C82881" w14:textId="77777777" w:rsidR="009617F5" w:rsidRPr="009617F5" w:rsidRDefault="009617F5" w:rsidP="00286F7D">
            <w:pPr>
              <w:rPr>
                <w:rFonts w:ascii="Arial" w:hAnsi="Arial" w:cs="Arial"/>
                <w:b/>
                <w:sz w:val="14"/>
                <w:szCs w:val="16"/>
              </w:rPr>
            </w:pPr>
          </w:p>
        </w:tc>
      </w:tr>
      <w:tr w:rsidR="009617F5" w:rsidRPr="009617F5" w14:paraId="1665786D" w14:textId="77777777" w:rsidTr="00286F7D">
        <w:trPr>
          <w:trHeight w:val="397"/>
        </w:trPr>
        <w:tc>
          <w:tcPr>
            <w:tcW w:w="833" w:type="dxa"/>
            <w:shd w:val="clear" w:color="auto" w:fill="auto"/>
            <w:vAlign w:val="center"/>
          </w:tcPr>
          <w:p w14:paraId="6E7DF35D"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8Z-20</w:t>
            </w:r>
          </w:p>
        </w:tc>
        <w:tc>
          <w:tcPr>
            <w:tcW w:w="1641" w:type="dxa"/>
            <w:shd w:val="clear" w:color="auto" w:fill="auto"/>
            <w:vAlign w:val="center"/>
          </w:tcPr>
          <w:p w14:paraId="70EE32DD"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7D2240B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0,0465</w:t>
            </w:r>
          </w:p>
        </w:tc>
        <w:tc>
          <w:tcPr>
            <w:tcW w:w="828" w:type="dxa"/>
            <w:shd w:val="clear" w:color="auto" w:fill="auto"/>
            <w:vAlign w:val="center"/>
          </w:tcPr>
          <w:p w14:paraId="2618C29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1EEE9B5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42CA02B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AD7037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0,0465</w:t>
            </w:r>
          </w:p>
        </w:tc>
        <w:tc>
          <w:tcPr>
            <w:tcW w:w="835" w:type="dxa"/>
            <w:shd w:val="clear" w:color="auto" w:fill="auto"/>
            <w:vAlign w:val="center"/>
          </w:tcPr>
          <w:p w14:paraId="05ACD60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29BB6A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3ABB75B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49FE52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52672F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6F1636B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423EE0E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0,0465</w:t>
            </w:r>
          </w:p>
        </w:tc>
        <w:tc>
          <w:tcPr>
            <w:tcW w:w="1647" w:type="dxa"/>
            <w:shd w:val="clear" w:color="auto" w:fill="auto"/>
            <w:vAlign w:val="center"/>
          </w:tcPr>
          <w:p w14:paraId="0146DBA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53B0052E" w14:textId="77777777" w:rsidTr="00286F7D">
        <w:trPr>
          <w:trHeight w:val="397"/>
        </w:trPr>
        <w:tc>
          <w:tcPr>
            <w:tcW w:w="2474" w:type="dxa"/>
            <w:gridSpan w:val="2"/>
            <w:shd w:val="clear" w:color="auto" w:fill="auto"/>
            <w:vAlign w:val="center"/>
          </w:tcPr>
          <w:p w14:paraId="4DC9B082"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bydlení celkem:</w:t>
            </w:r>
          </w:p>
        </w:tc>
        <w:tc>
          <w:tcPr>
            <w:tcW w:w="836" w:type="dxa"/>
            <w:shd w:val="clear" w:color="auto" w:fill="auto"/>
            <w:vAlign w:val="center"/>
          </w:tcPr>
          <w:p w14:paraId="4D85586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0,0465</w:t>
            </w:r>
          </w:p>
        </w:tc>
        <w:tc>
          <w:tcPr>
            <w:tcW w:w="828" w:type="dxa"/>
            <w:shd w:val="clear" w:color="auto" w:fill="auto"/>
            <w:vAlign w:val="center"/>
          </w:tcPr>
          <w:p w14:paraId="0F9E7D6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4E3CD10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0E2BA46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B4ED95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0,0465</w:t>
            </w:r>
          </w:p>
        </w:tc>
        <w:tc>
          <w:tcPr>
            <w:tcW w:w="835" w:type="dxa"/>
            <w:shd w:val="clear" w:color="auto" w:fill="auto"/>
            <w:vAlign w:val="center"/>
          </w:tcPr>
          <w:p w14:paraId="5AF5855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80A7D6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6578D35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750C06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FF1ABF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155F3BA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018091D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0,0465</w:t>
            </w:r>
          </w:p>
        </w:tc>
        <w:tc>
          <w:tcPr>
            <w:tcW w:w="1647" w:type="dxa"/>
            <w:shd w:val="clear" w:color="auto" w:fill="auto"/>
            <w:vAlign w:val="center"/>
          </w:tcPr>
          <w:p w14:paraId="3C66ED7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42787A59" w14:textId="77777777" w:rsidTr="00286F7D">
        <w:trPr>
          <w:trHeight w:val="397"/>
        </w:trPr>
        <w:tc>
          <w:tcPr>
            <w:tcW w:w="2474" w:type="dxa"/>
            <w:gridSpan w:val="2"/>
            <w:shd w:val="clear" w:color="auto" w:fill="auto"/>
            <w:vAlign w:val="center"/>
          </w:tcPr>
          <w:p w14:paraId="22C3A80E" w14:textId="77777777" w:rsidR="009617F5" w:rsidRPr="009617F5" w:rsidRDefault="009617F5" w:rsidP="00286F7D">
            <w:pPr>
              <w:rPr>
                <w:rFonts w:ascii="Arial" w:hAnsi="Arial" w:cs="Arial"/>
                <w:b/>
                <w:sz w:val="18"/>
                <w:szCs w:val="20"/>
              </w:rPr>
            </w:pPr>
            <w:r w:rsidRPr="009617F5">
              <w:rPr>
                <w:rFonts w:ascii="Arial" w:hAnsi="Arial" w:cs="Arial"/>
                <w:b/>
                <w:sz w:val="18"/>
                <w:szCs w:val="20"/>
              </w:rPr>
              <w:t>k.ú. BĚLÁ U DĚČÍNA</w:t>
            </w:r>
          </w:p>
          <w:p w14:paraId="4712DB9B" w14:textId="77777777" w:rsidR="009617F5" w:rsidRPr="009617F5" w:rsidRDefault="009617F5" w:rsidP="00286F7D">
            <w:pPr>
              <w:rPr>
                <w:rFonts w:ascii="Arial" w:hAnsi="Arial" w:cs="Arial"/>
                <w:b/>
                <w:sz w:val="18"/>
                <w:szCs w:val="20"/>
              </w:rPr>
            </w:pPr>
            <w:r w:rsidRPr="009617F5">
              <w:rPr>
                <w:rFonts w:ascii="Arial" w:hAnsi="Arial" w:cs="Arial"/>
                <w:b/>
                <w:sz w:val="18"/>
                <w:szCs w:val="20"/>
              </w:rPr>
              <w:t>ZÁBOR ZPF CELKEM</w:t>
            </w:r>
          </w:p>
          <w:p w14:paraId="397F9DD4" w14:textId="77777777" w:rsidR="009617F5" w:rsidRPr="009617F5" w:rsidRDefault="009617F5" w:rsidP="00286F7D">
            <w:pPr>
              <w:rPr>
                <w:rFonts w:ascii="Arial" w:hAnsi="Arial" w:cs="Arial"/>
                <w:b/>
                <w:sz w:val="18"/>
                <w:szCs w:val="20"/>
              </w:rPr>
            </w:pPr>
          </w:p>
        </w:tc>
        <w:tc>
          <w:tcPr>
            <w:tcW w:w="836" w:type="dxa"/>
            <w:shd w:val="clear" w:color="auto" w:fill="auto"/>
            <w:vAlign w:val="center"/>
          </w:tcPr>
          <w:p w14:paraId="6FD6A3A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0,0465</w:t>
            </w:r>
          </w:p>
        </w:tc>
        <w:tc>
          <w:tcPr>
            <w:tcW w:w="828" w:type="dxa"/>
            <w:shd w:val="clear" w:color="auto" w:fill="auto"/>
            <w:vAlign w:val="center"/>
          </w:tcPr>
          <w:p w14:paraId="1851557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0348DD1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1D56CF4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65A2C9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0,0465</w:t>
            </w:r>
          </w:p>
        </w:tc>
        <w:tc>
          <w:tcPr>
            <w:tcW w:w="835" w:type="dxa"/>
            <w:shd w:val="clear" w:color="auto" w:fill="auto"/>
            <w:vAlign w:val="center"/>
          </w:tcPr>
          <w:p w14:paraId="6C6E436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D1C7B0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28A8361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82F46C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8BB0BE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2AC4349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4422945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0,0465</w:t>
            </w:r>
          </w:p>
        </w:tc>
        <w:tc>
          <w:tcPr>
            <w:tcW w:w="1647" w:type="dxa"/>
            <w:shd w:val="clear" w:color="auto" w:fill="auto"/>
            <w:vAlign w:val="center"/>
          </w:tcPr>
          <w:p w14:paraId="7DA1C7B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bl>
    <w:p w14:paraId="22FA7656" w14:textId="77777777" w:rsidR="009617F5" w:rsidRPr="009617F5" w:rsidRDefault="009617F5" w:rsidP="009617F5">
      <w:pPr>
        <w:rPr>
          <w:rFonts w:ascii="Arial" w:hAnsi="Arial" w:cs="Arial"/>
          <w:b/>
          <w:color w:val="FF0000"/>
          <w:szCs w:val="28"/>
        </w:rPr>
      </w:pPr>
    </w:p>
    <w:p w14:paraId="7D9A7816"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t>Katastrální území:</w:t>
      </w:r>
      <w:r w:rsidRPr="009617F5">
        <w:rPr>
          <w:rFonts w:ascii="Arial" w:hAnsi="Arial" w:cs="Arial"/>
          <w:b/>
          <w:color w:val="FF0000"/>
          <w:sz w:val="22"/>
        </w:rPr>
        <w:tab/>
        <w:t>Boletice nad Labem</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p>
    <w:tbl>
      <w:tblPr>
        <w:tblW w:w="14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7CE4740F" w14:textId="77777777" w:rsidTr="00286F7D">
        <w:trPr>
          <w:tblHeader/>
        </w:trPr>
        <w:tc>
          <w:tcPr>
            <w:tcW w:w="833" w:type="dxa"/>
            <w:vMerge w:val="restart"/>
            <w:tcBorders>
              <w:top w:val="single" w:sz="36" w:space="0" w:color="FF0000"/>
              <w:left w:val="single" w:sz="36" w:space="0" w:color="FF0000"/>
              <w:bottom w:val="single" w:sz="4" w:space="0" w:color="auto"/>
              <w:right w:val="single" w:sz="4" w:space="0" w:color="auto"/>
            </w:tcBorders>
            <w:shd w:val="clear" w:color="auto" w:fill="auto"/>
          </w:tcPr>
          <w:p w14:paraId="29FDE2B3" w14:textId="77777777" w:rsidR="009617F5" w:rsidRPr="009617F5" w:rsidRDefault="009617F5" w:rsidP="00286F7D">
            <w:pPr>
              <w:rPr>
                <w:rFonts w:ascii="Arial" w:hAnsi="Arial" w:cs="Arial"/>
                <w:b/>
                <w:sz w:val="14"/>
                <w:szCs w:val="16"/>
              </w:rPr>
            </w:pPr>
          </w:p>
          <w:p w14:paraId="0BEEA680" w14:textId="77777777" w:rsidR="009617F5" w:rsidRPr="009617F5" w:rsidRDefault="009617F5" w:rsidP="00286F7D">
            <w:pPr>
              <w:rPr>
                <w:rFonts w:ascii="Arial" w:hAnsi="Arial" w:cs="Arial"/>
                <w:b/>
                <w:sz w:val="14"/>
                <w:szCs w:val="16"/>
              </w:rPr>
            </w:pPr>
          </w:p>
          <w:p w14:paraId="5D763C30"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tcBorders>
              <w:top w:val="single" w:sz="36" w:space="0" w:color="FF0000"/>
              <w:left w:val="single" w:sz="4" w:space="0" w:color="auto"/>
              <w:bottom w:val="single" w:sz="4" w:space="0" w:color="auto"/>
              <w:right w:val="single" w:sz="4" w:space="0" w:color="auto"/>
            </w:tcBorders>
            <w:shd w:val="clear" w:color="auto" w:fill="auto"/>
          </w:tcPr>
          <w:p w14:paraId="1BEFE66A" w14:textId="77777777" w:rsidR="009617F5" w:rsidRPr="009617F5" w:rsidRDefault="009617F5" w:rsidP="00286F7D">
            <w:pPr>
              <w:rPr>
                <w:rFonts w:ascii="Arial" w:hAnsi="Arial" w:cs="Arial"/>
                <w:b/>
                <w:sz w:val="14"/>
                <w:szCs w:val="16"/>
              </w:rPr>
            </w:pPr>
          </w:p>
          <w:p w14:paraId="5D673657" w14:textId="77777777" w:rsidR="009617F5" w:rsidRPr="009617F5" w:rsidRDefault="009617F5" w:rsidP="00286F7D">
            <w:pPr>
              <w:rPr>
                <w:rFonts w:ascii="Arial" w:hAnsi="Arial" w:cs="Arial"/>
                <w:b/>
                <w:sz w:val="14"/>
                <w:szCs w:val="16"/>
              </w:rPr>
            </w:pPr>
          </w:p>
          <w:p w14:paraId="5B9C8C88"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tcBorders>
              <w:top w:val="single" w:sz="36" w:space="0" w:color="FF0000"/>
              <w:left w:val="single" w:sz="4" w:space="0" w:color="auto"/>
              <w:bottom w:val="single" w:sz="4" w:space="0" w:color="auto"/>
              <w:right w:val="single" w:sz="4" w:space="0" w:color="auto"/>
            </w:tcBorders>
            <w:shd w:val="clear" w:color="auto" w:fill="auto"/>
          </w:tcPr>
          <w:p w14:paraId="1FC830F3" w14:textId="77777777" w:rsidR="009617F5" w:rsidRPr="009617F5" w:rsidRDefault="009617F5" w:rsidP="00286F7D">
            <w:pPr>
              <w:rPr>
                <w:rFonts w:ascii="Arial" w:hAnsi="Arial" w:cs="Arial"/>
                <w:b/>
                <w:sz w:val="14"/>
                <w:szCs w:val="16"/>
              </w:rPr>
            </w:pPr>
          </w:p>
          <w:p w14:paraId="5E0A9133"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tcBorders>
              <w:top w:val="single" w:sz="36" w:space="0" w:color="FF0000"/>
              <w:left w:val="single" w:sz="4" w:space="0" w:color="auto"/>
              <w:bottom w:val="single" w:sz="4" w:space="0" w:color="auto"/>
              <w:right w:val="single" w:sz="4" w:space="0" w:color="auto"/>
            </w:tcBorders>
            <w:shd w:val="clear" w:color="auto" w:fill="auto"/>
          </w:tcPr>
          <w:p w14:paraId="567130D6" w14:textId="77777777" w:rsidR="009617F5" w:rsidRPr="009617F5" w:rsidRDefault="009617F5" w:rsidP="00286F7D">
            <w:pPr>
              <w:rPr>
                <w:rFonts w:ascii="Arial" w:hAnsi="Arial" w:cs="Arial"/>
                <w:b/>
                <w:sz w:val="14"/>
                <w:szCs w:val="16"/>
              </w:rPr>
            </w:pPr>
          </w:p>
          <w:p w14:paraId="4F6B5D61"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podle jednotlivých kultur</w:t>
            </w:r>
          </w:p>
          <w:p w14:paraId="64EA31B2" w14:textId="77777777" w:rsidR="009617F5" w:rsidRPr="009617F5" w:rsidRDefault="009617F5" w:rsidP="00286F7D">
            <w:pPr>
              <w:rPr>
                <w:rFonts w:ascii="Arial" w:hAnsi="Arial" w:cs="Arial"/>
                <w:b/>
                <w:sz w:val="14"/>
                <w:szCs w:val="16"/>
              </w:rPr>
            </w:pPr>
            <w:r w:rsidRPr="009617F5">
              <w:rPr>
                <w:rFonts w:ascii="Arial" w:hAnsi="Arial" w:cs="Arial"/>
                <w:b/>
                <w:sz w:val="14"/>
                <w:szCs w:val="16"/>
              </w:rPr>
              <w:t>(ha)</w:t>
            </w:r>
          </w:p>
        </w:tc>
        <w:tc>
          <w:tcPr>
            <w:tcW w:w="4098" w:type="dxa"/>
            <w:gridSpan w:val="5"/>
            <w:tcBorders>
              <w:top w:val="single" w:sz="36" w:space="0" w:color="FF0000"/>
              <w:left w:val="single" w:sz="4" w:space="0" w:color="auto"/>
              <w:bottom w:val="single" w:sz="4" w:space="0" w:color="auto"/>
              <w:right w:val="single" w:sz="4" w:space="0" w:color="auto"/>
            </w:tcBorders>
            <w:shd w:val="clear" w:color="auto" w:fill="auto"/>
          </w:tcPr>
          <w:p w14:paraId="0781633E" w14:textId="77777777" w:rsidR="009617F5" w:rsidRPr="009617F5" w:rsidRDefault="009617F5" w:rsidP="00286F7D">
            <w:pPr>
              <w:rPr>
                <w:rFonts w:ascii="Arial" w:hAnsi="Arial" w:cs="Arial"/>
                <w:b/>
                <w:sz w:val="14"/>
                <w:szCs w:val="16"/>
              </w:rPr>
            </w:pPr>
          </w:p>
          <w:p w14:paraId="09C8F261"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podle tříd ochrany</w:t>
            </w:r>
          </w:p>
          <w:p w14:paraId="7D073732" w14:textId="77777777" w:rsidR="009617F5" w:rsidRPr="009617F5" w:rsidRDefault="009617F5" w:rsidP="00286F7D">
            <w:pPr>
              <w:rPr>
                <w:rFonts w:ascii="Arial" w:hAnsi="Arial" w:cs="Arial"/>
                <w:b/>
                <w:sz w:val="14"/>
                <w:szCs w:val="16"/>
              </w:rPr>
            </w:pPr>
            <w:r w:rsidRPr="009617F5">
              <w:rPr>
                <w:rFonts w:ascii="Arial" w:hAnsi="Arial" w:cs="Arial"/>
                <w:b/>
                <w:sz w:val="14"/>
                <w:szCs w:val="16"/>
              </w:rPr>
              <w:t>(ha)</w:t>
            </w:r>
          </w:p>
        </w:tc>
        <w:tc>
          <w:tcPr>
            <w:tcW w:w="1647" w:type="dxa"/>
            <w:vMerge w:val="restart"/>
            <w:tcBorders>
              <w:top w:val="single" w:sz="36" w:space="0" w:color="FF0000"/>
              <w:left w:val="single" w:sz="4" w:space="0" w:color="auto"/>
              <w:bottom w:val="single" w:sz="4" w:space="0" w:color="auto"/>
              <w:right w:val="single" w:sz="36" w:space="0" w:color="FF0000"/>
            </w:tcBorders>
            <w:shd w:val="clear" w:color="auto" w:fill="auto"/>
          </w:tcPr>
          <w:p w14:paraId="18DD6FB4" w14:textId="77777777" w:rsidR="009617F5" w:rsidRPr="009617F5" w:rsidRDefault="009617F5" w:rsidP="00286F7D">
            <w:pPr>
              <w:rPr>
                <w:rFonts w:ascii="Arial" w:hAnsi="Arial" w:cs="Arial"/>
                <w:b/>
                <w:sz w:val="14"/>
                <w:szCs w:val="16"/>
              </w:rPr>
            </w:pPr>
          </w:p>
          <w:p w14:paraId="02130DA8" w14:textId="77777777" w:rsidR="009617F5" w:rsidRPr="009617F5" w:rsidRDefault="009617F5" w:rsidP="00286F7D">
            <w:pPr>
              <w:rPr>
                <w:rFonts w:ascii="Arial" w:hAnsi="Arial" w:cs="Arial"/>
                <w:b/>
                <w:sz w:val="14"/>
                <w:szCs w:val="16"/>
              </w:rPr>
            </w:pPr>
          </w:p>
          <w:p w14:paraId="2FFFA187" w14:textId="77777777" w:rsidR="009617F5" w:rsidRPr="009617F5" w:rsidRDefault="009617F5" w:rsidP="00286F7D">
            <w:pPr>
              <w:rPr>
                <w:rFonts w:ascii="Arial" w:hAnsi="Arial" w:cs="Arial"/>
                <w:b/>
                <w:sz w:val="14"/>
                <w:szCs w:val="16"/>
              </w:rPr>
            </w:pPr>
            <w:r w:rsidRPr="009617F5">
              <w:rPr>
                <w:rFonts w:ascii="Arial" w:hAnsi="Arial" w:cs="Arial"/>
                <w:b/>
                <w:sz w:val="14"/>
                <w:szCs w:val="16"/>
              </w:rPr>
              <w:t>Investice do půdy (ha)</w:t>
            </w:r>
          </w:p>
        </w:tc>
      </w:tr>
      <w:tr w:rsidR="009617F5" w:rsidRPr="009617F5" w14:paraId="1EB70C6D" w14:textId="77777777" w:rsidTr="00286F7D">
        <w:trPr>
          <w:tblHeader/>
        </w:trPr>
        <w:tc>
          <w:tcPr>
            <w:tcW w:w="0" w:type="auto"/>
            <w:vMerge/>
            <w:tcBorders>
              <w:top w:val="single" w:sz="4" w:space="0" w:color="auto"/>
              <w:left w:val="single" w:sz="36" w:space="0" w:color="FF0000"/>
              <w:bottom w:val="single" w:sz="4" w:space="0" w:color="auto"/>
              <w:right w:val="single" w:sz="4" w:space="0" w:color="auto"/>
            </w:tcBorders>
            <w:shd w:val="clear" w:color="auto" w:fill="auto"/>
            <w:vAlign w:val="center"/>
          </w:tcPr>
          <w:p w14:paraId="6345673F" w14:textId="77777777" w:rsidR="009617F5" w:rsidRPr="009617F5" w:rsidRDefault="009617F5" w:rsidP="00286F7D">
            <w:pPr>
              <w:rPr>
                <w:rFonts w:ascii="Arial" w:hAnsi="Arial" w:cs="Arial"/>
                <w:b/>
                <w:sz w:val="14"/>
                <w:szCs w:val="16"/>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7896C934" w14:textId="77777777" w:rsidR="009617F5" w:rsidRPr="009617F5" w:rsidRDefault="009617F5" w:rsidP="00286F7D">
            <w:pPr>
              <w:rPr>
                <w:rFonts w:ascii="Arial" w:hAnsi="Arial" w:cs="Arial"/>
                <w:b/>
                <w:sz w:val="14"/>
                <w:szCs w:val="16"/>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4BB1D09E" w14:textId="77777777" w:rsidR="009617F5" w:rsidRPr="009617F5" w:rsidRDefault="009617F5" w:rsidP="00286F7D">
            <w:pPr>
              <w:rPr>
                <w:rFonts w:ascii="Arial" w:hAnsi="Arial" w:cs="Arial"/>
                <w:b/>
                <w:sz w:val="14"/>
                <w:szCs w:val="16"/>
              </w:rPr>
            </w:pPr>
          </w:p>
        </w:tc>
        <w:tc>
          <w:tcPr>
            <w:tcW w:w="828" w:type="dxa"/>
            <w:tcBorders>
              <w:top w:val="single" w:sz="4" w:space="0" w:color="auto"/>
              <w:left w:val="single" w:sz="4" w:space="0" w:color="auto"/>
              <w:bottom w:val="single" w:sz="4" w:space="0" w:color="auto"/>
              <w:right w:val="single" w:sz="4" w:space="0" w:color="auto"/>
            </w:tcBorders>
            <w:shd w:val="clear" w:color="auto" w:fill="auto"/>
          </w:tcPr>
          <w:p w14:paraId="7F9D19A2"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tcBorders>
              <w:top w:val="single" w:sz="4" w:space="0" w:color="auto"/>
              <w:left w:val="single" w:sz="4" w:space="0" w:color="auto"/>
              <w:bottom w:val="single" w:sz="4" w:space="0" w:color="auto"/>
              <w:right w:val="single" w:sz="4" w:space="0" w:color="auto"/>
            </w:tcBorders>
            <w:shd w:val="clear" w:color="auto" w:fill="auto"/>
          </w:tcPr>
          <w:p w14:paraId="48ED4CB2"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tcBorders>
              <w:top w:val="single" w:sz="4" w:space="0" w:color="auto"/>
              <w:left w:val="single" w:sz="4" w:space="0" w:color="auto"/>
              <w:bottom w:val="single" w:sz="4" w:space="0" w:color="auto"/>
              <w:right w:val="single" w:sz="4" w:space="0" w:color="auto"/>
            </w:tcBorders>
            <w:shd w:val="clear" w:color="auto" w:fill="auto"/>
          </w:tcPr>
          <w:p w14:paraId="52A4116B"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tcBorders>
              <w:top w:val="single" w:sz="4" w:space="0" w:color="auto"/>
              <w:left w:val="single" w:sz="4" w:space="0" w:color="auto"/>
              <w:bottom w:val="single" w:sz="4" w:space="0" w:color="auto"/>
              <w:right w:val="single" w:sz="4" w:space="0" w:color="auto"/>
            </w:tcBorders>
            <w:shd w:val="clear" w:color="auto" w:fill="auto"/>
          </w:tcPr>
          <w:p w14:paraId="7B3D1E05"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tcBorders>
              <w:top w:val="single" w:sz="4" w:space="0" w:color="auto"/>
              <w:left w:val="single" w:sz="4" w:space="0" w:color="auto"/>
              <w:bottom w:val="single" w:sz="4" w:space="0" w:color="auto"/>
              <w:right w:val="single" w:sz="4" w:space="0" w:color="auto"/>
            </w:tcBorders>
            <w:shd w:val="clear" w:color="auto" w:fill="auto"/>
          </w:tcPr>
          <w:p w14:paraId="72B59216"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tcBorders>
              <w:top w:val="single" w:sz="4" w:space="0" w:color="auto"/>
              <w:left w:val="single" w:sz="4" w:space="0" w:color="auto"/>
              <w:bottom w:val="single" w:sz="4" w:space="0" w:color="auto"/>
              <w:right w:val="single" w:sz="4" w:space="0" w:color="auto"/>
            </w:tcBorders>
            <w:shd w:val="clear" w:color="auto" w:fill="auto"/>
          </w:tcPr>
          <w:p w14:paraId="3AB241F7"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tcBorders>
              <w:top w:val="single" w:sz="4" w:space="0" w:color="auto"/>
              <w:left w:val="single" w:sz="4" w:space="0" w:color="auto"/>
              <w:bottom w:val="single" w:sz="4" w:space="0" w:color="auto"/>
              <w:right w:val="single" w:sz="4" w:space="0" w:color="auto"/>
            </w:tcBorders>
            <w:shd w:val="clear" w:color="auto" w:fill="auto"/>
          </w:tcPr>
          <w:p w14:paraId="639970D4"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tcBorders>
              <w:top w:val="single" w:sz="4" w:space="0" w:color="auto"/>
              <w:left w:val="single" w:sz="4" w:space="0" w:color="auto"/>
              <w:bottom w:val="single" w:sz="4" w:space="0" w:color="auto"/>
              <w:right w:val="single" w:sz="4" w:space="0" w:color="auto"/>
            </w:tcBorders>
            <w:shd w:val="clear" w:color="auto" w:fill="auto"/>
          </w:tcPr>
          <w:p w14:paraId="108A5587"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tcBorders>
              <w:top w:val="single" w:sz="4" w:space="0" w:color="auto"/>
              <w:left w:val="single" w:sz="4" w:space="0" w:color="auto"/>
              <w:bottom w:val="single" w:sz="4" w:space="0" w:color="auto"/>
              <w:right w:val="single" w:sz="4" w:space="0" w:color="auto"/>
            </w:tcBorders>
            <w:shd w:val="clear" w:color="auto" w:fill="auto"/>
          </w:tcPr>
          <w:p w14:paraId="25FFCDB9"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tcBorders>
              <w:top w:val="single" w:sz="4" w:space="0" w:color="auto"/>
              <w:left w:val="single" w:sz="4" w:space="0" w:color="auto"/>
              <w:bottom w:val="single" w:sz="4" w:space="0" w:color="auto"/>
              <w:right w:val="single" w:sz="4" w:space="0" w:color="auto"/>
            </w:tcBorders>
            <w:shd w:val="clear" w:color="auto" w:fill="auto"/>
          </w:tcPr>
          <w:p w14:paraId="6183F617"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tcBorders>
              <w:top w:val="single" w:sz="4" w:space="0" w:color="auto"/>
              <w:left w:val="single" w:sz="4" w:space="0" w:color="auto"/>
              <w:bottom w:val="single" w:sz="4" w:space="0" w:color="auto"/>
              <w:right w:val="single" w:sz="4" w:space="0" w:color="auto"/>
            </w:tcBorders>
            <w:shd w:val="clear" w:color="auto" w:fill="auto"/>
          </w:tcPr>
          <w:p w14:paraId="1E84BFED"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0" w:type="auto"/>
            <w:vMerge/>
            <w:tcBorders>
              <w:top w:val="single" w:sz="4" w:space="0" w:color="auto"/>
              <w:left w:val="single" w:sz="4" w:space="0" w:color="auto"/>
              <w:bottom w:val="single" w:sz="4" w:space="0" w:color="auto"/>
              <w:right w:val="single" w:sz="36" w:space="0" w:color="FF0000"/>
            </w:tcBorders>
            <w:shd w:val="clear" w:color="auto" w:fill="auto"/>
            <w:vAlign w:val="center"/>
          </w:tcPr>
          <w:p w14:paraId="65C3AC54" w14:textId="77777777" w:rsidR="009617F5" w:rsidRPr="009617F5" w:rsidRDefault="009617F5" w:rsidP="00286F7D">
            <w:pPr>
              <w:rPr>
                <w:rFonts w:ascii="Arial" w:hAnsi="Arial" w:cs="Arial"/>
                <w:b/>
                <w:sz w:val="14"/>
                <w:szCs w:val="16"/>
              </w:rPr>
            </w:pPr>
          </w:p>
        </w:tc>
      </w:tr>
      <w:tr w:rsidR="009617F5" w:rsidRPr="009617F5" w14:paraId="5CD64DE4" w14:textId="77777777" w:rsidTr="00286F7D">
        <w:trPr>
          <w:trHeight w:val="397"/>
        </w:trPr>
        <w:tc>
          <w:tcPr>
            <w:tcW w:w="833" w:type="dxa"/>
            <w:tcBorders>
              <w:top w:val="single" w:sz="4" w:space="0" w:color="auto"/>
              <w:left w:val="single" w:sz="36" w:space="0" w:color="FF0000"/>
              <w:bottom w:val="single" w:sz="4" w:space="0" w:color="auto"/>
              <w:right w:val="single" w:sz="4" w:space="0" w:color="auto"/>
            </w:tcBorders>
            <w:shd w:val="clear" w:color="auto" w:fill="auto"/>
            <w:vAlign w:val="center"/>
          </w:tcPr>
          <w:p w14:paraId="6F647960" w14:textId="77777777" w:rsidR="009617F5" w:rsidRPr="009617F5" w:rsidRDefault="009617F5" w:rsidP="00286F7D">
            <w:pPr>
              <w:rPr>
                <w:rFonts w:ascii="Arial" w:hAnsi="Arial" w:cs="Arial"/>
                <w:b/>
                <w:sz w:val="14"/>
                <w:szCs w:val="16"/>
              </w:rPr>
            </w:pPr>
            <w:r w:rsidRPr="009617F5">
              <w:rPr>
                <w:rFonts w:ascii="Arial" w:hAnsi="Arial" w:cs="Arial"/>
                <w:b/>
                <w:sz w:val="14"/>
                <w:szCs w:val="16"/>
              </w:rPr>
              <w:t>8Z-55</w:t>
            </w:r>
          </w:p>
        </w:tc>
        <w:tc>
          <w:tcPr>
            <w:tcW w:w="1641" w:type="dxa"/>
            <w:tcBorders>
              <w:top w:val="single" w:sz="4" w:space="0" w:color="auto"/>
              <w:left w:val="single" w:sz="4" w:space="0" w:color="auto"/>
              <w:bottom w:val="single" w:sz="4" w:space="0" w:color="auto"/>
              <w:right w:val="single" w:sz="4" w:space="0" w:color="auto"/>
            </w:tcBorders>
            <w:shd w:val="clear" w:color="auto" w:fill="auto"/>
            <w:vAlign w:val="center"/>
          </w:tcPr>
          <w:p w14:paraId="7C915886"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6EFE083C" w14:textId="77777777" w:rsidR="009617F5" w:rsidRPr="009617F5" w:rsidRDefault="009617F5" w:rsidP="00286F7D">
            <w:pPr>
              <w:rPr>
                <w:rFonts w:ascii="Arial" w:hAnsi="Arial" w:cs="Arial"/>
                <w:b/>
                <w:sz w:val="14"/>
                <w:szCs w:val="16"/>
              </w:rPr>
            </w:pPr>
            <w:r w:rsidRPr="009617F5">
              <w:rPr>
                <w:rFonts w:ascii="Arial" w:hAnsi="Arial" w:cs="Arial"/>
                <w:b/>
                <w:sz w:val="14"/>
                <w:szCs w:val="16"/>
              </w:rPr>
              <w:t>0,3207</w:t>
            </w:r>
          </w:p>
        </w:tc>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14:paraId="228ED3D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14:paraId="5C62BF0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tcBorders>
              <w:top w:val="single" w:sz="4" w:space="0" w:color="auto"/>
              <w:left w:val="single" w:sz="4" w:space="0" w:color="auto"/>
              <w:bottom w:val="single" w:sz="4" w:space="0" w:color="auto"/>
              <w:right w:val="single" w:sz="4" w:space="0" w:color="auto"/>
            </w:tcBorders>
            <w:shd w:val="clear" w:color="auto" w:fill="auto"/>
            <w:vAlign w:val="center"/>
          </w:tcPr>
          <w:p w14:paraId="5347E93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08CA526D" w14:textId="77777777" w:rsidR="009617F5" w:rsidRPr="009617F5" w:rsidRDefault="009617F5" w:rsidP="00286F7D">
            <w:pPr>
              <w:rPr>
                <w:rFonts w:ascii="Arial" w:hAnsi="Arial" w:cs="Arial"/>
                <w:b/>
                <w:sz w:val="14"/>
                <w:szCs w:val="16"/>
              </w:rPr>
            </w:pPr>
            <w:r w:rsidRPr="009617F5">
              <w:rPr>
                <w:rFonts w:ascii="Arial" w:hAnsi="Arial" w:cs="Arial"/>
                <w:b/>
                <w:sz w:val="14"/>
                <w:szCs w:val="16"/>
              </w:rPr>
              <w:t>0,0044</w:t>
            </w:r>
          </w:p>
        </w:tc>
        <w:tc>
          <w:tcPr>
            <w:tcW w:w="835" w:type="dxa"/>
            <w:tcBorders>
              <w:top w:val="single" w:sz="4" w:space="0" w:color="auto"/>
              <w:left w:val="single" w:sz="4" w:space="0" w:color="auto"/>
              <w:bottom w:val="single" w:sz="4" w:space="0" w:color="auto"/>
              <w:right w:val="single" w:sz="4" w:space="0" w:color="auto"/>
            </w:tcBorders>
            <w:shd w:val="clear" w:color="auto" w:fill="auto"/>
            <w:vAlign w:val="center"/>
          </w:tcPr>
          <w:p w14:paraId="54C8CD9A" w14:textId="77777777" w:rsidR="009617F5" w:rsidRPr="009617F5" w:rsidRDefault="009617F5" w:rsidP="00286F7D">
            <w:pPr>
              <w:rPr>
                <w:rFonts w:ascii="Arial" w:hAnsi="Arial" w:cs="Arial"/>
                <w:b/>
                <w:sz w:val="14"/>
                <w:szCs w:val="16"/>
              </w:rPr>
            </w:pPr>
            <w:r w:rsidRPr="009617F5">
              <w:rPr>
                <w:rFonts w:ascii="Arial" w:hAnsi="Arial" w:cs="Arial"/>
                <w:b/>
                <w:sz w:val="14"/>
                <w:szCs w:val="16"/>
              </w:rPr>
              <w:t>0,3163</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36847B0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14:paraId="13701BC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tcBorders>
              <w:top w:val="single" w:sz="4" w:space="0" w:color="auto"/>
              <w:left w:val="single" w:sz="4" w:space="0" w:color="auto"/>
              <w:bottom w:val="single" w:sz="4" w:space="0" w:color="auto"/>
              <w:right w:val="single" w:sz="4" w:space="0" w:color="auto"/>
            </w:tcBorders>
            <w:shd w:val="clear" w:color="auto" w:fill="auto"/>
            <w:vAlign w:val="center"/>
          </w:tcPr>
          <w:p w14:paraId="4EE6542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tcBorders>
              <w:top w:val="single" w:sz="4" w:space="0" w:color="auto"/>
              <w:left w:val="single" w:sz="4" w:space="0" w:color="auto"/>
              <w:bottom w:val="single" w:sz="4" w:space="0" w:color="auto"/>
              <w:right w:val="single" w:sz="4" w:space="0" w:color="auto"/>
            </w:tcBorders>
            <w:shd w:val="clear" w:color="auto" w:fill="auto"/>
            <w:vAlign w:val="center"/>
          </w:tcPr>
          <w:p w14:paraId="7537DC4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center"/>
          </w:tcPr>
          <w:p w14:paraId="7B0A3D6C" w14:textId="77777777" w:rsidR="009617F5" w:rsidRPr="009617F5" w:rsidRDefault="009617F5" w:rsidP="00286F7D">
            <w:pPr>
              <w:rPr>
                <w:rFonts w:ascii="Arial" w:hAnsi="Arial" w:cs="Arial"/>
                <w:b/>
                <w:sz w:val="14"/>
                <w:szCs w:val="16"/>
              </w:rPr>
            </w:pPr>
            <w:r w:rsidRPr="009617F5">
              <w:rPr>
                <w:rFonts w:ascii="Arial" w:hAnsi="Arial" w:cs="Arial"/>
                <w:b/>
                <w:sz w:val="14"/>
                <w:szCs w:val="16"/>
              </w:rPr>
              <w:t>0,2522</w:t>
            </w:r>
          </w:p>
        </w:tc>
        <w:tc>
          <w:tcPr>
            <w:tcW w:w="821" w:type="dxa"/>
            <w:tcBorders>
              <w:top w:val="single" w:sz="4" w:space="0" w:color="auto"/>
              <w:left w:val="single" w:sz="4" w:space="0" w:color="auto"/>
              <w:bottom w:val="single" w:sz="4" w:space="0" w:color="auto"/>
              <w:right w:val="single" w:sz="4" w:space="0" w:color="auto"/>
            </w:tcBorders>
            <w:shd w:val="clear" w:color="auto" w:fill="auto"/>
            <w:vAlign w:val="center"/>
          </w:tcPr>
          <w:p w14:paraId="52E349E6" w14:textId="77777777" w:rsidR="009617F5" w:rsidRPr="009617F5" w:rsidRDefault="009617F5" w:rsidP="00286F7D">
            <w:pPr>
              <w:rPr>
                <w:rFonts w:ascii="Arial" w:hAnsi="Arial" w:cs="Arial"/>
                <w:b/>
                <w:sz w:val="14"/>
                <w:szCs w:val="16"/>
              </w:rPr>
            </w:pPr>
            <w:r w:rsidRPr="009617F5">
              <w:rPr>
                <w:rFonts w:ascii="Arial" w:hAnsi="Arial" w:cs="Arial"/>
                <w:b/>
                <w:sz w:val="14"/>
                <w:szCs w:val="16"/>
              </w:rPr>
              <w:t>0,0685</w:t>
            </w:r>
          </w:p>
        </w:tc>
        <w:tc>
          <w:tcPr>
            <w:tcW w:w="1647" w:type="dxa"/>
            <w:tcBorders>
              <w:top w:val="single" w:sz="4" w:space="0" w:color="auto"/>
              <w:left w:val="single" w:sz="4" w:space="0" w:color="auto"/>
              <w:bottom w:val="single" w:sz="4" w:space="0" w:color="auto"/>
              <w:right w:val="single" w:sz="36" w:space="0" w:color="FF0000"/>
            </w:tcBorders>
            <w:shd w:val="clear" w:color="auto" w:fill="auto"/>
            <w:vAlign w:val="center"/>
          </w:tcPr>
          <w:p w14:paraId="7496EB8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4039557F" w14:textId="77777777" w:rsidTr="00286F7D">
        <w:trPr>
          <w:trHeight w:val="397"/>
        </w:trPr>
        <w:tc>
          <w:tcPr>
            <w:tcW w:w="2474" w:type="dxa"/>
            <w:gridSpan w:val="2"/>
            <w:tcBorders>
              <w:top w:val="single" w:sz="4" w:space="0" w:color="auto"/>
              <w:left w:val="single" w:sz="36" w:space="0" w:color="FF0000"/>
              <w:bottom w:val="single" w:sz="4" w:space="0" w:color="auto"/>
              <w:right w:val="single" w:sz="4" w:space="0" w:color="auto"/>
            </w:tcBorders>
            <w:shd w:val="clear" w:color="auto" w:fill="auto"/>
            <w:vAlign w:val="center"/>
          </w:tcPr>
          <w:p w14:paraId="24771858"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 celkem:</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07EDACC2" w14:textId="77777777" w:rsidR="009617F5" w:rsidRPr="009617F5" w:rsidRDefault="009617F5" w:rsidP="00286F7D">
            <w:pPr>
              <w:rPr>
                <w:rFonts w:ascii="Arial" w:hAnsi="Arial" w:cs="Arial"/>
                <w:b/>
                <w:sz w:val="14"/>
                <w:szCs w:val="16"/>
              </w:rPr>
            </w:pPr>
            <w:r w:rsidRPr="009617F5">
              <w:rPr>
                <w:rFonts w:ascii="Arial" w:hAnsi="Arial" w:cs="Arial"/>
                <w:b/>
                <w:sz w:val="14"/>
                <w:szCs w:val="16"/>
              </w:rPr>
              <w:t>0,3207</w:t>
            </w:r>
          </w:p>
        </w:tc>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14:paraId="4409383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14:paraId="30BE5020"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tcBorders>
              <w:top w:val="single" w:sz="4" w:space="0" w:color="auto"/>
              <w:left w:val="single" w:sz="4" w:space="0" w:color="auto"/>
              <w:bottom w:val="single" w:sz="4" w:space="0" w:color="auto"/>
              <w:right w:val="single" w:sz="4" w:space="0" w:color="auto"/>
            </w:tcBorders>
            <w:shd w:val="clear" w:color="auto" w:fill="auto"/>
            <w:vAlign w:val="center"/>
          </w:tcPr>
          <w:p w14:paraId="1014B3A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053D6B03" w14:textId="77777777" w:rsidR="009617F5" w:rsidRPr="009617F5" w:rsidRDefault="009617F5" w:rsidP="00286F7D">
            <w:pPr>
              <w:rPr>
                <w:rFonts w:ascii="Arial" w:hAnsi="Arial" w:cs="Arial"/>
                <w:b/>
                <w:sz w:val="14"/>
                <w:szCs w:val="16"/>
              </w:rPr>
            </w:pPr>
            <w:r w:rsidRPr="009617F5">
              <w:rPr>
                <w:rFonts w:ascii="Arial" w:hAnsi="Arial" w:cs="Arial"/>
                <w:b/>
                <w:sz w:val="14"/>
                <w:szCs w:val="16"/>
              </w:rPr>
              <w:t>0,0044</w:t>
            </w:r>
          </w:p>
        </w:tc>
        <w:tc>
          <w:tcPr>
            <w:tcW w:w="835" w:type="dxa"/>
            <w:tcBorders>
              <w:top w:val="single" w:sz="4" w:space="0" w:color="auto"/>
              <w:left w:val="single" w:sz="4" w:space="0" w:color="auto"/>
              <w:bottom w:val="single" w:sz="4" w:space="0" w:color="auto"/>
              <w:right w:val="single" w:sz="4" w:space="0" w:color="auto"/>
            </w:tcBorders>
            <w:shd w:val="clear" w:color="auto" w:fill="auto"/>
            <w:vAlign w:val="center"/>
          </w:tcPr>
          <w:p w14:paraId="203EF4EF" w14:textId="77777777" w:rsidR="009617F5" w:rsidRPr="009617F5" w:rsidRDefault="009617F5" w:rsidP="00286F7D">
            <w:pPr>
              <w:rPr>
                <w:rFonts w:ascii="Arial" w:hAnsi="Arial" w:cs="Arial"/>
                <w:b/>
                <w:sz w:val="14"/>
                <w:szCs w:val="16"/>
              </w:rPr>
            </w:pPr>
            <w:r w:rsidRPr="009617F5">
              <w:rPr>
                <w:rFonts w:ascii="Arial" w:hAnsi="Arial" w:cs="Arial"/>
                <w:b/>
                <w:sz w:val="14"/>
                <w:szCs w:val="16"/>
              </w:rPr>
              <w:t>0,3163</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2A473A0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14:paraId="098B24F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tcBorders>
              <w:top w:val="single" w:sz="4" w:space="0" w:color="auto"/>
              <w:left w:val="single" w:sz="4" w:space="0" w:color="auto"/>
              <w:bottom w:val="single" w:sz="4" w:space="0" w:color="auto"/>
              <w:right w:val="single" w:sz="4" w:space="0" w:color="auto"/>
            </w:tcBorders>
            <w:shd w:val="clear" w:color="auto" w:fill="auto"/>
            <w:vAlign w:val="center"/>
          </w:tcPr>
          <w:p w14:paraId="3A17126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tcBorders>
              <w:top w:val="single" w:sz="4" w:space="0" w:color="auto"/>
              <w:left w:val="single" w:sz="4" w:space="0" w:color="auto"/>
              <w:bottom w:val="single" w:sz="4" w:space="0" w:color="auto"/>
              <w:right w:val="single" w:sz="4" w:space="0" w:color="auto"/>
            </w:tcBorders>
            <w:shd w:val="clear" w:color="auto" w:fill="auto"/>
            <w:vAlign w:val="center"/>
          </w:tcPr>
          <w:p w14:paraId="222A6D29"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2" w:type="dxa"/>
            <w:tcBorders>
              <w:top w:val="single" w:sz="4" w:space="0" w:color="auto"/>
              <w:left w:val="single" w:sz="4" w:space="0" w:color="auto"/>
              <w:bottom w:val="single" w:sz="4" w:space="0" w:color="auto"/>
              <w:right w:val="single" w:sz="4" w:space="0" w:color="auto"/>
            </w:tcBorders>
            <w:shd w:val="clear" w:color="auto" w:fill="auto"/>
            <w:vAlign w:val="center"/>
          </w:tcPr>
          <w:p w14:paraId="50AA930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1" w:type="dxa"/>
            <w:tcBorders>
              <w:top w:val="single" w:sz="4" w:space="0" w:color="auto"/>
              <w:left w:val="single" w:sz="4" w:space="0" w:color="auto"/>
              <w:bottom w:val="single" w:sz="4" w:space="0" w:color="auto"/>
              <w:right w:val="single" w:sz="4" w:space="0" w:color="auto"/>
            </w:tcBorders>
            <w:shd w:val="clear" w:color="auto" w:fill="auto"/>
            <w:vAlign w:val="center"/>
          </w:tcPr>
          <w:p w14:paraId="3AD6C11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647" w:type="dxa"/>
            <w:tcBorders>
              <w:top w:val="single" w:sz="4" w:space="0" w:color="auto"/>
              <w:left w:val="single" w:sz="4" w:space="0" w:color="auto"/>
              <w:bottom w:val="single" w:sz="4" w:space="0" w:color="auto"/>
              <w:right w:val="single" w:sz="36" w:space="0" w:color="FF0000"/>
            </w:tcBorders>
            <w:shd w:val="clear" w:color="auto" w:fill="auto"/>
            <w:vAlign w:val="center"/>
          </w:tcPr>
          <w:p w14:paraId="5BBB6C5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6383F75F" w14:textId="77777777" w:rsidTr="00286F7D">
        <w:trPr>
          <w:trHeight w:val="397"/>
        </w:trPr>
        <w:tc>
          <w:tcPr>
            <w:tcW w:w="833" w:type="dxa"/>
            <w:tcBorders>
              <w:top w:val="single" w:sz="4" w:space="0" w:color="auto"/>
              <w:left w:val="single" w:sz="36" w:space="0" w:color="FF0000"/>
              <w:bottom w:val="single" w:sz="4" w:space="0" w:color="auto"/>
              <w:right w:val="single" w:sz="4" w:space="0" w:color="auto"/>
            </w:tcBorders>
            <w:shd w:val="clear" w:color="auto" w:fill="auto"/>
            <w:vAlign w:val="center"/>
          </w:tcPr>
          <w:p w14:paraId="7291D2EF" w14:textId="77777777" w:rsidR="009617F5" w:rsidRPr="009617F5" w:rsidRDefault="009617F5" w:rsidP="00286F7D">
            <w:pPr>
              <w:rPr>
                <w:rFonts w:ascii="Arial" w:hAnsi="Arial" w:cs="Arial"/>
                <w:b/>
                <w:sz w:val="14"/>
                <w:szCs w:val="16"/>
              </w:rPr>
            </w:pPr>
            <w:r w:rsidRPr="009617F5">
              <w:rPr>
                <w:rFonts w:ascii="Arial" w:hAnsi="Arial" w:cs="Arial"/>
                <w:b/>
                <w:sz w:val="14"/>
                <w:szCs w:val="16"/>
              </w:rPr>
              <w:t>8Z-36</w:t>
            </w:r>
          </w:p>
        </w:tc>
        <w:tc>
          <w:tcPr>
            <w:tcW w:w="1641" w:type="dxa"/>
            <w:tcBorders>
              <w:top w:val="single" w:sz="4" w:space="0" w:color="auto"/>
              <w:left w:val="single" w:sz="4" w:space="0" w:color="auto"/>
              <w:bottom w:val="single" w:sz="4" w:space="0" w:color="auto"/>
              <w:right w:val="single" w:sz="4" w:space="0" w:color="auto"/>
            </w:tcBorders>
            <w:shd w:val="clear" w:color="auto" w:fill="auto"/>
            <w:vAlign w:val="center"/>
          </w:tcPr>
          <w:p w14:paraId="5F5606F2"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rekreace</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02554FF4" w14:textId="77777777" w:rsidR="009617F5" w:rsidRPr="009617F5" w:rsidRDefault="009617F5" w:rsidP="00286F7D">
            <w:pPr>
              <w:rPr>
                <w:rFonts w:ascii="Arial" w:hAnsi="Arial" w:cs="Arial"/>
                <w:b/>
                <w:sz w:val="14"/>
                <w:szCs w:val="16"/>
              </w:rPr>
            </w:pPr>
            <w:r w:rsidRPr="009617F5">
              <w:rPr>
                <w:rFonts w:ascii="Arial" w:hAnsi="Arial" w:cs="Arial"/>
                <w:b/>
                <w:sz w:val="14"/>
                <w:szCs w:val="16"/>
              </w:rPr>
              <w:t>0,1202</w:t>
            </w:r>
          </w:p>
        </w:tc>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14:paraId="1DE8F58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14:paraId="0D20AE4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tcBorders>
              <w:top w:val="single" w:sz="4" w:space="0" w:color="auto"/>
              <w:left w:val="single" w:sz="4" w:space="0" w:color="auto"/>
              <w:bottom w:val="single" w:sz="4" w:space="0" w:color="auto"/>
              <w:right w:val="single" w:sz="4" w:space="0" w:color="auto"/>
            </w:tcBorders>
            <w:shd w:val="clear" w:color="auto" w:fill="auto"/>
            <w:vAlign w:val="center"/>
          </w:tcPr>
          <w:p w14:paraId="39CB20B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40B3633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5" w:type="dxa"/>
            <w:tcBorders>
              <w:top w:val="single" w:sz="4" w:space="0" w:color="auto"/>
              <w:left w:val="single" w:sz="4" w:space="0" w:color="auto"/>
              <w:bottom w:val="single" w:sz="4" w:space="0" w:color="auto"/>
              <w:right w:val="single" w:sz="4" w:space="0" w:color="auto"/>
            </w:tcBorders>
            <w:shd w:val="clear" w:color="auto" w:fill="auto"/>
            <w:vAlign w:val="center"/>
          </w:tcPr>
          <w:p w14:paraId="3CF271E0"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3C0774FE" w14:textId="77777777" w:rsidR="009617F5" w:rsidRPr="009617F5" w:rsidRDefault="009617F5" w:rsidP="00286F7D">
            <w:pPr>
              <w:rPr>
                <w:rFonts w:ascii="Arial" w:hAnsi="Arial" w:cs="Arial"/>
                <w:b/>
                <w:sz w:val="14"/>
                <w:szCs w:val="16"/>
              </w:rPr>
            </w:pPr>
            <w:r w:rsidRPr="009617F5">
              <w:rPr>
                <w:rFonts w:ascii="Arial" w:hAnsi="Arial" w:cs="Arial"/>
                <w:b/>
                <w:sz w:val="14"/>
                <w:szCs w:val="16"/>
              </w:rPr>
              <w:t>0,1202</w:t>
            </w:r>
          </w:p>
        </w:tc>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14:paraId="05200D3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tcBorders>
              <w:top w:val="single" w:sz="4" w:space="0" w:color="auto"/>
              <w:left w:val="single" w:sz="4" w:space="0" w:color="auto"/>
              <w:bottom w:val="single" w:sz="4" w:space="0" w:color="auto"/>
              <w:right w:val="single" w:sz="4" w:space="0" w:color="auto"/>
            </w:tcBorders>
            <w:shd w:val="clear" w:color="auto" w:fill="auto"/>
            <w:vAlign w:val="center"/>
          </w:tcPr>
          <w:p w14:paraId="39A7C1C2" w14:textId="77777777" w:rsidR="009617F5" w:rsidRPr="009617F5" w:rsidRDefault="009617F5" w:rsidP="00286F7D">
            <w:pPr>
              <w:rPr>
                <w:rFonts w:ascii="Arial" w:hAnsi="Arial" w:cs="Arial"/>
                <w:b/>
                <w:sz w:val="14"/>
                <w:szCs w:val="16"/>
              </w:rPr>
            </w:pPr>
            <w:r w:rsidRPr="009617F5">
              <w:rPr>
                <w:rFonts w:ascii="Arial" w:hAnsi="Arial" w:cs="Arial"/>
                <w:b/>
                <w:sz w:val="14"/>
                <w:szCs w:val="16"/>
              </w:rPr>
              <w:t>0,1176</w:t>
            </w:r>
          </w:p>
        </w:tc>
        <w:tc>
          <w:tcPr>
            <w:tcW w:w="819" w:type="dxa"/>
            <w:tcBorders>
              <w:top w:val="single" w:sz="4" w:space="0" w:color="auto"/>
              <w:left w:val="single" w:sz="4" w:space="0" w:color="auto"/>
              <w:bottom w:val="single" w:sz="4" w:space="0" w:color="auto"/>
              <w:right w:val="single" w:sz="4" w:space="0" w:color="auto"/>
            </w:tcBorders>
            <w:shd w:val="clear" w:color="auto" w:fill="auto"/>
            <w:vAlign w:val="center"/>
          </w:tcPr>
          <w:p w14:paraId="73C113F4" w14:textId="77777777" w:rsidR="009617F5" w:rsidRPr="009617F5" w:rsidRDefault="009617F5" w:rsidP="00286F7D">
            <w:pPr>
              <w:rPr>
                <w:rFonts w:ascii="Arial" w:hAnsi="Arial" w:cs="Arial"/>
                <w:b/>
                <w:sz w:val="14"/>
                <w:szCs w:val="16"/>
              </w:rPr>
            </w:pPr>
            <w:r w:rsidRPr="009617F5">
              <w:rPr>
                <w:rFonts w:ascii="Arial" w:hAnsi="Arial" w:cs="Arial"/>
                <w:b/>
                <w:sz w:val="14"/>
                <w:szCs w:val="16"/>
              </w:rPr>
              <w:t>0,0026</w:t>
            </w:r>
          </w:p>
        </w:tc>
        <w:tc>
          <w:tcPr>
            <w:tcW w:w="822" w:type="dxa"/>
            <w:tcBorders>
              <w:top w:val="single" w:sz="4" w:space="0" w:color="auto"/>
              <w:left w:val="single" w:sz="4" w:space="0" w:color="auto"/>
              <w:bottom w:val="single" w:sz="4" w:space="0" w:color="auto"/>
              <w:right w:val="single" w:sz="4" w:space="0" w:color="auto"/>
            </w:tcBorders>
            <w:shd w:val="clear" w:color="auto" w:fill="auto"/>
            <w:vAlign w:val="center"/>
          </w:tcPr>
          <w:p w14:paraId="512767B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1" w:type="dxa"/>
            <w:tcBorders>
              <w:top w:val="single" w:sz="4" w:space="0" w:color="auto"/>
              <w:left w:val="single" w:sz="4" w:space="0" w:color="auto"/>
              <w:bottom w:val="single" w:sz="4" w:space="0" w:color="auto"/>
              <w:right w:val="single" w:sz="4" w:space="0" w:color="auto"/>
            </w:tcBorders>
            <w:shd w:val="clear" w:color="auto" w:fill="auto"/>
            <w:vAlign w:val="center"/>
          </w:tcPr>
          <w:p w14:paraId="6FC366F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647" w:type="dxa"/>
            <w:tcBorders>
              <w:top w:val="single" w:sz="4" w:space="0" w:color="auto"/>
              <w:left w:val="single" w:sz="4" w:space="0" w:color="auto"/>
              <w:bottom w:val="single" w:sz="4" w:space="0" w:color="auto"/>
              <w:right w:val="single" w:sz="36" w:space="0" w:color="FF0000"/>
            </w:tcBorders>
            <w:shd w:val="clear" w:color="auto" w:fill="auto"/>
            <w:vAlign w:val="center"/>
          </w:tcPr>
          <w:p w14:paraId="36512EF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105728DD" w14:textId="77777777" w:rsidTr="00286F7D">
        <w:trPr>
          <w:trHeight w:val="397"/>
        </w:trPr>
        <w:tc>
          <w:tcPr>
            <w:tcW w:w="2474" w:type="dxa"/>
            <w:gridSpan w:val="2"/>
            <w:tcBorders>
              <w:top w:val="single" w:sz="4" w:space="0" w:color="auto"/>
              <w:left w:val="single" w:sz="36" w:space="0" w:color="FF0000"/>
              <w:bottom w:val="single" w:sz="4" w:space="0" w:color="auto"/>
              <w:right w:val="single" w:sz="4" w:space="0" w:color="auto"/>
            </w:tcBorders>
            <w:shd w:val="clear" w:color="auto" w:fill="auto"/>
            <w:vAlign w:val="center"/>
          </w:tcPr>
          <w:p w14:paraId="58B5ED73" w14:textId="77777777" w:rsidR="009617F5" w:rsidRPr="009617F5" w:rsidRDefault="009617F5" w:rsidP="00286F7D">
            <w:pPr>
              <w:rPr>
                <w:rFonts w:ascii="Arial" w:hAnsi="Arial" w:cs="Arial"/>
                <w:b/>
                <w:sz w:val="14"/>
                <w:szCs w:val="16"/>
              </w:rPr>
            </w:pPr>
            <w:r w:rsidRPr="009617F5">
              <w:rPr>
                <w:rFonts w:ascii="Arial" w:hAnsi="Arial" w:cs="Arial"/>
                <w:b/>
                <w:sz w:val="14"/>
                <w:szCs w:val="16"/>
              </w:rPr>
              <w:t>BOLETICE</w:t>
            </w:r>
          </w:p>
          <w:p w14:paraId="56632ADE"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rekreace celkem:</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35707B8A" w14:textId="77777777" w:rsidR="009617F5" w:rsidRPr="009617F5" w:rsidRDefault="009617F5" w:rsidP="00286F7D">
            <w:pPr>
              <w:rPr>
                <w:rFonts w:ascii="Arial" w:hAnsi="Arial" w:cs="Arial"/>
                <w:b/>
                <w:sz w:val="14"/>
                <w:szCs w:val="16"/>
              </w:rPr>
            </w:pPr>
            <w:r w:rsidRPr="009617F5">
              <w:rPr>
                <w:rFonts w:ascii="Arial" w:hAnsi="Arial" w:cs="Arial"/>
                <w:b/>
                <w:sz w:val="14"/>
                <w:szCs w:val="16"/>
              </w:rPr>
              <w:t>0,1202</w:t>
            </w:r>
          </w:p>
        </w:tc>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14:paraId="37401E6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14:paraId="31DAEA8D"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tcBorders>
              <w:top w:val="single" w:sz="4" w:space="0" w:color="auto"/>
              <w:left w:val="single" w:sz="4" w:space="0" w:color="auto"/>
              <w:bottom w:val="single" w:sz="4" w:space="0" w:color="auto"/>
              <w:right w:val="single" w:sz="4" w:space="0" w:color="auto"/>
            </w:tcBorders>
            <w:shd w:val="clear" w:color="auto" w:fill="auto"/>
            <w:vAlign w:val="center"/>
          </w:tcPr>
          <w:p w14:paraId="3664DF3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56D513F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5" w:type="dxa"/>
            <w:tcBorders>
              <w:top w:val="single" w:sz="4" w:space="0" w:color="auto"/>
              <w:left w:val="single" w:sz="4" w:space="0" w:color="auto"/>
              <w:bottom w:val="single" w:sz="4" w:space="0" w:color="auto"/>
              <w:right w:val="single" w:sz="4" w:space="0" w:color="auto"/>
            </w:tcBorders>
            <w:shd w:val="clear" w:color="auto" w:fill="auto"/>
            <w:vAlign w:val="center"/>
          </w:tcPr>
          <w:p w14:paraId="476B6DF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tcBorders>
              <w:top w:val="single" w:sz="4" w:space="0" w:color="auto"/>
              <w:left w:val="single" w:sz="4" w:space="0" w:color="auto"/>
              <w:bottom w:val="single" w:sz="4" w:space="0" w:color="auto"/>
              <w:right w:val="single" w:sz="4" w:space="0" w:color="auto"/>
            </w:tcBorders>
            <w:shd w:val="clear" w:color="auto" w:fill="auto"/>
            <w:vAlign w:val="center"/>
          </w:tcPr>
          <w:p w14:paraId="7F65FC35" w14:textId="77777777" w:rsidR="009617F5" w:rsidRPr="009617F5" w:rsidRDefault="009617F5" w:rsidP="00286F7D">
            <w:pPr>
              <w:rPr>
                <w:rFonts w:ascii="Arial" w:hAnsi="Arial" w:cs="Arial"/>
                <w:b/>
                <w:sz w:val="14"/>
                <w:szCs w:val="16"/>
              </w:rPr>
            </w:pPr>
            <w:r w:rsidRPr="009617F5">
              <w:rPr>
                <w:rFonts w:ascii="Arial" w:hAnsi="Arial" w:cs="Arial"/>
                <w:b/>
                <w:sz w:val="14"/>
                <w:szCs w:val="16"/>
              </w:rPr>
              <w:t>0,1202</w:t>
            </w:r>
          </w:p>
        </w:tc>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14:paraId="068983E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tcBorders>
              <w:top w:val="single" w:sz="4" w:space="0" w:color="auto"/>
              <w:left w:val="single" w:sz="4" w:space="0" w:color="auto"/>
              <w:bottom w:val="single" w:sz="4" w:space="0" w:color="auto"/>
              <w:right w:val="single" w:sz="4" w:space="0" w:color="auto"/>
            </w:tcBorders>
            <w:shd w:val="clear" w:color="auto" w:fill="auto"/>
            <w:vAlign w:val="center"/>
          </w:tcPr>
          <w:p w14:paraId="6495F820" w14:textId="77777777" w:rsidR="009617F5" w:rsidRPr="009617F5" w:rsidRDefault="009617F5" w:rsidP="00286F7D">
            <w:pPr>
              <w:rPr>
                <w:rFonts w:ascii="Arial" w:hAnsi="Arial" w:cs="Arial"/>
                <w:b/>
                <w:sz w:val="14"/>
                <w:szCs w:val="16"/>
              </w:rPr>
            </w:pPr>
            <w:r w:rsidRPr="009617F5">
              <w:rPr>
                <w:rFonts w:ascii="Arial" w:hAnsi="Arial" w:cs="Arial"/>
                <w:b/>
                <w:sz w:val="14"/>
                <w:szCs w:val="16"/>
              </w:rPr>
              <w:t>0,1176</w:t>
            </w:r>
          </w:p>
        </w:tc>
        <w:tc>
          <w:tcPr>
            <w:tcW w:w="819" w:type="dxa"/>
            <w:tcBorders>
              <w:top w:val="single" w:sz="4" w:space="0" w:color="auto"/>
              <w:left w:val="single" w:sz="4" w:space="0" w:color="auto"/>
              <w:bottom w:val="single" w:sz="4" w:space="0" w:color="auto"/>
              <w:right w:val="single" w:sz="4" w:space="0" w:color="auto"/>
            </w:tcBorders>
            <w:shd w:val="clear" w:color="auto" w:fill="auto"/>
            <w:vAlign w:val="center"/>
          </w:tcPr>
          <w:p w14:paraId="685CE134" w14:textId="77777777" w:rsidR="009617F5" w:rsidRPr="009617F5" w:rsidRDefault="009617F5" w:rsidP="00286F7D">
            <w:pPr>
              <w:rPr>
                <w:rFonts w:ascii="Arial" w:hAnsi="Arial" w:cs="Arial"/>
                <w:b/>
                <w:sz w:val="14"/>
                <w:szCs w:val="16"/>
              </w:rPr>
            </w:pPr>
            <w:r w:rsidRPr="009617F5">
              <w:rPr>
                <w:rFonts w:ascii="Arial" w:hAnsi="Arial" w:cs="Arial"/>
                <w:b/>
                <w:sz w:val="14"/>
                <w:szCs w:val="16"/>
              </w:rPr>
              <w:t>0,0026</w:t>
            </w:r>
          </w:p>
        </w:tc>
        <w:tc>
          <w:tcPr>
            <w:tcW w:w="822" w:type="dxa"/>
            <w:tcBorders>
              <w:top w:val="single" w:sz="4" w:space="0" w:color="auto"/>
              <w:left w:val="single" w:sz="4" w:space="0" w:color="auto"/>
              <w:bottom w:val="single" w:sz="4" w:space="0" w:color="auto"/>
              <w:right w:val="single" w:sz="4" w:space="0" w:color="auto"/>
            </w:tcBorders>
            <w:shd w:val="clear" w:color="auto" w:fill="auto"/>
            <w:vAlign w:val="center"/>
          </w:tcPr>
          <w:p w14:paraId="4E38723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1" w:type="dxa"/>
            <w:tcBorders>
              <w:top w:val="single" w:sz="4" w:space="0" w:color="auto"/>
              <w:left w:val="single" w:sz="4" w:space="0" w:color="auto"/>
              <w:bottom w:val="single" w:sz="4" w:space="0" w:color="auto"/>
              <w:right w:val="single" w:sz="4" w:space="0" w:color="auto"/>
            </w:tcBorders>
            <w:shd w:val="clear" w:color="auto" w:fill="auto"/>
            <w:vAlign w:val="center"/>
          </w:tcPr>
          <w:p w14:paraId="6682782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647" w:type="dxa"/>
            <w:tcBorders>
              <w:top w:val="single" w:sz="4" w:space="0" w:color="auto"/>
              <w:left w:val="single" w:sz="4" w:space="0" w:color="auto"/>
              <w:bottom w:val="single" w:sz="4" w:space="0" w:color="auto"/>
              <w:right w:val="single" w:sz="36" w:space="0" w:color="FF0000"/>
            </w:tcBorders>
            <w:shd w:val="clear" w:color="auto" w:fill="auto"/>
            <w:vAlign w:val="center"/>
          </w:tcPr>
          <w:p w14:paraId="364857A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5FC59481" w14:textId="77777777" w:rsidTr="00286F7D">
        <w:trPr>
          <w:trHeight w:val="397"/>
        </w:trPr>
        <w:tc>
          <w:tcPr>
            <w:tcW w:w="2474" w:type="dxa"/>
            <w:gridSpan w:val="2"/>
            <w:tcBorders>
              <w:top w:val="single" w:sz="4" w:space="0" w:color="auto"/>
              <w:left w:val="single" w:sz="36" w:space="0" w:color="FF0000"/>
              <w:bottom w:val="single" w:sz="36" w:space="0" w:color="FF0000"/>
              <w:right w:val="single" w:sz="4" w:space="0" w:color="auto"/>
            </w:tcBorders>
            <w:shd w:val="clear" w:color="auto" w:fill="auto"/>
            <w:vAlign w:val="center"/>
          </w:tcPr>
          <w:p w14:paraId="7AC76A8B"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BOLETICE</w:t>
            </w:r>
          </w:p>
          <w:p w14:paraId="4F4F428B"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p w14:paraId="2EB8A5A4" w14:textId="77777777" w:rsidR="009617F5" w:rsidRPr="009617F5" w:rsidRDefault="009617F5" w:rsidP="00286F7D">
            <w:pPr>
              <w:rPr>
                <w:rFonts w:ascii="Arial" w:hAnsi="Arial" w:cs="Arial"/>
                <w:b/>
                <w:sz w:val="14"/>
                <w:szCs w:val="16"/>
              </w:rPr>
            </w:pPr>
          </w:p>
        </w:tc>
        <w:tc>
          <w:tcPr>
            <w:tcW w:w="836" w:type="dxa"/>
            <w:tcBorders>
              <w:top w:val="single" w:sz="4" w:space="0" w:color="auto"/>
              <w:left w:val="single" w:sz="4" w:space="0" w:color="auto"/>
              <w:bottom w:val="single" w:sz="36" w:space="0" w:color="FF0000"/>
              <w:right w:val="single" w:sz="4" w:space="0" w:color="auto"/>
            </w:tcBorders>
            <w:shd w:val="clear" w:color="auto" w:fill="auto"/>
            <w:vAlign w:val="center"/>
          </w:tcPr>
          <w:p w14:paraId="7CB74191"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0,4409</w:t>
            </w:r>
            <w:r w:rsidRPr="009617F5">
              <w:rPr>
                <w:rFonts w:ascii="Arial" w:hAnsi="Arial" w:cs="Arial"/>
                <w:b/>
                <w:sz w:val="14"/>
                <w:szCs w:val="16"/>
              </w:rPr>
              <w:fldChar w:fldCharType="end"/>
            </w:r>
          </w:p>
        </w:tc>
        <w:tc>
          <w:tcPr>
            <w:tcW w:w="828" w:type="dxa"/>
            <w:tcBorders>
              <w:top w:val="single" w:sz="4" w:space="0" w:color="auto"/>
              <w:left w:val="single" w:sz="4" w:space="0" w:color="auto"/>
              <w:bottom w:val="single" w:sz="36" w:space="0" w:color="FF0000"/>
              <w:right w:val="single" w:sz="4" w:space="0" w:color="auto"/>
            </w:tcBorders>
            <w:shd w:val="clear" w:color="auto" w:fill="auto"/>
            <w:vAlign w:val="center"/>
          </w:tcPr>
          <w:p w14:paraId="1D5B525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tcBorders>
              <w:top w:val="single" w:sz="4" w:space="0" w:color="auto"/>
              <w:left w:val="single" w:sz="4" w:space="0" w:color="auto"/>
              <w:bottom w:val="single" w:sz="36" w:space="0" w:color="FF0000"/>
              <w:right w:val="single" w:sz="4" w:space="0" w:color="auto"/>
            </w:tcBorders>
            <w:shd w:val="clear" w:color="auto" w:fill="auto"/>
            <w:vAlign w:val="center"/>
          </w:tcPr>
          <w:p w14:paraId="53726E0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tcBorders>
              <w:top w:val="single" w:sz="4" w:space="0" w:color="auto"/>
              <w:left w:val="single" w:sz="4" w:space="0" w:color="auto"/>
              <w:bottom w:val="single" w:sz="36" w:space="0" w:color="FF0000"/>
              <w:right w:val="single" w:sz="4" w:space="0" w:color="auto"/>
            </w:tcBorders>
            <w:shd w:val="clear" w:color="auto" w:fill="auto"/>
            <w:vAlign w:val="center"/>
          </w:tcPr>
          <w:p w14:paraId="67F4ED7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tcBorders>
              <w:top w:val="single" w:sz="4" w:space="0" w:color="auto"/>
              <w:left w:val="single" w:sz="4" w:space="0" w:color="auto"/>
              <w:bottom w:val="single" w:sz="36" w:space="0" w:color="FF0000"/>
              <w:right w:val="single" w:sz="4" w:space="0" w:color="auto"/>
            </w:tcBorders>
            <w:shd w:val="clear" w:color="auto" w:fill="auto"/>
            <w:vAlign w:val="center"/>
          </w:tcPr>
          <w:p w14:paraId="3A47F5E2" w14:textId="77777777" w:rsidR="009617F5" w:rsidRPr="009617F5" w:rsidRDefault="009617F5" w:rsidP="00286F7D">
            <w:pPr>
              <w:rPr>
                <w:rFonts w:ascii="Arial" w:hAnsi="Arial" w:cs="Arial"/>
                <w:b/>
                <w:sz w:val="14"/>
                <w:szCs w:val="16"/>
              </w:rPr>
            </w:pPr>
            <w:r w:rsidRPr="009617F5">
              <w:rPr>
                <w:rFonts w:ascii="Arial" w:hAnsi="Arial" w:cs="Arial"/>
                <w:b/>
                <w:sz w:val="14"/>
                <w:szCs w:val="16"/>
              </w:rPr>
              <w:t>0,0044</w:t>
            </w:r>
          </w:p>
        </w:tc>
        <w:tc>
          <w:tcPr>
            <w:tcW w:w="835" w:type="dxa"/>
            <w:tcBorders>
              <w:top w:val="single" w:sz="4" w:space="0" w:color="auto"/>
              <w:left w:val="single" w:sz="4" w:space="0" w:color="auto"/>
              <w:bottom w:val="single" w:sz="36" w:space="0" w:color="FF0000"/>
              <w:right w:val="single" w:sz="4" w:space="0" w:color="auto"/>
            </w:tcBorders>
            <w:shd w:val="clear" w:color="auto" w:fill="auto"/>
            <w:vAlign w:val="center"/>
          </w:tcPr>
          <w:p w14:paraId="75B0A349" w14:textId="77777777" w:rsidR="009617F5" w:rsidRPr="009617F5" w:rsidRDefault="009617F5" w:rsidP="00286F7D">
            <w:pPr>
              <w:rPr>
                <w:rFonts w:ascii="Arial" w:hAnsi="Arial" w:cs="Arial"/>
                <w:b/>
                <w:sz w:val="14"/>
                <w:szCs w:val="16"/>
              </w:rPr>
            </w:pPr>
            <w:r w:rsidRPr="009617F5">
              <w:rPr>
                <w:rFonts w:ascii="Arial" w:hAnsi="Arial" w:cs="Arial"/>
                <w:b/>
                <w:sz w:val="14"/>
                <w:szCs w:val="16"/>
              </w:rPr>
              <w:t>0,3163</w:t>
            </w:r>
          </w:p>
        </w:tc>
        <w:tc>
          <w:tcPr>
            <w:tcW w:w="836" w:type="dxa"/>
            <w:tcBorders>
              <w:top w:val="single" w:sz="4" w:space="0" w:color="auto"/>
              <w:left w:val="single" w:sz="4" w:space="0" w:color="auto"/>
              <w:bottom w:val="single" w:sz="36" w:space="0" w:color="FF0000"/>
              <w:right w:val="single" w:sz="4" w:space="0" w:color="auto"/>
            </w:tcBorders>
            <w:shd w:val="clear" w:color="auto" w:fill="auto"/>
            <w:vAlign w:val="center"/>
          </w:tcPr>
          <w:p w14:paraId="14750C9A" w14:textId="77777777" w:rsidR="009617F5" w:rsidRPr="009617F5" w:rsidRDefault="009617F5" w:rsidP="00286F7D">
            <w:pPr>
              <w:rPr>
                <w:rFonts w:ascii="Arial" w:hAnsi="Arial" w:cs="Arial"/>
                <w:b/>
                <w:sz w:val="14"/>
                <w:szCs w:val="16"/>
              </w:rPr>
            </w:pPr>
            <w:r w:rsidRPr="009617F5">
              <w:rPr>
                <w:rFonts w:ascii="Arial" w:hAnsi="Arial" w:cs="Arial"/>
                <w:b/>
                <w:sz w:val="14"/>
                <w:szCs w:val="16"/>
              </w:rPr>
              <w:t>0,1202</w:t>
            </w:r>
          </w:p>
        </w:tc>
        <w:tc>
          <w:tcPr>
            <w:tcW w:w="817" w:type="dxa"/>
            <w:tcBorders>
              <w:top w:val="single" w:sz="4" w:space="0" w:color="auto"/>
              <w:left w:val="single" w:sz="4" w:space="0" w:color="auto"/>
              <w:bottom w:val="single" w:sz="36" w:space="0" w:color="FF0000"/>
              <w:right w:val="single" w:sz="4" w:space="0" w:color="auto"/>
            </w:tcBorders>
            <w:shd w:val="clear" w:color="auto" w:fill="auto"/>
            <w:vAlign w:val="center"/>
          </w:tcPr>
          <w:p w14:paraId="697124C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tcBorders>
              <w:top w:val="single" w:sz="4" w:space="0" w:color="auto"/>
              <w:left w:val="single" w:sz="4" w:space="0" w:color="auto"/>
              <w:bottom w:val="single" w:sz="36" w:space="0" w:color="FF0000"/>
              <w:right w:val="single" w:sz="4" w:space="0" w:color="auto"/>
            </w:tcBorders>
            <w:shd w:val="clear" w:color="auto" w:fill="auto"/>
            <w:vAlign w:val="center"/>
          </w:tcPr>
          <w:p w14:paraId="349C7594" w14:textId="77777777" w:rsidR="009617F5" w:rsidRPr="009617F5" w:rsidRDefault="009617F5" w:rsidP="00286F7D">
            <w:pPr>
              <w:rPr>
                <w:rFonts w:ascii="Arial" w:hAnsi="Arial" w:cs="Arial"/>
                <w:b/>
                <w:sz w:val="14"/>
                <w:szCs w:val="16"/>
              </w:rPr>
            </w:pPr>
            <w:r w:rsidRPr="009617F5">
              <w:rPr>
                <w:rFonts w:ascii="Arial" w:hAnsi="Arial" w:cs="Arial"/>
                <w:b/>
                <w:sz w:val="14"/>
                <w:szCs w:val="16"/>
              </w:rPr>
              <w:t>0,1176</w:t>
            </w:r>
          </w:p>
        </w:tc>
        <w:tc>
          <w:tcPr>
            <w:tcW w:w="819" w:type="dxa"/>
            <w:tcBorders>
              <w:top w:val="single" w:sz="4" w:space="0" w:color="auto"/>
              <w:left w:val="single" w:sz="4" w:space="0" w:color="auto"/>
              <w:bottom w:val="single" w:sz="36" w:space="0" w:color="FF0000"/>
              <w:right w:val="single" w:sz="4" w:space="0" w:color="auto"/>
            </w:tcBorders>
            <w:shd w:val="clear" w:color="auto" w:fill="auto"/>
            <w:vAlign w:val="center"/>
          </w:tcPr>
          <w:p w14:paraId="71578AB3" w14:textId="77777777" w:rsidR="009617F5" w:rsidRPr="009617F5" w:rsidRDefault="009617F5" w:rsidP="00286F7D">
            <w:pPr>
              <w:rPr>
                <w:rFonts w:ascii="Arial" w:hAnsi="Arial" w:cs="Arial"/>
                <w:b/>
                <w:sz w:val="14"/>
                <w:szCs w:val="16"/>
              </w:rPr>
            </w:pPr>
            <w:r w:rsidRPr="009617F5">
              <w:rPr>
                <w:rFonts w:ascii="Arial" w:hAnsi="Arial" w:cs="Arial"/>
                <w:b/>
                <w:sz w:val="14"/>
                <w:szCs w:val="16"/>
              </w:rPr>
              <w:t>0,0026</w:t>
            </w:r>
          </w:p>
        </w:tc>
        <w:tc>
          <w:tcPr>
            <w:tcW w:w="822" w:type="dxa"/>
            <w:tcBorders>
              <w:top w:val="single" w:sz="4" w:space="0" w:color="auto"/>
              <w:left w:val="single" w:sz="4" w:space="0" w:color="auto"/>
              <w:bottom w:val="single" w:sz="36" w:space="0" w:color="FF0000"/>
              <w:right w:val="single" w:sz="4" w:space="0" w:color="auto"/>
            </w:tcBorders>
            <w:shd w:val="clear" w:color="auto" w:fill="auto"/>
            <w:vAlign w:val="center"/>
          </w:tcPr>
          <w:p w14:paraId="4670F05C"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0,2522</w:t>
            </w:r>
            <w:r w:rsidRPr="009617F5">
              <w:rPr>
                <w:rFonts w:ascii="Arial" w:hAnsi="Arial" w:cs="Arial"/>
                <w:b/>
                <w:sz w:val="14"/>
                <w:szCs w:val="16"/>
              </w:rPr>
              <w:fldChar w:fldCharType="end"/>
            </w:r>
          </w:p>
        </w:tc>
        <w:tc>
          <w:tcPr>
            <w:tcW w:w="821" w:type="dxa"/>
            <w:tcBorders>
              <w:top w:val="single" w:sz="4" w:space="0" w:color="auto"/>
              <w:left w:val="single" w:sz="4" w:space="0" w:color="auto"/>
              <w:bottom w:val="single" w:sz="36" w:space="0" w:color="FF0000"/>
              <w:right w:val="single" w:sz="4" w:space="0" w:color="auto"/>
            </w:tcBorders>
            <w:shd w:val="clear" w:color="auto" w:fill="auto"/>
            <w:vAlign w:val="center"/>
          </w:tcPr>
          <w:p w14:paraId="75C1D2A9"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0,0685</w:t>
            </w:r>
            <w:r w:rsidRPr="009617F5">
              <w:rPr>
                <w:rFonts w:ascii="Arial" w:hAnsi="Arial" w:cs="Arial"/>
                <w:b/>
                <w:sz w:val="14"/>
                <w:szCs w:val="16"/>
              </w:rPr>
              <w:fldChar w:fldCharType="end"/>
            </w:r>
          </w:p>
        </w:tc>
        <w:tc>
          <w:tcPr>
            <w:tcW w:w="1647" w:type="dxa"/>
            <w:tcBorders>
              <w:top w:val="single" w:sz="4" w:space="0" w:color="auto"/>
              <w:left w:val="single" w:sz="4" w:space="0" w:color="auto"/>
              <w:bottom w:val="single" w:sz="36" w:space="0" w:color="FF0000"/>
              <w:right w:val="single" w:sz="36" w:space="0" w:color="FF0000"/>
            </w:tcBorders>
            <w:shd w:val="clear" w:color="auto" w:fill="auto"/>
            <w:vAlign w:val="center"/>
          </w:tcPr>
          <w:p w14:paraId="27BB840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bl>
    <w:p w14:paraId="39DEF207" w14:textId="77777777" w:rsidR="009617F5" w:rsidRPr="009617F5" w:rsidRDefault="009617F5" w:rsidP="009617F5">
      <w:pPr>
        <w:rPr>
          <w:rFonts w:ascii="Arial" w:hAnsi="Arial" w:cs="Arial"/>
          <w:b/>
          <w:color w:val="FF0000"/>
          <w:szCs w:val="28"/>
        </w:rPr>
      </w:pPr>
    </w:p>
    <w:p w14:paraId="38F7D63A" w14:textId="77777777" w:rsidR="009617F5" w:rsidRPr="009617F5" w:rsidRDefault="009617F5" w:rsidP="009617F5">
      <w:pPr>
        <w:rPr>
          <w:rFonts w:ascii="Arial" w:hAnsi="Arial" w:cs="Arial"/>
          <w:b/>
          <w:color w:val="FF0000"/>
          <w:sz w:val="22"/>
        </w:rPr>
      </w:pPr>
    </w:p>
    <w:p w14:paraId="16E24730" w14:textId="77777777" w:rsidR="009617F5" w:rsidRPr="009617F5" w:rsidRDefault="009617F5" w:rsidP="009617F5">
      <w:pPr>
        <w:rPr>
          <w:rFonts w:ascii="Arial" w:hAnsi="Arial" w:cs="Arial"/>
          <w:b/>
          <w:color w:val="FF0000"/>
          <w:sz w:val="22"/>
        </w:rPr>
      </w:pPr>
    </w:p>
    <w:p w14:paraId="01D1C74C" w14:textId="77777777" w:rsidR="009617F5" w:rsidRPr="009617F5" w:rsidRDefault="009617F5" w:rsidP="009617F5">
      <w:pPr>
        <w:rPr>
          <w:rFonts w:ascii="Arial" w:hAnsi="Arial" w:cs="Arial"/>
          <w:b/>
          <w:color w:val="FF0000"/>
          <w:sz w:val="22"/>
        </w:rPr>
      </w:pPr>
    </w:p>
    <w:p w14:paraId="67D74D54" w14:textId="77777777" w:rsidR="009617F5" w:rsidRPr="009617F5" w:rsidRDefault="009617F5" w:rsidP="009617F5">
      <w:pPr>
        <w:rPr>
          <w:rFonts w:ascii="Arial" w:hAnsi="Arial" w:cs="Arial"/>
          <w:b/>
          <w:color w:val="FF0000"/>
          <w:sz w:val="22"/>
        </w:rPr>
      </w:pPr>
    </w:p>
    <w:p w14:paraId="49BE7B7D" w14:textId="77777777" w:rsidR="009617F5" w:rsidRPr="009617F5" w:rsidRDefault="009617F5" w:rsidP="009617F5">
      <w:pPr>
        <w:rPr>
          <w:rFonts w:ascii="Arial" w:hAnsi="Arial" w:cs="Arial"/>
          <w:b/>
          <w:color w:val="FF0000"/>
          <w:sz w:val="22"/>
        </w:rPr>
      </w:pPr>
    </w:p>
    <w:p w14:paraId="2B945170"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lastRenderedPageBreak/>
        <w:t>Katastrální území:</w:t>
      </w:r>
      <w:r w:rsidRPr="009617F5">
        <w:rPr>
          <w:rFonts w:ascii="Arial" w:hAnsi="Arial" w:cs="Arial"/>
          <w:b/>
          <w:color w:val="FF0000"/>
          <w:sz w:val="22"/>
        </w:rPr>
        <w:tab/>
        <w:t>Březiny u Děčína</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p>
    <w:p w14:paraId="74050628"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0A0" w:firstRow="1" w:lastRow="0" w:firstColumn="1" w:lastColumn="0" w:noHBand="0" w:noVBand="0"/>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147A5247" w14:textId="77777777" w:rsidTr="00286F7D">
        <w:trPr>
          <w:tblHeader/>
        </w:trPr>
        <w:tc>
          <w:tcPr>
            <w:tcW w:w="833" w:type="dxa"/>
            <w:vMerge w:val="restart"/>
            <w:shd w:val="clear" w:color="auto" w:fill="auto"/>
          </w:tcPr>
          <w:p w14:paraId="7FCA2FE1" w14:textId="77777777" w:rsidR="009617F5" w:rsidRPr="009617F5" w:rsidRDefault="009617F5" w:rsidP="00286F7D">
            <w:pPr>
              <w:rPr>
                <w:rFonts w:ascii="Arial" w:hAnsi="Arial" w:cs="Arial"/>
                <w:b/>
                <w:sz w:val="14"/>
                <w:szCs w:val="16"/>
              </w:rPr>
            </w:pPr>
          </w:p>
          <w:p w14:paraId="0A9BB49E" w14:textId="77777777" w:rsidR="009617F5" w:rsidRPr="009617F5" w:rsidRDefault="009617F5" w:rsidP="00286F7D">
            <w:pPr>
              <w:rPr>
                <w:rFonts w:ascii="Arial" w:hAnsi="Arial" w:cs="Arial"/>
                <w:b/>
                <w:sz w:val="14"/>
                <w:szCs w:val="16"/>
              </w:rPr>
            </w:pPr>
          </w:p>
          <w:p w14:paraId="126CB7D7"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shd w:val="clear" w:color="auto" w:fill="auto"/>
          </w:tcPr>
          <w:p w14:paraId="6FD56D8C" w14:textId="77777777" w:rsidR="009617F5" w:rsidRPr="009617F5" w:rsidRDefault="009617F5" w:rsidP="00286F7D">
            <w:pPr>
              <w:rPr>
                <w:rFonts w:ascii="Arial" w:hAnsi="Arial" w:cs="Arial"/>
                <w:b/>
                <w:sz w:val="14"/>
                <w:szCs w:val="16"/>
              </w:rPr>
            </w:pPr>
          </w:p>
          <w:p w14:paraId="69D887C5" w14:textId="77777777" w:rsidR="009617F5" w:rsidRPr="009617F5" w:rsidRDefault="009617F5" w:rsidP="00286F7D">
            <w:pPr>
              <w:rPr>
                <w:rFonts w:ascii="Arial" w:hAnsi="Arial" w:cs="Arial"/>
                <w:b/>
                <w:sz w:val="14"/>
                <w:szCs w:val="16"/>
              </w:rPr>
            </w:pPr>
          </w:p>
          <w:p w14:paraId="32DD90C5"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shd w:val="clear" w:color="auto" w:fill="auto"/>
          </w:tcPr>
          <w:p w14:paraId="7907A73C" w14:textId="77777777" w:rsidR="009617F5" w:rsidRPr="009617F5" w:rsidRDefault="009617F5" w:rsidP="00286F7D">
            <w:pPr>
              <w:rPr>
                <w:rFonts w:ascii="Arial" w:hAnsi="Arial" w:cs="Arial"/>
                <w:b/>
                <w:sz w:val="14"/>
                <w:szCs w:val="16"/>
              </w:rPr>
            </w:pPr>
          </w:p>
          <w:p w14:paraId="35A7A88D"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shd w:val="clear" w:color="auto" w:fill="auto"/>
          </w:tcPr>
          <w:p w14:paraId="7BF9F785" w14:textId="77777777" w:rsidR="009617F5" w:rsidRPr="009617F5" w:rsidRDefault="009617F5" w:rsidP="00286F7D">
            <w:pPr>
              <w:jc w:val="center"/>
              <w:rPr>
                <w:rFonts w:ascii="Arial" w:hAnsi="Arial" w:cs="Arial"/>
                <w:b/>
                <w:sz w:val="14"/>
                <w:szCs w:val="16"/>
              </w:rPr>
            </w:pPr>
          </w:p>
          <w:p w14:paraId="3F99A26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jednotlivých kultur</w:t>
            </w:r>
          </w:p>
          <w:p w14:paraId="03F8114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4098" w:type="dxa"/>
            <w:gridSpan w:val="5"/>
            <w:shd w:val="clear" w:color="auto" w:fill="auto"/>
          </w:tcPr>
          <w:p w14:paraId="5EBB8BAF" w14:textId="77777777" w:rsidR="009617F5" w:rsidRPr="009617F5" w:rsidRDefault="009617F5" w:rsidP="00286F7D">
            <w:pPr>
              <w:rPr>
                <w:rFonts w:ascii="Arial" w:hAnsi="Arial" w:cs="Arial"/>
                <w:b/>
                <w:sz w:val="14"/>
                <w:szCs w:val="16"/>
              </w:rPr>
            </w:pPr>
          </w:p>
          <w:p w14:paraId="5BEAAFE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tříd ochrany</w:t>
            </w:r>
          </w:p>
          <w:p w14:paraId="556C4B3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1647" w:type="dxa"/>
            <w:vMerge w:val="restart"/>
            <w:shd w:val="clear" w:color="auto" w:fill="auto"/>
          </w:tcPr>
          <w:p w14:paraId="368EBD06" w14:textId="77777777" w:rsidR="009617F5" w:rsidRPr="009617F5" w:rsidRDefault="009617F5" w:rsidP="00286F7D">
            <w:pPr>
              <w:rPr>
                <w:rFonts w:ascii="Arial" w:hAnsi="Arial" w:cs="Arial"/>
                <w:b/>
                <w:sz w:val="14"/>
                <w:szCs w:val="16"/>
              </w:rPr>
            </w:pPr>
          </w:p>
          <w:p w14:paraId="1CF65790" w14:textId="77777777" w:rsidR="009617F5" w:rsidRPr="009617F5" w:rsidRDefault="009617F5" w:rsidP="00286F7D">
            <w:pPr>
              <w:jc w:val="center"/>
              <w:rPr>
                <w:rFonts w:ascii="Arial" w:hAnsi="Arial" w:cs="Arial"/>
                <w:b/>
                <w:sz w:val="14"/>
                <w:szCs w:val="16"/>
              </w:rPr>
            </w:pPr>
          </w:p>
          <w:p w14:paraId="3189F49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Investice do půdy (ha)</w:t>
            </w:r>
          </w:p>
        </w:tc>
      </w:tr>
      <w:tr w:rsidR="009617F5" w:rsidRPr="009617F5" w14:paraId="2A508C7F" w14:textId="77777777" w:rsidTr="00286F7D">
        <w:trPr>
          <w:tblHeader/>
        </w:trPr>
        <w:tc>
          <w:tcPr>
            <w:tcW w:w="833" w:type="dxa"/>
            <w:vMerge/>
            <w:shd w:val="clear" w:color="auto" w:fill="auto"/>
          </w:tcPr>
          <w:p w14:paraId="33B33174" w14:textId="77777777" w:rsidR="009617F5" w:rsidRPr="009617F5" w:rsidRDefault="009617F5" w:rsidP="00286F7D">
            <w:pPr>
              <w:rPr>
                <w:rFonts w:ascii="Arial" w:hAnsi="Arial" w:cs="Arial"/>
                <w:b/>
                <w:sz w:val="14"/>
                <w:szCs w:val="16"/>
              </w:rPr>
            </w:pPr>
          </w:p>
        </w:tc>
        <w:tc>
          <w:tcPr>
            <w:tcW w:w="1641" w:type="dxa"/>
            <w:vMerge/>
            <w:shd w:val="clear" w:color="auto" w:fill="auto"/>
          </w:tcPr>
          <w:p w14:paraId="7C7D09CD" w14:textId="77777777" w:rsidR="009617F5" w:rsidRPr="009617F5" w:rsidRDefault="009617F5" w:rsidP="00286F7D">
            <w:pPr>
              <w:rPr>
                <w:rFonts w:ascii="Arial" w:hAnsi="Arial" w:cs="Arial"/>
                <w:b/>
                <w:sz w:val="14"/>
                <w:szCs w:val="16"/>
              </w:rPr>
            </w:pPr>
          </w:p>
        </w:tc>
        <w:tc>
          <w:tcPr>
            <w:tcW w:w="836" w:type="dxa"/>
            <w:vMerge/>
            <w:shd w:val="clear" w:color="auto" w:fill="auto"/>
          </w:tcPr>
          <w:p w14:paraId="63EDF56E" w14:textId="77777777" w:rsidR="009617F5" w:rsidRPr="009617F5" w:rsidRDefault="009617F5" w:rsidP="00286F7D">
            <w:pPr>
              <w:rPr>
                <w:rFonts w:ascii="Arial" w:hAnsi="Arial" w:cs="Arial"/>
                <w:b/>
                <w:sz w:val="14"/>
                <w:szCs w:val="16"/>
              </w:rPr>
            </w:pPr>
          </w:p>
        </w:tc>
        <w:tc>
          <w:tcPr>
            <w:tcW w:w="828" w:type="dxa"/>
            <w:shd w:val="clear" w:color="auto" w:fill="auto"/>
          </w:tcPr>
          <w:p w14:paraId="3AED75D2"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42CDD29B"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shd w:val="clear" w:color="auto" w:fill="auto"/>
          </w:tcPr>
          <w:p w14:paraId="6D154B90"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shd w:val="clear" w:color="auto" w:fill="auto"/>
          </w:tcPr>
          <w:p w14:paraId="6500C98C"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shd w:val="clear" w:color="auto" w:fill="auto"/>
          </w:tcPr>
          <w:p w14:paraId="6A40F1F9"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shd w:val="clear" w:color="auto" w:fill="auto"/>
          </w:tcPr>
          <w:p w14:paraId="588FCFCC"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shd w:val="clear" w:color="auto" w:fill="auto"/>
          </w:tcPr>
          <w:p w14:paraId="2023A5FE"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shd w:val="clear" w:color="auto" w:fill="auto"/>
          </w:tcPr>
          <w:p w14:paraId="12A3D5CC"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shd w:val="clear" w:color="auto" w:fill="auto"/>
          </w:tcPr>
          <w:p w14:paraId="324DA264"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shd w:val="clear" w:color="auto" w:fill="auto"/>
          </w:tcPr>
          <w:p w14:paraId="675BA167"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shd w:val="clear" w:color="auto" w:fill="auto"/>
          </w:tcPr>
          <w:p w14:paraId="414BECC5"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1647" w:type="dxa"/>
            <w:vMerge/>
            <w:shd w:val="clear" w:color="auto" w:fill="auto"/>
          </w:tcPr>
          <w:p w14:paraId="18C7212D" w14:textId="77777777" w:rsidR="009617F5" w:rsidRPr="009617F5" w:rsidRDefault="009617F5" w:rsidP="00286F7D">
            <w:pPr>
              <w:rPr>
                <w:rFonts w:ascii="Arial" w:hAnsi="Arial" w:cs="Arial"/>
                <w:b/>
                <w:sz w:val="14"/>
                <w:szCs w:val="16"/>
              </w:rPr>
            </w:pPr>
          </w:p>
        </w:tc>
      </w:tr>
      <w:tr w:rsidR="009617F5" w:rsidRPr="009617F5" w14:paraId="72A6AF93" w14:textId="77777777" w:rsidTr="00286F7D">
        <w:trPr>
          <w:trHeight w:val="397"/>
        </w:trPr>
        <w:tc>
          <w:tcPr>
            <w:tcW w:w="833" w:type="dxa"/>
            <w:shd w:val="clear" w:color="auto" w:fill="auto"/>
            <w:vAlign w:val="center"/>
          </w:tcPr>
          <w:p w14:paraId="6F2AB31C"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w:t>
            </w:r>
          </w:p>
        </w:tc>
        <w:tc>
          <w:tcPr>
            <w:tcW w:w="1641" w:type="dxa"/>
            <w:shd w:val="clear" w:color="auto" w:fill="auto"/>
            <w:vAlign w:val="center"/>
          </w:tcPr>
          <w:p w14:paraId="5426243E"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56494E1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5545B3F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6E156B2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46BDD83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7C1CB6C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749CF9B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5249A0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2836C3F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80862A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4BE441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2246030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72EE64D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3E9EF19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6DB625E7" w14:textId="77777777" w:rsidTr="00286F7D">
        <w:trPr>
          <w:trHeight w:val="397"/>
        </w:trPr>
        <w:tc>
          <w:tcPr>
            <w:tcW w:w="833" w:type="dxa"/>
            <w:shd w:val="clear" w:color="auto" w:fill="auto"/>
            <w:vAlign w:val="center"/>
          </w:tcPr>
          <w:p w14:paraId="7FAAA16B"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8Z-15</w:t>
            </w:r>
          </w:p>
        </w:tc>
        <w:tc>
          <w:tcPr>
            <w:tcW w:w="1641" w:type="dxa"/>
            <w:shd w:val="clear" w:color="auto" w:fill="auto"/>
            <w:vAlign w:val="center"/>
          </w:tcPr>
          <w:p w14:paraId="4FFF925C"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1A9EC37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0,1334</w:t>
            </w:r>
          </w:p>
        </w:tc>
        <w:tc>
          <w:tcPr>
            <w:tcW w:w="828" w:type="dxa"/>
            <w:shd w:val="clear" w:color="auto" w:fill="auto"/>
            <w:vAlign w:val="center"/>
          </w:tcPr>
          <w:p w14:paraId="57BC8EB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77BC7D1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1518B1E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F6EBC9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0646EC5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9E591A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0,1334</w:t>
            </w:r>
          </w:p>
        </w:tc>
        <w:tc>
          <w:tcPr>
            <w:tcW w:w="817" w:type="dxa"/>
            <w:shd w:val="clear" w:color="auto" w:fill="auto"/>
            <w:vAlign w:val="center"/>
          </w:tcPr>
          <w:p w14:paraId="2711C1E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F47CB7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0,1023</w:t>
            </w:r>
          </w:p>
        </w:tc>
        <w:tc>
          <w:tcPr>
            <w:tcW w:w="819" w:type="dxa"/>
            <w:shd w:val="clear" w:color="auto" w:fill="auto"/>
            <w:vAlign w:val="center"/>
          </w:tcPr>
          <w:p w14:paraId="3056C38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0,0240</w:t>
            </w:r>
          </w:p>
        </w:tc>
        <w:tc>
          <w:tcPr>
            <w:tcW w:w="822" w:type="dxa"/>
            <w:shd w:val="clear" w:color="auto" w:fill="auto"/>
            <w:vAlign w:val="center"/>
          </w:tcPr>
          <w:p w14:paraId="0B978CE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500432C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0,0071</w:t>
            </w:r>
          </w:p>
        </w:tc>
        <w:tc>
          <w:tcPr>
            <w:tcW w:w="1647" w:type="dxa"/>
            <w:shd w:val="clear" w:color="auto" w:fill="auto"/>
            <w:vAlign w:val="center"/>
          </w:tcPr>
          <w:p w14:paraId="4C1C1DF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7EF0746" w14:textId="77777777" w:rsidTr="00286F7D">
        <w:trPr>
          <w:trHeight w:val="397"/>
        </w:trPr>
        <w:tc>
          <w:tcPr>
            <w:tcW w:w="2474" w:type="dxa"/>
            <w:gridSpan w:val="2"/>
            <w:shd w:val="clear" w:color="auto" w:fill="auto"/>
            <w:vAlign w:val="center"/>
          </w:tcPr>
          <w:p w14:paraId="7FD91051"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bydlení celkem:</w:t>
            </w:r>
          </w:p>
        </w:tc>
        <w:tc>
          <w:tcPr>
            <w:tcW w:w="836" w:type="dxa"/>
            <w:shd w:val="clear" w:color="auto" w:fill="auto"/>
            <w:vAlign w:val="center"/>
          </w:tcPr>
          <w:p w14:paraId="4553E7F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0,1334</w:t>
            </w:r>
          </w:p>
        </w:tc>
        <w:tc>
          <w:tcPr>
            <w:tcW w:w="828" w:type="dxa"/>
            <w:shd w:val="clear" w:color="auto" w:fill="auto"/>
            <w:vAlign w:val="center"/>
          </w:tcPr>
          <w:p w14:paraId="3EF5CD6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76D60C3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0C9F500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6CD0ED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13BFAEE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BA537A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0,1334</w:t>
            </w:r>
          </w:p>
        </w:tc>
        <w:tc>
          <w:tcPr>
            <w:tcW w:w="817" w:type="dxa"/>
            <w:shd w:val="clear" w:color="auto" w:fill="auto"/>
            <w:vAlign w:val="center"/>
          </w:tcPr>
          <w:p w14:paraId="4C5588F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874508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0,1023</w:t>
            </w:r>
          </w:p>
        </w:tc>
        <w:tc>
          <w:tcPr>
            <w:tcW w:w="819" w:type="dxa"/>
            <w:shd w:val="clear" w:color="auto" w:fill="auto"/>
            <w:vAlign w:val="center"/>
          </w:tcPr>
          <w:p w14:paraId="714170D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0,0240</w:t>
            </w:r>
          </w:p>
        </w:tc>
        <w:tc>
          <w:tcPr>
            <w:tcW w:w="822" w:type="dxa"/>
            <w:shd w:val="clear" w:color="auto" w:fill="auto"/>
            <w:vAlign w:val="center"/>
          </w:tcPr>
          <w:p w14:paraId="76925A8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67A8652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0,0071</w:t>
            </w:r>
          </w:p>
        </w:tc>
        <w:tc>
          <w:tcPr>
            <w:tcW w:w="1647" w:type="dxa"/>
            <w:shd w:val="clear" w:color="auto" w:fill="auto"/>
            <w:vAlign w:val="center"/>
          </w:tcPr>
          <w:p w14:paraId="423C8CB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479F4E4E" w14:textId="77777777" w:rsidTr="00286F7D">
        <w:trPr>
          <w:trHeight w:val="397"/>
        </w:trPr>
        <w:tc>
          <w:tcPr>
            <w:tcW w:w="2474" w:type="dxa"/>
            <w:gridSpan w:val="2"/>
            <w:shd w:val="clear" w:color="auto" w:fill="auto"/>
            <w:vAlign w:val="center"/>
          </w:tcPr>
          <w:p w14:paraId="17F6C426" w14:textId="77777777" w:rsidR="009617F5" w:rsidRPr="009617F5" w:rsidRDefault="009617F5" w:rsidP="00286F7D">
            <w:pPr>
              <w:rPr>
                <w:rFonts w:ascii="Arial" w:hAnsi="Arial" w:cs="Arial"/>
                <w:b/>
                <w:sz w:val="18"/>
                <w:szCs w:val="20"/>
              </w:rPr>
            </w:pPr>
          </w:p>
        </w:tc>
        <w:tc>
          <w:tcPr>
            <w:tcW w:w="836" w:type="dxa"/>
            <w:shd w:val="clear" w:color="auto" w:fill="auto"/>
            <w:vAlign w:val="center"/>
          </w:tcPr>
          <w:p w14:paraId="70CFB6B9" w14:textId="77777777" w:rsidR="009617F5" w:rsidRPr="009617F5" w:rsidRDefault="009617F5" w:rsidP="00286F7D">
            <w:pPr>
              <w:jc w:val="center"/>
              <w:rPr>
                <w:rFonts w:ascii="Arial" w:hAnsi="Arial" w:cs="Arial"/>
                <w:b/>
                <w:sz w:val="14"/>
                <w:szCs w:val="16"/>
              </w:rPr>
            </w:pPr>
          </w:p>
        </w:tc>
        <w:tc>
          <w:tcPr>
            <w:tcW w:w="828" w:type="dxa"/>
            <w:shd w:val="clear" w:color="auto" w:fill="auto"/>
            <w:vAlign w:val="center"/>
          </w:tcPr>
          <w:p w14:paraId="6BA1DE00" w14:textId="77777777" w:rsidR="009617F5" w:rsidRPr="009617F5" w:rsidRDefault="009617F5" w:rsidP="00286F7D">
            <w:pPr>
              <w:jc w:val="center"/>
              <w:rPr>
                <w:rFonts w:ascii="Arial" w:hAnsi="Arial" w:cs="Arial"/>
                <w:b/>
                <w:sz w:val="14"/>
                <w:szCs w:val="16"/>
              </w:rPr>
            </w:pPr>
          </w:p>
        </w:tc>
        <w:tc>
          <w:tcPr>
            <w:tcW w:w="999" w:type="dxa"/>
            <w:shd w:val="clear" w:color="auto" w:fill="auto"/>
            <w:vAlign w:val="center"/>
          </w:tcPr>
          <w:p w14:paraId="3BCE9D83" w14:textId="77777777" w:rsidR="009617F5" w:rsidRPr="009617F5" w:rsidRDefault="009617F5" w:rsidP="00286F7D">
            <w:pPr>
              <w:jc w:val="center"/>
              <w:rPr>
                <w:rFonts w:ascii="Arial" w:hAnsi="Arial" w:cs="Arial"/>
                <w:b/>
                <w:sz w:val="14"/>
                <w:szCs w:val="16"/>
              </w:rPr>
            </w:pPr>
          </w:p>
        </w:tc>
        <w:tc>
          <w:tcPr>
            <w:tcW w:w="831" w:type="dxa"/>
            <w:shd w:val="clear" w:color="auto" w:fill="auto"/>
            <w:vAlign w:val="center"/>
          </w:tcPr>
          <w:p w14:paraId="007D79A5" w14:textId="77777777" w:rsidR="009617F5" w:rsidRPr="009617F5" w:rsidRDefault="009617F5" w:rsidP="00286F7D">
            <w:pPr>
              <w:jc w:val="center"/>
              <w:rPr>
                <w:rFonts w:ascii="Arial" w:hAnsi="Arial" w:cs="Arial"/>
                <w:b/>
                <w:sz w:val="14"/>
                <w:szCs w:val="16"/>
              </w:rPr>
            </w:pPr>
          </w:p>
        </w:tc>
        <w:tc>
          <w:tcPr>
            <w:tcW w:w="836" w:type="dxa"/>
            <w:shd w:val="clear" w:color="auto" w:fill="auto"/>
            <w:vAlign w:val="center"/>
          </w:tcPr>
          <w:p w14:paraId="68B05441" w14:textId="77777777" w:rsidR="009617F5" w:rsidRPr="009617F5" w:rsidRDefault="009617F5" w:rsidP="00286F7D">
            <w:pPr>
              <w:jc w:val="center"/>
              <w:rPr>
                <w:rFonts w:ascii="Arial" w:hAnsi="Arial" w:cs="Arial"/>
                <w:b/>
                <w:sz w:val="14"/>
                <w:szCs w:val="16"/>
              </w:rPr>
            </w:pPr>
          </w:p>
        </w:tc>
        <w:tc>
          <w:tcPr>
            <w:tcW w:w="835" w:type="dxa"/>
            <w:shd w:val="clear" w:color="auto" w:fill="auto"/>
            <w:vAlign w:val="center"/>
          </w:tcPr>
          <w:p w14:paraId="4F9D2CFC" w14:textId="77777777" w:rsidR="009617F5" w:rsidRPr="009617F5" w:rsidRDefault="009617F5" w:rsidP="00286F7D">
            <w:pPr>
              <w:jc w:val="center"/>
              <w:rPr>
                <w:rFonts w:ascii="Arial" w:hAnsi="Arial" w:cs="Arial"/>
                <w:b/>
                <w:sz w:val="14"/>
                <w:szCs w:val="16"/>
              </w:rPr>
            </w:pPr>
          </w:p>
        </w:tc>
        <w:tc>
          <w:tcPr>
            <w:tcW w:w="836" w:type="dxa"/>
            <w:shd w:val="clear" w:color="auto" w:fill="auto"/>
            <w:vAlign w:val="center"/>
          </w:tcPr>
          <w:p w14:paraId="5BD3B003" w14:textId="77777777" w:rsidR="009617F5" w:rsidRPr="009617F5" w:rsidRDefault="009617F5" w:rsidP="00286F7D">
            <w:pPr>
              <w:jc w:val="center"/>
              <w:rPr>
                <w:rFonts w:ascii="Arial" w:hAnsi="Arial" w:cs="Arial"/>
                <w:b/>
                <w:sz w:val="14"/>
                <w:szCs w:val="16"/>
              </w:rPr>
            </w:pPr>
          </w:p>
        </w:tc>
        <w:tc>
          <w:tcPr>
            <w:tcW w:w="817" w:type="dxa"/>
            <w:shd w:val="clear" w:color="auto" w:fill="auto"/>
            <w:vAlign w:val="center"/>
          </w:tcPr>
          <w:p w14:paraId="63145594" w14:textId="77777777" w:rsidR="009617F5" w:rsidRPr="009617F5" w:rsidRDefault="009617F5" w:rsidP="00286F7D">
            <w:pPr>
              <w:jc w:val="center"/>
              <w:rPr>
                <w:rFonts w:ascii="Arial" w:hAnsi="Arial" w:cs="Arial"/>
                <w:b/>
                <w:sz w:val="14"/>
                <w:szCs w:val="16"/>
              </w:rPr>
            </w:pPr>
          </w:p>
        </w:tc>
        <w:tc>
          <w:tcPr>
            <w:tcW w:w="819" w:type="dxa"/>
            <w:shd w:val="clear" w:color="auto" w:fill="auto"/>
            <w:vAlign w:val="center"/>
          </w:tcPr>
          <w:p w14:paraId="1E23FD96" w14:textId="77777777" w:rsidR="009617F5" w:rsidRPr="009617F5" w:rsidRDefault="009617F5" w:rsidP="00286F7D">
            <w:pPr>
              <w:jc w:val="center"/>
              <w:rPr>
                <w:rFonts w:ascii="Arial" w:hAnsi="Arial" w:cs="Arial"/>
                <w:b/>
                <w:sz w:val="14"/>
                <w:szCs w:val="16"/>
              </w:rPr>
            </w:pPr>
          </w:p>
        </w:tc>
        <w:tc>
          <w:tcPr>
            <w:tcW w:w="819" w:type="dxa"/>
            <w:shd w:val="clear" w:color="auto" w:fill="auto"/>
            <w:vAlign w:val="center"/>
          </w:tcPr>
          <w:p w14:paraId="65C42FC4" w14:textId="77777777" w:rsidR="009617F5" w:rsidRPr="009617F5" w:rsidRDefault="009617F5" w:rsidP="00286F7D">
            <w:pPr>
              <w:jc w:val="center"/>
              <w:rPr>
                <w:rFonts w:ascii="Arial" w:hAnsi="Arial" w:cs="Arial"/>
                <w:b/>
                <w:sz w:val="14"/>
                <w:szCs w:val="16"/>
              </w:rPr>
            </w:pPr>
          </w:p>
        </w:tc>
        <w:tc>
          <w:tcPr>
            <w:tcW w:w="822" w:type="dxa"/>
            <w:shd w:val="clear" w:color="auto" w:fill="auto"/>
            <w:vAlign w:val="center"/>
          </w:tcPr>
          <w:p w14:paraId="32696EF6" w14:textId="77777777" w:rsidR="009617F5" w:rsidRPr="009617F5" w:rsidRDefault="009617F5" w:rsidP="00286F7D">
            <w:pPr>
              <w:jc w:val="center"/>
              <w:rPr>
                <w:rFonts w:ascii="Arial" w:hAnsi="Arial" w:cs="Arial"/>
                <w:b/>
                <w:sz w:val="14"/>
                <w:szCs w:val="16"/>
              </w:rPr>
            </w:pPr>
          </w:p>
        </w:tc>
        <w:tc>
          <w:tcPr>
            <w:tcW w:w="821" w:type="dxa"/>
            <w:shd w:val="clear" w:color="auto" w:fill="auto"/>
            <w:vAlign w:val="center"/>
          </w:tcPr>
          <w:p w14:paraId="11D29768" w14:textId="77777777" w:rsidR="009617F5" w:rsidRPr="009617F5" w:rsidRDefault="009617F5" w:rsidP="00286F7D">
            <w:pPr>
              <w:jc w:val="center"/>
              <w:rPr>
                <w:rFonts w:ascii="Arial" w:hAnsi="Arial" w:cs="Arial"/>
                <w:b/>
                <w:sz w:val="14"/>
                <w:szCs w:val="16"/>
              </w:rPr>
            </w:pPr>
          </w:p>
        </w:tc>
        <w:tc>
          <w:tcPr>
            <w:tcW w:w="1647" w:type="dxa"/>
            <w:shd w:val="clear" w:color="auto" w:fill="auto"/>
            <w:vAlign w:val="center"/>
          </w:tcPr>
          <w:p w14:paraId="5707218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F1E0260" w14:textId="77777777" w:rsidTr="00286F7D">
        <w:trPr>
          <w:trHeight w:val="397"/>
        </w:trPr>
        <w:tc>
          <w:tcPr>
            <w:tcW w:w="833" w:type="dxa"/>
            <w:shd w:val="clear" w:color="auto" w:fill="auto"/>
            <w:vAlign w:val="center"/>
          </w:tcPr>
          <w:p w14:paraId="458BDAA1" w14:textId="77777777" w:rsidR="009617F5" w:rsidRPr="009617F5" w:rsidRDefault="009617F5" w:rsidP="00286F7D">
            <w:pPr>
              <w:rPr>
                <w:rFonts w:ascii="Arial" w:hAnsi="Arial" w:cs="Arial"/>
                <w:b/>
                <w:sz w:val="18"/>
                <w:szCs w:val="20"/>
              </w:rPr>
            </w:pPr>
            <w:r w:rsidRPr="009617F5">
              <w:rPr>
                <w:rFonts w:ascii="Arial" w:hAnsi="Arial" w:cs="Arial"/>
                <w:b/>
                <w:sz w:val="18"/>
                <w:szCs w:val="20"/>
              </w:rPr>
              <w:t>8Z-10</w:t>
            </w:r>
          </w:p>
        </w:tc>
        <w:tc>
          <w:tcPr>
            <w:tcW w:w="1641" w:type="dxa"/>
            <w:shd w:val="clear" w:color="auto" w:fill="auto"/>
            <w:vAlign w:val="center"/>
          </w:tcPr>
          <w:p w14:paraId="214F3998" w14:textId="77777777" w:rsidR="009617F5" w:rsidRPr="009617F5" w:rsidRDefault="009617F5" w:rsidP="00286F7D">
            <w:pPr>
              <w:rPr>
                <w:rFonts w:ascii="Arial" w:hAnsi="Arial" w:cs="Arial"/>
                <w:b/>
                <w:sz w:val="18"/>
                <w:szCs w:val="20"/>
              </w:rPr>
            </w:pPr>
            <w:r w:rsidRPr="009617F5">
              <w:rPr>
                <w:rFonts w:ascii="Arial" w:hAnsi="Arial" w:cs="Arial"/>
                <w:b/>
                <w:sz w:val="14"/>
                <w:szCs w:val="16"/>
              </w:rPr>
              <w:t>Plochy rekreace</w:t>
            </w:r>
          </w:p>
        </w:tc>
        <w:tc>
          <w:tcPr>
            <w:tcW w:w="836" w:type="dxa"/>
            <w:shd w:val="clear" w:color="auto" w:fill="auto"/>
            <w:vAlign w:val="center"/>
          </w:tcPr>
          <w:p w14:paraId="77612D4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0,2358</w:t>
            </w:r>
          </w:p>
        </w:tc>
        <w:tc>
          <w:tcPr>
            <w:tcW w:w="828" w:type="dxa"/>
            <w:shd w:val="clear" w:color="auto" w:fill="auto"/>
            <w:vAlign w:val="center"/>
          </w:tcPr>
          <w:p w14:paraId="6613957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185A2D4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5687F35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88EC4F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5828183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534FA6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0,2358</w:t>
            </w:r>
          </w:p>
        </w:tc>
        <w:tc>
          <w:tcPr>
            <w:tcW w:w="817" w:type="dxa"/>
            <w:shd w:val="clear" w:color="auto" w:fill="auto"/>
            <w:vAlign w:val="center"/>
          </w:tcPr>
          <w:p w14:paraId="2C77ED4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FD6BA2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3BB0193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6DC47C3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0,2358</w:t>
            </w:r>
          </w:p>
        </w:tc>
        <w:tc>
          <w:tcPr>
            <w:tcW w:w="821" w:type="dxa"/>
            <w:shd w:val="clear" w:color="auto" w:fill="auto"/>
            <w:vAlign w:val="center"/>
          </w:tcPr>
          <w:p w14:paraId="25DF3CE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002F3C0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83CC241" w14:textId="77777777" w:rsidTr="00286F7D">
        <w:trPr>
          <w:trHeight w:val="397"/>
        </w:trPr>
        <w:tc>
          <w:tcPr>
            <w:tcW w:w="2474" w:type="dxa"/>
            <w:gridSpan w:val="2"/>
            <w:shd w:val="clear" w:color="auto" w:fill="auto"/>
            <w:vAlign w:val="center"/>
          </w:tcPr>
          <w:p w14:paraId="2D4DFB10"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rekreace celkem:</w:t>
            </w:r>
          </w:p>
        </w:tc>
        <w:tc>
          <w:tcPr>
            <w:tcW w:w="836" w:type="dxa"/>
            <w:shd w:val="clear" w:color="auto" w:fill="auto"/>
            <w:vAlign w:val="center"/>
          </w:tcPr>
          <w:p w14:paraId="23A5630A" w14:textId="77777777" w:rsidR="009617F5" w:rsidRPr="009617F5" w:rsidRDefault="009617F5" w:rsidP="00286F7D">
            <w:pPr>
              <w:jc w:val="center"/>
              <w:rPr>
                <w:rFonts w:ascii="Arial" w:hAnsi="Arial" w:cs="Arial"/>
                <w:b/>
                <w:sz w:val="14"/>
                <w:szCs w:val="16"/>
              </w:rPr>
            </w:pPr>
          </w:p>
        </w:tc>
        <w:tc>
          <w:tcPr>
            <w:tcW w:w="828" w:type="dxa"/>
            <w:shd w:val="clear" w:color="auto" w:fill="auto"/>
            <w:vAlign w:val="center"/>
          </w:tcPr>
          <w:p w14:paraId="1AD54263" w14:textId="77777777" w:rsidR="009617F5" w:rsidRPr="009617F5" w:rsidRDefault="009617F5" w:rsidP="00286F7D">
            <w:pPr>
              <w:jc w:val="center"/>
              <w:rPr>
                <w:rFonts w:ascii="Arial" w:hAnsi="Arial" w:cs="Arial"/>
                <w:b/>
                <w:sz w:val="14"/>
                <w:szCs w:val="16"/>
              </w:rPr>
            </w:pPr>
          </w:p>
        </w:tc>
        <w:tc>
          <w:tcPr>
            <w:tcW w:w="999" w:type="dxa"/>
            <w:shd w:val="clear" w:color="auto" w:fill="auto"/>
            <w:vAlign w:val="center"/>
          </w:tcPr>
          <w:p w14:paraId="02609BF2" w14:textId="77777777" w:rsidR="009617F5" w:rsidRPr="009617F5" w:rsidRDefault="009617F5" w:rsidP="00286F7D">
            <w:pPr>
              <w:jc w:val="center"/>
              <w:rPr>
                <w:rFonts w:ascii="Arial" w:hAnsi="Arial" w:cs="Arial"/>
                <w:b/>
                <w:sz w:val="14"/>
                <w:szCs w:val="16"/>
              </w:rPr>
            </w:pPr>
          </w:p>
        </w:tc>
        <w:tc>
          <w:tcPr>
            <w:tcW w:w="831" w:type="dxa"/>
            <w:shd w:val="clear" w:color="auto" w:fill="auto"/>
            <w:vAlign w:val="center"/>
          </w:tcPr>
          <w:p w14:paraId="4F4B4D6F" w14:textId="77777777" w:rsidR="009617F5" w:rsidRPr="009617F5" w:rsidRDefault="009617F5" w:rsidP="00286F7D">
            <w:pPr>
              <w:jc w:val="center"/>
              <w:rPr>
                <w:rFonts w:ascii="Arial" w:hAnsi="Arial" w:cs="Arial"/>
                <w:b/>
                <w:sz w:val="14"/>
                <w:szCs w:val="16"/>
              </w:rPr>
            </w:pPr>
          </w:p>
        </w:tc>
        <w:tc>
          <w:tcPr>
            <w:tcW w:w="836" w:type="dxa"/>
            <w:shd w:val="clear" w:color="auto" w:fill="auto"/>
            <w:vAlign w:val="center"/>
          </w:tcPr>
          <w:p w14:paraId="16E66FD9" w14:textId="77777777" w:rsidR="009617F5" w:rsidRPr="009617F5" w:rsidRDefault="009617F5" w:rsidP="00286F7D">
            <w:pPr>
              <w:jc w:val="center"/>
              <w:rPr>
                <w:rFonts w:ascii="Arial" w:hAnsi="Arial" w:cs="Arial"/>
                <w:b/>
                <w:sz w:val="14"/>
                <w:szCs w:val="16"/>
              </w:rPr>
            </w:pPr>
          </w:p>
        </w:tc>
        <w:tc>
          <w:tcPr>
            <w:tcW w:w="835" w:type="dxa"/>
            <w:shd w:val="clear" w:color="auto" w:fill="auto"/>
            <w:vAlign w:val="center"/>
          </w:tcPr>
          <w:p w14:paraId="215D9E1E" w14:textId="77777777" w:rsidR="009617F5" w:rsidRPr="009617F5" w:rsidRDefault="009617F5" w:rsidP="00286F7D">
            <w:pPr>
              <w:jc w:val="center"/>
              <w:rPr>
                <w:rFonts w:ascii="Arial" w:hAnsi="Arial" w:cs="Arial"/>
                <w:b/>
                <w:sz w:val="14"/>
                <w:szCs w:val="16"/>
              </w:rPr>
            </w:pPr>
          </w:p>
        </w:tc>
        <w:tc>
          <w:tcPr>
            <w:tcW w:w="836" w:type="dxa"/>
            <w:shd w:val="clear" w:color="auto" w:fill="auto"/>
            <w:vAlign w:val="center"/>
          </w:tcPr>
          <w:p w14:paraId="1F87A6EA" w14:textId="77777777" w:rsidR="009617F5" w:rsidRPr="009617F5" w:rsidRDefault="009617F5" w:rsidP="00286F7D">
            <w:pPr>
              <w:jc w:val="center"/>
              <w:rPr>
                <w:rFonts w:ascii="Arial" w:hAnsi="Arial" w:cs="Arial"/>
                <w:b/>
                <w:sz w:val="14"/>
                <w:szCs w:val="16"/>
              </w:rPr>
            </w:pPr>
          </w:p>
        </w:tc>
        <w:tc>
          <w:tcPr>
            <w:tcW w:w="817" w:type="dxa"/>
            <w:shd w:val="clear" w:color="auto" w:fill="auto"/>
            <w:vAlign w:val="center"/>
          </w:tcPr>
          <w:p w14:paraId="321B137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3C64F0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9D2FCC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2E398AA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0,2358</w:t>
            </w:r>
          </w:p>
        </w:tc>
        <w:tc>
          <w:tcPr>
            <w:tcW w:w="821" w:type="dxa"/>
            <w:shd w:val="clear" w:color="auto" w:fill="auto"/>
            <w:vAlign w:val="center"/>
          </w:tcPr>
          <w:p w14:paraId="708939C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5B7B677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5A152A7C" w14:textId="77777777" w:rsidTr="00286F7D">
        <w:trPr>
          <w:trHeight w:val="397"/>
        </w:trPr>
        <w:tc>
          <w:tcPr>
            <w:tcW w:w="2474" w:type="dxa"/>
            <w:gridSpan w:val="2"/>
            <w:shd w:val="clear" w:color="auto" w:fill="auto"/>
            <w:vAlign w:val="center"/>
          </w:tcPr>
          <w:p w14:paraId="3DF50DC8" w14:textId="77777777" w:rsidR="009617F5" w:rsidRPr="009617F5" w:rsidRDefault="009617F5" w:rsidP="00286F7D">
            <w:pPr>
              <w:rPr>
                <w:rFonts w:ascii="Arial" w:hAnsi="Arial" w:cs="Arial"/>
                <w:b/>
                <w:sz w:val="18"/>
                <w:szCs w:val="20"/>
              </w:rPr>
            </w:pPr>
            <w:r w:rsidRPr="009617F5">
              <w:rPr>
                <w:rFonts w:ascii="Arial" w:hAnsi="Arial" w:cs="Arial"/>
                <w:b/>
                <w:sz w:val="18"/>
                <w:szCs w:val="20"/>
              </w:rPr>
              <w:t>k.ú. BŘEZINY</w:t>
            </w:r>
          </w:p>
          <w:p w14:paraId="7D1E8725" w14:textId="77777777" w:rsidR="009617F5" w:rsidRPr="009617F5" w:rsidRDefault="009617F5" w:rsidP="00286F7D">
            <w:pPr>
              <w:rPr>
                <w:rFonts w:ascii="Arial" w:hAnsi="Arial" w:cs="Arial"/>
                <w:b/>
                <w:sz w:val="18"/>
                <w:szCs w:val="20"/>
              </w:rPr>
            </w:pPr>
            <w:r w:rsidRPr="009617F5">
              <w:rPr>
                <w:rFonts w:ascii="Arial" w:hAnsi="Arial" w:cs="Arial"/>
                <w:b/>
                <w:sz w:val="18"/>
                <w:szCs w:val="20"/>
              </w:rPr>
              <w:t>ZÁBOR ZPF CELKEM</w:t>
            </w:r>
          </w:p>
          <w:p w14:paraId="1733A050" w14:textId="77777777" w:rsidR="009617F5" w:rsidRPr="009617F5" w:rsidRDefault="009617F5" w:rsidP="00286F7D">
            <w:pPr>
              <w:rPr>
                <w:rFonts w:ascii="Arial" w:hAnsi="Arial" w:cs="Arial"/>
                <w:b/>
                <w:sz w:val="18"/>
                <w:szCs w:val="20"/>
              </w:rPr>
            </w:pPr>
          </w:p>
        </w:tc>
        <w:tc>
          <w:tcPr>
            <w:tcW w:w="836" w:type="dxa"/>
            <w:shd w:val="clear" w:color="auto" w:fill="auto"/>
            <w:vAlign w:val="center"/>
          </w:tcPr>
          <w:p w14:paraId="3299D8E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0,3692</w:t>
            </w:r>
            <w:r w:rsidRPr="009617F5">
              <w:rPr>
                <w:rFonts w:ascii="Arial" w:hAnsi="Arial" w:cs="Arial"/>
                <w:b/>
                <w:sz w:val="14"/>
                <w:szCs w:val="16"/>
              </w:rPr>
              <w:fldChar w:fldCharType="end"/>
            </w:r>
          </w:p>
        </w:tc>
        <w:tc>
          <w:tcPr>
            <w:tcW w:w="828" w:type="dxa"/>
            <w:shd w:val="clear" w:color="auto" w:fill="auto"/>
            <w:vAlign w:val="center"/>
          </w:tcPr>
          <w:p w14:paraId="5324015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27537EF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493B350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7F6D4EB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1F70A24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F0E972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0,3692</w:t>
            </w:r>
            <w:r w:rsidRPr="009617F5">
              <w:rPr>
                <w:rFonts w:ascii="Arial" w:hAnsi="Arial" w:cs="Arial"/>
                <w:b/>
                <w:sz w:val="14"/>
                <w:szCs w:val="16"/>
              </w:rPr>
              <w:fldChar w:fldCharType="end"/>
            </w:r>
          </w:p>
        </w:tc>
        <w:tc>
          <w:tcPr>
            <w:tcW w:w="817" w:type="dxa"/>
            <w:shd w:val="clear" w:color="auto" w:fill="auto"/>
            <w:vAlign w:val="center"/>
          </w:tcPr>
          <w:p w14:paraId="2DCA45D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3E6B85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0,1023</w:t>
            </w:r>
          </w:p>
        </w:tc>
        <w:tc>
          <w:tcPr>
            <w:tcW w:w="819" w:type="dxa"/>
            <w:shd w:val="clear" w:color="auto" w:fill="auto"/>
            <w:vAlign w:val="center"/>
          </w:tcPr>
          <w:p w14:paraId="053B2DB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0,0240</w:t>
            </w:r>
          </w:p>
        </w:tc>
        <w:tc>
          <w:tcPr>
            <w:tcW w:w="822" w:type="dxa"/>
            <w:shd w:val="clear" w:color="auto" w:fill="auto"/>
            <w:vAlign w:val="center"/>
          </w:tcPr>
          <w:p w14:paraId="4A5570D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0,23580</w:t>
            </w:r>
          </w:p>
        </w:tc>
        <w:tc>
          <w:tcPr>
            <w:tcW w:w="821" w:type="dxa"/>
            <w:shd w:val="clear" w:color="auto" w:fill="auto"/>
            <w:vAlign w:val="center"/>
          </w:tcPr>
          <w:p w14:paraId="4AD7AEA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0,0071</w:t>
            </w:r>
          </w:p>
        </w:tc>
        <w:tc>
          <w:tcPr>
            <w:tcW w:w="1647" w:type="dxa"/>
            <w:shd w:val="clear" w:color="auto" w:fill="auto"/>
            <w:vAlign w:val="center"/>
          </w:tcPr>
          <w:p w14:paraId="4F53BA0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bl>
    <w:p w14:paraId="790BC5DD" w14:textId="77777777" w:rsidR="009617F5" w:rsidRPr="009617F5" w:rsidRDefault="009617F5" w:rsidP="009617F5">
      <w:pPr>
        <w:rPr>
          <w:rFonts w:ascii="Arial" w:hAnsi="Arial" w:cs="Arial"/>
          <w:b/>
          <w:color w:val="FF0000"/>
          <w:szCs w:val="28"/>
        </w:rPr>
      </w:pPr>
    </w:p>
    <w:p w14:paraId="53B2A1ED" w14:textId="77777777" w:rsidR="009617F5" w:rsidRPr="009617F5" w:rsidRDefault="009617F5" w:rsidP="009617F5">
      <w:pPr>
        <w:rPr>
          <w:rFonts w:ascii="Arial" w:hAnsi="Arial" w:cs="Arial"/>
          <w:b/>
          <w:color w:val="FF0000"/>
          <w:sz w:val="22"/>
        </w:rPr>
      </w:pPr>
      <w:r w:rsidRPr="009617F5">
        <w:rPr>
          <w:rFonts w:ascii="Arial" w:hAnsi="Arial" w:cs="Arial"/>
          <w:b/>
          <w:color w:val="FF0000"/>
          <w:szCs w:val="28"/>
        </w:rPr>
        <w:br w:type="page"/>
      </w:r>
      <w:r w:rsidRPr="009617F5">
        <w:rPr>
          <w:rFonts w:ascii="Arial" w:hAnsi="Arial" w:cs="Arial"/>
          <w:b/>
          <w:color w:val="FF0000"/>
          <w:sz w:val="22"/>
        </w:rPr>
        <w:lastRenderedPageBreak/>
        <w:t>Katastrální území:</w:t>
      </w:r>
      <w:r w:rsidRPr="009617F5">
        <w:rPr>
          <w:rFonts w:ascii="Arial" w:hAnsi="Arial" w:cs="Arial"/>
          <w:b/>
          <w:color w:val="FF0000"/>
          <w:sz w:val="22"/>
        </w:rPr>
        <w:tab/>
        <w:t>Děčín</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0A0" w:firstRow="1" w:lastRow="0" w:firstColumn="1" w:lastColumn="0" w:noHBand="0" w:noVBand="0"/>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34A5F909" w14:textId="77777777" w:rsidTr="00286F7D">
        <w:trPr>
          <w:tblHeader/>
        </w:trPr>
        <w:tc>
          <w:tcPr>
            <w:tcW w:w="833" w:type="dxa"/>
            <w:vMerge w:val="restart"/>
            <w:shd w:val="clear" w:color="auto" w:fill="auto"/>
          </w:tcPr>
          <w:p w14:paraId="06FAD7A5" w14:textId="77777777" w:rsidR="009617F5" w:rsidRPr="009617F5" w:rsidRDefault="009617F5" w:rsidP="00286F7D">
            <w:pPr>
              <w:rPr>
                <w:rFonts w:ascii="Arial" w:hAnsi="Arial" w:cs="Arial"/>
                <w:b/>
                <w:sz w:val="14"/>
                <w:szCs w:val="16"/>
              </w:rPr>
            </w:pPr>
          </w:p>
          <w:p w14:paraId="602F808C" w14:textId="77777777" w:rsidR="009617F5" w:rsidRPr="009617F5" w:rsidRDefault="009617F5" w:rsidP="00286F7D">
            <w:pPr>
              <w:rPr>
                <w:rFonts w:ascii="Arial" w:hAnsi="Arial" w:cs="Arial"/>
                <w:b/>
                <w:sz w:val="14"/>
                <w:szCs w:val="16"/>
              </w:rPr>
            </w:pPr>
          </w:p>
          <w:p w14:paraId="19637020"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shd w:val="clear" w:color="auto" w:fill="auto"/>
          </w:tcPr>
          <w:p w14:paraId="16D1395E" w14:textId="77777777" w:rsidR="009617F5" w:rsidRPr="009617F5" w:rsidRDefault="009617F5" w:rsidP="00286F7D">
            <w:pPr>
              <w:rPr>
                <w:rFonts w:ascii="Arial" w:hAnsi="Arial" w:cs="Arial"/>
                <w:b/>
                <w:sz w:val="14"/>
                <w:szCs w:val="16"/>
              </w:rPr>
            </w:pPr>
          </w:p>
          <w:p w14:paraId="73929866" w14:textId="77777777" w:rsidR="009617F5" w:rsidRPr="009617F5" w:rsidRDefault="009617F5" w:rsidP="00286F7D">
            <w:pPr>
              <w:rPr>
                <w:rFonts w:ascii="Arial" w:hAnsi="Arial" w:cs="Arial"/>
                <w:b/>
                <w:sz w:val="14"/>
                <w:szCs w:val="16"/>
              </w:rPr>
            </w:pPr>
          </w:p>
          <w:p w14:paraId="59ED654F"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shd w:val="clear" w:color="auto" w:fill="auto"/>
          </w:tcPr>
          <w:p w14:paraId="0354630A" w14:textId="77777777" w:rsidR="009617F5" w:rsidRPr="009617F5" w:rsidRDefault="009617F5" w:rsidP="00286F7D">
            <w:pPr>
              <w:rPr>
                <w:rFonts w:ascii="Arial" w:hAnsi="Arial" w:cs="Arial"/>
                <w:b/>
                <w:sz w:val="14"/>
                <w:szCs w:val="16"/>
              </w:rPr>
            </w:pPr>
          </w:p>
          <w:p w14:paraId="57683A38"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shd w:val="clear" w:color="auto" w:fill="auto"/>
          </w:tcPr>
          <w:p w14:paraId="548E4A0A" w14:textId="77777777" w:rsidR="009617F5" w:rsidRPr="009617F5" w:rsidRDefault="009617F5" w:rsidP="00286F7D">
            <w:pPr>
              <w:jc w:val="center"/>
              <w:rPr>
                <w:rFonts w:ascii="Arial" w:hAnsi="Arial" w:cs="Arial"/>
                <w:b/>
                <w:sz w:val="14"/>
                <w:szCs w:val="16"/>
              </w:rPr>
            </w:pPr>
          </w:p>
          <w:p w14:paraId="71BB4E5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jednotlivých kultur</w:t>
            </w:r>
          </w:p>
          <w:p w14:paraId="39B9C20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4098" w:type="dxa"/>
            <w:gridSpan w:val="5"/>
            <w:shd w:val="clear" w:color="auto" w:fill="auto"/>
          </w:tcPr>
          <w:p w14:paraId="2655D07A" w14:textId="77777777" w:rsidR="009617F5" w:rsidRPr="009617F5" w:rsidRDefault="009617F5" w:rsidP="00286F7D">
            <w:pPr>
              <w:rPr>
                <w:rFonts w:ascii="Arial" w:hAnsi="Arial" w:cs="Arial"/>
                <w:b/>
                <w:sz w:val="14"/>
                <w:szCs w:val="16"/>
              </w:rPr>
            </w:pPr>
          </w:p>
          <w:p w14:paraId="452B9FC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tříd ochrany</w:t>
            </w:r>
          </w:p>
          <w:p w14:paraId="359E604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1647" w:type="dxa"/>
            <w:vMerge w:val="restart"/>
            <w:shd w:val="clear" w:color="auto" w:fill="auto"/>
          </w:tcPr>
          <w:p w14:paraId="17DF5CDB" w14:textId="77777777" w:rsidR="009617F5" w:rsidRPr="009617F5" w:rsidRDefault="009617F5" w:rsidP="00286F7D">
            <w:pPr>
              <w:rPr>
                <w:rFonts w:ascii="Arial" w:hAnsi="Arial" w:cs="Arial"/>
                <w:b/>
                <w:sz w:val="14"/>
                <w:szCs w:val="16"/>
              </w:rPr>
            </w:pPr>
          </w:p>
          <w:p w14:paraId="6EF9FCB8" w14:textId="77777777" w:rsidR="009617F5" w:rsidRPr="009617F5" w:rsidRDefault="009617F5" w:rsidP="00286F7D">
            <w:pPr>
              <w:jc w:val="center"/>
              <w:rPr>
                <w:rFonts w:ascii="Arial" w:hAnsi="Arial" w:cs="Arial"/>
                <w:b/>
                <w:sz w:val="14"/>
                <w:szCs w:val="16"/>
              </w:rPr>
            </w:pPr>
          </w:p>
          <w:p w14:paraId="076123C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Investice do půdy (ha)</w:t>
            </w:r>
          </w:p>
        </w:tc>
      </w:tr>
      <w:tr w:rsidR="009617F5" w:rsidRPr="009617F5" w14:paraId="47A05FB6" w14:textId="77777777" w:rsidTr="00286F7D">
        <w:trPr>
          <w:tblHeader/>
        </w:trPr>
        <w:tc>
          <w:tcPr>
            <w:tcW w:w="833" w:type="dxa"/>
            <w:vMerge/>
            <w:shd w:val="clear" w:color="auto" w:fill="auto"/>
          </w:tcPr>
          <w:p w14:paraId="5E4F9826" w14:textId="77777777" w:rsidR="009617F5" w:rsidRPr="009617F5" w:rsidRDefault="009617F5" w:rsidP="00286F7D">
            <w:pPr>
              <w:rPr>
                <w:rFonts w:ascii="Arial" w:hAnsi="Arial" w:cs="Arial"/>
                <w:b/>
                <w:sz w:val="14"/>
                <w:szCs w:val="16"/>
              </w:rPr>
            </w:pPr>
          </w:p>
        </w:tc>
        <w:tc>
          <w:tcPr>
            <w:tcW w:w="1641" w:type="dxa"/>
            <w:vMerge/>
            <w:shd w:val="clear" w:color="auto" w:fill="auto"/>
          </w:tcPr>
          <w:p w14:paraId="2E8CC764" w14:textId="77777777" w:rsidR="009617F5" w:rsidRPr="009617F5" w:rsidRDefault="009617F5" w:rsidP="00286F7D">
            <w:pPr>
              <w:rPr>
                <w:rFonts w:ascii="Arial" w:hAnsi="Arial" w:cs="Arial"/>
                <w:b/>
                <w:sz w:val="14"/>
                <w:szCs w:val="16"/>
              </w:rPr>
            </w:pPr>
          </w:p>
        </w:tc>
        <w:tc>
          <w:tcPr>
            <w:tcW w:w="836" w:type="dxa"/>
            <w:vMerge/>
            <w:shd w:val="clear" w:color="auto" w:fill="auto"/>
          </w:tcPr>
          <w:p w14:paraId="69CA1C25" w14:textId="77777777" w:rsidR="009617F5" w:rsidRPr="009617F5" w:rsidRDefault="009617F5" w:rsidP="00286F7D">
            <w:pPr>
              <w:rPr>
                <w:rFonts w:ascii="Arial" w:hAnsi="Arial" w:cs="Arial"/>
                <w:b/>
                <w:sz w:val="14"/>
                <w:szCs w:val="16"/>
              </w:rPr>
            </w:pPr>
          </w:p>
        </w:tc>
        <w:tc>
          <w:tcPr>
            <w:tcW w:w="828" w:type="dxa"/>
            <w:shd w:val="clear" w:color="auto" w:fill="auto"/>
          </w:tcPr>
          <w:p w14:paraId="09A6A8F6"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59AC9FF6"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shd w:val="clear" w:color="auto" w:fill="auto"/>
          </w:tcPr>
          <w:p w14:paraId="4E817BDB"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shd w:val="clear" w:color="auto" w:fill="auto"/>
          </w:tcPr>
          <w:p w14:paraId="58795214"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shd w:val="clear" w:color="auto" w:fill="auto"/>
          </w:tcPr>
          <w:p w14:paraId="414EBB15"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shd w:val="clear" w:color="auto" w:fill="auto"/>
          </w:tcPr>
          <w:p w14:paraId="046BEB1A"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shd w:val="clear" w:color="auto" w:fill="auto"/>
          </w:tcPr>
          <w:p w14:paraId="3B26E916"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shd w:val="clear" w:color="auto" w:fill="auto"/>
          </w:tcPr>
          <w:p w14:paraId="5EC8C403"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shd w:val="clear" w:color="auto" w:fill="auto"/>
          </w:tcPr>
          <w:p w14:paraId="57148AD1"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shd w:val="clear" w:color="auto" w:fill="auto"/>
          </w:tcPr>
          <w:p w14:paraId="4A1E6B10"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shd w:val="clear" w:color="auto" w:fill="auto"/>
          </w:tcPr>
          <w:p w14:paraId="0BFE1750"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1647" w:type="dxa"/>
            <w:vMerge/>
            <w:shd w:val="clear" w:color="auto" w:fill="auto"/>
          </w:tcPr>
          <w:p w14:paraId="2DD10B04" w14:textId="77777777" w:rsidR="009617F5" w:rsidRPr="009617F5" w:rsidRDefault="009617F5" w:rsidP="00286F7D">
            <w:pPr>
              <w:rPr>
                <w:rFonts w:ascii="Arial" w:hAnsi="Arial" w:cs="Arial"/>
                <w:b/>
                <w:sz w:val="14"/>
                <w:szCs w:val="16"/>
              </w:rPr>
            </w:pPr>
          </w:p>
        </w:tc>
      </w:tr>
      <w:tr w:rsidR="009617F5" w:rsidRPr="009617F5" w14:paraId="1F47EC29" w14:textId="77777777" w:rsidTr="00286F7D">
        <w:trPr>
          <w:trHeight w:val="397"/>
        </w:trPr>
        <w:tc>
          <w:tcPr>
            <w:tcW w:w="833" w:type="dxa"/>
            <w:shd w:val="clear" w:color="auto" w:fill="auto"/>
            <w:vAlign w:val="center"/>
          </w:tcPr>
          <w:p w14:paraId="6E8498FD"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8Z-37</w:t>
            </w:r>
          </w:p>
        </w:tc>
        <w:tc>
          <w:tcPr>
            <w:tcW w:w="1641" w:type="dxa"/>
            <w:shd w:val="clear" w:color="auto" w:fill="auto"/>
            <w:vAlign w:val="center"/>
          </w:tcPr>
          <w:p w14:paraId="6FEE13E0"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1B7D5CD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3360075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0607516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61CAB55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89C553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607D6A0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658987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4FDD902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1F0053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00572D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1C1363B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2EE6657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57CE455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443421EF" w14:textId="77777777" w:rsidTr="00286F7D">
        <w:trPr>
          <w:trHeight w:val="397"/>
        </w:trPr>
        <w:tc>
          <w:tcPr>
            <w:tcW w:w="2474" w:type="dxa"/>
            <w:gridSpan w:val="2"/>
            <w:shd w:val="clear" w:color="auto" w:fill="auto"/>
            <w:vAlign w:val="center"/>
          </w:tcPr>
          <w:p w14:paraId="253B9F89"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bydlení celkem:</w:t>
            </w:r>
          </w:p>
        </w:tc>
        <w:tc>
          <w:tcPr>
            <w:tcW w:w="836" w:type="dxa"/>
            <w:shd w:val="clear" w:color="auto" w:fill="auto"/>
            <w:vAlign w:val="center"/>
          </w:tcPr>
          <w:p w14:paraId="7B641EE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4B02D02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45F907D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7DADC2F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E1DD9C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2A392D0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E80DE5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60DEEBC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307027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EF731C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0C3E6EC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522B771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6884A82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7F51A5C8" w14:textId="77777777" w:rsidTr="00286F7D">
        <w:trPr>
          <w:trHeight w:val="397"/>
        </w:trPr>
        <w:tc>
          <w:tcPr>
            <w:tcW w:w="833" w:type="dxa"/>
            <w:shd w:val="clear" w:color="auto" w:fill="auto"/>
            <w:vAlign w:val="center"/>
          </w:tcPr>
          <w:p w14:paraId="1F069D07"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8Z-17</w:t>
            </w:r>
          </w:p>
        </w:tc>
        <w:tc>
          <w:tcPr>
            <w:tcW w:w="1641" w:type="dxa"/>
            <w:shd w:val="clear" w:color="auto" w:fill="auto"/>
            <w:vAlign w:val="center"/>
          </w:tcPr>
          <w:p w14:paraId="5BC2C8CB"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smíšené obytné</w:t>
            </w:r>
          </w:p>
        </w:tc>
        <w:tc>
          <w:tcPr>
            <w:tcW w:w="836" w:type="dxa"/>
            <w:shd w:val="clear" w:color="auto" w:fill="auto"/>
            <w:vAlign w:val="center"/>
          </w:tcPr>
          <w:p w14:paraId="5A9DF6E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7914D52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2F41201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7078E8B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985D1C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4DCDE32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E907F3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386E8E8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45F51A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7CD11E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713452E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7F5E855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682F72B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0780BF24" w14:textId="77777777" w:rsidTr="00286F7D">
        <w:trPr>
          <w:trHeight w:val="397"/>
        </w:trPr>
        <w:tc>
          <w:tcPr>
            <w:tcW w:w="833" w:type="dxa"/>
            <w:shd w:val="clear" w:color="auto" w:fill="auto"/>
            <w:vAlign w:val="center"/>
          </w:tcPr>
          <w:p w14:paraId="7A51E3C9"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8Z-45</w:t>
            </w:r>
          </w:p>
        </w:tc>
        <w:tc>
          <w:tcPr>
            <w:tcW w:w="1641" w:type="dxa"/>
            <w:shd w:val="clear" w:color="auto" w:fill="auto"/>
            <w:vAlign w:val="center"/>
          </w:tcPr>
          <w:p w14:paraId="329C9938"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smíšené obytné</w:t>
            </w:r>
          </w:p>
        </w:tc>
        <w:tc>
          <w:tcPr>
            <w:tcW w:w="836" w:type="dxa"/>
            <w:shd w:val="clear" w:color="auto" w:fill="auto"/>
            <w:vAlign w:val="center"/>
          </w:tcPr>
          <w:p w14:paraId="3CAED54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0,0993</w:t>
            </w:r>
          </w:p>
        </w:tc>
        <w:tc>
          <w:tcPr>
            <w:tcW w:w="828" w:type="dxa"/>
            <w:shd w:val="clear" w:color="auto" w:fill="auto"/>
            <w:vAlign w:val="center"/>
          </w:tcPr>
          <w:p w14:paraId="1A39002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17C6A4B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3AA9D93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0FE2F6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0,0993</w:t>
            </w:r>
          </w:p>
        </w:tc>
        <w:tc>
          <w:tcPr>
            <w:tcW w:w="835" w:type="dxa"/>
            <w:shd w:val="clear" w:color="auto" w:fill="auto"/>
            <w:vAlign w:val="center"/>
          </w:tcPr>
          <w:p w14:paraId="526D4CE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62BDC2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1BA9EB1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0AD5F5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0,0993</w:t>
            </w:r>
          </w:p>
        </w:tc>
        <w:tc>
          <w:tcPr>
            <w:tcW w:w="819" w:type="dxa"/>
            <w:shd w:val="clear" w:color="auto" w:fill="auto"/>
            <w:vAlign w:val="center"/>
          </w:tcPr>
          <w:p w14:paraId="762EB7E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7953424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0A22CB1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73D6838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B3EE7EC" w14:textId="77777777" w:rsidTr="00286F7D">
        <w:trPr>
          <w:trHeight w:val="397"/>
        </w:trPr>
        <w:tc>
          <w:tcPr>
            <w:tcW w:w="2474" w:type="dxa"/>
            <w:gridSpan w:val="2"/>
            <w:shd w:val="clear" w:color="auto" w:fill="auto"/>
            <w:vAlign w:val="center"/>
          </w:tcPr>
          <w:p w14:paraId="71318D89"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smíšené obytné celkem:</w:t>
            </w:r>
          </w:p>
        </w:tc>
        <w:tc>
          <w:tcPr>
            <w:tcW w:w="836" w:type="dxa"/>
            <w:shd w:val="clear" w:color="auto" w:fill="auto"/>
            <w:vAlign w:val="center"/>
          </w:tcPr>
          <w:p w14:paraId="150FA93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0,0993</w:t>
            </w:r>
          </w:p>
        </w:tc>
        <w:tc>
          <w:tcPr>
            <w:tcW w:w="828" w:type="dxa"/>
            <w:shd w:val="clear" w:color="auto" w:fill="auto"/>
            <w:vAlign w:val="center"/>
          </w:tcPr>
          <w:p w14:paraId="14DBAB4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4A4685C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0E870BF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DE2F96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0,0993</w:t>
            </w:r>
          </w:p>
        </w:tc>
        <w:tc>
          <w:tcPr>
            <w:tcW w:w="835" w:type="dxa"/>
            <w:shd w:val="clear" w:color="auto" w:fill="auto"/>
            <w:vAlign w:val="center"/>
          </w:tcPr>
          <w:p w14:paraId="37874CE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C9EC57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520B186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EB36ED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0,0993</w:t>
            </w:r>
          </w:p>
        </w:tc>
        <w:tc>
          <w:tcPr>
            <w:tcW w:w="819" w:type="dxa"/>
            <w:shd w:val="clear" w:color="auto" w:fill="auto"/>
            <w:vAlign w:val="center"/>
          </w:tcPr>
          <w:p w14:paraId="14B04F5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4AE1055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3596A5A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6F5F048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2F24467" w14:textId="77777777" w:rsidTr="00286F7D">
        <w:trPr>
          <w:trHeight w:val="397"/>
        </w:trPr>
        <w:tc>
          <w:tcPr>
            <w:tcW w:w="833" w:type="dxa"/>
            <w:shd w:val="clear" w:color="auto" w:fill="auto"/>
            <w:vAlign w:val="center"/>
          </w:tcPr>
          <w:p w14:paraId="275419E2"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8Z-23</w:t>
            </w:r>
          </w:p>
        </w:tc>
        <w:tc>
          <w:tcPr>
            <w:tcW w:w="1641" w:type="dxa"/>
            <w:shd w:val="clear" w:color="auto" w:fill="auto"/>
            <w:vAlign w:val="center"/>
          </w:tcPr>
          <w:p w14:paraId="6071C213"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rekreace</w:t>
            </w:r>
          </w:p>
        </w:tc>
        <w:tc>
          <w:tcPr>
            <w:tcW w:w="836" w:type="dxa"/>
            <w:shd w:val="clear" w:color="auto" w:fill="auto"/>
            <w:vAlign w:val="center"/>
          </w:tcPr>
          <w:p w14:paraId="072F3DF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0,0459</w:t>
            </w:r>
          </w:p>
        </w:tc>
        <w:tc>
          <w:tcPr>
            <w:tcW w:w="828" w:type="dxa"/>
            <w:shd w:val="clear" w:color="auto" w:fill="auto"/>
            <w:vAlign w:val="center"/>
          </w:tcPr>
          <w:p w14:paraId="3A6968F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78EC16E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143799F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419C6D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0,0459</w:t>
            </w:r>
          </w:p>
        </w:tc>
        <w:tc>
          <w:tcPr>
            <w:tcW w:w="835" w:type="dxa"/>
            <w:shd w:val="clear" w:color="auto" w:fill="auto"/>
            <w:vAlign w:val="center"/>
          </w:tcPr>
          <w:p w14:paraId="5BEDC52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BB03E1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434B77B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13C5C2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0,0459</w:t>
            </w:r>
          </w:p>
        </w:tc>
        <w:tc>
          <w:tcPr>
            <w:tcW w:w="819" w:type="dxa"/>
            <w:shd w:val="clear" w:color="auto" w:fill="auto"/>
            <w:vAlign w:val="center"/>
          </w:tcPr>
          <w:p w14:paraId="43A8389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2790767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6C1E6DA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6660999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39339AFE" w14:textId="77777777" w:rsidTr="00286F7D">
        <w:trPr>
          <w:trHeight w:val="397"/>
        </w:trPr>
        <w:tc>
          <w:tcPr>
            <w:tcW w:w="2474" w:type="dxa"/>
            <w:gridSpan w:val="2"/>
            <w:shd w:val="clear" w:color="auto" w:fill="auto"/>
            <w:vAlign w:val="center"/>
          </w:tcPr>
          <w:p w14:paraId="4336DC83"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rekreace celkem:</w:t>
            </w:r>
          </w:p>
        </w:tc>
        <w:tc>
          <w:tcPr>
            <w:tcW w:w="836" w:type="dxa"/>
            <w:shd w:val="clear" w:color="auto" w:fill="auto"/>
            <w:vAlign w:val="center"/>
          </w:tcPr>
          <w:p w14:paraId="2AB6772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0,0459</w:t>
            </w:r>
          </w:p>
        </w:tc>
        <w:tc>
          <w:tcPr>
            <w:tcW w:w="828" w:type="dxa"/>
            <w:shd w:val="clear" w:color="auto" w:fill="auto"/>
            <w:vAlign w:val="center"/>
          </w:tcPr>
          <w:p w14:paraId="35065D7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503CD54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48CEFB5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78CACF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0,0459</w:t>
            </w:r>
          </w:p>
        </w:tc>
        <w:tc>
          <w:tcPr>
            <w:tcW w:w="835" w:type="dxa"/>
            <w:shd w:val="clear" w:color="auto" w:fill="auto"/>
            <w:vAlign w:val="center"/>
          </w:tcPr>
          <w:p w14:paraId="7AD5603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6D8226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0CAD755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57C020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0,0459</w:t>
            </w:r>
          </w:p>
        </w:tc>
        <w:tc>
          <w:tcPr>
            <w:tcW w:w="819" w:type="dxa"/>
            <w:shd w:val="clear" w:color="auto" w:fill="auto"/>
            <w:vAlign w:val="center"/>
          </w:tcPr>
          <w:p w14:paraId="31664B1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3C5C748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41EEFC1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084AD0A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1E9D5236" w14:textId="77777777" w:rsidTr="00286F7D">
        <w:trPr>
          <w:trHeight w:val="397"/>
        </w:trPr>
        <w:tc>
          <w:tcPr>
            <w:tcW w:w="2474" w:type="dxa"/>
            <w:gridSpan w:val="2"/>
            <w:shd w:val="clear" w:color="auto" w:fill="auto"/>
            <w:vAlign w:val="center"/>
          </w:tcPr>
          <w:p w14:paraId="0BCDD393" w14:textId="77777777" w:rsidR="009617F5" w:rsidRPr="009617F5" w:rsidRDefault="009617F5" w:rsidP="00286F7D">
            <w:pPr>
              <w:rPr>
                <w:rFonts w:ascii="Arial" w:hAnsi="Arial" w:cs="Arial"/>
                <w:b/>
                <w:sz w:val="18"/>
                <w:szCs w:val="20"/>
              </w:rPr>
            </w:pPr>
            <w:r w:rsidRPr="009617F5">
              <w:rPr>
                <w:rFonts w:ascii="Arial" w:hAnsi="Arial" w:cs="Arial"/>
                <w:b/>
                <w:sz w:val="18"/>
                <w:szCs w:val="20"/>
              </w:rPr>
              <w:t>k.ú. DĚČÍN</w:t>
            </w:r>
          </w:p>
          <w:p w14:paraId="723A64F3" w14:textId="77777777" w:rsidR="009617F5" w:rsidRPr="009617F5" w:rsidRDefault="009617F5" w:rsidP="00286F7D">
            <w:pPr>
              <w:rPr>
                <w:rFonts w:ascii="Arial" w:hAnsi="Arial" w:cs="Arial"/>
                <w:b/>
                <w:sz w:val="18"/>
                <w:szCs w:val="20"/>
              </w:rPr>
            </w:pPr>
            <w:r w:rsidRPr="009617F5">
              <w:rPr>
                <w:rFonts w:ascii="Arial" w:hAnsi="Arial" w:cs="Arial"/>
                <w:b/>
                <w:sz w:val="18"/>
                <w:szCs w:val="20"/>
              </w:rPr>
              <w:t>ZÁBOR ZPF CELKEM</w:t>
            </w:r>
          </w:p>
          <w:p w14:paraId="453FA11C" w14:textId="77777777" w:rsidR="009617F5" w:rsidRPr="009617F5" w:rsidRDefault="009617F5" w:rsidP="00286F7D">
            <w:pPr>
              <w:rPr>
                <w:rFonts w:ascii="Arial" w:hAnsi="Arial" w:cs="Arial"/>
                <w:b/>
                <w:sz w:val="18"/>
                <w:szCs w:val="20"/>
              </w:rPr>
            </w:pPr>
          </w:p>
        </w:tc>
        <w:tc>
          <w:tcPr>
            <w:tcW w:w="836" w:type="dxa"/>
            <w:shd w:val="clear" w:color="auto" w:fill="auto"/>
            <w:vAlign w:val="center"/>
          </w:tcPr>
          <w:p w14:paraId="3514792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1452</w:t>
            </w:r>
            <w:r w:rsidRPr="009617F5">
              <w:rPr>
                <w:rFonts w:ascii="Arial" w:hAnsi="Arial" w:cs="Arial"/>
                <w:b/>
                <w:sz w:val="14"/>
                <w:szCs w:val="16"/>
              </w:rPr>
              <w:fldChar w:fldCharType="end"/>
            </w:r>
          </w:p>
        </w:tc>
        <w:tc>
          <w:tcPr>
            <w:tcW w:w="828" w:type="dxa"/>
            <w:shd w:val="clear" w:color="auto" w:fill="auto"/>
            <w:vAlign w:val="center"/>
          </w:tcPr>
          <w:p w14:paraId="6D77A52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2208A66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40E4D5B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5E8E4C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1452</w:t>
            </w:r>
            <w:r w:rsidRPr="009617F5">
              <w:rPr>
                <w:rFonts w:ascii="Arial" w:hAnsi="Arial" w:cs="Arial"/>
                <w:b/>
                <w:sz w:val="14"/>
                <w:szCs w:val="16"/>
              </w:rPr>
              <w:fldChar w:fldCharType="end"/>
            </w:r>
          </w:p>
        </w:tc>
        <w:tc>
          <w:tcPr>
            <w:tcW w:w="835" w:type="dxa"/>
            <w:shd w:val="clear" w:color="auto" w:fill="auto"/>
            <w:vAlign w:val="center"/>
          </w:tcPr>
          <w:p w14:paraId="729E028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2D308F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650CFB7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3E182CD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1452</w:t>
            </w:r>
            <w:r w:rsidRPr="009617F5">
              <w:rPr>
                <w:rFonts w:ascii="Arial" w:hAnsi="Arial" w:cs="Arial"/>
                <w:b/>
                <w:sz w:val="14"/>
                <w:szCs w:val="16"/>
              </w:rPr>
              <w:fldChar w:fldCharType="end"/>
            </w:r>
          </w:p>
        </w:tc>
        <w:tc>
          <w:tcPr>
            <w:tcW w:w="819" w:type="dxa"/>
            <w:shd w:val="clear" w:color="auto" w:fill="auto"/>
            <w:vAlign w:val="center"/>
          </w:tcPr>
          <w:p w14:paraId="407C424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7A07EE1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1D45E71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1DBE0A4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bl>
    <w:p w14:paraId="1467A43B" w14:textId="77777777" w:rsidR="009617F5" w:rsidRPr="009617F5" w:rsidRDefault="009617F5" w:rsidP="009617F5">
      <w:pPr>
        <w:rPr>
          <w:rFonts w:ascii="Arial" w:hAnsi="Arial" w:cs="Arial"/>
          <w:b/>
          <w:color w:val="FF0000"/>
          <w:szCs w:val="28"/>
        </w:rPr>
      </w:pPr>
    </w:p>
    <w:p w14:paraId="67143144"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t>Katastrální území:</w:t>
      </w:r>
      <w:r w:rsidRPr="009617F5">
        <w:rPr>
          <w:rFonts w:ascii="Arial" w:hAnsi="Arial" w:cs="Arial"/>
          <w:b/>
          <w:color w:val="FF0000"/>
          <w:sz w:val="22"/>
        </w:rPr>
        <w:tab/>
        <w:t>Folknáře</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0A0" w:firstRow="1" w:lastRow="0" w:firstColumn="1" w:lastColumn="0" w:noHBand="0" w:noVBand="0"/>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60B6F758" w14:textId="77777777" w:rsidTr="00286F7D">
        <w:trPr>
          <w:tblHeader/>
        </w:trPr>
        <w:tc>
          <w:tcPr>
            <w:tcW w:w="833" w:type="dxa"/>
            <w:vMerge w:val="restart"/>
            <w:shd w:val="clear" w:color="auto" w:fill="auto"/>
          </w:tcPr>
          <w:p w14:paraId="0CB2E2A3" w14:textId="77777777" w:rsidR="009617F5" w:rsidRPr="009617F5" w:rsidRDefault="009617F5" w:rsidP="00286F7D">
            <w:pPr>
              <w:rPr>
                <w:rFonts w:ascii="Arial" w:hAnsi="Arial" w:cs="Arial"/>
                <w:b/>
                <w:sz w:val="14"/>
                <w:szCs w:val="16"/>
              </w:rPr>
            </w:pPr>
          </w:p>
          <w:p w14:paraId="45AD2E07" w14:textId="77777777" w:rsidR="009617F5" w:rsidRPr="009617F5" w:rsidRDefault="009617F5" w:rsidP="00286F7D">
            <w:pPr>
              <w:rPr>
                <w:rFonts w:ascii="Arial" w:hAnsi="Arial" w:cs="Arial"/>
                <w:b/>
                <w:sz w:val="14"/>
                <w:szCs w:val="16"/>
              </w:rPr>
            </w:pPr>
          </w:p>
          <w:p w14:paraId="1FCB9FD5"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shd w:val="clear" w:color="auto" w:fill="auto"/>
          </w:tcPr>
          <w:p w14:paraId="61BF6753" w14:textId="77777777" w:rsidR="009617F5" w:rsidRPr="009617F5" w:rsidRDefault="009617F5" w:rsidP="00286F7D">
            <w:pPr>
              <w:rPr>
                <w:rFonts w:ascii="Arial" w:hAnsi="Arial" w:cs="Arial"/>
                <w:b/>
                <w:sz w:val="14"/>
                <w:szCs w:val="16"/>
              </w:rPr>
            </w:pPr>
          </w:p>
          <w:p w14:paraId="06EBB6CB" w14:textId="77777777" w:rsidR="009617F5" w:rsidRPr="009617F5" w:rsidRDefault="009617F5" w:rsidP="00286F7D">
            <w:pPr>
              <w:rPr>
                <w:rFonts w:ascii="Arial" w:hAnsi="Arial" w:cs="Arial"/>
                <w:b/>
                <w:sz w:val="14"/>
                <w:szCs w:val="16"/>
              </w:rPr>
            </w:pPr>
          </w:p>
          <w:p w14:paraId="1BD042D8"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shd w:val="clear" w:color="auto" w:fill="auto"/>
          </w:tcPr>
          <w:p w14:paraId="1FA11BAF" w14:textId="77777777" w:rsidR="009617F5" w:rsidRPr="009617F5" w:rsidRDefault="009617F5" w:rsidP="00286F7D">
            <w:pPr>
              <w:rPr>
                <w:rFonts w:ascii="Arial" w:hAnsi="Arial" w:cs="Arial"/>
                <w:b/>
                <w:sz w:val="14"/>
                <w:szCs w:val="16"/>
              </w:rPr>
            </w:pPr>
          </w:p>
          <w:p w14:paraId="02AFB96E"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shd w:val="clear" w:color="auto" w:fill="auto"/>
          </w:tcPr>
          <w:p w14:paraId="2A6974EC" w14:textId="77777777" w:rsidR="009617F5" w:rsidRPr="009617F5" w:rsidRDefault="009617F5" w:rsidP="00286F7D">
            <w:pPr>
              <w:jc w:val="center"/>
              <w:rPr>
                <w:rFonts w:ascii="Arial" w:hAnsi="Arial" w:cs="Arial"/>
                <w:b/>
                <w:sz w:val="14"/>
                <w:szCs w:val="16"/>
              </w:rPr>
            </w:pPr>
          </w:p>
          <w:p w14:paraId="2AB751E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jednotlivých kultur</w:t>
            </w:r>
          </w:p>
          <w:p w14:paraId="55CE2FC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4098" w:type="dxa"/>
            <w:gridSpan w:val="5"/>
            <w:shd w:val="clear" w:color="auto" w:fill="auto"/>
          </w:tcPr>
          <w:p w14:paraId="620B16B1" w14:textId="77777777" w:rsidR="009617F5" w:rsidRPr="009617F5" w:rsidRDefault="009617F5" w:rsidP="00286F7D">
            <w:pPr>
              <w:rPr>
                <w:rFonts w:ascii="Arial" w:hAnsi="Arial" w:cs="Arial"/>
                <w:b/>
                <w:sz w:val="14"/>
                <w:szCs w:val="16"/>
              </w:rPr>
            </w:pPr>
          </w:p>
          <w:p w14:paraId="5E726FB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tříd ochrany</w:t>
            </w:r>
          </w:p>
          <w:p w14:paraId="6735DE5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1647" w:type="dxa"/>
            <w:vMerge w:val="restart"/>
            <w:shd w:val="clear" w:color="auto" w:fill="auto"/>
          </w:tcPr>
          <w:p w14:paraId="18A03F73" w14:textId="77777777" w:rsidR="009617F5" w:rsidRPr="009617F5" w:rsidRDefault="009617F5" w:rsidP="00286F7D">
            <w:pPr>
              <w:rPr>
                <w:rFonts w:ascii="Arial" w:hAnsi="Arial" w:cs="Arial"/>
                <w:b/>
                <w:sz w:val="14"/>
                <w:szCs w:val="16"/>
              </w:rPr>
            </w:pPr>
          </w:p>
          <w:p w14:paraId="56AED1F4" w14:textId="77777777" w:rsidR="009617F5" w:rsidRPr="009617F5" w:rsidRDefault="009617F5" w:rsidP="00286F7D">
            <w:pPr>
              <w:jc w:val="center"/>
              <w:rPr>
                <w:rFonts w:ascii="Arial" w:hAnsi="Arial" w:cs="Arial"/>
                <w:b/>
                <w:sz w:val="14"/>
                <w:szCs w:val="16"/>
              </w:rPr>
            </w:pPr>
          </w:p>
          <w:p w14:paraId="0BB959C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Investice do půdy (ha)</w:t>
            </w:r>
          </w:p>
        </w:tc>
      </w:tr>
      <w:tr w:rsidR="009617F5" w:rsidRPr="009617F5" w14:paraId="0671EDE5" w14:textId="77777777" w:rsidTr="00286F7D">
        <w:trPr>
          <w:tblHeader/>
        </w:trPr>
        <w:tc>
          <w:tcPr>
            <w:tcW w:w="833" w:type="dxa"/>
            <w:vMerge/>
            <w:shd w:val="clear" w:color="auto" w:fill="auto"/>
          </w:tcPr>
          <w:p w14:paraId="663BDE0E" w14:textId="77777777" w:rsidR="009617F5" w:rsidRPr="009617F5" w:rsidRDefault="009617F5" w:rsidP="00286F7D">
            <w:pPr>
              <w:rPr>
                <w:rFonts w:ascii="Arial" w:hAnsi="Arial" w:cs="Arial"/>
                <w:b/>
                <w:sz w:val="14"/>
                <w:szCs w:val="16"/>
              </w:rPr>
            </w:pPr>
          </w:p>
        </w:tc>
        <w:tc>
          <w:tcPr>
            <w:tcW w:w="1641" w:type="dxa"/>
            <w:vMerge/>
            <w:shd w:val="clear" w:color="auto" w:fill="auto"/>
          </w:tcPr>
          <w:p w14:paraId="21C2BF4A" w14:textId="77777777" w:rsidR="009617F5" w:rsidRPr="009617F5" w:rsidRDefault="009617F5" w:rsidP="00286F7D">
            <w:pPr>
              <w:rPr>
                <w:rFonts w:ascii="Arial" w:hAnsi="Arial" w:cs="Arial"/>
                <w:b/>
                <w:sz w:val="14"/>
                <w:szCs w:val="16"/>
              </w:rPr>
            </w:pPr>
          </w:p>
        </w:tc>
        <w:tc>
          <w:tcPr>
            <w:tcW w:w="836" w:type="dxa"/>
            <w:vMerge/>
            <w:shd w:val="clear" w:color="auto" w:fill="auto"/>
          </w:tcPr>
          <w:p w14:paraId="47314B8E" w14:textId="77777777" w:rsidR="009617F5" w:rsidRPr="009617F5" w:rsidRDefault="009617F5" w:rsidP="00286F7D">
            <w:pPr>
              <w:rPr>
                <w:rFonts w:ascii="Arial" w:hAnsi="Arial" w:cs="Arial"/>
                <w:b/>
                <w:sz w:val="14"/>
                <w:szCs w:val="16"/>
              </w:rPr>
            </w:pPr>
          </w:p>
        </w:tc>
        <w:tc>
          <w:tcPr>
            <w:tcW w:w="828" w:type="dxa"/>
            <w:shd w:val="clear" w:color="auto" w:fill="auto"/>
          </w:tcPr>
          <w:p w14:paraId="492C5FFA"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466AC80C"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shd w:val="clear" w:color="auto" w:fill="auto"/>
          </w:tcPr>
          <w:p w14:paraId="0989401E"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shd w:val="clear" w:color="auto" w:fill="auto"/>
          </w:tcPr>
          <w:p w14:paraId="716D6482"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shd w:val="clear" w:color="auto" w:fill="auto"/>
          </w:tcPr>
          <w:p w14:paraId="0CB5D67A"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shd w:val="clear" w:color="auto" w:fill="auto"/>
          </w:tcPr>
          <w:p w14:paraId="36F1B48D"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shd w:val="clear" w:color="auto" w:fill="auto"/>
          </w:tcPr>
          <w:p w14:paraId="71A861D5"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shd w:val="clear" w:color="auto" w:fill="auto"/>
          </w:tcPr>
          <w:p w14:paraId="63BE15B3"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shd w:val="clear" w:color="auto" w:fill="auto"/>
          </w:tcPr>
          <w:p w14:paraId="0E534E78"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shd w:val="clear" w:color="auto" w:fill="auto"/>
          </w:tcPr>
          <w:p w14:paraId="2CF60E4A"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shd w:val="clear" w:color="auto" w:fill="auto"/>
          </w:tcPr>
          <w:p w14:paraId="768EE54D"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1647" w:type="dxa"/>
            <w:vMerge/>
            <w:shd w:val="clear" w:color="auto" w:fill="auto"/>
          </w:tcPr>
          <w:p w14:paraId="62FFB28E" w14:textId="77777777" w:rsidR="009617F5" w:rsidRPr="009617F5" w:rsidRDefault="009617F5" w:rsidP="00286F7D">
            <w:pPr>
              <w:rPr>
                <w:rFonts w:ascii="Arial" w:hAnsi="Arial" w:cs="Arial"/>
                <w:b/>
                <w:sz w:val="14"/>
                <w:szCs w:val="16"/>
              </w:rPr>
            </w:pPr>
          </w:p>
        </w:tc>
      </w:tr>
      <w:tr w:rsidR="009617F5" w:rsidRPr="009617F5" w14:paraId="0030FAB6" w14:textId="77777777" w:rsidTr="00286F7D">
        <w:trPr>
          <w:trHeight w:val="397"/>
        </w:trPr>
        <w:tc>
          <w:tcPr>
            <w:tcW w:w="833" w:type="dxa"/>
            <w:shd w:val="clear" w:color="auto" w:fill="auto"/>
            <w:vAlign w:val="center"/>
          </w:tcPr>
          <w:p w14:paraId="5BC02AC7"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8Z-25</w:t>
            </w:r>
          </w:p>
        </w:tc>
        <w:tc>
          <w:tcPr>
            <w:tcW w:w="1641" w:type="dxa"/>
            <w:shd w:val="clear" w:color="auto" w:fill="auto"/>
            <w:vAlign w:val="center"/>
          </w:tcPr>
          <w:p w14:paraId="76360428"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114A7A0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0,0087</w:t>
            </w:r>
          </w:p>
        </w:tc>
        <w:tc>
          <w:tcPr>
            <w:tcW w:w="828" w:type="dxa"/>
            <w:shd w:val="clear" w:color="auto" w:fill="auto"/>
            <w:vAlign w:val="center"/>
          </w:tcPr>
          <w:p w14:paraId="71373B6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0,0087</w:t>
            </w:r>
          </w:p>
        </w:tc>
        <w:tc>
          <w:tcPr>
            <w:tcW w:w="999" w:type="dxa"/>
            <w:shd w:val="clear" w:color="auto" w:fill="auto"/>
            <w:vAlign w:val="center"/>
          </w:tcPr>
          <w:p w14:paraId="6EEF8DE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7722BD1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ABCF8C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0EA14AB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CBBB5C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2838893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BF44C6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6250F2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0,0087</w:t>
            </w:r>
          </w:p>
        </w:tc>
        <w:tc>
          <w:tcPr>
            <w:tcW w:w="822" w:type="dxa"/>
            <w:shd w:val="clear" w:color="auto" w:fill="auto"/>
            <w:vAlign w:val="center"/>
          </w:tcPr>
          <w:p w14:paraId="56C3E47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341FE4F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469FEC1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5F9482EB" w14:textId="77777777" w:rsidTr="00286F7D">
        <w:trPr>
          <w:trHeight w:val="397"/>
        </w:trPr>
        <w:tc>
          <w:tcPr>
            <w:tcW w:w="2474" w:type="dxa"/>
            <w:gridSpan w:val="2"/>
            <w:shd w:val="clear" w:color="auto" w:fill="auto"/>
            <w:vAlign w:val="center"/>
          </w:tcPr>
          <w:p w14:paraId="720ECF1D"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bydlení celkem:</w:t>
            </w:r>
          </w:p>
        </w:tc>
        <w:tc>
          <w:tcPr>
            <w:tcW w:w="836" w:type="dxa"/>
            <w:shd w:val="clear" w:color="auto" w:fill="auto"/>
            <w:vAlign w:val="center"/>
          </w:tcPr>
          <w:p w14:paraId="3D2C71D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0,0087</w:t>
            </w:r>
          </w:p>
        </w:tc>
        <w:tc>
          <w:tcPr>
            <w:tcW w:w="828" w:type="dxa"/>
            <w:shd w:val="clear" w:color="auto" w:fill="auto"/>
            <w:vAlign w:val="center"/>
          </w:tcPr>
          <w:p w14:paraId="6D171E8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0,0087</w:t>
            </w:r>
          </w:p>
        </w:tc>
        <w:tc>
          <w:tcPr>
            <w:tcW w:w="999" w:type="dxa"/>
            <w:shd w:val="clear" w:color="auto" w:fill="auto"/>
            <w:vAlign w:val="center"/>
          </w:tcPr>
          <w:p w14:paraId="2AFB762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0BF00D0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330D07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52BA0F9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6F3F93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18AC1D5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DEDE66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AACAA7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0,0087</w:t>
            </w:r>
          </w:p>
        </w:tc>
        <w:tc>
          <w:tcPr>
            <w:tcW w:w="822" w:type="dxa"/>
            <w:shd w:val="clear" w:color="auto" w:fill="auto"/>
            <w:vAlign w:val="center"/>
          </w:tcPr>
          <w:p w14:paraId="5D13DDF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5E37EF1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22DBA6A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0A5E38EC" w14:textId="77777777" w:rsidTr="00286F7D">
        <w:trPr>
          <w:trHeight w:val="397"/>
        </w:trPr>
        <w:tc>
          <w:tcPr>
            <w:tcW w:w="2474" w:type="dxa"/>
            <w:gridSpan w:val="2"/>
            <w:shd w:val="clear" w:color="auto" w:fill="auto"/>
            <w:vAlign w:val="center"/>
          </w:tcPr>
          <w:p w14:paraId="5F6F6B0E" w14:textId="77777777" w:rsidR="009617F5" w:rsidRPr="009617F5" w:rsidRDefault="009617F5" w:rsidP="00286F7D">
            <w:pPr>
              <w:rPr>
                <w:rFonts w:ascii="Arial" w:hAnsi="Arial" w:cs="Arial"/>
                <w:b/>
                <w:sz w:val="18"/>
                <w:szCs w:val="20"/>
              </w:rPr>
            </w:pPr>
            <w:r w:rsidRPr="009617F5">
              <w:rPr>
                <w:rFonts w:ascii="Arial" w:hAnsi="Arial" w:cs="Arial"/>
                <w:b/>
                <w:sz w:val="18"/>
                <w:szCs w:val="20"/>
              </w:rPr>
              <w:t>k.ú. FOLKNÁŘE</w:t>
            </w:r>
          </w:p>
          <w:p w14:paraId="506AD153" w14:textId="77777777" w:rsidR="009617F5" w:rsidRPr="009617F5" w:rsidRDefault="009617F5" w:rsidP="00286F7D">
            <w:pPr>
              <w:rPr>
                <w:rFonts w:ascii="Arial" w:hAnsi="Arial" w:cs="Arial"/>
                <w:b/>
                <w:sz w:val="18"/>
                <w:szCs w:val="20"/>
              </w:rPr>
            </w:pPr>
            <w:r w:rsidRPr="009617F5">
              <w:rPr>
                <w:rFonts w:ascii="Arial" w:hAnsi="Arial" w:cs="Arial"/>
                <w:b/>
                <w:sz w:val="18"/>
                <w:szCs w:val="20"/>
              </w:rPr>
              <w:t>ZÁBOR ZPF CELKEM</w:t>
            </w:r>
          </w:p>
          <w:p w14:paraId="2CED43CE" w14:textId="77777777" w:rsidR="009617F5" w:rsidRPr="009617F5" w:rsidRDefault="009617F5" w:rsidP="00286F7D">
            <w:pPr>
              <w:rPr>
                <w:rFonts w:ascii="Arial" w:hAnsi="Arial" w:cs="Arial"/>
                <w:b/>
                <w:sz w:val="18"/>
                <w:szCs w:val="20"/>
              </w:rPr>
            </w:pPr>
          </w:p>
        </w:tc>
        <w:tc>
          <w:tcPr>
            <w:tcW w:w="836" w:type="dxa"/>
            <w:shd w:val="clear" w:color="auto" w:fill="auto"/>
            <w:vAlign w:val="center"/>
          </w:tcPr>
          <w:p w14:paraId="254F09D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0,0087</w:t>
            </w:r>
          </w:p>
        </w:tc>
        <w:tc>
          <w:tcPr>
            <w:tcW w:w="828" w:type="dxa"/>
            <w:shd w:val="clear" w:color="auto" w:fill="auto"/>
            <w:vAlign w:val="center"/>
          </w:tcPr>
          <w:p w14:paraId="6438FB9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0,0087</w:t>
            </w:r>
          </w:p>
        </w:tc>
        <w:tc>
          <w:tcPr>
            <w:tcW w:w="999" w:type="dxa"/>
            <w:shd w:val="clear" w:color="auto" w:fill="auto"/>
            <w:vAlign w:val="center"/>
          </w:tcPr>
          <w:p w14:paraId="7919513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5B4E422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44D174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7C83E13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A6367D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0294CA1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119229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C5156C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0,0087</w:t>
            </w:r>
          </w:p>
        </w:tc>
        <w:tc>
          <w:tcPr>
            <w:tcW w:w="822" w:type="dxa"/>
            <w:shd w:val="clear" w:color="auto" w:fill="auto"/>
            <w:vAlign w:val="center"/>
          </w:tcPr>
          <w:p w14:paraId="377AB8D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7A11811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0C934F8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bl>
    <w:p w14:paraId="5BBA7187" w14:textId="77777777" w:rsidR="009617F5" w:rsidRPr="009617F5" w:rsidRDefault="009617F5" w:rsidP="009617F5">
      <w:pPr>
        <w:rPr>
          <w:rFonts w:ascii="Arial" w:hAnsi="Arial" w:cs="Arial"/>
          <w:b/>
          <w:color w:val="FF0000"/>
          <w:sz w:val="22"/>
        </w:rPr>
      </w:pPr>
    </w:p>
    <w:p w14:paraId="1AA21FF0"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lastRenderedPageBreak/>
        <w:t>Katastrální území:</w:t>
      </w:r>
      <w:r w:rsidRPr="009617F5">
        <w:rPr>
          <w:rFonts w:ascii="Arial" w:hAnsi="Arial" w:cs="Arial"/>
          <w:b/>
          <w:color w:val="FF0000"/>
          <w:sz w:val="22"/>
        </w:rPr>
        <w:tab/>
        <w:t>Horní Oldřichov</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0A0" w:firstRow="1" w:lastRow="0" w:firstColumn="1" w:lastColumn="0" w:noHBand="0" w:noVBand="0"/>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5ABA1ED6" w14:textId="77777777" w:rsidTr="00286F7D">
        <w:trPr>
          <w:tblHeader/>
        </w:trPr>
        <w:tc>
          <w:tcPr>
            <w:tcW w:w="833" w:type="dxa"/>
            <w:vMerge w:val="restart"/>
            <w:shd w:val="clear" w:color="auto" w:fill="auto"/>
          </w:tcPr>
          <w:p w14:paraId="58AFF022" w14:textId="77777777" w:rsidR="009617F5" w:rsidRPr="009617F5" w:rsidRDefault="009617F5" w:rsidP="00286F7D">
            <w:pPr>
              <w:rPr>
                <w:rFonts w:ascii="Arial" w:hAnsi="Arial" w:cs="Arial"/>
                <w:b/>
                <w:sz w:val="14"/>
                <w:szCs w:val="16"/>
              </w:rPr>
            </w:pPr>
          </w:p>
          <w:p w14:paraId="709C4029" w14:textId="77777777" w:rsidR="009617F5" w:rsidRPr="009617F5" w:rsidRDefault="009617F5" w:rsidP="00286F7D">
            <w:pPr>
              <w:rPr>
                <w:rFonts w:ascii="Arial" w:hAnsi="Arial" w:cs="Arial"/>
                <w:b/>
                <w:sz w:val="14"/>
                <w:szCs w:val="16"/>
              </w:rPr>
            </w:pPr>
          </w:p>
          <w:p w14:paraId="35564FBE"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shd w:val="clear" w:color="auto" w:fill="auto"/>
          </w:tcPr>
          <w:p w14:paraId="4B3E06C3" w14:textId="77777777" w:rsidR="009617F5" w:rsidRPr="009617F5" w:rsidRDefault="009617F5" w:rsidP="00286F7D">
            <w:pPr>
              <w:rPr>
                <w:rFonts w:ascii="Arial" w:hAnsi="Arial" w:cs="Arial"/>
                <w:b/>
                <w:sz w:val="14"/>
                <w:szCs w:val="16"/>
              </w:rPr>
            </w:pPr>
          </w:p>
          <w:p w14:paraId="25963F68" w14:textId="77777777" w:rsidR="009617F5" w:rsidRPr="009617F5" w:rsidRDefault="009617F5" w:rsidP="00286F7D">
            <w:pPr>
              <w:rPr>
                <w:rFonts w:ascii="Arial" w:hAnsi="Arial" w:cs="Arial"/>
                <w:b/>
                <w:sz w:val="14"/>
                <w:szCs w:val="16"/>
              </w:rPr>
            </w:pPr>
          </w:p>
          <w:p w14:paraId="100B4716"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shd w:val="clear" w:color="auto" w:fill="auto"/>
          </w:tcPr>
          <w:p w14:paraId="1BB2C35A" w14:textId="77777777" w:rsidR="009617F5" w:rsidRPr="009617F5" w:rsidRDefault="009617F5" w:rsidP="00286F7D">
            <w:pPr>
              <w:rPr>
                <w:rFonts w:ascii="Arial" w:hAnsi="Arial" w:cs="Arial"/>
                <w:b/>
                <w:sz w:val="14"/>
                <w:szCs w:val="16"/>
              </w:rPr>
            </w:pPr>
          </w:p>
          <w:p w14:paraId="33FD1B8D"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shd w:val="clear" w:color="auto" w:fill="auto"/>
          </w:tcPr>
          <w:p w14:paraId="1016D17C" w14:textId="77777777" w:rsidR="009617F5" w:rsidRPr="009617F5" w:rsidRDefault="009617F5" w:rsidP="00286F7D">
            <w:pPr>
              <w:jc w:val="center"/>
              <w:rPr>
                <w:rFonts w:ascii="Arial" w:hAnsi="Arial" w:cs="Arial"/>
                <w:b/>
                <w:sz w:val="14"/>
                <w:szCs w:val="16"/>
              </w:rPr>
            </w:pPr>
          </w:p>
          <w:p w14:paraId="566F2CA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jednotlivých kultur</w:t>
            </w:r>
          </w:p>
          <w:p w14:paraId="0211F69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4098" w:type="dxa"/>
            <w:gridSpan w:val="5"/>
            <w:shd w:val="clear" w:color="auto" w:fill="auto"/>
          </w:tcPr>
          <w:p w14:paraId="062EB1FE" w14:textId="77777777" w:rsidR="009617F5" w:rsidRPr="009617F5" w:rsidRDefault="009617F5" w:rsidP="00286F7D">
            <w:pPr>
              <w:rPr>
                <w:rFonts w:ascii="Arial" w:hAnsi="Arial" w:cs="Arial"/>
                <w:b/>
                <w:sz w:val="14"/>
                <w:szCs w:val="16"/>
              </w:rPr>
            </w:pPr>
          </w:p>
          <w:p w14:paraId="486EFF4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tříd ochrany</w:t>
            </w:r>
          </w:p>
          <w:p w14:paraId="6544BC8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1647" w:type="dxa"/>
            <w:vMerge w:val="restart"/>
            <w:shd w:val="clear" w:color="auto" w:fill="auto"/>
          </w:tcPr>
          <w:p w14:paraId="19022F63" w14:textId="77777777" w:rsidR="009617F5" w:rsidRPr="009617F5" w:rsidRDefault="009617F5" w:rsidP="00286F7D">
            <w:pPr>
              <w:rPr>
                <w:rFonts w:ascii="Arial" w:hAnsi="Arial" w:cs="Arial"/>
                <w:b/>
                <w:sz w:val="14"/>
                <w:szCs w:val="16"/>
              </w:rPr>
            </w:pPr>
          </w:p>
          <w:p w14:paraId="03E0AB5B" w14:textId="77777777" w:rsidR="009617F5" w:rsidRPr="009617F5" w:rsidRDefault="009617F5" w:rsidP="00286F7D">
            <w:pPr>
              <w:jc w:val="center"/>
              <w:rPr>
                <w:rFonts w:ascii="Arial" w:hAnsi="Arial" w:cs="Arial"/>
                <w:b/>
                <w:sz w:val="14"/>
                <w:szCs w:val="16"/>
              </w:rPr>
            </w:pPr>
          </w:p>
          <w:p w14:paraId="5D1A72F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Investice do půdy (ha)</w:t>
            </w:r>
          </w:p>
        </w:tc>
      </w:tr>
      <w:tr w:rsidR="009617F5" w:rsidRPr="009617F5" w14:paraId="73481D4A" w14:textId="77777777" w:rsidTr="00286F7D">
        <w:trPr>
          <w:tblHeader/>
        </w:trPr>
        <w:tc>
          <w:tcPr>
            <w:tcW w:w="833" w:type="dxa"/>
            <w:vMerge/>
            <w:shd w:val="clear" w:color="auto" w:fill="auto"/>
          </w:tcPr>
          <w:p w14:paraId="313DEA29" w14:textId="77777777" w:rsidR="009617F5" w:rsidRPr="009617F5" w:rsidRDefault="009617F5" w:rsidP="00286F7D">
            <w:pPr>
              <w:rPr>
                <w:rFonts w:ascii="Arial" w:hAnsi="Arial" w:cs="Arial"/>
                <w:b/>
                <w:sz w:val="14"/>
                <w:szCs w:val="16"/>
              </w:rPr>
            </w:pPr>
          </w:p>
        </w:tc>
        <w:tc>
          <w:tcPr>
            <w:tcW w:w="1641" w:type="dxa"/>
            <w:vMerge/>
            <w:shd w:val="clear" w:color="auto" w:fill="auto"/>
          </w:tcPr>
          <w:p w14:paraId="2F4CE862" w14:textId="77777777" w:rsidR="009617F5" w:rsidRPr="009617F5" w:rsidRDefault="009617F5" w:rsidP="00286F7D">
            <w:pPr>
              <w:rPr>
                <w:rFonts w:ascii="Arial" w:hAnsi="Arial" w:cs="Arial"/>
                <w:b/>
                <w:sz w:val="14"/>
                <w:szCs w:val="16"/>
              </w:rPr>
            </w:pPr>
          </w:p>
        </w:tc>
        <w:tc>
          <w:tcPr>
            <w:tcW w:w="836" w:type="dxa"/>
            <w:vMerge/>
            <w:shd w:val="clear" w:color="auto" w:fill="auto"/>
          </w:tcPr>
          <w:p w14:paraId="347BC800" w14:textId="77777777" w:rsidR="009617F5" w:rsidRPr="009617F5" w:rsidRDefault="009617F5" w:rsidP="00286F7D">
            <w:pPr>
              <w:rPr>
                <w:rFonts w:ascii="Arial" w:hAnsi="Arial" w:cs="Arial"/>
                <w:b/>
                <w:sz w:val="14"/>
                <w:szCs w:val="16"/>
              </w:rPr>
            </w:pPr>
          </w:p>
        </w:tc>
        <w:tc>
          <w:tcPr>
            <w:tcW w:w="828" w:type="dxa"/>
            <w:shd w:val="clear" w:color="auto" w:fill="auto"/>
          </w:tcPr>
          <w:p w14:paraId="0BB47E05"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26534D60"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shd w:val="clear" w:color="auto" w:fill="auto"/>
          </w:tcPr>
          <w:p w14:paraId="64CC2142"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shd w:val="clear" w:color="auto" w:fill="auto"/>
          </w:tcPr>
          <w:p w14:paraId="0624C276"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shd w:val="clear" w:color="auto" w:fill="auto"/>
          </w:tcPr>
          <w:p w14:paraId="4B44E868"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shd w:val="clear" w:color="auto" w:fill="auto"/>
          </w:tcPr>
          <w:p w14:paraId="2D94B8D2"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shd w:val="clear" w:color="auto" w:fill="auto"/>
          </w:tcPr>
          <w:p w14:paraId="3D831E5D"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shd w:val="clear" w:color="auto" w:fill="auto"/>
          </w:tcPr>
          <w:p w14:paraId="6A30B9F6"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shd w:val="clear" w:color="auto" w:fill="auto"/>
          </w:tcPr>
          <w:p w14:paraId="6A5B0CF3"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shd w:val="clear" w:color="auto" w:fill="auto"/>
          </w:tcPr>
          <w:p w14:paraId="420CA669"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shd w:val="clear" w:color="auto" w:fill="auto"/>
          </w:tcPr>
          <w:p w14:paraId="7A58E5B4"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1647" w:type="dxa"/>
            <w:vMerge/>
            <w:shd w:val="clear" w:color="auto" w:fill="auto"/>
          </w:tcPr>
          <w:p w14:paraId="3F71293F" w14:textId="77777777" w:rsidR="009617F5" w:rsidRPr="009617F5" w:rsidRDefault="009617F5" w:rsidP="00286F7D">
            <w:pPr>
              <w:rPr>
                <w:rFonts w:ascii="Arial" w:hAnsi="Arial" w:cs="Arial"/>
                <w:b/>
                <w:sz w:val="14"/>
                <w:szCs w:val="16"/>
              </w:rPr>
            </w:pPr>
          </w:p>
        </w:tc>
      </w:tr>
      <w:tr w:rsidR="009617F5" w:rsidRPr="009617F5" w14:paraId="0236E53F" w14:textId="77777777" w:rsidTr="00286F7D">
        <w:trPr>
          <w:trHeight w:val="397"/>
        </w:trPr>
        <w:tc>
          <w:tcPr>
            <w:tcW w:w="833" w:type="dxa"/>
            <w:shd w:val="clear" w:color="auto" w:fill="auto"/>
            <w:vAlign w:val="center"/>
          </w:tcPr>
          <w:p w14:paraId="3098A40F"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8Z-6</w:t>
            </w:r>
          </w:p>
        </w:tc>
        <w:tc>
          <w:tcPr>
            <w:tcW w:w="1641" w:type="dxa"/>
            <w:shd w:val="clear" w:color="auto" w:fill="auto"/>
            <w:vAlign w:val="center"/>
          </w:tcPr>
          <w:p w14:paraId="6ADA96CF"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5ED8685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0,1405</w:t>
            </w:r>
          </w:p>
        </w:tc>
        <w:tc>
          <w:tcPr>
            <w:tcW w:w="828" w:type="dxa"/>
            <w:shd w:val="clear" w:color="auto" w:fill="auto"/>
            <w:vAlign w:val="center"/>
          </w:tcPr>
          <w:p w14:paraId="2F2826E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326A30F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2EE4FF3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21EF2F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185C94E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2C81B5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0,1405</w:t>
            </w:r>
          </w:p>
        </w:tc>
        <w:tc>
          <w:tcPr>
            <w:tcW w:w="817" w:type="dxa"/>
            <w:shd w:val="clear" w:color="auto" w:fill="auto"/>
            <w:vAlign w:val="center"/>
          </w:tcPr>
          <w:p w14:paraId="41CE64E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6029D0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D4F19F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6EA30AD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0,1405</w:t>
            </w:r>
          </w:p>
        </w:tc>
        <w:tc>
          <w:tcPr>
            <w:tcW w:w="821" w:type="dxa"/>
            <w:shd w:val="clear" w:color="auto" w:fill="auto"/>
            <w:vAlign w:val="center"/>
          </w:tcPr>
          <w:p w14:paraId="7FE2CCB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3AD46BC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0286BE25" w14:textId="77777777" w:rsidTr="00286F7D">
        <w:trPr>
          <w:trHeight w:val="397"/>
        </w:trPr>
        <w:tc>
          <w:tcPr>
            <w:tcW w:w="833" w:type="dxa"/>
            <w:shd w:val="clear" w:color="auto" w:fill="auto"/>
            <w:vAlign w:val="center"/>
          </w:tcPr>
          <w:p w14:paraId="0F05475B"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8Z-8</w:t>
            </w:r>
          </w:p>
        </w:tc>
        <w:tc>
          <w:tcPr>
            <w:tcW w:w="1641" w:type="dxa"/>
            <w:shd w:val="clear" w:color="auto" w:fill="auto"/>
            <w:vAlign w:val="center"/>
          </w:tcPr>
          <w:p w14:paraId="588F1AA4"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04FDF95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0,1204</w:t>
            </w:r>
          </w:p>
        </w:tc>
        <w:tc>
          <w:tcPr>
            <w:tcW w:w="828" w:type="dxa"/>
            <w:shd w:val="clear" w:color="auto" w:fill="auto"/>
            <w:vAlign w:val="center"/>
          </w:tcPr>
          <w:p w14:paraId="1E5370C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021B150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640396D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78BED7B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4C66E3B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239F78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0,1204</w:t>
            </w:r>
          </w:p>
        </w:tc>
        <w:tc>
          <w:tcPr>
            <w:tcW w:w="817" w:type="dxa"/>
            <w:shd w:val="clear" w:color="auto" w:fill="auto"/>
            <w:vAlign w:val="center"/>
          </w:tcPr>
          <w:p w14:paraId="24D919E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37C2BCE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4D5E6E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5D07DE7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0,1204</w:t>
            </w:r>
          </w:p>
        </w:tc>
        <w:tc>
          <w:tcPr>
            <w:tcW w:w="821" w:type="dxa"/>
            <w:shd w:val="clear" w:color="auto" w:fill="auto"/>
            <w:vAlign w:val="center"/>
          </w:tcPr>
          <w:p w14:paraId="11EF78E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2AFE8D7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3A8D234" w14:textId="77777777" w:rsidTr="00286F7D">
        <w:trPr>
          <w:trHeight w:val="397"/>
        </w:trPr>
        <w:tc>
          <w:tcPr>
            <w:tcW w:w="833" w:type="dxa"/>
            <w:shd w:val="clear" w:color="auto" w:fill="auto"/>
            <w:vAlign w:val="center"/>
          </w:tcPr>
          <w:p w14:paraId="06393ABB"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8Z-26</w:t>
            </w:r>
          </w:p>
        </w:tc>
        <w:tc>
          <w:tcPr>
            <w:tcW w:w="1641" w:type="dxa"/>
            <w:shd w:val="clear" w:color="auto" w:fill="auto"/>
            <w:vAlign w:val="center"/>
          </w:tcPr>
          <w:p w14:paraId="5C8ECEA2"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6D99FE3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0,0897</w:t>
            </w:r>
          </w:p>
        </w:tc>
        <w:tc>
          <w:tcPr>
            <w:tcW w:w="828" w:type="dxa"/>
            <w:shd w:val="clear" w:color="auto" w:fill="auto"/>
            <w:vAlign w:val="center"/>
          </w:tcPr>
          <w:p w14:paraId="47BBACE6" w14:textId="77777777" w:rsidR="009617F5" w:rsidRPr="009617F5" w:rsidRDefault="009617F5" w:rsidP="00286F7D">
            <w:pPr>
              <w:jc w:val="center"/>
              <w:rPr>
                <w:rFonts w:ascii="Arial" w:hAnsi="Arial" w:cs="Arial"/>
                <w:b/>
                <w:sz w:val="14"/>
                <w:szCs w:val="16"/>
              </w:rPr>
            </w:pPr>
          </w:p>
        </w:tc>
        <w:tc>
          <w:tcPr>
            <w:tcW w:w="999" w:type="dxa"/>
            <w:shd w:val="clear" w:color="auto" w:fill="auto"/>
            <w:vAlign w:val="center"/>
          </w:tcPr>
          <w:p w14:paraId="05E4D0B2" w14:textId="77777777" w:rsidR="009617F5" w:rsidRPr="009617F5" w:rsidRDefault="009617F5" w:rsidP="00286F7D">
            <w:pPr>
              <w:jc w:val="center"/>
              <w:rPr>
                <w:rFonts w:ascii="Arial" w:hAnsi="Arial" w:cs="Arial"/>
                <w:b/>
                <w:sz w:val="14"/>
                <w:szCs w:val="16"/>
              </w:rPr>
            </w:pPr>
          </w:p>
        </w:tc>
        <w:tc>
          <w:tcPr>
            <w:tcW w:w="831" w:type="dxa"/>
            <w:shd w:val="clear" w:color="auto" w:fill="auto"/>
            <w:vAlign w:val="center"/>
          </w:tcPr>
          <w:p w14:paraId="3626E7AD" w14:textId="77777777" w:rsidR="009617F5" w:rsidRPr="009617F5" w:rsidRDefault="009617F5" w:rsidP="00286F7D">
            <w:pPr>
              <w:jc w:val="center"/>
              <w:rPr>
                <w:rFonts w:ascii="Arial" w:hAnsi="Arial" w:cs="Arial"/>
                <w:b/>
                <w:sz w:val="14"/>
                <w:szCs w:val="16"/>
              </w:rPr>
            </w:pPr>
          </w:p>
        </w:tc>
        <w:tc>
          <w:tcPr>
            <w:tcW w:w="836" w:type="dxa"/>
            <w:shd w:val="clear" w:color="auto" w:fill="auto"/>
            <w:vAlign w:val="center"/>
          </w:tcPr>
          <w:p w14:paraId="0D92955E" w14:textId="77777777" w:rsidR="009617F5" w:rsidRPr="009617F5" w:rsidRDefault="009617F5" w:rsidP="00286F7D">
            <w:pPr>
              <w:jc w:val="center"/>
              <w:rPr>
                <w:rFonts w:ascii="Arial" w:hAnsi="Arial" w:cs="Arial"/>
                <w:b/>
                <w:sz w:val="14"/>
                <w:szCs w:val="16"/>
              </w:rPr>
            </w:pPr>
          </w:p>
        </w:tc>
        <w:tc>
          <w:tcPr>
            <w:tcW w:w="835" w:type="dxa"/>
            <w:shd w:val="clear" w:color="auto" w:fill="auto"/>
            <w:vAlign w:val="center"/>
          </w:tcPr>
          <w:p w14:paraId="4B78EF7F" w14:textId="77777777" w:rsidR="009617F5" w:rsidRPr="009617F5" w:rsidRDefault="009617F5" w:rsidP="00286F7D">
            <w:pPr>
              <w:jc w:val="center"/>
              <w:rPr>
                <w:rFonts w:ascii="Arial" w:hAnsi="Arial" w:cs="Arial"/>
                <w:b/>
                <w:sz w:val="14"/>
                <w:szCs w:val="16"/>
              </w:rPr>
            </w:pPr>
          </w:p>
        </w:tc>
        <w:tc>
          <w:tcPr>
            <w:tcW w:w="836" w:type="dxa"/>
            <w:shd w:val="clear" w:color="auto" w:fill="auto"/>
            <w:vAlign w:val="center"/>
          </w:tcPr>
          <w:p w14:paraId="7988A56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0,0897</w:t>
            </w:r>
          </w:p>
        </w:tc>
        <w:tc>
          <w:tcPr>
            <w:tcW w:w="817" w:type="dxa"/>
            <w:shd w:val="clear" w:color="auto" w:fill="auto"/>
            <w:vAlign w:val="center"/>
          </w:tcPr>
          <w:p w14:paraId="0A3DC765" w14:textId="77777777" w:rsidR="009617F5" w:rsidRPr="009617F5" w:rsidRDefault="009617F5" w:rsidP="00286F7D">
            <w:pPr>
              <w:jc w:val="center"/>
              <w:rPr>
                <w:rFonts w:ascii="Arial" w:hAnsi="Arial" w:cs="Arial"/>
                <w:b/>
                <w:sz w:val="14"/>
                <w:szCs w:val="16"/>
              </w:rPr>
            </w:pPr>
          </w:p>
        </w:tc>
        <w:tc>
          <w:tcPr>
            <w:tcW w:w="819" w:type="dxa"/>
            <w:shd w:val="clear" w:color="auto" w:fill="auto"/>
            <w:vAlign w:val="center"/>
          </w:tcPr>
          <w:p w14:paraId="7F172E0D" w14:textId="77777777" w:rsidR="009617F5" w:rsidRPr="009617F5" w:rsidRDefault="009617F5" w:rsidP="00286F7D">
            <w:pPr>
              <w:jc w:val="center"/>
              <w:rPr>
                <w:rFonts w:ascii="Arial" w:hAnsi="Arial" w:cs="Arial"/>
                <w:b/>
                <w:sz w:val="14"/>
                <w:szCs w:val="16"/>
              </w:rPr>
            </w:pPr>
          </w:p>
        </w:tc>
        <w:tc>
          <w:tcPr>
            <w:tcW w:w="819" w:type="dxa"/>
            <w:shd w:val="clear" w:color="auto" w:fill="auto"/>
            <w:vAlign w:val="center"/>
          </w:tcPr>
          <w:p w14:paraId="374EAA0D" w14:textId="77777777" w:rsidR="009617F5" w:rsidRPr="009617F5" w:rsidRDefault="009617F5" w:rsidP="00286F7D">
            <w:pPr>
              <w:jc w:val="center"/>
              <w:rPr>
                <w:rFonts w:ascii="Arial" w:hAnsi="Arial" w:cs="Arial"/>
                <w:b/>
                <w:sz w:val="14"/>
                <w:szCs w:val="16"/>
              </w:rPr>
            </w:pPr>
          </w:p>
        </w:tc>
        <w:tc>
          <w:tcPr>
            <w:tcW w:w="822" w:type="dxa"/>
            <w:shd w:val="clear" w:color="auto" w:fill="auto"/>
            <w:vAlign w:val="center"/>
          </w:tcPr>
          <w:p w14:paraId="5FDE7BF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0,0897</w:t>
            </w:r>
          </w:p>
        </w:tc>
        <w:tc>
          <w:tcPr>
            <w:tcW w:w="821" w:type="dxa"/>
            <w:shd w:val="clear" w:color="auto" w:fill="auto"/>
            <w:vAlign w:val="center"/>
          </w:tcPr>
          <w:p w14:paraId="75471C0E" w14:textId="77777777" w:rsidR="009617F5" w:rsidRPr="009617F5" w:rsidRDefault="009617F5" w:rsidP="00286F7D">
            <w:pPr>
              <w:jc w:val="center"/>
              <w:rPr>
                <w:rFonts w:ascii="Arial" w:hAnsi="Arial" w:cs="Arial"/>
                <w:b/>
                <w:sz w:val="14"/>
                <w:szCs w:val="16"/>
              </w:rPr>
            </w:pPr>
          </w:p>
        </w:tc>
        <w:tc>
          <w:tcPr>
            <w:tcW w:w="1647" w:type="dxa"/>
            <w:shd w:val="clear" w:color="auto" w:fill="auto"/>
            <w:vAlign w:val="center"/>
          </w:tcPr>
          <w:p w14:paraId="440C370D" w14:textId="77777777" w:rsidR="009617F5" w:rsidRPr="009617F5" w:rsidRDefault="009617F5" w:rsidP="00286F7D">
            <w:pPr>
              <w:jc w:val="center"/>
              <w:rPr>
                <w:rFonts w:ascii="Arial" w:hAnsi="Arial" w:cs="Arial"/>
                <w:b/>
                <w:sz w:val="14"/>
                <w:szCs w:val="16"/>
              </w:rPr>
            </w:pPr>
          </w:p>
        </w:tc>
      </w:tr>
      <w:tr w:rsidR="009617F5" w:rsidRPr="009617F5" w14:paraId="1DB21372" w14:textId="77777777" w:rsidTr="00286F7D">
        <w:trPr>
          <w:trHeight w:val="397"/>
        </w:trPr>
        <w:tc>
          <w:tcPr>
            <w:tcW w:w="833" w:type="dxa"/>
            <w:shd w:val="clear" w:color="auto" w:fill="auto"/>
            <w:vAlign w:val="center"/>
          </w:tcPr>
          <w:p w14:paraId="1E94DE9F"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8Z-40</w:t>
            </w:r>
          </w:p>
        </w:tc>
        <w:tc>
          <w:tcPr>
            <w:tcW w:w="1641" w:type="dxa"/>
            <w:shd w:val="clear" w:color="auto" w:fill="auto"/>
            <w:vAlign w:val="center"/>
          </w:tcPr>
          <w:p w14:paraId="502D4969"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74661E3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0,4824</w:t>
            </w:r>
          </w:p>
        </w:tc>
        <w:tc>
          <w:tcPr>
            <w:tcW w:w="828" w:type="dxa"/>
            <w:shd w:val="clear" w:color="auto" w:fill="auto"/>
            <w:vAlign w:val="center"/>
          </w:tcPr>
          <w:p w14:paraId="0CA1A1A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2FC3921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7CC8FB1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556513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1B758D8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7C468B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0,4824</w:t>
            </w:r>
          </w:p>
        </w:tc>
        <w:tc>
          <w:tcPr>
            <w:tcW w:w="817" w:type="dxa"/>
            <w:shd w:val="clear" w:color="auto" w:fill="auto"/>
            <w:vAlign w:val="center"/>
          </w:tcPr>
          <w:p w14:paraId="14F2E09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49E069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D6EFE7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2624AC2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0,4824</w:t>
            </w:r>
          </w:p>
        </w:tc>
        <w:tc>
          <w:tcPr>
            <w:tcW w:w="821" w:type="dxa"/>
            <w:shd w:val="clear" w:color="auto" w:fill="auto"/>
            <w:vAlign w:val="center"/>
          </w:tcPr>
          <w:p w14:paraId="67EDA33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229A8A2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DC135AD" w14:textId="77777777" w:rsidTr="00286F7D">
        <w:trPr>
          <w:trHeight w:val="397"/>
        </w:trPr>
        <w:tc>
          <w:tcPr>
            <w:tcW w:w="833" w:type="dxa"/>
            <w:shd w:val="clear" w:color="auto" w:fill="auto"/>
            <w:vAlign w:val="center"/>
          </w:tcPr>
          <w:p w14:paraId="53A0AEC4"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8Z-43</w:t>
            </w:r>
          </w:p>
        </w:tc>
        <w:tc>
          <w:tcPr>
            <w:tcW w:w="1641" w:type="dxa"/>
            <w:shd w:val="clear" w:color="auto" w:fill="auto"/>
            <w:vAlign w:val="center"/>
          </w:tcPr>
          <w:p w14:paraId="565D7170"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59D5C68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0,2338</w:t>
            </w:r>
          </w:p>
        </w:tc>
        <w:tc>
          <w:tcPr>
            <w:tcW w:w="828" w:type="dxa"/>
            <w:shd w:val="clear" w:color="auto" w:fill="auto"/>
            <w:vAlign w:val="center"/>
          </w:tcPr>
          <w:p w14:paraId="792E180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785C054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7D444F7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0AA334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5C7DB53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D9D959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0,2338</w:t>
            </w:r>
          </w:p>
        </w:tc>
        <w:tc>
          <w:tcPr>
            <w:tcW w:w="817" w:type="dxa"/>
            <w:shd w:val="clear" w:color="auto" w:fill="auto"/>
            <w:vAlign w:val="center"/>
          </w:tcPr>
          <w:p w14:paraId="018155F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9CBCBD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A5781D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0A1C399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0,1943</w:t>
            </w:r>
          </w:p>
        </w:tc>
        <w:tc>
          <w:tcPr>
            <w:tcW w:w="821" w:type="dxa"/>
            <w:shd w:val="clear" w:color="auto" w:fill="auto"/>
            <w:vAlign w:val="center"/>
          </w:tcPr>
          <w:p w14:paraId="77DB44A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0,0395</w:t>
            </w:r>
          </w:p>
        </w:tc>
        <w:tc>
          <w:tcPr>
            <w:tcW w:w="1647" w:type="dxa"/>
            <w:shd w:val="clear" w:color="auto" w:fill="auto"/>
            <w:vAlign w:val="center"/>
          </w:tcPr>
          <w:p w14:paraId="31E4B35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1F48D1C" w14:textId="77777777" w:rsidTr="00286F7D">
        <w:trPr>
          <w:trHeight w:val="397"/>
        </w:trPr>
        <w:tc>
          <w:tcPr>
            <w:tcW w:w="833" w:type="dxa"/>
            <w:shd w:val="clear" w:color="auto" w:fill="auto"/>
            <w:vAlign w:val="center"/>
          </w:tcPr>
          <w:p w14:paraId="6834E73E"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8Z-48</w:t>
            </w:r>
          </w:p>
        </w:tc>
        <w:tc>
          <w:tcPr>
            <w:tcW w:w="1641" w:type="dxa"/>
            <w:shd w:val="clear" w:color="auto" w:fill="auto"/>
            <w:vAlign w:val="center"/>
          </w:tcPr>
          <w:p w14:paraId="5098149B"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755B6B6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0,1749</w:t>
            </w:r>
          </w:p>
        </w:tc>
        <w:tc>
          <w:tcPr>
            <w:tcW w:w="828" w:type="dxa"/>
            <w:shd w:val="clear" w:color="auto" w:fill="auto"/>
            <w:vAlign w:val="center"/>
          </w:tcPr>
          <w:p w14:paraId="4F343A3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21AB1EB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3CC5085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DDD2F7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5971F35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391430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0,1749</w:t>
            </w:r>
          </w:p>
        </w:tc>
        <w:tc>
          <w:tcPr>
            <w:tcW w:w="817" w:type="dxa"/>
            <w:shd w:val="clear" w:color="auto" w:fill="auto"/>
            <w:vAlign w:val="center"/>
          </w:tcPr>
          <w:p w14:paraId="76C4FEA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E6AB68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EE8E26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2742A4B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42B6FB9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0,1749</w:t>
            </w:r>
          </w:p>
        </w:tc>
        <w:tc>
          <w:tcPr>
            <w:tcW w:w="1647" w:type="dxa"/>
            <w:shd w:val="clear" w:color="auto" w:fill="auto"/>
            <w:vAlign w:val="center"/>
          </w:tcPr>
          <w:p w14:paraId="00DFBA2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3EEB17E4" w14:textId="77777777" w:rsidTr="00286F7D">
        <w:trPr>
          <w:trHeight w:val="397"/>
        </w:trPr>
        <w:tc>
          <w:tcPr>
            <w:tcW w:w="833" w:type="dxa"/>
            <w:shd w:val="clear" w:color="auto" w:fill="auto"/>
            <w:vAlign w:val="center"/>
          </w:tcPr>
          <w:p w14:paraId="3DD62E16"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8Z-49</w:t>
            </w:r>
          </w:p>
        </w:tc>
        <w:tc>
          <w:tcPr>
            <w:tcW w:w="1641" w:type="dxa"/>
            <w:shd w:val="clear" w:color="auto" w:fill="auto"/>
            <w:vAlign w:val="center"/>
          </w:tcPr>
          <w:p w14:paraId="5CB2C8D6"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51CF9CC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0,2242</w:t>
            </w:r>
          </w:p>
        </w:tc>
        <w:tc>
          <w:tcPr>
            <w:tcW w:w="828" w:type="dxa"/>
            <w:shd w:val="clear" w:color="auto" w:fill="auto"/>
            <w:vAlign w:val="center"/>
          </w:tcPr>
          <w:p w14:paraId="24BF1CE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52C44E6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50010E7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39438B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0,0870</w:t>
            </w:r>
          </w:p>
        </w:tc>
        <w:tc>
          <w:tcPr>
            <w:tcW w:w="835" w:type="dxa"/>
            <w:shd w:val="clear" w:color="auto" w:fill="auto"/>
            <w:vAlign w:val="center"/>
          </w:tcPr>
          <w:p w14:paraId="7851276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C62D4C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0,1372</w:t>
            </w:r>
          </w:p>
        </w:tc>
        <w:tc>
          <w:tcPr>
            <w:tcW w:w="817" w:type="dxa"/>
            <w:shd w:val="clear" w:color="auto" w:fill="auto"/>
            <w:vAlign w:val="center"/>
          </w:tcPr>
          <w:p w14:paraId="568A592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48BB64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EDC1AE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6D0105B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5B44B8E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0,2242</w:t>
            </w:r>
          </w:p>
        </w:tc>
        <w:tc>
          <w:tcPr>
            <w:tcW w:w="1647" w:type="dxa"/>
            <w:shd w:val="clear" w:color="auto" w:fill="auto"/>
            <w:vAlign w:val="center"/>
          </w:tcPr>
          <w:p w14:paraId="7676997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0E691BAC" w14:textId="77777777" w:rsidTr="00286F7D">
        <w:trPr>
          <w:trHeight w:val="397"/>
        </w:trPr>
        <w:tc>
          <w:tcPr>
            <w:tcW w:w="833" w:type="dxa"/>
            <w:shd w:val="clear" w:color="auto" w:fill="auto"/>
            <w:vAlign w:val="center"/>
          </w:tcPr>
          <w:p w14:paraId="5C006AC1"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8Z-50b</w:t>
            </w:r>
          </w:p>
        </w:tc>
        <w:tc>
          <w:tcPr>
            <w:tcW w:w="1641" w:type="dxa"/>
            <w:shd w:val="clear" w:color="auto" w:fill="auto"/>
            <w:vAlign w:val="center"/>
          </w:tcPr>
          <w:p w14:paraId="170C61A8"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510B20F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0,2565</w:t>
            </w:r>
          </w:p>
        </w:tc>
        <w:tc>
          <w:tcPr>
            <w:tcW w:w="828" w:type="dxa"/>
            <w:shd w:val="clear" w:color="auto" w:fill="auto"/>
            <w:vAlign w:val="center"/>
          </w:tcPr>
          <w:p w14:paraId="32FC0FF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0AFCB8E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1C4EC87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56D66C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210DC40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827110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0,2565</w:t>
            </w:r>
          </w:p>
        </w:tc>
        <w:tc>
          <w:tcPr>
            <w:tcW w:w="817" w:type="dxa"/>
            <w:shd w:val="clear" w:color="auto" w:fill="auto"/>
            <w:vAlign w:val="center"/>
          </w:tcPr>
          <w:p w14:paraId="7DC5C98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7D14DE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3A5AB1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25A1A95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0,2565</w:t>
            </w:r>
          </w:p>
        </w:tc>
        <w:tc>
          <w:tcPr>
            <w:tcW w:w="821" w:type="dxa"/>
            <w:shd w:val="clear" w:color="auto" w:fill="auto"/>
            <w:vAlign w:val="center"/>
          </w:tcPr>
          <w:p w14:paraId="45E923A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1C08887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1D2F4007" w14:textId="77777777" w:rsidTr="00286F7D">
        <w:trPr>
          <w:trHeight w:val="397"/>
        </w:trPr>
        <w:tc>
          <w:tcPr>
            <w:tcW w:w="2474" w:type="dxa"/>
            <w:gridSpan w:val="2"/>
            <w:shd w:val="clear" w:color="auto" w:fill="auto"/>
            <w:vAlign w:val="center"/>
          </w:tcPr>
          <w:p w14:paraId="71575D6A"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bydlení celkem:</w:t>
            </w:r>
          </w:p>
        </w:tc>
        <w:tc>
          <w:tcPr>
            <w:tcW w:w="836" w:type="dxa"/>
            <w:shd w:val="clear" w:color="auto" w:fill="auto"/>
            <w:vAlign w:val="center"/>
          </w:tcPr>
          <w:p w14:paraId="3FA793B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1,7224</w:t>
            </w:r>
            <w:r w:rsidRPr="009617F5">
              <w:rPr>
                <w:rFonts w:ascii="Arial" w:hAnsi="Arial" w:cs="Arial"/>
                <w:b/>
                <w:sz w:val="14"/>
                <w:szCs w:val="16"/>
              </w:rPr>
              <w:fldChar w:fldCharType="end"/>
            </w:r>
          </w:p>
        </w:tc>
        <w:tc>
          <w:tcPr>
            <w:tcW w:w="828" w:type="dxa"/>
            <w:shd w:val="clear" w:color="auto" w:fill="auto"/>
            <w:vAlign w:val="center"/>
          </w:tcPr>
          <w:p w14:paraId="1ADB604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6D083FA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707DEF2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A4CD27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0,087</w:t>
            </w:r>
            <w:r w:rsidRPr="009617F5">
              <w:rPr>
                <w:rFonts w:ascii="Arial" w:hAnsi="Arial" w:cs="Arial"/>
                <w:b/>
                <w:sz w:val="14"/>
                <w:szCs w:val="16"/>
              </w:rPr>
              <w:fldChar w:fldCharType="end"/>
            </w:r>
            <w:r w:rsidRPr="009617F5">
              <w:rPr>
                <w:rFonts w:ascii="Arial" w:hAnsi="Arial" w:cs="Arial"/>
                <w:b/>
                <w:sz w:val="14"/>
                <w:szCs w:val="16"/>
              </w:rPr>
              <w:t>0</w:t>
            </w:r>
          </w:p>
        </w:tc>
        <w:tc>
          <w:tcPr>
            <w:tcW w:w="835" w:type="dxa"/>
            <w:shd w:val="clear" w:color="auto" w:fill="auto"/>
            <w:vAlign w:val="center"/>
          </w:tcPr>
          <w:p w14:paraId="6033A9C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904084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1,6354</w:t>
            </w:r>
            <w:r w:rsidRPr="009617F5">
              <w:rPr>
                <w:rFonts w:ascii="Arial" w:hAnsi="Arial" w:cs="Arial"/>
                <w:b/>
                <w:sz w:val="14"/>
                <w:szCs w:val="16"/>
              </w:rPr>
              <w:fldChar w:fldCharType="end"/>
            </w:r>
          </w:p>
        </w:tc>
        <w:tc>
          <w:tcPr>
            <w:tcW w:w="817" w:type="dxa"/>
            <w:shd w:val="clear" w:color="auto" w:fill="auto"/>
            <w:vAlign w:val="center"/>
          </w:tcPr>
          <w:p w14:paraId="6ABDC03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C82E71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4E7A47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159E080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1,2838</w:t>
            </w:r>
            <w:r w:rsidRPr="009617F5">
              <w:rPr>
                <w:rFonts w:ascii="Arial" w:hAnsi="Arial" w:cs="Arial"/>
                <w:b/>
                <w:sz w:val="14"/>
                <w:szCs w:val="16"/>
              </w:rPr>
              <w:fldChar w:fldCharType="end"/>
            </w:r>
          </w:p>
        </w:tc>
        <w:tc>
          <w:tcPr>
            <w:tcW w:w="821" w:type="dxa"/>
            <w:shd w:val="clear" w:color="auto" w:fill="auto"/>
            <w:vAlign w:val="center"/>
          </w:tcPr>
          <w:p w14:paraId="6AA7E73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0,4386</w:t>
            </w:r>
            <w:r w:rsidRPr="009617F5">
              <w:rPr>
                <w:rFonts w:ascii="Arial" w:hAnsi="Arial" w:cs="Arial"/>
                <w:b/>
                <w:sz w:val="14"/>
                <w:szCs w:val="16"/>
              </w:rPr>
              <w:fldChar w:fldCharType="end"/>
            </w:r>
          </w:p>
        </w:tc>
        <w:tc>
          <w:tcPr>
            <w:tcW w:w="1647" w:type="dxa"/>
            <w:shd w:val="clear" w:color="auto" w:fill="auto"/>
            <w:vAlign w:val="center"/>
          </w:tcPr>
          <w:p w14:paraId="465DF28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9A9E48C" w14:textId="77777777" w:rsidTr="00286F7D">
        <w:trPr>
          <w:trHeight w:val="397"/>
        </w:trPr>
        <w:tc>
          <w:tcPr>
            <w:tcW w:w="2474" w:type="dxa"/>
            <w:gridSpan w:val="2"/>
            <w:shd w:val="clear" w:color="auto" w:fill="auto"/>
            <w:vAlign w:val="center"/>
          </w:tcPr>
          <w:p w14:paraId="38B80B7C" w14:textId="77777777" w:rsidR="009617F5" w:rsidRPr="009617F5" w:rsidRDefault="009617F5" w:rsidP="00286F7D">
            <w:pPr>
              <w:rPr>
                <w:rFonts w:ascii="Arial" w:hAnsi="Arial" w:cs="Arial"/>
                <w:b/>
                <w:sz w:val="18"/>
                <w:szCs w:val="20"/>
              </w:rPr>
            </w:pPr>
            <w:r w:rsidRPr="009617F5">
              <w:rPr>
                <w:rFonts w:ascii="Arial" w:hAnsi="Arial" w:cs="Arial"/>
                <w:b/>
                <w:sz w:val="18"/>
                <w:szCs w:val="20"/>
              </w:rPr>
              <w:t>k.ú. Horní Oldřichov</w:t>
            </w:r>
          </w:p>
          <w:p w14:paraId="079D5DB5" w14:textId="77777777" w:rsidR="009617F5" w:rsidRPr="009617F5" w:rsidRDefault="009617F5" w:rsidP="00286F7D">
            <w:pPr>
              <w:rPr>
                <w:rFonts w:ascii="Arial" w:hAnsi="Arial" w:cs="Arial"/>
                <w:b/>
                <w:sz w:val="18"/>
                <w:szCs w:val="20"/>
              </w:rPr>
            </w:pPr>
            <w:r w:rsidRPr="009617F5">
              <w:rPr>
                <w:rFonts w:ascii="Arial" w:hAnsi="Arial" w:cs="Arial"/>
                <w:b/>
                <w:sz w:val="18"/>
                <w:szCs w:val="20"/>
              </w:rPr>
              <w:t>ZÁBOR ZPF CELKEM</w:t>
            </w:r>
          </w:p>
          <w:p w14:paraId="3B208B12" w14:textId="77777777" w:rsidR="009617F5" w:rsidRPr="009617F5" w:rsidRDefault="009617F5" w:rsidP="00286F7D">
            <w:pPr>
              <w:rPr>
                <w:rFonts w:ascii="Arial" w:hAnsi="Arial" w:cs="Arial"/>
                <w:b/>
                <w:sz w:val="18"/>
                <w:szCs w:val="20"/>
              </w:rPr>
            </w:pPr>
          </w:p>
        </w:tc>
        <w:tc>
          <w:tcPr>
            <w:tcW w:w="836" w:type="dxa"/>
            <w:shd w:val="clear" w:color="auto" w:fill="auto"/>
            <w:vAlign w:val="center"/>
          </w:tcPr>
          <w:p w14:paraId="6A8412B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1,7224</w:t>
            </w:r>
            <w:r w:rsidRPr="009617F5">
              <w:rPr>
                <w:rFonts w:ascii="Arial" w:hAnsi="Arial" w:cs="Arial"/>
                <w:b/>
                <w:sz w:val="14"/>
                <w:szCs w:val="16"/>
              </w:rPr>
              <w:fldChar w:fldCharType="end"/>
            </w:r>
          </w:p>
        </w:tc>
        <w:tc>
          <w:tcPr>
            <w:tcW w:w="828" w:type="dxa"/>
            <w:shd w:val="clear" w:color="auto" w:fill="auto"/>
            <w:vAlign w:val="center"/>
          </w:tcPr>
          <w:p w14:paraId="67CF0D3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0D3BA25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43CEF05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74E8120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870</w:t>
            </w:r>
            <w:r w:rsidRPr="009617F5">
              <w:rPr>
                <w:rFonts w:ascii="Arial" w:hAnsi="Arial" w:cs="Arial"/>
                <w:b/>
                <w:sz w:val="14"/>
                <w:szCs w:val="16"/>
              </w:rPr>
              <w:fldChar w:fldCharType="end"/>
            </w:r>
          </w:p>
        </w:tc>
        <w:tc>
          <w:tcPr>
            <w:tcW w:w="835" w:type="dxa"/>
            <w:shd w:val="clear" w:color="auto" w:fill="auto"/>
            <w:vAlign w:val="center"/>
          </w:tcPr>
          <w:p w14:paraId="060956A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F4D83D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1,6354</w:t>
            </w:r>
            <w:r w:rsidRPr="009617F5">
              <w:rPr>
                <w:rFonts w:ascii="Arial" w:hAnsi="Arial" w:cs="Arial"/>
                <w:b/>
                <w:sz w:val="14"/>
                <w:szCs w:val="16"/>
              </w:rPr>
              <w:fldChar w:fldCharType="end"/>
            </w:r>
          </w:p>
        </w:tc>
        <w:tc>
          <w:tcPr>
            <w:tcW w:w="817" w:type="dxa"/>
            <w:shd w:val="clear" w:color="auto" w:fill="auto"/>
            <w:vAlign w:val="center"/>
          </w:tcPr>
          <w:p w14:paraId="4BC83DD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BF8BC9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068C1A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7DD91B3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1,2838</w:t>
            </w:r>
            <w:r w:rsidRPr="009617F5">
              <w:rPr>
                <w:rFonts w:ascii="Arial" w:hAnsi="Arial" w:cs="Arial"/>
                <w:b/>
                <w:sz w:val="14"/>
                <w:szCs w:val="16"/>
              </w:rPr>
              <w:fldChar w:fldCharType="end"/>
            </w:r>
          </w:p>
        </w:tc>
        <w:tc>
          <w:tcPr>
            <w:tcW w:w="821" w:type="dxa"/>
            <w:shd w:val="clear" w:color="auto" w:fill="auto"/>
            <w:vAlign w:val="center"/>
          </w:tcPr>
          <w:p w14:paraId="0CF63C8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4386</w:t>
            </w:r>
            <w:r w:rsidRPr="009617F5">
              <w:rPr>
                <w:rFonts w:ascii="Arial" w:hAnsi="Arial" w:cs="Arial"/>
                <w:b/>
                <w:sz w:val="14"/>
                <w:szCs w:val="16"/>
              </w:rPr>
              <w:fldChar w:fldCharType="end"/>
            </w:r>
          </w:p>
        </w:tc>
        <w:tc>
          <w:tcPr>
            <w:tcW w:w="1647" w:type="dxa"/>
            <w:shd w:val="clear" w:color="auto" w:fill="auto"/>
            <w:vAlign w:val="center"/>
          </w:tcPr>
          <w:p w14:paraId="5D7D441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bl>
    <w:p w14:paraId="75B19F8E"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t>Katastrální území:</w:t>
      </w:r>
      <w:r w:rsidRPr="009617F5">
        <w:rPr>
          <w:rFonts w:ascii="Arial" w:hAnsi="Arial" w:cs="Arial"/>
          <w:b/>
          <w:color w:val="FF0000"/>
          <w:sz w:val="22"/>
        </w:rPr>
        <w:tab/>
        <w:t>Chrochvice</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0A0" w:firstRow="1" w:lastRow="0" w:firstColumn="1" w:lastColumn="0" w:noHBand="0" w:noVBand="0"/>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471B8CEE" w14:textId="77777777" w:rsidTr="00286F7D">
        <w:trPr>
          <w:tblHeader/>
        </w:trPr>
        <w:tc>
          <w:tcPr>
            <w:tcW w:w="833" w:type="dxa"/>
            <w:vMerge w:val="restart"/>
            <w:shd w:val="clear" w:color="auto" w:fill="auto"/>
          </w:tcPr>
          <w:p w14:paraId="3A42FC7A" w14:textId="77777777" w:rsidR="009617F5" w:rsidRPr="009617F5" w:rsidRDefault="009617F5" w:rsidP="00286F7D">
            <w:pPr>
              <w:rPr>
                <w:rFonts w:ascii="Arial" w:hAnsi="Arial" w:cs="Arial"/>
                <w:b/>
                <w:sz w:val="14"/>
                <w:szCs w:val="16"/>
              </w:rPr>
            </w:pPr>
          </w:p>
          <w:p w14:paraId="36DCB1C2" w14:textId="77777777" w:rsidR="009617F5" w:rsidRPr="009617F5" w:rsidRDefault="009617F5" w:rsidP="00286F7D">
            <w:pPr>
              <w:rPr>
                <w:rFonts w:ascii="Arial" w:hAnsi="Arial" w:cs="Arial"/>
                <w:b/>
                <w:sz w:val="14"/>
                <w:szCs w:val="16"/>
              </w:rPr>
            </w:pPr>
          </w:p>
          <w:p w14:paraId="4B9C265C"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shd w:val="clear" w:color="auto" w:fill="auto"/>
          </w:tcPr>
          <w:p w14:paraId="40786AD1" w14:textId="77777777" w:rsidR="009617F5" w:rsidRPr="009617F5" w:rsidRDefault="009617F5" w:rsidP="00286F7D">
            <w:pPr>
              <w:rPr>
                <w:rFonts w:ascii="Arial" w:hAnsi="Arial" w:cs="Arial"/>
                <w:b/>
                <w:sz w:val="14"/>
                <w:szCs w:val="16"/>
              </w:rPr>
            </w:pPr>
          </w:p>
          <w:p w14:paraId="66A6B422" w14:textId="77777777" w:rsidR="009617F5" w:rsidRPr="009617F5" w:rsidRDefault="009617F5" w:rsidP="00286F7D">
            <w:pPr>
              <w:rPr>
                <w:rFonts w:ascii="Arial" w:hAnsi="Arial" w:cs="Arial"/>
                <w:b/>
                <w:sz w:val="14"/>
                <w:szCs w:val="16"/>
              </w:rPr>
            </w:pPr>
          </w:p>
          <w:p w14:paraId="24595EE2"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shd w:val="clear" w:color="auto" w:fill="auto"/>
          </w:tcPr>
          <w:p w14:paraId="1399D879" w14:textId="77777777" w:rsidR="009617F5" w:rsidRPr="009617F5" w:rsidRDefault="009617F5" w:rsidP="00286F7D">
            <w:pPr>
              <w:rPr>
                <w:rFonts w:ascii="Arial" w:hAnsi="Arial" w:cs="Arial"/>
                <w:b/>
                <w:sz w:val="14"/>
                <w:szCs w:val="16"/>
              </w:rPr>
            </w:pPr>
          </w:p>
          <w:p w14:paraId="101261AB"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shd w:val="clear" w:color="auto" w:fill="auto"/>
          </w:tcPr>
          <w:p w14:paraId="2C398A14" w14:textId="77777777" w:rsidR="009617F5" w:rsidRPr="009617F5" w:rsidRDefault="009617F5" w:rsidP="00286F7D">
            <w:pPr>
              <w:jc w:val="center"/>
              <w:rPr>
                <w:rFonts w:ascii="Arial" w:hAnsi="Arial" w:cs="Arial"/>
                <w:b/>
                <w:sz w:val="14"/>
                <w:szCs w:val="16"/>
              </w:rPr>
            </w:pPr>
          </w:p>
          <w:p w14:paraId="3672FA8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jednotlivých kultur</w:t>
            </w:r>
          </w:p>
          <w:p w14:paraId="74010D8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4098" w:type="dxa"/>
            <w:gridSpan w:val="5"/>
            <w:shd w:val="clear" w:color="auto" w:fill="auto"/>
          </w:tcPr>
          <w:p w14:paraId="677054F2" w14:textId="77777777" w:rsidR="009617F5" w:rsidRPr="009617F5" w:rsidRDefault="009617F5" w:rsidP="00286F7D">
            <w:pPr>
              <w:rPr>
                <w:rFonts w:ascii="Arial" w:hAnsi="Arial" w:cs="Arial"/>
                <w:b/>
                <w:sz w:val="14"/>
                <w:szCs w:val="16"/>
              </w:rPr>
            </w:pPr>
          </w:p>
          <w:p w14:paraId="5B77B99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tříd ochrany</w:t>
            </w:r>
          </w:p>
          <w:p w14:paraId="1B1751A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1647" w:type="dxa"/>
            <w:vMerge w:val="restart"/>
            <w:shd w:val="clear" w:color="auto" w:fill="auto"/>
          </w:tcPr>
          <w:p w14:paraId="68A493A3" w14:textId="77777777" w:rsidR="009617F5" w:rsidRPr="009617F5" w:rsidRDefault="009617F5" w:rsidP="00286F7D">
            <w:pPr>
              <w:rPr>
                <w:rFonts w:ascii="Arial" w:hAnsi="Arial" w:cs="Arial"/>
                <w:b/>
                <w:sz w:val="14"/>
                <w:szCs w:val="16"/>
              </w:rPr>
            </w:pPr>
          </w:p>
          <w:p w14:paraId="0CC0CCDA" w14:textId="77777777" w:rsidR="009617F5" w:rsidRPr="009617F5" w:rsidRDefault="009617F5" w:rsidP="00286F7D">
            <w:pPr>
              <w:jc w:val="center"/>
              <w:rPr>
                <w:rFonts w:ascii="Arial" w:hAnsi="Arial" w:cs="Arial"/>
                <w:b/>
                <w:sz w:val="14"/>
                <w:szCs w:val="16"/>
              </w:rPr>
            </w:pPr>
          </w:p>
          <w:p w14:paraId="5B7F8B9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Investice do půdy (ha)</w:t>
            </w:r>
          </w:p>
        </w:tc>
      </w:tr>
      <w:tr w:rsidR="009617F5" w:rsidRPr="009617F5" w14:paraId="06F999A2" w14:textId="77777777" w:rsidTr="00286F7D">
        <w:trPr>
          <w:tblHeader/>
        </w:trPr>
        <w:tc>
          <w:tcPr>
            <w:tcW w:w="833" w:type="dxa"/>
            <w:vMerge/>
            <w:shd w:val="clear" w:color="auto" w:fill="auto"/>
          </w:tcPr>
          <w:p w14:paraId="06FA5537" w14:textId="77777777" w:rsidR="009617F5" w:rsidRPr="009617F5" w:rsidRDefault="009617F5" w:rsidP="00286F7D">
            <w:pPr>
              <w:rPr>
                <w:rFonts w:ascii="Arial" w:hAnsi="Arial" w:cs="Arial"/>
                <w:b/>
                <w:sz w:val="14"/>
                <w:szCs w:val="16"/>
              </w:rPr>
            </w:pPr>
          </w:p>
        </w:tc>
        <w:tc>
          <w:tcPr>
            <w:tcW w:w="1641" w:type="dxa"/>
            <w:vMerge/>
            <w:shd w:val="clear" w:color="auto" w:fill="auto"/>
          </w:tcPr>
          <w:p w14:paraId="4CA3CEC9" w14:textId="77777777" w:rsidR="009617F5" w:rsidRPr="009617F5" w:rsidRDefault="009617F5" w:rsidP="00286F7D">
            <w:pPr>
              <w:rPr>
                <w:rFonts w:ascii="Arial" w:hAnsi="Arial" w:cs="Arial"/>
                <w:b/>
                <w:sz w:val="14"/>
                <w:szCs w:val="16"/>
              </w:rPr>
            </w:pPr>
          </w:p>
        </w:tc>
        <w:tc>
          <w:tcPr>
            <w:tcW w:w="836" w:type="dxa"/>
            <w:vMerge/>
            <w:shd w:val="clear" w:color="auto" w:fill="auto"/>
          </w:tcPr>
          <w:p w14:paraId="4340CA83" w14:textId="77777777" w:rsidR="009617F5" w:rsidRPr="009617F5" w:rsidRDefault="009617F5" w:rsidP="00286F7D">
            <w:pPr>
              <w:rPr>
                <w:rFonts w:ascii="Arial" w:hAnsi="Arial" w:cs="Arial"/>
                <w:b/>
                <w:sz w:val="14"/>
                <w:szCs w:val="16"/>
              </w:rPr>
            </w:pPr>
          </w:p>
        </w:tc>
        <w:tc>
          <w:tcPr>
            <w:tcW w:w="828" w:type="dxa"/>
            <w:shd w:val="clear" w:color="auto" w:fill="auto"/>
          </w:tcPr>
          <w:p w14:paraId="27A5E719"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229F65F4"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shd w:val="clear" w:color="auto" w:fill="auto"/>
          </w:tcPr>
          <w:p w14:paraId="5816FA23"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shd w:val="clear" w:color="auto" w:fill="auto"/>
          </w:tcPr>
          <w:p w14:paraId="0486E8E9"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shd w:val="clear" w:color="auto" w:fill="auto"/>
          </w:tcPr>
          <w:p w14:paraId="46A1DE1A"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shd w:val="clear" w:color="auto" w:fill="auto"/>
          </w:tcPr>
          <w:p w14:paraId="4AD272C5"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shd w:val="clear" w:color="auto" w:fill="auto"/>
          </w:tcPr>
          <w:p w14:paraId="0689DBEB"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shd w:val="clear" w:color="auto" w:fill="auto"/>
          </w:tcPr>
          <w:p w14:paraId="71C66C82"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shd w:val="clear" w:color="auto" w:fill="auto"/>
          </w:tcPr>
          <w:p w14:paraId="643DA286"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shd w:val="clear" w:color="auto" w:fill="auto"/>
          </w:tcPr>
          <w:p w14:paraId="2B90CCB7"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shd w:val="clear" w:color="auto" w:fill="auto"/>
          </w:tcPr>
          <w:p w14:paraId="6D0A60BE"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1647" w:type="dxa"/>
            <w:vMerge/>
            <w:shd w:val="clear" w:color="auto" w:fill="auto"/>
          </w:tcPr>
          <w:p w14:paraId="422E582D" w14:textId="77777777" w:rsidR="009617F5" w:rsidRPr="009617F5" w:rsidRDefault="009617F5" w:rsidP="00286F7D">
            <w:pPr>
              <w:rPr>
                <w:rFonts w:ascii="Arial" w:hAnsi="Arial" w:cs="Arial"/>
                <w:b/>
                <w:sz w:val="14"/>
                <w:szCs w:val="16"/>
              </w:rPr>
            </w:pPr>
          </w:p>
        </w:tc>
      </w:tr>
      <w:tr w:rsidR="009617F5" w:rsidRPr="009617F5" w14:paraId="6103C494" w14:textId="77777777" w:rsidTr="00286F7D">
        <w:trPr>
          <w:trHeight w:val="397"/>
        </w:trPr>
        <w:tc>
          <w:tcPr>
            <w:tcW w:w="833" w:type="dxa"/>
            <w:shd w:val="clear" w:color="auto" w:fill="auto"/>
            <w:vAlign w:val="center"/>
          </w:tcPr>
          <w:p w14:paraId="308782D1"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8Z-46</w:t>
            </w:r>
          </w:p>
        </w:tc>
        <w:tc>
          <w:tcPr>
            <w:tcW w:w="1641" w:type="dxa"/>
            <w:shd w:val="clear" w:color="auto" w:fill="auto"/>
            <w:vAlign w:val="center"/>
          </w:tcPr>
          <w:p w14:paraId="59B250C9"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28D2061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1C40566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6B3E9FA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5C7FB06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99EEDB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5112ED0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E1B49E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57EF1D8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B4B97A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E04FD6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507AA3F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0BF25B6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6BA9829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653B644" w14:textId="77777777" w:rsidTr="00286F7D">
        <w:trPr>
          <w:trHeight w:val="397"/>
        </w:trPr>
        <w:tc>
          <w:tcPr>
            <w:tcW w:w="2474" w:type="dxa"/>
            <w:gridSpan w:val="2"/>
            <w:shd w:val="clear" w:color="auto" w:fill="auto"/>
            <w:vAlign w:val="center"/>
          </w:tcPr>
          <w:p w14:paraId="689946FE"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bydlení celkem:</w:t>
            </w:r>
          </w:p>
        </w:tc>
        <w:tc>
          <w:tcPr>
            <w:tcW w:w="836" w:type="dxa"/>
            <w:shd w:val="clear" w:color="auto" w:fill="auto"/>
            <w:vAlign w:val="center"/>
          </w:tcPr>
          <w:p w14:paraId="5B45675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1099A7F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71CD1C7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64C9355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60FB15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7313C1B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7FBFC5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790BCA7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46296D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542642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3F089A5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4815A63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0197599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4A5ADFC5" w14:textId="77777777" w:rsidTr="00286F7D">
        <w:trPr>
          <w:trHeight w:val="397"/>
        </w:trPr>
        <w:tc>
          <w:tcPr>
            <w:tcW w:w="2474" w:type="dxa"/>
            <w:gridSpan w:val="2"/>
            <w:shd w:val="clear" w:color="auto" w:fill="auto"/>
            <w:vAlign w:val="center"/>
          </w:tcPr>
          <w:p w14:paraId="74841715" w14:textId="77777777" w:rsidR="009617F5" w:rsidRPr="009617F5" w:rsidRDefault="009617F5" w:rsidP="00286F7D">
            <w:pPr>
              <w:rPr>
                <w:rFonts w:ascii="Arial" w:hAnsi="Arial" w:cs="Arial"/>
                <w:b/>
                <w:sz w:val="18"/>
                <w:szCs w:val="20"/>
              </w:rPr>
            </w:pPr>
            <w:r w:rsidRPr="009617F5">
              <w:rPr>
                <w:rFonts w:ascii="Arial" w:hAnsi="Arial" w:cs="Arial"/>
                <w:b/>
                <w:sz w:val="18"/>
                <w:szCs w:val="20"/>
              </w:rPr>
              <w:t>k.ú. CHROCHVICE</w:t>
            </w:r>
          </w:p>
          <w:p w14:paraId="0A7677CE" w14:textId="77777777" w:rsidR="009617F5" w:rsidRPr="009617F5" w:rsidRDefault="009617F5" w:rsidP="00286F7D">
            <w:pPr>
              <w:rPr>
                <w:rFonts w:ascii="Arial" w:hAnsi="Arial" w:cs="Arial"/>
                <w:b/>
                <w:sz w:val="18"/>
                <w:szCs w:val="20"/>
              </w:rPr>
            </w:pPr>
            <w:r w:rsidRPr="009617F5">
              <w:rPr>
                <w:rFonts w:ascii="Arial" w:hAnsi="Arial" w:cs="Arial"/>
                <w:b/>
                <w:sz w:val="18"/>
                <w:szCs w:val="20"/>
              </w:rPr>
              <w:t>ZÁBOR ZPF CELKEM</w:t>
            </w:r>
          </w:p>
        </w:tc>
        <w:tc>
          <w:tcPr>
            <w:tcW w:w="836" w:type="dxa"/>
            <w:shd w:val="clear" w:color="auto" w:fill="auto"/>
            <w:vAlign w:val="center"/>
          </w:tcPr>
          <w:p w14:paraId="7DDEDCB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69C76D1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22B1062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7C4647E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F426B0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22109ED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72AB94B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3B76450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3429E5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DC255E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5366BCB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27626FB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0664213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bl>
    <w:p w14:paraId="1B476987" w14:textId="77777777" w:rsidR="009617F5" w:rsidRPr="009617F5" w:rsidRDefault="009617F5" w:rsidP="009617F5">
      <w:pPr>
        <w:rPr>
          <w:rFonts w:ascii="Arial" w:hAnsi="Arial" w:cs="Arial"/>
          <w:b/>
          <w:color w:val="FF0000"/>
          <w:szCs w:val="28"/>
        </w:rPr>
      </w:pPr>
    </w:p>
    <w:p w14:paraId="1DA8152B" w14:textId="77777777" w:rsidR="009617F5" w:rsidRPr="009617F5" w:rsidRDefault="009617F5" w:rsidP="009617F5">
      <w:pPr>
        <w:rPr>
          <w:rFonts w:ascii="Arial" w:hAnsi="Arial" w:cs="Arial"/>
          <w:b/>
          <w:color w:val="FF0000"/>
          <w:szCs w:val="28"/>
        </w:rPr>
      </w:pPr>
    </w:p>
    <w:p w14:paraId="5440E424"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t>Katastrální území:</w:t>
      </w:r>
      <w:r w:rsidRPr="009617F5">
        <w:rPr>
          <w:rFonts w:ascii="Arial" w:hAnsi="Arial" w:cs="Arial"/>
          <w:b/>
          <w:color w:val="FF0000"/>
          <w:sz w:val="22"/>
        </w:rPr>
        <w:tab/>
        <w:t>Křešice u Děčína</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0A0" w:firstRow="1" w:lastRow="0" w:firstColumn="1" w:lastColumn="0" w:noHBand="0" w:noVBand="0"/>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1AAD8690" w14:textId="77777777" w:rsidTr="00286F7D">
        <w:trPr>
          <w:tblHeader/>
        </w:trPr>
        <w:tc>
          <w:tcPr>
            <w:tcW w:w="833" w:type="dxa"/>
            <w:vMerge w:val="restart"/>
            <w:shd w:val="clear" w:color="auto" w:fill="auto"/>
          </w:tcPr>
          <w:p w14:paraId="587D2AE5" w14:textId="77777777" w:rsidR="009617F5" w:rsidRPr="009617F5" w:rsidRDefault="009617F5" w:rsidP="00286F7D">
            <w:pPr>
              <w:rPr>
                <w:rFonts w:ascii="Arial" w:hAnsi="Arial" w:cs="Arial"/>
                <w:b/>
                <w:sz w:val="14"/>
                <w:szCs w:val="16"/>
              </w:rPr>
            </w:pPr>
          </w:p>
          <w:p w14:paraId="54E369A8" w14:textId="77777777" w:rsidR="009617F5" w:rsidRPr="009617F5" w:rsidRDefault="009617F5" w:rsidP="00286F7D">
            <w:pPr>
              <w:rPr>
                <w:rFonts w:ascii="Arial" w:hAnsi="Arial" w:cs="Arial"/>
                <w:b/>
                <w:sz w:val="14"/>
                <w:szCs w:val="16"/>
              </w:rPr>
            </w:pPr>
          </w:p>
          <w:p w14:paraId="33594366"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shd w:val="clear" w:color="auto" w:fill="auto"/>
          </w:tcPr>
          <w:p w14:paraId="027B7314" w14:textId="77777777" w:rsidR="009617F5" w:rsidRPr="009617F5" w:rsidRDefault="009617F5" w:rsidP="00286F7D">
            <w:pPr>
              <w:rPr>
                <w:rFonts w:ascii="Arial" w:hAnsi="Arial" w:cs="Arial"/>
                <w:b/>
                <w:sz w:val="14"/>
                <w:szCs w:val="16"/>
              </w:rPr>
            </w:pPr>
          </w:p>
          <w:p w14:paraId="54FA83A2" w14:textId="77777777" w:rsidR="009617F5" w:rsidRPr="009617F5" w:rsidRDefault="009617F5" w:rsidP="00286F7D">
            <w:pPr>
              <w:rPr>
                <w:rFonts w:ascii="Arial" w:hAnsi="Arial" w:cs="Arial"/>
                <w:b/>
                <w:sz w:val="14"/>
                <w:szCs w:val="16"/>
              </w:rPr>
            </w:pPr>
          </w:p>
          <w:p w14:paraId="2998AEA1"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shd w:val="clear" w:color="auto" w:fill="auto"/>
          </w:tcPr>
          <w:p w14:paraId="6170199F" w14:textId="77777777" w:rsidR="009617F5" w:rsidRPr="009617F5" w:rsidRDefault="009617F5" w:rsidP="00286F7D">
            <w:pPr>
              <w:rPr>
                <w:rFonts w:ascii="Arial" w:hAnsi="Arial" w:cs="Arial"/>
                <w:b/>
                <w:sz w:val="14"/>
                <w:szCs w:val="16"/>
              </w:rPr>
            </w:pPr>
          </w:p>
          <w:p w14:paraId="2493DF60"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shd w:val="clear" w:color="auto" w:fill="auto"/>
          </w:tcPr>
          <w:p w14:paraId="57ED2DF4" w14:textId="77777777" w:rsidR="009617F5" w:rsidRPr="009617F5" w:rsidRDefault="009617F5" w:rsidP="00286F7D">
            <w:pPr>
              <w:jc w:val="center"/>
              <w:rPr>
                <w:rFonts w:ascii="Arial" w:hAnsi="Arial" w:cs="Arial"/>
                <w:b/>
                <w:sz w:val="14"/>
                <w:szCs w:val="16"/>
              </w:rPr>
            </w:pPr>
          </w:p>
          <w:p w14:paraId="4108DFC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jednotlivých kultur</w:t>
            </w:r>
          </w:p>
          <w:p w14:paraId="0C7EA67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4098" w:type="dxa"/>
            <w:gridSpan w:val="5"/>
            <w:shd w:val="clear" w:color="auto" w:fill="auto"/>
          </w:tcPr>
          <w:p w14:paraId="71C5321E" w14:textId="77777777" w:rsidR="009617F5" w:rsidRPr="009617F5" w:rsidRDefault="009617F5" w:rsidP="00286F7D">
            <w:pPr>
              <w:rPr>
                <w:rFonts w:ascii="Arial" w:hAnsi="Arial" w:cs="Arial"/>
                <w:b/>
                <w:sz w:val="14"/>
                <w:szCs w:val="16"/>
              </w:rPr>
            </w:pPr>
          </w:p>
          <w:p w14:paraId="352091A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tříd ochrany</w:t>
            </w:r>
          </w:p>
          <w:p w14:paraId="3D8064B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1647" w:type="dxa"/>
            <w:vMerge w:val="restart"/>
            <w:shd w:val="clear" w:color="auto" w:fill="auto"/>
          </w:tcPr>
          <w:p w14:paraId="01A5CC41" w14:textId="77777777" w:rsidR="009617F5" w:rsidRPr="009617F5" w:rsidRDefault="009617F5" w:rsidP="00286F7D">
            <w:pPr>
              <w:rPr>
                <w:rFonts w:ascii="Arial" w:hAnsi="Arial" w:cs="Arial"/>
                <w:b/>
                <w:sz w:val="14"/>
                <w:szCs w:val="16"/>
              </w:rPr>
            </w:pPr>
          </w:p>
          <w:p w14:paraId="50999D6C" w14:textId="77777777" w:rsidR="009617F5" w:rsidRPr="009617F5" w:rsidRDefault="009617F5" w:rsidP="00286F7D">
            <w:pPr>
              <w:jc w:val="center"/>
              <w:rPr>
                <w:rFonts w:ascii="Arial" w:hAnsi="Arial" w:cs="Arial"/>
                <w:b/>
                <w:sz w:val="14"/>
                <w:szCs w:val="16"/>
              </w:rPr>
            </w:pPr>
          </w:p>
          <w:p w14:paraId="303920D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Investice do půdy (ha)</w:t>
            </w:r>
          </w:p>
        </w:tc>
      </w:tr>
      <w:tr w:rsidR="009617F5" w:rsidRPr="009617F5" w14:paraId="365F5CF7" w14:textId="77777777" w:rsidTr="00286F7D">
        <w:trPr>
          <w:tblHeader/>
        </w:trPr>
        <w:tc>
          <w:tcPr>
            <w:tcW w:w="833" w:type="dxa"/>
            <w:vMerge/>
            <w:shd w:val="clear" w:color="auto" w:fill="auto"/>
          </w:tcPr>
          <w:p w14:paraId="0E100D78" w14:textId="77777777" w:rsidR="009617F5" w:rsidRPr="009617F5" w:rsidRDefault="009617F5" w:rsidP="00286F7D">
            <w:pPr>
              <w:rPr>
                <w:rFonts w:ascii="Arial" w:hAnsi="Arial" w:cs="Arial"/>
                <w:b/>
                <w:sz w:val="14"/>
                <w:szCs w:val="16"/>
              </w:rPr>
            </w:pPr>
          </w:p>
        </w:tc>
        <w:tc>
          <w:tcPr>
            <w:tcW w:w="1641" w:type="dxa"/>
            <w:vMerge/>
            <w:shd w:val="clear" w:color="auto" w:fill="auto"/>
          </w:tcPr>
          <w:p w14:paraId="18E16F31" w14:textId="77777777" w:rsidR="009617F5" w:rsidRPr="009617F5" w:rsidRDefault="009617F5" w:rsidP="00286F7D">
            <w:pPr>
              <w:rPr>
                <w:rFonts w:ascii="Arial" w:hAnsi="Arial" w:cs="Arial"/>
                <w:b/>
                <w:sz w:val="14"/>
                <w:szCs w:val="16"/>
              </w:rPr>
            </w:pPr>
          </w:p>
        </w:tc>
        <w:tc>
          <w:tcPr>
            <w:tcW w:w="836" w:type="dxa"/>
            <w:vMerge/>
            <w:shd w:val="clear" w:color="auto" w:fill="auto"/>
          </w:tcPr>
          <w:p w14:paraId="1B735FED" w14:textId="77777777" w:rsidR="009617F5" w:rsidRPr="009617F5" w:rsidRDefault="009617F5" w:rsidP="00286F7D">
            <w:pPr>
              <w:rPr>
                <w:rFonts w:ascii="Arial" w:hAnsi="Arial" w:cs="Arial"/>
                <w:b/>
                <w:sz w:val="14"/>
                <w:szCs w:val="16"/>
              </w:rPr>
            </w:pPr>
          </w:p>
        </w:tc>
        <w:tc>
          <w:tcPr>
            <w:tcW w:w="828" w:type="dxa"/>
            <w:shd w:val="clear" w:color="auto" w:fill="auto"/>
          </w:tcPr>
          <w:p w14:paraId="3433D89F"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440A1737"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shd w:val="clear" w:color="auto" w:fill="auto"/>
          </w:tcPr>
          <w:p w14:paraId="52296F72"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shd w:val="clear" w:color="auto" w:fill="auto"/>
          </w:tcPr>
          <w:p w14:paraId="1AA559C8"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shd w:val="clear" w:color="auto" w:fill="auto"/>
          </w:tcPr>
          <w:p w14:paraId="547220AD"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shd w:val="clear" w:color="auto" w:fill="auto"/>
          </w:tcPr>
          <w:p w14:paraId="395C7094"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shd w:val="clear" w:color="auto" w:fill="auto"/>
          </w:tcPr>
          <w:p w14:paraId="2A57AE8A"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shd w:val="clear" w:color="auto" w:fill="auto"/>
          </w:tcPr>
          <w:p w14:paraId="00CFB6A2"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shd w:val="clear" w:color="auto" w:fill="auto"/>
          </w:tcPr>
          <w:p w14:paraId="3B9E17CE"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shd w:val="clear" w:color="auto" w:fill="auto"/>
          </w:tcPr>
          <w:p w14:paraId="3B040118"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shd w:val="clear" w:color="auto" w:fill="auto"/>
          </w:tcPr>
          <w:p w14:paraId="23AAD10F"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1647" w:type="dxa"/>
            <w:vMerge/>
            <w:shd w:val="clear" w:color="auto" w:fill="auto"/>
          </w:tcPr>
          <w:p w14:paraId="6B22F008" w14:textId="77777777" w:rsidR="009617F5" w:rsidRPr="009617F5" w:rsidRDefault="009617F5" w:rsidP="00286F7D">
            <w:pPr>
              <w:rPr>
                <w:rFonts w:ascii="Arial" w:hAnsi="Arial" w:cs="Arial"/>
                <w:b/>
                <w:sz w:val="14"/>
                <w:szCs w:val="16"/>
              </w:rPr>
            </w:pPr>
          </w:p>
        </w:tc>
      </w:tr>
      <w:tr w:rsidR="009617F5" w:rsidRPr="009617F5" w14:paraId="699C5B2B" w14:textId="77777777" w:rsidTr="00286F7D">
        <w:trPr>
          <w:trHeight w:val="397"/>
        </w:trPr>
        <w:tc>
          <w:tcPr>
            <w:tcW w:w="833" w:type="dxa"/>
            <w:shd w:val="clear" w:color="auto" w:fill="auto"/>
            <w:vAlign w:val="center"/>
          </w:tcPr>
          <w:p w14:paraId="037E4587"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8Z-47</w:t>
            </w:r>
          </w:p>
        </w:tc>
        <w:tc>
          <w:tcPr>
            <w:tcW w:w="1641" w:type="dxa"/>
            <w:shd w:val="clear" w:color="auto" w:fill="auto"/>
            <w:vAlign w:val="center"/>
          </w:tcPr>
          <w:p w14:paraId="1E3DFEB2"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4B60C46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=SUM(LEFT) </w:instrText>
            </w:r>
            <w:r w:rsidRPr="009617F5">
              <w:rPr>
                <w:rFonts w:ascii="Arial" w:hAnsi="Arial" w:cs="Arial"/>
                <w:b/>
                <w:sz w:val="14"/>
                <w:szCs w:val="16"/>
              </w:rPr>
              <w:fldChar w:fldCharType="separate"/>
            </w:r>
            <w:r w:rsidRPr="009617F5">
              <w:rPr>
                <w:rFonts w:ascii="Arial" w:hAnsi="Arial" w:cs="Arial"/>
                <w:b/>
                <w:noProof/>
                <w:sz w:val="14"/>
                <w:szCs w:val="16"/>
              </w:rPr>
              <w:t>0,5592</w:t>
            </w:r>
            <w:r w:rsidRPr="009617F5">
              <w:rPr>
                <w:rFonts w:ascii="Arial" w:hAnsi="Arial" w:cs="Arial"/>
                <w:b/>
                <w:sz w:val="14"/>
                <w:szCs w:val="16"/>
              </w:rPr>
              <w:fldChar w:fldCharType="end"/>
            </w:r>
          </w:p>
        </w:tc>
        <w:tc>
          <w:tcPr>
            <w:tcW w:w="828" w:type="dxa"/>
            <w:shd w:val="clear" w:color="auto" w:fill="auto"/>
            <w:vAlign w:val="center"/>
          </w:tcPr>
          <w:p w14:paraId="5A5BD08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0F5AAEF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24F72C3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9684F2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71B1CA8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CB3C02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0,5592</w:t>
            </w:r>
          </w:p>
        </w:tc>
        <w:tc>
          <w:tcPr>
            <w:tcW w:w="817" w:type="dxa"/>
            <w:shd w:val="clear" w:color="auto" w:fill="auto"/>
            <w:vAlign w:val="center"/>
          </w:tcPr>
          <w:p w14:paraId="26DFCF5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323274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6A5EE3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46B0625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=SUM(LEFT) </w:instrText>
            </w:r>
            <w:r w:rsidRPr="009617F5">
              <w:rPr>
                <w:rFonts w:ascii="Arial" w:hAnsi="Arial" w:cs="Arial"/>
                <w:b/>
                <w:sz w:val="14"/>
                <w:szCs w:val="16"/>
              </w:rPr>
              <w:fldChar w:fldCharType="separate"/>
            </w:r>
            <w:r w:rsidRPr="009617F5">
              <w:rPr>
                <w:rFonts w:ascii="Arial" w:hAnsi="Arial" w:cs="Arial"/>
                <w:b/>
                <w:noProof/>
                <w:sz w:val="14"/>
                <w:szCs w:val="16"/>
              </w:rPr>
              <w:t>0,5592</w:t>
            </w:r>
            <w:r w:rsidRPr="009617F5">
              <w:rPr>
                <w:rFonts w:ascii="Arial" w:hAnsi="Arial" w:cs="Arial"/>
                <w:b/>
                <w:sz w:val="14"/>
                <w:szCs w:val="16"/>
              </w:rPr>
              <w:fldChar w:fldCharType="end"/>
            </w:r>
          </w:p>
        </w:tc>
        <w:tc>
          <w:tcPr>
            <w:tcW w:w="821" w:type="dxa"/>
            <w:shd w:val="clear" w:color="auto" w:fill="auto"/>
            <w:vAlign w:val="center"/>
          </w:tcPr>
          <w:p w14:paraId="77BA4DF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414E082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30A6C109" w14:textId="77777777" w:rsidTr="00286F7D">
        <w:trPr>
          <w:trHeight w:val="397"/>
        </w:trPr>
        <w:tc>
          <w:tcPr>
            <w:tcW w:w="2474" w:type="dxa"/>
            <w:gridSpan w:val="2"/>
            <w:shd w:val="clear" w:color="auto" w:fill="auto"/>
            <w:vAlign w:val="center"/>
          </w:tcPr>
          <w:p w14:paraId="2E6282FF"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bydlení celkem:</w:t>
            </w:r>
          </w:p>
        </w:tc>
        <w:tc>
          <w:tcPr>
            <w:tcW w:w="836" w:type="dxa"/>
            <w:shd w:val="clear" w:color="auto" w:fill="auto"/>
            <w:vAlign w:val="center"/>
          </w:tcPr>
          <w:p w14:paraId="14484C9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=SUM(LEFT) </w:instrText>
            </w:r>
            <w:r w:rsidRPr="009617F5">
              <w:rPr>
                <w:rFonts w:ascii="Arial" w:hAnsi="Arial" w:cs="Arial"/>
                <w:b/>
                <w:sz w:val="14"/>
                <w:szCs w:val="16"/>
              </w:rPr>
              <w:fldChar w:fldCharType="separate"/>
            </w:r>
            <w:r w:rsidRPr="009617F5">
              <w:rPr>
                <w:rFonts w:ascii="Arial" w:hAnsi="Arial" w:cs="Arial"/>
                <w:b/>
                <w:noProof/>
                <w:sz w:val="14"/>
                <w:szCs w:val="16"/>
              </w:rPr>
              <w:t>0,5592</w:t>
            </w:r>
            <w:r w:rsidRPr="009617F5">
              <w:rPr>
                <w:rFonts w:ascii="Arial" w:hAnsi="Arial" w:cs="Arial"/>
                <w:b/>
                <w:sz w:val="14"/>
                <w:szCs w:val="16"/>
              </w:rPr>
              <w:fldChar w:fldCharType="end"/>
            </w:r>
          </w:p>
        </w:tc>
        <w:tc>
          <w:tcPr>
            <w:tcW w:w="828" w:type="dxa"/>
            <w:shd w:val="clear" w:color="auto" w:fill="auto"/>
            <w:vAlign w:val="center"/>
          </w:tcPr>
          <w:p w14:paraId="34AE785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244CAD9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2CACC5A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7B27C0A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3F15D15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30C72A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0,5592</w:t>
            </w:r>
          </w:p>
        </w:tc>
        <w:tc>
          <w:tcPr>
            <w:tcW w:w="817" w:type="dxa"/>
            <w:shd w:val="clear" w:color="auto" w:fill="auto"/>
            <w:vAlign w:val="center"/>
          </w:tcPr>
          <w:p w14:paraId="4F96990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F78814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D041FF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124B0FC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=SUM(LEFT) </w:instrText>
            </w:r>
            <w:r w:rsidRPr="009617F5">
              <w:rPr>
                <w:rFonts w:ascii="Arial" w:hAnsi="Arial" w:cs="Arial"/>
                <w:b/>
                <w:sz w:val="14"/>
                <w:szCs w:val="16"/>
              </w:rPr>
              <w:fldChar w:fldCharType="separate"/>
            </w:r>
            <w:r w:rsidRPr="009617F5">
              <w:rPr>
                <w:rFonts w:ascii="Arial" w:hAnsi="Arial" w:cs="Arial"/>
                <w:b/>
                <w:noProof/>
                <w:sz w:val="14"/>
                <w:szCs w:val="16"/>
              </w:rPr>
              <w:t>0,5592</w:t>
            </w:r>
            <w:r w:rsidRPr="009617F5">
              <w:rPr>
                <w:rFonts w:ascii="Arial" w:hAnsi="Arial" w:cs="Arial"/>
                <w:b/>
                <w:sz w:val="14"/>
                <w:szCs w:val="16"/>
              </w:rPr>
              <w:fldChar w:fldCharType="end"/>
            </w:r>
          </w:p>
        </w:tc>
        <w:tc>
          <w:tcPr>
            <w:tcW w:w="821" w:type="dxa"/>
            <w:shd w:val="clear" w:color="auto" w:fill="auto"/>
            <w:vAlign w:val="center"/>
          </w:tcPr>
          <w:p w14:paraId="64A96FA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532E41F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03FF8C63" w14:textId="77777777" w:rsidTr="00286F7D">
        <w:trPr>
          <w:trHeight w:val="397"/>
        </w:trPr>
        <w:tc>
          <w:tcPr>
            <w:tcW w:w="833" w:type="dxa"/>
            <w:shd w:val="clear" w:color="auto" w:fill="auto"/>
            <w:vAlign w:val="center"/>
          </w:tcPr>
          <w:p w14:paraId="0848313E"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8Z-30</w:t>
            </w:r>
          </w:p>
        </w:tc>
        <w:tc>
          <w:tcPr>
            <w:tcW w:w="1641" w:type="dxa"/>
            <w:shd w:val="clear" w:color="auto" w:fill="auto"/>
            <w:vAlign w:val="center"/>
          </w:tcPr>
          <w:p w14:paraId="5495C920"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výroby  a skladování</w:t>
            </w:r>
          </w:p>
        </w:tc>
        <w:tc>
          <w:tcPr>
            <w:tcW w:w="836" w:type="dxa"/>
            <w:shd w:val="clear" w:color="auto" w:fill="auto"/>
            <w:vAlign w:val="center"/>
          </w:tcPr>
          <w:p w14:paraId="1151B3E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066F989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023E5D8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2D97017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5205B5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155D2E6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2C969A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73E5FAE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8D7AA0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4A322F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618135B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34F5D0F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555DA13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1FDD8D1B" w14:textId="77777777" w:rsidTr="00286F7D">
        <w:trPr>
          <w:trHeight w:val="397"/>
        </w:trPr>
        <w:tc>
          <w:tcPr>
            <w:tcW w:w="2474" w:type="dxa"/>
            <w:gridSpan w:val="2"/>
            <w:shd w:val="clear" w:color="auto" w:fill="auto"/>
            <w:vAlign w:val="center"/>
          </w:tcPr>
          <w:p w14:paraId="7DB962AA" w14:textId="77777777" w:rsidR="009617F5" w:rsidRPr="009617F5" w:rsidRDefault="009617F5" w:rsidP="00286F7D">
            <w:pPr>
              <w:rPr>
                <w:rFonts w:ascii="Arial" w:hAnsi="Arial" w:cs="Arial"/>
                <w:b/>
                <w:sz w:val="18"/>
                <w:szCs w:val="20"/>
              </w:rPr>
            </w:pPr>
            <w:r w:rsidRPr="009617F5">
              <w:rPr>
                <w:rFonts w:ascii="Arial" w:hAnsi="Arial" w:cs="Arial"/>
                <w:b/>
                <w:sz w:val="18"/>
                <w:szCs w:val="20"/>
              </w:rPr>
              <w:t>k.ú. KŘEŠICE</w:t>
            </w:r>
          </w:p>
          <w:p w14:paraId="4C0B1682" w14:textId="77777777" w:rsidR="009617F5" w:rsidRPr="009617F5" w:rsidRDefault="009617F5" w:rsidP="00286F7D">
            <w:pPr>
              <w:rPr>
                <w:rFonts w:ascii="Arial" w:hAnsi="Arial" w:cs="Arial"/>
                <w:b/>
                <w:sz w:val="18"/>
                <w:szCs w:val="20"/>
              </w:rPr>
            </w:pPr>
            <w:r w:rsidRPr="009617F5">
              <w:rPr>
                <w:rFonts w:ascii="Arial" w:hAnsi="Arial" w:cs="Arial"/>
                <w:b/>
                <w:sz w:val="18"/>
                <w:szCs w:val="20"/>
              </w:rPr>
              <w:t>ZÁBOR ZPF CELKEM</w:t>
            </w:r>
          </w:p>
          <w:p w14:paraId="606B51B7" w14:textId="77777777" w:rsidR="009617F5" w:rsidRPr="009617F5" w:rsidRDefault="009617F5" w:rsidP="00286F7D">
            <w:pPr>
              <w:rPr>
                <w:rFonts w:ascii="Arial" w:hAnsi="Arial" w:cs="Arial"/>
                <w:b/>
                <w:sz w:val="18"/>
                <w:szCs w:val="20"/>
              </w:rPr>
            </w:pPr>
          </w:p>
        </w:tc>
        <w:tc>
          <w:tcPr>
            <w:tcW w:w="836" w:type="dxa"/>
            <w:shd w:val="clear" w:color="auto" w:fill="auto"/>
            <w:vAlign w:val="center"/>
          </w:tcPr>
          <w:p w14:paraId="102AC72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=SUM(LEFT) </w:instrText>
            </w:r>
            <w:r w:rsidRPr="009617F5">
              <w:rPr>
                <w:rFonts w:ascii="Arial" w:hAnsi="Arial" w:cs="Arial"/>
                <w:b/>
                <w:sz w:val="14"/>
                <w:szCs w:val="16"/>
              </w:rPr>
              <w:fldChar w:fldCharType="separate"/>
            </w:r>
            <w:r w:rsidRPr="009617F5">
              <w:rPr>
                <w:rFonts w:ascii="Arial" w:hAnsi="Arial" w:cs="Arial"/>
                <w:b/>
                <w:noProof/>
                <w:sz w:val="14"/>
                <w:szCs w:val="16"/>
              </w:rPr>
              <w:t>0,5592</w:t>
            </w:r>
            <w:r w:rsidRPr="009617F5">
              <w:rPr>
                <w:rFonts w:ascii="Arial" w:hAnsi="Arial" w:cs="Arial"/>
                <w:b/>
                <w:sz w:val="14"/>
                <w:szCs w:val="16"/>
              </w:rPr>
              <w:fldChar w:fldCharType="end"/>
            </w:r>
          </w:p>
        </w:tc>
        <w:tc>
          <w:tcPr>
            <w:tcW w:w="828" w:type="dxa"/>
            <w:shd w:val="clear" w:color="auto" w:fill="auto"/>
            <w:vAlign w:val="center"/>
          </w:tcPr>
          <w:p w14:paraId="5427E03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18D07F4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11AFD1F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115A36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562B722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BC6142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0,5592</w:t>
            </w:r>
          </w:p>
        </w:tc>
        <w:tc>
          <w:tcPr>
            <w:tcW w:w="817" w:type="dxa"/>
            <w:shd w:val="clear" w:color="auto" w:fill="auto"/>
            <w:vAlign w:val="center"/>
          </w:tcPr>
          <w:p w14:paraId="590131C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DDE9B6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FFD3DB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3134D01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=SUM(LEFT) </w:instrText>
            </w:r>
            <w:r w:rsidRPr="009617F5">
              <w:rPr>
                <w:rFonts w:ascii="Arial" w:hAnsi="Arial" w:cs="Arial"/>
                <w:b/>
                <w:sz w:val="14"/>
                <w:szCs w:val="16"/>
              </w:rPr>
              <w:fldChar w:fldCharType="separate"/>
            </w:r>
            <w:r w:rsidRPr="009617F5">
              <w:rPr>
                <w:rFonts w:ascii="Arial" w:hAnsi="Arial" w:cs="Arial"/>
                <w:b/>
                <w:noProof/>
                <w:sz w:val="14"/>
                <w:szCs w:val="16"/>
              </w:rPr>
              <w:t>0,5592</w:t>
            </w:r>
            <w:r w:rsidRPr="009617F5">
              <w:rPr>
                <w:rFonts w:ascii="Arial" w:hAnsi="Arial" w:cs="Arial"/>
                <w:b/>
                <w:sz w:val="14"/>
                <w:szCs w:val="16"/>
              </w:rPr>
              <w:fldChar w:fldCharType="end"/>
            </w:r>
          </w:p>
        </w:tc>
        <w:tc>
          <w:tcPr>
            <w:tcW w:w="821" w:type="dxa"/>
            <w:shd w:val="clear" w:color="auto" w:fill="auto"/>
            <w:vAlign w:val="center"/>
          </w:tcPr>
          <w:p w14:paraId="5220216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35AF445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bl>
    <w:p w14:paraId="117B13F0" w14:textId="77777777" w:rsidR="009617F5" w:rsidRPr="009617F5" w:rsidRDefault="009617F5" w:rsidP="009617F5">
      <w:pPr>
        <w:rPr>
          <w:rFonts w:ascii="Arial" w:hAnsi="Arial" w:cs="Arial"/>
          <w:b/>
          <w:color w:val="FF0000"/>
          <w:szCs w:val="28"/>
        </w:rPr>
      </w:pPr>
    </w:p>
    <w:p w14:paraId="39B88A79" w14:textId="77777777" w:rsidR="009617F5" w:rsidRPr="009617F5" w:rsidRDefault="009617F5" w:rsidP="009617F5">
      <w:pPr>
        <w:rPr>
          <w:rFonts w:ascii="Arial" w:hAnsi="Arial" w:cs="Arial"/>
          <w:b/>
          <w:color w:val="FF0000"/>
          <w:szCs w:val="28"/>
        </w:rPr>
      </w:pPr>
    </w:p>
    <w:p w14:paraId="77A504D8" w14:textId="77777777" w:rsidR="009617F5" w:rsidRPr="009617F5" w:rsidRDefault="009617F5" w:rsidP="009617F5">
      <w:pPr>
        <w:rPr>
          <w:rFonts w:ascii="Arial" w:hAnsi="Arial" w:cs="Arial"/>
          <w:b/>
          <w:color w:val="FF0000"/>
          <w:szCs w:val="28"/>
        </w:rPr>
      </w:pPr>
    </w:p>
    <w:p w14:paraId="10B7B7DA" w14:textId="77777777" w:rsidR="009617F5" w:rsidRPr="009617F5" w:rsidRDefault="009617F5" w:rsidP="009617F5">
      <w:pPr>
        <w:rPr>
          <w:rFonts w:ascii="Arial" w:hAnsi="Arial" w:cs="Arial"/>
          <w:b/>
          <w:color w:val="FF0000"/>
          <w:szCs w:val="28"/>
        </w:rPr>
      </w:pPr>
    </w:p>
    <w:p w14:paraId="7314D087"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t>Katastrální území:</w:t>
      </w:r>
      <w:r w:rsidRPr="009617F5">
        <w:rPr>
          <w:rFonts w:ascii="Arial" w:hAnsi="Arial" w:cs="Arial"/>
          <w:b/>
          <w:color w:val="FF0000"/>
          <w:sz w:val="22"/>
        </w:rPr>
        <w:tab/>
        <w:t>Nebočady</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p>
    <w:p w14:paraId="0090BCF0"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0A0" w:firstRow="1" w:lastRow="0" w:firstColumn="1" w:lastColumn="0" w:noHBand="0" w:noVBand="0"/>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6786D07B" w14:textId="77777777" w:rsidTr="00286F7D">
        <w:trPr>
          <w:tblHeader/>
        </w:trPr>
        <w:tc>
          <w:tcPr>
            <w:tcW w:w="833" w:type="dxa"/>
            <w:vMerge w:val="restart"/>
            <w:shd w:val="clear" w:color="auto" w:fill="auto"/>
          </w:tcPr>
          <w:p w14:paraId="4BACFA42" w14:textId="77777777" w:rsidR="009617F5" w:rsidRPr="009617F5" w:rsidRDefault="009617F5" w:rsidP="00286F7D">
            <w:pPr>
              <w:rPr>
                <w:rFonts w:ascii="Arial" w:hAnsi="Arial" w:cs="Arial"/>
                <w:b/>
                <w:sz w:val="14"/>
                <w:szCs w:val="16"/>
              </w:rPr>
            </w:pPr>
          </w:p>
          <w:p w14:paraId="4609A339" w14:textId="77777777" w:rsidR="009617F5" w:rsidRPr="009617F5" w:rsidRDefault="009617F5" w:rsidP="00286F7D">
            <w:pPr>
              <w:rPr>
                <w:rFonts w:ascii="Arial" w:hAnsi="Arial" w:cs="Arial"/>
                <w:b/>
                <w:sz w:val="14"/>
                <w:szCs w:val="16"/>
              </w:rPr>
            </w:pPr>
          </w:p>
          <w:p w14:paraId="7AC7A090"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shd w:val="clear" w:color="auto" w:fill="auto"/>
          </w:tcPr>
          <w:p w14:paraId="5767B2DE" w14:textId="77777777" w:rsidR="009617F5" w:rsidRPr="009617F5" w:rsidRDefault="009617F5" w:rsidP="00286F7D">
            <w:pPr>
              <w:rPr>
                <w:rFonts w:ascii="Arial" w:hAnsi="Arial" w:cs="Arial"/>
                <w:b/>
                <w:sz w:val="14"/>
                <w:szCs w:val="16"/>
              </w:rPr>
            </w:pPr>
          </w:p>
          <w:p w14:paraId="4045C08C" w14:textId="77777777" w:rsidR="009617F5" w:rsidRPr="009617F5" w:rsidRDefault="009617F5" w:rsidP="00286F7D">
            <w:pPr>
              <w:rPr>
                <w:rFonts w:ascii="Arial" w:hAnsi="Arial" w:cs="Arial"/>
                <w:b/>
                <w:sz w:val="14"/>
                <w:szCs w:val="16"/>
              </w:rPr>
            </w:pPr>
          </w:p>
          <w:p w14:paraId="4EF882CA"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shd w:val="clear" w:color="auto" w:fill="auto"/>
          </w:tcPr>
          <w:p w14:paraId="2EBE679C" w14:textId="77777777" w:rsidR="009617F5" w:rsidRPr="009617F5" w:rsidRDefault="009617F5" w:rsidP="00286F7D">
            <w:pPr>
              <w:rPr>
                <w:rFonts w:ascii="Arial" w:hAnsi="Arial" w:cs="Arial"/>
                <w:b/>
                <w:sz w:val="14"/>
                <w:szCs w:val="16"/>
              </w:rPr>
            </w:pPr>
          </w:p>
          <w:p w14:paraId="5999988C"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shd w:val="clear" w:color="auto" w:fill="auto"/>
          </w:tcPr>
          <w:p w14:paraId="747E1AA2" w14:textId="77777777" w:rsidR="009617F5" w:rsidRPr="009617F5" w:rsidRDefault="009617F5" w:rsidP="00286F7D">
            <w:pPr>
              <w:jc w:val="center"/>
              <w:rPr>
                <w:rFonts w:ascii="Arial" w:hAnsi="Arial" w:cs="Arial"/>
                <w:b/>
                <w:sz w:val="14"/>
                <w:szCs w:val="16"/>
              </w:rPr>
            </w:pPr>
          </w:p>
          <w:p w14:paraId="24D0A8A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jednotlivých kultur</w:t>
            </w:r>
          </w:p>
          <w:p w14:paraId="73E29C1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4098" w:type="dxa"/>
            <w:gridSpan w:val="5"/>
            <w:shd w:val="clear" w:color="auto" w:fill="auto"/>
          </w:tcPr>
          <w:p w14:paraId="578A98CF" w14:textId="77777777" w:rsidR="009617F5" w:rsidRPr="009617F5" w:rsidRDefault="009617F5" w:rsidP="00286F7D">
            <w:pPr>
              <w:rPr>
                <w:rFonts w:ascii="Arial" w:hAnsi="Arial" w:cs="Arial"/>
                <w:b/>
                <w:sz w:val="14"/>
                <w:szCs w:val="16"/>
              </w:rPr>
            </w:pPr>
          </w:p>
          <w:p w14:paraId="7B152C9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tříd ochrany</w:t>
            </w:r>
          </w:p>
          <w:p w14:paraId="765D870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1647" w:type="dxa"/>
            <w:vMerge w:val="restart"/>
            <w:shd w:val="clear" w:color="auto" w:fill="auto"/>
          </w:tcPr>
          <w:p w14:paraId="7D132662" w14:textId="77777777" w:rsidR="009617F5" w:rsidRPr="009617F5" w:rsidRDefault="009617F5" w:rsidP="00286F7D">
            <w:pPr>
              <w:rPr>
                <w:rFonts w:ascii="Arial" w:hAnsi="Arial" w:cs="Arial"/>
                <w:b/>
                <w:sz w:val="14"/>
                <w:szCs w:val="16"/>
              </w:rPr>
            </w:pPr>
          </w:p>
          <w:p w14:paraId="62B47902" w14:textId="77777777" w:rsidR="009617F5" w:rsidRPr="009617F5" w:rsidRDefault="009617F5" w:rsidP="00286F7D">
            <w:pPr>
              <w:jc w:val="center"/>
              <w:rPr>
                <w:rFonts w:ascii="Arial" w:hAnsi="Arial" w:cs="Arial"/>
                <w:b/>
                <w:sz w:val="14"/>
                <w:szCs w:val="16"/>
              </w:rPr>
            </w:pPr>
          </w:p>
          <w:p w14:paraId="409321D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Investice do půdy (ha)</w:t>
            </w:r>
          </w:p>
        </w:tc>
      </w:tr>
      <w:tr w:rsidR="009617F5" w:rsidRPr="009617F5" w14:paraId="23C25ACB" w14:textId="77777777" w:rsidTr="00286F7D">
        <w:trPr>
          <w:tblHeader/>
        </w:trPr>
        <w:tc>
          <w:tcPr>
            <w:tcW w:w="833" w:type="dxa"/>
            <w:vMerge/>
            <w:shd w:val="clear" w:color="auto" w:fill="auto"/>
          </w:tcPr>
          <w:p w14:paraId="39F8FD8A" w14:textId="77777777" w:rsidR="009617F5" w:rsidRPr="009617F5" w:rsidRDefault="009617F5" w:rsidP="00286F7D">
            <w:pPr>
              <w:rPr>
                <w:rFonts w:ascii="Arial" w:hAnsi="Arial" w:cs="Arial"/>
                <w:b/>
                <w:sz w:val="14"/>
                <w:szCs w:val="16"/>
              </w:rPr>
            </w:pPr>
          </w:p>
        </w:tc>
        <w:tc>
          <w:tcPr>
            <w:tcW w:w="1641" w:type="dxa"/>
            <w:vMerge/>
            <w:shd w:val="clear" w:color="auto" w:fill="auto"/>
          </w:tcPr>
          <w:p w14:paraId="20235E78" w14:textId="77777777" w:rsidR="009617F5" w:rsidRPr="009617F5" w:rsidRDefault="009617F5" w:rsidP="00286F7D">
            <w:pPr>
              <w:rPr>
                <w:rFonts w:ascii="Arial" w:hAnsi="Arial" w:cs="Arial"/>
                <w:b/>
                <w:sz w:val="14"/>
                <w:szCs w:val="16"/>
              </w:rPr>
            </w:pPr>
          </w:p>
        </w:tc>
        <w:tc>
          <w:tcPr>
            <w:tcW w:w="836" w:type="dxa"/>
            <w:vMerge/>
            <w:shd w:val="clear" w:color="auto" w:fill="auto"/>
          </w:tcPr>
          <w:p w14:paraId="07EBD213" w14:textId="77777777" w:rsidR="009617F5" w:rsidRPr="009617F5" w:rsidRDefault="009617F5" w:rsidP="00286F7D">
            <w:pPr>
              <w:rPr>
                <w:rFonts w:ascii="Arial" w:hAnsi="Arial" w:cs="Arial"/>
                <w:b/>
                <w:sz w:val="14"/>
                <w:szCs w:val="16"/>
              </w:rPr>
            </w:pPr>
          </w:p>
        </w:tc>
        <w:tc>
          <w:tcPr>
            <w:tcW w:w="828" w:type="dxa"/>
            <w:shd w:val="clear" w:color="auto" w:fill="auto"/>
          </w:tcPr>
          <w:p w14:paraId="7CE6EA61"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41BA9661"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shd w:val="clear" w:color="auto" w:fill="auto"/>
          </w:tcPr>
          <w:p w14:paraId="2E27ECEB"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shd w:val="clear" w:color="auto" w:fill="auto"/>
          </w:tcPr>
          <w:p w14:paraId="4CB8B981"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shd w:val="clear" w:color="auto" w:fill="auto"/>
          </w:tcPr>
          <w:p w14:paraId="65B1644D"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shd w:val="clear" w:color="auto" w:fill="auto"/>
          </w:tcPr>
          <w:p w14:paraId="6161C107"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shd w:val="clear" w:color="auto" w:fill="auto"/>
          </w:tcPr>
          <w:p w14:paraId="7E370853"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shd w:val="clear" w:color="auto" w:fill="auto"/>
          </w:tcPr>
          <w:p w14:paraId="20474FBD"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shd w:val="clear" w:color="auto" w:fill="auto"/>
          </w:tcPr>
          <w:p w14:paraId="6ACADB9A"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shd w:val="clear" w:color="auto" w:fill="auto"/>
          </w:tcPr>
          <w:p w14:paraId="035789E7"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shd w:val="clear" w:color="auto" w:fill="auto"/>
          </w:tcPr>
          <w:p w14:paraId="50520635"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1647" w:type="dxa"/>
            <w:vMerge/>
            <w:shd w:val="clear" w:color="auto" w:fill="auto"/>
          </w:tcPr>
          <w:p w14:paraId="75C50E4B" w14:textId="77777777" w:rsidR="009617F5" w:rsidRPr="009617F5" w:rsidRDefault="009617F5" w:rsidP="00286F7D">
            <w:pPr>
              <w:rPr>
                <w:rFonts w:ascii="Arial" w:hAnsi="Arial" w:cs="Arial"/>
                <w:b/>
                <w:sz w:val="14"/>
                <w:szCs w:val="16"/>
              </w:rPr>
            </w:pPr>
          </w:p>
        </w:tc>
      </w:tr>
      <w:tr w:rsidR="009617F5" w:rsidRPr="009617F5" w14:paraId="1814380C" w14:textId="77777777" w:rsidTr="00286F7D">
        <w:trPr>
          <w:trHeight w:val="397"/>
        </w:trPr>
        <w:tc>
          <w:tcPr>
            <w:tcW w:w="833" w:type="dxa"/>
            <w:shd w:val="clear" w:color="auto" w:fill="auto"/>
            <w:vAlign w:val="center"/>
          </w:tcPr>
          <w:p w14:paraId="7221E7D9"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8Z-13</w:t>
            </w:r>
          </w:p>
        </w:tc>
        <w:tc>
          <w:tcPr>
            <w:tcW w:w="1641" w:type="dxa"/>
            <w:shd w:val="clear" w:color="auto" w:fill="auto"/>
            <w:vAlign w:val="center"/>
          </w:tcPr>
          <w:p w14:paraId="19C86253"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3770D29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1,5102</w:t>
            </w:r>
          </w:p>
        </w:tc>
        <w:tc>
          <w:tcPr>
            <w:tcW w:w="828" w:type="dxa"/>
            <w:shd w:val="clear" w:color="auto" w:fill="auto"/>
            <w:vAlign w:val="center"/>
          </w:tcPr>
          <w:p w14:paraId="7E4C76F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1,1448</w:t>
            </w:r>
          </w:p>
        </w:tc>
        <w:tc>
          <w:tcPr>
            <w:tcW w:w="999" w:type="dxa"/>
            <w:shd w:val="clear" w:color="auto" w:fill="auto"/>
            <w:vAlign w:val="center"/>
          </w:tcPr>
          <w:p w14:paraId="567C1EA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72B1709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C39555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5E8B56B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28BD86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0,3654</w:t>
            </w:r>
          </w:p>
        </w:tc>
        <w:tc>
          <w:tcPr>
            <w:tcW w:w="817" w:type="dxa"/>
            <w:shd w:val="clear" w:color="auto" w:fill="auto"/>
            <w:vAlign w:val="center"/>
          </w:tcPr>
          <w:p w14:paraId="69FA647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5EC78F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1,1923</w:t>
            </w:r>
          </w:p>
        </w:tc>
        <w:tc>
          <w:tcPr>
            <w:tcW w:w="819" w:type="dxa"/>
            <w:shd w:val="clear" w:color="auto" w:fill="auto"/>
            <w:vAlign w:val="center"/>
          </w:tcPr>
          <w:p w14:paraId="1BE9E99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0,3179</w:t>
            </w:r>
          </w:p>
        </w:tc>
        <w:tc>
          <w:tcPr>
            <w:tcW w:w="822" w:type="dxa"/>
            <w:shd w:val="clear" w:color="auto" w:fill="auto"/>
            <w:vAlign w:val="center"/>
          </w:tcPr>
          <w:p w14:paraId="77B1EB8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7FA4F54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7661916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18DCF219" w14:textId="77777777" w:rsidTr="00286F7D">
        <w:trPr>
          <w:trHeight w:val="397"/>
        </w:trPr>
        <w:tc>
          <w:tcPr>
            <w:tcW w:w="2474" w:type="dxa"/>
            <w:gridSpan w:val="2"/>
            <w:shd w:val="clear" w:color="auto" w:fill="auto"/>
            <w:vAlign w:val="center"/>
          </w:tcPr>
          <w:p w14:paraId="5AB6E22D"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bydlení celkem:</w:t>
            </w:r>
          </w:p>
        </w:tc>
        <w:tc>
          <w:tcPr>
            <w:tcW w:w="836" w:type="dxa"/>
            <w:shd w:val="clear" w:color="auto" w:fill="auto"/>
            <w:vAlign w:val="center"/>
          </w:tcPr>
          <w:p w14:paraId="350FAC9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1,5102</w:t>
            </w:r>
          </w:p>
        </w:tc>
        <w:tc>
          <w:tcPr>
            <w:tcW w:w="828" w:type="dxa"/>
            <w:shd w:val="clear" w:color="auto" w:fill="auto"/>
            <w:vAlign w:val="center"/>
          </w:tcPr>
          <w:p w14:paraId="355C16C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1,1448</w:t>
            </w:r>
          </w:p>
        </w:tc>
        <w:tc>
          <w:tcPr>
            <w:tcW w:w="999" w:type="dxa"/>
            <w:shd w:val="clear" w:color="auto" w:fill="auto"/>
            <w:vAlign w:val="center"/>
          </w:tcPr>
          <w:p w14:paraId="28E3DEC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48E5B75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FB6FF3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1A69917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EFE235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0,3654</w:t>
            </w:r>
          </w:p>
        </w:tc>
        <w:tc>
          <w:tcPr>
            <w:tcW w:w="817" w:type="dxa"/>
            <w:shd w:val="clear" w:color="auto" w:fill="auto"/>
            <w:vAlign w:val="center"/>
          </w:tcPr>
          <w:p w14:paraId="569EF21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ABB01C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1,1923</w:t>
            </w:r>
          </w:p>
        </w:tc>
        <w:tc>
          <w:tcPr>
            <w:tcW w:w="819" w:type="dxa"/>
            <w:shd w:val="clear" w:color="auto" w:fill="auto"/>
            <w:vAlign w:val="center"/>
          </w:tcPr>
          <w:p w14:paraId="633FEE7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0,3179</w:t>
            </w:r>
          </w:p>
        </w:tc>
        <w:tc>
          <w:tcPr>
            <w:tcW w:w="822" w:type="dxa"/>
            <w:shd w:val="clear" w:color="auto" w:fill="auto"/>
            <w:vAlign w:val="center"/>
          </w:tcPr>
          <w:p w14:paraId="26ABDD1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2A4C917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5676711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959F575" w14:textId="77777777" w:rsidTr="00286F7D">
        <w:trPr>
          <w:trHeight w:val="397"/>
        </w:trPr>
        <w:tc>
          <w:tcPr>
            <w:tcW w:w="2474" w:type="dxa"/>
            <w:gridSpan w:val="2"/>
            <w:shd w:val="clear" w:color="auto" w:fill="auto"/>
            <w:vAlign w:val="center"/>
          </w:tcPr>
          <w:p w14:paraId="6F4056C9" w14:textId="77777777" w:rsidR="009617F5" w:rsidRPr="009617F5" w:rsidRDefault="009617F5" w:rsidP="00286F7D">
            <w:pPr>
              <w:rPr>
                <w:rFonts w:ascii="Arial" w:hAnsi="Arial" w:cs="Arial"/>
                <w:b/>
                <w:sz w:val="18"/>
                <w:szCs w:val="20"/>
              </w:rPr>
            </w:pPr>
            <w:r w:rsidRPr="009617F5">
              <w:rPr>
                <w:rFonts w:ascii="Arial" w:hAnsi="Arial" w:cs="Arial"/>
                <w:b/>
                <w:sz w:val="18"/>
                <w:szCs w:val="20"/>
              </w:rPr>
              <w:t>k.ú. NEBOČADY</w:t>
            </w:r>
          </w:p>
          <w:p w14:paraId="124E5595" w14:textId="77777777" w:rsidR="009617F5" w:rsidRPr="009617F5" w:rsidRDefault="009617F5" w:rsidP="00286F7D">
            <w:pPr>
              <w:rPr>
                <w:rFonts w:ascii="Arial" w:hAnsi="Arial" w:cs="Arial"/>
                <w:b/>
                <w:sz w:val="18"/>
                <w:szCs w:val="20"/>
              </w:rPr>
            </w:pPr>
            <w:r w:rsidRPr="009617F5">
              <w:rPr>
                <w:rFonts w:ascii="Arial" w:hAnsi="Arial" w:cs="Arial"/>
                <w:b/>
                <w:sz w:val="18"/>
                <w:szCs w:val="20"/>
              </w:rPr>
              <w:t>ZÁBOR ZPF CELKEM</w:t>
            </w:r>
          </w:p>
          <w:p w14:paraId="6235F2A5" w14:textId="77777777" w:rsidR="009617F5" w:rsidRPr="009617F5" w:rsidRDefault="009617F5" w:rsidP="00286F7D">
            <w:pPr>
              <w:rPr>
                <w:rFonts w:ascii="Arial" w:hAnsi="Arial" w:cs="Arial"/>
                <w:b/>
                <w:sz w:val="18"/>
                <w:szCs w:val="20"/>
              </w:rPr>
            </w:pPr>
          </w:p>
        </w:tc>
        <w:tc>
          <w:tcPr>
            <w:tcW w:w="836" w:type="dxa"/>
            <w:shd w:val="clear" w:color="auto" w:fill="auto"/>
            <w:vAlign w:val="center"/>
          </w:tcPr>
          <w:p w14:paraId="4AAA82A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1,5102</w:t>
            </w:r>
          </w:p>
        </w:tc>
        <w:tc>
          <w:tcPr>
            <w:tcW w:w="828" w:type="dxa"/>
            <w:shd w:val="clear" w:color="auto" w:fill="auto"/>
            <w:vAlign w:val="center"/>
          </w:tcPr>
          <w:p w14:paraId="0A630AE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1,1448</w:t>
            </w:r>
          </w:p>
        </w:tc>
        <w:tc>
          <w:tcPr>
            <w:tcW w:w="999" w:type="dxa"/>
            <w:shd w:val="clear" w:color="auto" w:fill="auto"/>
            <w:vAlign w:val="center"/>
          </w:tcPr>
          <w:p w14:paraId="14A6D9C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5FFE4DA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9F725F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5978441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75D89AD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0,3654</w:t>
            </w:r>
          </w:p>
        </w:tc>
        <w:tc>
          <w:tcPr>
            <w:tcW w:w="817" w:type="dxa"/>
            <w:shd w:val="clear" w:color="auto" w:fill="auto"/>
            <w:vAlign w:val="center"/>
          </w:tcPr>
          <w:p w14:paraId="11B81ED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F82F82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1,1923</w:t>
            </w:r>
          </w:p>
        </w:tc>
        <w:tc>
          <w:tcPr>
            <w:tcW w:w="819" w:type="dxa"/>
            <w:shd w:val="clear" w:color="auto" w:fill="auto"/>
            <w:vAlign w:val="center"/>
          </w:tcPr>
          <w:p w14:paraId="3E764A1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0,3179</w:t>
            </w:r>
          </w:p>
        </w:tc>
        <w:tc>
          <w:tcPr>
            <w:tcW w:w="822" w:type="dxa"/>
            <w:shd w:val="clear" w:color="auto" w:fill="auto"/>
            <w:vAlign w:val="center"/>
          </w:tcPr>
          <w:p w14:paraId="5B05BD28" w14:textId="77777777" w:rsidR="009617F5" w:rsidRPr="009617F5" w:rsidRDefault="009617F5" w:rsidP="00286F7D">
            <w:pPr>
              <w:rPr>
                <w:rFonts w:ascii="Arial" w:hAnsi="Arial" w:cs="Arial"/>
                <w:b/>
                <w:sz w:val="14"/>
                <w:szCs w:val="16"/>
              </w:rPr>
            </w:pPr>
            <w:r w:rsidRPr="009617F5">
              <w:rPr>
                <w:rFonts w:ascii="Arial" w:hAnsi="Arial" w:cs="Arial"/>
                <w:b/>
                <w:sz w:val="14"/>
                <w:szCs w:val="16"/>
              </w:rPr>
              <w:t xml:space="preserve">    0</w:t>
            </w:r>
          </w:p>
        </w:tc>
        <w:tc>
          <w:tcPr>
            <w:tcW w:w="821" w:type="dxa"/>
            <w:shd w:val="clear" w:color="auto" w:fill="auto"/>
            <w:vAlign w:val="center"/>
          </w:tcPr>
          <w:p w14:paraId="06368F1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761BF38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bl>
    <w:p w14:paraId="7B2A4F8F"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lastRenderedPageBreak/>
        <w:t>Katastrální území:</w:t>
      </w:r>
      <w:r w:rsidRPr="009617F5">
        <w:rPr>
          <w:rFonts w:ascii="Arial" w:hAnsi="Arial" w:cs="Arial"/>
          <w:b/>
          <w:color w:val="FF0000"/>
          <w:sz w:val="22"/>
        </w:rPr>
        <w:tab/>
        <w:t>Podmokly</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p>
    <w:p w14:paraId="213B1AC9"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0A0" w:firstRow="1" w:lastRow="0" w:firstColumn="1" w:lastColumn="0" w:noHBand="0" w:noVBand="0"/>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5D1B2A97" w14:textId="77777777" w:rsidTr="00286F7D">
        <w:trPr>
          <w:tblHeader/>
        </w:trPr>
        <w:tc>
          <w:tcPr>
            <w:tcW w:w="833" w:type="dxa"/>
            <w:vMerge w:val="restart"/>
            <w:shd w:val="clear" w:color="auto" w:fill="auto"/>
          </w:tcPr>
          <w:p w14:paraId="737F51FB" w14:textId="77777777" w:rsidR="009617F5" w:rsidRPr="009617F5" w:rsidRDefault="009617F5" w:rsidP="00286F7D">
            <w:pPr>
              <w:rPr>
                <w:rFonts w:ascii="Arial" w:hAnsi="Arial" w:cs="Arial"/>
                <w:b/>
                <w:sz w:val="14"/>
                <w:szCs w:val="16"/>
              </w:rPr>
            </w:pPr>
          </w:p>
          <w:p w14:paraId="7678F687" w14:textId="77777777" w:rsidR="009617F5" w:rsidRPr="009617F5" w:rsidRDefault="009617F5" w:rsidP="00286F7D">
            <w:pPr>
              <w:rPr>
                <w:rFonts w:ascii="Arial" w:hAnsi="Arial" w:cs="Arial"/>
                <w:b/>
                <w:sz w:val="14"/>
                <w:szCs w:val="16"/>
              </w:rPr>
            </w:pPr>
          </w:p>
          <w:p w14:paraId="19968C10"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shd w:val="clear" w:color="auto" w:fill="auto"/>
          </w:tcPr>
          <w:p w14:paraId="3F87EE65" w14:textId="77777777" w:rsidR="009617F5" w:rsidRPr="009617F5" w:rsidRDefault="009617F5" w:rsidP="00286F7D">
            <w:pPr>
              <w:rPr>
                <w:rFonts w:ascii="Arial" w:hAnsi="Arial" w:cs="Arial"/>
                <w:b/>
                <w:sz w:val="14"/>
                <w:szCs w:val="16"/>
              </w:rPr>
            </w:pPr>
          </w:p>
          <w:p w14:paraId="5CD17574" w14:textId="77777777" w:rsidR="009617F5" w:rsidRPr="009617F5" w:rsidRDefault="009617F5" w:rsidP="00286F7D">
            <w:pPr>
              <w:rPr>
                <w:rFonts w:ascii="Arial" w:hAnsi="Arial" w:cs="Arial"/>
                <w:b/>
                <w:sz w:val="14"/>
                <w:szCs w:val="16"/>
              </w:rPr>
            </w:pPr>
          </w:p>
          <w:p w14:paraId="6A93B808"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shd w:val="clear" w:color="auto" w:fill="auto"/>
          </w:tcPr>
          <w:p w14:paraId="40080364" w14:textId="77777777" w:rsidR="009617F5" w:rsidRPr="009617F5" w:rsidRDefault="009617F5" w:rsidP="00286F7D">
            <w:pPr>
              <w:rPr>
                <w:rFonts w:ascii="Arial" w:hAnsi="Arial" w:cs="Arial"/>
                <w:b/>
                <w:sz w:val="14"/>
                <w:szCs w:val="16"/>
              </w:rPr>
            </w:pPr>
          </w:p>
          <w:p w14:paraId="0E76F02B"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shd w:val="clear" w:color="auto" w:fill="auto"/>
          </w:tcPr>
          <w:p w14:paraId="03E85720" w14:textId="77777777" w:rsidR="009617F5" w:rsidRPr="009617F5" w:rsidRDefault="009617F5" w:rsidP="00286F7D">
            <w:pPr>
              <w:jc w:val="center"/>
              <w:rPr>
                <w:rFonts w:ascii="Arial" w:hAnsi="Arial" w:cs="Arial"/>
                <w:b/>
                <w:sz w:val="14"/>
                <w:szCs w:val="16"/>
              </w:rPr>
            </w:pPr>
          </w:p>
          <w:p w14:paraId="03630E4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jednotlivých kultur</w:t>
            </w:r>
          </w:p>
          <w:p w14:paraId="0A26FD8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4098" w:type="dxa"/>
            <w:gridSpan w:val="5"/>
            <w:shd w:val="clear" w:color="auto" w:fill="auto"/>
          </w:tcPr>
          <w:p w14:paraId="14D9E291" w14:textId="77777777" w:rsidR="009617F5" w:rsidRPr="009617F5" w:rsidRDefault="009617F5" w:rsidP="00286F7D">
            <w:pPr>
              <w:rPr>
                <w:rFonts w:ascii="Arial" w:hAnsi="Arial" w:cs="Arial"/>
                <w:b/>
                <w:sz w:val="14"/>
                <w:szCs w:val="16"/>
              </w:rPr>
            </w:pPr>
          </w:p>
          <w:p w14:paraId="05D58E1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tříd ochrany</w:t>
            </w:r>
          </w:p>
          <w:p w14:paraId="6CB8279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1647" w:type="dxa"/>
            <w:vMerge w:val="restart"/>
            <w:shd w:val="clear" w:color="auto" w:fill="auto"/>
          </w:tcPr>
          <w:p w14:paraId="6FD4EBDB" w14:textId="77777777" w:rsidR="009617F5" w:rsidRPr="009617F5" w:rsidRDefault="009617F5" w:rsidP="00286F7D">
            <w:pPr>
              <w:rPr>
                <w:rFonts w:ascii="Arial" w:hAnsi="Arial" w:cs="Arial"/>
                <w:b/>
                <w:sz w:val="14"/>
                <w:szCs w:val="16"/>
              </w:rPr>
            </w:pPr>
          </w:p>
          <w:p w14:paraId="56691C61" w14:textId="77777777" w:rsidR="009617F5" w:rsidRPr="009617F5" w:rsidRDefault="009617F5" w:rsidP="00286F7D">
            <w:pPr>
              <w:jc w:val="center"/>
              <w:rPr>
                <w:rFonts w:ascii="Arial" w:hAnsi="Arial" w:cs="Arial"/>
                <w:b/>
                <w:sz w:val="14"/>
                <w:szCs w:val="16"/>
              </w:rPr>
            </w:pPr>
          </w:p>
          <w:p w14:paraId="19729DC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Investice do půdy (ha)</w:t>
            </w:r>
          </w:p>
        </w:tc>
      </w:tr>
      <w:tr w:rsidR="009617F5" w:rsidRPr="009617F5" w14:paraId="4177C8D5" w14:textId="77777777" w:rsidTr="00286F7D">
        <w:trPr>
          <w:tblHeader/>
        </w:trPr>
        <w:tc>
          <w:tcPr>
            <w:tcW w:w="833" w:type="dxa"/>
            <w:vMerge/>
            <w:shd w:val="clear" w:color="auto" w:fill="auto"/>
          </w:tcPr>
          <w:p w14:paraId="763DBA25" w14:textId="77777777" w:rsidR="009617F5" w:rsidRPr="009617F5" w:rsidRDefault="009617F5" w:rsidP="00286F7D">
            <w:pPr>
              <w:rPr>
                <w:rFonts w:ascii="Arial" w:hAnsi="Arial" w:cs="Arial"/>
                <w:b/>
                <w:sz w:val="14"/>
                <w:szCs w:val="16"/>
              </w:rPr>
            </w:pPr>
          </w:p>
        </w:tc>
        <w:tc>
          <w:tcPr>
            <w:tcW w:w="1641" w:type="dxa"/>
            <w:vMerge/>
            <w:shd w:val="clear" w:color="auto" w:fill="auto"/>
          </w:tcPr>
          <w:p w14:paraId="391B0EBC" w14:textId="77777777" w:rsidR="009617F5" w:rsidRPr="009617F5" w:rsidRDefault="009617F5" w:rsidP="00286F7D">
            <w:pPr>
              <w:rPr>
                <w:rFonts w:ascii="Arial" w:hAnsi="Arial" w:cs="Arial"/>
                <w:b/>
                <w:sz w:val="14"/>
                <w:szCs w:val="16"/>
              </w:rPr>
            </w:pPr>
          </w:p>
        </w:tc>
        <w:tc>
          <w:tcPr>
            <w:tcW w:w="836" w:type="dxa"/>
            <w:vMerge/>
            <w:shd w:val="clear" w:color="auto" w:fill="auto"/>
          </w:tcPr>
          <w:p w14:paraId="5E110E59" w14:textId="77777777" w:rsidR="009617F5" w:rsidRPr="009617F5" w:rsidRDefault="009617F5" w:rsidP="00286F7D">
            <w:pPr>
              <w:rPr>
                <w:rFonts w:ascii="Arial" w:hAnsi="Arial" w:cs="Arial"/>
                <w:b/>
                <w:sz w:val="14"/>
                <w:szCs w:val="16"/>
              </w:rPr>
            </w:pPr>
          </w:p>
        </w:tc>
        <w:tc>
          <w:tcPr>
            <w:tcW w:w="828" w:type="dxa"/>
            <w:shd w:val="clear" w:color="auto" w:fill="auto"/>
          </w:tcPr>
          <w:p w14:paraId="4F60542F"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3D8A5F79"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shd w:val="clear" w:color="auto" w:fill="auto"/>
          </w:tcPr>
          <w:p w14:paraId="007D7AFB"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shd w:val="clear" w:color="auto" w:fill="auto"/>
          </w:tcPr>
          <w:p w14:paraId="68E39060"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shd w:val="clear" w:color="auto" w:fill="auto"/>
          </w:tcPr>
          <w:p w14:paraId="7D269E9F"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shd w:val="clear" w:color="auto" w:fill="auto"/>
          </w:tcPr>
          <w:p w14:paraId="4DA026B5"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shd w:val="clear" w:color="auto" w:fill="auto"/>
          </w:tcPr>
          <w:p w14:paraId="13F9CBCB"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shd w:val="clear" w:color="auto" w:fill="auto"/>
          </w:tcPr>
          <w:p w14:paraId="710BDCA5"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shd w:val="clear" w:color="auto" w:fill="auto"/>
          </w:tcPr>
          <w:p w14:paraId="6F1CA518"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shd w:val="clear" w:color="auto" w:fill="auto"/>
          </w:tcPr>
          <w:p w14:paraId="38F66D00"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shd w:val="clear" w:color="auto" w:fill="auto"/>
          </w:tcPr>
          <w:p w14:paraId="60C06666"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1647" w:type="dxa"/>
            <w:vMerge/>
            <w:shd w:val="clear" w:color="auto" w:fill="auto"/>
          </w:tcPr>
          <w:p w14:paraId="5025493F" w14:textId="77777777" w:rsidR="009617F5" w:rsidRPr="009617F5" w:rsidRDefault="009617F5" w:rsidP="00286F7D">
            <w:pPr>
              <w:rPr>
                <w:rFonts w:ascii="Arial" w:hAnsi="Arial" w:cs="Arial"/>
                <w:b/>
                <w:sz w:val="14"/>
                <w:szCs w:val="16"/>
              </w:rPr>
            </w:pPr>
          </w:p>
        </w:tc>
      </w:tr>
      <w:tr w:rsidR="009617F5" w:rsidRPr="009617F5" w14:paraId="44FECDA7" w14:textId="77777777" w:rsidTr="00286F7D">
        <w:trPr>
          <w:trHeight w:val="397"/>
        </w:trPr>
        <w:tc>
          <w:tcPr>
            <w:tcW w:w="833" w:type="dxa"/>
            <w:shd w:val="clear" w:color="auto" w:fill="auto"/>
            <w:vAlign w:val="center"/>
          </w:tcPr>
          <w:p w14:paraId="2B607024"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8Z-11</w:t>
            </w:r>
          </w:p>
        </w:tc>
        <w:tc>
          <w:tcPr>
            <w:tcW w:w="1641" w:type="dxa"/>
            <w:shd w:val="clear" w:color="auto" w:fill="auto"/>
            <w:vAlign w:val="center"/>
          </w:tcPr>
          <w:p w14:paraId="2DBAE9F9"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76AEC79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0,1112</w:t>
            </w:r>
          </w:p>
        </w:tc>
        <w:tc>
          <w:tcPr>
            <w:tcW w:w="828" w:type="dxa"/>
            <w:shd w:val="clear" w:color="auto" w:fill="auto"/>
            <w:vAlign w:val="center"/>
          </w:tcPr>
          <w:p w14:paraId="2A2B559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5B7FD0E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517D431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D82E2A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0,1112</w:t>
            </w:r>
          </w:p>
        </w:tc>
        <w:tc>
          <w:tcPr>
            <w:tcW w:w="835" w:type="dxa"/>
            <w:shd w:val="clear" w:color="auto" w:fill="auto"/>
            <w:vAlign w:val="center"/>
          </w:tcPr>
          <w:p w14:paraId="313D133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F168E2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6F57527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4038E3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77314D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34F26B0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0,1112</w:t>
            </w:r>
          </w:p>
        </w:tc>
        <w:tc>
          <w:tcPr>
            <w:tcW w:w="821" w:type="dxa"/>
            <w:shd w:val="clear" w:color="auto" w:fill="auto"/>
            <w:vAlign w:val="center"/>
          </w:tcPr>
          <w:p w14:paraId="53016C0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7899F2A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7F24AE2C" w14:textId="77777777" w:rsidTr="00286F7D">
        <w:trPr>
          <w:trHeight w:val="397"/>
        </w:trPr>
        <w:tc>
          <w:tcPr>
            <w:tcW w:w="833" w:type="dxa"/>
            <w:shd w:val="clear" w:color="auto" w:fill="auto"/>
            <w:vAlign w:val="center"/>
          </w:tcPr>
          <w:p w14:paraId="7E24698A"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8Z-18</w:t>
            </w:r>
          </w:p>
        </w:tc>
        <w:tc>
          <w:tcPr>
            <w:tcW w:w="1641" w:type="dxa"/>
            <w:shd w:val="clear" w:color="auto" w:fill="auto"/>
            <w:vAlign w:val="center"/>
          </w:tcPr>
          <w:p w14:paraId="55F1C639"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374E528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0,1079</w:t>
            </w:r>
          </w:p>
        </w:tc>
        <w:tc>
          <w:tcPr>
            <w:tcW w:w="828" w:type="dxa"/>
            <w:shd w:val="clear" w:color="auto" w:fill="auto"/>
            <w:vAlign w:val="center"/>
          </w:tcPr>
          <w:p w14:paraId="52C1968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67B8B8C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3496385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1FC070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3CA5309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846D7E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0,1079</w:t>
            </w:r>
          </w:p>
        </w:tc>
        <w:tc>
          <w:tcPr>
            <w:tcW w:w="817" w:type="dxa"/>
            <w:shd w:val="clear" w:color="auto" w:fill="auto"/>
            <w:vAlign w:val="center"/>
          </w:tcPr>
          <w:p w14:paraId="40D63DE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61146C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FD4BF7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6FC2389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09018BB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0,1079</w:t>
            </w:r>
          </w:p>
        </w:tc>
        <w:tc>
          <w:tcPr>
            <w:tcW w:w="1647" w:type="dxa"/>
            <w:shd w:val="clear" w:color="auto" w:fill="auto"/>
            <w:vAlign w:val="center"/>
          </w:tcPr>
          <w:p w14:paraId="1B5AA2C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88AEFE2" w14:textId="77777777" w:rsidTr="00286F7D">
        <w:trPr>
          <w:trHeight w:val="397"/>
        </w:trPr>
        <w:tc>
          <w:tcPr>
            <w:tcW w:w="833" w:type="dxa"/>
            <w:shd w:val="clear" w:color="auto" w:fill="auto"/>
            <w:vAlign w:val="center"/>
          </w:tcPr>
          <w:p w14:paraId="3D3AB90F"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8Z-31</w:t>
            </w:r>
          </w:p>
        </w:tc>
        <w:tc>
          <w:tcPr>
            <w:tcW w:w="1641" w:type="dxa"/>
            <w:shd w:val="clear" w:color="auto" w:fill="auto"/>
            <w:vAlign w:val="center"/>
          </w:tcPr>
          <w:p w14:paraId="10DA3DA8"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1F7C1B4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772ED33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5A6B060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56D33B5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098820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75C0FEF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8021AF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53D0E41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FCC5F2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E6BA94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734A96A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0F839BC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46FB0F6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3F80244A" w14:textId="77777777" w:rsidTr="00286F7D">
        <w:trPr>
          <w:trHeight w:val="397"/>
        </w:trPr>
        <w:tc>
          <w:tcPr>
            <w:tcW w:w="833" w:type="dxa"/>
            <w:shd w:val="clear" w:color="auto" w:fill="auto"/>
            <w:vAlign w:val="center"/>
          </w:tcPr>
          <w:p w14:paraId="7521888A"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8Z-33a</w:t>
            </w:r>
          </w:p>
        </w:tc>
        <w:tc>
          <w:tcPr>
            <w:tcW w:w="1641" w:type="dxa"/>
            <w:shd w:val="clear" w:color="auto" w:fill="auto"/>
            <w:vAlign w:val="center"/>
          </w:tcPr>
          <w:p w14:paraId="2280155D"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26C054B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0,1473</w:t>
            </w:r>
          </w:p>
        </w:tc>
        <w:tc>
          <w:tcPr>
            <w:tcW w:w="828" w:type="dxa"/>
            <w:shd w:val="clear" w:color="auto" w:fill="auto"/>
            <w:vAlign w:val="center"/>
          </w:tcPr>
          <w:p w14:paraId="3B7FF39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36AF9C6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0A10D58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2DC139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0FE7DA7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CB444C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0,1473</w:t>
            </w:r>
          </w:p>
        </w:tc>
        <w:tc>
          <w:tcPr>
            <w:tcW w:w="817" w:type="dxa"/>
            <w:shd w:val="clear" w:color="auto" w:fill="auto"/>
            <w:vAlign w:val="center"/>
          </w:tcPr>
          <w:p w14:paraId="3ABF0EF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EAEB61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0,0881</w:t>
            </w:r>
          </w:p>
        </w:tc>
        <w:tc>
          <w:tcPr>
            <w:tcW w:w="819" w:type="dxa"/>
            <w:shd w:val="clear" w:color="auto" w:fill="auto"/>
            <w:vAlign w:val="center"/>
          </w:tcPr>
          <w:p w14:paraId="1F8C29F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0,0592</w:t>
            </w:r>
          </w:p>
        </w:tc>
        <w:tc>
          <w:tcPr>
            <w:tcW w:w="822" w:type="dxa"/>
            <w:shd w:val="clear" w:color="auto" w:fill="auto"/>
            <w:vAlign w:val="center"/>
          </w:tcPr>
          <w:p w14:paraId="5F3360A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51105BD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7B9FE0C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12A210F9" w14:textId="77777777" w:rsidTr="00286F7D">
        <w:trPr>
          <w:trHeight w:val="397"/>
        </w:trPr>
        <w:tc>
          <w:tcPr>
            <w:tcW w:w="833" w:type="dxa"/>
            <w:shd w:val="clear" w:color="auto" w:fill="auto"/>
            <w:vAlign w:val="center"/>
          </w:tcPr>
          <w:p w14:paraId="31FD02A0"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8Z-33b</w:t>
            </w:r>
          </w:p>
        </w:tc>
        <w:tc>
          <w:tcPr>
            <w:tcW w:w="1641" w:type="dxa"/>
            <w:shd w:val="clear" w:color="auto" w:fill="auto"/>
            <w:vAlign w:val="center"/>
          </w:tcPr>
          <w:p w14:paraId="525A8280"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754D423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0,0875</w:t>
            </w:r>
          </w:p>
        </w:tc>
        <w:tc>
          <w:tcPr>
            <w:tcW w:w="828" w:type="dxa"/>
            <w:shd w:val="clear" w:color="auto" w:fill="auto"/>
            <w:vAlign w:val="center"/>
          </w:tcPr>
          <w:p w14:paraId="2FF1158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4ED40A6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379FDEE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B36C9F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4FEFBDB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B4EB26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0,0875</w:t>
            </w:r>
          </w:p>
        </w:tc>
        <w:tc>
          <w:tcPr>
            <w:tcW w:w="817" w:type="dxa"/>
            <w:shd w:val="clear" w:color="auto" w:fill="auto"/>
            <w:vAlign w:val="center"/>
          </w:tcPr>
          <w:p w14:paraId="55201DB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C20198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0,0875</w:t>
            </w:r>
          </w:p>
        </w:tc>
        <w:tc>
          <w:tcPr>
            <w:tcW w:w="819" w:type="dxa"/>
            <w:shd w:val="clear" w:color="auto" w:fill="auto"/>
            <w:vAlign w:val="center"/>
          </w:tcPr>
          <w:p w14:paraId="0680C83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158D638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6C2F4C4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6D8E997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53E3021F" w14:textId="77777777" w:rsidTr="00286F7D">
        <w:trPr>
          <w:trHeight w:val="397"/>
        </w:trPr>
        <w:tc>
          <w:tcPr>
            <w:tcW w:w="833" w:type="dxa"/>
            <w:shd w:val="clear" w:color="auto" w:fill="auto"/>
            <w:vAlign w:val="center"/>
          </w:tcPr>
          <w:p w14:paraId="6E71D07C"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8Z-33c</w:t>
            </w:r>
          </w:p>
        </w:tc>
        <w:tc>
          <w:tcPr>
            <w:tcW w:w="1641" w:type="dxa"/>
            <w:shd w:val="clear" w:color="auto" w:fill="auto"/>
            <w:vAlign w:val="center"/>
          </w:tcPr>
          <w:p w14:paraId="1F580F73"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10555F8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0,1556</w:t>
            </w:r>
          </w:p>
        </w:tc>
        <w:tc>
          <w:tcPr>
            <w:tcW w:w="828" w:type="dxa"/>
            <w:shd w:val="clear" w:color="auto" w:fill="auto"/>
            <w:vAlign w:val="center"/>
          </w:tcPr>
          <w:p w14:paraId="363FADF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4400CAD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6D72A79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293637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4B5C3EA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CDB4AE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0,1556</w:t>
            </w:r>
          </w:p>
        </w:tc>
        <w:tc>
          <w:tcPr>
            <w:tcW w:w="817" w:type="dxa"/>
            <w:shd w:val="clear" w:color="auto" w:fill="auto"/>
            <w:vAlign w:val="center"/>
          </w:tcPr>
          <w:p w14:paraId="73D5646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C7966C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0,0608</w:t>
            </w:r>
          </w:p>
        </w:tc>
        <w:tc>
          <w:tcPr>
            <w:tcW w:w="819" w:type="dxa"/>
            <w:shd w:val="clear" w:color="auto" w:fill="auto"/>
            <w:vAlign w:val="center"/>
          </w:tcPr>
          <w:p w14:paraId="3868FCA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0,0948</w:t>
            </w:r>
          </w:p>
        </w:tc>
        <w:tc>
          <w:tcPr>
            <w:tcW w:w="822" w:type="dxa"/>
            <w:shd w:val="clear" w:color="auto" w:fill="auto"/>
            <w:vAlign w:val="center"/>
          </w:tcPr>
          <w:p w14:paraId="2EB2092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7F171A7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345FA25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53444BB7" w14:textId="77777777" w:rsidTr="00286F7D">
        <w:trPr>
          <w:trHeight w:val="397"/>
        </w:trPr>
        <w:tc>
          <w:tcPr>
            <w:tcW w:w="2474" w:type="dxa"/>
            <w:gridSpan w:val="2"/>
            <w:shd w:val="clear" w:color="auto" w:fill="auto"/>
            <w:vAlign w:val="center"/>
          </w:tcPr>
          <w:p w14:paraId="46D55367"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bydlení celkem:</w:t>
            </w:r>
          </w:p>
        </w:tc>
        <w:tc>
          <w:tcPr>
            <w:tcW w:w="836" w:type="dxa"/>
            <w:shd w:val="clear" w:color="auto" w:fill="auto"/>
            <w:vAlign w:val="center"/>
          </w:tcPr>
          <w:p w14:paraId="00ED5EB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6095</w:t>
            </w:r>
            <w:r w:rsidRPr="009617F5">
              <w:rPr>
                <w:rFonts w:ascii="Arial" w:hAnsi="Arial" w:cs="Arial"/>
                <w:b/>
                <w:sz w:val="14"/>
                <w:szCs w:val="16"/>
              </w:rPr>
              <w:fldChar w:fldCharType="end"/>
            </w:r>
          </w:p>
        </w:tc>
        <w:tc>
          <w:tcPr>
            <w:tcW w:w="828" w:type="dxa"/>
            <w:shd w:val="clear" w:color="auto" w:fill="auto"/>
            <w:vAlign w:val="center"/>
          </w:tcPr>
          <w:p w14:paraId="2D57C3E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1B03A04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7528B8F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64BE26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11123</w:t>
            </w:r>
            <w:r w:rsidRPr="009617F5">
              <w:rPr>
                <w:rFonts w:ascii="Arial" w:hAnsi="Arial" w:cs="Arial"/>
                <w:b/>
                <w:sz w:val="14"/>
                <w:szCs w:val="16"/>
              </w:rPr>
              <w:fldChar w:fldCharType="end"/>
            </w:r>
          </w:p>
        </w:tc>
        <w:tc>
          <w:tcPr>
            <w:tcW w:w="835" w:type="dxa"/>
            <w:shd w:val="clear" w:color="auto" w:fill="auto"/>
            <w:vAlign w:val="center"/>
          </w:tcPr>
          <w:p w14:paraId="1838B05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1D1617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4983</w:t>
            </w:r>
            <w:r w:rsidRPr="009617F5">
              <w:rPr>
                <w:rFonts w:ascii="Arial" w:hAnsi="Arial" w:cs="Arial"/>
                <w:b/>
                <w:sz w:val="14"/>
                <w:szCs w:val="16"/>
              </w:rPr>
              <w:fldChar w:fldCharType="end"/>
            </w:r>
          </w:p>
        </w:tc>
        <w:tc>
          <w:tcPr>
            <w:tcW w:w="817" w:type="dxa"/>
            <w:shd w:val="clear" w:color="auto" w:fill="auto"/>
            <w:vAlign w:val="center"/>
          </w:tcPr>
          <w:p w14:paraId="689572C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486197A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2364</w:t>
            </w:r>
            <w:r w:rsidRPr="009617F5">
              <w:rPr>
                <w:rFonts w:ascii="Arial" w:hAnsi="Arial" w:cs="Arial"/>
                <w:b/>
                <w:sz w:val="14"/>
                <w:szCs w:val="16"/>
              </w:rPr>
              <w:fldChar w:fldCharType="end"/>
            </w:r>
          </w:p>
        </w:tc>
        <w:tc>
          <w:tcPr>
            <w:tcW w:w="819" w:type="dxa"/>
            <w:shd w:val="clear" w:color="auto" w:fill="auto"/>
            <w:vAlign w:val="center"/>
          </w:tcPr>
          <w:p w14:paraId="6304E86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1540</w:t>
            </w:r>
            <w:r w:rsidRPr="009617F5">
              <w:rPr>
                <w:rFonts w:ascii="Arial" w:hAnsi="Arial" w:cs="Arial"/>
                <w:b/>
                <w:sz w:val="14"/>
                <w:szCs w:val="16"/>
              </w:rPr>
              <w:fldChar w:fldCharType="end"/>
            </w:r>
          </w:p>
        </w:tc>
        <w:tc>
          <w:tcPr>
            <w:tcW w:w="822" w:type="dxa"/>
            <w:shd w:val="clear" w:color="auto" w:fill="auto"/>
            <w:vAlign w:val="center"/>
          </w:tcPr>
          <w:p w14:paraId="4E55348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1043</w:t>
            </w:r>
            <w:r w:rsidRPr="009617F5">
              <w:rPr>
                <w:rFonts w:ascii="Arial" w:hAnsi="Arial" w:cs="Arial"/>
                <w:b/>
                <w:sz w:val="14"/>
                <w:szCs w:val="16"/>
              </w:rPr>
              <w:fldChar w:fldCharType="end"/>
            </w:r>
          </w:p>
        </w:tc>
        <w:tc>
          <w:tcPr>
            <w:tcW w:w="821" w:type="dxa"/>
            <w:shd w:val="clear" w:color="auto" w:fill="auto"/>
            <w:vAlign w:val="center"/>
          </w:tcPr>
          <w:p w14:paraId="35CCE8D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1079</w:t>
            </w:r>
            <w:r w:rsidRPr="009617F5">
              <w:rPr>
                <w:rFonts w:ascii="Arial" w:hAnsi="Arial" w:cs="Arial"/>
                <w:b/>
                <w:sz w:val="14"/>
                <w:szCs w:val="16"/>
              </w:rPr>
              <w:fldChar w:fldCharType="end"/>
            </w:r>
          </w:p>
        </w:tc>
        <w:tc>
          <w:tcPr>
            <w:tcW w:w="1647" w:type="dxa"/>
            <w:shd w:val="clear" w:color="auto" w:fill="auto"/>
            <w:vAlign w:val="center"/>
          </w:tcPr>
          <w:p w14:paraId="110DA37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1E33582" w14:textId="77777777" w:rsidTr="00286F7D">
        <w:trPr>
          <w:trHeight w:val="397"/>
        </w:trPr>
        <w:tc>
          <w:tcPr>
            <w:tcW w:w="833" w:type="dxa"/>
            <w:shd w:val="clear" w:color="auto" w:fill="auto"/>
            <w:vAlign w:val="center"/>
          </w:tcPr>
          <w:p w14:paraId="7E199C9E"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8Z-16</w:t>
            </w:r>
          </w:p>
        </w:tc>
        <w:tc>
          <w:tcPr>
            <w:tcW w:w="1641" w:type="dxa"/>
            <w:shd w:val="clear" w:color="auto" w:fill="auto"/>
            <w:vAlign w:val="center"/>
          </w:tcPr>
          <w:p w14:paraId="379A643E"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občanského vybavení</w:t>
            </w:r>
          </w:p>
        </w:tc>
        <w:tc>
          <w:tcPr>
            <w:tcW w:w="836" w:type="dxa"/>
            <w:shd w:val="clear" w:color="auto" w:fill="auto"/>
            <w:vAlign w:val="center"/>
          </w:tcPr>
          <w:p w14:paraId="3904685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7923352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56BA324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4028321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116D48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43E42B0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353087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437909D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57C191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4DB248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7614359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0058BBB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67256D6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B133469" w14:textId="77777777" w:rsidTr="00286F7D">
        <w:trPr>
          <w:trHeight w:val="397"/>
        </w:trPr>
        <w:tc>
          <w:tcPr>
            <w:tcW w:w="2474" w:type="dxa"/>
            <w:gridSpan w:val="2"/>
            <w:shd w:val="clear" w:color="auto" w:fill="auto"/>
            <w:vAlign w:val="center"/>
          </w:tcPr>
          <w:p w14:paraId="24886E5B"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občanského vybavení celkem:</w:t>
            </w:r>
          </w:p>
        </w:tc>
        <w:tc>
          <w:tcPr>
            <w:tcW w:w="836" w:type="dxa"/>
            <w:shd w:val="clear" w:color="auto" w:fill="auto"/>
            <w:vAlign w:val="center"/>
          </w:tcPr>
          <w:p w14:paraId="20FE606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59C4B32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6A1A667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11D9C80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ADADA5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68F6AE0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A7FBAA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71279C2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79DC8E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B3105D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42B993E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646B980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0EB4043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2C1D0CA1" w14:textId="77777777" w:rsidTr="00286F7D">
        <w:trPr>
          <w:trHeight w:val="397"/>
        </w:trPr>
        <w:tc>
          <w:tcPr>
            <w:tcW w:w="833" w:type="dxa"/>
            <w:shd w:val="clear" w:color="auto" w:fill="auto"/>
            <w:vAlign w:val="center"/>
          </w:tcPr>
          <w:p w14:paraId="1ACE65FB"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8Z-32</w:t>
            </w:r>
          </w:p>
        </w:tc>
        <w:tc>
          <w:tcPr>
            <w:tcW w:w="1641" w:type="dxa"/>
            <w:shd w:val="clear" w:color="auto" w:fill="auto"/>
            <w:vAlign w:val="center"/>
          </w:tcPr>
          <w:p w14:paraId="7B2B0CBF"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výroby  a skladování</w:t>
            </w:r>
          </w:p>
        </w:tc>
        <w:tc>
          <w:tcPr>
            <w:tcW w:w="836" w:type="dxa"/>
            <w:shd w:val="clear" w:color="auto" w:fill="auto"/>
            <w:vAlign w:val="center"/>
          </w:tcPr>
          <w:p w14:paraId="3D94EEE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159ED78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09BF69A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0F44FF1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4F9E90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626D475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556F5B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441CC21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E4F0C6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99BA4A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4308A7A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3E15B89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6256844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06493C8D" w14:textId="77777777" w:rsidTr="00286F7D">
        <w:trPr>
          <w:trHeight w:val="397"/>
        </w:trPr>
        <w:tc>
          <w:tcPr>
            <w:tcW w:w="2474" w:type="dxa"/>
            <w:gridSpan w:val="2"/>
            <w:shd w:val="clear" w:color="auto" w:fill="auto"/>
            <w:vAlign w:val="center"/>
          </w:tcPr>
          <w:p w14:paraId="717A53DA"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výroby a skladování celkem:</w:t>
            </w:r>
          </w:p>
        </w:tc>
        <w:tc>
          <w:tcPr>
            <w:tcW w:w="836" w:type="dxa"/>
            <w:shd w:val="clear" w:color="auto" w:fill="auto"/>
            <w:vAlign w:val="center"/>
          </w:tcPr>
          <w:p w14:paraId="7CEFCA7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1636B28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4B6B147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65FE1BD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07FAAF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1CCE18E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99EFE1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538752F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9876D1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B7088C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173D404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23D867F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40187B9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7615D315" w14:textId="77777777" w:rsidTr="00286F7D">
        <w:trPr>
          <w:trHeight w:val="397"/>
        </w:trPr>
        <w:tc>
          <w:tcPr>
            <w:tcW w:w="2474" w:type="dxa"/>
            <w:gridSpan w:val="2"/>
            <w:shd w:val="clear" w:color="auto" w:fill="auto"/>
            <w:vAlign w:val="center"/>
          </w:tcPr>
          <w:p w14:paraId="42A49CA7" w14:textId="77777777" w:rsidR="009617F5" w:rsidRPr="009617F5" w:rsidRDefault="009617F5" w:rsidP="00286F7D">
            <w:pPr>
              <w:rPr>
                <w:rFonts w:ascii="Arial" w:hAnsi="Arial" w:cs="Arial"/>
                <w:b/>
                <w:sz w:val="18"/>
                <w:szCs w:val="20"/>
              </w:rPr>
            </w:pPr>
            <w:r w:rsidRPr="009617F5">
              <w:rPr>
                <w:rFonts w:ascii="Arial" w:hAnsi="Arial" w:cs="Arial"/>
                <w:b/>
                <w:sz w:val="18"/>
                <w:szCs w:val="20"/>
              </w:rPr>
              <w:t>k.ú. PODMOKLY</w:t>
            </w:r>
          </w:p>
          <w:p w14:paraId="401A8BAF" w14:textId="77777777" w:rsidR="009617F5" w:rsidRPr="009617F5" w:rsidRDefault="009617F5" w:rsidP="00286F7D">
            <w:pPr>
              <w:rPr>
                <w:rFonts w:ascii="Arial" w:hAnsi="Arial" w:cs="Arial"/>
                <w:b/>
                <w:sz w:val="18"/>
                <w:szCs w:val="20"/>
              </w:rPr>
            </w:pPr>
            <w:r w:rsidRPr="009617F5">
              <w:rPr>
                <w:rFonts w:ascii="Arial" w:hAnsi="Arial" w:cs="Arial"/>
                <w:b/>
                <w:sz w:val="18"/>
                <w:szCs w:val="20"/>
              </w:rPr>
              <w:t>ZÁBOR ZPF CELKEM</w:t>
            </w:r>
          </w:p>
          <w:p w14:paraId="556D8A52" w14:textId="77777777" w:rsidR="009617F5" w:rsidRPr="009617F5" w:rsidRDefault="009617F5" w:rsidP="00286F7D">
            <w:pPr>
              <w:rPr>
                <w:rFonts w:ascii="Arial" w:hAnsi="Arial" w:cs="Arial"/>
                <w:b/>
                <w:sz w:val="18"/>
                <w:szCs w:val="20"/>
              </w:rPr>
            </w:pPr>
          </w:p>
        </w:tc>
        <w:tc>
          <w:tcPr>
            <w:tcW w:w="836" w:type="dxa"/>
            <w:shd w:val="clear" w:color="auto" w:fill="auto"/>
            <w:vAlign w:val="center"/>
          </w:tcPr>
          <w:p w14:paraId="66604C2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6095</w:t>
            </w:r>
            <w:r w:rsidRPr="009617F5">
              <w:rPr>
                <w:rFonts w:ascii="Arial" w:hAnsi="Arial" w:cs="Arial"/>
                <w:b/>
                <w:sz w:val="14"/>
                <w:szCs w:val="16"/>
              </w:rPr>
              <w:fldChar w:fldCharType="end"/>
            </w:r>
          </w:p>
        </w:tc>
        <w:tc>
          <w:tcPr>
            <w:tcW w:w="828" w:type="dxa"/>
            <w:shd w:val="clear" w:color="auto" w:fill="auto"/>
            <w:vAlign w:val="center"/>
          </w:tcPr>
          <w:p w14:paraId="175617E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5CE011C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1B16A16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E3A1F3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1112</w:t>
            </w:r>
            <w:r w:rsidRPr="009617F5">
              <w:rPr>
                <w:rFonts w:ascii="Arial" w:hAnsi="Arial" w:cs="Arial"/>
                <w:b/>
                <w:sz w:val="14"/>
                <w:szCs w:val="16"/>
              </w:rPr>
              <w:fldChar w:fldCharType="end"/>
            </w:r>
          </w:p>
        </w:tc>
        <w:tc>
          <w:tcPr>
            <w:tcW w:w="835" w:type="dxa"/>
            <w:shd w:val="clear" w:color="auto" w:fill="auto"/>
            <w:vAlign w:val="center"/>
          </w:tcPr>
          <w:p w14:paraId="26CD63E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07EF26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4983</w:t>
            </w:r>
            <w:r w:rsidRPr="009617F5">
              <w:rPr>
                <w:rFonts w:ascii="Arial" w:hAnsi="Arial" w:cs="Arial"/>
                <w:b/>
                <w:sz w:val="14"/>
                <w:szCs w:val="16"/>
              </w:rPr>
              <w:fldChar w:fldCharType="end"/>
            </w:r>
          </w:p>
        </w:tc>
        <w:tc>
          <w:tcPr>
            <w:tcW w:w="817" w:type="dxa"/>
            <w:shd w:val="clear" w:color="auto" w:fill="auto"/>
            <w:vAlign w:val="center"/>
          </w:tcPr>
          <w:p w14:paraId="112656E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6E17F1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2364</w:t>
            </w:r>
            <w:r w:rsidRPr="009617F5">
              <w:rPr>
                <w:rFonts w:ascii="Arial" w:hAnsi="Arial" w:cs="Arial"/>
                <w:b/>
                <w:sz w:val="14"/>
                <w:szCs w:val="16"/>
              </w:rPr>
              <w:fldChar w:fldCharType="end"/>
            </w:r>
          </w:p>
        </w:tc>
        <w:tc>
          <w:tcPr>
            <w:tcW w:w="819" w:type="dxa"/>
            <w:shd w:val="clear" w:color="auto" w:fill="auto"/>
            <w:vAlign w:val="center"/>
          </w:tcPr>
          <w:p w14:paraId="13D569A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1540</w:t>
            </w:r>
            <w:r w:rsidRPr="009617F5">
              <w:rPr>
                <w:rFonts w:ascii="Arial" w:hAnsi="Arial" w:cs="Arial"/>
                <w:b/>
                <w:sz w:val="14"/>
                <w:szCs w:val="16"/>
              </w:rPr>
              <w:fldChar w:fldCharType="end"/>
            </w:r>
          </w:p>
        </w:tc>
        <w:tc>
          <w:tcPr>
            <w:tcW w:w="822" w:type="dxa"/>
            <w:shd w:val="clear" w:color="auto" w:fill="auto"/>
            <w:vAlign w:val="center"/>
          </w:tcPr>
          <w:p w14:paraId="7D42EC6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1112</w:t>
            </w:r>
            <w:r w:rsidRPr="009617F5">
              <w:rPr>
                <w:rFonts w:ascii="Arial" w:hAnsi="Arial" w:cs="Arial"/>
                <w:b/>
                <w:sz w:val="14"/>
                <w:szCs w:val="16"/>
              </w:rPr>
              <w:fldChar w:fldCharType="end"/>
            </w:r>
          </w:p>
        </w:tc>
        <w:tc>
          <w:tcPr>
            <w:tcW w:w="821" w:type="dxa"/>
            <w:shd w:val="clear" w:color="auto" w:fill="auto"/>
            <w:vAlign w:val="center"/>
          </w:tcPr>
          <w:p w14:paraId="0B74293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1079</w:t>
            </w:r>
            <w:r w:rsidRPr="009617F5">
              <w:rPr>
                <w:rFonts w:ascii="Arial" w:hAnsi="Arial" w:cs="Arial"/>
                <w:b/>
                <w:sz w:val="14"/>
                <w:szCs w:val="16"/>
              </w:rPr>
              <w:fldChar w:fldCharType="end"/>
            </w:r>
          </w:p>
        </w:tc>
        <w:tc>
          <w:tcPr>
            <w:tcW w:w="1647" w:type="dxa"/>
            <w:shd w:val="clear" w:color="auto" w:fill="auto"/>
            <w:vAlign w:val="center"/>
          </w:tcPr>
          <w:p w14:paraId="025E48A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bl>
    <w:p w14:paraId="3E4FB11C" w14:textId="77777777" w:rsidR="009617F5" w:rsidRPr="009617F5" w:rsidRDefault="009617F5" w:rsidP="009617F5">
      <w:pPr>
        <w:rPr>
          <w:rFonts w:ascii="Arial" w:hAnsi="Arial" w:cs="Arial"/>
          <w:b/>
          <w:color w:val="FF0000"/>
          <w:szCs w:val="28"/>
        </w:rPr>
      </w:pPr>
    </w:p>
    <w:p w14:paraId="124A5FE8" w14:textId="77777777" w:rsidR="009617F5" w:rsidRPr="009617F5" w:rsidRDefault="009617F5" w:rsidP="009617F5">
      <w:pPr>
        <w:rPr>
          <w:rFonts w:ascii="Arial" w:hAnsi="Arial" w:cs="Arial"/>
          <w:b/>
          <w:color w:val="FF0000"/>
          <w:szCs w:val="28"/>
        </w:rPr>
      </w:pPr>
    </w:p>
    <w:p w14:paraId="4A4E0DDD" w14:textId="77777777" w:rsidR="009617F5" w:rsidRPr="009617F5" w:rsidRDefault="009617F5" w:rsidP="009617F5">
      <w:pPr>
        <w:rPr>
          <w:rFonts w:ascii="Arial" w:hAnsi="Arial" w:cs="Arial"/>
          <w:b/>
          <w:color w:val="FF0000"/>
          <w:szCs w:val="28"/>
        </w:rPr>
      </w:pPr>
    </w:p>
    <w:p w14:paraId="2F76B52C"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br w:type="page"/>
      </w:r>
      <w:r w:rsidRPr="009617F5">
        <w:rPr>
          <w:rFonts w:ascii="Arial" w:hAnsi="Arial" w:cs="Arial"/>
          <w:b/>
          <w:color w:val="FF0000"/>
          <w:sz w:val="22"/>
        </w:rPr>
        <w:lastRenderedPageBreak/>
        <w:t>Katastrální území:</w:t>
      </w:r>
      <w:r w:rsidRPr="009617F5">
        <w:rPr>
          <w:rFonts w:ascii="Arial" w:hAnsi="Arial" w:cs="Arial"/>
          <w:b/>
          <w:color w:val="FF0000"/>
          <w:sz w:val="22"/>
        </w:rPr>
        <w:tab/>
        <w:t>Prostřední Žleb</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0A0" w:firstRow="1" w:lastRow="0" w:firstColumn="1" w:lastColumn="0" w:noHBand="0" w:noVBand="0"/>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099750CC" w14:textId="77777777" w:rsidTr="00286F7D">
        <w:trPr>
          <w:tblHeader/>
        </w:trPr>
        <w:tc>
          <w:tcPr>
            <w:tcW w:w="833" w:type="dxa"/>
            <w:vMerge w:val="restart"/>
            <w:shd w:val="clear" w:color="auto" w:fill="auto"/>
          </w:tcPr>
          <w:p w14:paraId="7811234F" w14:textId="77777777" w:rsidR="009617F5" w:rsidRPr="009617F5" w:rsidRDefault="009617F5" w:rsidP="00286F7D">
            <w:pPr>
              <w:rPr>
                <w:rFonts w:ascii="Arial" w:hAnsi="Arial" w:cs="Arial"/>
                <w:b/>
                <w:sz w:val="14"/>
                <w:szCs w:val="16"/>
              </w:rPr>
            </w:pPr>
          </w:p>
          <w:p w14:paraId="44849518"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shd w:val="clear" w:color="auto" w:fill="auto"/>
          </w:tcPr>
          <w:p w14:paraId="2D589C40" w14:textId="77777777" w:rsidR="009617F5" w:rsidRPr="009617F5" w:rsidRDefault="009617F5" w:rsidP="00286F7D">
            <w:pPr>
              <w:rPr>
                <w:rFonts w:ascii="Arial" w:hAnsi="Arial" w:cs="Arial"/>
                <w:b/>
                <w:sz w:val="14"/>
                <w:szCs w:val="16"/>
              </w:rPr>
            </w:pPr>
          </w:p>
          <w:p w14:paraId="3B6F179F"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shd w:val="clear" w:color="auto" w:fill="auto"/>
          </w:tcPr>
          <w:p w14:paraId="2FE9F678"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shd w:val="clear" w:color="auto" w:fill="auto"/>
          </w:tcPr>
          <w:p w14:paraId="3DA12CE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jednotlivých kultur</w:t>
            </w:r>
          </w:p>
          <w:p w14:paraId="6B44E63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4098" w:type="dxa"/>
            <w:gridSpan w:val="5"/>
            <w:shd w:val="clear" w:color="auto" w:fill="auto"/>
          </w:tcPr>
          <w:p w14:paraId="4D41E58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Zábor ZPF podle tříd ochrany</w:t>
            </w:r>
          </w:p>
          <w:p w14:paraId="740FB34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(ha)</w:t>
            </w:r>
          </w:p>
        </w:tc>
        <w:tc>
          <w:tcPr>
            <w:tcW w:w="1647" w:type="dxa"/>
            <w:vMerge w:val="restart"/>
            <w:shd w:val="clear" w:color="auto" w:fill="auto"/>
          </w:tcPr>
          <w:p w14:paraId="195D83F6" w14:textId="77777777" w:rsidR="009617F5" w:rsidRPr="009617F5" w:rsidRDefault="009617F5" w:rsidP="00286F7D">
            <w:pPr>
              <w:jc w:val="center"/>
              <w:rPr>
                <w:rFonts w:ascii="Arial" w:hAnsi="Arial" w:cs="Arial"/>
                <w:b/>
                <w:sz w:val="14"/>
                <w:szCs w:val="16"/>
              </w:rPr>
            </w:pPr>
          </w:p>
          <w:p w14:paraId="339C2DD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Investice do půdy (ha)</w:t>
            </w:r>
          </w:p>
        </w:tc>
      </w:tr>
      <w:tr w:rsidR="009617F5" w:rsidRPr="009617F5" w14:paraId="09CE625A" w14:textId="77777777" w:rsidTr="00286F7D">
        <w:trPr>
          <w:tblHeader/>
        </w:trPr>
        <w:tc>
          <w:tcPr>
            <w:tcW w:w="833" w:type="dxa"/>
            <w:vMerge/>
            <w:shd w:val="clear" w:color="auto" w:fill="auto"/>
          </w:tcPr>
          <w:p w14:paraId="0D0364B9" w14:textId="77777777" w:rsidR="009617F5" w:rsidRPr="009617F5" w:rsidRDefault="009617F5" w:rsidP="00286F7D">
            <w:pPr>
              <w:rPr>
                <w:rFonts w:ascii="Arial" w:hAnsi="Arial" w:cs="Arial"/>
                <w:b/>
                <w:sz w:val="14"/>
                <w:szCs w:val="16"/>
              </w:rPr>
            </w:pPr>
          </w:p>
        </w:tc>
        <w:tc>
          <w:tcPr>
            <w:tcW w:w="1641" w:type="dxa"/>
            <w:vMerge/>
            <w:shd w:val="clear" w:color="auto" w:fill="auto"/>
          </w:tcPr>
          <w:p w14:paraId="563BD30A" w14:textId="77777777" w:rsidR="009617F5" w:rsidRPr="009617F5" w:rsidRDefault="009617F5" w:rsidP="00286F7D">
            <w:pPr>
              <w:rPr>
                <w:rFonts w:ascii="Arial" w:hAnsi="Arial" w:cs="Arial"/>
                <w:b/>
                <w:sz w:val="14"/>
                <w:szCs w:val="16"/>
              </w:rPr>
            </w:pPr>
          </w:p>
        </w:tc>
        <w:tc>
          <w:tcPr>
            <w:tcW w:w="836" w:type="dxa"/>
            <w:vMerge/>
            <w:shd w:val="clear" w:color="auto" w:fill="auto"/>
          </w:tcPr>
          <w:p w14:paraId="501C0B90" w14:textId="77777777" w:rsidR="009617F5" w:rsidRPr="009617F5" w:rsidRDefault="009617F5" w:rsidP="00286F7D">
            <w:pPr>
              <w:rPr>
                <w:rFonts w:ascii="Arial" w:hAnsi="Arial" w:cs="Arial"/>
                <w:b/>
                <w:sz w:val="14"/>
                <w:szCs w:val="16"/>
              </w:rPr>
            </w:pPr>
          </w:p>
        </w:tc>
        <w:tc>
          <w:tcPr>
            <w:tcW w:w="828" w:type="dxa"/>
            <w:shd w:val="clear" w:color="auto" w:fill="auto"/>
          </w:tcPr>
          <w:p w14:paraId="5EF4607D"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602678B2"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shd w:val="clear" w:color="auto" w:fill="auto"/>
          </w:tcPr>
          <w:p w14:paraId="3EF123F9"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shd w:val="clear" w:color="auto" w:fill="auto"/>
          </w:tcPr>
          <w:p w14:paraId="43FDE318"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shd w:val="clear" w:color="auto" w:fill="auto"/>
          </w:tcPr>
          <w:p w14:paraId="7DFDEF2D"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shd w:val="clear" w:color="auto" w:fill="auto"/>
          </w:tcPr>
          <w:p w14:paraId="11CD7AED"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shd w:val="clear" w:color="auto" w:fill="auto"/>
          </w:tcPr>
          <w:p w14:paraId="12F18707"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shd w:val="clear" w:color="auto" w:fill="auto"/>
          </w:tcPr>
          <w:p w14:paraId="56D5E278"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shd w:val="clear" w:color="auto" w:fill="auto"/>
          </w:tcPr>
          <w:p w14:paraId="665E0802"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shd w:val="clear" w:color="auto" w:fill="auto"/>
          </w:tcPr>
          <w:p w14:paraId="40661C94"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shd w:val="clear" w:color="auto" w:fill="auto"/>
          </w:tcPr>
          <w:p w14:paraId="28632A2A"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1647" w:type="dxa"/>
            <w:vMerge/>
            <w:shd w:val="clear" w:color="auto" w:fill="auto"/>
          </w:tcPr>
          <w:p w14:paraId="7F556346" w14:textId="77777777" w:rsidR="009617F5" w:rsidRPr="009617F5" w:rsidRDefault="009617F5" w:rsidP="00286F7D">
            <w:pPr>
              <w:rPr>
                <w:rFonts w:ascii="Arial" w:hAnsi="Arial" w:cs="Arial"/>
                <w:b/>
                <w:sz w:val="14"/>
                <w:szCs w:val="16"/>
              </w:rPr>
            </w:pPr>
          </w:p>
        </w:tc>
      </w:tr>
      <w:tr w:rsidR="009617F5" w:rsidRPr="009617F5" w14:paraId="01E6376A" w14:textId="77777777" w:rsidTr="00286F7D">
        <w:trPr>
          <w:trHeight w:val="397"/>
        </w:trPr>
        <w:tc>
          <w:tcPr>
            <w:tcW w:w="833" w:type="dxa"/>
            <w:shd w:val="clear" w:color="auto" w:fill="auto"/>
            <w:vAlign w:val="center"/>
          </w:tcPr>
          <w:p w14:paraId="4D9FDC27"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8Z-34</w:t>
            </w:r>
          </w:p>
        </w:tc>
        <w:tc>
          <w:tcPr>
            <w:tcW w:w="1641" w:type="dxa"/>
            <w:shd w:val="clear" w:color="auto" w:fill="auto"/>
            <w:vAlign w:val="center"/>
          </w:tcPr>
          <w:p w14:paraId="08CDAC9F"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55640B2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0,4333</w:t>
            </w:r>
          </w:p>
        </w:tc>
        <w:tc>
          <w:tcPr>
            <w:tcW w:w="828" w:type="dxa"/>
            <w:shd w:val="clear" w:color="auto" w:fill="auto"/>
            <w:vAlign w:val="center"/>
          </w:tcPr>
          <w:p w14:paraId="7A0DBF1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7C69F92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0889295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1048B9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766ABE5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781433A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0,4333</w:t>
            </w:r>
          </w:p>
        </w:tc>
        <w:tc>
          <w:tcPr>
            <w:tcW w:w="817" w:type="dxa"/>
            <w:shd w:val="clear" w:color="auto" w:fill="auto"/>
            <w:vAlign w:val="center"/>
          </w:tcPr>
          <w:p w14:paraId="3A0F05E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D62669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30618A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4BED87A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0,4333</w:t>
            </w:r>
          </w:p>
        </w:tc>
        <w:tc>
          <w:tcPr>
            <w:tcW w:w="821" w:type="dxa"/>
            <w:shd w:val="clear" w:color="auto" w:fill="auto"/>
            <w:vAlign w:val="center"/>
          </w:tcPr>
          <w:p w14:paraId="727AE82A"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702977C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4A7B1324" w14:textId="77777777" w:rsidTr="00286F7D">
        <w:trPr>
          <w:trHeight w:val="397"/>
        </w:trPr>
        <w:tc>
          <w:tcPr>
            <w:tcW w:w="2474" w:type="dxa"/>
            <w:gridSpan w:val="2"/>
            <w:shd w:val="clear" w:color="auto" w:fill="auto"/>
            <w:vAlign w:val="center"/>
          </w:tcPr>
          <w:p w14:paraId="77E890AE" w14:textId="77777777" w:rsidR="009617F5" w:rsidRPr="009617F5" w:rsidRDefault="009617F5" w:rsidP="00286F7D">
            <w:pPr>
              <w:rPr>
                <w:rFonts w:ascii="Arial" w:hAnsi="Arial" w:cs="Arial"/>
                <w:b/>
                <w:sz w:val="18"/>
                <w:szCs w:val="20"/>
              </w:rPr>
            </w:pPr>
            <w:r w:rsidRPr="009617F5">
              <w:rPr>
                <w:rFonts w:ascii="Arial" w:hAnsi="Arial" w:cs="Arial"/>
                <w:b/>
                <w:sz w:val="18"/>
                <w:szCs w:val="20"/>
              </w:rPr>
              <w:t>Plochy bydlení celkem:</w:t>
            </w:r>
          </w:p>
        </w:tc>
        <w:tc>
          <w:tcPr>
            <w:tcW w:w="836" w:type="dxa"/>
            <w:shd w:val="clear" w:color="auto" w:fill="auto"/>
            <w:vAlign w:val="center"/>
          </w:tcPr>
          <w:p w14:paraId="300365B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0,4333</w:t>
            </w:r>
          </w:p>
        </w:tc>
        <w:tc>
          <w:tcPr>
            <w:tcW w:w="828" w:type="dxa"/>
            <w:shd w:val="clear" w:color="auto" w:fill="auto"/>
            <w:vAlign w:val="center"/>
          </w:tcPr>
          <w:p w14:paraId="0D62DE4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24F507E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673C194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7A2B12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07720DE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D8BA19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0,4333</w:t>
            </w:r>
          </w:p>
        </w:tc>
        <w:tc>
          <w:tcPr>
            <w:tcW w:w="817" w:type="dxa"/>
            <w:shd w:val="clear" w:color="auto" w:fill="auto"/>
            <w:vAlign w:val="center"/>
          </w:tcPr>
          <w:p w14:paraId="30C22B4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4039A2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393D0BE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75FE78E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0,4333</w:t>
            </w:r>
          </w:p>
        </w:tc>
        <w:tc>
          <w:tcPr>
            <w:tcW w:w="821" w:type="dxa"/>
            <w:shd w:val="clear" w:color="auto" w:fill="auto"/>
            <w:vAlign w:val="center"/>
          </w:tcPr>
          <w:p w14:paraId="3E721E6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3B05041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r w:rsidR="009617F5" w:rsidRPr="009617F5" w14:paraId="0586137A" w14:textId="77777777" w:rsidTr="00286F7D">
        <w:trPr>
          <w:trHeight w:val="397"/>
        </w:trPr>
        <w:tc>
          <w:tcPr>
            <w:tcW w:w="2474" w:type="dxa"/>
            <w:gridSpan w:val="2"/>
            <w:shd w:val="clear" w:color="auto" w:fill="auto"/>
            <w:vAlign w:val="center"/>
          </w:tcPr>
          <w:p w14:paraId="6E9A20AB" w14:textId="77777777" w:rsidR="009617F5" w:rsidRPr="009617F5" w:rsidRDefault="009617F5" w:rsidP="00286F7D">
            <w:pPr>
              <w:rPr>
                <w:rFonts w:ascii="Arial" w:hAnsi="Arial" w:cs="Arial"/>
                <w:b/>
                <w:sz w:val="18"/>
                <w:szCs w:val="20"/>
              </w:rPr>
            </w:pPr>
            <w:r w:rsidRPr="009617F5">
              <w:rPr>
                <w:rFonts w:ascii="Arial" w:hAnsi="Arial" w:cs="Arial"/>
                <w:b/>
                <w:sz w:val="18"/>
                <w:szCs w:val="20"/>
              </w:rPr>
              <w:t>k.ú. Prostřední Žleb</w:t>
            </w:r>
          </w:p>
          <w:p w14:paraId="29E44319" w14:textId="77777777" w:rsidR="009617F5" w:rsidRPr="009617F5" w:rsidRDefault="009617F5" w:rsidP="00286F7D">
            <w:pPr>
              <w:rPr>
                <w:rFonts w:ascii="Arial" w:hAnsi="Arial" w:cs="Arial"/>
                <w:b/>
                <w:sz w:val="18"/>
                <w:szCs w:val="20"/>
              </w:rPr>
            </w:pPr>
            <w:r w:rsidRPr="009617F5">
              <w:rPr>
                <w:rFonts w:ascii="Arial" w:hAnsi="Arial" w:cs="Arial"/>
                <w:b/>
                <w:sz w:val="18"/>
                <w:szCs w:val="20"/>
              </w:rPr>
              <w:t>ZÁBOR ZPF CELKEM</w:t>
            </w:r>
          </w:p>
          <w:p w14:paraId="34EEDD0A" w14:textId="77777777" w:rsidR="009617F5" w:rsidRPr="009617F5" w:rsidRDefault="009617F5" w:rsidP="00286F7D">
            <w:pPr>
              <w:rPr>
                <w:rFonts w:ascii="Arial" w:hAnsi="Arial" w:cs="Arial"/>
                <w:b/>
                <w:sz w:val="18"/>
                <w:szCs w:val="20"/>
              </w:rPr>
            </w:pPr>
          </w:p>
        </w:tc>
        <w:tc>
          <w:tcPr>
            <w:tcW w:w="836" w:type="dxa"/>
            <w:shd w:val="clear" w:color="auto" w:fill="auto"/>
            <w:vAlign w:val="center"/>
          </w:tcPr>
          <w:p w14:paraId="4AA2A2F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0,4333</w:t>
            </w:r>
          </w:p>
        </w:tc>
        <w:tc>
          <w:tcPr>
            <w:tcW w:w="828" w:type="dxa"/>
            <w:shd w:val="clear" w:color="auto" w:fill="auto"/>
            <w:vAlign w:val="center"/>
          </w:tcPr>
          <w:p w14:paraId="5C53ECB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1AAD581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071A216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07F861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07470F5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C25772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0,4333</w:t>
            </w:r>
          </w:p>
        </w:tc>
        <w:tc>
          <w:tcPr>
            <w:tcW w:w="817" w:type="dxa"/>
            <w:shd w:val="clear" w:color="auto" w:fill="auto"/>
            <w:vAlign w:val="center"/>
          </w:tcPr>
          <w:p w14:paraId="545892C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504531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1F5191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62D0388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0,4333</w:t>
            </w:r>
          </w:p>
        </w:tc>
        <w:tc>
          <w:tcPr>
            <w:tcW w:w="821" w:type="dxa"/>
            <w:shd w:val="clear" w:color="auto" w:fill="auto"/>
            <w:vAlign w:val="center"/>
          </w:tcPr>
          <w:p w14:paraId="6914B30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5A262C8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0</w:t>
            </w:r>
          </w:p>
        </w:tc>
      </w:tr>
    </w:tbl>
    <w:p w14:paraId="03A5F528" w14:textId="77777777" w:rsidR="009617F5" w:rsidRPr="009617F5" w:rsidRDefault="009617F5" w:rsidP="009617F5">
      <w:pPr>
        <w:rPr>
          <w:rFonts w:ascii="Arial" w:hAnsi="Arial" w:cs="Arial"/>
          <w:b/>
          <w:color w:val="FF0000"/>
          <w:sz w:val="22"/>
        </w:rPr>
      </w:pPr>
      <w:r w:rsidRPr="009617F5">
        <w:rPr>
          <w:rFonts w:ascii="Arial" w:hAnsi="Arial" w:cs="Arial"/>
          <w:b/>
          <w:color w:val="FF0000"/>
          <w:sz w:val="22"/>
        </w:rPr>
        <w:t>Katastrální území:</w:t>
      </w:r>
      <w:r w:rsidRPr="009617F5">
        <w:rPr>
          <w:rFonts w:ascii="Arial" w:hAnsi="Arial" w:cs="Arial"/>
          <w:b/>
          <w:color w:val="FF0000"/>
          <w:sz w:val="22"/>
        </w:rPr>
        <w:tab/>
        <w:t>Vilsnice</w:t>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r>
      <w:r w:rsidRPr="009617F5">
        <w:rPr>
          <w:rFonts w:ascii="Arial" w:hAnsi="Arial" w:cs="Arial"/>
          <w:b/>
          <w:color w:val="FF0000"/>
          <w:sz w:val="22"/>
        </w:rPr>
        <w:tab/>
        <w:t>Název části obce:</w:t>
      </w:r>
    </w:p>
    <w:p w14:paraId="10BABE19" w14:textId="77777777" w:rsidR="009617F5" w:rsidRPr="009617F5" w:rsidRDefault="009617F5" w:rsidP="009617F5">
      <w:pPr>
        <w:rPr>
          <w:rFonts w:ascii="Arial" w:hAnsi="Arial" w:cs="Arial"/>
          <w:bCs/>
          <w:color w:val="FF0000"/>
          <w:sz w:val="22"/>
        </w:rPr>
      </w:pP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4A0" w:firstRow="1" w:lastRow="0" w:firstColumn="1" w:lastColumn="0" w:noHBand="0" w:noVBand="1"/>
      </w:tblPr>
      <w:tblGrid>
        <w:gridCol w:w="833"/>
        <w:gridCol w:w="1641"/>
        <w:gridCol w:w="836"/>
        <w:gridCol w:w="828"/>
        <w:gridCol w:w="999"/>
        <w:gridCol w:w="831"/>
        <w:gridCol w:w="836"/>
        <w:gridCol w:w="835"/>
        <w:gridCol w:w="836"/>
        <w:gridCol w:w="817"/>
        <w:gridCol w:w="819"/>
        <w:gridCol w:w="819"/>
        <w:gridCol w:w="822"/>
        <w:gridCol w:w="821"/>
        <w:gridCol w:w="1647"/>
      </w:tblGrid>
      <w:tr w:rsidR="009617F5" w:rsidRPr="009617F5" w14:paraId="413E9E08" w14:textId="77777777" w:rsidTr="00286F7D">
        <w:trPr>
          <w:tblHeader/>
        </w:trPr>
        <w:tc>
          <w:tcPr>
            <w:tcW w:w="833" w:type="dxa"/>
            <w:vMerge w:val="restart"/>
            <w:shd w:val="clear" w:color="auto" w:fill="auto"/>
          </w:tcPr>
          <w:p w14:paraId="671B9242" w14:textId="77777777" w:rsidR="009617F5" w:rsidRPr="009617F5" w:rsidRDefault="009617F5" w:rsidP="00286F7D">
            <w:pPr>
              <w:rPr>
                <w:rFonts w:ascii="Arial" w:hAnsi="Arial" w:cs="Arial"/>
                <w:b/>
                <w:sz w:val="14"/>
                <w:szCs w:val="16"/>
              </w:rPr>
            </w:pPr>
          </w:p>
          <w:p w14:paraId="27C6CB44" w14:textId="77777777" w:rsidR="009617F5" w:rsidRPr="009617F5" w:rsidRDefault="009617F5" w:rsidP="00286F7D">
            <w:pPr>
              <w:rPr>
                <w:rFonts w:ascii="Arial" w:hAnsi="Arial" w:cs="Arial"/>
                <w:b/>
                <w:sz w:val="14"/>
                <w:szCs w:val="16"/>
              </w:rPr>
            </w:pPr>
          </w:p>
          <w:p w14:paraId="1070A8A7"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641" w:type="dxa"/>
            <w:vMerge w:val="restart"/>
            <w:shd w:val="clear" w:color="auto" w:fill="auto"/>
          </w:tcPr>
          <w:p w14:paraId="4D02C3F1" w14:textId="77777777" w:rsidR="009617F5" w:rsidRPr="009617F5" w:rsidRDefault="009617F5" w:rsidP="00286F7D">
            <w:pPr>
              <w:rPr>
                <w:rFonts w:ascii="Arial" w:hAnsi="Arial" w:cs="Arial"/>
                <w:b/>
                <w:sz w:val="14"/>
                <w:szCs w:val="16"/>
              </w:rPr>
            </w:pPr>
          </w:p>
          <w:p w14:paraId="7E23D402" w14:textId="77777777" w:rsidR="009617F5" w:rsidRPr="009617F5" w:rsidRDefault="009617F5" w:rsidP="00286F7D">
            <w:pPr>
              <w:rPr>
                <w:rFonts w:ascii="Arial" w:hAnsi="Arial" w:cs="Arial"/>
                <w:b/>
                <w:sz w:val="14"/>
                <w:szCs w:val="16"/>
              </w:rPr>
            </w:pPr>
          </w:p>
          <w:p w14:paraId="3F893A4D"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836" w:type="dxa"/>
            <w:vMerge w:val="restart"/>
            <w:shd w:val="clear" w:color="auto" w:fill="auto"/>
          </w:tcPr>
          <w:p w14:paraId="0E8E7344" w14:textId="77777777" w:rsidR="009617F5" w:rsidRPr="009617F5" w:rsidRDefault="009617F5" w:rsidP="00286F7D">
            <w:pPr>
              <w:rPr>
                <w:rFonts w:ascii="Arial" w:hAnsi="Arial" w:cs="Arial"/>
                <w:b/>
                <w:sz w:val="14"/>
                <w:szCs w:val="16"/>
              </w:rPr>
            </w:pPr>
          </w:p>
          <w:p w14:paraId="09E8C2A3"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165" w:type="dxa"/>
            <w:gridSpan w:val="6"/>
            <w:shd w:val="clear" w:color="auto" w:fill="auto"/>
          </w:tcPr>
          <w:p w14:paraId="417F8CE7" w14:textId="77777777" w:rsidR="009617F5" w:rsidRPr="009617F5" w:rsidRDefault="009617F5" w:rsidP="00286F7D">
            <w:pPr>
              <w:rPr>
                <w:rFonts w:ascii="Arial" w:hAnsi="Arial" w:cs="Arial"/>
                <w:b/>
                <w:sz w:val="14"/>
                <w:szCs w:val="16"/>
              </w:rPr>
            </w:pPr>
          </w:p>
          <w:p w14:paraId="554D61C5"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podle jednotlivých kultur</w:t>
            </w:r>
          </w:p>
          <w:p w14:paraId="14AC92F8" w14:textId="77777777" w:rsidR="009617F5" w:rsidRPr="009617F5" w:rsidRDefault="009617F5" w:rsidP="00286F7D">
            <w:pPr>
              <w:rPr>
                <w:rFonts w:ascii="Arial" w:hAnsi="Arial" w:cs="Arial"/>
                <w:b/>
                <w:sz w:val="14"/>
                <w:szCs w:val="16"/>
              </w:rPr>
            </w:pPr>
            <w:r w:rsidRPr="009617F5">
              <w:rPr>
                <w:rFonts w:ascii="Arial" w:hAnsi="Arial" w:cs="Arial"/>
                <w:b/>
                <w:sz w:val="14"/>
                <w:szCs w:val="16"/>
              </w:rPr>
              <w:t>(ha)</w:t>
            </w:r>
          </w:p>
        </w:tc>
        <w:tc>
          <w:tcPr>
            <w:tcW w:w="4098" w:type="dxa"/>
            <w:gridSpan w:val="5"/>
            <w:shd w:val="clear" w:color="auto" w:fill="auto"/>
          </w:tcPr>
          <w:p w14:paraId="3B8EE3C0" w14:textId="77777777" w:rsidR="009617F5" w:rsidRPr="009617F5" w:rsidRDefault="009617F5" w:rsidP="00286F7D">
            <w:pPr>
              <w:rPr>
                <w:rFonts w:ascii="Arial" w:hAnsi="Arial" w:cs="Arial"/>
                <w:b/>
                <w:sz w:val="14"/>
                <w:szCs w:val="16"/>
              </w:rPr>
            </w:pPr>
          </w:p>
          <w:p w14:paraId="73C4044E"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podle tříd ochrany</w:t>
            </w:r>
          </w:p>
          <w:p w14:paraId="41E61015" w14:textId="77777777" w:rsidR="009617F5" w:rsidRPr="009617F5" w:rsidRDefault="009617F5" w:rsidP="00286F7D">
            <w:pPr>
              <w:rPr>
                <w:rFonts w:ascii="Arial" w:hAnsi="Arial" w:cs="Arial"/>
                <w:b/>
                <w:sz w:val="14"/>
                <w:szCs w:val="16"/>
              </w:rPr>
            </w:pPr>
            <w:r w:rsidRPr="009617F5">
              <w:rPr>
                <w:rFonts w:ascii="Arial" w:hAnsi="Arial" w:cs="Arial"/>
                <w:b/>
                <w:sz w:val="14"/>
                <w:szCs w:val="16"/>
              </w:rPr>
              <w:t>(ha)</w:t>
            </w:r>
          </w:p>
        </w:tc>
        <w:tc>
          <w:tcPr>
            <w:tcW w:w="1647" w:type="dxa"/>
            <w:vMerge w:val="restart"/>
            <w:shd w:val="clear" w:color="auto" w:fill="auto"/>
          </w:tcPr>
          <w:p w14:paraId="3203D743" w14:textId="77777777" w:rsidR="009617F5" w:rsidRPr="009617F5" w:rsidRDefault="009617F5" w:rsidP="00286F7D">
            <w:pPr>
              <w:rPr>
                <w:rFonts w:ascii="Arial" w:hAnsi="Arial" w:cs="Arial"/>
                <w:b/>
                <w:sz w:val="14"/>
                <w:szCs w:val="16"/>
              </w:rPr>
            </w:pPr>
          </w:p>
          <w:p w14:paraId="5865F2D1" w14:textId="77777777" w:rsidR="009617F5" w:rsidRPr="009617F5" w:rsidRDefault="009617F5" w:rsidP="00286F7D">
            <w:pPr>
              <w:rPr>
                <w:rFonts w:ascii="Arial" w:hAnsi="Arial" w:cs="Arial"/>
                <w:b/>
                <w:sz w:val="14"/>
                <w:szCs w:val="16"/>
              </w:rPr>
            </w:pPr>
          </w:p>
          <w:p w14:paraId="5A210EB8" w14:textId="77777777" w:rsidR="009617F5" w:rsidRPr="009617F5" w:rsidRDefault="009617F5" w:rsidP="00286F7D">
            <w:pPr>
              <w:rPr>
                <w:rFonts w:ascii="Arial" w:hAnsi="Arial" w:cs="Arial"/>
                <w:b/>
                <w:sz w:val="14"/>
                <w:szCs w:val="16"/>
              </w:rPr>
            </w:pPr>
            <w:r w:rsidRPr="009617F5">
              <w:rPr>
                <w:rFonts w:ascii="Arial" w:hAnsi="Arial" w:cs="Arial"/>
                <w:b/>
                <w:sz w:val="14"/>
                <w:szCs w:val="16"/>
              </w:rPr>
              <w:t>Investice do půdy (ha)</w:t>
            </w:r>
          </w:p>
        </w:tc>
      </w:tr>
      <w:tr w:rsidR="009617F5" w:rsidRPr="009617F5" w14:paraId="34FA9ADE" w14:textId="77777777" w:rsidTr="00286F7D">
        <w:trPr>
          <w:tblHeader/>
        </w:trPr>
        <w:tc>
          <w:tcPr>
            <w:tcW w:w="0" w:type="auto"/>
            <w:vMerge/>
            <w:shd w:val="clear" w:color="auto" w:fill="auto"/>
            <w:vAlign w:val="center"/>
          </w:tcPr>
          <w:p w14:paraId="1A41760B" w14:textId="77777777" w:rsidR="009617F5" w:rsidRPr="009617F5" w:rsidRDefault="009617F5" w:rsidP="00286F7D">
            <w:pPr>
              <w:rPr>
                <w:rFonts w:ascii="Arial" w:hAnsi="Arial" w:cs="Arial"/>
                <w:b/>
                <w:sz w:val="14"/>
                <w:szCs w:val="16"/>
              </w:rPr>
            </w:pPr>
          </w:p>
        </w:tc>
        <w:tc>
          <w:tcPr>
            <w:tcW w:w="0" w:type="auto"/>
            <w:vMerge/>
            <w:shd w:val="clear" w:color="auto" w:fill="auto"/>
            <w:vAlign w:val="center"/>
          </w:tcPr>
          <w:p w14:paraId="5C5A555E" w14:textId="77777777" w:rsidR="009617F5" w:rsidRPr="009617F5" w:rsidRDefault="009617F5" w:rsidP="00286F7D">
            <w:pPr>
              <w:rPr>
                <w:rFonts w:ascii="Arial" w:hAnsi="Arial" w:cs="Arial"/>
                <w:b/>
                <w:sz w:val="14"/>
                <w:szCs w:val="16"/>
              </w:rPr>
            </w:pPr>
          </w:p>
        </w:tc>
        <w:tc>
          <w:tcPr>
            <w:tcW w:w="0" w:type="auto"/>
            <w:vMerge/>
            <w:shd w:val="clear" w:color="auto" w:fill="auto"/>
            <w:vAlign w:val="center"/>
          </w:tcPr>
          <w:p w14:paraId="1089DB08" w14:textId="77777777" w:rsidR="009617F5" w:rsidRPr="009617F5" w:rsidRDefault="009617F5" w:rsidP="00286F7D">
            <w:pPr>
              <w:rPr>
                <w:rFonts w:ascii="Arial" w:hAnsi="Arial" w:cs="Arial"/>
                <w:b/>
                <w:sz w:val="14"/>
                <w:szCs w:val="16"/>
              </w:rPr>
            </w:pPr>
          </w:p>
        </w:tc>
        <w:tc>
          <w:tcPr>
            <w:tcW w:w="828" w:type="dxa"/>
            <w:shd w:val="clear" w:color="auto" w:fill="auto"/>
          </w:tcPr>
          <w:p w14:paraId="13A47A41"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27F2D9DE"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831" w:type="dxa"/>
            <w:shd w:val="clear" w:color="auto" w:fill="auto"/>
          </w:tcPr>
          <w:p w14:paraId="2A9CF3B7"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836" w:type="dxa"/>
            <w:shd w:val="clear" w:color="auto" w:fill="auto"/>
          </w:tcPr>
          <w:p w14:paraId="623E73B1"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35" w:type="dxa"/>
            <w:shd w:val="clear" w:color="auto" w:fill="auto"/>
          </w:tcPr>
          <w:p w14:paraId="10E940B2"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836" w:type="dxa"/>
            <w:shd w:val="clear" w:color="auto" w:fill="auto"/>
          </w:tcPr>
          <w:p w14:paraId="5F6395A6"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817" w:type="dxa"/>
            <w:shd w:val="clear" w:color="auto" w:fill="auto"/>
          </w:tcPr>
          <w:p w14:paraId="0A70E8DC"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819" w:type="dxa"/>
            <w:shd w:val="clear" w:color="auto" w:fill="auto"/>
          </w:tcPr>
          <w:p w14:paraId="28A1F473"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819" w:type="dxa"/>
            <w:shd w:val="clear" w:color="auto" w:fill="auto"/>
          </w:tcPr>
          <w:p w14:paraId="682B9FEA"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822" w:type="dxa"/>
            <w:shd w:val="clear" w:color="auto" w:fill="auto"/>
          </w:tcPr>
          <w:p w14:paraId="6CA2C06D"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821" w:type="dxa"/>
            <w:shd w:val="clear" w:color="auto" w:fill="auto"/>
          </w:tcPr>
          <w:p w14:paraId="3ABD0F6F"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0" w:type="auto"/>
            <w:vMerge/>
            <w:shd w:val="clear" w:color="auto" w:fill="auto"/>
            <w:vAlign w:val="center"/>
          </w:tcPr>
          <w:p w14:paraId="0205D64B" w14:textId="77777777" w:rsidR="009617F5" w:rsidRPr="009617F5" w:rsidRDefault="009617F5" w:rsidP="00286F7D">
            <w:pPr>
              <w:rPr>
                <w:rFonts w:ascii="Arial" w:hAnsi="Arial" w:cs="Arial"/>
                <w:b/>
                <w:sz w:val="14"/>
                <w:szCs w:val="16"/>
              </w:rPr>
            </w:pPr>
          </w:p>
        </w:tc>
      </w:tr>
      <w:tr w:rsidR="009617F5" w:rsidRPr="009617F5" w14:paraId="289E769D" w14:textId="77777777" w:rsidTr="00286F7D">
        <w:trPr>
          <w:trHeight w:val="397"/>
        </w:trPr>
        <w:tc>
          <w:tcPr>
            <w:tcW w:w="833" w:type="dxa"/>
            <w:shd w:val="clear" w:color="auto" w:fill="auto"/>
            <w:vAlign w:val="center"/>
          </w:tcPr>
          <w:p w14:paraId="0D140328" w14:textId="77777777" w:rsidR="009617F5" w:rsidRPr="009617F5" w:rsidRDefault="009617F5" w:rsidP="00286F7D">
            <w:pPr>
              <w:rPr>
                <w:rFonts w:ascii="Arial" w:hAnsi="Arial" w:cs="Arial"/>
                <w:b/>
                <w:sz w:val="14"/>
                <w:szCs w:val="16"/>
              </w:rPr>
            </w:pPr>
            <w:r w:rsidRPr="009617F5">
              <w:rPr>
                <w:rFonts w:ascii="Arial" w:hAnsi="Arial" w:cs="Arial"/>
                <w:b/>
                <w:sz w:val="14"/>
                <w:szCs w:val="16"/>
              </w:rPr>
              <w:t>8Z-2</w:t>
            </w:r>
          </w:p>
        </w:tc>
        <w:tc>
          <w:tcPr>
            <w:tcW w:w="1641" w:type="dxa"/>
            <w:shd w:val="clear" w:color="auto" w:fill="auto"/>
            <w:vAlign w:val="center"/>
          </w:tcPr>
          <w:p w14:paraId="53C9CB1B"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7F819FC6" w14:textId="77777777" w:rsidR="009617F5" w:rsidRPr="009617F5" w:rsidRDefault="009617F5" w:rsidP="00286F7D">
            <w:pPr>
              <w:rPr>
                <w:rFonts w:ascii="Arial" w:hAnsi="Arial" w:cs="Arial"/>
                <w:b/>
                <w:sz w:val="14"/>
                <w:szCs w:val="16"/>
              </w:rPr>
            </w:pPr>
            <w:r w:rsidRPr="009617F5">
              <w:rPr>
                <w:rFonts w:ascii="Arial" w:hAnsi="Arial" w:cs="Arial"/>
                <w:b/>
                <w:sz w:val="14"/>
                <w:szCs w:val="16"/>
              </w:rPr>
              <w:t>2,2267</w:t>
            </w:r>
          </w:p>
        </w:tc>
        <w:tc>
          <w:tcPr>
            <w:tcW w:w="828" w:type="dxa"/>
            <w:shd w:val="clear" w:color="auto" w:fill="auto"/>
            <w:vAlign w:val="center"/>
          </w:tcPr>
          <w:p w14:paraId="2ADB6E62" w14:textId="77777777" w:rsidR="009617F5" w:rsidRPr="009617F5" w:rsidRDefault="009617F5" w:rsidP="00286F7D">
            <w:pPr>
              <w:rPr>
                <w:rFonts w:ascii="Arial" w:hAnsi="Arial" w:cs="Arial"/>
                <w:b/>
                <w:sz w:val="14"/>
                <w:szCs w:val="16"/>
              </w:rPr>
            </w:pPr>
            <w:r w:rsidRPr="009617F5">
              <w:rPr>
                <w:rFonts w:ascii="Arial" w:hAnsi="Arial" w:cs="Arial"/>
                <w:b/>
                <w:sz w:val="14"/>
                <w:szCs w:val="16"/>
              </w:rPr>
              <w:t>1,9875</w:t>
            </w:r>
          </w:p>
        </w:tc>
        <w:tc>
          <w:tcPr>
            <w:tcW w:w="999" w:type="dxa"/>
            <w:shd w:val="clear" w:color="auto" w:fill="auto"/>
            <w:vAlign w:val="center"/>
          </w:tcPr>
          <w:p w14:paraId="3F267E6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42CBA589"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99A3F2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4D749DF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DDD09C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73CD43ED"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4B3C81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0110BD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48FF9131" w14:textId="77777777" w:rsidR="009617F5" w:rsidRPr="009617F5" w:rsidRDefault="009617F5" w:rsidP="00286F7D">
            <w:pPr>
              <w:rPr>
                <w:rFonts w:ascii="Arial" w:hAnsi="Arial" w:cs="Arial"/>
                <w:b/>
                <w:sz w:val="14"/>
                <w:szCs w:val="16"/>
              </w:rPr>
            </w:pPr>
            <w:r w:rsidRPr="009617F5">
              <w:rPr>
                <w:rFonts w:ascii="Arial" w:hAnsi="Arial" w:cs="Arial"/>
                <w:b/>
                <w:sz w:val="14"/>
                <w:szCs w:val="16"/>
              </w:rPr>
              <w:t>1,8795</w:t>
            </w:r>
          </w:p>
        </w:tc>
        <w:tc>
          <w:tcPr>
            <w:tcW w:w="821" w:type="dxa"/>
            <w:shd w:val="clear" w:color="auto" w:fill="auto"/>
            <w:vAlign w:val="center"/>
          </w:tcPr>
          <w:p w14:paraId="0F71E217" w14:textId="77777777" w:rsidR="009617F5" w:rsidRPr="009617F5" w:rsidRDefault="009617F5" w:rsidP="00286F7D">
            <w:pPr>
              <w:rPr>
                <w:rFonts w:ascii="Arial" w:hAnsi="Arial" w:cs="Arial"/>
                <w:b/>
                <w:sz w:val="14"/>
                <w:szCs w:val="16"/>
              </w:rPr>
            </w:pPr>
            <w:r w:rsidRPr="009617F5">
              <w:rPr>
                <w:rFonts w:ascii="Arial" w:hAnsi="Arial" w:cs="Arial"/>
                <w:b/>
                <w:sz w:val="14"/>
                <w:szCs w:val="16"/>
              </w:rPr>
              <w:t>0,1080</w:t>
            </w:r>
          </w:p>
        </w:tc>
        <w:tc>
          <w:tcPr>
            <w:tcW w:w="1647" w:type="dxa"/>
            <w:shd w:val="clear" w:color="auto" w:fill="auto"/>
            <w:vAlign w:val="center"/>
          </w:tcPr>
          <w:p w14:paraId="1EFB454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2AE35CDD" w14:textId="77777777" w:rsidTr="00286F7D">
        <w:trPr>
          <w:trHeight w:val="397"/>
        </w:trPr>
        <w:tc>
          <w:tcPr>
            <w:tcW w:w="833" w:type="dxa"/>
            <w:shd w:val="clear" w:color="auto" w:fill="auto"/>
            <w:vAlign w:val="center"/>
          </w:tcPr>
          <w:p w14:paraId="62391E21" w14:textId="77777777" w:rsidR="009617F5" w:rsidRPr="009617F5" w:rsidRDefault="009617F5" w:rsidP="00286F7D">
            <w:pPr>
              <w:rPr>
                <w:rFonts w:ascii="Arial" w:hAnsi="Arial" w:cs="Arial"/>
                <w:b/>
                <w:sz w:val="14"/>
                <w:szCs w:val="16"/>
              </w:rPr>
            </w:pPr>
          </w:p>
        </w:tc>
        <w:tc>
          <w:tcPr>
            <w:tcW w:w="1641" w:type="dxa"/>
            <w:shd w:val="clear" w:color="auto" w:fill="auto"/>
            <w:vAlign w:val="center"/>
          </w:tcPr>
          <w:p w14:paraId="4445C190"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431F8887" w14:textId="77777777" w:rsidR="009617F5" w:rsidRPr="009617F5" w:rsidRDefault="009617F5" w:rsidP="00286F7D">
            <w:pPr>
              <w:rPr>
                <w:rFonts w:ascii="Arial" w:hAnsi="Arial" w:cs="Arial"/>
                <w:b/>
                <w:sz w:val="14"/>
                <w:szCs w:val="16"/>
              </w:rPr>
            </w:pPr>
          </w:p>
        </w:tc>
        <w:tc>
          <w:tcPr>
            <w:tcW w:w="828" w:type="dxa"/>
            <w:shd w:val="clear" w:color="auto" w:fill="auto"/>
            <w:vAlign w:val="center"/>
          </w:tcPr>
          <w:p w14:paraId="2BC58D5E" w14:textId="77777777" w:rsidR="009617F5" w:rsidRPr="009617F5" w:rsidRDefault="009617F5" w:rsidP="00286F7D">
            <w:pPr>
              <w:rPr>
                <w:rFonts w:ascii="Arial" w:hAnsi="Arial" w:cs="Arial"/>
                <w:b/>
                <w:sz w:val="14"/>
                <w:szCs w:val="16"/>
              </w:rPr>
            </w:pPr>
          </w:p>
        </w:tc>
        <w:tc>
          <w:tcPr>
            <w:tcW w:w="999" w:type="dxa"/>
            <w:shd w:val="clear" w:color="auto" w:fill="auto"/>
            <w:vAlign w:val="center"/>
          </w:tcPr>
          <w:p w14:paraId="54CD1F52" w14:textId="77777777" w:rsidR="009617F5" w:rsidRPr="009617F5" w:rsidRDefault="009617F5" w:rsidP="00286F7D">
            <w:pPr>
              <w:rPr>
                <w:rFonts w:ascii="Arial" w:hAnsi="Arial" w:cs="Arial"/>
                <w:b/>
                <w:sz w:val="14"/>
                <w:szCs w:val="16"/>
              </w:rPr>
            </w:pPr>
          </w:p>
        </w:tc>
        <w:tc>
          <w:tcPr>
            <w:tcW w:w="831" w:type="dxa"/>
            <w:shd w:val="clear" w:color="auto" w:fill="auto"/>
            <w:vAlign w:val="center"/>
          </w:tcPr>
          <w:p w14:paraId="5C377443"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5674289F" w14:textId="77777777" w:rsidR="009617F5" w:rsidRPr="009617F5" w:rsidRDefault="009617F5" w:rsidP="00286F7D">
            <w:pPr>
              <w:rPr>
                <w:rFonts w:ascii="Arial" w:hAnsi="Arial" w:cs="Arial"/>
                <w:b/>
                <w:sz w:val="14"/>
                <w:szCs w:val="16"/>
              </w:rPr>
            </w:pPr>
          </w:p>
        </w:tc>
        <w:tc>
          <w:tcPr>
            <w:tcW w:w="835" w:type="dxa"/>
            <w:shd w:val="clear" w:color="auto" w:fill="auto"/>
            <w:vAlign w:val="center"/>
          </w:tcPr>
          <w:p w14:paraId="41474663" w14:textId="77777777" w:rsidR="009617F5" w:rsidRPr="009617F5" w:rsidRDefault="009617F5" w:rsidP="00286F7D">
            <w:pPr>
              <w:rPr>
                <w:rFonts w:ascii="Arial" w:hAnsi="Arial" w:cs="Arial"/>
                <w:b/>
                <w:sz w:val="14"/>
                <w:szCs w:val="16"/>
              </w:rPr>
            </w:pPr>
            <w:r w:rsidRPr="009617F5">
              <w:rPr>
                <w:rFonts w:ascii="Arial" w:hAnsi="Arial" w:cs="Arial"/>
                <w:b/>
                <w:sz w:val="14"/>
                <w:szCs w:val="16"/>
              </w:rPr>
              <w:t>0,0640</w:t>
            </w:r>
          </w:p>
        </w:tc>
        <w:tc>
          <w:tcPr>
            <w:tcW w:w="836" w:type="dxa"/>
            <w:shd w:val="clear" w:color="auto" w:fill="auto"/>
            <w:vAlign w:val="center"/>
          </w:tcPr>
          <w:p w14:paraId="666409A5" w14:textId="77777777" w:rsidR="009617F5" w:rsidRPr="009617F5" w:rsidRDefault="009617F5" w:rsidP="00286F7D">
            <w:pPr>
              <w:rPr>
                <w:rFonts w:ascii="Arial" w:hAnsi="Arial" w:cs="Arial"/>
                <w:b/>
                <w:sz w:val="14"/>
                <w:szCs w:val="16"/>
              </w:rPr>
            </w:pPr>
          </w:p>
        </w:tc>
        <w:tc>
          <w:tcPr>
            <w:tcW w:w="817" w:type="dxa"/>
            <w:shd w:val="clear" w:color="auto" w:fill="auto"/>
            <w:vAlign w:val="center"/>
          </w:tcPr>
          <w:p w14:paraId="26D2FC4C" w14:textId="77777777" w:rsidR="009617F5" w:rsidRPr="009617F5" w:rsidRDefault="009617F5" w:rsidP="00286F7D">
            <w:pPr>
              <w:rPr>
                <w:rFonts w:ascii="Arial" w:hAnsi="Arial" w:cs="Arial"/>
                <w:b/>
                <w:sz w:val="14"/>
                <w:szCs w:val="16"/>
              </w:rPr>
            </w:pPr>
          </w:p>
        </w:tc>
        <w:tc>
          <w:tcPr>
            <w:tcW w:w="819" w:type="dxa"/>
            <w:shd w:val="clear" w:color="auto" w:fill="auto"/>
            <w:vAlign w:val="center"/>
          </w:tcPr>
          <w:p w14:paraId="0725C508" w14:textId="77777777" w:rsidR="009617F5" w:rsidRPr="009617F5" w:rsidRDefault="009617F5" w:rsidP="00286F7D">
            <w:pPr>
              <w:rPr>
                <w:rFonts w:ascii="Arial" w:hAnsi="Arial" w:cs="Arial"/>
                <w:b/>
                <w:sz w:val="14"/>
                <w:szCs w:val="16"/>
              </w:rPr>
            </w:pPr>
          </w:p>
        </w:tc>
        <w:tc>
          <w:tcPr>
            <w:tcW w:w="819" w:type="dxa"/>
            <w:shd w:val="clear" w:color="auto" w:fill="auto"/>
            <w:vAlign w:val="center"/>
          </w:tcPr>
          <w:p w14:paraId="4F047A14" w14:textId="77777777" w:rsidR="009617F5" w:rsidRPr="009617F5" w:rsidRDefault="009617F5" w:rsidP="00286F7D">
            <w:pPr>
              <w:rPr>
                <w:rFonts w:ascii="Arial" w:hAnsi="Arial" w:cs="Arial"/>
                <w:b/>
                <w:sz w:val="14"/>
                <w:szCs w:val="16"/>
              </w:rPr>
            </w:pPr>
          </w:p>
        </w:tc>
        <w:tc>
          <w:tcPr>
            <w:tcW w:w="822" w:type="dxa"/>
            <w:shd w:val="clear" w:color="auto" w:fill="auto"/>
            <w:vAlign w:val="center"/>
          </w:tcPr>
          <w:p w14:paraId="79CC379D" w14:textId="77777777" w:rsidR="009617F5" w:rsidRPr="009617F5" w:rsidRDefault="009617F5" w:rsidP="00286F7D">
            <w:pPr>
              <w:rPr>
                <w:rFonts w:ascii="Arial" w:hAnsi="Arial" w:cs="Arial"/>
                <w:b/>
                <w:sz w:val="14"/>
                <w:szCs w:val="16"/>
              </w:rPr>
            </w:pPr>
          </w:p>
        </w:tc>
        <w:tc>
          <w:tcPr>
            <w:tcW w:w="821" w:type="dxa"/>
            <w:shd w:val="clear" w:color="auto" w:fill="auto"/>
            <w:vAlign w:val="center"/>
          </w:tcPr>
          <w:p w14:paraId="2A7E86E2" w14:textId="77777777" w:rsidR="009617F5" w:rsidRPr="009617F5" w:rsidRDefault="009617F5" w:rsidP="00286F7D">
            <w:pPr>
              <w:rPr>
                <w:rFonts w:ascii="Arial" w:hAnsi="Arial" w:cs="Arial"/>
                <w:b/>
                <w:sz w:val="14"/>
                <w:szCs w:val="16"/>
              </w:rPr>
            </w:pPr>
          </w:p>
        </w:tc>
        <w:tc>
          <w:tcPr>
            <w:tcW w:w="1647" w:type="dxa"/>
            <w:shd w:val="clear" w:color="auto" w:fill="auto"/>
            <w:vAlign w:val="center"/>
          </w:tcPr>
          <w:p w14:paraId="530967E3" w14:textId="77777777" w:rsidR="009617F5" w:rsidRPr="009617F5" w:rsidRDefault="009617F5" w:rsidP="00286F7D">
            <w:pPr>
              <w:rPr>
                <w:rFonts w:ascii="Arial" w:hAnsi="Arial" w:cs="Arial"/>
                <w:b/>
                <w:sz w:val="14"/>
                <w:szCs w:val="16"/>
              </w:rPr>
            </w:pPr>
          </w:p>
        </w:tc>
      </w:tr>
      <w:tr w:rsidR="009617F5" w:rsidRPr="009617F5" w14:paraId="4DC9E626" w14:textId="77777777" w:rsidTr="00286F7D">
        <w:trPr>
          <w:trHeight w:val="397"/>
        </w:trPr>
        <w:tc>
          <w:tcPr>
            <w:tcW w:w="833" w:type="dxa"/>
            <w:shd w:val="clear" w:color="auto" w:fill="auto"/>
            <w:vAlign w:val="center"/>
          </w:tcPr>
          <w:p w14:paraId="6F6E4540" w14:textId="77777777" w:rsidR="009617F5" w:rsidRPr="009617F5" w:rsidRDefault="009617F5" w:rsidP="00286F7D">
            <w:pPr>
              <w:rPr>
                <w:rFonts w:ascii="Arial" w:hAnsi="Arial" w:cs="Arial"/>
                <w:b/>
                <w:sz w:val="14"/>
                <w:szCs w:val="16"/>
              </w:rPr>
            </w:pPr>
          </w:p>
        </w:tc>
        <w:tc>
          <w:tcPr>
            <w:tcW w:w="1641" w:type="dxa"/>
            <w:shd w:val="clear" w:color="auto" w:fill="auto"/>
            <w:vAlign w:val="center"/>
          </w:tcPr>
          <w:p w14:paraId="7463A694"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2DFA5F32" w14:textId="77777777" w:rsidR="009617F5" w:rsidRPr="009617F5" w:rsidRDefault="009617F5" w:rsidP="00286F7D">
            <w:pPr>
              <w:rPr>
                <w:rFonts w:ascii="Arial" w:hAnsi="Arial" w:cs="Arial"/>
                <w:b/>
                <w:sz w:val="14"/>
                <w:szCs w:val="16"/>
              </w:rPr>
            </w:pPr>
          </w:p>
        </w:tc>
        <w:tc>
          <w:tcPr>
            <w:tcW w:w="828" w:type="dxa"/>
            <w:shd w:val="clear" w:color="auto" w:fill="auto"/>
            <w:vAlign w:val="center"/>
          </w:tcPr>
          <w:p w14:paraId="7922DC80" w14:textId="77777777" w:rsidR="009617F5" w:rsidRPr="009617F5" w:rsidRDefault="009617F5" w:rsidP="00286F7D">
            <w:pPr>
              <w:rPr>
                <w:rFonts w:ascii="Arial" w:hAnsi="Arial" w:cs="Arial"/>
                <w:b/>
                <w:sz w:val="14"/>
                <w:szCs w:val="16"/>
              </w:rPr>
            </w:pPr>
          </w:p>
        </w:tc>
        <w:tc>
          <w:tcPr>
            <w:tcW w:w="999" w:type="dxa"/>
            <w:shd w:val="clear" w:color="auto" w:fill="auto"/>
            <w:vAlign w:val="center"/>
          </w:tcPr>
          <w:p w14:paraId="49720473" w14:textId="77777777" w:rsidR="009617F5" w:rsidRPr="009617F5" w:rsidRDefault="009617F5" w:rsidP="00286F7D">
            <w:pPr>
              <w:rPr>
                <w:rFonts w:ascii="Arial" w:hAnsi="Arial" w:cs="Arial"/>
                <w:b/>
                <w:sz w:val="14"/>
                <w:szCs w:val="16"/>
              </w:rPr>
            </w:pPr>
          </w:p>
        </w:tc>
        <w:tc>
          <w:tcPr>
            <w:tcW w:w="831" w:type="dxa"/>
            <w:shd w:val="clear" w:color="auto" w:fill="auto"/>
            <w:vAlign w:val="center"/>
          </w:tcPr>
          <w:p w14:paraId="3621839F"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3EC34E6B" w14:textId="77777777" w:rsidR="009617F5" w:rsidRPr="009617F5" w:rsidRDefault="009617F5" w:rsidP="00286F7D">
            <w:pPr>
              <w:rPr>
                <w:rFonts w:ascii="Arial" w:hAnsi="Arial" w:cs="Arial"/>
                <w:b/>
                <w:sz w:val="14"/>
                <w:szCs w:val="16"/>
              </w:rPr>
            </w:pPr>
          </w:p>
        </w:tc>
        <w:tc>
          <w:tcPr>
            <w:tcW w:w="835" w:type="dxa"/>
            <w:shd w:val="clear" w:color="auto" w:fill="auto"/>
            <w:vAlign w:val="center"/>
          </w:tcPr>
          <w:p w14:paraId="65A428AC"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65B94B76" w14:textId="77777777" w:rsidR="009617F5" w:rsidRPr="009617F5" w:rsidRDefault="009617F5" w:rsidP="00286F7D">
            <w:pPr>
              <w:rPr>
                <w:rFonts w:ascii="Arial" w:hAnsi="Arial" w:cs="Arial"/>
                <w:b/>
                <w:sz w:val="14"/>
                <w:szCs w:val="16"/>
              </w:rPr>
            </w:pPr>
            <w:r w:rsidRPr="009617F5">
              <w:rPr>
                <w:rFonts w:ascii="Arial" w:hAnsi="Arial" w:cs="Arial"/>
                <w:b/>
                <w:sz w:val="14"/>
                <w:szCs w:val="16"/>
              </w:rPr>
              <w:t>0,1752</w:t>
            </w:r>
          </w:p>
        </w:tc>
        <w:tc>
          <w:tcPr>
            <w:tcW w:w="817" w:type="dxa"/>
            <w:shd w:val="clear" w:color="auto" w:fill="auto"/>
            <w:vAlign w:val="center"/>
          </w:tcPr>
          <w:p w14:paraId="1090ED2C" w14:textId="77777777" w:rsidR="009617F5" w:rsidRPr="009617F5" w:rsidRDefault="009617F5" w:rsidP="00286F7D">
            <w:pPr>
              <w:rPr>
                <w:rFonts w:ascii="Arial" w:hAnsi="Arial" w:cs="Arial"/>
                <w:b/>
                <w:sz w:val="14"/>
                <w:szCs w:val="16"/>
              </w:rPr>
            </w:pPr>
          </w:p>
        </w:tc>
        <w:tc>
          <w:tcPr>
            <w:tcW w:w="819" w:type="dxa"/>
            <w:shd w:val="clear" w:color="auto" w:fill="auto"/>
            <w:vAlign w:val="center"/>
          </w:tcPr>
          <w:p w14:paraId="22E77BC4" w14:textId="77777777" w:rsidR="009617F5" w:rsidRPr="009617F5" w:rsidRDefault="009617F5" w:rsidP="00286F7D">
            <w:pPr>
              <w:rPr>
                <w:rFonts w:ascii="Arial" w:hAnsi="Arial" w:cs="Arial"/>
                <w:b/>
                <w:sz w:val="14"/>
                <w:szCs w:val="16"/>
              </w:rPr>
            </w:pPr>
          </w:p>
        </w:tc>
        <w:tc>
          <w:tcPr>
            <w:tcW w:w="819" w:type="dxa"/>
            <w:shd w:val="clear" w:color="auto" w:fill="auto"/>
            <w:vAlign w:val="center"/>
          </w:tcPr>
          <w:p w14:paraId="2583CC52" w14:textId="77777777" w:rsidR="009617F5" w:rsidRPr="009617F5" w:rsidRDefault="009617F5" w:rsidP="00286F7D">
            <w:pPr>
              <w:rPr>
                <w:rFonts w:ascii="Arial" w:hAnsi="Arial" w:cs="Arial"/>
                <w:b/>
                <w:sz w:val="14"/>
                <w:szCs w:val="16"/>
              </w:rPr>
            </w:pPr>
          </w:p>
        </w:tc>
        <w:tc>
          <w:tcPr>
            <w:tcW w:w="822" w:type="dxa"/>
            <w:shd w:val="clear" w:color="auto" w:fill="auto"/>
            <w:vAlign w:val="center"/>
          </w:tcPr>
          <w:p w14:paraId="4C422F85" w14:textId="77777777" w:rsidR="009617F5" w:rsidRPr="009617F5" w:rsidRDefault="009617F5" w:rsidP="00286F7D">
            <w:pPr>
              <w:rPr>
                <w:rFonts w:ascii="Arial" w:hAnsi="Arial" w:cs="Arial"/>
                <w:b/>
                <w:sz w:val="14"/>
                <w:szCs w:val="16"/>
              </w:rPr>
            </w:pPr>
          </w:p>
        </w:tc>
        <w:tc>
          <w:tcPr>
            <w:tcW w:w="821" w:type="dxa"/>
            <w:shd w:val="clear" w:color="auto" w:fill="auto"/>
            <w:vAlign w:val="center"/>
          </w:tcPr>
          <w:p w14:paraId="2225D0F8" w14:textId="77777777" w:rsidR="009617F5" w:rsidRPr="009617F5" w:rsidRDefault="009617F5" w:rsidP="00286F7D">
            <w:pPr>
              <w:rPr>
                <w:rFonts w:ascii="Arial" w:hAnsi="Arial" w:cs="Arial"/>
                <w:b/>
                <w:sz w:val="14"/>
                <w:szCs w:val="16"/>
              </w:rPr>
            </w:pPr>
          </w:p>
        </w:tc>
        <w:tc>
          <w:tcPr>
            <w:tcW w:w="1647" w:type="dxa"/>
            <w:shd w:val="clear" w:color="auto" w:fill="auto"/>
            <w:vAlign w:val="center"/>
          </w:tcPr>
          <w:p w14:paraId="1FCE70CB" w14:textId="77777777" w:rsidR="009617F5" w:rsidRPr="009617F5" w:rsidRDefault="009617F5" w:rsidP="00286F7D">
            <w:pPr>
              <w:rPr>
                <w:rFonts w:ascii="Arial" w:hAnsi="Arial" w:cs="Arial"/>
                <w:b/>
                <w:sz w:val="14"/>
                <w:szCs w:val="16"/>
              </w:rPr>
            </w:pPr>
          </w:p>
        </w:tc>
      </w:tr>
      <w:tr w:rsidR="009617F5" w:rsidRPr="009617F5" w14:paraId="5F77CD66" w14:textId="77777777" w:rsidTr="00286F7D">
        <w:trPr>
          <w:trHeight w:val="397"/>
        </w:trPr>
        <w:tc>
          <w:tcPr>
            <w:tcW w:w="833" w:type="dxa"/>
            <w:shd w:val="clear" w:color="auto" w:fill="auto"/>
            <w:vAlign w:val="center"/>
          </w:tcPr>
          <w:p w14:paraId="558F27CE" w14:textId="77777777" w:rsidR="009617F5" w:rsidRPr="009617F5" w:rsidRDefault="009617F5" w:rsidP="00286F7D">
            <w:pPr>
              <w:rPr>
                <w:rFonts w:ascii="Arial" w:hAnsi="Arial" w:cs="Arial"/>
                <w:b/>
                <w:sz w:val="14"/>
                <w:szCs w:val="16"/>
              </w:rPr>
            </w:pPr>
            <w:r w:rsidRPr="009617F5">
              <w:rPr>
                <w:rFonts w:ascii="Arial" w:hAnsi="Arial" w:cs="Arial"/>
                <w:b/>
                <w:sz w:val="14"/>
                <w:szCs w:val="16"/>
              </w:rPr>
              <w:t>8Z-3</w:t>
            </w:r>
          </w:p>
        </w:tc>
        <w:tc>
          <w:tcPr>
            <w:tcW w:w="1641" w:type="dxa"/>
            <w:shd w:val="clear" w:color="auto" w:fill="auto"/>
            <w:vAlign w:val="center"/>
          </w:tcPr>
          <w:p w14:paraId="6FF6E82B"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6E35ADC2" w14:textId="77777777" w:rsidR="009617F5" w:rsidRPr="009617F5" w:rsidRDefault="009617F5" w:rsidP="00286F7D">
            <w:pPr>
              <w:rPr>
                <w:rFonts w:ascii="Arial" w:hAnsi="Arial" w:cs="Arial"/>
                <w:b/>
                <w:sz w:val="14"/>
                <w:szCs w:val="16"/>
              </w:rPr>
            </w:pPr>
            <w:r w:rsidRPr="009617F5">
              <w:rPr>
                <w:rFonts w:ascii="Arial" w:hAnsi="Arial" w:cs="Arial"/>
                <w:b/>
                <w:sz w:val="14"/>
                <w:szCs w:val="16"/>
              </w:rPr>
              <w:t>1,0011</w:t>
            </w:r>
          </w:p>
        </w:tc>
        <w:tc>
          <w:tcPr>
            <w:tcW w:w="828" w:type="dxa"/>
            <w:shd w:val="clear" w:color="auto" w:fill="auto"/>
            <w:vAlign w:val="center"/>
          </w:tcPr>
          <w:p w14:paraId="1C57DA4C" w14:textId="77777777" w:rsidR="009617F5" w:rsidRPr="009617F5" w:rsidRDefault="009617F5" w:rsidP="00286F7D">
            <w:pPr>
              <w:rPr>
                <w:rFonts w:ascii="Arial" w:hAnsi="Arial" w:cs="Arial"/>
                <w:b/>
                <w:sz w:val="14"/>
                <w:szCs w:val="16"/>
              </w:rPr>
            </w:pPr>
            <w:r w:rsidRPr="009617F5">
              <w:rPr>
                <w:rFonts w:ascii="Arial" w:hAnsi="Arial" w:cs="Arial"/>
                <w:b/>
                <w:sz w:val="14"/>
                <w:szCs w:val="16"/>
              </w:rPr>
              <w:t>0,7605</w:t>
            </w:r>
          </w:p>
        </w:tc>
        <w:tc>
          <w:tcPr>
            <w:tcW w:w="999" w:type="dxa"/>
            <w:shd w:val="clear" w:color="auto" w:fill="auto"/>
            <w:vAlign w:val="center"/>
          </w:tcPr>
          <w:p w14:paraId="715E61F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4CE0F7B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6D8C80FF" w14:textId="77777777" w:rsidR="009617F5" w:rsidRPr="009617F5" w:rsidRDefault="009617F5" w:rsidP="00286F7D">
            <w:pPr>
              <w:rPr>
                <w:rFonts w:ascii="Arial" w:hAnsi="Arial" w:cs="Arial"/>
                <w:b/>
                <w:sz w:val="14"/>
                <w:szCs w:val="16"/>
              </w:rPr>
            </w:pPr>
            <w:r w:rsidRPr="009617F5">
              <w:rPr>
                <w:rFonts w:ascii="Arial" w:hAnsi="Arial" w:cs="Arial"/>
                <w:b/>
                <w:sz w:val="14"/>
                <w:szCs w:val="16"/>
              </w:rPr>
              <w:t>0,2406</w:t>
            </w:r>
          </w:p>
        </w:tc>
        <w:tc>
          <w:tcPr>
            <w:tcW w:w="835" w:type="dxa"/>
            <w:shd w:val="clear" w:color="auto" w:fill="auto"/>
            <w:vAlign w:val="center"/>
          </w:tcPr>
          <w:p w14:paraId="423D9C1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099F619"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3D82EB7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28FC131" w14:textId="77777777" w:rsidR="009617F5" w:rsidRPr="009617F5" w:rsidRDefault="009617F5" w:rsidP="00286F7D">
            <w:pPr>
              <w:rPr>
                <w:rFonts w:ascii="Arial" w:hAnsi="Arial" w:cs="Arial"/>
                <w:b/>
                <w:sz w:val="14"/>
                <w:szCs w:val="16"/>
              </w:rPr>
            </w:pPr>
            <w:r w:rsidRPr="009617F5">
              <w:rPr>
                <w:rFonts w:ascii="Arial" w:hAnsi="Arial" w:cs="Arial"/>
                <w:b/>
                <w:sz w:val="14"/>
                <w:szCs w:val="16"/>
              </w:rPr>
              <w:t>1,0011</w:t>
            </w:r>
          </w:p>
        </w:tc>
        <w:tc>
          <w:tcPr>
            <w:tcW w:w="819" w:type="dxa"/>
            <w:shd w:val="clear" w:color="auto" w:fill="auto"/>
            <w:vAlign w:val="center"/>
          </w:tcPr>
          <w:p w14:paraId="3FF35EE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768C7F2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06F821E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7839E0F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3721D5A5" w14:textId="77777777" w:rsidTr="00286F7D">
        <w:trPr>
          <w:trHeight w:val="397"/>
        </w:trPr>
        <w:tc>
          <w:tcPr>
            <w:tcW w:w="833" w:type="dxa"/>
            <w:shd w:val="clear" w:color="auto" w:fill="auto"/>
            <w:vAlign w:val="center"/>
          </w:tcPr>
          <w:p w14:paraId="120FBD77" w14:textId="77777777" w:rsidR="009617F5" w:rsidRPr="009617F5" w:rsidRDefault="009617F5" w:rsidP="00286F7D">
            <w:pPr>
              <w:rPr>
                <w:rFonts w:ascii="Arial" w:hAnsi="Arial" w:cs="Arial"/>
                <w:b/>
                <w:sz w:val="14"/>
                <w:szCs w:val="16"/>
              </w:rPr>
            </w:pPr>
          </w:p>
        </w:tc>
        <w:tc>
          <w:tcPr>
            <w:tcW w:w="1641" w:type="dxa"/>
            <w:shd w:val="clear" w:color="auto" w:fill="auto"/>
            <w:vAlign w:val="center"/>
          </w:tcPr>
          <w:p w14:paraId="00E437EE"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4E4253B1" w14:textId="77777777" w:rsidR="009617F5" w:rsidRPr="009617F5" w:rsidRDefault="009617F5" w:rsidP="00286F7D">
            <w:pPr>
              <w:rPr>
                <w:rFonts w:ascii="Arial" w:hAnsi="Arial" w:cs="Arial"/>
                <w:b/>
                <w:sz w:val="14"/>
                <w:szCs w:val="16"/>
              </w:rPr>
            </w:pPr>
          </w:p>
        </w:tc>
        <w:tc>
          <w:tcPr>
            <w:tcW w:w="828" w:type="dxa"/>
            <w:shd w:val="clear" w:color="auto" w:fill="auto"/>
            <w:vAlign w:val="center"/>
          </w:tcPr>
          <w:p w14:paraId="619189E9" w14:textId="77777777" w:rsidR="009617F5" w:rsidRPr="009617F5" w:rsidRDefault="009617F5" w:rsidP="00286F7D">
            <w:pPr>
              <w:rPr>
                <w:rFonts w:ascii="Arial" w:hAnsi="Arial" w:cs="Arial"/>
                <w:b/>
                <w:sz w:val="14"/>
                <w:szCs w:val="16"/>
              </w:rPr>
            </w:pPr>
          </w:p>
        </w:tc>
        <w:tc>
          <w:tcPr>
            <w:tcW w:w="999" w:type="dxa"/>
            <w:shd w:val="clear" w:color="auto" w:fill="auto"/>
            <w:vAlign w:val="center"/>
          </w:tcPr>
          <w:p w14:paraId="2764A86E" w14:textId="77777777" w:rsidR="009617F5" w:rsidRPr="009617F5" w:rsidRDefault="009617F5" w:rsidP="00286F7D">
            <w:pPr>
              <w:rPr>
                <w:rFonts w:ascii="Arial" w:hAnsi="Arial" w:cs="Arial"/>
                <w:b/>
                <w:sz w:val="14"/>
                <w:szCs w:val="16"/>
              </w:rPr>
            </w:pPr>
          </w:p>
        </w:tc>
        <w:tc>
          <w:tcPr>
            <w:tcW w:w="831" w:type="dxa"/>
            <w:shd w:val="clear" w:color="auto" w:fill="auto"/>
            <w:vAlign w:val="center"/>
          </w:tcPr>
          <w:p w14:paraId="5B9E564E"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6461E013" w14:textId="77777777" w:rsidR="009617F5" w:rsidRPr="009617F5" w:rsidRDefault="009617F5" w:rsidP="00286F7D">
            <w:pPr>
              <w:rPr>
                <w:rFonts w:ascii="Arial" w:hAnsi="Arial" w:cs="Arial"/>
                <w:b/>
                <w:sz w:val="14"/>
                <w:szCs w:val="16"/>
              </w:rPr>
            </w:pPr>
          </w:p>
        </w:tc>
        <w:tc>
          <w:tcPr>
            <w:tcW w:w="835" w:type="dxa"/>
            <w:shd w:val="clear" w:color="auto" w:fill="auto"/>
            <w:vAlign w:val="center"/>
          </w:tcPr>
          <w:p w14:paraId="19DE2EC4"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7BB4E453" w14:textId="77777777" w:rsidR="009617F5" w:rsidRPr="009617F5" w:rsidRDefault="009617F5" w:rsidP="00286F7D">
            <w:pPr>
              <w:rPr>
                <w:rFonts w:ascii="Arial" w:hAnsi="Arial" w:cs="Arial"/>
                <w:b/>
                <w:sz w:val="14"/>
                <w:szCs w:val="16"/>
              </w:rPr>
            </w:pPr>
          </w:p>
        </w:tc>
        <w:tc>
          <w:tcPr>
            <w:tcW w:w="817" w:type="dxa"/>
            <w:shd w:val="clear" w:color="auto" w:fill="auto"/>
            <w:vAlign w:val="center"/>
          </w:tcPr>
          <w:p w14:paraId="65A83D29" w14:textId="77777777" w:rsidR="009617F5" w:rsidRPr="009617F5" w:rsidRDefault="009617F5" w:rsidP="00286F7D">
            <w:pPr>
              <w:rPr>
                <w:rFonts w:ascii="Arial" w:hAnsi="Arial" w:cs="Arial"/>
                <w:b/>
                <w:sz w:val="14"/>
                <w:szCs w:val="16"/>
              </w:rPr>
            </w:pPr>
          </w:p>
        </w:tc>
        <w:tc>
          <w:tcPr>
            <w:tcW w:w="819" w:type="dxa"/>
            <w:shd w:val="clear" w:color="auto" w:fill="auto"/>
            <w:vAlign w:val="center"/>
          </w:tcPr>
          <w:p w14:paraId="023F353A" w14:textId="77777777" w:rsidR="009617F5" w:rsidRPr="009617F5" w:rsidRDefault="009617F5" w:rsidP="00286F7D">
            <w:pPr>
              <w:rPr>
                <w:rFonts w:ascii="Arial" w:hAnsi="Arial" w:cs="Arial"/>
                <w:b/>
                <w:sz w:val="14"/>
                <w:szCs w:val="16"/>
              </w:rPr>
            </w:pPr>
          </w:p>
        </w:tc>
        <w:tc>
          <w:tcPr>
            <w:tcW w:w="819" w:type="dxa"/>
            <w:shd w:val="clear" w:color="auto" w:fill="auto"/>
            <w:vAlign w:val="center"/>
          </w:tcPr>
          <w:p w14:paraId="4DE991B1" w14:textId="77777777" w:rsidR="009617F5" w:rsidRPr="009617F5" w:rsidRDefault="009617F5" w:rsidP="00286F7D">
            <w:pPr>
              <w:rPr>
                <w:rFonts w:ascii="Arial" w:hAnsi="Arial" w:cs="Arial"/>
                <w:b/>
                <w:sz w:val="14"/>
                <w:szCs w:val="16"/>
              </w:rPr>
            </w:pPr>
          </w:p>
        </w:tc>
        <w:tc>
          <w:tcPr>
            <w:tcW w:w="822" w:type="dxa"/>
            <w:shd w:val="clear" w:color="auto" w:fill="auto"/>
            <w:vAlign w:val="center"/>
          </w:tcPr>
          <w:p w14:paraId="1486FFCF" w14:textId="77777777" w:rsidR="009617F5" w:rsidRPr="009617F5" w:rsidRDefault="009617F5" w:rsidP="00286F7D">
            <w:pPr>
              <w:rPr>
                <w:rFonts w:ascii="Arial" w:hAnsi="Arial" w:cs="Arial"/>
                <w:b/>
                <w:sz w:val="14"/>
                <w:szCs w:val="16"/>
              </w:rPr>
            </w:pPr>
          </w:p>
        </w:tc>
        <w:tc>
          <w:tcPr>
            <w:tcW w:w="821" w:type="dxa"/>
            <w:shd w:val="clear" w:color="auto" w:fill="auto"/>
            <w:vAlign w:val="center"/>
          </w:tcPr>
          <w:p w14:paraId="1A105DC7" w14:textId="77777777" w:rsidR="009617F5" w:rsidRPr="009617F5" w:rsidRDefault="009617F5" w:rsidP="00286F7D">
            <w:pPr>
              <w:rPr>
                <w:rFonts w:ascii="Arial" w:hAnsi="Arial" w:cs="Arial"/>
                <w:b/>
                <w:sz w:val="14"/>
                <w:szCs w:val="16"/>
              </w:rPr>
            </w:pPr>
          </w:p>
        </w:tc>
        <w:tc>
          <w:tcPr>
            <w:tcW w:w="1647" w:type="dxa"/>
            <w:shd w:val="clear" w:color="auto" w:fill="auto"/>
            <w:vAlign w:val="center"/>
          </w:tcPr>
          <w:p w14:paraId="00EA49E7" w14:textId="77777777" w:rsidR="009617F5" w:rsidRPr="009617F5" w:rsidRDefault="009617F5" w:rsidP="00286F7D">
            <w:pPr>
              <w:rPr>
                <w:rFonts w:ascii="Arial" w:hAnsi="Arial" w:cs="Arial"/>
                <w:b/>
                <w:sz w:val="14"/>
                <w:szCs w:val="16"/>
              </w:rPr>
            </w:pPr>
          </w:p>
        </w:tc>
      </w:tr>
      <w:tr w:rsidR="009617F5" w:rsidRPr="009617F5" w14:paraId="59DAFCAB" w14:textId="77777777" w:rsidTr="00286F7D">
        <w:trPr>
          <w:trHeight w:val="397"/>
        </w:trPr>
        <w:tc>
          <w:tcPr>
            <w:tcW w:w="833" w:type="dxa"/>
            <w:shd w:val="clear" w:color="auto" w:fill="auto"/>
            <w:vAlign w:val="center"/>
          </w:tcPr>
          <w:p w14:paraId="280DF3A9" w14:textId="77777777" w:rsidR="009617F5" w:rsidRPr="009617F5" w:rsidRDefault="009617F5" w:rsidP="00286F7D">
            <w:pPr>
              <w:rPr>
                <w:rFonts w:ascii="Arial" w:hAnsi="Arial" w:cs="Arial"/>
                <w:b/>
                <w:sz w:val="14"/>
                <w:szCs w:val="16"/>
              </w:rPr>
            </w:pPr>
            <w:r w:rsidRPr="009617F5">
              <w:rPr>
                <w:rFonts w:ascii="Arial" w:hAnsi="Arial" w:cs="Arial"/>
                <w:b/>
                <w:sz w:val="14"/>
                <w:szCs w:val="16"/>
              </w:rPr>
              <w:t>8Z-7</w:t>
            </w:r>
          </w:p>
        </w:tc>
        <w:tc>
          <w:tcPr>
            <w:tcW w:w="1641" w:type="dxa"/>
            <w:shd w:val="clear" w:color="auto" w:fill="auto"/>
            <w:vAlign w:val="center"/>
          </w:tcPr>
          <w:p w14:paraId="3A495BBC"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2B50FDC3" w14:textId="77777777" w:rsidR="009617F5" w:rsidRPr="009617F5" w:rsidRDefault="009617F5" w:rsidP="00286F7D">
            <w:pPr>
              <w:rPr>
                <w:rFonts w:ascii="Arial" w:hAnsi="Arial" w:cs="Arial"/>
                <w:b/>
                <w:sz w:val="14"/>
                <w:szCs w:val="16"/>
              </w:rPr>
            </w:pPr>
            <w:r w:rsidRPr="009617F5">
              <w:rPr>
                <w:rFonts w:ascii="Arial" w:hAnsi="Arial" w:cs="Arial"/>
                <w:b/>
                <w:sz w:val="14"/>
                <w:szCs w:val="16"/>
              </w:rPr>
              <w:t>0,1340</w:t>
            </w:r>
          </w:p>
        </w:tc>
        <w:tc>
          <w:tcPr>
            <w:tcW w:w="828" w:type="dxa"/>
            <w:shd w:val="clear" w:color="auto" w:fill="auto"/>
            <w:vAlign w:val="center"/>
          </w:tcPr>
          <w:p w14:paraId="5D23D9B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4364EE7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121D3E0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6E12A26" w14:textId="77777777" w:rsidR="009617F5" w:rsidRPr="009617F5" w:rsidRDefault="009617F5" w:rsidP="00286F7D">
            <w:pPr>
              <w:rPr>
                <w:rFonts w:ascii="Arial" w:hAnsi="Arial" w:cs="Arial"/>
                <w:b/>
                <w:sz w:val="14"/>
                <w:szCs w:val="16"/>
              </w:rPr>
            </w:pPr>
            <w:r w:rsidRPr="009617F5">
              <w:rPr>
                <w:rFonts w:ascii="Arial" w:hAnsi="Arial" w:cs="Arial"/>
                <w:b/>
                <w:sz w:val="14"/>
                <w:szCs w:val="16"/>
              </w:rPr>
              <w:t>0,1340</w:t>
            </w:r>
          </w:p>
        </w:tc>
        <w:tc>
          <w:tcPr>
            <w:tcW w:w="835" w:type="dxa"/>
            <w:shd w:val="clear" w:color="auto" w:fill="auto"/>
            <w:vAlign w:val="center"/>
          </w:tcPr>
          <w:p w14:paraId="071AAF9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25CF587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1E81F64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AD1868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3223A70"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6328B56D" w14:textId="77777777" w:rsidR="009617F5" w:rsidRPr="009617F5" w:rsidRDefault="009617F5" w:rsidP="00286F7D">
            <w:pPr>
              <w:rPr>
                <w:rFonts w:ascii="Arial" w:hAnsi="Arial" w:cs="Arial"/>
                <w:b/>
                <w:sz w:val="14"/>
                <w:szCs w:val="16"/>
              </w:rPr>
            </w:pPr>
            <w:r w:rsidRPr="009617F5">
              <w:rPr>
                <w:rFonts w:ascii="Arial" w:hAnsi="Arial" w:cs="Arial"/>
                <w:b/>
                <w:sz w:val="14"/>
                <w:szCs w:val="16"/>
              </w:rPr>
              <w:t>0,1340</w:t>
            </w:r>
          </w:p>
        </w:tc>
        <w:tc>
          <w:tcPr>
            <w:tcW w:w="821" w:type="dxa"/>
            <w:shd w:val="clear" w:color="auto" w:fill="auto"/>
            <w:vAlign w:val="center"/>
          </w:tcPr>
          <w:p w14:paraId="2BC4EF2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3D17EC8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58B37605" w14:textId="77777777" w:rsidTr="00286F7D">
        <w:trPr>
          <w:trHeight w:val="397"/>
        </w:trPr>
        <w:tc>
          <w:tcPr>
            <w:tcW w:w="833" w:type="dxa"/>
            <w:shd w:val="clear" w:color="auto" w:fill="auto"/>
            <w:vAlign w:val="center"/>
          </w:tcPr>
          <w:p w14:paraId="411C1A57" w14:textId="77777777" w:rsidR="009617F5" w:rsidRPr="009617F5" w:rsidRDefault="009617F5" w:rsidP="00286F7D">
            <w:pPr>
              <w:rPr>
                <w:rFonts w:ascii="Arial" w:hAnsi="Arial" w:cs="Arial"/>
                <w:b/>
                <w:sz w:val="14"/>
                <w:szCs w:val="16"/>
              </w:rPr>
            </w:pPr>
            <w:r w:rsidRPr="009617F5">
              <w:rPr>
                <w:rFonts w:ascii="Arial" w:hAnsi="Arial" w:cs="Arial"/>
                <w:b/>
                <w:sz w:val="14"/>
                <w:szCs w:val="16"/>
              </w:rPr>
              <w:t>8Z-12</w:t>
            </w:r>
          </w:p>
        </w:tc>
        <w:tc>
          <w:tcPr>
            <w:tcW w:w="1641" w:type="dxa"/>
            <w:shd w:val="clear" w:color="auto" w:fill="auto"/>
            <w:vAlign w:val="center"/>
          </w:tcPr>
          <w:p w14:paraId="6E2B5CDC"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10965B49" w14:textId="77777777" w:rsidR="009617F5" w:rsidRPr="009617F5" w:rsidRDefault="009617F5" w:rsidP="00286F7D">
            <w:pPr>
              <w:rPr>
                <w:rFonts w:ascii="Arial" w:hAnsi="Arial" w:cs="Arial"/>
                <w:b/>
                <w:sz w:val="14"/>
                <w:szCs w:val="16"/>
              </w:rPr>
            </w:pPr>
            <w:r w:rsidRPr="009617F5">
              <w:rPr>
                <w:rFonts w:ascii="Arial" w:hAnsi="Arial" w:cs="Arial"/>
                <w:b/>
                <w:sz w:val="14"/>
                <w:szCs w:val="16"/>
              </w:rPr>
              <w:t>0,1443</w:t>
            </w:r>
          </w:p>
        </w:tc>
        <w:tc>
          <w:tcPr>
            <w:tcW w:w="828" w:type="dxa"/>
            <w:shd w:val="clear" w:color="auto" w:fill="auto"/>
            <w:vAlign w:val="center"/>
          </w:tcPr>
          <w:p w14:paraId="7338C0A1" w14:textId="77777777" w:rsidR="009617F5" w:rsidRPr="009617F5" w:rsidRDefault="009617F5" w:rsidP="00286F7D">
            <w:pPr>
              <w:rPr>
                <w:rFonts w:ascii="Arial" w:hAnsi="Arial" w:cs="Arial"/>
                <w:b/>
                <w:sz w:val="14"/>
                <w:szCs w:val="16"/>
              </w:rPr>
            </w:pPr>
            <w:r w:rsidRPr="009617F5">
              <w:rPr>
                <w:rFonts w:ascii="Arial" w:hAnsi="Arial" w:cs="Arial"/>
                <w:b/>
                <w:sz w:val="14"/>
                <w:szCs w:val="16"/>
              </w:rPr>
              <w:t>0,1000</w:t>
            </w:r>
          </w:p>
        </w:tc>
        <w:tc>
          <w:tcPr>
            <w:tcW w:w="999" w:type="dxa"/>
            <w:shd w:val="clear" w:color="auto" w:fill="auto"/>
            <w:vAlign w:val="center"/>
          </w:tcPr>
          <w:p w14:paraId="6342DAC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16CFA23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68DF77C" w14:textId="77777777" w:rsidR="009617F5" w:rsidRPr="009617F5" w:rsidRDefault="009617F5" w:rsidP="00286F7D">
            <w:pPr>
              <w:rPr>
                <w:rFonts w:ascii="Arial" w:hAnsi="Arial" w:cs="Arial"/>
                <w:b/>
                <w:sz w:val="14"/>
                <w:szCs w:val="16"/>
              </w:rPr>
            </w:pPr>
            <w:r w:rsidRPr="009617F5">
              <w:rPr>
                <w:rFonts w:ascii="Arial" w:hAnsi="Arial" w:cs="Arial"/>
                <w:b/>
                <w:sz w:val="14"/>
                <w:szCs w:val="16"/>
              </w:rPr>
              <w:t>0,0443</w:t>
            </w:r>
          </w:p>
        </w:tc>
        <w:tc>
          <w:tcPr>
            <w:tcW w:w="835" w:type="dxa"/>
            <w:shd w:val="clear" w:color="auto" w:fill="auto"/>
            <w:vAlign w:val="center"/>
          </w:tcPr>
          <w:p w14:paraId="7F5C2709"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0D52800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31074F4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0787D55" w14:textId="77777777" w:rsidR="009617F5" w:rsidRPr="009617F5" w:rsidRDefault="009617F5" w:rsidP="00286F7D">
            <w:pPr>
              <w:rPr>
                <w:rFonts w:ascii="Arial" w:hAnsi="Arial" w:cs="Arial"/>
                <w:b/>
                <w:sz w:val="14"/>
                <w:szCs w:val="16"/>
              </w:rPr>
            </w:pPr>
            <w:r w:rsidRPr="009617F5">
              <w:rPr>
                <w:rFonts w:ascii="Arial" w:hAnsi="Arial" w:cs="Arial"/>
                <w:b/>
                <w:sz w:val="14"/>
                <w:szCs w:val="16"/>
              </w:rPr>
              <w:t>0,1000</w:t>
            </w:r>
          </w:p>
        </w:tc>
        <w:tc>
          <w:tcPr>
            <w:tcW w:w="819" w:type="dxa"/>
            <w:shd w:val="clear" w:color="auto" w:fill="auto"/>
            <w:vAlign w:val="center"/>
          </w:tcPr>
          <w:p w14:paraId="296CDE00"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508D81B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1" w:type="dxa"/>
            <w:shd w:val="clear" w:color="auto" w:fill="auto"/>
            <w:vAlign w:val="center"/>
          </w:tcPr>
          <w:p w14:paraId="5FB6150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67523B2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403C7747" w14:textId="77777777" w:rsidTr="00286F7D">
        <w:trPr>
          <w:trHeight w:val="397"/>
        </w:trPr>
        <w:tc>
          <w:tcPr>
            <w:tcW w:w="833" w:type="dxa"/>
            <w:shd w:val="clear" w:color="auto" w:fill="auto"/>
            <w:vAlign w:val="center"/>
          </w:tcPr>
          <w:p w14:paraId="77C38284" w14:textId="77777777" w:rsidR="009617F5" w:rsidRPr="009617F5" w:rsidRDefault="009617F5" w:rsidP="00286F7D">
            <w:pPr>
              <w:rPr>
                <w:rFonts w:ascii="Arial" w:hAnsi="Arial" w:cs="Arial"/>
                <w:b/>
                <w:sz w:val="14"/>
                <w:szCs w:val="16"/>
              </w:rPr>
            </w:pPr>
          </w:p>
        </w:tc>
        <w:tc>
          <w:tcPr>
            <w:tcW w:w="1641" w:type="dxa"/>
            <w:shd w:val="clear" w:color="auto" w:fill="auto"/>
            <w:vAlign w:val="center"/>
          </w:tcPr>
          <w:p w14:paraId="227306F4"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31DE8201" w14:textId="77777777" w:rsidR="009617F5" w:rsidRPr="009617F5" w:rsidRDefault="009617F5" w:rsidP="00286F7D">
            <w:pPr>
              <w:rPr>
                <w:rFonts w:ascii="Arial" w:hAnsi="Arial" w:cs="Arial"/>
                <w:b/>
                <w:sz w:val="14"/>
                <w:szCs w:val="16"/>
              </w:rPr>
            </w:pPr>
          </w:p>
        </w:tc>
        <w:tc>
          <w:tcPr>
            <w:tcW w:w="828" w:type="dxa"/>
            <w:shd w:val="clear" w:color="auto" w:fill="auto"/>
            <w:vAlign w:val="center"/>
          </w:tcPr>
          <w:p w14:paraId="402E1F27" w14:textId="77777777" w:rsidR="009617F5" w:rsidRPr="009617F5" w:rsidRDefault="009617F5" w:rsidP="00286F7D">
            <w:pPr>
              <w:rPr>
                <w:rFonts w:ascii="Arial" w:hAnsi="Arial" w:cs="Arial"/>
                <w:b/>
                <w:sz w:val="14"/>
                <w:szCs w:val="16"/>
              </w:rPr>
            </w:pPr>
          </w:p>
        </w:tc>
        <w:tc>
          <w:tcPr>
            <w:tcW w:w="999" w:type="dxa"/>
            <w:shd w:val="clear" w:color="auto" w:fill="auto"/>
            <w:vAlign w:val="center"/>
          </w:tcPr>
          <w:p w14:paraId="446DFD40" w14:textId="77777777" w:rsidR="009617F5" w:rsidRPr="009617F5" w:rsidRDefault="009617F5" w:rsidP="00286F7D">
            <w:pPr>
              <w:rPr>
                <w:rFonts w:ascii="Arial" w:hAnsi="Arial" w:cs="Arial"/>
                <w:b/>
                <w:sz w:val="14"/>
                <w:szCs w:val="16"/>
              </w:rPr>
            </w:pPr>
          </w:p>
        </w:tc>
        <w:tc>
          <w:tcPr>
            <w:tcW w:w="831" w:type="dxa"/>
            <w:shd w:val="clear" w:color="auto" w:fill="auto"/>
            <w:vAlign w:val="center"/>
          </w:tcPr>
          <w:p w14:paraId="4A99512C"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76CBE56A" w14:textId="77777777" w:rsidR="009617F5" w:rsidRPr="009617F5" w:rsidRDefault="009617F5" w:rsidP="00286F7D">
            <w:pPr>
              <w:rPr>
                <w:rFonts w:ascii="Arial" w:hAnsi="Arial" w:cs="Arial"/>
                <w:b/>
                <w:sz w:val="14"/>
                <w:szCs w:val="16"/>
              </w:rPr>
            </w:pPr>
          </w:p>
        </w:tc>
        <w:tc>
          <w:tcPr>
            <w:tcW w:w="835" w:type="dxa"/>
            <w:shd w:val="clear" w:color="auto" w:fill="auto"/>
            <w:vAlign w:val="center"/>
          </w:tcPr>
          <w:p w14:paraId="072D0AF3"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6609AE11" w14:textId="77777777" w:rsidR="009617F5" w:rsidRPr="009617F5" w:rsidRDefault="009617F5" w:rsidP="00286F7D">
            <w:pPr>
              <w:rPr>
                <w:rFonts w:ascii="Arial" w:hAnsi="Arial" w:cs="Arial"/>
                <w:b/>
                <w:sz w:val="14"/>
                <w:szCs w:val="16"/>
              </w:rPr>
            </w:pPr>
          </w:p>
        </w:tc>
        <w:tc>
          <w:tcPr>
            <w:tcW w:w="817" w:type="dxa"/>
            <w:shd w:val="clear" w:color="auto" w:fill="auto"/>
            <w:vAlign w:val="center"/>
          </w:tcPr>
          <w:p w14:paraId="1C67BF4F" w14:textId="77777777" w:rsidR="009617F5" w:rsidRPr="009617F5" w:rsidRDefault="009617F5" w:rsidP="00286F7D">
            <w:pPr>
              <w:rPr>
                <w:rFonts w:ascii="Arial" w:hAnsi="Arial" w:cs="Arial"/>
                <w:b/>
                <w:sz w:val="14"/>
                <w:szCs w:val="16"/>
              </w:rPr>
            </w:pPr>
          </w:p>
        </w:tc>
        <w:tc>
          <w:tcPr>
            <w:tcW w:w="819" w:type="dxa"/>
            <w:shd w:val="clear" w:color="auto" w:fill="auto"/>
            <w:vAlign w:val="center"/>
          </w:tcPr>
          <w:p w14:paraId="5322FA36" w14:textId="77777777" w:rsidR="009617F5" w:rsidRPr="009617F5" w:rsidRDefault="009617F5" w:rsidP="00286F7D">
            <w:pPr>
              <w:rPr>
                <w:rFonts w:ascii="Arial" w:hAnsi="Arial" w:cs="Arial"/>
                <w:b/>
                <w:sz w:val="14"/>
                <w:szCs w:val="16"/>
              </w:rPr>
            </w:pPr>
          </w:p>
        </w:tc>
        <w:tc>
          <w:tcPr>
            <w:tcW w:w="819" w:type="dxa"/>
            <w:shd w:val="clear" w:color="auto" w:fill="auto"/>
            <w:vAlign w:val="center"/>
          </w:tcPr>
          <w:p w14:paraId="7FE5D283" w14:textId="77777777" w:rsidR="009617F5" w:rsidRPr="009617F5" w:rsidRDefault="009617F5" w:rsidP="00286F7D">
            <w:pPr>
              <w:rPr>
                <w:rFonts w:ascii="Arial" w:hAnsi="Arial" w:cs="Arial"/>
                <w:b/>
                <w:sz w:val="14"/>
                <w:szCs w:val="16"/>
              </w:rPr>
            </w:pPr>
          </w:p>
        </w:tc>
        <w:tc>
          <w:tcPr>
            <w:tcW w:w="822" w:type="dxa"/>
            <w:shd w:val="clear" w:color="auto" w:fill="auto"/>
            <w:vAlign w:val="center"/>
          </w:tcPr>
          <w:p w14:paraId="2EC9F72F" w14:textId="77777777" w:rsidR="009617F5" w:rsidRPr="009617F5" w:rsidRDefault="009617F5" w:rsidP="00286F7D">
            <w:pPr>
              <w:rPr>
                <w:rFonts w:ascii="Arial" w:hAnsi="Arial" w:cs="Arial"/>
                <w:b/>
                <w:sz w:val="14"/>
                <w:szCs w:val="16"/>
              </w:rPr>
            </w:pPr>
          </w:p>
        </w:tc>
        <w:tc>
          <w:tcPr>
            <w:tcW w:w="821" w:type="dxa"/>
            <w:shd w:val="clear" w:color="auto" w:fill="auto"/>
            <w:vAlign w:val="center"/>
          </w:tcPr>
          <w:p w14:paraId="151C88D7" w14:textId="77777777" w:rsidR="009617F5" w:rsidRPr="009617F5" w:rsidRDefault="009617F5" w:rsidP="00286F7D">
            <w:pPr>
              <w:rPr>
                <w:rFonts w:ascii="Arial" w:hAnsi="Arial" w:cs="Arial"/>
                <w:b/>
                <w:sz w:val="14"/>
                <w:szCs w:val="16"/>
              </w:rPr>
            </w:pPr>
          </w:p>
        </w:tc>
        <w:tc>
          <w:tcPr>
            <w:tcW w:w="1647" w:type="dxa"/>
            <w:shd w:val="clear" w:color="auto" w:fill="auto"/>
            <w:vAlign w:val="center"/>
          </w:tcPr>
          <w:p w14:paraId="02BA4D84" w14:textId="77777777" w:rsidR="009617F5" w:rsidRPr="009617F5" w:rsidRDefault="009617F5" w:rsidP="00286F7D">
            <w:pPr>
              <w:rPr>
                <w:rFonts w:ascii="Arial" w:hAnsi="Arial" w:cs="Arial"/>
                <w:b/>
                <w:sz w:val="14"/>
                <w:szCs w:val="16"/>
              </w:rPr>
            </w:pPr>
          </w:p>
        </w:tc>
      </w:tr>
      <w:tr w:rsidR="009617F5" w:rsidRPr="009617F5" w14:paraId="2A6AC0EC" w14:textId="77777777" w:rsidTr="00286F7D">
        <w:trPr>
          <w:trHeight w:val="397"/>
        </w:trPr>
        <w:tc>
          <w:tcPr>
            <w:tcW w:w="833" w:type="dxa"/>
            <w:shd w:val="clear" w:color="auto" w:fill="auto"/>
            <w:vAlign w:val="center"/>
          </w:tcPr>
          <w:p w14:paraId="6AB8ACB8" w14:textId="77777777" w:rsidR="009617F5" w:rsidRPr="009617F5" w:rsidRDefault="009617F5" w:rsidP="00286F7D">
            <w:pPr>
              <w:rPr>
                <w:rFonts w:ascii="Arial" w:hAnsi="Arial" w:cs="Arial"/>
                <w:b/>
                <w:sz w:val="14"/>
                <w:szCs w:val="16"/>
              </w:rPr>
            </w:pPr>
            <w:r w:rsidRPr="009617F5">
              <w:rPr>
                <w:rFonts w:ascii="Arial" w:hAnsi="Arial" w:cs="Arial"/>
                <w:b/>
                <w:sz w:val="14"/>
                <w:szCs w:val="16"/>
              </w:rPr>
              <w:t>8Z-19</w:t>
            </w:r>
          </w:p>
        </w:tc>
        <w:tc>
          <w:tcPr>
            <w:tcW w:w="1641" w:type="dxa"/>
            <w:shd w:val="clear" w:color="auto" w:fill="auto"/>
            <w:vAlign w:val="center"/>
          </w:tcPr>
          <w:p w14:paraId="49C6FC17"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71C1D1BF" w14:textId="77777777" w:rsidR="009617F5" w:rsidRPr="009617F5" w:rsidRDefault="009617F5" w:rsidP="00286F7D">
            <w:pPr>
              <w:rPr>
                <w:rFonts w:ascii="Arial" w:hAnsi="Arial" w:cs="Arial"/>
                <w:b/>
                <w:sz w:val="14"/>
                <w:szCs w:val="16"/>
              </w:rPr>
            </w:pPr>
            <w:r w:rsidRPr="009617F5">
              <w:rPr>
                <w:rFonts w:ascii="Arial" w:hAnsi="Arial" w:cs="Arial"/>
                <w:b/>
                <w:sz w:val="14"/>
                <w:szCs w:val="16"/>
              </w:rPr>
              <w:t>0,0677</w:t>
            </w:r>
          </w:p>
        </w:tc>
        <w:tc>
          <w:tcPr>
            <w:tcW w:w="828" w:type="dxa"/>
            <w:shd w:val="clear" w:color="auto" w:fill="auto"/>
            <w:vAlign w:val="center"/>
          </w:tcPr>
          <w:p w14:paraId="339892F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7F4AA38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6D70932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12C993F0" w14:textId="77777777" w:rsidR="009617F5" w:rsidRPr="009617F5" w:rsidRDefault="009617F5" w:rsidP="00286F7D">
            <w:pPr>
              <w:rPr>
                <w:rFonts w:ascii="Arial" w:hAnsi="Arial" w:cs="Arial"/>
                <w:b/>
                <w:sz w:val="14"/>
                <w:szCs w:val="16"/>
              </w:rPr>
            </w:pPr>
            <w:r w:rsidRPr="009617F5">
              <w:rPr>
                <w:rFonts w:ascii="Arial" w:hAnsi="Arial" w:cs="Arial"/>
                <w:b/>
                <w:sz w:val="14"/>
                <w:szCs w:val="16"/>
              </w:rPr>
              <w:t>0,0677</w:t>
            </w:r>
          </w:p>
        </w:tc>
        <w:tc>
          <w:tcPr>
            <w:tcW w:w="835" w:type="dxa"/>
            <w:shd w:val="clear" w:color="auto" w:fill="auto"/>
            <w:vAlign w:val="center"/>
          </w:tcPr>
          <w:p w14:paraId="5A3D192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74FAEB7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59294A6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2018B84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F62214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22A2B3ED" w14:textId="77777777" w:rsidR="009617F5" w:rsidRPr="009617F5" w:rsidRDefault="009617F5" w:rsidP="00286F7D">
            <w:pPr>
              <w:rPr>
                <w:rFonts w:ascii="Arial" w:hAnsi="Arial" w:cs="Arial"/>
                <w:b/>
                <w:sz w:val="14"/>
                <w:szCs w:val="16"/>
              </w:rPr>
            </w:pPr>
            <w:r w:rsidRPr="009617F5">
              <w:rPr>
                <w:rFonts w:ascii="Arial" w:hAnsi="Arial" w:cs="Arial"/>
                <w:b/>
                <w:sz w:val="14"/>
                <w:szCs w:val="16"/>
              </w:rPr>
              <w:t>0,0677</w:t>
            </w:r>
          </w:p>
        </w:tc>
        <w:tc>
          <w:tcPr>
            <w:tcW w:w="821" w:type="dxa"/>
            <w:shd w:val="clear" w:color="auto" w:fill="auto"/>
            <w:vAlign w:val="center"/>
          </w:tcPr>
          <w:p w14:paraId="56DD419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012959E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73E229FA" w14:textId="77777777" w:rsidTr="00286F7D">
        <w:trPr>
          <w:trHeight w:val="397"/>
        </w:trPr>
        <w:tc>
          <w:tcPr>
            <w:tcW w:w="833" w:type="dxa"/>
            <w:shd w:val="clear" w:color="auto" w:fill="auto"/>
            <w:vAlign w:val="center"/>
          </w:tcPr>
          <w:p w14:paraId="5C77D495" w14:textId="77777777" w:rsidR="009617F5" w:rsidRPr="009617F5" w:rsidRDefault="009617F5" w:rsidP="00286F7D">
            <w:pPr>
              <w:rPr>
                <w:rFonts w:ascii="Arial" w:hAnsi="Arial" w:cs="Arial"/>
                <w:b/>
                <w:sz w:val="14"/>
                <w:szCs w:val="16"/>
              </w:rPr>
            </w:pPr>
            <w:r w:rsidRPr="009617F5">
              <w:rPr>
                <w:rFonts w:ascii="Arial" w:hAnsi="Arial" w:cs="Arial"/>
                <w:b/>
                <w:sz w:val="14"/>
                <w:szCs w:val="16"/>
              </w:rPr>
              <w:t>8Z-35</w:t>
            </w:r>
          </w:p>
        </w:tc>
        <w:tc>
          <w:tcPr>
            <w:tcW w:w="1641" w:type="dxa"/>
            <w:shd w:val="clear" w:color="auto" w:fill="auto"/>
            <w:vAlign w:val="center"/>
          </w:tcPr>
          <w:p w14:paraId="7C233BF8"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6EC08789" w14:textId="77777777" w:rsidR="009617F5" w:rsidRPr="009617F5" w:rsidRDefault="009617F5" w:rsidP="00286F7D">
            <w:pPr>
              <w:rPr>
                <w:rFonts w:ascii="Arial" w:hAnsi="Arial" w:cs="Arial"/>
                <w:b/>
                <w:sz w:val="14"/>
                <w:szCs w:val="16"/>
              </w:rPr>
            </w:pPr>
            <w:r w:rsidRPr="009617F5">
              <w:rPr>
                <w:rFonts w:ascii="Arial" w:hAnsi="Arial" w:cs="Arial"/>
                <w:b/>
                <w:sz w:val="14"/>
                <w:szCs w:val="16"/>
              </w:rPr>
              <w:t>0,0636</w:t>
            </w:r>
          </w:p>
        </w:tc>
        <w:tc>
          <w:tcPr>
            <w:tcW w:w="828" w:type="dxa"/>
            <w:shd w:val="clear" w:color="auto" w:fill="auto"/>
            <w:vAlign w:val="center"/>
          </w:tcPr>
          <w:p w14:paraId="6B1C891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40C3BD4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30410DC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AB99176" w14:textId="77777777" w:rsidR="009617F5" w:rsidRPr="009617F5" w:rsidRDefault="009617F5" w:rsidP="00286F7D">
            <w:pPr>
              <w:rPr>
                <w:rFonts w:ascii="Arial" w:hAnsi="Arial" w:cs="Arial"/>
                <w:b/>
                <w:sz w:val="14"/>
                <w:szCs w:val="16"/>
              </w:rPr>
            </w:pPr>
            <w:r w:rsidRPr="009617F5">
              <w:rPr>
                <w:rFonts w:ascii="Arial" w:hAnsi="Arial" w:cs="Arial"/>
                <w:b/>
                <w:sz w:val="14"/>
                <w:szCs w:val="16"/>
              </w:rPr>
              <w:t>0,0636</w:t>
            </w:r>
          </w:p>
        </w:tc>
        <w:tc>
          <w:tcPr>
            <w:tcW w:w="835" w:type="dxa"/>
            <w:shd w:val="clear" w:color="auto" w:fill="auto"/>
            <w:vAlign w:val="center"/>
          </w:tcPr>
          <w:p w14:paraId="4C0E285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62F897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7" w:type="dxa"/>
            <w:shd w:val="clear" w:color="auto" w:fill="auto"/>
            <w:vAlign w:val="center"/>
          </w:tcPr>
          <w:p w14:paraId="78B8B87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188EC0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5CD43AE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54E5D3F7" w14:textId="77777777" w:rsidR="009617F5" w:rsidRPr="009617F5" w:rsidRDefault="009617F5" w:rsidP="00286F7D">
            <w:pPr>
              <w:rPr>
                <w:rFonts w:ascii="Arial" w:hAnsi="Arial" w:cs="Arial"/>
                <w:b/>
                <w:sz w:val="14"/>
                <w:szCs w:val="16"/>
              </w:rPr>
            </w:pPr>
            <w:r w:rsidRPr="009617F5">
              <w:rPr>
                <w:rFonts w:ascii="Arial" w:hAnsi="Arial" w:cs="Arial"/>
                <w:b/>
                <w:sz w:val="14"/>
                <w:szCs w:val="16"/>
              </w:rPr>
              <w:t>0,0636</w:t>
            </w:r>
          </w:p>
        </w:tc>
        <w:tc>
          <w:tcPr>
            <w:tcW w:w="821" w:type="dxa"/>
            <w:shd w:val="clear" w:color="auto" w:fill="auto"/>
            <w:vAlign w:val="center"/>
          </w:tcPr>
          <w:p w14:paraId="10018F3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26DFD459"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7AF367EC" w14:textId="77777777" w:rsidTr="00286F7D">
        <w:trPr>
          <w:trHeight w:val="397"/>
        </w:trPr>
        <w:tc>
          <w:tcPr>
            <w:tcW w:w="833" w:type="dxa"/>
            <w:shd w:val="clear" w:color="auto" w:fill="auto"/>
            <w:vAlign w:val="center"/>
          </w:tcPr>
          <w:p w14:paraId="46715F3F" w14:textId="77777777" w:rsidR="009617F5" w:rsidRPr="009617F5" w:rsidRDefault="009617F5" w:rsidP="00286F7D">
            <w:pPr>
              <w:rPr>
                <w:rFonts w:ascii="Arial" w:hAnsi="Arial" w:cs="Arial"/>
                <w:b/>
                <w:sz w:val="14"/>
                <w:szCs w:val="16"/>
              </w:rPr>
            </w:pPr>
            <w:r w:rsidRPr="009617F5">
              <w:rPr>
                <w:rFonts w:ascii="Arial" w:hAnsi="Arial" w:cs="Arial"/>
                <w:b/>
                <w:sz w:val="14"/>
                <w:szCs w:val="16"/>
              </w:rPr>
              <w:lastRenderedPageBreak/>
              <w:t>8Z-52</w:t>
            </w:r>
          </w:p>
        </w:tc>
        <w:tc>
          <w:tcPr>
            <w:tcW w:w="1641" w:type="dxa"/>
            <w:shd w:val="clear" w:color="auto" w:fill="auto"/>
            <w:vAlign w:val="center"/>
          </w:tcPr>
          <w:p w14:paraId="065FBE72"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w:t>
            </w:r>
          </w:p>
        </w:tc>
        <w:tc>
          <w:tcPr>
            <w:tcW w:w="836" w:type="dxa"/>
            <w:shd w:val="clear" w:color="auto" w:fill="auto"/>
            <w:vAlign w:val="center"/>
          </w:tcPr>
          <w:p w14:paraId="2219C4A0" w14:textId="77777777" w:rsidR="009617F5" w:rsidRPr="009617F5" w:rsidRDefault="009617F5" w:rsidP="00286F7D">
            <w:pPr>
              <w:rPr>
                <w:rFonts w:ascii="Arial" w:hAnsi="Arial" w:cs="Arial"/>
                <w:b/>
                <w:sz w:val="14"/>
                <w:szCs w:val="16"/>
              </w:rPr>
            </w:pPr>
            <w:r w:rsidRPr="009617F5">
              <w:rPr>
                <w:rFonts w:ascii="Arial" w:hAnsi="Arial" w:cs="Arial"/>
                <w:b/>
                <w:sz w:val="14"/>
                <w:szCs w:val="16"/>
              </w:rPr>
              <w:t>0,1275</w:t>
            </w:r>
          </w:p>
        </w:tc>
        <w:tc>
          <w:tcPr>
            <w:tcW w:w="828" w:type="dxa"/>
            <w:shd w:val="clear" w:color="auto" w:fill="auto"/>
            <w:vAlign w:val="center"/>
          </w:tcPr>
          <w:p w14:paraId="5199043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7643A6D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1C657A4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7C10B15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5" w:type="dxa"/>
            <w:shd w:val="clear" w:color="auto" w:fill="auto"/>
            <w:vAlign w:val="center"/>
          </w:tcPr>
          <w:p w14:paraId="2770FFC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35111164" w14:textId="77777777" w:rsidR="009617F5" w:rsidRPr="009617F5" w:rsidRDefault="009617F5" w:rsidP="00286F7D">
            <w:pPr>
              <w:rPr>
                <w:rFonts w:ascii="Arial" w:hAnsi="Arial" w:cs="Arial"/>
                <w:b/>
                <w:sz w:val="14"/>
                <w:szCs w:val="16"/>
              </w:rPr>
            </w:pPr>
            <w:r w:rsidRPr="009617F5">
              <w:rPr>
                <w:rFonts w:ascii="Arial" w:hAnsi="Arial" w:cs="Arial"/>
                <w:b/>
                <w:sz w:val="14"/>
                <w:szCs w:val="16"/>
              </w:rPr>
              <w:t>0,1275</w:t>
            </w:r>
          </w:p>
        </w:tc>
        <w:tc>
          <w:tcPr>
            <w:tcW w:w="817" w:type="dxa"/>
            <w:shd w:val="clear" w:color="auto" w:fill="auto"/>
            <w:vAlign w:val="center"/>
          </w:tcPr>
          <w:p w14:paraId="6AD5079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0990F2A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18BA304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2" w:type="dxa"/>
            <w:shd w:val="clear" w:color="auto" w:fill="auto"/>
            <w:vAlign w:val="center"/>
          </w:tcPr>
          <w:p w14:paraId="39DA3F46" w14:textId="77777777" w:rsidR="009617F5" w:rsidRPr="009617F5" w:rsidRDefault="009617F5" w:rsidP="00286F7D">
            <w:pPr>
              <w:rPr>
                <w:rFonts w:ascii="Arial" w:hAnsi="Arial" w:cs="Arial"/>
                <w:b/>
                <w:sz w:val="14"/>
                <w:szCs w:val="16"/>
              </w:rPr>
            </w:pPr>
            <w:r w:rsidRPr="009617F5">
              <w:rPr>
                <w:rFonts w:ascii="Arial" w:hAnsi="Arial" w:cs="Arial"/>
                <w:b/>
                <w:sz w:val="14"/>
                <w:szCs w:val="16"/>
              </w:rPr>
              <w:t>0,1275</w:t>
            </w:r>
          </w:p>
        </w:tc>
        <w:tc>
          <w:tcPr>
            <w:tcW w:w="821" w:type="dxa"/>
            <w:shd w:val="clear" w:color="auto" w:fill="auto"/>
            <w:vAlign w:val="center"/>
          </w:tcPr>
          <w:p w14:paraId="04BA3E7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647" w:type="dxa"/>
            <w:shd w:val="clear" w:color="auto" w:fill="auto"/>
            <w:vAlign w:val="center"/>
          </w:tcPr>
          <w:p w14:paraId="77FB337E" w14:textId="77777777" w:rsidR="009617F5" w:rsidRPr="009617F5" w:rsidRDefault="009617F5" w:rsidP="00286F7D">
            <w:pPr>
              <w:rPr>
                <w:rFonts w:ascii="Arial" w:hAnsi="Arial" w:cs="Arial"/>
                <w:b/>
                <w:sz w:val="14"/>
                <w:szCs w:val="16"/>
              </w:rPr>
            </w:pPr>
            <w:r w:rsidRPr="009617F5">
              <w:rPr>
                <w:rFonts w:ascii="Arial" w:hAnsi="Arial" w:cs="Arial"/>
                <w:b/>
                <w:sz w:val="14"/>
                <w:szCs w:val="16"/>
              </w:rPr>
              <w:t>0,1275</w:t>
            </w:r>
          </w:p>
        </w:tc>
      </w:tr>
      <w:tr w:rsidR="009617F5" w:rsidRPr="009617F5" w14:paraId="631CA91A" w14:textId="77777777" w:rsidTr="00286F7D">
        <w:trPr>
          <w:trHeight w:val="397"/>
        </w:trPr>
        <w:tc>
          <w:tcPr>
            <w:tcW w:w="2474" w:type="dxa"/>
            <w:gridSpan w:val="2"/>
            <w:shd w:val="clear" w:color="auto" w:fill="auto"/>
            <w:vAlign w:val="center"/>
          </w:tcPr>
          <w:p w14:paraId="66E6D260" w14:textId="77777777" w:rsidR="009617F5" w:rsidRPr="009617F5" w:rsidRDefault="009617F5" w:rsidP="00286F7D">
            <w:pPr>
              <w:rPr>
                <w:rFonts w:ascii="Arial" w:hAnsi="Arial" w:cs="Arial"/>
                <w:b/>
                <w:sz w:val="14"/>
                <w:szCs w:val="16"/>
              </w:rPr>
            </w:pPr>
            <w:r w:rsidRPr="009617F5">
              <w:rPr>
                <w:rFonts w:ascii="Arial" w:hAnsi="Arial" w:cs="Arial"/>
                <w:b/>
                <w:sz w:val="14"/>
                <w:szCs w:val="16"/>
              </w:rPr>
              <w:t>Plochy bydlení celkem:</w:t>
            </w:r>
          </w:p>
        </w:tc>
        <w:tc>
          <w:tcPr>
            <w:tcW w:w="836" w:type="dxa"/>
            <w:shd w:val="clear" w:color="auto" w:fill="auto"/>
            <w:vAlign w:val="center"/>
          </w:tcPr>
          <w:p w14:paraId="4021A0A4"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3,2408</w:t>
            </w:r>
            <w:r w:rsidRPr="009617F5">
              <w:rPr>
                <w:rFonts w:ascii="Arial" w:hAnsi="Arial" w:cs="Arial"/>
                <w:b/>
                <w:sz w:val="14"/>
                <w:szCs w:val="16"/>
              </w:rPr>
              <w:fldChar w:fldCharType="end"/>
            </w:r>
          </w:p>
        </w:tc>
        <w:tc>
          <w:tcPr>
            <w:tcW w:w="828" w:type="dxa"/>
            <w:shd w:val="clear" w:color="auto" w:fill="auto"/>
            <w:vAlign w:val="center"/>
          </w:tcPr>
          <w:p w14:paraId="651C7F67"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2,848</w:t>
            </w:r>
            <w:r w:rsidRPr="009617F5">
              <w:rPr>
                <w:rFonts w:ascii="Arial" w:hAnsi="Arial" w:cs="Arial"/>
                <w:b/>
                <w:sz w:val="14"/>
                <w:szCs w:val="16"/>
              </w:rPr>
              <w:fldChar w:fldCharType="end"/>
            </w:r>
          </w:p>
        </w:tc>
        <w:tc>
          <w:tcPr>
            <w:tcW w:w="999" w:type="dxa"/>
            <w:shd w:val="clear" w:color="auto" w:fill="auto"/>
            <w:vAlign w:val="center"/>
          </w:tcPr>
          <w:p w14:paraId="11508BB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5A0D3B5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8AA00C6"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0,2653</w:t>
            </w:r>
            <w:r w:rsidRPr="009617F5">
              <w:rPr>
                <w:rFonts w:ascii="Arial" w:hAnsi="Arial" w:cs="Arial"/>
                <w:b/>
                <w:sz w:val="14"/>
                <w:szCs w:val="16"/>
              </w:rPr>
              <w:fldChar w:fldCharType="end"/>
            </w:r>
          </w:p>
        </w:tc>
        <w:tc>
          <w:tcPr>
            <w:tcW w:w="835" w:type="dxa"/>
            <w:shd w:val="clear" w:color="auto" w:fill="auto"/>
            <w:vAlign w:val="center"/>
          </w:tcPr>
          <w:p w14:paraId="3CEC7E0D"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57AC958F"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0,1275</w:t>
            </w:r>
            <w:r w:rsidRPr="009617F5">
              <w:rPr>
                <w:rFonts w:ascii="Arial" w:hAnsi="Arial" w:cs="Arial"/>
                <w:b/>
                <w:sz w:val="14"/>
                <w:szCs w:val="16"/>
              </w:rPr>
              <w:fldChar w:fldCharType="end"/>
            </w:r>
          </w:p>
        </w:tc>
        <w:tc>
          <w:tcPr>
            <w:tcW w:w="817" w:type="dxa"/>
            <w:shd w:val="clear" w:color="auto" w:fill="auto"/>
            <w:vAlign w:val="center"/>
          </w:tcPr>
          <w:p w14:paraId="12F26AD0"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78F87B8F"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0,8605</w:t>
            </w:r>
            <w:r w:rsidRPr="009617F5">
              <w:rPr>
                <w:rFonts w:ascii="Arial" w:hAnsi="Arial" w:cs="Arial"/>
                <w:b/>
                <w:sz w:val="14"/>
                <w:szCs w:val="16"/>
              </w:rPr>
              <w:fldChar w:fldCharType="end"/>
            </w:r>
          </w:p>
        </w:tc>
        <w:tc>
          <w:tcPr>
            <w:tcW w:w="819" w:type="dxa"/>
            <w:shd w:val="clear" w:color="auto" w:fill="auto"/>
            <w:vAlign w:val="center"/>
          </w:tcPr>
          <w:p w14:paraId="6FA92085"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w:t>
            </w:r>
            <w:r w:rsidRPr="009617F5">
              <w:rPr>
                <w:rFonts w:ascii="Arial" w:hAnsi="Arial" w:cs="Arial"/>
                <w:b/>
                <w:sz w:val="14"/>
                <w:szCs w:val="16"/>
              </w:rPr>
              <w:fldChar w:fldCharType="end"/>
            </w:r>
          </w:p>
        </w:tc>
        <w:tc>
          <w:tcPr>
            <w:tcW w:w="822" w:type="dxa"/>
            <w:shd w:val="clear" w:color="auto" w:fill="auto"/>
            <w:vAlign w:val="center"/>
          </w:tcPr>
          <w:p w14:paraId="46518D05"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2,2723</w:t>
            </w:r>
            <w:r w:rsidRPr="009617F5">
              <w:rPr>
                <w:rFonts w:ascii="Arial" w:hAnsi="Arial" w:cs="Arial"/>
                <w:b/>
                <w:sz w:val="14"/>
                <w:szCs w:val="16"/>
              </w:rPr>
              <w:fldChar w:fldCharType="end"/>
            </w:r>
          </w:p>
        </w:tc>
        <w:tc>
          <w:tcPr>
            <w:tcW w:w="821" w:type="dxa"/>
            <w:shd w:val="clear" w:color="auto" w:fill="auto"/>
            <w:vAlign w:val="center"/>
          </w:tcPr>
          <w:p w14:paraId="419BD8A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1080</w:t>
            </w:r>
            <w:r w:rsidRPr="009617F5">
              <w:rPr>
                <w:rFonts w:ascii="Arial" w:hAnsi="Arial" w:cs="Arial"/>
                <w:b/>
                <w:sz w:val="14"/>
                <w:szCs w:val="16"/>
              </w:rPr>
              <w:fldChar w:fldCharType="end"/>
            </w:r>
          </w:p>
        </w:tc>
        <w:tc>
          <w:tcPr>
            <w:tcW w:w="1647" w:type="dxa"/>
            <w:shd w:val="clear" w:color="auto" w:fill="auto"/>
            <w:vAlign w:val="center"/>
          </w:tcPr>
          <w:p w14:paraId="12D33E5C" w14:textId="77777777" w:rsidR="009617F5" w:rsidRPr="009617F5" w:rsidRDefault="009617F5" w:rsidP="00286F7D">
            <w:pPr>
              <w:rPr>
                <w:rFonts w:ascii="Arial" w:hAnsi="Arial" w:cs="Arial"/>
                <w:b/>
                <w:sz w:val="14"/>
                <w:szCs w:val="16"/>
              </w:rPr>
            </w:pPr>
          </w:p>
          <w:p w14:paraId="4D0C1208"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0,1275</w:t>
            </w:r>
            <w:r w:rsidRPr="009617F5">
              <w:rPr>
                <w:rFonts w:ascii="Arial" w:hAnsi="Arial" w:cs="Arial"/>
                <w:b/>
                <w:sz w:val="14"/>
                <w:szCs w:val="16"/>
              </w:rPr>
              <w:fldChar w:fldCharType="end"/>
            </w:r>
          </w:p>
        </w:tc>
      </w:tr>
      <w:tr w:rsidR="009617F5" w:rsidRPr="009617F5" w14:paraId="4B033FC6" w14:textId="77777777" w:rsidTr="00286F7D">
        <w:trPr>
          <w:trHeight w:val="397"/>
        </w:trPr>
        <w:tc>
          <w:tcPr>
            <w:tcW w:w="2474" w:type="dxa"/>
            <w:gridSpan w:val="2"/>
            <w:shd w:val="clear" w:color="auto" w:fill="auto"/>
            <w:vAlign w:val="center"/>
          </w:tcPr>
          <w:p w14:paraId="5D902F5F"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VILSNICE</w:t>
            </w:r>
          </w:p>
          <w:p w14:paraId="7F76430C"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p w14:paraId="76F72701" w14:textId="77777777" w:rsidR="009617F5" w:rsidRPr="009617F5" w:rsidRDefault="009617F5" w:rsidP="00286F7D">
            <w:pPr>
              <w:rPr>
                <w:rFonts w:ascii="Arial" w:hAnsi="Arial" w:cs="Arial"/>
                <w:b/>
                <w:sz w:val="14"/>
                <w:szCs w:val="16"/>
              </w:rPr>
            </w:pPr>
          </w:p>
        </w:tc>
        <w:tc>
          <w:tcPr>
            <w:tcW w:w="836" w:type="dxa"/>
            <w:shd w:val="clear" w:color="auto" w:fill="auto"/>
            <w:vAlign w:val="center"/>
          </w:tcPr>
          <w:p w14:paraId="02A0571D"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3,7649</w:t>
            </w:r>
            <w:r w:rsidRPr="009617F5">
              <w:rPr>
                <w:rFonts w:ascii="Arial" w:hAnsi="Arial" w:cs="Arial"/>
                <w:b/>
                <w:sz w:val="14"/>
                <w:szCs w:val="16"/>
              </w:rPr>
              <w:fldChar w:fldCharType="end"/>
            </w:r>
          </w:p>
        </w:tc>
        <w:tc>
          <w:tcPr>
            <w:tcW w:w="828" w:type="dxa"/>
            <w:shd w:val="clear" w:color="auto" w:fill="auto"/>
            <w:vAlign w:val="center"/>
          </w:tcPr>
          <w:p w14:paraId="5C3AAFDA"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2,848</w:t>
            </w:r>
            <w:r w:rsidRPr="009617F5">
              <w:rPr>
                <w:rFonts w:ascii="Arial" w:hAnsi="Arial" w:cs="Arial"/>
                <w:b/>
                <w:sz w:val="14"/>
                <w:szCs w:val="16"/>
              </w:rPr>
              <w:fldChar w:fldCharType="end"/>
            </w:r>
          </w:p>
        </w:tc>
        <w:tc>
          <w:tcPr>
            <w:tcW w:w="999" w:type="dxa"/>
            <w:shd w:val="clear" w:color="auto" w:fill="auto"/>
            <w:vAlign w:val="center"/>
          </w:tcPr>
          <w:p w14:paraId="5279208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1" w:type="dxa"/>
            <w:shd w:val="clear" w:color="auto" w:fill="auto"/>
            <w:vAlign w:val="center"/>
          </w:tcPr>
          <w:p w14:paraId="0BE0CB5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36" w:type="dxa"/>
            <w:shd w:val="clear" w:color="auto" w:fill="auto"/>
            <w:vAlign w:val="center"/>
          </w:tcPr>
          <w:p w14:paraId="49E546E2"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0,2653</w:t>
            </w:r>
            <w:r w:rsidRPr="009617F5">
              <w:rPr>
                <w:rFonts w:ascii="Arial" w:hAnsi="Arial" w:cs="Arial"/>
                <w:b/>
                <w:sz w:val="14"/>
                <w:szCs w:val="16"/>
              </w:rPr>
              <w:fldChar w:fldCharType="end"/>
            </w:r>
          </w:p>
        </w:tc>
        <w:tc>
          <w:tcPr>
            <w:tcW w:w="835" w:type="dxa"/>
            <w:shd w:val="clear" w:color="auto" w:fill="auto"/>
            <w:vAlign w:val="center"/>
          </w:tcPr>
          <w:p w14:paraId="7BDD1F1E"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0,3489</w:t>
            </w:r>
            <w:r w:rsidRPr="009617F5">
              <w:rPr>
                <w:rFonts w:ascii="Arial" w:hAnsi="Arial" w:cs="Arial"/>
                <w:b/>
                <w:sz w:val="14"/>
                <w:szCs w:val="16"/>
              </w:rPr>
              <w:fldChar w:fldCharType="end"/>
            </w:r>
          </w:p>
        </w:tc>
        <w:tc>
          <w:tcPr>
            <w:tcW w:w="836" w:type="dxa"/>
            <w:shd w:val="clear" w:color="auto" w:fill="auto"/>
            <w:vAlign w:val="center"/>
          </w:tcPr>
          <w:p w14:paraId="6CFFCBFD" w14:textId="77777777" w:rsidR="009617F5" w:rsidRPr="009617F5" w:rsidRDefault="009617F5" w:rsidP="00286F7D">
            <w:pPr>
              <w:rPr>
                <w:rFonts w:ascii="Arial" w:hAnsi="Arial" w:cs="Arial"/>
                <w:b/>
                <w:sz w:val="14"/>
                <w:szCs w:val="16"/>
              </w:rPr>
            </w:pPr>
            <w:r w:rsidRPr="009617F5">
              <w:rPr>
                <w:rFonts w:ascii="Arial" w:hAnsi="Arial" w:cs="Arial"/>
                <w:b/>
                <w:sz w:val="14"/>
                <w:szCs w:val="16"/>
              </w:rPr>
              <w:t>0,3027</w:t>
            </w:r>
          </w:p>
        </w:tc>
        <w:tc>
          <w:tcPr>
            <w:tcW w:w="817" w:type="dxa"/>
            <w:shd w:val="clear" w:color="auto" w:fill="auto"/>
            <w:vAlign w:val="center"/>
          </w:tcPr>
          <w:p w14:paraId="2C41A01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19" w:type="dxa"/>
            <w:shd w:val="clear" w:color="auto" w:fill="auto"/>
            <w:vAlign w:val="center"/>
          </w:tcPr>
          <w:p w14:paraId="6CA89ECC" w14:textId="77777777" w:rsidR="009617F5" w:rsidRPr="009617F5" w:rsidRDefault="009617F5" w:rsidP="00286F7D">
            <w:pPr>
              <w:rPr>
                <w:rFonts w:ascii="Arial" w:hAnsi="Arial" w:cs="Arial"/>
                <w:b/>
                <w:sz w:val="14"/>
                <w:szCs w:val="16"/>
              </w:rPr>
            </w:pPr>
            <w:r w:rsidRPr="009617F5">
              <w:rPr>
                <w:rFonts w:ascii="Arial" w:hAnsi="Arial" w:cs="Arial"/>
                <w:b/>
                <w:sz w:val="14"/>
                <w:szCs w:val="16"/>
              </w:rPr>
              <w:t>1,1450</w:t>
            </w:r>
          </w:p>
        </w:tc>
        <w:tc>
          <w:tcPr>
            <w:tcW w:w="819" w:type="dxa"/>
            <w:shd w:val="clear" w:color="auto" w:fill="auto"/>
            <w:vAlign w:val="center"/>
          </w:tcPr>
          <w:p w14:paraId="1BE0FAA3"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w:t>
            </w:r>
            <w:r w:rsidRPr="009617F5">
              <w:rPr>
                <w:rFonts w:ascii="Arial" w:hAnsi="Arial" w:cs="Arial"/>
                <w:b/>
                <w:sz w:val="14"/>
                <w:szCs w:val="16"/>
              </w:rPr>
              <w:fldChar w:fldCharType="end"/>
            </w:r>
          </w:p>
        </w:tc>
        <w:tc>
          <w:tcPr>
            <w:tcW w:w="822" w:type="dxa"/>
            <w:shd w:val="clear" w:color="auto" w:fill="auto"/>
            <w:vAlign w:val="center"/>
          </w:tcPr>
          <w:p w14:paraId="20FC02E1"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2,3363</w:t>
            </w:r>
            <w:r w:rsidRPr="009617F5">
              <w:rPr>
                <w:rFonts w:ascii="Arial" w:hAnsi="Arial" w:cs="Arial"/>
                <w:b/>
                <w:sz w:val="14"/>
                <w:szCs w:val="16"/>
              </w:rPr>
              <w:fldChar w:fldCharType="end"/>
            </w:r>
          </w:p>
        </w:tc>
        <w:tc>
          <w:tcPr>
            <w:tcW w:w="821" w:type="dxa"/>
            <w:shd w:val="clear" w:color="auto" w:fill="auto"/>
            <w:vAlign w:val="center"/>
          </w:tcPr>
          <w:p w14:paraId="7F072609"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28320</w:t>
            </w:r>
            <w:r w:rsidRPr="009617F5">
              <w:rPr>
                <w:rFonts w:ascii="Arial" w:hAnsi="Arial" w:cs="Arial"/>
                <w:b/>
                <w:sz w:val="14"/>
                <w:szCs w:val="16"/>
              </w:rPr>
              <w:fldChar w:fldCharType="end"/>
            </w:r>
          </w:p>
        </w:tc>
        <w:tc>
          <w:tcPr>
            <w:tcW w:w="1647" w:type="dxa"/>
            <w:shd w:val="clear" w:color="auto" w:fill="auto"/>
            <w:vAlign w:val="center"/>
          </w:tcPr>
          <w:p w14:paraId="504B1F3B" w14:textId="77777777" w:rsidR="009617F5" w:rsidRPr="009617F5" w:rsidRDefault="009617F5" w:rsidP="00286F7D">
            <w:pPr>
              <w:rPr>
                <w:rFonts w:ascii="Arial" w:hAnsi="Arial" w:cs="Arial"/>
                <w:b/>
                <w:sz w:val="14"/>
                <w:szCs w:val="16"/>
              </w:rPr>
            </w:pPr>
          </w:p>
          <w:p w14:paraId="6CF9ECED"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0,1275</w:t>
            </w:r>
            <w:r w:rsidRPr="009617F5">
              <w:rPr>
                <w:rFonts w:ascii="Arial" w:hAnsi="Arial" w:cs="Arial"/>
                <w:b/>
                <w:sz w:val="14"/>
                <w:szCs w:val="16"/>
              </w:rPr>
              <w:fldChar w:fldCharType="end"/>
            </w:r>
          </w:p>
        </w:tc>
      </w:tr>
    </w:tbl>
    <w:p w14:paraId="56B27C8C" w14:textId="77777777" w:rsidR="009617F5" w:rsidRPr="009617F5" w:rsidRDefault="009617F5" w:rsidP="009617F5">
      <w:pPr>
        <w:rPr>
          <w:rFonts w:ascii="Arial" w:hAnsi="Arial" w:cs="Arial"/>
          <w:b/>
          <w:color w:val="FF0000"/>
          <w:szCs w:val="28"/>
        </w:rPr>
      </w:pPr>
    </w:p>
    <w:p w14:paraId="1860FD19" w14:textId="77777777" w:rsidR="009617F5" w:rsidRPr="009617F5" w:rsidRDefault="009617F5" w:rsidP="009617F5">
      <w:pPr>
        <w:rPr>
          <w:rFonts w:ascii="Arial" w:hAnsi="Arial" w:cs="Arial"/>
          <w:b/>
          <w:color w:val="FF0000"/>
          <w:szCs w:val="28"/>
        </w:rPr>
      </w:pPr>
      <w:r w:rsidRPr="009617F5">
        <w:rPr>
          <w:rFonts w:ascii="Arial" w:hAnsi="Arial" w:cs="Arial"/>
          <w:b/>
          <w:color w:val="FF0000"/>
          <w:szCs w:val="28"/>
        </w:rPr>
        <w:t>SOUHRN</w:t>
      </w:r>
    </w:p>
    <w:tbl>
      <w:tblPr>
        <w:tblW w:w="14220" w:type="dxa"/>
        <w:tblBorders>
          <w:top w:val="single" w:sz="36" w:space="0" w:color="FF0000"/>
          <w:left w:val="single" w:sz="36" w:space="0" w:color="FF0000"/>
          <w:bottom w:val="single" w:sz="36" w:space="0" w:color="FF0000"/>
          <w:right w:val="single" w:sz="36" w:space="0" w:color="FF0000"/>
          <w:insideH w:val="single" w:sz="4" w:space="0" w:color="auto"/>
          <w:insideV w:val="single" w:sz="4" w:space="0" w:color="auto"/>
        </w:tblBorders>
        <w:tblLook w:val="04A0" w:firstRow="1" w:lastRow="0" w:firstColumn="1" w:lastColumn="0" w:noHBand="0" w:noVBand="1"/>
      </w:tblPr>
      <w:tblGrid>
        <w:gridCol w:w="790"/>
        <w:gridCol w:w="1076"/>
        <w:gridCol w:w="1147"/>
        <w:gridCol w:w="993"/>
        <w:gridCol w:w="999"/>
        <w:gridCol w:w="724"/>
        <w:gridCol w:w="949"/>
        <w:gridCol w:w="828"/>
        <w:gridCol w:w="993"/>
        <w:gridCol w:w="519"/>
        <w:gridCol w:w="993"/>
        <w:gridCol w:w="949"/>
        <w:gridCol w:w="1147"/>
        <w:gridCol w:w="949"/>
        <w:gridCol w:w="1164"/>
      </w:tblGrid>
      <w:tr w:rsidR="009617F5" w:rsidRPr="009617F5" w14:paraId="36471776" w14:textId="77777777" w:rsidTr="00286F7D">
        <w:trPr>
          <w:tblHeader/>
        </w:trPr>
        <w:tc>
          <w:tcPr>
            <w:tcW w:w="790" w:type="dxa"/>
            <w:vMerge w:val="restart"/>
            <w:shd w:val="clear" w:color="auto" w:fill="auto"/>
          </w:tcPr>
          <w:p w14:paraId="5BDA73AF" w14:textId="77777777" w:rsidR="009617F5" w:rsidRPr="009617F5" w:rsidRDefault="009617F5" w:rsidP="00286F7D">
            <w:pPr>
              <w:rPr>
                <w:rFonts w:ascii="Arial" w:hAnsi="Arial" w:cs="Arial"/>
                <w:b/>
                <w:sz w:val="14"/>
                <w:szCs w:val="16"/>
              </w:rPr>
            </w:pPr>
          </w:p>
          <w:p w14:paraId="6694E4FA" w14:textId="77777777" w:rsidR="009617F5" w:rsidRPr="009617F5" w:rsidRDefault="009617F5" w:rsidP="00286F7D">
            <w:pPr>
              <w:rPr>
                <w:rFonts w:ascii="Arial" w:hAnsi="Arial" w:cs="Arial"/>
                <w:b/>
                <w:sz w:val="14"/>
                <w:szCs w:val="16"/>
              </w:rPr>
            </w:pPr>
          </w:p>
          <w:p w14:paraId="792133F1" w14:textId="77777777" w:rsidR="009617F5" w:rsidRPr="009617F5" w:rsidRDefault="009617F5" w:rsidP="00286F7D">
            <w:pPr>
              <w:rPr>
                <w:rFonts w:ascii="Arial" w:hAnsi="Arial" w:cs="Arial"/>
                <w:b/>
                <w:sz w:val="14"/>
                <w:szCs w:val="16"/>
              </w:rPr>
            </w:pPr>
            <w:r w:rsidRPr="009617F5">
              <w:rPr>
                <w:rFonts w:ascii="Arial" w:hAnsi="Arial" w:cs="Arial"/>
                <w:b/>
                <w:sz w:val="14"/>
                <w:szCs w:val="16"/>
              </w:rPr>
              <w:t>Číslo lokality</w:t>
            </w:r>
          </w:p>
        </w:tc>
        <w:tc>
          <w:tcPr>
            <w:tcW w:w="1076" w:type="dxa"/>
            <w:vMerge w:val="restart"/>
            <w:shd w:val="clear" w:color="auto" w:fill="auto"/>
          </w:tcPr>
          <w:p w14:paraId="09D29EB0" w14:textId="77777777" w:rsidR="009617F5" w:rsidRPr="009617F5" w:rsidRDefault="009617F5" w:rsidP="00286F7D">
            <w:pPr>
              <w:rPr>
                <w:rFonts w:ascii="Arial" w:hAnsi="Arial" w:cs="Arial"/>
                <w:b/>
                <w:sz w:val="14"/>
                <w:szCs w:val="16"/>
              </w:rPr>
            </w:pPr>
          </w:p>
          <w:p w14:paraId="701E7C68" w14:textId="77777777" w:rsidR="009617F5" w:rsidRPr="009617F5" w:rsidRDefault="009617F5" w:rsidP="00286F7D">
            <w:pPr>
              <w:rPr>
                <w:rFonts w:ascii="Arial" w:hAnsi="Arial" w:cs="Arial"/>
                <w:b/>
                <w:sz w:val="14"/>
                <w:szCs w:val="16"/>
              </w:rPr>
            </w:pPr>
          </w:p>
          <w:p w14:paraId="5C97A401" w14:textId="77777777" w:rsidR="009617F5" w:rsidRPr="009617F5" w:rsidRDefault="009617F5" w:rsidP="00286F7D">
            <w:pPr>
              <w:rPr>
                <w:rFonts w:ascii="Arial" w:hAnsi="Arial" w:cs="Arial"/>
                <w:b/>
                <w:sz w:val="14"/>
                <w:szCs w:val="16"/>
              </w:rPr>
            </w:pPr>
            <w:r w:rsidRPr="009617F5">
              <w:rPr>
                <w:rFonts w:ascii="Arial" w:hAnsi="Arial" w:cs="Arial"/>
                <w:b/>
                <w:sz w:val="14"/>
                <w:szCs w:val="16"/>
              </w:rPr>
              <w:t>Způsob využití plochy</w:t>
            </w:r>
          </w:p>
        </w:tc>
        <w:tc>
          <w:tcPr>
            <w:tcW w:w="1147" w:type="dxa"/>
            <w:vMerge w:val="restart"/>
            <w:shd w:val="clear" w:color="auto" w:fill="auto"/>
          </w:tcPr>
          <w:p w14:paraId="407BAEE1" w14:textId="77777777" w:rsidR="009617F5" w:rsidRPr="009617F5" w:rsidRDefault="009617F5" w:rsidP="00286F7D">
            <w:pPr>
              <w:rPr>
                <w:rFonts w:ascii="Arial" w:hAnsi="Arial" w:cs="Arial"/>
                <w:b/>
                <w:sz w:val="14"/>
                <w:szCs w:val="16"/>
              </w:rPr>
            </w:pPr>
          </w:p>
          <w:p w14:paraId="63F0B285" w14:textId="77777777" w:rsidR="009617F5" w:rsidRPr="009617F5" w:rsidRDefault="009617F5" w:rsidP="00286F7D">
            <w:pPr>
              <w:rPr>
                <w:rFonts w:ascii="Arial" w:hAnsi="Arial" w:cs="Arial"/>
                <w:b/>
                <w:sz w:val="14"/>
                <w:szCs w:val="16"/>
              </w:rPr>
            </w:pPr>
            <w:r w:rsidRPr="009617F5">
              <w:rPr>
                <w:rFonts w:ascii="Arial" w:hAnsi="Arial" w:cs="Arial"/>
                <w:b/>
                <w:sz w:val="14"/>
                <w:szCs w:val="16"/>
              </w:rPr>
              <w:t>Celkový zábor ZPF (ha)</w:t>
            </w:r>
          </w:p>
        </w:tc>
        <w:tc>
          <w:tcPr>
            <w:tcW w:w="5486" w:type="dxa"/>
            <w:gridSpan w:val="6"/>
            <w:shd w:val="clear" w:color="auto" w:fill="auto"/>
          </w:tcPr>
          <w:p w14:paraId="23FD8EC8" w14:textId="77777777" w:rsidR="009617F5" w:rsidRPr="009617F5" w:rsidRDefault="009617F5" w:rsidP="00286F7D">
            <w:pPr>
              <w:rPr>
                <w:rFonts w:ascii="Arial" w:hAnsi="Arial" w:cs="Arial"/>
                <w:b/>
                <w:sz w:val="14"/>
                <w:szCs w:val="16"/>
              </w:rPr>
            </w:pPr>
          </w:p>
          <w:p w14:paraId="515B48CD"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podle jednotlivých kultur</w:t>
            </w:r>
          </w:p>
          <w:p w14:paraId="3604B884" w14:textId="77777777" w:rsidR="009617F5" w:rsidRPr="009617F5" w:rsidRDefault="009617F5" w:rsidP="00286F7D">
            <w:pPr>
              <w:rPr>
                <w:rFonts w:ascii="Arial" w:hAnsi="Arial" w:cs="Arial"/>
                <w:b/>
                <w:sz w:val="14"/>
                <w:szCs w:val="16"/>
              </w:rPr>
            </w:pPr>
            <w:r w:rsidRPr="009617F5">
              <w:rPr>
                <w:rFonts w:ascii="Arial" w:hAnsi="Arial" w:cs="Arial"/>
                <w:b/>
                <w:sz w:val="14"/>
                <w:szCs w:val="16"/>
              </w:rPr>
              <w:t>(ha)</w:t>
            </w:r>
          </w:p>
        </w:tc>
        <w:tc>
          <w:tcPr>
            <w:tcW w:w="4557" w:type="dxa"/>
            <w:gridSpan w:val="5"/>
            <w:shd w:val="clear" w:color="auto" w:fill="auto"/>
          </w:tcPr>
          <w:p w14:paraId="6E2763D6" w14:textId="77777777" w:rsidR="009617F5" w:rsidRPr="009617F5" w:rsidRDefault="009617F5" w:rsidP="00286F7D">
            <w:pPr>
              <w:rPr>
                <w:rFonts w:ascii="Arial" w:hAnsi="Arial" w:cs="Arial"/>
                <w:b/>
                <w:sz w:val="14"/>
                <w:szCs w:val="16"/>
              </w:rPr>
            </w:pPr>
          </w:p>
          <w:p w14:paraId="782DF84F"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podle tříd ochrany</w:t>
            </w:r>
          </w:p>
          <w:p w14:paraId="169BDA60" w14:textId="77777777" w:rsidR="009617F5" w:rsidRPr="009617F5" w:rsidRDefault="009617F5" w:rsidP="00286F7D">
            <w:pPr>
              <w:rPr>
                <w:rFonts w:ascii="Arial" w:hAnsi="Arial" w:cs="Arial"/>
                <w:b/>
                <w:sz w:val="14"/>
                <w:szCs w:val="16"/>
              </w:rPr>
            </w:pPr>
            <w:r w:rsidRPr="009617F5">
              <w:rPr>
                <w:rFonts w:ascii="Arial" w:hAnsi="Arial" w:cs="Arial"/>
                <w:b/>
                <w:sz w:val="14"/>
                <w:szCs w:val="16"/>
              </w:rPr>
              <w:t>(ha)</w:t>
            </w:r>
          </w:p>
        </w:tc>
        <w:tc>
          <w:tcPr>
            <w:tcW w:w="1164" w:type="dxa"/>
            <w:vMerge w:val="restart"/>
            <w:shd w:val="clear" w:color="auto" w:fill="auto"/>
          </w:tcPr>
          <w:p w14:paraId="74154919" w14:textId="77777777" w:rsidR="009617F5" w:rsidRPr="009617F5" w:rsidRDefault="009617F5" w:rsidP="00286F7D">
            <w:pPr>
              <w:rPr>
                <w:rFonts w:ascii="Arial" w:hAnsi="Arial" w:cs="Arial"/>
                <w:b/>
                <w:sz w:val="14"/>
                <w:szCs w:val="16"/>
              </w:rPr>
            </w:pPr>
          </w:p>
          <w:p w14:paraId="6FA23512" w14:textId="77777777" w:rsidR="009617F5" w:rsidRPr="009617F5" w:rsidRDefault="009617F5" w:rsidP="00286F7D">
            <w:pPr>
              <w:rPr>
                <w:rFonts w:ascii="Arial" w:hAnsi="Arial" w:cs="Arial"/>
                <w:b/>
                <w:sz w:val="14"/>
                <w:szCs w:val="16"/>
              </w:rPr>
            </w:pPr>
          </w:p>
          <w:p w14:paraId="3CDAF072" w14:textId="77777777" w:rsidR="009617F5" w:rsidRPr="009617F5" w:rsidRDefault="009617F5" w:rsidP="00286F7D">
            <w:pPr>
              <w:rPr>
                <w:rFonts w:ascii="Arial" w:hAnsi="Arial" w:cs="Arial"/>
                <w:b/>
                <w:sz w:val="14"/>
                <w:szCs w:val="16"/>
              </w:rPr>
            </w:pPr>
            <w:r w:rsidRPr="009617F5">
              <w:rPr>
                <w:rFonts w:ascii="Arial" w:hAnsi="Arial" w:cs="Arial"/>
                <w:b/>
                <w:sz w:val="14"/>
                <w:szCs w:val="16"/>
              </w:rPr>
              <w:t>Investice do půdy (ha)</w:t>
            </w:r>
          </w:p>
        </w:tc>
      </w:tr>
      <w:tr w:rsidR="009617F5" w:rsidRPr="009617F5" w14:paraId="00D79B5B" w14:textId="77777777" w:rsidTr="00286F7D">
        <w:trPr>
          <w:tblHeader/>
        </w:trPr>
        <w:tc>
          <w:tcPr>
            <w:tcW w:w="0" w:type="auto"/>
            <w:vMerge/>
            <w:shd w:val="clear" w:color="auto" w:fill="auto"/>
            <w:vAlign w:val="center"/>
          </w:tcPr>
          <w:p w14:paraId="605BDFBC" w14:textId="77777777" w:rsidR="009617F5" w:rsidRPr="009617F5" w:rsidRDefault="009617F5" w:rsidP="00286F7D">
            <w:pPr>
              <w:rPr>
                <w:rFonts w:ascii="Arial" w:hAnsi="Arial" w:cs="Arial"/>
                <w:b/>
                <w:sz w:val="14"/>
                <w:szCs w:val="16"/>
              </w:rPr>
            </w:pPr>
          </w:p>
        </w:tc>
        <w:tc>
          <w:tcPr>
            <w:tcW w:w="0" w:type="auto"/>
            <w:vMerge/>
            <w:shd w:val="clear" w:color="auto" w:fill="auto"/>
            <w:vAlign w:val="center"/>
          </w:tcPr>
          <w:p w14:paraId="3FA30F48" w14:textId="77777777" w:rsidR="009617F5" w:rsidRPr="009617F5" w:rsidRDefault="009617F5" w:rsidP="00286F7D">
            <w:pPr>
              <w:rPr>
                <w:rFonts w:ascii="Arial" w:hAnsi="Arial" w:cs="Arial"/>
                <w:b/>
                <w:sz w:val="14"/>
                <w:szCs w:val="16"/>
              </w:rPr>
            </w:pPr>
          </w:p>
        </w:tc>
        <w:tc>
          <w:tcPr>
            <w:tcW w:w="0" w:type="auto"/>
            <w:vMerge/>
            <w:shd w:val="clear" w:color="auto" w:fill="auto"/>
            <w:vAlign w:val="center"/>
          </w:tcPr>
          <w:p w14:paraId="6D8E0AC8" w14:textId="77777777" w:rsidR="009617F5" w:rsidRPr="009617F5" w:rsidRDefault="009617F5" w:rsidP="00286F7D">
            <w:pPr>
              <w:rPr>
                <w:rFonts w:ascii="Arial" w:hAnsi="Arial" w:cs="Arial"/>
                <w:b/>
                <w:sz w:val="14"/>
                <w:szCs w:val="16"/>
              </w:rPr>
            </w:pPr>
          </w:p>
        </w:tc>
        <w:tc>
          <w:tcPr>
            <w:tcW w:w="993" w:type="dxa"/>
            <w:shd w:val="clear" w:color="auto" w:fill="auto"/>
          </w:tcPr>
          <w:p w14:paraId="7D407B63" w14:textId="77777777" w:rsidR="009617F5" w:rsidRPr="009617F5" w:rsidRDefault="009617F5" w:rsidP="00286F7D">
            <w:pPr>
              <w:rPr>
                <w:rFonts w:ascii="Arial" w:hAnsi="Arial" w:cs="Arial"/>
                <w:b/>
                <w:sz w:val="14"/>
                <w:szCs w:val="16"/>
              </w:rPr>
            </w:pPr>
            <w:r w:rsidRPr="009617F5">
              <w:rPr>
                <w:rFonts w:ascii="Arial" w:hAnsi="Arial" w:cs="Arial"/>
                <w:b/>
                <w:sz w:val="14"/>
                <w:szCs w:val="16"/>
              </w:rPr>
              <w:t>orná půda</w:t>
            </w:r>
          </w:p>
        </w:tc>
        <w:tc>
          <w:tcPr>
            <w:tcW w:w="999" w:type="dxa"/>
            <w:shd w:val="clear" w:color="auto" w:fill="auto"/>
          </w:tcPr>
          <w:p w14:paraId="2DCA71FD" w14:textId="77777777" w:rsidR="009617F5" w:rsidRPr="009617F5" w:rsidRDefault="009617F5" w:rsidP="00286F7D">
            <w:pPr>
              <w:rPr>
                <w:rFonts w:ascii="Arial" w:hAnsi="Arial" w:cs="Arial"/>
                <w:b/>
                <w:sz w:val="14"/>
                <w:szCs w:val="16"/>
              </w:rPr>
            </w:pPr>
            <w:r w:rsidRPr="009617F5">
              <w:rPr>
                <w:rFonts w:ascii="Arial" w:hAnsi="Arial" w:cs="Arial"/>
                <w:b/>
                <w:sz w:val="14"/>
                <w:szCs w:val="16"/>
              </w:rPr>
              <w:t>chmelnice</w:t>
            </w:r>
          </w:p>
        </w:tc>
        <w:tc>
          <w:tcPr>
            <w:tcW w:w="724" w:type="dxa"/>
            <w:shd w:val="clear" w:color="auto" w:fill="auto"/>
          </w:tcPr>
          <w:p w14:paraId="4A83B57A" w14:textId="77777777" w:rsidR="009617F5" w:rsidRPr="009617F5" w:rsidRDefault="009617F5" w:rsidP="00286F7D">
            <w:pPr>
              <w:rPr>
                <w:rFonts w:ascii="Arial" w:hAnsi="Arial" w:cs="Arial"/>
                <w:b/>
                <w:sz w:val="14"/>
                <w:szCs w:val="16"/>
              </w:rPr>
            </w:pPr>
            <w:r w:rsidRPr="009617F5">
              <w:rPr>
                <w:rFonts w:ascii="Arial" w:hAnsi="Arial" w:cs="Arial"/>
                <w:b/>
                <w:sz w:val="14"/>
                <w:szCs w:val="16"/>
              </w:rPr>
              <w:t>vinice</w:t>
            </w:r>
          </w:p>
        </w:tc>
        <w:tc>
          <w:tcPr>
            <w:tcW w:w="949" w:type="dxa"/>
            <w:shd w:val="clear" w:color="auto" w:fill="auto"/>
          </w:tcPr>
          <w:p w14:paraId="39D5D67F" w14:textId="77777777" w:rsidR="009617F5" w:rsidRPr="009617F5" w:rsidRDefault="009617F5" w:rsidP="00286F7D">
            <w:pPr>
              <w:rPr>
                <w:rFonts w:ascii="Arial" w:hAnsi="Arial" w:cs="Arial"/>
                <w:b/>
                <w:sz w:val="14"/>
                <w:szCs w:val="16"/>
              </w:rPr>
            </w:pPr>
            <w:r w:rsidRPr="009617F5">
              <w:rPr>
                <w:rFonts w:ascii="Arial" w:hAnsi="Arial" w:cs="Arial"/>
                <w:b/>
                <w:sz w:val="14"/>
                <w:szCs w:val="16"/>
              </w:rPr>
              <w:t>zahrady</w:t>
            </w:r>
          </w:p>
        </w:tc>
        <w:tc>
          <w:tcPr>
            <w:tcW w:w="828" w:type="dxa"/>
            <w:shd w:val="clear" w:color="auto" w:fill="auto"/>
          </w:tcPr>
          <w:p w14:paraId="5B92A36C" w14:textId="77777777" w:rsidR="009617F5" w:rsidRPr="009617F5" w:rsidRDefault="009617F5" w:rsidP="00286F7D">
            <w:pPr>
              <w:rPr>
                <w:rFonts w:ascii="Arial" w:hAnsi="Arial" w:cs="Arial"/>
                <w:b/>
                <w:sz w:val="14"/>
                <w:szCs w:val="16"/>
              </w:rPr>
            </w:pPr>
            <w:r w:rsidRPr="009617F5">
              <w:rPr>
                <w:rFonts w:ascii="Arial" w:hAnsi="Arial" w:cs="Arial"/>
                <w:b/>
                <w:sz w:val="14"/>
                <w:szCs w:val="16"/>
              </w:rPr>
              <w:t>ovocné sady</w:t>
            </w:r>
          </w:p>
        </w:tc>
        <w:tc>
          <w:tcPr>
            <w:tcW w:w="993" w:type="dxa"/>
            <w:shd w:val="clear" w:color="auto" w:fill="auto"/>
          </w:tcPr>
          <w:p w14:paraId="2394458C" w14:textId="77777777" w:rsidR="009617F5" w:rsidRPr="009617F5" w:rsidRDefault="009617F5" w:rsidP="00286F7D">
            <w:pPr>
              <w:rPr>
                <w:rFonts w:ascii="Arial" w:hAnsi="Arial" w:cs="Arial"/>
                <w:b/>
                <w:sz w:val="14"/>
                <w:szCs w:val="16"/>
              </w:rPr>
            </w:pPr>
            <w:r w:rsidRPr="009617F5">
              <w:rPr>
                <w:rFonts w:ascii="Arial" w:hAnsi="Arial" w:cs="Arial"/>
                <w:b/>
                <w:sz w:val="14"/>
                <w:szCs w:val="16"/>
              </w:rPr>
              <w:t>trvalé travní porosty</w:t>
            </w:r>
          </w:p>
        </w:tc>
        <w:tc>
          <w:tcPr>
            <w:tcW w:w="519" w:type="dxa"/>
            <w:shd w:val="clear" w:color="auto" w:fill="auto"/>
          </w:tcPr>
          <w:p w14:paraId="0A3CC123" w14:textId="77777777" w:rsidR="009617F5" w:rsidRPr="009617F5" w:rsidRDefault="009617F5" w:rsidP="00286F7D">
            <w:pPr>
              <w:rPr>
                <w:rFonts w:ascii="Arial" w:hAnsi="Arial" w:cs="Arial"/>
                <w:b/>
                <w:sz w:val="14"/>
                <w:szCs w:val="16"/>
              </w:rPr>
            </w:pPr>
            <w:r w:rsidRPr="009617F5">
              <w:rPr>
                <w:rFonts w:ascii="Arial" w:hAnsi="Arial" w:cs="Arial"/>
                <w:b/>
                <w:sz w:val="14"/>
                <w:szCs w:val="16"/>
              </w:rPr>
              <w:t>I.</w:t>
            </w:r>
          </w:p>
        </w:tc>
        <w:tc>
          <w:tcPr>
            <w:tcW w:w="993" w:type="dxa"/>
            <w:shd w:val="clear" w:color="auto" w:fill="auto"/>
          </w:tcPr>
          <w:p w14:paraId="57CA14CF" w14:textId="77777777" w:rsidR="009617F5" w:rsidRPr="009617F5" w:rsidRDefault="009617F5" w:rsidP="00286F7D">
            <w:pPr>
              <w:rPr>
                <w:rFonts w:ascii="Arial" w:hAnsi="Arial" w:cs="Arial"/>
                <w:b/>
                <w:sz w:val="14"/>
                <w:szCs w:val="16"/>
              </w:rPr>
            </w:pPr>
            <w:r w:rsidRPr="009617F5">
              <w:rPr>
                <w:rFonts w:ascii="Arial" w:hAnsi="Arial" w:cs="Arial"/>
                <w:b/>
                <w:sz w:val="14"/>
                <w:szCs w:val="16"/>
              </w:rPr>
              <w:t>II.</w:t>
            </w:r>
          </w:p>
        </w:tc>
        <w:tc>
          <w:tcPr>
            <w:tcW w:w="949" w:type="dxa"/>
            <w:shd w:val="clear" w:color="auto" w:fill="auto"/>
          </w:tcPr>
          <w:p w14:paraId="7E8D32C5" w14:textId="77777777" w:rsidR="009617F5" w:rsidRPr="009617F5" w:rsidRDefault="009617F5" w:rsidP="00286F7D">
            <w:pPr>
              <w:rPr>
                <w:rFonts w:ascii="Arial" w:hAnsi="Arial" w:cs="Arial"/>
                <w:b/>
                <w:sz w:val="14"/>
                <w:szCs w:val="16"/>
              </w:rPr>
            </w:pPr>
            <w:r w:rsidRPr="009617F5">
              <w:rPr>
                <w:rFonts w:ascii="Arial" w:hAnsi="Arial" w:cs="Arial"/>
                <w:b/>
                <w:sz w:val="14"/>
                <w:szCs w:val="16"/>
              </w:rPr>
              <w:t>III.</w:t>
            </w:r>
          </w:p>
        </w:tc>
        <w:tc>
          <w:tcPr>
            <w:tcW w:w="1147" w:type="dxa"/>
            <w:shd w:val="clear" w:color="auto" w:fill="auto"/>
          </w:tcPr>
          <w:p w14:paraId="09E1AD26" w14:textId="77777777" w:rsidR="009617F5" w:rsidRPr="009617F5" w:rsidRDefault="009617F5" w:rsidP="00286F7D">
            <w:pPr>
              <w:rPr>
                <w:rFonts w:ascii="Arial" w:hAnsi="Arial" w:cs="Arial"/>
                <w:b/>
                <w:sz w:val="14"/>
                <w:szCs w:val="16"/>
              </w:rPr>
            </w:pPr>
            <w:r w:rsidRPr="009617F5">
              <w:rPr>
                <w:rFonts w:ascii="Arial" w:hAnsi="Arial" w:cs="Arial"/>
                <w:b/>
                <w:sz w:val="14"/>
                <w:szCs w:val="16"/>
              </w:rPr>
              <w:t>IV.</w:t>
            </w:r>
          </w:p>
        </w:tc>
        <w:tc>
          <w:tcPr>
            <w:tcW w:w="949" w:type="dxa"/>
            <w:shd w:val="clear" w:color="auto" w:fill="auto"/>
          </w:tcPr>
          <w:p w14:paraId="31BC4EC4" w14:textId="77777777" w:rsidR="009617F5" w:rsidRPr="009617F5" w:rsidRDefault="009617F5" w:rsidP="00286F7D">
            <w:pPr>
              <w:rPr>
                <w:rFonts w:ascii="Arial" w:hAnsi="Arial" w:cs="Arial"/>
                <w:b/>
                <w:sz w:val="14"/>
                <w:szCs w:val="16"/>
              </w:rPr>
            </w:pPr>
            <w:r w:rsidRPr="009617F5">
              <w:rPr>
                <w:rFonts w:ascii="Arial" w:hAnsi="Arial" w:cs="Arial"/>
                <w:b/>
                <w:sz w:val="14"/>
                <w:szCs w:val="16"/>
              </w:rPr>
              <w:t>V.</w:t>
            </w:r>
          </w:p>
        </w:tc>
        <w:tc>
          <w:tcPr>
            <w:tcW w:w="0" w:type="auto"/>
            <w:vMerge/>
            <w:shd w:val="clear" w:color="auto" w:fill="auto"/>
            <w:vAlign w:val="center"/>
          </w:tcPr>
          <w:p w14:paraId="20268561" w14:textId="77777777" w:rsidR="009617F5" w:rsidRPr="009617F5" w:rsidRDefault="009617F5" w:rsidP="00286F7D">
            <w:pPr>
              <w:rPr>
                <w:rFonts w:ascii="Arial" w:hAnsi="Arial" w:cs="Arial"/>
                <w:b/>
                <w:sz w:val="14"/>
                <w:szCs w:val="16"/>
              </w:rPr>
            </w:pPr>
          </w:p>
        </w:tc>
      </w:tr>
      <w:tr w:rsidR="009617F5" w:rsidRPr="009617F5" w14:paraId="24A0AF36" w14:textId="77777777" w:rsidTr="00286F7D">
        <w:trPr>
          <w:trHeight w:val="397"/>
        </w:trPr>
        <w:tc>
          <w:tcPr>
            <w:tcW w:w="1866" w:type="dxa"/>
            <w:gridSpan w:val="2"/>
            <w:shd w:val="clear" w:color="auto" w:fill="auto"/>
            <w:vAlign w:val="center"/>
          </w:tcPr>
          <w:p w14:paraId="6A6F9F9D"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BĚLÁ U DĚČÍNA</w:t>
            </w:r>
          </w:p>
          <w:p w14:paraId="574B34A8"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7B30088A" w14:textId="77777777" w:rsidR="009617F5" w:rsidRPr="009617F5" w:rsidRDefault="009617F5" w:rsidP="00286F7D">
            <w:pPr>
              <w:rPr>
                <w:rFonts w:ascii="Arial" w:hAnsi="Arial" w:cs="Arial"/>
                <w:b/>
                <w:sz w:val="14"/>
                <w:szCs w:val="16"/>
              </w:rPr>
            </w:pPr>
            <w:r w:rsidRPr="009617F5">
              <w:rPr>
                <w:rFonts w:ascii="Arial" w:hAnsi="Arial" w:cs="Arial"/>
                <w:b/>
                <w:sz w:val="14"/>
                <w:szCs w:val="16"/>
              </w:rPr>
              <w:t>0,0465</w:t>
            </w:r>
          </w:p>
        </w:tc>
        <w:tc>
          <w:tcPr>
            <w:tcW w:w="993" w:type="dxa"/>
            <w:shd w:val="clear" w:color="auto" w:fill="auto"/>
            <w:vAlign w:val="center"/>
          </w:tcPr>
          <w:p w14:paraId="7CC48B7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1B2765D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5179DA1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4AAFA188" w14:textId="77777777" w:rsidR="009617F5" w:rsidRPr="009617F5" w:rsidRDefault="009617F5" w:rsidP="00286F7D">
            <w:pPr>
              <w:rPr>
                <w:rFonts w:ascii="Arial" w:hAnsi="Arial" w:cs="Arial"/>
                <w:b/>
                <w:sz w:val="14"/>
                <w:szCs w:val="16"/>
              </w:rPr>
            </w:pPr>
            <w:r w:rsidRPr="009617F5">
              <w:rPr>
                <w:rFonts w:ascii="Arial" w:hAnsi="Arial" w:cs="Arial"/>
                <w:b/>
                <w:sz w:val="14"/>
                <w:szCs w:val="16"/>
              </w:rPr>
              <w:t>0,0465</w:t>
            </w:r>
          </w:p>
        </w:tc>
        <w:tc>
          <w:tcPr>
            <w:tcW w:w="828" w:type="dxa"/>
            <w:shd w:val="clear" w:color="auto" w:fill="auto"/>
            <w:vAlign w:val="center"/>
          </w:tcPr>
          <w:p w14:paraId="4ED4B2B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50D8642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519" w:type="dxa"/>
            <w:shd w:val="clear" w:color="auto" w:fill="auto"/>
            <w:vAlign w:val="center"/>
          </w:tcPr>
          <w:p w14:paraId="18861D6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6C23DDD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3701D1D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147" w:type="dxa"/>
            <w:shd w:val="clear" w:color="auto" w:fill="auto"/>
            <w:vAlign w:val="center"/>
          </w:tcPr>
          <w:p w14:paraId="5BDB745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0D0A8AD8" w14:textId="77777777" w:rsidR="009617F5" w:rsidRPr="009617F5" w:rsidRDefault="009617F5" w:rsidP="00286F7D">
            <w:pPr>
              <w:rPr>
                <w:rFonts w:ascii="Arial" w:hAnsi="Arial" w:cs="Arial"/>
                <w:b/>
                <w:sz w:val="14"/>
                <w:szCs w:val="16"/>
              </w:rPr>
            </w:pPr>
            <w:r w:rsidRPr="009617F5">
              <w:rPr>
                <w:rFonts w:ascii="Arial" w:hAnsi="Arial" w:cs="Arial"/>
                <w:b/>
                <w:sz w:val="14"/>
                <w:szCs w:val="16"/>
              </w:rPr>
              <w:t>0,0465</w:t>
            </w:r>
          </w:p>
        </w:tc>
        <w:tc>
          <w:tcPr>
            <w:tcW w:w="1164" w:type="dxa"/>
            <w:shd w:val="clear" w:color="auto" w:fill="auto"/>
            <w:vAlign w:val="center"/>
          </w:tcPr>
          <w:p w14:paraId="687D292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55B5B468" w14:textId="77777777" w:rsidTr="00286F7D">
        <w:trPr>
          <w:trHeight w:val="397"/>
        </w:trPr>
        <w:tc>
          <w:tcPr>
            <w:tcW w:w="1866" w:type="dxa"/>
            <w:gridSpan w:val="2"/>
            <w:shd w:val="clear" w:color="auto" w:fill="auto"/>
            <w:vAlign w:val="center"/>
          </w:tcPr>
          <w:p w14:paraId="436E6FA0"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BOLETICE</w:t>
            </w:r>
          </w:p>
          <w:p w14:paraId="7EBD3220"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3B38F022"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0,4409</w:t>
            </w:r>
            <w:r w:rsidRPr="009617F5">
              <w:rPr>
                <w:rFonts w:ascii="Arial" w:hAnsi="Arial" w:cs="Arial"/>
                <w:b/>
                <w:sz w:val="14"/>
                <w:szCs w:val="16"/>
              </w:rPr>
              <w:fldChar w:fldCharType="end"/>
            </w:r>
          </w:p>
        </w:tc>
        <w:tc>
          <w:tcPr>
            <w:tcW w:w="993" w:type="dxa"/>
            <w:shd w:val="clear" w:color="auto" w:fill="auto"/>
            <w:vAlign w:val="center"/>
          </w:tcPr>
          <w:p w14:paraId="1261219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3352848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7FB2433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74C9ACEF" w14:textId="77777777" w:rsidR="009617F5" w:rsidRPr="009617F5" w:rsidRDefault="009617F5" w:rsidP="00286F7D">
            <w:pPr>
              <w:rPr>
                <w:rFonts w:ascii="Arial" w:hAnsi="Arial" w:cs="Arial"/>
                <w:b/>
                <w:sz w:val="14"/>
                <w:szCs w:val="16"/>
              </w:rPr>
            </w:pPr>
            <w:r w:rsidRPr="009617F5">
              <w:rPr>
                <w:rFonts w:ascii="Arial" w:hAnsi="Arial" w:cs="Arial"/>
                <w:b/>
                <w:sz w:val="14"/>
                <w:szCs w:val="16"/>
              </w:rPr>
              <w:t>0,0044</w:t>
            </w:r>
          </w:p>
        </w:tc>
        <w:tc>
          <w:tcPr>
            <w:tcW w:w="828" w:type="dxa"/>
            <w:shd w:val="clear" w:color="auto" w:fill="auto"/>
            <w:vAlign w:val="center"/>
          </w:tcPr>
          <w:p w14:paraId="77FC34BF" w14:textId="77777777" w:rsidR="009617F5" w:rsidRPr="009617F5" w:rsidRDefault="009617F5" w:rsidP="00286F7D">
            <w:pPr>
              <w:rPr>
                <w:rFonts w:ascii="Arial" w:hAnsi="Arial" w:cs="Arial"/>
                <w:b/>
                <w:sz w:val="14"/>
                <w:szCs w:val="16"/>
              </w:rPr>
            </w:pPr>
            <w:r w:rsidRPr="009617F5">
              <w:rPr>
                <w:rFonts w:ascii="Arial" w:hAnsi="Arial" w:cs="Arial"/>
                <w:b/>
                <w:sz w:val="14"/>
                <w:szCs w:val="16"/>
              </w:rPr>
              <w:t>0,3163</w:t>
            </w:r>
          </w:p>
        </w:tc>
        <w:tc>
          <w:tcPr>
            <w:tcW w:w="993" w:type="dxa"/>
            <w:shd w:val="clear" w:color="auto" w:fill="auto"/>
            <w:vAlign w:val="center"/>
          </w:tcPr>
          <w:p w14:paraId="21808132" w14:textId="77777777" w:rsidR="009617F5" w:rsidRPr="009617F5" w:rsidRDefault="009617F5" w:rsidP="00286F7D">
            <w:pPr>
              <w:rPr>
                <w:rFonts w:ascii="Arial" w:hAnsi="Arial" w:cs="Arial"/>
                <w:b/>
                <w:sz w:val="14"/>
                <w:szCs w:val="16"/>
              </w:rPr>
            </w:pPr>
            <w:r w:rsidRPr="009617F5">
              <w:rPr>
                <w:rFonts w:ascii="Arial" w:hAnsi="Arial" w:cs="Arial"/>
                <w:b/>
                <w:sz w:val="14"/>
                <w:szCs w:val="16"/>
              </w:rPr>
              <w:t>0,1202</w:t>
            </w:r>
          </w:p>
        </w:tc>
        <w:tc>
          <w:tcPr>
            <w:tcW w:w="519" w:type="dxa"/>
            <w:shd w:val="clear" w:color="auto" w:fill="auto"/>
            <w:vAlign w:val="center"/>
          </w:tcPr>
          <w:p w14:paraId="59E90DBD"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5CC0FCCD" w14:textId="77777777" w:rsidR="009617F5" w:rsidRPr="009617F5" w:rsidRDefault="009617F5" w:rsidP="00286F7D">
            <w:pPr>
              <w:rPr>
                <w:rFonts w:ascii="Arial" w:hAnsi="Arial" w:cs="Arial"/>
                <w:b/>
                <w:sz w:val="14"/>
                <w:szCs w:val="16"/>
              </w:rPr>
            </w:pPr>
            <w:r w:rsidRPr="009617F5">
              <w:rPr>
                <w:rFonts w:ascii="Arial" w:hAnsi="Arial" w:cs="Arial"/>
                <w:b/>
                <w:sz w:val="14"/>
                <w:szCs w:val="16"/>
              </w:rPr>
              <w:t>0,1176</w:t>
            </w:r>
          </w:p>
        </w:tc>
        <w:tc>
          <w:tcPr>
            <w:tcW w:w="949" w:type="dxa"/>
            <w:shd w:val="clear" w:color="auto" w:fill="auto"/>
            <w:vAlign w:val="center"/>
          </w:tcPr>
          <w:p w14:paraId="72AF28F3" w14:textId="77777777" w:rsidR="009617F5" w:rsidRPr="009617F5" w:rsidRDefault="009617F5" w:rsidP="00286F7D">
            <w:pPr>
              <w:rPr>
                <w:rFonts w:ascii="Arial" w:hAnsi="Arial" w:cs="Arial"/>
                <w:b/>
                <w:sz w:val="14"/>
                <w:szCs w:val="16"/>
              </w:rPr>
            </w:pPr>
            <w:r w:rsidRPr="009617F5">
              <w:rPr>
                <w:rFonts w:ascii="Arial" w:hAnsi="Arial" w:cs="Arial"/>
                <w:b/>
                <w:sz w:val="14"/>
                <w:szCs w:val="16"/>
              </w:rPr>
              <w:t>0,0026</w:t>
            </w:r>
          </w:p>
        </w:tc>
        <w:tc>
          <w:tcPr>
            <w:tcW w:w="1147" w:type="dxa"/>
            <w:shd w:val="clear" w:color="auto" w:fill="auto"/>
            <w:vAlign w:val="center"/>
          </w:tcPr>
          <w:p w14:paraId="44C2E25F"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0,2522</w:t>
            </w:r>
            <w:r w:rsidRPr="009617F5">
              <w:rPr>
                <w:rFonts w:ascii="Arial" w:hAnsi="Arial" w:cs="Arial"/>
                <w:b/>
                <w:sz w:val="14"/>
                <w:szCs w:val="16"/>
              </w:rPr>
              <w:fldChar w:fldCharType="end"/>
            </w:r>
          </w:p>
        </w:tc>
        <w:tc>
          <w:tcPr>
            <w:tcW w:w="949" w:type="dxa"/>
            <w:shd w:val="clear" w:color="auto" w:fill="auto"/>
            <w:vAlign w:val="center"/>
          </w:tcPr>
          <w:p w14:paraId="0373262A"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0,0685</w:t>
            </w:r>
            <w:r w:rsidRPr="009617F5">
              <w:rPr>
                <w:rFonts w:ascii="Arial" w:hAnsi="Arial" w:cs="Arial"/>
                <w:b/>
                <w:sz w:val="14"/>
                <w:szCs w:val="16"/>
              </w:rPr>
              <w:fldChar w:fldCharType="end"/>
            </w:r>
          </w:p>
        </w:tc>
        <w:tc>
          <w:tcPr>
            <w:tcW w:w="1164" w:type="dxa"/>
            <w:shd w:val="clear" w:color="auto" w:fill="auto"/>
            <w:vAlign w:val="center"/>
          </w:tcPr>
          <w:p w14:paraId="738BCFF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7008A6BE" w14:textId="77777777" w:rsidTr="00286F7D">
        <w:trPr>
          <w:trHeight w:val="397"/>
        </w:trPr>
        <w:tc>
          <w:tcPr>
            <w:tcW w:w="1866" w:type="dxa"/>
            <w:gridSpan w:val="2"/>
            <w:shd w:val="clear" w:color="auto" w:fill="auto"/>
            <w:vAlign w:val="center"/>
          </w:tcPr>
          <w:p w14:paraId="36D6E1DC"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BŘEZINY</w:t>
            </w:r>
          </w:p>
          <w:p w14:paraId="6CA373DC"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55A0AEF0" w14:textId="77777777" w:rsidR="009617F5" w:rsidRPr="009617F5" w:rsidRDefault="009617F5" w:rsidP="00286F7D">
            <w:pPr>
              <w:rPr>
                <w:rFonts w:ascii="Arial" w:hAnsi="Arial" w:cs="Arial"/>
                <w:b/>
                <w:sz w:val="14"/>
                <w:szCs w:val="16"/>
              </w:rPr>
            </w:pPr>
            <w:r w:rsidRPr="009617F5">
              <w:rPr>
                <w:rFonts w:ascii="Arial" w:hAnsi="Arial" w:cs="Arial"/>
                <w:b/>
                <w:sz w:val="14"/>
                <w:szCs w:val="16"/>
              </w:rPr>
              <w:t>0,1334</w:t>
            </w:r>
          </w:p>
        </w:tc>
        <w:tc>
          <w:tcPr>
            <w:tcW w:w="993" w:type="dxa"/>
            <w:shd w:val="clear" w:color="auto" w:fill="auto"/>
            <w:vAlign w:val="center"/>
          </w:tcPr>
          <w:p w14:paraId="10641C4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6B9EC47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44E4B55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150CD06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27A3A91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4C9A3DCE" w14:textId="77777777" w:rsidR="009617F5" w:rsidRPr="009617F5" w:rsidRDefault="009617F5" w:rsidP="00286F7D">
            <w:pPr>
              <w:rPr>
                <w:rFonts w:ascii="Arial" w:hAnsi="Arial" w:cs="Arial"/>
                <w:b/>
                <w:sz w:val="14"/>
                <w:szCs w:val="16"/>
              </w:rPr>
            </w:pPr>
            <w:r w:rsidRPr="009617F5">
              <w:rPr>
                <w:rFonts w:ascii="Arial" w:hAnsi="Arial" w:cs="Arial"/>
                <w:b/>
                <w:sz w:val="14"/>
                <w:szCs w:val="16"/>
              </w:rPr>
              <w:t>0,1334</w:t>
            </w:r>
          </w:p>
        </w:tc>
        <w:tc>
          <w:tcPr>
            <w:tcW w:w="519" w:type="dxa"/>
            <w:shd w:val="clear" w:color="auto" w:fill="auto"/>
            <w:vAlign w:val="center"/>
          </w:tcPr>
          <w:p w14:paraId="5441E3F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7ED49782" w14:textId="77777777" w:rsidR="009617F5" w:rsidRPr="009617F5" w:rsidRDefault="009617F5" w:rsidP="00286F7D">
            <w:pPr>
              <w:rPr>
                <w:rFonts w:ascii="Arial" w:hAnsi="Arial" w:cs="Arial"/>
                <w:b/>
                <w:sz w:val="14"/>
                <w:szCs w:val="16"/>
              </w:rPr>
            </w:pPr>
            <w:r w:rsidRPr="009617F5">
              <w:rPr>
                <w:rFonts w:ascii="Arial" w:hAnsi="Arial" w:cs="Arial"/>
                <w:b/>
                <w:sz w:val="14"/>
                <w:szCs w:val="16"/>
              </w:rPr>
              <w:t>0,1023</w:t>
            </w:r>
          </w:p>
        </w:tc>
        <w:tc>
          <w:tcPr>
            <w:tcW w:w="949" w:type="dxa"/>
            <w:shd w:val="clear" w:color="auto" w:fill="auto"/>
            <w:vAlign w:val="center"/>
          </w:tcPr>
          <w:p w14:paraId="3CC54951" w14:textId="77777777" w:rsidR="009617F5" w:rsidRPr="009617F5" w:rsidRDefault="009617F5" w:rsidP="00286F7D">
            <w:pPr>
              <w:rPr>
                <w:rFonts w:ascii="Arial" w:hAnsi="Arial" w:cs="Arial"/>
                <w:b/>
                <w:sz w:val="14"/>
                <w:szCs w:val="16"/>
              </w:rPr>
            </w:pPr>
            <w:r w:rsidRPr="009617F5">
              <w:rPr>
                <w:rFonts w:ascii="Arial" w:hAnsi="Arial" w:cs="Arial"/>
                <w:b/>
                <w:sz w:val="14"/>
                <w:szCs w:val="16"/>
              </w:rPr>
              <w:t>0,0240</w:t>
            </w:r>
          </w:p>
        </w:tc>
        <w:tc>
          <w:tcPr>
            <w:tcW w:w="1147" w:type="dxa"/>
            <w:shd w:val="clear" w:color="auto" w:fill="auto"/>
            <w:vAlign w:val="center"/>
          </w:tcPr>
          <w:p w14:paraId="779A824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7D843C5F" w14:textId="77777777" w:rsidR="009617F5" w:rsidRPr="009617F5" w:rsidRDefault="009617F5" w:rsidP="00286F7D">
            <w:pPr>
              <w:rPr>
                <w:rFonts w:ascii="Arial" w:hAnsi="Arial" w:cs="Arial"/>
                <w:b/>
                <w:sz w:val="14"/>
                <w:szCs w:val="16"/>
              </w:rPr>
            </w:pPr>
            <w:r w:rsidRPr="009617F5">
              <w:rPr>
                <w:rFonts w:ascii="Arial" w:hAnsi="Arial" w:cs="Arial"/>
                <w:b/>
                <w:sz w:val="14"/>
                <w:szCs w:val="16"/>
              </w:rPr>
              <w:t>0,0071</w:t>
            </w:r>
          </w:p>
        </w:tc>
        <w:tc>
          <w:tcPr>
            <w:tcW w:w="1164" w:type="dxa"/>
            <w:shd w:val="clear" w:color="auto" w:fill="auto"/>
            <w:vAlign w:val="center"/>
          </w:tcPr>
          <w:p w14:paraId="550D086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299529B5" w14:textId="77777777" w:rsidTr="00286F7D">
        <w:trPr>
          <w:trHeight w:val="397"/>
        </w:trPr>
        <w:tc>
          <w:tcPr>
            <w:tcW w:w="1866" w:type="dxa"/>
            <w:gridSpan w:val="2"/>
            <w:shd w:val="clear" w:color="auto" w:fill="auto"/>
            <w:vAlign w:val="center"/>
          </w:tcPr>
          <w:p w14:paraId="16F1B7DE"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DĚČÍN</w:t>
            </w:r>
          </w:p>
          <w:p w14:paraId="52278867"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51A8BF9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1452</w:t>
            </w:r>
            <w:r w:rsidRPr="009617F5">
              <w:rPr>
                <w:rFonts w:ascii="Arial" w:hAnsi="Arial" w:cs="Arial"/>
                <w:b/>
                <w:sz w:val="14"/>
                <w:szCs w:val="16"/>
              </w:rPr>
              <w:fldChar w:fldCharType="end"/>
            </w:r>
          </w:p>
        </w:tc>
        <w:tc>
          <w:tcPr>
            <w:tcW w:w="993" w:type="dxa"/>
            <w:shd w:val="clear" w:color="auto" w:fill="auto"/>
            <w:vAlign w:val="center"/>
          </w:tcPr>
          <w:p w14:paraId="51CA09F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4EEC74C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604A189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159F4310"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1452</w:t>
            </w:r>
            <w:r w:rsidRPr="009617F5">
              <w:rPr>
                <w:rFonts w:ascii="Arial" w:hAnsi="Arial" w:cs="Arial"/>
                <w:b/>
                <w:sz w:val="14"/>
                <w:szCs w:val="16"/>
              </w:rPr>
              <w:fldChar w:fldCharType="end"/>
            </w:r>
          </w:p>
        </w:tc>
        <w:tc>
          <w:tcPr>
            <w:tcW w:w="828" w:type="dxa"/>
            <w:shd w:val="clear" w:color="auto" w:fill="auto"/>
            <w:vAlign w:val="center"/>
          </w:tcPr>
          <w:p w14:paraId="19DC723D"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3917553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519" w:type="dxa"/>
            <w:shd w:val="clear" w:color="auto" w:fill="auto"/>
            <w:vAlign w:val="center"/>
          </w:tcPr>
          <w:p w14:paraId="4F2C1A2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69F3625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1452</w:t>
            </w:r>
            <w:r w:rsidRPr="009617F5">
              <w:rPr>
                <w:rFonts w:ascii="Arial" w:hAnsi="Arial" w:cs="Arial"/>
                <w:b/>
                <w:sz w:val="14"/>
                <w:szCs w:val="16"/>
              </w:rPr>
              <w:fldChar w:fldCharType="end"/>
            </w:r>
          </w:p>
        </w:tc>
        <w:tc>
          <w:tcPr>
            <w:tcW w:w="949" w:type="dxa"/>
            <w:shd w:val="clear" w:color="auto" w:fill="auto"/>
            <w:vAlign w:val="center"/>
          </w:tcPr>
          <w:p w14:paraId="390FA0B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147" w:type="dxa"/>
            <w:shd w:val="clear" w:color="auto" w:fill="auto"/>
            <w:vAlign w:val="center"/>
          </w:tcPr>
          <w:p w14:paraId="27950D1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1C23A37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164" w:type="dxa"/>
            <w:shd w:val="clear" w:color="auto" w:fill="auto"/>
            <w:vAlign w:val="center"/>
          </w:tcPr>
          <w:p w14:paraId="1E43C97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73662457" w14:textId="77777777" w:rsidTr="00286F7D">
        <w:trPr>
          <w:trHeight w:val="397"/>
        </w:trPr>
        <w:tc>
          <w:tcPr>
            <w:tcW w:w="1866" w:type="dxa"/>
            <w:gridSpan w:val="2"/>
            <w:shd w:val="clear" w:color="auto" w:fill="auto"/>
            <w:vAlign w:val="center"/>
          </w:tcPr>
          <w:p w14:paraId="5A6DDD2B"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FOLKNÁŘE</w:t>
            </w:r>
          </w:p>
          <w:p w14:paraId="43CAA159"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4F9CAE4B" w14:textId="77777777" w:rsidR="009617F5" w:rsidRPr="009617F5" w:rsidRDefault="009617F5" w:rsidP="00286F7D">
            <w:pPr>
              <w:rPr>
                <w:rFonts w:ascii="Arial" w:hAnsi="Arial" w:cs="Arial"/>
                <w:b/>
                <w:sz w:val="14"/>
                <w:szCs w:val="16"/>
              </w:rPr>
            </w:pPr>
            <w:r w:rsidRPr="009617F5">
              <w:rPr>
                <w:rFonts w:ascii="Arial" w:hAnsi="Arial" w:cs="Arial"/>
                <w:b/>
                <w:sz w:val="14"/>
                <w:szCs w:val="16"/>
              </w:rPr>
              <w:t>0,0087</w:t>
            </w:r>
          </w:p>
        </w:tc>
        <w:tc>
          <w:tcPr>
            <w:tcW w:w="993" w:type="dxa"/>
            <w:shd w:val="clear" w:color="auto" w:fill="auto"/>
            <w:vAlign w:val="center"/>
          </w:tcPr>
          <w:p w14:paraId="48D760B7" w14:textId="77777777" w:rsidR="009617F5" w:rsidRPr="009617F5" w:rsidRDefault="009617F5" w:rsidP="00286F7D">
            <w:pPr>
              <w:rPr>
                <w:rFonts w:ascii="Arial" w:hAnsi="Arial" w:cs="Arial"/>
                <w:b/>
                <w:sz w:val="14"/>
                <w:szCs w:val="16"/>
              </w:rPr>
            </w:pPr>
            <w:r w:rsidRPr="009617F5">
              <w:rPr>
                <w:rFonts w:ascii="Arial" w:hAnsi="Arial" w:cs="Arial"/>
                <w:b/>
                <w:sz w:val="14"/>
                <w:szCs w:val="16"/>
              </w:rPr>
              <w:t>0,0087</w:t>
            </w:r>
          </w:p>
        </w:tc>
        <w:tc>
          <w:tcPr>
            <w:tcW w:w="999" w:type="dxa"/>
            <w:shd w:val="clear" w:color="auto" w:fill="auto"/>
            <w:vAlign w:val="center"/>
          </w:tcPr>
          <w:p w14:paraId="09A634C9"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4843B080"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67D7022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3E7A825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7CE6F3D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519" w:type="dxa"/>
            <w:shd w:val="clear" w:color="auto" w:fill="auto"/>
            <w:vAlign w:val="center"/>
          </w:tcPr>
          <w:p w14:paraId="432617DD"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276E442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4C38DE29" w14:textId="77777777" w:rsidR="009617F5" w:rsidRPr="009617F5" w:rsidRDefault="009617F5" w:rsidP="00286F7D">
            <w:pPr>
              <w:rPr>
                <w:rFonts w:ascii="Arial" w:hAnsi="Arial" w:cs="Arial"/>
                <w:b/>
                <w:sz w:val="14"/>
                <w:szCs w:val="16"/>
              </w:rPr>
            </w:pPr>
            <w:r w:rsidRPr="009617F5">
              <w:rPr>
                <w:rFonts w:ascii="Arial" w:hAnsi="Arial" w:cs="Arial"/>
                <w:b/>
                <w:sz w:val="14"/>
                <w:szCs w:val="16"/>
              </w:rPr>
              <w:t>0,0087</w:t>
            </w:r>
          </w:p>
        </w:tc>
        <w:tc>
          <w:tcPr>
            <w:tcW w:w="1147" w:type="dxa"/>
            <w:shd w:val="clear" w:color="auto" w:fill="auto"/>
            <w:vAlign w:val="center"/>
          </w:tcPr>
          <w:p w14:paraId="3CAFB6D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3C0732A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164" w:type="dxa"/>
            <w:shd w:val="clear" w:color="auto" w:fill="auto"/>
            <w:vAlign w:val="center"/>
          </w:tcPr>
          <w:p w14:paraId="7B2FCA0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69F90FC3" w14:textId="77777777" w:rsidTr="00286F7D">
        <w:trPr>
          <w:trHeight w:val="397"/>
        </w:trPr>
        <w:tc>
          <w:tcPr>
            <w:tcW w:w="1866" w:type="dxa"/>
            <w:gridSpan w:val="2"/>
            <w:shd w:val="clear" w:color="auto" w:fill="auto"/>
            <w:vAlign w:val="center"/>
          </w:tcPr>
          <w:p w14:paraId="308D07A1"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Horní Oldřichov</w:t>
            </w:r>
          </w:p>
          <w:p w14:paraId="2D6A863A"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6AAC37A2"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1,4224</w:t>
            </w:r>
            <w:r w:rsidRPr="009617F5">
              <w:rPr>
                <w:rFonts w:ascii="Arial" w:hAnsi="Arial" w:cs="Arial"/>
                <w:b/>
                <w:sz w:val="14"/>
                <w:szCs w:val="16"/>
              </w:rPr>
              <w:fldChar w:fldCharType="end"/>
            </w:r>
          </w:p>
        </w:tc>
        <w:tc>
          <w:tcPr>
            <w:tcW w:w="993" w:type="dxa"/>
            <w:shd w:val="clear" w:color="auto" w:fill="auto"/>
            <w:vAlign w:val="center"/>
          </w:tcPr>
          <w:p w14:paraId="6BDF368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6D3B38A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13FA0CB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7AC636B8" w14:textId="77777777" w:rsidR="009617F5" w:rsidRPr="009617F5" w:rsidRDefault="009617F5" w:rsidP="00286F7D">
            <w:pPr>
              <w:rPr>
                <w:rFonts w:ascii="Arial" w:hAnsi="Arial" w:cs="Arial"/>
                <w:b/>
                <w:sz w:val="14"/>
                <w:szCs w:val="16"/>
              </w:rPr>
            </w:pPr>
            <w:r w:rsidRPr="009617F5">
              <w:rPr>
                <w:rFonts w:ascii="Arial" w:hAnsi="Arial" w:cs="Arial"/>
                <w:b/>
                <w:sz w:val="14"/>
                <w:szCs w:val="16"/>
              </w:rPr>
              <w:t>0,0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870</w:t>
            </w:r>
            <w:r w:rsidRPr="009617F5">
              <w:rPr>
                <w:rFonts w:ascii="Arial" w:hAnsi="Arial" w:cs="Arial"/>
                <w:b/>
                <w:sz w:val="14"/>
                <w:szCs w:val="16"/>
              </w:rPr>
              <w:fldChar w:fldCharType="end"/>
            </w:r>
          </w:p>
        </w:tc>
        <w:tc>
          <w:tcPr>
            <w:tcW w:w="828" w:type="dxa"/>
            <w:shd w:val="clear" w:color="auto" w:fill="auto"/>
            <w:vAlign w:val="center"/>
          </w:tcPr>
          <w:p w14:paraId="212E2F2D"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03D48E6B"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1,5457</w:t>
            </w:r>
            <w:r w:rsidRPr="009617F5">
              <w:rPr>
                <w:rFonts w:ascii="Arial" w:hAnsi="Arial" w:cs="Arial"/>
                <w:b/>
                <w:sz w:val="14"/>
                <w:szCs w:val="16"/>
              </w:rPr>
              <w:fldChar w:fldCharType="end"/>
            </w:r>
          </w:p>
        </w:tc>
        <w:tc>
          <w:tcPr>
            <w:tcW w:w="519" w:type="dxa"/>
            <w:shd w:val="clear" w:color="auto" w:fill="auto"/>
            <w:vAlign w:val="center"/>
          </w:tcPr>
          <w:p w14:paraId="0C6853C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19628F8D"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7529C5A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147" w:type="dxa"/>
            <w:shd w:val="clear" w:color="auto" w:fill="auto"/>
            <w:vAlign w:val="center"/>
          </w:tcPr>
          <w:p w14:paraId="5E915330"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1,1941</w:t>
            </w:r>
            <w:r w:rsidRPr="009617F5">
              <w:rPr>
                <w:rFonts w:ascii="Arial" w:hAnsi="Arial" w:cs="Arial"/>
                <w:b/>
                <w:sz w:val="14"/>
                <w:szCs w:val="16"/>
              </w:rPr>
              <w:fldChar w:fldCharType="end"/>
            </w:r>
          </w:p>
        </w:tc>
        <w:tc>
          <w:tcPr>
            <w:tcW w:w="949" w:type="dxa"/>
            <w:shd w:val="clear" w:color="auto" w:fill="auto"/>
            <w:vAlign w:val="center"/>
          </w:tcPr>
          <w:p w14:paraId="0831547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4386</w:t>
            </w:r>
            <w:r w:rsidRPr="009617F5">
              <w:rPr>
                <w:rFonts w:ascii="Arial" w:hAnsi="Arial" w:cs="Arial"/>
                <w:b/>
                <w:sz w:val="14"/>
                <w:szCs w:val="16"/>
              </w:rPr>
              <w:fldChar w:fldCharType="end"/>
            </w:r>
          </w:p>
        </w:tc>
        <w:tc>
          <w:tcPr>
            <w:tcW w:w="1164" w:type="dxa"/>
            <w:shd w:val="clear" w:color="auto" w:fill="auto"/>
            <w:vAlign w:val="center"/>
          </w:tcPr>
          <w:p w14:paraId="6781647D"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1D2A0D88" w14:textId="77777777" w:rsidTr="00286F7D">
        <w:trPr>
          <w:trHeight w:val="397"/>
        </w:trPr>
        <w:tc>
          <w:tcPr>
            <w:tcW w:w="1866" w:type="dxa"/>
            <w:gridSpan w:val="2"/>
            <w:shd w:val="clear" w:color="auto" w:fill="auto"/>
            <w:vAlign w:val="center"/>
          </w:tcPr>
          <w:p w14:paraId="12DE8B74"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CHROCHVICE</w:t>
            </w:r>
          </w:p>
          <w:p w14:paraId="7E988BEC"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3D3CD21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6153E7C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6AEEFAE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6D1C72A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7767E29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676D687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6B4C94E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519" w:type="dxa"/>
            <w:shd w:val="clear" w:color="auto" w:fill="auto"/>
            <w:vAlign w:val="center"/>
          </w:tcPr>
          <w:p w14:paraId="73FA858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6CE0F9F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0DE31B1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147" w:type="dxa"/>
            <w:shd w:val="clear" w:color="auto" w:fill="auto"/>
            <w:vAlign w:val="center"/>
          </w:tcPr>
          <w:p w14:paraId="5C92A2B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0078EEC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164" w:type="dxa"/>
            <w:shd w:val="clear" w:color="auto" w:fill="auto"/>
            <w:vAlign w:val="center"/>
          </w:tcPr>
          <w:p w14:paraId="3A6DB0F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4DBCCB5B" w14:textId="77777777" w:rsidTr="00286F7D">
        <w:trPr>
          <w:trHeight w:val="397"/>
        </w:trPr>
        <w:tc>
          <w:tcPr>
            <w:tcW w:w="1866" w:type="dxa"/>
            <w:gridSpan w:val="2"/>
            <w:shd w:val="clear" w:color="auto" w:fill="auto"/>
            <w:vAlign w:val="center"/>
          </w:tcPr>
          <w:p w14:paraId="7155E2A2"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KŘEŠICE</w:t>
            </w:r>
          </w:p>
          <w:p w14:paraId="06E464F4"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0301A11D"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=SUM(LEFT) </w:instrText>
            </w:r>
            <w:r w:rsidRPr="009617F5">
              <w:rPr>
                <w:rFonts w:ascii="Arial" w:hAnsi="Arial" w:cs="Arial"/>
                <w:b/>
                <w:sz w:val="14"/>
                <w:szCs w:val="16"/>
              </w:rPr>
              <w:fldChar w:fldCharType="separate"/>
            </w:r>
            <w:r w:rsidRPr="009617F5">
              <w:rPr>
                <w:rFonts w:ascii="Arial" w:hAnsi="Arial" w:cs="Arial"/>
                <w:b/>
                <w:sz w:val="14"/>
                <w:szCs w:val="16"/>
              </w:rPr>
              <w:t>0,5592</w:t>
            </w:r>
            <w:r w:rsidRPr="009617F5">
              <w:rPr>
                <w:rFonts w:ascii="Arial" w:hAnsi="Arial" w:cs="Arial"/>
                <w:b/>
                <w:sz w:val="14"/>
                <w:szCs w:val="16"/>
              </w:rPr>
              <w:fldChar w:fldCharType="end"/>
            </w:r>
          </w:p>
        </w:tc>
        <w:tc>
          <w:tcPr>
            <w:tcW w:w="993" w:type="dxa"/>
            <w:shd w:val="clear" w:color="auto" w:fill="auto"/>
            <w:vAlign w:val="center"/>
          </w:tcPr>
          <w:p w14:paraId="708E790C" w14:textId="77777777" w:rsidR="009617F5" w:rsidRPr="009617F5" w:rsidRDefault="009617F5" w:rsidP="00286F7D">
            <w:pPr>
              <w:rPr>
                <w:rFonts w:ascii="Arial" w:hAnsi="Arial" w:cs="Arial"/>
                <w:b/>
                <w:sz w:val="14"/>
                <w:szCs w:val="16"/>
              </w:rPr>
            </w:pPr>
            <w:r w:rsidRPr="009617F5">
              <w:rPr>
                <w:rFonts w:ascii="Arial" w:hAnsi="Arial" w:cs="Arial"/>
                <w:b/>
                <w:sz w:val="14"/>
                <w:szCs w:val="16"/>
              </w:rPr>
              <w:t>0,0036</w:t>
            </w:r>
          </w:p>
        </w:tc>
        <w:tc>
          <w:tcPr>
            <w:tcW w:w="999" w:type="dxa"/>
            <w:shd w:val="clear" w:color="auto" w:fill="auto"/>
            <w:vAlign w:val="center"/>
          </w:tcPr>
          <w:p w14:paraId="24C6C550"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788C538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3A6CFDC4" w14:textId="77777777" w:rsidR="009617F5" w:rsidRPr="009617F5" w:rsidRDefault="009617F5" w:rsidP="00286F7D">
            <w:pPr>
              <w:rPr>
                <w:rFonts w:ascii="Arial" w:hAnsi="Arial" w:cs="Arial"/>
                <w:b/>
                <w:sz w:val="14"/>
                <w:szCs w:val="16"/>
              </w:rPr>
            </w:pPr>
            <w:r w:rsidRPr="009617F5">
              <w:rPr>
                <w:rFonts w:ascii="Arial" w:hAnsi="Arial" w:cs="Arial"/>
                <w:b/>
                <w:sz w:val="14"/>
                <w:szCs w:val="16"/>
              </w:rPr>
              <w:t>0,1935</w:t>
            </w:r>
          </w:p>
        </w:tc>
        <w:tc>
          <w:tcPr>
            <w:tcW w:w="828" w:type="dxa"/>
            <w:shd w:val="clear" w:color="auto" w:fill="auto"/>
            <w:vAlign w:val="center"/>
          </w:tcPr>
          <w:p w14:paraId="02502A23" w14:textId="77777777" w:rsidR="009617F5" w:rsidRPr="009617F5" w:rsidRDefault="009617F5" w:rsidP="00286F7D">
            <w:pPr>
              <w:rPr>
                <w:rFonts w:ascii="Arial" w:hAnsi="Arial" w:cs="Arial"/>
                <w:b/>
                <w:sz w:val="14"/>
                <w:szCs w:val="16"/>
              </w:rPr>
            </w:pPr>
            <w:r w:rsidRPr="009617F5">
              <w:rPr>
                <w:rFonts w:ascii="Arial" w:hAnsi="Arial" w:cs="Arial"/>
                <w:b/>
                <w:sz w:val="14"/>
                <w:szCs w:val="16"/>
              </w:rPr>
              <w:t>0,5592</w:t>
            </w:r>
          </w:p>
        </w:tc>
        <w:tc>
          <w:tcPr>
            <w:tcW w:w="993" w:type="dxa"/>
            <w:shd w:val="clear" w:color="auto" w:fill="auto"/>
            <w:vAlign w:val="center"/>
          </w:tcPr>
          <w:p w14:paraId="586D43B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519" w:type="dxa"/>
            <w:shd w:val="clear" w:color="auto" w:fill="auto"/>
            <w:vAlign w:val="center"/>
          </w:tcPr>
          <w:p w14:paraId="72CB12B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73996AB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5F9FDAE6"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147" w:type="dxa"/>
            <w:shd w:val="clear" w:color="auto" w:fill="auto"/>
            <w:vAlign w:val="center"/>
          </w:tcPr>
          <w:p w14:paraId="129DA377" w14:textId="77777777" w:rsidR="009617F5" w:rsidRPr="009617F5" w:rsidRDefault="009617F5" w:rsidP="00286F7D">
            <w:pPr>
              <w:rPr>
                <w:rFonts w:ascii="Arial" w:hAnsi="Arial" w:cs="Arial"/>
                <w:b/>
                <w:sz w:val="14"/>
                <w:szCs w:val="16"/>
              </w:rPr>
            </w:pPr>
            <w:r w:rsidRPr="009617F5">
              <w:rPr>
                <w:rFonts w:ascii="Arial" w:hAnsi="Arial" w:cs="Arial"/>
                <w:b/>
                <w:sz w:val="14"/>
                <w:szCs w:val="16"/>
              </w:rPr>
              <w:t>2,3363</w:t>
            </w:r>
          </w:p>
        </w:tc>
        <w:tc>
          <w:tcPr>
            <w:tcW w:w="949" w:type="dxa"/>
            <w:shd w:val="clear" w:color="auto" w:fill="auto"/>
            <w:vAlign w:val="center"/>
          </w:tcPr>
          <w:p w14:paraId="4494D403" w14:textId="77777777" w:rsidR="009617F5" w:rsidRPr="009617F5" w:rsidRDefault="009617F5" w:rsidP="00286F7D">
            <w:pPr>
              <w:rPr>
                <w:rFonts w:ascii="Arial" w:hAnsi="Arial" w:cs="Arial"/>
                <w:b/>
                <w:sz w:val="14"/>
                <w:szCs w:val="16"/>
              </w:rPr>
            </w:pPr>
            <w:r w:rsidRPr="009617F5">
              <w:rPr>
                <w:rFonts w:ascii="Arial" w:hAnsi="Arial" w:cs="Arial"/>
                <w:b/>
                <w:sz w:val="14"/>
                <w:szCs w:val="16"/>
              </w:rPr>
              <w:t>0,2832</w:t>
            </w:r>
          </w:p>
        </w:tc>
        <w:tc>
          <w:tcPr>
            <w:tcW w:w="1164" w:type="dxa"/>
            <w:shd w:val="clear" w:color="auto" w:fill="auto"/>
            <w:vAlign w:val="center"/>
          </w:tcPr>
          <w:p w14:paraId="1C96516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3D741B7A" w14:textId="77777777" w:rsidTr="00286F7D">
        <w:trPr>
          <w:trHeight w:val="397"/>
        </w:trPr>
        <w:tc>
          <w:tcPr>
            <w:tcW w:w="1866" w:type="dxa"/>
            <w:gridSpan w:val="2"/>
            <w:shd w:val="clear" w:color="auto" w:fill="auto"/>
            <w:vAlign w:val="center"/>
          </w:tcPr>
          <w:p w14:paraId="5ED24915"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NEBOČADY</w:t>
            </w:r>
          </w:p>
          <w:p w14:paraId="444AA177"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7E212F37" w14:textId="77777777" w:rsidR="009617F5" w:rsidRPr="009617F5" w:rsidRDefault="009617F5" w:rsidP="00286F7D">
            <w:pPr>
              <w:rPr>
                <w:rFonts w:ascii="Arial" w:hAnsi="Arial" w:cs="Arial"/>
                <w:b/>
                <w:sz w:val="14"/>
                <w:szCs w:val="16"/>
              </w:rPr>
            </w:pPr>
            <w:r w:rsidRPr="009617F5">
              <w:rPr>
                <w:rFonts w:ascii="Arial" w:hAnsi="Arial" w:cs="Arial"/>
                <w:b/>
                <w:sz w:val="14"/>
                <w:szCs w:val="16"/>
              </w:rPr>
              <w:t>1,5102</w:t>
            </w:r>
          </w:p>
        </w:tc>
        <w:tc>
          <w:tcPr>
            <w:tcW w:w="993" w:type="dxa"/>
            <w:shd w:val="clear" w:color="auto" w:fill="auto"/>
            <w:vAlign w:val="center"/>
          </w:tcPr>
          <w:p w14:paraId="5A1D3AC7" w14:textId="77777777" w:rsidR="009617F5" w:rsidRPr="009617F5" w:rsidRDefault="009617F5" w:rsidP="00286F7D">
            <w:pPr>
              <w:rPr>
                <w:rFonts w:ascii="Arial" w:hAnsi="Arial" w:cs="Arial"/>
                <w:b/>
                <w:sz w:val="14"/>
                <w:szCs w:val="16"/>
              </w:rPr>
            </w:pPr>
            <w:r w:rsidRPr="009617F5">
              <w:rPr>
                <w:rFonts w:ascii="Arial" w:hAnsi="Arial" w:cs="Arial"/>
                <w:b/>
                <w:sz w:val="14"/>
                <w:szCs w:val="16"/>
              </w:rPr>
              <w:t>1,1448</w:t>
            </w:r>
          </w:p>
        </w:tc>
        <w:tc>
          <w:tcPr>
            <w:tcW w:w="999" w:type="dxa"/>
            <w:shd w:val="clear" w:color="auto" w:fill="auto"/>
            <w:vAlign w:val="center"/>
          </w:tcPr>
          <w:p w14:paraId="2E64D06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6C9C507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43C7DCE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6571F3D0"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5FA35C5C" w14:textId="77777777" w:rsidR="009617F5" w:rsidRPr="009617F5" w:rsidRDefault="009617F5" w:rsidP="00286F7D">
            <w:pPr>
              <w:rPr>
                <w:rFonts w:ascii="Arial" w:hAnsi="Arial" w:cs="Arial"/>
                <w:b/>
                <w:sz w:val="14"/>
                <w:szCs w:val="16"/>
              </w:rPr>
            </w:pPr>
            <w:r w:rsidRPr="009617F5">
              <w:rPr>
                <w:rFonts w:ascii="Arial" w:hAnsi="Arial" w:cs="Arial"/>
                <w:b/>
                <w:sz w:val="14"/>
                <w:szCs w:val="16"/>
              </w:rPr>
              <w:t>0,3654</w:t>
            </w:r>
          </w:p>
        </w:tc>
        <w:tc>
          <w:tcPr>
            <w:tcW w:w="519" w:type="dxa"/>
            <w:shd w:val="clear" w:color="auto" w:fill="auto"/>
            <w:vAlign w:val="center"/>
          </w:tcPr>
          <w:p w14:paraId="191B218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40E2AF75" w14:textId="77777777" w:rsidR="009617F5" w:rsidRPr="009617F5" w:rsidRDefault="009617F5" w:rsidP="00286F7D">
            <w:pPr>
              <w:rPr>
                <w:rFonts w:ascii="Arial" w:hAnsi="Arial" w:cs="Arial"/>
                <w:b/>
                <w:sz w:val="14"/>
                <w:szCs w:val="16"/>
              </w:rPr>
            </w:pPr>
            <w:r w:rsidRPr="009617F5">
              <w:rPr>
                <w:rFonts w:ascii="Arial" w:hAnsi="Arial" w:cs="Arial"/>
                <w:b/>
                <w:sz w:val="14"/>
                <w:szCs w:val="16"/>
              </w:rPr>
              <w:t>1,1923</w:t>
            </w:r>
          </w:p>
        </w:tc>
        <w:tc>
          <w:tcPr>
            <w:tcW w:w="949" w:type="dxa"/>
            <w:shd w:val="clear" w:color="auto" w:fill="auto"/>
            <w:vAlign w:val="center"/>
          </w:tcPr>
          <w:p w14:paraId="5371ECCD" w14:textId="77777777" w:rsidR="009617F5" w:rsidRPr="009617F5" w:rsidRDefault="009617F5" w:rsidP="00286F7D">
            <w:pPr>
              <w:rPr>
                <w:rFonts w:ascii="Arial" w:hAnsi="Arial" w:cs="Arial"/>
                <w:b/>
                <w:sz w:val="14"/>
                <w:szCs w:val="16"/>
              </w:rPr>
            </w:pPr>
            <w:r w:rsidRPr="009617F5">
              <w:rPr>
                <w:rFonts w:ascii="Arial" w:hAnsi="Arial" w:cs="Arial"/>
                <w:b/>
                <w:sz w:val="14"/>
                <w:szCs w:val="16"/>
              </w:rPr>
              <w:t>0,3179</w:t>
            </w:r>
          </w:p>
        </w:tc>
        <w:tc>
          <w:tcPr>
            <w:tcW w:w="1147" w:type="dxa"/>
            <w:shd w:val="clear" w:color="auto" w:fill="auto"/>
            <w:vAlign w:val="center"/>
          </w:tcPr>
          <w:p w14:paraId="5496516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25BCFF6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164" w:type="dxa"/>
            <w:shd w:val="clear" w:color="auto" w:fill="auto"/>
            <w:vAlign w:val="center"/>
          </w:tcPr>
          <w:p w14:paraId="5EA00F3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2E3C3B77" w14:textId="77777777" w:rsidTr="00286F7D">
        <w:trPr>
          <w:trHeight w:val="397"/>
        </w:trPr>
        <w:tc>
          <w:tcPr>
            <w:tcW w:w="1866" w:type="dxa"/>
            <w:gridSpan w:val="2"/>
            <w:shd w:val="clear" w:color="auto" w:fill="auto"/>
            <w:vAlign w:val="center"/>
          </w:tcPr>
          <w:p w14:paraId="2A4EEC24"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PODMOKLY</w:t>
            </w:r>
          </w:p>
          <w:p w14:paraId="30C5EC3C"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3404746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6026</w:t>
            </w:r>
            <w:r w:rsidRPr="009617F5">
              <w:rPr>
                <w:rFonts w:ascii="Arial" w:hAnsi="Arial" w:cs="Arial"/>
                <w:b/>
                <w:sz w:val="14"/>
                <w:szCs w:val="16"/>
              </w:rPr>
              <w:fldChar w:fldCharType="end"/>
            </w:r>
          </w:p>
        </w:tc>
        <w:tc>
          <w:tcPr>
            <w:tcW w:w="993" w:type="dxa"/>
            <w:shd w:val="clear" w:color="auto" w:fill="auto"/>
            <w:vAlign w:val="center"/>
          </w:tcPr>
          <w:p w14:paraId="29F1FBD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43565273"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61A5D13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31589AE7"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1043</w:t>
            </w:r>
            <w:r w:rsidRPr="009617F5">
              <w:rPr>
                <w:rFonts w:ascii="Arial" w:hAnsi="Arial" w:cs="Arial"/>
                <w:b/>
                <w:sz w:val="14"/>
                <w:szCs w:val="16"/>
              </w:rPr>
              <w:fldChar w:fldCharType="end"/>
            </w:r>
          </w:p>
        </w:tc>
        <w:tc>
          <w:tcPr>
            <w:tcW w:w="828" w:type="dxa"/>
            <w:shd w:val="clear" w:color="auto" w:fill="auto"/>
            <w:vAlign w:val="center"/>
          </w:tcPr>
          <w:p w14:paraId="2F3B5AEC"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131BE2C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4983</w:t>
            </w:r>
            <w:r w:rsidRPr="009617F5">
              <w:rPr>
                <w:rFonts w:ascii="Arial" w:hAnsi="Arial" w:cs="Arial"/>
                <w:b/>
                <w:sz w:val="14"/>
                <w:szCs w:val="16"/>
              </w:rPr>
              <w:fldChar w:fldCharType="end"/>
            </w:r>
          </w:p>
        </w:tc>
        <w:tc>
          <w:tcPr>
            <w:tcW w:w="519" w:type="dxa"/>
            <w:shd w:val="clear" w:color="auto" w:fill="auto"/>
            <w:vAlign w:val="center"/>
          </w:tcPr>
          <w:p w14:paraId="2FD6E9D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62D5D43D"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2364</w:t>
            </w:r>
            <w:r w:rsidRPr="009617F5">
              <w:rPr>
                <w:rFonts w:ascii="Arial" w:hAnsi="Arial" w:cs="Arial"/>
                <w:b/>
                <w:sz w:val="14"/>
                <w:szCs w:val="16"/>
              </w:rPr>
              <w:fldChar w:fldCharType="end"/>
            </w:r>
          </w:p>
        </w:tc>
        <w:tc>
          <w:tcPr>
            <w:tcW w:w="949" w:type="dxa"/>
            <w:shd w:val="clear" w:color="auto" w:fill="auto"/>
            <w:vAlign w:val="center"/>
          </w:tcPr>
          <w:p w14:paraId="403C210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1540</w:t>
            </w:r>
            <w:r w:rsidRPr="009617F5">
              <w:rPr>
                <w:rFonts w:ascii="Arial" w:hAnsi="Arial" w:cs="Arial"/>
                <w:b/>
                <w:sz w:val="14"/>
                <w:szCs w:val="16"/>
              </w:rPr>
              <w:fldChar w:fldCharType="end"/>
            </w:r>
          </w:p>
        </w:tc>
        <w:tc>
          <w:tcPr>
            <w:tcW w:w="1147" w:type="dxa"/>
            <w:shd w:val="clear" w:color="auto" w:fill="auto"/>
            <w:vAlign w:val="center"/>
          </w:tcPr>
          <w:p w14:paraId="5DCB9621"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1043</w:t>
            </w:r>
            <w:r w:rsidRPr="009617F5">
              <w:rPr>
                <w:rFonts w:ascii="Arial" w:hAnsi="Arial" w:cs="Arial"/>
                <w:b/>
                <w:sz w:val="14"/>
                <w:szCs w:val="16"/>
              </w:rPr>
              <w:fldChar w:fldCharType="end"/>
            </w:r>
          </w:p>
        </w:tc>
        <w:tc>
          <w:tcPr>
            <w:tcW w:w="949" w:type="dxa"/>
            <w:shd w:val="clear" w:color="auto" w:fill="auto"/>
            <w:vAlign w:val="center"/>
          </w:tcPr>
          <w:p w14:paraId="664B5D9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1079</w:t>
            </w:r>
            <w:r w:rsidRPr="009617F5">
              <w:rPr>
                <w:rFonts w:ascii="Arial" w:hAnsi="Arial" w:cs="Arial"/>
                <w:b/>
                <w:sz w:val="14"/>
                <w:szCs w:val="16"/>
              </w:rPr>
              <w:fldChar w:fldCharType="end"/>
            </w:r>
          </w:p>
        </w:tc>
        <w:tc>
          <w:tcPr>
            <w:tcW w:w="1164" w:type="dxa"/>
            <w:shd w:val="clear" w:color="auto" w:fill="auto"/>
            <w:vAlign w:val="center"/>
          </w:tcPr>
          <w:p w14:paraId="7452F98B"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50ACA2C2" w14:textId="77777777" w:rsidTr="00286F7D">
        <w:trPr>
          <w:trHeight w:val="397"/>
        </w:trPr>
        <w:tc>
          <w:tcPr>
            <w:tcW w:w="1866" w:type="dxa"/>
            <w:gridSpan w:val="2"/>
            <w:shd w:val="clear" w:color="auto" w:fill="auto"/>
            <w:vAlign w:val="center"/>
          </w:tcPr>
          <w:p w14:paraId="57C20258" w14:textId="77777777" w:rsidR="009617F5" w:rsidRPr="009617F5" w:rsidRDefault="009617F5" w:rsidP="00286F7D">
            <w:pPr>
              <w:rPr>
                <w:rFonts w:ascii="Arial" w:hAnsi="Arial" w:cs="Arial"/>
                <w:b/>
                <w:sz w:val="14"/>
                <w:szCs w:val="16"/>
              </w:rPr>
            </w:pPr>
            <w:r w:rsidRPr="009617F5">
              <w:rPr>
                <w:rFonts w:ascii="Arial" w:hAnsi="Arial" w:cs="Arial"/>
                <w:b/>
                <w:sz w:val="14"/>
                <w:szCs w:val="16"/>
              </w:rPr>
              <w:lastRenderedPageBreak/>
              <w:t>k.ú. Prostřední Žleb</w:t>
            </w:r>
          </w:p>
          <w:p w14:paraId="48E0DA10"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751A6775" w14:textId="77777777" w:rsidR="009617F5" w:rsidRPr="009617F5" w:rsidRDefault="009617F5" w:rsidP="00286F7D">
            <w:pPr>
              <w:rPr>
                <w:rFonts w:ascii="Arial" w:hAnsi="Arial" w:cs="Arial"/>
                <w:b/>
                <w:sz w:val="14"/>
                <w:szCs w:val="16"/>
              </w:rPr>
            </w:pPr>
            <w:r w:rsidRPr="009617F5">
              <w:rPr>
                <w:rFonts w:ascii="Arial" w:hAnsi="Arial" w:cs="Arial"/>
                <w:b/>
                <w:sz w:val="14"/>
                <w:szCs w:val="16"/>
              </w:rPr>
              <w:t>0,4333</w:t>
            </w:r>
          </w:p>
        </w:tc>
        <w:tc>
          <w:tcPr>
            <w:tcW w:w="993" w:type="dxa"/>
            <w:shd w:val="clear" w:color="auto" w:fill="auto"/>
            <w:vAlign w:val="center"/>
          </w:tcPr>
          <w:p w14:paraId="10FFF6EE"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9" w:type="dxa"/>
            <w:shd w:val="clear" w:color="auto" w:fill="auto"/>
            <w:vAlign w:val="center"/>
          </w:tcPr>
          <w:p w14:paraId="46B0D30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089C100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661FB2A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828" w:type="dxa"/>
            <w:shd w:val="clear" w:color="auto" w:fill="auto"/>
            <w:vAlign w:val="center"/>
          </w:tcPr>
          <w:p w14:paraId="6914E5BD"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61BE6B49" w14:textId="77777777" w:rsidR="009617F5" w:rsidRPr="009617F5" w:rsidRDefault="009617F5" w:rsidP="00286F7D">
            <w:pPr>
              <w:rPr>
                <w:rFonts w:ascii="Arial" w:hAnsi="Arial" w:cs="Arial"/>
                <w:b/>
                <w:sz w:val="14"/>
                <w:szCs w:val="16"/>
              </w:rPr>
            </w:pPr>
            <w:r w:rsidRPr="009617F5">
              <w:rPr>
                <w:rFonts w:ascii="Arial" w:hAnsi="Arial" w:cs="Arial"/>
                <w:b/>
                <w:sz w:val="14"/>
                <w:szCs w:val="16"/>
              </w:rPr>
              <w:t>0,4333</w:t>
            </w:r>
          </w:p>
        </w:tc>
        <w:tc>
          <w:tcPr>
            <w:tcW w:w="519" w:type="dxa"/>
            <w:shd w:val="clear" w:color="auto" w:fill="auto"/>
            <w:vAlign w:val="center"/>
          </w:tcPr>
          <w:p w14:paraId="6126B160"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246F9242"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674AB468"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147" w:type="dxa"/>
            <w:shd w:val="clear" w:color="auto" w:fill="auto"/>
            <w:vAlign w:val="center"/>
          </w:tcPr>
          <w:p w14:paraId="37F7F018" w14:textId="77777777" w:rsidR="009617F5" w:rsidRPr="009617F5" w:rsidRDefault="009617F5" w:rsidP="00286F7D">
            <w:pPr>
              <w:rPr>
                <w:rFonts w:ascii="Arial" w:hAnsi="Arial" w:cs="Arial"/>
                <w:b/>
                <w:sz w:val="14"/>
                <w:szCs w:val="16"/>
              </w:rPr>
            </w:pPr>
            <w:r w:rsidRPr="009617F5">
              <w:rPr>
                <w:rFonts w:ascii="Arial" w:hAnsi="Arial" w:cs="Arial"/>
                <w:b/>
                <w:sz w:val="14"/>
                <w:szCs w:val="16"/>
              </w:rPr>
              <w:t>0,4333</w:t>
            </w:r>
          </w:p>
        </w:tc>
        <w:tc>
          <w:tcPr>
            <w:tcW w:w="949" w:type="dxa"/>
            <w:shd w:val="clear" w:color="auto" w:fill="auto"/>
            <w:vAlign w:val="center"/>
          </w:tcPr>
          <w:p w14:paraId="3DC29B4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1164" w:type="dxa"/>
            <w:shd w:val="clear" w:color="auto" w:fill="auto"/>
            <w:vAlign w:val="center"/>
          </w:tcPr>
          <w:p w14:paraId="6DCC462A"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r>
      <w:tr w:rsidR="009617F5" w:rsidRPr="009617F5" w14:paraId="35AEBE90" w14:textId="77777777" w:rsidTr="00286F7D">
        <w:trPr>
          <w:trHeight w:val="397"/>
        </w:trPr>
        <w:tc>
          <w:tcPr>
            <w:tcW w:w="1866" w:type="dxa"/>
            <w:gridSpan w:val="2"/>
            <w:shd w:val="clear" w:color="auto" w:fill="auto"/>
            <w:vAlign w:val="center"/>
          </w:tcPr>
          <w:p w14:paraId="09ECBCBA" w14:textId="77777777" w:rsidR="009617F5" w:rsidRPr="009617F5" w:rsidRDefault="009617F5" w:rsidP="00286F7D">
            <w:pPr>
              <w:rPr>
                <w:rFonts w:ascii="Arial" w:hAnsi="Arial" w:cs="Arial"/>
                <w:b/>
                <w:sz w:val="14"/>
                <w:szCs w:val="16"/>
              </w:rPr>
            </w:pPr>
            <w:r w:rsidRPr="009617F5">
              <w:rPr>
                <w:rFonts w:ascii="Arial" w:hAnsi="Arial" w:cs="Arial"/>
                <w:b/>
                <w:sz w:val="14"/>
                <w:szCs w:val="16"/>
              </w:rPr>
              <w:t>k.ú. VILSNICE</w:t>
            </w:r>
          </w:p>
          <w:p w14:paraId="5A10F3A6" w14:textId="77777777" w:rsidR="009617F5" w:rsidRPr="009617F5" w:rsidRDefault="009617F5" w:rsidP="00286F7D">
            <w:pPr>
              <w:rPr>
                <w:rFonts w:ascii="Arial" w:hAnsi="Arial" w:cs="Arial"/>
                <w:b/>
                <w:sz w:val="14"/>
                <w:szCs w:val="16"/>
              </w:rPr>
            </w:pPr>
            <w:r w:rsidRPr="009617F5">
              <w:rPr>
                <w:rFonts w:ascii="Arial" w:hAnsi="Arial" w:cs="Arial"/>
                <w:b/>
                <w:sz w:val="14"/>
                <w:szCs w:val="16"/>
              </w:rPr>
              <w:t>ZÁBOR ZPF CELKEM</w:t>
            </w:r>
          </w:p>
        </w:tc>
        <w:tc>
          <w:tcPr>
            <w:tcW w:w="1147" w:type="dxa"/>
            <w:shd w:val="clear" w:color="auto" w:fill="auto"/>
            <w:vAlign w:val="center"/>
          </w:tcPr>
          <w:p w14:paraId="57601D77"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3,7649</w:t>
            </w:r>
            <w:r w:rsidRPr="009617F5">
              <w:rPr>
                <w:rFonts w:ascii="Arial" w:hAnsi="Arial" w:cs="Arial"/>
                <w:b/>
                <w:sz w:val="14"/>
                <w:szCs w:val="16"/>
              </w:rPr>
              <w:fldChar w:fldCharType="end"/>
            </w:r>
          </w:p>
        </w:tc>
        <w:tc>
          <w:tcPr>
            <w:tcW w:w="993" w:type="dxa"/>
            <w:shd w:val="clear" w:color="auto" w:fill="auto"/>
            <w:vAlign w:val="center"/>
          </w:tcPr>
          <w:p w14:paraId="1D57493B"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2,848</w:t>
            </w:r>
            <w:r w:rsidRPr="009617F5">
              <w:rPr>
                <w:rFonts w:ascii="Arial" w:hAnsi="Arial" w:cs="Arial"/>
                <w:b/>
                <w:sz w:val="14"/>
                <w:szCs w:val="16"/>
              </w:rPr>
              <w:fldChar w:fldCharType="end"/>
            </w:r>
          </w:p>
        </w:tc>
        <w:tc>
          <w:tcPr>
            <w:tcW w:w="999" w:type="dxa"/>
            <w:shd w:val="clear" w:color="auto" w:fill="auto"/>
            <w:vAlign w:val="center"/>
          </w:tcPr>
          <w:p w14:paraId="38A11E99"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181F95F9"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0EC92263"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0,2653</w:t>
            </w:r>
            <w:r w:rsidRPr="009617F5">
              <w:rPr>
                <w:rFonts w:ascii="Arial" w:hAnsi="Arial" w:cs="Arial"/>
                <w:b/>
                <w:sz w:val="14"/>
                <w:szCs w:val="16"/>
              </w:rPr>
              <w:fldChar w:fldCharType="end"/>
            </w:r>
          </w:p>
        </w:tc>
        <w:tc>
          <w:tcPr>
            <w:tcW w:w="828" w:type="dxa"/>
            <w:shd w:val="clear" w:color="auto" w:fill="auto"/>
            <w:vAlign w:val="center"/>
          </w:tcPr>
          <w:p w14:paraId="5538FAE4" w14:textId="77777777" w:rsidR="009617F5" w:rsidRPr="009617F5" w:rsidRDefault="009617F5" w:rsidP="00286F7D">
            <w:pPr>
              <w:rPr>
                <w:rFonts w:ascii="Arial" w:hAnsi="Arial" w:cs="Arial"/>
                <w:b/>
                <w:sz w:val="14"/>
                <w:szCs w:val="16"/>
              </w:rPr>
            </w:pPr>
            <w:r w:rsidRPr="009617F5">
              <w:rPr>
                <w:rFonts w:ascii="Arial" w:hAnsi="Arial" w:cs="Arial"/>
                <w:b/>
                <w:sz w:val="14"/>
                <w:szCs w:val="16"/>
              </w:rPr>
              <w:t>0,3489</w:t>
            </w:r>
          </w:p>
        </w:tc>
        <w:tc>
          <w:tcPr>
            <w:tcW w:w="993" w:type="dxa"/>
            <w:shd w:val="clear" w:color="auto" w:fill="auto"/>
            <w:vAlign w:val="center"/>
          </w:tcPr>
          <w:p w14:paraId="05FDEF3F"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0,3027</w:t>
            </w:r>
            <w:r w:rsidRPr="009617F5">
              <w:rPr>
                <w:rFonts w:ascii="Arial" w:hAnsi="Arial" w:cs="Arial"/>
                <w:b/>
                <w:sz w:val="14"/>
                <w:szCs w:val="16"/>
              </w:rPr>
              <w:fldChar w:fldCharType="end"/>
            </w:r>
          </w:p>
        </w:tc>
        <w:tc>
          <w:tcPr>
            <w:tcW w:w="519" w:type="dxa"/>
            <w:shd w:val="clear" w:color="auto" w:fill="auto"/>
            <w:vAlign w:val="center"/>
          </w:tcPr>
          <w:p w14:paraId="79D0055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93" w:type="dxa"/>
            <w:shd w:val="clear" w:color="auto" w:fill="auto"/>
            <w:vAlign w:val="center"/>
          </w:tcPr>
          <w:p w14:paraId="3C6B0446" w14:textId="77777777" w:rsidR="009617F5" w:rsidRPr="009617F5" w:rsidRDefault="009617F5" w:rsidP="00286F7D">
            <w:pPr>
              <w:rPr>
                <w:rFonts w:ascii="Arial" w:hAnsi="Arial" w:cs="Arial"/>
                <w:b/>
                <w:sz w:val="14"/>
                <w:szCs w:val="16"/>
              </w:rPr>
            </w:pPr>
            <w:r w:rsidRPr="009617F5">
              <w:rPr>
                <w:rFonts w:ascii="Arial" w:hAnsi="Arial" w:cs="Arial"/>
                <w:b/>
                <w:sz w:val="14"/>
                <w:szCs w:val="16"/>
              </w:rPr>
              <w:t>1,1454</w:t>
            </w:r>
          </w:p>
        </w:tc>
        <w:tc>
          <w:tcPr>
            <w:tcW w:w="949" w:type="dxa"/>
            <w:shd w:val="clear" w:color="auto" w:fill="auto"/>
            <w:vAlign w:val="center"/>
          </w:tcPr>
          <w:p w14:paraId="708FC785"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w:t>
            </w:r>
            <w:r w:rsidRPr="009617F5">
              <w:rPr>
                <w:rFonts w:ascii="Arial" w:hAnsi="Arial" w:cs="Arial"/>
                <w:b/>
                <w:sz w:val="14"/>
                <w:szCs w:val="16"/>
              </w:rPr>
              <w:fldChar w:fldCharType="end"/>
            </w:r>
          </w:p>
        </w:tc>
        <w:tc>
          <w:tcPr>
            <w:tcW w:w="1147" w:type="dxa"/>
            <w:shd w:val="clear" w:color="auto" w:fill="auto"/>
            <w:vAlign w:val="center"/>
          </w:tcPr>
          <w:p w14:paraId="56E62E34"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2,3363</w:t>
            </w:r>
            <w:r w:rsidRPr="009617F5">
              <w:rPr>
                <w:rFonts w:ascii="Arial" w:hAnsi="Arial" w:cs="Arial"/>
                <w:b/>
                <w:sz w:val="14"/>
                <w:szCs w:val="16"/>
              </w:rPr>
              <w:fldChar w:fldCharType="end"/>
            </w:r>
          </w:p>
        </w:tc>
        <w:tc>
          <w:tcPr>
            <w:tcW w:w="949" w:type="dxa"/>
            <w:shd w:val="clear" w:color="auto" w:fill="auto"/>
            <w:vAlign w:val="center"/>
          </w:tcPr>
          <w:p w14:paraId="57876884"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1080</w:t>
            </w:r>
            <w:r w:rsidRPr="009617F5">
              <w:rPr>
                <w:rFonts w:ascii="Arial" w:hAnsi="Arial" w:cs="Arial"/>
                <w:b/>
                <w:sz w:val="14"/>
                <w:szCs w:val="16"/>
              </w:rPr>
              <w:fldChar w:fldCharType="end"/>
            </w:r>
          </w:p>
        </w:tc>
        <w:tc>
          <w:tcPr>
            <w:tcW w:w="1164" w:type="dxa"/>
            <w:shd w:val="clear" w:color="auto" w:fill="auto"/>
            <w:vAlign w:val="center"/>
          </w:tcPr>
          <w:p w14:paraId="00C171D0" w14:textId="77777777" w:rsidR="009617F5" w:rsidRPr="009617F5" w:rsidRDefault="009617F5" w:rsidP="00286F7D">
            <w:pPr>
              <w:rPr>
                <w:rFonts w:ascii="Arial" w:hAnsi="Arial" w:cs="Arial"/>
                <w:b/>
                <w:sz w:val="14"/>
                <w:szCs w:val="16"/>
              </w:rPr>
            </w:pPr>
          </w:p>
          <w:p w14:paraId="1837F495"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0,1275</w:t>
            </w:r>
            <w:r w:rsidRPr="009617F5">
              <w:rPr>
                <w:rFonts w:ascii="Arial" w:hAnsi="Arial" w:cs="Arial"/>
                <w:b/>
                <w:sz w:val="14"/>
                <w:szCs w:val="16"/>
              </w:rPr>
              <w:fldChar w:fldCharType="end"/>
            </w:r>
          </w:p>
        </w:tc>
      </w:tr>
      <w:tr w:rsidR="009617F5" w:rsidRPr="009617F5" w14:paraId="33938AC8" w14:textId="77777777" w:rsidTr="00286F7D">
        <w:trPr>
          <w:trHeight w:val="397"/>
        </w:trPr>
        <w:tc>
          <w:tcPr>
            <w:tcW w:w="1866" w:type="dxa"/>
            <w:gridSpan w:val="2"/>
            <w:shd w:val="clear" w:color="auto" w:fill="auto"/>
            <w:vAlign w:val="center"/>
          </w:tcPr>
          <w:p w14:paraId="0BD175C4" w14:textId="77777777" w:rsidR="009617F5" w:rsidRPr="009617F5" w:rsidRDefault="009617F5" w:rsidP="00286F7D">
            <w:pPr>
              <w:rPr>
                <w:rFonts w:ascii="Arial" w:hAnsi="Arial" w:cs="Arial"/>
                <w:b/>
                <w:sz w:val="14"/>
                <w:szCs w:val="16"/>
              </w:rPr>
            </w:pPr>
            <w:r w:rsidRPr="009617F5">
              <w:rPr>
                <w:rFonts w:ascii="Arial" w:hAnsi="Arial" w:cs="Arial"/>
                <w:b/>
                <w:sz w:val="14"/>
                <w:szCs w:val="16"/>
              </w:rPr>
              <w:t>SOUHRN</w:t>
            </w:r>
          </w:p>
        </w:tc>
        <w:tc>
          <w:tcPr>
            <w:tcW w:w="1147" w:type="dxa"/>
            <w:shd w:val="clear" w:color="auto" w:fill="auto"/>
            <w:vAlign w:val="center"/>
          </w:tcPr>
          <w:p w14:paraId="7D9F9B18" w14:textId="77777777" w:rsidR="009617F5" w:rsidRPr="009617F5" w:rsidRDefault="009617F5" w:rsidP="00286F7D">
            <w:pPr>
              <w:rPr>
                <w:rFonts w:ascii="Arial" w:hAnsi="Arial" w:cs="Arial"/>
                <w:b/>
                <w:sz w:val="14"/>
                <w:szCs w:val="16"/>
              </w:rPr>
            </w:pPr>
            <w:r w:rsidRPr="009617F5">
              <w:rPr>
                <w:rFonts w:ascii="Arial" w:hAnsi="Arial" w:cs="Arial"/>
                <w:b/>
                <w:sz w:val="14"/>
                <w:szCs w:val="16"/>
              </w:rPr>
              <w:t>9,5516</w:t>
            </w:r>
          </w:p>
        </w:tc>
        <w:tc>
          <w:tcPr>
            <w:tcW w:w="993" w:type="dxa"/>
            <w:shd w:val="clear" w:color="auto" w:fill="auto"/>
            <w:vAlign w:val="center"/>
          </w:tcPr>
          <w:p w14:paraId="6F0DDF14"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4,0015</w:t>
            </w:r>
            <w:r w:rsidRPr="009617F5">
              <w:rPr>
                <w:rFonts w:ascii="Arial" w:hAnsi="Arial" w:cs="Arial"/>
                <w:b/>
                <w:sz w:val="14"/>
                <w:szCs w:val="16"/>
              </w:rPr>
              <w:fldChar w:fldCharType="end"/>
            </w:r>
          </w:p>
        </w:tc>
        <w:tc>
          <w:tcPr>
            <w:tcW w:w="999" w:type="dxa"/>
            <w:shd w:val="clear" w:color="auto" w:fill="auto"/>
            <w:vAlign w:val="center"/>
          </w:tcPr>
          <w:p w14:paraId="0233E9BF"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724" w:type="dxa"/>
            <w:shd w:val="clear" w:color="auto" w:fill="auto"/>
            <w:vAlign w:val="center"/>
          </w:tcPr>
          <w:p w14:paraId="1C9AF205" w14:textId="77777777" w:rsidR="009617F5" w:rsidRPr="009617F5" w:rsidRDefault="009617F5" w:rsidP="00286F7D">
            <w:pPr>
              <w:rPr>
                <w:rFonts w:ascii="Arial" w:hAnsi="Arial" w:cs="Arial"/>
                <w:b/>
                <w:sz w:val="14"/>
                <w:szCs w:val="16"/>
              </w:rPr>
            </w:pPr>
            <w:r w:rsidRPr="009617F5">
              <w:rPr>
                <w:rFonts w:ascii="Arial" w:hAnsi="Arial" w:cs="Arial"/>
                <w:b/>
                <w:sz w:val="14"/>
                <w:szCs w:val="16"/>
              </w:rPr>
              <w:t>0</w:t>
            </w:r>
          </w:p>
        </w:tc>
        <w:tc>
          <w:tcPr>
            <w:tcW w:w="949" w:type="dxa"/>
            <w:shd w:val="clear" w:color="auto" w:fill="auto"/>
            <w:vAlign w:val="center"/>
          </w:tcPr>
          <w:p w14:paraId="7F43750B" w14:textId="77777777" w:rsidR="009617F5" w:rsidRPr="009617F5" w:rsidRDefault="009617F5" w:rsidP="00286F7D">
            <w:pPr>
              <w:rPr>
                <w:rFonts w:ascii="Arial" w:hAnsi="Arial" w:cs="Arial"/>
                <w:b/>
                <w:sz w:val="14"/>
                <w:szCs w:val="16"/>
              </w:rPr>
            </w:pPr>
            <w:r w:rsidRPr="009617F5">
              <w:rPr>
                <w:rFonts w:ascii="Arial" w:hAnsi="Arial" w:cs="Arial"/>
                <w:b/>
                <w:sz w:val="14"/>
                <w:szCs w:val="16"/>
              </w:rPr>
              <w:t>0,6596</w:t>
            </w:r>
          </w:p>
        </w:tc>
        <w:tc>
          <w:tcPr>
            <w:tcW w:w="828" w:type="dxa"/>
            <w:shd w:val="clear" w:color="auto" w:fill="auto"/>
            <w:vAlign w:val="center"/>
          </w:tcPr>
          <w:p w14:paraId="59EE25EC" w14:textId="77777777" w:rsidR="009617F5" w:rsidRPr="009617F5" w:rsidRDefault="009617F5" w:rsidP="00286F7D">
            <w:pPr>
              <w:rPr>
                <w:rFonts w:ascii="Arial" w:hAnsi="Arial" w:cs="Arial"/>
                <w:b/>
                <w:sz w:val="14"/>
                <w:szCs w:val="16"/>
              </w:rPr>
            </w:pPr>
            <w:r w:rsidRPr="009617F5">
              <w:rPr>
                <w:rFonts w:ascii="Arial" w:hAnsi="Arial" w:cs="Arial"/>
                <w:b/>
                <w:sz w:val="14"/>
                <w:szCs w:val="16"/>
              </w:rPr>
              <w:t>1,2244</w:t>
            </w:r>
          </w:p>
        </w:tc>
        <w:tc>
          <w:tcPr>
            <w:tcW w:w="993" w:type="dxa"/>
            <w:shd w:val="clear" w:color="auto" w:fill="auto"/>
            <w:vAlign w:val="center"/>
          </w:tcPr>
          <w:p w14:paraId="2031C38D"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3,6661</w:t>
            </w:r>
            <w:r w:rsidRPr="009617F5">
              <w:rPr>
                <w:rFonts w:ascii="Arial" w:hAnsi="Arial" w:cs="Arial"/>
                <w:b/>
                <w:sz w:val="14"/>
                <w:szCs w:val="16"/>
              </w:rPr>
              <w:fldChar w:fldCharType="end"/>
            </w:r>
          </w:p>
        </w:tc>
        <w:tc>
          <w:tcPr>
            <w:tcW w:w="519" w:type="dxa"/>
            <w:shd w:val="clear" w:color="auto" w:fill="auto"/>
            <w:vAlign w:val="center"/>
          </w:tcPr>
          <w:p w14:paraId="3027B285" w14:textId="77777777" w:rsidR="009617F5" w:rsidRPr="009617F5" w:rsidRDefault="009617F5" w:rsidP="00286F7D">
            <w:pPr>
              <w:rPr>
                <w:rFonts w:ascii="Arial" w:hAnsi="Arial" w:cs="Arial"/>
                <w:b/>
                <w:sz w:val="14"/>
                <w:szCs w:val="16"/>
              </w:rPr>
            </w:pPr>
          </w:p>
        </w:tc>
        <w:tc>
          <w:tcPr>
            <w:tcW w:w="993" w:type="dxa"/>
            <w:shd w:val="clear" w:color="auto" w:fill="auto"/>
            <w:vAlign w:val="center"/>
          </w:tcPr>
          <w:p w14:paraId="7DF857ED"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2,9392</w:t>
            </w:r>
            <w:r w:rsidRPr="009617F5">
              <w:rPr>
                <w:rFonts w:ascii="Arial" w:hAnsi="Arial" w:cs="Arial"/>
                <w:b/>
                <w:sz w:val="14"/>
                <w:szCs w:val="16"/>
              </w:rPr>
              <w:fldChar w:fldCharType="end"/>
            </w:r>
          </w:p>
        </w:tc>
        <w:tc>
          <w:tcPr>
            <w:tcW w:w="949" w:type="dxa"/>
            <w:shd w:val="clear" w:color="auto" w:fill="auto"/>
            <w:vAlign w:val="center"/>
          </w:tcPr>
          <w:p w14:paraId="3B522778"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0,5072</w:t>
            </w:r>
            <w:r w:rsidRPr="009617F5">
              <w:rPr>
                <w:rFonts w:ascii="Arial" w:hAnsi="Arial" w:cs="Arial"/>
                <w:b/>
                <w:sz w:val="14"/>
                <w:szCs w:val="16"/>
              </w:rPr>
              <w:fldChar w:fldCharType="end"/>
            </w:r>
          </w:p>
        </w:tc>
        <w:tc>
          <w:tcPr>
            <w:tcW w:w="1147" w:type="dxa"/>
            <w:shd w:val="clear" w:color="auto" w:fill="auto"/>
            <w:vAlign w:val="center"/>
          </w:tcPr>
          <w:p w14:paraId="59C0F08C" w14:textId="77777777" w:rsidR="009617F5" w:rsidRPr="009617F5" w:rsidRDefault="009617F5" w:rsidP="00286F7D">
            <w:pPr>
              <w:rPr>
                <w:rFonts w:ascii="Arial" w:hAnsi="Arial" w:cs="Arial"/>
                <w:b/>
                <w:sz w:val="14"/>
                <w:szCs w:val="16"/>
              </w:rPr>
            </w:pPr>
            <w:r w:rsidRPr="009617F5">
              <w:rPr>
                <w:rFonts w:ascii="Arial" w:hAnsi="Arial" w:cs="Arial"/>
                <w:b/>
                <w:sz w:val="14"/>
                <w:szCs w:val="16"/>
              </w:rPr>
              <w:t>5,1534</w:t>
            </w:r>
          </w:p>
        </w:tc>
        <w:tc>
          <w:tcPr>
            <w:tcW w:w="949" w:type="dxa"/>
            <w:shd w:val="clear" w:color="auto" w:fill="auto"/>
            <w:vAlign w:val="center"/>
          </w:tcPr>
          <w:p w14:paraId="59D90F69" w14:textId="77777777" w:rsidR="009617F5" w:rsidRPr="009617F5" w:rsidRDefault="009617F5" w:rsidP="00286F7D">
            <w:pPr>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sz w:val="14"/>
                <w:szCs w:val="16"/>
              </w:rPr>
              <w:t>0,9518</w:t>
            </w:r>
            <w:r w:rsidRPr="009617F5">
              <w:rPr>
                <w:rFonts w:ascii="Arial" w:hAnsi="Arial" w:cs="Arial"/>
                <w:b/>
                <w:sz w:val="14"/>
                <w:szCs w:val="16"/>
              </w:rPr>
              <w:fldChar w:fldCharType="end"/>
            </w:r>
          </w:p>
        </w:tc>
        <w:tc>
          <w:tcPr>
            <w:tcW w:w="1164" w:type="dxa"/>
            <w:shd w:val="clear" w:color="auto" w:fill="auto"/>
            <w:vAlign w:val="center"/>
          </w:tcPr>
          <w:p w14:paraId="77312634" w14:textId="77777777" w:rsidR="009617F5" w:rsidRPr="009617F5" w:rsidRDefault="009617F5" w:rsidP="00286F7D">
            <w:pPr>
              <w:rPr>
                <w:rFonts w:ascii="Arial" w:hAnsi="Arial" w:cs="Arial"/>
                <w:b/>
                <w:sz w:val="14"/>
                <w:szCs w:val="16"/>
              </w:rPr>
            </w:pPr>
            <w:r w:rsidRPr="009617F5">
              <w:rPr>
                <w:rFonts w:ascii="Arial" w:hAnsi="Arial" w:cs="Arial"/>
                <w:b/>
                <w:sz w:val="14"/>
                <w:szCs w:val="16"/>
              </w:rPr>
              <w:t>0,1275</w:t>
            </w:r>
          </w:p>
        </w:tc>
      </w:tr>
    </w:tbl>
    <w:p w14:paraId="3E3FF818" w14:textId="77777777" w:rsidR="009617F5" w:rsidRPr="009617F5" w:rsidRDefault="009617F5" w:rsidP="009617F5">
      <w:pPr>
        <w:rPr>
          <w:rFonts w:ascii="Arial" w:hAnsi="Arial" w:cs="Arial"/>
          <w:b/>
          <w:color w:val="FF0000"/>
          <w:szCs w:val="28"/>
          <w:lang w:eastAsia="en-US"/>
        </w:rPr>
      </w:pPr>
    </w:p>
    <w:p w14:paraId="371D779A" w14:textId="77777777" w:rsidR="009617F5" w:rsidRPr="009617F5" w:rsidRDefault="009617F5" w:rsidP="009617F5">
      <w:pPr>
        <w:pStyle w:val="Nadpis3"/>
        <w:rPr>
          <w:rFonts w:ascii="Arial" w:hAnsi="Arial" w:cs="Arial"/>
          <w:color w:val="FF0000"/>
        </w:rPr>
      </w:pPr>
      <w:r w:rsidRPr="009617F5">
        <w:rPr>
          <w:rFonts w:ascii="Arial" w:hAnsi="Arial" w:cs="Arial"/>
          <w:color w:val="FF0000"/>
        </w:rPr>
        <w:t>Řešené území 8 změny ÚP M je navrženo v těchto katastrálních územích</w:t>
      </w:r>
    </w:p>
    <w:tbl>
      <w:tblPr>
        <w:tblW w:w="15134" w:type="dxa"/>
        <w:tblBorders>
          <w:top w:val="single" w:sz="36" w:space="0" w:color="FF0000"/>
          <w:left w:val="single" w:sz="36" w:space="0" w:color="FF0000"/>
          <w:bottom w:val="single" w:sz="36" w:space="0" w:color="FF0000"/>
          <w:right w:val="single" w:sz="36" w:space="0" w:color="FF0000"/>
          <w:insideH w:val="single" w:sz="4" w:space="0" w:color="000000"/>
          <w:insideV w:val="single" w:sz="4" w:space="0" w:color="000000"/>
        </w:tblBorders>
        <w:tblLook w:val="00A0" w:firstRow="1" w:lastRow="0" w:firstColumn="1" w:lastColumn="0" w:noHBand="0" w:noVBand="0"/>
      </w:tblPr>
      <w:tblGrid>
        <w:gridCol w:w="883"/>
        <w:gridCol w:w="2343"/>
        <w:gridCol w:w="1701"/>
        <w:gridCol w:w="1408"/>
        <w:gridCol w:w="861"/>
        <w:gridCol w:w="1843"/>
        <w:gridCol w:w="6095"/>
      </w:tblGrid>
      <w:tr w:rsidR="009617F5" w:rsidRPr="009617F5" w14:paraId="0C4A37A3" w14:textId="77777777" w:rsidTr="00286F7D">
        <w:trPr>
          <w:trHeight w:val="255"/>
          <w:tblHeader/>
        </w:trPr>
        <w:tc>
          <w:tcPr>
            <w:tcW w:w="883" w:type="dxa"/>
            <w:shd w:val="clear" w:color="auto" w:fill="auto"/>
            <w:vAlign w:val="center"/>
          </w:tcPr>
          <w:p w14:paraId="00822258" w14:textId="77777777" w:rsidR="009617F5" w:rsidRPr="009617F5" w:rsidRDefault="009617F5" w:rsidP="00286F7D">
            <w:pPr>
              <w:overflowPunct w:val="0"/>
              <w:autoSpaceDE w:val="0"/>
              <w:autoSpaceDN w:val="0"/>
              <w:adjustRightInd w:val="0"/>
              <w:textAlignment w:val="baseline"/>
              <w:rPr>
                <w:rFonts w:ascii="Arial" w:hAnsi="Arial" w:cs="Arial"/>
                <w:b/>
                <w:sz w:val="18"/>
                <w:szCs w:val="20"/>
              </w:rPr>
            </w:pPr>
            <w:r w:rsidRPr="009617F5">
              <w:rPr>
                <w:rFonts w:ascii="Arial" w:hAnsi="Arial" w:cs="Arial"/>
                <w:b/>
                <w:sz w:val="18"/>
                <w:szCs w:val="20"/>
              </w:rPr>
              <w:t>číslo plochy</w:t>
            </w:r>
          </w:p>
        </w:tc>
        <w:tc>
          <w:tcPr>
            <w:tcW w:w="2343" w:type="dxa"/>
            <w:shd w:val="clear" w:color="auto" w:fill="auto"/>
            <w:noWrap/>
            <w:vAlign w:val="center"/>
          </w:tcPr>
          <w:p w14:paraId="1B6C43D1" w14:textId="77777777" w:rsidR="009617F5" w:rsidRPr="009617F5" w:rsidRDefault="009617F5" w:rsidP="00286F7D">
            <w:pPr>
              <w:overflowPunct w:val="0"/>
              <w:autoSpaceDE w:val="0"/>
              <w:autoSpaceDN w:val="0"/>
              <w:adjustRightInd w:val="0"/>
              <w:textAlignment w:val="baseline"/>
              <w:rPr>
                <w:rFonts w:ascii="Arial" w:hAnsi="Arial" w:cs="Arial"/>
                <w:b/>
                <w:sz w:val="18"/>
                <w:szCs w:val="20"/>
              </w:rPr>
            </w:pPr>
            <w:r w:rsidRPr="009617F5">
              <w:rPr>
                <w:rFonts w:ascii="Arial" w:hAnsi="Arial" w:cs="Arial"/>
                <w:b/>
                <w:sz w:val="18"/>
                <w:szCs w:val="20"/>
              </w:rPr>
              <w:t>navrhovaná funkce</w:t>
            </w:r>
          </w:p>
        </w:tc>
        <w:tc>
          <w:tcPr>
            <w:tcW w:w="1701" w:type="dxa"/>
            <w:shd w:val="clear" w:color="auto" w:fill="auto"/>
            <w:noWrap/>
            <w:vAlign w:val="center"/>
          </w:tcPr>
          <w:p w14:paraId="23726519" w14:textId="77777777" w:rsidR="009617F5" w:rsidRPr="009617F5" w:rsidRDefault="009617F5" w:rsidP="00286F7D">
            <w:pPr>
              <w:overflowPunct w:val="0"/>
              <w:autoSpaceDE w:val="0"/>
              <w:autoSpaceDN w:val="0"/>
              <w:adjustRightInd w:val="0"/>
              <w:textAlignment w:val="baseline"/>
              <w:rPr>
                <w:rFonts w:ascii="Arial" w:hAnsi="Arial" w:cs="Arial"/>
                <w:b/>
                <w:sz w:val="18"/>
                <w:szCs w:val="20"/>
              </w:rPr>
            </w:pPr>
            <w:r w:rsidRPr="009617F5">
              <w:rPr>
                <w:rFonts w:ascii="Arial" w:hAnsi="Arial" w:cs="Arial"/>
                <w:b/>
                <w:sz w:val="18"/>
                <w:szCs w:val="20"/>
              </w:rPr>
              <w:t>katastr</w:t>
            </w:r>
          </w:p>
        </w:tc>
        <w:tc>
          <w:tcPr>
            <w:tcW w:w="1408" w:type="dxa"/>
            <w:shd w:val="clear" w:color="auto" w:fill="auto"/>
            <w:vAlign w:val="center"/>
          </w:tcPr>
          <w:p w14:paraId="769D2996" w14:textId="77777777" w:rsidR="009617F5" w:rsidRPr="009617F5" w:rsidRDefault="009617F5" w:rsidP="00286F7D">
            <w:pPr>
              <w:rPr>
                <w:rFonts w:ascii="Arial" w:hAnsi="Arial" w:cs="Arial"/>
                <w:b/>
                <w:sz w:val="18"/>
                <w:szCs w:val="20"/>
              </w:rPr>
            </w:pPr>
            <w:r w:rsidRPr="009617F5">
              <w:rPr>
                <w:rFonts w:ascii="Arial" w:hAnsi="Arial" w:cs="Arial"/>
                <w:b/>
                <w:sz w:val="18"/>
                <w:szCs w:val="20"/>
              </w:rPr>
              <w:t>Parcela č.</w:t>
            </w:r>
          </w:p>
        </w:tc>
        <w:tc>
          <w:tcPr>
            <w:tcW w:w="861" w:type="dxa"/>
            <w:shd w:val="clear" w:color="auto" w:fill="auto"/>
            <w:noWrap/>
            <w:vAlign w:val="center"/>
          </w:tcPr>
          <w:p w14:paraId="06515C37" w14:textId="77777777" w:rsidR="009617F5" w:rsidRPr="009617F5" w:rsidRDefault="009617F5" w:rsidP="00286F7D">
            <w:pPr>
              <w:overflowPunct w:val="0"/>
              <w:autoSpaceDE w:val="0"/>
              <w:autoSpaceDN w:val="0"/>
              <w:adjustRightInd w:val="0"/>
              <w:textAlignment w:val="baseline"/>
              <w:rPr>
                <w:rFonts w:ascii="Arial" w:hAnsi="Arial" w:cs="Arial"/>
                <w:b/>
                <w:sz w:val="18"/>
                <w:szCs w:val="20"/>
                <w:vertAlign w:val="superscript"/>
              </w:rPr>
            </w:pPr>
            <w:r w:rsidRPr="009617F5">
              <w:rPr>
                <w:rFonts w:ascii="Arial" w:hAnsi="Arial" w:cs="Arial"/>
                <w:b/>
                <w:sz w:val="18"/>
                <w:szCs w:val="20"/>
              </w:rPr>
              <w:t>plocha v m</w:t>
            </w:r>
            <w:r w:rsidRPr="009617F5">
              <w:rPr>
                <w:rFonts w:ascii="Arial" w:hAnsi="Arial" w:cs="Arial"/>
                <w:b/>
                <w:sz w:val="18"/>
                <w:szCs w:val="20"/>
                <w:vertAlign w:val="superscript"/>
              </w:rPr>
              <w:t>2</w:t>
            </w:r>
          </w:p>
        </w:tc>
        <w:tc>
          <w:tcPr>
            <w:tcW w:w="1843" w:type="dxa"/>
            <w:shd w:val="clear" w:color="auto" w:fill="auto"/>
            <w:noWrap/>
            <w:vAlign w:val="center"/>
          </w:tcPr>
          <w:p w14:paraId="7A4B5775" w14:textId="77777777" w:rsidR="009617F5" w:rsidRPr="009617F5" w:rsidRDefault="009617F5" w:rsidP="00286F7D">
            <w:pPr>
              <w:overflowPunct w:val="0"/>
              <w:autoSpaceDE w:val="0"/>
              <w:autoSpaceDN w:val="0"/>
              <w:adjustRightInd w:val="0"/>
              <w:textAlignment w:val="baseline"/>
              <w:rPr>
                <w:rFonts w:ascii="Arial" w:hAnsi="Arial" w:cs="Arial"/>
                <w:b/>
                <w:sz w:val="18"/>
                <w:szCs w:val="20"/>
              </w:rPr>
            </w:pPr>
            <w:r w:rsidRPr="009617F5">
              <w:rPr>
                <w:rFonts w:ascii="Arial" w:hAnsi="Arial" w:cs="Arial"/>
                <w:b/>
                <w:sz w:val="18"/>
                <w:szCs w:val="20"/>
              </w:rPr>
              <w:t>základní členění</w:t>
            </w:r>
          </w:p>
        </w:tc>
        <w:tc>
          <w:tcPr>
            <w:tcW w:w="6095" w:type="dxa"/>
            <w:shd w:val="clear" w:color="auto" w:fill="auto"/>
            <w:vAlign w:val="center"/>
          </w:tcPr>
          <w:p w14:paraId="37672D86" w14:textId="77777777" w:rsidR="009617F5" w:rsidRPr="009617F5" w:rsidRDefault="009617F5" w:rsidP="00286F7D">
            <w:pPr>
              <w:overflowPunct w:val="0"/>
              <w:autoSpaceDE w:val="0"/>
              <w:autoSpaceDN w:val="0"/>
              <w:adjustRightInd w:val="0"/>
              <w:textAlignment w:val="baseline"/>
              <w:rPr>
                <w:rFonts w:ascii="Arial" w:hAnsi="Arial" w:cs="Arial"/>
                <w:b/>
                <w:sz w:val="18"/>
                <w:szCs w:val="20"/>
              </w:rPr>
            </w:pPr>
            <w:r w:rsidRPr="009617F5">
              <w:rPr>
                <w:rFonts w:ascii="Arial" w:hAnsi="Arial" w:cs="Arial"/>
                <w:b/>
                <w:sz w:val="18"/>
                <w:szCs w:val="20"/>
              </w:rPr>
              <w:t>zdůvodnění návrhu jako nejvýhodnějšího z hlediska záboru zemědělského půdního fondu v dané lokalitě</w:t>
            </w:r>
          </w:p>
        </w:tc>
      </w:tr>
      <w:tr w:rsidR="009617F5" w:rsidRPr="009617F5" w14:paraId="2068A9EE" w14:textId="77777777" w:rsidTr="00286F7D">
        <w:trPr>
          <w:trHeight w:val="255"/>
        </w:trPr>
        <w:tc>
          <w:tcPr>
            <w:tcW w:w="883" w:type="dxa"/>
            <w:shd w:val="clear" w:color="auto" w:fill="auto"/>
            <w:vAlign w:val="center"/>
          </w:tcPr>
          <w:p w14:paraId="1645266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8Z-1</w:t>
            </w:r>
          </w:p>
        </w:tc>
        <w:tc>
          <w:tcPr>
            <w:tcW w:w="2343" w:type="dxa"/>
            <w:shd w:val="clear" w:color="auto" w:fill="auto"/>
            <w:noWrap/>
            <w:vAlign w:val="center"/>
          </w:tcPr>
          <w:p w14:paraId="75DF347A"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0EED1E37" w14:textId="77777777" w:rsidR="009617F5" w:rsidRPr="009617F5" w:rsidRDefault="009617F5" w:rsidP="00286F7D">
            <w:pPr>
              <w:rPr>
                <w:rFonts w:ascii="Arial" w:hAnsi="Arial" w:cs="Arial"/>
                <w:sz w:val="14"/>
                <w:szCs w:val="16"/>
              </w:rPr>
            </w:pPr>
            <w:r w:rsidRPr="009617F5">
              <w:rPr>
                <w:rFonts w:ascii="Arial" w:hAnsi="Arial" w:cs="Arial"/>
                <w:sz w:val="14"/>
                <w:szCs w:val="16"/>
              </w:rPr>
              <w:t>Březiny u Děčína</w:t>
            </w:r>
          </w:p>
        </w:tc>
        <w:tc>
          <w:tcPr>
            <w:tcW w:w="1408" w:type="dxa"/>
            <w:shd w:val="clear" w:color="auto" w:fill="auto"/>
            <w:vAlign w:val="center"/>
          </w:tcPr>
          <w:p w14:paraId="39ACDB0E" w14:textId="77777777" w:rsidR="009617F5" w:rsidRPr="009617F5" w:rsidRDefault="009617F5" w:rsidP="00286F7D">
            <w:pPr>
              <w:rPr>
                <w:rFonts w:ascii="Arial" w:hAnsi="Arial" w:cs="Arial"/>
                <w:sz w:val="14"/>
                <w:szCs w:val="16"/>
              </w:rPr>
            </w:pPr>
            <w:r w:rsidRPr="009617F5">
              <w:rPr>
                <w:rFonts w:ascii="Arial" w:hAnsi="Arial" w:cs="Arial"/>
                <w:sz w:val="14"/>
                <w:szCs w:val="16"/>
              </w:rPr>
              <w:t>455</w:t>
            </w:r>
          </w:p>
        </w:tc>
        <w:tc>
          <w:tcPr>
            <w:tcW w:w="861" w:type="dxa"/>
            <w:shd w:val="clear" w:color="auto" w:fill="auto"/>
            <w:noWrap/>
            <w:vAlign w:val="center"/>
          </w:tcPr>
          <w:p w14:paraId="375C6EF8"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215</w:t>
            </w:r>
          </w:p>
        </w:tc>
        <w:tc>
          <w:tcPr>
            <w:tcW w:w="1843" w:type="dxa"/>
            <w:shd w:val="clear" w:color="auto" w:fill="auto"/>
            <w:noWrap/>
            <w:vAlign w:val="center"/>
          </w:tcPr>
          <w:p w14:paraId="7019F37D"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přestavbová plocha</w:t>
            </w:r>
          </w:p>
        </w:tc>
        <w:tc>
          <w:tcPr>
            <w:tcW w:w="6095" w:type="dxa"/>
            <w:shd w:val="clear" w:color="auto" w:fill="auto"/>
            <w:vAlign w:val="center"/>
          </w:tcPr>
          <w:p w14:paraId="2E9EE29F"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je ze tří stran obklopená zastavěným územím</w:t>
            </w:r>
          </w:p>
        </w:tc>
      </w:tr>
      <w:tr w:rsidR="009617F5" w:rsidRPr="009617F5" w14:paraId="578CA5D9" w14:textId="77777777" w:rsidTr="00286F7D">
        <w:trPr>
          <w:trHeight w:val="255"/>
        </w:trPr>
        <w:tc>
          <w:tcPr>
            <w:tcW w:w="883" w:type="dxa"/>
            <w:shd w:val="clear" w:color="auto" w:fill="auto"/>
            <w:vAlign w:val="center"/>
          </w:tcPr>
          <w:p w14:paraId="6A4BE3D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8Z-2 *</w:t>
            </w:r>
          </w:p>
        </w:tc>
        <w:tc>
          <w:tcPr>
            <w:tcW w:w="2343" w:type="dxa"/>
            <w:shd w:val="clear" w:color="auto" w:fill="auto"/>
            <w:noWrap/>
            <w:vAlign w:val="center"/>
          </w:tcPr>
          <w:p w14:paraId="7C702A15"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760B614F" w14:textId="77777777" w:rsidR="009617F5" w:rsidRPr="009617F5" w:rsidRDefault="009617F5" w:rsidP="00286F7D">
            <w:pPr>
              <w:rPr>
                <w:rFonts w:ascii="Arial" w:hAnsi="Arial" w:cs="Arial"/>
                <w:sz w:val="14"/>
                <w:szCs w:val="16"/>
              </w:rPr>
            </w:pPr>
            <w:r w:rsidRPr="009617F5">
              <w:rPr>
                <w:rFonts w:ascii="Arial" w:hAnsi="Arial" w:cs="Arial"/>
                <w:sz w:val="14"/>
                <w:szCs w:val="16"/>
              </w:rPr>
              <w:t>Vilsnice</w:t>
            </w:r>
          </w:p>
        </w:tc>
        <w:tc>
          <w:tcPr>
            <w:tcW w:w="1408" w:type="dxa"/>
            <w:shd w:val="clear" w:color="auto" w:fill="auto"/>
            <w:vAlign w:val="center"/>
          </w:tcPr>
          <w:p w14:paraId="2DA1134E" w14:textId="77777777" w:rsidR="009617F5" w:rsidRPr="009617F5" w:rsidRDefault="009617F5" w:rsidP="00286F7D">
            <w:pPr>
              <w:rPr>
                <w:rFonts w:ascii="Arial" w:hAnsi="Arial" w:cs="Arial"/>
                <w:sz w:val="14"/>
                <w:szCs w:val="16"/>
              </w:rPr>
            </w:pPr>
            <w:r w:rsidRPr="009617F5">
              <w:rPr>
                <w:rFonts w:ascii="Arial" w:hAnsi="Arial" w:cs="Arial"/>
                <w:sz w:val="14"/>
                <w:szCs w:val="16"/>
              </w:rPr>
              <w:t>125, 94, 129</w:t>
            </w:r>
          </w:p>
        </w:tc>
        <w:tc>
          <w:tcPr>
            <w:tcW w:w="861" w:type="dxa"/>
            <w:shd w:val="clear" w:color="auto" w:fill="auto"/>
            <w:noWrap/>
            <w:vAlign w:val="center"/>
          </w:tcPr>
          <w:p w14:paraId="176E57B4"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22267</w:t>
            </w:r>
          </w:p>
        </w:tc>
        <w:tc>
          <w:tcPr>
            <w:tcW w:w="1843" w:type="dxa"/>
            <w:shd w:val="clear" w:color="auto" w:fill="auto"/>
            <w:noWrap/>
            <w:vAlign w:val="center"/>
          </w:tcPr>
          <w:p w14:paraId="7F2748FD"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2127FF62"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plocha je ze tří stran obklopená zastavěným územím, plocha byla rozšířena </w:t>
            </w:r>
          </w:p>
          <w:p w14:paraId="167D149E"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o neobhospodařovatelné plochy, 4 - 5. st. ochrany</w:t>
            </w:r>
          </w:p>
        </w:tc>
      </w:tr>
      <w:tr w:rsidR="009617F5" w:rsidRPr="009617F5" w14:paraId="5F79383B" w14:textId="77777777" w:rsidTr="00286F7D">
        <w:trPr>
          <w:trHeight w:val="255"/>
        </w:trPr>
        <w:tc>
          <w:tcPr>
            <w:tcW w:w="883" w:type="dxa"/>
            <w:shd w:val="clear" w:color="auto" w:fill="auto"/>
            <w:vAlign w:val="center"/>
          </w:tcPr>
          <w:p w14:paraId="49C3555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8Z-3 *</w:t>
            </w:r>
          </w:p>
        </w:tc>
        <w:tc>
          <w:tcPr>
            <w:tcW w:w="2343" w:type="dxa"/>
            <w:shd w:val="clear" w:color="auto" w:fill="auto"/>
            <w:noWrap/>
            <w:vAlign w:val="center"/>
          </w:tcPr>
          <w:p w14:paraId="65AEC153"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7C3B869C" w14:textId="77777777" w:rsidR="009617F5" w:rsidRPr="009617F5" w:rsidRDefault="009617F5" w:rsidP="00286F7D">
            <w:pPr>
              <w:rPr>
                <w:rFonts w:ascii="Arial" w:hAnsi="Arial" w:cs="Arial"/>
                <w:sz w:val="14"/>
                <w:szCs w:val="16"/>
              </w:rPr>
            </w:pPr>
            <w:r w:rsidRPr="009617F5">
              <w:rPr>
                <w:rFonts w:ascii="Arial" w:hAnsi="Arial" w:cs="Arial"/>
                <w:sz w:val="14"/>
                <w:szCs w:val="16"/>
              </w:rPr>
              <w:t>Vilsnice</w:t>
            </w:r>
          </w:p>
        </w:tc>
        <w:tc>
          <w:tcPr>
            <w:tcW w:w="1408" w:type="dxa"/>
            <w:shd w:val="clear" w:color="auto" w:fill="auto"/>
            <w:vAlign w:val="center"/>
          </w:tcPr>
          <w:p w14:paraId="12A7F95F" w14:textId="77777777" w:rsidR="009617F5" w:rsidRPr="009617F5" w:rsidRDefault="009617F5" w:rsidP="00286F7D">
            <w:pPr>
              <w:rPr>
                <w:rFonts w:ascii="Arial" w:hAnsi="Arial" w:cs="Arial"/>
                <w:sz w:val="14"/>
                <w:szCs w:val="16"/>
              </w:rPr>
            </w:pPr>
            <w:r w:rsidRPr="009617F5">
              <w:rPr>
                <w:rFonts w:ascii="Arial" w:hAnsi="Arial" w:cs="Arial"/>
                <w:sz w:val="14"/>
                <w:szCs w:val="16"/>
              </w:rPr>
              <w:t>199/1, 173</w:t>
            </w:r>
          </w:p>
        </w:tc>
        <w:tc>
          <w:tcPr>
            <w:tcW w:w="861" w:type="dxa"/>
            <w:shd w:val="clear" w:color="auto" w:fill="auto"/>
            <w:noWrap/>
            <w:vAlign w:val="center"/>
          </w:tcPr>
          <w:p w14:paraId="51167E2A"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10011</w:t>
            </w:r>
          </w:p>
        </w:tc>
        <w:tc>
          <w:tcPr>
            <w:tcW w:w="1843" w:type="dxa"/>
            <w:shd w:val="clear" w:color="auto" w:fill="auto"/>
            <w:noWrap/>
            <w:vAlign w:val="center"/>
          </w:tcPr>
          <w:p w14:paraId="66F2E420"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zastavitelná plocha </w:t>
            </w:r>
          </w:p>
        </w:tc>
        <w:tc>
          <w:tcPr>
            <w:tcW w:w="6095" w:type="dxa"/>
            <w:shd w:val="clear" w:color="auto" w:fill="auto"/>
            <w:vAlign w:val="center"/>
          </w:tcPr>
          <w:p w14:paraId="0F269BC9"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plocha je ze tří stran obklopená zastavěným územím, plocha byla rozšířena </w:t>
            </w:r>
          </w:p>
          <w:p w14:paraId="573320AC"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o neobhospodařovatelné plochy, 2. st. ochrany</w:t>
            </w:r>
          </w:p>
        </w:tc>
      </w:tr>
      <w:tr w:rsidR="009617F5" w:rsidRPr="009617F5" w14:paraId="2D3B993B" w14:textId="77777777" w:rsidTr="00286F7D">
        <w:trPr>
          <w:trHeight w:val="255"/>
        </w:trPr>
        <w:tc>
          <w:tcPr>
            <w:tcW w:w="883" w:type="dxa"/>
            <w:shd w:val="clear" w:color="auto" w:fill="auto"/>
            <w:vAlign w:val="center"/>
          </w:tcPr>
          <w:p w14:paraId="486F0FC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8Z-6</w:t>
            </w:r>
          </w:p>
        </w:tc>
        <w:tc>
          <w:tcPr>
            <w:tcW w:w="2343" w:type="dxa"/>
            <w:shd w:val="clear" w:color="auto" w:fill="auto"/>
            <w:noWrap/>
            <w:vAlign w:val="center"/>
          </w:tcPr>
          <w:p w14:paraId="67BDA8D9"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72037F52" w14:textId="77777777" w:rsidR="009617F5" w:rsidRPr="009617F5" w:rsidRDefault="009617F5" w:rsidP="00286F7D">
            <w:pPr>
              <w:rPr>
                <w:rFonts w:ascii="Arial" w:hAnsi="Arial" w:cs="Arial"/>
                <w:sz w:val="14"/>
                <w:szCs w:val="16"/>
              </w:rPr>
            </w:pPr>
            <w:r w:rsidRPr="009617F5">
              <w:rPr>
                <w:rFonts w:ascii="Arial" w:hAnsi="Arial" w:cs="Arial"/>
                <w:sz w:val="14"/>
                <w:szCs w:val="16"/>
              </w:rPr>
              <w:t>Horní Oldřichov</w:t>
            </w:r>
          </w:p>
        </w:tc>
        <w:tc>
          <w:tcPr>
            <w:tcW w:w="1408" w:type="dxa"/>
            <w:shd w:val="clear" w:color="auto" w:fill="auto"/>
            <w:vAlign w:val="center"/>
          </w:tcPr>
          <w:p w14:paraId="0B385B9D" w14:textId="77777777" w:rsidR="009617F5" w:rsidRPr="009617F5" w:rsidRDefault="009617F5" w:rsidP="00286F7D">
            <w:pPr>
              <w:rPr>
                <w:rFonts w:ascii="Arial" w:hAnsi="Arial" w:cs="Arial"/>
                <w:sz w:val="14"/>
                <w:szCs w:val="16"/>
              </w:rPr>
            </w:pPr>
            <w:r w:rsidRPr="009617F5">
              <w:rPr>
                <w:rFonts w:ascii="Arial" w:hAnsi="Arial" w:cs="Arial"/>
                <w:sz w:val="14"/>
                <w:szCs w:val="16"/>
              </w:rPr>
              <w:t>899/8</w:t>
            </w:r>
          </w:p>
        </w:tc>
        <w:tc>
          <w:tcPr>
            <w:tcW w:w="861" w:type="dxa"/>
            <w:shd w:val="clear" w:color="auto" w:fill="auto"/>
            <w:noWrap/>
            <w:vAlign w:val="center"/>
          </w:tcPr>
          <w:p w14:paraId="0C1F3C07"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1405</w:t>
            </w:r>
          </w:p>
        </w:tc>
        <w:tc>
          <w:tcPr>
            <w:tcW w:w="1843" w:type="dxa"/>
            <w:shd w:val="clear" w:color="auto" w:fill="auto"/>
            <w:noWrap/>
            <w:vAlign w:val="center"/>
          </w:tcPr>
          <w:p w14:paraId="254E8F8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51E58769"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plocha je ze dvou stran obklopená zastavěným územím a s jedné strany </w:t>
            </w:r>
          </w:p>
          <w:p w14:paraId="6D889EA9"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zastavitelným územím, neobhospodařovatelné plochy  4. st. ochrany</w:t>
            </w:r>
          </w:p>
        </w:tc>
      </w:tr>
      <w:tr w:rsidR="009617F5" w:rsidRPr="009617F5" w14:paraId="00B639A7" w14:textId="77777777" w:rsidTr="00286F7D">
        <w:trPr>
          <w:trHeight w:val="255"/>
        </w:trPr>
        <w:tc>
          <w:tcPr>
            <w:tcW w:w="883" w:type="dxa"/>
            <w:shd w:val="clear" w:color="auto" w:fill="auto"/>
            <w:vAlign w:val="center"/>
          </w:tcPr>
          <w:p w14:paraId="62722C3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8Z-7</w:t>
            </w:r>
          </w:p>
        </w:tc>
        <w:tc>
          <w:tcPr>
            <w:tcW w:w="2343" w:type="dxa"/>
            <w:shd w:val="clear" w:color="auto" w:fill="auto"/>
            <w:noWrap/>
            <w:vAlign w:val="center"/>
          </w:tcPr>
          <w:p w14:paraId="51166A1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63F175E2" w14:textId="77777777" w:rsidR="009617F5" w:rsidRPr="009617F5" w:rsidRDefault="009617F5" w:rsidP="00286F7D">
            <w:pPr>
              <w:rPr>
                <w:rFonts w:ascii="Arial" w:hAnsi="Arial" w:cs="Arial"/>
                <w:sz w:val="14"/>
                <w:szCs w:val="16"/>
              </w:rPr>
            </w:pPr>
            <w:r w:rsidRPr="009617F5">
              <w:rPr>
                <w:rFonts w:ascii="Arial" w:hAnsi="Arial" w:cs="Arial"/>
                <w:sz w:val="14"/>
                <w:szCs w:val="16"/>
              </w:rPr>
              <w:t>Vilsnice</w:t>
            </w:r>
          </w:p>
        </w:tc>
        <w:tc>
          <w:tcPr>
            <w:tcW w:w="1408" w:type="dxa"/>
            <w:shd w:val="clear" w:color="auto" w:fill="auto"/>
            <w:vAlign w:val="center"/>
          </w:tcPr>
          <w:p w14:paraId="41444468" w14:textId="77777777" w:rsidR="009617F5" w:rsidRPr="009617F5" w:rsidRDefault="009617F5" w:rsidP="00286F7D">
            <w:pPr>
              <w:rPr>
                <w:rFonts w:ascii="Arial" w:hAnsi="Arial" w:cs="Arial"/>
                <w:sz w:val="14"/>
                <w:szCs w:val="16"/>
              </w:rPr>
            </w:pPr>
            <w:r w:rsidRPr="009617F5">
              <w:rPr>
                <w:rFonts w:ascii="Arial" w:hAnsi="Arial" w:cs="Arial"/>
                <w:sz w:val="14"/>
                <w:szCs w:val="16"/>
              </w:rPr>
              <w:t>527/8</w:t>
            </w:r>
          </w:p>
        </w:tc>
        <w:tc>
          <w:tcPr>
            <w:tcW w:w="861" w:type="dxa"/>
            <w:shd w:val="clear" w:color="auto" w:fill="auto"/>
            <w:noWrap/>
            <w:vAlign w:val="center"/>
          </w:tcPr>
          <w:p w14:paraId="7301136F"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1340</w:t>
            </w:r>
          </w:p>
        </w:tc>
        <w:tc>
          <w:tcPr>
            <w:tcW w:w="1843" w:type="dxa"/>
            <w:shd w:val="clear" w:color="auto" w:fill="auto"/>
            <w:noWrap/>
            <w:vAlign w:val="center"/>
          </w:tcPr>
          <w:p w14:paraId="0B53785F"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1C3D8F7C"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doplnění proluky mezi zastavitelnými plochami 6. změny ÚP, 4. st. ochrany</w:t>
            </w:r>
          </w:p>
        </w:tc>
      </w:tr>
      <w:tr w:rsidR="009617F5" w:rsidRPr="009617F5" w14:paraId="52A2D4ED" w14:textId="77777777" w:rsidTr="00286F7D">
        <w:trPr>
          <w:trHeight w:val="255"/>
        </w:trPr>
        <w:tc>
          <w:tcPr>
            <w:tcW w:w="883" w:type="dxa"/>
            <w:shd w:val="clear" w:color="auto" w:fill="auto"/>
            <w:vAlign w:val="center"/>
          </w:tcPr>
          <w:p w14:paraId="69CE789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8Z-8</w:t>
            </w:r>
          </w:p>
        </w:tc>
        <w:tc>
          <w:tcPr>
            <w:tcW w:w="2343" w:type="dxa"/>
            <w:shd w:val="clear" w:color="auto" w:fill="auto"/>
            <w:noWrap/>
            <w:vAlign w:val="center"/>
          </w:tcPr>
          <w:p w14:paraId="30F4DFD2"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3D3B4B9D" w14:textId="77777777" w:rsidR="009617F5" w:rsidRPr="009617F5" w:rsidRDefault="009617F5" w:rsidP="00286F7D">
            <w:pPr>
              <w:rPr>
                <w:rFonts w:ascii="Arial" w:hAnsi="Arial" w:cs="Arial"/>
                <w:sz w:val="14"/>
                <w:szCs w:val="16"/>
              </w:rPr>
            </w:pPr>
            <w:r w:rsidRPr="009617F5">
              <w:rPr>
                <w:rFonts w:ascii="Arial" w:hAnsi="Arial" w:cs="Arial"/>
                <w:sz w:val="14"/>
                <w:szCs w:val="16"/>
              </w:rPr>
              <w:t>Horní Oldřichov</w:t>
            </w:r>
          </w:p>
        </w:tc>
        <w:tc>
          <w:tcPr>
            <w:tcW w:w="1408" w:type="dxa"/>
            <w:shd w:val="clear" w:color="auto" w:fill="auto"/>
            <w:vAlign w:val="center"/>
          </w:tcPr>
          <w:p w14:paraId="26D09516" w14:textId="77777777" w:rsidR="009617F5" w:rsidRPr="009617F5" w:rsidRDefault="009617F5" w:rsidP="00286F7D">
            <w:pPr>
              <w:rPr>
                <w:rFonts w:ascii="Arial" w:hAnsi="Arial" w:cs="Arial"/>
                <w:sz w:val="14"/>
                <w:szCs w:val="16"/>
              </w:rPr>
            </w:pPr>
            <w:r w:rsidRPr="009617F5">
              <w:rPr>
                <w:rFonts w:ascii="Arial" w:hAnsi="Arial" w:cs="Arial"/>
                <w:sz w:val="14"/>
                <w:szCs w:val="16"/>
              </w:rPr>
              <w:t>1365/5</w:t>
            </w:r>
          </w:p>
        </w:tc>
        <w:tc>
          <w:tcPr>
            <w:tcW w:w="861" w:type="dxa"/>
            <w:shd w:val="clear" w:color="auto" w:fill="auto"/>
            <w:noWrap/>
            <w:vAlign w:val="center"/>
          </w:tcPr>
          <w:p w14:paraId="2AF438AC"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1204</w:t>
            </w:r>
          </w:p>
        </w:tc>
        <w:tc>
          <w:tcPr>
            <w:tcW w:w="1843" w:type="dxa"/>
            <w:shd w:val="clear" w:color="auto" w:fill="auto"/>
            <w:noWrap/>
            <w:vAlign w:val="center"/>
          </w:tcPr>
          <w:p w14:paraId="762EE37E"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7FDA3DC6"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doplnění proluky mezi zastavitelnou plochou 6. změny ÚP a zastavitelným </w:t>
            </w:r>
          </w:p>
          <w:p w14:paraId="7280CF6F"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územím, 4. st. ochrany</w:t>
            </w:r>
          </w:p>
        </w:tc>
      </w:tr>
      <w:tr w:rsidR="009617F5" w:rsidRPr="009617F5" w14:paraId="6E554C62" w14:textId="77777777" w:rsidTr="00286F7D">
        <w:trPr>
          <w:trHeight w:val="255"/>
        </w:trPr>
        <w:tc>
          <w:tcPr>
            <w:tcW w:w="883" w:type="dxa"/>
            <w:shd w:val="clear" w:color="auto" w:fill="auto"/>
            <w:vAlign w:val="center"/>
          </w:tcPr>
          <w:p w14:paraId="4BCF6ED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 10</w:t>
            </w:r>
          </w:p>
        </w:tc>
        <w:tc>
          <w:tcPr>
            <w:tcW w:w="2343" w:type="dxa"/>
            <w:shd w:val="clear" w:color="auto" w:fill="auto"/>
            <w:noWrap/>
            <w:vAlign w:val="center"/>
          </w:tcPr>
          <w:p w14:paraId="6FDB6F9D"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rekreace</w:t>
            </w:r>
          </w:p>
        </w:tc>
        <w:tc>
          <w:tcPr>
            <w:tcW w:w="1701" w:type="dxa"/>
            <w:shd w:val="clear" w:color="auto" w:fill="auto"/>
            <w:noWrap/>
            <w:vAlign w:val="center"/>
          </w:tcPr>
          <w:p w14:paraId="5055C781" w14:textId="77777777" w:rsidR="009617F5" w:rsidRPr="009617F5" w:rsidRDefault="009617F5" w:rsidP="00286F7D">
            <w:pPr>
              <w:rPr>
                <w:rFonts w:ascii="Arial" w:hAnsi="Arial" w:cs="Arial"/>
                <w:sz w:val="14"/>
                <w:szCs w:val="16"/>
              </w:rPr>
            </w:pPr>
            <w:r w:rsidRPr="009617F5">
              <w:rPr>
                <w:rFonts w:ascii="Arial" w:hAnsi="Arial" w:cs="Arial"/>
                <w:sz w:val="14"/>
                <w:szCs w:val="16"/>
              </w:rPr>
              <w:t>Březiny u Děčína</w:t>
            </w:r>
          </w:p>
        </w:tc>
        <w:tc>
          <w:tcPr>
            <w:tcW w:w="1408" w:type="dxa"/>
            <w:shd w:val="clear" w:color="auto" w:fill="auto"/>
            <w:vAlign w:val="center"/>
          </w:tcPr>
          <w:p w14:paraId="05D3883E" w14:textId="77777777" w:rsidR="009617F5" w:rsidRPr="009617F5" w:rsidRDefault="009617F5" w:rsidP="00286F7D">
            <w:pPr>
              <w:rPr>
                <w:rFonts w:ascii="Arial" w:hAnsi="Arial" w:cs="Arial"/>
                <w:sz w:val="14"/>
                <w:szCs w:val="16"/>
              </w:rPr>
            </w:pPr>
            <w:r w:rsidRPr="009617F5">
              <w:rPr>
                <w:rFonts w:ascii="Arial" w:hAnsi="Arial" w:cs="Arial"/>
                <w:sz w:val="14"/>
                <w:szCs w:val="16"/>
              </w:rPr>
              <w:t>1265</w:t>
            </w:r>
          </w:p>
        </w:tc>
        <w:tc>
          <w:tcPr>
            <w:tcW w:w="861" w:type="dxa"/>
            <w:shd w:val="clear" w:color="auto" w:fill="auto"/>
            <w:noWrap/>
            <w:vAlign w:val="center"/>
          </w:tcPr>
          <w:p w14:paraId="1F1E66FA"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2358</w:t>
            </w:r>
          </w:p>
        </w:tc>
        <w:tc>
          <w:tcPr>
            <w:tcW w:w="1843" w:type="dxa"/>
            <w:shd w:val="clear" w:color="auto" w:fill="auto"/>
            <w:noWrap/>
            <w:vAlign w:val="center"/>
          </w:tcPr>
          <w:p w14:paraId="6C613DFD"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69940373"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8Z -10 (Březiny u Děčína) stávající plocha rekreace bez funkčního vymezení.</w:t>
            </w:r>
          </w:p>
        </w:tc>
      </w:tr>
      <w:tr w:rsidR="009617F5" w:rsidRPr="009617F5" w14:paraId="6817EDAD" w14:textId="77777777" w:rsidTr="00286F7D">
        <w:trPr>
          <w:trHeight w:val="300"/>
        </w:trPr>
        <w:tc>
          <w:tcPr>
            <w:tcW w:w="883" w:type="dxa"/>
            <w:shd w:val="clear" w:color="auto" w:fill="auto"/>
            <w:vAlign w:val="center"/>
          </w:tcPr>
          <w:p w14:paraId="5960443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8Z-11 *</w:t>
            </w:r>
          </w:p>
        </w:tc>
        <w:tc>
          <w:tcPr>
            <w:tcW w:w="2343" w:type="dxa"/>
            <w:shd w:val="clear" w:color="auto" w:fill="auto"/>
            <w:noWrap/>
            <w:vAlign w:val="center"/>
          </w:tcPr>
          <w:p w14:paraId="5D269CB8"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2D572067" w14:textId="77777777" w:rsidR="009617F5" w:rsidRPr="009617F5" w:rsidRDefault="009617F5" w:rsidP="00286F7D">
            <w:pPr>
              <w:rPr>
                <w:rFonts w:ascii="Arial" w:hAnsi="Arial" w:cs="Arial"/>
                <w:sz w:val="14"/>
                <w:szCs w:val="16"/>
              </w:rPr>
            </w:pPr>
            <w:r w:rsidRPr="009617F5">
              <w:rPr>
                <w:rFonts w:ascii="Arial" w:hAnsi="Arial" w:cs="Arial"/>
                <w:sz w:val="14"/>
                <w:szCs w:val="16"/>
              </w:rPr>
              <w:t>Podmokly</w:t>
            </w:r>
          </w:p>
        </w:tc>
        <w:tc>
          <w:tcPr>
            <w:tcW w:w="1408" w:type="dxa"/>
            <w:shd w:val="clear" w:color="auto" w:fill="auto"/>
            <w:vAlign w:val="center"/>
          </w:tcPr>
          <w:p w14:paraId="0282D5EE" w14:textId="77777777" w:rsidR="009617F5" w:rsidRPr="009617F5" w:rsidRDefault="009617F5" w:rsidP="00286F7D">
            <w:pPr>
              <w:rPr>
                <w:rFonts w:ascii="Arial" w:hAnsi="Arial" w:cs="Arial"/>
                <w:sz w:val="14"/>
                <w:szCs w:val="16"/>
              </w:rPr>
            </w:pPr>
            <w:r w:rsidRPr="009617F5">
              <w:rPr>
                <w:rFonts w:ascii="Arial" w:hAnsi="Arial" w:cs="Arial"/>
                <w:sz w:val="14"/>
                <w:szCs w:val="16"/>
              </w:rPr>
              <w:t>1384/5, /1, /3, /4</w:t>
            </w:r>
          </w:p>
        </w:tc>
        <w:tc>
          <w:tcPr>
            <w:tcW w:w="861" w:type="dxa"/>
            <w:shd w:val="clear" w:color="auto" w:fill="auto"/>
            <w:noWrap/>
            <w:vAlign w:val="center"/>
          </w:tcPr>
          <w:p w14:paraId="7055BC03"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1112</w:t>
            </w:r>
          </w:p>
        </w:tc>
        <w:tc>
          <w:tcPr>
            <w:tcW w:w="1843" w:type="dxa"/>
            <w:shd w:val="clear" w:color="auto" w:fill="auto"/>
            <w:noWrap/>
            <w:vAlign w:val="center"/>
          </w:tcPr>
          <w:p w14:paraId="241AB3E8"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2F749C94"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plocha je ze tří stran obklopená zastavěným územím, plocha byla rozšířena </w:t>
            </w:r>
          </w:p>
          <w:p w14:paraId="27A7B6AE"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o neobhospodařovatelné plochy, 4. st. ochrany</w:t>
            </w:r>
          </w:p>
        </w:tc>
      </w:tr>
      <w:tr w:rsidR="009617F5" w:rsidRPr="009617F5" w14:paraId="4BAA1A77" w14:textId="77777777" w:rsidTr="00286F7D">
        <w:trPr>
          <w:trHeight w:val="255"/>
        </w:trPr>
        <w:tc>
          <w:tcPr>
            <w:tcW w:w="883" w:type="dxa"/>
            <w:shd w:val="clear" w:color="auto" w:fill="auto"/>
            <w:vAlign w:val="center"/>
          </w:tcPr>
          <w:p w14:paraId="7905F61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8Z-12 *</w:t>
            </w:r>
          </w:p>
        </w:tc>
        <w:tc>
          <w:tcPr>
            <w:tcW w:w="2343" w:type="dxa"/>
            <w:shd w:val="clear" w:color="auto" w:fill="auto"/>
            <w:noWrap/>
            <w:vAlign w:val="center"/>
          </w:tcPr>
          <w:p w14:paraId="74BEADF0"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5223CB72" w14:textId="77777777" w:rsidR="009617F5" w:rsidRPr="009617F5" w:rsidRDefault="009617F5" w:rsidP="00286F7D">
            <w:pPr>
              <w:rPr>
                <w:rFonts w:ascii="Arial" w:hAnsi="Arial" w:cs="Arial"/>
                <w:sz w:val="14"/>
                <w:szCs w:val="16"/>
              </w:rPr>
            </w:pPr>
            <w:r w:rsidRPr="009617F5">
              <w:rPr>
                <w:rFonts w:ascii="Arial" w:hAnsi="Arial" w:cs="Arial"/>
                <w:sz w:val="14"/>
                <w:szCs w:val="16"/>
              </w:rPr>
              <w:t>Vilsnice</w:t>
            </w:r>
          </w:p>
        </w:tc>
        <w:tc>
          <w:tcPr>
            <w:tcW w:w="1408" w:type="dxa"/>
            <w:shd w:val="clear" w:color="auto" w:fill="auto"/>
            <w:vAlign w:val="center"/>
          </w:tcPr>
          <w:p w14:paraId="4240A69C" w14:textId="77777777" w:rsidR="009617F5" w:rsidRPr="009617F5" w:rsidRDefault="009617F5" w:rsidP="00286F7D">
            <w:pPr>
              <w:rPr>
                <w:rFonts w:ascii="Arial" w:hAnsi="Arial" w:cs="Arial"/>
                <w:sz w:val="14"/>
                <w:szCs w:val="16"/>
              </w:rPr>
            </w:pPr>
            <w:r w:rsidRPr="009617F5">
              <w:rPr>
                <w:rFonts w:ascii="Arial" w:hAnsi="Arial" w:cs="Arial"/>
                <w:sz w:val="14"/>
                <w:szCs w:val="16"/>
              </w:rPr>
              <w:t>169/2, 172</w:t>
            </w:r>
          </w:p>
        </w:tc>
        <w:tc>
          <w:tcPr>
            <w:tcW w:w="861" w:type="dxa"/>
            <w:shd w:val="clear" w:color="auto" w:fill="auto"/>
            <w:noWrap/>
            <w:vAlign w:val="center"/>
          </w:tcPr>
          <w:p w14:paraId="4544927A"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1443</w:t>
            </w:r>
          </w:p>
        </w:tc>
        <w:tc>
          <w:tcPr>
            <w:tcW w:w="1843" w:type="dxa"/>
            <w:shd w:val="clear" w:color="auto" w:fill="auto"/>
            <w:noWrap/>
            <w:vAlign w:val="center"/>
          </w:tcPr>
          <w:p w14:paraId="72B42A0F"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zastavitelná plocha </w:t>
            </w:r>
          </w:p>
        </w:tc>
        <w:tc>
          <w:tcPr>
            <w:tcW w:w="6095" w:type="dxa"/>
            <w:shd w:val="clear" w:color="auto" w:fill="auto"/>
            <w:vAlign w:val="center"/>
          </w:tcPr>
          <w:p w14:paraId="04BE763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plocha je ze tří stran obklopená zastavěným územím a z jižní strany komunikací </w:t>
            </w:r>
          </w:p>
          <w:p w14:paraId="19C8E947"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byla rozšířena o neobhospodařovatelné plochy, 2. st. ochrany</w:t>
            </w:r>
          </w:p>
        </w:tc>
      </w:tr>
      <w:tr w:rsidR="009617F5" w:rsidRPr="009617F5" w14:paraId="60A004D3" w14:textId="77777777" w:rsidTr="00286F7D">
        <w:trPr>
          <w:trHeight w:val="255"/>
        </w:trPr>
        <w:tc>
          <w:tcPr>
            <w:tcW w:w="883" w:type="dxa"/>
            <w:shd w:val="clear" w:color="auto" w:fill="auto"/>
            <w:vAlign w:val="center"/>
          </w:tcPr>
          <w:p w14:paraId="57C6209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8Z-13</w:t>
            </w:r>
          </w:p>
        </w:tc>
        <w:tc>
          <w:tcPr>
            <w:tcW w:w="2343" w:type="dxa"/>
            <w:shd w:val="clear" w:color="auto" w:fill="auto"/>
            <w:noWrap/>
            <w:vAlign w:val="center"/>
          </w:tcPr>
          <w:p w14:paraId="66DE41FC"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779652A9" w14:textId="77777777" w:rsidR="009617F5" w:rsidRPr="009617F5" w:rsidRDefault="009617F5" w:rsidP="00286F7D">
            <w:pPr>
              <w:rPr>
                <w:rFonts w:ascii="Arial" w:hAnsi="Arial" w:cs="Arial"/>
                <w:sz w:val="14"/>
                <w:szCs w:val="16"/>
              </w:rPr>
            </w:pPr>
            <w:r w:rsidRPr="009617F5">
              <w:rPr>
                <w:rFonts w:ascii="Arial" w:hAnsi="Arial" w:cs="Arial"/>
                <w:sz w:val="14"/>
                <w:szCs w:val="16"/>
              </w:rPr>
              <w:t>Nebočady</w:t>
            </w:r>
          </w:p>
        </w:tc>
        <w:tc>
          <w:tcPr>
            <w:tcW w:w="1408" w:type="dxa"/>
            <w:shd w:val="clear" w:color="auto" w:fill="auto"/>
            <w:vAlign w:val="center"/>
          </w:tcPr>
          <w:p w14:paraId="5CEE0FBC" w14:textId="77777777" w:rsidR="009617F5" w:rsidRPr="009617F5" w:rsidRDefault="009617F5" w:rsidP="00286F7D">
            <w:pPr>
              <w:rPr>
                <w:rFonts w:ascii="Arial" w:hAnsi="Arial" w:cs="Arial"/>
                <w:sz w:val="14"/>
                <w:szCs w:val="16"/>
              </w:rPr>
            </w:pPr>
            <w:r w:rsidRPr="009617F5">
              <w:rPr>
                <w:rFonts w:ascii="Arial" w:hAnsi="Arial" w:cs="Arial"/>
                <w:sz w:val="14"/>
                <w:szCs w:val="16"/>
              </w:rPr>
              <w:t>282, 280/2, /3, /4, 279/1, /2</w:t>
            </w:r>
          </w:p>
        </w:tc>
        <w:tc>
          <w:tcPr>
            <w:tcW w:w="861" w:type="dxa"/>
            <w:shd w:val="clear" w:color="auto" w:fill="auto"/>
            <w:noWrap/>
            <w:vAlign w:val="center"/>
          </w:tcPr>
          <w:p w14:paraId="33DE8055"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fldChar w:fldCharType="begin"/>
            </w:r>
            <w:r w:rsidRPr="009617F5">
              <w:rPr>
                <w:rFonts w:ascii="Arial" w:hAnsi="Arial" w:cs="Arial"/>
                <w:sz w:val="14"/>
                <w:szCs w:val="16"/>
              </w:rPr>
              <w:instrText xml:space="preserve"> =SUM(ABOVE) </w:instrText>
            </w:r>
            <w:r w:rsidRPr="009617F5">
              <w:rPr>
                <w:rFonts w:ascii="Arial" w:hAnsi="Arial" w:cs="Arial"/>
                <w:sz w:val="14"/>
                <w:szCs w:val="16"/>
              </w:rPr>
              <w:fldChar w:fldCharType="separate"/>
            </w:r>
            <w:r w:rsidRPr="009617F5">
              <w:rPr>
                <w:rFonts w:ascii="Arial" w:hAnsi="Arial" w:cs="Arial"/>
                <w:noProof/>
                <w:sz w:val="14"/>
                <w:szCs w:val="16"/>
              </w:rPr>
              <w:t>17062</w:t>
            </w:r>
            <w:r w:rsidRPr="009617F5">
              <w:rPr>
                <w:rFonts w:ascii="Arial" w:hAnsi="Arial" w:cs="Arial"/>
                <w:sz w:val="14"/>
                <w:szCs w:val="16"/>
              </w:rPr>
              <w:fldChar w:fldCharType="end"/>
            </w:r>
          </w:p>
        </w:tc>
        <w:tc>
          <w:tcPr>
            <w:tcW w:w="1843" w:type="dxa"/>
            <w:shd w:val="clear" w:color="auto" w:fill="auto"/>
            <w:noWrap/>
            <w:vAlign w:val="center"/>
          </w:tcPr>
          <w:p w14:paraId="79EDF8F8"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397535DC"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je ze tří stran obklopená zastavěným územím, stupeň ochrany 3-4</w:t>
            </w:r>
          </w:p>
        </w:tc>
      </w:tr>
      <w:tr w:rsidR="009617F5" w:rsidRPr="009617F5" w14:paraId="0A3CF824" w14:textId="77777777" w:rsidTr="00286F7D">
        <w:trPr>
          <w:trHeight w:val="255"/>
        </w:trPr>
        <w:tc>
          <w:tcPr>
            <w:tcW w:w="883" w:type="dxa"/>
            <w:shd w:val="clear" w:color="auto" w:fill="auto"/>
            <w:vAlign w:val="center"/>
          </w:tcPr>
          <w:p w14:paraId="75E5EC90"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8Z-15</w:t>
            </w:r>
          </w:p>
        </w:tc>
        <w:tc>
          <w:tcPr>
            <w:tcW w:w="2343" w:type="dxa"/>
            <w:shd w:val="clear" w:color="auto" w:fill="auto"/>
            <w:noWrap/>
            <w:vAlign w:val="center"/>
          </w:tcPr>
          <w:p w14:paraId="10B14F52"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Plochy RD venkovského typu</w:t>
            </w:r>
          </w:p>
        </w:tc>
        <w:tc>
          <w:tcPr>
            <w:tcW w:w="1701" w:type="dxa"/>
            <w:shd w:val="clear" w:color="auto" w:fill="auto"/>
            <w:noWrap/>
            <w:vAlign w:val="center"/>
          </w:tcPr>
          <w:p w14:paraId="7D3CABC4" w14:textId="77777777" w:rsidR="009617F5" w:rsidRPr="009617F5" w:rsidRDefault="009617F5" w:rsidP="00286F7D">
            <w:pPr>
              <w:rPr>
                <w:rFonts w:ascii="Arial" w:hAnsi="Arial" w:cs="Arial"/>
                <w:sz w:val="14"/>
                <w:szCs w:val="16"/>
              </w:rPr>
            </w:pPr>
            <w:r w:rsidRPr="009617F5">
              <w:rPr>
                <w:rFonts w:ascii="Arial" w:hAnsi="Arial" w:cs="Arial"/>
                <w:sz w:val="14"/>
                <w:szCs w:val="16"/>
              </w:rPr>
              <w:t>Březiny u Děčína</w:t>
            </w:r>
          </w:p>
        </w:tc>
        <w:tc>
          <w:tcPr>
            <w:tcW w:w="1408" w:type="dxa"/>
            <w:shd w:val="clear" w:color="auto" w:fill="auto"/>
            <w:vAlign w:val="center"/>
          </w:tcPr>
          <w:p w14:paraId="1B967A23" w14:textId="77777777" w:rsidR="009617F5" w:rsidRPr="009617F5" w:rsidRDefault="009617F5" w:rsidP="00286F7D">
            <w:pPr>
              <w:rPr>
                <w:rFonts w:ascii="Arial" w:hAnsi="Arial" w:cs="Arial"/>
                <w:sz w:val="14"/>
                <w:szCs w:val="16"/>
              </w:rPr>
            </w:pPr>
            <w:r w:rsidRPr="009617F5">
              <w:rPr>
                <w:rFonts w:ascii="Arial" w:hAnsi="Arial" w:cs="Arial"/>
                <w:sz w:val="14"/>
                <w:szCs w:val="16"/>
              </w:rPr>
              <w:t>151</w:t>
            </w:r>
          </w:p>
        </w:tc>
        <w:tc>
          <w:tcPr>
            <w:tcW w:w="861" w:type="dxa"/>
            <w:shd w:val="clear" w:color="auto" w:fill="auto"/>
            <w:noWrap/>
            <w:vAlign w:val="center"/>
          </w:tcPr>
          <w:p w14:paraId="76D854F9"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1334</w:t>
            </w:r>
          </w:p>
        </w:tc>
        <w:tc>
          <w:tcPr>
            <w:tcW w:w="1843" w:type="dxa"/>
            <w:shd w:val="clear" w:color="auto" w:fill="auto"/>
            <w:noWrap/>
            <w:vAlign w:val="center"/>
          </w:tcPr>
          <w:p w14:paraId="6440C080"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2325EC02"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plocha je ze tří stran obklopená zastavěným územím a ze 4 strany zastavitelným </w:t>
            </w:r>
          </w:p>
          <w:p w14:paraId="00DBC5B9"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územím 9. změny ÚP,st. ochrany 5, 3, 2</w:t>
            </w:r>
          </w:p>
        </w:tc>
      </w:tr>
      <w:tr w:rsidR="009617F5" w:rsidRPr="009617F5" w14:paraId="1D92FA9D" w14:textId="77777777" w:rsidTr="00286F7D">
        <w:trPr>
          <w:trHeight w:val="255"/>
        </w:trPr>
        <w:tc>
          <w:tcPr>
            <w:tcW w:w="883" w:type="dxa"/>
            <w:shd w:val="clear" w:color="auto" w:fill="auto"/>
            <w:vAlign w:val="center"/>
          </w:tcPr>
          <w:p w14:paraId="60083DD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8Z-16</w:t>
            </w:r>
          </w:p>
        </w:tc>
        <w:tc>
          <w:tcPr>
            <w:tcW w:w="2343" w:type="dxa"/>
            <w:shd w:val="clear" w:color="auto" w:fill="auto"/>
            <w:noWrap/>
            <w:vAlign w:val="center"/>
          </w:tcPr>
          <w:p w14:paraId="37385DDF"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občanské vybavení.</w:t>
            </w:r>
          </w:p>
        </w:tc>
        <w:tc>
          <w:tcPr>
            <w:tcW w:w="1701" w:type="dxa"/>
            <w:shd w:val="clear" w:color="auto" w:fill="auto"/>
            <w:noWrap/>
            <w:vAlign w:val="center"/>
          </w:tcPr>
          <w:p w14:paraId="0875F534" w14:textId="77777777" w:rsidR="009617F5" w:rsidRPr="009617F5" w:rsidRDefault="009617F5" w:rsidP="00286F7D">
            <w:pPr>
              <w:rPr>
                <w:rFonts w:ascii="Arial" w:hAnsi="Arial" w:cs="Arial"/>
                <w:sz w:val="14"/>
                <w:szCs w:val="16"/>
              </w:rPr>
            </w:pPr>
            <w:r w:rsidRPr="009617F5">
              <w:rPr>
                <w:rFonts w:ascii="Arial" w:hAnsi="Arial" w:cs="Arial"/>
                <w:sz w:val="14"/>
                <w:szCs w:val="16"/>
              </w:rPr>
              <w:t>Podmokly</w:t>
            </w:r>
          </w:p>
        </w:tc>
        <w:tc>
          <w:tcPr>
            <w:tcW w:w="1408" w:type="dxa"/>
            <w:shd w:val="clear" w:color="auto" w:fill="auto"/>
            <w:vAlign w:val="center"/>
          </w:tcPr>
          <w:p w14:paraId="304C806B" w14:textId="77777777" w:rsidR="009617F5" w:rsidRPr="009617F5" w:rsidRDefault="009617F5" w:rsidP="00286F7D">
            <w:pPr>
              <w:rPr>
                <w:rFonts w:ascii="Arial" w:hAnsi="Arial" w:cs="Arial"/>
                <w:sz w:val="14"/>
                <w:szCs w:val="16"/>
              </w:rPr>
            </w:pPr>
            <w:r w:rsidRPr="009617F5">
              <w:rPr>
                <w:rFonts w:ascii="Arial" w:hAnsi="Arial" w:cs="Arial"/>
                <w:sz w:val="14"/>
                <w:szCs w:val="16"/>
              </w:rPr>
              <w:t>3725/5, 3725/53</w:t>
            </w:r>
          </w:p>
        </w:tc>
        <w:tc>
          <w:tcPr>
            <w:tcW w:w="861" w:type="dxa"/>
            <w:shd w:val="clear" w:color="auto" w:fill="auto"/>
            <w:noWrap/>
            <w:vAlign w:val="center"/>
          </w:tcPr>
          <w:p w14:paraId="01E74904"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3118</w:t>
            </w:r>
          </w:p>
        </w:tc>
        <w:tc>
          <w:tcPr>
            <w:tcW w:w="1843" w:type="dxa"/>
            <w:shd w:val="clear" w:color="auto" w:fill="auto"/>
            <w:noWrap/>
            <w:vAlign w:val="center"/>
          </w:tcPr>
          <w:p w14:paraId="20E8BE26"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přestavbová plocha </w:t>
            </w:r>
          </w:p>
        </w:tc>
        <w:tc>
          <w:tcPr>
            <w:tcW w:w="6095" w:type="dxa"/>
            <w:shd w:val="clear" w:color="auto" w:fill="auto"/>
            <w:vAlign w:val="center"/>
          </w:tcPr>
          <w:p w14:paraId="1BD38B48"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zastavěné území, nezemědělská půda</w:t>
            </w:r>
          </w:p>
        </w:tc>
      </w:tr>
      <w:tr w:rsidR="009617F5" w:rsidRPr="009617F5" w14:paraId="6D2A19C3" w14:textId="77777777" w:rsidTr="00286F7D">
        <w:trPr>
          <w:trHeight w:val="255"/>
        </w:trPr>
        <w:tc>
          <w:tcPr>
            <w:tcW w:w="883" w:type="dxa"/>
            <w:shd w:val="clear" w:color="auto" w:fill="auto"/>
            <w:vAlign w:val="center"/>
          </w:tcPr>
          <w:p w14:paraId="2AA5080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8Z-17</w:t>
            </w:r>
          </w:p>
        </w:tc>
        <w:tc>
          <w:tcPr>
            <w:tcW w:w="2343" w:type="dxa"/>
            <w:shd w:val="clear" w:color="auto" w:fill="auto"/>
            <w:noWrap/>
            <w:vAlign w:val="center"/>
          </w:tcPr>
          <w:p w14:paraId="18315706"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občanské vybavení</w:t>
            </w:r>
          </w:p>
        </w:tc>
        <w:tc>
          <w:tcPr>
            <w:tcW w:w="1701" w:type="dxa"/>
            <w:shd w:val="clear" w:color="auto" w:fill="auto"/>
            <w:noWrap/>
            <w:vAlign w:val="center"/>
          </w:tcPr>
          <w:p w14:paraId="37E4454A" w14:textId="77777777" w:rsidR="009617F5" w:rsidRPr="009617F5" w:rsidRDefault="009617F5" w:rsidP="00286F7D">
            <w:pPr>
              <w:rPr>
                <w:rFonts w:ascii="Arial" w:hAnsi="Arial" w:cs="Arial"/>
                <w:sz w:val="14"/>
                <w:szCs w:val="16"/>
              </w:rPr>
            </w:pPr>
            <w:r w:rsidRPr="009617F5">
              <w:rPr>
                <w:rFonts w:ascii="Arial" w:hAnsi="Arial" w:cs="Arial"/>
                <w:sz w:val="14"/>
                <w:szCs w:val="16"/>
              </w:rPr>
              <w:t>Děčín</w:t>
            </w:r>
          </w:p>
        </w:tc>
        <w:tc>
          <w:tcPr>
            <w:tcW w:w="1408" w:type="dxa"/>
            <w:shd w:val="clear" w:color="auto" w:fill="auto"/>
            <w:vAlign w:val="center"/>
          </w:tcPr>
          <w:p w14:paraId="4B4305FE" w14:textId="77777777" w:rsidR="009617F5" w:rsidRPr="009617F5" w:rsidRDefault="009617F5" w:rsidP="00286F7D">
            <w:pPr>
              <w:rPr>
                <w:rFonts w:ascii="Arial" w:hAnsi="Arial" w:cs="Arial"/>
                <w:sz w:val="14"/>
                <w:szCs w:val="16"/>
              </w:rPr>
            </w:pPr>
            <w:r w:rsidRPr="009617F5">
              <w:rPr>
                <w:rFonts w:ascii="Arial" w:hAnsi="Arial" w:cs="Arial"/>
                <w:sz w:val="14"/>
                <w:szCs w:val="16"/>
              </w:rPr>
              <w:t>2297</w:t>
            </w:r>
          </w:p>
        </w:tc>
        <w:tc>
          <w:tcPr>
            <w:tcW w:w="861" w:type="dxa"/>
            <w:shd w:val="clear" w:color="auto" w:fill="auto"/>
            <w:noWrap/>
            <w:vAlign w:val="center"/>
          </w:tcPr>
          <w:p w14:paraId="6549C081"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302</w:t>
            </w:r>
          </w:p>
        </w:tc>
        <w:tc>
          <w:tcPr>
            <w:tcW w:w="1843" w:type="dxa"/>
            <w:shd w:val="clear" w:color="auto" w:fill="auto"/>
            <w:noWrap/>
            <w:vAlign w:val="center"/>
          </w:tcPr>
          <w:p w14:paraId="596B0FE5"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přestavbová plocha</w:t>
            </w:r>
          </w:p>
        </w:tc>
        <w:tc>
          <w:tcPr>
            <w:tcW w:w="6095" w:type="dxa"/>
            <w:shd w:val="clear" w:color="auto" w:fill="auto"/>
            <w:vAlign w:val="center"/>
          </w:tcPr>
          <w:p w14:paraId="7B4DA7C5"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zastavěné území, nezemědělská půda</w:t>
            </w:r>
          </w:p>
        </w:tc>
      </w:tr>
      <w:tr w:rsidR="009617F5" w:rsidRPr="009617F5" w14:paraId="2EFFD01E" w14:textId="77777777" w:rsidTr="00286F7D">
        <w:trPr>
          <w:trHeight w:val="255"/>
        </w:trPr>
        <w:tc>
          <w:tcPr>
            <w:tcW w:w="883" w:type="dxa"/>
            <w:shd w:val="clear" w:color="auto" w:fill="auto"/>
            <w:vAlign w:val="center"/>
          </w:tcPr>
          <w:p w14:paraId="032B4EF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8Z-18</w:t>
            </w:r>
          </w:p>
        </w:tc>
        <w:tc>
          <w:tcPr>
            <w:tcW w:w="2343" w:type="dxa"/>
            <w:shd w:val="clear" w:color="auto" w:fill="auto"/>
            <w:noWrap/>
            <w:vAlign w:val="center"/>
          </w:tcPr>
          <w:p w14:paraId="2F804C3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67F7C912" w14:textId="77777777" w:rsidR="009617F5" w:rsidRPr="009617F5" w:rsidRDefault="009617F5" w:rsidP="00286F7D">
            <w:pPr>
              <w:rPr>
                <w:rFonts w:ascii="Arial" w:hAnsi="Arial" w:cs="Arial"/>
                <w:sz w:val="14"/>
                <w:szCs w:val="16"/>
              </w:rPr>
            </w:pPr>
            <w:r w:rsidRPr="009617F5">
              <w:rPr>
                <w:rFonts w:ascii="Arial" w:hAnsi="Arial" w:cs="Arial"/>
                <w:sz w:val="14"/>
                <w:szCs w:val="16"/>
              </w:rPr>
              <w:t>Podmokly</w:t>
            </w:r>
          </w:p>
        </w:tc>
        <w:tc>
          <w:tcPr>
            <w:tcW w:w="1408" w:type="dxa"/>
            <w:shd w:val="clear" w:color="auto" w:fill="auto"/>
            <w:vAlign w:val="center"/>
          </w:tcPr>
          <w:p w14:paraId="27E99D25" w14:textId="77777777" w:rsidR="009617F5" w:rsidRPr="009617F5" w:rsidRDefault="009617F5" w:rsidP="00286F7D">
            <w:pPr>
              <w:rPr>
                <w:rFonts w:ascii="Arial" w:hAnsi="Arial" w:cs="Arial"/>
                <w:sz w:val="14"/>
                <w:szCs w:val="16"/>
              </w:rPr>
            </w:pPr>
            <w:r w:rsidRPr="009617F5">
              <w:rPr>
                <w:rFonts w:ascii="Arial" w:hAnsi="Arial" w:cs="Arial"/>
                <w:sz w:val="14"/>
                <w:szCs w:val="16"/>
              </w:rPr>
              <w:t>437/2</w:t>
            </w:r>
          </w:p>
        </w:tc>
        <w:tc>
          <w:tcPr>
            <w:tcW w:w="861" w:type="dxa"/>
            <w:shd w:val="clear" w:color="auto" w:fill="auto"/>
            <w:noWrap/>
            <w:vAlign w:val="center"/>
          </w:tcPr>
          <w:p w14:paraId="483E539B"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1079</w:t>
            </w:r>
          </w:p>
        </w:tc>
        <w:tc>
          <w:tcPr>
            <w:tcW w:w="1843" w:type="dxa"/>
            <w:shd w:val="clear" w:color="auto" w:fill="auto"/>
            <w:noWrap/>
            <w:vAlign w:val="center"/>
          </w:tcPr>
          <w:p w14:paraId="1A1A3FDF"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zastavitelná plocha </w:t>
            </w:r>
          </w:p>
        </w:tc>
        <w:tc>
          <w:tcPr>
            <w:tcW w:w="6095" w:type="dxa"/>
            <w:shd w:val="clear" w:color="auto" w:fill="auto"/>
            <w:vAlign w:val="center"/>
          </w:tcPr>
          <w:p w14:paraId="7C110A53"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navazující na zastavitelné území a zastavitelná území,</w:t>
            </w:r>
          </w:p>
          <w:p w14:paraId="34C61AD3"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 5. stupeň ochrany</w:t>
            </w:r>
          </w:p>
        </w:tc>
      </w:tr>
      <w:tr w:rsidR="009617F5" w:rsidRPr="009617F5" w14:paraId="32E994D5" w14:textId="77777777" w:rsidTr="00286F7D">
        <w:trPr>
          <w:trHeight w:val="255"/>
        </w:trPr>
        <w:tc>
          <w:tcPr>
            <w:tcW w:w="883" w:type="dxa"/>
            <w:shd w:val="clear" w:color="auto" w:fill="auto"/>
            <w:vAlign w:val="center"/>
          </w:tcPr>
          <w:p w14:paraId="26DFE2F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8Z-19</w:t>
            </w:r>
          </w:p>
        </w:tc>
        <w:tc>
          <w:tcPr>
            <w:tcW w:w="2343" w:type="dxa"/>
            <w:shd w:val="clear" w:color="auto" w:fill="auto"/>
            <w:noWrap/>
            <w:vAlign w:val="center"/>
          </w:tcPr>
          <w:p w14:paraId="7613164A"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554AF8B0" w14:textId="77777777" w:rsidR="009617F5" w:rsidRPr="009617F5" w:rsidRDefault="009617F5" w:rsidP="00286F7D">
            <w:pPr>
              <w:rPr>
                <w:rFonts w:ascii="Arial" w:hAnsi="Arial" w:cs="Arial"/>
                <w:sz w:val="14"/>
                <w:szCs w:val="16"/>
              </w:rPr>
            </w:pPr>
            <w:r w:rsidRPr="009617F5">
              <w:rPr>
                <w:rFonts w:ascii="Arial" w:hAnsi="Arial" w:cs="Arial"/>
                <w:sz w:val="14"/>
                <w:szCs w:val="16"/>
              </w:rPr>
              <w:t>Vilsnice</w:t>
            </w:r>
          </w:p>
        </w:tc>
        <w:tc>
          <w:tcPr>
            <w:tcW w:w="1408" w:type="dxa"/>
            <w:shd w:val="clear" w:color="auto" w:fill="auto"/>
            <w:vAlign w:val="center"/>
          </w:tcPr>
          <w:p w14:paraId="38334FAE" w14:textId="77777777" w:rsidR="009617F5" w:rsidRPr="009617F5" w:rsidRDefault="009617F5" w:rsidP="00286F7D">
            <w:pPr>
              <w:rPr>
                <w:rFonts w:ascii="Arial" w:hAnsi="Arial" w:cs="Arial"/>
                <w:sz w:val="14"/>
                <w:szCs w:val="16"/>
              </w:rPr>
            </w:pPr>
            <w:r w:rsidRPr="009617F5">
              <w:rPr>
                <w:rFonts w:ascii="Arial" w:hAnsi="Arial" w:cs="Arial"/>
                <w:sz w:val="14"/>
                <w:szCs w:val="16"/>
              </w:rPr>
              <w:t>4</w:t>
            </w:r>
          </w:p>
        </w:tc>
        <w:tc>
          <w:tcPr>
            <w:tcW w:w="861" w:type="dxa"/>
            <w:shd w:val="clear" w:color="auto" w:fill="auto"/>
            <w:noWrap/>
            <w:vAlign w:val="center"/>
          </w:tcPr>
          <w:p w14:paraId="23849497"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677</w:t>
            </w:r>
          </w:p>
        </w:tc>
        <w:tc>
          <w:tcPr>
            <w:tcW w:w="1843" w:type="dxa"/>
            <w:shd w:val="clear" w:color="auto" w:fill="auto"/>
            <w:noWrap/>
            <w:vAlign w:val="center"/>
          </w:tcPr>
          <w:p w14:paraId="3045182F"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65BD86CF"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vklíněna do proluky mezi ZÚ a oddělena komunikací, 4. st. ochrany</w:t>
            </w:r>
          </w:p>
        </w:tc>
      </w:tr>
      <w:tr w:rsidR="009617F5" w:rsidRPr="009617F5" w14:paraId="02B11679" w14:textId="77777777" w:rsidTr="00286F7D">
        <w:trPr>
          <w:trHeight w:val="255"/>
        </w:trPr>
        <w:tc>
          <w:tcPr>
            <w:tcW w:w="883" w:type="dxa"/>
            <w:shd w:val="clear" w:color="auto" w:fill="auto"/>
            <w:vAlign w:val="center"/>
          </w:tcPr>
          <w:p w14:paraId="45FF7CDB" w14:textId="77777777" w:rsidR="009617F5" w:rsidRPr="009617F5" w:rsidRDefault="009617F5" w:rsidP="00286F7D">
            <w:pPr>
              <w:jc w:val="center"/>
              <w:rPr>
                <w:rFonts w:ascii="Arial" w:hAnsi="Arial" w:cs="Arial"/>
                <w:b/>
                <w:sz w:val="14"/>
                <w:szCs w:val="16"/>
                <w:vertAlign w:val="superscript"/>
              </w:rPr>
            </w:pPr>
            <w:r w:rsidRPr="009617F5">
              <w:rPr>
                <w:rFonts w:ascii="Arial" w:hAnsi="Arial" w:cs="Arial"/>
                <w:b/>
                <w:sz w:val="14"/>
                <w:szCs w:val="16"/>
              </w:rPr>
              <w:t>8Z-20</w:t>
            </w:r>
          </w:p>
        </w:tc>
        <w:tc>
          <w:tcPr>
            <w:tcW w:w="2343" w:type="dxa"/>
            <w:shd w:val="clear" w:color="auto" w:fill="auto"/>
            <w:noWrap/>
            <w:vAlign w:val="center"/>
          </w:tcPr>
          <w:p w14:paraId="7565B05A"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592B61E2" w14:textId="77777777" w:rsidR="009617F5" w:rsidRPr="009617F5" w:rsidRDefault="009617F5" w:rsidP="00286F7D">
            <w:pPr>
              <w:rPr>
                <w:rFonts w:ascii="Arial" w:hAnsi="Arial" w:cs="Arial"/>
                <w:sz w:val="14"/>
                <w:szCs w:val="16"/>
              </w:rPr>
            </w:pPr>
            <w:r w:rsidRPr="009617F5">
              <w:rPr>
                <w:rFonts w:ascii="Arial" w:hAnsi="Arial" w:cs="Arial"/>
                <w:sz w:val="14"/>
                <w:szCs w:val="16"/>
              </w:rPr>
              <w:t>Bělá u Děčína</w:t>
            </w:r>
          </w:p>
        </w:tc>
        <w:tc>
          <w:tcPr>
            <w:tcW w:w="1408" w:type="dxa"/>
            <w:shd w:val="clear" w:color="auto" w:fill="auto"/>
            <w:vAlign w:val="center"/>
          </w:tcPr>
          <w:p w14:paraId="7056F83C" w14:textId="77777777" w:rsidR="009617F5" w:rsidRPr="009617F5" w:rsidRDefault="009617F5" w:rsidP="00286F7D">
            <w:pPr>
              <w:rPr>
                <w:rFonts w:ascii="Arial" w:hAnsi="Arial" w:cs="Arial"/>
                <w:sz w:val="14"/>
                <w:szCs w:val="16"/>
              </w:rPr>
            </w:pPr>
            <w:r w:rsidRPr="009617F5">
              <w:rPr>
                <w:rFonts w:ascii="Arial" w:hAnsi="Arial" w:cs="Arial"/>
                <w:sz w:val="14"/>
                <w:szCs w:val="16"/>
              </w:rPr>
              <w:t>397/2</w:t>
            </w:r>
          </w:p>
        </w:tc>
        <w:tc>
          <w:tcPr>
            <w:tcW w:w="861" w:type="dxa"/>
            <w:shd w:val="clear" w:color="auto" w:fill="auto"/>
            <w:noWrap/>
            <w:vAlign w:val="center"/>
          </w:tcPr>
          <w:p w14:paraId="537E0D88"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465</w:t>
            </w:r>
          </w:p>
        </w:tc>
        <w:tc>
          <w:tcPr>
            <w:tcW w:w="1843" w:type="dxa"/>
            <w:shd w:val="clear" w:color="auto" w:fill="auto"/>
            <w:noWrap/>
            <w:vAlign w:val="center"/>
          </w:tcPr>
          <w:p w14:paraId="25D9FE70"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3702D4F9"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vklíněna do proluky mezi ZÚ a oddělena komunikací, 5. st. ochrany</w:t>
            </w:r>
          </w:p>
        </w:tc>
      </w:tr>
      <w:tr w:rsidR="009617F5" w:rsidRPr="009617F5" w14:paraId="687834AD" w14:textId="77777777" w:rsidTr="00286F7D">
        <w:trPr>
          <w:trHeight w:val="300"/>
        </w:trPr>
        <w:tc>
          <w:tcPr>
            <w:tcW w:w="883" w:type="dxa"/>
            <w:shd w:val="clear" w:color="auto" w:fill="auto"/>
            <w:vAlign w:val="center"/>
          </w:tcPr>
          <w:p w14:paraId="5EB7D46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lastRenderedPageBreak/>
              <w:t>8Z-23</w:t>
            </w:r>
          </w:p>
        </w:tc>
        <w:tc>
          <w:tcPr>
            <w:tcW w:w="2343" w:type="dxa"/>
            <w:shd w:val="clear" w:color="auto" w:fill="auto"/>
            <w:noWrap/>
            <w:vAlign w:val="center"/>
          </w:tcPr>
          <w:p w14:paraId="4D5C795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rekreační území </w:t>
            </w:r>
          </w:p>
        </w:tc>
        <w:tc>
          <w:tcPr>
            <w:tcW w:w="1701" w:type="dxa"/>
            <w:shd w:val="clear" w:color="auto" w:fill="auto"/>
            <w:noWrap/>
            <w:vAlign w:val="center"/>
          </w:tcPr>
          <w:p w14:paraId="6FA6F99B" w14:textId="77777777" w:rsidR="009617F5" w:rsidRPr="009617F5" w:rsidRDefault="009617F5" w:rsidP="00286F7D">
            <w:pPr>
              <w:rPr>
                <w:rFonts w:ascii="Arial" w:hAnsi="Arial" w:cs="Arial"/>
                <w:sz w:val="14"/>
                <w:szCs w:val="16"/>
              </w:rPr>
            </w:pPr>
            <w:r w:rsidRPr="009617F5">
              <w:rPr>
                <w:rFonts w:ascii="Arial" w:hAnsi="Arial" w:cs="Arial"/>
                <w:sz w:val="14"/>
                <w:szCs w:val="16"/>
              </w:rPr>
              <w:t>Děčín</w:t>
            </w:r>
          </w:p>
        </w:tc>
        <w:tc>
          <w:tcPr>
            <w:tcW w:w="1408" w:type="dxa"/>
            <w:shd w:val="clear" w:color="auto" w:fill="auto"/>
            <w:vAlign w:val="center"/>
          </w:tcPr>
          <w:p w14:paraId="73C29FB3" w14:textId="77777777" w:rsidR="009617F5" w:rsidRPr="009617F5" w:rsidRDefault="009617F5" w:rsidP="00286F7D">
            <w:pPr>
              <w:rPr>
                <w:rFonts w:ascii="Arial" w:hAnsi="Arial" w:cs="Arial"/>
                <w:sz w:val="14"/>
                <w:szCs w:val="16"/>
              </w:rPr>
            </w:pPr>
            <w:r w:rsidRPr="009617F5">
              <w:rPr>
                <w:rFonts w:ascii="Arial" w:hAnsi="Arial" w:cs="Arial"/>
                <w:sz w:val="14"/>
                <w:szCs w:val="16"/>
              </w:rPr>
              <w:t>2828/42, /72,/124</w:t>
            </w:r>
          </w:p>
        </w:tc>
        <w:tc>
          <w:tcPr>
            <w:tcW w:w="861" w:type="dxa"/>
            <w:shd w:val="clear" w:color="auto" w:fill="auto"/>
            <w:noWrap/>
            <w:vAlign w:val="center"/>
          </w:tcPr>
          <w:p w14:paraId="0C75818E"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514</w:t>
            </w:r>
          </w:p>
        </w:tc>
        <w:tc>
          <w:tcPr>
            <w:tcW w:w="1843" w:type="dxa"/>
            <w:shd w:val="clear" w:color="auto" w:fill="auto"/>
            <w:noWrap/>
            <w:vAlign w:val="center"/>
          </w:tcPr>
          <w:p w14:paraId="12F7CAE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přestavbová plocha</w:t>
            </w:r>
          </w:p>
        </w:tc>
        <w:tc>
          <w:tcPr>
            <w:tcW w:w="6095" w:type="dxa"/>
            <w:shd w:val="clear" w:color="auto" w:fill="auto"/>
            <w:vAlign w:val="center"/>
          </w:tcPr>
          <w:p w14:paraId="472EC63F"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zahrádková osada, pro zem. výrobu nevhodná a nepřístupná, st. ochrany 2</w:t>
            </w:r>
          </w:p>
        </w:tc>
      </w:tr>
      <w:tr w:rsidR="009617F5" w:rsidRPr="009617F5" w14:paraId="2C94E852" w14:textId="77777777" w:rsidTr="00286F7D">
        <w:trPr>
          <w:trHeight w:val="255"/>
        </w:trPr>
        <w:tc>
          <w:tcPr>
            <w:tcW w:w="883" w:type="dxa"/>
            <w:shd w:val="clear" w:color="auto" w:fill="auto"/>
            <w:vAlign w:val="center"/>
          </w:tcPr>
          <w:p w14:paraId="6689D03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8Z-25</w:t>
            </w:r>
          </w:p>
        </w:tc>
        <w:tc>
          <w:tcPr>
            <w:tcW w:w="2343" w:type="dxa"/>
            <w:shd w:val="clear" w:color="auto" w:fill="auto"/>
            <w:noWrap/>
            <w:vAlign w:val="center"/>
          </w:tcPr>
          <w:p w14:paraId="500612D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140CBC49" w14:textId="77777777" w:rsidR="009617F5" w:rsidRPr="009617F5" w:rsidRDefault="009617F5" w:rsidP="00286F7D">
            <w:pPr>
              <w:rPr>
                <w:rFonts w:ascii="Arial" w:hAnsi="Arial" w:cs="Arial"/>
                <w:sz w:val="14"/>
                <w:szCs w:val="16"/>
              </w:rPr>
            </w:pPr>
            <w:r w:rsidRPr="009617F5">
              <w:rPr>
                <w:rFonts w:ascii="Arial" w:hAnsi="Arial" w:cs="Arial"/>
                <w:sz w:val="14"/>
                <w:szCs w:val="16"/>
              </w:rPr>
              <w:t>Folknáře</w:t>
            </w:r>
          </w:p>
        </w:tc>
        <w:tc>
          <w:tcPr>
            <w:tcW w:w="1408" w:type="dxa"/>
            <w:shd w:val="clear" w:color="auto" w:fill="auto"/>
            <w:vAlign w:val="center"/>
          </w:tcPr>
          <w:p w14:paraId="47A006A0" w14:textId="77777777" w:rsidR="009617F5" w:rsidRPr="009617F5" w:rsidRDefault="009617F5" w:rsidP="00286F7D">
            <w:pPr>
              <w:rPr>
                <w:rFonts w:ascii="Arial" w:hAnsi="Arial" w:cs="Arial"/>
                <w:sz w:val="14"/>
                <w:szCs w:val="16"/>
              </w:rPr>
            </w:pPr>
            <w:r w:rsidRPr="009617F5">
              <w:rPr>
                <w:rFonts w:ascii="Arial" w:hAnsi="Arial" w:cs="Arial"/>
                <w:sz w:val="14"/>
                <w:szCs w:val="16"/>
              </w:rPr>
              <w:t>419/4</w:t>
            </w:r>
          </w:p>
        </w:tc>
        <w:tc>
          <w:tcPr>
            <w:tcW w:w="861" w:type="dxa"/>
            <w:shd w:val="clear" w:color="auto" w:fill="auto"/>
            <w:noWrap/>
            <w:vAlign w:val="center"/>
          </w:tcPr>
          <w:p w14:paraId="612AF440"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87</w:t>
            </w:r>
          </w:p>
        </w:tc>
        <w:tc>
          <w:tcPr>
            <w:tcW w:w="1843" w:type="dxa"/>
            <w:shd w:val="clear" w:color="auto" w:fill="auto"/>
            <w:noWrap/>
            <w:vAlign w:val="center"/>
          </w:tcPr>
          <w:p w14:paraId="47E92A12"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56FFC0D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rozšíření obytné části zahrady o 87 m</w:t>
            </w:r>
            <w:r w:rsidRPr="009617F5">
              <w:rPr>
                <w:rFonts w:ascii="Arial" w:hAnsi="Arial" w:cs="Arial"/>
                <w:sz w:val="14"/>
                <w:szCs w:val="16"/>
                <w:vertAlign w:val="superscript"/>
              </w:rPr>
              <w:t>2</w:t>
            </w:r>
            <w:r w:rsidRPr="009617F5">
              <w:rPr>
                <w:rFonts w:ascii="Arial" w:hAnsi="Arial" w:cs="Arial"/>
                <w:sz w:val="14"/>
                <w:szCs w:val="16"/>
              </w:rPr>
              <w:t xml:space="preserve">, samostatná parcela stupeň. ochrany 3 </w:t>
            </w:r>
          </w:p>
        </w:tc>
      </w:tr>
      <w:tr w:rsidR="009617F5" w:rsidRPr="009617F5" w14:paraId="62A5E595" w14:textId="77777777" w:rsidTr="00286F7D">
        <w:trPr>
          <w:trHeight w:val="255"/>
        </w:trPr>
        <w:tc>
          <w:tcPr>
            <w:tcW w:w="883" w:type="dxa"/>
            <w:shd w:val="clear" w:color="auto" w:fill="auto"/>
            <w:vAlign w:val="center"/>
          </w:tcPr>
          <w:p w14:paraId="67A155D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8Z-26</w:t>
            </w:r>
          </w:p>
        </w:tc>
        <w:tc>
          <w:tcPr>
            <w:tcW w:w="2343" w:type="dxa"/>
            <w:shd w:val="clear" w:color="auto" w:fill="auto"/>
            <w:noWrap/>
            <w:vAlign w:val="center"/>
          </w:tcPr>
          <w:p w14:paraId="336656CC"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781C8D19" w14:textId="77777777" w:rsidR="009617F5" w:rsidRPr="009617F5" w:rsidRDefault="009617F5" w:rsidP="00286F7D">
            <w:pPr>
              <w:rPr>
                <w:rFonts w:ascii="Arial" w:hAnsi="Arial" w:cs="Arial"/>
                <w:sz w:val="14"/>
                <w:szCs w:val="16"/>
              </w:rPr>
            </w:pPr>
            <w:r w:rsidRPr="009617F5">
              <w:rPr>
                <w:rFonts w:ascii="Arial" w:hAnsi="Arial" w:cs="Arial"/>
                <w:sz w:val="14"/>
                <w:szCs w:val="16"/>
              </w:rPr>
              <w:t>Horní Oldřichov</w:t>
            </w:r>
          </w:p>
        </w:tc>
        <w:tc>
          <w:tcPr>
            <w:tcW w:w="1408" w:type="dxa"/>
            <w:shd w:val="clear" w:color="auto" w:fill="auto"/>
            <w:vAlign w:val="center"/>
          </w:tcPr>
          <w:p w14:paraId="7A5DF2BD" w14:textId="77777777" w:rsidR="009617F5" w:rsidRPr="009617F5" w:rsidRDefault="009617F5" w:rsidP="00286F7D">
            <w:pPr>
              <w:rPr>
                <w:rFonts w:ascii="Arial" w:hAnsi="Arial" w:cs="Arial"/>
                <w:sz w:val="14"/>
                <w:szCs w:val="16"/>
              </w:rPr>
            </w:pPr>
            <w:r w:rsidRPr="009617F5">
              <w:rPr>
                <w:rFonts w:ascii="Arial" w:hAnsi="Arial" w:cs="Arial"/>
                <w:sz w:val="14"/>
                <w:szCs w:val="16"/>
              </w:rPr>
              <w:t>1041/1</w:t>
            </w:r>
          </w:p>
        </w:tc>
        <w:tc>
          <w:tcPr>
            <w:tcW w:w="861" w:type="dxa"/>
            <w:shd w:val="clear" w:color="auto" w:fill="auto"/>
            <w:noWrap/>
            <w:vAlign w:val="center"/>
          </w:tcPr>
          <w:p w14:paraId="013623D7"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897</w:t>
            </w:r>
          </w:p>
        </w:tc>
        <w:tc>
          <w:tcPr>
            <w:tcW w:w="1843" w:type="dxa"/>
            <w:shd w:val="clear" w:color="auto" w:fill="auto"/>
            <w:noWrap/>
            <w:vAlign w:val="center"/>
          </w:tcPr>
          <w:p w14:paraId="1509A73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2E6137C9"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zástavba proluky mezi zastavěným územím, st. ochrany , st. ochrany 5</w:t>
            </w:r>
          </w:p>
        </w:tc>
      </w:tr>
      <w:tr w:rsidR="009617F5" w:rsidRPr="009617F5" w14:paraId="119C38BE" w14:textId="77777777" w:rsidTr="00286F7D">
        <w:trPr>
          <w:trHeight w:val="255"/>
        </w:trPr>
        <w:tc>
          <w:tcPr>
            <w:tcW w:w="883" w:type="dxa"/>
            <w:shd w:val="clear" w:color="auto" w:fill="auto"/>
            <w:vAlign w:val="center"/>
          </w:tcPr>
          <w:p w14:paraId="1165793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8Z-30</w:t>
            </w:r>
          </w:p>
        </w:tc>
        <w:tc>
          <w:tcPr>
            <w:tcW w:w="2343" w:type="dxa"/>
            <w:shd w:val="clear" w:color="auto" w:fill="auto"/>
            <w:noWrap/>
            <w:vAlign w:val="center"/>
          </w:tcPr>
          <w:p w14:paraId="7CE8A465"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Plochy výroby a skladování</w:t>
            </w:r>
          </w:p>
        </w:tc>
        <w:tc>
          <w:tcPr>
            <w:tcW w:w="1701" w:type="dxa"/>
            <w:shd w:val="clear" w:color="auto" w:fill="auto"/>
            <w:noWrap/>
            <w:vAlign w:val="center"/>
          </w:tcPr>
          <w:p w14:paraId="03F7C057" w14:textId="77777777" w:rsidR="009617F5" w:rsidRPr="009617F5" w:rsidRDefault="009617F5" w:rsidP="00286F7D">
            <w:pPr>
              <w:rPr>
                <w:rFonts w:ascii="Arial" w:hAnsi="Arial" w:cs="Arial"/>
                <w:sz w:val="14"/>
                <w:szCs w:val="16"/>
              </w:rPr>
            </w:pPr>
            <w:r w:rsidRPr="009617F5">
              <w:rPr>
                <w:rFonts w:ascii="Arial" w:hAnsi="Arial" w:cs="Arial"/>
                <w:sz w:val="14"/>
                <w:szCs w:val="16"/>
              </w:rPr>
              <w:t>Křešice u Děčína</w:t>
            </w:r>
          </w:p>
        </w:tc>
        <w:tc>
          <w:tcPr>
            <w:tcW w:w="1408" w:type="dxa"/>
            <w:shd w:val="clear" w:color="auto" w:fill="auto"/>
            <w:vAlign w:val="center"/>
          </w:tcPr>
          <w:p w14:paraId="529A70A4" w14:textId="77777777" w:rsidR="009617F5" w:rsidRPr="009617F5" w:rsidRDefault="009617F5" w:rsidP="00286F7D">
            <w:pPr>
              <w:rPr>
                <w:rFonts w:ascii="Arial" w:hAnsi="Arial" w:cs="Arial"/>
                <w:sz w:val="14"/>
                <w:szCs w:val="16"/>
              </w:rPr>
            </w:pPr>
            <w:r w:rsidRPr="009617F5">
              <w:rPr>
                <w:rFonts w:ascii="Arial" w:hAnsi="Arial" w:cs="Arial"/>
                <w:sz w:val="14"/>
                <w:szCs w:val="16"/>
              </w:rPr>
              <w:t>129/1, 129/2</w:t>
            </w:r>
          </w:p>
        </w:tc>
        <w:tc>
          <w:tcPr>
            <w:tcW w:w="861" w:type="dxa"/>
            <w:shd w:val="clear" w:color="auto" w:fill="auto"/>
            <w:noWrap/>
            <w:vAlign w:val="center"/>
          </w:tcPr>
          <w:p w14:paraId="09E035C6"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fldChar w:fldCharType="begin"/>
            </w:r>
            <w:r w:rsidRPr="009617F5">
              <w:rPr>
                <w:rFonts w:ascii="Arial" w:hAnsi="Arial" w:cs="Arial"/>
                <w:sz w:val="14"/>
                <w:szCs w:val="16"/>
              </w:rPr>
              <w:instrText xml:space="preserve"> =SUM(ABOVE) </w:instrText>
            </w:r>
            <w:r w:rsidRPr="009617F5">
              <w:rPr>
                <w:rFonts w:ascii="Arial" w:hAnsi="Arial" w:cs="Arial"/>
                <w:sz w:val="14"/>
                <w:szCs w:val="16"/>
              </w:rPr>
              <w:fldChar w:fldCharType="separate"/>
            </w:r>
            <w:r w:rsidRPr="009617F5">
              <w:rPr>
                <w:rFonts w:ascii="Arial" w:hAnsi="Arial" w:cs="Arial"/>
                <w:noProof/>
                <w:sz w:val="14"/>
                <w:szCs w:val="16"/>
              </w:rPr>
              <w:t>713</w:t>
            </w:r>
            <w:r w:rsidRPr="009617F5">
              <w:rPr>
                <w:rFonts w:ascii="Arial" w:hAnsi="Arial" w:cs="Arial"/>
                <w:sz w:val="14"/>
                <w:szCs w:val="16"/>
              </w:rPr>
              <w:fldChar w:fldCharType="end"/>
            </w:r>
          </w:p>
        </w:tc>
        <w:tc>
          <w:tcPr>
            <w:tcW w:w="1843" w:type="dxa"/>
            <w:shd w:val="clear" w:color="auto" w:fill="auto"/>
            <w:noWrap/>
            <w:vAlign w:val="center"/>
          </w:tcPr>
          <w:p w14:paraId="797B9982"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přestavbová plocha </w:t>
            </w:r>
          </w:p>
        </w:tc>
        <w:tc>
          <w:tcPr>
            <w:tcW w:w="6095" w:type="dxa"/>
            <w:shd w:val="clear" w:color="auto" w:fill="auto"/>
            <w:vAlign w:val="center"/>
          </w:tcPr>
          <w:p w14:paraId="15BD135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zastavěné území. st. ochrany 5</w:t>
            </w:r>
          </w:p>
        </w:tc>
      </w:tr>
      <w:tr w:rsidR="009617F5" w:rsidRPr="009617F5" w14:paraId="3D1314D2" w14:textId="77777777" w:rsidTr="00286F7D">
        <w:trPr>
          <w:trHeight w:val="255"/>
        </w:trPr>
        <w:tc>
          <w:tcPr>
            <w:tcW w:w="883" w:type="dxa"/>
            <w:shd w:val="clear" w:color="auto" w:fill="auto"/>
            <w:vAlign w:val="center"/>
          </w:tcPr>
          <w:p w14:paraId="31398AB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8Z-31</w:t>
            </w:r>
          </w:p>
        </w:tc>
        <w:tc>
          <w:tcPr>
            <w:tcW w:w="2343" w:type="dxa"/>
            <w:shd w:val="clear" w:color="auto" w:fill="auto"/>
            <w:noWrap/>
            <w:vAlign w:val="center"/>
          </w:tcPr>
          <w:p w14:paraId="078B897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0F246A4D" w14:textId="77777777" w:rsidR="009617F5" w:rsidRPr="009617F5" w:rsidRDefault="009617F5" w:rsidP="00286F7D">
            <w:pPr>
              <w:rPr>
                <w:rFonts w:ascii="Arial" w:hAnsi="Arial" w:cs="Arial"/>
                <w:sz w:val="14"/>
                <w:szCs w:val="16"/>
              </w:rPr>
            </w:pPr>
            <w:r w:rsidRPr="009617F5">
              <w:rPr>
                <w:rFonts w:ascii="Arial" w:hAnsi="Arial" w:cs="Arial"/>
                <w:sz w:val="14"/>
                <w:szCs w:val="16"/>
              </w:rPr>
              <w:t>Podmokly</w:t>
            </w:r>
          </w:p>
        </w:tc>
        <w:tc>
          <w:tcPr>
            <w:tcW w:w="1408" w:type="dxa"/>
            <w:shd w:val="clear" w:color="auto" w:fill="auto"/>
            <w:vAlign w:val="center"/>
          </w:tcPr>
          <w:p w14:paraId="030ED2EF" w14:textId="77777777" w:rsidR="009617F5" w:rsidRPr="009617F5" w:rsidRDefault="009617F5" w:rsidP="00286F7D">
            <w:pPr>
              <w:rPr>
                <w:rFonts w:ascii="Arial" w:hAnsi="Arial" w:cs="Arial"/>
                <w:sz w:val="14"/>
                <w:szCs w:val="16"/>
              </w:rPr>
            </w:pPr>
            <w:r w:rsidRPr="009617F5">
              <w:rPr>
                <w:rFonts w:ascii="Arial" w:hAnsi="Arial" w:cs="Arial"/>
                <w:sz w:val="14"/>
                <w:szCs w:val="16"/>
              </w:rPr>
              <w:t>2842</w:t>
            </w:r>
          </w:p>
        </w:tc>
        <w:tc>
          <w:tcPr>
            <w:tcW w:w="861" w:type="dxa"/>
            <w:shd w:val="clear" w:color="auto" w:fill="auto"/>
            <w:noWrap/>
            <w:vAlign w:val="center"/>
          </w:tcPr>
          <w:p w14:paraId="6ABECED2"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1693</w:t>
            </w:r>
          </w:p>
        </w:tc>
        <w:tc>
          <w:tcPr>
            <w:tcW w:w="1843" w:type="dxa"/>
            <w:shd w:val="clear" w:color="auto" w:fill="auto"/>
            <w:noWrap/>
            <w:vAlign w:val="center"/>
          </w:tcPr>
          <w:p w14:paraId="351150BE"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přestavbová plocha </w:t>
            </w:r>
          </w:p>
        </w:tc>
        <w:tc>
          <w:tcPr>
            <w:tcW w:w="6095" w:type="dxa"/>
            <w:shd w:val="clear" w:color="auto" w:fill="auto"/>
            <w:vAlign w:val="center"/>
          </w:tcPr>
          <w:p w14:paraId="74535C9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v zastavěném území, st. ochrany 2</w:t>
            </w:r>
          </w:p>
        </w:tc>
      </w:tr>
      <w:tr w:rsidR="009617F5" w:rsidRPr="009617F5" w14:paraId="69CDD43D" w14:textId="77777777" w:rsidTr="00286F7D">
        <w:trPr>
          <w:trHeight w:val="255"/>
        </w:trPr>
        <w:tc>
          <w:tcPr>
            <w:tcW w:w="883" w:type="dxa"/>
            <w:shd w:val="clear" w:color="auto" w:fill="auto"/>
            <w:vAlign w:val="center"/>
          </w:tcPr>
          <w:p w14:paraId="201296BB"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8Z-32</w:t>
            </w:r>
          </w:p>
        </w:tc>
        <w:tc>
          <w:tcPr>
            <w:tcW w:w="2343" w:type="dxa"/>
            <w:shd w:val="clear" w:color="auto" w:fill="auto"/>
            <w:noWrap/>
            <w:vAlign w:val="center"/>
          </w:tcPr>
          <w:p w14:paraId="042D40A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Plochy výroby a skladování</w:t>
            </w:r>
          </w:p>
        </w:tc>
        <w:tc>
          <w:tcPr>
            <w:tcW w:w="1701" w:type="dxa"/>
            <w:shd w:val="clear" w:color="auto" w:fill="auto"/>
            <w:noWrap/>
            <w:vAlign w:val="center"/>
          </w:tcPr>
          <w:p w14:paraId="571518E9" w14:textId="77777777" w:rsidR="009617F5" w:rsidRPr="009617F5" w:rsidRDefault="009617F5" w:rsidP="00286F7D">
            <w:pPr>
              <w:rPr>
                <w:rFonts w:ascii="Arial" w:hAnsi="Arial" w:cs="Arial"/>
                <w:sz w:val="14"/>
                <w:szCs w:val="16"/>
              </w:rPr>
            </w:pPr>
            <w:r w:rsidRPr="009617F5">
              <w:rPr>
                <w:rFonts w:ascii="Arial" w:hAnsi="Arial" w:cs="Arial"/>
                <w:sz w:val="14"/>
                <w:szCs w:val="16"/>
              </w:rPr>
              <w:t>Podmokly</w:t>
            </w:r>
          </w:p>
        </w:tc>
        <w:tc>
          <w:tcPr>
            <w:tcW w:w="1408" w:type="dxa"/>
            <w:shd w:val="clear" w:color="auto" w:fill="auto"/>
            <w:vAlign w:val="center"/>
          </w:tcPr>
          <w:p w14:paraId="5F6973DD" w14:textId="77777777" w:rsidR="009617F5" w:rsidRPr="009617F5" w:rsidRDefault="009617F5" w:rsidP="00286F7D">
            <w:pPr>
              <w:rPr>
                <w:rFonts w:ascii="Arial" w:hAnsi="Arial" w:cs="Arial"/>
                <w:sz w:val="14"/>
                <w:szCs w:val="16"/>
              </w:rPr>
            </w:pPr>
            <w:r w:rsidRPr="009617F5">
              <w:rPr>
                <w:rFonts w:ascii="Arial" w:hAnsi="Arial" w:cs="Arial"/>
                <w:sz w:val="14"/>
                <w:szCs w:val="16"/>
              </w:rPr>
              <w:t>3147/1, /2</w:t>
            </w:r>
          </w:p>
        </w:tc>
        <w:tc>
          <w:tcPr>
            <w:tcW w:w="861" w:type="dxa"/>
            <w:shd w:val="clear" w:color="auto" w:fill="auto"/>
            <w:noWrap/>
            <w:vAlign w:val="center"/>
          </w:tcPr>
          <w:p w14:paraId="6B8EE197"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2672</w:t>
            </w:r>
          </w:p>
        </w:tc>
        <w:tc>
          <w:tcPr>
            <w:tcW w:w="1843" w:type="dxa"/>
            <w:shd w:val="clear" w:color="auto" w:fill="auto"/>
            <w:noWrap/>
            <w:vAlign w:val="center"/>
          </w:tcPr>
          <w:p w14:paraId="637144CE"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přestavbová plocha </w:t>
            </w:r>
          </w:p>
        </w:tc>
        <w:tc>
          <w:tcPr>
            <w:tcW w:w="6095" w:type="dxa"/>
            <w:shd w:val="clear" w:color="auto" w:fill="auto"/>
            <w:vAlign w:val="center"/>
          </w:tcPr>
          <w:p w14:paraId="0B6982D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zastavěné území, nezemědělská plocha</w:t>
            </w:r>
          </w:p>
        </w:tc>
      </w:tr>
      <w:tr w:rsidR="009617F5" w:rsidRPr="009617F5" w14:paraId="0813613E" w14:textId="77777777" w:rsidTr="00286F7D">
        <w:trPr>
          <w:trHeight w:val="255"/>
        </w:trPr>
        <w:tc>
          <w:tcPr>
            <w:tcW w:w="883" w:type="dxa"/>
            <w:shd w:val="clear" w:color="auto" w:fill="auto"/>
            <w:vAlign w:val="center"/>
          </w:tcPr>
          <w:p w14:paraId="18540958"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8Z-33a</w:t>
            </w:r>
          </w:p>
        </w:tc>
        <w:tc>
          <w:tcPr>
            <w:tcW w:w="2343" w:type="dxa"/>
            <w:shd w:val="clear" w:color="auto" w:fill="auto"/>
            <w:noWrap/>
            <w:vAlign w:val="center"/>
          </w:tcPr>
          <w:p w14:paraId="6AF73EFF"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2A38A829" w14:textId="77777777" w:rsidR="009617F5" w:rsidRPr="009617F5" w:rsidRDefault="009617F5" w:rsidP="00286F7D">
            <w:pPr>
              <w:rPr>
                <w:rFonts w:ascii="Arial" w:hAnsi="Arial" w:cs="Arial"/>
                <w:sz w:val="14"/>
                <w:szCs w:val="16"/>
              </w:rPr>
            </w:pPr>
            <w:r w:rsidRPr="009617F5">
              <w:rPr>
                <w:rFonts w:ascii="Arial" w:hAnsi="Arial" w:cs="Arial"/>
                <w:sz w:val="14"/>
                <w:szCs w:val="16"/>
              </w:rPr>
              <w:t>Podmokly</w:t>
            </w:r>
          </w:p>
        </w:tc>
        <w:tc>
          <w:tcPr>
            <w:tcW w:w="1408" w:type="dxa"/>
            <w:shd w:val="clear" w:color="auto" w:fill="auto"/>
            <w:vAlign w:val="center"/>
          </w:tcPr>
          <w:p w14:paraId="5A97F98B" w14:textId="77777777" w:rsidR="009617F5" w:rsidRPr="009617F5" w:rsidRDefault="009617F5" w:rsidP="00286F7D">
            <w:pPr>
              <w:rPr>
                <w:rFonts w:ascii="Arial" w:hAnsi="Arial" w:cs="Arial"/>
                <w:sz w:val="14"/>
                <w:szCs w:val="16"/>
              </w:rPr>
            </w:pPr>
            <w:r w:rsidRPr="009617F5">
              <w:rPr>
                <w:rFonts w:ascii="Arial" w:hAnsi="Arial" w:cs="Arial"/>
                <w:sz w:val="14"/>
                <w:szCs w:val="16"/>
              </w:rPr>
              <w:t>3155/26, 3155/27</w:t>
            </w:r>
          </w:p>
        </w:tc>
        <w:tc>
          <w:tcPr>
            <w:tcW w:w="861" w:type="dxa"/>
            <w:shd w:val="clear" w:color="auto" w:fill="auto"/>
            <w:noWrap/>
            <w:vAlign w:val="center"/>
          </w:tcPr>
          <w:p w14:paraId="134D42BC"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fldChar w:fldCharType="begin"/>
            </w:r>
            <w:r w:rsidRPr="009617F5">
              <w:rPr>
                <w:rFonts w:ascii="Arial" w:hAnsi="Arial" w:cs="Arial"/>
                <w:sz w:val="14"/>
                <w:szCs w:val="16"/>
              </w:rPr>
              <w:instrText xml:space="preserve"> =SUM(ABOVE) </w:instrText>
            </w:r>
            <w:r w:rsidRPr="009617F5">
              <w:rPr>
                <w:rFonts w:ascii="Arial" w:hAnsi="Arial" w:cs="Arial"/>
                <w:sz w:val="14"/>
                <w:szCs w:val="16"/>
              </w:rPr>
              <w:fldChar w:fldCharType="separate"/>
            </w:r>
            <w:r w:rsidRPr="009617F5">
              <w:rPr>
                <w:rFonts w:ascii="Arial" w:hAnsi="Arial" w:cs="Arial"/>
                <w:sz w:val="14"/>
                <w:szCs w:val="16"/>
              </w:rPr>
              <w:t>1473</w:t>
            </w:r>
            <w:r w:rsidRPr="009617F5">
              <w:rPr>
                <w:rFonts w:ascii="Arial" w:hAnsi="Arial" w:cs="Arial"/>
                <w:sz w:val="14"/>
                <w:szCs w:val="16"/>
              </w:rPr>
              <w:fldChar w:fldCharType="end"/>
            </w:r>
          </w:p>
        </w:tc>
        <w:tc>
          <w:tcPr>
            <w:tcW w:w="1843" w:type="dxa"/>
            <w:shd w:val="clear" w:color="auto" w:fill="auto"/>
            <w:noWrap/>
            <w:vAlign w:val="center"/>
          </w:tcPr>
          <w:p w14:paraId="1605D5B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78E51995" w14:textId="77777777" w:rsidR="009617F5" w:rsidRPr="009617F5" w:rsidRDefault="009617F5" w:rsidP="00286F7D">
            <w:pPr>
              <w:rPr>
                <w:rFonts w:ascii="Arial" w:hAnsi="Arial" w:cs="Arial"/>
                <w:sz w:val="14"/>
                <w:szCs w:val="16"/>
              </w:rPr>
            </w:pPr>
            <w:r w:rsidRPr="009617F5">
              <w:rPr>
                <w:rFonts w:ascii="Arial" w:hAnsi="Arial" w:cs="Arial"/>
                <w:sz w:val="14"/>
                <w:szCs w:val="16"/>
              </w:rPr>
              <w:t>zastavěné území, nezemědělská plocha</w:t>
            </w:r>
          </w:p>
        </w:tc>
      </w:tr>
      <w:tr w:rsidR="009617F5" w:rsidRPr="009617F5" w14:paraId="508B75A3" w14:textId="77777777" w:rsidTr="00286F7D">
        <w:trPr>
          <w:trHeight w:val="255"/>
        </w:trPr>
        <w:tc>
          <w:tcPr>
            <w:tcW w:w="883" w:type="dxa"/>
            <w:shd w:val="clear" w:color="auto" w:fill="auto"/>
            <w:vAlign w:val="center"/>
          </w:tcPr>
          <w:p w14:paraId="6A864197"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8Z-33b</w:t>
            </w:r>
          </w:p>
        </w:tc>
        <w:tc>
          <w:tcPr>
            <w:tcW w:w="2343" w:type="dxa"/>
            <w:shd w:val="clear" w:color="auto" w:fill="auto"/>
            <w:noWrap/>
            <w:vAlign w:val="center"/>
          </w:tcPr>
          <w:p w14:paraId="3B8F354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7FFC4640" w14:textId="77777777" w:rsidR="009617F5" w:rsidRPr="009617F5" w:rsidRDefault="009617F5" w:rsidP="00286F7D">
            <w:pPr>
              <w:rPr>
                <w:rFonts w:ascii="Arial" w:hAnsi="Arial" w:cs="Arial"/>
                <w:sz w:val="14"/>
                <w:szCs w:val="16"/>
              </w:rPr>
            </w:pPr>
            <w:r w:rsidRPr="009617F5">
              <w:rPr>
                <w:rFonts w:ascii="Arial" w:hAnsi="Arial" w:cs="Arial"/>
                <w:sz w:val="14"/>
                <w:szCs w:val="16"/>
              </w:rPr>
              <w:t>Podmokly</w:t>
            </w:r>
          </w:p>
        </w:tc>
        <w:tc>
          <w:tcPr>
            <w:tcW w:w="1408" w:type="dxa"/>
            <w:shd w:val="clear" w:color="auto" w:fill="auto"/>
            <w:vAlign w:val="center"/>
          </w:tcPr>
          <w:p w14:paraId="0C1FF472" w14:textId="77777777" w:rsidR="009617F5" w:rsidRPr="009617F5" w:rsidRDefault="009617F5" w:rsidP="00286F7D">
            <w:pPr>
              <w:rPr>
                <w:rFonts w:ascii="Arial" w:hAnsi="Arial" w:cs="Arial"/>
                <w:sz w:val="14"/>
                <w:szCs w:val="16"/>
              </w:rPr>
            </w:pPr>
            <w:r w:rsidRPr="009617F5">
              <w:rPr>
                <w:rFonts w:ascii="Arial" w:hAnsi="Arial" w:cs="Arial"/>
                <w:sz w:val="14"/>
                <w:szCs w:val="16"/>
              </w:rPr>
              <w:t>3155/29</w:t>
            </w:r>
          </w:p>
        </w:tc>
        <w:tc>
          <w:tcPr>
            <w:tcW w:w="861" w:type="dxa"/>
            <w:shd w:val="clear" w:color="auto" w:fill="auto"/>
            <w:noWrap/>
            <w:vAlign w:val="center"/>
          </w:tcPr>
          <w:p w14:paraId="40F1822B"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875</w:t>
            </w:r>
          </w:p>
        </w:tc>
        <w:tc>
          <w:tcPr>
            <w:tcW w:w="1843" w:type="dxa"/>
            <w:shd w:val="clear" w:color="auto" w:fill="auto"/>
            <w:noWrap/>
            <w:vAlign w:val="center"/>
          </w:tcPr>
          <w:p w14:paraId="0C1B93C6"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zastavitelná plocha </w:t>
            </w:r>
          </w:p>
        </w:tc>
        <w:tc>
          <w:tcPr>
            <w:tcW w:w="6095" w:type="dxa"/>
            <w:shd w:val="clear" w:color="auto" w:fill="auto"/>
            <w:vAlign w:val="center"/>
          </w:tcPr>
          <w:p w14:paraId="1900D8D7" w14:textId="77777777" w:rsidR="009617F5" w:rsidRPr="009617F5" w:rsidRDefault="009617F5" w:rsidP="00286F7D">
            <w:pPr>
              <w:rPr>
                <w:rFonts w:ascii="Arial" w:hAnsi="Arial" w:cs="Arial"/>
                <w:sz w:val="14"/>
                <w:szCs w:val="16"/>
              </w:rPr>
            </w:pPr>
            <w:r w:rsidRPr="009617F5">
              <w:rPr>
                <w:rFonts w:ascii="Arial" w:hAnsi="Arial" w:cs="Arial"/>
                <w:sz w:val="14"/>
                <w:szCs w:val="16"/>
              </w:rPr>
              <w:t>zastavěné území, nezemědělská plocha</w:t>
            </w:r>
          </w:p>
        </w:tc>
      </w:tr>
      <w:tr w:rsidR="009617F5" w:rsidRPr="009617F5" w14:paraId="46E3B1A2" w14:textId="77777777" w:rsidTr="00286F7D">
        <w:trPr>
          <w:trHeight w:val="255"/>
        </w:trPr>
        <w:tc>
          <w:tcPr>
            <w:tcW w:w="883" w:type="dxa"/>
            <w:shd w:val="clear" w:color="auto" w:fill="auto"/>
            <w:vAlign w:val="center"/>
          </w:tcPr>
          <w:p w14:paraId="112CDDA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8Z-33c</w:t>
            </w:r>
          </w:p>
        </w:tc>
        <w:tc>
          <w:tcPr>
            <w:tcW w:w="2343" w:type="dxa"/>
            <w:shd w:val="clear" w:color="auto" w:fill="auto"/>
            <w:noWrap/>
            <w:vAlign w:val="center"/>
          </w:tcPr>
          <w:p w14:paraId="013F6D84"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79591660" w14:textId="77777777" w:rsidR="009617F5" w:rsidRPr="009617F5" w:rsidRDefault="009617F5" w:rsidP="00286F7D">
            <w:pPr>
              <w:rPr>
                <w:rFonts w:ascii="Arial" w:hAnsi="Arial" w:cs="Arial"/>
                <w:sz w:val="14"/>
                <w:szCs w:val="16"/>
              </w:rPr>
            </w:pPr>
            <w:r w:rsidRPr="009617F5">
              <w:rPr>
                <w:rFonts w:ascii="Arial" w:hAnsi="Arial" w:cs="Arial"/>
                <w:sz w:val="14"/>
                <w:szCs w:val="16"/>
              </w:rPr>
              <w:t>Podmokly</w:t>
            </w:r>
          </w:p>
        </w:tc>
        <w:tc>
          <w:tcPr>
            <w:tcW w:w="1408" w:type="dxa"/>
            <w:shd w:val="clear" w:color="auto" w:fill="auto"/>
            <w:vAlign w:val="center"/>
          </w:tcPr>
          <w:p w14:paraId="69BC4E45" w14:textId="77777777" w:rsidR="009617F5" w:rsidRPr="009617F5" w:rsidRDefault="009617F5" w:rsidP="00286F7D">
            <w:pPr>
              <w:rPr>
                <w:rFonts w:ascii="Arial" w:hAnsi="Arial" w:cs="Arial"/>
                <w:sz w:val="14"/>
                <w:szCs w:val="16"/>
              </w:rPr>
            </w:pPr>
            <w:r w:rsidRPr="009617F5">
              <w:rPr>
                <w:rFonts w:ascii="Arial" w:hAnsi="Arial" w:cs="Arial"/>
                <w:sz w:val="14"/>
                <w:szCs w:val="16"/>
              </w:rPr>
              <w:t>3155/31, 3155/32</w:t>
            </w:r>
          </w:p>
        </w:tc>
        <w:tc>
          <w:tcPr>
            <w:tcW w:w="861" w:type="dxa"/>
            <w:shd w:val="clear" w:color="auto" w:fill="auto"/>
            <w:noWrap/>
            <w:vAlign w:val="center"/>
          </w:tcPr>
          <w:p w14:paraId="781399EF"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fldChar w:fldCharType="begin"/>
            </w:r>
            <w:r w:rsidRPr="009617F5">
              <w:rPr>
                <w:rFonts w:ascii="Arial" w:hAnsi="Arial" w:cs="Arial"/>
                <w:sz w:val="14"/>
                <w:szCs w:val="16"/>
              </w:rPr>
              <w:instrText xml:space="preserve"> =SUM(ABOVE) </w:instrText>
            </w:r>
            <w:r w:rsidRPr="009617F5">
              <w:rPr>
                <w:rFonts w:ascii="Arial" w:hAnsi="Arial" w:cs="Arial"/>
                <w:sz w:val="14"/>
                <w:szCs w:val="16"/>
              </w:rPr>
              <w:fldChar w:fldCharType="separate"/>
            </w:r>
            <w:r w:rsidRPr="009617F5">
              <w:rPr>
                <w:rFonts w:ascii="Arial" w:hAnsi="Arial" w:cs="Arial"/>
                <w:noProof/>
                <w:sz w:val="14"/>
                <w:szCs w:val="16"/>
              </w:rPr>
              <w:t>1639</w:t>
            </w:r>
            <w:r w:rsidRPr="009617F5">
              <w:rPr>
                <w:rFonts w:ascii="Arial" w:hAnsi="Arial" w:cs="Arial"/>
                <w:sz w:val="14"/>
                <w:szCs w:val="16"/>
              </w:rPr>
              <w:fldChar w:fldCharType="end"/>
            </w:r>
          </w:p>
        </w:tc>
        <w:tc>
          <w:tcPr>
            <w:tcW w:w="1843" w:type="dxa"/>
            <w:shd w:val="clear" w:color="auto" w:fill="auto"/>
            <w:noWrap/>
            <w:vAlign w:val="center"/>
          </w:tcPr>
          <w:p w14:paraId="2305631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zastavitelná plocha </w:t>
            </w:r>
          </w:p>
        </w:tc>
        <w:tc>
          <w:tcPr>
            <w:tcW w:w="6095" w:type="dxa"/>
            <w:shd w:val="clear" w:color="auto" w:fill="auto"/>
            <w:vAlign w:val="center"/>
          </w:tcPr>
          <w:p w14:paraId="20B7D143" w14:textId="77777777" w:rsidR="009617F5" w:rsidRPr="009617F5" w:rsidRDefault="009617F5" w:rsidP="00286F7D">
            <w:pPr>
              <w:rPr>
                <w:rFonts w:ascii="Arial" w:hAnsi="Arial" w:cs="Arial"/>
                <w:sz w:val="14"/>
                <w:szCs w:val="16"/>
              </w:rPr>
            </w:pPr>
            <w:r w:rsidRPr="009617F5">
              <w:rPr>
                <w:rFonts w:ascii="Arial" w:hAnsi="Arial" w:cs="Arial"/>
                <w:sz w:val="14"/>
                <w:szCs w:val="16"/>
              </w:rPr>
              <w:t>zastavěné území, nezemědělská plocha</w:t>
            </w:r>
          </w:p>
        </w:tc>
      </w:tr>
      <w:tr w:rsidR="009617F5" w:rsidRPr="009617F5" w14:paraId="76083977" w14:textId="77777777" w:rsidTr="00286F7D">
        <w:trPr>
          <w:trHeight w:val="300"/>
        </w:trPr>
        <w:tc>
          <w:tcPr>
            <w:tcW w:w="883" w:type="dxa"/>
            <w:shd w:val="clear" w:color="auto" w:fill="auto"/>
            <w:vAlign w:val="center"/>
          </w:tcPr>
          <w:p w14:paraId="282279D5"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8Z-34</w:t>
            </w:r>
          </w:p>
        </w:tc>
        <w:tc>
          <w:tcPr>
            <w:tcW w:w="2343" w:type="dxa"/>
            <w:shd w:val="clear" w:color="auto" w:fill="auto"/>
            <w:noWrap/>
            <w:vAlign w:val="center"/>
          </w:tcPr>
          <w:p w14:paraId="4DA89C05"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RD venkovského typu</w:t>
            </w:r>
          </w:p>
        </w:tc>
        <w:tc>
          <w:tcPr>
            <w:tcW w:w="1701" w:type="dxa"/>
            <w:shd w:val="clear" w:color="auto" w:fill="auto"/>
            <w:noWrap/>
            <w:vAlign w:val="center"/>
          </w:tcPr>
          <w:p w14:paraId="58765C22" w14:textId="77777777" w:rsidR="009617F5" w:rsidRPr="009617F5" w:rsidRDefault="009617F5" w:rsidP="00286F7D">
            <w:pPr>
              <w:rPr>
                <w:rFonts w:ascii="Arial" w:hAnsi="Arial" w:cs="Arial"/>
                <w:sz w:val="14"/>
                <w:szCs w:val="16"/>
              </w:rPr>
            </w:pPr>
            <w:r w:rsidRPr="009617F5">
              <w:rPr>
                <w:rFonts w:ascii="Arial" w:hAnsi="Arial" w:cs="Arial"/>
                <w:sz w:val="14"/>
                <w:szCs w:val="16"/>
              </w:rPr>
              <w:t>Prostřední Žleb</w:t>
            </w:r>
          </w:p>
        </w:tc>
        <w:tc>
          <w:tcPr>
            <w:tcW w:w="1408" w:type="dxa"/>
            <w:shd w:val="clear" w:color="auto" w:fill="auto"/>
            <w:vAlign w:val="center"/>
          </w:tcPr>
          <w:p w14:paraId="4FB968E8" w14:textId="77777777" w:rsidR="009617F5" w:rsidRPr="009617F5" w:rsidRDefault="009617F5" w:rsidP="00286F7D">
            <w:pPr>
              <w:rPr>
                <w:rFonts w:ascii="Arial" w:hAnsi="Arial" w:cs="Arial"/>
                <w:sz w:val="14"/>
                <w:szCs w:val="16"/>
              </w:rPr>
            </w:pPr>
            <w:r w:rsidRPr="009617F5">
              <w:rPr>
                <w:rFonts w:ascii="Arial" w:hAnsi="Arial" w:cs="Arial"/>
                <w:sz w:val="14"/>
                <w:szCs w:val="16"/>
              </w:rPr>
              <w:t>881/2, 884/2</w:t>
            </w:r>
          </w:p>
        </w:tc>
        <w:tc>
          <w:tcPr>
            <w:tcW w:w="861" w:type="dxa"/>
            <w:shd w:val="clear" w:color="auto" w:fill="auto"/>
            <w:noWrap/>
            <w:vAlign w:val="center"/>
          </w:tcPr>
          <w:p w14:paraId="16FA5CFB"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3749</w:t>
            </w:r>
          </w:p>
        </w:tc>
        <w:tc>
          <w:tcPr>
            <w:tcW w:w="1843" w:type="dxa"/>
            <w:shd w:val="clear" w:color="auto" w:fill="auto"/>
            <w:noWrap/>
            <w:vAlign w:val="center"/>
          </w:tcPr>
          <w:p w14:paraId="1DCDD4B7"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7C66278D"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je ze tří stran obklopená zastavěným územím a komunikací, stupeň ochrany 4</w:t>
            </w:r>
          </w:p>
        </w:tc>
      </w:tr>
      <w:tr w:rsidR="009617F5" w:rsidRPr="009617F5" w14:paraId="6C08CC46" w14:textId="77777777" w:rsidTr="00286F7D">
        <w:trPr>
          <w:trHeight w:val="255"/>
        </w:trPr>
        <w:tc>
          <w:tcPr>
            <w:tcW w:w="883" w:type="dxa"/>
            <w:shd w:val="clear" w:color="auto" w:fill="auto"/>
            <w:vAlign w:val="center"/>
          </w:tcPr>
          <w:p w14:paraId="34918424"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8Z-35</w:t>
            </w:r>
          </w:p>
        </w:tc>
        <w:tc>
          <w:tcPr>
            <w:tcW w:w="2343" w:type="dxa"/>
            <w:shd w:val="clear" w:color="auto" w:fill="auto"/>
            <w:noWrap/>
            <w:vAlign w:val="center"/>
          </w:tcPr>
          <w:p w14:paraId="4D8720EF"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54075215" w14:textId="77777777" w:rsidR="009617F5" w:rsidRPr="009617F5" w:rsidRDefault="009617F5" w:rsidP="00286F7D">
            <w:pPr>
              <w:rPr>
                <w:rFonts w:ascii="Arial" w:hAnsi="Arial" w:cs="Arial"/>
                <w:sz w:val="14"/>
                <w:szCs w:val="16"/>
              </w:rPr>
            </w:pPr>
            <w:r w:rsidRPr="009617F5">
              <w:rPr>
                <w:rFonts w:ascii="Arial" w:hAnsi="Arial" w:cs="Arial"/>
                <w:sz w:val="14"/>
                <w:szCs w:val="16"/>
              </w:rPr>
              <w:t>Vilsnice</w:t>
            </w:r>
          </w:p>
        </w:tc>
        <w:tc>
          <w:tcPr>
            <w:tcW w:w="1408" w:type="dxa"/>
            <w:shd w:val="clear" w:color="auto" w:fill="auto"/>
            <w:vAlign w:val="center"/>
          </w:tcPr>
          <w:p w14:paraId="37E4C0A1" w14:textId="77777777" w:rsidR="009617F5" w:rsidRPr="009617F5" w:rsidRDefault="009617F5" w:rsidP="00286F7D">
            <w:pPr>
              <w:rPr>
                <w:rFonts w:ascii="Arial" w:hAnsi="Arial" w:cs="Arial"/>
                <w:sz w:val="14"/>
                <w:szCs w:val="16"/>
              </w:rPr>
            </w:pPr>
            <w:r w:rsidRPr="009617F5">
              <w:rPr>
                <w:rFonts w:ascii="Arial" w:hAnsi="Arial" w:cs="Arial"/>
                <w:sz w:val="14"/>
                <w:szCs w:val="16"/>
              </w:rPr>
              <w:t>77/6</w:t>
            </w:r>
          </w:p>
        </w:tc>
        <w:tc>
          <w:tcPr>
            <w:tcW w:w="861" w:type="dxa"/>
            <w:shd w:val="clear" w:color="auto" w:fill="auto"/>
            <w:noWrap/>
            <w:vAlign w:val="center"/>
          </w:tcPr>
          <w:p w14:paraId="5DBEA186"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636</w:t>
            </w:r>
          </w:p>
        </w:tc>
        <w:tc>
          <w:tcPr>
            <w:tcW w:w="1843" w:type="dxa"/>
            <w:shd w:val="clear" w:color="auto" w:fill="auto"/>
            <w:noWrap/>
            <w:vAlign w:val="center"/>
          </w:tcPr>
          <w:p w14:paraId="754784FE"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zastavitelná plocha </w:t>
            </w:r>
          </w:p>
        </w:tc>
        <w:tc>
          <w:tcPr>
            <w:tcW w:w="6095" w:type="dxa"/>
            <w:shd w:val="clear" w:color="auto" w:fill="auto"/>
            <w:vAlign w:val="center"/>
          </w:tcPr>
          <w:p w14:paraId="53C5F304"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doplnění proluky mezi zastavitelnými plochami 6. změny ÚP, 4. st. ochrany</w:t>
            </w:r>
          </w:p>
        </w:tc>
      </w:tr>
      <w:tr w:rsidR="009617F5" w:rsidRPr="009617F5" w14:paraId="73992451" w14:textId="77777777" w:rsidTr="00286F7D">
        <w:trPr>
          <w:trHeight w:val="255"/>
        </w:trPr>
        <w:tc>
          <w:tcPr>
            <w:tcW w:w="883" w:type="dxa"/>
            <w:shd w:val="clear" w:color="auto" w:fill="auto"/>
            <w:vAlign w:val="center"/>
          </w:tcPr>
          <w:p w14:paraId="289181E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8Z-36</w:t>
            </w:r>
          </w:p>
        </w:tc>
        <w:tc>
          <w:tcPr>
            <w:tcW w:w="2343" w:type="dxa"/>
            <w:shd w:val="clear" w:color="auto" w:fill="auto"/>
            <w:noWrap/>
            <w:vAlign w:val="center"/>
          </w:tcPr>
          <w:p w14:paraId="713076A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rekreační území</w:t>
            </w:r>
          </w:p>
        </w:tc>
        <w:tc>
          <w:tcPr>
            <w:tcW w:w="1701" w:type="dxa"/>
            <w:shd w:val="clear" w:color="auto" w:fill="auto"/>
            <w:noWrap/>
            <w:vAlign w:val="center"/>
          </w:tcPr>
          <w:p w14:paraId="6B456778" w14:textId="77777777" w:rsidR="009617F5" w:rsidRPr="009617F5" w:rsidRDefault="009617F5" w:rsidP="00286F7D">
            <w:pPr>
              <w:rPr>
                <w:rFonts w:ascii="Arial" w:hAnsi="Arial" w:cs="Arial"/>
                <w:sz w:val="14"/>
                <w:szCs w:val="16"/>
              </w:rPr>
            </w:pPr>
            <w:r w:rsidRPr="009617F5">
              <w:rPr>
                <w:rFonts w:ascii="Arial" w:hAnsi="Arial" w:cs="Arial"/>
                <w:sz w:val="14"/>
                <w:szCs w:val="16"/>
              </w:rPr>
              <w:t>Boletice nad Labem</w:t>
            </w:r>
          </w:p>
        </w:tc>
        <w:tc>
          <w:tcPr>
            <w:tcW w:w="1408" w:type="dxa"/>
            <w:shd w:val="clear" w:color="auto" w:fill="auto"/>
            <w:vAlign w:val="center"/>
          </w:tcPr>
          <w:p w14:paraId="609F4F6B" w14:textId="77777777" w:rsidR="009617F5" w:rsidRPr="009617F5" w:rsidRDefault="009617F5" w:rsidP="00286F7D">
            <w:pPr>
              <w:rPr>
                <w:rFonts w:ascii="Arial" w:hAnsi="Arial" w:cs="Arial"/>
                <w:sz w:val="14"/>
                <w:szCs w:val="16"/>
              </w:rPr>
            </w:pPr>
            <w:r w:rsidRPr="009617F5">
              <w:rPr>
                <w:rFonts w:ascii="Arial" w:hAnsi="Arial" w:cs="Arial"/>
                <w:sz w:val="14"/>
                <w:szCs w:val="16"/>
              </w:rPr>
              <w:t>979/6, 979/8</w:t>
            </w:r>
          </w:p>
        </w:tc>
        <w:tc>
          <w:tcPr>
            <w:tcW w:w="861" w:type="dxa"/>
            <w:shd w:val="clear" w:color="auto" w:fill="auto"/>
            <w:noWrap/>
            <w:vAlign w:val="center"/>
          </w:tcPr>
          <w:p w14:paraId="5AB69A34"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fldChar w:fldCharType="begin"/>
            </w:r>
            <w:r w:rsidRPr="009617F5">
              <w:rPr>
                <w:rFonts w:ascii="Arial" w:hAnsi="Arial" w:cs="Arial"/>
                <w:sz w:val="14"/>
                <w:szCs w:val="16"/>
              </w:rPr>
              <w:instrText xml:space="preserve"> =SUM(ABOVE) </w:instrText>
            </w:r>
            <w:r w:rsidRPr="009617F5">
              <w:rPr>
                <w:rFonts w:ascii="Arial" w:hAnsi="Arial" w:cs="Arial"/>
                <w:sz w:val="14"/>
                <w:szCs w:val="16"/>
              </w:rPr>
              <w:fldChar w:fldCharType="separate"/>
            </w:r>
            <w:r w:rsidRPr="009617F5">
              <w:rPr>
                <w:rFonts w:ascii="Arial" w:hAnsi="Arial" w:cs="Arial"/>
                <w:noProof/>
                <w:sz w:val="14"/>
                <w:szCs w:val="16"/>
              </w:rPr>
              <w:t>1202</w:t>
            </w:r>
            <w:r w:rsidRPr="009617F5">
              <w:rPr>
                <w:rFonts w:ascii="Arial" w:hAnsi="Arial" w:cs="Arial"/>
                <w:sz w:val="14"/>
                <w:szCs w:val="16"/>
              </w:rPr>
              <w:fldChar w:fldCharType="end"/>
            </w:r>
          </w:p>
        </w:tc>
        <w:tc>
          <w:tcPr>
            <w:tcW w:w="1843" w:type="dxa"/>
            <w:shd w:val="clear" w:color="auto" w:fill="auto"/>
            <w:noWrap/>
            <w:vAlign w:val="center"/>
          </w:tcPr>
          <w:p w14:paraId="2A46B108"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75024836"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vklíněná mezi zastavěné a zastavitelné území (proluka) st. ochrany 2</w:t>
            </w:r>
          </w:p>
        </w:tc>
      </w:tr>
      <w:tr w:rsidR="009617F5" w:rsidRPr="009617F5" w14:paraId="1B2E67D9" w14:textId="77777777" w:rsidTr="00286F7D">
        <w:trPr>
          <w:trHeight w:val="300"/>
        </w:trPr>
        <w:tc>
          <w:tcPr>
            <w:tcW w:w="883" w:type="dxa"/>
            <w:shd w:val="clear" w:color="auto" w:fill="auto"/>
            <w:vAlign w:val="center"/>
          </w:tcPr>
          <w:p w14:paraId="55133C6C"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8Z-37</w:t>
            </w:r>
          </w:p>
        </w:tc>
        <w:tc>
          <w:tcPr>
            <w:tcW w:w="2343" w:type="dxa"/>
            <w:shd w:val="clear" w:color="auto" w:fill="auto"/>
            <w:noWrap/>
            <w:vAlign w:val="center"/>
          </w:tcPr>
          <w:p w14:paraId="5E01E4F5"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smíšená obytná</w:t>
            </w:r>
          </w:p>
        </w:tc>
        <w:tc>
          <w:tcPr>
            <w:tcW w:w="1701" w:type="dxa"/>
            <w:shd w:val="clear" w:color="auto" w:fill="auto"/>
            <w:noWrap/>
            <w:vAlign w:val="center"/>
          </w:tcPr>
          <w:p w14:paraId="09B97029" w14:textId="77777777" w:rsidR="009617F5" w:rsidRPr="009617F5" w:rsidRDefault="009617F5" w:rsidP="00286F7D">
            <w:pPr>
              <w:rPr>
                <w:rFonts w:ascii="Arial" w:hAnsi="Arial" w:cs="Arial"/>
                <w:sz w:val="14"/>
                <w:szCs w:val="16"/>
              </w:rPr>
            </w:pPr>
            <w:r w:rsidRPr="009617F5">
              <w:rPr>
                <w:rFonts w:ascii="Arial" w:hAnsi="Arial" w:cs="Arial"/>
                <w:sz w:val="14"/>
                <w:szCs w:val="16"/>
              </w:rPr>
              <w:t xml:space="preserve">Děčín </w:t>
            </w:r>
          </w:p>
        </w:tc>
        <w:tc>
          <w:tcPr>
            <w:tcW w:w="1408" w:type="dxa"/>
            <w:shd w:val="clear" w:color="auto" w:fill="auto"/>
            <w:vAlign w:val="center"/>
          </w:tcPr>
          <w:p w14:paraId="2A10909D" w14:textId="77777777" w:rsidR="009617F5" w:rsidRPr="009617F5" w:rsidRDefault="009617F5" w:rsidP="00286F7D">
            <w:pPr>
              <w:rPr>
                <w:rFonts w:ascii="Arial" w:hAnsi="Arial" w:cs="Arial"/>
                <w:sz w:val="14"/>
                <w:szCs w:val="16"/>
              </w:rPr>
            </w:pPr>
            <w:r w:rsidRPr="009617F5">
              <w:rPr>
                <w:rFonts w:ascii="Arial" w:hAnsi="Arial" w:cs="Arial"/>
                <w:sz w:val="14"/>
                <w:szCs w:val="16"/>
              </w:rPr>
              <w:t>305/1, 306, 307/1, 307/2</w:t>
            </w:r>
          </w:p>
        </w:tc>
        <w:tc>
          <w:tcPr>
            <w:tcW w:w="861" w:type="dxa"/>
            <w:shd w:val="clear" w:color="auto" w:fill="auto"/>
            <w:noWrap/>
            <w:vAlign w:val="center"/>
          </w:tcPr>
          <w:p w14:paraId="5888A7F5"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6975</w:t>
            </w:r>
          </w:p>
        </w:tc>
        <w:tc>
          <w:tcPr>
            <w:tcW w:w="1843" w:type="dxa"/>
            <w:shd w:val="clear" w:color="auto" w:fill="auto"/>
            <w:noWrap/>
            <w:vAlign w:val="center"/>
          </w:tcPr>
          <w:p w14:paraId="0DA0427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přestavbová plocha</w:t>
            </w:r>
          </w:p>
        </w:tc>
        <w:tc>
          <w:tcPr>
            <w:tcW w:w="6095" w:type="dxa"/>
            <w:shd w:val="clear" w:color="auto" w:fill="auto"/>
            <w:vAlign w:val="center"/>
          </w:tcPr>
          <w:p w14:paraId="582193C2"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zastavěné území, nezemědělská plocha</w:t>
            </w:r>
          </w:p>
        </w:tc>
      </w:tr>
      <w:tr w:rsidR="009617F5" w:rsidRPr="009617F5" w14:paraId="761076F8" w14:textId="77777777" w:rsidTr="00286F7D">
        <w:trPr>
          <w:trHeight w:val="255"/>
        </w:trPr>
        <w:tc>
          <w:tcPr>
            <w:tcW w:w="883" w:type="dxa"/>
            <w:shd w:val="clear" w:color="auto" w:fill="auto"/>
            <w:vAlign w:val="center"/>
          </w:tcPr>
          <w:p w14:paraId="5E52B8A9"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8Z-40x</w:t>
            </w:r>
          </w:p>
        </w:tc>
        <w:tc>
          <w:tcPr>
            <w:tcW w:w="2343" w:type="dxa"/>
            <w:shd w:val="clear" w:color="auto" w:fill="auto"/>
            <w:noWrap/>
            <w:vAlign w:val="center"/>
          </w:tcPr>
          <w:p w14:paraId="26831A84"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0E9CFBBE" w14:textId="77777777" w:rsidR="009617F5" w:rsidRPr="009617F5" w:rsidRDefault="009617F5" w:rsidP="00286F7D">
            <w:pPr>
              <w:rPr>
                <w:rFonts w:ascii="Arial" w:hAnsi="Arial" w:cs="Arial"/>
                <w:sz w:val="14"/>
                <w:szCs w:val="16"/>
              </w:rPr>
            </w:pPr>
            <w:r w:rsidRPr="009617F5">
              <w:rPr>
                <w:rFonts w:ascii="Arial" w:hAnsi="Arial" w:cs="Arial"/>
                <w:bCs/>
                <w:sz w:val="14"/>
                <w:szCs w:val="16"/>
              </w:rPr>
              <w:t>Horní Oldřichov</w:t>
            </w:r>
          </w:p>
        </w:tc>
        <w:tc>
          <w:tcPr>
            <w:tcW w:w="1408" w:type="dxa"/>
            <w:shd w:val="clear" w:color="auto" w:fill="auto"/>
            <w:vAlign w:val="center"/>
          </w:tcPr>
          <w:p w14:paraId="37726DEF" w14:textId="77777777" w:rsidR="009617F5" w:rsidRPr="009617F5" w:rsidRDefault="009617F5" w:rsidP="00286F7D">
            <w:pPr>
              <w:rPr>
                <w:rFonts w:ascii="Arial" w:hAnsi="Arial" w:cs="Arial"/>
                <w:sz w:val="14"/>
                <w:szCs w:val="16"/>
              </w:rPr>
            </w:pPr>
            <w:r w:rsidRPr="009617F5">
              <w:rPr>
                <w:rFonts w:ascii="Arial" w:hAnsi="Arial" w:cs="Arial"/>
                <w:sz w:val="14"/>
                <w:szCs w:val="16"/>
              </w:rPr>
              <w:t>899/58</w:t>
            </w:r>
          </w:p>
        </w:tc>
        <w:tc>
          <w:tcPr>
            <w:tcW w:w="861" w:type="dxa"/>
            <w:shd w:val="clear" w:color="auto" w:fill="auto"/>
            <w:noWrap/>
            <w:vAlign w:val="center"/>
          </w:tcPr>
          <w:p w14:paraId="3BF02F5C"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4824</w:t>
            </w:r>
          </w:p>
        </w:tc>
        <w:tc>
          <w:tcPr>
            <w:tcW w:w="1843" w:type="dxa"/>
            <w:shd w:val="clear" w:color="auto" w:fill="auto"/>
            <w:noWrap/>
            <w:vAlign w:val="center"/>
          </w:tcPr>
          <w:p w14:paraId="0855A57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58BA16F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vazba na zastavěné území a technickou infrastrukturu, st. ochrany 4</w:t>
            </w:r>
          </w:p>
        </w:tc>
      </w:tr>
      <w:tr w:rsidR="009617F5" w:rsidRPr="009617F5" w14:paraId="3F7F7F25" w14:textId="77777777" w:rsidTr="00286F7D">
        <w:trPr>
          <w:trHeight w:val="255"/>
        </w:trPr>
        <w:tc>
          <w:tcPr>
            <w:tcW w:w="883" w:type="dxa"/>
            <w:shd w:val="clear" w:color="auto" w:fill="auto"/>
            <w:vAlign w:val="center"/>
          </w:tcPr>
          <w:p w14:paraId="70B0F57D"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8Z-43</w:t>
            </w:r>
          </w:p>
        </w:tc>
        <w:tc>
          <w:tcPr>
            <w:tcW w:w="2343" w:type="dxa"/>
            <w:shd w:val="clear" w:color="auto" w:fill="auto"/>
            <w:noWrap/>
            <w:vAlign w:val="center"/>
          </w:tcPr>
          <w:p w14:paraId="4FC69DBE"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119E5A11" w14:textId="77777777" w:rsidR="009617F5" w:rsidRPr="009617F5" w:rsidRDefault="009617F5" w:rsidP="00286F7D">
            <w:pPr>
              <w:rPr>
                <w:rFonts w:ascii="Arial" w:hAnsi="Arial" w:cs="Arial"/>
                <w:sz w:val="14"/>
                <w:szCs w:val="16"/>
              </w:rPr>
            </w:pPr>
            <w:r w:rsidRPr="009617F5">
              <w:rPr>
                <w:rFonts w:ascii="Arial" w:hAnsi="Arial" w:cs="Arial"/>
                <w:bCs/>
                <w:sz w:val="14"/>
                <w:szCs w:val="16"/>
              </w:rPr>
              <w:t>Horní Oldřichov</w:t>
            </w:r>
          </w:p>
        </w:tc>
        <w:tc>
          <w:tcPr>
            <w:tcW w:w="1408" w:type="dxa"/>
            <w:shd w:val="clear" w:color="auto" w:fill="auto"/>
            <w:vAlign w:val="center"/>
          </w:tcPr>
          <w:p w14:paraId="02F20211" w14:textId="77777777" w:rsidR="009617F5" w:rsidRPr="009617F5" w:rsidRDefault="009617F5" w:rsidP="00286F7D">
            <w:pPr>
              <w:rPr>
                <w:rFonts w:ascii="Arial" w:hAnsi="Arial" w:cs="Arial"/>
                <w:sz w:val="14"/>
                <w:szCs w:val="16"/>
              </w:rPr>
            </w:pPr>
            <w:r w:rsidRPr="009617F5">
              <w:rPr>
                <w:rFonts w:ascii="Arial" w:hAnsi="Arial" w:cs="Arial"/>
                <w:sz w:val="14"/>
                <w:szCs w:val="16"/>
              </w:rPr>
              <w:t>1363/1</w:t>
            </w:r>
          </w:p>
        </w:tc>
        <w:tc>
          <w:tcPr>
            <w:tcW w:w="861" w:type="dxa"/>
            <w:shd w:val="clear" w:color="auto" w:fill="auto"/>
            <w:noWrap/>
            <w:vAlign w:val="center"/>
          </w:tcPr>
          <w:p w14:paraId="1945E905"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2338</w:t>
            </w:r>
          </w:p>
        </w:tc>
        <w:tc>
          <w:tcPr>
            <w:tcW w:w="1843" w:type="dxa"/>
            <w:shd w:val="clear" w:color="auto" w:fill="auto"/>
            <w:noWrap/>
            <w:vAlign w:val="center"/>
          </w:tcPr>
          <w:p w14:paraId="2A092A0E"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3C9F1F45"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vazba na zastavěné území a technickou infrastrukturu, st. ochrany 4</w:t>
            </w:r>
          </w:p>
        </w:tc>
      </w:tr>
      <w:tr w:rsidR="009617F5" w:rsidRPr="009617F5" w14:paraId="14615F36" w14:textId="77777777" w:rsidTr="00286F7D">
        <w:trPr>
          <w:trHeight w:val="255"/>
        </w:trPr>
        <w:tc>
          <w:tcPr>
            <w:tcW w:w="883" w:type="dxa"/>
            <w:shd w:val="clear" w:color="auto" w:fill="auto"/>
            <w:vAlign w:val="center"/>
          </w:tcPr>
          <w:p w14:paraId="193D898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8Z-45</w:t>
            </w:r>
          </w:p>
        </w:tc>
        <w:tc>
          <w:tcPr>
            <w:tcW w:w="2343" w:type="dxa"/>
            <w:shd w:val="clear" w:color="auto" w:fill="auto"/>
            <w:noWrap/>
            <w:vAlign w:val="center"/>
          </w:tcPr>
          <w:p w14:paraId="68D2E1A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7D26BD8B" w14:textId="77777777" w:rsidR="009617F5" w:rsidRPr="009617F5" w:rsidRDefault="009617F5" w:rsidP="00286F7D">
            <w:pPr>
              <w:rPr>
                <w:rFonts w:ascii="Arial" w:hAnsi="Arial" w:cs="Arial"/>
                <w:sz w:val="14"/>
                <w:szCs w:val="16"/>
              </w:rPr>
            </w:pPr>
            <w:r w:rsidRPr="009617F5">
              <w:rPr>
                <w:rFonts w:ascii="Arial" w:hAnsi="Arial" w:cs="Arial"/>
                <w:sz w:val="14"/>
                <w:szCs w:val="16"/>
              </w:rPr>
              <w:t>Děčín</w:t>
            </w:r>
          </w:p>
        </w:tc>
        <w:tc>
          <w:tcPr>
            <w:tcW w:w="1408" w:type="dxa"/>
            <w:shd w:val="clear" w:color="auto" w:fill="auto"/>
            <w:vAlign w:val="center"/>
          </w:tcPr>
          <w:p w14:paraId="52427874" w14:textId="77777777" w:rsidR="009617F5" w:rsidRPr="009617F5" w:rsidRDefault="009617F5" w:rsidP="00286F7D">
            <w:pPr>
              <w:rPr>
                <w:rFonts w:ascii="Arial" w:hAnsi="Arial" w:cs="Arial"/>
                <w:sz w:val="14"/>
                <w:szCs w:val="16"/>
              </w:rPr>
            </w:pPr>
            <w:r w:rsidRPr="009617F5">
              <w:rPr>
                <w:rFonts w:ascii="Arial" w:hAnsi="Arial" w:cs="Arial"/>
                <w:sz w:val="14"/>
                <w:szCs w:val="16"/>
              </w:rPr>
              <w:t>2829/16</w:t>
            </w:r>
          </w:p>
        </w:tc>
        <w:tc>
          <w:tcPr>
            <w:tcW w:w="861" w:type="dxa"/>
            <w:shd w:val="clear" w:color="auto" w:fill="auto"/>
            <w:noWrap/>
            <w:vAlign w:val="center"/>
          </w:tcPr>
          <w:p w14:paraId="5B13D6D3"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1010</w:t>
            </w:r>
          </w:p>
        </w:tc>
        <w:tc>
          <w:tcPr>
            <w:tcW w:w="1843" w:type="dxa"/>
            <w:shd w:val="clear" w:color="auto" w:fill="auto"/>
            <w:noWrap/>
            <w:vAlign w:val="center"/>
          </w:tcPr>
          <w:p w14:paraId="232550F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přestavbová plocha</w:t>
            </w:r>
          </w:p>
        </w:tc>
        <w:tc>
          <w:tcPr>
            <w:tcW w:w="6095" w:type="dxa"/>
            <w:shd w:val="clear" w:color="auto" w:fill="auto"/>
            <w:vAlign w:val="center"/>
          </w:tcPr>
          <w:p w14:paraId="699F03C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zahrádková osada, pro zem. výrobu nevhodná a nepřístupná, st. ochrany 2</w:t>
            </w:r>
          </w:p>
        </w:tc>
      </w:tr>
      <w:tr w:rsidR="009617F5" w:rsidRPr="009617F5" w14:paraId="143DF9B0" w14:textId="77777777" w:rsidTr="00286F7D">
        <w:trPr>
          <w:trHeight w:val="255"/>
        </w:trPr>
        <w:tc>
          <w:tcPr>
            <w:tcW w:w="883" w:type="dxa"/>
            <w:shd w:val="clear" w:color="auto" w:fill="auto"/>
            <w:vAlign w:val="center"/>
          </w:tcPr>
          <w:p w14:paraId="768E53A2"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8Z-46</w:t>
            </w:r>
          </w:p>
        </w:tc>
        <w:tc>
          <w:tcPr>
            <w:tcW w:w="2343" w:type="dxa"/>
            <w:shd w:val="clear" w:color="auto" w:fill="auto"/>
            <w:noWrap/>
            <w:vAlign w:val="center"/>
          </w:tcPr>
          <w:p w14:paraId="4D2B76D2"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177A31A1" w14:textId="77777777" w:rsidR="009617F5" w:rsidRPr="009617F5" w:rsidRDefault="009617F5" w:rsidP="00286F7D">
            <w:pPr>
              <w:rPr>
                <w:rFonts w:ascii="Arial" w:hAnsi="Arial" w:cs="Arial"/>
                <w:sz w:val="14"/>
                <w:szCs w:val="16"/>
              </w:rPr>
            </w:pPr>
            <w:r w:rsidRPr="009617F5">
              <w:rPr>
                <w:rFonts w:ascii="Arial" w:hAnsi="Arial" w:cs="Arial"/>
                <w:sz w:val="14"/>
                <w:szCs w:val="16"/>
              </w:rPr>
              <w:t>Chrochvice</w:t>
            </w:r>
          </w:p>
        </w:tc>
        <w:tc>
          <w:tcPr>
            <w:tcW w:w="1408" w:type="dxa"/>
            <w:shd w:val="clear" w:color="auto" w:fill="auto"/>
            <w:vAlign w:val="center"/>
          </w:tcPr>
          <w:p w14:paraId="45CEB113" w14:textId="77777777" w:rsidR="009617F5" w:rsidRPr="009617F5" w:rsidRDefault="009617F5" w:rsidP="00286F7D">
            <w:pPr>
              <w:rPr>
                <w:rFonts w:ascii="Arial" w:hAnsi="Arial" w:cs="Arial"/>
                <w:sz w:val="14"/>
                <w:szCs w:val="16"/>
              </w:rPr>
            </w:pPr>
            <w:r w:rsidRPr="009617F5">
              <w:rPr>
                <w:rFonts w:ascii="Arial" w:hAnsi="Arial" w:cs="Arial"/>
                <w:sz w:val="14"/>
                <w:szCs w:val="16"/>
              </w:rPr>
              <w:t>42/2</w:t>
            </w:r>
          </w:p>
        </w:tc>
        <w:tc>
          <w:tcPr>
            <w:tcW w:w="861" w:type="dxa"/>
            <w:shd w:val="clear" w:color="auto" w:fill="auto"/>
            <w:noWrap/>
            <w:vAlign w:val="center"/>
          </w:tcPr>
          <w:p w14:paraId="256BF999"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fldChar w:fldCharType="begin"/>
            </w:r>
            <w:r w:rsidRPr="009617F5">
              <w:rPr>
                <w:rFonts w:ascii="Arial" w:hAnsi="Arial" w:cs="Arial"/>
                <w:sz w:val="14"/>
                <w:szCs w:val="16"/>
              </w:rPr>
              <w:instrText xml:space="preserve"> =SUM(ABOVE) </w:instrText>
            </w:r>
            <w:r w:rsidRPr="009617F5">
              <w:rPr>
                <w:rFonts w:ascii="Arial" w:hAnsi="Arial" w:cs="Arial"/>
                <w:sz w:val="14"/>
                <w:szCs w:val="16"/>
              </w:rPr>
              <w:fldChar w:fldCharType="separate"/>
            </w:r>
            <w:r w:rsidRPr="009617F5">
              <w:rPr>
                <w:rFonts w:ascii="Arial" w:hAnsi="Arial" w:cs="Arial"/>
                <w:noProof/>
                <w:sz w:val="14"/>
                <w:szCs w:val="16"/>
              </w:rPr>
              <w:t>1728</w:t>
            </w:r>
            <w:r w:rsidRPr="009617F5">
              <w:rPr>
                <w:rFonts w:ascii="Arial" w:hAnsi="Arial" w:cs="Arial"/>
                <w:sz w:val="14"/>
                <w:szCs w:val="16"/>
              </w:rPr>
              <w:fldChar w:fldCharType="end"/>
            </w:r>
          </w:p>
        </w:tc>
        <w:tc>
          <w:tcPr>
            <w:tcW w:w="1843" w:type="dxa"/>
            <w:shd w:val="clear" w:color="auto" w:fill="auto"/>
            <w:noWrap/>
            <w:vAlign w:val="center"/>
          </w:tcPr>
          <w:p w14:paraId="3A53384D"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přestavbová plocha</w:t>
            </w:r>
          </w:p>
        </w:tc>
        <w:tc>
          <w:tcPr>
            <w:tcW w:w="6095" w:type="dxa"/>
            <w:shd w:val="clear" w:color="auto" w:fill="auto"/>
            <w:vAlign w:val="center"/>
          </w:tcPr>
          <w:p w14:paraId="25A3B405"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zastavěné území, st ochrany  4</w:t>
            </w:r>
          </w:p>
        </w:tc>
      </w:tr>
      <w:tr w:rsidR="009617F5" w:rsidRPr="009617F5" w14:paraId="7D44907F" w14:textId="77777777" w:rsidTr="00286F7D">
        <w:trPr>
          <w:trHeight w:val="255"/>
        </w:trPr>
        <w:tc>
          <w:tcPr>
            <w:tcW w:w="883" w:type="dxa"/>
            <w:shd w:val="clear" w:color="auto" w:fill="auto"/>
            <w:vAlign w:val="center"/>
          </w:tcPr>
          <w:p w14:paraId="28A08E8F"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8Z-47x</w:t>
            </w:r>
          </w:p>
        </w:tc>
        <w:tc>
          <w:tcPr>
            <w:tcW w:w="2343" w:type="dxa"/>
            <w:shd w:val="clear" w:color="auto" w:fill="auto"/>
            <w:noWrap/>
            <w:vAlign w:val="center"/>
          </w:tcPr>
          <w:p w14:paraId="3289D193"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6C39D522" w14:textId="77777777" w:rsidR="009617F5" w:rsidRPr="009617F5" w:rsidRDefault="009617F5" w:rsidP="00286F7D">
            <w:pPr>
              <w:rPr>
                <w:rFonts w:ascii="Arial" w:hAnsi="Arial" w:cs="Arial"/>
                <w:sz w:val="14"/>
                <w:szCs w:val="16"/>
              </w:rPr>
            </w:pPr>
            <w:r w:rsidRPr="009617F5">
              <w:rPr>
                <w:rFonts w:ascii="Arial" w:hAnsi="Arial" w:cs="Arial"/>
                <w:sz w:val="14"/>
                <w:szCs w:val="16"/>
              </w:rPr>
              <w:t>Křešice</w:t>
            </w:r>
          </w:p>
        </w:tc>
        <w:tc>
          <w:tcPr>
            <w:tcW w:w="1408" w:type="dxa"/>
            <w:shd w:val="clear" w:color="auto" w:fill="auto"/>
            <w:vAlign w:val="center"/>
          </w:tcPr>
          <w:p w14:paraId="01B2664D" w14:textId="77777777" w:rsidR="009617F5" w:rsidRPr="009617F5" w:rsidRDefault="009617F5" w:rsidP="00286F7D">
            <w:pPr>
              <w:rPr>
                <w:rFonts w:ascii="Arial" w:hAnsi="Arial" w:cs="Arial"/>
                <w:sz w:val="14"/>
                <w:szCs w:val="16"/>
              </w:rPr>
            </w:pPr>
            <w:r w:rsidRPr="009617F5">
              <w:rPr>
                <w:rFonts w:ascii="Arial" w:hAnsi="Arial" w:cs="Arial"/>
                <w:sz w:val="14"/>
                <w:szCs w:val="16"/>
              </w:rPr>
              <w:t>379/4</w:t>
            </w:r>
          </w:p>
        </w:tc>
        <w:tc>
          <w:tcPr>
            <w:tcW w:w="861" w:type="dxa"/>
            <w:shd w:val="clear" w:color="auto" w:fill="auto"/>
            <w:noWrap/>
            <w:vAlign w:val="center"/>
          </w:tcPr>
          <w:p w14:paraId="340B4FA5"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7563</w:t>
            </w:r>
          </w:p>
        </w:tc>
        <w:tc>
          <w:tcPr>
            <w:tcW w:w="1843" w:type="dxa"/>
            <w:shd w:val="clear" w:color="auto" w:fill="auto"/>
            <w:noWrap/>
            <w:vAlign w:val="center"/>
          </w:tcPr>
          <w:p w14:paraId="30FB4536"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329AF20C"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je ze tří stran obklopená zastavěným územím, st  ochrany  4</w:t>
            </w:r>
          </w:p>
        </w:tc>
      </w:tr>
      <w:tr w:rsidR="009617F5" w:rsidRPr="009617F5" w14:paraId="362C9400" w14:textId="77777777" w:rsidTr="00286F7D">
        <w:trPr>
          <w:trHeight w:val="300"/>
        </w:trPr>
        <w:tc>
          <w:tcPr>
            <w:tcW w:w="883" w:type="dxa"/>
            <w:shd w:val="clear" w:color="auto" w:fill="auto"/>
            <w:vAlign w:val="center"/>
          </w:tcPr>
          <w:p w14:paraId="4A6845AE"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8Z-48</w:t>
            </w:r>
          </w:p>
        </w:tc>
        <w:tc>
          <w:tcPr>
            <w:tcW w:w="2343" w:type="dxa"/>
            <w:shd w:val="clear" w:color="auto" w:fill="auto"/>
            <w:noWrap/>
            <w:vAlign w:val="center"/>
          </w:tcPr>
          <w:p w14:paraId="1D4613A2"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246BE527" w14:textId="77777777" w:rsidR="009617F5" w:rsidRPr="009617F5" w:rsidRDefault="009617F5" w:rsidP="00286F7D">
            <w:pPr>
              <w:rPr>
                <w:rFonts w:ascii="Arial" w:hAnsi="Arial" w:cs="Arial"/>
                <w:sz w:val="14"/>
                <w:szCs w:val="16"/>
              </w:rPr>
            </w:pPr>
            <w:r w:rsidRPr="009617F5">
              <w:rPr>
                <w:rFonts w:ascii="Arial" w:hAnsi="Arial" w:cs="Arial"/>
                <w:bCs/>
                <w:sz w:val="14"/>
                <w:szCs w:val="16"/>
              </w:rPr>
              <w:t>Horní Oldřichov</w:t>
            </w:r>
          </w:p>
        </w:tc>
        <w:tc>
          <w:tcPr>
            <w:tcW w:w="1408" w:type="dxa"/>
            <w:shd w:val="clear" w:color="auto" w:fill="auto"/>
            <w:vAlign w:val="center"/>
          </w:tcPr>
          <w:p w14:paraId="5A42BE97" w14:textId="77777777" w:rsidR="009617F5" w:rsidRPr="009617F5" w:rsidRDefault="009617F5" w:rsidP="00286F7D">
            <w:pPr>
              <w:rPr>
                <w:rFonts w:ascii="Arial" w:hAnsi="Arial" w:cs="Arial"/>
                <w:sz w:val="14"/>
                <w:szCs w:val="16"/>
              </w:rPr>
            </w:pPr>
            <w:r w:rsidRPr="009617F5">
              <w:rPr>
                <w:rFonts w:ascii="Arial" w:hAnsi="Arial" w:cs="Arial"/>
                <w:sz w:val="14"/>
                <w:szCs w:val="16"/>
              </w:rPr>
              <w:t>1039/14, /5, 796, 880</w:t>
            </w:r>
          </w:p>
        </w:tc>
        <w:tc>
          <w:tcPr>
            <w:tcW w:w="861" w:type="dxa"/>
            <w:shd w:val="clear" w:color="auto" w:fill="auto"/>
            <w:noWrap/>
            <w:vAlign w:val="center"/>
          </w:tcPr>
          <w:p w14:paraId="4D969440"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1818</w:t>
            </w:r>
          </w:p>
        </w:tc>
        <w:tc>
          <w:tcPr>
            <w:tcW w:w="1843" w:type="dxa"/>
            <w:shd w:val="clear" w:color="auto" w:fill="auto"/>
            <w:noWrap/>
            <w:vAlign w:val="center"/>
          </w:tcPr>
          <w:p w14:paraId="24C23C95"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4A9AF818"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zastavěné území, stupeň ochrany 5</w:t>
            </w:r>
          </w:p>
        </w:tc>
      </w:tr>
      <w:tr w:rsidR="009617F5" w:rsidRPr="009617F5" w14:paraId="0F66AAE3" w14:textId="77777777" w:rsidTr="00286F7D">
        <w:trPr>
          <w:trHeight w:val="255"/>
        </w:trPr>
        <w:tc>
          <w:tcPr>
            <w:tcW w:w="883" w:type="dxa"/>
            <w:shd w:val="clear" w:color="auto" w:fill="auto"/>
            <w:vAlign w:val="center"/>
          </w:tcPr>
          <w:p w14:paraId="6736915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8Z-49</w:t>
            </w:r>
          </w:p>
        </w:tc>
        <w:tc>
          <w:tcPr>
            <w:tcW w:w="2343" w:type="dxa"/>
            <w:shd w:val="clear" w:color="auto" w:fill="auto"/>
            <w:noWrap/>
            <w:vAlign w:val="center"/>
          </w:tcPr>
          <w:p w14:paraId="33720860"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38B821F1" w14:textId="77777777" w:rsidR="009617F5" w:rsidRPr="009617F5" w:rsidRDefault="009617F5" w:rsidP="00286F7D">
            <w:pPr>
              <w:rPr>
                <w:rFonts w:ascii="Arial" w:hAnsi="Arial" w:cs="Arial"/>
                <w:sz w:val="14"/>
                <w:szCs w:val="16"/>
              </w:rPr>
            </w:pPr>
            <w:r w:rsidRPr="009617F5">
              <w:rPr>
                <w:rFonts w:ascii="Arial" w:hAnsi="Arial" w:cs="Arial"/>
                <w:bCs/>
                <w:sz w:val="14"/>
                <w:szCs w:val="16"/>
              </w:rPr>
              <w:t>Horní Oldřichov</w:t>
            </w:r>
          </w:p>
        </w:tc>
        <w:tc>
          <w:tcPr>
            <w:tcW w:w="1408" w:type="dxa"/>
            <w:shd w:val="clear" w:color="auto" w:fill="auto"/>
            <w:vAlign w:val="center"/>
          </w:tcPr>
          <w:p w14:paraId="0AFAF6F1" w14:textId="77777777" w:rsidR="009617F5" w:rsidRPr="009617F5" w:rsidRDefault="009617F5" w:rsidP="00286F7D">
            <w:pPr>
              <w:rPr>
                <w:rFonts w:ascii="Arial" w:hAnsi="Arial" w:cs="Arial"/>
                <w:sz w:val="14"/>
                <w:szCs w:val="16"/>
              </w:rPr>
            </w:pPr>
            <w:r w:rsidRPr="009617F5">
              <w:rPr>
                <w:rFonts w:ascii="Arial" w:hAnsi="Arial" w:cs="Arial"/>
                <w:sz w:val="14"/>
                <w:szCs w:val="16"/>
              </w:rPr>
              <w:t>1039/7, /8</w:t>
            </w:r>
          </w:p>
        </w:tc>
        <w:tc>
          <w:tcPr>
            <w:tcW w:w="861" w:type="dxa"/>
            <w:shd w:val="clear" w:color="auto" w:fill="auto"/>
            <w:noWrap/>
            <w:vAlign w:val="center"/>
          </w:tcPr>
          <w:p w14:paraId="58E02D9A"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fldChar w:fldCharType="begin"/>
            </w:r>
            <w:r w:rsidRPr="009617F5">
              <w:rPr>
                <w:rFonts w:ascii="Arial" w:hAnsi="Arial" w:cs="Arial"/>
                <w:sz w:val="14"/>
                <w:szCs w:val="16"/>
              </w:rPr>
              <w:instrText xml:space="preserve"> =SUM(ABOVE) </w:instrText>
            </w:r>
            <w:r w:rsidRPr="009617F5">
              <w:rPr>
                <w:rFonts w:ascii="Arial" w:hAnsi="Arial" w:cs="Arial"/>
                <w:sz w:val="14"/>
                <w:szCs w:val="16"/>
              </w:rPr>
              <w:fldChar w:fldCharType="separate"/>
            </w:r>
            <w:r w:rsidRPr="009617F5">
              <w:rPr>
                <w:rFonts w:ascii="Arial" w:hAnsi="Arial" w:cs="Arial"/>
                <w:noProof/>
                <w:sz w:val="14"/>
                <w:szCs w:val="16"/>
              </w:rPr>
              <w:t>2242</w:t>
            </w:r>
            <w:r w:rsidRPr="009617F5">
              <w:rPr>
                <w:rFonts w:ascii="Arial" w:hAnsi="Arial" w:cs="Arial"/>
                <w:sz w:val="14"/>
                <w:szCs w:val="16"/>
              </w:rPr>
              <w:fldChar w:fldCharType="end"/>
            </w:r>
          </w:p>
        </w:tc>
        <w:tc>
          <w:tcPr>
            <w:tcW w:w="1843" w:type="dxa"/>
            <w:shd w:val="clear" w:color="auto" w:fill="auto"/>
            <w:noWrap/>
            <w:vAlign w:val="center"/>
          </w:tcPr>
          <w:p w14:paraId="2B4253AC"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2A90C873"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vklíněná do proluky mimo zú, st. ochrany 5</w:t>
            </w:r>
          </w:p>
        </w:tc>
      </w:tr>
      <w:tr w:rsidR="009617F5" w:rsidRPr="009617F5" w14:paraId="59412E3D" w14:textId="77777777" w:rsidTr="00286F7D">
        <w:trPr>
          <w:trHeight w:val="255"/>
        </w:trPr>
        <w:tc>
          <w:tcPr>
            <w:tcW w:w="883" w:type="dxa"/>
            <w:shd w:val="clear" w:color="auto" w:fill="auto"/>
            <w:vAlign w:val="center"/>
          </w:tcPr>
          <w:p w14:paraId="70B68866"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8Z-50bx</w:t>
            </w:r>
          </w:p>
        </w:tc>
        <w:tc>
          <w:tcPr>
            <w:tcW w:w="2343" w:type="dxa"/>
            <w:shd w:val="clear" w:color="auto" w:fill="auto"/>
            <w:noWrap/>
            <w:vAlign w:val="center"/>
          </w:tcPr>
          <w:p w14:paraId="259BAB44"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60060D11" w14:textId="77777777" w:rsidR="009617F5" w:rsidRPr="009617F5" w:rsidRDefault="009617F5" w:rsidP="00286F7D">
            <w:pPr>
              <w:rPr>
                <w:rFonts w:ascii="Arial" w:hAnsi="Arial" w:cs="Arial"/>
                <w:sz w:val="14"/>
                <w:szCs w:val="16"/>
              </w:rPr>
            </w:pPr>
            <w:r w:rsidRPr="009617F5">
              <w:rPr>
                <w:rFonts w:ascii="Arial" w:hAnsi="Arial" w:cs="Arial"/>
                <w:bCs/>
                <w:sz w:val="14"/>
                <w:szCs w:val="16"/>
              </w:rPr>
              <w:t>Horní Oldřichov</w:t>
            </w:r>
          </w:p>
        </w:tc>
        <w:tc>
          <w:tcPr>
            <w:tcW w:w="1408" w:type="dxa"/>
            <w:shd w:val="clear" w:color="auto" w:fill="auto"/>
            <w:vAlign w:val="center"/>
          </w:tcPr>
          <w:p w14:paraId="63303C4F" w14:textId="77777777" w:rsidR="009617F5" w:rsidRPr="009617F5" w:rsidRDefault="009617F5" w:rsidP="00286F7D">
            <w:pPr>
              <w:rPr>
                <w:rFonts w:ascii="Arial" w:hAnsi="Arial" w:cs="Arial"/>
                <w:sz w:val="14"/>
                <w:szCs w:val="16"/>
              </w:rPr>
            </w:pPr>
            <w:r w:rsidRPr="009617F5">
              <w:rPr>
                <w:rFonts w:ascii="Arial" w:hAnsi="Arial" w:cs="Arial"/>
                <w:sz w:val="14"/>
                <w:szCs w:val="16"/>
              </w:rPr>
              <w:t>899/64</w:t>
            </w:r>
          </w:p>
        </w:tc>
        <w:tc>
          <w:tcPr>
            <w:tcW w:w="861" w:type="dxa"/>
            <w:shd w:val="clear" w:color="auto" w:fill="auto"/>
            <w:noWrap/>
            <w:vAlign w:val="center"/>
          </w:tcPr>
          <w:p w14:paraId="4C869B8F"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2565</w:t>
            </w:r>
          </w:p>
        </w:tc>
        <w:tc>
          <w:tcPr>
            <w:tcW w:w="1843" w:type="dxa"/>
            <w:shd w:val="clear" w:color="auto" w:fill="auto"/>
            <w:noWrap/>
            <w:vAlign w:val="center"/>
          </w:tcPr>
          <w:p w14:paraId="630A9643"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283375F6"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ze tří stran navazující na zastavěné území a zastavitelné plochy, st. ochrany 5</w:t>
            </w:r>
          </w:p>
        </w:tc>
      </w:tr>
      <w:tr w:rsidR="009617F5" w:rsidRPr="009617F5" w14:paraId="64A572A5" w14:textId="77777777" w:rsidTr="00286F7D">
        <w:trPr>
          <w:trHeight w:val="255"/>
        </w:trPr>
        <w:tc>
          <w:tcPr>
            <w:tcW w:w="883" w:type="dxa"/>
            <w:shd w:val="clear" w:color="auto" w:fill="auto"/>
            <w:vAlign w:val="center"/>
          </w:tcPr>
          <w:p w14:paraId="3497CC21"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8Z-52</w:t>
            </w:r>
          </w:p>
        </w:tc>
        <w:tc>
          <w:tcPr>
            <w:tcW w:w="2343" w:type="dxa"/>
            <w:shd w:val="clear" w:color="auto" w:fill="auto"/>
            <w:noWrap/>
            <w:vAlign w:val="center"/>
          </w:tcPr>
          <w:p w14:paraId="3E7ECC08"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216611AB" w14:textId="77777777" w:rsidR="009617F5" w:rsidRPr="009617F5" w:rsidRDefault="009617F5" w:rsidP="00286F7D">
            <w:pPr>
              <w:rPr>
                <w:rFonts w:ascii="Arial" w:hAnsi="Arial" w:cs="Arial"/>
                <w:sz w:val="14"/>
                <w:szCs w:val="16"/>
              </w:rPr>
            </w:pPr>
            <w:r w:rsidRPr="009617F5">
              <w:rPr>
                <w:rFonts w:ascii="Arial" w:hAnsi="Arial" w:cs="Arial"/>
                <w:sz w:val="14"/>
                <w:szCs w:val="16"/>
              </w:rPr>
              <w:t>Vilsnice</w:t>
            </w:r>
          </w:p>
        </w:tc>
        <w:tc>
          <w:tcPr>
            <w:tcW w:w="1408" w:type="dxa"/>
            <w:shd w:val="clear" w:color="auto" w:fill="auto"/>
            <w:vAlign w:val="center"/>
          </w:tcPr>
          <w:p w14:paraId="63C0A0E4" w14:textId="77777777" w:rsidR="009617F5" w:rsidRPr="009617F5" w:rsidRDefault="009617F5" w:rsidP="00286F7D">
            <w:pPr>
              <w:rPr>
                <w:rFonts w:ascii="Arial" w:hAnsi="Arial" w:cs="Arial"/>
                <w:sz w:val="14"/>
                <w:szCs w:val="16"/>
              </w:rPr>
            </w:pPr>
            <w:r w:rsidRPr="009617F5">
              <w:rPr>
                <w:rFonts w:ascii="Arial" w:hAnsi="Arial" w:cs="Arial"/>
                <w:sz w:val="14"/>
                <w:szCs w:val="16"/>
              </w:rPr>
              <w:t>487/2</w:t>
            </w:r>
          </w:p>
        </w:tc>
        <w:tc>
          <w:tcPr>
            <w:tcW w:w="861" w:type="dxa"/>
            <w:shd w:val="clear" w:color="auto" w:fill="auto"/>
            <w:noWrap/>
            <w:vAlign w:val="center"/>
          </w:tcPr>
          <w:p w14:paraId="6FE92783" w14:textId="77777777" w:rsidR="009617F5" w:rsidRPr="009617F5" w:rsidRDefault="009617F5" w:rsidP="00286F7D">
            <w:pPr>
              <w:overflowPunct w:val="0"/>
              <w:autoSpaceDE w:val="0"/>
              <w:autoSpaceDN w:val="0"/>
              <w:adjustRightInd w:val="0"/>
              <w:jc w:val="right"/>
              <w:textAlignment w:val="baseline"/>
              <w:rPr>
                <w:rFonts w:ascii="Arial" w:hAnsi="Arial" w:cs="Arial"/>
                <w:sz w:val="14"/>
                <w:szCs w:val="16"/>
              </w:rPr>
            </w:pPr>
            <w:r w:rsidRPr="009617F5">
              <w:rPr>
                <w:rFonts w:ascii="Arial" w:hAnsi="Arial" w:cs="Arial"/>
                <w:sz w:val="14"/>
                <w:szCs w:val="16"/>
              </w:rPr>
              <w:t>1275</w:t>
            </w:r>
          </w:p>
        </w:tc>
        <w:tc>
          <w:tcPr>
            <w:tcW w:w="1843" w:type="dxa"/>
            <w:shd w:val="clear" w:color="auto" w:fill="auto"/>
            <w:noWrap/>
            <w:vAlign w:val="center"/>
          </w:tcPr>
          <w:p w14:paraId="5E9DC0E1"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64FD4DF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5. st. ochrany odděl. od zemědělských honů strukturální zelení a vodotečí</w:t>
            </w:r>
          </w:p>
        </w:tc>
      </w:tr>
      <w:tr w:rsidR="009617F5" w:rsidRPr="009617F5" w14:paraId="5164B31F" w14:textId="77777777" w:rsidTr="00286F7D">
        <w:trPr>
          <w:trHeight w:val="255"/>
        </w:trPr>
        <w:tc>
          <w:tcPr>
            <w:tcW w:w="883" w:type="dxa"/>
            <w:shd w:val="clear" w:color="auto" w:fill="auto"/>
            <w:vAlign w:val="center"/>
          </w:tcPr>
          <w:p w14:paraId="3A2C0353" w14:textId="77777777" w:rsidR="009617F5" w:rsidRPr="009617F5" w:rsidRDefault="009617F5" w:rsidP="00286F7D">
            <w:pPr>
              <w:jc w:val="center"/>
              <w:rPr>
                <w:rFonts w:ascii="Arial" w:hAnsi="Arial" w:cs="Arial"/>
                <w:b/>
                <w:sz w:val="14"/>
                <w:szCs w:val="16"/>
              </w:rPr>
            </w:pPr>
            <w:r w:rsidRPr="009617F5">
              <w:rPr>
                <w:rFonts w:ascii="Arial" w:hAnsi="Arial" w:cs="Arial"/>
                <w:b/>
                <w:sz w:val="14"/>
                <w:szCs w:val="16"/>
              </w:rPr>
              <w:t>8Z-55x</w:t>
            </w:r>
          </w:p>
        </w:tc>
        <w:tc>
          <w:tcPr>
            <w:tcW w:w="2343" w:type="dxa"/>
            <w:shd w:val="clear" w:color="auto" w:fill="auto"/>
            <w:noWrap/>
            <w:vAlign w:val="center"/>
          </w:tcPr>
          <w:p w14:paraId="458869C2" w14:textId="77777777" w:rsidR="009617F5" w:rsidRPr="009617F5" w:rsidRDefault="009617F5" w:rsidP="00286F7D">
            <w:pPr>
              <w:rPr>
                <w:rFonts w:ascii="Arial" w:hAnsi="Arial" w:cs="Arial"/>
                <w:sz w:val="14"/>
                <w:szCs w:val="16"/>
              </w:rPr>
            </w:pPr>
            <w:r w:rsidRPr="009617F5">
              <w:rPr>
                <w:rFonts w:ascii="Arial" w:hAnsi="Arial" w:cs="Arial"/>
                <w:sz w:val="14"/>
                <w:szCs w:val="16"/>
              </w:rPr>
              <w:t xml:space="preserve">Plochy RD městského typu  </w:t>
            </w:r>
          </w:p>
        </w:tc>
        <w:tc>
          <w:tcPr>
            <w:tcW w:w="1701" w:type="dxa"/>
            <w:shd w:val="clear" w:color="auto" w:fill="auto"/>
            <w:noWrap/>
            <w:vAlign w:val="center"/>
          </w:tcPr>
          <w:p w14:paraId="1D4E12D1" w14:textId="77777777" w:rsidR="009617F5" w:rsidRPr="009617F5" w:rsidRDefault="009617F5" w:rsidP="00286F7D">
            <w:pPr>
              <w:rPr>
                <w:rFonts w:ascii="Arial" w:hAnsi="Arial" w:cs="Arial"/>
                <w:sz w:val="14"/>
                <w:szCs w:val="16"/>
              </w:rPr>
            </w:pPr>
            <w:r w:rsidRPr="009617F5">
              <w:rPr>
                <w:rFonts w:ascii="Arial" w:hAnsi="Arial" w:cs="Arial"/>
                <w:sz w:val="14"/>
                <w:szCs w:val="16"/>
              </w:rPr>
              <w:t>Boletice nad Labem</w:t>
            </w:r>
          </w:p>
        </w:tc>
        <w:tc>
          <w:tcPr>
            <w:tcW w:w="1408" w:type="dxa"/>
            <w:shd w:val="clear" w:color="auto" w:fill="auto"/>
            <w:vAlign w:val="center"/>
          </w:tcPr>
          <w:p w14:paraId="57349F83" w14:textId="77777777" w:rsidR="009617F5" w:rsidRPr="009617F5" w:rsidRDefault="009617F5" w:rsidP="00286F7D">
            <w:pPr>
              <w:rPr>
                <w:rFonts w:ascii="Arial" w:hAnsi="Arial" w:cs="Arial"/>
                <w:sz w:val="14"/>
                <w:szCs w:val="16"/>
              </w:rPr>
            </w:pPr>
            <w:r w:rsidRPr="009617F5">
              <w:rPr>
                <w:rFonts w:ascii="Arial" w:hAnsi="Arial" w:cs="Arial"/>
                <w:sz w:val="14"/>
                <w:szCs w:val="16"/>
              </w:rPr>
              <w:t>455/16, 455/19</w:t>
            </w:r>
          </w:p>
        </w:tc>
        <w:tc>
          <w:tcPr>
            <w:tcW w:w="861" w:type="dxa"/>
            <w:shd w:val="clear" w:color="auto" w:fill="auto"/>
            <w:noWrap/>
            <w:vAlign w:val="center"/>
          </w:tcPr>
          <w:p w14:paraId="18D8384A" w14:textId="77777777" w:rsidR="009617F5" w:rsidRPr="009617F5" w:rsidRDefault="009617F5" w:rsidP="00286F7D">
            <w:pPr>
              <w:overflowPunct w:val="0"/>
              <w:autoSpaceDE w:val="0"/>
              <w:autoSpaceDN w:val="0"/>
              <w:adjustRightInd w:val="0"/>
              <w:jc w:val="right"/>
              <w:textAlignment w:val="baseline"/>
              <w:rPr>
                <w:rFonts w:ascii="Arial" w:hAnsi="Arial" w:cs="Arial"/>
                <w:noProof/>
                <w:sz w:val="14"/>
                <w:szCs w:val="16"/>
              </w:rPr>
            </w:pPr>
            <w:r w:rsidRPr="009617F5">
              <w:rPr>
                <w:rFonts w:ascii="Arial" w:hAnsi="Arial" w:cs="Arial"/>
                <w:noProof/>
                <w:sz w:val="14"/>
                <w:szCs w:val="16"/>
              </w:rPr>
              <w:t>3207</w:t>
            </w:r>
          </w:p>
        </w:tc>
        <w:tc>
          <w:tcPr>
            <w:tcW w:w="1843" w:type="dxa"/>
            <w:shd w:val="clear" w:color="auto" w:fill="auto"/>
            <w:noWrap/>
            <w:vAlign w:val="center"/>
          </w:tcPr>
          <w:p w14:paraId="39F41E3D"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Zastavitelná plocha</w:t>
            </w:r>
          </w:p>
        </w:tc>
        <w:tc>
          <w:tcPr>
            <w:tcW w:w="6095" w:type="dxa"/>
            <w:shd w:val="clear" w:color="auto" w:fill="auto"/>
            <w:vAlign w:val="center"/>
          </w:tcPr>
          <w:p w14:paraId="6538DC34"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r w:rsidRPr="009617F5">
              <w:rPr>
                <w:rFonts w:ascii="Arial" w:hAnsi="Arial" w:cs="Arial"/>
                <w:sz w:val="14"/>
                <w:szCs w:val="16"/>
              </w:rPr>
              <w:t>plocha navazující na zastavitelné plochy 6. změny ÚP, st. ochrany 4</w:t>
            </w:r>
          </w:p>
        </w:tc>
      </w:tr>
      <w:tr w:rsidR="009617F5" w:rsidRPr="009617F5" w14:paraId="239337A4" w14:textId="77777777" w:rsidTr="00286F7D">
        <w:trPr>
          <w:trHeight w:val="255"/>
        </w:trPr>
        <w:tc>
          <w:tcPr>
            <w:tcW w:w="883" w:type="dxa"/>
            <w:shd w:val="clear" w:color="auto" w:fill="auto"/>
            <w:vAlign w:val="center"/>
          </w:tcPr>
          <w:p w14:paraId="1F388C3F" w14:textId="77777777" w:rsidR="009617F5" w:rsidRPr="009617F5" w:rsidRDefault="009617F5" w:rsidP="00286F7D">
            <w:pPr>
              <w:rPr>
                <w:rFonts w:ascii="Arial" w:hAnsi="Arial" w:cs="Arial"/>
                <w:b/>
                <w:sz w:val="14"/>
                <w:szCs w:val="16"/>
              </w:rPr>
            </w:pPr>
          </w:p>
        </w:tc>
        <w:tc>
          <w:tcPr>
            <w:tcW w:w="2343" w:type="dxa"/>
            <w:shd w:val="clear" w:color="auto" w:fill="auto"/>
            <w:noWrap/>
            <w:vAlign w:val="center"/>
          </w:tcPr>
          <w:p w14:paraId="57691A83"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p>
        </w:tc>
        <w:tc>
          <w:tcPr>
            <w:tcW w:w="1701" w:type="dxa"/>
            <w:shd w:val="clear" w:color="auto" w:fill="auto"/>
            <w:noWrap/>
            <w:vAlign w:val="center"/>
          </w:tcPr>
          <w:p w14:paraId="762AF452" w14:textId="77777777" w:rsidR="009617F5" w:rsidRPr="009617F5" w:rsidRDefault="009617F5" w:rsidP="00286F7D">
            <w:pPr>
              <w:overflowPunct w:val="0"/>
              <w:autoSpaceDE w:val="0"/>
              <w:autoSpaceDN w:val="0"/>
              <w:adjustRightInd w:val="0"/>
              <w:textAlignment w:val="baseline"/>
              <w:rPr>
                <w:rFonts w:ascii="Arial" w:hAnsi="Arial" w:cs="Arial"/>
                <w:b/>
                <w:sz w:val="14"/>
                <w:szCs w:val="16"/>
              </w:rPr>
            </w:pPr>
            <w:r w:rsidRPr="009617F5">
              <w:rPr>
                <w:rFonts w:ascii="Arial" w:hAnsi="Arial" w:cs="Arial"/>
                <w:b/>
                <w:sz w:val="14"/>
                <w:szCs w:val="16"/>
              </w:rPr>
              <w:t>celkem</w:t>
            </w:r>
          </w:p>
        </w:tc>
        <w:tc>
          <w:tcPr>
            <w:tcW w:w="1408" w:type="dxa"/>
            <w:shd w:val="clear" w:color="auto" w:fill="auto"/>
          </w:tcPr>
          <w:p w14:paraId="68EBDABC" w14:textId="77777777" w:rsidR="009617F5" w:rsidRPr="009617F5" w:rsidRDefault="009617F5" w:rsidP="00286F7D">
            <w:pPr>
              <w:rPr>
                <w:rFonts w:ascii="Arial" w:hAnsi="Arial" w:cs="Arial"/>
                <w:sz w:val="14"/>
                <w:szCs w:val="16"/>
              </w:rPr>
            </w:pPr>
          </w:p>
        </w:tc>
        <w:tc>
          <w:tcPr>
            <w:tcW w:w="861" w:type="dxa"/>
            <w:shd w:val="clear" w:color="auto" w:fill="auto"/>
            <w:noWrap/>
            <w:vAlign w:val="center"/>
          </w:tcPr>
          <w:p w14:paraId="3B333C55" w14:textId="77777777" w:rsidR="009617F5" w:rsidRPr="009617F5" w:rsidRDefault="009617F5" w:rsidP="00286F7D">
            <w:pPr>
              <w:overflowPunct w:val="0"/>
              <w:autoSpaceDE w:val="0"/>
              <w:autoSpaceDN w:val="0"/>
              <w:adjustRightInd w:val="0"/>
              <w:jc w:val="right"/>
              <w:textAlignment w:val="baseline"/>
              <w:rPr>
                <w:rFonts w:ascii="Arial" w:hAnsi="Arial" w:cs="Arial"/>
                <w:b/>
                <w:sz w:val="14"/>
                <w:szCs w:val="16"/>
              </w:rPr>
            </w:pPr>
            <w:r w:rsidRPr="009617F5">
              <w:rPr>
                <w:rFonts w:ascii="Arial" w:hAnsi="Arial" w:cs="Arial"/>
                <w:b/>
                <w:sz w:val="14"/>
                <w:szCs w:val="16"/>
              </w:rPr>
              <w:fldChar w:fldCharType="begin"/>
            </w:r>
            <w:r w:rsidRPr="009617F5">
              <w:rPr>
                <w:rFonts w:ascii="Arial" w:hAnsi="Arial" w:cs="Arial"/>
                <w:b/>
                <w:sz w:val="14"/>
                <w:szCs w:val="16"/>
              </w:rPr>
              <w:instrText xml:space="preserve"> =SUM(ABOVE) </w:instrText>
            </w:r>
            <w:r w:rsidRPr="009617F5">
              <w:rPr>
                <w:rFonts w:ascii="Arial" w:hAnsi="Arial" w:cs="Arial"/>
                <w:b/>
                <w:sz w:val="14"/>
                <w:szCs w:val="16"/>
              </w:rPr>
              <w:fldChar w:fldCharType="separate"/>
            </w:r>
            <w:r w:rsidRPr="009617F5">
              <w:rPr>
                <w:rFonts w:ascii="Arial" w:hAnsi="Arial" w:cs="Arial"/>
                <w:b/>
                <w:noProof/>
                <w:sz w:val="14"/>
                <w:szCs w:val="16"/>
              </w:rPr>
              <w:t>114728</w:t>
            </w:r>
            <w:r w:rsidRPr="009617F5">
              <w:rPr>
                <w:rFonts w:ascii="Arial" w:hAnsi="Arial" w:cs="Arial"/>
                <w:b/>
                <w:sz w:val="14"/>
                <w:szCs w:val="16"/>
              </w:rPr>
              <w:fldChar w:fldCharType="end"/>
            </w:r>
          </w:p>
        </w:tc>
        <w:tc>
          <w:tcPr>
            <w:tcW w:w="1843" w:type="dxa"/>
            <w:shd w:val="clear" w:color="auto" w:fill="auto"/>
            <w:noWrap/>
            <w:vAlign w:val="center"/>
          </w:tcPr>
          <w:p w14:paraId="379E6125"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p>
        </w:tc>
        <w:tc>
          <w:tcPr>
            <w:tcW w:w="6095" w:type="dxa"/>
            <w:shd w:val="clear" w:color="auto" w:fill="auto"/>
            <w:vAlign w:val="center"/>
          </w:tcPr>
          <w:p w14:paraId="5201A13B" w14:textId="77777777" w:rsidR="009617F5" w:rsidRPr="009617F5" w:rsidRDefault="009617F5" w:rsidP="00286F7D">
            <w:pPr>
              <w:overflowPunct w:val="0"/>
              <w:autoSpaceDE w:val="0"/>
              <w:autoSpaceDN w:val="0"/>
              <w:adjustRightInd w:val="0"/>
              <w:textAlignment w:val="baseline"/>
              <w:rPr>
                <w:rFonts w:ascii="Arial" w:hAnsi="Arial" w:cs="Arial"/>
                <w:sz w:val="14"/>
                <w:szCs w:val="16"/>
              </w:rPr>
            </w:pPr>
          </w:p>
        </w:tc>
      </w:tr>
    </w:tbl>
    <w:p w14:paraId="61CA54EF" w14:textId="77777777" w:rsidR="009617F5" w:rsidRPr="009617F5" w:rsidRDefault="009617F5" w:rsidP="009617F5">
      <w:pPr>
        <w:rPr>
          <w:rFonts w:ascii="Arial" w:hAnsi="Arial" w:cs="Arial"/>
          <w:color w:val="FF0000"/>
          <w:sz w:val="18"/>
          <w:szCs w:val="20"/>
        </w:rPr>
      </w:pPr>
      <w:r w:rsidRPr="009617F5">
        <w:rPr>
          <w:rFonts w:ascii="Arial" w:hAnsi="Arial" w:cs="Arial"/>
          <w:b/>
          <w:color w:val="FF0000"/>
          <w:sz w:val="18"/>
          <w:szCs w:val="20"/>
        </w:rPr>
        <w:t>Poznámka:</w:t>
      </w:r>
      <w:r w:rsidRPr="009617F5">
        <w:rPr>
          <w:rFonts w:ascii="Arial" w:hAnsi="Arial" w:cs="Arial"/>
          <w:color w:val="FF0000"/>
          <w:sz w:val="18"/>
          <w:szCs w:val="20"/>
        </w:rPr>
        <w:t xml:space="preserve"> Plochy 8Z  -4, -5, -9. -10, -14, -21, -22, -24, -27, -28, -29, -39, -41, -42, -44, -51 plochy na základě společného projednání vyloučeny.</w:t>
      </w:r>
    </w:p>
    <w:p w14:paraId="2A29442B" w14:textId="77777777" w:rsidR="009617F5" w:rsidRPr="009617F5" w:rsidRDefault="009617F5" w:rsidP="009617F5">
      <w:pPr>
        <w:rPr>
          <w:rFonts w:ascii="Arial" w:hAnsi="Arial" w:cs="Arial"/>
          <w:color w:val="FF0000"/>
          <w:sz w:val="18"/>
          <w:szCs w:val="20"/>
        </w:rPr>
      </w:pPr>
      <w:r w:rsidRPr="009617F5">
        <w:rPr>
          <w:rFonts w:ascii="Arial" w:hAnsi="Arial" w:cs="Arial"/>
          <w:color w:val="FF0000"/>
          <w:sz w:val="18"/>
          <w:szCs w:val="20"/>
        </w:rPr>
        <w:t xml:space="preserve"> * plochy rozšířeny o neobhospodařovatelné parcely, </w:t>
      </w:r>
      <w:r w:rsidRPr="009617F5">
        <w:rPr>
          <w:rFonts w:ascii="Arial" w:hAnsi="Arial" w:cs="Arial"/>
          <w:b/>
          <w:color w:val="FF0000"/>
          <w:sz w:val="18"/>
          <w:szCs w:val="20"/>
        </w:rPr>
        <w:t>x</w:t>
      </w:r>
      <w:r w:rsidRPr="009617F5">
        <w:rPr>
          <w:rFonts w:ascii="Arial" w:hAnsi="Arial" w:cs="Arial"/>
          <w:color w:val="FF0000"/>
          <w:sz w:val="18"/>
          <w:szCs w:val="20"/>
        </w:rPr>
        <w:t xml:space="preserve"> – plochy zmenšeny, 8z-53, 8Z-54 vypuštěny po veřejném projednání na základě žádosti vlastníka</w:t>
      </w:r>
    </w:p>
    <w:p w14:paraId="0C28FC51" w14:textId="77777777" w:rsidR="009617F5" w:rsidRPr="009617F5" w:rsidRDefault="009617F5" w:rsidP="009617F5">
      <w:pPr>
        <w:rPr>
          <w:rFonts w:ascii="Arial" w:hAnsi="Arial" w:cs="Arial"/>
          <w:bCs/>
          <w:color w:val="FF0000"/>
          <w:sz w:val="22"/>
        </w:rPr>
        <w:sectPr w:rsidR="009617F5" w:rsidRPr="009617F5" w:rsidSect="00286F7D">
          <w:pgSz w:w="16840" w:h="11907" w:orient="landscape" w:code="9"/>
          <w:pgMar w:top="1440" w:right="1440" w:bottom="1797" w:left="1440" w:header="709" w:footer="1134" w:gutter="0"/>
          <w:cols w:space="708"/>
          <w:titlePg/>
          <w:docGrid w:linePitch="326"/>
        </w:sectPr>
      </w:pPr>
    </w:p>
    <w:p w14:paraId="1B6468F9" w14:textId="77777777" w:rsidR="009617F5" w:rsidRPr="009617F5" w:rsidRDefault="009617F5" w:rsidP="009617F5">
      <w:pPr>
        <w:pStyle w:val="Nadpis3"/>
        <w:rPr>
          <w:rFonts w:ascii="Arial" w:hAnsi="Arial" w:cs="Arial"/>
          <w:color w:val="FF0000"/>
        </w:rPr>
      </w:pPr>
      <w:bookmarkStart w:id="36" w:name="_Toc354376734"/>
      <w:bookmarkStart w:id="37" w:name="_Toc358720210"/>
      <w:r w:rsidRPr="009617F5">
        <w:rPr>
          <w:rFonts w:ascii="Arial" w:hAnsi="Arial" w:cs="Arial"/>
          <w:color w:val="FF0000"/>
        </w:rPr>
        <w:lastRenderedPageBreak/>
        <w:t>1.3. Údaje o druhu pozemků ZPF určených k zástavbě</w:t>
      </w:r>
      <w:bookmarkEnd w:id="36"/>
      <w:bookmarkEnd w:id="37"/>
      <w:r w:rsidRPr="009617F5">
        <w:rPr>
          <w:rFonts w:ascii="Arial" w:hAnsi="Arial" w:cs="Arial"/>
          <w:color w:val="FF0000"/>
        </w:rPr>
        <w:t xml:space="preserve">  </w:t>
      </w:r>
    </w:p>
    <w:p w14:paraId="761BDF1D" w14:textId="77777777" w:rsidR="009617F5" w:rsidRPr="009617F5" w:rsidRDefault="009617F5" w:rsidP="009617F5">
      <w:pPr>
        <w:rPr>
          <w:rFonts w:ascii="Arial" w:hAnsi="Arial" w:cs="Arial"/>
          <w:color w:val="FF0000"/>
          <w:sz w:val="18"/>
          <w:szCs w:val="20"/>
        </w:rPr>
      </w:pPr>
    </w:p>
    <w:p w14:paraId="264B4064"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 xml:space="preserve">K zástavbě jsou navrhovány zejména trvalé travní porosty a orná půda. Méně jsou navrhovány zahrady. </w:t>
      </w:r>
    </w:p>
    <w:tbl>
      <w:tblPr>
        <w:tblW w:w="7794" w:type="dxa"/>
        <w:tblInd w:w="779" w:type="dxa"/>
        <w:tblLayout w:type="fixed"/>
        <w:tblCellMar>
          <w:left w:w="70" w:type="dxa"/>
          <w:right w:w="70" w:type="dxa"/>
        </w:tblCellMar>
        <w:tblLook w:val="04A0" w:firstRow="1" w:lastRow="0" w:firstColumn="1" w:lastColumn="0" w:noHBand="0" w:noVBand="1"/>
      </w:tblPr>
      <w:tblGrid>
        <w:gridCol w:w="1701"/>
        <w:gridCol w:w="1701"/>
        <w:gridCol w:w="1558"/>
        <w:gridCol w:w="2834"/>
      </w:tblGrid>
      <w:tr w:rsidR="009617F5" w:rsidRPr="009617F5" w14:paraId="536BD8BC" w14:textId="77777777" w:rsidTr="00286F7D">
        <w:trPr>
          <w:trHeight w:val="706"/>
          <w:tblHeader/>
        </w:trPr>
        <w:tc>
          <w:tcPr>
            <w:tcW w:w="1701" w:type="dxa"/>
            <w:tcBorders>
              <w:top w:val="single" w:sz="8" w:space="0" w:color="auto"/>
              <w:left w:val="single" w:sz="8" w:space="0" w:color="auto"/>
              <w:bottom w:val="nil"/>
              <w:right w:val="single" w:sz="4" w:space="0" w:color="auto"/>
            </w:tcBorders>
            <w:shd w:val="clear" w:color="auto" w:fill="D9D9D9"/>
            <w:vAlign w:val="center"/>
          </w:tcPr>
          <w:p w14:paraId="2FF202B0" w14:textId="77777777" w:rsidR="009617F5" w:rsidRPr="009617F5" w:rsidRDefault="009617F5" w:rsidP="00286F7D">
            <w:pPr>
              <w:jc w:val="center"/>
              <w:rPr>
                <w:rFonts w:ascii="Arial" w:hAnsi="Arial" w:cs="Arial"/>
                <w:b/>
                <w:bCs/>
                <w:color w:val="FF0000"/>
                <w:sz w:val="22"/>
              </w:rPr>
            </w:pPr>
            <w:r w:rsidRPr="009617F5">
              <w:rPr>
                <w:rFonts w:ascii="Arial" w:hAnsi="Arial" w:cs="Arial"/>
                <w:b/>
                <w:bCs/>
                <w:color w:val="FF0000"/>
                <w:sz w:val="22"/>
              </w:rPr>
              <w:t>kultura</w:t>
            </w:r>
          </w:p>
        </w:tc>
        <w:tc>
          <w:tcPr>
            <w:tcW w:w="1701" w:type="dxa"/>
            <w:tcBorders>
              <w:top w:val="single" w:sz="8" w:space="0" w:color="auto"/>
              <w:left w:val="single" w:sz="8" w:space="0" w:color="auto"/>
              <w:bottom w:val="nil"/>
              <w:right w:val="single" w:sz="8" w:space="0" w:color="auto"/>
            </w:tcBorders>
            <w:shd w:val="clear" w:color="auto" w:fill="D9D9D9"/>
            <w:vAlign w:val="center"/>
          </w:tcPr>
          <w:p w14:paraId="725DE2EA" w14:textId="77777777" w:rsidR="009617F5" w:rsidRPr="009617F5" w:rsidRDefault="009617F5" w:rsidP="00286F7D">
            <w:pPr>
              <w:jc w:val="center"/>
              <w:rPr>
                <w:rFonts w:ascii="Arial" w:hAnsi="Arial" w:cs="Arial"/>
                <w:b/>
                <w:bCs/>
                <w:color w:val="FF0000"/>
                <w:sz w:val="22"/>
              </w:rPr>
            </w:pPr>
            <w:r w:rsidRPr="009617F5">
              <w:rPr>
                <w:rFonts w:ascii="Arial" w:hAnsi="Arial" w:cs="Arial"/>
                <w:b/>
                <w:bCs/>
                <w:color w:val="FF0000"/>
                <w:sz w:val="22"/>
              </w:rPr>
              <w:t>celkový zábor /m</w:t>
            </w:r>
            <w:r w:rsidRPr="009617F5">
              <w:rPr>
                <w:rFonts w:ascii="Arial" w:hAnsi="Arial" w:cs="Arial"/>
                <w:b/>
                <w:bCs/>
                <w:color w:val="FF0000"/>
                <w:sz w:val="22"/>
                <w:vertAlign w:val="superscript"/>
              </w:rPr>
              <w:t>2</w:t>
            </w:r>
            <w:r w:rsidRPr="009617F5">
              <w:rPr>
                <w:rFonts w:ascii="Arial" w:hAnsi="Arial" w:cs="Arial"/>
                <w:b/>
                <w:bCs/>
                <w:color w:val="FF0000"/>
                <w:sz w:val="22"/>
              </w:rPr>
              <w:t>/</w:t>
            </w:r>
          </w:p>
        </w:tc>
        <w:tc>
          <w:tcPr>
            <w:tcW w:w="1558" w:type="dxa"/>
            <w:tcBorders>
              <w:top w:val="single" w:sz="8" w:space="0" w:color="auto"/>
              <w:left w:val="single" w:sz="8" w:space="0" w:color="auto"/>
              <w:bottom w:val="nil"/>
              <w:right w:val="single" w:sz="8" w:space="0" w:color="auto"/>
            </w:tcBorders>
            <w:shd w:val="clear" w:color="auto" w:fill="D9D9D9"/>
            <w:vAlign w:val="center"/>
          </w:tcPr>
          <w:p w14:paraId="16D72811" w14:textId="77777777" w:rsidR="009617F5" w:rsidRPr="009617F5" w:rsidRDefault="009617F5" w:rsidP="00286F7D">
            <w:pPr>
              <w:jc w:val="center"/>
              <w:rPr>
                <w:rFonts w:ascii="Arial" w:hAnsi="Arial" w:cs="Arial"/>
                <w:b/>
                <w:bCs/>
                <w:color w:val="FF0000"/>
                <w:sz w:val="22"/>
              </w:rPr>
            </w:pPr>
            <w:r w:rsidRPr="009617F5">
              <w:rPr>
                <w:rFonts w:ascii="Arial" w:hAnsi="Arial" w:cs="Arial"/>
                <w:b/>
                <w:bCs/>
                <w:color w:val="FF0000"/>
                <w:sz w:val="22"/>
              </w:rPr>
              <w:t>uvnitř ZÚ /m</w:t>
            </w:r>
            <w:r w:rsidRPr="009617F5">
              <w:rPr>
                <w:rFonts w:ascii="Arial" w:hAnsi="Arial" w:cs="Arial"/>
                <w:b/>
                <w:bCs/>
                <w:color w:val="FF0000"/>
                <w:sz w:val="22"/>
                <w:vertAlign w:val="superscript"/>
              </w:rPr>
              <w:t>2</w:t>
            </w:r>
            <w:r w:rsidRPr="009617F5">
              <w:rPr>
                <w:rFonts w:ascii="Arial" w:hAnsi="Arial" w:cs="Arial"/>
                <w:b/>
                <w:bCs/>
                <w:color w:val="FF0000"/>
                <w:sz w:val="22"/>
              </w:rPr>
              <w:t>/</w:t>
            </w:r>
          </w:p>
        </w:tc>
        <w:tc>
          <w:tcPr>
            <w:tcW w:w="2834" w:type="dxa"/>
            <w:tcBorders>
              <w:top w:val="single" w:sz="8" w:space="0" w:color="auto"/>
              <w:left w:val="nil"/>
              <w:bottom w:val="single" w:sz="8" w:space="0" w:color="auto"/>
              <w:right w:val="single" w:sz="4" w:space="0" w:color="auto"/>
            </w:tcBorders>
            <w:shd w:val="clear" w:color="auto" w:fill="D9D9D9"/>
            <w:vAlign w:val="center"/>
          </w:tcPr>
          <w:p w14:paraId="5728CDCB" w14:textId="77777777" w:rsidR="009617F5" w:rsidRPr="009617F5" w:rsidRDefault="009617F5" w:rsidP="00286F7D">
            <w:pPr>
              <w:jc w:val="center"/>
              <w:rPr>
                <w:rFonts w:ascii="Arial" w:hAnsi="Arial" w:cs="Arial"/>
                <w:b/>
                <w:bCs/>
                <w:color w:val="FF0000"/>
                <w:sz w:val="22"/>
              </w:rPr>
            </w:pPr>
            <w:r w:rsidRPr="009617F5">
              <w:rPr>
                <w:rFonts w:ascii="Arial" w:hAnsi="Arial" w:cs="Arial"/>
                <w:b/>
                <w:bCs/>
                <w:color w:val="FF0000"/>
                <w:sz w:val="22"/>
              </w:rPr>
              <w:t>vně ZÚ /m</w:t>
            </w:r>
            <w:r w:rsidRPr="009617F5">
              <w:rPr>
                <w:rFonts w:ascii="Arial" w:hAnsi="Arial" w:cs="Arial"/>
                <w:b/>
                <w:bCs/>
                <w:color w:val="FF0000"/>
                <w:sz w:val="22"/>
                <w:vertAlign w:val="superscript"/>
              </w:rPr>
              <w:t>2</w:t>
            </w:r>
            <w:r w:rsidRPr="009617F5">
              <w:rPr>
                <w:rFonts w:ascii="Arial" w:hAnsi="Arial" w:cs="Arial"/>
                <w:b/>
                <w:bCs/>
                <w:color w:val="FF0000"/>
                <w:sz w:val="22"/>
              </w:rPr>
              <w:t>/</w:t>
            </w:r>
          </w:p>
        </w:tc>
      </w:tr>
      <w:tr w:rsidR="009617F5" w:rsidRPr="009617F5" w14:paraId="67FB9800" w14:textId="77777777" w:rsidTr="00286F7D">
        <w:trPr>
          <w:trHeight w:val="304"/>
        </w:trPr>
        <w:tc>
          <w:tcPr>
            <w:tcW w:w="1701" w:type="dxa"/>
            <w:tcBorders>
              <w:top w:val="single" w:sz="8" w:space="0" w:color="auto"/>
              <w:left w:val="single" w:sz="8" w:space="0" w:color="auto"/>
              <w:bottom w:val="nil"/>
              <w:right w:val="single" w:sz="4" w:space="0" w:color="auto"/>
            </w:tcBorders>
            <w:vAlign w:val="center"/>
          </w:tcPr>
          <w:p w14:paraId="6B668507" w14:textId="77777777" w:rsidR="009617F5" w:rsidRPr="009617F5" w:rsidRDefault="009617F5" w:rsidP="00286F7D">
            <w:pPr>
              <w:rPr>
                <w:rFonts w:ascii="Arial" w:hAnsi="Arial" w:cs="Arial"/>
                <w:color w:val="FF0000"/>
                <w:sz w:val="22"/>
              </w:rPr>
            </w:pPr>
            <w:r w:rsidRPr="009617F5">
              <w:rPr>
                <w:rFonts w:ascii="Arial" w:hAnsi="Arial" w:cs="Arial"/>
                <w:color w:val="FF0000"/>
                <w:sz w:val="22"/>
              </w:rPr>
              <w:t>orná půda</w:t>
            </w:r>
          </w:p>
        </w:tc>
        <w:tc>
          <w:tcPr>
            <w:tcW w:w="1701" w:type="dxa"/>
            <w:tcBorders>
              <w:top w:val="single" w:sz="8" w:space="0" w:color="auto"/>
              <w:left w:val="single" w:sz="8" w:space="0" w:color="auto"/>
              <w:bottom w:val="nil"/>
              <w:right w:val="single" w:sz="8" w:space="0" w:color="auto"/>
            </w:tcBorders>
            <w:vAlign w:val="center"/>
          </w:tcPr>
          <w:p w14:paraId="570A4A7D"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t>4,0051</w:t>
            </w:r>
          </w:p>
        </w:tc>
        <w:tc>
          <w:tcPr>
            <w:tcW w:w="1558" w:type="dxa"/>
            <w:tcBorders>
              <w:top w:val="single" w:sz="8" w:space="0" w:color="auto"/>
              <w:left w:val="single" w:sz="8" w:space="0" w:color="auto"/>
              <w:bottom w:val="nil"/>
              <w:right w:val="single" w:sz="8" w:space="0" w:color="auto"/>
            </w:tcBorders>
            <w:vAlign w:val="center"/>
          </w:tcPr>
          <w:p w14:paraId="40D87B72"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fldChar w:fldCharType="begin"/>
            </w:r>
            <w:r w:rsidRPr="009617F5">
              <w:rPr>
                <w:rFonts w:ascii="Arial" w:hAnsi="Arial" w:cs="Arial"/>
                <w:color w:val="FF0000"/>
                <w:sz w:val="22"/>
              </w:rPr>
              <w:instrText xml:space="preserve"> =SUM(ABOVE) </w:instrText>
            </w:r>
            <w:r w:rsidRPr="009617F5">
              <w:rPr>
                <w:rFonts w:ascii="Arial" w:hAnsi="Arial" w:cs="Arial"/>
                <w:color w:val="FF0000"/>
                <w:sz w:val="22"/>
              </w:rPr>
              <w:fldChar w:fldCharType="separate"/>
            </w:r>
            <w:r w:rsidRPr="009617F5">
              <w:rPr>
                <w:rFonts w:ascii="Arial" w:hAnsi="Arial" w:cs="Arial"/>
                <w:noProof/>
                <w:color w:val="FF0000"/>
                <w:sz w:val="22"/>
              </w:rPr>
              <w:t>0</w:t>
            </w:r>
            <w:r w:rsidRPr="009617F5">
              <w:rPr>
                <w:rFonts w:ascii="Arial" w:hAnsi="Arial" w:cs="Arial"/>
                <w:color w:val="FF0000"/>
                <w:sz w:val="22"/>
              </w:rPr>
              <w:fldChar w:fldCharType="end"/>
            </w:r>
          </w:p>
        </w:tc>
        <w:tc>
          <w:tcPr>
            <w:tcW w:w="2834" w:type="dxa"/>
            <w:tcBorders>
              <w:top w:val="single" w:sz="8" w:space="0" w:color="auto"/>
              <w:left w:val="nil"/>
              <w:bottom w:val="single" w:sz="8" w:space="0" w:color="auto"/>
              <w:right w:val="single" w:sz="4" w:space="0" w:color="auto"/>
            </w:tcBorders>
            <w:vAlign w:val="center"/>
          </w:tcPr>
          <w:p w14:paraId="4C049CAE"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t>4,0051</w:t>
            </w:r>
          </w:p>
        </w:tc>
      </w:tr>
      <w:tr w:rsidR="009617F5" w:rsidRPr="009617F5" w14:paraId="43EC895A" w14:textId="77777777" w:rsidTr="00286F7D">
        <w:trPr>
          <w:trHeight w:val="315"/>
        </w:trPr>
        <w:tc>
          <w:tcPr>
            <w:tcW w:w="1701" w:type="dxa"/>
            <w:tcBorders>
              <w:top w:val="single" w:sz="4" w:space="0" w:color="auto"/>
              <w:left w:val="single" w:sz="8" w:space="0" w:color="auto"/>
              <w:bottom w:val="single" w:sz="8" w:space="0" w:color="auto"/>
              <w:right w:val="single" w:sz="4" w:space="0" w:color="auto"/>
            </w:tcBorders>
            <w:vAlign w:val="center"/>
          </w:tcPr>
          <w:p w14:paraId="3A031B35" w14:textId="77777777" w:rsidR="009617F5" w:rsidRPr="009617F5" w:rsidRDefault="009617F5" w:rsidP="00286F7D">
            <w:pPr>
              <w:rPr>
                <w:rFonts w:ascii="Arial" w:hAnsi="Arial" w:cs="Arial"/>
                <w:color w:val="FF0000"/>
                <w:sz w:val="22"/>
              </w:rPr>
            </w:pPr>
            <w:r w:rsidRPr="009617F5">
              <w:rPr>
                <w:rFonts w:ascii="Arial" w:hAnsi="Arial" w:cs="Arial"/>
                <w:color w:val="FF0000"/>
                <w:sz w:val="22"/>
              </w:rPr>
              <w:t xml:space="preserve">zahrada </w:t>
            </w:r>
          </w:p>
        </w:tc>
        <w:tc>
          <w:tcPr>
            <w:tcW w:w="1701" w:type="dxa"/>
            <w:tcBorders>
              <w:top w:val="single" w:sz="4" w:space="0" w:color="auto"/>
              <w:left w:val="single" w:sz="8" w:space="0" w:color="auto"/>
              <w:bottom w:val="single" w:sz="8" w:space="0" w:color="auto"/>
              <w:right w:val="single" w:sz="8" w:space="0" w:color="auto"/>
            </w:tcBorders>
            <w:vAlign w:val="center"/>
          </w:tcPr>
          <w:p w14:paraId="2437869D"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t>0,8462</w:t>
            </w:r>
          </w:p>
        </w:tc>
        <w:tc>
          <w:tcPr>
            <w:tcW w:w="1558" w:type="dxa"/>
            <w:tcBorders>
              <w:top w:val="single" w:sz="4" w:space="0" w:color="auto"/>
              <w:left w:val="single" w:sz="8" w:space="0" w:color="auto"/>
              <w:bottom w:val="single" w:sz="8" w:space="0" w:color="auto"/>
              <w:right w:val="single" w:sz="8" w:space="0" w:color="auto"/>
            </w:tcBorders>
            <w:vAlign w:val="center"/>
          </w:tcPr>
          <w:p w14:paraId="0133FE05"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t>0</w:t>
            </w:r>
          </w:p>
        </w:tc>
        <w:tc>
          <w:tcPr>
            <w:tcW w:w="2834" w:type="dxa"/>
            <w:tcBorders>
              <w:top w:val="single" w:sz="4" w:space="0" w:color="auto"/>
              <w:left w:val="nil"/>
              <w:bottom w:val="single" w:sz="8" w:space="0" w:color="auto"/>
              <w:right w:val="single" w:sz="4" w:space="0" w:color="auto"/>
            </w:tcBorders>
            <w:noWrap/>
            <w:vAlign w:val="center"/>
          </w:tcPr>
          <w:p w14:paraId="42A4B625"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t>0,8462</w:t>
            </w:r>
          </w:p>
        </w:tc>
      </w:tr>
      <w:tr w:rsidR="009617F5" w:rsidRPr="009617F5" w14:paraId="5126419D" w14:textId="77777777" w:rsidTr="00286F7D">
        <w:trPr>
          <w:trHeight w:val="304"/>
        </w:trPr>
        <w:tc>
          <w:tcPr>
            <w:tcW w:w="1701" w:type="dxa"/>
            <w:tcBorders>
              <w:top w:val="single" w:sz="8" w:space="0" w:color="auto"/>
              <w:left w:val="single" w:sz="8" w:space="0" w:color="auto"/>
              <w:bottom w:val="nil"/>
              <w:right w:val="single" w:sz="4" w:space="0" w:color="auto"/>
            </w:tcBorders>
            <w:vAlign w:val="center"/>
          </w:tcPr>
          <w:p w14:paraId="645E13D1" w14:textId="77777777" w:rsidR="009617F5" w:rsidRPr="009617F5" w:rsidRDefault="009617F5" w:rsidP="00286F7D">
            <w:pPr>
              <w:rPr>
                <w:rFonts w:ascii="Arial" w:hAnsi="Arial" w:cs="Arial"/>
                <w:color w:val="FF0000"/>
                <w:sz w:val="22"/>
              </w:rPr>
            </w:pPr>
            <w:r w:rsidRPr="009617F5">
              <w:rPr>
                <w:rFonts w:ascii="Arial" w:hAnsi="Arial" w:cs="Arial"/>
                <w:color w:val="FF0000"/>
                <w:sz w:val="22"/>
              </w:rPr>
              <w:t>ovocné sady</w:t>
            </w:r>
          </w:p>
        </w:tc>
        <w:tc>
          <w:tcPr>
            <w:tcW w:w="1701" w:type="dxa"/>
            <w:tcBorders>
              <w:top w:val="single" w:sz="8" w:space="0" w:color="auto"/>
              <w:left w:val="single" w:sz="8" w:space="0" w:color="auto"/>
              <w:bottom w:val="nil"/>
              <w:right w:val="single" w:sz="8" w:space="0" w:color="auto"/>
            </w:tcBorders>
            <w:vAlign w:val="center"/>
          </w:tcPr>
          <w:p w14:paraId="082B15C4"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t>0,8755</w:t>
            </w:r>
          </w:p>
        </w:tc>
        <w:tc>
          <w:tcPr>
            <w:tcW w:w="1558" w:type="dxa"/>
            <w:tcBorders>
              <w:top w:val="single" w:sz="8" w:space="0" w:color="auto"/>
              <w:left w:val="single" w:sz="8" w:space="0" w:color="auto"/>
              <w:bottom w:val="nil"/>
              <w:right w:val="single" w:sz="8" w:space="0" w:color="auto"/>
            </w:tcBorders>
            <w:vAlign w:val="center"/>
          </w:tcPr>
          <w:p w14:paraId="77EEB5B3"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t>0</w:t>
            </w:r>
          </w:p>
        </w:tc>
        <w:tc>
          <w:tcPr>
            <w:tcW w:w="2834" w:type="dxa"/>
            <w:tcBorders>
              <w:top w:val="single" w:sz="8" w:space="0" w:color="auto"/>
              <w:left w:val="nil"/>
              <w:bottom w:val="single" w:sz="8" w:space="0" w:color="auto"/>
              <w:right w:val="single" w:sz="4" w:space="0" w:color="auto"/>
            </w:tcBorders>
            <w:vAlign w:val="center"/>
          </w:tcPr>
          <w:p w14:paraId="1BBD8865"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t>0,8755</w:t>
            </w:r>
          </w:p>
        </w:tc>
      </w:tr>
      <w:tr w:rsidR="009617F5" w:rsidRPr="009617F5" w14:paraId="42051C82" w14:textId="77777777" w:rsidTr="00286F7D">
        <w:trPr>
          <w:trHeight w:val="304"/>
        </w:trPr>
        <w:tc>
          <w:tcPr>
            <w:tcW w:w="1701" w:type="dxa"/>
            <w:tcBorders>
              <w:top w:val="single" w:sz="8" w:space="0" w:color="auto"/>
              <w:left w:val="single" w:sz="8" w:space="0" w:color="auto"/>
              <w:bottom w:val="nil"/>
              <w:right w:val="single" w:sz="4" w:space="0" w:color="auto"/>
            </w:tcBorders>
            <w:vAlign w:val="center"/>
          </w:tcPr>
          <w:p w14:paraId="43B00358" w14:textId="77777777" w:rsidR="009617F5" w:rsidRPr="009617F5" w:rsidRDefault="009617F5" w:rsidP="00286F7D">
            <w:pPr>
              <w:rPr>
                <w:rFonts w:ascii="Arial" w:hAnsi="Arial" w:cs="Arial"/>
                <w:color w:val="FF0000"/>
                <w:sz w:val="22"/>
              </w:rPr>
            </w:pPr>
            <w:r w:rsidRPr="009617F5">
              <w:rPr>
                <w:rFonts w:ascii="Arial" w:hAnsi="Arial" w:cs="Arial"/>
                <w:color w:val="FF0000"/>
                <w:sz w:val="22"/>
              </w:rPr>
              <w:t>trvalý travní porost (TTP)</w:t>
            </w:r>
          </w:p>
        </w:tc>
        <w:tc>
          <w:tcPr>
            <w:tcW w:w="1701" w:type="dxa"/>
            <w:tcBorders>
              <w:top w:val="single" w:sz="8" w:space="0" w:color="auto"/>
              <w:left w:val="single" w:sz="8" w:space="0" w:color="auto"/>
              <w:bottom w:val="nil"/>
              <w:right w:val="single" w:sz="8" w:space="0" w:color="auto"/>
            </w:tcBorders>
            <w:vAlign w:val="center"/>
          </w:tcPr>
          <w:p w14:paraId="527D229B"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t>3,1653</w:t>
            </w:r>
          </w:p>
        </w:tc>
        <w:tc>
          <w:tcPr>
            <w:tcW w:w="1558" w:type="dxa"/>
            <w:tcBorders>
              <w:top w:val="single" w:sz="8" w:space="0" w:color="auto"/>
              <w:left w:val="single" w:sz="8" w:space="0" w:color="auto"/>
              <w:bottom w:val="nil"/>
              <w:right w:val="single" w:sz="8" w:space="0" w:color="auto"/>
            </w:tcBorders>
            <w:vAlign w:val="center"/>
          </w:tcPr>
          <w:p w14:paraId="25A573C5"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t>0</w:t>
            </w:r>
          </w:p>
        </w:tc>
        <w:tc>
          <w:tcPr>
            <w:tcW w:w="2834" w:type="dxa"/>
            <w:tcBorders>
              <w:top w:val="single" w:sz="8" w:space="0" w:color="auto"/>
              <w:left w:val="nil"/>
              <w:bottom w:val="single" w:sz="8" w:space="0" w:color="auto"/>
              <w:right w:val="single" w:sz="4" w:space="0" w:color="auto"/>
            </w:tcBorders>
            <w:vAlign w:val="center"/>
          </w:tcPr>
          <w:p w14:paraId="57570FC7" w14:textId="77777777" w:rsidR="009617F5" w:rsidRPr="009617F5" w:rsidRDefault="009617F5" w:rsidP="00286F7D">
            <w:pPr>
              <w:ind w:right="283"/>
              <w:jc w:val="right"/>
              <w:rPr>
                <w:rFonts w:ascii="Arial" w:hAnsi="Arial" w:cs="Arial"/>
                <w:color w:val="FF0000"/>
                <w:sz w:val="22"/>
              </w:rPr>
            </w:pPr>
            <w:r w:rsidRPr="009617F5">
              <w:rPr>
                <w:rFonts w:ascii="Arial" w:hAnsi="Arial" w:cs="Arial"/>
                <w:color w:val="FF0000"/>
                <w:sz w:val="22"/>
              </w:rPr>
              <w:t>3,1653</w:t>
            </w:r>
          </w:p>
        </w:tc>
      </w:tr>
      <w:tr w:rsidR="009617F5" w:rsidRPr="009617F5" w14:paraId="241799C2" w14:textId="77777777" w:rsidTr="00286F7D">
        <w:trPr>
          <w:trHeight w:val="315"/>
        </w:trPr>
        <w:tc>
          <w:tcPr>
            <w:tcW w:w="1701" w:type="dxa"/>
            <w:tcBorders>
              <w:top w:val="single" w:sz="4" w:space="0" w:color="auto"/>
              <w:left w:val="single" w:sz="8" w:space="0" w:color="auto"/>
              <w:bottom w:val="single" w:sz="8" w:space="0" w:color="auto"/>
              <w:right w:val="single" w:sz="4" w:space="0" w:color="auto"/>
            </w:tcBorders>
            <w:vAlign w:val="center"/>
          </w:tcPr>
          <w:p w14:paraId="5923918C" w14:textId="77777777" w:rsidR="009617F5" w:rsidRPr="009617F5" w:rsidRDefault="009617F5" w:rsidP="00286F7D">
            <w:pPr>
              <w:rPr>
                <w:rFonts w:ascii="Arial" w:hAnsi="Arial" w:cs="Arial"/>
                <w:b/>
                <w:color w:val="FF0000"/>
                <w:sz w:val="22"/>
              </w:rPr>
            </w:pPr>
            <w:r w:rsidRPr="009617F5">
              <w:rPr>
                <w:rFonts w:ascii="Arial" w:hAnsi="Arial" w:cs="Arial"/>
                <w:b/>
                <w:color w:val="FF0000"/>
                <w:sz w:val="22"/>
              </w:rPr>
              <w:t>CELKEM</w:t>
            </w:r>
          </w:p>
        </w:tc>
        <w:tc>
          <w:tcPr>
            <w:tcW w:w="1701" w:type="dxa"/>
            <w:tcBorders>
              <w:top w:val="single" w:sz="4" w:space="0" w:color="auto"/>
              <w:left w:val="single" w:sz="8" w:space="0" w:color="auto"/>
              <w:bottom w:val="single" w:sz="8" w:space="0" w:color="auto"/>
              <w:right w:val="single" w:sz="8" w:space="0" w:color="auto"/>
            </w:tcBorders>
            <w:vAlign w:val="center"/>
          </w:tcPr>
          <w:p w14:paraId="44939E65" w14:textId="77777777" w:rsidR="009617F5" w:rsidRPr="009617F5" w:rsidRDefault="009617F5" w:rsidP="00286F7D">
            <w:pPr>
              <w:ind w:right="283"/>
              <w:jc w:val="right"/>
              <w:rPr>
                <w:rFonts w:ascii="Arial" w:hAnsi="Arial" w:cs="Arial"/>
                <w:b/>
                <w:color w:val="FF0000"/>
                <w:sz w:val="22"/>
              </w:rPr>
            </w:pPr>
            <w:r w:rsidRPr="009617F5">
              <w:rPr>
                <w:rFonts w:ascii="Arial" w:hAnsi="Arial" w:cs="Arial"/>
                <w:b/>
                <w:color w:val="FF0000"/>
                <w:sz w:val="22"/>
              </w:rPr>
              <w:fldChar w:fldCharType="begin"/>
            </w:r>
            <w:r w:rsidRPr="009617F5">
              <w:rPr>
                <w:rFonts w:ascii="Arial" w:hAnsi="Arial" w:cs="Arial"/>
                <w:b/>
                <w:color w:val="FF0000"/>
                <w:sz w:val="22"/>
              </w:rPr>
              <w:instrText xml:space="preserve"> =SUM(ABOVE) </w:instrText>
            </w:r>
            <w:r w:rsidRPr="009617F5">
              <w:rPr>
                <w:rFonts w:ascii="Arial" w:hAnsi="Arial" w:cs="Arial"/>
                <w:b/>
                <w:color w:val="FF0000"/>
                <w:sz w:val="22"/>
              </w:rPr>
              <w:fldChar w:fldCharType="separate"/>
            </w:r>
            <w:r w:rsidRPr="009617F5">
              <w:rPr>
                <w:rFonts w:ascii="Arial" w:hAnsi="Arial" w:cs="Arial"/>
                <w:b/>
                <w:noProof/>
                <w:color w:val="FF0000"/>
                <w:sz w:val="22"/>
              </w:rPr>
              <w:t>8,8921</w:t>
            </w:r>
            <w:r w:rsidRPr="009617F5">
              <w:rPr>
                <w:rFonts w:ascii="Arial" w:hAnsi="Arial" w:cs="Arial"/>
                <w:b/>
                <w:color w:val="FF0000"/>
                <w:sz w:val="22"/>
              </w:rPr>
              <w:fldChar w:fldCharType="end"/>
            </w:r>
          </w:p>
        </w:tc>
        <w:tc>
          <w:tcPr>
            <w:tcW w:w="1558" w:type="dxa"/>
            <w:tcBorders>
              <w:top w:val="single" w:sz="4" w:space="0" w:color="auto"/>
              <w:left w:val="single" w:sz="8" w:space="0" w:color="auto"/>
              <w:bottom w:val="single" w:sz="8" w:space="0" w:color="auto"/>
              <w:right w:val="single" w:sz="8" w:space="0" w:color="auto"/>
            </w:tcBorders>
            <w:vAlign w:val="center"/>
          </w:tcPr>
          <w:p w14:paraId="6E30702A" w14:textId="77777777" w:rsidR="009617F5" w:rsidRPr="009617F5" w:rsidRDefault="009617F5" w:rsidP="00286F7D">
            <w:pPr>
              <w:ind w:right="283"/>
              <w:jc w:val="right"/>
              <w:rPr>
                <w:rFonts w:ascii="Arial" w:hAnsi="Arial" w:cs="Arial"/>
                <w:b/>
                <w:color w:val="FF0000"/>
                <w:sz w:val="22"/>
              </w:rPr>
            </w:pPr>
            <w:r w:rsidRPr="009617F5">
              <w:rPr>
                <w:rFonts w:ascii="Arial" w:hAnsi="Arial" w:cs="Arial"/>
                <w:b/>
                <w:color w:val="FF0000"/>
                <w:sz w:val="22"/>
              </w:rPr>
              <w:t>0</w:t>
            </w:r>
          </w:p>
        </w:tc>
        <w:tc>
          <w:tcPr>
            <w:tcW w:w="2834" w:type="dxa"/>
            <w:tcBorders>
              <w:top w:val="single" w:sz="4" w:space="0" w:color="auto"/>
              <w:left w:val="nil"/>
              <w:bottom w:val="single" w:sz="8" w:space="0" w:color="auto"/>
              <w:right w:val="single" w:sz="4" w:space="0" w:color="auto"/>
            </w:tcBorders>
            <w:noWrap/>
            <w:vAlign w:val="center"/>
          </w:tcPr>
          <w:p w14:paraId="534BF58A" w14:textId="77777777" w:rsidR="009617F5" w:rsidRPr="009617F5" w:rsidRDefault="009617F5" w:rsidP="00286F7D">
            <w:pPr>
              <w:ind w:right="283"/>
              <w:jc w:val="right"/>
              <w:rPr>
                <w:rFonts w:ascii="Arial" w:hAnsi="Arial" w:cs="Arial"/>
                <w:b/>
                <w:color w:val="FF0000"/>
                <w:sz w:val="22"/>
              </w:rPr>
            </w:pPr>
            <w:r w:rsidRPr="009617F5">
              <w:rPr>
                <w:rFonts w:ascii="Arial" w:hAnsi="Arial" w:cs="Arial"/>
                <w:b/>
                <w:color w:val="FF0000"/>
                <w:sz w:val="22"/>
              </w:rPr>
              <w:fldChar w:fldCharType="begin"/>
            </w:r>
            <w:r w:rsidRPr="009617F5">
              <w:rPr>
                <w:rFonts w:ascii="Arial" w:hAnsi="Arial" w:cs="Arial"/>
                <w:b/>
                <w:color w:val="FF0000"/>
                <w:sz w:val="22"/>
              </w:rPr>
              <w:instrText xml:space="preserve"> =SUM(ABOVE) </w:instrText>
            </w:r>
            <w:r w:rsidRPr="009617F5">
              <w:rPr>
                <w:rFonts w:ascii="Arial" w:hAnsi="Arial" w:cs="Arial"/>
                <w:b/>
                <w:color w:val="FF0000"/>
                <w:sz w:val="22"/>
              </w:rPr>
              <w:fldChar w:fldCharType="separate"/>
            </w:r>
            <w:r w:rsidRPr="009617F5">
              <w:rPr>
                <w:rFonts w:ascii="Arial" w:hAnsi="Arial" w:cs="Arial"/>
                <w:b/>
                <w:noProof/>
                <w:color w:val="FF0000"/>
                <w:sz w:val="22"/>
              </w:rPr>
              <w:t>8,8921</w:t>
            </w:r>
            <w:r w:rsidRPr="009617F5">
              <w:rPr>
                <w:rFonts w:ascii="Arial" w:hAnsi="Arial" w:cs="Arial"/>
                <w:b/>
                <w:color w:val="FF0000"/>
                <w:sz w:val="22"/>
              </w:rPr>
              <w:fldChar w:fldCharType="end"/>
            </w:r>
          </w:p>
        </w:tc>
      </w:tr>
      <w:tr w:rsidR="009617F5" w:rsidRPr="009617F5" w14:paraId="3B752A91" w14:textId="77777777" w:rsidTr="00286F7D">
        <w:trPr>
          <w:trHeight w:val="315"/>
        </w:trPr>
        <w:tc>
          <w:tcPr>
            <w:tcW w:w="1701" w:type="dxa"/>
            <w:tcBorders>
              <w:top w:val="single" w:sz="4" w:space="0" w:color="auto"/>
              <w:left w:val="single" w:sz="8" w:space="0" w:color="auto"/>
              <w:bottom w:val="single" w:sz="8" w:space="0" w:color="auto"/>
              <w:right w:val="single" w:sz="4" w:space="0" w:color="auto"/>
            </w:tcBorders>
            <w:vAlign w:val="center"/>
          </w:tcPr>
          <w:p w14:paraId="38726D29" w14:textId="77777777" w:rsidR="009617F5" w:rsidRPr="009617F5" w:rsidRDefault="009617F5" w:rsidP="00286F7D">
            <w:pPr>
              <w:rPr>
                <w:rFonts w:ascii="Arial" w:hAnsi="Arial" w:cs="Arial"/>
                <w:color w:val="FF0000"/>
                <w:sz w:val="22"/>
              </w:rPr>
            </w:pPr>
          </w:p>
        </w:tc>
        <w:tc>
          <w:tcPr>
            <w:tcW w:w="1701" w:type="dxa"/>
            <w:tcBorders>
              <w:top w:val="single" w:sz="4" w:space="0" w:color="auto"/>
              <w:left w:val="single" w:sz="8" w:space="0" w:color="auto"/>
              <w:bottom w:val="single" w:sz="8" w:space="0" w:color="auto"/>
              <w:right w:val="single" w:sz="8" w:space="0" w:color="auto"/>
            </w:tcBorders>
            <w:vAlign w:val="center"/>
          </w:tcPr>
          <w:p w14:paraId="18D294E4" w14:textId="77777777" w:rsidR="009617F5" w:rsidRPr="009617F5" w:rsidRDefault="009617F5" w:rsidP="00286F7D">
            <w:pPr>
              <w:jc w:val="right"/>
              <w:rPr>
                <w:rFonts w:ascii="Arial" w:hAnsi="Arial" w:cs="Arial"/>
                <w:color w:val="FF0000"/>
                <w:sz w:val="22"/>
                <w:highlight w:val="lightGray"/>
              </w:rPr>
            </w:pPr>
          </w:p>
        </w:tc>
        <w:tc>
          <w:tcPr>
            <w:tcW w:w="1558" w:type="dxa"/>
            <w:tcBorders>
              <w:top w:val="single" w:sz="4" w:space="0" w:color="auto"/>
              <w:left w:val="single" w:sz="8" w:space="0" w:color="auto"/>
              <w:bottom w:val="single" w:sz="8" w:space="0" w:color="auto"/>
              <w:right w:val="single" w:sz="8" w:space="0" w:color="auto"/>
            </w:tcBorders>
            <w:vAlign w:val="center"/>
          </w:tcPr>
          <w:p w14:paraId="61A69DE2" w14:textId="77777777" w:rsidR="009617F5" w:rsidRPr="009617F5" w:rsidRDefault="009617F5" w:rsidP="00286F7D">
            <w:pPr>
              <w:jc w:val="right"/>
              <w:rPr>
                <w:rFonts w:ascii="Arial" w:hAnsi="Arial" w:cs="Arial"/>
                <w:color w:val="FF0000"/>
                <w:sz w:val="22"/>
                <w:highlight w:val="lightGray"/>
              </w:rPr>
            </w:pPr>
          </w:p>
        </w:tc>
        <w:tc>
          <w:tcPr>
            <w:tcW w:w="2834" w:type="dxa"/>
            <w:tcBorders>
              <w:top w:val="single" w:sz="4" w:space="0" w:color="auto"/>
              <w:left w:val="nil"/>
              <w:bottom w:val="single" w:sz="8" w:space="0" w:color="auto"/>
              <w:right w:val="single" w:sz="4" w:space="0" w:color="auto"/>
            </w:tcBorders>
            <w:noWrap/>
            <w:vAlign w:val="center"/>
          </w:tcPr>
          <w:p w14:paraId="5003C3A3" w14:textId="77777777" w:rsidR="009617F5" w:rsidRPr="009617F5" w:rsidRDefault="009617F5" w:rsidP="00286F7D">
            <w:pPr>
              <w:jc w:val="right"/>
              <w:rPr>
                <w:rFonts w:ascii="Arial" w:hAnsi="Arial" w:cs="Arial"/>
                <w:color w:val="FF0000"/>
                <w:sz w:val="22"/>
                <w:highlight w:val="lightGray"/>
              </w:rPr>
            </w:pPr>
          </w:p>
        </w:tc>
      </w:tr>
      <w:tr w:rsidR="009617F5" w:rsidRPr="009617F5" w14:paraId="2114B558" w14:textId="77777777" w:rsidTr="00286F7D">
        <w:trPr>
          <w:trHeight w:val="315"/>
        </w:trPr>
        <w:tc>
          <w:tcPr>
            <w:tcW w:w="1701" w:type="dxa"/>
            <w:tcBorders>
              <w:top w:val="single" w:sz="4" w:space="0" w:color="auto"/>
              <w:left w:val="single" w:sz="8" w:space="0" w:color="auto"/>
              <w:bottom w:val="single" w:sz="8" w:space="0" w:color="auto"/>
              <w:right w:val="single" w:sz="4" w:space="0" w:color="auto"/>
            </w:tcBorders>
            <w:vAlign w:val="center"/>
          </w:tcPr>
          <w:p w14:paraId="18EEDB2A" w14:textId="77777777" w:rsidR="009617F5" w:rsidRPr="009617F5" w:rsidRDefault="009617F5" w:rsidP="00286F7D">
            <w:pPr>
              <w:rPr>
                <w:rFonts w:ascii="Arial" w:hAnsi="Arial" w:cs="Arial"/>
                <w:b/>
                <w:color w:val="FF0000"/>
                <w:sz w:val="22"/>
              </w:rPr>
            </w:pPr>
            <w:r w:rsidRPr="009617F5">
              <w:rPr>
                <w:rFonts w:ascii="Arial" w:hAnsi="Arial" w:cs="Arial"/>
                <w:b/>
                <w:color w:val="FF0000"/>
                <w:sz w:val="22"/>
              </w:rPr>
              <w:t>les</w:t>
            </w:r>
          </w:p>
        </w:tc>
        <w:tc>
          <w:tcPr>
            <w:tcW w:w="1701" w:type="dxa"/>
            <w:tcBorders>
              <w:top w:val="single" w:sz="4" w:space="0" w:color="auto"/>
              <w:left w:val="single" w:sz="8" w:space="0" w:color="auto"/>
              <w:bottom w:val="single" w:sz="8" w:space="0" w:color="auto"/>
              <w:right w:val="single" w:sz="8" w:space="0" w:color="auto"/>
            </w:tcBorders>
            <w:vAlign w:val="center"/>
          </w:tcPr>
          <w:p w14:paraId="1E5A8F9C" w14:textId="77777777" w:rsidR="009617F5" w:rsidRPr="009617F5" w:rsidRDefault="009617F5" w:rsidP="00286F7D">
            <w:pPr>
              <w:jc w:val="right"/>
              <w:rPr>
                <w:rFonts w:ascii="Arial" w:hAnsi="Arial" w:cs="Arial"/>
                <w:b/>
                <w:color w:val="FF0000"/>
                <w:sz w:val="22"/>
              </w:rPr>
            </w:pPr>
            <w:r w:rsidRPr="009617F5">
              <w:rPr>
                <w:rFonts w:ascii="Arial" w:hAnsi="Arial" w:cs="Arial"/>
                <w:b/>
                <w:color w:val="FF0000"/>
                <w:sz w:val="22"/>
              </w:rPr>
              <w:t>0</w:t>
            </w:r>
          </w:p>
        </w:tc>
        <w:tc>
          <w:tcPr>
            <w:tcW w:w="1558" w:type="dxa"/>
            <w:tcBorders>
              <w:top w:val="single" w:sz="4" w:space="0" w:color="auto"/>
              <w:left w:val="single" w:sz="8" w:space="0" w:color="auto"/>
              <w:bottom w:val="single" w:sz="8" w:space="0" w:color="auto"/>
              <w:right w:val="single" w:sz="8" w:space="0" w:color="auto"/>
            </w:tcBorders>
            <w:vAlign w:val="center"/>
          </w:tcPr>
          <w:p w14:paraId="134413BD" w14:textId="77777777" w:rsidR="009617F5" w:rsidRPr="009617F5" w:rsidRDefault="009617F5" w:rsidP="00286F7D">
            <w:pPr>
              <w:jc w:val="right"/>
              <w:rPr>
                <w:rFonts w:ascii="Arial" w:hAnsi="Arial" w:cs="Arial"/>
                <w:b/>
                <w:color w:val="FF0000"/>
                <w:sz w:val="22"/>
              </w:rPr>
            </w:pPr>
            <w:r w:rsidRPr="009617F5">
              <w:rPr>
                <w:rFonts w:ascii="Arial" w:hAnsi="Arial" w:cs="Arial"/>
                <w:b/>
                <w:color w:val="FF0000"/>
                <w:sz w:val="22"/>
              </w:rPr>
              <w:t>0</w:t>
            </w:r>
          </w:p>
        </w:tc>
        <w:tc>
          <w:tcPr>
            <w:tcW w:w="2834" w:type="dxa"/>
            <w:tcBorders>
              <w:top w:val="single" w:sz="4" w:space="0" w:color="auto"/>
              <w:left w:val="nil"/>
              <w:bottom w:val="single" w:sz="8" w:space="0" w:color="auto"/>
              <w:right w:val="single" w:sz="4" w:space="0" w:color="auto"/>
            </w:tcBorders>
            <w:noWrap/>
            <w:vAlign w:val="center"/>
          </w:tcPr>
          <w:p w14:paraId="35B5F8C0" w14:textId="77777777" w:rsidR="009617F5" w:rsidRPr="009617F5" w:rsidRDefault="009617F5" w:rsidP="00286F7D">
            <w:pPr>
              <w:jc w:val="right"/>
              <w:rPr>
                <w:rFonts w:ascii="Arial" w:hAnsi="Arial" w:cs="Arial"/>
                <w:b/>
                <w:color w:val="FF0000"/>
                <w:sz w:val="22"/>
              </w:rPr>
            </w:pPr>
            <w:r w:rsidRPr="009617F5">
              <w:rPr>
                <w:rFonts w:ascii="Arial" w:hAnsi="Arial" w:cs="Arial"/>
                <w:b/>
                <w:color w:val="FF0000"/>
                <w:sz w:val="22"/>
              </w:rPr>
              <w:t>0</w:t>
            </w:r>
          </w:p>
        </w:tc>
      </w:tr>
    </w:tbl>
    <w:p w14:paraId="327DB169" w14:textId="77777777" w:rsidR="009617F5" w:rsidRPr="009617F5" w:rsidRDefault="009617F5" w:rsidP="009617F5">
      <w:pPr>
        <w:rPr>
          <w:rFonts w:ascii="Arial" w:hAnsi="Arial" w:cs="Arial"/>
          <w:color w:val="FF0000"/>
          <w:sz w:val="22"/>
        </w:rPr>
      </w:pPr>
    </w:p>
    <w:p w14:paraId="1B0BC4B7" w14:textId="77777777" w:rsidR="009617F5" w:rsidRPr="009617F5" w:rsidRDefault="009617F5" w:rsidP="009617F5">
      <w:pPr>
        <w:tabs>
          <w:tab w:val="left" w:pos="945"/>
        </w:tabs>
        <w:rPr>
          <w:rFonts w:ascii="Arial" w:hAnsi="Arial" w:cs="Arial"/>
          <w:color w:val="FF0000"/>
          <w:sz w:val="22"/>
        </w:rPr>
      </w:pPr>
      <w:r w:rsidRPr="009617F5">
        <w:rPr>
          <w:rFonts w:ascii="Arial" w:hAnsi="Arial" w:cs="Arial"/>
          <w:color w:val="FF0000"/>
          <w:sz w:val="22"/>
        </w:rPr>
        <w:tab/>
        <w:t>Zábor pozemků určených k plnění funkce lesa (PUPFL) není navrhován.</w:t>
      </w:r>
    </w:p>
    <w:p w14:paraId="2D866378" w14:textId="77777777" w:rsidR="009617F5" w:rsidRPr="009617F5" w:rsidRDefault="009617F5" w:rsidP="009617F5">
      <w:pPr>
        <w:rPr>
          <w:rFonts w:ascii="Arial" w:hAnsi="Arial" w:cs="Arial"/>
          <w:b/>
          <w:bCs/>
          <w:color w:val="FF0000"/>
          <w:sz w:val="22"/>
        </w:rPr>
      </w:pPr>
      <w:r w:rsidRPr="009617F5">
        <w:rPr>
          <w:rFonts w:ascii="Arial" w:hAnsi="Arial" w:cs="Arial"/>
          <w:b/>
          <w:bCs/>
          <w:color w:val="FF0000"/>
          <w:sz w:val="22"/>
        </w:rPr>
        <w:t xml:space="preserve">1.4. Údaje o zařazení zemědělské půdy do BPEJ, třídě ochrany ZPF  </w:t>
      </w:r>
    </w:p>
    <w:p w14:paraId="17A2B4E8" w14:textId="77777777" w:rsidR="009617F5" w:rsidRPr="009617F5" w:rsidRDefault="009617F5" w:rsidP="009617F5">
      <w:pPr>
        <w:rPr>
          <w:rFonts w:ascii="Arial" w:hAnsi="Arial" w:cs="Arial"/>
          <w:color w:val="FF0000"/>
          <w:sz w:val="22"/>
        </w:rPr>
      </w:pPr>
    </w:p>
    <w:p w14:paraId="5802F89A"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Zájmové území 8. změny ÚP Děčín není zahrnuto do zranitelných oblastí ve smyslu Nařízení vlády č. 103/2003 Sb. o stanovení zranitelných oblastí a o používání a skladování hnojiv a statkových hnojiv, střídání plodin a provádění protierozních opatření v těchto oblastech.</w:t>
      </w:r>
    </w:p>
    <w:p w14:paraId="0508215D" w14:textId="77777777" w:rsidR="009617F5" w:rsidRPr="009617F5" w:rsidRDefault="009617F5" w:rsidP="009617F5">
      <w:pPr>
        <w:jc w:val="both"/>
        <w:rPr>
          <w:rFonts w:ascii="Arial" w:hAnsi="Arial" w:cs="Arial"/>
          <w:color w:val="FF0000"/>
          <w:sz w:val="22"/>
        </w:rPr>
      </w:pPr>
    </w:p>
    <w:p w14:paraId="23F4921A"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 xml:space="preserve">V rozvojových plochách jsou zastoupeny následující bonitované půdně ekologické jednotky (BPEJ) s  uvedenou třídou ochrany. </w:t>
      </w:r>
    </w:p>
    <w:p w14:paraId="7895B473"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Třída ochrany byla aktualizována a je v souladu s vyhláškou 48/2011 Sb. o stanovení tříd ochrany.</w:t>
      </w:r>
    </w:p>
    <w:p w14:paraId="2238AB25"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 xml:space="preserve">Typ půdy udává druhé a třetí číslo kódu BPEJ (tzv. hlavní půdní jednotka: HPJ). </w:t>
      </w:r>
    </w:p>
    <w:p w14:paraId="730A7E95" w14:textId="77777777" w:rsidR="009617F5" w:rsidRPr="009617F5" w:rsidRDefault="009617F5" w:rsidP="009617F5">
      <w:pPr>
        <w:rPr>
          <w:rFonts w:ascii="Arial" w:hAnsi="Arial" w:cs="Arial"/>
          <w:color w:val="FF0000"/>
          <w:sz w:val="22"/>
        </w:rPr>
      </w:pPr>
    </w:p>
    <w:tbl>
      <w:tblPr>
        <w:tblW w:w="9493" w:type="dxa"/>
        <w:tblInd w:w="53" w:type="dxa"/>
        <w:tblLayout w:type="fixed"/>
        <w:tblCellMar>
          <w:left w:w="70" w:type="dxa"/>
          <w:right w:w="70" w:type="dxa"/>
        </w:tblCellMar>
        <w:tblLook w:val="00A0" w:firstRow="1" w:lastRow="0" w:firstColumn="1" w:lastColumn="0" w:noHBand="0" w:noVBand="0"/>
      </w:tblPr>
      <w:tblGrid>
        <w:gridCol w:w="808"/>
        <w:gridCol w:w="910"/>
        <w:gridCol w:w="836"/>
        <w:gridCol w:w="6939"/>
      </w:tblGrid>
      <w:tr w:rsidR="009617F5" w:rsidRPr="009617F5" w14:paraId="1321667B" w14:textId="77777777" w:rsidTr="00286F7D">
        <w:trPr>
          <w:trHeight w:val="900"/>
          <w:tblHeader/>
        </w:trPr>
        <w:tc>
          <w:tcPr>
            <w:tcW w:w="808" w:type="dxa"/>
            <w:tcBorders>
              <w:top w:val="single" w:sz="36" w:space="0" w:color="FF0000"/>
              <w:left w:val="single" w:sz="36" w:space="0" w:color="FF0000"/>
              <w:bottom w:val="nil"/>
              <w:right w:val="single" w:sz="4" w:space="0" w:color="auto"/>
            </w:tcBorders>
            <w:shd w:val="clear" w:color="auto" w:fill="BFBFBF"/>
            <w:vAlign w:val="center"/>
          </w:tcPr>
          <w:p w14:paraId="74A719A7"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BPEJ</w:t>
            </w:r>
          </w:p>
        </w:tc>
        <w:tc>
          <w:tcPr>
            <w:tcW w:w="910" w:type="dxa"/>
            <w:tcBorders>
              <w:top w:val="single" w:sz="36" w:space="0" w:color="FF0000"/>
              <w:left w:val="single" w:sz="8" w:space="0" w:color="auto"/>
              <w:bottom w:val="nil"/>
              <w:right w:val="single" w:sz="8" w:space="0" w:color="auto"/>
            </w:tcBorders>
            <w:shd w:val="clear" w:color="auto" w:fill="BFBFBF"/>
          </w:tcPr>
          <w:p w14:paraId="499021DD" w14:textId="77777777" w:rsidR="009617F5" w:rsidRPr="009617F5" w:rsidRDefault="009617F5" w:rsidP="00286F7D">
            <w:pPr>
              <w:rPr>
                <w:rFonts w:ascii="Arial" w:hAnsi="Arial" w:cs="Arial"/>
                <w:b/>
                <w:bCs/>
                <w:sz w:val="20"/>
                <w:szCs w:val="22"/>
              </w:rPr>
            </w:pPr>
          </w:p>
          <w:p w14:paraId="3970016A"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třída ochrany ZPF</w:t>
            </w:r>
          </w:p>
        </w:tc>
        <w:tc>
          <w:tcPr>
            <w:tcW w:w="836" w:type="dxa"/>
            <w:tcBorders>
              <w:top w:val="single" w:sz="36" w:space="0" w:color="FF0000"/>
              <w:left w:val="single" w:sz="8" w:space="0" w:color="auto"/>
              <w:bottom w:val="nil"/>
              <w:right w:val="single" w:sz="4" w:space="0" w:color="auto"/>
            </w:tcBorders>
            <w:shd w:val="clear" w:color="auto" w:fill="BFBFBF"/>
            <w:vAlign w:val="center"/>
          </w:tcPr>
          <w:p w14:paraId="18F30917"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HPJ</w:t>
            </w:r>
          </w:p>
        </w:tc>
        <w:tc>
          <w:tcPr>
            <w:tcW w:w="6939" w:type="dxa"/>
            <w:tcBorders>
              <w:top w:val="single" w:sz="36" w:space="0" w:color="FF0000"/>
              <w:left w:val="single" w:sz="8" w:space="0" w:color="auto"/>
              <w:bottom w:val="nil"/>
              <w:right w:val="single" w:sz="36" w:space="0" w:color="FF0000"/>
            </w:tcBorders>
            <w:shd w:val="clear" w:color="auto" w:fill="BFBFBF"/>
            <w:vAlign w:val="center"/>
          </w:tcPr>
          <w:p w14:paraId="3EB07911"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Popis HPJ</w:t>
            </w:r>
          </w:p>
        </w:tc>
      </w:tr>
      <w:tr w:rsidR="009617F5" w:rsidRPr="009617F5" w14:paraId="37EA2465"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03654658"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20850</w:t>
            </w:r>
          </w:p>
        </w:tc>
        <w:tc>
          <w:tcPr>
            <w:tcW w:w="910" w:type="dxa"/>
            <w:tcBorders>
              <w:top w:val="single" w:sz="4" w:space="0" w:color="auto"/>
              <w:left w:val="single" w:sz="8" w:space="0" w:color="auto"/>
              <w:bottom w:val="single" w:sz="8" w:space="0" w:color="auto"/>
              <w:right w:val="single" w:sz="8" w:space="0" w:color="auto"/>
            </w:tcBorders>
            <w:vAlign w:val="center"/>
          </w:tcPr>
          <w:p w14:paraId="5F484049" w14:textId="77777777" w:rsidR="009617F5" w:rsidRPr="009617F5" w:rsidRDefault="009617F5" w:rsidP="00286F7D">
            <w:pPr>
              <w:rPr>
                <w:rFonts w:ascii="Arial" w:hAnsi="Arial" w:cs="Arial"/>
                <w:sz w:val="20"/>
                <w:szCs w:val="22"/>
              </w:rPr>
            </w:pPr>
            <w:r w:rsidRPr="009617F5">
              <w:rPr>
                <w:rFonts w:ascii="Arial" w:hAnsi="Arial" w:cs="Arial"/>
                <w:sz w:val="20"/>
                <w:szCs w:val="22"/>
              </w:rPr>
              <w:t>III</w:t>
            </w:r>
          </w:p>
        </w:tc>
        <w:tc>
          <w:tcPr>
            <w:tcW w:w="836" w:type="dxa"/>
            <w:tcBorders>
              <w:top w:val="single" w:sz="4" w:space="0" w:color="auto"/>
              <w:left w:val="single" w:sz="8" w:space="0" w:color="auto"/>
              <w:bottom w:val="single" w:sz="8" w:space="0" w:color="auto"/>
              <w:right w:val="single" w:sz="4" w:space="0" w:color="auto"/>
            </w:tcBorders>
            <w:vAlign w:val="center"/>
          </w:tcPr>
          <w:p w14:paraId="71D711B3"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08</w:t>
            </w:r>
          </w:p>
        </w:tc>
        <w:tc>
          <w:tcPr>
            <w:tcW w:w="6939" w:type="dxa"/>
            <w:tcBorders>
              <w:top w:val="single" w:sz="4" w:space="0" w:color="auto"/>
              <w:left w:val="single" w:sz="8" w:space="0" w:color="auto"/>
              <w:bottom w:val="single" w:sz="8" w:space="0" w:color="auto"/>
              <w:right w:val="single" w:sz="36" w:space="0" w:color="FF0000"/>
            </w:tcBorders>
            <w:vAlign w:val="center"/>
          </w:tcPr>
          <w:p w14:paraId="62CEF06B" w14:textId="77777777" w:rsidR="009617F5" w:rsidRPr="009617F5" w:rsidRDefault="009617F5" w:rsidP="00286F7D">
            <w:pPr>
              <w:rPr>
                <w:rFonts w:ascii="Arial" w:hAnsi="Arial" w:cs="Arial"/>
                <w:b/>
                <w:bCs/>
                <w:sz w:val="20"/>
                <w:szCs w:val="22"/>
              </w:rPr>
            </w:pPr>
            <w:r w:rsidRPr="009617F5">
              <w:rPr>
                <w:rFonts w:ascii="Arial" w:hAnsi="Arial" w:cs="Arial"/>
                <w:sz w:val="20"/>
                <w:szCs w:val="22"/>
              </w:rPr>
              <w:t>Černozemě modální a černozemě pelické, hnědozemě, případně i kambizemě luvické, smyté, kde dochází ke kultivaci přechodného horizontu nebo substrátu na ploše větší než 50% na spraších, sprašových a svahových hlínách, středně těžké i těžší, převážně bez skeletu a ve vyšší sklonitosti</w:t>
            </w:r>
          </w:p>
        </w:tc>
      </w:tr>
      <w:tr w:rsidR="009617F5" w:rsidRPr="009617F5" w14:paraId="32C69D6B"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2C830345"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21010</w:t>
            </w:r>
          </w:p>
        </w:tc>
        <w:tc>
          <w:tcPr>
            <w:tcW w:w="910" w:type="dxa"/>
            <w:tcBorders>
              <w:top w:val="single" w:sz="4" w:space="0" w:color="auto"/>
              <w:left w:val="single" w:sz="8" w:space="0" w:color="auto"/>
              <w:bottom w:val="single" w:sz="8" w:space="0" w:color="auto"/>
              <w:right w:val="single" w:sz="8" w:space="0" w:color="auto"/>
            </w:tcBorders>
            <w:vAlign w:val="center"/>
          </w:tcPr>
          <w:p w14:paraId="392139F8" w14:textId="77777777" w:rsidR="009617F5" w:rsidRPr="009617F5" w:rsidRDefault="009617F5" w:rsidP="00286F7D">
            <w:pPr>
              <w:rPr>
                <w:rFonts w:ascii="Arial" w:hAnsi="Arial" w:cs="Arial"/>
                <w:sz w:val="20"/>
                <w:szCs w:val="22"/>
              </w:rPr>
            </w:pPr>
            <w:r w:rsidRPr="009617F5">
              <w:rPr>
                <w:rFonts w:ascii="Arial" w:hAnsi="Arial" w:cs="Arial"/>
                <w:sz w:val="20"/>
                <w:szCs w:val="22"/>
              </w:rPr>
              <w:t>II</w:t>
            </w:r>
          </w:p>
        </w:tc>
        <w:tc>
          <w:tcPr>
            <w:tcW w:w="836" w:type="dxa"/>
            <w:tcBorders>
              <w:top w:val="single" w:sz="4" w:space="0" w:color="auto"/>
              <w:left w:val="single" w:sz="8" w:space="0" w:color="auto"/>
              <w:bottom w:val="single" w:sz="8" w:space="0" w:color="auto"/>
              <w:right w:val="single" w:sz="4" w:space="0" w:color="auto"/>
            </w:tcBorders>
            <w:vAlign w:val="center"/>
          </w:tcPr>
          <w:p w14:paraId="4AB9B902"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10</w:t>
            </w:r>
          </w:p>
        </w:tc>
        <w:tc>
          <w:tcPr>
            <w:tcW w:w="6939" w:type="dxa"/>
            <w:tcBorders>
              <w:top w:val="single" w:sz="4" w:space="0" w:color="auto"/>
              <w:left w:val="single" w:sz="8" w:space="0" w:color="auto"/>
              <w:bottom w:val="single" w:sz="8" w:space="0" w:color="auto"/>
              <w:right w:val="single" w:sz="36" w:space="0" w:color="FF0000"/>
            </w:tcBorders>
            <w:vAlign w:val="center"/>
          </w:tcPr>
          <w:p w14:paraId="51FB5A5E" w14:textId="77777777" w:rsidR="009617F5" w:rsidRPr="009617F5" w:rsidRDefault="009617F5" w:rsidP="00286F7D">
            <w:pPr>
              <w:rPr>
                <w:rFonts w:ascii="Arial" w:hAnsi="Arial" w:cs="Arial"/>
                <w:b/>
                <w:bCs/>
                <w:sz w:val="20"/>
                <w:szCs w:val="22"/>
              </w:rPr>
            </w:pPr>
            <w:r w:rsidRPr="009617F5">
              <w:rPr>
                <w:rFonts w:ascii="Arial" w:hAnsi="Arial" w:cs="Arial"/>
                <w:sz w:val="20"/>
                <w:szCs w:val="22"/>
              </w:rPr>
              <w:t>Hnědozemě modální včetně slabě oglejených na spraších, středně těžké s mírně těžší spodinou, bez skeletu, s příznivými vláhovými poměry až sušší.</w:t>
            </w:r>
          </w:p>
        </w:tc>
      </w:tr>
      <w:tr w:rsidR="009617F5" w:rsidRPr="009617F5" w14:paraId="54CDC6EF"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0891E079"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21410</w:t>
            </w:r>
          </w:p>
        </w:tc>
        <w:tc>
          <w:tcPr>
            <w:tcW w:w="910" w:type="dxa"/>
            <w:tcBorders>
              <w:top w:val="single" w:sz="4" w:space="0" w:color="auto"/>
              <w:left w:val="single" w:sz="8" w:space="0" w:color="auto"/>
              <w:bottom w:val="single" w:sz="8" w:space="0" w:color="auto"/>
              <w:right w:val="single" w:sz="8" w:space="0" w:color="auto"/>
            </w:tcBorders>
            <w:vAlign w:val="center"/>
          </w:tcPr>
          <w:p w14:paraId="5F5D4A30" w14:textId="77777777" w:rsidR="009617F5" w:rsidRPr="009617F5" w:rsidRDefault="009617F5" w:rsidP="00286F7D">
            <w:pPr>
              <w:rPr>
                <w:rFonts w:ascii="Arial" w:hAnsi="Arial" w:cs="Arial"/>
                <w:sz w:val="20"/>
                <w:szCs w:val="22"/>
              </w:rPr>
            </w:pPr>
            <w:r w:rsidRPr="009617F5">
              <w:rPr>
                <w:rFonts w:ascii="Arial" w:hAnsi="Arial" w:cs="Arial"/>
                <w:sz w:val="20"/>
                <w:szCs w:val="22"/>
              </w:rPr>
              <w:t>II</w:t>
            </w:r>
          </w:p>
        </w:tc>
        <w:tc>
          <w:tcPr>
            <w:tcW w:w="836" w:type="dxa"/>
            <w:tcBorders>
              <w:top w:val="single" w:sz="4" w:space="0" w:color="auto"/>
              <w:left w:val="single" w:sz="8" w:space="0" w:color="auto"/>
              <w:bottom w:val="single" w:sz="8" w:space="0" w:color="auto"/>
              <w:right w:val="single" w:sz="4" w:space="0" w:color="auto"/>
            </w:tcBorders>
            <w:vAlign w:val="center"/>
          </w:tcPr>
          <w:p w14:paraId="18F3F12D"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14</w:t>
            </w:r>
          </w:p>
        </w:tc>
        <w:tc>
          <w:tcPr>
            <w:tcW w:w="6939" w:type="dxa"/>
            <w:tcBorders>
              <w:top w:val="single" w:sz="4" w:space="0" w:color="auto"/>
              <w:left w:val="single" w:sz="8" w:space="0" w:color="auto"/>
              <w:bottom w:val="single" w:sz="8" w:space="0" w:color="auto"/>
              <w:right w:val="single" w:sz="36" w:space="0" w:color="FF0000"/>
            </w:tcBorders>
            <w:vAlign w:val="center"/>
          </w:tcPr>
          <w:p w14:paraId="617807BD" w14:textId="77777777" w:rsidR="009617F5" w:rsidRPr="009617F5" w:rsidRDefault="009617F5" w:rsidP="00286F7D">
            <w:pPr>
              <w:rPr>
                <w:rFonts w:ascii="Arial" w:hAnsi="Arial" w:cs="Arial"/>
                <w:b/>
                <w:bCs/>
                <w:sz w:val="20"/>
                <w:szCs w:val="22"/>
              </w:rPr>
            </w:pPr>
            <w:r w:rsidRPr="009617F5">
              <w:rPr>
                <w:rFonts w:ascii="Arial" w:hAnsi="Arial" w:cs="Arial"/>
                <w:sz w:val="20"/>
                <w:szCs w:val="22"/>
              </w:rPr>
              <w:t>Luvizemě modální, hnědozemě uvité včetně slabě oglejených na sprašových hlínách (prachovicích), nebo svahových (polygenetických) hlínách s výraznou eolitickou příměsí, středně těžké s těžkou spodinou, s příznivými vláhovými poměry</w:t>
            </w:r>
          </w:p>
        </w:tc>
      </w:tr>
      <w:tr w:rsidR="009617F5" w:rsidRPr="009617F5" w14:paraId="6AC74DA8"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7555A087"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22011</w:t>
            </w:r>
          </w:p>
          <w:p w14:paraId="70FC55D9" w14:textId="77777777" w:rsidR="009617F5" w:rsidRPr="009617F5" w:rsidRDefault="009617F5" w:rsidP="00286F7D">
            <w:pPr>
              <w:rPr>
                <w:rFonts w:ascii="Arial" w:hAnsi="Arial" w:cs="Arial"/>
                <w:bCs/>
                <w:sz w:val="20"/>
                <w:szCs w:val="22"/>
              </w:rPr>
            </w:pPr>
          </w:p>
        </w:tc>
        <w:tc>
          <w:tcPr>
            <w:tcW w:w="910" w:type="dxa"/>
            <w:tcBorders>
              <w:top w:val="single" w:sz="4" w:space="0" w:color="auto"/>
              <w:left w:val="single" w:sz="8" w:space="0" w:color="auto"/>
              <w:bottom w:val="single" w:sz="8" w:space="0" w:color="auto"/>
              <w:right w:val="single" w:sz="8" w:space="0" w:color="auto"/>
            </w:tcBorders>
            <w:vAlign w:val="center"/>
          </w:tcPr>
          <w:p w14:paraId="1B765AF3" w14:textId="77777777" w:rsidR="009617F5" w:rsidRPr="009617F5" w:rsidRDefault="009617F5" w:rsidP="00286F7D">
            <w:pPr>
              <w:rPr>
                <w:rFonts w:ascii="Arial" w:hAnsi="Arial" w:cs="Arial"/>
                <w:sz w:val="20"/>
                <w:szCs w:val="22"/>
              </w:rPr>
            </w:pPr>
            <w:r w:rsidRPr="009617F5">
              <w:rPr>
                <w:rFonts w:ascii="Arial" w:hAnsi="Arial" w:cs="Arial"/>
                <w:sz w:val="20"/>
                <w:szCs w:val="22"/>
              </w:rPr>
              <w:t>IV</w:t>
            </w:r>
          </w:p>
        </w:tc>
        <w:tc>
          <w:tcPr>
            <w:tcW w:w="836" w:type="dxa"/>
            <w:vMerge w:val="restart"/>
            <w:tcBorders>
              <w:top w:val="single" w:sz="4" w:space="0" w:color="auto"/>
              <w:left w:val="single" w:sz="8" w:space="0" w:color="auto"/>
              <w:right w:val="single" w:sz="4" w:space="0" w:color="auto"/>
            </w:tcBorders>
            <w:vAlign w:val="center"/>
          </w:tcPr>
          <w:p w14:paraId="268BCC29"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20</w:t>
            </w:r>
          </w:p>
        </w:tc>
        <w:tc>
          <w:tcPr>
            <w:tcW w:w="6939" w:type="dxa"/>
            <w:vMerge w:val="restart"/>
            <w:tcBorders>
              <w:top w:val="single" w:sz="4" w:space="0" w:color="auto"/>
              <w:left w:val="single" w:sz="8" w:space="0" w:color="auto"/>
              <w:right w:val="single" w:sz="36" w:space="0" w:color="FF0000"/>
            </w:tcBorders>
            <w:vAlign w:val="center"/>
          </w:tcPr>
          <w:p w14:paraId="5C23F6FE" w14:textId="77777777" w:rsidR="009617F5" w:rsidRPr="009617F5" w:rsidRDefault="009617F5" w:rsidP="00286F7D">
            <w:pPr>
              <w:rPr>
                <w:rFonts w:ascii="Arial" w:hAnsi="Arial" w:cs="Arial"/>
                <w:b/>
                <w:bCs/>
                <w:sz w:val="20"/>
                <w:szCs w:val="22"/>
              </w:rPr>
            </w:pPr>
            <w:r w:rsidRPr="009617F5">
              <w:rPr>
                <w:rFonts w:ascii="Arial" w:hAnsi="Arial" w:cs="Arial"/>
                <w:sz w:val="20"/>
                <w:szCs w:val="22"/>
              </w:rPr>
              <w:t>Pelozemě modální, vyluhované a melanické, regozemě pelické, kambizemě pelické i pararendziny pelické, vždy na velmi těžkých substrátech, jílech, slínech, flyši, tercierních sedimentech a podobně, půdy s malou vodopropustností, převážně bez skeletu, ale i středně skeletovité, často i slabě oglejené.</w:t>
            </w:r>
          </w:p>
        </w:tc>
      </w:tr>
      <w:tr w:rsidR="009617F5" w:rsidRPr="009617F5" w14:paraId="4D5AC4D2"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7AFB08A2"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22051</w:t>
            </w:r>
          </w:p>
        </w:tc>
        <w:tc>
          <w:tcPr>
            <w:tcW w:w="910" w:type="dxa"/>
            <w:tcBorders>
              <w:top w:val="single" w:sz="4" w:space="0" w:color="auto"/>
              <w:left w:val="single" w:sz="8" w:space="0" w:color="auto"/>
              <w:bottom w:val="single" w:sz="8" w:space="0" w:color="auto"/>
              <w:right w:val="single" w:sz="8" w:space="0" w:color="auto"/>
            </w:tcBorders>
            <w:vAlign w:val="center"/>
          </w:tcPr>
          <w:p w14:paraId="0B87308E" w14:textId="77777777" w:rsidR="009617F5" w:rsidRPr="009617F5" w:rsidRDefault="009617F5" w:rsidP="00286F7D">
            <w:pPr>
              <w:rPr>
                <w:rFonts w:ascii="Arial" w:hAnsi="Arial" w:cs="Arial"/>
                <w:sz w:val="20"/>
                <w:szCs w:val="22"/>
              </w:rPr>
            </w:pPr>
            <w:r w:rsidRPr="009617F5">
              <w:rPr>
                <w:rFonts w:ascii="Arial" w:hAnsi="Arial" w:cs="Arial"/>
                <w:sz w:val="20"/>
                <w:szCs w:val="22"/>
              </w:rPr>
              <w:t>IV</w:t>
            </w:r>
          </w:p>
        </w:tc>
        <w:tc>
          <w:tcPr>
            <w:tcW w:w="836" w:type="dxa"/>
            <w:vMerge/>
            <w:tcBorders>
              <w:left w:val="single" w:sz="8" w:space="0" w:color="auto"/>
              <w:bottom w:val="single" w:sz="8" w:space="0" w:color="auto"/>
              <w:right w:val="single" w:sz="4" w:space="0" w:color="auto"/>
            </w:tcBorders>
            <w:vAlign w:val="center"/>
          </w:tcPr>
          <w:p w14:paraId="5C5E7B3F"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bottom w:val="single" w:sz="8" w:space="0" w:color="auto"/>
              <w:right w:val="single" w:sz="36" w:space="0" w:color="FF0000"/>
            </w:tcBorders>
            <w:vAlign w:val="center"/>
          </w:tcPr>
          <w:p w14:paraId="2FAAFA8D" w14:textId="77777777" w:rsidR="009617F5" w:rsidRPr="009617F5" w:rsidRDefault="009617F5" w:rsidP="00286F7D">
            <w:pPr>
              <w:rPr>
                <w:rFonts w:ascii="Arial" w:hAnsi="Arial" w:cs="Arial"/>
                <w:b/>
                <w:bCs/>
                <w:sz w:val="20"/>
                <w:szCs w:val="22"/>
              </w:rPr>
            </w:pPr>
          </w:p>
        </w:tc>
      </w:tr>
      <w:tr w:rsidR="009617F5" w:rsidRPr="009617F5" w14:paraId="7DF2CD1B"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2E3D7EB6" w14:textId="77777777" w:rsidR="009617F5" w:rsidRPr="009617F5" w:rsidRDefault="009617F5" w:rsidP="00286F7D">
            <w:pPr>
              <w:rPr>
                <w:rFonts w:ascii="Arial" w:hAnsi="Arial" w:cs="Arial"/>
                <w:bCs/>
                <w:sz w:val="20"/>
                <w:szCs w:val="22"/>
              </w:rPr>
            </w:pPr>
            <w:r w:rsidRPr="009617F5">
              <w:rPr>
                <w:rFonts w:ascii="Arial" w:hAnsi="Arial" w:cs="Arial"/>
                <w:bCs/>
                <w:sz w:val="20"/>
                <w:szCs w:val="22"/>
              </w:rPr>
              <w:lastRenderedPageBreak/>
              <w:t>22811</w:t>
            </w:r>
          </w:p>
        </w:tc>
        <w:tc>
          <w:tcPr>
            <w:tcW w:w="910" w:type="dxa"/>
            <w:tcBorders>
              <w:top w:val="single" w:sz="4" w:space="0" w:color="auto"/>
              <w:left w:val="single" w:sz="8" w:space="0" w:color="auto"/>
              <w:bottom w:val="single" w:sz="8" w:space="0" w:color="auto"/>
              <w:right w:val="single" w:sz="8" w:space="0" w:color="auto"/>
            </w:tcBorders>
            <w:vAlign w:val="center"/>
          </w:tcPr>
          <w:p w14:paraId="0832DE78" w14:textId="77777777" w:rsidR="009617F5" w:rsidRPr="009617F5" w:rsidRDefault="009617F5" w:rsidP="00286F7D">
            <w:pPr>
              <w:rPr>
                <w:rFonts w:ascii="Arial" w:hAnsi="Arial" w:cs="Arial"/>
                <w:sz w:val="20"/>
                <w:szCs w:val="22"/>
              </w:rPr>
            </w:pPr>
            <w:r w:rsidRPr="009617F5">
              <w:rPr>
                <w:rFonts w:ascii="Arial" w:hAnsi="Arial" w:cs="Arial"/>
                <w:sz w:val="20"/>
                <w:szCs w:val="22"/>
              </w:rPr>
              <w:t>III</w:t>
            </w:r>
          </w:p>
        </w:tc>
        <w:tc>
          <w:tcPr>
            <w:tcW w:w="836" w:type="dxa"/>
            <w:vMerge w:val="restart"/>
            <w:tcBorders>
              <w:top w:val="single" w:sz="4" w:space="0" w:color="auto"/>
              <w:left w:val="single" w:sz="8" w:space="0" w:color="auto"/>
              <w:right w:val="single" w:sz="4" w:space="0" w:color="auto"/>
            </w:tcBorders>
            <w:vAlign w:val="center"/>
          </w:tcPr>
          <w:p w14:paraId="228D469C"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28</w:t>
            </w:r>
          </w:p>
        </w:tc>
        <w:tc>
          <w:tcPr>
            <w:tcW w:w="6939" w:type="dxa"/>
            <w:vMerge w:val="restart"/>
            <w:tcBorders>
              <w:top w:val="single" w:sz="4" w:space="0" w:color="auto"/>
              <w:left w:val="single" w:sz="8" w:space="0" w:color="auto"/>
              <w:right w:val="single" w:sz="36" w:space="0" w:color="FF0000"/>
            </w:tcBorders>
            <w:vAlign w:val="center"/>
          </w:tcPr>
          <w:p w14:paraId="20DA9E2C" w14:textId="77777777" w:rsidR="009617F5" w:rsidRPr="009617F5" w:rsidRDefault="009617F5" w:rsidP="00286F7D">
            <w:pPr>
              <w:rPr>
                <w:rFonts w:ascii="Arial" w:hAnsi="Arial" w:cs="Arial"/>
                <w:b/>
                <w:bCs/>
                <w:sz w:val="20"/>
                <w:szCs w:val="22"/>
              </w:rPr>
            </w:pPr>
            <w:r w:rsidRPr="009617F5">
              <w:rPr>
                <w:rFonts w:ascii="Arial" w:hAnsi="Arial" w:cs="Arial"/>
                <w:sz w:val="20"/>
                <w:szCs w:val="22"/>
              </w:rPr>
              <w:t>Kambizemě modální eubazické, kambizemě modální eutrofní na bazických a ultrabazických horninách a jejich tufech, převážně středně těžké, bez skeletu až středně skeletovité, s příznivými vlhkostními poměry, středně hluboké.</w:t>
            </w:r>
          </w:p>
        </w:tc>
      </w:tr>
      <w:tr w:rsidR="009617F5" w:rsidRPr="009617F5" w14:paraId="2443A801"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66B37DD1"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22854</w:t>
            </w:r>
          </w:p>
        </w:tc>
        <w:tc>
          <w:tcPr>
            <w:tcW w:w="910" w:type="dxa"/>
            <w:tcBorders>
              <w:top w:val="single" w:sz="4" w:space="0" w:color="auto"/>
              <w:left w:val="single" w:sz="8" w:space="0" w:color="auto"/>
              <w:bottom w:val="single" w:sz="8" w:space="0" w:color="auto"/>
              <w:right w:val="single" w:sz="8" w:space="0" w:color="auto"/>
            </w:tcBorders>
            <w:vAlign w:val="center"/>
          </w:tcPr>
          <w:p w14:paraId="0EEEA241"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vMerge/>
            <w:tcBorders>
              <w:left w:val="single" w:sz="8" w:space="0" w:color="auto"/>
              <w:bottom w:val="single" w:sz="8" w:space="0" w:color="auto"/>
              <w:right w:val="single" w:sz="4" w:space="0" w:color="auto"/>
            </w:tcBorders>
            <w:vAlign w:val="center"/>
          </w:tcPr>
          <w:p w14:paraId="73D35D98"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bottom w:val="single" w:sz="8" w:space="0" w:color="auto"/>
              <w:right w:val="single" w:sz="36" w:space="0" w:color="FF0000"/>
            </w:tcBorders>
            <w:vAlign w:val="center"/>
          </w:tcPr>
          <w:p w14:paraId="0EBA8316" w14:textId="77777777" w:rsidR="009617F5" w:rsidRPr="009617F5" w:rsidRDefault="009617F5" w:rsidP="00286F7D">
            <w:pPr>
              <w:rPr>
                <w:rFonts w:ascii="Arial" w:hAnsi="Arial" w:cs="Arial"/>
                <w:b/>
                <w:bCs/>
                <w:sz w:val="20"/>
                <w:szCs w:val="22"/>
              </w:rPr>
            </w:pPr>
          </w:p>
        </w:tc>
      </w:tr>
      <w:tr w:rsidR="009617F5" w:rsidRPr="009617F5" w14:paraId="6DFDF51C"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5290ED01"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23011</w:t>
            </w:r>
          </w:p>
          <w:p w14:paraId="1CE11383" w14:textId="77777777" w:rsidR="009617F5" w:rsidRPr="009617F5" w:rsidRDefault="009617F5" w:rsidP="00286F7D">
            <w:pPr>
              <w:rPr>
                <w:rFonts w:ascii="Arial" w:hAnsi="Arial" w:cs="Arial"/>
                <w:bCs/>
                <w:sz w:val="20"/>
                <w:szCs w:val="22"/>
              </w:rPr>
            </w:pPr>
          </w:p>
        </w:tc>
        <w:tc>
          <w:tcPr>
            <w:tcW w:w="910" w:type="dxa"/>
            <w:tcBorders>
              <w:top w:val="single" w:sz="4" w:space="0" w:color="auto"/>
              <w:left w:val="single" w:sz="8" w:space="0" w:color="auto"/>
              <w:bottom w:val="single" w:sz="8" w:space="0" w:color="auto"/>
              <w:right w:val="single" w:sz="8" w:space="0" w:color="auto"/>
            </w:tcBorders>
            <w:vAlign w:val="center"/>
          </w:tcPr>
          <w:p w14:paraId="01B63B65" w14:textId="77777777" w:rsidR="009617F5" w:rsidRPr="009617F5" w:rsidRDefault="009617F5" w:rsidP="00286F7D">
            <w:pPr>
              <w:rPr>
                <w:rFonts w:ascii="Arial" w:hAnsi="Arial" w:cs="Arial"/>
                <w:sz w:val="20"/>
                <w:szCs w:val="22"/>
              </w:rPr>
            </w:pPr>
            <w:r w:rsidRPr="009617F5">
              <w:rPr>
                <w:rFonts w:ascii="Arial" w:hAnsi="Arial" w:cs="Arial"/>
                <w:sz w:val="20"/>
                <w:szCs w:val="22"/>
              </w:rPr>
              <w:t>IV</w:t>
            </w:r>
          </w:p>
        </w:tc>
        <w:tc>
          <w:tcPr>
            <w:tcW w:w="836" w:type="dxa"/>
            <w:vMerge w:val="restart"/>
            <w:tcBorders>
              <w:top w:val="single" w:sz="4" w:space="0" w:color="auto"/>
              <w:left w:val="single" w:sz="8" w:space="0" w:color="auto"/>
              <w:right w:val="single" w:sz="4" w:space="0" w:color="auto"/>
            </w:tcBorders>
            <w:vAlign w:val="center"/>
          </w:tcPr>
          <w:p w14:paraId="47114B03"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30</w:t>
            </w:r>
          </w:p>
        </w:tc>
        <w:tc>
          <w:tcPr>
            <w:tcW w:w="6939" w:type="dxa"/>
            <w:vMerge w:val="restart"/>
            <w:tcBorders>
              <w:top w:val="single" w:sz="4" w:space="0" w:color="auto"/>
              <w:left w:val="single" w:sz="8" w:space="0" w:color="auto"/>
              <w:right w:val="single" w:sz="36" w:space="0" w:color="FF0000"/>
            </w:tcBorders>
            <w:vAlign w:val="center"/>
          </w:tcPr>
          <w:p w14:paraId="7D778A34" w14:textId="77777777" w:rsidR="009617F5" w:rsidRPr="009617F5" w:rsidRDefault="009617F5" w:rsidP="00286F7D">
            <w:pPr>
              <w:rPr>
                <w:rFonts w:ascii="Arial" w:hAnsi="Arial" w:cs="Arial"/>
                <w:b/>
                <w:bCs/>
                <w:sz w:val="20"/>
                <w:szCs w:val="22"/>
              </w:rPr>
            </w:pPr>
            <w:r w:rsidRPr="009617F5">
              <w:rPr>
                <w:rFonts w:ascii="Arial" w:hAnsi="Arial" w:cs="Arial"/>
                <w:sz w:val="20"/>
                <w:szCs w:val="22"/>
              </w:rPr>
              <w:t>Kambizemě eubazické až mezobazické na svahovinách sedimentárních hornin – pískovce, permokarbon,flyš, středně těžké lehčí, až středně skeletovité, vláhově příznivé až sušší.</w:t>
            </w:r>
          </w:p>
        </w:tc>
      </w:tr>
      <w:tr w:rsidR="009617F5" w:rsidRPr="009617F5" w14:paraId="3D2A0A27"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42B115B4"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23051</w:t>
            </w:r>
          </w:p>
        </w:tc>
        <w:tc>
          <w:tcPr>
            <w:tcW w:w="910" w:type="dxa"/>
            <w:tcBorders>
              <w:top w:val="single" w:sz="4" w:space="0" w:color="auto"/>
              <w:left w:val="single" w:sz="8" w:space="0" w:color="auto"/>
              <w:bottom w:val="single" w:sz="8" w:space="0" w:color="auto"/>
              <w:right w:val="single" w:sz="8" w:space="0" w:color="auto"/>
            </w:tcBorders>
            <w:vAlign w:val="center"/>
          </w:tcPr>
          <w:p w14:paraId="1E9A6ED6" w14:textId="77777777" w:rsidR="009617F5" w:rsidRPr="009617F5" w:rsidRDefault="009617F5" w:rsidP="00286F7D">
            <w:pPr>
              <w:rPr>
                <w:rFonts w:ascii="Arial" w:hAnsi="Arial" w:cs="Arial"/>
                <w:sz w:val="20"/>
                <w:szCs w:val="22"/>
              </w:rPr>
            </w:pPr>
            <w:r w:rsidRPr="009617F5">
              <w:rPr>
                <w:rFonts w:ascii="Arial" w:hAnsi="Arial" w:cs="Arial"/>
                <w:sz w:val="20"/>
                <w:szCs w:val="22"/>
              </w:rPr>
              <w:t>IV</w:t>
            </w:r>
          </w:p>
        </w:tc>
        <w:tc>
          <w:tcPr>
            <w:tcW w:w="836" w:type="dxa"/>
            <w:vMerge/>
            <w:tcBorders>
              <w:left w:val="single" w:sz="8" w:space="0" w:color="auto"/>
              <w:bottom w:val="single" w:sz="8" w:space="0" w:color="auto"/>
              <w:right w:val="single" w:sz="4" w:space="0" w:color="auto"/>
            </w:tcBorders>
            <w:vAlign w:val="center"/>
          </w:tcPr>
          <w:p w14:paraId="259AD66B"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bottom w:val="single" w:sz="8" w:space="0" w:color="auto"/>
              <w:right w:val="single" w:sz="36" w:space="0" w:color="FF0000"/>
            </w:tcBorders>
            <w:vAlign w:val="center"/>
          </w:tcPr>
          <w:p w14:paraId="40209612" w14:textId="77777777" w:rsidR="009617F5" w:rsidRPr="009617F5" w:rsidRDefault="009617F5" w:rsidP="00286F7D">
            <w:pPr>
              <w:rPr>
                <w:rFonts w:ascii="Arial" w:hAnsi="Arial" w:cs="Arial"/>
                <w:b/>
                <w:bCs/>
                <w:sz w:val="20"/>
                <w:szCs w:val="22"/>
              </w:rPr>
            </w:pPr>
          </w:p>
        </w:tc>
      </w:tr>
      <w:tr w:rsidR="009617F5" w:rsidRPr="009617F5" w14:paraId="32A20416"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10D45D4D"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24068</w:t>
            </w:r>
          </w:p>
        </w:tc>
        <w:tc>
          <w:tcPr>
            <w:tcW w:w="910" w:type="dxa"/>
            <w:tcBorders>
              <w:top w:val="single" w:sz="4" w:space="0" w:color="auto"/>
              <w:left w:val="single" w:sz="8" w:space="0" w:color="auto"/>
              <w:bottom w:val="single" w:sz="8" w:space="0" w:color="auto"/>
              <w:right w:val="single" w:sz="8" w:space="0" w:color="auto"/>
            </w:tcBorders>
            <w:vAlign w:val="center"/>
          </w:tcPr>
          <w:p w14:paraId="3E0C125D"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tcBorders>
              <w:top w:val="single" w:sz="4" w:space="0" w:color="auto"/>
              <w:left w:val="single" w:sz="8" w:space="0" w:color="auto"/>
              <w:bottom w:val="single" w:sz="8" w:space="0" w:color="auto"/>
              <w:right w:val="single" w:sz="4" w:space="0" w:color="auto"/>
            </w:tcBorders>
            <w:vAlign w:val="center"/>
          </w:tcPr>
          <w:p w14:paraId="702946E2"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40</w:t>
            </w:r>
          </w:p>
        </w:tc>
        <w:tc>
          <w:tcPr>
            <w:tcW w:w="6939" w:type="dxa"/>
            <w:tcBorders>
              <w:top w:val="single" w:sz="4" w:space="0" w:color="auto"/>
              <w:left w:val="single" w:sz="8" w:space="0" w:color="auto"/>
              <w:bottom w:val="single" w:sz="8" w:space="0" w:color="auto"/>
              <w:right w:val="single" w:sz="36" w:space="0" w:color="FF0000"/>
            </w:tcBorders>
            <w:vAlign w:val="center"/>
          </w:tcPr>
          <w:p w14:paraId="7A9148C7" w14:textId="77777777" w:rsidR="009617F5" w:rsidRPr="009617F5" w:rsidRDefault="009617F5" w:rsidP="00286F7D">
            <w:pPr>
              <w:rPr>
                <w:rFonts w:ascii="Arial" w:hAnsi="Arial" w:cs="Arial"/>
                <w:b/>
                <w:bCs/>
                <w:sz w:val="20"/>
                <w:szCs w:val="22"/>
              </w:rPr>
            </w:pPr>
            <w:r w:rsidRPr="009617F5">
              <w:rPr>
                <w:rFonts w:ascii="Arial" w:hAnsi="Arial" w:cs="Arial"/>
                <w:sz w:val="20"/>
                <w:szCs w:val="22"/>
              </w:rPr>
              <w:t>Půdy se sklonitostí vyšší než 12 stupňů, kambizemě, rendziny, pararendziny, rankery, regozemě, černozemě, hnědozemě a další, zrnitostně středně těžké až lehké, s různou skeletovitostí, vláhově závislé na klimatu a expozici.</w:t>
            </w:r>
          </w:p>
        </w:tc>
      </w:tr>
      <w:tr w:rsidR="009617F5" w:rsidRPr="009617F5" w14:paraId="6C5A6BF8"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0C839B55"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24167</w:t>
            </w:r>
          </w:p>
        </w:tc>
        <w:tc>
          <w:tcPr>
            <w:tcW w:w="910" w:type="dxa"/>
            <w:tcBorders>
              <w:top w:val="single" w:sz="4" w:space="0" w:color="auto"/>
              <w:left w:val="single" w:sz="8" w:space="0" w:color="auto"/>
              <w:bottom w:val="single" w:sz="8" w:space="0" w:color="auto"/>
              <w:right w:val="single" w:sz="8" w:space="0" w:color="auto"/>
            </w:tcBorders>
            <w:vAlign w:val="center"/>
          </w:tcPr>
          <w:p w14:paraId="2FEACF77"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vMerge w:val="restart"/>
            <w:tcBorders>
              <w:top w:val="single" w:sz="4" w:space="0" w:color="auto"/>
              <w:left w:val="single" w:sz="8" w:space="0" w:color="auto"/>
              <w:right w:val="single" w:sz="4" w:space="0" w:color="auto"/>
            </w:tcBorders>
            <w:vAlign w:val="center"/>
          </w:tcPr>
          <w:p w14:paraId="5E25DBED"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41</w:t>
            </w:r>
          </w:p>
        </w:tc>
        <w:tc>
          <w:tcPr>
            <w:tcW w:w="6939" w:type="dxa"/>
            <w:vMerge w:val="restart"/>
            <w:tcBorders>
              <w:top w:val="single" w:sz="4" w:space="0" w:color="auto"/>
              <w:left w:val="single" w:sz="8" w:space="0" w:color="auto"/>
              <w:right w:val="single" w:sz="36" w:space="0" w:color="FF0000"/>
            </w:tcBorders>
            <w:vAlign w:val="center"/>
          </w:tcPr>
          <w:p w14:paraId="6D72E8D0" w14:textId="77777777" w:rsidR="009617F5" w:rsidRPr="009617F5" w:rsidRDefault="009617F5" w:rsidP="00286F7D">
            <w:pPr>
              <w:rPr>
                <w:rFonts w:ascii="Arial" w:hAnsi="Arial" w:cs="Arial"/>
                <w:b/>
                <w:bCs/>
                <w:sz w:val="20"/>
                <w:szCs w:val="22"/>
              </w:rPr>
            </w:pPr>
            <w:r w:rsidRPr="009617F5">
              <w:rPr>
                <w:rFonts w:ascii="Arial" w:hAnsi="Arial" w:cs="Arial"/>
                <w:sz w:val="20"/>
                <w:szCs w:val="22"/>
              </w:rPr>
              <w:t>Půdy jako u HPJ 40 avšak zrnitostně středně těžké až velmi těžké s poněkud příznivějšími vláhovými poměry.</w:t>
            </w:r>
          </w:p>
        </w:tc>
      </w:tr>
      <w:tr w:rsidR="009617F5" w:rsidRPr="009617F5" w14:paraId="2DB70AC3"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63ED0566"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24168</w:t>
            </w:r>
          </w:p>
        </w:tc>
        <w:tc>
          <w:tcPr>
            <w:tcW w:w="910" w:type="dxa"/>
            <w:tcBorders>
              <w:top w:val="single" w:sz="4" w:space="0" w:color="auto"/>
              <w:left w:val="single" w:sz="8" w:space="0" w:color="auto"/>
              <w:bottom w:val="single" w:sz="8" w:space="0" w:color="auto"/>
              <w:right w:val="single" w:sz="8" w:space="0" w:color="auto"/>
            </w:tcBorders>
            <w:vAlign w:val="center"/>
          </w:tcPr>
          <w:p w14:paraId="16F50115"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vMerge/>
            <w:tcBorders>
              <w:left w:val="single" w:sz="8" w:space="0" w:color="auto"/>
              <w:right w:val="single" w:sz="4" w:space="0" w:color="auto"/>
            </w:tcBorders>
            <w:vAlign w:val="center"/>
          </w:tcPr>
          <w:p w14:paraId="5037531A"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right w:val="single" w:sz="36" w:space="0" w:color="FF0000"/>
            </w:tcBorders>
            <w:vAlign w:val="center"/>
          </w:tcPr>
          <w:p w14:paraId="757BE96E" w14:textId="77777777" w:rsidR="009617F5" w:rsidRPr="009617F5" w:rsidRDefault="009617F5" w:rsidP="00286F7D">
            <w:pPr>
              <w:rPr>
                <w:rFonts w:ascii="Arial" w:hAnsi="Arial" w:cs="Arial"/>
                <w:b/>
                <w:bCs/>
                <w:sz w:val="20"/>
                <w:szCs w:val="22"/>
              </w:rPr>
            </w:pPr>
          </w:p>
        </w:tc>
      </w:tr>
      <w:tr w:rsidR="009617F5" w:rsidRPr="009617F5" w14:paraId="515C5BDC"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6224A099"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24177</w:t>
            </w:r>
          </w:p>
        </w:tc>
        <w:tc>
          <w:tcPr>
            <w:tcW w:w="910" w:type="dxa"/>
            <w:tcBorders>
              <w:top w:val="single" w:sz="4" w:space="0" w:color="auto"/>
              <w:left w:val="single" w:sz="8" w:space="0" w:color="auto"/>
              <w:bottom w:val="single" w:sz="8" w:space="0" w:color="auto"/>
              <w:right w:val="single" w:sz="8" w:space="0" w:color="auto"/>
            </w:tcBorders>
            <w:vAlign w:val="center"/>
          </w:tcPr>
          <w:p w14:paraId="3231EB8B"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vMerge/>
            <w:tcBorders>
              <w:left w:val="single" w:sz="8" w:space="0" w:color="auto"/>
              <w:right w:val="single" w:sz="4" w:space="0" w:color="auto"/>
            </w:tcBorders>
            <w:vAlign w:val="center"/>
          </w:tcPr>
          <w:p w14:paraId="402604CB"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right w:val="single" w:sz="36" w:space="0" w:color="FF0000"/>
            </w:tcBorders>
            <w:vAlign w:val="center"/>
          </w:tcPr>
          <w:p w14:paraId="0D92BCA9" w14:textId="77777777" w:rsidR="009617F5" w:rsidRPr="009617F5" w:rsidRDefault="009617F5" w:rsidP="00286F7D">
            <w:pPr>
              <w:rPr>
                <w:rFonts w:ascii="Arial" w:hAnsi="Arial" w:cs="Arial"/>
                <w:b/>
                <w:bCs/>
                <w:sz w:val="20"/>
                <w:szCs w:val="22"/>
              </w:rPr>
            </w:pPr>
          </w:p>
        </w:tc>
      </w:tr>
      <w:tr w:rsidR="009617F5" w:rsidRPr="009617F5" w14:paraId="5F31CE3A"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5F3CF72A"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24178</w:t>
            </w:r>
          </w:p>
        </w:tc>
        <w:tc>
          <w:tcPr>
            <w:tcW w:w="910" w:type="dxa"/>
            <w:tcBorders>
              <w:top w:val="single" w:sz="4" w:space="0" w:color="auto"/>
              <w:left w:val="single" w:sz="8" w:space="0" w:color="auto"/>
              <w:bottom w:val="single" w:sz="8" w:space="0" w:color="auto"/>
              <w:right w:val="single" w:sz="8" w:space="0" w:color="auto"/>
            </w:tcBorders>
            <w:vAlign w:val="center"/>
          </w:tcPr>
          <w:p w14:paraId="40E2E3D8"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vMerge/>
            <w:tcBorders>
              <w:left w:val="single" w:sz="8" w:space="0" w:color="auto"/>
              <w:bottom w:val="single" w:sz="8" w:space="0" w:color="auto"/>
              <w:right w:val="single" w:sz="4" w:space="0" w:color="auto"/>
            </w:tcBorders>
            <w:vAlign w:val="center"/>
          </w:tcPr>
          <w:p w14:paraId="5B4BAA49"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bottom w:val="single" w:sz="8" w:space="0" w:color="auto"/>
              <w:right w:val="single" w:sz="36" w:space="0" w:color="FF0000"/>
            </w:tcBorders>
            <w:vAlign w:val="center"/>
          </w:tcPr>
          <w:p w14:paraId="00D0A40A" w14:textId="77777777" w:rsidR="009617F5" w:rsidRPr="009617F5" w:rsidRDefault="009617F5" w:rsidP="00286F7D">
            <w:pPr>
              <w:rPr>
                <w:rFonts w:ascii="Arial" w:hAnsi="Arial" w:cs="Arial"/>
                <w:b/>
                <w:bCs/>
                <w:sz w:val="20"/>
                <w:szCs w:val="22"/>
              </w:rPr>
            </w:pPr>
          </w:p>
        </w:tc>
      </w:tr>
      <w:tr w:rsidR="009617F5" w:rsidRPr="009617F5" w14:paraId="54409D10"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14C16290"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25011</w:t>
            </w:r>
          </w:p>
        </w:tc>
        <w:tc>
          <w:tcPr>
            <w:tcW w:w="910" w:type="dxa"/>
            <w:tcBorders>
              <w:top w:val="single" w:sz="4" w:space="0" w:color="auto"/>
              <w:left w:val="single" w:sz="8" w:space="0" w:color="auto"/>
              <w:bottom w:val="single" w:sz="8" w:space="0" w:color="auto"/>
              <w:right w:val="single" w:sz="8" w:space="0" w:color="auto"/>
            </w:tcBorders>
            <w:vAlign w:val="center"/>
          </w:tcPr>
          <w:p w14:paraId="59EEE4EF" w14:textId="77777777" w:rsidR="009617F5" w:rsidRPr="009617F5" w:rsidRDefault="009617F5" w:rsidP="00286F7D">
            <w:pPr>
              <w:rPr>
                <w:rFonts w:ascii="Arial" w:hAnsi="Arial" w:cs="Arial"/>
                <w:sz w:val="20"/>
                <w:szCs w:val="22"/>
              </w:rPr>
            </w:pPr>
            <w:r w:rsidRPr="009617F5">
              <w:rPr>
                <w:rFonts w:ascii="Arial" w:hAnsi="Arial" w:cs="Arial"/>
                <w:sz w:val="20"/>
                <w:szCs w:val="22"/>
              </w:rPr>
              <w:t>IV</w:t>
            </w:r>
          </w:p>
        </w:tc>
        <w:tc>
          <w:tcPr>
            <w:tcW w:w="836" w:type="dxa"/>
            <w:vMerge w:val="restart"/>
            <w:tcBorders>
              <w:top w:val="single" w:sz="4" w:space="0" w:color="auto"/>
              <w:left w:val="single" w:sz="8" w:space="0" w:color="auto"/>
              <w:right w:val="single" w:sz="4" w:space="0" w:color="auto"/>
            </w:tcBorders>
            <w:vAlign w:val="center"/>
          </w:tcPr>
          <w:p w14:paraId="3CD18EA0"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50</w:t>
            </w:r>
          </w:p>
        </w:tc>
        <w:tc>
          <w:tcPr>
            <w:tcW w:w="6939" w:type="dxa"/>
            <w:vMerge w:val="restart"/>
            <w:tcBorders>
              <w:top w:val="single" w:sz="4" w:space="0" w:color="auto"/>
              <w:left w:val="single" w:sz="8" w:space="0" w:color="auto"/>
              <w:right w:val="single" w:sz="36" w:space="0" w:color="FF0000"/>
            </w:tcBorders>
            <w:vAlign w:val="center"/>
          </w:tcPr>
          <w:p w14:paraId="4E5955E2" w14:textId="77777777" w:rsidR="009617F5" w:rsidRPr="009617F5" w:rsidRDefault="009617F5" w:rsidP="00286F7D">
            <w:pPr>
              <w:rPr>
                <w:rFonts w:ascii="Arial" w:hAnsi="Arial" w:cs="Arial"/>
                <w:b/>
                <w:bCs/>
                <w:sz w:val="20"/>
                <w:szCs w:val="22"/>
              </w:rPr>
            </w:pPr>
            <w:r w:rsidRPr="009617F5">
              <w:rPr>
                <w:rFonts w:ascii="Arial" w:hAnsi="Arial" w:cs="Arial"/>
                <w:sz w:val="20"/>
                <w:szCs w:val="22"/>
              </w:rPr>
              <w:t>Kambizemě oglejené a pseudogleje modální na žulách, rulách a jiných pevných horninách (které nejsou v HPJ 48 a 49), středně těžké lehčí až středně těžké, slabě až středně skeletovité, se sklonem k dočasnému zamokření.</w:t>
            </w:r>
          </w:p>
        </w:tc>
      </w:tr>
      <w:tr w:rsidR="009617F5" w:rsidRPr="009617F5" w14:paraId="0040E7FB"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4DD6401C"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25041</w:t>
            </w:r>
          </w:p>
        </w:tc>
        <w:tc>
          <w:tcPr>
            <w:tcW w:w="910" w:type="dxa"/>
            <w:tcBorders>
              <w:top w:val="single" w:sz="4" w:space="0" w:color="auto"/>
              <w:left w:val="single" w:sz="8" w:space="0" w:color="auto"/>
              <w:bottom w:val="single" w:sz="8" w:space="0" w:color="auto"/>
              <w:right w:val="single" w:sz="8" w:space="0" w:color="auto"/>
            </w:tcBorders>
            <w:vAlign w:val="center"/>
          </w:tcPr>
          <w:p w14:paraId="2F664F16" w14:textId="77777777" w:rsidR="009617F5" w:rsidRPr="009617F5" w:rsidRDefault="009617F5" w:rsidP="00286F7D">
            <w:pPr>
              <w:rPr>
                <w:rFonts w:ascii="Arial" w:hAnsi="Arial" w:cs="Arial"/>
                <w:sz w:val="20"/>
                <w:szCs w:val="22"/>
              </w:rPr>
            </w:pPr>
            <w:r w:rsidRPr="009617F5">
              <w:rPr>
                <w:rFonts w:ascii="Arial" w:hAnsi="Arial" w:cs="Arial"/>
                <w:sz w:val="20"/>
                <w:szCs w:val="22"/>
              </w:rPr>
              <w:t>IV</w:t>
            </w:r>
          </w:p>
        </w:tc>
        <w:tc>
          <w:tcPr>
            <w:tcW w:w="836" w:type="dxa"/>
            <w:vMerge/>
            <w:tcBorders>
              <w:left w:val="single" w:sz="8" w:space="0" w:color="auto"/>
              <w:right w:val="single" w:sz="4" w:space="0" w:color="auto"/>
            </w:tcBorders>
            <w:vAlign w:val="center"/>
          </w:tcPr>
          <w:p w14:paraId="02F4BB77"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right w:val="single" w:sz="36" w:space="0" w:color="FF0000"/>
            </w:tcBorders>
            <w:vAlign w:val="center"/>
          </w:tcPr>
          <w:p w14:paraId="01C867C0" w14:textId="77777777" w:rsidR="009617F5" w:rsidRPr="009617F5" w:rsidRDefault="009617F5" w:rsidP="00286F7D">
            <w:pPr>
              <w:rPr>
                <w:rFonts w:ascii="Arial" w:hAnsi="Arial" w:cs="Arial"/>
                <w:b/>
                <w:bCs/>
                <w:sz w:val="20"/>
                <w:szCs w:val="22"/>
              </w:rPr>
            </w:pPr>
          </w:p>
        </w:tc>
      </w:tr>
      <w:tr w:rsidR="009617F5" w:rsidRPr="009617F5" w14:paraId="0577BD87"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55102746"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25051</w:t>
            </w:r>
          </w:p>
        </w:tc>
        <w:tc>
          <w:tcPr>
            <w:tcW w:w="910" w:type="dxa"/>
            <w:tcBorders>
              <w:top w:val="single" w:sz="4" w:space="0" w:color="auto"/>
              <w:left w:val="single" w:sz="8" w:space="0" w:color="auto"/>
              <w:bottom w:val="single" w:sz="8" w:space="0" w:color="auto"/>
              <w:right w:val="single" w:sz="8" w:space="0" w:color="auto"/>
            </w:tcBorders>
            <w:vAlign w:val="center"/>
          </w:tcPr>
          <w:p w14:paraId="67BF8940" w14:textId="77777777" w:rsidR="009617F5" w:rsidRPr="009617F5" w:rsidRDefault="009617F5" w:rsidP="00286F7D">
            <w:pPr>
              <w:rPr>
                <w:rFonts w:ascii="Arial" w:hAnsi="Arial" w:cs="Arial"/>
                <w:sz w:val="20"/>
                <w:szCs w:val="22"/>
              </w:rPr>
            </w:pPr>
            <w:r w:rsidRPr="009617F5">
              <w:rPr>
                <w:rFonts w:ascii="Arial" w:hAnsi="Arial" w:cs="Arial"/>
                <w:sz w:val="20"/>
                <w:szCs w:val="22"/>
              </w:rPr>
              <w:t>IV</w:t>
            </w:r>
          </w:p>
        </w:tc>
        <w:tc>
          <w:tcPr>
            <w:tcW w:w="836" w:type="dxa"/>
            <w:vMerge/>
            <w:tcBorders>
              <w:left w:val="single" w:sz="8" w:space="0" w:color="auto"/>
              <w:bottom w:val="single" w:sz="8" w:space="0" w:color="auto"/>
              <w:right w:val="single" w:sz="4" w:space="0" w:color="auto"/>
            </w:tcBorders>
            <w:vAlign w:val="center"/>
          </w:tcPr>
          <w:p w14:paraId="3A014F0A"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bottom w:val="single" w:sz="8" w:space="0" w:color="auto"/>
              <w:right w:val="single" w:sz="36" w:space="0" w:color="FF0000"/>
            </w:tcBorders>
            <w:vAlign w:val="center"/>
          </w:tcPr>
          <w:p w14:paraId="5F4216F6" w14:textId="77777777" w:rsidR="009617F5" w:rsidRPr="009617F5" w:rsidRDefault="009617F5" w:rsidP="00286F7D">
            <w:pPr>
              <w:rPr>
                <w:rFonts w:ascii="Arial" w:hAnsi="Arial" w:cs="Arial"/>
                <w:b/>
                <w:bCs/>
                <w:sz w:val="20"/>
                <w:szCs w:val="22"/>
              </w:rPr>
            </w:pPr>
          </w:p>
        </w:tc>
      </w:tr>
      <w:tr w:rsidR="009617F5" w:rsidRPr="009617F5" w14:paraId="599EA5AF"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5DAE9592"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25211</w:t>
            </w:r>
          </w:p>
        </w:tc>
        <w:tc>
          <w:tcPr>
            <w:tcW w:w="910" w:type="dxa"/>
            <w:tcBorders>
              <w:top w:val="single" w:sz="4" w:space="0" w:color="auto"/>
              <w:left w:val="single" w:sz="8" w:space="0" w:color="auto"/>
              <w:bottom w:val="single" w:sz="8" w:space="0" w:color="auto"/>
              <w:right w:val="single" w:sz="8" w:space="0" w:color="auto"/>
            </w:tcBorders>
            <w:vAlign w:val="center"/>
          </w:tcPr>
          <w:p w14:paraId="0DACDE5B" w14:textId="77777777" w:rsidR="009617F5" w:rsidRPr="009617F5" w:rsidRDefault="009617F5" w:rsidP="00286F7D">
            <w:pPr>
              <w:rPr>
                <w:rFonts w:ascii="Arial" w:hAnsi="Arial" w:cs="Arial"/>
                <w:sz w:val="20"/>
                <w:szCs w:val="22"/>
              </w:rPr>
            </w:pPr>
            <w:r w:rsidRPr="009617F5">
              <w:rPr>
                <w:rFonts w:ascii="Arial" w:hAnsi="Arial" w:cs="Arial"/>
                <w:sz w:val="20"/>
                <w:szCs w:val="22"/>
              </w:rPr>
              <w:t>IV</w:t>
            </w:r>
          </w:p>
        </w:tc>
        <w:tc>
          <w:tcPr>
            <w:tcW w:w="836" w:type="dxa"/>
            <w:tcBorders>
              <w:top w:val="single" w:sz="4" w:space="0" w:color="auto"/>
              <w:left w:val="single" w:sz="8" w:space="0" w:color="auto"/>
              <w:bottom w:val="single" w:sz="8" w:space="0" w:color="auto"/>
              <w:right w:val="single" w:sz="4" w:space="0" w:color="auto"/>
            </w:tcBorders>
            <w:vAlign w:val="center"/>
          </w:tcPr>
          <w:p w14:paraId="3BDAF425"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52</w:t>
            </w:r>
          </w:p>
        </w:tc>
        <w:tc>
          <w:tcPr>
            <w:tcW w:w="6939" w:type="dxa"/>
            <w:tcBorders>
              <w:top w:val="single" w:sz="4" w:space="0" w:color="auto"/>
              <w:left w:val="single" w:sz="8" w:space="0" w:color="auto"/>
              <w:bottom w:val="single" w:sz="8" w:space="0" w:color="auto"/>
              <w:right w:val="single" w:sz="36" w:space="0" w:color="FF0000"/>
            </w:tcBorders>
            <w:vAlign w:val="center"/>
          </w:tcPr>
          <w:p w14:paraId="59D4F3ED" w14:textId="77777777" w:rsidR="009617F5" w:rsidRPr="009617F5" w:rsidRDefault="009617F5" w:rsidP="00286F7D">
            <w:pPr>
              <w:rPr>
                <w:rFonts w:ascii="Arial" w:hAnsi="Arial" w:cs="Arial"/>
                <w:bCs/>
                <w:sz w:val="20"/>
                <w:szCs w:val="22"/>
              </w:rPr>
            </w:pPr>
            <w:r w:rsidRPr="009617F5">
              <w:rPr>
                <w:rFonts w:ascii="Arial" w:hAnsi="Arial" w:cs="Arial"/>
                <w:sz w:val="20"/>
                <w:szCs w:val="22"/>
              </w:rPr>
              <w:t>Pseudogleje modální,kambizemě oglejené na lehčích sedimentech limnického tercieru (sladkovodní svrchnokřídové a tercierní uloženiny), často s příměsí eolického materiálu, zpravidla jen slabě skeletovité, zrnitostně středně těžké lehčí až lehké, se sklonem k dočasnému převlhčení.</w:t>
            </w:r>
          </w:p>
        </w:tc>
      </w:tr>
      <w:tr w:rsidR="009617F5" w:rsidRPr="009617F5" w14:paraId="35798442"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36471B91"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25411</w:t>
            </w:r>
          </w:p>
        </w:tc>
        <w:tc>
          <w:tcPr>
            <w:tcW w:w="910" w:type="dxa"/>
            <w:tcBorders>
              <w:top w:val="single" w:sz="4" w:space="0" w:color="auto"/>
              <w:left w:val="single" w:sz="8" w:space="0" w:color="auto"/>
              <w:bottom w:val="single" w:sz="8" w:space="0" w:color="auto"/>
              <w:right w:val="single" w:sz="8" w:space="0" w:color="auto"/>
            </w:tcBorders>
            <w:vAlign w:val="center"/>
          </w:tcPr>
          <w:p w14:paraId="60F96037" w14:textId="77777777" w:rsidR="009617F5" w:rsidRPr="009617F5" w:rsidRDefault="009617F5" w:rsidP="00286F7D">
            <w:pPr>
              <w:rPr>
                <w:rFonts w:ascii="Arial" w:hAnsi="Arial" w:cs="Arial"/>
                <w:sz w:val="20"/>
                <w:szCs w:val="22"/>
              </w:rPr>
            </w:pPr>
            <w:r w:rsidRPr="009617F5">
              <w:rPr>
                <w:rFonts w:ascii="Arial" w:hAnsi="Arial" w:cs="Arial"/>
                <w:sz w:val="20"/>
                <w:szCs w:val="22"/>
              </w:rPr>
              <w:t>IV</w:t>
            </w:r>
          </w:p>
        </w:tc>
        <w:tc>
          <w:tcPr>
            <w:tcW w:w="836" w:type="dxa"/>
            <w:tcBorders>
              <w:top w:val="single" w:sz="4" w:space="0" w:color="auto"/>
              <w:left w:val="single" w:sz="8" w:space="0" w:color="auto"/>
              <w:bottom w:val="single" w:sz="8" w:space="0" w:color="auto"/>
              <w:right w:val="single" w:sz="4" w:space="0" w:color="auto"/>
            </w:tcBorders>
            <w:vAlign w:val="center"/>
          </w:tcPr>
          <w:p w14:paraId="59ED1650"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54</w:t>
            </w:r>
          </w:p>
        </w:tc>
        <w:tc>
          <w:tcPr>
            <w:tcW w:w="6939" w:type="dxa"/>
            <w:tcBorders>
              <w:top w:val="single" w:sz="4" w:space="0" w:color="auto"/>
              <w:left w:val="single" w:sz="8" w:space="0" w:color="auto"/>
              <w:bottom w:val="single" w:sz="8" w:space="0" w:color="auto"/>
              <w:right w:val="single" w:sz="36" w:space="0" w:color="FF0000"/>
            </w:tcBorders>
            <w:vAlign w:val="center"/>
          </w:tcPr>
          <w:p w14:paraId="777DF052" w14:textId="77777777" w:rsidR="009617F5" w:rsidRPr="009617F5" w:rsidRDefault="009617F5" w:rsidP="00286F7D">
            <w:pPr>
              <w:rPr>
                <w:rFonts w:ascii="Arial" w:hAnsi="Arial" w:cs="Arial"/>
                <w:b/>
                <w:bCs/>
                <w:sz w:val="20"/>
                <w:szCs w:val="22"/>
              </w:rPr>
            </w:pPr>
            <w:r w:rsidRPr="009617F5">
              <w:rPr>
                <w:rFonts w:ascii="Arial" w:hAnsi="Arial" w:cs="Arial"/>
                <w:sz w:val="20"/>
                <w:szCs w:val="22"/>
              </w:rPr>
              <w:t>Pseudogleje pelické, pelozemě oglejené, pelozemě vyluhované oglejené, kambizemě pelické oglejené, pararendziny pelické oglejené na slínech, jílech mořského neogenu a flyše a jílovitých sedimentech limnického tercieru  (sladkovodní svrchnokřídové uloženiny), těžké až velmi těžké, s velmi nepříznivými fyzikálními vlastnostmi.</w:t>
            </w:r>
          </w:p>
        </w:tc>
      </w:tr>
      <w:tr w:rsidR="009617F5" w:rsidRPr="009617F5" w14:paraId="16F43820"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11D3A53B" w14:textId="77777777" w:rsidR="009617F5" w:rsidRPr="009617F5" w:rsidRDefault="009617F5" w:rsidP="00286F7D">
            <w:pPr>
              <w:rPr>
                <w:rFonts w:ascii="Arial" w:hAnsi="Arial" w:cs="Arial"/>
                <w:sz w:val="20"/>
                <w:szCs w:val="22"/>
              </w:rPr>
            </w:pPr>
            <w:r w:rsidRPr="009617F5">
              <w:rPr>
                <w:rFonts w:ascii="Arial" w:hAnsi="Arial" w:cs="Arial"/>
                <w:bCs/>
                <w:sz w:val="20"/>
                <w:szCs w:val="22"/>
              </w:rPr>
              <w:t>26701</w:t>
            </w:r>
          </w:p>
        </w:tc>
        <w:tc>
          <w:tcPr>
            <w:tcW w:w="910" w:type="dxa"/>
            <w:tcBorders>
              <w:top w:val="single" w:sz="4" w:space="0" w:color="auto"/>
              <w:left w:val="single" w:sz="8" w:space="0" w:color="auto"/>
              <w:bottom w:val="single" w:sz="8" w:space="0" w:color="auto"/>
              <w:right w:val="single" w:sz="8" w:space="0" w:color="auto"/>
            </w:tcBorders>
          </w:tcPr>
          <w:p w14:paraId="7F768652" w14:textId="77777777" w:rsidR="009617F5" w:rsidRPr="009617F5" w:rsidRDefault="009617F5" w:rsidP="00286F7D">
            <w:pPr>
              <w:rPr>
                <w:rFonts w:ascii="Arial" w:hAnsi="Arial" w:cs="Arial"/>
                <w:bCs/>
                <w:sz w:val="20"/>
                <w:szCs w:val="22"/>
              </w:rPr>
            </w:pPr>
          </w:p>
          <w:p w14:paraId="010BF958" w14:textId="77777777" w:rsidR="009617F5" w:rsidRPr="009617F5" w:rsidRDefault="009617F5" w:rsidP="00286F7D">
            <w:pPr>
              <w:rPr>
                <w:rFonts w:ascii="Arial" w:hAnsi="Arial" w:cs="Arial"/>
                <w:bCs/>
                <w:sz w:val="20"/>
                <w:szCs w:val="22"/>
              </w:rPr>
            </w:pPr>
          </w:p>
          <w:p w14:paraId="43695AB1"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V</w:t>
            </w:r>
          </w:p>
        </w:tc>
        <w:tc>
          <w:tcPr>
            <w:tcW w:w="836" w:type="dxa"/>
            <w:tcBorders>
              <w:top w:val="single" w:sz="4" w:space="0" w:color="auto"/>
              <w:left w:val="single" w:sz="8" w:space="0" w:color="auto"/>
              <w:bottom w:val="single" w:sz="8" w:space="0" w:color="auto"/>
              <w:right w:val="single" w:sz="4" w:space="0" w:color="auto"/>
            </w:tcBorders>
            <w:vAlign w:val="center"/>
          </w:tcPr>
          <w:p w14:paraId="3BC91B35"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67</w:t>
            </w:r>
          </w:p>
        </w:tc>
        <w:tc>
          <w:tcPr>
            <w:tcW w:w="6939" w:type="dxa"/>
            <w:tcBorders>
              <w:top w:val="single" w:sz="4" w:space="0" w:color="auto"/>
              <w:left w:val="single" w:sz="8" w:space="0" w:color="auto"/>
              <w:bottom w:val="single" w:sz="8" w:space="0" w:color="auto"/>
              <w:right w:val="single" w:sz="36" w:space="0" w:color="FF0000"/>
            </w:tcBorders>
            <w:vAlign w:val="center"/>
          </w:tcPr>
          <w:p w14:paraId="2D259C91" w14:textId="77777777" w:rsidR="009617F5" w:rsidRPr="009617F5" w:rsidRDefault="009617F5" w:rsidP="00286F7D">
            <w:pPr>
              <w:rPr>
                <w:rFonts w:ascii="Arial" w:hAnsi="Arial" w:cs="Arial"/>
                <w:b/>
                <w:bCs/>
                <w:sz w:val="20"/>
                <w:szCs w:val="22"/>
              </w:rPr>
            </w:pPr>
            <w:r w:rsidRPr="009617F5">
              <w:rPr>
                <w:rFonts w:ascii="Arial" w:hAnsi="Arial" w:cs="Arial"/>
                <w:sz w:val="20"/>
                <w:szCs w:val="22"/>
              </w:rPr>
              <w:t>Gleje modální na různých substrátech často vrstevnatě uložených, v polohách širokých depresí a rovinných celků, středně těžké až těžké, při vodních tocích závislé na výšce hladiny toku, zaplavované, těžko odvodnitelné.</w:t>
            </w:r>
          </w:p>
        </w:tc>
      </w:tr>
      <w:tr w:rsidR="009617F5" w:rsidRPr="009617F5" w14:paraId="2DD759B0"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3219E81C"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27769</w:t>
            </w:r>
          </w:p>
        </w:tc>
        <w:tc>
          <w:tcPr>
            <w:tcW w:w="910" w:type="dxa"/>
            <w:tcBorders>
              <w:top w:val="single" w:sz="4" w:space="0" w:color="auto"/>
              <w:left w:val="single" w:sz="8" w:space="0" w:color="auto"/>
              <w:bottom w:val="single" w:sz="8" w:space="0" w:color="auto"/>
              <w:right w:val="single" w:sz="8" w:space="0" w:color="auto"/>
            </w:tcBorders>
            <w:vAlign w:val="center"/>
          </w:tcPr>
          <w:p w14:paraId="26EA54C3"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tcBorders>
              <w:top w:val="single" w:sz="4" w:space="0" w:color="auto"/>
              <w:left w:val="single" w:sz="8" w:space="0" w:color="auto"/>
              <w:bottom w:val="single" w:sz="8" w:space="0" w:color="auto"/>
              <w:right w:val="single" w:sz="4" w:space="0" w:color="auto"/>
            </w:tcBorders>
            <w:vAlign w:val="center"/>
          </w:tcPr>
          <w:p w14:paraId="06C28779"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77</w:t>
            </w:r>
          </w:p>
        </w:tc>
        <w:tc>
          <w:tcPr>
            <w:tcW w:w="6939" w:type="dxa"/>
            <w:tcBorders>
              <w:top w:val="single" w:sz="4" w:space="0" w:color="auto"/>
              <w:left w:val="single" w:sz="8" w:space="0" w:color="auto"/>
              <w:bottom w:val="single" w:sz="8" w:space="0" w:color="auto"/>
              <w:right w:val="single" w:sz="36" w:space="0" w:color="FF0000"/>
            </w:tcBorders>
            <w:vAlign w:val="center"/>
          </w:tcPr>
          <w:p w14:paraId="6FD3DD22" w14:textId="77777777" w:rsidR="009617F5" w:rsidRPr="009617F5" w:rsidRDefault="009617F5" w:rsidP="00286F7D">
            <w:pPr>
              <w:rPr>
                <w:rFonts w:ascii="Arial" w:hAnsi="Arial" w:cs="Arial"/>
                <w:b/>
                <w:bCs/>
                <w:sz w:val="20"/>
                <w:szCs w:val="22"/>
              </w:rPr>
            </w:pPr>
            <w:r w:rsidRPr="009617F5">
              <w:rPr>
                <w:rFonts w:ascii="Arial" w:hAnsi="Arial" w:cs="Arial"/>
                <w:sz w:val="20"/>
                <w:szCs w:val="22"/>
              </w:rPr>
              <w:t>Mělké strže do hloubky 3m s výskytem koluvizemí, regozemí, kambizemí a dalších, s erozními smyvy ornic, různé zrnitosti, bezskeletovité až silně skeletovité, pro zemědělské využití málo vhodné.</w:t>
            </w:r>
          </w:p>
        </w:tc>
      </w:tr>
      <w:tr w:rsidR="009617F5" w:rsidRPr="009617F5" w14:paraId="3139CB07"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399883FD"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51410</w:t>
            </w:r>
          </w:p>
        </w:tc>
        <w:tc>
          <w:tcPr>
            <w:tcW w:w="910" w:type="dxa"/>
            <w:tcBorders>
              <w:top w:val="single" w:sz="4" w:space="0" w:color="auto"/>
              <w:left w:val="single" w:sz="8" w:space="0" w:color="auto"/>
              <w:bottom w:val="single" w:sz="8" w:space="0" w:color="auto"/>
              <w:right w:val="single" w:sz="8" w:space="0" w:color="auto"/>
            </w:tcBorders>
            <w:vAlign w:val="center"/>
          </w:tcPr>
          <w:p w14:paraId="2B0C4C97" w14:textId="77777777" w:rsidR="009617F5" w:rsidRPr="009617F5" w:rsidRDefault="009617F5" w:rsidP="00286F7D">
            <w:pPr>
              <w:rPr>
                <w:rFonts w:ascii="Arial" w:hAnsi="Arial" w:cs="Arial"/>
                <w:sz w:val="20"/>
                <w:szCs w:val="22"/>
              </w:rPr>
            </w:pPr>
            <w:r w:rsidRPr="009617F5">
              <w:rPr>
                <w:rFonts w:ascii="Arial" w:hAnsi="Arial" w:cs="Arial"/>
                <w:sz w:val="20"/>
                <w:szCs w:val="22"/>
              </w:rPr>
              <w:t>II</w:t>
            </w:r>
          </w:p>
        </w:tc>
        <w:tc>
          <w:tcPr>
            <w:tcW w:w="836" w:type="dxa"/>
            <w:vMerge w:val="restart"/>
            <w:tcBorders>
              <w:top w:val="single" w:sz="4" w:space="0" w:color="auto"/>
              <w:left w:val="single" w:sz="8" w:space="0" w:color="auto"/>
              <w:right w:val="single" w:sz="4" w:space="0" w:color="auto"/>
            </w:tcBorders>
            <w:vAlign w:val="center"/>
          </w:tcPr>
          <w:p w14:paraId="11E301DE"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14</w:t>
            </w:r>
          </w:p>
        </w:tc>
        <w:tc>
          <w:tcPr>
            <w:tcW w:w="6939" w:type="dxa"/>
            <w:vMerge w:val="restart"/>
            <w:tcBorders>
              <w:top w:val="single" w:sz="4" w:space="0" w:color="auto"/>
              <w:left w:val="single" w:sz="8" w:space="0" w:color="auto"/>
              <w:right w:val="single" w:sz="36" w:space="0" w:color="FF0000"/>
            </w:tcBorders>
            <w:vAlign w:val="center"/>
          </w:tcPr>
          <w:p w14:paraId="4CCB604A" w14:textId="77777777" w:rsidR="009617F5" w:rsidRPr="009617F5" w:rsidRDefault="009617F5" w:rsidP="00286F7D">
            <w:pPr>
              <w:rPr>
                <w:rFonts w:ascii="Arial" w:hAnsi="Arial" w:cs="Arial"/>
                <w:b/>
                <w:bCs/>
                <w:sz w:val="20"/>
                <w:szCs w:val="22"/>
              </w:rPr>
            </w:pPr>
            <w:r w:rsidRPr="009617F5">
              <w:rPr>
                <w:rFonts w:ascii="Arial" w:hAnsi="Arial" w:cs="Arial"/>
                <w:sz w:val="20"/>
                <w:szCs w:val="22"/>
              </w:rPr>
              <w:t>Luvizemě modální, hnědozemě uvité včetně slabě oglejených na sprašových hlínách (prachovicích), nebo svahových (polygenetických) hlínách s výraznou eolitickou příměsí, středně těžké s těžkou spodinou, s příznivými vláhovými poměry.</w:t>
            </w:r>
          </w:p>
        </w:tc>
      </w:tr>
      <w:tr w:rsidR="009617F5" w:rsidRPr="009617F5" w14:paraId="3D8C2F63"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112EA4B6"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51450</w:t>
            </w:r>
          </w:p>
        </w:tc>
        <w:tc>
          <w:tcPr>
            <w:tcW w:w="910" w:type="dxa"/>
            <w:tcBorders>
              <w:top w:val="single" w:sz="4" w:space="0" w:color="auto"/>
              <w:left w:val="single" w:sz="8" w:space="0" w:color="auto"/>
              <w:bottom w:val="single" w:sz="8" w:space="0" w:color="auto"/>
              <w:right w:val="single" w:sz="8" w:space="0" w:color="auto"/>
            </w:tcBorders>
            <w:vAlign w:val="center"/>
          </w:tcPr>
          <w:p w14:paraId="45719370" w14:textId="77777777" w:rsidR="009617F5" w:rsidRPr="009617F5" w:rsidRDefault="009617F5" w:rsidP="00286F7D">
            <w:pPr>
              <w:rPr>
                <w:rFonts w:ascii="Arial" w:hAnsi="Arial" w:cs="Arial"/>
                <w:sz w:val="20"/>
                <w:szCs w:val="22"/>
              </w:rPr>
            </w:pPr>
            <w:r w:rsidRPr="009617F5">
              <w:rPr>
                <w:rFonts w:ascii="Arial" w:hAnsi="Arial" w:cs="Arial"/>
                <w:sz w:val="20"/>
                <w:szCs w:val="22"/>
              </w:rPr>
              <w:t>III</w:t>
            </w:r>
          </w:p>
        </w:tc>
        <w:tc>
          <w:tcPr>
            <w:tcW w:w="836" w:type="dxa"/>
            <w:vMerge/>
            <w:tcBorders>
              <w:left w:val="single" w:sz="8" w:space="0" w:color="auto"/>
              <w:bottom w:val="single" w:sz="8" w:space="0" w:color="auto"/>
              <w:right w:val="single" w:sz="4" w:space="0" w:color="auto"/>
            </w:tcBorders>
            <w:vAlign w:val="center"/>
          </w:tcPr>
          <w:p w14:paraId="313207CE"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bottom w:val="single" w:sz="8" w:space="0" w:color="auto"/>
              <w:right w:val="single" w:sz="36" w:space="0" w:color="FF0000"/>
            </w:tcBorders>
            <w:vAlign w:val="center"/>
          </w:tcPr>
          <w:p w14:paraId="676234B0" w14:textId="77777777" w:rsidR="009617F5" w:rsidRPr="009617F5" w:rsidRDefault="009617F5" w:rsidP="00286F7D">
            <w:pPr>
              <w:rPr>
                <w:rFonts w:ascii="Arial" w:hAnsi="Arial" w:cs="Arial"/>
                <w:b/>
                <w:bCs/>
                <w:sz w:val="20"/>
                <w:szCs w:val="22"/>
              </w:rPr>
            </w:pPr>
          </w:p>
        </w:tc>
      </w:tr>
      <w:tr w:rsidR="009617F5" w:rsidRPr="009617F5" w14:paraId="7815F51E"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4602AE93"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51512</w:t>
            </w:r>
          </w:p>
        </w:tc>
        <w:tc>
          <w:tcPr>
            <w:tcW w:w="910" w:type="dxa"/>
            <w:tcBorders>
              <w:top w:val="single" w:sz="4" w:space="0" w:color="auto"/>
              <w:left w:val="single" w:sz="8" w:space="0" w:color="auto"/>
              <w:bottom w:val="single" w:sz="8" w:space="0" w:color="auto"/>
              <w:right w:val="single" w:sz="8" w:space="0" w:color="auto"/>
            </w:tcBorders>
            <w:vAlign w:val="center"/>
          </w:tcPr>
          <w:p w14:paraId="6FF00D6C" w14:textId="77777777" w:rsidR="009617F5" w:rsidRPr="009617F5" w:rsidRDefault="009617F5" w:rsidP="00286F7D">
            <w:pPr>
              <w:rPr>
                <w:rFonts w:ascii="Arial" w:hAnsi="Arial" w:cs="Arial"/>
                <w:sz w:val="20"/>
                <w:szCs w:val="22"/>
              </w:rPr>
            </w:pPr>
            <w:r w:rsidRPr="009617F5">
              <w:rPr>
                <w:rFonts w:ascii="Arial" w:hAnsi="Arial" w:cs="Arial"/>
                <w:sz w:val="20"/>
                <w:szCs w:val="22"/>
              </w:rPr>
              <w:t>II</w:t>
            </w:r>
          </w:p>
        </w:tc>
        <w:tc>
          <w:tcPr>
            <w:tcW w:w="836" w:type="dxa"/>
            <w:vMerge w:val="restart"/>
            <w:tcBorders>
              <w:top w:val="single" w:sz="4" w:space="0" w:color="auto"/>
              <w:left w:val="single" w:sz="8" w:space="0" w:color="auto"/>
              <w:right w:val="single" w:sz="4" w:space="0" w:color="auto"/>
            </w:tcBorders>
            <w:vAlign w:val="center"/>
          </w:tcPr>
          <w:p w14:paraId="673FE823"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15</w:t>
            </w:r>
          </w:p>
        </w:tc>
        <w:tc>
          <w:tcPr>
            <w:tcW w:w="6939" w:type="dxa"/>
            <w:vMerge w:val="restart"/>
            <w:tcBorders>
              <w:top w:val="single" w:sz="4" w:space="0" w:color="auto"/>
              <w:left w:val="single" w:sz="8" w:space="0" w:color="auto"/>
              <w:right w:val="single" w:sz="36" w:space="0" w:color="FF0000"/>
            </w:tcBorders>
            <w:vAlign w:val="center"/>
          </w:tcPr>
          <w:p w14:paraId="19B962F4" w14:textId="77777777" w:rsidR="009617F5" w:rsidRPr="009617F5" w:rsidRDefault="009617F5" w:rsidP="00286F7D">
            <w:pPr>
              <w:rPr>
                <w:rFonts w:ascii="Arial" w:hAnsi="Arial" w:cs="Arial"/>
                <w:b/>
                <w:bCs/>
                <w:sz w:val="20"/>
                <w:szCs w:val="22"/>
              </w:rPr>
            </w:pPr>
            <w:r w:rsidRPr="009617F5">
              <w:rPr>
                <w:rFonts w:ascii="Arial" w:hAnsi="Arial" w:cs="Arial"/>
                <w:sz w:val="20"/>
                <w:szCs w:val="22"/>
              </w:rPr>
              <w:t>Luvizemě modální a hnědozemě luvické, včetně oglejených variet na svahových hlínách s eolickou příměsí, středně těžké až těžké, až středně skeletovité,vláhově příznivé pouze s krátkodobým převlhčením.</w:t>
            </w:r>
          </w:p>
        </w:tc>
      </w:tr>
      <w:tr w:rsidR="009617F5" w:rsidRPr="009617F5" w14:paraId="73519525"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7D696EDD"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51550</w:t>
            </w:r>
          </w:p>
        </w:tc>
        <w:tc>
          <w:tcPr>
            <w:tcW w:w="910" w:type="dxa"/>
            <w:tcBorders>
              <w:top w:val="single" w:sz="4" w:space="0" w:color="auto"/>
              <w:left w:val="single" w:sz="8" w:space="0" w:color="auto"/>
              <w:bottom w:val="single" w:sz="8" w:space="0" w:color="auto"/>
              <w:right w:val="single" w:sz="8" w:space="0" w:color="auto"/>
            </w:tcBorders>
            <w:vAlign w:val="center"/>
          </w:tcPr>
          <w:p w14:paraId="50CF14F0" w14:textId="77777777" w:rsidR="009617F5" w:rsidRPr="009617F5" w:rsidRDefault="009617F5" w:rsidP="00286F7D">
            <w:pPr>
              <w:rPr>
                <w:rFonts w:ascii="Arial" w:hAnsi="Arial" w:cs="Arial"/>
                <w:sz w:val="20"/>
                <w:szCs w:val="22"/>
              </w:rPr>
            </w:pPr>
            <w:r w:rsidRPr="009617F5">
              <w:rPr>
                <w:rFonts w:ascii="Arial" w:hAnsi="Arial" w:cs="Arial"/>
                <w:sz w:val="20"/>
                <w:szCs w:val="22"/>
              </w:rPr>
              <w:t>III</w:t>
            </w:r>
          </w:p>
        </w:tc>
        <w:tc>
          <w:tcPr>
            <w:tcW w:w="836" w:type="dxa"/>
            <w:vMerge/>
            <w:tcBorders>
              <w:left w:val="single" w:sz="8" w:space="0" w:color="auto"/>
              <w:right w:val="single" w:sz="4" w:space="0" w:color="auto"/>
            </w:tcBorders>
            <w:vAlign w:val="center"/>
          </w:tcPr>
          <w:p w14:paraId="33631062"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right w:val="single" w:sz="36" w:space="0" w:color="FF0000"/>
            </w:tcBorders>
            <w:vAlign w:val="center"/>
          </w:tcPr>
          <w:p w14:paraId="7A78473B" w14:textId="77777777" w:rsidR="009617F5" w:rsidRPr="009617F5" w:rsidRDefault="009617F5" w:rsidP="00286F7D">
            <w:pPr>
              <w:rPr>
                <w:rFonts w:ascii="Arial" w:hAnsi="Arial" w:cs="Arial"/>
                <w:b/>
                <w:bCs/>
                <w:sz w:val="20"/>
                <w:szCs w:val="22"/>
              </w:rPr>
            </w:pPr>
          </w:p>
        </w:tc>
      </w:tr>
      <w:tr w:rsidR="009617F5" w:rsidRPr="009617F5" w14:paraId="232F5652"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1BD3B03E"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51552</w:t>
            </w:r>
          </w:p>
        </w:tc>
        <w:tc>
          <w:tcPr>
            <w:tcW w:w="910" w:type="dxa"/>
            <w:tcBorders>
              <w:top w:val="single" w:sz="4" w:space="0" w:color="auto"/>
              <w:left w:val="single" w:sz="8" w:space="0" w:color="auto"/>
              <w:bottom w:val="single" w:sz="8" w:space="0" w:color="auto"/>
              <w:right w:val="single" w:sz="8" w:space="0" w:color="auto"/>
            </w:tcBorders>
            <w:vAlign w:val="center"/>
          </w:tcPr>
          <w:p w14:paraId="231D017C" w14:textId="77777777" w:rsidR="009617F5" w:rsidRPr="009617F5" w:rsidRDefault="009617F5" w:rsidP="00286F7D">
            <w:pPr>
              <w:rPr>
                <w:rFonts w:ascii="Arial" w:hAnsi="Arial" w:cs="Arial"/>
                <w:sz w:val="20"/>
                <w:szCs w:val="22"/>
              </w:rPr>
            </w:pPr>
            <w:r w:rsidRPr="009617F5">
              <w:rPr>
                <w:rFonts w:ascii="Arial" w:hAnsi="Arial" w:cs="Arial"/>
                <w:sz w:val="20"/>
                <w:szCs w:val="22"/>
              </w:rPr>
              <w:t>III</w:t>
            </w:r>
          </w:p>
        </w:tc>
        <w:tc>
          <w:tcPr>
            <w:tcW w:w="836" w:type="dxa"/>
            <w:vMerge/>
            <w:tcBorders>
              <w:left w:val="single" w:sz="8" w:space="0" w:color="auto"/>
              <w:bottom w:val="single" w:sz="8" w:space="0" w:color="auto"/>
              <w:right w:val="single" w:sz="4" w:space="0" w:color="auto"/>
            </w:tcBorders>
            <w:vAlign w:val="center"/>
          </w:tcPr>
          <w:p w14:paraId="2ACEA60C"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bottom w:val="single" w:sz="8" w:space="0" w:color="auto"/>
              <w:right w:val="single" w:sz="36" w:space="0" w:color="FF0000"/>
            </w:tcBorders>
            <w:vAlign w:val="center"/>
          </w:tcPr>
          <w:p w14:paraId="54C4F672" w14:textId="77777777" w:rsidR="009617F5" w:rsidRPr="009617F5" w:rsidRDefault="009617F5" w:rsidP="00286F7D">
            <w:pPr>
              <w:rPr>
                <w:rFonts w:ascii="Arial" w:hAnsi="Arial" w:cs="Arial"/>
                <w:b/>
                <w:bCs/>
                <w:sz w:val="20"/>
                <w:szCs w:val="22"/>
              </w:rPr>
            </w:pPr>
          </w:p>
        </w:tc>
      </w:tr>
      <w:tr w:rsidR="009617F5" w:rsidRPr="009617F5" w14:paraId="6865D5DC"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6A0F58A2"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52854</w:t>
            </w:r>
          </w:p>
        </w:tc>
        <w:tc>
          <w:tcPr>
            <w:tcW w:w="910" w:type="dxa"/>
            <w:tcBorders>
              <w:top w:val="single" w:sz="4" w:space="0" w:color="auto"/>
              <w:left w:val="single" w:sz="8" w:space="0" w:color="auto"/>
              <w:bottom w:val="single" w:sz="8" w:space="0" w:color="auto"/>
              <w:right w:val="single" w:sz="8" w:space="0" w:color="auto"/>
            </w:tcBorders>
            <w:vAlign w:val="center"/>
          </w:tcPr>
          <w:p w14:paraId="69C83EAD" w14:textId="77777777" w:rsidR="009617F5" w:rsidRPr="009617F5" w:rsidRDefault="009617F5" w:rsidP="00286F7D">
            <w:pPr>
              <w:rPr>
                <w:rFonts w:ascii="Arial" w:hAnsi="Arial" w:cs="Arial"/>
                <w:sz w:val="20"/>
                <w:szCs w:val="22"/>
              </w:rPr>
            </w:pPr>
            <w:r w:rsidRPr="009617F5">
              <w:rPr>
                <w:rFonts w:ascii="Arial" w:hAnsi="Arial" w:cs="Arial"/>
                <w:sz w:val="20"/>
                <w:szCs w:val="22"/>
              </w:rPr>
              <w:t>IV</w:t>
            </w:r>
          </w:p>
        </w:tc>
        <w:tc>
          <w:tcPr>
            <w:tcW w:w="836" w:type="dxa"/>
            <w:tcBorders>
              <w:top w:val="single" w:sz="4" w:space="0" w:color="auto"/>
              <w:left w:val="single" w:sz="8" w:space="0" w:color="auto"/>
              <w:bottom w:val="single" w:sz="8" w:space="0" w:color="auto"/>
              <w:right w:val="single" w:sz="4" w:space="0" w:color="auto"/>
            </w:tcBorders>
            <w:vAlign w:val="center"/>
          </w:tcPr>
          <w:p w14:paraId="42196E68"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28</w:t>
            </w:r>
          </w:p>
        </w:tc>
        <w:tc>
          <w:tcPr>
            <w:tcW w:w="6939" w:type="dxa"/>
            <w:tcBorders>
              <w:top w:val="single" w:sz="4" w:space="0" w:color="auto"/>
              <w:left w:val="single" w:sz="8" w:space="0" w:color="auto"/>
              <w:bottom w:val="single" w:sz="8" w:space="0" w:color="auto"/>
              <w:right w:val="single" w:sz="36" w:space="0" w:color="FF0000"/>
            </w:tcBorders>
            <w:vAlign w:val="center"/>
          </w:tcPr>
          <w:p w14:paraId="64AD5369" w14:textId="77777777" w:rsidR="009617F5" w:rsidRPr="009617F5" w:rsidRDefault="009617F5" w:rsidP="00286F7D">
            <w:pPr>
              <w:rPr>
                <w:rFonts w:ascii="Arial" w:hAnsi="Arial" w:cs="Arial"/>
                <w:b/>
                <w:bCs/>
                <w:sz w:val="20"/>
                <w:szCs w:val="22"/>
              </w:rPr>
            </w:pPr>
            <w:r w:rsidRPr="009617F5">
              <w:rPr>
                <w:rFonts w:ascii="Arial" w:hAnsi="Arial" w:cs="Arial"/>
                <w:sz w:val="20"/>
                <w:szCs w:val="22"/>
              </w:rPr>
              <w:t>Kambizemě modální eubazické, kambizemě modální eutrofní na bazických a ultrabazických horninách a jejich tufech, převážně středně těžké, bez skeletu až středně skeletovité, s příznivými vlhkostními poměry, středně hluboké.</w:t>
            </w:r>
          </w:p>
        </w:tc>
      </w:tr>
      <w:tr w:rsidR="009617F5" w:rsidRPr="009617F5" w14:paraId="0E3BBF3E"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25CA3649"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54177</w:t>
            </w:r>
          </w:p>
        </w:tc>
        <w:tc>
          <w:tcPr>
            <w:tcW w:w="910" w:type="dxa"/>
            <w:tcBorders>
              <w:top w:val="single" w:sz="4" w:space="0" w:color="auto"/>
              <w:left w:val="single" w:sz="8" w:space="0" w:color="auto"/>
              <w:bottom w:val="single" w:sz="8" w:space="0" w:color="auto"/>
              <w:right w:val="single" w:sz="8" w:space="0" w:color="auto"/>
            </w:tcBorders>
            <w:vAlign w:val="center"/>
          </w:tcPr>
          <w:p w14:paraId="59914E6F"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vMerge w:val="restart"/>
            <w:tcBorders>
              <w:top w:val="single" w:sz="4" w:space="0" w:color="auto"/>
              <w:left w:val="single" w:sz="8" w:space="0" w:color="auto"/>
              <w:right w:val="single" w:sz="4" w:space="0" w:color="auto"/>
            </w:tcBorders>
            <w:vAlign w:val="center"/>
          </w:tcPr>
          <w:p w14:paraId="367ACFD7"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41</w:t>
            </w:r>
          </w:p>
        </w:tc>
        <w:tc>
          <w:tcPr>
            <w:tcW w:w="6939" w:type="dxa"/>
            <w:vMerge w:val="restart"/>
            <w:tcBorders>
              <w:top w:val="single" w:sz="4" w:space="0" w:color="auto"/>
              <w:left w:val="single" w:sz="8" w:space="0" w:color="auto"/>
              <w:right w:val="single" w:sz="36" w:space="0" w:color="FF0000"/>
            </w:tcBorders>
            <w:vAlign w:val="center"/>
          </w:tcPr>
          <w:p w14:paraId="20844AF1" w14:textId="77777777" w:rsidR="009617F5" w:rsidRPr="009617F5" w:rsidRDefault="009617F5" w:rsidP="00286F7D">
            <w:pPr>
              <w:rPr>
                <w:rFonts w:ascii="Arial" w:hAnsi="Arial" w:cs="Arial"/>
                <w:b/>
                <w:bCs/>
                <w:sz w:val="20"/>
                <w:szCs w:val="22"/>
              </w:rPr>
            </w:pPr>
            <w:r w:rsidRPr="009617F5">
              <w:rPr>
                <w:rFonts w:ascii="Arial" w:hAnsi="Arial" w:cs="Arial"/>
                <w:sz w:val="20"/>
                <w:szCs w:val="22"/>
              </w:rPr>
              <w:t>Půdy jako u HPJ 40 avšak zrnitostně středně těžké až velmi těžké s poněkud příznivějšími vláhovými poměry.</w:t>
            </w:r>
          </w:p>
        </w:tc>
      </w:tr>
      <w:tr w:rsidR="009617F5" w:rsidRPr="009617F5" w14:paraId="70F8873C"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25247023" w14:textId="77777777" w:rsidR="009617F5" w:rsidRPr="009617F5" w:rsidRDefault="009617F5" w:rsidP="00286F7D">
            <w:pPr>
              <w:rPr>
                <w:rFonts w:ascii="Arial" w:hAnsi="Arial" w:cs="Arial"/>
                <w:bCs/>
                <w:sz w:val="20"/>
                <w:szCs w:val="22"/>
              </w:rPr>
            </w:pPr>
            <w:r w:rsidRPr="009617F5">
              <w:rPr>
                <w:rFonts w:ascii="Arial" w:hAnsi="Arial" w:cs="Arial"/>
                <w:bCs/>
                <w:sz w:val="20"/>
                <w:szCs w:val="22"/>
              </w:rPr>
              <w:lastRenderedPageBreak/>
              <w:t>54178</w:t>
            </w:r>
          </w:p>
        </w:tc>
        <w:tc>
          <w:tcPr>
            <w:tcW w:w="910" w:type="dxa"/>
            <w:tcBorders>
              <w:top w:val="single" w:sz="4" w:space="0" w:color="auto"/>
              <w:left w:val="single" w:sz="8" w:space="0" w:color="auto"/>
              <w:bottom w:val="single" w:sz="8" w:space="0" w:color="auto"/>
              <w:right w:val="single" w:sz="8" w:space="0" w:color="auto"/>
            </w:tcBorders>
            <w:vAlign w:val="center"/>
          </w:tcPr>
          <w:p w14:paraId="01EEB48D"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vMerge/>
            <w:tcBorders>
              <w:left w:val="single" w:sz="8" w:space="0" w:color="auto"/>
              <w:bottom w:val="single" w:sz="8" w:space="0" w:color="auto"/>
              <w:right w:val="single" w:sz="4" w:space="0" w:color="auto"/>
            </w:tcBorders>
            <w:vAlign w:val="center"/>
          </w:tcPr>
          <w:p w14:paraId="3D9143CA"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bottom w:val="single" w:sz="8" w:space="0" w:color="auto"/>
              <w:right w:val="single" w:sz="36" w:space="0" w:color="FF0000"/>
            </w:tcBorders>
            <w:vAlign w:val="center"/>
          </w:tcPr>
          <w:p w14:paraId="08E26991" w14:textId="77777777" w:rsidR="009617F5" w:rsidRPr="009617F5" w:rsidRDefault="009617F5" w:rsidP="00286F7D">
            <w:pPr>
              <w:rPr>
                <w:rFonts w:ascii="Arial" w:hAnsi="Arial" w:cs="Arial"/>
                <w:b/>
                <w:bCs/>
                <w:sz w:val="20"/>
                <w:szCs w:val="22"/>
              </w:rPr>
            </w:pPr>
          </w:p>
        </w:tc>
      </w:tr>
      <w:tr w:rsidR="009617F5" w:rsidRPr="009617F5" w14:paraId="76D79630"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09690568"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55014</w:t>
            </w:r>
          </w:p>
        </w:tc>
        <w:tc>
          <w:tcPr>
            <w:tcW w:w="910" w:type="dxa"/>
            <w:tcBorders>
              <w:top w:val="single" w:sz="4" w:space="0" w:color="auto"/>
              <w:left w:val="single" w:sz="8" w:space="0" w:color="auto"/>
              <w:bottom w:val="single" w:sz="8" w:space="0" w:color="auto"/>
              <w:right w:val="single" w:sz="8" w:space="0" w:color="auto"/>
            </w:tcBorders>
            <w:vAlign w:val="center"/>
          </w:tcPr>
          <w:p w14:paraId="1D011CF5"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tcBorders>
              <w:top w:val="single" w:sz="4" w:space="0" w:color="auto"/>
              <w:left w:val="single" w:sz="8" w:space="0" w:color="auto"/>
              <w:bottom w:val="single" w:sz="8" w:space="0" w:color="auto"/>
              <w:right w:val="single" w:sz="4" w:space="0" w:color="auto"/>
            </w:tcBorders>
            <w:vAlign w:val="center"/>
          </w:tcPr>
          <w:p w14:paraId="4EC0A2FE"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50</w:t>
            </w:r>
          </w:p>
        </w:tc>
        <w:tc>
          <w:tcPr>
            <w:tcW w:w="6939" w:type="dxa"/>
            <w:tcBorders>
              <w:top w:val="single" w:sz="4" w:space="0" w:color="auto"/>
              <w:left w:val="single" w:sz="8" w:space="0" w:color="auto"/>
              <w:bottom w:val="single" w:sz="8" w:space="0" w:color="auto"/>
              <w:right w:val="single" w:sz="36" w:space="0" w:color="FF0000"/>
            </w:tcBorders>
            <w:vAlign w:val="center"/>
          </w:tcPr>
          <w:p w14:paraId="4F39C8C2" w14:textId="77777777" w:rsidR="009617F5" w:rsidRPr="009617F5" w:rsidRDefault="009617F5" w:rsidP="00286F7D">
            <w:pPr>
              <w:rPr>
                <w:rFonts w:ascii="Arial" w:hAnsi="Arial" w:cs="Arial"/>
                <w:b/>
                <w:bCs/>
                <w:sz w:val="20"/>
                <w:szCs w:val="22"/>
              </w:rPr>
            </w:pPr>
            <w:r w:rsidRPr="009617F5">
              <w:rPr>
                <w:rFonts w:ascii="Arial" w:hAnsi="Arial" w:cs="Arial"/>
                <w:sz w:val="20"/>
                <w:szCs w:val="22"/>
              </w:rPr>
              <w:t>Kambizemě oglejené a pseudogleje modální na žulách, rulách a jiných pevných horninách (které nejsou v HPJ 48 a 49), středně těžké lehčí až středně těžké, slabě až středně skeletovité, se sklonem k dočasnému zamokření.</w:t>
            </w:r>
          </w:p>
        </w:tc>
      </w:tr>
      <w:tr w:rsidR="009617F5" w:rsidRPr="009617F5" w14:paraId="293298EF"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47A995DD"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55411</w:t>
            </w:r>
          </w:p>
        </w:tc>
        <w:tc>
          <w:tcPr>
            <w:tcW w:w="910" w:type="dxa"/>
            <w:tcBorders>
              <w:top w:val="single" w:sz="4" w:space="0" w:color="auto"/>
              <w:left w:val="single" w:sz="8" w:space="0" w:color="auto"/>
              <w:bottom w:val="single" w:sz="8" w:space="0" w:color="auto"/>
              <w:right w:val="single" w:sz="8" w:space="0" w:color="auto"/>
            </w:tcBorders>
            <w:vAlign w:val="center"/>
          </w:tcPr>
          <w:p w14:paraId="4FE724D0" w14:textId="77777777" w:rsidR="009617F5" w:rsidRPr="009617F5" w:rsidRDefault="009617F5" w:rsidP="00286F7D">
            <w:pPr>
              <w:rPr>
                <w:rFonts w:ascii="Arial" w:hAnsi="Arial" w:cs="Arial"/>
                <w:sz w:val="20"/>
                <w:szCs w:val="22"/>
              </w:rPr>
            </w:pPr>
            <w:r w:rsidRPr="009617F5">
              <w:rPr>
                <w:rFonts w:ascii="Arial" w:hAnsi="Arial" w:cs="Arial"/>
                <w:sz w:val="20"/>
                <w:szCs w:val="22"/>
              </w:rPr>
              <w:t>IV</w:t>
            </w:r>
          </w:p>
        </w:tc>
        <w:tc>
          <w:tcPr>
            <w:tcW w:w="836" w:type="dxa"/>
            <w:vMerge w:val="restart"/>
            <w:tcBorders>
              <w:top w:val="single" w:sz="4" w:space="0" w:color="auto"/>
              <w:left w:val="single" w:sz="8" w:space="0" w:color="auto"/>
              <w:right w:val="single" w:sz="4" w:space="0" w:color="auto"/>
            </w:tcBorders>
            <w:vAlign w:val="center"/>
          </w:tcPr>
          <w:p w14:paraId="717C1E1F"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54</w:t>
            </w:r>
          </w:p>
        </w:tc>
        <w:tc>
          <w:tcPr>
            <w:tcW w:w="6939" w:type="dxa"/>
            <w:vMerge w:val="restart"/>
            <w:tcBorders>
              <w:top w:val="single" w:sz="4" w:space="0" w:color="auto"/>
              <w:left w:val="single" w:sz="8" w:space="0" w:color="auto"/>
              <w:right w:val="single" w:sz="36" w:space="0" w:color="FF0000"/>
            </w:tcBorders>
            <w:vAlign w:val="center"/>
          </w:tcPr>
          <w:p w14:paraId="419C6DF1" w14:textId="77777777" w:rsidR="009617F5" w:rsidRPr="009617F5" w:rsidRDefault="009617F5" w:rsidP="00286F7D">
            <w:pPr>
              <w:rPr>
                <w:rFonts w:ascii="Arial" w:hAnsi="Arial" w:cs="Arial"/>
                <w:b/>
                <w:bCs/>
                <w:sz w:val="20"/>
                <w:szCs w:val="22"/>
              </w:rPr>
            </w:pPr>
            <w:r w:rsidRPr="009617F5">
              <w:rPr>
                <w:rFonts w:ascii="Arial" w:hAnsi="Arial" w:cs="Arial"/>
                <w:sz w:val="20"/>
                <w:szCs w:val="22"/>
              </w:rPr>
              <w:t>Pseudogleje pelické, pelozemě oglejené, pelozemě vyluhované oglejené, kambizemě pelické oglejené, pararendziny pelické oglejené na slínech, jílech mořského neogenu a flyše a jílovitých sedimentech limnického tercieru  (sladkovodní svrchnokřídové uloženiny), těžké až velmi těžké, s velmi nepříznivými fyzikálními vlastnostmi.</w:t>
            </w:r>
          </w:p>
        </w:tc>
      </w:tr>
      <w:tr w:rsidR="009617F5" w:rsidRPr="009617F5" w14:paraId="68B6DCEA" w14:textId="77777777" w:rsidTr="00286F7D">
        <w:trPr>
          <w:trHeight w:val="315"/>
        </w:trPr>
        <w:tc>
          <w:tcPr>
            <w:tcW w:w="808" w:type="dxa"/>
            <w:tcBorders>
              <w:top w:val="single" w:sz="4" w:space="0" w:color="auto"/>
              <w:left w:val="single" w:sz="36" w:space="0" w:color="FF0000"/>
              <w:bottom w:val="single" w:sz="8" w:space="0" w:color="auto"/>
              <w:right w:val="single" w:sz="4" w:space="0" w:color="auto"/>
            </w:tcBorders>
            <w:vAlign w:val="center"/>
          </w:tcPr>
          <w:p w14:paraId="1521CF42"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55441</w:t>
            </w:r>
          </w:p>
        </w:tc>
        <w:tc>
          <w:tcPr>
            <w:tcW w:w="910" w:type="dxa"/>
            <w:tcBorders>
              <w:top w:val="single" w:sz="4" w:space="0" w:color="auto"/>
              <w:left w:val="single" w:sz="8" w:space="0" w:color="auto"/>
              <w:bottom w:val="single" w:sz="8" w:space="0" w:color="auto"/>
              <w:right w:val="single" w:sz="8" w:space="0" w:color="auto"/>
            </w:tcBorders>
            <w:vAlign w:val="center"/>
          </w:tcPr>
          <w:p w14:paraId="4D18E6ED"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vMerge/>
            <w:tcBorders>
              <w:left w:val="single" w:sz="8" w:space="0" w:color="auto"/>
              <w:bottom w:val="single" w:sz="8" w:space="0" w:color="auto"/>
              <w:right w:val="single" w:sz="4" w:space="0" w:color="auto"/>
            </w:tcBorders>
            <w:vAlign w:val="center"/>
          </w:tcPr>
          <w:p w14:paraId="4F5FE4AB" w14:textId="77777777" w:rsidR="009617F5" w:rsidRPr="009617F5" w:rsidRDefault="009617F5" w:rsidP="00286F7D">
            <w:pPr>
              <w:jc w:val="center"/>
              <w:rPr>
                <w:rFonts w:ascii="Arial" w:hAnsi="Arial" w:cs="Arial"/>
                <w:b/>
                <w:bCs/>
                <w:sz w:val="20"/>
                <w:szCs w:val="22"/>
              </w:rPr>
            </w:pPr>
          </w:p>
        </w:tc>
        <w:tc>
          <w:tcPr>
            <w:tcW w:w="6939" w:type="dxa"/>
            <w:vMerge/>
            <w:tcBorders>
              <w:left w:val="single" w:sz="8" w:space="0" w:color="auto"/>
              <w:bottom w:val="single" w:sz="8" w:space="0" w:color="auto"/>
              <w:right w:val="single" w:sz="36" w:space="0" w:color="FF0000"/>
            </w:tcBorders>
            <w:vAlign w:val="center"/>
          </w:tcPr>
          <w:p w14:paraId="2CD45468" w14:textId="77777777" w:rsidR="009617F5" w:rsidRPr="009617F5" w:rsidRDefault="009617F5" w:rsidP="00286F7D">
            <w:pPr>
              <w:rPr>
                <w:rFonts w:ascii="Arial" w:hAnsi="Arial" w:cs="Arial"/>
                <w:b/>
                <w:bCs/>
                <w:sz w:val="20"/>
                <w:szCs w:val="22"/>
              </w:rPr>
            </w:pPr>
          </w:p>
        </w:tc>
      </w:tr>
      <w:tr w:rsidR="009617F5" w:rsidRPr="009617F5" w14:paraId="11F3FDDE" w14:textId="77777777" w:rsidTr="00286F7D">
        <w:trPr>
          <w:trHeight w:val="315"/>
        </w:trPr>
        <w:tc>
          <w:tcPr>
            <w:tcW w:w="808" w:type="dxa"/>
            <w:tcBorders>
              <w:top w:val="single" w:sz="4" w:space="0" w:color="auto"/>
              <w:left w:val="single" w:sz="36" w:space="0" w:color="FF0000"/>
              <w:bottom w:val="single" w:sz="36" w:space="0" w:color="FF0000"/>
              <w:right w:val="single" w:sz="4" w:space="0" w:color="auto"/>
            </w:tcBorders>
            <w:vAlign w:val="center"/>
          </w:tcPr>
          <w:p w14:paraId="4A45F39E"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57769</w:t>
            </w:r>
          </w:p>
          <w:p w14:paraId="789FE2D7" w14:textId="77777777" w:rsidR="009617F5" w:rsidRPr="009617F5" w:rsidRDefault="009617F5" w:rsidP="00286F7D">
            <w:pPr>
              <w:rPr>
                <w:rFonts w:ascii="Arial" w:hAnsi="Arial" w:cs="Arial"/>
                <w:bCs/>
                <w:sz w:val="20"/>
                <w:szCs w:val="22"/>
              </w:rPr>
            </w:pPr>
          </w:p>
        </w:tc>
        <w:tc>
          <w:tcPr>
            <w:tcW w:w="910" w:type="dxa"/>
            <w:tcBorders>
              <w:top w:val="single" w:sz="4" w:space="0" w:color="auto"/>
              <w:left w:val="single" w:sz="8" w:space="0" w:color="auto"/>
              <w:bottom w:val="single" w:sz="36" w:space="0" w:color="FF0000"/>
              <w:right w:val="single" w:sz="8" w:space="0" w:color="auto"/>
            </w:tcBorders>
            <w:vAlign w:val="center"/>
          </w:tcPr>
          <w:p w14:paraId="28CE4845" w14:textId="77777777" w:rsidR="009617F5" w:rsidRPr="009617F5" w:rsidRDefault="009617F5" w:rsidP="00286F7D">
            <w:pPr>
              <w:rPr>
                <w:rFonts w:ascii="Arial" w:hAnsi="Arial" w:cs="Arial"/>
                <w:sz w:val="20"/>
                <w:szCs w:val="22"/>
              </w:rPr>
            </w:pPr>
            <w:r w:rsidRPr="009617F5">
              <w:rPr>
                <w:rFonts w:ascii="Arial" w:hAnsi="Arial" w:cs="Arial"/>
                <w:sz w:val="20"/>
                <w:szCs w:val="22"/>
              </w:rPr>
              <w:t>V</w:t>
            </w:r>
          </w:p>
        </w:tc>
        <w:tc>
          <w:tcPr>
            <w:tcW w:w="836" w:type="dxa"/>
            <w:tcBorders>
              <w:top w:val="single" w:sz="4" w:space="0" w:color="auto"/>
              <w:left w:val="single" w:sz="8" w:space="0" w:color="auto"/>
              <w:bottom w:val="single" w:sz="36" w:space="0" w:color="FF0000"/>
              <w:right w:val="single" w:sz="4" w:space="0" w:color="auto"/>
            </w:tcBorders>
            <w:vAlign w:val="center"/>
          </w:tcPr>
          <w:p w14:paraId="0CB743C7"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77</w:t>
            </w:r>
          </w:p>
        </w:tc>
        <w:tc>
          <w:tcPr>
            <w:tcW w:w="6939" w:type="dxa"/>
            <w:tcBorders>
              <w:top w:val="single" w:sz="4" w:space="0" w:color="auto"/>
              <w:left w:val="single" w:sz="8" w:space="0" w:color="auto"/>
              <w:bottom w:val="single" w:sz="36" w:space="0" w:color="FF0000"/>
              <w:right w:val="single" w:sz="36" w:space="0" w:color="FF0000"/>
            </w:tcBorders>
            <w:vAlign w:val="center"/>
          </w:tcPr>
          <w:p w14:paraId="6DAFF26C" w14:textId="77777777" w:rsidR="009617F5" w:rsidRPr="009617F5" w:rsidRDefault="009617F5" w:rsidP="00286F7D">
            <w:pPr>
              <w:rPr>
                <w:rFonts w:ascii="Arial" w:hAnsi="Arial" w:cs="Arial"/>
                <w:b/>
                <w:bCs/>
                <w:sz w:val="20"/>
                <w:szCs w:val="22"/>
              </w:rPr>
            </w:pPr>
            <w:r w:rsidRPr="009617F5">
              <w:rPr>
                <w:rFonts w:ascii="Arial" w:hAnsi="Arial" w:cs="Arial"/>
                <w:sz w:val="20"/>
                <w:szCs w:val="22"/>
              </w:rPr>
              <w:t>Mělké strže do hloubky 3m s výskytem koluvizemí, regozemí, kambizemí a dalších, s erozními smyvy ornic, různé zrnitosti, bezskeletovité až silně skeletovité, pro zemědělské využití málo vhodné.</w:t>
            </w:r>
          </w:p>
        </w:tc>
      </w:tr>
    </w:tbl>
    <w:p w14:paraId="585EDF06"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 xml:space="preserve">Lokalizaci hranice BPEJ a třídy ochrany ZPF upřesňuje grafická část. </w:t>
      </w:r>
    </w:p>
    <w:p w14:paraId="4A9EDDEB" w14:textId="77777777" w:rsidR="009617F5" w:rsidRPr="009617F5" w:rsidRDefault="009617F5" w:rsidP="009617F5">
      <w:pPr>
        <w:pStyle w:val="Odstavecseseznamem"/>
        <w:ind w:left="0"/>
        <w:rPr>
          <w:rFonts w:ascii="Arial" w:hAnsi="Arial" w:cs="Arial"/>
          <w:color w:val="FF0000"/>
        </w:rPr>
      </w:pPr>
    </w:p>
    <w:p w14:paraId="4BB45A0F" w14:textId="77777777" w:rsidR="009617F5" w:rsidRPr="009617F5" w:rsidRDefault="009617F5" w:rsidP="009617F5">
      <w:pPr>
        <w:pStyle w:val="Zkladntext"/>
        <w:rPr>
          <w:rFonts w:ascii="Arial" w:hAnsi="Arial" w:cs="Arial"/>
          <w:bCs/>
          <w:color w:val="FF0000"/>
          <w:sz w:val="22"/>
          <w:szCs w:val="22"/>
          <w:u w:val="single"/>
        </w:rPr>
      </w:pPr>
      <w:r w:rsidRPr="009617F5">
        <w:rPr>
          <w:rFonts w:ascii="Arial" w:hAnsi="Arial" w:cs="Arial"/>
          <w:bCs/>
          <w:color w:val="FF0000"/>
          <w:sz w:val="22"/>
          <w:szCs w:val="22"/>
          <w:u w:val="single"/>
        </w:rPr>
        <w:t>Zábor chráněných půd:</w:t>
      </w:r>
    </w:p>
    <w:p w14:paraId="60EFDB8C"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Půda třídy ochrany I. není k záboru navrhována.</w:t>
      </w:r>
    </w:p>
    <w:p w14:paraId="6CC66B7D"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K záboru je navrženo 2,6543 ha půd třídy ochrany II.</w:t>
      </w:r>
    </w:p>
    <w:p w14:paraId="13168E41"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Většinou jde o situaci, kdy do parcely rozvojové plochy zasahuje okrajově chráněná půda.</w:t>
      </w:r>
    </w:p>
    <w:p w14:paraId="635C0032"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Třída ochrany je určena dle Vyhlášky 48/2011 Sb. o stanovení tříd ochrany.</w:t>
      </w:r>
    </w:p>
    <w:p w14:paraId="5B805AED"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 xml:space="preserve">Třídou ochrany zemědělské půdy je určena zastavitelnost pro potřeby územního plánování uvedená v Metodickém pokynu odboru ochrany lesa a půdy MŽP ČR ze dne 1.10.1996 č.j. OOLP/1067/96 k odnímání půdy ze zemědělského půdního fondu, ve znění zákona ČNR č. 10/1993 Sb. </w:t>
      </w:r>
    </w:p>
    <w:p w14:paraId="662D0AFD" w14:textId="77777777" w:rsidR="009617F5" w:rsidRPr="009617F5" w:rsidRDefault="009617F5" w:rsidP="009617F5">
      <w:pPr>
        <w:rPr>
          <w:rFonts w:ascii="Arial" w:hAnsi="Arial" w:cs="Arial"/>
          <w:color w:val="FF0000"/>
          <w:sz w:val="22"/>
        </w:rPr>
      </w:pPr>
    </w:p>
    <w:tbl>
      <w:tblPr>
        <w:tblW w:w="8762" w:type="dxa"/>
        <w:tblInd w:w="53" w:type="dxa"/>
        <w:tblLayout w:type="fixed"/>
        <w:tblCellMar>
          <w:left w:w="70" w:type="dxa"/>
          <w:right w:w="70" w:type="dxa"/>
        </w:tblCellMar>
        <w:tblLook w:val="00A0" w:firstRow="1" w:lastRow="0" w:firstColumn="1" w:lastColumn="0" w:noHBand="0" w:noVBand="0"/>
      </w:tblPr>
      <w:tblGrid>
        <w:gridCol w:w="1151"/>
        <w:gridCol w:w="1134"/>
        <w:gridCol w:w="1701"/>
        <w:gridCol w:w="949"/>
        <w:gridCol w:w="992"/>
        <w:gridCol w:w="851"/>
        <w:gridCol w:w="992"/>
        <w:gridCol w:w="992"/>
      </w:tblGrid>
      <w:tr w:rsidR="009617F5" w:rsidRPr="009617F5" w14:paraId="7E80C149" w14:textId="77777777" w:rsidTr="00286F7D">
        <w:trPr>
          <w:trHeight w:val="900"/>
          <w:tblHeader/>
        </w:trPr>
        <w:tc>
          <w:tcPr>
            <w:tcW w:w="1151" w:type="dxa"/>
            <w:tcBorders>
              <w:top w:val="single" w:sz="36" w:space="0" w:color="FF0000"/>
              <w:left w:val="single" w:sz="36" w:space="0" w:color="FF0000"/>
              <w:bottom w:val="nil"/>
              <w:right w:val="single" w:sz="4" w:space="0" w:color="auto"/>
            </w:tcBorders>
            <w:shd w:val="clear" w:color="auto" w:fill="BFBFBF"/>
          </w:tcPr>
          <w:p w14:paraId="690B8465" w14:textId="77777777" w:rsidR="009617F5" w:rsidRPr="009617F5" w:rsidRDefault="009617F5" w:rsidP="00286F7D">
            <w:pPr>
              <w:jc w:val="center"/>
              <w:rPr>
                <w:rFonts w:ascii="Arial" w:hAnsi="Arial" w:cs="Arial"/>
                <w:b/>
                <w:bCs/>
                <w:sz w:val="20"/>
                <w:szCs w:val="22"/>
              </w:rPr>
            </w:pPr>
          </w:p>
          <w:p w14:paraId="79E2F386" w14:textId="77777777" w:rsidR="009617F5" w:rsidRPr="009617F5" w:rsidRDefault="009617F5" w:rsidP="00286F7D">
            <w:pPr>
              <w:jc w:val="center"/>
              <w:rPr>
                <w:rFonts w:ascii="Arial" w:hAnsi="Arial" w:cs="Arial"/>
                <w:b/>
                <w:bCs/>
                <w:sz w:val="20"/>
                <w:szCs w:val="22"/>
              </w:rPr>
            </w:pPr>
          </w:p>
          <w:p w14:paraId="12A55DE8"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K.ú.</w:t>
            </w:r>
          </w:p>
        </w:tc>
        <w:tc>
          <w:tcPr>
            <w:tcW w:w="1134" w:type="dxa"/>
            <w:tcBorders>
              <w:top w:val="single" w:sz="36" w:space="0" w:color="FF0000"/>
              <w:left w:val="single" w:sz="8" w:space="0" w:color="auto"/>
              <w:bottom w:val="nil"/>
              <w:right w:val="single" w:sz="4" w:space="0" w:color="auto"/>
            </w:tcBorders>
            <w:shd w:val="clear" w:color="auto" w:fill="BFBFBF"/>
            <w:vAlign w:val="center"/>
          </w:tcPr>
          <w:p w14:paraId="6D105B6E" w14:textId="77777777" w:rsidR="009617F5" w:rsidRPr="009617F5" w:rsidRDefault="009617F5" w:rsidP="00286F7D">
            <w:pPr>
              <w:jc w:val="center"/>
              <w:rPr>
                <w:rFonts w:ascii="Arial" w:hAnsi="Arial" w:cs="Arial"/>
                <w:b/>
                <w:bCs/>
                <w:sz w:val="20"/>
                <w:szCs w:val="22"/>
              </w:rPr>
            </w:pPr>
            <w:r w:rsidRPr="009617F5">
              <w:rPr>
                <w:rFonts w:ascii="Arial" w:hAnsi="Arial" w:cs="Arial"/>
                <w:b/>
                <w:bCs/>
                <w:sz w:val="20"/>
                <w:szCs w:val="22"/>
              </w:rPr>
              <w:t>Plocha</w:t>
            </w:r>
          </w:p>
          <w:p w14:paraId="2790761C" w14:textId="77777777" w:rsidR="009617F5" w:rsidRPr="009617F5" w:rsidRDefault="009617F5" w:rsidP="00286F7D">
            <w:pPr>
              <w:jc w:val="center"/>
              <w:rPr>
                <w:rFonts w:ascii="Arial" w:hAnsi="Arial" w:cs="Arial"/>
                <w:b/>
                <w:bCs/>
                <w:sz w:val="20"/>
                <w:szCs w:val="22"/>
              </w:rPr>
            </w:pPr>
          </w:p>
        </w:tc>
        <w:tc>
          <w:tcPr>
            <w:tcW w:w="1701" w:type="dxa"/>
            <w:tcBorders>
              <w:top w:val="single" w:sz="36" w:space="0" w:color="FF0000"/>
              <w:left w:val="nil"/>
              <w:bottom w:val="single" w:sz="8" w:space="0" w:color="auto"/>
              <w:right w:val="single" w:sz="4" w:space="0" w:color="auto"/>
            </w:tcBorders>
            <w:shd w:val="clear" w:color="auto" w:fill="BFBFBF"/>
            <w:vAlign w:val="center"/>
          </w:tcPr>
          <w:p w14:paraId="6C0FE06B"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využití</w:t>
            </w:r>
          </w:p>
        </w:tc>
        <w:tc>
          <w:tcPr>
            <w:tcW w:w="949" w:type="dxa"/>
            <w:tcBorders>
              <w:top w:val="single" w:sz="36" w:space="0" w:color="FF0000"/>
              <w:left w:val="nil"/>
              <w:bottom w:val="single" w:sz="8" w:space="0" w:color="auto"/>
              <w:right w:val="single" w:sz="4" w:space="0" w:color="auto"/>
            </w:tcBorders>
            <w:shd w:val="clear" w:color="auto" w:fill="BFBFBF"/>
            <w:vAlign w:val="center"/>
          </w:tcPr>
          <w:p w14:paraId="38215751"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třída ochrany ZPF</w:t>
            </w:r>
          </w:p>
        </w:tc>
        <w:tc>
          <w:tcPr>
            <w:tcW w:w="992" w:type="dxa"/>
            <w:tcBorders>
              <w:top w:val="single" w:sz="36" w:space="0" w:color="FF0000"/>
              <w:left w:val="nil"/>
              <w:bottom w:val="single" w:sz="8" w:space="0" w:color="auto"/>
              <w:right w:val="single" w:sz="4" w:space="0" w:color="auto"/>
            </w:tcBorders>
            <w:shd w:val="clear" w:color="auto" w:fill="BFBFBF"/>
            <w:vAlign w:val="center"/>
          </w:tcPr>
          <w:p w14:paraId="721F8E5F"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zábor chráně-ných půd /ha/</w:t>
            </w:r>
          </w:p>
        </w:tc>
        <w:tc>
          <w:tcPr>
            <w:tcW w:w="851" w:type="dxa"/>
            <w:tcBorders>
              <w:top w:val="single" w:sz="36" w:space="0" w:color="FF0000"/>
              <w:left w:val="nil"/>
              <w:bottom w:val="single" w:sz="8" w:space="0" w:color="auto"/>
              <w:right w:val="single" w:sz="4" w:space="0" w:color="auto"/>
            </w:tcBorders>
            <w:shd w:val="clear" w:color="auto" w:fill="BFBFBF"/>
            <w:vAlign w:val="center"/>
          </w:tcPr>
          <w:p w14:paraId="3FA5CB72"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uvnitř SZÚO /ha/</w:t>
            </w:r>
          </w:p>
        </w:tc>
        <w:tc>
          <w:tcPr>
            <w:tcW w:w="992" w:type="dxa"/>
            <w:tcBorders>
              <w:top w:val="single" w:sz="36" w:space="0" w:color="FF0000"/>
              <w:left w:val="nil"/>
              <w:bottom w:val="single" w:sz="8" w:space="0" w:color="auto"/>
              <w:right w:val="single" w:sz="4" w:space="0" w:color="auto"/>
            </w:tcBorders>
            <w:shd w:val="clear" w:color="auto" w:fill="BFBFBF"/>
            <w:vAlign w:val="center"/>
          </w:tcPr>
          <w:p w14:paraId="567AB4D9"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vně SZÚO /ha/</w:t>
            </w:r>
          </w:p>
        </w:tc>
        <w:tc>
          <w:tcPr>
            <w:tcW w:w="992" w:type="dxa"/>
            <w:tcBorders>
              <w:top w:val="single" w:sz="36" w:space="0" w:color="FF0000"/>
              <w:left w:val="nil"/>
              <w:bottom w:val="single" w:sz="8" w:space="0" w:color="auto"/>
              <w:right w:val="single" w:sz="36" w:space="0" w:color="FF0000"/>
            </w:tcBorders>
            <w:shd w:val="clear" w:color="auto" w:fill="BFBFBF"/>
            <w:vAlign w:val="center"/>
          </w:tcPr>
          <w:p w14:paraId="3C78B9E8"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kultura</w:t>
            </w:r>
          </w:p>
        </w:tc>
      </w:tr>
      <w:tr w:rsidR="009617F5" w:rsidRPr="009617F5" w14:paraId="6A9CB9AA" w14:textId="77777777" w:rsidTr="00286F7D">
        <w:trPr>
          <w:trHeight w:val="315"/>
        </w:trPr>
        <w:tc>
          <w:tcPr>
            <w:tcW w:w="1151" w:type="dxa"/>
            <w:tcBorders>
              <w:top w:val="single" w:sz="4" w:space="0" w:color="auto"/>
              <w:left w:val="single" w:sz="36" w:space="0" w:color="FF0000"/>
              <w:bottom w:val="single" w:sz="8" w:space="0" w:color="auto"/>
              <w:right w:val="single" w:sz="4" w:space="0" w:color="auto"/>
            </w:tcBorders>
          </w:tcPr>
          <w:p w14:paraId="2C83FCB7" w14:textId="77777777" w:rsidR="009617F5" w:rsidRPr="009617F5" w:rsidRDefault="009617F5" w:rsidP="00286F7D">
            <w:pPr>
              <w:rPr>
                <w:rFonts w:ascii="Arial" w:hAnsi="Arial" w:cs="Arial"/>
                <w:b/>
                <w:bCs/>
                <w:sz w:val="20"/>
                <w:szCs w:val="22"/>
              </w:rPr>
            </w:pPr>
            <w:r w:rsidRPr="009617F5">
              <w:rPr>
                <w:rFonts w:ascii="Arial" w:hAnsi="Arial" w:cs="Arial"/>
                <w:bCs/>
                <w:sz w:val="20"/>
                <w:szCs w:val="22"/>
              </w:rPr>
              <w:t>Boletice</w:t>
            </w:r>
          </w:p>
        </w:tc>
        <w:tc>
          <w:tcPr>
            <w:tcW w:w="1134" w:type="dxa"/>
            <w:tcBorders>
              <w:top w:val="single" w:sz="4" w:space="0" w:color="auto"/>
              <w:left w:val="single" w:sz="8" w:space="0" w:color="auto"/>
              <w:bottom w:val="single" w:sz="8" w:space="0" w:color="auto"/>
              <w:right w:val="single" w:sz="4" w:space="0" w:color="auto"/>
            </w:tcBorders>
            <w:vAlign w:val="center"/>
          </w:tcPr>
          <w:p w14:paraId="5E82C13C"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8Z-36</w:t>
            </w:r>
          </w:p>
        </w:tc>
        <w:tc>
          <w:tcPr>
            <w:tcW w:w="1701" w:type="dxa"/>
            <w:tcBorders>
              <w:top w:val="single" w:sz="4" w:space="0" w:color="auto"/>
              <w:left w:val="nil"/>
              <w:bottom w:val="single" w:sz="8" w:space="0" w:color="auto"/>
              <w:right w:val="single" w:sz="4" w:space="0" w:color="auto"/>
            </w:tcBorders>
            <w:noWrap/>
            <w:vAlign w:val="center"/>
          </w:tcPr>
          <w:p w14:paraId="593C02F2"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rekreace</w:t>
            </w:r>
          </w:p>
        </w:tc>
        <w:tc>
          <w:tcPr>
            <w:tcW w:w="949" w:type="dxa"/>
            <w:tcBorders>
              <w:top w:val="single" w:sz="4" w:space="0" w:color="auto"/>
              <w:left w:val="nil"/>
              <w:bottom w:val="single" w:sz="8" w:space="0" w:color="auto"/>
              <w:right w:val="single" w:sz="4" w:space="0" w:color="auto"/>
            </w:tcBorders>
            <w:noWrap/>
            <w:vAlign w:val="center"/>
          </w:tcPr>
          <w:p w14:paraId="6E49EA2F" w14:textId="77777777" w:rsidR="009617F5" w:rsidRPr="009617F5" w:rsidRDefault="009617F5" w:rsidP="00286F7D">
            <w:pPr>
              <w:rPr>
                <w:rFonts w:ascii="Arial" w:hAnsi="Arial" w:cs="Arial"/>
                <w:b/>
                <w:sz w:val="20"/>
                <w:szCs w:val="22"/>
              </w:rPr>
            </w:pPr>
            <w:r w:rsidRPr="009617F5">
              <w:rPr>
                <w:rFonts w:ascii="Arial" w:hAnsi="Arial" w:cs="Arial"/>
                <w:b/>
                <w:sz w:val="20"/>
                <w:szCs w:val="22"/>
              </w:rPr>
              <w:t>II</w:t>
            </w:r>
          </w:p>
        </w:tc>
        <w:tc>
          <w:tcPr>
            <w:tcW w:w="992" w:type="dxa"/>
            <w:tcBorders>
              <w:top w:val="single" w:sz="4" w:space="0" w:color="auto"/>
              <w:left w:val="nil"/>
              <w:bottom w:val="single" w:sz="8" w:space="0" w:color="auto"/>
              <w:right w:val="single" w:sz="4" w:space="0" w:color="auto"/>
            </w:tcBorders>
            <w:noWrap/>
            <w:vAlign w:val="center"/>
          </w:tcPr>
          <w:p w14:paraId="24A9F8F9" w14:textId="77777777" w:rsidR="009617F5" w:rsidRPr="009617F5" w:rsidRDefault="009617F5" w:rsidP="00286F7D">
            <w:pPr>
              <w:rPr>
                <w:rFonts w:ascii="Arial" w:hAnsi="Arial" w:cs="Arial"/>
                <w:sz w:val="20"/>
                <w:szCs w:val="22"/>
              </w:rPr>
            </w:pPr>
            <w:r w:rsidRPr="009617F5">
              <w:rPr>
                <w:rFonts w:ascii="Arial" w:hAnsi="Arial" w:cs="Arial"/>
                <w:sz w:val="20"/>
                <w:szCs w:val="22"/>
              </w:rPr>
              <w:t>0,1176</w:t>
            </w:r>
          </w:p>
        </w:tc>
        <w:tc>
          <w:tcPr>
            <w:tcW w:w="851" w:type="dxa"/>
            <w:tcBorders>
              <w:top w:val="single" w:sz="4" w:space="0" w:color="auto"/>
              <w:left w:val="nil"/>
              <w:bottom w:val="single" w:sz="8" w:space="0" w:color="auto"/>
              <w:right w:val="single" w:sz="4" w:space="0" w:color="auto"/>
            </w:tcBorders>
            <w:noWrap/>
            <w:vAlign w:val="center"/>
          </w:tcPr>
          <w:p w14:paraId="27C13184" w14:textId="77777777" w:rsidR="009617F5" w:rsidRPr="009617F5" w:rsidRDefault="009617F5" w:rsidP="00286F7D">
            <w:pPr>
              <w:rPr>
                <w:rFonts w:ascii="Arial" w:hAnsi="Arial" w:cs="Arial"/>
                <w:sz w:val="20"/>
                <w:szCs w:val="22"/>
              </w:rPr>
            </w:pPr>
            <w:r w:rsidRPr="009617F5">
              <w:rPr>
                <w:rFonts w:ascii="Arial" w:hAnsi="Arial" w:cs="Arial"/>
                <w:sz w:val="20"/>
                <w:szCs w:val="22"/>
              </w:rPr>
              <w:t>0</w:t>
            </w:r>
          </w:p>
        </w:tc>
        <w:tc>
          <w:tcPr>
            <w:tcW w:w="992" w:type="dxa"/>
            <w:tcBorders>
              <w:top w:val="single" w:sz="4" w:space="0" w:color="auto"/>
              <w:left w:val="nil"/>
              <w:bottom w:val="single" w:sz="8" w:space="0" w:color="auto"/>
              <w:right w:val="single" w:sz="4" w:space="0" w:color="auto"/>
            </w:tcBorders>
            <w:noWrap/>
            <w:vAlign w:val="center"/>
          </w:tcPr>
          <w:p w14:paraId="39954C40" w14:textId="77777777" w:rsidR="009617F5" w:rsidRPr="009617F5" w:rsidRDefault="009617F5" w:rsidP="00286F7D">
            <w:pPr>
              <w:rPr>
                <w:rFonts w:ascii="Arial" w:hAnsi="Arial" w:cs="Arial"/>
                <w:sz w:val="20"/>
                <w:szCs w:val="22"/>
              </w:rPr>
            </w:pPr>
            <w:r w:rsidRPr="009617F5">
              <w:rPr>
                <w:rFonts w:ascii="Arial" w:hAnsi="Arial" w:cs="Arial"/>
                <w:sz w:val="20"/>
                <w:szCs w:val="22"/>
              </w:rPr>
              <w:t>0,1176</w:t>
            </w:r>
          </w:p>
        </w:tc>
        <w:tc>
          <w:tcPr>
            <w:tcW w:w="992" w:type="dxa"/>
            <w:tcBorders>
              <w:top w:val="single" w:sz="4" w:space="0" w:color="auto"/>
              <w:left w:val="nil"/>
              <w:bottom w:val="single" w:sz="8" w:space="0" w:color="auto"/>
              <w:right w:val="single" w:sz="36" w:space="0" w:color="FF0000"/>
            </w:tcBorders>
            <w:vAlign w:val="center"/>
          </w:tcPr>
          <w:p w14:paraId="2F9B0F0A" w14:textId="77777777" w:rsidR="009617F5" w:rsidRPr="009617F5" w:rsidRDefault="009617F5" w:rsidP="00286F7D">
            <w:pPr>
              <w:rPr>
                <w:rFonts w:ascii="Arial" w:hAnsi="Arial" w:cs="Arial"/>
                <w:sz w:val="20"/>
                <w:szCs w:val="22"/>
              </w:rPr>
            </w:pPr>
            <w:r w:rsidRPr="009617F5">
              <w:rPr>
                <w:rFonts w:ascii="Arial" w:hAnsi="Arial" w:cs="Arial"/>
                <w:sz w:val="20"/>
                <w:szCs w:val="22"/>
              </w:rPr>
              <w:t>TTP</w:t>
            </w:r>
          </w:p>
        </w:tc>
      </w:tr>
      <w:tr w:rsidR="009617F5" w:rsidRPr="009617F5" w14:paraId="1F173C16" w14:textId="77777777" w:rsidTr="00286F7D">
        <w:trPr>
          <w:trHeight w:val="315"/>
        </w:trPr>
        <w:tc>
          <w:tcPr>
            <w:tcW w:w="1151" w:type="dxa"/>
            <w:tcBorders>
              <w:top w:val="single" w:sz="4" w:space="0" w:color="auto"/>
              <w:left w:val="single" w:sz="36" w:space="0" w:color="FF0000"/>
              <w:bottom w:val="single" w:sz="8" w:space="0" w:color="auto"/>
              <w:right w:val="single" w:sz="4" w:space="0" w:color="auto"/>
            </w:tcBorders>
          </w:tcPr>
          <w:p w14:paraId="198B9018"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Březiny</w:t>
            </w:r>
          </w:p>
        </w:tc>
        <w:tc>
          <w:tcPr>
            <w:tcW w:w="1134" w:type="dxa"/>
            <w:tcBorders>
              <w:top w:val="single" w:sz="4" w:space="0" w:color="auto"/>
              <w:left w:val="single" w:sz="8" w:space="0" w:color="auto"/>
              <w:bottom w:val="single" w:sz="8" w:space="0" w:color="auto"/>
              <w:right w:val="single" w:sz="4" w:space="0" w:color="auto"/>
            </w:tcBorders>
            <w:vAlign w:val="center"/>
          </w:tcPr>
          <w:p w14:paraId="1A239A53"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8Z-15</w:t>
            </w:r>
          </w:p>
        </w:tc>
        <w:tc>
          <w:tcPr>
            <w:tcW w:w="1701" w:type="dxa"/>
            <w:tcBorders>
              <w:top w:val="single" w:sz="4" w:space="0" w:color="auto"/>
              <w:left w:val="nil"/>
              <w:bottom w:val="single" w:sz="8" w:space="0" w:color="auto"/>
              <w:right w:val="single" w:sz="4" w:space="0" w:color="auto"/>
            </w:tcBorders>
            <w:noWrap/>
            <w:vAlign w:val="center"/>
          </w:tcPr>
          <w:p w14:paraId="62E41F11"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bydlení</w:t>
            </w:r>
          </w:p>
        </w:tc>
        <w:tc>
          <w:tcPr>
            <w:tcW w:w="949" w:type="dxa"/>
            <w:tcBorders>
              <w:top w:val="single" w:sz="4" w:space="0" w:color="auto"/>
              <w:left w:val="nil"/>
              <w:bottom w:val="single" w:sz="8" w:space="0" w:color="auto"/>
              <w:right w:val="single" w:sz="4" w:space="0" w:color="auto"/>
            </w:tcBorders>
            <w:noWrap/>
            <w:vAlign w:val="center"/>
          </w:tcPr>
          <w:p w14:paraId="6488C2DD" w14:textId="77777777" w:rsidR="009617F5" w:rsidRPr="009617F5" w:rsidRDefault="009617F5" w:rsidP="00286F7D">
            <w:pPr>
              <w:rPr>
                <w:rFonts w:ascii="Arial" w:hAnsi="Arial" w:cs="Arial"/>
                <w:b/>
                <w:sz w:val="20"/>
                <w:szCs w:val="22"/>
              </w:rPr>
            </w:pPr>
            <w:r w:rsidRPr="009617F5">
              <w:rPr>
                <w:rFonts w:ascii="Arial" w:hAnsi="Arial" w:cs="Arial"/>
                <w:b/>
                <w:sz w:val="20"/>
                <w:szCs w:val="22"/>
              </w:rPr>
              <w:t>II</w:t>
            </w:r>
          </w:p>
        </w:tc>
        <w:tc>
          <w:tcPr>
            <w:tcW w:w="992" w:type="dxa"/>
            <w:tcBorders>
              <w:top w:val="single" w:sz="4" w:space="0" w:color="auto"/>
              <w:left w:val="nil"/>
              <w:bottom w:val="single" w:sz="8" w:space="0" w:color="auto"/>
              <w:right w:val="single" w:sz="4" w:space="0" w:color="auto"/>
            </w:tcBorders>
            <w:noWrap/>
            <w:vAlign w:val="center"/>
          </w:tcPr>
          <w:p w14:paraId="6DA88381" w14:textId="77777777" w:rsidR="009617F5" w:rsidRPr="009617F5" w:rsidRDefault="009617F5" w:rsidP="00286F7D">
            <w:pPr>
              <w:rPr>
                <w:rFonts w:ascii="Arial" w:hAnsi="Arial" w:cs="Arial"/>
                <w:sz w:val="20"/>
                <w:szCs w:val="22"/>
              </w:rPr>
            </w:pPr>
            <w:r w:rsidRPr="009617F5">
              <w:rPr>
                <w:rFonts w:ascii="Arial" w:hAnsi="Arial" w:cs="Arial"/>
                <w:sz w:val="20"/>
                <w:szCs w:val="22"/>
              </w:rPr>
              <w:t>0,1023</w:t>
            </w:r>
          </w:p>
        </w:tc>
        <w:tc>
          <w:tcPr>
            <w:tcW w:w="851" w:type="dxa"/>
            <w:tcBorders>
              <w:top w:val="single" w:sz="4" w:space="0" w:color="auto"/>
              <w:left w:val="nil"/>
              <w:bottom w:val="single" w:sz="8" w:space="0" w:color="auto"/>
              <w:right w:val="single" w:sz="4" w:space="0" w:color="auto"/>
            </w:tcBorders>
            <w:noWrap/>
            <w:vAlign w:val="center"/>
          </w:tcPr>
          <w:p w14:paraId="74C9E94A" w14:textId="77777777" w:rsidR="009617F5" w:rsidRPr="009617F5" w:rsidRDefault="009617F5" w:rsidP="00286F7D">
            <w:pPr>
              <w:rPr>
                <w:rFonts w:ascii="Arial" w:hAnsi="Arial" w:cs="Arial"/>
                <w:sz w:val="20"/>
                <w:szCs w:val="22"/>
              </w:rPr>
            </w:pPr>
            <w:r w:rsidRPr="009617F5">
              <w:rPr>
                <w:rFonts w:ascii="Arial" w:hAnsi="Arial" w:cs="Arial"/>
                <w:sz w:val="20"/>
                <w:szCs w:val="22"/>
              </w:rPr>
              <w:t>0</w:t>
            </w:r>
          </w:p>
        </w:tc>
        <w:tc>
          <w:tcPr>
            <w:tcW w:w="992" w:type="dxa"/>
            <w:tcBorders>
              <w:top w:val="single" w:sz="4" w:space="0" w:color="auto"/>
              <w:left w:val="nil"/>
              <w:bottom w:val="single" w:sz="8" w:space="0" w:color="auto"/>
              <w:right w:val="single" w:sz="4" w:space="0" w:color="auto"/>
            </w:tcBorders>
            <w:noWrap/>
            <w:vAlign w:val="center"/>
          </w:tcPr>
          <w:p w14:paraId="0107BEC9" w14:textId="77777777" w:rsidR="009617F5" w:rsidRPr="009617F5" w:rsidRDefault="009617F5" w:rsidP="00286F7D">
            <w:pPr>
              <w:rPr>
                <w:rFonts w:ascii="Arial" w:hAnsi="Arial" w:cs="Arial"/>
                <w:sz w:val="20"/>
                <w:szCs w:val="22"/>
              </w:rPr>
            </w:pPr>
            <w:r w:rsidRPr="009617F5">
              <w:rPr>
                <w:rFonts w:ascii="Arial" w:hAnsi="Arial" w:cs="Arial"/>
                <w:sz w:val="20"/>
                <w:szCs w:val="22"/>
              </w:rPr>
              <w:t>0,1023</w:t>
            </w:r>
          </w:p>
        </w:tc>
        <w:tc>
          <w:tcPr>
            <w:tcW w:w="992" w:type="dxa"/>
            <w:tcBorders>
              <w:top w:val="single" w:sz="4" w:space="0" w:color="auto"/>
              <w:left w:val="nil"/>
              <w:bottom w:val="single" w:sz="8" w:space="0" w:color="auto"/>
              <w:right w:val="single" w:sz="36" w:space="0" w:color="FF0000"/>
            </w:tcBorders>
            <w:vAlign w:val="center"/>
          </w:tcPr>
          <w:p w14:paraId="212EE516" w14:textId="77777777" w:rsidR="009617F5" w:rsidRPr="009617F5" w:rsidRDefault="009617F5" w:rsidP="00286F7D">
            <w:pPr>
              <w:rPr>
                <w:rFonts w:ascii="Arial" w:hAnsi="Arial" w:cs="Arial"/>
                <w:sz w:val="20"/>
                <w:szCs w:val="22"/>
              </w:rPr>
            </w:pPr>
            <w:r w:rsidRPr="009617F5">
              <w:rPr>
                <w:rFonts w:ascii="Arial" w:hAnsi="Arial" w:cs="Arial"/>
                <w:sz w:val="20"/>
                <w:szCs w:val="22"/>
              </w:rPr>
              <w:t>TTP</w:t>
            </w:r>
          </w:p>
        </w:tc>
      </w:tr>
      <w:tr w:rsidR="009617F5" w:rsidRPr="009617F5" w14:paraId="46423C85" w14:textId="77777777" w:rsidTr="00286F7D">
        <w:trPr>
          <w:trHeight w:val="315"/>
        </w:trPr>
        <w:tc>
          <w:tcPr>
            <w:tcW w:w="1151" w:type="dxa"/>
            <w:tcBorders>
              <w:top w:val="single" w:sz="4" w:space="0" w:color="auto"/>
              <w:left w:val="single" w:sz="36" w:space="0" w:color="FF0000"/>
              <w:bottom w:val="single" w:sz="8" w:space="0" w:color="auto"/>
              <w:right w:val="single" w:sz="4" w:space="0" w:color="auto"/>
            </w:tcBorders>
          </w:tcPr>
          <w:p w14:paraId="5968D4B8" w14:textId="77777777" w:rsidR="009617F5" w:rsidRPr="009617F5" w:rsidRDefault="009617F5" w:rsidP="00286F7D">
            <w:pPr>
              <w:rPr>
                <w:rFonts w:ascii="Arial" w:hAnsi="Arial" w:cs="Arial"/>
                <w:bCs/>
                <w:sz w:val="20"/>
                <w:szCs w:val="22"/>
              </w:rPr>
            </w:pPr>
          </w:p>
          <w:p w14:paraId="25B58C4C"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Děčín</w:t>
            </w:r>
          </w:p>
        </w:tc>
        <w:tc>
          <w:tcPr>
            <w:tcW w:w="1134" w:type="dxa"/>
            <w:tcBorders>
              <w:top w:val="single" w:sz="4" w:space="0" w:color="auto"/>
              <w:left w:val="single" w:sz="8" w:space="0" w:color="auto"/>
              <w:bottom w:val="single" w:sz="8" w:space="0" w:color="auto"/>
              <w:right w:val="single" w:sz="4" w:space="0" w:color="auto"/>
            </w:tcBorders>
            <w:vAlign w:val="center"/>
          </w:tcPr>
          <w:p w14:paraId="40D3FB8D"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8Z-45</w:t>
            </w:r>
          </w:p>
        </w:tc>
        <w:tc>
          <w:tcPr>
            <w:tcW w:w="1701" w:type="dxa"/>
            <w:tcBorders>
              <w:top w:val="single" w:sz="4" w:space="0" w:color="auto"/>
              <w:left w:val="nil"/>
              <w:bottom w:val="single" w:sz="8" w:space="0" w:color="auto"/>
              <w:right w:val="single" w:sz="4" w:space="0" w:color="auto"/>
            </w:tcBorders>
            <w:noWrap/>
            <w:vAlign w:val="center"/>
          </w:tcPr>
          <w:p w14:paraId="1F66360D"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plochy smíšené obytné</w:t>
            </w:r>
          </w:p>
        </w:tc>
        <w:tc>
          <w:tcPr>
            <w:tcW w:w="949" w:type="dxa"/>
            <w:tcBorders>
              <w:top w:val="single" w:sz="4" w:space="0" w:color="auto"/>
              <w:left w:val="nil"/>
              <w:bottom w:val="single" w:sz="8" w:space="0" w:color="auto"/>
              <w:right w:val="single" w:sz="4" w:space="0" w:color="auto"/>
            </w:tcBorders>
            <w:noWrap/>
            <w:vAlign w:val="center"/>
          </w:tcPr>
          <w:p w14:paraId="2F3464CB" w14:textId="77777777" w:rsidR="009617F5" w:rsidRPr="009617F5" w:rsidRDefault="009617F5" w:rsidP="00286F7D">
            <w:pPr>
              <w:rPr>
                <w:rFonts w:ascii="Arial" w:hAnsi="Arial" w:cs="Arial"/>
                <w:b/>
                <w:sz w:val="20"/>
                <w:szCs w:val="22"/>
              </w:rPr>
            </w:pPr>
            <w:r w:rsidRPr="009617F5">
              <w:rPr>
                <w:rFonts w:ascii="Arial" w:hAnsi="Arial" w:cs="Arial"/>
                <w:b/>
                <w:sz w:val="20"/>
                <w:szCs w:val="22"/>
              </w:rPr>
              <w:t>II</w:t>
            </w:r>
          </w:p>
        </w:tc>
        <w:tc>
          <w:tcPr>
            <w:tcW w:w="992" w:type="dxa"/>
            <w:tcBorders>
              <w:top w:val="single" w:sz="4" w:space="0" w:color="auto"/>
              <w:left w:val="nil"/>
              <w:bottom w:val="single" w:sz="8" w:space="0" w:color="auto"/>
              <w:right w:val="single" w:sz="4" w:space="0" w:color="auto"/>
            </w:tcBorders>
            <w:noWrap/>
            <w:vAlign w:val="center"/>
          </w:tcPr>
          <w:p w14:paraId="080B91F2" w14:textId="77777777" w:rsidR="009617F5" w:rsidRPr="009617F5" w:rsidRDefault="009617F5" w:rsidP="00286F7D">
            <w:pPr>
              <w:rPr>
                <w:rFonts w:ascii="Arial" w:hAnsi="Arial" w:cs="Arial"/>
                <w:sz w:val="20"/>
                <w:szCs w:val="22"/>
              </w:rPr>
            </w:pPr>
            <w:r w:rsidRPr="009617F5">
              <w:rPr>
                <w:rFonts w:ascii="Arial" w:hAnsi="Arial" w:cs="Arial"/>
                <w:sz w:val="20"/>
                <w:szCs w:val="22"/>
              </w:rPr>
              <w:t>0,0993</w:t>
            </w:r>
          </w:p>
        </w:tc>
        <w:tc>
          <w:tcPr>
            <w:tcW w:w="851" w:type="dxa"/>
            <w:tcBorders>
              <w:top w:val="single" w:sz="4" w:space="0" w:color="auto"/>
              <w:left w:val="nil"/>
              <w:bottom w:val="single" w:sz="8" w:space="0" w:color="auto"/>
              <w:right w:val="single" w:sz="4" w:space="0" w:color="auto"/>
            </w:tcBorders>
            <w:noWrap/>
            <w:vAlign w:val="center"/>
          </w:tcPr>
          <w:p w14:paraId="3EEAAE5B" w14:textId="77777777" w:rsidR="009617F5" w:rsidRPr="009617F5" w:rsidRDefault="009617F5" w:rsidP="00286F7D">
            <w:pPr>
              <w:rPr>
                <w:rFonts w:ascii="Arial" w:hAnsi="Arial" w:cs="Arial"/>
                <w:sz w:val="20"/>
                <w:szCs w:val="22"/>
              </w:rPr>
            </w:pPr>
            <w:r w:rsidRPr="009617F5">
              <w:rPr>
                <w:rFonts w:ascii="Arial" w:hAnsi="Arial" w:cs="Arial"/>
                <w:sz w:val="20"/>
                <w:szCs w:val="22"/>
              </w:rPr>
              <w:t>0</w:t>
            </w:r>
          </w:p>
        </w:tc>
        <w:tc>
          <w:tcPr>
            <w:tcW w:w="992" w:type="dxa"/>
            <w:tcBorders>
              <w:top w:val="single" w:sz="4" w:space="0" w:color="auto"/>
              <w:left w:val="nil"/>
              <w:bottom w:val="single" w:sz="8" w:space="0" w:color="auto"/>
              <w:right w:val="single" w:sz="4" w:space="0" w:color="auto"/>
            </w:tcBorders>
            <w:noWrap/>
            <w:vAlign w:val="center"/>
          </w:tcPr>
          <w:p w14:paraId="4C2FB0CD" w14:textId="77777777" w:rsidR="009617F5" w:rsidRPr="009617F5" w:rsidRDefault="009617F5" w:rsidP="00286F7D">
            <w:pPr>
              <w:rPr>
                <w:rFonts w:ascii="Arial" w:hAnsi="Arial" w:cs="Arial"/>
                <w:sz w:val="20"/>
                <w:szCs w:val="22"/>
              </w:rPr>
            </w:pPr>
            <w:r w:rsidRPr="009617F5">
              <w:rPr>
                <w:rFonts w:ascii="Arial" w:hAnsi="Arial" w:cs="Arial"/>
                <w:sz w:val="20"/>
                <w:szCs w:val="22"/>
              </w:rPr>
              <w:t>0,0993</w:t>
            </w:r>
          </w:p>
        </w:tc>
        <w:tc>
          <w:tcPr>
            <w:tcW w:w="992" w:type="dxa"/>
            <w:tcBorders>
              <w:top w:val="single" w:sz="4" w:space="0" w:color="auto"/>
              <w:left w:val="nil"/>
              <w:bottom w:val="single" w:sz="8" w:space="0" w:color="auto"/>
              <w:right w:val="single" w:sz="36" w:space="0" w:color="FF0000"/>
            </w:tcBorders>
            <w:vAlign w:val="center"/>
          </w:tcPr>
          <w:p w14:paraId="5C9E76D9" w14:textId="77777777" w:rsidR="009617F5" w:rsidRPr="009617F5" w:rsidRDefault="009617F5" w:rsidP="00286F7D">
            <w:pPr>
              <w:rPr>
                <w:rFonts w:ascii="Arial" w:hAnsi="Arial" w:cs="Arial"/>
                <w:sz w:val="20"/>
                <w:szCs w:val="22"/>
              </w:rPr>
            </w:pPr>
            <w:r w:rsidRPr="009617F5">
              <w:rPr>
                <w:rFonts w:ascii="Arial" w:hAnsi="Arial" w:cs="Arial"/>
                <w:sz w:val="20"/>
                <w:szCs w:val="22"/>
              </w:rPr>
              <w:t>zahrada</w:t>
            </w:r>
          </w:p>
        </w:tc>
      </w:tr>
      <w:tr w:rsidR="009617F5" w:rsidRPr="009617F5" w14:paraId="448120A3" w14:textId="77777777" w:rsidTr="00286F7D">
        <w:trPr>
          <w:trHeight w:val="315"/>
        </w:trPr>
        <w:tc>
          <w:tcPr>
            <w:tcW w:w="1151" w:type="dxa"/>
            <w:tcBorders>
              <w:top w:val="single" w:sz="4" w:space="0" w:color="auto"/>
              <w:left w:val="single" w:sz="36" w:space="0" w:color="FF0000"/>
              <w:bottom w:val="single" w:sz="8" w:space="0" w:color="auto"/>
              <w:right w:val="single" w:sz="4" w:space="0" w:color="auto"/>
            </w:tcBorders>
          </w:tcPr>
          <w:p w14:paraId="7618A469"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Děčín</w:t>
            </w:r>
          </w:p>
        </w:tc>
        <w:tc>
          <w:tcPr>
            <w:tcW w:w="1134" w:type="dxa"/>
            <w:tcBorders>
              <w:top w:val="single" w:sz="4" w:space="0" w:color="auto"/>
              <w:left w:val="single" w:sz="8" w:space="0" w:color="auto"/>
              <w:bottom w:val="single" w:sz="8" w:space="0" w:color="auto"/>
              <w:right w:val="single" w:sz="4" w:space="0" w:color="auto"/>
            </w:tcBorders>
            <w:vAlign w:val="center"/>
          </w:tcPr>
          <w:p w14:paraId="2A685824"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8Z-23</w:t>
            </w:r>
          </w:p>
        </w:tc>
        <w:tc>
          <w:tcPr>
            <w:tcW w:w="1701" w:type="dxa"/>
            <w:tcBorders>
              <w:top w:val="single" w:sz="4" w:space="0" w:color="auto"/>
              <w:left w:val="nil"/>
              <w:bottom w:val="single" w:sz="8" w:space="0" w:color="auto"/>
              <w:right w:val="single" w:sz="4" w:space="0" w:color="auto"/>
            </w:tcBorders>
            <w:noWrap/>
            <w:vAlign w:val="center"/>
          </w:tcPr>
          <w:p w14:paraId="000A2AA2"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rekreace</w:t>
            </w:r>
          </w:p>
        </w:tc>
        <w:tc>
          <w:tcPr>
            <w:tcW w:w="949" w:type="dxa"/>
            <w:tcBorders>
              <w:top w:val="single" w:sz="4" w:space="0" w:color="auto"/>
              <w:left w:val="nil"/>
              <w:bottom w:val="single" w:sz="8" w:space="0" w:color="auto"/>
              <w:right w:val="single" w:sz="4" w:space="0" w:color="auto"/>
            </w:tcBorders>
            <w:noWrap/>
            <w:vAlign w:val="center"/>
          </w:tcPr>
          <w:p w14:paraId="21123C41" w14:textId="77777777" w:rsidR="009617F5" w:rsidRPr="009617F5" w:rsidRDefault="009617F5" w:rsidP="00286F7D">
            <w:pPr>
              <w:rPr>
                <w:rFonts w:ascii="Arial" w:hAnsi="Arial" w:cs="Arial"/>
                <w:b/>
                <w:sz w:val="20"/>
                <w:szCs w:val="22"/>
              </w:rPr>
            </w:pPr>
            <w:r w:rsidRPr="009617F5">
              <w:rPr>
                <w:rFonts w:ascii="Arial" w:hAnsi="Arial" w:cs="Arial"/>
                <w:b/>
                <w:sz w:val="20"/>
                <w:szCs w:val="22"/>
              </w:rPr>
              <w:t>II</w:t>
            </w:r>
          </w:p>
        </w:tc>
        <w:tc>
          <w:tcPr>
            <w:tcW w:w="992" w:type="dxa"/>
            <w:tcBorders>
              <w:top w:val="single" w:sz="4" w:space="0" w:color="auto"/>
              <w:left w:val="nil"/>
              <w:bottom w:val="single" w:sz="8" w:space="0" w:color="auto"/>
              <w:right w:val="single" w:sz="4" w:space="0" w:color="auto"/>
            </w:tcBorders>
            <w:noWrap/>
            <w:vAlign w:val="center"/>
          </w:tcPr>
          <w:p w14:paraId="539E5451" w14:textId="77777777" w:rsidR="009617F5" w:rsidRPr="009617F5" w:rsidRDefault="009617F5" w:rsidP="00286F7D">
            <w:pPr>
              <w:rPr>
                <w:rFonts w:ascii="Arial" w:hAnsi="Arial" w:cs="Arial"/>
                <w:sz w:val="20"/>
                <w:szCs w:val="22"/>
              </w:rPr>
            </w:pPr>
            <w:r w:rsidRPr="009617F5">
              <w:rPr>
                <w:rFonts w:ascii="Arial" w:hAnsi="Arial" w:cs="Arial"/>
                <w:sz w:val="20"/>
                <w:szCs w:val="22"/>
              </w:rPr>
              <w:t>0,0459</w:t>
            </w:r>
          </w:p>
        </w:tc>
        <w:tc>
          <w:tcPr>
            <w:tcW w:w="851" w:type="dxa"/>
            <w:tcBorders>
              <w:top w:val="single" w:sz="4" w:space="0" w:color="auto"/>
              <w:left w:val="nil"/>
              <w:bottom w:val="single" w:sz="8" w:space="0" w:color="auto"/>
              <w:right w:val="single" w:sz="4" w:space="0" w:color="auto"/>
            </w:tcBorders>
            <w:noWrap/>
            <w:vAlign w:val="center"/>
          </w:tcPr>
          <w:p w14:paraId="7C159292" w14:textId="77777777" w:rsidR="009617F5" w:rsidRPr="009617F5" w:rsidRDefault="009617F5" w:rsidP="00286F7D">
            <w:pPr>
              <w:rPr>
                <w:rFonts w:ascii="Arial" w:hAnsi="Arial" w:cs="Arial"/>
                <w:sz w:val="20"/>
                <w:szCs w:val="22"/>
              </w:rPr>
            </w:pPr>
            <w:r w:rsidRPr="009617F5">
              <w:rPr>
                <w:rFonts w:ascii="Arial" w:hAnsi="Arial" w:cs="Arial"/>
                <w:sz w:val="20"/>
                <w:szCs w:val="22"/>
              </w:rPr>
              <w:t>0</w:t>
            </w:r>
          </w:p>
        </w:tc>
        <w:tc>
          <w:tcPr>
            <w:tcW w:w="992" w:type="dxa"/>
            <w:tcBorders>
              <w:top w:val="single" w:sz="4" w:space="0" w:color="auto"/>
              <w:left w:val="nil"/>
              <w:bottom w:val="single" w:sz="8" w:space="0" w:color="auto"/>
              <w:right w:val="single" w:sz="4" w:space="0" w:color="auto"/>
            </w:tcBorders>
            <w:noWrap/>
            <w:vAlign w:val="center"/>
          </w:tcPr>
          <w:p w14:paraId="62A4E180" w14:textId="77777777" w:rsidR="009617F5" w:rsidRPr="009617F5" w:rsidRDefault="009617F5" w:rsidP="00286F7D">
            <w:pPr>
              <w:rPr>
                <w:rFonts w:ascii="Arial" w:hAnsi="Arial" w:cs="Arial"/>
                <w:sz w:val="20"/>
                <w:szCs w:val="22"/>
              </w:rPr>
            </w:pPr>
            <w:r w:rsidRPr="009617F5">
              <w:rPr>
                <w:rFonts w:ascii="Arial" w:hAnsi="Arial" w:cs="Arial"/>
                <w:sz w:val="20"/>
                <w:szCs w:val="22"/>
              </w:rPr>
              <w:t>0,0459</w:t>
            </w:r>
          </w:p>
        </w:tc>
        <w:tc>
          <w:tcPr>
            <w:tcW w:w="992" w:type="dxa"/>
            <w:tcBorders>
              <w:top w:val="single" w:sz="4" w:space="0" w:color="auto"/>
              <w:left w:val="nil"/>
              <w:bottom w:val="single" w:sz="8" w:space="0" w:color="auto"/>
              <w:right w:val="single" w:sz="36" w:space="0" w:color="FF0000"/>
            </w:tcBorders>
            <w:vAlign w:val="center"/>
          </w:tcPr>
          <w:p w14:paraId="6A6BCC15" w14:textId="77777777" w:rsidR="009617F5" w:rsidRPr="009617F5" w:rsidRDefault="009617F5" w:rsidP="00286F7D">
            <w:pPr>
              <w:rPr>
                <w:rFonts w:ascii="Arial" w:hAnsi="Arial" w:cs="Arial"/>
                <w:sz w:val="20"/>
                <w:szCs w:val="22"/>
              </w:rPr>
            </w:pPr>
            <w:r w:rsidRPr="009617F5">
              <w:rPr>
                <w:rFonts w:ascii="Arial" w:hAnsi="Arial" w:cs="Arial"/>
                <w:sz w:val="20"/>
                <w:szCs w:val="22"/>
              </w:rPr>
              <w:t>zahrada</w:t>
            </w:r>
          </w:p>
        </w:tc>
      </w:tr>
      <w:tr w:rsidR="009617F5" w:rsidRPr="009617F5" w14:paraId="3C445DFB" w14:textId="77777777" w:rsidTr="00286F7D">
        <w:trPr>
          <w:trHeight w:val="315"/>
        </w:trPr>
        <w:tc>
          <w:tcPr>
            <w:tcW w:w="1151" w:type="dxa"/>
            <w:tcBorders>
              <w:top w:val="single" w:sz="4" w:space="0" w:color="auto"/>
              <w:left w:val="single" w:sz="36" w:space="0" w:color="FF0000"/>
              <w:bottom w:val="single" w:sz="8" w:space="0" w:color="auto"/>
              <w:right w:val="single" w:sz="4" w:space="0" w:color="auto"/>
            </w:tcBorders>
          </w:tcPr>
          <w:p w14:paraId="28CDF358"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Nebočady</w:t>
            </w:r>
          </w:p>
        </w:tc>
        <w:tc>
          <w:tcPr>
            <w:tcW w:w="1134" w:type="dxa"/>
            <w:tcBorders>
              <w:top w:val="single" w:sz="4" w:space="0" w:color="auto"/>
              <w:left w:val="single" w:sz="8" w:space="0" w:color="auto"/>
              <w:bottom w:val="single" w:sz="8" w:space="0" w:color="auto"/>
              <w:right w:val="single" w:sz="4" w:space="0" w:color="auto"/>
            </w:tcBorders>
            <w:vAlign w:val="center"/>
          </w:tcPr>
          <w:p w14:paraId="7FFD408B"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8Z-13</w:t>
            </w:r>
          </w:p>
        </w:tc>
        <w:tc>
          <w:tcPr>
            <w:tcW w:w="1701" w:type="dxa"/>
            <w:tcBorders>
              <w:top w:val="single" w:sz="4" w:space="0" w:color="auto"/>
              <w:left w:val="nil"/>
              <w:bottom w:val="single" w:sz="8" w:space="0" w:color="auto"/>
              <w:right w:val="single" w:sz="4" w:space="0" w:color="auto"/>
            </w:tcBorders>
            <w:noWrap/>
            <w:vAlign w:val="center"/>
          </w:tcPr>
          <w:p w14:paraId="31A222F0"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bydlení</w:t>
            </w:r>
          </w:p>
        </w:tc>
        <w:tc>
          <w:tcPr>
            <w:tcW w:w="949" w:type="dxa"/>
            <w:tcBorders>
              <w:top w:val="single" w:sz="4" w:space="0" w:color="auto"/>
              <w:left w:val="nil"/>
              <w:bottom w:val="single" w:sz="8" w:space="0" w:color="auto"/>
              <w:right w:val="single" w:sz="4" w:space="0" w:color="auto"/>
            </w:tcBorders>
            <w:noWrap/>
            <w:vAlign w:val="center"/>
          </w:tcPr>
          <w:p w14:paraId="34231034" w14:textId="77777777" w:rsidR="009617F5" w:rsidRPr="009617F5" w:rsidRDefault="009617F5" w:rsidP="00286F7D">
            <w:pPr>
              <w:rPr>
                <w:rFonts w:ascii="Arial" w:hAnsi="Arial" w:cs="Arial"/>
                <w:b/>
                <w:sz w:val="20"/>
                <w:szCs w:val="22"/>
              </w:rPr>
            </w:pPr>
            <w:r w:rsidRPr="009617F5">
              <w:rPr>
                <w:rFonts w:ascii="Arial" w:hAnsi="Arial" w:cs="Arial"/>
                <w:b/>
                <w:sz w:val="20"/>
                <w:szCs w:val="22"/>
              </w:rPr>
              <w:t>II</w:t>
            </w:r>
          </w:p>
        </w:tc>
        <w:tc>
          <w:tcPr>
            <w:tcW w:w="992" w:type="dxa"/>
            <w:tcBorders>
              <w:top w:val="single" w:sz="4" w:space="0" w:color="auto"/>
              <w:left w:val="nil"/>
              <w:bottom w:val="single" w:sz="8" w:space="0" w:color="auto"/>
              <w:right w:val="single" w:sz="4" w:space="0" w:color="auto"/>
            </w:tcBorders>
            <w:noWrap/>
            <w:vAlign w:val="center"/>
          </w:tcPr>
          <w:p w14:paraId="40316B84" w14:textId="77777777" w:rsidR="009617F5" w:rsidRPr="009617F5" w:rsidRDefault="009617F5" w:rsidP="00286F7D">
            <w:pPr>
              <w:rPr>
                <w:rFonts w:ascii="Arial" w:hAnsi="Arial" w:cs="Arial"/>
                <w:sz w:val="20"/>
                <w:szCs w:val="22"/>
              </w:rPr>
            </w:pPr>
            <w:r w:rsidRPr="009617F5">
              <w:rPr>
                <w:rFonts w:ascii="Arial" w:hAnsi="Arial" w:cs="Arial"/>
                <w:sz w:val="20"/>
                <w:szCs w:val="22"/>
              </w:rPr>
              <w:t>1,1923</w:t>
            </w:r>
          </w:p>
        </w:tc>
        <w:tc>
          <w:tcPr>
            <w:tcW w:w="851" w:type="dxa"/>
            <w:tcBorders>
              <w:top w:val="single" w:sz="4" w:space="0" w:color="auto"/>
              <w:left w:val="nil"/>
              <w:bottom w:val="single" w:sz="8" w:space="0" w:color="auto"/>
              <w:right w:val="single" w:sz="4" w:space="0" w:color="auto"/>
            </w:tcBorders>
            <w:noWrap/>
            <w:vAlign w:val="center"/>
          </w:tcPr>
          <w:p w14:paraId="42F66B83" w14:textId="77777777" w:rsidR="009617F5" w:rsidRPr="009617F5" w:rsidRDefault="009617F5" w:rsidP="00286F7D">
            <w:pPr>
              <w:rPr>
                <w:rFonts w:ascii="Arial" w:hAnsi="Arial" w:cs="Arial"/>
                <w:sz w:val="20"/>
                <w:szCs w:val="22"/>
              </w:rPr>
            </w:pPr>
            <w:r w:rsidRPr="009617F5">
              <w:rPr>
                <w:rFonts w:ascii="Arial" w:hAnsi="Arial" w:cs="Arial"/>
                <w:sz w:val="20"/>
                <w:szCs w:val="22"/>
              </w:rPr>
              <w:t>0</w:t>
            </w:r>
          </w:p>
        </w:tc>
        <w:tc>
          <w:tcPr>
            <w:tcW w:w="992" w:type="dxa"/>
            <w:tcBorders>
              <w:top w:val="single" w:sz="4" w:space="0" w:color="auto"/>
              <w:left w:val="nil"/>
              <w:bottom w:val="single" w:sz="8" w:space="0" w:color="auto"/>
              <w:right w:val="single" w:sz="4" w:space="0" w:color="auto"/>
            </w:tcBorders>
            <w:noWrap/>
            <w:vAlign w:val="center"/>
          </w:tcPr>
          <w:p w14:paraId="02876227" w14:textId="77777777" w:rsidR="009617F5" w:rsidRPr="009617F5" w:rsidRDefault="009617F5" w:rsidP="00286F7D">
            <w:pPr>
              <w:rPr>
                <w:rFonts w:ascii="Arial" w:hAnsi="Arial" w:cs="Arial"/>
                <w:sz w:val="20"/>
                <w:szCs w:val="22"/>
              </w:rPr>
            </w:pPr>
            <w:r w:rsidRPr="009617F5">
              <w:rPr>
                <w:rFonts w:ascii="Arial" w:hAnsi="Arial" w:cs="Arial"/>
                <w:sz w:val="20"/>
                <w:szCs w:val="22"/>
              </w:rPr>
              <w:t>1,1923</w:t>
            </w:r>
          </w:p>
        </w:tc>
        <w:tc>
          <w:tcPr>
            <w:tcW w:w="992" w:type="dxa"/>
            <w:tcBorders>
              <w:top w:val="single" w:sz="4" w:space="0" w:color="auto"/>
              <w:left w:val="nil"/>
              <w:bottom w:val="single" w:sz="8" w:space="0" w:color="auto"/>
              <w:right w:val="single" w:sz="36" w:space="0" w:color="FF0000"/>
            </w:tcBorders>
            <w:vAlign w:val="center"/>
          </w:tcPr>
          <w:p w14:paraId="1ECD1251" w14:textId="77777777" w:rsidR="009617F5" w:rsidRPr="009617F5" w:rsidRDefault="009617F5" w:rsidP="00286F7D">
            <w:pPr>
              <w:rPr>
                <w:rFonts w:ascii="Arial" w:hAnsi="Arial" w:cs="Arial"/>
                <w:sz w:val="20"/>
                <w:szCs w:val="22"/>
              </w:rPr>
            </w:pPr>
            <w:r w:rsidRPr="009617F5">
              <w:rPr>
                <w:rFonts w:ascii="Arial" w:hAnsi="Arial" w:cs="Arial"/>
                <w:sz w:val="20"/>
                <w:szCs w:val="22"/>
              </w:rPr>
              <w:t>TTP</w:t>
            </w:r>
          </w:p>
        </w:tc>
      </w:tr>
      <w:tr w:rsidR="009617F5" w:rsidRPr="009617F5" w14:paraId="24388423" w14:textId="77777777" w:rsidTr="00286F7D">
        <w:trPr>
          <w:trHeight w:val="315"/>
        </w:trPr>
        <w:tc>
          <w:tcPr>
            <w:tcW w:w="1151" w:type="dxa"/>
            <w:tcBorders>
              <w:top w:val="single" w:sz="4" w:space="0" w:color="auto"/>
              <w:left w:val="single" w:sz="36" w:space="0" w:color="FF0000"/>
              <w:bottom w:val="single" w:sz="8" w:space="0" w:color="auto"/>
              <w:right w:val="single" w:sz="4" w:space="0" w:color="auto"/>
            </w:tcBorders>
          </w:tcPr>
          <w:p w14:paraId="25D64BA3"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Podmokly</w:t>
            </w:r>
          </w:p>
        </w:tc>
        <w:tc>
          <w:tcPr>
            <w:tcW w:w="1134" w:type="dxa"/>
            <w:tcBorders>
              <w:top w:val="single" w:sz="4" w:space="0" w:color="auto"/>
              <w:left w:val="single" w:sz="8" w:space="0" w:color="auto"/>
              <w:bottom w:val="single" w:sz="8" w:space="0" w:color="auto"/>
              <w:right w:val="single" w:sz="4" w:space="0" w:color="auto"/>
            </w:tcBorders>
            <w:vAlign w:val="center"/>
          </w:tcPr>
          <w:p w14:paraId="292083CF"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8Z-33a</w:t>
            </w:r>
          </w:p>
        </w:tc>
        <w:tc>
          <w:tcPr>
            <w:tcW w:w="1701" w:type="dxa"/>
            <w:tcBorders>
              <w:top w:val="single" w:sz="4" w:space="0" w:color="auto"/>
              <w:left w:val="nil"/>
              <w:bottom w:val="single" w:sz="8" w:space="0" w:color="auto"/>
              <w:right w:val="single" w:sz="4" w:space="0" w:color="auto"/>
            </w:tcBorders>
            <w:noWrap/>
            <w:vAlign w:val="center"/>
          </w:tcPr>
          <w:p w14:paraId="5F6D5CA3"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bydlení</w:t>
            </w:r>
          </w:p>
        </w:tc>
        <w:tc>
          <w:tcPr>
            <w:tcW w:w="949" w:type="dxa"/>
            <w:tcBorders>
              <w:top w:val="single" w:sz="4" w:space="0" w:color="auto"/>
              <w:left w:val="nil"/>
              <w:bottom w:val="single" w:sz="8" w:space="0" w:color="auto"/>
              <w:right w:val="single" w:sz="4" w:space="0" w:color="auto"/>
            </w:tcBorders>
            <w:noWrap/>
            <w:vAlign w:val="center"/>
          </w:tcPr>
          <w:p w14:paraId="0187BB26" w14:textId="77777777" w:rsidR="009617F5" w:rsidRPr="009617F5" w:rsidRDefault="009617F5" w:rsidP="00286F7D">
            <w:pPr>
              <w:rPr>
                <w:rFonts w:ascii="Arial" w:hAnsi="Arial" w:cs="Arial"/>
                <w:b/>
                <w:sz w:val="20"/>
                <w:szCs w:val="22"/>
              </w:rPr>
            </w:pPr>
            <w:r w:rsidRPr="009617F5">
              <w:rPr>
                <w:rFonts w:ascii="Arial" w:hAnsi="Arial" w:cs="Arial"/>
                <w:b/>
                <w:sz w:val="20"/>
                <w:szCs w:val="22"/>
              </w:rPr>
              <w:t>II</w:t>
            </w:r>
          </w:p>
        </w:tc>
        <w:tc>
          <w:tcPr>
            <w:tcW w:w="992" w:type="dxa"/>
            <w:tcBorders>
              <w:top w:val="single" w:sz="4" w:space="0" w:color="auto"/>
              <w:left w:val="nil"/>
              <w:bottom w:val="single" w:sz="8" w:space="0" w:color="auto"/>
              <w:right w:val="single" w:sz="4" w:space="0" w:color="auto"/>
            </w:tcBorders>
            <w:noWrap/>
            <w:vAlign w:val="center"/>
          </w:tcPr>
          <w:p w14:paraId="4F2363CA" w14:textId="77777777" w:rsidR="009617F5" w:rsidRPr="009617F5" w:rsidRDefault="009617F5" w:rsidP="00286F7D">
            <w:pPr>
              <w:rPr>
                <w:rFonts w:ascii="Arial" w:hAnsi="Arial" w:cs="Arial"/>
                <w:sz w:val="20"/>
                <w:szCs w:val="22"/>
              </w:rPr>
            </w:pPr>
            <w:r w:rsidRPr="009617F5">
              <w:rPr>
                <w:rFonts w:ascii="Arial" w:hAnsi="Arial" w:cs="Arial"/>
                <w:sz w:val="20"/>
                <w:szCs w:val="22"/>
              </w:rPr>
              <w:t>0,0881</w:t>
            </w:r>
          </w:p>
        </w:tc>
        <w:tc>
          <w:tcPr>
            <w:tcW w:w="851" w:type="dxa"/>
            <w:tcBorders>
              <w:top w:val="single" w:sz="4" w:space="0" w:color="auto"/>
              <w:left w:val="nil"/>
              <w:bottom w:val="single" w:sz="8" w:space="0" w:color="auto"/>
              <w:right w:val="single" w:sz="4" w:space="0" w:color="auto"/>
            </w:tcBorders>
            <w:noWrap/>
            <w:vAlign w:val="center"/>
          </w:tcPr>
          <w:p w14:paraId="1BB82510" w14:textId="77777777" w:rsidR="009617F5" w:rsidRPr="009617F5" w:rsidRDefault="009617F5" w:rsidP="00286F7D">
            <w:pPr>
              <w:rPr>
                <w:rFonts w:ascii="Arial" w:hAnsi="Arial" w:cs="Arial"/>
                <w:sz w:val="20"/>
                <w:szCs w:val="22"/>
              </w:rPr>
            </w:pPr>
            <w:r w:rsidRPr="009617F5">
              <w:rPr>
                <w:rFonts w:ascii="Arial" w:hAnsi="Arial" w:cs="Arial"/>
                <w:sz w:val="20"/>
                <w:szCs w:val="22"/>
              </w:rPr>
              <w:t>0</w:t>
            </w:r>
          </w:p>
        </w:tc>
        <w:tc>
          <w:tcPr>
            <w:tcW w:w="992" w:type="dxa"/>
            <w:tcBorders>
              <w:top w:val="single" w:sz="4" w:space="0" w:color="auto"/>
              <w:left w:val="nil"/>
              <w:bottom w:val="single" w:sz="8" w:space="0" w:color="auto"/>
              <w:right w:val="single" w:sz="4" w:space="0" w:color="auto"/>
            </w:tcBorders>
            <w:noWrap/>
            <w:vAlign w:val="center"/>
          </w:tcPr>
          <w:p w14:paraId="02728C3E" w14:textId="77777777" w:rsidR="009617F5" w:rsidRPr="009617F5" w:rsidRDefault="009617F5" w:rsidP="00286F7D">
            <w:pPr>
              <w:rPr>
                <w:rFonts w:ascii="Arial" w:hAnsi="Arial" w:cs="Arial"/>
                <w:sz w:val="20"/>
                <w:szCs w:val="22"/>
              </w:rPr>
            </w:pPr>
            <w:r w:rsidRPr="009617F5">
              <w:rPr>
                <w:rFonts w:ascii="Arial" w:hAnsi="Arial" w:cs="Arial"/>
                <w:sz w:val="20"/>
                <w:szCs w:val="22"/>
              </w:rPr>
              <w:t>0,0881</w:t>
            </w:r>
          </w:p>
        </w:tc>
        <w:tc>
          <w:tcPr>
            <w:tcW w:w="992" w:type="dxa"/>
            <w:tcBorders>
              <w:top w:val="single" w:sz="4" w:space="0" w:color="auto"/>
              <w:left w:val="nil"/>
              <w:bottom w:val="single" w:sz="8" w:space="0" w:color="auto"/>
              <w:right w:val="single" w:sz="36" w:space="0" w:color="FF0000"/>
            </w:tcBorders>
            <w:vAlign w:val="center"/>
          </w:tcPr>
          <w:p w14:paraId="7F7AC730" w14:textId="77777777" w:rsidR="009617F5" w:rsidRPr="009617F5" w:rsidRDefault="009617F5" w:rsidP="00286F7D">
            <w:pPr>
              <w:rPr>
                <w:rFonts w:ascii="Arial" w:hAnsi="Arial" w:cs="Arial"/>
                <w:sz w:val="20"/>
                <w:szCs w:val="22"/>
              </w:rPr>
            </w:pPr>
            <w:r w:rsidRPr="009617F5">
              <w:rPr>
                <w:rFonts w:ascii="Arial" w:hAnsi="Arial" w:cs="Arial"/>
                <w:sz w:val="20"/>
                <w:szCs w:val="22"/>
              </w:rPr>
              <w:t>TTP</w:t>
            </w:r>
          </w:p>
        </w:tc>
      </w:tr>
      <w:tr w:rsidR="009617F5" w:rsidRPr="009617F5" w14:paraId="7B06E419" w14:textId="77777777" w:rsidTr="00286F7D">
        <w:trPr>
          <w:trHeight w:val="315"/>
        </w:trPr>
        <w:tc>
          <w:tcPr>
            <w:tcW w:w="1151" w:type="dxa"/>
            <w:tcBorders>
              <w:top w:val="single" w:sz="4" w:space="0" w:color="auto"/>
              <w:left w:val="single" w:sz="36" w:space="0" w:color="FF0000"/>
              <w:bottom w:val="single" w:sz="8" w:space="0" w:color="auto"/>
              <w:right w:val="single" w:sz="4" w:space="0" w:color="auto"/>
            </w:tcBorders>
          </w:tcPr>
          <w:p w14:paraId="2731FB52"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Podmokly</w:t>
            </w:r>
          </w:p>
        </w:tc>
        <w:tc>
          <w:tcPr>
            <w:tcW w:w="1134" w:type="dxa"/>
            <w:tcBorders>
              <w:top w:val="single" w:sz="4" w:space="0" w:color="auto"/>
              <w:left w:val="single" w:sz="8" w:space="0" w:color="auto"/>
              <w:bottom w:val="single" w:sz="8" w:space="0" w:color="auto"/>
              <w:right w:val="single" w:sz="4" w:space="0" w:color="auto"/>
            </w:tcBorders>
            <w:vAlign w:val="center"/>
          </w:tcPr>
          <w:p w14:paraId="43835301"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8Z-33b</w:t>
            </w:r>
          </w:p>
        </w:tc>
        <w:tc>
          <w:tcPr>
            <w:tcW w:w="1701" w:type="dxa"/>
            <w:tcBorders>
              <w:top w:val="single" w:sz="4" w:space="0" w:color="auto"/>
              <w:left w:val="nil"/>
              <w:bottom w:val="single" w:sz="8" w:space="0" w:color="auto"/>
              <w:right w:val="single" w:sz="4" w:space="0" w:color="auto"/>
            </w:tcBorders>
            <w:noWrap/>
            <w:vAlign w:val="center"/>
          </w:tcPr>
          <w:p w14:paraId="20141B84"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bydlení</w:t>
            </w:r>
          </w:p>
        </w:tc>
        <w:tc>
          <w:tcPr>
            <w:tcW w:w="949" w:type="dxa"/>
            <w:tcBorders>
              <w:top w:val="single" w:sz="4" w:space="0" w:color="auto"/>
              <w:left w:val="nil"/>
              <w:bottom w:val="single" w:sz="8" w:space="0" w:color="auto"/>
              <w:right w:val="single" w:sz="4" w:space="0" w:color="auto"/>
            </w:tcBorders>
            <w:noWrap/>
            <w:vAlign w:val="center"/>
          </w:tcPr>
          <w:p w14:paraId="3E705BBD" w14:textId="77777777" w:rsidR="009617F5" w:rsidRPr="009617F5" w:rsidRDefault="009617F5" w:rsidP="00286F7D">
            <w:pPr>
              <w:rPr>
                <w:rFonts w:ascii="Arial" w:hAnsi="Arial" w:cs="Arial"/>
                <w:b/>
                <w:sz w:val="20"/>
                <w:szCs w:val="22"/>
              </w:rPr>
            </w:pPr>
            <w:r w:rsidRPr="009617F5">
              <w:rPr>
                <w:rFonts w:ascii="Arial" w:hAnsi="Arial" w:cs="Arial"/>
                <w:b/>
                <w:sz w:val="20"/>
                <w:szCs w:val="22"/>
              </w:rPr>
              <w:t>II</w:t>
            </w:r>
          </w:p>
        </w:tc>
        <w:tc>
          <w:tcPr>
            <w:tcW w:w="992" w:type="dxa"/>
            <w:tcBorders>
              <w:top w:val="single" w:sz="4" w:space="0" w:color="auto"/>
              <w:left w:val="nil"/>
              <w:bottom w:val="single" w:sz="8" w:space="0" w:color="auto"/>
              <w:right w:val="single" w:sz="4" w:space="0" w:color="auto"/>
            </w:tcBorders>
            <w:noWrap/>
            <w:vAlign w:val="center"/>
          </w:tcPr>
          <w:p w14:paraId="777C31C1" w14:textId="77777777" w:rsidR="009617F5" w:rsidRPr="009617F5" w:rsidRDefault="009617F5" w:rsidP="00286F7D">
            <w:pPr>
              <w:rPr>
                <w:rFonts w:ascii="Arial" w:hAnsi="Arial" w:cs="Arial"/>
                <w:sz w:val="20"/>
                <w:szCs w:val="22"/>
              </w:rPr>
            </w:pPr>
            <w:r w:rsidRPr="009617F5">
              <w:rPr>
                <w:rFonts w:ascii="Arial" w:hAnsi="Arial" w:cs="Arial"/>
                <w:sz w:val="20"/>
                <w:szCs w:val="22"/>
              </w:rPr>
              <w:t>0,0875</w:t>
            </w:r>
          </w:p>
        </w:tc>
        <w:tc>
          <w:tcPr>
            <w:tcW w:w="851" w:type="dxa"/>
            <w:tcBorders>
              <w:top w:val="single" w:sz="4" w:space="0" w:color="auto"/>
              <w:left w:val="nil"/>
              <w:bottom w:val="single" w:sz="8" w:space="0" w:color="auto"/>
              <w:right w:val="single" w:sz="4" w:space="0" w:color="auto"/>
            </w:tcBorders>
            <w:noWrap/>
            <w:vAlign w:val="center"/>
          </w:tcPr>
          <w:p w14:paraId="728DBFFB" w14:textId="77777777" w:rsidR="009617F5" w:rsidRPr="009617F5" w:rsidRDefault="009617F5" w:rsidP="00286F7D">
            <w:pPr>
              <w:rPr>
                <w:rFonts w:ascii="Arial" w:hAnsi="Arial" w:cs="Arial"/>
                <w:sz w:val="20"/>
                <w:szCs w:val="22"/>
              </w:rPr>
            </w:pPr>
            <w:r w:rsidRPr="009617F5">
              <w:rPr>
                <w:rFonts w:ascii="Arial" w:hAnsi="Arial" w:cs="Arial"/>
                <w:sz w:val="20"/>
                <w:szCs w:val="22"/>
              </w:rPr>
              <w:t>0</w:t>
            </w:r>
          </w:p>
        </w:tc>
        <w:tc>
          <w:tcPr>
            <w:tcW w:w="992" w:type="dxa"/>
            <w:tcBorders>
              <w:top w:val="single" w:sz="4" w:space="0" w:color="auto"/>
              <w:left w:val="nil"/>
              <w:bottom w:val="single" w:sz="8" w:space="0" w:color="auto"/>
              <w:right w:val="single" w:sz="4" w:space="0" w:color="auto"/>
            </w:tcBorders>
            <w:noWrap/>
            <w:vAlign w:val="center"/>
          </w:tcPr>
          <w:p w14:paraId="430AFE96" w14:textId="77777777" w:rsidR="009617F5" w:rsidRPr="009617F5" w:rsidRDefault="009617F5" w:rsidP="00286F7D">
            <w:pPr>
              <w:rPr>
                <w:rFonts w:ascii="Arial" w:hAnsi="Arial" w:cs="Arial"/>
                <w:sz w:val="20"/>
                <w:szCs w:val="22"/>
              </w:rPr>
            </w:pPr>
            <w:r w:rsidRPr="009617F5">
              <w:rPr>
                <w:rFonts w:ascii="Arial" w:hAnsi="Arial" w:cs="Arial"/>
                <w:sz w:val="20"/>
                <w:szCs w:val="22"/>
              </w:rPr>
              <w:t>0,0875</w:t>
            </w:r>
          </w:p>
        </w:tc>
        <w:tc>
          <w:tcPr>
            <w:tcW w:w="992" w:type="dxa"/>
            <w:tcBorders>
              <w:top w:val="single" w:sz="4" w:space="0" w:color="auto"/>
              <w:left w:val="nil"/>
              <w:bottom w:val="single" w:sz="8" w:space="0" w:color="auto"/>
              <w:right w:val="single" w:sz="36" w:space="0" w:color="FF0000"/>
            </w:tcBorders>
            <w:vAlign w:val="center"/>
          </w:tcPr>
          <w:p w14:paraId="17D5AAD1" w14:textId="77777777" w:rsidR="009617F5" w:rsidRPr="009617F5" w:rsidRDefault="009617F5" w:rsidP="00286F7D">
            <w:pPr>
              <w:rPr>
                <w:rFonts w:ascii="Arial" w:hAnsi="Arial" w:cs="Arial"/>
                <w:sz w:val="20"/>
                <w:szCs w:val="22"/>
              </w:rPr>
            </w:pPr>
            <w:r w:rsidRPr="009617F5">
              <w:rPr>
                <w:rFonts w:ascii="Arial" w:hAnsi="Arial" w:cs="Arial"/>
                <w:sz w:val="20"/>
                <w:szCs w:val="22"/>
              </w:rPr>
              <w:t>TTP</w:t>
            </w:r>
          </w:p>
        </w:tc>
      </w:tr>
      <w:tr w:rsidR="009617F5" w:rsidRPr="009617F5" w14:paraId="4BFF1161" w14:textId="77777777" w:rsidTr="00286F7D">
        <w:trPr>
          <w:trHeight w:val="315"/>
        </w:trPr>
        <w:tc>
          <w:tcPr>
            <w:tcW w:w="1151" w:type="dxa"/>
            <w:tcBorders>
              <w:top w:val="single" w:sz="4" w:space="0" w:color="auto"/>
              <w:left w:val="single" w:sz="36" w:space="0" w:color="FF0000"/>
              <w:bottom w:val="single" w:sz="8" w:space="0" w:color="auto"/>
              <w:right w:val="single" w:sz="4" w:space="0" w:color="auto"/>
            </w:tcBorders>
          </w:tcPr>
          <w:p w14:paraId="52697A8F"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Podmokly</w:t>
            </w:r>
          </w:p>
        </w:tc>
        <w:tc>
          <w:tcPr>
            <w:tcW w:w="1134" w:type="dxa"/>
            <w:tcBorders>
              <w:top w:val="single" w:sz="4" w:space="0" w:color="auto"/>
              <w:left w:val="single" w:sz="8" w:space="0" w:color="auto"/>
              <w:bottom w:val="single" w:sz="8" w:space="0" w:color="auto"/>
              <w:right w:val="single" w:sz="4" w:space="0" w:color="auto"/>
            </w:tcBorders>
            <w:vAlign w:val="center"/>
          </w:tcPr>
          <w:p w14:paraId="338F93F2"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8Z-33c</w:t>
            </w:r>
          </w:p>
        </w:tc>
        <w:tc>
          <w:tcPr>
            <w:tcW w:w="1701" w:type="dxa"/>
            <w:tcBorders>
              <w:top w:val="single" w:sz="4" w:space="0" w:color="auto"/>
              <w:left w:val="nil"/>
              <w:bottom w:val="single" w:sz="8" w:space="0" w:color="auto"/>
              <w:right w:val="single" w:sz="4" w:space="0" w:color="auto"/>
            </w:tcBorders>
            <w:noWrap/>
            <w:vAlign w:val="center"/>
          </w:tcPr>
          <w:p w14:paraId="262B7625"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bydlení</w:t>
            </w:r>
          </w:p>
        </w:tc>
        <w:tc>
          <w:tcPr>
            <w:tcW w:w="949" w:type="dxa"/>
            <w:tcBorders>
              <w:top w:val="single" w:sz="4" w:space="0" w:color="auto"/>
              <w:left w:val="nil"/>
              <w:bottom w:val="single" w:sz="8" w:space="0" w:color="auto"/>
              <w:right w:val="single" w:sz="4" w:space="0" w:color="auto"/>
            </w:tcBorders>
            <w:noWrap/>
            <w:vAlign w:val="center"/>
          </w:tcPr>
          <w:p w14:paraId="6C602B00" w14:textId="77777777" w:rsidR="009617F5" w:rsidRPr="009617F5" w:rsidRDefault="009617F5" w:rsidP="00286F7D">
            <w:pPr>
              <w:rPr>
                <w:rFonts w:ascii="Arial" w:hAnsi="Arial" w:cs="Arial"/>
                <w:b/>
                <w:sz w:val="20"/>
                <w:szCs w:val="22"/>
              </w:rPr>
            </w:pPr>
            <w:r w:rsidRPr="009617F5">
              <w:rPr>
                <w:rFonts w:ascii="Arial" w:hAnsi="Arial" w:cs="Arial"/>
                <w:b/>
                <w:sz w:val="20"/>
                <w:szCs w:val="22"/>
              </w:rPr>
              <w:t>II</w:t>
            </w:r>
          </w:p>
        </w:tc>
        <w:tc>
          <w:tcPr>
            <w:tcW w:w="992" w:type="dxa"/>
            <w:tcBorders>
              <w:top w:val="single" w:sz="4" w:space="0" w:color="auto"/>
              <w:left w:val="nil"/>
              <w:bottom w:val="single" w:sz="8" w:space="0" w:color="auto"/>
              <w:right w:val="single" w:sz="4" w:space="0" w:color="auto"/>
            </w:tcBorders>
            <w:noWrap/>
            <w:vAlign w:val="center"/>
          </w:tcPr>
          <w:p w14:paraId="405E9CBB" w14:textId="77777777" w:rsidR="009617F5" w:rsidRPr="009617F5" w:rsidRDefault="009617F5" w:rsidP="00286F7D">
            <w:pPr>
              <w:rPr>
                <w:rFonts w:ascii="Arial" w:hAnsi="Arial" w:cs="Arial"/>
                <w:sz w:val="20"/>
                <w:szCs w:val="22"/>
              </w:rPr>
            </w:pPr>
            <w:r w:rsidRPr="009617F5">
              <w:rPr>
                <w:rFonts w:ascii="Arial" w:hAnsi="Arial" w:cs="Arial"/>
                <w:sz w:val="20"/>
                <w:szCs w:val="22"/>
              </w:rPr>
              <w:t>0,0608</w:t>
            </w:r>
          </w:p>
        </w:tc>
        <w:tc>
          <w:tcPr>
            <w:tcW w:w="851" w:type="dxa"/>
            <w:tcBorders>
              <w:top w:val="single" w:sz="4" w:space="0" w:color="auto"/>
              <w:left w:val="nil"/>
              <w:bottom w:val="single" w:sz="8" w:space="0" w:color="auto"/>
              <w:right w:val="single" w:sz="4" w:space="0" w:color="auto"/>
            </w:tcBorders>
            <w:noWrap/>
            <w:vAlign w:val="center"/>
          </w:tcPr>
          <w:p w14:paraId="08AF83FC" w14:textId="77777777" w:rsidR="009617F5" w:rsidRPr="009617F5" w:rsidRDefault="009617F5" w:rsidP="00286F7D">
            <w:pPr>
              <w:rPr>
                <w:rFonts w:ascii="Arial" w:hAnsi="Arial" w:cs="Arial"/>
                <w:sz w:val="20"/>
                <w:szCs w:val="22"/>
              </w:rPr>
            </w:pPr>
            <w:r w:rsidRPr="009617F5">
              <w:rPr>
                <w:rFonts w:ascii="Arial" w:hAnsi="Arial" w:cs="Arial"/>
                <w:sz w:val="20"/>
                <w:szCs w:val="22"/>
              </w:rPr>
              <w:t>0</w:t>
            </w:r>
          </w:p>
        </w:tc>
        <w:tc>
          <w:tcPr>
            <w:tcW w:w="992" w:type="dxa"/>
            <w:tcBorders>
              <w:top w:val="single" w:sz="4" w:space="0" w:color="auto"/>
              <w:left w:val="nil"/>
              <w:bottom w:val="single" w:sz="8" w:space="0" w:color="auto"/>
              <w:right w:val="single" w:sz="4" w:space="0" w:color="auto"/>
            </w:tcBorders>
            <w:noWrap/>
            <w:vAlign w:val="center"/>
          </w:tcPr>
          <w:p w14:paraId="50670A0D" w14:textId="77777777" w:rsidR="009617F5" w:rsidRPr="009617F5" w:rsidRDefault="009617F5" w:rsidP="00286F7D">
            <w:pPr>
              <w:rPr>
                <w:rFonts w:ascii="Arial" w:hAnsi="Arial" w:cs="Arial"/>
                <w:sz w:val="20"/>
                <w:szCs w:val="22"/>
              </w:rPr>
            </w:pPr>
            <w:r w:rsidRPr="009617F5">
              <w:rPr>
                <w:rFonts w:ascii="Arial" w:hAnsi="Arial" w:cs="Arial"/>
                <w:sz w:val="20"/>
                <w:szCs w:val="22"/>
              </w:rPr>
              <w:t>0,0608</w:t>
            </w:r>
          </w:p>
        </w:tc>
        <w:tc>
          <w:tcPr>
            <w:tcW w:w="992" w:type="dxa"/>
            <w:tcBorders>
              <w:top w:val="single" w:sz="4" w:space="0" w:color="auto"/>
              <w:left w:val="nil"/>
              <w:bottom w:val="single" w:sz="8" w:space="0" w:color="auto"/>
              <w:right w:val="single" w:sz="36" w:space="0" w:color="FF0000"/>
            </w:tcBorders>
            <w:vAlign w:val="center"/>
          </w:tcPr>
          <w:p w14:paraId="1BF974B5" w14:textId="77777777" w:rsidR="009617F5" w:rsidRPr="009617F5" w:rsidRDefault="009617F5" w:rsidP="00286F7D">
            <w:pPr>
              <w:rPr>
                <w:rFonts w:ascii="Arial" w:hAnsi="Arial" w:cs="Arial"/>
                <w:sz w:val="20"/>
                <w:szCs w:val="22"/>
              </w:rPr>
            </w:pPr>
            <w:r w:rsidRPr="009617F5">
              <w:rPr>
                <w:rFonts w:ascii="Arial" w:hAnsi="Arial" w:cs="Arial"/>
                <w:sz w:val="20"/>
                <w:szCs w:val="22"/>
              </w:rPr>
              <w:t>TTP</w:t>
            </w:r>
          </w:p>
        </w:tc>
      </w:tr>
      <w:tr w:rsidR="009617F5" w:rsidRPr="009617F5" w14:paraId="3DD6E1E8" w14:textId="77777777" w:rsidTr="00286F7D">
        <w:trPr>
          <w:trHeight w:val="315"/>
        </w:trPr>
        <w:tc>
          <w:tcPr>
            <w:tcW w:w="1151" w:type="dxa"/>
            <w:tcBorders>
              <w:top w:val="single" w:sz="4" w:space="0" w:color="auto"/>
              <w:left w:val="single" w:sz="36" w:space="0" w:color="FF0000"/>
              <w:bottom w:val="single" w:sz="8" w:space="0" w:color="auto"/>
              <w:right w:val="single" w:sz="4" w:space="0" w:color="auto"/>
            </w:tcBorders>
          </w:tcPr>
          <w:p w14:paraId="134A96F9"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Vilsnice</w:t>
            </w:r>
          </w:p>
        </w:tc>
        <w:tc>
          <w:tcPr>
            <w:tcW w:w="1134" w:type="dxa"/>
            <w:tcBorders>
              <w:top w:val="single" w:sz="4" w:space="0" w:color="auto"/>
              <w:left w:val="single" w:sz="8" w:space="0" w:color="auto"/>
              <w:bottom w:val="single" w:sz="8" w:space="0" w:color="auto"/>
              <w:right w:val="single" w:sz="4" w:space="0" w:color="auto"/>
            </w:tcBorders>
            <w:vAlign w:val="center"/>
          </w:tcPr>
          <w:p w14:paraId="2F8E950A"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8Z-3</w:t>
            </w:r>
          </w:p>
        </w:tc>
        <w:tc>
          <w:tcPr>
            <w:tcW w:w="1701" w:type="dxa"/>
            <w:tcBorders>
              <w:top w:val="single" w:sz="4" w:space="0" w:color="auto"/>
              <w:left w:val="nil"/>
              <w:bottom w:val="single" w:sz="8" w:space="0" w:color="auto"/>
              <w:right w:val="single" w:sz="4" w:space="0" w:color="auto"/>
            </w:tcBorders>
            <w:noWrap/>
            <w:vAlign w:val="center"/>
          </w:tcPr>
          <w:p w14:paraId="0BF87E85"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bydlení</w:t>
            </w:r>
          </w:p>
        </w:tc>
        <w:tc>
          <w:tcPr>
            <w:tcW w:w="949" w:type="dxa"/>
            <w:tcBorders>
              <w:top w:val="single" w:sz="4" w:space="0" w:color="auto"/>
              <w:left w:val="nil"/>
              <w:bottom w:val="single" w:sz="8" w:space="0" w:color="auto"/>
              <w:right w:val="single" w:sz="4" w:space="0" w:color="auto"/>
            </w:tcBorders>
            <w:noWrap/>
            <w:vAlign w:val="center"/>
          </w:tcPr>
          <w:p w14:paraId="571A7EA5" w14:textId="77777777" w:rsidR="009617F5" w:rsidRPr="009617F5" w:rsidRDefault="009617F5" w:rsidP="00286F7D">
            <w:pPr>
              <w:rPr>
                <w:rFonts w:ascii="Arial" w:hAnsi="Arial" w:cs="Arial"/>
                <w:b/>
                <w:sz w:val="20"/>
                <w:szCs w:val="22"/>
              </w:rPr>
            </w:pPr>
            <w:r w:rsidRPr="009617F5">
              <w:rPr>
                <w:rFonts w:ascii="Arial" w:hAnsi="Arial" w:cs="Arial"/>
                <w:b/>
                <w:sz w:val="20"/>
                <w:szCs w:val="22"/>
              </w:rPr>
              <w:t>II</w:t>
            </w:r>
          </w:p>
        </w:tc>
        <w:tc>
          <w:tcPr>
            <w:tcW w:w="992" w:type="dxa"/>
            <w:tcBorders>
              <w:top w:val="single" w:sz="4" w:space="0" w:color="auto"/>
              <w:left w:val="nil"/>
              <w:bottom w:val="single" w:sz="8" w:space="0" w:color="auto"/>
              <w:right w:val="single" w:sz="4" w:space="0" w:color="auto"/>
            </w:tcBorders>
            <w:noWrap/>
            <w:vAlign w:val="center"/>
          </w:tcPr>
          <w:p w14:paraId="2E7960FA" w14:textId="77777777" w:rsidR="009617F5" w:rsidRPr="009617F5" w:rsidRDefault="009617F5" w:rsidP="00286F7D">
            <w:pPr>
              <w:rPr>
                <w:rFonts w:ascii="Arial" w:hAnsi="Arial" w:cs="Arial"/>
                <w:sz w:val="20"/>
                <w:szCs w:val="22"/>
              </w:rPr>
            </w:pPr>
            <w:r w:rsidRPr="009617F5">
              <w:rPr>
                <w:rFonts w:ascii="Arial" w:hAnsi="Arial" w:cs="Arial"/>
                <w:sz w:val="20"/>
                <w:szCs w:val="22"/>
              </w:rPr>
              <w:t>0,7605</w:t>
            </w:r>
          </w:p>
        </w:tc>
        <w:tc>
          <w:tcPr>
            <w:tcW w:w="851" w:type="dxa"/>
            <w:tcBorders>
              <w:top w:val="single" w:sz="4" w:space="0" w:color="auto"/>
              <w:left w:val="nil"/>
              <w:bottom w:val="single" w:sz="8" w:space="0" w:color="auto"/>
              <w:right w:val="single" w:sz="4" w:space="0" w:color="auto"/>
            </w:tcBorders>
            <w:noWrap/>
            <w:vAlign w:val="center"/>
          </w:tcPr>
          <w:p w14:paraId="018A12EB" w14:textId="77777777" w:rsidR="009617F5" w:rsidRPr="009617F5" w:rsidRDefault="009617F5" w:rsidP="00286F7D">
            <w:pPr>
              <w:rPr>
                <w:rFonts w:ascii="Arial" w:hAnsi="Arial" w:cs="Arial"/>
                <w:sz w:val="20"/>
                <w:szCs w:val="22"/>
              </w:rPr>
            </w:pPr>
            <w:r w:rsidRPr="009617F5">
              <w:rPr>
                <w:rFonts w:ascii="Arial" w:hAnsi="Arial" w:cs="Arial"/>
                <w:sz w:val="20"/>
                <w:szCs w:val="22"/>
              </w:rPr>
              <w:t>0</w:t>
            </w:r>
          </w:p>
        </w:tc>
        <w:tc>
          <w:tcPr>
            <w:tcW w:w="992" w:type="dxa"/>
            <w:tcBorders>
              <w:top w:val="single" w:sz="4" w:space="0" w:color="auto"/>
              <w:left w:val="nil"/>
              <w:bottom w:val="single" w:sz="8" w:space="0" w:color="auto"/>
              <w:right w:val="single" w:sz="4" w:space="0" w:color="auto"/>
            </w:tcBorders>
            <w:noWrap/>
            <w:vAlign w:val="center"/>
          </w:tcPr>
          <w:p w14:paraId="29046869" w14:textId="77777777" w:rsidR="009617F5" w:rsidRPr="009617F5" w:rsidRDefault="009617F5" w:rsidP="00286F7D">
            <w:pPr>
              <w:rPr>
                <w:rFonts w:ascii="Arial" w:hAnsi="Arial" w:cs="Arial"/>
                <w:sz w:val="20"/>
                <w:szCs w:val="22"/>
              </w:rPr>
            </w:pPr>
            <w:r w:rsidRPr="009617F5">
              <w:rPr>
                <w:rFonts w:ascii="Arial" w:hAnsi="Arial" w:cs="Arial"/>
                <w:sz w:val="20"/>
                <w:szCs w:val="22"/>
              </w:rPr>
              <w:t>0,7605</w:t>
            </w:r>
          </w:p>
        </w:tc>
        <w:tc>
          <w:tcPr>
            <w:tcW w:w="992" w:type="dxa"/>
            <w:tcBorders>
              <w:top w:val="single" w:sz="4" w:space="0" w:color="auto"/>
              <w:left w:val="nil"/>
              <w:bottom w:val="single" w:sz="8" w:space="0" w:color="auto"/>
              <w:right w:val="single" w:sz="36" w:space="0" w:color="FF0000"/>
            </w:tcBorders>
            <w:vAlign w:val="center"/>
          </w:tcPr>
          <w:p w14:paraId="29264FFA" w14:textId="77777777" w:rsidR="009617F5" w:rsidRPr="009617F5" w:rsidRDefault="009617F5" w:rsidP="00286F7D">
            <w:pPr>
              <w:rPr>
                <w:rFonts w:ascii="Arial" w:hAnsi="Arial" w:cs="Arial"/>
                <w:sz w:val="20"/>
                <w:szCs w:val="22"/>
              </w:rPr>
            </w:pPr>
            <w:r w:rsidRPr="009617F5">
              <w:rPr>
                <w:rFonts w:ascii="Arial" w:hAnsi="Arial" w:cs="Arial"/>
                <w:sz w:val="20"/>
                <w:szCs w:val="22"/>
              </w:rPr>
              <w:t>orná</w:t>
            </w:r>
          </w:p>
        </w:tc>
      </w:tr>
      <w:tr w:rsidR="009617F5" w:rsidRPr="009617F5" w14:paraId="48A0CBDF" w14:textId="77777777" w:rsidTr="00286F7D">
        <w:trPr>
          <w:trHeight w:val="315"/>
        </w:trPr>
        <w:tc>
          <w:tcPr>
            <w:tcW w:w="1151" w:type="dxa"/>
            <w:tcBorders>
              <w:top w:val="single" w:sz="4" w:space="0" w:color="auto"/>
              <w:left w:val="single" w:sz="36" w:space="0" w:color="FF0000"/>
              <w:bottom w:val="single" w:sz="8" w:space="0" w:color="auto"/>
              <w:right w:val="single" w:sz="4" w:space="0" w:color="auto"/>
            </w:tcBorders>
          </w:tcPr>
          <w:p w14:paraId="77A54653"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Vilsnice</w:t>
            </w:r>
          </w:p>
        </w:tc>
        <w:tc>
          <w:tcPr>
            <w:tcW w:w="1134" w:type="dxa"/>
            <w:tcBorders>
              <w:top w:val="single" w:sz="4" w:space="0" w:color="auto"/>
              <w:left w:val="single" w:sz="8" w:space="0" w:color="auto"/>
              <w:bottom w:val="single" w:sz="8" w:space="0" w:color="auto"/>
              <w:right w:val="single" w:sz="4" w:space="0" w:color="auto"/>
            </w:tcBorders>
            <w:vAlign w:val="center"/>
          </w:tcPr>
          <w:p w14:paraId="1A87D9C9"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8Z-12</w:t>
            </w:r>
          </w:p>
        </w:tc>
        <w:tc>
          <w:tcPr>
            <w:tcW w:w="1701" w:type="dxa"/>
            <w:tcBorders>
              <w:top w:val="single" w:sz="4" w:space="0" w:color="auto"/>
              <w:left w:val="nil"/>
              <w:bottom w:val="single" w:sz="8" w:space="0" w:color="auto"/>
              <w:right w:val="single" w:sz="4" w:space="0" w:color="auto"/>
            </w:tcBorders>
            <w:noWrap/>
            <w:vAlign w:val="center"/>
          </w:tcPr>
          <w:p w14:paraId="68BAC2C4" w14:textId="77777777" w:rsidR="009617F5" w:rsidRPr="009617F5" w:rsidRDefault="009617F5" w:rsidP="00286F7D">
            <w:pPr>
              <w:rPr>
                <w:rFonts w:ascii="Arial" w:hAnsi="Arial" w:cs="Arial"/>
                <w:bCs/>
                <w:sz w:val="20"/>
                <w:szCs w:val="22"/>
              </w:rPr>
            </w:pPr>
            <w:r w:rsidRPr="009617F5">
              <w:rPr>
                <w:rFonts w:ascii="Arial" w:hAnsi="Arial" w:cs="Arial"/>
                <w:bCs/>
                <w:sz w:val="20"/>
                <w:szCs w:val="22"/>
              </w:rPr>
              <w:t>bydlení</w:t>
            </w:r>
          </w:p>
        </w:tc>
        <w:tc>
          <w:tcPr>
            <w:tcW w:w="949" w:type="dxa"/>
            <w:tcBorders>
              <w:top w:val="single" w:sz="4" w:space="0" w:color="auto"/>
              <w:left w:val="nil"/>
              <w:bottom w:val="single" w:sz="8" w:space="0" w:color="auto"/>
              <w:right w:val="single" w:sz="4" w:space="0" w:color="auto"/>
            </w:tcBorders>
            <w:noWrap/>
            <w:vAlign w:val="center"/>
          </w:tcPr>
          <w:p w14:paraId="5FCED5BB" w14:textId="77777777" w:rsidR="009617F5" w:rsidRPr="009617F5" w:rsidRDefault="009617F5" w:rsidP="00286F7D">
            <w:pPr>
              <w:rPr>
                <w:rFonts w:ascii="Arial" w:hAnsi="Arial" w:cs="Arial"/>
                <w:b/>
                <w:sz w:val="20"/>
                <w:szCs w:val="22"/>
              </w:rPr>
            </w:pPr>
            <w:r w:rsidRPr="009617F5">
              <w:rPr>
                <w:rFonts w:ascii="Arial" w:hAnsi="Arial" w:cs="Arial"/>
                <w:b/>
                <w:sz w:val="20"/>
                <w:szCs w:val="22"/>
              </w:rPr>
              <w:t>II</w:t>
            </w:r>
          </w:p>
        </w:tc>
        <w:tc>
          <w:tcPr>
            <w:tcW w:w="992" w:type="dxa"/>
            <w:tcBorders>
              <w:top w:val="single" w:sz="4" w:space="0" w:color="auto"/>
              <w:left w:val="nil"/>
              <w:bottom w:val="single" w:sz="8" w:space="0" w:color="auto"/>
              <w:right w:val="single" w:sz="4" w:space="0" w:color="auto"/>
            </w:tcBorders>
            <w:noWrap/>
            <w:vAlign w:val="center"/>
          </w:tcPr>
          <w:p w14:paraId="1CEA62CB" w14:textId="77777777" w:rsidR="009617F5" w:rsidRPr="009617F5" w:rsidRDefault="009617F5" w:rsidP="00286F7D">
            <w:pPr>
              <w:rPr>
                <w:rFonts w:ascii="Arial" w:hAnsi="Arial" w:cs="Arial"/>
                <w:sz w:val="20"/>
                <w:szCs w:val="22"/>
              </w:rPr>
            </w:pPr>
            <w:r w:rsidRPr="009617F5">
              <w:rPr>
                <w:rFonts w:ascii="Arial" w:hAnsi="Arial" w:cs="Arial"/>
                <w:sz w:val="20"/>
                <w:szCs w:val="22"/>
              </w:rPr>
              <w:t>0,1000</w:t>
            </w:r>
          </w:p>
        </w:tc>
        <w:tc>
          <w:tcPr>
            <w:tcW w:w="851" w:type="dxa"/>
            <w:tcBorders>
              <w:top w:val="single" w:sz="4" w:space="0" w:color="auto"/>
              <w:left w:val="nil"/>
              <w:bottom w:val="single" w:sz="8" w:space="0" w:color="auto"/>
              <w:right w:val="single" w:sz="4" w:space="0" w:color="auto"/>
            </w:tcBorders>
            <w:noWrap/>
            <w:vAlign w:val="center"/>
          </w:tcPr>
          <w:p w14:paraId="66DCC2E3" w14:textId="77777777" w:rsidR="009617F5" w:rsidRPr="009617F5" w:rsidRDefault="009617F5" w:rsidP="00286F7D">
            <w:pPr>
              <w:rPr>
                <w:rFonts w:ascii="Arial" w:hAnsi="Arial" w:cs="Arial"/>
                <w:sz w:val="20"/>
                <w:szCs w:val="22"/>
              </w:rPr>
            </w:pPr>
            <w:r w:rsidRPr="009617F5">
              <w:rPr>
                <w:rFonts w:ascii="Arial" w:hAnsi="Arial" w:cs="Arial"/>
                <w:sz w:val="20"/>
                <w:szCs w:val="22"/>
              </w:rPr>
              <w:t>0</w:t>
            </w:r>
          </w:p>
        </w:tc>
        <w:tc>
          <w:tcPr>
            <w:tcW w:w="992" w:type="dxa"/>
            <w:tcBorders>
              <w:top w:val="single" w:sz="4" w:space="0" w:color="auto"/>
              <w:left w:val="nil"/>
              <w:bottom w:val="single" w:sz="8" w:space="0" w:color="auto"/>
              <w:right w:val="single" w:sz="4" w:space="0" w:color="auto"/>
            </w:tcBorders>
            <w:noWrap/>
            <w:vAlign w:val="center"/>
          </w:tcPr>
          <w:p w14:paraId="3E2D60B2" w14:textId="77777777" w:rsidR="009617F5" w:rsidRPr="009617F5" w:rsidRDefault="009617F5" w:rsidP="00286F7D">
            <w:pPr>
              <w:rPr>
                <w:rFonts w:ascii="Arial" w:hAnsi="Arial" w:cs="Arial"/>
                <w:sz w:val="20"/>
                <w:szCs w:val="22"/>
              </w:rPr>
            </w:pPr>
            <w:r w:rsidRPr="009617F5">
              <w:rPr>
                <w:rFonts w:ascii="Arial" w:hAnsi="Arial" w:cs="Arial"/>
                <w:sz w:val="20"/>
                <w:szCs w:val="22"/>
              </w:rPr>
              <w:t>0,1000</w:t>
            </w:r>
          </w:p>
        </w:tc>
        <w:tc>
          <w:tcPr>
            <w:tcW w:w="992" w:type="dxa"/>
            <w:tcBorders>
              <w:top w:val="single" w:sz="4" w:space="0" w:color="auto"/>
              <w:left w:val="nil"/>
              <w:bottom w:val="single" w:sz="8" w:space="0" w:color="auto"/>
              <w:right w:val="single" w:sz="36" w:space="0" w:color="FF0000"/>
            </w:tcBorders>
            <w:vAlign w:val="center"/>
          </w:tcPr>
          <w:p w14:paraId="6DE36B85" w14:textId="77777777" w:rsidR="009617F5" w:rsidRPr="009617F5" w:rsidRDefault="009617F5" w:rsidP="00286F7D">
            <w:pPr>
              <w:rPr>
                <w:rFonts w:ascii="Arial" w:hAnsi="Arial" w:cs="Arial"/>
                <w:sz w:val="20"/>
                <w:szCs w:val="22"/>
              </w:rPr>
            </w:pPr>
            <w:r w:rsidRPr="009617F5">
              <w:rPr>
                <w:rFonts w:ascii="Arial" w:hAnsi="Arial" w:cs="Arial"/>
                <w:sz w:val="20"/>
                <w:szCs w:val="22"/>
              </w:rPr>
              <w:t>orná</w:t>
            </w:r>
          </w:p>
        </w:tc>
      </w:tr>
      <w:tr w:rsidR="009617F5" w:rsidRPr="009617F5" w14:paraId="292CB40D" w14:textId="77777777" w:rsidTr="00286F7D">
        <w:trPr>
          <w:trHeight w:val="315"/>
        </w:trPr>
        <w:tc>
          <w:tcPr>
            <w:tcW w:w="1151" w:type="dxa"/>
            <w:tcBorders>
              <w:top w:val="single" w:sz="4" w:space="0" w:color="auto"/>
              <w:left w:val="single" w:sz="36" w:space="0" w:color="FF0000"/>
              <w:bottom w:val="single" w:sz="36" w:space="0" w:color="FF0000"/>
              <w:right w:val="single" w:sz="4" w:space="0" w:color="auto"/>
            </w:tcBorders>
            <w:shd w:val="clear" w:color="auto" w:fill="auto"/>
          </w:tcPr>
          <w:p w14:paraId="5BB9FBE8" w14:textId="77777777" w:rsidR="009617F5" w:rsidRPr="009617F5" w:rsidRDefault="009617F5" w:rsidP="00286F7D">
            <w:pPr>
              <w:rPr>
                <w:rFonts w:ascii="Arial" w:hAnsi="Arial" w:cs="Arial"/>
                <w:b/>
                <w:bCs/>
                <w:sz w:val="20"/>
                <w:szCs w:val="22"/>
              </w:rPr>
            </w:pPr>
          </w:p>
        </w:tc>
        <w:tc>
          <w:tcPr>
            <w:tcW w:w="1134" w:type="dxa"/>
            <w:tcBorders>
              <w:top w:val="single" w:sz="4" w:space="0" w:color="auto"/>
              <w:left w:val="single" w:sz="8" w:space="0" w:color="auto"/>
              <w:bottom w:val="single" w:sz="36" w:space="0" w:color="FF0000"/>
              <w:right w:val="single" w:sz="4" w:space="0" w:color="auto"/>
            </w:tcBorders>
            <w:shd w:val="clear" w:color="auto" w:fill="auto"/>
            <w:vAlign w:val="center"/>
          </w:tcPr>
          <w:p w14:paraId="0901E194" w14:textId="77777777" w:rsidR="009617F5" w:rsidRPr="009617F5" w:rsidRDefault="009617F5" w:rsidP="00286F7D">
            <w:pPr>
              <w:rPr>
                <w:rFonts w:ascii="Arial" w:hAnsi="Arial" w:cs="Arial"/>
                <w:b/>
                <w:bCs/>
                <w:sz w:val="20"/>
                <w:szCs w:val="22"/>
              </w:rPr>
            </w:pPr>
            <w:r w:rsidRPr="009617F5">
              <w:rPr>
                <w:rFonts w:ascii="Arial" w:hAnsi="Arial" w:cs="Arial"/>
                <w:b/>
                <w:bCs/>
                <w:sz w:val="20"/>
                <w:szCs w:val="22"/>
              </w:rPr>
              <w:t>CELKEM:</w:t>
            </w:r>
          </w:p>
        </w:tc>
        <w:tc>
          <w:tcPr>
            <w:tcW w:w="1701" w:type="dxa"/>
            <w:tcBorders>
              <w:top w:val="single" w:sz="4" w:space="0" w:color="auto"/>
              <w:left w:val="nil"/>
              <w:bottom w:val="single" w:sz="36" w:space="0" w:color="FF0000"/>
              <w:right w:val="single" w:sz="4" w:space="0" w:color="auto"/>
            </w:tcBorders>
            <w:shd w:val="clear" w:color="auto" w:fill="auto"/>
            <w:noWrap/>
            <w:vAlign w:val="center"/>
          </w:tcPr>
          <w:p w14:paraId="2837ACA1" w14:textId="77777777" w:rsidR="009617F5" w:rsidRPr="009617F5" w:rsidRDefault="009617F5" w:rsidP="00286F7D">
            <w:pPr>
              <w:rPr>
                <w:rFonts w:ascii="Arial" w:hAnsi="Arial" w:cs="Arial"/>
                <w:b/>
                <w:bCs/>
                <w:sz w:val="20"/>
                <w:szCs w:val="22"/>
              </w:rPr>
            </w:pPr>
          </w:p>
        </w:tc>
        <w:tc>
          <w:tcPr>
            <w:tcW w:w="949" w:type="dxa"/>
            <w:tcBorders>
              <w:top w:val="single" w:sz="4" w:space="0" w:color="auto"/>
              <w:left w:val="nil"/>
              <w:bottom w:val="single" w:sz="36" w:space="0" w:color="FF0000"/>
              <w:right w:val="single" w:sz="4" w:space="0" w:color="auto"/>
            </w:tcBorders>
            <w:shd w:val="clear" w:color="auto" w:fill="auto"/>
            <w:noWrap/>
            <w:vAlign w:val="center"/>
          </w:tcPr>
          <w:p w14:paraId="7AE6695D" w14:textId="77777777" w:rsidR="009617F5" w:rsidRPr="009617F5" w:rsidRDefault="009617F5" w:rsidP="00286F7D">
            <w:pPr>
              <w:rPr>
                <w:rFonts w:ascii="Arial" w:hAnsi="Arial" w:cs="Arial"/>
                <w:b/>
                <w:sz w:val="20"/>
                <w:szCs w:val="22"/>
              </w:rPr>
            </w:pPr>
          </w:p>
        </w:tc>
        <w:tc>
          <w:tcPr>
            <w:tcW w:w="992" w:type="dxa"/>
            <w:tcBorders>
              <w:top w:val="single" w:sz="4" w:space="0" w:color="auto"/>
              <w:left w:val="nil"/>
              <w:bottom w:val="single" w:sz="36" w:space="0" w:color="FF0000"/>
              <w:right w:val="single" w:sz="4" w:space="0" w:color="auto"/>
            </w:tcBorders>
            <w:shd w:val="clear" w:color="auto" w:fill="auto"/>
            <w:noWrap/>
            <w:vAlign w:val="center"/>
          </w:tcPr>
          <w:p w14:paraId="7464FC8F" w14:textId="77777777" w:rsidR="009617F5" w:rsidRPr="009617F5" w:rsidRDefault="009617F5" w:rsidP="00286F7D">
            <w:pPr>
              <w:rPr>
                <w:rFonts w:ascii="Arial" w:hAnsi="Arial" w:cs="Arial"/>
                <w:b/>
                <w:sz w:val="20"/>
                <w:szCs w:val="22"/>
              </w:rPr>
            </w:pPr>
            <w:r w:rsidRPr="009617F5">
              <w:rPr>
                <w:rFonts w:ascii="Arial" w:hAnsi="Arial" w:cs="Arial"/>
                <w:b/>
                <w:sz w:val="20"/>
                <w:szCs w:val="22"/>
              </w:rPr>
              <w:fldChar w:fldCharType="begin"/>
            </w:r>
            <w:r w:rsidRPr="009617F5">
              <w:rPr>
                <w:rFonts w:ascii="Arial" w:hAnsi="Arial" w:cs="Arial"/>
                <w:b/>
                <w:sz w:val="20"/>
                <w:szCs w:val="22"/>
              </w:rPr>
              <w:instrText xml:space="preserve"> =SUM(ABOVE) </w:instrText>
            </w:r>
            <w:r w:rsidRPr="009617F5">
              <w:rPr>
                <w:rFonts w:ascii="Arial" w:hAnsi="Arial" w:cs="Arial"/>
                <w:b/>
                <w:sz w:val="20"/>
                <w:szCs w:val="22"/>
              </w:rPr>
              <w:fldChar w:fldCharType="separate"/>
            </w:r>
            <w:r w:rsidRPr="009617F5">
              <w:rPr>
                <w:rFonts w:ascii="Arial" w:hAnsi="Arial" w:cs="Arial"/>
                <w:b/>
                <w:noProof/>
                <w:sz w:val="20"/>
                <w:szCs w:val="22"/>
              </w:rPr>
              <w:t>2,6543</w:t>
            </w:r>
            <w:r w:rsidRPr="009617F5">
              <w:rPr>
                <w:rFonts w:ascii="Arial" w:hAnsi="Arial" w:cs="Arial"/>
                <w:b/>
                <w:sz w:val="20"/>
                <w:szCs w:val="22"/>
              </w:rPr>
              <w:fldChar w:fldCharType="end"/>
            </w:r>
          </w:p>
        </w:tc>
        <w:tc>
          <w:tcPr>
            <w:tcW w:w="851" w:type="dxa"/>
            <w:tcBorders>
              <w:top w:val="single" w:sz="4" w:space="0" w:color="auto"/>
              <w:left w:val="nil"/>
              <w:bottom w:val="single" w:sz="36" w:space="0" w:color="FF0000"/>
              <w:right w:val="single" w:sz="4" w:space="0" w:color="auto"/>
            </w:tcBorders>
            <w:shd w:val="clear" w:color="auto" w:fill="auto"/>
            <w:noWrap/>
            <w:vAlign w:val="center"/>
          </w:tcPr>
          <w:p w14:paraId="6139E9D1" w14:textId="77777777" w:rsidR="009617F5" w:rsidRPr="009617F5" w:rsidRDefault="009617F5" w:rsidP="00286F7D">
            <w:pPr>
              <w:rPr>
                <w:rFonts w:ascii="Arial" w:hAnsi="Arial" w:cs="Arial"/>
                <w:b/>
                <w:sz w:val="20"/>
                <w:szCs w:val="22"/>
              </w:rPr>
            </w:pPr>
            <w:r w:rsidRPr="009617F5">
              <w:rPr>
                <w:rFonts w:ascii="Arial" w:hAnsi="Arial" w:cs="Arial"/>
                <w:b/>
                <w:sz w:val="20"/>
                <w:szCs w:val="22"/>
              </w:rPr>
              <w:t>0</w:t>
            </w:r>
          </w:p>
        </w:tc>
        <w:tc>
          <w:tcPr>
            <w:tcW w:w="992" w:type="dxa"/>
            <w:tcBorders>
              <w:top w:val="single" w:sz="4" w:space="0" w:color="auto"/>
              <w:left w:val="nil"/>
              <w:bottom w:val="single" w:sz="36" w:space="0" w:color="FF0000"/>
              <w:right w:val="single" w:sz="4" w:space="0" w:color="auto"/>
            </w:tcBorders>
            <w:shd w:val="clear" w:color="auto" w:fill="auto"/>
            <w:noWrap/>
            <w:vAlign w:val="center"/>
          </w:tcPr>
          <w:p w14:paraId="05CBD81D" w14:textId="77777777" w:rsidR="009617F5" w:rsidRPr="009617F5" w:rsidRDefault="009617F5" w:rsidP="00286F7D">
            <w:pPr>
              <w:rPr>
                <w:rFonts w:ascii="Arial" w:hAnsi="Arial" w:cs="Arial"/>
                <w:b/>
                <w:sz w:val="20"/>
                <w:szCs w:val="22"/>
              </w:rPr>
            </w:pPr>
            <w:r w:rsidRPr="009617F5">
              <w:rPr>
                <w:rFonts w:ascii="Arial" w:hAnsi="Arial" w:cs="Arial"/>
                <w:b/>
                <w:sz w:val="20"/>
                <w:szCs w:val="22"/>
              </w:rPr>
              <w:fldChar w:fldCharType="begin"/>
            </w:r>
            <w:r w:rsidRPr="009617F5">
              <w:rPr>
                <w:rFonts w:ascii="Arial" w:hAnsi="Arial" w:cs="Arial"/>
                <w:b/>
                <w:sz w:val="20"/>
                <w:szCs w:val="22"/>
              </w:rPr>
              <w:instrText xml:space="preserve"> =SUM(ABOVE) </w:instrText>
            </w:r>
            <w:r w:rsidRPr="009617F5">
              <w:rPr>
                <w:rFonts w:ascii="Arial" w:hAnsi="Arial" w:cs="Arial"/>
                <w:b/>
                <w:sz w:val="20"/>
                <w:szCs w:val="22"/>
              </w:rPr>
              <w:fldChar w:fldCharType="separate"/>
            </w:r>
            <w:r w:rsidRPr="009617F5">
              <w:rPr>
                <w:rFonts w:ascii="Arial" w:hAnsi="Arial" w:cs="Arial"/>
                <w:b/>
                <w:noProof/>
                <w:sz w:val="20"/>
                <w:szCs w:val="22"/>
              </w:rPr>
              <w:t>2,6543</w:t>
            </w:r>
            <w:r w:rsidRPr="009617F5">
              <w:rPr>
                <w:rFonts w:ascii="Arial" w:hAnsi="Arial" w:cs="Arial"/>
                <w:b/>
                <w:sz w:val="20"/>
                <w:szCs w:val="22"/>
              </w:rPr>
              <w:fldChar w:fldCharType="end"/>
            </w:r>
          </w:p>
        </w:tc>
        <w:tc>
          <w:tcPr>
            <w:tcW w:w="992" w:type="dxa"/>
            <w:tcBorders>
              <w:top w:val="single" w:sz="4" w:space="0" w:color="auto"/>
              <w:left w:val="nil"/>
              <w:bottom w:val="single" w:sz="36" w:space="0" w:color="FF0000"/>
              <w:right w:val="single" w:sz="36" w:space="0" w:color="FF0000"/>
            </w:tcBorders>
            <w:shd w:val="clear" w:color="auto" w:fill="auto"/>
            <w:vAlign w:val="center"/>
          </w:tcPr>
          <w:p w14:paraId="782E7433" w14:textId="77777777" w:rsidR="009617F5" w:rsidRPr="009617F5" w:rsidRDefault="009617F5" w:rsidP="00286F7D">
            <w:pPr>
              <w:rPr>
                <w:rFonts w:ascii="Arial" w:hAnsi="Arial" w:cs="Arial"/>
                <w:b/>
                <w:sz w:val="20"/>
                <w:szCs w:val="22"/>
              </w:rPr>
            </w:pPr>
          </w:p>
        </w:tc>
      </w:tr>
    </w:tbl>
    <w:p w14:paraId="33042360" w14:textId="77777777" w:rsidR="009617F5" w:rsidRPr="009617F5" w:rsidRDefault="009617F5" w:rsidP="009617F5">
      <w:pPr>
        <w:pStyle w:val="Nadpis3"/>
        <w:rPr>
          <w:rFonts w:ascii="Arial" w:hAnsi="Arial" w:cs="Arial"/>
          <w:color w:val="FF0000"/>
        </w:rPr>
      </w:pPr>
      <w:bookmarkStart w:id="38" w:name="_Toc358720211"/>
      <w:r w:rsidRPr="009617F5">
        <w:rPr>
          <w:rFonts w:ascii="Arial" w:hAnsi="Arial" w:cs="Arial"/>
          <w:color w:val="FF0000"/>
        </w:rPr>
        <w:lastRenderedPageBreak/>
        <w:t>2. ÚDAJE O USKUTEČNĚNÝCH INVESTICÍCH DO PŮDY</w:t>
      </w:r>
      <w:bookmarkEnd w:id="38"/>
      <w:r w:rsidRPr="009617F5">
        <w:rPr>
          <w:rFonts w:ascii="Arial" w:hAnsi="Arial" w:cs="Arial"/>
          <w:color w:val="FF0000"/>
        </w:rPr>
        <w:tab/>
      </w:r>
    </w:p>
    <w:p w14:paraId="40CDECBF"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 xml:space="preserve">V prostoru rozvojové plochy 8Z-52 výměry 0,1275 ha byla v minulosti provedena meliorace. </w:t>
      </w:r>
    </w:p>
    <w:p w14:paraId="3700312E" w14:textId="77777777" w:rsidR="009617F5" w:rsidRPr="009617F5" w:rsidRDefault="009617F5" w:rsidP="009617F5">
      <w:pPr>
        <w:pStyle w:val="Nadpis3"/>
        <w:rPr>
          <w:rFonts w:ascii="Arial" w:hAnsi="Arial" w:cs="Arial"/>
          <w:color w:val="FF0000"/>
        </w:rPr>
      </w:pPr>
      <w:bookmarkStart w:id="39" w:name="_Toc358720212"/>
      <w:r w:rsidRPr="009617F5">
        <w:rPr>
          <w:rFonts w:ascii="Arial" w:hAnsi="Arial" w:cs="Arial"/>
          <w:color w:val="FF0000"/>
        </w:rPr>
        <w:t>3. ÚDAJE O AREÁLECH A OBJEKTECH ZEMĚDĚLSKÉ VÝROBY</w:t>
      </w:r>
      <w:bookmarkEnd w:id="39"/>
    </w:p>
    <w:p w14:paraId="1D6B8ABA" w14:textId="77777777" w:rsidR="009617F5" w:rsidRPr="009617F5" w:rsidRDefault="009617F5" w:rsidP="009617F5">
      <w:pPr>
        <w:rPr>
          <w:rFonts w:ascii="Arial" w:hAnsi="Arial" w:cs="Arial"/>
          <w:bCs/>
          <w:iCs/>
          <w:color w:val="FF0000"/>
          <w:sz w:val="22"/>
        </w:rPr>
      </w:pPr>
    </w:p>
    <w:p w14:paraId="41B5D351" w14:textId="77777777" w:rsidR="009617F5" w:rsidRPr="009617F5" w:rsidRDefault="009617F5" w:rsidP="009617F5">
      <w:pPr>
        <w:rPr>
          <w:rFonts w:ascii="Arial" w:hAnsi="Arial" w:cs="Arial"/>
          <w:color w:val="FF0000"/>
          <w:sz w:val="22"/>
        </w:rPr>
      </w:pPr>
      <w:r w:rsidRPr="009617F5">
        <w:rPr>
          <w:rFonts w:ascii="Arial" w:hAnsi="Arial" w:cs="Arial"/>
          <w:bCs/>
          <w:iCs/>
          <w:color w:val="FF0000"/>
          <w:sz w:val="22"/>
        </w:rPr>
        <w:t xml:space="preserve">Na rozvojových plochách se </w:t>
      </w:r>
      <w:r w:rsidRPr="009617F5">
        <w:rPr>
          <w:rFonts w:ascii="Arial" w:hAnsi="Arial" w:cs="Arial"/>
          <w:color w:val="FF0000"/>
          <w:sz w:val="22"/>
        </w:rPr>
        <w:t xml:space="preserve">nenalézá žádné zařízení (silážní jáma, zpevněné polní hnojiště, rampa, a pod.), sloužící zemědělské výrobě. </w:t>
      </w:r>
    </w:p>
    <w:p w14:paraId="7778AAC8" w14:textId="77777777" w:rsidR="009617F5" w:rsidRPr="009617F5" w:rsidRDefault="009617F5" w:rsidP="009617F5">
      <w:pPr>
        <w:pStyle w:val="Nadpis3"/>
        <w:rPr>
          <w:rFonts w:ascii="Arial" w:hAnsi="Arial" w:cs="Arial"/>
          <w:color w:val="FF0000"/>
        </w:rPr>
      </w:pPr>
      <w:bookmarkStart w:id="40" w:name="_Toc358720213"/>
      <w:r w:rsidRPr="009617F5">
        <w:rPr>
          <w:rFonts w:ascii="Arial" w:hAnsi="Arial" w:cs="Arial"/>
          <w:color w:val="FF0000"/>
        </w:rPr>
        <w:t>4. ÚDAJE O USPOŘÁDÁNÍ ZPF V ÚZEMÍ,  ÚSES</w:t>
      </w:r>
      <w:bookmarkEnd w:id="40"/>
    </w:p>
    <w:p w14:paraId="6B3CAB1F" w14:textId="77777777" w:rsidR="009617F5" w:rsidRPr="009617F5" w:rsidRDefault="009617F5" w:rsidP="009617F5">
      <w:pPr>
        <w:rPr>
          <w:rFonts w:ascii="Arial" w:hAnsi="Arial" w:cs="Arial"/>
          <w:color w:val="FF0000"/>
          <w:sz w:val="22"/>
        </w:rPr>
      </w:pPr>
    </w:p>
    <w:p w14:paraId="117DB6D5"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Rozvojové plochy nenarušují uspořádání ZPF v území ani žádnou z účelových polních cest.</w:t>
      </w:r>
    </w:p>
    <w:p w14:paraId="1EDBB284" w14:textId="77777777" w:rsidR="009617F5" w:rsidRPr="009617F5" w:rsidRDefault="009617F5" w:rsidP="009617F5">
      <w:pPr>
        <w:rPr>
          <w:rFonts w:ascii="Arial" w:hAnsi="Arial" w:cs="Arial"/>
          <w:bCs/>
          <w:color w:val="FF0000"/>
          <w:sz w:val="22"/>
          <w:u w:val="single"/>
        </w:rPr>
      </w:pPr>
    </w:p>
    <w:p w14:paraId="6D5C4113" w14:textId="77777777" w:rsidR="009617F5" w:rsidRPr="009617F5" w:rsidRDefault="009617F5" w:rsidP="009617F5">
      <w:pPr>
        <w:pStyle w:val="Nadpis6"/>
        <w:rPr>
          <w:rFonts w:ascii="Arial" w:hAnsi="Arial" w:cs="Arial"/>
          <w:color w:val="FF0000"/>
          <w:sz w:val="20"/>
        </w:rPr>
      </w:pPr>
      <w:r w:rsidRPr="009617F5">
        <w:rPr>
          <w:rFonts w:ascii="Arial" w:hAnsi="Arial" w:cs="Arial"/>
          <w:color w:val="FF0000"/>
          <w:sz w:val="20"/>
        </w:rPr>
        <w:t>ÚSES</w:t>
      </w:r>
      <w:r w:rsidRPr="009617F5">
        <w:rPr>
          <w:rFonts w:ascii="Arial" w:hAnsi="Arial" w:cs="Arial"/>
          <w:color w:val="FF0000"/>
          <w:sz w:val="20"/>
        </w:rPr>
        <w:tab/>
      </w:r>
    </w:p>
    <w:p w14:paraId="07396EEA"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 xml:space="preserve">8. změna ÚP Děčín po projednání s orgány OP neobsahuje rozvojové záměry, které by mohly významně negativně ovlivnit charakter krajiny nebo biodiversitu.  </w:t>
      </w:r>
    </w:p>
    <w:p w14:paraId="4160C7F9" w14:textId="77777777" w:rsidR="009617F5" w:rsidRPr="009617F5" w:rsidRDefault="009617F5" w:rsidP="009617F5">
      <w:pPr>
        <w:rPr>
          <w:rFonts w:ascii="Arial" w:hAnsi="Arial" w:cs="Arial"/>
          <w:color w:val="FF0000"/>
          <w:sz w:val="22"/>
        </w:rPr>
      </w:pPr>
    </w:p>
    <w:p w14:paraId="38E46171"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Rozvojové plochy 8z-18, a 8z-34 leží v CHKO Labské pískovce.</w:t>
      </w:r>
    </w:p>
    <w:p w14:paraId="2C7AF88E"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Ostatní rozvojové plochy se nalézají v CHKO  České středohoří.</w:t>
      </w:r>
    </w:p>
    <w:p w14:paraId="049E2486" w14:textId="77777777" w:rsidR="009617F5" w:rsidRPr="009617F5" w:rsidRDefault="009617F5" w:rsidP="009617F5">
      <w:pPr>
        <w:rPr>
          <w:rFonts w:ascii="Arial" w:hAnsi="Arial" w:cs="Arial"/>
          <w:bCs/>
          <w:color w:val="FF0000"/>
          <w:sz w:val="22"/>
        </w:rPr>
      </w:pPr>
      <w:r w:rsidRPr="009617F5">
        <w:rPr>
          <w:rFonts w:ascii="Arial" w:hAnsi="Arial" w:cs="Arial"/>
          <w:b/>
          <w:bCs/>
          <w:color w:val="FF0000"/>
          <w:sz w:val="22"/>
        </w:rPr>
        <w:t xml:space="preserve">8z-40, 8z-50b, </w:t>
      </w:r>
      <w:r w:rsidRPr="009617F5">
        <w:rPr>
          <w:rFonts w:ascii="Arial" w:hAnsi="Arial" w:cs="Arial"/>
          <w:bCs/>
          <w:color w:val="FF0000"/>
          <w:sz w:val="22"/>
        </w:rPr>
        <w:t xml:space="preserve">byly zmenšeny a leží nyní na okraji zájmového prostoru ochrany přírody </w:t>
      </w:r>
    </w:p>
    <w:p w14:paraId="41EBE05A" w14:textId="77777777" w:rsidR="009617F5" w:rsidRPr="009617F5" w:rsidRDefault="009617F5" w:rsidP="009617F5">
      <w:pPr>
        <w:rPr>
          <w:rFonts w:ascii="Arial" w:hAnsi="Arial" w:cs="Arial"/>
          <w:bCs/>
          <w:color w:val="FF0000"/>
          <w:sz w:val="22"/>
        </w:rPr>
      </w:pPr>
      <w:r w:rsidRPr="009617F5">
        <w:rPr>
          <w:rFonts w:ascii="Arial" w:hAnsi="Arial" w:cs="Arial"/>
          <w:b/>
          <w:bCs/>
          <w:color w:val="FF0000"/>
          <w:sz w:val="22"/>
        </w:rPr>
        <w:t xml:space="preserve">8z-40, 8z-50b, </w:t>
      </w:r>
      <w:r w:rsidRPr="009617F5">
        <w:rPr>
          <w:rFonts w:ascii="Arial" w:hAnsi="Arial" w:cs="Arial"/>
          <w:bCs/>
          <w:color w:val="FF0000"/>
          <w:sz w:val="22"/>
        </w:rPr>
        <w:t xml:space="preserve">leží po projednání a zmenšení na okraji zájmového prostoru ochrany přírody </w:t>
      </w:r>
    </w:p>
    <w:p w14:paraId="110AB4F7" w14:textId="77777777" w:rsidR="009617F5" w:rsidRPr="009617F5" w:rsidRDefault="009617F5" w:rsidP="009617F5">
      <w:pPr>
        <w:rPr>
          <w:rFonts w:ascii="Arial" w:hAnsi="Arial" w:cs="Arial"/>
          <w:b/>
          <w:bCs/>
          <w:color w:val="FF0000"/>
          <w:sz w:val="22"/>
        </w:rPr>
      </w:pPr>
      <w:r w:rsidRPr="009617F5">
        <w:rPr>
          <w:rFonts w:ascii="Arial" w:hAnsi="Arial" w:cs="Arial"/>
          <w:b/>
          <w:bCs/>
          <w:color w:val="FF0000"/>
          <w:sz w:val="22"/>
        </w:rPr>
        <w:t xml:space="preserve">8Z-1 </w:t>
      </w:r>
      <w:r w:rsidRPr="009617F5">
        <w:rPr>
          <w:rFonts w:ascii="Arial" w:hAnsi="Arial" w:cs="Arial"/>
          <w:bCs/>
          <w:color w:val="FF0000"/>
          <w:sz w:val="22"/>
        </w:rPr>
        <w:t>leží na okraji EVL</w:t>
      </w:r>
      <w:r w:rsidRPr="009617F5">
        <w:rPr>
          <w:rFonts w:ascii="Arial" w:hAnsi="Arial" w:cs="Arial"/>
          <w:b/>
          <w:bCs/>
          <w:color w:val="FF0000"/>
          <w:sz w:val="22"/>
        </w:rPr>
        <w:t xml:space="preserve"> </w:t>
      </w:r>
    </w:p>
    <w:p w14:paraId="62CD1A28" w14:textId="77777777" w:rsidR="009617F5" w:rsidRPr="009617F5" w:rsidRDefault="009617F5" w:rsidP="009617F5">
      <w:pPr>
        <w:rPr>
          <w:rFonts w:ascii="Arial" w:hAnsi="Arial" w:cs="Arial"/>
          <w:b/>
          <w:bCs/>
          <w:i/>
          <w:color w:val="FF0000"/>
          <w:sz w:val="22"/>
          <w:u w:val="single"/>
        </w:rPr>
      </w:pPr>
      <w:r w:rsidRPr="009617F5">
        <w:rPr>
          <w:rFonts w:ascii="Arial" w:hAnsi="Arial" w:cs="Arial"/>
          <w:b/>
          <w:bCs/>
          <w:color w:val="FF0000"/>
          <w:sz w:val="22"/>
          <w:u w:val="single"/>
        </w:rPr>
        <w:t xml:space="preserve">8Z-23 </w:t>
      </w:r>
      <w:r w:rsidRPr="009617F5">
        <w:rPr>
          <w:rFonts w:ascii="Arial" w:hAnsi="Arial" w:cs="Arial"/>
          <w:bCs/>
          <w:color w:val="FF0000"/>
          <w:sz w:val="22"/>
          <w:u w:val="single"/>
        </w:rPr>
        <w:t>a</w:t>
      </w:r>
      <w:r w:rsidRPr="009617F5">
        <w:rPr>
          <w:rFonts w:ascii="Arial" w:hAnsi="Arial" w:cs="Arial"/>
          <w:b/>
          <w:bCs/>
          <w:color w:val="FF0000"/>
          <w:sz w:val="22"/>
          <w:u w:val="single"/>
        </w:rPr>
        <w:t xml:space="preserve"> 8Z-45 </w:t>
      </w:r>
      <w:r w:rsidRPr="009617F5">
        <w:rPr>
          <w:rFonts w:ascii="Arial" w:hAnsi="Arial" w:cs="Arial"/>
          <w:bCs/>
          <w:color w:val="FF0000"/>
          <w:sz w:val="22"/>
          <w:u w:val="single"/>
        </w:rPr>
        <w:t xml:space="preserve">leží v blízkosti NRBK K8 „Stříbrný roh-hranice ČR“ Pro 8Z-45 je požadovaná územní srudie, která musí mimo jiné doložit, že výstavba nenaruší prostor pro průchod NRBK. NRBK zde musí být vymezen zcela přesně v min. šíři 45m </w:t>
      </w:r>
    </w:p>
    <w:p w14:paraId="717153BC" w14:textId="77777777" w:rsidR="009617F5" w:rsidRPr="009617F5" w:rsidRDefault="009617F5" w:rsidP="009617F5">
      <w:pPr>
        <w:rPr>
          <w:rFonts w:ascii="Arial" w:hAnsi="Arial" w:cs="Arial"/>
          <w:bCs/>
          <w:color w:val="FF0000"/>
          <w:sz w:val="22"/>
        </w:rPr>
      </w:pPr>
      <w:r w:rsidRPr="009617F5">
        <w:rPr>
          <w:rFonts w:ascii="Arial" w:hAnsi="Arial" w:cs="Arial"/>
          <w:b/>
          <w:bCs/>
          <w:color w:val="FF0000"/>
          <w:sz w:val="22"/>
        </w:rPr>
        <w:t xml:space="preserve">8z-11, 8z-34, 8z-48, 8z-49, </w:t>
      </w:r>
      <w:r w:rsidRPr="009617F5">
        <w:rPr>
          <w:rFonts w:ascii="Arial" w:hAnsi="Arial" w:cs="Arial"/>
          <w:bCs/>
          <w:color w:val="FF0000"/>
          <w:sz w:val="22"/>
        </w:rPr>
        <w:t>leží zcela nebo částečně v ochranném pásmu lesa (50m od lesního porostu).</w:t>
      </w:r>
    </w:p>
    <w:p w14:paraId="23A64005" w14:textId="77777777" w:rsidR="009617F5" w:rsidRPr="009617F5" w:rsidRDefault="009617F5" w:rsidP="009617F5">
      <w:pPr>
        <w:rPr>
          <w:rFonts w:ascii="Arial" w:hAnsi="Arial" w:cs="Arial"/>
          <w:color w:val="FF0000"/>
          <w:sz w:val="22"/>
        </w:rPr>
      </w:pPr>
    </w:p>
    <w:p w14:paraId="3BF2C8DF"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Umístění rozvojových ploch je upraveno dle výsledků projednání s dotčenými orgány.</w:t>
      </w:r>
    </w:p>
    <w:p w14:paraId="6C10F0AB" w14:textId="77777777" w:rsidR="009617F5" w:rsidRPr="009617F5" w:rsidRDefault="009617F5" w:rsidP="009617F5">
      <w:pPr>
        <w:rPr>
          <w:rFonts w:ascii="Arial" w:hAnsi="Arial" w:cs="Arial"/>
          <w:color w:val="FF0000"/>
          <w:sz w:val="22"/>
        </w:rPr>
      </w:pPr>
    </w:p>
    <w:p w14:paraId="60EDD245" w14:textId="77777777" w:rsidR="009617F5" w:rsidRPr="009617F5" w:rsidRDefault="009617F5" w:rsidP="009617F5">
      <w:pPr>
        <w:pStyle w:val="Nadpis3"/>
        <w:rPr>
          <w:rFonts w:ascii="Arial" w:hAnsi="Arial" w:cs="Arial"/>
          <w:color w:val="FF0000"/>
        </w:rPr>
      </w:pPr>
      <w:bookmarkStart w:id="41" w:name="_Toc358720214"/>
      <w:r w:rsidRPr="009617F5">
        <w:rPr>
          <w:rFonts w:ascii="Arial" w:hAnsi="Arial" w:cs="Arial"/>
          <w:color w:val="FF0000"/>
        </w:rPr>
        <w:t>5. HRANICE ÚZEMNÍCH OBVODŮ A KATASTRÁLNÍCH ÚZEMÍ</w:t>
      </w:r>
      <w:bookmarkEnd w:id="41"/>
    </w:p>
    <w:p w14:paraId="1EA88E8A"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Hranice katastrálních území je vyznačena v grafické části.</w:t>
      </w:r>
    </w:p>
    <w:p w14:paraId="43710612"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Územní obvody nejsou vymezeny.</w:t>
      </w:r>
    </w:p>
    <w:p w14:paraId="6202B462" w14:textId="77777777" w:rsidR="009617F5" w:rsidRPr="009617F5" w:rsidRDefault="009617F5" w:rsidP="009617F5">
      <w:pPr>
        <w:pStyle w:val="Nadpis3"/>
        <w:rPr>
          <w:rFonts w:ascii="Arial" w:hAnsi="Arial" w:cs="Arial"/>
          <w:color w:val="FF0000"/>
        </w:rPr>
      </w:pPr>
      <w:bookmarkStart w:id="42" w:name="_Toc358720215"/>
      <w:r w:rsidRPr="009617F5">
        <w:rPr>
          <w:rFonts w:ascii="Arial" w:hAnsi="Arial" w:cs="Arial"/>
          <w:color w:val="FF0000"/>
        </w:rPr>
        <w:t>6. ZDŮVODNĚNÍ NAVRHOVANÉHO ŘEŠENÍ</w:t>
      </w:r>
      <w:bookmarkEnd w:id="42"/>
    </w:p>
    <w:p w14:paraId="1CCEF742"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 xml:space="preserve">Řešením je posilována zejména funkce obytná. </w:t>
      </w:r>
    </w:p>
    <w:p w14:paraId="4AF068C8"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Z celkového záboru jen 84,4% výměry podléhá vyhodnocení.</w:t>
      </w:r>
    </w:p>
    <w:p w14:paraId="03F09747"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K záboru je navrhováno 2,6543 ha půd třídy ochrany II.</w:t>
      </w:r>
    </w:p>
    <w:p w14:paraId="3FE8315F"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 xml:space="preserve">Záměry si nevyžádají zábor PUPFL. </w:t>
      </w:r>
    </w:p>
    <w:p w14:paraId="49BAD44A" w14:textId="77777777" w:rsidR="009617F5" w:rsidRPr="009617F5" w:rsidRDefault="009617F5" w:rsidP="009617F5">
      <w:pPr>
        <w:pStyle w:val="Nadpis3"/>
        <w:rPr>
          <w:rFonts w:ascii="Arial" w:hAnsi="Arial" w:cs="Arial"/>
          <w:i/>
          <w:color w:val="FF0000"/>
        </w:rPr>
      </w:pPr>
      <w:r w:rsidRPr="009617F5">
        <w:rPr>
          <w:rFonts w:ascii="Arial" w:hAnsi="Arial" w:cs="Arial"/>
          <w:color w:val="FF0000"/>
        </w:rPr>
        <w:t xml:space="preserve">Odůvodnění navrhovaných zastavitelných ploch a ploch přestaveb </w:t>
      </w:r>
    </w:p>
    <w:p w14:paraId="1F6EFF5D" w14:textId="77777777" w:rsidR="009617F5" w:rsidRPr="009617F5" w:rsidRDefault="009617F5" w:rsidP="009617F5">
      <w:pPr>
        <w:numPr>
          <w:ilvl w:val="0"/>
          <w:numId w:val="107"/>
        </w:numPr>
        <w:ind w:left="426"/>
        <w:jc w:val="both"/>
        <w:rPr>
          <w:rFonts w:ascii="Arial" w:hAnsi="Arial" w:cs="Arial"/>
          <w:color w:val="FF0000"/>
          <w:sz w:val="22"/>
        </w:rPr>
      </w:pPr>
      <w:r w:rsidRPr="009617F5">
        <w:rPr>
          <w:rFonts w:ascii="Arial" w:hAnsi="Arial" w:cs="Arial"/>
          <w:b/>
          <w:color w:val="FF0000"/>
          <w:sz w:val="22"/>
        </w:rPr>
        <w:t xml:space="preserve">8Z -1 (k.ú. </w:t>
      </w:r>
      <w:r w:rsidRPr="009617F5">
        <w:rPr>
          <w:rFonts w:ascii="Arial" w:hAnsi="Arial" w:cs="Arial"/>
          <w:b/>
          <w:color w:val="FF0000"/>
          <w:sz w:val="18"/>
          <w:szCs w:val="20"/>
        </w:rPr>
        <w:t>Březiny u Děčína</w:t>
      </w:r>
      <w:r w:rsidRPr="009617F5">
        <w:rPr>
          <w:rFonts w:ascii="Arial" w:hAnsi="Arial" w:cs="Arial"/>
          <w:color w:val="FF0000"/>
          <w:sz w:val="22"/>
        </w:rPr>
        <w:t>) návrh se týká změny funkčního využití stávajícího stavebního objektu občanské vybavenosti na bydlení.  Plocha je přestavbová, nachází se v  zastavěném území.</w:t>
      </w:r>
    </w:p>
    <w:p w14:paraId="00475C85" w14:textId="77777777" w:rsidR="009617F5" w:rsidRPr="009617F5" w:rsidRDefault="009617F5" w:rsidP="009617F5">
      <w:pPr>
        <w:numPr>
          <w:ilvl w:val="0"/>
          <w:numId w:val="107"/>
        </w:numPr>
        <w:ind w:left="426"/>
        <w:jc w:val="both"/>
        <w:rPr>
          <w:rFonts w:ascii="Arial" w:hAnsi="Arial" w:cs="Arial"/>
          <w:color w:val="FF0000"/>
          <w:sz w:val="22"/>
        </w:rPr>
      </w:pPr>
      <w:r w:rsidRPr="009617F5">
        <w:rPr>
          <w:rFonts w:ascii="Arial" w:hAnsi="Arial" w:cs="Arial"/>
          <w:b/>
          <w:color w:val="FF0000"/>
          <w:sz w:val="22"/>
        </w:rPr>
        <w:t xml:space="preserve">8Z -10 </w:t>
      </w:r>
      <w:r w:rsidRPr="009617F5">
        <w:rPr>
          <w:rFonts w:ascii="Arial" w:hAnsi="Arial" w:cs="Arial"/>
          <w:color w:val="FF0000"/>
          <w:sz w:val="22"/>
        </w:rPr>
        <w:t>jedná se o plochu stávající rekreace</w:t>
      </w:r>
      <w:r w:rsidRPr="009617F5">
        <w:rPr>
          <w:rFonts w:ascii="Arial" w:hAnsi="Arial" w:cs="Arial"/>
          <w:b/>
          <w:color w:val="FF0000"/>
          <w:sz w:val="22"/>
        </w:rPr>
        <w:t xml:space="preserve"> </w:t>
      </w:r>
      <w:r w:rsidRPr="009617F5">
        <w:rPr>
          <w:rFonts w:ascii="Arial" w:hAnsi="Arial" w:cs="Arial"/>
          <w:color w:val="FF0000"/>
          <w:sz w:val="22"/>
        </w:rPr>
        <w:t xml:space="preserve">s částečným zainvestováním bez dalšího funkčního vymezení </w:t>
      </w:r>
    </w:p>
    <w:p w14:paraId="4CB5039A" w14:textId="77777777" w:rsidR="009617F5" w:rsidRPr="009617F5" w:rsidRDefault="009617F5" w:rsidP="009617F5">
      <w:pPr>
        <w:numPr>
          <w:ilvl w:val="0"/>
          <w:numId w:val="107"/>
        </w:numPr>
        <w:ind w:left="426"/>
        <w:jc w:val="both"/>
        <w:rPr>
          <w:rFonts w:ascii="Arial" w:hAnsi="Arial" w:cs="Arial"/>
          <w:color w:val="FF0000"/>
          <w:sz w:val="22"/>
        </w:rPr>
      </w:pPr>
      <w:r w:rsidRPr="009617F5">
        <w:rPr>
          <w:rFonts w:ascii="Arial" w:hAnsi="Arial" w:cs="Arial"/>
          <w:b/>
          <w:color w:val="FF0000"/>
          <w:sz w:val="22"/>
          <w:szCs w:val="22"/>
        </w:rPr>
        <w:t>8Z -2 (k.ú.</w:t>
      </w:r>
      <w:r w:rsidRPr="009617F5">
        <w:rPr>
          <w:rFonts w:ascii="Arial" w:hAnsi="Arial" w:cs="Arial"/>
          <w:b/>
          <w:color w:val="FF0000"/>
          <w:sz w:val="22"/>
        </w:rPr>
        <w:t>Vilsnice</w:t>
      </w:r>
      <w:r w:rsidRPr="009617F5">
        <w:rPr>
          <w:rFonts w:ascii="Arial" w:hAnsi="Arial" w:cs="Arial"/>
          <w:b/>
          <w:color w:val="FF0000"/>
          <w:sz w:val="22"/>
          <w:szCs w:val="22"/>
        </w:rPr>
        <w:t>)</w:t>
      </w:r>
      <w:r w:rsidRPr="009617F5">
        <w:rPr>
          <w:rFonts w:ascii="Arial" w:hAnsi="Arial" w:cs="Arial"/>
          <w:color w:val="FF0000"/>
          <w:sz w:val="22"/>
          <w:szCs w:val="22"/>
        </w:rPr>
        <w:t xml:space="preserve"> zastavitelná plocha pro bydlení navazuje na zastavěné územím a spojuje ho s  již dříve schválenou návrhovou plochou pro bydlení. Tím zlepšuje možnosti rozvoje bydlení, které je v  této lokalitě stále více vyhledáváno.  P</w:t>
      </w:r>
      <w:r w:rsidRPr="009617F5">
        <w:rPr>
          <w:rFonts w:ascii="Arial" w:hAnsi="Arial" w:cs="Arial"/>
          <w:color w:val="FF0000"/>
          <w:sz w:val="22"/>
        </w:rPr>
        <w:t>lochu tvoří ZPF s  IV:a V tř. ochrany</w:t>
      </w:r>
    </w:p>
    <w:p w14:paraId="57580802" w14:textId="77777777" w:rsidR="009617F5" w:rsidRPr="009617F5" w:rsidRDefault="009617F5" w:rsidP="009617F5">
      <w:pPr>
        <w:numPr>
          <w:ilvl w:val="0"/>
          <w:numId w:val="107"/>
        </w:numPr>
        <w:ind w:left="426"/>
        <w:jc w:val="both"/>
        <w:rPr>
          <w:rFonts w:ascii="Arial" w:hAnsi="Arial" w:cs="Arial"/>
          <w:color w:val="FF0000"/>
          <w:sz w:val="22"/>
        </w:rPr>
      </w:pPr>
      <w:r w:rsidRPr="009617F5">
        <w:rPr>
          <w:rFonts w:ascii="Arial" w:hAnsi="Arial" w:cs="Arial"/>
          <w:b/>
          <w:color w:val="FF0000"/>
          <w:sz w:val="22"/>
          <w:szCs w:val="22"/>
        </w:rPr>
        <w:t>8Z– 3, -12</w:t>
      </w:r>
      <w:r w:rsidRPr="009617F5">
        <w:rPr>
          <w:rFonts w:ascii="Arial" w:hAnsi="Arial" w:cs="Arial"/>
          <w:color w:val="FF0000"/>
          <w:sz w:val="22"/>
          <w:szCs w:val="22"/>
        </w:rPr>
        <w:t xml:space="preserve"> </w:t>
      </w:r>
      <w:r w:rsidRPr="009617F5">
        <w:rPr>
          <w:rFonts w:ascii="Arial" w:hAnsi="Arial" w:cs="Arial"/>
          <w:b/>
          <w:color w:val="FF0000"/>
          <w:sz w:val="22"/>
          <w:szCs w:val="22"/>
        </w:rPr>
        <w:t>(k.ú.</w:t>
      </w:r>
      <w:r w:rsidRPr="009617F5">
        <w:rPr>
          <w:rFonts w:ascii="Arial" w:hAnsi="Arial" w:cs="Arial"/>
          <w:b/>
          <w:color w:val="FF0000"/>
          <w:sz w:val="22"/>
        </w:rPr>
        <w:t>Vilsnice</w:t>
      </w:r>
      <w:r w:rsidRPr="009617F5">
        <w:rPr>
          <w:rFonts w:ascii="Arial" w:hAnsi="Arial" w:cs="Arial"/>
          <w:b/>
          <w:color w:val="FF0000"/>
          <w:sz w:val="22"/>
          <w:szCs w:val="22"/>
        </w:rPr>
        <w:t xml:space="preserve">) </w:t>
      </w:r>
      <w:r w:rsidRPr="009617F5">
        <w:rPr>
          <w:rFonts w:ascii="Arial" w:hAnsi="Arial" w:cs="Arial"/>
          <w:color w:val="FF0000"/>
          <w:sz w:val="22"/>
          <w:szCs w:val="22"/>
        </w:rPr>
        <w:t>dvojice zastavitelných ploch pro bydlení    členěná vlastnickými zájmy. Plochy v západní i severní části navazují na stávající zastavěné území a umožňují další potřebný rozvoj bydlení v této lokalitě.   Pozemky</w:t>
      </w:r>
      <w:r w:rsidRPr="009617F5">
        <w:rPr>
          <w:rFonts w:ascii="Arial" w:hAnsi="Arial" w:cs="Arial"/>
          <w:color w:val="FF0000"/>
          <w:sz w:val="22"/>
        </w:rPr>
        <w:t xml:space="preserve"> se nachází na ZPF se stupněm ochrany II.</w:t>
      </w:r>
    </w:p>
    <w:p w14:paraId="67380D84" w14:textId="77777777" w:rsidR="009617F5" w:rsidRPr="009617F5" w:rsidRDefault="009617F5" w:rsidP="009617F5">
      <w:pPr>
        <w:numPr>
          <w:ilvl w:val="0"/>
          <w:numId w:val="107"/>
        </w:numPr>
        <w:ind w:left="426"/>
        <w:jc w:val="both"/>
        <w:rPr>
          <w:rFonts w:ascii="Arial" w:hAnsi="Arial" w:cs="Arial"/>
          <w:color w:val="FF0000"/>
          <w:sz w:val="22"/>
        </w:rPr>
      </w:pPr>
      <w:r w:rsidRPr="009617F5">
        <w:rPr>
          <w:rFonts w:ascii="Arial" w:hAnsi="Arial" w:cs="Arial"/>
          <w:b/>
          <w:color w:val="FF0000"/>
          <w:sz w:val="22"/>
          <w:szCs w:val="22"/>
        </w:rPr>
        <w:lastRenderedPageBreak/>
        <w:t xml:space="preserve">8Z – 6, -40, -50b, </w:t>
      </w:r>
      <w:r w:rsidRPr="009617F5">
        <w:rPr>
          <w:rFonts w:ascii="Arial" w:hAnsi="Arial" w:cs="Arial"/>
          <w:b/>
          <w:color w:val="FF0000"/>
          <w:sz w:val="22"/>
        </w:rPr>
        <w:t>(k.ú.Horní Oldřichov</w:t>
      </w:r>
      <w:r w:rsidRPr="009617F5">
        <w:rPr>
          <w:rFonts w:ascii="Arial" w:hAnsi="Arial" w:cs="Arial"/>
          <w:b/>
          <w:color w:val="FF0000"/>
          <w:sz w:val="22"/>
          <w:szCs w:val="22"/>
        </w:rPr>
        <w:t>)</w:t>
      </w:r>
      <w:r w:rsidRPr="009617F5">
        <w:rPr>
          <w:rFonts w:ascii="Arial" w:hAnsi="Arial" w:cs="Arial"/>
          <w:color w:val="FF0000"/>
          <w:sz w:val="22"/>
          <w:szCs w:val="22"/>
        </w:rPr>
        <w:t xml:space="preserve"> skupina zastavitelných ploch pro bydlení členěná vlastnickými zájmy. Plochy 8Z 40, -50b byly na základě společného jednání zmenšeny, na každé ploše je přípustný pouze 1 RD. Plochy se na jihu přimykají k zastavěnému území a umožňují uspokojit stále vzrůstající potřeby bydlení v kvalitním prostředí bez omezujících vlivů, jako je např. čistota ovzduší, záplavové území, hluková zátěž a jiné). Pozemky</w:t>
      </w:r>
      <w:r w:rsidRPr="009617F5">
        <w:rPr>
          <w:rFonts w:ascii="Arial" w:hAnsi="Arial" w:cs="Arial"/>
          <w:color w:val="FF0000"/>
          <w:sz w:val="22"/>
        </w:rPr>
        <w:t xml:space="preserve"> se nachází na ZPF se stupněm ochrany IV.</w:t>
      </w:r>
      <w:r w:rsidRPr="009617F5">
        <w:rPr>
          <w:rFonts w:ascii="Arial" w:hAnsi="Arial" w:cs="Arial"/>
          <w:color w:val="FF0000"/>
          <w:sz w:val="22"/>
          <w:szCs w:val="22"/>
        </w:rPr>
        <w:t xml:space="preserve"> </w:t>
      </w:r>
    </w:p>
    <w:p w14:paraId="6C6B6428"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8Z -7 (k.ú.Vilsnice)</w:t>
      </w:r>
      <w:r w:rsidRPr="009617F5">
        <w:rPr>
          <w:rFonts w:ascii="Arial" w:hAnsi="Arial" w:cs="Arial"/>
          <w:color w:val="FF0000"/>
          <w:sz w:val="22"/>
        </w:rPr>
        <w:t xml:space="preserve"> zastavitelná plocha pro bydlení (1RD) navazuje na dříve schválené zastavitelné plochy a tvoří dostavbu ul. Třešňová. Je předpokladem k  rozvoji bydlení, požadovaném v této lokalitě. Je navrhována  na ZPF se stupněm ochrany IV.</w:t>
      </w:r>
    </w:p>
    <w:p w14:paraId="6EEE3F40"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 xml:space="preserve"> 8Z -8 (k.ú. Horní Oldřichov) </w:t>
      </w:r>
      <w:r w:rsidRPr="009617F5">
        <w:rPr>
          <w:rFonts w:ascii="Arial" w:hAnsi="Arial" w:cs="Arial"/>
          <w:color w:val="FF0000"/>
          <w:sz w:val="22"/>
        </w:rPr>
        <w:t>zastavitelná plocha  pro bydlení</w:t>
      </w:r>
      <w:r w:rsidRPr="009617F5">
        <w:rPr>
          <w:rFonts w:ascii="Arial" w:hAnsi="Arial" w:cs="Arial"/>
          <w:b/>
          <w:color w:val="FF0000"/>
          <w:sz w:val="22"/>
        </w:rPr>
        <w:t xml:space="preserve"> </w:t>
      </w:r>
      <w:r w:rsidRPr="009617F5">
        <w:rPr>
          <w:rFonts w:ascii="Arial" w:hAnsi="Arial" w:cs="Arial"/>
          <w:color w:val="FF0000"/>
          <w:sz w:val="22"/>
        </w:rPr>
        <w:t>(1RD) propojuje zastavěné území města a umožňuje další výstavbu v této lokalitě. Je navrhována  na ZPF se stupněm ochrany IV.</w:t>
      </w:r>
    </w:p>
    <w:p w14:paraId="44FD69AB" w14:textId="77777777" w:rsidR="009617F5" w:rsidRPr="009617F5" w:rsidRDefault="009617F5" w:rsidP="009617F5">
      <w:pPr>
        <w:ind w:left="426"/>
        <w:rPr>
          <w:rFonts w:ascii="Arial" w:hAnsi="Arial" w:cs="Arial"/>
          <w:color w:val="FF0000"/>
          <w:sz w:val="22"/>
        </w:rPr>
      </w:pPr>
    </w:p>
    <w:p w14:paraId="48CBA2DB"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 xml:space="preserve">8Z-43 (k.ú. Horní Oldřichov) </w:t>
      </w:r>
      <w:r w:rsidRPr="009617F5">
        <w:rPr>
          <w:rFonts w:ascii="Arial" w:hAnsi="Arial" w:cs="Arial"/>
          <w:color w:val="FF0000"/>
          <w:sz w:val="22"/>
        </w:rPr>
        <w:t xml:space="preserve"> zastavitelná plocha  pro bydlení</w:t>
      </w:r>
      <w:r w:rsidRPr="009617F5">
        <w:rPr>
          <w:rFonts w:ascii="Arial" w:hAnsi="Arial" w:cs="Arial"/>
          <w:b/>
          <w:color w:val="FF0000"/>
          <w:sz w:val="22"/>
        </w:rPr>
        <w:t xml:space="preserve"> </w:t>
      </w:r>
      <w:r w:rsidRPr="009617F5">
        <w:rPr>
          <w:rFonts w:ascii="Arial" w:hAnsi="Arial" w:cs="Arial"/>
          <w:color w:val="FF0000"/>
          <w:sz w:val="22"/>
        </w:rPr>
        <w:t>(1RD), navazuje na zastavěné území města a umožňuje další výstavbu v této lokalitě. Je navrhována na ZPF se stupněm ochrany IV. a V.</w:t>
      </w:r>
    </w:p>
    <w:p w14:paraId="47338E50"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 xml:space="preserve">8Z -11 (k.ú. Podmokly) </w:t>
      </w:r>
      <w:r w:rsidRPr="009617F5">
        <w:rPr>
          <w:rFonts w:ascii="Arial" w:hAnsi="Arial" w:cs="Arial"/>
          <w:color w:val="FF0000"/>
          <w:sz w:val="22"/>
        </w:rPr>
        <w:t>zastavitelná plocha bydlení navazuje na rozptýlenou zástavbu v zastavěném území a umožňuje další rozvoj v této lokalitě. Plocha leží zcela v ochranném pásmu lesa. Je navrhována za podmínky maximálního zachování vzrostlé zeleně na ZPF s třídou ochrany IV.</w:t>
      </w:r>
    </w:p>
    <w:p w14:paraId="1FE77C57"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 xml:space="preserve">8Z -13 (k.ú. Nebočady) </w:t>
      </w:r>
      <w:r w:rsidRPr="009617F5">
        <w:rPr>
          <w:rFonts w:ascii="Arial" w:hAnsi="Arial" w:cs="Arial"/>
          <w:color w:val="FF0000"/>
          <w:sz w:val="22"/>
        </w:rPr>
        <w:t>zastavitelná</w:t>
      </w:r>
      <w:r w:rsidRPr="009617F5">
        <w:rPr>
          <w:rFonts w:ascii="Arial" w:hAnsi="Arial" w:cs="Arial"/>
          <w:b/>
          <w:color w:val="FF0000"/>
          <w:sz w:val="22"/>
        </w:rPr>
        <w:t xml:space="preserve"> </w:t>
      </w:r>
      <w:r w:rsidRPr="009617F5">
        <w:rPr>
          <w:rFonts w:ascii="Arial" w:hAnsi="Arial" w:cs="Arial"/>
          <w:color w:val="FF0000"/>
          <w:sz w:val="22"/>
        </w:rPr>
        <w:t>plocha bydlení propojuje zastavěná území (stávající rozptýlenou zástavbu s bývalým areálem zemědělské výroby) a vytváří tím příležitost pro  další rozvoj kvalitního bydlení, o které je v této lokalitě stále větší zájem Plocha zahrnuje ornou půdu a trvalý travní porost, je částečně limitována kvalitním ZPF se stupněm ochrany II. (trvalý travní porost, orná půda, zahrada).</w:t>
      </w:r>
    </w:p>
    <w:p w14:paraId="0E99D0F4"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 xml:space="preserve">8Z -15 (k.ú. Březiny u Děčína) </w:t>
      </w:r>
      <w:r w:rsidRPr="009617F5">
        <w:rPr>
          <w:rFonts w:ascii="Arial" w:hAnsi="Arial" w:cs="Arial"/>
          <w:color w:val="FF0000"/>
          <w:sz w:val="22"/>
        </w:rPr>
        <w:t xml:space="preserve">zastavitelná plocha bydlení navazuje na zastavěné území i další již dříve projednanou zastavitelnou plochu. Vytváří tak podmínky pro další rozvoj zástavby v této lokalitě. Částečně je tvořena ZPF s II. stupněm ochrany (trvalý travní porost). </w:t>
      </w:r>
    </w:p>
    <w:p w14:paraId="3DF1CEB9"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 xml:space="preserve">8Z -16 (k.ú. Podmokly) </w:t>
      </w:r>
      <w:r w:rsidRPr="009617F5">
        <w:rPr>
          <w:rFonts w:ascii="Arial" w:hAnsi="Arial" w:cs="Arial"/>
          <w:color w:val="FF0000"/>
          <w:sz w:val="22"/>
        </w:rPr>
        <w:t>přestavbová</w:t>
      </w:r>
      <w:r w:rsidRPr="009617F5">
        <w:rPr>
          <w:rFonts w:ascii="Arial" w:hAnsi="Arial" w:cs="Arial"/>
          <w:b/>
          <w:color w:val="FF0000"/>
          <w:sz w:val="22"/>
        </w:rPr>
        <w:t xml:space="preserve"> </w:t>
      </w:r>
      <w:r w:rsidRPr="009617F5">
        <w:rPr>
          <w:rFonts w:ascii="Arial" w:hAnsi="Arial" w:cs="Arial"/>
          <w:color w:val="FF0000"/>
          <w:sz w:val="22"/>
        </w:rPr>
        <w:t xml:space="preserve">plocha v zastavěném území. Předpokládá změnu funkčního využití pro komerci. Případné nové aktivity nesmí omezit průtok záplavové vody. </w:t>
      </w:r>
    </w:p>
    <w:p w14:paraId="00945DE3"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8Z -17 (k.ú. Děčín)</w:t>
      </w:r>
      <w:r w:rsidRPr="009617F5">
        <w:rPr>
          <w:rFonts w:ascii="Arial" w:hAnsi="Arial" w:cs="Arial"/>
          <w:color w:val="FF0000"/>
          <w:sz w:val="22"/>
        </w:rPr>
        <w:t xml:space="preserve"> přestavbová</w:t>
      </w:r>
      <w:r w:rsidRPr="009617F5">
        <w:rPr>
          <w:rFonts w:ascii="Arial" w:hAnsi="Arial" w:cs="Arial"/>
          <w:b/>
          <w:color w:val="FF0000"/>
          <w:sz w:val="22"/>
        </w:rPr>
        <w:t xml:space="preserve"> </w:t>
      </w:r>
      <w:r w:rsidRPr="009617F5">
        <w:rPr>
          <w:rFonts w:ascii="Arial" w:hAnsi="Arial" w:cs="Arial"/>
          <w:color w:val="FF0000"/>
          <w:sz w:val="22"/>
        </w:rPr>
        <w:t xml:space="preserve">plocha v zastavěném území. Jedná se pouze o změnu funkčního využití území ve stávajících prostorách. Případné nové aktivity nesmí omezit průtok záplavové vody. </w:t>
      </w:r>
    </w:p>
    <w:p w14:paraId="56E2764D"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 xml:space="preserve">8Z -18 (k.ú. Podmokly) </w:t>
      </w:r>
      <w:r w:rsidRPr="009617F5">
        <w:rPr>
          <w:rFonts w:ascii="Arial" w:hAnsi="Arial" w:cs="Arial"/>
          <w:color w:val="FF0000"/>
          <w:sz w:val="22"/>
        </w:rPr>
        <w:t>zastavitelná plocha bydlení</w:t>
      </w:r>
      <w:r w:rsidRPr="009617F5">
        <w:rPr>
          <w:rFonts w:ascii="Arial" w:hAnsi="Arial" w:cs="Arial"/>
          <w:b/>
          <w:color w:val="FF0000"/>
          <w:sz w:val="22"/>
        </w:rPr>
        <w:t xml:space="preserve"> </w:t>
      </w:r>
      <w:r w:rsidRPr="009617F5">
        <w:rPr>
          <w:rFonts w:ascii="Arial" w:hAnsi="Arial" w:cs="Arial"/>
          <w:color w:val="FF0000"/>
          <w:sz w:val="22"/>
        </w:rPr>
        <w:t>propojuje stávající zástavbu v zastavěném území s již dříve projednanou návrhovou plochou. Umožňuje tak další rozvoj bydlení v této atraktivní lokalitě. Je navrhována na ZPF s třídou ochrany V (trvalý travní porost)</w:t>
      </w:r>
    </w:p>
    <w:p w14:paraId="48E14196"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 xml:space="preserve">8Z -19 (k.ú.Vilsnice) </w:t>
      </w:r>
      <w:r w:rsidRPr="009617F5">
        <w:rPr>
          <w:rFonts w:ascii="Arial" w:hAnsi="Arial" w:cs="Arial"/>
          <w:color w:val="FF0000"/>
          <w:sz w:val="22"/>
        </w:rPr>
        <w:t>zastavitelná plocha pro bydlení (1RD) navazuje na zastavěné území. Umožňuje další rozvoj bydlení v této atraktivní lokalitě Je navrhována  na ZPF se stupněm ochrany IV.(zahrada)</w:t>
      </w:r>
    </w:p>
    <w:p w14:paraId="049E0617"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8Z -20 (k.ú. Bělá u Děčína)</w:t>
      </w:r>
      <w:r w:rsidRPr="009617F5">
        <w:rPr>
          <w:rFonts w:ascii="Arial" w:hAnsi="Arial" w:cs="Arial"/>
          <w:color w:val="FF0000"/>
          <w:sz w:val="22"/>
        </w:rPr>
        <w:t xml:space="preserve"> plocha má vazbu na stávající zástavbu, jedná se o dostavbu proluky 1 RD. Výstavba bude orientována při hlavní komunikaci a zbývající část pozemku zůstane zachována jako zahrada Navrhovanou plochu tvoří ZPF s třídou ochrany V. (zahrada). </w:t>
      </w:r>
    </w:p>
    <w:p w14:paraId="3D5C57BA"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t>8Z -23 (k.ú. Děčín)</w:t>
      </w:r>
      <w:r w:rsidRPr="009617F5">
        <w:rPr>
          <w:rFonts w:ascii="Arial" w:hAnsi="Arial" w:cs="Arial"/>
          <w:b/>
          <w:color w:val="FF0000"/>
        </w:rPr>
        <w:t xml:space="preserve"> </w:t>
      </w:r>
      <w:r w:rsidRPr="009617F5">
        <w:rPr>
          <w:rFonts w:ascii="Arial" w:hAnsi="Arial" w:cs="Arial"/>
          <w:color w:val="FF0000"/>
        </w:rPr>
        <w:t xml:space="preserve">jedná se o přestavbovou plochu se záměrem výstavby rekreačního objektu. Navrhované území je součástí zahrádkářské osady </w:t>
      </w:r>
    </w:p>
    <w:p w14:paraId="1A9E5D54" w14:textId="77777777" w:rsidR="009617F5" w:rsidRPr="009617F5" w:rsidRDefault="009617F5" w:rsidP="009617F5">
      <w:pPr>
        <w:numPr>
          <w:ilvl w:val="0"/>
          <w:numId w:val="107"/>
        </w:numPr>
        <w:suppressAutoHyphens w:val="0"/>
        <w:ind w:left="426"/>
        <w:jc w:val="both"/>
        <w:rPr>
          <w:rFonts w:ascii="Arial" w:hAnsi="Arial" w:cs="Arial"/>
          <w:color w:val="FF0000"/>
          <w:sz w:val="22"/>
        </w:rPr>
      </w:pPr>
      <w:r w:rsidRPr="009617F5">
        <w:rPr>
          <w:rFonts w:ascii="Arial" w:hAnsi="Arial" w:cs="Arial"/>
          <w:b/>
          <w:color w:val="FF0000"/>
          <w:sz w:val="22"/>
        </w:rPr>
        <w:t xml:space="preserve">8Z -25 (k.ú. Folknáře ) </w:t>
      </w:r>
      <w:r w:rsidRPr="009617F5">
        <w:rPr>
          <w:rFonts w:ascii="Arial" w:hAnsi="Arial" w:cs="Arial"/>
          <w:color w:val="FF0000"/>
          <w:sz w:val="22"/>
        </w:rPr>
        <w:t xml:space="preserve">zastavitelná plocha u které se jedná pouze o rozšíření zázemí plochy rodinného domu a zastavitelného území, na které navazuje. Navrhovanou plochu tvoří ZPF s třídou ochrany III. (orná půda – 87 m2). </w:t>
      </w:r>
    </w:p>
    <w:p w14:paraId="486F226D"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lastRenderedPageBreak/>
        <w:t>8Z -26 (k.ú. Horní Oldřichov).</w:t>
      </w:r>
      <w:r w:rsidRPr="009617F5">
        <w:rPr>
          <w:rFonts w:ascii="Arial" w:hAnsi="Arial" w:cs="Arial"/>
          <w:b/>
          <w:color w:val="FF0000"/>
        </w:rPr>
        <w:t xml:space="preserve"> </w:t>
      </w:r>
      <w:r w:rsidRPr="009617F5">
        <w:rPr>
          <w:rFonts w:ascii="Arial" w:hAnsi="Arial" w:cs="Arial"/>
          <w:color w:val="FF0000"/>
          <w:szCs w:val="24"/>
        </w:rPr>
        <w:t>Zastavitelná</w:t>
      </w:r>
      <w:r w:rsidRPr="009617F5">
        <w:rPr>
          <w:rFonts w:ascii="Arial" w:hAnsi="Arial" w:cs="Arial"/>
          <w:color w:val="FF0000"/>
        </w:rPr>
        <w:t xml:space="preserve"> plocha bydlení pro 1 RD navazuje na zastavěné území a umožňuje další rozvoj bydlení v této lokalitě. Je navržena na ZPF s třídou ochrany IV (trvalý travní porost). </w:t>
      </w:r>
    </w:p>
    <w:p w14:paraId="6A88914D"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t>8Z -30 (k.ú. Křešice u Děčína)</w:t>
      </w:r>
      <w:r w:rsidRPr="009617F5">
        <w:rPr>
          <w:rFonts w:ascii="Arial" w:hAnsi="Arial" w:cs="Arial"/>
          <w:color w:val="FF0000"/>
        </w:rPr>
        <w:t xml:space="preserve"> přestavbová plocha  nerušící výroby a služeb. Nachází se v zastavěném území a jedná se o změnu funkčního využití u stávajícího objektu pro bydlení. </w:t>
      </w:r>
    </w:p>
    <w:p w14:paraId="143B31C8"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t>8Z -31 (k.ú. Podmokly</w:t>
      </w:r>
      <w:r w:rsidRPr="009617F5">
        <w:rPr>
          <w:rFonts w:ascii="Arial" w:hAnsi="Arial" w:cs="Arial"/>
          <w:b/>
          <w:color w:val="FF0000"/>
        </w:rPr>
        <w:t xml:space="preserve">) </w:t>
      </w:r>
      <w:r w:rsidRPr="009617F5">
        <w:rPr>
          <w:rFonts w:ascii="Arial" w:hAnsi="Arial" w:cs="Arial"/>
          <w:color w:val="FF0000"/>
        </w:rPr>
        <w:t xml:space="preserve"> přestavbová plocha v zastavěném území. Změna funkce na bydlení. Plocha se nachází v zastavěném území.</w:t>
      </w:r>
    </w:p>
    <w:p w14:paraId="3DF19455"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t xml:space="preserve">8Z -32 (k.ú. Podmokly) </w:t>
      </w:r>
      <w:r w:rsidRPr="009617F5">
        <w:rPr>
          <w:rFonts w:ascii="Arial" w:hAnsi="Arial" w:cs="Arial"/>
          <w:color w:val="FF0000"/>
        </w:rPr>
        <w:t>přestavbová plocha, změna funkčního využití z technické vybavenosti na výrobní plochy a skladování. Plocha se nachází v zastavěném území</w:t>
      </w:r>
    </w:p>
    <w:p w14:paraId="77D45013"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t>8Z -33 a,b,c (Podmokly)</w:t>
      </w:r>
      <w:r w:rsidRPr="009617F5">
        <w:rPr>
          <w:rFonts w:ascii="Arial" w:hAnsi="Arial" w:cs="Arial"/>
          <w:b/>
          <w:color w:val="FF0000"/>
        </w:rPr>
        <w:t xml:space="preserve"> </w:t>
      </w:r>
      <w:r w:rsidRPr="009617F5">
        <w:rPr>
          <w:rFonts w:ascii="Arial" w:hAnsi="Arial" w:cs="Arial"/>
          <w:color w:val="FF0000"/>
        </w:rPr>
        <w:t xml:space="preserve">zastavitelné plochy, jedná se o dostavbu stávajících proluk mezi rodinnými domy v zastavěném území. Každá plocha max. 1 RD umožňuje další rozvoj bydlení v této lokalitě, která je pro investory atraktivní. Jsou navrženy na ZPF s třídou ochrany II. a III. (trvalý travní porost).   </w:t>
      </w:r>
    </w:p>
    <w:p w14:paraId="2710E8E2"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szCs w:val="24"/>
        </w:rPr>
      </w:pPr>
      <w:r w:rsidRPr="009617F5">
        <w:rPr>
          <w:rFonts w:ascii="Arial" w:hAnsi="Arial" w:cs="Arial"/>
          <w:b/>
          <w:color w:val="FF0000"/>
          <w:szCs w:val="24"/>
        </w:rPr>
        <w:t>8Z -34 (k.ú. Prostřední Žleb</w:t>
      </w:r>
      <w:r w:rsidRPr="009617F5">
        <w:rPr>
          <w:rFonts w:ascii="Arial" w:hAnsi="Arial" w:cs="Arial"/>
          <w:color w:val="FF0000"/>
          <w:szCs w:val="24"/>
        </w:rPr>
        <w:t xml:space="preserve">) zastavitelná plocha bydlení pro 3 RD, navazuje na zastavěné území a umožňuje další rozvoj kvalitního bydlení v této lokalitě. Je navržena na ZPF s třídou ochrany IV.(trvalý travní porost) </w:t>
      </w:r>
    </w:p>
    <w:p w14:paraId="4EC2E2DE"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szCs w:val="24"/>
        </w:rPr>
      </w:pPr>
      <w:r w:rsidRPr="009617F5">
        <w:rPr>
          <w:rFonts w:ascii="Arial" w:hAnsi="Arial" w:cs="Arial"/>
          <w:b/>
          <w:color w:val="FF0000"/>
          <w:szCs w:val="24"/>
        </w:rPr>
        <w:t>8Z -35 (k.ú. Vilsnice)</w:t>
      </w:r>
      <w:r w:rsidRPr="009617F5">
        <w:rPr>
          <w:rFonts w:ascii="Arial" w:hAnsi="Arial" w:cs="Arial"/>
          <w:b/>
          <w:color w:val="FF0000"/>
        </w:rPr>
        <w:t xml:space="preserve"> </w:t>
      </w:r>
      <w:r w:rsidRPr="009617F5">
        <w:rPr>
          <w:rFonts w:ascii="Arial" w:hAnsi="Arial" w:cs="Arial"/>
          <w:color w:val="FF0000"/>
        </w:rPr>
        <w:t>zastavitelná</w:t>
      </w:r>
      <w:r w:rsidRPr="009617F5">
        <w:rPr>
          <w:rFonts w:ascii="Arial" w:hAnsi="Arial" w:cs="Arial"/>
          <w:color w:val="FF0000"/>
          <w:szCs w:val="24"/>
        </w:rPr>
        <w:t xml:space="preserve"> plocha</w:t>
      </w:r>
      <w:r w:rsidRPr="009617F5">
        <w:rPr>
          <w:rFonts w:ascii="Arial" w:hAnsi="Arial" w:cs="Arial"/>
          <w:color w:val="FF0000"/>
        </w:rPr>
        <w:t xml:space="preserve"> n</w:t>
      </w:r>
      <w:r w:rsidRPr="009617F5">
        <w:rPr>
          <w:rFonts w:ascii="Arial" w:hAnsi="Arial" w:cs="Arial"/>
          <w:color w:val="FF0000"/>
          <w:szCs w:val="24"/>
        </w:rPr>
        <w:t>avazuje na</w:t>
      </w:r>
      <w:r w:rsidRPr="009617F5">
        <w:rPr>
          <w:rFonts w:ascii="Arial" w:hAnsi="Arial" w:cs="Arial"/>
          <w:b/>
          <w:color w:val="FF0000"/>
          <w:szCs w:val="24"/>
        </w:rPr>
        <w:t xml:space="preserve"> </w:t>
      </w:r>
      <w:r w:rsidRPr="009617F5">
        <w:rPr>
          <w:rFonts w:ascii="Arial" w:hAnsi="Arial" w:cs="Arial"/>
          <w:color w:val="FF0000"/>
        </w:rPr>
        <w:t>zastavěné území a zastavitelné plochy předešlé změny. Umožňuje další rozvoj bydlení v této lokalitě.  J</w:t>
      </w:r>
      <w:r w:rsidRPr="009617F5">
        <w:rPr>
          <w:rFonts w:ascii="Arial" w:hAnsi="Arial" w:cs="Arial"/>
          <w:color w:val="FF0000"/>
          <w:szCs w:val="24"/>
        </w:rPr>
        <w:t xml:space="preserve">e navržena na ZPF s třídou ochrany IV.(zahrada). </w:t>
      </w:r>
    </w:p>
    <w:p w14:paraId="25864467"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rPr>
        <w:t xml:space="preserve"> </w:t>
      </w:r>
      <w:r w:rsidRPr="009617F5">
        <w:rPr>
          <w:rFonts w:ascii="Arial" w:hAnsi="Arial" w:cs="Arial"/>
          <w:b/>
          <w:color w:val="FF0000"/>
          <w:szCs w:val="24"/>
        </w:rPr>
        <w:t xml:space="preserve">8Z -36 (k.ú. Boletice n. L.) </w:t>
      </w:r>
      <w:r w:rsidRPr="009617F5">
        <w:rPr>
          <w:rFonts w:ascii="Arial" w:hAnsi="Arial" w:cs="Arial"/>
          <w:color w:val="FF0000"/>
          <w:szCs w:val="24"/>
        </w:rPr>
        <w:t>zastavitelná plocha rekreace</w:t>
      </w:r>
      <w:r w:rsidRPr="009617F5">
        <w:rPr>
          <w:rFonts w:ascii="Arial" w:hAnsi="Arial" w:cs="Arial"/>
          <w:color w:val="FF0000"/>
        </w:rPr>
        <w:t xml:space="preserve"> navazuje na zastavěné území. Umožňuje změnu funkčního využití plochy zahrady na plochu rekreace a zvětšení stávajícího objektu. Je navržena na ZPF s II. třídou ochrany (zahrada)</w:t>
      </w:r>
    </w:p>
    <w:p w14:paraId="2AFAF085"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t>Z8 -37 (k.ú. Děčín)</w:t>
      </w:r>
      <w:r w:rsidRPr="009617F5">
        <w:rPr>
          <w:rFonts w:ascii="Arial" w:hAnsi="Arial" w:cs="Arial"/>
          <w:b/>
          <w:color w:val="FF0000"/>
        </w:rPr>
        <w:t xml:space="preserve"> </w:t>
      </w:r>
      <w:r w:rsidRPr="009617F5">
        <w:rPr>
          <w:rFonts w:ascii="Arial" w:hAnsi="Arial" w:cs="Arial"/>
          <w:color w:val="FF0000"/>
          <w:szCs w:val="24"/>
        </w:rPr>
        <w:t>přestavbová plocha</w:t>
      </w:r>
      <w:r w:rsidRPr="009617F5">
        <w:rPr>
          <w:rFonts w:ascii="Arial" w:hAnsi="Arial" w:cs="Arial"/>
          <w:b/>
          <w:color w:val="FF0000"/>
        </w:rPr>
        <w:t xml:space="preserve"> </w:t>
      </w:r>
      <w:r w:rsidRPr="009617F5">
        <w:rPr>
          <w:rFonts w:ascii="Arial" w:hAnsi="Arial" w:cs="Arial"/>
          <w:color w:val="FF0000"/>
          <w:szCs w:val="24"/>
        </w:rPr>
        <w:t>s funkcí smíšenou obytnou v</w:t>
      </w:r>
      <w:r w:rsidRPr="009617F5">
        <w:rPr>
          <w:rFonts w:ascii="Arial" w:hAnsi="Arial" w:cs="Arial"/>
          <w:b/>
          <w:color w:val="FF0000"/>
        </w:rPr>
        <w:t xml:space="preserve"> </w:t>
      </w:r>
      <w:r w:rsidRPr="009617F5">
        <w:rPr>
          <w:rFonts w:ascii="Arial" w:hAnsi="Arial" w:cs="Arial"/>
          <w:color w:val="FF0000"/>
        </w:rPr>
        <w:t>zastavěném území  Jedná se o změnu funkčního využití stávajícího areálu.</w:t>
      </w:r>
    </w:p>
    <w:p w14:paraId="77E9F4A1"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t>8Z -43 (k.ú. Horní Oldřichov)</w:t>
      </w:r>
      <w:r w:rsidRPr="009617F5">
        <w:rPr>
          <w:rFonts w:ascii="Arial" w:hAnsi="Arial" w:cs="Arial"/>
          <w:b/>
          <w:color w:val="FF0000"/>
        </w:rPr>
        <w:t xml:space="preserve"> </w:t>
      </w:r>
      <w:r w:rsidRPr="009617F5">
        <w:rPr>
          <w:rFonts w:ascii="Arial" w:hAnsi="Arial" w:cs="Arial"/>
          <w:color w:val="FF0000"/>
          <w:szCs w:val="24"/>
        </w:rPr>
        <w:t>zastavitelná p</w:t>
      </w:r>
      <w:r w:rsidRPr="009617F5">
        <w:rPr>
          <w:rFonts w:ascii="Arial" w:hAnsi="Arial" w:cs="Arial"/>
          <w:color w:val="FF0000"/>
        </w:rPr>
        <w:t xml:space="preserve">locha bydlení navazuje na zastavěné území a umožňuje výstavbu 1 RD v lokalitě, kde je o kvalitní bydlení stále větší zájem. Je navržena na  ZPF se IV a V. třídou ochrany (trvalý travní porost). </w:t>
      </w:r>
    </w:p>
    <w:p w14:paraId="655ACE48"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t>8Z -45 (k.ú. Děčín)</w:t>
      </w:r>
      <w:r w:rsidRPr="009617F5">
        <w:rPr>
          <w:rFonts w:ascii="Arial" w:hAnsi="Arial" w:cs="Arial"/>
          <w:b/>
          <w:color w:val="FF0000"/>
        </w:rPr>
        <w:t xml:space="preserve"> </w:t>
      </w:r>
      <w:r w:rsidRPr="009617F5">
        <w:rPr>
          <w:rFonts w:ascii="Arial" w:hAnsi="Arial" w:cs="Arial"/>
          <w:color w:val="FF0000"/>
        </w:rPr>
        <w:t>přestavbová plocha se nachází na ZPF II. bonitní tř.  Plocha leží v oblasti přirozené akumulace vod a ve IV. zóně CHKO LP . Změna funkce na bydlení byla vyvolána potřebou změny zahradní chatky na objekt k trvalému pobytu a je limitována hlukovými poměry od sousedící komunikace.</w:t>
      </w:r>
    </w:p>
    <w:p w14:paraId="67A87B7E"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t>8Z -46 (k.ú. Chrochvice)</w:t>
      </w:r>
      <w:r w:rsidRPr="009617F5">
        <w:rPr>
          <w:rFonts w:ascii="Arial" w:hAnsi="Arial" w:cs="Arial"/>
          <w:b/>
          <w:color w:val="FF0000"/>
        </w:rPr>
        <w:t xml:space="preserve"> </w:t>
      </w:r>
      <w:r w:rsidRPr="009617F5">
        <w:rPr>
          <w:rFonts w:ascii="Arial" w:hAnsi="Arial" w:cs="Arial"/>
          <w:color w:val="FF0000"/>
          <w:szCs w:val="24"/>
        </w:rPr>
        <w:t xml:space="preserve">přestavbová </w:t>
      </w:r>
      <w:r w:rsidRPr="009617F5">
        <w:rPr>
          <w:rFonts w:ascii="Arial" w:hAnsi="Arial" w:cs="Arial"/>
          <w:color w:val="FF0000"/>
        </w:rPr>
        <w:t>plocha leží v zastavěném území. Navrhuje se výstavba 1RD jde o změnu funkčního využití pro bydlení</w:t>
      </w:r>
    </w:p>
    <w:p w14:paraId="45967AB9"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t>8Z -47 (k.ú. Křešice u Děčína)</w:t>
      </w:r>
      <w:r w:rsidRPr="009617F5">
        <w:rPr>
          <w:rFonts w:ascii="Arial" w:hAnsi="Arial" w:cs="Arial"/>
          <w:b/>
          <w:color w:val="FF0000"/>
        </w:rPr>
        <w:t xml:space="preserve"> </w:t>
      </w:r>
      <w:r w:rsidRPr="009617F5">
        <w:rPr>
          <w:rFonts w:ascii="Arial" w:hAnsi="Arial" w:cs="Arial"/>
          <w:color w:val="FF0000"/>
          <w:szCs w:val="24"/>
        </w:rPr>
        <w:t>zastavitelná plocha l</w:t>
      </w:r>
      <w:r w:rsidRPr="009617F5">
        <w:rPr>
          <w:rFonts w:ascii="Arial" w:hAnsi="Arial" w:cs="Arial"/>
          <w:color w:val="FF0000"/>
        </w:rPr>
        <w:t xml:space="preserve">eží mimo zastavěné území na které ale navazuje. Umožňuje další rozvoj kvalitního bydlení v této lokalitě. Je navržena na ZPF.s třídou ochrany IV. (trvalý travní porost). Původní rozsah po veřejném projednání za souhlasu vlastníka zmenšen  </w:t>
      </w:r>
    </w:p>
    <w:p w14:paraId="38EEDEE7"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rPr>
      </w:pPr>
      <w:r w:rsidRPr="009617F5">
        <w:rPr>
          <w:rFonts w:ascii="Arial" w:hAnsi="Arial" w:cs="Arial"/>
          <w:b/>
          <w:color w:val="FF0000"/>
          <w:szCs w:val="24"/>
        </w:rPr>
        <w:t>8Z -48, 49 (k.ú. Horní Oldřichov)</w:t>
      </w:r>
      <w:r w:rsidRPr="009617F5">
        <w:rPr>
          <w:rFonts w:ascii="Arial" w:hAnsi="Arial" w:cs="Arial"/>
          <w:b/>
          <w:color w:val="FF0000"/>
        </w:rPr>
        <w:t xml:space="preserve"> </w:t>
      </w:r>
      <w:r w:rsidRPr="009617F5">
        <w:rPr>
          <w:rFonts w:ascii="Arial" w:hAnsi="Arial" w:cs="Arial"/>
          <w:color w:val="FF0000"/>
          <w:szCs w:val="24"/>
        </w:rPr>
        <w:t>Zastavitelné</w:t>
      </w:r>
      <w:r w:rsidRPr="009617F5">
        <w:rPr>
          <w:rFonts w:ascii="Arial" w:hAnsi="Arial" w:cs="Arial"/>
          <w:color w:val="FF0000"/>
        </w:rPr>
        <w:t xml:space="preserve"> plochy bydlení (1 RD na ploše) navazují na zastavěné území. Důvodem pro jejich navržení je potřeba rozšíření stávajícího zastavěného území o pozemky zahrad, u kterých chtějí jejich vlastníci změnit funkci rekreační na funkci obytnou.   Jsou navrženy na ZPF s třídou ochrany V. (trvalý travní porost, zahrada). </w:t>
      </w:r>
    </w:p>
    <w:p w14:paraId="3EEA19A3"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szCs w:val="24"/>
        </w:rPr>
      </w:pPr>
      <w:r w:rsidRPr="009617F5">
        <w:rPr>
          <w:rFonts w:ascii="Arial" w:hAnsi="Arial" w:cs="Arial"/>
          <w:b/>
          <w:color w:val="FF0000"/>
          <w:szCs w:val="24"/>
        </w:rPr>
        <w:t xml:space="preserve">8Z -52 (k.ú. Vilsnice) </w:t>
      </w:r>
      <w:r w:rsidRPr="009617F5">
        <w:rPr>
          <w:rFonts w:ascii="Arial" w:hAnsi="Arial" w:cs="Arial"/>
          <w:color w:val="FF0000"/>
          <w:szCs w:val="24"/>
        </w:rPr>
        <w:t xml:space="preserve">zastavitelná plocha bydlení leží mimo zastavěné území, na které navazuje. Navazuje rovněž na již dříve projednanou návrhovou plochu. Důvodem pro její </w:t>
      </w:r>
      <w:r w:rsidRPr="009617F5">
        <w:rPr>
          <w:rFonts w:ascii="Arial" w:hAnsi="Arial" w:cs="Arial"/>
          <w:color w:val="FF0000"/>
          <w:szCs w:val="24"/>
        </w:rPr>
        <w:lastRenderedPageBreak/>
        <w:t xml:space="preserve">navržení je potřeba dalšího rozvoje kvalitního bydlené v této lokalitě. Je navržena na ZPF s třídou ochrany IV (trvalý travní porost), do kterého byly v minulosti vloženy investice do půdy. </w:t>
      </w:r>
    </w:p>
    <w:p w14:paraId="35E65443" w14:textId="77777777" w:rsidR="009617F5" w:rsidRPr="009617F5" w:rsidRDefault="009617F5" w:rsidP="009617F5">
      <w:pPr>
        <w:pStyle w:val="Odstavecseseznamem"/>
        <w:numPr>
          <w:ilvl w:val="0"/>
          <w:numId w:val="107"/>
        </w:numPr>
        <w:suppressAutoHyphens/>
        <w:spacing w:after="200" w:line="276" w:lineRule="auto"/>
        <w:ind w:left="426"/>
        <w:jc w:val="both"/>
        <w:rPr>
          <w:rFonts w:ascii="Arial" w:hAnsi="Arial" w:cs="Arial"/>
          <w:color w:val="FF0000"/>
          <w:szCs w:val="24"/>
        </w:rPr>
      </w:pPr>
      <w:r w:rsidRPr="009617F5">
        <w:rPr>
          <w:rFonts w:ascii="Arial" w:hAnsi="Arial" w:cs="Arial"/>
          <w:b/>
          <w:color w:val="FF0000"/>
          <w:szCs w:val="24"/>
        </w:rPr>
        <w:t>8Z -55</w:t>
      </w:r>
      <w:r w:rsidRPr="009617F5">
        <w:rPr>
          <w:rFonts w:ascii="Arial" w:hAnsi="Arial" w:cs="Arial"/>
          <w:color w:val="FF0000"/>
          <w:szCs w:val="24"/>
        </w:rPr>
        <w:t xml:space="preserve"> </w:t>
      </w:r>
      <w:r w:rsidRPr="009617F5">
        <w:rPr>
          <w:rFonts w:ascii="Arial" w:hAnsi="Arial" w:cs="Arial"/>
          <w:b/>
          <w:color w:val="FF0000"/>
          <w:szCs w:val="24"/>
        </w:rPr>
        <w:t>(k.ú.</w:t>
      </w:r>
      <w:r w:rsidRPr="009617F5">
        <w:rPr>
          <w:rFonts w:ascii="Arial" w:hAnsi="Arial" w:cs="Arial"/>
          <w:color w:val="FF0000"/>
          <w:szCs w:val="24"/>
        </w:rPr>
        <w:t xml:space="preserve"> </w:t>
      </w:r>
      <w:r w:rsidRPr="009617F5">
        <w:rPr>
          <w:rFonts w:ascii="Arial" w:hAnsi="Arial" w:cs="Arial"/>
          <w:b/>
          <w:color w:val="FF0000"/>
          <w:szCs w:val="24"/>
        </w:rPr>
        <w:t xml:space="preserve">Boletice nad Labem). </w:t>
      </w:r>
      <w:r w:rsidRPr="009617F5">
        <w:rPr>
          <w:rFonts w:ascii="Arial" w:hAnsi="Arial" w:cs="Arial"/>
          <w:color w:val="FF0000"/>
          <w:szCs w:val="24"/>
        </w:rPr>
        <w:t xml:space="preserve">Zastavitelná plocha bydlení zmenšena pro 1 RD navazuje již dříve projednanou zastavitelnou plochu. Důvodem pro její návrh je další rozvoj kvalitního bydlení v této lokalitě. Je navržena na ZPF s třídou ochrany IV. a V.(ovocný sad). </w:t>
      </w:r>
    </w:p>
    <w:p w14:paraId="603B6435" w14:textId="77777777" w:rsidR="009617F5" w:rsidRPr="009617F5" w:rsidRDefault="009617F5" w:rsidP="009617F5">
      <w:pPr>
        <w:ind w:left="426"/>
        <w:rPr>
          <w:rFonts w:ascii="Arial" w:hAnsi="Arial" w:cs="Arial"/>
          <w:color w:val="FF0000"/>
          <w:sz w:val="22"/>
        </w:rPr>
      </w:pPr>
      <w:r w:rsidRPr="009617F5">
        <w:rPr>
          <w:rFonts w:ascii="Arial" w:hAnsi="Arial" w:cs="Arial"/>
          <w:color w:val="FF0000"/>
          <w:sz w:val="22"/>
        </w:rPr>
        <w:t>Plochy 8Z -2, -3, -11, na základě požadavku orgánu ochrany ZPF byly částečně rozšířeny o neobhospodařovatelné pozemky.</w:t>
      </w:r>
    </w:p>
    <w:p w14:paraId="6180253C" w14:textId="77777777" w:rsidR="009617F5" w:rsidRPr="009617F5" w:rsidRDefault="009617F5" w:rsidP="009617F5">
      <w:pPr>
        <w:pStyle w:val="Nadpis3"/>
        <w:rPr>
          <w:rFonts w:ascii="Arial" w:hAnsi="Arial" w:cs="Arial"/>
          <w:color w:val="FF0000"/>
        </w:rPr>
      </w:pPr>
      <w:r w:rsidRPr="009617F5">
        <w:rPr>
          <w:rFonts w:ascii="Arial" w:hAnsi="Arial" w:cs="Arial"/>
          <w:color w:val="FF0000"/>
        </w:rPr>
        <w:t xml:space="preserve">     Řešené území 8 změny ÚP M je navrženo v těchto katastrálních územích</w:t>
      </w:r>
    </w:p>
    <w:tbl>
      <w:tblPr>
        <w:tblW w:w="9445" w:type="dxa"/>
        <w:jc w:val="center"/>
        <w:tblBorders>
          <w:top w:val="single" w:sz="36" w:space="0" w:color="FF0000"/>
          <w:left w:val="single" w:sz="36" w:space="0" w:color="FF0000"/>
          <w:bottom w:val="single" w:sz="36" w:space="0" w:color="FF0000"/>
          <w:right w:val="single" w:sz="36" w:space="0" w:color="FF0000"/>
          <w:insideH w:val="single" w:sz="4" w:space="0" w:color="000000"/>
          <w:insideV w:val="single" w:sz="4" w:space="0" w:color="000000"/>
        </w:tblBorders>
        <w:tblLook w:val="00A0" w:firstRow="1" w:lastRow="0" w:firstColumn="1" w:lastColumn="0" w:noHBand="0" w:noVBand="0"/>
      </w:tblPr>
      <w:tblGrid>
        <w:gridCol w:w="874"/>
        <w:gridCol w:w="2692"/>
        <w:gridCol w:w="1630"/>
        <w:gridCol w:w="1614"/>
        <w:gridCol w:w="817"/>
        <w:gridCol w:w="1818"/>
      </w:tblGrid>
      <w:tr w:rsidR="009617F5" w:rsidRPr="009617F5" w14:paraId="58A92679" w14:textId="77777777" w:rsidTr="00286F7D">
        <w:trPr>
          <w:trHeight w:val="255"/>
          <w:tblHeader/>
          <w:jc w:val="center"/>
        </w:trPr>
        <w:tc>
          <w:tcPr>
            <w:tcW w:w="886" w:type="dxa"/>
            <w:shd w:val="clear" w:color="auto" w:fill="auto"/>
            <w:vAlign w:val="center"/>
          </w:tcPr>
          <w:p w14:paraId="0C2162CA" w14:textId="77777777" w:rsidR="009617F5" w:rsidRPr="009617F5" w:rsidRDefault="009617F5" w:rsidP="00286F7D">
            <w:pPr>
              <w:overflowPunct w:val="0"/>
              <w:autoSpaceDE w:val="0"/>
              <w:autoSpaceDN w:val="0"/>
              <w:adjustRightInd w:val="0"/>
              <w:textAlignment w:val="baseline"/>
              <w:rPr>
                <w:rFonts w:ascii="Arial" w:hAnsi="Arial" w:cs="Arial"/>
                <w:b/>
                <w:sz w:val="18"/>
                <w:szCs w:val="20"/>
              </w:rPr>
            </w:pPr>
            <w:r w:rsidRPr="009617F5">
              <w:rPr>
                <w:rFonts w:ascii="Arial" w:hAnsi="Arial" w:cs="Arial"/>
                <w:b/>
                <w:sz w:val="18"/>
                <w:szCs w:val="20"/>
              </w:rPr>
              <w:t>číslo plochy</w:t>
            </w:r>
          </w:p>
        </w:tc>
        <w:tc>
          <w:tcPr>
            <w:tcW w:w="2692" w:type="dxa"/>
            <w:shd w:val="clear" w:color="auto" w:fill="auto"/>
            <w:noWrap/>
            <w:vAlign w:val="center"/>
          </w:tcPr>
          <w:p w14:paraId="77D799C0" w14:textId="77777777" w:rsidR="009617F5" w:rsidRPr="009617F5" w:rsidRDefault="009617F5" w:rsidP="00286F7D">
            <w:pPr>
              <w:overflowPunct w:val="0"/>
              <w:autoSpaceDE w:val="0"/>
              <w:autoSpaceDN w:val="0"/>
              <w:adjustRightInd w:val="0"/>
              <w:textAlignment w:val="baseline"/>
              <w:rPr>
                <w:rFonts w:ascii="Arial" w:hAnsi="Arial" w:cs="Arial"/>
                <w:b/>
                <w:sz w:val="18"/>
                <w:szCs w:val="20"/>
              </w:rPr>
            </w:pPr>
            <w:r w:rsidRPr="009617F5">
              <w:rPr>
                <w:rFonts w:ascii="Arial" w:hAnsi="Arial" w:cs="Arial"/>
                <w:b/>
                <w:sz w:val="18"/>
                <w:szCs w:val="20"/>
              </w:rPr>
              <w:t>navrhovaná funkce</w:t>
            </w:r>
          </w:p>
        </w:tc>
        <w:tc>
          <w:tcPr>
            <w:tcW w:w="1630" w:type="dxa"/>
            <w:shd w:val="clear" w:color="auto" w:fill="auto"/>
            <w:noWrap/>
            <w:vAlign w:val="center"/>
          </w:tcPr>
          <w:p w14:paraId="253247B3" w14:textId="77777777" w:rsidR="009617F5" w:rsidRPr="009617F5" w:rsidRDefault="009617F5" w:rsidP="00286F7D">
            <w:pPr>
              <w:overflowPunct w:val="0"/>
              <w:autoSpaceDE w:val="0"/>
              <w:autoSpaceDN w:val="0"/>
              <w:adjustRightInd w:val="0"/>
              <w:textAlignment w:val="baseline"/>
              <w:rPr>
                <w:rFonts w:ascii="Arial" w:hAnsi="Arial" w:cs="Arial"/>
                <w:b/>
                <w:sz w:val="18"/>
                <w:szCs w:val="20"/>
              </w:rPr>
            </w:pPr>
            <w:r w:rsidRPr="009617F5">
              <w:rPr>
                <w:rFonts w:ascii="Arial" w:hAnsi="Arial" w:cs="Arial"/>
                <w:b/>
                <w:sz w:val="18"/>
                <w:szCs w:val="20"/>
              </w:rPr>
              <w:t>katastr</w:t>
            </w:r>
          </w:p>
        </w:tc>
        <w:tc>
          <w:tcPr>
            <w:tcW w:w="1723" w:type="dxa"/>
            <w:shd w:val="clear" w:color="auto" w:fill="auto"/>
            <w:vAlign w:val="center"/>
          </w:tcPr>
          <w:p w14:paraId="14F555B4" w14:textId="77777777" w:rsidR="009617F5" w:rsidRPr="009617F5" w:rsidRDefault="009617F5" w:rsidP="00286F7D">
            <w:pPr>
              <w:rPr>
                <w:rFonts w:ascii="Arial" w:hAnsi="Arial" w:cs="Arial"/>
                <w:b/>
                <w:sz w:val="18"/>
                <w:szCs w:val="20"/>
              </w:rPr>
            </w:pPr>
            <w:r w:rsidRPr="009617F5">
              <w:rPr>
                <w:rFonts w:ascii="Arial" w:hAnsi="Arial" w:cs="Arial"/>
                <w:b/>
                <w:sz w:val="18"/>
                <w:szCs w:val="20"/>
              </w:rPr>
              <w:t>Parcela č.</w:t>
            </w:r>
          </w:p>
        </w:tc>
        <w:tc>
          <w:tcPr>
            <w:tcW w:w="696" w:type="dxa"/>
            <w:shd w:val="clear" w:color="auto" w:fill="auto"/>
            <w:noWrap/>
            <w:vAlign w:val="center"/>
          </w:tcPr>
          <w:p w14:paraId="22E58C4C" w14:textId="77777777" w:rsidR="009617F5" w:rsidRPr="009617F5" w:rsidRDefault="009617F5" w:rsidP="00286F7D">
            <w:pPr>
              <w:overflowPunct w:val="0"/>
              <w:autoSpaceDE w:val="0"/>
              <w:autoSpaceDN w:val="0"/>
              <w:adjustRightInd w:val="0"/>
              <w:textAlignment w:val="baseline"/>
              <w:rPr>
                <w:rFonts w:ascii="Arial" w:hAnsi="Arial" w:cs="Arial"/>
                <w:b/>
                <w:sz w:val="18"/>
                <w:szCs w:val="20"/>
                <w:vertAlign w:val="superscript"/>
              </w:rPr>
            </w:pPr>
            <w:r w:rsidRPr="009617F5">
              <w:rPr>
                <w:rFonts w:ascii="Arial" w:hAnsi="Arial" w:cs="Arial"/>
                <w:b/>
                <w:sz w:val="18"/>
                <w:szCs w:val="20"/>
              </w:rPr>
              <w:t>plocha v m</w:t>
            </w:r>
            <w:r w:rsidRPr="009617F5">
              <w:rPr>
                <w:rFonts w:ascii="Arial" w:hAnsi="Arial" w:cs="Arial"/>
                <w:b/>
                <w:sz w:val="18"/>
                <w:szCs w:val="20"/>
                <w:vertAlign w:val="superscript"/>
              </w:rPr>
              <w:t>2</w:t>
            </w:r>
          </w:p>
        </w:tc>
        <w:tc>
          <w:tcPr>
            <w:tcW w:w="1818" w:type="dxa"/>
            <w:shd w:val="clear" w:color="auto" w:fill="auto"/>
            <w:noWrap/>
            <w:vAlign w:val="center"/>
          </w:tcPr>
          <w:p w14:paraId="5B43F209" w14:textId="77777777" w:rsidR="009617F5" w:rsidRPr="009617F5" w:rsidRDefault="009617F5" w:rsidP="00286F7D">
            <w:pPr>
              <w:overflowPunct w:val="0"/>
              <w:autoSpaceDE w:val="0"/>
              <w:autoSpaceDN w:val="0"/>
              <w:adjustRightInd w:val="0"/>
              <w:textAlignment w:val="baseline"/>
              <w:rPr>
                <w:rFonts w:ascii="Arial" w:hAnsi="Arial" w:cs="Arial"/>
                <w:b/>
                <w:sz w:val="18"/>
                <w:szCs w:val="20"/>
              </w:rPr>
            </w:pPr>
            <w:r w:rsidRPr="009617F5">
              <w:rPr>
                <w:rFonts w:ascii="Arial" w:hAnsi="Arial" w:cs="Arial"/>
                <w:b/>
                <w:sz w:val="18"/>
                <w:szCs w:val="20"/>
              </w:rPr>
              <w:t>základní členění</w:t>
            </w:r>
          </w:p>
        </w:tc>
      </w:tr>
      <w:tr w:rsidR="009617F5" w:rsidRPr="009617F5" w14:paraId="0DB452D5" w14:textId="77777777" w:rsidTr="00286F7D">
        <w:trPr>
          <w:trHeight w:val="255"/>
          <w:jc w:val="center"/>
        </w:trPr>
        <w:tc>
          <w:tcPr>
            <w:tcW w:w="886" w:type="dxa"/>
            <w:shd w:val="clear" w:color="auto" w:fill="auto"/>
            <w:vAlign w:val="center"/>
          </w:tcPr>
          <w:p w14:paraId="6C35DCAD"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w:t>
            </w:r>
          </w:p>
        </w:tc>
        <w:tc>
          <w:tcPr>
            <w:tcW w:w="2692" w:type="dxa"/>
            <w:shd w:val="clear" w:color="auto" w:fill="auto"/>
            <w:noWrap/>
            <w:vAlign w:val="center"/>
          </w:tcPr>
          <w:p w14:paraId="695FC830"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1A8FD6A5" w14:textId="77777777" w:rsidR="009617F5" w:rsidRPr="009617F5" w:rsidRDefault="009617F5" w:rsidP="00286F7D">
            <w:pPr>
              <w:rPr>
                <w:rFonts w:ascii="Arial" w:hAnsi="Arial" w:cs="Arial"/>
                <w:sz w:val="18"/>
                <w:szCs w:val="20"/>
              </w:rPr>
            </w:pPr>
            <w:r w:rsidRPr="009617F5">
              <w:rPr>
                <w:rFonts w:ascii="Arial" w:hAnsi="Arial" w:cs="Arial"/>
                <w:sz w:val="18"/>
                <w:szCs w:val="20"/>
              </w:rPr>
              <w:t>Březiny u Děčína</w:t>
            </w:r>
          </w:p>
        </w:tc>
        <w:tc>
          <w:tcPr>
            <w:tcW w:w="1723" w:type="dxa"/>
            <w:shd w:val="clear" w:color="auto" w:fill="auto"/>
            <w:vAlign w:val="center"/>
          </w:tcPr>
          <w:p w14:paraId="1B2A3F6D" w14:textId="77777777" w:rsidR="009617F5" w:rsidRPr="009617F5" w:rsidRDefault="009617F5" w:rsidP="00286F7D">
            <w:pPr>
              <w:rPr>
                <w:rFonts w:ascii="Arial" w:hAnsi="Arial" w:cs="Arial"/>
                <w:sz w:val="18"/>
                <w:szCs w:val="20"/>
              </w:rPr>
            </w:pPr>
            <w:r w:rsidRPr="009617F5">
              <w:rPr>
                <w:rFonts w:ascii="Arial" w:hAnsi="Arial" w:cs="Arial"/>
                <w:sz w:val="18"/>
                <w:szCs w:val="20"/>
              </w:rPr>
              <w:t>455</w:t>
            </w:r>
          </w:p>
        </w:tc>
        <w:tc>
          <w:tcPr>
            <w:tcW w:w="696" w:type="dxa"/>
            <w:shd w:val="clear" w:color="auto" w:fill="auto"/>
            <w:noWrap/>
            <w:vAlign w:val="center"/>
          </w:tcPr>
          <w:p w14:paraId="3ECFF703"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215</w:t>
            </w:r>
          </w:p>
        </w:tc>
        <w:tc>
          <w:tcPr>
            <w:tcW w:w="1818" w:type="dxa"/>
            <w:shd w:val="clear" w:color="auto" w:fill="auto"/>
            <w:noWrap/>
            <w:vAlign w:val="center"/>
          </w:tcPr>
          <w:p w14:paraId="4B4413B1"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přestavbová plocha</w:t>
            </w:r>
          </w:p>
        </w:tc>
      </w:tr>
      <w:tr w:rsidR="009617F5" w:rsidRPr="009617F5" w14:paraId="2F3B7F5D" w14:textId="77777777" w:rsidTr="00286F7D">
        <w:trPr>
          <w:trHeight w:val="255"/>
          <w:jc w:val="center"/>
        </w:trPr>
        <w:tc>
          <w:tcPr>
            <w:tcW w:w="886" w:type="dxa"/>
            <w:shd w:val="clear" w:color="auto" w:fill="auto"/>
            <w:vAlign w:val="center"/>
          </w:tcPr>
          <w:p w14:paraId="59DA6D93" w14:textId="77777777" w:rsidR="009617F5" w:rsidRPr="009617F5" w:rsidRDefault="009617F5" w:rsidP="00286F7D">
            <w:pPr>
              <w:jc w:val="center"/>
              <w:rPr>
                <w:rFonts w:ascii="Arial" w:hAnsi="Arial" w:cs="Arial"/>
                <w:b/>
                <w:sz w:val="18"/>
                <w:szCs w:val="20"/>
                <w:vertAlign w:val="superscript"/>
              </w:rPr>
            </w:pPr>
            <w:r w:rsidRPr="009617F5">
              <w:rPr>
                <w:rFonts w:ascii="Arial" w:hAnsi="Arial" w:cs="Arial"/>
                <w:b/>
                <w:sz w:val="18"/>
                <w:szCs w:val="20"/>
              </w:rPr>
              <w:t>8Z-2</w:t>
            </w:r>
          </w:p>
        </w:tc>
        <w:tc>
          <w:tcPr>
            <w:tcW w:w="2692" w:type="dxa"/>
            <w:shd w:val="clear" w:color="auto" w:fill="auto"/>
            <w:noWrap/>
            <w:vAlign w:val="center"/>
          </w:tcPr>
          <w:p w14:paraId="2BAA8316"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47739EEF" w14:textId="77777777" w:rsidR="009617F5" w:rsidRPr="009617F5" w:rsidRDefault="009617F5" w:rsidP="00286F7D">
            <w:pPr>
              <w:rPr>
                <w:rFonts w:ascii="Arial" w:hAnsi="Arial" w:cs="Arial"/>
                <w:sz w:val="18"/>
                <w:szCs w:val="20"/>
              </w:rPr>
            </w:pPr>
            <w:r w:rsidRPr="009617F5">
              <w:rPr>
                <w:rFonts w:ascii="Arial" w:hAnsi="Arial" w:cs="Arial"/>
                <w:sz w:val="18"/>
                <w:szCs w:val="20"/>
              </w:rPr>
              <w:t>Vilsnice</w:t>
            </w:r>
          </w:p>
        </w:tc>
        <w:tc>
          <w:tcPr>
            <w:tcW w:w="1723" w:type="dxa"/>
            <w:shd w:val="clear" w:color="auto" w:fill="auto"/>
            <w:vAlign w:val="center"/>
          </w:tcPr>
          <w:p w14:paraId="39A51CA7" w14:textId="77777777" w:rsidR="009617F5" w:rsidRPr="009617F5" w:rsidRDefault="009617F5" w:rsidP="00286F7D">
            <w:pPr>
              <w:rPr>
                <w:rFonts w:ascii="Arial" w:hAnsi="Arial" w:cs="Arial"/>
                <w:sz w:val="18"/>
                <w:szCs w:val="20"/>
              </w:rPr>
            </w:pPr>
            <w:r w:rsidRPr="009617F5">
              <w:rPr>
                <w:rFonts w:ascii="Arial" w:hAnsi="Arial" w:cs="Arial"/>
                <w:sz w:val="18"/>
                <w:szCs w:val="20"/>
              </w:rPr>
              <w:t>125, 94, 129</w:t>
            </w:r>
          </w:p>
        </w:tc>
        <w:tc>
          <w:tcPr>
            <w:tcW w:w="696" w:type="dxa"/>
            <w:shd w:val="clear" w:color="auto" w:fill="auto"/>
            <w:noWrap/>
            <w:vAlign w:val="center"/>
          </w:tcPr>
          <w:p w14:paraId="0E4906BE"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szCs w:val="20"/>
              </w:rPr>
              <w:t>22267</w:t>
            </w:r>
          </w:p>
        </w:tc>
        <w:tc>
          <w:tcPr>
            <w:tcW w:w="1818" w:type="dxa"/>
            <w:shd w:val="clear" w:color="auto" w:fill="auto"/>
            <w:noWrap/>
            <w:vAlign w:val="center"/>
          </w:tcPr>
          <w:p w14:paraId="229452DC"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1B32FF6B" w14:textId="77777777" w:rsidTr="00286F7D">
        <w:trPr>
          <w:trHeight w:val="255"/>
          <w:jc w:val="center"/>
        </w:trPr>
        <w:tc>
          <w:tcPr>
            <w:tcW w:w="886" w:type="dxa"/>
            <w:shd w:val="clear" w:color="auto" w:fill="auto"/>
            <w:vAlign w:val="center"/>
          </w:tcPr>
          <w:p w14:paraId="1891EA87"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w:t>
            </w:r>
          </w:p>
        </w:tc>
        <w:tc>
          <w:tcPr>
            <w:tcW w:w="2692" w:type="dxa"/>
            <w:shd w:val="clear" w:color="auto" w:fill="auto"/>
            <w:noWrap/>
            <w:vAlign w:val="center"/>
          </w:tcPr>
          <w:p w14:paraId="30DF0B6B"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77C5E18F" w14:textId="77777777" w:rsidR="009617F5" w:rsidRPr="009617F5" w:rsidRDefault="009617F5" w:rsidP="00286F7D">
            <w:pPr>
              <w:rPr>
                <w:rFonts w:ascii="Arial" w:hAnsi="Arial" w:cs="Arial"/>
                <w:sz w:val="18"/>
                <w:szCs w:val="20"/>
              </w:rPr>
            </w:pPr>
            <w:r w:rsidRPr="009617F5">
              <w:rPr>
                <w:rFonts w:ascii="Arial" w:hAnsi="Arial" w:cs="Arial"/>
                <w:sz w:val="18"/>
                <w:szCs w:val="20"/>
              </w:rPr>
              <w:t>Vilsnice</w:t>
            </w:r>
          </w:p>
        </w:tc>
        <w:tc>
          <w:tcPr>
            <w:tcW w:w="1723" w:type="dxa"/>
            <w:shd w:val="clear" w:color="auto" w:fill="auto"/>
            <w:vAlign w:val="center"/>
          </w:tcPr>
          <w:p w14:paraId="7D6B150B" w14:textId="77777777" w:rsidR="009617F5" w:rsidRPr="009617F5" w:rsidRDefault="009617F5" w:rsidP="00286F7D">
            <w:pPr>
              <w:rPr>
                <w:rFonts w:ascii="Arial" w:hAnsi="Arial" w:cs="Arial"/>
                <w:sz w:val="18"/>
                <w:szCs w:val="20"/>
              </w:rPr>
            </w:pPr>
            <w:r w:rsidRPr="009617F5">
              <w:rPr>
                <w:rFonts w:ascii="Arial" w:hAnsi="Arial" w:cs="Arial"/>
                <w:sz w:val="18"/>
                <w:szCs w:val="20"/>
              </w:rPr>
              <w:t>199/1, 173</w:t>
            </w:r>
          </w:p>
        </w:tc>
        <w:tc>
          <w:tcPr>
            <w:tcW w:w="696" w:type="dxa"/>
            <w:shd w:val="clear" w:color="auto" w:fill="auto"/>
            <w:noWrap/>
            <w:vAlign w:val="center"/>
          </w:tcPr>
          <w:p w14:paraId="10134EFF"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10011</w:t>
            </w:r>
          </w:p>
        </w:tc>
        <w:tc>
          <w:tcPr>
            <w:tcW w:w="1818" w:type="dxa"/>
            <w:shd w:val="clear" w:color="auto" w:fill="auto"/>
            <w:noWrap/>
            <w:vAlign w:val="center"/>
          </w:tcPr>
          <w:p w14:paraId="4FCA33D3"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zastavitelná plocha </w:t>
            </w:r>
          </w:p>
        </w:tc>
      </w:tr>
      <w:tr w:rsidR="009617F5" w:rsidRPr="009617F5" w14:paraId="7733A805" w14:textId="77777777" w:rsidTr="00286F7D">
        <w:trPr>
          <w:trHeight w:val="255"/>
          <w:jc w:val="center"/>
        </w:trPr>
        <w:tc>
          <w:tcPr>
            <w:tcW w:w="886" w:type="dxa"/>
            <w:shd w:val="clear" w:color="auto" w:fill="auto"/>
            <w:vAlign w:val="center"/>
          </w:tcPr>
          <w:p w14:paraId="0E7D7694"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8Z-6</w:t>
            </w:r>
          </w:p>
        </w:tc>
        <w:tc>
          <w:tcPr>
            <w:tcW w:w="2692" w:type="dxa"/>
            <w:shd w:val="clear" w:color="auto" w:fill="auto"/>
            <w:noWrap/>
            <w:vAlign w:val="center"/>
          </w:tcPr>
          <w:p w14:paraId="7E3AC2E9"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2F5458DC" w14:textId="77777777" w:rsidR="009617F5" w:rsidRPr="009617F5" w:rsidRDefault="009617F5" w:rsidP="00286F7D">
            <w:pPr>
              <w:rPr>
                <w:rFonts w:ascii="Arial" w:hAnsi="Arial" w:cs="Arial"/>
                <w:sz w:val="18"/>
                <w:szCs w:val="20"/>
              </w:rPr>
            </w:pPr>
            <w:r w:rsidRPr="009617F5">
              <w:rPr>
                <w:rFonts w:ascii="Arial" w:hAnsi="Arial" w:cs="Arial"/>
                <w:sz w:val="18"/>
                <w:szCs w:val="20"/>
              </w:rPr>
              <w:t>Horní Oldřichov</w:t>
            </w:r>
          </w:p>
        </w:tc>
        <w:tc>
          <w:tcPr>
            <w:tcW w:w="1723" w:type="dxa"/>
            <w:shd w:val="clear" w:color="auto" w:fill="auto"/>
            <w:vAlign w:val="center"/>
          </w:tcPr>
          <w:p w14:paraId="51E1BF45" w14:textId="77777777" w:rsidR="009617F5" w:rsidRPr="009617F5" w:rsidRDefault="009617F5" w:rsidP="00286F7D">
            <w:pPr>
              <w:rPr>
                <w:rFonts w:ascii="Arial" w:hAnsi="Arial" w:cs="Arial"/>
                <w:sz w:val="18"/>
                <w:szCs w:val="20"/>
              </w:rPr>
            </w:pPr>
            <w:r w:rsidRPr="009617F5">
              <w:rPr>
                <w:rFonts w:ascii="Arial" w:hAnsi="Arial" w:cs="Arial"/>
                <w:sz w:val="18"/>
                <w:szCs w:val="20"/>
              </w:rPr>
              <w:t>899/8</w:t>
            </w:r>
          </w:p>
        </w:tc>
        <w:tc>
          <w:tcPr>
            <w:tcW w:w="696" w:type="dxa"/>
            <w:shd w:val="clear" w:color="auto" w:fill="auto"/>
            <w:noWrap/>
            <w:vAlign w:val="center"/>
          </w:tcPr>
          <w:p w14:paraId="5C73A19E"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1405</w:t>
            </w:r>
          </w:p>
        </w:tc>
        <w:tc>
          <w:tcPr>
            <w:tcW w:w="1818" w:type="dxa"/>
            <w:shd w:val="clear" w:color="auto" w:fill="auto"/>
            <w:noWrap/>
            <w:vAlign w:val="center"/>
          </w:tcPr>
          <w:p w14:paraId="5B0C0549"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4DDCBADD" w14:textId="77777777" w:rsidTr="00286F7D">
        <w:trPr>
          <w:trHeight w:val="255"/>
          <w:jc w:val="center"/>
        </w:trPr>
        <w:tc>
          <w:tcPr>
            <w:tcW w:w="886" w:type="dxa"/>
            <w:shd w:val="clear" w:color="auto" w:fill="auto"/>
            <w:vAlign w:val="center"/>
          </w:tcPr>
          <w:p w14:paraId="13C1B43E"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8Z-7</w:t>
            </w:r>
          </w:p>
        </w:tc>
        <w:tc>
          <w:tcPr>
            <w:tcW w:w="2692" w:type="dxa"/>
            <w:shd w:val="clear" w:color="auto" w:fill="auto"/>
            <w:noWrap/>
            <w:vAlign w:val="center"/>
          </w:tcPr>
          <w:p w14:paraId="092C5BB5"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05C6F68A" w14:textId="77777777" w:rsidR="009617F5" w:rsidRPr="009617F5" w:rsidRDefault="009617F5" w:rsidP="00286F7D">
            <w:pPr>
              <w:rPr>
                <w:rFonts w:ascii="Arial" w:hAnsi="Arial" w:cs="Arial"/>
                <w:sz w:val="18"/>
                <w:szCs w:val="20"/>
              </w:rPr>
            </w:pPr>
            <w:r w:rsidRPr="009617F5">
              <w:rPr>
                <w:rFonts w:ascii="Arial" w:hAnsi="Arial" w:cs="Arial"/>
                <w:sz w:val="18"/>
                <w:szCs w:val="20"/>
              </w:rPr>
              <w:t>Vilsnice</w:t>
            </w:r>
          </w:p>
        </w:tc>
        <w:tc>
          <w:tcPr>
            <w:tcW w:w="1723" w:type="dxa"/>
            <w:shd w:val="clear" w:color="auto" w:fill="auto"/>
            <w:vAlign w:val="center"/>
          </w:tcPr>
          <w:p w14:paraId="3CECC00F" w14:textId="77777777" w:rsidR="009617F5" w:rsidRPr="009617F5" w:rsidRDefault="009617F5" w:rsidP="00286F7D">
            <w:pPr>
              <w:rPr>
                <w:rFonts w:ascii="Arial" w:hAnsi="Arial" w:cs="Arial"/>
                <w:sz w:val="18"/>
                <w:szCs w:val="20"/>
              </w:rPr>
            </w:pPr>
            <w:r w:rsidRPr="009617F5">
              <w:rPr>
                <w:rFonts w:ascii="Arial" w:hAnsi="Arial" w:cs="Arial"/>
                <w:sz w:val="18"/>
                <w:szCs w:val="20"/>
              </w:rPr>
              <w:t>527/8</w:t>
            </w:r>
          </w:p>
        </w:tc>
        <w:tc>
          <w:tcPr>
            <w:tcW w:w="696" w:type="dxa"/>
            <w:shd w:val="clear" w:color="auto" w:fill="auto"/>
            <w:noWrap/>
            <w:vAlign w:val="center"/>
          </w:tcPr>
          <w:p w14:paraId="6190D491"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1340</w:t>
            </w:r>
          </w:p>
        </w:tc>
        <w:tc>
          <w:tcPr>
            <w:tcW w:w="1818" w:type="dxa"/>
            <w:shd w:val="clear" w:color="auto" w:fill="auto"/>
            <w:noWrap/>
            <w:vAlign w:val="center"/>
          </w:tcPr>
          <w:p w14:paraId="0C37A5B5"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4775EBBA" w14:textId="77777777" w:rsidTr="00286F7D">
        <w:trPr>
          <w:trHeight w:val="255"/>
          <w:jc w:val="center"/>
        </w:trPr>
        <w:tc>
          <w:tcPr>
            <w:tcW w:w="886" w:type="dxa"/>
            <w:shd w:val="clear" w:color="auto" w:fill="auto"/>
            <w:vAlign w:val="center"/>
          </w:tcPr>
          <w:p w14:paraId="27F98D46"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8Z-8</w:t>
            </w:r>
          </w:p>
        </w:tc>
        <w:tc>
          <w:tcPr>
            <w:tcW w:w="2692" w:type="dxa"/>
            <w:shd w:val="clear" w:color="auto" w:fill="auto"/>
            <w:noWrap/>
            <w:vAlign w:val="center"/>
          </w:tcPr>
          <w:p w14:paraId="2BAD79DE"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3928FF68" w14:textId="77777777" w:rsidR="009617F5" w:rsidRPr="009617F5" w:rsidRDefault="009617F5" w:rsidP="00286F7D">
            <w:pPr>
              <w:rPr>
                <w:rFonts w:ascii="Arial" w:hAnsi="Arial" w:cs="Arial"/>
                <w:sz w:val="18"/>
                <w:szCs w:val="20"/>
              </w:rPr>
            </w:pPr>
            <w:r w:rsidRPr="009617F5">
              <w:rPr>
                <w:rFonts w:ascii="Arial" w:hAnsi="Arial" w:cs="Arial"/>
                <w:sz w:val="18"/>
                <w:szCs w:val="20"/>
              </w:rPr>
              <w:t>Horní Oldřichov</w:t>
            </w:r>
          </w:p>
        </w:tc>
        <w:tc>
          <w:tcPr>
            <w:tcW w:w="1723" w:type="dxa"/>
            <w:shd w:val="clear" w:color="auto" w:fill="auto"/>
            <w:vAlign w:val="center"/>
          </w:tcPr>
          <w:p w14:paraId="74DB16BD" w14:textId="77777777" w:rsidR="009617F5" w:rsidRPr="009617F5" w:rsidRDefault="009617F5" w:rsidP="00286F7D">
            <w:pPr>
              <w:rPr>
                <w:rFonts w:ascii="Arial" w:hAnsi="Arial" w:cs="Arial"/>
                <w:sz w:val="18"/>
                <w:szCs w:val="20"/>
              </w:rPr>
            </w:pPr>
            <w:r w:rsidRPr="009617F5">
              <w:rPr>
                <w:rFonts w:ascii="Arial" w:hAnsi="Arial" w:cs="Arial"/>
                <w:sz w:val="18"/>
                <w:szCs w:val="20"/>
              </w:rPr>
              <w:t>1365/5</w:t>
            </w:r>
          </w:p>
        </w:tc>
        <w:tc>
          <w:tcPr>
            <w:tcW w:w="696" w:type="dxa"/>
            <w:shd w:val="clear" w:color="auto" w:fill="auto"/>
            <w:noWrap/>
            <w:vAlign w:val="center"/>
          </w:tcPr>
          <w:p w14:paraId="14044853"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1204</w:t>
            </w:r>
          </w:p>
        </w:tc>
        <w:tc>
          <w:tcPr>
            <w:tcW w:w="1818" w:type="dxa"/>
            <w:shd w:val="clear" w:color="auto" w:fill="auto"/>
            <w:noWrap/>
            <w:vAlign w:val="center"/>
          </w:tcPr>
          <w:p w14:paraId="03574EC7"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78F7E02F" w14:textId="77777777" w:rsidTr="00286F7D">
        <w:trPr>
          <w:trHeight w:val="300"/>
          <w:jc w:val="center"/>
        </w:trPr>
        <w:tc>
          <w:tcPr>
            <w:tcW w:w="886" w:type="dxa"/>
            <w:shd w:val="clear" w:color="auto" w:fill="auto"/>
            <w:vAlign w:val="center"/>
          </w:tcPr>
          <w:p w14:paraId="11E12AB2"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8Z-10</w:t>
            </w:r>
          </w:p>
        </w:tc>
        <w:tc>
          <w:tcPr>
            <w:tcW w:w="2692" w:type="dxa"/>
            <w:shd w:val="clear" w:color="auto" w:fill="auto"/>
            <w:noWrap/>
            <w:vAlign w:val="center"/>
          </w:tcPr>
          <w:p w14:paraId="062FA644"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Plochy rekreace</w:t>
            </w:r>
          </w:p>
        </w:tc>
        <w:tc>
          <w:tcPr>
            <w:tcW w:w="1630" w:type="dxa"/>
            <w:shd w:val="clear" w:color="auto" w:fill="auto"/>
            <w:noWrap/>
            <w:vAlign w:val="center"/>
          </w:tcPr>
          <w:p w14:paraId="6D0A29A2" w14:textId="77777777" w:rsidR="009617F5" w:rsidRPr="009617F5" w:rsidRDefault="009617F5" w:rsidP="00286F7D">
            <w:pPr>
              <w:rPr>
                <w:rFonts w:ascii="Arial" w:hAnsi="Arial" w:cs="Arial"/>
                <w:sz w:val="18"/>
                <w:szCs w:val="20"/>
              </w:rPr>
            </w:pPr>
            <w:r w:rsidRPr="009617F5">
              <w:rPr>
                <w:rFonts w:ascii="Arial" w:hAnsi="Arial" w:cs="Arial"/>
                <w:sz w:val="18"/>
                <w:szCs w:val="20"/>
              </w:rPr>
              <w:t>Březiny u Děčína</w:t>
            </w:r>
          </w:p>
        </w:tc>
        <w:tc>
          <w:tcPr>
            <w:tcW w:w="1723" w:type="dxa"/>
            <w:shd w:val="clear" w:color="auto" w:fill="auto"/>
            <w:vAlign w:val="center"/>
          </w:tcPr>
          <w:p w14:paraId="39EC2F20" w14:textId="77777777" w:rsidR="009617F5" w:rsidRPr="009617F5" w:rsidRDefault="009617F5" w:rsidP="00286F7D">
            <w:pPr>
              <w:rPr>
                <w:rFonts w:ascii="Arial" w:hAnsi="Arial" w:cs="Arial"/>
                <w:sz w:val="18"/>
                <w:szCs w:val="20"/>
              </w:rPr>
            </w:pPr>
            <w:r w:rsidRPr="009617F5">
              <w:rPr>
                <w:rFonts w:ascii="Arial" w:hAnsi="Arial" w:cs="Arial"/>
                <w:sz w:val="18"/>
                <w:szCs w:val="20"/>
              </w:rPr>
              <w:t>297/3</w:t>
            </w:r>
          </w:p>
        </w:tc>
        <w:tc>
          <w:tcPr>
            <w:tcW w:w="696" w:type="dxa"/>
            <w:shd w:val="clear" w:color="auto" w:fill="auto"/>
            <w:noWrap/>
            <w:vAlign w:val="center"/>
          </w:tcPr>
          <w:p w14:paraId="34D8C175" w14:textId="77777777" w:rsidR="009617F5" w:rsidRPr="009617F5" w:rsidRDefault="009617F5" w:rsidP="00286F7D">
            <w:pPr>
              <w:overflowPunct w:val="0"/>
              <w:autoSpaceDE w:val="0"/>
              <w:autoSpaceDN w:val="0"/>
              <w:adjustRightInd w:val="0"/>
              <w:jc w:val="right"/>
              <w:textAlignment w:val="baseline"/>
              <w:rPr>
                <w:rFonts w:ascii="Arial" w:hAnsi="Arial" w:cs="Arial"/>
                <w:sz w:val="18"/>
              </w:rPr>
            </w:pPr>
            <w:r w:rsidRPr="009617F5">
              <w:rPr>
                <w:rFonts w:ascii="Arial" w:hAnsi="Arial" w:cs="Arial"/>
                <w:sz w:val="18"/>
              </w:rPr>
              <w:t>2358</w:t>
            </w:r>
          </w:p>
        </w:tc>
        <w:tc>
          <w:tcPr>
            <w:tcW w:w="1818" w:type="dxa"/>
            <w:shd w:val="clear" w:color="auto" w:fill="auto"/>
            <w:noWrap/>
            <w:vAlign w:val="center"/>
          </w:tcPr>
          <w:p w14:paraId="7A826F61"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0156EAE5" w14:textId="77777777" w:rsidTr="00286F7D">
        <w:trPr>
          <w:trHeight w:val="300"/>
          <w:jc w:val="center"/>
        </w:trPr>
        <w:tc>
          <w:tcPr>
            <w:tcW w:w="886" w:type="dxa"/>
            <w:shd w:val="clear" w:color="auto" w:fill="auto"/>
            <w:vAlign w:val="center"/>
          </w:tcPr>
          <w:p w14:paraId="58606655"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8Z-11</w:t>
            </w:r>
          </w:p>
        </w:tc>
        <w:tc>
          <w:tcPr>
            <w:tcW w:w="2692" w:type="dxa"/>
            <w:shd w:val="clear" w:color="auto" w:fill="auto"/>
            <w:noWrap/>
            <w:vAlign w:val="center"/>
          </w:tcPr>
          <w:p w14:paraId="05429D14"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6790C5B4" w14:textId="77777777" w:rsidR="009617F5" w:rsidRPr="009617F5" w:rsidRDefault="009617F5" w:rsidP="00286F7D">
            <w:pPr>
              <w:rPr>
                <w:rFonts w:ascii="Arial" w:hAnsi="Arial" w:cs="Arial"/>
                <w:sz w:val="18"/>
                <w:szCs w:val="20"/>
              </w:rPr>
            </w:pPr>
            <w:r w:rsidRPr="009617F5">
              <w:rPr>
                <w:rFonts w:ascii="Arial" w:hAnsi="Arial" w:cs="Arial"/>
                <w:sz w:val="18"/>
                <w:szCs w:val="20"/>
              </w:rPr>
              <w:t>Podmokly</w:t>
            </w:r>
          </w:p>
        </w:tc>
        <w:tc>
          <w:tcPr>
            <w:tcW w:w="1723" w:type="dxa"/>
            <w:shd w:val="clear" w:color="auto" w:fill="auto"/>
            <w:vAlign w:val="center"/>
          </w:tcPr>
          <w:p w14:paraId="37FD887F" w14:textId="77777777" w:rsidR="009617F5" w:rsidRPr="009617F5" w:rsidRDefault="009617F5" w:rsidP="00286F7D">
            <w:pPr>
              <w:rPr>
                <w:rFonts w:ascii="Arial" w:hAnsi="Arial" w:cs="Arial"/>
                <w:sz w:val="18"/>
                <w:szCs w:val="20"/>
              </w:rPr>
            </w:pPr>
            <w:r w:rsidRPr="009617F5">
              <w:rPr>
                <w:rFonts w:ascii="Arial" w:hAnsi="Arial" w:cs="Arial"/>
                <w:sz w:val="18"/>
                <w:szCs w:val="20"/>
              </w:rPr>
              <w:t>1384/5, /1, /3, /4</w:t>
            </w:r>
          </w:p>
        </w:tc>
        <w:tc>
          <w:tcPr>
            <w:tcW w:w="696" w:type="dxa"/>
            <w:shd w:val="clear" w:color="auto" w:fill="auto"/>
            <w:noWrap/>
            <w:vAlign w:val="center"/>
          </w:tcPr>
          <w:p w14:paraId="146A3E84"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1112</w:t>
            </w:r>
          </w:p>
        </w:tc>
        <w:tc>
          <w:tcPr>
            <w:tcW w:w="1818" w:type="dxa"/>
            <w:shd w:val="clear" w:color="auto" w:fill="auto"/>
            <w:noWrap/>
            <w:vAlign w:val="center"/>
          </w:tcPr>
          <w:p w14:paraId="4AED0147"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23933DD6" w14:textId="77777777" w:rsidTr="00286F7D">
        <w:trPr>
          <w:trHeight w:val="255"/>
          <w:jc w:val="center"/>
        </w:trPr>
        <w:tc>
          <w:tcPr>
            <w:tcW w:w="886" w:type="dxa"/>
            <w:shd w:val="clear" w:color="auto" w:fill="auto"/>
            <w:vAlign w:val="center"/>
          </w:tcPr>
          <w:p w14:paraId="7E7E0E75"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8Z-12</w:t>
            </w:r>
          </w:p>
        </w:tc>
        <w:tc>
          <w:tcPr>
            <w:tcW w:w="2692" w:type="dxa"/>
            <w:shd w:val="clear" w:color="auto" w:fill="auto"/>
            <w:noWrap/>
            <w:vAlign w:val="center"/>
          </w:tcPr>
          <w:p w14:paraId="44FD9258"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4EE4184E" w14:textId="77777777" w:rsidR="009617F5" w:rsidRPr="009617F5" w:rsidRDefault="009617F5" w:rsidP="00286F7D">
            <w:pPr>
              <w:rPr>
                <w:rFonts w:ascii="Arial" w:hAnsi="Arial" w:cs="Arial"/>
                <w:sz w:val="18"/>
                <w:szCs w:val="20"/>
              </w:rPr>
            </w:pPr>
            <w:r w:rsidRPr="009617F5">
              <w:rPr>
                <w:rFonts w:ascii="Arial" w:hAnsi="Arial" w:cs="Arial"/>
                <w:sz w:val="18"/>
                <w:szCs w:val="20"/>
              </w:rPr>
              <w:t>Vilsnice</w:t>
            </w:r>
          </w:p>
        </w:tc>
        <w:tc>
          <w:tcPr>
            <w:tcW w:w="1723" w:type="dxa"/>
            <w:shd w:val="clear" w:color="auto" w:fill="auto"/>
            <w:vAlign w:val="center"/>
          </w:tcPr>
          <w:p w14:paraId="1F85361D" w14:textId="77777777" w:rsidR="009617F5" w:rsidRPr="009617F5" w:rsidRDefault="009617F5" w:rsidP="00286F7D">
            <w:pPr>
              <w:rPr>
                <w:rFonts w:ascii="Arial" w:hAnsi="Arial" w:cs="Arial"/>
                <w:sz w:val="18"/>
                <w:szCs w:val="20"/>
              </w:rPr>
            </w:pPr>
            <w:r w:rsidRPr="009617F5">
              <w:rPr>
                <w:rFonts w:ascii="Arial" w:hAnsi="Arial" w:cs="Arial"/>
                <w:sz w:val="18"/>
                <w:szCs w:val="20"/>
              </w:rPr>
              <w:t>169/2, 172</w:t>
            </w:r>
          </w:p>
        </w:tc>
        <w:tc>
          <w:tcPr>
            <w:tcW w:w="696" w:type="dxa"/>
            <w:shd w:val="clear" w:color="auto" w:fill="auto"/>
            <w:noWrap/>
            <w:vAlign w:val="center"/>
          </w:tcPr>
          <w:p w14:paraId="5479BED7" w14:textId="77777777" w:rsidR="009617F5" w:rsidRPr="009617F5" w:rsidRDefault="009617F5" w:rsidP="00286F7D">
            <w:pPr>
              <w:overflowPunct w:val="0"/>
              <w:autoSpaceDE w:val="0"/>
              <w:autoSpaceDN w:val="0"/>
              <w:adjustRightInd w:val="0"/>
              <w:jc w:val="right"/>
              <w:textAlignment w:val="baseline"/>
              <w:rPr>
                <w:rFonts w:ascii="Arial" w:hAnsi="Arial" w:cs="Arial"/>
                <w:sz w:val="18"/>
              </w:rPr>
            </w:pPr>
            <w:r w:rsidRPr="009617F5">
              <w:rPr>
                <w:rFonts w:ascii="Arial" w:hAnsi="Arial" w:cs="Arial"/>
                <w:sz w:val="18"/>
              </w:rPr>
              <w:t>1443</w:t>
            </w:r>
          </w:p>
        </w:tc>
        <w:tc>
          <w:tcPr>
            <w:tcW w:w="1818" w:type="dxa"/>
            <w:shd w:val="clear" w:color="auto" w:fill="auto"/>
            <w:noWrap/>
            <w:vAlign w:val="center"/>
          </w:tcPr>
          <w:p w14:paraId="5D9B22CF"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zastavitelná plocha </w:t>
            </w:r>
          </w:p>
        </w:tc>
      </w:tr>
      <w:tr w:rsidR="009617F5" w:rsidRPr="009617F5" w14:paraId="16892C4F" w14:textId="77777777" w:rsidTr="00286F7D">
        <w:trPr>
          <w:trHeight w:val="255"/>
          <w:jc w:val="center"/>
        </w:trPr>
        <w:tc>
          <w:tcPr>
            <w:tcW w:w="886" w:type="dxa"/>
            <w:shd w:val="clear" w:color="auto" w:fill="auto"/>
            <w:vAlign w:val="center"/>
          </w:tcPr>
          <w:p w14:paraId="62B7FE07"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8Z-13</w:t>
            </w:r>
          </w:p>
        </w:tc>
        <w:tc>
          <w:tcPr>
            <w:tcW w:w="2692" w:type="dxa"/>
            <w:shd w:val="clear" w:color="auto" w:fill="auto"/>
            <w:noWrap/>
            <w:vAlign w:val="center"/>
          </w:tcPr>
          <w:p w14:paraId="479930BA"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5AEF35C5" w14:textId="77777777" w:rsidR="009617F5" w:rsidRPr="009617F5" w:rsidRDefault="009617F5" w:rsidP="00286F7D">
            <w:pPr>
              <w:rPr>
                <w:rFonts w:ascii="Arial" w:hAnsi="Arial" w:cs="Arial"/>
                <w:sz w:val="18"/>
                <w:szCs w:val="20"/>
              </w:rPr>
            </w:pPr>
            <w:r w:rsidRPr="009617F5">
              <w:rPr>
                <w:rFonts w:ascii="Arial" w:hAnsi="Arial" w:cs="Arial"/>
                <w:sz w:val="18"/>
                <w:szCs w:val="20"/>
              </w:rPr>
              <w:t>Nebočady</w:t>
            </w:r>
          </w:p>
        </w:tc>
        <w:tc>
          <w:tcPr>
            <w:tcW w:w="1723" w:type="dxa"/>
            <w:shd w:val="clear" w:color="auto" w:fill="auto"/>
            <w:vAlign w:val="center"/>
          </w:tcPr>
          <w:p w14:paraId="25EEBD7B" w14:textId="77777777" w:rsidR="009617F5" w:rsidRPr="009617F5" w:rsidRDefault="009617F5" w:rsidP="00286F7D">
            <w:pPr>
              <w:rPr>
                <w:rFonts w:ascii="Arial" w:hAnsi="Arial" w:cs="Arial"/>
                <w:sz w:val="18"/>
                <w:szCs w:val="20"/>
              </w:rPr>
            </w:pPr>
            <w:r w:rsidRPr="009617F5">
              <w:rPr>
                <w:rFonts w:ascii="Arial" w:hAnsi="Arial" w:cs="Arial"/>
                <w:sz w:val="18"/>
                <w:szCs w:val="20"/>
              </w:rPr>
              <w:t xml:space="preserve">282, </w:t>
            </w:r>
            <w:r w:rsidRPr="009617F5">
              <w:rPr>
                <w:rFonts w:ascii="Arial" w:hAnsi="Arial" w:cs="Arial"/>
                <w:sz w:val="18"/>
              </w:rPr>
              <w:t>280/2, /3, /4, 279/1, /2</w:t>
            </w:r>
          </w:p>
        </w:tc>
        <w:tc>
          <w:tcPr>
            <w:tcW w:w="696" w:type="dxa"/>
            <w:shd w:val="clear" w:color="auto" w:fill="auto"/>
            <w:noWrap/>
            <w:vAlign w:val="center"/>
          </w:tcPr>
          <w:p w14:paraId="52E7D546"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fldChar w:fldCharType="begin"/>
            </w:r>
            <w:r w:rsidRPr="009617F5">
              <w:rPr>
                <w:rFonts w:ascii="Arial" w:hAnsi="Arial" w:cs="Arial"/>
                <w:sz w:val="18"/>
              </w:rPr>
              <w:instrText xml:space="preserve"> =SUM(ABOVE) </w:instrText>
            </w:r>
            <w:r w:rsidRPr="009617F5">
              <w:rPr>
                <w:rFonts w:ascii="Arial" w:hAnsi="Arial" w:cs="Arial"/>
                <w:sz w:val="18"/>
              </w:rPr>
              <w:fldChar w:fldCharType="separate"/>
            </w:r>
            <w:r w:rsidRPr="009617F5">
              <w:rPr>
                <w:rFonts w:ascii="Arial" w:hAnsi="Arial" w:cs="Arial"/>
                <w:noProof/>
                <w:sz w:val="18"/>
              </w:rPr>
              <w:t>17062</w:t>
            </w:r>
            <w:r w:rsidRPr="009617F5">
              <w:rPr>
                <w:rFonts w:ascii="Arial" w:hAnsi="Arial" w:cs="Arial"/>
                <w:sz w:val="18"/>
              </w:rPr>
              <w:fldChar w:fldCharType="end"/>
            </w:r>
          </w:p>
        </w:tc>
        <w:tc>
          <w:tcPr>
            <w:tcW w:w="1818" w:type="dxa"/>
            <w:shd w:val="clear" w:color="auto" w:fill="auto"/>
            <w:noWrap/>
            <w:vAlign w:val="center"/>
          </w:tcPr>
          <w:p w14:paraId="22EDC41C"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6D58B3E0" w14:textId="77777777" w:rsidTr="00286F7D">
        <w:trPr>
          <w:trHeight w:val="255"/>
          <w:jc w:val="center"/>
        </w:trPr>
        <w:tc>
          <w:tcPr>
            <w:tcW w:w="886" w:type="dxa"/>
            <w:shd w:val="clear" w:color="auto" w:fill="auto"/>
            <w:vAlign w:val="center"/>
          </w:tcPr>
          <w:p w14:paraId="277586C7"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8Z-15</w:t>
            </w:r>
          </w:p>
        </w:tc>
        <w:tc>
          <w:tcPr>
            <w:tcW w:w="2692" w:type="dxa"/>
            <w:shd w:val="clear" w:color="auto" w:fill="auto"/>
            <w:noWrap/>
            <w:vAlign w:val="center"/>
          </w:tcPr>
          <w:p w14:paraId="62C03CFC"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Plochy RD venkovského typu</w:t>
            </w:r>
          </w:p>
        </w:tc>
        <w:tc>
          <w:tcPr>
            <w:tcW w:w="1630" w:type="dxa"/>
            <w:shd w:val="clear" w:color="auto" w:fill="auto"/>
            <w:noWrap/>
            <w:vAlign w:val="center"/>
          </w:tcPr>
          <w:p w14:paraId="03F06E56" w14:textId="77777777" w:rsidR="009617F5" w:rsidRPr="009617F5" w:rsidRDefault="009617F5" w:rsidP="00286F7D">
            <w:pPr>
              <w:rPr>
                <w:rFonts w:ascii="Arial" w:hAnsi="Arial" w:cs="Arial"/>
                <w:sz w:val="18"/>
                <w:szCs w:val="20"/>
              </w:rPr>
            </w:pPr>
            <w:r w:rsidRPr="009617F5">
              <w:rPr>
                <w:rFonts w:ascii="Arial" w:hAnsi="Arial" w:cs="Arial"/>
                <w:sz w:val="18"/>
                <w:szCs w:val="20"/>
              </w:rPr>
              <w:t>Březiny u Děčína</w:t>
            </w:r>
          </w:p>
        </w:tc>
        <w:tc>
          <w:tcPr>
            <w:tcW w:w="1723" w:type="dxa"/>
            <w:shd w:val="clear" w:color="auto" w:fill="auto"/>
            <w:vAlign w:val="center"/>
          </w:tcPr>
          <w:p w14:paraId="39C5841A" w14:textId="77777777" w:rsidR="009617F5" w:rsidRPr="009617F5" w:rsidRDefault="009617F5" w:rsidP="00286F7D">
            <w:pPr>
              <w:rPr>
                <w:rFonts w:ascii="Arial" w:hAnsi="Arial" w:cs="Arial"/>
                <w:sz w:val="18"/>
                <w:szCs w:val="20"/>
              </w:rPr>
            </w:pPr>
            <w:r w:rsidRPr="009617F5">
              <w:rPr>
                <w:rFonts w:ascii="Arial" w:hAnsi="Arial" w:cs="Arial"/>
                <w:sz w:val="18"/>
                <w:szCs w:val="20"/>
              </w:rPr>
              <w:t>151</w:t>
            </w:r>
          </w:p>
        </w:tc>
        <w:tc>
          <w:tcPr>
            <w:tcW w:w="696" w:type="dxa"/>
            <w:shd w:val="clear" w:color="auto" w:fill="auto"/>
            <w:noWrap/>
            <w:vAlign w:val="center"/>
          </w:tcPr>
          <w:p w14:paraId="6969AF63"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1334</w:t>
            </w:r>
          </w:p>
        </w:tc>
        <w:tc>
          <w:tcPr>
            <w:tcW w:w="1818" w:type="dxa"/>
            <w:shd w:val="clear" w:color="auto" w:fill="auto"/>
            <w:noWrap/>
            <w:vAlign w:val="center"/>
          </w:tcPr>
          <w:p w14:paraId="167A4FEB"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130C85F9" w14:textId="77777777" w:rsidTr="00286F7D">
        <w:trPr>
          <w:trHeight w:val="255"/>
          <w:jc w:val="center"/>
        </w:trPr>
        <w:tc>
          <w:tcPr>
            <w:tcW w:w="886" w:type="dxa"/>
            <w:shd w:val="clear" w:color="auto" w:fill="auto"/>
            <w:vAlign w:val="center"/>
          </w:tcPr>
          <w:p w14:paraId="7EF9797B"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8Z-16</w:t>
            </w:r>
          </w:p>
        </w:tc>
        <w:tc>
          <w:tcPr>
            <w:tcW w:w="2692" w:type="dxa"/>
            <w:shd w:val="clear" w:color="auto" w:fill="auto"/>
            <w:noWrap/>
            <w:vAlign w:val="center"/>
          </w:tcPr>
          <w:p w14:paraId="43B64D1C"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občanské vybavení.</w:t>
            </w:r>
          </w:p>
        </w:tc>
        <w:tc>
          <w:tcPr>
            <w:tcW w:w="1630" w:type="dxa"/>
            <w:shd w:val="clear" w:color="auto" w:fill="auto"/>
            <w:noWrap/>
            <w:vAlign w:val="center"/>
          </w:tcPr>
          <w:p w14:paraId="43B8F487" w14:textId="77777777" w:rsidR="009617F5" w:rsidRPr="009617F5" w:rsidRDefault="009617F5" w:rsidP="00286F7D">
            <w:pPr>
              <w:rPr>
                <w:rFonts w:ascii="Arial" w:hAnsi="Arial" w:cs="Arial"/>
                <w:sz w:val="18"/>
                <w:szCs w:val="20"/>
              </w:rPr>
            </w:pPr>
            <w:r w:rsidRPr="009617F5">
              <w:rPr>
                <w:rFonts w:ascii="Arial" w:hAnsi="Arial" w:cs="Arial"/>
                <w:sz w:val="18"/>
                <w:szCs w:val="20"/>
              </w:rPr>
              <w:t>Podmokly</w:t>
            </w:r>
          </w:p>
        </w:tc>
        <w:tc>
          <w:tcPr>
            <w:tcW w:w="1723" w:type="dxa"/>
            <w:shd w:val="clear" w:color="auto" w:fill="auto"/>
            <w:vAlign w:val="center"/>
          </w:tcPr>
          <w:p w14:paraId="2989B237" w14:textId="77777777" w:rsidR="009617F5" w:rsidRPr="009617F5" w:rsidRDefault="009617F5" w:rsidP="00286F7D">
            <w:pPr>
              <w:rPr>
                <w:rFonts w:ascii="Arial" w:hAnsi="Arial" w:cs="Arial"/>
                <w:sz w:val="18"/>
                <w:szCs w:val="20"/>
              </w:rPr>
            </w:pPr>
            <w:r w:rsidRPr="009617F5">
              <w:rPr>
                <w:rFonts w:ascii="Arial" w:hAnsi="Arial" w:cs="Arial"/>
                <w:sz w:val="18"/>
                <w:szCs w:val="20"/>
              </w:rPr>
              <w:t>3725/5, 3725/53</w:t>
            </w:r>
          </w:p>
        </w:tc>
        <w:tc>
          <w:tcPr>
            <w:tcW w:w="696" w:type="dxa"/>
            <w:shd w:val="clear" w:color="auto" w:fill="auto"/>
            <w:noWrap/>
            <w:vAlign w:val="center"/>
          </w:tcPr>
          <w:p w14:paraId="2286B349"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3118</w:t>
            </w:r>
          </w:p>
        </w:tc>
        <w:tc>
          <w:tcPr>
            <w:tcW w:w="1818" w:type="dxa"/>
            <w:shd w:val="clear" w:color="auto" w:fill="auto"/>
            <w:noWrap/>
            <w:vAlign w:val="center"/>
          </w:tcPr>
          <w:p w14:paraId="2498C00D"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přestavbová plocha </w:t>
            </w:r>
          </w:p>
        </w:tc>
      </w:tr>
      <w:tr w:rsidR="009617F5" w:rsidRPr="009617F5" w14:paraId="423B1E07" w14:textId="77777777" w:rsidTr="00286F7D">
        <w:trPr>
          <w:trHeight w:val="255"/>
          <w:jc w:val="center"/>
        </w:trPr>
        <w:tc>
          <w:tcPr>
            <w:tcW w:w="886" w:type="dxa"/>
            <w:shd w:val="clear" w:color="auto" w:fill="auto"/>
            <w:vAlign w:val="center"/>
          </w:tcPr>
          <w:p w14:paraId="627C4D5D"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8Z-17</w:t>
            </w:r>
          </w:p>
        </w:tc>
        <w:tc>
          <w:tcPr>
            <w:tcW w:w="2692" w:type="dxa"/>
            <w:shd w:val="clear" w:color="auto" w:fill="auto"/>
            <w:noWrap/>
            <w:vAlign w:val="center"/>
          </w:tcPr>
          <w:p w14:paraId="55B0D38F"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občanské vybavení</w:t>
            </w:r>
          </w:p>
        </w:tc>
        <w:tc>
          <w:tcPr>
            <w:tcW w:w="1630" w:type="dxa"/>
            <w:shd w:val="clear" w:color="auto" w:fill="auto"/>
            <w:noWrap/>
            <w:vAlign w:val="center"/>
          </w:tcPr>
          <w:p w14:paraId="7BB0E891" w14:textId="77777777" w:rsidR="009617F5" w:rsidRPr="009617F5" w:rsidRDefault="009617F5" w:rsidP="00286F7D">
            <w:pPr>
              <w:rPr>
                <w:rFonts w:ascii="Arial" w:hAnsi="Arial" w:cs="Arial"/>
                <w:sz w:val="18"/>
                <w:szCs w:val="20"/>
              </w:rPr>
            </w:pPr>
            <w:r w:rsidRPr="009617F5">
              <w:rPr>
                <w:rFonts w:ascii="Arial" w:hAnsi="Arial" w:cs="Arial"/>
                <w:sz w:val="18"/>
                <w:szCs w:val="20"/>
              </w:rPr>
              <w:t>Děčín</w:t>
            </w:r>
          </w:p>
        </w:tc>
        <w:tc>
          <w:tcPr>
            <w:tcW w:w="1723" w:type="dxa"/>
            <w:shd w:val="clear" w:color="auto" w:fill="auto"/>
            <w:vAlign w:val="center"/>
          </w:tcPr>
          <w:p w14:paraId="4CD6F7CA" w14:textId="77777777" w:rsidR="009617F5" w:rsidRPr="009617F5" w:rsidRDefault="009617F5" w:rsidP="00286F7D">
            <w:pPr>
              <w:rPr>
                <w:rFonts w:ascii="Arial" w:hAnsi="Arial" w:cs="Arial"/>
                <w:sz w:val="18"/>
                <w:szCs w:val="20"/>
              </w:rPr>
            </w:pPr>
            <w:r w:rsidRPr="009617F5">
              <w:rPr>
                <w:rFonts w:ascii="Arial" w:hAnsi="Arial" w:cs="Arial"/>
                <w:sz w:val="18"/>
                <w:szCs w:val="20"/>
              </w:rPr>
              <w:t>2297</w:t>
            </w:r>
          </w:p>
        </w:tc>
        <w:tc>
          <w:tcPr>
            <w:tcW w:w="696" w:type="dxa"/>
            <w:shd w:val="clear" w:color="auto" w:fill="auto"/>
            <w:noWrap/>
            <w:vAlign w:val="center"/>
          </w:tcPr>
          <w:p w14:paraId="6DECD69F"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302</w:t>
            </w:r>
          </w:p>
        </w:tc>
        <w:tc>
          <w:tcPr>
            <w:tcW w:w="1818" w:type="dxa"/>
            <w:shd w:val="clear" w:color="auto" w:fill="auto"/>
            <w:noWrap/>
            <w:vAlign w:val="center"/>
          </w:tcPr>
          <w:p w14:paraId="31F29496"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přestavbová plocha</w:t>
            </w:r>
          </w:p>
        </w:tc>
      </w:tr>
      <w:tr w:rsidR="009617F5" w:rsidRPr="009617F5" w14:paraId="1C1394E8" w14:textId="77777777" w:rsidTr="00286F7D">
        <w:trPr>
          <w:trHeight w:val="255"/>
          <w:jc w:val="center"/>
        </w:trPr>
        <w:tc>
          <w:tcPr>
            <w:tcW w:w="886" w:type="dxa"/>
            <w:shd w:val="clear" w:color="auto" w:fill="auto"/>
            <w:vAlign w:val="center"/>
          </w:tcPr>
          <w:p w14:paraId="70FBBCB8"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8Z-18</w:t>
            </w:r>
          </w:p>
        </w:tc>
        <w:tc>
          <w:tcPr>
            <w:tcW w:w="2692" w:type="dxa"/>
            <w:shd w:val="clear" w:color="auto" w:fill="auto"/>
            <w:noWrap/>
            <w:vAlign w:val="center"/>
          </w:tcPr>
          <w:p w14:paraId="0483D84E"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510DECBF" w14:textId="77777777" w:rsidR="009617F5" w:rsidRPr="009617F5" w:rsidRDefault="009617F5" w:rsidP="00286F7D">
            <w:pPr>
              <w:rPr>
                <w:rFonts w:ascii="Arial" w:hAnsi="Arial" w:cs="Arial"/>
                <w:sz w:val="18"/>
                <w:szCs w:val="20"/>
              </w:rPr>
            </w:pPr>
            <w:r w:rsidRPr="009617F5">
              <w:rPr>
                <w:rFonts w:ascii="Arial" w:hAnsi="Arial" w:cs="Arial"/>
                <w:sz w:val="18"/>
                <w:szCs w:val="20"/>
              </w:rPr>
              <w:t>Podmokly</w:t>
            </w:r>
          </w:p>
        </w:tc>
        <w:tc>
          <w:tcPr>
            <w:tcW w:w="1723" w:type="dxa"/>
            <w:shd w:val="clear" w:color="auto" w:fill="auto"/>
            <w:vAlign w:val="center"/>
          </w:tcPr>
          <w:p w14:paraId="1E402F02" w14:textId="77777777" w:rsidR="009617F5" w:rsidRPr="009617F5" w:rsidRDefault="009617F5" w:rsidP="00286F7D">
            <w:pPr>
              <w:rPr>
                <w:rFonts w:ascii="Arial" w:hAnsi="Arial" w:cs="Arial"/>
                <w:sz w:val="18"/>
                <w:szCs w:val="20"/>
              </w:rPr>
            </w:pPr>
            <w:r w:rsidRPr="009617F5">
              <w:rPr>
                <w:rFonts w:ascii="Arial" w:hAnsi="Arial" w:cs="Arial"/>
                <w:sz w:val="18"/>
                <w:szCs w:val="20"/>
              </w:rPr>
              <w:t>437/2</w:t>
            </w:r>
          </w:p>
        </w:tc>
        <w:tc>
          <w:tcPr>
            <w:tcW w:w="696" w:type="dxa"/>
            <w:shd w:val="clear" w:color="auto" w:fill="auto"/>
            <w:noWrap/>
            <w:vAlign w:val="center"/>
          </w:tcPr>
          <w:p w14:paraId="1F582E7B"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1079</w:t>
            </w:r>
          </w:p>
        </w:tc>
        <w:tc>
          <w:tcPr>
            <w:tcW w:w="1818" w:type="dxa"/>
            <w:shd w:val="clear" w:color="auto" w:fill="auto"/>
            <w:noWrap/>
            <w:vAlign w:val="center"/>
          </w:tcPr>
          <w:p w14:paraId="14FBD47E"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zastavitelná plocha </w:t>
            </w:r>
          </w:p>
        </w:tc>
      </w:tr>
      <w:tr w:rsidR="009617F5" w:rsidRPr="009617F5" w14:paraId="18E1F286" w14:textId="77777777" w:rsidTr="00286F7D">
        <w:trPr>
          <w:trHeight w:val="255"/>
          <w:jc w:val="center"/>
        </w:trPr>
        <w:tc>
          <w:tcPr>
            <w:tcW w:w="886" w:type="dxa"/>
            <w:shd w:val="clear" w:color="auto" w:fill="auto"/>
            <w:vAlign w:val="center"/>
          </w:tcPr>
          <w:p w14:paraId="3644456C"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8Z-19</w:t>
            </w:r>
          </w:p>
        </w:tc>
        <w:tc>
          <w:tcPr>
            <w:tcW w:w="2692" w:type="dxa"/>
            <w:shd w:val="clear" w:color="auto" w:fill="auto"/>
            <w:noWrap/>
            <w:vAlign w:val="center"/>
          </w:tcPr>
          <w:p w14:paraId="74282276"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42BF0E17" w14:textId="77777777" w:rsidR="009617F5" w:rsidRPr="009617F5" w:rsidRDefault="009617F5" w:rsidP="00286F7D">
            <w:pPr>
              <w:rPr>
                <w:rFonts w:ascii="Arial" w:hAnsi="Arial" w:cs="Arial"/>
                <w:sz w:val="18"/>
                <w:szCs w:val="20"/>
              </w:rPr>
            </w:pPr>
            <w:r w:rsidRPr="009617F5">
              <w:rPr>
                <w:rFonts w:ascii="Arial" w:hAnsi="Arial" w:cs="Arial"/>
                <w:sz w:val="18"/>
                <w:szCs w:val="20"/>
              </w:rPr>
              <w:t>Vilsnice</w:t>
            </w:r>
          </w:p>
        </w:tc>
        <w:tc>
          <w:tcPr>
            <w:tcW w:w="1723" w:type="dxa"/>
            <w:shd w:val="clear" w:color="auto" w:fill="auto"/>
            <w:vAlign w:val="center"/>
          </w:tcPr>
          <w:p w14:paraId="368C60B2" w14:textId="77777777" w:rsidR="009617F5" w:rsidRPr="009617F5" w:rsidRDefault="009617F5" w:rsidP="00286F7D">
            <w:pPr>
              <w:rPr>
                <w:rFonts w:ascii="Arial" w:hAnsi="Arial" w:cs="Arial"/>
                <w:sz w:val="18"/>
                <w:szCs w:val="20"/>
              </w:rPr>
            </w:pPr>
            <w:r w:rsidRPr="009617F5">
              <w:rPr>
                <w:rFonts w:ascii="Arial" w:hAnsi="Arial" w:cs="Arial"/>
                <w:sz w:val="18"/>
                <w:szCs w:val="20"/>
              </w:rPr>
              <w:t>4</w:t>
            </w:r>
          </w:p>
        </w:tc>
        <w:tc>
          <w:tcPr>
            <w:tcW w:w="696" w:type="dxa"/>
            <w:shd w:val="clear" w:color="auto" w:fill="auto"/>
            <w:noWrap/>
            <w:vAlign w:val="center"/>
          </w:tcPr>
          <w:p w14:paraId="42666C6C"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677</w:t>
            </w:r>
          </w:p>
        </w:tc>
        <w:tc>
          <w:tcPr>
            <w:tcW w:w="1818" w:type="dxa"/>
            <w:shd w:val="clear" w:color="auto" w:fill="auto"/>
            <w:noWrap/>
            <w:vAlign w:val="center"/>
          </w:tcPr>
          <w:p w14:paraId="6E5A4A51"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791A135E" w14:textId="77777777" w:rsidTr="00286F7D">
        <w:trPr>
          <w:trHeight w:val="255"/>
          <w:jc w:val="center"/>
        </w:trPr>
        <w:tc>
          <w:tcPr>
            <w:tcW w:w="886" w:type="dxa"/>
            <w:shd w:val="clear" w:color="auto" w:fill="auto"/>
            <w:vAlign w:val="center"/>
          </w:tcPr>
          <w:p w14:paraId="2F21C424" w14:textId="77777777" w:rsidR="009617F5" w:rsidRPr="009617F5" w:rsidRDefault="009617F5" w:rsidP="00286F7D">
            <w:pPr>
              <w:jc w:val="center"/>
              <w:rPr>
                <w:rFonts w:ascii="Arial" w:hAnsi="Arial" w:cs="Arial"/>
                <w:b/>
                <w:sz w:val="18"/>
                <w:szCs w:val="20"/>
                <w:vertAlign w:val="superscript"/>
              </w:rPr>
            </w:pPr>
            <w:r w:rsidRPr="009617F5">
              <w:rPr>
                <w:rFonts w:ascii="Arial" w:hAnsi="Arial" w:cs="Arial"/>
                <w:b/>
                <w:sz w:val="18"/>
                <w:szCs w:val="20"/>
              </w:rPr>
              <w:t>8Z-20</w:t>
            </w:r>
          </w:p>
        </w:tc>
        <w:tc>
          <w:tcPr>
            <w:tcW w:w="2692" w:type="dxa"/>
            <w:shd w:val="clear" w:color="auto" w:fill="auto"/>
            <w:noWrap/>
            <w:vAlign w:val="center"/>
          </w:tcPr>
          <w:p w14:paraId="3D6E5B2A"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4DAC3C0A" w14:textId="77777777" w:rsidR="009617F5" w:rsidRPr="009617F5" w:rsidRDefault="009617F5" w:rsidP="00286F7D">
            <w:pPr>
              <w:rPr>
                <w:rFonts w:ascii="Arial" w:hAnsi="Arial" w:cs="Arial"/>
                <w:sz w:val="18"/>
                <w:szCs w:val="20"/>
              </w:rPr>
            </w:pPr>
            <w:r w:rsidRPr="009617F5">
              <w:rPr>
                <w:rFonts w:ascii="Arial" w:hAnsi="Arial" w:cs="Arial"/>
                <w:sz w:val="18"/>
                <w:szCs w:val="20"/>
              </w:rPr>
              <w:t>Bělá u Děčína</w:t>
            </w:r>
          </w:p>
        </w:tc>
        <w:tc>
          <w:tcPr>
            <w:tcW w:w="1723" w:type="dxa"/>
            <w:shd w:val="clear" w:color="auto" w:fill="auto"/>
            <w:vAlign w:val="center"/>
          </w:tcPr>
          <w:p w14:paraId="6388270B" w14:textId="77777777" w:rsidR="009617F5" w:rsidRPr="009617F5" w:rsidRDefault="009617F5" w:rsidP="00286F7D">
            <w:pPr>
              <w:rPr>
                <w:rFonts w:ascii="Arial" w:hAnsi="Arial" w:cs="Arial"/>
                <w:sz w:val="18"/>
                <w:szCs w:val="20"/>
              </w:rPr>
            </w:pPr>
            <w:r w:rsidRPr="009617F5">
              <w:rPr>
                <w:rFonts w:ascii="Arial" w:hAnsi="Arial" w:cs="Arial"/>
                <w:sz w:val="18"/>
                <w:szCs w:val="20"/>
              </w:rPr>
              <w:t>397/2</w:t>
            </w:r>
          </w:p>
        </w:tc>
        <w:tc>
          <w:tcPr>
            <w:tcW w:w="696" w:type="dxa"/>
            <w:shd w:val="clear" w:color="auto" w:fill="auto"/>
            <w:noWrap/>
            <w:vAlign w:val="center"/>
          </w:tcPr>
          <w:p w14:paraId="794EC1E9"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465</w:t>
            </w:r>
          </w:p>
        </w:tc>
        <w:tc>
          <w:tcPr>
            <w:tcW w:w="1818" w:type="dxa"/>
            <w:shd w:val="clear" w:color="auto" w:fill="auto"/>
            <w:noWrap/>
            <w:vAlign w:val="center"/>
          </w:tcPr>
          <w:p w14:paraId="5D71FD95"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11F3D8D4" w14:textId="77777777" w:rsidTr="00286F7D">
        <w:trPr>
          <w:trHeight w:val="300"/>
          <w:jc w:val="center"/>
        </w:trPr>
        <w:tc>
          <w:tcPr>
            <w:tcW w:w="886" w:type="dxa"/>
            <w:shd w:val="clear" w:color="auto" w:fill="auto"/>
            <w:vAlign w:val="center"/>
          </w:tcPr>
          <w:p w14:paraId="7865FFF8"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8Z-23</w:t>
            </w:r>
          </w:p>
        </w:tc>
        <w:tc>
          <w:tcPr>
            <w:tcW w:w="2692" w:type="dxa"/>
            <w:shd w:val="clear" w:color="auto" w:fill="auto"/>
            <w:noWrap/>
            <w:vAlign w:val="center"/>
          </w:tcPr>
          <w:p w14:paraId="7C19D2FD"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rekreační území </w:t>
            </w:r>
          </w:p>
        </w:tc>
        <w:tc>
          <w:tcPr>
            <w:tcW w:w="1630" w:type="dxa"/>
            <w:shd w:val="clear" w:color="auto" w:fill="auto"/>
            <w:noWrap/>
            <w:vAlign w:val="center"/>
          </w:tcPr>
          <w:p w14:paraId="05C02488" w14:textId="77777777" w:rsidR="009617F5" w:rsidRPr="009617F5" w:rsidRDefault="009617F5" w:rsidP="00286F7D">
            <w:pPr>
              <w:rPr>
                <w:rFonts w:ascii="Arial" w:hAnsi="Arial" w:cs="Arial"/>
                <w:sz w:val="18"/>
                <w:szCs w:val="20"/>
              </w:rPr>
            </w:pPr>
            <w:r w:rsidRPr="009617F5">
              <w:rPr>
                <w:rFonts w:ascii="Arial" w:hAnsi="Arial" w:cs="Arial"/>
                <w:sz w:val="18"/>
                <w:szCs w:val="20"/>
              </w:rPr>
              <w:t>Děčín</w:t>
            </w:r>
          </w:p>
        </w:tc>
        <w:tc>
          <w:tcPr>
            <w:tcW w:w="1723" w:type="dxa"/>
            <w:shd w:val="clear" w:color="auto" w:fill="auto"/>
            <w:vAlign w:val="center"/>
          </w:tcPr>
          <w:p w14:paraId="3746292F" w14:textId="77777777" w:rsidR="009617F5" w:rsidRPr="009617F5" w:rsidRDefault="009617F5" w:rsidP="00286F7D">
            <w:pPr>
              <w:rPr>
                <w:rFonts w:ascii="Arial" w:hAnsi="Arial" w:cs="Arial"/>
                <w:sz w:val="18"/>
                <w:szCs w:val="20"/>
              </w:rPr>
            </w:pPr>
            <w:r w:rsidRPr="009617F5">
              <w:rPr>
                <w:rFonts w:ascii="Arial" w:hAnsi="Arial" w:cs="Arial"/>
                <w:sz w:val="18"/>
                <w:szCs w:val="20"/>
              </w:rPr>
              <w:t>2828/42 /72,/124</w:t>
            </w:r>
          </w:p>
        </w:tc>
        <w:tc>
          <w:tcPr>
            <w:tcW w:w="696" w:type="dxa"/>
            <w:shd w:val="clear" w:color="auto" w:fill="auto"/>
            <w:noWrap/>
            <w:vAlign w:val="center"/>
          </w:tcPr>
          <w:p w14:paraId="19A6B742"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514</w:t>
            </w:r>
          </w:p>
        </w:tc>
        <w:tc>
          <w:tcPr>
            <w:tcW w:w="1818" w:type="dxa"/>
            <w:shd w:val="clear" w:color="auto" w:fill="auto"/>
            <w:noWrap/>
            <w:vAlign w:val="center"/>
          </w:tcPr>
          <w:p w14:paraId="2BD127E2"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přestavbová plocha</w:t>
            </w:r>
          </w:p>
        </w:tc>
      </w:tr>
      <w:tr w:rsidR="009617F5" w:rsidRPr="009617F5" w14:paraId="1235F98F" w14:textId="77777777" w:rsidTr="00286F7D">
        <w:trPr>
          <w:trHeight w:val="255"/>
          <w:jc w:val="center"/>
        </w:trPr>
        <w:tc>
          <w:tcPr>
            <w:tcW w:w="886" w:type="dxa"/>
            <w:shd w:val="clear" w:color="auto" w:fill="auto"/>
            <w:vAlign w:val="center"/>
          </w:tcPr>
          <w:p w14:paraId="52D1FAAE"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8Z-25</w:t>
            </w:r>
          </w:p>
        </w:tc>
        <w:tc>
          <w:tcPr>
            <w:tcW w:w="2692" w:type="dxa"/>
            <w:shd w:val="clear" w:color="auto" w:fill="auto"/>
            <w:noWrap/>
            <w:vAlign w:val="center"/>
          </w:tcPr>
          <w:p w14:paraId="5C8AD1DB"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54A1A6EF" w14:textId="77777777" w:rsidR="009617F5" w:rsidRPr="009617F5" w:rsidRDefault="009617F5" w:rsidP="00286F7D">
            <w:pPr>
              <w:rPr>
                <w:rFonts w:ascii="Arial" w:hAnsi="Arial" w:cs="Arial"/>
                <w:sz w:val="18"/>
                <w:szCs w:val="20"/>
              </w:rPr>
            </w:pPr>
            <w:r w:rsidRPr="009617F5">
              <w:rPr>
                <w:rFonts w:ascii="Arial" w:hAnsi="Arial" w:cs="Arial"/>
                <w:sz w:val="18"/>
                <w:szCs w:val="20"/>
              </w:rPr>
              <w:t>Folknáře</w:t>
            </w:r>
          </w:p>
        </w:tc>
        <w:tc>
          <w:tcPr>
            <w:tcW w:w="1723" w:type="dxa"/>
            <w:shd w:val="clear" w:color="auto" w:fill="auto"/>
            <w:vAlign w:val="center"/>
          </w:tcPr>
          <w:p w14:paraId="588DF9A3" w14:textId="77777777" w:rsidR="009617F5" w:rsidRPr="009617F5" w:rsidRDefault="009617F5" w:rsidP="00286F7D">
            <w:pPr>
              <w:rPr>
                <w:rFonts w:ascii="Arial" w:hAnsi="Arial" w:cs="Arial"/>
                <w:sz w:val="18"/>
                <w:szCs w:val="20"/>
              </w:rPr>
            </w:pPr>
            <w:r w:rsidRPr="009617F5">
              <w:rPr>
                <w:rFonts w:ascii="Arial" w:hAnsi="Arial" w:cs="Arial"/>
                <w:sz w:val="18"/>
                <w:szCs w:val="20"/>
              </w:rPr>
              <w:t>419/4</w:t>
            </w:r>
          </w:p>
        </w:tc>
        <w:tc>
          <w:tcPr>
            <w:tcW w:w="696" w:type="dxa"/>
            <w:shd w:val="clear" w:color="auto" w:fill="auto"/>
            <w:noWrap/>
            <w:vAlign w:val="center"/>
          </w:tcPr>
          <w:p w14:paraId="59AEC1BF"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87</w:t>
            </w:r>
          </w:p>
        </w:tc>
        <w:tc>
          <w:tcPr>
            <w:tcW w:w="1818" w:type="dxa"/>
            <w:shd w:val="clear" w:color="auto" w:fill="auto"/>
            <w:noWrap/>
            <w:vAlign w:val="center"/>
          </w:tcPr>
          <w:p w14:paraId="204BACEE"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210BCC0D" w14:textId="77777777" w:rsidTr="00286F7D">
        <w:trPr>
          <w:trHeight w:val="255"/>
          <w:jc w:val="center"/>
        </w:trPr>
        <w:tc>
          <w:tcPr>
            <w:tcW w:w="886" w:type="dxa"/>
            <w:shd w:val="clear" w:color="auto" w:fill="auto"/>
            <w:vAlign w:val="center"/>
          </w:tcPr>
          <w:p w14:paraId="3BB3A749"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8Z-26</w:t>
            </w:r>
          </w:p>
        </w:tc>
        <w:tc>
          <w:tcPr>
            <w:tcW w:w="2692" w:type="dxa"/>
            <w:shd w:val="clear" w:color="auto" w:fill="auto"/>
            <w:noWrap/>
            <w:vAlign w:val="center"/>
          </w:tcPr>
          <w:p w14:paraId="7625682B"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141A32DC" w14:textId="77777777" w:rsidR="009617F5" w:rsidRPr="009617F5" w:rsidRDefault="009617F5" w:rsidP="00286F7D">
            <w:pPr>
              <w:rPr>
                <w:rFonts w:ascii="Arial" w:hAnsi="Arial" w:cs="Arial"/>
                <w:sz w:val="18"/>
                <w:szCs w:val="20"/>
              </w:rPr>
            </w:pPr>
            <w:r w:rsidRPr="009617F5">
              <w:rPr>
                <w:rFonts w:ascii="Arial" w:hAnsi="Arial" w:cs="Arial"/>
                <w:sz w:val="18"/>
                <w:szCs w:val="20"/>
              </w:rPr>
              <w:t>Horní Oldřichov</w:t>
            </w:r>
          </w:p>
        </w:tc>
        <w:tc>
          <w:tcPr>
            <w:tcW w:w="1723" w:type="dxa"/>
            <w:shd w:val="clear" w:color="auto" w:fill="auto"/>
            <w:vAlign w:val="center"/>
          </w:tcPr>
          <w:p w14:paraId="4C1DD180" w14:textId="77777777" w:rsidR="009617F5" w:rsidRPr="009617F5" w:rsidRDefault="009617F5" w:rsidP="00286F7D">
            <w:pPr>
              <w:rPr>
                <w:rFonts w:ascii="Arial" w:hAnsi="Arial" w:cs="Arial"/>
                <w:sz w:val="18"/>
                <w:szCs w:val="20"/>
              </w:rPr>
            </w:pPr>
            <w:r w:rsidRPr="009617F5">
              <w:rPr>
                <w:rFonts w:ascii="Arial" w:hAnsi="Arial" w:cs="Arial"/>
                <w:sz w:val="18"/>
                <w:szCs w:val="20"/>
              </w:rPr>
              <w:t>1041/1</w:t>
            </w:r>
          </w:p>
        </w:tc>
        <w:tc>
          <w:tcPr>
            <w:tcW w:w="696" w:type="dxa"/>
            <w:shd w:val="clear" w:color="auto" w:fill="auto"/>
            <w:noWrap/>
            <w:vAlign w:val="center"/>
          </w:tcPr>
          <w:p w14:paraId="2EFB0274" w14:textId="77777777" w:rsidR="009617F5" w:rsidRPr="009617F5" w:rsidRDefault="009617F5" w:rsidP="00286F7D">
            <w:pPr>
              <w:overflowPunct w:val="0"/>
              <w:autoSpaceDE w:val="0"/>
              <w:autoSpaceDN w:val="0"/>
              <w:adjustRightInd w:val="0"/>
              <w:jc w:val="right"/>
              <w:textAlignment w:val="baseline"/>
              <w:rPr>
                <w:rFonts w:ascii="Arial" w:hAnsi="Arial" w:cs="Arial"/>
                <w:sz w:val="18"/>
              </w:rPr>
            </w:pPr>
            <w:r w:rsidRPr="009617F5">
              <w:rPr>
                <w:rFonts w:ascii="Arial" w:hAnsi="Arial" w:cs="Arial"/>
                <w:sz w:val="18"/>
              </w:rPr>
              <w:t>897</w:t>
            </w:r>
          </w:p>
        </w:tc>
        <w:tc>
          <w:tcPr>
            <w:tcW w:w="1818" w:type="dxa"/>
            <w:shd w:val="clear" w:color="auto" w:fill="auto"/>
            <w:noWrap/>
            <w:vAlign w:val="center"/>
          </w:tcPr>
          <w:p w14:paraId="6E99E5A5"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00244973" w14:textId="77777777" w:rsidTr="00286F7D">
        <w:trPr>
          <w:trHeight w:val="255"/>
          <w:jc w:val="center"/>
        </w:trPr>
        <w:tc>
          <w:tcPr>
            <w:tcW w:w="886" w:type="dxa"/>
            <w:shd w:val="clear" w:color="auto" w:fill="auto"/>
            <w:vAlign w:val="center"/>
          </w:tcPr>
          <w:p w14:paraId="5C9FD1C8"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8Z-30</w:t>
            </w:r>
          </w:p>
        </w:tc>
        <w:tc>
          <w:tcPr>
            <w:tcW w:w="2692" w:type="dxa"/>
            <w:shd w:val="clear" w:color="auto" w:fill="auto"/>
            <w:noWrap/>
            <w:vAlign w:val="center"/>
          </w:tcPr>
          <w:p w14:paraId="7A3FD54C"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Plochy výroby a skladování</w:t>
            </w:r>
          </w:p>
        </w:tc>
        <w:tc>
          <w:tcPr>
            <w:tcW w:w="1630" w:type="dxa"/>
            <w:shd w:val="clear" w:color="auto" w:fill="auto"/>
            <w:noWrap/>
            <w:vAlign w:val="center"/>
          </w:tcPr>
          <w:p w14:paraId="7DE6B72C" w14:textId="77777777" w:rsidR="009617F5" w:rsidRPr="009617F5" w:rsidRDefault="009617F5" w:rsidP="00286F7D">
            <w:pPr>
              <w:rPr>
                <w:rFonts w:ascii="Arial" w:hAnsi="Arial" w:cs="Arial"/>
                <w:sz w:val="18"/>
                <w:szCs w:val="20"/>
              </w:rPr>
            </w:pPr>
            <w:r w:rsidRPr="009617F5">
              <w:rPr>
                <w:rFonts w:ascii="Arial" w:hAnsi="Arial" w:cs="Arial"/>
                <w:sz w:val="18"/>
                <w:szCs w:val="20"/>
              </w:rPr>
              <w:t>Křešice u Děčína</w:t>
            </w:r>
          </w:p>
        </w:tc>
        <w:tc>
          <w:tcPr>
            <w:tcW w:w="1723" w:type="dxa"/>
            <w:shd w:val="clear" w:color="auto" w:fill="auto"/>
            <w:vAlign w:val="center"/>
          </w:tcPr>
          <w:p w14:paraId="170E08D9" w14:textId="77777777" w:rsidR="009617F5" w:rsidRPr="009617F5" w:rsidRDefault="009617F5" w:rsidP="00286F7D">
            <w:pPr>
              <w:rPr>
                <w:rFonts w:ascii="Arial" w:hAnsi="Arial" w:cs="Arial"/>
                <w:sz w:val="18"/>
                <w:szCs w:val="20"/>
              </w:rPr>
            </w:pPr>
            <w:r w:rsidRPr="009617F5">
              <w:rPr>
                <w:rFonts w:ascii="Arial" w:hAnsi="Arial" w:cs="Arial"/>
                <w:sz w:val="18"/>
                <w:szCs w:val="20"/>
              </w:rPr>
              <w:t>129/1, 129/2</w:t>
            </w:r>
          </w:p>
        </w:tc>
        <w:tc>
          <w:tcPr>
            <w:tcW w:w="696" w:type="dxa"/>
            <w:shd w:val="clear" w:color="auto" w:fill="auto"/>
            <w:noWrap/>
            <w:vAlign w:val="center"/>
          </w:tcPr>
          <w:p w14:paraId="10763C09"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fldChar w:fldCharType="begin"/>
            </w:r>
            <w:r w:rsidRPr="009617F5">
              <w:rPr>
                <w:rFonts w:ascii="Arial" w:hAnsi="Arial" w:cs="Arial"/>
                <w:sz w:val="18"/>
              </w:rPr>
              <w:instrText xml:space="preserve"> =SUM(ABOVE) </w:instrText>
            </w:r>
            <w:r w:rsidRPr="009617F5">
              <w:rPr>
                <w:rFonts w:ascii="Arial" w:hAnsi="Arial" w:cs="Arial"/>
                <w:sz w:val="18"/>
              </w:rPr>
              <w:fldChar w:fldCharType="separate"/>
            </w:r>
            <w:r w:rsidRPr="009617F5">
              <w:rPr>
                <w:rFonts w:ascii="Arial" w:hAnsi="Arial" w:cs="Arial"/>
                <w:noProof/>
                <w:sz w:val="18"/>
              </w:rPr>
              <w:t>713</w:t>
            </w:r>
            <w:r w:rsidRPr="009617F5">
              <w:rPr>
                <w:rFonts w:ascii="Arial" w:hAnsi="Arial" w:cs="Arial"/>
                <w:sz w:val="18"/>
              </w:rPr>
              <w:fldChar w:fldCharType="end"/>
            </w:r>
          </w:p>
        </w:tc>
        <w:tc>
          <w:tcPr>
            <w:tcW w:w="1818" w:type="dxa"/>
            <w:shd w:val="clear" w:color="auto" w:fill="auto"/>
            <w:noWrap/>
            <w:vAlign w:val="center"/>
          </w:tcPr>
          <w:p w14:paraId="22E9D886"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přestavbová plocha </w:t>
            </w:r>
          </w:p>
        </w:tc>
      </w:tr>
      <w:tr w:rsidR="009617F5" w:rsidRPr="009617F5" w14:paraId="0E50D14D" w14:textId="77777777" w:rsidTr="00286F7D">
        <w:trPr>
          <w:trHeight w:val="255"/>
          <w:jc w:val="center"/>
        </w:trPr>
        <w:tc>
          <w:tcPr>
            <w:tcW w:w="886" w:type="dxa"/>
            <w:shd w:val="clear" w:color="auto" w:fill="auto"/>
            <w:vAlign w:val="center"/>
          </w:tcPr>
          <w:p w14:paraId="0B22802C"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8Z-31</w:t>
            </w:r>
          </w:p>
        </w:tc>
        <w:tc>
          <w:tcPr>
            <w:tcW w:w="2692" w:type="dxa"/>
            <w:shd w:val="clear" w:color="auto" w:fill="auto"/>
            <w:noWrap/>
            <w:vAlign w:val="center"/>
          </w:tcPr>
          <w:p w14:paraId="459BBEB9"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02F0A3E8" w14:textId="77777777" w:rsidR="009617F5" w:rsidRPr="009617F5" w:rsidRDefault="009617F5" w:rsidP="00286F7D">
            <w:pPr>
              <w:rPr>
                <w:rFonts w:ascii="Arial" w:hAnsi="Arial" w:cs="Arial"/>
                <w:sz w:val="18"/>
                <w:szCs w:val="20"/>
              </w:rPr>
            </w:pPr>
            <w:r w:rsidRPr="009617F5">
              <w:rPr>
                <w:rFonts w:ascii="Arial" w:hAnsi="Arial" w:cs="Arial"/>
                <w:sz w:val="18"/>
                <w:szCs w:val="20"/>
              </w:rPr>
              <w:t>Podmokly</w:t>
            </w:r>
          </w:p>
        </w:tc>
        <w:tc>
          <w:tcPr>
            <w:tcW w:w="1723" w:type="dxa"/>
            <w:shd w:val="clear" w:color="auto" w:fill="auto"/>
            <w:vAlign w:val="center"/>
          </w:tcPr>
          <w:p w14:paraId="64CCA444" w14:textId="77777777" w:rsidR="009617F5" w:rsidRPr="009617F5" w:rsidRDefault="009617F5" w:rsidP="00286F7D">
            <w:pPr>
              <w:rPr>
                <w:rFonts w:ascii="Arial" w:hAnsi="Arial" w:cs="Arial"/>
                <w:sz w:val="18"/>
                <w:szCs w:val="20"/>
              </w:rPr>
            </w:pPr>
            <w:r w:rsidRPr="009617F5">
              <w:rPr>
                <w:rFonts w:ascii="Arial" w:hAnsi="Arial" w:cs="Arial"/>
                <w:sz w:val="18"/>
                <w:szCs w:val="20"/>
              </w:rPr>
              <w:t>2842</w:t>
            </w:r>
          </w:p>
        </w:tc>
        <w:tc>
          <w:tcPr>
            <w:tcW w:w="696" w:type="dxa"/>
            <w:shd w:val="clear" w:color="auto" w:fill="auto"/>
            <w:noWrap/>
            <w:vAlign w:val="center"/>
          </w:tcPr>
          <w:p w14:paraId="19C6AC42"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1693</w:t>
            </w:r>
          </w:p>
        </w:tc>
        <w:tc>
          <w:tcPr>
            <w:tcW w:w="1818" w:type="dxa"/>
            <w:shd w:val="clear" w:color="auto" w:fill="auto"/>
            <w:noWrap/>
            <w:vAlign w:val="center"/>
          </w:tcPr>
          <w:p w14:paraId="75CB2B80"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přestavbová plocha </w:t>
            </w:r>
          </w:p>
        </w:tc>
      </w:tr>
      <w:tr w:rsidR="009617F5" w:rsidRPr="009617F5" w14:paraId="3210C5A3" w14:textId="77777777" w:rsidTr="00286F7D">
        <w:trPr>
          <w:trHeight w:val="255"/>
          <w:jc w:val="center"/>
        </w:trPr>
        <w:tc>
          <w:tcPr>
            <w:tcW w:w="886" w:type="dxa"/>
            <w:shd w:val="clear" w:color="auto" w:fill="auto"/>
            <w:vAlign w:val="center"/>
          </w:tcPr>
          <w:p w14:paraId="4D7A3DEE"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8Z-32</w:t>
            </w:r>
          </w:p>
        </w:tc>
        <w:tc>
          <w:tcPr>
            <w:tcW w:w="2692" w:type="dxa"/>
            <w:shd w:val="clear" w:color="auto" w:fill="auto"/>
            <w:noWrap/>
            <w:vAlign w:val="center"/>
          </w:tcPr>
          <w:p w14:paraId="65A6ADD3"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Plochy výroby a skladování</w:t>
            </w:r>
          </w:p>
        </w:tc>
        <w:tc>
          <w:tcPr>
            <w:tcW w:w="1630" w:type="dxa"/>
            <w:shd w:val="clear" w:color="auto" w:fill="auto"/>
            <w:noWrap/>
            <w:vAlign w:val="center"/>
          </w:tcPr>
          <w:p w14:paraId="466753BD" w14:textId="77777777" w:rsidR="009617F5" w:rsidRPr="009617F5" w:rsidRDefault="009617F5" w:rsidP="00286F7D">
            <w:pPr>
              <w:rPr>
                <w:rFonts w:ascii="Arial" w:hAnsi="Arial" w:cs="Arial"/>
                <w:sz w:val="18"/>
                <w:szCs w:val="20"/>
              </w:rPr>
            </w:pPr>
            <w:r w:rsidRPr="009617F5">
              <w:rPr>
                <w:rFonts w:ascii="Arial" w:hAnsi="Arial" w:cs="Arial"/>
                <w:sz w:val="18"/>
                <w:szCs w:val="20"/>
              </w:rPr>
              <w:t>Podmokly</w:t>
            </w:r>
          </w:p>
        </w:tc>
        <w:tc>
          <w:tcPr>
            <w:tcW w:w="1723" w:type="dxa"/>
            <w:shd w:val="clear" w:color="auto" w:fill="auto"/>
            <w:vAlign w:val="center"/>
          </w:tcPr>
          <w:p w14:paraId="05045C92" w14:textId="77777777" w:rsidR="009617F5" w:rsidRPr="009617F5" w:rsidRDefault="009617F5" w:rsidP="00286F7D">
            <w:pPr>
              <w:rPr>
                <w:rFonts w:ascii="Arial" w:hAnsi="Arial" w:cs="Arial"/>
                <w:sz w:val="18"/>
                <w:szCs w:val="20"/>
              </w:rPr>
            </w:pPr>
            <w:r w:rsidRPr="009617F5">
              <w:rPr>
                <w:rFonts w:ascii="Arial" w:hAnsi="Arial" w:cs="Arial"/>
                <w:sz w:val="18"/>
                <w:szCs w:val="20"/>
              </w:rPr>
              <w:t>3147/1, /2</w:t>
            </w:r>
          </w:p>
        </w:tc>
        <w:tc>
          <w:tcPr>
            <w:tcW w:w="696" w:type="dxa"/>
            <w:shd w:val="clear" w:color="auto" w:fill="auto"/>
            <w:noWrap/>
            <w:vAlign w:val="center"/>
          </w:tcPr>
          <w:p w14:paraId="135FF787"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2672</w:t>
            </w:r>
          </w:p>
        </w:tc>
        <w:tc>
          <w:tcPr>
            <w:tcW w:w="1818" w:type="dxa"/>
            <w:shd w:val="clear" w:color="auto" w:fill="auto"/>
            <w:noWrap/>
            <w:vAlign w:val="center"/>
          </w:tcPr>
          <w:p w14:paraId="63A7A924"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přestavbová plocha </w:t>
            </w:r>
          </w:p>
        </w:tc>
      </w:tr>
      <w:tr w:rsidR="009617F5" w:rsidRPr="009617F5" w14:paraId="21F11C15" w14:textId="77777777" w:rsidTr="00286F7D">
        <w:trPr>
          <w:trHeight w:val="255"/>
          <w:jc w:val="center"/>
        </w:trPr>
        <w:tc>
          <w:tcPr>
            <w:tcW w:w="886" w:type="dxa"/>
            <w:shd w:val="clear" w:color="auto" w:fill="auto"/>
            <w:vAlign w:val="center"/>
          </w:tcPr>
          <w:p w14:paraId="487AC5D9"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8Z-33a</w:t>
            </w:r>
          </w:p>
        </w:tc>
        <w:tc>
          <w:tcPr>
            <w:tcW w:w="2692" w:type="dxa"/>
            <w:shd w:val="clear" w:color="auto" w:fill="auto"/>
            <w:noWrap/>
            <w:vAlign w:val="center"/>
          </w:tcPr>
          <w:p w14:paraId="2904E230"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3B66026F" w14:textId="77777777" w:rsidR="009617F5" w:rsidRPr="009617F5" w:rsidRDefault="009617F5" w:rsidP="00286F7D">
            <w:pPr>
              <w:rPr>
                <w:rFonts w:ascii="Arial" w:hAnsi="Arial" w:cs="Arial"/>
                <w:sz w:val="18"/>
                <w:szCs w:val="20"/>
              </w:rPr>
            </w:pPr>
            <w:r w:rsidRPr="009617F5">
              <w:rPr>
                <w:rFonts w:ascii="Arial" w:hAnsi="Arial" w:cs="Arial"/>
                <w:sz w:val="18"/>
                <w:szCs w:val="20"/>
              </w:rPr>
              <w:t>Podmokly</w:t>
            </w:r>
          </w:p>
        </w:tc>
        <w:tc>
          <w:tcPr>
            <w:tcW w:w="1723" w:type="dxa"/>
            <w:shd w:val="clear" w:color="auto" w:fill="auto"/>
            <w:vAlign w:val="center"/>
          </w:tcPr>
          <w:p w14:paraId="5378429A" w14:textId="77777777" w:rsidR="009617F5" w:rsidRPr="009617F5" w:rsidRDefault="009617F5" w:rsidP="00286F7D">
            <w:pPr>
              <w:rPr>
                <w:rFonts w:ascii="Arial" w:hAnsi="Arial" w:cs="Arial"/>
                <w:sz w:val="18"/>
                <w:szCs w:val="20"/>
              </w:rPr>
            </w:pPr>
            <w:r w:rsidRPr="009617F5">
              <w:rPr>
                <w:rFonts w:ascii="Arial" w:hAnsi="Arial" w:cs="Arial"/>
                <w:sz w:val="18"/>
              </w:rPr>
              <w:t>3155/26, 3155/27</w:t>
            </w:r>
          </w:p>
        </w:tc>
        <w:tc>
          <w:tcPr>
            <w:tcW w:w="696" w:type="dxa"/>
            <w:shd w:val="clear" w:color="auto" w:fill="auto"/>
            <w:noWrap/>
            <w:vAlign w:val="center"/>
          </w:tcPr>
          <w:p w14:paraId="479FE576" w14:textId="77777777" w:rsidR="009617F5" w:rsidRPr="009617F5" w:rsidRDefault="009617F5" w:rsidP="00286F7D">
            <w:pPr>
              <w:overflowPunct w:val="0"/>
              <w:autoSpaceDE w:val="0"/>
              <w:autoSpaceDN w:val="0"/>
              <w:adjustRightInd w:val="0"/>
              <w:jc w:val="right"/>
              <w:textAlignment w:val="baseline"/>
              <w:rPr>
                <w:rFonts w:ascii="Arial" w:hAnsi="Arial" w:cs="Arial"/>
                <w:sz w:val="18"/>
              </w:rPr>
            </w:pPr>
            <w:r w:rsidRPr="009617F5">
              <w:rPr>
                <w:rFonts w:ascii="Arial" w:hAnsi="Arial" w:cs="Arial"/>
                <w:sz w:val="18"/>
              </w:rPr>
              <w:fldChar w:fldCharType="begin"/>
            </w:r>
            <w:r w:rsidRPr="009617F5">
              <w:rPr>
                <w:rFonts w:ascii="Arial" w:hAnsi="Arial" w:cs="Arial"/>
                <w:sz w:val="18"/>
              </w:rPr>
              <w:instrText xml:space="preserve"> =SUM(ABOVE) </w:instrText>
            </w:r>
            <w:r w:rsidRPr="009617F5">
              <w:rPr>
                <w:rFonts w:ascii="Arial" w:hAnsi="Arial" w:cs="Arial"/>
                <w:sz w:val="18"/>
              </w:rPr>
              <w:fldChar w:fldCharType="separate"/>
            </w:r>
            <w:r w:rsidRPr="009617F5">
              <w:rPr>
                <w:rFonts w:ascii="Arial" w:hAnsi="Arial" w:cs="Arial"/>
                <w:sz w:val="18"/>
              </w:rPr>
              <w:t>1473</w:t>
            </w:r>
            <w:r w:rsidRPr="009617F5">
              <w:rPr>
                <w:rFonts w:ascii="Arial" w:hAnsi="Arial" w:cs="Arial"/>
                <w:sz w:val="18"/>
              </w:rPr>
              <w:fldChar w:fldCharType="end"/>
            </w:r>
          </w:p>
        </w:tc>
        <w:tc>
          <w:tcPr>
            <w:tcW w:w="1818" w:type="dxa"/>
            <w:shd w:val="clear" w:color="auto" w:fill="auto"/>
            <w:noWrap/>
            <w:vAlign w:val="center"/>
          </w:tcPr>
          <w:p w14:paraId="5C32BFB3"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4E971715" w14:textId="77777777" w:rsidTr="00286F7D">
        <w:trPr>
          <w:trHeight w:val="255"/>
          <w:jc w:val="center"/>
        </w:trPr>
        <w:tc>
          <w:tcPr>
            <w:tcW w:w="886" w:type="dxa"/>
            <w:shd w:val="clear" w:color="auto" w:fill="auto"/>
            <w:vAlign w:val="center"/>
          </w:tcPr>
          <w:p w14:paraId="39CF143E"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8Z-33b</w:t>
            </w:r>
          </w:p>
        </w:tc>
        <w:tc>
          <w:tcPr>
            <w:tcW w:w="2692" w:type="dxa"/>
            <w:shd w:val="clear" w:color="auto" w:fill="auto"/>
            <w:noWrap/>
            <w:vAlign w:val="center"/>
          </w:tcPr>
          <w:p w14:paraId="5848545B"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69D90BFC" w14:textId="77777777" w:rsidR="009617F5" w:rsidRPr="009617F5" w:rsidRDefault="009617F5" w:rsidP="00286F7D">
            <w:pPr>
              <w:rPr>
                <w:rFonts w:ascii="Arial" w:hAnsi="Arial" w:cs="Arial"/>
                <w:sz w:val="18"/>
                <w:szCs w:val="20"/>
              </w:rPr>
            </w:pPr>
            <w:r w:rsidRPr="009617F5">
              <w:rPr>
                <w:rFonts w:ascii="Arial" w:hAnsi="Arial" w:cs="Arial"/>
                <w:sz w:val="18"/>
                <w:szCs w:val="20"/>
              </w:rPr>
              <w:t>Podmokly</w:t>
            </w:r>
          </w:p>
        </w:tc>
        <w:tc>
          <w:tcPr>
            <w:tcW w:w="1723" w:type="dxa"/>
            <w:shd w:val="clear" w:color="auto" w:fill="auto"/>
            <w:vAlign w:val="center"/>
          </w:tcPr>
          <w:p w14:paraId="46ADB616" w14:textId="77777777" w:rsidR="009617F5" w:rsidRPr="009617F5" w:rsidRDefault="009617F5" w:rsidP="00286F7D">
            <w:pPr>
              <w:rPr>
                <w:rFonts w:ascii="Arial" w:hAnsi="Arial" w:cs="Arial"/>
                <w:sz w:val="18"/>
                <w:szCs w:val="20"/>
              </w:rPr>
            </w:pPr>
            <w:r w:rsidRPr="009617F5">
              <w:rPr>
                <w:rFonts w:ascii="Arial" w:hAnsi="Arial" w:cs="Arial"/>
                <w:sz w:val="18"/>
                <w:szCs w:val="20"/>
              </w:rPr>
              <w:t>3155/29</w:t>
            </w:r>
          </w:p>
        </w:tc>
        <w:tc>
          <w:tcPr>
            <w:tcW w:w="696" w:type="dxa"/>
            <w:shd w:val="clear" w:color="auto" w:fill="auto"/>
            <w:noWrap/>
            <w:vAlign w:val="center"/>
          </w:tcPr>
          <w:p w14:paraId="112F4748"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875</w:t>
            </w:r>
          </w:p>
        </w:tc>
        <w:tc>
          <w:tcPr>
            <w:tcW w:w="1818" w:type="dxa"/>
            <w:shd w:val="clear" w:color="auto" w:fill="auto"/>
            <w:noWrap/>
            <w:vAlign w:val="center"/>
          </w:tcPr>
          <w:p w14:paraId="5DCE4E1A"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zastavitelná plocha </w:t>
            </w:r>
          </w:p>
        </w:tc>
      </w:tr>
      <w:tr w:rsidR="009617F5" w:rsidRPr="009617F5" w14:paraId="4ADEA98C" w14:textId="77777777" w:rsidTr="00286F7D">
        <w:trPr>
          <w:trHeight w:val="255"/>
          <w:jc w:val="center"/>
        </w:trPr>
        <w:tc>
          <w:tcPr>
            <w:tcW w:w="886" w:type="dxa"/>
            <w:shd w:val="clear" w:color="auto" w:fill="auto"/>
            <w:vAlign w:val="center"/>
          </w:tcPr>
          <w:p w14:paraId="155D6017"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8Z-33c</w:t>
            </w:r>
          </w:p>
        </w:tc>
        <w:tc>
          <w:tcPr>
            <w:tcW w:w="2692" w:type="dxa"/>
            <w:shd w:val="clear" w:color="auto" w:fill="auto"/>
            <w:noWrap/>
            <w:vAlign w:val="center"/>
          </w:tcPr>
          <w:p w14:paraId="3A3C1591"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2E1432E5" w14:textId="77777777" w:rsidR="009617F5" w:rsidRPr="009617F5" w:rsidRDefault="009617F5" w:rsidP="00286F7D">
            <w:pPr>
              <w:rPr>
                <w:rFonts w:ascii="Arial" w:hAnsi="Arial" w:cs="Arial"/>
                <w:sz w:val="18"/>
                <w:szCs w:val="20"/>
              </w:rPr>
            </w:pPr>
            <w:r w:rsidRPr="009617F5">
              <w:rPr>
                <w:rFonts w:ascii="Arial" w:hAnsi="Arial" w:cs="Arial"/>
                <w:sz w:val="18"/>
                <w:szCs w:val="20"/>
              </w:rPr>
              <w:t>Podmokly</w:t>
            </w:r>
          </w:p>
        </w:tc>
        <w:tc>
          <w:tcPr>
            <w:tcW w:w="1723" w:type="dxa"/>
            <w:shd w:val="clear" w:color="auto" w:fill="auto"/>
            <w:vAlign w:val="center"/>
          </w:tcPr>
          <w:p w14:paraId="57F13F26" w14:textId="77777777" w:rsidR="009617F5" w:rsidRPr="009617F5" w:rsidRDefault="009617F5" w:rsidP="00286F7D">
            <w:pPr>
              <w:rPr>
                <w:rFonts w:ascii="Arial" w:hAnsi="Arial" w:cs="Arial"/>
                <w:sz w:val="18"/>
                <w:szCs w:val="20"/>
              </w:rPr>
            </w:pPr>
            <w:r w:rsidRPr="009617F5">
              <w:rPr>
                <w:rFonts w:ascii="Arial" w:hAnsi="Arial" w:cs="Arial"/>
                <w:sz w:val="18"/>
              </w:rPr>
              <w:t>3155/31, 3155/32</w:t>
            </w:r>
          </w:p>
        </w:tc>
        <w:tc>
          <w:tcPr>
            <w:tcW w:w="696" w:type="dxa"/>
            <w:shd w:val="clear" w:color="auto" w:fill="auto"/>
            <w:noWrap/>
            <w:vAlign w:val="center"/>
          </w:tcPr>
          <w:p w14:paraId="5D108B57"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fldChar w:fldCharType="begin"/>
            </w:r>
            <w:r w:rsidRPr="009617F5">
              <w:rPr>
                <w:rFonts w:ascii="Arial" w:hAnsi="Arial" w:cs="Arial"/>
                <w:sz w:val="18"/>
              </w:rPr>
              <w:instrText xml:space="preserve"> =SUM(ABOVE) </w:instrText>
            </w:r>
            <w:r w:rsidRPr="009617F5">
              <w:rPr>
                <w:rFonts w:ascii="Arial" w:hAnsi="Arial" w:cs="Arial"/>
                <w:sz w:val="18"/>
              </w:rPr>
              <w:fldChar w:fldCharType="separate"/>
            </w:r>
            <w:r w:rsidRPr="009617F5">
              <w:rPr>
                <w:rFonts w:ascii="Arial" w:hAnsi="Arial" w:cs="Arial"/>
                <w:noProof/>
                <w:sz w:val="18"/>
              </w:rPr>
              <w:t>1639</w:t>
            </w:r>
            <w:r w:rsidRPr="009617F5">
              <w:rPr>
                <w:rFonts w:ascii="Arial" w:hAnsi="Arial" w:cs="Arial"/>
                <w:sz w:val="18"/>
              </w:rPr>
              <w:fldChar w:fldCharType="end"/>
            </w:r>
          </w:p>
        </w:tc>
        <w:tc>
          <w:tcPr>
            <w:tcW w:w="1818" w:type="dxa"/>
            <w:shd w:val="clear" w:color="auto" w:fill="auto"/>
            <w:noWrap/>
            <w:vAlign w:val="center"/>
          </w:tcPr>
          <w:p w14:paraId="5EBE7014"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zastavitelná plocha </w:t>
            </w:r>
          </w:p>
        </w:tc>
      </w:tr>
      <w:tr w:rsidR="009617F5" w:rsidRPr="009617F5" w14:paraId="023C098B" w14:textId="77777777" w:rsidTr="00286F7D">
        <w:trPr>
          <w:trHeight w:val="300"/>
          <w:jc w:val="center"/>
        </w:trPr>
        <w:tc>
          <w:tcPr>
            <w:tcW w:w="886" w:type="dxa"/>
            <w:shd w:val="clear" w:color="auto" w:fill="auto"/>
            <w:vAlign w:val="center"/>
          </w:tcPr>
          <w:p w14:paraId="5B1B4A7B"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8Z-34</w:t>
            </w:r>
          </w:p>
        </w:tc>
        <w:tc>
          <w:tcPr>
            <w:tcW w:w="2692" w:type="dxa"/>
            <w:shd w:val="clear" w:color="auto" w:fill="auto"/>
            <w:noWrap/>
            <w:vAlign w:val="center"/>
          </w:tcPr>
          <w:p w14:paraId="41053CBB"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RD venkovského typu</w:t>
            </w:r>
          </w:p>
        </w:tc>
        <w:tc>
          <w:tcPr>
            <w:tcW w:w="1630" w:type="dxa"/>
            <w:shd w:val="clear" w:color="auto" w:fill="auto"/>
            <w:noWrap/>
            <w:vAlign w:val="center"/>
          </w:tcPr>
          <w:p w14:paraId="00F7A8EE" w14:textId="77777777" w:rsidR="009617F5" w:rsidRPr="009617F5" w:rsidRDefault="009617F5" w:rsidP="00286F7D">
            <w:pPr>
              <w:rPr>
                <w:rFonts w:ascii="Arial" w:hAnsi="Arial" w:cs="Arial"/>
                <w:sz w:val="18"/>
                <w:szCs w:val="20"/>
              </w:rPr>
            </w:pPr>
            <w:r w:rsidRPr="009617F5">
              <w:rPr>
                <w:rFonts w:ascii="Arial" w:hAnsi="Arial" w:cs="Arial"/>
                <w:sz w:val="18"/>
                <w:szCs w:val="20"/>
              </w:rPr>
              <w:t>Prostřední Žleb</w:t>
            </w:r>
          </w:p>
        </w:tc>
        <w:tc>
          <w:tcPr>
            <w:tcW w:w="1723" w:type="dxa"/>
            <w:shd w:val="clear" w:color="auto" w:fill="auto"/>
            <w:vAlign w:val="center"/>
          </w:tcPr>
          <w:p w14:paraId="38186184" w14:textId="77777777" w:rsidR="009617F5" w:rsidRPr="009617F5" w:rsidRDefault="009617F5" w:rsidP="00286F7D">
            <w:pPr>
              <w:rPr>
                <w:rFonts w:ascii="Arial" w:hAnsi="Arial" w:cs="Arial"/>
                <w:sz w:val="18"/>
                <w:szCs w:val="20"/>
              </w:rPr>
            </w:pPr>
            <w:r w:rsidRPr="009617F5">
              <w:rPr>
                <w:rFonts w:ascii="Arial" w:hAnsi="Arial" w:cs="Arial"/>
                <w:sz w:val="18"/>
              </w:rPr>
              <w:t>881/2, 884/2</w:t>
            </w:r>
          </w:p>
        </w:tc>
        <w:tc>
          <w:tcPr>
            <w:tcW w:w="696" w:type="dxa"/>
            <w:shd w:val="clear" w:color="auto" w:fill="auto"/>
            <w:noWrap/>
            <w:vAlign w:val="center"/>
          </w:tcPr>
          <w:p w14:paraId="1A61E17E"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3749</w:t>
            </w:r>
          </w:p>
        </w:tc>
        <w:tc>
          <w:tcPr>
            <w:tcW w:w="1818" w:type="dxa"/>
            <w:shd w:val="clear" w:color="auto" w:fill="auto"/>
            <w:noWrap/>
            <w:vAlign w:val="center"/>
          </w:tcPr>
          <w:p w14:paraId="38146A3A"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177A0457" w14:textId="77777777" w:rsidTr="00286F7D">
        <w:trPr>
          <w:trHeight w:val="255"/>
          <w:jc w:val="center"/>
        </w:trPr>
        <w:tc>
          <w:tcPr>
            <w:tcW w:w="886" w:type="dxa"/>
            <w:shd w:val="clear" w:color="auto" w:fill="auto"/>
            <w:vAlign w:val="center"/>
          </w:tcPr>
          <w:p w14:paraId="5446BE23"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8Z-35</w:t>
            </w:r>
          </w:p>
        </w:tc>
        <w:tc>
          <w:tcPr>
            <w:tcW w:w="2692" w:type="dxa"/>
            <w:shd w:val="clear" w:color="auto" w:fill="auto"/>
            <w:noWrap/>
            <w:vAlign w:val="center"/>
          </w:tcPr>
          <w:p w14:paraId="38F917BD"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47108208" w14:textId="77777777" w:rsidR="009617F5" w:rsidRPr="009617F5" w:rsidRDefault="009617F5" w:rsidP="00286F7D">
            <w:pPr>
              <w:rPr>
                <w:rFonts w:ascii="Arial" w:hAnsi="Arial" w:cs="Arial"/>
                <w:sz w:val="18"/>
                <w:szCs w:val="20"/>
              </w:rPr>
            </w:pPr>
            <w:r w:rsidRPr="009617F5">
              <w:rPr>
                <w:rFonts w:ascii="Arial" w:hAnsi="Arial" w:cs="Arial"/>
                <w:sz w:val="18"/>
                <w:szCs w:val="20"/>
              </w:rPr>
              <w:t>Vilsnice</w:t>
            </w:r>
          </w:p>
        </w:tc>
        <w:tc>
          <w:tcPr>
            <w:tcW w:w="1723" w:type="dxa"/>
            <w:shd w:val="clear" w:color="auto" w:fill="auto"/>
            <w:vAlign w:val="center"/>
          </w:tcPr>
          <w:p w14:paraId="5F59349C" w14:textId="77777777" w:rsidR="009617F5" w:rsidRPr="009617F5" w:rsidRDefault="009617F5" w:rsidP="00286F7D">
            <w:pPr>
              <w:rPr>
                <w:rFonts w:ascii="Arial" w:hAnsi="Arial" w:cs="Arial"/>
                <w:sz w:val="18"/>
                <w:szCs w:val="20"/>
              </w:rPr>
            </w:pPr>
            <w:r w:rsidRPr="009617F5">
              <w:rPr>
                <w:rFonts w:ascii="Arial" w:hAnsi="Arial" w:cs="Arial"/>
                <w:sz w:val="18"/>
                <w:szCs w:val="20"/>
              </w:rPr>
              <w:t>77/6</w:t>
            </w:r>
          </w:p>
        </w:tc>
        <w:tc>
          <w:tcPr>
            <w:tcW w:w="696" w:type="dxa"/>
            <w:shd w:val="clear" w:color="auto" w:fill="auto"/>
            <w:noWrap/>
            <w:vAlign w:val="center"/>
          </w:tcPr>
          <w:p w14:paraId="7C443E5A"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636</w:t>
            </w:r>
          </w:p>
        </w:tc>
        <w:tc>
          <w:tcPr>
            <w:tcW w:w="1818" w:type="dxa"/>
            <w:shd w:val="clear" w:color="auto" w:fill="auto"/>
            <w:noWrap/>
            <w:vAlign w:val="center"/>
          </w:tcPr>
          <w:p w14:paraId="6119024C"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zastavitelná plocha </w:t>
            </w:r>
          </w:p>
        </w:tc>
      </w:tr>
      <w:tr w:rsidR="009617F5" w:rsidRPr="009617F5" w14:paraId="7D56259C" w14:textId="77777777" w:rsidTr="00286F7D">
        <w:trPr>
          <w:trHeight w:val="255"/>
          <w:jc w:val="center"/>
        </w:trPr>
        <w:tc>
          <w:tcPr>
            <w:tcW w:w="886" w:type="dxa"/>
            <w:shd w:val="clear" w:color="auto" w:fill="auto"/>
            <w:vAlign w:val="center"/>
          </w:tcPr>
          <w:p w14:paraId="3F053235"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8Z-36</w:t>
            </w:r>
          </w:p>
        </w:tc>
        <w:tc>
          <w:tcPr>
            <w:tcW w:w="2692" w:type="dxa"/>
            <w:shd w:val="clear" w:color="auto" w:fill="auto"/>
            <w:noWrap/>
            <w:vAlign w:val="center"/>
          </w:tcPr>
          <w:p w14:paraId="4563E25C"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rekreační území</w:t>
            </w:r>
          </w:p>
        </w:tc>
        <w:tc>
          <w:tcPr>
            <w:tcW w:w="1630" w:type="dxa"/>
            <w:shd w:val="clear" w:color="auto" w:fill="auto"/>
            <w:noWrap/>
            <w:vAlign w:val="center"/>
          </w:tcPr>
          <w:p w14:paraId="23EFCBB9" w14:textId="77777777" w:rsidR="009617F5" w:rsidRPr="009617F5" w:rsidRDefault="009617F5" w:rsidP="00286F7D">
            <w:pPr>
              <w:rPr>
                <w:rFonts w:ascii="Arial" w:hAnsi="Arial" w:cs="Arial"/>
                <w:sz w:val="18"/>
                <w:szCs w:val="20"/>
              </w:rPr>
            </w:pPr>
            <w:r w:rsidRPr="009617F5">
              <w:rPr>
                <w:rFonts w:ascii="Arial" w:hAnsi="Arial" w:cs="Arial"/>
                <w:sz w:val="16"/>
                <w:szCs w:val="18"/>
              </w:rPr>
              <w:t>Boletice nad Labem</w:t>
            </w:r>
          </w:p>
        </w:tc>
        <w:tc>
          <w:tcPr>
            <w:tcW w:w="1723" w:type="dxa"/>
            <w:shd w:val="clear" w:color="auto" w:fill="auto"/>
            <w:vAlign w:val="center"/>
          </w:tcPr>
          <w:p w14:paraId="41674C0D" w14:textId="77777777" w:rsidR="009617F5" w:rsidRPr="009617F5" w:rsidRDefault="009617F5" w:rsidP="00286F7D">
            <w:pPr>
              <w:rPr>
                <w:rFonts w:ascii="Arial" w:hAnsi="Arial" w:cs="Arial"/>
                <w:sz w:val="18"/>
                <w:szCs w:val="20"/>
              </w:rPr>
            </w:pPr>
            <w:r w:rsidRPr="009617F5">
              <w:rPr>
                <w:rFonts w:ascii="Arial" w:hAnsi="Arial" w:cs="Arial"/>
                <w:sz w:val="18"/>
              </w:rPr>
              <w:t>979/6, 979/8</w:t>
            </w:r>
          </w:p>
        </w:tc>
        <w:tc>
          <w:tcPr>
            <w:tcW w:w="696" w:type="dxa"/>
            <w:shd w:val="clear" w:color="auto" w:fill="auto"/>
            <w:noWrap/>
            <w:vAlign w:val="center"/>
          </w:tcPr>
          <w:p w14:paraId="32DD7261"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fldChar w:fldCharType="begin"/>
            </w:r>
            <w:r w:rsidRPr="009617F5">
              <w:rPr>
                <w:rFonts w:ascii="Arial" w:hAnsi="Arial" w:cs="Arial"/>
                <w:sz w:val="18"/>
              </w:rPr>
              <w:instrText xml:space="preserve"> =SUM(ABOVE) </w:instrText>
            </w:r>
            <w:r w:rsidRPr="009617F5">
              <w:rPr>
                <w:rFonts w:ascii="Arial" w:hAnsi="Arial" w:cs="Arial"/>
                <w:sz w:val="18"/>
              </w:rPr>
              <w:fldChar w:fldCharType="separate"/>
            </w:r>
            <w:r w:rsidRPr="009617F5">
              <w:rPr>
                <w:rFonts w:ascii="Arial" w:hAnsi="Arial" w:cs="Arial"/>
                <w:noProof/>
                <w:sz w:val="18"/>
              </w:rPr>
              <w:t>1202</w:t>
            </w:r>
            <w:r w:rsidRPr="009617F5">
              <w:rPr>
                <w:rFonts w:ascii="Arial" w:hAnsi="Arial" w:cs="Arial"/>
                <w:sz w:val="18"/>
              </w:rPr>
              <w:fldChar w:fldCharType="end"/>
            </w:r>
          </w:p>
        </w:tc>
        <w:tc>
          <w:tcPr>
            <w:tcW w:w="1818" w:type="dxa"/>
            <w:shd w:val="clear" w:color="auto" w:fill="auto"/>
            <w:noWrap/>
            <w:vAlign w:val="center"/>
          </w:tcPr>
          <w:p w14:paraId="7479BD0A"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204CEFBF" w14:textId="77777777" w:rsidTr="00286F7D">
        <w:trPr>
          <w:trHeight w:val="300"/>
          <w:jc w:val="center"/>
        </w:trPr>
        <w:tc>
          <w:tcPr>
            <w:tcW w:w="886" w:type="dxa"/>
            <w:shd w:val="clear" w:color="auto" w:fill="auto"/>
            <w:vAlign w:val="center"/>
          </w:tcPr>
          <w:p w14:paraId="6CEDD0F9"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8Z-37</w:t>
            </w:r>
          </w:p>
        </w:tc>
        <w:tc>
          <w:tcPr>
            <w:tcW w:w="2692" w:type="dxa"/>
            <w:shd w:val="clear" w:color="auto" w:fill="auto"/>
            <w:noWrap/>
            <w:vAlign w:val="center"/>
          </w:tcPr>
          <w:p w14:paraId="7A76D1AC"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plocha smíšená obytná</w:t>
            </w:r>
          </w:p>
        </w:tc>
        <w:tc>
          <w:tcPr>
            <w:tcW w:w="1630" w:type="dxa"/>
            <w:shd w:val="clear" w:color="auto" w:fill="auto"/>
            <w:noWrap/>
            <w:vAlign w:val="center"/>
          </w:tcPr>
          <w:p w14:paraId="3B569F02" w14:textId="77777777" w:rsidR="009617F5" w:rsidRPr="009617F5" w:rsidRDefault="009617F5" w:rsidP="00286F7D">
            <w:pPr>
              <w:rPr>
                <w:rFonts w:ascii="Arial" w:hAnsi="Arial" w:cs="Arial"/>
                <w:sz w:val="18"/>
                <w:szCs w:val="20"/>
              </w:rPr>
            </w:pPr>
            <w:r w:rsidRPr="009617F5">
              <w:rPr>
                <w:rFonts w:ascii="Arial" w:hAnsi="Arial" w:cs="Arial"/>
                <w:sz w:val="18"/>
                <w:szCs w:val="20"/>
              </w:rPr>
              <w:t xml:space="preserve">Děčín </w:t>
            </w:r>
          </w:p>
        </w:tc>
        <w:tc>
          <w:tcPr>
            <w:tcW w:w="1723" w:type="dxa"/>
            <w:shd w:val="clear" w:color="auto" w:fill="auto"/>
            <w:vAlign w:val="center"/>
          </w:tcPr>
          <w:p w14:paraId="051EDC62" w14:textId="77777777" w:rsidR="009617F5" w:rsidRPr="009617F5" w:rsidRDefault="009617F5" w:rsidP="00286F7D">
            <w:pPr>
              <w:rPr>
                <w:rFonts w:ascii="Arial" w:hAnsi="Arial" w:cs="Arial"/>
                <w:sz w:val="18"/>
                <w:szCs w:val="20"/>
              </w:rPr>
            </w:pPr>
            <w:r w:rsidRPr="009617F5">
              <w:rPr>
                <w:rFonts w:ascii="Arial" w:hAnsi="Arial" w:cs="Arial"/>
                <w:sz w:val="18"/>
              </w:rPr>
              <w:t>305/1, 306, 307/1, 307/2</w:t>
            </w:r>
          </w:p>
        </w:tc>
        <w:tc>
          <w:tcPr>
            <w:tcW w:w="696" w:type="dxa"/>
            <w:shd w:val="clear" w:color="auto" w:fill="auto"/>
            <w:noWrap/>
            <w:vAlign w:val="center"/>
          </w:tcPr>
          <w:p w14:paraId="0BF9481D"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6975</w:t>
            </w:r>
          </w:p>
        </w:tc>
        <w:tc>
          <w:tcPr>
            <w:tcW w:w="1818" w:type="dxa"/>
            <w:shd w:val="clear" w:color="auto" w:fill="auto"/>
            <w:noWrap/>
            <w:vAlign w:val="center"/>
          </w:tcPr>
          <w:p w14:paraId="75502FF6"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přestavbová plocha</w:t>
            </w:r>
          </w:p>
        </w:tc>
      </w:tr>
      <w:tr w:rsidR="009617F5" w:rsidRPr="009617F5" w14:paraId="2FD0893B" w14:textId="77777777" w:rsidTr="00286F7D">
        <w:trPr>
          <w:trHeight w:val="255"/>
          <w:jc w:val="center"/>
        </w:trPr>
        <w:tc>
          <w:tcPr>
            <w:tcW w:w="886" w:type="dxa"/>
            <w:shd w:val="clear" w:color="auto" w:fill="auto"/>
            <w:vAlign w:val="center"/>
          </w:tcPr>
          <w:p w14:paraId="42964422"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8Z-40</w:t>
            </w:r>
          </w:p>
        </w:tc>
        <w:tc>
          <w:tcPr>
            <w:tcW w:w="2692" w:type="dxa"/>
            <w:shd w:val="clear" w:color="auto" w:fill="auto"/>
            <w:noWrap/>
            <w:vAlign w:val="center"/>
          </w:tcPr>
          <w:p w14:paraId="19C0ACB6"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0FAE8C39" w14:textId="77777777" w:rsidR="009617F5" w:rsidRPr="009617F5" w:rsidRDefault="009617F5" w:rsidP="00286F7D">
            <w:pPr>
              <w:rPr>
                <w:rFonts w:ascii="Arial" w:hAnsi="Arial" w:cs="Arial"/>
                <w:sz w:val="18"/>
                <w:szCs w:val="20"/>
              </w:rPr>
            </w:pPr>
            <w:r w:rsidRPr="009617F5">
              <w:rPr>
                <w:rFonts w:ascii="Arial" w:hAnsi="Arial" w:cs="Arial"/>
                <w:bCs/>
                <w:sz w:val="18"/>
              </w:rPr>
              <w:t>Horní Oldřichov</w:t>
            </w:r>
          </w:p>
        </w:tc>
        <w:tc>
          <w:tcPr>
            <w:tcW w:w="1723" w:type="dxa"/>
            <w:shd w:val="clear" w:color="auto" w:fill="auto"/>
            <w:vAlign w:val="center"/>
          </w:tcPr>
          <w:p w14:paraId="364632D6" w14:textId="77777777" w:rsidR="009617F5" w:rsidRPr="009617F5" w:rsidRDefault="009617F5" w:rsidP="00286F7D">
            <w:pPr>
              <w:rPr>
                <w:rFonts w:ascii="Arial" w:hAnsi="Arial" w:cs="Arial"/>
                <w:sz w:val="18"/>
                <w:szCs w:val="20"/>
              </w:rPr>
            </w:pPr>
            <w:r w:rsidRPr="009617F5">
              <w:rPr>
                <w:rFonts w:ascii="Arial" w:hAnsi="Arial" w:cs="Arial"/>
                <w:sz w:val="18"/>
                <w:szCs w:val="20"/>
              </w:rPr>
              <w:t>899/58</w:t>
            </w:r>
          </w:p>
        </w:tc>
        <w:tc>
          <w:tcPr>
            <w:tcW w:w="696" w:type="dxa"/>
            <w:shd w:val="clear" w:color="auto" w:fill="auto"/>
            <w:noWrap/>
            <w:vAlign w:val="center"/>
          </w:tcPr>
          <w:p w14:paraId="3E190433"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4824</w:t>
            </w:r>
          </w:p>
        </w:tc>
        <w:tc>
          <w:tcPr>
            <w:tcW w:w="1818" w:type="dxa"/>
            <w:shd w:val="clear" w:color="auto" w:fill="auto"/>
            <w:noWrap/>
            <w:vAlign w:val="center"/>
          </w:tcPr>
          <w:p w14:paraId="60C2E4CD"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36C4DF81" w14:textId="77777777" w:rsidTr="00286F7D">
        <w:trPr>
          <w:trHeight w:val="255"/>
          <w:jc w:val="center"/>
        </w:trPr>
        <w:tc>
          <w:tcPr>
            <w:tcW w:w="886" w:type="dxa"/>
            <w:shd w:val="clear" w:color="auto" w:fill="auto"/>
            <w:vAlign w:val="center"/>
          </w:tcPr>
          <w:p w14:paraId="6E2D6077"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8Z-43</w:t>
            </w:r>
          </w:p>
        </w:tc>
        <w:tc>
          <w:tcPr>
            <w:tcW w:w="2692" w:type="dxa"/>
            <w:shd w:val="clear" w:color="auto" w:fill="auto"/>
            <w:noWrap/>
            <w:vAlign w:val="center"/>
          </w:tcPr>
          <w:p w14:paraId="5DDAB2BC"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2A07B9BA" w14:textId="77777777" w:rsidR="009617F5" w:rsidRPr="009617F5" w:rsidRDefault="009617F5" w:rsidP="00286F7D">
            <w:pPr>
              <w:rPr>
                <w:rFonts w:ascii="Arial" w:hAnsi="Arial" w:cs="Arial"/>
                <w:sz w:val="18"/>
                <w:szCs w:val="20"/>
              </w:rPr>
            </w:pPr>
            <w:r w:rsidRPr="009617F5">
              <w:rPr>
                <w:rFonts w:ascii="Arial" w:hAnsi="Arial" w:cs="Arial"/>
                <w:bCs/>
                <w:sz w:val="18"/>
              </w:rPr>
              <w:t>Horní Oldřichov</w:t>
            </w:r>
          </w:p>
        </w:tc>
        <w:tc>
          <w:tcPr>
            <w:tcW w:w="1723" w:type="dxa"/>
            <w:shd w:val="clear" w:color="auto" w:fill="auto"/>
            <w:vAlign w:val="center"/>
          </w:tcPr>
          <w:p w14:paraId="056CEFD6" w14:textId="77777777" w:rsidR="009617F5" w:rsidRPr="009617F5" w:rsidRDefault="009617F5" w:rsidP="00286F7D">
            <w:pPr>
              <w:rPr>
                <w:rFonts w:ascii="Arial" w:hAnsi="Arial" w:cs="Arial"/>
                <w:sz w:val="18"/>
                <w:szCs w:val="20"/>
              </w:rPr>
            </w:pPr>
            <w:r w:rsidRPr="009617F5">
              <w:rPr>
                <w:rFonts w:ascii="Arial" w:hAnsi="Arial" w:cs="Arial"/>
                <w:sz w:val="18"/>
                <w:szCs w:val="20"/>
              </w:rPr>
              <w:t>1363/1</w:t>
            </w:r>
          </w:p>
        </w:tc>
        <w:tc>
          <w:tcPr>
            <w:tcW w:w="696" w:type="dxa"/>
            <w:shd w:val="clear" w:color="auto" w:fill="auto"/>
            <w:noWrap/>
            <w:vAlign w:val="center"/>
          </w:tcPr>
          <w:p w14:paraId="3F39A15C"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2338</w:t>
            </w:r>
          </w:p>
        </w:tc>
        <w:tc>
          <w:tcPr>
            <w:tcW w:w="1818" w:type="dxa"/>
            <w:shd w:val="clear" w:color="auto" w:fill="auto"/>
            <w:noWrap/>
            <w:vAlign w:val="center"/>
          </w:tcPr>
          <w:p w14:paraId="20F01E3D"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02C66586" w14:textId="77777777" w:rsidTr="00286F7D">
        <w:trPr>
          <w:trHeight w:val="255"/>
          <w:jc w:val="center"/>
        </w:trPr>
        <w:tc>
          <w:tcPr>
            <w:tcW w:w="886" w:type="dxa"/>
            <w:shd w:val="clear" w:color="auto" w:fill="auto"/>
            <w:vAlign w:val="center"/>
          </w:tcPr>
          <w:p w14:paraId="39BF2D6F"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8Z-45</w:t>
            </w:r>
          </w:p>
        </w:tc>
        <w:tc>
          <w:tcPr>
            <w:tcW w:w="2692" w:type="dxa"/>
            <w:shd w:val="clear" w:color="auto" w:fill="auto"/>
            <w:noWrap/>
            <w:vAlign w:val="center"/>
          </w:tcPr>
          <w:p w14:paraId="763EBF6E"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6042E36F" w14:textId="77777777" w:rsidR="009617F5" w:rsidRPr="009617F5" w:rsidRDefault="009617F5" w:rsidP="00286F7D">
            <w:pPr>
              <w:rPr>
                <w:rFonts w:ascii="Arial" w:hAnsi="Arial" w:cs="Arial"/>
                <w:sz w:val="18"/>
                <w:szCs w:val="20"/>
              </w:rPr>
            </w:pPr>
            <w:r w:rsidRPr="009617F5">
              <w:rPr>
                <w:rFonts w:ascii="Arial" w:hAnsi="Arial" w:cs="Arial"/>
                <w:sz w:val="18"/>
                <w:szCs w:val="20"/>
              </w:rPr>
              <w:t>Děčín</w:t>
            </w:r>
          </w:p>
        </w:tc>
        <w:tc>
          <w:tcPr>
            <w:tcW w:w="1723" w:type="dxa"/>
            <w:shd w:val="clear" w:color="auto" w:fill="auto"/>
            <w:vAlign w:val="center"/>
          </w:tcPr>
          <w:p w14:paraId="011BF890" w14:textId="77777777" w:rsidR="009617F5" w:rsidRPr="009617F5" w:rsidRDefault="009617F5" w:rsidP="00286F7D">
            <w:pPr>
              <w:rPr>
                <w:rFonts w:ascii="Arial" w:hAnsi="Arial" w:cs="Arial"/>
                <w:sz w:val="18"/>
                <w:szCs w:val="20"/>
              </w:rPr>
            </w:pPr>
            <w:r w:rsidRPr="009617F5">
              <w:rPr>
                <w:rFonts w:ascii="Arial" w:hAnsi="Arial" w:cs="Arial"/>
                <w:sz w:val="18"/>
                <w:szCs w:val="20"/>
              </w:rPr>
              <w:t>2829/16</w:t>
            </w:r>
          </w:p>
        </w:tc>
        <w:tc>
          <w:tcPr>
            <w:tcW w:w="696" w:type="dxa"/>
            <w:shd w:val="clear" w:color="auto" w:fill="auto"/>
            <w:noWrap/>
            <w:vAlign w:val="center"/>
          </w:tcPr>
          <w:p w14:paraId="291B5A9F"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1010</w:t>
            </w:r>
          </w:p>
        </w:tc>
        <w:tc>
          <w:tcPr>
            <w:tcW w:w="1818" w:type="dxa"/>
            <w:shd w:val="clear" w:color="auto" w:fill="auto"/>
            <w:noWrap/>
            <w:vAlign w:val="center"/>
          </w:tcPr>
          <w:p w14:paraId="197042FB"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přestavbová plocha</w:t>
            </w:r>
          </w:p>
        </w:tc>
      </w:tr>
      <w:tr w:rsidR="009617F5" w:rsidRPr="009617F5" w14:paraId="39711B41" w14:textId="77777777" w:rsidTr="00286F7D">
        <w:trPr>
          <w:trHeight w:val="255"/>
          <w:jc w:val="center"/>
        </w:trPr>
        <w:tc>
          <w:tcPr>
            <w:tcW w:w="886" w:type="dxa"/>
            <w:shd w:val="clear" w:color="auto" w:fill="auto"/>
            <w:vAlign w:val="center"/>
          </w:tcPr>
          <w:p w14:paraId="103188B5"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8Z-46</w:t>
            </w:r>
          </w:p>
        </w:tc>
        <w:tc>
          <w:tcPr>
            <w:tcW w:w="2692" w:type="dxa"/>
            <w:shd w:val="clear" w:color="auto" w:fill="auto"/>
            <w:noWrap/>
            <w:vAlign w:val="center"/>
          </w:tcPr>
          <w:p w14:paraId="57563A5F"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220A2099" w14:textId="77777777" w:rsidR="009617F5" w:rsidRPr="009617F5" w:rsidRDefault="009617F5" w:rsidP="00286F7D">
            <w:pPr>
              <w:rPr>
                <w:rFonts w:ascii="Arial" w:hAnsi="Arial" w:cs="Arial"/>
                <w:sz w:val="18"/>
                <w:szCs w:val="20"/>
              </w:rPr>
            </w:pPr>
            <w:r w:rsidRPr="009617F5">
              <w:rPr>
                <w:rFonts w:ascii="Arial" w:hAnsi="Arial" w:cs="Arial"/>
                <w:sz w:val="18"/>
                <w:szCs w:val="20"/>
              </w:rPr>
              <w:t>Chrochvice</w:t>
            </w:r>
          </w:p>
        </w:tc>
        <w:tc>
          <w:tcPr>
            <w:tcW w:w="1723" w:type="dxa"/>
            <w:shd w:val="clear" w:color="auto" w:fill="auto"/>
            <w:vAlign w:val="center"/>
          </w:tcPr>
          <w:p w14:paraId="799153B6" w14:textId="77777777" w:rsidR="009617F5" w:rsidRPr="009617F5" w:rsidRDefault="009617F5" w:rsidP="00286F7D">
            <w:pPr>
              <w:rPr>
                <w:rFonts w:ascii="Arial" w:hAnsi="Arial" w:cs="Arial"/>
                <w:sz w:val="18"/>
                <w:szCs w:val="20"/>
              </w:rPr>
            </w:pPr>
            <w:r w:rsidRPr="009617F5">
              <w:rPr>
                <w:rFonts w:ascii="Arial" w:hAnsi="Arial" w:cs="Arial"/>
                <w:sz w:val="18"/>
                <w:szCs w:val="20"/>
              </w:rPr>
              <w:t>42/2</w:t>
            </w:r>
          </w:p>
        </w:tc>
        <w:tc>
          <w:tcPr>
            <w:tcW w:w="696" w:type="dxa"/>
            <w:shd w:val="clear" w:color="auto" w:fill="auto"/>
            <w:noWrap/>
            <w:vAlign w:val="center"/>
          </w:tcPr>
          <w:p w14:paraId="57456DEB"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fldChar w:fldCharType="begin"/>
            </w:r>
            <w:r w:rsidRPr="009617F5">
              <w:rPr>
                <w:rFonts w:ascii="Arial" w:hAnsi="Arial" w:cs="Arial"/>
                <w:sz w:val="18"/>
              </w:rPr>
              <w:instrText xml:space="preserve"> =SUM(ABOVE) </w:instrText>
            </w:r>
            <w:r w:rsidRPr="009617F5">
              <w:rPr>
                <w:rFonts w:ascii="Arial" w:hAnsi="Arial" w:cs="Arial"/>
                <w:sz w:val="18"/>
              </w:rPr>
              <w:fldChar w:fldCharType="separate"/>
            </w:r>
            <w:r w:rsidRPr="009617F5">
              <w:rPr>
                <w:rFonts w:ascii="Arial" w:hAnsi="Arial" w:cs="Arial"/>
                <w:noProof/>
                <w:sz w:val="18"/>
              </w:rPr>
              <w:t>1728</w:t>
            </w:r>
            <w:r w:rsidRPr="009617F5">
              <w:rPr>
                <w:rFonts w:ascii="Arial" w:hAnsi="Arial" w:cs="Arial"/>
                <w:sz w:val="18"/>
              </w:rPr>
              <w:fldChar w:fldCharType="end"/>
            </w:r>
          </w:p>
        </w:tc>
        <w:tc>
          <w:tcPr>
            <w:tcW w:w="1818" w:type="dxa"/>
            <w:shd w:val="clear" w:color="auto" w:fill="auto"/>
            <w:noWrap/>
            <w:vAlign w:val="center"/>
          </w:tcPr>
          <w:p w14:paraId="1D96B381"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přestavbová plocha</w:t>
            </w:r>
          </w:p>
        </w:tc>
      </w:tr>
      <w:tr w:rsidR="009617F5" w:rsidRPr="009617F5" w14:paraId="2D2EAF51" w14:textId="77777777" w:rsidTr="00286F7D">
        <w:trPr>
          <w:trHeight w:val="255"/>
          <w:jc w:val="center"/>
        </w:trPr>
        <w:tc>
          <w:tcPr>
            <w:tcW w:w="886" w:type="dxa"/>
            <w:shd w:val="clear" w:color="auto" w:fill="auto"/>
            <w:vAlign w:val="center"/>
          </w:tcPr>
          <w:p w14:paraId="432F59B7"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lastRenderedPageBreak/>
              <w:t>8Z-47</w:t>
            </w:r>
          </w:p>
        </w:tc>
        <w:tc>
          <w:tcPr>
            <w:tcW w:w="2692" w:type="dxa"/>
            <w:shd w:val="clear" w:color="auto" w:fill="auto"/>
            <w:noWrap/>
            <w:vAlign w:val="center"/>
          </w:tcPr>
          <w:p w14:paraId="0A9197CD"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0E79508B" w14:textId="77777777" w:rsidR="009617F5" w:rsidRPr="009617F5" w:rsidRDefault="009617F5" w:rsidP="00286F7D">
            <w:pPr>
              <w:rPr>
                <w:rFonts w:ascii="Arial" w:hAnsi="Arial" w:cs="Arial"/>
                <w:sz w:val="18"/>
                <w:szCs w:val="20"/>
              </w:rPr>
            </w:pPr>
            <w:r w:rsidRPr="009617F5">
              <w:rPr>
                <w:rFonts w:ascii="Arial" w:hAnsi="Arial" w:cs="Arial"/>
                <w:sz w:val="18"/>
                <w:szCs w:val="20"/>
              </w:rPr>
              <w:t>Křešice</w:t>
            </w:r>
          </w:p>
        </w:tc>
        <w:tc>
          <w:tcPr>
            <w:tcW w:w="1723" w:type="dxa"/>
            <w:shd w:val="clear" w:color="auto" w:fill="auto"/>
            <w:vAlign w:val="center"/>
          </w:tcPr>
          <w:p w14:paraId="5F139965" w14:textId="77777777" w:rsidR="009617F5" w:rsidRPr="009617F5" w:rsidRDefault="009617F5" w:rsidP="00286F7D">
            <w:pPr>
              <w:rPr>
                <w:rFonts w:ascii="Arial" w:hAnsi="Arial" w:cs="Arial"/>
                <w:sz w:val="18"/>
                <w:szCs w:val="20"/>
              </w:rPr>
            </w:pPr>
            <w:r w:rsidRPr="009617F5">
              <w:rPr>
                <w:rFonts w:ascii="Arial" w:hAnsi="Arial" w:cs="Arial"/>
                <w:sz w:val="18"/>
                <w:szCs w:val="20"/>
              </w:rPr>
              <w:t xml:space="preserve">379/4, </w:t>
            </w:r>
          </w:p>
        </w:tc>
        <w:tc>
          <w:tcPr>
            <w:tcW w:w="696" w:type="dxa"/>
            <w:shd w:val="clear" w:color="auto" w:fill="auto"/>
            <w:noWrap/>
            <w:vAlign w:val="center"/>
          </w:tcPr>
          <w:p w14:paraId="0DF09AAD"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20"/>
                <w:szCs w:val="22"/>
              </w:rPr>
              <w:t>5592</w:t>
            </w:r>
          </w:p>
        </w:tc>
        <w:tc>
          <w:tcPr>
            <w:tcW w:w="1818" w:type="dxa"/>
            <w:shd w:val="clear" w:color="auto" w:fill="auto"/>
            <w:noWrap/>
            <w:vAlign w:val="center"/>
          </w:tcPr>
          <w:p w14:paraId="626A904C"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1F366D9A" w14:textId="77777777" w:rsidTr="00286F7D">
        <w:trPr>
          <w:trHeight w:val="300"/>
          <w:jc w:val="center"/>
        </w:trPr>
        <w:tc>
          <w:tcPr>
            <w:tcW w:w="886" w:type="dxa"/>
            <w:shd w:val="clear" w:color="auto" w:fill="auto"/>
            <w:vAlign w:val="center"/>
          </w:tcPr>
          <w:p w14:paraId="73088BFE"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8Z-48</w:t>
            </w:r>
          </w:p>
        </w:tc>
        <w:tc>
          <w:tcPr>
            <w:tcW w:w="2692" w:type="dxa"/>
            <w:shd w:val="clear" w:color="auto" w:fill="auto"/>
            <w:noWrap/>
            <w:vAlign w:val="center"/>
          </w:tcPr>
          <w:p w14:paraId="29EF79C0"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631E7292" w14:textId="77777777" w:rsidR="009617F5" w:rsidRPr="009617F5" w:rsidRDefault="009617F5" w:rsidP="00286F7D">
            <w:pPr>
              <w:rPr>
                <w:rFonts w:ascii="Arial" w:hAnsi="Arial" w:cs="Arial"/>
                <w:sz w:val="18"/>
                <w:szCs w:val="20"/>
              </w:rPr>
            </w:pPr>
            <w:r w:rsidRPr="009617F5">
              <w:rPr>
                <w:rFonts w:ascii="Arial" w:hAnsi="Arial" w:cs="Arial"/>
                <w:bCs/>
                <w:sz w:val="18"/>
              </w:rPr>
              <w:t>Horní Oldřichov</w:t>
            </w:r>
          </w:p>
        </w:tc>
        <w:tc>
          <w:tcPr>
            <w:tcW w:w="1723" w:type="dxa"/>
            <w:shd w:val="clear" w:color="auto" w:fill="auto"/>
            <w:vAlign w:val="center"/>
          </w:tcPr>
          <w:p w14:paraId="221E313E" w14:textId="77777777" w:rsidR="009617F5" w:rsidRPr="009617F5" w:rsidRDefault="009617F5" w:rsidP="00286F7D">
            <w:pPr>
              <w:rPr>
                <w:rFonts w:ascii="Arial" w:hAnsi="Arial" w:cs="Arial"/>
                <w:sz w:val="18"/>
                <w:szCs w:val="20"/>
              </w:rPr>
            </w:pPr>
            <w:r w:rsidRPr="009617F5">
              <w:rPr>
                <w:rFonts w:ascii="Arial" w:hAnsi="Arial" w:cs="Arial"/>
                <w:sz w:val="18"/>
                <w:szCs w:val="20"/>
              </w:rPr>
              <w:t>1039/14, /5, 796, 880</w:t>
            </w:r>
          </w:p>
        </w:tc>
        <w:tc>
          <w:tcPr>
            <w:tcW w:w="696" w:type="dxa"/>
            <w:shd w:val="clear" w:color="auto" w:fill="auto"/>
            <w:noWrap/>
            <w:vAlign w:val="center"/>
          </w:tcPr>
          <w:p w14:paraId="7B53E811"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1818</w:t>
            </w:r>
          </w:p>
        </w:tc>
        <w:tc>
          <w:tcPr>
            <w:tcW w:w="1818" w:type="dxa"/>
            <w:shd w:val="clear" w:color="auto" w:fill="auto"/>
            <w:noWrap/>
            <w:vAlign w:val="center"/>
          </w:tcPr>
          <w:p w14:paraId="5CFADE7E"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0ED1B5FC" w14:textId="77777777" w:rsidTr="00286F7D">
        <w:trPr>
          <w:trHeight w:val="255"/>
          <w:jc w:val="center"/>
        </w:trPr>
        <w:tc>
          <w:tcPr>
            <w:tcW w:w="886" w:type="dxa"/>
            <w:shd w:val="clear" w:color="auto" w:fill="auto"/>
            <w:vAlign w:val="center"/>
          </w:tcPr>
          <w:p w14:paraId="06178105"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8Z-49</w:t>
            </w:r>
          </w:p>
        </w:tc>
        <w:tc>
          <w:tcPr>
            <w:tcW w:w="2692" w:type="dxa"/>
            <w:shd w:val="clear" w:color="auto" w:fill="auto"/>
            <w:noWrap/>
            <w:vAlign w:val="center"/>
          </w:tcPr>
          <w:p w14:paraId="4EBD48A6"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4E98EC1C" w14:textId="77777777" w:rsidR="009617F5" w:rsidRPr="009617F5" w:rsidRDefault="009617F5" w:rsidP="00286F7D">
            <w:pPr>
              <w:rPr>
                <w:rFonts w:ascii="Arial" w:hAnsi="Arial" w:cs="Arial"/>
                <w:sz w:val="18"/>
                <w:szCs w:val="20"/>
              </w:rPr>
            </w:pPr>
            <w:r w:rsidRPr="009617F5">
              <w:rPr>
                <w:rFonts w:ascii="Arial" w:hAnsi="Arial" w:cs="Arial"/>
                <w:bCs/>
                <w:sz w:val="18"/>
              </w:rPr>
              <w:t>Horní Oldřichov</w:t>
            </w:r>
          </w:p>
        </w:tc>
        <w:tc>
          <w:tcPr>
            <w:tcW w:w="1723" w:type="dxa"/>
            <w:shd w:val="clear" w:color="auto" w:fill="auto"/>
            <w:vAlign w:val="center"/>
          </w:tcPr>
          <w:p w14:paraId="5BA6C5E9" w14:textId="77777777" w:rsidR="009617F5" w:rsidRPr="009617F5" w:rsidRDefault="009617F5" w:rsidP="00286F7D">
            <w:pPr>
              <w:rPr>
                <w:rFonts w:ascii="Arial" w:hAnsi="Arial" w:cs="Arial"/>
                <w:sz w:val="18"/>
                <w:szCs w:val="20"/>
              </w:rPr>
            </w:pPr>
            <w:r w:rsidRPr="009617F5">
              <w:rPr>
                <w:rFonts w:ascii="Arial" w:hAnsi="Arial" w:cs="Arial"/>
                <w:sz w:val="18"/>
                <w:szCs w:val="20"/>
              </w:rPr>
              <w:t>1039/7, /8</w:t>
            </w:r>
          </w:p>
        </w:tc>
        <w:tc>
          <w:tcPr>
            <w:tcW w:w="696" w:type="dxa"/>
            <w:shd w:val="clear" w:color="auto" w:fill="auto"/>
            <w:noWrap/>
            <w:vAlign w:val="center"/>
          </w:tcPr>
          <w:p w14:paraId="28037062"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fldChar w:fldCharType="begin"/>
            </w:r>
            <w:r w:rsidRPr="009617F5">
              <w:rPr>
                <w:rFonts w:ascii="Arial" w:hAnsi="Arial" w:cs="Arial"/>
                <w:sz w:val="18"/>
              </w:rPr>
              <w:instrText xml:space="preserve"> =SUM(ABOVE) </w:instrText>
            </w:r>
            <w:r w:rsidRPr="009617F5">
              <w:rPr>
                <w:rFonts w:ascii="Arial" w:hAnsi="Arial" w:cs="Arial"/>
                <w:sz w:val="18"/>
              </w:rPr>
              <w:fldChar w:fldCharType="separate"/>
            </w:r>
            <w:r w:rsidRPr="009617F5">
              <w:rPr>
                <w:rFonts w:ascii="Arial" w:hAnsi="Arial" w:cs="Arial"/>
                <w:noProof/>
                <w:sz w:val="18"/>
              </w:rPr>
              <w:t>2242</w:t>
            </w:r>
            <w:r w:rsidRPr="009617F5">
              <w:rPr>
                <w:rFonts w:ascii="Arial" w:hAnsi="Arial" w:cs="Arial"/>
                <w:sz w:val="18"/>
              </w:rPr>
              <w:fldChar w:fldCharType="end"/>
            </w:r>
          </w:p>
        </w:tc>
        <w:tc>
          <w:tcPr>
            <w:tcW w:w="1818" w:type="dxa"/>
            <w:shd w:val="clear" w:color="auto" w:fill="auto"/>
            <w:noWrap/>
            <w:vAlign w:val="center"/>
          </w:tcPr>
          <w:p w14:paraId="26FB394B"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52A32AFD" w14:textId="77777777" w:rsidTr="00286F7D">
        <w:trPr>
          <w:trHeight w:val="255"/>
          <w:jc w:val="center"/>
        </w:trPr>
        <w:tc>
          <w:tcPr>
            <w:tcW w:w="886" w:type="dxa"/>
            <w:shd w:val="clear" w:color="auto" w:fill="auto"/>
            <w:vAlign w:val="center"/>
          </w:tcPr>
          <w:p w14:paraId="1E3F3FD1" w14:textId="77777777" w:rsidR="009617F5" w:rsidRPr="009617F5" w:rsidRDefault="009617F5" w:rsidP="00286F7D">
            <w:pPr>
              <w:jc w:val="center"/>
              <w:rPr>
                <w:rFonts w:ascii="Arial" w:hAnsi="Arial" w:cs="Arial"/>
                <w:b/>
                <w:sz w:val="14"/>
                <w:szCs w:val="16"/>
              </w:rPr>
            </w:pPr>
            <w:r w:rsidRPr="009617F5">
              <w:rPr>
                <w:rFonts w:ascii="Arial" w:hAnsi="Arial" w:cs="Arial"/>
                <w:b/>
                <w:sz w:val="18"/>
                <w:szCs w:val="20"/>
              </w:rPr>
              <w:t>8Z-50b</w:t>
            </w:r>
          </w:p>
        </w:tc>
        <w:tc>
          <w:tcPr>
            <w:tcW w:w="2692" w:type="dxa"/>
            <w:shd w:val="clear" w:color="auto" w:fill="auto"/>
            <w:noWrap/>
            <w:vAlign w:val="center"/>
          </w:tcPr>
          <w:p w14:paraId="7B800266"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78E8FC36" w14:textId="77777777" w:rsidR="009617F5" w:rsidRPr="009617F5" w:rsidRDefault="009617F5" w:rsidP="00286F7D">
            <w:pPr>
              <w:rPr>
                <w:rFonts w:ascii="Arial" w:hAnsi="Arial" w:cs="Arial"/>
                <w:sz w:val="18"/>
                <w:szCs w:val="20"/>
              </w:rPr>
            </w:pPr>
            <w:r w:rsidRPr="009617F5">
              <w:rPr>
                <w:rFonts w:ascii="Arial" w:hAnsi="Arial" w:cs="Arial"/>
                <w:bCs/>
                <w:sz w:val="18"/>
              </w:rPr>
              <w:t>Horní Oldřichov</w:t>
            </w:r>
          </w:p>
        </w:tc>
        <w:tc>
          <w:tcPr>
            <w:tcW w:w="1723" w:type="dxa"/>
            <w:shd w:val="clear" w:color="auto" w:fill="auto"/>
            <w:vAlign w:val="center"/>
          </w:tcPr>
          <w:p w14:paraId="1D2098E2" w14:textId="77777777" w:rsidR="009617F5" w:rsidRPr="009617F5" w:rsidRDefault="009617F5" w:rsidP="00286F7D">
            <w:pPr>
              <w:rPr>
                <w:rFonts w:ascii="Arial" w:hAnsi="Arial" w:cs="Arial"/>
                <w:sz w:val="18"/>
                <w:szCs w:val="20"/>
              </w:rPr>
            </w:pPr>
            <w:r w:rsidRPr="009617F5">
              <w:rPr>
                <w:rFonts w:ascii="Arial" w:hAnsi="Arial" w:cs="Arial"/>
                <w:sz w:val="18"/>
              </w:rPr>
              <w:t>899/64</w:t>
            </w:r>
          </w:p>
        </w:tc>
        <w:tc>
          <w:tcPr>
            <w:tcW w:w="696" w:type="dxa"/>
            <w:shd w:val="clear" w:color="auto" w:fill="auto"/>
            <w:noWrap/>
            <w:vAlign w:val="center"/>
          </w:tcPr>
          <w:p w14:paraId="0695D3EC"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2565</w:t>
            </w:r>
          </w:p>
        </w:tc>
        <w:tc>
          <w:tcPr>
            <w:tcW w:w="1818" w:type="dxa"/>
            <w:shd w:val="clear" w:color="auto" w:fill="auto"/>
            <w:noWrap/>
            <w:vAlign w:val="center"/>
          </w:tcPr>
          <w:p w14:paraId="3CEFB297"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75C9DB8C" w14:textId="77777777" w:rsidTr="00286F7D">
        <w:trPr>
          <w:trHeight w:val="255"/>
          <w:jc w:val="center"/>
        </w:trPr>
        <w:tc>
          <w:tcPr>
            <w:tcW w:w="886" w:type="dxa"/>
            <w:shd w:val="clear" w:color="auto" w:fill="auto"/>
            <w:vAlign w:val="center"/>
          </w:tcPr>
          <w:p w14:paraId="58B50779" w14:textId="77777777" w:rsidR="009617F5" w:rsidRPr="009617F5" w:rsidRDefault="009617F5" w:rsidP="00286F7D">
            <w:pPr>
              <w:jc w:val="center"/>
              <w:rPr>
                <w:rFonts w:ascii="Arial" w:hAnsi="Arial" w:cs="Arial"/>
                <w:b/>
                <w:sz w:val="18"/>
                <w:szCs w:val="20"/>
              </w:rPr>
            </w:pPr>
            <w:r w:rsidRPr="009617F5">
              <w:rPr>
                <w:rFonts w:ascii="Arial" w:hAnsi="Arial" w:cs="Arial"/>
                <w:b/>
                <w:sz w:val="18"/>
                <w:szCs w:val="20"/>
              </w:rPr>
              <w:t>8Z-52</w:t>
            </w:r>
          </w:p>
        </w:tc>
        <w:tc>
          <w:tcPr>
            <w:tcW w:w="2692" w:type="dxa"/>
            <w:shd w:val="clear" w:color="auto" w:fill="auto"/>
            <w:noWrap/>
            <w:vAlign w:val="center"/>
          </w:tcPr>
          <w:p w14:paraId="33EC8573"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13C8541D" w14:textId="77777777" w:rsidR="009617F5" w:rsidRPr="009617F5" w:rsidRDefault="009617F5" w:rsidP="00286F7D">
            <w:pPr>
              <w:rPr>
                <w:rFonts w:ascii="Arial" w:hAnsi="Arial" w:cs="Arial"/>
                <w:sz w:val="18"/>
                <w:szCs w:val="20"/>
              </w:rPr>
            </w:pPr>
            <w:r w:rsidRPr="009617F5">
              <w:rPr>
                <w:rFonts w:ascii="Arial" w:hAnsi="Arial" w:cs="Arial"/>
                <w:sz w:val="18"/>
                <w:szCs w:val="20"/>
              </w:rPr>
              <w:t>Vilsnice</w:t>
            </w:r>
          </w:p>
        </w:tc>
        <w:tc>
          <w:tcPr>
            <w:tcW w:w="1723" w:type="dxa"/>
            <w:shd w:val="clear" w:color="auto" w:fill="auto"/>
            <w:vAlign w:val="center"/>
          </w:tcPr>
          <w:p w14:paraId="074F8D04" w14:textId="77777777" w:rsidR="009617F5" w:rsidRPr="009617F5" w:rsidRDefault="009617F5" w:rsidP="00286F7D">
            <w:pPr>
              <w:rPr>
                <w:rFonts w:ascii="Arial" w:hAnsi="Arial" w:cs="Arial"/>
                <w:sz w:val="18"/>
                <w:szCs w:val="20"/>
              </w:rPr>
            </w:pPr>
            <w:r w:rsidRPr="009617F5">
              <w:rPr>
                <w:rFonts w:ascii="Arial" w:hAnsi="Arial" w:cs="Arial"/>
                <w:sz w:val="18"/>
                <w:szCs w:val="20"/>
              </w:rPr>
              <w:t>487/2</w:t>
            </w:r>
          </w:p>
        </w:tc>
        <w:tc>
          <w:tcPr>
            <w:tcW w:w="696" w:type="dxa"/>
            <w:shd w:val="clear" w:color="auto" w:fill="auto"/>
            <w:noWrap/>
            <w:vAlign w:val="center"/>
          </w:tcPr>
          <w:p w14:paraId="11E199F0" w14:textId="77777777" w:rsidR="009617F5" w:rsidRPr="009617F5" w:rsidRDefault="009617F5" w:rsidP="00286F7D">
            <w:pPr>
              <w:overflowPunct w:val="0"/>
              <w:autoSpaceDE w:val="0"/>
              <w:autoSpaceDN w:val="0"/>
              <w:adjustRightInd w:val="0"/>
              <w:jc w:val="right"/>
              <w:textAlignment w:val="baseline"/>
              <w:rPr>
                <w:rFonts w:ascii="Arial" w:hAnsi="Arial" w:cs="Arial"/>
                <w:sz w:val="18"/>
                <w:szCs w:val="20"/>
              </w:rPr>
            </w:pPr>
            <w:r w:rsidRPr="009617F5">
              <w:rPr>
                <w:rFonts w:ascii="Arial" w:hAnsi="Arial" w:cs="Arial"/>
                <w:sz w:val="18"/>
              </w:rPr>
              <w:t>1275</w:t>
            </w:r>
          </w:p>
        </w:tc>
        <w:tc>
          <w:tcPr>
            <w:tcW w:w="1818" w:type="dxa"/>
            <w:shd w:val="clear" w:color="auto" w:fill="auto"/>
            <w:noWrap/>
            <w:vAlign w:val="center"/>
          </w:tcPr>
          <w:p w14:paraId="16DB4A9B"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r w:rsidRPr="009617F5">
              <w:rPr>
                <w:rFonts w:ascii="Arial" w:hAnsi="Arial" w:cs="Arial"/>
                <w:sz w:val="18"/>
                <w:szCs w:val="20"/>
              </w:rPr>
              <w:t>Zastavitelná plocha</w:t>
            </w:r>
          </w:p>
        </w:tc>
      </w:tr>
      <w:tr w:rsidR="009617F5" w:rsidRPr="009617F5" w14:paraId="34930807" w14:textId="77777777" w:rsidTr="00286F7D">
        <w:trPr>
          <w:trHeight w:val="255"/>
          <w:jc w:val="center"/>
        </w:trPr>
        <w:tc>
          <w:tcPr>
            <w:tcW w:w="886" w:type="dxa"/>
            <w:shd w:val="clear" w:color="auto" w:fill="auto"/>
            <w:vAlign w:val="center"/>
          </w:tcPr>
          <w:p w14:paraId="5BF86F63" w14:textId="77777777" w:rsidR="009617F5" w:rsidRPr="009617F5" w:rsidRDefault="009617F5" w:rsidP="00286F7D">
            <w:pPr>
              <w:jc w:val="center"/>
              <w:rPr>
                <w:rFonts w:ascii="Arial" w:hAnsi="Arial" w:cs="Arial"/>
                <w:b/>
                <w:sz w:val="16"/>
                <w:szCs w:val="18"/>
              </w:rPr>
            </w:pPr>
            <w:r w:rsidRPr="009617F5">
              <w:rPr>
                <w:rFonts w:ascii="Arial" w:hAnsi="Arial" w:cs="Arial"/>
                <w:b/>
                <w:sz w:val="18"/>
                <w:szCs w:val="20"/>
              </w:rPr>
              <w:t>8Z-55</w:t>
            </w:r>
          </w:p>
        </w:tc>
        <w:tc>
          <w:tcPr>
            <w:tcW w:w="2692" w:type="dxa"/>
            <w:shd w:val="clear" w:color="auto" w:fill="auto"/>
            <w:noWrap/>
            <w:vAlign w:val="center"/>
          </w:tcPr>
          <w:p w14:paraId="64D60799" w14:textId="77777777" w:rsidR="009617F5" w:rsidRPr="009617F5" w:rsidRDefault="009617F5" w:rsidP="00286F7D">
            <w:pPr>
              <w:rPr>
                <w:rFonts w:ascii="Arial" w:hAnsi="Arial" w:cs="Arial"/>
                <w:sz w:val="18"/>
                <w:szCs w:val="20"/>
              </w:rPr>
            </w:pPr>
            <w:r w:rsidRPr="009617F5">
              <w:rPr>
                <w:rFonts w:ascii="Arial" w:hAnsi="Arial" w:cs="Arial"/>
                <w:sz w:val="18"/>
                <w:szCs w:val="20"/>
              </w:rPr>
              <w:t xml:space="preserve">Plochy RD městského typu  </w:t>
            </w:r>
          </w:p>
        </w:tc>
        <w:tc>
          <w:tcPr>
            <w:tcW w:w="1630" w:type="dxa"/>
            <w:shd w:val="clear" w:color="auto" w:fill="auto"/>
            <w:noWrap/>
            <w:vAlign w:val="center"/>
          </w:tcPr>
          <w:p w14:paraId="01EE623C" w14:textId="77777777" w:rsidR="009617F5" w:rsidRPr="009617F5" w:rsidRDefault="009617F5" w:rsidP="00286F7D">
            <w:pPr>
              <w:rPr>
                <w:rFonts w:ascii="Arial" w:hAnsi="Arial" w:cs="Arial"/>
                <w:sz w:val="16"/>
                <w:szCs w:val="18"/>
              </w:rPr>
            </w:pPr>
            <w:r w:rsidRPr="009617F5">
              <w:rPr>
                <w:rFonts w:ascii="Arial" w:hAnsi="Arial" w:cs="Arial"/>
                <w:sz w:val="16"/>
                <w:szCs w:val="18"/>
              </w:rPr>
              <w:t>Boletice nad Labem</w:t>
            </w:r>
          </w:p>
        </w:tc>
        <w:tc>
          <w:tcPr>
            <w:tcW w:w="1723" w:type="dxa"/>
            <w:shd w:val="clear" w:color="auto" w:fill="auto"/>
            <w:vAlign w:val="center"/>
          </w:tcPr>
          <w:p w14:paraId="313B4F9F" w14:textId="77777777" w:rsidR="009617F5" w:rsidRPr="009617F5" w:rsidRDefault="009617F5" w:rsidP="00286F7D">
            <w:pPr>
              <w:rPr>
                <w:rFonts w:ascii="Arial" w:hAnsi="Arial" w:cs="Arial"/>
                <w:sz w:val="16"/>
                <w:szCs w:val="18"/>
              </w:rPr>
            </w:pPr>
            <w:r w:rsidRPr="009617F5">
              <w:rPr>
                <w:rFonts w:ascii="Arial" w:hAnsi="Arial" w:cs="Arial"/>
                <w:sz w:val="16"/>
                <w:szCs w:val="18"/>
              </w:rPr>
              <w:t>455/16, 455/19</w:t>
            </w:r>
          </w:p>
        </w:tc>
        <w:tc>
          <w:tcPr>
            <w:tcW w:w="696" w:type="dxa"/>
            <w:shd w:val="clear" w:color="auto" w:fill="auto"/>
            <w:noWrap/>
            <w:vAlign w:val="center"/>
          </w:tcPr>
          <w:p w14:paraId="4B6A469A" w14:textId="77777777" w:rsidR="009617F5" w:rsidRPr="009617F5" w:rsidRDefault="009617F5" w:rsidP="00286F7D">
            <w:pPr>
              <w:overflowPunct w:val="0"/>
              <w:autoSpaceDE w:val="0"/>
              <w:autoSpaceDN w:val="0"/>
              <w:adjustRightInd w:val="0"/>
              <w:jc w:val="right"/>
              <w:textAlignment w:val="baseline"/>
              <w:rPr>
                <w:rFonts w:ascii="Arial" w:hAnsi="Arial" w:cs="Arial"/>
                <w:noProof/>
                <w:sz w:val="18"/>
              </w:rPr>
            </w:pPr>
            <w:r w:rsidRPr="009617F5">
              <w:rPr>
                <w:rFonts w:ascii="Arial" w:hAnsi="Arial" w:cs="Arial"/>
                <w:noProof/>
                <w:sz w:val="18"/>
              </w:rPr>
              <w:t>3207</w:t>
            </w:r>
          </w:p>
        </w:tc>
        <w:tc>
          <w:tcPr>
            <w:tcW w:w="1818" w:type="dxa"/>
            <w:shd w:val="clear" w:color="auto" w:fill="auto"/>
            <w:noWrap/>
            <w:vAlign w:val="center"/>
          </w:tcPr>
          <w:p w14:paraId="4723697F" w14:textId="77777777" w:rsidR="009617F5" w:rsidRPr="009617F5" w:rsidRDefault="009617F5" w:rsidP="00286F7D">
            <w:pPr>
              <w:overflowPunct w:val="0"/>
              <w:autoSpaceDE w:val="0"/>
              <w:autoSpaceDN w:val="0"/>
              <w:adjustRightInd w:val="0"/>
              <w:textAlignment w:val="baseline"/>
              <w:rPr>
                <w:rFonts w:ascii="Arial" w:hAnsi="Arial" w:cs="Arial"/>
                <w:sz w:val="16"/>
                <w:szCs w:val="18"/>
              </w:rPr>
            </w:pPr>
            <w:r w:rsidRPr="009617F5">
              <w:rPr>
                <w:rFonts w:ascii="Arial" w:hAnsi="Arial" w:cs="Arial"/>
                <w:sz w:val="18"/>
                <w:szCs w:val="20"/>
              </w:rPr>
              <w:t>Zastavitelná plocha</w:t>
            </w:r>
          </w:p>
        </w:tc>
      </w:tr>
      <w:tr w:rsidR="009617F5" w:rsidRPr="009617F5" w14:paraId="2B025AD7" w14:textId="77777777" w:rsidTr="00286F7D">
        <w:trPr>
          <w:trHeight w:val="255"/>
          <w:jc w:val="center"/>
        </w:trPr>
        <w:tc>
          <w:tcPr>
            <w:tcW w:w="886" w:type="dxa"/>
            <w:shd w:val="clear" w:color="auto" w:fill="auto"/>
            <w:vAlign w:val="center"/>
          </w:tcPr>
          <w:p w14:paraId="07A7B4AF" w14:textId="77777777" w:rsidR="009617F5" w:rsidRPr="009617F5" w:rsidRDefault="009617F5" w:rsidP="00286F7D">
            <w:pPr>
              <w:rPr>
                <w:rFonts w:ascii="Arial" w:hAnsi="Arial" w:cs="Arial"/>
                <w:b/>
                <w:sz w:val="18"/>
                <w:szCs w:val="20"/>
              </w:rPr>
            </w:pPr>
          </w:p>
        </w:tc>
        <w:tc>
          <w:tcPr>
            <w:tcW w:w="2692" w:type="dxa"/>
            <w:shd w:val="clear" w:color="auto" w:fill="auto"/>
            <w:noWrap/>
            <w:vAlign w:val="center"/>
          </w:tcPr>
          <w:p w14:paraId="47CB63A2"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p>
        </w:tc>
        <w:tc>
          <w:tcPr>
            <w:tcW w:w="1630" w:type="dxa"/>
            <w:shd w:val="clear" w:color="auto" w:fill="auto"/>
            <w:noWrap/>
            <w:vAlign w:val="center"/>
          </w:tcPr>
          <w:p w14:paraId="60BA1152" w14:textId="77777777" w:rsidR="009617F5" w:rsidRPr="009617F5" w:rsidRDefault="009617F5" w:rsidP="00286F7D">
            <w:pPr>
              <w:overflowPunct w:val="0"/>
              <w:autoSpaceDE w:val="0"/>
              <w:autoSpaceDN w:val="0"/>
              <w:adjustRightInd w:val="0"/>
              <w:textAlignment w:val="baseline"/>
              <w:rPr>
                <w:rFonts w:ascii="Arial" w:hAnsi="Arial" w:cs="Arial"/>
                <w:b/>
                <w:sz w:val="18"/>
                <w:szCs w:val="20"/>
              </w:rPr>
            </w:pPr>
            <w:r w:rsidRPr="009617F5">
              <w:rPr>
                <w:rFonts w:ascii="Arial" w:hAnsi="Arial" w:cs="Arial"/>
                <w:b/>
                <w:sz w:val="18"/>
                <w:szCs w:val="20"/>
              </w:rPr>
              <w:t>celkem</w:t>
            </w:r>
          </w:p>
        </w:tc>
        <w:tc>
          <w:tcPr>
            <w:tcW w:w="1723" w:type="dxa"/>
            <w:shd w:val="clear" w:color="auto" w:fill="auto"/>
          </w:tcPr>
          <w:p w14:paraId="5D375DF7" w14:textId="77777777" w:rsidR="009617F5" w:rsidRPr="009617F5" w:rsidRDefault="009617F5" w:rsidP="00286F7D">
            <w:pPr>
              <w:rPr>
                <w:rFonts w:ascii="Arial" w:hAnsi="Arial" w:cs="Arial"/>
                <w:sz w:val="18"/>
                <w:szCs w:val="20"/>
              </w:rPr>
            </w:pPr>
          </w:p>
        </w:tc>
        <w:tc>
          <w:tcPr>
            <w:tcW w:w="696" w:type="dxa"/>
            <w:shd w:val="clear" w:color="auto" w:fill="auto"/>
            <w:noWrap/>
            <w:vAlign w:val="center"/>
          </w:tcPr>
          <w:p w14:paraId="301CAB24" w14:textId="77777777" w:rsidR="009617F5" w:rsidRPr="009617F5" w:rsidRDefault="009617F5" w:rsidP="00286F7D">
            <w:pPr>
              <w:overflowPunct w:val="0"/>
              <w:autoSpaceDE w:val="0"/>
              <w:autoSpaceDN w:val="0"/>
              <w:adjustRightInd w:val="0"/>
              <w:jc w:val="right"/>
              <w:textAlignment w:val="baseline"/>
              <w:rPr>
                <w:rFonts w:ascii="Arial" w:hAnsi="Arial" w:cs="Arial"/>
                <w:b/>
                <w:sz w:val="18"/>
              </w:rPr>
            </w:pPr>
            <w:r w:rsidRPr="009617F5">
              <w:rPr>
                <w:rFonts w:ascii="Arial" w:hAnsi="Arial" w:cs="Arial"/>
                <w:b/>
                <w:sz w:val="18"/>
              </w:rPr>
              <w:t>115116</w:t>
            </w:r>
          </w:p>
        </w:tc>
        <w:tc>
          <w:tcPr>
            <w:tcW w:w="1818" w:type="dxa"/>
            <w:shd w:val="clear" w:color="auto" w:fill="auto"/>
            <w:noWrap/>
            <w:vAlign w:val="center"/>
          </w:tcPr>
          <w:p w14:paraId="56DE58D2" w14:textId="77777777" w:rsidR="009617F5" w:rsidRPr="009617F5" w:rsidRDefault="009617F5" w:rsidP="00286F7D">
            <w:pPr>
              <w:overflowPunct w:val="0"/>
              <w:autoSpaceDE w:val="0"/>
              <w:autoSpaceDN w:val="0"/>
              <w:adjustRightInd w:val="0"/>
              <w:textAlignment w:val="baseline"/>
              <w:rPr>
                <w:rFonts w:ascii="Arial" w:hAnsi="Arial" w:cs="Arial"/>
                <w:sz w:val="18"/>
                <w:szCs w:val="20"/>
              </w:rPr>
            </w:pPr>
          </w:p>
        </w:tc>
      </w:tr>
    </w:tbl>
    <w:p w14:paraId="1463A8D3" w14:textId="77777777" w:rsidR="009617F5" w:rsidRPr="009617F5" w:rsidRDefault="009617F5" w:rsidP="009617F5">
      <w:pPr>
        <w:rPr>
          <w:rFonts w:ascii="Arial" w:hAnsi="Arial" w:cs="Arial"/>
          <w:color w:val="FF0000"/>
          <w:sz w:val="18"/>
          <w:szCs w:val="20"/>
        </w:rPr>
      </w:pPr>
      <w:r w:rsidRPr="009617F5">
        <w:rPr>
          <w:rFonts w:ascii="Arial" w:hAnsi="Arial" w:cs="Arial"/>
          <w:b/>
          <w:color w:val="FF0000"/>
          <w:sz w:val="18"/>
          <w:szCs w:val="20"/>
        </w:rPr>
        <w:t>Poznámka:</w:t>
      </w:r>
      <w:r w:rsidRPr="009617F5">
        <w:rPr>
          <w:rFonts w:ascii="Arial" w:hAnsi="Arial" w:cs="Arial"/>
          <w:color w:val="FF0000"/>
          <w:sz w:val="18"/>
          <w:szCs w:val="20"/>
        </w:rPr>
        <w:t xml:space="preserve"> Plochy 8Z  -4, -5, -9., -14, -21, -22, -24, -27, -28, -29, -39, -41, -42, -44, -51 plochy na základě společného projednání vyloučeny a plochy 8Z - 40, 8Z - 50b, 8Z - 47 a 8Z - 55 zmenšeny. </w:t>
      </w:r>
    </w:p>
    <w:p w14:paraId="4E505B67" w14:textId="77777777" w:rsidR="009617F5" w:rsidRPr="009617F5" w:rsidRDefault="009617F5" w:rsidP="009617F5">
      <w:pPr>
        <w:rPr>
          <w:rFonts w:ascii="Arial" w:hAnsi="Arial" w:cs="Arial"/>
          <w:b/>
          <w:color w:val="FF0000"/>
          <w:sz w:val="18"/>
          <w:szCs w:val="20"/>
        </w:rPr>
      </w:pPr>
      <w:r w:rsidRPr="009617F5">
        <w:rPr>
          <w:rFonts w:ascii="Arial" w:hAnsi="Arial" w:cs="Arial"/>
          <w:b/>
          <w:color w:val="FF0000"/>
          <w:sz w:val="18"/>
          <w:szCs w:val="20"/>
        </w:rPr>
        <w:t xml:space="preserve">Poznámka 2: </w:t>
      </w:r>
      <w:r w:rsidRPr="009617F5">
        <w:rPr>
          <w:rFonts w:ascii="Arial" w:hAnsi="Arial" w:cs="Arial"/>
          <w:color w:val="FF0000"/>
          <w:sz w:val="18"/>
          <w:szCs w:val="20"/>
        </w:rPr>
        <w:t xml:space="preserve">na základě výsledků veřejného projednání a na základě žádosti vlastníka byly plochy 8Z - 53, 8Z - 54 z řešení 8. změny ÚP Děčín vyjmuty. </w:t>
      </w:r>
    </w:p>
    <w:p w14:paraId="7BCF5375" w14:textId="77777777" w:rsidR="009617F5" w:rsidRPr="009617F5" w:rsidRDefault="009617F5" w:rsidP="009617F5">
      <w:pPr>
        <w:rPr>
          <w:rFonts w:ascii="Arial" w:hAnsi="Arial" w:cs="Arial"/>
          <w:color w:val="FF0000"/>
          <w:sz w:val="22"/>
        </w:rPr>
      </w:pPr>
    </w:p>
    <w:p w14:paraId="5BC1B5ED"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Rozvojové a přestavbové plochy, které nepodléhají vyhodnocení, nebudou mít na zemědělský potenciál území žádný vliv.</w:t>
      </w:r>
    </w:p>
    <w:p w14:paraId="316D19D8" w14:textId="77777777" w:rsidR="009617F5" w:rsidRPr="009617F5" w:rsidRDefault="009617F5" w:rsidP="009617F5">
      <w:pPr>
        <w:rPr>
          <w:rFonts w:ascii="Arial" w:hAnsi="Arial" w:cs="Arial"/>
          <w:color w:val="FF0000"/>
          <w:sz w:val="22"/>
          <w:u w:val="single"/>
        </w:rPr>
      </w:pPr>
    </w:p>
    <w:p w14:paraId="418537A7"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Z převážné většiny jsou k záboru navrhovány půdy nízkých stupňů ochrany. Zábor těchto půd nesníží zemědělský potenciál území.</w:t>
      </w:r>
    </w:p>
    <w:p w14:paraId="2EB4E6BF" w14:textId="77777777" w:rsidR="009617F5" w:rsidRPr="009617F5" w:rsidRDefault="009617F5" w:rsidP="009617F5">
      <w:pPr>
        <w:rPr>
          <w:rFonts w:ascii="Arial" w:hAnsi="Arial" w:cs="Arial"/>
          <w:color w:val="FF0000"/>
          <w:sz w:val="22"/>
          <w:u w:val="single"/>
        </w:rPr>
      </w:pPr>
    </w:p>
    <w:p w14:paraId="6D05087F"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Půda třídy ochrany I. není k záboru navrhována.</w:t>
      </w:r>
    </w:p>
    <w:p w14:paraId="7523EB8A" w14:textId="77777777" w:rsidR="009617F5" w:rsidRPr="009617F5" w:rsidRDefault="009617F5" w:rsidP="009617F5">
      <w:pPr>
        <w:rPr>
          <w:rFonts w:ascii="Arial" w:hAnsi="Arial" w:cs="Arial"/>
          <w:color w:val="FF0000"/>
          <w:sz w:val="22"/>
        </w:rPr>
      </w:pPr>
    </w:p>
    <w:p w14:paraId="7E1013A0"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K záboru ve prospěch rozvoje bydlení a rekreace je navrženo 2,6543 ha půd třídy ochrany II.</w:t>
      </w:r>
    </w:p>
    <w:p w14:paraId="49CDE320"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Často jde o situaci, kdy do parcely rozvojové plochy zasahuje okrajově chráněná půda.</w:t>
      </w:r>
    </w:p>
    <w:p w14:paraId="7A8F2228" w14:textId="77777777" w:rsidR="009617F5" w:rsidRPr="009617F5" w:rsidRDefault="009617F5" w:rsidP="009617F5">
      <w:pPr>
        <w:rPr>
          <w:rFonts w:ascii="Arial" w:hAnsi="Arial" w:cs="Arial"/>
          <w:color w:val="FF0000"/>
          <w:sz w:val="22"/>
          <w:u w:val="single"/>
        </w:rPr>
      </w:pPr>
    </w:p>
    <w:p w14:paraId="601E4912" w14:textId="77777777" w:rsidR="009617F5" w:rsidRDefault="009617F5" w:rsidP="009617F5">
      <w:pPr>
        <w:rPr>
          <w:rFonts w:ascii="Arial" w:hAnsi="Arial" w:cs="Arial"/>
          <w:color w:val="FF0000"/>
          <w:sz w:val="22"/>
        </w:rPr>
      </w:pPr>
      <w:r w:rsidRPr="009617F5">
        <w:rPr>
          <w:rFonts w:ascii="Arial" w:hAnsi="Arial" w:cs="Arial"/>
          <w:color w:val="FF0000"/>
          <w:sz w:val="22"/>
        </w:rPr>
        <w:t>Pozemky určené k plnění funkce lesa nejsou dotčeny.</w:t>
      </w:r>
    </w:p>
    <w:p w14:paraId="04E63127" w14:textId="77777777" w:rsidR="00EB6AA2" w:rsidRPr="009617F5" w:rsidRDefault="00EB6AA2" w:rsidP="009617F5">
      <w:pPr>
        <w:rPr>
          <w:rFonts w:ascii="Arial" w:hAnsi="Arial" w:cs="Arial"/>
          <w:color w:val="FF0000"/>
          <w:sz w:val="22"/>
        </w:rPr>
      </w:pPr>
    </w:p>
    <w:p w14:paraId="0DF85114" w14:textId="77777777" w:rsidR="009617F5" w:rsidRPr="009617F5" w:rsidRDefault="009617F5" w:rsidP="009617F5">
      <w:pPr>
        <w:pStyle w:val="Nadpis3"/>
        <w:rPr>
          <w:rFonts w:ascii="Arial" w:hAnsi="Arial" w:cs="Arial"/>
          <w:i/>
          <w:color w:val="FF0000"/>
        </w:rPr>
      </w:pPr>
      <w:bookmarkStart w:id="43" w:name="_Toc358720216"/>
      <w:r w:rsidRPr="009617F5">
        <w:rPr>
          <w:rFonts w:ascii="Arial" w:hAnsi="Arial" w:cs="Arial"/>
          <w:color w:val="FF0000"/>
        </w:rPr>
        <w:t>7.  HRANICE SOUČASNĚ ZASTAVĚNÉHO ÚZEMÍ A POZEMKOVÁ DRŽBA</w:t>
      </w:r>
      <w:bookmarkEnd w:id="43"/>
    </w:p>
    <w:p w14:paraId="0A4B30AE"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Rozvojové plochy jsou situovány převážně vně zastavěného území. Hranice ZÚ, aktualizovaná ke dni 20.9.2012 je zobrazena v grafické části ve všech výkresech vyjma širších vztahů.</w:t>
      </w:r>
    </w:p>
    <w:p w14:paraId="01973079" w14:textId="77777777" w:rsidR="009617F5" w:rsidRDefault="009617F5" w:rsidP="009617F5">
      <w:pPr>
        <w:jc w:val="both"/>
        <w:rPr>
          <w:rFonts w:ascii="Arial" w:hAnsi="Arial" w:cs="Arial"/>
          <w:color w:val="FF0000"/>
          <w:sz w:val="22"/>
        </w:rPr>
      </w:pPr>
      <w:r w:rsidRPr="009617F5">
        <w:rPr>
          <w:rFonts w:ascii="Arial" w:hAnsi="Arial" w:cs="Arial"/>
          <w:color w:val="FF0000"/>
          <w:sz w:val="22"/>
        </w:rPr>
        <w:t>Plochy navržené k zástavbě jsou majetkem soukromých osob, právnických osob a města Děčín.</w:t>
      </w:r>
    </w:p>
    <w:p w14:paraId="202B3A58" w14:textId="77777777" w:rsidR="00EB6AA2" w:rsidRPr="009617F5" w:rsidRDefault="00EB6AA2" w:rsidP="009617F5">
      <w:pPr>
        <w:jc w:val="both"/>
        <w:rPr>
          <w:rFonts w:ascii="Arial" w:hAnsi="Arial" w:cs="Arial"/>
          <w:color w:val="FF0000"/>
          <w:sz w:val="22"/>
        </w:rPr>
      </w:pPr>
    </w:p>
    <w:p w14:paraId="356A1823" w14:textId="77777777" w:rsidR="009617F5" w:rsidRPr="009617F5" w:rsidRDefault="009617F5" w:rsidP="009617F5">
      <w:pPr>
        <w:pStyle w:val="Nadpis3"/>
        <w:jc w:val="both"/>
        <w:rPr>
          <w:rFonts w:ascii="Arial" w:hAnsi="Arial" w:cs="Arial"/>
          <w:color w:val="FF0000"/>
        </w:rPr>
      </w:pPr>
      <w:bookmarkStart w:id="44" w:name="_Toc358720217"/>
      <w:r w:rsidRPr="009617F5">
        <w:rPr>
          <w:rFonts w:ascii="Arial" w:hAnsi="Arial" w:cs="Arial"/>
          <w:color w:val="FF0000"/>
        </w:rPr>
        <w:t>8. PROTIEROZNÍ OCHRANA</w:t>
      </w:r>
      <w:bookmarkEnd w:id="44"/>
    </w:p>
    <w:p w14:paraId="422CD7B6" w14:textId="77777777" w:rsidR="009617F5" w:rsidRDefault="009617F5" w:rsidP="009617F5">
      <w:pPr>
        <w:jc w:val="both"/>
        <w:rPr>
          <w:rFonts w:ascii="Arial" w:hAnsi="Arial" w:cs="Arial"/>
          <w:color w:val="FF0000"/>
          <w:sz w:val="22"/>
        </w:rPr>
      </w:pPr>
      <w:r w:rsidRPr="009617F5">
        <w:rPr>
          <w:rFonts w:ascii="Arial" w:hAnsi="Arial" w:cs="Arial"/>
          <w:color w:val="FF0000"/>
          <w:sz w:val="22"/>
        </w:rPr>
        <w:t xml:space="preserve">Zvyšování retenční schopnosti území a protierozní ochrana půd je významnou součástí péče o území. Tato péče je zakotvena v ČSN 75 4500 Protierozní ochrana zemědělské půdy. Dále se uplatňuje jako součást Metodiky 16/1995 Zásady navrhování územních systémů ekologické stability v rámci procesu pozemkových úprav a zejména v metodice pro zpracování jednoduchých a komplexních pozemkových úprav (dále JPÚ, KPÚ). </w:t>
      </w:r>
    </w:p>
    <w:p w14:paraId="52E13967" w14:textId="77777777" w:rsidR="00EB6AA2" w:rsidRPr="009617F5" w:rsidRDefault="00EB6AA2" w:rsidP="009617F5">
      <w:pPr>
        <w:jc w:val="both"/>
        <w:rPr>
          <w:rFonts w:ascii="Arial" w:hAnsi="Arial" w:cs="Arial"/>
          <w:color w:val="FF0000"/>
          <w:sz w:val="22"/>
        </w:rPr>
      </w:pPr>
    </w:p>
    <w:p w14:paraId="2564042E"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Územní plán předpokládá zachování veškerých stávajících ploch s protierozní funkcí a doporučuje průběžné provádění pouze takových zásahů, které retenční schopnost území nenaruší.</w:t>
      </w:r>
    </w:p>
    <w:p w14:paraId="0901116F"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Do doby zpracování JPÚ/KPÚ je doporučeno případné zásahy do ploch ZPF  provádět pouze tak, aby byla posílena protierozní funkce. Dále je doporučeno čištění příkopů a odstraňování splavenin od cest.</w:t>
      </w:r>
    </w:p>
    <w:p w14:paraId="0906960F" w14:textId="77777777" w:rsidR="009617F5" w:rsidRPr="009617F5" w:rsidRDefault="009617F5" w:rsidP="009617F5">
      <w:pPr>
        <w:jc w:val="both"/>
        <w:rPr>
          <w:rFonts w:ascii="Arial" w:hAnsi="Arial" w:cs="Arial"/>
          <w:color w:val="FF0000"/>
          <w:sz w:val="22"/>
        </w:rPr>
      </w:pPr>
      <w:r w:rsidRPr="009617F5">
        <w:rPr>
          <w:rFonts w:ascii="Arial" w:hAnsi="Arial" w:cs="Arial"/>
          <w:color w:val="FF0000"/>
          <w:sz w:val="22"/>
        </w:rPr>
        <w:t>V rámci budoucích projektů pozemkových úprav (JPÚ, KPÚ) dle zák. č. 221/1993 Sb. o pozemkových úpravách je požadováno důsledné vyhodnocení erozních poměrů a navržení protierozní ochrany pomocí souboru technických opatření proti vodní erozi na zemědělském půdním fondu v souladu s ČSN 75 4500 Protierozní ochrana zemědělské půdy.</w:t>
      </w:r>
    </w:p>
    <w:p w14:paraId="5CB782E8" w14:textId="77777777" w:rsidR="009617F5" w:rsidRPr="009617F5" w:rsidRDefault="009617F5" w:rsidP="009617F5">
      <w:pPr>
        <w:jc w:val="both"/>
        <w:rPr>
          <w:rFonts w:ascii="Arial" w:hAnsi="Arial" w:cs="Arial"/>
          <w:b/>
          <w:bCs/>
          <w:color w:val="FF0000"/>
          <w:sz w:val="22"/>
        </w:rPr>
      </w:pPr>
    </w:p>
    <w:p w14:paraId="0725E6BC" w14:textId="77777777" w:rsidR="009617F5" w:rsidRPr="009617F5" w:rsidRDefault="009617F5" w:rsidP="009617F5">
      <w:pPr>
        <w:rPr>
          <w:rFonts w:ascii="Arial" w:hAnsi="Arial" w:cs="Arial"/>
          <w:color w:val="FF0000"/>
          <w:sz w:val="22"/>
        </w:rPr>
      </w:pPr>
      <w:r w:rsidRPr="009617F5">
        <w:rPr>
          <w:rFonts w:ascii="Arial" w:hAnsi="Arial" w:cs="Arial"/>
          <w:b/>
          <w:bCs/>
          <w:color w:val="FF0000"/>
          <w:sz w:val="22"/>
        </w:rPr>
        <w:t>9. PODKLADY</w:t>
      </w:r>
    </w:p>
    <w:p w14:paraId="541175B7" w14:textId="77777777" w:rsidR="009617F5" w:rsidRPr="009617F5" w:rsidRDefault="009617F5" w:rsidP="009617F5">
      <w:pPr>
        <w:rPr>
          <w:rFonts w:ascii="Arial" w:hAnsi="Arial" w:cs="Arial"/>
          <w:color w:val="FF0000"/>
          <w:sz w:val="22"/>
        </w:rPr>
      </w:pPr>
      <w:r w:rsidRPr="009617F5">
        <w:rPr>
          <w:rFonts w:ascii="Arial" w:hAnsi="Arial" w:cs="Arial"/>
          <w:color w:val="FF0000"/>
          <w:sz w:val="22"/>
        </w:rPr>
        <w:t>8. změna ÚP Děčín., v rozpracovanosti 31.12.2013</w:t>
      </w:r>
    </w:p>
    <w:p w14:paraId="3CDDC8E5" w14:textId="77777777" w:rsidR="009617F5" w:rsidRDefault="009617F5" w:rsidP="009617F5">
      <w:pPr>
        <w:rPr>
          <w:rFonts w:ascii="Arial" w:hAnsi="Arial" w:cs="Arial"/>
          <w:color w:val="FF0000"/>
          <w:sz w:val="22"/>
        </w:rPr>
      </w:pPr>
    </w:p>
    <w:p w14:paraId="381245F6" w14:textId="77777777" w:rsidR="000968B5" w:rsidRPr="00FF2F84" w:rsidRDefault="00754FF6" w:rsidP="00CA23D0">
      <w:pPr>
        <w:jc w:val="both"/>
        <w:rPr>
          <w:rFonts w:ascii="Arial" w:hAnsi="Arial" w:cs="Arial"/>
          <w:b/>
          <w:sz w:val="22"/>
        </w:rPr>
      </w:pPr>
      <w:r w:rsidRPr="00FF2F84">
        <w:rPr>
          <w:rFonts w:ascii="Arial" w:hAnsi="Arial" w:cs="Arial"/>
          <w:b/>
          <w:color w:val="18B8B0"/>
        </w:rPr>
        <w:t>(Z12) VYHODNOCENÍ ZPF NOVÉHO KORIDORU CNZ.D(12)</w:t>
      </w:r>
    </w:p>
    <w:p w14:paraId="3012C476" w14:textId="77777777" w:rsidR="000968B5" w:rsidRPr="00FF2F84" w:rsidRDefault="000968B5" w:rsidP="00CA23D0">
      <w:pPr>
        <w:jc w:val="both"/>
        <w:rPr>
          <w:rFonts w:ascii="Arial" w:hAnsi="Arial" w:cs="Arial"/>
          <w:sz w:val="22"/>
        </w:rPr>
      </w:pPr>
    </w:p>
    <w:p w14:paraId="5B07B164" w14:textId="77777777" w:rsidR="00C66C1F" w:rsidRPr="00FF2F84" w:rsidRDefault="00C66C1F" w:rsidP="00C66C1F">
      <w:pPr>
        <w:jc w:val="both"/>
        <w:rPr>
          <w:rFonts w:ascii="Arial" w:hAnsi="Arial" w:cs="Arial"/>
          <w:b/>
          <w:color w:val="18B8B0"/>
        </w:rPr>
      </w:pPr>
      <w:r w:rsidRPr="00FF2F84">
        <w:rPr>
          <w:rFonts w:ascii="Arial" w:hAnsi="Arial" w:cs="Arial"/>
          <w:b/>
          <w:color w:val="18B8B0"/>
        </w:rPr>
        <w:t>Koridory – odnětí ZPF</w:t>
      </w:r>
    </w:p>
    <w:p w14:paraId="512D30F4" w14:textId="77777777" w:rsidR="00C66C1F" w:rsidRPr="00FF2F84" w:rsidRDefault="00C66C1F" w:rsidP="00C66C1F">
      <w:pPr>
        <w:jc w:val="both"/>
        <w:rPr>
          <w:rFonts w:ascii="Arial" w:hAnsi="Arial" w:cs="Arial"/>
          <w:color w:val="18B8B0"/>
        </w:rPr>
      </w:pPr>
      <w:r w:rsidRPr="00FF2F84">
        <w:rPr>
          <w:rFonts w:ascii="Arial" w:hAnsi="Arial" w:cs="Arial"/>
          <w:color w:val="18B8B0"/>
        </w:rPr>
        <w:t xml:space="preserve">Koridor CNZ.D(12) představuje celkový zábor 66,47 ha a je určen pro přeložku silnice I/13 Děčín – Ludvíkovice. Převážná část této plochy (39,26 ha) se nalézá na ZPF III. třídy ochrany a pouze 13,06 ha spadá pod vyšší II. třídu ochrany. Zbylá část představuje zábor nejnižších tříd ochrany (IV. a V.). </w:t>
      </w:r>
    </w:p>
    <w:p w14:paraId="4DBBE27F" w14:textId="4933BB83" w:rsidR="00C66C1F" w:rsidRPr="00FF2F84" w:rsidRDefault="00C66C1F" w:rsidP="00C66C1F">
      <w:pPr>
        <w:jc w:val="both"/>
        <w:rPr>
          <w:rFonts w:ascii="Arial" w:hAnsi="Arial" w:cs="Arial"/>
          <w:color w:val="18B8B0"/>
        </w:rPr>
      </w:pPr>
      <w:r w:rsidRPr="00FF2F84">
        <w:rPr>
          <w:rFonts w:ascii="Arial" w:hAnsi="Arial" w:cs="Arial"/>
          <w:color w:val="18B8B0"/>
        </w:rPr>
        <w:t>Koridor zabezpečí podmínky pro vznik přeložky silnice I/13</w:t>
      </w:r>
      <w:r w:rsidR="00281DD8" w:rsidRPr="00FF2F84">
        <w:rPr>
          <w:rFonts w:ascii="Arial" w:hAnsi="Arial" w:cs="Arial"/>
          <w:color w:val="18B8B0"/>
        </w:rPr>
        <w:t xml:space="preserve"> Děčín - Ludvíkovice</w:t>
      </w:r>
      <w:r w:rsidRPr="00FF2F84">
        <w:rPr>
          <w:rFonts w:ascii="Arial" w:hAnsi="Arial" w:cs="Arial"/>
          <w:color w:val="18B8B0"/>
        </w:rPr>
        <w:t xml:space="preserve">, tzv. Folknářské spojky odlehčující dopravní zátěž v ulici Kamenická a v širším kontextu přispěje k odlehčení dopravní zatíženosti mezi Ústeckým a Libereckým krajem a to také ve vztahu k příčným spojením se Svobodným státem Sasko. Jedná se tak o záměr veřejné infrastruktury nadmístního (krajského) významu. Koridor je vzhledem ke svému významu vymezen jako VPS a převažuje nad zájmem ochrany ZPF. </w:t>
      </w:r>
    </w:p>
    <w:p w14:paraId="3BED0485" w14:textId="77777777" w:rsidR="00C66C1F" w:rsidRDefault="00C66C1F" w:rsidP="00C66C1F">
      <w:pPr>
        <w:pStyle w:val="Normln1"/>
        <w:ind w:firstLine="0"/>
        <w:rPr>
          <w:rFonts w:cs="Arial"/>
        </w:rPr>
      </w:pPr>
      <w:r>
        <w:rPr>
          <w:noProof/>
        </w:rPr>
        <mc:AlternateContent>
          <mc:Choice Requires="wps">
            <w:drawing>
              <wp:anchor distT="0" distB="0" distL="114300" distR="114300" simplePos="0" relativeHeight="251816960" behindDoc="0" locked="0" layoutInCell="1" allowOverlap="1" wp14:anchorId="6BEF040B" wp14:editId="4B7AFC74">
                <wp:simplePos x="0" y="0"/>
                <wp:positionH relativeFrom="column">
                  <wp:posOffset>-4445</wp:posOffset>
                </wp:positionH>
                <wp:positionV relativeFrom="paragraph">
                  <wp:posOffset>70485</wp:posOffset>
                </wp:positionV>
                <wp:extent cx="6153150" cy="514350"/>
                <wp:effectExtent l="19050" t="19050" r="19050" b="19050"/>
                <wp:wrapNone/>
                <wp:docPr id="34993" name="Obdélník 34993"/>
                <wp:cNvGraphicFramePr/>
                <a:graphic xmlns:a="http://schemas.openxmlformats.org/drawingml/2006/main">
                  <a:graphicData uri="http://schemas.microsoft.com/office/word/2010/wordprocessingShape">
                    <wps:wsp>
                      <wps:cNvSpPr/>
                      <wps:spPr>
                        <a:xfrm>
                          <a:off x="0" y="0"/>
                          <a:ext cx="6153150" cy="514350"/>
                        </a:xfrm>
                        <a:prstGeom prst="rect">
                          <a:avLst/>
                        </a:prstGeom>
                        <a:noFill/>
                        <a:ln w="28575">
                          <a:solidFill>
                            <a:srgbClr val="00CC99"/>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92E5C84" id="Obdélník 34993" o:spid="_x0000_s1026" style="position:absolute;margin-left:-.35pt;margin-top:5.55pt;width:484.5pt;height:40.5pt;z-index:251816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" filled="f" strokecolor="#0c9" strokeweight="2.25pt"/>
            </w:pict>
          </mc:Fallback>
        </mc:AlternateContent>
      </w:r>
      <w:r w:rsidRPr="002615E7">
        <w:rPr>
          <w:noProof/>
        </w:rPr>
        <w:drawing>
          <wp:inline distT="0" distB="0" distL="0" distR="0" wp14:anchorId="4833BBB1" wp14:editId="03B44F12">
            <wp:extent cx="6181725" cy="522874"/>
            <wp:effectExtent l="0" t="0" r="0" b="0"/>
            <wp:docPr id="34991" name="Obrázek 34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6295209" cy="532473"/>
                    </a:xfrm>
                    <a:prstGeom prst="rect">
                      <a:avLst/>
                    </a:prstGeom>
                    <a:noFill/>
                    <a:ln>
                      <a:noFill/>
                    </a:ln>
                  </pic:spPr>
                </pic:pic>
              </a:graphicData>
            </a:graphic>
          </wp:inline>
        </w:drawing>
      </w:r>
    </w:p>
    <w:p w14:paraId="0ED328C1" w14:textId="77777777" w:rsidR="00C66C1F" w:rsidRPr="00FF2F84" w:rsidRDefault="00C66C1F" w:rsidP="00C66C1F">
      <w:pPr>
        <w:pStyle w:val="Nadpis4"/>
        <w:rPr>
          <w:bCs w:val="0"/>
          <w:color w:val="18B8B0"/>
          <w:szCs w:val="24"/>
        </w:rPr>
      </w:pPr>
      <w:r w:rsidRPr="00FF2F84">
        <w:rPr>
          <w:bCs w:val="0"/>
          <w:color w:val="18B8B0"/>
          <w:szCs w:val="24"/>
        </w:rPr>
        <w:t>Koridory – odnětí PUPFL</w:t>
      </w:r>
    </w:p>
    <w:p w14:paraId="55CF1DB3" w14:textId="5C00B9E2" w:rsidR="00C66C1F" w:rsidRPr="00C66C1F" w:rsidRDefault="00C66C1F" w:rsidP="00C66C1F">
      <w:pPr>
        <w:pStyle w:val="Normln1"/>
        <w:ind w:firstLine="0"/>
      </w:pPr>
      <w:r w:rsidRPr="00FF2F84">
        <w:rPr>
          <w:rFonts w:cs="Arial"/>
          <w:color w:val="18B8B0"/>
          <w:sz w:val="24"/>
          <w:lang w:eastAsia="zh-CN"/>
        </w:rPr>
        <w:t>Koridor CNZ.D(12) představuje zábor PUPFL o rozsahu 13,52 ha a v celém rozsahu se jedná o les hospodářský. S ohledem na výše uvedené odůvodnění záborů ZPF i v tomto případě převažuje veřejný zájem na realizaci koridoru přeložky silnice I/13</w:t>
      </w:r>
      <w:r w:rsidR="00281DD8" w:rsidRPr="00FF2F84">
        <w:rPr>
          <w:rFonts w:cs="Arial"/>
          <w:color w:val="18B8B0"/>
          <w:sz w:val="24"/>
          <w:lang w:eastAsia="zh-CN"/>
        </w:rPr>
        <w:t xml:space="preserve"> Děčín - Ludvíkovice</w:t>
      </w:r>
      <w:r w:rsidRPr="00FF2F84">
        <w:rPr>
          <w:rFonts w:cs="Arial"/>
          <w:color w:val="18B8B0"/>
          <w:sz w:val="24"/>
          <w:lang w:eastAsia="zh-CN"/>
        </w:rPr>
        <w:t xml:space="preserve"> nad ochranou PUPFL</w:t>
      </w:r>
      <w:r w:rsidRPr="00FF2F84">
        <w:t>.</w:t>
      </w:r>
      <w:r w:rsidRPr="00C66C1F">
        <w:t xml:space="preserve"> </w:t>
      </w:r>
    </w:p>
    <w:p w14:paraId="05B32E9A" w14:textId="77777777" w:rsidR="00C66C1F" w:rsidRPr="00AC2473" w:rsidRDefault="00C66C1F" w:rsidP="00C66C1F">
      <w:pPr>
        <w:pStyle w:val="Normln1"/>
        <w:ind w:firstLine="0"/>
        <w:rPr>
          <w:strike/>
        </w:rPr>
      </w:pPr>
      <w:r>
        <w:rPr>
          <w:noProof/>
        </w:rPr>
        <mc:AlternateContent>
          <mc:Choice Requires="wps">
            <w:drawing>
              <wp:anchor distT="0" distB="0" distL="114300" distR="114300" simplePos="0" relativeHeight="251819008" behindDoc="0" locked="0" layoutInCell="1" allowOverlap="1" wp14:anchorId="374A09E1" wp14:editId="2E69DA40">
                <wp:simplePos x="0" y="0"/>
                <wp:positionH relativeFrom="margin">
                  <wp:align>left</wp:align>
                </wp:positionH>
                <wp:positionV relativeFrom="paragraph">
                  <wp:posOffset>80010</wp:posOffset>
                </wp:positionV>
                <wp:extent cx="3838575" cy="514350"/>
                <wp:effectExtent l="19050" t="19050" r="28575" b="19050"/>
                <wp:wrapNone/>
                <wp:docPr id="34994" name="Obdélník 34994"/>
                <wp:cNvGraphicFramePr/>
                <a:graphic xmlns:a="http://schemas.openxmlformats.org/drawingml/2006/main">
                  <a:graphicData uri="http://schemas.microsoft.com/office/word/2010/wordprocessingShape">
                    <wps:wsp>
                      <wps:cNvSpPr/>
                      <wps:spPr>
                        <a:xfrm>
                          <a:off x="0" y="0"/>
                          <a:ext cx="3838575" cy="514350"/>
                        </a:xfrm>
                        <a:prstGeom prst="rect">
                          <a:avLst/>
                        </a:prstGeom>
                        <a:noFill/>
                        <a:ln w="28575">
                          <a:solidFill>
                            <a:srgbClr val="00CC99"/>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7611B71" id="Obdélník 34994" o:spid="_x0000_s1026" style="position:absolute;margin-left:0;margin-top:6.3pt;width:302.25pt;height:40.5pt;z-index:25181900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" filled="f" strokecolor="#0c9" strokeweight="2.25pt">
                <w10:wrap anchorx="margin"/>
              </v:rect>
            </w:pict>
          </mc:Fallback>
        </mc:AlternateContent>
      </w:r>
      <w:r w:rsidRPr="00811E03">
        <w:rPr>
          <w:noProof/>
        </w:rPr>
        <w:drawing>
          <wp:inline distT="0" distB="0" distL="0" distR="0" wp14:anchorId="2DE6971A" wp14:editId="023F8FB9">
            <wp:extent cx="3876675" cy="525938"/>
            <wp:effectExtent l="0" t="0" r="0" b="7620"/>
            <wp:docPr id="34992" name="Obrázek 34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3946838" cy="535457"/>
                    </a:xfrm>
                    <a:prstGeom prst="rect">
                      <a:avLst/>
                    </a:prstGeom>
                    <a:noFill/>
                    <a:ln>
                      <a:noFill/>
                    </a:ln>
                  </pic:spPr>
                </pic:pic>
              </a:graphicData>
            </a:graphic>
          </wp:inline>
        </w:drawing>
      </w:r>
    </w:p>
    <w:p w14:paraId="460F83DD" w14:textId="77777777" w:rsidR="000968B5" w:rsidRDefault="000968B5" w:rsidP="00CA23D0">
      <w:pPr>
        <w:jc w:val="both"/>
        <w:rPr>
          <w:rFonts w:ascii="Arial" w:hAnsi="Arial" w:cs="Arial"/>
          <w:sz w:val="22"/>
        </w:rPr>
      </w:pPr>
    </w:p>
    <w:p w14:paraId="2B7FEF47" w14:textId="689A91F1" w:rsidR="00281DD8" w:rsidRPr="00FF2F84" w:rsidRDefault="00281DD8" w:rsidP="00281DD8">
      <w:pPr>
        <w:pStyle w:val="Normln1"/>
        <w:ind w:firstLine="0"/>
        <w:rPr>
          <w:rFonts w:cs="Arial"/>
          <w:color w:val="009999"/>
        </w:rPr>
      </w:pPr>
      <w:r w:rsidRPr="00FF2F84">
        <w:rPr>
          <w:rFonts w:cs="Arial"/>
          <w:color w:val="009999"/>
        </w:rPr>
        <w:t xml:space="preserve">Vymezení záborů ZPF i PUPFL pro předmětný koridor je třeba chápat jako nadhodnocený, vzhledem k tomu, že z rozsahu koridoru o šíři 200 m bude ve skutečnosti pro záměr vedení silnice I/13  Děčín - Ludvíkovice ( Folknářská spojka) zapotřebí pouze zlomek. </w:t>
      </w:r>
    </w:p>
    <w:p w14:paraId="3C5B4E70" w14:textId="2C9DB004" w:rsidR="00BB3E30" w:rsidRDefault="00BB3E30" w:rsidP="00281DD8">
      <w:pPr>
        <w:pStyle w:val="Normln1"/>
        <w:ind w:firstLine="0"/>
        <w:rPr>
          <w:rFonts w:cs="Arial"/>
          <w:color w:val="009999"/>
        </w:rPr>
      </w:pPr>
      <w:r w:rsidRPr="00FF2F84">
        <w:rPr>
          <w:rFonts w:cs="Arial"/>
          <w:i/>
          <w:color w:val="009999"/>
        </w:rPr>
        <w:t>Pozn.: Vyhodnocení záborů ZPF a PUPFL je také standardní součástí odůvodnění změny č. 12 ÚP Děčín. Uvedení vyhodnocení též v této části dokumentace vychází z dosavadní koncepce uspořádání textových částí územního plánu</w:t>
      </w:r>
      <w:r w:rsidRPr="00FF2F84">
        <w:rPr>
          <w:rFonts w:cs="Arial"/>
          <w:color w:val="009999"/>
        </w:rPr>
        <w:t>.</w:t>
      </w:r>
      <w:r>
        <w:rPr>
          <w:rFonts w:cs="Arial"/>
          <w:color w:val="009999"/>
        </w:rPr>
        <w:t xml:space="preserve"> </w:t>
      </w:r>
    </w:p>
    <w:p w14:paraId="0B74B988" w14:textId="77777777" w:rsidR="00BB3E30" w:rsidRDefault="00BB3E30" w:rsidP="00281DD8">
      <w:pPr>
        <w:pStyle w:val="Normln1"/>
        <w:ind w:firstLine="0"/>
        <w:rPr>
          <w:rFonts w:cs="Arial"/>
          <w:color w:val="009999"/>
        </w:rPr>
      </w:pPr>
    </w:p>
    <w:p w14:paraId="110EF8A8" w14:textId="77777777" w:rsidR="00BB3E30" w:rsidRDefault="00BB3E30" w:rsidP="00281DD8">
      <w:pPr>
        <w:pStyle w:val="Normln1"/>
        <w:ind w:firstLine="0"/>
        <w:rPr>
          <w:rFonts w:cs="Arial"/>
          <w:color w:val="009999"/>
        </w:rPr>
      </w:pPr>
    </w:p>
    <w:p w14:paraId="0666009A" w14:textId="77777777" w:rsidR="00BB3E30" w:rsidRDefault="00BB3E30" w:rsidP="00281DD8">
      <w:pPr>
        <w:pStyle w:val="Normln1"/>
        <w:ind w:firstLine="0"/>
        <w:rPr>
          <w:rFonts w:cs="Arial"/>
          <w:color w:val="009999"/>
        </w:rPr>
      </w:pPr>
    </w:p>
    <w:p w14:paraId="1231D6EF" w14:textId="77777777" w:rsidR="00BB3E30" w:rsidRDefault="00BB3E30" w:rsidP="00281DD8">
      <w:pPr>
        <w:pStyle w:val="Normln1"/>
        <w:ind w:firstLine="0"/>
        <w:rPr>
          <w:rFonts w:cs="Arial"/>
          <w:color w:val="009999"/>
        </w:rPr>
      </w:pPr>
    </w:p>
    <w:p w14:paraId="4BF8819B" w14:textId="77777777" w:rsidR="00286F7D" w:rsidRPr="0055381F" w:rsidRDefault="00286F7D" w:rsidP="00286F7D">
      <w:pPr>
        <w:autoSpaceDE w:val="0"/>
        <w:autoSpaceDN w:val="0"/>
        <w:adjustRightInd w:val="0"/>
        <w:rPr>
          <w:rFonts w:ascii="Arial" w:hAnsi="Arial" w:cs="Arial"/>
          <w:b/>
          <w:sz w:val="20"/>
        </w:rPr>
      </w:pPr>
      <w:r w:rsidRPr="0055381F">
        <w:rPr>
          <w:rFonts w:ascii="Arial" w:hAnsi="Arial" w:cs="Arial"/>
          <w:b/>
          <w:bCs/>
          <w:sz w:val="48"/>
          <w:szCs w:val="48"/>
        </w:rPr>
        <w:lastRenderedPageBreak/>
        <w:t>O.  NÁVRH ŘEŠENÍ POŽADAVKŮ</w:t>
      </w:r>
    </w:p>
    <w:p w14:paraId="1790F2F3" w14:textId="77777777" w:rsidR="00286F7D" w:rsidRPr="0055381F" w:rsidRDefault="00286F7D" w:rsidP="00286F7D">
      <w:pPr>
        <w:autoSpaceDE w:val="0"/>
        <w:autoSpaceDN w:val="0"/>
        <w:adjustRightInd w:val="0"/>
        <w:rPr>
          <w:rFonts w:ascii="Arial" w:hAnsi="Arial" w:cs="Arial"/>
          <w:b/>
          <w:sz w:val="20"/>
        </w:rPr>
      </w:pPr>
      <w:r w:rsidRPr="0055381F">
        <w:rPr>
          <w:rFonts w:ascii="Arial" w:hAnsi="Arial" w:cs="Arial"/>
          <w:b/>
          <w:bCs/>
          <w:sz w:val="48"/>
          <w:szCs w:val="48"/>
        </w:rPr>
        <w:t xml:space="preserve">     CIVILNÍ OBRANY</w:t>
      </w:r>
    </w:p>
    <w:p w14:paraId="2EC50D60" w14:textId="77777777" w:rsidR="00286F7D" w:rsidRPr="00B0563C" w:rsidRDefault="00286F7D" w:rsidP="00286F7D">
      <w:pPr>
        <w:pStyle w:val="Zkladntext"/>
        <w:spacing w:before="120" w:line="288" w:lineRule="auto"/>
        <w:ind w:firstLine="709"/>
        <w:jc w:val="both"/>
        <w:rPr>
          <w:sz w:val="22"/>
          <w:szCs w:val="22"/>
        </w:rPr>
      </w:pPr>
    </w:p>
    <w:p w14:paraId="589EDF16" w14:textId="77777777" w:rsidR="00286F7D" w:rsidRPr="00286F7D" w:rsidRDefault="00286F7D" w:rsidP="00286F7D">
      <w:pPr>
        <w:autoSpaceDE w:val="0"/>
        <w:autoSpaceDN w:val="0"/>
        <w:adjustRightInd w:val="0"/>
        <w:rPr>
          <w:rFonts w:ascii="Arial" w:hAnsi="Arial" w:cs="Arial"/>
          <w:sz w:val="20"/>
        </w:rPr>
      </w:pPr>
      <w:r w:rsidRPr="00286F7D">
        <w:rPr>
          <w:rFonts w:ascii="Arial" w:hAnsi="Arial" w:cs="Arial"/>
          <w:b/>
          <w:bCs/>
          <w:sz w:val="32"/>
          <w:szCs w:val="32"/>
        </w:rPr>
        <w:t>O1. ZÁKLADNÍ ÚDAJE</w:t>
      </w:r>
      <w:r w:rsidRPr="00286F7D">
        <w:rPr>
          <w:rFonts w:ascii="Arial" w:hAnsi="Arial" w:cs="Arial"/>
          <w:sz w:val="32"/>
          <w:szCs w:val="32"/>
        </w:rPr>
        <w:t xml:space="preserve"> </w:t>
      </w:r>
      <w:r w:rsidRPr="00286F7D">
        <w:rPr>
          <w:rFonts w:ascii="Arial" w:hAnsi="Arial" w:cs="Arial"/>
          <w:b/>
          <w:bCs/>
          <w:sz w:val="32"/>
          <w:szCs w:val="32"/>
        </w:rPr>
        <w:t>A CHARAKTERISTIKY</w:t>
      </w:r>
    </w:p>
    <w:p w14:paraId="61E12635"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Návrh řešení požadavků</w:t>
      </w:r>
      <w:r w:rsidRPr="00286F7D">
        <w:rPr>
          <w:rFonts w:ascii="Arial" w:hAnsi="Arial" w:cs="Arial"/>
          <w:b/>
          <w:bCs/>
          <w:sz w:val="22"/>
          <w:szCs w:val="22"/>
        </w:rPr>
        <w:t xml:space="preserve"> civilní obrany</w:t>
      </w:r>
      <w:r w:rsidRPr="00286F7D">
        <w:rPr>
          <w:rFonts w:ascii="Arial" w:hAnsi="Arial" w:cs="Arial"/>
          <w:sz w:val="22"/>
          <w:szCs w:val="22"/>
        </w:rPr>
        <w:t xml:space="preserve"> je zpracován jako součást návrhu řešení</w:t>
      </w:r>
      <w:r w:rsidRPr="00286F7D">
        <w:rPr>
          <w:rFonts w:ascii="Arial" w:hAnsi="Arial" w:cs="Arial"/>
          <w:b/>
          <w:bCs/>
          <w:sz w:val="22"/>
          <w:szCs w:val="22"/>
        </w:rPr>
        <w:t xml:space="preserve"> územního plánu města Děčína</w:t>
      </w:r>
      <w:r w:rsidRPr="00286F7D">
        <w:rPr>
          <w:rFonts w:ascii="Arial" w:hAnsi="Arial" w:cs="Arial"/>
          <w:sz w:val="22"/>
          <w:szCs w:val="22"/>
        </w:rPr>
        <w:t xml:space="preserve"> (dále jen ÚPN) vypracovaného na základě projednaného a schváleného Souborného stanoviska, které projednalo a schválilo městské zastupitelstvo 30. 09. 1999.</w:t>
      </w:r>
    </w:p>
    <w:p w14:paraId="1583A994"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Rozpracovaný návrh ÚPN byl předložen orgánům města v červnu 2000. Další dílčí požadavky byly formulovány jako "doplnění souborného stanoviska", které byly městským zastupitelstvem projednány a schváleny a do návrhu řešení zahrnuty. Na základě předložení stanoviska a předaných doplňujících podkladů HZS Ústeckého kraje - Děčín, byl návrh řešení požadavků civilní obrany dopracován.</w:t>
      </w:r>
    </w:p>
    <w:p w14:paraId="770D62F0" w14:textId="77777777" w:rsidR="00286F7D" w:rsidRPr="00286F7D" w:rsidRDefault="00286F7D" w:rsidP="00286F7D">
      <w:pPr>
        <w:pStyle w:val="Zkladntext"/>
        <w:spacing w:before="120" w:line="288" w:lineRule="auto"/>
        <w:ind w:firstLine="709"/>
        <w:jc w:val="both"/>
        <w:rPr>
          <w:rFonts w:ascii="Arial" w:hAnsi="Arial" w:cs="Arial"/>
          <w:sz w:val="22"/>
          <w:szCs w:val="22"/>
        </w:rPr>
      </w:pPr>
    </w:p>
    <w:p w14:paraId="579978AA" w14:textId="77777777" w:rsidR="00286F7D" w:rsidRPr="00286F7D" w:rsidRDefault="00286F7D" w:rsidP="00286F7D">
      <w:pPr>
        <w:pStyle w:val="Zkladntext"/>
        <w:spacing w:before="120" w:line="288" w:lineRule="auto"/>
        <w:jc w:val="both"/>
        <w:rPr>
          <w:rFonts w:ascii="Arial" w:hAnsi="Arial" w:cs="Arial"/>
        </w:rPr>
      </w:pPr>
      <w:r w:rsidRPr="00286F7D">
        <w:rPr>
          <w:rFonts w:ascii="Arial" w:hAnsi="Arial" w:cs="Arial"/>
          <w:b/>
          <w:bCs/>
          <w:caps/>
        </w:rPr>
        <w:t>Pro vypracování návrhu požadavků CO bylo z řešení ÚPN zejména převzato:</w:t>
      </w:r>
    </w:p>
    <w:p w14:paraId="35B6E5C1"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výhledový rozvoj města s plánovacím horizontem do roku 2010;</w:t>
      </w:r>
    </w:p>
    <w:p w14:paraId="4498E857"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návrh demografického modelu výhledové velikosti a tím i rozložení trvale bydlících obyvatel;</w:t>
      </w:r>
    </w:p>
    <w:p w14:paraId="39163988"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návrh objemů bytové výstavby - bytových jednotek, dle rozvojových lokalit města;</w:t>
      </w:r>
    </w:p>
    <w:p w14:paraId="24A9EDC6"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návrh formy bytové výstavby (individuelní a kolektivní bydlení);</w:t>
      </w:r>
    </w:p>
    <w:p w14:paraId="261396D4"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návrh event. redukce rozsahu a kapacit zařízení školských zařízení (základní školy, střední</w:t>
      </w:r>
      <w:r w:rsidRPr="00286F7D">
        <w:rPr>
          <w:rFonts w:cs="Arial"/>
          <w:b/>
          <w:bCs/>
          <w:sz w:val="22"/>
          <w:szCs w:val="22"/>
        </w:rPr>
        <w:t xml:space="preserve"> </w:t>
      </w:r>
      <w:r w:rsidRPr="00286F7D">
        <w:rPr>
          <w:rFonts w:cs="Arial"/>
          <w:sz w:val="22"/>
          <w:szCs w:val="22"/>
        </w:rPr>
        <w:t>školy, vysoká škola ČVUT, ostatní školská zařízení-domovy mládeže);</w:t>
      </w:r>
    </w:p>
    <w:p w14:paraId="588E0AF2"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návrh ekonomické základny (organizace, podniky a firmy) s vyloučením všech subjektů s méně jak 10 pracovníky;</w:t>
      </w:r>
    </w:p>
    <w:p w14:paraId="5C46CE23"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návrh vyššího občanského vybavení (obchod, sport a tělovýchova, ubytování a stravování);</w:t>
      </w:r>
    </w:p>
    <w:p w14:paraId="235F07F5"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návrh výhledového uspořádání komunikační sítě (železniční, silniční a lodní doprava) a sítě technické infrastruktury (elektro, teplo, plyn, zásobování vodou, likvidace odpadních vod);</w:t>
      </w:r>
    </w:p>
    <w:p w14:paraId="0FC1036B"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rozsah bilančních jednotek (urbanistické obvody - UO, městské sektory);</w:t>
      </w:r>
    </w:p>
    <w:p w14:paraId="7AACE94C"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ostatní dílčí návrhy a opatření (funkční zónování a regulativy územního rozvoje).</w:t>
      </w:r>
    </w:p>
    <w:p w14:paraId="567F091C"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b/>
          <w:bCs/>
          <w:sz w:val="22"/>
          <w:szCs w:val="22"/>
        </w:rPr>
        <w:t>Ostatní předané podklady a materiály:</w:t>
      </w:r>
    </w:p>
    <w:p w14:paraId="628D64CA"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 xml:space="preserve">podklady a informace předané v rámci pracovních seminářů od </w:t>
      </w:r>
      <w:r w:rsidRPr="00286F7D">
        <w:rPr>
          <w:rFonts w:cs="Arial"/>
          <w:b/>
          <w:sz w:val="22"/>
          <w:szCs w:val="22"/>
        </w:rPr>
        <w:t>Okresního a Městského úřadu v Děčíně</w:t>
      </w:r>
      <w:r w:rsidRPr="00286F7D">
        <w:rPr>
          <w:rFonts w:cs="Arial"/>
          <w:sz w:val="22"/>
          <w:szCs w:val="22"/>
        </w:rPr>
        <w:t xml:space="preserve"> (referát obrany a ochrany):</w:t>
      </w:r>
    </w:p>
    <w:p w14:paraId="65608F9E" w14:textId="77777777" w:rsidR="00286F7D" w:rsidRPr="00286F7D" w:rsidRDefault="00286F7D" w:rsidP="00F32769">
      <w:pPr>
        <w:pStyle w:val="Zkladntext"/>
        <w:numPr>
          <w:ilvl w:val="1"/>
          <w:numId w:val="110"/>
        </w:numPr>
        <w:tabs>
          <w:tab w:val="left" w:pos="993"/>
        </w:tabs>
        <w:suppressAutoHyphens w:val="0"/>
        <w:autoSpaceDE w:val="0"/>
        <w:autoSpaceDN w:val="0"/>
        <w:adjustRightInd w:val="0"/>
        <w:spacing w:before="120" w:after="0" w:line="288" w:lineRule="auto"/>
        <w:ind w:left="993" w:hanging="567"/>
        <w:jc w:val="both"/>
        <w:rPr>
          <w:rFonts w:ascii="Arial" w:hAnsi="Arial" w:cs="Arial"/>
          <w:sz w:val="22"/>
          <w:szCs w:val="22"/>
        </w:rPr>
      </w:pPr>
      <w:r w:rsidRPr="00286F7D">
        <w:rPr>
          <w:rFonts w:ascii="Arial" w:hAnsi="Arial" w:cs="Arial"/>
          <w:sz w:val="22"/>
          <w:szCs w:val="22"/>
        </w:rPr>
        <w:t>technická opatření civilní obrany na území ČR;</w:t>
      </w:r>
    </w:p>
    <w:p w14:paraId="4472925D" w14:textId="77777777" w:rsidR="00286F7D" w:rsidRPr="00286F7D" w:rsidRDefault="00286F7D" w:rsidP="00F32769">
      <w:pPr>
        <w:pStyle w:val="Zkladntext"/>
        <w:numPr>
          <w:ilvl w:val="1"/>
          <w:numId w:val="110"/>
        </w:numPr>
        <w:tabs>
          <w:tab w:val="left" w:pos="993"/>
        </w:tabs>
        <w:suppressAutoHyphens w:val="0"/>
        <w:autoSpaceDE w:val="0"/>
        <w:autoSpaceDN w:val="0"/>
        <w:adjustRightInd w:val="0"/>
        <w:spacing w:before="120" w:after="0" w:line="288" w:lineRule="auto"/>
        <w:ind w:left="993" w:hanging="567"/>
        <w:jc w:val="both"/>
        <w:rPr>
          <w:rFonts w:ascii="Arial" w:hAnsi="Arial" w:cs="Arial"/>
          <w:sz w:val="22"/>
          <w:szCs w:val="22"/>
        </w:rPr>
      </w:pPr>
      <w:r w:rsidRPr="00286F7D">
        <w:rPr>
          <w:rFonts w:ascii="Arial" w:hAnsi="Arial" w:cs="Arial"/>
          <w:sz w:val="22"/>
          <w:szCs w:val="22"/>
        </w:rPr>
        <w:lastRenderedPageBreak/>
        <w:t>souhrnný přehled o současném ukrytí v Děčíně dle urbanistických obvodů a v členění: obyvatelstvo, žactvo a podniky-firmy k datu 15. 05. 1997.</w:t>
      </w:r>
    </w:p>
    <w:p w14:paraId="7A65DE30"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 xml:space="preserve">*podklady od </w:t>
      </w:r>
      <w:r w:rsidRPr="00286F7D">
        <w:rPr>
          <w:rFonts w:cs="Arial"/>
          <w:b/>
          <w:sz w:val="22"/>
          <w:szCs w:val="22"/>
        </w:rPr>
        <w:t>Českých drah s.o.</w:t>
      </w:r>
      <w:r w:rsidRPr="00286F7D">
        <w:rPr>
          <w:rFonts w:cs="Arial"/>
          <w:sz w:val="22"/>
          <w:szCs w:val="22"/>
        </w:rPr>
        <w:t xml:space="preserve"> (počty zaměstnanců v nejsilnější směně a kapacity současného ukrytí v členění na levý břeh (hlavní nádraží) a pravý břeh (východní nádraží) - 1997</w:t>
      </w:r>
    </w:p>
    <w:p w14:paraId="3109C090" w14:textId="77777777" w:rsidR="00286F7D" w:rsidRPr="00286F7D" w:rsidRDefault="00286F7D" w:rsidP="00F32769">
      <w:pPr>
        <w:pStyle w:val="Znaka1"/>
        <w:numPr>
          <w:ilvl w:val="0"/>
          <w:numId w:val="109"/>
        </w:numPr>
        <w:spacing w:before="120" w:line="288" w:lineRule="auto"/>
        <w:ind w:left="426"/>
        <w:jc w:val="both"/>
        <w:rPr>
          <w:rFonts w:cs="Arial"/>
          <w:sz w:val="22"/>
          <w:szCs w:val="22"/>
        </w:rPr>
      </w:pPr>
      <w:r w:rsidRPr="00286F7D">
        <w:rPr>
          <w:rFonts w:cs="Arial"/>
          <w:sz w:val="22"/>
          <w:szCs w:val="22"/>
        </w:rPr>
        <w:t xml:space="preserve">*podklady a informace od </w:t>
      </w:r>
      <w:r w:rsidRPr="00286F7D">
        <w:rPr>
          <w:rFonts w:cs="Arial"/>
          <w:b/>
          <w:sz w:val="22"/>
          <w:szCs w:val="22"/>
        </w:rPr>
        <w:t>Čsl. plavby Labské a.s</w:t>
      </w:r>
      <w:r w:rsidRPr="00286F7D">
        <w:rPr>
          <w:rFonts w:cs="Arial"/>
          <w:sz w:val="22"/>
          <w:szCs w:val="22"/>
        </w:rPr>
        <w:t>. (počty zaměstnanců a kapacity ukrytí v přístavu Loubí a loděnicích Křešice)</w:t>
      </w:r>
    </w:p>
    <w:p w14:paraId="5E2D2828" w14:textId="77777777" w:rsidR="00286F7D" w:rsidRPr="00286F7D" w:rsidRDefault="00286F7D" w:rsidP="00286F7D">
      <w:pPr>
        <w:pStyle w:val="Znaka1"/>
        <w:rPr>
          <w:rFonts w:cs="Arial"/>
        </w:rPr>
      </w:pPr>
    </w:p>
    <w:p w14:paraId="056A6A31" w14:textId="77777777" w:rsidR="00286F7D" w:rsidRPr="00286F7D" w:rsidRDefault="00286F7D" w:rsidP="00286F7D">
      <w:pPr>
        <w:autoSpaceDE w:val="0"/>
        <w:autoSpaceDN w:val="0"/>
        <w:adjustRightInd w:val="0"/>
        <w:rPr>
          <w:rFonts w:ascii="Arial" w:hAnsi="Arial" w:cs="Arial"/>
          <w:b/>
          <w:bCs/>
          <w:sz w:val="32"/>
          <w:szCs w:val="32"/>
        </w:rPr>
      </w:pPr>
      <w:r w:rsidRPr="00286F7D">
        <w:rPr>
          <w:rFonts w:ascii="Arial" w:hAnsi="Arial" w:cs="Arial"/>
          <w:b/>
          <w:bCs/>
          <w:sz w:val="32"/>
          <w:szCs w:val="32"/>
        </w:rPr>
        <w:t>O2. CÍLE A STRATEGIE ZPRACOVÁNÍ</w:t>
      </w:r>
    </w:p>
    <w:p w14:paraId="5E787D3E"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b/>
          <w:bCs/>
          <w:sz w:val="22"/>
          <w:szCs w:val="22"/>
        </w:rPr>
        <w:t xml:space="preserve">Cílem </w:t>
      </w:r>
      <w:r w:rsidRPr="00286F7D">
        <w:rPr>
          <w:rFonts w:ascii="Arial" w:hAnsi="Arial" w:cs="Arial"/>
          <w:sz w:val="22"/>
          <w:szCs w:val="22"/>
        </w:rPr>
        <w:t>návrhu řešení požadavků</w:t>
      </w:r>
      <w:r w:rsidRPr="00286F7D">
        <w:rPr>
          <w:rFonts w:ascii="Arial" w:hAnsi="Arial" w:cs="Arial"/>
          <w:b/>
          <w:bCs/>
          <w:sz w:val="22"/>
          <w:szCs w:val="22"/>
        </w:rPr>
        <w:t xml:space="preserve"> civilní obrany</w:t>
      </w:r>
      <w:r w:rsidRPr="00286F7D">
        <w:rPr>
          <w:rFonts w:ascii="Arial" w:hAnsi="Arial" w:cs="Arial"/>
          <w:sz w:val="22"/>
          <w:szCs w:val="22"/>
        </w:rPr>
        <w:t xml:space="preserve"> </w:t>
      </w:r>
      <w:r w:rsidRPr="00286F7D">
        <w:rPr>
          <w:rFonts w:ascii="Arial" w:hAnsi="Arial" w:cs="Arial"/>
          <w:b/>
          <w:bCs/>
          <w:sz w:val="22"/>
          <w:szCs w:val="22"/>
        </w:rPr>
        <w:t xml:space="preserve">je návrh výhledového ukrytí </w:t>
      </w:r>
      <w:r w:rsidRPr="00286F7D">
        <w:rPr>
          <w:rFonts w:ascii="Arial" w:hAnsi="Arial" w:cs="Arial"/>
          <w:sz w:val="22"/>
          <w:szCs w:val="22"/>
        </w:rPr>
        <w:t xml:space="preserve">všech sledovaných složek - </w:t>
      </w:r>
      <w:r w:rsidRPr="00286F7D">
        <w:rPr>
          <w:rFonts w:ascii="Arial" w:hAnsi="Arial" w:cs="Arial"/>
          <w:b/>
          <w:bCs/>
          <w:sz w:val="22"/>
          <w:szCs w:val="22"/>
        </w:rPr>
        <w:t>obyvatel města</w:t>
      </w:r>
      <w:r w:rsidRPr="00286F7D">
        <w:rPr>
          <w:rFonts w:ascii="Arial" w:hAnsi="Arial" w:cs="Arial"/>
          <w:sz w:val="22"/>
          <w:szCs w:val="22"/>
        </w:rPr>
        <w:t>,</w:t>
      </w:r>
      <w:r w:rsidRPr="00286F7D">
        <w:rPr>
          <w:rFonts w:ascii="Arial" w:hAnsi="Arial" w:cs="Arial"/>
          <w:b/>
          <w:bCs/>
          <w:sz w:val="22"/>
          <w:szCs w:val="22"/>
        </w:rPr>
        <w:t xml:space="preserve"> v protiradiačních dvouúčelových úkrytech</w:t>
      </w:r>
      <w:r w:rsidRPr="00286F7D">
        <w:rPr>
          <w:rFonts w:ascii="Arial" w:hAnsi="Arial" w:cs="Arial"/>
          <w:sz w:val="22"/>
          <w:szCs w:val="22"/>
        </w:rPr>
        <w:t xml:space="preserve"> budovaných svépomocí (PRÚ - BS), s ohledem na ekonomické možnosti a reálné skutečnosti </w:t>
      </w:r>
      <w:r w:rsidRPr="00286F7D">
        <w:rPr>
          <w:rFonts w:ascii="Arial" w:hAnsi="Arial" w:cs="Arial"/>
          <w:b/>
          <w:bCs/>
          <w:sz w:val="22"/>
          <w:szCs w:val="22"/>
        </w:rPr>
        <w:t>se forma stálých úkrytů</w:t>
      </w:r>
      <w:r w:rsidRPr="00286F7D">
        <w:rPr>
          <w:rFonts w:ascii="Arial" w:hAnsi="Arial" w:cs="Arial"/>
          <w:sz w:val="22"/>
          <w:szCs w:val="22"/>
        </w:rPr>
        <w:t xml:space="preserve"> (STOÚ)</w:t>
      </w:r>
      <w:r w:rsidRPr="00286F7D">
        <w:rPr>
          <w:rFonts w:ascii="Arial" w:hAnsi="Arial" w:cs="Arial"/>
          <w:b/>
          <w:bCs/>
          <w:sz w:val="22"/>
          <w:szCs w:val="22"/>
        </w:rPr>
        <w:t xml:space="preserve"> nenavrhuje</w:t>
      </w:r>
      <w:r w:rsidRPr="00286F7D">
        <w:rPr>
          <w:rFonts w:ascii="Arial" w:hAnsi="Arial" w:cs="Arial"/>
          <w:sz w:val="22"/>
          <w:szCs w:val="22"/>
        </w:rPr>
        <w:t>.</w:t>
      </w:r>
    </w:p>
    <w:p w14:paraId="4F698A24"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Pro výhledové kapacity bylo využito všech stávajících vyhovujících kapacit ukrytí, pro deficit ukrytí jsou potom navrženy všechny vhodné kapacity nově navržených objektů či ta zařízení, která splňují požadavky na ukrytí (funkce, poloha, objem objektu), jako jsou podzemní garáže a parkoviště, suterény obytných domů, vhodné prostory v areálech ekonomické základny apod.</w:t>
      </w:r>
    </w:p>
    <w:p w14:paraId="1EE56005"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Oproti konceptu řešení ÚPN byly údaje o obyvatelstvu, školách a ekonomické základně aktualizovány.</w:t>
      </w:r>
    </w:p>
    <w:p w14:paraId="60A16A98" w14:textId="77777777" w:rsidR="00286F7D" w:rsidRPr="00286F7D" w:rsidRDefault="00286F7D" w:rsidP="00286F7D">
      <w:pPr>
        <w:pStyle w:val="Zkladntext"/>
        <w:spacing w:before="120" w:line="288" w:lineRule="auto"/>
        <w:ind w:firstLine="709"/>
        <w:jc w:val="both"/>
        <w:rPr>
          <w:rFonts w:ascii="Arial" w:hAnsi="Arial" w:cs="Arial"/>
          <w:sz w:val="22"/>
          <w:szCs w:val="22"/>
        </w:rPr>
      </w:pPr>
    </w:p>
    <w:p w14:paraId="2B832DB3" w14:textId="77777777" w:rsidR="00286F7D" w:rsidRPr="00286F7D" w:rsidRDefault="00286F7D" w:rsidP="00286F7D">
      <w:pPr>
        <w:autoSpaceDE w:val="0"/>
        <w:autoSpaceDN w:val="0"/>
        <w:adjustRightInd w:val="0"/>
        <w:rPr>
          <w:rFonts w:ascii="Arial" w:hAnsi="Arial" w:cs="Arial"/>
          <w:b/>
          <w:bCs/>
          <w:sz w:val="32"/>
          <w:szCs w:val="32"/>
        </w:rPr>
      </w:pPr>
      <w:r w:rsidRPr="00286F7D">
        <w:rPr>
          <w:rFonts w:ascii="Arial" w:hAnsi="Arial" w:cs="Arial"/>
          <w:b/>
          <w:bCs/>
          <w:sz w:val="32"/>
          <w:szCs w:val="32"/>
        </w:rPr>
        <w:t>O3. ROZBOR UKRYTÍ OBYVATELSTVA</w:t>
      </w:r>
    </w:p>
    <w:p w14:paraId="627CF5C1"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b/>
          <w:bCs/>
          <w:sz w:val="22"/>
          <w:szCs w:val="22"/>
        </w:rPr>
        <w:t>Pro potřeby ukrytí slouží v současné době na území města:</w:t>
      </w:r>
    </w:p>
    <w:p w14:paraId="6EECE31F" w14:textId="77777777" w:rsidR="00286F7D" w:rsidRPr="00286F7D" w:rsidRDefault="00286F7D" w:rsidP="00F32769">
      <w:pPr>
        <w:pStyle w:val="Zkladntext"/>
        <w:numPr>
          <w:ilvl w:val="2"/>
          <w:numId w:val="111"/>
        </w:numPr>
        <w:suppressAutoHyphens w:val="0"/>
        <w:autoSpaceDE w:val="0"/>
        <w:autoSpaceDN w:val="0"/>
        <w:adjustRightInd w:val="0"/>
        <w:spacing w:before="120" w:after="0" w:line="288" w:lineRule="auto"/>
        <w:ind w:left="426"/>
        <w:jc w:val="both"/>
        <w:rPr>
          <w:rFonts w:ascii="Arial" w:hAnsi="Arial" w:cs="Arial"/>
          <w:sz w:val="22"/>
          <w:szCs w:val="22"/>
        </w:rPr>
      </w:pPr>
      <w:r w:rsidRPr="00286F7D">
        <w:rPr>
          <w:rFonts w:ascii="Arial" w:hAnsi="Arial" w:cs="Arial"/>
          <w:sz w:val="22"/>
          <w:szCs w:val="22"/>
        </w:rPr>
        <w:t>1 381 úkrytů PRÚ-BS o celkové kapacitě 69 701 osob;</w:t>
      </w:r>
    </w:p>
    <w:p w14:paraId="10D21FB0" w14:textId="77777777" w:rsidR="00286F7D" w:rsidRPr="00286F7D" w:rsidRDefault="00286F7D" w:rsidP="00F32769">
      <w:pPr>
        <w:pStyle w:val="Zkladntext"/>
        <w:numPr>
          <w:ilvl w:val="2"/>
          <w:numId w:val="111"/>
        </w:numPr>
        <w:suppressAutoHyphens w:val="0"/>
        <w:autoSpaceDE w:val="0"/>
        <w:autoSpaceDN w:val="0"/>
        <w:adjustRightInd w:val="0"/>
        <w:spacing w:before="120" w:after="0" w:line="288" w:lineRule="auto"/>
        <w:ind w:left="426"/>
        <w:jc w:val="both"/>
        <w:rPr>
          <w:rFonts w:ascii="Arial" w:hAnsi="Arial" w:cs="Arial"/>
          <w:sz w:val="22"/>
          <w:szCs w:val="22"/>
        </w:rPr>
      </w:pPr>
      <w:r w:rsidRPr="00286F7D">
        <w:rPr>
          <w:rFonts w:ascii="Arial" w:hAnsi="Arial" w:cs="Arial"/>
          <w:sz w:val="22"/>
          <w:szCs w:val="22"/>
        </w:rPr>
        <w:t>5 úkrytů STOÚ o celkové kapacitě 555 osob;</w:t>
      </w:r>
    </w:p>
    <w:p w14:paraId="68166D7D" w14:textId="77777777" w:rsidR="00286F7D" w:rsidRPr="00286F7D" w:rsidRDefault="00286F7D" w:rsidP="00F32769">
      <w:pPr>
        <w:pStyle w:val="Zkladntext"/>
        <w:numPr>
          <w:ilvl w:val="2"/>
          <w:numId w:val="111"/>
        </w:numPr>
        <w:suppressAutoHyphens w:val="0"/>
        <w:autoSpaceDE w:val="0"/>
        <w:autoSpaceDN w:val="0"/>
        <w:adjustRightInd w:val="0"/>
        <w:spacing w:before="120" w:after="0" w:line="288" w:lineRule="auto"/>
        <w:ind w:left="426"/>
        <w:jc w:val="both"/>
        <w:rPr>
          <w:rFonts w:ascii="Arial" w:hAnsi="Arial" w:cs="Arial"/>
          <w:sz w:val="22"/>
          <w:szCs w:val="22"/>
        </w:rPr>
      </w:pPr>
      <w:r w:rsidRPr="00286F7D">
        <w:rPr>
          <w:rFonts w:ascii="Arial" w:hAnsi="Arial" w:cs="Arial"/>
          <w:b/>
          <w:bCs/>
          <w:sz w:val="22"/>
          <w:szCs w:val="22"/>
        </w:rPr>
        <w:t>celkem 1 386 úkrytů o celkové kapacitě 70 256 osob.</w:t>
      </w:r>
    </w:p>
    <w:p w14:paraId="3F734A59"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b/>
          <w:bCs/>
          <w:sz w:val="22"/>
          <w:szCs w:val="22"/>
        </w:rPr>
        <w:t xml:space="preserve">Výhledový počet obyvatel města je stanoven </w:t>
      </w:r>
      <w:r w:rsidRPr="00286F7D">
        <w:rPr>
          <w:rFonts w:ascii="Arial" w:hAnsi="Arial" w:cs="Arial"/>
          <w:sz w:val="22"/>
          <w:szCs w:val="22"/>
        </w:rPr>
        <w:t>na základě demografického modelu a nabídky pro výstavbu městských domů (54% trvalého bydlení v objektu-centrum), obytných domů a rodinných domů (100% trvalého bydlení) a možné doby realizace (1 a 2. etapa výstavby). Územní rezervy pro bydlení po návrhovém období nejsou do návrhu zařazeny.</w:t>
      </w:r>
    </w:p>
    <w:p w14:paraId="44F80E6D"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b/>
          <w:bCs/>
          <w:sz w:val="22"/>
          <w:szCs w:val="22"/>
        </w:rPr>
        <w:t>Demografický model vychází z:</w:t>
      </w:r>
    </w:p>
    <w:p w14:paraId="7B4E3A1F" w14:textId="77777777" w:rsidR="00286F7D" w:rsidRPr="00286F7D" w:rsidRDefault="00286F7D" w:rsidP="00F32769">
      <w:pPr>
        <w:pStyle w:val="Znaka1"/>
        <w:numPr>
          <w:ilvl w:val="0"/>
          <w:numId w:val="112"/>
        </w:numPr>
        <w:spacing w:before="120" w:line="288" w:lineRule="auto"/>
        <w:ind w:left="426"/>
        <w:jc w:val="both"/>
        <w:rPr>
          <w:rFonts w:cs="Arial"/>
          <w:sz w:val="22"/>
          <w:szCs w:val="22"/>
        </w:rPr>
      </w:pPr>
      <w:r w:rsidRPr="00286F7D">
        <w:rPr>
          <w:rFonts w:cs="Arial"/>
          <w:sz w:val="22"/>
          <w:szCs w:val="22"/>
        </w:rPr>
        <w:t>skutečného stavu trvale bydlícího obyvatelstva dle celostátního sčítání v roce 1991;</w:t>
      </w:r>
    </w:p>
    <w:p w14:paraId="03189EE4" w14:textId="77777777" w:rsidR="00286F7D" w:rsidRPr="00286F7D" w:rsidRDefault="00286F7D" w:rsidP="00F32769">
      <w:pPr>
        <w:pStyle w:val="Znaka1"/>
        <w:numPr>
          <w:ilvl w:val="0"/>
          <w:numId w:val="112"/>
        </w:numPr>
        <w:spacing w:before="120" w:line="288" w:lineRule="auto"/>
        <w:ind w:left="426"/>
        <w:jc w:val="both"/>
        <w:rPr>
          <w:rFonts w:cs="Arial"/>
          <w:sz w:val="22"/>
          <w:szCs w:val="22"/>
        </w:rPr>
      </w:pPr>
      <w:r w:rsidRPr="00286F7D">
        <w:rPr>
          <w:rFonts w:cs="Arial"/>
          <w:sz w:val="22"/>
          <w:szCs w:val="22"/>
        </w:rPr>
        <w:t>redukovaného počtu trvale bydlících obyvatel v roce 1997;</w:t>
      </w:r>
    </w:p>
    <w:p w14:paraId="62944C65" w14:textId="77777777" w:rsidR="00286F7D" w:rsidRPr="00286F7D" w:rsidRDefault="00286F7D" w:rsidP="00F32769">
      <w:pPr>
        <w:pStyle w:val="Znaka1"/>
        <w:numPr>
          <w:ilvl w:val="0"/>
          <w:numId w:val="112"/>
        </w:numPr>
        <w:spacing w:before="120" w:line="288" w:lineRule="auto"/>
        <w:ind w:left="426"/>
        <w:jc w:val="both"/>
        <w:rPr>
          <w:rFonts w:cs="Arial"/>
          <w:sz w:val="22"/>
          <w:szCs w:val="22"/>
        </w:rPr>
      </w:pPr>
      <w:r w:rsidRPr="00286F7D">
        <w:rPr>
          <w:rFonts w:cs="Arial"/>
          <w:sz w:val="22"/>
          <w:szCs w:val="22"/>
        </w:rPr>
        <w:t>navrženého objemu bytových jednotek a jejich obložnosti;</w:t>
      </w:r>
    </w:p>
    <w:p w14:paraId="6E43A80A" w14:textId="77777777" w:rsidR="00286F7D" w:rsidRPr="00286F7D" w:rsidRDefault="00286F7D" w:rsidP="00F32769">
      <w:pPr>
        <w:pStyle w:val="Znaka1"/>
        <w:numPr>
          <w:ilvl w:val="0"/>
          <w:numId w:val="112"/>
        </w:numPr>
        <w:spacing w:before="120" w:line="288" w:lineRule="auto"/>
        <w:ind w:left="426"/>
        <w:jc w:val="both"/>
        <w:rPr>
          <w:rFonts w:cs="Arial"/>
          <w:sz w:val="22"/>
          <w:szCs w:val="22"/>
        </w:rPr>
      </w:pPr>
      <w:r w:rsidRPr="00286F7D">
        <w:rPr>
          <w:rFonts w:cs="Arial"/>
          <w:sz w:val="22"/>
          <w:szCs w:val="22"/>
        </w:rPr>
        <w:t>směrné výhledové velikosti města, sektoru a urban. obvodu v roce 201.</w:t>
      </w:r>
    </w:p>
    <w:p w14:paraId="34928750" w14:textId="77777777" w:rsidR="00286F7D" w:rsidRPr="00754FF6" w:rsidRDefault="00286F7D" w:rsidP="00286F7D">
      <w:pPr>
        <w:pStyle w:val="Zkladntext"/>
        <w:spacing w:before="120" w:line="288" w:lineRule="auto"/>
        <w:jc w:val="both"/>
        <w:rPr>
          <w:rFonts w:ascii="Arial" w:hAnsi="Arial" w:cs="Arial"/>
          <w:sz w:val="22"/>
          <w:szCs w:val="22"/>
        </w:rPr>
      </w:pPr>
      <w:r w:rsidRPr="00754FF6">
        <w:rPr>
          <w:rFonts w:ascii="Arial" w:hAnsi="Arial" w:cs="Arial"/>
          <w:b/>
          <w:bCs/>
          <w:caps/>
          <w:sz w:val="22"/>
          <w:szCs w:val="22"/>
        </w:rPr>
        <w:lastRenderedPageBreak/>
        <w:t>Na základě komplexního rozboru jsou zřejmé tyto skutečnosti:</w:t>
      </w:r>
    </w:p>
    <w:p w14:paraId="745DCF51" w14:textId="77777777" w:rsidR="00286F7D" w:rsidRPr="00D0242A" w:rsidRDefault="00286F7D" w:rsidP="00F32769">
      <w:pPr>
        <w:pStyle w:val="Znaka1"/>
        <w:numPr>
          <w:ilvl w:val="0"/>
          <w:numId w:val="113"/>
        </w:numPr>
        <w:spacing w:before="120" w:line="288" w:lineRule="auto"/>
        <w:ind w:left="426"/>
        <w:jc w:val="both"/>
        <w:rPr>
          <w:sz w:val="22"/>
          <w:szCs w:val="22"/>
        </w:rPr>
      </w:pPr>
      <w:r w:rsidRPr="00D0242A">
        <w:rPr>
          <w:b/>
          <w:bCs/>
          <w:sz w:val="22"/>
          <w:szCs w:val="22"/>
        </w:rPr>
        <w:t>současná kapacita ukrytí s ohledem na výhledovou směrnou velikost města představuje rezervu 15 286 osob, město jako celek je tedy i výhledově zcela zabezpečeno</w:t>
      </w:r>
      <w:r>
        <w:rPr>
          <w:b/>
          <w:bCs/>
          <w:sz w:val="22"/>
          <w:szCs w:val="22"/>
        </w:rPr>
        <w:t>;</w:t>
      </w:r>
    </w:p>
    <w:p w14:paraId="4DE74CAA" w14:textId="77777777" w:rsidR="00286F7D" w:rsidRPr="00D0242A" w:rsidRDefault="00286F7D" w:rsidP="00F32769">
      <w:pPr>
        <w:pStyle w:val="Znaka1"/>
        <w:numPr>
          <w:ilvl w:val="0"/>
          <w:numId w:val="113"/>
        </w:numPr>
        <w:spacing w:before="120" w:line="288" w:lineRule="auto"/>
        <w:ind w:left="426"/>
        <w:jc w:val="both"/>
        <w:rPr>
          <w:sz w:val="22"/>
          <w:szCs w:val="22"/>
        </w:rPr>
      </w:pPr>
      <w:r w:rsidRPr="00D0242A">
        <w:rPr>
          <w:sz w:val="22"/>
          <w:szCs w:val="22"/>
        </w:rPr>
        <w:t>z městských sektorů nevyhovuje výhledově č.</w:t>
      </w:r>
      <w:r>
        <w:rPr>
          <w:sz w:val="22"/>
          <w:szCs w:val="22"/>
        </w:rPr>
        <w:t xml:space="preserve"> </w:t>
      </w:r>
      <w:r w:rsidRPr="00D0242A">
        <w:rPr>
          <w:sz w:val="22"/>
          <w:szCs w:val="22"/>
        </w:rPr>
        <w:t>V. LOUBÍ-ŽLEB(-239), VII. BOLETICE-KŘEŠICE (-470), VIII. MAXIČKY-ŽLEB (-81) a sektor č.</w:t>
      </w:r>
      <w:r>
        <w:rPr>
          <w:sz w:val="22"/>
          <w:szCs w:val="22"/>
        </w:rPr>
        <w:t xml:space="preserve"> </w:t>
      </w:r>
      <w:r w:rsidRPr="00D0242A">
        <w:rPr>
          <w:sz w:val="22"/>
          <w:szCs w:val="22"/>
        </w:rPr>
        <w:t>IX. LESNÁ (-505)</w:t>
      </w:r>
      <w:r>
        <w:rPr>
          <w:sz w:val="22"/>
          <w:szCs w:val="22"/>
        </w:rPr>
        <w:t>;</w:t>
      </w:r>
    </w:p>
    <w:p w14:paraId="3D74E183" w14:textId="77777777" w:rsidR="00286F7D" w:rsidRPr="00D0242A" w:rsidRDefault="00286F7D" w:rsidP="00F32769">
      <w:pPr>
        <w:pStyle w:val="Znaka1"/>
        <w:numPr>
          <w:ilvl w:val="0"/>
          <w:numId w:val="113"/>
        </w:numPr>
        <w:spacing w:before="120" w:line="288" w:lineRule="auto"/>
        <w:ind w:left="426"/>
        <w:jc w:val="both"/>
        <w:rPr>
          <w:sz w:val="22"/>
          <w:szCs w:val="22"/>
        </w:rPr>
      </w:pPr>
      <w:r w:rsidRPr="00D0242A">
        <w:rPr>
          <w:sz w:val="22"/>
          <w:szCs w:val="22"/>
        </w:rPr>
        <w:t>s ohledem na minimální deficity a možné individuelní řešení není nutno navrhovat nové kapacity ukrytí v UO č. 9,</w:t>
      </w:r>
      <w:r>
        <w:rPr>
          <w:sz w:val="22"/>
          <w:szCs w:val="22"/>
        </w:rPr>
        <w:t xml:space="preserve"> </w:t>
      </w:r>
      <w:r w:rsidRPr="00D0242A">
        <w:rPr>
          <w:sz w:val="22"/>
          <w:szCs w:val="22"/>
        </w:rPr>
        <w:t>7,</w:t>
      </w:r>
      <w:r>
        <w:rPr>
          <w:sz w:val="22"/>
          <w:szCs w:val="22"/>
        </w:rPr>
        <w:t xml:space="preserve"> </w:t>
      </w:r>
      <w:r w:rsidRPr="00D0242A">
        <w:rPr>
          <w:sz w:val="22"/>
          <w:szCs w:val="22"/>
        </w:rPr>
        <w:t>14,</w:t>
      </w:r>
      <w:r>
        <w:rPr>
          <w:sz w:val="22"/>
          <w:szCs w:val="22"/>
        </w:rPr>
        <w:t xml:space="preserve"> </w:t>
      </w:r>
      <w:r w:rsidRPr="00D0242A">
        <w:rPr>
          <w:sz w:val="22"/>
          <w:szCs w:val="22"/>
        </w:rPr>
        <w:t>15,</w:t>
      </w:r>
      <w:r>
        <w:rPr>
          <w:sz w:val="22"/>
          <w:szCs w:val="22"/>
        </w:rPr>
        <w:t xml:space="preserve"> </w:t>
      </w:r>
      <w:r w:rsidRPr="00D0242A">
        <w:rPr>
          <w:sz w:val="22"/>
          <w:szCs w:val="22"/>
        </w:rPr>
        <w:t>24,</w:t>
      </w:r>
      <w:r>
        <w:rPr>
          <w:sz w:val="22"/>
          <w:szCs w:val="22"/>
        </w:rPr>
        <w:t xml:space="preserve"> </w:t>
      </w:r>
      <w:r w:rsidRPr="00D0242A">
        <w:rPr>
          <w:sz w:val="22"/>
          <w:szCs w:val="22"/>
        </w:rPr>
        <w:t>25,</w:t>
      </w:r>
      <w:r>
        <w:rPr>
          <w:sz w:val="22"/>
          <w:szCs w:val="22"/>
        </w:rPr>
        <w:t xml:space="preserve"> </w:t>
      </w:r>
      <w:r w:rsidRPr="00D0242A">
        <w:rPr>
          <w:sz w:val="22"/>
          <w:szCs w:val="22"/>
        </w:rPr>
        <w:t>26,</w:t>
      </w:r>
      <w:r>
        <w:rPr>
          <w:sz w:val="22"/>
          <w:szCs w:val="22"/>
        </w:rPr>
        <w:t xml:space="preserve"> </w:t>
      </w:r>
      <w:r w:rsidRPr="00D0242A">
        <w:rPr>
          <w:sz w:val="22"/>
          <w:szCs w:val="22"/>
        </w:rPr>
        <w:t>27,</w:t>
      </w:r>
      <w:r>
        <w:rPr>
          <w:sz w:val="22"/>
          <w:szCs w:val="22"/>
        </w:rPr>
        <w:t xml:space="preserve"> </w:t>
      </w:r>
      <w:r w:rsidRPr="00D0242A">
        <w:rPr>
          <w:sz w:val="22"/>
          <w:szCs w:val="22"/>
        </w:rPr>
        <w:t>33,</w:t>
      </w:r>
      <w:r>
        <w:rPr>
          <w:sz w:val="22"/>
          <w:szCs w:val="22"/>
        </w:rPr>
        <w:t xml:space="preserve"> </w:t>
      </w:r>
      <w:r w:rsidRPr="00D0242A">
        <w:rPr>
          <w:sz w:val="22"/>
          <w:szCs w:val="22"/>
        </w:rPr>
        <w:t>44,</w:t>
      </w:r>
      <w:r>
        <w:rPr>
          <w:sz w:val="22"/>
          <w:szCs w:val="22"/>
        </w:rPr>
        <w:t xml:space="preserve"> </w:t>
      </w:r>
      <w:r w:rsidRPr="00D0242A">
        <w:rPr>
          <w:sz w:val="22"/>
          <w:szCs w:val="22"/>
        </w:rPr>
        <w:t>47,</w:t>
      </w:r>
      <w:r>
        <w:rPr>
          <w:sz w:val="22"/>
          <w:szCs w:val="22"/>
        </w:rPr>
        <w:t xml:space="preserve"> </w:t>
      </w:r>
      <w:r w:rsidRPr="00D0242A">
        <w:rPr>
          <w:sz w:val="22"/>
          <w:szCs w:val="22"/>
        </w:rPr>
        <w:t>49,</w:t>
      </w:r>
      <w:r>
        <w:rPr>
          <w:sz w:val="22"/>
          <w:szCs w:val="22"/>
        </w:rPr>
        <w:t xml:space="preserve"> </w:t>
      </w:r>
      <w:r w:rsidRPr="00D0242A">
        <w:rPr>
          <w:sz w:val="22"/>
          <w:szCs w:val="22"/>
        </w:rPr>
        <w:t>53,</w:t>
      </w:r>
      <w:r>
        <w:rPr>
          <w:sz w:val="22"/>
          <w:szCs w:val="22"/>
        </w:rPr>
        <w:t xml:space="preserve"> </w:t>
      </w:r>
      <w:r w:rsidRPr="00D0242A">
        <w:rPr>
          <w:sz w:val="22"/>
          <w:szCs w:val="22"/>
        </w:rPr>
        <w:t>54,</w:t>
      </w:r>
      <w:r>
        <w:rPr>
          <w:sz w:val="22"/>
          <w:szCs w:val="22"/>
        </w:rPr>
        <w:t xml:space="preserve"> </w:t>
      </w:r>
      <w:r w:rsidRPr="00D0242A">
        <w:rPr>
          <w:sz w:val="22"/>
          <w:szCs w:val="22"/>
        </w:rPr>
        <w:t>55,</w:t>
      </w:r>
      <w:r>
        <w:rPr>
          <w:sz w:val="22"/>
          <w:szCs w:val="22"/>
        </w:rPr>
        <w:t xml:space="preserve"> </w:t>
      </w:r>
      <w:r w:rsidRPr="00D0242A">
        <w:rPr>
          <w:sz w:val="22"/>
          <w:szCs w:val="22"/>
        </w:rPr>
        <w:t>56,</w:t>
      </w:r>
      <w:r>
        <w:rPr>
          <w:sz w:val="22"/>
          <w:szCs w:val="22"/>
        </w:rPr>
        <w:t xml:space="preserve"> </w:t>
      </w:r>
      <w:r w:rsidRPr="00D0242A">
        <w:rPr>
          <w:sz w:val="22"/>
          <w:szCs w:val="22"/>
        </w:rPr>
        <w:t>58,</w:t>
      </w:r>
      <w:r>
        <w:rPr>
          <w:sz w:val="22"/>
          <w:szCs w:val="22"/>
        </w:rPr>
        <w:t xml:space="preserve"> </w:t>
      </w:r>
      <w:r w:rsidRPr="00D0242A">
        <w:rPr>
          <w:sz w:val="22"/>
          <w:szCs w:val="22"/>
        </w:rPr>
        <w:t>64,</w:t>
      </w:r>
      <w:r>
        <w:rPr>
          <w:sz w:val="22"/>
          <w:szCs w:val="22"/>
        </w:rPr>
        <w:t xml:space="preserve"> </w:t>
      </w:r>
      <w:r w:rsidRPr="00D0242A">
        <w:rPr>
          <w:sz w:val="22"/>
          <w:szCs w:val="22"/>
        </w:rPr>
        <w:t>65 a 66 z</w:t>
      </w:r>
      <w:r>
        <w:rPr>
          <w:sz w:val="22"/>
          <w:szCs w:val="22"/>
        </w:rPr>
        <w:t> </w:t>
      </w:r>
      <w:r w:rsidRPr="00D0242A">
        <w:rPr>
          <w:sz w:val="22"/>
          <w:szCs w:val="22"/>
        </w:rPr>
        <w:t>důvodů okrajových sídeln</w:t>
      </w:r>
      <w:r>
        <w:rPr>
          <w:sz w:val="22"/>
          <w:szCs w:val="22"/>
        </w:rPr>
        <w:t>ích lokalit (venkovský prostor);</w:t>
      </w:r>
    </w:p>
    <w:p w14:paraId="47FC2A91" w14:textId="77777777" w:rsidR="00286F7D" w:rsidRPr="00D0242A" w:rsidRDefault="00286F7D" w:rsidP="00F32769">
      <w:pPr>
        <w:pStyle w:val="Znaka1"/>
        <w:numPr>
          <w:ilvl w:val="0"/>
          <w:numId w:val="113"/>
        </w:numPr>
        <w:spacing w:before="120" w:line="288" w:lineRule="auto"/>
        <w:ind w:left="426"/>
        <w:jc w:val="both"/>
        <w:rPr>
          <w:sz w:val="22"/>
          <w:szCs w:val="22"/>
        </w:rPr>
      </w:pPr>
      <w:r w:rsidRPr="00D0242A">
        <w:rPr>
          <w:sz w:val="22"/>
          <w:szCs w:val="22"/>
        </w:rPr>
        <w:t>s ohledem na kapacitní rezervy a optimální doběhové vzdálenosti není nutno problematiku ukrytí řešit v UO č. 1, 11 a 23 (centrální část města), přesto se doporučuje u nových objektů ukrytí zabezpečit z důvodů nesporné koncentrace obyvatel a návštěvníků města</w:t>
      </w:r>
      <w:r>
        <w:rPr>
          <w:sz w:val="22"/>
          <w:szCs w:val="22"/>
        </w:rPr>
        <w:t>;</w:t>
      </w:r>
    </w:p>
    <w:p w14:paraId="2FF9DD8F" w14:textId="77777777" w:rsidR="00286F7D" w:rsidRPr="00D0242A" w:rsidRDefault="00286F7D" w:rsidP="00F32769">
      <w:pPr>
        <w:pStyle w:val="Znaka1"/>
        <w:numPr>
          <w:ilvl w:val="0"/>
          <w:numId w:val="113"/>
        </w:numPr>
        <w:spacing w:before="120" w:line="288" w:lineRule="auto"/>
        <w:ind w:left="426"/>
        <w:jc w:val="both"/>
        <w:rPr>
          <w:sz w:val="22"/>
          <w:szCs w:val="22"/>
        </w:rPr>
      </w:pPr>
      <w:r w:rsidRPr="00D0242A">
        <w:rPr>
          <w:sz w:val="22"/>
          <w:szCs w:val="22"/>
        </w:rPr>
        <w:t>s ohledem na rozvoj obytného území je nutno navrhnout odpovídající kapacity v UO č. 4 Nemocnice, 40 Loubí, 52 Boletice n.</w:t>
      </w:r>
      <w:r>
        <w:rPr>
          <w:sz w:val="22"/>
          <w:szCs w:val="22"/>
        </w:rPr>
        <w:t xml:space="preserve"> L</w:t>
      </w:r>
      <w:r w:rsidRPr="00D0242A">
        <w:rPr>
          <w:sz w:val="22"/>
          <w:szCs w:val="22"/>
        </w:rPr>
        <w:t>. a 66 prům</w:t>
      </w:r>
      <w:r>
        <w:rPr>
          <w:sz w:val="22"/>
          <w:szCs w:val="22"/>
        </w:rPr>
        <w:t>yslový</w:t>
      </w:r>
      <w:r w:rsidRPr="00D0242A">
        <w:rPr>
          <w:sz w:val="22"/>
          <w:szCs w:val="22"/>
        </w:rPr>
        <w:t xml:space="preserve"> obvod Křešice</w:t>
      </w:r>
      <w:r>
        <w:rPr>
          <w:sz w:val="22"/>
          <w:szCs w:val="22"/>
        </w:rPr>
        <w:t>;</w:t>
      </w:r>
    </w:p>
    <w:p w14:paraId="1FB58B78" w14:textId="77777777" w:rsidR="00286F7D" w:rsidRPr="00D0242A" w:rsidRDefault="00286F7D" w:rsidP="00F32769">
      <w:pPr>
        <w:pStyle w:val="Znaka1"/>
        <w:numPr>
          <w:ilvl w:val="0"/>
          <w:numId w:val="113"/>
        </w:numPr>
        <w:spacing w:before="120" w:line="288" w:lineRule="auto"/>
        <w:ind w:left="426"/>
        <w:jc w:val="both"/>
        <w:rPr>
          <w:sz w:val="22"/>
          <w:szCs w:val="22"/>
        </w:rPr>
      </w:pPr>
      <w:r w:rsidRPr="00D0242A">
        <w:rPr>
          <w:sz w:val="22"/>
          <w:szCs w:val="22"/>
        </w:rPr>
        <w:t>s ohledem na celoměstský deficit v ukrytí všech složek (tab.</w:t>
      </w:r>
      <w:r>
        <w:rPr>
          <w:sz w:val="22"/>
          <w:szCs w:val="22"/>
        </w:rPr>
        <w:t xml:space="preserve"> </w:t>
      </w:r>
      <w:r w:rsidRPr="00D0242A">
        <w:rPr>
          <w:sz w:val="22"/>
          <w:szCs w:val="22"/>
        </w:rPr>
        <w:t>4) se s ostatními kapacitami pro ukrytí trvale bydlících obyvatel nepočítá (nelze vždy dost dobře zajistit ukrytí obyvatel či žáků v úkrytech podniků a firem)</w:t>
      </w:r>
      <w:r>
        <w:rPr>
          <w:sz w:val="22"/>
          <w:szCs w:val="22"/>
        </w:rPr>
        <w:t>.</w:t>
      </w:r>
    </w:p>
    <w:p w14:paraId="12B4503D" w14:textId="77777777" w:rsidR="00286F7D" w:rsidRPr="00D0242A" w:rsidRDefault="00286F7D" w:rsidP="00286F7D">
      <w:pPr>
        <w:pStyle w:val="Znaka1"/>
        <w:spacing w:before="120" w:line="288" w:lineRule="auto"/>
        <w:jc w:val="both"/>
        <w:rPr>
          <w:sz w:val="22"/>
          <w:szCs w:val="22"/>
        </w:rPr>
      </w:pPr>
    </w:p>
    <w:p w14:paraId="2A76FF3D" w14:textId="77777777" w:rsidR="00286F7D" w:rsidRPr="00D0242A" w:rsidRDefault="00286F7D" w:rsidP="00286F7D">
      <w:pPr>
        <w:pStyle w:val="Znaka1"/>
        <w:spacing w:before="120" w:line="288" w:lineRule="auto"/>
        <w:ind w:left="0"/>
        <w:jc w:val="both"/>
        <w:rPr>
          <w:b/>
          <w:caps/>
          <w:sz w:val="22"/>
          <w:szCs w:val="22"/>
        </w:rPr>
      </w:pPr>
      <w:r w:rsidRPr="00D0242A">
        <w:rPr>
          <w:b/>
          <w:caps/>
          <w:sz w:val="22"/>
          <w:szCs w:val="22"/>
        </w:rPr>
        <w:t>Komplexní rozbor ukrytí trvale bydlících obyvatel</w:t>
      </w:r>
      <w:r>
        <w:rPr>
          <w:b/>
          <w:caps/>
          <w:sz w:val="22"/>
          <w:szCs w:val="22"/>
        </w:rPr>
        <w:t xml:space="preserve"> ve stavu i výhledu</w:t>
      </w:r>
    </w:p>
    <w:tbl>
      <w:tblPr>
        <w:tblW w:w="5000" w:type="pct"/>
        <w:tblCellMar>
          <w:left w:w="43" w:type="dxa"/>
          <w:right w:w="43" w:type="dxa"/>
        </w:tblCellMar>
        <w:tblLook w:val="0000" w:firstRow="0" w:lastRow="0" w:firstColumn="0" w:lastColumn="0" w:noHBand="0" w:noVBand="0"/>
      </w:tblPr>
      <w:tblGrid>
        <w:gridCol w:w="448"/>
        <w:gridCol w:w="2135"/>
        <w:gridCol w:w="898"/>
        <w:gridCol w:w="1040"/>
        <w:gridCol w:w="1065"/>
        <w:gridCol w:w="901"/>
        <w:gridCol w:w="8"/>
        <w:gridCol w:w="721"/>
        <w:gridCol w:w="1085"/>
        <w:gridCol w:w="1089"/>
      </w:tblGrid>
      <w:tr w:rsidR="00286F7D" w14:paraId="692A6E6F" w14:textId="77777777" w:rsidTr="00286F7D">
        <w:tc>
          <w:tcPr>
            <w:tcW w:w="238" w:type="pct"/>
            <w:tcBorders>
              <w:top w:val="single" w:sz="6" w:space="0" w:color="auto"/>
              <w:left w:val="single" w:sz="6" w:space="0" w:color="auto"/>
              <w:bottom w:val="single" w:sz="6" w:space="0" w:color="auto"/>
              <w:right w:val="single" w:sz="6" w:space="0" w:color="auto"/>
            </w:tcBorders>
          </w:tcPr>
          <w:p w14:paraId="322AA126" w14:textId="77777777" w:rsidR="00286F7D" w:rsidRDefault="00286F7D" w:rsidP="00286F7D">
            <w:pPr>
              <w:pStyle w:val="Texttabulky"/>
              <w:spacing w:after="0"/>
            </w:pPr>
            <w:r>
              <w:rPr>
                <w:b/>
                <w:bCs/>
              </w:rPr>
              <w:t>UO</w:t>
            </w:r>
          </w:p>
        </w:tc>
        <w:tc>
          <w:tcPr>
            <w:tcW w:w="1137" w:type="pct"/>
            <w:tcBorders>
              <w:top w:val="single" w:sz="6" w:space="0" w:color="auto"/>
              <w:left w:val="single" w:sz="6" w:space="0" w:color="auto"/>
              <w:bottom w:val="single" w:sz="6" w:space="0" w:color="auto"/>
              <w:right w:val="single" w:sz="6" w:space="0" w:color="auto"/>
            </w:tcBorders>
          </w:tcPr>
          <w:p w14:paraId="28750E6A" w14:textId="77777777" w:rsidR="00286F7D" w:rsidRDefault="00286F7D" w:rsidP="00286F7D">
            <w:pPr>
              <w:pStyle w:val="Zkladntext"/>
              <w:spacing w:after="0"/>
            </w:pPr>
          </w:p>
        </w:tc>
        <w:tc>
          <w:tcPr>
            <w:tcW w:w="2083" w:type="pct"/>
            <w:gridSpan w:val="5"/>
            <w:tcBorders>
              <w:top w:val="single" w:sz="6" w:space="0" w:color="auto"/>
              <w:left w:val="single" w:sz="6" w:space="0" w:color="auto"/>
              <w:bottom w:val="single" w:sz="6" w:space="0" w:color="auto"/>
              <w:right w:val="single" w:sz="6" w:space="0" w:color="auto"/>
            </w:tcBorders>
          </w:tcPr>
          <w:p w14:paraId="2DB6C9A8" w14:textId="77777777" w:rsidR="00286F7D" w:rsidRDefault="00286F7D" w:rsidP="00286F7D">
            <w:pPr>
              <w:pStyle w:val="Texttabulky"/>
              <w:spacing w:after="0"/>
              <w:jc w:val="center"/>
            </w:pPr>
            <w:r>
              <w:rPr>
                <w:b/>
                <w:bCs/>
              </w:rPr>
              <w:t>počet obyvatel</w:t>
            </w:r>
          </w:p>
        </w:tc>
        <w:tc>
          <w:tcPr>
            <w:tcW w:w="1543" w:type="pct"/>
            <w:gridSpan w:val="3"/>
            <w:tcBorders>
              <w:top w:val="single" w:sz="6" w:space="0" w:color="auto"/>
              <w:left w:val="single" w:sz="6" w:space="0" w:color="auto"/>
              <w:bottom w:val="single" w:sz="6" w:space="0" w:color="auto"/>
              <w:right w:val="single" w:sz="6" w:space="0" w:color="auto"/>
            </w:tcBorders>
          </w:tcPr>
          <w:p w14:paraId="58630101" w14:textId="77777777" w:rsidR="00286F7D" w:rsidRPr="00174C3A" w:rsidRDefault="00286F7D" w:rsidP="00286F7D">
            <w:pPr>
              <w:pStyle w:val="Texttabulky"/>
              <w:spacing w:after="0"/>
              <w:jc w:val="center"/>
            </w:pPr>
            <w:r>
              <w:rPr>
                <w:b/>
                <w:bCs/>
              </w:rPr>
              <w:t>ukrytí</w:t>
            </w:r>
          </w:p>
        </w:tc>
      </w:tr>
      <w:tr w:rsidR="00286F7D" w14:paraId="5120D673" w14:textId="77777777" w:rsidTr="00286F7D">
        <w:tc>
          <w:tcPr>
            <w:tcW w:w="1374" w:type="pct"/>
            <w:gridSpan w:val="2"/>
            <w:tcBorders>
              <w:top w:val="single" w:sz="6" w:space="0" w:color="auto"/>
              <w:left w:val="single" w:sz="6" w:space="0" w:color="auto"/>
              <w:bottom w:val="single" w:sz="6" w:space="0" w:color="auto"/>
              <w:right w:val="single" w:sz="6" w:space="0" w:color="auto"/>
            </w:tcBorders>
          </w:tcPr>
          <w:p w14:paraId="1BDB87D2" w14:textId="77777777" w:rsidR="00286F7D" w:rsidRPr="00174C3A" w:rsidRDefault="00286F7D" w:rsidP="00286F7D">
            <w:pPr>
              <w:pStyle w:val="Texttabulky"/>
              <w:spacing w:after="0"/>
              <w:jc w:val="center"/>
            </w:pPr>
            <w:r>
              <w:rPr>
                <w:b/>
                <w:bCs/>
              </w:rPr>
              <w:t xml:space="preserve">   název</w:t>
            </w:r>
          </w:p>
        </w:tc>
        <w:tc>
          <w:tcPr>
            <w:tcW w:w="478" w:type="pct"/>
            <w:tcBorders>
              <w:top w:val="single" w:sz="6" w:space="0" w:color="auto"/>
              <w:left w:val="single" w:sz="6" w:space="0" w:color="auto"/>
              <w:bottom w:val="single" w:sz="6" w:space="0" w:color="auto"/>
              <w:right w:val="single" w:sz="6" w:space="0" w:color="auto"/>
            </w:tcBorders>
          </w:tcPr>
          <w:p w14:paraId="4FF6418E" w14:textId="77777777" w:rsidR="00286F7D" w:rsidRDefault="00286F7D" w:rsidP="00286F7D">
            <w:pPr>
              <w:pStyle w:val="Texttabulky"/>
              <w:spacing w:after="0"/>
            </w:pPr>
            <w:r>
              <w:rPr>
                <w:b/>
                <w:bCs/>
              </w:rPr>
              <w:t xml:space="preserve">  1991</w:t>
            </w:r>
          </w:p>
        </w:tc>
        <w:tc>
          <w:tcPr>
            <w:tcW w:w="554" w:type="pct"/>
            <w:tcBorders>
              <w:top w:val="single" w:sz="6" w:space="0" w:color="auto"/>
              <w:left w:val="single" w:sz="6" w:space="0" w:color="auto"/>
              <w:bottom w:val="single" w:sz="6" w:space="0" w:color="auto"/>
              <w:right w:val="single" w:sz="6" w:space="0" w:color="auto"/>
            </w:tcBorders>
          </w:tcPr>
          <w:p w14:paraId="353DBC41" w14:textId="77777777" w:rsidR="00286F7D" w:rsidRDefault="00286F7D" w:rsidP="00286F7D">
            <w:pPr>
              <w:pStyle w:val="Texttabulky"/>
              <w:spacing w:after="0"/>
            </w:pPr>
            <w:r>
              <w:rPr>
                <w:b/>
                <w:bCs/>
              </w:rPr>
              <w:t>red.1997</w:t>
            </w:r>
          </w:p>
        </w:tc>
        <w:tc>
          <w:tcPr>
            <w:tcW w:w="567" w:type="pct"/>
            <w:tcBorders>
              <w:top w:val="single" w:sz="6" w:space="0" w:color="auto"/>
              <w:left w:val="single" w:sz="6" w:space="0" w:color="auto"/>
              <w:bottom w:val="single" w:sz="6" w:space="0" w:color="auto"/>
              <w:right w:val="single" w:sz="6" w:space="0" w:color="auto"/>
            </w:tcBorders>
          </w:tcPr>
          <w:p w14:paraId="1C6BD106" w14:textId="77777777" w:rsidR="00286F7D" w:rsidRDefault="00286F7D" w:rsidP="00286F7D">
            <w:pPr>
              <w:pStyle w:val="Texttabulky"/>
              <w:spacing w:after="0"/>
            </w:pPr>
            <w:r>
              <w:rPr>
                <w:b/>
                <w:bCs/>
              </w:rPr>
              <w:t>návrh ÚP</w:t>
            </w:r>
          </w:p>
        </w:tc>
        <w:tc>
          <w:tcPr>
            <w:tcW w:w="480" w:type="pct"/>
            <w:tcBorders>
              <w:top w:val="single" w:sz="6" w:space="0" w:color="auto"/>
              <w:left w:val="single" w:sz="6" w:space="0" w:color="auto"/>
              <w:bottom w:val="single" w:sz="6" w:space="0" w:color="auto"/>
              <w:right w:val="single" w:sz="6" w:space="0" w:color="auto"/>
            </w:tcBorders>
          </w:tcPr>
          <w:p w14:paraId="6F3E8AA0" w14:textId="77777777" w:rsidR="00286F7D" w:rsidRDefault="00286F7D" w:rsidP="00286F7D">
            <w:pPr>
              <w:pStyle w:val="Texttabulky"/>
              <w:spacing w:after="0"/>
            </w:pPr>
            <w:r>
              <w:rPr>
                <w:b/>
                <w:bCs/>
              </w:rPr>
              <w:t xml:space="preserve"> výhled</w:t>
            </w:r>
          </w:p>
        </w:tc>
        <w:tc>
          <w:tcPr>
            <w:tcW w:w="388" w:type="pct"/>
            <w:gridSpan w:val="2"/>
            <w:tcBorders>
              <w:top w:val="single" w:sz="6" w:space="0" w:color="auto"/>
              <w:left w:val="single" w:sz="6" w:space="0" w:color="auto"/>
              <w:bottom w:val="single" w:sz="6" w:space="0" w:color="auto"/>
              <w:right w:val="single" w:sz="6" w:space="0" w:color="auto"/>
            </w:tcBorders>
          </w:tcPr>
          <w:p w14:paraId="4D5905D9" w14:textId="77777777" w:rsidR="00286F7D" w:rsidRDefault="00286F7D" w:rsidP="00286F7D">
            <w:pPr>
              <w:pStyle w:val="Texttabulky"/>
              <w:spacing w:after="0"/>
            </w:pPr>
            <w:r>
              <w:rPr>
                <w:b/>
                <w:bCs/>
              </w:rPr>
              <w:t>počet</w:t>
            </w:r>
          </w:p>
        </w:tc>
        <w:tc>
          <w:tcPr>
            <w:tcW w:w="578" w:type="pct"/>
            <w:tcBorders>
              <w:top w:val="single" w:sz="6" w:space="0" w:color="auto"/>
              <w:left w:val="single" w:sz="6" w:space="0" w:color="auto"/>
              <w:bottom w:val="single" w:sz="6" w:space="0" w:color="auto"/>
              <w:right w:val="single" w:sz="6" w:space="0" w:color="auto"/>
            </w:tcBorders>
          </w:tcPr>
          <w:p w14:paraId="6B423B0F" w14:textId="77777777" w:rsidR="00286F7D" w:rsidRDefault="00286F7D" w:rsidP="00286F7D">
            <w:pPr>
              <w:pStyle w:val="Texttabulky"/>
              <w:spacing w:after="0"/>
            </w:pPr>
            <w:r>
              <w:rPr>
                <w:b/>
                <w:bCs/>
              </w:rPr>
              <w:t>kapacita</w:t>
            </w:r>
          </w:p>
        </w:tc>
        <w:tc>
          <w:tcPr>
            <w:tcW w:w="578" w:type="pct"/>
            <w:tcBorders>
              <w:top w:val="single" w:sz="6" w:space="0" w:color="auto"/>
              <w:left w:val="single" w:sz="6" w:space="0" w:color="auto"/>
              <w:bottom w:val="single" w:sz="6" w:space="0" w:color="auto"/>
              <w:right w:val="single" w:sz="6" w:space="0" w:color="auto"/>
            </w:tcBorders>
          </w:tcPr>
          <w:p w14:paraId="66E0977F" w14:textId="77777777" w:rsidR="00286F7D" w:rsidRDefault="00286F7D" w:rsidP="00286F7D">
            <w:pPr>
              <w:pStyle w:val="Texttabulky"/>
              <w:spacing w:after="0"/>
            </w:pPr>
            <w:r>
              <w:rPr>
                <w:b/>
                <w:bCs/>
              </w:rPr>
              <w:t xml:space="preserve"> rozdíl</w:t>
            </w:r>
          </w:p>
        </w:tc>
      </w:tr>
      <w:tr w:rsidR="00286F7D" w14:paraId="7C23FE62" w14:textId="77777777" w:rsidTr="00286F7D">
        <w:tc>
          <w:tcPr>
            <w:tcW w:w="238" w:type="pct"/>
            <w:tcBorders>
              <w:top w:val="single" w:sz="6" w:space="0" w:color="auto"/>
              <w:left w:val="single" w:sz="6" w:space="0" w:color="auto"/>
              <w:bottom w:val="single" w:sz="6" w:space="0" w:color="auto"/>
              <w:right w:val="single" w:sz="6" w:space="0" w:color="auto"/>
            </w:tcBorders>
          </w:tcPr>
          <w:p w14:paraId="73CFE885" w14:textId="77777777" w:rsidR="00286F7D" w:rsidRDefault="00286F7D" w:rsidP="00286F7D">
            <w:pPr>
              <w:pStyle w:val="Texttabulky"/>
              <w:spacing w:after="0"/>
              <w:jc w:val="right"/>
            </w:pPr>
            <w:r>
              <w:t>1</w:t>
            </w:r>
          </w:p>
        </w:tc>
        <w:tc>
          <w:tcPr>
            <w:tcW w:w="1137" w:type="pct"/>
            <w:tcBorders>
              <w:top w:val="single" w:sz="6" w:space="0" w:color="auto"/>
              <w:left w:val="single" w:sz="6" w:space="0" w:color="auto"/>
              <w:bottom w:val="single" w:sz="6" w:space="0" w:color="auto"/>
              <w:right w:val="single" w:sz="6" w:space="0" w:color="auto"/>
            </w:tcBorders>
          </w:tcPr>
          <w:p w14:paraId="0A1821FE" w14:textId="77777777" w:rsidR="00286F7D" w:rsidRDefault="00286F7D" w:rsidP="00286F7D">
            <w:pPr>
              <w:pStyle w:val="Texttabulky"/>
              <w:spacing w:after="0"/>
            </w:pPr>
            <w:r>
              <w:t>Děčín střed</w:t>
            </w:r>
          </w:p>
        </w:tc>
        <w:tc>
          <w:tcPr>
            <w:tcW w:w="478" w:type="pct"/>
            <w:tcBorders>
              <w:top w:val="single" w:sz="6" w:space="0" w:color="auto"/>
              <w:left w:val="single" w:sz="6" w:space="0" w:color="auto"/>
              <w:bottom w:val="single" w:sz="6" w:space="0" w:color="auto"/>
              <w:right w:val="single" w:sz="6" w:space="0" w:color="auto"/>
            </w:tcBorders>
          </w:tcPr>
          <w:p w14:paraId="5ADCC17F" w14:textId="77777777" w:rsidR="00286F7D" w:rsidRDefault="00286F7D" w:rsidP="00286F7D">
            <w:pPr>
              <w:pStyle w:val="Texttabulky"/>
              <w:spacing w:after="0"/>
              <w:jc w:val="right"/>
            </w:pPr>
            <w:r>
              <w:t>5 443</w:t>
            </w:r>
          </w:p>
        </w:tc>
        <w:tc>
          <w:tcPr>
            <w:tcW w:w="554" w:type="pct"/>
            <w:tcBorders>
              <w:top w:val="single" w:sz="6" w:space="0" w:color="auto"/>
              <w:left w:val="single" w:sz="6" w:space="0" w:color="auto"/>
              <w:bottom w:val="single" w:sz="6" w:space="0" w:color="auto"/>
              <w:right w:val="single" w:sz="6" w:space="0" w:color="auto"/>
            </w:tcBorders>
          </w:tcPr>
          <w:p w14:paraId="61F81620" w14:textId="77777777" w:rsidR="00286F7D" w:rsidRDefault="00286F7D" w:rsidP="00286F7D">
            <w:pPr>
              <w:pStyle w:val="Texttabulky"/>
              <w:spacing w:after="0"/>
              <w:jc w:val="right"/>
            </w:pPr>
            <w:r>
              <w:t>5 400</w:t>
            </w:r>
          </w:p>
        </w:tc>
        <w:tc>
          <w:tcPr>
            <w:tcW w:w="567" w:type="pct"/>
            <w:tcBorders>
              <w:top w:val="single" w:sz="6" w:space="0" w:color="auto"/>
              <w:left w:val="single" w:sz="6" w:space="0" w:color="auto"/>
              <w:bottom w:val="single" w:sz="6" w:space="0" w:color="auto"/>
              <w:right w:val="single" w:sz="6" w:space="0" w:color="auto"/>
            </w:tcBorders>
          </w:tcPr>
          <w:p w14:paraId="0575C689" w14:textId="77777777" w:rsidR="00286F7D" w:rsidRDefault="00286F7D" w:rsidP="00286F7D">
            <w:pPr>
              <w:pStyle w:val="Texttabulky"/>
              <w:spacing w:after="0"/>
              <w:jc w:val="right"/>
            </w:pPr>
            <w:r>
              <w:rPr>
                <w:rFonts w:cs="Arial"/>
              </w:rPr>
              <w:t>395</w:t>
            </w:r>
          </w:p>
        </w:tc>
        <w:tc>
          <w:tcPr>
            <w:tcW w:w="480" w:type="pct"/>
            <w:tcBorders>
              <w:top w:val="single" w:sz="6" w:space="0" w:color="auto"/>
              <w:left w:val="single" w:sz="6" w:space="0" w:color="auto"/>
              <w:bottom w:val="single" w:sz="6" w:space="0" w:color="auto"/>
              <w:right w:val="single" w:sz="6" w:space="0" w:color="auto"/>
            </w:tcBorders>
          </w:tcPr>
          <w:p w14:paraId="124E2162" w14:textId="77777777" w:rsidR="00286F7D" w:rsidRDefault="00286F7D" w:rsidP="00286F7D">
            <w:pPr>
              <w:pStyle w:val="Texttabulky"/>
              <w:spacing w:after="0"/>
              <w:jc w:val="right"/>
            </w:pPr>
            <w:r>
              <w:t>5 795</w:t>
            </w:r>
          </w:p>
        </w:tc>
        <w:tc>
          <w:tcPr>
            <w:tcW w:w="388" w:type="pct"/>
            <w:gridSpan w:val="2"/>
            <w:tcBorders>
              <w:top w:val="single" w:sz="6" w:space="0" w:color="auto"/>
              <w:left w:val="single" w:sz="6" w:space="0" w:color="auto"/>
              <w:bottom w:val="single" w:sz="6" w:space="0" w:color="auto"/>
              <w:right w:val="single" w:sz="6" w:space="0" w:color="auto"/>
            </w:tcBorders>
          </w:tcPr>
          <w:p w14:paraId="5A635523" w14:textId="77777777" w:rsidR="00286F7D" w:rsidRDefault="00286F7D" w:rsidP="00286F7D">
            <w:pPr>
              <w:pStyle w:val="Texttabulky"/>
              <w:spacing w:after="0"/>
              <w:jc w:val="right"/>
            </w:pPr>
            <w:r>
              <w:t>107</w:t>
            </w:r>
          </w:p>
        </w:tc>
        <w:tc>
          <w:tcPr>
            <w:tcW w:w="578" w:type="pct"/>
            <w:tcBorders>
              <w:top w:val="single" w:sz="6" w:space="0" w:color="auto"/>
              <w:left w:val="single" w:sz="6" w:space="0" w:color="auto"/>
              <w:bottom w:val="single" w:sz="6" w:space="0" w:color="auto"/>
              <w:right w:val="single" w:sz="6" w:space="0" w:color="auto"/>
            </w:tcBorders>
          </w:tcPr>
          <w:p w14:paraId="2FC603D2" w14:textId="77777777" w:rsidR="00286F7D" w:rsidRDefault="00286F7D" w:rsidP="00286F7D">
            <w:pPr>
              <w:pStyle w:val="Texttabulky"/>
              <w:spacing w:after="0"/>
              <w:jc w:val="right"/>
            </w:pPr>
            <w:r>
              <w:t>7 099</w:t>
            </w:r>
          </w:p>
        </w:tc>
        <w:tc>
          <w:tcPr>
            <w:tcW w:w="578" w:type="pct"/>
            <w:tcBorders>
              <w:top w:val="single" w:sz="6" w:space="0" w:color="auto"/>
              <w:left w:val="single" w:sz="6" w:space="0" w:color="auto"/>
              <w:bottom w:val="single" w:sz="6" w:space="0" w:color="auto"/>
              <w:right w:val="single" w:sz="6" w:space="0" w:color="auto"/>
            </w:tcBorders>
          </w:tcPr>
          <w:p w14:paraId="5A8D5C8A" w14:textId="77777777" w:rsidR="00286F7D" w:rsidRDefault="00286F7D" w:rsidP="00286F7D">
            <w:pPr>
              <w:pStyle w:val="Texttabulky"/>
              <w:spacing w:after="0"/>
              <w:jc w:val="right"/>
            </w:pPr>
            <w:r>
              <w:t>1 304</w:t>
            </w:r>
          </w:p>
        </w:tc>
      </w:tr>
      <w:tr w:rsidR="00286F7D" w14:paraId="240DF09E" w14:textId="77777777" w:rsidTr="00286F7D">
        <w:tc>
          <w:tcPr>
            <w:tcW w:w="238" w:type="pct"/>
            <w:tcBorders>
              <w:top w:val="single" w:sz="6" w:space="0" w:color="auto"/>
              <w:left w:val="single" w:sz="6" w:space="0" w:color="auto"/>
              <w:bottom w:val="single" w:sz="6" w:space="0" w:color="auto"/>
              <w:right w:val="single" w:sz="6" w:space="0" w:color="auto"/>
            </w:tcBorders>
          </w:tcPr>
          <w:p w14:paraId="0BE2F728" w14:textId="77777777" w:rsidR="00286F7D" w:rsidRDefault="00286F7D" w:rsidP="00286F7D">
            <w:pPr>
              <w:pStyle w:val="Texttabulky"/>
              <w:spacing w:after="0"/>
              <w:jc w:val="right"/>
            </w:pPr>
            <w:r>
              <w:t>10</w:t>
            </w:r>
          </w:p>
        </w:tc>
        <w:tc>
          <w:tcPr>
            <w:tcW w:w="1137" w:type="pct"/>
            <w:tcBorders>
              <w:top w:val="single" w:sz="6" w:space="0" w:color="auto"/>
              <w:left w:val="single" w:sz="6" w:space="0" w:color="auto"/>
              <w:bottom w:val="single" w:sz="6" w:space="0" w:color="auto"/>
              <w:right w:val="single" w:sz="6" w:space="0" w:color="auto"/>
            </w:tcBorders>
          </w:tcPr>
          <w:p w14:paraId="1D306F42" w14:textId="77777777" w:rsidR="00286F7D" w:rsidRDefault="00286F7D" w:rsidP="00286F7D">
            <w:pPr>
              <w:pStyle w:val="Texttabulky"/>
              <w:spacing w:after="0"/>
            </w:pPr>
            <w:r>
              <w:t>zámek</w:t>
            </w:r>
          </w:p>
        </w:tc>
        <w:tc>
          <w:tcPr>
            <w:tcW w:w="478" w:type="pct"/>
            <w:tcBorders>
              <w:top w:val="single" w:sz="6" w:space="0" w:color="auto"/>
              <w:left w:val="single" w:sz="6" w:space="0" w:color="auto"/>
              <w:bottom w:val="single" w:sz="6" w:space="0" w:color="auto"/>
              <w:right w:val="single" w:sz="6" w:space="0" w:color="auto"/>
            </w:tcBorders>
          </w:tcPr>
          <w:p w14:paraId="6628F384"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4C13062A"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10E052BA"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08D25867" w14:textId="77777777" w:rsidR="00286F7D" w:rsidRDefault="00286F7D" w:rsidP="00286F7D">
            <w:pPr>
              <w:pStyle w:val="Texttabulky"/>
              <w:spacing w:after="0"/>
              <w:jc w:val="right"/>
            </w:pPr>
            <w:r>
              <w:t>0</w:t>
            </w:r>
          </w:p>
        </w:tc>
        <w:tc>
          <w:tcPr>
            <w:tcW w:w="388" w:type="pct"/>
            <w:gridSpan w:val="2"/>
            <w:tcBorders>
              <w:top w:val="single" w:sz="6" w:space="0" w:color="auto"/>
              <w:left w:val="single" w:sz="6" w:space="0" w:color="auto"/>
              <w:bottom w:val="single" w:sz="6" w:space="0" w:color="auto"/>
              <w:right w:val="single" w:sz="6" w:space="0" w:color="auto"/>
            </w:tcBorders>
          </w:tcPr>
          <w:p w14:paraId="08962F0E" w14:textId="77777777" w:rsidR="00286F7D" w:rsidRDefault="00286F7D" w:rsidP="00286F7D">
            <w:pPr>
              <w:pStyle w:val="Texttabulky"/>
              <w:spacing w:after="0"/>
              <w:jc w:val="right"/>
            </w:pPr>
            <w:r>
              <w:t>2</w:t>
            </w:r>
          </w:p>
        </w:tc>
        <w:tc>
          <w:tcPr>
            <w:tcW w:w="578" w:type="pct"/>
            <w:tcBorders>
              <w:top w:val="single" w:sz="6" w:space="0" w:color="auto"/>
              <w:left w:val="single" w:sz="6" w:space="0" w:color="auto"/>
              <w:bottom w:val="single" w:sz="6" w:space="0" w:color="auto"/>
              <w:right w:val="single" w:sz="6" w:space="0" w:color="auto"/>
            </w:tcBorders>
          </w:tcPr>
          <w:p w14:paraId="0497D214" w14:textId="77777777" w:rsidR="00286F7D" w:rsidRDefault="00286F7D" w:rsidP="00286F7D">
            <w:pPr>
              <w:pStyle w:val="Texttabulky"/>
              <w:spacing w:after="0"/>
              <w:jc w:val="right"/>
            </w:pPr>
            <w:r>
              <w:t>146</w:t>
            </w:r>
          </w:p>
        </w:tc>
        <w:tc>
          <w:tcPr>
            <w:tcW w:w="578" w:type="pct"/>
            <w:tcBorders>
              <w:top w:val="single" w:sz="6" w:space="0" w:color="auto"/>
              <w:left w:val="single" w:sz="6" w:space="0" w:color="auto"/>
              <w:bottom w:val="single" w:sz="6" w:space="0" w:color="auto"/>
              <w:right w:val="single" w:sz="6" w:space="0" w:color="auto"/>
            </w:tcBorders>
          </w:tcPr>
          <w:p w14:paraId="4F630043" w14:textId="77777777" w:rsidR="00286F7D" w:rsidRDefault="00286F7D" w:rsidP="00286F7D">
            <w:pPr>
              <w:pStyle w:val="Texttabulky"/>
              <w:spacing w:after="0"/>
              <w:jc w:val="right"/>
            </w:pPr>
            <w:r>
              <w:t>146</w:t>
            </w:r>
          </w:p>
        </w:tc>
      </w:tr>
      <w:tr w:rsidR="00286F7D" w14:paraId="7B161680" w14:textId="77777777" w:rsidTr="00286F7D">
        <w:tc>
          <w:tcPr>
            <w:tcW w:w="238" w:type="pct"/>
            <w:tcBorders>
              <w:top w:val="single" w:sz="6" w:space="0" w:color="auto"/>
              <w:left w:val="single" w:sz="6" w:space="0" w:color="auto"/>
              <w:bottom w:val="single" w:sz="6" w:space="0" w:color="auto"/>
              <w:right w:val="single" w:sz="6" w:space="0" w:color="auto"/>
            </w:tcBorders>
          </w:tcPr>
          <w:p w14:paraId="45D4B4EA" w14:textId="77777777" w:rsidR="00286F7D" w:rsidRDefault="00286F7D" w:rsidP="00286F7D">
            <w:pPr>
              <w:pStyle w:val="Texttabulky"/>
              <w:spacing w:after="0"/>
              <w:jc w:val="right"/>
            </w:pPr>
            <w:r>
              <w:t>11</w:t>
            </w:r>
          </w:p>
        </w:tc>
        <w:tc>
          <w:tcPr>
            <w:tcW w:w="1137" w:type="pct"/>
            <w:tcBorders>
              <w:top w:val="single" w:sz="6" w:space="0" w:color="auto"/>
              <w:left w:val="single" w:sz="6" w:space="0" w:color="auto"/>
              <w:bottom w:val="single" w:sz="6" w:space="0" w:color="auto"/>
              <w:right w:val="single" w:sz="6" w:space="0" w:color="auto"/>
            </w:tcBorders>
          </w:tcPr>
          <w:p w14:paraId="0C2D54D8" w14:textId="77777777" w:rsidR="00286F7D" w:rsidRDefault="00286F7D" w:rsidP="00286F7D">
            <w:pPr>
              <w:pStyle w:val="Texttabulky"/>
              <w:spacing w:after="0"/>
            </w:pPr>
            <w:r>
              <w:t>U koupaliště</w:t>
            </w:r>
          </w:p>
        </w:tc>
        <w:tc>
          <w:tcPr>
            <w:tcW w:w="478" w:type="pct"/>
            <w:tcBorders>
              <w:top w:val="single" w:sz="6" w:space="0" w:color="auto"/>
              <w:left w:val="single" w:sz="6" w:space="0" w:color="auto"/>
              <w:bottom w:val="single" w:sz="6" w:space="0" w:color="auto"/>
              <w:right w:val="single" w:sz="6" w:space="0" w:color="auto"/>
            </w:tcBorders>
          </w:tcPr>
          <w:p w14:paraId="421CA228" w14:textId="77777777" w:rsidR="00286F7D" w:rsidRDefault="00286F7D" w:rsidP="00286F7D">
            <w:pPr>
              <w:pStyle w:val="Texttabulky"/>
              <w:spacing w:after="0"/>
              <w:jc w:val="right"/>
            </w:pPr>
            <w:r>
              <w:t>77</w:t>
            </w:r>
          </w:p>
        </w:tc>
        <w:tc>
          <w:tcPr>
            <w:tcW w:w="554" w:type="pct"/>
            <w:tcBorders>
              <w:top w:val="single" w:sz="6" w:space="0" w:color="auto"/>
              <w:left w:val="single" w:sz="6" w:space="0" w:color="auto"/>
              <w:bottom w:val="single" w:sz="6" w:space="0" w:color="auto"/>
              <w:right w:val="single" w:sz="6" w:space="0" w:color="auto"/>
            </w:tcBorders>
          </w:tcPr>
          <w:p w14:paraId="5F85C181" w14:textId="77777777" w:rsidR="00286F7D" w:rsidRDefault="00286F7D" w:rsidP="00286F7D">
            <w:pPr>
              <w:pStyle w:val="Texttabulky"/>
              <w:spacing w:after="0"/>
              <w:jc w:val="right"/>
            </w:pPr>
            <w:r>
              <w:t>50</w:t>
            </w:r>
          </w:p>
        </w:tc>
        <w:tc>
          <w:tcPr>
            <w:tcW w:w="567" w:type="pct"/>
            <w:tcBorders>
              <w:top w:val="single" w:sz="6" w:space="0" w:color="auto"/>
              <w:left w:val="single" w:sz="6" w:space="0" w:color="auto"/>
              <w:bottom w:val="single" w:sz="6" w:space="0" w:color="auto"/>
              <w:right w:val="single" w:sz="6" w:space="0" w:color="auto"/>
            </w:tcBorders>
          </w:tcPr>
          <w:p w14:paraId="295D5E10" w14:textId="77777777" w:rsidR="00286F7D" w:rsidRDefault="00286F7D" w:rsidP="00286F7D">
            <w:pPr>
              <w:pStyle w:val="Texttabulky"/>
              <w:spacing w:after="0"/>
              <w:jc w:val="right"/>
            </w:pPr>
            <w:r>
              <w:t>25</w:t>
            </w:r>
          </w:p>
        </w:tc>
        <w:tc>
          <w:tcPr>
            <w:tcW w:w="480" w:type="pct"/>
            <w:tcBorders>
              <w:top w:val="single" w:sz="6" w:space="0" w:color="auto"/>
              <w:left w:val="single" w:sz="6" w:space="0" w:color="auto"/>
              <w:bottom w:val="single" w:sz="6" w:space="0" w:color="auto"/>
              <w:right w:val="single" w:sz="6" w:space="0" w:color="auto"/>
            </w:tcBorders>
          </w:tcPr>
          <w:p w14:paraId="7DEE4A60" w14:textId="77777777" w:rsidR="00286F7D" w:rsidRDefault="00286F7D" w:rsidP="00286F7D">
            <w:pPr>
              <w:pStyle w:val="Texttabulky"/>
              <w:spacing w:after="0"/>
              <w:jc w:val="right"/>
            </w:pPr>
            <w:r>
              <w:t>75</w:t>
            </w:r>
          </w:p>
        </w:tc>
        <w:tc>
          <w:tcPr>
            <w:tcW w:w="388" w:type="pct"/>
            <w:gridSpan w:val="2"/>
            <w:tcBorders>
              <w:top w:val="single" w:sz="6" w:space="0" w:color="auto"/>
              <w:left w:val="single" w:sz="6" w:space="0" w:color="auto"/>
              <w:bottom w:val="single" w:sz="6" w:space="0" w:color="auto"/>
              <w:right w:val="single" w:sz="6" w:space="0" w:color="auto"/>
            </w:tcBorders>
          </w:tcPr>
          <w:p w14:paraId="39A8386A"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058917F3" w14:textId="77777777" w:rsidR="00286F7D" w:rsidRDefault="00286F7D" w:rsidP="00286F7D">
            <w:pPr>
              <w:pStyle w:val="Texttabulky"/>
              <w:spacing w:after="0"/>
              <w:jc w:val="right"/>
            </w:pPr>
            <w:r>
              <w:t>146</w:t>
            </w:r>
          </w:p>
        </w:tc>
        <w:tc>
          <w:tcPr>
            <w:tcW w:w="578" w:type="pct"/>
            <w:tcBorders>
              <w:top w:val="single" w:sz="6" w:space="0" w:color="auto"/>
              <w:left w:val="single" w:sz="6" w:space="0" w:color="auto"/>
              <w:bottom w:val="single" w:sz="6" w:space="0" w:color="auto"/>
              <w:right w:val="single" w:sz="6" w:space="0" w:color="auto"/>
            </w:tcBorders>
          </w:tcPr>
          <w:p w14:paraId="776865CB" w14:textId="77777777" w:rsidR="00286F7D" w:rsidRDefault="00286F7D" w:rsidP="00286F7D">
            <w:pPr>
              <w:pStyle w:val="Texttabulky"/>
              <w:spacing w:after="0"/>
              <w:jc w:val="right"/>
            </w:pPr>
            <w:r>
              <w:t>71</w:t>
            </w:r>
          </w:p>
        </w:tc>
      </w:tr>
      <w:tr w:rsidR="00286F7D" w14:paraId="4C709F40" w14:textId="77777777" w:rsidTr="00286F7D">
        <w:tc>
          <w:tcPr>
            <w:tcW w:w="238" w:type="pct"/>
            <w:tcBorders>
              <w:top w:val="single" w:sz="6" w:space="0" w:color="auto"/>
              <w:left w:val="single" w:sz="6" w:space="0" w:color="auto"/>
              <w:bottom w:val="single" w:sz="6" w:space="0" w:color="auto"/>
              <w:right w:val="single" w:sz="6" w:space="0" w:color="auto"/>
            </w:tcBorders>
          </w:tcPr>
          <w:p w14:paraId="196A3326" w14:textId="77777777" w:rsidR="00286F7D" w:rsidRDefault="00286F7D" w:rsidP="00286F7D">
            <w:pPr>
              <w:pStyle w:val="Texttabulky"/>
              <w:spacing w:after="0"/>
            </w:pPr>
            <w:r>
              <w:rPr>
                <w:b/>
                <w:bCs/>
              </w:rPr>
              <w:t xml:space="preserve"> IA</w:t>
            </w:r>
          </w:p>
        </w:tc>
        <w:tc>
          <w:tcPr>
            <w:tcW w:w="1137" w:type="pct"/>
            <w:tcBorders>
              <w:top w:val="single" w:sz="6" w:space="0" w:color="auto"/>
              <w:left w:val="single" w:sz="6" w:space="0" w:color="auto"/>
              <w:bottom w:val="single" w:sz="6" w:space="0" w:color="auto"/>
              <w:right w:val="single" w:sz="6" w:space="0" w:color="auto"/>
            </w:tcBorders>
          </w:tcPr>
          <w:p w14:paraId="1A38FC05" w14:textId="77777777" w:rsidR="00286F7D" w:rsidRDefault="00286F7D" w:rsidP="00286F7D">
            <w:pPr>
              <w:pStyle w:val="Texttabulky"/>
              <w:spacing w:after="0"/>
            </w:pPr>
            <w:r>
              <w:rPr>
                <w:b/>
                <w:bCs/>
                <w:caps/>
              </w:rPr>
              <w:t>sektor celkem</w:t>
            </w:r>
          </w:p>
        </w:tc>
        <w:tc>
          <w:tcPr>
            <w:tcW w:w="478" w:type="pct"/>
            <w:tcBorders>
              <w:top w:val="single" w:sz="6" w:space="0" w:color="auto"/>
              <w:left w:val="single" w:sz="6" w:space="0" w:color="auto"/>
              <w:bottom w:val="single" w:sz="6" w:space="0" w:color="auto"/>
              <w:right w:val="single" w:sz="6" w:space="0" w:color="auto"/>
            </w:tcBorders>
          </w:tcPr>
          <w:p w14:paraId="1728FCAC" w14:textId="77777777" w:rsidR="00286F7D" w:rsidRDefault="00286F7D" w:rsidP="00286F7D">
            <w:pPr>
              <w:pStyle w:val="Texttabulky"/>
              <w:spacing w:after="0"/>
              <w:jc w:val="right"/>
            </w:pPr>
            <w:r>
              <w:rPr>
                <w:b/>
                <w:bCs/>
              </w:rPr>
              <w:t>5 520</w:t>
            </w:r>
          </w:p>
        </w:tc>
        <w:tc>
          <w:tcPr>
            <w:tcW w:w="554" w:type="pct"/>
            <w:tcBorders>
              <w:top w:val="single" w:sz="6" w:space="0" w:color="auto"/>
              <w:left w:val="single" w:sz="6" w:space="0" w:color="auto"/>
              <w:bottom w:val="single" w:sz="6" w:space="0" w:color="auto"/>
              <w:right w:val="single" w:sz="6" w:space="0" w:color="auto"/>
            </w:tcBorders>
          </w:tcPr>
          <w:p w14:paraId="1A721672" w14:textId="77777777" w:rsidR="00286F7D" w:rsidRDefault="00286F7D" w:rsidP="00286F7D">
            <w:pPr>
              <w:pStyle w:val="Texttabulky"/>
              <w:spacing w:after="0"/>
              <w:jc w:val="right"/>
            </w:pPr>
            <w:r>
              <w:rPr>
                <w:b/>
                <w:bCs/>
              </w:rPr>
              <w:t>5 450</w:t>
            </w:r>
          </w:p>
        </w:tc>
        <w:tc>
          <w:tcPr>
            <w:tcW w:w="567" w:type="pct"/>
            <w:tcBorders>
              <w:top w:val="single" w:sz="6" w:space="0" w:color="auto"/>
              <w:left w:val="single" w:sz="6" w:space="0" w:color="auto"/>
              <w:bottom w:val="single" w:sz="6" w:space="0" w:color="auto"/>
              <w:right w:val="single" w:sz="6" w:space="0" w:color="auto"/>
            </w:tcBorders>
          </w:tcPr>
          <w:p w14:paraId="25D3E397" w14:textId="77777777" w:rsidR="00286F7D" w:rsidRDefault="00286F7D" w:rsidP="00286F7D">
            <w:pPr>
              <w:pStyle w:val="Texttabulky"/>
              <w:spacing w:after="0"/>
              <w:jc w:val="right"/>
            </w:pPr>
            <w:r>
              <w:rPr>
                <w:b/>
                <w:bCs/>
              </w:rPr>
              <w:t>420</w:t>
            </w:r>
          </w:p>
        </w:tc>
        <w:tc>
          <w:tcPr>
            <w:tcW w:w="480" w:type="pct"/>
            <w:tcBorders>
              <w:top w:val="single" w:sz="6" w:space="0" w:color="auto"/>
              <w:left w:val="single" w:sz="6" w:space="0" w:color="auto"/>
              <w:bottom w:val="single" w:sz="6" w:space="0" w:color="auto"/>
              <w:right w:val="single" w:sz="6" w:space="0" w:color="auto"/>
            </w:tcBorders>
          </w:tcPr>
          <w:p w14:paraId="4CCED8F8" w14:textId="77777777" w:rsidR="00286F7D" w:rsidRDefault="00286F7D" w:rsidP="00286F7D">
            <w:pPr>
              <w:pStyle w:val="Texttabulky"/>
              <w:spacing w:after="0"/>
              <w:jc w:val="right"/>
            </w:pPr>
            <w:r>
              <w:rPr>
                <w:b/>
                <w:bCs/>
              </w:rPr>
              <w:t>5 870</w:t>
            </w:r>
          </w:p>
        </w:tc>
        <w:tc>
          <w:tcPr>
            <w:tcW w:w="388" w:type="pct"/>
            <w:gridSpan w:val="2"/>
            <w:tcBorders>
              <w:top w:val="single" w:sz="6" w:space="0" w:color="auto"/>
              <w:left w:val="single" w:sz="6" w:space="0" w:color="auto"/>
              <w:bottom w:val="single" w:sz="6" w:space="0" w:color="auto"/>
              <w:right w:val="single" w:sz="6" w:space="0" w:color="auto"/>
            </w:tcBorders>
          </w:tcPr>
          <w:p w14:paraId="36667604" w14:textId="77777777" w:rsidR="00286F7D" w:rsidRDefault="00286F7D" w:rsidP="00286F7D">
            <w:pPr>
              <w:pStyle w:val="Texttabulky"/>
              <w:spacing w:after="0"/>
              <w:jc w:val="right"/>
            </w:pPr>
            <w:r>
              <w:rPr>
                <w:b/>
                <w:bCs/>
              </w:rPr>
              <w:t>109</w:t>
            </w:r>
          </w:p>
        </w:tc>
        <w:tc>
          <w:tcPr>
            <w:tcW w:w="578" w:type="pct"/>
            <w:tcBorders>
              <w:top w:val="single" w:sz="6" w:space="0" w:color="auto"/>
              <w:left w:val="single" w:sz="6" w:space="0" w:color="auto"/>
              <w:bottom w:val="single" w:sz="6" w:space="0" w:color="auto"/>
              <w:right w:val="single" w:sz="6" w:space="0" w:color="auto"/>
            </w:tcBorders>
          </w:tcPr>
          <w:p w14:paraId="13CA3BB7" w14:textId="77777777" w:rsidR="00286F7D" w:rsidRDefault="00286F7D" w:rsidP="00286F7D">
            <w:pPr>
              <w:pStyle w:val="Texttabulky"/>
              <w:spacing w:after="0"/>
              <w:jc w:val="right"/>
            </w:pPr>
            <w:r>
              <w:rPr>
                <w:b/>
                <w:bCs/>
              </w:rPr>
              <w:t>7 391</w:t>
            </w:r>
          </w:p>
        </w:tc>
        <w:tc>
          <w:tcPr>
            <w:tcW w:w="578" w:type="pct"/>
            <w:tcBorders>
              <w:top w:val="single" w:sz="6" w:space="0" w:color="auto"/>
              <w:left w:val="single" w:sz="6" w:space="0" w:color="auto"/>
              <w:bottom w:val="single" w:sz="6" w:space="0" w:color="auto"/>
              <w:right w:val="single" w:sz="6" w:space="0" w:color="auto"/>
            </w:tcBorders>
          </w:tcPr>
          <w:p w14:paraId="5061A12A" w14:textId="77777777" w:rsidR="00286F7D" w:rsidRDefault="00286F7D" w:rsidP="00286F7D">
            <w:pPr>
              <w:pStyle w:val="Texttabulky"/>
              <w:spacing w:after="0"/>
              <w:jc w:val="right"/>
            </w:pPr>
            <w:r>
              <w:rPr>
                <w:b/>
                <w:bCs/>
              </w:rPr>
              <w:t>+1 521</w:t>
            </w:r>
          </w:p>
        </w:tc>
      </w:tr>
      <w:tr w:rsidR="00286F7D" w14:paraId="6CEC4BDB" w14:textId="77777777" w:rsidTr="00286F7D">
        <w:trPr>
          <w:trHeight w:val="331"/>
        </w:trPr>
        <w:tc>
          <w:tcPr>
            <w:tcW w:w="238" w:type="pct"/>
            <w:tcBorders>
              <w:top w:val="single" w:sz="6" w:space="0" w:color="auto"/>
              <w:left w:val="single" w:sz="6" w:space="0" w:color="auto"/>
              <w:bottom w:val="single" w:sz="6" w:space="0" w:color="auto"/>
              <w:right w:val="single" w:sz="6" w:space="0" w:color="auto"/>
            </w:tcBorders>
          </w:tcPr>
          <w:p w14:paraId="179A2FAC" w14:textId="77777777" w:rsidR="00286F7D" w:rsidRDefault="00286F7D" w:rsidP="00286F7D">
            <w:pPr>
              <w:pStyle w:val="Texttabulky"/>
              <w:spacing w:after="0"/>
              <w:jc w:val="right"/>
            </w:pPr>
            <w:r>
              <w:t>23</w:t>
            </w:r>
          </w:p>
        </w:tc>
        <w:tc>
          <w:tcPr>
            <w:tcW w:w="1137" w:type="pct"/>
            <w:tcBorders>
              <w:top w:val="single" w:sz="6" w:space="0" w:color="auto"/>
              <w:left w:val="single" w:sz="6" w:space="0" w:color="auto"/>
              <w:bottom w:val="single" w:sz="6" w:space="0" w:color="auto"/>
              <w:right w:val="single" w:sz="6" w:space="0" w:color="auto"/>
            </w:tcBorders>
          </w:tcPr>
          <w:p w14:paraId="11238FA9" w14:textId="77777777" w:rsidR="00286F7D" w:rsidRDefault="00286F7D" w:rsidP="00286F7D">
            <w:pPr>
              <w:pStyle w:val="Texttabulky"/>
              <w:spacing w:after="0"/>
            </w:pPr>
            <w:r>
              <w:t>Podmokly</w:t>
            </w:r>
          </w:p>
        </w:tc>
        <w:tc>
          <w:tcPr>
            <w:tcW w:w="478" w:type="pct"/>
            <w:tcBorders>
              <w:top w:val="single" w:sz="6" w:space="0" w:color="auto"/>
              <w:left w:val="single" w:sz="6" w:space="0" w:color="auto"/>
              <w:bottom w:val="single" w:sz="6" w:space="0" w:color="auto"/>
              <w:right w:val="single" w:sz="6" w:space="0" w:color="auto"/>
            </w:tcBorders>
          </w:tcPr>
          <w:p w14:paraId="1C4B0663" w14:textId="77777777" w:rsidR="00286F7D" w:rsidRDefault="00286F7D" w:rsidP="00286F7D">
            <w:pPr>
              <w:pStyle w:val="Texttabulky"/>
              <w:spacing w:after="0"/>
              <w:jc w:val="right"/>
            </w:pPr>
            <w:r>
              <w:t>4 957</w:t>
            </w:r>
          </w:p>
        </w:tc>
        <w:tc>
          <w:tcPr>
            <w:tcW w:w="554" w:type="pct"/>
            <w:tcBorders>
              <w:top w:val="single" w:sz="6" w:space="0" w:color="auto"/>
              <w:left w:val="single" w:sz="6" w:space="0" w:color="auto"/>
              <w:bottom w:val="single" w:sz="6" w:space="0" w:color="auto"/>
              <w:right w:val="single" w:sz="6" w:space="0" w:color="auto"/>
            </w:tcBorders>
          </w:tcPr>
          <w:p w14:paraId="0540BC17" w14:textId="77777777" w:rsidR="00286F7D" w:rsidRDefault="00286F7D" w:rsidP="00286F7D">
            <w:pPr>
              <w:pStyle w:val="Texttabulky"/>
              <w:spacing w:after="0"/>
              <w:jc w:val="right"/>
            </w:pPr>
            <w:r>
              <w:t>4 700</w:t>
            </w:r>
          </w:p>
        </w:tc>
        <w:tc>
          <w:tcPr>
            <w:tcW w:w="567" w:type="pct"/>
            <w:tcBorders>
              <w:top w:val="single" w:sz="6" w:space="0" w:color="auto"/>
              <w:left w:val="single" w:sz="6" w:space="0" w:color="auto"/>
              <w:bottom w:val="single" w:sz="6" w:space="0" w:color="auto"/>
              <w:right w:val="single" w:sz="6" w:space="0" w:color="auto"/>
            </w:tcBorders>
          </w:tcPr>
          <w:p w14:paraId="1F7C73B5" w14:textId="77777777" w:rsidR="00286F7D" w:rsidRDefault="00286F7D" w:rsidP="00286F7D">
            <w:pPr>
              <w:pStyle w:val="Texttabulky"/>
              <w:spacing w:after="0"/>
              <w:jc w:val="right"/>
            </w:pPr>
            <w:r>
              <w:t>315</w:t>
            </w:r>
          </w:p>
        </w:tc>
        <w:tc>
          <w:tcPr>
            <w:tcW w:w="480" w:type="pct"/>
            <w:tcBorders>
              <w:top w:val="single" w:sz="6" w:space="0" w:color="auto"/>
              <w:left w:val="single" w:sz="6" w:space="0" w:color="auto"/>
              <w:bottom w:val="single" w:sz="6" w:space="0" w:color="auto"/>
              <w:right w:val="single" w:sz="6" w:space="0" w:color="auto"/>
            </w:tcBorders>
          </w:tcPr>
          <w:p w14:paraId="046FA6D2" w14:textId="77777777" w:rsidR="00286F7D" w:rsidRDefault="00286F7D" w:rsidP="00286F7D">
            <w:pPr>
              <w:pStyle w:val="Texttabulky"/>
              <w:spacing w:after="0"/>
            </w:pPr>
            <w:r>
              <w:t xml:space="preserve">    5 155 </w:t>
            </w:r>
          </w:p>
        </w:tc>
        <w:tc>
          <w:tcPr>
            <w:tcW w:w="388" w:type="pct"/>
            <w:gridSpan w:val="2"/>
            <w:tcBorders>
              <w:top w:val="single" w:sz="6" w:space="0" w:color="auto"/>
              <w:left w:val="single" w:sz="6" w:space="0" w:color="auto"/>
              <w:bottom w:val="single" w:sz="6" w:space="0" w:color="auto"/>
              <w:right w:val="single" w:sz="6" w:space="0" w:color="auto"/>
            </w:tcBorders>
          </w:tcPr>
          <w:p w14:paraId="4A5F8561" w14:textId="77777777" w:rsidR="00286F7D" w:rsidRDefault="00286F7D" w:rsidP="00286F7D">
            <w:pPr>
              <w:pStyle w:val="Texttabulky"/>
              <w:spacing w:after="0"/>
              <w:jc w:val="right"/>
            </w:pPr>
            <w:r>
              <w:t>127</w:t>
            </w:r>
          </w:p>
        </w:tc>
        <w:tc>
          <w:tcPr>
            <w:tcW w:w="578" w:type="pct"/>
            <w:tcBorders>
              <w:top w:val="single" w:sz="6" w:space="0" w:color="auto"/>
              <w:left w:val="single" w:sz="6" w:space="0" w:color="auto"/>
              <w:bottom w:val="single" w:sz="6" w:space="0" w:color="auto"/>
              <w:right w:val="single" w:sz="6" w:space="0" w:color="auto"/>
            </w:tcBorders>
          </w:tcPr>
          <w:p w14:paraId="4D8CB1D4" w14:textId="77777777" w:rsidR="00286F7D" w:rsidRDefault="00286F7D" w:rsidP="00286F7D">
            <w:pPr>
              <w:pStyle w:val="Texttabulky"/>
              <w:spacing w:after="0"/>
              <w:jc w:val="right"/>
            </w:pPr>
            <w:r>
              <w:t>6 565</w:t>
            </w:r>
          </w:p>
        </w:tc>
        <w:tc>
          <w:tcPr>
            <w:tcW w:w="578" w:type="pct"/>
            <w:tcBorders>
              <w:top w:val="single" w:sz="6" w:space="0" w:color="auto"/>
              <w:left w:val="single" w:sz="6" w:space="0" w:color="auto"/>
              <w:bottom w:val="single" w:sz="6" w:space="0" w:color="auto"/>
              <w:right w:val="single" w:sz="6" w:space="0" w:color="auto"/>
            </w:tcBorders>
          </w:tcPr>
          <w:p w14:paraId="298EF8D2" w14:textId="77777777" w:rsidR="00286F7D" w:rsidRDefault="00286F7D" w:rsidP="00286F7D">
            <w:pPr>
              <w:pStyle w:val="Texttabulky"/>
              <w:spacing w:after="0"/>
              <w:jc w:val="right"/>
            </w:pPr>
            <w:r>
              <w:t>1 135</w:t>
            </w:r>
          </w:p>
        </w:tc>
      </w:tr>
      <w:tr w:rsidR="00286F7D" w14:paraId="2FA894C3" w14:textId="77777777" w:rsidTr="00286F7D">
        <w:tc>
          <w:tcPr>
            <w:tcW w:w="238" w:type="pct"/>
            <w:tcBorders>
              <w:top w:val="single" w:sz="6" w:space="0" w:color="auto"/>
              <w:left w:val="single" w:sz="6" w:space="0" w:color="auto"/>
              <w:bottom w:val="single" w:sz="6" w:space="0" w:color="auto"/>
              <w:right w:val="single" w:sz="6" w:space="0" w:color="auto"/>
            </w:tcBorders>
          </w:tcPr>
          <w:p w14:paraId="4026F9E8" w14:textId="77777777" w:rsidR="00286F7D" w:rsidRDefault="00286F7D" w:rsidP="00286F7D">
            <w:pPr>
              <w:pStyle w:val="Texttabulky"/>
              <w:spacing w:after="0"/>
              <w:jc w:val="right"/>
            </w:pPr>
            <w:r>
              <w:t>24</w:t>
            </w:r>
          </w:p>
        </w:tc>
        <w:tc>
          <w:tcPr>
            <w:tcW w:w="1137" w:type="pct"/>
            <w:tcBorders>
              <w:top w:val="single" w:sz="6" w:space="0" w:color="auto"/>
              <w:left w:val="single" w:sz="6" w:space="0" w:color="auto"/>
              <w:bottom w:val="single" w:sz="6" w:space="0" w:color="auto"/>
              <w:right w:val="single" w:sz="6" w:space="0" w:color="auto"/>
            </w:tcBorders>
          </w:tcPr>
          <w:p w14:paraId="324E221B" w14:textId="77777777" w:rsidR="00286F7D" w:rsidRDefault="00286F7D" w:rsidP="00286F7D">
            <w:pPr>
              <w:pStyle w:val="Texttabulky"/>
              <w:spacing w:after="0"/>
            </w:pPr>
            <w:r>
              <w:t>U stadionu</w:t>
            </w:r>
          </w:p>
        </w:tc>
        <w:tc>
          <w:tcPr>
            <w:tcW w:w="478" w:type="pct"/>
            <w:tcBorders>
              <w:top w:val="single" w:sz="6" w:space="0" w:color="auto"/>
              <w:left w:val="single" w:sz="6" w:space="0" w:color="auto"/>
              <w:bottom w:val="single" w:sz="6" w:space="0" w:color="auto"/>
              <w:right w:val="single" w:sz="6" w:space="0" w:color="auto"/>
            </w:tcBorders>
          </w:tcPr>
          <w:p w14:paraId="7A7F4411" w14:textId="77777777" w:rsidR="00286F7D" w:rsidRDefault="00286F7D" w:rsidP="00286F7D">
            <w:pPr>
              <w:pStyle w:val="Texttabulky"/>
              <w:spacing w:after="0"/>
              <w:jc w:val="right"/>
            </w:pPr>
            <w:r>
              <w:t>8</w:t>
            </w:r>
          </w:p>
        </w:tc>
        <w:tc>
          <w:tcPr>
            <w:tcW w:w="554" w:type="pct"/>
            <w:tcBorders>
              <w:top w:val="single" w:sz="6" w:space="0" w:color="auto"/>
              <w:left w:val="single" w:sz="6" w:space="0" w:color="auto"/>
              <w:bottom w:val="single" w:sz="6" w:space="0" w:color="auto"/>
              <w:right w:val="single" w:sz="6" w:space="0" w:color="auto"/>
            </w:tcBorders>
          </w:tcPr>
          <w:p w14:paraId="7F632D58" w14:textId="77777777" w:rsidR="00286F7D" w:rsidRDefault="00286F7D" w:rsidP="00286F7D">
            <w:pPr>
              <w:pStyle w:val="Texttabulky"/>
              <w:spacing w:after="0"/>
              <w:jc w:val="right"/>
            </w:pPr>
            <w:r>
              <w:t>5</w:t>
            </w:r>
          </w:p>
        </w:tc>
        <w:tc>
          <w:tcPr>
            <w:tcW w:w="567" w:type="pct"/>
            <w:tcBorders>
              <w:top w:val="single" w:sz="6" w:space="0" w:color="auto"/>
              <w:left w:val="single" w:sz="6" w:space="0" w:color="auto"/>
              <w:bottom w:val="single" w:sz="6" w:space="0" w:color="auto"/>
              <w:right w:val="single" w:sz="6" w:space="0" w:color="auto"/>
            </w:tcBorders>
          </w:tcPr>
          <w:p w14:paraId="1ACF7BD6"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24CE85C1" w14:textId="77777777" w:rsidR="00286F7D" w:rsidRDefault="00286F7D" w:rsidP="00286F7D">
            <w:pPr>
              <w:pStyle w:val="Texttabulky"/>
              <w:spacing w:after="0"/>
              <w:jc w:val="right"/>
            </w:pPr>
            <w:r>
              <w:t>5</w:t>
            </w:r>
          </w:p>
        </w:tc>
        <w:tc>
          <w:tcPr>
            <w:tcW w:w="388" w:type="pct"/>
            <w:gridSpan w:val="2"/>
            <w:tcBorders>
              <w:top w:val="single" w:sz="6" w:space="0" w:color="auto"/>
              <w:left w:val="single" w:sz="6" w:space="0" w:color="auto"/>
              <w:bottom w:val="single" w:sz="6" w:space="0" w:color="auto"/>
              <w:right w:val="single" w:sz="6" w:space="0" w:color="auto"/>
            </w:tcBorders>
          </w:tcPr>
          <w:p w14:paraId="21EDFBC1"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41DFEF42"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46EA9024" w14:textId="77777777" w:rsidR="00286F7D" w:rsidRDefault="00286F7D" w:rsidP="00286F7D">
            <w:pPr>
              <w:pStyle w:val="Texttabulky"/>
              <w:spacing w:after="0"/>
              <w:jc w:val="right"/>
            </w:pPr>
            <w:r>
              <w:t>-5</w:t>
            </w:r>
          </w:p>
        </w:tc>
      </w:tr>
      <w:tr w:rsidR="00286F7D" w14:paraId="7DABC5B2" w14:textId="77777777" w:rsidTr="00286F7D">
        <w:tc>
          <w:tcPr>
            <w:tcW w:w="238" w:type="pct"/>
            <w:tcBorders>
              <w:top w:val="single" w:sz="6" w:space="0" w:color="auto"/>
              <w:left w:val="single" w:sz="6" w:space="0" w:color="auto"/>
              <w:bottom w:val="single" w:sz="6" w:space="0" w:color="auto"/>
              <w:right w:val="single" w:sz="6" w:space="0" w:color="auto"/>
            </w:tcBorders>
          </w:tcPr>
          <w:p w14:paraId="715FD4F4" w14:textId="77777777" w:rsidR="00286F7D" w:rsidRDefault="00286F7D" w:rsidP="00286F7D">
            <w:pPr>
              <w:pStyle w:val="Texttabulky"/>
              <w:spacing w:after="0"/>
              <w:jc w:val="right"/>
            </w:pPr>
            <w:r>
              <w:t>25</w:t>
            </w:r>
          </w:p>
        </w:tc>
        <w:tc>
          <w:tcPr>
            <w:tcW w:w="1137" w:type="pct"/>
            <w:tcBorders>
              <w:top w:val="single" w:sz="6" w:space="0" w:color="auto"/>
              <w:left w:val="single" w:sz="6" w:space="0" w:color="auto"/>
              <w:bottom w:val="single" w:sz="6" w:space="0" w:color="auto"/>
              <w:right w:val="single" w:sz="6" w:space="0" w:color="auto"/>
            </w:tcBorders>
          </w:tcPr>
          <w:p w14:paraId="047985DC" w14:textId="77777777" w:rsidR="00286F7D" w:rsidRDefault="00286F7D" w:rsidP="00286F7D">
            <w:pPr>
              <w:pStyle w:val="Texttabulky"/>
              <w:spacing w:after="0"/>
            </w:pPr>
            <w:r>
              <w:t>Červený vrch</w:t>
            </w:r>
          </w:p>
        </w:tc>
        <w:tc>
          <w:tcPr>
            <w:tcW w:w="478" w:type="pct"/>
            <w:tcBorders>
              <w:top w:val="single" w:sz="6" w:space="0" w:color="auto"/>
              <w:left w:val="single" w:sz="6" w:space="0" w:color="auto"/>
              <w:bottom w:val="single" w:sz="6" w:space="0" w:color="auto"/>
              <w:right w:val="single" w:sz="6" w:space="0" w:color="auto"/>
            </w:tcBorders>
          </w:tcPr>
          <w:p w14:paraId="45110E15" w14:textId="77777777" w:rsidR="00286F7D" w:rsidRDefault="00286F7D" w:rsidP="00286F7D">
            <w:pPr>
              <w:pStyle w:val="Texttabulky"/>
              <w:spacing w:after="0"/>
              <w:jc w:val="right"/>
            </w:pPr>
            <w:r>
              <w:t>477</w:t>
            </w:r>
          </w:p>
        </w:tc>
        <w:tc>
          <w:tcPr>
            <w:tcW w:w="554" w:type="pct"/>
            <w:tcBorders>
              <w:top w:val="single" w:sz="6" w:space="0" w:color="auto"/>
              <w:left w:val="single" w:sz="6" w:space="0" w:color="auto"/>
              <w:bottom w:val="single" w:sz="6" w:space="0" w:color="auto"/>
              <w:right w:val="single" w:sz="6" w:space="0" w:color="auto"/>
            </w:tcBorders>
          </w:tcPr>
          <w:p w14:paraId="3A560835" w14:textId="77777777" w:rsidR="00286F7D" w:rsidRDefault="00286F7D" w:rsidP="00286F7D">
            <w:pPr>
              <w:pStyle w:val="Texttabulky"/>
              <w:spacing w:after="0"/>
              <w:jc w:val="right"/>
            </w:pPr>
            <w:r>
              <w:t>430</w:t>
            </w:r>
          </w:p>
        </w:tc>
        <w:tc>
          <w:tcPr>
            <w:tcW w:w="567" w:type="pct"/>
            <w:tcBorders>
              <w:top w:val="single" w:sz="6" w:space="0" w:color="auto"/>
              <w:left w:val="single" w:sz="6" w:space="0" w:color="auto"/>
              <w:bottom w:val="single" w:sz="6" w:space="0" w:color="auto"/>
              <w:right w:val="single" w:sz="6" w:space="0" w:color="auto"/>
            </w:tcBorders>
          </w:tcPr>
          <w:p w14:paraId="1185A529"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4F1DC972" w14:textId="77777777" w:rsidR="00286F7D" w:rsidRDefault="00286F7D" w:rsidP="00286F7D">
            <w:pPr>
              <w:pStyle w:val="Texttabulky"/>
              <w:spacing w:after="0"/>
              <w:jc w:val="right"/>
            </w:pPr>
            <w:r>
              <w:t>430</w:t>
            </w:r>
          </w:p>
        </w:tc>
        <w:tc>
          <w:tcPr>
            <w:tcW w:w="388" w:type="pct"/>
            <w:gridSpan w:val="2"/>
            <w:tcBorders>
              <w:top w:val="single" w:sz="6" w:space="0" w:color="auto"/>
              <w:left w:val="single" w:sz="6" w:space="0" w:color="auto"/>
              <w:bottom w:val="single" w:sz="6" w:space="0" w:color="auto"/>
              <w:right w:val="single" w:sz="6" w:space="0" w:color="auto"/>
            </w:tcBorders>
          </w:tcPr>
          <w:p w14:paraId="44C5F30E" w14:textId="77777777" w:rsidR="00286F7D" w:rsidRDefault="00286F7D" w:rsidP="00286F7D">
            <w:pPr>
              <w:pStyle w:val="Texttabulky"/>
              <w:spacing w:after="0"/>
              <w:jc w:val="right"/>
            </w:pPr>
            <w:r>
              <w:t>14</w:t>
            </w:r>
          </w:p>
        </w:tc>
        <w:tc>
          <w:tcPr>
            <w:tcW w:w="578" w:type="pct"/>
            <w:tcBorders>
              <w:top w:val="single" w:sz="6" w:space="0" w:color="auto"/>
              <w:left w:val="single" w:sz="6" w:space="0" w:color="auto"/>
              <w:bottom w:val="single" w:sz="6" w:space="0" w:color="auto"/>
              <w:right w:val="single" w:sz="6" w:space="0" w:color="auto"/>
            </w:tcBorders>
          </w:tcPr>
          <w:p w14:paraId="790A355A" w14:textId="77777777" w:rsidR="00286F7D" w:rsidRDefault="00286F7D" w:rsidP="00286F7D">
            <w:pPr>
              <w:pStyle w:val="Texttabulky"/>
              <w:spacing w:after="0"/>
              <w:jc w:val="right"/>
            </w:pPr>
            <w:r>
              <w:t>397</w:t>
            </w:r>
          </w:p>
        </w:tc>
        <w:tc>
          <w:tcPr>
            <w:tcW w:w="578" w:type="pct"/>
            <w:tcBorders>
              <w:top w:val="single" w:sz="6" w:space="0" w:color="auto"/>
              <w:left w:val="single" w:sz="6" w:space="0" w:color="auto"/>
              <w:bottom w:val="single" w:sz="6" w:space="0" w:color="auto"/>
              <w:right w:val="single" w:sz="6" w:space="0" w:color="auto"/>
            </w:tcBorders>
          </w:tcPr>
          <w:p w14:paraId="17ADB2A9" w14:textId="77777777" w:rsidR="00286F7D" w:rsidRDefault="00286F7D" w:rsidP="00286F7D">
            <w:pPr>
              <w:pStyle w:val="Texttabulky"/>
              <w:spacing w:after="0"/>
              <w:jc w:val="right"/>
            </w:pPr>
            <w:r>
              <w:t>-33</w:t>
            </w:r>
          </w:p>
        </w:tc>
      </w:tr>
      <w:tr w:rsidR="00286F7D" w14:paraId="601D2B02" w14:textId="77777777" w:rsidTr="00286F7D">
        <w:tc>
          <w:tcPr>
            <w:tcW w:w="238" w:type="pct"/>
            <w:tcBorders>
              <w:top w:val="single" w:sz="6" w:space="0" w:color="auto"/>
              <w:left w:val="single" w:sz="6" w:space="0" w:color="auto"/>
              <w:bottom w:val="single" w:sz="6" w:space="0" w:color="auto"/>
              <w:right w:val="single" w:sz="6" w:space="0" w:color="auto"/>
            </w:tcBorders>
          </w:tcPr>
          <w:p w14:paraId="41CC48BB" w14:textId="77777777" w:rsidR="00286F7D" w:rsidRDefault="00286F7D" w:rsidP="00286F7D">
            <w:pPr>
              <w:pStyle w:val="Texttabulky"/>
              <w:spacing w:after="0"/>
              <w:jc w:val="right"/>
            </w:pPr>
            <w:r>
              <w:t>26</w:t>
            </w:r>
          </w:p>
        </w:tc>
        <w:tc>
          <w:tcPr>
            <w:tcW w:w="1137" w:type="pct"/>
            <w:tcBorders>
              <w:top w:val="single" w:sz="6" w:space="0" w:color="auto"/>
              <w:left w:val="single" w:sz="6" w:space="0" w:color="auto"/>
              <w:bottom w:val="single" w:sz="6" w:space="0" w:color="auto"/>
              <w:right w:val="single" w:sz="6" w:space="0" w:color="auto"/>
            </w:tcBorders>
          </w:tcPr>
          <w:p w14:paraId="550F0C91" w14:textId="77777777" w:rsidR="00286F7D" w:rsidRDefault="00286F7D" w:rsidP="00286F7D">
            <w:pPr>
              <w:pStyle w:val="Texttabulky"/>
              <w:spacing w:after="0"/>
            </w:pPr>
            <w:r>
              <w:t>Pastýřská stěna</w:t>
            </w:r>
          </w:p>
        </w:tc>
        <w:tc>
          <w:tcPr>
            <w:tcW w:w="478" w:type="pct"/>
            <w:tcBorders>
              <w:top w:val="single" w:sz="6" w:space="0" w:color="auto"/>
              <w:left w:val="single" w:sz="6" w:space="0" w:color="auto"/>
              <w:bottom w:val="single" w:sz="6" w:space="0" w:color="auto"/>
              <w:right w:val="single" w:sz="6" w:space="0" w:color="auto"/>
            </w:tcBorders>
          </w:tcPr>
          <w:p w14:paraId="3D620053" w14:textId="77777777" w:rsidR="00286F7D" w:rsidRDefault="00286F7D" w:rsidP="00286F7D">
            <w:pPr>
              <w:pStyle w:val="Texttabulky"/>
              <w:spacing w:after="0"/>
              <w:jc w:val="right"/>
            </w:pPr>
            <w:r>
              <w:t>1</w:t>
            </w:r>
          </w:p>
        </w:tc>
        <w:tc>
          <w:tcPr>
            <w:tcW w:w="554" w:type="pct"/>
            <w:tcBorders>
              <w:top w:val="single" w:sz="6" w:space="0" w:color="auto"/>
              <w:left w:val="single" w:sz="6" w:space="0" w:color="auto"/>
              <w:bottom w:val="single" w:sz="6" w:space="0" w:color="auto"/>
              <w:right w:val="single" w:sz="6" w:space="0" w:color="auto"/>
            </w:tcBorders>
          </w:tcPr>
          <w:p w14:paraId="73B34E56" w14:textId="77777777" w:rsidR="00286F7D" w:rsidRDefault="00286F7D" w:rsidP="00286F7D">
            <w:pPr>
              <w:pStyle w:val="Texttabulky"/>
              <w:spacing w:after="0"/>
              <w:jc w:val="right"/>
            </w:pPr>
            <w:r>
              <w:t>5</w:t>
            </w:r>
          </w:p>
        </w:tc>
        <w:tc>
          <w:tcPr>
            <w:tcW w:w="567" w:type="pct"/>
            <w:tcBorders>
              <w:top w:val="single" w:sz="6" w:space="0" w:color="auto"/>
              <w:left w:val="single" w:sz="6" w:space="0" w:color="auto"/>
              <w:bottom w:val="single" w:sz="6" w:space="0" w:color="auto"/>
              <w:right w:val="single" w:sz="6" w:space="0" w:color="auto"/>
            </w:tcBorders>
          </w:tcPr>
          <w:p w14:paraId="40D11F72"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31B028F7" w14:textId="77777777" w:rsidR="00286F7D" w:rsidRDefault="00286F7D" w:rsidP="00286F7D">
            <w:pPr>
              <w:pStyle w:val="Texttabulky"/>
              <w:spacing w:after="0"/>
              <w:jc w:val="right"/>
            </w:pPr>
            <w:r>
              <w:t>5</w:t>
            </w:r>
          </w:p>
        </w:tc>
        <w:tc>
          <w:tcPr>
            <w:tcW w:w="388" w:type="pct"/>
            <w:gridSpan w:val="2"/>
            <w:tcBorders>
              <w:top w:val="single" w:sz="6" w:space="0" w:color="auto"/>
              <w:left w:val="single" w:sz="6" w:space="0" w:color="auto"/>
              <w:bottom w:val="single" w:sz="6" w:space="0" w:color="auto"/>
              <w:right w:val="single" w:sz="6" w:space="0" w:color="auto"/>
            </w:tcBorders>
          </w:tcPr>
          <w:p w14:paraId="4E204952"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47A9B477"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547D25BA" w14:textId="77777777" w:rsidR="00286F7D" w:rsidRDefault="00286F7D" w:rsidP="00286F7D">
            <w:pPr>
              <w:pStyle w:val="Texttabulky"/>
              <w:spacing w:after="0"/>
              <w:jc w:val="right"/>
            </w:pPr>
            <w:r>
              <w:t>-5</w:t>
            </w:r>
          </w:p>
        </w:tc>
      </w:tr>
      <w:tr w:rsidR="00286F7D" w14:paraId="75A5624A" w14:textId="77777777" w:rsidTr="00286F7D">
        <w:tc>
          <w:tcPr>
            <w:tcW w:w="238" w:type="pct"/>
            <w:tcBorders>
              <w:top w:val="single" w:sz="6" w:space="0" w:color="auto"/>
              <w:left w:val="single" w:sz="6" w:space="0" w:color="auto"/>
              <w:bottom w:val="single" w:sz="6" w:space="0" w:color="auto"/>
              <w:right w:val="single" w:sz="6" w:space="0" w:color="auto"/>
            </w:tcBorders>
          </w:tcPr>
          <w:p w14:paraId="5A07CEC8" w14:textId="77777777" w:rsidR="00286F7D" w:rsidRDefault="00286F7D" w:rsidP="00286F7D">
            <w:pPr>
              <w:pStyle w:val="Texttabulky"/>
              <w:spacing w:after="0"/>
            </w:pPr>
            <w:r>
              <w:rPr>
                <w:b/>
                <w:bCs/>
              </w:rPr>
              <w:t xml:space="preserve"> IB</w:t>
            </w:r>
          </w:p>
        </w:tc>
        <w:tc>
          <w:tcPr>
            <w:tcW w:w="1137" w:type="pct"/>
            <w:tcBorders>
              <w:top w:val="single" w:sz="6" w:space="0" w:color="auto"/>
              <w:left w:val="single" w:sz="6" w:space="0" w:color="auto"/>
              <w:bottom w:val="single" w:sz="6" w:space="0" w:color="auto"/>
              <w:right w:val="single" w:sz="6" w:space="0" w:color="auto"/>
            </w:tcBorders>
          </w:tcPr>
          <w:p w14:paraId="7894AD70" w14:textId="77777777" w:rsidR="00286F7D" w:rsidRDefault="00286F7D" w:rsidP="00286F7D">
            <w:pPr>
              <w:pStyle w:val="Texttabulky"/>
              <w:spacing w:after="0"/>
            </w:pPr>
            <w:r>
              <w:rPr>
                <w:b/>
                <w:bCs/>
                <w:caps/>
              </w:rPr>
              <w:t>sektor celkem</w:t>
            </w:r>
          </w:p>
        </w:tc>
        <w:tc>
          <w:tcPr>
            <w:tcW w:w="478" w:type="pct"/>
            <w:tcBorders>
              <w:top w:val="single" w:sz="6" w:space="0" w:color="auto"/>
              <w:left w:val="single" w:sz="6" w:space="0" w:color="auto"/>
              <w:bottom w:val="single" w:sz="6" w:space="0" w:color="auto"/>
              <w:right w:val="single" w:sz="6" w:space="0" w:color="auto"/>
            </w:tcBorders>
          </w:tcPr>
          <w:p w14:paraId="7ACE9945" w14:textId="77777777" w:rsidR="00286F7D" w:rsidRDefault="00286F7D" w:rsidP="00286F7D">
            <w:pPr>
              <w:pStyle w:val="Texttabulky"/>
              <w:spacing w:after="0"/>
              <w:jc w:val="right"/>
            </w:pPr>
            <w:r>
              <w:rPr>
                <w:b/>
                <w:bCs/>
              </w:rPr>
              <w:t>5 442</w:t>
            </w:r>
          </w:p>
        </w:tc>
        <w:tc>
          <w:tcPr>
            <w:tcW w:w="554" w:type="pct"/>
            <w:tcBorders>
              <w:top w:val="single" w:sz="6" w:space="0" w:color="auto"/>
              <w:left w:val="single" w:sz="6" w:space="0" w:color="auto"/>
              <w:bottom w:val="single" w:sz="6" w:space="0" w:color="auto"/>
              <w:right w:val="single" w:sz="6" w:space="0" w:color="auto"/>
            </w:tcBorders>
          </w:tcPr>
          <w:p w14:paraId="62DAE85F" w14:textId="77777777" w:rsidR="00286F7D" w:rsidRDefault="00286F7D" w:rsidP="00286F7D">
            <w:pPr>
              <w:pStyle w:val="Texttabulky"/>
              <w:spacing w:after="0"/>
              <w:jc w:val="right"/>
            </w:pPr>
            <w:r>
              <w:rPr>
                <w:b/>
                <w:bCs/>
              </w:rPr>
              <w:t>5 140</w:t>
            </w:r>
          </w:p>
        </w:tc>
        <w:tc>
          <w:tcPr>
            <w:tcW w:w="567" w:type="pct"/>
            <w:tcBorders>
              <w:top w:val="single" w:sz="6" w:space="0" w:color="auto"/>
              <w:left w:val="single" w:sz="6" w:space="0" w:color="auto"/>
              <w:bottom w:val="single" w:sz="6" w:space="0" w:color="auto"/>
              <w:right w:val="single" w:sz="6" w:space="0" w:color="auto"/>
            </w:tcBorders>
          </w:tcPr>
          <w:p w14:paraId="03116B8B" w14:textId="77777777" w:rsidR="00286F7D" w:rsidRDefault="00286F7D" w:rsidP="00286F7D">
            <w:pPr>
              <w:pStyle w:val="Texttabulky"/>
              <w:spacing w:after="0"/>
              <w:jc w:val="right"/>
            </w:pPr>
            <w:r>
              <w:rPr>
                <w:b/>
                <w:bCs/>
              </w:rPr>
              <w:t>315</w:t>
            </w:r>
          </w:p>
        </w:tc>
        <w:tc>
          <w:tcPr>
            <w:tcW w:w="480" w:type="pct"/>
            <w:tcBorders>
              <w:top w:val="single" w:sz="6" w:space="0" w:color="auto"/>
              <w:left w:val="single" w:sz="6" w:space="0" w:color="auto"/>
              <w:bottom w:val="single" w:sz="6" w:space="0" w:color="auto"/>
              <w:right w:val="single" w:sz="6" w:space="0" w:color="auto"/>
            </w:tcBorders>
          </w:tcPr>
          <w:p w14:paraId="4E575D9B" w14:textId="77777777" w:rsidR="00286F7D" w:rsidRDefault="00286F7D" w:rsidP="00286F7D">
            <w:pPr>
              <w:pStyle w:val="Texttabulky"/>
              <w:spacing w:after="0"/>
              <w:jc w:val="right"/>
            </w:pPr>
            <w:r>
              <w:rPr>
                <w:b/>
                <w:bCs/>
              </w:rPr>
              <w:t>5 455</w:t>
            </w:r>
          </w:p>
        </w:tc>
        <w:tc>
          <w:tcPr>
            <w:tcW w:w="388" w:type="pct"/>
            <w:gridSpan w:val="2"/>
            <w:tcBorders>
              <w:top w:val="single" w:sz="6" w:space="0" w:color="auto"/>
              <w:left w:val="single" w:sz="6" w:space="0" w:color="auto"/>
              <w:bottom w:val="single" w:sz="6" w:space="0" w:color="auto"/>
              <w:right w:val="single" w:sz="6" w:space="0" w:color="auto"/>
            </w:tcBorders>
          </w:tcPr>
          <w:p w14:paraId="08AEE04D" w14:textId="77777777" w:rsidR="00286F7D" w:rsidRDefault="00286F7D" w:rsidP="00286F7D">
            <w:pPr>
              <w:pStyle w:val="Texttabulky"/>
              <w:spacing w:after="0"/>
              <w:jc w:val="right"/>
            </w:pPr>
            <w:r>
              <w:rPr>
                <w:b/>
                <w:bCs/>
              </w:rPr>
              <w:t>141</w:t>
            </w:r>
          </w:p>
        </w:tc>
        <w:tc>
          <w:tcPr>
            <w:tcW w:w="578" w:type="pct"/>
            <w:tcBorders>
              <w:top w:val="single" w:sz="6" w:space="0" w:color="auto"/>
              <w:left w:val="single" w:sz="6" w:space="0" w:color="auto"/>
              <w:bottom w:val="single" w:sz="6" w:space="0" w:color="auto"/>
              <w:right w:val="single" w:sz="6" w:space="0" w:color="auto"/>
            </w:tcBorders>
          </w:tcPr>
          <w:p w14:paraId="37DF9E0C" w14:textId="77777777" w:rsidR="00286F7D" w:rsidRDefault="00286F7D" w:rsidP="00286F7D">
            <w:pPr>
              <w:pStyle w:val="Texttabulky"/>
              <w:spacing w:after="0"/>
              <w:jc w:val="right"/>
            </w:pPr>
            <w:r>
              <w:rPr>
                <w:b/>
                <w:bCs/>
              </w:rPr>
              <w:t>6 962</w:t>
            </w:r>
          </w:p>
        </w:tc>
        <w:tc>
          <w:tcPr>
            <w:tcW w:w="578" w:type="pct"/>
            <w:tcBorders>
              <w:top w:val="single" w:sz="6" w:space="0" w:color="auto"/>
              <w:left w:val="single" w:sz="6" w:space="0" w:color="auto"/>
              <w:bottom w:val="single" w:sz="6" w:space="0" w:color="auto"/>
              <w:right w:val="single" w:sz="6" w:space="0" w:color="auto"/>
            </w:tcBorders>
          </w:tcPr>
          <w:p w14:paraId="18BF156B" w14:textId="77777777" w:rsidR="00286F7D" w:rsidRDefault="00286F7D" w:rsidP="00286F7D">
            <w:pPr>
              <w:pStyle w:val="Texttabulky"/>
              <w:spacing w:after="0"/>
              <w:jc w:val="right"/>
            </w:pPr>
            <w:r>
              <w:rPr>
                <w:b/>
                <w:bCs/>
              </w:rPr>
              <w:t>+1 507</w:t>
            </w:r>
          </w:p>
        </w:tc>
      </w:tr>
      <w:tr w:rsidR="00286F7D" w14:paraId="3F735206" w14:textId="77777777" w:rsidTr="00286F7D">
        <w:tc>
          <w:tcPr>
            <w:tcW w:w="238" w:type="pct"/>
            <w:tcBorders>
              <w:top w:val="single" w:sz="6" w:space="0" w:color="auto"/>
              <w:left w:val="single" w:sz="6" w:space="0" w:color="auto"/>
              <w:bottom w:val="single" w:sz="6" w:space="0" w:color="auto"/>
              <w:right w:val="single" w:sz="6" w:space="0" w:color="auto"/>
            </w:tcBorders>
          </w:tcPr>
          <w:p w14:paraId="64B8A877" w14:textId="77777777" w:rsidR="00286F7D" w:rsidRDefault="00286F7D" w:rsidP="00286F7D">
            <w:pPr>
              <w:pStyle w:val="Texttabulky"/>
              <w:spacing w:after="0"/>
              <w:jc w:val="right"/>
            </w:pPr>
            <w:r>
              <w:t>18</w:t>
            </w:r>
          </w:p>
        </w:tc>
        <w:tc>
          <w:tcPr>
            <w:tcW w:w="1137" w:type="pct"/>
            <w:tcBorders>
              <w:top w:val="single" w:sz="6" w:space="0" w:color="auto"/>
              <w:left w:val="single" w:sz="6" w:space="0" w:color="auto"/>
              <w:bottom w:val="single" w:sz="6" w:space="0" w:color="auto"/>
              <w:right w:val="single" w:sz="6" w:space="0" w:color="auto"/>
            </w:tcBorders>
          </w:tcPr>
          <w:p w14:paraId="1B23D98A" w14:textId="77777777" w:rsidR="00286F7D" w:rsidRDefault="00286F7D" w:rsidP="00286F7D">
            <w:pPr>
              <w:pStyle w:val="Texttabulky"/>
              <w:spacing w:after="0"/>
            </w:pPr>
            <w:r>
              <w:t>Rozbělesy</w:t>
            </w:r>
          </w:p>
        </w:tc>
        <w:tc>
          <w:tcPr>
            <w:tcW w:w="478" w:type="pct"/>
            <w:tcBorders>
              <w:top w:val="single" w:sz="6" w:space="0" w:color="auto"/>
              <w:left w:val="single" w:sz="6" w:space="0" w:color="auto"/>
              <w:bottom w:val="single" w:sz="6" w:space="0" w:color="auto"/>
              <w:right w:val="single" w:sz="6" w:space="0" w:color="auto"/>
            </w:tcBorders>
          </w:tcPr>
          <w:p w14:paraId="495D43B9" w14:textId="77777777" w:rsidR="00286F7D" w:rsidRDefault="00286F7D" w:rsidP="00286F7D">
            <w:pPr>
              <w:pStyle w:val="Texttabulky"/>
              <w:spacing w:after="0"/>
              <w:jc w:val="right"/>
            </w:pPr>
            <w:r>
              <w:t>569</w:t>
            </w:r>
          </w:p>
        </w:tc>
        <w:tc>
          <w:tcPr>
            <w:tcW w:w="554" w:type="pct"/>
            <w:tcBorders>
              <w:top w:val="single" w:sz="6" w:space="0" w:color="auto"/>
              <w:left w:val="single" w:sz="6" w:space="0" w:color="auto"/>
              <w:bottom w:val="single" w:sz="6" w:space="0" w:color="auto"/>
              <w:right w:val="single" w:sz="6" w:space="0" w:color="auto"/>
            </w:tcBorders>
          </w:tcPr>
          <w:p w14:paraId="19FBD9B7" w14:textId="77777777" w:rsidR="00286F7D" w:rsidRDefault="00286F7D" w:rsidP="00286F7D">
            <w:pPr>
              <w:pStyle w:val="Texttabulky"/>
              <w:spacing w:after="0"/>
              <w:jc w:val="right"/>
            </w:pPr>
            <w:r>
              <w:t>300</w:t>
            </w:r>
          </w:p>
        </w:tc>
        <w:tc>
          <w:tcPr>
            <w:tcW w:w="567" w:type="pct"/>
            <w:tcBorders>
              <w:top w:val="single" w:sz="6" w:space="0" w:color="auto"/>
              <w:left w:val="single" w:sz="6" w:space="0" w:color="auto"/>
              <w:bottom w:val="single" w:sz="6" w:space="0" w:color="auto"/>
              <w:right w:val="single" w:sz="6" w:space="0" w:color="auto"/>
            </w:tcBorders>
          </w:tcPr>
          <w:p w14:paraId="6DDBFC39"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2B680022" w14:textId="77777777" w:rsidR="00286F7D" w:rsidRDefault="00286F7D" w:rsidP="00286F7D">
            <w:pPr>
              <w:pStyle w:val="Texttabulky"/>
              <w:spacing w:after="0"/>
              <w:jc w:val="right"/>
            </w:pPr>
            <w:r>
              <w:t>300</w:t>
            </w:r>
          </w:p>
        </w:tc>
        <w:tc>
          <w:tcPr>
            <w:tcW w:w="388" w:type="pct"/>
            <w:gridSpan w:val="2"/>
            <w:tcBorders>
              <w:top w:val="single" w:sz="6" w:space="0" w:color="auto"/>
              <w:left w:val="single" w:sz="6" w:space="0" w:color="auto"/>
              <w:bottom w:val="single" w:sz="6" w:space="0" w:color="auto"/>
              <w:right w:val="single" w:sz="6" w:space="0" w:color="auto"/>
            </w:tcBorders>
          </w:tcPr>
          <w:p w14:paraId="4FD9E1B5" w14:textId="77777777" w:rsidR="00286F7D" w:rsidRDefault="00286F7D" w:rsidP="00286F7D">
            <w:pPr>
              <w:pStyle w:val="Texttabulky"/>
              <w:spacing w:after="0"/>
              <w:jc w:val="right"/>
            </w:pPr>
            <w:r>
              <w:t>13</w:t>
            </w:r>
          </w:p>
        </w:tc>
        <w:tc>
          <w:tcPr>
            <w:tcW w:w="578" w:type="pct"/>
            <w:tcBorders>
              <w:top w:val="single" w:sz="6" w:space="0" w:color="auto"/>
              <w:left w:val="single" w:sz="6" w:space="0" w:color="auto"/>
              <w:bottom w:val="single" w:sz="6" w:space="0" w:color="auto"/>
              <w:right w:val="single" w:sz="6" w:space="0" w:color="auto"/>
            </w:tcBorders>
          </w:tcPr>
          <w:p w14:paraId="74B4AFEC" w14:textId="77777777" w:rsidR="00286F7D" w:rsidRDefault="00286F7D" w:rsidP="00286F7D">
            <w:pPr>
              <w:pStyle w:val="Texttabulky"/>
              <w:spacing w:after="0"/>
              <w:jc w:val="right"/>
            </w:pPr>
            <w:r>
              <w:t>732</w:t>
            </w:r>
          </w:p>
        </w:tc>
        <w:tc>
          <w:tcPr>
            <w:tcW w:w="578" w:type="pct"/>
            <w:tcBorders>
              <w:top w:val="single" w:sz="6" w:space="0" w:color="auto"/>
              <w:left w:val="single" w:sz="6" w:space="0" w:color="auto"/>
              <w:bottom w:val="single" w:sz="6" w:space="0" w:color="auto"/>
              <w:right w:val="single" w:sz="6" w:space="0" w:color="auto"/>
            </w:tcBorders>
          </w:tcPr>
          <w:p w14:paraId="52CDE266" w14:textId="77777777" w:rsidR="00286F7D" w:rsidRDefault="00286F7D" w:rsidP="00286F7D">
            <w:pPr>
              <w:pStyle w:val="Texttabulky"/>
              <w:spacing w:after="0"/>
              <w:jc w:val="right"/>
            </w:pPr>
            <w:r>
              <w:t>432</w:t>
            </w:r>
          </w:p>
        </w:tc>
      </w:tr>
      <w:tr w:rsidR="00286F7D" w14:paraId="4F3F8F5D" w14:textId="77777777" w:rsidTr="00286F7D">
        <w:tc>
          <w:tcPr>
            <w:tcW w:w="238" w:type="pct"/>
            <w:tcBorders>
              <w:top w:val="single" w:sz="6" w:space="0" w:color="auto"/>
              <w:left w:val="single" w:sz="6" w:space="0" w:color="auto"/>
              <w:bottom w:val="single" w:sz="6" w:space="0" w:color="auto"/>
              <w:right w:val="single" w:sz="6" w:space="0" w:color="auto"/>
            </w:tcBorders>
          </w:tcPr>
          <w:p w14:paraId="461E8A65" w14:textId="77777777" w:rsidR="00286F7D" w:rsidRDefault="00286F7D" w:rsidP="00286F7D">
            <w:pPr>
              <w:pStyle w:val="Texttabulky"/>
              <w:spacing w:after="0"/>
              <w:jc w:val="right"/>
            </w:pPr>
            <w:r>
              <w:t>19</w:t>
            </w:r>
          </w:p>
        </w:tc>
        <w:tc>
          <w:tcPr>
            <w:tcW w:w="1137" w:type="pct"/>
            <w:tcBorders>
              <w:top w:val="single" w:sz="6" w:space="0" w:color="auto"/>
              <w:left w:val="single" w:sz="6" w:space="0" w:color="auto"/>
              <w:bottom w:val="single" w:sz="6" w:space="0" w:color="auto"/>
              <w:right w:val="single" w:sz="6" w:space="0" w:color="auto"/>
            </w:tcBorders>
          </w:tcPr>
          <w:p w14:paraId="1CB012D8" w14:textId="77777777" w:rsidR="00286F7D" w:rsidRDefault="00286F7D" w:rsidP="00286F7D">
            <w:pPr>
              <w:pStyle w:val="Texttabulky"/>
              <w:spacing w:after="0"/>
            </w:pPr>
            <w:r>
              <w:t>Hlavní nádraží</w:t>
            </w:r>
          </w:p>
        </w:tc>
        <w:tc>
          <w:tcPr>
            <w:tcW w:w="478" w:type="pct"/>
            <w:tcBorders>
              <w:top w:val="single" w:sz="6" w:space="0" w:color="auto"/>
              <w:left w:val="single" w:sz="6" w:space="0" w:color="auto"/>
              <w:bottom w:val="single" w:sz="6" w:space="0" w:color="auto"/>
              <w:right w:val="single" w:sz="6" w:space="0" w:color="auto"/>
            </w:tcBorders>
          </w:tcPr>
          <w:p w14:paraId="29CFAD41" w14:textId="77777777" w:rsidR="00286F7D" w:rsidRDefault="00286F7D" w:rsidP="00286F7D">
            <w:pPr>
              <w:pStyle w:val="Texttabulky"/>
              <w:spacing w:after="0"/>
              <w:jc w:val="right"/>
            </w:pPr>
            <w:r>
              <w:t>152</w:t>
            </w:r>
          </w:p>
        </w:tc>
        <w:tc>
          <w:tcPr>
            <w:tcW w:w="554" w:type="pct"/>
            <w:tcBorders>
              <w:top w:val="single" w:sz="6" w:space="0" w:color="auto"/>
              <w:left w:val="single" w:sz="6" w:space="0" w:color="auto"/>
              <w:bottom w:val="single" w:sz="6" w:space="0" w:color="auto"/>
              <w:right w:val="single" w:sz="6" w:space="0" w:color="auto"/>
            </w:tcBorders>
          </w:tcPr>
          <w:p w14:paraId="1F3666B7" w14:textId="77777777" w:rsidR="00286F7D" w:rsidRDefault="00286F7D" w:rsidP="00286F7D">
            <w:pPr>
              <w:pStyle w:val="Texttabulky"/>
              <w:spacing w:after="0"/>
              <w:jc w:val="right"/>
            </w:pPr>
            <w:r>
              <w:t>100</w:t>
            </w:r>
          </w:p>
        </w:tc>
        <w:tc>
          <w:tcPr>
            <w:tcW w:w="567" w:type="pct"/>
            <w:tcBorders>
              <w:top w:val="single" w:sz="6" w:space="0" w:color="auto"/>
              <w:left w:val="single" w:sz="6" w:space="0" w:color="auto"/>
              <w:bottom w:val="single" w:sz="6" w:space="0" w:color="auto"/>
              <w:right w:val="single" w:sz="6" w:space="0" w:color="auto"/>
            </w:tcBorders>
          </w:tcPr>
          <w:p w14:paraId="050F34A1" w14:textId="77777777" w:rsidR="00286F7D" w:rsidRDefault="00286F7D" w:rsidP="00286F7D">
            <w:pPr>
              <w:pStyle w:val="Texttabulky"/>
              <w:spacing w:after="0"/>
              <w:jc w:val="right"/>
            </w:pPr>
            <w:r>
              <w:t>75</w:t>
            </w:r>
          </w:p>
        </w:tc>
        <w:tc>
          <w:tcPr>
            <w:tcW w:w="480" w:type="pct"/>
            <w:tcBorders>
              <w:top w:val="single" w:sz="6" w:space="0" w:color="auto"/>
              <w:left w:val="single" w:sz="6" w:space="0" w:color="auto"/>
              <w:bottom w:val="single" w:sz="6" w:space="0" w:color="auto"/>
              <w:right w:val="single" w:sz="6" w:space="0" w:color="auto"/>
            </w:tcBorders>
          </w:tcPr>
          <w:p w14:paraId="3362B62B" w14:textId="77777777" w:rsidR="00286F7D" w:rsidRDefault="00286F7D" w:rsidP="00286F7D">
            <w:pPr>
              <w:pStyle w:val="Texttabulky"/>
              <w:spacing w:after="0"/>
              <w:jc w:val="right"/>
            </w:pPr>
            <w:r>
              <w:t>100</w:t>
            </w:r>
          </w:p>
        </w:tc>
        <w:tc>
          <w:tcPr>
            <w:tcW w:w="388" w:type="pct"/>
            <w:gridSpan w:val="2"/>
            <w:tcBorders>
              <w:top w:val="single" w:sz="6" w:space="0" w:color="auto"/>
              <w:left w:val="single" w:sz="6" w:space="0" w:color="auto"/>
              <w:bottom w:val="single" w:sz="6" w:space="0" w:color="auto"/>
              <w:right w:val="single" w:sz="6" w:space="0" w:color="auto"/>
            </w:tcBorders>
          </w:tcPr>
          <w:p w14:paraId="6CF35381" w14:textId="77777777" w:rsidR="00286F7D" w:rsidRDefault="00286F7D" w:rsidP="00286F7D">
            <w:pPr>
              <w:pStyle w:val="Texttabulky"/>
              <w:spacing w:after="0"/>
              <w:jc w:val="right"/>
            </w:pPr>
            <w:r>
              <w:t>3</w:t>
            </w:r>
          </w:p>
        </w:tc>
        <w:tc>
          <w:tcPr>
            <w:tcW w:w="578" w:type="pct"/>
            <w:tcBorders>
              <w:top w:val="single" w:sz="6" w:space="0" w:color="auto"/>
              <w:left w:val="single" w:sz="6" w:space="0" w:color="auto"/>
              <w:bottom w:val="single" w:sz="6" w:space="0" w:color="auto"/>
              <w:right w:val="single" w:sz="6" w:space="0" w:color="auto"/>
            </w:tcBorders>
          </w:tcPr>
          <w:p w14:paraId="4DD76B6E" w14:textId="77777777" w:rsidR="00286F7D" w:rsidRDefault="00286F7D" w:rsidP="00286F7D">
            <w:pPr>
              <w:pStyle w:val="Texttabulky"/>
              <w:spacing w:after="0"/>
              <w:jc w:val="right"/>
            </w:pPr>
            <w:r>
              <w:t>183</w:t>
            </w:r>
          </w:p>
        </w:tc>
        <w:tc>
          <w:tcPr>
            <w:tcW w:w="578" w:type="pct"/>
            <w:tcBorders>
              <w:top w:val="single" w:sz="6" w:space="0" w:color="auto"/>
              <w:left w:val="single" w:sz="6" w:space="0" w:color="auto"/>
              <w:bottom w:val="single" w:sz="6" w:space="0" w:color="auto"/>
              <w:right w:val="single" w:sz="6" w:space="0" w:color="auto"/>
            </w:tcBorders>
          </w:tcPr>
          <w:p w14:paraId="5C4146A2" w14:textId="77777777" w:rsidR="00286F7D" w:rsidRDefault="00286F7D" w:rsidP="00286F7D">
            <w:pPr>
              <w:pStyle w:val="Texttabulky"/>
              <w:spacing w:after="0"/>
              <w:jc w:val="right"/>
            </w:pPr>
            <w:r>
              <w:t>83</w:t>
            </w:r>
          </w:p>
        </w:tc>
      </w:tr>
      <w:tr w:rsidR="00286F7D" w14:paraId="530CF57D" w14:textId="77777777" w:rsidTr="00286F7D">
        <w:tc>
          <w:tcPr>
            <w:tcW w:w="238" w:type="pct"/>
            <w:tcBorders>
              <w:top w:val="single" w:sz="6" w:space="0" w:color="auto"/>
              <w:left w:val="single" w:sz="6" w:space="0" w:color="auto"/>
              <w:bottom w:val="single" w:sz="6" w:space="0" w:color="auto"/>
              <w:right w:val="single" w:sz="6" w:space="0" w:color="auto"/>
            </w:tcBorders>
          </w:tcPr>
          <w:p w14:paraId="546BCCCF" w14:textId="77777777" w:rsidR="00286F7D" w:rsidRDefault="00286F7D" w:rsidP="00286F7D">
            <w:pPr>
              <w:pStyle w:val="Texttabulky"/>
              <w:spacing w:after="0"/>
              <w:jc w:val="right"/>
            </w:pPr>
            <w:r>
              <w:t>20</w:t>
            </w:r>
          </w:p>
        </w:tc>
        <w:tc>
          <w:tcPr>
            <w:tcW w:w="1137" w:type="pct"/>
            <w:tcBorders>
              <w:top w:val="single" w:sz="6" w:space="0" w:color="auto"/>
              <w:left w:val="single" w:sz="6" w:space="0" w:color="auto"/>
              <w:bottom w:val="single" w:sz="6" w:space="0" w:color="auto"/>
              <w:right w:val="single" w:sz="6" w:space="0" w:color="auto"/>
            </w:tcBorders>
          </w:tcPr>
          <w:p w14:paraId="469CFBDD" w14:textId="77777777" w:rsidR="00286F7D" w:rsidRDefault="00286F7D" w:rsidP="00286F7D">
            <w:pPr>
              <w:pStyle w:val="Texttabulky"/>
              <w:spacing w:after="0"/>
            </w:pPr>
            <w:r>
              <w:t>Želenice</w:t>
            </w:r>
          </w:p>
        </w:tc>
        <w:tc>
          <w:tcPr>
            <w:tcW w:w="478" w:type="pct"/>
            <w:tcBorders>
              <w:top w:val="single" w:sz="6" w:space="0" w:color="auto"/>
              <w:left w:val="single" w:sz="6" w:space="0" w:color="auto"/>
              <w:bottom w:val="single" w:sz="6" w:space="0" w:color="auto"/>
              <w:right w:val="single" w:sz="6" w:space="0" w:color="auto"/>
            </w:tcBorders>
          </w:tcPr>
          <w:p w14:paraId="0F771EE3" w14:textId="77777777" w:rsidR="00286F7D" w:rsidRDefault="00286F7D" w:rsidP="00286F7D">
            <w:pPr>
              <w:pStyle w:val="Texttabulky"/>
              <w:spacing w:after="0"/>
              <w:jc w:val="right"/>
            </w:pPr>
            <w:r>
              <w:t>5 556</w:t>
            </w:r>
          </w:p>
        </w:tc>
        <w:tc>
          <w:tcPr>
            <w:tcW w:w="554" w:type="pct"/>
            <w:tcBorders>
              <w:top w:val="single" w:sz="6" w:space="0" w:color="auto"/>
              <w:left w:val="single" w:sz="6" w:space="0" w:color="auto"/>
              <w:bottom w:val="single" w:sz="6" w:space="0" w:color="auto"/>
              <w:right w:val="single" w:sz="6" w:space="0" w:color="auto"/>
            </w:tcBorders>
          </w:tcPr>
          <w:p w14:paraId="67E89685" w14:textId="77777777" w:rsidR="00286F7D" w:rsidRDefault="00286F7D" w:rsidP="00286F7D">
            <w:pPr>
              <w:pStyle w:val="Texttabulky"/>
              <w:spacing w:after="0"/>
              <w:jc w:val="right"/>
            </w:pPr>
            <w:r>
              <w:t>5 200</w:t>
            </w:r>
          </w:p>
        </w:tc>
        <w:tc>
          <w:tcPr>
            <w:tcW w:w="567" w:type="pct"/>
            <w:tcBorders>
              <w:top w:val="single" w:sz="6" w:space="0" w:color="auto"/>
              <w:left w:val="single" w:sz="6" w:space="0" w:color="auto"/>
              <w:bottom w:val="single" w:sz="6" w:space="0" w:color="auto"/>
              <w:right w:val="single" w:sz="6" w:space="0" w:color="auto"/>
            </w:tcBorders>
          </w:tcPr>
          <w:p w14:paraId="60E36506" w14:textId="77777777" w:rsidR="00286F7D" w:rsidRDefault="00286F7D" w:rsidP="00286F7D">
            <w:pPr>
              <w:pStyle w:val="Texttabulky"/>
              <w:spacing w:after="0"/>
              <w:jc w:val="right"/>
            </w:pPr>
            <w:r>
              <w:t>415</w:t>
            </w:r>
          </w:p>
        </w:tc>
        <w:tc>
          <w:tcPr>
            <w:tcW w:w="480" w:type="pct"/>
            <w:tcBorders>
              <w:top w:val="single" w:sz="6" w:space="0" w:color="auto"/>
              <w:left w:val="single" w:sz="6" w:space="0" w:color="auto"/>
              <w:bottom w:val="single" w:sz="6" w:space="0" w:color="auto"/>
              <w:right w:val="single" w:sz="6" w:space="0" w:color="auto"/>
            </w:tcBorders>
          </w:tcPr>
          <w:p w14:paraId="0EA788ED" w14:textId="77777777" w:rsidR="00286F7D" w:rsidRDefault="00286F7D" w:rsidP="00286F7D">
            <w:pPr>
              <w:pStyle w:val="Texttabulky"/>
              <w:spacing w:after="0"/>
              <w:jc w:val="right"/>
            </w:pPr>
            <w:r>
              <w:t>5 615</w:t>
            </w:r>
          </w:p>
        </w:tc>
        <w:tc>
          <w:tcPr>
            <w:tcW w:w="388" w:type="pct"/>
            <w:gridSpan w:val="2"/>
            <w:tcBorders>
              <w:top w:val="single" w:sz="6" w:space="0" w:color="auto"/>
              <w:left w:val="single" w:sz="6" w:space="0" w:color="auto"/>
              <w:bottom w:val="single" w:sz="6" w:space="0" w:color="auto"/>
              <w:right w:val="single" w:sz="6" w:space="0" w:color="auto"/>
            </w:tcBorders>
          </w:tcPr>
          <w:p w14:paraId="4C3C953C" w14:textId="77777777" w:rsidR="00286F7D" w:rsidRDefault="00286F7D" w:rsidP="00286F7D">
            <w:pPr>
              <w:pStyle w:val="Texttabulky"/>
              <w:spacing w:after="0"/>
              <w:jc w:val="right"/>
            </w:pPr>
            <w:r>
              <w:t>99</w:t>
            </w:r>
          </w:p>
        </w:tc>
        <w:tc>
          <w:tcPr>
            <w:tcW w:w="578" w:type="pct"/>
            <w:tcBorders>
              <w:top w:val="single" w:sz="6" w:space="0" w:color="auto"/>
              <w:left w:val="single" w:sz="6" w:space="0" w:color="auto"/>
              <w:bottom w:val="single" w:sz="6" w:space="0" w:color="auto"/>
              <w:right w:val="single" w:sz="6" w:space="0" w:color="auto"/>
            </w:tcBorders>
          </w:tcPr>
          <w:p w14:paraId="4B35EDEC" w14:textId="77777777" w:rsidR="00286F7D" w:rsidRDefault="00286F7D" w:rsidP="00286F7D">
            <w:pPr>
              <w:pStyle w:val="Texttabulky"/>
              <w:spacing w:after="0"/>
              <w:jc w:val="right"/>
            </w:pPr>
            <w:r>
              <w:t>7 114</w:t>
            </w:r>
          </w:p>
        </w:tc>
        <w:tc>
          <w:tcPr>
            <w:tcW w:w="578" w:type="pct"/>
            <w:tcBorders>
              <w:top w:val="single" w:sz="6" w:space="0" w:color="auto"/>
              <w:left w:val="single" w:sz="6" w:space="0" w:color="auto"/>
              <w:bottom w:val="single" w:sz="6" w:space="0" w:color="auto"/>
              <w:right w:val="single" w:sz="6" w:space="0" w:color="auto"/>
            </w:tcBorders>
          </w:tcPr>
          <w:p w14:paraId="6EF54961" w14:textId="77777777" w:rsidR="00286F7D" w:rsidRDefault="00286F7D" w:rsidP="00286F7D">
            <w:pPr>
              <w:pStyle w:val="Texttabulky"/>
              <w:spacing w:after="0"/>
              <w:jc w:val="right"/>
            </w:pPr>
            <w:r>
              <w:t>1 499</w:t>
            </w:r>
          </w:p>
        </w:tc>
      </w:tr>
      <w:tr w:rsidR="00286F7D" w14:paraId="75B84C16" w14:textId="77777777" w:rsidTr="00286F7D">
        <w:tc>
          <w:tcPr>
            <w:tcW w:w="238" w:type="pct"/>
            <w:tcBorders>
              <w:top w:val="single" w:sz="6" w:space="0" w:color="auto"/>
              <w:left w:val="single" w:sz="6" w:space="0" w:color="auto"/>
              <w:bottom w:val="single" w:sz="6" w:space="0" w:color="auto"/>
              <w:right w:val="single" w:sz="6" w:space="0" w:color="auto"/>
            </w:tcBorders>
          </w:tcPr>
          <w:p w14:paraId="3332A1F0" w14:textId="77777777" w:rsidR="00286F7D" w:rsidRDefault="00286F7D" w:rsidP="00286F7D">
            <w:pPr>
              <w:pStyle w:val="Texttabulky"/>
              <w:spacing w:after="0"/>
              <w:jc w:val="right"/>
            </w:pPr>
            <w:r>
              <w:t>21</w:t>
            </w:r>
          </w:p>
        </w:tc>
        <w:tc>
          <w:tcPr>
            <w:tcW w:w="1137" w:type="pct"/>
            <w:tcBorders>
              <w:top w:val="single" w:sz="6" w:space="0" w:color="auto"/>
              <w:left w:val="single" w:sz="6" w:space="0" w:color="auto"/>
              <w:bottom w:val="single" w:sz="6" w:space="0" w:color="auto"/>
              <w:right w:val="single" w:sz="6" w:space="0" w:color="auto"/>
            </w:tcBorders>
          </w:tcPr>
          <w:p w14:paraId="387B52BF" w14:textId="77777777" w:rsidR="00286F7D" w:rsidRDefault="00286F7D" w:rsidP="00286F7D">
            <w:pPr>
              <w:pStyle w:val="Texttabulky"/>
              <w:spacing w:after="0"/>
            </w:pPr>
            <w:r>
              <w:t>Popovice</w:t>
            </w:r>
          </w:p>
        </w:tc>
        <w:tc>
          <w:tcPr>
            <w:tcW w:w="478" w:type="pct"/>
            <w:tcBorders>
              <w:top w:val="single" w:sz="6" w:space="0" w:color="auto"/>
              <w:left w:val="single" w:sz="6" w:space="0" w:color="auto"/>
              <w:bottom w:val="single" w:sz="6" w:space="0" w:color="auto"/>
              <w:right w:val="single" w:sz="6" w:space="0" w:color="auto"/>
            </w:tcBorders>
          </w:tcPr>
          <w:p w14:paraId="6E224C11" w14:textId="77777777" w:rsidR="00286F7D" w:rsidRDefault="00286F7D" w:rsidP="00286F7D">
            <w:pPr>
              <w:pStyle w:val="Texttabulky"/>
              <w:spacing w:after="0"/>
              <w:jc w:val="right"/>
            </w:pPr>
            <w:r>
              <w:t>707</w:t>
            </w:r>
          </w:p>
        </w:tc>
        <w:tc>
          <w:tcPr>
            <w:tcW w:w="554" w:type="pct"/>
            <w:tcBorders>
              <w:top w:val="single" w:sz="6" w:space="0" w:color="auto"/>
              <w:left w:val="single" w:sz="6" w:space="0" w:color="auto"/>
              <w:bottom w:val="single" w:sz="6" w:space="0" w:color="auto"/>
              <w:right w:val="single" w:sz="6" w:space="0" w:color="auto"/>
            </w:tcBorders>
          </w:tcPr>
          <w:p w14:paraId="34CD0A7C" w14:textId="77777777" w:rsidR="00286F7D" w:rsidRDefault="00286F7D" w:rsidP="00286F7D">
            <w:pPr>
              <w:pStyle w:val="Texttabulky"/>
              <w:spacing w:after="0"/>
              <w:jc w:val="right"/>
            </w:pPr>
            <w:r>
              <w:t>670</w:t>
            </w:r>
          </w:p>
        </w:tc>
        <w:tc>
          <w:tcPr>
            <w:tcW w:w="567" w:type="pct"/>
            <w:tcBorders>
              <w:top w:val="single" w:sz="6" w:space="0" w:color="auto"/>
              <w:left w:val="single" w:sz="6" w:space="0" w:color="auto"/>
              <w:bottom w:val="single" w:sz="6" w:space="0" w:color="auto"/>
              <w:right w:val="single" w:sz="6" w:space="0" w:color="auto"/>
            </w:tcBorders>
          </w:tcPr>
          <w:p w14:paraId="3917F683" w14:textId="77777777" w:rsidR="00286F7D" w:rsidRDefault="00286F7D" w:rsidP="00286F7D">
            <w:pPr>
              <w:pStyle w:val="Texttabulky"/>
              <w:spacing w:after="0"/>
              <w:jc w:val="right"/>
            </w:pPr>
            <w:r>
              <w:t>75</w:t>
            </w:r>
          </w:p>
        </w:tc>
        <w:tc>
          <w:tcPr>
            <w:tcW w:w="480" w:type="pct"/>
            <w:tcBorders>
              <w:top w:val="single" w:sz="6" w:space="0" w:color="auto"/>
              <w:left w:val="single" w:sz="6" w:space="0" w:color="auto"/>
              <w:bottom w:val="single" w:sz="6" w:space="0" w:color="auto"/>
              <w:right w:val="single" w:sz="6" w:space="0" w:color="auto"/>
            </w:tcBorders>
          </w:tcPr>
          <w:p w14:paraId="6758D3A8" w14:textId="77777777" w:rsidR="00286F7D" w:rsidRDefault="00286F7D" w:rsidP="00286F7D">
            <w:pPr>
              <w:pStyle w:val="Texttabulky"/>
              <w:spacing w:after="0"/>
              <w:jc w:val="right"/>
            </w:pPr>
            <w:r>
              <w:t>745</w:t>
            </w:r>
          </w:p>
        </w:tc>
        <w:tc>
          <w:tcPr>
            <w:tcW w:w="388" w:type="pct"/>
            <w:gridSpan w:val="2"/>
            <w:tcBorders>
              <w:top w:val="single" w:sz="6" w:space="0" w:color="auto"/>
              <w:left w:val="single" w:sz="6" w:space="0" w:color="auto"/>
              <w:bottom w:val="single" w:sz="6" w:space="0" w:color="auto"/>
              <w:right w:val="single" w:sz="6" w:space="0" w:color="auto"/>
            </w:tcBorders>
          </w:tcPr>
          <w:p w14:paraId="55BCCC97" w14:textId="77777777" w:rsidR="00286F7D" w:rsidRDefault="00286F7D" w:rsidP="00286F7D">
            <w:pPr>
              <w:pStyle w:val="Texttabulky"/>
              <w:spacing w:after="0"/>
              <w:jc w:val="right"/>
            </w:pPr>
            <w:r>
              <w:t>41</w:t>
            </w:r>
          </w:p>
        </w:tc>
        <w:tc>
          <w:tcPr>
            <w:tcW w:w="578" w:type="pct"/>
            <w:tcBorders>
              <w:top w:val="single" w:sz="6" w:space="0" w:color="auto"/>
              <w:left w:val="single" w:sz="6" w:space="0" w:color="auto"/>
              <w:bottom w:val="single" w:sz="6" w:space="0" w:color="auto"/>
              <w:right w:val="single" w:sz="6" w:space="0" w:color="auto"/>
            </w:tcBorders>
          </w:tcPr>
          <w:p w14:paraId="4701A0A9" w14:textId="77777777" w:rsidR="00286F7D" w:rsidRDefault="00286F7D" w:rsidP="00286F7D">
            <w:pPr>
              <w:pStyle w:val="Texttabulky"/>
              <w:spacing w:after="0"/>
              <w:jc w:val="right"/>
            </w:pPr>
            <w:r>
              <w:t>1 339</w:t>
            </w:r>
          </w:p>
        </w:tc>
        <w:tc>
          <w:tcPr>
            <w:tcW w:w="578" w:type="pct"/>
            <w:tcBorders>
              <w:top w:val="single" w:sz="6" w:space="0" w:color="auto"/>
              <w:left w:val="single" w:sz="6" w:space="0" w:color="auto"/>
              <w:bottom w:val="single" w:sz="6" w:space="0" w:color="auto"/>
              <w:right w:val="single" w:sz="6" w:space="0" w:color="auto"/>
            </w:tcBorders>
          </w:tcPr>
          <w:p w14:paraId="247D4B23" w14:textId="77777777" w:rsidR="00286F7D" w:rsidRDefault="00286F7D" w:rsidP="00286F7D">
            <w:pPr>
              <w:pStyle w:val="Texttabulky"/>
              <w:spacing w:after="0"/>
              <w:jc w:val="right"/>
            </w:pPr>
            <w:r>
              <w:t>594</w:t>
            </w:r>
          </w:p>
        </w:tc>
      </w:tr>
      <w:tr w:rsidR="00286F7D" w14:paraId="3F786978" w14:textId="77777777" w:rsidTr="00286F7D">
        <w:tc>
          <w:tcPr>
            <w:tcW w:w="238" w:type="pct"/>
            <w:tcBorders>
              <w:top w:val="single" w:sz="6" w:space="0" w:color="auto"/>
              <w:left w:val="single" w:sz="6" w:space="0" w:color="auto"/>
              <w:bottom w:val="single" w:sz="6" w:space="0" w:color="auto"/>
              <w:right w:val="single" w:sz="6" w:space="0" w:color="auto"/>
            </w:tcBorders>
          </w:tcPr>
          <w:p w14:paraId="3A4BE80C" w14:textId="77777777" w:rsidR="00286F7D" w:rsidRDefault="00286F7D" w:rsidP="00286F7D">
            <w:pPr>
              <w:pStyle w:val="Texttabulky"/>
              <w:spacing w:after="0"/>
              <w:jc w:val="right"/>
            </w:pPr>
            <w:r>
              <w:t>22</w:t>
            </w:r>
          </w:p>
        </w:tc>
        <w:tc>
          <w:tcPr>
            <w:tcW w:w="1137" w:type="pct"/>
            <w:tcBorders>
              <w:top w:val="single" w:sz="6" w:space="0" w:color="auto"/>
              <w:left w:val="single" w:sz="6" w:space="0" w:color="auto"/>
              <w:bottom w:val="single" w:sz="6" w:space="0" w:color="auto"/>
              <w:right w:val="single" w:sz="6" w:space="0" w:color="auto"/>
            </w:tcBorders>
          </w:tcPr>
          <w:p w14:paraId="0D11D82C" w14:textId="77777777" w:rsidR="00286F7D" w:rsidRDefault="00286F7D" w:rsidP="00286F7D">
            <w:pPr>
              <w:pStyle w:val="Texttabulky"/>
              <w:spacing w:after="0"/>
            </w:pPr>
            <w:r>
              <w:t>Letná</w:t>
            </w:r>
          </w:p>
        </w:tc>
        <w:tc>
          <w:tcPr>
            <w:tcW w:w="478" w:type="pct"/>
            <w:tcBorders>
              <w:top w:val="single" w:sz="6" w:space="0" w:color="auto"/>
              <w:left w:val="single" w:sz="6" w:space="0" w:color="auto"/>
              <w:bottom w:val="single" w:sz="6" w:space="0" w:color="auto"/>
              <w:right w:val="single" w:sz="6" w:space="0" w:color="auto"/>
            </w:tcBorders>
          </w:tcPr>
          <w:p w14:paraId="009ED23A" w14:textId="77777777" w:rsidR="00286F7D" w:rsidRDefault="00286F7D" w:rsidP="00286F7D">
            <w:pPr>
              <w:pStyle w:val="Texttabulky"/>
              <w:spacing w:after="0"/>
              <w:jc w:val="right"/>
            </w:pPr>
            <w:r>
              <w:t>3 510</w:t>
            </w:r>
          </w:p>
        </w:tc>
        <w:tc>
          <w:tcPr>
            <w:tcW w:w="554" w:type="pct"/>
            <w:tcBorders>
              <w:top w:val="single" w:sz="6" w:space="0" w:color="auto"/>
              <w:left w:val="single" w:sz="6" w:space="0" w:color="auto"/>
              <w:bottom w:val="single" w:sz="6" w:space="0" w:color="auto"/>
              <w:right w:val="single" w:sz="6" w:space="0" w:color="auto"/>
            </w:tcBorders>
          </w:tcPr>
          <w:p w14:paraId="67F39E0F" w14:textId="77777777" w:rsidR="00286F7D" w:rsidRDefault="00286F7D" w:rsidP="00286F7D">
            <w:pPr>
              <w:pStyle w:val="Texttabulky"/>
              <w:spacing w:after="0"/>
              <w:jc w:val="right"/>
            </w:pPr>
            <w:r>
              <w:t>3 450</w:t>
            </w:r>
          </w:p>
        </w:tc>
        <w:tc>
          <w:tcPr>
            <w:tcW w:w="567" w:type="pct"/>
            <w:tcBorders>
              <w:top w:val="single" w:sz="6" w:space="0" w:color="auto"/>
              <w:left w:val="single" w:sz="6" w:space="0" w:color="auto"/>
              <w:bottom w:val="single" w:sz="6" w:space="0" w:color="auto"/>
              <w:right w:val="single" w:sz="6" w:space="0" w:color="auto"/>
            </w:tcBorders>
          </w:tcPr>
          <w:p w14:paraId="08039EFD" w14:textId="77777777" w:rsidR="00286F7D" w:rsidRDefault="00286F7D" w:rsidP="00286F7D">
            <w:pPr>
              <w:pStyle w:val="Texttabulky"/>
              <w:spacing w:after="0"/>
              <w:jc w:val="right"/>
            </w:pPr>
            <w:r>
              <w:t>910</w:t>
            </w:r>
          </w:p>
        </w:tc>
        <w:tc>
          <w:tcPr>
            <w:tcW w:w="480" w:type="pct"/>
            <w:tcBorders>
              <w:top w:val="single" w:sz="6" w:space="0" w:color="auto"/>
              <w:left w:val="single" w:sz="6" w:space="0" w:color="auto"/>
              <w:bottom w:val="single" w:sz="6" w:space="0" w:color="auto"/>
              <w:right w:val="single" w:sz="6" w:space="0" w:color="auto"/>
            </w:tcBorders>
          </w:tcPr>
          <w:p w14:paraId="0DF70051" w14:textId="77777777" w:rsidR="00286F7D" w:rsidRDefault="00286F7D" w:rsidP="00286F7D">
            <w:pPr>
              <w:pStyle w:val="Texttabulky"/>
              <w:spacing w:after="0"/>
              <w:jc w:val="right"/>
            </w:pPr>
            <w:r>
              <w:t>4 365</w:t>
            </w:r>
          </w:p>
        </w:tc>
        <w:tc>
          <w:tcPr>
            <w:tcW w:w="388" w:type="pct"/>
            <w:gridSpan w:val="2"/>
            <w:tcBorders>
              <w:top w:val="single" w:sz="6" w:space="0" w:color="auto"/>
              <w:left w:val="single" w:sz="6" w:space="0" w:color="auto"/>
              <w:bottom w:val="single" w:sz="6" w:space="0" w:color="auto"/>
              <w:right w:val="single" w:sz="6" w:space="0" w:color="auto"/>
            </w:tcBorders>
          </w:tcPr>
          <w:p w14:paraId="57D3E3F0" w14:textId="77777777" w:rsidR="00286F7D" w:rsidRDefault="00286F7D" w:rsidP="00286F7D">
            <w:pPr>
              <w:pStyle w:val="Texttabulky"/>
              <w:spacing w:after="0"/>
              <w:jc w:val="right"/>
            </w:pPr>
            <w:r>
              <w:t>106</w:t>
            </w:r>
          </w:p>
        </w:tc>
        <w:tc>
          <w:tcPr>
            <w:tcW w:w="578" w:type="pct"/>
            <w:tcBorders>
              <w:top w:val="single" w:sz="6" w:space="0" w:color="auto"/>
              <w:left w:val="single" w:sz="6" w:space="0" w:color="auto"/>
              <w:bottom w:val="single" w:sz="6" w:space="0" w:color="auto"/>
              <w:right w:val="single" w:sz="6" w:space="0" w:color="auto"/>
            </w:tcBorders>
          </w:tcPr>
          <w:p w14:paraId="76DC5716" w14:textId="77777777" w:rsidR="00286F7D" w:rsidRDefault="00286F7D" w:rsidP="00286F7D">
            <w:pPr>
              <w:pStyle w:val="Texttabulky"/>
              <w:spacing w:after="0"/>
              <w:jc w:val="right"/>
            </w:pPr>
            <w:r>
              <w:t>4 825</w:t>
            </w:r>
          </w:p>
        </w:tc>
        <w:tc>
          <w:tcPr>
            <w:tcW w:w="578" w:type="pct"/>
            <w:tcBorders>
              <w:top w:val="single" w:sz="6" w:space="0" w:color="auto"/>
              <w:left w:val="single" w:sz="6" w:space="0" w:color="auto"/>
              <w:bottom w:val="single" w:sz="6" w:space="0" w:color="auto"/>
              <w:right w:val="single" w:sz="6" w:space="0" w:color="auto"/>
            </w:tcBorders>
          </w:tcPr>
          <w:p w14:paraId="7E05CC38" w14:textId="77777777" w:rsidR="00286F7D" w:rsidRDefault="00286F7D" w:rsidP="00286F7D">
            <w:pPr>
              <w:pStyle w:val="Texttabulky"/>
              <w:spacing w:after="0"/>
              <w:jc w:val="right"/>
            </w:pPr>
            <w:r>
              <w:t>465</w:t>
            </w:r>
          </w:p>
        </w:tc>
      </w:tr>
      <w:tr w:rsidR="00286F7D" w14:paraId="3236C66A" w14:textId="77777777" w:rsidTr="00286F7D">
        <w:tc>
          <w:tcPr>
            <w:tcW w:w="238" w:type="pct"/>
            <w:tcBorders>
              <w:top w:val="single" w:sz="6" w:space="0" w:color="auto"/>
              <w:left w:val="single" w:sz="6" w:space="0" w:color="auto"/>
              <w:bottom w:val="single" w:sz="6" w:space="0" w:color="auto"/>
              <w:right w:val="single" w:sz="6" w:space="0" w:color="auto"/>
            </w:tcBorders>
          </w:tcPr>
          <w:p w14:paraId="0972F471" w14:textId="77777777" w:rsidR="00286F7D" w:rsidRDefault="00286F7D" w:rsidP="00286F7D">
            <w:pPr>
              <w:pStyle w:val="Texttabulky"/>
              <w:spacing w:after="0"/>
            </w:pPr>
            <w:r>
              <w:rPr>
                <w:b/>
                <w:bCs/>
              </w:rPr>
              <w:t xml:space="preserve">  II</w:t>
            </w:r>
          </w:p>
        </w:tc>
        <w:tc>
          <w:tcPr>
            <w:tcW w:w="1137" w:type="pct"/>
            <w:tcBorders>
              <w:top w:val="single" w:sz="6" w:space="0" w:color="auto"/>
              <w:left w:val="single" w:sz="6" w:space="0" w:color="auto"/>
              <w:bottom w:val="single" w:sz="6" w:space="0" w:color="auto"/>
              <w:right w:val="single" w:sz="6" w:space="0" w:color="auto"/>
            </w:tcBorders>
          </w:tcPr>
          <w:p w14:paraId="1A185058" w14:textId="77777777" w:rsidR="00286F7D" w:rsidRDefault="00286F7D" w:rsidP="00286F7D">
            <w:pPr>
              <w:pStyle w:val="Texttabulky"/>
              <w:spacing w:after="0"/>
            </w:pPr>
            <w:r>
              <w:rPr>
                <w:b/>
                <w:bCs/>
                <w:caps/>
              </w:rPr>
              <w:t>sektor celkem</w:t>
            </w:r>
          </w:p>
        </w:tc>
        <w:tc>
          <w:tcPr>
            <w:tcW w:w="478" w:type="pct"/>
            <w:tcBorders>
              <w:top w:val="single" w:sz="6" w:space="0" w:color="auto"/>
              <w:left w:val="single" w:sz="6" w:space="0" w:color="auto"/>
              <w:bottom w:val="single" w:sz="6" w:space="0" w:color="auto"/>
              <w:right w:val="single" w:sz="6" w:space="0" w:color="auto"/>
            </w:tcBorders>
          </w:tcPr>
          <w:p w14:paraId="31CF09C6" w14:textId="77777777" w:rsidR="00286F7D" w:rsidRDefault="00286F7D" w:rsidP="00286F7D">
            <w:pPr>
              <w:pStyle w:val="Texttabulky"/>
              <w:spacing w:after="0"/>
              <w:jc w:val="right"/>
            </w:pPr>
            <w:r>
              <w:rPr>
                <w:b/>
                <w:bCs/>
              </w:rPr>
              <w:t>10 504</w:t>
            </w:r>
          </w:p>
        </w:tc>
        <w:tc>
          <w:tcPr>
            <w:tcW w:w="554" w:type="pct"/>
            <w:tcBorders>
              <w:top w:val="single" w:sz="6" w:space="0" w:color="auto"/>
              <w:left w:val="single" w:sz="6" w:space="0" w:color="auto"/>
              <w:bottom w:val="single" w:sz="6" w:space="0" w:color="auto"/>
              <w:right w:val="single" w:sz="6" w:space="0" w:color="auto"/>
            </w:tcBorders>
          </w:tcPr>
          <w:p w14:paraId="6EB6C78B" w14:textId="77777777" w:rsidR="00286F7D" w:rsidRDefault="00286F7D" w:rsidP="00286F7D">
            <w:pPr>
              <w:pStyle w:val="Texttabulky"/>
              <w:spacing w:after="0"/>
              <w:jc w:val="right"/>
            </w:pPr>
            <w:r>
              <w:rPr>
                <w:b/>
                <w:bCs/>
              </w:rPr>
              <w:t>9 720</w:t>
            </w:r>
          </w:p>
        </w:tc>
        <w:tc>
          <w:tcPr>
            <w:tcW w:w="567" w:type="pct"/>
            <w:tcBorders>
              <w:top w:val="single" w:sz="6" w:space="0" w:color="auto"/>
              <w:left w:val="single" w:sz="6" w:space="0" w:color="auto"/>
              <w:bottom w:val="single" w:sz="6" w:space="0" w:color="auto"/>
              <w:right w:val="single" w:sz="6" w:space="0" w:color="auto"/>
            </w:tcBorders>
          </w:tcPr>
          <w:p w14:paraId="75121ECC" w14:textId="77777777" w:rsidR="00286F7D" w:rsidRDefault="00286F7D" w:rsidP="00286F7D">
            <w:pPr>
              <w:pStyle w:val="Texttabulky"/>
              <w:spacing w:after="0"/>
              <w:jc w:val="right"/>
            </w:pPr>
            <w:r>
              <w:rPr>
                <w:b/>
                <w:bCs/>
              </w:rPr>
              <w:t>1 400</w:t>
            </w:r>
          </w:p>
        </w:tc>
        <w:tc>
          <w:tcPr>
            <w:tcW w:w="480" w:type="pct"/>
            <w:tcBorders>
              <w:top w:val="single" w:sz="6" w:space="0" w:color="auto"/>
              <w:left w:val="single" w:sz="6" w:space="0" w:color="auto"/>
              <w:bottom w:val="single" w:sz="6" w:space="0" w:color="auto"/>
              <w:right w:val="single" w:sz="6" w:space="0" w:color="auto"/>
            </w:tcBorders>
          </w:tcPr>
          <w:p w14:paraId="53346953" w14:textId="77777777" w:rsidR="00286F7D" w:rsidRDefault="00286F7D" w:rsidP="00286F7D">
            <w:pPr>
              <w:pStyle w:val="Texttabulky"/>
              <w:spacing w:after="0"/>
              <w:jc w:val="right"/>
            </w:pPr>
            <w:r>
              <w:rPr>
                <w:b/>
                <w:bCs/>
              </w:rPr>
              <w:t>11 180</w:t>
            </w:r>
          </w:p>
        </w:tc>
        <w:tc>
          <w:tcPr>
            <w:tcW w:w="388" w:type="pct"/>
            <w:gridSpan w:val="2"/>
            <w:tcBorders>
              <w:top w:val="single" w:sz="6" w:space="0" w:color="auto"/>
              <w:left w:val="single" w:sz="6" w:space="0" w:color="auto"/>
              <w:bottom w:val="single" w:sz="6" w:space="0" w:color="auto"/>
              <w:right w:val="single" w:sz="6" w:space="0" w:color="auto"/>
            </w:tcBorders>
          </w:tcPr>
          <w:p w14:paraId="1CB980AD" w14:textId="77777777" w:rsidR="00286F7D" w:rsidRDefault="00286F7D" w:rsidP="00286F7D">
            <w:pPr>
              <w:pStyle w:val="Texttabulky"/>
              <w:spacing w:after="0"/>
              <w:jc w:val="right"/>
            </w:pPr>
            <w:r>
              <w:rPr>
                <w:b/>
                <w:bCs/>
              </w:rPr>
              <w:t>262</w:t>
            </w:r>
          </w:p>
        </w:tc>
        <w:tc>
          <w:tcPr>
            <w:tcW w:w="578" w:type="pct"/>
            <w:tcBorders>
              <w:top w:val="single" w:sz="6" w:space="0" w:color="auto"/>
              <w:left w:val="single" w:sz="6" w:space="0" w:color="auto"/>
              <w:bottom w:val="single" w:sz="6" w:space="0" w:color="auto"/>
              <w:right w:val="single" w:sz="6" w:space="0" w:color="auto"/>
            </w:tcBorders>
          </w:tcPr>
          <w:p w14:paraId="138A396D" w14:textId="77777777" w:rsidR="00286F7D" w:rsidRDefault="00286F7D" w:rsidP="00286F7D">
            <w:pPr>
              <w:pStyle w:val="Texttabulky"/>
              <w:spacing w:after="0"/>
              <w:jc w:val="right"/>
            </w:pPr>
            <w:r>
              <w:rPr>
                <w:b/>
                <w:bCs/>
              </w:rPr>
              <w:t>14 193</w:t>
            </w:r>
          </w:p>
        </w:tc>
        <w:tc>
          <w:tcPr>
            <w:tcW w:w="578" w:type="pct"/>
            <w:tcBorders>
              <w:top w:val="single" w:sz="6" w:space="0" w:color="auto"/>
              <w:left w:val="single" w:sz="6" w:space="0" w:color="auto"/>
              <w:bottom w:val="single" w:sz="6" w:space="0" w:color="auto"/>
              <w:right w:val="single" w:sz="6" w:space="0" w:color="auto"/>
            </w:tcBorders>
          </w:tcPr>
          <w:p w14:paraId="38C9D680" w14:textId="77777777" w:rsidR="00286F7D" w:rsidRDefault="00286F7D" w:rsidP="00286F7D">
            <w:pPr>
              <w:pStyle w:val="Texttabulky"/>
              <w:spacing w:after="0"/>
              <w:jc w:val="right"/>
            </w:pPr>
            <w:r>
              <w:rPr>
                <w:b/>
                <w:bCs/>
              </w:rPr>
              <w:t>+3 073</w:t>
            </w:r>
          </w:p>
        </w:tc>
      </w:tr>
      <w:tr w:rsidR="00286F7D" w14:paraId="13A05644" w14:textId="77777777" w:rsidTr="00286F7D">
        <w:tc>
          <w:tcPr>
            <w:tcW w:w="238" w:type="pct"/>
            <w:tcBorders>
              <w:top w:val="single" w:sz="6" w:space="0" w:color="auto"/>
              <w:left w:val="single" w:sz="6" w:space="0" w:color="auto"/>
              <w:bottom w:val="single" w:sz="6" w:space="0" w:color="auto"/>
              <w:right w:val="single" w:sz="6" w:space="0" w:color="auto"/>
            </w:tcBorders>
          </w:tcPr>
          <w:p w14:paraId="7A66A925" w14:textId="77777777" w:rsidR="00286F7D" w:rsidRDefault="00286F7D" w:rsidP="00286F7D">
            <w:pPr>
              <w:pStyle w:val="Texttabulky"/>
              <w:spacing w:after="0"/>
              <w:jc w:val="right"/>
            </w:pPr>
            <w:r>
              <w:t>16</w:t>
            </w:r>
          </w:p>
        </w:tc>
        <w:tc>
          <w:tcPr>
            <w:tcW w:w="1137" w:type="pct"/>
            <w:tcBorders>
              <w:top w:val="single" w:sz="6" w:space="0" w:color="auto"/>
              <w:left w:val="single" w:sz="6" w:space="0" w:color="auto"/>
              <w:bottom w:val="single" w:sz="6" w:space="0" w:color="auto"/>
              <w:right w:val="single" w:sz="6" w:space="0" w:color="auto"/>
            </w:tcBorders>
          </w:tcPr>
          <w:p w14:paraId="4F73EC13" w14:textId="77777777" w:rsidR="00286F7D" w:rsidRDefault="00286F7D" w:rsidP="00286F7D">
            <w:pPr>
              <w:pStyle w:val="Texttabulky"/>
              <w:spacing w:after="0"/>
            </w:pPr>
            <w:r>
              <w:t>Vilsnice</w:t>
            </w:r>
          </w:p>
        </w:tc>
        <w:tc>
          <w:tcPr>
            <w:tcW w:w="478" w:type="pct"/>
            <w:tcBorders>
              <w:top w:val="single" w:sz="6" w:space="0" w:color="auto"/>
              <w:left w:val="single" w:sz="6" w:space="0" w:color="auto"/>
              <w:bottom w:val="single" w:sz="6" w:space="0" w:color="auto"/>
              <w:right w:val="single" w:sz="6" w:space="0" w:color="auto"/>
            </w:tcBorders>
          </w:tcPr>
          <w:p w14:paraId="2D3463A7" w14:textId="77777777" w:rsidR="00286F7D" w:rsidRDefault="00286F7D" w:rsidP="00286F7D">
            <w:pPr>
              <w:pStyle w:val="Texttabulky"/>
              <w:spacing w:after="0"/>
              <w:jc w:val="right"/>
            </w:pPr>
            <w:r>
              <w:t>610</w:t>
            </w:r>
          </w:p>
        </w:tc>
        <w:tc>
          <w:tcPr>
            <w:tcW w:w="554" w:type="pct"/>
            <w:tcBorders>
              <w:top w:val="single" w:sz="6" w:space="0" w:color="auto"/>
              <w:left w:val="single" w:sz="6" w:space="0" w:color="auto"/>
              <w:bottom w:val="single" w:sz="6" w:space="0" w:color="auto"/>
              <w:right w:val="single" w:sz="6" w:space="0" w:color="auto"/>
            </w:tcBorders>
          </w:tcPr>
          <w:p w14:paraId="4DDFD3D6" w14:textId="77777777" w:rsidR="00286F7D" w:rsidRDefault="00286F7D" w:rsidP="00286F7D">
            <w:pPr>
              <w:pStyle w:val="Texttabulky"/>
              <w:spacing w:after="0"/>
              <w:jc w:val="right"/>
            </w:pPr>
            <w:r>
              <w:t>580</w:t>
            </w:r>
          </w:p>
        </w:tc>
        <w:tc>
          <w:tcPr>
            <w:tcW w:w="567" w:type="pct"/>
            <w:tcBorders>
              <w:top w:val="single" w:sz="6" w:space="0" w:color="auto"/>
              <w:left w:val="single" w:sz="6" w:space="0" w:color="auto"/>
              <w:bottom w:val="single" w:sz="6" w:space="0" w:color="auto"/>
              <w:right w:val="single" w:sz="6" w:space="0" w:color="auto"/>
            </w:tcBorders>
          </w:tcPr>
          <w:p w14:paraId="1ECE8E3D"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7533774C" w14:textId="77777777" w:rsidR="00286F7D" w:rsidRDefault="00286F7D" w:rsidP="00286F7D">
            <w:pPr>
              <w:pStyle w:val="Texttabulky"/>
              <w:spacing w:after="0"/>
              <w:jc w:val="right"/>
            </w:pPr>
            <w:r>
              <w:t>580</w:t>
            </w:r>
          </w:p>
        </w:tc>
        <w:tc>
          <w:tcPr>
            <w:tcW w:w="388" w:type="pct"/>
            <w:gridSpan w:val="2"/>
            <w:tcBorders>
              <w:top w:val="single" w:sz="6" w:space="0" w:color="auto"/>
              <w:left w:val="single" w:sz="6" w:space="0" w:color="auto"/>
              <w:bottom w:val="single" w:sz="6" w:space="0" w:color="auto"/>
              <w:right w:val="single" w:sz="6" w:space="0" w:color="auto"/>
            </w:tcBorders>
          </w:tcPr>
          <w:p w14:paraId="5274A734" w14:textId="77777777" w:rsidR="00286F7D" w:rsidRDefault="00286F7D" w:rsidP="00286F7D">
            <w:pPr>
              <w:pStyle w:val="Texttabulky"/>
              <w:spacing w:after="0"/>
              <w:jc w:val="right"/>
            </w:pPr>
            <w:r>
              <w:t>29</w:t>
            </w:r>
          </w:p>
        </w:tc>
        <w:tc>
          <w:tcPr>
            <w:tcW w:w="578" w:type="pct"/>
            <w:tcBorders>
              <w:top w:val="single" w:sz="6" w:space="0" w:color="auto"/>
              <w:left w:val="single" w:sz="6" w:space="0" w:color="auto"/>
              <w:bottom w:val="single" w:sz="6" w:space="0" w:color="auto"/>
              <w:right w:val="single" w:sz="6" w:space="0" w:color="auto"/>
            </w:tcBorders>
          </w:tcPr>
          <w:p w14:paraId="603F54D3" w14:textId="77777777" w:rsidR="00286F7D" w:rsidRDefault="00286F7D" w:rsidP="00286F7D">
            <w:pPr>
              <w:pStyle w:val="Texttabulky"/>
              <w:spacing w:after="0"/>
              <w:jc w:val="right"/>
            </w:pPr>
            <w:r>
              <w:t>988</w:t>
            </w:r>
          </w:p>
        </w:tc>
        <w:tc>
          <w:tcPr>
            <w:tcW w:w="578" w:type="pct"/>
            <w:tcBorders>
              <w:top w:val="single" w:sz="6" w:space="0" w:color="auto"/>
              <w:left w:val="single" w:sz="6" w:space="0" w:color="auto"/>
              <w:bottom w:val="single" w:sz="6" w:space="0" w:color="auto"/>
              <w:right w:val="single" w:sz="6" w:space="0" w:color="auto"/>
            </w:tcBorders>
          </w:tcPr>
          <w:p w14:paraId="78A601CF" w14:textId="77777777" w:rsidR="00286F7D" w:rsidRDefault="00286F7D" w:rsidP="00286F7D">
            <w:pPr>
              <w:pStyle w:val="Texttabulky"/>
              <w:spacing w:after="0"/>
              <w:jc w:val="right"/>
            </w:pPr>
            <w:r>
              <w:t>408</w:t>
            </w:r>
          </w:p>
        </w:tc>
      </w:tr>
      <w:tr w:rsidR="00286F7D" w14:paraId="789F4F73" w14:textId="77777777" w:rsidTr="00286F7D">
        <w:tc>
          <w:tcPr>
            <w:tcW w:w="238" w:type="pct"/>
            <w:tcBorders>
              <w:top w:val="single" w:sz="6" w:space="0" w:color="auto"/>
              <w:left w:val="single" w:sz="6" w:space="0" w:color="auto"/>
              <w:bottom w:val="single" w:sz="6" w:space="0" w:color="auto"/>
              <w:right w:val="single" w:sz="6" w:space="0" w:color="auto"/>
            </w:tcBorders>
          </w:tcPr>
          <w:p w14:paraId="091A301F" w14:textId="77777777" w:rsidR="00286F7D" w:rsidRDefault="00286F7D" w:rsidP="00286F7D">
            <w:pPr>
              <w:pStyle w:val="Texttabulky"/>
              <w:spacing w:after="0"/>
              <w:jc w:val="right"/>
            </w:pPr>
            <w:r>
              <w:t>17</w:t>
            </w:r>
          </w:p>
        </w:tc>
        <w:tc>
          <w:tcPr>
            <w:tcW w:w="1137" w:type="pct"/>
            <w:tcBorders>
              <w:top w:val="single" w:sz="6" w:space="0" w:color="auto"/>
              <w:left w:val="single" w:sz="6" w:space="0" w:color="auto"/>
              <w:bottom w:val="single" w:sz="6" w:space="0" w:color="auto"/>
              <w:right w:val="single" w:sz="6" w:space="0" w:color="auto"/>
            </w:tcBorders>
          </w:tcPr>
          <w:p w14:paraId="4CB4B854" w14:textId="77777777" w:rsidR="00286F7D" w:rsidRDefault="00286F7D" w:rsidP="00286F7D">
            <w:pPr>
              <w:pStyle w:val="Texttabulky"/>
              <w:spacing w:after="0"/>
            </w:pPr>
            <w:r>
              <w:t>Chrochvice</w:t>
            </w:r>
          </w:p>
        </w:tc>
        <w:tc>
          <w:tcPr>
            <w:tcW w:w="478" w:type="pct"/>
            <w:tcBorders>
              <w:top w:val="single" w:sz="6" w:space="0" w:color="auto"/>
              <w:left w:val="single" w:sz="6" w:space="0" w:color="auto"/>
              <w:bottom w:val="single" w:sz="6" w:space="0" w:color="auto"/>
              <w:right w:val="single" w:sz="6" w:space="0" w:color="auto"/>
            </w:tcBorders>
          </w:tcPr>
          <w:p w14:paraId="4C1048A7" w14:textId="77777777" w:rsidR="00286F7D" w:rsidRDefault="00286F7D" w:rsidP="00286F7D">
            <w:pPr>
              <w:pStyle w:val="Texttabulky"/>
              <w:spacing w:after="0"/>
              <w:jc w:val="right"/>
            </w:pPr>
            <w:r>
              <w:t>1 349</w:t>
            </w:r>
          </w:p>
        </w:tc>
        <w:tc>
          <w:tcPr>
            <w:tcW w:w="554" w:type="pct"/>
            <w:tcBorders>
              <w:top w:val="single" w:sz="6" w:space="0" w:color="auto"/>
              <w:left w:val="single" w:sz="6" w:space="0" w:color="auto"/>
              <w:bottom w:val="single" w:sz="6" w:space="0" w:color="auto"/>
              <w:right w:val="single" w:sz="6" w:space="0" w:color="auto"/>
            </w:tcBorders>
          </w:tcPr>
          <w:p w14:paraId="27C01C37" w14:textId="77777777" w:rsidR="00286F7D" w:rsidRDefault="00286F7D" w:rsidP="00286F7D">
            <w:pPr>
              <w:pStyle w:val="Texttabulky"/>
              <w:spacing w:after="0"/>
              <w:jc w:val="right"/>
            </w:pPr>
            <w:r>
              <w:t>1 270</w:t>
            </w:r>
          </w:p>
        </w:tc>
        <w:tc>
          <w:tcPr>
            <w:tcW w:w="567" w:type="pct"/>
            <w:tcBorders>
              <w:top w:val="single" w:sz="6" w:space="0" w:color="auto"/>
              <w:left w:val="single" w:sz="6" w:space="0" w:color="auto"/>
              <w:bottom w:val="single" w:sz="6" w:space="0" w:color="auto"/>
              <w:right w:val="single" w:sz="6" w:space="0" w:color="auto"/>
            </w:tcBorders>
          </w:tcPr>
          <w:p w14:paraId="100732E4" w14:textId="77777777" w:rsidR="00286F7D" w:rsidRDefault="00286F7D" w:rsidP="00286F7D">
            <w:pPr>
              <w:pStyle w:val="Texttabulky"/>
              <w:spacing w:after="0"/>
              <w:jc w:val="right"/>
            </w:pPr>
            <w:r>
              <w:t>110</w:t>
            </w:r>
          </w:p>
        </w:tc>
        <w:tc>
          <w:tcPr>
            <w:tcW w:w="480" w:type="pct"/>
            <w:tcBorders>
              <w:top w:val="single" w:sz="6" w:space="0" w:color="auto"/>
              <w:left w:val="single" w:sz="6" w:space="0" w:color="auto"/>
              <w:bottom w:val="single" w:sz="6" w:space="0" w:color="auto"/>
              <w:right w:val="single" w:sz="6" w:space="0" w:color="auto"/>
            </w:tcBorders>
          </w:tcPr>
          <w:p w14:paraId="7F37FE2F" w14:textId="77777777" w:rsidR="00286F7D" w:rsidRDefault="00286F7D" w:rsidP="00286F7D">
            <w:pPr>
              <w:pStyle w:val="Texttabulky"/>
              <w:spacing w:after="0"/>
              <w:jc w:val="right"/>
            </w:pPr>
            <w:r>
              <w:t>1 380</w:t>
            </w:r>
          </w:p>
        </w:tc>
        <w:tc>
          <w:tcPr>
            <w:tcW w:w="388" w:type="pct"/>
            <w:gridSpan w:val="2"/>
            <w:tcBorders>
              <w:top w:val="single" w:sz="6" w:space="0" w:color="auto"/>
              <w:left w:val="single" w:sz="6" w:space="0" w:color="auto"/>
              <w:bottom w:val="single" w:sz="6" w:space="0" w:color="auto"/>
              <w:right w:val="single" w:sz="6" w:space="0" w:color="auto"/>
            </w:tcBorders>
          </w:tcPr>
          <w:p w14:paraId="221F5B78" w14:textId="77777777" w:rsidR="00286F7D" w:rsidRDefault="00286F7D" w:rsidP="00286F7D">
            <w:pPr>
              <w:pStyle w:val="Texttabulky"/>
              <w:spacing w:after="0"/>
              <w:jc w:val="right"/>
            </w:pPr>
            <w:r>
              <w:t>58</w:t>
            </w:r>
          </w:p>
        </w:tc>
        <w:tc>
          <w:tcPr>
            <w:tcW w:w="578" w:type="pct"/>
            <w:tcBorders>
              <w:top w:val="single" w:sz="6" w:space="0" w:color="auto"/>
              <w:left w:val="single" w:sz="6" w:space="0" w:color="auto"/>
              <w:bottom w:val="single" w:sz="6" w:space="0" w:color="auto"/>
              <w:right w:val="single" w:sz="6" w:space="0" w:color="auto"/>
            </w:tcBorders>
          </w:tcPr>
          <w:p w14:paraId="2804D0F4" w14:textId="77777777" w:rsidR="00286F7D" w:rsidRDefault="00286F7D" w:rsidP="00286F7D">
            <w:pPr>
              <w:pStyle w:val="Texttabulky"/>
              <w:spacing w:after="0"/>
              <w:jc w:val="right"/>
            </w:pPr>
            <w:r>
              <w:t>1 838</w:t>
            </w:r>
          </w:p>
        </w:tc>
        <w:tc>
          <w:tcPr>
            <w:tcW w:w="578" w:type="pct"/>
            <w:tcBorders>
              <w:top w:val="single" w:sz="6" w:space="0" w:color="auto"/>
              <w:left w:val="single" w:sz="6" w:space="0" w:color="auto"/>
              <w:bottom w:val="single" w:sz="6" w:space="0" w:color="auto"/>
              <w:right w:val="single" w:sz="6" w:space="0" w:color="auto"/>
            </w:tcBorders>
          </w:tcPr>
          <w:p w14:paraId="5BD0E99F" w14:textId="77777777" w:rsidR="00286F7D" w:rsidRDefault="00286F7D" w:rsidP="00286F7D">
            <w:pPr>
              <w:pStyle w:val="Texttabulky"/>
              <w:spacing w:after="0"/>
              <w:jc w:val="right"/>
            </w:pPr>
            <w:r>
              <w:t>458</w:t>
            </w:r>
          </w:p>
        </w:tc>
      </w:tr>
      <w:tr w:rsidR="00286F7D" w14:paraId="0CD3C265" w14:textId="77777777" w:rsidTr="00286F7D">
        <w:tc>
          <w:tcPr>
            <w:tcW w:w="238" w:type="pct"/>
            <w:tcBorders>
              <w:top w:val="single" w:sz="6" w:space="0" w:color="auto"/>
              <w:left w:val="single" w:sz="6" w:space="0" w:color="auto"/>
              <w:bottom w:val="single" w:sz="6" w:space="0" w:color="auto"/>
              <w:right w:val="single" w:sz="6" w:space="0" w:color="auto"/>
            </w:tcBorders>
          </w:tcPr>
          <w:p w14:paraId="12B7F50D" w14:textId="77777777" w:rsidR="00286F7D" w:rsidRDefault="00286F7D" w:rsidP="00286F7D">
            <w:pPr>
              <w:pStyle w:val="Texttabulky"/>
              <w:spacing w:after="0"/>
              <w:jc w:val="right"/>
            </w:pPr>
            <w:r>
              <w:t>41</w:t>
            </w:r>
          </w:p>
        </w:tc>
        <w:tc>
          <w:tcPr>
            <w:tcW w:w="1137" w:type="pct"/>
            <w:tcBorders>
              <w:top w:val="single" w:sz="6" w:space="0" w:color="auto"/>
              <w:left w:val="single" w:sz="6" w:space="0" w:color="auto"/>
              <w:bottom w:val="single" w:sz="6" w:space="0" w:color="auto"/>
              <w:right w:val="single" w:sz="6" w:space="0" w:color="auto"/>
            </w:tcBorders>
          </w:tcPr>
          <w:p w14:paraId="3640BA62" w14:textId="77777777" w:rsidR="00286F7D" w:rsidRDefault="00286F7D" w:rsidP="00286F7D">
            <w:pPr>
              <w:pStyle w:val="Texttabulky"/>
              <w:spacing w:after="0"/>
            </w:pPr>
            <w:r>
              <w:t>Chmelník</w:t>
            </w:r>
          </w:p>
        </w:tc>
        <w:tc>
          <w:tcPr>
            <w:tcW w:w="478" w:type="pct"/>
            <w:tcBorders>
              <w:top w:val="single" w:sz="6" w:space="0" w:color="auto"/>
              <w:left w:val="single" w:sz="6" w:space="0" w:color="auto"/>
              <w:bottom w:val="single" w:sz="6" w:space="0" w:color="auto"/>
              <w:right w:val="single" w:sz="6" w:space="0" w:color="auto"/>
            </w:tcBorders>
          </w:tcPr>
          <w:p w14:paraId="6C3B0017"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2E7F5EEE"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67698B94"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571C92AB" w14:textId="77777777" w:rsidR="00286F7D" w:rsidRDefault="00286F7D" w:rsidP="00286F7D">
            <w:pPr>
              <w:pStyle w:val="Texttabulky"/>
              <w:spacing w:after="0"/>
              <w:jc w:val="right"/>
            </w:pPr>
            <w:r>
              <w:t>0</w:t>
            </w:r>
          </w:p>
        </w:tc>
        <w:tc>
          <w:tcPr>
            <w:tcW w:w="388" w:type="pct"/>
            <w:gridSpan w:val="2"/>
            <w:tcBorders>
              <w:top w:val="single" w:sz="6" w:space="0" w:color="auto"/>
              <w:left w:val="single" w:sz="6" w:space="0" w:color="auto"/>
              <w:bottom w:val="single" w:sz="6" w:space="0" w:color="auto"/>
              <w:right w:val="single" w:sz="6" w:space="0" w:color="auto"/>
            </w:tcBorders>
          </w:tcPr>
          <w:p w14:paraId="7E338528"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198843F9"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1BA4656D" w14:textId="77777777" w:rsidR="00286F7D" w:rsidRDefault="00286F7D" w:rsidP="00286F7D">
            <w:pPr>
              <w:pStyle w:val="Texttabulky"/>
              <w:spacing w:after="0"/>
              <w:jc w:val="right"/>
            </w:pPr>
            <w:r>
              <w:t>0</w:t>
            </w:r>
          </w:p>
        </w:tc>
      </w:tr>
      <w:tr w:rsidR="00286F7D" w14:paraId="28A63D50" w14:textId="77777777" w:rsidTr="00286F7D">
        <w:tc>
          <w:tcPr>
            <w:tcW w:w="238" w:type="pct"/>
            <w:tcBorders>
              <w:top w:val="single" w:sz="6" w:space="0" w:color="auto"/>
              <w:left w:val="single" w:sz="6" w:space="0" w:color="auto"/>
              <w:bottom w:val="single" w:sz="6" w:space="0" w:color="auto"/>
              <w:right w:val="single" w:sz="6" w:space="0" w:color="auto"/>
            </w:tcBorders>
          </w:tcPr>
          <w:p w14:paraId="32D54E38" w14:textId="77777777" w:rsidR="00286F7D" w:rsidRDefault="00286F7D" w:rsidP="00286F7D">
            <w:pPr>
              <w:pStyle w:val="Texttabulky"/>
              <w:spacing w:after="0"/>
              <w:jc w:val="right"/>
            </w:pPr>
            <w:r>
              <w:t>42</w:t>
            </w:r>
          </w:p>
        </w:tc>
        <w:tc>
          <w:tcPr>
            <w:tcW w:w="1137" w:type="pct"/>
            <w:tcBorders>
              <w:top w:val="single" w:sz="6" w:space="0" w:color="auto"/>
              <w:left w:val="single" w:sz="6" w:space="0" w:color="auto"/>
              <w:bottom w:val="single" w:sz="6" w:space="0" w:color="auto"/>
              <w:right w:val="single" w:sz="6" w:space="0" w:color="auto"/>
            </w:tcBorders>
          </w:tcPr>
          <w:p w14:paraId="3C2696A8" w14:textId="77777777" w:rsidR="00286F7D" w:rsidRDefault="00286F7D" w:rsidP="00286F7D">
            <w:pPr>
              <w:pStyle w:val="Texttabulky"/>
              <w:spacing w:after="0"/>
            </w:pPr>
            <w:r>
              <w:t>Krásný Studenec</w:t>
            </w:r>
          </w:p>
        </w:tc>
        <w:tc>
          <w:tcPr>
            <w:tcW w:w="478" w:type="pct"/>
            <w:tcBorders>
              <w:top w:val="single" w:sz="6" w:space="0" w:color="auto"/>
              <w:left w:val="single" w:sz="6" w:space="0" w:color="auto"/>
              <w:bottom w:val="single" w:sz="6" w:space="0" w:color="auto"/>
              <w:right w:val="single" w:sz="6" w:space="0" w:color="auto"/>
            </w:tcBorders>
          </w:tcPr>
          <w:p w14:paraId="2F6E7C7B" w14:textId="77777777" w:rsidR="00286F7D" w:rsidRDefault="00286F7D" w:rsidP="00286F7D">
            <w:pPr>
              <w:pStyle w:val="Texttabulky"/>
              <w:spacing w:after="0"/>
              <w:jc w:val="right"/>
            </w:pPr>
            <w:r>
              <w:t>401</w:t>
            </w:r>
          </w:p>
        </w:tc>
        <w:tc>
          <w:tcPr>
            <w:tcW w:w="554" w:type="pct"/>
            <w:tcBorders>
              <w:top w:val="single" w:sz="6" w:space="0" w:color="auto"/>
              <w:left w:val="single" w:sz="6" w:space="0" w:color="auto"/>
              <w:bottom w:val="single" w:sz="6" w:space="0" w:color="auto"/>
              <w:right w:val="single" w:sz="6" w:space="0" w:color="auto"/>
            </w:tcBorders>
          </w:tcPr>
          <w:p w14:paraId="3CAA3F2B" w14:textId="77777777" w:rsidR="00286F7D" w:rsidRDefault="00286F7D" w:rsidP="00286F7D">
            <w:pPr>
              <w:pStyle w:val="Texttabulky"/>
              <w:spacing w:after="0"/>
              <w:jc w:val="right"/>
            </w:pPr>
            <w:r>
              <w:t>380</w:t>
            </w:r>
          </w:p>
        </w:tc>
        <w:tc>
          <w:tcPr>
            <w:tcW w:w="567" w:type="pct"/>
            <w:tcBorders>
              <w:top w:val="single" w:sz="6" w:space="0" w:color="auto"/>
              <w:left w:val="single" w:sz="6" w:space="0" w:color="auto"/>
              <w:bottom w:val="single" w:sz="6" w:space="0" w:color="auto"/>
              <w:right w:val="single" w:sz="6" w:space="0" w:color="auto"/>
            </w:tcBorders>
          </w:tcPr>
          <w:p w14:paraId="6A462F35"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218DF53F" w14:textId="77777777" w:rsidR="00286F7D" w:rsidRDefault="00286F7D" w:rsidP="00286F7D">
            <w:pPr>
              <w:pStyle w:val="Texttabulky"/>
              <w:spacing w:after="0"/>
              <w:jc w:val="right"/>
            </w:pPr>
            <w:r>
              <w:t>380</w:t>
            </w:r>
          </w:p>
        </w:tc>
        <w:tc>
          <w:tcPr>
            <w:tcW w:w="388" w:type="pct"/>
            <w:gridSpan w:val="2"/>
            <w:tcBorders>
              <w:top w:val="single" w:sz="6" w:space="0" w:color="auto"/>
              <w:left w:val="single" w:sz="6" w:space="0" w:color="auto"/>
              <w:bottom w:val="single" w:sz="6" w:space="0" w:color="auto"/>
              <w:right w:val="single" w:sz="6" w:space="0" w:color="auto"/>
            </w:tcBorders>
          </w:tcPr>
          <w:p w14:paraId="5E06486D" w14:textId="77777777" w:rsidR="00286F7D" w:rsidRDefault="00286F7D" w:rsidP="00286F7D">
            <w:pPr>
              <w:pStyle w:val="Texttabulky"/>
              <w:spacing w:after="0"/>
              <w:jc w:val="right"/>
            </w:pPr>
            <w:r>
              <w:t>24</w:t>
            </w:r>
          </w:p>
        </w:tc>
        <w:tc>
          <w:tcPr>
            <w:tcW w:w="578" w:type="pct"/>
            <w:tcBorders>
              <w:top w:val="single" w:sz="6" w:space="0" w:color="auto"/>
              <w:left w:val="single" w:sz="6" w:space="0" w:color="auto"/>
              <w:bottom w:val="single" w:sz="6" w:space="0" w:color="auto"/>
              <w:right w:val="single" w:sz="6" w:space="0" w:color="auto"/>
            </w:tcBorders>
          </w:tcPr>
          <w:p w14:paraId="321575EF" w14:textId="77777777" w:rsidR="00286F7D" w:rsidRDefault="00286F7D" w:rsidP="00286F7D">
            <w:pPr>
              <w:pStyle w:val="Texttabulky"/>
              <w:spacing w:after="0"/>
              <w:jc w:val="right"/>
            </w:pPr>
            <w:r>
              <w:t>426</w:t>
            </w:r>
          </w:p>
        </w:tc>
        <w:tc>
          <w:tcPr>
            <w:tcW w:w="578" w:type="pct"/>
            <w:tcBorders>
              <w:top w:val="single" w:sz="6" w:space="0" w:color="auto"/>
              <w:left w:val="single" w:sz="6" w:space="0" w:color="auto"/>
              <w:bottom w:val="single" w:sz="6" w:space="0" w:color="auto"/>
              <w:right w:val="single" w:sz="6" w:space="0" w:color="auto"/>
            </w:tcBorders>
          </w:tcPr>
          <w:p w14:paraId="7C5A20B8" w14:textId="77777777" w:rsidR="00286F7D" w:rsidRDefault="00286F7D" w:rsidP="00286F7D">
            <w:pPr>
              <w:pStyle w:val="Texttabulky"/>
              <w:spacing w:after="0"/>
              <w:jc w:val="right"/>
            </w:pPr>
            <w:r>
              <w:t>46</w:t>
            </w:r>
          </w:p>
        </w:tc>
      </w:tr>
      <w:tr w:rsidR="00286F7D" w14:paraId="28DD40AD" w14:textId="77777777" w:rsidTr="00286F7D">
        <w:tc>
          <w:tcPr>
            <w:tcW w:w="238" w:type="pct"/>
            <w:tcBorders>
              <w:top w:val="single" w:sz="6" w:space="0" w:color="auto"/>
              <w:left w:val="single" w:sz="6" w:space="0" w:color="auto"/>
              <w:bottom w:val="single" w:sz="6" w:space="0" w:color="auto"/>
              <w:right w:val="single" w:sz="6" w:space="0" w:color="auto"/>
            </w:tcBorders>
          </w:tcPr>
          <w:p w14:paraId="0C8AF351" w14:textId="77777777" w:rsidR="00286F7D" w:rsidRDefault="00286F7D" w:rsidP="00286F7D">
            <w:pPr>
              <w:pStyle w:val="Texttabulky"/>
              <w:spacing w:after="0"/>
            </w:pPr>
            <w:r>
              <w:rPr>
                <w:b/>
                <w:bCs/>
              </w:rPr>
              <w:t xml:space="preserve"> III</w:t>
            </w:r>
          </w:p>
        </w:tc>
        <w:tc>
          <w:tcPr>
            <w:tcW w:w="1137" w:type="pct"/>
            <w:tcBorders>
              <w:top w:val="single" w:sz="6" w:space="0" w:color="auto"/>
              <w:left w:val="single" w:sz="6" w:space="0" w:color="auto"/>
              <w:bottom w:val="single" w:sz="6" w:space="0" w:color="auto"/>
              <w:right w:val="single" w:sz="6" w:space="0" w:color="auto"/>
            </w:tcBorders>
          </w:tcPr>
          <w:p w14:paraId="49A52851" w14:textId="77777777" w:rsidR="00286F7D" w:rsidRDefault="00286F7D" w:rsidP="00286F7D">
            <w:pPr>
              <w:pStyle w:val="Texttabulky"/>
              <w:spacing w:after="0"/>
            </w:pPr>
            <w:r>
              <w:rPr>
                <w:b/>
                <w:bCs/>
                <w:caps/>
              </w:rPr>
              <w:t>sektor celkem</w:t>
            </w:r>
          </w:p>
        </w:tc>
        <w:tc>
          <w:tcPr>
            <w:tcW w:w="478" w:type="pct"/>
            <w:tcBorders>
              <w:top w:val="single" w:sz="6" w:space="0" w:color="auto"/>
              <w:left w:val="single" w:sz="6" w:space="0" w:color="auto"/>
              <w:bottom w:val="single" w:sz="6" w:space="0" w:color="auto"/>
              <w:right w:val="single" w:sz="6" w:space="0" w:color="auto"/>
            </w:tcBorders>
          </w:tcPr>
          <w:p w14:paraId="6008869D" w14:textId="77777777" w:rsidR="00286F7D" w:rsidRDefault="00286F7D" w:rsidP="00286F7D">
            <w:pPr>
              <w:pStyle w:val="Texttabulky"/>
              <w:spacing w:after="0"/>
              <w:jc w:val="right"/>
            </w:pPr>
            <w:r>
              <w:rPr>
                <w:b/>
                <w:bCs/>
              </w:rPr>
              <w:t>2 360</w:t>
            </w:r>
          </w:p>
        </w:tc>
        <w:tc>
          <w:tcPr>
            <w:tcW w:w="554" w:type="pct"/>
            <w:tcBorders>
              <w:top w:val="single" w:sz="6" w:space="0" w:color="auto"/>
              <w:left w:val="single" w:sz="6" w:space="0" w:color="auto"/>
              <w:bottom w:val="single" w:sz="6" w:space="0" w:color="auto"/>
              <w:right w:val="single" w:sz="6" w:space="0" w:color="auto"/>
            </w:tcBorders>
          </w:tcPr>
          <w:p w14:paraId="4221110C" w14:textId="77777777" w:rsidR="00286F7D" w:rsidRDefault="00286F7D" w:rsidP="00286F7D">
            <w:pPr>
              <w:pStyle w:val="Texttabulky"/>
              <w:spacing w:after="0"/>
              <w:jc w:val="right"/>
            </w:pPr>
            <w:r>
              <w:rPr>
                <w:b/>
                <w:bCs/>
              </w:rPr>
              <w:t>2 230</w:t>
            </w:r>
          </w:p>
        </w:tc>
        <w:tc>
          <w:tcPr>
            <w:tcW w:w="567" w:type="pct"/>
            <w:tcBorders>
              <w:top w:val="single" w:sz="6" w:space="0" w:color="auto"/>
              <w:left w:val="single" w:sz="6" w:space="0" w:color="auto"/>
              <w:bottom w:val="single" w:sz="6" w:space="0" w:color="auto"/>
              <w:right w:val="single" w:sz="6" w:space="0" w:color="auto"/>
            </w:tcBorders>
          </w:tcPr>
          <w:p w14:paraId="0997D54D" w14:textId="77777777" w:rsidR="00286F7D" w:rsidRDefault="00286F7D" w:rsidP="00286F7D">
            <w:pPr>
              <w:pStyle w:val="Texttabulky"/>
              <w:spacing w:after="0"/>
              <w:jc w:val="right"/>
            </w:pPr>
            <w:r>
              <w:rPr>
                <w:b/>
                <w:bCs/>
              </w:rPr>
              <w:t>110</w:t>
            </w:r>
          </w:p>
        </w:tc>
        <w:tc>
          <w:tcPr>
            <w:tcW w:w="480" w:type="pct"/>
            <w:tcBorders>
              <w:top w:val="single" w:sz="6" w:space="0" w:color="auto"/>
              <w:left w:val="single" w:sz="6" w:space="0" w:color="auto"/>
              <w:bottom w:val="single" w:sz="6" w:space="0" w:color="auto"/>
              <w:right w:val="single" w:sz="6" w:space="0" w:color="auto"/>
            </w:tcBorders>
          </w:tcPr>
          <w:p w14:paraId="20DE9995" w14:textId="77777777" w:rsidR="00286F7D" w:rsidRDefault="00286F7D" w:rsidP="00286F7D">
            <w:pPr>
              <w:pStyle w:val="Texttabulky"/>
              <w:spacing w:after="0"/>
              <w:jc w:val="right"/>
            </w:pPr>
            <w:r>
              <w:rPr>
                <w:b/>
                <w:bCs/>
              </w:rPr>
              <w:t>2 340</w:t>
            </w:r>
          </w:p>
        </w:tc>
        <w:tc>
          <w:tcPr>
            <w:tcW w:w="388" w:type="pct"/>
            <w:gridSpan w:val="2"/>
            <w:tcBorders>
              <w:top w:val="single" w:sz="6" w:space="0" w:color="auto"/>
              <w:left w:val="single" w:sz="6" w:space="0" w:color="auto"/>
              <w:bottom w:val="single" w:sz="6" w:space="0" w:color="auto"/>
              <w:right w:val="single" w:sz="6" w:space="0" w:color="auto"/>
            </w:tcBorders>
          </w:tcPr>
          <w:p w14:paraId="16B69BDC" w14:textId="77777777" w:rsidR="00286F7D" w:rsidRDefault="00286F7D" w:rsidP="00286F7D">
            <w:pPr>
              <w:pStyle w:val="Texttabulky"/>
              <w:spacing w:after="0"/>
              <w:jc w:val="right"/>
            </w:pPr>
            <w:r>
              <w:rPr>
                <w:b/>
                <w:bCs/>
              </w:rPr>
              <w:t>111</w:t>
            </w:r>
          </w:p>
        </w:tc>
        <w:tc>
          <w:tcPr>
            <w:tcW w:w="578" w:type="pct"/>
            <w:tcBorders>
              <w:top w:val="single" w:sz="6" w:space="0" w:color="auto"/>
              <w:left w:val="single" w:sz="6" w:space="0" w:color="auto"/>
              <w:bottom w:val="single" w:sz="6" w:space="0" w:color="auto"/>
              <w:right w:val="single" w:sz="6" w:space="0" w:color="auto"/>
            </w:tcBorders>
          </w:tcPr>
          <w:p w14:paraId="7685F945" w14:textId="77777777" w:rsidR="00286F7D" w:rsidRDefault="00286F7D" w:rsidP="00286F7D">
            <w:pPr>
              <w:pStyle w:val="Texttabulky"/>
              <w:spacing w:after="0"/>
              <w:jc w:val="right"/>
            </w:pPr>
            <w:r>
              <w:rPr>
                <w:b/>
                <w:bCs/>
              </w:rPr>
              <w:t>3 252</w:t>
            </w:r>
          </w:p>
        </w:tc>
        <w:tc>
          <w:tcPr>
            <w:tcW w:w="578" w:type="pct"/>
            <w:tcBorders>
              <w:top w:val="single" w:sz="6" w:space="0" w:color="auto"/>
              <w:left w:val="single" w:sz="6" w:space="0" w:color="auto"/>
              <w:bottom w:val="single" w:sz="6" w:space="0" w:color="auto"/>
              <w:right w:val="single" w:sz="6" w:space="0" w:color="auto"/>
            </w:tcBorders>
          </w:tcPr>
          <w:p w14:paraId="0CB8CEAB" w14:textId="77777777" w:rsidR="00286F7D" w:rsidRDefault="00286F7D" w:rsidP="00286F7D">
            <w:pPr>
              <w:pStyle w:val="Texttabulky"/>
              <w:spacing w:after="0"/>
              <w:jc w:val="right"/>
            </w:pPr>
            <w:r>
              <w:rPr>
                <w:b/>
                <w:bCs/>
              </w:rPr>
              <w:t xml:space="preserve"> + 912</w:t>
            </w:r>
          </w:p>
        </w:tc>
      </w:tr>
      <w:tr w:rsidR="00286F7D" w14:paraId="4974AB7B" w14:textId="77777777" w:rsidTr="00286F7D">
        <w:tc>
          <w:tcPr>
            <w:tcW w:w="238" w:type="pct"/>
            <w:tcBorders>
              <w:top w:val="single" w:sz="6" w:space="0" w:color="auto"/>
              <w:left w:val="single" w:sz="6" w:space="0" w:color="auto"/>
              <w:bottom w:val="single" w:sz="6" w:space="0" w:color="auto"/>
              <w:right w:val="single" w:sz="6" w:space="0" w:color="auto"/>
            </w:tcBorders>
          </w:tcPr>
          <w:p w14:paraId="4B06FC6C" w14:textId="77777777" w:rsidR="00286F7D" w:rsidRDefault="00286F7D" w:rsidP="00286F7D">
            <w:pPr>
              <w:pStyle w:val="Texttabulky"/>
              <w:spacing w:after="0"/>
              <w:jc w:val="right"/>
            </w:pPr>
            <w:r>
              <w:t>27</w:t>
            </w:r>
          </w:p>
        </w:tc>
        <w:tc>
          <w:tcPr>
            <w:tcW w:w="1137" w:type="pct"/>
            <w:tcBorders>
              <w:top w:val="single" w:sz="6" w:space="0" w:color="auto"/>
              <w:left w:val="single" w:sz="6" w:space="0" w:color="auto"/>
              <w:bottom w:val="single" w:sz="6" w:space="0" w:color="auto"/>
              <w:right w:val="single" w:sz="6" w:space="0" w:color="auto"/>
            </w:tcBorders>
          </w:tcPr>
          <w:p w14:paraId="660E9153" w14:textId="77777777" w:rsidR="00286F7D" w:rsidRDefault="00286F7D" w:rsidP="00286F7D">
            <w:pPr>
              <w:pStyle w:val="Texttabulky"/>
              <w:spacing w:after="0"/>
            </w:pPr>
            <w:r>
              <w:t>Přípeř</w:t>
            </w:r>
          </w:p>
        </w:tc>
        <w:tc>
          <w:tcPr>
            <w:tcW w:w="478" w:type="pct"/>
            <w:tcBorders>
              <w:top w:val="single" w:sz="6" w:space="0" w:color="auto"/>
              <w:left w:val="single" w:sz="6" w:space="0" w:color="auto"/>
              <w:bottom w:val="single" w:sz="6" w:space="0" w:color="auto"/>
              <w:right w:val="single" w:sz="6" w:space="0" w:color="auto"/>
            </w:tcBorders>
          </w:tcPr>
          <w:p w14:paraId="57EA120A" w14:textId="77777777" w:rsidR="00286F7D" w:rsidRDefault="00286F7D" w:rsidP="00286F7D">
            <w:pPr>
              <w:pStyle w:val="Texttabulky"/>
              <w:spacing w:after="0"/>
              <w:jc w:val="right"/>
            </w:pPr>
            <w:r>
              <w:t>136</w:t>
            </w:r>
          </w:p>
        </w:tc>
        <w:tc>
          <w:tcPr>
            <w:tcW w:w="554" w:type="pct"/>
            <w:tcBorders>
              <w:top w:val="single" w:sz="6" w:space="0" w:color="auto"/>
              <w:left w:val="single" w:sz="6" w:space="0" w:color="auto"/>
              <w:bottom w:val="single" w:sz="6" w:space="0" w:color="auto"/>
              <w:right w:val="single" w:sz="6" w:space="0" w:color="auto"/>
            </w:tcBorders>
          </w:tcPr>
          <w:p w14:paraId="49C2F142" w14:textId="77777777" w:rsidR="00286F7D" w:rsidRDefault="00286F7D" w:rsidP="00286F7D">
            <w:pPr>
              <w:pStyle w:val="Texttabulky"/>
              <w:spacing w:after="0"/>
              <w:jc w:val="right"/>
            </w:pPr>
            <w:r>
              <w:t>120</w:t>
            </w:r>
          </w:p>
        </w:tc>
        <w:tc>
          <w:tcPr>
            <w:tcW w:w="567" w:type="pct"/>
            <w:tcBorders>
              <w:top w:val="single" w:sz="6" w:space="0" w:color="auto"/>
              <w:left w:val="single" w:sz="6" w:space="0" w:color="auto"/>
              <w:bottom w:val="single" w:sz="6" w:space="0" w:color="auto"/>
              <w:right w:val="single" w:sz="6" w:space="0" w:color="auto"/>
            </w:tcBorders>
          </w:tcPr>
          <w:p w14:paraId="56AE52D5"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78AC97C2" w14:textId="77777777" w:rsidR="00286F7D" w:rsidRDefault="00286F7D" w:rsidP="00286F7D">
            <w:pPr>
              <w:pStyle w:val="Texttabulky"/>
              <w:spacing w:after="0"/>
              <w:jc w:val="right"/>
            </w:pPr>
            <w:r>
              <w:t>120</w:t>
            </w:r>
          </w:p>
        </w:tc>
        <w:tc>
          <w:tcPr>
            <w:tcW w:w="388" w:type="pct"/>
            <w:gridSpan w:val="2"/>
            <w:tcBorders>
              <w:top w:val="single" w:sz="6" w:space="0" w:color="auto"/>
              <w:left w:val="single" w:sz="6" w:space="0" w:color="auto"/>
              <w:bottom w:val="single" w:sz="6" w:space="0" w:color="auto"/>
              <w:right w:val="single" w:sz="6" w:space="0" w:color="auto"/>
            </w:tcBorders>
          </w:tcPr>
          <w:p w14:paraId="1046DA47"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09307F62"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24937ED0" w14:textId="77777777" w:rsidR="00286F7D" w:rsidRDefault="00286F7D" w:rsidP="00286F7D">
            <w:pPr>
              <w:pStyle w:val="Texttabulky"/>
              <w:spacing w:after="0"/>
              <w:jc w:val="right"/>
            </w:pPr>
            <w:r>
              <w:t>-120</w:t>
            </w:r>
          </w:p>
        </w:tc>
      </w:tr>
      <w:tr w:rsidR="00286F7D" w14:paraId="1D7977A4" w14:textId="77777777" w:rsidTr="00286F7D">
        <w:tc>
          <w:tcPr>
            <w:tcW w:w="238" w:type="pct"/>
            <w:tcBorders>
              <w:top w:val="single" w:sz="6" w:space="0" w:color="auto"/>
              <w:left w:val="single" w:sz="6" w:space="0" w:color="auto"/>
              <w:bottom w:val="single" w:sz="6" w:space="0" w:color="auto"/>
              <w:right w:val="single" w:sz="6" w:space="0" w:color="auto"/>
            </w:tcBorders>
          </w:tcPr>
          <w:p w14:paraId="1BE3772F" w14:textId="77777777" w:rsidR="00286F7D" w:rsidRDefault="00286F7D" w:rsidP="00286F7D">
            <w:pPr>
              <w:pStyle w:val="Texttabulky"/>
              <w:spacing w:after="0"/>
              <w:jc w:val="right"/>
            </w:pPr>
            <w:r>
              <w:t>28</w:t>
            </w:r>
          </w:p>
        </w:tc>
        <w:tc>
          <w:tcPr>
            <w:tcW w:w="1137" w:type="pct"/>
            <w:tcBorders>
              <w:top w:val="single" w:sz="6" w:space="0" w:color="auto"/>
              <w:left w:val="single" w:sz="6" w:space="0" w:color="auto"/>
              <w:bottom w:val="single" w:sz="6" w:space="0" w:color="auto"/>
              <w:right w:val="single" w:sz="6" w:space="0" w:color="auto"/>
            </w:tcBorders>
          </w:tcPr>
          <w:p w14:paraId="00601654" w14:textId="77777777" w:rsidR="00286F7D" w:rsidRDefault="00286F7D" w:rsidP="00286F7D">
            <w:pPr>
              <w:pStyle w:val="Texttabulky"/>
              <w:spacing w:after="0"/>
            </w:pPr>
            <w:r>
              <w:t>Jalůvčí</w:t>
            </w:r>
          </w:p>
        </w:tc>
        <w:tc>
          <w:tcPr>
            <w:tcW w:w="478" w:type="pct"/>
            <w:tcBorders>
              <w:top w:val="single" w:sz="6" w:space="0" w:color="auto"/>
              <w:left w:val="single" w:sz="6" w:space="0" w:color="auto"/>
              <w:bottom w:val="single" w:sz="6" w:space="0" w:color="auto"/>
              <w:right w:val="single" w:sz="6" w:space="0" w:color="auto"/>
            </w:tcBorders>
          </w:tcPr>
          <w:p w14:paraId="0145363D" w14:textId="77777777" w:rsidR="00286F7D" w:rsidRDefault="00286F7D" w:rsidP="00286F7D">
            <w:pPr>
              <w:pStyle w:val="Texttabulky"/>
              <w:spacing w:after="0"/>
              <w:jc w:val="right"/>
            </w:pPr>
            <w:r>
              <w:t>460</w:t>
            </w:r>
          </w:p>
        </w:tc>
        <w:tc>
          <w:tcPr>
            <w:tcW w:w="554" w:type="pct"/>
            <w:tcBorders>
              <w:top w:val="single" w:sz="6" w:space="0" w:color="auto"/>
              <w:left w:val="single" w:sz="6" w:space="0" w:color="auto"/>
              <w:bottom w:val="single" w:sz="6" w:space="0" w:color="auto"/>
              <w:right w:val="single" w:sz="6" w:space="0" w:color="auto"/>
            </w:tcBorders>
          </w:tcPr>
          <w:p w14:paraId="573E6B99" w14:textId="77777777" w:rsidR="00286F7D" w:rsidRDefault="00286F7D" w:rsidP="00286F7D">
            <w:pPr>
              <w:pStyle w:val="Texttabulky"/>
              <w:spacing w:after="0"/>
              <w:jc w:val="right"/>
            </w:pPr>
            <w:r>
              <w:t>430</w:t>
            </w:r>
          </w:p>
        </w:tc>
        <w:tc>
          <w:tcPr>
            <w:tcW w:w="567" w:type="pct"/>
            <w:tcBorders>
              <w:top w:val="single" w:sz="6" w:space="0" w:color="auto"/>
              <w:left w:val="single" w:sz="6" w:space="0" w:color="auto"/>
              <w:bottom w:val="single" w:sz="6" w:space="0" w:color="auto"/>
              <w:right w:val="single" w:sz="6" w:space="0" w:color="auto"/>
            </w:tcBorders>
          </w:tcPr>
          <w:p w14:paraId="10B29F98" w14:textId="77777777" w:rsidR="00286F7D" w:rsidRDefault="00286F7D" w:rsidP="00286F7D">
            <w:pPr>
              <w:pStyle w:val="Texttabulky"/>
              <w:spacing w:after="0"/>
              <w:jc w:val="right"/>
            </w:pPr>
            <w:r>
              <w:t>70</w:t>
            </w:r>
          </w:p>
        </w:tc>
        <w:tc>
          <w:tcPr>
            <w:tcW w:w="480" w:type="pct"/>
            <w:tcBorders>
              <w:top w:val="single" w:sz="6" w:space="0" w:color="auto"/>
              <w:left w:val="single" w:sz="6" w:space="0" w:color="auto"/>
              <w:bottom w:val="single" w:sz="6" w:space="0" w:color="auto"/>
              <w:right w:val="single" w:sz="6" w:space="0" w:color="auto"/>
            </w:tcBorders>
          </w:tcPr>
          <w:p w14:paraId="2FA13C32" w14:textId="77777777" w:rsidR="00286F7D" w:rsidRDefault="00286F7D" w:rsidP="00286F7D">
            <w:pPr>
              <w:pStyle w:val="Texttabulky"/>
              <w:spacing w:after="0"/>
              <w:jc w:val="right"/>
            </w:pPr>
            <w:r>
              <w:t>500</w:t>
            </w:r>
          </w:p>
        </w:tc>
        <w:tc>
          <w:tcPr>
            <w:tcW w:w="388" w:type="pct"/>
            <w:gridSpan w:val="2"/>
            <w:tcBorders>
              <w:top w:val="single" w:sz="6" w:space="0" w:color="auto"/>
              <w:left w:val="single" w:sz="6" w:space="0" w:color="auto"/>
              <w:bottom w:val="single" w:sz="6" w:space="0" w:color="auto"/>
              <w:right w:val="single" w:sz="6" w:space="0" w:color="auto"/>
            </w:tcBorders>
          </w:tcPr>
          <w:p w14:paraId="578F29EC" w14:textId="77777777" w:rsidR="00286F7D" w:rsidRDefault="00286F7D" w:rsidP="00286F7D">
            <w:pPr>
              <w:pStyle w:val="Texttabulky"/>
              <w:spacing w:after="0"/>
              <w:jc w:val="right"/>
            </w:pPr>
            <w:r>
              <w:t>25</w:t>
            </w:r>
          </w:p>
        </w:tc>
        <w:tc>
          <w:tcPr>
            <w:tcW w:w="578" w:type="pct"/>
            <w:tcBorders>
              <w:top w:val="single" w:sz="6" w:space="0" w:color="auto"/>
              <w:left w:val="single" w:sz="6" w:space="0" w:color="auto"/>
              <w:bottom w:val="single" w:sz="6" w:space="0" w:color="auto"/>
              <w:right w:val="single" w:sz="6" w:space="0" w:color="auto"/>
            </w:tcBorders>
          </w:tcPr>
          <w:p w14:paraId="2A4821D2" w14:textId="77777777" w:rsidR="00286F7D" w:rsidRDefault="00286F7D" w:rsidP="00286F7D">
            <w:pPr>
              <w:pStyle w:val="Texttabulky"/>
              <w:spacing w:after="0"/>
              <w:jc w:val="right"/>
            </w:pPr>
            <w:r>
              <w:t>689</w:t>
            </w:r>
          </w:p>
        </w:tc>
        <w:tc>
          <w:tcPr>
            <w:tcW w:w="578" w:type="pct"/>
            <w:tcBorders>
              <w:top w:val="single" w:sz="6" w:space="0" w:color="auto"/>
              <w:left w:val="single" w:sz="6" w:space="0" w:color="auto"/>
              <w:bottom w:val="single" w:sz="6" w:space="0" w:color="auto"/>
              <w:right w:val="single" w:sz="6" w:space="0" w:color="auto"/>
            </w:tcBorders>
          </w:tcPr>
          <w:p w14:paraId="2C463C06" w14:textId="77777777" w:rsidR="00286F7D" w:rsidRDefault="00286F7D" w:rsidP="00286F7D">
            <w:pPr>
              <w:pStyle w:val="Texttabulky"/>
              <w:spacing w:after="0"/>
              <w:jc w:val="right"/>
            </w:pPr>
            <w:r>
              <w:t>189</w:t>
            </w:r>
          </w:p>
        </w:tc>
      </w:tr>
      <w:tr w:rsidR="00286F7D" w14:paraId="0A3A13E9" w14:textId="77777777" w:rsidTr="00286F7D">
        <w:tc>
          <w:tcPr>
            <w:tcW w:w="238" w:type="pct"/>
            <w:tcBorders>
              <w:top w:val="single" w:sz="6" w:space="0" w:color="auto"/>
              <w:left w:val="single" w:sz="6" w:space="0" w:color="auto"/>
              <w:bottom w:val="single" w:sz="6" w:space="0" w:color="auto"/>
              <w:right w:val="single" w:sz="6" w:space="0" w:color="auto"/>
            </w:tcBorders>
          </w:tcPr>
          <w:p w14:paraId="57EF90AA" w14:textId="77777777" w:rsidR="00286F7D" w:rsidRDefault="00286F7D" w:rsidP="00286F7D">
            <w:pPr>
              <w:pStyle w:val="Texttabulky"/>
              <w:spacing w:after="0"/>
              <w:jc w:val="right"/>
            </w:pPr>
            <w:r>
              <w:t>29</w:t>
            </w:r>
          </w:p>
        </w:tc>
        <w:tc>
          <w:tcPr>
            <w:tcW w:w="1137" w:type="pct"/>
            <w:tcBorders>
              <w:top w:val="single" w:sz="6" w:space="0" w:color="auto"/>
              <w:left w:val="single" w:sz="6" w:space="0" w:color="auto"/>
              <w:bottom w:val="single" w:sz="6" w:space="0" w:color="auto"/>
              <w:right w:val="single" w:sz="6" w:space="0" w:color="auto"/>
            </w:tcBorders>
          </w:tcPr>
          <w:p w14:paraId="1C8DAB8B" w14:textId="77777777" w:rsidR="00286F7D" w:rsidRDefault="00286F7D" w:rsidP="00286F7D">
            <w:pPr>
              <w:pStyle w:val="Texttabulky"/>
              <w:spacing w:after="0"/>
            </w:pPr>
            <w:r>
              <w:t>Žlíbek - Škrabky</w:t>
            </w:r>
          </w:p>
        </w:tc>
        <w:tc>
          <w:tcPr>
            <w:tcW w:w="478" w:type="pct"/>
            <w:tcBorders>
              <w:top w:val="single" w:sz="6" w:space="0" w:color="auto"/>
              <w:left w:val="single" w:sz="6" w:space="0" w:color="auto"/>
              <w:bottom w:val="single" w:sz="6" w:space="0" w:color="auto"/>
              <w:right w:val="single" w:sz="6" w:space="0" w:color="auto"/>
            </w:tcBorders>
          </w:tcPr>
          <w:p w14:paraId="01FAA88D" w14:textId="77777777" w:rsidR="00286F7D" w:rsidRDefault="00286F7D" w:rsidP="00286F7D">
            <w:pPr>
              <w:pStyle w:val="Texttabulky"/>
              <w:spacing w:after="0"/>
              <w:jc w:val="right"/>
            </w:pPr>
            <w:r>
              <w:t>391</w:t>
            </w:r>
          </w:p>
        </w:tc>
        <w:tc>
          <w:tcPr>
            <w:tcW w:w="554" w:type="pct"/>
            <w:tcBorders>
              <w:top w:val="single" w:sz="6" w:space="0" w:color="auto"/>
              <w:left w:val="single" w:sz="6" w:space="0" w:color="auto"/>
              <w:bottom w:val="single" w:sz="6" w:space="0" w:color="auto"/>
              <w:right w:val="single" w:sz="6" w:space="0" w:color="auto"/>
            </w:tcBorders>
          </w:tcPr>
          <w:p w14:paraId="0820CD6B" w14:textId="77777777" w:rsidR="00286F7D" w:rsidRDefault="00286F7D" w:rsidP="00286F7D">
            <w:pPr>
              <w:pStyle w:val="Texttabulky"/>
              <w:spacing w:after="0"/>
              <w:jc w:val="right"/>
            </w:pPr>
            <w:r>
              <w:t>350</w:t>
            </w:r>
          </w:p>
        </w:tc>
        <w:tc>
          <w:tcPr>
            <w:tcW w:w="567" w:type="pct"/>
            <w:tcBorders>
              <w:top w:val="single" w:sz="6" w:space="0" w:color="auto"/>
              <w:left w:val="single" w:sz="6" w:space="0" w:color="auto"/>
              <w:bottom w:val="single" w:sz="6" w:space="0" w:color="auto"/>
              <w:right w:val="single" w:sz="6" w:space="0" w:color="auto"/>
            </w:tcBorders>
          </w:tcPr>
          <w:p w14:paraId="6D752B15" w14:textId="77777777" w:rsidR="00286F7D" w:rsidRDefault="00286F7D" w:rsidP="00286F7D">
            <w:pPr>
              <w:pStyle w:val="Texttabulky"/>
              <w:spacing w:after="0"/>
              <w:jc w:val="right"/>
            </w:pPr>
            <w:r>
              <w:t>285</w:t>
            </w:r>
          </w:p>
        </w:tc>
        <w:tc>
          <w:tcPr>
            <w:tcW w:w="480" w:type="pct"/>
            <w:tcBorders>
              <w:top w:val="single" w:sz="6" w:space="0" w:color="auto"/>
              <w:left w:val="single" w:sz="6" w:space="0" w:color="auto"/>
              <w:bottom w:val="single" w:sz="6" w:space="0" w:color="auto"/>
              <w:right w:val="single" w:sz="6" w:space="0" w:color="auto"/>
            </w:tcBorders>
          </w:tcPr>
          <w:p w14:paraId="4302B1B7" w14:textId="77777777" w:rsidR="00286F7D" w:rsidRDefault="00286F7D" w:rsidP="00286F7D">
            <w:pPr>
              <w:pStyle w:val="Texttabulky"/>
              <w:spacing w:after="0"/>
              <w:jc w:val="right"/>
            </w:pPr>
            <w:r>
              <w:t>635</w:t>
            </w:r>
          </w:p>
        </w:tc>
        <w:tc>
          <w:tcPr>
            <w:tcW w:w="388" w:type="pct"/>
            <w:gridSpan w:val="2"/>
            <w:tcBorders>
              <w:top w:val="single" w:sz="6" w:space="0" w:color="auto"/>
              <w:left w:val="single" w:sz="6" w:space="0" w:color="auto"/>
              <w:bottom w:val="single" w:sz="6" w:space="0" w:color="auto"/>
              <w:right w:val="single" w:sz="6" w:space="0" w:color="auto"/>
            </w:tcBorders>
          </w:tcPr>
          <w:p w14:paraId="5968962A" w14:textId="77777777" w:rsidR="00286F7D" w:rsidRDefault="00286F7D" w:rsidP="00286F7D">
            <w:pPr>
              <w:pStyle w:val="Texttabulky"/>
              <w:spacing w:after="0"/>
              <w:jc w:val="right"/>
            </w:pPr>
            <w:r>
              <w:t>15</w:t>
            </w:r>
          </w:p>
        </w:tc>
        <w:tc>
          <w:tcPr>
            <w:tcW w:w="578" w:type="pct"/>
            <w:tcBorders>
              <w:top w:val="single" w:sz="6" w:space="0" w:color="auto"/>
              <w:left w:val="single" w:sz="6" w:space="0" w:color="auto"/>
              <w:bottom w:val="single" w:sz="6" w:space="0" w:color="auto"/>
              <w:right w:val="single" w:sz="6" w:space="0" w:color="auto"/>
            </w:tcBorders>
          </w:tcPr>
          <w:p w14:paraId="1C55BD8D" w14:textId="77777777" w:rsidR="00286F7D" w:rsidRDefault="00286F7D" w:rsidP="00286F7D">
            <w:pPr>
              <w:pStyle w:val="Texttabulky"/>
              <w:spacing w:after="0"/>
              <w:jc w:val="right"/>
            </w:pPr>
            <w:r>
              <w:t>481</w:t>
            </w:r>
          </w:p>
        </w:tc>
        <w:tc>
          <w:tcPr>
            <w:tcW w:w="578" w:type="pct"/>
            <w:tcBorders>
              <w:top w:val="single" w:sz="6" w:space="0" w:color="auto"/>
              <w:left w:val="single" w:sz="6" w:space="0" w:color="auto"/>
              <w:bottom w:val="single" w:sz="6" w:space="0" w:color="auto"/>
              <w:right w:val="single" w:sz="6" w:space="0" w:color="auto"/>
            </w:tcBorders>
          </w:tcPr>
          <w:p w14:paraId="20557A1B" w14:textId="77777777" w:rsidR="00286F7D" w:rsidRDefault="00286F7D" w:rsidP="00286F7D">
            <w:pPr>
              <w:pStyle w:val="Texttabulky"/>
              <w:spacing w:after="0"/>
              <w:jc w:val="right"/>
            </w:pPr>
            <w:r>
              <w:t>-154</w:t>
            </w:r>
          </w:p>
        </w:tc>
      </w:tr>
      <w:tr w:rsidR="00286F7D" w14:paraId="7B39D7FD" w14:textId="77777777" w:rsidTr="00286F7D">
        <w:tc>
          <w:tcPr>
            <w:tcW w:w="238" w:type="pct"/>
            <w:tcBorders>
              <w:top w:val="single" w:sz="6" w:space="0" w:color="auto"/>
              <w:left w:val="single" w:sz="6" w:space="0" w:color="auto"/>
              <w:bottom w:val="single" w:sz="6" w:space="0" w:color="auto"/>
              <w:right w:val="single" w:sz="6" w:space="0" w:color="auto"/>
            </w:tcBorders>
          </w:tcPr>
          <w:p w14:paraId="711A8AAA" w14:textId="77777777" w:rsidR="00286F7D" w:rsidRDefault="00286F7D" w:rsidP="00286F7D">
            <w:pPr>
              <w:pStyle w:val="Texttabulky"/>
              <w:spacing w:after="0"/>
              <w:jc w:val="right"/>
            </w:pPr>
            <w:r>
              <w:t>30</w:t>
            </w:r>
          </w:p>
        </w:tc>
        <w:tc>
          <w:tcPr>
            <w:tcW w:w="1137" w:type="pct"/>
            <w:tcBorders>
              <w:top w:val="single" w:sz="6" w:space="0" w:color="auto"/>
              <w:left w:val="single" w:sz="6" w:space="0" w:color="auto"/>
              <w:bottom w:val="single" w:sz="6" w:space="0" w:color="auto"/>
              <w:right w:val="single" w:sz="6" w:space="0" w:color="auto"/>
            </w:tcBorders>
          </w:tcPr>
          <w:p w14:paraId="22467E5E" w14:textId="77777777" w:rsidR="00286F7D" w:rsidRDefault="00286F7D" w:rsidP="00286F7D">
            <w:pPr>
              <w:pStyle w:val="Texttabulky"/>
              <w:spacing w:after="0"/>
            </w:pPr>
            <w:r>
              <w:t>Dolní Oldřichov</w:t>
            </w:r>
          </w:p>
        </w:tc>
        <w:tc>
          <w:tcPr>
            <w:tcW w:w="478" w:type="pct"/>
            <w:tcBorders>
              <w:top w:val="single" w:sz="6" w:space="0" w:color="auto"/>
              <w:left w:val="single" w:sz="6" w:space="0" w:color="auto"/>
              <w:bottom w:val="single" w:sz="6" w:space="0" w:color="auto"/>
              <w:right w:val="single" w:sz="6" w:space="0" w:color="auto"/>
            </w:tcBorders>
          </w:tcPr>
          <w:p w14:paraId="056A9120" w14:textId="77777777" w:rsidR="00286F7D" w:rsidRDefault="00286F7D" w:rsidP="00286F7D">
            <w:pPr>
              <w:pStyle w:val="Texttabulky"/>
              <w:spacing w:after="0"/>
              <w:jc w:val="right"/>
            </w:pPr>
            <w:r>
              <w:t>645</w:t>
            </w:r>
          </w:p>
        </w:tc>
        <w:tc>
          <w:tcPr>
            <w:tcW w:w="554" w:type="pct"/>
            <w:tcBorders>
              <w:top w:val="single" w:sz="6" w:space="0" w:color="auto"/>
              <w:left w:val="single" w:sz="6" w:space="0" w:color="auto"/>
              <w:bottom w:val="single" w:sz="6" w:space="0" w:color="auto"/>
              <w:right w:val="single" w:sz="6" w:space="0" w:color="auto"/>
            </w:tcBorders>
          </w:tcPr>
          <w:p w14:paraId="644E3C35" w14:textId="77777777" w:rsidR="00286F7D" w:rsidRDefault="00286F7D" w:rsidP="00286F7D">
            <w:pPr>
              <w:pStyle w:val="Texttabulky"/>
              <w:spacing w:after="0"/>
              <w:jc w:val="right"/>
            </w:pPr>
            <w:r>
              <w:t>610</w:t>
            </w:r>
          </w:p>
        </w:tc>
        <w:tc>
          <w:tcPr>
            <w:tcW w:w="567" w:type="pct"/>
            <w:tcBorders>
              <w:top w:val="single" w:sz="6" w:space="0" w:color="auto"/>
              <w:left w:val="single" w:sz="6" w:space="0" w:color="auto"/>
              <w:bottom w:val="single" w:sz="6" w:space="0" w:color="auto"/>
              <w:right w:val="single" w:sz="6" w:space="0" w:color="auto"/>
            </w:tcBorders>
          </w:tcPr>
          <w:p w14:paraId="2868B750"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544D4DC8" w14:textId="77777777" w:rsidR="00286F7D" w:rsidRDefault="00286F7D" w:rsidP="00286F7D">
            <w:pPr>
              <w:pStyle w:val="Texttabulky"/>
              <w:spacing w:after="0"/>
              <w:jc w:val="right"/>
            </w:pPr>
            <w:r>
              <w:t>610</w:t>
            </w:r>
          </w:p>
        </w:tc>
        <w:tc>
          <w:tcPr>
            <w:tcW w:w="388" w:type="pct"/>
            <w:gridSpan w:val="2"/>
            <w:tcBorders>
              <w:top w:val="single" w:sz="6" w:space="0" w:color="auto"/>
              <w:left w:val="single" w:sz="6" w:space="0" w:color="auto"/>
              <w:bottom w:val="single" w:sz="6" w:space="0" w:color="auto"/>
              <w:right w:val="single" w:sz="6" w:space="0" w:color="auto"/>
            </w:tcBorders>
          </w:tcPr>
          <w:p w14:paraId="34ADC3B4" w14:textId="77777777" w:rsidR="00286F7D" w:rsidRDefault="00286F7D" w:rsidP="00286F7D">
            <w:pPr>
              <w:pStyle w:val="Texttabulky"/>
              <w:spacing w:after="0"/>
              <w:jc w:val="right"/>
            </w:pPr>
            <w:r>
              <w:t>29</w:t>
            </w:r>
          </w:p>
        </w:tc>
        <w:tc>
          <w:tcPr>
            <w:tcW w:w="578" w:type="pct"/>
            <w:tcBorders>
              <w:top w:val="single" w:sz="6" w:space="0" w:color="auto"/>
              <w:left w:val="single" w:sz="6" w:space="0" w:color="auto"/>
              <w:bottom w:val="single" w:sz="6" w:space="0" w:color="auto"/>
              <w:right w:val="single" w:sz="6" w:space="0" w:color="auto"/>
            </w:tcBorders>
          </w:tcPr>
          <w:p w14:paraId="0939A643" w14:textId="77777777" w:rsidR="00286F7D" w:rsidRDefault="00286F7D" w:rsidP="00286F7D">
            <w:pPr>
              <w:pStyle w:val="Texttabulky"/>
              <w:spacing w:after="0"/>
              <w:jc w:val="right"/>
            </w:pPr>
            <w:r>
              <w:t>880</w:t>
            </w:r>
          </w:p>
        </w:tc>
        <w:tc>
          <w:tcPr>
            <w:tcW w:w="578" w:type="pct"/>
            <w:tcBorders>
              <w:top w:val="single" w:sz="6" w:space="0" w:color="auto"/>
              <w:left w:val="single" w:sz="6" w:space="0" w:color="auto"/>
              <w:bottom w:val="single" w:sz="6" w:space="0" w:color="auto"/>
              <w:right w:val="single" w:sz="6" w:space="0" w:color="auto"/>
            </w:tcBorders>
          </w:tcPr>
          <w:p w14:paraId="03AC11F7" w14:textId="77777777" w:rsidR="00286F7D" w:rsidRDefault="00286F7D" w:rsidP="00286F7D">
            <w:pPr>
              <w:pStyle w:val="Texttabulky"/>
              <w:spacing w:after="0"/>
              <w:jc w:val="right"/>
            </w:pPr>
            <w:r>
              <w:t>270</w:t>
            </w:r>
          </w:p>
        </w:tc>
      </w:tr>
      <w:tr w:rsidR="00286F7D" w14:paraId="3BFFA01C" w14:textId="77777777" w:rsidTr="00286F7D">
        <w:tc>
          <w:tcPr>
            <w:tcW w:w="238" w:type="pct"/>
            <w:tcBorders>
              <w:top w:val="single" w:sz="6" w:space="0" w:color="auto"/>
              <w:left w:val="single" w:sz="6" w:space="0" w:color="auto"/>
              <w:bottom w:val="single" w:sz="6" w:space="0" w:color="auto"/>
              <w:right w:val="single" w:sz="6" w:space="0" w:color="auto"/>
            </w:tcBorders>
          </w:tcPr>
          <w:p w14:paraId="75200C01" w14:textId="77777777" w:rsidR="00286F7D" w:rsidRDefault="00286F7D" w:rsidP="00286F7D">
            <w:pPr>
              <w:pStyle w:val="Texttabulky"/>
              <w:spacing w:after="0"/>
              <w:jc w:val="right"/>
            </w:pPr>
            <w:r>
              <w:t>31</w:t>
            </w:r>
          </w:p>
        </w:tc>
        <w:tc>
          <w:tcPr>
            <w:tcW w:w="1137" w:type="pct"/>
            <w:tcBorders>
              <w:top w:val="single" w:sz="6" w:space="0" w:color="auto"/>
              <w:left w:val="single" w:sz="6" w:space="0" w:color="auto"/>
              <w:bottom w:val="single" w:sz="6" w:space="0" w:color="auto"/>
              <w:right w:val="single" w:sz="6" w:space="0" w:color="auto"/>
            </w:tcBorders>
          </w:tcPr>
          <w:p w14:paraId="69796F62" w14:textId="77777777" w:rsidR="00286F7D" w:rsidRDefault="00286F7D" w:rsidP="00286F7D">
            <w:pPr>
              <w:pStyle w:val="Texttabulky"/>
              <w:spacing w:after="0"/>
            </w:pPr>
            <w:r>
              <w:t>Horní Oldřichov</w:t>
            </w:r>
          </w:p>
        </w:tc>
        <w:tc>
          <w:tcPr>
            <w:tcW w:w="478" w:type="pct"/>
            <w:tcBorders>
              <w:top w:val="single" w:sz="6" w:space="0" w:color="auto"/>
              <w:left w:val="single" w:sz="6" w:space="0" w:color="auto"/>
              <w:bottom w:val="single" w:sz="6" w:space="0" w:color="auto"/>
              <w:right w:val="single" w:sz="6" w:space="0" w:color="auto"/>
            </w:tcBorders>
          </w:tcPr>
          <w:p w14:paraId="72B2E787" w14:textId="77777777" w:rsidR="00286F7D" w:rsidRDefault="00286F7D" w:rsidP="00286F7D">
            <w:pPr>
              <w:pStyle w:val="Texttabulky"/>
              <w:spacing w:after="0"/>
              <w:jc w:val="right"/>
            </w:pPr>
            <w:r>
              <w:t>360</w:t>
            </w:r>
          </w:p>
        </w:tc>
        <w:tc>
          <w:tcPr>
            <w:tcW w:w="554" w:type="pct"/>
            <w:tcBorders>
              <w:top w:val="single" w:sz="6" w:space="0" w:color="auto"/>
              <w:left w:val="single" w:sz="6" w:space="0" w:color="auto"/>
              <w:bottom w:val="single" w:sz="6" w:space="0" w:color="auto"/>
              <w:right w:val="single" w:sz="6" w:space="0" w:color="auto"/>
            </w:tcBorders>
          </w:tcPr>
          <w:p w14:paraId="54691995" w14:textId="77777777" w:rsidR="00286F7D" w:rsidRDefault="00286F7D" w:rsidP="00286F7D">
            <w:pPr>
              <w:pStyle w:val="Texttabulky"/>
              <w:spacing w:after="0"/>
              <w:jc w:val="right"/>
            </w:pPr>
            <w:r>
              <w:t>330</w:t>
            </w:r>
          </w:p>
        </w:tc>
        <w:tc>
          <w:tcPr>
            <w:tcW w:w="567" w:type="pct"/>
            <w:tcBorders>
              <w:top w:val="single" w:sz="6" w:space="0" w:color="auto"/>
              <w:left w:val="single" w:sz="6" w:space="0" w:color="auto"/>
              <w:bottom w:val="single" w:sz="6" w:space="0" w:color="auto"/>
              <w:right w:val="single" w:sz="6" w:space="0" w:color="auto"/>
            </w:tcBorders>
          </w:tcPr>
          <w:p w14:paraId="5F074690"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352AEF8F" w14:textId="77777777" w:rsidR="00286F7D" w:rsidRDefault="00286F7D" w:rsidP="00286F7D">
            <w:pPr>
              <w:pStyle w:val="Texttabulky"/>
              <w:spacing w:after="0"/>
              <w:jc w:val="right"/>
            </w:pPr>
            <w:r>
              <w:t>330</w:t>
            </w:r>
          </w:p>
        </w:tc>
        <w:tc>
          <w:tcPr>
            <w:tcW w:w="388" w:type="pct"/>
            <w:gridSpan w:val="2"/>
            <w:tcBorders>
              <w:top w:val="single" w:sz="6" w:space="0" w:color="auto"/>
              <w:left w:val="single" w:sz="6" w:space="0" w:color="auto"/>
              <w:bottom w:val="single" w:sz="6" w:space="0" w:color="auto"/>
              <w:right w:val="single" w:sz="6" w:space="0" w:color="auto"/>
            </w:tcBorders>
          </w:tcPr>
          <w:p w14:paraId="4B351458" w14:textId="77777777" w:rsidR="00286F7D" w:rsidRDefault="00286F7D" w:rsidP="00286F7D">
            <w:pPr>
              <w:pStyle w:val="Texttabulky"/>
              <w:spacing w:after="0"/>
              <w:jc w:val="right"/>
            </w:pPr>
            <w:r>
              <w:t>19</w:t>
            </w:r>
          </w:p>
        </w:tc>
        <w:tc>
          <w:tcPr>
            <w:tcW w:w="578" w:type="pct"/>
            <w:tcBorders>
              <w:top w:val="single" w:sz="6" w:space="0" w:color="auto"/>
              <w:left w:val="single" w:sz="6" w:space="0" w:color="auto"/>
              <w:bottom w:val="single" w:sz="6" w:space="0" w:color="auto"/>
              <w:right w:val="single" w:sz="6" w:space="0" w:color="auto"/>
            </w:tcBorders>
          </w:tcPr>
          <w:p w14:paraId="4E5A542D" w14:textId="77777777" w:rsidR="00286F7D" w:rsidRDefault="00286F7D" w:rsidP="00286F7D">
            <w:pPr>
              <w:pStyle w:val="Texttabulky"/>
              <w:spacing w:after="0"/>
              <w:jc w:val="right"/>
            </w:pPr>
            <w:r>
              <w:t>478</w:t>
            </w:r>
          </w:p>
        </w:tc>
        <w:tc>
          <w:tcPr>
            <w:tcW w:w="578" w:type="pct"/>
            <w:tcBorders>
              <w:top w:val="single" w:sz="6" w:space="0" w:color="auto"/>
              <w:left w:val="single" w:sz="6" w:space="0" w:color="auto"/>
              <w:bottom w:val="single" w:sz="6" w:space="0" w:color="auto"/>
              <w:right w:val="single" w:sz="6" w:space="0" w:color="auto"/>
            </w:tcBorders>
          </w:tcPr>
          <w:p w14:paraId="7A5C24E0" w14:textId="77777777" w:rsidR="00286F7D" w:rsidRDefault="00286F7D" w:rsidP="00286F7D">
            <w:pPr>
              <w:pStyle w:val="Texttabulky"/>
              <w:spacing w:after="0"/>
              <w:jc w:val="right"/>
            </w:pPr>
            <w:r>
              <w:t>270</w:t>
            </w:r>
          </w:p>
        </w:tc>
      </w:tr>
      <w:tr w:rsidR="00286F7D" w14:paraId="5F3DBF69" w14:textId="77777777" w:rsidTr="00286F7D">
        <w:tc>
          <w:tcPr>
            <w:tcW w:w="238" w:type="pct"/>
            <w:tcBorders>
              <w:top w:val="single" w:sz="6" w:space="0" w:color="auto"/>
              <w:left w:val="single" w:sz="6" w:space="0" w:color="auto"/>
              <w:bottom w:val="single" w:sz="6" w:space="0" w:color="auto"/>
              <w:right w:val="single" w:sz="6" w:space="0" w:color="auto"/>
            </w:tcBorders>
          </w:tcPr>
          <w:p w14:paraId="58AE1A07" w14:textId="77777777" w:rsidR="00286F7D" w:rsidRDefault="00286F7D" w:rsidP="00286F7D">
            <w:pPr>
              <w:pStyle w:val="Texttabulky"/>
              <w:spacing w:after="0"/>
              <w:jc w:val="right"/>
            </w:pPr>
            <w:r>
              <w:lastRenderedPageBreak/>
              <w:t>32</w:t>
            </w:r>
          </w:p>
        </w:tc>
        <w:tc>
          <w:tcPr>
            <w:tcW w:w="1137" w:type="pct"/>
            <w:tcBorders>
              <w:top w:val="single" w:sz="6" w:space="0" w:color="auto"/>
              <w:left w:val="single" w:sz="6" w:space="0" w:color="auto"/>
              <w:bottom w:val="single" w:sz="6" w:space="0" w:color="auto"/>
              <w:right w:val="single" w:sz="6" w:space="0" w:color="auto"/>
            </w:tcBorders>
          </w:tcPr>
          <w:p w14:paraId="2A295FCD" w14:textId="77777777" w:rsidR="00286F7D" w:rsidRDefault="00286F7D" w:rsidP="00286F7D">
            <w:pPr>
              <w:pStyle w:val="Texttabulky"/>
              <w:spacing w:after="0"/>
            </w:pPr>
            <w:r>
              <w:t>Bynov</w:t>
            </w:r>
          </w:p>
        </w:tc>
        <w:tc>
          <w:tcPr>
            <w:tcW w:w="478" w:type="pct"/>
            <w:tcBorders>
              <w:top w:val="single" w:sz="6" w:space="0" w:color="auto"/>
              <w:left w:val="single" w:sz="6" w:space="0" w:color="auto"/>
              <w:bottom w:val="single" w:sz="6" w:space="0" w:color="auto"/>
              <w:right w:val="single" w:sz="6" w:space="0" w:color="auto"/>
            </w:tcBorders>
          </w:tcPr>
          <w:p w14:paraId="104D0C79" w14:textId="77777777" w:rsidR="00286F7D" w:rsidRDefault="00286F7D" w:rsidP="00286F7D">
            <w:pPr>
              <w:pStyle w:val="Texttabulky"/>
              <w:spacing w:after="0"/>
              <w:jc w:val="right"/>
            </w:pPr>
            <w:r>
              <w:t>4 897</w:t>
            </w:r>
          </w:p>
        </w:tc>
        <w:tc>
          <w:tcPr>
            <w:tcW w:w="554" w:type="pct"/>
            <w:tcBorders>
              <w:top w:val="single" w:sz="6" w:space="0" w:color="auto"/>
              <w:left w:val="single" w:sz="6" w:space="0" w:color="auto"/>
              <w:bottom w:val="single" w:sz="6" w:space="0" w:color="auto"/>
              <w:right w:val="single" w:sz="6" w:space="0" w:color="auto"/>
            </w:tcBorders>
          </w:tcPr>
          <w:p w14:paraId="76E43EFE" w14:textId="77777777" w:rsidR="00286F7D" w:rsidRDefault="00286F7D" w:rsidP="00286F7D">
            <w:pPr>
              <w:pStyle w:val="Texttabulky"/>
              <w:spacing w:after="0"/>
              <w:jc w:val="right"/>
            </w:pPr>
            <w:r>
              <w:t>4 500</w:t>
            </w:r>
          </w:p>
        </w:tc>
        <w:tc>
          <w:tcPr>
            <w:tcW w:w="567" w:type="pct"/>
            <w:tcBorders>
              <w:top w:val="single" w:sz="6" w:space="0" w:color="auto"/>
              <w:left w:val="single" w:sz="6" w:space="0" w:color="auto"/>
              <w:bottom w:val="single" w:sz="6" w:space="0" w:color="auto"/>
              <w:right w:val="single" w:sz="6" w:space="0" w:color="auto"/>
            </w:tcBorders>
          </w:tcPr>
          <w:p w14:paraId="2D518997"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2C182E50" w14:textId="77777777" w:rsidR="00286F7D" w:rsidRDefault="00286F7D" w:rsidP="00286F7D">
            <w:pPr>
              <w:pStyle w:val="Texttabulky"/>
              <w:spacing w:after="0"/>
              <w:jc w:val="right"/>
            </w:pPr>
            <w:r>
              <w:t>4 500</w:t>
            </w:r>
          </w:p>
        </w:tc>
        <w:tc>
          <w:tcPr>
            <w:tcW w:w="388" w:type="pct"/>
            <w:gridSpan w:val="2"/>
            <w:tcBorders>
              <w:top w:val="single" w:sz="6" w:space="0" w:color="auto"/>
              <w:left w:val="single" w:sz="6" w:space="0" w:color="auto"/>
              <w:bottom w:val="single" w:sz="6" w:space="0" w:color="auto"/>
              <w:right w:val="single" w:sz="6" w:space="0" w:color="auto"/>
            </w:tcBorders>
          </w:tcPr>
          <w:p w14:paraId="36B57F57" w14:textId="77777777" w:rsidR="00286F7D" w:rsidRDefault="00286F7D" w:rsidP="00286F7D">
            <w:pPr>
              <w:pStyle w:val="Texttabulky"/>
              <w:spacing w:after="0"/>
              <w:jc w:val="right"/>
            </w:pPr>
            <w:r>
              <w:t>82</w:t>
            </w:r>
          </w:p>
        </w:tc>
        <w:tc>
          <w:tcPr>
            <w:tcW w:w="578" w:type="pct"/>
            <w:tcBorders>
              <w:top w:val="single" w:sz="6" w:space="0" w:color="auto"/>
              <w:left w:val="single" w:sz="6" w:space="0" w:color="auto"/>
              <w:bottom w:val="single" w:sz="6" w:space="0" w:color="auto"/>
              <w:right w:val="single" w:sz="6" w:space="0" w:color="auto"/>
            </w:tcBorders>
          </w:tcPr>
          <w:p w14:paraId="6BE302FF" w14:textId="77777777" w:rsidR="00286F7D" w:rsidRDefault="00286F7D" w:rsidP="00286F7D">
            <w:pPr>
              <w:pStyle w:val="Texttabulky"/>
              <w:spacing w:after="0"/>
              <w:jc w:val="right"/>
            </w:pPr>
            <w:r>
              <w:t>6 225</w:t>
            </w:r>
          </w:p>
        </w:tc>
        <w:tc>
          <w:tcPr>
            <w:tcW w:w="578" w:type="pct"/>
            <w:tcBorders>
              <w:top w:val="single" w:sz="6" w:space="0" w:color="auto"/>
              <w:left w:val="single" w:sz="6" w:space="0" w:color="auto"/>
              <w:bottom w:val="single" w:sz="6" w:space="0" w:color="auto"/>
              <w:right w:val="single" w:sz="6" w:space="0" w:color="auto"/>
            </w:tcBorders>
          </w:tcPr>
          <w:p w14:paraId="7EF6DB08" w14:textId="77777777" w:rsidR="00286F7D" w:rsidRDefault="00286F7D" w:rsidP="00286F7D">
            <w:pPr>
              <w:pStyle w:val="Texttabulky"/>
              <w:spacing w:after="0"/>
              <w:jc w:val="right"/>
            </w:pPr>
            <w:r>
              <w:t>1 725</w:t>
            </w:r>
          </w:p>
        </w:tc>
      </w:tr>
      <w:tr w:rsidR="00286F7D" w14:paraId="717BC493" w14:textId="77777777" w:rsidTr="00286F7D">
        <w:tc>
          <w:tcPr>
            <w:tcW w:w="238" w:type="pct"/>
            <w:tcBorders>
              <w:top w:val="single" w:sz="6" w:space="0" w:color="auto"/>
              <w:left w:val="single" w:sz="6" w:space="0" w:color="auto"/>
              <w:bottom w:val="single" w:sz="6" w:space="0" w:color="auto"/>
              <w:right w:val="single" w:sz="6" w:space="0" w:color="auto"/>
            </w:tcBorders>
          </w:tcPr>
          <w:p w14:paraId="5EE50293" w14:textId="77777777" w:rsidR="00286F7D" w:rsidRDefault="00286F7D" w:rsidP="00286F7D">
            <w:pPr>
              <w:pStyle w:val="Texttabulky"/>
              <w:spacing w:after="0"/>
              <w:jc w:val="right"/>
            </w:pPr>
            <w:r>
              <w:t>33</w:t>
            </w:r>
          </w:p>
        </w:tc>
        <w:tc>
          <w:tcPr>
            <w:tcW w:w="1137" w:type="pct"/>
            <w:tcBorders>
              <w:top w:val="single" w:sz="6" w:space="0" w:color="auto"/>
              <w:left w:val="single" w:sz="6" w:space="0" w:color="auto"/>
              <w:bottom w:val="single" w:sz="6" w:space="0" w:color="auto"/>
              <w:right w:val="single" w:sz="6" w:space="0" w:color="auto"/>
            </w:tcBorders>
          </w:tcPr>
          <w:p w14:paraId="12A09CAB" w14:textId="77777777" w:rsidR="00286F7D" w:rsidRDefault="00286F7D" w:rsidP="00286F7D">
            <w:pPr>
              <w:pStyle w:val="Texttabulky"/>
              <w:spacing w:after="0"/>
            </w:pPr>
            <w:r>
              <w:t>Bělá</w:t>
            </w:r>
          </w:p>
        </w:tc>
        <w:tc>
          <w:tcPr>
            <w:tcW w:w="478" w:type="pct"/>
            <w:tcBorders>
              <w:top w:val="single" w:sz="6" w:space="0" w:color="auto"/>
              <w:left w:val="single" w:sz="6" w:space="0" w:color="auto"/>
              <w:bottom w:val="single" w:sz="6" w:space="0" w:color="auto"/>
              <w:right w:val="single" w:sz="6" w:space="0" w:color="auto"/>
            </w:tcBorders>
          </w:tcPr>
          <w:p w14:paraId="36A708BD" w14:textId="77777777" w:rsidR="00286F7D" w:rsidRDefault="00286F7D" w:rsidP="00286F7D">
            <w:pPr>
              <w:pStyle w:val="Texttabulky"/>
              <w:spacing w:after="0"/>
              <w:jc w:val="right"/>
            </w:pPr>
            <w:r>
              <w:t>1 182</w:t>
            </w:r>
          </w:p>
        </w:tc>
        <w:tc>
          <w:tcPr>
            <w:tcW w:w="554" w:type="pct"/>
            <w:tcBorders>
              <w:top w:val="single" w:sz="6" w:space="0" w:color="auto"/>
              <w:left w:val="single" w:sz="6" w:space="0" w:color="auto"/>
              <w:bottom w:val="single" w:sz="6" w:space="0" w:color="auto"/>
              <w:right w:val="single" w:sz="6" w:space="0" w:color="auto"/>
            </w:tcBorders>
          </w:tcPr>
          <w:p w14:paraId="4107127A" w14:textId="77777777" w:rsidR="00286F7D" w:rsidRDefault="00286F7D" w:rsidP="00286F7D">
            <w:pPr>
              <w:pStyle w:val="Texttabulky"/>
              <w:spacing w:after="0"/>
              <w:jc w:val="right"/>
            </w:pPr>
            <w:r>
              <w:t>1 050</w:t>
            </w:r>
          </w:p>
        </w:tc>
        <w:tc>
          <w:tcPr>
            <w:tcW w:w="567" w:type="pct"/>
            <w:tcBorders>
              <w:top w:val="single" w:sz="6" w:space="0" w:color="auto"/>
              <w:left w:val="single" w:sz="6" w:space="0" w:color="auto"/>
              <w:bottom w:val="single" w:sz="6" w:space="0" w:color="auto"/>
              <w:right w:val="single" w:sz="6" w:space="0" w:color="auto"/>
            </w:tcBorders>
          </w:tcPr>
          <w:p w14:paraId="475CA7AA" w14:textId="77777777" w:rsidR="00286F7D" w:rsidRDefault="00286F7D" w:rsidP="00286F7D">
            <w:pPr>
              <w:pStyle w:val="Texttabulky"/>
              <w:spacing w:after="0"/>
              <w:jc w:val="right"/>
            </w:pPr>
            <w:r>
              <w:t>150</w:t>
            </w:r>
          </w:p>
        </w:tc>
        <w:tc>
          <w:tcPr>
            <w:tcW w:w="480" w:type="pct"/>
            <w:tcBorders>
              <w:top w:val="single" w:sz="6" w:space="0" w:color="auto"/>
              <w:left w:val="single" w:sz="6" w:space="0" w:color="auto"/>
              <w:bottom w:val="single" w:sz="6" w:space="0" w:color="auto"/>
              <w:right w:val="single" w:sz="6" w:space="0" w:color="auto"/>
            </w:tcBorders>
          </w:tcPr>
          <w:p w14:paraId="4898FA53" w14:textId="77777777" w:rsidR="00286F7D" w:rsidRDefault="00286F7D" w:rsidP="00286F7D">
            <w:pPr>
              <w:pStyle w:val="Texttabulky"/>
              <w:spacing w:after="0"/>
              <w:jc w:val="right"/>
            </w:pPr>
            <w:r>
              <w:t>1 200</w:t>
            </w:r>
          </w:p>
        </w:tc>
        <w:tc>
          <w:tcPr>
            <w:tcW w:w="388" w:type="pct"/>
            <w:gridSpan w:val="2"/>
            <w:tcBorders>
              <w:top w:val="single" w:sz="6" w:space="0" w:color="auto"/>
              <w:left w:val="single" w:sz="6" w:space="0" w:color="auto"/>
              <w:bottom w:val="single" w:sz="6" w:space="0" w:color="auto"/>
              <w:right w:val="single" w:sz="6" w:space="0" w:color="auto"/>
            </w:tcBorders>
          </w:tcPr>
          <w:p w14:paraId="2FC82CA0" w14:textId="77777777" w:rsidR="00286F7D" w:rsidRDefault="00286F7D" w:rsidP="00286F7D">
            <w:pPr>
              <w:pStyle w:val="Texttabulky"/>
              <w:spacing w:after="0"/>
              <w:jc w:val="right"/>
            </w:pPr>
            <w:r>
              <w:t>47</w:t>
            </w:r>
          </w:p>
        </w:tc>
        <w:tc>
          <w:tcPr>
            <w:tcW w:w="578" w:type="pct"/>
            <w:tcBorders>
              <w:top w:val="single" w:sz="6" w:space="0" w:color="auto"/>
              <w:left w:val="single" w:sz="6" w:space="0" w:color="auto"/>
              <w:bottom w:val="single" w:sz="6" w:space="0" w:color="auto"/>
              <w:right w:val="single" w:sz="6" w:space="0" w:color="auto"/>
            </w:tcBorders>
          </w:tcPr>
          <w:p w14:paraId="2D64D43D" w14:textId="77777777" w:rsidR="00286F7D" w:rsidRDefault="00286F7D" w:rsidP="00286F7D">
            <w:pPr>
              <w:pStyle w:val="Texttabulky"/>
              <w:spacing w:after="0"/>
              <w:jc w:val="right"/>
            </w:pPr>
            <w:r>
              <w:t>1 247</w:t>
            </w:r>
          </w:p>
        </w:tc>
        <w:tc>
          <w:tcPr>
            <w:tcW w:w="578" w:type="pct"/>
            <w:tcBorders>
              <w:top w:val="single" w:sz="6" w:space="0" w:color="auto"/>
              <w:left w:val="single" w:sz="6" w:space="0" w:color="auto"/>
              <w:bottom w:val="single" w:sz="6" w:space="0" w:color="auto"/>
              <w:right w:val="single" w:sz="6" w:space="0" w:color="auto"/>
            </w:tcBorders>
          </w:tcPr>
          <w:p w14:paraId="102EE109" w14:textId="77777777" w:rsidR="00286F7D" w:rsidRDefault="00286F7D" w:rsidP="00286F7D">
            <w:pPr>
              <w:pStyle w:val="Texttabulky"/>
              <w:spacing w:after="0"/>
              <w:jc w:val="right"/>
            </w:pPr>
            <w:r>
              <w:t>47</w:t>
            </w:r>
          </w:p>
        </w:tc>
      </w:tr>
      <w:tr w:rsidR="00286F7D" w14:paraId="46238FD4" w14:textId="77777777" w:rsidTr="00286F7D">
        <w:tc>
          <w:tcPr>
            <w:tcW w:w="238" w:type="pct"/>
            <w:tcBorders>
              <w:top w:val="single" w:sz="6" w:space="0" w:color="auto"/>
              <w:left w:val="single" w:sz="6" w:space="0" w:color="auto"/>
              <w:bottom w:val="single" w:sz="6" w:space="0" w:color="auto"/>
              <w:right w:val="single" w:sz="6" w:space="0" w:color="auto"/>
            </w:tcBorders>
          </w:tcPr>
          <w:p w14:paraId="34311EFC" w14:textId="77777777" w:rsidR="00286F7D" w:rsidRDefault="00286F7D" w:rsidP="00286F7D">
            <w:pPr>
              <w:pStyle w:val="Texttabulky"/>
              <w:spacing w:after="0"/>
              <w:jc w:val="right"/>
            </w:pPr>
            <w:r>
              <w:t>64</w:t>
            </w:r>
          </w:p>
        </w:tc>
        <w:tc>
          <w:tcPr>
            <w:tcW w:w="1137" w:type="pct"/>
            <w:tcBorders>
              <w:top w:val="single" w:sz="6" w:space="0" w:color="auto"/>
              <w:left w:val="single" w:sz="6" w:space="0" w:color="auto"/>
              <w:bottom w:val="single" w:sz="6" w:space="0" w:color="auto"/>
              <w:right w:val="single" w:sz="6" w:space="0" w:color="auto"/>
            </w:tcBorders>
          </w:tcPr>
          <w:p w14:paraId="5B7E6C75" w14:textId="77777777" w:rsidR="00286F7D" w:rsidRDefault="00286F7D" w:rsidP="00286F7D">
            <w:pPr>
              <w:pStyle w:val="Texttabulky"/>
              <w:spacing w:after="0"/>
            </w:pPr>
            <w:r>
              <w:t>Nová Ves</w:t>
            </w:r>
          </w:p>
        </w:tc>
        <w:tc>
          <w:tcPr>
            <w:tcW w:w="478" w:type="pct"/>
            <w:tcBorders>
              <w:top w:val="single" w:sz="6" w:space="0" w:color="auto"/>
              <w:left w:val="single" w:sz="6" w:space="0" w:color="auto"/>
              <w:bottom w:val="single" w:sz="6" w:space="0" w:color="auto"/>
              <w:right w:val="single" w:sz="6" w:space="0" w:color="auto"/>
            </w:tcBorders>
          </w:tcPr>
          <w:p w14:paraId="1C13A637" w14:textId="77777777" w:rsidR="00286F7D" w:rsidRDefault="00286F7D" w:rsidP="00286F7D">
            <w:pPr>
              <w:pStyle w:val="Texttabulky"/>
              <w:spacing w:after="0"/>
              <w:jc w:val="right"/>
            </w:pPr>
            <w:r>
              <w:t>209</w:t>
            </w:r>
          </w:p>
        </w:tc>
        <w:tc>
          <w:tcPr>
            <w:tcW w:w="554" w:type="pct"/>
            <w:tcBorders>
              <w:top w:val="single" w:sz="6" w:space="0" w:color="auto"/>
              <w:left w:val="single" w:sz="6" w:space="0" w:color="auto"/>
              <w:bottom w:val="single" w:sz="6" w:space="0" w:color="auto"/>
              <w:right w:val="single" w:sz="6" w:space="0" w:color="auto"/>
            </w:tcBorders>
          </w:tcPr>
          <w:p w14:paraId="38DC3A10" w14:textId="77777777" w:rsidR="00286F7D" w:rsidRDefault="00286F7D" w:rsidP="00286F7D">
            <w:pPr>
              <w:pStyle w:val="Texttabulky"/>
              <w:spacing w:after="0"/>
              <w:jc w:val="right"/>
            </w:pPr>
            <w:r>
              <w:t>190</w:t>
            </w:r>
          </w:p>
        </w:tc>
        <w:tc>
          <w:tcPr>
            <w:tcW w:w="567" w:type="pct"/>
            <w:tcBorders>
              <w:top w:val="single" w:sz="6" w:space="0" w:color="auto"/>
              <w:left w:val="single" w:sz="6" w:space="0" w:color="auto"/>
              <w:bottom w:val="single" w:sz="6" w:space="0" w:color="auto"/>
              <w:right w:val="single" w:sz="6" w:space="0" w:color="auto"/>
            </w:tcBorders>
          </w:tcPr>
          <w:p w14:paraId="73AC467C"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3318F89C" w14:textId="77777777" w:rsidR="00286F7D" w:rsidRDefault="00286F7D" w:rsidP="00286F7D">
            <w:pPr>
              <w:pStyle w:val="Texttabulky"/>
              <w:spacing w:after="0"/>
              <w:jc w:val="right"/>
            </w:pPr>
            <w:r>
              <w:t>190</w:t>
            </w:r>
          </w:p>
        </w:tc>
        <w:tc>
          <w:tcPr>
            <w:tcW w:w="388" w:type="pct"/>
            <w:gridSpan w:val="2"/>
            <w:tcBorders>
              <w:top w:val="single" w:sz="6" w:space="0" w:color="auto"/>
              <w:left w:val="single" w:sz="6" w:space="0" w:color="auto"/>
              <w:bottom w:val="single" w:sz="6" w:space="0" w:color="auto"/>
              <w:right w:val="single" w:sz="6" w:space="0" w:color="auto"/>
            </w:tcBorders>
          </w:tcPr>
          <w:p w14:paraId="6006525C"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6D927D85"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27E638F3" w14:textId="77777777" w:rsidR="00286F7D" w:rsidRDefault="00286F7D" w:rsidP="00286F7D">
            <w:pPr>
              <w:pStyle w:val="Texttabulky"/>
              <w:spacing w:after="0"/>
              <w:jc w:val="right"/>
            </w:pPr>
            <w:r>
              <w:t>-190</w:t>
            </w:r>
          </w:p>
        </w:tc>
      </w:tr>
      <w:tr w:rsidR="00286F7D" w14:paraId="3DC00B0A" w14:textId="77777777" w:rsidTr="00286F7D">
        <w:tc>
          <w:tcPr>
            <w:tcW w:w="238" w:type="pct"/>
            <w:tcBorders>
              <w:top w:val="single" w:sz="6" w:space="0" w:color="auto"/>
              <w:left w:val="single" w:sz="6" w:space="0" w:color="auto"/>
              <w:bottom w:val="single" w:sz="6" w:space="0" w:color="auto"/>
              <w:right w:val="single" w:sz="6" w:space="0" w:color="auto"/>
            </w:tcBorders>
          </w:tcPr>
          <w:p w14:paraId="5D5191C7" w14:textId="77777777" w:rsidR="00286F7D" w:rsidRDefault="00286F7D" w:rsidP="00286F7D">
            <w:pPr>
              <w:pStyle w:val="Texttabulky"/>
              <w:spacing w:after="0"/>
            </w:pPr>
            <w:r>
              <w:rPr>
                <w:b/>
                <w:bCs/>
              </w:rPr>
              <w:t xml:space="preserve"> IV</w:t>
            </w:r>
          </w:p>
        </w:tc>
        <w:tc>
          <w:tcPr>
            <w:tcW w:w="1137" w:type="pct"/>
            <w:tcBorders>
              <w:top w:val="single" w:sz="6" w:space="0" w:color="auto"/>
              <w:left w:val="single" w:sz="6" w:space="0" w:color="auto"/>
              <w:bottom w:val="single" w:sz="6" w:space="0" w:color="auto"/>
              <w:right w:val="single" w:sz="6" w:space="0" w:color="auto"/>
            </w:tcBorders>
          </w:tcPr>
          <w:p w14:paraId="1D52705D" w14:textId="77777777" w:rsidR="00286F7D" w:rsidRDefault="00286F7D" w:rsidP="00286F7D">
            <w:pPr>
              <w:pStyle w:val="Texttabulky"/>
              <w:spacing w:after="0"/>
            </w:pPr>
            <w:r>
              <w:rPr>
                <w:b/>
                <w:bCs/>
                <w:caps/>
              </w:rPr>
              <w:t>sektor celkem</w:t>
            </w:r>
          </w:p>
        </w:tc>
        <w:tc>
          <w:tcPr>
            <w:tcW w:w="478" w:type="pct"/>
            <w:tcBorders>
              <w:top w:val="single" w:sz="6" w:space="0" w:color="auto"/>
              <w:left w:val="single" w:sz="6" w:space="0" w:color="auto"/>
              <w:bottom w:val="single" w:sz="6" w:space="0" w:color="auto"/>
              <w:right w:val="single" w:sz="6" w:space="0" w:color="auto"/>
            </w:tcBorders>
          </w:tcPr>
          <w:p w14:paraId="7EAD56EE" w14:textId="77777777" w:rsidR="00286F7D" w:rsidRDefault="00286F7D" w:rsidP="00286F7D">
            <w:pPr>
              <w:pStyle w:val="Texttabulky"/>
              <w:spacing w:after="0"/>
              <w:jc w:val="right"/>
            </w:pPr>
            <w:r>
              <w:rPr>
                <w:b/>
                <w:bCs/>
              </w:rPr>
              <w:t>8 280</w:t>
            </w:r>
          </w:p>
        </w:tc>
        <w:tc>
          <w:tcPr>
            <w:tcW w:w="554" w:type="pct"/>
            <w:tcBorders>
              <w:top w:val="single" w:sz="6" w:space="0" w:color="auto"/>
              <w:left w:val="single" w:sz="6" w:space="0" w:color="auto"/>
              <w:bottom w:val="single" w:sz="6" w:space="0" w:color="auto"/>
              <w:right w:val="single" w:sz="6" w:space="0" w:color="auto"/>
            </w:tcBorders>
          </w:tcPr>
          <w:p w14:paraId="5AECDCAC" w14:textId="77777777" w:rsidR="00286F7D" w:rsidRDefault="00286F7D" w:rsidP="00286F7D">
            <w:pPr>
              <w:pStyle w:val="Texttabulky"/>
              <w:spacing w:after="0"/>
              <w:jc w:val="right"/>
            </w:pPr>
            <w:r>
              <w:rPr>
                <w:b/>
                <w:bCs/>
              </w:rPr>
              <w:t>7 580</w:t>
            </w:r>
          </w:p>
        </w:tc>
        <w:tc>
          <w:tcPr>
            <w:tcW w:w="567" w:type="pct"/>
            <w:tcBorders>
              <w:top w:val="single" w:sz="6" w:space="0" w:color="auto"/>
              <w:left w:val="single" w:sz="6" w:space="0" w:color="auto"/>
              <w:bottom w:val="single" w:sz="6" w:space="0" w:color="auto"/>
              <w:right w:val="single" w:sz="6" w:space="0" w:color="auto"/>
            </w:tcBorders>
          </w:tcPr>
          <w:p w14:paraId="4BDAA832" w14:textId="77777777" w:rsidR="00286F7D" w:rsidRDefault="00286F7D" w:rsidP="00286F7D">
            <w:pPr>
              <w:pStyle w:val="Texttabulky"/>
              <w:spacing w:after="0"/>
              <w:jc w:val="right"/>
            </w:pPr>
            <w:r>
              <w:rPr>
                <w:b/>
                <w:bCs/>
              </w:rPr>
              <w:t>505</w:t>
            </w:r>
          </w:p>
        </w:tc>
        <w:tc>
          <w:tcPr>
            <w:tcW w:w="480" w:type="pct"/>
            <w:tcBorders>
              <w:top w:val="single" w:sz="6" w:space="0" w:color="auto"/>
              <w:left w:val="single" w:sz="6" w:space="0" w:color="auto"/>
              <w:bottom w:val="single" w:sz="6" w:space="0" w:color="auto"/>
              <w:right w:val="single" w:sz="6" w:space="0" w:color="auto"/>
            </w:tcBorders>
          </w:tcPr>
          <w:p w14:paraId="1E736DB8" w14:textId="77777777" w:rsidR="00286F7D" w:rsidRDefault="00286F7D" w:rsidP="00286F7D">
            <w:pPr>
              <w:pStyle w:val="Texttabulky"/>
              <w:spacing w:after="0"/>
              <w:jc w:val="right"/>
            </w:pPr>
            <w:r>
              <w:rPr>
                <w:b/>
                <w:bCs/>
              </w:rPr>
              <w:t>8 085</w:t>
            </w:r>
          </w:p>
        </w:tc>
        <w:tc>
          <w:tcPr>
            <w:tcW w:w="388" w:type="pct"/>
            <w:gridSpan w:val="2"/>
            <w:tcBorders>
              <w:top w:val="single" w:sz="6" w:space="0" w:color="auto"/>
              <w:left w:val="single" w:sz="6" w:space="0" w:color="auto"/>
              <w:bottom w:val="single" w:sz="6" w:space="0" w:color="auto"/>
              <w:right w:val="single" w:sz="6" w:space="0" w:color="auto"/>
            </w:tcBorders>
          </w:tcPr>
          <w:p w14:paraId="4D44E05E" w14:textId="77777777" w:rsidR="00286F7D" w:rsidRDefault="00286F7D" w:rsidP="00286F7D">
            <w:pPr>
              <w:pStyle w:val="Texttabulky"/>
              <w:spacing w:after="0"/>
              <w:jc w:val="right"/>
            </w:pPr>
            <w:r>
              <w:rPr>
                <w:b/>
                <w:bCs/>
              </w:rPr>
              <w:t>217</w:t>
            </w:r>
          </w:p>
        </w:tc>
        <w:tc>
          <w:tcPr>
            <w:tcW w:w="578" w:type="pct"/>
            <w:tcBorders>
              <w:top w:val="single" w:sz="6" w:space="0" w:color="auto"/>
              <w:left w:val="single" w:sz="6" w:space="0" w:color="auto"/>
              <w:bottom w:val="single" w:sz="6" w:space="0" w:color="auto"/>
              <w:right w:val="single" w:sz="6" w:space="0" w:color="auto"/>
            </w:tcBorders>
          </w:tcPr>
          <w:p w14:paraId="66605CA6" w14:textId="77777777" w:rsidR="00286F7D" w:rsidRDefault="00286F7D" w:rsidP="00286F7D">
            <w:pPr>
              <w:pStyle w:val="Texttabulky"/>
              <w:spacing w:after="0"/>
              <w:jc w:val="right"/>
            </w:pPr>
            <w:r>
              <w:rPr>
                <w:b/>
                <w:bCs/>
              </w:rPr>
              <w:t>10 000</w:t>
            </w:r>
          </w:p>
        </w:tc>
        <w:tc>
          <w:tcPr>
            <w:tcW w:w="578" w:type="pct"/>
            <w:tcBorders>
              <w:top w:val="single" w:sz="6" w:space="0" w:color="auto"/>
              <w:left w:val="single" w:sz="6" w:space="0" w:color="auto"/>
              <w:bottom w:val="single" w:sz="6" w:space="0" w:color="auto"/>
              <w:right w:val="single" w:sz="6" w:space="0" w:color="auto"/>
            </w:tcBorders>
          </w:tcPr>
          <w:p w14:paraId="19CF38BB" w14:textId="77777777" w:rsidR="00286F7D" w:rsidRDefault="00286F7D" w:rsidP="00286F7D">
            <w:pPr>
              <w:pStyle w:val="Texttabulky"/>
              <w:spacing w:after="0"/>
              <w:jc w:val="right"/>
            </w:pPr>
            <w:r>
              <w:rPr>
                <w:b/>
                <w:bCs/>
              </w:rPr>
              <w:t>+1 915</w:t>
            </w:r>
          </w:p>
        </w:tc>
      </w:tr>
      <w:tr w:rsidR="00286F7D" w14:paraId="623C8C61" w14:textId="77777777" w:rsidTr="00286F7D">
        <w:tc>
          <w:tcPr>
            <w:tcW w:w="238" w:type="pct"/>
            <w:tcBorders>
              <w:top w:val="single" w:sz="6" w:space="0" w:color="auto"/>
              <w:left w:val="single" w:sz="6" w:space="0" w:color="auto"/>
              <w:bottom w:val="single" w:sz="6" w:space="0" w:color="auto"/>
              <w:right w:val="single" w:sz="6" w:space="0" w:color="auto"/>
            </w:tcBorders>
          </w:tcPr>
          <w:p w14:paraId="0B7465D0" w14:textId="77777777" w:rsidR="00286F7D" w:rsidRDefault="00286F7D" w:rsidP="00286F7D">
            <w:pPr>
              <w:pStyle w:val="Texttabulky"/>
              <w:spacing w:after="0"/>
              <w:jc w:val="right"/>
            </w:pPr>
            <w:r>
              <w:t>2</w:t>
            </w:r>
          </w:p>
        </w:tc>
        <w:tc>
          <w:tcPr>
            <w:tcW w:w="1137" w:type="pct"/>
            <w:tcBorders>
              <w:top w:val="single" w:sz="6" w:space="0" w:color="auto"/>
              <w:left w:val="single" w:sz="6" w:space="0" w:color="auto"/>
              <w:bottom w:val="single" w:sz="6" w:space="0" w:color="auto"/>
              <w:right w:val="single" w:sz="6" w:space="0" w:color="auto"/>
            </w:tcBorders>
          </w:tcPr>
          <w:p w14:paraId="0B72949D" w14:textId="77777777" w:rsidR="00286F7D" w:rsidRDefault="00286F7D" w:rsidP="00286F7D">
            <w:pPr>
              <w:pStyle w:val="Texttabulky"/>
              <w:spacing w:after="0"/>
            </w:pPr>
            <w:r>
              <w:t>Přístav</w:t>
            </w:r>
          </w:p>
        </w:tc>
        <w:tc>
          <w:tcPr>
            <w:tcW w:w="478" w:type="pct"/>
            <w:tcBorders>
              <w:top w:val="single" w:sz="6" w:space="0" w:color="auto"/>
              <w:left w:val="single" w:sz="6" w:space="0" w:color="auto"/>
              <w:bottom w:val="single" w:sz="6" w:space="0" w:color="auto"/>
              <w:right w:val="single" w:sz="6" w:space="0" w:color="auto"/>
            </w:tcBorders>
          </w:tcPr>
          <w:p w14:paraId="45BBF96A"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575C420E"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095EF82B"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1B633E60" w14:textId="77777777" w:rsidR="00286F7D" w:rsidRDefault="00286F7D" w:rsidP="00286F7D">
            <w:pPr>
              <w:pStyle w:val="Texttabulky"/>
              <w:spacing w:after="0"/>
              <w:jc w:val="right"/>
            </w:pPr>
            <w:r>
              <w:t>0</w:t>
            </w:r>
          </w:p>
        </w:tc>
        <w:tc>
          <w:tcPr>
            <w:tcW w:w="388" w:type="pct"/>
            <w:gridSpan w:val="2"/>
            <w:tcBorders>
              <w:top w:val="single" w:sz="6" w:space="0" w:color="auto"/>
              <w:left w:val="single" w:sz="6" w:space="0" w:color="auto"/>
              <w:bottom w:val="single" w:sz="6" w:space="0" w:color="auto"/>
              <w:right w:val="single" w:sz="6" w:space="0" w:color="auto"/>
            </w:tcBorders>
          </w:tcPr>
          <w:p w14:paraId="495C978E"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002F02A6"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2685488A" w14:textId="77777777" w:rsidR="00286F7D" w:rsidRDefault="00286F7D" w:rsidP="00286F7D">
            <w:pPr>
              <w:pStyle w:val="Texttabulky"/>
              <w:spacing w:after="0"/>
              <w:jc w:val="right"/>
            </w:pPr>
            <w:r>
              <w:t>0</w:t>
            </w:r>
          </w:p>
        </w:tc>
      </w:tr>
      <w:tr w:rsidR="00286F7D" w14:paraId="65FC0853" w14:textId="77777777" w:rsidTr="00286F7D">
        <w:tc>
          <w:tcPr>
            <w:tcW w:w="238" w:type="pct"/>
            <w:tcBorders>
              <w:top w:val="single" w:sz="6" w:space="0" w:color="auto"/>
              <w:left w:val="single" w:sz="6" w:space="0" w:color="auto"/>
              <w:bottom w:val="single" w:sz="6" w:space="0" w:color="auto"/>
              <w:right w:val="single" w:sz="6" w:space="0" w:color="auto"/>
            </w:tcBorders>
          </w:tcPr>
          <w:p w14:paraId="47E260F2" w14:textId="77777777" w:rsidR="00286F7D" w:rsidRDefault="00286F7D" w:rsidP="00286F7D">
            <w:pPr>
              <w:pStyle w:val="Texttabulky"/>
              <w:spacing w:after="0"/>
              <w:jc w:val="right"/>
            </w:pPr>
            <w:r>
              <w:t>3</w:t>
            </w:r>
          </w:p>
        </w:tc>
        <w:tc>
          <w:tcPr>
            <w:tcW w:w="1137" w:type="pct"/>
            <w:tcBorders>
              <w:top w:val="single" w:sz="6" w:space="0" w:color="auto"/>
              <w:left w:val="single" w:sz="6" w:space="0" w:color="auto"/>
              <w:bottom w:val="single" w:sz="6" w:space="0" w:color="auto"/>
              <w:right w:val="single" w:sz="6" w:space="0" w:color="auto"/>
            </w:tcBorders>
          </w:tcPr>
          <w:p w14:paraId="52ADF97B" w14:textId="77777777" w:rsidR="00286F7D" w:rsidRDefault="00286F7D" w:rsidP="00286F7D">
            <w:pPr>
              <w:pStyle w:val="Texttabulky"/>
              <w:spacing w:after="0"/>
            </w:pPr>
            <w:r>
              <w:t>Děčínská výšina0</w:t>
            </w:r>
          </w:p>
        </w:tc>
        <w:tc>
          <w:tcPr>
            <w:tcW w:w="478" w:type="pct"/>
            <w:tcBorders>
              <w:top w:val="single" w:sz="6" w:space="0" w:color="auto"/>
              <w:left w:val="single" w:sz="6" w:space="0" w:color="auto"/>
              <w:bottom w:val="single" w:sz="6" w:space="0" w:color="auto"/>
              <w:right w:val="single" w:sz="6" w:space="0" w:color="auto"/>
            </w:tcBorders>
          </w:tcPr>
          <w:p w14:paraId="7748CE27"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3F19B2A4"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57E71CD0"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58492C3B" w14:textId="77777777" w:rsidR="00286F7D" w:rsidRDefault="00286F7D" w:rsidP="00286F7D">
            <w:pPr>
              <w:pStyle w:val="Texttabulky"/>
              <w:spacing w:after="0"/>
              <w:jc w:val="right"/>
            </w:pPr>
            <w:r>
              <w:t>0</w:t>
            </w:r>
          </w:p>
        </w:tc>
        <w:tc>
          <w:tcPr>
            <w:tcW w:w="388" w:type="pct"/>
            <w:gridSpan w:val="2"/>
            <w:tcBorders>
              <w:top w:val="single" w:sz="6" w:space="0" w:color="auto"/>
              <w:left w:val="single" w:sz="6" w:space="0" w:color="auto"/>
              <w:bottom w:val="single" w:sz="6" w:space="0" w:color="auto"/>
              <w:right w:val="single" w:sz="6" w:space="0" w:color="auto"/>
            </w:tcBorders>
          </w:tcPr>
          <w:p w14:paraId="0A32B704"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56A3D74A"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66870C9E" w14:textId="77777777" w:rsidR="00286F7D" w:rsidRDefault="00286F7D" w:rsidP="00286F7D">
            <w:pPr>
              <w:pStyle w:val="Texttabulky"/>
              <w:spacing w:after="0"/>
              <w:jc w:val="right"/>
            </w:pPr>
            <w:r>
              <w:t>0</w:t>
            </w:r>
          </w:p>
        </w:tc>
      </w:tr>
      <w:tr w:rsidR="00286F7D" w14:paraId="0B70C9A9" w14:textId="77777777" w:rsidTr="00286F7D">
        <w:tc>
          <w:tcPr>
            <w:tcW w:w="238" w:type="pct"/>
            <w:tcBorders>
              <w:top w:val="single" w:sz="6" w:space="0" w:color="auto"/>
              <w:left w:val="single" w:sz="6" w:space="0" w:color="auto"/>
              <w:bottom w:val="single" w:sz="6" w:space="0" w:color="auto"/>
              <w:right w:val="single" w:sz="6" w:space="0" w:color="auto"/>
            </w:tcBorders>
          </w:tcPr>
          <w:p w14:paraId="10D84CD2" w14:textId="77777777" w:rsidR="00286F7D" w:rsidRDefault="00286F7D" w:rsidP="00286F7D">
            <w:pPr>
              <w:pStyle w:val="Texttabulky"/>
              <w:spacing w:after="0"/>
              <w:jc w:val="right"/>
            </w:pPr>
            <w:r>
              <w:t>39</w:t>
            </w:r>
          </w:p>
        </w:tc>
        <w:tc>
          <w:tcPr>
            <w:tcW w:w="1137" w:type="pct"/>
            <w:tcBorders>
              <w:top w:val="single" w:sz="6" w:space="0" w:color="auto"/>
              <w:left w:val="single" w:sz="6" w:space="0" w:color="auto"/>
              <w:bottom w:val="single" w:sz="6" w:space="0" w:color="auto"/>
              <w:right w:val="single" w:sz="6" w:space="0" w:color="auto"/>
            </w:tcBorders>
          </w:tcPr>
          <w:p w14:paraId="5507C0A5" w14:textId="77777777" w:rsidR="00286F7D" w:rsidRDefault="00286F7D" w:rsidP="00286F7D">
            <w:pPr>
              <w:pStyle w:val="Texttabulky"/>
              <w:spacing w:after="0"/>
            </w:pPr>
            <w:r>
              <w:t>Prostřední Žleb</w:t>
            </w:r>
          </w:p>
        </w:tc>
        <w:tc>
          <w:tcPr>
            <w:tcW w:w="478" w:type="pct"/>
            <w:tcBorders>
              <w:top w:val="single" w:sz="6" w:space="0" w:color="auto"/>
              <w:left w:val="single" w:sz="6" w:space="0" w:color="auto"/>
              <w:bottom w:val="single" w:sz="6" w:space="0" w:color="auto"/>
              <w:right w:val="single" w:sz="6" w:space="0" w:color="auto"/>
            </w:tcBorders>
          </w:tcPr>
          <w:p w14:paraId="2576682A" w14:textId="77777777" w:rsidR="00286F7D" w:rsidRDefault="00286F7D" w:rsidP="00286F7D">
            <w:pPr>
              <w:pStyle w:val="Texttabulky"/>
              <w:spacing w:after="0"/>
              <w:jc w:val="right"/>
            </w:pPr>
            <w:r>
              <w:t>238</w:t>
            </w:r>
          </w:p>
        </w:tc>
        <w:tc>
          <w:tcPr>
            <w:tcW w:w="554" w:type="pct"/>
            <w:tcBorders>
              <w:top w:val="single" w:sz="6" w:space="0" w:color="auto"/>
              <w:left w:val="single" w:sz="6" w:space="0" w:color="auto"/>
              <w:bottom w:val="single" w:sz="6" w:space="0" w:color="auto"/>
              <w:right w:val="single" w:sz="6" w:space="0" w:color="auto"/>
            </w:tcBorders>
          </w:tcPr>
          <w:p w14:paraId="4A86CE27" w14:textId="77777777" w:rsidR="00286F7D" w:rsidRDefault="00286F7D" w:rsidP="00286F7D">
            <w:pPr>
              <w:pStyle w:val="Texttabulky"/>
              <w:spacing w:after="0"/>
              <w:jc w:val="right"/>
            </w:pPr>
            <w:r>
              <w:t>250</w:t>
            </w:r>
          </w:p>
        </w:tc>
        <w:tc>
          <w:tcPr>
            <w:tcW w:w="567" w:type="pct"/>
            <w:tcBorders>
              <w:top w:val="single" w:sz="6" w:space="0" w:color="auto"/>
              <w:left w:val="single" w:sz="6" w:space="0" w:color="auto"/>
              <w:bottom w:val="single" w:sz="6" w:space="0" w:color="auto"/>
              <w:right w:val="single" w:sz="6" w:space="0" w:color="auto"/>
            </w:tcBorders>
          </w:tcPr>
          <w:p w14:paraId="309F7F2B"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71DE55A8" w14:textId="77777777" w:rsidR="00286F7D" w:rsidRDefault="00286F7D" w:rsidP="00286F7D">
            <w:pPr>
              <w:pStyle w:val="Texttabulky"/>
              <w:spacing w:after="0"/>
              <w:jc w:val="right"/>
            </w:pPr>
            <w:r>
              <w:t>250</w:t>
            </w:r>
          </w:p>
        </w:tc>
        <w:tc>
          <w:tcPr>
            <w:tcW w:w="388" w:type="pct"/>
            <w:gridSpan w:val="2"/>
            <w:tcBorders>
              <w:top w:val="single" w:sz="6" w:space="0" w:color="auto"/>
              <w:left w:val="single" w:sz="6" w:space="0" w:color="auto"/>
              <w:bottom w:val="single" w:sz="6" w:space="0" w:color="auto"/>
              <w:right w:val="single" w:sz="6" w:space="0" w:color="auto"/>
            </w:tcBorders>
          </w:tcPr>
          <w:p w14:paraId="79890158" w14:textId="77777777" w:rsidR="00286F7D" w:rsidRDefault="00286F7D" w:rsidP="00286F7D">
            <w:pPr>
              <w:pStyle w:val="Texttabulky"/>
              <w:spacing w:after="0"/>
              <w:jc w:val="right"/>
            </w:pPr>
            <w:r>
              <w:t>18</w:t>
            </w:r>
          </w:p>
        </w:tc>
        <w:tc>
          <w:tcPr>
            <w:tcW w:w="578" w:type="pct"/>
            <w:tcBorders>
              <w:top w:val="single" w:sz="6" w:space="0" w:color="auto"/>
              <w:left w:val="single" w:sz="6" w:space="0" w:color="auto"/>
              <w:bottom w:val="single" w:sz="6" w:space="0" w:color="auto"/>
              <w:right w:val="single" w:sz="6" w:space="0" w:color="auto"/>
            </w:tcBorders>
          </w:tcPr>
          <w:p w14:paraId="18057BCA" w14:textId="77777777" w:rsidR="00286F7D" w:rsidRDefault="00286F7D" w:rsidP="00286F7D">
            <w:pPr>
              <w:pStyle w:val="Texttabulky"/>
              <w:spacing w:after="0"/>
              <w:jc w:val="right"/>
            </w:pPr>
            <w:r>
              <w:t>534</w:t>
            </w:r>
          </w:p>
        </w:tc>
        <w:tc>
          <w:tcPr>
            <w:tcW w:w="578" w:type="pct"/>
            <w:tcBorders>
              <w:top w:val="single" w:sz="6" w:space="0" w:color="auto"/>
              <w:left w:val="single" w:sz="6" w:space="0" w:color="auto"/>
              <w:bottom w:val="single" w:sz="6" w:space="0" w:color="auto"/>
              <w:right w:val="single" w:sz="6" w:space="0" w:color="auto"/>
            </w:tcBorders>
          </w:tcPr>
          <w:p w14:paraId="256AC0BD" w14:textId="77777777" w:rsidR="00286F7D" w:rsidRDefault="00286F7D" w:rsidP="00286F7D">
            <w:pPr>
              <w:pStyle w:val="Texttabulky"/>
              <w:spacing w:after="0"/>
              <w:jc w:val="right"/>
            </w:pPr>
            <w:r>
              <w:t>284</w:t>
            </w:r>
          </w:p>
        </w:tc>
      </w:tr>
      <w:tr w:rsidR="00286F7D" w14:paraId="0593F71E" w14:textId="77777777" w:rsidTr="00286F7D">
        <w:tc>
          <w:tcPr>
            <w:tcW w:w="238" w:type="pct"/>
            <w:tcBorders>
              <w:top w:val="single" w:sz="6" w:space="0" w:color="auto"/>
              <w:left w:val="single" w:sz="6" w:space="0" w:color="auto"/>
              <w:bottom w:val="single" w:sz="6" w:space="0" w:color="auto"/>
              <w:right w:val="single" w:sz="6" w:space="0" w:color="auto"/>
            </w:tcBorders>
          </w:tcPr>
          <w:p w14:paraId="00F51850" w14:textId="77777777" w:rsidR="00286F7D" w:rsidRDefault="00286F7D" w:rsidP="00286F7D">
            <w:pPr>
              <w:pStyle w:val="Texttabulky"/>
              <w:spacing w:after="0"/>
              <w:jc w:val="right"/>
            </w:pPr>
            <w:r>
              <w:t>40</w:t>
            </w:r>
          </w:p>
        </w:tc>
        <w:tc>
          <w:tcPr>
            <w:tcW w:w="1137" w:type="pct"/>
            <w:tcBorders>
              <w:top w:val="single" w:sz="6" w:space="0" w:color="auto"/>
              <w:left w:val="single" w:sz="6" w:space="0" w:color="auto"/>
              <w:bottom w:val="single" w:sz="6" w:space="0" w:color="auto"/>
              <w:right w:val="single" w:sz="6" w:space="0" w:color="auto"/>
            </w:tcBorders>
          </w:tcPr>
          <w:p w14:paraId="55B26637" w14:textId="77777777" w:rsidR="00286F7D" w:rsidRDefault="00286F7D" w:rsidP="00286F7D">
            <w:pPr>
              <w:pStyle w:val="Texttabulky"/>
              <w:spacing w:after="0"/>
            </w:pPr>
            <w:r>
              <w:t>Loubí</w:t>
            </w:r>
          </w:p>
        </w:tc>
        <w:tc>
          <w:tcPr>
            <w:tcW w:w="478" w:type="pct"/>
            <w:tcBorders>
              <w:top w:val="single" w:sz="6" w:space="0" w:color="auto"/>
              <w:left w:val="single" w:sz="6" w:space="0" w:color="auto"/>
              <w:bottom w:val="single" w:sz="6" w:space="0" w:color="auto"/>
              <w:right w:val="single" w:sz="6" w:space="0" w:color="auto"/>
            </w:tcBorders>
          </w:tcPr>
          <w:p w14:paraId="38082BD1" w14:textId="77777777" w:rsidR="00286F7D" w:rsidRDefault="00286F7D" w:rsidP="00286F7D">
            <w:pPr>
              <w:pStyle w:val="Texttabulky"/>
              <w:spacing w:after="0"/>
              <w:jc w:val="right"/>
            </w:pPr>
            <w:r>
              <w:t>214</w:t>
            </w:r>
          </w:p>
        </w:tc>
        <w:tc>
          <w:tcPr>
            <w:tcW w:w="554" w:type="pct"/>
            <w:tcBorders>
              <w:top w:val="single" w:sz="6" w:space="0" w:color="auto"/>
              <w:left w:val="single" w:sz="6" w:space="0" w:color="auto"/>
              <w:bottom w:val="single" w:sz="6" w:space="0" w:color="auto"/>
              <w:right w:val="single" w:sz="6" w:space="0" w:color="auto"/>
            </w:tcBorders>
          </w:tcPr>
          <w:p w14:paraId="2C85BC15" w14:textId="77777777" w:rsidR="00286F7D" w:rsidRDefault="00286F7D" w:rsidP="00286F7D">
            <w:pPr>
              <w:pStyle w:val="Texttabulky"/>
              <w:spacing w:after="0"/>
              <w:jc w:val="right"/>
            </w:pPr>
            <w:r>
              <w:t>200</w:t>
            </w:r>
          </w:p>
        </w:tc>
        <w:tc>
          <w:tcPr>
            <w:tcW w:w="567" w:type="pct"/>
            <w:tcBorders>
              <w:top w:val="single" w:sz="6" w:space="0" w:color="auto"/>
              <w:left w:val="single" w:sz="6" w:space="0" w:color="auto"/>
              <w:bottom w:val="single" w:sz="6" w:space="0" w:color="auto"/>
              <w:right w:val="single" w:sz="6" w:space="0" w:color="auto"/>
            </w:tcBorders>
          </w:tcPr>
          <w:p w14:paraId="218D2C3A"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3FE66232" w14:textId="77777777" w:rsidR="00286F7D" w:rsidRDefault="00286F7D" w:rsidP="00286F7D">
            <w:pPr>
              <w:pStyle w:val="Texttabulky"/>
              <w:spacing w:after="0"/>
              <w:jc w:val="right"/>
            </w:pPr>
            <w:r>
              <w:t>200</w:t>
            </w:r>
          </w:p>
        </w:tc>
        <w:tc>
          <w:tcPr>
            <w:tcW w:w="388" w:type="pct"/>
            <w:gridSpan w:val="2"/>
            <w:tcBorders>
              <w:top w:val="single" w:sz="6" w:space="0" w:color="auto"/>
              <w:left w:val="single" w:sz="6" w:space="0" w:color="auto"/>
              <w:bottom w:val="single" w:sz="6" w:space="0" w:color="auto"/>
              <w:right w:val="single" w:sz="6" w:space="0" w:color="auto"/>
            </w:tcBorders>
          </w:tcPr>
          <w:p w14:paraId="0451E9B1" w14:textId="77777777" w:rsidR="00286F7D" w:rsidRDefault="00286F7D" w:rsidP="00286F7D">
            <w:pPr>
              <w:pStyle w:val="Texttabulky"/>
              <w:spacing w:after="0"/>
              <w:jc w:val="right"/>
            </w:pPr>
            <w:r>
              <w:t>2</w:t>
            </w:r>
          </w:p>
        </w:tc>
        <w:tc>
          <w:tcPr>
            <w:tcW w:w="578" w:type="pct"/>
            <w:tcBorders>
              <w:top w:val="single" w:sz="6" w:space="0" w:color="auto"/>
              <w:left w:val="single" w:sz="6" w:space="0" w:color="auto"/>
              <w:bottom w:val="single" w:sz="6" w:space="0" w:color="auto"/>
              <w:right w:val="single" w:sz="6" w:space="0" w:color="auto"/>
            </w:tcBorders>
          </w:tcPr>
          <w:p w14:paraId="557ED064" w14:textId="77777777" w:rsidR="00286F7D" w:rsidRDefault="00286F7D" w:rsidP="00286F7D">
            <w:pPr>
              <w:pStyle w:val="Texttabulky"/>
              <w:spacing w:after="0"/>
              <w:jc w:val="right"/>
            </w:pPr>
            <w:r>
              <w:t>57</w:t>
            </w:r>
          </w:p>
        </w:tc>
        <w:tc>
          <w:tcPr>
            <w:tcW w:w="578" w:type="pct"/>
            <w:tcBorders>
              <w:top w:val="single" w:sz="6" w:space="0" w:color="auto"/>
              <w:left w:val="single" w:sz="6" w:space="0" w:color="auto"/>
              <w:bottom w:val="single" w:sz="6" w:space="0" w:color="auto"/>
              <w:right w:val="single" w:sz="6" w:space="0" w:color="auto"/>
            </w:tcBorders>
          </w:tcPr>
          <w:p w14:paraId="7D0D62CB" w14:textId="77777777" w:rsidR="00286F7D" w:rsidRDefault="00286F7D" w:rsidP="00286F7D">
            <w:pPr>
              <w:pStyle w:val="Texttabulky"/>
              <w:spacing w:after="0"/>
              <w:jc w:val="right"/>
            </w:pPr>
            <w:r>
              <w:t>-143</w:t>
            </w:r>
          </w:p>
        </w:tc>
      </w:tr>
      <w:tr w:rsidR="00286F7D" w14:paraId="1F81A30A" w14:textId="77777777" w:rsidTr="00286F7D">
        <w:tc>
          <w:tcPr>
            <w:tcW w:w="238" w:type="pct"/>
            <w:tcBorders>
              <w:top w:val="single" w:sz="6" w:space="0" w:color="auto"/>
              <w:left w:val="single" w:sz="6" w:space="0" w:color="auto"/>
              <w:bottom w:val="single" w:sz="6" w:space="0" w:color="auto"/>
              <w:right w:val="single" w:sz="6" w:space="0" w:color="auto"/>
            </w:tcBorders>
          </w:tcPr>
          <w:p w14:paraId="187BE6A2" w14:textId="77777777" w:rsidR="00286F7D" w:rsidRDefault="00286F7D" w:rsidP="00286F7D">
            <w:pPr>
              <w:pStyle w:val="Texttabulky"/>
              <w:spacing w:after="0"/>
              <w:jc w:val="right"/>
            </w:pPr>
            <w:r>
              <w:t>65</w:t>
            </w:r>
          </w:p>
        </w:tc>
        <w:tc>
          <w:tcPr>
            <w:tcW w:w="1137" w:type="pct"/>
            <w:tcBorders>
              <w:top w:val="single" w:sz="6" w:space="0" w:color="auto"/>
              <w:left w:val="single" w:sz="6" w:space="0" w:color="auto"/>
              <w:bottom w:val="single" w:sz="6" w:space="0" w:color="auto"/>
              <w:right w:val="single" w:sz="6" w:space="0" w:color="auto"/>
            </w:tcBorders>
          </w:tcPr>
          <w:p w14:paraId="644B992F" w14:textId="77777777" w:rsidR="00286F7D" w:rsidRDefault="00286F7D" w:rsidP="00286F7D">
            <w:pPr>
              <w:pStyle w:val="Texttabulky"/>
              <w:spacing w:after="0"/>
            </w:pPr>
            <w:r>
              <w:t>Horní Žleb</w:t>
            </w:r>
          </w:p>
        </w:tc>
        <w:tc>
          <w:tcPr>
            <w:tcW w:w="478" w:type="pct"/>
            <w:tcBorders>
              <w:top w:val="single" w:sz="6" w:space="0" w:color="auto"/>
              <w:left w:val="single" w:sz="6" w:space="0" w:color="auto"/>
              <w:bottom w:val="single" w:sz="6" w:space="0" w:color="auto"/>
              <w:right w:val="single" w:sz="6" w:space="0" w:color="auto"/>
            </w:tcBorders>
          </w:tcPr>
          <w:p w14:paraId="43409317" w14:textId="77777777" w:rsidR="00286F7D" w:rsidRDefault="00286F7D" w:rsidP="00286F7D">
            <w:pPr>
              <w:pStyle w:val="Texttabulky"/>
              <w:spacing w:after="0"/>
              <w:jc w:val="right"/>
            </w:pPr>
            <w:r>
              <w:t>375</w:t>
            </w:r>
          </w:p>
        </w:tc>
        <w:tc>
          <w:tcPr>
            <w:tcW w:w="554" w:type="pct"/>
            <w:tcBorders>
              <w:top w:val="single" w:sz="6" w:space="0" w:color="auto"/>
              <w:left w:val="single" w:sz="6" w:space="0" w:color="auto"/>
              <w:bottom w:val="single" w:sz="6" w:space="0" w:color="auto"/>
              <w:right w:val="single" w:sz="6" w:space="0" w:color="auto"/>
            </w:tcBorders>
          </w:tcPr>
          <w:p w14:paraId="1F57AC3A" w14:textId="77777777" w:rsidR="00286F7D" w:rsidRDefault="00286F7D" w:rsidP="00286F7D">
            <w:pPr>
              <w:pStyle w:val="Texttabulky"/>
              <w:spacing w:after="0"/>
              <w:jc w:val="right"/>
            </w:pPr>
            <w:r>
              <w:t>350</w:t>
            </w:r>
          </w:p>
        </w:tc>
        <w:tc>
          <w:tcPr>
            <w:tcW w:w="567" w:type="pct"/>
            <w:tcBorders>
              <w:top w:val="single" w:sz="6" w:space="0" w:color="auto"/>
              <w:left w:val="single" w:sz="6" w:space="0" w:color="auto"/>
              <w:bottom w:val="single" w:sz="6" w:space="0" w:color="auto"/>
              <w:right w:val="single" w:sz="6" w:space="0" w:color="auto"/>
            </w:tcBorders>
          </w:tcPr>
          <w:p w14:paraId="017702DE" w14:textId="77777777" w:rsidR="00286F7D" w:rsidRDefault="00286F7D" w:rsidP="00286F7D">
            <w:pPr>
              <w:pStyle w:val="Texttabulky"/>
              <w:spacing w:after="0"/>
              <w:jc w:val="right"/>
            </w:pPr>
            <w:r>
              <w:t>30</w:t>
            </w:r>
          </w:p>
        </w:tc>
        <w:tc>
          <w:tcPr>
            <w:tcW w:w="480" w:type="pct"/>
            <w:tcBorders>
              <w:top w:val="single" w:sz="6" w:space="0" w:color="auto"/>
              <w:left w:val="single" w:sz="6" w:space="0" w:color="auto"/>
              <w:bottom w:val="single" w:sz="6" w:space="0" w:color="auto"/>
              <w:right w:val="single" w:sz="6" w:space="0" w:color="auto"/>
            </w:tcBorders>
          </w:tcPr>
          <w:p w14:paraId="4DB5B14D" w14:textId="77777777" w:rsidR="00286F7D" w:rsidRDefault="00286F7D" w:rsidP="00286F7D">
            <w:pPr>
              <w:pStyle w:val="Texttabulky"/>
              <w:spacing w:after="0"/>
              <w:jc w:val="right"/>
            </w:pPr>
            <w:r>
              <w:t>380</w:t>
            </w:r>
          </w:p>
        </w:tc>
        <w:tc>
          <w:tcPr>
            <w:tcW w:w="388" w:type="pct"/>
            <w:gridSpan w:val="2"/>
            <w:tcBorders>
              <w:top w:val="single" w:sz="6" w:space="0" w:color="auto"/>
              <w:left w:val="single" w:sz="6" w:space="0" w:color="auto"/>
              <w:bottom w:val="single" w:sz="6" w:space="0" w:color="auto"/>
              <w:right w:val="single" w:sz="6" w:space="0" w:color="auto"/>
            </w:tcBorders>
          </w:tcPr>
          <w:p w14:paraId="4E5FA8B8"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46D886AA"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7BB31034" w14:textId="77777777" w:rsidR="00286F7D" w:rsidRDefault="00286F7D" w:rsidP="00286F7D">
            <w:pPr>
              <w:pStyle w:val="Texttabulky"/>
              <w:spacing w:after="0"/>
              <w:jc w:val="right"/>
            </w:pPr>
            <w:r>
              <w:t>-380</w:t>
            </w:r>
          </w:p>
        </w:tc>
      </w:tr>
      <w:tr w:rsidR="00286F7D" w14:paraId="605C87C5" w14:textId="77777777" w:rsidTr="00286F7D">
        <w:tc>
          <w:tcPr>
            <w:tcW w:w="238" w:type="pct"/>
            <w:tcBorders>
              <w:top w:val="single" w:sz="6" w:space="0" w:color="auto"/>
              <w:left w:val="single" w:sz="6" w:space="0" w:color="auto"/>
              <w:bottom w:val="single" w:sz="6" w:space="0" w:color="auto"/>
              <w:right w:val="single" w:sz="6" w:space="0" w:color="auto"/>
            </w:tcBorders>
          </w:tcPr>
          <w:p w14:paraId="4B586BC2" w14:textId="77777777" w:rsidR="00286F7D" w:rsidRDefault="00286F7D" w:rsidP="00286F7D">
            <w:pPr>
              <w:pStyle w:val="Texttabulky"/>
              <w:spacing w:after="0"/>
            </w:pPr>
            <w:r>
              <w:rPr>
                <w:b/>
                <w:bCs/>
              </w:rPr>
              <w:t xml:space="preserve">  V</w:t>
            </w:r>
          </w:p>
        </w:tc>
        <w:tc>
          <w:tcPr>
            <w:tcW w:w="1137" w:type="pct"/>
            <w:tcBorders>
              <w:top w:val="single" w:sz="6" w:space="0" w:color="auto"/>
              <w:left w:val="single" w:sz="6" w:space="0" w:color="auto"/>
              <w:bottom w:val="single" w:sz="6" w:space="0" w:color="auto"/>
              <w:right w:val="single" w:sz="6" w:space="0" w:color="auto"/>
            </w:tcBorders>
          </w:tcPr>
          <w:p w14:paraId="1A2AC300" w14:textId="77777777" w:rsidR="00286F7D" w:rsidRDefault="00286F7D" w:rsidP="00286F7D">
            <w:pPr>
              <w:pStyle w:val="Texttabulky"/>
              <w:spacing w:after="0"/>
            </w:pPr>
            <w:r>
              <w:rPr>
                <w:b/>
                <w:bCs/>
                <w:caps/>
              </w:rPr>
              <w:t>sektor celkem</w:t>
            </w:r>
          </w:p>
        </w:tc>
        <w:tc>
          <w:tcPr>
            <w:tcW w:w="478" w:type="pct"/>
            <w:tcBorders>
              <w:top w:val="single" w:sz="6" w:space="0" w:color="auto"/>
              <w:left w:val="single" w:sz="6" w:space="0" w:color="auto"/>
              <w:bottom w:val="single" w:sz="6" w:space="0" w:color="auto"/>
              <w:right w:val="single" w:sz="6" w:space="0" w:color="auto"/>
            </w:tcBorders>
          </w:tcPr>
          <w:p w14:paraId="7587A273" w14:textId="77777777" w:rsidR="00286F7D" w:rsidRDefault="00286F7D" w:rsidP="00286F7D">
            <w:pPr>
              <w:pStyle w:val="Texttabulky"/>
              <w:spacing w:after="0"/>
              <w:jc w:val="right"/>
            </w:pPr>
            <w:r>
              <w:rPr>
                <w:b/>
                <w:bCs/>
              </w:rPr>
              <w:t>827</w:t>
            </w:r>
          </w:p>
        </w:tc>
        <w:tc>
          <w:tcPr>
            <w:tcW w:w="554" w:type="pct"/>
            <w:tcBorders>
              <w:top w:val="single" w:sz="6" w:space="0" w:color="auto"/>
              <w:left w:val="single" w:sz="6" w:space="0" w:color="auto"/>
              <w:bottom w:val="single" w:sz="6" w:space="0" w:color="auto"/>
              <w:right w:val="single" w:sz="6" w:space="0" w:color="auto"/>
            </w:tcBorders>
          </w:tcPr>
          <w:p w14:paraId="6F70129B" w14:textId="77777777" w:rsidR="00286F7D" w:rsidRDefault="00286F7D" w:rsidP="00286F7D">
            <w:pPr>
              <w:pStyle w:val="Texttabulky"/>
              <w:spacing w:after="0"/>
              <w:jc w:val="right"/>
            </w:pPr>
            <w:r>
              <w:rPr>
                <w:b/>
                <w:bCs/>
              </w:rPr>
              <w:t>800</w:t>
            </w:r>
          </w:p>
        </w:tc>
        <w:tc>
          <w:tcPr>
            <w:tcW w:w="567" w:type="pct"/>
            <w:tcBorders>
              <w:top w:val="single" w:sz="6" w:space="0" w:color="auto"/>
              <w:left w:val="single" w:sz="6" w:space="0" w:color="auto"/>
              <w:bottom w:val="single" w:sz="6" w:space="0" w:color="auto"/>
              <w:right w:val="single" w:sz="6" w:space="0" w:color="auto"/>
            </w:tcBorders>
          </w:tcPr>
          <w:p w14:paraId="3986B5D3" w14:textId="77777777" w:rsidR="00286F7D" w:rsidRDefault="00286F7D" w:rsidP="00286F7D">
            <w:pPr>
              <w:pStyle w:val="Texttabulky"/>
              <w:spacing w:after="0"/>
              <w:jc w:val="right"/>
            </w:pPr>
            <w:r>
              <w:rPr>
                <w:b/>
                <w:bCs/>
              </w:rPr>
              <w:t>30</w:t>
            </w:r>
          </w:p>
        </w:tc>
        <w:tc>
          <w:tcPr>
            <w:tcW w:w="480" w:type="pct"/>
            <w:tcBorders>
              <w:top w:val="single" w:sz="6" w:space="0" w:color="auto"/>
              <w:left w:val="single" w:sz="6" w:space="0" w:color="auto"/>
              <w:bottom w:val="single" w:sz="6" w:space="0" w:color="auto"/>
              <w:right w:val="single" w:sz="6" w:space="0" w:color="auto"/>
            </w:tcBorders>
          </w:tcPr>
          <w:p w14:paraId="7FFA40AE" w14:textId="77777777" w:rsidR="00286F7D" w:rsidRDefault="00286F7D" w:rsidP="00286F7D">
            <w:pPr>
              <w:pStyle w:val="Texttabulky"/>
              <w:spacing w:after="0"/>
              <w:jc w:val="right"/>
            </w:pPr>
            <w:r>
              <w:rPr>
                <w:b/>
                <w:bCs/>
              </w:rPr>
              <w:t>830</w:t>
            </w:r>
          </w:p>
        </w:tc>
        <w:tc>
          <w:tcPr>
            <w:tcW w:w="388" w:type="pct"/>
            <w:gridSpan w:val="2"/>
            <w:tcBorders>
              <w:top w:val="single" w:sz="6" w:space="0" w:color="auto"/>
              <w:left w:val="single" w:sz="6" w:space="0" w:color="auto"/>
              <w:bottom w:val="single" w:sz="6" w:space="0" w:color="auto"/>
              <w:right w:val="single" w:sz="6" w:space="0" w:color="auto"/>
            </w:tcBorders>
          </w:tcPr>
          <w:p w14:paraId="3E905C08" w14:textId="77777777" w:rsidR="00286F7D" w:rsidRDefault="00286F7D" w:rsidP="00286F7D">
            <w:pPr>
              <w:pStyle w:val="Texttabulky"/>
              <w:spacing w:after="0"/>
              <w:jc w:val="right"/>
            </w:pPr>
            <w:r>
              <w:rPr>
                <w:b/>
                <w:bCs/>
              </w:rPr>
              <w:t>20</w:t>
            </w:r>
          </w:p>
        </w:tc>
        <w:tc>
          <w:tcPr>
            <w:tcW w:w="578" w:type="pct"/>
            <w:tcBorders>
              <w:top w:val="single" w:sz="6" w:space="0" w:color="auto"/>
              <w:left w:val="single" w:sz="6" w:space="0" w:color="auto"/>
              <w:bottom w:val="single" w:sz="6" w:space="0" w:color="auto"/>
              <w:right w:val="single" w:sz="6" w:space="0" w:color="auto"/>
            </w:tcBorders>
          </w:tcPr>
          <w:p w14:paraId="43276C75" w14:textId="77777777" w:rsidR="00286F7D" w:rsidRDefault="00286F7D" w:rsidP="00286F7D">
            <w:pPr>
              <w:pStyle w:val="Texttabulky"/>
              <w:spacing w:after="0"/>
              <w:jc w:val="right"/>
            </w:pPr>
            <w:r>
              <w:rPr>
                <w:b/>
                <w:bCs/>
              </w:rPr>
              <w:t>591</w:t>
            </w:r>
          </w:p>
        </w:tc>
        <w:tc>
          <w:tcPr>
            <w:tcW w:w="578" w:type="pct"/>
            <w:tcBorders>
              <w:top w:val="single" w:sz="6" w:space="0" w:color="auto"/>
              <w:left w:val="single" w:sz="6" w:space="0" w:color="auto"/>
              <w:bottom w:val="single" w:sz="6" w:space="0" w:color="auto"/>
              <w:right w:val="single" w:sz="6" w:space="0" w:color="auto"/>
            </w:tcBorders>
          </w:tcPr>
          <w:p w14:paraId="5A789E44" w14:textId="77777777" w:rsidR="00286F7D" w:rsidRDefault="00286F7D" w:rsidP="00286F7D">
            <w:pPr>
              <w:pStyle w:val="Texttabulky"/>
              <w:spacing w:after="0"/>
              <w:jc w:val="right"/>
            </w:pPr>
            <w:r>
              <w:rPr>
                <w:b/>
                <w:bCs/>
              </w:rPr>
              <w:t>- 239</w:t>
            </w:r>
          </w:p>
        </w:tc>
      </w:tr>
      <w:tr w:rsidR="00286F7D" w14:paraId="428CFD44" w14:textId="77777777" w:rsidTr="00286F7D">
        <w:tc>
          <w:tcPr>
            <w:tcW w:w="238" w:type="pct"/>
            <w:tcBorders>
              <w:top w:val="single" w:sz="6" w:space="0" w:color="auto"/>
              <w:left w:val="single" w:sz="6" w:space="0" w:color="auto"/>
              <w:bottom w:val="single" w:sz="6" w:space="0" w:color="auto"/>
              <w:right w:val="single" w:sz="6" w:space="0" w:color="auto"/>
            </w:tcBorders>
          </w:tcPr>
          <w:p w14:paraId="58D16E13" w14:textId="77777777" w:rsidR="00286F7D" w:rsidRDefault="00286F7D" w:rsidP="00286F7D">
            <w:pPr>
              <w:pStyle w:val="Texttabulky"/>
              <w:spacing w:after="0"/>
              <w:jc w:val="right"/>
            </w:pPr>
            <w:r>
              <w:t>4</w:t>
            </w:r>
          </w:p>
        </w:tc>
        <w:tc>
          <w:tcPr>
            <w:tcW w:w="1137" w:type="pct"/>
            <w:tcBorders>
              <w:top w:val="single" w:sz="6" w:space="0" w:color="auto"/>
              <w:left w:val="single" w:sz="6" w:space="0" w:color="auto"/>
              <w:bottom w:val="single" w:sz="6" w:space="0" w:color="auto"/>
              <w:right w:val="single" w:sz="6" w:space="0" w:color="auto"/>
            </w:tcBorders>
          </w:tcPr>
          <w:p w14:paraId="7578C31D" w14:textId="77777777" w:rsidR="00286F7D" w:rsidRDefault="00286F7D" w:rsidP="00286F7D">
            <w:pPr>
              <w:pStyle w:val="Texttabulky"/>
              <w:spacing w:after="0"/>
            </w:pPr>
            <w:r>
              <w:t>Nemocnice</w:t>
            </w:r>
          </w:p>
        </w:tc>
        <w:tc>
          <w:tcPr>
            <w:tcW w:w="478" w:type="pct"/>
            <w:tcBorders>
              <w:top w:val="single" w:sz="6" w:space="0" w:color="auto"/>
              <w:left w:val="single" w:sz="6" w:space="0" w:color="auto"/>
              <w:bottom w:val="single" w:sz="6" w:space="0" w:color="auto"/>
              <w:right w:val="single" w:sz="6" w:space="0" w:color="auto"/>
            </w:tcBorders>
          </w:tcPr>
          <w:p w14:paraId="34E2252C"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62B8E9B7"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6AEAFE6D" w14:textId="77777777" w:rsidR="00286F7D" w:rsidRDefault="00286F7D" w:rsidP="00286F7D">
            <w:pPr>
              <w:pStyle w:val="Texttabulky"/>
              <w:spacing w:after="0"/>
              <w:jc w:val="right"/>
            </w:pPr>
            <w:r>
              <w:t>355</w:t>
            </w:r>
          </w:p>
        </w:tc>
        <w:tc>
          <w:tcPr>
            <w:tcW w:w="480" w:type="pct"/>
            <w:tcBorders>
              <w:top w:val="single" w:sz="6" w:space="0" w:color="auto"/>
              <w:left w:val="single" w:sz="6" w:space="0" w:color="auto"/>
              <w:bottom w:val="single" w:sz="6" w:space="0" w:color="auto"/>
              <w:right w:val="single" w:sz="6" w:space="0" w:color="auto"/>
            </w:tcBorders>
          </w:tcPr>
          <w:p w14:paraId="542F797B" w14:textId="77777777" w:rsidR="00286F7D" w:rsidRDefault="00286F7D" w:rsidP="00286F7D">
            <w:pPr>
              <w:pStyle w:val="Texttabulky"/>
              <w:spacing w:after="0"/>
              <w:jc w:val="right"/>
            </w:pPr>
            <w:r>
              <w:t>355</w:t>
            </w:r>
          </w:p>
        </w:tc>
        <w:tc>
          <w:tcPr>
            <w:tcW w:w="388" w:type="pct"/>
            <w:gridSpan w:val="2"/>
            <w:tcBorders>
              <w:top w:val="single" w:sz="6" w:space="0" w:color="auto"/>
              <w:left w:val="single" w:sz="6" w:space="0" w:color="auto"/>
              <w:bottom w:val="single" w:sz="6" w:space="0" w:color="auto"/>
              <w:right w:val="single" w:sz="6" w:space="0" w:color="auto"/>
            </w:tcBorders>
          </w:tcPr>
          <w:p w14:paraId="3C545474"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0A38A7C8"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3A895BA1" w14:textId="77777777" w:rsidR="00286F7D" w:rsidRDefault="00286F7D" w:rsidP="00286F7D">
            <w:pPr>
              <w:pStyle w:val="Texttabulky"/>
              <w:spacing w:after="0"/>
              <w:jc w:val="right"/>
            </w:pPr>
            <w:r>
              <w:t>-355</w:t>
            </w:r>
          </w:p>
        </w:tc>
      </w:tr>
      <w:tr w:rsidR="00286F7D" w14:paraId="7200A074" w14:textId="77777777" w:rsidTr="00286F7D">
        <w:tc>
          <w:tcPr>
            <w:tcW w:w="238" w:type="pct"/>
            <w:tcBorders>
              <w:top w:val="single" w:sz="6" w:space="0" w:color="auto"/>
              <w:left w:val="single" w:sz="6" w:space="0" w:color="auto"/>
              <w:bottom w:val="single" w:sz="6" w:space="0" w:color="auto"/>
              <w:right w:val="single" w:sz="6" w:space="0" w:color="auto"/>
            </w:tcBorders>
          </w:tcPr>
          <w:p w14:paraId="35DCE203" w14:textId="77777777" w:rsidR="00286F7D" w:rsidRDefault="00286F7D" w:rsidP="00286F7D">
            <w:pPr>
              <w:pStyle w:val="Texttabulky"/>
              <w:spacing w:after="0"/>
              <w:jc w:val="right"/>
            </w:pPr>
            <w:r>
              <w:t>5</w:t>
            </w:r>
          </w:p>
        </w:tc>
        <w:tc>
          <w:tcPr>
            <w:tcW w:w="1137" w:type="pct"/>
            <w:tcBorders>
              <w:top w:val="single" w:sz="6" w:space="0" w:color="auto"/>
              <w:left w:val="single" w:sz="6" w:space="0" w:color="auto"/>
              <w:bottom w:val="single" w:sz="6" w:space="0" w:color="auto"/>
              <w:right w:val="single" w:sz="6" w:space="0" w:color="auto"/>
            </w:tcBorders>
          </w:tcPr>
          <w:p w14:paraId="75D74B6D" w14:textId="77777777" w:rsidR="00286F7D" w:rsidRDefault="00286F7D" w:rsidP="00286F7D">
            <w:pPr>
              <w:pStyle w:val="Texttabulky"/>
              <w:spacing w:after="0"/>
            </w:pPr>
            <w:r>
              <w:t>Kamenická</w:t>
            </w:r>
          </w:p>
        </w:tc>
        <w:tc>
          <w:tcPr>
            <w:tcW w:w="478" w:type="pct"/>
            <w:tcBorders>
              <w:top w:val="single" w:sz="6" w:space="0" w:color="auto"/>
              <w:left w:val="single" w:sz="6" w:space="0" w:color="auto"/>
              <w:bottom w:val="single" w:sz="6" w:space="0" w:color="auto"/>
              <w:right w:val="single" w:sz="6" w:space="0" w:color="auto"/>
            </w:tcBorders>
          </w:tcPr>
          <w:p w14:paraId="5F759998" w14:textId="77777777" w:rsidR="00286F7D" w:rsidRDefault="00286F7D" w:rsidP="00286F7D">
            <w:pPr>
              <w:pStyle w:val="Texttabulky"/>
              <w:spacing w:after="0"/>
              <w:jc w:val="right"/>
            </w:pPr>
            <w:r>
              <w:t>3 215</w:t>
            </w:r>
          </w:p>
        </w:tc>
        <w:tc>
          <w:tcPr>
            <w:tcW w:w="554" w:type="pct"/>
            <w:tcBorders>
              <w:top w:val="single" w:sz="6" w:space="0" w:color="auto"/>
              <w:left w:val="single" w:sz="6" w:space="0" w:color="auto"/>
              <w:bottom w:val="single" w:sz="6" w:space="0" w:color="auto"/>
              <w:right w:val="single" w:sz="6" w:space="0" w:color="auto"/>
            </w:tcBorders>
          </w:tcPr>
          <w:p w14:paraId="3D9245F1" w14:textId="77777777" w:rsidR="00286F7D" w:rsidRDefault="00286F7D" w:rsidP="00286F7D">
            <w:pPr>
              <w:pStyle w:val="Texttabulky"/>
              <w:spacing w:after="0"/>
              <w:jc w:val="right"/>
            </w:pPr>
            <w:r>
              <w:t>3 000</w:t>
            </w:r>
          </w:p>
        </w:tc>
        <w:tc>
          <w:tcPr>
            <w:tcW w:w="567" w:type="pct"/>
            <w:tcBorders>
              <w:top w:val="single" w:sz="6" w:space="0" w:color="auto"/>
              <w:left w:val="single" w:sz="6" w:space="0" w:color="auto"/>
              <w:bottom w:val="single" w:sz="6" w:space="0" w:color="auto"/>
              <w:right w:val="single" w:sz="6" w:space="0" w:color="auto"/>
            </w:tcBorders>
          </w:tcPr>
          <w:p w14:paraId="2F9213B5"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120AC27A" w14:textId="77777777" w:rsidR="00286F7D" w:rsidRDefault="00286F7D" w:rsidP="00286F7D">
            <w:pPr>
              <w:pStyle w:val="Texttabulky"/>
              <w:spacing w:after="0"/>
              <w:jc w:val="right"/>
            </w:pPr>
            <w:r>
              <w:t>3 000</w:t>
            </w:r>
          </w:p>
        </w:tc>
        <w:tc>
          <w:tcPr>
            <w:tcW w:w="388" w:type="pct"/>
            <w:gridSpan w:val="2"/>
            <w:tcBorders>
              <w:top w:val="single" w:sz="6" w:space="0" w:color="auto"/>
              <w:left w:val="single" w:sz="6" w:space="0" w:color="auto"/>
              <w:bottom w:val="single" w:sz="6" w:space="0" w:color="auto"/>
              <w:right w:val="single" w:sz="6" w:space="0" w:color="auto"/>
            </w:tcBorders>
          </w:tcPr>
          <w:p w14:paraId="41D36CE1" w14:textId="77777777" w:rsidR="00286F7D" w:rsidRDefault="00286F7D" w:rsidP="00286F7D">
            <w:pPr>
              <w:pStyle w:val="Texttabulky"/>
              <w:spacing w:after="0"/>
              <w:jc w:val="right"/>
            </w:pPr>
            <w:r>
              <w:t>61</w:t>
            </w:r>
          </w:p>
        </w:tc>
        <w:tc>
          <w:tcPr>
            <w:tcW w:w="578" w:type="pct"/>
            <w:tcBorders>
              <w:top w:val="single" w:sz="6" w:space="0" w:color="auto"/>
              <w:left w:val="single" w:sz="6" w:space="0" w:color="auto"/>
              <w:bottom w:val="single" w:sz="6" w:space="0" w:color="auto"/>
              <w:right w:val="single" w:sz="6" w:space="0" w:color="auto"/>
            </w:tcBorders>
          </w:tcPr>
          <w:p w14:paraId="6704D42B" w14:textId="77777777" w:rsidR="00286F7D" w:rsidRDefault="00286F7D" w:rsidP="00286F7D">
            <w:pPr>
              <w:pStyle w:val="Texttabulky"/>
              <w:spacing w:after="0"/>
              <w:jc w:val="right"/>
            </w:pPr>
            <w:r>
              <w:t>5 497</w:t>
            </w:r>
          </w:p>
        </w:tc>
        <w:tc>
          <w:tcPr>
            <w:tcW w:w="578" w:type="pct"/>
            <w:tcBorders>
              <w:top w:val="single" w:sz="6" w:space="0" w:color="auto"/>
              <w:left w:val="single" w:sz="6" w:space="0" w:color="auto"/>
              <w:bottom w:val="single" w:sz="6" w:space="0" w:color="auto"/>
              <w:right w:val="single" w:sz="6" w:space="0" w:color="auto"/>
            </w:tcBorders>
          </w:tcPr>
          <w:p w14:paraId="3F4C6D0F" w14:textId="77777777" w:rsidR="00286F7D" w:rsidRDefault="00286F7D" w:rsidP="00286F7D">
            <w:pPr>
              <w:pStyle w:val="Texttabulky"/>
              <w:spacing w:after="0"/>
              <w:jc w:val="right"/>
            </w:pPr>
            <w:r>
              <w:t>2 497</w:t>
            </w:r>
          </w:p>
        </w:tc>
      </w:tr>
      <w:tr w:rsidR="00286F7D" w14:paraId="60C22CA2" w14:textId="77777777" w:rsidTr="00286F7D">
        <w:tc>
          <w:tcPr>
            <w:tcW w:w="238" w:type="pct"/>
            <w:tcBorders>
              <w:top w:val="single" w:sz="6" w:space="0" w:color="auto"/>
              <w:left w:val="single" w:sz="6" w:space="0" w:color="auto"/>
              <w:bottom w:val="single" w:sz="6" w:space="0" w:color="auto"/>
              <w:right w:val="single" w:sz="6" w:space="0" w:color="auto"/>
            </w:tcBorders>
          </w:tcPr>
          <w:p w14:paraId="1D187156" w14:textId="77777777" w:rsidR="00286F7D" w:rsidRDefault="00286F7D" w:rsidP="00286F7D">
            <w:pPr>
              <w:pStyle w:val="Texttabulky"/>
              <w:spacing w:after="0"/>
              <w:jc w:val="right"/>
            </w:pPr>
            <w:r>
              <w:t>6</w:t>
            </w:r>
          </w:p>
        </w:tc>
        <w:tc>
          <w:tcPr>
            <w:tcW w:w="1137" w:type="pct"/>
            <w:tcBorders>
              <w:top w:val="single" w:sz="6" w:space="0" w:color="auto"/>
              <w:left w:val="single" w:sz="6" w:space="0" w:color="auto"/>
              <w:bottom w:val="single" w:sz="6" w:space="0" w:color="auto"/>
              <w:right w:val="single" w:sz="6" w:space="0" w:color="auto"/>
            </w:tcBorders>
          </w:tcPr>
          <w:p w14:paraId="4DC0B8FF" w14:textId="77777777" w:rsidR="00286F7D" w:rsidRDefault="00286F7D" w:rsidP="00286F7D">
            <w:pPr>
              <w:pStyle w:val="Texttabulky"/>
              <w:spacing w:after="0"/>
            </w:pPr>
            <w:r>
              <w:t>U nemocnice</w:t>
            </w:r>
          </w:p>
        </w:tc>
        <w:tc>
          <w:tcPr>
            <w:tcW w:w="478" w:type="pct"/>
            <w:tcBorders>
              <w:top w:val="single" w:sz="6" w:space="0" w:color="auto"/>
              <w:left w:val="single" w:sz="6" w:space="0" w:color="auto"/>
              <w:bottom w:val="single" w:sz="6" w:space="0" w:color="auto"/>
              <w:right w:val="single" w:sz="6" w:space="0" w:color="auto"/>
            </w:tcBorders>
          </w:tcPr>
          <w:p w14:paraId="7585F6C9" w14:textId="77777777" w:rsidR="00286F7D" w:rsidRDefault="00286F7D" w:rsidP="00286F7D">
            <w:pPr>
              <w:pStyle w:val="Texttabulky"/>
              <w:spacing w:after="0"/>
              <w:jc w:val="right"/>
            </w:pPr>
            <w:r>
              <w:t>3 106</w:t>
            </w:r>
          </w:p>
        </w:tc>
        <w:tc>
          <w:tcPr>
            <w:tcW w:w="554" w:type="pct"/>
            <w:tcBorders>
              <w:top w:val="single" w:sz="6" w:space="0" w:color="auto"/>
              <w:left w:val="single" w:sz="6" w:space="0" w:color="auto"/>
              <w:bottom w:val="single" w:sz="6" w:space="0" w:color="auto"/>
              <w:right w:val="single" w:sz="6" w:space="0" w:color="auto"/>
            </w:tcBorders>
          </w:tcPr>
          <w:p w14:paraId="2F59694B" w14:textId="77777777" w:rsidR="00286F7D" w:rsidRDefault="00286F7D" w:rsidP="00286F7D">
            <w:pPr>
              <w:pStyle w:val="Texttabulky"/>
              <w:spacing w:after="0"/>
              <w:jc w:val="right"/>
            </w:pPr>
            <w:r>
              <w:t>29z00</w:t>
            </w:r>
          </w:p>
        </w:tc>
        <w:tc>
          <w:tcPr>
            <w:tcW w:w="567" w:type="pct"/>
            <w:tcBorders>
              <w:top w:val="single" w:sz="6" w:space="0" w:color="auto"/>
              <w:left w:val="single" w:sz="6" w:space="0" w:color="auto"/>
              <w:bottom w:val="single" w:sz="6" w:space="0" w:color="auto"/>
              <w:right w:val="single" w:sz="6" w:space="0" w:color="auto"/>
            </w:tcBorders>
          </w:tcPr>
          <w:p w14:paraId="142927DC"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09EACC96" w14:textId="77777777" w:rsidR="00286F7D" w:rsidRDefault="00286F7D" w:rsidP="00286F7D">
            <w:pPr>
              <w:pStyle w:val="Texttabulky"/>
              <w:spacing w:after="0"/>
              <w:jc w:val="right"/>
            </w:pPr>
            <w:r>
              <w:t>2 900</w:t>
            </w:r>
          </w:p>
        </w:tc>
        <w:tc>
          <w:tcPr>
            <w:tcW w:w="388" w:type="pct"/>
            <w:gridSpan w:val="2"/>
            <w:tcBorders>
              <w:top w:val="single" w:sz="6" w:space="0" w:color="auto"/>
              <w:left w:val="single" w:sz="6" w:space="0" w:color="auto"/>
              <w:bottom w:val="single" w:sz="6" w:space="0" w:color="auto"/>
              <w:right w:val="single" w:sz="6" w:space="0" w:color="auto"/>
            </w:tcBorders>
          </w:tcPr>
          <w:p w14:paraId="0FB749AC" w14:textId="77777777" w:rsidR="00286F7D" w:rsidRDefault="00286F7D" w:rsidP="00286F7D">
            <w:pPr>
              <w:pStyle w:val="Texttabulky"/>
              <w:spacing w:after="0"/>
              <w:jc w:val="right"/>
            </w:pPr>
            <w:r>
              <w:t>125</w:t>
            </w:r>
          </w:p>
        </w:tc>
        <w:tc>
          <w:tcPr>
            <w:tcW w:w="578" w:type="pct"/>
            <w:tcBorders>
              <w:top w:val="single" w:sz="6" w:space="0" w:color="auto"/>
              <w:left w:val="single" w:sz="6" w:space="0" w:color="auto"/>
              <w:bottom w:val="single" w:sz="6" w:space="0" w:color="auto"/>
              <w:right w:val="single" w:sz="6" w:space="0" w:color="auto"/>
            </w:tcBorders>
          </w:tcPr>
          <w:p w14:paraId="05920149" w14:textId="77777777" w:rsidR="00286F7D" w:rsidRDefault="00286F7D" w:rsidP="00286F7D">
            <w:pPr>
              <w:pStyle w:val="Texttabulky"/>
              <w:spacing w:after="0"/>
              <w:jc w:val="right"/>
            </w:pPr>
            <w:r>
              <w:t>5 827</w:t>
            </w:r>
          </w:p>
        </w:tc>
        <w:tc>
          <w:tcPr>
            <w:tcW w:w="578" w:type="pct"/>
            <w:tcBorders>
              <w:top w:val="single" w:sz="6" w:space="0" w:color="auto"/>
              <w:left w:val="single" w:sz="6" w:space="0" w:color="auto"/>
              <w:bottom w:val="single" w:sz="6" w:space="0" w:color="auto"/>
              <w:right w:val="single" w:sz="6" w:space="0" w:color="auto"/>
            </w:tcBorders>
          </w:tcPr>
          <w:p w14:paraId="4D481108" w14:textId="77777777" w:rsidR="00286F7D" w:rsidRDefault="00286F7D" w:rsidP="00286F7D">
            <w:pPr>
              <w:pStyle w:val="Texttabulky"/>
              <w:spacing w:after="0"/>
              <w:jc w:val="right"/>
            </w:pPr>
            <w:r>
              <w:t>2 927</w:t>
            </w:r>
          </w:p>
        </w:tc>
      </w:tr>
      <w:tr w:rsidR="00286F7D" w14:paraId="5DB1D8FE" w14:textId="77777777" w:rsidTr="00286F7D">
        <w:tc>
          <w:tcPr>
            <w:tcW w:w="238" w:type="pct"/>
            <w:tcBorders>
              <w:top w:val="single" w:sz="6" w:space="0" w:color="auto"/>
              <w:left w:val="single" w:sz="6" w:space="0" w:color="auto"/>
              <w:bottom w:val="single" w:sz="6" w:space="0" w:color="auto"/>
              <w:right w:val="single" w:sz="6" w:space="0" w:color="auto"/>
            </w:tcBorders>
          </w:tcPr>
          <w:p w14:paraId="14371CB2" w14:textId="77777777" w:rsidR="00286F7D" w:rsidRDefault="00286F7D" w:rsidP="00286F7D">
            <w:pPr>
              <w:pStyle w:val="Texttabulky"/>
              <w:spacing w:after="0"/>
              <w:jc w:val="right"/>
            </w:pPr>
            <w:r>
              <w:t>7</w:t>
            </w:r>
          </w:p>
        </w:tc>
        <w:tc>
          <w:tcPr>
            <w:tcW w:w="1137" w:type="pct"/>
            <w:tcBorders>
              <w:top w:val="single" w:sz="6" w:space="0" w:color="auto"/>
              <w:left w:val="single" w:sz="6" w:space="0" w:color="auto"/>
              <w:bottom w:val="single" w:sz="6" w:space="0" w:color="auto"/>
              <w:right w:val="single" w:sz="6" w:space="0" w:color="auto"/>
            </w:tcBorders>
          </w:tcPr>
          <w:p w14:paraId="215483FA" w14:textId="77777777" w:rsidR="00286F7D" w:rsidRDefault="00286F7D" w:rsidP="00286F7D">
            <w:pPr>
              <w:pStyle w:val="Texttabulky"/>
              <w:spacing w:after="0"/>
            </w:pPr>
            <w:r>
              <w:t>Nad Slovankou</w:t>
            </w:r>
          </w:p>
        </w:tc>
        <w:tc>
          <w:tcPr>
            <w:tcW w:w="478" w:type="pct"/>
            <w:tcBorders>
              <w:top w:val="single" w:sz="6" w:space="0" w:color="auto"/>
              <w:left w:val="single" w:sz="6" w:space="0" w:color="auto"/>
              <w:bottom w:val="single" w:sz="6" w:space="0" w:color="auto"/>
              <w:right w:val="single" w:sz="6" w:space="0" w:color="auto"/>
            </w:tcBorders>
          </w:tcPr>
          <w:p w14:paraId="4257C0D9" w14:textId="77777777" w:rsidR="00286F7D" w:rsidRDefault="00286F7D" w:rsidP="00286F7D">
            <w:pPr>
              <w:pStyle w:val="Texttabulky"/>
              <w:spacing w:after="0"/>
              <w:jc w:val="right"/>
            </w:pPr>
            <w:r>
              <w:t>10</w:t>
            </w:r>
          </w:p>
        </w:tc>
        <w:tc>
          <w:tcPr>
            <w:tcW w:w="554" w:type="pct"/>
            <w:tcBorders>
              <w:top w:val="single" w:sz="6" w:space="0" w:color="auto"/>
              <w:left w:val="single" w:sz="6" w:space="0" w:color="auto"/>
              <w:bottom w:val="single" w:sz="6" w:space="0" w:color="auto"/>
              <w:right w:val="single" w:sz="6" w:space="0" w:color="auto"/>
            </w:tcBorders>
          </w:tcPr>
          <w:p w14:paraId="3B8E130F" w14:textId="77777777" w:rsidR="00286F7D" w:rsidRDefault="00286F7D" w:rsidP="00286F7D">
            <w:pPr>
              <w:pStyle w:val="Texttabulky"/>
              <w:spacing w:after="0"/>
              <w:jc w:val="right"/>
            </w:pPr>
            <w:r>
              <w:t>10</w:t>
            </w:r>
          </w:p>
        </w:tc>
        <w:tc>
          <w:tcPr>
            <w:tcW w:w="567" w:type="pct"/>
            <w:tcBorders>
              <w:top w:val="single" w:sz="6" w:space="0" w:color="auto"/>
              <w:left w:val="single" w:sz="6" w:space="0" w:color="auto"/>
              <w:bottom w:val="single" w:sz="6" w:space="0" w:color="auto"/>
              <w:right w:val="single" w:sz="6" w:space="0" w:color="auto"/>
            </w:tcBorders>
          </w:tcPr>
          <w:p w14:paraId="547DF233" w14:textId="77777777" w:rsidR="00286F7D" w:rsidRDefault="00286F7D" w:rsidP="00286F7D">
            <w:pPr>
              <w:pStyle w:val="Texttabulky"/>
              <w:spacing w:after="0"/>
              <w:jc w:val="right"/>
            </w:pPr>
            <w:r>
              <w:t>160</w:t>
            </w:r>
          </w:p>
        </w:tc>
        <w:tc>
          <w:tcPr>
            <w:tcW w:w="480" w:type="pct"/>
            <w:tcBorders>
              <w:top w:val="single" w:sz="6" w:space="0" w:color="auto"/>
              <w:left w:val="single" w:sz="6" w:space="0" w:color="auto"/>
              <w:bottom w:val="single" w:sz="6" w:space="0" w:color="auto"/>
              <w:right w:val="single" w:sz="6" w:space="0" w:color="auto"/>
            </w:tcBorders>
          </w:tcPr>
          <w:p w14:paraId="7EC180DD" w14:textId="77777777" w:rsidR="00286F7D" w:rsidRDefault="00286F7D" w:rsidP="00286F7D">
            <w:pPr>
              <w:pStyle w:val="Texttabulky"/>
              <w:spacing w:after="0"/>
              <w:jc w:val="right"/>
            </w:pPr>
            <w:r>
              <w:t>170</w:t>
            </w:r>
          </w:p>
        </w:tc>
        <w:tc>
          <w:tcPr>
            <w:tcW w:w="388" w:type="pct"/>
            <w:gridSpan w:val="2"/>
            <w:tcBorders>
              <w:top w:val="single" w:sz="6" w:space="0" w:color="auto"/>
              <w:left w:val="single" w:sz="6" w:space="0" w:color="auto"/>
              <w:bottom w:val="single" w:sz="6" w:space="0" w:color="auto"/>
              <w:right w:val="single" w:sz="6" w:space="0" w:color="auto"/>
            </w:tcBorders>
          </w:tcPr>
          <w:p w14:paraId="6079A587"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35D02700"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0D75079D" w14:textId="77777777" w:rsidR="00286F7D" w:rsidRDefault="00286F7D" w:rsidP="00286F7D">
            <w:pPr>
              <w:pStyle w:val="Texttabulky"/>
              <w:spacing w:after="0"/>
              <w:jc w:val="right"/>
            </w:pPr>
            <w:r>
              <w:t>-170</w:t>
            </w:r>
          </w:p>
        </w:tc>
      </w:tr>
      <w:tr w:rsidR="00286F7D" w14:paraId="43F70C2A" w14:textId="77777777" w:rsidTr="00286F7D">
        <w:tc>
          <w:tcPr>
            <w:tcW w:w="238" w:type="pct"/>
            <w:tcBorders>
              <w:top w:val="single" w:sz="6" w:space="0" w:color="auto"/>
              <w:left w:val="single" w:sz="6" w:space="0" w:color="auto"/>
              <w:bottom w:val="single" w:sz="6" w:space="0" w:color="auto"/>
              <w:right w:val="single" w:sz="6" w:space="0" w:color="auto"/>
            </w:tcBorders>
          </w:tcPr>
          <w:p w14:paraId="0ADE62A4" w14:textId="77777777" w:rsidR="00286F7D" w:rsidRDefault="00286F7D" w:rsidP="00286F7D">
            <w:pPr>
              <w:pStyle w:val="Texttabulky"/>
              <w:spacing w:after="0"/>
              <w:jc w:val="right"/>
            </w:pPr>
            <w:r>
              <w:t>8</w:t>
            </w:r>
          </w:p>
        </w:tc>
        <w:tc>
          <w:tcPr>
            <w:tcW w:w="1137" w:type="pct"/>
            <w:tcBorders>
              <w:top w:val="single" w:sz="6" w:space="0" w:color="auto"/>
              <w:left w:val="single" w:sz="6" w:space="0" w:color="auto"/>
              <w:bottom w:val="single" w:sz="6" w:space="0" w:color="auto"/>
              <w:right w:val="single" w:sz="6" w:space="0" w:color="auto"/>
            </w:tcBorders>
          </w:tcPr>
          <w:p w14:paraId="107AE34E" w14:textId="77777777" w:rsidR="00286F7D" w:rsidRDefault="00286F7D" w:rsidP="00286F7D">
            <w:pPr>
              <w:pStyle w:val="Texttabulky"/>
              <w:spacing w:after="0"/>
            </w:pPr>
            <w:r>
              <w:t>U cihelny</w:t>
            </w:r>
          </w:p>
        </w:tc>
        <w:tc>
          <w:tcPr>
            <w:tcW w:w="478" w:type="pct"/>
            <w:tcBorders>
              <w:top w:val="single" w:sz="6" w:space="0" w:color="auto"/>
              <w:left w:val="single" w:sz="6" w:space="0" w:color="auto"/>
              <w:bottom w:val="single" w:sz="6" w:space="0" w:color="auto"/>
              <w:right w:val="single" w:sz="6" w:space="0" w:color="auto"/>
            </w:tcBorders>
          </w:tcPr>
          <w:p w14:paraId="556EE3E1" w14:textId="77777777" w:rsidR="00286F7D" w:rsidRDefault="00286F7D" w:rsidP="00286F7D">
            <w:pPr>
              <w:pStyle w:val="Texttabulky"/>
              <w:spacing w:after="0"/>
              <w:jc w:val="right"/>
            </w:pPr>
            <w:r>
              <w:t>70</w:t>
            </w:r>
          </w:p>
        </w:tc>
        <w:tc>
          <w:tcPr>
            <w:tcW w:w="554" w:type="pct"/>
            <w:tcBorders>
              <w:top w:val="single" w:sz="6" w:space="0" w:color="auto"/>
              <w:left w:val="single" w:sz="6" w:space="0" w:color="auto"/>
              <w:bottom w:val="single" w:sz="6" w:space="0" w:color="auto"/>
              <w:right w:val="single" w:sz="6" w:space="0" w:color="auto"/>
            </w:tcBorders>
          </w:tcPr>
          <w:p w14:paraId="1A28FF97" w14:textId="77777777" w:rsidR="00286F7D" w:rsidRDefault="00286F7D" w:rsidP="00286F7D">
            <w:pPr>
              <w:pStyle w:val="Texttabulky"/>
              <w:spacing w:after="0"/>
              <w:jc w:val="right"/>
            </w:pPr>
            <w:r>
              <w:t>50</w:t>
            </w:r>
          </w:p>
        </w:tc>
        <w:tc>
          <w:tcPr>
            <w:tcW w:w="567" w:type="pct"/>
            <w:tcBorders>
              <w:top w:val="single" w:sz="6" w:space="0" w:color="auto"/>
              <w:left w:val="single" w:sz="6" w:space="0" w:color="auto"/>
              <w:bottom w:val="single" w:sz="6" w:space="0" w:color="auto"/>
              <w:right w:val="single" w:sz="6" w:space="0" w:color="auto"/>
            </w:tcBorders>
          </w:tcPr>
          <w:p w14:paraId="31E1F6F5" w14:textId="77777777" w:rsidR="00286F7D" w:rsidRDefault="00286F7D" w:rsidP="00286F7D">
            <w:pPr>
              <w:pStyle w:val="Texttabulky"/>
              <w:spacing w:after="0"/>
              <w:jc w:val="right"/>
            </w:pPr>
            <w:r>
              <w:t>35</w:t>
            </w:r>
          </w:p>
        </w:tc>
        <w:tc>
          <w:tcPr>
            <w:tcW w:w="480" w:type="pct"/>
            <w:tcBorders>
              <w:top w:val="single" w:sz="6" w:space="0" w:color="auto"/>
              <w:left w:val="single" w:sz="6" w:space="0" w:color="auto"/>
              <w:bottom w:val="single" w:sz="6" w:space="0" w:color="auto"/>
              <w:right w:val="single" w:sz="6" w:space="0" w:color="auto"/>
            </w:tcBorders>
          </w:tcPr>
          <w:p w14:paraId="44CBEA33" w14:textId="77777777" w:rsidR="00286F7D" w:rsidRDefault="00286F7D" w:rsidP="00286F7D">
            <w:pPr>
              <w:pStyle w:val="Texttabulky"/>
              <w:spacing w:after="0"/>
              <w:jc w:val="right"/>
            </w:pPr>
            <w:r>
              <w:t>85</w:t>
            </w:r>
          </w:p>
        </w:tc>
        <w:tc>
          <w:tcPr>
            <w:tcW w:w="388" w:type="pct"/>
            <w:gridSpan w:val="2"/>
            <w:tcBorders>
              <w:top w:val="single" w:sz="6" w:space="0" w:color="auto"/>
              <w:left w:val="single" w:sz="6" w:space="0" w:color="auto"/>
              <w:bottom w:val="single" w:sz="6" w:space="0" w:color="auto"/>
              <w:right w:val="single" w:sz="6" w:space="0" w:color="auto"/>
            </w:tcBorders>
          </w:tcPr>
          <w:p w14:paraId="5DE46E28" w14:textId="77777777" w:rsidR="00286F7D" w:rsidRDefault="00286F7D" w:rsidP="00286F7D">
            <w:pPr>
              <w:pStyle w:val="Texttabulky"/>
              <w:spacing w:after="0"/>
              <w:jc w:val="right"/>
            </w:pPr>
            <w:r>
              <w:t>5</w:t>
            </w:r>
          </w:p>
        </w:tc>
        <w:tc>
          <w:tcPr>
            <w:tcW w:w="578" w:type="pct"/>
            <w:tcBorders>
              <w:top w:val="single" w:sz="6" w:space="0" w:color="auto"/>
              <w:left w:val="single" w:sz="6" w:space="0" w:color="auto"/>
              <w:bottom w:val="single" w:sz="6" w:space="0" w:color="auto"/>
              <w:right w:val="single" w:sz="6" w:space="0" w:color="auto"/>
            </w:tcBorders>
          </w:tcPr>
          <w:p w14:paraId="1F62E740" w14:textId="77777777" w:rsidR="00286F7D" w:rsidRDefault="00286F7D" w:rsidP="00286F7D">
            <w:pPr>
              <w:pStyle w:val="Texttabulky"/>
              <w:spacing w:after="0"/>
              <w:jc w:val="right"/>
            </w:pPr>
            <w:r>
              <w:t>162</w:t>
            </w:r>
          </w:p>
        </w:tc>
        <w:tc>
          <w:tcPr>
            <w:tcW w:w="578" w:type="pct"/>
            <w:tcBorders>
              <w:top w:val="single" w:sz="6" w:space="0" w:color="auto"/>
              <w:left w:val="single" w:sz="6" w:space="0" w:color="auto"/>
              <w:bottom w:val="single" w:sz="6" w:space="0" w:color="auto"/>
              <w:right w:val="single" w:sz="6" w:space="0" w:color="auto"/>
            </w:tcBorders>
          </w:tcPr>
          <w:p w14:paraId="304E3940" w14:textId="77777777" w:rsidR="00286F7D" w:rsidRDefault="00286F7D" w:rsidP="00286F7D">
            <w:pPr>
              <w:pStyle w:val="Texttabulky"/>
              <w:spacing w:after="0"/>
              <w:jc w:val="right"/>
            </w:pPr>
            <w:r>
              <w:t>77</w:t>
            </w:r>
          </w:p>
        </w:tc>
      </w:tr>
      <w:tr w:rsidR="00286F7D" w14:paraId="2F8FF73A" w14:textId="77777777" w:rsidTr="00286F7D">
        <w:tc>
          <w:tcPr>
            <w:tcW w:w="238" w:type="pct"/>
            <w:tcBorders>
              <w:top w:val="single" w:sz="6" w:space="0" w:color="auto"/>
              <w:left w:val="single" w:sz="6" w:space="0" w:color="auto"/>
              <w:bottom w:val="single" w:sz="6" w:space="0" w:color="auto"/>
              <w:right w:val="single" w:sz="6" w:space="0" w:color="auto"/>
            </w:tcBorders>
          </w:tcPr>
          <w:p w14:paraId="779A7EC5" w14:textId="77777777" w:rsidR="00286F7D" w:rsidRDefault="00286F7D" w:rsidP="00286F7D">
            <w:pPr>
              <w:pStyle w:val="Texttabulky"/>
              <w:spacing w:after="0"/>
              <w:jc w:val="right"/>
            </w:pPr>
            <w:r>
              <w:t>9</w:t>
            </w:r>
          </w:p>
        </w:tc>
        <w:tc>
          <w:tcPr>
            <w:tcW w:w="1137" w:type="pct"/>
            <w:tcBorders>
              <w:top w:val="single" w:sz="6" w:space="0" w:color="auto"/>
              <w:left w:val="single" w:sz="6" w:space="0" w:color="auto"/>
              <w:bottom w:val="single" w:sz="6" w:space="0" w:color="auto"/>
              <w:right w:val="single" w:sz="6" w:space="0" w:color="auto"/>
            </w:tcBorders>
          </w:tcPr>
          <w:p w14:paraId="7CFE51C2" w14:textId="77777777" w:rsidR="00286F7D" w:rsidRDefault="00286F7D" w:rsidP="00286F7D">
            <w:pPr>
              <w:pStyle w:val="Texttabulky"/>
              <w:spacing w:after="0"/>
            </w:pPr>
            <w:r>
              <w:t>Východní nádraží</w:t>
            </w:r>
          </w:p>
        </w:tc>
        <w:tc>
          <w:tcPr>
            <w:tcW w:w="478" w:type="pct"/>
            <w:tcBorders>
              <w:top w:val="single" w:sz="6" w:space="0" w:color="auto"/>
              <w:left w:val="single" w:sz="6" w:space="0" w:color="auto"/>
              <w:bottom w:val="single" w:sz="6" w:space="0" w:color="auto"/>
              <w:right w:val="single" w:sz="6" w:space="0" w:color="auto"/>
            </w:tcBorders>
          </w:tcPr>
          <w:p w14:paraId="43938BF8" w14:textId="77777777" w:rsidR="00286F7D" w:rsidRDefault="00286F7D" w:rsidP="00286F7D">
            <w:pPr>
              <w:pStyle w:val="Texttabulky"/>
              <w:spacing w:after="0"/>
              <w:jc w:val="right"/>
            </w:pPr>
            <w:r>
              <w:t>34</w:t>
            </w:r>
          </w:p>
        </w:tc>
        <w:tc>
          <w:tcPr>
            <w:tcW w:w="554" w:type="pct"/>
            <w:tcBorders>
              <w:top w:val="single" w:sz="6" w:space="0" w:color="auto"/>
              <w:left w:val="single" w:sz="6" w:space="0" w:color="auto"/>
              <w:bottom w:val="single" w:sz="6" w:space="0" w:color="auto"/>
              <w:right w:val="single" w:sz="6" w:space="0" w:color="auto"/>
            </w:tcBorders>
          </w:tcPr>
          <w:p w14:paraId="0E6D72C0" w14:textId="77777777" w:rsidR="00286F7D" w:rsidRDefault="00286F7D" w:rsidP="00286F7D">
            <w:pPr>
              <w:pStyle w:val="Texttabulky"/>
              <w:spacing w:after="0"/>
              <w:jc w:val="right"/>
            </w:pPr>
            <w:r>
              <w:t>30</w:t>
            </w:r>
          </w:p>
        </w:tc>
        <w:tc>
          <w:tcPr>
            <w:tcW w:w="567" w:type="pct"/>
            <w:tcBorders>
              <w:top w:val="single" w:sz="6" w:space="0" w:color="auto"/>
              <w:left w:val="single" w:sz="6" w:space="0" w:color="auto"/>
              <w:bottom w:val="single" w:sz="6" w:space="0" w:color="auto"/>
              <w:right w:val="single" w:sz="6" w:space="0" w:color="auto"/>
            </w:tcBorders>
          </w:tcPr>
          <w:p w14:paraId="17D7F86F"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53627524" w14:textId="77777777" w:rsidR="00286F7D" w:rsidRDefault="00286F7D" w:rsidP="00286F7D">
            <w:pPr>
              <w:pStyle w:val="Texttabulky"/>
              <w:spacing w:after="0"/>
              <w:jc w:val="right"/>
            </w:pPr>
            <w:r>
              <w:t>30</w:t>
            </w:r>
          </w:p>
        </w:tc>
        <w:tc>
          <w:tcPr>
            <w:tcW w:w="388" w:type="pct"/>
            <w:gridSpan w:val="2"/>
            <w:tcBorders>
              <w:top w:val="single" w:sz="6" w:space="0" w:color="auto"/>
              <w:left w:val="single" w:sz="6" w:space="0" w:color="auto"/>
              <w:bottom w:val="single" w:sz="6" w:space="0" w:color="auto"/>
              <w:right w:val="single" w:sz="6" w:space="0" w:color="auto"/>
            </w:tcBorders>
          </w:tcPr>
          <w:p w14:paraId="0334D679"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1D14A51E"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3C0F3C7A" w14:textId="77777777" w:rsidR="00286F7D" w:rsidRDefault="00286F7D" w:rsidP="00286F7D">
            <w:pPr>
              <w:pStyle w:val="Texttabulky"/>
              <w:spacing w:after="0"/>
              <w:jc w:val="right"/>
            </w:pPr>
            <w:r>
              <w:t>-30</w:t>
            </w:r>
          </w:p>
        </w:tc>
      </w:tr>
      <w:tr w:rsidR="00286F7D" w14:paraId="3C59F666" w14:textId="77777777" w:rsidTr="00286F7D">
        <w:tc>
          <w:tcPr>
            <w:tcW w:w="238" w:type="pct"/>
            <w:tcBorders>
              <w:top w:val="single" w:sz="6" w:space="0" w:color="auto"/>
              <w:left w:val="single" w:sz="6" w:space="0" w:color="auto"/>
              <w:bottom w:val="single" w:sz="6" w:space="0" w:color="auto"/>
              <w:right w:val="single" w:sz="6" w:space="0" w:color="auto"/>
            </w:tcBorders>
          </w:tcPr>
          <w:p w14:paraId="410C3CEB" w14:textId="77777777" w:rsidR="00286F7D" w:rsidRDefault="00286F7D" w:rsidP="00286F7D">
            <w:pPr>
              <w:pStyle w:val="Texttabulky"/>
              <w:spacing w:after="0"/>
              <w:jc w:val="right"/>
            </w:pPr>
            <w:r>
              <w:t>12</w:t>
            </w:r>
          </w:p>
        </w:tc>
        <w:tc>
          <w:tcPr>
            <w:tcW w:w="1137" w:type="pct"/>
            <w:tcBorders>
              <w:top w:val="single" w:sz="6" w:space="0" w:color="auto"/>
              <w:left w:val="single" w:sz="6" w:space="0" w:color="auto"/>
              <w:bottom w:val="single" w:sz="6" w:space="0" w:color="auto"/>
              <w:right w:val="single" w:sz="6" w:space="0" w:color="auto"/>
            </w:tcBorders>
          </w:tcPr>
          <w:p w14:paraId="0D89DCD7" w14:textId="77777777" w:rsidR="00286F7D" w:rsidRDefault="00286F7D" w:rsidP="00286F7D">
            <w:pPr>
              <w:pStyle w:val="Texttabulky"/>
              <w:spacing w:after="0"/>
            </w:pPr>
            <w:r>
              <w:t>Staré Město</w:t>
            </w:r>
          </w:p>
        </w:tc>
        <w:tc>
          <w:tcPr>
            <w:tcW w:w="478" w:type="pct"/>
            <w:tcBorders>
              <w:top w:val="single" w:sz="6" w:space="0" w:color="auto"/>
              <w:left w:val="single" w:sz="6" w:space="0" w:color="auto"/>
              <w:bottom w:val="single" w:sz="6" w:space="0" w:color="auto"/>
              <w:right w:val="single" w:sz="6" w:space="0" w:color="auto"/>
            </w:tcBorders>
          </w:tcPr>
          <w:p w14:paraId="7CE9D2EF" w14:textId="77777777" w:rsidR="00286F7D" w:rsidRDefault="00286F7D" w:rsidP="00286F7D">
            <w:pPr>
              <w:pStyle w:val="Texttabulky"/>
              <w:spacing w:after="0"/>
              <w:jc w:val="right"/>
            </w:pPr>
            <w:r>
              <w:t>4 628</w:t>
            </w:r>
          </w:p>
        </w:tc>
        <w:tc>
          <w:tcPr>
            <w:tcW w:w="554" w:type="pct"/>
            <w:tcBorders>
              <w:top w:val="single" w:sz="6" w:space="0" w:color="auto"/>
              <w:left w:val="single" w:sz="6" w:space="0" w:color="auto"/>
              <w:bottom w:val="single" w:sz="6" w:space="0" w:color="auto"/>
              <w:right w:val="single" w:sz="6" w:space="0" w:color="auto"/>
            </w:tcBorders>
          </w:tcPr>
          <w:p w14:paraId="314E08D2" w14:textId="77777777" w:rsidR="00286F7D" w:rsidRDefault="00286F7D" w:rsidP="00286F7D">
            <w:pPr>
              <w:pStyle w:val="Texttabulky"/>
              <w:spacing w:after="0"/>
              <w:jc w:val="right"/>
            </w:pPr>
            <w:r>
              <w:t>4 500</w:t>
            </w:r>
          </w:p>
        </w:tc>
        <w:tc>
          <w:tcPr>
            <w:tcW w:w="567" w:type="pct"/>
            <w:tcBorders>
              <w:top w:val="single" w:sz="6" w:space="0" w:color="auto"/>
              <w:left w:val="single" w:sz="6" w:space="0" w:color="auto"/>
              <w:bottom w:val="single" w:sz="6" w:space="0" w:color="auto"/>
              <w:right w:val="single" w:sz="6" w:space="0" w:color="auto"/>
            </w:tcBorders>
          </w:tcPr>
          <w:p w14:paraId="19B52CA5" w14:textId="77777777" w:rsidR="00286F7D" w:rsidRDefault="00286F7D" w:rsidP="00286F7D">
            <w:pPr>
              <w:pStyle w:val="Texttabulky"/>
              <w:spacing w:after="0"/>
              <w:jc w:val="right"/>
            </w:pPr>
            <w:r>
              <w:t>360</w:t>
            </w:r>
          </w:p>
        </w:tc>
        <w:tc>
          <w:tcPr>
            <w:tcW w:w="480" w:type="pct"/>
            <w:tcBorders>
              <w:top w:val="single" w:sz="6" w:space="0" w:color="auto"/>
              <w:left w:val="single" w:sz="6" w:space="0" w:color="auto"/>
              <w:bottom w:val="single" w:sz="6" w:space="0" w:color="auto"/>
              <w:right w:val="single" w:sz="6" w:space="0" w:color="auto"/>
            </w:tcBorders>
          </w:tcPr>
          <w:p w14:paraId="567E6CF0" w14:textId="77777777" w:rsidR="00286F7D" w:rsidRDefault="00286F7D" w:rsidP="00286F7D">
            <w:pPr>
              <w:pStyle w:val="Texttabulky"/>
              <w:spacing w:after="0"/>
              <w:jc w:val="right"/>
            </w:pPr>
            <w:r>
              <w:t>4 860</w:t>
            </w:r>
          </w:p>
        </w:tc>
        <w:tc>
          <w:tcPr>
            <w:tcW w:w="388" w:type="pct"/>
            <w:gridSpan w:val="2"/>
            <w:tcBorders>
              <w:top w:val="single" w:sz="6" w:space="0" w:color="auto"/>
              <w:left w:val="single" w:sz="6" w:space="0" w:color="auto"/>
              <w:bottom w:val="single" w:sz="6" w:space="0" w:color="auto"/>
              <w:right w:val="single" w:sz="6" w:space="0" w:color="auto"/>
            </w:tcBorders>
          </w:tcPr>
          <w:p w14:paraId="4B261977" w14:textId="77777777" w:rsidR="00286F7D" w:rsidRDefault="00286F7D" w:rsidP="00286F7D">
            <w:pPr>
              <w:pStyle w:val="Texttabulky"/>
              <w:spacing w:after="0"/>
              <w:jc w:val="right"/>
            </w:pPr>
            <w:r>
              <w:t>115</w:t>
            </w:r>
          </w:p>
        </w:tc>
        <w:tc>
          <w:tcPr>
            <w:tcW w:w="578" w:type="pct"/>
            <w:tcBorders>
              <w:top w:val="single" w:sz="6" w:space="0" w:color="auto"/>
              <w:left w:val="single" w:sz="6" w:space="0" w:color="auto"/>
              <w:bottom w:val="single" w:sz="6" w:space="0" w:color="auto"/>
              <w:right w:val="single" w:sz="6" w:space="0" w:color="auto"/>
            </w:tcBorders>
          </w:tcPr>
          <w:p w14:paraId="0FABC1C0" w14:textId="77777777" w:rsidR="00286F7D" w:rsidRDefault="00286F7D" w:rsidP="00286F7D">
            <w:pPr>
              <w:pStyle w:val="Texttabulky"/>
              <w:spacing w:after="0"/>
              <w:jc w:val="right"/>
            </w:pPr>
            <w:r>
              <w:t>6 321</w:t>
            </w:r>
          </w:p>
        </w:tc>
        <w:tc>
          <w:tcPr>
            <w:tcW w:w="578" w:type="pct"/>
            <w:tcBorders>
              <w:top w:val="single" w:sz="6" w:space="0" w:color="auto"/>
              <w:left w:val="single" w:sz="6" w:space="0" w:color="auto"/>
              <w:bottom w:val="single" w:sz="6" w:space="0" w:color="auto"/>
              <w:right w:val="single" w:sz="6" w:space="0" w:color="auto"/>
            </w:tcBorders>
          </w:tcPr>
          <w:p w14:paraId="4B349C38" w14:textId="77777777" w:rsidR="00286F7D" w:rsidRDefault="00286F7D" w:rsidP="00286F7D">
            <w:pPr>
              <w:pStyle w:val="Texttabulky"/>
              <w:spacing w:after="0"/>
              <w:jc w:val="right"/>
            </w:pPr>
            <w:r>
              <w:t>1 461</w:t>
            </w:r>
          </w:p>
        </w:tc>
      </w:tr>
      <w:tr w:rsidR="00286F7D" w14:paraId="0FC9B17A" w14:textId="77777777" w:rsidTr="00286F7D">
        <w:tc>
          <w:tcPr>
            <w:tcW w:w="238" w:type="pct"/>
            <w:tcBorders>
              <w:top w:val="single" w:sz="6" w:space="0" w:color="auto"/>
              <w:left w:val="single" w:sz="6" w:space="0" w:color="auto"/>
              <w:bottom w:val="single" w:sz="6" w:space="0" w:color="auto"/>
              <w:right w:val="single" w:sz="6" w:space="0" w:color="auto"/>
            </w:tcBorders>
          </w:tcPr>
          <w:p w14:paraId="624E69AA" w14:textId="77777777" w:rsidR="00286F7D" w:rsidRDefault="00286F7D" w:rsidP="00286F7D">
            <w:pPr>
              <w:pStyle w:val="Texttabulky"/>
              <w:spacing w:after="0"/>
              <w:jc w:val="right"/>
            </w:pPr>
            <w:r>
              <w:t>13</w:t>
            </w:r>
          </w:p>
        </w:tc>
        <w:tc>
          <w:tcPr>
            <w:tcW w:w="1137" w:type="pct"/>
            <w:tcBorders>
              <w:top w:val="single" w:sz="6" w:space="0" w:color="auto"/>
              <w:left w:val="single" w:sz="6" w:space="0" w:color="auto"/>
              <w:bottom w:val="single" w:sz="6" w:space="0" w:color="auto"/>
              <w:right w:val="single" w:sz="6" w:space="0" w:color="auto"/>
            </w:tcBorders>
          </w:tcPr>
          <w:p w14:paraId="75388AF4" w14:textId="77777777" w:rsidR="00286F7D" w:rsidRDefault="00286F7D" w:rsidP="00286F7D">
            <w:pPr>
              <w:pStyle w:val="Texttabulky"/>
              <w:spacing w:after="0"/>
            </w:pPr>
            <w:r>
              <w:t>U Ploučnice</w:t>
            </w:r>
          </w:p>
        </w:tc>
        <w:tc>
          <w:tcPr>
            <w:tcW w:w="478" w:type="pct"/>
            <w:tcBorders>
              <w:top w:val="single" w:sz="6" w:space="0" w:color="auto"/>
              <w:left w:val="single" w:sz="6" w:space="0" w:color="auto"/>
              <w:bottom w:val="single" w:sz="6" w:space="0" w:color="auto"/>
              <w:right w:val="single" w:sz="6" w:space="0" w:color="auto"/>
            </w:tcBorders>
          </w:tcPr>
          <w:p w14:paraId="15379792" w14:textId="77777777" w:rsidR="00286F7D" w:rsidRDefault="00286F7D" w:rsidP="00286F7D">
            <w:pPr>
              <w:pStyle w:val="Texttabulky"/>
              <w:spacing w:after="0"/>
              <w:jc w:val="right"/>
            </w:pPr>
            <w:r>
              <w:t>121</w:t>
            </w:r>
          </w:p>
        </w:tc>
        <w:tc>
          <w:tcPr>
            <w:tcW w:w="554" w:type="pct"/>
            <w:tcBorders>
              <w:top w:val="single" w:sz="6" w:space="0" w:color="auto"/>
              <w:left w:val="single" w:sz="6" w:space="0" w:color="auto"/>
              <w:bottom w:val="single" w:sz="6" w:space="0" w:color="auto"/>
              <w:right w:val="single" w:sz="6" w:space="0" w:color="auto"/>
            </w:tcBorders>
          </w:tcPr>
          <w:p w14:paraId="10BE894B" w14:textId="77777777" w:rsidR="00286F7D" w:rsidRDefault="00286F7D" w:rsidP="00286F7D">
            <w:pPr>
              <w:pStyle w:val="Texttabulky"/>
              <w:spacing w:after="0"/>
              <w:jc w:val="right"/>
            </w:pPr>
            <w:r>
              <w:t>110</w:t>
            </w:r>
          </w:p>
        </w:tc>
        <w:tc>
          <w:tcPr>
            <w:tcW w:w="567" w:type="pct"/>
            <w:tcBorders>
              <w:top w:val="single" w:sz="6" w:space="0" w:color="auto"/>
              <w:left w:val="single" w:sz="6" w:space="0" w:color="auto"/>
              <w:bottom w:val="single" w:sz="6" w:space="0" w:color="auto"/>
              <w:right w:val="single" w:sz="6" w:space="0" w:color="auto"/>
            </w:tcBorders>
          </w:tcPr>
          <w:p w14:paraId="78A5C022"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09C8D9E8" w14:textId="77777777" w:rsidR="00286F7D" w:rsidRDefault="00286F7D" w:rsidP="00286F7D">
            <w:pPr>
              <w:pStyle w:val="Texttabulky"/>
              <w:spacing w:after="0"/>
              <w:jc w:val="right"/>
            </w:pPr>
            <w:r>
              <w:t>110</w:t>
            </w:r>
          </w:p>
        </w:tc>
        <w:tc>
          <w:tcPr>
            <w:tcW w:w="388" w:type="pct"/>
            <w:gridSpan w:val="2"/>
            <w:tcBorders>
              <w:top w:val="single" w:sz="6" w:space="0" w:color="auto"/>
              <w:left w:val="single" w:sz="6" w:space="0" w:color="auto"/>
              <w:bottom w:val="single" w:sz="6" w:space="0" w:color="auto"/>
              <w:right w:val="single" w:sz="6" w:space="0" w:color="auto"/>
            </w:tcBorders>
          </w:tcPr>
          <w:p w14:paraId="795C4F00" w14:textId="77777777" w:rsidR="00286F7D" w:rsidRDefault="00286F7D" w:rsidP="00286F7D">
            <w:pPr>
              <w:pStyle w:val="Texttabulky"/>
              <w:spacing w:after="0"/>
              <w:jc w:val="right"/>
            </w:pPr>
            <w:r>
              <w:t>3</w:t>
            </w:r>
          </w:p>
        </w:tc>
        <w:tc>
          <w:tcPr>
            <w:tcW w:w="578" w:type="pct"/>
            <w:tcBorders>
              <w:top w:val="single" w:sz="6" w:space="0" w:color="auto"/>
              <w:left w:val="single" w:sz="6" w:space="0" w:color="auto"/>
              <w:bottom w:val="single" w:sz="6" w:space="0" w:color="auto"/>
              <w:right w:val="single" w:sz="6" w:space="0" w:color="auto"/>
            </w:tcBorders>
          </w:tcPr>
          <w:p w14:paraId="654FBC44" w14:textId="77777777" w:rsidR="00286F7D" w:rsidRDefault="00286F7D" w:rsidP="00286F7D">
            <w:pPr>
              <w:pStyle w:val="Texttabulky"/>
              <w:spacing w:after="0"/>
              <w:jc w:val="right"/>
            </w:pPr>
            <w:r>
              <w:t>217</w:t>
            </w:r>
          </w:p>
        </w:tc>
        <w:tc>
          <w:tcPr>
            <w:tcW w:w="578" w:type="pct"/>
            <w:tcBorders>
              <w:top w:val="single" w:sz="6" w:space="0" w:color="auto"/>
              <w:left w:val="single" w:sz="6" w:space="0" w:color="auto"/>
              <w:bottom w:val="single" w:sz="6" w:space="0" w:color="auto"/>
              <w:right w:val="single" w:sz="6" w:space="0" w:color="auto"/>
            </w:tcBorders>
          </w:tcPr>
          <w:p w14:paraId="3EF673EA" w14:textId="77777777" w:rsidR="00286F7D" w:rsidRDefault="00286F7D" w:rsidP="00286F7D">
            <w:pPr>
              <w:pStyle w:val="Texttabulky"/>
              <w:spacing w:after="0"/>
              <w:jc w:val="right"/>
            </w:pPr>
            <w:r>
              <w:t>107</w:t>
            </w:r>
          </w:p>
        </w:tc>
      </w:tr>
      <w:tr w:rsidR="00286F7D" w14:paraId="3FBEB6F5" w14:textId="77777777" w:rsidTr="00286F7D">
        <w:tc>
          <w:tcPr>
            <w:tcW w:w="238" w:type="pct"/>
            <w:tcBorders>
              <w:top w:val="single" w:sz="6" w:space="0" w:color="auto"/>
              <w:left w:val="single" w:sz="6" w:space="0" w:color="auto"/>
              <w:bottom w:val="single" w:sz="6" w:space="0" w:color="auto"/>
              <w:right w:val="single" w:sz="6" w:space="0" w:color="auto"/>
            </w:tcBorders>
          </w:tcPr>
          <w:p w14:paraId="47AA4426" w14:textId="77777777" w:rsidR="00286F7D" w:rsidRDefault="00286F7D" w:rsidP="00286F7D">
            <w:pPr>
              <w:pStyle w:val="Texttabulky"/>
              <w:spacing w:after="0"/>
              <w:jc w:val="right"/>
            </w:pPr>
            <w:r>
              <w:t>15</w:t>
            </w:r>
          </w:p>
        </w:tc>
        <w:tc>
          <w:tcPr>
            <w:tcW w:w="1137" w:type="pct"/>
            <w:tcBorders>
              <w:top w:val="single" w:sz="6" w:space="0" w:color="auto"/>
              <w:left w:val="single" w:sz="6" w:space="0" w:color="auto"/>
              <w:bottom w:val="single" w:sz="6" w:space="0" w:color="auto"/>
              <w:right w:val="single" w:sz="6" w:space="0" w:color="auto"/>
            </w:tcBorders>
          </w:tcPr>
          <w:p w14:paraId="6A0553CC" w14:textId="77777777" w:rsidR="00286F7D" w:rsidRDefault="00286F7D" w:rsidP="00286F7D">
            <w:pPr>
              <w:pStyle w:val="Texttabulky"/>
              <w:spacing w:after="0"/>
            </w:pPr>
            <w:r>
              <w:t>Pod Chlumem</w:t>
            </w:r>
          </w:p>
        </w:tc>
        <w:tc>
          <w:tcPr>
            <w:tcW w:w="478" w:type="pct"/>
            <w:tcBorders>
              <w:top w:val="single" w:sz="6" w:space="0" w:color="auto"/>
              <w:left w:val="single" w:sz="6" w:space="0" w:color="auto"/>
              <w:bottom w:val="single" w:sz="6" w:space="0" w:color="auto"/>
              <w:right w:val="single" w:sz="6" w:space="0" w:color="auto"/>
            </w:tcBorders>
          </w:tcPr>
          <w:p w14:paraId="696CABD3" w14:textId="77777777" w:rsidR="00286F7D" w:rsidRDefault="00286F7D" w:rsidP="00286F7D">
            <w:pPr>
              <w:pStyle w:val="Texttabulky"/>
              <w:spacing w:after="0"/>
              <w:jc w:val="right"/>
            </w:pPr>
            <w:r>
              <w:t>176</w:t>
            </w:r>
          </w:p>
        </w:tc>
        <w:tc>
          <w:tcPr>
            <w:tcW w:w="554" w:type="pct"/>
            <w:tcBorders>
              <w:top w:val="single" w:sz="6" w:space="0" w:color="auto"/>
              <w:left w:val="single" w:sz="6" w:space="0" w:color="auto"/>
              <w:bottom w:val="single" w:sz="6" w:space="0" w:color="auto"/>
              <w:right w:val="single" w:sz="6" w:space="0" w:color="auto"/>
            </w:tcBorders>
          </w:tcPr>
          <w:p w14:paraId="09089B04" w14:textId="77777777" w:rsidR="00286F7D" w:rsidRDefault="00286F7D" w:rsidP="00286F7D">
            <w:pPr>
              <w:pStyle w:val="Texttabulky"/>
              <w:spacing w:after="0"/>
              <w:jc w:val="right"/>
            </w:pPr>
            <w:r>
              <w:t>150</w:t>
            </w:r>
          </w:p>
        </w:tc>
        <w:tc>
          <w:tcPr>
            <w:tcW w:w="567" w:type="pct"/>
            <w:tcBorders>
              <w:top w:val="single" w:sz="6" w:space="0" w:color="auto"/>
              <w:left w:val="single" w:sz="6" w:space="0" w:color="auto"/>
              <w:bottom w:val="single" w:sz="6" w:space="0" w:color="auto"/>
              <w:right w:val="single" w:sz="6" w:space="0" w:color="auto"/>
            </w:tcBorders>
          </w:tcPr>
          <w:p w14:paraId="2A2FA85E"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015AF5AB" w14:textId="77777777" w:rsidR="00286F7D" w:rsidRDefault="00286F7D" w:rsidP="00286F7D">
            <w:pPr>
              <w:pStyle w:val="Texttabulky"/>
              <w:spacing w:after="0"/>
              <w:jc w:val="right"/>
            </w:pPr>
            <w:r>
              <w:t>150</w:t>
            </w:r>
          </w:p>
        </w:tc>
        <w:tc>
          <w:tcPr>
            <w:tcW w:w="388" w:type="pct"/>
            <w:gridSpan w:val="2"/>
            <w:tcBorders>
              <w:top w:val="single" w:sz="6" w:space="0" w:color="auto"/>
              <w:left w:val="single" w:sz="6" w:space="0" w:color="auto"/>
              <w:bottom w:val="single" w:sz="6" w:space="0" w:color="auto"/>
              <w:right w:val="single" w:sz="6" w:space="0" w:color="auto"/>
            </w:tcBorders>
          </w:tcPr>
          <w:p w14:paraId="198F5A98"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2B9338E9"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49FB10C2" w14:textId="77777777" w:rsidR="00286F7D" w:rsidRDefault="00286F7D" w:rsidP="00286F7D">
            <w:pPr>
              <w:pStyle w:val="Texttabulky"/>
              <w:spacing w:after="0"/>
              <w:jc w:val="right"/>
            </w:pPr>
            <w:r>
              <w:t>-150</w:t>
            </w:r>
          </w:p>
        </w:tc>
      </w:tr>
      <w:tr w:rsidR="00286F7D" w14:paraId="771BA930" w14:textId="77777777" w:rsidTr="00286F7D">
        <w:tc>
          <w:tcPr>
            <w:tcW w:w="238" w:type="pct"/>
            <w:tcBorders>
              <w:top w:val="single" w:sz="6" w:space="0" w:color="auto"/>
              <w:left w:val="single" w:sz="6" w:space="0" w:color="auto"/>
              <w:bottom w:val="single" w:sz="6" w:space="0" w:color="auto"/>
              <w:right w:val="single" w:sz="6" w:space="0" w:color="auto"/>
            </w:tcBorders>
          </w:tcPr>
          <w:p w14:paraId="127DBA4F" w14:textId="77777777" w:rsidR="00286F7D" w:rsidRDefault="00286F7D" w:rsidP="00286F7D">
            <w:pPr>
              <w:pStyle w:val="Texttabulky"/>
              <w:spacing w:after="0"/>
              <w:jc w:val="right"/>
            </w:pPr>
            <w:r>
              <w:t>47</w:t>
            </w:r>
          </w:p>
        </w:tc>
        <w:tc>
          <w:tcPr>
            <w:tcW w:w="1137" w:type="pct"/>
            <w:tcBorders>
              <w:top w:val="single" w:sz="6" w:space="0" w:color="auto"/>
              <w:left w:val="single" w:sz="6" w:space="0" w:color="auto"/>
              <w:bottom w:val="single" w:sz="6" w:space="0" w:color="auto"/>
              <w:right w:val="single" w:sz="6" w:space="0" w:color="auto"/>
            </w:tcBorders>
          </w:tcPr>
          <w:p w14:paraId="7C61325A" w14:textId="77777777" w:rsidR="00286F7D" w:rsidRDefault="00286F7D" w:rsidP="00286F7D">
            <w:pPr>
              <w:pStyle w:val="Texttabulky"/>
              <w:spacing w:after="0"/>
            </w:pPr>
            <w:r>
              <w:t>Folknáře</w:t>
            </w:r>
          </w:p>
        </w:tc>
        <w:tc>
          <w:tcPr>
            <w:tcW w:w="478" w:type="pct"/>
            <w:tcBorders>
              <w:top w:val="single" w:sz="6" w:space="0" w:color="auto"/>
              <w:left w:val="single" w:sz="6" w:space="0" w:color="auto"/>
              <w:bottom w:val="single" w:sz="6" w:space="0" w:color="auto"/>
              <w:right w:val="single" w:sz="6" w:space="0" w:color="auto"/>
            </w:tcBorders>
          </w:tcPr>
          <w:p w14:paraId="37D595BD" w14:textId="77777777" w:rsidR="00286F7D" w:rsidRDefault="00286F7D" w:rsidP="00286F7D">
            <w:pPr>
              <w:pStyle w:val="Texttabulky"/>
              <w:spacing w:after="0"/>
              <w:jc w:val="right"/>
            </w:pPr>
            <w:r>
              <w:t>214</w:t>
            </w:r>
          </w:p>
        </w:tc>
        <w:tc>
          <w:tcPr>
            <w:tcW w:w="554" w:type="pct"/>
            <w:tcBorders>
              <w:top w:val="single" w:sz="6" w:space="0" w:color="auto"/>
              <w:left w:val="single" w:sz="6" w:space="0" w:color="auto"/>
              <w:bottom w:val="single" w:sz="6" w:space="0" w:color="auto"/>
              <w:right w:val="single" w:sz="6" w:space="0" w:color="auto"/>
            </w:tcBorders>
          </w:tcPr>
          <w:p w14:paraId="17DE54FF" w14:textId="77777777" w:rsidR="00286F7D" w:rsidRDefault="00286F7D" w:rsidP="00286F7D">
            <w:pPr>
              <w:pStyle w:val="Texttabulky"/>
              <w:spacing w:after="0"/>
              <w:jc w:val="right"/>
            </w:pPr>
            <w:r>
              <w:t>200</w:t>
            </w:r>
          </w:p>
        </w:tc>
        <w:tc>
          <w:tcPr>
            <w:tcW w:w="567" w:type="pct"/>
            <w:tcBorders>
              <w:top w:val="single" w:sz="6" w:space="0" w:color="auto"/>
              <w:left w:val="single" w:sz="6" w:space="0" w:color="auto"/>
              <w:bottom w:val="single" w:sz="6" w:space="0" w:color="auto"/>
              <w:right w:val="single" w:sz="6" w:space="0" w:color="auto"/>
            </w:tcBorders>
          </w:tcPr>
          <w:p w14:paraId="476F6C3D" w14:textId="77777777" w:rsidR="00286F7D" w:rsidRDefault="00286F7D" w:rsidP="00286F7D">
            <w:pPr>
              <w:pStyle w:val="Texttabulky"/>
              <w:spacing w:after="0"/>
              <w:jc w:val="right"/>
            </w:pPr>
            <w:r>
              <w:t>150</w:t>
            </w:r>
          </w:p>
        </w:tc>
        <w:tc>
          <w:tcPr>
            <w:tcW w:w="480" w:type="pct"/>
            <w:tcBorders>
              <w:top w:val="single" w:sz="6" w:space="0" w:color="auto"/>
              <w:left w:val="single" w:sz="6" w:space="0" w:color="auto"/>
              <w:bottom w:val="single" w:sz="6" w:space="0" w:color="auto"/>
              <w:right w:val="single" w:sz="6" w:space="0" w:color="auto"/>
            </w:tcBorders>
          </w:tcPr>
          <w:p w14:paraId="18984371" w14:textId="77777777" w:rsidR="00286F7D" w:rsidRDefault="00286F7D" w:rsidP="00286F7D">
            <w:pPr>
              <w:pStyle w:val="Texttabulky"/>
              <w:spacing w:after="0"/>
              <w:jc w:val="right"/>
            </w:pPr>
            <w:r>
              <w:t>350</w:t>
            </w:r>
          </w:p>
        </w:tc>
        <w:tc>
          <w:tcPr>
            <w:tcW w:w="388" w:type="pct"/>
            <w:gridSpan w:val="2"/>
            <w:tcBorders>
              <w:top w:val="single" w:sz="6" w:space="0" w:color="auto"/>
              <w:left w:val="single" w:sz="6" w:space="0" w:color="auto"/>
              <w:bottom w:val="single" w:sz="6" w:space="0" w:color="auto"/>
              <w:right w:val="single" w:sz="6" w:space="0" w:color="auto"/>
            </w:tcBorders>
          </w:tcPr>
          <w:p w14:paraId="24601361" w14:textId="77777777" w:rsidR="00286F7D" w:rsidRDefault="00286F7D" w:rsidP="00286F7D">
            <w:pPr>
              <w:pStyle w:val="Texttabulky"/>
              <w:spacing w:after="0"/>
              <w:jc w:val="right"/>
            </w:pPr>
            <w:r>
              <w:t>12</w:t>
            </w:r>
          </w:p>
        </w:tc>
        <w:tc>
          <w:tcPr>
            <w:tcW w:w="578" w:type="pct"/>
            <w:tcBorders>
              <w:top w:val="single" w:sz="6" w:space="0" w:color="auto"/>
              <w:left w:val="single" w:sz="6" w:space="0" w:color="auto"/>
              <w:bottom w:val="single" w:sz="6" w:space="0" w:color="auto"/>
              <w:right w:val="single" w:sz="6" w:space="0" w:color="auto"/>
            </w:tcBorders>
          </w:tcPr>
          <w:p w14:paraId="14D4351A" w14:textId="77777777" w:rsidR="00286F7D" w:rsidRDefault="00286F7D" w:rsidP="00286F7D">
            <w:pPr>
              <w:pStyle w:val="Texttabulky"/>
              <w:spacing w:after="0"/>
              <w:jc w:val="right"/>
            </w:pPr>
            <w:r>
              <w:t>244</w:t>
            </w:r>
          </w:p>
        </w:tc>
        <w:tc>
          <w:tcPr>
            <w:tcW w:w="578" w:type="pct"/>
            <w:tcBorders>
              <w:top w:val="single" w:sz="6" w:space="0" w:color="auto"/>
              <w:left w:val="single" w:sz="6" w:space="0" w:color="auto"/>
              <w:bottom w:val="single" w:sz="6" w:space="0" w:color="auto"/>
              <w:right w:val="single" w:sz="6" w:space="0" w:color="auto"/>
            </w:tcBorders>
          </w:tcPr>
          <w:p w14:paraId="2C05D726" w14:textId="77777777" w:rsidR="00286F7D" w:rsidRDefault="00286F7D" w:rsidP="00286F7D">
            <w:pPr>
              <w:pStyle w:val="Texttabulky"/>
              <w:spacing w:after="0"/>
              <w:jc w:val="right"/>
            </w:pPr>
            <w:r>
              <w:t>-106</w:t>
            </w:r>
          </w:p>
        </w:tc>
      </w:tr>
      <w:tr w:rsidR="00286F7D" w14:paraId="63593189" w14:textId="77777777" w:rsidTr="00286F7D">
        <w:tc>
          <w:tcPr>
            <w:tcW w:w="238" w:type="pct"/>
            <w:tcBorders>
              <w:top w:val="single" w:sz="6" w:space="0" w:color="auto"/>
              <w:left w:val="single" w:sz="6" w:space="0" w:color="auto"/>
              <w:bottom w:val="single" w:sz="6" w:space="0" w:color="auto"/>
              <w:right w:val="single" w:sz="6" w:space="0" w:color="auto"/>
            </w:tcBorders>
          </w:tcPr>
          <w:p w14:paraId="7B369536" w14:textId="77777777" w:rsidR="00286F7D" w:rsidRDefault="00286F7D" w:rsidP="00286F7D">
            <w:pPr>
              <w:pStyle w:val="Texttabulky"/>
              <w:spacing w:after="0"/>
              <w:jc w:val="right"/>
            </w:pPr>
            <w:r>
              <w:t>48</w:t>
            </w:r>
          </w:p>
        </w:tc>
        <w:tc>
          <w:tcPr>
            <w:tcW w:w="1137" w:type="pct"/>
            <w:tcBorders>
              <w:top w:val="single" w:sz="6" w:space="0" w:color="auto"/>
              <w:left w:val="single" w:sz="6" w:space="0" w:color="auto"/>
              <w:bottom w:val="single" w:sz="6" w:space="0" w:color="auto"/>
              <w:right w:val="single" w:sz="6" w:space="0" w:color="auto"/>
            </w:tcBorders>
          </w:tcPr>
          <w:p w14:paraId="780745B4" w14:textId="77777777" w:rsidR="00286F7D" w:rsidRDefault="00286F7D" w:rsidP="00286F7D">
            <w:pPr>
              <w:pStyle w:val="Texttabulky"/>
              <w:spacing w:after="0"/>
            </w:pPr>
            <w:r>
              <w:t>Březiny - Libverda</w:t>
            </w:r>
          </w:p>
        </w:tc>
        <w:tc>
          <w:tcPr>
            <w:tcW w:w="478" w:type="pct"/>
            <w:tcBorders>
              <w:top w:val="single" w:sz="6" w:space="0" w:color="auto"/>
              <w:left w:val="single" w:sz="6" w:space="0" w:color="auto"/>
              <w:bottom w:val="single" w:sz="6" w:space="0" w:color="auto"/>
              <w:right w:val="single" w:sz="6" w:space="0" w:color="auto"/>
            </w:tcBorders>
          </w:tcPr>
          <w:p w14:paraId="4A0A0BCB" w14:textId="77777777" w:rsidR="00286F7D" w:rsidRDefault="00286F7D" w:rsidP="00286F7D">
            <w:pPr>
              <w:pStyle w:val="Texttabulky"/>
              <w:spacing w:after="0"/>
              <w:jc w:val="right"/>
            </w:pPr>
            <w:r>
              <w:t>2 224</w:t>
            </w:r>
          </w:p>
        </w:tc>
        <w:tc>
          <w:tcPr>
            <w:tcW w:w="554" w:type="pct"/>
            <w:tcBorders>
              <w:top w:val="single" w:sz="6" w:space="0" w:color="auto"/>
              <w:left w:val="single" w:sz="6" w:space="0" w:color="auto"/>
              <w:bottom w:val="single" w:sz="6" w:space="0" w:color="auto"/>
              <w:right w:val="single" w:sz="6" w:space="0" w:color="auto"/>
            </w:tcBorders>
          </w:tcPr>
          <w:p w14:paraId="7E7338E5" w14:textId="77777777" w:rsidR="00286F7D" w:rsidRDefault="00286F7D" w:rsidP="00286F7D">
            <w:pPr>
              <w:pStyle w:val="Texttabulky"/>
              <w:spacing w:after="0"/>
              <w:jc w:val="right"/>
            </w:pPr>
            <w:r>
              <w:t>2 100</w:t>
            </w:r>
          </w:p>
        </w:tc>
        <w:tc>
          <w:tcPr>
            <w:tcW w:w="567" w:type="pct"/>
            <w:tcBorders>
              <w:top w:val="single" w:sz="6" w:space="0" w:color="auto"/>
              <w:left w:val="single" w:sz="6" w:space="0" w:color="auto"/>
              <w:bottom w:val="single" w:sz="6" w:space="0" w:color="auto"/>
              <w:right w:val="single" w:sz="6" w:space="0" w:color="auto"/>
            </w:tcBorders>
          </w:tcPr>
          <w:p w14:paraId="255A9457"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1EF99DDB" w14:textId="77777777" w:rsidR="00286F7D" w:rsidRDefault="00286F7D" w:rsidP="00286F7D">
            <w:pPr>
              <w:pStyle w:val="Texttabulky"/>
              <w:spacing w:after="0"/>
              <w:jc w:val="right"/>
            </w:pPr>
            <w:r>
              <w:t>2 100</w:t>
            </w:r>
          </w:p>
        </w:tc>
        <w:tc>
          <w:tcPr>
            <w:tcW w:w="388" w:type="pct"/>
            <w:gridSpan w:val="2"/>
            <w:tcBorders>
              <w:top w:val="single" w:sz="6" w:space="0" w:color="auto"/>
              <w:left w:val="single" w:sz="6" w:space="0" w:color="auto"/>
              <w:bottom w:val="single" w:sz="6" w:space="0" w:color="auto"/>
              <w:right w:val="single" w:sz="6" w:space="0" w:color="auto"/>
            </w:tcBorders>
          </w:tcPr>
          <w:p w14:paraId="6929A2A3" w14:textId="77777777" w:rsidR="00286F7D" w:rsidRDefault="00286F7D" w:rsidP="00286F7D">
            <w:pPr>
              <w:pStyle w:val="Texttabulky"/>
              <w:spacing w:after="0"/>
              <w:jc w:val="right"/>
            </w:pPr>
            <w:r>
              <w:t>48</w:t>
            </w:r>
          </w:p>
        </w:tc>
        <w:tc>
          <w:tcPr>
            <w:tcW w:w="578" w:type="pct"/>
            <w:tcBorders>
              <w:top w:val="single" w:sz="6" w:space="0" w:color="auto"/>
              <w:left w:val="single" w:sz="6" w:space="0" w:color="auto"/>
              <w:bottom w:val="single" w:sz="6" w:space="0" w:color="auto"/>
              <w:right w:val="single" w:sz="6" w:space="0" w:color="auto"/>
            </w:tcBorders>
          </w:tcPr>
          <w:p w14:paraId="7D513D60" w14:textId="77777777" w:rsidR="00286F7D" w:rsidRDefault="00286F7D" w:rsidP="00286F7D">
            <w:pPr>
              <w:pStyle w:val="Texttabulky"/>
              <w:spacing w:after="0"/>
              <w:jc w:val="right"/>
            </w:pPr>
            <w:r>
              <w:t>3 551</w:t>
            </w:r>
          </w:p>
        </w:tc>
        <w:tc>
          <w:tcPr>
            <w:tcW w:w="578" w:type="pct"/>
            <w:tcBorders>
              <w:top w:val="single" w:sz="6" w:space="0" w:color="auto"/>
              <w:left w:val="single" w:sz="6" w:space="0" w:color="auto"/>
              <w:bottom w:val="single" w:sz="6" w:space="0" w:color="auto"/>
              <w:right w:val="single" w:sz="6" w:space="0" w:color="auto"/>
            </w:tcBorders>
          </w:tcPr>
          <w:p w14:paraId="30AC76E0" w14:textId="77777777" w:rsidR="00286F7D" w:rsidRDefault="00286F7D" w:rsidP="00286F7D">
            <w:pPr>
              <w:pStyle w:val="Texttabulky"/>
              <w:spacing w:after="0"/>
              <w:jc w:val="right"/>
            </w:pPr>
            <w:r>
              <w:t>1 451</w:t>
            </w:r>
          </w:p>
        </w:tc>
      </w:tr>
      <w:tr w:rsidR="00286F7D" w14:paraId="0E175661" w14:textId="77777777" w:rsidTr="00286F7D">
        <w:tc>
          <w:tcPr>
            <w:tcW w:w="238" w:type="pct"/>
            <w:tcBorders>
              <w:top w:val="single" w:sz="6" w:space="0" w:color="auto"/>
              <w:left w:val="single" w:sz="6" w:space="0" w:color="auto"/>
              <w:bottom w:val="single" w:sz="6" w:space="0" w:color="auto"/>
              <w:right w:val="single" w:sz="6" w:space="0" w:color="auto"/>
            </w:tcBorders>
          </w:tcPr>
          <w:p w14:paraId="6FCE3D84" w14:textId="77777777" w:rsidR="00286F7D" w:rsidRDefault="00286F7D" w:rsidP="00286F7D">
            <w:pPr>
              <w:pStyle w:val="Texttabulky"/>
              <w:spacing w:after="0"/>
            </w:pPr>
            <w:r>
              <w:rPr>
                <w:b/>
                <w:bCs/>
              </w:rPr>
              <w:t xml:space="preserve"> VI</w:t>
            </w:r>
          </w:p>
        </w:tc>
        <w:tc>
          <w:tcPr>
            <w:tcW w:w="1137" w:type="pct"/>
            <w:tcBorders>
              <w:top w:val="single" w:sz="6" w:space="0" w:color="auto"/>
              <w:left w:val="single" w:sz="6" w:space="0" w:color="auto"/>
              <w:bottom w:val="single" w:sz="6" w:space="0" w:color="auto"/>
              <w:right w:val="single" w:sz="6" w:space="0" w:color="auto"/>
            </w:tcBorders>
          </w:tcPr>
          <w:p w14:paraId="561AEE9B" w14:textId="77777777" w:rsidR="00286F7D" w:rsidRDefault="00286F7D" w:rsidP="00286F7D">
            <w:pPr>
              <w:pStyle w:val="Texttabulky"/>
              <w:spacing w:after="0"/>
            </w:pPr>
            <w:r>
              <w:rPr>
                <w:b/>
                <w:bCs/>
                <w:caps/>
              </w:rPr>
              <w:t>sektor celkem</w:t>
            </w:r>
          </w:p>
        </w:tc>
        <w:tc>
          <w:tcPr>
            <w:tcW w:w="478" w:type="pct"/>
            <w:tcBorders>
              <w:top w:val="single" w:sz="6" w:space="0" w:color="auto"/>
              <w:left w:val="single" w:sz="6" w:space="0" w:color="auto"/>
              <w:bottom w:val="single" w:sz="6" w:space="0" w:color="auto"/>
              <w:right w:val="single" w:sz="6" w:space="0" w:color="auto"/>
            </w:tcBorders>
          </w:tcPr>
          <w:p w14:paraId="6240A1AC" w14:textId="77777777" w:rsidR="00286F7D" w:rsidRDefault="00286F7D" w:rsidP="00286F7D">
            <w:pPr>
              <w:pStyle w:val="Texttabulky"/>
              <w:spacing w:after="0"/>
              <w:jc w:val="right"/>
            </w:pPr>
            <w:r>
              <w:rPr>
                <w:b/>
                <w:bCs/>
              </w:rPr>
              <w:t>13 825</w:t>
            </w:r>
          </w:p>
        </w:tc>
        <w:tc>
          <w:tcPr>
            <w:tcW w:w="554" w:type="pct"/>
            <w:tcBorders>
              <w:top w:val="single" w:sz="6" w:space="0" w:color="auto"/>
              <w:left w:val="single" w:sz="6" w:space="0" w:color="auto"/>
              <w:bottom w:val="single" w:sz="6" w:space="0" w:color="auto"/>
              <w:right w:val="single" w:sz="6" w:space="0" w:color="auto"/>
            </w:tcBorders>
          </w:tcPr>
          <w:p w14:paraId="64873CDE" w14:textId="77777777" w:rsidR="00286F7D" w:rsidRDefault="00286F7D" w:rsidP="00286F7D">
            <w:pPr>
              <w:pStyle w:val="Texttabulky"/>
              <w:spacing w:after="0"/>
              <w:jc w:val="right"/>
            </w:pPr>
            <w:r>
              <w:rPr>
                <w:b/>
                <w:bCs/>
              </w:rPr>
              <w:t>13 040</w:t>
            </w:r>
          </w:p>
        </w:tc>
        <w:tc>
          <w:tcPr>
            <w:tcW w:w="567" w:type="pct"/>
            <w:tcBorders>
              <w:top w:val="single" w:sz="6" w:space="0" w:color="auto"/>
              <w:left w:val="single" w:sz="6" w:space="0" w:color="auto"/>
              <w:bottom w:val="single" w:sz="6" w:space="0" w:color="auto"/>
              <w:right w:val="single" w:sz="6" w:space="0" w:color="auto"/>
            </w:tcBorders>
          </w:tcPr>
          <w:p w14:paraId="3336F461" w14:textId="77777777" w:rsidR="00286F7D" w:rsidRDefault="00286F7D" w:rsidP="00286F7D">
            <w:pPr>
              <w:pStyle w:val="Texttabulky"/>
              <w:spacing w:after="0"/>
              <w:jc w:val="right"/>
            </w:pPr>
            <w:r>
              <w:rPr>
                <w:b/>
                <w:bCs/>
              </w:rPr>
              <w:t>1 040</w:t>
            </w:r>
          </w:p>
        </w:tc>
        <w:tc>
          <w:tcPr>
            <w:tcW w:w="480" w:type="pct"/>
            <w:tcBorders>
              <w:top w:val="single" w:sz="6" w:space="0" w:color="auto"/>
              <w:left w:val="single" w:sz="6" w:space="0" w:color="auto"/>
              <w:bottom w:val="single" w:sz="6" w:space="0" w:color="auto"/>
              <w:right w:val="single" w:sz="6" w:space="0" w:color="auto"/>
            </w:tcBorders>
          </w:tcPr>
          <w:p w14:paraId="5E49FE02" w14:textId="77777777" w:rsidR="00286F7D" w:rsidRDefault="00286F7D" w:rsidP="00286F7D">
            <w:pPr>
              <w:pStyle w:val="Texttabulky"/>
              <w:spacing w:after="0"/>
              <w:jc w:val="right"/>
            </w:pPr>
            <w:r>
              <w:rPr>
                <w:b/>
                <w:bCs/>
              </w:rPr>
              <w:t>14 080</w:t>
            </w:r>
          </w:p>
        </w:tc>
        <w:tc>
          <w:tcPr>
            <w:tcW w:w="388" w:type="pct"/>
            <w:gridSpan w:val="2"/>
            <w:tcBorders>
              <w:top w:val="single" w:sz="6" w:space="0" w:color="auto"/>
              <w:left w:val="single" w:sz="6" w:space="0" w:color="auto"/>
              <w:bottom w:val="single" w:sz="6" w:space="0" w:color="auto"/>
              <w:right w:val="single" w:sz="6" w:space="0" w:color="auto"/>
            </w:tcBorders>
          </w:tcPr>
          <w:p w14:paraId="57A28B96" w14:textId="77777777" w:rsidR="00286F7D" w:rsidRDefault="00286F7D" w:rsidP="00286F7D">
            <w:pPr>
              <w:pStyle w:val="Texttabulky"/>
              <w:spacing w:after="0"/>
              <w:jc w:val="right"/>
            </w:pPr>
            <w:r>
              <w:rPr>
                <w:b/>
                <w:bCs/>
              </w:rPr>
              <w:t>368</w:t>
            </w:r>
          </w:p>
        </w:tc>
        <w:tc>
          <w:tcPr>
            <w:tcW w:w="578" w:type="pct"/>
            <w:tcBorders>
              <w:top w:val="single" w:sz="6" w:space="0" w:color="auto"/>
              <w:left w:val="single" w:sz="6" w:space="0" w:color="auto"/>
              <w:bottom w:val="single" w:sz="6" w:space="0" w:color="auto"/>
              <w:right w:val="single" w:sz="6" w:space="0" w:color="auto"/>
            </w:tcBorders>
          </w:tcPr>
          <w:p w14:paraId="11D1D2CF" w14:textId="77777777" w:rsidR="00286F7D" w:rsidRDefault="00286F7D" w:rsidP="00286F7D">
            <w:pPr>
              <w:pStyle w:val="Texttabulky"/>
              <w:spacing w:after="0"/>
              <w:jc w:val="right"/>
            </w:pPr>
            <w:r>
              <w:rPr>
                <w:b/>
                <w:bCs/>
              </w:rPr>
              <w:t>21 819</w:t>
            </w:r>
          </w:p>
        </w:tc>
        <w:tc>
          <w:tcPr>
            <w:tcW w:w="578" w:type="pct"/>
            <w:tcBorders>
              <w:top w:val="single" w:sz="6" w:space="0" w:color="auto"/>
              <w:left w:val="single" w:sz="6" w:space="0" w:color="auto"/>
              <w:bottom w:val="single" w:sz="6" w:space="0" w:color="auto"/>
              <w:right w:val="single" w:sz="6" w:space="0" w:color="auto"/>
            </w:tcBorders>
          </w:tcPr>
          <w:p w14:paraId="39911675" w14:textId="77777777" w:rsidR="00286F7D" w:rsidRDefault="00286F7D" w:rsidP="00286F7D">
            <w:pPr>
              <w:pStyle w:val="Texttabulky"/>
              <w:spacing w:after="0"/>
              <w:jc w:val="right"/>
            </w:pPr>
            <w:r>
              <w:rPr>
                <w:b/>
                <w:bCs/>
              </w:rPr>
              <w:t>+7 739</w:t>
            </w:r>
          </w:p>
        </w:tc>
      </w:tr>
      <w:tr w:rsidR="00286F7D" w14:paraId="0E54E4C6" w14:textId="77777777" w:rsidTr="00286F7D">
        <w:tc>
          <w:tcPr>
            <w:tcW w:w="238" w:type="pct"/>
            <w:tcBorders>
              <w:top w:val="single" w:sz="6" w:space="0" w:color="auto"/>
              <w:left w:val="single" w:sz="6" w:space="0" w:color="auto"/>
              <w:bottom w:val="single" w:sz="6" w:space="0" w:color="auto"/>
              <w:right w:val="single" w:sz="6" w:space="0" w:color="auto"/>
            </w:tcBorders>
          </w:tcPr>
          <w:p w14:paraId="305992D8" w14:textId="77777777" w:rsidR="00286F7D" w:rsidRDefault="00286F7D" w:rsidP="00286F7D">
            <w:pPr>
              <w:pStyle w:val="Texttabulky"/>
              <w:spacing w:after="0"/>
              <w:jc w:val="right"/>
            </w:pPr>
            <w:r>
              <w:t>14</w:t>
            </w:r>
          </w:p>
        </w:tc>
        <w:tc>
          <w:tcPr>
            <w:tcW w:w="1137" w:type="pct"/>
            <w:tcBorders>
              <w:top w:val="single" w:sz="6" w:space="0" w:color="auto"/>
              <w:left w:val="single" w:sz="6" w:space="0" w:color="auto"/>
              <w:bottom w:val="single" w:sz="6" w:space="0" w:color="auto"/>
              <w:right w:val="single" w:sz="6" w:space="0" w:color="auto"/>
            </w:tcBorders>
          </w:tcPr>
          <w:p w14:paraId="77632682" w14:textId="77777777" w:rsidR="00286F7D" w:rsidRDefault="00286F7D" w:rsidP="00286F7D">
            <w:pPr>
              <w:pStyle w:val="Texttabulky"/>
              <w:spacing w:after="0"/>
            </w:pPr>
            <w:r>
              <w:t>Chlumská stráň</w:t>
            </w:r>
          </w:p>
        </w:tc>
        <w:tc>
          <w:tcPr>
            <w:tcW w:w="478" w:type="pct"/>
            <w:tcBorders>
              <w:top w:val="single" w:sz="6" w:space="0" w:color="auto"/>
              <w:left w:val="single" w:sz="6" w:space="0" w:color="auto"/>
              <w:bottom w:val="single" w:sz="6" w:space="0" w:color="auto"/>
              <w:right w:val="single" w:sz="6" w:space="0" w:color="auto"/>
            </w:tcBorders>
          </w:tcPr>
          <w:p w14:paraId="31C9325A" w14:textId="77777777" w:rsidR="00286F7D" w:rsidRDefault="00286F7D" w:rsidP="00286F7D">
            <w:pPr>
              <w:pStyle w:val="Texttabulky"/>
              <w:spacing w:after="0"/>
              <w:jc w:val="right"/>
            </w:pPr>
            <w:r>
              <w:t>27</w:t>
            </w:r>
          </w:p>
        </w:tc>
        <w:tc>
          <w:tcPr>
            <w:tcW w:w="554" w:type="pct"/>
            <w:tcBorders>
              <w:top w:val="single" w:sz="6" w:space="0" w:color="auto"/>
              <w:left w:val="single" w:sz="6" w:space="0" w:color="auto"/>
              <w:bottom w:val="single" w:sz="6" w:space="0" w:color="auto"/>
              <w:right w:val="single" w:sz="6" w:space="0" w:color="auto"/>
            </w:tcBorders>
          </w:tcPr>
          <w:p w14:paraId="0E9D7A8B" w14:textId="77777777" w:rsidR="00286F7D" w:rsidRDefault="00286F7D" w:rsidP="00286F7D">
            <w:pPr>
              <w:pStyle w:val="Texttabulky"/>
              <w:spacing w:after="0"/>
              <w:jc w:val="right"/>
            </w:pPr>
            <w:r>
              <w:t>20</w:t>
            </w:r>
          </w:p>
        </w:tc>
        <w:tc>
          <w:tcPr>
            <w:tcW w:w="567" w:type="pct"/>
            <w:tcBorders>
              <w:top w:val="single" w:sz="6" w:space="0" w:color="auto"/>
              <w:left w:val="single" w:sz="6" w:space="0" w:color="auto"/>
              <w:bottom w:val="single" w:sz="6" w:space="0" w:color="auto"/>
              <w:right w:val="single" w:sz="6" w:space="0" w:color="auto"/>
            </w:tcBorders>
          </w:tcPr>
          <w:p w14:paraId="4A72E3CA"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34998630" w14:textId="77777777" w:rsidR="00286F7D" w:rsidRDefault="00286F7D" w:rsidP="00286F7D">
            <w:pPr>
              <w:pStyle w:val="Texttabulky"/>
              <w:spacing w:after="0"/>
              <w:jc w:val="right"/>
            </w:pPr>
            <w:r>
              <w:t>20</w:t>
            </w:r>
          </w:p>
        </w:tc>
        <w:tc>
          <w:tcPr>
            <w:tcW w:w="388" w:type="pct"/>
            <w:gridSpan w:val="2"/>
            <w:tcBorders>
              <w:top w:val="single" w:sz="6" w:space="0" w:color="auto"/>
              <w:left w:val="single" w:sz="6" w:space="0" w:color="auto"/>
              <w:bottom w:val="single" w:sz="6" w:space="0" w:color="auto"/>
              <w:right w:val="single" w:sz="6" w:space="0" w:color="auto"/>
            </w:tcBorders>
          </w:tcPr>
          <w:p w14:paraId="00BDB60F"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08FE1008"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15B9A753" w14:textId="77777777" w:rsidR="00286F7D" w:rsidRDefault="00286F7D" w:rsidP="00286F7D">
            <w:pPr>
              <w:pStyle w:val="Texttabulky"/>
              <w:spacing w:after="0"/>
              <w:jc w:val="right"/>
            </w:pPr>
            <w:r>
              <w:t>-20</w:t>
            </w:r>
          </w:p>
        </w:tc>
      </w:tr>
      <w:tr w:rsidR="00286F7D" w14:paraId="0600C56F" w14:textId="77777777" w:rsidTr="00286F7D">
        <w:tc>
          <w:tcPr>
            <w:tcW w:w="238" w:type="pct"/>
            <w:tcBorders>
              <w:top w:val="single" w:sz="6" w:space="0" w:color="auto"/>
              <w:left w:val="single" w:sz="6" w:space="0" w:color="auto"/>
              <w:bottom w:val="single" w:sz="6" w:space="0" w:color="auto"/>
              <w:right w:val="single" w:sz="6" w:space="0" w:color="auto"/>
            </w:tcBorders>
          </w:tcPr>
          <w:p w14:paraId="69D931F1" w14:textId="77777777" w:rsidR="00286F7D" w:rsidRDefault="00286F7D" w:rsidP="00286F7D">
            <w:pPr>
              <w:pStyle w:val="Texttabulky"/>
              <w:spacing w:after="0"/>
              <w:jc w:val="right"/>
            </w:pPr>
            <w:r>
              <w:t>51</w:t>
            </w:r>
          </w:p>
        </w:tc>
        <w:tc>
          <w:tcPr>
            <w:tcW w:w="1137" w:type="pct"/>
            <w:tcBorders>
              <w:top w:val="single" w:sz="6" w:space="0" w:color="auto"/>
              <w:left w:val="single" w:sz="6" w:space="0" w:color="auto"/>
              <w:bottom w:val="single" w:sz="6" w:space="0" w:color="auto"/>
              <w:right w:val="single" w:sz="6" w:space="0" w:color="auto"/>
            </w:tcBorders>
          </w:tcPr>
          <w:p w14:paraId="4C5DE0F9" w14:textId="77777777" w:rsidR="00286F7D" w:rsidRDefault="00286F7D" w:rsidP="00286F7D">
            <w:pPr>
              <w:pStyle w:val="Texttabulky"/>
              <w:spacing w:after="0"/>
            </w:pPr>
            <w:r>
              <w:t>Křešice</w:t>
            </w:r>
          </w:p>
        </w:tc>
        <w:tc>
          <w:tcPr>
            <w:tcW w:w="478" w:type="pct"/>
            <w:tcBorders>
              <w:top w:val="single" w:sz="6" w:space="0" w:color="auto"/>
              <w:left w:val="single" w:sz="6" w:space="0" w:color="auto"/>
              <w:bottom w:val="single" w:sz="6" w:space="0" w:color="auto"/>
              <w:right w:val="single" w:sz="6" w:space="0" w:color="auto"/>
            </w:tcBorders>
          </w:tcPr>
          <w:p w14:paraId="488CA0B3" w14:textId="77777777" w:rsidR="00286F7D" w:rsidRDefault="00286F7D" w:rsidP="00286F7D">
            <w:pPr>
              <w:pStyle w:val="Texttabulky"/>
              <w:spacing w:after="0"/>
              <w:jc w:val="right"/>
            </w:pPr>
            <w:r>
              <w:t>726</w:t>
            </w:r>
          </w:p>
        </w:tc>
        <w:tc>
          <w:tcPr>
            <w:tcW w:w="554" w:type="pct"/>
            <w:tcBorders>
              <w:top w:val="single" w:sz="6" w:space="0" w:color="auto"/>
              <w:left w:val="single" w:sz="6" w:space="0" w:color="auto"/>
              <w:bottom w:val="single" w:sz="6" w:space="0" w:color="auto"/>
              <w:right w:val="single" w:sz="6" w:space="0" w:color="auto"/>
            </w:tcBorders>
          </w:tcPr>
          <w:p w14:paraId="55FDD09D" w14:textId="77777777" w:rsidR="00286F7D" w:rsidRDefault="00286F7D" w:rsidP="00286F7D">
            <w:pPr>
              <w:pStyle w:val="Texttabulky"/>
              <w:spacing w:after="0"/>
              <w:jc w:val="right"/>
            </w:pPr>
            <w:r>
              <w:t>680</w:t>
            </w:r>
          </w:p>
        </w:tc>
        <w:tc>
          <w:tcPr>
            <w:tcW w:w="567" w:type="pct"/>
            <w:tcBorders>
              <w:top w:val="single" w:sz="6" w:space="0" w:color="auto"/>
              <w:left w:val="single" w:sz="6" w:space="0" w:color="auto"/>
              <w:bottom w:val="single" w:sz="6" w:space="0" w:color="auto"/>
              <w:right w:val="single" w:sz="6" w:space="0" w:color="auto"/>
            </w:tcBorders>
          </w:tcPr>
          <w:p w14:paraId="0538EBDC"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73BCFBB5" w14:textId="77777777" w:rsidR="00286F7D" w:rsidRDefault="00286F7D" w:rsidP="00286F7D">
            <w:pPr>
              <w:pStyle w:val="Texttabulky"/>
              <w:spacing w:after="0"/>
              <w:jc w:val="right"/>
            </w:pPr>
            <w:r>
              <w:t>680</w:t>
            </w:r>
          </w:p>
        </w:tc>
        <w:tc>
          <w:tcPr>
            <w:tcW w:w="388" w:type="pct"/>
            <w:gridSpan w:val="2"/>
            <w:tcBorders>
              <w:top w:val="single" w:sz="6" w:space="0" w:color="auto"/>
              <w:left w:val="single" w:sz="6" w:space="0" w:color="auto"/>
              <w:bottom w:val="single" w:sz="6" w:space="0" w:color="auto"/>
              <w:right w:val="single" w:sz="6" w:space="0" w:color="auto"/>
            </w:tcBorders>
          </w:tcPr>
          <w:p w14:paraId="34115613" w14:textId="77777777" w:rsidR="00286F7D" w:rsidRDefault="00286F7D" w:rsidP="00286F7D">
            <w:pPr>
              <w:pStyle w:val="Texttabulky"/>
              <w:spacing w:after="0"/>
              <w:jc w:val="right"/>
            </w:pPr>
            <w:r>
              <w:t>27</w:t>
            </w:r>
          </w:p>
        </w:tc>
        <w:tc>
          <w:tcPr>
            <w:tcW w:w="578" w:type="pct"/>
            <w:tcBorders>
              <w:top w:val="single" w:sz="6" w:space="0" w:color="auto"/>
              <w:left w:val="single" w:sz="6" w:space="0" w:color="auto"/>
              <w:bottom w:val="single" w:sz="6" w:space="0" w:color="auto"/>
              <w:right w:val="single" w:sz="6" w:space="0" w:color="auto"/>
            </w:tcBorders>
          </w:tcPr>
          <w:p w14:paraId="181FF28B" w14:textId="77777777" w:rsidR="00286F7D" w:rsidRDefault="00286F7D" w:rsidP="00286F7D">
            <w:pPr>
              <w:pStyle w:val="Texttabulky"/>
              <w:spacing w:after="0"/>
              <w:jc w:val="right"/>
            </w:pPr>
            <w:r>
              <w:t>784</w:t>
            </w:r>
          </w:p>
        </w:tc>
        <w:tc>
          <w:tcPr>
            <w:tcW w:w="578" w:type="pct"/>
            <w:tcBorders>
              <w:top w:val="single" w:sz="6" w:space="0" w:color="auto"/>
              <w:left w:val="single" w:sz="6" w:space="0" w:color="auto"/>
              <w:bottom w:val="single" w:sz="6" w:space="0" w:color="auto"/>
              <w:right w:val="single" w:sz="6" w:space="0" w:color="auto"/>
            </w:tcBorders>
          </w:tcPr>
          <w:p w14:paraId="1CA87798" w14:textId="77777777" w:rsidR="00286F7D" w:rsidRDefault="00286F7D" w:rsidP="00286F7D">
            <w:pPr>
              <w:pStyle w:val="Texttabulky"/>
              <w:spacing w:after="0"/>
              <w:jc w:val="right"/>
            </w:pPr>
            <w:r>
              <w:t>104</w:t>
            </w:r>
          </w:p>
        </w:tc>
      </w:tr>
      <w:tr w:rsidR="00286F7D" w14:paraId="4737AA02" w14:textId="77777777" w:rsidTr="00286F7D">
        <w:tc>
          <w:tcPr>
            <w:tcW w:w="238" w:type="pct"/>
            <w:tcBorders>
              <w:top w:val="single" w:sz="6" w:space="0" w:color="auto"/>
              <w:left w:val="single" w:sz="6" w:space="0" w:color="auto"/>
              <w:bottom w:val="single" w:sz="6" w:space="0" w:color="auto"/>
              <w:right w:val="single" w:sz="6" w:space="0" w:color="auto"/>
            </w:tcBorders>
          </w:tcPr>
          <w:p w14:paraId="66A2E42D" w14:textId="77777777" w:rsidR="00286F7D" w:rsidRDefault="00286F7D" w:rsidP="00286F7D">
            <w:pPr>
              <w:pStyle w:val="Texttabulky"/>
              <w:spacing w:after="0"/>
              <w:jc w:val="right"/>
            </w:pPr>
            <w:r>
              <w:t>52</w:t>
            </w:r>
          </w:p>
        </w:tc>
        <w:tc>
          <w:tcPr>
            <w:tcW w:w="1137" w:type="pct"/>
            <w:tcBorders>
              <w:top w:val="single" w:sz="6" w:space="0" w:color="auto"/>
              <w:left w:val="single" w:sz="6" w:space="0" w:color="auto"/>
              <w:bottom w:val="single" w:sz="6" w:space="0" w:color="auto"/>
              <w:right w:val="single" w:sz="6" w:space="0" w:color="auto"/>
            </w:tcBorders>
          </w:tcPr>
          <w:p w14:paraId="12187CAD" w14:textId="77777777" w:rsidR="00286F7D" w:rsidRDefault="00286F7D" w:rsidP="00286F7D">
            <w:pPr>
              <w:pStyle w:val="Texttabulky"/>
              <w:spacing w:after="0"/>
            </w:pPr>
            <w:r>
              <w:t>Boletice n.Labem</w:t>
            </w:r>
          </w:p>
        </w:tc>
        <w:tc>
          <w:tcPr>
            <w:tcW w:w="478" w:type="pct"/>
            <w:tcBorders>
              <w:top w:val="single" w:sz="6" w:space="0" w:color="auto"/>
              <w:left w:val="single" w:sz="6" w:space="0" w:color="auto"/>
              <w:bottom w:val="single" w:sz="6" w:space="0" w:color="auto"/>
              <w:right w:val="single" w:sz="6" w:space="0" w:color="auto"/>
            </w:tcBorders>
          </w:tcPr>
          <w:p w14:paraId="5073A2A8" w14:textId="77777777" w:rsidR="00286F7D" w:rsidRDefault="00286F7D" w:rsidP="00286F7D">
            <w:pPr>
              <w:pStyle w:val="Texttabulky"/>
              <w:spacing w:after="0"/>
              <w:jc w:val="right"/>
            </w:pPr>
            <w:r>
              <w:t>5 238</w:t>
            </w:r>
          </w:p>
        </w:tc>
        <w:tc>
          <w:tcPr>
            <w:tcW w:w="554" w:type="pct"/>
            <w:tcBorders>
              <w:top w:val="single" w:sz="6" w:space="0" w:color="auto"/>
              <w:left w:val="single" w:sz="6" w:space="0" w:color="auto"/>
              <w:bottom w:val="single" w:sz="6" w:space="0" w:color="auto"/>
              <w:right w:val="single" w:sz="6" w:space="0" w:color="auto"/>
            </w:tcBorders>
          </w:tcPr>
          <w:p w14:paraId="7F33EE81" w14:textId="77777777" w:rsidR="00286F7D" w:rsidRDefault="00286F7D" w:rsidP="00286F7D">
            <w:pPr>
              <w:pStyle w:val="Texttabulky"/>
              <w:spacing w:after="0"/>
              <w:jc w:val="right"/>
            </w:pPr>
            <w:r>
              <w:t>5 000</w:t>
            </w:r>
          </w:p>
        </w:tc>
        <w:tc>
          <w:tcPr>
            <w:tcW w:w="567" w:type="pct"/>
            <w:tcBorders>
              <w:top w:val="single" w:sz="6" w:space="0" w:color="auto"/>
              <w:left w:val="single" w:sz="6" w:space="0" w:color="auto"/>
              <w:bottom w:val="single" w:sz="6" w:space="0" w:color="auto"/>
              <w:right w:val="single" w:sz="6" w:space="0" w:color="auto"/>
            </w:tcBorders>
          </w:tcPr>
          <w:p w14:paraId="0651C526" w14:textId="77777777" w:rsidR="00286F7D" w:rsidRDefault="00286F7D" w:rsidP="00286F7D">
            <w:pPr>
              <w:pStyle w:val="Texttabulky"/>
              <w:spacing w:after="0"/>
              <w:jc w:val="right"/>
            </w:pPr>
            <w:r>
              <w:t>400</w:t>
            </w:r>
          </w:p>
        </w:tc>
        <w:tc>
          <w:tcPr>
            <w:tcW w:w="480" w:type="pct"/>
            <w:tcBorders>
              <w:top w:val="single" w:sz="6" w:space="0" w:color="auto"/>
              <w:left w:val="single" w:sz="6" w:space="0" w:color="auto"/>
              <w:bottom w:val="single" w:sz="6" w:space="0" w:color="auto"/>
              <w:right w:val="single" w:sz="6" w:space="0" w:color="auto"/>
            </w:tcBorders>
          </w:tcPr>
          <w:p w14:paraId="0A050711" w14:textId="77777777" w:rsidR="00286F7D" w:rsidRDefault="00286F7D" w:rsidP="00286F7D">
            <w:pPr>
              <w:pStyle w:val="Texttabulky"/>
              <w:spacing w:after="0"/>
              <w:jc w:val="right"/>
            </w:pPr>
            <w:r>
              <w:t>5 400</w:t>
            </w:r>
          </w:p>
        </w:tc>
        <w:tc>
          <w:tcPr>
            <w:tcW w:w="388" w:type="pct"/>
            <w:gridSpan w:val="2"/>
            <w:tcBorders>
              <w:top w:val="single" w:sz="6" w:space="0" w:color="auto"/>
              <w:left w:val="single" w:sz="6" w:space="0" w:color="auto"/>
              <w:bottom w:val="single" w:sz="6" w:space="0" w:color="auto"/>
              <w:right w:val="single" w:sz="6" w:space="0" w:color="auto"/>
            </w:tcBorders>
          </w:tcPr>
          <w:p w14:paraId="7DECDCDB" w14:textId="77777777" w:rsidR="00286F7D" w:rsidRDefault="00286F7D" w:rsidP="00286F7D">
            <w:pPr>
              <w:pStyle w:val="Texttabulky"/>
              <w:spacing w:after="0"/>
              <w:jc w:val="right"/>
            </w:pPr>
            <w:r>
              <w:t>101</w:t>
            </w:r>
          </w:p>
        </w:tc>
        <w:tc>
          <w:tcPr>
            <w:tcW w:w="578" w:type="pct"/>
            <w:tcBorders>
              <w:top w:val="single" w:sz="6" w:space="0" w:color="auto"/>
              <w:left w:val="single" w:sz="6" w:space="0" w:color="auto"/>
              <w:bottom w:val="single" w:sz="6" w:space="0" w:color="auto"/>
              <w:right w:val="single" w:sz="6" w:space="0" w:color="auto"/>
            </w:tcBorders>
          </w:tcPr>
          <w:p w14:paraId="02E1BAEB" w14:textId="77777777" w:rsidR="00286F7D" w:rsidRDefault="00286F7D" w:rsidP="00286F7D">
            <w:pPr>
              <w:pStyle w:val="Texttabulky"/>
              <w:spacing w:after="0"/>
              <w:jc w:val="right"/>
            </w:pPr>
            <w:r>
              <w:t>4 772</w:t>
            </w:r>
          </w:p>
        </w:tc>
        <w:tc>
          <w:tcPr>
            <w:tcW w:w="578" w:type="pct"/>
            <w:tcBorders>
              <w:top w:val="single" w:sz="6" w:space="0" w:color="auto"/>
              <w:left w:val="single" w:sz="6" w:space="0" w:color="auto"/>
              <w:bottom w:val="single" w:sz="6" w:space="0" w:color="auto"/>
              <w:right w:val="single" w:sz="6" w:space="0" w:color="auto"/>
            </w:tcBorders>
          </w:tcPr>
          <w:p w14:paraId="28CC7881" w14:textId="77777777" w:rsidR="00286F7D" w:rsidRDefault="00286F7D" w:rsidP="00286F7D">
            <w:pPr>
              <w:pStyle w:val="Texttabulky"/>
              <w:spacing w:after="0"/>
              <w:jc w:val="right"/>
            </w:pPr>
            <w:r>
              <w:t>-628</w:t>
            </w:r>
          </w:p>
        </w:tc>
      </w:tr>
      <w:tr w:rsidR="00286F7D" w14:paraId="05C4B344" w14:textId="77777777" w:rsidTr="00286F7D">
        <w:tc>
          <w:tcPr>
            <w:tcW w:w="238" w:type="pct"/>
            <w:tcBorders>
              <w:top w:val="single" w:sz="6" w:space="0" w:color="auto"/>
              <w:left w:val="single" w:sz="6" w:space="0" w:color="auto"/>
              <w:bottom w:val="single" w:sz="6" w:space="0" w:color="auto"/>
              <w:right w:val="single" w:sz="6" w:space="0" w:color="auto"/>
            </w:tcBorders>
          </w:tcPr>
          <w:p w14:paraId="3D81E199" w14:textId="77777777" w:rsidR="00286F7D" w:rsidRDefault="00286F7D" w:rsidP="00286F7D">
            <w:pPr>
              <w:pStyle w:val="Texttabulky"/>
              <w:spacing w:after="0"/>
              <w:jc w:val="right"/>
            </w:pPr>
            <w:r>
              <w:t>57</w:t>
            </w:r>
          </w:p>
        </w:tc>
        <w:tc>
          <w:tcPr>
            <w:tcW w:w="1137" w:type="pct"/>
            <w:tcBorders>
              <w:top w:val="single" w:sz="6" w:space="0" w:color="auto"/>
              <w:left w:val="single" w:sz="6" w:space="0" w:color="auto"/>
              <w:bottom w:val="single" w:sz="6" w:space="0" w:color="auto"/>
              <w:right w:val="single" w:sz="6" w:space="0" w:color="auto"/>
            </w:tcBorders>
          </w:tcPr>
          <w:p w14:paraId="3AB88060" w14:textId="77777777" w:rsidR="00286F7D" w:rsidRDefault="00286F7D" w:rsidP="00286F7D">
            <w:pPr>
              <w:pStyle w:val="Texttabulky"/>
              <w:spacing w:after="0"/>
            </w:pPr>
            <w:r>
              <w:t>Nebočady</w:t>
            </w:r>
          </w:p>
        </w:tc>
        <w:tc>
          <w:tcPr>
            <w:tcW w:w="478" w:type="pct"/>
            <w:tcBorders>
              <w:top w:val="single" w:sz="6" w:space="0" w:color="auto"/>
              <w:left w:val="single" w:sz="6" w:space="0" w:color="auto"/>
              <w:bottom w:val="single" w:sz="6" w:space="0" w:color="auto"/>
              <w:right w:val="single" w:sz="6" w:space="0" w:color="auto"/>
            </w:tcBorders>
          </w:tcPr>
          <w:p w14:paraId="5321BBE4" w14:textId="77777777" w:rsidR="00286F7D" w:rsidRDefault="00286F7D" w:rsidP="00286F7D">
            <w:pPr>
              <w:pStyle w:val="Texttabulky"/>
              <w:spacing w:after="0"/>
              <w:jc w:val="right"/>
            </w:pPr>
            <w:r>
              <w:t>363</w:t>
            </w:r>
          </w:p>
        </w:tc>
        <w:tc>
          <w:tcPr>
            <w:tcW w:w="554" w:type="pct"/>
            <w:tcBorders>
              <w:top w:val="single" w:sz="6" w:space="0" w:color="auto"/>
              <w:left w:val="single" w:sz="6" w:space="0" w:color="auto"/>
              <w:bottom w:val="single" w:sz="6" w:space="0" w:color="auto"/>
              <w:right w:val="single" w:sz="6" w:space="0" w:color="auto"/>
            </w:tcBorders>
          </w:tcPr>
          <w:p w14:paraId="5031EB93" w14:textId="77777777" w:rsidR="00286F7D" w:rsidRDefault="00286F7D" w:rsidP="00286F7D">
            <w:pPr>
              <w:pStyle w:val="Texttabulky"/>
              <w:spacing w:after="0"/>
              <w:jc w:val="right"/>
            </w:pPr>
            <w:r>
              <w:t>350</w:t>
            </w:r>
          </w:p>
        </w:tc>
        <w:tc>
          <w:tcPr>
            <w:tcW w:w="567" w:type="pct"/>
            <w:tcBorders>
              <w:top w:val="single" w:sz="6" w:space="0" w:color="auto"/>
              <w:left w:val="single" w:sz="6" w:space="0" w:color="auto"/>
              <w:bottom w:val="single" w:sz="6" w:space="0" w:color="auto"/>
              <w:right w:val="single" w:sz="6" w:space="0" w:color="auto"/>
            </w:tcBorders>
          </w:tcPr>
          <w:p w14:paraId="262746C3"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4BD270F2" w14:textId="77777777" w:rsidR="00286F7D" w:rsidRDefault="00286F7D" w:rsidP="00286F7D">
            <w:pPr>
              <w:pStyle w:val="Texttabulky"/>
              <w:spacing w:after="0"/>
              <w:jc w:val="right"/>
            </w:pPr>
            <w:r>
              <w:t>350</w:t>
            </w:r>
          </w:p>
        </w:tc>
        <w:tc>
          <w:tcPr>
            <w:tcW w:w="388" w:type="pct"/>
            <w:gridSpan w:val="2"/>
            <w:tcBorders>
              <w:top w:val="single" w:sz="6" w:space="0" w:color="auto"/>
              <w:left w:val="single" w:sz="6" w:space="0" w:color="auto"/>
              <w:bottom w:val="single" w:sz="6" w:space="0" w:color="auto"/>
              <w:right w:val="single" w:sz="6" w:space="0" w:color="auto"/>
            </w:tcBorders>
          </w:tcPr>
          <w:p w14:paraId="6343C00A" w14:textId="77777777" w:rsidR="00286F7D" w:rsidRDefault="00286F7D" w:rsidP="00286F7D">
            <w:pPr>
              <w:pStyle w:val="Texttabulky"/>
              <w:spacing w:after="0"/>
              <w:jc w:val="right"/>
            </w:pPr>
            <w:r>
              <w:t>20</w:t>
            </w:r>
          </w:p>
        </w:tc>
        <w:tc>
          <w:tcPr>
            <w:tcW w:w="578" w:type="pct"/>
            <w:tcBorders>
              <w:top w:val="single" w:sz="6" w:space="0" w:color="auto"/>
              <w:left w:val="single" w:sz="6" w:space="0" w:color="auto"/>
              <w:bottom w:val="single" w:sz="6" w:space="0" w:color="auto"/>
              <w:right w:val="single" w:sz="6" w:space="0" w:color="auto"/>
            </w:tcBorders>
          </w:tcPr>
          <w:p w14:paraId="392B2E74" w14:textId="77777777" w:rsidR="00286F7D" w:rsidRDefault="00286F7D" w:rsidP="00286F7D">
            <w:pPr>
              <w:pStyle w:val="Texttabulky"/>
              <w:spacing w:after="0"/>
              <w:jc w:val="right"/>
            </w:pPr>
            <w:r>
              <w:t>534</w:t>
            </w:r>
          </w:p>
        </w:tc>
        <w:tc>
          <w:tcPr>
            <w:tcW w:w="578" w:type="pct"/>
            <w:tcBorders>
              <w:top w:val="single" w:sz="6" w:space="0" w:color="auto"/>
              <w:left w:val="single" w:sz="6" w:space="0" w:color="auto"/>
              <w:bottom w:val="single" w:sz="6" w:space="0" w:color="auto"/>
              <w:right w:val="single" w:sz="6" w:space="0" w:color="auto"/>
            </w:tcBorders>
          </w:tcPr>
          <w:p w14:paraId="48A1E46B" w14:textId="77777777" w:rsidR="00286F7D" w:rsidRDefault="00286F7D" w:rsidP="00286F7D">
            <w:pPr>
              <w:pStyle w:val="Texttabulky"/>
              <w:spacing w:after="0"/>
              <w:jc w:val="right"/>
            </w:pPr>
            <w:r>
              <w:t>184</w:t>
            </w:r>
          </w:p>
        </w:tc>
      </w:tr>
      <w:tr w:rsidR="00286F7D" w14:paraId="7E96FF33" w14:textId="77777777" w:rsidTr="00286F7D">
        <w:tc>
          <w:tcPr>
            <w:tcW w:w="238" w:type="pct"/>
            <w:tcBorders>
              <w:top w:val="single" w:sz="6" w:space="0" w:color="auto"/>
              <w:left w:val="single" w:sz="6" w:space="0" w:color="auto"/>
              <w:bottom w:val="single" w:sz="6" w:space="0" w:color="auto"/>
              <w:right w:val="single" w:sz="6" w:space="0" w:color="auto"/>
            </w:tcBorders>
          </w:tcPr>
          <w:p w14:paraId="661DFBBC" w14:textId="77777777" w:rsidR="00286F7D" w:rsidRDefault="00286F7D" w:rsidP="00286F7D">
            <w:pPr>
              <w:pStyle w:val="Texttabulky"/>
              <w:spacing w:after="0"/>
              <w:jc w:val="right"/>
            </w:pPr>
            <w:r>
              <w:t>58</w:t>
            </w:r>
          </w:p>
        </w:tc>
        <w:tc>
          <w:tcPr>
            <w:tcW w:w="1137" w:type="pct"/>
            <w:tcBorders>
              <w:top w:val="single" w:sz="6" w:space="0" w:color="auto"/>
              <w:left w:val="single" w:sz="6" w:space="0" w:color="auto"/>
              <w:bottom w:val="single" w:sz="6" w:space="0" w:color="auto"/>
              <w:right w:val="single" w:sz="6" w:space="0" w:color="auto"/>
            </w:tcBorders>
          </w:tcPr>
          <w:p w14:paraId="274F58CE" w14:textId="77777777" w:rsidR="00286F7D" w:rsidRDefault="00286F7D" w:rsidP="00286F7D">
            <w:pPr>
              <w:pStyle w:val="Texttabulky"/>
              <w:spacing w:after="0"/>
            </w:pPr>
            <w:r>
              <w:t>Jakuby</w:t>
            </w:r>
          </w:p>
        </w:tc>
        <w:tc>
          <w:tcPr>
            <w:tcW w:w="478" w:type="pct"/>
            <w:tcBorders>
              <w:top w:val="single" w:sz="6" w:space="0" w:color="auto"/>
              <w:left w:val="single" w:sz="6" w:space="0" w:color="auto"/>
              <w:bottom w:val="single" w:sz="6" w:space="0" w:color="auto"/>
              <w:right w:val="single" w:sz="6" w:space="0" w:color="auto"/>
            </w:tcBorders>
          </w:tcPr>
          <w:p w14:paraId="2A0E93D4" w14:textId="77777777" w:rsidR="00286F7D" w:rsidRDefault="00286F7D" w:rsidP="00286F7D">
            <w:pPr>
              <w:pStyle w:val="Texttabulky"/>
              <w:spacing w:after="0"/>
              <w:jc w:val="right"/>
            </w:pPr>
            <w:r>
              <w:t>28</w:t>
            </w:r>
          </w:p>
        </w:tc>
        <w:tc>
          <w:tcPr>
            <w:tcW w:w="554" w:type="pct"/>
            <w:tcBorders>
              <w:top w:val="single" w:sz="6" w:space="0" w:color="auto"/>
              <w:left w:val="single" w:sz="6" w:space="0" w:color="auto"/>
              <w:bottom w:val="single" w:sz="6" w:space="0" w:color="auto"/>
              <w:right w:val="single" w:sz="6" w:space="0" w:color="auto"/>
            </w:tcBorders>
          </w:tcPr>
          <w:p w14:paraId="0C4A0050" w14:textId="77777777" w:rsidR="00286F7D" w:rsidRDefault="00286F7D" w:rsidP="00286F7D">
            <w:pPr>
              <w:pStyle w:val="Texttabulky"/>
              <w:spacing w:after="0"/>
              <w:jc w:val="right"/>
            </w:pPr>
            <w:r>
              <w:t>20</w:t>
            </w:r>
          </w:p>
        </w:tc>
        <w:tc>
          <w:tcPr>
            <w:tcW w:w="567" w:type="pct"/>
            <w:tcBorders>
              <w:top w:val="single" w:sz="6" w:space="0" w:color="auto"/>
              <w:left w:val="single" w:sz="6" w:space="0" w:color="auto"/>
              <w:bottom w:val="single" w:sz="6" w:space="0" w:color="auto"/>
              <w:right w:val="single" w:sz="6" w:space="0" w:color="auto"/>
            </w:tcBorders>
          </w:tcPr>
          <w:p w14:paraId="0DFABDCE"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675038E9" w14:textId="77777777" w:rsidR="00286F7D" w:rsidRDefault="00286F7D" w:rsidP="00286F7D">
            <w:pPr>
              <w:pStyle w:val="Texttabulky"/>
              <w:spacing w:after="0"/>
              <w:jc w:val="right"/>
            </w:pPr>
            <w:r>
              <w:t>20</w:t>
            </w:r>
          </w:p>
        </w:tc>
        <w:tc>
          <w:tcPr>
            <w:tcW w:w="388" w:type="pct"/>
            <w:gridSpan w:val="2"/>
            <w:tcBorders>
              <w:top w:val="single" w:sz="6" w:space="0" w:color="auto"/>
              <w:left w:val="single" w:sz="6" w:space="0" w:color="auto"/>
              <w:bottom w:val="single" w:sz="6" w:space="0" w:color="auto"/>
              <w:right w:val="single" w:sz="6" w:space="0" w:color="auto"/>
            </w:tcBorders>
          </w:tcPr>
          <w:p w14:paraId="0BA441E0"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377FF230"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427ADDAD" w14:textId="77777777" w:rsidR="00286F7D" w:rsidRDefault="00286F7D" w:rsidP="00286F7D">
            <w:pPr>
              <w:pStyle w:val="Texttabulky"/>
              <w:spacing w:after="0"/>
              <w:jc w:val="right"/>
            </w:pPr>
            <w:r>
              <w:t>-20</w:t>
            </w:r>
          </w:p>
        </w:tc>
      </w:tr>
      <w:tr w:rsidR="00286F7D" w14:paraId="677887AF" w14:textId="77777777" w:rsidTr="00286F7D">
        <w:tc>
          <w:tcPr>
            <w:tcW w:w="238" w:type="pct"/>
            <w:tcBorders>
              <w:top w:val="single" w:sz="6" w:space="0" w:color="auto"/>
              <w:left w:val="single" w:sz="6" w:space="0" w:color="auto"/>
              <w:bottom w:val="single" w:sz="6" w:space="0" w:color="auto"/>
              <w:right w:val="single" w:sz="6" w:space="0" w:color="auto"/>
            </w:tcBorders>
          </w:tcPr>
          <w:p w14:paraId="01C94111" w14:textId="77777777" w:rsidR="00286F7D" w:rsidRDefault="00286F7D" w:rsidP="00286F7D">
            <w:pPr>
              <w:pStyle w:val="Texttabulky"/>
              <w:spacing w:after="0"/>
              <w:jc w:val="right"/>
            </w:pPr>
            <w:r>
              <w:t>66</w:t>
            </w:r>
          </w:p>
        </w:tc>
        <w:tc>
          <w:tcPr>
            <w:tcW w:w="1137" w:type="pct"/>
            <w:tcBorders>
              <w:top w:val="single" w:sz="6" w:space="0" w:color="auto"/>
              <w:left w:val="single" w:sz="6" w:space="0" w:color="auto"/>
              <w:bottom w:val="single" w:sz="6" w:space="0" w:color="auto"/>
              <w:right w:val="single" w:sz="6" w:space="0" w:color="auto"/>
            </w:tcBorders>
          </w:tcPr>
          <w:p w14:paraId="20D1CE44" w14:textId="77777777" w:rsidR="00286F7D" w:rsidRDefault="00286F7D" w:rsidP="00286F7D">
            <w:pPr>
              <w:pStyle w:val="Texttabulky"/>
              <w:spacing w:after="0"/>
            </w:pPr>
            <w:r>
              <w:t>prům.obvod Křešice</w:t>
            </w:r>
          </w:p>
        </w:tc>
        <w:tc>
          <w:tcPr>
            <w:tcW w:w="478" w:type="pct"/>
            <w:tcBorders>
              <w:top w:val="single" w:sz="6" w:space="0" w:color="auto"/>
              <w:left w:val="single" w:sz="6" w:space="0" w:color="auto"/>
              <w:bottom w:val="single" w:sz="6" w:space="0" w:color="auto"/>
              <w:right w:val="single" w:sz="6" w:space="0" w:color="auto"/>
            </w:tcBorders>
          </w:tcPr>
          <w:p w14:paraId="2BE2DD2D" w14:textId="77777777" w:rsidR="00286F7D" w:rsidRDefault="00286F7D" w:rsidP="00286F7D">
            <w:pPr>
              <w:pStyle w:val="Texttabulky"/>
              <w:spacing w:after="0"/>
              <w:jc w:val="right"/>
            </w:pPr>
            <w:r>
              <w:t>95</w:t>
            </w:r>
          </w:p>
        </w:tc>
        <w:tc>
          <w:tcPr>
            <w:tcW w:w="554" w:type="pct"/>
            <w:tcBorders>
              <w:top w:val="single" w:sz="6" w:space="0" w:color="auto"/>
              <w:left w:val="single" w:sz="6" w:space="0" w:color="auto"/>
              <w:bottom w:val="single" w:sz="6" w:space="0" w:color="auto"/>
              <w:right w:val="single" w:sz="6" w:space="0" w:color="auto"/>
            </w:tcBorders>
          </w:tcPr>
          <w:p w14:paraId="394BC2FE" w14:textId="77777777" w:rsidR="00286F7D" w:rsidRDefault="00286F7D" w:rsidP="00286F7D">
            <w:pPr>
              <w:pStyle w:val="Texttabulky"/>
              <w:spacing w:after="0"/>
              <w:jc w:val="right"/>
            </w:pPr>
            <w:r>
              <w:t>70</w:t>
            </w:r>
          </w:p>
        </w:tc>
        <w:tc>
          <w:tcPr>
            <w:tcW w:w="567" w:type="pct"/>
            <w:tcBorders>
              <w:top w:val="single" w:sz="6" w:space="0" w:color="auto"/>
              <w:left w:val="single" w:sz="6" w:space="0" w:color="auto"/>
              <w:bottom w:val="single" w:sz="6" w:space="0" w:color="auto"/>
              <w:right w:val="single" w:sz="6" w:space="0" w:color="auto"/>
            </w:tcBorders>
          </w:tcPr>
          <w:p w14:paraId="2A84543B"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31A019A0" w14:textId="77777777" w:rsidR="00286F7D" w:rsidRDefault="00286F7D" w:rsidP="00286F7D">
            <w:pPr>
              <w:pStyle w:val="Texttabulky"/>
              <w:spacing w:after="0"/>
              <w:jc w:val="right"/>
            </w:pPr>
            <w:r>
              <w:t>70</w:t>
            </w:r>
          </w:p>
        </w:tc>
        <w:tc>
          <w:tcPr>
            <w:tcW w:w="388" w:type="pct"/>
            <w:gridSpan w:val="2"/>
            <w:tcBorders>
              <w:top w:val="single" w:sz="6" w:space="0" w:color="auto"/>
              <w:left w:val="single" w:sz="6" w:space="0" w:color="auto"/>
              <w:bottom w:val="single" w:sz="6" w:space="0" w:color="auto"/>
              <w:right w:val="single" w:sz="6" w:space="0" w:color="auto"/>
            </w:tcBorders>
          </w:tcPr>
          <w:p w14:paraId="6603DFD2"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3DAE6D2E"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679F5B25" w14:textId="77777777" w:rsidR="00286F7D" w:rsidRDefault="00286F7D" w:rsidP="00286F7D">
            <w:pPr>
              <w:pStyle w:val="Texttabulky"/>
              <w:spacing w:after="0"/>
              <w:jc w:val="right"/>
            </w:pPr>
            <w:r>
              <w:t>-70</w:t>
            </w:r>
          </w:p>
        </w:tc>
      </w:tr>
      <w:tr w:rsidR="00286F7D" w14:paraId="3D64CB00" w14:textId="77777777" w:rsidTr="00286F7D">
        <w:tc>
          <w:tcPr>
            <w:tcW w:w="238" w:type="pct"/>
            <w:tcBorders>
              <w:top w:val="single" w:sz="6" w:space="0" w:color="auto"/>
              <w:left w:val="single" w:sz="6" w:space="0" w:color="auto"/>
              <w:bottom w:val="single" w:sz="6" w:space="0" w:color="auto"/>
              <w:right w:val="single" w:sz="6" w:space="0" w:color="auto"/>
            </w:tcBorders>
          </w:tcPr>
          <w:p w14:paraId="15FA3E56" w14:textId="77777777" w:rsidR="00286F7D" w:rsidRDefault="00286F7D" w:rsidP="00286F7D">
            <w:pPr>
              <w:pStyle w:val="Texttabulky"/>
              <w:spacing w:after="0"/>
              <w:jc w:val="right"/>
            </w:pPr>
            <w:r>
              <w:t>67</w:t>
            </w:r>
          </w:p>
        </w:tc>
        <w:tc>
          <w:tcPr>
            <w:tcW w:w="1137" w:type="pct"/>
            <w:tcBorders>
              <w:top w:val="single" w:sz="6" w:space="0" w:color="auto"/>
              <w:left w:val="single" w:sz="6" w:space="0" w:color="auto"/>
              <w:bottom w:val="single" w:sz="6" w:space="0" w:color="auto"/>
              <w:right w:val="single" w:sz="6" w:space="0" w:color="auto"/>
            </w:tcBorders>
          </w:tcPr>
          <w:p w14:paraId="3C362316" w14:textId="77777777" w:rsidR="00286F7D" w:rsidRDefault="00286F7D" w:rsidP="00286F7D">
            <w:pPr>
              <w:pStyle w:val="Texttabulky"/>
              <w:spacing w:after="0"/>
            </w:pPr>
            <w:r>
              <w:t>Labská niva</w:t>
            </w:r>
          </w:p>
        </w:tc>
        <w:tc>
          <w:tcPr>
            <w:tcW w:w="478" w:type="pct"/>
            <w:tcBorders>
              <w:top w:val="single" w:sz="6" w:space="0" w:color="auto"/>
              <w:left w:val="single" w:sz="6" w:space="0" w:color="auto"/>
              <w:bottom w:val="single" w:sz="6" w:space="0" w:color="auto"/>
              <w:right w:val="single" w:sz="6" w:space="0" w:color="auto"/>
            </w:tcBorders>
          </w:tcPr>
          <w:p w14:paraId="03ECE587"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322E1A0D"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2DAA2C6E"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74774B47" w14:textId="77777777" w:rsidR="00286F7D" w:rsidRDefault="00286F7D" w:rsidP="00286F7D">
            <w:pPr>
              <w:pStyle w:val="Texttabulky"/>
              <w:spacing w:after="0"/>
              <w:jc w:val="right"/>
            </w:pPr>
            <w:r>
              <w:t>0</w:t>
            </w:r>
          </w:p>
        </w:tc>
        <w:tc>
          <w:tcPr>
            <w:tcW w:w="388" w:type="pct"/>
            <w:gridSpan w:val="2"/>
            <w:tcBorders>
              <w:top w:val="single" w:sz="6" w:space="0" w:color="auto"/>
              <w:left w:val="single" w:sz="6" w:space="0" w:color="auto"/>
              <w:bottom w:val="single" w:sz="6" w:space="0" w:color="auto"/>
              <w:right w:val="single" w:sz="6" w:space="0" w:color="auto"/>
            </w:tcBorders>
          </w:tcPr>
          <w:p w14:paraId="1F8FE266"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6DED236A"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3D749AD6" w14:textId="77777777" w:rsidR="00286F7D" w:rsidRDefault="00286F7D" w:rsidP="00286F7D">
            <w:pPr>
              <w:pStyle w:val="Texttabulky"/>
              <w:spacing w:after="0"/>
              <w:jc w:val="right"/>
            </w:pPr>
            <w:r>
              <w:t>0</w:t>
            </w:r>
          </w:p>
        </w:tc>
      </w:tr>
      <w:tr w:rsidR="00286F7D" w14:paraId="6313424C" w14:textId="77777777" w:rsidTr="00286F7D">
        <w:tc>
          <w:tcPr>
            <w:tcW w:w="238" w:type="pct"/>
            <w:tcBorders>
              <w:top w:val="single" w:sz="6" w:space="0" w:color="auto"/>
              <w:left w:val="single" w:sz="6" w:space="0" w:color="auto"/>
              <w:bottom w:val="single" w:sz="6" w:space="0" w:color="auto"/>
              <w:right w:val="single" w:sz="6" w:space="0" w:color="auto"/>
            </w:tcBorders>
          </w:tcPr>
          <w:p w14:paraId="5ECC8EDF" w14:textId="77777777" w:rsidR="00286F7D" w:rsidRDefault="00286F7D" w:rsidP="00286F7D">
            <w:pPr>
              <w:pStyle w:val="Texttabulky"/>
              <w:spacing w:after="0"/>
              <w:jc w:val="right"/>
            </w:pPr>
            <w:r>
              <w:t>68</w:t>
            </w:r>
          </w:p>
        </w:tc>
        <w:tc>
          <w:tcPr>
            <w:tcW w:w="1137" w:type="pct"/>
            <w:tcBorders>
              <w:top w:val="single" w:sz="6" w:space="0" w:color="auto"/>
              <w:left w:val="single" w:sz="6" w:space="0" w:color="auto"/>
              <w:bottom w:val="single" w:sz="6" w:space="0" w:color="auto"/>
              <w:right w:val="single" w:sz="6" w:space="0" w:color="auto"/>
            </w:tcBorders>
          </w:tcPr>
          <w:p w14:paraId="6891F2FA" w14:textId="77777777" w:rsidR="00286F7D" w:rsidRDefault="00286F7D" w:rsidP="00286F7D">
            <w:pPr>
              <w:pStyle w:val="Texttabulky"/>
              <w:spacing w:after="0"/>
            </w:pPr>
            <w:r>
              <w:t xml:space="preserve">prům.obvod Boletice </w:t>
            </w:r>
          </w:p>
        </w:tc>
        <w:tc>
          <w:tcPr>
            <w:tcW w:w="478" w:type="pct"/>
            <w:tcBorders>
              <w:top w:val="single" w:sz="6" w:space="0" w:color="auto"/>
              <w:left w:val="single" w:sz="6" w:space="0" w:color="auto"/>
              <w:bottom w:val="single" w:sz="6" w:space="0" w:color="auto"/>
              <w:right w:val="single" w:sz="6" w:space="0" w:color="auto"/>
            </w:tcBorders>
          </w:tcPr>
          <w:p w14:paraId="42234539"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5E2384D4"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13ABB327"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3D04957E" w14:textId="77777777" w:rsidR="00286F7D" w:rsidRDefault="00286F7D" w:rsidP="00286F7D">
            <w:pPr>
              <w:pStyle w:val="Texttabulky"/>
              <w:spacing w:after="0"/>
              <w:jc w:val="right"/>
            </w:pPr>
            <w:r>
              <w:t>0</w:t>
            </w:r>
          </w:p>
        </w:tc>
        <w:tc>
          <w:tcPr>
            <w:tcW w:w="388" w:type="pct"/>
            <w:gridSpan w:val="2"/>
            <w:tcBorders>
              <w:top w:val="single" w:sz="6" w:space="0" w:color="auto"/>
              <w:left w:val="single" w:sz="6" w:space="0" w:color="auto"/>
              <w:bottom w:val="single" w:sz="6" w:space="0" w:color="auto"/>
              <w:right w:val="single" w:sz="6" w:space="0" w:color="auto"/>
            </w:tcBorders>
          </w:tcPr>
          <w:p w14:paraId="73E7D0B2"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1F3E3946"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3127E89B" w14:textId="77777777" w:rsidR="00286F7D" w:rsidRDefault="00286F7D" w:rsidP="00286F7D">
            <w:pPr>
              <w:pStyle w:val="Texttabulky"/>
              <w:spacing w:after="0"/>
              <w:jc w:val="right"/>
            </w:pPr>
            <w:r>
              <w:t>0</w:t>
            </w:r>
          </w:p>
        </w:tc>
      </w:tr>
      <w:tr w:rsidR="00286F7D" w14:paraId="6C6EF50B" w14:textId="77777777" w:rsidTr="00286F7D">
        <w:tc>
          <w:tcPr>
            <w:tcW w:w="238" w:type="pct"/>
            <w:tcBorders>
              <w:top w:val="single" w:sz="6" w:space="0" w:color="auto"/>
              <w:left w:val="single" w:sz="6" w:space="0" w:color="auto"/>
              <w:bottom w:val="single" w:sz="6" w:space="0" w:color="auto"/>
              <w:right w:val="single" w:sz="6" w:space="0" w:color="auto"/>
            </w:tcBorders>
          </w:tcPr>
          <w:p w14:paraId="74E33C17" w14:textId="77777777" w:rsidR="00286F7D" w:rsidRDefault="00286F7D" w:rsidP="00286F7D">
            <w:pPr>
              <w:pStyle w:val="Texttabulky"/>
              <w:spacing w:after="0"/>
            </w:pPr>
            <w:r>
              <w:rPr>
                <w:b/>
                <w:bCs/>
              </w:rPr>
              <w:t xml:space="preserve">VII </w:t>
            </w:r>
          </w:p>
        </w:tc>
        <w:tc>
          <w:tcPr>
            <w:tcW w:w="1137" w:type="pct"/>
            <w:tcBorders>
              <w:top w:val="single" w:sz="6" w:space="0" w:color="auto"/>
              <w:left w:val="single" w:sz="6" w:space="0" w:color="auto"/>
              <w:bottom w:val="single" w:sz="6" w:space="0" w:color="auto"/>
              <w:right w:val="single" w:sz="6" w:space="0" w:color="auto"/>
            </w:tcBorders>
          </w:tcPr>
          <w:p w14:paraId="4C85406E" w14:textId="77777777" w:rsidR="00286F7D" w:rsidRDefault="00286F7D" w:rsidP="00286F7D">
            <w:pPr>
              <w:pStyle w:val="Texttabulky"/>
              <w:spacing w:after="0"/>
            </w:pPr>
            <w:r>
              <w:rPr>
                <w:b/>
                <w:bCs/>
                <w:caps/>
              </w:rPr>
              <w:t>sektor celkem</w:t>
            </w:r>
          </w:p>
        </w:tc>
        <w:tc>
          <w:tcPr>
            <w:tcW w:w="478" w:type="pct"/>
            <w:tcBorders>
              <w:top w:val="single" w:sz="6" w:space="0" w:color="auto"/>
              <w:left w:val="single" w:sz="6" w:space="0" w:color="auto"/>
              <w:bottom w:val="single" w:sz="6" w:space="0" w:color="auto"/>
              <w:right w:val="single" w:sz="6" w:space="0" w:color="auto"/>
            </w:tcBorders>
          </w:tcPr>
          <w:p w14:paraId="2F05A264" w14:textId="77777777" w:rsidR="00286F7D" w:rsidRDefault="00286F7D" w:rsidP="00286F7D">
            <w:pPr>
              <w:pStyle w:val="Texttabulky"/>
              <w:spacing w:after="0"/>
              <w:jc w:val="right"/>
            </w:pPr>
            <w:r>
              <w:rPr>
                <w:b/>
                <w:bCs/>
              </w:rPr>
              <w:t>6 450</w:t>
            </w:r>
          </w:p>
        </w:tc>
        <w:tc>
          <w:tcPr>
            <w:tcW w:w="554" w:type="pct"/>
            <w:tcBorders>
              <w:top w:val="single" w:sz="6" w:space="0" w:color="auto"/>
              <w:left w:val="single" w:sz="6" w:space="0" w:color="auto"/>
              <w:bottom w:val="single" w:sz="6" w:space="0" w:color="auto"/>
              <w:right w:val="single" w:sz="6" w:space="0" w:color="auto"/>
            </w:tcBorders>
          </w:tcPr>
          <w:p w14:paraId="0633956C" w14:textId="77777777" w:rsidR="00286F7D" w:rsidRDefault="00286F7D" w:rsidP="00286F7D">
            <w:pPr>
              <w:pStyle w:val="Texttabulky"/>
              <w:spacing w:after="0"/>
              <w:jc w:val="right"/>
            </w:pPr>
            <w:r>
              <w:rPr>
                <w:b/>
                <w:bCs/>
              </w:rPr>
              <w:t>6 140</w:t>
            </w:r>
          </w:p>
        </w:tc>
        <w:tc>
          <w:tcPr>
            <w:tcW w:w="567" w:type="pct"/>
            <w:tcBorders>
              <w:top w:val="single" w:sz="6" w:space="0" w:color="auto"/>
              <w:left w:val="single" w:sz="6" w:space="0" w:color="auto"/>
              <w:bottom w:val="single" w:sz="6" w:space="0" w:color="auto"/>
              <w:right w:val="single" w:sz="6" w:space="0" w:color="auto"/>
            </w:tcBorders>
          </w:tcPr>
          <w:p w14:paraId="03F80177" w14:textId="77777777" w:rsidR="00286F7D" w:rsidRDefault="00286F7D" w:rsidP="00286F7D">
            <w:pPr>
              <w:pStyle w:val="Texttabulky"/>
              <w:spacing w:after="0"/>
              <w:jc w:val="right"/>
            </w:pPr>
            <w:r>
              <w:rPr>
                <w:b/>
                <w:bCs/>
              </w:rPr>
              <w:t>400</w:t>
            </w:r>
          </w:p>
        </w:tc>
        <w:tc>
          <w:tcPr>
            <w:tcW w:w="480" w:type="pct"/>
            <w:tcBorders>
              <w:top w:val="single" w:sz="6" w:space="0" w:color="auto"/>
              <w:left w:val="single" w:sz="6" w:space="0" w:color="auto"/>
              <w:bottom w:val="single" w:sz="6" w:space="0" w:color="auto"/>
              <w:right w:val="single" w:sz="6" w:space="0" w:color="auto"/>
            </w:tcBorders>
          </w:tcPr>
          <w:p w14:paraId="5C5CF2AB" w14:textId="77777777" w:rsidR="00286F7D" w:rsidRDefault="00286F7D" w:rsidP="00286F7D">
            <w:pPr>
              <w:pStyle w:val="Texttabulky"/>
              <w:spacing w:after="0"/>
              <w:jc w:val="right"/>
            </w:pPr>
            <w:r>
              <w:rPr>
                <w:b/>
                <w:bCs/>
              </w:rPr>
              <w:t>6 540</w:t>
            </w:r>
          </w:p>
        </w:tc>
        <w:tc>
          <w:tcPr>
            <w:tcW w:w="388" w:type="pct"/>
            <w:gridSpan w:val="2"/>
            <w:tcBorders>
              <w:top w:val="single" w:sz="6" w:space="0" w:color="auto"/>
              <w:left w:val="single" w:sz="6" w:space="0" w:color="auto"/>
              <w:bottom w:val="single" w:sz="6" w:space="0" w:color="auto"/>
              <w:right w:val="single" w:sz="6" w:space="0" w:color="auto"/>
            </w:tcBorders>
          </w:tcPr>
          <w:p w14:paraId="74D66C0D" w14:textId="77777777" w:rsidR="00286F7D" w:rsidRDefault="00286F7D" w:rsidP="00286F7D">
            <w:pPr>
              <w:pStyle w:val="Texttabulky"/>
              <w:spacing w:after="0"/>
              <w:jc w:val="right"/>
            </w:pPr>
            <w:r>
              <w:rPr>
                <w:b/>
                <w:bCs/>
              </w:rPr>
              <w:t>148</w:t>
            </w:r>
          </w:p>
        </w:tc>
        <w:tc>
          <w:tcPr>
            <w:tcW w:w="578" w:type="pct"/>
            <w:tcBorders>
              <w:top w:val="single" w:sz="6" w:space="0" w:color="auto"/>
              <w:left w:val="single" w:sz="6" w:space="0" w:color="auto"/>
              <w:bottom w:val="single" w:sz="6" w:space="0" w:color="auto"/>
              <w:right w:val="single" w:sz="6" w:space="0" w:color="auto"/>
            </w:tcBorders>
          </w:tcPr>
          <w:p w14:paraId="60FC1812" w14:textId="77777777" w:rsidR="00286F7D" w:rsidRDefault="00286F7D" w:rsidP="00286F7D">
            <w:pPr>
              <w:pStyle w:val="Texttabulky"/>
              <w:spacing w:after="0"/>
              <w:jc w:val="right"/>
            </w:pPr>
            <w:r>
              <w:rPr>
                <w:b/>
                <w:bCs/>
              </w:rPr>
              <w:t>6 090</w:t>
            </w:r>
          </w:p>
        </w:tc>
        <w:tc>
          <w:tcPr>
            <w:tcW w:w="578" w:type="pct"/>
            <w:tcBorders>
              <w:top w:val="single" w:sz="6" w:space="0" w:color="auto"/>
              <w:left w:val="single" w:sz="6" w:space="0" w:color="auto"/>
              <w:bottom w:val="single" w:sz="6" w:space="0" w:color="auto"/>
              <w:right w:val="single" w:sz="6" w:space="0" w:color="auto"/>
            </w:tcBorders>
          </w:tcPr>
          <w:p w14:paraId="4234535D" w14:textId="77777777" w:rsidR="00286F7D" w:rsidRDefault="00286F7D" w:rsidP="00286F7D">
            <w:pPr>
              <w:pStyle w:val="Texttabulky"/>
              <w:spacing w:after="0"/>
              <w:jc w:val="right"/>
            </w:pPr>
            <w:r>
              <w:t xml:space="preserve">- </w:t>
            </w:r>
            <w:r>
              <w:rPr>
                <w:b/>
                <w:bCs/>
              </w:rPr>
              <w:t>470</w:t>
            </w:r>
          </w:p>
        </w:tc>
      </w:tr>
      <w:tr w:rsidR="00286F7D" w14:paraId="4AE2B2B3" w14:textId="77777777" w:rsidTr="00286F7D">
        <w:tc>
          <w:tcPr>
            <w:tcW w:w="238" w:type="pct"/>
            <w:tcBorders>
              <w:top w:val="single" w:sz="6" w:space="0" w:color="auto"/>
              <w:left w:val="single" w:sz="6" w:space="0" w:color="auto"/>
              <w:bottom w:val="single" w:sz="6" w:space="0" w:color="auto"/>
              <w:right w:val="single" w:sz="6" w:space="0" w:color="auto"/>
            </w:tcBorders>
          </w:tcPr>
          <w:p w14:paraId="77BB942A" w14:textId="77777777" w:rsidR="00286F7D" w:rsidRDefault="00286F7D" w:rsidP="00286F7D">
            <w:pPr>
              <w:pStyle w:val="Texttabulky"/>
              <w:spacing w:after="0"/>
              <w:jc w:val="right"/>
            </w:pPr>
            <w:r>
              <w:t>34</w:t>
            </w:r>
          </w:p>
        </w:tc>
        <w:tc>
          <w:tcPr>
            <w:tcW w:w="1137" w:type="pct"/>
            <w:tcBorders>
              <w:top w:val="single" w:sz="6" w:space="0" w:color="auto"/>
              <w:left w:val="single" w:sz="6" w:space="0" w:color="auto"/>
              <w:bottom w:val="single" w:sz="6" w:space="0" w:color="auto"/>
              <w:right w:val="single" w:sz="6" w:space="0" w:color="auto"/>
            </w:tcBorders>
          </w:tcPr>
          <w:p w14:paraId="7230021F" w14:textId="77777777" w:rsidR="00286F7D" w:rsidRDefault="00286F7D" w:rsidP="00286F7D">
            <w:pPr>
              <w:pStyle w:val="Texttabulky"/>
              <w:spacing w:after="0"/>
            </w:pPr>
            <w:r>
              <w:t>Kristin Hrádek</w:t>
            </w:r>
          </w:p>
        </w:tc>
        <w:tc>
          <w:tcPr>
            <w:tcW w:w="478" w:type="pct"/>
            <w:tcBorders>
              <w:top w:val="single" w:sz="6" w:space="0" w:color="auto"/>
              <w:left w:val="single" w:sz="6" w:space="0" w:color="auto"/>
              <w:bottom w:val="single" w:sz="6" w:space="0" w:color="auto"/>
              <w:right w:val="single" w:sz="6" w:space="0" w:color="auto"/>
            </w:tcBorders>
          </w:tcPr>
          <w:p w14:paraId="36CE4AA3"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23120DEF"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06AD3E94"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3F466272" w14:textId="77777777" w:rsidR="00286F7D" w:rsidRDefault="00286F7D" w:rsidP="00286F7D">
            <w:pPr>
              <w:pStyle w:val="Texttabulky"/>
              <w:spacing w:after="0"/>
              <w:jc w:val="right"/>
            </w:pPr>
            <w:r>
              <w:t>0</w:t>
            </w:r>
          </w:p>
        </w:tc>
        <w:tc>
          <w:tcPr>
            <w:tcW w:w="388" w:type="pct"/>
            <w:gridSpan w:val="2"/>
            <w:tcBorders>
              <w:top w:val="single" w:sz="6" w:space="0" w:color="auto"/>
              <w:left w:val="single" w:sz="6" w:space="0" w:color="auto"/>
              <w:bottom w:val="single" w:sz="6" w:space="0" w:color="auto"/>
              <w:right w:val="single" w:sz="6" w:space="0" w:color="auto"/>
            </w:tcBorders>
          </w:tcPr>
          <w:p w14:paraId="0A3B8F7A"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29FBE98E"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403BA2D6" w14:textId="77777777" w:rsidR="00286F7D" w:rsidRDefault="00286F7D" w:rsidP="00286F7D">
            <w:pPr>
              <w:pStyle w:val="Texttabulky"/>
              <w:spacing w:after="0"/>
              <w:jc w:val="right"/>
            </w:pPr>
            <w:r>
              <w:t>0</w:t>
            </w:r>
          </w:p>
        </w:tc>
      </w:tr>
      <w:tr w:rsidR="00286F7D" w14:paraId="405C7E7A" w14:textId="77777777" w:rsidTr="00286F7D">
        <w:tc>
          <w:tcPr>
            <w:tcW w:w="238" w:type="pct"/>
            <w:tcBorders>
              <w:top w:val="single" w:sz="6" w:space="0" w:color="auto"/>
              <w:left w:val="single" w:sz="6" w:space="0" w:color="auto"/>
              <w:bottom w:val="single" w:sz="6" w:space="0" w:color="auto"/>
              <w:right w:val="single" w:sz="6" w:space="0" w:color="auto"/>
            </w:tcBorders>
          </w:tcPr>
          <w:p w14:paraId="75EE5763" w14:textId="77777777" w:rsidR="00286F7D" w:rsidRDefault="00286F7D" w:rsidP="00286F7D">
            <w:pPr>
              <w:pStyle w:val="Texttabulky"/>
              <w:spacing w:after="0"/>
              <w:jc w:val="right"/>
            </w:pPr>
            <w:r>
              <w:t>35</w:t>
            </w:r>
          </w:p>
        </w:tc>
        <w:tc>
          <w:tcPr>
            <w:tcW w:w="1137" w:type="pct"/>
            <w:tcBorders>
              <w:top w:val="single" w:sz="6" w:space="0" w:color="auto"/>
              <w:left w:val="single" w:sz="6" w:space="0" w:color="auto"/>
              <w:bottom w:val="single" w:sz="6" w:space="0" w:color="auto"/>
              <w:right w:val="single" w:sz="6" w:space="0" w:color="auto"/>
            </w:tcBorders>
          </w:tcPr>
          <w:p w14:paraId="539B736A" w14:textId="77777777" w:rsidR="00286F7D" w:rsidRDefault="00286F7D" w:rsidP="00286F7D">
            <w:pPr>
              <w:pStyle w:val="Texttabulky"/>
              <w:spacing w:after="0"/>
            </w:pPr>
            <w:r>
              <w:t>Havraní vrch</w:t>
            </w:r>
          </w:p>
        </w:tc>
        <w:tc>
          <w:tcPr>
            <w:tcW w:w="478" w:type="pct"/>
            <w:tcBorders>
              <w:top w:val="single" w:sz="6" w:space="0" w:color="auto"/>
              <w:left w:val="single" w:sz="6" w:space="0" w:color="auto"/>
              <w:bottom w:val="single" w:sz="6" w:space="0" w:color="auto"/>
              <w:right w:val="single" w:sz="6" w:space="0" w:color="auto"/>
            </w:tcBorders>
          </w:tcPr>
          <w:p w14:paraId="0DA78C7E"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6FC56F39"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0448D96B"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79C98D26" w14:textId="77777777" w:rsidR="00286F7D" w:rsidRDefault="00286F7D" w:rsidP="00286F7D">
            <w:pPr>
              <w:pStyle w:val="Texttabulky"/>
              <w:spacing w:after="0"/>
              <w:jc w:val="right"/>
            </w:pPr>
            <w:r>
              <w:t>0</w:t>
            </w:r>
          </w:p>
        </w:tc>
        <w:tc>
          <w:tcPr>
            <w:tcW w:w="388" w:type="pct"/>
            <w:gridSpan w:val="2"/>
            <w:tcBorders>
              <w:top w:val="single" w:sz="6" w:space="0" w:color="auto"/>
              <w:left w:val="single" w:sz="6" w:space="0" w:color="auto"/>
              <w:bottom w:val="single" w:sz="6" w:space="0" w:color="auto"/>
              <w:right w:val="single" w:sz="6" w:space="0" w:color="auto"/>
            </w:tcBorders>
          </w:tcPr>
          <w:p w14:paraId="4438DC3F"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54663706"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7059CEB9" w14:textId="77777777" w:rsidR="00286F7D" w:rsidRDefault="00286F7D" w:rsidP="00286F7D">
            <w:pPr>
              <w:pStyle w:val="Texttabulky"/>
              <w:spacing w:after="0"/>
              <w:jc w:val="right"/>
            </w:pPr>
            <w:r>
              <w:t>0</w:t>
            </w:r>
          </w:p>
        </w:tc>
      </w:tr>
      <w:tr w:rsidR="00286F7D" w14:paraId="4AE34AC0" w14:textId="77777777" w:rsidTr="00286F7D">
        <w:tc>
          <w:tcPr>
            <w:tcW w:w="238" w:type="pct"/>
            <w:tcBorders>
              <w:top w:val="single" w:sz="6" w:space="0" w:color="auto"/>
              <w:left w:val="single" w:sz="6" w:space="0" w:color="auto"/>
              <w:bottom w:val="single" w:sz="6" w:space="0" w:color="auto"/>
              <w:right w:val="single" w:sz="6" w:space="0" w:color="auto"/>
            </w:tcBorders>
          </w:tcPr>
          <w:p w14:paraId="376CDE1F" w14:textId="77777777" w:rsidR="00286F7D" w:rsidRDefault="00286F7D" w:rsidP="00286F7D">
            <w:pPr>
              <w:pStyle w:val="Texttabulky"/>
              <w:spacing w:after="0"/>
              <w:jc w:val="right"/>
            </w:pPr>
            <w:r>
              <w:t>36</w:t>
            </w:r>
          </w:p>
        </w:tc>
        <w:tc>
          <w:tcPr>
            <w:tcW w:w="1137" w:type="pct"/>
            <w:tcBorders>
              <w:top w:val="single" w:sz="6" w:space="0" w:color="auto"/>
              <w:left w:val="single" w:sz="6" w:space="0" w:color="auto"/>
              <w:bottom w:val="single" w:sz="6" w:space="0" w:color="auto"/>
              <w:right w:val="single" w:sz="6" w:space="0" w:color="auto"/>
            </w:tcBorders>
          </w:tcPr>
          <w:p w14:paraId="66920FE5" w14:textId="77777777" w:rsidR="00286F7D" w:rsidRDefault="00286F7D" w:rsidP="00286F7D">
            <w:pPr>
              <w:pStyle w:val="Texttabulky"/>
              <w:spacing w:after="0"/>
            </w:pPr>
            <w:r>
              <w:t>Maxičky</w:t>
            </w:r>
          </w:p>
        </w:tc>
        <w:tc>
          <w:tcPr>
            <w:tcW w:w="478" w:type="pct"/>
            <w:tcBorders>
              <w:top w:val="single" w:sz="6" w:space="0" w:color="auto"/>
              <w:left w:val="single" w:sz="6" w:space="0" w:color="auto"/>
              <w:bottom w:val="single" w:sz="6" w:space="0" w:color="auto"/>
              <w:right w:val="single" w:sz="6" w:space="0" w:color="auto"/>
            </w:tcBorders>
          </w:tcPr>
          <w:p w14:paraId="0C78ACB8" w14:textId="77777777" w:rsidR="00286F7D" w:rsidRDefault="00286F7D" w:rsidP="00286F7D">
            <w:pPr>
              <w:pStyle w:val="Texttabulky"/>
              <w:spacing w:after="0"/>
              <w:jc w:val="right"/>
            </w:pPr>
            <w:r>
              <w:t>59</w:t>
            </w:r>
          </w:p>
        </w:tc>
        <w:tc>
          <w:tcPr>
            <w:tcW w:w="554" w:type="pct"/>
            <w:tcBorders>
              <w:top w:val="single" w:sz="6" w:space="0" w:color="auto"/>
              <w:left w:val="single" w:sz="6" w:space="0" w:color="auto"/>
              <w:bottom w:val="single" w:sz="6" w:space="0" w:color="auto"/>
              <w:right w:val="single" w:sz="6" w:space="0" w:color="auto"/>
            </w:tcBorders>
          </w:tcPr>
          <w:p w14:paraId="0C86D13C" w14:textId="77777777" w:rsidR="00286F7D" w:rsidRDefault="00286F7D" w:rsidP="00286F7D">
            <w:pPr>
              <w:pStyle w:val="Texttabulky"/>
              <w:spacing w:after="0"/>
              <w:jc w:val="right"/>
            </w:pPr>
            <w:r>
              <w:t>40</w:t>
            </w:r>
          </w:p>
        </w:tc>
        <w:tc>
          <w:tcPr>
            <w:tcW w:w="567" w:type="pct"/>
            <w:tcBorders>
              <w:top w:val="single" w:sz="6" w:space="0" w:color="auto"/>
              <w:left w:val="single" w:sz="6" w:space="0" w:color="auto"/>
              <w:bottom w:val="single" w:sz="6" w:space="0" w:color="auto"/>
              <w:right w:val="single" w:sz="6" w:space="0" w:color="auto"/>
            </w:tcBorders>
          </w:tcPr>
          <w:p w14:paraId="2B159BBA" w14:textId="77777777" w:rsidR="00286F7D" w:rsidRDefault="00286F7D" w:rsidP="00286F7D">
            <w:pPr>
              <w:pStyle w:val="Texttabulky"/>
              <w:spacing w:after="0"/>
              <w:jc w:val="right"/>
            </w:pPr>
            <w:r>
              <w:t>15</w:t>
            </w:r>
          </w:p>
        </w:tc>
        <w:tc>
          <w:tcPr>
            <w:tcW w:w="480" w:type="pct"/>
            <w:tcBorders>
              <w:top w:val="single" w:sz="6" w:space="0" w:color="auto"/>
              <w:left w:val="single" w:sz="6" w:space="0" w:color="auto"/>
              <w:bottom w:val="single" w:sz="6" w:space="0" w:color="auto"/>
              <w:right w:val="single" w:sz="6" w:space="0" w:color="auto"/>
            </w:tcBorders>
          </w:tcPr>
          <w:p w14:paraId="7703F97F" w14:textId="77777777" w:rsidR="00286F7D" w:rsidRDefault="00286F7D" w:rsidP="00286F7D">
            <w:pPr>
              <w:pStyle w:val="Texttabulky"/>
              <w:spacing w:after="0"/>
              <w:jc w:val="right"/>
            </w:pPr>
            <w:r>
              <w:t>55</w:t>
            </w:r>
          </w:p>
        </w:tc>
        <w:tc>
          <w:tcPr>
            <w:tcW w:w="388" w:type="pct"/>
            <w:gridSpan w:val="2"/>
            <w:tcBorders>
              <w:top w:val="single" w:sz="6" w:space="0" w:color="auto"/>
              <w:left w:val="single" w:sz="6" w:space="0" w:color="auto"/>
              <w:bottom w:val="single" w:sz="6" w:space="0" w:color="auto"/>
              <w:right w:val="single" w:sz="6" w:space="0" w:color="auto"/>
            </w:tcBorders>
          </w:tcPr>
          <w:p w14:paraId="6E876F8D" w14:textId="77777777" w:rsidR="00286F7D" w:rsidRDefault="00286F7D" w:rsidP="00286F7D">
            <w:pPr>
              <w:pStyle w:val="Texttabulky"/>
              <w:spacing w:after="0"/>
              <w:jc w:val="right"/>
            </w:pPr>
            <w:r>
              <w:t>9</w:t>
            </w:r>
          </w:p>
        </w:tc>
        <w:tc>
          <w:tcPr>
            <w:tcW w:w="578" w:type="pct"/>
            <w:tcBorders>
              <w:top w:val="single" w:sz="6" w:space="0" w:color="auto"/>
              <w:left w:val="single" w:sz="6" w:space="0" w:color="auto"/>
              <w:bottom w:val="single" w:sz="6" w:space="0" w:color="auto"/>
              <w:right w:val="single" w:sz="6" w:space="0" w:color="auto"/>
            </w:tcBorders>
          </w:tcPr>
          <w:p w14:paraId="5CCF5C26" w14:textId="77777777" w:rsidR="00286F7D" w:rsidRDefault="00286F7D" w:rsidP="00286F7D">
            <w:pPr>
              <w:pStyle w:val="Texttabulky"/>
              <w:spacing w:after="0"/>
              <w:jc w:val="right"/>
            </w:pPr>
            <w:r>
              <w:t>74</w:t>
            </w:r>
          </w:p>
        </w:tc>
        <w:tc>
          <w:tcPr>
            <w:tcW w:w="578" w:type="pct"/>
            <w:tcBorders>
              <w:top w:val="single" w:sz="6" w:space="0" w:color="auto"/>
              <w:left w:val="single" w:sz="6" w:space="0" w:color="auto"/>
              <w:bottom w:val="single" w:sz="6" w:space="0" w:color="auto"/>
              <w:right w:val="single" w:sz="6" w:space="0" w:color="auto"/>
            </w:tcBorders>
          </w:tcPr>
          <w:p w14:paraId="1A0EF540" w14:textId="77777777" w:rsidR="00286F7D" w:rsidRDefault="00286F7D" w:rsidP="00286F7D">
            <w:pPr>
              <w:pStyle w:val="Texttabulky"/>
              <w:spacing w:after="0"/>
              <w:jc w:val="right"/>
            </w:pPr>
            <w:r>
              <w:t>19</w:t>
            </w:r>
          </w:p>
        </w:tc>
      </w:tr>
      <w:tr w:rsidR="00286F7D" w14:paraId="3EAB0325" w14:textId="77777777" w:rsidTr="00286F7D">
        <w:tc>
          <w:tcPr>
            <w:tcW w:w="238" w:type="pct"/>
            <w:tcBorders>
              <w:top w:val="single" w:sz="6" w:space="0" w:color="auto"/>
              <w:left w:val="single" w:sz="6" w:space="0" w:color="auto"/>
              <w:bottom w:val="single" w:sz="6" w:space="0" w:color="auto"/>
              <w:right w:val="single" w:sz="6" w:space="0" w:color="auto"/>
            </w:tcBorders>
          </w:tcPr>
          <w:p w14:paraId="0CB791ED" w14:textId="77777777" w:rsidR="00286F7D" w:rsidRDefault="00286F7D" w:rsidP="00286F7D">
            <w:pPr>
              <w:pStyle w:val="Texttabulky"/>
              <w:spacing w:after="0"/>
              <w:jc w:val="right"/>
            </w:pPr>
            <w:r>
              <w:t>37</w:t>
            </w:r>
          </w:p>
        </w:tc>
        <w:tc>
          <w:tcPr>
            <w:tcW w:w="1137" w:type="pct"/>
            <w:tcBorders>
              <w:top w:val="single" w:sz="6" w:space="0" w:color="auto"/>
              <w:left w:val="single" w:sz="6" w:space="0" w:color="auto"/>
              <w:bottom w:val="single" w:sz="6" w:space="0" w:color="auto"/>
              <w:right w:val="single" w:sz="6" w:space="0" w:color="auto"/>
            </w:tcBorders>
          </w:tcPr>
          <w:p w14:paraId="7965F355" w14:textId="77777777" w:rsidR="00286F7D" w:rsidRDefault="00286F7D" w:rsidP="00286F7D">
            <w:pPr>
              <w:pStyle w:val="Texttabulky"/>
              <w:spacing w:after="0"/>
            </w:pPr>
            <w:r>
              <w:t>Telefonka</w:t>
            </w:r>
          </w:p>
        </w:tc>
        <w:tc>
          <w:tcPr>
            <w:tcW w:w="478" w:type="pct"/>
            <w:tcBorders>
              <w:top w:val="single" w:sz="6" w:space="0" w:color="auto"/>
              <w:left w:val="single" w:sz="6" w:space="0" w:color="auto"/>
              <w:bottom w:val="single" w:sz="6" w:space="0" w:color="auto"/>
              <w:right w:val="single" w:sz="6" w:space="0" w:color="auto"/>
            </w:tcBorders>
          </w:tcPr>
          <w:p w14:paraId="5734F399"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257207D4"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22A3224A"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6767354A" w14:textId="77777777" w:rsidR="00286F7D" w:rsidRDefault="00286F7D" w:rsidP="00286F7D">
            <w:pPr>
              <w:pStyle w:val="Texttabulky"/>
              <w:spacing w:after="0"/>
              <w:jc w:val="right"/>
            </w:pPr>
            <w:r>
              <w:t>0</w:t>
            </w:r>
          </w:p>
        </w:tc>
        <w:tc>
          <w:tcPr>
            <w:tcW w:w="388" w:type="pct"/>
            <w:gridSpan w:val="2"/>
            <w:tcBorders>
              <w:top w:val="single" w:sz="6" w:space="0" w:color="auto"/>
              <w:left w:val="single" w:sz="6" w:space="0" w:color="auto"/>
              <w:bottom w:val="single" w:sz="6" w:space="0" w:color="auto"/>
              <w:right w:val="single" w:sz="6" w:space="0" w:color="auto"/>
            </w:tcBorders>
          </w:tcPr>
          <w:p w14:paraId="7D7451DD"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72758065"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20CB9F4D" w14:textId="77777777" w:rsidR="00286F7D" w:rsidRDefault="00286F7D" w:rsidP="00286F7D">
            <w:pPr>
              <w:pStyle w:val="Texttabulky"/>
              <w:spacing w:after="0"/>
              <w:jc w:val="right"/>
            </w:pPr>
            <w:r>
              <w:t>0</w:t>
            </w:r>
          </w:p>
        </w:tc>
      </w:tr>
      <w:tr w:rsidR="00286F7D" w14:paraId="5EB70718" w14:textId="77777777" w:rsidTr="00286F7D">
        <w:tc>
          <w:tcPr>
            <w:tcW w:w="238" w:type="pct"/>
            <w:tcBorders>
              <w:top w:val="single" w:sz="6" w:space="0" w:color="auto"/>
              <w:left w:val="single" w:sz="6" w:space="0" w:color="auto"/>
              <w:bottom w:val="single" w:sz="6" w:space="0" w:color="auto"/>
              <w:right w:val="single" w:sz="6" w:space="0" w:color="auto"/>
            </w:tcBorders>
          </w:tcPr>
          <w:p w14:paraId="41A488CB" w14:textId="77777777" w:rsidR="00286F7D" w:rsidRDefault="00286F7D" w:rsidP="00286F7D">
            <w:pPr>
              <w:pStyle w:val="Texttabulky"/>
              <w:spacing w:after="0"/>
              <w:jc w:val="right"/>
            </w:pPr>
            <w:r>
              <w:t>38</w:t>
            </w:r>
          </w:p>
        </w:tc>
        <w:tc>
          <w:tcPr>
            <w:tcW w:w="1137" w:type="pct"/>
            <w:tcBorders>
              <w:top w:val="single" w:sz="6" w:space="0" w:color="auto"/>
              <w:left w:val="single" w:sz="6" w:space="0" w:color="auto"/>
              <w:bottom w:val="single" w:sz="6" w:space="0" w:color="auto"/>
              <w:right w:val="single" w:sz="6" w:space="0" w:color="auto"/>
            </w:tcBorders>
          </w:tcPr>
          <w:p w14:paraId="6020B23B" w14:textId="77777777" w:rsidR="00286F7D" w:rsidRDefault="00286F7D" w:rsidP="00286F7D">
            <w:pPr>
              <w:pStyle w:val="Texttabulky"/>
              <w:spacing w:after="0"/>
            </w:pPr>
            <w:r>
              <w:t>Přípeřské polesí</w:t>
            </w:r>
          </w:p>
        </w:tc>
        <w:tc>
          <w:tcPr>
            <w:tcW w:w="478" w:type="pct"/>
            <w:tcBorders>
              <w:top w:val="single" w:sz="6" w:space="0" w:color="auto"/>
              <w:left w:val="single" w:sz="6" w:space="0" w:color="auto"/>
              <w:bottom w:val="single" w:sz="6" w:space="0" w:color="auto"/>
              <w:right w:val="single" w:sz="6" w:space="0" w:color="auto"/>
            </w:tcBorders>
          </w:tcPr>
          <w:p w14:paraId="61625D25"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159C3ADF"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258B3C1A"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698D8909" w14:textId="77777777" w:rsidR="00286F7D" w:rsidRDefault="00286F7D" w:rsidP="00286F7D">
            <w:pPr>
              <w:pStyle w:val="Texttabulky"/>
              <w:spacing w:after="0"/>
              <w:jc w:val="right"/>
            </w:pPr>
            <w:r>
              <w:t>0</w:t>
            </w:r>
          </w:p>
        </w:tc>
        <w:tc>
          <w:tcPr>
            <w:tcW w:w="388" w:type="pct"/>
            <w:gridSpan w:val="2"/>
            <w:tcBorders>
              <w:top w:val="single" w:sz="6" w:space="0" w:color="auto"/>
              <w:left w:val="single" w:sz="6" w:space="0" w:color="auto"/>
              <w:bottom w:val="single" w:sz="6" w:space="0" w:color="auto"/>
              <w:right w:val="single" w:sz="6" w:space="0" w:color="auto"/>
            </w:tcBorders>
          </w:tcPr>
          <w:p w14:paraId="75CF0511"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22026579"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50FB9604" w14:textId="77777777" w:rsidR="00286F7D" w:rsidRDefault="00286F7D" w:rsidP="00286F7D">
            <w:pPr>
              <w:pStyle w:val="Texttabulky"/>
              <w:spacing w:after="0"/>
              <w:jc w:val="right"/>
            </w:pPr>
            <w:r>
              <w:t>0</w:t>
            </w:r>
          </w:p>
        </w:tc>
      </w:tr>
      <w:tr w:rsidR="00286F7D" w14:paraId="543D77E7" w14:textId="77777777" w:rsidTr="00286F7D">
        <w:tc>
          <w:tcPr>
            <w:tcW w:w="238" w:type="pct"/>
            <w:tcBorders>
              <w:top w:val="single" w:sz="6" w:space="0" w:color="auto"/>
              <w:left w:val="single" w:sz="6" w:space="0" w:color="auto"/>
              <w:bottom w:val="single" w:sz="6" w:space="0" w:color="auto"/>
              <w:right w:val="single" w:sz="6" w:space="0" w:color="auto"/>
            </w:tcBorders>
          </w:tcPr>
          <w:p w14:paraId="2E981649" w14:textId="77777777" w:rsidR="00286F7D" w:rsidRDefault="00286F7D" w:rsidP="00286F7D">
            <w:pPr>
              <w:pStyle w:val="Texttabulky"/>
              <w:spacing w:after="0"/>
              <w:jc w:val="right"/>
            </w:pPr>
            <w:r>
              <w:t>43</w:t>
            </w:r>
          </w:p>
        </w:tc>
        <w:tc>
          <w:tcPr>
            <w:tcW w:w="1137" w:type="pct"/>
            <w:tcBorders>
              <w:top w:val="single" w:sz="6" w:space="0" w:color="auto"/>
              <w:left w:val="single" w:sz="6" w:space="0" w:color="auto"/>
              <w:bottom w:val="single" w:sz="6" w:space="0" w:color="auto"/>
              <w:right w:val="single" w:sz="6" w:space="0" w:color="auto"/>
            </w:tcBorders>
          </w:tcPr>
          <w:p w14:paraId="1B9BBDF2" w14:textId="77777777" w:rsidR="00286F7D" w:rsidRDefault="00286F7D" w:rsidP="00286F7D">
            <w:pPr>
              <w:pStyle w:val="Texttabulky"/>
              <w:spacing w:after="0"/>
            </w:pPr>
            <w:r>
              <w:t>Nad Dolním Žlebem</w:t>
            </w:r>
          </w:p>
        </w:tc>
        <w:tc>
          <w:tcPr>
            <w:tcW w:w="478" w:type="pct"/>
            <w:tcBorders>
              <w:top w:val="single" w:sz="6" w:space="0" w:color="auto"/>
              <w:left w:val="single" w:sz="6" w:space="0" w:color="auto"/>
              <w:bottom w:val="single" w:sz="6" w:space="0" w:color="auto"/>
              <w:right w:val="single" w:sz="6" w:space="0" w:color="auto"/>
            </w:tcBorders>
          </w:tcPr>
          <w:p w14:paraId="40D2B512" w14:textId="77777777" w:rsidR="00286F7D" w:rsidRDefault="00286F7D" w:rsidP="00286F7D">
            <w:pPr>
              <w:pStyle w:val="Texttabulky"/>
              <w:spacing w:after="0"/>
              <w:jc w:val="right"/>
            </w:pPr>
            <w:r>
              <w:t>0</w:t>
            </w:r>
          </w:p>
        </w:tc>
        <w:tc>
          <w:tcPr>
            <w:tcW w:w="554" w:type="pct"/>
            <w:tcBorders>
              <w:top w:val="single" w:sz="6" w:space="0" w:color="auto"/>
              <w:left w:val="single" w:sz="6" w:space="0" w:color="auto"/>
              <w:bottom w:val="single" w:sz="6" w:space="0" w:color="auto"/>
              <w:right w:val="single" w:sz="6" w:space="0" w:color="auto"/>
            </w:tcBorders>
          </w:tcPr>
          <w:p w14:paraId="6E794A4E" w14:textId="77777777" w:rsidR="00286F7D" w:rsidRDefault="00286F7D" w:rsidP="00286F7D">
            <w:pPr>
              <w:pStyle w:val="Texttabulky"/>
              <w:spacing w:after="0"/>
              <w:jc w:val="right"/>
            </w:pPr>
            <w:r>
              <w:t>0</w:t>
            </w:r>
          </w:p>
        </w:tc>
        <w:tc>
          <w:tcPr>
            <w:tcW w:w="567" w:type="pct"/>
            <w:tcBorders>
              <w:top w:val="single" w:sz="6" w:space="0" w:color="auto"/>
              <w:left w:val="single" w:sz="6" w:space="0" w:color="auto"/>
              <w:bottom w:val="single" w:sz="6" w:space="0" w:color="auto"/>
              <w:right w:val="single" w:sz="6" w:space="0" w:color="auto"/>
            </w:tcBorders>
          </w:tcPr>
          <w:p w14:paraId="3E247937"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184AF598" w14:textId="77777777" w:rsidR="00286F7D" w:rsidRDefault="00286F7D" w:rsidP="00286F7D">
            <w:pPr>
              <w:pStyle w:val="Texttabulky"/>
              <w:spacing w:after="0"/>
              <w:jc w:val="right"/>
            </w:pPr>
            <w:r>
              <w:t>0</w:t>
            </w:r>
          </w:p>
        </w:tc>
        <w:tc>
          <w:tcPr>
            <w:tcW w:w="388" w:type="pct"/>
            <w:gridSpan w:val="2"/>
            <w:tcBorders>
              <w:top w:val="single" w:sz="6" w:space="0" w:color="auto"/>
              <w:left w:val="single" w:sz="6" w:space="0" w:color="auto"/>
              <w:bottom w:val="single" w:sz="6" w:space="0" w:color="auto"/>
              <w:right w:val="single" w:sz="6" w:space="0" w:color="auto"/>
            </w:tcBorders>
          </w:tcPr>
          <w:p w14:paraId="0EBC8E0E"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72A26DA6"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5C556CD8" w14:textId="77777777" w:rsidR="00286F7D" w:rsidRDefault="00286F7D" w:rsidP="00286F7D">
            <w:pPr>
              <w:pStyle w:val="Texttabulky"/>
              <w:spacing w:after="0"/>
              <w:jc w:val="right"/>
            </w:pPr>
            <w:r>
              <w:t>0</w:t>
            </w:r>
          </w:p>
        </w:tc>
      </w:tr>
      <w:tr w:rsidR="00286F7D" w14:paraId="2E095B46" w14:textId="77777777" w:rsidTr="00286F7D">
        <w:tc>
          <w:tcPr>
            <w:tcW w:w="238" w:type="pct"/>
            <w:tcBorders>
              <w:top w:val="single" w:sz="6" w:space="0" w:color="auto"/>
              <w:left w:val="single" w:sz="6" w:space="0" w:color="auto"/>
              <w:bottom w:val="single" w:sz="6" w:space="0" w:color="auto"/>
              <w:right w:val="single" w:sz="6" w:space="0" w:color="auto"/>
            </w:tcBorders>
          </w:tcPr>
          <w:p w14:paraId="552DC62A" w14:textId="77777777" w:rsidR="00286F7D" w:rsidRDefault="00286F7D" w:rsidP="00286F7D">
            <w:pPr>
              <w:pStyle w:val="Texttabulky"/>
              <w:spacing w:after="0"/>
              <w:jc w:val="right"/>
            </w:pPr>
            <w:r>
              <w:t>44</w:t>
            </w:r>
          </w:p>
        </w:tc>
        <w:tc>
          <w:tcPr>
            <w:tcW w:w="1137" w:type="pct"/>
            <w:tcBorders>
              <w:top w:val="single" w:sz="6" w:space="0" w:color="auto"/>
              <w:left w:val="single" w:sz="6" w:space="0" w:color="auto"/>
              <w:bottom w:val="single" w:sz="6" w:space="0" w:color="auto"/>
              <w:right w:val="single" w:sz="6" w:space="0" w:color="auto"/>
            </w:tcBorders>
          </w:tcPr>
          <w:p w14:paraId="58180CA7" w14:textId="77777777" w:rsidR="00286F7D" w:rsidRDefault="00286F7D" w:rsidP="00286F7D">
            <w:pPr>
              <w:pStyle w:val="Texttabulky"/>
              <w:spacing w:after="0"/>
            </w:pPr>
            <w:r>
              <w:t>Dolní Žleb</w:t>
            </w:r>
          </w:p>
        </w:tc>
        <w:tc>
          <w:tcPr>
            <w:tcW w:w="478" w:type="pct"/>
            <w:tcBorders>
              <w:top w:val="single" w:sz="6" w:space="0" w:color="auto"/>
              <w:left w:val="single" w:sz="6" w:space="0" w:color="auto"/>
              <w:bottom w:val="single" w:sz="6" w:space="0" w:color="auto"/>
              <w:right w:val="single" w:sz="6" w:space="0" w:color="auto"/>
            </w:tcBorders>
          </w:tcPr>
          <w:p w14:paraId="2DAA42E1" w14:textId="77777777" w:rsidR="00286F7D" w:rsidRDefault="00286F7D" w:rsidP="00286F7D">
            <w:pPr>
              <w:pStyle w:val="Texttabulky"/>
              <w:spacing w:after="0"/>
              <w:jc w:val="right"/>
            </w:pPr>
            <w:r>
              <w:t>120</w:t>
            </w:r>
          </w:p>
        </w:tc>
        <w:tc>
          <w:tcPr>
            <w:tcW w:w="554" w:type="pct"/>
            <w:tcBorders>
              <w:top w:val="single" w:sz="6" w:space="0" w:color="auto"/>
              <w:left w:val="single" w:sz="6" w:space="0" w:color="auto"/>
              <w:bottom w:val="single" w:sz="6" w:space="0" w:color="auto"/>
              <w:right w:val="single" w:sz="6" w:space="0" w:color="auto"/>
            </w:tcBorders>
          </w:tcPr>
          <w:p w14:paraId="77D46DE7" w14:textId="77777777" w:rsidR="00286F7D" w:rsidRDefault="00286F7D" w:rsidP="00286F7D">
            <w:pPr>
              <w:pStyle w:val="Texttabulky"/>
              <w:spacing w:after="0"/>
              <w:jc w:val="right"/>
            </w:pPr>
            <w:r>
              <w:t>100</w:t>
            </w:r>
          </w:p>
        </w:tc>
        <w:tc>
          <w:tcPr>
            <w:tcW w:w="567" w:type="pct"/>
            <w:tcBorders>
              <w:top w:val="single" w:sz="6" w:space="0" w:color="auto"/>
              <w:left w:val="single" w:sz="6" w:space="0" w:color="auto"/>
              <w:bottom w:val="single" w:sz="6" w:space="0" w:color="auto"/>
              <w:right w:val="single" w:sz="6" w:space="0" w:color="auto"/>
            </w:tcBorders>
          </w:tcPr>
          <w:p w14:paraId="2B8931A7"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49429B86" w14:textId="77777777" w:rsidR="00286F7D" w:rsidRDefault="00286F7D" w:rsidP="00286F7D">
            <w:pPr>
              <w:pStyle w:val="Texttabulky"/>
              <w:spacing w:after="0"/>
              <w:jc w:val="right"/>
            </w:pPr>
            <w:r>
              <w:t>100</w:t>
            </w:r>
          </w:p>
        </w:tc>
        <w:tc>
          <w:tcPr>
            <w:tcW w:w="388" w:type="pct"/>
            <w:gridSpan w:val="2"/>
            <w:tcBorders>
              <w:top w:val="single" w:sz="6" w:space="0" w:color="auto"/>
              <w:left w:val="single" w:sz="6" w:space="0" w:color="auto"/>
              <w:bottom w:val="single" w:sz="6" w:space="0" w:color="auto"/>
              <w:right w:val="single" w:sz="6" w:space="0" w:color="auto"/>
            </w:tcBorders>
          </w:tcPr>
          <w:p w14:paraId="1B5544F0"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31427C30"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5EA2FE79" w14:textId="77777777" w:rsidR="00286F7D" w:rsidRDefault="00286F7D" w:rsidP="00286F7D">
            <w:pPr>
              <w:pStyle w:val="Texttabulky"/>
              <w:spacing w:after="0"/>
              <w:jc w:val="right"/>
            </w:pPr>
            <w:r>
              <w:t>-100</w:t>
            </w:r>
          </w:p>
        </w:tc>
      </w:tr>
      <w:tr w:rsidR="00286F7D" w14:paraId="0DC4209E" w14:textId="77777777" w:rsidTr="00286F7D">
        <w:tc>
          <w:tcPr>
            <w:tcW w:w="238" w:type="pct"/>
            <w:tcBorders>
              <w:top w:val="single" w:sz="6" w:space="0" w:color="auto"/>
              <w:left w:val="single" w:sz="6" w:space="0" w:color="auto"/>
              <w:bottom w:val="single" w:sz="6" w:space="0" w:color="auto"/>
              <w:right w:val="single" w:sz="6" w:space="0" w:color="auto"/>
            </w:tcBorders>
          </w:tcPr>
          <w:p w14:paraId="37FF54D0" w14:textId="77777777" w:rsidR="00286F7D" w:rsidRDefault="00286F7D" w:rsidP="00286F7D">
            <w:pPr>
              <w:pStyle w:val="Texttabulky"/>
              <w:spacing w:after="0"/>
            </w:pPr>
            <w:r>
              <w:rPr>
                <w:b/>
                <w:bCs/>
              </w:rPr>
              <w:t>VIII</w:t>
            </w:r>
          </w:p>
        </w:tc>
        <w:tc>
          <w:tcPr>
            <w:tcW w:w="1137" w:type="pct"/>
            <w:tcBorders>
              <w:top w:val="single" w:sz="6" w:space="0" w:color="auto"/>
              <w:left w:val="single" w:sz="6" w:space="0" w:color="auto"/>
              <w:bottom w:val="single" w:sz="6" w:space="0" w:color="auto"/>
              <w:right w:val="single" w:sz="6" w:space="0" w:color="auto"/>
            </w:tcBorders>
          </w:tcPr>
          <w:p w14:paraId="596574DF" w14:textId="77777777" w:rsidR="00286F7D" w:rsidRDefault="00286F7D" w:rsidP="00286F7D">
            <w:pPr>
              <w:pStyle w:val="Texttabulky"/>
              <w:spacing w:after="0"/>
            </w:pPr>
            <w:r>
              <w:rPr>
                <w:b/>
                <w:bCs/>
                <w:caps/>
              </w:rPr>
              <w:t>sektor celkem</w:t>
            </w:r>
          </w:p>
        </w:tc>
        <w:tc>
          <w:tcPr>
            <w:tcW w:w="478" w:type="pct"/>
            <w:tcBorders>
              <w:top w:val="single" w:sz="6" w:space="0" w:color="auto"/>
              <w:left w:val="single" w:sz="6" w:space="0" w:color="auto"/>
              <w:bottom w:val="single" w:sz="6" w:space="0" w:color="auto"/>
              <w:right w:val="single" w:sz="6" w:space="0" w:color="auto"/>
            </w:tcBorders>
          </w:tcPr>
          <w:p w14:paraId="24416987" w14:textId="77777777" w:rsidR="00286F7D" w:rsidRDefault="00286F7D" w:rsidP="00286F7D">
            <w:pPr>
              <w:pStyle w:val="Texttabulky"/>
              <w:spacing w:after="0"/>
              <w:jc w:val="right"/>
            </w:pPr>
            <w:r>
              <w:rPr>
                <w:b/>
                <w:bCs/>
              </w:rPr>
              <w:t>179</w:t>
            </w:r>
          </w:p>
        </w:tc>
        <w:tc>
          <w:tcPr>
            <w:tcW w:w="554" w:type="pct"/>
            <w:tcBorders>
              <w:top w:val="single" w:sz="6" w:space="0" w:color="auto"/>
              <w:left w:val="single" w:sz="6" w:space="0" w:color="auto"/>
              <w:bottom w:val="single" w:sz="6" w:space="0" w:color="auto"/>
              <w:right w:val="single" w:sz="6" w:space="0" w:color="auto"/>
            </w:tcBorders>
          </w:tcPr>
          <w:p w14:paraId="7C7A23B3" w14:textId="77777777" w:rsidR="00286F7D" w:rsidRDefault="00286F7D" w:rsidP="00286F7D">
            <w:pPr>
              <w:pStyle w:val="Texttabulky"/>
              <w:spacing w:after="0"/>
              <w:jc w:val="right"/>
            </w:pPr>
            <w:r>
              <w:rPr>
                <w:b/>
                <w:bCs/>
              </w:rPr>
              <w:t>140</w:t>
            </w:r>
          </w:p>
        </w:tc>
        <w:tc>
          <w:tcPr>
            <w:tcW w:w="567" w:type="pct"/>
            <w:tcBorders>
              <w:top w:val="single" w:sz="6" w:space="0" w:color="auto"/>
              <w:left w:val="single" w:sz="6" w:space="0" w:color="auto"/>
              <w:bottom w:val="single" w:sz="6" w:space="0" w:color="auto"/>
              <w:right w:val="single" w:sz="6" w:space="0" w:color="auto"/>
            </w:tcBorders>
          </w:tcPr>
          <w:p w14:paraId="74B88B0D" w14:textId="77777777" w:rsidR="00286F7D" w:rsidRDefault="00286F7D" w:rsidP="00286F7D">
            <w:pPr>
              <w:pStyle w:val="Texttabulky"/>
              <w:spacing w:after="0"/>
              <w:jc w:val="right"/>
            </w:pPr>
            <w:r>
              <w:rPr>
                <w:b/>
                <w:bCs/>
              </w:rPr>
              <w:t>15</w:t>
            </w:r>
          </w:p>
        </w:tc>
        <w:tc>
          <w:tcPr>
            <w:tcW w:w="480" w:type="pct"/>
            <w:tcBorders>
              <w:top w:val="single" w:sz="6" w:space="0" w:color="auto"/>
              <w:left w:val="single" w:sz="6" w:space="0" w:color="auto"/>
              <w:bottom w:val="single" w:sz="6" w:space="0" w:color="auto"/>
              <w:right w:val="single" w:sz="6" w:space="0" w:color="auto"/>
            </w:tcBorders>
          </w:tcPr>
          <w:p w14:paraId="66BB69D5" w14:textId="77777777" w:rsidR="00286F7D" w:rsidRDefault="00286F7D" w:rsidP="00286F7D">
            <w:pPr>
              <w:pStyle w:val="Texttabulky"/>
              <w:spacing w:after="0"/>
              <w:jc w:val="right"/>
            </w:pPr>
            <w:r>
              <w:rPr>
                <w:b/>
                <w:bCs/>
              </w:rPr>
              <w:t>155</w:t>
            </w:r>
          </w:p>
        </w:tc>
        <w:tc>
          <w:tcPr>
            <w:tcW w:w="388" w:type="pct"/>
            <w:gridSpan w:val="2"/>
            <w:tcBorders>
              <w:top w:val="single" w:sz="6" w:space="0" w:color="auto"/>
              <w:left w:val="single" w:sz="6" w:space="0" w:color="auto"/>
              <w:bottom w:val="single" w:sz="6" w:space="0" w:color="auto"/>
              <w:right w:val="single" w:sz="6" w:space="0" w:color="auto"/>
            </w:tcBorders>
          </w:tcPr>
          <w:p w14:paraId="3ED7F0D0" w14:textId="77777777" w:rsidR="00286F7D" w:rsidRDefault="00286F7D" w:rsidP="00286F7D">
            <w:pPr>
              <w:pStyle w:val="Texttabulky"/>
              <w:spacing w:after="0"/>
              <w:jc w:val="right"/>
            </w:pPr>
            <w:r>
              <w:rPr>
                <w:b/>
                <w:bCs/>
              </w:rPr>
              <w:t>0</w:t>
            </w:r>
          </w:p>
        </w:tc>
        <w:tc>
          <w:tcPr>
            <w:tcW w:w="578" w:type="pct"/>
            <w:tcBorders>
              <w:top w:val="single" w:sz="6" w:space="0" w:color="auto"/>
              <w:left w:val="single" w:sz="6" w:space="0" w:color="auto"/>
              <w:bottom w:val="single" w:sz="6" w:space="0" w:color="auto"/>
              <w:right w:val="single" w:sz="6" w:space="0" w:color="auto"/>
            </w:tcBorders>
          </w:tcPr>
          <w:p w14:paraId="7D3E2CA2" w14:textId="77777777" w:rsidR="00286F7D" w:rsidRDefault="00286F7D" w:rsidP="00286F7D">
            <w:pPr>
              <w:pStyle w:val="Texttabulky"/>
              <w:spacing w:after="0"/>
              <w:jc w:val="right"/>
            </w:pPr>
            <w:r>
              <w:rPr>
                <w:b/>
                <w:bCs/>
              </w:rPr>
              <w:t>74</w:t>
            </w:r>
          </w:p>
        </w:tc>
        <w:tc>
          <w:tcPr>
            <w:tcW w:w="578" w:type="pct"/>
            <w:tcBorders>
              <w:top w:val="single" w:sz="6" w:space="0" w:color="auto"/>
              <w:left w:val="single" w:sz="6" w:space="0" w:color="auto"/>
              <w:bottom w:val="single" w:sz="6" w:space="0" w:color="auto"/>
              <w:right w:val="single" w:sz="6" w:space="0" w:color="auto"/>
            </w:tcBorders>
          </w:tcPr>
          <w:p w14:paraId="55433138" w14:textId="77777777" w:rsidR="00286F7D" w:rsidRDefault="00286F7D" w:rsidP="00286F7D">
            <w:pPr>
              <w:pStyle w:val="Texttabulky"/>
              <w:spacing w:after="0"/>
              <w:jc w:val="right"/>
            </w:pPr>
            <w:r>
              <w:t xml:space="preserve">- </w:t>
            </w:r>
            <w:r>
              <w:rPr>
                <w:b/>
                <w:bCs/>
              </w:rPr>
              <w:t>81</w:t>
            </w:r>
          </w:p>
        </w:tc>
      </w:tr>
      <w:tr w:rsidR="00286F7D" w14:paraId="2440FDD1" w14:textId="77777777" w:rsidTr="00286F7D">
        <w:tc>
          <w:tcPr>
            <w:tcW w:w="238" w:type="pct"/>
            <w:tcBorders>
              <w:top w:val="single" w:sz="6" w:space="0" w:color="auto"/>
              <w:left w:val="single" w:sz="6" w:space="0" w:color="auto"/>
              <w:bottom w:val="single" w:sz="6" w:space="0" w:color="auto"/>
              <w:right w:val="single" w:sz="6" w:space="0" w:color="auto"/>
            </w:tcBorders>
          </w:tcPr>
          <w:p w14:paraId="3823F6C2" w14:textId="77777777" w:rsidR="00286F7D" w:rsidRDefault="00286F7D" w:rsidP="00286F7D">
            <w:pPr>
              <w:pStyle w:val="Texttabulky"/>
              <w:spacing w:after="0"/>
              <w:jc w:val="right"/>
            </w:pPr>
            <w:r>
              <w:t>49</w:t>
            </w:r>
          </w:p>
        </w:tc>
        <w:tc>
          <w:tcPr>
            <w:tcW w:w="1137" w:type="pct"/>
            <w:tcBorders>
              <w:top w:val="single" w:sz="6" w:space="0" w:color="auto"/>
              <w:left w:val="single" w:sz="6" w:space="0" w:color="auto"/>
              <w:bottom w:val="single" w:sz="6" w:space="0" w:color="auto"/>
              <w:right w:val="single" w:sz="6" w:space="0" w:color="auto"/>
            </w:tcBorders>
          </w:tcPr>
          <w:p w14:paraId="56BE5481" w14:textId="77777777" w:rsidR="00286F7D" w:rsidRDefault="00286F7D" w:rsidP="00286F7D">
            <w:pPr>
              <w:pStyle w:val="Texttabulky"/>
              <w:spacing w:after="0"/>
            </w:pPr>
            <w:r>
              <w:t>Chlum</w:t>
            </w:r>
          </w:p>
        </w:tc>
        <w:tc>
          <w:tcPr>
            <w:tcW w:w="478" w:type="pct"/>
            <w:tcBorders>
              <w:top w:val="single" w:sz="6" w:space="0" w:color="auto"/>
              <w:left w:val="single" w:sz="6" w:space="0" w:color="auto"/>
              <w:bottom w:val="single" w:sz="6" w:space="0" w:color="auto"/>
              <w:right w:val="single" w:sz="6" w:space="0" w:color="auto"/>
            </w:tcBorders>
          </w:tcPr>
          <w:p w14:paraId="5EBCC582" w14:textId="77777777" w:rsidR="00286F7D" w:rsidRDefault="00286F7D" w:rsidP="00286F7D">
            <w:pPr>
              <w:pStyle w:val="Texttabulky"/>
              <w:spacing w:after="0"/>
              <w:jc w:val="right"/>
            </w:pPr>
            <w:r>
              <w:t>303</w:t>
            </w:r>
          </w:p>
        </w:tc>
        <w:tc>
          <w:tcPr>
            <w:tcW w:w="554" w:type="pct"/>
            <w:tcBorders>
              <w:top w:val="single" w:sz="6" w:space="0" w:color="auto"/>
              <w:left w:val="single" w:sz="6" w:space="0" w:color="auto"/>
              <w:bottom w:val="single" w:sz="6" w:space="0" w:color="auto"/>
              <w:right w:val="single" w:sz="6" w:space="0" w:color="auto"/>
            </w:tcBorders>
          </w:tcPr>
          <w:p w14:paraId="0AF1F49B" w14:textId="77777777" w:rsidR="00286F7D" w:rsidRDefault="00286F7D" w:rsidP="00286F7D">
            <w:pPr>
              <w:pStyle w:val="Texttabulky"/>
              <w:spacing w:after="0"/>
              <w:jc w:val="right"/>
            </w:pPr>
            <w:r>
              <w:t>280</w:t>
            </w:r>
          </w:p>
        </w:tc>
        <w:tc>
          <w:tcPr>
            <w:tcW w:w="567" w:type="pct"/>
            <w:tcBorders>
              <w:top w:val="single" w:sz="6" w:space="0" w:color="auto"/>
              <w:left w:val="single" w:sz="6" w:space="0" w:color="auto"/>
              <w:bottom w:val="single" w:sz="6" w:space="0" w:color="auto"/>
              <w:right w:val="single" w:sz="6" w:space="0" w:color="auto"/>
            </w:tcBorders>
          </w:tcPr>
          <w:p w14:paraId="7F4192C1"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11A7FC03" w14:textId="77777777" w:rsidR="00286F7D" w:rsidRDefault="00286F7D" w:rsidP="00286F7D">
            <w:pPr>
              <w:pStyle w:val="Texttabulky"/>
              <w:spacing w:after="0"/>
              <w:jc w:val="right"/>
            </w:pPr>
            <w:r>
              <w:t>280</w:t>
            </w:r>
          </w:p>
        </w:tc>
        <w:tc>
          <w:tcPr>
            <w:tcW w:w="388" w:type="pct"/>
            <w:gridSpan w:val="2"/>
            <w:tcBorders>
              <w:top w:val="single" w:sz="6" w:space="0" w:color="auto"/>
              <w:left w:val="single" w:sz="6" w:space="0" w:color="auto"/>
              <w:bottom w:val="single" w:sz="6" w:space="0" w:color="auto"/>
              <w:right w:val="single" w:sz="6" w:space="0" w:color="auto"/>
            </w:tcBorders>
          </w:tcPr>
          <w:p w14:paraId="747BC957"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4BE80F08"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20958CA3" w14:textId="77777777" w:rsidR="00286F7D" w:rsidRDefault="00286F7D" w:rsidP="00286F7D">
            <w:pPr>
              <w:pStyle w:val="Texttabulky"/>
              <w:spacing w:after="0"/>
              <w:jc w:val="right"/>
            </w:pPr>
            <w:r>
              <w:t>-280</w:t>
            </w:r>
          </w:p>
        </w:tc>
      </w:tr>
      <w:tr w:rsidR="00286F7D" w14:paraId="4746E944" w14:textId="77777777" w:rsidTr="00286F7D">
        <w:tc>
          <w:tcPr>
            <w:tcW w:w="238" w:type="pct"/>
            <w:tcBorders>
              <w:top w:val="single" w:sz="6" w:space="0" w:color="auto"/>
              <w:left w:val="single" w:sz="6" w:space="0" w:color="auto"/>
              <w:bottom w:val="single" w:sz="6" w:space="0" w:color="auto"/>
              <w:right w:val="single" w:sz="6" w:space="0" w:color="auto"/>
            </w:tcBorders>
          </w:tcPr>
          <w:p w14:paraId="6C560208" w14:textId="77777777" w:rsidR="00286F7D" w:rsidRDefault="00286F7D" w:rsidP="00286F7D">
            <w:pPr>
              <w:pStyle w:val="Texttabulky"/>
              <w:spacing w:after="0"/>
              <w:jc w:val="right"/>
            </w:pPr>
            <w:r>
              <w:t>53</w:t>
            </w:r>
          </w:p>
        </w:tc>
        <w:tc>
          <w:tcPr>
            <w:tcW w:w="1137" w:type="pct"/>
            <w:tcBorders>
              <w:top w:val="single" w:sz="6" w:space="0" w:color="auto"/>
              <w:left w:val="single" w:sz="6" w:space="0" w:color="auto"/>
              <w:bottom w:val="single" w:sz="6" w:space="0" w:color="auto"/>
              <w:right w:val="single" w:sz="6" w:space="0" w:color="auto"/>
            </w:tcBorders>
          </w:tcPr>
          <w:p w14:paraId="3A98D535" w14:textId="77777777" w:rsidR="00286F7D" w:rsidRDefault="00286F7D" w:rsidP="00286F7D">
            <w:pPr>
              <w:pStyle w:val="Texttabulky"/>
              <w:spacing w:after="0"/>
            </w:pPr>
            <w:r>
              <w:t>Velká Veleň</w:t>
            </w:r>
          </w:p>
        </w:tc>
        <w:tc>
          <w:tcPr>
            <w:tcW w:w="478" w:type="pct"/>
            <w:tcBorders>
              <w:top w:val="single" w:sz="6" w:space="0" w:color="auto"/>
              <w:left w:val="single" w:sz="6" w:space="0" w:color="auto"/>
              <w:bottom w:val="single" w:sz="6" w:space="0" w:color="auto"/>
              <w:right w:val="single" w:sz="6" w:space="0" w:color="auto"/>
            </w:tcBorders>
          </w:tcPr>
          <w:p w14:paraId="1438261A" w14:textId="77777777" w:rsidR="00286F7D" w:rsidRDefault="00286F7D" w:rsidP="00286F7D">
            <w:pPr>
              <w:pStyle w:val="Texttabulky"/>
              <w:spacing w:after="0"/>
              <w:jc w:val="right"/>
            </w:pPr>
            <w:r>
              <w:t>31</w:t>
            </w:r>
          </w:p>
        </w:tc>
        <w:tc>
          <w:tcPr>
            <w:tcW w:w="554" w:type="pct"/>
            <w:tcBorders>
              <w:top w:val="single" w:sz="6" w:space="0" w:color="auto"/>
              <w:left w:val="single" w:sz="6" w:space="0" w:color="auto"/>
              <w:bottom w:val="single" w:sz="6" w:space="0" w:color="auto"/>
              <w:right w:val="single" w:sz="6" w:space="0" w:color="auto"/>
            </w:tcBorders>
          </w:tcPr>
          <w:p w14:paraId="491A70BD" w14:textId="77777777" w:rsidR="00286F7D" w:rsidRDefault="00286F7D" w:rsidP="00286F7D">
            <w:pPr>
              <w:pStyle w:val="Texttabulky"/>
              <w:spacing w:after="0"/>
              <w:jc w:val="right"/>
            </w:pPr>
            <w:r>
              <w:t>25</w:t>
            </w:r>
          </w:p>
        </w:tc>
        <w:tc>
          <w:tcPr>
            <w:tcW w:w="567" w:type="pct"/>
            <w:tcBorders>
              <w:top w:val="single" w:sz="6" w:space="0" w:color="auto"/>
              <w:left w:val="single" w:sz="6" w:space="0" w:color="auto"/>
              <w:bottom w:val="single" w:sz="6" w:space="0" w:color="auto"/>
              <w:right w:val="single" w:sz="6" w:space="0" w:color="auto"/>
            </w:tcBorders>
          </w:tcPr>
          <w:p w14:paraId="1663CC78"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0DA7C7DA" w14:textId="77777777" w:rsidR="00286F7D" w:rsidRDefault="00286F7D" w:rsidP="00286F7D">
            <w:pPr>
              <w:pStyle w:val="Texttabulky"/>
              <w:spacing w:after="0"/>
              <w:jc w:val="right"/>
            </w:pPr>
            <w:r>
              <w:t>25</w:t>
            </w:r>
          </w:p>
        </w:tc>
        <w:tc>
          <w:tcPr>
            <w:tcW w:w="388" w:type="pct"/>
            <w:gridSpan w:val="2"/>
            <w:tcBorders>
              <w:top w:val="single" w:sz="6" w:space="0" w:color="auto"/>
              <w:left w:val="single" w:sz="6" w:space="0" w:color="auto"/>
              <w:bottom w:val="single" w:sz="6" w:space="0" w:color="auto"/>
              <w:right w:val="single" w:sz="6" w:space="0" w:color="auto"/>
            </w:tcBorders>
          </w:tcPr>
          <w:p w14:paraId="78AAA8C5"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46197EB5"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5B1ECA62" w14:textId="77777777" w:rsidR="00286F7D" w:rsidRDefault="00286F7D" w:rsidP="00286F7D">
            <w:pPr>
              <w:pStyle w:val="Texttabulky"/>
              <w:spacing w:after="0"/>
              <w:jc w:val="right"/>
            </w:pPr>
            <w:r>
              <w:t>-25</w:t>
            </w:r>
          </w:p>
        </w:tc>
      </w:tr>
      <w:tr w:rsidR="00286F7D" w14:paraId="0B7D0A02" w14:textId="77777777" w:rsidTr="00286F7D">
        <w:tc>
          <w:tcPr>
            <w:tcW w:w="238" w:type="pct"/>
            <w:tcBorders>
              <w:top w:val="single" w:sz="6" w:space="0" w:color="auto"/>
              <w:left w:val="single" w:sz="6" w:space="0" w:color="auto"/>
              <w:bottom w:val="single" w:sz="6" w:space="0" w:color="auto"/>
              <w:right w:val="single" w:sz="6" w:space="0" w:color="auto"/>
            </w:tcBorders>
          </w:tcPr>
          <w:p w14:paraId="066FC37A" w14:textId="77777777" w:rsidR="00286F7D" w:rsidRDefault="00286F7D" w:rsidP="00286F7D">
            <w:pPr>
              <w:pStyle w:val="Texttabulky"/>
              <w:spacing w:after="0"/>
              <w:jc w:val="right"/>
            </w:pPr>
            <w:r>
              <w:t>54</w:t>
            </w:r>
          </w:p>
        </w:tc>
        <w:tc>
          <w:tcPr>
            <w:tcW w:w="1137" w:type="pct"/>
            <w:tcBorders>
              <w:top w:val="single" w:sz="6" w:space="0" w:color="auto"/>
              <w:left w:val="single" w:sz="6" w:space="0" w:color="auto"/>
              <w:bottom w:val="single" w:sz="6" w:space="0" w:color="auto"/>
              <w:right w:val="single" w:sz="6" w:space="0" w:color="auto"/>
            </w:tcBorders>
          </w:tcPr>
          <w:p w14:paraId="08AAD6C5" w14:textId="77777777" w:rsidR="00286F7D" w:rsidRDefault="00286F7D" w:rsidP="00286F7D">
            <w:pPr>
              <w:pStyle w:val="Texttabulky"/>
              <w:spacing w:after="0"/>
            </w:pPr>
            <w:r>
              <w:t>Lesná</w:t>
            </w:r>
          </w:p>
        </w:tc>
        <w:tc>
          <w:tcPr>
            <w:tcW w:w="478" w:type="pct"/>
            <w:tcBorders>
              <w:top w:val="single" w:sz="6" w:space="0" w:color="auto"/>
              <w:left w:val="single" w:sz="6" w:space="0" w:color="auto"/>
              <w:bottom w:val="single" w:sz="6" w:space="0" w:color="auto"/>
              <w:right w:val="single" w:sz="6" w:space="0" w:color="auto"/>
            </w:tcBorders>
          </w:tcPr>
          <w:p w14:paraId="1CFE06EE" w14:textId="77777777" w:rsidR="00286F7D" w:rsidRDefault="00286F7D" w:rsidP="00286F7D">
            <w:pPr>
              <w:pStyle w:val="Texttabulky"/>
              <w:spacing w:after="0"/>
              <w:jc w:val="right"/>
            </w:pPr>
            <w:r>
              <w:t>153</w:t>
            </w:r>
          </w:p>
        </w:tc>
        <w:tc>
          <w:tcPr>
            <w:tcW w:w="554" w:type="pct"/>
            <w:tcBorders>
              <w:top w:val="single" w:sz="6" w:space="0" w:color="auto"/>
              <w:left w:val="single" w:sz="6" w:space="0" w:color="auto"/>
              <w:bottom w:val="single" w:sz="6" w:space="0" w:color="auto"/>
              <w:right w:val="single" w:sz="6" w:space="0" w:color="auto"/>
            </w:tcBorders>
          </w:tcPr>
          <w:p w14:paraId="585C9740" w14:textId="77777777" w:rsidR="00286F7D" w:rsidRDefault="00286F7D" w:rsidP="00286F7D">
            <w:pPr>
              <w:pStyle w:val="Texttabulky"/>
              <w:spacing w:after="0"/>
              <w:jc w:val="right"/>
            </w:pPr>
            <w:r>
              <w:t>140</w:t>
            </w:r>
          </w:p>
        </w:tc>
        <w:tc>
          <w:tcPr>
            <w:tcW w:w="567" w:type="pct"/>
            <w:tcBorders>
              <w:top w:val="single" w:sz="6" w:space="0" w:color="auto"/>
              <w:left w:val="single" w:sz="6" w:space="0" w:color="auto"/>
              <w:bottom w:val="single" w:sz="6" w:space="0" w:color="auto"/>
              <w:right w:val="single" w:sz="6" w:space="0" w:color="auto"/>
            </w:tcBorders>
          </w:tcPr>
          <w:p w14:paraId="73235454" w14:textId="77777777" w:rsidR="00286F7D" w:rsidRDefault="00286F7D" w:rsidP="00286F7D">
            <w:pPr>
              <w:pStyle w:val="Texttabulky"/>
              <w:spacing w:after="0"/>
              <w:jc w:val="right"/>
            </w:pPr>
            <w:r>
              <w:t>45</w:t>
            </w:r>
          </w:p>
        </w:tc>
        <w:tc>
          <w:tcPr>
            <w:tcW w:w="480" w:type="pct"/>
            <w:tcBorders>
              <w:top w:val="single" w:sz="6" w:space="0" w:color="auto"/>
              <w:left w:val="single" w:sz="6" w:space="0" w:color="auto"/>
              <w:bottom w:val="single" w:sz="6" w:space="0" w:color="auto"/>
              <w:right w:val="single" w:sz="6" w:space="0" w:color="auto"/>
            </w:tcBorders>
          </w:tcPr>
          <w:p w14:paraId="2D6711CE" w14:textId="77777777" w:rsidR="00286F7D" w:rsidRDefault="00286F7D" w:rsidP="00286F7D">
            <w:pPr>
              <w:pStyle w:val="Texttabulky"/>
              <w:spacing w:after="0"/>
              <w:jc w:val="right"/>
            </w:pPr>
            <w:r>
              <w:t>185</w:t>
            </w:r>
          </w:p>
        </w:tc>
        <w:tc>
          <w:tcPr>
            <w:tcW w:w="388" w:type="pct"/>
            <w:gridSpan w:val="2"/>
            <w:tcBorders>
              <w:top w:val="single" w:sz="6" w:space="0" w:color="auto"/>
              <w:left w:val="single" w:sz="6" w:space="0" w:color="auto"/>
              <w:bottom w:val="single" w:sz="6" w:space="0" w:color="auto"/>
              <w:right w:val="single" w:sz="6" w:space="0" w:color="auto"/>
            </w:tcBorders>
          </w:tcPr>
          <w:p w14:paraId="6622C5E7"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5F0F265A"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633F3910" w14:textId="77777777" w:rsidR="00286F7D" w:rsidRDefault="00286F7D" w:rsidP="00286F7D">
            <w:pPr>
              <w:pStyle w:val="Texttabulky"/>
              <w:spacing w:after="0"/>
              <w:jc w:val="right"/>
            </w:pPr>
            <w:r>
              <w:t>-185</w:t>
            </w:r>
          </w:p>
        </w:tc>
      </w:tr>
      <w:tr w:rsidR="00286F7D" w14:paraId="77703F28" w14:textId="77777777" w:rsidTr="00286F7D">
        <w:tc>
          <w:tcPr>
            <w:tcW w:w="238" w:type="pct"/>
            <w:tcBorders>
              <w:top w:val="single" w:sz="6" w:space="0" w:color="auto"/>
              <w:left w:val="single" w:sz="6" w:space="0" w:color="auto"/>
              <w:bottom w:val="single" w:sz="6" w:space="0" w:color="auto"/>
              <w:right w:val="single" w:sz="6" w:space="0" w:color="auto"/>
            </w:tcBorders>
          </w:tcPr>
          <w:p w14:paraId="56F5B77B" w14:textId="77777777" w:rsidR="00286F7D" w:rsidRDefault="00286F7D" w:rsidP="00286F7D">
            <w:pPr>
              <w:pStyle w:val="Texttabulky"/>
              <w:spacing w:after="0"/>
              <w:jc w:val="right"/>
            </w:pPr>
            <w:r>
              <w:t>55</w:t>
            </w:r>
          </w:p>
        </w:tc>
        <w:tc>
          <w:tcPr>
            <w:tcW w:w="1137" w:type="pct"/>
            <w:tcBorders>
              <w:top w:val="single" w:sz="6" w:space="0" w:color="auto"/>
              <w:left w:val="single" w:sz="6" w:space="0" w:color="auto"/>
              <w:bottom w:val="single" w:sz="6" w:space="0" w:color="auto"/>
              <w:right w:val="single" w:sz="6" w:space="0" w:color="auto"/>
            </w:tcBorders>
          </w:tcPr>
          <w:p w14:paraId="2B8CD1D6" w14:textId="77777777" w:rsidR="00286F7D" w:rsidRDefault="00286F7D" w:rsidP="00286F7D">
            <w:pPr>
              <w:pStyle w:val="Texttabulky"/>
              <w:spacing w:after="0"/>
            </w:pPr>
            <w:r>
              <w:t>Lesní mlýn</w:t>
            </w:r>
          </w:p>
        </w:tc>
        <w:tc>
          <w:tcPr>
            <w:tcW w:w="478" w:type="pct"/>
            <w:tcBorders>
              <w:top w:val="single" w:sz="6" w:space="0" w:color="auto"/>
              <w:left w:val="single" w:sz="6" w:space="0" w:color="auto"/>
              <w:bottom w:val="single" w:sz="6" w:space="0" w:color="auto"/>
              <w:right w:val="single" w:sz="6" w:space="0" w:color="auto"/>
            </w:tcBorders>
          </w:tcPr>
          <w:p w14:paraId="545AC4A6" w14:textId="77777777" w:rsidR="00286F7D" w:rsidRDefault="00286F7D" w:rsidP="00286F7D">
            <w:pPr>
              <w:pStyle w:val="Texttabulky"/>
              <w:spacing w:after="0"/>
              <w:jc w:val="right"/>
            </w:pPr>
            <w:r>
              <w:t>9</w:t>
            </w:r>
          </w:p>
        </w:tc>
        <w:tc>
          <w:tcPr>
            <w:tcW w:w="554" w:type="pct"/>
            <w:tcBorders>
              <w:top w:val="single" w:sz="6" w:space="0" w:color="auto"/>
              <w:left w:val="single" w:sz="6" w:space="0" w:color="auto"/>
              <w:bottom w:val="single" w:sz="6" w:space="0" w:color="auto"/>
              <w:right w:val="single" w:sz="6" w:space="0" w:color="auto"/>
            </w:tcBorders>
          </w:tcPr>
          <w:p w14:paraId="39370034" w14:textId="77777777" w:rsidR="00286F7D" w:rsidRDefault="00286F7D" w:rsidP="00286F7D">
            <w:pPr>
              <w:pStyle w:val="Texttabulky"/>
              <w:spacing w:after="0"/>
              <w:jc w:val="right"/>
            </w:pPr>
            <w:r>
              <w:t>5</w:t>
            </w:r>
          </w:p>
        </w:tc>
        <w:tc>
          <w:tcPr>
            <w:tcW w:w="567" w:type="pct"/>
            <w:tcBorders>
              <w:top w:val="single" w:sz="6" w:space="0" w:color="auto"/>
              <w:left w:val="single" w:sz="6" w:space="0" w:color="auto"/>
              <w:bottom w:val="single" w:sz="6" w:space="0" w:color="auto"/>
              <w:right w:val="single" w:sz="6" w:space="0" w:color="auto"/>
            </w:tcBorders>
          </w:tcPr>
          <w:p w14:paraId="0E0F93F3"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06AB8894" w14:textId="77777777" w:rsidR="00286F7D" w:rsidRDefault="00286F7D" w:rsidP="00286F7D">
            <w:pPr>
              <w:pStyle w:val="Texttabulky"/>
              <w:spacing w:after="0"/>
              <w:jc w:val="right"/>
            </w:pPr>
            <w:r>
              <w:t>5</w:t>
            </w:r>
          </w:p>
        </w:tc>
        <w:tc>
          <w:tcPr>
            <w:tcW w:w="388" w:type="pct"/>
            <w:gridSpan w:val="2"/>
            <w:tcBorders>
              <w:top w:val="single" w:sz="6" w:space="0" w:color="auto"/>
              <w:left w:val="single" w:sz="6" w:space="0" w:color="auto"/>
              <w:bottom w:val="single" w:sz="6" w:space="0" w:color="auto"/>
              <w:right w:val="single" w:sz="6" w:space="0" w:color="auto"/>
            </w:tcBorders>
          </w:tcPr>
          <w:p w14:paraId="7DA34B30"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7C885DD4"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168495B7" w14:textId="77777777" w:rsidR="00286F7D" w:rsidRDefault="00286F7D" w:rsidP="00286F7D">
            <w:pPr>
              <w:pStyle w:val="Texttabulky"/>
              <w:spacing w:after="0"/>
              <w:jc w:val="right"/>
            </w:pPr>
            <w:r>
              <w:t>-5</w:t>
            </w:r>
          </w:p>
        </w:tc>
      </w:tr>
      <w:tr w:rsidR="00286F7D" w14:paraId="230441FA" w14:textId="77777777" w:rsidTr="00286F7D">
        <w:tc>
          <w:tcPr>
            <w:tcW w:w="238" w:type="pct"/>
            <w:tcBorders>
              <w:top w:val="single" w:sz="6" w:space="0" w:color="auto"/>
              <w:left w:val="single" w:sz="6" w:space="0" w:color="auto"/>
              <w:bottom w:val="single" w:sz="6" w:space="0" w:color="auto"/>
              <w:right w:val="single" w:sz="6" w:space="0" w:color="auto"/>
            </w:tcBorders>
          </w:tcPr>
          <w:p w14:paraId="2833CBC8" w14:textId="77777777" w:rsidR="00286F7D" w:rsidRDefault="00286F7D" w:rsidP="00286F7D">
            <w:pPr>
              <w:pStyle w:val="Texttabulky"/>
              <w:spacing w:after="0"/>
              <w:jc w:val="right"/>
            </w:pPr>
            <w:r>
              <w:t>56</w:t>
            </w:r>
          </w:p>
        </w:tc>
        <w:tc>
          <w:tcPr>
            <w:tcW w:w="1137" w:type="pct"/>
            <w:tcBorders>
              <w:top w:val="single" w:sz="6" w:space="0" w:color="auto"/>
              <w:left w:val="single" w:sz="6" w:space="0" w:color="auto"/>
              <w:bottom w:val="single" w:sz="6" w:space="0" w:color="auto"/>
              <w:right w:val="single" w:sz="6" w:space="0" w:color="auto"/>
            </w:tcBorders>
          </w:tcPr>
          <w:p w14:paraId="661D8102" w14:textId="77777777" w:rsidR="00286F7D" w:rsidRDefault="00286F7D" w:rsidP="00286F7D">
            <w:pPr>
              <w:pStyle w:val="Texttabulky"/>
              <w:spacing w:after="0"/>
            </w:pPr>
            <w:r>
              <w:t>Hoštice</w:t>
            </w:r>
          </w:p>
        </w:tc>
        <w:tc>
          <w:tcPr>
            <w:tcW w:w="478" w:type="pct"/>
            <w:tcBorders>
              <w:top w:val="single" w:sz="6" w:space="0" w:color="auto"/>
              <w:left w:val="single" w:sz="6" w:space="0" w:color="auto"/>
              <w:bottom w:val="single" w:sz="6" w:space="0" w:color="auto"/>
              <w:right w:val="single" w:sz="6" w:space="0" w:color="auto"/>
            </w:tcBorders>
          </w:tcPr>
          <w:p w14:paraId="14EB2343" w14:textId="77777777" w:rsidR="00286F7D" w:rsidRDefault="00286F7D" w:rsidP="00286F7D">
            <w:pPr>
              <w:pStyle w:val="Texttabulky"/>
              <w:spacing w:after="0"/>
              <w:jc w:val="right"/>
            </w:pPr>
            <w:r>
              <w:t>15</w:t>
            </w:r>
          </w:p>
        </w:tc>
        <w:tc>
          <w:tcPr>
            <w:tcW w:w="554" w:type="pct"/>
            <w:tcBorders>
              <w:top w:val="single" w:sz="6" w:space="0" w:color="auto"/>
              <w:left w:val="single" w:sz="6" w:space="0" w:color="auto"/>
              <w:bottom w:val="single" w:sz="6" w:space="0" w:color="auto"/>
              <w:right w:val="single" w:sz="6" w:space="0" w:color="auto"/>
            </w:tcBorders>
          </w:tcPr>
          <w:p w14:paraId="1BB48CA5" w14:textId="77777777" w:rsidR="00286F7D" w:rsidRDefault="00286F7D" w:rsidP="00286F7D">
            <w:pPr>
              <w:pStyle w:val="Texttabulky"/>
              <w:spacing w:after="0"/>
              <w:jc w:val="right"/>
            </w:pPr>
            <w:r>
              <w:t>10</w:t>
            </w:r>
          </w:p>
        </w:tc>
        <w:tc>
          <w:tcPr>
            <w:tcW w:w="567" w:type="pct"/>
            <w:tcBorders>
              <w:top w:val="single" w:sz="6" w:space="0" w:color="auto"/>
              <w:left w:val="single" w:sz="6" w:space="0" w:color="auto"/>
              <w:bottom w:val="single" w:sz="6" w:space="0" w:color="auto"/>
              <w:right w:val="single" w:sz="6" w:space="0" w:color="auto"/>
            </w:tcBorders>
          </w:tcPr>
          <w:p w14:paraId="78845E78" w14:textId="77777777" w:rsidR="00286F7D" w:rsidRDefault="00286F7D" w:rsidP="00286F7D">
            <w:pPr>
              <w:pStyle w:val="Texttabulky"/>
              <w:spacing w:after="0"/>
              <w:jc w:val="right"/>
            </w:pPr>
            <w:r>
              <w:t>0</w:t>
            </w:r>
          </w:p>
        </w:tc>
        <w:tc>
          <w:tcPr>
            <w:tcW w:w="480" w:type="pct"/>
            <w:tcBorders>
              <w:top w:val="single" w:sz="6" w:space="0" w:color="auto"/>
              <w:left w:val="single" w:sz="6" w:space="0" w:color="auto"/>
              <w:bottom w:val="single" w:sz="6" w:space="0" w:color="auto"/>
              <w:right w:val="single" w:sz="6" w:space="0" w:color="auto"/>
            </w:tcBorders>
          </w:tcPr>
          <w:p w14:paraId="09291B35" w14:textId="77777777" w:rsidR="00286F7D" w:rsidRDefault="00286F7D" w:rsidP="00286F7D">
            <w:pPr>
              <w:pStyle w:val="Texttabulky"/>
              <w:spacing w:after="0"/>
              <w:jc w:val="right"/>
            </w:pPr>
            <w:r>
              <w:t>10</w:t>
            </w:r>
          </w:p>
        </w:tc>
        <w:tc>
          <w:tcPr>
            <w:tcW w:w="388" w:type="pct"/>
            <w:gridSpan w:val="2"/>
            <w:tcBorders>
              <w:top w:val="single" w:sz="6" w:space="0" w:color="auto"/>
              <w:left w:val="single" w:sz="6" w:space="0" w:color="auto"/>
              <w:bottom w:val="single" w:sz="6" w:space="0" w:color="auto"/>
              <w:right w:val="single" w:sz="6" w:space="0" w:color="auto"/>
            </w:tcBorders>
          </w:tcPr>
          <w:p w14:paraId="09056C3E"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30162B8A" w14:textId="77777777" w:rsidR="00286F7D" w:rsidRDefault="00286F7D" w:rsidP="00286F7D">
            <w:pPr>
              <w:pStyle w:val="Texttabulky"/>
              <w:spacing w:after="0"/>
              <w:jc w:val="right"/>
            </w:pPr>
            <w:r>
              <w:t>0</w:t>
            </w:r>
          </w:p>
        </w:tc>
        <w:tc>
          <w:tcPr>
            <w:tcW w:w="578" w:type="pct"/>
            <w:tcBorders>
              <w:top w:val="single" w:sz="6" w:space="0" w:color="auto"/>
              <w:left w:val="single" w:sz="6" w:space="0" w:color="auto"/>
              <w:bottom w:val="single" w:sz="6" w:space="0" w:color="auto"/>
              <w:right w:val="single" w:sz="6" w:space="0" w:color="auto"/>
            </w:tcBorders>
          </w:tcPr>
          <w:p w14:paraId="5D911CA1" w14:textId="77777777" w:rsidR="00286F7D" w:rsidRDefault="00286F7D" w:rsidP="00286F7D">
            <w:pPr>
              <w:pStyle w:val="Texttabulky"/>
              <w:spacing w:after="0"/>
              <w:jc w:val="right"/>
            </w:pPr>
            <w:r>
              <w:t>-10</w:t>
            </w:r>
          </w:p>
        </w:tc>
      </w:tr>
      <w:tr w:rsidR="00286F7D" w14:paraId="0EBB6468" w14:textId="77777777" w:rsidTr="00286F7D">
        <w:tc>
          <w:tcPr>
            <w:tcW w:w="238" w:type="pct"/>
            <w:tcBorders>
              <w:top w:val="single" w:sz="6" w:space="0" w:color="auto"/>
              <w:left w:val="single" w:sz="6" w:space="0" w:color="auto"/>
              <w:bottom w:val="single" w:sz="6" w:space="0" w:color="auto"/>
              <w:right w:val="single" w:sz="6" w:space="0" w:color="auto"/>
            </w:tcBorders>
          </w:tcPr>
          <w:p w14:paraId="7563E677" w14:textId="77777777" w:rsidR="00286F7D" w:rsidRDefault="00286F7D" w:rsidP="00286F7D">
            <w:pPr>
              <w:pStyle w:val="Texttabulky"/>
              <w:spacing w:after="0"/>
            </w:pPr>
            <w:r>
              <w:rPr>
                <w:b/>
                <w:bCs/>
              </w:rPr>
              <w:t xml:space="preserve"> IX</w:t>
            </w:r>
          </w:p>
        </w:tc>
        <w:tc>
          <w:tcPr>
            <w:tcW w:w="1137" w:type="pct"/>
            <w:tcBorders>
              <w:top w:val="single" w:sz="6" w:space="0" w:color="auto"/>
              <w:left w:val="single" w:sz="6" w:space="0" w:color="auto"/>
              <w:bottom w:val="single" w:sz="6" w:space="0" w:color="auto"/>
              <w:right w:val="single" w:sz="6" w:space="0" w:color="auto"/>
            </w:tcBorders>
          </w:tcPr>
          <w:p w14:paraId="148D4A7C" w14:textId="77777777" w:rsidR="00286F7D" w:rsidRDefault="00286F7D" w:rsidP="00286F7D">
            <w:pPr>
              <w:pStyle w:val="Texttabulky"/>
              <w:spacing w:after="0"/>
            </w:pPr>
            <w:r>
              <w:rPr>
                <w:b/>
                <w:bCs/>
                <w:caps/>
              </w:rPr>
              <w:t>sektor celkem</w:t>
            </w:r>
          </w:p>
        </w:tc>
        <w:tc>
          <w:tcPr>
            <w:tcW w:w="478" w:type="pct"/>
            <w:tcBorders>
              <w:top w:val="single" w:sz="6" w:space="0" w:color="auto"/>
              <w:left w:val="single" w:sz="6" w:space="0" w:color="auto"/>
              <w:bottom w:val="single" w:sz="6" w:space="0" w:color="auto"/>
              <w:right w:val="single" w:sz="6" w:space="0" w:color="auto"/>
            </w:tcBorders>
          </w:tcPr>
          <w:p w14:paraId="0B6F3637" w14:textId="77777777" w:rsidR="00286F7D" w:rsidRDefault="00286F7D" w:rsidP="00286F7D">
            <w:pPr>
              <w:pStyle w:val="Texttabulky"/>
              <w:spacing w:after="0"/>
              <w:jc w:val="right"/>
            </w:pPr>
            <w:r>
              <w:rPr>
                <w:b/>
                <w:bCs/>
              </w:rPr>
              <w:t>511</w:t>
            </w:r>
          </w:p>
        </w:tc>
        <w:tc>
          <w:tcPr>
            <w:tcW w:w="554" w:type="pct"/>
            <w:tcBorders>
              <w:top w:val="single" w:sz="6" w:space="0" w:color="auto"/>
              <w:left w:val="single" w:sz="6" w:space="0" w:color="auto"/>
              <w:bottom w:val="single" w:sz="6" w:space="0" w:color="auto"/>
              <w:right w:val="single" w:sz="6" w:space="0" w:color="auto"/>
            </w:tcBorders>
          </w:tcPr>
          <w:p w14:paraId="447F942D" w14:textId="77777777" w:rsidR="00286F7D" w:rsidRDefault="00286F7D" w:rsidP="00286F7D">
            <w:pPr>
              <w:pStyle w:val="Texttabulky"/>
              <w:spacing w:after="0"/>
              <w:jc w:val="right"/>
            </w:pPr>
            <w:r>
              <w:rPr>
                <w:b/>
                <w:bCs/>
              </w:rPr>
              <w:t>460</w:t>
            </w:r>
          </w:p>
        </w:tc>
        <w:tc>
          <w:tcPr>
            <w:tcW w:w="567" w:type="pct"/>
            <w:tcBorders>
              <w:top w:val="single" w:sz="6" w:space="0" w:color="auto"/>
              <w:left w:val="single" w:sz="6" w:space="0" w:color="auto"/>
              <w:bottom w:val="single" w:sz="6" w:space="0" w:color="auto"/>
              <w:right w:val="single" w:sz="6" w:space="0" w:color="auto"/>
            </w:tcBorders>
          </w:tcPr>
          <w:p w14:paraId="6D646507" w14:textId="77777777" w:rsidR="00286F7D" w:rsidRDefault="00286F7D" w:rsidP="00286F7D">
            <w:pPr>
              <w:pStyle w:val="Texttabulky"/>
              <w:spacing w:after="0"/>
              <w:jc w:val="right"/>
            </w:pPr>
            <w:r>
              <w:rPr>
                <w:b/>
                <w:bCs/>
              </w:rPr>
              <w:t>45</w:t>
            </w:r>
          </w:p>
        </w:tc>
        <w:tc>
          <w:tcPr>
            <w:tcW w:w="480" w:type="pct"/>
            <w:tcBorders>
              <w:top w:val="single" w:sz="6" w:space="0" w:color="auto"/>
              <w:left w:val="single" w:sz="6" w:space="0" w:color="auto"/>
              <w:bottom w:val="single" w:sz="6" w:space="0" w:color="auto"/>
              <w:right w:val="single" w:sz="6" w:space="0" w:color="auto"/>
            </w:tcBorders>
          </w:tcPr>
          <w:p w14:paraId="3F849FD9" w14:textId="77777777" w:rsidR="00286F7D" w:rsidRDefault="00286F7D" w:rsidP="00286F7D">
            <w:pPr>
              <w:pStyle w:val="Texttabulky"/>
              <w:spacing w:after="0"/>
              <w:jc w:val="right"/>
            </w:pPr>
            <w:r>
              <w:rPr>
                <w:b/>
                <w:bCs/>
              </w:rPr>
              <w:t>505</w:t>
            </w:r>
          </w:p>
        </w:tc>
        <w:tc>
          <w:tcPr>
            <w:tcW w:w="388" w:type="pct"/>
            <w:gridSpan w:val="2"/>
            <w:tcBorders>
              <w:top w:val="single" w:sz="6" w:space="0" w:color="auto"/>
              <w:left w:val="single" w:sz="6" w:space="0" w:color="auto"/>
              <w:bottom w:val="single" w:sz="6" w:space="0" w:color="auto"/>
              <w:right w:val="single" w:sz="6" w:space="0" w:color="auto"/>
            </w:tcBorders>
          </w:tcPr>
          <w:p w14:paraId="5DF52DA8" w14:textId="77777777" w:rsidR="00286F7D" w:rsidRDefault="00286F7D" w:rsidP="00286F7D">
            <w:pPr>
              <w:pStyle w:val="Texttabulky"/>
              <w:spacing w:after="0"/>
              <w:jc w:val="right"/>
            </w:pPr>
            <w:r>
              <w:rPr>
                <w:b/>
                <w:bCs/>
              </w:rPr>
              <w:t>0</w:t>
            </w:r>
          </w:p>
        </w:tc>
        <w:tc>
          <w:tcPr>
            <w:tcW w:w="578" w:type="pct"/>
            <w:tcBorders>
              <w:top w:val="single" w:sz="6" w:space="0" w:color="auto"/>
              <w:left w:val="single" w:sz="6" w:space="0" w:color="auto"/>
              <w:bottom w:val="single" w:sz="6" w:space="0" w:color="auto"/>
              <w:right w:val="single" w:sz="6" w:space="0" w:color="auto"/>
            </w:tcBorders>
          </w:tcPr>
          <w:p w14:paraId="21E58077" w14:textId="77777777" w:rsidR="00286F7D" w:rsidRDefault="00286F7D" w:rsidP="00286F7D">
            <w:pPr>
              <w:pStyle w:val="Texttabulky"/>
              <w:spacing w:after="0"/>
              <w:jc w:val="right"/>
            </w:pPr>
            <w:r>
              <w:rPr>
                <w:b/>
                <w:bCs/>
              </w:rPr>
              <w:t>0</w:t>
            </w:r>
          </w:p>
        </w:tc>
        <w:tc>
          <w:tcPr>
            <w:tcW w:w="578" w:type="pct"/>
            <w:tcBorders>
              <w:top w:val="single" w:sz="6" w:space="0" w:color="auto"/>
              <w:left w:val="single" w:sz="6" w:space="0" w:color="auto"/>
              <w:bottom w:val="single" w:sz="6" w:space="0" w:color="auto"/>
              <w:right w:val="single" w:sz="6" w:space="0" w:color="auto"/>
            </w:tcBorders>
          </w:tcPr>
          <w:p w14:paraId="7C7E276C" w14:textId="77777777" w:rsidR="00286F7D" w:rsidRDefault="00286F7D" w:rsidP="00286F7D">
            <w:pPr>
              <w:pStyle w:val="Texttabulky"/>
              <w:spacing w:after="0"/>
              <w:jc w:val="right"/>
            </w:pPr>
            <w:r>
              <w:t xml:space="preserve">- </w:t>
            </w:r>
            <w:r>
              <w:rPr>
                <w:b/>
                <w:bCs/>
              </w:rPr>
              <w:t>505</w:t>
            </w:r>
          </w:p>
        </w:tc>
      </w:tr>
      <w:tr w:rsidR="00286F7D" w14:paraId="57BD1799" w14:textId="77777777" w:rsidTr="00286F7D">
        <w:tc>
          <w:tcPr>
            <w:tcW w:w="238" w:type="pct"/>
            <w:tcBorders>
              <w:top w:val="single" w:sz="6" w:space="0" w:color="auto"/>
              <w:left w:val="single" w:sz="6" w:space="0" w:color="auto"/>
              <w:bottom w:val="single" w:sz="6" w:space="0" w:color="auto"/>
              <w:right w:val="single" w:sz="6" w:space="0" w:color="auto"/>
            </w:tcBorders>
          </w:tcPr>
          <w:p w14:paraId="46079B29" w14:textId="77777777" w:rsidR="00286F7D" w:rsidRDefault="00286F7D" w:rsidP="00286F7D">
            <w:pPr>
              <w:pStyle w:val="Texttabulky"/>
              <w:spacing w:after="0"/>
            </w:pPr>
            <w:r>
              <w:rPr>
                <w:b/>
                <w:bCs/>
              </w:rPr>
              <w:t>I-IX</w:t>
            </w:r>
          </w:p>
        </w:tc>
        <w:tc>
          <w:tcPr>
            <w:tcW w:w="1137" w:type="pct"/>
            <w:tcBorders>
              <w:top w:val="single" w:sz="6" w:space="0" w:color="auto"/>
              <w:left w:val="single" w:sz="6" w:space="0" w:color="auto"/>
              <w:bottom w:val="single" w:sz="6" w:space="0" w:color="auto"/>
              <w:right w:val="single" w:sz="6" w:space="0" w:color="auto"/>
            </w:tcBorders>
          </w:tcPr>
          <w:p w14:paraId="2CD84245" w14:textId="77777777" w:rsidR="00286F7D" w:rsidRDefault="00286F7D" w:rsidP="00286F7D">
            <w:pPr>
              <w:pStyle w:val="Texttabulky"/>
              <w:spacing w:after="0"/>
            </w:pPr>
            <w:r>
              <w:rPr>
                <w:b/>
                <w:bCs/>
              </w:rPr>
              <w:t>MĚSTO CELKEM</w:t>
            </w:r>
          </w:p>
        </w:tc>
        <w:tc>
          <w:tcPr>
            <w:tcW w:w="478" w:type="pct"/>
            <w:tcBorders>
              <w:top w:val="single" w:sz="6" w:space="0" w:color="auto"/>
              <w:left w:val="single" w:sz="6" w:space="0" w:color="auto"/>
              <w:bottom w:val="single" w:sz="6" w:space="0" w:color="auto"/>
              <w:right w:val="single" w:sz="6" w:space="0" w:color="auto"/>
            </w:tcBorders>
          </w:tcPr>
          <w:p w14:paraId="7F732AC1" w14:textId="77777777" w:rsidR="00286F7D" w:rsidRDefault="00286F7D" w:rsidP="00286F7D">
            <w:pPr>
              <w:pStyle w:val="Texttabulky"/>
              <w:spacing w:after="0"/>
              <w:jc w:val="right"/>
            </w:pPr>
            <w:r>
              <w:rPr>
                <w:b/>
                <w:bCs/>
              </w:rPr>
              <w:t>53 899</w:t>
            </w:r>
          </w:p>
        </w:tc>
        <w:tc>
          <w:tcPr>
            <w:tcW w:w="554" w:type="pct"/>
            <w:tcBorders>
              <w:top w:val="single" w:sz="6" w:space="0" w:color="auto"/>
              <w:left w:val="single" w:sz="6" w:space="0" w:color="auto"/>
              <w:bottom w:val="single" w:sz="6" w:space="0" w:color="auto"/>
              <w:right w:val="single" w:sz="6" w:space="0" w:color="auto"/>
            </w:tcBorders>
          </w:tcPr>
          <w:p w14:paraId="003C1837" w14:textId="77777777" w:rsidR="00286F7D" w:rsidRDefault="00286F7D" w:rsidP="00286F7D">
            <w:pPr>
              <w:pStyle w:val="Texttabulky"/>
              <w:spacing w:after="0"/>
              <w:jc w:val="right"/>
            </w:pPr>
            <w:r>
              <w:rPr>
                <w:b/>
                <w:bCs/>
              </w:rPr>
              <w:t>50 700</w:t>
            </w:r>
          </w:p>
        </w:tc>
        <w:tc>
          <w:tcPr>
            <w:tcW w:w="567" w:type="pct"/>
            <w:tcBorders>
              <w:top w:val="single" w:sz="6" w:space="0" w:color="auto"/>
              <w:left w:val="single" w:sz="6" w:space="0" w:color="auto"/>
              <w:bottom w:val="single" w:sz="6" w:space="0" w:color="auto"/>
              <w:right w:val="single" w:sz="6" w:space="0" w:color="auto"/>
            </w:tcBorders>
          </w:tcPr>
          <w:p w14:paraId="1C79B140" w14:textId="77777777" w:rsidR="00286F7D" w:rsidRDefault="00286F7D" w:rsidP="00286F7D">
            <w:pPr>
              <w:pStyle w:val="Texttabulky"/>
              <w:spacing w:after="0"/>
              <w:jc w:val="right"/>
            </w:pPr>
            <w:r>
              <w:rPr>
                <w:b/>
                <w:bCs/>
              </w:rPr>
              <w:t>4 270</w:t>
            </w:r>
          </w:p>
        </w:tc>
        <w:tc>
          <w:tcPr>
            <w:tcW w:w="480" w:type="pct"/>
            <w:tcBorders>
              <w:top w:val="single" w:sz="6" w:space="0" w:color="auto"/>
              <w:left w:val="single" w:sz="6" w:space="0" w:color="auto"/>
              <w:bottom w:val="single" w:sz="6" w:space="0" w:color="auto"/>
              <w:right w:val="single" w:sz="6" w:space="0" w:color="auto"/>
            </w:tcBorders>
          </w:tcPr>
          <w:p w14:paraId="0391B1BB" w14:textId="77777777" w:rsidR="00286F7D" w:rsidRDefault="00286F7D" w:rsidP="00286F7D">
            <w:pPr>
              <w:pStyle w:val="Texttabulky"/>
              <w:spacing w:after="0"/>
              <w:jc w:val="right"/>
            </w:pPr>
            <w:r>
              <w:rPr>
                <w:b/>
                <w:bCs/>
              </w:rPr>
              <w:t>54 270</w:t>
            </w:r>
          </w:p>
        </w:tc>
        <w:tc>
          <w:tcPr>
            <w:tcW w:w="388" w:type="pct"/>
            <w:gridSpan w:val="2"/>
            <w:tcBorders>
              <w:top w:val="single" w:sz="6" w:space="0" w:color="auto"/>
              <w:left w:val="single" w:sz="6" w:space="0" w:color="auto"/>
              <w:bottom w:val="single" w:sz="6" w:space="0" w:color="auto"/>
              <w:right w:val="single" w:sz="6" w:space="0" w:color="auto"/>
            </w:tcBorders>
          </w:tcPr>
          <w:p w14:paraId="075C0DC2" w14:textId="77777777" w:rsidR="00286F7D" w:rsidRDefault="00286F7D" w:rsidP="00286F7D">
            <w:pPr>
              <w:pStyle w:val="Texttabulky"/>
              <w:spacing w:after="0"/>
              <w:jc w:val="right"/>
            </w:pPr>
            <w:r>
              <w:rPr>
                <w:b/>
                <w:bCs/>
              </w:rPr>
              <w:t>1 386</w:t>
            </w:r>
          </w:p>
        </w:tc>
        <w:tc>
          <w:tcPr>
            <w:tcW w:w="578" w:type="pct"/>
            <w:tcBorders>
              <w:top w:val="single" w:sz="6" w:space="0" w:color="auto"/>
              <w:left w:val="single" w:sz="6" w:space="0" w:color="auto"/>
              <w:bottom w:val="single" w:sz="6" w:space="0" w:color="auto"/>
              <w:right w:val="single" w:sz="6" w:space="0" w:color="auto"/>
            </w:tcBorders>
          </w:tcPr>
          <w:p w14:paraId="71886F24" w14:textId="77777777" w:rsidR="00286F7D" w:rsidRDefault="00286F7D" w:rsidP="00286F7D">
            <w:pPr>
              <w:pStyle w:val="Texttabulky"/>
              <w:spacing w:after="0"/>
              <w:jc w:val="right"/>
            </w:pPr>
            <w:r>
              <w:rPr>
                <w:b/>
                <w:bCs/>
              </w:rPr>
              <w:t>70 256</w:t>
            </w:r>
          </w:p>
        </w:tc>
        <w:tc>
          <w:tcPr>
            <w:tcW w:w="578" w:type="pct"/>
            <w:tcBorders>
              <w:top w:val="single" w:sz="6" w:space="0" w:color="auto"/>
              <w:left w:val="single" w:sz="6" w:space="0" w:color="auto"/>
              <w:bottom w:val="single" w:sz="6" w:space="0" w:color="auto"/>
              <w:right w:val="single" w:sz="6" w:space="0" w:color="auto"/>
            </w:tcBorders>
          </w:tcPr>
          <w:p w14:paraId="1A1CA39A" w14:textId="77777777" w:rsidR="00286F7D" w:rsidRDefault="00286F7D" w:rsidP="00286F7D">
            <w:pPr>
              <w:pStyle w:val="Texttabulky"/>
              <w:spacing w:after="0"/>
              <w:jc w:val="right"/>
            </w:pPr>
            <w:r>
              <w:rPr>
                <w:b/>
                <w:bCs/>
              </w:rPr>
              <w:t>+15 286</w:t>
            </w:r>
          </w:p>
        </w:tc>
      </w:tr>
    </w:tbl>
    <w:p w14:paraId="0C3F1B75" w14:textId="77777777" w:rsidR="00286F7D" w:rsidRDefault="00286F7D" w:rsidP="00286F7D">
      <w:pPr>
        <w:autoSpaceDE w:val="0"/>
        <w:autoSpaceDN w:val="0"/>
        <w:adjustRightInd w:val="0"/>
        <w:rPr>
          <w:rFonts w:ascii="Arial" w:hAnsi="Arial" w:cs="Arial"/>
          <w:sz w:val="20"/>
        </w:rPr>
      </w:pPr>
    </w:p>
    <w:p w14:paraId="6C0D06EE" w14:textId="77777777" w:rsidR="00286F7D" w:rsidRDefault="00286F7D" w:rsidP="00286F7D">
      <w:pPr>
        <w:autoSpaceDE w:val="0"/>
        <w:autoSpaceDN w:val="0"/>
        <w:adjustRightInd w:val="0"/>
        <w:rPr>
          <w:rFonts w:ascii="Arial" w:hAnsi="Arial" w:cs="Arial"/>
          <w:sz w:val="20"/>
        </w:rPr>
      </w:pPr>
    </w:p>
    <w:p w14:paraId="4ACFD7D7" w14:textId="77777777" w:rsidR="00286F7D" w:rsidRDefault="00286F7D" w:rsidP="00286F7D">
      <w:pPr>
        <w:autoSpaceDE w:val="0"/>
        <w:autoSpaceDN w:val="0"/>
        <w:adjustRightInd w:val="0"/>
        <w:rPr>
          <w:rFonts w:ascii="Arial" w:hAnsi="Arial" w:cs="Arial"/>
          <w:sz w:val="20"/>
        </w:rPr>
      </w:pPr>
    </w:p>
    <w:p w14:paraId="229824DB" w14:textId="77777777" w:rsidR="00286F7D" w:rsidRDefault="00286F7D" w:rsidP="00286F7D">
      <w:pPr>
        <w:autoSpaceDE w:val="0"/>
        <w:autoSpaceDN w:val="0"/>
        <w:adjustRightInd w:val="0"/>
        <w:rPr>
          <w:rFonts w:ascii="Arial" w:hAnsi="Arial" w:cs="Arial"/>
          <w:sz w:val="20"/>
        </w:rPr>
      </w:pPr>
    </w:p>
    <w:p w14:paraId="41CA9F8E" w14:textId="77777777" w:rsidR="00286F7D" w:rsidRDefault="00286F7D" w:rsidP="00286F7D">
      <w:pPr>
        <w:autoSpaceDE w:val="0"/>
        <w:autoSpaceDN w:val="0"/>
        <w:adjustRightInd w:val="0"/>
        <w:rPr>
          <w:rFonts w:ascii="Arial" w:hAnsi="Arial" w:cs="Arial"/>
          <w:sz w:val="20"/>
        </w:rPr>
      </w:pPr>
    </w:p>
    <w:p w14:paraId="1557D4B1" w14:textId="77777777" w:rsidR="00286F7D" w:rsidRDefault="00286F7D" w:rsidP="00286F7D">
      <w:pPr>
        <w:autoSpaceDE w:val="0"/>
        <w:autoSpaceDN w:val="0"/>
        <w:adjustRightInd w:val="0"/>
        <w:rPr>
          <w:rFonts w:ascii="Arial" w:hAnsi="Arial" w:cs="Arial"/>
          <w:sz w:val="20"/>
        </w:rPr>
      </w:pPr>
    </w:p>
    <w:p w14:paraId="6587566D" w14:textId="77777777" w:rsidR="00286F7D" w:rsidRDefault="00286F7D" w:rsidP="00286F7D">
      <w:pPr>
        <w:autoSpaceDE w:val="0"/>
        <w:autoSpaceDN w:val="0"/>
        <w:adjustRightInd w:val="0"/>
        <w:rPr>
          <w:rFonts w:ascii="Arial" w:hAnsi="Arial" w:cs="Arial"/>
          <w:sz w:val="20"/>
        </w:rPr>
      </w:pPr>
    </w:p>
    <w:p w14:paraId="140B826B" w14:textId="77777777" w:rsidR="00286F7D" w:rsidRDefault="00286F7D" w:rsidP="00286F7D">
      <w:pPr>
        <w:autoSpaceDE w:val="0"/>
        <w:autoSpaceDN w:val="0"/>
        <w:adjustRightInd w:val="0"/>
        <w:rPr>
          <w:rFonts w:ascii="Arial" w:hAnsi="Arial" w:cs="Arial"/>
          <w:sz w:val="20"/>
        </w:rPr>
      </w:pPr>
    </w:p>
    <w:p w14:paraId="18970F27" w14:textId="77777777" w:rsidR="00286F7D" w:rsidRDefault="00286F7D" w:rsidP="00286F7D">
      <w:pPr>
        <w:autoSpaceDE w:val="0"/>
        <w:autoSpaceDN w:val="0"/>
        <w:adjustRightInd w:val="0"/>
        <w:rPr>
          <w:rFonts w:ascii="Arial" w:hAnsi="Arial" w:cs="Arial"/>
          <w:sz w:val="20"/>
        </w:rPr>
      </w:pPr>
    </w:p>
    <w:p w14:paraId="762CFB32" w14:textId="77777777" w:rsidR="00286F7D" w:rsidRPr="00B0563C" w:rsidRDefault="00286F7D" w:rsidP="00286F7D">
      <w:pPr>
        <w:keepNext/>
        <w:autoSpaceDE w:val="0"/>
        <w:autoSpaceDN w:val="0"/>
        <w:adjustRightInd w:val="0"/>
        <w:rPr>
          <w:rFonts w:ascii="Arial" w:hAnsi="Arial" w:cs="Arial"/>
          <w:b/>
          <w:bCs/>
          <w:sz w:val="32"/>
          <w:szCs w:val="32"/>
        </w:rPr>
      </w:pPr>
      <w:r>
        <w:rPr>
          <w:rFonts w:ascii="Arial" w:hAnsi="Arial" w:cs="Arial"/>
          <w:b/>
          <w:bCs/>
          <w:sz w:val="32"/>
          <w:szCs w:val="32"/>
        </w:rPr>
        <w:lastRenderedPageBreak/>
        <w:t>O</w:t>
      </w:r>
      <w:r w:rsidRPr="00B0563C">
        <w:rPr>
          <w:rFonts w:ascii="Arial" w:hAnsi="Arial" w:cs="Arial"/>
          <w:b/>
          <w:bCs/>
          <w:sz w:val="32"/>
          <w:szCs w:val="32"/>
        </w:rPr>
        <w:t>4. ROZBOR UKRYTÍ ŽACTVA</w:t>
      </w:r>
    </w:p>
    <w:p w14:paraId="36AD9790" w14:textId="77777777" w:rsidR="00286F7D" w:rsidRPr="00286F7D" w:rsidRDefault="00286F7D" w:rsidP="00286F7D">
      <w:pPr>
        <w:pStyle w:val="Zkladntext"/>
        <w:keepNext/>
        <w:spacing w:before="120" w:line="288" w:lineRule="auto"/>
        <w:ind w:firstLine="709"/>
        <w:jc w:val="both"/>
        <w:rPr>
          <w:rFonts w:ascii="Arial" w:hAnsi="Arial" w:cs="Arial"/>
          <w:sz w:val="22"/>
          <w:szCs w:val="22"/>
        </w:rPr>
      </w:pPr>
      <w:r w:rsidRPr="00286F7D">
        <w:rPr>
          <w:rFonts w:ascii="Arial" w:hAnsi="Arial" w:cs="Arial"/>
          <w:b/>
          <w:bCs/>
          <w:sz w:val="22"/>
          <w:szCs w:val="22"/>
        </w:rPr>
        <w:t>Pro potřeby ukrytí slouží v současné době na území města:</w:t>
      </w:r>
    </w:p>
    <w:p w14:paraId="3C9C4674" w14:textId="77777777" w:rsidR="00286F7D" w:rsidRPr="00286F7D" w:rsidRDefault="00286F7D" w:rsidP="00F32769">
      <w:pPr>
        <w:pStyle w:val="Zkladntext"/>
        <w:numPr>
          <w:ilvl w:val="2"/>
          <w:numId w:val="114"/>
        </w:numPr>
        <w:suppressAutoHyphens w:val="0"/>
        <w:autoSpaceDE w:val="0"/>
        <w:autoSpaceDN w:val="0"/>
        <w:adjustRightInd w:val="0"/>
        <w:spacing w:before="120" w:after="0" w:line="288" w:lineRule="auto"/>
        <w:ind w:left="426"/>
        <w:jc w:val="both"/>
        <w:rPr>
          <w:rFonts w:ascii="Arial" w:hAnsi="Arial" w:cs="Arial"/>
          <w:sz w:val="22"/>
          <w:szCs w:val="22"/>
        </w:rPr>
      </w:pPr>
      <w:r w:rsidRPr="00286F7D">
        <w:rPr>
          <w:rFonts w:ascii="Arial" w:hAnsi="Arial" w:cs="Arial"/>
          <w:sz w:val="22"/>
          <w:szCs w:val="22"/>
        </w:rPr>
        <w:t>56 úkrytů PRÚ-BS o celkové kapacitě 9 602 žáků-studentů</w:t>
      </w:r>
    </w:p>
    <w:p w14:paraId="5247B37F" w14:textId="77777777" w:rsidR="00286F7D" w:rsidRPr="00286F7D" w:rsidRDefault="00286F7D" w:rsidP="00F32769">
      <w:pPr>
        <w:pStyle w:val="Zkladntext"/>
        <w:numPr>
          <w:ilvl w:val="2"/>
          <w:numId w:val="114"/>
        </w:numPr>
        <w:suppressAutoHyphens w:val="0"/>
        <w:autoSpaceDE w:val="0"/>
        <w:autoSpaceDN w:val="0"/>
        <w:adjustRightInd w:val="0"/>
        <w:spacing w:before="120" w:after="0" w:line="288" w:lineRule="auto"/>
        <w:ind w:left="426"/>
        <w:jc w:val="both"/>
        <w:rPr>
          <w:rFonts w:ascii="Arial" w:hAnsi="Arial" w:cs="Arial"/>
          <w:sz w:val="22"/>
          <w:szCs w:val="22"/>
        </w:rPr>
      </w:pPr>
      <w:r w:rsidRPr="00286F7D">
        <w:rPr>
          <w:rFonts w:ascii="Arial" w:hAnsi="Arial" w:cs="Arial"/>
          <w:sz w:val="22"/>
          <w:szCs w:val="22"/>
        </w:rPr>
        <w:t>ostatní formy ukrytí nejsou pro tuto složku k dispozici</w:t>
      </w:r>
    </w:p>
    <w:p w14:paraId="23BDE36F"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b/>
          <w:bCs/>
          <w:sz w:val="22"/>
          <w:szCs w:val="22"/>
        </w:rPr>
        <w:t>Výhledový počet žáků - studentů ve všech druzích školských zařízení byl stanoven</w:t>
      </w:r>
      <w:r w:rsidRPr="00286F7D">
        <w:rPr>
          <w:rFonts w:ascii="Arial" w:hAnsi="Arial" w:cs="Arial"/>
          <w:sz w:val="22"/>
          <w:szCs w:val="22"/>
        </w:rPr>
        <w:t xml:space="preserve"> na základě podkladů a informací Školského úřadu, modelu "optimalizace školství v ČR", redukovaný jednak demografickým vývojem města a z části i odborným odhadem zpracovatele ÚPN, neboť žádné výhledové počty či údaje nejsou v současné době k dispozici.</w:t>
      </w:r>
    </w:p>
    <w:p w14:paraId="46CADA10"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b/>
          <w:bCs/>
          <w:sz w:val="22"/>
          <w:szCs w:val="22"/>
        </w:rPr>
        <w:t>Model školských zařízení:</w:t>
      </w:r>
    </w:p>
    <w:p w14:paraId="6F1C6F40"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vychází ze současného stavu kapacit všech školských zařízení na území města, zahrnující zařízení základních škol, středních odborných škol, učiliště, vysokou školu celkem 12 636);</w:t>
      </w:r>
    </w:p>
    <w:p w14:paraId="30E4E97B"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do souhrnné bilance nejsou zařazena tato zařízení: výchovné ústavy, domovy mládeže, internáty a vysokoškolská kolej (duplicitní ukrytí škola/bydliště/internát);</w:t>
      </w:r>
    </w:p>
    <w:p w14:paraId="58DDD7A4"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do souhrnné bilance nejsou zařazena naopak zařízení předškolní výchovy (jesle, mateřské školy);</w:t>
      </w:r>
    </w:p>
    <w:p w14:paraId="51A6A51D"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respektuje město jako významné centrum středního odborného školství s řadou ojedinělých zařízení i v rámci republiky;</w:t>
      </w:r>
    </w:p>
    <w:p w14:paraId="01193104"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konkrétní dopady rozpracované "Optimalizace školství v ČR" nejsou v současné době známy a proto výhledové počty je nutno chápat spíše jako "odhad" než jako návrh.</w:t>
      </w:r>
    </w:p>
    <w:p w14:paraId="3E7A1403" w14:textId="77777777" w:rsidR="00286F7D" w:rsidRPr="00286F7D" w:rsidRDefault="00286F7D" w:rsidP="00286F7D">
      <w:pPr>
        <w:pStyle w:val="dka"/>
        <w:spacing w:before="120" w:line="288" w:lineRule="auto"/>
        <w:ind w:firstLine="709"/>
        <w:jc w:val="both"/>
        <w:rPr>
          <w:rFonts w:cs="Arial"/>
        </w:rPr>
      </w:pPr>
      <w:r w:rsidRPr="00286F7D">
        <w:rPr>
          <w:rFonts w:cs="Arial"/>
          <w:b/>
          <w:bCs/>
        </w:rPr>
        <w:t xml:space="preserve">Opatření, doporučení dle návrhu ÚPN </w:t>
      </w:r>
    </w:p>
    <w:p w14:paraId="6C5E7B59"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s ohledem na stávající síť škol a jejich kapacity se nová zařízení nenavrhují;</w:t>
      </w:r>
    </w:p>
    <w:p w14:paraId="7FAEFCD7"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uvážlivě rozhodnout o případném zrušení zařízení a o jeho následném využití (upřednostnit zájmy města či čtvrti, před komerčním využitím);</w:t>
      </w:r>
    </w:p>
    <w:p w14:paraId="7726B984"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s ohledem na tradici a ekonomickou základnu města neredukovat střední odborné školství, vyznačující se pestrou nabídkou a mnohdy i ojedinělou specializací (strojírenství, doprava, stavebnictví, zemědělství).</w:t>
      </w:r>
    </w:p>
    <w:p w14:paraId="23A7EF12" w14:textId="77777777" w:rsidR="00286F7D" w:rsidRPr="00286F7D" w:rsidRDefault="00286F7D" w:rsidP="00286F7D">
      <w:pPr>
        <w:pStyle w:val="Znaka1"/>
        <w:spacing w:line="48" w:lineRule="auto"/>
        <w:jc w:val="both"/>
        <w:rPr>
          <w:rFonts w:cs="Arial"/>
          <w:sz w:val="22"/>
          <w:szCs w:val="22"/>
        </w:rPr>
      </w:pPr>
      <w:r w:rsidRPr="00286F7D">
        <w:rPr>
          <w:rFonts w:cs="Arial"/>
          <w:sz w:val="22"/>
          <w:szCs w:val="22"/>
        </w:rPr>
        <w:br w:type="page"/>
      </w:r>
    </w:p>
    <w:tbl>
      <w:tblPr>
        <w:tblW w:w="0" w:type="auto"/>
        <w:jc w:val="center"/>
        <w:tblLayout w:type="fixed"/>
        <w:tblCellMar>
          <w:left w:w="42" w:type="dxa"/>
          <w:right w:w="42" w:type="dxa"/>
        </w:tblCellMar>
        <w:tblLook w:val="0000" w:firstRow="0" w:lastRow="0" w:firstColumn="0" w:lastColumn="0" w:noHBand="0" w:noVBand="0"/>
      </w:tblPr>
      <w:tblGrid>
        <w:gridCol w:w="435"/>
        <w:gridCol w:w="3477"/>
        <w:gridCol w:w="930"/>
        <w:gridCol w:w="945"/>
        <w:gridCol w:w="1710"/>
      </w:tblGrid>
      <w:tr w:rsidR="00286F7D" w:rsidRPr="00286F7D" w14:paraId="7188FAED" w14:textId="77777777" w:rsidTr="00286F7D">
        <w:trPr>
          <w:jc w:val="center"/>
        </w:trPr>
        <w:tc>
          <w:tcPr>
            <w:tcW w:w="3912" w:type="dxa"/>
            <w:gridSpan w:val="2"/>
            <w:tcBorders>
              <w:top w:val="single" w:sz="6" w:space="0" w:color="auto"/>
              <w:left w:val="single" w:sz="6" w:space="0" w:color="auto"/>
              <w:bottom w:val="single" w:sz="6" w:space="0" w:color="auto"/>
              <w:right w:val="single" w:sz="6" w:space="0" w:color="auto"/>
            </w:tcBorders>
          </w:tcPr>
          <w:p w14:paraId="7C8B5197" w14:textId="77777777" w:rsidR="00286F7D" w:rsidRPr="00286F7D" w:rsidRDefault="00286F7D" w:rsidP="00286F7D">
            <w:pPr>
              <w:pStyle w:val="Texttabulky"/>
              <w:spacing w:after="0"/>
              <w:jc w:val="center"/>
              <w:rPr>
                <w:rFonts w:cs="Arial"/>
              </w:rPr>
            </w:pPr>
            <w:r w:rsidRPr="00286F7D">
              <w:rPr>
                <w:rFonts w:cs="Arial"/>
                <w:b/>
                <w:bCs/>
              </w:rPr>
              <w:lastRenderedPageBreak/>
              <w:t xml:space="preserve">Zařízení </w:t>
            </w:r>
          </w:p>
          <w:p w14:paraId="07C5F5B6" w14:textId="77777777" w:rsidR="00286F7D" w:rsidRPr="00286F7D" w:rsidRDefault="00286F7D" w:rsidP="00286F7D">
            <w:pPr>
              <w:pStyle w:val="Zkladntext"/>
              <w:spacing w:after="0"/>
              <w:jc w:val="center"/>
              <w:rPr>
                <w:rFonts w:ascii="Arial" w:hAnsi="Arial" w:cs="Arial"/>
              </w:rPr>
            </w:pPr>
          </w:p>
        </w:tc>
        <w:tc>
          <w:tcPr>
            <w:tcW w:w="3585" w:type="dxa"/>
            <w:gridSpan w:val="3"/>
            <w:tcBorders>
              <w:top w:val="single" w:sz="6" w:space="0" w:color="auto"/>
              <w:left w:val="single" w:sz="6" w:space="0" w:color="auto"/>
              <w:bottom w:val="single" w:sz="6" w:space="0" w:color="auto"/>
              <w:right w:val="single" w:sz="6" w:space="0" w:color="auto"/>
            </w:tcBorders>
          </w:tcPr>
          <w:p w14:paraId="506FF14D" w14:textId="77777777" w:rsidR="00286F7D" w:rsidRPr="00286F7D" w:rsidRDefault="00286F7D" w:rsidP="00286F7D">
            <w:pPr>
              <w:pStyle w:val="Zkladntext"/>
              <w:spacing w:after="0"/>
              <w:rPr>
                <w:rFonts w:ascii="Arial" w:hAnsi="Arial" w:cs="Arial"/>
              </w:rPr>
            </w:pPr>
            <w:r w:rsidRPr="00286F7D">
              <w:rPr>
                <w:rFonts w:ascii="Arial" w:hAnsi="Arial" w:cs="Arial"/>
                <w:b/>
                <w:bCs/>
              </w:rPr>
              <w:t xml:space="preserve">počet zapsaných dětí - žáků </w:t>
            </w:r>
          </w:p>
        </w:tc>
      </w:tr>
      <w:tr w:rsidR="00286F7D" w:rsidRPr="00286F7D" w14:paraId="38953E24" w14:textId="77777777" w:rsidTr="00286F7D">
        <w:trPr>
          <w:jc w:val="center"/>
        </w:trPr>
        <w:tc>
          <w:tcPr>
            <w:tcW w:w="3912" w:type="dxa"/>
            <w:gridSpan w:val="2"/>
            <w:tcBorders>
              <w:top w:val="single" w:sz="6" w:space="0" w:color="auto"/>
              <w:left w:val="single" w:sz="6" w:space="0" w:color="auto"/>
              <w:bottom w:val="single" w:sz="6" w:space="0" w:color="auto"/>
              <w:right w:val="single" w:sz="6" w:space="0" w:color="auto"/>
            </w:tcBorders>
          </w:tcPr>
          <w:p w14:paraId="2F0F3BC7" w14:textId="77777777" w:rsidR="00286F7D" w:rsidRPr="00286F7D" w:rsidRDefault="00286F7D" w:rsidP="00286F7D">
            <w:pPr>
              <w:pStyle w:val="Zkladntext"/>
              <w:spacing w:after="0"/>
              <w:rPr>
                <w:rFonts w:ascii="Arial" w:hAnsi="Arial" w:cs="Arial"/>
              </w:rPr>
            </w:pPr>
            <w:r w:rsidRPr="00286F7D">
              <w:rPr>
                <w:rFonts w:ascii="Arial" w:hAnsi="Arial" w:cs="Arial"/>
                <w:b/>
                <w:bCs/>
                <w:sz w:val="18"/>
                <w:szCs w:val="18"/>
              </w:rPr>
              <w:t>d r u h</w:t>
            </w:r>
          </w:p>
        </w:tc>
        <w:tc>
          <w:tcPr>
            <w:tcW w:w="930" w:type="dxa"/>
            <w:tcBorders>
              <w:top w:val="single" w:sz="6" w:space="0" w:color="auto"/>
              <w:left w:val="single" w:sz="6" w:space="0" w:color="auto"/>
              <w:bottom w:val="single" w:sz="6" w:space="0" w:color="auto"/>
              <w:right w:val="single" w:sz="6" w:space="0" w:color="auto"/>
            </w:tcBorders>
          </w:tcPr>
          <w:p w14:paraId="7675077F" w14:textId="77777777" w:rsidR="00286F7D" w:rsidRPr="00286F7D" w:rsidRDefault="00286F7D" w:rsidP="00286F7D">
            <w:pPr>
              <w:pStyle w:val="Texttabulky"/>
              <w:spacing w:after="0"/>
              <w:jc w:val="center"/>
              <w:rPr>
                <w:rFonts w:cs="Arial"/>
              </w:rPr>
            </w:pPr>
            <w:r w:rsidRPr="00286F7D">
              <w:rPr>
                <w:rFonts w:cs="Arial"/>
                <w:b/>
                <w:bCs/>
                <w:sz w:val="18"/>
                <w:szCs w:val="18"/>
              </w:rPr>
              <w:t xml:space="preserve">1995 </w:t>
            </w:r>
          </w:p>
        </w:tc>
        <w:tc>
          <w:tcPr>
            <w:tcW w:w="945" w:type="dxa"/>
            <w:tcBorders>
              <w:top w:val="single" w:sz="6" w:space="0" w:color="auto"/>
              <w:left w:val="single" w:sz="6" w:space="0" w:color="auto"/>
              <w:bottom w:val="single" w:sz="6" w:space="0" w:color="auto"/>
              <w:right w:val="single" w:sz="6" w:space="0" w:color="auto"/>
            </w:tcBorders>
          </w:tcPr>
          <w:p w14:paraId="02AD9AE9" w14:textId="77777777" w:rsidR="00286F7D" w:rsidRPr="00286F7D" w:rsidRDefault="00286F7D" w:rsidP="00286F7D">
            <w:pPr>
              <w:pStyle w:val="Texttabulky"/>
              <w:spacing w:after="0"/>
              <w:jc w:val="center"/>
              <w:rPr>
                <w:rFonts w:cs="Arial"/>
              </w:rPr>
            </w:pPr>
            <w:r w:rsidRPr="00286F7D">
              <w:rPr>
                <w:rFonts w:cs="Arial"/>
                <w:b/>
                <w:bCs/>
                <w:sz w:val="18"/>
                <w:szCs w:val="18"/>
              </w:rPr>
              <w:t>2 000</w:t>
            </w:r>
          </w:p>
        </w:tc>
        <w:tc>
          <w:tcPr>
            <w:tcW w:w="1710" w:type="dxa"/>
            <w:tcBorders>
              <w:top w:val="single" w:sz="6" w:space="0" w:color="auto"/>
              <w:left w:val="single" w:sz="6" w:space="0" w:color="auto"/>
              <w:bottom w:val="single" w:sz="6" w:space="0" w:color="auto"/>
              <w:right w:val="single" w:sz="6" w:space="0" w:color="auto"/>
            </w:tcBorders>
          </w:tcPr>
          <w:p w14:paraId="591C9537" w14:textId="77777777" w:rsidR="00286F7D" w:rsidRPr="00286F7D" w:rsidRDefault="00286F7D" w:rsidP="00286F7D">
            <w:pPr>
              <w:pStyle w:val="Texttabulky"/>
              <w:spacing w:after="0"/>
              <w:jc w:val="center"/>
              <w:rPr>
                <w:rFonts w:cs="Arial"/>
              </w:rPr>
            </w:pPr>
            <w:r w:rsidRPr="00286F7D">
              <w:rPr>
                <w:rFonts w:cs="Arial"/>
                <w:b/>
                <w:bCs/>
                <w:sz w:val="18"/>
                <w:szCs w:val="18"/>
              </w:rPr>
              <w:t xml:space="preserve">výhled </w:t>
            </w:r>
            <w:r w:rsidRPr="00286F7D">
              <w:rPr>
                <w:rFonts w:cs="Arial"/>
                <w:sz w:val="18"/>
                <w:szCs w:val="18"/>
              </w:rPr>
              <w:t>(odhad)</w:t>
            </w:r>
          </w:p>
        </w:tc>
      </w:tr>
      <w:tr w:rsidR="00286F7D" w:rsidRPr="00286F7D" w14:paraId="430DBBFF" w14:textId="77777777" w:rsidTr="00286F7D">
        <w:trPr>
          <w:jc w:val="center"/>
        </w:trPr>
        <w:tc>
          <w:tcPr>
            <w:tcW w:w="435" w:type="dxa"/>
            <w:tcBorders>
              <w:top w:val="single" w:sz="6" w:space="0" w:color="auto"/>
              <w:left w:val="single" w:sz="6" w:space="0" w:color="auto"/>
              <w:bottom w:val="single" w:sz="6" w:space="0" w:color="auto"/>
              <w:right w:val="single" w:sz="6" w:space="0" w:color="auto"/>
            </w:tcBorders>
          </w:tcPr>
          <w:p w14:paraId="507DCFC8" w14:textId="77777777" w:rsidR="00286F7D" w:rsidRPr="00286F7D" w:rsidRDefault="00286F7D" w:rsidP="00286F7D">
            <w:pPr>
              <w:pStyle w:val="Texttabulky"/>
              <w:spacing w:after="0"/>
              <w:jc w:val="center"/>
              <w:rPr>
                <w:rFonts w:cs="Arial"/>
              </w:rPr>
            </w:pPr>
            <w:r w:rsidRPr="00286F7D">
              <w:rPr>
                <w:rFonts w:cs="Arial"/>
              </w:rPr>
              <w:t>1</w:t>
            </w:r>
          </w:p>
        </w:tc>
        <w:tc>
          <w:tcPr>
            <w:tcW w:w="3477" w:type="dxa"/>
            <w:tcBorders>
              <w:top w:val="single" w:sz="6" w:space="0" w:color="auto"/>
              <w:left w:val="single" w:sz="6" w:space="0" w:color="auto"/>
              <w:bottom w:val="single" w:sz="6" w:space="0" w:color="auto"/>
              <w:right w:val="single" w:sz="6" w:space="0" w:color="auto"/>
            </w:tcBorders>
          </w:tcPr>
          <w:p w14:paraId="05990A4B" w14:textId="77777777" w:rsidR="00286F7D" w:rsidRPr="00286F7D" w:rsidRDefault="00286F7D" w:rsidP="00286F7D">
            <w:pPr>
              <w:pStyle w:val="Texttabulky"/>
              <w:spacing w:after="0"/>
              <w:rPr>
                <w:rFonts w:cs="Arial"/>
              </w:rPr>
            </w:pPr>
            <w:r w:rsidRPr="00286F7D">
              <w:rPr>
                <w:rFonts w:cs="Arial"/>
              </w:rPr>
              <w:t>MŠ - mateřské školy</w:t>
            </w:r>
          </w:p>
        </w:tc>
        <w:tc>
          <w:tcPr>
            <w:tcW w:w="930" w:type="dxa"/>
            <w:tcBorders>
              <w:top w:val="single" w:sz="6" w:space="0" w:color="auto"/>
              <w:left w:val="single" w:sz="6" w:space="0" w:color="auto"/>
              <w:bottom w:val="single" w:sz="6" w:space="0" w:color="auto"/>
              <w:right w:val="single" w:sz="6" w:space="0" w:color="auto"/>
            </w:tcBorders>
          </w:tcPr>
          <w:p w14:paraId="5B2CA288" w14:textId="77777777" w:rsidR="00286F7D" w:rsidRPr="00286F7D" w:rsidRDefault="00286F7D" w:rsidP="00286F7D">
            <w:pPr>
              <w:pStyle w:val="Texttabulky"/>
              <w:spacing w:after="0"/>
              <w:jc w:val="center"/>
              <w:rPr>
                <w:rFonts w:cs="Arial"/>
              </w:rPr>
            </w:pPr>
            <w:r w:rsidRPr="00286F7D">
              <w:rPr>
                <w:rFonts w:cs="Arial"/>
                <w:sz w:val="18"/>
                <w:szCs w:val="18"/>
              </w:rPr>
              <w:t>1 653</w:t>
            </w:r>
          </w:p>
        </w:tc>
        <w:tc>
          <w:tcPr>
            <w:tcW w:w="945" w:type="dxa"/>
            <w:tcBorders>
              <w:top w:val="single" w:sz="6" w:space="0" w:color="auto"/>
              <w:left w:val="single" w:sz="6" w:space="0" w:color="auto"/>
              <w:bottom w:val="single" w:sz="6" w:space="0" w:color="auto"/>
              <w:right w:val="single" w:sz="6" w:space="0" w:color="auto"/>
            </w:tcBorders>
          </w:tcPr>
          <w:p w14:paraId="5A641997" w14:textId="77777777" w:rsidR="00286F7D" w:rsidRPr="00286F7D" w:rsidRDefault="00286F7D" w:rsidP="00286F7D">
            <w:pPr>
              <w:pStyle w:val="Texttabulky"/>
              <w:spacing w:after="0"/>
              <w:jc w:val="center"/>
              <w:rPr>
                <w:rFonts w:cs="Arial"/>
              </w:rPr>
            </w:pPr>
            <w:r w:rsidRPr="00286F7D">
              <w:rPr>
                <w:rFonts w:cs="Arial"/>
                <w:sz w:val="18"/>
                <w:szCs w:val="18"/>
              </w:rPr>
              <w:t>1 420</w:t>
            </w:r>
          </w:p>
        </w:tc>
        <w:tc>
          <w:tcPr>
            <w:tcW w:w="1710" w:type="dxa"/>
            <w:tcBorders>
              <w:top w:val="single" w:sz="6" w:space="0" w:color="auto"/>
              <w:left w:val="single" w:sz="6" w:space="0" w:color="auto"/>
              <w:bottom w:val="single" w:sz="6" w:space="0" w:color="auto"/>
              <w:right w:val="single" w:sz="6" w:space="0" w:color="auto"/>
            </w:tcBorders>
          </w:tcPr>
          <w:p w14:paraId="4D369C0F" w14:textId="77777777" w:rsidR="00286F7D" w:rsidRPr="00286F7D" w:rsidRDefault="00286F7D" w:rsidP="00286F7D">
            <w:pPr>
              <w:pStyle w:val="Texttabulky"/>
              <w:spacing w:after="0"/>
              <w:jc w:val="center"/>
              <w:rPr>
                <w:rFonts w:cs="Arial"/>
              </w:rPr>
            </w:pPr>
            <w:r w:rsidRPr="00286F7D">
              <w:rPr>
                <w:rFonts w:cs="Arial"/>
                <w:sz w:val="18"/>
                <w:szCs w:val="18"/>
              </w:rPr>
              <w:t>1 200</w:t>
            </w:r>
          </w:p>
        </w:tc>
      </w:tr>
      <w:tr w:rsidR="00286F7D" w:rsidRPr="00286F7D" w14:paraId="5C4C1A61" w14:textId="77777777" w:rsidTr="00286F7D">
        <w:trPr>
          <w:jc w:val="center"/>
        </w:trPr>
        <w:tc>
          <w:tcPr>
            <w:tcW w:w="435" w:type="dxa"/>
            <w:tcBorders>
              <w:top w:val="single" w:sz="6" w:space="0" w:color="auto"/>
              <w:left w:val="single" w:sz="6" w:space="0" w:color="auto"/>
              <w:bottom w:val="single" w:sz="6" w:space="0" w:color="auto"/>
              <w:right w:val="single" w:sz="6" w:space="0" w:color="auto"/>
            </w:tcBorders>
          </w:tcPr>
          <w:p w14:paraId="00F20998" w14:textId="77777777" w:rsidR="00286F7D" w:rsidRPr="00286F7D" w:rsidRDefault="00286F7D" w:rsidP="00286F7D">
            <w:pPr>
              <w:pStyle w:val="Texttabulky"/>
              <w:spacing w:after="0"/>
              <w:jc w:val="center"/>
              <w:rPr>
                <w:rFonts w:cs="Arial"/>
              </w:rPr>
            </w:pPr>
            <w:r w:rsidRPr="00286F7D">
              <w:rPr>
                <w:rFonts w:cs="Arial"/>
              </w:rPr>
              <w:t>2</w:t>
            </w:r>
          </w:p>
        </w:tc>
        <w:tc>
          <w:tcPr>
            <w:tcW w:w="3477" w:type="dxa"/>
            <w:tcBorders>
              <w:top w:val="single" w:sz="6" w:space="0" w:color="auto"/>
              <w:left w:val="single" w:sz="6" w:space="0" w:color="auto"/>
              <w:bottom w:val="single" w:sz="6" w:space="0" w:color="auto"/>
              <w:right w:val="single" w:sz="6" w:space="0" w:color="auto"/>
            </w:tcBorders>
          </w:tcPr>
          <w:p w14:paraId="6066CB88" w14:textId="77777777" w:rsidR="00286F7D" w:rsidRPr="00286F7D" w:rsidRDefault="00286F7D" w:rsidP="00286F7D">
            <w:pPr>
              <w:pStyle w:val="Texttabulky"/>
              <w:spacing w:after="0"/>
              <w:rPr>
                <w:rFonts w:cs="Arial"/>
              </w:rPr>
            </w:pPr>
            <w:r w:rsidRPr="00286F7D">
              <w:rPr>
                <w:rFonts w:cs="Arial"/>
                <w:sz w:val="18"/>
                <w:szCs w:val="18"/>
              </w:rPr>
              <w:t>ZŠ - základní školy 1 - 5. ročník</w:t>
            </w:r>
          </w:p>
        </w:tc>
        <w:tc>
          <w:tcPr>
            <w:tcW w:w="930" w:type="dxa"/>
            <w:tcBorders>
              <w:top w:val="single" w:sz="6" w:space="0" w:color="auto"/>
              <w:left w:val="single" w:sz="6" w:space="0" w:color="auto"/>
              <w:bottom w:val="single" w:sz="6" w:space="0" w:color="auto"/>
              <w:right w:val="single" w:sz="6" w:space="0" w:color="auto"/>
            </w:tcBorders>
          </w:tcPr>
          <w:p w14:paraId="629B0CE7" w14:textId="77777777" w:rsidR="00286F7D" w:rsidRPr="00286F7D" w:rsidRDefault="00286F7D" w:rsidP="00286F7D">
            <w:pPr>
              <w:pStyle w:val="Zkladntext"/>
              <w:spacing w:after="0"/>
              <w:jc w:val="center"/>
              <w:rPr>
                <w:rFonts w:ascii="Arial" w:hAnsi="Arial" w:cs="Arial"/>
              </w:rPr>
            </w:pPr>
          </w:p>
          <w:p w14:paraId="714ADFD1" w14:textId="77777777" w:rsidR="00286F7D" w:rsidRPr="00286F7D" w:rsidRDefault="00286F7D" w:rsidP="00286F7D">
            <w:pPr>
              <w:pStyle w:val="Texttabulky"/>
              <w:spacing w:after="0"/>
              <w:jc w:val="center"/>
              <w:rPr>
                <w:rFonts w:cs="Arial"/>
              </w:rPr>
            </w:pPr>
            <w:r w:rsidRPr="00286F7D">
              <w:rPr>
                <w:rFonts w:cs="Arial"/>
                <w:sz w:val="18"/>
                <w:szCs w:val="18"/>
              </w:rPr>
              <w:t xml:space="preserve">5 561 </w:t>
            </w:r>
          </w:p>
        </w:tc>
        <w:tc>
          <w:tcPr>
            <w:tcW w:w="945" w:type="dxa"/>
            <w:tcBorders>
              <w:top w:val="single" w:sz="6" w:space="0" w:color="auto"/>
              <w:left w:val="single" w:sz="6" w:space="0" w:color="auto"/>
              <w:bottom w:val="single" w:sz="6" w:space="0" w:color="auto"/>
              <w:right w:val="single" w:sz="6" w:space="0" w:color="auto"/>
            </w:tcBorders>
          </w:tcPr>
          <w:p w14:paraId="60795653" w14:textId="77777777" w:rsidR="00286F7D" w:rsidRPr="00286F7D" w:rsidRDefault="00286F7D" w:rsidP="00286F7D">
            <w:pPr>
              <w:pStyle w:val="Texttabulky"/>
              <w:spacing w:after="0"/>
              <w:jc w:val="center"/>
              <w:rPr>
                <w:rFonts w:cs="Arial"/>
              </w:rPr>
            </w:pPr>
            <w:r w:rsidRPr="00286F7D">
              <w:rPr>
                <w:rFonts w:cs="Arial"/>
                <w:sz w:val="18"/>
                <w:szCs w:val="18"/>
              </w:rPr>
              <w:t>346</w:t>
            </w:r>
          </w:p>
        </w:tc>
        <w:tc>
          <w:tcPr>
            <w:tcW w:w="1710" w:type="dxa"/>
            <w:tcBorders>
              <w:top w:val="single" w:sz="6" w:space="0" w:color="auto"/>
              <w:left w:val="single" w:sz="6" w:space="0" w:color="auto"/>
              <w:bottom w:val="single" w:sz="6" w:space="0" w:color="auto"/>
              <w:right w:val="single" w:sz="6" w:space="0" w:color="auto"/>
            </w:tcBorders>
          </w:tcPr>
          <w:p w14:paraId="29F1A2AB" w14:textId="77777777" w:rsidR="00286F7D" w:rsidRPr="00286F7D" w:rsidRDefault="00286F7D" w:rsidP="00286F7D">
            <w:pPr>
              <w:pStyle w:val="Zkladntext"/>
              <w:spacing w:after="0"/>
              <w:jc w:val="center"/>
              <w:rPr>
                <w:rFonts w:ascii="Arial" w:hAnsi="Arial" w:cs="Arial"/>
              </w:rPr>
            </w:pPr>
          </w:p>
          <w:p w14:paraId="35FA3EE8" w14:textId="77777777" w:rsidR="00286F7D" w:rsidRPr="00286F7D" w:rsidRDefault="00286F7D" w:rsidP="00286F7D">
            <w:pPr>
              <w:pStyle w:val="Texttabulky"/>
              <w:spacing w:after="0"/>
              <w:jc w:val="center"/>
              <w:rPr>
                <w:rFonts w:cs="Arial"/>
              </w:rPr>
            </w:pPr>
            <w:r w:rsidRPr="00286F7D">
              <w:rPr>
                <w:rFonts w:cs="Arial"/>
                <w:sz w:val="18"/>
                <w:szCs w:val="18"/>
              </w:rPr>
              <w:t xml:space="preserve">5 500 </w:t>
            </w:r>
          </w:p>
        </w:tc>
      </w:tr>
      <w:tr w:rsidR="00286F7D" w:rsidRPr="00286F7D" w14:paraId="07797B66" w14:textId="77777777" w:rsidTr="00286F7D">
        <w:trPr>
          <w:jc w:val="center"/>
        </w:trPr>
        <w:tc>
          <w:tcPr>
            <w:tcW w:w="435" w:type="dxa"/>
            <w:tcBorders>
              <w:top w:val="single" w:sz="6" w:space="0" w:color="auto"/>
              <w:left w:val="single" w:sz="6" w:space="0" w:color="auto"/>
              <w:bottom w:val="single" w:sz="6" w:space="0" w:color="auto"/>
              <w:right w:val="single" w:sz="6" w:space="0" w:color="auto"/>
            </w:tcBorders>
          </w:tcPr>
          <w:p w14:paraId="6E9CDBBE" w14:textId="77777777" w:rsidR="00286F7D" w:rsidRPr="00286F7D" w:rsidRDefault="00286F7D" w:rsidP="00286F7D">
            <w:pPr>
              <w:pStyle w:val="Texttabulky"/>
              <w:spacing w:after="0"/>
              <w:jc w:val="center"/>
              <w:rPr>
                <w:rFonts w:cs="Arial"/>
              </w:rPr>
            </w:pPr>
            <w:r w:rsidRPr="00286F7D">
              <w:rPr>
                <w:rFonts w:cs="Arial"/>
              </w:rPr>
              <w:t>3</w:t>
            </w:r>
          </w:p>
        </w:tc>
        <w:tc>
          <w:tcPr>
            <w:tcW w:w="3477" w:type="dxa"/>
            <w:tcBorders>
              <w:top w:val="single" w:sz="6" w:space="0" w:color="auto"/>
              <w:left w:val="single" w:sz="6" w:space="0" w:color="auto"/>
              <w:bottom w:val="single" w:sz="6" w:space="0" w:color="auto"/>
              <w:right w:val="single" w:sz="6" w:space="0" w:color="auto"/>
            </w:tcBorders>
          </w:tcPr>
          <w:p w14:paraId="12A7066E" w14:textId="77777777" w:rsidR="00286F7D" w:rsidRPr="00286F7D" w:rsidRDefault="00286F7D" w:rsidP="00286F7D">
            <w:pPr>
              <w:pStyle w:val="Texttabulky"/>
              <w:spacing w:after="0"/>
              <w:rPr>
                <w:rFonts w:cs="Arial"/>
              </w:rPr>
            </w:pPr>
            <w:r w:rsidRPr="00286F7D">
              <w:rPr>
                <w:rFonts w:cs="Arial"/>
                <w:sz w:val="18"/>
                <w:szCs w:val="18"/>
              </w:rPr>
              <w:t>ZŠ - základní školy 1 - 9. ročník</w:t>
            </w:r>
          </w:p>
        </w:tc>
        <w:tc>
          <w:tcPr>
            <w:tcW w:w="930" w:type="dxa"/>
            <w:tcBorders>
              <w:top w:val="single" w:sz="6" w:space="0" w:color="auto"/>
              <w:left w:val="single" w:sz="6" w:space="0" w:color="auto"/>
              <w:bottom w:val="single" w:sz="6" w:space="0" w:color="auto"/>
              <w:right w:val="single" w:sz="6" w:space="0" w:color="auto"/>
            </w:tcBorders>
          </w:tcPr>
          <w:p w14:paraId="2CAE6DEC" w14:textId="77777777" w:rsidR="00286F7D" w:rsidRPr="00286F7D" w:rsidRDefault="00286F7D" w:rsidP="00286F7D">
            <w:pPr>
              <w:pStyle w:val="Zkladntext"/>
              <w:spacing w:after="0"/>
              <w:rPr>
                <w:rFonts w:ascii="Arial" w:hAnsi="Arial" w:cs="Arial"/>
              </w:rPr>
            </w:pPr>
          </w:p>
        </w:tc>
        <w:tc>
          <w:tcPr>
            <w:tcW w:w="945" w:type="dxa"/>
            <w:tcBorders>
              <w:top w:val="single" w:sz="6" w:space="0" w:color="auto"/>
              <w:left w:val="single" w:sz="6" w:space="0" w:color="auto"/>
              <w:bottom w:val="single" w:sz="6" w:space="0" w:color="auto"/>
              <w:right w:val="single" w:sz="6" w:space="0" w:color="auto"/>
            </w:tcBorders>
          </w:tcPr>
          <w:p w14:paraId="3ABBC6E9" w14:textId="77777777" w:rsidR="00286F7D" w:rsidRPr="00286F7D" w:rsidRDefault="00286F7D" w:rsidP="00286F7D">
            <w:pPr>
              <w:pStyle w:val="Texttabulky"/>
              <w:spacing w:after="0"/>
              <w:jc w:val="center"/>
              <w:rPr>
                <w:rFonts w:cs="Arial"/>
              </w:rPr>
            </w:pPr>
            <w:r w:rsidRPr="00286F7D">
              <w:rPr>
                <w:rFonts w:cs="Arial"/>
                <w:sz w:val="18"/>
                <w:szCs w:val="18"/>
              </w:rPr>
              <w:t>5 446</w:t>
            </w:r>
          </w:p>
        </w:tc>
        <w:tc>
          <w:tcPr>
            <w:tcW w:w="1710" w:type="dxa"/>
            <w:tcBorders>
              <w:top w:val="single" w:sz="6" w:space="0" w:color="auto"/>
              <w:left w:val="single" w:sz="6" w:space="0" w:color="auto"/>
              <w:bottom w:val="single" w:sz="6" w:space="0" w:color="auto"/>
              <w:right w:val="single" w:sz="6" w:space="0" w:color="auto"/>
            </w:tcBorders>
          </w:tcPr>
          <w:p w14:paraId="50CA99C2" w14:textId="77777777" w:rsidR="00286F7D" w:rsidRPr="00286F7D" w:rsidRDefault="00286F7D" w:rsidP="00286F7D">
            <w:pPr>
              <w:pStyle w:val="Zkladntext"/>
              <w:spacing w:after="0"/>
              <w:jc w:val="center"/>
              <w:rPr>
                <w:rFonts w:ascii="Arial" w:hAnsi="Arial" w:cs="Arial"/>
              </w:rPr>
            </w:pPr>
          </w:p>
        </w:tc>
      </w:tr>
      <w:tr w:rsidR="00286F7D" w:rsidRPr="00286F7D" w14:paraId="4DB696D8" w14:textId="77777777" w:rsidTr="00286F7D">
        <w:trPr>
          <w:jc w:val="center"/>
        </w:trPr>
        <w:tc>
          <w:tcPr>
            <w:tcW w:w="435" w:type="dxa"/>
            <w:tcBorders>
              <w:top w:val="single" w:sz="6" w:space="0" w:color="auto"/>
              <w:left w:val="single" w:sz="6" w:space="0" w:color="auto"/>
              <w:bottom w:val="single" w:sz="6" w:space="0" w:color="auto"/>
              <w:right w:val="single" w:sz="6" w:space="0" w:color="auto"/>
            </w:tcBorders>
          </w:tcPr>
          <w:p w14:paraId="5A7FBC50" w14:textId="77777777" w:rsidR="00286F7D" w:rsidRPr="00286F7D" w:rsidRDefault="00286F7D" w:rsidP="00286F7D">
            <w:pPr>
              <w:pStyle w:val="Texttabulky"/>
              <w:spacing w:after="0"/>
              <w:jc w:val="center"/>
              <w:rPr>
                <w:rFonts w:cs="Arial"/>
              </w:rPr>
            </w:pPr>
            <w:r w:rsidRPr="00286F7D">
              <w:rPr>
                <w:rFonts w:cs="Arial"/>
              </w:rPr>
              <w:t>4</w:t>
            </w:r>
          </w:p>
        </w:tc>
        <w:tc>
          <w:tcPr>
            <w:tcW w:w="3477" w:type="dxa"/>
            <w:tcBorders>
              <w:top w:val="single" w:sz="6" w:space="0" w:color="auto"/>
              <w:left w:val="single" w:sz="6" w:space="0" w:color="auto"/>
              <w:bottom w:val="single" w:sz="6" w:space="0" w:color="auto"/>
              <w:right w:val="single" w:sz="6" w:space="0" w:color="auto"/>
            </w:tcBorders>
          </w:tcPr>
          <w:p w14:paraId="7168351B" w14:textId="77777777" w:rsidR="00286F7D" w:rsidRPr="00286F7D" w:rsidRDefault="00286F7D" w:rsidP="00286F7D">
            <w:pPr>
              <w:pStyle w:val="Texttabulky"/>
              <w:spacing w:after="0"/>
              <w:rPr>
                <w:rFonts w:cs="Arial"/>
              </w:rPr>
            </w:pPr>
            <w:r w:rsidRPr="00286F7D">
              <w:rPr>
                <w:rFonts w:cs="Arial"/>
                <w:sz w:val="18"/>
                <w:szCs w:val="18"/>
              </w:rPr>
              <w:t>Zvláštní + speciální škola</w:t>
            </w:r>
          </w:p>
        </w:tc>
        <w:tc>
          <w:tcPr>
            <w:tcW w:w="930" w:type="dxa"/>
            <w:tcBorders>
              <w:top w:val="single" w:sz="6" w:space="0" w:color="auto"/>
              <w:left w:val="single" w:sz="6" w:space="0" w:color="auto"/>
              <w:bottom w:val="single" w:sz="6" w:space="0" w:color="auto"/>
              <w:right w:val="single" w:sz="6" w:space="0" w:color="auto"/>
            </w:tcBorders>
          </w:tcPr>
          <w:p w14:paraId="45CA4A2A" w14:textId="77777777" w:rsidR="00286F7D" w:rsidRPr="00286F7D" w:rsidRDefault="00286F7D" w:rsidP="00286F7D">
            <w:pPr>
              <w:pStyle w:val="Texttabulky"/>
              <w:spacing w:after="0"/>
              <w:jc w:val="center"/>
              <w:rPr>
                <w:rFonts w:cs="Arial"/>
              </w:rPr>
            </w:pPr>
            <w:r w:rsidRPr="00286F7D">
              <w:rPr>
                <w:rFonts w:cs="Arial"/>
                <w:sz w:val="18"/>
                <w:szCs w:val="18"/>
              </w:rPr>
              <w:t>231</w:t>
            </w:r>
          </w:p>
        </w:tc>
        <w:tc>
          <w:tcPr>
            <w:tcW w:w="945" w:type="dxa"/>
            <w:tcBorders>
              <w:top w:val="single" w:sz="6" w:space="0" w:color="auto"/>
              <w:left w:val="single" w:sz="6" w:space="0" w:color="auto"/>
              <w:bottom w:val="single" w:sz="6" w:space="0" w:color="auto"/>
              <w:right w:val="single" w:sz="6" w:space="0" w:color="auto"/>
            </w:tcBorders>
          </w:tcPr>
          <w:p w14:paraId="7C8C02BF" w14:textId="77777777" w:rsidR="00286F7D" w:rsidRPr="00286F7D" w:rsidRDefault="00286F7D" w:rsidP="00286F7D">
            <w:pPr>
              <w:pStyle w:val="Texttabulky"/>
              <w:spacing w:after="0"/>
              <w:jc w:val="center"/>
              <w:rPr>
                <w:rFonts w:cs="Arial"/>
              </w:rPr>
            </w:pPr>
            <w:r w:rsidRPr="00286F7D">
              <w:rPr>
                <w:rFonts w:cs="Arial"/>
                <w:sz w:val="18"/>
                <w:szCs w:val="18"/>
              </w:rPr>
              <w:t>215</w:t>
            </w:r>
          </w:p>
        </w:tc>
        <w:tc>
          <w:tcPr>
            <w:tcW w:w="1710" w:type="dxa"/>
            <w:tcBorders>
              <w:top w:val="single" w:sz="6" w:space="0" w:color="auto"/>
              <w:left w:val="single" w:sz="6" w:space="0" w:color="auto"/>
              <w:bottom w:val="single" w:sz="6" w:space="0" w:color="auto"/>
              <w:right w:val="single" w:sz="6" w:space="0" w:color="auto"/>
            </w:tcBorders>
          </w:tcPr>
          <w:p w14:paraId="22526342" w14:textId="77777777" w:rsidR="00286F7D" w:rsidRPr="00286F7D" w:rsidRDefault="00286F7D" w:rsidP="00286F7D">
            <w:pPr>
              <w:pStyle w:val="Texttabulky"/>
              <w:spacing w:after="0"/>
              <w:jc w:val="center"/>
              <w:rPr>
                <w:rFonts w:cs="Arial"/>
              </w:rPr>
            </w:pPr>
            <w:r w:rsidRPr="00286F7D">
              <w:rPr>
                <w:rFonts w:cs="Arial"/>
                <w:sz w:val="18"/>
                <w:szCs w:val="18"/>
              </w:rPr>
              <w:t>200</w:t>
            </w:r>
          </w:p>
        </w:tc>
      </w:tr>
      <w:tr w:rsidR="00286F7D" w:rsidRPr="00286F7D" w14:paraId="534FFCF7" w14:textId="77777777" w:rsidTr="00286F7D">
        <w:trPr>
          <w:jc w:val="center"/>
        </w:trPr>
        <w:tc>
          <w:tcPr>
            <w:tcW w:w="435" w:type="dxa"/>
            <w:tcBorders>
              <w:top w:val="single" w:sz="6" w:space="0" w:color="auto"/>
              <w:left w:val="single" w:sz="6" w:space="0" w:color="auto"/>
              <w:bottom w:val="single" w:sz="6" w:space="0" w:color="auto"/>
              <w:right w:val="single" w:sz="6" w:space="0" w:color="auto"/>
            </w:tcBorders>
          </w:tcPr>
          <w:p w14:paraId="70C5BB53" w14:textId="77777777" w:rsidR="00286F7D" w:rsidRPr="00286F7D" w:rsidRDefault="00286F7D" w:rsidP="00286F7D">
            <w:pPr>
              <w:pStyle w:val="Texttabulky"/>
              <w:spacing w:after="0"/>
              <w:jc w:val="center"/>
              <w:rPr>
                <w:rFonts w:cs="Arial"/>
              </w:rPr>
            </w:pPr>
            <w:r w:rsidRPr="00286F7D">
              <w:rPr>
                <w:rFonts w:cs="Arial"/>
              </w:rPr>
              <w:t>5</w:t>
            </w:r>
          </w:p>
        </w:tc>
        <w:tc>
          <w:tcPr>
            <w:tcW w:w="3477" w:type="dxa"/>
            <w:tcBorders>
              <w:top w:val="single" w:sz="6" w:space="0" w:color="auto"/>
              <w:left w:val="single" w:sz="6" w:space="0" w:color="auto"/>
              <w:bottom w:val="single" w:sz="6" w:space="0" w:color="auto"/>
              <w:right w:val="single" w:sz="6" w:space="0" w:color="auto"/>
            </w:tcBorders>
          </w:tcPr>
          <w:p w14:paraId="6CB05DB4" w14:textId="77777777" w:rsidR="00286F7D" w:rsidRPr="00286F7D" w:rsidRDefault="00286F7D" w:rsidP="00286F7D">
            <w:pPr>
              <w:pStyle w:val="Texttabulky"/>
              <w:spacing w:after="0"/>
              <w:rPr>
                <w:rFonts w:cs="Arial"/>
              </w:rPr>
            </w:pPr>
            <w:r w:rsidRPr="00286F7D">
              <w:rPr>
                <w:rFonts w:cs="Arial"/>
                <w:sz w:val="18"/>
                <w:szCs w:val="18"/>
              </w:rPr>
              <w:t>Gymnázium a střední odborné školy</w:t>
            </w:r>
          </w:p>
        </w:tc>
        <w:tc>
          <w:tcPr>
            <w:tcW w:w="930" w:type="dxa"/>
            <w:tcBorders>
              <w:top w:val="single" w:sz="6" w:space="0" w:color="auto"/>
              <w:left w:val="single" w:sz="6" w:space="0" w:color="auto"/>
              <w:bottom w:val="single" w:sz="6" w:space="0" w:color="auto"/>
              <w:right w:val="single" w:sz="6" w:space="0" w:color="auto"/>
            </w:tcBorders>
          </w:tcPr>
          <w:p w14:paraId="4507BAA7" w14:textId="77777777" w:rsidR="00286F7D" w:rsidRPr="00286F7D" w:rsidRDefault="00286F7D" w:rsidP="00286F7D">
            <w:pPr>
              <w:pStyle w:val="Texttabulky"/>
              <w:spacing w:after="0"/>
              <w:jc w:val="center"/>
              <w:rPr>
                <w:rFonts w:cs="Arial"/>
              </w:rPr>
            </w:pPr>
            <w:r w:rsidRPr="00286F7D">
              <w:rPr>
                <w:rFonts w:cs="Arial"/>
                <w:sz w:val="18"/>
                <w:szCs w:val="18"/>
              </w:rPr>
              <w:t xml:space="preserve">2 539 </w:t>
            </w:r>
          </w:p>
        </w:tc>
        <w:tc>
          <w:tcPr>
            <w:tcW w:w="945" w:type="dxa"/>
            <w:tcBorders>
              <w:top w:val="single" w:sz="6" w:space="0" w:color="auto"/>
              <w:left w:val="single" w:sz="6" w:space="0" w:color="auto"/>
              <w:bottom w:val="single" w:sz="6" w:space="0" w:color="auto"/>
              <w:right w:val="single" w:sz="6" w:space="0" w:color="auto"/>
            </w:tcBorders>
          </w:tcPr>
          <w:p w14:paraId="549060AC" w14:textId="77777777" w:rsidR="00286F7D" w:rsidRPr="00286F7D" w:rsidRDefault="00286F7D" w:rsidP="00286F7D">
            <w:pPr>
              <w:pStyle w:val="Texttabulky"/>
              <w:spacing w:after="0"/>
              <w:jc w:val="center"/>
              <w:rPr>
                <w:rFonts w:cs="Arial"/>
              </w:rPr>
            </w:pPr>
            <w:r w:rsidRPr="00286F7D">
              <w:rPr>
                <w:rFonts w:cs="Arial"/>
                <w:sz w:val="18"/>
                <w:szCs w:val="18"/>
              </w:rPr>
              <w:t>2 808</w:t>
            </w:r>
          </w:p>
        </w:tc>
        <w:tc>
          <w:tcPr>
            <w:tcW w:w="1710" w:type="dxa"/>
            <w:tcBorders>
              <w:top w:val="single" w:sz="6" w:space="0" w:color="auto"/>
              <w:left w:val="single" w:sz="6" w:space="0" w:color="auto"/>
              <w:bottom w:val="single" w:sz="6" w:space="0" w:color="auto"/>
              <w:right w:val="single" w:sz="6" w:space="0" w:color="auto"/>
            </w:tcBorders>
          </w:tcPr>
          <w:p w14:paraId="41D995AE" w14:textId="77777777" w:rsidR="00286F7D" w:rsidRPr="00286F7D" w:rsidRDefault="00286F7D" w:rsidP="00286F7D">
            <w:pPr>
              <w:pStyle w:val="Texttabulky"/>
              <w:spacing w:after="0"/>
              <w:jc w:val="center"/>
              <w:rPr>
                <w:rFonts w:cs="Arial"/>
              </w:rPr>
            </w:pPr>
            <w:r w:rsidRPr="00286F7D">
              <w:rPr>
                <w:rFonts w:cs="Arial"/>
                <w:sz w:val="18"/>
                <w:szCs w:val="18"/>
              </w:rPr>
              <w:t xml:space="preserve">3 500 </w:t>
            </w:r>
          </w:p>
        </w:tc>
      </w:tr>
      <w:tr w:rsidR="00286F7D" w:rsidRPr="00286F7D" w14:paraId="6454D472" w14:textId="77777777" w:rsidTr="00286F7D">
        <w:trPr>
          <w:jc w:val="center"/>
        </w:trPr>
        <w:tc>
          <w:tcPr>
            <w:tcW w:w="435" w:type="dxa"/>
            <w:tcBorders>
              <w:top w:val="single" w:sz="6" w:space="0" w:color="auto"/>
              <w:left w:val="single" w:sz="6" w:space="0" w:color="auto"/>
              <w:bottom w:val="single" w:sz="6" w:space="0" w:color="auto"/>
              <w:right w:val="single" w:sz="6" w:space="0" w:color="auto"/>
            </w:tcBorders>
          </w:tcPr>
          <w:p w14:paraId="3EA877E2" w14:textId="77777777" w:rsidR="00286F7D" w:rsidRPr="00286F7D" w:rsidRDefault="00286F7D" w:rsidP="00286F7D">
            <w:pPr>
              <w:pStyle w:val="Texttabulky"/>
              <w:spacing w:after="0"/>
              <w:jc w:val="center"/>
              <w:rPr>
                <w:rFonts w:cs="Arial"/>
              </w:rPr>
            </w:pPr>
            <w:r w:rsidRPr="00286F7D">
              <w:rPr>
                <w:rFonts w:cs="Arial"/>
              </w:rPr>
              <w:t>6</w:t>
            </w:r>
          </w:p>
        </w:tc>
        <w:tc>
          <w:tcPr>
            <w:tcW w:w="3477" w:type="dxa"/>
            <w:tcBorders>
              <w:top w:val="single" w:sz="6" w:space="0" w:color="auto"/>
              <w:left w:val="single" w:sz="6" w:space="0" w:color="auto"/>
              <w:bottom w:val="single" w:sz="6" w:space="0" w:color="auto"/>
              <w:right w:val="single" w:sz="6" w:space="0" w:color="auto"/>
            </w:tcBorders>
          </w:tcPr>
          <w:p w14:paraId="600BDF02" w14:textId="77777777" w:rsidR="00286F7D" w:rsidRPr="00286F7D" w:rsidRDefault="00286F7D" w:rsidP="00286F7D">
            <w:pPr>
              <w:pStyle w:val="Texttabulky"/>
              <w:spacing w:after="0"/>
              <w:rPr>
                <w:rFonts w:cs="Arial"/>
              </w:rPr>
            </w:pPr>
            <w:r w:rsidRPr="00286F7D">
              <w:rPr>
                <w:rFonts w:cs="Arial"/>
                <w:sz w:val="18"/>
                <w:szCs w:val="18"/>
              </w:rPr>
              <w:t xml:space="preserve">ČVUT - vysoká škola </w:t>
            </w:r>
          </w:p>
        </w:tc>
        <w:tc>
          <w:tcPr>
            <w:tcW w:w="930" w:type="dxa"/>
            <w:tcBorders>
              <w:top w:val="single" w:sz="6" w:space="0" w:color="auto"/>
              <w:left w:val="single" w:sz="6" w:space="0" w:color="auto"/>
              <w:bottom w:val="single" w:sz="6" w:space="0" w:color="auto"/>
              <w:right w:val="single" w:sz="6" w:space="0" w:color="auto"/>
            </w:tcBorders>
          </w:tcPr>
          <w:p w14:paraId="42773BA0" w14:textId="77777777" w:rsidR="00286F7D" w:rsidRPr="00286F7D" w:rsidRDefault="00286F7D" w:rsidP="00286F7D">
            <w:pPr>
              <w:pStyle w:val="Texttabulky"/>
              <w:spacing w:after="0"/>
              <w:jc w:val="center"/>
              <w:rPr>
                <w:rFonts w:cs="Arial"/>
              </w:rPr>
            </w:pPr>
            <w:r w:rsidRPr="00286F7D">
              <w:rPr>
                <w:rFonts w:cs="Arial"/>
                <w:sz w:val="18"/>
                <w:szCs w:val="18"/>
              </w:rPr>
              <w:t xml:space="preserve">100 </w:t>
            </w:r>
          </w:p>
        </w:tc>
        <w:tc>
          <w:tcPr>
            <w:tcW w:w="945" w:type="dxa"/>
            <w:tcBorders>
              <w:top w:val="single" w:sz="6" w:space="0" w:color="auto"/>
              <w:left w:val="single" w:sz="6" w:space="0" w:color="auto"/>
              <w:bottom w:val="single" w:sz="6" w:space="0" w:color="auto"/>
              <w:right w:val="single" w:sz="6" w:space="0" w:color="auto"/>
            </w:tcBorders>
          </w:tcPr>
          <w:p w14:paraId="7337322D" w14:textId="77777777" w:rsidR="00286F7D" w:rsidRPr="00286F7D" w:rsidRDefault="00286F7D" w:rsidP="00286F7D">
            <w:pPr>
              <w:pStyle w:val="Texttabulky"/>
              <w:spacing w:after="0"/>
              <w:jc w:val="center"/>
              <w:rPr>
                <w:rFonts w:cs="Arial"/>
              </w:rPr>
            </w:pPr>
            <w:r w:rsidRPr="00286F7D">
              <w:rPr>
                <w:rFonts w:cs="Arial"/>
                <w:sz w:val="18"/>
                <w:szCs w:val="18"/>
              </w:rPr>
              <w:t>100</w:t>
            </w:r>
          </w:p>
        </w:tc>
        <w:tc>
          <w:tcPr>
            <w:tcW w:w="1710" w:type="dxa"/>
            <w:tcBorders>
              <w:top w:val="single" w:sz="6" w:space="0" w:color="auto"/>
              <w:left w:val="single" w:sz="6" w:space="0" w:color="auto"/>
              <w:bottom w:val="single" w:sz="6" w:space="0" w:color="auto"/>
              <w:right w:val="single" w:sz="6" w:space="0" w:color="auto"/>
            </w:tcBorders>
          </w:tcPr>
          <w:p w14:paraId="278CEC60" w14:textId="77777777" w:rsidR="00286F7D" w:rsidRPr="00286F7D" w:rsidRDefault="00286F7D" w:rsidP="00286F7D">
            <w:pPr>
              <w:pStyle w:val="Texttabulky"/>
              <w:spacing w:after="0"/>
              <w:jc w:val="center"/>
              <w:rPr>
                <w:rFonts w:cs="Arial"/>
              </w:rPr>
            </w:pPr>
            <w:r w:rsidRPr="00286F7D">
              <w:rPr>
                <w:rFonts w:cs="Arial"/>
                <w:sz w:val="18"/>
                <w:szCs w:val="18"/>
              </w:rPr>
              <w:t xml:space="preserve">150 </w:t>
            </w:r>
          </w:p>
        </w:tc>
      </w:tr>
      <w:tr w:rsidR="00286F7D" w:rsidRPr="00286F7D" w14:paraId="5A0BB75C" w14:textId="77777777" w:rsidTr="00286F7D">
        <w:trPr>
          <w:jc w:val="center"/>
        </w:trPr>
        <w:tc>
          <w:tcPr>
            <w:tcW w:w="435" w:type="dxa"/>
            <w:tcBorders>
              <w:top w:val="single" w:sz="6" w:space="0" w:color="auto"/>
              <w:left w:val="single" w:sz="6" w:space="0" w:color="auto"/>
              <w:bottom w:val="single" w:sz="6" w:space="0" w:color="auto"/>
              <w:right w:val="single" w:sz="6" w:space="0" w:color="auto"/>
            </w:tcBorders>
          </w:tcPr>
          <w:p w14:paraId="256714BF" w14:textId="77777777" w:rsidR="00286F7D" w:rsidRPr="00286F7D" w:rsidRDefault="00286F7D" w:rsidP="00286F7D">
            <w:pPr>
              <w:pStyle w:val="Texttabulky"/>
              <w:spacing w:after="0"/>
              <w:jc w:val="center"/>
              <w:rPr>
                <w:rFonts w:cs="Arial"/>
              </w:rPr>
            </w:pPr>
            <w:r w:rsidRPr="00286F7D">
              <w:rPr>
                <w:rFonts w:cs="Arial"/>
              </w:rPr>
              <w:t>7</w:t>
            </w:r>
          </w:p>
        </w:tc>
        <w:tc>
          <w:tcPr>
            <w:tcW w:w="3477" w:type="dxa"/>
            <w:tcBorders>
              <w:top w:val="single" w:sz="6" w:space="0" w:color="auto"/>
              <w:left w:val="single" w:sz="6" w:space="0" w:color="auto"/>
              <w:bottom w:val="single" w:sz="6" w:space="0" w:color="auto"/>
              <w:right w:val="single" w:sz="6" w:space="0" w:color="auto"/>
            </w:tcBorders>
          </w:tcPr>
          <w:p w14:paraId="7E93BC79" w14:textId="77777777" w:rsidR="00286F7D" w:rsidRPr="00286F7D" w:rsidRDefault="00286F7D" w:rsidP="00286F7D">
            <w:pPr>
              <w:pStyle w:val="Texttabulky"/>
              <w:spacing w:after="0"/>
              <w:rPr>
                <w:rFonts w:cs="Arial"/>
              </w:rPr>
            </w:pPr>
            <w:r w:rsidRPr="00286F7D">
              <w:rPr>
                <w:rFonts w:cs="Arial"/>
                <w:sz w:val="18"/>
                <w:szCs w:val="18"/>
              </w:rPr>
              <w:t>Střední odborná učiliště</w:t>
            </w:r>
          </w:p>
        </w:tc>
        <w:tc>
          <w:tcPr>
            <w:tcW w:w="930" w:type="dxa"/>
            <w:tcBorders>
              <w:top w:val="single" w:sz="6" w:space="0" w:color="auto"/>
              <w:left w:val="single" w:sz="6" w:space="0" w:color="auto"/>
              <w:bottom w:val="single" w:sz="6" w:space="0" w:color="auto"/>
              <w:right w:val="single" w:sz="6" w:space="0" w:color="auto"/>
            </w:tcBorders>
          </w:tcPr>
          <w:p w14:paraId="04B26D0A" w14:textId="77777777" w:rsidR="00286F7D" w:rsidRPr="00286F7D" w:rsidRDefault="00286F7D" w:rsidP="00286F7D">
            <w:pPr>
              <w:pStyle w:val="Texttabulky"/>
              <w:spacing w:after="0"/>
              <w:jc w:val="center"/>
              <w:rPr>
                <w:rFonts w:cs="Arial"/>
              </w:rPr>
            </w:pPr>
            <w:r w:rsidRPr="00286F7D">
              <w:rPr>
                <w:rFonts w:cs="Arial"/>
                <w:sz w:val="18"/>
                <w:szCs w:val="18"/>
              </w:rPr>
              <w:t>568</w:t>
            </w:r>
          </w:p>
        </w:tc>
        <w:tc>
          <w:tcPr>
            <w:tcW w:w="945" w:type="dxa"/>
            <w:tcBorders>
              <w:top w:val="single" w:sz="6" w:space="0" w:color="auto"/>
              <w:left w:val="single" w:sz="6" w:space="0" w:color="auto"/>
              <w:bottom w:val="single" w:sz="6" w:space="0" w:color="auto"/>
              <w:right w:val="single" w:sz="6" w:space="0" w:color="auto"/>
            </w:tcBorders>
          </w:tcPr>
          <w:p w14:paraId="4C0DCE81" w14:textId="77777777" w:rsidR="00286F7D" w:rsidRPr="00286F7D" w:rsidRDefault="00286F7D" w:rsidP="00286F7D">
            <w:pPr>
              <w:pStyle w:val="Texttabulky"/>
              <w:spacing w:after="0"/>
              <w:jc w:val="center"/>
              <w:rPr>
                <w:rFonts w:cs="Arial"/>
              </w:rPr>
            </w:pPr>
            <w:r w:rsidRPr="00286F7D">
              <w:rPr>
                <w:rFonts w:cs="Arial"/>
                <w:sz w:val="18"/>
                <w:szCs w:val="18"/>
              </w:rPr>
              <w:t>395</w:t>
            </w:r>
          </w:p>
        </w:tc>
        <w:tc>
          <w:tcPr>
            <w:tcW w:w="1710" w:type="dxa"/>
            <w:tcBorders>
              <w:top w:val="single" w:sz="6" w:space="0" w:color="auto"/>
              <w:left w:val="single" w:sz="6" w:space="0" w:color="auto"/>
              <w:bottom w:val="single" w:sz="6" w:space="0" w:color="auto"/>
              <w:right w:val="single" w:sz="6" w:space="0" w:color="auto"/>
            </w:tcBorders>
          </w:tcPr>
          <w:p w14:paraId="48B81BB5" w14:textId="77777777" w:rsidR="00286F7D" w:rsidRPr="00286F7D" w:rsidRDefault="00286F7D" w:rsidP="00286F7D">
            <w:pPr>
              <w:pStyle w:val="Texttabulky"/>
              <w:spacing w:after="0"/>
              <w:jc w:val="center"/>
              <w:rPr>
                <w:rFonts w:cs="Arial"/>
              </w:rPr>
            </w:pPr>
            <w:r w:rsidRPr="00286F7D">
              <w:rPr>
                <w:rFonts w:cs="Arial"/>
                <w:sz w:val="18"/>
                <w:szCs w:val="18"/>
              </w:rPr>
              <w:t>400</w:t>
            </w:r>
          </w:p>
        </w:tc>
      </w:tr>
      <w:tr w:rsidR="00286F7D" w:rsidRPr="00286F7D" w14:paraId="4C487B90" w14:textId="77777777" w:rsidTr="00286F7D">
        <w:trPr>
          <w:jc w:val="center"/>
        </w:trPr>
        <w:tc>
          <w:tcPr>
            <w:tcW w:w="435" w:type="dxa"/>
            <w:tcBorders>
              <w:top w:val="single" w:sz="6" w:space="0" w:color="auto"/>
              <w:left w:val="single" w:sz="6" w:space="0" w:color="auto"/>
              <w:bottom w:val="single" w:sz="6" w:space="0" w:color="auto"/>
              <w:right w:val="single" w:sz="6" w:space="0" w:color="auto"/>
            </w:tcBorders>
          </w:tcPr>
          <w:p w14:paraId="0E861EA4" w14:textId="77777777" w:rsidR="00286F7D" w:rsidRPr="00286F7D" w:rsidRDefault="00286F7D" w:rsidP="00286F7D">
            <w:pPr>
              <w:pStyle w:val="Texttabulky"/>
              <w:spacing w:after="0"/>
              <w:jc w:val="center"/>
              <w:rPr>
                <w:rFonts w:cs="Arial"/>
              </w:rPr>
            </w:pPr>
            <w:r w:rsidRPr="00286F7D">
              <w:rPr>
                <w:rFonts w:cs="Arial"/>
              </w:rPr>
              <w:t>8</w:t>
            </w:r>
          </w:p>
        </w:tc>
        <w:tc>
          <w:tcPr>
            <w:tcW w:w="3477" w:type="dxa"/>
            <w:tcBorders>
              <w:top w:val="single" w:sz="6" w:space="0" w:color="auto"/>
              <w:left w:val="single" w:sz="6" w:space="0" w:color="auto"/>
              <w:bottom w:val="single" w:sz="6" w:space="0" w:color="auto"/>
              <w:right w:val="single" w:sz="6" w:space="0" w:color="auto"/>
            </w:tcBorders>
          </w:tcPr>
          <w:p w14:paraId="4A52215D" w14:textId="77777777" w:rsidR="00286F7D" w:rsidRPr="00286F7D" w:rsidRDefault="00286F7D" w:rsidP="00286F7D">
            <w:pPr>
              <w:pStyle w:val="Texttabulky"/>
              <w:spacing w:after="0"/>
              <w:rPr>
                <w:rFonts w:cs="Arial"/>
              </w:rPr>
            </w:pPr>
            <w:r w:rsidRPr="00286F7D">
              <w:rPr>
                <w:rFonts w:cs="Arial"/>
                <w:sz w:val="18"/>
                <w:szCs w:val="18"/>
              </w:rPr>
              <w:t xml:space="preserve">umělecká škola, stanice mladých přírodovědců a techniků </w:t>
            </w:r>
          </w:p>
        </w:tc>
        <w:tc>
          <w:tcPr>
            <w:tcW w:w="930" w:type="dxa"/>
            <w:tcBorders>
              <w:top w:val="single" w:sz="6" w:space="0" w:color="auto"/>
              <w:left w:val="single" w:sz="6" w:space="0" w:color="auto"/>
              <w:bottom w:val="single" w:sz="6" w:space="0" w:color="auto"/>
              <w:right w:val="single" w:sz="6" w:space="0" w:color="auto"/>
            </w:tcBorders>
          </w:tcPr>
          <w:p w14:paraId="4BD6D7EF" w14:textId="77777777" w:rsidR="00286F7D" w:rsidRPr="00286F7D" w:rsidRDefault="00286F7D" w:rsidP="00286F7D">
            <w:pPr>
              <w:pStyle w:val="Texttabulky"/>
              <w:spacing w:after="0"/>
              <w:jc w:val="center"/>
              <w:rPr>
                <w:rFonts w:cs="Arial"/>
              </w:rPr>
            </w:pPr>
            <w:r w:rsidRPr="00286F7D">
              <w:rPr>
                <w:rFonts w:cs="Arial"/>
                <w:sz w:val="18"/>
                <w:szCs w:val="18"/>
              </w:rPr>
              <w:t>2 282</w:t>
            </w:r>
          </w:p>
        </w:tc>
        <w:tc>
          <w:tcPr>
            <w:tcW w:w="945" w:type="dxa"/>
            <w:tcBorders>
              <w:top w:val="single" w:sz="6" w:space="0" w:color="auto"/>
              <w:left w:val="single" w:sz="6" w:space="0" w:color="auto"/>
              <w:bottom w:val="single" w:sz="6" w:space="0" w:color="auto"/>
              <w:right w:val="single" w:sz="6" w:space="0" w:color="auto"/>
            </w:tcBorders>
          </w:tcPr>
          <w:p w14:paraId="0C26BBED" w14:textId="77777777" w:rsidR="00286F7D" w:rsidRPr="00286F7D" w:rsidRDefault="00286F7D" w:rsidP="00286F7D">
            <w:pPr>
              <w:pStyle w:val="Texttabulky"/>
              <w:spacing w:after="0"/>
              <w:jc w:val="center"/>
              <w:rPr>
                <w:rFonts w:cs="Arial"/>
              </w:rPr>
            </w:pPr>
            <w:r w:rsidRPr="00286F7D">
              <w:rPr>
                <w:rFonts w:cs="Arial"/>
                <w:sz w:val="18"/>
                <w:szCs w:val="18"/>
              </w:rPr>
              <w:t>2 481</w:t>
            </w:r>
          </w:p>
        </w:tc>
        <w:tc>
          <w:tcPr>
            <w:tcW w:w="1710" w:type="dxa"/>
            <w:tcBorders>
              <w:top w:val="single" w:sz="6" w:space="0" w:color="auto"/>
              <w:left w:val="single" w:sz="6" w:space="0" w:color="auto"/>
              <w:bottom w:val="single" w:sz="6" w:space="0" w:color="auto"/>
              <w:right w:val="single" w:sz="6" w:space="0" w:color="auto"/>
            </w:tcBorders>
          </w:tcPr>
          <w:p w14:paraId="45042D3E" w14:textId="77777777" w:rsidR="00286F7D" w:rsidRPr="00286F7D" w:rsidRDefault="00286F7D" w:rsidP="00286F7D">
            <w:pPr>
              <w:pStyle w:val="Texttabulky"/>
              <w:spacing w:after="0"/>
              <w:jc w:val="center"/>
              <w:rPr>
                <w:rFonts w:cs="Arial"/>
              </w:rPr>
            </w:pPr>
            <w:r w:rsidRPr="00286F7D">
              <w:rPr>
                <w:rFonts w:cs="Arial"/>
                <w:sz w:val="18"/>
                <w:szCs w:val="18"/>
              </w:rPr>
              <w:t xml:space="preserve">2 500 </w:t>
            </w:r>
          </w:p>
        </w:tc>
      </w:tr>
      <w:tr w:rsidR="00286F7D" w:rsidRPr="00286F7D" w14:paraId="3821D29F" w14:textId="77777777" w:rsidTr="00286F7D">
        <w:trPr>
          <w:jc w:val="center"/>
        </w:trPr>
        <w:tc>
          <w:tcPr>
            <w:tcW w:w="435" w:type="dxa"/>
            <w:tcBorders>
              <w:top w:val="single" w:sz="6" w:space="0" w:color="auto"/>
              <w:left w:val="single" w:sz="6" w:space="0" w:color="auto"/>
              <w:bottom w:val="single" w:sz="6" w:space="0" w:color="auto"/>
              <w:right w:val="single" w:sz="6" w:space="0" w:color="auto"/>
            </w:tcBorders>
          </w:tcPr>
          <w:p w14:paraId="13B92D90" w14:textId="77777777" w:rsidR="00286F7D" w:rsidRPr="00286F7D" w:rsidRDefault="00286F7D" w:rsidP="00286F7D">
            <w:pPr>
              <w:pStyle w:val="Texttabulky"/>
              <w:spacing w:after="0"/>
              <w:jc w:val="center"/>
              <w:rPr>
                <w:rFonts w:cs="Arial"/>
              </w:rPr>
            </w:pPr>
            <w:r w:rsidRPr="00286F7D">
              <w:rPr>
                <w:rFonts w:cs="Arial"/>
              </w:rPr>
              <w:t>9</w:t>
            </w:r>
          </w:p>
        </w:tc>
        <w:tc>
          <w:tcPr>
            <w:tcW w:w="3477" w:type="dxa"/>
            <w:tcBorders>
              <w:top w:val="single" w:sz="6" w:space="0" w:color="auto"/>
              <w:left w:val="single" w:sz="6" w:space="0" w:color="auto"/>
              <w:bottom w:val="single" w:sz="6" w:space="0" w:color="auto"/>
              <w:right w:val="single" w:sz="6" w:space="0" w:color="auto"/>
            </w:tcBorders>
          </w:tcPr>
          <w:p w14:paraId="4215B685" w14:textId="77777777" w:rsidR="00286F7D" w:rsidRPr="00286F7D" w:rsidRDefault="00286F7D" w:rsidP="00286F7D">
            <w:pPr>
              <w:pStyle w:val="Texttabulky"/>
              <w:spacing w:after="0"/>
              <w:rPr>
                <w:rFonts w:cs="Arial"/>
              </w:rPr>
            </w:pPr>
            <w:r w:rsidRPr="00286F7D">
              <w:rPr>
                <w:rFonts w:cs="Arial"/>
                <w:sz w:val="18"/>
                <w:szCs w:val="18"/>
              </w:rPr>
              <w:t>ústavy, domovy mládeže</w:t>
            </w:r>
            <w:r w:rsidRPr="00286F7D">
              <w:rPr>
                <w:rFonts w:cs="Arial"/>
              </w:rPr>
              <w:t>, internáty, kolej</w:t>
            </w:r>
          </w:p>
        </w:tc>
        <w:tc>
          <w:tcPr>
            <w:tcW w:w="930" w:type="dxa"/>
            <w:tcBorders>
              <w:top w:val="single" w:sz="6" w:space="0" w:color="auto"/>
              <w:left w:val="single" w:sz="6" w:space="0" w:color="auto"/>
              <w:bottom w:val="single" w:sz="6" w:space="0" w:color="auto"/>
              <w:right w:val="single" w:sz="6" w:space="0" w:color="auto"/>
            </w:tcBorders>
          </w:tcPr>
          <w:p w14:paraId="5607D18D" w14:textId="77777777" w:rsidR="00286F7D" w:rsidRPr="00286F7D" w:rsidRDefault="00286F7D" w:rsidP="00286F7D">
            <w:pPr>
              <w:pStyle w:val="Texttabulky"/>
              <w:spacing w:after="0"/>
              <w:jc w:val="center"/>
              <w:rPr>
                <w:rFonts w:cs="Arial"/>
              </w:rPr>
            </w:pPr>
            <w:r w:rsidRPr="00286F7D">
              <w:rPr>
                <w:rFonts w:cs="Arial"/>
                <w:sz w:val="18"/>
                <w:szCs w:val="18"/>
              </w:rPr>
              <w:t xml:space="preserve">245 </w:t>
            </w:r>
          </w:p>
        </w:tc>
        <w:tc>
          <w:tcPr>
            <w:tcW w:w="945" w:type="dxa"/>
            <w:tcBorders>
              <w:top w:val="single" w:sz="6" w:space="0" w:color="auto"/>
              <w:left w:val="single" w:sz="6" w:space="0" w:color="auto"/>
              <w:bottom w:val="single" w:sz="6" w:space="0" w:color="auto"/>
              <w:right w:val="single" w:sz="6" w:space="0" w:color="auto"/>
            </w:tcBorders>
          </w:tcPr>
          <w:p w14:paraId="04FEE1C6" w14:textId="77777777" w:rsidR="00286F7D" w:rsidRPr="00286F7D" w:rsidRDefault="00286F7D" w:rsidP="00286F7D">
            <w:pPr>
              <w:pStyle w:val="Texttabulky"/>
              <w:spacing w:after="0"/>
              <w:jc w:val="center"/>
              <w:rPr>
                <w:rFonts w:cs="Arial"/>
              </w:rPr>
            </w:pPr>
            <w:r w:rsidRPr="00286F7D">
              <w:rPr>
                <w:rFonts w:cs="Arial"/>
                <w:sz w:val="18"/>
                <w:szCs w:val="18"/>
              </w:rPr>
              <w:t>155</w:t>
            </w:r>
          </w:p>
        </w:tc>
        <w:tc>
          <w:tcPr>
            <w:tcW w:w="1710" w:type="dxa"/>
            <w:tcBorders>
              <w:top w:val="single" w:sz="6" w:space="0" w:color="auto"/>
              <w:left w:val="single" w:sz="6" w:space="0" w:color="auto"/>
              <w:bottom w:val="single" w:sz="6" w:space="0" w:color="auto"/>
              <w:right w:val="single" w:sz="6" w:space="0" w:color="auto"/>
            </w:tcBorders>
          </w:tcPr>
          <w:p w14:paraId="41280A59" w14:textId="77777777" w:rsidR="00286F7D" w:rsidRPr="00286F7D" w:rsidRDefault="00286F7D" w:rsidP="00286F7D">
            <w:pPr>
              <w:pStyle w:val="Texttabulky"/>
              <w:spacing w:after="0"/>
              <w:jc w:val="center"/>
              <w:rPr>
                <w:rFonts w:cs="Arial"/>
              </w:rPr>
            </w:pPr>
            <w:r w:rsidRPr="00286F7D">
              <w:rPr>
                <w:rFonts w:cs="Arial"/>
                <w:sz w:val="18"/>
                <w:szCs w:val="18"/>
              </w:rPr>
              <w:t xml:space="preserve">200 </w:t>
            </w:r>
          </w:p>
        </w:tc>
      </w:tr>
      <w:tr w:rsidR="00286F7D" w:rsidRPr="00286F7D" w14:paraId="6351692D" w14:textId="77777777" w:rsidTr="00286F7D">
        <w:trPr>
          <w:jc w:val="center"/>
        </w:trPr>
        <w:tc>
          <w:tcPr>
            <w:tcW w:w="3912" w:type="dxa"/>
            <w:gridSpan w:val="2"/>
            <w:tcBorders>
              <w:top w:val="single" w:sz="6" w:space="0" w:color="auto"/>
              <w:left w:val="single" w:sz="6" w:space="0" w:color="auto"/>
              <w:bottom w:val="single" w:sz="6" w:space="0" w:color="auto"/>
              <w:right w:val="single" w:sz="6" w:space="0" w:color="auto"/>
            </w:tcBorders>
          </w:tcPr>
          <w:p w14:paraId="0499F2E2" w14:textId="77777777" w:rsidR="00286F7D" w:rsidRPr="00286F7D" w:rsidRDefault="00286F7D" w:rsidP="00286F7D">
            <w:pPr>
              <w:pStyle w:val="Zkladntext"/>
              <w:spacing w:after="0"/>
              <w:rPr>
                <w:rFonts w:ascii="Arial" w:hAnsi="Arial" w:cs="Arial"/>
              </w:rPr>
            </w:pPr>
            <w:r w:rsidRPr="00286F7D">
              <w:rPr>
                <w:rFonts w:ascii="Arial" w:hAnsi="Arial" w:cs="Arial"/>
                <w:sz w:val="18"/>
                <w:szCs w:val="18"/>
              </w:rPr>
              <w:t>celkem ve všech formách</w:t>
            </w:r>
            <w:r w:rsidRPr="00286F7D">
              <w:rPr>
                <w:rFonts w:ascii="Arial" w:hAnsi="Arial" w:cs="Arial"/>
              </w:rPr>
              <w:t xml:space="preserve"> (1-9)</w:t>
            </w:r>
          </w:p>
        </w:tc>
        <w:tc>
          <w:tcPr>
            <w:tcW w:w="930" w:type="dxa"/>
            <w:tcBorders>
              <w:top w:val="single" w:sz="6" w:space="0" w:color="auto"/>
              <w:left w:val="single" w:sz="6" w:space="0" w:color="auto"/>
              <w:bottom w:val="single" w:sz="6" w:space="0" w:color="auto"/>
              <w:right w:val="single" w:sz="6" w:space="0" w:color="auto"/>
            </w:tcBorders>
          </w:tcPr>
          <w:p w14:paraId="210788C4" w14:textId="77777777" w:rsidR="00286F7D" w:rsidRPr="00286F7D" w:rsidRDefault="00286F7D" w:rsidP="00286F7D">
            <w:pPr>
              <w:pStyle w:val="Texttabulky"/>
              <w:spacing w:after="0"/>
              <w:jc w:val="center"/>
              <w:rPr>
                <w:rFonts w:cs="Arial"/>
              </w:rPr>
            </w:pPr>
            <w:r w:rsidRPr="00286F7D">
              <w:rPr>
                <w:rFonts w:cs="Arial"/>
                <w:sz w:val="18"/>
                <w:szCs w:val="18"/>
              </w:rPr>
              <w:t>12 179</w:t>
            </w:r>
          </w:p>
        </w:tc>
        <w:tc>
          <w:tcPr>
            <w:tcW w:w="945" w:type="dxa"/>
            <w:tcBorders>
              <w:top w:val="single" w:sz="6" w:space="0" w:color="auto"/>
              <w:left w:val="single" w:sz="6" w:space="0" w:color="auto"/>
              <w:bottom w:val="single" w:sz="6" w:space="0" w:color="auto"/>
              <w:right w:val="single" w:sz="6" w:space="0" w:color="auto"/>
            </w:tcBorders>
          </w:tcPr>
          <w:p w14:paraId="391697AD" w14:textId="77777777" w:rsidR="00286F7D" w:rsidRPr="00286F7D" w:rsidRDefault="00286F7D" w:rsidP="00286F7D">
            <w:pPr>
              <w:pStyle w:val="Texttabulky"/>
              <w:spacing w:after="0"/>
              <w:jc w:val="center"/>
              <w:rPr>
                <w:rFonts w:cs="Arial"/>
              </w:rPr>
            </w:pPr>
            <w:r w:rsidRPr="00286F7D">
              <w:rPr>
                <w:rFonts w:cs="Arial"/>
                <w:sz w:val="18"/>
                <w:szCs w:val="18"/>
              </w:rPr>
              <w:t>12 946</w:t>
            </w:r>
          </w:p>
        </w:tc>
        <w:tc>
          <w:tcPr>
            <w:tcW w:w="1710" w:type="dxa"/>
            <w:tcBorders>
              <w:top w:val="single" w:sz="6" w:space="0" w:color="auto"/>
              <w:left w:val="single" w:sz="6" w:space="0" w:color="auto"/>
              <w:bottom w:val="single" w:sz="6" w:space="0" w:color="auto"/>
              <w:right w:val="single" w:sz="6" w:space="0" w:color="auto"/>
            </w:tcBorders>
          </w:tcPr>
          <w:p w14:paraId="32C5A4D6" w14:textId="77777777" w:rsidR="00286F7D" w:rsidRPr="00286F7D" w:rsidRDefault="00286F7D" w:rsidP="00286F7D">
            <w:pPr>
              <w:pStyle w:val="Texttabulky"/>
              <w:spacing w:after="0"/>
              <w:jc w:val="center"/>
              <w:rPr>
                <w:rFonts w:cs="Arial"/>
              </w:rPr>
            </w:pPr>
            <w:r w:rsidRPr="00286F7D">
              <w:rPr>
                <w:rFonts w:cs="Arial"/>
                <w:sz w:val="18"/>
                <w:szCs w:val="18"/>
              </w:rPr>
              <w:t>12 450</w:t>
            </w:r>
          </w:p>
        </w:tc>
      </w:tr>
      <w:tr w:rsidR="00286F7D" w:rsidRPr="00286F7D" w14:paraId="265658EC" w14:textId="77777777" w:rsidTr="00286F7D">
        <w:trPr>
          <w:jc w:val="center"/>
        </w:trPr>
        <w:tc>
          <w:tcPr>
            <w:tcW w:w="3912" w:type="dxa"/>
            <w:gridSpan w:val="2"/>
            <w:tcBorders>
              <w:top w:val="single" w:sz="6" w:space="0" w:color="auto"/>
              <w:left w:val="single" w:sz="6" w:space="0" w:color="auto"/>
              <w:bottom w:val="single" w:sz="6" w:space="0" w:color="auto"/>
              <w:right w:val="single" w:sz="6" w:space="0" w:color="auto"/>
            </w:tcBorders>
          </w:tcPr>
          <w:p w14:paraId="453CCF78" w14:textId="77777777" w:rsidR="00286F7D" w:rsidRPr="00286F7D" w:rsidRDefault="00286F7D" w:rsidP="00286F7D">
            <w:pPr>
              <w:pStyle w:val="Zkladntext"/>
              <w:spacing w:after="0"/>
              <w:rPr>
                <w:rFonts w:ascii="Arial" w:hAnsi="Arial" w:cs="Arial"/>
              </w:rPr>
            </w:pPr>
            <w:r w:rsidRPr="00286F7D">
              <w:rPr>
                <w:rFonts w:ascii="Arial" w:hAnsi="Arial" w:cs="Arial"/>
                <w:b/>
                <w:bCs/>
                <w:caps/>
              </w:rPr>
              <w:t xml:space="preserve">c e l k e m  </w:t>
            </w:r>
            <w:r w:rsidRPr="00286F7D">
              <w:rPr>
                <w:rFonts w:ascii="Arial" w:hAnsi="Arial" w:cs="Arial"/>
                <w:b/>
                <w:bCs/>
              </w:rPr>
              <w:t>( 2 - 8)</w:t>
            </w:r>
          </w:p>
        </w:tc>
        <w:tc>
          <w:tcPr>
            <w:tcW w:w="930" w:type="dxa"/>
            <w:tcBorders>
              <w:top w:val="single" w:sz="6" w:space="0" w:color="auto"/>
              <w:left w:val="single" w:sz="6" w:space="0" w:color="auto"/>
              <w:bottom w:val="single" w:sz="6" w:space="0" w:color="auto"/>
              <w:right w:val="single" w:sz="6" w:space="0" w:color="auto"/>
            </w:tcBorders>
          </w:tcPr>
          <w:p w14:paraId="48F00C8E" w14:textId="77777777" w:rsidR="00286F7D" w:rsidRPr="00286F7D" w:rsidRDefault="00286F7D" w:rsidP="00286F7D">
            <w:pPr>
              <w:pStyle w:val="Zkladntext"/>
              <w:spacing w:after="0"/>
              <w:jc w:val="center"/>
              <w:rPr>
                <w:rFonts w:ascii="Arial" w:hAnsi="Arial" w:cs="Arial"/>
              </w:rPr>
            </w:pPr>
          </w:p>
        </w:tc>
        <w:tc>
          <w:tcPr>
            <w:tcW w:w="945" w:type="dxa"/>
            <w:tcBorders>
              <w:top w:val="single" w:sz="6" w:space="0" w:color="auto"/>
              <w:left w:val="single" w:sz="6" w:space="0" w:color="auto"/>
              <w:bottom w:val="single" w:sz="6" w:space="0" w:color="auto"/>
              <w:right w:val="single" w:sz="6" w:space="0" w:color="auto"/>
            </w:tcBorders>
          </w:tcPr>
          <w:p w14:paraId="3C1E74E2" w14:textId="77777777" w:rsidR="00286F7D" w:rsidRPr="00286F7D" w:rsidRDefault="00286F7D" w:rsidP="00286F7D">
            <w:pPr>
              <w:pStyle w:val="Texttabulky"/>
              <w:spacing w:after="0"/>
              <w:jc w:val="center"/>
              <w:rPr>
                <w:rFonts w:cs="Arial"/>
              </w:rPr>
            </w:pPr>
            <w:r w:rsidRPr="00286F7D">
              <w:rPr>
                <w:rFonts w:cs="Arial"/>
                <w:b/>
                <w:bCs/>
              </w:rPr>
              <w:t>10 764</w:t>
            </w:r>
          </w:p>
        </w:tc>
        <w:tc>
          <w:tcPr>
            <w:tcW w:w="1710" w:type="dxa"/>
            <w:tcBorders>
              <w:top w:val="single" w:sz="6" w:space="0" w:color="auto"/>
              <w:left w:val="single" w:sz="6" w:space="0" w:color="auto"/>
              <w:bottom w:val="single" w:sz="6" w:space="0" w:color="auto"/>
              <w:right w:val="single" w:sz="6" w:space="0" w:color="auto"/>
            </w:tcBorders>
          </w:tcPr>
          <w:p w14:paraId="7776DF02" w14:textId="77777777" w:rsidR="00286F7D" w:rsidRPr="00286F7D" w:rsidRDefault="00286F7D" w:rsidP="00286F7D">
            <w:pPr>
              <w:pStyle w:val="Texttabulky"/>
              <w:spacing w:after="0"/>
              <w:jc w:val="center"/>
              <w:rPr>
                <w:rFonts w:cs="Arial"/>
              </w:rPr>
            </w:pPr>
            <w:r w:rsidRPr="00286F7D">
              <w:rPr>
                <w:rFonts w:cs="Arial"/>
                <w:b/>
                <w:bCs/>
              </w:rPr>
              <w:t>9 960</w:t>
            </w:r>
          </w:p>
        </w:tc>
      </w:tr>
    </w:tbl>
    <w:p w14:paraId="599E1FB0" w14:textId="77777777" w:rsidR="00286F7D" w:rsidRPr="00286F7D" w:rsidRDefault="00286F7D" w:rsidP="00286F7D">
      <w:pPr>
        <w:autoSpaceDE w:val="0"/>
        <w:autoSpaceDN w:val="0"/>
        <w:adjustRightInd w:val="0"/>
        <w:spacing w:before="120" w:line="288" w:lineRule="auto"/>
        <w:jc w:val="both"/>
        <w:rPr>
          <w:rFonts w:ascii="Arial" w:hAnsi="Arial" w:cs="Arial"/>
          <w:sz w:val="22"/>
          <w:szCs w:val="22"/>
        </w:rPr>
      </w:pPr>
    </w:p>
    <w:p w14:paraId="2232877E"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b/>
          <w:bCs/>
          <w:sz w:val="22"/>
          <w:szCs w:val="22"/>
        </w:rPr>
        <w:t>Na základě komplexního rozboru jsou zřejmé tyto skutečnosti:</w:t>
      </w:r>
    </w:p>
    <w:p w14:paraId="0784BD7A"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současná kapacita ukrytí zabezpečuje současnou kapacitu školských zařízení jako celku;</w:t>
      </w:r>
    </w:p>
    <w:p w14:paraId="0A65967D"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výhledová redukovaná kapacita škol je v podstatě zabezpečena, neboť deficit představuje pouze 38 míst s ohledem stávající kapacity ukrytí;</w:t>
      </w:r>
    </w:p>
    <w:p w14:paraId="764AF07B"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 xml:space="preserve">nejvyšší deficity představují UO č. 1 DĚČÍN (-369), č. 5 U NEMOCNICE (-450), č. 7 NAD SLOVANKOU (-300), č. 12 STARÉ MĚSTO (-208), č. 19 HLAVNÍ NÁDRAŽÍ (-250 SZŠ), č. 20 ŽELENICE (-213), č. 23 PODMOKLY (-157), č. 48 BŘEZINY (-326), č. 51 KŘEŠICE </w:t>
      </w:r>
      <w:r w:rsidRPr="00286F7D">
        <w:rPr>
          <w:rFonts w:cs="Arial"/>
          <w:sz w:val="22"/>
          <w:szCs w:val="22"/>
        </w:rPr>
        <w:br/>
        <w:t>(-198) a č. 52 BOLETICE n. L. (-570);</w:t>
      </w:r>
    </w:p>
    <w:p w14:paraId="33F88BEE"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problematickými se jeví zejména prostory Kamenické, Starého města, Březin, Želenic a Boletic n. L. (stávající základní školy);</w:t>
      </w:r>
    </w:p>
    <w:p w14:paraId="611CFD01" w14:textId="77777777" w:rsidR="00286F7D" w:rsidRPr="00286F7D" w:rsidRDefault="00286F7D" w:rsidP="00F32769">
      <w:pPr>
        <w:pStyle w:val="Znaka1"/>
        <w:numPr>
          <w:ilvl w:val="0"/>
          <w:numId w:val="113"/>
        </w:numPr>
        <w:spacing w:before="120" w:line="288" w:lineRule="auto"/>
        <w:ind w:left="426"/>
        <w:jc w:val="both"/>
        <w:rPr>
          <w:rFonts w:cs="Arial"/>
          <w:sz w:val="22"/>
          <w:szCs w:val="22"/>
        </w:rPr>
      </w:pPr>
      <w:r w:rsidRPr="00286F7D">
        <w:rPr>
          <w:rFonts w:cs="Arial"/>
          <w:sz w:val="22"/>
          <w:szCs w:val="22"/>
        </w:rPr>
        <w:t>s ohledem na kapacity současného ukrytí a navržená opatření bude nutno pro osazenstvo škol využít kapacit mimo vlastní objekty a zařízení, ovšem v odpovídající doběhové vzdálenosti.</w:t>
      </w:r>
    </w:p>
    <w:p w14:paraId="3022FD82" w14:textId="77777777" w:rsidR="00286F7D" w:rsidRPr="00286F7D" w:rsidRDefault="00286F7D" w:rsidP="00286F7D">
      <w:pPr>
        <w:autoSpaceDE w:val="0"/>
        <w:autoSpaceDN w:val="0"/>
        <w:adjustRightInd w:val="0"/>
        <w:spacing w:before="120" w:line="288" w:lineRule="auto"/>
        <w:jc w:val="both"/>
        <w:rPr>
          <w:rFonts w:ascii="Arial" w:hAnsi="Arial" w:cs="Arial"/>
          <w:sz w:val="22"/>
          <w:szCs w:val="22"/>
        </w:rPr>
      </w:pPr>
      <w:r w:rsidRPr="00286F7D">
        <w:rPr>
          <w:rFonts w:ascii="Arial" w:hAnsi="Arial" w:cs="Arial"/>
          <w:b/>
          <w:bCs/>
          <w:caps/>
          <w:sz w:val="22"/>
          <w:szCs w:val="22"/>
        </w:rPr>
        <w:t>Komplexní rozbor ukrytí žáků a studentů ve stavu i výhledu</w:t>
      </w:r>
    </w:p>
    <w:tbl>
      <w:tblPr>
        <w:tblW w:w="0" w:type="auto"/>
        <w:tblInd w:w="43" w:type="dxa"/>
        <w:tblLayout w:type="fixed"/>
        <w:tblCellMar>
          <w:left w:w="43" w:type="dxa"/>
          <w:right w:w="43" w:type="dxa"/>
        </w:tblCellMar>
        <w:tblLook w:val="0000" w:firstRow="0" w:lastRow="0" w:firstColumn="0" w:lastColumn="0" w:noHBand="0" w:noVBand="0"/>
      </w:tblPr>
      <w:tblGrid>
        <w:gridCol w:w="753"/>
        <w:gridCol w:w="2427"/>
        <w:gridCol w:w="1083"/>
        <w:gridCol w:w="1047"/>
        <w:gridCol w:w="750"/>
        <w:gridCol w:w="963"/>
        <w:gridCol w:w="976"/>
      </w:tblGrid>
      <w:tr w:rsidR="00286F7D" w:rsidRPr="00286F7D" w14:paraId="1D6C9B27" w14:textId="77777777" w:rsidTr="00286F7D">
        <w:tc>
          <w:tcPr>
            <w:tcW w:w="3180" w:type="dxa"/>
            <w:gridSpan w:val="2"/>
            <w:tcBorders>
              <w:top w:val="single" w:sz="6" w:space="0" w:color="auto"/>
              <w:left w:val="single" w:sz="6" w:space="0" w:color="auto"/>
              <w:bottom w:val="single" w:sz="6" w:space="0" w:color="auto"/>
              <w:right w:val="single" w:sz="6" w:space="0" w:color="auto"/>
            </w:tcBorders>
          </w:tcPr>
          <w:p w14:paraId="49643E84" w14:textId="77777777" w:rsidR="00286F7D" w:rsidRPr="00286F7D" w:rsidRDefault="00286F7D" w:rsidP="00286F7D">
            <w:pPr>
              <w:pStyle w:val="Texttabulky"/>
              <w:spacing w:after="0"/>
              <w:rPr>
                <w:rFonts w:cs="Arial"/>
              </w:rPr>
            </w:pPr>
            <w:r w:rsidRPr="00286F7D">
              <w:rPr>
                <w:rFonts w:cs="Arial"/>
                <w:b/>
                <w:bCs/>
              </w:rPr>
              <w:t>UO</w:t>
            </w:r>
          </w:p>
        </w:tc>
        <w:tc>
          <w:tcPr>
            <w:tcW w:w="2130" w:type="dxa"/>
            <w:gridSpan w:val="2"/>
            <w:tcBorders>
              <w:top w:val="single" w:sz="6" w:space="0" w:color="auto"/>
              <w:left w:val="single" w:sz="6" w:space="0" w:color="auto"/>
              <w:bottom w:val="single" w:sz="6" w:space="0" w:color="auto"/>
              <w:right w:val="single" w:sz="6" w:space="0" w:color="auto"/>
            </w:tcBorders>
          </w:tcPr>
          <w:p w14:paraId="25BF2313" w14:textId="77777777" w:rsidR="00286F7D" w:rsidRPr="00286F7D" w:rsidRDefault="00286F7D" w:rsidP="00286F7D">
            <w:pPr>
              <w:pStyle w:val="Texttabulky"/>
              <w:spacing w:after="0"/>
              <w:rPr>
                <w:rFonts w:cs="Arial"/>
              </w:rPr>
            </w:pPr>
            <w:r w:rsidRPr="00286F7D">
              <w:rPr>
                <w:rFonts w:cs="Arial"/>
                <w:b/>
                <w:bCs/>
              </w:rPr>
              <w:t xml:space="preserve">       počet žáků - míst</w:t>
            </w:r>
          </w:p>
        </w:tc>
        <w:tc>
          <w:tcPr>
            <w:tcW w:w="2689" w:type="dxa"/>
            <w:gridSpan w:val="3"/>
            <w:tcBorders>
              <w:top w:val="single" w:sz="6" w:space="0" w:color="auto"/>
              <w:left w:val="single" w:sz="6" w:space="0" w:color="auto"/>
              <w:bottom w:val="single" w:sz="6" w:space="0" w:color="auto"/>
              <w:right w:val="single" w:sz="6" w:space="0" w:color="auto"/>
            </w:tcBorders>
          </w:tcPr>
          <w:p w14:paraId="30B15091" w14:textId="77777777" w:rsidR="00286F7D" w:rsidRPr="00286F7D" w:rsidRDefault="00286F7D" w:rsidP="00286F7D">
            <w:pPr>
              <w:pStyle w:val="Texttabulky"/>
              <w:spacing w:after="0"/>
              <w:jc w:val="center"/>
              <w:rPr>
                <w:rFonts w:cs="Arial"/>
              </w:rPr>
            </w:pPr>
            <w:r w:rsidRPr="00286F7D">
              <w:rPr>
                <w:rFonts w:cs="Arial"/>
                <w:b/>
                <w:bCs/>
              </w:rPr>
              <w:t>ukrytí</w:t>
            </w:r>
          </w:p>
        </w:tc>
      </w:tr>
      <w:tr w:rsidR="00286F7D" w:rsidRPr="00286F7D" w14:paraId="6683CCA0" w14:textId="77777777" w:rsidTr="00286F7D">
        <w:tc>
          <w:tcPr>
            <w:tcW w:w="3180" w:type="dxa"/>
            <w:gridSpan w:val="2"/>
            <w:tcBorders>
              <w:top w:val="single" w:sz="6" w:space="0" w:color="auto"/>
              <w:left w:val="single" w:sz="6" w:space="0" w:color="auto"/>
              <w:bottom w:val="single" w:sz="6" w:space="0" w:color="auto"/>
              <w:right w:val="single" w:sz="6" w:space="0" w:color="auto"/>
            </w:tcBorders>
          </w:tcPr>
          <w:p w14:paraId="6A88DDCA" w14:textId="77777777" w:rsidR="00286F7D" w:rsidRPr="00286F7D" w:rsidRDefault="00286F7D" w:rsidP="00286F7D">
            <w:pPr>
              <w:pStyle w:val="Texttabulky"/>
              <w:spacing w:after="0"/>
              <w:jc w:val="center"/>
              <w:rPr>
                <w:rFonts w:cs="Arial"/>
              </w:rPr>
            </w:pPr>
            <w:r w:rsidRPr="00286F7D">
              <w:rPr>
                <w:rFonts w:cs="Arial"/>
                <w:b/>
                <w:bCs/>
              </w:rPr>
              <w:t>název</w:t>
            </w:r>
          </w:p>
        </w:tc>
        <w:tc>
          <w:tcPr>
            <w:tcW w:w="1083" w:type="dxa"/>
            <w:tcBorders>
              <w:top w:val="single" w:sz="6" w:space="0" w:color="auto"/>
              <w:left w:val="single" w:sz="6" w:space="0" w:color="auto"/>
              <w:bottom w:val="single" w:sz="6" w:space="0" w:color="auto"/>
              <w:right w:val="single" w:sz="6" w:space="0" w:color="auto"/>
            </w:tcBorders>
          </w:tcPr>
          <w:p w14:paraId="1FB1782F" w14:textId="77777777" w:rsidR="00286F7D" w:rsidRPr="00286F7D" w:rsidRDefault="00286F7D" w:rsidP="00286F7D">
            <w:pPr>
              <w:pStyle w:val="Texttabulky"/>
              <w:spacing w:after="0"/>
              <w:rPr>
                <w:rFonts w:cs="Arial"/>
              </w:rPr>
            </w:pPr>
            <w:r w:rsidRPr="00286F7D">
              <w:rPr>
                <w:rFonts w:cs="Arial"/>
                <w:b/>
                <w:bCs/>
              </w:rPr>
              <w:t xml:space="preserve">     stav</w:t>
            </w:r>
          </w:p>
        </w:tc>
        <w:tc>
          <w:tcPr>
            <w:tcW w:w="1047" w:type="dxa"/>
            <w:tcBorders>
              <w:top w:val="single" w:sz="6" w:space="0" w:color="auto"/>
              <w:left w:val="single" w:sz="6" w:space="0" w:color="auto"/>
              <w:bottom w:val="single" w:sz="6" w:space="0" w:color="auto"/>
              <w:right w:val="single" w:sz="6" w:space="0" w:color="auto"/>
            </w:tcBorders>
          </w:tcPr>
          <w:p w14:paraId="765C68D4" w14:textId="77777777" w:rsidR="00286F7D" w:rsidRPr="00286F7D" w:rsidRDefault="00286F7D" w:rsidP="00286F7D">
            <w:pPr>
              <w:pStyle w:val="Texttabulky"/>
              <w:spacing w:after="0"/>
              <w:rPr>
                <w:rFonts w:cs="Arial"/>
              </w:rPr>
            </w:pPr>
            <w:r w:rsidRPr="00286F7D">
              <w:rPr>
                <w:rFonts w:cs="Arial"/>
                <w:b/>
                <w:bCs/>
              </w:rPr>
              <w:t xml:space="preserve">   výhled</w:t>
            </w:r>
          </w:p>
        </w:tc>
        <w:tc>
          <w:tcPr>
            <w:tcW w:w="750" w:type="dxa"/>
            <w:tcBorders>
              <w:top w:val="single" w:sz="6" w:space="0" w:color="auto"/>
              <w:left w:val="single" w:sz="6" w:space="0" w:color="auto"/>
              <w:bottom w:val="single" w:sz="6" w:space="0" w:color="auto"/>
              <w:right w:val="single" w:sz="6" w:space="0" w:color="auto"/>
            </w:tcBorders>
          </w:tcPr>
          <w:p w14:paraId="522E9157" w14:textId="77777777" w:rsidR="00286F7D" w:rsidRPr="00286F7D" w:rsidRDefault="00286F7D" w:rsidP="00286F7D">
            <w:pPr>
              <w:pStyle w:val="Texttabulky"/>
              <w:spacing w:after="0"/>
              <w:rPr>
                <w:rFonts w:cs="Arial"/>
              </w:rPr>
            </w:pPr>
            <w:r w:rsidRPr="00286F7D">
              <w:rPr>
                <w:rFonts w:cs="Arial"/>
                <w:b/>
                <w:bCs/>
              </w:rPr>
              <w:t xml:space="preserve"> počet</w:t>
            </w:r>
          </w:p>
        </w:tc>
        <w:tc>
          <w:tcPr>
            <w:tcW w:w="963" w:type="dxa"/>
            <w:tcBorders>
              <w:top w:val="single" w:sz="6" w:space="0" w:color="auto"/>
              <w:left w:val="single" w:sz="6" w:space="0" w:color="auto"/>
              <w:bottom w:val="single" w:sz="6" w:space="0" w:color="auto"/>
              <w:right w:val="single" w:sz="6" w:space="0" w:color="auto"/>
            </w:tcBorders>
          </w:tcPr>
          <w:p w14:paraId="5F8A880D" w14:textId="77777777" w:rsidR="00286F7D" w:rsidRPr="00286F7D" w:rsidRDefault="00286F7D" w:rsidP="00286F7D">
            <w:pPr>
              <w:pStyle w:val="Texttabulky"/>
              <w:spacing w:after="0"/>
              <w:rPr>
                <w:rFonts w:cs="Arial"/>
              </w:rPr>
            </w:pPr>
            <w:r w:rsidRPr="00286F7D">
              <w:rPr>
                <w:rFonts w:cs="Arial"/>
                <w:b/>
                <w:bCs/>
              </w:rPr>
              <w:t>kapacita</w:t>
            </w:r>
          </w:p>
        </w:tc>
        <w:tc>
          <w:tcPr>
            <w:tcW w:w="976" w:type="dxa"/>
            <w:tcBorders>
              <w:top w:val="single" w:sz="6" w:space="0" w:color="auto"/>
              <w:left w:val="single" w:sz="6" w:space="0" w:color="auto"/>
              <w:bottom w:val="single" w:sz="6" w:space="0" w:color="auto"/>
              <w:right w:val="single" w:sz="6" w:space="0" w:color="auto"/>
            </w:tcBorders>
          </w:tcPr>
          <w:p w14:paraId="60924592" w14:textId="77777777" w:rsidR="00286F7D" w:rsidRPr="00286F7D" w:rsidRDefault="00286F7D" w:rsidP="00286F7D">
            <w:pPr>
              <w:pStyle w:val="Texttabulky"/>
              <w:spacing w:after="0"/>
              <w:rPr>
                <w:rFonts w:cs="Arial"/>
              </w:rPr>
            </w:pPr>
            <w:r w:rsidRPr="00286F7D">
              <w:rPr>
                <w:rFonts w:cs="Arial"/>
                <w:b/>
                <w:bCs/>
              </w:rPr>
              <w:t xml:space="preserve">   rozdíl</w:t>
            </w:r>
          </w:p>
        </w:tc>
      </w:tr>
      <w:tr w:rsidR="00286F7D" w:rsidRPr="00286F7D" w14:paraId="3C0F7DA5" w14:textId="77777777" w:rsidTr="00286F7D">
        <w:tc>
          <w:tcPr>
            <w:tcW w:w="753" w:type="dxa"/>
            <w:tcBorders>
              <w:top w:val="single" w:sz="6" w:space="0" w:color="auto"/>
              <w:left w:val="single" w:sz="6" w:space="0" w:color="auto"/>
              <w:bottom w:val="single" w:sz="6" w:space="0" w:color="auto"/>
              <w:right w:val="single" w:sz="6" w:space="0" w:color="auto"/>
            </w:tcBorders>
          </w:tcPr>
          <w:p w14:paraId="694E071D" w14:textId="77777777" w:rsidR="00286F7D" w:rsidRPr="00286F7D" w:rsidRDefault="00286F7D" w:rsidP="00286F7D">
            <w:pPr>
              <w:pStyle w:val="Texttabulky"/>
              <w:spacing w:after="0"/>
              <w:jc w:val="right"/>
              <w:rPr>
                <w:rFonts w:cs="Arial"/>
              </w:rPr>
            </w:pPr>
            <w:r w:rsidRPr="00286F7D">
              <w:rPr>
                <w:rFonts w:cs="Arial"/>
              </w:rPr>
              <w:t>1</w:t>
            </w:r>
          </w:p>
        </w:tc>
        <w:tc>
          <w:tcPr>
            <w:tcW w:w="2427" w:type="dxa"/>
            <w:tcBorders>
              <w:top w:val="single" w:sz="6" w:space="0" w:color="auto"/>
              <w:left w:val="single" w:sz="6" w:space="0" w:color="auto"/>
              <w:bottom w:val="single" w:sz="6" w:space="0" w:color="auto"/>
              <w:right w:val="single" w:sz="6" w:space="0" w:color="auto"/>
            </w:tcBorders>
          </w:tcPr>
          <w:p w14:paraId="7173E070" w14:textId="77777777" w:rsidR="00286F7D" w:rsidRPr="00286F7D" w:rsidRDefault="00286F7D" w:rsidP="00286F7D">
            <w:pPr>
              <w:pStyle w:val="Texttabulky"/>
              <w:spacing w:after="0"/>
              <w:rPr>
                <w:rFonts w:cs="Arial"/>
              </w:rPr>
            </w:pPr>
            <w:r w:rsidRPr="00286F7D">
              <w:rPr>
                <w:rFonts w:cs="Arial"/>
              </w:rPr>
              <w:t>Děčín střed</w:t>
            </w:r>
          </w:p>
        </w:tc>
        <w:tc>
          <w:tcPr>
            <w:tcW w:w="1083" w:type="dxa"/>
            <w:tcBorders>
              <w:top w:val="single" w:sz="6" w:space="0" w:color="auto"/>
              <w:left w:val="single" w:sz="6" w:space="0" w:color="auto"/>
              <w:bottom w:val="single" w:sz="6" w:space="0" w:color="auto"/>
              <w:right w:val="single" w:sz="6" w:space="0" w:color="auto"/>
            </w:tcBorders>
          </w:tcPr>
          <w:p w14:paraId="05762107" w14:textId="77777777" w:rsidR="00286F7D" w:rsidRPr="00286F7D" w:rsidRDefault="00286F7D" w:rsidP="00286F7D">
            <w:pPr>
              <w:pStyle w:val="Texttabulky"/>
              <w:spacing w:after="0"/>
              <w:jc w:val="right"/>
              <w:rPr>
                <w:rFonts w:cs="Arial"/>
              </w:rPr>
            </w:pPr>
            <w:r w:rsidRPr="00286F7D">
              <w:rPr>
                <w:rFonts w:cs="Arial"/>
              </w:rPr>
              <w:t>1 949</w:t>
            </w:r>
          </w:p>
        </w:tc>
        <w:tc>
          <w:tcPr>
            <w:tcW w:w="1047" w:type="dxa"/>
            <w:tcBorders>
              <w:top w:val="single" w:sz="6" w:space="0" w:color="auto"/>
              <w:left w:val="single" w:sz="6" w:space="0" w:color="auto"/>
              <w:bottom w:val="single" w:sz="6" w:space="0" w:color="auto"/>
              <w:right w:val="single" w:sz="6" w:space="0" w:color="auto"/>
            </w:tcBorders>
          </w:tcPr>
          <w:p w14:paraId="1FDDB23B" w14:textId="77777777" w:rsidR="00286F7D" w:rsidRPr="00286F7D" w:rsidRDefault="00286F7D" w:rsidP="00286F7D">
            <w:pPr>
              <w:pStyle w:val="Texttabulky"/>
              <w:spacing w:after="0"/>
              <w:jc w:val="right"/>
              <w:rPr>
                <w:rFonts w:cs="Arial"/>
              </w:rPr>
            </w:pPr>
            <w:r w:rsidRPr="00286F7D">
              <w:rPr>
                <w:rFonts w:cs="Arial"/>
              </w:rPr>
              <w:t>1 830</w:t>
            </w:r>
          </w:p>
        </w:tc>
        <w:tc>
          <w:tcPr>
            <w:tcW w:w="750" w:type="dxa"/>
            <w:tcBorders>
              <w:top w:val="single" w:sz="6" w:space="0" w:color="auto"/>
              <w:left w:val="single" w:sz="6" w:space="0" w:color="auto"/>
              <w:bottom w:val="single" w:sz="6" w:space="0" w:color="auto"/>
              <w:right w:val="single" w:sz="6" w:space="0" w:color="auto"/>
            </w:tcBorders>
          </w:tcPr>
          <w:p w14:paraId="170B4D1D" w14:textId="77777777" w:rsidR="00286F7D" w:rsidRPr="00286F7D" w:rsidRDefault="00286F7D" w:rsidP="00286F7D">
            <w:pPr>
              <w:pStyle w:val="Texttabulky"/>
              <w:spacing w:after="0"/>
              <w:jc w:val="right"/>
              <w:rPr>
                <w:rFonts w:cs="Arial"/>
              </w:rPr>
            </w:pPr>
            <w:r w:rsidRPr="00286F7D">
              <w:rPr>
                <w:rFonts w:cs="Arial"/>
              </w:rPr>
              <w:t>3</w:t>
            </w:r>
          </w:p>
        </w:tc>
        <w:tc>
          <w:tcPr>
            <w:tcW w:w="963" w:type="dxa"/>
            <w:tcBorders>
              <w:top w:val="single" w:sz="6" w:space="0" w:color="auto"/>
              <w:left w:val="single" w:sz="6" w:space="0" w:color="auto"/>
              <w:bottom w:val="single" w:sz="6" w:space="0" w:color="auto"/>
              <w:right w:val="single" w:sz="6" w:space="0" w:color="auto"/>
            </w:tcBorders>
          </w:tcPr>
          <w:p w14:paraId="279A168C" w14:textId="77777777" w:rsidR="00286F7D" w:rsidRPr="00286F7D" w:rsidRDefault="00286F7D" w:rsidP="00286F7D">
            <w:pPr>
              <w:pStyle w:val="Texttabulky"/>
              <w:spacing w:after="0"/>
              <w:jc w:val="right"/>
              <w:rPr>
                <w:rFonts w:cs="Arial"/>
              </w:rPr>
            </w:pPr>
            <w:r w:rsidRPr="00286F7D">
              <w:rPr>
                <w:rFonts w:cs="Arial"/>
              </w:rPr>
              <w:t>1 551</w:t>
            </w:r>
          </w:p>
        </w:tc>
        <w:tc>
          <w:tcPr>
            <w:tcW w:w="976" w:type="dxa"/>
            <w:tcBorders>
              <w:top w:val="single" w:sz="6" w:space="0" w:color="auto"/>
              <w:left w:val="single" w:sz="6" w:space="0" w:color="auto"/>
              <w:bottom w:val="single" w:sz="6" w:space="0" w:color="auto"/>
              <w:right w:val="single" w:sz="6" w:space="0" w:color="auto"/>
            </w:tcBorders>
          </w:tcPr>
          <w:p w14:paraId="5D5FB77F" w14:textId="77777777" w:rsidR="00286F7D" w:rsidRPr="00286F7D" w:rsidRDefault="00286F7D" w:rsidP="00286F7D">
            <w:pPr>
              <w:pStyle w:val="Texttabulky"/>
              <w:spacing w:after="0"/>
              <w:jc w:val="right"/>
              <w:rPr>
                <w:rFonts w:cs="Arial"/>
              </w:rPr>
            </w:pPr>
            <w:r w:rsidRPr="00286F7D">
              <w:rPr>
                <w:rFonts w:cs="Arial"/>
              </w:rPr>
              <w:t>-279</w:t>
            </w:r>
          </w:p>
        </w:tc>
      </w:tr>
      <w:tr w:rsidR="00286F7D" w:rsidRPr="00286F7D" w14:paraId="4494DDB5" w14:textId="77777777" w:rsidTr="00286F7D">
        <w:tc>
          <w:tcPr>
            <w:tcW w:w="753" w:type="dxa"/>
            <w:tcBorders>
              <w:top w:val="single" w:sz="6" w:space="0" w:color="auto"/>
              <w:left w:val="single" w:sz="6" w:space="0" w:color="auto"/>
              <w:bottom w:val="single" w:sz="6" w:space="0" w:color="auto"/>
              <w:right w:val="single" w:sz="6" w:space="0" w:color="auto"/>
            </w:tcBorders>
          </w:tcPr>
          <w:p w14:paraId="3953FC1B" w14:textId="77777777" w:rsidR="00286F7D" w:rsidRPr="00286F7D" w:rsidRDefault="00286F7D" w:rsidP="00286F7D">
            <w:pPr>
              <w:pStyle w:val="Texttabulky"/>
              <w:spacing w:after="0"/>
              <w:jc w:val="right"/>
              <w:rPr>
                <w:rFonts w:cs="Arial"/>
              </w:rPr>
            </w:pPr>
            <w:r w:rsidRPr="00286F7D">
              <w:rPr>
                <w:rFonts w:cs="Arial"/>
              </w:rPr>
              <w:t>10</w:t>
            </w:r>
          </w:p>
        </w:tc>
        <w:tc>
          <w:tcPr>
            <w:tcW w:w="2427" w:type="dxa"/>
            <w:tcBorders>
              <w:top w:val="single" w:sz="6" w:space="0" w:color="auto"/>
              <w:left w:val="single" w:sz="6" w:space="0" w:color="auto"/>
              <w:bottom w:val="single" w:sz="6" w:space="0" w:color="auto"/>
              <w:right w:val="single" w:sz="6" w:space="0" w:color="auto"/>
            </w:tcBorders>
          </w:tcPr>
          <w:p w14:paraId="65FB777D" w14:textId="77777777" w:rsidR="00286F7D" w:rsidRPr="00286F7D" w:rsidRDefault="00286F7D" w:rsidP="00286F7D">
            <w:pPr>
              <w:pStyle w:val="Texttabulky"/>
              <w:spacing w:after="0"/>
              <w:rPr>
                <w:rFonts w:cs="Arial"/>
              </w:rPr>
            </w:pPr>
            <w:r w:rsidRPr="00286F7D">
              <w:rPr>
                <w:rFonts w:cs="Arial"/>
              </w:rPr>
              <w:t>zámek</w:t>
            </w:r>
          </w:p>
        </w:tc>
        <w:tc>
          <w:tcPr>
            <w:tcW w:w="1083" w:type="dxa"/>
            <w:tcBorders>
              <w:top w:val="single" w:sz="6" w:space="0" w:color="auto"/>
              <w:left w:val="single" w:sz="6" w:space="0" w:color="auto"/>
              <w:bottom w:val="single" w:sz="6" w:space="0" w:color="auto"/>
              <w:right w:val="single" w:sz="6" w:space="0" w:color="auto"/>
            </w:tcBorders>
          </w:tcPr>
          <w:p w14:paraId="7B23F4E3" w14:textId="77777777" w:rsidR="00286F7D" w:rsidRPr="00286F7D" w:rsidRDefault="00286F7D" w:rsidP="00286F7D">
            <w:pPr>
              <w:pStyle w:val="Texttabulky"/>
              <w:spacing w:after="0"/>
              <w:jc w:val="right"/>
              <w:rPr>
                <w:rFonts w:cs="Arial"/>
              </w:rPr>
            </w:pPr>
            <w:r w:rsidRPr="00286F7D">
              <w:rPr>
                <w:rFonts w:cs="Arial"/>
              </w:rPr>
              <w:t>95</w:t>
            </w:r>
          </w:p>
        </w:tc>
        <w:tc>
          <w:tcPr>
            <w:tcW w:w="1047" w:type="dxa"/>
            <w:tcBorders>
              <w:top w:val="single" w:sz="6" w:space="0" w:color="auto"/>
              <w:left w:val="single" w:sz="6" w:space="0" w:color="auto"/>
              <w:bottom w:val="single" w:sz="6" w:space="0" w:color="auto"/>
              <w:right w:val="single" w:sz="6" w:space="0" w:color="auto"/>
            </w:tcBorders>
          </w:tcPr>
          <w:p w14:paraId="2D7699AF" w14:textId="77777777" w:rsidR="00286F7D" w:rsidRPr="00286F7D" w:rsidRDefault="00286F7D" w:rsidP="00286F7D">
            <w:pPr>
              <w:pStyle w:val="Texttabulky"/>
              <w:spacing w:after="0"/>
              <w:jc w:val="right"/>
              <w:rPr>
                <w:rFonts w:cs="Arial"/>
              </w:rPr>
            </w:pPr>
            <w:r w:rsidRPr="00286F7D">
              <w:rPr>
                <w:rFonts w:cs="Arial"/>
              </w:rPr>
              <w:t>90</w:t>
            </w:r>
          </w:p>
        </w:tc>
        <w:tc>
          <w:tcPr>
            <w:tcW w:w="750" w:type="dxa"/>
            <w:tcBorders>
              <w:top w:val="single" w:sz="6" w:space="0" w:color="auto"/>
              <w:left w:val="single" w:sz="6" w:space="0" w:color="auto"/>
              <w:bottom w:val="single" w:sz="6" w:space="0" w:color="auto"/>
              <w:right w:val="single" w:sz="6" w:space="0" w:color="auto"/>
            </w:tcBorders>
          </w:tcPr>
          <w:p w14:paraId="39F293BC"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2A1A5FE0"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50DCE047" w14:textId="77777777" w:rsidR="00286F7D" w:rsidRPr="00286F7D" w:rsidRDefault="00286F7D" w:rsidP="00286F7D">
            <w:pPr>
              <w:pStyle w:val="Texttabulky"/>
              <w:spacing w:after="0"/>
              <w:jc w:val="right"/>
              <w:rPr>
                <w:rFonts w:cs="Arial"/>
              </w:rPr>
            </w:pPr>
            <w:r w:rsidRPr="00286F7D">
              <w:rPr>
                <w:rFonts w:cs="Arial"/>
              </w:rPr>
              <w:t>-90</w:t>
            </w:r>
          </w:p>
        </w:tc>
      </w:tr>
      <w:tr w:rsidR="00286F7D" w:rsidRPr="00286F7D" w14:paraId="6E59BD1A" w14:textId="77777777" w:rsidTr="00286F7D">
        <w:tc>
          <w:tcPr>
            <w:tcW w:w="753" w:type="dxa"/>
            <w:tcBorders>
              <w:top w:val="single" w:sz="6" w:space="0" w:color="auto"/>
              <w:left w:val="single" w:sz="6" w:space="0" w:color="auto"/>
              <w:bottom w:val="single" w:sz="6" w:space="0" w:color="auto"/>
              <w:right w:val="single" w:sz="6" w:space="0" w:color="auto"/>
            </w:tcBorders>
          </w:tcPr>
          <w:p w14:paraId="1E0A4165" w14:textId="77777777" w:rsidR="00286F7D" w:rsidRPr="00286F7D" w:rsidRDefault="00286F7D" w:rsidP="00286F7D">
            <w:pPr>
              <w:pStyle w:val="Texttabulky"/>
              <w:spacing w:after="0"/>
              <w:jc w:val="right"/>
              <w:rPr>
                <w:rFonts w:cs="Arial"/>
              </w:rPr>
            </w:pPr>
            <w:r w:rsidRPr="00286F7D">
              <w:rPr>
                <w:rFonts w:cs="Arial"/>
              </w:rPr>
              <w:t>11</w:t>
            </w:r>
          </w:p>
        </w:tc>
        <w:tc>
          <w:tcPr>
            <w:tcW w:w="2427" w:type="dxa"/>
            <w:tcBorders>
              <w:top w:val="single" w:sz="6" w:space="0" w:color="auto"/>
              <w:left w:val="single" w:sz="6" w:space="0" w:color="auto"/>
              <w:bottom w:val="single" w:sz="6" w:space="0" w:color="auto"/>
              <w:right w:val="single" w:sz="6" w:space="0" w:color="auto"/>
            </w:tcBorders>
          </w:tcPr>
          <w:p w14:paraId="0A7B94F7" w14:textId="77777777" w:rsidR="00286F7D" w:rsidRPr="00286F7D" w:rsidRDefault="00286F7D" w:rsidP="00286F7D">
            <w:pPr>
              <w:pStyle w:val="Texttabulky"/>
              <w:spacing w:after="0"/>
              <w:rPr>
                <w:rFonts w:cs="Arial"/>
              </w:rPr>
            </w:pPr>
            <w:r w:rsidRPr="00286F7D">
              <w:rPr>
                <w:rFonts w:cs="Arial"/>
              </w:rPr>
              <w:t>U koupaliště</w:t>
            </w:r>
          </w:p>
        </w:tc>
        <w:tc>
          <w:tcPr>
            <w:tcW w:w="1083" w:type="dxa"/>
            <w:tcBorders>
              <w:top w:val="single" w:sz="6" w:space="0" w:color="auto"/>
              <w:left w:val="single" w:sz="6" w:space="0" w:color="auto"/>
              <w:bottom w:val="single" w:sz="6" w:space="0" w:color="auto"/>
              <w:right w:val="single" w:sz="6" w:space="0" w:color="auto"/>
            </w:tcBorders>
          </w:tcPr>
          <w:p w14:paraId="420E6FF8"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3EEA4553"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3C725EE3"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0AAF0D39"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789B069D"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63C538B6" w14:textId="77777777" w:rsidTr="00286F7D">
        <w:tc>
          <w:tcPr>
            <w:tcW w:w="753" w:type="dxa"/>
            <w:tcBorders>
              <w:top w:val="single" w:sz="6" w:space="0" w:color="auto"/>
              <w:left w:val="single" w:sz="6" w:space="0" w:color="auto"/>
              <w:bottom w:val="single" w:sz="6" w:space="0" w:color="auto"/>
              <w:right w:val="single" w:sz="6" w:space="0" w:color="auto"/>
            </w:tcBorders>
          </w:tcPr>
          <w:p w14:paraId="03B88942" w14:textId="77777777" w:rsidR="00286F7D" w:rsidRPr="00286F7D" w:rsidRDefault="00286F7D" w:rsidP="00286F7D">
            <w:pPr>
              <w:pStyle w:val="Texttabulky"/>
              <w:spacing w:after="0"/>
              <w:rPr>
                <w:rFonts w:cs="Arial"/>
              </w:rPr>
            </w:pPr>
            <w:r w:rsidRPr="00286F7D">
              <w:rPr>
                <w:rFonts w:cs="Arial"/>
                <w:b/>
                <w:bCs/>
              </w:rPr>
              <w:t xml:space="preserve">  I A</w:t>
            </w:r>
          </w:p>
        </w:tc>
        <w:tc>
          <w:tcPr>
            <w:tcW w:w="2427" w:type="dxa"/>
            <w:tcBorders>
              <w:top w:val="single" w:sz="6" w:space="0" w:color="auto"/>
              <w:left w:val="single" w:sz="6" w:space="0" w:color="auto"/>
              <w:bottom w:val="single" w:sz="6" w:space="0" w:color="auto"/>
              <w:right w:val="single" w:sz="6" w:space="0" w:color="auto"/>
            </w:tcBorders>
          </w:tcPr>
          <w:p w14:paraId="5976515D" w14:textId="77777777" w:rsidR="00286F7D" w:rsidRPr="00286F7D" w:rsidRDefault="00286F7D" w:rsidP="00286F7D">
            <w:pPr>
              <w:pStyle w:val="Texttabulky"/>
              <w:spacing w:after="0"/>
              <w:rPr>
                <w:rFonts w:cs="Arial"/>
              </w:rPr>
            </w:pPr>
            <w:r w:rsidRPr="00286F7D">
              <w:rPr>
                <w:rFonts w:cs="Arial"/>
                <w:b/>
                <w:bCs/>
                <w:caps/>
              </w:rPr>
              <w:t>sektor  celkem</w:t>
            </w:r>
          </w:p>
        </w:tc>
        <w:tc>
          <w:tcPr>
            <w:tcW w:w="1083" w:type="dxa"/>
            <w:tcBorders>
              <w:top w:val="single" w:sz="6" w:space="0" w:color="auto"/>
              <w:left w:val="single" w:sz="6" w:space="0" w:color="auto"/>
              <w:bottom w:val="single" w:sz="6" w:space="0" w:color="auto"/>
              <w:right w:val="single" w:sz="6" w:space="0" w:color="auto"/>
            </w:tcBorders>
          </w:tcPr>
          <w:p w14:paraId="2B1C32F4" w14:textId="77777777" w:rsidR="00286F7D" w:rsidRPr="00286F7D" w:rsidRDefault="00286F7D" w:rsidP="00286F7D">
            <w:pPr>
              <w:pStyle w:val="Texttabulky"/>
              <w:spacing w:after="0"/>
              <w:rPr>
                <w:rFonts w:cs="Arial"/>
              </w:rPr>
            </w:pPr>
            <w:r w:rsidRPr="00286F7D">
              <w:rPr>
                <w:rFonts w:cs="Arial"/>
                <w:b/>
                <w:bCs/>
              </w:rPr>
              <w:t xml:space="preserve">        2 044</w:t>
            </w:r>
          </w:p>
        </w:tc>
        <w:tc>
          <w:tcPr>
            <w:tcW w:w="1047" w:type="dxa"/>
            <w:tcBorders>
              <w:top w:val="single" w:sz="6" w:space="0" w:color="auto"/>
              <w:left w:val="single" w:sz="6" w:space="0" w:color="auto"/>
              <w:bottom w:val="single" w:sz="6" w:space="0" w:color="auto"/>
              <w:right w:val="single" w:sz="6" w:space="0" w:color="auto"/>
            </w:tcBorders>
          </w:tcPr>
          <w:p w14:paraId="73DB9022" w14:textId="77777777" w:rsidR="00286F7D" w:rsidRPr="00286F7D" w:rsidRDefault="00286F7D" w:rsidP="00286F7D">
            <w:pPr>
              <w:pStyle w:val="Texttabulky"/>
              <w:spacing w:after="0"/>
              <w:rPr>
                <w:rFonts w:cs="Arial"/>
              </w:rPr>
            </w:pPr>
            <w:r w:rsidRPr="00286F7D">
              <w:rPr>
                <w:rFonts w:cs="Arial"/>
                <w:b/>
                <w:bCs/>
              </w:rPr>
              <w:t xml:space="preserve">        1 920</w:t>
            </w:r>
          </w:p>
        </w:tc>
        <w:tc>
          <w:tcPr>
            <w:tcW w:w="750" w:type="dxa"/>
            <w:tcBorders>
              <w:top w:val="single" w:sz="6" w:space="0" w:color="auto"/>
              <w:left w:val="single" w:sz="6" w:space="0" w:color="auto"/>
              <w:bottom w:val="single" w:sz="6" w:space="0" w:color="auto"/>
              <w:right w:val="single" w:sz="6" w:space="0" w:color="auto"/>
            </w:tcBorders>
          </w:tcPr>
          <w:p w14:paraId="49354BDB" w14:textId="77777777" w:rsidR="00286F7D" w:rsidRPr="00286F7D" w:rsidRDefault="00286F7D" w:rsidP="00286F7D">
            <w:pPr>
              <w:pStyle w:val="Texttabulky"/>
              <w:spacing w:after="0"/>
              <w:jc w:val="right"/>
              <w:rPr>
                <w:rFonts w:cs="Arial"/>
              </w:rPr>
            </w:pPr>
            <w:r w:rsidRPr="00286F7D">
              <w:rPr>
                <w:rFonts w:cs="Arial"/>
                <w:b/>
                <w:bCs/>
              </w:rPr>
              <w:t>3</w:t>
            </w:r>
          </w:p>
        </w:tc>
        <w:tc>
          <w:tcPr>
            <w:tcW w:w="963" w:type="dxa"/>
            <w:tcBorders>
              <w:top w:val="single" w:sz="6" w:space="0" w:color="auto"/>
              <w:left w:val="single" w:sz="6" w:space="0" w:color="auto"/>
              <w:bottom w:val="single" w:sz="6" w:space="0" w:color="auto"/>
              <w:right w:val="single" w:sz="6" w:space="0" w:color="auto"/>
            </w:tcBorders>
          </w:tcPr>
          <w:p w14:paraId="1CABF2CB" w14:textId="77777777" w:rsidR="00286F7D" w:rsidRPr="00286F7D" w:rsidRDefault="00286F7D" w:rsidP="00286F7D">
            <w:pPr>
              <w:pStyle w:val="Texttabulky"/>
              <w:spacing w:after="0"/>
              <w:rPr>
                <w:rFonts w:cs="Arial"/>
              </w:rPr>
            </w:pPr>
            <w:r w:rsidRPr="00286F7D">
              <w:rPr>
                <w:rFonts w:cs="Arial"/>
                <w:b/>
                <w:bCs/>
              </w:rPr>
              <w:t xml:space="preserve">      1 551</w:t>
            </w:r>
          </w:p>
        </w:tc>
        <w:tc>
          <w:tcPr>
            <w:tcW w:w="976" w:type="dxa"/>
            <w:tcBorders>
              <w:top w:val="single" w:sz="6" w:space="0" w:color="auto"/>
              <w:left w:val="single" w:sz="6" w:space="0" w:color="auto"/>
              <w:bottom w:val="single" w:sz="6" w:space="0" w:color="auto"/>
              <w:right w:val="single" w:sz="6" w:space="0" w:color="auto"/>
            </w:tcBorders>
          </w:tcPr>
          <w:p w14:paraId="0B8E0E3F" w14:textId="77777777" w:rsidR="00286F7D" w:rsidRPr="00286F7D" w:rsidRDefault="00286F7D" w:rsidP="00286F7D">
            <w:pPr>
              <w:pStyle w:val="Texttabulky"/>
              <w:spacing w:after="0"/>
              <w:jc w:val="right"/>
              <w:rPr>
                <w:rFonts w:cs="Arial"/>
              </w:rPr>
            </w:pPr>
            <w:r w:rsidRPr="00286F7D">
              <w:rPr>
                <w:rFonts w:cs="Arial"/>
                <w:b/>
                <w:bCs/>
              </w:rPr>
              <w:t>- 369</w:t>
            </w:r>
          </w:p>
        </w:tc>
      </w:tr>
      <w:tr w:rsidR="00286F7D" w:rsidRPr="00286F7D" w14:paraId="0BAC315D" w14:textId="77777777" w:rsidTr="00286F7D">
        <w:tc>
          <w:tcPr>
            <w:tcW w:w="753" w:type="dxa"/>
            <w:tcBorders>
              <w:top w:val="single" w:sz="6" w:space="0" w:color="auto"/>
              <w:left w:val="single" w:sz="6" w:space="0" w:color="auto"/>
              <w:bottom w:val="single" w:sz="6" w:space="0" w:color="auto"/>
              <w:right w:val="single" w:sz="6" w:space="0" w:color="auto"/>
            </w:tcBorders>
          </w:tcPr>
          <w:p w14:paraId="201D964E" w14:textId="77777777" w:rsidR="00286F7D" w:rsidRPr="00286F7D" w:rsidRDefault="00286F7D" w:rsidP="00286F7D">
            <w:pPr>
              <w:pStyle w:val="Texttabulky"/>
              <w:spacing w:after="0"/>
              <w:jc w:val="right"/>
              <w:rPr>
                <w:rFonts w:cs="Arial"/>
              </w:rPr>
            </w:pPr>
            <w:r w:rsidRPr="00286F7D">
              <w:rPr>
                <w:rFonts w:cs="Arial"/>
              </w:rPr>
              <w:t>23</w:t>
            </w:r>
          </w:p>
        </w:tc>
        <w:tc>
          <w:tcPr>
            <w:tcW w:w="2427" w:type="dxa"/>
            <w:tcBorders>
              <w:top w:val="single" w:sz="6" w:space="0" w:color="auto"/>
              <w:left w:val="single" w:sz="6" w:space="0" w:color="auto"/>
              <w:bottom w:val="single" w:sz="6" w:space="0" w:color="auto"/>
              <w:right w:val="single" w:sz="6" w:space="0" w:color="auto"/>
            </w:tcBorders>
          </w:tcPr>
          <w:p w14:paraId="2A1BEF4D" w14:textId="77777777" w:rsidR="00286F7D" w:rsidRPr="00286F7D" w:rsidRDefault="00286F7D" w:rsidP="00286F7D">
            <w:pPr>
              <w:pStyle w:val="Texttabulky"/>
              <w:spacing w:after="0"/>
              <w:rPr>
                <w:rFonts w:cs="Arial"/>
              </w:rPr>
            </w:pPr>
            <w:r w:rsidRPr="00286F7D">
              <w:rPr>
                <w:rFonts w:cs="Arial"/>
              </w:rPr>
              <w:t>Podmokly</w:t>
            </w:r>
          </w:p>
        </w:tc>
        <w:tc>
          <w:tcPr>
            <w:tcW w:w="1083" w:type="dxa"/>
            <w:tcBorders>
              <w:top w:val="single" w:sz="6" w:space="0" w:color="auto"/>
              <w:left w:val="single" w:sz="6" w:space="0" w:color="auto"/>
              <w:bottom w:val="single" w:sz="6" w:space="0" w:color="auto"/>
              <w:right w:val="single" w:sz="6" w:space="0" w:color="auto"/>
            </w:tcBorders>
          </w:tcPr>
          <w:p w14:paraId="0CB822F6" w14:textId="77777777" w:rsidR="00286F7D" w:rsidRPr="00286F7D" w:rsidRDefault="00286F7D" w:rsidP="00286F7D">
            <w:pPr>
              <w:pStyle w:val="Texttabulky"/>
              <w:spacing w:after="0"/>
              <w:rPr>
                <w:rFonts w:cs="Arial"/>
              </w:rPr>
            </w:pPr>
            <w:r w:rsidRPr="00286F7D">
              <w:rPr>
                <w:rFonts w:cs="Arial"/>
              </w:rPr>
              <w:t xml:space="preserve">        2 107</w:t>
            </w:r>
          </w:p>
        </w:tc>
        <w:tc>
          <w:tcPr>
            <w:tcW w:w="1047" w:type="dxa"/>
            <w:tcBorders>
              <w:top w:val="single" w:sz="6" w:space="0" w:color="auto"/>
              <w:left w:val="single" w:sz="6" w:space="0" w:color="auto"/>
              <w:bottom w:val="single" w:sz="6" w:space="0" w:color="auto"/>
              <w:right w:val="single" w:sz="6" w:space="0" w:color="auto"/>
            </w:tcBorders>
          </w:tcPr>
          <w:p w14:paraId="0F21DD82" w14:textId="77777777" w:rsidR="00286F7D" w:rsidRPr="00286F7D" w:rsidRDefault="00286F7D" w:rsidP="00286F7D">
            <w:pPr>
              <w:pStyle w:val="Texttabulky"/>
              <w:spacing w:after="0"/>
              <w:rPr>
                <w:rFonts w:cs="Arial"/>
              </w:rPr>
            </w:pPr>
            <w:r w:rsidRPr="00286F7D">
              <w:rPr>
                <w:rFonts w:cs="Arial"/>
              </w:rPr>
              <w:t xml:space="preserve">        2 060</w:t>
            </w:r>
          </w:p>
        </w:tc>
        <w:tc>
          <w:tcPr>
            <w:tcW w:w="750" w:type="dxa"/>
            <w:tcBorders>
              <w:top w:val="single" w:sz="6" w:space="0" w:color="auto"/>
              <w:left w:val="single" w:sz="6" w:space="0" w:color="auto"/>
              <w:bottom w:val="single" w:sz="6" w:space="0" w:color="auto"/>
              <w:right w:val="single" w:sz="6" w:space="0" w:color="auto"/>
            </w:tcBorders>
          </w:tcPr>
          <w:p w14:paraId="213B892A" w14:textId="77777777" w:rsidR="00286F7D" w:rsidRPr="00286F7D" w:rsidRDefault="00286F7D" w:rsidP="00286F7D">
            <w:pPr>
              <w:pStyle w:val="Texttabulky"/>
              <w:spacing w:after="0"/>
              <w:jc w:val="right"/>
              <w:rPr>
                <w:rFonts w:cs="Arial"/>
              </w:rPr>
            </w:pPr>
            <w:r w:rsidRPr="00286F7D">
              <w:rPr>
                <w:rFonts w:cs="Arial"/>
              </w:rPr>
              <w:t>7</w:t>
            </w:r>
          </w:p>
        </w:tc>
        <w:tc>
          <w:tcPr>
            <w:tcW w:w="963" w:type="dxa"/>
            <w:tcBorders>
              <w:top w:val="single" w:sz="6" w:space="0" w:color="auto"/>
              <w:left w:val="single" w:sz="6" w:space="0" w:color="auto"/>
              <w:bottom w:val="single" w:sz="6" w:space="0" w:color="auto"/>
              <w:right w:val="single" w:sz="6" w:space="0" w:color="auto"/>
            </w:tcBorders>
          </w:tcPr>
          <w:p w14:paraId="0409C7EF" w14:textId="77777777" w:rsidR="00286F7D" w:rsidRPr="00286F7D" w:rsidRDefault="00286F7D" w:rsidP="00286F7D">
            <w:pPr>
              <w:pStyle w:val="Texttabulky"/>
              <w:spacing w:after="0"/>
              <w:rPr>
                <w:rFonts w:cs="Arial"/>
              </w:rPr>
            </w:pPr>
            <w:r w:rsidRPr="00286F7D">
              <w:rPr>
                <w:rFonts w:cs="Arial"/>
              </w:rPr>
              <w:t xml:space="preserve">      1 903</w:t>
            </w:r>
          </w:p>
        </w:tc>
        <w:tc>
          <w:tcPr>
            <w:tcW w:w="976" w:type="dxa"/>
            <w:tcBorders>
              <w:top w:val="single" w:sz="6" w:space="0" w:color="auto"/>
              <w:left w:val="single" w:sz="6" w:space="0" w:color="auto"/>
              <w:bottom w:val="single" w:sz="6" w:space="0" w:color="auto"/>
              <w:right w:val="single" w:sz="6" w:space="0" w:color="auto"/>
            </w:tcBorders>
          </w:tcPr>
          <w:p w14:paraId="0647CDBB" w14:textId="77777777" w:rsidR="00286F7D" w:rsidRPr="00286F7D" w:rsidRDefault="00286F7D" w:rsidP="00286F7D">
            <w:pPr>
              <w:pStyle w:val="Texttabulky"/>
              <w:spacing w:after="0"/>
              <w:jc w:val="right"/>
              <w:rPr>
                <w:rFonts w:cs="Arial"/>
              </w:rPr>
            </w:pPr>
            <w:r w:rsidRPr="00286F7D">
              <w:rPr>
                <w:rFonts w:cs="Arial"/>
              </w:rPr>
              <w:t>-157</w:t>
            </w:r>
          </w:p>
        </w:tc>
      </w:tr>
      <w:tr w:rsidR="00286F7D" w:rsidRPr="00286F7D" w14:paraId="784B7F49" w14:textId="77777777" w:rsidTr="00286F7D">
        <w:tc>
          <w:tcPr>
            <w:tcW w:w="753" w:type="dxa"/>
            <w:tcBorders>
              <w:top w:val="single" w:sz="6" w:space="0" w:color="auto"/>
              <w:left w:val="single" w:sz="6" w:space="0" w:color="auto"/>
              <w:bottom w:val="single" w:sz="6" w:space="0" w:color="auto"/>
              <w:right w:val="single" w:sz="6" w:space="0" w:color="auto"/>
            </w:tcBorders>
          </w:tcPr>
          <w:p w14:paraId="67EE79A0" w14:textId="77777777" w:rsidR="00286F7D" w:rsidRPr="00286F7D" w:rsidRDefault="00286F7D" w:rsidP="00286F7D">
            <w:pPr>
              <w:pStyle w:val="Texttabulky"/>
              <w:spacing w:after="0"/>
              <w:jc w:val="right"/>
              <w:rPr>
                <w:rFonts w:cs="Arial"/>
              </w:rPr>
            </w:pPr>
            <w:r w:rsidRPr="00286F7D">
              <w:rPr>
                <w:rFonts w:cs="Arial"/>
              </w:rPr>
              <w:t>24</w:t>
            </w:r>
          </w:p>
        </w:tc>
        <w:tc>
          <w:tcPr>
            <w:tcW w:w="2427" w:type="dxa"/>
            <w:tcBorders>
              <w:top w:val="single" w:sz="6" w:space="0" w:color="auto"/>
              <w:left w:val="single" w:sz="6" w:space="0" w:color="auto"/>
              <w:bottom w:val="single" w:sz="6" w:space="0" w:color="auto"/>
              <w:right w:val="single" w:sz="6" w:space="0" w:color="auto"/>
            </w:tcBorders>
          </w:tcPr>
          <w:p w14:paraId="42BCDBD9" w14:textId="77777777" w:rsidR="00286F7D" w:rsidRPr="00286F7D" w:rsidRDefault="00286F7D" w:rsidP="00286F7D">
            <w:pPr>
              <w:pStyle w:val="Texttabulky"/>
              <w:spacing w:after="0"/>
              <w:rPr>
                <w:rFonts w:cs="Arial"/>
              </w:rPr>
            </w:pPr>
            <w:r w:rsidRPr="00286F7D">
              <w:rPr>
                <w:rFonts w:cs="Arial"/>
              </w:rPr>
              <w:t>U stadionu</w:t>
            </w:r>
          </w:p>
        </w:tc>
        <w:tc>
          <w:tcPr>
            <w:tcW w:w="1083" w:type="dxa"/>
            <w:tcBorders>
              <w:top w:val="single" w:sz="6" w:space="0" w:color="auto"/>
              <w:left w:val="single" w:sz="6" w:space="0" w:color="auto"/>
              <w:bottom w:val="single" w:sz="6" w:space="0" w:color="auto"/>
              <w:right w:val="single" w:sz="6" w:space="0" w:color="auto"/>
            </w:tcBorders>
          </w:tcPr>
          <w:p w14:paraId="624ADCCF"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D05EE41"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17921386"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5A03C256"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5D434218"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5E34C6FC" w14:textId="77777777" w:rsidTr="00286F7D">
        <w:tc>
          <w:tcPr>
            <w:tcW w:w="753" w:type="dxa"/>
            <w:tcBorders>
              <w:top w:val="single" w:sz="6" w:space="0" w:color="auto"/>
              <w:left w:val="single" w:sz="6" w:space="0" w:color="auto"/>
              <w:bottom w:val="single" w:sz="6" w:space="0" w:color="auto"/>
              <w:right w:val="single" w:sz="6" w:space="0" w:color="auto"/>
            </w:tcBorders>
          </w:tcPr>
          <w:p w14:paraId="035F1B4B" w14:textId="77777777" w:rsidR="00286F7D" w:rsidRPr="00286F7D" w:rsidRDefault="00286F7D" w:rsidP="00286F7D">
            <w:pPr>
              <w:pStyle w:val="Texttabulky"/>
              <w:spacing w:after="0"/>
              <w:jc w:val="right"/>
              <w:rPr>
                <w:rFonts w:cs="Arial"/>
              </w:rPr>
            </w:pPr>
            <w:r w:rsidRPr="00286F7D">
              <w:rPr>
                <w:rFonts w:cs="Arial"/>
              </w:rPr>
              <w:t>25</w:t>
            </w:r>
          </w:p>
        </w:tc>
        <w:tc>
          <w:tcPr>
            <w:tcW w:w="2427" w:type="dxa"/>
            <w:tcBorders>
              <w:top w:val="single" w:sz="6" w:space="0" w:color="auto"/>
              <w:left w:val="single" w:sz="6" w:space="0" w:color="auto"/>
              <w:bottom w:val="single" w:sz="6" w:space="0" w:color="auto"/>
              <w:right w:val="single" w:sz="6" w:space="0" w:color="auto"/>
            </w:tcBorders>
          </w:tcPr>
          <w:p w14:paraId="72A6C4D0" w14:textId="77777777" w:rsidR="00286F7D" w:rsidRPr="00286F7D" w:rsidRDefault="00286F7D" w:rsidP="00286F7D">
            <w:pPr>
              <w:pStyle w:val="Texttabulky"/>
              <w:spacing w:after="0"/>
              <w:rPr>
                <w:rFonts w:cs="Arial"/>
              </w:rPr>
            </w:pPr>
            <w:r w:rsidRPr="00286F7D">
              <w:rPr>
                <w:rFonts w:cs="Arial"/>
              </w:rPr>
              <w:t>Červený vrch</w:t>
            </w:r>
          </w:p>
        </w:tc>
        <w:tc>
          <w:tcPr>
            <w:tcW w:w="1083" w:type="dxa"/>
            <w:tcBorders>
              <w:top w:val="single" w:sz="6" w:space="0" w:color="auto"/>
              <w:left w:val="single" w:sz="6" w:space="0" w:color="auto"/>
              <w:bottom w:val="single" w:sz="6" w:space="0" w:color="auto"/>
              <w:right w:val="single" w:sz="6" w:space="0" w:color="auto"/>
            </w:tcBorders>
          </w:tcPr>
          <w:p w14:paraId="02D96517"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907CAD7"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6AFD8FBE"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1C80639D"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047A2D9E"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7EB03645" w14:textId="77777777" w:rsidTr="00286F7D">
        <w:tc>
          <w:tcPr>
            <w:tcW w:w="753" w:type="dxa"/>
            <w:tcBorders>
              <w:top w:val="single" w:sz="6" w:space="0" w:color="auto"/>
              <w:left w:val="single" w:sz="6" w:space="0" w:color="auto"/>
              <w:bottom w:val="single" w:sz="6" w:space="0" w:color="auto"/>
              <w:right w:val="single" w:sz="6" w:space="0" w:color="auto"/>
            </w:tcBorders>
          </w:tcPr>
          <w:p w14:paraId="29C2A16B" w14:textId="77777777" w:rsidR="00286F7D" w:rsidRPr="00286F7D" w:rsidRDefault="00286F7D" w:rsidP="00286F7D">
            <w:pPr>
              <w:pStyle w:val="Texttabulky"/>
              <w:spacing w:after="0"/>
              <w:jc w:val="right"/>
              <w:rPr>
                <w:rFonts w:cs="Arial"/>
              </w:rPr>
            </w:pPr>
            <w:r w:rsidRPr="00286F7D">
              <w:rPr>
                <w:rFonts w:cs="Arial"/>
              </w:rPr>
              <w:t>26</w:t>
            </w:r>
          </w:p>
        </w:tc>
        <w:tc>
          <w:tcPr>
            <w:tcW w:w="2427" w:type="dxa"/>
            <w:tcBorders>
              <w:top w:val="single" w:sz="6" w:space="0" w:color="auto"/>
              <w:left w:val="single" w:sz="6" w:space="0" w:color="auto"/>
              <w:bottom w:val="single" w:sz="6" w:space="0" w:color="auto"/>
              <w:right w:val="single" w:sz="6" w:space="0" w:color="auto"/>
            </w:tcBorders>
          </w:tcPr>
          <w:p w14:paraId="2AB7409E" w14:textId="77777777" w:rsidR="00286F7D" w:rsidRPr="00286F7D" w:rsidRDefault="00286F7D" w:rsidP="00286F7D">
            <w:pPr>
              <w:pStyle w:val="Texttabulky"/>
              <w:spacing w:after="0"/>
              <w:rPr>
                <w:rFonts w:cs="Arial"/>
              </w:rPr>
            </w:pPr>
            <w:r w:rsidRPr="00286F7D">
              <w:rPr>
                <w:rFonts w:cs="Arial"/>
              </w:rPr>
              <w:t>Pastýřská stěna</w:t>
            </w:r>
          </w:p>
        </w:tc>
        <w:tc>
          <w:tcPr>
            <w:tcW w:w="1083" w:type="dxa"/>
            <w:tcBorders>
              <w:top w:val="single" w:sz="6" w:space="0" w:color="auto"/>
              <w:left w:val="single" w:sz="6" w:space="0" w:color="auto"/>
              <w:bottom w:val="single" w:sz="6" w:space="0" w:color="auto"/>
              <w:right w:val="single" w:sz="6" w:space="0" w:color="auto"/>
            </w:tcBorders>
          </w:tcPr>
          <w:p w14:paraId="5336B075"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741C6825"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00D44603"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6A8E8A39"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7959A231"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17449E3" w14:textId="77777777" w:rsidTr="00286F7D">
        <w:tc>
          <w:tcPr>
            <w:tcW w:w="753" w:type="dxa"/>
            <w:tcBorders>
              <w:top w:val="single" w:sz="6" w:space="0" w:color="auto"/>
              <w:left w:val="single" w:sz="6" w:space="0" w:color="auto"/>
              <w:bottom w:val="single" w:sz="6" w:space="0" w:color="auto"/>
              <w:right w:val="single" w:sz="6" w:space="0" w:color="auto"/>
            </w:tcBorders>
          </w:tcPr>
          <w:p w14:paraId="491EFAAA" w14:textId="77777777" w:rsidR="00286F7D" w:rsidRPr="00286F7D" w:rsidRDefault="00286F7D" w:rsidP="00286F7D">
            <w:pPr>
              <w:pStyle w:val="Texttabulky"/>
              <w:spacing w:after="0"/>
              <w:rPr>
                <w:rFonts w:cs="Arial"/>
              </w:rPr>
            </w:pPr>
            <w:r w:rsidRPr="00286F7D">
              <w:rPr>
                <w:rFonts w:cs="Arial"/>
              </w:rPr>
              <w:t xml:space="preserve"> </w:t>
            </w:r>
            <w:r w:rsidRPr="00286F7D">
              <w:rPr>
                <w:rFonts w:cs="Arial"/>
                <w:b/>
                <w:bCs/>
              </w:rPr>
              <w:t>I B</w:t>
            </w:r>
          </w:p>
        </w:tc>
        <w:tc>
          <w:tcPr>
            <w:tcW w:w="2427" w:type="dxa"/>
            <w:tcBorders>
              <w:top w:val="single" w:sz="6" w:space="0" w:color="auto"/>
              <w:left w:val="single" w:sz="6" w:space="0" w:color="auto"/>
              <w:bottom w:val="single" w:sz="6" w:space="0" w:color="auto"/>
              <w:right w:val="single" w:sz="6" w:space="0" w:color="auto"/>
            </w:tcBorders>
          </w:tcPr>
          <w:p w14:paraId="44832080" w14:textId="77777777" w:rsidR="00286F7D" w:rsidRPr="00286F7D" w:rsidRDefault="00286F7D" w:rsidP="00286F7D">
            <w:pPr>
              <w:pStyle w:val="Texttabulky"/>
              <w:spacing w:after="0"/>
              <w:rPr>
                <w:rFonts w:cs="Arial"/>
              </w:rPr>
            </w:pPr>
            <w:r w:rsidRPr="00286F7D">
              <w:rPr>
                <w:rFonts w:cs="Arial"/>
                <w:b/>
                <w:bCs/>
              </w:rPr>
              <w:t>sektor  celkem</w:t>
            </w:r>
          </w:p>
        </w:tc>
        <w:tc>
          <w:tcPr>
            <w:tcW w:w="1083" w:type="dxa"/>
            <w:tcBorders>
              <w:top w:val="single" w:sz="6" w:space="0" w:color="auto"/>
              <w:left w:val="single" w:sz="6" w:space="0" w:color="auto"/>
              <w:bottom w:val="single" w:sz="6" w:space="0" w:color="auto"/>
              <w:right w:val="single" w:sz="6" w:space="0" w:color="auto"/>
            </w:tcBorders>
          </w:tcPr>
          <w:p w14:paraId="7582B90C" w14:textId="77777777" w:rsidR="00286F7D" w:rsidRPr="00286F7D" w:rsidRDefault="00286F7D" w:rsidP="00286F7D">
            <w:pPr>
              <w:pStyle w:val="Texttabulky"/>
              <w:spacing w:after="0"/>
              <w:rPr>
                <w:rFonts w:cs="Arial"/>
              </w:rPr>
            </w:pPr>
            <w:r w:rsidRPr="00286F7D">
              <w:rPr>
                <w:rFonts w:cs="Arial"/>
                <w:b/>
                <w:bCs/>
              </w:rPr>
              <w:t xml:space="preserve">        2 107</w:t>
            </w:r>
          </w:p>
        </w:tc>
        <w:tc>
          <w:tcPr>
            <w:tcW w:w="1047" w:type="dxa"/>
            <w:tcBorders>
              <w:top w:val="single" w:sz="6" w:space="0" w:color="auto"/>
              <w:left w:val="single" w:sz="6" w:space="0" w:color="auto"/>
              <w:bottom w:val="single" w:sz="6" w:space="0" w:color="auto"/>
              <w:right w:val="single" w:sz="6" w:space="0" w:color="auto"/>
            </w:tcBorders>
          </w:tcPr>
          <w:p w14:paraId="3301E670" w14:textId="77777777" w:rsidR="00286F7D" w:rsidRPr="00286F7D" w:rsidRDefault="00286F7D" w:rsidP="00286F7D">
            <w:pPr>
              <w:pStyle w:val="Texttabulky"/>
              <w:spacing w:after="0"/>
              <w:rPr>
                <w:rFonts w:cs="Arial"/>
              </w:rPr>
            </w:pPr>
            <w:r w:rsidRPr="00286F7D">
              <w:rPr>
                <w:rFonts w:cs="Arial"/>
                <w:b/>
                <w:bCs/>
              </w:rPr>
              <w:t xml:space="preserve">        2 060</w:t>
            </w:r>
          </w:p>
        </w:tc>
        <w:tc>
          <w:tcPr>
            <w:tcW w:w="750" w:type="dxa"/>
            <w:tcBorders>
              <w:top w:val="single" w:sz="6" w:space="0" w:color="auto"/>
              <w:left w:val="single" w:sz="6" w:space="0" w:color="auto"/>
              <w:bottom w:val="single" w:sz="6" w:space="0" w:color="auto"/>
              <w:right w:val="single" w:sz="6" w:space="0" w:color="auto"/>
            </w:tcBorders>
          </w:tcPr>
          <w:p w14:paraId="6AF231DF" w14:textId="77777777" w:rsidR="00286F7D" w:rsidRPr="00286F7D" w:rsidRDefault="00286F7D" w:rsidP="00286F7D">
            <w:pPr>
              <w:pStyle w:val="Texttabulky"/>
              <w:spacing w:after="0"/>
              <w:jc w:val="right"/>
              <w:rPr>
                <w:rFonts w:cs="Arial"/>
              </w:rPr>
            </w:pPr>
            <w:r w:rsidRPr="00286F7D">
              <w:rPr>
                <w:rFonts w:cs="Arial"/>
                <w:b/>
                <w:bCs/>
              </w:rPr>
              <w:t>7</w:t>
            </w:r>
          </w:p>
        </w:tc>
        <w:tc>
          <w:tcPr>
            <w:tcW w:w="963" w:type="dxa"/>
            <w:tcBorders>
              <w:top w:val="single" w:sz="6" w:space="0" w:color="auto"/>
              <w:left w:val="single" w:sz="6" w:space="0" w:color="auto"/>
              <w:bottom w:val="single" w:sz="6" w:space="0" w:color="auto"/>
              <w:right w:val="single" w:sz="6" w:space="0" w:color="auto"/>
            </w:tcBorders>
          </w:tcPr>
          <w:p w14:paraId="68703A63" w14:textId="77777777" w:rsidR="00286F7D" w:rsidRPr="00286F7D" w:rsidRDefault="00286F7D" w:rsidP="00286F7D">
            <w:pPr>
              <w:pStyle w:val="Texttabulky"/>
              <w:spacing w:after="0"/>
              <w:rPr>
                <w:rFonts w:cs="Arial"/>
              </w:rPr>
            </w:pPr>
            <w:r w:rsidRPr="00286F7D">
              <w:rPr>
                <w:rFonts w:cs="Arial"/>
                <w:b/>
                <w:bCs/>
              </w:rPr>
              <w:t xml:space="preserve">      1 903</w:t>
            </w:r>
          </w:p>
        </w:tc>
        <w:tc>
          <w:tcPr>
            <w:tcW w:w="976" w:type="dxa"/>
            <w:tcBorders>
              <w:top w:val="single" w:sz="6" w:space="0" w:color="auto"/>
              <w:left w:val="single" w:sz="6" w:space="0" w:color="auto"/>
              <w:bottom w:val="single" w:sz="6" w:space="0" w:color="auto"/>
              <w:right w:val="single" w:sz="6" w:space="0" w:color="auto"/>
            </w:tcBorders>
          </w:tcPr>
          <w:p w14:paraId="347CC3E7" w14:textId="77777777" w:rsidR="00286F7D" w:rsidRPr="00286F7D" w:rsidRDefault="00286F7D" w:rsidP="00286F7D">
            <w:pPr>
              <w:pStyle w:val="Texttabulky"/>
              <w:spacing w:after="0"/>
              <w:jc w:val="right"/>
              <w:rPr>
                <w:rFonts w:cs="Arial"/>
              </w:rPr>
            </w:pPr>
            <w:r w:rsidRPr="00286F7D">
              <w:rPr>
                <w:rFonts w:cs="Arial"/>
                <w:b/>
                <w:bCs/>
              </w:rPr>
              <w:t>- 157</w:t>
            </w:r>
          </w:p>
        </w:tc>
      </w:tr>
      <w:tr w:rsidR="00286F7D" w:rsidRPr="00286F7D" w14:paraId="5A7FA392" w14:textId="77777777" w:rsidTr="00286F7D">
        <w:tc>
          <w:tcPr>
            <w:tcW w:w="753" w:type="dxa"/>
            <w:tcBorders>
              <w:top w:val="single" w:sz="6" w:space="0" w:color="auto"/>
              <w:left w:val="single" w:sz="6" w:space="0" w:color="auto"/>
              <w:bottom w:val="single" w:sz="6" w:space="0" w:color="auto"/>
              <w:right w:val="single" w:sz="6" w:space="0" w:color="auto"/>
            </w:tcBorders>
          </w:tcPr>
          <w:p w14:paraId="5543628E" w14:textId="77777777" w:rsidR="00286F7D" w:rsidRPr="00286F7D" w:rsidRDefault="00286F7D" w:rsidP="00286F7D">
            <w:pPr>
              <w:pStyle w:val="Texttabulky"/>
              <w:spacing w:after="0"/>
              <w:jc w:val="right"/>
              <w:rPr>
                <w:rFonts w:cs="Arial"/>
              </w:rPr>
            </w:pPr>
            <w:r w:rsidRPr="00286F7D">
              <w:rPr>
                <w:rFonts w:cs="Arial"/>
              </w:rPr>
              <w:t>18</w:t>
            </w:r>
          </w:p>
        </w:tc>
        <w:tc>
          <w:tcPr>
            <w:tcW w:w="2427" w:type="dxa"/>
            <w:tcBorders>
              <w:top w:val="single" w:sz="6" w:space="0" w:color="auto"/>
              <w:left w:val="single" w:sz="6" w:space="0" w:color="auto"/>
              <w:bottom w:val="single" w:sz="6" w:space="0" w:color="auto"/>
              <w:right w:val="single" w:sz="6" w:space="0" w:color="auto"/>
            </w:tcBorders>
          </w:tcPr>
          <w:p w14:paraId="1528BA4E" w14:textId="77777777" w:rsidR="00286F7D" w:rsidRPr="00286F7D" w:rsidRDefault="00286F7D" w:rsidP="00286F7D">
            <w:pPr>
              <w:pStyle w:val="Texttabulky"/>
              <w:spacing w:after="0"/>
              <w:rPr>
                <w:rFonts w:cs="Arial"/>
              </w:rPr>
            </w:pPr>
            <w:r w:rsidRPr="00286F7D">
              <w:rPr>
                <w:rFonts w:cs="Arial"/>
              </w:rPr>
              <w:t>Rozbělesy</w:t>
            </w:r>
          </w:p>
        </w:tc>
        <w:tc>
          <w:tcPr>
            <w:tcW w:w="1083" w:type="dxa"/>
            <w:tcBorders>
              <w:top w:val="single" w:sz="6" w:space="0" w:color="auto"/>
              <w:left w:val="single" w:sz="6" w:space="0" w:color="auto"/>
              <w:bottom w:val="single" w:sz="6" w:space="0" w:color="auto"/>
              <w:right w:val="single" w:sz="6" w:space="0" w:color="auto"/>
            </w:tcBorders>
          </w:tcPr>
          <w:p w14:paraId="567FF835" w14:textId="77777777" w:rsidR="00286F7D" w:rsidRPr="00286F7D" w:rsidRDefault="00286F7D" w:rsidP="00286F7D">
            <w:pPr>
              <w:pStyle w:val="Texttabulky"/>
              <w:spacing w:after="0"/>
              <w:jc w:val="right"/>
              <w:rPr>
                <w:rFonts w:cs="Arial"/>
              </w:rPr>
            </w:pPr>
            <w:r w:rsidRPr="00286F7D">
              <w:rPr>
                <w:rFonts w:cs="Arial"/>
              </w:rPr>
              <w:t>40</w:t>
            </w:r>
          </w:p>
        </w:tc>
        <w:tc>
          <w:tcPr>
            <w:tcW w:w="1047" w:type="dxa"/>
            <w:tcBorders>
              <w:top w:val="single" w:sz="6" w:space="0" w:color="auto"/>
              <w:left w:val="single" w:sz="6" w:space="0" w:color="auto"/>
              <w:bottom w:val="single" w:sz="6" w:space="0" w:color="auto"/>
              <w:right w:val="single" w:sz="6" w:space="0" w:color="auto"/>
            </w:tcBorders>
          </w:tcPr>
          <w:p w14:paraId="0661FA1A"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77C459AF" w14:textId="77777777" w:rsidR="00286F7D" w:rsidRPr="00286F7D" w:rsidRDefault="00286F7D" w:rsidP="00286F7D">
            <w:pPr>
              <w:pStyle w:val="Texttabulky"/>
              <w:spacing w:after="0"/>
              <w:jc w:val="right"/>
              <w:rPr>
                <w:rFonts w:cs="Arial"/>
              </w:rPr>
            </w:pPr>
            <w:r w:rsidRPr="00286F7D">
              <w:rPr>
                <w:rFonts w:cs="Arial"/>
              </w:rPr>
              <w:t>2</w:t>
            </w:r>
          </w:p>
        </w:tc>
        <w:tc>
          <w:tcPr>
            <w:tcW w:w="963" w:type="dxa"/>
            <w:tcBorders>
              <w:top w:val="single" w:sz="6" w:space="0" w:color="auto"/>
              <w:left w:val="single" w:sz="6" w:space="0" w:color="auto"/>
              <w:bottom w:val="single" w:sz="6" w:space="0" w:color="auto"/>
              <w:right w:val="single" w:sz="6" w:space="0" w:color="auto"/>
            </w:tcBorders>
          </w:tcPr>
          <w:p w14:paraId="42B18F27" w14:textId="77777777" w:rsidR="00286F7D" w:rsidRPr="00286F7D" w:rsidRDefault="00286F7D" w:rsidP="00286F7D">
            <w:pPr>
              <w:pStyle w:val="Texttabulky"/>
              <w:spacing w:after="0"/>
              <w:jc w:val="right"/>
              <w:rPr>
                <w:rFonts w:cs="Arial"/>
              </w:rPr>
            </w:pPr>
            <w:r w:rsidRPr="00286F7D">
              <w:rPr>
                <w:rFonts w:cs="Arial"/>
              </w:rPr>
              <w:t>213</w:t>
            </w:r>
          </w:p>
        </w:tc>
        <w:tc>
          <w:tcPr>
            <w:tcW w:w="976" w:type="dxa"/>
            <w:tcBorders>
              <w:top w:val="single" w:sz="6" w:space="0" w:color="auto"/>
              <w:left w:val="single" w:sz="6" w:space="0" w:color="auto"/>
              <w:bottom w:val="single" w:sz="6" w:space="0" w:color="auto"/>
              <w:right w:val="single" w:sz="6" w:space="0" w:color="auto"/>
            </w:tcBorders>
          </w:tcPr>
          <w:p w14:paraId="30CD9952" w14:textId="77777777" w:rsidR="00286F7D" w:rsidRPr="00286F7D" w:rsidRDefault="00286F7D" w:rsidP="00286F7D">
            <w:pPr>
              <w:pStyle w:val="Texttabulky"/>
              <w:spacing w:after="0"/>
              <w:jc w:val="right"/>
              <w:rPr>
                <w:rFonts w:cs="Arial"/>
              </w:rPr>
            </w:pPr>
            <w:r w:rsidRPr="00286F7D">
              <w:rPr>
                <w:rFonts w:cs="Arial"/>
              </w:rPr>
              <w:t>+ 213</w:t>
            </w:r>
          </w:p>
        </w:tc>
      </w:tr>
      <w:tr w:rsidR="00286F7D" w:rsidRPr="00286F7D" w14:paraId="13BF1CE6" w14:textId="77777777" w:rsidTr="00286F7D">
        <w:tc>
          <w:tcPr>
            <w:tcW w:w="753" w:type="dxa"/>
            <w:tcBorders>
              <w:top w:val="single" w:sz="6" w:space="0" w:color="auto"/>
              <w:left w:val="single" w:sz="6" w:space="0" w:color="auto"/>
              <w:bottom w:val="single" w:sz="6" w:space="0" w:color="auto"/>
              <w:right w:val="single" w:sz="6" w:space="0" w:color="auto"/>
            </w:tcBorders>
          </w:tcPr>
          <w:p w14:paraId="6DB30E80" w14:textId="77777777" w:rsidR="00286F7D" w:rsidRPr="00286F7D" w:rsidRDefault="00286F7D" w:rsidP="00286F7D">
            <w:pPr>
              <w:pStyle w:val="Texttabulky"/>
              <w:spacing w:after="0"/>
              <w:jc w:val="right"/>
              <w:rPr>
                <w:rFonts w:cs="Arial"/>
              </w:rPr>
            </w:pPr>
            <w:r w:rsidRPr="00286F7D">
              <w:rPr>
                <w:rFonts w:cs="Arial"/>
              </w:rPr>
              <w:t>19</w:t>
            </w:r>
          </w:p>
        </w:tc>
        <w:tc>
          <w:tcPr>
            <w:tcW w:w="2427" w:type="dxa"/>
            <w:tcBorders>
              <w:top w:val="single" w:sz="6" w:space="0" w:color="auto"/>
              <w:left w:val="single" w:sz="6" w:space="0" w:color="auto"/>
              <w:bottom w:val="single" w:sz="6" w:space="0" w:color="auto"/>
              <w:right w:val="single" w:sz="6" w:space="0" w:color="auto"/>
            </w:tcBorders>
          </w:tcPr>
          <w:p w14:paraId="09402503" w14:textId="77777777" w:rsidR="00286F7D" w:rsidRPr="00286F7D" w:rsidRDefault="00286F7D" w:rsidP="00286F7D">
            <w:pPr>
              <w:pStyle w:val="Texttabulky"/>
              <w:spacing w:after="0"/>
              <w:rPr>
                <w:rFonts w:cs="Arial"/>
              </w:rPr>
            </w:pPr>
            <w:r w:rsidRPr="00286F7D">
              <w:rPr>
                <w:rFonts w:cs="Arial"/>
              </w:rPr>
              <w:t>Hlavní nádraží</w:t>
            </w:r>
          </w:p>
        </w:tc>
        <w:tc>
          <w:tcPr>
            <w:tcW w:w="1083" w:type="dxa"/>
            <w:tcBorders>
              <w:top w:val="single" w:sz="6" w:space="0" w:color="auto"/>
              <w:left w:val="single" w:sz="6" w:space="0" w:color="auto"/>
              <w:bottom w:val="single" w:sz="6" w:space="0" w:color="auto"/>
              <w:right w:val="single" w:sz="6" w:space="0" w:color="auto"/>
            </w:tcBorders>
          </w:tcPr>
          <w:p w14:paraId="7CD895C4" w14:textId="77777777" w:rsidR="00286F7D" w:rsidRPr="00286F7D" w:rsidRDefault="00286F7D" w:rsidP="00286F7D">
            <w:pPr>
              <w:pStyle w:val="Texttabulky"/>
              <w:spacing w:after="0"/>
              <w:jc w:val="right"/>
              <w:rPr>
                <w:rFonts w:cs="Arial"/>
              </w:rPr>
            </w:pPr>
            <w:r w:rsidRPr="00286F7D">
              <w:rPr>
                <w:rFonts w:cs="Arial"/>
              </w:rPr>
              <w:t>269</w:t>
            </w:r>
          </w:p>
        </w:tc>
        <w:tc>
          <w:tcPr>
            <w:tcW w:w="1047" w:type="dxa"/>
            <w:tcBorders>
              <w:top w:val="single" w:sz="6" w:space="0" w:color="auto"/>
              <w:left w:val="single" w:sz="6" w:space="0" w:color="auto"/>
              <w:bottom w:val="single" w:sz="6" w:space="0" w:color="auto"/>
              <w:right w:val="single" w:sz="6" w:space="0" w:color="auto"/>
            </w:tcBorders>
          </w:tcPr>
          <w:p w14:paraId="1BF66A74" w14:textId="77777777" w:rsidR="00286F7D" w:rsidRPr="00286F7D" w:rsidRDefault="00286F7D" w:rsidP="00286F7D">
            <w:pPr>
              <w:pStyle w:val="Texttabulky"/>
              <w:spacing w:after="0"/>
              <w:jc w:val="right"/>
              <w:rPr>
                <w:rFonts w:cs="Arial"/>
              </w:rPr>
            </w:pPr>
            <w:r w:rsidRPr="00286F7D">
              <w:rPr>
                <w:rFonts w:cs="Arial"/>
              </w:rPr>
              <w:t>250</w:t>
            </w:r>
          </w:p>
        </w:tc>
        <w:tc>
          <w:tcPr>
            <w:tcW w:w="750" w:type="dxa"/>
            <w:tcBorders>
              <w:top w:val="single" w:sz="6" w:space="0" w:color="auto"/>
              <w:left w:val="single" w:sz="6" w:space="0" w:color="auto"/>
              <w:bottom w:val="single" w:sz="6" w:space="0" w:color="auto"/>
              <w:right w:val="single" w:sz="6" w:space="0" w:color="auto"/>
            </w:tcBorders>
          </w:tcPr>
          <w:p w14:paraId="575EAD7F"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6632B44E"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423C0601" w14:textId="77777777" w:rsidR="00286F7D" w:rsidRPr="00286F7D" w:rsidRDefault="00286F7D" w:rsidP="00286F7D">
            <w:pPr>
              <w:pStyle w:val="Texttabulky"/>
              <w:spacing w:after="0"/>
              <w:jc w:val="right"/>
              <w:rPr>
                <w:rFonts w:cs="Arial"/>
              </w:rPr>
            </w:pPr>
            <w:r w:rsidRPr="00286F7D">
              <w:rPr>
                <w:rFonts w:cs="Arial"/>
              </w:rPr>
              <w:t>-250</w:t>
            </w:r>
          </w:p>
        </w:tc>
      </w:tr>
      <w:tr w:rsidR="00286F7D" w:rsidRPr="00286F7D" w14:paraId="0F242F34" w14:textId="77777777" w:rsidTr="00286F7D">
        <w:tc>
          <w:tcPr>
            <w:tcW w:w="753" w:type="dxa"/>
            <w:tcBorders>
              <w:top w:val="single" w:sz="6" w:space="0" w:color="auto"/>
              <w:left w:val="single" w:sz="6" w:space="0" w:color="auto"/>
              <w:bottom w:val="single" w:sz="6" w:space="0" w:color="auto"/>
              <w:right w:val="single" w:sz="6" w:space="0" w:color="auto"/>
            </w:tcBorders>
          </w:tcPr>
          <w:p w14:paraId="25C45070" w14:textId="77777777" w:rsidR="00286F7D" w:rsidRPr="00286F7D" w:rsidRDefault="00286F7D" w:rsidP="00286F7D">
            <w:pPr>
              <w:pStyle w:val="Texttabulky"/>
              <w:spacing w:after="0"/>
              <w:jc w:val="right"/>
              <w:rPr>
                <w:rFonts w:cs="Arial"/>
              </w:rPr>
            </w:pPr>
            <w:r w:rsidRPr="00286F7D">
              <w:rPr>
                <w:rFonts w:cs="Arial"/>
              </w:rPr>
              <w:t>20</w:t>
            </w:r>
          </w:p>
        </w:tc>
        <w:tc>
          <w:tcPr>
            <w:tcW w:w="2427" w:type="dxa"/>
            <w:tcBorders>
              <w:top w:val="single" w:sz="6" w:space="0" w:color="auto"/>
              <w:left w:val="single" w:sz="6" w:space="0" w:color="auto"/>
              <w:bottom w:val="single" w:sz="6" w:space="0" w:color="auto"/>
              <w:right w:val="single" w:sz="6" w:space="0" w:color="auto"/>
            </w:tcBorders>
          </w:tcPr>
          <w:p w14:paraId="774EAAF5" w14:textId="77777777" w:rsidR="00286F7D" w:rsidRPr="00286F7D" w:rsidRDefault="00286F7D" w:rsidP="00286F7D">
            <w:pPr>
              <w:pStyle w:val="Texttabulky"/>
              <w:spacing w:after="0"/>
              <w:rPr>
                <w:rFonts w:cs="Arial"/>
              </w:rPr>
            </w:pPr>
            <w:r w:rsidRPr="00286F7D">
              <w:rPr>
                <w:rFonts w:cs="Arial"/>
              </w:rPr>
              <w:t>Želenice</w:t>
            </w:r>
          </w:p>
        </w:tc>
        <w:tc>
          <w:tcPr>
            <w:tcW w:w="1083" w:type="dxa"/>
            <w:tcBorders>
              <w:top w:val="single" w:sz="6" w:space="0" w:color="auto"/>
              <w:left w:val="single" w:sz="6" w:space="0" w:color="auto"/>
              <w:bottom w:val="single" w:sz="6" w:space="0" w:color="auto"/>
              <w:right w:val="single" w:sz="6" w:space="0" w:color="auto"/>
            </w:tcBorders>
          </w:tcPr>
          <w:p w14:paraId="200163C7" w14:textId="77777777" w:rsidR="00286F7D" w:rsidRPr="00286F7D" w:rsidRDefault="00286F7D" w:rsidP="00286F7D">
            <w:pPr>
              <w:pStyle w:val="Texttabulky"/>
              <w:spacing w:after="0"/>
              <w:jc w:val="right"/>
              <w:rPr>
                <w:rFonts w:cs="Arial"/>
              </w:rPr>
            </w:pPr>
            <w:r w:rsidRPr="00286F7D">
              <w:rPr>
                <w:rFonts w:cs="Arial"/>
              </w:rPr>
              <w:t>534</w:t>
            </w:r>
          </w:p>
        </w:tc>
        <w:tc>
          <w:tcPr>
            <w:tcW w:w="1047" w:type="dxa"/>
            <w:tcBorders>
              <w:top w:val="single" w:sz="6" w:space="0" w:color="auto"/>
              <w:left w:val="single" w:sz="6" w:space="0" w:color="auto"/>
              <w:bottom w:val="single" w:sz="6" w:space="0" w:color="auto"/>
              <w:right w:val="single" w:sz="6" w:space="0" w:color="auto"/>
            </w:tcBorders>
          </w:tcPr>
          <w:p w14:paraId="705D9CFC" w14:textId="77777777" w:rsidR="00286F7D" w:rsidRPr="00286F7D" w:rsidRDefault="00286F7D" w:rsidP="00286F7D">
            <w:pPr>
              <w:pStyle w:val="Texttabulky"/>
              <w:spacing w:after="0"/>
              <w:jc w:val="right"/>
              <w:rPr>
                <w:rFonts w:cs="Arial"/>
              </w:rPr>
            </w:pPr>
            <w:r w:rsidRPr="00286F7D">
              <w:rPr>
                <w:rFonts w:cs="Arial"/>
              </w:rPr>
              <w:t>500</w:t>
            </w:r>
          </w:p>
        </w:tc>
        <w:tc>
          <w:tcPr>
            <w:tcW w:w="750" w:type="dxa"/>
            <w:tcBorders>
              <w:top w:val="single" w:sz="6" w:space="0" w:color="auto"/>
              <w:left w:val="single" w:sz="6" w:space="0" w:color="auto"/>
              <w:bottom w:val="single" w:sz="6" w:space="0" w:color="auto"/>
              <w:right w:val="single" w:sz="6" w:space="0" w:color="auto"/>
            </w:tcBorders>
          </w:tcPr>
          <w:p w14:paraId="525C6BA1" w14:textId="77777777" w:rsidR="00286F7D" w:rsidRPr="00286F7D" w:rsidRDefault="00286F7D" w:rsidP="00286F7D">
            <w:pPr>
              <w:pStyle w:val="Texttabulky"/>
              <w:spacing w:after="0"/>
              <w:jc w:val="right"/>
              <w:rPr>
                <w:rFonts w:cs="Arial"/>
              </w:rPr>
            </w:pPr>
            <w:r w:rsidRPr="00286F7D">
              <w:rPr>
                <w:rFonts w:cs="Arial"/>
              </w:rPr>
              <w:t>5</w:t>
            </w:r>
          </w:p>
        </w:tc>
        <w:tc>
          <w:tcPr>
            <w:tcW w:w="963" w:type="dxa"/>
            <w:tcBorders>
              <w:top w:val="single" w:sz="6" w:space="0" w:color="auto"/>
              <w:left w:val="single" w:sz="6" w:space="0" w:color="auto"/>
              <w:bottom w:val="single" w:sz="6" w:space="0" w:color="auto"/>
              <w:right w:val="single" w:sz="6" w:space="0" w:color="auto"/>
            </w:tcBorders>
          </w:tcPr>
          <w:p w14:paraId="3E99D189" w14:textId="77777777" w:rsidR="00286F7D" w:rsidRPr="00286F7D" w:rsidRDefault="00286F7D" w:rsidP="00286F7D">
            <w:pPr>
              <w:pStyle w:val="Texttabulky"/>
              <w:spacing w:after="0"/>
              <w:jc w:val="right"/>
              <w:rPr>
                <w:rFonts w:cs="Arial"/>
              </w:rPr>
            </w:pPr>
            <w:r w:rsidRPr="00286F7D">
              <w:rPr>
                <w:rFonts w:cs="Arial"/>
              </w:rPr>
              <w:t>287</w:t>
            </w:r>
          </w:p>
        </w:tc>
        <w:tc>
          <w:tcPr>
            <w:tcW w:w="976" w:type="dxa"/>
            <w:tcBorders>
              <w:top w:val="single" w:sz="6" w:space="0" w:color="auto"/>
              <w:left w:val="single" w:sz="6" w:space="0" w:color="auto"/>
              <w:bottom w:val="single" w:sz="6" w:space="0" w:color="auto"/>
              <w:right w:val="single" w:sz="6" w:space="0" w:color="auto"/>
            </w:tcBorders>
          </w:tcPr>
          <w:p w14:paraId="2E084AA4" w14:textId="77777777" w:rsidR="00286F7D" w:rsidRPr="00286F7D" w:rsidRDefault="00286F7D" w:rsidP="00286F7D">
            <w:pPr>
              <w:pStyle w:val="Texttabulky"/>
              <w:spacing w:after="0"/>
              <w:jc w:val="right"/>
              <w:rPr>
                <w:rFonts w:cs="Arial"/>
              </w:rPr>
            </w:pPr>
            <w:r w:rsidRPr="00286F7D">
              <w:rPr>
                <w:rFonts w:cs="Arial"/>
              </w:rPr>
              <w:t>-213</w:t>
            </w:r>
          </w:p>
        </w:tc>
      </w:tr>
      <w:tr w:rsidR="00286F7D" w:rsidRPr="00286F7D" w14:paraId="0B0AE50B" w14:textId="77777777" w:rsidTr="00286F7D">
        <w:tc>
          <w:tcPr>
            <w:tcW w:w="753" w:type="dxa"/>
            <w:tcBorders>
              <w:top w:val="single" w:sz="6" w:space="0" w:color="auto"/>
              <w:left w:val="single" w:sz="6" w:space="0" w:color="auto"/>
              <w:bottom w:val="single" w:sz="6" w:space="0" w:color="auto"/>
              <w:right w:val="single" w:sz="6" w:space="0" w:color="auto"/>
            </w:tcBorders>
          </w:tcPr>
          <w:p w14:paraId="7A338526" w14:textId="77777777" w:rsidR="00286F7D" w:rsidRPr="00286F7D" w:rsidRDefault="00286F7D" w:rsidP="00286F7D">
            <w:pPr>
              <w:pStyle w:val="Texttabulky"/>
              <w:spacing w:after="0"/>
              <w:jc w:val="right"/>
              <w:rPr>
                <w:rFonts w:cs="Arial"/>
              </w:rPr>
            </w:pPr>
            <w:r w:rsidRPr="00286F7D">
              <w:rPr>
                <w:rFonts w:cs="Arial"/>
              </w:rPr>
              <w:t>21</w:t>
            </w:r>
          </w:p>
        </w:tc>
        <w:tc>
          <w:tcPr>
            <w:tcW w:w="2427" w:type="dxa"/>
            <w:tcBorders>
              <w:top w:val="single" w:sz="6" w:space="0" w:color="auto"/>
              <w:left w:val="single" w:sz="6" w:space="0" w:color="auto"/>
              <w:bottom w:val="single" w:sz="6" w:space="0" w:color="auto"/>
              <w:right w:val="single" w:sz="6" w:space="0" w:color="auto"/>
            </w:tcBorders>
          </w:tcPr>
          <w:p w14:paraId="258809E7" w14:textId="77777777" w:rsidR="00286F7D" w:rsidRPr="00286F7D" w:rsidRDefault="00286F7D" w:rsidP="00286F7D">
            <w:pPr>
              <w:pStyle w:val="Texttabulky"/>
              <w:spacing w:after="0"/>
              <w:rPr>
                <w:rFonts w:cs="Arial"/>
              </w:rPr>
            </w:pPr>
            <w:r w:rsidRPr="00286F7D">
              <w:rPr>
                <w:rFonts w:cs="Arial"/>
              </w:rPr>
              <w:t>Popovice</w:t>
            </w:r>
          </w:p>
        </w:tc>
        <w:tc>
          <w:tcPr>
            <w:tcW w:w="1083" w:type="dxa"/>
            <w:tcBorders>
              <w:top w:val="single" w:sz="6" w:space="0" w:color="auto"/>
              <w:left w:val="single" w:sz="6" w:space="0" w:color="auto"/>
              <w:bottom w:val="single" w:sz="6" w:space="0" w:color="auto"/>
              <w:right w:val="single" w:sz="6" w:space="0" w:color="auto"/>
            </w:tcBorders>
          </w:tcPr>
          <w:p w14:paraId="6EF0A993" w14:textId="77777777" w:rsidR="00286F7D" w:rsidRPr="00286F7D" w:rsidRDefault="00286F7D" w:rsidP="00286F7D">
            <w:pPr>
              <w:pStyle w:val="Texttabulky"/>
              <w:spacing w:after="0"/>
              <w:jc w:val="right"/>
              <w:rPr>
                <w:rFonts w:cs="Arial"/>
              </w:rPr>
            </w:pPr>
            <w:r w:rsidRPr="00286F7D">
              <w:rPr>
                <w:rFonts w:cs="Arial"/>
              </w:rPr>
              <w:t>30</w:t>
            </w:r>
          </w:p>
        </w:tc>
        <w:tc>
          <w:tcPr>
            <w:tcW w:w="1047" w:type="dxa"/>
            <w:tcBorders>
              <w:top w:val="single" w:sz="6" w:space="0" w:color="auto"/>
              <w:left w:val="single" w:sz="6" w:space="0" w:color="auto"/>
              <w:bottom w:val="single" w:sz="6" w:space="0" w:color="auto"/>
              <w:right w:val="single" w:sz="6" w:space="0" w:color="auto"/>
            </w:tcBorders>
          </w:tcPr>
          <w:p w14:paraId="21A65142" w14:textId="77777777" w:rsidR="00286F7D" w:rsidRPr="00286F7D" w:rsidRDefault="00286F7D" w:rsidP="00286F7D">
            <w:pPr>
              <w:pStyle w:val="Texttabulky"/>
              <w:spacing w:after="0"/>
              <w:jc w:val="right"/>
              <w:rPr>
                <w:rFonts w:cs="Arial"/>
              </w:rPr>
            </w:pPr>
            <w:r w:rsidRPr="00286F7D">
              <w:rPr>
                <w:rFonts w:cs="Arial"/>
              </w:rPr>
              <w:t>30</w:t>
            </w:r>
          </w:p>
        </w:tc>
        <w:tc>
          <w:tcPr>
            <w:tcW w:w="750" w:type="dxa"/>
            <w:tcBorders>
              <w:top w:val="single" w:sz="6" w:space="0" w:color="auto"/>
              <w:left w:val="single" w:sz="6" w:space="0" w:color="auto"/>
              <w:bottom w:val="single" w:sz="6" w:space="0" w:color="auto"/>
              <w:right w:val="single" w:sz="6" w:space="0" w:color="auto"/>
            </w:tcBorders>
          </w:tcPr>
          <w:p w14:paraId="04881757" w14:textId="77777777" w:rsidR="00286F7D" w:rsidRPr="00286F7D" w:rsidRDefault="00286F7D" w:rsidP="00286F7D">
            <w:pPr>
              <w:pStyle w:val="Texttabulky"/>
              <w:spacing w:after="0"/>
              <w:jc w:val="right"/>
              <w:rPr>
                <w:rFonts w:cs="Arial"/>
              </w:rPr>
            </w:pPr>
            <w:r w:rsidRPr="00286F7D">
              <w:rPr>
                <w:rFonts w:cs="Arial"/>
              </w:rPr>
              <w:t>1</w:t>
            </w:r>
          </w:p>
        </w:tc>
        <w:tc>
          <w:tcPr>
            <w:tcW w:w="963" w:type="dxa"/>
            <w:tcBorders>
              <w:top w:val="single" w:sz="6" w:space="0" w:color="auto"/>
              <w:left w:val="single" w:sz="6" w:space="0" w:color="auto"/>
              <w:bottom w:val="single" w:sz="6" w:space="0" w:color="auto"/>
              <w:right w:val="single" w:sz="6" w:space="0" w:color="auto"/>
            </w:tcBorders>
          </w:tcPr>
          <w:p w14:paraId="73F40738" w14:textId="77777777" w:rsidR="00286F7D" w:rsidRPr="00286F7D" w:rsidRDefault="00286F7D" w:rsidP="00286F7D">
            <w:pPr>
              <w:pStyle w:val="Texttabulky"/>
              <w:spacing w:after="0"/>
              <w:jc w:val="right"/>
              <w:rPr>
                <w:rFonts w:cs="Arial"/>
              </w:rPr>
            </w:pPr>
            <w:r w:rsidRPr="00286F7D">
              <w:rPr>
                <w:rFonts w:cs="Arial"/>
              </w:rPr>
              <w:t>101</w:t>
            </w:r>
          </w:p>
        </w:tc>
        <w:tc>
          <w:tcPr>
            <w:tcW w:w="976" w:type="dxa"/>
            <w:tcBorders>
              <w:top w:val="single" w:sz="6" w:space="0" w:color="auto"/>
              <w:left w:val="single" w:sz="6" w:space="0" w:color="auto"/>
              <w:bottom w:val="single" w:sz="6" w:space="0" w:color="auto"/>
              <w:right w:val="single" w:sz="6" w:space="0" w:color="auto"/>
            </w:tcBorders>
          </w:tcPr>
          <w:p w14:paraId="73C5EC65" w14:textId="77777777" w:rsidR="00286F7D" w:rsidRPr="00286F7D" w:rsidRDefault="00286F7D" w:rsidP="00286F7D">
            <w:pPr>
              <w:pStyle w:val="Texttabulky"/>
              <w:spacing w:after="0"/>
              <w:rPr>
                <w:rFonts w:cs="Arial"/>
              </w:rPr>
            </w:pPr>
            <w:r w:rsidRPr="00286F7D">
              <w:rPr>
                <w:rFonts w:cs="Arial"/>
              </w:rPr>
              <w:t xml:space="preserve">        + 71</w:t>
            </w:r>
          </w:p>
        </w:tc>
      </w:tr>
      <w:tr w:rsidR="00286F7D" w:rsidRPr="00286F7D" w14:paraId="52425CF4" w14:textId="77777777" w:rsidTr="00286F7D">
        <w:tc>
          <w:tcPr>
            <w:tcW w:w="753" w:type="dxa"/>
            <w:tcBorders>
              <w:top w:val="single" w:sz="6" w:space="0" w:color="auto"/>
              <w:left w:val="single" w:sz="6" w:space="0" w:color="auto"/>
              <w:bottom w:val="single" w:sz="6" w:space="0" w:color="auto"/>
              <w:right w:val="single" w:sz="6" w:space="0" w:color="auto"/>
            </w:tcBorders>
          </w:tcPr>
          <w:p w14:paraId="3C017E56" w14:textId="77777777" w:rsidR="00286F7D" w:rsidRPr="00286F7D" w:rsidRDefault="00286F7D" w:rsidP="00286F7D">
            <w:pPr>
              <w:pStyle w:val="Texttabulky"/>
              <w:spacing w:after="0"/>
              <w:jc w:val="right"/>
              <w:rPr>
                <w:rFonts w:cs="Arial"/>
              </w:rPr>
            </w:pPr>
            <w:r w:rsidRPr="00286F7D">
              <w:rPr>
                <w:rFonts w:cs="Arial"/>
              </w:rPr>
              <w:lastRenderedPageBreak/>
              <w:t>22</w:t>
            </w:r>
          </w:p>
        </w:tc>
        <w:tc>
          <w:tcPr>
            <w:tcW w:w="2427" w:type="dxa"/>
            <w:tcBorders>
              <w:top w:val="single" w:sz="6" w:space="0" w:color="auto"/>
              <w:left w:val="single" w:sz="6" w:space="0" w:color="auto"/>
              <w:bottom w:val="single" w:sz="6" w:space="0" w:color="auto"/>
              <w:right w:val="single" w:sz="6" w:space="0" w:color="auto"/>
            </w:tcBorders>
          </w:tcPr>
          <w:p w14:paraId="20586A95" w14:textId="77777777" w:rsidR="00286F7D" w:rsidRPr="00286F7D" w:rsidRDefault="00286F7D" w:rsidP="00286F7D">
            <w:pPr>
              <w:pStyle w:val="Texttabulky"/>
              <w:spacing w:after="0"/>
              <w:rPr>
                <w:rFonts w:cs="Arial"/>
              </w:rPr>
            </w:pPr>
            <w:r w:rsidRPr="00286F7D">
              <w:rPr>
                <w:rFonts w:cs="Arial"/>
              </w:rPr>
              <w:t>Letná</w:t>
            </w:r>
          </w:p>
        </w:tc>
        <w:tc>
          <w:tcPr>
            <w:tcW w:w="1083" w:type="dxa"/>
            <w:tcBorders>
              <w:top w:val="single" w:sz="6" w:space="0" w:color="auto"/>
              <w:left w:val="single" w:sz="6" w:space="0" w:color="auto"/>
              <w:bottom w:val="single" w:sz="6" w:space="0" w:color="auto"/>
              <w:right w:val="single" w:sz="6" w:space="0" w:color="auto"/>
            </w:tcBorders>
          </w:tcPr>
          <w:p w14:paraId="7AFD9896" w14:textId="77777777" w:rsidR="00286F7D" w:rsidRPr="00286F7D" w:rsidRDefault="00286F7D" w:rsidP="00286F7D">
            <w:pPr>
              <w:pStyle w:val="Texttabulky"/>
              <w:spacing w:after="0"/>
              <w:jc w:val="right"/>
              <w:rPr>
                <w:rFonts w:cs="Arial"/>
              </w:rPr>
            </w:pPr>
            <w:r w:rsidRPr="00286F7D">
              <w:rPr>
                <w:rFonts w:cs="Arial"/>
              </w:rPr>
              <w:t>918</w:t>
            </w:r>
          </w:p>
        </w:tc>
        <w:tc>
          <w:tcPr>
            <w:tcW w:w="1047" w:type="dxa"/>
            <w:tcBorders>
              <w:top w:val="single" w:sz="6" w:space="0" w:color="auto"/>
              <w:left w:val="single" w:sz="6" w:space="0" w:color="auto"/>
              <w:bottom w:val="single" w:sz="6" w:space="0" w:color="auto"/>
              <w:right w:val="single" w:sz="6" w:space="0" w:color="auto"/>
            </w:tcBorders>
          </w:tcPr>
          <w:p w14:paraId="6DD3B71D" w14:textId="77777777" w:rsidR="00286F7D" w:rsidRPr="00286F7D" w:rsidRDefault="00286F7D" w:rsidP="00286F7D">
            <w:pPr>
              <w:pStyle w:val="Texttabulky"/>
              <w:spacing w:after="0"/>
              <w:jc w:val="right"/>
              <w:rPr>
                <w:rFonts w:cs="Arial"/>
              </w:rPr>
            </w:pPr>
            <w:r w:rsidRPr="00286F7D">
              <w:rPr>
                <w:rFonts w:cs="Arial"/>
              </w:rPr>
              <w:t>900</w:t>
            </w:r>
          </w:p>
        </w:tc>
        <w:tc>
          <w:tcPr>
            <w:tcW w:w="750" w:type="dxa"/>
            <w:tcBorders>
              <w:top w:val="single" w:sz="6" w:space="0" w:color="auto"/>
              <w:left w:val="single" w:sz="6" w:space="0" w:color="auto"/>
              <w:bottom w:val="single" w:sz="6" w:space="0" w:color="auto"/>
              <w:right w:val="single" w:sz="6" w:space="0" w:color="auto"/>
            </w:tcBorders>
          </w:tcPr>
          <w:p w14:paraId="6E24C0DA" w14:textId="77777777" w:rsidR="00286F7D" w:rsidRPr="00286F7D" w:rsidRDefault="00286F7D" w:rsidP="00286F7D">
            <w:pPr>
              <w:pStyle w:val="Texttabulky"/>
              <w:spacing w:after="0"/>
              <w:jc w:val="right"/>
              <w:rPr>
                <w:rFonts w:cs="Arial"/>
              </w:rPr>
            </w:pPr>
            <w:r w:rsidRPr="00286F7D">
              <w:rPr>
                <w:rFonts w:cs="Arial"/>
              </w:rPr>
              <w:t>7</w:t>
            </w:r>
          </w:p>
        </w:tc>
        <w:tc>
          <w:tcPr>
            <w:tcW w:w="963" w:type="dxa"/>
            <w:tcBorders>
              <w:top w:val="single" w:sz="6" w:space="0" w:color="auto"/>
              <w:left w:val="single" w:sz="6" w:space="0" w:color="auto"/>
              <w:bottom w:val="single" w:sz="6" w:space="0" w:color="auto"/>
              <w:right w:val="single" w:sz="6" w:space="0" w:color="auto"/>
            </w:tcBorders>
          </w:tcPr>
          <w:p w14:paraId="13076C00" w14:textId="77777777" w:rsidR="00286F7D" w:rsidRPr="00286F7D" w:rsidRDefault="00286F7D" w:rsidP="00286F7D">
            <w:pPr>
              <w:pStyle w:val="Texttabulky"/>
              <w:spacing w:after="0"/>
              <w:jc w:val="right"/>
              <w:rPr>
                <w:rFonts w:cs="Arial"/>
              </w:rPr>
            </w:pPr>
            <w:r w:rsidRPr="00286F7D">
              <w:rPr>
                <w:rFonts w:cs="Arial"/>
              </w:rPr>
              <w:t>1 869</w:t>
            </w:r>
          </w:p>
        </w:tc>
        <w:tc>
          <w:tcPr>
            <w:tcW w:w="976" w:type="dxa"/>
            <w:tcBorders>
              <w:top w:val="single" w:sz="6" w:space="0" w:color="auto"/>
              <w:left w:val="single" w:sz="6" w:space="0" w:color="auto"/>
              <w:bottom w:val="single" w:sz="6" w:space="0" w:color="auto"/>
              <w:right w:val="single" w:sz="6" w:space="0" w:color="auto"/>
            </w:tcBorders>
          </w:tcPr>
          <w:p w14:paraId="1EC6F8C5" w14:textId="77777777" w:rsidR="00286F7D" w:rsidRPr="00286F7D" w:rsidRDefault="00286F7D" w:rsidP="00286F7D">
            <w:pPr>
              <w:pStyle w:val="Texttabulky"/>
              <w:spacing w:after="0"/>
              <w:jc w:val="right"/>
              <w:rPr>
                <w:rFonts w:cs="Arial"/>
              </w:rPr>
            </w:pPr>
            <w:r w:rsidRPr="00286F7D">
              <w:rPr>
                <w:rFonts w:cs="Arial"/>
              </w:rPr>
              <w:t>+ 969</w:t>
            </w:r>
          </w:p>
        </w:tc>
      </w:tr>
      <w:tr w:rsidR="00286F7D" w:rsidRPr="00286F7D" w14:paraId="41A6BE32" w14:textId="77777777" w:rsidTr="00286F7D">
        <w:tc>
          <w:tcPr>
            <w:tcW w:w="753" w:type="dxa"/>
            <w:tcBorders>
              <w:top w:val="single" w:sz="6" w:space="0" w:color="auto"/>
              <w:left w:val="single" w:sz="6" w:space="0" w:color="auto"/>
              <w:bottom w:val="single" w:sz="6" w:space="0" w:color="auto"/>
              <w:right w:val="single" w:sz="6" w:space="0" w:color="auto"/>
            </w:tcBorders>
          </w:tcPr>
          <w:p w14:paraId="56F4F01B" w14:textId="77777777" w:rsidR="00286F7D" w:rsidRPr="00286F7D" w:rsidRDefault="00286F7D" w:rsidP="00286F7D">
            <w:pPr>
              <w:pStyle w:val="Texttabulky"/>
              <w:spacing w:after="0"/>
              <w:rPr>
                <w:rFonts w:cs="Arial"/>
              </w:rPr>
            </w:pPr>
            <w:r w:rsidRPr="00286F7D">
              <w:rPr>
                <w:rFonts w:cs="Arial"/>
                <w:b/>
                <w:bCs/>
              </w:rPr>
              <w:t xml:space="preserve">   II</w:t>
            </w:r>
          </w:p>
        </w:tc>
        <w:tc>
          <w:tcPr>
            <w:tcW w:w="2427" w:type="dxa"/>
            <w:tcBorders>
              <w:top w:val="single" w:sz="6" w:space="0" w:color="auto"/>
              <w:left w:val="single" w:sz="6" w:space="0" w:color="auto"/>
              <w:bottom w:val="single" w:sz="6" w:space="0" w:color="auto"/>
              <w:right w:val="single" w:sz="6" w:space="0" w:color="auto"/>
            </w:tcBorders>
          </w:tcPr>
          <w:p w14:paraId="0DAC1221" w14:textId="77777777" w:rsidR="00286F7D" w:rsidRPr="00286F7D" w:rsidRDefault="00286F7D" w:rsidP="00286F7D">
            <w:pPr>
              <w:pStyle w:val="Texttabulky"/>
              <w:spacing w:after="0"/>
              <w:rPr>
                <w:rFonts w:cs="Arial"/>
              </w:rPr>
            </w:pPr>
            <w:r w:rsidRPr="00286F7D">
              <w:rPr>
                <w:rFonts w:cs="Arial"/>
                <w:b/>
                <w:bCs/>
                <w:caps/>
              </w:rPr>
              <w:t>sektor celkem</w:t>
            </w:r>
          </w:p>
        </w:tc>
        <w:tc>
          <w:tcPr>
            <w:tcW w:w="1083" w:type="dxa"/>
            <w:tcBorders>
              <w:top w:val="single" w:sz="6" w:space="0" w:color="auto"/>
              <w:left w:val="single" w:sz="6" w:space="0" w:color="auto"/>
              <w:bottom w:val="single" w:sz="6" w:space="0" w:color="auto"/>
              <w:right w:val="single" w:sz="6" w:space="0" w:color="auto"/>
            </w:tcBorders>
          </w:tcPr>
          <w:p w14:paraId="1D40390F" w14:textId="77777777" w:rsidR="00286F7D" w:rsidRPr="00286F7D" w:rsidRDefault="00286F7D" w:rsidP="00286F7D">
            <w:pPr>
              <w:pStyle w:val="Texttabulky"/>
              <w:spacing w:after="0"/>
              <w:jc w:val="right"/>
              <w:rPr>
                <w:rFonts w:cs="Arial"/>
              </w:rPr>
            </w:pPr>
            <w:r w:rsidRPr="00286F7D">
              <w:rPr>
                <w:rFonts w:cs="Arial"/>
                <w:b/>
                <w:bCs/>
              </w:rPr>
              <w:t>1 791</w:t>
            </w:r>
          </w:p>
        </w:tc>
        <w:tc>
          <w:tcPr>
            <w:tcW w:w="1047" w:type="dxa"/>
            <w:tcBorders>
              <w:top w:val="single" w:sz="6" w:space="0" w:color="auto"/>
              <w:left w:val="single" w:sz="6" w:space="0" w:color="auto"/>
              <w:bottom w:val="single" w:sz="6" w:space="0" w:color="auto"/>
              <w:right w:val="single" w:sz="6" w:space="0" w:color="auto"/>
            </w:tcBorders>
          </w:tcPr>
          <w:p w14:paraId="43D9A959" w14:textId="77777777" w:rsidR="00286F7D" w:rsidRPr="00286F7D" w:rsidRDefault="00286F7D" w:rsidP="00286F7D">
            <w:pPr>
              <w:pStyle w:val="Texttabulky"/>
              <w:spacing w:after="0"/>
              <w:jc w:val="right"/>
              <w:rPr>
                <w:rFonts w:cs="Arial"/>
              </w:rPr>
            </w:pPr>
            <w:r w:rsidRPr="00286F7D">
              <w:rPr>
                <w:rFonts w:cs="Arial"/>
                <w:b/>
                <w:bCs/>
              </w:rPr>
              <w:t>1 680</w:t>
            </w:r>
          </w:p>
        </w:tc>
        <w:tc>
          <w:tcPr>
            <w:tcW w:w="750" w:type="dxa"/>
            <w:tcBorders>
              <w:top w:val="single" w:sz="6" w:space="0" w:color="auto"/>
              <w:left w:val="single" w:sz="6" w:space="0" w:color="auto"/>
              <w:bottom w:val="single" w:sz="6" w:space="0" w:color="auto"/>
              <w:right w:val="single" w:sz="6" w:space="0" w:color="auto"/>
            </w:tcBorders>
          </w:tcPr>
          <w:p w14:paraId="10429E51" w14:textId="77777777" w:rsidR="00286F7D" w:rsidRPr="00286F7D" w:rsidRDefault="00286F7D" w:rsidP="00286F7D">
            <w:pPr>
              <w:pStyle w:val="Texttabulky"/>
              <w:spacing w:after="0"/>
              <w:jc w:val="right"/>
              <w:rPr>
                <w:rFonts w:cs="Arial"/>
              </w:rPr>
            </w:pPr>
            <w:r w:rsidRPr="00286F7D">
              <w:rPr>
                <w:rFonts w:cs="Arial"/>
                <w:b/>
                <w:bCs/>
              </w:rPr>
              <w:t>15</w:t>
            </w:r>
          </w:p>
        </w:tc>
        <w:tc>
          <w:tcPr>
            <w:tcW w:w="963" w:type="dxa"/>
            <w:tcBorders>
              <w:top w:val="single" w:sz="6" w:space="0" w:color="auto"/>
              <w:left w:val="single" w:sz="6" w:space="0" w:color="auto"/>
              <w:bottom w:val="single" w:sz="6" w:space="0" w:color="auto"/>
              <w:right w:val="single" w:sz="6" w:space="0" w:color="auto"/>
            </w:tcBorders>
          </w:tcPr>
          <w:p w14:paraId="66C03AE0" w14:textId="77777777" w:rsidR="00286F7D" w:rsidRPr="00286F7D" w:rsidRDefault="00286F7D" w:rsidP="00286F7D">
            <w:pPr>
              <w:pStyle w:val="Texttabulky"/>
              <w:spacing w:after="0"/>
              <w:jc w:val="right"/>
              <w:rPr>
                <w:rFonts w:cs="Arial"/>
              </w:rPr>
            </w:pPr>
            <w:r w:rsidRPr="00286F7D">
              <w:rPr>
                <w:rFonts w:cs="Arial"/>
                <w:b/>
                <w:bCs/>
              </w:rPr>
              <w:t>2 470</w:t>
            </w:r>
          </w:p>
        </w:tc>
        <w:tc>
          <w:tcPr>
            <w:tcW w:w="976" w:type="dxa"/>
            <w:tcBorders>
              <w:top w:val="single" w:sz="6" w:space="0" w:color="auto"/>
              <w:left w:val="single" w:sz="6" w:space="0" w:color="auto"/>
              <w:bottom w:val="single" w:sz="6" w:space="0" w:color="auto"/>
              <w:right w:val="single" w:sz="6" w:space="0" w:color="auto"/>
            </w:tcBorders>
          </w:tcPr>
          <w:p w14:paraId="779F9F14" w14:textId="77777777" w:rsidR="00286F7D" w:rsidRPr="00286F7D" w:rsidRDefault="00286F7D" w:rsidP="00286F7D">
            <w:pPr>
              <w:pStyle w:val="Texttabulky"/>
              <w:spacing w:after="0"/>
              <w:rPr>
                <w:rFonts w:cs="Arial"/>
              </w:rPr>
            </w:pPr>
            <w:r w:rsidRPr="00286F7D">
              <w:rPr>
                <w:rFonts w:cs="Arial"/>
                <w:b/>
                <w:bCs/>
              </w:rPr>
              <w:t xml:space="preserve">      + 790</w:t>
            </w:r>
          </w:p>
        </w:tc>
      </w:tr>
      <w:tr w:rsidR="00286F7D" w:rsidRPr="00286F7D" w14:paraId="39288144" w14:textId="77777777" w:rsidTr="00286F7D">
        <w:tc>
          <w:tcPr>
            <w:tcW w:w="753" w:type="dxa"/>
            <w:tcBorders>
              <w:top w:val="single" w:sz="6" w:space="0" w:color="auto"/>
              <w:left w:val="single" w:sz="6" w:space="0" w:color="auto"/>
              <w:bottom w:val="single" w:sz="6" w:space="0" w:color="auto"/>
              <w:right w:val="single" w:sz="6" w:space="0" w:color="auto"/>
            </w:tcBorders>
          </w:tcPr>
          <w:p w14:paraId="34DB6ECA" w14:textId="77777777" w:rsidR="00286F7D" w:rsidRPr="00286F7D" w:rsidRDefault="00286F7D" w:rsidP="00286F7D">
            <w:pPr>
              <w:pStyle w:val="Texttabulky"/>
              <w:spacing w:after="0"/>
              <w:jc w:val="right"/>
              <w:rPr>
                <w:rFonts w:cs="Arial"/>
              </w:rPr>
            </w:pPr>
            <w:r w:rsidRPr="00286F7D">
              <w:rPr>
                <w:rFonts w:cs="Arial"/>
              </w:rPr>
              <w:t>16</w:t>
            </w:r>
          </w:p>
        </w:tc>
        <w:tc>
          <w:tcPr>
            <w:tcW w:w="2427" w:type="dxa"/>
            <w:tcBorders>
              <w:top w:val="single" w:sz="6" w:space="0" w:color="auto"/>
              <w:left w:val="single" w:sz="6" w:space="0" w:color="auto"/>
              <w:bottom w:val="single" w:sz="6" w:space="0" w:color="auto"/>
              <w:right w:val="single" w:sz="6" w:space="0" w:color="auto"/>
            </w:tcBorders>
          </w:tcPr>
          <w:p w14:paraId="61360110" w14:textId="77777777" w:rsidR="00286F7D" w:rsidRPr="00286F7D" w:rsidRDefault="00286F7D" w:rsidP="00286F7D">
            <w:pPr>
              <w:pStyle w:val="Texttabulky"/>
              <w:spacing w:after="0"/>
              <w:rPr>
                <w:rFonts w:cs="Arial"/>
              </w:rPr>
            </w:pPr>
            <w:r w:rsidRPr="00286F7D">
              <w:rPr>
                <w:rFonts w:cs="Arial"/>
              </w:rPr>
              <w:t>Vilsnice</w:t>
            </w:r>
          </w:p>
        </w:tc>
        <w:tc>
          <w:tcPr>
            <w:tcW w:w="1083" w:type="dxa"/>
            <w:tcBorders>
              <w:top w:val="single" w:sz="6" w:space="0" w:color="auto"/>
              <w:left w:val="single" w:sz="6" w:space="0" w:color="auto"/>
              <w:bottom w:val="single" w:sz="6" w:space="0" w:color="auto"/>
              <w:right w:val="single" w:sz="6" w:space="0" w:color="auto"/>
            </w:tcBorders>
          </w:tcPr>
          <w:p w14:paraId="6FD3C02A" w14:textId="77777777" w:rsidR="00286F7D" w:rsidRPr="00286F7D" w:rsidRDefault="00286F7D" w:rsidP="00286F7D">
            <w:pPr>
              <w:pStyle w:val="Texttabulky"/>
              <w:spacing w:after="0"/>
              <w:jc w:val="right"/>
              <w:rPr>
                <w:rFonts w:cs="Arial"/>
              </w:rPr>
            </w:pPr>
            <w:r w:rsidRPr="00286F7D">
              <w:rPr>
                <w:rFonts w:cs="Arial"/>
              </w:rPr>
              <w:t>64</w:t>
            </w:r>
          </w:p>
        </w:tc>
        <w:tc>
          <w:tcPr>
            <w:tcW w:w="1047" w:type="dxa"/>
            <w:tcBorders>
              <w:top w:val="single" w:sz="6" w:space="0" w:color="auto"/>
              <w:left w:val="single" w:sz="6" w:space="0" w:color="auto"/>
              <w:bottom w:val="single" w:sz="6" w:space="0" w:color="auto"/>
              <w:right w:val="single" w:sz="6" w:space="0" w:color="auto"/>
            </w:tcBorders>
          </w:tcPr>
          <w:p w14:paraId="2980070B" w14:textId="77777777" w:rsidR="00286F7D" w:rsidRPr="00286F7D" w:rsidRDefault="00286F7D" w:rsidP="00286F7D">
            <w:pPr>
              <w:pStyle w:val="Texttabulky"/>
              <w:spacing w:after="0"/>
              <w:jc w:val="right"/>
              <w:rPr>
                <w:rFonts w:cs="Arial"/>
              </w:rPr>
            </w:pPr>
            <w:r w:rsidRPr="00286F7D">
              <w:rPr>
                <w:rFonts w:cs="Arial"/>
              </w:rPr>
              <w:t>50</w:t>
            </w:r>
          </w:p>
        </w:tc>
        <w:tc>
          <w:tcPr>
            <w:tcW w:w="750" w:type="dxa"/>
            <w:tcBorders>
              <w:top w:val="single" w:sz="6" w:space="0" w:color="auto"/>
              <w:left w:val="single" w:sz="6" w:space="0" w:color="auto"/>
              <w:bottom w:val="single" w:sz="6" w:space="0" w:color="auto"/>
              <w:right w:val="single" w:sz="6" w:space="0" w:color="auto"/>
            </w:tcBorders>
          </w:tcPr>
          <w:p w14:paraId="2F9AE72C" w14:textId="77777777" w:rsidR="00286F7D" w:rsidRPr="00286F7D" w:rsidRDefault="00286F7D" w:rsidP="00286F7D">
            <w:pPr>
              <w:pStyle w:val="Texttabulky"/>
              <w:spacing w:after="0"/>
              <w:jc w:val="right"/>
              <w:rPr>
                <w:rFonts w:cs="Arial"/>
              </w:rPr>
            </w:pPr>
            <w:r w:rsidRPr="00286F7D">
              <w:rPr>
                <w:rFonts w:cs="Arial"/>
              </w:rPr>
              <w:t>1</w:t>
            </w:r>
          </w:p>
        </w:tc>
        <w:tc>
          <w:tcPr>
            <w:tcW w:w="963" w:type="dxa"/>
            <w:tcBorders>
              <w:top w:val="single" w:sz="6" w:space="0" w:color="auto"/>
              <w:left w:val="single" w:sz="6" w:space="0" w:color="auto"/>
              <w:bottom w:val="single" w:sz="6" w:space="0" w:color="auto"/>
              <w:right w:val="single" w:sz="6" w:space="0" w:color="auto"/>
            </w:tcBorders>
          </w:tcPr>
          <w:p w14:paraId="64A342F9" w14:textId="77777777" w:rsidR="00286F7D" w:rsidRPr="00286F7D" w:rsidRDefault="00286F7D" w:rsidP="00286F7D">
            <w:pPr>
              <w:pStyle w:val="Texttabulky"/>
              <w:spacing w:after="0"/>
              <w:jc w:val="right"/>
              <w:rPr>
                <w:rFonts w:cs="Arial"/>
              </w:rPr>
            </w:pPr>
            <w:r w:rsidRPr="00286F7D">
              <w:rPr>
                <w:rFonts w:cs="Arial"/>
              </w:rPr>
              <w:t>70</w:t>
            </w:r>
          </w:p>
        </w:tc>
        <w:tc>
          <w:tcPr>
            <w:tcW w:w="976" w:type="dxa"/>
            <w:tcBorders>
              <w:top w:val="single" w:sz="6" w:space="0" w:color="auto"/>
              <w:left w:val="single" w:sz="6" w:space="0" w:color="auto"/>
              <w:bottom w:val="single" w:sz="6" w:space="0" w:color="auto"/>
              <w:right w:val="single" w:sz="6" w:space="0" w:color="auto"/>
            </w:tcBorders>
          </w:tcPr>
          <w:p w14:paraId="664D28F1" w14:textId="77777777" w:rsidR="00286F7D" w:rsidRPr="00286F7D" w:rsidRDefault="00286F7D" w:rsidP="00286F7D">
            <w:pPr>
              <w:pStyle w:val="Texttabulky"/>
              <w:spacing w:after="0"/>
              <w:jc w:val="right"/>
              <w:rPr>
                <w:rFonts w:cs="Arial"/>
              </w:rPr>
            </w:pPr>
            <w:r w:rsidRPr="00286F7D">
              <w:rPr>
                <w:rFonts w:cs="Arial"/>
              </w:rPr>
              <w:t>+ 20</w:t>
            </w:r>
          </w:p>
        </w:tc>
      </w:tr>
      <w:tr w:rsidR="00286F7D" w:rsidRPr="00286F7D" w14:paraId="52D5B343" w14:textId="77777777" w:rsidTr="00286F7D">
        <w:tc>
          <w:tcPr>
            <w:tcW w:w="753" w:type="dxa"/>
            <w:tcBorders>
              <w:top w:val="single" w:sz="6" w:space="0" w:color="auto"/>
              <w:left w:val="single" w:sz="6" w:space="0" w:color="auto"/>
              <w:bottom w:val="single" w:sz="6" w:space="0" w:color="auto"/>
              <w:right w:val="single" w:sz="6" w:space="0" w:color="auto"/>
            </w:tcBorders>
          </w:tcPr>
          <w:p w14:paraId="61F3CDC4" w14:textId="77777777" w:rsidR="00286F7D" w:rsidRPr="00286F7D" w:rsidRDefault="00286F7D" w:rsidP="00286F7D">
            <w:pPr>
              <w:pStyle w:val="Texttabulky"/>
              <w:spacing w:after="0"/>
              <w:jc w:val="right"/>
              <w:rPr>
                <w:rFonts w:cs="Arial"/>
              </w:rPr>
            </w:pPr>
            <w:r w:rsidRPr="00286F7D">
              <w:rPr>
                <w:rFonts w:cs="Arial"/>
              </w:rPr>
              <w:t>17</w:t>
            </w:r>
          </w:p>
        </w:tc>
        <w:tc>
          <w:tcPr>
            <w:tcW w:w="2427" w:type="dxa"/>
            <w:tcBorders>
              <w:top w:val="single" w:sz="6" w:space="0" w:color="auto"/>
              <w:left w:val="single" w:sz="6" w:space="0" w:color="auto"/>
              <w:bottom w:val="single" w:sz="6" w:space="0" w:color="auto"/>
              <w:right w:val="single" w:sz="6" w:space="0" w:color="auto"/>
            </w:tcBorders>
          </w:tcPr>
          <w:p w14:paraId="6129BDA8" w14:textId="77777777" w:rsidR="00286F7D" w:rsidRPr="00286F7D" w:rsidRDefault="00286F7D" w:rsidP="00286F7D">
            <w:pPr>
              <w:pStyle w:val="Texttabulky"/>
              <w:spacing w:after="0"/>
              <w:rPr>
                <w:rFonts w:cs="Arial"/>
              </w:rPr>
            </w:pPr>
            <w:r w:rsidRPr="00286F7D">
              <w:rPr>
                <w:rFonts w:cs="Arial"/>
              </w:rPr>
              <w:t>Chrochvice</w:t>
            </w:r>
          </w:p>
        </w:tc>
        <w:tc>
          <w:tcPr>
            <w:tcW w:w="1083" w:type="dxa"/>
            <w:tcBorders>
              <w:top w:val="single" w:sz="6" w:space="0" w:color="auto"/>
              <w:left w:val="single" w:sz="6" w:space="0" w:color="auto"/>
              <w:bottom w:val="single" w:sz="6" w:space="0" w:color="auto"/>
              <w:right w:val="single" w:sz="6" w:space="0" w:color="auto"/>
            </w:tcBorders>
          </w:tcPr>
          <w:p w14:paraId="195DADA0" w14:textId="77777777" w:rsidR="00286F7D" w:rsidRPr="00286F7D" w:rsidRDefault="00286F7D" w:rsidP="00286F7D">
            <w:pPr>
              <w:pStyle w:val="Texttabulky"/>
              <w:spacing w:after="0"/>
              <w:jc w:val="right"/>
              <w:rPr>
                <w:rFonts w:cs="Arial"/>
              </w:rPr>
            </w:pPr>
            <w:r w:rsidRPr="00286F7D">
              <w:rPr>
                <w:rFonts w:cs="Arial"/>
              </w:rPr>
              <w:t>312</w:t>
            </w:r>
          </w:p>
        </w:tc>
        <w:tc>
          <w:tcPr>
            <w:tcW w:w="1047" w:type="dxa"/>
            <w:tcBorders>
              <w:top w:val="single" w:sz="6" w:space="0" w:color="auto"/>
              <w:left w:val="single" w:sz="6" w:space="0" w:color="auto"/>
              <w:bottom w:val="single" w:sz="6" w:space="0" w:color="auto"/>
              <w:right w:val="single" w:sz="6" w:space="0" w:color="auto"/>
            </w:tcBorders>
          </w:tcPr>
          <w:p w14:paraId="39DA9390" w14:textId="77777777" w:rsidR="00286F7D" w:rsidRPr="00286F7D" w:rsidRDefault="00286F7D" w:rsidP="00286F7D">
            <w:pPr>
              <w:pStyle w:val="Texttabulky"/>
              <w:spacing w:after="0"/>
              <w:jc w:val="right"/>
              <w:rPr>
                <w:rFonts w:cs="Arial"/>
              </w:rPr>
            </w:pPr>
            <w:r w:rsidRPr="00286F7D">
              <w:rPr>
                <w:rFonts w:cs="Arial"/>
              </w:rPr>
              <w:t>300</w:t>
            </w:r>
          </w:p>
        </w:tc>
        <w:tc>
          <w:tcPr>
            <w:tcW w:w="750" w:type="dxa"/>
            <w:tcBorders>
              <w:top w:val="single" w:sz="6" w:space="0" w:color="auto"/>
              <w:left w:val="single" w:sz="6" w:space="0" w:color="auto"/>
              <w:bottom w:val="single" w:sz="6" w:space="0" w:color="auto"/>
              <w:right w:val="single" w:sz="6" w:space="0" w:color="auto"/>
            </w:tcBorders>
          </w:tcPr>
          <w:p w14:paraId="115BDD3F" w14:textId="77777777" w:rsidR="00286F7D" w:rsidRPr="00286F7D" w:rsidRDefault="00286F7D" w:rsidP="00286F7D">
            <w:pPr>
              <w:pStyle w:val="Texttabulky"/>
              <w:spacing w:after="0"/>
              <w:jc w:val="right"/>
              <w:rPr>
                <w:rFonts w:cs="Arial"/>
              </w:rPr>
            </w:pPr>
            <w:r w:rsidRPr="00286F7D">
              <w:rPr>
                <w:rFonts w:cs="Arial"/>
              </w:rPr>
              <w:t>3</w:t>
            </w:r>
          </w:p>
        </w:tc>
        <w:tc>
          <w:tcPr>
            <w:tcW w:w="963" w:type="dxa"/>
            <w:tcBorders>
              <w:top w:val="single" w:sz="6" w:space="0" w:color="auto"/>
              <w:left w:val="single" w:sz="6" w:space="0" w:color="auto"/>
              <w:bottom w:val="single" w:sz="6" w:space="0" w:color="auto"/>
              <w:right w:val="single" w:sz="6" w:space="0" w:color="auto"/>
            </w:tcBorders>
          </w:tcPr>
          <w:p w14:paraId="0C437CE0" w14:textId="77777777" w:rsidR="00286F7D" w:rsidRPr="00286F7D" w:rsidRDefault="00286F7D" w:rsidP="00286F7D">
            <w:pPr>
              <w:pStyle w:val="Texttabulky"/>
              <w:spacing w:after="0"/>
              <w:jc w:val="right"/>
              <w:rPr>
                <w:rFonts w:cs="Arial"/>
              </w:rPr>
            </w:pPr>
            <w:r w:rsidRPr="00286F7D">
              <w:rPr>
                <w:rFonts w:cs="Arial"/>
              </w:rPr>
              <w:t>382</w:t>
            </w:r>
          </w:p>
        </w:tc>
        <w:tc>
          <w:tcPr>
            <w:tcW w:w="976" w:type="dxa"/>
            <w:tcBorders>
              <w:top w:val="single" w:sz="6" w:space="0" w:color="auto"/>
              <w:left w:val="single" w:sz="6" w:space="0" w:color="auto"/>
              <w:bottom w:val="single" w:sz="6" w:space="0" w:color="auto"/>
              <w:right w:val="single" w:sz="6" w:space="0" w:color="auto"/>
            </w:tcBorders>
          </w:tcPr>
          <w:p w14:paraId="141A5FB1" w14:textId="77777777" w:rsidR="00286F7D" w:rsidRPr="00286F7D" w:rsidRDefault="00286F7D" w:rsidP="00286F7D">
            <w:pPr>
              <w:pStyle w:val="Texttabulky"/>
              <w:spacing w:after="0"/>
              <w:jc w:val="right"/>
              <w:rPr>
                <w:rFonts w:cs="Arial"/>
              </w:rPr>
            </w:pPr>
            <w:r w:rsidRPr="00286F7D">
              <w:rPr>
                <w:rFonts w:cs="Arial"/>
              </w:rPr>
              <w:t>+ 82</w:t>
            </w:r>
          </w:p>
        </w:tc>
      </w:tr>
      <w:tr w:rsidR="00286F7D" w:rsidRPr="00286F7D" w14:paraId="12A3EB12" w14:textId="77777777" w:rsidTr="00286F7D">
        <w:tc>
          <w:tcPr>
            <w:tcW w:w="753" w:type="dxa"/>
            <w:tcBorders>
              <w:top w:val="single" w:sz="6" w:space="0" w:color="auto"/>
              <w:left w:val="single" w:sz="6" w:space="0" w:color="auto"/>
              <w:bottom w:val="single" w:sz="6" w:space="0" w:color="auto"/>
              <w:right w:val="single" w:sz="6" w:space="0" w:color="auto"/>
            </w:tcBorders>
          </w:tcPr>
          <w:p w14:paraId="6B4AE063" w14:textId="77777777" w:rsidR="00286F7D" w:rsidRPr="00286F7D" w:rsidRDefault="00286F7D" w:rsidP="00286F7D">
            <w:pPr>
              <w:pStyle w:val="Texttabulky"/>
              <w:spacing w:after="0"/>
              <w:jc w:val="right"/>
              <w:rPr>
                <w:rFonts w:cs="Arial"/>
              </w:rPr>
            </w:pPr>
            <w:r w:rsidRPr="00286F7D">
              <w:rPr>
                <w:rFonts w:cs="Arial"/>
              </w:rPr>
              <w:t>41</w:t>
            </w:r>
          </w:p>
        </w:tc>
        <w:tc>
          <w:tcPr>
            <w:tcW w:w="2427" w:type="dxa"/>
            <w:tcBorders>
              <w:top w:val="single" w:sz="6" w:space="0" w:color="auto"/>
              <w:left w:val="single" w:sz="6" w:space="0" w:color="auto"/>
              <w:bottom w:val="single" w:sz="6" w:space="0" w:color="auto"/>
              <w:right w:val="single" w:sz="6" w:space="0" w:color="auto"/>
            </w:tcBorders>
          </w:tcPr>
          <w:p w14:paraId="328F2802" w14:textId="77777777" w:rsidR="00286F7D" w:rsidRPr="00286F7D" w:rsidRDefault="00286F7D" w:rsidP="00286F7D">
            <w:pPr>
              <w:pStyle w:val="Texttabulky"/>
              <w:spacing w:after="0"/>
              <w:rPr>
                <w:rFonts w:cs="Arial"/>
              </w:rPr>
            </w:pPr>
            <w:r w:rsidRPr="00286F7D">
              <w:rPr>
                <w:rFonts w:cs="Arial"/>
              </w:rPr>
              <w:t>Chmelník</w:t>
            </w:r>
          </w:p>
        </w:tc>
        <w:tc>
          <w:tcPr>
            <w:tcW w:w="1083" w:type="dxa"/>
            <w:tcBorders>
              <w:top w:val="single" w:sz="6" w:space="0" w:color="auto"/>
              <w:left w:val="single" w:sz="6" w:space="0" w:color="auto"/>
              <w:bottom w:val="single" w:sz="6" w:space="0" w:color="auto"/>
              <w:right w:val="single" w:sz="6" w:space="0" w:color="auto"/>
            </w:tcBorders>
          </w:tcPr>
          <w:p w14:paraId="38FE99E3"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1A62660B"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4BF17FE6"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0AC47479"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2DB4F83C"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7DE4045" w14:textId="77777777" w:rsidTr="00286F7D">
        <w:tc>
          <w:tcPr>
            <w:tcW w:w="753" w:type="dxa"/>
            <w:tcBorders>
              <w:top w:val="single" w:sz="6" w:space="0" w:color="auto"/>
              <w:left w:val="single" w:sz="6" w:space="0" w:color="auto"/>
              <w:bottom w:val="single" w:sz="6" w:space="0" w:color="auto"/>
              <w:right w:val="single" w:sz="6" w:space="0" w:color="auto"/>
            </w:tcBorders>
          </w:tcPr>
          <w:p w14:paraId="357DB9C7" w14:textId="77777777" w:rsidR="00286F7D" w:rsidRPr="00286F7D" w:rsidRDefault="00286F7D" w:rsidP="00286F7D">
            <w:pPr>
              <w:pStyle w:val="Texttabulky"/>
              <w:spacing w:after="0"/>
              <w:jc w:val="right"/>
              <w:rPr>
                <w:rFonts w:cs="Arial"/>
              </w:rPr>
            </w:pPr>
            <w:r w:rsidRPr="00286F7D">
              <w:rPr>
                <w:rFonts w:cs="Arial"/>
              </w:rPr>
              <w:t>42</w:t>
            </w:r>
          </w:p>
        </w:tc>
        <w:tc>
          <w:tcPr>
            <w:tcW w:w="2427" w:type="dxa"/>
            <w:tcBorders>
              <w:top w:val="single" w:sz="6" w:space="0" w:color="auto"/>
              <w:left w:val="single" w:sz="6" w:space="0" w:color="auto"/>
              <w:bottom w:val="single" w:sz="6" w:space="0" w:color="auto"/>
              <w:right w:val="single" w:sz="6" w:space="0" w:color="auto"/>
            </w:tcBorders>
          </w:tcPr>
          <w:p w14:paraId="334CCF86" w14:textId="77777777" w:rsidR="00286F7D" w:rsidRPr="00286F7D" w:rsidRDefault="00286F7D" w:rsidP="00286F7D">
            <w:pPr>
              <w:pStyle w:val="Texttabulky"/>
              <w:spacing w:after="0"/>
              <w:rPr>
                <w:rFonts w:cs="Arial"/>
              </w:rPr>
            </w:pPr>
            <w:r w:rsidRPr="00286F7D">
              <w:rPr>
                <w:rFonts w:cs="Arial"/>
              </w:rPr>
              <w:t>Krásný Studenec</w:t>
            </w:r>
          </w:p>
        </w:tc>
        <w:tc>
          <w:tcPr>
            <w:tcW w:w="1083" w:type="dxa"/>
            <w:tcBorders>
              <w:top w:val="single" w:sz="6" w:space="0" w:color="auto"/>
              <w:left w:val="single" w:sz="6" w:space="0" w:color="auto"/>
              <w:bottom w:val="single" w:sz="6" w:space="0" w:color="auto"/>
              <w:right w:val="single" w:sz="6" w:space="0" w:color="auto"/>
            </w:tcBorders>
          </w:tcPr>
          <w:p w14:paraId="24C2256B"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47223643"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0688919E" w14:textId="77777777" w:rsidR="00286F7D" w:rsidRPr="00286F7D" w:rsidRDefault="00286F7D" w:rsidP="00286F7D">
            <w:pPr>
              <w:pStyle w:val="Texttabulky"/>
              <w:spacing w:after="0"/>
              <w:jc w:val="right"/>
              <w:rPr>
                <w:rFonts w:cs="Arial"/>
              </w:rPr>
            </w:pPr>
            <w:r w:rsidRPr="00286F7D">
              <w:rPr>
                <w:rFonts w:cs="Arial"/>
              </w:rPr>
              <w:t>1</w:t>
            </w:r>
          </w:p>
        </w:tc>
        <w:tc>
          <w:tcPr>
            <w:tcW w:w="963" w:type="dxa"/>
            <w:tcBorders>
              <w:top w:val="single" w:sz="6" w:space="0" w:color="auto"/>
              <w:left w:val="single" w:sz="6" w:space="0" w:color="auto"/>
              <w:bottom w:val="single" w:sz="6" w:space="0" w:color="auto"/>
              <w:right w:val="single" w:sz="6" w:space="0" w:color="auto"/>
            </w:tcBorders>
          </w:tcPr>
          <w:p w14:paraId="404715BE" w14:textId="77777777" w:rsidR="00286F7D" w:rsidRPr="00286F7D" w:rsidRDefault="00286F7D" w:rsidP="00286F7D">
            <w:pPr>
              <w:pStyle w:val="Texttabulky"/>
              <w:spacing w:after="0"/>
              <w:jc w:val="right"/>
              <w:rPr>
                <w:rFonts w:cs="Arial"/>
              </w:rPr>
            </w:pPr>
            <w:r w:rsidRPr="00286F7D">
              <w:rPr>
                <w:rFonts w:cs="Arial"/>
              </w:rPr>
              <w:t>54</w:t>
            </w:r>
          </w:p>
        </w:tc>
        <w:tc>
          <w:tcPr>
            <w:tcW w:w="976" w:type="dxa"/>
            <w:tcBorders>
              <w:top w:val="single" w:sz="6" w:space="0" w:color="auto"/>
              <w:left w:val="single" w:sz="6" w:space="0" w:color="auto"/>
              <w:bottom w:val="single" w:sz="6" w:space="0" w:color="auto"/>
              <w:right w:val="single" w:sz="6" w:space="0" w:color="auto"/>
            </w:tcBorders>
          </w:tcPr>
          <w:p w14:paraId="0219EE79" w14:textId="77777777" w:rsidR="00286F7D" w:rsidRPr="00286F7D" w:rsidRDefault="00286F7D" w:rsidP="00286F7D">
            <w:pPr>
              <w:pStyle w:val="Texttabulky"/>
              <w:spacing w:after="0"/>
              <w:jc w:val="right"/>
              <w:rPr>
                <w:rFonts w:cs="Arial"/>
              </w:rPr>
            </w:pPr>
            <w:r w:rsidRPr="00286F7D">
              <w:rPr>
                <w:rFonts w:cs="Arial"/>
              </w:rPr>
              <w:t>+ 54</w:t>
            </w:r>
          </w:p>
        </w:tc>
      </w:tr>
      <w:tr w:rsidR="00286F7D" w:rsidRPr="00286F7D" w14:paraId="36E58CC7" w14:textId="77777777" w:rsidTr="00286F7D">
        <w:tc>
          <w:tcPr>
            <w:tcW w:w="753" w:type="dxa"/>
            <w:tcBorders>
              <w:top w:val="single" w:sz="6" w:space="0" w:color="auto"/>
              <w:left w:val="single" w:sz="6" w:space="0" w:color="auto"/>
              <w:bottom w:val="single" w:sz="6" w:space="0" w:color="auto"/>
              <w:right w:val="single" w:sz="6" w:space="0" w:color="auto"/>
            </w:tcBorders>
          </w:tcPr>
          <w:p w14:paraId="64546644" w14:textId="77777777" w:rsidR="00286F7D" w:rsidRPr="00286F7D" w:rsidRDefault="00286F7D" w:rsidP="00286F7D">
            <w:pPr>
              <w:pStyle w:val="Texttabulky"/>
              <w:spacing w:after="0"/>
              <w:rPr>
                <w:rFonts w:cs="Arial"/>
              </w:rPr>
            </w:pPr>
            <w:r w:rsidRPr="00286F7D">
              <w:rPr>
                <w:rFonts w:cs="Arial"/>
                <w:b/>
                <w:bCs/>
              </w:rPr>
              <w:t xml:space="preserve">  III</w:t>
            </w:r>
          </w:p>
        </w:tc>
        <w:tc>
          <w:tcPr>
            <w:tcW w:w="2427" w:type="dxa"/>
            <w:tcBorders>
              <w:top w:val="single" w:sz="6" w:space="0" w:color="auto"/>
              <w:left w:val="single" w:sz="6" w:space="0" w:color="auto"/>
              <w:bottom w:val="single" w:sz="6" w:space="0" w:color="auto"/>
              <w:right w:val="single" w:sz="6" w:space="0" w:color="auto"/>
            </w:tcBorders>
          </w:tcPr>
          <w:p w14:paraId="14E42F53" w14:textId="77777777" w:rsidR="00286F7D" w:rsidRPr="00286F7D" w:rsidRDefault="00286F7D" w:rsidP="00286F7D">
            <w:pPr>
              <w:pStyle w:val="Texttabulky"/>
              <w:spacing w:after="0"/>
              <w:rPr>
                <w:rFonts w:cs="Arial"/>
              </w:rPr>
            </w:pPr>
            <w:r w:rsidRPr="00286F7D">
              <w:rPr>
                <w:rFonts w:cs="Arial"/>
                <w:b/>
                <w:bCs/>
                <w:caps/>
              </w:rPr>
              <w:t>sektor celkem</w:t>
            </w:r>
          </w:p>
        </w:tc>
        <w:tc>
          <w:tcPr>
            <w:tcW w:w="1083" w:type="dxa"/>
            <w:tcBorders>
              <w:top w:val="single" w:sz="6" w:space="0" w:color="auto"/>
              <w:left w:val="single" w:sz="6" w:space="0" w:color="auto"/>
              <w:bottom w:val="single" w:sz="6" w:space="0" w:color="auto"/>
              <w:right w:val="single" w:sz="6" w:space="0" w:color="auto"/>
            </w:tcBorders>
          </w:tcPr>
          <w:p w14:paraId="10F836DB" w14:textId="77777777" w:rsidR="00286F7D" w:rsidRPr="00286F7D" w:rsidRDefault="00286F7D" w:rsidP="00286F7D">
            <w:pPr>
              <w:pStyle w:val="Texttabulky"/>
              <w:spacing w:after="0"/>
              <w:jc w:val="right"/>
              <w:rPr>
                <w:rFonts w:cs="Arial"/>
              </w:rPr>
            </w:pPr>
            <w:r w:rsidRPr="00286F7D">
              <w:rPr>
                <w:rFonts w:cs="Arial"/>
                <w:b/>
                <w:bCs/>
              </w:rPr>
              <w:t>376</w:t>
            </w:r>
          </w:p>
        </w:tc>
        <w:tc>
          <w:tcPr>
            <w:tcW w:w="1047" w:type="dxa"/>
            <w:tcBorders>
              <w:top w:val="single" w:sz="6" w:space="0" w:color="auto"/>
              <w:left w:val="single" w:sz="6" w:space="0" w:color="auto"/>
              <w:bottom w:val="single" w:sz="6" w:space="0" w:color="auto"/>
              <w:right w:val="single" w:sz="6" w:space="0" w:color="auto"/>
            </w:tcBorders>
          </w:tcPr>
          <w:p w14:paraId="1D5D2FC6" w14:textId="77777777" w:rsidR="00286F7D" w:rsidRPr="00286F7D" w:rsidRDefault="00286F7D" w:rsidP="00286F7D">
            <w:pPr>
              <w:pStyle w:val="Texttabulky"/>
              <w:spacing w:after="0"/>
              <w:jc w:val="right"/>
              <w:rPr>
                <w:rFonts w:cs="Arial"/>
              </w:rPr>
            </w:pPr>
            <w:r w:rsidRPr="00286F7D">
              <w:rPr>
                <w:rFonts w:cs="Arial"/>
                <w:b/>
                <w:bCs/>
              </w:rPr>
              <w:t>350</w:t>
            </w:r>
          </w:p>
        </w:tc>
        <w:tc>
          <w:tcPr>
            <w:tcW w:w="750" w:type="dxa"/>
            <w:tcBorders>
              <w:top w:val="single" w:sz="6" w:space="0" w:color="auto"/>
              <w:left w:val="single" w:sz="6" w:space="0" w:color="auto"/>
              <w:bottom w:val="single" w:sz="6" w:space="0" w:color="auto"/>
              <w:right w:val="single" w:sz="6" w:space="0" w:color="auto"/>
            </w:tcBorders>
          </w:tcPr>
          <w:p w14:paraId="1AFE8BF5" w14:textId="77777777" w:rsidR="00286F7D" w:rsidRPr="00286F7D" w:rsidRDefault="00286F7D" w:rsidP="00286F7D">
            <w:pPr>
              <w:pStyle w:val="Texttabulky"/>
              <w:spacing w:after="0"/>
              <w:jc w:val="right"/>
              <w:rPr>
                <w:rFonts w:cs="Arial"/>
              </w:rPr>
            </w:pPr>
            <w:r w:rsidRPr="00286F7D">
              <w:rPr>
                <w:rFonts w:cs="Arial"/>
                <w:b/>
                <w:bCs/>
              </w:rPr>
              <w:t>5</w:t>
            </w:r>
          </w:p>
        </w:tc>
        <w:tc>
          <w:tcPr>
            <w:tcW w:w="963" w:type="dxa"/>
            <w:tcBorders>
              <w:top w:val="single" w:sz="6" w:space="0" w:color="auto"/>
              <w:left w:val="single" w:sz="6" w:space="0" w:color="auto"/>
              <w:bottom w:val="single" w:sz="6" w:space="0" w:color="auto"/>
              <w:right w:val="single" w:sz="6" w:space="0" w:color="auto"/>
            </w:tcBorders>
          </w:tcPr>
          <w:p w14:paraId="324C055B" w14:textId="77777777" w:rsidR="00286F7D" w:rsidRPr="00286F7D" w:rsidRDefault="00286F7D" w:rsidP="00286F7D">
            <w:pPr>
              <w:pStyle w:val="Texttabulky"/>
              <w:spacing w:after="0"/>
              <w:jc w:val="right"/>
              <w:rPr>
                <w:rFonts w:cs="Arial"/>
              </w:rPr>
            </w:pPr>
            <w:r w:rsidRPr="00286F7D">
              <w:rPr>
                <w:rFonts w:cs="Arial"/>
                <w:b/>
                <w:bCs/>
              </w:rPr>
              <w:t>506</w:t>
            </w:r>
          </w:p>
        </w:tc>
        <w:tc>
          <w:tcPr>
            <w:tcW w:w="976" w:type="dxa"/>
            <w:tcBorders>
              <w:top w:val="single" w:sz="6" w:space="0" w:color="auto"/>
              <w:left w:val="single" w:sz="6" w:space="0" w:color="auto"/>
              <w:bottom w:val="single" w:sz="6" w:space="0" w:color="auto"/>
              <w:right w:val="single" w:sz="6" w:space="0" w:color="auto"/>
            </w:tcBorders>
          </w:tcPr>
          <w:p w14:paraId="2976353F" w14:textId="77777777" w:rsidR="00286F7D" w:rsidRPr="00286F7D" w:rsidRDefault="00286F7D" w:rsidP="00286F7D">
            <w:pPr>
              <w:pStyle w:val="Texttabulky"/>
              <w:spacing w:after="0"/>
              <w:jc w:val="right"/>
              <w:rPr>
                <w:rFonts w:cs="Arial"/>
              </w:rPr>
            </w:pPr>
            <w:r w:rsidRPr="00286F7D">
              <w:rPr>
                <w:rFonts w:cs="Arial"/>
                <w:b/>
                <w:bCs/>
              </w:rPr>
              <w:t>+ 156</w:t>
            </w:r>
          </w:p>
        </w:tc>
      </w:tr>
      <w:tr w:rsidR="00286F7D" w:rsidRPr="00286F7D" w14:paraId="110B2593" w14:textId="77777777" w:rsidTr="00286F7D">
        <w:tc>
          <w:tcPr>
            <w:tcW w:w="753" w:type="dxa"/>
            <w:tcBorders>
              <w:top w:val="single" w:sz="6" w:space="0" w:color="auto"/>
              <w:left w:val="single" w:sz="6" w:space="0" w:color="auto"/>
              <w:bottom w:val="single" w:sz="6" w:space="0" w:color="auto"/>
              <w:right w:val="single" w:sz="6" w:space="0" w:color="auto"/>
            </w:tcBorders>
          </w:tcPr>
          <w:p w14:paraId="1F566E6F" w14:textId="77777777" w:rsidR="00286F7D" w:rsidRPr="00286F7D" w:rsidRDefault="00286F7D" w:rsidP="00286F7D">
            <w:pPr>
              <w:pStyle w:val="Texttabulky"/>
              <w:spacing w:after="0"/>
              <w:jc w:val="right"/>
              <w:rPr>
                <w:rFonts w:cs="Arial"/>
              </w:rPr>
            </w:pPr>
            <w:r w:rsidRPr="00286F7D">
              <w:rPr>
                <w:rFonts w:cs="Arial"/>
              </w:rPr>
              <w:t>27</w:t>
            </w:r>
          </w:p>
        </w:tc>
        <w:tc>
          <w:tcPr>
            <w:tcW w:w="2427" w:type="dxa"/>
            <w:tcBorders>
              <w:top w:val="single" w:sz="6" w:space="0" w:color="auto"/>
              <w:left w:val="single" w:sz="6" w:space="0" w:color="auto"/>
              <w:bottom w:val="single" w:sz="6" w:space="0" w:color="auto"/>
              <w:right w:val="single" w:sz="6" w:space="0" w:color="auto"/>
            </w:tcBorders>
          </w:tcPr>
          <w:p w14:paraId="51D75E62" w14:textId="77777777" w:rsidR="00286F7D" w:rsidRPr="00286F7D" w:rsidRDefault="00286F7D" w:rsidP="00286F7D">
            <w:pPr>
              <w:pStyle w:val="Texttabulky"/>
              <w:spacing w:after="0"/>
              <w:rPr>
                <w:rFonts w:cs="Arial"/>
              </w:rPr>
            </w:pPr>
            <w:r w:rsidRPr="00286F7D">
              <w:rPr>
                <w:rFonts w:cs="Arial"/>
              </w:rPr>
              <w:t>Přípeř</w:t>
            </w:r>
          </w:p>
        </w:tc>
        <w:tc>
          <w:tcPr>
            <w:tcW w:w="1083" w:type="dxa"/>
            <w:tcBorders>
              <w:top w:val="single" w:sz="6" w:space="0" w:color="auto"/>
              <w:left w:val="single" w:sz="6" w:space="0" w:color="auto"/>
              <w:bottom w:val="single" w:sz="6" w:space="0" w:color="auto"/>
              <w:right w:val="single" w:sz="6" w:space="0" w:color="auto"/>
            </w:tcBorders>
          </w:tcPr>
          <w:p w14:paraId="4E4CA912"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DFEFEB6"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6A7E90E3"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14894F93"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72BE7E96"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08495E7C" w14:textId="77777777" w:rsidTr="00286F7D">
        <w:tc>
          <w:tcPr>
            <w:tcW w:w="753" w:type="dxa"/>
            <w:tcBorders>
              <w:top w:val="single" w:sz="6" w:space="0" w:color="auto"/>
              <w:left w:val="single" w:sz="6" w:space="0" w:color="auto"/>
              <w:bottom w:val="single" w:sz="6" w:space="0" w:color="auto"/>
              <w:right w:val="single" w:sz="6" w:space="0" w:color="auto"/>
            </w:tcBorders>
          </w:tcPr>
          <w:p w14:paraId="73AD2D39" w14:textId="77777777" w:rsidR="00286F7D" w:rsidRPr="00286F7D" w:rsidRDefault="00286F7D" w:rsidP="00286F7D">
            <w:pPr>
              <w:pStyle w:val="Texttabulky"/>
              <w:spacing w:after="0"/>
              <w:jc w:val="right"/>
              <w:rPr>
                <w:rFonts w:cs="Arial"/>
              </w:rPr>
            </w:pPr>
            <w:r w:rsidRPr="00286F7D">
              <w:rPr>
                <w:rFonts w:cs="Arial"/>
              </w:rPr>
              <w:t>28</w:t>
            </w:r>
          </w:p>
        </w:tc>
        <w:tc>
          <w:tcPr>
            <w:tcW w:w="2427" w:type="dxa"/>
            <w:tcBorders>
              <w:top w:val="single" w:sz="6" w:space="0" w:color="auto"/>
              <w:left w:val="single" w:sz="6" w:space="0" w:color="auto"/>
              <w:bottom w:val="single" w:sz="6" w:space="0" w:color="auto"/>
              <w:right w:val="single" w:sz="6" w:space="0" w:color="auto"/>
            </w:tcBorders>
          </w:tcPr>
          <w:p w14:paraId="55ACE615" w14:textId="77777777" w:rsidR="00286F7D" w:rsidRPr="00286F7D" w:rsidRDefault="00286F7D" w:rsidP="00286F7D">
            <w:pPr>
              <w:pStyle w:val="Texttabulky"/>
              <w:spacing w:after="0"/>
              <w:rPr>
                <w:rFonts w:cs="Arial"/>
              </w:rPr>
            </w:pPr>
            <w:r w:rsidRPr="00286F7D">
              <w:rPr>
                <w:rFonts w:cs="Arial"/>
              </w:rPr>
              <w:t>Jalůvčí</w:t>
            </w:r>
          </w:p>
        </w:tc>
        <w:tc>
          <w:tcPr>
            <w:tcW w:w="1083" w:type="dxa"/>
            <w:tcBorders>
              <w:top w:val="single" w:sz="6" w:space="0" w:color="auto"/>
              <w:left w:val="single" w:sz="6" w:space="0" w:color="auto"/>
              <w:bottom w:val="single" w:sz="6" w:space="0" w:color="auto"/>
              <w:right w:val="single" w:sz="6" w:space="0" w:color="auto"/>
            </w:tcBorders>
          </w:tcPr>
          <w:p w14:paraId="65038F90" w14:textId="77777777" w:rsidR="00286F7D" w:rsidRPr="00286F7D" w:rsidRDefault="00286F7D" w:rsidP="00286F7D">
            <w:pPr>
              <w:pStyle w:val="Texttabulky"/>
              <w:spacing w:after="0"/>
              <w:jc w:val="right"/>
              <w:rPr>
                <w:rFonts w:cs="Arial"/>
              </w:rPr>
            </w:pPr>
            <w:r w:rsidRPr="00286F7D">
              <w:rPr>
                <w:rFonts w:cs="Arial"/>
              </w:rPr>
              <w:t>33</w:t>
            </w:r>
          </w:p>
        </w:tc>
        <w:tc>
          <w:tcPr>
            <w:tcW w:w="1047" w:type="dxa"/>
            <w:tcBorders>
              <w:top w:val="single" w:sz="6" w:space="0" w:color="auto"/>
              <w:left w:val="single" w:sz="6" w:space="0" w:color="auto"/>
              <w:bottom w:val="single" w:sz="6" w:space="0" w:color="auto"/>
              <w:right w:val="single" w:sz="6" w:space="0" w:color="auto"/>
            </w:tcBorders>
          </w:tcPr>
          <w:p w14:paraId="54A782A5" w14:textId="77777777" w:rsidR="00286F7D" w:rsidRPr="00286F7D" w:rsidRDefault="00286F7D" w:rsidP="00286F7D">
            <w:pPr>
              <w:pStyle w:val="Texttabulky"/>
              <w:spacing w:after="0"/>
              <w:jc w:val="right"/>
              <w:rPr>
                <w:rFonts w:cs="Arial"/>
              </w:rPr>
            </w:pPr>
            <w:r w:rsidRPr="00286F7D">
              <w:rPr>
                <w:rFonts w:cs="Arial"/>
              </w:rPr>
              <w:t>30</w:t>
            </w:r>
          </w:p>
        </w:tc>
        <w:tc>
          <w:tcPr>
            <w:tcW w:w="750" w:type="dxa"/>
            <w:tcBorders>
              <w:top w:val="single" w:sz="6" w:space="0" w:color="auto"/>
              <w:left w:val="single" w:sz="6" w:space="0" w:color="auto"/>
              <w:bottom w:val="single" w:sz="6" w:space="0" w:color="auto"/>
              <w:right w:val="single" w:sz="6" w:space="0" w:color="auto"/>
            </w:tcBorders>
          </w:tcPr>
          <w:p w14:paraId="394BCD08" w14:textId="77777777" w:rsidR="00286F7D" w:rsidRPr="00286F7D" w:rsidRDefault="00286F7D" w:rsidP="00286F7D">
            <w:pPr>
              <w:pStyle w:val="Texttabulky"/>
              <w:spacing w:after="0"/>
              <w:jc w:val="right"/>
              <w:rPr>
                <w:rFonts w:cs="Arial"/>
              </w:rPr>
            </w:pPr>
            <w:r w:rsidRPr="00286F7D">
              <w:rPr>
                <w:rFonts w:cs="Arial"/>
              </w:rPr>
              <w:t>2</w:t>
            </w:r>
          </w:p>
        </w:tc>
        <w:tc>
          <w:tcPr>
            <w:tcW w:w="963" w:type="dxa"/>
            <w:tcBorders>
              <w:top w:val="single" w:sz="6" w:space="0" w:color="auto"/>
              <w:left w:val="single" w:sz="6" w:space="0" w:color="auto"/>
              <w:bottom w:val="single" w:sz="6" w:space="0" w:color="auto"/>
              <w:right w:val="single" w:sz="6" w:space="0" w:color="auto"/>
            </w:tcBorders>
          </w:tcPr>
          <w:p w14:paraId="2C05849F" w14:textId="77777777" w:rsidR="00286F7D" w:rsidRPr="00286F7D" w:rsidRDefault="00286F7D" w:rsidP="00286F7D">
            <w:pPr>
              <w:pStyle w:val="Texttabulky"/>
              <w:spacing w:after="0"/>
              <w:jc w:val="right"/>
              <w:rPr>
                <w:rFonts w:cs="Arial"/>
              </w:rPr>
            </w:pPr>
            <w:r w:rsidRPr="00286F7D">
              <w:rPr>
                <w:rFonts w:cs="Arial"/>
              </w:rPr>
              <w:t>62</w:t>
            </w:r>
          </w:p>
        </w:tc>
        <w:tc>
          <w:tcPr>
            <w:tcW w:w="976" w:type="dxa"/>
            <w:tcBorders>
              <w:top w:val="single" w:sz="6" w:space="0" w:color="auto"/>
              <w:left w:val="single" w:sz="6" w:space="0" w:color="auto"/>
              <w:bottom w:val="single" w:sz="6" w:space="0" w:color="auto"/>
              <w:right w:val="single" w:sz="6" w:space="0" w:color="auto"/>
            </w:tcBorders>
          </w:tcPr>
          <w:p w14:paraId="6ABDA3FF" w14:textId="77777777" w:rsidR="00286F7D" w:rsidRPr="00286F7D" w:rsidRDefault="00286F7D" w:rsidP="00286F7D">
            <w:pPr>
              <w:pStyle w:val="Texttabulky"/>
              <w:spacing w:after="0"/>
              <w:rPr>
                <w:rFonts w:cs="Arial"/>
              </w:rPr>
            </w:pPr>
            <w:r w:rsidRPr="00286F7D">
              <w:rPr>
                <w:rFonts w:cs="Arial"/>
              </w:rPr>
              <w:t xml:space="preserve">         +32</w:t>
            </w:r>
          </w:p>
        </w:tc>
      </w:tr>
      <w:tr w:rsidR="00286F7D" w:rsidRPr="00286F7D" w14:paraId="4223825E" w14:textId="77777777" w:rsidTr="00286F7D">
        <w:tc>
          <w:tcPr>
            <w:tcW w:w="753" w:type="dxa"/>
            <w:tcBorders>
              <w:top w:val="single" w:sz="6" w:space="0" w:color="auto"/>
              <w:left w:val="single" w:sz="6" w:space="0" w:color="auto"/>
              <w:bottom w:val="single" w:sz="6" w:space="0" w:color="auto"/>
              <w:right w:val="single" w:sz="6" w:space="0" w:color="auto"/>
            </w:tcBorders>
          </w:tcPr>
          <w:p w14:paraId="01BA5D4B" w14:textId="77777777" w:rsidR="00286F7D" w:rsidRPr="00286F7D" w:rsidRDefault="00286F7D" w:rsidP="00286F7D">
            <w:pPr>
              <w:pStyle w:val="Texttabulky"/>
              <w:spacing w:after="0"/>
              <w:jc w:val="right"/>
              <w:rPr>
                <w:rFonts w:cs="Arial"/>
              </w:rPr>
            </w:pPr>
            <w:r w:rsidRPr="00286F7D">
              <w:rPr>
                <w:rFonts w:cs="Arial"/>
              </w:rPr>
              <w:t>29</w:t>
            </w:r>
          </w:p>
        </w:tc>
        <w:tc>
          <w:tcPr>
            <w:tcW w:w="2427" w:type="dxa"/>
            <w:tcBorders>
              <w:top w:val="single" w:sz="6" w:space="0" w:color="auto"/>
              <w:left w:val="single" w:sz="6" w:space="0" w:color="auto"/>
              <w:bottom w:val="single" w:sz="6" w:space="0" w:color="auto"/>
              <w:right w:val="single" w:sz="6" w:space="0" w:color="auto"/>
            </w:tcBorders>
          </w:tcPr>
          <w:p w14:paraId="6599BA18" w14:textId="77777777" w:rsidR="00286F7D" w:rsidRPr="00286F7D" w:rsidRDefault="00286F7D" w:rsidP="00286F7D">
            <w:pPr>
              <w:pStyle w:val="Texttabulky"/>
              <w:spacing w:after="0"/>
              <w:rPr>
                <w:rFonts w:cs="Arial"/>
              </w:rPr>
            </w:pPr>
            <w:r w:rsidRPr="00286F7D">
              <w:rPr>
                <w:rFonts w:cs="Arial"/>
              </w:rPr>
              <w:t>Žlíbek (Škrabky)</w:t>
            </w:r>
          </w:p>
        </w:tc>
        <w:tc>
          <w:tcPr>
            <w:tcW w:w="1083" w:type="dxa"/>
            <w:tcBorders>
              <w:top w:val="single" w:sz="6" w:space="0" w:color="auto"/>
              <w:left w:val="single" w:sz="6" w:space="0" w:color="auto"/>
              <w:bottom w:val="single" w:sz="6" w:space="0" w:color="auto"/>
              <w:right w:val="single" w:sz="6" w:space="0" w:color="auto"/>
            </w:tcBorders>
          </w:tcPr>
          <w:p w14:paraId="55851F3C"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F0C1C95"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3EB16D86"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37C38F03"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64523E0E"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2F7FE401" w14:textId="77777777" w:rsidTr="00286F7D">
        <w:tc>
          <w:tcPr>
            <w:tcW w:w="753" w:type="dxa"/>
            <w:tcBorders>
              <w:top w:val="single" w:sz="6" w:space="0" w:color="auto"/>
              <w:left w:val="single" w:sz="6" w:space="0" w:color="auto"/>
              <w:bottom w:val="single" w:sz="6" w:space="0" w:color="auto"/>
              <w:right w:val="single" w:sz="6" w:space="0" w:color="auto"/>
            </w:tcBorders>
          </w:tcPr>
          <w:p w14:paraId="674D1D79" w14:textId="77777777" w:rsidR="00286F7D" w:rsidRPr="00286F7D" w:rsidRDefault="00286F7D" w:rsidP="00286F7D">
            <w:pPr>
              <w:pStyle w:val="Texttabulky"/>
              <w:spacing w:after="0"/>
              <w:jc w:val="right"/>
              <w:rPr>
                <w:rFonts w:cs="Arial"/>
              </w:rPr>
            </w:pPr>
            <w:r w:rsidRPr="00286F7D">
              <w:rPr>
                <w:rFonts w:cs="Arial"/>
              </w:rPr>
              <w:t>30</w:t>
            </w:r>
          </w:p>
        </w:tc>
        <w:tc>
          <w:tcPr>
            <w:tcW w:w="2427" w:type="dxa"/>
            <w:tcBorders>
              <w:top w:val="single" w:sz="6" w:space="0" w:color="auto"/>
              <w:left w:val="single" w:sz="6" w:space="0" w:color="auto"/>
              <w:bottom w:val="single" w:sz="6" w:space="0" w:color="auto"/>
              <w:right w:val="single" w:sz="6" w:space="0" w:color="auto"/>
            </w:tcBorders>
          </w:tcPr>
          <w:p w14:paraId="1470962F" w14:textId="77777777" w:rsidR="00286F7D" w:rsidRPr="00286F7D" w:rsidRDefault="00286F7D" w:rsidP="00286F7D">
            <w:pPr>
              <w:pStyle w:val="Texttabulky"/>
              <w:spacing w:after="0"/>
              <w:rPr>
                <w:rFonts w:cs="Arial"/>
              </w:rPr>
            </w:pPr>
            <w:r w:rsidRPr="00286F7D">
              <w:rPr>
                <w:rFonts w:cs="Arial"/>
              </w:rPr>
              <w:t>Dolní Oldřichov</w:t>
            </w:r>
          </w:p>
        </w:tc>
        <w:tc>
          <w:tcPr>
            <w:tcW w:w="1083" w:type="dxa"/>
            <w:tcBorders>
              <w:top w:val="single" w:sz="6" w:space="0" w:color="auto"/>
              <w:left w:val="single" w:sz="6" w:space="0" w:color="auto"/>
              <w:bottom w:val="single" w:sz="6" w:space="0" w:color="auto"/>
              <w:right w:val="single" w:sz="6" w:space="0" w:color="auto"/>
            </w:tcBorders>
          </w:tcPr>
          <w:p w14:paraId="3E3E39C7" w14:textId="77777777" w:rsidR="00286F7D" w:rsidRPr="00286F7D" w:rsidRDefault="00286F7D" w:rsidP="00286F7D">
            <w:pPr>
              <w:pStyle w:val="Texttabulky"/>
              <w:spacing w:after="0"/>
              <w:jc w:val="right"/>
              <w:rPr>
                <w:rFonts w:cs="Arial"/>
              </w:rPr>
            </w:pPr>
            <w:r w:rsidRPr="00286F7D">
              <w:rPr>
                <w:rFonts w:cs="Arial"/>
              </w:rPr>
              <w:t>334</w:t>
            </w:r>
          </w:p>
        </w:tc>
        <w:tc>
          <w:tcPr>
            <w:tcW w:w="1047" w:type="dxa"/>
            <w:tcBorders>
              <w:top w:val="single" w:sz="6" w:space="0" w:color="auto"/>
              <w:left w:val="single" w:sz="6" w:space="0" w:color="auto"/>
              <w:bottom w:val="single" w:sz="6" w:space="0" w:color="auto"/>
              <w:right w:val="single" w:sz="6" w:space="0" w:color="auto"/>
            </w:tcBorders>
          </w:tcPr>
          <w:p w14:paraId="743B63AD"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256BE2A1" w14:textId="77777777" w:rsidR="00286F7D" w:rsidRPr="00286F7D" w:rsidRDefault="00286F7D" w:rsidP="00286F7D">
            <w:pPr>
              <w:pStyle w:val="Texttabulky"/>
              <w:spacing w:after="0"/>
              <w:jc w:val="right"/>
              <w:rPr>
                <w:rFonts w:cs="Arial"/>
              </w:rPr>
            </w:pPr>
            <w:r w:rsidRPr="00286F7D">
              <w:rPr>
                <w:rFonts w:cs="Arial"/>
              </w:rPr>
              <w:t>1</w:t>
            </w:r>
          </w:p>
        </w:tc>
        <w:tc>
          <w:tcPr>
            <w:tcW w:w="963" w:type="dxa"/>
            <w:tcBorders>
              <w:top w:val="single" w:sz="6" w:space="0" w:color="auto"/>
              <w:left w:val="single" w:sz="6" w:space="0" w:color="auto"/>
              <w:bottom w:val="single" w:sz="6" w:space="0" w:color="auto"/>
              <w:right w:val="single" w:sz="6" w:space="0" w:color="auto"/>
            </w:tcBorders>
          </w:tcPr>
          <w:p w14:paraId="36E1FADA" w14:textId="77777777" w:rsidR="00286F7D" w:rsidRPr="00286F7D" w:rsidRDefault="00286F7D" w:rsidP="00286F7D">
            <w:pPr>
              <w:pStyle w:val="Texttabulky"/>
              <w:spacing w:after="0"/>
              <w:jc w:val="right"/>
              <w:rPr>
                <w:rFonts w:cs="Arial"/>
              </w:rPr>
            </w:pPr>
            <w:r w:rsidRPr="00286F7D">
              <w:rPr>
                <w:rFonts w:cs="Arial"/>
              </w:rPr>
              <w:t>59</w:t>
            </w:r>
          </w:p>
        </w:tc>
        <w:tc>
          <w:tcPr>
            <w:tcW w:w="976" w:type="dxa"/>
            <w:tcBorders>
              <w:top w:val="single" w:sz="6" w:space="0" w:color="auto"/>
              <w:left w:val="single" w:sz="6" w:space="0" w:color="auto"/>
              <w:bottom w:val="single" w:sz="6" w:space="0" w:color="auto"/>
              <w:right w:val="single" w:sz="6" w:space="0" w:color="auto"/>
            </w:tcBorders>
          </w:tcPr>
          <w:p w14:paraId="16615829" w14:textId="77777777" w:rsidR="00286F7D" w:rsidRPr="00286F7D" w:rsidRDefault="00286F7D" w:rsidP="00286F7D">
            <w:pPr>
              <w:pStyle w:val="Texttabulky"/>
              <w:spacing w:after="0"/>
              <w:jc w:val="right"/>
              <w:rPr>
                <w:rFonts w:cs="Arial"/>
              </w:rPr>
            </w:pPr>
            <w:r w:rsidRPr="00286F7D">
              <w:rPr>
                <w:rFonts w:cs="Arial"/>
              </w:rPr>
              <w:t>+ 59</w:t>
            </w:r>
          </w:p>
        </w:tc>
      </w:tr>
      <w:tr w:rsidR="00286F7D" w:rsidRPr="00286F7D" w14:paraId="06572735" w14:textId="77777777" w:rsidTr="00286F7D">
        <w:tc>
          <w:tcPr>
            <w:tcW w:w="753" w:type="dxa"/>
            <w:tcBorders>
              <w:top w:val="single" w:sz="6" w:space="0" w:color="auto"/>
              <w:left w:val="single" w:sz="6" w:space="0" w:color="auto"/>
              <w:bottom w:val="single" w:sz="6" w:space="0" w:color="auto"/>
              <w:right w:val="single" w:sz="6" w:space="0" w:color="auto"/>
            </w:tcBorders>
          </w:tcPr>
          <w:p w14:paraId="585ABC4D" w14:textId="77777777" w:rsidR="00286F7D" w:rsidRPr="00286F7D" w:rsidRDefault="00286F7D" w:rsidP="00286F7D">
            <w:pPr>
              <w:pStyle w:val="Texttabulky"/>
              <w:spacing w:after="0"/>
              <w:jc w:val="right"/>
              <w:rPr>
                <w:rFonts w:cs="Arial"/>
              </w:rPr>
            </w:pPr>
            <w:r w:rsidRPr="00286F7D">
              <w:rPr>
                <w:rFonts w:cs="Arial"/>
              </w:rPr>
              <w:t>31</w:t>
            </w:r>
          </w:p>
        </w:tc>
        <w:tc>
          <w:tcPr>
            <w:tcW w:w="2427" w:type="dxa"/>
            <w:tcBorders>
              <w:top w:val="single" w:sz="6" w:space="0" w:color="auto"/>
              <w:left w:val="single" w:sz="6" w:space="0" w:color="auto"/>
              <w:bottom w:val="single" w:sz="6" w:space="0" w:color="auto"/>
              <w:right w:val="single" w:sz="6" w:space="0" w:color="auto"/>
            </w:tcBorders>
          </w:tcPr>
          <w:p w14:paraId="2BF6A9D2" w14:textId="77777777" w:rsidR="00286F7D" w:rsidRPr="00286F7D" w:rsidRDefault="00286F7D" w:rsidP="00286F7D">
            <w:pPr>
              <w:pStyle w:val="Texttabulky"/>
              <w:spacing w:after="0"/>
              <w:rPr>
                <w:rFonts w:cs="Arial"/>
              </w:rPr>
            </w:pPr>
            <w:r w:rsidRPr="00286F7D">
              <w:rPr>
                <w:rFonts w:cs="Arial"/>
              </w:rPr>
              <w:t>Horní Oldřichov</w:t>
            </w:r>
          </w:p>
        </w:tc>
        <w:tc>
          <w:tcPr>
            <w:tcW w:w="1083" w:type="dxa"/>
            <w:tcBorders>
              <w:top w:val="single" w:sz="6" w:space="0" w:color="auto"/>
              <w:left w:val="single" w:sz="6" w:space="0" w:color="auto"/>
              <w:bottom w:val="single" w:sz="6" w:space="0" w:color="auto"/>
              <w:right w:val="single" w:sz="6" w:space="0" w:color="auto"/>
            </w:tcBorders>
          </w:tcPr>
          <w:p w14:paraId="30DD9A95"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40800FEF"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0BF01A72"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153339FE"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6944900D"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59C66104" w14:textId="77777777" w:rsidTr="00286F7D">
        <w:tc>
          <w:tcPr>
            <w:tcW w:w="753" w:type="dxa"/>
            <w:tcBorders>
              <w:top w:val="single" w:sz="6" w:space="0" w:color="auto"/>
              <w:left w:val="single" w:sz="6" w:space="0" w:color="auto"/>
              <w:bottom w:val="single" w:sz="6" w:space="0" w:color="auto"/>
              <w:right w:val="single" w:sz="6" w:space="0" w:color="auto"/>
            </w:tcBorders>
          </w:tcPr>
          <w:p w14:paraId="5887BF9E" w14:textId="77777777" w:rsidR="00286F7D" w:rsidRPr="00286F7D" w:rsidRDefault="00286F7D" w:rsidP="00286F7D">
            <w:pPr>
              <w:pStyle w:val="Texttabulky"/>
              <w:spacing w:after="0"/>
              <w:jc w:val="right"/>
              <w:rPr>
                <w:rFonts w:cs="Arial"/>
              </w:rPr>
            </w:pPr>
            <w:r w:rsidRPr="00286F7D">
              <w:rPr>
                <w:rFonts w:cs="Arial"/>
              </w:rPr>
              <w:t>32</w:t>
            </w:r>
          </w:p>
        </w:tc>
        <w:tc>
          <w:tcPr>
            <w:tcW w:w="2427" w:type="dxa"/>
            <w:tcBorders>
              <w:top w:val="single" w:sz="6" w:space="0" w:color="auto"/>
              <w:left w:val="single" w:sz="6" w:space="0" w:color="auto"/>
              <w:bottom w:val="single" w:sz="6" w:space="0" w:color="auto"/>
              <w:right w:val="single" w:sz="6" w:space="0" w:color="auto"/>
            </w:tcBorders>
          </w:tcPr>
          <w:p w14:paraId="6ACF0669" w14:textId="77777777" w:rsidR="00286F7D" w:rsidRPr="00286F7D" w:rsidRDefault="00286F7D" w:rsidP="00286F7D">
            <w:pPr>
              <w:pStyle w:val="Texttabulky"/>
              <w:spacing w:after="0"/>
              <w:rPr>
                <w:rFonts w:cs="Arial"/>
              </w:rPr>
            </w:pPr>
            <w:r w:rsidRPr="00286F7D">
              <w:rPr>
                <w:rFonts w:cs="Arial"/>
              </w:rPr>
              <w:t>Bynov</w:t>
            </w:r>
          </w:p>
        </w:tc>
        <w:tc>
          <w:tcPr>
            <w:tcW w:w="1083" w:type="dxa"/>
            <w:tcBorders>
              <w:top w:val="single" w:sz="6" w:space="0" w:color="auto"/>
              <w:left w:val="single" w:sz="6" w:space="0" w:color="auto"/>
              <w:bottom w:val="single" w:sz="6" w:space="0" w:color="auto"/>
              <w:right w:val="single" w:sz="6" w:space="0" w:color="auto"/>
            </w:tcBorders>
          </w:tcPr>
          <w:p w14:paraId="2335C735" w14:textId="77777777" w:rsidR="00286F7D" w:rsidRPr="00286F7D" w:rsidRDefault="00286F7D" w:rsidP="00286F7D">
            <w:pPr>
              <w:pStyle w:val="Texttabulky"/>
              <w:spacing w:after="0"/>
              <w:jc w:val="right"/>
              <w:rPr>
                <w:rFonts w:cs="Arial"/>
              </w:rPr>
            </w:pPr>
            <w:r w:rsidRPr="00286F7D">
              <w:rPr>
                <w:rFonts w:cs="Arial"/>
              </w:rPr>
              <w:t>726</w:t>
            </w:r>
          </w:p>
        </w:tc>
        <w:tc>
          <w:tcPr>
            <w:tcW w:w="1047" w:type="dxa"/>
            <w:tcBorders>
              <w:top w:val="single" w:sz="6" w:space="0" w:color="auto"/>
              <w:left w:val="single" w:sz="6" w:space="0" w:color="auto"/>
              <w:bottom w:val="single" w:sz="6" w:space="0" w:color="auto"/>
              <w:right w:val="single" w:sz="6" w:space="0" w:color="auto"/>
            </w:tcBorders>
          </w:tcPr>
          <w:p w14:paraId="612806CE" w14:textId="77777777" w:rsidR="00286F7D" w:rsidRPr="00286F7D" w:rsidRDefault="00286F7D" w:rsidP="00286F7D">
            <w:pPr>
              <w:pStyle w:val="Texttabulky"/>
              <w:spacing w:after="0"/>
              <w:jc w:val="right"/>
              <w:rPr>
                <w:rFonts w:cs="Arial"/>
              </w:rPr>
            </w:pPr>
            <w:r w:rsidRPr="00286F7D">
              <w:rPr>
                <w:rFonts w:cs="Arial"/>
              </w:rPr>
              <w:t>650</w:t>
            </w:r>
          </w:p>
        </w:tc>
        <w:tc>
          <w:tcPr>
            <w:tcW w:w="750" w:type="dxa"/>
            <w:tcBorders>
              <w:top w:val="single" w:sz="6" w:space="0" w:color="auto"/>
              <w:left w:val="single" w:sz="6" w:space="0" w:color="auto"/>
              <w:bottom w:val="single" w:sz="6" w:space="0" w:color="auto"/>
              <w:right w:val="single" w:sz="6" w:space="0" w:color="auto"/>
            </w:tcBorders>
          </w:tcPr>
          <w:p w14:paraId="579A02C6" w14:textId="77777777" w:rsidR="00286F7D" w:rsidRPr="00286F7D" w:rsidRDefault="00286F7D" w:rsidP="00286F7D">
            <w:pPr>
              <w:pStyle w:val="Texttabulky"/>
              <w:spacing w:after="0"/>
              <w:jc w:val="right"/>
              <w:rPr>
                <w:rFonts w:cs="Arial"/>
              </w:rPr>
            </w:pPr>
            <w:r w:rsidRPr="00286F7D">
              <w:rPr>
                <w:rFonts w:cs="Arial"/>
              </w:rPr>
              <w:t>5</w:t>
            </w:r>
          </w:p>
        </w:tc>
        <w:tc>
          <w:tcPr>
            <w:tcW w:w="963" w:type="dxa"/>
            <w:tcBorders>
              <w:top w:val="single" w:sz="6" w:space="0" w:color="auto"/>
              <w:left w:val="single" w:sz="6" w:space="0" w:color="auto"/>
              <w:bottom w:val="single" w:sz="6" w:space="0" w:color="auto"/>
              <w:right w:val="single" w:sz="6" w:space="0" w:color="auto"/>
            </w:tcBorders>
          </w:tcPr>
          <w:p w14:paraId="4A693C06" w14:textId="77777777" w:rsidR="00286F7D" w:rsidRPr="00286F7D" w:rsidRDefault="00286F7D" w:rsidP="00286F7D">
            <w:pPr>
              <w:pStyle w:val="Texttabulky"/>
              <w:spacing w:after="0"/>
              <w:jc w:val="right"/>
              <w:rPr>
                <w:rFonts w:cs="Arial"/>
              </w:rPr>
            </w:pPr>
            <w:r w:rsidRPr="00286F7D">
              <w:rPr>
                <w:rFonts w:cs="Arial"/>
              </w:rPr>
              <w:t>821</w:t>
            </w:r>
          </w:p>
        </w:tc>
        <w:tc>
          <w:tcPr>
            <w:tcW w:w="976" w:type="dxa"/>
            <w:tcBorders>
              <w:top w:val="single" w:sz="6" w:space="0" w:color="auto"/>
              <w:left w:val="single" w:sz="6" w:space="0" w:color="auto"/>
              <w:bottom w:val="single" w:sz="6" w:space="0" w:color="auto"/>
              <w:right w:val="single" w:sz="6" w:space="0" w:color="auto"/>
            </w:tcBorders>
          </w:tcPr>
          <w:p w14:paraId="423080B4" w14:textId="77777777" w:rsidR="00286F7D" w:rsidRPr="00286F7D" w:rsidRDefault="00286F7D" w:rsidP="00286F7D">
            <w:pPr>
              <w:pStyle w:val="Texttabulky"/>
              <w:spacing w:after="0"/>
              <w:jc w:val="right"/>
              <w:rPr>
                <w:rFonts w:cs="Arial"/>
              </w:rPr>
            </w:pPr>
            <w:r w:rsidRPr="00286F7D">
              <w:rPr>
                <w:rFonts w:cs="Arial"/>
              </w:rPr>
              <w:t>+ 171</w:t>
            </w:r>
          </w:p>
        </w:tc>
      </w:tr>
      <w:tr w:rsidR="00286F7D" w:rsidRPr="00286F7D" w14:paraId="51470F54" w14:textId="77777777" w:rsidTr="00286F7D">
        <w:tc>
          <w:tcPr>
            <w:tcW w:w="753" w:type="dxa"/>
            <w:tcBorders>
              <w:top w:val="single" w:sz="6" w:space="0" w:color="auto"/>
              <w:left w:val="single" w:sz="6" w:space="0" w:color="auto"/>
              <w:bottom w:val="single" w:sz="6" w:space="0" w:color="auto"/>
              <w:right w:val="single" w:sz="6" w:space="0" w:color="auto"/>
            </w:tcBorders>
          </w:tcPr>
          <w:p w14:paraId="2A84B850" w14:textId="77777777" w:rsidR="00286F7D" w:rsidRPr="00286F7D" w:rsidRDefault="00286F7D" w:rsidP="00286F7D">
            <w:pPr>
              <w:pStyle w:val="Texttabulky"/>
              <w:spacing w:after="0"/>
              <w:jc w:val="right"/>
              <w:rPr>
                <w:rFonts w:cs="Arial"/>
              </w:rPr>
            </w:pPr>
            <w:r w:rsidRPr="00286F7D">
              <w:rPr>
                <w:rFonts w:cs="Arial"/>
              </w:rPr>
              <w:t>33</w:t>
            </w:r>
          </w:p>
        </w:tc>
        <w:tc>
          <w:tcPr>
            <w:tcW w:w="2427" w:type="dxa"/>
            <w:tcBorders>
              <w:top w:val="single" w:sz="6" w:space="0" w:color="auto"/>
              <w:left w:val="single" w:sz="6" w:space="0" w:color="auto"/>
              <w:bottom w:val="single" w:sz="6" w:space="0" w:color="auto"/>
              <w:right w:val="single" w:sz="6" w:space="0" w:color="auto"/>
            </w:tcBorders>
          </w:tcPr>
          <w:p w14:paraId="409F9115" w14:textId="77777777" w:rsidR="00286F7D" w:rsidRPr="00286F7D" w:rsidRDefault="00286F7D" w:rsidP="00286F7D">
            <w:pPr>
              <w:pStyle w:val="Texttabulky"/>
              <w:spacing w:after="0"/>
              <w:rPr>
                <w:rFonts w:cs="Arial"/>
              </w:rPr>
            </w:pPr>
            <w:r w:rsidRPr="00286F7D">
              <w:rPr>
                <w:rFonts w:cs="Arial"/>
              </w:rPr>
              <w:t>Bělá</w:t>
            </w:r>
          </w:p>
        </w:tc>
        <w:tc>
          <w:tcPr>
            <w:tcW w:w="1083" w:type="dxa"/>
            <w:tcBorders>
              <w:top w:val="single" w:sz="6" w:space="0" w:color="auto"/>
              <w:left w:val="single" w:sz="6" w:space="0" w:color="auto"/>
              <w:bottom w:val="single" w:sz="6" w:space="0" w:color="auto"/>
              <w:right w:val="single" w:sz="6" w:space="0" w:color="auto"/>
            </w:tcBorders>
          </w:tcPr>
          <w:p w14:paraId="448D9910"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0735CAC4"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35B06D69" w14:textId="77777777" w:rsidR="00286F7D" w:rsidRPr="00286F7D" w:rsidRDefault="00286F7D" w:rsidP="00286F7D">
            <w:pPr>
              <w:pStyle w:val="Texttabulky"/>
              <w:spacing w:after="0"/>
              <w:jc w:val="right"/>
              <w:rPr>
                <w:rFonts w:cs="Arial"/>
              </w:rPr>
            </w:pPr>
            <w:r w:rsidRPr="00286F7D">
              <w:rPr>
                <w:rFonts w:cs="Arial"/>
              </w:rPr>
              <w:t>1</w:t>
            </w:r>
          </w:p>
        </w:tc>
        <w:tc>
          <w:tcPr>
            <w:tcW w:w="963" w:type="dxa"/>
            <w:tcBorders>
              <w:top w:val="single" w:sz="6" w:space="0" w:color="auto"/>
              <w:left w:val="single" w:sz="6" w:space="0" w:color="auto"/>
              <w:bottom w:val="single" w:sz="6" w:space="0" w:color="auto"/>
              <w:right w:val="single" w:sz="6" w:space="0" w:color="auto"/>
            </w:tcBorders>
          </w:tcPr>
          <w:p w14:paraId="4C62356D" w14:textId="77777777" w:rsidR="00286F7D" w:rsidRPr="00286F7D" w:rsidRDefault="00286F7D" w:rsidP="00286F7D">
            <w:pPr>
              <w:pStyle w:val="Texttabulky"/>
              <w:spacing w:after="0"/>
              <w:jc w:val="right"/>
              <w:rPr>
                <w:rFonts w:cs="Arial"/>
              </w:rPr>
            </w:pPr>
            <w:r w:rsidRPr="00286F7D">
              <w:rPr>
                <w:rFonts w:cs="Arial"/>
              </w:rPr>
              <w:t>56</w:t>
            </w:r>
          </w:p>
        </w:tc>
        <w:tc>
          <w:tcPr>
            <w:tcW w:w="976" w:type="dxa"/>
            <w:tcBorders>
              <w:top w:val="single" w:sz="6" w:space="0" w:color="auto"/>
              <w:left w:val="single" w:sz="6" w:space="0" w:color="auto"/>
              <w:bottom w:val="single" w:sz="6" w:space="0" w:color="auto"/>
              <w:right w:val="single" w:sz="6" w:space="0" w:color="auto"/>
            </w:tcBorders>
          </w:tcPr>
          <w:p w14:paraId="6EA88018"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51B7D88A" w14:textId="77777777" w:rsidTr="00286F7D">
        <w:tc>
          <w:tcPr>
            <w:tcW w:w="753" w:type="dxa"/>
            <w:tcBorders>
              <w:top w:val="single" w:sz="6" w:space="0" w:color="auto"/>
              <w:left w:val="single" w:sz="6" w:space="0" w:color="auto"/>
              <w:bottom w:val="single" w:sz="6" w:space="0" w:color="auto"/>
              <w:right w:val="single" w:sz="6" w:space="0" w:color="auto"/>
            </w:tcBorders>
          </w:tcPr>
          <w:p w14:paraId="2E23F809" w14:textId="77777777" w:rsidR="00286F7D" w:rsidRPr="00286F7D" w:rsidRDefault="00286F7D" w:rsidP="00286F7D">
            <w:pPr>
              <w:pStyle w:val="Texttabulky"/>
              <w:spacing w:after="0"/>
              <w:jc w:val="right"/>
              <w:rPr>
                <w:rFonts w:cs="Arial"/>
              </w:rPr>
            </w:pPr>
            <w:r w:rsidRPr="00286F7D">
              <w:rPr>
                <w:rFonts w:cs="Arial"/>
              </w:rPr>
              <w:t>64</w:t>
            </w:r>
          </w:p>
        </w:tc>
        <w:tc>
          <w:tcPr>
            <w:tcW w:w="2427" w:type="dxa"/>
            <w:tcBorders>
              <w:top w:val="single" w:sz="6" w:space="0" w:color="auto"/>
              <w:left w:val="single" w:sz="6" w:space="0" w:color="auto"/>
              <w:bottom w:val="single" w:sz="6" w:space="0" w:color="auto"/>
              <w:right w:val="single" w:sz="6" w:space="0" w:color="auto"/>
            </w:tcBorders>
          </w:tcPr>
          <w:p w14:paraId="34EF480A" w14:textId="77777777" w:rsidR="00286F7D" w:rsidRPr="00286F7D" w:rsidRDefault="00286F7D" w:rsidP="00286F7D">
            <w:pPr>
              <w:pStyle w:val="Texttabulky"/>
              <w:spacing w:after="0"/>
              <w:rPr>
                <w:rFonts w:cs="Arial"/>
              </w:rPr>
            </w:pPr>
            <w:r w:rsidRPr="00286F7D">
              <w:rPr>
                <w:rFonts w:cs="Arial"/>
              </w:rPr>
              <w:t>Nová Ves</w:t>
            </w:r>
          </w:p>
        </w:tc>
        <w:tc>
          <w:tcPr>
            <w:tcW w:w="1083" w:type="dxa"/>
            <w:tcBorders>
              <w:top w:val="single" w:sz="6" w:space="0" w:color="auto"/>
              <w:left w:val="single" w:sz="6" w:space="0" w:color="auto"/>
              <w:bottom w:val="single" w:sz="6" w:space="0" w:color="auto"/>
              <w:right w:val="single" w:sz="6" w:space="0" w:color="auto"/>
            </w:tcBorders>
          </w:tcPr>
          <w:p w14:paraId="5AAB6825"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7CC73C56"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0262BAD6"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20A66681"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2AB736A3"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71DA915C" w14:textId="77777777" w:rsidTr="00286F7D">
        <w:tc>
          <w:tcPr>
            <w:tcW w:w="753" w:type="dxa"/>
            <w:tcBorders>
              <w:top w:val="single" w:sz="6" w:space="0" w:color="auto"/>
              <w:left w:val="single" w:sz="6" w:space="0" w:color="auto"/>
              <w:bottom w:val="single" w:sz="6" w:space="0" w:color="auto"/>
              <w:right w:val="single" w:sz="6" w:space="0" w:color="auto"/>
            </w:tcBorders>
          </w:tcPr>
          <w:p w14:paraId="14FB115C" w14:textId="77777777" w:rsidR="00286F7D" w:rsidRPr="00286F7D" w:rsidRDefault="00286F7D" w:rsidP="00286F7D">
            <w:pPr>
              <w:pStyle w:val="Texttabulky"/>
              <w:spacing w:after="0"/>
              <w:rPr>
                <w:rFonts w:cs="Arial"/>
              </w:rPr>
            </w:pPr>
            <w:r w:rsidRPr="00286F7D">
              <w:rPr>
                <w:rFonts w:cs="Arial"/>
                <w:b/>
                <w:bCs/>
              </w:rPr>
              <w:t xml:space="preserve">  IV</w:t>
            </w:r>
          </w:p>
        </w:tc>
        <w:tc>
          <w:tcPr>
            <w:tcW w:w="2427" w:type="dxa"/>
            <w:tcBorders>
              <w:top w:val="single" w:sz="6" w:space="0" w:color="auto"/>
              <w:left w:val="single" w:sz="6" w:space="0" w:color="auto"/>
              <w:bottom w:val="single" w:sz="6" w:space="0" w:color="auto"/>
              <w:right w:val="single" w:sz="6" w:space="0" w:color="auto"/>
            </w:tcBorders>
          </w:tcPr>
          <w:p w14:paraId="7ED5A71F" w14:textId="77777777" w:rsidR="00286F7D" w:rsidRPr="00286F7D" w:rsidRDefault="00286F7D" w:rsidP="00286F7D">
            <w:pPr>
              <w:pStyle w:val="Texttabulky"/>
              <w:spacing w:after="0"/>
              <w:rPr>
                <w:rFonts w:cs="Arial"/>
              </w:rPr>
            </w:pPr>
            <w:r w:rsidRPr="00286F7D">
              <w:rPr>
                <w:rFonts w:cs="Arial"/>
                <w:b/>
                <w:bCs/>
                <w:caps/>
              </w:rPr>
              <w:t>sektor celkem</w:t>
            </w:r>
          </w:p>
        </w:tc>
        <w:tc>
          <w:tcPr>
            <w:tcW w:w="1083" w:type="dxa"/>
            <w:tcBorders>
              <w:top w:val="single" w:sz="6" w:space="0" w:color="auto"/>
              <w:left w:val="single" w:sz="6" w:space="0" w:color="auto"/>
              <w:bottom w:val="single" w:sz="6" w:space="0" w:color="auto"/>
              <w:right w:val="single" w:sz="6" w:space="0" w:color="auto"/>
            </w:tcBorders>
          </w:tcPr>
          <w:p w14:paraId="65795302" w14:textId="77777777" w:rsidR="00286F7D" w:rsidRPr="00286F7D" w:rsidRDefault="00286F7D" w:rsidP="00286F7D">
            <w:pPr>
              <w:pStyle w:val="Texttabulky"/>
              <w:spacing w:after="0"/>
              <w:rPr>
                <w:rFonts w:cs="Arial"/>
              </w:rPr>
            </w:pPr>
            <w:r w:rsidRPr="00286F7D">
              <w:rPr>
                <w:rFonts w:cs="Arial"/>
                <w:b/>
                <w:bCs/>
              </w:rPr>
              <w:t xml:space="preserve">        1 093</w:t>
            </w:r>
          </w:p>
        </w:tc>
        <w:tc>
          <w:tcPr>
            <w:tcW w:w="1047" w:type="dxa"/>
            <w:tcBorders>
              <w:top w:val="single" w:sz="6" w:space="0" w:color="auto"/>
              <w:left w:val="single" w:sz="6" w:space="0" w:color="auto"/>
              <w:bottom w:val="single" w:sz="6" w:space="0" w:color="auto"/>
              <w:right w:val="single" w:sz="6" w:space="0" w:color="auto"/>
            </w:tcBorders>
          </w:tcPr>
          <w:p w14:paraId="7A727294" w14:textId="77777777" w:rsidR="00286F7D" w:rsidRPr="00286F7D" w:rsidRDefault="00286F7D" w:rsidP="00286F7D">
            <w:pPr>
              <w:pStyle w:val="Texttabulky"/>
              <w:spacing w:after="0"/>
              <w:jc w:val="right"/>
              <w:rPr>
                <w:rFonts w:cs="Arial"/>
              </w:rPr>
            </w:pPr>
            <w:r w:rsidRPr="00286F7D">
              <w:rPr>
                <w:rFonts w:cs="Arial"/>
                <w:b/>
                <w:bCs/>
              </w:rPr>
              <w:t>980</w:t>
            </w:r>
          </w:p>
        </w:tc>
        <w:tc>
          <w:tcPr>
            <w:tcW w:w="750" w:type="dxa"/>
            <w:tcBorders>
              <w:top w:val="single" w:sz="6" w:space="0" w:color="auto"/>
              <w:left w:val="single" w:sz="6" w:space="0" w:color="auto"/>
              <w:bottom w:val="single" w:sz="6" w:space="0" w:color="auto"/>
              <w:right w:val="single" w:sz="6" w:space="0" w:color="auto"/>
            </w:tcBorders>
          </w:tcPr>
          <w:p w14:paraId="13A28577" w14:textId="77777777" w:rsidR="00286F7D" w:rsidRPr="00286F7D" w:rsidRDefault="00286F7D" w:rsidP="00286F7D">
            <w:pPr>
              <w:pStyle w:val="Texttabulky"/>
              <w:spacing w:after="0"/>
              <w:jc w:val="right"/>
              <w:rPr>
                <w:rFonts w:cs="Arial"/>
              </w:rPr>
            </w:pPr>
            <w:r w:rsidRPr="00286F7D">
              <w:rPr>
                <w:rFonts w:cs="Arial"/>
                <w:b/>
                <w:bCs/>
              </w:rPr>
              <w:t>9</w:t>
            </w:r>
          </w:p>
        </w:tc>
        <w:tc>
          <w:tcPr>
            <w:tcW w:w="963" w:type="dxa"/>
            <w:tcBorders>
              <w:top w:val="single" w:sz="6" w:space="0" w:color="auto"/>
              <w:left w:val="single" w:sz="6" w:space="0" w:color="auto"/>
              <w:bottom w:val="single" w:sz="6" w:space="0" w:color="auto"/>
              <w:right w:val="single" w:sz="6" w:space="0" w:color="auto"/>
            </w:tcBorders>
          </w:tcPr>
          <w:p w14:paraId="5CE6D6B5" w14:textId="77777777" w:rsidR="00286F7D" w:rsidRPr="00286F7D" w:rsidRDefault="00286F7D" w:rsidP="00286F7D">
            <w:pPr>
              <w:pStyle w:val="Texttabulky"/>
              <w:spacing w:after="0"/>
              <w:jc w:val="right"/>
              <w:rPr>
                <w:rFonts w:cs="Arial"/>
              </w:rPr>
            </w:pPr>
            <w:r w:rsidRPr="00286F7D">
              <w:rPr>
                <w:rFonts w:cs="Arial"/>
                <w:b/>
                <w:bCs/>
              </w:rPr>
              <w:t>998</w:t>
            </w:r>
          </w:p>
        </w:tc>
        <w:tc>
          <w:tcPr>
            <w:tcW w:w="976" w:type="dxa"/>
            <w:tcBorders>
              <w:top w:val="single" w:sz="6" w:space="0" w:color="auto"/>
              <w:left w:val="single" w:sz="6" w:space="0" w:color="auto"/>
              <w:bottom w:val="single" w:sz="6" w:space="0" w:color="auto"/>
              <w:right w:val="single" w:sz="6" w:space="0" w:color="auto"/>
            </w:tcBorders>
          </w:tcPr>
          <w:p w14:paraId="1EC7CB9A" w14:textId="77777777" w:rsidR="00286F7D" w:rsidRPr="00286F7D" w:rsidRDefault="00286F7D" w:rsidP="00286F7D">
            <w:pPr>
              <w:pStyle w:val="Texttabulky"/>
              <w:spacing w:after="0"/>
              <w:rPr>
                <w:rFonts w:cs="Arial"/>
              </w:rPr>
            </w:pPr>
            <w:r w:rsidRPr="00286F7D">
              <w:rPr>
                <w:rFonts w:cs="Arial"/>
                <w:b/>
                <w:bCs/>
              </w:rPr>
              <w:t xml:space="preserve">      + 318</w:t>
            </w:r>
          </w:p>
        </w:tc>
      </w:tr>
      <w:tr w:rsidR="00286F7D" w:rsidRPr="00286F7D" w14:paraId="1E6B7CFB" w14:textId="77777777" w:rsidTr="00286F7D">
        <w:tc>
          <w:tcPr>
            <w:tcW w:w="753" w:type="dxa"/>
            <w:tcBorders>
              <w:top w:val="single" w:sz="6" w:space="0" w:color="auto"/>
              <w:left w:val="single" w:sz="6" w:space="0" w:color="auto"/>
              <w:bottom w:val="single" w:sz="6" w:space="0" w:color="auto"/>
              <w:right w:val="single" w:sz="6" w:space="0" w:color="auto"/>
            </w:tcBorders>
          </w:tcPr>
          <w:p w14:paraId="69075C06" w14:textId="77777777" w:rsidR="00286F7D" w:rsidRPr="00286F7D" w:rsidRDefault="00286F7D" w:rsidP="00286F7D">
            <w:pPr>
              <w:pStyle w:val="Texttabulky"/>
              <w:spacing w:after="0"/>
              <w:jc w:val="right"/>
              <w:rPr>
                <w:rFonts w:cs="Arial"/>
              </w:rPr>
            </w:pPr>
            <w:r w:rsidRPr="00286F7D">
              <w:rPr>
                <w:rFonts w:cs="Arial"/>
              </w:rPr>
              <w:t>2</w:t>
            </w:r>
          </w:p>
        </w:tc>
        <w:tc>
          <w:tcPr>
            <w:tcW w:w="2427" w:type="dxa"/>
            <w:tcBorders>
              <w:top w:val="single" w:sz="6" w:space="0" w:color="auto"/>
              <w:left w:val="single" w:sz="6" w:space="0" w:color="auto"/>
              <w:bottom w:val="single" w:sz="6" w:space="0" w:color="auto"/>
              <w:right w:val="single" w:sz="6" w:space="0" w:color="auto"/>
            </w:tcBorders>
          </w:tcPr>
          <w:p w14:paraId="5A6237B5" w14:textId="77777777" w:rsidR="00286F7D" w:rsidRPr="00286F7D" w:rsidRDefault="00286F7D" w:rsidP="00286F7D">
            <w:pPr>
              <w:pStyle w:val="Texttabulky"/>
              <w:spacing w:after="0"/>
              <w:rPr>
                <w:rFonts w:cs="Arial"/>
              </w:rPr>
            </w:pPr>
            <w:r w:rsidRPr="00286F7D">
              <w:rPr>
                <w:rFonts w:cs="Arial"/>
              </w:rPr>
              <w:t>Přístav</w:t>
            </w:r>
          </w:p>
        </w:tc>
        <w:tc>
          <w:tcPr>
            <w:tcW w:w="1083" w:type="dxa"/>
            <w:tcBorders>
              <w:top w:val="single" w:sz="6" w:space="0" w:color="auto"/>
              <w:left w:val="single" w:sz="6" w:space="0" w:color="auto"/>
              <w:bottom w:val="single" w:sz="6" w:space="0" w:color="auto"/>
              <w:right w:val="single" w:sz="6" w:space="0" w:color="auto"/>
            </w:tcBorders>
          </w:tcPr>
          <w:p w14:paraId="04FFF951"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B0C54BE"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531BDF54"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6F537F57"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71492709"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434BD57B" w14:textId="77777777" w:rsidTr="00286F7D">
        <w:tc>
          <w:tcPr>
            <w:tcW w:w="753" w:type="dxa"/>
            <w:tcBorders>
              <w:top w:val="single" w:sz="6" w:space="0" w:color="auto"/>
              <w:left w:val="single" w:sz="6" w:space="0" w:color="auto"/>
              <w:bottom w:val="single" w:sz="6" w:space="0" w:color="auto"/>
              <w:right w:val="single" w:sz="6" w:space="0" w:color="auto"/>
            </w:tcBorders>
          </w:tcPr>
          <w:p w14:paraId="1CA674A4" w14:textId="77777777" w:rsidR="00286F7D" w:rsidRPr="00286F7D" w:rsidRDefault="00286F7D" w:rsidP="00286F7D">
            <w:pPr>
              <w:pStyle w:val="Texttabulky"/>
              <w:spacing w:after="0"/>
              <w:jc w:val="right"/>
              <w:rPr>
                <w:rFonts w:cs="Arial"/>
              </w:rPr>
            </w:pPr>
            <w:r w:rsidRPr="00286F7D">
              <w:rPr>
                <w:rFonts w:cs="Arial"/>
              </w:rPr>
              <w:t>3</w:t>
            </w:r>
          </w:p>
        </w:tc>
        <w:tc>
          <w:tcPr>
            <w:tcW w:w="2427" w:type="dxa"/>
            <w:tcBorders>
              <w:top w:val="single" w:sz="6" w:space="0" w:color="auto"/>
              <w:left w:val="single" w:sz="6" w:space="0" w:color="auto"/>
              <w:bottom w:val="single" w:sz="6" w:space="0" w:color="auto"/>
              <w:right w:val="single" w:sz="6" w:space="0" w:color="auto"/>
            </w:tcBorders>
          </w:tcPr>
          <w:p w14:paraId="38D567AF" w14:textId="77777777" w:rsidR="00286F7D" w:rsidRPr="00286F7D" w:rsidRDefault="00286F7D" w:rsidP="00286F7D">
            <w:pPr>
              <w:pStyle w:val="Texttabulky"/>
              <w:spacing w:after="0"/>
              <w:rPr>
                <w:rFonts w:cs="Arial"/>
              </w:rPr>
            </w:pPr>
            <w:r w:rsidRPr="00286F7D">
              <w:rPr>
                <w:rFonts w:cs="Arial"/>
              </w:rPr>
              <w:t>Děčínská výšina</w:t>
            </w:r>
          </w:p>
        </w:tc>
        <w:tc>
          <w:tcPr>
            <w:tcW w:w="1083" w:type="dxa"/>
            <w:tcBorders>
              <w:top w:val="single" w:sz="6" w:space="0" w:color="auto"/>
              <w:left w:val="single" w:sz="6" w:space="0" w:color="auto"/>
              <w:bottom w:val="single" w:sz="6" w:space="0" w:color="auto"/>
              <w:right w:val="single" w:sz="6" w:space="0" w:color="auto"/>
            </w:tcBorders>
          </w:tcPr>
          <w:p w14:paraId="6DF76F93"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488053C9"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7E1B29BF"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731D7B85"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4D189653"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F5DBEFB" w14:textId="77777777" w:rsidTr="00286F7D">
        <w:tc>
          <w:tcPr>
            <w:tcW w:w="753" w:type="dxa"/>
            <w:tcBorders>
              <w:top w:val="single" w:sz="6" w:space="0" w:color="auto"/>
              <w:left w:val="single" w:sz="6" w:space="0" w:color="auto"/>
              <w:bottom w:val="single" w:sz="6" w:space="0" w:color="auto"/>
              <w:right w:val="single" w:sz="6" w:space="0" w:color="auto"/>
            </w:tcBorders>
          </w:tcPr>
          <w:p w14:paraId="4F4995AA" w14:textId="77777777" w:rsidR="00286F7D" w:rsidRPr="00286F7D" w:rsidRDefault="00286F7D" w:rsidP="00286F7D">
            <w:pPr>
              <w:pStyle w:val="Texttabulky"/>
              <w:spacing w:after="0"/>
              <w:jc w:val="right"/>
              <w:rPr>
                <w:rFonts w:cs="Arial"/>
              </w:rPr>
            </w:pPr>
            <w:r w:rsidRPr="00286F7D">
              <w:rPr>
                <w:rFonts w:cs="Arial"/>
              </w:rPr>
              <w:t>39</w:t>
            </w:r>
          </w:p>
        </w:tc>
        <w:tc>
          <w:tcPr>
            <w:tcW w:w="2427" w:type="dxa"/>
            <w:tcBorders>
              <w:top w:val="single" w:sz="6" w:space="0" w:color="auto"/>
              <w:left w:val="single" w:sz="6" w:space="0" w:color="auto"/>
              <w:bottom w:val="single" w:sz="6" w:space="0" w:color="auto"/>
              <w:right w:val="single" w:sz="6" w:space="0" w:color="auto"/>
            </w:tcBorders>
          </w:tcPr>
          <w:p w14:paraId="54FF8D9F" w14:textId="77777777" w:rsidR="00286F7D" w:rsidRPr="00286F7D" w:rsidRDefault="00286F7D" w:rsidP="00286F7D">
            <w:pPr>
              <w:pStyle w:val="Texttabulky"/>
              <w:spacing w:after="0"/>
              <w:rPr>
                <w:rFonts w:cs="Arial"/>
              </w:rPr>
            </w:pPr>
            <w:r w:rsidRPr="00286F7D">
              <w:rPr>
                <w:rFonts w:cs="Arial"/>
              </w:rPr>
              <w:t>Prostřední Žleb</w:t>
            </w:r>
          </w:p>
        </w:tc>
        <w:tc>
          <w:tcPr>
            <w:tcW w:w="1083" w:type="dxa"/>
            <w:tcBorders>
              <w:top w:val="single" w:sz="6" w:space="0" w:color="auto"/>
              <w:left w:val="single" w:sz="6" w:space="0" w:color="auto"/>
              <w:bottom w:val="single" w:sz="6" w:space="0" w:color="auto"/>
              <w:right w:val="single" w:sz="6" w:space="0" w:color="auto"/>
            </w:tcBorders>
          </w:tcPr>
          <w:p w14:paraId="6AE8F80F"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0681357D"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25EDAE64" w14:textId="77777777" w:rsidR="00286F7D" w:rsidRPr="00286F7D" w:rsidRDefault="00286F7D" w:rsidP="00286F7D">
            <w:pPr>
              <w:pStyle w:val="Texttabulky"/>
              <w:spacing w:after="0"/>
              <w:jc w:val="right"/>
              <w:rPr>
                <w:rFonts w:cs="Arial"/>
              </w:rPr>
            </w:pPr>
            <w:r w:rsidRPr="00286F7D">
              <w:rPr>
                <w:rFonts w:cs="Arial"/>
              </w:rPr>
              <w:t>2</w:t>
            </w:r>
          </w:p>
        </w:tc>
        <w:tc>
          <w:tcPr>
            <w:tcW w:w="963" w:type="dxa"/>
            <w:tcBorders>
              <w:top w:val="single" w:sz="6" w:space="0" w:color="auto"/>
              <w:left w:val="single" w:sz="6" w:space="0" w:color="auto"/>
              <w:bottom w:val="single" w:sz="6" w:space="0" w:color="auto"/>
              <w:right w:val="single" w:sz="6" w:space="0" w:color="auto"/>
            </w:tcBorders>
          </w:tcPr>
          <w:p w14:paraId="2A47EBBA" w14:textId="77777777" w:rsidR="00286F7D" w:rsidRPr="00286F7D" w:rsidRDefault="00286F7D" w:rsidP="00286F7D">
            <w:pPr>
              <w:pStyle w:val="Texttabulky"/>
              <w:spacing w:after="0"/>
              <w:jc w:val="right"/>
              <w:rPr>
                <w:rFonts w:cs="Arial"/>
              </w:rPr>
            </w:pPr>
            <w:r w:rsidRPr="00286F7D">
              <w:rPr>
                <w:rFonts w:cs="Arial"/>
              </w:rPr>
              <w:t>76</w:t>
            </w:r>
          </w:p>
        </w:tc>
        <w:tc>
          <w:tcPr>
            <w:tcW w:w="976" w:type="dxa"/>
            <w:tcBorders>
              <w:top w:val="single" w:sz="6" w:space="0" w:color="auto"/>
              <w:left w:val="single" w:sz="6" w:space="0" w:color="auto"/>
              <w:bottom w:val="single" w:sz="6" w:space="0" w:color="auto"/>
              <w:right w:val="single" w:sz="6" w:space="0" w:color="auto"/>
            </w:tcBorders>
          </w:tcPr>
          <w:p w14:paraId="242AF74B" w14:textId="77777777" w:rsidR="00286F7D" w:rsidRPr="00286F7D" w:rsidRDefault="00286F7D" w:rsidP="00286F7D">
            <w:pPr>
              <w:pStyle w:val="Texttabulky"/>
              <w:spacing w:after="0"/>
              <w:rPr>
                <w:rFonts w:cs="Arial"/>
              </w:rPr>
            </w:pPr>
            <w:r w:rsidRPr="00286F7D">
              <w:rPr>
                <w:rFonts w:cs="Arial"/>
              </w:rPr>
              <w:t xml:space="preserve">        + 76</w:t>
            </w:r>
          </w:p>
        </w:tc>
      </w:tr>
      <w:tr w:rsidR="00286F7D" w:rsidRPr="00286F7D" w14:paraId="406B8DD0" w14:textId="77777777" w:rsidTr="00286F7D">
        <w:tc>
          <w:tcPr>
            <w:tcW w:w="753" w:type="dxa"/>
            <w:tcBorders>
              <w:top w:val="single" w:sz="6" w:space="0" w:color="auto"/>
              <w:left w:val="single" w:sz="6" w:space="0" w:color="auto"/>
              <w:bottom w:val="single" w:sz="6" w:space="0" w:color="auto"/>
              <w:right w:val="single" w:sz="6" w:space="0" w:color="auto"/>
            </w:tcBorders>
          </w:tcPr>
          <w:p w14:paraId="6A7468A4" w14:textId="77777777" w:rsidR="00286F7D" w:rsidRPr="00286F7D" w:rsidRDefault="00286F7D" w:rsidP="00286F7D">
            <w:pPr>
              <w:pStyle w:val="Texttabulky"/>
              <w:spacing w:after="0"/>
              <w:jc w:val="right"/>
              <w:rPr>
                <w:rFonts w:cs="Arial"/>
              </w:rPr>
            </w:pPr>
            <w:r w:rsidRPr="00286F7D">
              <w:rPr>
                <w:rFonts w:cs="Arial"/>
              </w:rPr>
              <w:t>40</w:t>
            </w:r>
          </w:p>
        </w:tc>
        <w:tc>
          <w:tcPr>
            <w:tcW w:w="2427" w:type="dxa"/>
            <w:tcBorders>
              <w:top w:val="single" w:sz="6" w:space="0" w:color="auto"/>
              <w:left w:val="single" w:sz="6" w:space="0" w:color="auto"/>
              <w:bottom w:val="single" w:sz="6" w:space="0" w:color="auto"/>
              <w:right w:val="single" w:sz="6" w:space="0" w:color="auto"/>
            </w:tcBorders>
          </w:tcPr>
          <w:p w14:paraId="0EDF4408" w14:textId="77777777" w:rsidR="00286F7D" w:rsidRPr="00286F7D" w:rsidRDefault="00286F7D" w:rsidP="00286F7D">
            <w:pPr>
              <w:pStyle w:val="Texttabulky"/>
              <w:spacing w:after="0"/>
              <w:rPr>
                <w:rFonts w:cs="Arial"/>
              </w:rPr>
            </w:pPr>
            <w:r w:rsidRPr="00286F7D">
              <w:rPr>
                <w:rFonts w:cs="Arial"/>
              </w:rPr>
              <w:t>Loubí</w:t>
            </w:r>
          </w:p>
        </w:tc>
        <w:tc>
          <w:tcPr>
            <w:tcW w:w="1083" w:type="dxa"/>
            <w:tcBorders>
              <w:top w:val="single" w:sz="6" w:space="0" w:color="auto"/>
              <w:left w:val="single" w:sz="6" w:space="0" w:color="auto"/>
              <w:bottom w:val="single" w:sz="6" w:space="0" w:color="auto"/>
              <w:right w:val="single" w:sz="6" w:space="0" w:color="auto"/>
            </w:tcBorders>
          </w:tcPr>
          <w:p w14:paraId="2641A254"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3EFD2591"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1096F63C"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0A710503"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2CD9F3D2"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2EFC84ED" w14:textId="77777777" w:rsidTr="00286F7D">
        <w:tc>
          <w:tcPr>
            <w:tcW w:w="753" w:type="dxa"/>
            <w:tcBorders>
              <w:top w:val="single" w:sz="6" w:space="0" w:color="auto"/>
              <w:left w:val="single" w:sz="6" w:space="0" w:color="auto"/>
              <w:bottom w:val="single" w:sz="6" w:space="0" w:color="auto"/>
              <w:right w:val="single" w:sz="6" w:space="0" w:color="auto"/>
            </w:tcBorders>
          </w:tcPr>
          <w:p w14:paraId="792C4C2F" w14:textId="77777777" w:rsidR="00286F7D" w:rsidRPr="00286F7D" w:rsidRDefault="00286F7D" w:rsidP="00286F7D">
            <w:pPr>
              <w:pStyle w:val="Texttabulky"/>
              <w:spacing w:after="0"/>
              <w:jc w:val="right"/>
              <w:rPr>
                <w:rFonts w:cs="Arial"/>
              </w:rPr>
            </w:pPr>
            <w:r w:rsidRPr="00286F7D">
              <w:rPr>
                <w:rFonts w:cs="Arial"/>
              </w:rPr>
              <w:t>65</w:t>
            </w:r>
          </w:p>
        </w:tc>
        <w:tc>
          <w:tcPr>
            <w:tcW w:w="2427" w:type="dxa"/>
            <w:tcBorders>
              <w:top w:val="single" w:sz="6" w:space="0" w:color="auto"/>
              <w:left w:val="single" w:sz="6" w:space="0" w:color="auto"/>
              <w:bottom w:val="single" w:sz="6" w:space="0" w:color="auto"/>
              <w:right w:val="single" w:sz="6" w:space="0" w:color="auto"/>
            </w:tcBorders>
          </w:tcPr>
          <w:p w14:paraId="3373AF4C" w14:textId="77777777" w:rsidR="00286F7D" w:rsidRPr="00286F7D" w:rsidRDefault="00286F7D" w:rsidP="00286F7D">
            <w:pPr>
              <w:pStyle w:val="Texttabulky"/>
              <w:spacing w:after="0"/>
              <w:rPr>
                <w:rFonts w:cs="Arial"/>
              </w:rPr>
            </w:pPr>
            <w:r w:rsidRPr="00286F7D">
              <w:rPr>
                <w:rFonts w:cs="Arial"/>
              </w:rPr>
              <w:t>Horní Žleb</w:t>
            </w:r>
          </w:p>
        </w:tc>
        <w:tc>
          <w:tcPr>
            <w:tcW w:w="1083" w:type="dxa"/>
            <w:tcBorders>
              <w:top w:val="single" w:sz="6" w:space="0" w:color="auto"/>
              <w:left w:val="single" w:sz="6" w:space="0" w:color="auto"/>
              <w:bottom w:val="single" w:sz="6" w:space="0" w:color="auto"/>
              <w:right w:val="single" w:sz="6" w:space="0" w:color="auto"/>
            </w:tcBorders>
          </w:tcPr>
          <w:p w14:paraId="7818B2C6"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68F50A9"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2316519E"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2A45D54B"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54146F3E"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022C9ED8" w14:textId="77777777" w:rsidTr="00286F7D">
        <w:tc>
          <w:tcPr>
            <w:tcW w:w="753" w:type="dxa"/>
            <w:tcBorders>
              <w:top w:val="single" w:sz="6" w:space="0" w:color="auto"/>
              <w:left w:val="single" w:sz="6" w:space="0" w:color="auto"/>
              <w:bottom w:val="single" w:sz="6" w:space="0" w:color="auto"/>
              <w:right w:val="single" w:sz="6" w:space="0" w:color="auto"/>
            </w:tcBorders>
          </w:tcPr>
          <w:p w14:paraId="2884450D" w14:textId="77777777" w:rsidR="00286F7D" w:rsidRPr="00286F7D" w:rsidRDefault="00286F7D" w:rsidP="00286F7D">
            <w:pPr>
              <w:pStyle w:val="Texttabulky"/>
              <w:spacing w:after="0"/>
              <w:rPr>
                <w:rFonts w:cs="Arial"/>
              </w:rPr>
            </w:pPr>
            <w:r w:rsidRPr="00286F7D">
              <w:rPr>
                <w:rFonts w:cs="Arial"/>
                <w:b/>
                <w:bCs/>
              </w:rPr>
              <w:t xml:space="preserve">   V</w:t>
            </w:r>
          </w:p>
        </w:tc>
        <w:tc>
          <w:tcPr>
            <w:tcW w:w="2427" w:type="dxa"/>
            <w:tcBorders>
              <w:top w:val="single" w:sz="6" w:space="0" w:color="auto"/>
              <w:left w:val="single" w:sz="6" w:space="0" w:color="auto"/>
              <w:bottom w:val="single" w:sz="6" w:space="0" w:color="auto"/>
              <w:right w:val="single" w:sz="6" w:space="0" w:color="auto"/>
            </w:tcBorders>
          </w:tcPr>
          <w:p w14:paraId="7559CC1A" w14:textId="77777777" w:rsidR="00286F7D" w:rsidRPr="00286F7D" w:rsidRDefault="00286F7D" w:rsidP="00286F7D">
            <w:pPr>
              <w:pStyle w:val="Texttabulky"/>
              <w:spacing w:after="0"/>
              <w:rPr>
                <w:rFonts w:cs="Arial"/>
              </w:rPr>
            </w:pPr>
            <w:r w:rsidRPr="00286F7D">
              <w:rPr>
                <w:rFonts w:cs="Arial"/>
                <w:b/>
                <w:bCs/>
                <w:caps/>
              </w:rPr>
              <w:t>sektor celkem</w:t>
            </w:r>
          </w:p>
        </w:tc>
        <w:tc>
          <w:tcPr>
            <w:tcW w:w="1083" w:type="dxa"/>
            <w:tcBorders>
              <w:top w:val="single" w:sz="6" w:space="0" w:color="auto"/>
              <w:left w:val="single" w:sz="6" w:space="0" w:color="auto"/>
              <w:bottom w:val="single" w:sz="6" w:space="0" w:color="auto"/>
              <w:right w:val="single" w:sz="6" w:space="0" w:color="auto"/>
            </w:tcBorders>
          </w:tcPr>
          <w:p w14:paraId="10F7ED1F" w14:textId="77777777" w:rsidR="00286F7D" w:rsidRPr="00286F7D" w:rsidRDefault="00286F7D" w:rsidP="00286F7D">
            <w:pPr>
              <w:pStyle w:val="Texttabulky"/>
              <w:spacing w:after="0"/>
              <w:jc w:val="right"/>
              <w:rPr>
                <w:rFonts w:cs="Arial"/>
              </w:rPr>
            </w:pPr>
            <w:r w:rsidRPr="00286F7D">
              <w:rPr>
                <w:rFonts w:cs="Arial"/>
                <w:b/>
                <w:bCs/>
              </w:rPr>
              <w:t>0</w:t>
            </w:r>
          </w:p>
        </w:tc>
        <w:tc>
          <w:tcPr>
            <w:tcW w:w="1047" w:type="dxa"/>
            <w:tcBorders>
              <w:top w:val="single" w:sz="6" w:space="0" w:color="auto"/>
              <w:left w:val="single" w:sz="6" w:space="0" w:color="auto"/>
              <w:bottom w:val="single" w:sz="6" w:space="0" w:color="auto"/>
              <w:right w:val="single" w:sz="6" w:space="0" w:color="auto"/>
            </w:tcBorders>
          </w:tcPr>
          <w:p w14:paraId="1250727D" w14:textId="77777777" w:rsidR="00286F7D" w:rsidRPr="00286F7D" w:rsidRDefault="00286F7D" w:rsidP="00286F7D">
            <w:pPr>
              <w:pStyle w:val="Texttabulky"/>
              <w:spacing w:after="0"/>
              <w:jc w:val="right"/>
              <w:rPr>
                <w:rFonts w:cs="Arial"/>
              </w:rPr>
            </w:pPr>
            <w:r w:rsidRPr="00286F7D">
              <w:rPr>
                <w:rFonts w:cs="Arial"/>
                <w:b/>
                <w:bCs/>
              </w:rPr>
              <w:t>0</w:t>
            </w:r>
          </w:p>
        </w:tc>
        <w:tc>
          <w:tcPr>
            <w:tcW w:w="750" w:type="dxa"/>
            <w:tcBorders>
              <w:top w:val="single" w:sz="6" w:space="0" w:color="auto"/>
              <w:left w:val="single" w:sz="6" w:space="0" w:color="auto"/>
              <w:bottom w:val="single" w:sz="6" w:space="0" w:color="auto"/>
              <w:right w:val="single" w:sz="6" w:space="0" w:color="auto"/>
            </w:tcBorders>
          </w:tcPr>
          <w:p w14:paraId="3344F00A" w14:textId="77777777" w:rsidR="00286F7D" w:rsidRPr="00286F7D" w:rsidRDefault="00286F7D" w:rsidP="00286F7D">
            <w:pPr>
              <w:pStyle w:val="Texttabulky"/>
              <w:spacing w:after="0"/>
              <w:jc w:val="right"/>
              <w:rPr>
                <w:rFonts w:cs="Arial"/>
              </w:rPr>
            </w:pPr>
            <w:r w:rsidRPr="00286F7D">
              <w:rPr>
                <w:rFonts w:cs="Arial"/>
                <w:b/>
                <w:bCs/>
              </w:rPr>
              <w:t>2</w:t>
            </w:r>
          </w:p>
        </w:tc>
        <w:tc>
          <w:tcPr>
            <w:tcW w:w="963" w:type="dxa"/>
            <w:tcBorders>
              <w:top w:val="single" w:sz="6" w:space="0" w:color="auto"/>
              <w:left w:val="single" w:sz="6" w:space="0" w:color="auto"/>
              <w:bottom w:val="single" w:sz="6" w:space="0" w:color="auto"/>
              <w:right w:val="single" w:sz="6" w:space="0" w:color="auto"/>
            </w:tcBorders>
          </w:tcPr>
          <w:p w14:paraId="76B9862C" w14:textId="77777777" w:rsidR="00286F7D" w:rsidRPr="00286F7D" w:rsidRDefault="00286F7D" w:rsidP="00286F7D">
            <w:pPr>
              <w:pStyle w:val="Texttabulky"/>
              <w:spacing w:after="0"/>
              <w:jc w:val="right"/>
              <w:rPr>
                <w:rFonts w:cs="Arial"/>
              </w:rPr>
            </w:pPr>
            <w:r w:rsidRPr="00286F7D">
              <w:rPr>
                <w:rFonts w:cs="Arial"/>
                <w:b/>
                <w:bCs/>
              </w:rPr>
              <w:t>76</w:t>
            </w:r>
          </w:p>
        </w:tc>
        <w:tc>
          <w:tcPr>
            <w:tcW w:w="976" w:type="dxa"/>
            <w:tcBorders>
              <w:top w:val="single" w:sz="6" w:space="0" w:color="auto"/>
              <w:left w:val="single" w:sz="6" w:space="0" w:color="auto"/>
              <w:bottom w:val="single" w:sz="6" w:space="0" w:color="auto"/>
              <w:right w:val="single" w:sz="6" w:space="0" w:color="auto"/>
            </w:tcBorders>
          </w:tcPr>
          <w:p w14:paraId="465D3E52" w14:textId="77777777" w:rsidR="00286F7D" w:rsidRPr="00286F7D" w:rsidRDefault="00286F7D" w:rsidP="00286F7D">
            <w:pPr>
              <w:pStyle w:val="Texttabulky"/>
              <w:spacing w:after="0"/>
              <w:jc w:val="right"/>
              <w:rPr>
                <w:rFonts w:cs="Arial"/>
              </w:rPr>
            </w:pPr>
            <w:r w:rsidRPr="00286F7D">
              <w:rPr>
                <w:rFonts w:cs="Arial"/>
                <w:b/>
                <w:bCs/>
              </w:rPr>
              <w:t>+ 76</w:t>
            </w:r>
          </w:p>
        </w:tc>
      </w:tr>
      <w:tr w:rsidR="00286F7D" w:rsidRPr="00286F7D" w14:paraId="0B08BEBB" w14:textId="77777777" w:rsidTr="00286F7D">
        <w:tc>
          <w:tcPr>
            <w:tcW w:w="753" w:type="dxa"/>
            <w:tcBorders>
              <w:top w:val="single" w:sz="6" w:space="0" w:color="auto"/>
              <w:left w:val="single" w:sz="6" w:space="0" w:color="auto"/>
              <w:bottom w:val="single" w:sz="6" w:space="0" w:color="auto"/>
              <w:right w:val="single" w:sz="6" w:space="0" w:color="auto"/>
            </w:tcBorders>
          </w:tcPr>
          <w:p w14:paraId="04D669C9" w14:textId="77777777" w:rsidR="00286F7D" w:rsidRPr="00286F7D" w:rsidRDefault="00286F7D" w:rsidP="00286F7D">
            <w:pPr>
              <w:pStyle w:val="Texttabulky"/>
              <w:spacing w:after="0"/>
              <w:jc w:val="right"/>
              <w:rPr>
                <w:rFonts w:cs="Arial"/>
              </w:rPr>
            </w:pPr>
            <w:r w:rsidRPr="00286F7D">
              <w:rPr>
                <w:rFonts w:cs="Arial"/>
              </w:rPr>
              <w:t>4</w:t>
            </w:r>
          </w:p>
        </w:tc>
        <w:tc>
          <w:tcPr>
            <w:tcW w:w="2427" w:type="dxa"/>
            <w:tcBorders>
              <w:top w:val="single" w:sz="6" w:space="0" w:color="auto"/>
              <w:left w:val="single" w:sz="6" w:space="0" w:color="auto"/>
              <w:bottom w:val="single" w:sz="6" w:space="0" w:color="auto"/>
              <w:right w:val="single" w:sz="6" w:space="0" w:color="auto"/>
            </w:tcBorders>
          </w:tcPr>
          <w:p w14:paraId="30A50908" w14:textId="77777777" w:rsidR="00286F7D" w:rsidRPr="00286F7D" w:rsidRDefault="00286F7D" w:rsidP="00286F7D">
            <w:pPr>
              <w:pStyle w:val="Texttabulky"/>
              <w:spacing w:after="0"/>
              <w:rPr>
                <w:rFonts w:cs="Arial"/>
              </w:rPr>
            </w:pPr>
            <w:r w:rsidRPr="00286F7D">
              <w:rPr>
                <w:rFonts w:cs="Arial"/>
              </w:rPr>
              <w:t>Nemocnice</w:t>
            </w:r>
          </w:p>
        </w:tc>
        <w:tc>
          <w:tcPr>
            <w:tcW w:w="1083" w:type="dxa"/>
            <w:tcBorders>
              <w:top w:val="single" w:sz="6" w:space="0" w:color="auto"/>
              <w:left w:val="single" w:sz="6" w:space="0" w:color="auto"/>
              <w:bottom w:val="single" w:sz="6" w:space="0" w:color="auto"/>
              <w:right w:val="single" w:sz="6" w:space="0" w:color="auto"/>
            </w:tcBorders>
          </w:tcPr>
          <w:p w14:paraId="46584D8A" w14:textId="77777777" w:rsidR="00286F7D" w:rsidRPr="00286F7D" w:rsidRDefault="00286F7D" w:rsidP="00286F7D">
            <w:pPr>
              <w:pStyle w:val="Texttabulky"/>
              <w:spacing w:after="0"/>
              <w:jc w:val="right"/>
              <w:rPr>
                <w:rFonts w:cs="Arial"/>
              </w:rPr>
            </w:pPr>
            <w:r w:rsidRPr="00286F7D">
              <w:rPr>
                <w:rFonts w:cs="Arial"/>
              </w:rPr>
              <w:t>20</w:t>
            </w:r>
          </w:p>
        </w:tc>
        <w:tc>
          <w:tcPr>
            <w:tcW w:w="1047" w:type="dxa"/>
            <w:tcBorders>
              <w:top w:val="single" w:sz="6" w:space="0" w:color="auto"/>
              <w:left w:val="single" w:sz="6" w:space="0" w:color="auto"/>
              <w:bottom w:val="single" w:sz="6" w:space="0" w:color="auto"/>
              <w:right w:val="single" w:sz="6" w:space="0" w:color="auto"/>
            </w:tcBorders>
          </w:tcPr>
          <w:p w14:paraId="44A38954" w14:textId="77777777" w:rsidR="00286F7D" w:rsidRPr="00286F7D" w:rsidRDefault="00286F7D" w:rsidP="00286F7D">
            <w:pPr>
              <w:pStyle w:val="Texttabulky"/>
              <w:spacing w:after="0"/>
              <w:jc w:val="right"/>
              <w:rPr>
                <w:rFonts w:cs="Arial"/>
              </w:rPr>
            </w:pPr>
            <w:r w:rsidRPr="00286F7D">
              <w:rPr>
                <w:rFonts w:cs="Arial"/>
              </w:rPr>
              <w:t>20</w:t>
            </w:r>
          </w:p>
        </w:tc>
        <w:tc>
          <w:tcPr>
            <w:tcW w:w="750" w:type="dxa"/>
            <w:tcBorders>
              <w:top w:val="single" w:sz="6" w:space="0" w:color="auto"/>
              <w:left w:val="single" w:sz="6" w:space="0" w:color="auto"/>
              <w:bottom w:val="single" w:sz="6" w:space="0" w:color="auto"/>
              <w:right w:val="single" w:sz="6" w:space="0" w:color="auto"/>
            </w:tcBorders>
          </w:tcPr>
          <w:p w14:paraId="50D823BF"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0EE03420"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4A3C6C04" w14:textId="77777777" w:rsidR="00286F7D" w:rsidRPr="00286F7D" w:rsidRDefault="00286F7D" w:rsidP="00286F7D">
            <w:pPr>
              <w:pStyle w:val="Texttabulky"/>
              <w:spacing w:after="0"/>
              <w:jc w:val="right"/>
              <w:rPr>
                <w:rFonts w:cs="Arial"/>
              </w:rPr>
            </w:pPr>
            <w:r w:rsidRPr="00286F7D">
              <w:rPr>
                <w:rFonts w:cs="Arial"/>
              </w:rPr>
              <w:t>-20</w:t>
            </w:r>
          </w:p>
        </w:tc>
      </w:tr>
      <w:tr w:rsidR="00286F7D" w:rsidRPr="00286F7D" w14:paraId="56888526" w14:textId="77777777" w:rsidTr="00286F7D">
        <w:tc>
          <w:tcPr>
            <w:tcW w:w="753" w:type="dxa"/>
            <w:tcBorders>
              <w:top w:val="single" w:sz="6" w:space="0" w:color="auto"/>
              <w:left w:val="single" w:sz="6" w:space="0" w:color="auto"/>
              <w:bottom w:val="single" w:sz="6" w:space="0" w:color="auto"/>
              <w:right w:val="single" w:sz="6" w:space="0" w:color="auto"/>
            </w:tcBorders>
          </w:tcPr>
          <w:p w14:paraId="6989C746" w14:textId="77777777" w:rsidR="00286F7D" w:rsidRPr="00286F7D" w:rsidRDefault="00286F7D" w:rsidP="00286F7D">
            <w:pPr>
              <w:pStyle w:val="Texttabulky"/>
              <w:spacing w:after="0"/>
              <w:jc w:val="right"/>
              <w:rPr>
                <w:rFonts w:cs="Arial"/>
              </w:rPr>
            </w:pPr>
            <w:r w:rsidRPr="00286F7D">
              <w:rPr>
                <w:rFonts w:cs="Arial"/>
              </w:rPr>
              <w:t>5</w:t>
            </w:r>
          </w:p>
        </w:tc>
        <w:tc>
          <w:tcPr>
            <w:tcW w:w="2427" w:type="dxa"/>
            <w:tcBorders>
              <w:top w:val="single" w:sz="6" w:space="0" w:color="auto"/>
              <w:left w:val="single" w:sz="6" w:space="0" w:color="auto"/>
              <w:bottom w:val="single" w:sz="6" w:space="0" w:color="auto"/>
              <w:right w:val="single" w:sz="6" w:space="0" w:color="auto"/>
            </w:tcBorders>
          </w:tcPr>
          <w:p w14:paraId="65AEC33C" w14:textId="77777777" w:rsidR="00286F7D" w:rsidRPr="00286F7D" w:rsidRDefault="00286F7D" w:rsidP="00286F7D">
            <w:pPr>
              <w:pStyle w:val="Texttabulky"/>
              <w:spacing w:after="0"/>
              <w:rPr>
                <w:rFonts w:cs="Arial"/>
              </w:rPr>
            </w:pPr>
            <w:r w:rsidRPr="00286F7D">
              <w:rPr>
                <w:rFonts w:cs="Arial"/>
              </w:rPr>
              <w:t>Kamenická</w:t>
            </w:r>
          </w:p>
        </w:tc>
        <w:tc>
          <w:tcPr>
            <w:tcW w:w="1083" w:type="dxa"/>
            <w:tcBorders>
              <w:top w:val="single" w:sz="6" w:space="0" w:color="auto"/>
              <w:left w:val="single" w:sz="6" w:space="0" w:color="auto"/>
              <w:bottom w:val="single" w:sz="6" w:space="0" w:color="auto"/>
              <w:right w:val="single" w:sz="6" w:space="0" w:color="auto"/>
            </w:tcBorders>
          </w:tcPr>
          <w:p w14:paraId="7C84C9D5" w14:textId="77777777" w:rsidR="00286F7D" w:rsidRPr="00286F7D" w:rsidRDefault="00286F7D" w:rsidP="00286F7D">
            <w:pPr>
              <w:pStyle w:val="Texttabulky"/>
              <w:spacing w:after="0"/>
              <w:jc w:val="right"/>
              <w:rPr>
                <w:rFonts w:cs="Arial"/>
              </w:rPr>
            </w:pPr>
            <w:r w:rsidRPr="00286F7D">
              <w:rPr>
                <w:rFonts w:cs="Arial"/>
              </w:rPr>
              <w:t>270</w:t>
            </w:r>
          </w:p>
        </w:tc>
        <w:tc>
          <w:tcPr>
            <w:tcW w:w="1047" w:type="dxa"/>
            <w:tcBorders>
              <w:top w:val="single" w:sz="6" w:space="0" w:color="auto"/>
              <w:left w:val="single" w:sz="6" w:space="0" w:color="auto"/>
              <w:bottom w:val="single" w:sz="6" w:space="0" w:color="auto"/>
              <w:right w:val="single" w:sz="6" w:space="0" w:color="auto"/>
            </w:tcBorders>
          </w:tcPr>
          <w:p w14:paraId="0D3FE5F2" w14:textId="77777777" w:rsidR="00286F7D" w:rsidRPr="00286F7D" w:rsidRDefault="00286F7D" w:rsidP="00286F7D">
            <w:pPr>
              <w:pStyle w:val="Texttabulky"/>
              <w:spacing w:after="0"/>
              <w:jc w:val="right"/>
              <w:rPr>
                <w:rFonts w:cs="Arial"/>
              </w:rPr>
            </w:pPr>
            <w:r w:rsidRPr="00286F7D">
              <w:rPr>
                <w:rFonts w:cs="Arial"/>
              </w:rPr>
              <w:t>250</w:t>
            </w:r>
          </w:p>
        </w:tc>
        <w:tc>
          <w:tcPr>
            <w:tcW w:w="750" w:type="dxa"/>
            <w:tcBorders>
              <w:top w:val="single" w:sz="6" w:space="0" w:color="auto"/>
              <w:left w:val="single" w:sz="6" w:space="0" w:color="auto"/>
              <w:bottom w:val="single" w:sz="6" w:space="0" w:color="auto"/>
              <w:right w:val="single" w:sz="6" w:space="0" w:color="auto"/>
            </w:tcBorders>
          </w:tcPr>
          <w:p w14:paraId="6765283D" w14:textId="77777777" w:rsidR="00286F7D" w:rsidRPr="00286F7D" w:rsidRDefault="00286F7D" w:rsidP="00286F7D">
            <w:pPr>
              <w:pStyle w:val="Texttabulky"/>
              <w:spacing w:after="0"/>
              <w:jc w:val="right"/>
              <w:rPr>
                <w:rFonts w:cs="Arial"/>
              </w:rPr>
            </w:pPr>
            <w:r w:rsidRPr="00286F7D">
              <w:rPr>
                <w:rFonts w:cs="Arial"/>
              </w:rPr>
              <w:t>5</w:t>
            </w:r>
          </w:p>
        </w:tc>
        <w:tc>
          <w:tcPr>
            <w:tcW w:w="963" w:type="dxa"/>
            <w:tcBorders>
              <w:top w:val="single" w:sz="6" w:space="0" w:color="auto"/>
              <w:left w:val="single" w:sz="6" w:space="0" w:color="auto"/>
              <w:bottom w:val="single" w:sz="6" w:space="0" w:color="auto"/>
              <w:right w:val="single" w:sz="6" w:space="0" w:color="auto"/>
            </w:tcBorders>
          </w:tcPr>
          <w:p w14:paraId="2EC59643" w14:textId="77777777" w:rsidR="00286F7D" w:rsidRPr="00286F7D" w:rsidRDefault="00286F7D" w:rsidP="00286F7D">
            <w:pPr>
              <w:pStyle w:val="Texttabulky"/>
              <w:spacing w:after="0"/>
              <w:jc w:val="right"/>
              <w:rPr>
                <w:rFonts w:cs="Arial"/>
              </w:rPr>
            </w:pPr>
            <w:r w:rsidRPr="00286F7D">
              <w:rPr>
                <w:rFonts w:cs="Arial"/>
              </w:rPr>
              <w:t>1 310</w:t>
            </w:r>
          </w:p>
        </w:tc>
        <w:tc>
          <w:tcPr>
            <w:tcW w:w="976" w:type="dxa"/>
            <w:tcBorders>
              <w:top w:val="single" w:sz="6" w:space="0" w:color="auto"/>
              <w:left w:val="single" w:sz="6" w:space="0" w:color="auto"/>
              <w:bottom w:val="single" w:sz="6" w:space="0" w:color="auto"/>
              <w:right w:val="single" w:sz="6" w:space="0" w:color="auto"/>
            </w:tcBorders>
          </w:tcPr>
          <w:p w14:paraId="6D22439B" w14:textId="77777777" w:rsidR="00286F7D" w:rsidRPr="00286F7D" w:rsidRDefault="00286F7D" w:rsidP="00286F7D">
            <w:pPr>
              <w:pStyle w:val="Texttabulky"/>
              <w:spacing w:after="0"/>
              <w:jc w:val="right"/>
              <w:rPr>
                <w:rFonts w:cs="Arial"/>
              </w:rPr>
            </w:pPr>
            <w:r w:rsidRPr="00286F7D">
              <w:rPr>
                <w:rFonts w:cs="Arial"/>
              </w:rPr>
              <w:t>+ 1 060</w:t>
            </w:r>
          </w:p>
        </w:tc>
      </w:tr>
      <w:tr w:rsidR="00286F7D" w:rsidRPr="00286F7D" w14:paraId="6A7F0D03" w14:textId="77777777" w:rsidTr="00286F7D">
        <w:tc>
          <w:tcPr>
            <w:tcW w:w="753" w:type="dxa"/>
            <w:tcBorders>
              <w:top w:val="single" w:sz="6" w:space="0" w:color="auto"/>
              <w:left w:val="single" w:sz="6" w:space="0" w:color="auto"/>
              <w:bottom w:val="single" w:sz="6" w:space="0" w:color="auto"/>
              <w:right w:val="single" w:sz="6" w:space="0" w:color="auto"/>
            </w:tcBorders>
          </w:tcPr>
          <w:p w14:paraId="4E68D5C0" w14:textId="77777777" w:rsidR="00286F7D" w:rsidRPr="00286F7D" w:rsidRDefault="00286F7D" w:rsidP="00286F7D">
            <w:pPr>
              <w:pStyle w:val="Texttabulky"/>
              <w:spacing w:after="0"/>
              <w:jc w:val="right"/>
              <w:rPr>
                <w:rFonts w:cs="Arial"/>
              </w:rPr>
            </w:pPr>
            <w:r w:rsidRPr="00286F7D">
              <w:rPr>
                <w:rFonts w:cs="Arial"/>
              </w:rPr>
              <w:t>6</w:t>
            </w:r>
          </w:p>
        </w:tc>
        <w:tc>
          <w:tcPr>
            <w:tcW w:w="2427" w:type="dxa"/>
            <w:tcBorders>
              <w:top w:val="single" w:sz="6" w:space="0" w:color="auto"/>
              <w:left w:val="single" w:sz="6" w:space="0" w:color="auto"/>
              <w:bottom w:val="single" w:sz="6" w:space="0" w:color="auto"/>
              <w:right w:val="single" w:sz="6" w:space="0" w:color="auto"/>
            </w:tcBorders>
          </w:tcPr>
          <w:p w14:paraId="26DD0383" w14:textId="77777777" w:rsidR="00286F7D" w:rsidRPr="00286F7D" w:rsidRDefault="00286F7D" w:rsidP="00286F7D">
            <w:pPr>
              <w:pStyle w:val="Texttabulky"/>
              <w:spacing w:after="0"/>
              <w:rPr>
                <w:rFonts w:cs="Arial"/>
              </w:rPr>
            </w:pPr>
            <w:r w:rsidRPr="00286F7D">
              <w:rPr>
                <w:rFonts w:cs="Arial"/>
              </w:rPr>
              <w:t>U nemocnice</w:t>
            </w:r>
          </w:p>
        </w:tc>
        <w:tc>
          <w:tcPr>
            <w:tcW w:w="1083" w:type="dxa"/>
            <w:tcBorders>
              <w:top w:val="single" w:sz="6" w:space="0" w:color="auto"/>
              <w:left w:val="single" w:sz="6" w:space="0" w:color="auto"/>
              <w:bottom w:val="single" w:sz="6" w:space="0" w:color="auto"/>
              <w:right w:val="single" w:sz="6" w:space="0" w:color="auto"/>
            </w:tcBorders>
          </w:tcPr>
          <w:p w14:paraId="07DC8D7D" w14:textId="77777777" w:rsidR="00286F7D" w:rsidRPr="00286F7D" w:rsidRDefault="00286F7D" w:rsidP="00286F7D">
            <w:pPr>
              <w:pStyle w:val="Texttabulky"/>
              <w:spacing w:after="0"/>
              <w:jc w:val="right"/>
              <w:rPr>
                <w:rFonts w:cs="Arial"/>
              </w:rPr>
            </w:pPr>
            <w:r w:rsidRPr="00286F7D">
              <w:rPr>
                <w:rFonts w:cs="Arial"/>
              </w:rPr>
              <w:t>502</w:t>
            </w:r>
          </w:p>
        </w:tc>
        <w:tc>
          <w:tcPr>
            <w:tcW w:w="1047" w:type="dxa"/>
            <w:tcBorders>
              <w:top w:val="single" w:sz="6" w:space="0" w:color="auto"/>
              <w:left w:val="single" w:sz="6" w:space="0" w:color="auto"/>
              <w:bottom w:val="single" w:sz="6" w:space="0" w:color="auto"/>
              <w:right w:val="single" w:sz="6" w:space="0" w:color="auto"/>
            </w:tcBorders>
          </w:tcPr>
          <w:p w14:paraId="332CA02B" w14:textId="77777777" w:rsidR="00286F7D" w:rsidRPr="00286F7D" w:rsidRDefault="00286F7D" w:rsidP="00286F7D">
            <w:pPr>
              <w:pStyle w:val="Texttabulky"/>
              <w:spacing w:after="0"/>
              <w:jc w:val="right"/>
              <w:rPr>
                <w:rFonts w:cs="Arial"/>
              </w:rPr>
            </w:pPr>
            <w:r w:rsidRPr="00286F7D">
              <w:rPr>
                <w:rFonts w:cs="Arial"/>
              </w:rPr>
              <w:t>450</w:t>
            </w:r>
          </w:p>
        </w:tc>
        <w:tc>
          <w:tcPr>
            <w:tcW w:w="750" w:type="dxa"/>
            <w:tcBorders>
              <w:top w:val="single" w:sz="6" w:space="0" w:color="auto"/>
              <w:left w:val="single" w:sz="6" w:space="0" w:color="auto"/>
              <w:bottom w:val="single" w:sz="6" w:space="0" w:color="auto"/>
              <w:right w:val="single" w:sz="6" w:space="0" w:color="auto"/>
            </w:tcBorders>
          </w:tcPr>
          <w:p w14:paraId="52096E75"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4EDF5A5E"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699A9626" w14:textId="77777777" w:rsidR="00286F7D" w:rsidRPr="00286F7D" w:rsidRDefault="00286F7D" w:rsidP="00286F7D">
            <w:pPr>
              <w:pStyle w:val="Texttabulky"/>
              <w:spacing w:after="0"/>
              <w:rPr>
                <w:rFonts w:cs="Arial"/>
              </w:rPr>
            </w:pPr>
            <w:r w:rsidRPr="00286F7D">
              <w:rPr>
                <w:rFonts w:cs="Arial"/>
              </w:rPr>
              <w:t xml:space="preserve">        -450</w:t>
            </w:r>
          </w:p>
        </w:tc>
      </w:tr>
      <w:tr w:rsidR="00286F7D" w:rsidRPr="00286F7D" w14:paraId="35CA31EA" w14:textId="77777777" w:rsidTr="00286F7D">
        <w:tc>
          <w:tcPr>
            <w:tcW w:w="753" w:type="dxa"/>
            <w:tcBorders>
              <w:top w:val="single" w:sz="6" w:space="0" w:color="auto"/>
              <w:left w:val="single" w:sz="6" w:space="0" w:color="auto"/>
              <w:bottom w:val="single" w:sz="6" w:space="0" w:color="auto"/>
              <w:right w:val="single" w:sz="6" w:space="0" w:color="auto"/>
            </w:tcBorders>
          </w:tcPr>
          <w:p w14:paraId="27232ACC" w14:textId="77777777" w:rsidR="00286F7D" w:rsidRPr="00286F7D" w:rsidRDefault="00286F7D" w:rsidP="00286F7D">
            <w:pPr>
              <w:pStyle w:val="Texttabulky"/>
              <w:spacing w:after="0"/>
              <w:jc w:val="right"/>
              <w:rPr>
                <w:rFonts w:cs="Arial"/>
              </w:rPr>
            </w:pPr>
            <w:r w:rsidRPr="00286F7D">
              <w:rPr>
                <w:rFonts w:cs="Arial"/>
              </w:rPr>
              <w:t>7</w:t>
            </w:r>
          </w:p>
        </w:tc>
        <w:tc>
          <w:tcPr>
            <w:tcW w:w="2427" w:type="dxa"/>
            <w:tcBorders>
              <w:top w:val="single" w:sz="6" w:space="0" w:color="auto"/>
              <w:left w:val="single" w:sz="6" w:space="0" w:color="auto"/>
              <w:bottom w:val="single" w:sz="6" w:space="0" w:color="auto"/>
              <w:right w:val="single" w:sz="6" w:space="0" w:color="auto"/>
            </w:tcBorders>
          </w:tcPr>
          <w:p w14:paraId="0B2D8D82" w14:textId="77777777" w:rsidR="00286F7D" w:rsidRPr="00286F7D" w:rsidRDefault="00286F7D" w:rsidP="00286F7D">
            <w:pPr>
              <w:pStyle w:val="Texttabulky"/>
              <w:spacing w:after="0"/>
              <w:rPr>
                <w:rFonts w:cs="Arial"/>
              </w:rPr>
            </w:pPr>
            <w:r w:rsidRPr="00286F7D">
              <w:rPr>
                <w:rFonts w:cs="Arial"/>
              </w:rPr>
              <w:t>Nad Slovankou</w:t>
            </w:r>
          </w:p>
        </w:tc>
        <w:tc>
          <w:tcPr>
            <w:tcW w:w="1083" w:type="dxa"/>
            <w:tcBorders>
              <w:top w:val="single" w:sz="6" w:space="0" w:color="auto"/>
              <w:left w:val="single" w:sz="6" w:space="0" w:color="auto"/>
              <w:bottom w:val="single" w:sz="6" w:space="0" w:color="auto"/>
              <w:right w:val="single" w:sz="6" w:space="0" w:color="auto"/>
            </w:tcBorders>
          </w:tcPr>
          <w:p w14:paraId="6D9A6CF2" w14:textId="77777777" w:rsidR="00286F7D" w:rsidRPr="00286F7D" w:rsidRDefault="00286F7D" w:rsidP="00286F7D">
            <w:pPr>
              <w:pStyle w:val="Texttabulky"/>
              <w:spacing w:after="0"/>
              <w:jc w:val="right"/>
              <w:rPr>
                <w:rFonts w:cs="Arial"/>
              </w:rPr>
            </w:pPr>
            <w:r w:rsidRPr="00286F7D">
              <w:rPr>
                <w:rFonts w:cs="Arial"/>
              </w:rPr>
              <w:t>316</w:t>
            </w:r>
          </w:p>
        </w:tc>
        <w:tc>
          <w:tcPr>
            <w:tcW w:w="1047" w:type="dxa"/>
            <w:tcBorders>
              <w:top w:val="single" w:sz="6" w:space="0" w:color="auto"/>
              <w:left w:val="single" w:sz="6" w:space="0" w:color="auto"/>
              <w:bottom w:val="single" w:sz="6" w:space="0" w:color="auto"/>
              <w:right w:val="single" w:sz="6" w:space="0" w:color="auto"/>
            </w:tcBorders>
          </w:tcPr>
          <w:p w14:paraId="58526D02" w14:textId="77777777" w:rsidR="00286F7D" w:rsidRPr="00286F7D" w:rsidRDefault="00286F7D" w:rsidP="00286F7D">
            <w:pPr>
              <w:pStyle w:val="Texttabulky"/>
              <w:spacing w:after="0"/>
              <w:jc w:val="right"/>
              <w:rPr>
                <w:rFonts w:cs="Arial"/>
              </w:rPr>
            </w:pPr>
            <w:r w:rsidRPr="00286F7D">
              <w:rPr>
                <w:rFonts w:cs="Arial"/>
              </w:rPr>
              <w:t>300</w:t>
            </w:r>
          </w:p>
        </w:tc>
        <w:tc>
          <w:tcPr>
            <w:tcW w:w="750" w:type="dxa"/>
            <w:tcBorders>
              <w:top w:val="single" w:sz="6" w:space="0" w:color="auto"/>
              <w:left w:val="single" w:sz="6" w:space="0" w:color="auto"/>
              <w:bottom w:val="single" w:sz="6" w:space="0" w:color="auto"/>
              <w:right w:val="single" w:sz="6" w:space="0" w:color="auto"/>
            </w:tcBorders>
          </w:tcPr>
          <w:p w14:paraId="6D2CD18C"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6B6FD04F"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3B9748A2" w14:textId="77777777" w:rsidR="00286F7D" w:rsidRPr="00286F7D" w:rsidRDefault="00286F7D" w:rsidP="00286F7D">
            <w:pPr>
              <w:pStyle w:val="Texttabulky"/>
              <w:spacing w:after="0"/>
              <w:jc w:val="right"/>
              <w:rPr>
                <w:rFonts w:cs="Arial"/>
              </w:rPr>
            </w:pPr>
            <w:r w:rsidRPr="00286F7D">
              <w:rPr>
                <w:rFonts w:cs="Arial"/>
              </w:rPr>
              <w:t>-300</w:t>
            </w:r>
          </w:p>
        </w:tc>
      </w:tr>
      <w:tr w:rsidR="00286F7D" w:rsidRPr="00286F7D" w14:paraId="35CFF134" w14:textId="77777777" w:rsidTr="00286F7D">
        <w:tc>
          <w:tcPr>
            <w:tcW w:w="753" w:type="dxa"/>
            <w:tcBorders>
              <w:top w:val="single" w:sz="6" w:space="0" w:color="auto"/>
              <w:left w:val="single" w:sz="6" w:space="0" w:color="auto"/>
              <w:bottom w:val="single" w:sz="6" w:space="0" w:color="auto"/>
              <w:right w:val="single" w:sz="6" w:space="0" w:color="auto"/>
            </w:tcBorders>
          </w:tcPr>
          <w:p w14:paraId="28E9A74A" w14:textId="77777777" w:rsidR="00286F7D" w:rsidRPr="00286F7D" w:rsidRDefault="00286F7D" w:rsidP="00286F7D">
            <w:pPr>
              <w:pStyle w:val="Texttabulky"/>
              <w:spacing w:after="0"/>
              <w:jc w:val="right"/>
              <w:rPr>
                <w:rFonts w:cs="Arial"/>
              </w:rPr>
            </w:pPr>
            <w:r w:rsidRPr="00286F7D">
              <w:rPr>
                <w:rFonts w:cs="Arial"/>
              </w:rPr>
              <w:t>8</w:t>
            </w:r>
          </w:p>
        </w:tc>
        <w:tc>
          <w:tcPr>
            <w:tcW w:w="2427" w:type="dxa"/>
            <w:tcBorders>
              <w:top w:val="single" w:sz="6" w:space="0" w:color="auto"/>
              <w:left w:val="single" w:sz="6" w:space="0" w:color="auto"/>
              <w:bottom w:val="single" w:sz="6" w:space="0" w:color="auto"/>
              <w:right w:val="single" w:sz="6" w:space="0" w:color="auto"/>
            </w:tcBorders>
          </w:tcPr>
          <w:p w14:paraId="26C38E16" w14:textId="77777777" w:rsidR="00286F7D" w:rsidRPr="00286F7D" w:rsidRDefault="00286F7D" w:rsidP="00286F7D">
            <w:pPr>
              <w:pStyle w:val="Texttabulky"/>
              <w:spacing w:after="0"/>
              <w:rPr>
                <w:rFonts w:cs="Arial"/>
              </w:rPr>
            </w:pPr>
            <w:r w:rsidRPr="00286F7D">
              <w:rPr>
                <w:rFonts w:cs="Arial"/>
              </w:rPr>
              <w:t>U cihelny</w:t>
            </w:r>
          </w:p>
        </w:tc>
        <w:tc>
          <w:tcPr>
            <w:tcW w:w="1083" w:type="dxa"/>
            <w:tcBorders>
              <w:top w:val="single" w:sz="6" w:space="0" w:color="auto"/>
              <w:left w:val="single" w:sz="6" w:space="0" w:color="auto"/>
              <w:bottom w:val="single" w:sz="6" w:space="0" w:color="auto"/>
              <w:right w:val="single" w:sz="6" w:space="0" w:color="auto"/>
            </w:tcBorders>
          </w:tcPr>
          <w:p w14:paraId="372EB16B"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15591E08"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16E1C950"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6EF4C293"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3ED96A4D"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F768DB6" w14:textId="77777777" w:rsidTr="00286F7D">
        <w:tc>
          <w:tcPr>
            <w:tcW w:w="753" w:type="dxa"/>
            <w:tcBorders>
              <w:top w:val="single" w:sz="6" w:space="0" w:color="auto"/>
              <w:left w:val="single" w:sz="6" w:space="0" w:color="auto"/>
              <w:bottom w:val="single" w:sz="6" w:space="0" w:color="auto"/>
              <w:right w:val="single" w:sz="6" w:space="0" w:color="auto"/>
            </w:tcBorders>
          </w:tcPr>
          <w:p w14:paraId="05651A95" w14:textId="77777777" w:rsidR="00286F7D" w:rsidRPr="00286F7D" w:rsidRDefault="00286F7D" w:rsidP="00286F7D">
            <w:pPr>
              <w:pStyle w:val="Texttabulky"/>
              <w:spacing w:after="0"/>
              <w:jc w:val="right"/>
              <w:rPr>
                <w:rFonts w:cs="Arial"/>
              </w:rPr>
            </w:pPr>
            <w:r w:rsidRPr="00286F7D">
              <w:rPr>
                <w:rFonts w:cs="Arial"/>
              </w:rPr>
              <w:t>9</w:t>
            </w:r>
          </w:p>
        </w:tc>
        <w:tc>
          <w:tcPr>
            <w:tcW w:w="2427" w:type="dxa"/>
            <w:tcBorders>
              <w:top w:val="single" w:sz="6" w:space="0" w:color="auto"/>
              <w:left w:val="single" w:sz="6" w:space="0" w:color="auto"/>
              <w:bottom w:val="single" w:sz="6" w:space="0" w:color="auto"/>
              <w:right w:val="single" w:sz="6" w:space="0" w:color="auto"/>
            </w:tcBorders>
          </w:tcPr>
          <w:p w14:paraId="12B96C92" w14:textId="77777777" w:rsidR="00286F7D" w:rsidRPr="00286F7D" w:rsidRDefault="00286F7D" w:rsidP="00286F7D">
            <w:pPr>
              <w:pStyle w:val="Texttabulky"/>
              <w:spacing w:after="0"/>
              <w:rPr>
                <w:rFonts w:cs="Arial"/>
              </w:rPr>
            </w:pPr>
            <w:r w:rsidRPr="00286F7D">
              <w:rPr>
                <w:rFonts w:cs="Arial"/>
              </w:rPr>
              <w:t>Východní nádraží</w:t>
            </w:r>
          </w:p>
        </w:tc>
        <w:tc>
          <w:tcPr>
            <w:tcW w:w="1083" w:type="dxa"/>
            <w:tcBorders>
              <w:top w:val="single" w:sz="6" w:space="0" w:color="auto"/>
              <w:left w:val="single" w:sz="6" w:space="0" w:color="auto"/>
              <w:bottom w:val="single" w:sz="6" w:space="0" w:color="auto"/>
              <w:right w:val="single" w:sz="6" w:space="0" w:color="auto"/>
            </w:tcBorders>
          </w:tcPr>
          <w:p w14:paraId="6E86D77B"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46057D99"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5BB0306B"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113E70E9"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237E4DAC"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0D883E9C" w14:textId="77777777" w:rsidTr="00286F7D">
        <w:tc>
          <w:tcPr>
            <w:tcW w:w="753" w:type="dxa"/>
            <w:tcBorders>
              <w:top w:val="single" w:sz="6" w:space="0" w:color="auto"/>
              <w:left w:val="single" w:sz="6" w:space="0" w:color="auto"/>
              <w:bottom w:val="single" w:sz="6" w:space="0" w:color="auto"/>
              <w:right w:val="single" w:sz="6" w:space="0" w:color="auto"/>
            </w:tcBorders>
          </w:tcPr>
          <w:p w14:paraId="42274ADF" w14:textId="77777777" w:rsidR="00286F7D" w:rsidRPr="00286F7D" w:rsidRDefault="00286F7D" w:rsidP="00286F7D">
            <w:pPr>
              <w:pStyle w:val="Texttabulky"/>
              <w:spacing w:after="0"/>
              <w:jc w:val="right"/>
              <w:rPr>
                <w:rFonts w:cs="Arial"/>
              </w:rPr>
            </w:pPr>
            <w:r w:rsidRPr="00286F7D">
              <w:rPr>
                <w:rFonts w:cs="Arial"/>
              </w:rPr>
              <w:t>12</w:t>
            </w:r>
          </w:p>
        </w:tc>
        <w:tc>
          <w:tcPr>
            <w:tcW w:w="2427" w:type="dxa"/>
            <w:tcBorders>
              <w:top w:val="single" w:sz="6" w:space="0" w:color="auto"/>
              <w:left w:val="single" w:sz="6" w:space="0" w:color="auto"/>
              <w:bottom w:val="single" w:sz="6" w:space="0" w:color="auto"/>
              <w:right w:val="single" w:sz="6" w:space="0" w:color="auto"/>
            </w:tcBorders>
          </w:tcPr>
          <w:p w14:paraId="787018FC" w14:textId="77777777" w:rsidR="00286F7D" w:rsidRPr="00286F7D" w:rsidRDefault="00286F7D" w:rsidP="00286F7D">
            <w:pPr>
              <w:pStyle w:val="Texttabulky"/>
              <w:spacing w:after="0"/>
              <w:rPr>
                <w:rFonts w:cs="Arial"/>
              </w:rPr>
            </w:pPr>
            <w:r w:rsidRPr="00286F7D">
              <w:rPr>
                <w:rFonts w:cs="Arial"/>
              </w:rPr>
              <w:t>Staré Město</w:t>
            </w:r>
          </w:p>
        </w:tc>
        <w:tc>
          <w:tcPr>
            <w:tcW w:w="1083" w:type="dxa"/>
            <w:tcBorders>
              <w:top w:val="single" w:sz="6" w:space="0" w:color="auto"/>
              <w:left w:val="single" w:sz="6" w:space="0" w:color="auto"/>
              <w:bottom w:val="single" w:sz="6" w:space="0" w:color="auto"/>
              <w:right w:val="single" w:sz="6" w:space="0" w:color="auto"/>
            </w:tcBorders>
          </w:tcPr>
          <w:p w14:paraId="7F7B82CA" w14:textId="77777777" w:rsidR="00286F7D" w:rsidRPr="00286F7D" w:rsidRDefault="00286F7D" w:rsidP="00286F7D">
            <w:pPr>
              <w:pStyle w:val="Texttabulky"/>
              <w:spacing w:after="0"/>
              <w:jc w:val="right"/>
              <w:rPr>
                <w:rFonts w:cs="Arial"/>
              </w:rPr>
            </w:pPr>
            <w:r w:rsidRPr="00286F7D">
              <w:rPr>
                <w:rFonts w:cs="Arial"/>
              </w:rPr>
              <w:t>483</w:t>
            </w:r>
          </w:p>
        </w:tc>
        <w:tc>
          <w:tcPr>
            <w:tcW w:w="1047" w:type="dxa"/>
            <w:tcBorders>
              <w:top w:val="single" w:sz="6" w:space="0" w:color="auto"/>
              <w:left w:val="single" w:sz="6" w:space="0" w:color="auto"/>
              <w:bottom w:val="single" w:sz="6" w:space="0" w:color="auto"/>
              <w:right w:val="single" w:sz="6" w:space="0" w:color="auto"/>
            </w:tcBorders>
          </w:tcPr>
          <w:p w14:paraId="40557A57" w14:textId="77777777" w:rsidR="00286F7D" w:rsidRPr="00286F7D" w:rsidRDefault="00286F7D" w:rsidP="00286F7D">
            <w:pPr>
              <w:pStyle w:val="Texttabulky"/>
              <w:spacing w:after="0"/>
              <w:jc w:val="right"/>
              <w:rPr>
                <w:rFonts w:cs="Arial"/>
              </w:rPr>
            </w:pPr>
            <w:r w:rsidRPr="00286F7D">
              <w:rPr>
                <w:rFonts w:cs="Arial"/>
              </w:rPr>
              <w:t>450</w:t>
            </w:r>
          </w:p>
        </w:tc>
        <w:tc>
          <w:tcPr>
            <w:tcW w:w="750" w:type="dxa"/>
            <w:tcBorders>
              <w:top w:val="single" w:sz="6" w:space="0" w:color="auto"/>
              <w:left w:val="single" w:sz="6" w:space="0" w:color="auto"/>
              <w:bottom w:val="single" w:sz="6" w:space="0" w:color="auto"/>
              <w:right w:val="single" w:sz="6" w:space="0" w:color="auto"/>
            </w:tcBorders>
          </w:tcPr>
          <w:p w14:paraId="2A43384B" w14:textId="77777777" w:rsidR="00286F7D" w:rsidRPr="00286F7D" w:rsidRDefault="00286F7D" w:rsidP="00286F7D">
            <w:pPr>
              <w:pStyle w:val="Texttabulky"/>
              <w:spacing w:after="0"/>
              <w:jc w:val="right"/>
              <w:rPr>
                <w:rFonts w:cs="Arial"/>
              </w:rPr>
            </w:pPr>
            <w:r w:rsidRPr="00286F7D">
              <w:rPr>
                <w:rFonts w:cs="Arial"/>
              </w:rPr>
              <w:t>2</w:t>
            </w:r>
          </w:p>
        </w:tc>
        <w:tc>
          <w:tcPr>
            <w:tcW w:w="963" w:type="dxa"/>
            <w:tcBorders>
              <w:top w:val="single" w:sz="6" w:space="0" w:color="auto"/>
              <w:left w:val="single" w:sz="6" w:space="0" w:color="auto"/>
              <w:bottom w:val="single" w:sz="6" w:space="0" w:color="auto"/>
              <w:right w:val="single" w:sz="6" w:space="0" w:color="auto"/>
            </w:tcBorders>
          </w:tcPr>
          <w:p w14:paraId="6FD3632B" w14:textId="77777777" w:rsidR="00286F7D" w:rsidRPr="00286F7D" w:rsidRDefault="00286F7D" w:rsidP="00286F7D">
            <w:pPr>
              <w:pStyle w:val="Texttabulky"/>
              <w:spacing w:after="0"/>
              <w:jc w:val="right"/>
              <w:rPr>
                <w:rFonts w:cs="Arial"/>
              </w:rPr>
            </w:pPr>
            <w:r w:rsidRPr="00286F7D">
              <w:rPr>
                <w:rFonts w:cs="Arial"/>
              </w:rPr>
              <w:t>242</w:t>
            </w:r>
          </w:p>
        </w:tc>
        <w:tc>
          <w:tcPr>
            <w:tcW w:w="976" w:type="dxa"/>
            <w:tcBorders>
              <w:top w:val="single" w:sz="6" w:space="0" w:color="auto"/>
              <w:left w:val="single" w:sz="6" w:space="0" w:color="auto"/>
              <w:bottom w:val="single" w:sz="6" w:space="0" w:color="auto"/>
              <w:right w:val="single" w:sz="6" w:space="0" w:color="auto"/>
            </w:tcBorders>
          </w:tcPr>
          <w:p w14:paraId="1B90653B" w14:textId="77777777" w:rsidR="00286F7D" w:rsidRPr="00286F7D" w:rsidRDefault="00286F7D" w:rsidP="00286F7D">
            <w:pPr>
              <w:pStyle w:val="Texttabulky"/>
              <w:spacing w:after="0"/>
              <w:jc w:val="right"/>
              <w:rPr>
                <w:rFonts w:cs="Arial"/>
              </w:rPr>
            </w:pPr>
            <w:r w:rsidRPr="00286F7D">
              <w:rPr>
                <w:rFonts w:cs="Arial"/>
              </w:rPr>
              <w:t>-208</w:t>
            </w:r>
          </w:p>
        </w:tc>
      </w:tr>
      <w:tr w:rsidR="00286F7D" w:rsidRPr="00286F7D" w14:paraId="5B566911" w14:textId="77777777" w:rsidTr="00286F7D">
        <w:tc>
          <w:tcPr>
            <w:tcW w:w="753" w:type="dxa"/>
            <w:tcBorders>
              <w:top w:val="single" w:sz="6" w:space="0" w:color="auto"/>
              <w:left w:val="single" w:sz="6" w:space="0" w:color="auto"/>
              <w:bottom w:val="single" w:sz="6" w:space="0" w:color="auto"/>
              <w:right w:val="single" w:sz="6" w:space="0" w:color="auto"/>
            </w:tcBorders>
          </w:tcPr>
          <w:p w14:paraId="3ED6A6A9" w14:textId="77777777" w:rsidR="00286F7D" w:rsidRPr="00286F7D" w:rsidRDefault="00286F7D" w:rsidP="00286F7D">
            <w:pPr>
              <w:pStyle w:val="Texttabulky"/>
              <w:spacing w:after="0"/>
              <w:jc w:val="right"/>
              <w:rPr>
                <w:rFonts w:cs="Arial"/>
              </w:rPr>
            </w:pPr>
            <w:r w:rsidRPr="00286F7D">
              <w:rPr>
                <w:rFonts w:cs="Arial"/>
              </w:rPr>
              <w:t>13</w:t>
            </w:r>
          </w:p>
        </w:tc>
        <w:tc>
          <w:tcPr>
            <w:tcW w:w="2427" w:type="dxa"/>
            <w:tcBorders>
              <w:top w:val="single" w:sz="6" w:space="0" w:color="auto"/>
              <w:left w:val="single" w:sz="6" w:space="0" w:color="auto"/>
              <w:bottom w:val="single" w:sz="6" w:space="0" w:color="auto"/>
              <w:right w:val="single" w:sz="6" w:space="0" w:color="auto"/>
            </w:tcBorders>
          </w:tcPr>
          <w:p w14:paraId="4BC47FE1" w14:textId="77777777" w:rsidR="00286F7D" w:rsidRPr="00286F7D" w:rsidRDefault="00286F7D" w:rsidP="00286F7D">
            <w:pPr>
              <w:pStyle w:val="Texttabulky"/>
              <w:spacing w:after="0"/>
              <w:rPr>
                <w:rFonts w:cs="Arial"/>
              </w:rPr>
            </w:pPr>
            <w:r w:rsidRPr="00286F7D">
              <w:rPr>
                <w:rFonts w:cs="Arial"/>
              </w:rPr>
              <w:t>U Ploučnice</w:t>
            </w:r>
          </w:p>
        </w:tc>
        <w:tc>
          <w:tcPr>
            <w:tcW w:w="1083" w:type="dxa"/>
            <w:tcBorders>
              <w:top w:val="single" w:sz="6" w:space="0" w:color="auto"/>
              <w:left w:val="single" w:sz="6" w:space="0" w:color="auto"/>
              <w:bottom w:val="single" w:sz="6" w:space="0" w:color="auto"/>
              <w:right w:val="single" w:sz="6" w:space="0" w:color="auto"/>
            </w:tcBorders>
          </w:tcPr>
          <w:p w14:paraId="4C6AB673"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34E64035"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0039F059"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49C6378F"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544E4FC0"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DED3C85" w14:textId="77777777" w:rsidTr="00286F7D">
        <w:tc>
          <w:tcPr>
            <w:tcW w:w="753" w:type="dxa"/>
            <w:tcBorders>
              <w:top w:val="single" w:sz="6" w:space="0" w:color="auto"/>
              <w:left w:val="single" w:sz="6" w:space="0" w:color="auto"/>
              <w:bottom w:val="single" w:sz="6" w:space="0" w:color="auto"/>
              <w:right w:val="single" w:sz="6" w:space="0" w:color="auto"/>
            </w:tcBorders>
          </w:tcPr>
          <w:p w14:paraId="1D0995BB" w14:textId="77777777" w:rsidR="00286F7D" w:rsidRPr="00286F7D" w:rsidRDefault="00286F7D" w:rsidP="00286F7D">
            <w:pPr>
              <w:pStyle w:val="Texttabulky"/>
              <w:spacing w:after="0"/>
              <w:jc w:val="right"/>
              <w:rPr>
                <w:rFonts w:cs="Arial"/>
              </w:rPr>
            </w:pPr>
            <w:r w:rsidRPr="00286F7D">
              <w:rPr>
                <w:rFonts w:cs="Arial"/>
              </w:rPr>
              <w:t>15</w:t>
            </w:r>
          </w:p>
        </w:tc>
        <w:tc>
          <w:tcPr>
            <w:tcW w:w="2427" w:type="dxa"/>
            <w:tcBorders>
              <w:top w:val="single" w:sz="6" w:space="0" w:color="auto"/>
              <w:left w:val="single" w:sz="6" w:space="0" w:color="auto"/>
              <w:bottom w:val="single" w:sz="6" w:space="0" w:color="auto"/>
              <w:right w:val="single" w:sz="6" w:space="0" w:color="auto"/>
            </w:tcBorders>
          </w:tcPr>
          <w:p w14:paraId="13C1F7A2" w14:textId="77777777" w:rsidR="00286F7D" w:rsidRPr="00286F7D" w:rsidRDefault="00286F7D" w:rsidP="00286F7D">
            <w:pPr>
              <w:pStyle w:val="Texttabulky"/>
              <w:spacing w:after="0"/>
              <w:rPr>
                <w:rFonts w:cs="Arial"/>
              </w:rPr>
            </w:pPr>
            <w:r w:rsidRPr="00286F7D">
              <w:rPr>
                <w:rFonts w:cs="Arial"/>
              </w:rPr>
              <w:t>Pod Chlumem</w:t>
            </w:r>
          </w:p>
        </w:tc>
        <w:tc>
          <w:tcPr>
            <w:tcW w:w="1083" w:type="dxa"/>
            <w:tcBorders>
              <w:top w:val="single" w:sz="6" w:space="0" w:color="auto"/>
              <w:left w:val="single" w:sz="6" w:space="0" w:color="auto"/>
              <w:bottom w:val="single" w:sz="6" w:space="0" w:color="auto"/>
              <w:right w:val="single" w:sz="6" w:space="0" w:color="auto"/>
            </w:tcBorders>
          </w:tcPr>
          <w:p w14:paraId="1345CD62"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77E4DFAC"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2265B6BB"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331FF77B"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6C65F176"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586BCB74" w14:textId="77777777" w:rsidTr="00286F7D">
        <w:tc>
          <w:tcPr>
            <w:tcW w:w="753" w:type="dxa"/>
            <w:tcBorders>
              <w:top w:val="single" w:sz="6" w:space="0" w:color="auto"/>
              <w:left w:val="single" w:sz="6" w:space="0" w:color="auto"/>
              <w:bottom w:val="single" w:sz="6" w:space="0" w:color="auto"/>
              <w:right w:val="single" w:sz="6" w:space="0" w:color="auto"/>
            </w:tcBorders>
          </w:tcPr>
          <w:p w14:paraId="31378F83" w14:textId="77777777" w:rsidR="00286F7D" w:rsidRPr="00286F7D" w:rsidRDefault="00286F7D" w:rsidP="00286F7D">
            <w:pPr>
              <w:pStyle w:val="Texttabulky"/>
              <w:spacing w:after="0"/>
              <w:jc w:val="right"/>
              <w:rPr>
                <w:rFonts w:cs="Arial"/>
              </w:rPr>
            </w:pPr>
            <w:r w:rsidRPr="00286F7D">
              <w:rPr>
                <w:rFonts w:cs="Arial"/>
              </w:rPr>
              <w:t>47</w:t>
            </w:r>
          </w:p>
        </w:tc>
        <w:tc>
          <w:tcPr>
            <w:tcW w:w="2427" w:type="dxa"/>
            <w:tcBorders>
              <w:top w:val="single" w:sz="6" w:space="0" w:color="auto"/>
              <w:left w:val="single" w:sz="6" w:space="0" w:color="auto"/>
              <w:bottom w:val="single" w:sz="6" w:space="0" w:color="auto"/>
              <w:right w:val="single" w:sz="6" w:space="0" w:color="auto"/>
            </w:tcBorders>
          </w:tcPr>
          <w:p w14:paraId="3B895C39" w14:textId="77777777" w:rsidR="00286F7D" w:rsidRPr="00286F7D" w:rsidRDefault="00286F7D" w:rsidP="00286F7D">
            <w:pPr>
              <w:pStyle w:val="Texttabulky"/>
              <w:spacing w:after="0"/>
              <w:rPr>
                <w:rFonts w:cs="Arial"/>
              </w:rPr>
            </w:pPr>
            <w:r w:rsidRPr="00286F7D">
              <w:rPr>
                <w:rFonts w:cs="Arial"/>
              </w:rPr>
              <w:t>Folknáře</w:t>
            </w:r>
          </w:p>
        </w:tc>
        <w:tc>
          <w:tcPr>
            <w:tcW w:w="1083" w:type="dxa"/>
            <w:tcBorders>
              <w:top w:val="single" w:sz="6" w:space="0" w:color="auto"/>
              <w:left w:val="single" w:sz="6" w:space="0" w:color="auto"/>
              <w:bottom w:val="single" w:sz="6" w:space="0" w:color="auto"/>
              <w:right w:val="single" w:sz="6" w:space="0" w:color="auto"/>
            </w:tcBorders>
          </w:tcPr>
          <w:p w14:paraId="1FA3C310"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87EF3CF"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695C3279"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110949D7"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2C627694"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74DEAB89" w14:textId="77777777" w:rsidTr="00286F7D">
        <w:tc>
          <w:tcPr>
            <w:tcW w:w="753" w:type="dxa"/>
            <w:tcBorders>
              <w:top w:val="single" w:sz="6" w:space="0" w:color="auto"/>
              <w:left w:val="single" w:sz="6" w:space="0" w:color="auto"/>
              <w:bottom w:val="single" w:sz="6" w:space="0" w:color="auto"/>
              <w:right w:val="single" w:sz="6" w:space="0" w:color="auto"/>
            </w:tcBorders>
          </w:tcPr>
          <w:p w14:paraId="3A690A1E" w14:textId="77777777" w:rsidR="00286F7D" w:rsidRPr="00286F7D" w:rsidRDefault="00286F7D" w:rsidP="00286F7D">
            <w:pPr>
              <w:pStyle w:val="Texttabulky"/>
              <w:spacing w:after="0"/>
              <w:jc w:val="right"/>
              <w:rPr>
                <w:rFonts w:cs="Arial"/>
              </w:rPr>
            </w:pPr>
            <w:r w:rsidRPr="00286F7D">
              <w:rPr>
                <w:rFonts w:cs="Arial"/>
              </w:rPr>
              <w:t>48</w:t>
            </w:r>
          </w:p>
        </w:tc>
        <w:tc>
          <w:tcPr>
            <w:tcW w:w="2427" w:type="dxa"/>
            <w:tcBorders>
              <w:top w:val="single" w:sz="6" w:space="0" w:color="auto"/>
              <w:left w:val="single" w:sz="6" w:space="0" w:color="auto"/>
              <w:bottom w:val="single" w:sz="6" w:space="0" w:color="auto"/>
              <w:right w:val="single" w:sz="6" w:space="0" w:color="auto"/>
            </w:tcBorders>
          </w:tcPr>
          <w:p w14:paraId="6AB5E6BB" w14:textId="77777777" w:rsidR="00286F7D" w:rsidRPr="00286F7D" w:rsidRDefault="00286F7D" w:rsidP="00286F7D">
            <w:pPr>
              <w:pStyle w:val="Texttabulky"/>
              <w:spacing w:after="0"/>
              <w:rPr>
                <w:rFonts w:cs="Arial"/>
              </w:rPr>
            </w:pPr>
            <w:r w:rsidRPr="00286F7D">
              <w:rPr>
                <w:rFonts w:cs="Arial"/>
                <w:caps/>
              </w:rPr>
              <w:t>B</w:t>
            </w:r>
            <w:r w:rsidRPr="00286F7D">
              <w:rPr>
                <w:rFonts w:cs="Arial"/>
              </w:rPr>
              <w:t>řeziny</w:t>
            </w:r>
            <w:r w:rsidRPr="00286F7D">
              <w:rPr>
                <w:rFonts w:cs="Arial"/>
                <w:caps/>
              </w:rPr>
              <w:t xml:space="preserve"> </w:t>
            </w:r>
          </w:p>
        </w:tc>
        <w:tc>
          <w:tcPr>
            <w:tcW w:w="1083" w:type="dxa"/>
            <w:tcBorders>
              <w:top w:val="single" w:sz="6" w:space="0" w:color="auto"/>
              <w:left w:val="single" w:sz="6" w:space="0" w:color="auto"/>
              <w:bottom w:val="single" w:sz="6" w:space="0" w:color="auto"/>
              <w:right w:val="single" w:sz="6" w:space="0" w:color="auto"/>
            </w:tcBorders>
          </w:tcPr>
          <w:p w14:paraId="5F6178DC" w14:textId="77777777" w:rsidR="00286F7D" w:rsidRPr="00286F7D" w:rsidRDefault="00286F7D" w:rsidP="00286F7D">
            <w:pPr>
              <w:pStyle w:val="Texttabulky"/>
              <w:spacing w:after="0"/>
              <w:jc w:val="right"/>
              <w:rPr>
                <w:rFonts w:cs="Arial"/>
              </w:rPr>
            </w:pPr>
            <w:r w:rsidRPr="00286F7D">
              <w:rPr>
                <w:rFonts w:cs="Arial"/>
              </w:rPr>
              <w:t>543</w:t>
            </w:r>
          </w:p>
        </w:tc>
        <w:tc>
          <w:tcPr>
            <w:tcW w:w="1047" w:type="dxa"/>
            <w:tcBorders>
              <w:top w:val="single" w:sz="6" w:space="0" w:color="auto"/>
              <w:left w:val="single" w:sz="6" w:space="0" w:color="auto"/>
              <w:bottom w:val="single" w:sz="6" w:space="0" w:color="auto"/>
              <w:right w:val="single" w:sz="6" w:space="0" w:color="auto"/>
            </w:tcBorders>
          </w:tcPr>
          <w:p w14:paraId="39668376" w14:textId="77777777" w:rsidR="00286F7D" w:rsidRPr="00286F7D" w:rsidRDefault="00286F7D" w:rsidP="00286F7D">
            <w:pPr>
              <w:pStyle w:val="Texttabulky"/>
              <w:spacing w:after="0"/>
              <w:jc w:val="right"/>
              <w:rPr>
                <w:rFonts w:cs="Arial"/>
              </w:rPr>
            </w:pPr>
            <w:r w:rsidRPr="00286F7D">
              <w:rPr>
                <w:rFonts w:cs="Arial"/>
              </w:rPr>
              <w:t>480</w:t>
            </w:r>
          </w:p>
        </w:tc>
        <w:tc>
          <w:tcPr>
            <w:tcW w:w="750" w:type="dxa"/>
            <w:tcBorders>
              <w:top w:val="single" w:sz="6" w:space="0" w:color="auto"/>
              <w:left w:val="single" w:sz="6" w:space="0" w:color="auto"/>
              <w:bottom w:val="single" w:sz="6" w:space="0" w:color="auto"/>
              <w:right w:val="single" w:sz="6" w:space="0" w:color="auto"/>
            </w:tcBorders>
          </w:tcPr>
          <w:p w14:paraId="2CCE2328" w14:textId="77777777" w:rsidR="00286F7D" w:rsidRPr="00286F7D" w:rsidRDefault="00286F7D" w:rsidP="00286F7D">
            <w:pPr>
              <w:pStyle w:val="Texttabulky"/>
              <w:spacing w:after="0"/>
              <w:jc w:val="right"/>
              <w:rPr>
                <w:rFonts w:cs="Arial"/>
              </w:rPr>
            </w:pPr>
            <w:r w:rsidRPr="00286F7D">
              <w:rPr>
                <w:rFonts w:cs="Arial"/>
              </w:rPr>
              <w:t>1</w:t>
            </w:r>
          </w:p>
        </w:tc>
        <w:tc>
          <w:tcPr>
            <w:tcW w:w="963" w:type="dxa"/>
            <w:tcBorders>
              <w:top w:val="single" w:sz="6" w:space="0" w:color="auto"/>
              <w:left w:val="single" w:sz="6" w:space="0" w:color="auto"/>
              <w:bottom w:val="single" w:sz="6" w:space="0" w:color="auto"/>
              <w:right w:val="single" w:sz="6" w:space="0" w:color="auto"/>
            </w:tcBorders>
          </w:tcPr>
          <w:p w14:paraId="7B276E79" w14:textId="77777777" w:rsidR="00286F7D" w:rsidRPr="00286F7D" w:rsidRDefault="00286F7D" w:rsidP="00286F7D">
            <w:pPr>
              <w:pStyle w:val="Texttabulky"/>
              <w:spacing w:after="0"/>
              <w:jc w:val="right"/>
              <w:rPr>
                <w:rFonts w:cs="Arial"/>
              </w:rPr>
            </w:pPr>
            <w:r w:rsidRPr="00286F7D">
              <w:rPr>
                <w:rFonts w:cs="Arial"/>
              </w:rPr>
              <w:t>154</w:t>
            </w:r>
          </w:p>
        </w:tc>
        <w:tc>
          <w:tcPr>
            <w:tcW w:w="976" w:type="dxa"/>
            <w:tcBorders>
              <w:top w:val="single" w:sz="6" w:space="0" w:color="auto"/>
              <w:left w:val="single" w:sz="6" w:space="0" w:color="auto"/>
              <w:bottom w:val="single" w:sz="6" w:space="0" w:color="auto"/>
              <w:right w:val="single" w:sz="6" w:space="0" w:color="auto"/>
            </w:tcBorders>
          </w:tcPr>
          <w:p w14:paraId="32C619F5" w14:textId="77777777" w:rsidR="00286F7D" w:rsidRPr="00286F7D" w:rsidRDefault="00286F7D" w:rsidP="00286F7D">
            <w:pPr>
              <w:pStyle w:val="Texttabulky"/>
              <w:spacing w:after="0"/>
              <w:jc w:val="right"/>
              <w:rPr>
                <w:rFonts w:cs="Arial"/>
              </w:rPr>
            </w:pPr>
            <w:r w:rsidRPr="00286F7D">
              <w:rPr>
                <w:rFonts w:cs="Arial"/>
              </w:rPr>
              <w:t>-326</w:t>
            </w:r>
          </w:p>
        </w:tc>
      </w:tr>
      <w:tr w:rsidR="00286F7D" w:rsidRPr="00286F7D" w14:paraId="4BD50A36" w14:textId="77777777" w:rsidTr="00286F7D">
        <w:tc>
          <w:tcPr>
            <w:tcW w:w="753" w:type="dxa"/>
            <w:tcBorders>
              <w:top w:val="single" w:sz="6" w:space="0" w:color="auto"/>
              <w:left w:val="single" w:sz="6" w:space="0" w:color="auto"/>
              <w:bottom w:val="single" w:sz="6" w:space="0" w:color="auto"/>
              <w:right w:val="single" w:sz="6" w:space="0" w:color="auto"/>
            </w:tcBorders>
          </w:tcPr>
          <w:p w14:paraId="1D679750" w14:textId="77777777" w:rsidR="00286F7D" w:rsidRPr="00286F7D" w:rsidRDefault="00286F7D" w:rsidP="00286F7D">
            <w:pPr>
              <w:pStyle w:val="Texttabulky"/>
              <w:spacing w:after="0"/>
              <w:rPr>
                <w:rFonts w:cs="Arial"/>
              </w:rPr>
            </w:pPr>
            <w:r w:rsidRPr="00286F7D">
              <w:rPr>
                <w:rFonts w:cs="Arial"/>
                <w:b/>
                <w:bCs/>
              </w:rPr>
              <w:t xml:space="preserve">  VI</w:t>
            </w:r>
          </w:p>
        </w:tc>
        <w:tc>
          <w:tcPr>
            <w:tcW w:w="2427" w:type="dxa"/>
            <w:tcBorders>
              <w:top w:val="single" w:sz="6" w:space="0" w:color="auto"/>
              <w:left w:val="single" w:sz="6" w:space="0" w:color="auto"/>
              <w:bottom w:val="single" w:sz="6" w:space="0" w:color="auto"/>
              <w:right w:val="single" w:sz="6" w:space="0" w:color="auto"/>
            </w:tcBorders>
          </w:tcPr>
          <w:p w14:paraId="2A24AB4F" w14:textId="77777777" w:rsidR="00286F7D" w:rsidRPr="00286F7D" w:rsidRDefault="00286F7D" w:rsidP="00286F7D">
            <w:pPr>
              <w:pStyle w:val="Texttabulky"/>
              <w:spacing w:after="0"/>
              <w:rPr>
                <w:rFonts w:cs="Arial"/>
              </w:rPr>
            </w:pPr>
            <w:r w:rsidRPr="00286F7D">
              <w:rPr>
                <w:rFonts w:cs="Arial"/>
                <w:b/>
                <w:bCs/>
                <w:caps/>
              </w:rPr>
              <w:t>sektor celkem</w:t>
            </w:r>
          </w:p>
        </w:tc>
        <w:tc>
          <w:tcPr>
            <w:tcW w:w="1083" w:type="dxa"/>
            <w:tcBorders>
              <w:top w:val="single" w:sz="6" w:space="0" w:color="auto"/>
              <w:left w:val="single" w:sz="6" w:space="0" w:color="auto"/>
              <w:bottom w:val="single" w:sz="6" w:space="0" w:color="auto"/>
              <w:right w:val="single" w:sz="6" w:space="0" w:color="auto"/>
            </w:tcBorders>
          </w:tcPr>
          <w:p w14:paraId="5BCCC7F8" w14:textId="77777777" w:rsidR="00286F7D" w:rsidRPr="00286F7D" w:rsidRDefault="00286F7D" w:rsidP="00286F7D">
            <w:pPr>
              <w:pStyle w:val="Texttabulky"/>
              <w:spacing w:after="0"/>
              <w:jc w:val="right"/>
              <w:rPr>
                <w:rFonts w:cs="Arial"/>
              </w:rPr>
            </w:pPr>
            <w:r w:rsidRPr="00286F7D">
              <w:rPr>
                <w:rFonts w:cs="Arial"/>
                <w:b/>
                <w:bCs/>
              </w:rPr>
              <w:t>2 134</w:t>
            </w:r>
          </w:p>
        </w:tc>
        <w:tc>
          <w:tcPr>
            <w:tcW w:w="1047" w:type="dxa"/>
            <w:tcBorders>
              <w:top w:val="single" w:sz="6" w:space="0" w:color="auto"/>
              <w:left w:val="single" w:sz="6" w:space="0" w:color="auto"/>
              <w:bottom w:val="single" w:sz="6" w:space="0" w:color="auto"/>
              <w:right w:val="single" w:sz="6" w:space="0" w:color="auto"/>
            </w:tcBorders>
          </w:tcPr>
          <w:p w14:paraId="5A205FDE" w14:textId="77777777" w:rsidR="00286F7D" w:rsidRPr="00286F7D" w:rsidRDefault="00286F7D" w:rsidP="00286F7D">
            <w:pPr>
              <w:pStyle w:val="Texttabulky"/>
              <w:spacing w:after="0"/>
              <w:jc w:val="right"/>
              <w:rPr>
                <w:rFonts w:cs="Arial"/>
              </w:rPr>
            </w:pPr>
            <w:r w:rsidRPr="00286F7D">
              <w:rPr>
                <w:rFonts w:cs="Arial"/>
                <w:b/>
                <w:bCs/>
              </w:rPr>
              <w:t>1 950</w:t>
            </w:r>
          </w:p>
        </w:tc>
        <w:tc>
          <w:tcPr>
            <w:tcW w:w="750" w:type="dxa"/>
            <w:tcBorders>
              <w:top w:val="single" w:sz="6" w:space="0" w:color="auto"/>
              <w:left w:val="single" w:sz="6" w:space="0" w:color="auto"/>
              <w:bottom w:val="single" w:sz="6" w:space="0" w:color="auto"/>
              <w:right w:val="single" w:sz="6" w:space="0" w:color="auto"/>
            </w:tcBorders>
          </w:tcPr>
          <w:p w14:paraId="270A9B45" w14:textId="77777777" w:rsidR="00286F7D" w:rsidRPr="00286F7D" w:rsidRDefault="00286F7D" w:rsidP="00286F7D">
            <w:pPr>
              <w:pStyle w:val="Texttabulky"/>
              <w:spacing w:after="0"/>
              <w:jc w:val="right"/>
              <w:rPr>
                <w:rFonts w:cs="Arial"/>
              </w:rPr>
            </w:pPr>
            <w:r w:rsidRPr="00286F7D">
              <w:rPr>
                <w:rFonts w:cs="Arial"/>
                <w:b/>
                <w:bCs/>
              </w:rPr>
              <w:t>10</w:t>
            </w:r>
          </w:p>
        </w:tc>
        <w:tc>
          <w:tcPr>
            <w:tcW w:w="963" w:type="dxa"/>
            <w:tcBorders>
              <w:top w:val="single" w:sz="6" w:space="0" w:color="auto"/>
              <w:left w:val="single" w:sz="6" w:space="0" w:color="auto"/>
              <w:bottom w:val="single" w:sz="6" w:space="0" w:color="auto"/>
              <w:right w:val="single" w:sz="6" w:space="0" w:color="auto"/>
            </w:tcBorders>
          </w:tcPr>
          <w:p w14:paraId="5CF374D1" w14:textId="77777777" w:rsidR="00286F7D" w:rsidRPr="00286F7D" w:rsidRDefault="00286F7D" w:rsidP="00286F7D">
            <w:pPr>
              <w:pStyle w:val="Texttabulky"/>
              <w:spacing w:after="0"/>
              <w:jc w:val="right"/>
              <w:rPr>
                <w:rFonts w:cs="Arial"/>
              </w:rPr>
            </w:pPr>
            <w:r w:rsidRPr="00286F7D">
              <w:rPr>
                <w:rFonts w:cs="Arial"/>
                <w:b/>
                <w:bCs/>
              </w:rPr>
              <w:t>1 706</w:t>
            </w:r>
          </w:p>
        </w:tc>
        <w:tc>
          <w:tcPr>
            <w:tcW w:w="976" w:type="dxa"/>
            <w:tcBorders>
              <w:top w:val="single" w:sz="6" w:space="0" w:color="auto"/>
              <w:left w:val="single" w:sz="6" w:space="0" w:color="auto"/>
              <w:bottom w:val="single" w:sz="6" w:space="0" w:color="auto"/>
              <w:right w:val="single" w:sz="6" w:space="0" w:color="auto"/>
            </w:tcBorders>
          </w:tcPr>
          <w:p w14:paraId="02D54C19" w14:textId="77777777" w:rsidR="00286F7D" w:rsidRPr="00286F7D" w:rsidRDefault="00286F7D" w:rsidP="00286F7D">
            <w:pPr>
              <w:pStyle w:val="Texttabulky"/>
              <w:spacing w:after="0"/>
              <w:jc w:val="right"/>
              <w:rPr>
                <w:rFonts w:cs="Arial"/>
              </w:rPr>
            </w:pPr>
            <w:r w:rsidRPr="00286F7D">
              <w:rPr>
                <w:rFonts w:cs="Arial"/>
                <w:b/>
                <w:bCs/>
              </w:rPr>
              <w:t>- 244</w:t>
            </w:r>
          </w:p>
        </w:tc>
      </w:tr>
      <w:tr w:rsidR="00286F7D" w:rsidRPr="00286F7D" w14:paraId="5A96BFB7" w14:textId="77777777" w:rsidTr="00286F7D">
        <w:tc>
          <w:tcPr>
            <w:tcW w:w="753" w:type="dxa"/>
            <w:tcBorders>
              <w:top w:val="single" w:sz="6" w:space="0" w:color="auto"/>
              <w:left w:val="single" w:sz="6" w:space="0" w:color="auto"/>
              <w:bottom w:val="single" w:sz="6" w:space="0" w:color="auto"/>
              <w:right w:val="single" w:sz="6" w:space="0" w:color="auto"/>
            </w:tcBorders>
          </w:tcPr>
          <w:p w14:paraId="46F59D20" w14:textId="77777777" w:rsidR="00286F7D" w:rsidRPr="00286F7D" w:rsidRDefault="00286F7D" w:rsidP="00286F7D">
            <w:pPr>
              <w:pStyle w:val="Texttabulky"/>
              <w:spacing w:after="0"/>
              <w:jc w:val="right"/>
              <w:rPr>
                <w:rFonts w:cs="Arial"/>
              </w:rPr>
            </w:pPr>
            <w:r w:rsidRPr="00286F7D">
              <w:rPr>
                <w:rFonts w:cs="Arial"/>
              </w:rPr>
              <w:t>14</w:t>
            </w:r>
          </w:p>
        </w:tc>
        <w:tc>
          <w:tcPr>
            <w:tcW w:w="2427" w:type="dxa"/>
            <w:tcBorders>
              <w:top w:val="single" w:sz="6" w:space="0" w:color="auto"/>
              <w:left w:val="single" w:sz="6" w:space="0" w:color="auto"/>
              <w:bottom w:val="single" w:sz="6" w:space="0" w:color="auto"/>
              <w:right w:val="single" w:sz="6" w:space="0" w:color="auto"/>
            </w:tcBorders>
          </w:tcPr>
          <w:p w14:paraId="5799A77F" w14:textId="77777777" w:rsidR="00286F7D" w:rsidRPr="00286F7D" w:rsidRDefault="00286F7D" w:rsidP="00286F7D">
            <w:pPr>
              <w:pStyle w:val="Texttabulky"/>
              <w:spacing w:after="0"/>
              <w:rPr>
                <w:rFonts w:cs="Arial"/>
              </w:rPr>
            </w:pPr>
            <w:r w:rsidRPr="00286F7D">
              <w:rPr>
                <w:rFonts w:cs="Arial"/>
              </w:rPr>
              <w:t>Chlumská stráň</w:t>
            </w:r>
          </w:p>
        </w:tc>
        <w:tc>
          <w:tcPr>
            <w:tcW w:w="1083" w:type="dxa"/>
            <w:tcBorders>
              <w:top w:val="single" w:sz="6" w:space="0" w:color="auto"/>
              <w:left w:val="single" w:sz="6" w:space="0" w:color="auto"/>
              <w:bottom w:val="single" w:sz="6" w:space="0" w:color="auto"/>
              <w:right w:val="single" w:sz="6" w:space="0" w:color="auto"/>
            </w:tcBorders>
          </w:tcPr>
          <w:p w14:paraId="3CBB88EE"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0180EB7B"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49D67911"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43EF6189"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517D9A56"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7B13B6B" w14:textId="77777777" w:rsidTr="00286F7D">
        <w:tc>
          <w:tcPr>
            <w:tcW w:w="753" w:type="dxa"/>
            <w:tcBorders>
              <w:top w:val="single" w:sz="6" w:space="0" w:color="auto"/>
              <w:left w:val="single" w:sz="6" w:space="0" w:color="auto"/>
              <w:bottom w:val="single" w:sz="6" w:space="0" w:color="auto"/>
              <w:right w:val="single" w:sz="6" w:space="0" w:color="auto"/>
            </w:tcBorders>
          </w:tcPr>
          <w:p w14:paraId="6445AD97" w14:textId="77777777" w:rsidR="00286F7D" w:rsidRPr="00286F7D" w:rsidRDefault="00286F7D" w:rsidP="00286F7D">
            <w:pPr>
              <w:pStyle w:val="Texttabulky"/>
              <w:spacing w:after="0"/>
              <w:jc w:val="right"/>
              <w:rPr>
                <w:rFonts w:cs="Arial"/>
              </w:rPr>
            </w:pPr>
            <w:r w:rsidRPr="00286F7D">
              <w:rPr>
                <w:rFonts w:cs="Arial"/>
              </w:rPr>
              <w:t>51</w:t>
            </w:r>
          </w:p>
        </w:tc>
        <w:tc>
          <w:tcPr>
            <w:tcW w:w="2427" w:type="dxa"/>
            <w:tcBorders>
              <w:top w:val="single" w:sz="6" w:space="0" w:color="auto"/>
              <w:left w:val="single" w:sz="6" w:space="0" w:color="auto"/>
              <w:bottom w:val="single" w:sz="6" w:space="0" w:color="auto"/>
              <w:right w:val="single" w:sz="6" w:space="0" w:color="auto"/>
            </w:tcBorders>
          </w:tcPr>
          <w:p w14:paraId="60215916" w14:textId="77777777" w:rsidR="00286F7D" w:rsidRPr="00286F7D" w:rsidRDefault="00286F7D" w:rsidP="00286F7D">
            <w:pPr>
              <w:pStyle w:val="Texttabulky"/>
              <w:spacing w:after="0"/>
              <w:rPr>
                <w:rFonts w:cs="Arial"/>
              </w:rPr>
            </w:pPr>
            <w:r w:rsidRPr="00286F7D">
              <w:rPr>
                <w:rFonts w:cs="Arial"/>
              </w:rPr>
              <w:t>Křešice</w:t>
            </w:r>
          </w:p>
        </w:tc>
        <w:tc>
          <w:tcPr>
            <w:tcW w:w="1083" w:type="dxa"/>
            <w:tcBorders>
              <w:top w:val="single" w:sz="6" w:space="0" w:color="auto"/>
              <w:left w:val="single" w:sz="6" w:space="0" w:color="auto"/>
              <w:bottom w:val="single" w:sz="6" w:space="0" w:color="auto"/>
              <w:right w:val="single" w:sz="6" w:space="0" w:color="auto"/>
            </w:tcBorders>
          </w:tcPr>
          <w:p w14:paraId="7A639C05" w14:textId="77777777" w:rsidR="00286F7D" w:rsidRPr="00286F7D" w:rsidRDefault="00286F7D" w:rsidP="00286F7D">
            <w:pPr>
              <w:pStyle w:val="Texttabulky"/>
              <w:spacing w:after="0"/>
              <w:jc w:val="right"/>
              <w:rPr>
                <w:rFonts w:cs="Arial"/>
              </w:rPr>
            </w:pPr>
            <w:r w:rsidRPr="00286F7D">
              <w:rPr>
                <w:rFonts w:cs="Arial"/>
              </w:rPr>
              <w:t>343</w:t>
            </w:r>
          </w:p>
        </w:tc>
        <w:tc>
          <w:tcPr>
            <w:tcW w:w="1047" w:type="dxa"/>
            <w:tcBorders>
              <w:top w:val="single" w:sz="6" w:space="0" w:color="auto"/>
              <w:left w:val="single" w:sz="6" w:space="0" w:color="auto"/>
              <w:bottom w:val="single" w:sz="6" w:space="0" w:color="auto"/>
              <w:right w:val="single" w:sz="6" w:space="0" w:color="auto"/>
            </w:tcBorders>
          </w:tcPr>
          <w:p w14:paraId="5A6575C2" w14:textId="77777777" w:rsidR="00286F7D" w:rsidRPr="00286F7D" w:rsidRDefault="00286F7D" w:rsidP="00286F7D">
            <w:pPr>
              <w:pStyle w:val="Texttabulky"/>
              <w:spacing w:after="0"/>
              <w:jc w:val="right"/>
              <w:rPr>
                <w:rFonts w:cs="Arial"/>
              </w:rPr>
            </w:pPr>
            <w:r w:rsidRPr="00286F7D">
              <w:rPr>
                <w:rFonts w:cs="Arial"/>
              </w:rPr>
              <w:t>300</w:t>
            </w:r>
          </w:p>
        </w:tc>
        <w:tc>
          <w:tcPr>
            <w:tcW w:w="750" w:type="dxa"/>
            <w:tcBorders>
              <w:top w:val="single" w:sz="6" w:space="0" w:color="auto"/>
              <w:left w:val="single" w:sz="6" w:space="0" w:color="auto"/>
              <w:bottom w:val="single" w:sz="6" w:space="0" w:color="auto"/>
              <w:right w:val="single" w:sz="6" w:space="0" w:color="auto"/>
            </w:tcBorders>
          </w:tcPr>
          <w:p w14:paraId="01637CC1" w14:textId="77777777" w:rsidR="00286F7D" w:rsidRPr="00286F7D" w:rsidRDefault="00286F7D" w:rsidP="00286F7D">
            <w:pPr>
              <w:pStyle w:val="Texttabulky"/>
              <w:spacing w:after="0"/>
              <w:jc w:val="right"/>
              <w:rPr>
                <w:rFonts w:cs="Arial"/>
              </w:rPr>
            </w:pPr>
            <w:r w:rsidRPr="00286F7D">
              <w:rPr>
                <w:rFonts w:cs="Arial"/>
              </w:rPr>
              <w:t>2</w:t>
            </w:r>
          </w:p>
        </w:tc>
        <w:tc>
          <w:tcPr>
            <w:tcW w:w="963" w:type="dxa"/>
            <w:tcBorders>
              <w:top w:val="single" w:sz="6" w:space="0" w:color="auto"/>
              <w:left w:val="single" w:sz="6" w:space="0" w:color="auto"/>
              <w:bottom w:val="single" w:sz="6" w:space="0" w:color="auto"/>
              <w:right w:val="single" w:sz="6" w:space="0" w:color="auto"/>
            </w:tcBorders>
          </w:tcPr>
          <w:p w14:paraId="60B5B374" w14:textId="77777777" w:rsidR="00286F7D" w:rsidRPr="00286F7D" w:rsidRDefault="00286F7D" w:rsidP="00286F7D">
            <w:pPr>
              <w:pStyle w:val="Texttabulky"/>
              <w:spacing w:after="0"/>
              <w:jc w:val="right"/>
              <w:rPr>
                <w:rFonts w:cs="Arial"/>
              </w:rPr>
            </w:pPr>
            <w:r w:rsidRPr="00286F7D">
              <w:rPr>
                <w:rFonts w:cs="Arial"/>
              </w:rPr>
              <w:t>134</w:t>
            </w:r>
          </w:p>
        </w:tc>
        <w:tc>
          <w:tcPr>
            <w:tcW w:w="976" w:type="dxa"/>
            <w:tcBorders>
              <w:top w:val="single" w:sz="6" w:space="0" w:color="auto"/>
              <w:left w:val="single" w:sz="6" w:space="0" w:color="auto"/>
              <w:bottom w:val="single" w:sz="6" w:space="0" w:color="auto"/>
              <w:right w:val="single" w:sz="6" w:space="0" w:color="auto"/>
            </w:tcBorders>
          </w:tcPr>
          <w:p w14:paraId="35B263F3" w14:textId="77777777" w:rsidR="00286F7D" w:rsidRPr="00286F7D" w:rsidRDefault="00286F7D" w:rsidP="00286F7D">
            <w:pPr>
              <w:pStyle w:val="Texttabulky"/>
              <w:spacing w:after="0"/>
              <w:jc w:val="right"/>
              <w:rPr>
                <w:rFonts w:cs="Arial"/>
              </w:rPr>
            </w:pPr>
            <w:r w:rsidRPr="00286F7D">
              <w:rPr>
                <w:rFonts w:cs="Arial"/>
              </w:rPr>
              <w:t>-166</w:t>
            </w:r>
          </w:p>
        </w:tc>
      </w:tr>
      <w:tr w:rsidR="00286F7D" w:rsidRPr="00286F7D" w14:paraId="729029AF" w14:textId="77777777" w:rsidTr="00286F7D">
        <w:tc>
          <w:tcPr>
            <w:tcW w:w="753" w:type="dxa"/>
            <w:tcBorders>
              <w:top w:val="single" w:sz="6" w:space="0" w:color="auto"/>
              <w:left w:val="single" w:sz="6" w:space="0" w:color="auto"/>
              <w:bottom w:val="single" w:sz="6" w:space="0" w:color="auto"/>
              <w:right w:val="single" w:sz="6" w:space="0" w:color="auto"/>
            </w:tcBorders>
          </w:tcPr>
          <w:p w14:paraId="05413F0F" w14:textId="77777777" w:rsidR="00286F7D" w:rsidRPr="00286F7D" w:rsidRDefault="00286F7D" w:rsidP="00286F7D">
            <w:pPr>
              <w:pStyle w:val="Texttabulky"/>
              <w:spacing w:after="0"/>
              <w:jc w:val="right"/>
              <w:rPr>
                <w:rFonts w:cs="Arial"/>
              </w:rPr>
            </w:pPr>
            <w:r w:rsidRPr="00286F7D">
              <w:rPr>
                <w:rFonts w:cs="Arial"/>
              </w:rPr>
              <w:t>52</w:t>
            </w:r>
          </w:p>
        </w:tc>
        <w:tc>
          <w:tcPr>
            <w:tcW w:w="2427" w:type="dxa"/>
            <w:tcBorders>
              <w:top w:val="single" w:sz="6" w:space="0" w:color="auto"/>
              <w:left w:val="single" w:sz="6" w:space="0" w:color="auto"/>
              <w:bottom w:val="single" w:sz="6" w:space="0" w:color="auto"/>
              <w:right w:val="single" w:sz="6" w:space="0" w:color="auto"/>
            </w:tcBorders>
          </w:tcPr>
          <w:p w14:paraId="331CC4FE" w14:textId="77777777" w:rsidR="00286F7D" w:rsidRPr="00286F7D" w:rsidRDefault="00286F7D" w:rsidP="00286F7D">
            <w:pPr>
              <w:pStyle w:val="Texttabulky"/>
              <w:spacing w:after="0"/>
              <w:rPr>
                <w:rFonts w:cs="Arial"/>
              </w:rPr>
            </w:pPr>
            <w:r w:rsidRPr="00286F7D">
              <w:rPr>
                <w:rFonts w:cs="Arial"/>
              </w:rPr>
              <w:t>Boletice n.Labem</w:t>
            </w:r>
          </w:p>
        </w:tc>
        <w:tc>
          <w:tcPr>
            <w:tcW w:w="1083" w:type="dxa"/>
            <w:tcBorders>
              <w:top w:val="single" w:sz="6" w:space="0" w:color="auto"/>
              <w:left w:val="single" w:sz="6" w:space="0" w:color="auto"/>
              <w:bottom w:val="single" w:sz="6" w:space="0" w:color="auto"/>
              <w:right w:val="single" w:sz="6" w:space="0" w:color="auto"/>
            </w:tcBorders>
          </w:tcPr>
          <w:p w14:paraId="71BE13FF" w14:textId="77777777" w:rsidR="00286F7D" w:rsidRPr="00286F7D" w:rsidRDefault="00286F7D" w:rsidP="00286F7D">
            <w:pPr>
              <w:pStyle w:val="Texttabulky"/>
              <w:spacing w:after="0"/>
              <w:jc w:val="right"/>
              <w:rPr>
                <w:rFonts w:cs="Arial"/>
              </w:rPr>
            </w:pPr>
            <w:r w:rsidRPr="00286F7D">
              <w:rPr>
                <w:rFonts w:cs="Arial"/>
              </w:rPr>
              <w:t>876</w:t>
            </w:r>
          </w:p>
        </w:tc>
        <w:tc>
          <w:tcPr>
            <w:tcW w:w="1047" w:type="dxa"/>
            <w:tcBorders>
              <w:top w:val="single" w:sz="6" w:space="0" w:color="auto"/>
              <w:left w:val="single" w:sz="6" w:space="0" w:color="auto"/>
              <w:bottom w:val="single" w:sz="6" w:space="0" w:color="auto"/>
              <w:right w:val="single" w:sz="6" w:space="0" w:color="auto"/>
            </w:tcBorders>
          </w:tcPr>
          <w:p w14:paraId="241201AB" w14:textId="77777777" w:rsidR="00286F7D" w:rsidRPr="00286F7D" w:rsidRDefault="00286F7D" w:rsidP="00286F7D">
            <w:pPr>
              <w:pStyle w:val="Texttabulky"/>
              <w:spacing w:after="0"/>
              <w:jc w:val="right"/>
              <w:rPr>
                <w:rFonts w:cs="Arial"/>
              </w:rPr>
            </w:pPr>
            <w:r w:rsidRPr="00286F7D">
              <w:rPr>
                <w:rFonts w:cs="Arial"/>
              </w:rPr>
              <w:t>800</w:t>
            </w:r>
          </w:p>
        </w:tc>
        <w:tc>
          <w:tcPr>
            <w:tcW w:w="750" w:type="dxa"/>
            <w:tcBorders>
              <w:top w:val="single" w:sz="6" w:space="0" w:color="auto"/>
              <w:left w:val="single" w:sz="6" w:space="0" w:color="auto"/>
              <w:bottom w:val="single" w:sz="6" w:space="0" w:color="auto"/>
              <w:right w:val="single" w:sz="6" w:space="0" w:color="auto"/>
            </w:tcBorders>
          </w:tcPr>
          <w:p w14:paraId="61D6C37A" w14:textId="77777777" w:rsidR="00286F7D" w:rsidRPr="00286F7D" w:rsidRDefault="00286F7D" w:rsidP="00286F7D">
            <w:pPr>
              <w:pStyle w:val="Texttabulky"/>
              <w:spacing w:after="0"/>
              <w:jc w:val="right"/>
              <w:rPr>
                <w:rFonts w:cs="Arial"/>
              </w:rPr>
            </w:pPr>
            <w:r w:rsidRPr="00286F7D">
              <w:rPr>
                <w:rFonts w:cs="Arial"/>
              </w:rPr>
              <w:t>3</w:t>
            </w:r>
          </w:p>
        </w:tc>
        <w:tc>
          <w:tcPr>
            <w:tcW w:w="963" w:type="dxa"/>
            <w:tcBorders>
              <w:top w:val="single" w:sz="6" w:space="0" w:color="auto"/>
              <w:left w:val="single" w:sz="6" w:space="0" w:color="auto"/>
              <w:bottom w:val="single" w:sz="6" w:space="0" w:color="auto"/>
              <w:right w:val="single" w:sz="6" w:space="0" w:color="auto"/>
            </w:tcBorders>
          </w:tcPr>
          <w:p w14:paraId="07160EAB" w14:textId="77777777" w:rsidR="00286F7D" w:rsidRPr="00286F7D" w:rsidRDefault="00286F7D" w:rsidP="00286F7D">
            <w:pPr>
              <w:pStyle w:val="Texttabulky"/>
              <w:spacing w:after="0"/>
              <w:jc w:val="right"/>
              <w:rPr>
                <w:rFonts w:cs="Arial"/>
              </w:rPr>
            </w:pPr>
            <w:r w:rsidRPr="00286F7D">
              <w:rPr>
                <w:rFonts w:cs="Arial"/>
              </w:rPr>
              <w:t>230</w:t>
            </w:r>
          </w:p>
        </w:tc>
        <w:tc>
          <w:tcPr>
            <w:tcW w:w="976" w:type="dxa"/>
            <w:tcBorders>
              <w:top w:val="single" w:sz="6" w:space="0" w:color="auto"/>
              <w:left w:val="single" w:sz="6" w:space="0" w:color="auto"/>
              <w:bottom w:val="single" w:sz="6" w:space="0" w:color="auto"/>
              <w:right w:val="single" w:sz="6" w:space="0" w:color="auto"/>
            </w:tcBorders>
          </w:tcPr>
          <w:p w14:paraId="743D6672" w14:textId="77777777" w:rsidR="00286F7D" w:rsidRPr="00286F7D" w:rsidRDefault="00286F7D" w:rsidP="00286F7D">
            <w:pPr>
              <w:pStyle w:val="Texttabulky"/>
              <w:spacing w:after="0"/>
              <w:jc w:val="right"/>
              <w:rPr>
                <w:rFonts w:cs="Arial"/>
              </w:rPr>
            </w:pPr>
            <w:r w:rsidRPr="00286F7D">
              <w:rPr>
                <w:rFonts w:cs="Arial"/>
              </w:rPr>
              <w:t>-570</w:t>
            </w:r>
          </w:p>
        </w:tc>
      </w:tr>
      <w:tr w:rsidR="00286F7D" w:rsidRPr="00286F7D" w14:paraId="507240C6" w14:textId="77777777" w:rsidTr="00286F7D">
        <w:tc>
          <w:tcPr>
            <w:tcW w:w="753" w:type="dxa"/>
            <w:tcBorders>
              <w:top w:val="single" w:sz="6" w:space="0" w:color="auto"/>
              <w:left w:val="single" w:sz="6" w:space="0" w:color="auto"/>
              <w:bottom w:val="single" w:sz="6" w:space="0" w:color="auto"/>
              <w:right w:val="single" w:sz="6" w:space="0" w:color="auto"/>
            </w:tcBorders>
          </w:tcPr>
          <w:p w14:paraId="1F9C0B99" w14:textId="77777777" w:rsidR="00286F7D" w:rsidRPr="00286F7D" w:rsidRDefault="00286F7D" w:rsidP="00286F7D">
            <w:pPr>
              <w:pStyle w:val="Texttabulky"/>
              <w:spacing w:after="0"/>
              <w:jc w:val="right"/>
              <w:rPr>
                <w:rFonts w:cs="Arial"/>
              </w:rPr>
            </w:pPr>
            <w:r w:rsidRPr="00286F7D">
              <w:rPr>
                <w:rFonts w:cs="Arial"/>
              </w:rPr>
              <w:t>57</w:t>
            </w:r>
          </w:p>
        </w:tc>
        <w:tc>
          <w:tcPr>
            <w:tcW w:w="2427" w:type="dxa"/>
            <w:tcBorders>
              <w:top w:val="single" w:sz="6" w:space="0" w:color="auto"/>
              <w:left w:val="single" w:sz="6" w:space="0" w:color="auto"/>
              <w:bottom w:val="single" w:sz="6" w:space="0" w:color="auto"/>
              <w:right w:val="single" w:sz="6" w:space="0" w:color="auto"/>
            </w:tcBorders>
          </w:tcPr>
          <w:p w14:paraId="4075AB26" w14:textId="77777777" w:rsidR="00286F7D" w:rsidRPr="00286F7D" w:rsidRDefault="00286F7D" w:rsidP="00286F7D">
            <w:pPr>
              <w:pStyle w:val="Texttabulky"/>
              <w:spacing w:after="0"/>
              <w:rPr>
                <w:rFonts w:cs="Arial"/>
              </w:rPr>
            </w:pPr>
            <w:r w:rsidRPr="00286F7D">
              <w:rPr>
                <w:rFonts w:cs="Arial"/>
              </w:rPr>
              <w:t>Nebočady</w:t>
            </w:r>
          </w:p>
        </w:tc>
        <w:tc>
          <w:tcPr>
            <w:tcW w:w="1083" w:type="dxa"/>
            <w:tcBorders>
              <w:top w:val="single" w:sz="6" w:space="0" w:color="auto"/>
              <w:left w:val="single" w:sz="6" w:space="0" w:color="auto"/>
              <w:bottom w:val="single" w:sz="6" w:space="0" w:color="auto"/>
              <w:right w:val="single" w:sz="6" w:space="0" w:color="auto"/>
            </w:tcBorders>
          </w:tcPr>
          <w:p w14:paraId="7D339DFA"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40408378"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060071FB" w14:textId="77777777" w:rsidR="00286F7D" w:rsidRPr="00286F7D" w:rsidRDefault="00286F7D" w:rsidP="00286F7D">
            <w:pPr>
              <w:pStyle w:val="Texttabulky"/>
              <w:spacing w:after="0"/>
              <w:jc w:val="right"/>
              <w:rPr>
                <w:rFonts w:cs="Arial"/>
              </w:rPr>
            </w:pPr>
            <w:r w:rsidRPr="00286F7D">
              <w:rPr>
                <w:rFonts w:cs="Arial"/>
              </w:rPr>
              <w:t>1</w:t>
            </w:r>
          </w:p>
        </w:tc>
        <w:tc>
          <w:tcPr>
            <w:tcW w:w="963" w:type="dxa"/>
            <w:tcBorders>
              <w:top w:val="single" w:sz="6" w:space="0" w:color="auto"/>
              <w:left w:val="single" w:sz="6" w:space="0" w:color="auto"/>
              <w:bottom w:val="single" w:sz="6" w:space="0" w:color="auto"/>
              <w:right w:val="single" w:sz="6" w:space="0" w:color="auto"/>
            </w:tcBorders>
          </w:tcPr>
          <w:p w14:paraId="5A21666D" w14:textId="77777777" w:rsidR="00286F7D" w:rsidRPr="00286F7D" w:rsidRDefault="00286F7D" w:rsidP="00286F7D">
            <w:pPr>
              <w:pStyle w:val="Texttabulky"/>
              <w:spacing w:after="0"/>
              <w:jc w:val="right"/>
              <w:rPr>
                <w:rFonts w:cs="Arial"/>
              </w:rPr>
            </w:pPr>
            <w:r w:rsidRPr="00286F7D">
              <w:rPr>
                <w:rFonts w:cs="Arial"/>
              </w:rPr>
              <w:t>28</w:t>
            </w:r>
          </w:p>
        </w:tc>
        <w:tc>
          <w:tcPr>
            <w:tcW w:w="976" w:type="dxa"/>
            <w:tcBorders>
              <w:top w:val="single" w:sz="6" w:space="0" w:color="auto"/>
              <w:left w:val="single" w:sz="6" w:space="0" w:color="auto"/>
              <w:bottom w:val="single" w:sz="6" w:space="0" w:color="auto"/>
              <w:right w:val="single" w:sz="6" w:space="0" w:color="auto"/>
            </w:tcBorders>
          </w:tcPr>
          <w:p w14:paraId="4E633EEF" w14:textId="77777777" w:rsidR="00286F7D" w:rsidRPr="00286F7D" w:rsidRDefault="00286F7D" w:rsidP="00286F7D">
            <w:pPr>
              <w:pStyle w:val="Texttabulky"/>
              <w:spacing w:after="0"/>
              <w:jc w:val="right"/>
              <w:rPr>
                <w:rFonts w:cs="Arial"/>
              </w:rPr>
            </w:pPr>
            <w:r w:rsidRPr="00286F7D">
              <w:rPr>
                <w:rFonts w:cs="Arial"/>
              </w:rPr>
              <w:t>+ 28</w:t>
            </w:r>
          </w:p>
        </w:tc>
      </w:tr>
      <w:tr w:rsidR="00286F7D" w:rsidRPr="00286F7D" w14:paraId="5CA26E5A" w14:textId="77777777" w:rsidTr="00286F7D">
        <w:tc>
          <w:tcPr>
            <w:tcW w:w="753" w:type="dxa"/>
            <w:tcBorders>
              <w:top w:val="single" w:sz="6" w:space="0" w:color="auto"/>
              <w:left w:val="single" w:sz="6" w:space="0" w:color="auto"/>
              <w:bottom w:val="single" w:sz="6" w:space="0" w:color="auto"/>
              <w:right w:val="single" w:sz="6" w:space="0" w:color="auto"/>
            </w:tcBorders>
          </w:tcPr>
          <w:p w14:paraId="4A2BBFA0" w14:textId="77777777" w:rsidR="00286F7D" w:rsidRPr="00286F7D" w:rsidRDefault="00286F7D" w:rsidP="00286F7D">
            <w:pPr>
              <w:pStyle w:val="Texttabulky"/>
              <w:spacing w:after="0"/>
              <w:jc w:val="right"/>
              <w:rPr>
                <w:rFonts w:cs="Arial"/>
              </w:rPr>
            </w:pPr>
            <w:r w:rsidRPr="00286F7D">
              <w:rPr>
                <w:rFonts w:cs="Arial"/>
              </w:rPr>
              <w:t>58</w:t>
            </w:r>
          </w:p>
        </w:tc>
        <w:tc>
          <w:tcPr>
            <w:tcW w:w="2427" w:type="dxa"/>
            <w:tcBorders>
              <w:top w:val="single" w:sz="6" w:space="0" w:color="auto"/>
              <w:left w:val="single" w:sz="6" w:space="0" w:color="auto"/>
              <w:bottom w:val="single" w:sz="6" w:space="0" w:color="auto"/>
              <w:right w:val="single" w:sz="6" w:space="0" w:color="auto"/>
            </w:tcBorders>
          </w:tcPr>
          <w:p w14:paraId="0B6332D9" w14:textId="77777777" w:rsidR="00286F7D" w:rsidRPr="00286F7D" w:rsidRDefault="00286F7D" w:rsidP="00286F7D">
            <w:pPr>
              <w:pStyle w:val="Texttabulky"/>
              <w:spacing w:after="0"/>
              <w:rPr>
                <w:rFonts w:cs="Arial"/>
              </w:rPr>
            </w:pPr>
            <w:r w:rsidRPr="00286F7D">
              <w:rPr>
                <w:rFonts w:cs="Arial"/>
              </w:rPr>
              <w:t>Jakuby</w:t>
            </w:r>
          </w:p>
        </w:tc>
        <w:tc>
          <w:tcPr>
            <w:tcW w:w="1083" w:type="dxa"/>
            <w:tcBorders>
              <w:top w:val="single" w:sz="6" w:space="0" w:color="auto"/>
              <w:left w:val="single" w:sz="6" w:space="0" w:color="auto"/>
              <w:bottom w:val="single" w:sz="6" w:space="0" w:color="auto"/>
              <w:right w:val="single" w:sz="6" w:space="0" w:color="auto"/>
            </w:tcBorders>
          </w:tcPr>
          <w:p w14:paraId="77A25A83"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2A774FD3"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3E3E0B6C"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6D4909CB"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2609AF9A"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9C21113" w14:textId="77777777" w:rsidTr="00286F7D">
        <w:tc>
          <w:tcPr>
            <w:tcW w:w="753" w:type="dxa"/>
            <w:tcBorders>
              <w:top w:val="single" w:sz="6" w:space="0" w:color="auto"/>
              <w:left w:val="single" w:sz="6" w:space="0" w:color="auto"/>
              <w:bottom w:val="single" w:sz="6" w:space="0" w:color="auto"/>
              <w:right w:val="single" w:sz="6" w:space="0" w:color="auto"/>
            </w:tcBorders>
          </w:tcPr>
          <w:p w14:paraId="5E705081" w14:textId="77777777" w:rsidR="00286F7D" w:rsidRPr="00286F7D" w:rsidRDefault="00286F7D" w:rsidP="00286F7D">
            <w:pPr>
              <w:pStyle w:val="Texttabulky"/>
              <w:spacing w:after="0"/>
              <w:jc w:val="right"/>
              <w:rPr>
                <w:rFonts w:cs="Arial"/>
              </w:rPr>
            </w:pPr>
            <w:r w:rsidRPr="00286F7D">
              <w:rPr>
                <w:rFonts w:cs="Arial"/>
              </w:rPr>
              <w:t>66</w:t>
            </w:r>
          </w:p>
        </w:tc>
        <w:tc>
          <w:tcPr>
            <w:tcW w:w="2427" w:type="dxa"/>
            <w:tcBorders>
              <w:top w:val="single" w:sz="6" w:space="0" w:color="auto"/>
              <w:left w:val="single" w:sz="6" w:space="0" w:color="auto"/>
              <w:bottom w:val="single" w:sz="6" w:space="0" w:color="auto"/>
              <w:right w:val="single" w:sz="6" w:space="0" w:color="auto"/>
            </w:tcBorders>
          </w:tcPr>
          <w:p w14:paraId="15CD4E97" w14:textId="77777777" w:rsidR="00286F7D" w:rsidRPr="00286F7D" w:rsidRDefault="00286F7D" w:rsidP="00286F7D">
            <w:pPr>
              <w:pStyle w:val="Texttabulky"/>
              <w:spacing w:after="0"/>
              <w:rPr>
                <w:rFonts w:cs="Arial"/>
              </w:rPr>
            </w:pPr>
            <w:r w:rsidRPr="00286F7D">
              <w:rPr>
                <w:rFonts w:cs="Arial"/>
              </w:rPr>
              <w:t>prům.obvod Křešice</w:t>
            </w:r>
          </w:p>
        </w:tc>
        <w:tc>
          <w:tcPr>
            <w:tcW w:w="1083" w:type="dxa"/>
            <w:tcBorders>
              <w:top w:val="single" w:sz="6" w:space="0" w:color="auto"/>
              <w:left w:val="single" w:sz="6" w:space="0" w:color="auto"/>
              <w:bottom w:val="single" w:sz="6" w:space="0" w:color="auto"/>
              <w:right w:val="single" w:sz="6" w:space="0" w:color="auto"/>
            </w:tcBorders>
          </w:tcPr>
          <w:p w14:paraId="004CB5A6"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19E15D06"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75BA801A"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0ED15440"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0F99C909"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5CD8F526" w14:textId="77777777" w:rsidTr="00286F7D">
        <w:tc>
          <w:tcPr>
            <w:tcW w:w="753" w:type="dxa"/>
            <w:tcBorders>
              <w:top w:val="single" w:sz="6" w:space="0" w:color="auto"/>
              <w:left w:val="single" w:sz="6" w:space="0" w:color="auto"/>
              <w:bottom w:val="single" w:sz="6" w:space="0" w:color="auto"/>
              <w:right w:val="single" w:sz="6" w:space="0" w:color="auto"/>
            </w:tcBorders>
          </w:tcPr>
          <w:p w14:paraId="4515BF39" w14:textId="77777777" w:rsidR="00286F7D" w:rsidRPr="00286F7D" w:rsidRDefault="00286F7D" w:rsidP="00286F7D">
            <w:pPr>
              <w:pStyle w:val="Texttabulky"/>
              <w:spacing w:after="0"/>
              <w:jc w:val="right"/>
              <w:rPr>
                <w:rFonts w:cs="Arial"/>
              </w:rPr>
            </w:pPr>
            <w:r w:rsidRPr="00286F7D">
              <w:rPr>
                <w:rFonts w:cs="Arial"/>
              </w:rPr>
              <w:t>67</w:t>
            </w:r>
          </w:p>
        </w:tc>
        <w:tc>
          <w:tcPr>
            <w:tcW w:w="2427" w:type="dxa"/>
            <w:tcBorders>
              <w:top w:val="single" w:sz="6" w:space="0" w:color="auto"/>
              <w:left w:val="single" w:sz="6" w:space="0" w:color="auto"/>
              <w:bottom w:val="single" w:sz="6" w:space="0" w:color="auto"/>
              <w:right w:val="single" w:sz="6" w:space="0" w:color="auto"/>
            </w:tcBorders>
          </w:tcPr>
          <w:p w14:paraId="6E55C5D2" w14:textId="77777777" w:rsidR="00286F7D" w:rsidRPr="00286F7D" w:rsidRDefault="00286F7D" w:rsidP="00286F7D">
            <w:pPr>
              <w:pStyle w:val="Texttabulky"/>
              <w:spacing w:after="0"/>
              <w:rPr>
                <w:rFonts w:cs="Arial"/>
              </w:rPr>
            </w:pPr>
            <w:r w:rsidRPr="00286F7D">
              <w:rPr>
                <w:rFonts w:cs="Arial"/>
              </w:rPr>
              <w:t>Labská niva</w:t>
            </w:r>
          </w:p>
        </w:tc>
        <w:tc>
          <w:tcPr>
            <w:tcW w:w="1083" w:type="dxa"/>
            <w:tcBorders>
              <w:top w:val="single" w:sz="6" w:space="0" w:color="auto"/>
              <w:left w:val="single" w:sz="6" w:space="0" w:color="auto"/>
              <w:bottom w:val="single" w:sz="6" w:space="0" w:color="auto"/>
              <w:right w:val="single" w:sz="6" w:space="0" w:color="auto"/>
            </w:tcBorders>
          </w:tcPr>
          <w:p w14:paraId="6B92FA81"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00A11264"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3E4B2C9E"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64FB7C45"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1EDB4453"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D4FC4E5" w14:textId="77777777" w:rsidTr="00286F7D">
        <w:tc>
          <w:tcPr>
            <w:tcW w:w="753" w:type="dxa"/>
            <w:tcBorders>
              <w:top w:val="single" w:sz="6" w:space="0" w:color="auto"/>
              <w:left w:val="single" w:sz="6" w:space="0" w:color="auto"/>
              <w:bottom w:val="single" w:sz="6" w:space="0" w:color="auto"/>
              <w:right w:val="single" w:sz="6" w:space="0" w:color="auto"/>
            </w:tcBorders>
          </w:tcPr>
          <w:p w14:paraId="0A419A36" w14:textId="77777777" w:rsidR="00286F7D" w:rsidRPr="00286F7D" w:rsidRDefault="00286F7D" w:rsidP="00286F7D">
            <w:pPr>
              <w:pStyle w:val="Texttabulky"/>
              <w:spacing w:after="0"/>
              <w:jc w:val="right"/>
              <w:rPr>
                <w:rFonts w:cs="Arial"/>
              </w:rPr>
            </w:pPr>
            <w:r w:rsidRPr="00286F7D">
              <w:rPr>
                <w:rFonts w:cs="Arial"/>
              </w:rPr>
              <w:t>68</w:t>
            </w:r>
          </w:p>
        </w:tc>
        <w:tc>
          <w:tcPr>
            <w:tcW w:w="2427" w:type="dxa"/>
            <w:tcBorders>
              <w:top w:val="single" w:sz="6" w:space="0" w:color="auto"/>
              <w:left w:val="single" w:sz="6" w:space="0" w:color="auto"/>
              <w:bottom w:val="single" w:sz="6" w:space="0" w:color="auto"/>
              <w:right w:val="single" w:sz="6" w:space="0" w:color="auto"/>
            </w:tcBorders>
          </w:tcPr>
          <w:p w14:paraId="11C5B035" w14:textId="77777777" w:rsidR="00286F7D" w:rsidRPr="00286F7D" w:rsidRDefault="00286F7D" w:rsidP="00286F7D">
            <w:pPr>
              <w:pStyle w:val="Texttabulky"/>
              <w:spacing w:after="0"/>
              <w:rPr>
                <w:rFonts w:cs="Arial"/>
              </w:rPr>
            </w:pPr>
            <w:r w:rsidRPr="00286F7D">
              <w:rPr>
                <w:rFonts w:cs="Arial"/>
              </w:rPr>
              <w:t>prům. obvod Boletice n. L.</w:t>
            </w:r>
          </w:p>
        </w:tc>
        <w:tc>
          <w:tcPr>
            <w:tcW w:w="1083" w:type="dxa"/>
            <w:tcBorders>
              <w:top w:val="single" w:sz="6" w:space="0" w:color="auto"/>
              <w:left w:val="single" w:sz="6" w:space="0" w:color="auto"/>
              <w:bottom w:val="single" w:sz="6" w:space="0" w:color="auto"/>
              <w:right w:val="single" w:sz="6" w:space="0" w:color="auto"/>
            </w:tcBorders>
          </w:tcPr>
          <w:p w14:paraId="6805A9A2"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3C499786"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6E46CA31"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2CC7A3D3"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01E4B065"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6E72547" w14:textId="77777777" w:rsidTr="00286F7D">
        <w:tc>
          <w:tcPr>
            <w:tcW w:w="753" w:type="dxa"/>
            <w:tcBorders>
              <w:top w:val="single" w:sz="6" w:space="0" w:color="auto"/>
              <w:left w:val="single" w:sz="6" w:space="0" w:color="auto"/>
              <w:bottom w:val="single" w:sz="6" w:space="0" w:color="auto"/>
              <w:right w:val="single" w:sz="6" w:space="0" w:color="auto"/>
            </w:tcBorders>
          </w:tcPr>
          <w:p w14:paraId="3841537F" w14:textId="77777777" w:rsidR="00286F7D" w:rsidRPr="00286F7D" w:rsidRDefault="00286F7D" w:rsidP="00286F7D">
            <w:pPr>
              <w:pStyle w:val="Texttabulky"/>
              <w:spacing w:after="0"/>
              <w:rPr>
                <w:rFonts w:cs="Arial"/>
              </w:rPr>
            </w:pPr>
            <w:r w:rsidRPr="00286F7D">
              <w:rPr>
                <w:rFonts w:cs="Arial"/>
                <w:b/>
                <w:bCs/>
              </w:rPr>
              <w:t xml:space="preserve"> VII</w:t>
            </w:r>
          </w:p>
        </w:tc>
        <w:tc>
          <w:tcPr>
            <w:tcW w:w="2427" w:type="dxa"/>
            <w:tcBorders>
              <w:top w:val="single" w:sz="6" w:space="0" w:color="auto"/>
              <w:left w:val="single" w:sz="6" w:space="0" w:color="auto"/>
              <w:bottom w:val="single" w:sz="6" w:space="0" w:color="auto"/>
              <w:right w:val="single" w:sz="6" w:space="0" w:color="auto"/>
            </w:tcBorders>
          </w:tcPr>
          <w:p w14:paraId="3D2CF27F" w14:textId="77777777" w:rsidR="00286F7D" w:rsidRPr="00286F7D" w:rsidRDefault="00286F7D" w:rsidP="00286F7D">
            <w:pPr>
              <w:pStyle w:val="Texttabulky"/>
              <w:spacing w:after="0"/>
              <w:rPr>
                <w:rFonts w:cs="Arial"/>
              </w:rPr>
            </w:pPr>
            <w:r w:rsidRPr="00286F7D">
              <w:rPr>
                <w:rFonts w:cs="Arial"/>
                <w:b/>
                <w:bCs/>
                <w:caps/>
              </w:rPr>
              <w:t>sektor celkem</w:t>
            </w:r>
          </w:p>
        </w:tc>
        <w:tc>
          <w:tcPr>
            <w:tcW w:w="1083" w:type="dxa"/>
            <w:tcBorders>
              <w:top w:val="single" w:sz="6" w:space="0" w:color="auto"/>
              <w:left w:val="single" w:sz="6" w:space="0" w:color="auto"/>
              <w:bottom w:val="single" w:sz="6" w:space="0" w:color="auto"/>
              <w:right w:val="single" w:sz="6" w:space="0" w:color="auto"/>
            </w:tcBorders>
          </w:tcPr>
          <w:p w14:paraId="005FD74B" w14:textId="77777777" w:rsidR="00286F7D" w:rsidRPr="00286F7D" w:rsidRDefault="00286F7D" w:rsidP="00286F7D">
            <w:pPr>
              <w:pStyle w:val="Texttabulky"/>
              <w:spacing w:after="0"/>
              <w:jc w:val="right"/>
              <w:rPr>
                <w:rFonts w:cs="Arial"/>
              </w:rPr>
            </w:pPr>
            <w:r w:rsidRPr="00286F7D">
              <w:rPr>
                <w:rFonts w:cs="Arial"/>
                <w:b/>
                <w:bCs/>
              </w:rPr>
              <w:t>1 219</w:t>
            </w:r>
          </w:p>
        </w:tc>
        <w:tc>
          <w:tcPr>
            <w:tcW w:w="1047" w:type="dxa"/>
            <w:tcBorders>
              <w:top w:val="single" w:sz="6" w:space="0" w:color="auto"/>
              <w:left w:val="single" w:sz="6" w:space="0" w:color="auto"/>
              <w:bottom w:val="single" w:sz="6" w:space="0" w:color="auto"/>
              <w:right w:val="single" w:sz="6" w:space="0" w:color="auto"/>
            </w:tcBorders>
          </w:tcPr>
          <w:p w14:paraId="77D313F6" w14:textId="77777777" w:rsidR="00286F7D" w:rsidRPr="00286F7D" w:rsidRDefault="00286F7D" w:rsidP="00286F7D">
            <w:pPr>
              <w:pStyle w:val="Texttabulky"/>
              <w:spacing w:after="0"/>
              <w:jc w:val="right"/>
              <w:rPr>
                <w:rFonts w:cs="Arial"/>
              </w:rPr>
            </w:pPr>
            <w:r w:rsidRPr="00286F7D">
              <w:rPr>
                <w:rFonts w:cs="Arial"/>
                <w:b/>
                <w:bCs/>
              </w:rPr>
              <w:t>1 000</w:t>
            </w:r>
          </w:p>
        </w:tc>
        <w:tc>
          <w:tcPr>
            <w:tcW w:w="750" w:type="dxa"/>
            <w:tcBorders>
              <w:top w:val="single" w:sz="6" w:space="0" w:color="auto"/>
              <w:left w:val="single" w:sz="6" w:space="0" w:color="auto"/>
              <w:bottom w:val="single" w:sz="6" w:space="0" w:color="auto"/>
              <w:right w:val="single" w:sz="6" w:space="0" w:color="auto"/>
            </w:tcBorders>
          </w:tcPr>
          <w:p w14:paraId="77B1BBA7" w14:textId="77777777" w:rsidR="00286F7D" w:rsidRPr="00286F7D" w:rsidRDefault="00286F7D" w:rsidP="00286F7D">
            <w:pPr>
              <w:pStyle w:val="Texttabulky"/>
              <w:spacing w:after="0"/>
              <w:jc w:val="right"/>
              <w:rPr>
                <w:rFonts w:cs="Arial"/>
              </w:rPr>
            </w:pPr>
            <w:r w:rsidRPr="00286F7D">
              <w:rPr>
                <w:rFonts w:cs="Arial"/>
                <w:b/>
                <w:bCs/>
              </w:rPr>
              <w:t>6</w:t>
            </w:r>
          </w:p>
        </w:tc>
        <w:tc>
          <w:tcPr>
            <w:tcW w:w="963" w:type="dxa"/>
            <w:tcBorders>
              <w:top w:val="single" w:sz="6" w:space="0" w:color="auto"/>
              <w:left w:val="single" w:sz="6" w:space="0" w:color="auto"/>
              <w:bottom w:val="single" w:sz="6" w:space="0" w:color="auto"/>
              <w:right w:val="single" w:sz="6" w:space="0" w:color="auto"/>
            </w:tcBorders>
          </w:tcPr>
          <w:p w14:paraId="7878E47C" w14:textId="77777777" w:rsidR="00286F7D" w:rsidRPr="00286F7D" w:rsidRDefault="00286F7D" w:rsidP="00286F7D">
            <w:pPr>
              <w:pStyle w:val="Texttabulky"/>
              <w:spacing w:after="0"/>
              <w:jc w:val="right"/>
              <w:rPr>
                <w:rFonts w:cs="Arial"/>
              </w:rPr>
            </w:pPr>
            <w:r w:rsidRPr="00286F7D">
              <w:rPr>
                <w:rFonts w:cs="Arial"/>
                <w:b/>
                <w:bCs/>
              </w:rPr>
              <w:t>392</w:t>
            </w:r>
          </w:p>
        </w:tc>
        <w:tc>
          <w:tcPr>
            <w:tcW w:w="976" w:type="dxa"/>
            <w:tcBorders>
              <w:top w:val="single" w:sz="6" w:space="0" w:color="auto"/>
              <w:left w:val="single" w:sz="6" w:space="0" w:color="auto"/>
              <w:bottom w:val="single" w:sz="6" w:space="0" w:color="auto"/>
              <w:right w:val="single" w:sz="6" w:space="0" w:color="auto"/>
            </w:tcBorders>
          </w:tcPr>
          <w:p w14:paraId="50E25BC3" w14:textId="77777777" w:rsidR="00286F7D" w:rsidRPr="00286F7D" w:rsidRDefault="00286F7D" w:rsidP="00286F7D">
            <w:pPr>
              <w:pStyle w:val="Texttabulky"/>
              <w:spacing w:after="0"/>
              <w:jc w:val="right"/>
              <w:rPr>
                <w:rFonts w:cs="Arial"/>
              </w:rPr>
            </w:pPr>
            <w:r w:rsidRPr="00286F7D">
              <w:rPr>
                <w:rFonts w:cs="Arial"/>
                <w:b/>
                <w:bCs/>
              </w:rPr>
              <w:t>-  608</w:t>
            </w:r>
          </w:p>
        </w:tc>
      </w:tr>
      <w:tr w:rsidR="00286F7D" w:rsidRPr="00286F7D" w14:paraId="0F4A8CE1" w14:textId="77777777" w:rsidTr="00286F7D">
        <w:tc>
          <w:tcPr>
            <w:tcW w:w="753" w:type="dxa"/>
            <w:tcBorders>
              <w:top w:val="single" w:sz="6" w:space="0" w:color="auto"/>
              <w:left w:val="single" w:sz="6" w:space="0" w:color="auto"/>
              <w:bottom w:val="single" w:sz="6" w:space="0" w:color="auto"/>
              <w:right w:val="single" w:sz="6" w:space="0" w:color="auto"/>
            </w:tcBorders>
          </w:tcPr>
          <w:p w14:paraId="3C8DDBAD" w14:textId="77777777" w:rsidR="00286F7D" w:rsidRPr="00286F7D" w:rsidRDefault="00286F7D" w:rsidP="00286F7D">
            <w:pPr>
              <w:pStyle w:val="Texttabulky"/>
              <w:spacing w:after="0"/>
              <w:jc w:val="right"/>
              <w:rPr>
                <w:rFonts w:cs="Arial"/>
              </w:rPr>
            </w:pPr>
            <w:r w:rsidRPr="00286F7D">
              <w:rPr>
                <w:rFonts w:cs="Arial"/>
              </w:rPr>
              <w:t>34</w:t>
            </w:r>
          </w:p>
        </w:tc>
        <w:tc>
          <w:tcPr>
            <w:tcW w:w="2427" w:type="dxa"/>
            <w:tcBorders>
              <w:top w:val="single" w:sz="6" w:space="0" w:color="auto"/>
              <w:left w:val="single" w:sz="6" w:space="0" w:color="auto"/>
              <w:bottom w:val="single" w:sz="6" w:space="0" w:color="auto"/>
              <w:right w:val="single" w:sz="6" w:space="0" w:color="auto"/>
            </w:tcBorders>
          </w:tcPr>
          <w:p w14:paraId="29314F3F" w14:textId="77777777" w:rsidR="00286F7D" w:rsidRPr="00286F7D" w:rsidRDefault="00286F7D" w:rsidP="00286F7D">
            <w:pPr>
              <w:pStyle w:val="Texttabulky"/>
              <w:spacing w:after="0"/>
              <w:rPr>
                <w:rFonts w:cs="Arial"/>
              </w:rPr>
            </w:pPr>
            <w:r w:rsidRPr="00286F7D">
              <w:rPr>
                <w:rFonts w:cs="Arial"/>
              </w:rPr>
              <w:t>Kristin Hrádek</w:t>
            </w:r>
          </w:p>
        </w:tc>
        <w:tc>
          <w:tcPr>
            <w:tcW w:w="1083" w:type="dxa"/>
            <w:tcBorders>
              <w:top w:val="single" w:sz="6" w:space="0" w:color="auto"/>
              <w:left w:val="single" w:sz="6" w:space="0" w:color="auto"/>
              <w:bottom w:val="single" w:sz="6" w:space="0" w:color="auto"/>
              <w:right w:val="single" w:sz="6" w:space="0" w:color="auto"/>
            </w:tcBorders>
          </w:tcPr>
          <w:p w14:paraId="63B9DDBB"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C7C3176"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73827699"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6F0CB9CD"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5640CECE"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8BFEC14" w14:textId="77777777" w:rsidTr="00286F7D">
        <w:tc>
          <w:tcPr>
            <w:tcW w:w="753" w:type="dxa"/>
            <w:tcBorders>
              <w:top w:val="single" w:sz="6" w:space="0" w:color="auto"/>
              <w:left w:val="single" w:sz="6" w:space="0" w:color="auto"/>
              <w:bottom w:val="single" w:sz="6" w:space="0" w:color="auto"/>
              <w:right w:val="single" w:sz="6" w:space="0" w:color="auto"/>
            </w:tcBorders>
          </w:tcPr>
          <w:p w14:paraId="3A0B57A0" w14:textId="77777777" w:rsidR="00286F7D" w:rsidRPr="00286F7D" w:rsidRDefault="00286F7D" w:rsidP="00286F7D">
            <w:pPr>
              <w:pStyle w:val="Texttabulky"/>
              <w:spacing w:after="0"/>
              <w:jc w:val="right"/>
              <w:rPr>
                <w:rFonts w:cs="Arial"/>
              </w:rPr>
            </w:pPr>
            <w:r w:rsidRPr="00286F7D">
              <w:rPr>
                <w:rFonts w:cs="Arial"/>
              </w:rPr>
              <w:t>35</w:t>
            </w:r>
          </w:p>
        </w:tc>
        <w:tc>
          <w:tcPr>
            <w:tcW w:w="2427" w:type="dxa"/>
            <w:tcBorders>
              <w:top w:val="single" w:sz="6" w:space="0" w:color="auto"/>
              <w:left w:val="single" w:sz="6" w:space="0" w:color="auto"/>
              <w:bottom w:val="single" w:sz="6" w:space="0" w:color="auto"/>
              <w:right w:val="single" w:sz="6" w:space="0" w:color="auto"/>
            </w:tcBorders>
          </w:tcPr>
          <w:p w14:paraId="602D5E54" w14:textId="77777777" w:rsidR="00286F7D" w:rsidRPr="00286F7D" w:rsidRDefault="00286F7D" w:rsidP="00286F7D">
            <w:pPr>
              <w:pStyle w:val="Texttabulky"/>
              <w:spacing w:after="0"/>
              <w:rPr>
                <w:rFonts w:cs="Arial"/>
              </w:rPr>
            </w:pPr>
            <w:r w:rsidRPr="00286F7D">
              <w:rPr>
                <w:rFonts w:cs="Arial"/>
              </w:rPr>
              <w:t>Havraní vrch</w:t>
            </w:r>
          </w:p>
        </w:tc>
        <w:tc>
          <w:tcPr>
            <w:tcW w:w="1083" w:type="dxa"/>
            <w:tcBorders>
              <w:top w:val="single" w:sz="6" w:space="0" w:color="auto"/>
              <w:left w:val="single" w:sz="6" w:space="0" w:color="auto"/>
              <w:bottom w:val="single" w:sz="6" w:space="0" w:color="auto"/>
              <w:right w:val="single" w:sz="6" w:space="0" w:color="auto"/>
            </w:tcBorders>
          </w:tcPr>
          <w:p w14:paraId="4788A81D"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0A63414"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6328D169"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2FF6836F"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1F1D0E72"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A594AAB" w14:textId="77777777" w:rsidTr="00286F7D">
        <w:tc>
          <w:tcPr>
            <w:tcW w:w="753" w:type="dxa"/>
            <w:tcBorders>
              <w:top w:val="single" w:sz="6" w:space="0" w:color="auto"/>
              <w:left w:val="single" w:sz="6" w:space="0" w:color="auto"/>
              <w:bottom w:val="single" w:sz="6" w:space="0" w:color="auto"/>
              <w:right w:val="single" w:sz="6" w:space="0" w:color="auto"/>
            </w:tcBorders>
          </w:tcPr>
          <w:p w14:paraId="35D08BBD" w14:textId="77777777" w:rsidR="00286F7D" w:rsidRPr="00286F7D" w:rsidRDefault="00286F7D" w:rsidP="00286F7D">
            <w:pPr>
              <w:pStyle w:val="Texttabulky"/>
              <w:spacing w:after="0"/>
              <w:jc w:val="right"/>
              <w:rPr>
                <w:rFonts w:cs="Arial"/>
              </w:rPr>
            </w:pPr>
            <w:r w:rsidRPr="00286F7D">
              <w:rPr>
                <w:rFonts w:cs="Arial"/>
              </w:rPr>
              <w:t>36</w:t>
            </w:r>
          </w:p>
        </w:tc>
        <w:tc>
          <w:tcPr>
            <w:tcW w:w="2427" w:type="dxa"/>
            <w:tcBorders>
              <w:top w:val="single" w:sz="6" w:space="0" w:color="auto"/>
              <w:left w:val="single" w:sz="6" w:space="0" w:color="auto"/>
              <w:bottom w:val="single" w:sz="6" w:space="0" w:color="auto"/>
              <w:right w:val="single" w:sz="6" w:space="0" w:color="auto"/>
            </w:tcBorders>
          </w:tcPr>
          <w:p w14:paraId="1C8DAEA6" w14:textId="77777777" w:rsidR="00286F7D" w:rsidRPr="00286F7D" w:rsidRDefault="00286F7D" w:rsidP="00286F7D">
            <w:pPr>
              <w:pStyle w:val="Texttabulky"/>
              <w:spacing w:after="0"/>
              <w:rPr>
                <w:rFonts w:cs="Arial"/>
              </w:rPr>
            </w:pPr>
            <w:r w:rsidRPr="00286F7D">
              <w:rPr>
                <w:rFonts w:cs="Arial"/>
              </w:rPr>
              <w:t>Maxičky</w:t>
            </w:r>
          </w:p>
        </w:tc>
        <w:tc>
          <w:tcPr>
            <w:tcW w:w="1083" w:type="dxa"/>
            <w:tcBorders>
              <w:top w:val="single" w:sz="6" w:space="0" w:color="auto"/>
              <w:left w:val="single" w:sz="6" w:space="0" w:color="auto"/>
              <w:bottom w:val="single" w:sz="6" w:space="0" w:color="auto"/>
              <w:right w:val="single" w:sz="6" w:space="0" w:color="auto"/>
            </w:tcBorders>
          </w:tcPr>
          <w:p w14:paraId="0271D9BF"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4BB13C8"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77F2BD9E"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36613EB3"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4BAF2CDF"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42253C9D" w14:textId="77777777" w:rsidTr="00286F7D">
        <w:tc>
          <w:tcPr>
            <w:tcW w:w="753" w:type="dxa"/>
            <w:tcBorders>
              <w:top w:val="single" w:sz="6" w:space="0" w:color="auto"/>
              <w:left w:val="single" w:sz="6" w:space="0" w:color="auto"/>
              <w:bottom w:val="single" w:sz="6" w:space="0" w:color="auto"/>
              <w:right w:val="single" w:sz="6" w:space="0" w:color="auto"/>
            </w:tcBorders>
          </w:tcPr>
          <w:p w14:paraId="6E924BEC" w14:textId="77777777" w:rsidR="00286F7D" w:rsidRPr="00286F7D" w:rsidRDefault="00286F7D" w:rsidP="00286F7D">
            <w:pPr>
              <w:pStyle w:val="Texttabulky"/>
              <w:spacing w:after="0"/>
              <w:jc w:val="right"/>
              <w:rPr>
                <w:rFonts w:cs="Arial"/>
              </w:rPr>
            </w:pPr>
            <w:r w:rsidRPr="00286F7D">
              <w:rPr>
                <w:rFonts w:cs="Arial"/>
              </w:rPr>
              <w:t>37</w:t>
            </w:r>
          </w:p>
        </w:tc>
        <w:tc>
          <w:tcPr>
            <w:tcW w:w="2427" w:type="dxa"/>
            <w:tcBorders>
              <w:top w:val="single" w:sz="6" w:space="0" w:color="auto"/>
              <w:left w:val="single" w:sz="6" w:space="0" w:color="auto"/>
              <w:bottom w:val="single" w:sz="6" w:space="0" w:color="auto"/>
              <w:right w:val="single" w:sz="6" w:space="0" w:color="auto"/>
            </w:tcBorders>
          </w:tcPr>
          <w:p w14:paraId="7D7799B6" w14:textId="77777777" w:rsidR="00286F7D" w:rsidRPr="00286F7D" w:rsidRDefault="00286F7D" w:rsidP="00286F7D">
            <w:pPr>
              <w:pStyle w:val="Texttabulky"/>
              <w:spacing w:after="0"/>
              <w:rPr>
                <w:rFonts w:cs="Arial"/>
              </w:rPr>
            </w:pPr>
            <w:r w:rsidRPr="00286F7D">
              <w:rPr>
                <w:rFonts w:cs="Arial"/>
              </w:rPr>
              <w:t>Telefonka</w:t>
            </w:r>
          </w:p>
        </w:tc>
        <w:tc>
          <w:tcPr>
            <w:tcW w:w="1083" w:type="dxa"/>
            <w:tcBorders>
              <w:top w:val="single" w:sz="6" w:space="0" w:color="auto"/>
              <w:left w:val="single" w:sz="6" w:space="0" w:color="auto"/>
              <w:bottom w:val="single" w:sz="6" w:space="0" w:color="auto"/>
              <w:right w:val="single" w:sz="6" w:space="0" w:color="auto"/>
            </w:tcBorders>
          </w:tcPr>
          <w:p w14:paraId="7050DA6B"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8D82C16"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48203384"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16651B88"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3FDDFC4F"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4CE12D03" w14:textId="77777777" w:rsidTr="00286F7D">
        <w:tc>
          <w:tcPr>
            <w:tcW w:w="753" w:type="dxa"/>
            <w:tcBorders>
              <w:top w:val="single" w:sz="6" w:space="0" w:color="auto"/>
              <w:left w:val="single" w:sz="6" w:space="0" w:color="auto"/>
              <w:bottom w:val="single" w:sz="6" w:space="0" w:color="auto"/>
              <w:right w:val="single" w:sz="6" w:space="0" w:color="auto"/>
            </w:tcBorders>
          </w:tcPr>
          <w:p w14:paraId="29932BAD" w14:textId="77777777" w:rsidR="00286F7D" w:rsidRPr="00286F7D" w:rsidRDefault="00286F7D" w:rsidP="00286F7D">
            <w:pPr>
              <w:pStyle w:val="Texttabulky"/>
              <w:spacing w:after="0"/>
              <w:jc w:val="right"/>
              <w:rPr>
                <w:rFonts w:cs="Arial"/>
              </w:rPr>
            </w:pPr>
            <w:r w:rsidRPr="00286F7D">
              <w:rPr>
                <w:rFonts w:cs="Arial"/>
              </w:rPr>
              <w:t>38</w:t>
            </w:r>
          </w:p>
        </w:tc>
        <w:tc>
          <w:tcPr>
            <w:tcW w:w="2427" w:type="dxa"/>
            <w:tcBorders>
              <w:top w:val="single" w:sz="6" w:space="0" w:color="auto"/>
              <w:left w:val="single" w:sz="6" w:space="0" w:color="auto"/>
              <w:bottom w:val="single" w:sz="6" w:space="0" w:color="auto"/>
              <w:right w:val="single" w:sz="6" w:space="0" w:color="auto"/>
            </w:tcBorders>
          </w:tcPr>
          <w:p w14:paraId="0DFF611F" w14:textId="77777777" w:rsidR="00286F7D" w:rsidRPr="00286F7D" w:rsidRDefault="00286F7D" w:rsidP="00286F7D">
            <w:pPr>
              <w:pStyle w:val="Texttabulky"/>
              <w:spacing w:after="0"/>
              <w:rPr>
                <w:rFonts w:cs="Arial"/>
              </w:rPr>
            </w:pPr>
            <w:r w:rsidRPr="00286F7D">
              <w:rPr>
                <w:rFonts w:cs="Arial"/>
              </w:rPr>
              <w:t>Přípeřské polesí</w:t>
            </w:r>
          </w:p>
        </w:tc>
        <w:tc>
          <w:tcPr>
            <w:tcW w:w="1083" w:type="dxa"/>
            <w:tcBorders>
              <w:top w:val="single" w:sz="6" w:space="0" w:color="auto"/>
              <w:left w:val="single" w:sz="6" w:space="0" w:color="auto"/>
              <w:bottom w:val="single" w:sz="6" w:space="0" w:color="auto"/>
              <w:right w:val="single" w:sz="6" w:space="0" w:color="auto"/>
            </w:tcBorders>
          </w:tcPr>
          <w:p w14:paraId="193D8A80"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8F718BB"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6A7C9BAB"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496CD1E0"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6EBC67A6"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956BFAF" w14:textId="77777777" w:rsidTr="00286F7D">
        <w:tc>
          <w:tcPr>
            <w:tcW w:w="753" w:type="dxa"/>
            <w:tcBorders>
              <w:top w:val="single" w:sz="6" w:space="0" w:color="auto"/>
              <w:left w:val="single" w:sz="6" w:space="0" w:color="auto"/>
              <w:bottom w:val="single" w:sz="6" w:space="0" w:color="auto"/>
              <w:right w:val="single" w:sz="6" w:space="0" w:color="auto"/>
            </w:tcBorders>
          </w:tcPr>
          <w:p w14:paraId="7588A088" w14:textId="77777777" w:rsidR="00286F7D" w:rsidRPr="00286F7D" w:rsidRDefault="00286F7D" w:rsidP="00286F7D">
            <w:pPr>
              <w:pStyle w:val="Texttabulky"/>
              <w:spacing w:after="0"/>
              <w:jc w:val="right"/>
              <w:rPr>
                <w:rFonts w:cs="Arial"/>
              </w:rPr>
            </w:pPr>
            <w:r w:rsidRPr="00286F7D">
              <w:rPr>
                <w:rFonts w:cs="Arial"/>
              </w:rPr>
              <w:t>43</w:t>
            </w:r>
          </w:p>
        </w:tc>
        <w:tc>
          <w:tcPr>
            <w:tcW w:w="2427" w:type="dxa"/>
            <w:tcBorders>
              <w:top w:val="single" w:sz="6" w:space="0" w:color="auto"/>
              <w:left w:val="single" w:sz="6" w:space="0" w:color="auto"/>
              <w:bottom w:val="single" w:sz="6" w:space="0" w:color="auto"/>
              <w:right w:val="single" w:sz="6" w:space="0" w:color="auto"/>
            </w:tcBorders>
          </w:tcPr>
          <w:p w14:paraId="15837672" w14:textId="77777777" w:rsidR="00286F7D" w:rsidRPr="00286F7D" w:rsidRDefault="00286F7D" w:rsidP="00286F7D">
            <w:pPr>
              <w:pStyle w:val="Texttabulky"/>
              <w:spacing w:after="0"/>
              <w:rPr>
                <w:rFonts w:cs="Arial"/>
              </w:rPr>
            </w:pPr>
            <w:r w:rsidRPr="00286F7D">
              <w:rPr>
                <w:rFonts w:cs="Arial"/>
              </w:rPr>
              <w:t>Nad Dolním Žlebem</w:t>
            </w:r>
          </w:p>
        </w:tc>
        <w:tc>
          <w:tcPr>
            <w:tcW w:w="1083" w:type="dxa"/>
            <w:tcBorders>
              <w:top w:val="single" w:sz="6" w:space="0" w:color="auto"/>
              <w:left w:val="single" w:sz="6" w:space="0" w:color="auto"/>
              <w:bottom w:val="single" w:sz="6" w:space="0" w:color="auto"/>
              <w:right w:val="single" w:sz="6" w:space="0" w:color="auto"/>
            </w:tcBorders>
          </w:tcPr>
          <w:p w14:paraId="6F63C2C3"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61339A64"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13B6C95E"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6657E939"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559B13E3"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AFD57A5" w14:textId="77777777" w:rsidTr="00286F7D">
        <w:tc>
          <w:tcPr>
            <w:tcW w:w="753" w:type="dxa"/>
            <w:tcBorders>
              <w:top w:val="single" w:sz="6" w:space="0" w:color="auto"/>
              <w:left w:val="single" w:sz="6" w:space="0" w:color="auto"/>
              <w:bottom w:val="single" w:sz="6" w:space="0" w:color="auto"/>
              <w:right w:val="single" w:sz="6" w:space="0" w:color="auto"/>
            </w:tcBorders>
          </w:tcPr>
          <w:p w14:paraId="50047CB5" w14:textId="77777777" w:rsidR="00286F7D" w:rsidRPr="00286F7D" w:rsidRDefault="00286F7D" w:rsidP="00286F7D">
            <w:pPr>
              <w:pStyle w:val="Texttabulky"/>
              <w:spacing w:after="0"/>
              <w:jc w:val="right"/>
              <w:rPr>
                <w:rFonts w:cs="Arial"/>
              </w:rPr>
            </w:pPr>
            <w:r w:rsidRPr="00286F7D">
              <w:rPr>
                <w:rFonts w:cs="Arial"/>
              </w:rPr>
              <w:t>44</w:t>
            </w:r>
          </w:p>
        </w:tc>
        <w:tc>
          <w:tcPr>
            <w:tcW w:w="2427" w:type="dxa"/>
            <w:tcBorders>
              <w:top w:val="single" w:sz="6" w:space="0" w:color="auto"/>
              <w:left w:val="single" w:sz="6" w:space="0" w:color="auto"/>
              <w:bottom w:val="single" w:sz="6" w:space="0" w:color="auto"/>
              <w:right w:val="single" w:sz="6" w:space="0" w:color="auto"/>
            </w:tcBorders>
          </w:tcPr>
          <w:p w14:paraId="57310751" w14:textId="77777777" w:rsidR="00286F7D" w:rsidRPr="00286F7D" w:rsidRDefault="00286F7D" w:rsidP="00286F7D">
            <w:pPr>
              <w:pStyle w:val="Texttabulky"/>
              <w:spacing w:after="0"/>
              <w:rPr>
                <w:rFonts w:cs="Arial"/>
              </w:rPr>
            </w:pPr>
            <w:r w:rsidRPr="00286F7D">
              <w:rPr>
                <w:rFonts w:cs="Arial"/>
              </w:rPr>
              <w:t>Dolní Žleb</w:t>
            </w:r>
          </w:p>
        </w:tc>
        <w:tc>
          <w:tcPr>
            <w:tcW w:w="1083" w:type="dxa"/>
            <w:tcBorders>
              <w:top w:val="single" w:sz="6" w:space="0" w:color="auto"/>
              <w:left w:val="single" w:sz="6" w:space="0" w:color="auto"/>
              <w:bottom w:val="single" w:sz="6" w:space="0" w:color="auto"/>
              <w:right w:val="single" w:sz="6" w:space="0" w:color="auto"/>
            </w:tcBorders>
          </w:tcPr>
          <w:p w14:paraId="0EF286EB"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092EACB5"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5EA44C3B"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600D6147"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7C59C591"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09502EE" w14:textId="77777777" w:rsidTr="00286F7D">
        <w:tc>
          <w:tcPr>
            <w:tcW w:w="753" w:type="dxa"/>
            <w:tcBorders>
              <w:top w:val="single" w:sz="6" w:space="0" w:color="auto"/>
              <w:left w:val="single" w:sz="6" w:space="0" w:color="auto"/>
              <w:bottom w:val="single" w:sz="6" w:space="0" w:color="auto"/>
              <w:right w:val="single" w:sz="6" w:space="0" w:color="auto"/>
            </w:tcBorders>
          </w:tcPr>
          <w:p w14:paraId="0418141C" w14:textId="77777777" w:rsidR="00286F7D" w:rsidRPr="00286F7D" w:rsidRDefault="00286F7D" w:rsidP="00286F7D">
            <w:pPr>
              <w:pStyle w:val="Texttabulky"/>
              <w:spacing w:after="0"/>
              <w:rPr>
                <w:rFonts w:cs="Arial"/>
              </w:rPr>
            </w:pPr>
            <w:r w:rsidRPr="00286F7D">
              <w:rPr>
                <w:rFonts w:cs="Arial"/>
                <w:b/>
                <w:bCs/>
              </w:rPr>
              <w:t>VIII</w:t>
            </w:r>
          </w:p>
        </w:tc>
        <w:tc>
          <w:tcPr>
            <w:tcW w:w="2427" w:type="dxa"/>
            <w:tcBorders>
              <w:top w:val="single" w:sz="6" w:space="0" w:color="auto"/>
              <w:left w:val="single" w:sz="6" w:space="0" w:color="auto"/>
              <w:bottom w:val="single" w:sz="6" w:space="0" w:color="auto"/>
              <w:right w:val="single" w:sz="6" w:space="0" w:color="auto"/>
            </w:tcBorders>
          </w:tcPr>
          <w:p w14:paraId="2AC82E5F" w14:textId="77777777" w:rsidR="00286F7D" w:rsidRPr="00286F7D" w:rsidRDefault="00286F7D" w:rsidP="00286F7D">
            <w:pPr>
              <w:pStyle w:val="Texttabulky"/>
              <w:spacing w:after="0"/>
              <w:rPr>
                <w:rFonts w:cs="Arial"/>
              </w:rPr>
            </w:pPr>
            <w:r w:rsidRPr="00286F7D">
              <w:rPr>
                <w:rFonts w:cs="Arial"/>
                <w:b/>
                <w:bCs/>
                <w:caps/>
              </w:rPr>
              <w:t>sektor celkem</w:t>
            </w:r>
          </w:p>
        </w:tc>
        <w:tc>
          <w:tcPr>
            <w:tcW w:w="1083" w:type="dxa"/>
            <w:tcBorders>
              <w:top w:val="single" w:sz="6" w:space="0" w:color="auto"/>
              <w:left w:val="single" w:sz="6" w:space="0" w:color="auto"/>
              <w:bottom w:val="single" w:sz="6" w:space="0" w:color="auto"/>
              <w:right w:val="single" w:sz="6" w:space="0" w:color="auto"/>
            </w:tcBorders>
          </w:tcPr>
          <w:p w14:paraId="5CA7AED4" w14:textId="77777777" w:rsidR="00286F7D" w:rsidRPr="00286F7D" w:rsidRDefault="00286F7D" w:rsidP="00286F7D">
            <w:pPr>
              <w:pStyle w:val="Texttabulky"/>
              <w:spacing w:after="0"/>
              <w:jc w:val="right"/>
              <w:rPr>
                <w:rFonts w:cs="Arial"/>
              </w:rPr>
            </w:pPr>
            <w:r w:rsidRPr="00286F7D">
              <w:rPr>
                <w:rFonts w:cs="Arial"/>
                <w:b/>
                <w:bCs/>
              </w:rPr>
              <w:t>0</w:t>
            </w:r>
          </w:p>
        </w:tc>
        <w:tc>
          <w:tcPr>
            <w:tcW w:w="1047" w:type="dxa"/>
            <w:tcBorders>
              <w:top w:val="single" w:sz="6" w:space="0" w:color="auto"/>
              <w:left w:val="single" w:sz="6" w:space="0" w:color="auto"/>
              <w:bottom w:val="single" w:sz="6" w:space="0" w:color="auto"/>
              <w:right w:val="single" w:sz="6" w:space="0" w:color="auto"/>
            </w:tcBorders>
          </w:tcPr>
          <w:p w14:paraId="27EADD53" w14:textId="77777777" w:rsidR="00286F7D" w:rsidRPr="00286F7D" w:rsidRDefault="00286F7D" w:rsidP="00286F7D">
            <w:pPr>
              <w:pStyle w:val="Texttabulky"/>
              <w:spacing w:after="0"/>
              <w:jc w:val="right"/>
              <w:rPr>
                <w:rFonts w:cs="Arial"/>
              </w:rPr>
            </w:pPr>
            <w:r w:rsidRPr="00286F7D">
              <w:rPr>
                <w:rFonts w:cs="Arial"/>
                <w:b/>
                <w:bCs/>
              </w:rPr>
              <w:t>0</w:t>
            </w:r>
          </w:p>
        </w:tc>
        <w:tc>
          <w:tcPr>
            <w:tcW w:w="750" w:type="dxa"/>
            <w:tcBorders>
              <w:top w:val="single" w:sz="6" w:space="0" w:color="auto"/>
              <w:left w:val="single" w:sz="6" w:space="0" w:color="auto"/>
              <w:bottom w:val="single" w:sz="6" w:space="0" w:color="auto"/>
              <w:right w:val="single" w:sz="6" w:space="0" w:color="auto"/>
            </w:tcBorders>
          </w:tcPr>
          <w:p w14:paraId="7839789D" w14:textId="77777777" w:rsidR="00286F7D" w:rsidRPr="00286F7D" w:rsidRDefault="00286F7D" w:rsidP="00286F7D">
            <w:pPr>
              <w:pStyle w:val="Texttabulky"/>
              <w:spacing w:after="0"/>
              <w:jc w:val="right"/>
              <w:rPr>
                <w:rFonts w:cs="Arial"/>
              </w:rPr>
            </w:pPr>
            <w:r w:rsidRPr="00286F7D">
              <w:rPr>
                <w:rFonts w:cs="Arial"/>
                <w:b/>
                <w:bCs/>
              </w:rPr>
              <w:t>0</w:t>
            </w:r>
          </w:p>
        </w:tc>
        <w:tc>
          <w:tcPr>
            <w:tcW w:w="963" w:type="dxa"/>
            <w:tcBorders>
              <w:top w:val="single" w:sz="6" w:space="0" w:color="auto"/>
              <w:left w:val="single" w:sz="6" w:space="0" w:color="auto"/>
              <w:bottom w:val="single" w:sz="6" w:space="0" w:color="auto"/>
              <w:right w:val="single" w:sz="6" w:space="0" w:color="auto"/>
            </w:tcBorders>
          </w:tcPr>
          <w:p w14:paraId="4FD51978" w14:textId="77777777" w:rsidR="00286F7D" w:rsidRPr="00286F7D" w:rsidRDefault="00286F7D" w:rsidP="00286F7D">
            <w:pPr>
              <w:pStyle w:val="Texttabulky"/>
              <w:spacing w:after="0"/>
              <w:jc w:val="right"/>
              <w:rPr>
                <w:rFonts w:cs="Arial"/>
              </w:rPr>
            </w:pPr>
            <w:r w:rsidRPr="00286F7D">
              <w:rPr>
                <w:rFonts w:cs="Arial"/>
                <w:b/>
                <w:bCs/>
              </w:rPr>
              <w:t>0</w:t>
            </w:r>
          </w:p>
        </w:tc>
        <w:tc>
          <w:tcPr>
            <w:tcW w:w="976" w:type="dxa"/>
            <w:tcBorders>
              <w:top w:val="single" w:sz="6" w:space="0" w:color="auto"/>
              <w:left w:val="single" w:sz="6" w:space="0" w:color="auto"/>
              <w:bottom w:val="single" w:sz="6" w:space="0" w:color="auto"/>
              <w:right w:val="single" w:sz="6" w:space="0" w:color="auto"/>
            </w:tcBorders>
          </w:tcPr>
          <w:p w14:paraId="3D3EE2F1" w14:textId="77777777" w:rsidR="00286F7D" w:rsidRPr="00286F7D" w:rsidRDefault="00286F7D" w:rsidP="00286F7D">
            <w:pPr>
              <w:pStyle w:val="Texttabulky"/>
              <w:spacing w:after="0"/>
              <w:jc w:val="right"/>
              <w:rPr>
                <w:rFonts w:cs="Arial"/>
              </w:rPr>
            </w:pPr>
            <w:r w:rsidRPr="00286F7D">
              <w:rPr>
                <w:rFonts w:cs="Arial"/>
                <w:b/>
                <w:bCs/>
              </w:rPr>
              <w:t>0</w:t>
            </w:r>
          </w:p>
        </w:tc>
      </w:tr>
      <w:tr w:rsidR="00286F7D" w:rsidRPr="00286F7D" w14:paraId="0FA72D94" w14:textId="77777777" w:rsidTr="00286F7D">
        <w:tc>
          <w:tcPr>
            <w:tcW w:w="753" w:type="dxa"/>
            <w:tcBorders>
              <w:top w:val="single" w:sz="6" w:space="0" w:color="auto"/>
              <w:left w:val="single" w:sz="6" w:space="0" w:color="auto"/>
              <w:bottom w:val="single" w:sz="6" w:space="0" w:color="auto"/>
              <w:right w:val="single" w:sz="6" w:space="0" w:color="auto"/>
            </w:tcBorders>
          </w:tcPr>
          <w:p w14:paraId="5F9E33F5" w14:textId="77777777" w:rsidR="00286F7D" w:rsidRPr="00286F7D" w:rsidRDefault="00286F7D" w:rsidP="00286F7D">
            <w:pPr>
              <w:pStyle w:val="Texttabulky"/>
              <w:spacing w:after="0"/>
              <w:jc w:val="right"/>
              <w:rPr>
                <w:rFonts w:cs="Arial"/>
              </w:rPr>
            </w:pPr>
            <w:r w:rsidRPr="00286F7D">
              <w:rPr>
                <w:rFonts w:cs="Arial"/>
              </w:rPr>
              <w:t>49</w:t>
            </w:r>
          </w:p>
        </w:tc>
        <w:tc>
          <w:tcPr>
            <w:tcW w:w="2427" w:type="dxa"/>
            <w:tcBorders>
              <w:top w:val="single" w:sz="6" w:space="0" w:color="auto"/>
              <w:left w:val="single" w:sz="6" w:space="0" w:color="auto"/>
              <w:bottom w:val="single" w:sz="6" w:space="0" w:color="auto"/>
              <w:right w:val="single" w:sz="6" w:space="0" w:color="auto"/>
            </w:tcBorders>
          </w:tcPr>
          <w:p w14:paraId="533C337E" w14:textId="77777777" w:rsidR="00286F7D" w:rsidRPr="00286F7D" w:rsidRDefault="00286F7D" w:rsidP="00286F7D">
            <w:pPr>
              <w:pStyle w:val="Texttabulky"/>
              <w:spacing w:after="0"/>
              <w:rPr>
                <w:rFonts w:cs="Arial"/>
              </w:rPr>
            </w:pPr>
            <w:r w:rsidRPr="00286F7D">
              <w:rPr>
                <w:rFonts w:cs="Arial"/>
              </w:rPr>
              <w:t>Chlum</w:t>
            </w:r>
          </w:p>
        </w:tc>
        <w:tc>
          <w:tcPr>
            <w:tcW w:w="1083" w:type="dxa"/>
            <w:tcBorders>
              <w:top w:val="single" w:sz="6" w:space="0" w:color="auto"/>
              <w:left w:val="single" w:sz="6" w:space="0" w:color="auto"/>
              <w:bottom w:val="single" w:sz="6" w:space="0" w:color="auto"/>
              <w:right w:val="single" w:sz="6" w:space="0" w:color="auto"/>
            </w:tcBorders>
          </w:tcPr>
          <w:p w14:paraId="47903B6B"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03445F20"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71020DA3"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76D21D33"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75B72F86"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8A8467D" w14:textId="77777777" w:rsidTr="00286F7D">
        <w:tc>
          <w:tcPr>
            <w:tcW w:w="753" w:type="dxa"/>
            <w:tcBorders>
              <w:top w:val="single" w:sz="6" w:space="0" w:color="auto"/>
              <w:left w:val="single" w:sz="6" w:space="0" w:color="auto"/>
              <w:bottom w:val="single" w:sz="6" w:space="0" w:color="auto"/>
              <w:right w:val="single" w:sz="6" w:space="0" w:color="auto"/>
            </w:tcBorders>
          </w:tcPr>
          <w:p w14:paraId="1B8C5106" w14:textId="77777777" w:rsidR="00286F7D" w:rsidRPr="00286F7D" w:rsidRDefault="00286F7D" w:rsidP="00286F7D">
            <w:pPr>
              <w:pStyle w:val="Texttabulky"/>
              <w:spacing w:after="0"/>
              <w:jc w:val="right"/>
              <w:rPr>
                <w:rFonts w:cs="Arial"/>
              </w:rPr>
            </w:pPr>
            <w:r w:rsidRPr="00286F7D">
              <w:rPr>
                <w:rFonts w:cs="Arial"/>
              </w:rPr>
              <w:t>53</w:t>
            </w:r>
          </w:p>
        </w:tc>
        <w:tc>
          <w:tcPr>
            <w:tcW w:w="2427" w:type="dxa"/>
            <w:tcBorders>
              <w:top w:val="single" w:sz="6" w:space="0" w:color="auto"/>
              <w:left w:val="single" w:sz="6" w:space="0" w:color="auto"/>
              <w:bottom w:val="single" w:sz="6" w:space="0" w:color="auto"/>
              <w:right w:val="single" w:sz="6" w:space="0" w:color="auto"/>
            </w:tcBorders>
          </w:tcPr>
          <w:p w14:paraId="710D06E1" w14:textId="77777777" w:rsidR="00286F7D" w:rsidRPr="00286F7D" w:rsidRDefault="00286F7D" w:rsidP="00286F7D">
            <w:pPr>
              <w:pStyle w:val="Texttabulky"/>
              <w:spacing w:after="0"/>
              <w:rPr>
                <w:rFonts w:cs="Arial"/>
              </w:rPr>
            </w:pPr>
            <w:r w:rsidRPr="00286F7D">
              <w:rPr>
                <w:rFonts w:cs="Arial"/>
              </w:rPr>
              <w:t>Velká Veleň</w:t>
            </w:r>
          </w:p>
        </w:tc>
        <w:tc>
          <w:tcPr>
            <w:tcW w:w="1083" w:type="dxa"/>
            <w:tcBorders>
              <w:top w:val="single" w:sz="6" w:space="0" w:color="auto"/>
              <w:left w:val="single" w:sz="6" w:space="0" w:color="auto"/>
              <w:bottom w:val="single" w:sz="6" w:space="0" w:color="auto"/>
              <w:right w:val="single" w:sz="6" w:space="0" w:color="auto"/>
            </w:tcBorders>
          </w:tcPr>
          <w:p w14:paraId="1BCDCC51"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41240C87"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1F016D5D"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14CD45DB"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21FD9776"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472BC746" w14:textId="77777777" w:rsidTr="00286F7D">
        <w:tc>
          <w:tcPr>
            <w:tcW w:w="753" w:type="dxa"/>
            <w:tcBorders>
              <w:top w:val="single" w:sz="6" w:space="0" w:color="auto"/>
              <w:left w:val="single" w:sz="6" w:space="0" w:color="auto"/>
              <w:bottom w:val="single" w:sz="6" w:space="0" w:color="auto"/>
              <w:right w:val="single" w:sz="6" w:space="0" w:color="auto"/>
            </w:tcBorders>
          </w:tcPr>
          <w:p w14:paraId="0AA4DADE" w14:textId="77777777" w:rsidR="00286F7D" w:rsidRPr="00286F7D" w:rsidRDefault="00286F7D" w:rsidP="00286F7D">
            <w:pPr>
              <w:pStyle w:val="Texttabulky"/>
              <w:spacing w:after="0"/>
              <w:jc w:val="right"/>
              <w:rPr>
                <w:rFonts w:cs="Arial"/>
              </w:rPr>
            </w:pPr>
            <w:r w:rsidRPr="00286F7D">
              <w:rPr>
                <w:rFonts w:cs="Arial"/>
              </w:rPr>
              <w:t>54</w:t>
            </w:r>
          </w:p>
        </w:tc>
        <w:tc>
          <w:tcPr>
            <w:tcW w:w="2427" w:type="dxa"/>
            <w:tcBorders>
              <w:top w:val="single" w:sz="6" w:space="0" w:color="auto"/>
              <w:left w:val="single" w:sz="6" w:space="0" w:color="auto"/>
              <w:bottom w:val="single" w:sz="6" w:space="0" w:color="auto"/>
              <w:right w:val="single" w:sz="6" w:space="0" w:color="auto"/>
            </w:tcBorders>
          </w:tcPr>
          <w:p w14:paraId="716D25A0" w14:textId="77777777" w:rsidR="00286F7D" w:rsidRPr="00286F7D" w:rsidRDefault="00286F7D" w:rsidP="00286F7D">
            <w:pPr>
              <w:pStyle w:val="Texttabulky"/>
              <w:spacing w:after="0"/>
              <w:rPr>
                <w:rFonts w:cs="Arial"/>
              </w:rPr>
            </w:pPr>
            <w:r w:rsidRPr="00286F7D">
              <w:rPr>
                <w:rFonts w:cs="Arial"/>
              </w:rPr>
              <w:t>Lesná</w:t>
            </w:r>
          </w:p>
        </w:tc>
        <w:tc>
          <w:tcPr>
            <w:tcW w:w="1083" w:type="dxa"/>
            <w:tcBorders>
              <w:top w:val="single" w:sz="6" w:space="0" w:color="auto"/>
              <w:left w:val="single" w:sz="6" w:space="0" w:color="auto"/>
              <w:bottom w:val="single" w:sz="6" w:space="0" w:color="auto"/>
              <w:right w:val="single" w:sz="6" w:space="0" w:color="auto"/>
            </w:tcBorders>
          </w:tcPr>
          <w:p w14:paraId="0349670F"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32036EB6"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48BB01CD"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49410378"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5E2EDEF2"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72295330" w14:textId="77777777" w:rsidTr="00286F7D">
        <w:tc>
          <w:tcPr>
            <w:tcW w:w="753" w:type="dxa"/>
            <w:tcBorders>
              <w:top w:val="single" w:sz="6" w:space="0" w:color="auto"/>
              <w:left w:val="single" w:sz="6" w:space="0" w:color="auto"/>
              <w:bottom w:val="single" w:sz="6" w:space="0" w:color="auto"/>
              <w:right w:val="single" w:sz="6" w:space="0" w:color="auto"/>
            </w:tcBorders>
          </w:tcPr>
          <w:p w14:paraId="7588AEB4" w14:textId="77777777" w:rsidR="00286F7D" w:rsidRPr="00286F7D" w:rsidRDefault="00286F7D" w:rsidP="00286F7D">
            <w:pPr>
              <w:pStyle w:val="Texttabulky"/>
              <w:spacing w:after="0"/>
              <w:jc w:val="right"/>
              <w:rPr>
                <w:rFonts w:cs="Arial"/>
              </w:rPr>
            </w:pPr>
            <w:r w:rsidRPr="00286F7D">
              <w:rPr>
                <w:rFonts w:cs="Arial"/>
              </w:rPr>
              <w:t>55</w:t>
            </w:r>
          </w:p>
        </w:tc>
        <w:tc>
          <w:tcPr>
            <w:tcW w:w="2427" w:type="dxa"/>
            <w:tcBorders>
              <w:top w:val="single" w:sz="6" w:space="0" w:color="auto"/>
              <w:left w:val="single" w:sz="6" w:space="0" w:color="auto"/>
              <w:bottom w:val="single" w:sz="6" w:space="0" w:color="auto"/>
              <w:right w:val="single" w:sz="6" w:space="0" w:color="auto"/>
            </w:tcBorders>
          </w:tcPr>
          <w:p w14:paraId="17A32D46" w14:textId="77777777" w:rsidR="00286F7D" w:rsidRPr="00286F7D" w:rsidRDefault="00286F7D" w:rsidP="00286F7D">
            <w:pPr>
              <w:pStyle w:val="Texttabulky"/>
              <w:spacing w:after="0"/>
              <w:rPr>
                <w:rFonts w:cs="Arial"/>
              </w:rPr>
            </w:pPr>
            <w:r w:rsidRPr="00286F7D">
              <w:rPr>
                <w:rFonts w:cs="Arial"/>
              </w:rPr>
              <w:t>Lesní mlýn</w:t>
            </w:r>
          </w:p>
        </w:tc>
        <w:tc>
          <w:tcPr>
            <w:tcW w:w="1083" w:type="dxa"/>
            <w:tcBorders>
              <w:top w:val="single" w:sz="6" w:space="0" w:color="auto"/>
              <w:left w:val="single" w:sz="6" w:space="0" w:color="auto"/>
              <w:bottom w:val="single" w:sz="6" w:space="0" w:color="auto"/>
              <w:right w:val="single" w:sz="6" w:space="0" w:color="auto"/>
            </w:tcBorders>
          </w:tcPr>
          <w:p w14:paraId="6A0C8FE6"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7EF9509A"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3D963349"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463A3D6D"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43536A7F"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6029A89" w14:textId="77777777" w:rsidTr="00286F7D">
        <w:tc>
          <w:tcPr>
            <w:tcW w:w="753" w:type="dxa"/>
            <w:tcBorders>
              <w:top w:val="single" w:sz="6" w:space="0" w:color="auto"/>
              <w:left w:val="single" w:sz="6" w:space="0" w:color="auto"/>
              <w:bottom w:val="single" w:sz="6" w:space="0" w:color="auto"/>
              <w:right w:val="single" w:sz="6" w:space="0" w:color="auto"/>
            </w:tcBorders>
          </w:tcPr>
          <w:p w14:paraId="36695C76" w14:textId="77777777" w:rsidR="00286F7D" w:rsidRPr="00286F7D" w:rsidRDefault="00286F7D" w:rsidP="00286F7D">
            <w:pPr>
              <w:pStyle w:val="Texttabulky"/>
              <w:spacing w:after="0"/>
              <w:jc w:val="right"/>
              <w:rPr>
                <w:rFonts w:cs="Arial"/>
              </w:rPr>
            </w:pPr>
            <w:r w:rsidRPr="00286F7D">
              <w:rPr>
                <w:rFonts w:cs="Arial"/>
              </w:rPr>
              <w:t>56</w:t>
            </w:r>
          </w:p>
        </w:tc>
        <w:tc>
          <w:tcPr>
            <w:tcW w:w="2427" w:type="dxa"/>
            <w:tcBorders>
              <w:top w:val="single" w:sz="6" w:space="0" w:color="auto"/>
              <w:left w:val="single" w:sz="6" w:space="0" w:color="auto"/>
              <w:bottom w:val="single" w:sz="6" w:space="0" w:color="auto"/>
              <w:right w:val="single" w:sz="6" w:space="0" w:color="auto"/>
            </w:tcBorders>
          </w:tcPr>
          <w:p w14:paraId="030CF6CF" w14:textId="77777777" w:rsidR="00286F7D" w:rsidRPr="00286F7D" w:rsidRDefault="00286F7D" w:rsidP="00286F7D">
            <w:pPr>
              <w:pStyle w:val="Texttabulky"/>
              <w:spacing w:after="0"/>
              <w:rPr>
                <w:rFonts w:cs="Arial"/>
              </w:rPr>
            </w:pPr>
            <w:r w:rsidRPr="00286F7D">
              <w:rPr>
                <w:rFonts w:cs="Arial"/>
              </w:rPr>
              <w:t>Hoštice</w:t>
            </w:r>
          </w:p>
        </w:tc>
        <w:tc>
          <w:tcPr>
            <w:tcW w:w="1083" w:type="dxa"/>
            <w:tcBorders>
              <w:top w:val="single" w:sz="6" w:space="0" w:color="auto"/>
              <w:left w:val="single" w:sz="6" w:space="0" w:color="auto"/>
              <w:bottom w:val="single" w:sz="6" w:space="0" w:color="auto"/>
              <w:right w:val="single" w:sz="6" w:space="0" w:color="auto"/>
            </w:tcBorders>
          </w:tcPr>
          <w:p w14:paraId="236511CF" w14:textId="77777777" w:rsidR="00286F7D" w:rsidRPr="00286F7D" w:rsidRDefault="00286F7D" w:rsidP="00286F7D">
            <w:pPr>
              <w:pStyle w:val="Texttabulky"/>
              <w:spacing w:after="0"/>
              <w:jc w:val="right"/>
              <w:rPr>
                <w:rFonts w:cs="Arial"/>
              </w:rPr>
            </w:pPr>
            <w:r w:rsidRPr="00286F7D">
              <w:rPr>
                <w:rFonts w:cs="Arial"/>
              </w:rPr>
              <w:t>0</w:t>
            </w:r>
          </w:p>
        </w:tc>
        <w:tc>
          <w:tcPr>
            <w:tcW w:w="1047" w:type="dxa"/>
            <w:tcBorders>
              <w:top w:val="single" w:sz="6" w:space="0" w:color="auto"/>
              <w:left w:val="single" w:sz="6" w:space="0" w:color="auto"/>
              <w:bottom w:val="single" w:sz="6" w:space="0" w:color="auto"/>
              <w:right w:val="single" w:sz="6" w:space="0" w:color="auto"/>
            </w:tcBorders>
          </w:tcPr>
          <w:p w14:paraId="7768E4ED" w14:textId="77777777" w:rsidR="00286F7D" w:rsidRPr="00286F7D" w:rsidRDefault="00286F7D" w:rsidP="00286F7D">
            <w:pPr>
              <w:pStyle w:val="Texttabulky"/>
              <w:spacing w:after="0"/>
              <w:jc w:val="right"/>
              <w:rPr>
                <w:rFonts w:cs="Arial"/>
              </w:rPr>
            </w:pPr>
            <w:r w:rsidRPr="00286F7D">
              <w:rPr>
                <w:rFonts w:cs="Arial"/>
              </w:rPr>
              <w:t>0</w:t>
            </w:r>
          </w:p>
        </w:tc>
        <w:tc>
          <w:tcPr>
            <w:tcW w:w="750" w:type="dxa"/>
            <w:tcBorders>
              <w:top w:val="single" w:sz="6" w:space="0" w:color="auto"/>
              <w:left w:val="single" w:sz="6" w:space="0" w:color="auto"/>
              <w:bottom w:val="single" w:sz="6" w:space="0" w:color="auto"/>
              <w:right w:val="single" w:sz="6" w:space="0" w:color="auto"/>
            </w:tcBorders>
          </w:tcPr>
          <w:p w14:paraId="0E2347D2" w14:textId="77777777" w:rsidR="00286F7D" w:rsidRPr="00286F7D" w:rsidRDefault="00286F7D" w:rsidP="00286F7D">
            <w:pPr>
              <w:pStyle w:val="Texttabulky"/>
              <w:spacing w:after="0"/>
              <w:jc w:val="right"/>
              <w:rPr>
                <w:rFonts w:cs="Arial"/>
              </w:rPr>
            </w:pPr>
            <w:r w:rsidRPr="00286F7D">
              <w:rPr>
                <w:rFonts w:cs="Arial"/>
              </w:rPr>
              <w:t>0</w:t>
            </w:r>
          </w:p>
        </w:tc>
        <w:tc>
          <w:tcPr>
            <w:tcW w:w="963" w:type="dxa"/>
            <w:tcBorders>
              <w:top w:val="single" w:sz="6" w:space="0" w:color="auto"/>
              <w:left w:val="single" w:sz="6" w:space="0" w:color="auto"/>
              <w:bottom w:val="single" w:sz="6" w:space="0" w:color="auto"/>
              <w:right w:val="single" w:sz="6" w:space="0" w:color="auto"/>
            </w:tcBorders>
          </w:tcPr>
          <w:p w14:paraId="7A86F02B" w14:textId="77777777" w:rsidR="00286F7D" w:rsidRPr="00286F7D" w:rsidRDefault="00286F7D" w:rsidP="00286F7D">
            <w:pPr>
              <w:pStyle w:val="Texttabulky"/>
              <w:spacing w:after="0"/>
              <w:jc w:val="right"/>
              <w:rPr>
                <w:rFonts w:cs="Arial"/>
              </w:rPr>
            </w:pPr>
            <w:r w:rsidRPr="00286F7D">
              <w:rPr>
                <w:rFonts w:cs="Arial"/>
              </w:rPr>
              <w:t>0</w:t>
            </w:r>
          </w:p>
        </w:tc>
        <w:tc>
          <w:tcPr>
            <w:tcW w:w="976" w:type="dxa"/>
            <w:tcBorders>
              <w:top w:val="single" w:sz="6" w:space="0" w:color="auto"/>
              <w:left w:val="single" w:sz="6" w:space="0" w:color="auto"/>
              <w:bottom w:val="single" w:sz="6" w:space="0" w:color="auto"/>
              <w:right w:val="single" w:sz="6" w:space="0" w:color="auto"/>
            </w:tcBorders>
          </w:tcPr>
          <w:p w14:paraId="25B89A42"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6E3A9436" w14:textId="77777777" w:rsidTr="00286F7D">
        <w:tc>
          <w:tcPr>
            <w:tcW w:w="753" w:type="dxa"/>
            <w:tcBorders>
              <w:top w:val="single" w:sz="6" w:space="0" w:color="auto"/>
              <w:left w:val="single" w:sz="6" w:space="0" w:color="auto"/>
              <w:bottom w:val="single" w:sz="6" w:space="0" w:color="auto"/>
              <w:right w:val="single" w:sz="6" w:space="0" w:color="auto"/>
            </w:tcBorders>
          </w:tcPr>
          <w:p w14:paraId="1CEF5B54" w14:textId="77777777" w:rsidR="00286F7D" w:rsidRPr="00286F7D" w:rsidRDefault="00286F7D" w:rsidP="00286F7D">
            <w:pPr>
              <w:pStyle w:val="Texttabulky"/>
              <w:spacing w:after="0"/>
              <w:rPr>
                <w:rFonts w:cs="Arial"/>
              </w:rPr>
            </w:pPr>
            <w:r w:rsidRPr="00286F7D">
              <w:rPr>
                <w:rFonts w:cs="Arial"/>
                <w:b/>
                <w:bCs/>
              </w:rPr>
              <w:t xml:space="preserve"> IX</w:t>
            </w:r>
          </w:p>
        </w:tc>
        <w:tc>
          <w:tcPr>
            <w:tcW w:w="2427" w:type="dxa"/>
            <w:tcBorders>
              <w:top w:val="single" w:sz="6" w:space="0" w:color="auto"/>
              <w:left w:val="single" w:sz="6" w:space="0" w:color="auto"/>
              <w:bottom w:val="single" w:sz="6" w:space="0" w:color="auto"/>
              <w:right w:val="single" w:sz="6" w:space="0" w:color="auto"/>
            </w:tcBorders>
          </w:tcPr>
          <w:p w14:paraId="258F6C06" w14:textId="77777777" w:rsidR="00286F7D" w:rsidRPr="00286F7D" w:rsidRDefault="00286F7D" w:rsidP="00286F7D">
            <w:pPr>
              <w:pStyle w:val="Texttabulky"/>
              <w:spacing w:after="0"/>
              <w:rPr>
                <w:rFonts w:cs="Arial"/>
              </w:rPr>
            </w:pPr>
            <w:r w:rsidRPr="00286F7D">
              <w:rPr>
                <w:rFonts w:cs="Arial"/>
                <w:b/>
                <w:bCs/>
                <w:caps/>
              </w:rPr>
              <w:t>sektor celkem</w:t>
            </w:r>
          </w:p>
        </w:tc>
        <w:tc>
          <w:tcPr>
            <w:tcW w:w="1083" w:type="dxa"/>
            <w:tcBorders>
              <w:top w:val="single" w:sz="6" w:space="0" w:color="auto"/>
              <w:left w:val="single" w:sz="6" w:space="0" w:color="auto"/>
              <w:bottom w:val="single" w:sz="6" w:space="0" w:color="auto"/>
              <w:right w:val="single" w:sz="6" w:space="0" w:color="auto"/>
            </w:tcBorders>
          </w:tcPr>
          <w:p w14:paraId="0A2FF91A" w14:textId="77777777" w:rsidR="00286F7D" w:rsidRPr="00286F7D" w:rsidRDefault="00286F7D" w:rsidP="00286F7D">
            <w:pPr>
              <w:pStyle w:val="Texttabulky"/>
              <w:spacing w:after="0"/>
              <w:jc w:val="right"/>
              <w:rPr>
                <w:rFonts w:cs="Arial"/>
              </w:rPr>
            </w:pPr>
            <w:r w:rsidRPr="00286F7D">
              <w:rPr>
                <w:rFonts w:cs="Arial"/>
                <w:b/>
                <w:bCs/>
              </w:rPr>
              <w:t>0</w:t>
            </w:r>
          </w:p>
        </w:tc>
        <w:tc>
          <w:tcPr>
            <w:tcW w:w="1047" w:type="dxa"/>
            <w:tcBorders>
              <w:top w:val="single" w:sz="6" w:space="0" w:color="auto"/>
              <w:left w:val="single" w:sz="6" w:space="0" w:color="auto"/>
              <w:bottom w:val="single" w:sz="6" w:space="0" w:color="auto"/>
              <w:right w:val="single" w:sz="6" w:space="0" w:color="auto"/>
            </w:tcBorders>
          </w:tcPr>
          <w:p w14:paraId="6D740288" w14:textId="77777777" w:rsidR="00286F7D" w:rsidRPr="00286F7D" w:rsidRDefault="00286F7D" w:rsidP="00286F7D">
            <w:pPr>
              <w:pStyle w:val="Texttabulky"/>
              <w:spacing w:after="0"/>
              <w:jc w:val="right"/>
              <w:rPr>
                <w:rFonts w:cs="Arial"/>
              </w:rPr>
            </w:pPr>
            <w:r w:rsidRPr="00286F7D">
              <w:rPr>
                <w:rFonts w:cs="Arial"/>
                <w:b/>
                <w:bCs/>
              </w:rPr>
              <w:t>0</w:t>
            </w:r>
          </w:p>
        </w:tc>
        <w:tc>
          <w:tcPr>
            <w:tcW w:w="750" w:type="dxa"/>
            <w:tcBorders>
              <w:top w:val="single" w:sz="6" w:space="0" w:color="auto"/>
              <w:left w:val="single" w:sz="6" w:space="0" w:color="auto"/>
              <w:bottom w:val="single" w:sz="6" w:space="0" w:color="auto"/>
              <w:right w:val="single" w:sz="6" w:space="0" w:color="auto"/>
            </w:tcBorders>
          </w:tcPr>
          <w:p w14:paraId="1691FC11" w14:textId="77777777" w:rsidR="00286F7D" w:rsidRPr="00286F7D" w:rsidRDefault="00286F7D" w:rsidP="00286F7D">
            <w:pPr>
              <w:pStyle w:val="Texttabulky"/>
              <w:spacing w:after="0"/>
              <w:jc w:val="right"/>
              <w:rPr>
                <w:rFonts w:cs="Arial"/>
              </w:rPr>
            </w:pPr>
            <w:r w:rsidRPr="00286F7D">
              <w:rPr>
                <w:rFonts w:cs="Arial"/>
                <w:b/>
                <w:bCs/>
              </w:rPr>
              <w:t>0</w:t>
            </w:r>
          </w:p>
        </w:tc>
        <w:tc>
          <w:tcPr>
            <w:tcW w:w="963" w:type="dxa"/>
            <w:tcBorders>
              <w:top w:val="single" w:sz="6" w:space="0" w:color="auto"/>
              <w:left w:val="single" w:sz="6" w:space="0" w:color="auto"/>
              <w:bottom w:val="single" w:sz="6" w:space="0" w:color="auto"/>
              <w:right w:val="single" w:sz="6" w:space="0" w:color="auto"/>
            </w:tcBorders>
          </w:tcPr>
          <w:p w14:paraId="797FD7F0" w14:textId="77777777" w:rsidR="00286F7D" w:rsidRPr="00286F7D" w:rsidRDefault="00286F7D" w:rsidP="00286F7D">
            <w:pPr>
              <w:pStyle w:val="Texttabulky"/>
              <w:spacing w:after="0"/>
              <w:jc w:val="right"/>
              <w:rPr>
                <w:rFonts w:cs="Arial"/>
              </w:rPr>
            </w:pPr>
            <w:r w:rsidRPr="00286F7D">
              <w:rPr>
                <w:rFonts w:cs="Arial"/>
                <w:b/>
                <w:bCs/>
              </w:rPr>
              <w:t>0</w:t>
            </w:r>
          </w:p>
        </w:tc>
        <w:tc>
          <w:tcPr>
            <w:tcW w:w="976" w:type="dxa"/>
            <w:tcBorders>
              <w:top w:val="single" w:sz="6" w:space="0" w:color="auto"/>
              <w:left w:val="single" w:sz="6" w:space="0" w:color="auto"/>
              <w:bottom w:val="single" w:sz="6" w:space="0" w:color="auto"/>
              <w:right w:val="single" w:sz="6" w:space="0" w:color="auto"/>
            </w:tcBorders>
          </w:tcPr>
          <w:p w14:paraId="388C0222" w14:textId="77777777" w:rsidR="00286F7D" w:rsidRPr="00286F7D" w:rsidRDefault="00286F7D" w:rsidP="00286F7D">
            <w:pPr>
              <w:pStyle w:val="Texttabulky"/>
              <w:spacing w:after="0"/>
              <w:jc w:val="right"/>
              <w:rPr>
                <w:rFonts w:cs="Arial"/>
              </w:rPr>
            </w:pPr>
            <w:r w:rsidRPr="00286F7D">
              <w:rPr>
                <w:rFonts w:cs="Arial"/>
                <w:b/>
                <w:bCs/>
              </w:rPr>
              <w:t>0</w:t>
            </w:r>
          </w:p>
        </w:tc>
      </w:tr>
      <w:tr w:rsidR="00286F7D" w:rsidRPr="00286F7D" w14:paraId="139A03EA" w14:textId="77777777" w:rsidTr="00286F7D">
        <w:tc>
          <w:tcPr>
            <w:tcW w:w="753" w:type="dxa"/>
            <w:tcBorders>
              <w:top w:val="nil"/>
              <w:left w:val="nil"/>
              <w:bottom w:val="nil"/>
              <w:right w:val="nil"/>
            </w:tcBorders>
          </w:tcPr>
          <w:p w14:paraId="5854CEDB" w14:textId="77777777" w:rsidR="00286F7D" w:rsidRPr="00286F7D" w:rsidRDefault="00286F7D" w:rsidP="00286F7D">
            <w:pPr>
              <w:pStyle w:val="Zkladntext"/>
              <w:spacing w:after="0"/>
              <w:rPr>
                <w:rFonts w:ascii="Arial" w:hAnsi="Arial" w:cs="Arial"/>
              </w:rPr>
            </w:pPr>
          </w:p>
        </w:tc>
        <w:tc>
          <w:tcPr>
            <w:tcW w:w="2427" w:type="dxa"/>
            <w:tcBorders>
              <w:top w:val="single" w:sz="6" w:space="0" w:color="auto"/>
              <w:left w:val="single" w:sz="6" w:space="0" w:color="auto"/>
              <w:bottom w:val="single" w:sz="6" w:space="0" w:color="auto"/>
              <w:right w:val="single" w:sz="6" w:space="0" w:color="auto"/>
            </w:tcBorders>
          </w:tcPr>
          <w:p w14:paraId="48908F7C" w14:textId="77777777" w:rsidR="00286F7D" w:rsidRPr="00286F7D" w:rsidRDefault="00286F7D" w:rsidP="00286F7D">
            <w:pPr>
              <w:pStyle w:val="Zkladntext"/>
              <w:spacing w:after="0"/>
              <w:rPr>
                <w:rFonts w:ascii="Arial" w:hAnsi="Arial" w:cs="Arial"/>
              </w:rPr>
            </w:pPr>
          </w:p>
        </w:tc>
        <w:tc>
          <w:tcPr>
            <w:tcW w:w="1083" w:type="dxa"/>
            <w:tcBorders>
              <w:top w:val="single" w:sz="6" w:space="0" w:color="auto"/>
              <w:left w:val="single" w:sz="6" w:space="0" w:color="auto"/>
              <w:bottom w:val="single" w:sz="6" w:space="0" w:color="auto"/>
              <w:right w:val="single" w:sz="6" w:space="0" w:color="auto"/>
            </w:tcBorders>
          </w:tcPr>
          <w:p w14:paraId="6CDD5F69" w14:textId="77777777" w:rsidR="00286F7D" w:rsidRPr="00286F7D" w:rsidRDefault="00286F7D" w:rsidP="00286F7D">
            <w:pPr>
              <w:pStyle w:val="Zkladntext"/>
              <w:spacing w:after="0"/>
              <w:rPr>
                <w:rFonts w:ascii="Arial" w:hAnsi="Arial" w:cs="Arial"/>
              </w:rPr>
            </w:pPr>
          </w:p>
        </w:tc>
        <w:tc>
          <w:tcPr>
            <w:tcW w:w="1047" w:type="dxa"/>
            <w:tcBorders>
              <w:top w:val="single" w:sz="6" w:space="0" w:color="auto"/>
              <w:left w:val="single" w:sz="6" w:space="0" w:color="auto"/>
              <w:bottom w:val="single" w:sz="6" w:space="0" w:color="auto"/>
              <w:right w:val="single" w:sz="6" w:space="0" w:color="auto"/>
            </w:tcBorders>
          </w:tcPr>
          <w:p w14:paraId="03A23769" w14:textId="77777777" w:rsidR="00286F7D" w:rsidRPr="00286F7D" w:rsidRDefault="00286F7D" w:rsidP="00286F7D">
            <w:pPr>
              <w:pStyle w:val="Zkladntext"/>
              <w:spacing w:after="0"/>
              <w:rPr>
                <w:rFonts w:ascii="Arial" w:hAnsi="Arial" w:cs="Arial"/>
              </w:rPr>
            </w:pPr>
          </w:p>
        </w:tc>
        <w:tc>
          <w:tcPr>
            <w:tcW w:w="750" w:type="dxa"/>
            <w:tcBorders>
              <w:top w:val="single" w:sz="6" w:space="0" w:color="auto"/>
              <w:left w:val="single" w:sz="6" w:space="0" w:color="auto"/>
              <w:bottom w:val="single" w:sz="6" w:space="0" w:color="auto"/>
              <w:right w:val="single" w:sz="6" w:space="0" w:color="auto"/>
            </w:tcBorders>
          </w:tcPr>
          <w:p w14:paraId="013458CB" w14:textId="77777777" w:rsidR="00286F7D" w:rsidRPr="00286F7D" w:rsidRDefault="00286F7D" w:rsidP="00286F7D">
            <w:pPr>
              <w:pStyle w:val="Zkladntext"/>
              <w:spacing w:after="0"/>
              <w:rPr>
                <w:rFonts w:ascii="Arial" w:hAnsi="Arial" w:cs="Arial"/>
              </w:rPr>
            </w:pPr>
          </w:p>
        </w:tc>
        <w:tc>
          <w:tcPr>
            <w:tcW w:w="963" w:type="dxa"/>
            <w:tcBorders>
              <w:top w:val="single" w:sz="6" w:space="0" w:color="auto"/>
              <w:left w:val="single" w:sz="6" w:space="0" w:color="auto"/>
              <w:bottom w:val="single" w:sz="6" w:space="0" w:color="auto"/>
              <w:right w:val="single" w:sz="6" w:space="0" w:color="auto"/>
            </w:tcBorders>
          </w:tcPr>
          <w:p w14:paraId="503F0636" w14:textId="77777777" w:rsidR="00286F7D" w:rsidRPr="00286F7D" w:rsidRDefault="00286F7D" w:rsidP="00286F7D">
            <w:pPr>
              <w:pStyle w:val="Zkladntext"/>
              <w:spacing w:after="0"/>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tcPr>
          <w:p w14:paraId="1CDE34BD" w14:textId="77777777" w:rsidR="00286F7D" w:rsidRPr="00286F7D" w:rsidRDefault="00286F7D" w:rsidP="00286F7D">
            <w:pPr>
              <w:pStyle w:val="Zkladntext"/>
              <w:spacing w:after="0"/>
              <w:rPr>
                <w:rFonts w:ascii="Arial" w:hAnsi="Arial" w:cs="Arial"/>
              </w:rPr>
            </w:pPr>
          </w:p>
        </w:tc>
      </w:tr>
      <w:tr w:rsidR="00286F7D" w:rsidRPr="00286F7D" w14:paraId="7F6456E3" w14:textId="77777777" w:rsidTr="00286F7D">
        <w:tc>
          <w:tcPr>
            <w:tcW w:w="753" w:type="dxa"/>
            <w:tcBorders>
              <w:top w:val="single" w:sz="6" w:space="0" w:color="auto"/>
              <w:left w:val="single" w:sz="6" w:space="0" w:color="auto"/>
              <w:bottom w:val="single" w:sz="6" w:space="0" w:color="auto"/>
              <w:right w:val="single" w:sz="6" w:space="0" w:color="auto"/>
            </w:tcBorders>
          </w:tcPr>
          <w:p w14:paraId="1694E5E7" w14:textId="77777777" w:rsidR="00286F7D" w:rsidRPr="00286F7D" w:rsidRDefault="00286F7D" w:rsidP="00286F7D">
            <w:pPr>
              <w:pStyle w:val="Texttabulky"/>
              <w:spacing w:after="0"/>
              <w:rPr>
                <w:rFonts w:cs="Arial"/>
              </w:rPr>
            </w:pPr>
            <w:r w:rsidRPr="00286F7D">
              <w:rPr>
                <w:rFonts w:cs="Arial"/>
                <w:b/>
                <w:bCs/>
              </w:rPr>
              <w:t>I-IX</w:t>
            </w:r>
          </w:p>
        </w:tc>
        <w:tc>
          <w:tcPr>
            <w:tcW w:w="2427" w:type="dxa"/>
            <w:tcBorders>
              <w:top w:val="single" w:sz="6" w:space="0" w:color="auto"/>
              <w:left w:val="single" w:sz="6" w:space="0" w:color="auto"/>
              <w:bottom w:val="single" w:sz="6" w:space="0" w:color="auto"/>
              <w:right w:val="single" w:sz="6" w:space="0" w:color="auto"/>
            </w:tcBorders>
          </w:tcPr>
          <w:p w14:paraId="694483BD" w14:textId="77777777" w:rsidR="00286F7D" w:rsidRPr="00286F7D" w:rsidRDefault="00286F7D" w:rsidP="00286F7D">
            <w:pPr>
              <w:pStyle w:val="Texttabulky"/>
              <w:spacing w:after="0"/>
              <w:rPr>
                <w:rFonts w:cs="Arial"/>
              </w:rPr>
            </w:pPr>
            <w:r w:rsidRPr="00286F7D">
              <w:rPr>
                <w:rFonts w:cs="Arial"/>
                <w:b/>
                <w:bCs/>
              </w:rPr>
              <w:t>MĚSTO CELKEM</w:t>
            </w:r>
          </w:p>
        </w:tc>
        <w:tc>
          <w:tcPr>
            <w:tcW w:w="1083" w:type="dxa"/>
            <w:tcBorders>
              <w:top w:val="single" w:sz="6" w:space="0" w:color="auto"/>
              <w:left w:val="single" w:sz="6" w:space="0" w:color="auto"/>
              <w:bottom w:val="single" w:sz="6" w:space="0" w:color="auto"/>
              <w:right w:val="single" w:sz="6" w:space="0" w:color="auto"/>
            </w:tcBorders>
          </w:tcPr>
          <w:p w14:paraId="047EEC0A" w14:textId="77777777" w:rsidR="00286F7D" w:rsidRPr="00286F7D" w:rsidRDefault="00286F7D" w:rsidP="00286F7D">
            <w:pPr>
              <w:pStyle w:val="Texttabulky"/>
              <w:spacing w:after="0"/>
              <w:jc w:val="right"/>
              <w:rPr>
                <w:rFonts w:cs="Arial"/>
              </w:rPr>
            </w:pPr>
            <w:r w:rsidRPr="00286F7D">
              <w:rPr>
                <w:rFonts w:cs="Arial"/>
                <w:b/>
                <w:bCs/>
              </w:rPr>
              <w:t>10 764</w:t>
            </w:r>
          </w:p>
        </w:tc>
        <w:tc>
          <w:tcPr>
            <w:tcW w:w="1047" w:type="dxa"/>
            <w:tcBorders>
              <w:top w:val="single" w:sz="6" w:space="0" w:color="auto"/>
              <w:left w:val="single" w:sz="6" w:space="0" w:color="auto"/>
              <w:bottom w:val="single" w:sz="6" w:space="0" w:color="auto"/>
              <w:right w:val="single" w:sz="6" w:space="0" w:color="auto"/>
            </w:tcBorders>
          </w:tcPr>
          <w:p w14:paraId="1431F136" w14:textId="77777777" w:rsidR="00286F7D" w:rsidRPr="00286F7D" w:rsidRDefault="00286F7D" w:rsidP="00286F7D">
            <w:pPr>
              <w:pStyle w:val="Texttabulky"/>
              <w:spacing w:after="0"/>
              <w:jc w:val="right"/>
              <w:rPr>
                <w:rFonts w:cs="Arial"/>
              </w:rPr>
            </w:pPr>
            <w:r w:rsidRPr="00286F7D">
              <w:rPr>
                <w:rFonts w:cs="Arial"/>
                <w:b/>
                <w:bCs/>
              </w:rPr>
              <w:t>9 640</w:t>
            </w:r>
          </w:p>
        </w:tc>
        <w:tc>
          <w:tcPr>
            <w:tcW w:w="750" w:type="dxa"/>
            <w:tcBorders>
              <w:top w:val="single" w:sz="6" w:space="0" w:color="auto"/>
              <w:left w:val="single" w:sz="6" w:space="0" w:color="auto"/>
              <w:bottom w:val="single" w:sz="6" w:space="0" w:color="auto"/>
              <w:right w:val="single" w:sz="6" w:space="0" w:color="auto"/>
            </w:tcBorders>
          </w:tcPr>
          <w:p w14:paraId="5AFF5339" w14:textId="77777777" w:rsidR="00286F7D" w:rsidRPr="00286F7D" w:rsidRDefault="00286F7D" w:rsidP="00286F7D">
            <w:pPr>
              <w:pStyle w:val="Texttabulky"/>
              <w:spacing w:after="0"/>
              <w:jc w:val="right"/>
              <w:rPr>
                <w:rFonts w:cs="Arial"/>
              </w:rPr>
            </w:pPr>
            <w:r w:rsidRPr="00286F7D">
              <w:rPr>
                <w:rFonts w:cs="Arial"/>
                <w:b/>
                <w:bCs/>
              </w:rPr>
              <w:t>56</w:t>
            </w:r>
          </w:p>
        </w:tc>
        <w:tc>
          <w:tcPr>
            <w:tcW w:w="963" w:type="dxa"/>
            <w:tcBorders>
              <w:top w:val="single" w:sz="6" w:space="0" w:color="auto"/>
              <w:left w:val="single" w:sz="6" w:space="0" w:color="auto"/>
              <w:bottom w:val="single" w:sz="6" w:space="0" w:color="auto"/>
              <w:right w:val="single" w:sz="6" w:space="0" w:color="auto"/>
            </w:tcBorders>
          </w:tcPr>
          <w:p w14:paraId="10288ACD" w14:textId="77777777" w:rsidR="00286F7D" w:rsidRPr="00286F7D" w:rsidRDefault="00286F7D" w:rsidP="00286F7D">
            <w:pPr>
              <w:pStyle w:val="Texttabulky"/>
              <w:spacing w:after="0"/>
              <w:jc w:val="right"/>
              <w:rPr>
                <w:rFonts w:cs="Arial"/>
              </w:rPr>
            </w:pPr>
            <w:r w:rsidRPr="00286F7D">
              <w:rPr>
                <w:rFonts w:cs="Arial"/>
                <w:b/>
                <w:bCs/>
              </w:rPr>
              <w:t>9 602</w:t>
            </w:r>
          </w:p>
        </w:tc>
        <w:tc>
          <w:tcPr>
            <w:tcW w:w="976" w:type="dxa"/>
            <w:tcBorders>
              <w:top w:val="single" w:sz="6" w:space="0" w:color="auto"/>
              <w:left w:val="single" w:sz="6" w:space="0" w:color="auto"/>
              <w:bottom w:val="single" w:sz="6" w:space="0" w:color="auto"/>
              <w:right w:val="single" w:sz="6" w:space="0" w:color="auto"/>
            </w:tcBorders>
          </w:tcPr>
          <w:p w14:paraId="7E618CD2" w14:textId="77777777" w:rsidR="00286F7D" w:rsidRPr="00286F7D" w:rsidRDefault="00286F7D" w:rsidP="00286F7D">
            <w:pPr>
              <w:pStyle w:val="Texttabulky"/>
              <w:spacing w:after="0"/>
              <w:jc w:val="right"/>
              <w:rPr>
                <w:rFonts w:cs="Arial"/>
              </w:rPr>
            </w:pPr>
            <w:r w:rsidRPr="00286F7D">
              <w:rPr>
                <w:rFonts w:cs="Arial"/>
                <w:b/>
                <w:bCs/>
              </w:rPr>
              <w:t>- 38</w:t>
            </w:r>
          </w:p>
        </w:tc>
      </w:tr>
    </w:tbl>
    <w:p w14:paraId="47663362" w14:textId="77777777" w:rsidR="00286F7D" w:rsidRPr="00286F7D" w:rsidRDefault="00286F7D" w:rsidP="00286F7D">
      <w:pPr>
        <w:autoSpaceDE w:val="0"/>
        <w:autoSpaceDN w:val="0"/>
        <w:adjustRightInd w:val="0"/>
        <w:rPr>
          <w:rFonts w:ascii="Arial" w:hAnsi="Arial" w:cs="Arial"/>
          <w:sz w:val="20"/>
        </w:rPr>
      </w:pPr>
    </w:p>
    <w:p w14:paraId="36CE0640" w14:textId="77777777" w:rsidR="00286F7D" w:rsidRPr="00286F7D" w:rsidRDefault="00286F7D" w:rsidP="00286F7D">
      <w:pPr>
        <w:autoSpaceDE w:val="0"/>
        <w:autoSpaceDN w:val="0"/>
        <w:adjustRightInd w:val="0"/>
        <w:rPr>
          <w:rFonts w:ascii="Arial" w:hAnsi="Arial" w:cs="Arial"/>
          <w:b/>
          <w:bCs/>
          <w:sz w:val="32"/>
          <w:szCs w:val="32"/>
        </w:rPr>
      </w:pPr>
      <w:r w:rsidRPr="00286F7D">
        <w:rPr>
          <w:rFonts w:ascii="Arial" w:hAnsi="Arial" w:cs="Arial"/>
          <w:b/>
          <w:bCs/>
          <w:sz w:val="32"/>
          <w:szCs w:val="32"/>
        </w:rPr>
        <w:t>O5. ROZBOR UKRYTÍ PODNIKATELSKÝCH  SUBJEKTŮ EKONOMICKÉ ZÁKLADNY</w:t>
      </w:r>
    </w:p>
    <w:p w14:paraId="18D2A250"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b/>
          <w:bCs/>
          <w:sz w:val="22"/>
          <w:szCs w:val="22"/>
        </w:rPr>
        <w:t>Pro potřeby ukrytí slouží v současné době na území města:</w:t>
      </w:r>
    </w:p>
    <w:p w14:paraId="63A9A177" w14:textId="77777777" w:rsidR="00286F7D" w:rsidRPr="00286F7D" w:rsidRDefault="00286F7D" w:rsidP="00F32769">
      <w:pPr>
        <w:pStyle w:val="Znaka1"/>
        <w:numPr>
          <w:ilvl w:val="1"/>
          <w:numId w:val="115"/>
        </w:numPr>
        <w:spacing w:before="120" w:line="288" w:lineRule="auto"/>
        <w:ind w:left="426"/>
        <w:jc w:val="both"/>
        <w:rPr>
          <w:rFonts w:cs="Arial"/>
          <w:sz w:val="22"/>
          <w:szCs w:val="22"/>
        </w:rPr>
      </w:pPr>
      <w:r w:rsidRPr="00286F7D">
        <w:rPr>
          <w:rFonts w:cs="Arial"/>
          <w:sz w:val="22"/>
          <w:szCs w:val="22"/>
        </w:rPr>
        <w:t>jednak 170 úkrytů PRÚ-BS o celkové kapacitě 16 726 osob (pracovníků);</w:t>
      </w:r>
    </w:p>
    <w:p w14:paraId="7DA43A3A" w14:textId="77777777" w:rsidR="00286F7D" w:rsidRPr="00286F7D" w:rsidRDefault="00286F7D" w:rsidP="00F32769">
      <w:pPr>
        <w:pStyle w:val="Znaka1"/>
        <w:numPr>
          <w:ilvl w:val="1"/>
          <w:numId w:val="115"/>
        </w:numPr>
        <w:spacing w:before="120" w:line="288" w:lineRule="auto"/>
        <w:ind w:left="426"/>
        <w:jc w:val="both"/>
        <w:rPr>
          <w:rFonts w:cs="Arial"/>
          <w:sz w:val="22"/>
          <w:szCs w:val="22"/>
        </w:rPr>
      </w:pPr>
      <w:r w:rsidRPr="00286F7D">
        <w:rPr>
          <w:rFonts w:cs="Arial"/>
          <w:sz w:val="22"/>
          <w:szCs w:val="22"/>
        </w:rPr>
        <w:t>jednak dalších 16 úkrytů PRÚ-BS a 3 úkryty STOÚ o celkové kapacitě 1 794 osob, sloužící pro ukrytí pracovníků Českých drah as. a Čsl. plavby Labské a.s.</w:t>
      </w:r>
    </w:p>
    <w:p w14:paraId="205AC7C5"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b/>
          <w:bCs/>
          <w:sz w:val="22"/>
          <w:szCs w:val="22"/>
        </w:rPr>
        <w:t>Výhledový počet pracovníků-osob v objektech a areálech ekonomické základny města je stanoven</w:t>
      </w:r>
      <w:r w:rsidRPr="00286F7D">
        <w:rPr>
          <w:rFonts w:ascii="Arial" w:hAnsi="Arial" w:cs="Arial"/>
          <w:sz w:val="22"/>
          <w:szCs w:val="22"/>
        </w:rPr>
        <w:t xml:space="preserve"> na základě analýzy současného stavu (1995), redukce pracovních míst vyplývající z transformace a privatizace podniků a "nabídky výhledových ploch", vymezující nejen lokalizaci podnikatelského subjektu, ale i jeho kategorizaci a předpokládaný počet pracovníků.</w:t>
      </w:r>
    </w:p>
    <w:p w14:paraId="55AE9E6A"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b/>
          <w:bCs/>
          <w:sz w:val="22"/>
          <w:szCs w:val="22"/>
        </w:rPr>
        <w:t>Model ekonomické základny:</w:t>
      </w:r>
    </w:p>
    <w:p w14:paraId="27003E26"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vychází ze současného stavu všech kapacit podniků (průmysl, skladové hospodářství, výrobní služby, technické služby a zařízení, ostatní výrobní a opravárenské firmy) - celkem 10 955 s vyčleněným počtem pracovníků ČD a Čsl.plavby Labské (vlastní plány ukrytí bez využitelných kapacitních rezerv);</w:t>
      </w:r>
    </w:p>
    <w:p w14:paraId="4F5CF206"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nezahrnuje podnikatelské subjekty s méně jak 10 pracovníky (individuelní řešení);</w:t>
      </w:r>
    </w:p>
    <w:p w14:paraId="3BBDAF30"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respektuje město jako významné pracoviště strojírenského a zpracovatelského průmyslu a dopravy (výrobní zóna Rozbělesy - hlavní nádraží,Dolní Oldřichov, Staré město - východní nádraží, Boletice n. L. - Křešice);</w:t>
      </w:r>
    </w:p>
    <w:p w14:paraId="76F6AA90" w14:textId="77777777" w:rsidR="00286F7D" w:rsidRPr="00286F7D" w:rsidRDefault="00286F7D" w:rsidP="00286F7D">
      <w:pPr>
        <w:pStyle w:val="Zkladntext"/>
        <w:spacing w:before="120" w:line="288" w:lineRule="auto"/>
        <w:ind w:firstLine="709"/>
        <w:jc w:val="both"/>
        <w:rPr>
          <w:rFonts w:ascii="Arial" w:hAnsi="Arial" w:cs="Arial"/>
          <w:b/>
          <w:bCs/>
          <w:sz w:val="22"/>
          <w:szCs w:val="22"/>
        </w:rPr>
      </w:pPr>
      <w:r w:rsidRPr="00286F7D">
        <w:rPr>
          <w:rFonts w:ascii="Arial" w:hAnsi="Arial" w:cs="Arial"/>
          <w:b/>
          <w:bCs/>
          <w:sz w:val="22"/>
          <w:szCs w:val="22"/>
        </w:rPr>
        <w:t>Na základě komplexního rozboru jsou zřejmé tyto skutečnosti:</w:t>
      </w:r>
    </w:p>
    <w:p w14:paraId="6FFA4641"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současná kapacita ukrytí zabezpečuje nejen současné, ale i výhledové nároky na ukrytí města jako celku (rezerva + 6 945 míst);</w:t>
      </w:r>
    </w:p>
    <w:p w14:paraId="6F6613D6"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ze současných provozoven nejsou zejména zabezpečeny firmy v UO č. 11 U KOUPALIŠTĚ (-120), č. 13 U PLOUČNICE (-439), č. 16 VILSNICE (-265) a č. 27 PŘÍPEŘ (-90);</w:t>
      </w:r>
    </w:p>
    <w:p w14:paraId="3A13EC0F"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nejvyšší kapacitní rezervy v ukrytí naopak představují UO č. 1 Děčín (+1446), č. 6 U NEMOCNICE (+397), č. 10 ZÁMEK (+374), č. 12 STARÉ MĚSTO (+585), č. 18 ROZBĚLESY (+759), č. 19 HLAVNÍ NÁDRAŽÍ (+814), č. 23 PODMOKLY (+1391), č. 24 U STADIONU (+350), č. 32 č. BYNOV (+389), č. 68 PRŮMYSLOVÝ OBVOD BOLETICE (+955) a č. 66 PRŮMYSLOVÝ OBVOD KŘEŠICE (+250);</w:t>
      </w:r>
    </w:p>
    <w:p w14:paraId="2953C3E8"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 xml:space="preserve">z výhledových provozoven bude nutno zabezpečit ukrytí v UO č. 30 DOLNÍ OLDŘICHOV </w:t>
      </w:r>
      <w:r w:rsidRPr="00286F7D">
        <w:rPr>
          <w:rFonts w:cs="Arial"/>
          <w:sz w:val="22"/>
          <w:szCs w:val="22"/>
        </w:rPr>
        <w:br/>
        <w:t>(-230) a v č. 67 LABSKÁ NIVA (-300);</w:t>
      </w:r>
    </w:p>
    <w:p w14:paraId="0D8F6790"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s ohledem na řadu stávajících rezerv v kapacitě ukrytí a optimálním doběhovým vzdálenostem nebude nutno nové úkrytové kapacity budovat v UO č. 12 STARÉ MĚSTO a č. 66 PRŮMYSLOVÝ OBVOD KŘEŠICE.</w:t>
      </w:r>
    </w:p>
    <w:p w14:paraId="5184AF57" w14:textId="77777777" w:rsidR="00286F7D" w:rsidRPr="00286F7D" w:rsidRDefault="00286F7D" w:rsidP="00286F7D">
      <w:pPr>
        <w:pStyle w:val="Znaka1"/>
        <w:spacing w:before="120" w:line="288" w:lineRule="auto"/>
        <w:ind w:left="0"/>
        <w:jc w:val="both"/>
        <w:rPr>
          <w:rFonts w:cs="Arial"/>
          <w:sz w:val="22"/>
          <w:szCs w:val="22"/>
        </w:rPr>
      </w:pPr>
    </w:p>
    <w:p w14:paraId="6A478700" w14:textId="77777777" w:rsidR="00286F7D" w:rsidRPr="00286F7D" w:rsidRDefault="00286F7D" w:rsidP="00286F7D">
      <w:pPr>
        <w:pStyle w:val="sloseznamu"/>
        <w:spacing w:before="120" w:line="288" w:lineRule="auto"/>
        <w:ind w:left="0"/>
        <w:rPr>
          <w:rFonts w:cs="Arial"/>
          <w:sz w:val="22"/>
          <w:szCs w:val="22"/>
        </w:rPr>
      </w:pPr>
      <w:r w:rsidRPr="00286F7D">
        <w:rPr>
          <w:rFonts w:cs="Arial"/>
          <w:b/>
          <w:bCs/>
          <w:sz w:val="22"/>
          <w:szCs w:val="22"/>
        </w:rPr>
        <w:lastRenderedPageBreak/>
        <w:t>KOMPLEXNÍ ROZBOR UKRYTÍ PRACOVNÍKŮ EKONOMICKÉ ZÁKLADNY VE STAVU I VÝHLEDU</w:t>
      </w:r>
    </w:p>
    <w:p w14:paraId="55130881" w14:textId="77777777" w:rsidR="00286F7D" w:rsidRPr="00286F7D" w:rsidRDefault="00286F7D" w:rsidP="00286F7D">
      <w:pPr>
        <w:pStyle w:val="Zkladntext"/>
        <w:spacing w:before="120" w:line="288" w:lineRule="auto"/>
        <w:jc w:val="both"/>
        <w:rPr>
          <w:rFonts w:ascii="Arial" w:hAnsi="Arial" w:cs="Arial"/>
          <w:sz w:val="22"/>
          <w:szCs w:val="22"/>
        </w:rPr>
      </w:pPr>
    </w:p>
    <w:p w14:paraId="563A2038" w14:textId="77777777" w:rsidR="00286F7D" w:rsidRPr="00286F7D" w:rsidRDefault="00286F7D" w:rsidP="00286F7D">
      <w:pPr>
        <w:pStyle w:val="Zkladntext"/>
        <w:spacing w:before="120" w:line="288" w:lineRule="auto"/>
        <w:jc w:val="both"/>
        <w:rPr>
          <w:rFonts w:ascii="Arial" w:hAnsi="Arial" w:cs="Arial"/>
          <w:sz w:val="22"/>
          <w:szCs w:val="22"/>
        </w:rPr>
      </w:pPr>
      <w:r w:rsidRPr="00286F7D">
        <w:rPr>
          <w:rFonts w:ascii="Arial" w:hAnsi="Arial" w:cs="Arial"/>
          <w:b/>
          <w:bCs/>
          <w:sz w:val="22"/>
          <w:szCs w:val="22"/>
        </w:rPr>
        <w:t>PODNIKATELSKÉ  SUBJEKTY - FIRMY</w:t>
      </w:r>
    </w:p>
    <w:tbl>
      <w:tblPr>
        <w:tblW w:w="0" w:type="auto"/>
        <w:tblInd w:w="43" w:type="dxa"/>
        <w:tblLayout w:type="fixed"/>
        <w:tblCellMar>
          <w:left w:w="43" w:type="dxa"/>
          <w:right w:w="43" w:type="dxa"/>
        </w:tblCellMar>
        <w:tblLook w:val="0000" w:firstRow="0" w:lastRow="0" w:firstColumn="0" w:lastColumn="0" w:noHBand="0" w:noVBand="0"/>
      </w:tblPr>
      <w:tblGrid>
        <w:gridCol w:w="568"/>
        <w:gridCol w:w="2108"/>
        <w:gridCol w:w="1094"/>
        <w:gridCol w:w="1165"/>
        <w:gridCol w:w="761"/>
        <w:gridCol w:w="1119"/>
        <w:gridCol w:w="1011"/>
      </w:tblGrid>
      <w:tr w:rsidR="00286F7D" w:rsidRPr="00286F7D" w14:paraId="66E25AC3" w14:textId="77777777" w:rsidTr="00286F7D">
        <w:tc>
          <w:tcPr>
            <w:tcW w:w="2676" w:type="dxa"/>
            <w:gridSpan w:val="2"/>
            <w:tcBorders>
              <w:top w:val="single" w:sz="6" w:space="0" w:color="auto"/>
              <w:left w:val="single" w:sz="6" w:space="0" w:color="auto"/>
              <w:bottom w:val="single" w:sz="6" w:space="0" w:color="auto"/>
              <w:right w:val="single" w:sz="6" w:space="0" w:color="auto"/>
            </w:tcBorders>
          </w:tcPr>
          <w:p w14:paraId="0EF2D8A4" w14:textId="77777777" w:rsidR="00286F7D" w:rsidRPr="00286F7D" w:rsidRDefault="00286F7D" w:rsidP="00286F7D">
            <w:pPr>
              <w:pStyle w:val="Zkladntext"/>
              <w:spacing w:after="0"/>
              <w:rPr>
                <w:rFonts w:ascii="Arial" w:hAnsi="Arial" w:cs="Arial"/>
              </w:rPr>
            </w:pPr>
            <w:r w:rsidRPr="00286F7D">
              <w:rPr>
                <w:rFonts w:ascii="Arial" w:hAnsi="Arial" w:cs="Arial"/>
                <w:b/>
                <w:bCs/>
              </w:rPr>
              <w:t>UO</w:t>
            </w:r>
          </w:p>
        </w:tc>
        <w:tc>
          <w:tcPr>
            <w:tcW w:w="2259" w:type="dxa"/>
            <w:gridSpan w:val="2"/>
            <w:tcBorders>
              <w:top w:val="single" w:sz="6" w:space="0" w:color="auto"/>
              <w:left w:val="single" w:sz="6" w:space="0" w:color="auto"/>
              <w:bottom w:val="single" w:sz="6" w:space="0" w:color="auto"/>
              <w:right w:val="single" w:sz="6" w:space="0" w:color="auto"/>
            </w:tcBorders>
          </w:tcPr>
          <w:p w14:paraId="156DCC52" w14:textId="77777777" w:rsidR="00286F7D" w:rsidRPr="00286F7D" w:rsidRDefault="00286F7D" w:rsidP="00286F7D">
            <w:pPr>
              <w:pStyle w:val="Zkladntext"/>
              <w:spacing w:after="0"/>
              <w:rPr>
                <w:rFonts w:ascii="Arial" w:hAnsi="Arial" w:cs="Arial"/>
              </w:rPr>
            </w:pPr>
            <w:r w:rsidRPr="00286F7D">
              <w:rPr>
                <w:rFonts w:ascii="Arial" w:hAnsi="Arial" w:cs="Arial"/>
                <w:b/>
                <w:bCs/>
              </w:rPr>
              <w:t xml:space="preserve">      počet</w:t>
            </w:r>
            <w:r w:rsidRPr="00286F7D">
              <w:rPr>
                <w:rFonts w:ascii="Arial" w:hAnsi="Arial" w:cs="Arial"/>
              </w:rPr>
              <w:t xml:space="preserve"> </w:t>
            </w:r>
            <w:r w:rsidRPr="00286F7D">
              <w:rPr>
                <w:rFonts w:ascii="Arial" w:hAnsi="Arial" w:cs="Arial"/>
                <w:b/>
                <w:bCs/>
              </w:rPr>
              <w:t>pracovníků</w:t>
            </w:r>
          </w:p>
        </w:tc>
        <w:tc>
          <w:tcPr>
            <w:tcW w:w="2891" w:type="dxa"/>
            <w:gridSpan w:val="3"/>
            <w:tcBorders>
              <w:top w:val="single" w:sz="6" w:space="0" w:color="auto"/>
              <w:left w:val="single" w:sz="6" w:space="0" w:color="auto"/>
              <w:bottom w:val="single" w:sz="6" w:space="0" w:color="auto"/>
              <w:right w:val="single" w:sz="6" w:space="0" w:color="auto"/>
            </w:tcBorders>
          </w:tcPr>
          <w:p w14:paraId="304416DE" w14:textId="77777777" w:rsidR="00286F7D" w:rsidRPr="00286F7D" w:rsidRDefault="00286F7D" w:rsidP="00286F7D">
            <w:pPr>
              <w:pStyle w:val="Texttabulky"/>
              <w:spacing w:after="0"/>
              <w:jc w:val="center"/>
              <w:rPr>
                <w:rFonts w:cs="Arial"/>
              </w:rPr>
            </w:pPr>
            <w:r w:rsidRPr="00286F7D">
              <w:rPr>
                <w:rFonts w:cs="Arial"/>
                <w:b/>
                <w:bCs/>
              </w:rPr>
              <w:t xml:space="preserve"> ukrytí</w:t>
            </w:r>
          </w:p>
          <w:p w14:paraId="3F2E1B84" w14:textId="77777777" w:rsidR="00286F7D" w:rsidRPr="00286F7D" w:rsidRDefault="00286F7D" w:rsidP="00286F7D">
            <w:pPr>
              <w:pStyle w:val="Zkladntext"/>
              <w:spacing w:after="0"/>
              <w:rPr>
                <w:rFonts w:ascii="Arial" w:hAnsi="Arial" w:cs="Arial"/>
              </w:rPr>
            </w:pPr>
            <w:r w:rsidRPr="00286F7D">
              <w:rPr>
                <w:rFonts w:ascii="Arial" w:hAnsi="Arial" w:cs="Arial"/>
                <w:b/>
                <w:bCs/>
              </w:rPr>
              <w:t xml:space="preserve">    </w:t>
            </w:r>
          </w:p>
        </w:tc>
      </w:tr>
      <w:tr w:rsidR="00286F7D" w:rsidRPr="00286F7D" w14:paraId="4E17E58E" w14:textId="77777777" w:rsidTr="00286F7D">
        <w:trPr>
          <w:trHeight w:val="277"/>
        </w:trPr>
        <w:tc>
          <w:tcPr>
            <w:tcW w:w="2676" w:type="dxa"/>
            <w:gridSpan w:val="2"/>
            <w:tcBorders>
              <w:top w:val="single" w:sz="6" w:space="0" w:color="auto"/>
              <w:left w:val="single" w:sz="6" w:space="0" w:color="auto"/>
              <w:bottom w:val="single" w:sz="6" w:space="0" w:color="auto"/>
              <w:right w:val="single" w:sz="6" w:space="0" w:color="auto"/>
            </w:tcBorders>
          </w:tcPr>
          <w:p w14:paraId="14C0D371" w14:textId="77777777" w:rsidR="00286F7D" w:rsidRPr="00286F7D" w:rsidRDefault="00286F7D" w:rsidP="00286F7D">
            <w:pPr>
              <w:pStyle w:val="Texttabulky"/>
              <w:spacing w:after="0"/>
              <w:jc w:val="center"/>
              <w:rPr>
                <w:rFonts w:cs="Arial"/>
              </w:rPr>
            </w:pPr>
            <w:r w:rsidRPr="00286F7D">
              <w:rPr>
                <w:rFonts w:cs="Arial"/>
                <w:b/>
                <w:bCs/>
              </w:rPr>
              <w:t>název</w:t>
            </w:r>
          </w:p>
        </w:tc>
        <w:tc>
          <w:tcPr>
            <w:tcW w:w="1094" w:type="dxa"/>
            <w:tcBorders>
              <w:top w:val="single" w:sz="6" w:space="0" w:color="auto"/>
              <w:left w:val="single" w:sz="6" w:space="0" w:color="auto"/>
              <w:bottom w:val="single" w:sz="6" w:space="0" w:color="auto"/>
              <w:right w:val="single" w:sz="6" w:space="0" w:color="auto"/>
            </w:tcBorders>
          </w:tcPr>
          <w:p w14:paraId="447C5F68" w14:textId="77777777" w:rsidR="00286F7D" w:rsidRPr="00286F7D" w:rsidRDefault="00286F7D" w:rsidP="00286F7D">
            <w:pPr>
              <w:pStyle w:val="Texttabulky"/>
              <w:spacing w:after="0"/>
              <w:rPr>
                <w:rFonts w:cs="Arial"/>
              </w:rPr>
            </w:pPr>
            <w:r w:rsidRPr="00286F7D">
              <w:rPr>
                <w:rFonts w:cs="Arial"/>
                <w:b/>
                <w:bCs/>
              </w:rPr>
              <w:t xml:space="preserve">      stav</w:t>
            </w:r>
          </w:p>
        </w:tc>
        <w:tc>
          <w:tcPr>
            <w:tcW w:w="1165" w:type="dxa"/>
            <w:tcBorders>
              <w:top w:val="single" w:sz="6" w:space="0" w:color="auto"/>
              <w:left w:val="single" w:sz="6" w:space="0" w:color="auto"/>
              <w:bottom w:val="single" w:sz="6" w:space="0" w:color="auto"/>
              <w:right w:val="single" w:sz="6" w:space="0" w:color="auto"/>
            </w:tcBorders>
          </w:tcPr>
          <w:p w14:paraId="7264EBF3" w14:textId="77777777" w:rsidR="00286F7D" w:rsidRPr="00286F7D" w:rsidRDefault="00286F7D" w:rsidP="00286F7D">
            <w:pPr>
              <w:pStyle w:val="Texttabulky"/>
              <w:spacing w:after="0"/>
              <w:rPr>
                <w:rFonts w:cs="Arial"/>
              </w:rPr>
            </w:pPr>
            <w:r w:rsidRPr="00286F7D">
              <w:rPr>
                <w:rFonts w:cs="Arial"/>
                <w:b/>
                <w:bCs/>
              </w:rPr>
              <w:t xml:space="preserve">   výhled</w:t>
            </w:r>
          </w:p>
        </w:tc>
        <w:tc>
          <w:tcPr>
            <w:tcW w:w="761" w:type="dxa"/>
            <w:tcBorders>
              <w:top w:val="single" w:sz="6" w:space="0" w:color="auto"/>
              <w:left w:val="single" w:sz="6" w:space="0" w:color="auto"/>
              <w:bottom w:val="single" w:sz="6" w:space="0" w:color="auto"/>
              <w:right w:val="single" w:sz="6" w:space="0" w:color="auto"/>
            </w:tcBorders>
          </w:tcPr>
          <w:p w14:paraId="24BCBAF2" w14:textId="77777777" w:rsidR="00286F7D" w:rsidRPr="00286F7D" w:rsidRDefault="00286F7D" w:rsidP="00286F7D">
            <w:pPr>
              <w:pStyle w:val="Texttabulky"/>
              <w:spacing w:after="0"/>
              <w:rPr>
                <w:rFonts w:cs="Arial"/>
              </w:rPr>
            </w:pPr>
            <w:r w:rsidRPr="00286F7D">
              <w:rPr>
                <w:rFonts w:cs="Arial"/>
                <w:b/>
                <w:bCs/>
              </w:rPr>
              <w:t xml:space="preserve">  stav</w:t>
            </w:r>
          </w:p>
        </w:tc>
        <w:tc>
          <w:tcPr>
            <w:tcW w:w="1119" w:type="dxa"/>
            <w:tcBorders>
              <w:top w:val="single" w:sz="6" w:space="0" w:color="auto"/>
              <w:left w:val="single" w:sz="6" w:space="0" w:color="auto"/>
              <w:bottom w:val="single" w:sz="6" w:space="0" w:color="auto"/>
              <w:right w:val="single" w:sz="6" w:space="0" w:color="auto"/>
            </w:tcBorders>
          </w:tcPr>
          <w:p w14:paraId="775C9E84" w14:textId="77777777" w:rsidR="00286F7D" w:rsidRPr="00286F7D" w:rsidRDefault="00286F7D" w:rsidP="00286F7D">
            <w:pPr>
              <w:pStyle w:val="Texttabulky"/>
              <w:spacing w:after="0"/>
              <w:rPr>
                <w:rFonts w:cs="Arial"/>
              </w:rPr>
            </w:pPr>
            <w:r w:rsidRPr="00286F7D">
              <w:rPr>
                <w:rFonts w:cs="Arial"/>
                <w:b/>
                <w:bCs/>
              </w:rPr>
              <w:t xml:space="preserve">  kapacita</w:t>
            </w:r>
          </w:p>
        </w:tc>
        <w:tc>
          <w:tcPr>
            <w:tcW w:w="1011" w:type="dxa"/>
            <w:tcBorders>
              <w:top w:val="single" w:sz="6" w:space="0" w:color="auto"/>
              <w:left w:val="single" w:sz="6" w:space="0" w:color="auto"/>
              <w:bottom w:val="single" w:sz="6" w:space="0" w:color="auto"/>
              <w:right w:val="single" w:sz="6" w:space="0" w:color="auto"/>
            </w:tcBorders>
          </w:tcPr>
          <w:p w14:paraId="373A2E88" w14:textId="77777777" w:rsidR="00286F7D" w:rsidRPr="00286F7D" w:rsidRDefault="00286F7D" w:rsidP="00286F7D">
            <w:pPr>
              <w:pStyle w:val="Texttabulky"/>
              <w:spacing w:after="0"/>
              <w:rPr>
                <w:rFonts w:cs="Arial"/>
              </w:rPr>
            </w:pPr>
            <w:r w:rsidRPr="00286F7D">
              <w:rPr>
                <w:rFonts w:cs="Arial"/>
                <w:b/>
                <w:bCs/>
              </w:rPr>
              <w:t xml:space="preserve">   rozdíl</w:t>
            </w:r>
          </w:p>
        </w:tc>
      </w:tr>
      <w:tr w:rsidR="00286F7D" w:rsidRPr="00286F7D" w14:paraId="65F19C95" w14:textId="77777777" w:rsidTr="00286F7D">
        <w:tc>
          <w:tcPr>
            <w:tcW w:w="568" w:type="dxa"/>
            <w:tcBorders>
              <w:top w:val="single" w:sz="6" w:space="0" w:color="auto"/>
              <w:left w:val="single" w:sz="6" w:space="0" w:color="auto"/>
              <w:bottom w:val="single" w:sz="6" w:space="0" w:color="auto"/>
              <w:right w:val="single" w:sz="6" w:space="0" w:color="auto"/>
            </w:tcBorders>
          </w:tcPr>
          <w:p w14:paraId="05CE63BD" w14:textId="77777777" w:rsidR="00286F7D" w:rsidRPr="00286F7D" w:rsidRDefault="00286F7D" w:rsidP="00286F7D">
            <w:pPr>
              <w:pStyle w:val="Texttabulky"/>
              <w:spacing w:after="0"/>
              <w:jc w:val="right"/>
              <w:rPr>
                <w:rFonts w:cs="Arial"/>
              </w:rPr>
            </w:pPr>
            <w:r w:rsidRPr="00286F7D">
              <w:rPr>
                <w:rFonts w:cs="Arial"/>
              </w:rPr>
              <w:t>1</w:t>
            </w:r>
          </w:p>
        </w:tc>
        <w:tc>
          <w:tcPr>
            <w:tcW w:w="2108" w:type="dxa"/>
            <w:tcBorders>
              <w:top w:val="single" w:sz="6" w:space="0" w:color="auto"/>
              <w:left w:val="single" w:sz="6" w:space="0" w:color="auto"/>
              <w:bottom w:val="single" w:sz="6" w:space="0" w:color="auto"/>
              <w:right w:val="single" w:sz="6" w:space="0" w:color="auto"/>
            </w:tcBorders>
          </w:tcPr>
          <w:p w14:paraId="59D4F365" w14:textId="77777777" w:rsidR="00286F7D" w:rsidRPr="00286F7D" w:rsidRDefault="00286F7D" w:rsidP="00286F7D">
            <w:pPr>
              <w:pStyle w:val="Texttabulky"/>
              <w:spacing w:after="0"/>
              <w:rPr>
                <w:rFonts w:cs="Arial"/>
              </w:rPr>
            </w:pPr>
            <w:r w:rsidRPr="00286F7D">
              <w:rPr>
                <w:rFonts w:cs="Arial"/>
              </w:rPr>
              <w:t>Děčín střed</w:t>
            </w:r>
          </w:p>
        </w:tc>
        <w:tc>
          <w:tcPr>
            <w:tcW w:w="1094" w:type="dxa"/>
            <w:tcBorders>
              <w:top w:val="single" w:sz="6" w:space="0" w:color="auto"/>
              <w:left w:val="single" w:sz="6" w:space="0" w:color="auto"/>
              <w:bottom w:val="single" w:sz="6" w:space="0" w:color="auto"/>
              <w:right w:val="single" w:sz="6" w:space="0" w:color="auto"/>
            </w:tcBorders>
          </w:tcPr>
          <w:p w14:paraId="598A4A33" w14:textId="77777777" w:rsidR="00286F7D" w:rsidRPr="00286F7D" w:rsidRDefault="00286F7D" w:rsidP="00286F7D">
            <w:pPr>
              <w:pStyle w:val="Texttabulky"/>
              <w:spacing w:after="0"/>
              <w:jc w:val="right"/>
              <w:rPr>
                <w:rFonts w:cs="Arial"/>
              </w:rPr>
            </w:pPr>
            <w:r w:rsidRPr="00286F7D">
              <w:rPr>
                <w:rFonts w:cs="Arial"/>
              </w:rPr>
              <w:t>284</w:t>
            </w:r>
          </w:p>
        </w:tc>
        <w:tc>
          <w:tcPr>
            <w:tcW w:w="1165" w:type="dxa"/>
            <w:tcBorders>
              <w:top w:val="single" w:sz="6" w:space="0" w:color="auto"/>
              <w:left w:val="single" w:sz="6" w:space="0" w:color="auto"/>
              <w:bottom w:val="single" w:sz="6" w:space="0" w:color="auto"/>
              <w:right w:val="single" w:sz="6" w:space="0" w:color="auto"/>
            </w:tcBorders>
          </w:tcPr>
          <w:p w14:paraId="294D5E92" w14:textId="77777777" w:rsidR="00286F7D" w:rsidRPr="00286F7D" w:rsidRDefault="00286F7D" w:rsidP="00286F7D">
            <w:pPr>
              <w:pStyle w:val="Texttabulky"/>
              <w:spacing w:after="0"/>
              <w:jc w:val="right"/>
              <w:rPr>
                <w:rFonts w:cs="Arial"/>
              </w:rPr>
            </w:pPr>
            <w:r w:rsidRPr="00286F7D">
              <w:rPr>
                <w:rFonts w:cs="Arial"/>
              </w:rPr>
              <w:t>250</w:t>
            </w:r>
          </w:p>
        </w:tc>
        <w:tc>
          <w:tcPr>
            <w:tcW w:w="761" w:type="dxa"/>
            <w:tcBorders>
              <w:top w:val="single" w:sz="6" w:space="0" w:color="auto"/>
              <w:left w:val="single" w:sz="6" w:space="0" w:color="auto"/>
              <w:bottom w:val="single" w:sz="6" w:space="0" w:color="auto"/>
              <w:right w:val="single" w:sz="6" w:space="0" w:color="auto"/>
            </w:tcBorders>
          </w:tcPr>
          <w:p w14:paraId="1831CAED" w14:textId="77777777" w:rsidR="00286F7D" w:rsidRPr="00286F7D" w:rsidRDefault="00286F7D" w:rsidP="00286F7D">
            <w:pPr>
              <w:pStyle w:val="Texttabulky"/>
              <w:spacing w:after="0"/>
              <w:jc w:val="right"/>
              <w:rPr>
                <w:rFonts w:cs="Arial"/>
              </w:rPr>
            </w:pPr>
            <w:r w:rsidRPr="00286F7D">
              <w:rPr>
                <w:rFonts w:cs="Arial"/>
              </w:rPr>
              <w:t>21</w:t>
            </w:r>
          </w:p>
        </w:tc>
        <w:tc>
          <w:tcPr>
            <w:tcW w:w="1119" w:type="dxa"/>
            <w:tcBorders>
              <w:top w:val="single" w:sz="6" w:space="0" w:color="auto"/>
              <w:left w:val="single" w:sz="6" w:space="0" w:color="auto"/>
              <w:bottom w:val="single" w:sz="6" w:space="0" w:color="auto"/>
              <w:right w:val="single" w:sz="6" w:space="0" w:color="auto"/>
            </w:tcBorders>
          </w:tcPr>
          <w:p w14:paraId="4942AF4D" w14:textId="77777777" w:rsidR="00286F7D" w:rsidRPr="00286F7D" w:rsidRDefault="00286F7D" w:rsidP="00286F7D">
            <w:pPr>
              <w:pStyle w:val="Texttabulky"/>
              <w:spacing w:after="0"/>
              <w:jc w:val="right"/>
              <w:rPr>
                <w:rFonts w:cs="Arial"/>
              </w:rPr>
            </w:pPr>
            <w:r w:rsidRPr="00286F7D">
              <w:rPr>
                <w:rFonts w:cs="Arial"/>
              </w:rPr>
              <w:t>1 696</w:t>
            </w:r>
          </w:p>
        </w:tc>
        <w:tc>
          <w:tcPr>
            <w:tcW w:w="1011" w:type="dxa"/>
            <w:tcBorders>
              <w:top w:val="single" w:sz="6" w:space="0" w:color="auto"/>
              <w:left w:val="single" w:sz="6" w:space="0" w:color="auto"/>
              <w:bottom w:val="single" w:sz="6" w:space="0" w:color="auto"/>
              <w:right w:val="single" w:sz="6" w:space="0" w:color="auto"/>
            </w:tcBorders>
          </w:tcPr>
          <w:p w14:paraId="1E4C0892" w14:textId="77777777" w:rsidR="00286F7D" w:rsidRPr="00286F7D" w:rsidRDefault="00286F7D" w:rsidP="00286F7D">
            <w:pPr>
              <w:pStyle w:val="Texttabulky"/>
              <w:spacing w:after="0"/>
              <w:jc w:val="right"/>
              <w:rPr>
                <w:rFonts w:cs="Arial"/>
              </w:rPr>
            </w:pPr>
            <w:r w:rsidRPr="00286F7D">
              <w:rPr>
                <w:rFonts w:cs="Arial"/>
              </w:rPr>
              <w:t>+ 1446</w:t>
            </w:r>
          </w:p>
        </w:tc>
      </w:tr>
      <w:tr w:rsidR="00286F7D" w:rsidRPr="00286F7D" w14:paraId="13C0C1E8" w14:textId="77777777" w:rsidTr="00286F7D">
        <w:tc>
          <w:tcPr>
            <w:tcW w:w="568" w:type="dxa"/>
            <w:tcBorders>
              <w:top w:val="single" w:sz="6" w:space="0" w:color="auto"/>
              <w:left w:val="single" w:sz="6" w:space="0" w:color="auto"/>
              <w:bottom w:val="single" w:sz="6" w:space="0" w:color="auto"/>
              <w:right w:val="single" w:sz="6" w:space="0" w:color="auto"/>
            </w:tcBorders>
          </w:tcPr>
          <w:p w14:paraId="0110EE47" w14:textId="77777777" w:rsidR="00286F7D" w:rsidRPr="00286F7D" w:rsidRDefault="00286F7D" w:rsidP="00286F7D">
            <w:pPr>
              <w:pStyle w:val="Texttabulky"/>
              <w:spacing w:after="0"/>
              <w:jc w:val="right"/>
              <w:rPr>
                <w:rFonts w:cs="Arial"/>
              </w:rPr>
            </w:pPr>
            <w:r w:rsidRPr="00286F7D">
              <w:rPr>
                <w:rFonts w:cs="Arial"/>
              </w:rPr>
              <w:t>10</w:t>
            </w:r>
          </w:p>
        </w:tc>
        <w:tc>
          <w:tcPr>
            <w:tcW w:w="2108" w:type="dxa"/>
            <w:tcBorders>
              <w:top w:val="single" w:sz="6" w:space="0" w:color="auto"/>
              <w:left w:val="single" w:sz="6" w:space="0" w:color="auto"/>
              <w:bottom w:val="single" w:sz="6" w:space="0" w:color="auto"/>
              <w:right w:val="single" w:sz="6" w:space="0" w:color="auto"/>
            </w:tcBorders>
          </w:tcPr>
          <w:p w14:paraId="0191CDB9" w14:textId="77777777" w:rsidR="00286F7D" w:rsidRPr="00286F7D" w:rsidRDefault="00286F7D" w:rsidP="00286F7D">
            <w:pPr>
              <w:pStyle w:val="Texttabulky"/>
              <w:spacing w:after="0"/>
              <w:rPr>
                <w:rFonts w:cs="Arial"/>
              </w:rPr>
            </w:pPr>
            <w:r w:rsidRPr="00286F7D">
              <w:rPr>
                <w:rFonts w:cs="Arial"/>
              </w:rPr>
              <w:t>zámek</w:t>
            </w:r>
          </w:p>
        </w:tc>
        <w:tc>
          <w:tcPr>
            <w:tcW w:w="1094" w:type="dxa"/>
            <w:tcBorders>
              <w:top w:val="single" w:sz="6" w:space="0" w:color="auto"/>
              <w:left w:val="single" w:sz="6" w:space="0" w:color="auto"/>
              <w:bottom w:val="single" w:sz="6" w:space="0" w:color="auto"/>
              <w:right w:val="single" w:sz="6" w:space="0" w:color="auto"/>
            </w:tcBorders>
          </w:tcPr>
          <w:p w14:paraId="518DE0F6" w14:textId="77777777" w:rsidR="00286F7D" w:rsidRPr="00286F7D" w:rsidRDefault="00286F7D" w:rsidP="00286F7D">
            <w:pPr>
              <w:pStyle w:val="Texttabulky"/>
              <w:spacing w:after="0"/>
              <w:jc w:val="right"/>
              <w:rPr>
                <w:rFonts w:cs="Arial"/>
              </w:rPr>
            </w:pPr>
            <w:r w:rsidRPr="00286F7D">
              <w:rPr>
                <w:rFonts w:cs="Arial"/>
              </w:rPr>
              <w:t>59</w:t>
            </w:r>
          </w:p>
        </w:tc>
        <w:tc>
          <w:tcPr>
            <w:tcW w:w="1165" w:type="dxa"/>
            <w:tcBorders>
              <w:top w:val="single" w:sz="6" w:space="0" w:color="auto"/>
              <w:left w:val="single" w:sz="6" w:space="0" w:color="auto"/>
              <w:bottom w:val="single" w:sz="6" w:space="0" w:color="auto"/>
              <w:right w:val="single" w:sz="6" w:space="0" w:color="auto"/>
            </w:tcBorders>
          </w:tcPr>
          <w:p w14:paraId="4AFC2FE4" w14:textId="77777777" w:rsidR="00286F7D" w:rsidRPr="00286F7D" w:rsidRDefault="00286F7D" w:rsidP="00286F7D">
            <w:pPr>
              <w:pStyle w:val="Texttabulky"/>
              <w:spacing w:after="0"/>
              <w:jc w:val="right"/>
              <w:rPr>
                <w:rFonts w:cs="Arial"/>
              </w:rPr>
            </w:pPr>
            <w:r w:rsidRPr="00286F7D">
              <w:rPr>
                <w:rFonts w:cs="Arial"/>
              </w:rPr>
              <w:t>35</w:t>
            </w:r>
          </w:p>
        </w:tc>
        <w:tc>
          <w:tcPr>
            <w:tcW w:w="761" w:type="dxa"/>
            <w:tcBorders>
              <w:top w:val="single" w:sz="6" w:space="0" w:color="auto"/>
              <w:left w:val="single" w:sz="6" w:space="0" w:color="auto"/>
              <w:bottom w:val="single" w:sz="6" w:space="0" w:color="auto"/>
              <w:right w:val="single" w:sz="6" w:space="0" w:color="auto"/>
            </w:tcBorders>
          </w:tcPr>
          <w:p w14:paraId="47C62C59" w14:textId="77777777" w:rsidR="00286F7D" w:rsidRPr="00286F7D" w:rsidRDefault="00286F7D" w:rsidP="00286F7D">
            <w:pPr>
              <w:pStyle w:val="Texttabulky"/>
              <w:spacing w:after="0"/>
              <w:jc w:val="right"/>
              <w:rPr>
                <w:rFonts w:cs="Arial"/>
              </w:rPr>
            </w:pPr>
            <w:r w:rsidRPr="00286F7D">
              <w:rPr>
                <w:rFonts w:cs="Arial"/>
              </w:rPr>
              <w:t>2</w:t>
            </w:r>
          </w:p>
        </w:tc>
        <w:tc>
          <w:tcPr>
            <w:tcW w:w="1119" w:type="dxa"/>
            <w:tcBorders>
              <w:top w:val="single" w:sz="6" w:space="0" w:color="auto"/>
              <w:left w:val="single" w:sz="6" w:space="0" w:color="auto"/>
              <w:bottom w:val="single" w:sz="6" w:space="0" w:color="auto"/>
              <w:right w:val="single" w:sz="6" w:space="0" w:color="auto"/>
            </w:tcBorders>
          </w:tcPr>
          <w:p w14:paraId="18A0291A" w14:textId="77777777" w:rsidR="00286F7D" w:rsidRPr="00286F7D" w:rsidRDefault="00286F7D" w:rsidP="00286F7D">
            <w:pPr>
              <w:pStyle w:val="Texttabulky"/>
              <w:spacing w:after="0"/>
              <w:jc w:val="right"/>
              <w:rPr>
                <w:rFonts w:cs="Arial"/>
              </w:rPr>
            </w:pPr>
            <w:r w:rsidRPr="00286F7D">
              <w:rPr>
                <w:rFonts w:cs="Arial"/>
              </w:rPr>
              <w:t>409</w:t>
            </w:r>
          </w:p>
        </w:tc>
        <w:tc>
          <w:tcPr>
            <w:tcW w:w="1011" w:type="dxa"/>
            <w:tcBorders>
              <w:top w:val="single" w:sz="6" w:space="0" w:color="auto"/>
              <w:left w:val="single" w:sz="6" w:space="0" w:color="auto"/>
              <w:bottom w:val="single" w:sz="6" w:space="0" w:color="auto"/>
              <w:right w:val="single" w:sz="6" w:space="0" w:color="auto"/>
            </w:tcBorders>
          </w:tcPr>
          <w:p w14:paraId="53558AF5" w14:textId="77777777" w:rsidR="00286F7D" w:rsidRPr="00286F7D" w:rsidRDefault="00286F7D" w:rsidP="00286F7D">
            <w:pPr>
              <w:pStyle w:val="Texttabulky"/>
              <w:spacing w:after="0"/>
              <w:rPr>
                <w:rFonts w:cs="Arial"/>
              </w:rPr>
            </w:pPr>
            <w:r w:rsidRPr="00286F7D">
              <w:rPr>
                <w:rFonts w:cs="Arial"/>
              </w:rPr>
              <w:t xml:space="preserve">       + 374</w:t>
            </w:r>
          </w:p>
        </w:tc>
      </w:tr>
      <w:tr w:rsidR="00286F7D" w:rsidRPr="00286F7D" w14:paraId="6729EBA1" w14:textId="77777777" w:rsidTr="00286F7D">
        <w:tc>
          <w:tcPr>
            <w:tcW w:w="568" w:type="dxa"/>
            <w:tcBorders>
              <w:top w:val="single" w:sz="6" w:space="0" w:color="auto"/>
              <w:left w:val="single" w:sz="6" w:space="0" w:color="auto"/>
              <w:bottom w:val="single" w:sz="6" w:space="0" w:color="auto"/>
              <w:right w:val="single" w:sz="6" w:space="0" w:color="auto"/>
            </w:tcBorders>
          </w:tcPr>
          <w:p w14:paraId="64DBA025" w14:textId="77777777" w:rsidR="00286F7D" w:rsidRPr="00286F7D" w:rsidRDefault="00286F7D" w:rsidP="00286F7D">
            <w:pPr>
              <w:pStyle w:val="Texttabulky"/>
              <w:spacing w:after="0"/>
              <w:jc w:val="right"/>
              <w:rPr>
                <w:rFonts w:cs="Arial"/>
              </w:rPr>
            </w:pPr>
            <w:r w:rsidRPr="00286F7D">
              <w:rPr>
                <w:rFonts w:cs="Arial"/>
              </w:rPr>
              <w:t>11</w:t>
            </w:r>
          </w:p>
        </w:tc>
        <w:tc>
          <w:tcPr>
            <w:tcW w:w="2108" w:type="dxa"/>
            <w:tcBorders>
              <w:top w:val="single" w:sz="6" w:space="0" w:color="auto"/>
              <w:left w:val="single" w:sz="6" w:space="0" w:color="auto"/>
              <w:bottom w:val="single" w:sz="6" w:space="0" w:color="auto"/>
              <w:right w:val="single" w:sz="6" w:space="0" w:color="auto"/>
            </w:tcBorders>
          </w:tcPr>
          <w:p w14:paraId="589B947D" w14:textId="77777777" w:rsidR="00286F7D" w:rsidRPr="00286F7D" w:rsidRDefault="00286F7D" w:rsidP="00286F7D">
            <w:pPr>
              <w:pStyle w:val="Texttabulky"/>
              <w:spacing w:after="0"/>
              <w:rPr>
                <w:rFonts w:cs="Arial"/>
              </w:rPr>
            </w:pPr>
            <w:r w:rsidRPr="00286F7D">
              <w:rPr>
                <w:rFonts w:cs="Arial"/>
              </w:rPr>
              <w:t>U koupaliště</w:t>
            </w:r>
          </w:p>
        </w:tc>
        <w:tc>
          <w:tcPr>
            <w:tcW w:w="1094" w:type="dxa"/>
            <w:tcBorders>
              <w:top w:val="single" w:sz="6" w:space="0" w:color="auto"/>
              <w:left w:val="single" w:sz="6" w:space="0" w:color="auto"/>
              <w:bottom w:val="single" w:sz="6" w:space="0" w:color="auto"/>
              <w:right w:val="single" w:sz="6" w:space="0" w:color="auto"/>
            </w:tcBorders>
          </w:tcPr>
          <w:p w14:paraId="639C7293" w14:textId="77777777" w:rsidR="00286F7D" w:rsidRPr="00286F7D" w:rsidRDefault="00286F7D" w:rsidP="00286F7D">
            <w:pPr>
              <w:pStyle w:val="Texttabulky"/>
              <w:spacing w:after="0"/>
              <w:jc w:val="right"/>
              <w:rPr>
                <w:rFonts w:cs="Arial"/>
              </w:rPr>
            </w:pPr>
            <w:r w:rsidRPr="00286F7D">
              <w:rPr>
                <w:rFonts w:cs="Arial"/>
              </w:rPr>
              <w:t>231</w:t>
            </w:r>
          </w:p>
        </w:tc>
        <w:tc>
          <w:tcPr>
            <w:tcW w:w="1165" w:type="dxa"/>
            <w:tcBorders>
              <w:top w:val="single" w:sz="6" w:space="0" w:color="auto"/>
              <w:left w:val="single" w:sz="6" w:space="0" w:color="auto"/>
              <w:bottom w:val="single" w:sz="6" w:space="0" w:color="auto"/>
              <w:right w:val="single" w:sz="6" w:space="0" w:color="auto"/>
            </w:tcBorders>
          </w:tcPr>
          <w:p w14:paraId="03E45237" w14:textId="77777777" w:rsidR="00286F7D" w:rsidRPr="00286F7D" w:rsidRDefault="00286F7D" w:rsidP="00286F7D">
            <w:pPr>
              <w:pStyle w:val="Texttabulky"/>
              <w:spacing w:after="0"/>
              <w:jc w:val="right"/>
              <w:rPr>
                <w:rFonts w:cs="Arial"/>
              </w:rPr>
            </w:pPr>
            <w:r w:rsidRPr="00286F7D">
              <w:rPr>
                <w:rFonts w:cs="Arial"/>
              </w:rPr>
              <w:t>200</w:t>
            </w:r>
          </w:p>
        </w:tc>
        <w:tc>
          <w:tcPr>
            <w:tcW w:w="761" w:type="dxa"/>
            <w:tcBorders>
              <w:top w:val="single" w:sz="6" w:space="0" w:color="auto"/>
              <w:left w:val="single" w:sz="6" w:space="0" w:color="auto"/>
              <w:bottom w:val="single" w:sz="6" w:space="0" w:color="auto"/>
              <w:right w:val="single" w:sz="6" w:space="0" w:color="auto"/>
            </w:tcBorders>
          </w:tcPr>
          <w:p w14:paraId="6932AF2A" w14:textId="77777777" w:rsidR="00286F7D" w:rsidRPr="00286F7D" w:rsidRDefault="00286F7D" w:rsidP="00286F7D">
            <w:pPr>
              <w:pStyle w:val="Texttabulky"/>
              <w:spacing w:after="0"/>
              <w:jc w:val="right"/>
              <w:rPr>
                <w:rFonts w:cs="Arial"/>
              </w:rPr>
            </w:pPr>
            <w:r w:rsidRPr="00286F7D">
              <w:rPr>
                <w:rFonts w:cs="Arial"/>
              </w:rPr>
              <w:t>1</w:t>
            </w:r>
          </w:p>
        </w:tc>
        <w:tc>
          <w:tcPr>
            <w:tcW w:w="1119" w:type="dxa"/>
            <w:tcBorders>
              <w:top w:val="single" w:sz="6" w:space="0" w:color="auto"/>
              <w:left w:val="single" w:sz="6" w:space="0" w:color="auto"/>
              <w:bottom w:val="single" w:sz="6" w:space="0" w:color="auto"/>
              <w:right w:val="single" w:sz="6" w:space="0" w:color="auto"/>
            </w:tcBorders>
          </w:tcPr>
          <w:p w14:paraId="5876DE62" w14:textId="77777777" w:rsidR="00286F7D" w:rsidRPr="00286F7D" w:rsidRDefault="00286F7D" w:rsidP="00286F7D">
            <w:pPr>
              <w:pStyle w:val="Texttabulky"/>
              <w:spacing w:after="0"/>
              <w:jc w:val="right"/>
              <w:rPr>
                <w:rFonts w:cs="Arial"/>
              </w:rPr>
            </w:pPr>
            <w:r w:rsidRPr="00286F7D">
              <w:rPr>
                <w:rFonts w:cs="Arial"/>
              </w:rPr>
              <w:t>80</w:t>
            </w:r>
          </w:p>
        </w:tc>
        <w:tc>
          <w:tcPr>
            <w:tcW w:w="1011" w:type="dxa"/>
            <w:tcBorders>
              <w:top w:val="single" w:sz="6" w:space="0" w:color="auto"/>
              <w:left w:val="single" w:sz="6" w:space="0" w:color="auto"/>
              <w:bottom w:val="single" w:sz="6" w:space="0" w:color="auto"/>
              <w:right w:val="single" w:sz="6" w:space="0" w:color="auto"/>
            </w:tcBorders>
          </w:tcPr>
          <w:p w14:paraId="633E46AB" w14:textId="77777777" w:rsidR="00286F7D" w:rsidRPr="00286F7D" w:rsidRDefault="00286F7D" w:rsidP="00286F7D">
            <w:pPr>
              <w:pStyle w:val="Texttabulky"/>
              <w:spacing w:after="0"/>
              <w:jc w:val="right"/>
              <w:rPr>
                <w:rFonts w:cs="Arial"/>
              </w:rPr>
            </w:pPr>
            <w:r w:rsidRPr="00286F7D">
              <w:rPr>
                <w:rFonts w:cs="Arial"/>
              </w:rPr>
              <w:t>-120</w:t>
            </w:r>
          </w:p>
        </w:tc>
      </w:tr>
      <w:tr w:rsidR="00286F7D" w:rsidRPr="00286F7D" w14:paraId="436B323B" w14:textId="77777777" w:rsidTr="00286F7D">
        <w:tc>
          <w:tcPr>
            <w:tcW w:w="568" w:type="dxa"/>
            <w:tcBorders>
              <w:top w:val="single" w:sz="6" w:space="0" w:color="auto"/>
              <w:left w:val="single" w:sz="6" w:space="0" w:color="auto"/>
              <w:bottom w:val="single" w:sz="6" w:space="0" w:color="auto"/>
              <w:right w:val="single" w:sz="6" w:space="0" w:color="auto"/>
            </w:tcBorders>
          </w:tcPr>
          <w:p w14:paraId="4E4173B4" w14:textId="77777777" w:rsidR="00286F7D" w:rsidRPr="00286F7D" w:rsidRDefault="00286F7D" w:rsidP="00286F7D">
            <w:pPr>
              <w:pStyle w:val="Texttabulky"/>
              <w:spacing w:after="0"/>
              <w:rPr>
                <w:rFonts w:cs="Arial"/>
              </w:rPr>
            </w:pPr>
            <w:r w:rsidRPr="00286F7D">
              <w:rPr>
                <w:rFonts w:cs="Arial"/>
                <w:b/>
                <w:bCs/>
              </w:rPr>
              <w:t xml:space="preserve"> 1A</w:t>
            </w:r>
          </w:p>
        </w:tc>
        <w:tc>
          <w:tcPr>
            <w:tcW w:w="2108" w:type="dxa"/>
            <w:tcBorders>
              <w:top w:val="single" w:sz="6" w:space="0" w:color="auto"/>
              <w:left w:val="single" w:sz="6" w:space="0" w:color="auto"/>
              <w:bottom w:val="single" w:sz="6" w:space="0" w:color="auto"/>
              <w:right w:val="single" w:sz="6" w:space="0" w:color="auto"/>
            </w:tcBorders>
          </w:tcPr>
          <w:p w14:paraId="40008FAA" w14:textId="77777777" w:rsidR="00286F7D" w:rsidRPr="00286F7D" w:rsidRDefault="00286F7D" w:rsidP="00286F7D">
            <w:pPr>
              <w:pStyle w:val="Texttabulky"/>
              <w:spacing w:after="0"/>
              <w:rPr>
                <w:rFonts w:cs="Arial"/>
              </w:rPr>
            </w:pPr>
            <w:r w:rsidRPr="00286F7D">
              <w:rPr>
                <w:rFonts w:cs="Arial"/>
                <w:b/>
                <w:bCs/>
                <w:caps/>
              </w:rPr>
              <w:t>sektor celkem</w:t>
            </w:r>
          </w:p>
        </w:tc>
        <w:tc>
          <w:tcPr>
            <w:tcW w:w="1094" w:type="dxa"/>
            <w:tcBorders>
              <w:top w:val="single" w:sz="6" w:space="0" w:color="auto"/>
              <w:left w:val="single" w:sz="6" w:space="0" w:color="auto"/>
              <w:bottom w:val="single" w:sz="6" w:space="0" w:color="auto"/>
              <w:right w:val="single" w:sz="6" w:space="0" w:color="auto"/>
            </w:tcBorders>
          </w:tcPr>
          <w:p w14:paraId="70944D56" w14:textId="77777777" w:rsidR="00286F7D" w:rsidRPr="00286F7D" w:rsidRDefault="00286F7D" w:rsidP="00286F7D">
            <w:pPr>
              <w:pStyle w:val="Texttabulky"/>
              <w:spacing w:after="0"/>
              <w:jc w:val="right"/>
              <w:rPr>
                <w:rFonts w:cs="Arial"/>
              </w:rPr>
            </w:pPr>
            <w:r w:rsidRPr="00286F7D">
              <w:rPr>
                <w:rFonts w:cs="Arial"/>
                <w:b/>
                <w:bCs/>
              </w:rPr>
              <w:t>574</w:t>
            </w:r>
          </w:p>
        </w:tc>
        <w:tc>
          <w:tcPr>
            <w:tcW w:w="1165" w:type="dxa"/>
            <w:tcBorders>
              <w:top w:val="single" w:sz="6" w:space="0" w:color="auto"/>
              <w:left w:val="single" w:sz="6" w:space="0" w:color="auto"/>
              <w:bottom w:val="single" w:sz="6" w:space="0" w:color="auto"/>
              <w:right w:val="single" w:sz="6" w:space="0" w:color="auto"/>
            </w:tcBorders>
          </w:tcPr>
          <w:p w14:paraId="0467E19E" w14:textId="77777777" w:rsidR="00286F7D" w:rsidRPr="00286F7D" w:rsidRDefault="00286F7D" w:rsidP="00286F7D">
            <w:pPr>
              <w:pStyle w:val="Texttabulky"/>
              <w:spacing w:after="0"/>
              <w:jc w:val="right"/>
              <w:rPr>
                <w:rFonts w:cs="Arial"/>
              </w:rPr>
            </w:pPr>
            <w:r w:rsidRPr="00286F7D">
              <w:rPr>
                <w:rFonts w:cs="Arial"/>
                <w:b/>
                <w:bCs/>
              </w:rPr>
              <w:t>485</w:t>
            </w:r>
          </w:p>
        </w:tc>
        <w:tc>
          <w:tcPr>
            <w:tcW w:w="761" w:type="dxa"/>
            <w:tcBorders>
              <w:top w:val="single" w:sz="6" w:space="0" w:color="auto"/>
              <w:left w:val="single" w:sz="6" w:space="0" w:color="auto"/>
              <w:bottom w:val="single" w:sz="6" w:space="0" w:color="auto"/>
              <w:right w:val="single" w:sz="6" w:space="0" w:color="auto"/>
            </w:tcBorders>
          </w:tcPr>
          <w:p w14:paraId="20472A2A" w14:textId="77777777" w:rsidR="00286F7D" w:rsidRPr="00286F7D" w:rsidRDefault="00286F7D" w:rsidP="00286F7D">
            <w:pPr>
              <w:pStyle w:val="Texttabulky"/>
              <w:spacing w:after="0"/>
              <w:jc w:val="right"/>
              <w:rPr>
                <w:rFonts w:cs="Arial"/>
              </w:rPr>
            </w:pPr>
            <w:r w:rsidRPr="00286F7D">
              <w:rPr>
                <w:rFonts w:cs="Arial"/>
                <w:b/>
                <w:bCs/>
              </w:rPr>
              <w:t>24</w:t>
            </w:r>
          </w:p>
        </w:tc>
        <w:tc>
          <w:tcPr>
            <w:tcW w:w="1119" w:type="dxa"/>
            <w:tcBorders>
              <w:top w:val="single" w:sz="6" w:space="0" w:color="auto"/>
              <w:left w:val="single" w:sz="6" w:space="0" w:color="auto"/>
              <w:bottom w:val="single" w:sz="6" w:space="0" w:color="auto"/>
              <w:right w:val="single" w:sz="6" w:space="0" w:color="auto"/>
            </w:tcBorders>
          </w:tcPr>
          <w:p w14:paraId="652956D6" w14:textId="77777777" w:rsidR="00286F7D" w:rsidRPr="00286F7D" w:rsidRDefault="00286F7D" w:rsidP="00286F7D">
            <w:pPr>
              <w:pStyle w:val="Texttabulky"/>
              <w:spacing w:after="0"/>
              <w:jc w:val="right"/>
              <w:rPr>
                <w:rFonts w:cs="Arial"/>
              </w:rPr>
            </w:pPr>
            <w:r w:rsidRPr="00286F7D">
              <w:rPr>
                <w:rFonts w:cs="Arial"/>
                <w:b/>
                <w:bCs/>
              </w:rPr>
              <w:t>2 185</w:t>
            </w:r>
          </w:p>
        </w:tc>
        <w:tc>
          <w:tcPr>
            <w:tcW w:w="1011" w:type="dxa"/>
            <w:tcBorders>
              <w:top w:val="single" w:sz="6" w:space="0" w:color="auto"/>
              <w:left w:val="single" w:sz="6" w:space="0" w:color="auto"/>
              <w:bottom w:val="single" w:sz="6" w:space="0" w:color="auto"/>
              <w:right w:val="single" w:sz="6" w:space="0" w:color="auto"/>
            </w:tcBorders>
          </w:tcPr>
          <w:p w14:paraId="7DF537D0" w14:textId="77777777" w:rsidR="00286F7D" w:rsidRPr="00286F7D" w:rsidRDefault="00286F7D" w:rsidP="00286F7D">
            <w:pPr>
              <w:pStyle w:val="Texttabulky"/>
              <w:spacing w:after="0"/>
              <w:rPr>
                <w:rFonts w:cs="Arial"/>
              </w:rPr>
            </w:pPr>
            <w:r w:rsidRPr="00286F7D">
              <w:rPr>
                <w:rFonts w:cs="Arial"/>
                <w:b/>
                <w:bCs/>
              </w:rPr>
              <w:t xml:space="preserve">     + 1700</w:t>
            </w:r>
          </w:p>
        </w:tc>
      </w:tr>
      <w:tr w:rsidR="00286F7D" w:rsidRPr="00286F7D" w14:paraId="26EABA3F" w14:textId="77777777" w:rsidTr="00286F7D">
        <w:tc>
          <w:tcPr>
            <w:tcW w:w="568" w:type="dxa"/>
            <w:tcBorders>
              <w:top w:val="single" w:sz="6" w:space="0" w:color="auto"/>
              <w:left w:val="single" w:sz="6" w:space="0" w:color="auto"/>
              <w:bottom w:val="single" w:sz="6" w:space="0" w:color="auto"/>
              <w:right w:val="single" w:sz="6" w:space="0" w:color="auto"/>
            </w:tcBorders>
          </w:tcPr>
          <w:p w14:paraId="0272CB18" w14:textId="77777777" w:rsidR="00286F7D" w:rsidRPr="00286F7D" w:rsidRDefault="00286F7D" w:rsidP="00286F7D">
            <w:pPr>
              <w:pStyle w:val="Texttabulky"/>
              <w:spacing w:after="0"/>
              <w:rPr>
                <w:rFonts w:cs="Arial"/>
              </w:rPr>
            </w:pPr>
            <w:r w:rsidRPr="00286F7D">
              <w:rPr>
                <w:rFonts w:cs="Arial"/>
              </w:rPr>
              <w:t xml:space="preserve"> 23</w:t>
            </w:r>
          </w:p>
        </w:tc>
        <w:tc>
          <w:tcPr>
            <w:tcW w:w="2108" w:type="dxa"/>
            <w:tcBorders>
              <w:top w:val="single" w:sz="6" w:space="0" w:color="auto"/>
              <w:left w:val="single" w:sz="6" w:space="0" w:color="auto"/>
              <w:bottom w:val="single" w:sz="6" w:space="0" w:color="auto"/>
              <w:right w:val="single" w:sz="6" w:space="0" w:color="auto"/>
            </w:tcBorders>
          </w:tcPr>
          <w:p w14:paraId="08E5FA0A" w14:textId="77777777" w:rsidR="00286F7D" w:rsidRPr="00286F7D" w:rsidRDefault="00286F7D" w:rsidP="00286F7D">
            <w:pPr>
              <w:pStyle w:val="Texttabulky"/>
              <w:spacing w:after="0"/>
              <w:rPr>
                <w:rFonts w:cs="Arial"/>
              </w:rPr>
            </w:pPr>
            <w:r w:rsidRPr="00286F7D">
              <w:rPr>
                <w:rFonts w:cs="Arial"/>
              </w:rPr>
              <w:t>Podmokly</w:t>
            </w:r>
          </w:p>
        </w:tc>
        <w:tc>
          <w:tcPr>
            <w:tcW w:w="1094" w:type="dxa"/>
            <w:tcBorders>
              <w:top w:val="single" w:sz="6" w:space="0" w:color="auto"/>
              <w:left w:val="single" w:sz="6" w:space="0" w:color="auto"/>
              <w:bottom w:val="single" w:sz="6" w:space="0" w:color="auto"/>
              <w:right w:val="single" w:sz="6" w:space="0" w:color="auto"/>
            </w:tcBorders>
          </w:tcPr>
          <w:p w14:paraId="79B60C73" w14:textId="77777777" w:rsidR="00286F7D" w:rsidRPr="00286F7D" w:rsidRDefault="00286F7D" w:rsidP="00286F7D">
            <w:pPr>
              <w:pStyle w:val="Texttabulky"/>
              <w:spacing w:after="0"/>
              <w:jc w:val="right"/>
              <w:rPr>
                <w:rFonts w:cs="Arial"/>
              </w:rPr>
            </w:pPr>
            <w:r w:rsidRPr="00286F7D">
              <w:rPr>
                <w:rFonts w:cs="Arial"/>
              </w:rPr>
              <w:t>75</w:t>
            </w:r>
          </w:p>
        </w:tc>
        <w:tc>
          <w:tcPr>
            <w:tcW w:w="1165" w:type="dxa"/>
            <w:tcBorders>
              <w:top w:val="single" w:sz="6" w:space="0" w:color="auto"/>
              <w:left w:val="single" w:sz="6" w:space="0" w:color="auto"/>
              <w:bottom w:val="single" w:sz="6" w:space="0" w:color="auto"/>
              <w:right w:val="single" w:sz="6" w:space="0" w:color="auto"/>
            </w:tcBorders>
          </w:tcPr>
          <w:p w14:paraId="58089F2A" w14:textId="77777777" w:rsidR="00286F7D" w:rsidRPr="00286F7D" w:rsidRDefault="00286F7D" w:rsidP="00286F7D">
            <w:pPr>
              <w:pStyle w:val="Texttabulky"/>
              <w:spacing w:after="0"/>
              <w:jc w:val="right"/>
              <w:rPr>
                <w:rFonts w:cs="Arial"/>
              </w:rPr>
            </w:pPr>
            <w:r w:rsidRPr="00286F7D">
              <w:rPr>
                <w:rFonts w:cs="Arial"/>
              </w:rPr>
              <w:t>45</w:t>
            </w:r>
          </w:p>
        </w:tc>
        <w:tc>
          <w:tcPr>
            <w:tcW w:w="761" w:type="dxa"/>
            <w:tcBorders>
              <w:top w:val="single" w:sz="6" w:space="0" w:color="auto"/>
              <w:left w:val="single" w:sz="6" w:space="0" w:color="auto"/>
              <w:bottom w:val="single" w:sz="6" w:space="0" w:color="auto"/>
              <w:right w:val="single" w:sz="6" w:space="0" w:color="auto"/>
            </w:tcBorders>
          </w:tcPr>
          <w:p w14:paraId="5DCEE180" w14:textId="77777777" w:rsidR="00286F7D" w:rsidRPr="00286F7D" w:rsidRDefault="00286F7D" w:rsidP="00286F7D">
            <w:pPr>
              <w:pStyle w:val="Texttabulky"/>
              <w:spacing w:after="0"/>
              <w:jc w:val="right"/>
              <w:rPr>
                <w:rFonts w:cs="Arial"/>
              </w:rPr>
            </w:pPr>
            <w:r w:rsidRPr="00286F7D">
              <w:rPr>
                <w:rFonts w:cs="Arial"/>
              </w:rPr>
              <w:t>17</w:t>
            </w:r>
          </w:p>
        </w:tc>
        <w:tc>
          <w:tcPr>
            <w:tcW w:w="1119" w:type="dxa"/>
            <w:tcBorders>
              <w:top w:val="single" w:sz="6" w:space="0" w:color="auto"/>
              <w:left w:val="single" w:sz="6" w:space="0" w:color="auto"/>
              <w:bottom w:val="single" w:sz="6" w:space="0" w:color="auto"/>
              <w:right w:val="single" w:sz="6" w:space="0" w:color="auto"/>
            </w:tcBorders>
          </w:tcPr>
          <w:p w14:paraId="64ADE422" w14:textId="77777777" w:rsidR="00286F7D" w:rsidRPr="00286F7D" w:rsidRDefault="00286F7D" w:rsidP="00286F7D">
            <w:pPr>
              <w:pStyle w:val="Texttabulky"/>
              <w:spacing w:after="0"/>
              <w:jc w:val="right"/>
              <w:rPr>
                <w:rFonts w:cs="Arial"/>
              </w:rPr>
            </w:pPr>
            <w:r w:rsidRPr="00286F7D">
              <w:rPr>
                <w:rFonts w:cs="Arial"/>
              </w:rPr>
              <w:t>1 436</w:t>
            </w:r>
          </w:p>
        </w:tc>
        <w:tc>
          <w:tcPr>
            <w:tcW w:w="1011" w:type="dxa"/>
            <w:tcBorders>
              <w:top w:val="single" w:sz="6" w:space="0" w:color="auto"/>
              <w:left w:val="single" w:sz="6" w:space="0" w:color="auto"/>
              <w:bottom w:val="single" w:sz="6" w:space="0" w:color="auto"/>
              <w:right w:val="single" w:sz="6" w:space="0" w:color="auto"/>
            </w:tcBorders>
          </w:tcPr>
          <w:p w14:paraId="7E15D71F" w14:textId="77777777" w:rsidR="00286F7D" w:rsidRPr="00286F7D" w:rsidRDefault="00286F7D" w:rsidP="00286F7D">
            <w:pPr>
              <w:pStyle w:val="Texttabulky"/>
              <w:spacing w:after="0"/>
              <w:rPr>
                <w:rFonts w:cs="Arial"/>
              </w:rPr>
            </w:pPr>
            <w:r w:rsidRPr="00286F7D">
              <w:rPr>
                <w:rFonts w:cs="Arial"/>
              </w:rPr>
              <w:t xml:space="preserve">     + 1391</w:t>
            </w:r>
          </w:p>
        </w:tc>
      </w:tr>
      <w:tr w:rsidR="00286F7D" w:rsidRPr="00286F7D" w14:paraId="6652B60B" w14:textId="77777777" w:rsidTr="00286F7D">
        <w:tc>
          <w:tcPr>
            <w:tcW w:w="568" w:type="dxa"/>
            <w:tcBorders>
              <w:top w:val="single" w:sz="6" w:space="0" w:color="auto"/>
              <w:left w:val="single" w:sz="6" w:space="0" w:color="auto"/>
              <w:bottom w:val="single" w:sz="6" w:space="0" w:color="auto"/>
              <w:right w:val="single" w:sz="6" w:space="0" w:color="auto"/>
            </w:tcBorders>
          </w:tcPr>
          <w:p w14:paraId="15F7D1A4" w14:textId="77777777" w:rsidR="00286F7D" w:rsidRPr="00286F7D" w:rsidRDefault="00286F7D" w:rsidP="00286F7D">
            <w:pPr>
              <w:pStyle w:val="Texttabulky"/>
              <w:spacing w:after="0"/>
              <w:jc w:val="right"/>
              <w:rPr>
                <w:rFonts w:cs="Arial"/>
              </w:rPr>
            </w:pPr>
            <w:r w:rsidRPr="00286F7D">
              <w:rPr>
                <w:rFonts w:cs="Arial"/>
              </w:rPr>
              <w:t>24</w:t>
            </w:r>
          </w:p>
        </w:tc>
        <w:tc>
          <w:tcPr>
            <w:tcW w:w="2108" w:type="dxa"/>
            <w:tcBorders>
              <w:top w:val="single" w:sz="6" w:space="0" w:color="auto"/>
              <w:left w:val="single" w:sz="6" w:space="0" w:color="auto"/>
              <w:bottom w:val="single" w:sz="6" w:space="0" w:color="auto"/>
              <w:right w:val="single" w:sz="6" w:space="0" w:color="auto"/>
            </w:tcBorders>
          </w:tcPr>
          <w:p w14:paraId="5F323061" w14:textId="77777777" w:rsidR="00286F7D" w:rsidRPr="00286F7D" w:rsidRDefault="00286F7D" w:rsidP="00286F7D">
            <w:pPr>
              <w:pStyle w:val="Texttabulky"/>
              <w:spacing w:after="0"/>
              <w:rPr>
                <w:rFonts w:cs="Arial"/>
              </w:rPr>
            </w:pPr>
            <w:r w:rsidRPr="00286F7D">
              <w:rPr>
                <w:rFonts w:cs="Arial"/>
              </w:rPr>
              <w:t>U stadionu</w:t>
            </w:r>
          </w:p>
        </w:tc>
        <w:tc>
          <w:tcPr>
            <w:tcW w:w="1094" w:type="dxa"/>
            <w:tcBorders>
              <w:top w:val="single" w:sz="6" w:space="0" w:color="auto"/>
              <w:left w:val="single" w:sz="6" w:space="0" w:color="auto"/>
              <w:bottom w:val="single" w:sz="6" w:space="0" w:color="auto"/>
              <w:right w:val="single" w:sz="6" w:space="0" w:color="auto"/>
            </w:tcBorders>
          </w:tcPr>
          <w:p w14:paraId="2376F519"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25A57D3A"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58C1D5F0" w14:textId="77777777" w:rsidR="00286F7D" w:rsidRPr="00286F7D" w:rsidRDefault="00286F7D" w:rsidP="00286F7D">
            <w:pPr>
              <w:pStyle w:val="Texttabulky"/>
              <w:spacing w:after="0"/>
              <w:jc w:val="right"/>
              <w:rPr>
                <w:rFonts w:cs="Arial"/>
              </w:rPr>
            </w:pPr>
            <w:r w:rsidRPr="00286F7D">
              <w:rPr>
                <w:rFonts w:cs="Arial"/>
              </w:rPr>
              <w:t>1</w:t>
            </w:r>
          </w:p>
        </w:tc>
        <w:tc>
          <w:tcPr>
            <w:tcW w:w="1119" w:type="dxa"/>
            <w:tcBorders>
              <w:top w:val="single" w:sz="6" w:space="0" w:color="auto"/>
              <w:left w:val="single" w:sz="6" w:space="0" w:color="auto"/>
              <w:bottom w:val="single" w:sz="6" w:space="0" w:color="auto"/>
              <w:right w:val="single" w:sz="6" w:space="0" w:color="auto"/>
            </w:tcBorders>
          </w:tcPr>
          <w:p w14:paraId="1F39370D" w14:textId="77777777" w:rsidR="00286F7D" w:rsidRPr="00286F7D" w:rsidRDefault="00286F7D" w:rsidP="00286F7D">
            <w:pPr>
              <w:pStyle w:val="Texttabulky"/>
              <w:spacing w:after="0"/>
              <w:jc w:val="right"/>
              <w:rPr>
                <w:rFonts w:cs="Arial"/>
              </w:rPr>
            </w:pPr>
            <w:r w:rsidRPr="00286F7D">
              <w:rPr>
                <w:rFonts w:cs="Arial"/>
              </w:rPr>
              <w:t>350</w:t>
            </w:r>
          </w:p>
        </w:tc>
        <w:tc>
          <w:tcPr>
            <w:tcW w:w="1011" w:type="dxa"/>
            <w:tcBorders>
              <w:top w:val="single" w:sz="6" w:space="0" w:color="auto"/>
              <w:left w:val="single" w:sz="6" w:space="0" w:color="auto"/>
              <w:bottom w:val="single" w:sz="6" w:space="0" w:color="auto"/>
              <w:right w:val="single" w:sz="6" w:space="0" w:color="auto"/>
            </w:tcBorders>
          </w:tcPr>
          <w:p w14:paraId="71019F8C" w14:textId="77777777" w:rsidR="00286F7D" w:rsidRPr="00286F7D" w:rsidRDefault="00286F7D" w:rsidP="00286F7D">
            <w:pPr>
              <w:pStyle w:val="Texttabulky"/>
              <w:spacing w:after="0"/>
              <w:rPr>
                <w:rFonts w:cs="Arial"/>
              </w:rPr>
            </w:pPr>
            <w:r w:rsidRPr="00286F7D">
              <w:rPr>
                <w:rFonts w:cs="Arial"/>
              </w:rPr>
              <w:t xml:space="preserve">       + 350</w:t>
            </w:r>
          </w:p>
        </w:tc>
      </w:tr>
      <w:tr w:rsidR="00286F7D" w:rsidRPr="00286F7D" w14:paraId="31CFDD2C" w14:textId="77777777" w:rsidTr="00286F7D">
        <w:tc>
          <w:tcPr>
            <w:tcW w:w="568" w:type="dxa"/>
            <w:tcBorders>
              <w:top w:val="single" w:sz="6" w:space="0" w:color="auto"/>
              <w:left w:val="single" w:sz="6" w:space="0" w:color="auto"/>
              <w:bottom w:val="single" w:sz="6" w:space="0" w:color="auto"/>
              <w:right w:val="single" w:sz="6" w:space="0" w:color="auto"/>
            </w:tcBorders>
          </w:tcPr>
          <w:p w14:paraId="0E1EAB53" w14:textId="77777777" w:rsidR="00286F7D" w:rsidRPr="00286F7D" w:rsidRDefault="00286F7D" w:rsidP="00286F7D">
            <w:pPr>
              <w:pStyle w:val="Texttabulky"/>
              <w:spacing w:after="0"/>
              <w:jc w:val="right"/>
              <w:rPr>
                <w:rFonts w:cs="Arial"/>
              </w:rPr>
            </w:pPr>
            <w:r w:rsidRPr="00286F7D">
              <w:rPr>
                <w:rFonts w:cs="Arial"/>
              </w:rPr>
              <w:t>25</w:t>
            </w:r>
          </w:p>
        </w:tc>
        <w:tc>
          <w:tcPr>
            <w:tcW w:w="2108" w:type="dxa"/>
            <w:tcBorders>
              <w:top w:val="single" w:sz="6" w:space="0" w:color="auto"/>
              <w:left w:val="single" w:sz="6" w:space="0" w:color="auto"/>
              <w:bottom w:val="single" w:sz="6" w:space="0" w:color="auto"/>
              <w:right w:val="single" w:sz="6" w:space="0" w:color="auto"/>
            </w:tcBorders>
          </w:tcPr>
          <w:p w14:paraId="499F5523" w14:textId="77777777" w:rsidR="00286F7D" w:rsidRPr="00286F7D" w:rsidRDefault="00286F7D" w:rsidP="00286F7D">
            <w:pPr>
              <w:pStyle w:val="Texttabulky"/>
              <w:spacing w:after="0"/>
              <w:rPr>
                <w:rFonts w:cs="Arial"/>
              </w:rPr>
            </w:pPr>
            <w:r w:rsidRPr="00286F7D">
              <w:rPr>
                <w:rFonts w:cs="Arial"/>
              </w:rPr>
              <w:t>Červený vrch</w:t>
            </w:r>
          </w:p>
        </w:tc>
        <w:tc>
          <w:tcPr>
            <w:tcW w:w="1094" w:type="dxa"/>
            <w:tcBorders>
              <w:top w:val="single" w:sz="6" w:space="0" w:color="auto"/>
              <w:left w:val="single" w:sz="6" w:space="0" w:color="auto"/>
              <w:bottom w:val="single" w:sz="6" w:space="0" w:color="auto"/>
              <w:right w:val="single" w:sz="6" w:space="0" w:color="auto"/>
            </w:tcBorders>
          </w:tcPr>
          <w:p w14:paraId="0091EC39"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791FE546"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57ABB2D4"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70F852E4"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0190F9E8"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7D2A7081" w14:textId="77777777" w:rsidTr="00286F7D">
        <w:tc>
          <w:tcPr>
            <w:tcW w:w="568" w:type="dxa"/>
            <w:tcBorders>
              <w:top w:val="single" w:sz="6" w:space="0" w:color="auto"/>
              <w:left w:val="single" w:sz="6" w:space="0" w:color="auto"/>
              <w:bottom w:val="single" w:sz="6" w:space="0" w:color="auto"/>
              <w:right w:val="single" w:sz="6" w:space="0" w:color="auto"/>
            </w:tcBorders>
          </w:tcPr>
          <w:p w14:paraId="0E64BB0D" w14:textId="77777777" w:rsidR="00286F7D" w:rsidRPr="00286F7D" w:rsidRDefault="00286F7D" w:rsidP="00286F7D">
            <w:pPr>
              <w:pStyle w:val="Texttabulky"/>
              <w:spacing w:after="0"/>
              <w:jc w:val="right"/>
              <w:rPr>
                <w:rFonts w:cs="Arial"/>
              </w:rPr>
            </w:pPr>
            <w:r w:rsidRPr="00286F7D">
              <w:rPr>
                <w:rFonts w:cs="Arial"/>
              </w:rPr>
              <w:t>26</w:t>
            </w:r>
          </w:p>
        </w:tc>
        <w:tc>
          <w:tcPr>
            <w:tcW w:w="2108" w:type="dxa"/>
            <w:tcBorders>
              <w:top w:val="single" w:sz="6" w:space="0" w:color="auto"/>
              <w:left w:val="single" w:sz="6" w:space="0" w:color="auto"/>
              <w:bottom w:val="single" w:sz="6" w:space="0" w:color="auto"/>
              <w:right w:val="single" w:sz="6" w:space="0" w:color="auto"/>
            </w:tcBorders>
          </w:tcPr>
          <w:p w14:paraId="4968AD70" w14:textId="77777777" w:rsidR="00286F7D" w:rsidRPr="00286F7D" w:rsidRDefault="00286F7D" w:rsidP="00286F7D">
            <w:pPr>
              <w:pStyle w:val="Texttabulky"/>
              <w:spacing w:after="0"/>
              <w:rPr>
                <w:rFonts w:cs="Arial"/>
              </w:rPr>
            </w:pPr>
            <w:r w:rsidRPr="00286F7D">
              <w:rPr>
                <w:rFonts w:cs="Arial"/>
              </w:rPr>
              <w:t>Pastýřská stěna</w:t>
            </w:r>
          </w:p>
        </w:tc>
        <w:tc>
          <w:tcPr>
            <w:tcW w:w="1094" w:type="dxa"/>
            <w:tcBorders>
              <w:top w:val="single" w:sz="6" w:space="0" w:color="auto"/>
              <w:left w:val="single" w:sz="6" w:space="0" w:color="auto"/>
              <w:bottom w:val="single" w:sz="6" w:space="0" w:color="auto"/>
              <w:right w:val="single" w:sz="6" w:space="0" w:color="auto"/>
            </w:tcBorders>
          </w:tcPr>
          <w:p w14:paraId="4FD27D5D"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59202882"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41BEE742"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53BA9542"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37FCED5A"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9D1EC0E" w14:textId="77777777" w:rsidTr="00286F7D">
        <w:tc>
          <w:tcPr>
            <w:tcW w:w="568" w:type="dxa"/>
            <w:tcBorders>
              <w:top w:val="single" w:sz="6" w:space="0" w:color="auto"/>
              <w:left w:val="single" w:sz="6" w:space="0" w:color="auto"/>
              <w:bottom w:val="single" w:sz="6" w:space="0" w:color="auto"/>
              <w:right w:val="single" w:sz="6" w:space="0" w:color="auto"/>
            </w:tcBorders>
          </w:tcPr>
          <w:p w14:paraId="602B0AC2" w14:textId="77777777" w:rsidR="00286F7D" w:rsidRPr="00286F7D" w:rsidRDefault="00286F7D" w:rsidP="00286F7D">
            <w:pPr>
              <w:pStyle w:val="Texttabulky"/>
              <w:spacing w:after="0"/>
              <w:rPr>
                <w:rFonts w:cs="Arial"/>
              </w:rPr>
            </w:pPr>
            <w:r w:rsidRPr="00286F7D">
              <w:rPr>
                <w:rFonts w:cs="Arial"/>
                <w:b/>
                <w:bCs/>
              </w:rPr>
              <w:t xml:space="preserve"> 1B</w:t>
            </w:r>
          </w:p>
        </w:tc>
        <w:tc>
          <w:tcPr>
            <w:tcW w:w="2108" w:type="dxa"/>
            <w:tcBorders>
              <w:top w:val="single" w:sz="6" w:space="0" w:color="auto"/>
              <w:left w:val="single" w:sz="6" w:space="0" w:color="auto"/>
              <w:bottom w:val="single" w:sz="6" w:space="0" w:color="auto"/>
              <w:right w:val="single" w:sz="6" w:space="0" w:color="auto"/>
            </w:tcBorders>
          </w:tcPr>
          <w:p w14:paraId="6E48A517" w14:textId="77777777" w:rsidR="00286F7D" w:rsidRPr="00286F7D" w:rsidRDefault="00286F7D" w:rsidP="00286F7D">
            <w:pPr>
              <w:pStyle w:val="Texttabulky"/>
              <w:spacing w:after="0"/>
              <w:rPr>
                <w:rFonts w:cs="Arial"/>
              </w:rPr>
            </w:pPr>
            <w:r w:rsidRPr="00286F7D">
              <w:rPr>
                <w:rFonts w:cs="Arial"/>
                <w:b/>
                <w:bCs/>
                <w:caps/>
              </w:rPr>
              <w:t>sektor celkem</w:t>
            </w:r>
          </w:p>
        </w:tc>
        <w:tc>
          <w:tcPr>
            <w:tcW w:w="1094" w:type="dxa"/>
            <w:tcBorders>
              <w:top w:val="single" w:sz="6" w:space="0" w:color="auto"/>
              <w:left w:val="single" w:sz="6" w:space="0" w:color="auto"/>
              <w:bottom w:val="single" w:sz="6" w:space="0" w:color="auto"/>
              <w:right w:val="single" w:sz="6" w:space="0" w:color="auto"/>
            </w:tcBorders>
          </w:tcPr>
          <w:p w14:paraId="73F263C8" w14:textId="77777777" w:rsidR="00286F7D" w:rsidRPr="00286F7D" w:rsidRDefault="00286F7D" w:rsidP="00286F7D">
            <w:pPr>
              <w:pStyle w:val="Texttabulky"/>
              <w:spacing w:after="0"/>
              <w:jc w:val="right"/>
              <w:rPr>
                <w:rFonts w:cs="Arial"/>
              </w:rPr>
            </w:pPr>
            <w:r w:rsidRPr="00286F7D">
              <w:rPr>
                <w:rFonts w:cs="Arial"/>
                <w:b/>
                <w:bCs/>
              </w:rPr>
              <w:t>75</w:t>
            </w:r>
          </w:p>
        </w:tc>
        <w:tc>
          <w:tcPr>
            <w:tcW w:w="1165" w:type="dxa"/>
            <w:tcBorders>
              <w:top w:val="single" w:sz="6" w:space="0" w:color="auto"/>
              <w:left w:val="single" w:sz="6" w:space="0" w:color="auto"/>
              <w:bottom w:val="single" w:sz="6" w:space="0" w:color="auto"/>
              <w:right w:val="single" w:sz="6" w:space="0" w:color="auto"/>
            </w:tcBorders>
          </w:tcPr>
          <w:p w14:paraId="34EAD662" w14:textId="77777777" w:rsidR="00286F7D" w:rsidRPr="00286F7D" w:rsidRDefault="00286F7D" w:rsidP="00286F7D">
            <w:pPr>
              <w:pStyle w:val="Texttabulky"/>
              <w:spacing w:after="0"/>
              <w:jc w:val="right"/>
              <w:rPr>
                <w:rFonts w:cs="Arial"/>
              </w:rPr>
            </w:pPr>
            <w:r w:rsidRPr="00286F7D">
              <w:rPr>
                <w:rFonts w:cs="Arial"/>
                <w:b/>
                <w:bCs/>
              </w:rPr>
              <w:t>45</w:t>
            </w:r>
          </w:p>
        </w:tc>
        <w:tc>
          <w:tcPr>
            <w:tcW w:w="761" w:type="dxa"/>
            <w:tcBorders>
              <w:top w:val="single" w:sz="6" w:space="0" w:color="auto"/>
              <w:left w:val="single" w:sz="6" w:space="0" w:color="auto"/>
              <w:bottom w:val="single" w:sz="6" w:space="0" w:color="auto"/>
              <w:right w:val="single" w:sz="6" w:space="0" w:color="auto"/>
            </w:tcBorders>
          </w:tcPr>
          <w:p w14:paraId="302F48A4" w14:textId="77777777" w:rsidR="00286F7D" w:rsidRPr="00286F7D" w:rsidRDefault="00286F7D" w:rsidP="00286F7D">
            <w:pPr>
              <w:pStyle w:val="Texttabulky"/>
              <w:spacing w:after="0"/>
              <w:jc w:val="right"/>
              <w:rPr>
                <w:rFonts w:cs="Arial"/>
              </w:rPr>
            </w:pPr>
            <w:r w:rsidRPr="00286F7D">
              <w:rPr>
                <w:rFonts w:cs="Arial"/>
                <w:b/>
                <w:bCs/>
              </w:rPr>
              <w:t>18</w:t>
            </w:r>
          </w:p>
        </w:tc>
        <w:tc>
          <w:tcPr>
            <w:tcW w:w="1119" w:type="dxa"/>
            <w:tcBorders>
              <w:top w:val="single" w:sz="6" w:space="0" w:color="auto"/>
              <w:left w:val="single" w:sz="6" w:space="0" w:color="auto"/>
              <w:bottom w:val="single" w:sz="6" w:space="0" w:color="auto"/>
              <w:right w:val="single" w:sz="6" w:space="0" w:color="auto"/>
            </w:tcBorders>
          </w:tcPr>
          <w:p w14:paraId="210289A8" w14:textId="77777777" w:rsidR="00286F7D" w:rsidRPr="00286F7D" w:rsidRDefault="00286F7D" w:rsidP="00286F7D">
            <w:pPr>
              <w:pStyle w:val="Texttabulky"/>
              <w:spacing w:after="0"/>
              <w:jc w:val="right"/>
              <w:rPr>
                <w:rFonts w:cs="Arial"/>
              </w:rPr>
            </w:pPr>
            <w:r w:rsidRPr="00286F7D">
              <w:rPr>
                <w:rFonts w:cs="Arial"/>
                <w:b/>
                <w:bCs/>
              </w:rPr>
              <w:t>1 786</w:t>
            </w:r>
          </w:p>
        </w:tc>
        <w:tc>
          <w:tcPr>
            <w:tcW w:w="1011" w:type="dxa"/>
            <w:tcBorders>
              <w:top w:val="single" w:sz="6" w:space="0" w:color="auto"/>
              <w:left w:val="single" w:sz="6" w:space="0" w:color="auto"/>
              <w:bottom w:val="single" w:sz="6" w:space="0" w:color="auto"/>
              <w:right w:val="single" w:sz="6" w:space="0" w:color="auto"/>
            </w:tcBorders>
          </w:tcPr>
          <w:p w14:paraId="7967AFD8" w14:textId="77777777" w:rsidR="00286F7D" w:rsidRPr="00286F7D" w:rsidRDefault="00286F7D" w:rsidP="00286F7D">
            <w:pPr>
              <w:pStyle w:val="Texttabulky"/>
              <w:spacing w:after="0"/>
              <w:rPr>
                <w:rFonts w:cs="Arial"/>
              </w:rPr>
            </w:pPr>
            <w:r w:rsidRPr="00286F7D">
              <w:rPr>
                <w:rFonts w:cs="Arial"/>
                <w:b/>
                <w:bCs/>
              </w:rPr>
              <w:t xml:space="preserve">     + 1741</w:t>
            </w:r>
          </w:p>
        </w:tc>
      </w:tr>
      <w:tr w:rsidR="00286F7D" w:rsidRPr="00286F7D" w14:paraId="0B326622" w14:textId="77777777" w:rsidTr="00286F7D">
        <w:tc>
          <w:tcPr>
            <w:tcW w:w="568" w:type="dxa"/>
            <w:tcBorders>
              <w:top w:val="single" w:sz="6" w:space="0" w:color="auto"/>
              <w:left w:val="single" w:sz="6" w:space="0" w:color="auto"/>
              <w:bottom w:val="single" w:sz="6" w:space="0" w:color="auto"/>
              <w:right w:val="single" w:sz="6" w:space="0" w:color="auto"/>
            </w:tcBorders>
          </w:tcPr>
          <w:p w14:paraId="25598EDC" w14:textId="77777777" w:rsidR="00286F7D" w:rsidRPr="00286F7D" w:rsidRDefault="00286F7D" w:rsidP="00286F7D">
            <w:pPr>
              <w:pStyle w:val="Texttabulky"/>
              <w:spacing w:after="0"/>
              <w:jc w:val="right"/>
              <w:rPr>
                <w:rFonts w:cs="Arial"/>
              </w:rPr>
            </w:pPr>
            <w:r w:rsidRPr="00286F7D">
              <w:rPr>
                <w:rFonts w:cs="Arial"/>
              </w:rPr>
              <w:t>18</w:t>
            </w:r>
          </w:p>
        </w:tc>
        <w:tc>
          <w:tcPr>
            <w:tcW w:w="2108" w:type="dxa"/>
            <w:tcBorders>
              <w:top w:val="single" w:sz="6" w:space="0" w:color="auto"/>
              <w:left w:val="single" w:sz="6" w:space="0" w:color="auto"/>
              <w:bottom w:val="single" w:sz="6" w:space="0" w:color="auto"/>
              <w:right w:val="single" w:sz="6" w:space="0" w:color="auto"/>
            </w:tcBorders>
          </w:tcPr>
          <w:p w14:paraId="77CA431E" w14:textId="77777777" w:rsidR="00286F7D" w:rsidRPr="00286F7D" w:rsidRDefault="00286F7D" w:rsidP="00286F7D">
            <w:pPr>
              <w:pStyle w:val="Texttabulky"/>
              <w:spacing w:after="0"/>
              <w:rPr>
                <w:rFonts w:cs="Arial"/>
              </w:rPr>
            </w:pPr>
            <w:r w:rsidRPr="00286F7D">
              <w:rPr>
                <w:rFonts w:cs="Arial"/>
              </w:rPr>
              <w:t>Rozbělesy</w:t>
            </w:r>
          </w:p>
        </w:tc>
        <w:tc>
          <w:tcPr>
            <w:tcW w:w="1094" w:type="dxa"/>
            <w:tcBorders>
              <w:top w:val="single" w:sz="6" w:space="0" w:color="auto"/>
              <w:left w:val="single" w:sz="6" w:space="0" w:color="auto"/>
              <w:bottom w:val="single" w:sz="6" w:space="0" w:color="auto"/>
              <w:right w:val="single" w:sz="6" w:space="0" w:color="auto"/>
            </w:tcBorders>
          </w:tcPr>
          <w:p w14:paraId="257DD4C1" w14:textId="77777777" w:rsidR="00286F7D" w:rsidRPr="00286F7D" w:rsidRDefault="00286F7D" w:rsidP="00286F7D">
            <w:pPr>
              <w:pStyle w:val="Texttabulky"/>
              <w:spacing w:after="0"/>
              <w:jc w:val="right"/>
              <w:rPr>
                <w:rFonts w:cs="Arial"/>
              </w:rPr>
            </w:pPr>
            <w:r w:rsidRPr="00286F7D">
              <w:rPr>
                <w:rFonts w:cs="Arial"/>
              </w:rPr>
              <w:t>3 538</w:t>
            </w:r>
          </w:p>
        </w:tc>
        <w:tc>
          <w:tcPr>
            <w:tcW w:w="1165" w:type="dxa"/>
            <w:tcBorders>
              <w:top w:val="single" w:sz="6" w:space="0" w:color="auto"/>
              <w:left w:val="single" w:sz="6" w:space="0" w:color="auto"/>
              <w:bottom w:val="single" w:sz="6" w:space="0" w:color="auto"/>
              <w:right w:val="single" w:sz="6" w:space="0" w:color="auto"/>
            </w:tcBorders>
          </w:tcPr>
          <w:p w14:paraId="6757B785" w14:textId="77777777" w:rsidR="00286F7D" w:rsidRPr="00286F7D" w:rsidRDefault="00286F7D" w:rsidP="00286F7D">
            <w:pPr>
              <w:pStyle w:val="Texttabulky"/>
              <w:spacing w:after="0"/>
              <w:jc w:val="right"/>
              <w:rPr>
                <w:rFonts w:cs="Arial"/>
              </w:rPr>
            </w:pPr>
            <w:r w:rsidRPr="00286F7D">
              <w:rPr>
                <w:rFonts w:cs="Arial"/>
              </w:rPr>
              <w:t>3  475</w:t>
            </w:r>
          </w:p>
        </w:tc>
        <w:tc>
          <w:tcPr>
            <w:tcW w:w="761" w:type="dxa"/>
            <w:tcBorders>
              <w:top w:val="single" w:sz="6" w:space="0" w:color="auto"/>
              <w:left w:val="single" w:sz="6" w:space="0" w:color="auto"/>
              <w:bottom w:val="single" w:sz="6" w:space="0" w:color="auto"/>
              <w:right w:val="single" w:sz="6" w:space="0" w:color="auto"/>
            </w:tcBorders>
          </w:tcPr>
          <w:p w14:paraId="2B284721" w14:textId="77777777" w:rsidR="00286F7D" w:rsidRPr="00286F7D" w:rsidRDefault="00286F7D" w:rsidP="00286F7D">
            <w:pPr>
              <w:pStyle w:val="Texttabulky"/>
              <w:spacing w:after="0"/>
              <w:jc w:val="right"/>
              <w:rPr>
                <w:rFonts w:cs="Arial"/>
              </w:rPr>
            </w:pPr>
            <w:r w:rsidRPr="00286F7D">
              <w:rPr>
                <w:rFonts w:cs="Arial"/>
              </w:rPr>
              <w:t>24</w:t>
            </w:r>
          </w:p>
        </w:tc>
        <w:tc>
          <w:tcPr>
            <w:tcW w:w="1119" w:type="dxa"/>
            <w:tcBorders>
              <w:top w:val="single" w:sz="6" w:space="0" w:color="auto"/>
              <w:left w:val="single" w:sz="6" w:space="0" w:color="auto"/>
              <w:bottom w:val="single" w:sz="6" w:space="0" w:color="auto"/>
              <w:right w:val="single" w:sz="6" w:space="0" w:color="auto"/>
            </w:tcBorders>
          </w:tcPr>
          <w:p w14:paraId="433D8059" w14:textId="77777777" w:rsidR="00286F7D" w:rsidRPr="00286F7D" w:rsidRDefault="00286F7D" w:rsidP="00286F7D">
            <w:pPr>
              <w:pStyle w:val="Texttabulky"/>
              <w:spacing w:after="0"/>
              <w:jc w:val="right"/>
              <w:rPr>
                <w:rFonts w:cs="Arial"/>
              </w:rPr>
            </w:pPr>
            <w:r w:rsidRPr="00286F7D">
              <w:rPr>
                <w:rFonts w:cs="Arial"/>
              </w:rPr>
              <w:t>4 234</w:t>
            </w:r>
          </w:p>
        </w:tc>
        <w:tc>
          <w:tcPr>
            <w:tcW w:w="1011" w:type="dxa"/>
            <w:tcBorders>
              <w:top w:val="single" w:sz="6" w:space="0" w:color="auto"/>
              <w:left w:val="single" w:sz="6" w:space="0" w:color="auto"/>
              <w:bottom w:val="single" w:sz="6" w:space="0" w:color="auto"/>
              <w:right w:val="single" w:sz="6" w:space="0" w:color="auto"/>
            </w:tcBorders>
          </w:tcPr>
          <w:p w14:paraId="2971BB7D" w14:textId="77777777" w:rsidR="00286F7D" w:rsidRPr="00286F7D" w:rsidRDefault="00286F7D" w:rsidP="00286F7D">
            <w:pPr>
              <w:pStyle w:val="Texttabulky"/>
              <w:spacing w:after="0"/>
              <w:rPr>
                <w:rFonts w:cs="Arial"/>
              </w:rPr>
            </w:pPr>
            <w:r w:rsidRPr="00286F7D">
              <w:rPr>
                <w:rFonts w:cs="Arial"/>
              </w:rPr>
              <w:t xml:space="preserve">       + 759</w:t>
            </w:r>
          </w:p>
        </w:tc>
      </w:tr>
      <w:tr w:rsidR="00286F7D" w:rsidRPr="00286F7D" w14:paraId="10C515F3" w14:textId="77777777" w:rsidTr="00286F7D">
        <w:tc>
          <w:tcPr>
            <w:tcW w:w="568" w:type="dxa"/>
            <w:tcBorders>
              <w:top w:val="single" w:sz="6" w:space="0" w:color="auto"/>
              <w:left w:val="single" w:sz="6" w:space="0" w:color="auto"/>
              <w:bottom w:val="single" w:sz="6" w:space="0" w:color="auto"/>
              <w:right w:val="single" w:sz="6" w:space="0" w:color="auto"/>
            </w:tcBorders>
          </w:tcPr>
          <w:p w14:paraId="2784D0EA" w14:textId="77777777" w:rsidR="00286F7D" w:rsidRPr="00286F7D" w:rsidRDefault="00286F7D" w:rsidP="00286F7D">
            <w:pPr>
              <w:pStyle w:val="Texttabulky"/>
              <w:spacing w:after="0"/>
              <w:jc w:val="right"/>
              <w:rPr>
                <w:rFonts w:cs="Arial"/>
              </w:rPr>
            </w:pPr>
            <w:r w:rsidRPr="00286F7D">
              <w:rPr>
                <w:rFonts w:cs="Arial"/>
              </w:rPr>
              <w:t>19</w:t>
            </w:r>
          </w:p>
        </w:tc>
        <w:tc>
          <w:tcPr>
            <w:tcW w:w="2108" w:type="dxa"/>
            <w:tcBorders>
              <w:top w:val="single" w:sz="6" w:space="0" w:color="auto"/>
              <w:left w:val="single" w:sz="6" w:space="0" w:color="auto"/>
              <w:bottom w:val="single" w:sz="6" w:space="0" w:color="auto"/>
              <w:right w:val="single" w:sz="6" w:space="0" w:color="auto"/>
            </w:tcBorders>
          </w:tcPr>
          <w:p w14:paraId="2D4F5B14" w14:textId="77777777" w:rsidR="00286F7D" w:rsidRPr="00286F7D" w:rsidRDefault="00286F7D" w:rsidP="00286F7D">
            <w:pPr>
              <w:pStyle w:val="Texttabulky"/>
              <w:spacing w:after="0"/>
              <w:rPr>
                <w:rFonts w:cs="Arial"/>
              </w:rPr>
            </w:pPr>
            <w:r w:rsidRPr="00286F7D">
              <w:rPr>
                <w:rFonts w:cs="Arial"/>
              </w:rPr>
              <w:t>Hlavní nádraží</w:t>
            </w:r>
          </w:p>
        </w:tc>
        <w:tc>
          <w:tcPr>
            <w:tcW w:w="1094" w:type="dxa"/>
            <w:tcBorders>
              <w:top w:val="single" w:sz="6" w:space="0" w:color="auto"/>
              <w:left w:val="single" w:sz="6" w:space="0" w:color="auto"/>
              <w:bottom w:val="single" w:sz="6" w:space="0" w:color="auto"/>
              <w:right w:val="single" w:sz="6" w:space="0" w:color="auto"/>
            </w:tcBorders>
          </w:tcPr>
          <w:p w14:paraId="5865DF56" w14:textId="77777777" w:rsidR="00286F7D" w:rsidRPr="00286F7D" w:rsidRDefault="00286F7D" w:rsidP="00286F7D">
            <w:pPr>
              <w:pStyle w:val="Texttabulky"/>
              <w:spacing w:after="0"/>
              <w:jc w:val="right"/>
              <w:rPr>
                <w:rFonts w:cs="Arial"/>
              </w:rPr>
            </w:pPr>
            <w:r w:rsidRPr="00286F7D">
              <w:rPr>
                <w:rFonts w:cs="Arial"/>
              </w:rPr>
              <w:t>1 011</w:t>
            </w:r>
          </w:p>
        </w:tc>
        <w:tc>
          <w:tcPr>
            <w:tcW w:w="1165" w:type="dxa"/>
            <w:tcBorders>
              <w:top w:val="single" w:sz="6" w:space="0" w:color="auto"/>
              <w:left w:val="single" w:sz="6" w:space="0" w:color="auto"/>
              <w:bottom w:val="single" w:sz="6" w:space="0" w:color="auto"/>
              <w:right w:val="single" w:sz="6" w:space="0" w:color="auto"/>
            </w:tcBorders>
          </w:tcPr>
          <w:p w14:paraId="5735D49C" w14:textId="77777777" w:rsidR="00286F7D" w:rsidRPr="00286F7D" w:rsidRDefault="00286F7D" w:rsidP="00286F7D">
            <w:pPr>
              <w:pStyle w:val="Texttabulky"/>
              <w:spacing w:after="0"/>
              <w:jc w:val="right"/>
              <w:rPr>
                <w:rFonts w:cs="Arial"/>
              </w:rPr>
            </w:pPr>
            <w:r w:rsidRPr="00286F7D">
              <w:rPr>
                <w:rFonts w:cs="Arial"/>
              </w:rPr>
              <w:t>1 000</w:t>
            </w:r>
          </w:p>
        </w:tc>
        <w:tc>
          <w:tcPr>
            <w:tcW w:w="761" w:type="dxa"/>
            <w:tcBorders>
              <w:top w:val="single" w:sz="6" w:space="0" w:color="auto"/>
              <w:left w:val="single" w:sz="6" w:space="0" w:color="auto"/>
              <w:bottom w:val="single" w:sz="6" w:space="0" w:color="auto"/>
              <w:right w:val="single" w:sz="6" w:space="0" w:color="auto"/>
            </w:tcBorders>
          </w:tcPr>
          <w:p w14:paraId="472A53DE" w14:textId="77777777" w:rsidR="00286F7D" w:rsidRPr="00286F7D" w:rsidRDefault="00286F7D" w:rsidP="00286F7D">
            <w:pPr>
              <w:pStyle w:val="Texttabulky"/>
              <w:spacing w:after="0"/>
              <w:jc w:val="right"/>
              <w:rPr>
                <w:rFonts w:cs="Arial"/>
              </w:rPr>
            </w:pPr>
            <w:r w:rsidRPr="00286F7D">
              <w:rPr>
                <w:rFonts w:cs="Arial"/>
              </w:rPr>
              <w:t>20</w:t>
            </w:r>
          </w:p>
        </w:tc>
        <w:tc>
          <w:tcPr>
            <w:tcW w:w="1119" w:type="dxa"/>
            <w:tcBorders>
              <w:top w:val="single" w:sz="6" w:space="0" w:color="auto"/>
              <w:left w:val="single" w:sz="6" w:space="0" w:color="auto"/>
              <w:bottom w:val="single" w:sz="6" w:space="0" w:color="auto"/>
              <w:right w:val="single" w:sz="6" w:space="0" w:color="auto"/>
            </w:tcBorders>
          </w:tcPr>
          <w:p w14:paraId="3DE03467" w14:textId="77777777" w:rsidR="00286F7D" w:rsidRPr="00286F7D" w:rsidRDefault="00286F7D" w:rsidP="00286F7D">
            <w:pPr>
              <w:pStyle w:val="Texttabulky"/>
              <w:spacing w:after="0"/>
              <w:jc w:val="right"/>
              <w:rPr>
                <w:rFonts w:cs="Arial"/>
              </w:rPr>
            </w:pPr>
            <w:r w:rsidRPr="00286F7D">
              <w:rPr>
                <w:rFonts w:cs="Arial"/>
              </w:rPr>
              <w:t>1 814</w:t>
            </w:r>
          </w:p>
        </w:tc>
        <w:tc>
          <w:tcPr>
            <w:tcW w:w="1011" w:type="dxa"/>
            <w:tcBorders>
              <w:top w:val="single" w:sz="6" w:space="0" w:color="auto"/>
              <w:left w:val="single" w:sz="6" w:space="0" w:color="auto"/>
              <w:bottom w:val="single" w:sz="6" w:space="0" w:color="auto"/>
              <w:right w:val="single" w:sz="6" w:space="0" w:color="auto"/>
            </w:tcBorders>
          </w:tcPr>
          <w:p w14:paraId="5D473B91" w14:textId="77777777" w:rsidR="00286F7D" w:rsidRPr="00286F7D" w:rsidRDefault="00286F7D" w:rsidP="00286F7D">
            <w:pPr>
              <w:pStyle w:val="Texttabulky"/>
              <w:spacing w:after="0"/>
              <w:rPr>
                <w:rFonts w:cs="Arial"/>
              </w:rPr>
            </w:pPr>
            <w:r w:rsidRPr="00286F7D">
              <w:rPr>
                <w:rFonts w:cs="Arial"/>
              </w:rPr>
              <w:t xml:space="preserve">       + 814</w:t>
            </w:r>
          </w:p>
        </w:tc>
      </w:tr>
      <w:tr w:rsidR="00286F7D" w:rsidRPr="00286F7D" w14:paraId="1B786F9D" w14:textId="77777777" w:rsidTr="00286F7D">
        <w:tc>
          <w:tcPr>
            <w:tcW w:w="568" w:type="dxa"/>
            <w:tcBorders>
              <w:top w:val="single" w:sz="6" w:space="0" w:color="auto"/>
              <w:left w:val="single" w:sz="6" w:space="0" w:color="auto"/>
              <w:bottom w:val="single" w:sz="6" w:space="0" w:color="auto"/>
              <w:right w:val="single" w:sz="6" w:space="0" w:color="auto"/>
            </w:tcBorders>
          </w:tcPr>
          <w:p w14:paraId="73E7D0CF" w14:textId="77777777" w:rsidR="00286F7D" w:rsidRPr="00286F7D" w:rsidRDefault="00286F7D" w:rsidP="00286F7D">
            <w:pPr>
              <w:pStyle w:val="Texttabulky"/>
              <w:spacing w:after="0"/>
              <w:jc w:val="right"/>
              <w:rPr>
                <w:rFonts w:cs="Arial"/>
              </w:rPr>
            </w:pPr>
            <w:r w:rsidRPr="00286F7D">
              <w:rPr>
                <w:rFonts w:cs="Arial"/>
              </w:rPr>
              <w:t>20</w:t>
            </w:r>
          </w:p>
        </w:tc>
        <w:tc>
          <w:tcPr>
            <w:tcW w:w="2108" w:type="dxa"/>
            <w:tcBorders>
              <w:top w:val="single" w:sz="6" w:space="0" w:color="auto"/>
              <w:left w:val="single" w:sz="6" w:space="0" w:color="auto"/>
              <w:bottom w:val="single" w:sz="6" w:space="0" w:color="auto"/>
              <w:right w:val="single" w:sz="6" w:space="0" w:color="auto"/>
            </w:tcBorders>
          </w:tcPr>
          <w:p w14:paraId="1F42849F" w14:textId="77777777" w:rsidR="00286F7D" w:rsidRPr="00286F7D" w:rsidRDefault="00286F7D" w:rsidP="00286F7D">
            <w:pPr>
              <w:pStyle w:val="Texttabulky"/>
              <w:spacing w:after="0"/>
              <w:rPr>
                <w:rFonts w:cs="Arial"/>
              </w:rPr>
            </w:pPr>
            <w:r w:rsidRPr="00286F7D">
              <w:rPr>
                <w:rFonts w:cs="Arial"/>
              </w:rPr>
              <w:t>Želenice</w:t>
            </w:r>
          </w:p>
        </w:tc>
        <w:tc>
          <w:tcPr>
            <w:tcW w:w="1094" w:type="dxa"/>
            <w:tcBorders>
              <w:top w:val="single" w:sz="6" w:space="0" w:color="auto"/>
              <w:left w:val="single" w:sz="6" w:space="0" w:color="auto"/>
              <w:bottom w:val="single" w:sz="6" w:space="0" w:color="auto"/>
              <w:right w:val="single" w:sz="6" w:space="0" w:color="auto"/>
            </w:tcBorders>
          </w:tcPr>
          <w:p w14:paraId="55E67F22" w14:textId="77777777" w:rsidR="00286F7D" w:rsidRPr="00286F7D" w:rsidRDefault="00286F7D" w:rsidP="00286F7D">
            <w:pPr>
              <w:pStyle w:val="Texttabulky"/>
              <w:spacing w:after="0"/>
              <w:jc w:val="right"/>
              <w:rPr>
                <w:rFonts w:cs="Arial"/>
              </w:rPr>
            </w:pPr>
            <w:r w:rsidRPr="00286F7D">
              <w:rPr>
                <w:rFonts w:cs="Arial"/>
              </w:rPr>
              <w:t>327</w:t>
            </w:r>
          </w:p>
        </w:tc>
        <w:tc>
          <w:tcPr>
            <w:tcW w:w="1165" w:type="dxa"/>
            <w:tcBorders>
              <w:top w:val="single" w:sz="6" w:space="0" w:color="auto"/>
              <w:left w:val="single" w:sz="6" w:space="0" w:color="auto"/>
              <w:bottom w:val="single" w:sz="6" w:space="0" w:color="auto"/>
              <w:right w:val="single" w:sz="6" w:space="0" w:color="auto"/>
            </w:tcBorders>
          </w:tcPr>
          <w:p w14:paraId="06A81E1C" w14:textId="77777777" w:rsidR="00286F7D" w:rsidRPr="00286F7D" w:rsidRDefault="00286F7D" w:rsidP="00286F7D">
            <w:pPr>
              <w:pStyle w:val="Texttabulky"/>
              <w:spacing w:after="0"/>
              <w:jc w:val="right"/>
              <w:rPr>
                <w:rFonts w:cs="Arial"/>
              </w:rPr>
            </w:pPr>
            <w:r w:rsidRPr="00286F7D">
              <w:rPr>
                <w:rFonts w:cs="Arial"/>
              </w:rPr>
              <w:t>350</w:t>
            </w:r>
          </w:p>
        </w:tc>
        <w:tc>
          <w:tcPr>
            <w:tcW w:w="761" w:type="dxa"/>
            <w:tcBorders>
              <w:top w:val="single" w:sz="6" w:space="0" w:color="auto"/>
              <w:left w:val="single" w:sz="6" w:space="0" w:color="auto"/>
              <w:bottom w:val="single" w:sz="6" w:space="0" w:color="auto"/>
              <w:right w:val="single" w:sz="6" w:space="0" w:color="auto"/>
            </w:tcBorders>
          </w:tcPr>
          <w:p w14:paraId="7A97DB14" w14:textId="77777777" w:rsidR="00286F7D" w:rsidRPr="00286F7D" w:rsidRDefault="00286F7D" w:rsidP="00286F7D">
            <w:pPr>
              <w:pStyle w:val="Texttabulky"/>
              <w:spacing w:after="0"/>
              <w:jc w:val="right"/>
              <w:rPr>
                <w:rFonts w:cs="Arial"/>
              </w:rPr>
            </w:pPr>
            <w:r w:rsidRPr="00286F7D">
              <w:rPr>
                <w:rFonts w:cs="Arial"/>
              </w:rPr>
              <w:t>6</w:t>
            </w:r>
          </w:p>
        </w:tc>
        <w:tc>
          <w:tcPr>
            <w:tcW w:w="1119" w:type="dxa"/>
            <w:tcBorders>
              <w:top w:val="single" w:sz="6" w:space="0" w:color="auto"/>
              <w:left w:val="single" w:sz="6" w:space="0" w:color="auto"/>
              <w:bottom w:val="single" w:sz="6" w:space="0" w:color="auto"/>
              <w:right w:val="single" w:sz="6" w:space="0" w:color="auto"/>
            </w:tcBorders>
          </w:tcPr>
          <w:p w14:paraId="2EBC9656" w14:textId="77777777" w:rsidR="00286F7D" w:rsidRPr="00286F7D" w:rsidRDefault="00286F7D" w:rsidP="00286F7D">
            <w:pPr>
              <w:pStyle w:val="Texttabulky"/>
              <w:spacing w:after="0"/>
              <w:jc w:val="right"/>
              <w:rPr>
                <w:rFonts w:cs="Arial"/>
              </w:rPr>
            </w:pPr>
            <w:r w:rsidRPr="00286F7D">
              <w:rPr>
                <w:rFonts w:cs="Arial"/>
              </w:rPr>
              <w:t>326</w:t>
            </w:r>
          </w:p>
        </w:tc>
        <w:tc>
          <w:tcPr>
            <w:tcW w:w="1011" w:type="dxa"/>
            <w:tcBorders>
              <w:top w:val="single" w:sz="6" w:space="0" w:color="auto"/>
              <w:left w:val="single" w:sz="6" w:space="0" w:color="auto"/>
              <w:bottom w:val="single" w:sz="6" w:space="0" w:color="auto"/>
              <w:right w:val="single" w:sz="6" w:space="0" w:color="auto"/>
            </w:tcBorders>
          </w:tcPr>
          <w:p w14:paraId="13E035B0" w14:textId="77777777" w:rsidR="00286F7D" w:rsidRPr="00286F7D" w:rsidRDefault="00286F7D" w:rsidP="00286F7D">
            <w:pPr>
              <w:pStyle w:val="Texttabulky"/>
              <w:spacing w:after="0"/>
              <w:jc w:val="right"/>
              <w:rPr>
                <w:rFonts w:cs="Arial"/>
              </w:rPr>
            </w:pPr>
            <w:r w:rsidRPr="00286F7D">
              <w:rPr>
                <w:rFonts w:cs="Arial"/>
              </w:rPr>
              <w:t>-24</w:t>
            </w:r>
          </w:p>
        </w:tc>
      </w:tr>
      <w:tr w:rsidR="00286F7D" w:rsidRPr="00286F7D" w14:paraId="768523C6" w14:textId="77777777" w:rsidTr="00286F7D">
        <w:tc>
          <w:tcPr>
            <w:tcW w:w="568" w:type="dxa"/>
            <w:tcBorders>
              <w:top w:val="single" w:sz="6" w:space="0" w:color="auto"/>
              <w:left w:val="single" w:sz="6" w:space="0" w:color="auto"/>
              <w:bottom w:val="single" w:sz="6" w:space="0" w:color="auto"/>
              <w:right w:val="single" w:sz="6" w:space="0" w:color="auto"/>
            </w:tcBorders>
          </w:tcPr>
          <w:p w14:paraId="765EA93B" w14:textId="77777777" w:rsidR="00286F7D" w:rsidRPr="00286F7D" w:rsidRDefault="00286F7D" w:rsidP="00286F7D">
            <w:pPr>
              <w:pStyle w:val="Texttabulky"/>
              <w:spacing w:after="0"/>
              <w:jc w:val="right"/>
              <w:rPr>
                <w:rFonts w:cs="Arial"/>
              </w:rPr>
            </w:pPr>
            <w:r w:rsidRPr="00286F7D">
              <w:rPr>
                <w:rFonts w:cs="Arial"/>
              </w:rPr>
              <w:t>21</w:t>
            </w:r>
          </w:p>
        </w:tc>
        <w:tc>
          <w:tcPr>
            <w:tcW w:w="2108" w:type="dxa"/>
            <w:tcBorders>
              <w:top w:val="single" w:sz="6" w:space="0" w:color="auto"/>
              <w:left w:val="single" w:sz="6" w:space="0" w:color="auto"/>
              <w:bottom w:val="single" w:sz="6" w:space="0" w:color="auto"/>
              <w:right w:val="single" w:sz="6" w:space="0" w:color="auto"/>
            </w:tcBorders>
          </w:tcPr>
          <w:p w14:paraId="288F3C6A" w14:textId="77777777" w:rsidR="00286F7D" w:rsidRPr="00286F7D" w:rsidRDefault="00286F7D" w:rsidP="00286F7D">
            <w:pPr>
              <w:pStyle w:val="Texttabulky"/>
              <w:spacing w:after="0"/>
              <w:rPr>
                <w:rFonts w:cs="Arial"/>
              </w:rPr>
            </w:pPr>
            <w:r w:rsidRPr="00286F7D">
              <w:rPr>
                <w:rFonts w:cs="Arial"/>
              </w:rPr>
              <w:t>Popovice</w:t>
            </w:r>
          </w:p>
        </w:tc>
        <w:tc>
          <w:tcPr>
            <w:tcW w:w="1094" w:type="dxa"/>
            <w:tcBorders>
              <w:top w:val="single" w:sz="6" w:space="0" w:color="auto"/>
              <w:left w:val="single" w:sz="6" w:space="0" w:color="auto"/>
              <w:bottom w:val="single" w:sz="6" w:space="0" w:color="auto"/>
              <w:right w:val="single" w:sz="6" w:space="0" w:color="auto"/>
            </w:tcBorders>
          </w:tcPr>
          <w:p w14:paraId="1A0D6B47"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0FD94230"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1CCCD22E"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78A7DEA9"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5B160330"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5C413A6C" w14:textId="77777777" w:rsidTr="00286F7D">
        <w:tc>
          <w:tcPr>
            <w:tcW w:w="568" w:type="dxa"/>
            <w:tcBorders>
              <w:top w:val="single" w:sz="6" w:space="0" w:color="auto"/>
              <w:left w:val="single" w:sz="6" w:space="0" w:color="auto"/>
              <w:bottom w:val="single" w:sz="6" w:space="0" w:color="auto"/>
              <w:right w:val="single" w:sz="6" w:space="0" w:color="auto"/>
            </w:tcBorders>
          </w:tcPr>
          <w:p w14:paraId="6CBA4CE0" w14:textId="77777777" w:rsidR="00286F7D" w:rsidRPr="00286F7D" w:rsidRDefault="00286F7D" w:rsidP="00286F7D">
            <w:pPr>
              <w:pStyle w:val="Texttabulky"/>
              <w:spacing w:after="0"/>
              <w:jc w:val="right"/>
              <w:rPr>
                <w:rFonts w:cs="Arial"/>
              </w:rPr>
            </w:pPr>
            <w:r w:rsidRPr="00286F7D">
              <w:rPr>
                <w:rFonts w:cs="Arial"/>
              </w:rPr>
              <w:t>22</w:t>
            </w:r>
          </w:p>
        </w:tc>
        <w:tc>
          <w:tcPr>
            <w:tcW w:w="2108" w:type="dxa"/>
            <w:tcBorders>
              <w:top w:val="single" w:sz="6" w:space="0" w:color="auto"/>
              <w:left w:val="single" w:sz="6" w:space="0" w:color="auto"/>
              <w:bottom w:val="single" w:sz="6" w:space="0" w:color="auto"/>
              <w:right w:val="single" w:sz="6" w:space="0" w:color="auto"/>
            </w:tcBorders>
          </w:tcPr>
          <w:p w14:paraId="42242795" w14:textId="77777777" w:rsidR="00286F7D" w:rsidRPr="00286F7D" w:rsidRDefault="00286F7D" w:rsidP="00286F7D">
            <w:pPr>
              <w:pStyle w:val="Texttabulky"/>
              <w:spacing w:after="0"/>
              <w:rPr>
                <w:rFonts w:cs="Arial"/>
              </w:rPr>
            </w:pPr>
            <w:r w:rsidRPr="00286F7D">
              <w:rPr>
                <w:rFonts w:cs="Arial"/>
              </w:rPr>
              <w:t>Letná</w:t>
            </w:r>
          </w:p>
        </w:tc>
        <w:tc>
          <w:tcPr>
            <w:tcW w:w="1094" w:type="dxa"/>
            <w:tcBorders>
              <w:top w:val="single" w:sz="6" w:space="0" w:color="auto"/>
              <w:left w:val="single" w:sz="6" w:space="0" w:color="auto"/>
              <w:bottom w:val="single" w:sz="6" w:space="0" w:color="auto"/>
              <w:right w:val="single" w:sz="6" w:space="0" w:color="auto"/>
            </w:tcBorders>
          </w:tcPr>
          <w:p w14:paraId="000F62DD" w14:textId="77777777" w:rsidR="00286F7D" w:rsidRPr="00286F7D" w:rsidRDefault="00286F7D" w:rsidP="00286F7D">
            <w:pPr>
              <w:pStyle w:val="Texttabulky"/>
              <w:spacing w:after="0"/>
              <w:jc w:val="right"/>
              <w:rPr>
                <w:rFonts w:cs="Arial"/>
              </w:rPr>
            </w:pPr>
            <w:r w:rsidRPr="00286F7D">
              <w:rPr>
                <w:rFonts w:cs="Arial"/>
              </w:rPr>
              <w:t>254</w:t>
            </w:r>
          </w:p>
        </w:tc>
        <w:tc>
          <w:tcPr>
            <w:tcW w:w="1165" w:type="dxa"/>
            <w:tcBorders>
              <w:top w:val="single" w:sz="6" w:space="0" w:color="auto"/>
              <w:left w:val="single" w:sz="6" w:space="0" w:color="auto"/>
              <w:bottom w:val="single" w:sz="6" w:space="0" w:color="auto"/>
              <w:right w:val="single" w:sz="6" w:space="0" w:color="auto"/>
            </w:tcBorders>
          </w:tcPr>
          <w:p w14:paraId="695062B1" w14:textId="77777777" w:rsidR="00286F7D" w:rsidRPr="00286F7D" w:rsidRDefault="00286F7D" w:rsidP="00286F7D">
            <w:pPr>
              <w:pStyle w:val="Texttabulky"/>
              <w:spacing w:after="0"/>
              <w:jc w:val="right"/>
              <w:rPr>
                <w:rFonts w:cs="Arial"/>
              </w:rPr>
            </w:pPr>
            <w:r w:rsidRPr="00286F7D">
              <w:rPr>
                <w:rFonts w:cs="Arial"/>
              </w:rPr>
              <w:t>240</w:t>
            </w:r>
          </w:p>
        </w:tc>
        <w:tc>
          <w:tcPr>
            <w:tcW w:w="761" w:type="dxa"/>
            <w:tcBorders>
              <w:top w:val="single" w:sz="6" w:space="0" w:color="auto"/>
              <w:left w:val="single" w:sz="6" w:space="0" w:color="auto"/>
              <w:bottom w:val="single" w:sz="6" w:space="0" w:color="auto"/>
              <w:right w:val="single" w:sz="6" w:space="0" w:color="auto"/>
            </w:tcBorders>
          </w:tcPr>
          <w:p w14:paraId="4BE71929" w14:textId="77777777" w:rsidR="00286F7D" w:rsidRPr="00286F7D" w:rsidRDefault="00286F7D" w:rsidP="00286F7D">
            <w:pPr>
              <w:pStyle w:val="Texttabulky"/>
              <w:spacing w:after="0"/>
              <w:jc w:val="right"/>
              <w:rPr>
                <w:rFonts w:cs="Arial"/>
              </w:rPr>
            </w:pPr>
            <w:r w:rsidRPr="00286F7D">
              <w:rPr>
                <w:rFonts w:cs="Arial"/>
              </w:rPr>
              <w:t>6</w:t>
            </w:r>
          </w:p>
        </w:tc>
        <w:tc>
          <w:tcPr>
            <w:tcW w:w="1119" w:type="dxa"/>
            <w:tcBorders>
              <w:top w:val="single" w:sz="6" w:space="0" w:color="auto"/>
              <w:left w:val="single" w:sz="6" w:space="0" w:color="auto"/>
              <w:bottom w:val="single" w:sz="6" w:space="0" w:color="auto"/>
              <w:right w:val="single" w:sz="6" w:space="0" w:color="auto"/>
            </w:tcBorders>
          </w:tcPr>
          <w:p w14:paraId="7BBD20D8" w14:textId="77777777" w:rsidR="00286F7D" w:rsidRPr="00286F7D" w:rsidRDefault="00286F7D" w:rsidP="00286F7D">
            <w:pPr>
              <w:pStyle w:val="Texttabulky"/>
              <w:spacing w:after="0"/>
              <w:jc w:val="right"/>
              <w:rPr>
                <w:rFonts w:cs="Arial"/>
              </w:rPr>
            </w:pPr>
            <w:r w:rsidRPr="00286F7D">
              <w:rPr>
                <w:rFonts w:cs="Arial"/>
              </w:rPr>
              <w:t>397</w:t>
            </w:r>
          </w:p>
        </w:tc>
        <w:tc>
          <w:tcPr>
            <w:tcW w:w="1011" w:type="dxa"/>
            <w:tcBorders>
              <w:top w:val="single" w:sz="6" w:space="0" w:color="auto"/>
              <w:left w:val="single" w:sz="6" w:space="0" w:color="auto"/>
              <w:bottom w:val="single" w:sz="6" w:space="0" w:color="auto"/>
              <w:right w:val="single" w:sz="6" w:space="0" w:color="auto"/>
            </w:tcBorders>
          </w:tcPr>
          <w:p w14:paraId="21A1EE57" w14:textId="77777777" w:rsidR="00286F7D" w:rsidRPr="00286F7D" w:rsidRDefault="00286F7D" w:rsidP="00286F7D">
            <w:pPr>
              <w:pStyle w:val="Texttabulky"/>
              <w:spacing w:after="0"/>
              <w:rPr>
                <w:rFonts w:cs="Arial"/>
              </w:rPr>
            </w:pPr>
            <w:r w:rsidRPr="00286F7D">
              <w:rPr>
                <w:rFonts w:cs="Arial"/>
              </w:rPr>
              <w:t xml:space="preserve">       + 157</w:t>
            </w:r>
          </w:p>
        </w:tc>
      </w:tr>
      <w:tr w:rsidR="00286F7D" w:rsidRPr="00286F7D" w14:paraId="1A4EE506" w14:textId="77777777" w:rsidTr="00286F7D">
        <w:tc>
          <w:tcPr>
            <w:tcW w:w="568" w:type="dxa"/>
            <w:tcBorders>
              <w:top w:val="single" w:sz="6" w:space="0" w:color="auto"/>
              <w:left w:val="single" w:sz="6" w:space="0" w:color="auto"/>
              <w:bottom w:val="single" w:sz="6" w:space="0" w:color="auto"/>
              <w:right w:val="single" w:sz="6" w:space="0" w:color="auto"/>
            </w:tcBorders>
          </w:tcPr>
          <w:p w14:paraId="4D6B31A0" w14:textId="77777777" w:rsidR="00286F7D" w:rsidRPr="00286F7D" w:rsidRDefault="00286F7D" w:rsidP="00286F7D">
            <w:pPr>
              <w:pStyle w:val="Texttabulky"/>
              <w:spacing w:after="0"/>
              <w:rPr>
                <w:rFonts w:cs="Arial"/>
              </w:rPr>
            </w:pPr>
            <w:r w:rsidRPr="00286F7D">
              <w:rPr>
                <w:rFonts w:cs="Arial"/>
                <w:b/>
                <w:bCs/>
              </w:rPr>
              <w:t xml:space="preserve">   II</w:t>
            </w:r>
          </w:p>
        </w:tc>
        <w:tc>
          <w:tcPr>
            <w:tcW w:w="2108" w:type="dxa"/>
            <w:tcBorders>
              <w:top w:val="single" w:sz="6" w:space="0" w:color="auto"/>
              <w:left w:val="single" w:sz="6" w:space="0" w:color="auto"/>
              <w:bottom w:val="single" w:sz="6" w:space="0" w:color="auto"/>
              <w:right w:val="single" w:sz="6" w:space="0" w:color="auto"/>
            </w:tcBorders>
          </w:tcPr>
          <w:p w14:paraId="245BB2A6" w14:textId="77777777" w:rsidR="00286F7D" w:rsidRPr="00286F7D" w:rsidRDefault="00286F7D" w:rsidP="00286F7D">
            <w:pPr>
              <w:pStyle w:val="Texttabulky"/>
              <w:spacing w:after="0"/>
              <w:rPr>
                <w:rFonts w:cs="Arial"/>
              </w:rPr>
            </w:pPr>
            <w:r w:rsidRPr="00286F7D">
              <w:rPr>
                <w:rFonts w:cs="Arial"/>
                <w:b/>
                <w:bCs/>
                <w:caps/>
              </w:rPr>
              <w:t>sektor celkem</w:t>
            </w:r>
          </w:p>
        </w:tc>
        <w:tc>
          <w:tcPr>
            <w:tcW w:w="1094" w:type="dxa"/>
            <w:tcBorders>
              <w:top w:val="single" w:sz="6" w:space="0" w:color="auto"/>
              <w:left w:val="single" w:sz="6" w:space="0" w:color="auto"/>
              <w:bottom w:val="single" w:sz="6" w:space="0" w:color="auto"/>
              <w:right w:val="single" w:sz="6" w:space="0" w:color="auto"/>
            </w:tcBorders>
          </w:tcPr>
          <w:p w14:paraId="6CE156E1" w14:textId="77777777" w:rsidR="00286F7D" w:rsidRPr="00286F7D" w:rsidRDefault="00286F7D" w:rsidP="00286F7D">
            <w:pPr>
              <w:pStyle w:val="Texttabulky"/>
              <w:spacing w:after="0"/>
              <w:jc w:val="right"/>
              <w:rPr>
                <w:rFonts w:cs="Arial"/>
              </w:rPr>
            </w:pPr>
            <w:r w:rsidRPr="00286F7D">
              <w:rPr>
                <w:rFonts w:cs="Arial"/>
                <w:b/>
                <w:bCs/>
              </w:rPr>
              <w:t>5 130</w:t>
            </w:r>
          </w:p>
        </w:tc>
        <w:tc>
          <w:tcPr>
            <w:tcW w:w="1165" w:type="dxa"/>
            <w:tcBorders>
              <w:top w:val="single" w:sz="6" w:space="0" w:color="auto"/>
              <w:left w:val="single" w:sz="6" w:space="0" w:color="auto"/>
              <w:bottom w:val="single" w:sz="6" w:space="0" w:color="auto"/>
              <w:right w:val="single" w:sz="6" w:space="0" w:color="auto"/>
            </w:tcBorders>
          </w:tcPr>
          <w:p w14:paraId="1BCEE802" w14:textId="77777777" w:rsidR="00286F7D" w:rsidRPr="00286F7D" w:rsidRDefault="00286F7D" w:rsidP="00286F7D">
            <w:pPr>
              <w:pStyle w:val="Texttabulky"/>
              <w:spacing w:after="0"/>
              <w:jc w:val="right"/>
              <w:rPr>
                <w:rFonts w:cs="Arial"/>
              </w:rPr>
            </w:pPr>
            <w:r w:rsidRPr="00286F7D">
              <w:rPr>
                <w:rFonts w:cs="Arial"/>
                <w:b/>
                <w:bCs/>
              </w:rPr>
              <w:t>5 065</w:t>
            </w:r>
          </w:p>
        </w:tc>
        <w:tc>
          <w:tcPr>
            <w:tcW w:w="761" w:type="dxa"/>
            <w:tcBorders>
              <w:top w:val="single" w:sz="6" w:space="0" w:color="auto"/>
              <w:left w:val="single" w:sz="6" w:space="0" w:color="auto"/>
              <w:bottom w:val="single" w:sz="6" w:space="0" w:color="auto"/>
              <w:right w:val="single" w:sz="6" w:space="0" w:color="auto"/>
            </w:tcBorders>
          </w:tcPr>
          <w:p w14:paraId="6BA7485A" w14:textId="77777777" w:rsidR="00286F7D" w:rsidRPr="00286F7D" w:rsidRDefault="00286F7D" w:rsidP="00286F7D">
            <w:pPr>
              <w:pStyle w:val="Texttabulky"/>
              <w:spacing w:after="0"/>
              <w:jc w:val="right"/>
              <w:rPr>
                <w:rFonts w:cs="Arial"/>
              </w:rPr>
            </w:pPr>
            <w:r w:rsidRPr="00286F7D">
              <w:rPr>
                <w:rFonts w:cs="Arial"/>
                <w:b/>
                <w:bCs/>
              </w:rPr>
              <w:t>56</w:t>
            </w:r>
          </w:p>
        </w:tc>
        <w:tc>
          <w:tcPr>
            <w:tcW w:w="1119" w:type="dxa"/>
            <w:tcBorders>
              <w:top w:val="single" w:sz="6" w:space="0" w:color="auto"/>
              <w:left w:val="single" w:sz="6" w:space="0" w:color="auto"/>
              <w:bottom w:val="single" w:sz="6" w:space="0" w:color="auto"/>
              <w:right w:val="single" w:sz="6" w:space="0" w:color="auto"/>
            </w:tcBorders>
          </w:tcPr>
          <w:p w14:paraId="0B8F844F" w14:textId="77777777" w:rsidR="00286F7D" w:rsidRPr="00286F7D" w:rsidRDefault="00286F7D" w:rsidP="00286F7D">
            <w:pPr>
              <w:pStyle w:val="Texttabulky"/>
              <w:spacing w:after="0"/>
              <w:jc w:val="right"/>
              <w:rPr>
                <w:rFonts w:cs="Arial"/>
              </w:rPr>
            </w:pPr>
            <w:r w:rsidRPr="00286F7D">
              <w:rPr>
                <w:rFonts w:cs="Arial"/>
                <w:b/>
                <w:bCs/>
              </w:rPr>
              <w:t>6 771</w:t>
            </w:r>
          </w:p>
        </w:tc>
        <w:tc>
          <w:tcPr>
            <w:tcW w:w="1011" w:type="dxa"/>
            <w:tcBorders>
              <w:top w:val="single" w:sz="6" w:space="0" w:color="auto"/>
              <w:left w:val="single" w:sz="6" w:space="0" w:color="auto"/>
              <w:bottom w:val="single" w:sz="6" w:space="0" w:color="auto"/>
              <w:right w:val="single" w:sz="6" w:space="0" w:color="auto"/>
            </w:tcBorders>
          </w:tcPr>
          <w:p w14:paraId="1BD3757C" w14:textId="77777777" w:rsidR="00286F7D" w:rsidRPr="00286F7D" w:rsidRDefault="00286F7D" w:rsidP="00286F7D">
            <w:pPr>
              <w:pStyle w:val="Texttabulky"/>
              <w:spacing w:after="0"/>
              <w:rPr>
                <w:rFonts w:cs="Arial"/>
              </w:rPr>
            </w:pPr>
            <w:r w:rsidRPr="00286F7D">
              <w:rPr>
                <w:rFonts w:cs="Arial"/>
                <w:b/>
                <w:bCs/>
              </w:rPr>
              <w:t xml:space="preserve">     + 1706</w:t>
            </w:r>
          </w:p>
        </w:tc>
      </w:tr>
      <w:tr w:rsidR="00286F7D" w:rsidRPr="00286F7D" w14:paraId="68D4FDEF" w14:textId="77777777" w:rsidTr="00286F7D">
        <w:tc>
          <w:tcPr>
            <w:tcW w:w="568" w:type="dxa"/>
            <w:tcBorders>
              <w:top w:val="single" w:sz="6" w:space="0" w:color="auto"/>
              <w:left w:val="single" w:sz="6" w:space="0" w:color="auto"/>
              <w:bottom w:val="single" w:sz="6" w:space="0" w:color="auto"/>
              <w:right w:val="single" w:sz="6" w:space="0" w:color="auto"/>
            </w:tcBorders>
          </w:tcPr>
          <w:p w14:paraId="5FB4DBE3" w14:textId="77777777" w:rsidR="00286F7D" w:rsidRPr="00286F7D" w:rsidRDefault="00286F7D" w:rsidP="00286F7D">
            <w:pPr>
              <w:pStyle w:val="Texttabulky"/>
              <w:spacing w:after="0"/>
              <w:jc w:val="right"/>
              <w:rPr>
                <w:rFonts w:cs="Arial"/>
              </w:rPr>
            </w:pPr>
            <w:r w:rsidRPr="00286F7D">
              <w:rPr>
                <w:rFonts w:cs="Arial"/>
              </w:rPr>
              <w:t>16</w:t>
            </w:r>
          </w:p>
        </w:tc>
        <w:tc>
          <w:tcPr>
            <w:tcW w:w="2108" w:type="dxa"/>
            <w:tcBorders>
              <w:top w:val="single" w:sz="6" w:space="0" w:color="auto"/>
              <w:left w:val="single" w:sz="6" w:space="0" w:color="auto"/>
              <w:bottom w:val="single" w:sz="6" w:space="0" w:color="auto"/>
              <w:right w:val="single" w:sz="6" w:space="0" w:color="auto"/>
            </w:tcBorders>
          </w:tcPr>
          <w:p w14:paraId="386482F5" w14:textId="77777777" w:rsidR="00286F7D" w:rsidRPr="00286F7D" w:rsidRDefault="00286F7D" w:rsidP="00286F7D">
            <w:pPr>
              <w:pStyle w:val="Texttabulky"/>
              <w:spacing w:after="0"/>
              <w:rPr>
                <w:rFonts w:cs="Arial"/>
              </w:rPr>
            </w:pPr>
            <w:r w:rsidRPr="00286F7D">
              <w:rPr>
                <w:rFonts w:cs="Arial"/>
              </w:rPr>
              <w:t>Vilsnice</w:t>
            </w:r>
          </w:p>
        </w:tc>
        <w:tc>
          <w:tcPr>
            <w:tcW w:w="1094" w:type="dxa"/>
            <w:tcBorders>
              <w:top w:val="single" w:sz="6" w:space="0" w:color="auto"/>
              <w:left w:val="single" w:sz="6" w:space="0" w:color="auto"/>
              <w:bottom w:val="single" w:sz="6" w:space="0" w:color="auto"/>
              <w:right w:val="single" w:sz="6" w:space="0" w:color="auto"/>
            </w:tcBorders>
          </w:tcPr>
          <w:p w14:paraId="0300D5A3" w14:textId="77777777" w:rsidR="00286F7D" w:rsidRPr="00286F7D" w:rsidRDefault="00286F7D" w:rsidP="00286F7D">
            <w:pPr>
              <w:pStyle w:val="Texttabulky"/>
              <w:spacing w:after="0"/>
              <w:jc w:val="right"/>
              <w:rPr>
                <w:rFonts w:cs="Arial"/>
              </w:rPr>
            </w:pPr>
            <w:r w:rsidRPr="00286F7D">
              <w:rPr>
                <w:rFonts w:cs="Arial"/>
              </w:rPr>
              <w:t>263</w:t>
            </w:r>
          </w:p>
        </w:tc>
        <w:tc>
          <w:tcPr>
            <w:tcW w:w="1165" w:type="dxa"/>
            <w:tcBorders>
              <w:top w:val="single" w:sz="6" w:space="0" w:color="auto"/>
              <w:left w:val="single" w:sz="6" w:space="0" w:color="auto"/>
              <w:bottom w:val="single" w:sz="6" w:space="0" w:color="auto"/>
              <w:right w:val="single" w:sz="6" w:space="0" w:color="auto"/>
            </w:tcBorders>
          </w:tcPr>
          <w:p w14:paraId="52107F84" w14:textId="77777777" w:rsidR="00286F7D" w:rsidRPr="00286F7D" w:rsidRDefault="00286F7D" w:rsidP="00286F7D">
            <w:pPr>
              <w:pStyle w:val="Texttabulky"/>
              <w:spacing w:after="0"/>
              <w:jc w:val="right"/>
              <w:rPr>
                <w:rFonts w:cs="Arial"/>
              </w:rPr>
            </w:pPr>
            <w:r w:rsidRPr="00286F7D">
              <w:rPr>
                <w:rFonts w:cs="Arial"/>
              </w:rPr>
              <w:t>265</w:t>
            </w:r>
          </w:p>
        </w:tc>
        <w:tc>
          <w:tcPr>
            <w:tcW w:w="761" w:type="dxa"/>
            <w:tcBorders>
              <w:top w:val="single" w:sz="6" w:space="0" w:color="auto"/>
              <w:left w:val="single" w:sz="6" w:space="0" w:color="auto"/>
              <w:bottom w:val="single" w:sz="6" w:space="0" w:color="auto"/>
              <w:right w:val="single" w:sz="6" w:space="0" w:color="auto"/>
            </w:tcBorders>
          </w:tcPr>
          <w:p w14:paraId="5DF8D8B9"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2E9F2606"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2A826E7A" w14:textId="77777777" w:rsidR="00286F7D" w:rsidRPr="00286F7D" w:rsidRDefault="00286F7D" w:rsidP="00286F7D">
            <w:pPr>
              <w:pStyle w:val="Texttabulky"/>
              <w:spacing w:after="0"/>
              <w:jc w:val="right"/>
              <w:rPr>
                <w:rFonts w:cs="Arial"/>
              </w:rPr>
            </w:pPr>
            <w:r w:rsidRPr="00286F7D">
              <w:rPr>
                <w:rFonts w:cs="Arial"/>
              </w:rPr>
              <w:t>-265</w:t>
            </w:r>
          </w:p>
        </w:tc>
      </w:tr>
      <w:tr w:rsidR="00286F7D" w:rsidRPr="00286F7D" w14:paraId="36B0611F" w14:textId="77777777" w:rsidTr="00286F7D">
        <w:tc>
          <w:tcPr>
            <w:tcW w:w="568" w:type="dxa"/>
            <w:tcBorders>
              <w:top w:val="single" w:sz="6" w:space="0" w:color="auto"/>
              <w:left w:val="single" w:sz="6" w:space="0" w:color="auto"/>
              <w:bottom w:val="single" w:sz="6" w:space="0" w:color="auto"/>
              <w:right w:val="single" w:sz="6" w:space="0" w:color="auto"/>
            </w:tcBorders>
          </w:tcPr>
          <w:p w14:paraId="4E1E9BD4" w14:textId="77777777" w:rsidR="00286F7D" w:rsidRPr="00286F7D" w:rsidRDefault="00286F7D" w:rsidP="00286F7D">
            <w:pPr>
              <w:pStyle w:val="Texttabulky"/>
              <w:spacing w:after="0"/>
              <w:jc w:val="right"/>
              <w:rPr>
                <w:rFonts w:cs="Arial"/>
              </w:rPr>
            </w:pPr>
            <w:r w:rsidRPr="00286F7D">
              <w:rPr>
                <w:rFonts w:cs="Arial"/>
              </w:rPr>
              <w:t>17</w:t>
            </w:r>
          </w:p>
        </w:tc>
        <w:tc>
          <w:tcPr>
            <w:tcW w:w="2108" w:type="dxa"/>
            <w:tcBorders>
              <w:top w:val="single" w:sz="6" w:space="0" w:color="auto"/>
              <w:left w:val="single" w:sz="6" w:space="0" w:color="auto"/>
              <w:bottom w:val="single" w:sz="6" w:space="0" w:color="auto"/>
              <w:right w:val="single" w:sz="6" w:space="0" w:color="auto"/>
            </w:tcBorders>
          </w:tcPr>
          <w:p w14:paraId="074D0456" w14:textId="77777777" w:rsidR="00286F7D" w:rsidRPr="00286F7D" w:rsidRDefault="00286F7D" w:rsidP="00286F7D">
            <w:pPr>
              <w:pStyle w:val="Texttabulky"/>
              <w:spacing w:after="0"/>
              <w:rPr>
                <w:rFonts w:cs="Arial"/>
              </w:rPr>
            </w:pPr>
            <w:r w:rsidRPr="00286F7D">
              <w:rPr>
                <w:rFonts w:cs="Arial"/>
              </w:rPr>
              <w:t>Chrochvice</w:t>
            </w:r>
          </w:p>
        </w:tc>
        <w:tc>
          <w:tcPr>
            <w:tcW w:w="1094" w:type="dxa"/>
            <w:tcBorders>
              <w:top w:val="single" w:sz="6" w:space="0" w:color="auto"/>
              <w:left w:val="single" w:sz="6" w:space="0" w:color="auto"/>
              <w:bottom w:val="single" w:sz="6" w:space="0" w:color="auto"/>
              <w:right w:val="single" w:sz="6" w:space="0" w:color="auto"/>
            </w:tcBorders>
          </w:tcPr>
          <w:p w14:paraId="30AC156F" w14:textId="77777777" w:rsidR="00286F7D" w:rsidRPr="00286F7D" w:rsidRDefault="00286F7D" w:rsidP="00286F7D">
            <w:pPr>
              <w:pStyle w:val="Texttabulky"/>
              <w:spacing w:after="0"/>
              <w:jc w:val="right"/>
              <w:rPr>
                <w:rFonts w:cs="Arial"/>
              </w:rPr>
            </w:pPr>
            <w:r w:rsidRPr="00286F7D">
              <w:rPr>
                <w:rFonts w:cs="Arial"/>
              </w:rPr>
              <w:t>100</w:t>
            </w:r>
          </w:p>
        </w:tc>
        <w:tc>
          <w:tcPr>
            <w:tcW w:w="1165" w:type="dxa"/>
            <w:tcBorders>
              <w:top w:val="single" w:sz="6" w:space="0" w:color="auto"/>
              <w:left w:val="single" w:sz="6" w:space="0" w:color="auto"/>
              <w:bottom w:val="single" w:sz="6" w:space="0" w:color="auto"/>
              <w:right w:val="single" w:sz="6" w:space="0" w:color="auto"/>
            </w:tcBorders>
          </w:tcPr>
          <w:p w14:paraId="54BF1405" w14:textId="77777777" w:rsidR="00286F7D" w:rsidRPr="00286F7D" w:rsidRDefault="00286F7D" w:rsidP="00286F7D">
            <w:pPr>
              <w:pStyle w:val="Texttabulky"/>
              <w:spacing w:after="0"/>
              <w:jc w:val="right"/>
              <w:rPr>
                <w:rFonts w:cs="Arial"/>
              </w:rPr>
            </w:pPr>
            <w:r w:rsidRPr="00286F7D">
              <w:rPr>
                <w:rFonts w:cs="Arial"/>
              </w:rPr>
              <w:t>100</w:t>
            </w:r>
          </w:p>
        </w:tc>
        <w:tc>
          <w:tcPr>
            <w:tcW w:w="761" w:type="dxa"/>
            <w:tcBorders>
              <w:top w:val="single" w:sz="6" w:space="0" w:color="auto"/>
              <w:left w:val="single" w:sz="6" w:space="0" w:color="auto"/>
              <w:bottom w:val="single" w:sz="6" w:space="0" w:color="auto"/>
              <w:right w:val="single" w:sz="6" w:space="0" w:color="auto"/>
            </w:tcBorders>
          </w:tcPr>
          <w:p w14:paraId="416FF5B5" w14:textId="77777777" w:rsidR="00286F7D" w:rsidRPr="00286F7D" w:rsidRDefault="00286F7D" w:rsidP="00286F7D">
            <w:pPr>
              <w:pStyle w:val="Texttabulky"/>
              <w:spacing w:after="0"/>
              <w:jc w:val="right"/>
              <w:rPr>
                <w:rFonts w:cs="Arial"/>
              </w:rPr>
            </w:pPr>
            <w:r w:rsidRPr="00286F7D">
              <w:rPr>
                <w:rFonts w:cs="Arial"/>
              </w:rPr>
              <w:t>3</w:t>
            </w:r>
          </w:p>
        </w:tc>
        <w:tc>
          <w:tcPr>
            <w:tcW w:w="1119" w:type="dxa"/>
            <w:tcBorders>
              <w:top w:val="single" w:sz="6" w:space="0" w:color="auto"/>
              <w:left w:val="single" w:sz="6" w:space="0" w:color="auto"/>
              <w:bottom w:val="single" w:sz="6" w:space="0" w:color="auto"/>
              <w:right w:val="single" w:sz="6" w:space="0" w:color="auto"/>
            </w:tcBorders>
          </w:tcPr>
          <w:p w14:paraId="7F31FE30" w14:textId="77777777" w:rsidR="00286F7D" w:rsidRPr="00286F7D" w:rsidRDefault="00286F7D" w:rsidP="00286F7D">
            <w:pPr>
              <w:pStyle w:val="Texttabulky"/>
              <w:spacing w:after="0"/>
              <w:jc w:val="right"/>
              <w:rPr>
                <w:rFonts w:cs="Arial"/>
              </w:rPr>
            </w:pPr>
            <w:r w:rsidRPr="00286F7D">
              <w:rPr>
                <w:rFonts w:cs="Arial"/>
              </w:rPr>
              <w:t>143</w:t>
            </w:r>
          </w:p>
        </w:tc>
        <w:tc>
          <w:tcPr>
            <w:tcW w:w="1011" w:type="dxa"/>
            <w:tcBorders>
              <w:top w:val="single" w:sz="6" w:space="0" w:color="auto"/>
              <w:left w:val="single" w:sz="6" w:space="0" w:color="auto"/>
              <w:bottom w:val="single" w:sz="6" w:space="0" w:color="auto"/>
              <w:right w:val="single" w:sz="6" w:space="0" w:color="auto"/>
            </w:tcBorders>
          </w:tcPr>
          <w:p w14:paraId="3BF164AF" w14:textId="77777777" w:rsidR="00286F7D" w:rsidRPr="00286F7D" w:rsidRDefault="00286F7D" w:rsidP="00286F7D">
            <w:pPr>
              <w:pStyle w:val="Texttabulky"/>
              <w:spacing w:after="0"/>
              <w:rPr>
                <w:rFonts w:cs="Arial"/>
              </w:rPr>
            </w:pPr>
            <w:r w:rsidRPr="00286F7D">
              <w:rPr>
                <w:rFonts w:cs="Arial"/>
              </w:rPr>
              <w:t xml:space="preserve">         + 43</w:t>
            </w:r>
          </w:p>
        </w:tc>
      </w:tr>
      <w:tr w:rsidR="00286F7D" w:rsidRPr="00286F7D" w14:paraId="759EB6F0" w14:textId="77777777" w:rsidTr="00286F7D">
        <w:tc>
          <w:tcPr>
            <w:tcW w:w="568" w:type="dxa"/>
            <w:tcBorders>
              <w:top w:val="single" w:sz="6" w:space="0" w:color="auto"/>
              <w:left w:val="single" w:sz="6" w:space="0" w:color="auto"/>
              <w:bottom w:val="single" w:sz="6" w:space="0" w:color="auto"/>
              <w:right w:val="single" w:sz="6" w:space="0" w:color="auto"/>
            </w:tcBorders>
          </w:tcPr>
          <w:p w14:paraId="278AAA0B" w14:textId="77777777" w:rsidR="00286F7D" w:rsidRPr="00286F7D" w:rsidRDefault="00286F7D" w:rsidP="00286F7D">
            <w:pPr>
              <w:pStyle w:val="Texttabulky"/>
              <w:spacing w:after="0"/>
              <w:jc w:val="right"/>
              <w:rPr>
                <w:rFonts w:cs="Arial"/>
              </w:rPr>
            </w:pPr>
            <w:r w:rsidRPr="00286F7D">
              <w:rPr>
                <w:rFonts w:cs="Arial"/>
              </w:rPr>
              <w:t>41</w:t>
            </w:r>
          </w:p>
        </w:tc>
        <w:tc>
          <w:tcPr>
            <w:tcW w:w="2108" w:type="dxa"/>
            <w:tcBorders>
              <w:top w:val="single" w:sz="6" w:space="0" w:color="auto"/>
              <w:left w:val="single" w:sz="6" w:space="0" w:color="auto"/>
              <w:bottom w:val="single" w:sz="6" w:space="0" w:color="auto"/>
              <w:right w:val="single" w:sz="6" w:space="0" w:color="auto"/>
            </w:tcBorders>
          </w:tcPr>
          <w:p w14:paraId="0DAA424A" w14:textId="77777777" w:rsidR="00286F7D" w:rsidRPr="00286F7D" w:rsidRDefault="00286F7D" w:rsidP="00286F7D">
            <w:pPr>
              <w:pStyle w:val="Texttabulky"/>
              <w:spacing w:after="0"/>
              <w:rPr>
                <w:rFonts w:cs="Arial"/>
              </w:rPr>
            </w:pPr>
            <w:r w:rsidRPr="00286F7D">
              <w:rPr>
                <w:rFonts w:cs="Arial"/>
              </w:rPr>
              <w:t>Chmelník</w:t>
            </w:r>
          </w:p>
        </w:tc>
        <w:tc>
          <w:tcPr>
            <w:tcW w:w="1094" w:type="dxa"/>
            <w:tcBorders>
              <w:top w:val="single" w:sz="6" w:space="0" w:color="auto"/>
              <w:left w:val="single" w:sz="6" w:space="0" w:color="auto"/>
              <w:bottom w:val="single" w:sz="6" w:space="0" w:color="auto"/>
              <w:right w:val="single" w:sz="6" w:space="0" w:color="auto"/>
            </w:tcBorders>
          </w:tcPr>
          <w:p w14:paraId="57BDBFA3"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256DB73E"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7D1B95FE"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265634A0"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542DA1A2"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0AC18AC4" w14:textId="77777777" w:rsidTr="00286F7D">
        <w:tc>
          <w:tcPr>
            <w:tcW w:w="568" w:type="dxa"/>
            <w:tcBorders>
              <w:top w:val="single" w:sz="6" w:space="0" w:color="auto"/>
              <w:left w:val="single" w:sz="6" w:space="0" w:color="auto"/>
              <w:bottom w:val="single" w:sz="6" w:space="0" w:color="auto"/>
              <w:right w:val="single" w:sz="6" w:space="0" w:color="auto"/>
            </w:tcBorders>
          </w:tcPr>
          <w:p w14:paraId="64DD1563" w14:textId="77777777" w:rsidR="00286F7D" w:rsidRPr="00286F7D" w:rsidRDefault="00286F7D" w:rsidP="00286F7D">
            <w:pPr>
              <w:pStyle w:val="Texttabulky"/>
              <w:spacing w:after="0"/>
              <w:jc w:val="right"/>
              <w:rPr>
                <w:rFonts w:cs="Arial"/>
              </w:rPr>
            </w:pPr>
            <w:r w:rsidRPr="00286F7D">
              <w:rPr>
                <w:rFonts w:cs="Arial"/>
              </w:rPr>
              <w:t>42</w:t>
            </w:r>
          </w:p>
        </w:tc>
        <w:tc>
          <w:tcPr>
            <w:tcW w:w="2108" w:type="dxa"/>
            <w:tcBorders>
              <w:top w:val="single" w:sz="6" w:space="0" w:color="auto"/>
              <w:left w:val="single" w:sz="6" w:space="0" w:color="auto"/>
              <w:bottom w:val="single" w:sz="6" w:space="0" w:color="auto"/>
              <w:right w:val="single" w:sz="6" w:space="0" w:color="auto"/>
            </w:tcBorders>
          </w:tcPr>
          <w:p w14:paraId="108A6F14" w14:textId="77777777" w:rsidR="00286F7D" w:rsidRPr="00286F7D" w:rsidRDefault="00286F7D" w:rsidP="00286F7D">
            <w:pPr>
              <w:pStyle w:val="Texttabulky"/>
              <w:spacing w:after="0"/>
              <w:rPr>
                <w:rFonts w:cs="Arial"/>
              </w:rPr>
            </w:pPr>
            <w:r w:rsidRPr="00286F7D">
              <w:rPr>
                <w:rFonts w:cs="Arial"/>
              </w:rPr>
              <w:t>Krásný Studenec</w:t>
            </w:r>
          </w:p>
        </w:tc>
        <w:tc>
          <w:tcPr>
            <w:tcW w:w="1094" w:type="dxa"/>
            <w:tcBorders>
              <w:top w:val="single" w:sz="6" w:space="0" w:color="auto"/>
              <w:left w:val="single" w:sz="6" w:space="0" w:color="auto"/>
              <w:bottom w:val="single" w:sz="6" w:space="0" w:color="auto"/>
              <w:right w:val="single" w:sz="6" w:space="0" w:color="auto"/>
            </w:tcBorders>
          </w:tcPr>
          <w:p w14:paraId="29D40C43"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46E73072"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2E3A518B"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0E5709F5"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3C25A1EB"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BD779B0" w14:textId="77777777" w:rsidTr="00286F7D">
        <w:tc>
          <w:tcPr>
            <w:tcW w:w="568" w:type="dxa"/>
            <w:tcBorders>
              <w:top w:val="single" w:sz="6" w:space="0" w:color="auto"/>
              <w:left w:val="single" w:sz="6" w:space="0" w:color="auto"/>
              <w:bottom w:val="single" w:sz="6" w:space="0" w:color="auto"/>
              <w:right w:val="single" w:sz="6" w:space="0" w:color="auto"/>
            </w:tcBorders>
          </w:tcPr>
          <w:p w14:paraId="3DF5453D" w14:textId="77777777" w:rsidR="00286F7D" w:rsidRPr="00286F7D" w:rsidRDefault="00286F7D" w:rsidP="00286F7D">
            <w:pPr>
              <w:pStyle w:val="Texttabulky"/>
              <w:spacing w:after="0"/>
              <w:rPr>
                <w:rFonts w:cs="Arial"/>
              </w:rPr>
            </w:pPr>
            <w:r w:rsidRPr="00286F7D">
              <w:rPr>
                <w:rFonts w:cs="Arial"/>
                <w:b/>
                <w:bCs/>
              </w:rPr>
              <w:t xml:space="preserve">  III</w:t>
            </w:r>
          </w:p>
        </w:tc>
        <w:tc>
          <w:tcPr>
            <w:tcW w:w="2108" w:type="dxa"/>
            <w:tcBorders>
              <w:top w:val="single" w:sz="6" w:space="0" w:color="auto"/>
              <w:left w:val="single" w:sz="6" w:space="0" w:color="auto"/>
              <w:bottom w:val="single" w:sz="6" w:space="0" w:color="auto"/>
              <w:right w:val="single" w:sz="6" w:space="0" w:color="auto"/>
            </w:tcBorders>
          </w:tcPr>
          <w:p w14:paraId="056E0C4E" w14:textId="77777777" w:rsidR="00286F7D" w:rsidRPr="00286F7D" w:rsidRDefault="00286F7D" w:rsidP="00286F7D">
            <w:pPr>
              <w:pStyle w:val="Texttabulky"/>
              <w:spacing w:after="0"/>
              <w:rPr>
                <w:rFonts w:cs="Arial"/>
              </w:rPr>
            </w:pPr>
            <w:r w:rsidRPr="00286F7D">
              <w:rPr>
                <w:rFonts w:cs="Arial"/>
                <w:b/>
                <w:bCs/>
                <w:caps/>
              </w:rPr>
              <w:t>sektor celkem</w:t>
            </w:r>
          </w:p>
        </w:tc>
        <w:tc>
          <w:tcPr>
            <w:tcW w:w="1094" w:type="dxa"/>
            <w:tcBorders>
              <w:top w:val="single" w:sz="6" w:space="0" w:color="auto"/>
              <w:left w:val="single" w:sz="6" w:space="0" w:color="auto"/>
              <w:bottom w:val="single" w:sz="6" w:space="0" w:color="auto"/>
              <w:right w:val="single" w:sz="6" w:space="0" w:color="auto"/>
            </w:tcBorders>
          </w:tcPr>
          <w:p w14:paraId="69DAC953" w14:textId="77777777" w:rsidR="00286F7D" w:rsidRPr="00286F7D" w:rsidRDefault="00286F7D" w:rsidP="00286F7D">
            <w:pPr>
              <w:pStyle w:val="Texttabulky"/>
              <w:spacing w:after="0"/>
              <w:jc w:val="right"/>
              <w:rPr>
                <w:rFonts w:cs="Arial"/>
              </w:rPr>
            </w:pPr>
            <w:r w:rsidRPr="00286F7D">
              <w:rPr>
                <w:rFonts w:cs="Arial"/>
                <w:b/>
                <w:bCs/>
              </w:rPr>
              <w:t>363</w:t>
            </w:r>
          </w:p>
        </w:tc>
        <w:tc>
          <w:tcPr>
            <w:tcW w:w="1165" w:type="dxa"/>
            <w:tcBorders>
              <w:top w:val="single" w:sz="6" w:space="0" w:color="auto"/>
              <w:left w:val="single" w:sz="6" w:space="0" w:color="auto"/>
              <w:bottom w:val="single" w:sz="6" w:space="0" w:color="auto"/>
              <w:right w:val="single" w:sz="6" w:space="0" w:color="auto"/>
            </w:tcBorders>
          </w:tcPr>
          <w:p w14:paraId="096A6FD0" w14:textId="77777777" w:rsidR="00286F7D" w:rsidRPr="00286F7D" w:rsidRDefault="00286F7D" w:rsidP="00286F7D">
            <w:pPr>
              <w:pStyle w:val="Texttabulky"/>
              <w:spacing w:after="0"/>
              <w:jc w:val="right"/>
              <w:rPr>
                <w:rFonts w:cs="Arial"/>
              </w:rPr>
            </w:pPr>
            <w:r w:rsidRPr="00286F7D">
              <w:rPr>
                <w:rFonts w:cs="Arial"/>
                <w:b/>
                <w:bCs/>
              </w:rPr>
              <w:t>365</w:t>
            </w:r>
          </w:p>
        </w:tc>
        <w:tc>
          <w:tcPr>
            <w:tcW w:w="761" w:type="dxa"/>
            <w:tcBorders>
              <w:top w:val="single" w:sz="6" w:space="0" w:color="auto"/>
              <w:left w:val="single" w:sz="6" w:space="0" w:color="auto"/>
              <w:bottom w:val="single" w:sz="6" w:space="0" w:color="auto"/>
              <w:right w:val="single" w:sz="6" w:space="0" w:color="auto"/>
            </w:tcBorders>
          </w:tcPr>
          <w:p w14:paraId="53503F4D" w14:textId="77777777" w:rsidR="00286F7D" w:rsidRPr="00286F7D" w:rsidRDefault="00286F7D" w:rsidP="00286F7D">
            <w:pPr>
              <w:pStyle w:val="Texttabulky"/>
              <w:spacing w:after="0"/>
              <w:jc w:val="right"/>
              <w:rPr>
                <w:rFonts w:cs="Arial"/>
              </w:rPr>
            </w:pPr>
            <w:r w:rsidRPr="00286F7D">
              <w:rPr>
                <w:rFonts w:cs="Arial"/>
                <w:b/>
                <w:bCs/>
              </w:rPr>
              <w:t>3</w:t>
            </w:r>
          </w:p>
        </w:tc>
        <w:tc>
          <w:tcPr>
            <w:tcW w:w="1119" w:type="dxa"/>
            <w:tcBorders>
              <w:top w:val="single" w:sz="6" w:space="0" w:color="auto"/>
              <w:left w:val="single" w:sz="6" w:space="0" w:color="auto"/>
              <w:bottom w:val="single" w:sz="6" w:space="0" w:color="auto"/>
              <w:right w:val="single" w:sz="6" w:space="0" w:color="auto"/>
            </w:tcBorders>
          </w:tcPr>
          <w:p w14:paraId="4899446A" w14:textId="77777777" w:rsidR="00286F7D" w:rsidRPr="00286F7D" w:rsidRDefault="00286F7D" w:rsidP="00286F7D">
            <w:pPr>
              <w:pStyle w:val="Texttabulky"/>
              <w:spacing w:after="0"/>
              <w:jc w:val="right"/>
              <w:rPr>
                <w:rFonts w:cs="Arial"/>
              </w:rPr>
            </w:pPr>
            <w:r w:rsidRPr="00286F7D">
              <w:rPr>
                <w:rFonts w:cs="Arial"/>
                <w:b/>
                <w:bCs/>
              </w:rPr>
              <w:t>143</w:t>
            </w:r>
          </w:p>
        </w:tc>
        <w:tc>
          <w:tcPr>
            <w:tcW w:w="1011" w:type="dxa"/>
            <w:tcBorders>
              <w:top w:val="single" w:sz="6" w:space="0" w:color="auto"/>
              <w:left w:val="single" w:sz="6" w:space="0" w:color="auto"/>
              <w:bottom w:val="single" w:sz="6" w:space="0" w:color="auto"/>
              <w:right w:val="single" w:sz="6" w:space="0" w:color="auto"/>
            </w:tcBorders>
          </w:tcPr>
          <w:p w14:paraId="3AE26F60" w14:textId="77777777" w:rsidR="00286F7D" w:rsidRPr="00286F7D" w:rsidRDefault="00286F7D" w:rsidP="00286F7D">
            <w:pPr>
              <w:pStyle w:val="Texttabulky"/>
              <w:spacing w:after="0"/>
              <w:jc w:val="right"/>
              <w:rPr>
                <w:rFonts w:cs="Arial"/>
              </w:rPr>
            </w:pPr>
            <w:r w:rsidRPr="00286F7D">
              <w:rPr>
                <w:rFonts w:cs="Arial"/>
                <w:b/>
                <w:bCs/>
              </w:rPr>
              <w:t>- 222</w:t>
            </w:r>
          </w:p>
        </w:tc>
      </w:tr>
      <w:tr w:rsidR="00286F7D" w:rsidRPr="00286F7D" w14:paraId="609F0857" w14:textId="77777777" w:rsidTr="00286F7D">
        <w:tc>
          <w:tcPr>
            <w:tcW w:w="568" w:type="dxa"/>
            <w:tcBorders>
              <w:top w:val="single" w:sz="6" w:space="0" w:color="auto"/>
              <w:left w:val="single" w:sz="6" w:space="0" w:color="auto"/>
              <w:bottom w:val="single" w:sz="6" w:space="0" w:color="auto"/>
              <w:right w:val="single" w:sz="6" w:space="0" w:color="auto"/>
            </w:tcBorders>
          </w:tcPr>
          <w:p w14:paraId="3464172D" w14:textId="77777777" w:rsidR="00286F7D" w:rsidRPr="00286F7D" w:rsidRDefault="00286F7D" w:rsidP="00286F7D">
            <w:pPr>
              <w:pStyle w:val="Texttabulky"/>
              <w:spacing w:after="0"/>
              <w:jc w:val="right"/>
              <w:rPr>
                <w:rFonts w:cs="Arial"/>
              </w:rPr>
            </w:pPr>
            <w:r w:rsidRPr="00286F7D">
              <w:rPr>
                <w:rFonts w:cs="Arial"/>
              </w:rPr>
              <w:t>27</w:t>
            </w:r>
          </w:p>
        </w:tc>
        <w:tc>
          <w:tcPr>
            <w:tcW w:w="2108" w:type="dxa"/>
            <w:tcBorders>
              <w:top w:val="single" w:sz="6" w:space="0" w:color="auto"/>
              <w:left w:val="single" w:sz="6" w:space="0" w:color="auto"/>
              <w:bottom w:val="single" w:sz="6" w:space="0" w:color="auto"/>
              <w:right w:val="single" w:sz="6" w:space="0" w:color="auto"/>
            </w:tcBorders>
          </w:tcPr>
          <w:p w14:paraId="7ED9E2B3" w14:textId="77777777" w:rsidR="00286F7D" w:rsidRPr="00286F7D" w:rsidRDefault="00286F7D" w:rsidP="00286F7D">
            <w:pPr>
              <w:pStyle w:val="Texttabulky"/>
              <w:spacing w:after="0"/>
              <w:rPr>
                <w:rFonts w:cs="Arial"/>
              </w:rPr>
            </w:pPr>
            <w:r w:rsidRPr="00286F7D">
              <w:rPr>
                <w:rFonts w:cs="Arial"/>
              </w:rPr>
              <w:t>Přípeř</w:t>
            </w:r>
          </w:p>
        </w:tc>
        <w:tc>
          <w:tcPr>
            <w:tcW w:w="1094" w:type="dxa"/>
            <w:tcBorders>
              <w:top w:val="single" w:sz="6" w:space="0" w:color="auto"/>
              <w:left w:val="single" w:sz="6" w:space="0" w:color="auto"/>
              <w:bottom w:val="single" w:sz="6" w:space="0" w:color="auto"/>
              <w:right w:val="single" w:sz="6" w:space="0" w:color="auto"/>
            </w:tcBorders>
          </w:tcPr>
          <w:p w14:paraId="07DAE691" w14:textId="77777777" w:rsidR="00286F7D" w:rsidRPr="00286F7D" w:rsidRDefault="00286F7D" w:rsidP="00286F7D">
            <w:pPr>
              <w:pStyle w:val="Texttabulky"/>
              <w:spacing w:after="0"/>
              <w:jc w:val="right"/>
              <w:rPr>
                <w:rFonts w:cs="Arial"/>
              </w:rPr>
            </w:pPr>
            <w:r w:rsidRPr="00286F7D">
              <w:rPr>
                <w:rFonts w:cs="Arial"/>
              </w:rPr>
              <w:t>83</w:t>
            </w:r>
          </w:p>
        </w:tc>
        <w:tc>
          <w:tcPr>
            <w:tcW w:w="1165" w:type="dxa"/>
            <w:tcBorders>
              <w:top w:val="single" w:sz="6" w:space="0" w:color="auto"/>
              <w:left w:val="single" w:sz="6" w:space="0" w:color="auto"/>
              <w:bottom w:val="single" w:sz="6" w:space="0" w:color="auto"/>
              <w:right w:val="single" w:sz="6" w:space="0" w:color="auto"/>
            </w:tcBorders>
          </w:tcPr>
          <w:p w14:paraId="73CBEDC3" w14:textId="77777777" w:rsidR="00286F7D" w:rsidRPr="00286F7D" w:rsidRDefault="00286F7D" w:rsidP="00286F7D">
            <w:pPr>
              <w:pStyle w:val="Texttabulky"/>
              <w:spacing w:after="0"/>
              <w:jc w:val="right"/>
              <w:rPr>
                <w:rFonts w:cs="Arial"/>
              </w:rPr>
            </w:pPr>
            <w:r w:rsidRPr="00286F7D">
              <w:rPr>
                <w:rFonts w:cs="Arial"/>
              </w:rPr>
              <w:t>90</w:t>
            </w:r>
          </w:p>
        </w:tc>
        <w:tc>
          <w:tcPr>
            <w:tcW w:w="761" w:type="dxa"/>
            <w:tcBorders>
              <w:top w:val="single" w:sz="6" w:space="0" w:color="auto"/>
              <w:left w:val="single" w:sz="6" w:space="0" w:color="auto"/>
              <w:bottom w:val="single" w:sz="6" w:space="0" w:color="auto"/>
              <w:right w:val="single" w:sz="6" w:space="0" w:color="auto"/>
            </w:tcBorders>
          </w:tcPr>
          <w:p w14:paraId="716D4EAB"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096FE7A4"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25163940" w14:textId="77777777" w:rsidR="00286F7D" w:rsidRPr="00286F7D" w:rsidRDefault="00286F7D" w:rsidP="00286F7D">
            <w:pPr>
              <w:pStyle w:val="Texttabulky"/>
              <w:spacing w:after="0"/>
              <w:jc w:val="right"/>
              <w:rPr>
                <w:rFonts w:cs="Arial"/>
              </w:rPr>
            </w:pPr>
            <w:r w:rsidRPr="00286F7D">
              <w:rPr>
                <w:rFonts w:cs="Arial"/>
              </w:rPr>
              <w:t>-90</w:t>
            </w:r>
          </w:p>
        </w:tc>
      </w:tr>
      <w:tr w:rsidR="00286F7D" w:rsidRPr="00286F7D" w14:paraId="3933C327" w14:textId="77777777" w:rsidTr="00286F7D">
        <w:tc>
          <w:tcPr>
            <w:tcW w:w="568" w:type="dxa"/>
            <w:tcBorders>
              <w:top w:val="single" w:sz="6" w:space="0" w:color="auto"/>
              <w:left w:val="single" w:sz="6" w:space="0" w:color="auto"/>
              <w:bottom w:val="single" w:sz="6" w:space="0" w:color="auto"/>
              <w:right w:val="single" w:sz="6" w:space="0" w:color="auto"/>
            </w:tcBorders>
          </w:tcPr>
          <w:p w14:paraId="500FE55E" w14:textId="77777777" w:rsidR="00286F7D" w:rsidRPr="00286F7D" w:rsidRDefault="00286F7D" w:rsidP="00286F7D">
            <w:pPr>
              <w:pStyle w:val="Texttabulky"/>
              <w:spacing w:after="0"/>
              <w:jc w:val="right"/>
              <w:rPr>
                <w:rFonts w:cs="Arial"/>
              </w:rPr>
            </w:pPr>
            <w:r w:rsidRPr="00286F7D">
              <w:rPr>
                <w:rFonts w:cs="Arial"/>
              </w:rPr>
              <w:t>28</w:t>
            </w:r>
          </w:p>
        </w:tc>
        <w:tc>
          <w:tcPr>
            <w:tcW w:w="2108" w:type="dxa"/>
            <w:tcBorders>
              <w:top w:val="single" w:sz="6" w:space="0" w:color="auto"/>
              <w:left w:val="single" w:sz="6" w:space="0" w:color="auto"/>
              <w:bottom w:val="single" w:sz="6" w:space="0" w:color="auto"/>
              <w:right w:val="single" w:sz="6" w:space="0" w:color="auto"/>
            </w:tcBorders>
          </w:tcPr>
          <w:p w14:paraId="0CDF3958" w14:textId="77777777" w:rsidR="00286F7D" w:rsidRPr="00286F7D" w:rsidRDefault="00286F7D" w:rsidP="00286F7D">
            <w:pPr>
              <w:pStyle w:val="Texttabulky"/>
              <w:spacing w:after="0"/>
              <w:rPr>
                <w:rFonts w:cs="Arial"/>
              </w:rPr>
            </w:pPr>
            <w:r w:rsidRPr="00286F7D">
              <w:rPr>
                <w:rFonts w:cs="Arial"/>
              </w:rPr>
              <w:t>Jalůvčí0</w:t>
            </w:r>
          </w:p>
        </w:tc>
        <w:tc>
          <w:tcPr>
            <w:tcW w:w="1094" w:type="dxa"/>
            <w:tcBorders>
              <w:top w:val="single" w:sz="6" w:space="0" w:color="auto"/>
              <w:left w:val="single" w:sz="6" w:space="0" w:color="auto"/>
              <w:bottom w:val="single" w:sz="6" w:space="0" w:color="auto"/>
              <w:right w:val="single" w:sz="6" w:space="0" w:color="auto"/>
            </w:tcBorders>
          </w:tcPr>
          <w:p w14:paraId="6AA7918C"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3987AAFC"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24B75A71"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2915732D"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36F03BD2"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4E68EF33" w14:textId="77777777" w:rsidTr="00286F7D">
        <w:tc>
          <w:tcPr>
            <w:tcW w:w="568" w:type="dxa"/>
            <w:tcBorders>
              <w:top w:val="single" w:sz="6" w:space="0" w:color="auto"/>
              <w:left w:val="single" w:sz="6" w:space="0" w:color="auto"/>
              <w:bottom w:val="single" w:sz="6" w:space="0" w:color="auto"/>
              <w:right w:val="single" w:sz="6" w:space="0" w:color="auto"/>
            </w:tcBorders>
          </w:tcPr>
          <w:p w14:paraId="11D27D2C" w14:textId="77777777" w:rsidR="00286F7D" w:rsidRPr="00286F7D" w:rsidRDefault="00286F7D" w:rsidP="00286F7D">
            <w:pPr>
              <w:pStyle w:val="Texttabulky"/>
              <w:spacing w:after="0"/>
              <w:jc w:val="right"/>
              <w:rPr>
                <w:rFonts w:cs="Arial"/>
              </w:rPr>
            </w:pPr>
            <w:r w:rsidRPr="00286F7D">
              <w:rPr>
                <w:rFonts w:cs="Arial"/>
              </w:rPr>
              <w:t>29</w:t>
            </w:r>
          </w:p>
        </w:tc>
        <w:tc>
          <w:tcPr>
            <w:tcW w:w="2108" w:type="dxa"/>
            <w:tcBorders>
              <w:top w:val="single" w:sz="6" w:space="0" w:color="auto"/>
              <w:left w:val="single" w:sz="6" w:space="0" w:color="auto"/>
              <w:bottom w:val="single" w:sz="6" w:space="0" w:color="auto"/>
              <w:right w:val="single" w:sz="6" w:space="0" w:color="auto"/>
            </w:tcBorders>
          </w:tcPr>
          <w:p w14:paraId="5318B7D5" w14:textId="77777777" w:rsidR="00286F7D" w:rsidRPr="00286F7D" w:rsidRDefault="00286F7D" w:rsidP="00286F7D">
            <w:pPr>
              <w:pStyle w:val="Texttabulky"/>
              <w:spacing w:after="0"/>
              <w:rPr>
                <w:rFonts w:cs="Arial"/>
              </w:rPr>
            </w:pPr>
            <w:r w:rsidRPr="00286F7D">
              <w:rPr>
                <w:rFonts w:cs="Arial"/>
              </w:rPr>
              <w:t>Žlíbek - Škrabky</w:t>
            </w:r>
          </w:p>
        </w:tc>
        <w:tc>
          <w:tcPr>
            <w:tcW w:w="1094" w:type="dxa"/>
            <w:tcBorders>
              <w:top w:val="single" w:sz="6" w:space="0" w:color="auto"/>
              <w:left w:val="single" w:sz="6" w:space="0" w:color="auto"/>
              <w:bottom w:val="single" w:sz="6" w:space="0" w:color="auto"/>
              <w:right w:val="single" w:sz="6" w:space="0" w:color="auto"/>
            </w:tcBorders>
          </w:tcPr>
          <w:p w14:paraId="76513EB7"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25DFF89B"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1C510B2F"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6C26B861"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247C44D2"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5CB1C90B" w14:textId="77777777" w:rsidTr="00286F7D">
        <w:tc>
          <w:tcPr>
            <w:tcW w:w="568" w:type="dxa"/>
            <w:tcBorders>
              <w:top w:val="single" w:sz="6" w:space="0" w:color="auto"/>
              <w:left w:val="single" w:sz="6" w:space="0" w:color="auto"/>
              <w:bottom w:val="single" w:sz="6" w:space="0" w:color="auto"/>
              <w:right w:val="single" w:sz="6" w:space="0" w:color="auto"/>
            </w:tcBorders>
          </w:tcPr>
          <w:p w14:paraId="2AAD593C" w14:textId="77777777" w:rsidR="00286F7D" w:rsidRPr="00286F7D" w:rsidRDefault="00286F7D" w:rsidP="00286F7D">
            <w:pPr>
              <w:pStyle w:val="Texttabulky"/>
              <w:spacing w:after="0"/>
              <w:jc w:val="right"/>
              <w:rPr>
                <w:rFonts w:cs="Arial"/>
              </w:rPr>
            </w:pPr>
            <w:r w:rsidRPr="00286F7D">
              <w:rPr>
                <w:rFonts w:cs="Arial"/>
              </w:rPr>
              <w:t>30</w:t>
            </w:r>
          </w:p>
        </w:tc>
        <w:tc>
          <w:tcPr>
            <w:tcW w:w="2108" w:type="dxa"/>
            <w:tcBorders>
              <w:top w:val="single" w:sz="6" w:space="0" w:color="auto"/>
              <w:left w:val="single" w:sz="6" w:space="0" w:color="auto"/>
              <w:bottom w:val="single" w:sz="6" w:space="0" w:color="auto"/>
              <w:right w:val="single" w:sz="6" w:space="0" w:color="auto"/>
            </w:tcBorders>
          </w:tcPr>
          <w:p w14:paraId="5745273D" w14:textId="77777777" w:rsidR="00286F7D" w:rsidRPr="00286F7D" w:rsidRDefault="00286F7D" w:rsidP="00286F7D">
            <w:pPr>
              <w:pStyle w:val="Texttabulky"/>
              <w:spacing w:after="0"/>
              <w:rPr>
                <w:rFonts w:cs="Arial"/>
              </w:rPr>
            </w:pPr>
            <w:r w:rsidRPr="00286F7D">
              <w:rPr>
                <w:rFonts w:cs="Arial"/>
              </w:rPr>
              <w:t>Dolní Oldřichov</w:t>
            </w:r>
          </w:p>
        </w:tc>
        <w:tc>
          <w:tcPr>
            <w:tcW w:w="1094" w:type="dxa"/>
            <w:tcBorders>
              <w:top w:val="single" w:sz="6" w:space="0" w:color="auto"/>
              <w:left w:val="single" w:sz="6" w:space="0" w:color="auto"/>
              <w:bottom w:val="single" w:sz="6" w:space="0" w:color="auto"/>
              <w:right w:val="single" w:sz="6" w:space="0" w:color="auto"/>
            </w:tcBorders>
          </w:tcPr>
          <w:p w14:paraId="12FF4434" w14:textId="77777777" w:rsidR="00286F7D" w:rsidRPr="00286F7D" w:rsidRDefault="00286F7D" w:rsidP="00286F7D">
            <w:pPr>
              <w:pStyle w:val="Texttabulky"/>
              <w:spacing w:after="0"/>
              <w:jc w:val="right"/>
              <w:rPr>
                <w:rFonts w:cs="Arial"/>
              </w:rPr>
            </w:pPr>
            <w:r w:rsidRPr="00286F7D">
              <w:rPr>
                <w:rFonts w:cs="Arial"/>
              </w:rPr>
              <w:t>683</w:t>
            </w:r>
          </w:p>
        </w:tc>
        <w:tc>
          <w:tcPr>
            <w:tcW w:w="1165" w:type="dxa"/>
            <w:tcBorders>
              <w:top w:val="single" w:sz="6" w:space="0" w:color="auto"/>
              <w:left w:val="single" w:sz="6" w:space="0" w:color="auto"/>
              <w:bottom w:val="single" w:sz="6" w:space="0" w:color="auto"/>
              <w:right w:val="single" w:sz="6" w:space="0" w:color="auto"/>
            </w:tcBorders>
          </w:tcPr>
          <w:p w14:paraId="65E827B9" w14:textId="77777777" w:rsidR="00286F7D" w:rsidRPr="00286F7D" w:rsidRDefault="00286F7D" w:rsidP="00286F7D">
            <w:pPr>
              <w:pStyle w:val="Texttabulky"/>
              <w:spacing w:after="0"/>
              <w:jc w:val="right"/>
              <w:rPr>
                <w:rFonts w:cs="Arial"/>
              </w:rPr>
            </w:pPr>
            <w:r w:rsidRPr="00286F7D">
              <w:rPr>
                <w:rFonts w:cs="Arial"/>
              </w:rPr>
              <w:t>890</w:t>
            </w:r>
          </w:p>
        </w:tc>
        <w:tc>
          <w:tcPr>
            <w:tcW w:w="761" w:type="dxa"/>
            <w:tcBorders>
              <w:top w:val="single" w:sz="6" w:space="0" w:color="auto"/>
              <w:left w:val="single" w:sz="6" w:space="0" w:color="auto"/>
              <w:bottom w:val="single" w:sz="6" w:space="0" w:color="auto"/>
              <w:right w:val="single" w:sz="6" w:space="0" w:color="auto"/>
            </w:tcBorders>
          </w:tcPr>
          <w:p w14:paraId="1648E430" w14:textId="77777777" w:rsidR="00286F7D" w:rsidRPr="00286F7D" w:rsidRDefault="00286F7D" w:rsidP="00286F7D">
            <w:pPr>
              <w:pStyle w:val="Texttabulky"/>
              <w:spacing w:after="0"/>
              <w:jc w:val="right"/>
              <w:rPr>
                <w:rFonts w:cs="Arial"/>
              </w:rPr>
            </w:pPr>
            <w:r w:rsidRPr="00286F7D">
              <w:rPr>
                <w:rFonts w:cs="Arial"/>
              </w:rPr>
              <w:t>11</w:t>
            </w:r>
          </w:p>
        </w:tc>
        <w:tc>
          <w:tcPr>
            <w:tcW w:w="1119" w:type="dxa"/>
            <w:tcBorders>
              <w:top w:val="single" w:sz="6" w:space="0" w:color="auto"/>
              <w:left w:val="single" w:sz="6" w:space="0" w:color="auto"/>
              <w:bottom w:val="single" w:sz="6" w:space="0" w:color="auto"/>
              <w:right w:val="single" w:sz="6" w:space="0" w:color="auto"/>
            </w:tcBorders>
          </w:tcPr>
          <w:p w14:paraId="0566C235" w14:textId="77777777" w:rsidR="00286F7D" w:rsidRPr="00286F7D" w:rsidRDefault="00286F7D" w:rsidP="00286F7D">
            <w:pPr>
              <w:pStyle w:val="Texttabulky"/>
              <w:spacing w:after="0"/>
              <w:jc w:val="right"/>
              <w:rPr>
                <w:rFonts w:cs="Arial"/>
              </w:rPr>
            </w:pPr>
            <w:r w:rsidRPr="00286F7D">
              <w:rPr>
                <w:rFonts w:cs="Arial"/>
              </w:rPr>
              <w:t>660</w:t>
            </w:r>
          </w:p>
        </w:tc>
        <w:tc>
          <w:tcPr>
            <w:tcW w:w="1011" w:type="dxa"/>
            <w:tcBorders>
              <w:top w:val="single" w:sz="6" w:space="0" w:color="auto"/>
              <w:left w:val="single" w:sz="6" w:space="0" w:color="auto"/>
              <w:bottom w:val="single" w:sz="6" w:space="0" w:color="auto"/>
              <w:right w:val="single" w:sz="6" w:space="0" w:color="auto"/>
            </w:tcBorders>
          </w:tcPr>
          <w:p w14:paraId="52352AA4" w14:textId="77777777" w:rsidR="00286F7D" w:rsidRPr="00286F7D" w:rsidRDefault="00286F7D" w:rsidP="00286F7D">
            <w:pPr>
              <w:pStyle w:val="Texttabulky"/>
              <w:spacing w:after="0"/>
              <w:jc w:val="right"/>
              <w:rPr>
                <w:rFonts w:cs="Arial"/>
              </w:rPr>
            </w:pPr>
            <w:r w:rsidRPr="00286F7D">
              <w:rPr>
                <w:rFonts w:cs="Arial"/>
              </w:rPr>
              <w:t>-230</w:t>
            </w:r>
          </w:p>
        </w:tc>
      </w:tr>
      <w:tr w:rsidR="00286F7D" w:rsidRPr="00286F7D" w14:paraId="2666ADDB" w14:textId="77777777" w:rsidTr="00286F7D">
        <w:tc>
          <w:tcPr>
            <w:tcW w:w="568" w:type="dxa"/>
            <w:tcBorders>
              <w:top w:val="single" w:sz="6" w:space="0" w:color="auto"/>
              <w:left w:val="single" w:sz="6" w:space="0" w:color="auto"/>
              <w:bottom w:val="single" w:sz="6" w:space="0" w:color="auto"/>
              <w:right w:val="single" w:sz="6" w:space="0" w:color="auto"/>
            </w:tcBorders>
          </w:tcPr>
          <w:p w14:paraId="2B7A8151" w14:textId="77777777" w:rsidR="00286F7D" w:rsidRPr="00286F7D" w:rsidRDefault="00286F7D" w:rsidP="00286F7D">
            <w:pPr>
              <w:pStyle w:val="Texttabulky"/>
              <w:spacing w:after="0"/>
              <w:jc w:val="right"/>
              <w:rPr>
                <w:rFonts w:cs="Arial"/>
              </w:rPr>
            </w:pPr>
            <w:r w:rsidRPr="00286F7D">
              <w:rPr>
                <w:rFonts w:cs="Arial"/>
              </w:rPr>
              <w:t>31</w:t>
            </w:r>
          </w:p>
        </w:tc>
        <w:tc>
          <w:tcPr>
            <w:tcW w:w="2108" w:type="dxa"/>
            <w:tcBorders>
              <w:top w:val="single" w:sz="6" w:space="0" w:color="auto"/>
              <w:left w:val="single" w:sz="6" w:space="0" w:color="auto"/>
              <w:bottom w:val="single" w:sz="6" w:space="0" w:color="auto"/>
              <w:right w:val="single" w:sz="6" w:space="0" w:color="auto"/>
            </w:tcBorders>
          </w:tcPr>
          <w:p w14:paraId="15BFBD7F" w14:textId="77777777" w:rsidR="00286F7D" w:rsidRPr="00286F7D" w:rsidRDefault="00286F7D" w:rsidP="00286F7D">
            <w:pPr>
              <w:pStyle w:val="Texttabulky"/>
              <w:spacing w:after="0"/>
              <w:rPr>
                <w:rFonts w:cs="Arial"/>
              </w:rPr>
            </w:pPr>
            <w:r w:rsidRPr="00286F7D">
              <w:rPr>
                <w:rFonts w:cs="Arial"/>
              </w:rPr>
              <w:t>Horní Oldřichov</w:t>
            </w:r>
          </w:p>
        </w:tc>
        <w:tc>
          <w:tcPr>
            <w:tcW w:w="1094" w:type="dxa"/>
            <w:tcBorders>
              <w:top w:val="single" w:sz="6" w:space="0" w:color="auto"/>
              <w:left w:val="single" w:sz="6" w:space="0" w:color="auto"/>
              <w:bottom w:val="single" w:sz="6" w:space="0" w:color="auto"/>
              <w:right w:val="single" w:sz="6" w:space="0" w:color="auto"/>
            </w:tcBorders>
          </w:tcPr>
          <w:p w14:paraId="77D56608"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50B84A40"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49055124"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6C06AE63"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575D03C6"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7133E3A" w14:textId="77777777" w:rsidTr="00286F7D">
        <w:tc>
          <w:tcPr>
            <w:tcW w:w="568" w:type="dxa"/>
            <w:tcBorders>
              <w:top w:val="single" w:sz="6" w:space="0" w:color="auto"/>
              <w:left w:val="single" w:sz="6" w:space="0" w:color="auto"/>
              <w:bottom w:val="single" w:sz="6" w:space="0" w:color="auto"/>
              <w:right w:val="single" w:sz="6" w:space="0" w:color="auto"/>
            </w:tcBorders>
          </w:tcPr>
          <w:p w14:paraId="4C2865C0" w14:textId="77777777" w:rsidR="00286F7D" w:rsidRPr="00286F7D" w:rsidRDefault="00286F7D" w:rsidP="00286F7D">
            <w:pPr>
              <w:pStyle w:val="Texttabulky"/>
              <w:spacing w:after="0"/>
              <w:jc w:val="right"/>
              <w:rPr>
                <w:rFonts w:cs="Arial"/>
              </w:rPr>
            </w:pPr>
            <w:r w:rsidRPr="00286F7D">
              <w:rPr>
                <w:rFonts w:cs="Arial"/>
              </w:rPr>
              <w:t>32</w:t>
            </w:r>
          </w:p>
        </w:tc>
        <w:tc>
          <w:tcPr>
            <w:tcW w:w="2108" w:type="dxa"/>
            <w:tcBorders>
              <w:top w:val="single" w:sz="6" w:space="0" w:color="auto"/>
              <w:left w:val="single" w:sz="6" w:space="0" w:color="auto"/>
              <w:bottom w:val="single" w:sz="6" w:space="0" w:color="auto"/>
              <w:right w:val="single" w:sz="6" w:space="0" w:color="auto"/>
            </w:tcBorders>
          </w:tcPr>
          <w:p w14:paraId="44D4639F" w14:textId="77777777" w:rsidR="00286F7D" w:rsidRPr="00286F7D" w:rsidRDefault="00286F7D" w:rsidP="00286F7D">
            <w:pPr>
              <w:pStyle w:val="Texttabulky"/>
              <w:spacing w:after="0"/>
              <w:rPr>
                <w:rFonts w:cs="Arial"/>
              </w:rPr>
            </w:pPr>
            <w:r w:rsidRPr="00286F7D">
              <w:rPr>
                <w:rFonts w:cs="Arial"/>
              </w:rPr>
              <w:t>Bynov</w:t>
            </w:r>
          </w:p>
        </w:tc>
        <w:tc>
          <w:tcPr>
            <w:tcW w:w="1094" w:type="dxa"/>
            <w:tcBorders>
              <w:top w:val="single" w:sz="6" w:space="0" w:color="auto"/>
              <w:left w:val="single" w:sz="6" w:space="0" w:color="auto"/>
              <w:bottom w:val="single" w:sz="6" w:space="0" w:color="auto"/>
              <w:right w:val="single" w:sz="6" w:space="0" w:color="auto"/>
            </w:tcBorders>
          </w:tcPr>
          <w:p w14:paraId="22FEA1AE" w14:textId="77777777" w:rsidR="00286F7D" w:rsidRPr="00286F7D" w:rsidRDefault="00286F7D" w:rsidP="00286F7D">
            <w:pPr>
              <w:pStyle w:val="Texttabulky"/>
              <w:spacing w:after="0"/>
              <w:jc w:val="right"/>
              <w:rPr>
                <w:rFonts w:cs="Arial"/>
              </w:rPr>
            </w:pPr>
            <w:r w:rsidRPr="00286F7D">
              <w:rPr>
                <w:rFonts w:cs="Arial"/>
              </w:rPr>
              <w:t>456</w:t>
            </w:r>
          </w:p>
        </w:tc>
        <w:tc>
          <w:tcPr>
            <w:tcW w:w="1165" w:type="dxa"/>
            <w:tcBorders>
              <w:top w:val="single" w:sz="6" w:space="0" w:color="auto"/>
              <w:left w:val="single" w:sz="6" w:space="0" w:color="auto"/>
              <w:bottom w:val="single" w:sz="6" w:space="0" w:color="auto"/>
              <w:right w:val="single" w:sz="6" w:space="0" w:color="auto"/>
            </w:tcBorders>
          </w:tcPr>
          <w:p w14:paraId="1D8D5EAA" w14:textId="77777777" w:rsidR="00286F7D" w:rsidRPr="00286F7D" w:rsidRDefault="00286F7D" w:rsidP="00286F7D">
            <w:pPr>
              <w:pStyle w:val="Texttabulky"/>
              <w:spacing w:after="0"/>
              <w:jc w:val="right"/>
              <w:rPr>
                <w:rFonts w:cs="Arial"/>
              </w:rPr>
            </w:pPr>
            <w:r w:rsidRPr="00286F7D">
              <w:rPr>
                <w:rFonts w:cs="Arial"/>
              </w:rPr>
              <w:t>470</w:t>
            </w:r>
          </w:p>
        </w:tc>
        <w:tc>
          <w:tcPr>
            <w:tcW w:w="761" w:type="dxa"/>
            <w:tcBorders>
              <w:top w:val="single" w:sz="6" w:space="0" w:color="auto"/>
              <w:left w:val="single" w:sz="6" w:space="0" w:color="auto"/>
              <w:bottom w:val="single" w:sz="6" w:space="0" w:color="auto"/>
              <w:right w:val="single" w:sz="6" w:space="0" w:color="auto"/>
            </w:tcBorders>
          </w:tcPr>
          <w:p w14:paraId="53755A0D" w14:textId="77777777" w:rsidR="00286F7D" w:rsidRPr="00286F7D" w:rsidRDefault="00286F7D" w:rsidP="00286F7D">
            <w:pPr>
              <w:pStyle w:val="Texttabulky"/>
              <w:spacing w:after="0"/>
              <w:jc w:val="right"/>
              <w:rPr>
                <w:rFonts w:cs="Arial"/>
              </w:rPr>
            </w:pPr>
            <w:r w:rsidRPr="00286F7D">
              <w:rPr>
                <w:rFonts w:cs="Arial"/>
              </w:rPr>
              <w:t>17</w:t>
            </w:r>
          </w:p>
        </w:tc>
        <w:tc>
          <w:tcPr>
            <w:tcW w:w="1119" w:type="dxa"/>
            <w:tcBorders>
              <w:top w:val="single" w:sz="6" w:space="0" w:color="auto"/>
              <w:left w:val="single" w:sz="6" w:space="0" w:color="auto"/>
              <w:bottom w:val="single" w:sz="6" w:space="0" w:color="auto"/>
              <w:right w:val="single" w:sz="6" w:space="0" w:color="auto"/>
            </w:tcBorders>
          </w:tcPr>
          <w:p w14:paraId="580C8AB3" w14:textId="77777777" w:rsidR="00286F7D" w:rsidRPr="00286F7D" w:rsidRDefault="00286F7D" w:rsidP="00286F7D">
            <w:pPr>
              <w:pStyle w:val="Texttabulky"/>
              <w:spacing w:after="0"/>
              <w:jc w:val="right"/>
              <w:rPr>
                <w:rFonts w:cs="Arial"/>
              </w:rPr>
            </w:pPr>
            <w:r w:rsidRPr="00286F7D">
              <w:rPr>
                <w:rFonts w:cs="Arial"/>
              </w:rPr>
              <w:t>859</w:t>
            </w:r>
          </w:p>
        </w:tc>
        <w:tc>
          <w:tcPr>
            <w:tcW w:w="1011" w:type="dxa"/>
            <w:tcBorders>
              <w:top w:val="single" w:sz="6" w:space="0" w:color="auto"/>
              <w:left w:val="single" w:sz="6" w:space="0" w:color="auto"/>
              <w:bottom w:val="single" w:sz="6" w:space="0" w:color="auto"/>
              <w:right w:val="single" w:sz="6" w:space="0" w:color="auto"/>
            </w:tcBorders>
          </w:tcPr>
          <w:p w14:paraId="7431D708" w14:textId="77777777" w:rsidR="00286F7D" w:rsidRPr="00286F7D" w:rsidRDefault="00286F7D" w:rsidP="00286F7D">
            <w:pPr>
              <w:pStyle w:val="Texttabulky"/>
              <w:spacing w:after="0"/>
              <w:rPr>
                <w:rFonts w:cs="Arial"/>
              </w:rPr>
            </w:pPr>
            <w:r w:rsidRPr="00286F7D">
              <w:rPr>
                <w:rFonts w:cs="Arial"/>
              </w:rPr>
              <w:t xml:space="preserve">       + 389</w:t>
            </w:r>
          </w:p>
        </w:tc>
      </w:tr>
      <w:tr w:rsidR="00286F7D" w:rsidRPr="00286F7D" w14:paraId="15C069A3" w14:textId="77777777" w:rsidTr="00286F7D">
        <w:tc>
          <w:tcPr>
            <w:tcW w:w="568" w:type="dxa"/>
            <w:tcBorders>
              <w:top w:val="single" w:sz="6" w:space="0" w:color="auto"/>
              <w:left w:val="single" w:sz="6" w:space="0" w:color="auto"/>
              <w:bottom w:val="single" w:sz="6" w:space="0" w:color="auto"/>
              <w:right w:val="single" w:sz="6" w:space="0" w:color="auto"/>
            </w:tcBorders>
          </w:tcPr>
          <w:p w14:paraId="7846F555" w14:textId="77777777" w:rsidR="00286F7D" w:rsidRPr="00286F7D" w:rsidRDefault="00286F7D" w:rsidP="00286F7D">
            <w:pPr>
              <w:pStyle w:val="Texttabulky"/>
              <w:spacing w:after="0"/>
              <w:jc w:val="right"/>
              <w:rPr>
                <w:rFonts w:cs="Arial"/>
              </w:rPr>
            </w:pPr>
            <w:r w:rsidRPr="00286F7D">
              <w:rPr>
                <w:rFonts w:cs="Arial"/>
              </w:rPr>
              <w:t>33</w:t>
            </w:r>
          </w:p>
        </w:tc>
        <w:tc>
          <w:tcPr>
            <w:tcW w:w="2108" w:type="dxa"/>
            <w:tcBorders>
              <w:top w:val="single" w:sz="6" w:space="0" w:color="auto"/>
              <w:left w:val="single" w:sz="6" w:space="0" w:color="auto"/>
              <w:bottom w:val="single" w:sz="6" w:space="0" w:color="auto"/>
              <w:right w:val="single" w:sz="6" w:space="0" w:color="auto"/>
            </w:tcBorders>
          </w:tcPr>
          <w:p w14:paraId="553EBBE8" w14:textId="77777777" w:rsidR="00286F7D" w:rsidRPr="00286F7D" w:rsidRDefault="00286F7D" w:rsidP="00286F7D">
            <w:pPr>
              <w:pStyle w:val="Texttabulky"/>
              <w:spacing w:after="0"/>
              <w:rPr>
                <w:rFonts w:cs="Arial"/>
              </w:rPr>
            </w:pPr>
            <w:r w:rsidRPr="00286F7D">
              <w:rPr>
                <w:rFonts w:cs="Arial"/>
              </w:rPr>
              <w:t>Bělá</w:t>
            </w:r>
          </w:p>
        </w:tc>
        <w:tc>
          <w:tcPr>
            <w:tcW w:w="1094" w:type="dxa"/>
            <w:tcBorders>
              <w:top w:val="single" w:sz="6" w:space="0" w:color="auto"/>
              <w:left w:val="single" w:sz="6" w:space="0" w:color="auto"/>
              <w:bottom w:val="single" w:sz="6" w:space="0" w:color="auto"/>
              <w:right w:val="single" w:sz="6" w:space="0" w:color="auto"/>
            </w:tcBorders>
          </w:tcPr>
          <w:p w14:paraId="62BBA133" w14:textId="77777777" w:rsidR="00286F7D" w:rsidRPr="00286F7D" w:rsidRDefault="00286F7D" w:rsidP="00286F7D">
            <w:pPr>
              <w:pStyle w:val="Texttabulky"/>
              <w:spacing w:after="0"/>
              <w:jc w:val="right"/>
              <w:rPr>
                <w:rFonts w:cs="Arial"/>
              </w:rPr>
            </w:pPr>
            <w:r w:rsidRPr="00286F7D">
              <w:rPr>
                <w:rFonts w:cs="Arial"/>
              </w:rPr>
              <w:t>40</w:t>
            </w:r>
          </w:p>
        </w:tc>
        <w:tc>
          <w:tcPr>
            <w:tcW w:w="1165" w:type="dxa"/>
            <w:tcBorders>
              <w:top w:val="single" w:sz="6" w:space="0" w:color="auto"/>
              <w:left w:val="single" w:sz="6" w:space="0" w:color="auto"/>
              <w:bottom w:val="single" w:sz="6" w:space="0" w:color="auto"/>
              <w:right w:val="single" w:sz="6" w:space="0" w:color="auto"/>
            </w:tcBorders>
          </w:tcPr>
          <w:p w14:paraId="53240D46" w14:textId="77777777" w:rsidR="00286F7D" w:rsidRPr="00286F7D" w:rsidRDefault="00286F7D" w:rsidP="00286F7D">
            <w:pPr>
              <w:pStyle w:val="Texttabulky"/>
              <w:spacing w:after="0"/>
              <w:jc w:val="right"/>
              <w:rPr>
                <w:rFonts w:cs="Arial"/>
              </w:rPr>
            </w:pPr>
            <w:r w:rsidRPr="00286F7D">
              <w:rPr>
                <w:rFonts w:cs="Arial"/>
              </w:rPr>
              <w:t>40</w:t>
            </w:r>
          </w:p>
        </w:tc>
        <w:tc>
          <w:tcPr>
            <w:tcW w:w="761" w:type="dxa"/>
            <w:tcBorders>
              <w:top w:val="single" w:sz="6" w:space="0" w:color="auto"/>
              <w:left w:val="single" w:sz="6" w:space="0" w:color="auto"/>
              <w:bottom w:val="single" w:sz="6" w:space="0" w:color="auto"/>
              <w:right w:val="single" w:sz="6" w:space="0" w:color="auto"/>
            </w:tcBorders>
          </w:tcPr>
          <w:p w14:paraId="291E17EA" w14:textId="77777777" w:rsidR="00286F7D" w:rsidRPr="00286F7D" w:rsidRDefault="00286F7D" w:rsidP="00286F7D">
            <w:pPr>
              <w:pStyle w:val="Texttabulky"/>
              <w:spacing w:after="0"/>
              <w:jc w:val="right"/>
              <w:rPr>
                <w:rFonts w:cs="Arial"/>
              </w:rPr>
            </w:pPr>
            <w:r w:rsidRPr="00286F7D">
              <w:rPr>
                <w:rFonts w:cs="Arial"/>
              </w:rPr>
              <w:t>1</w:t>
            </w:r>
          </w:p>
        </w:tc>
        <w:tc>
          <w:tcPr>
            <w:tcW w:w="1119" w:type="dxa"/>
            <w:tcBorders>
              <w:top w:val="single" w:sz="6" w:space="0" w:color="auto"/>
              <w:left w:val="single" w:sz="6" w:space="0" w:color="auto"/>
              <w:bottom w:val="single" w:sz="6" w:space="0" w:color="auto"/>
              <w:right w:val="single" w:sz="6" w:space="0" w:color="auto"/>
            </w:tcBorders>
          </w:tcPr>
          <w:p w14:paraId="02882B8D" w14:textId="77777777" w:rsidR="00286F7D" w:rsidRPr="00286F7D" w:rsidRDefault="00286F7D" w:rsidP="00286F7D">
            <w:pPr>
              <w:pStyle w:val="Texttabulky"/>
              <w:spacing w:after="0"/>
              <w:jc w:val="right"/>
              <w:rPr>
                <w:rFonts w:cs="Arial"/>
              </w:rPr>
            </w:pPr>
            <w:r w:rsidRPr="00286F7D">
              <w:rPr>
                <w:rFonts w:cs="Arial"/>
              </w:rPr>
              <w:t>50</w:t>
            </w:r>
          </w:p>
        </w:tc>
        <w:tc>
          <w:tcPr>
            <w:tcW w:w="1011" w:type="dxa"/>
            <w:tcBorders>
              <w:top w:val="single" w:sz="6" w:space="0" w:color="auto"/>
              <w:left w:val="single" w:sz="6" w:space="0" w:color="auto"/>
              <w:bottom w:val="single" w:sz="6" w:space="0" w:color="auto"/>
              <w:right w:val="single" w:sz="6" w:space="0" w:color="auto"/>
            </w:tcBorders>
          </w:tcPr>
          <w:p w14:paraId="3CFB74E6" w14:textId="77777777" w:rsidR="00286F7D" w:rsidRPr="00286F7D" w:rsidRDefault="00286F7D" w:rsidP="00286F7D">
            <w:pPr>
              <w:pStyle w:val="Texttabulky"/>
              <w:spacing w:after="0"/>
              <w:rPr>
                <w:rFonts w:cs="Arial"/>
              </w:rPr>
            </w:pPr>
            <w:r w:rsidRPr="00286F7D">
              <w:rPr>
                <w:rFonts w:cs="Arial"/>
              </w:rPr>
              <w:t xml:space="preserve">         + 10</w:t>
            </w:r>
          </w:p>
        </w:tc>
      </w:tr>
      <w:tr w:rsidR="00286F7D" w:rsidRPr="00286F7D" w14:paraId="2A53F0D1" w14:textId="77777777" w:rsidTr="00286F7D">
        <w:tc>
          <w:tcPr>
            <w:tcW w:w="568" w:type="dxa"/>
            <w:tcBorders>
              <w:top w:val="single" w:sz="6" w:space="0" w:color="auto"/>
              <w:left w:val="single" w:sz="6" w:space="0" w:color="auto"/>
              <w:bottom w:val="single" w:sz="6" w:space="0" w:color="auto"/>
              <w:right w:val="single" w:sz="6" w:space="0" w:color="auto"/>
            </w:tcBorders>
          </w:tcPr>
          <w:p w14:paraId="11A140AC" w14:textId="77777777" w:rsidR="00286F7D" w:rsidRPr="00286F7D" w:rsidRDefault="00286F7D" w:rsidP="00286F7D">
            <w:pPr>
              <w:pStyle w:val="Texttabulky"/>
              <w:spacing w:after="0"/>
              <w:jc w:val="right"/>
              <w:rPr>
                <w:rFonts w:cs="Arial"/>
              </w:rPr>
            </w:pPr>
            <w:r w:rsidRPr="00286F7D">
              <w:rPr>
                <w:rFonts w:cs="Arial"/>
              </w:rPr>
              <w:t>64</w:t>
            </w:r>
          </w:p>
        </w:tc>
        <w:tc>
          <w:tcPr>
            <w:tcW w:w="2108" w:type="dxa"/>
            <w:tcBorders>
              <w:top w:val="single" w:sz="6" w:space="0" w:color="auto"/>
              <w:left w:val="single" w:sz="6" w:space="0" w:color="auto"/>
              <w:bottom w:val="single" w:sz="6" w:space="0" w:color="auto"/>
              <w:right w:val="single" w:sz="6" w:space="0" w:color="auto"/>
            </w:tcBorders>
          </w:tcPr>
          <w:p w14:paraId="723AD1A2" w14:textId="77777777" w:rsidR="00286F7D" w:rsidRPr="00286F7D" w:rsidRDefault="00286F7D" w:rsidP="00286F7D">
            <w:pPr>
              <w:pStyle w:val="Texttabulky"/>
              <w:spacing w:after="0"/>
              <w:rPr>
                <w:rFonts w:cs="Arial"/>
              </w:rPr>
            </w:pPr>
            <w:r w:rsidRPr="00286F7D">
              <w:rPr>
                <w:rFonts w:cs="Arial"/>
              </w:rPr>
              <w:t>Nová Ves</w:t>
            </w:r>
          </w:p>
        </w:tc>
        <w:tc>
          <w:tcPr>
            <w:tcW w:w="1094" w:type="dxa"/>
            <w:tcBorders>
              <w:top w:val="single" w:sz="6" w:space="0" w:color="auto"/>
              <w:left w:val="single" w:sz="6" w:space="0" w:color="auto"/>
              <w:bottom w:val="single" w:sz="6" w:space="0" w:color="auto"/>
              <w:right w:val="single" w:sz="6" w:space="0" w:color="auto"/>
            </w:tcBorders>
          </w:tcPr>
          <w:p w14:paraId="55893B2C"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0CAFE2A0"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5295CD38"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57EEC6EB"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7E51FC96"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66514023" w14:textId="77777777" w:rsidTr="00286F7D">
        <w:tc>
          <w:tcPr>
            <w:tcW w:w="568" w:type="dxa"/>
            <w:tcBorders>
              <w:top w:val="single" w:sz="6" w:space="0" w:color="auto"/>
              <w:left w:val="single" w:sz="6" w:space="0" w:color="auto"/>
              <w:bottom w:val="single" w:sz="6" w:space="0" w:color="auto"/>
              <w:right w:val="single" w:sz="6" w:space="0" w:color="auto"/>
            </w:tcBorders>
          </w:tcPr>
          <w:p w14:paraId="714A522C" w14:textId="77777777" w:rsidR="00286F7D" w:rsidRPr="00286F7D" w:rsidRDefault="00286F7D" w:rsidP="00286F7D">
            <w:pPr>
              <w:pStyle w:val="Texttabulky"/>
              <w:spacing w:after="0"/>
              <w:rPr>
                <w:rFonts w:cs="Arial"/>
              </w:rPr>
            </w:pPr>
            <w:r w:rsidRPr="00286F7D">
              <w:rPr>
                <w:rFonts w:cs="Arial"/>
                <w:b/>
                <w:bCs/>
              </w:rPr>
              <w:t xml:space="preserve">  IV</w:t>
            </w:r>
          </w:p>
        </w:tc>
        <w:tc>
          <w:tcPr>
            <w:tcW w:w="2108" w:type="dxa"/>
            <w:tcBorders>
              <w:top w:val="single" w:sz="6" w:space="0" w:color="auto"/>
              <w:left w:val="single" w:sz="6" w:space="0" w:color="auto"/>
              <w:bottom w:val="single" w:sz="6" w:space="0" w:color="auto"/>
              <w:right w:val="single" w:sz="6" w:space="0" w:color="auto"/>
            </w:tcBorders>
          </w:tcPr>
          <w:p w14:paraId="4B3F506E" w14:textId="77777777" w:rsidR="00286F7D" w:rsidRPr="00286F7D" w:rsidRDefault="00286F7D" w:rsidP="00286F7D">
            <w:pPr>
              <w:pStyle w:val="Texttabulky"/>
              <w:spacing w:after="0"/>
              <w:rPr>
                <w:rFonts w:cs="Arial"/>
              </w:rPr>
            </w:pPr>
            <w:r w:rsidRPr="00286F7D">
              <w:rPr>
                <w:rFonts w:cs="Arial"/>
                <w:b/>
                <w:bCs/>
                <w:caps/>
              </w:rPr>
              <w:t>sektor celkem</w:t>
            </w:r>
          </w:p>
        </w:tc>
        <w:tc>
          <w:tcPr>
            <w:tcW w:w="1094" w:type="dxa"/>
            <w:tcBorders>
              <w:top w:val="single" w:sz="6" w:space="0" w:color="auto"/>
              <w:left w:val="single" w:sz="6" w:space="0" w:color="auto"/>
              <w:bottom w:val="single" w:sz="6" w:space="0" w:color="auto"/>
              <w:right w:val="single" w:sz="6" w:space="0" w:color="auto"/>
            </w:tcBorders>
          </w:tcPr>
          <w:p w14:paraId="56FD5BE9" w14:textId="77777777" w:rsidR="00286F7D" w:rsidRPr="00286F7D" w:rsidRDefault="00286F7D" w:rsidP="00286F7D">
            <w:pPr>
              <w:pStyle w:val="Texttabulky"/>
              <w:spacing w:after="0"/>
              <w:jc w:val="right"/>
              <w:rPr>
                <w:rFonts w:cs="Arial"/>
              </w:rPr>
            </w:pPr>
            <w:r w:rsidRPr="00286F7D">
              <w:rPr>
                <w:rFonts w:cs="Arial"/>
                <w:b/>
                <w:bCs/>
              </w:rPr>
              <w:t>1 262</w:t>
            </w:r>
          </w:p>
        </w:tc>
        <w:tc>
          <w:tcPr>
            <w:tcW w:w="1165" w:type="dxa"/>
            <w:tcBorders>
              <w:top w:val="single" w:sz="6" w:space="0" w:color="auto"/>
              <w:left w:val="single" w:sz="6" w:space="0" w:color="auto"/>
              <w:bottom w:val="single" w:sz="6" w:space="0" w:color="auto"/>
              <w:right w:val="single" w:sz="6" w:space="0" w:color="auto"/>
            </w:tcBorders>
          </w:tcPr>
          <w:p w14:paraId="50BBCC37" w14:textId="77777777" w:rsidR="00286F7D" w:rsidRPr="00286F7D" w:rsidRDefault="00286F7D" w:rsidP="00286F7D">
            <w:pPr>
              <w:pStyle w:val="Texttabulky"/>
              <w:spacing w:after="0"/>
              <w:jc w:val="right"/>
              <w:rPr>
                <w:rFonts w:cs="Arial"/>
              </w:rPr>
            </w:pPr>
            <w:r w:rsidRPr="00286F7D">
              <w:rPr>
                <w:rFonts w:cs="Arial"/>
                <w:b/>
                <w:bCs/>
              </w:rPr>
              <w:t>1 490</w:t>
            </w:r>
          </w:p>
        </w:tc>
        <w:tc>
          <w:tcPr>
            <w:tcW w:w="761" w:type="dxa"/>
            <w:tcBorders>
              <w:top w:val="single" w:sz="6" w:space="0" w:color="auto"/>
              <w:left w:val="single" w:sz="6" w:space="0" w:color="auto"/>
              <w:bottom w:val="single" w:sz="6" w:space="0" w:color="auto"/>
              <w:right w:val="single" w:sz="6" w:space="0" w:color="auto"/>
            </w:tcBorders>
          </w:tcPr>
          <w:p w14:paraId="4F963A43" w14:textId="77777777" w:rsidR="00286F7D" w:rsidRPr="00286F7D" w:rsidRDefault="00286F7D" w:rsidP="00286F7D">
            <w:pPr>
              <w:pStyle w:val="Texttabulky"/>
              <w:spacing w:after="0"/>
              <w:jc w:val="right"/>
              <w:rPr>
                <w:rFonts w:cs="Arial"/>
              </w:rPr>
            </w:pPr>
            <w:r w:rsidRPr="00286F7D">
              <w:rPr>
                <w:rFonts w:cs="Arial"/>
                <w:b/>
                <w:bCs/>
              </w:rPr>
              <w:t>29</w:t>
            </w:r>
          </w:p>
        </w:tc>
        <w:tc>
          <w:tcPr>
            <w:tcW w:w="1119" w:type="dxa"/>
            <w:tcBorders>
              <w:top w:val="single" w:sz="6" w:space="0" w:color="auto"/>
              <w:left w:val="single" w:sz="6" w:space="0" w:color="auto"/>
              <w:bottom w:val="single" w:sz="6" w:space="0" w:color="auto"/>
              <w:right w:val="single" w:sz="6" w:space="0" w:color="auto"/>
            </w:tcBorders>
          </w:tcPr>
          <w:p w14:paraId="514605D7" w14:textId="77777777" w:rsidR="00286F7D" w:rsidRPr="00286F7D" w:rsidRDefault="00286F7D" w:rsidP="00286F7D">
            <w:pPr>
              <w:pStyle w:val="Texttabulky"/>
              <w:spacing w:after="0"/>
              <w:jc w:val="right"/>
              <w:rPr>
                <w:rFonts w:cs="Arial"/>
              </w:rPr>
            </w:pPr>
            <w:r w:rsidRPr="00286F7D">
              <w:rPr>
                <w:rFonts w:cs="Arial"/>
                <w:b/>
                <w:bCs/>
              </w:rPr>
              <w:t>1 569</w:t>
            </w:r>
          </w:p>
        </w:tc>
        <w:tc>
          <w:tcPr>
            <w:tcW w:w="1011" w:type="dxa"/>
            <w:tcBorders>
              <w:top w:val="single" w:sz="6" w:space="0" w:color="auto"/>
              <w:left w:val="single" w:sz="6" w:space="0" w:color="auto"/>
              <w:bottom w:val="single" w:sz="6" w:space="0" w:color="auto"/>
              <w:right w:val="single" w:sz="6" w:space="0" w:color="auto"/>
            </w:tcBorders>
          </w:tcPr>
          <w:p w14:paraId="065AD95C" w14:textId="77777777" w:rsidR="00286F7D" w:rsidRPr="00286F7D" w:rsidRDefault="00286F7D" w:rsidP="00286F7D">
            <w:pPr>
              <w:pStyle w:val="Texttabulky"/>
              <w:spacing w:after="0"/>
              <w:rPr>
                <w:rFonts w:cs="Arial"/>
              </w:rPr>
            </w:pPr>
            <w:r w:rsidRPr="00286F7D">
              <w:rPr>
                <w:rFonts w:cs="Arial"/>
                <w:b/>
                <w:bCs/>
              </w:rPr>
              <w:t xml:space="preserve">         + 79</w:t>
            </w:r>
          </w:p>
        </w:tc>
      </w:tr>
      <w:tr w:rsidR="00286F7D" w:rsidRPr="00286F7D" w14:paraId="178501E1" w14:textId="77777777" w:rsidTr="00286F7D">
        <w:tc>
          <w:tcPr>
            <w:tcW w:w="568" w:type="dxa"/>
            <w:tcBorders>
              <w:top w:val="single" w:sz="6" w:space="0" w:color="auto"/>
              <w:left w:val="single" w:sz="6" w:space="0" w:color="auto"/>
              <w:bottom w:val="single" w:sz="6" w:space="0" w:color="auto"/>
              <w:right w:val="single" w:sz="6" w:space="0" w:color="auto"/>
            </w:tcBorders>
          </w:tcPr>
          <w:p w14:paraId="561674E0" w14:textId="77777777" w:rsidR="00286F7D" w:rsidRPr="00286F7D" w:rsidRDefault="00286F7D" w:rsidP="00286F7D">
            <w:pPr>
              <w:pStyle w:val="Texttabulky"/>
              <w:spacing w:after="0"/>
              <w:jc w:val="right"/>
              <w:rPr>
                <w:rFonts w:cs="Arial"/>
              </w:rPr>
            </w:pPr>
            <w:r w:rsidRPr="00286F7D">
              <w:rPr>
                <w:rFonts w:cs="Arial"/>
              </w:rPr>
              <w:t>2</w:t>
            </w:r>
          </w:p>
        </w:tc>
        <w:tc>
          <w:tcPr>
            <w:tcW w:w="2108" w:type="dxa"/>
            <w:tcBorders>
              <w:top w:val="single" w:sz="6" w:space="0" w:color="auto"/>
              <w:left w:val="single" w:sz="6" w:space="0" w:color="auto"/>
              <w:bottom w:val="single" w:sz="6" w:space="0" w:color="auto"/>
              <w:right w:val="single" w:sz="6" w:space="0" w:color="auto"/>
            </w:tcBorders>
          </w:tcPr>
          <w:p w14:paraId="368EA060" w14:textId="77777777" w:rsidR="00286F7D" w:rsidRPr="00286F7D" w:rsidRDefault="00286F7D" w:rsidP="00286F7D">
            <w:pPr>
              <w:pStyle w:val="Texttabulky"/>
              <w:spacing w:after="0"/>
              <w:rPr>
                <w:rFonts w:cs="Arial"/>
              </w:rPr>
            </w:pPr>
            <w:r w:rsidRPr="00286F7D">
              <w:rPr>
                <w:rFonts w:cs="Arial"/>
              </w:rPr>
              <w:t>Přístav</w:t>
            </w:r>
          </w:p>
        </w:tc>
        <w:tc>
          <w:tcPr>
            <w:tcW w:w="1094" w:type="dxa"/>
            <w:tcBorders>
              <w:top w:val="single" w:sz="6" w:space="0" w:color="auto"/>
              <w:left w:val="single" w:sz="6" w:space="0" w:color="auto"/>
              <w:bottom w:val="single" w:sz="6" w:space="0" w:color="auto"/>
              <w:right w:val="single" w:sz="6" w:space="0" w:color="auto"/>
            </w:tcBorders>
          </w:tcPr>
          <w:p w14:paraId="18AB450A" w14:textId="77777777" w:rsidR="00286F7D" w:rsidRPr="00286F7D" w:rsidRDefault="00286F7D" w:rsidP="00286F7D">
            <w:pPr>
              <w:pStyle w:val="Texttabulky"/>
              <w:spacing w:after="0"/>
              <w:jc w:val="right"/>
              <w:rPr>
                <w:rFonts w:cs="Arial"/>
              </w:rPr>
            </w:pPr>
            <w:r w:rsidRPr="00286F7D">
              <w:rPr>
                <w:rFonts w:cs="Arial"/>
              </w:rPr>
              <w:t>100</w:t>
            </w:r>
          </w:p>
        </w:tc>
        <w:tc>
          <w:tcPr>
            <w:tcW w:w="1165" w:type="dxa"/>
            <w:tcBorders>
              <w:top w:val="single" w:sz="6" w:space="0" w:color="auto"/>
              <w:left w:val="single" w:sz="6" w:space="0" w:color="auto"/>
              <w:bottom w:val="single" w:sz="6" w:space="0" w:color="auto"/>
              <w:right w:val="single" w:sz="6" w:space="0" w:color="auto"/>
            </w:tcBorders>
          </w:tcPr>
          <w:p w14:paraId="7D845304" w14:textId="77777777" w:rsidR="00286F7D" w:rsidRPr="00286F7D" w:rsidRDefault="00286F7D" w:rsidP="00286F7D">
            <w:pPr>
              <w:pStyle w:val="Texttabulky"/>
              <w:spacing w:after="0"/>
              <w:jc w:val="right"/>
              <w:rPr>
                <w:rFonts w:cs="Arial"/>
              </w:rPr>
            </w:pPr>
            <w:r w:rsidRPr="00286F7D">
              <w:rPr>
                <w:rFonts w:cs="Arial"/>
              </w:rPr>
              <w:t>100</w:t>
            </w:r>
          </w:p>
        </w:tc>
        <w:tc>
          <w:tcPr>
            <w:tcW w:w="761" w:type="dxa"/>
            <w:tcBorders>
              <w:top w:val="single" w:sz="6" w:space="0" w:color="auto"/>
              <w:left w:val="single" w:sz="6" w:space="0" w:color="auto"/>
              <w:bottom w:val="single" w:sz="6" w:space="0" w:color="auto"/>
              <w:right w:val="single" w:sz="6" w:space="0" w:color="auto"/>
            </w:tcBorders>
          </w:tcPr>
          <w:p w14:paraId="5871BE1B" w14:textId="77777777" w:rsidR="00286F7D" w:rsidRPr="00286F7D" w:rsidRDefault="00286F7D" w:rsidP="00286F7D">
            <w:pPr>
              <w:pStyle w:val="Texttabulky"/>
              <w:spacing w:after="0"/>
              <w:jc w:val="right"/>
              <w:rPr>
                <w:rFonts w:cs="Arial"/>
              </w:rPr>
            </w:pPr>
            <w:r w:rsidRPr="00286F7D">
              <w:rPr>
                <w:rFonts w:cs="Arial"/>
              </w:rPr>
              <w:t>1</w:t>
            </w:r>
          </w:p>
        </w:tc>
        <w:tc>
          <w:tcPr>
            <w:tcW w:w="1119" w:type="dxa"/>
            <w:tcBorders>
              <w:top w:val="single" w:sz="6" w:space="0" w:color="auto"/>
              <w:left w:val="single" w:sz="6" w:space="0" w:color="auto"/>
              <w:bottom w:val="single" w:sz="6" w:space="0" w:color="auto"/>
              <w:right w:val="single" w:sz="6" w:space="0" w:color="auto"/>
            </w:tcBorders>
          </w:tcPr>
          <w:p w14:paraId="1E97032D" w14:textId="77777777" w:rsidR="00286F7D" w:rsidRPr="00286F7D" w:rsidRDefault="00286F7D" w:rsidP="00286F7D">
            <w:pPr>
              <w:pStyle w:val="Texttabulky"/>
              <w:spacing w:after="0"/>
              <w:jc w:val="right"/>
              <w:rPr>
                <w:rFonts w:cs="Arial"/>
              </w:rPr>
            </w:pPr>
            <w:r w:rsidRPr="00286F7D">
              <w:rPr>
                <w:rFonts w:cs="Arial"/>
              </w:rPr>
              <w:t>150</w:t>
            </w:r>
          </w:p>
        </w:tc>
        <w:tc>
          <w:tcPr>
            <w:tcW w:w="1011" w:type="dxa"/>
            <w:tcBorders>
              <w:top w:val="single" w:sz="6" w:space="0" w:color="auto"/>
              <w:left w:val="single" w:sz="6" w:space="0" w:color="auto"/>
              <w:bottom w:val="single" w:sz="6" w:space="0" w:color="auto"/>
              <w:right w:val="single" w:sz="6" w:space="0" w:color="auto"/>
            </w:tcBorders>
          </w:tcPr>
          <w:p w14:paraId="2261A85F" w14:textId="77777777" w:rsidR="00286F7D" w:rsidRPr="00286F7D" w:rsidRDefault="00286F7D" w:rsidP="00286F7D">
            <w:pPr>
              <w:pStyle w:val="Texttabulky"/>
              <w:spacing w:after="0"/>
              <w:rPr>
                <w:rFonts w:cs="Arial"/>
              </w:rPr>
            </w:pPr>
            <w:r w:rsidRPr="00286F7D">
              <w:rPr>
                <w:rFonts w:cs="Arial"/>
              </w:rPr>
              <w:t xml:space="preserve">         + 50</w:t>
            </w:r>
          </w:p>
        </w:tc>
      </w:tr>
      <w:tr w:rsidR="00286F7D" w:rsidRPr="00286F7D" w14:paraId="305083A2" w14:textId="77777777" w:rsidTr="00286F7D">
        <w:tc>
          <w:tcPr>
            <w:tcW w:w="568" w:type="dxa"/>
            <w:tcBorders>
              <w:top w:val="single" w:sz="6" w:space="0" w:color="auto"/>
              <w:left w:val="single" w:sz="6" w:space="0" w:color="auto"/>
              <w:bottom w:val="single" w:sz="6" w:space="0" w:color="auto"/>
              <w:right w:val="single" w:sz="6" w:space="0" w:color="auto"/>
            </w:tcBorders>
          </w:tcPr>
          <w:p w14:paraId="64A5E582" w14:textId="77777777" w:rsidR="00286F7D" w:rsidRPr="00286F7D" w:rsidRDefault="00286F7D" w:rsidP="00286F7D">
            <w:pPr>
              <w:pStyle w:val="Texttabulky"/>
              <w:spacing w:after="0"/>
              <w:jc w:val="right"/>
              <w:rPr>
                <w:rFonts w:cs="Arial"/>
              </w:rPr>
            </w:pPr>
            <w:r w:rsidRPr="00286F7D">
              <w:rPr>
                <w:rFonts w:cs="Arial"/>
              </w:rPr>
              <w:t>3</w:t>
            </w:r>
          </w:p>
        </w:tc>
        <w:tc>
          <w:tcPr>
            <w:tcW w:w="2108" w:type="dxa"/>
            <w:tcBorders>
              <w:top w:val="single" w:sz="6" w:space="0" w:color="auto"/>
              <w:left w:val="single" w:sz="6" w:space="0" w:color="auto"/>
              <w:bottom w:val="single" w:sz="6" w:space="0" w:color="auto"/>
              <w:right w:val="single" w:sz="6" w:space="0" w:color="auto"/>
            </w:tcBorders>
          </w:tcPr>
          <w:p w14:paraId="4B62A516" w14:textId="77777777" w:rsidR="00286F7D" w:rsidRPr="00286F7D" w:rsidRDefault="00286F7D" w:rsidP="00286F7D">
            <w:pPr>
              <w:pStyle w:val="Texttabulky"/>
              <w:spacing w:after="0"/>
              <w:rPr>
                <w:rFonts w:cs="Arial"/>
              </w:rPr>
            </w:pPr>
            <w:r w:rsidRPr="00286F7D">
              <w:rPr>
                <w:rFonts w:cs="Arial"/>
              </w:rPr>
              <w:t>Děčínská výšina</w:t>
            </w:r>
          </w:p>
        </w:tc>
        <w:tc>
          <w:tcPr>
            <w:tcW w:w="1094" w:type="dxa"/>
            <w:tcBorders>
              <w:top w:val="single" w:sz="6" w:space="0" w:color="auto"/>
              <w:left w:val="single" w:sz="6" w:space="0" w:color="auto"/>
              <w:bottom w:val="single" w:sz="6" w:space="0" w:color="auto"/>
              <w:right w:val="single" w:sz="6" w:space="0" w:color="auto"/>
            </w:tcBorders>
          </w:tcPr>
          <w:p w14:paraId="2264164F"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74B89BF4"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6943D5E0"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6A70E47D"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07FA81C1"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4563E863" w14:textId="77777777" w:rsidTr="00286F7D">
        <w:tc>
          <w:tcPr>
            <w:tcW w:w="568" w:type="dxa"/>
            <w:tcBorders>
              <w:top w:val="single" w:sz="6" w:space="0" w:color="auto"/>
              <w:left w:val="single" w:sz="6" w:space="0" w:color="auto"/>
              <w:bottom w:val="single" w:sz="6" w:space="0" w:color="auto"/>
              <w:right w:val="single" w:sz="6" w:space="0" w:color="auto"/>
            </w:tcBorders>
          </w:tcPr>
          <w:p w14:paraId="1BD6B260" w14:textId="77777777" w:rsidR="00286F7D" w:rsidRPr="00286F7D" w:rsidRDefault="00286F7D" w:rsidP="00286F7D">
            <w:pPr>
              <w:pStyle w:val="Texttabulky"/>
              <w:spacing w:after="0"/>
              <w:jc w:val="right"/>
              <w:rPr>
                <w:rFonts w:cs="Arial"/>
              </w:rPr>
            </w:pPr>
            <w:r w:rsidRPr="00286F7D">
              <w:rPr>
                <w:rFonts w:cs="Arial"/>
              </w:rPr>
              <w:t>39</w:t>
            </w:r>
          </w:p>
        </w:tc>
        <w:tc>
          <w:tcPr>
            <w:tcW w:w="2108" w:type="dxa"/>
            <w:tcBorders>
              <w:top w:val="single" w:sz="6" w:space="0" w:color="auto"/>
              <w:left w:val="single" w:sz="6" w:space="0" w:color="auto"/>
              <w:bottom w:val="single" w:sz="6" w:space="0" w:color="auto"/>
              <w:right w:val="single" w:sz="6" w:space="0" w:color="auto"/>
            </w:tcBorders>
          </w:tcPr>
          <w:p w14:paraId="1685BC28" w14:textId="77777777" w:rsidR="00286F7D" w:rsidRPr="00286F7D" w:rsidRDefault="00286F7D" w:rsidP="00286F7D">
            <w:pPr>
              <w:pStyle w:val="Texttabulky"/>
              <w:spacing w:after="0"/>
              <w:rPr>
                <w:rFonts w:cs="Arial"/>
              </w:rPr>
            </w:pPr>
            <w:r w:rsidRPr="00286F7D">
              <w:rPr>
                <w:rFonts w:cs="Arial"/>
              </w:rPr>
              <w:t>Prostřední Žleb</w:t>
            </w:r>
          </w:p>
        </w:tc>
        <w:tc>
          <w:tcPr>
            <w:tcW w:w="1094" w:type="dxa"/>
            <w:tcBorders>
              <w:top w:val="single" w:sz="6" w:space="0" w:color="auto"/>
              <w:left w:val="single" w:sz="6" w:space="0" w:color="auto"/>
              <w:bottom w:val="single" w:sz="6" w:space="0" w:color="auto"/>
              <w:right w:val="single" w:sz="6" w:space="0" w:color="auto"/>
            </w:tcBorders>
          </w:tcPr>
          <w:p w14:paraId="2390159D"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6999DBA9"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4E8CC201"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08FB7184"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313E7D91"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8637174" w14:textId="77777777" w:rsidTr="00286F7D">
        <w:tc>
          <w:tcPr>
            <w:tcW w:w="568" w:type="dxa"/>
            <w:tcBorders>
              <w:top w:val="single" w:sz="6" w:space="0" w:color="auto"/>
              <w:left w:val="single" w:sz="6" w:space="0" w:color="auto"/>
              <w:bottom w:val="single" w:sz="6" w:space="0" w:color="auto"/>
              <w:right w:val="single" w:sz="6" w:space="0" w:color="auto"/>
            </w:tcBorders>
          </w:tcPr>
          <w:p w14:paraId="24D6E719" w14:textId="77777777" w:rsidR="00286F7D" w:rsidRPr="00286F7D" w:rsidRDefault="00286F7D" w:rsidP="00286F7D">
            <w:pPr>
              <w:pStyle w:val="Texttabulky"/>
              <w:spacing w:after="0"/>
              <w:jc w:val="right"/>
              <w:rPr>
                <w:rFonts w:cs="Arial"/>
              </w:rPr>
            </w:pPr>
            <w:r w:rsidRPr="00286F7D">
              <w:rPr>
                <w:rFonts w:cs="Arial"/>
              </w:rPr>
              <w:t>40</w:t>
            </w:r>
          </w:p>
        </w:tc>
        <w:tc>
          <w:tcPr>
            <w:tcW w:w="2108" w:type="dxa"/>
            <w:tcBorders>
              <w:top w:val="single" w:sz="6" w:space="0" w:color="auto"/>
              <w:left w:val="single" w:sz="6" w:space="0" w:color="auto"/>
              <w:bottom w:val="single" w:sz="6" w:space="0" w:color="auto"/>
              <w:right w:val="single" w:sz="6" w:space="0" w:color="auto"/>
            </w:tcBorders>
          </w:tcPr>
          <w:p w14:paraId="636C6858" w14:textId="77777777" w:rsidR="00286F7D" w:rsidRPr="00286F7D" w:rsidRDefault="00286F7D" w:rsidP="00286F7D">
            <w:pPr>
              <w:pStyle w:val="Texttabulky"/>
              <w:spacing w:after="0"/>
              <w:rPr>
                <w:rFonts w:cs="Arial"/>
              </w:rPr>
            </w:pPr>
            <w:r w:rsidRPr="00286F7D">
              <w:rPr>
                <w:rFonts w:cs="Arial"/>
              </w:rPr>
              <w:t>Loubí</w:t>
            </w:r>
          </w:p>
        </w:tc>
        <w:tc>
          <w:tcPr>
            <w:tcW w:w="1094" w:type="dxa"/>
            <w:tcBorders>
              <w:top w:val="single" w:sz="6" w:space="0" w:color="auto"/>
              <w:left w:val="single" w:sz="6" w:space="0" w:color="auto"/>
              <w:bottom w:val="single" w:sz="6" w:space="0" w:color="auto"/>
              <w:right w:val="single" w:sz="6" w:space="0" w:color="auto"/>
            </w:tcBorders>
          </w:tcPr>
          <w:p w14:paraId="50EBF5FF" w14:textId="77777777" w:rsidR="00286F7D" w:rsidRPr="00286F7D" w:rsidRDefault="00286F7D" w:rsidP="00286F7D">
            <w:pPr>
              <w:pStyle w:val="Texttabulky"/>
              <w:spacing w:after="0"/>
              <w:jc w:val="right"/>
              <w:rPr>
                <w:rFonts w:cs="Arial"/>
              </w:rPr>
            </w:pPr>
            <w:r w:rsidRPr="00286F7D">
              <w:rPr>
                <w:rFonts w:cs="Arial"/>
              </w:rPr>
              <w:t>50</w:t>
            </w:r>
          </w:p>
        </w:tc>
        <w:tc>
          <w:tcPr>
            <w:tcW w:w="1165" w:type="dxa"/>
            <w:tcBorders>
              <w:top w:val="single" w:sz="6" w:space="0" w:color="auto"/>
              <w:left w:val="single" w:sz="6" w:space="0" w:color="auto"/>
              <w:bottom w:val="single" w:sz="6" w:space="0" w:color="auto"/>
              <w:right w:val="single" w:sz="6" w:space="0" w:color="auto"/>
            </w:tcBorders>
          </w:tcPr>
          <w:p w14:paraId="07492569" w14:textId="77777777" w:rsidR="00286F7D" w:rsidRPr="00286F7D" w:rsidRDefault="00286F7D" w:rsidP="00286F7D">
            <w:pPr>
              <w:pStyle w:val="Texttabulky"/>
              <w:spacing w:after="0"/>
              <w:jc w:val="right"/>
              <w:rPr>
                <w:rFonts w:cs="Arial"/>
              </w:rPr>
            </w:pPr>
            <w:r w:rsidRPr="00286F7D">
              <w:rPr>
                <w:rFonts w:cs="Arial"/>
              </w:rPr>
              <w:t>50</w:t>
            </w:r>
          </w:p>
        </w:tc>
        <w:tc>
          <w:tcPr>
            <w:tcW w:w="761" w:type="dxa"/>
            <w:tcBorders>
              <w:top w:val="single" w:sz="6" w:space="0" w:color="auto"/>
              <w:left w:val="single" w:sz="6" w:space="0" w:color="auto"/>
              <w:bottom w:val="single" w:sz="6" w:space="0" w:color="auto"/>
              <w:right w:val="single" w:sz="6" w:space="0" w:color="auto"/>
            </w:tcBorders>
          </w:tcPr>
          <w:p w14:paraId="1C2CE498" w14:textId="77777777" w:rsidR="00286F7D" w:rsidRPr="00286F7D" w:rsidRDefault="00286F7D" w:rsidP="00286F7D">
            <w:pPr>
              <w:pStyle w:val="Texttabulky"/>
              <w:spacing w:after="0"/>
              <w:jc w:val="right"/>
              <w:rPr>
                <w:rFonts w:cs="Arial"/>
              </w:rPr>
            </w:pPr>
            <w:r w:rsidRPr="00286F7D">
              <w:rPr>
                <w:rFonts w:cs="Arial"/>
              </w:rPr>
              <w:t>1</w:t>
            </w:r>
          </w:p>
        </w:tc>
        <w:tc>
          <w:tcPr>
            <w:tcW w:w="1119" w:type="dxa"/>
            <w:tcBorders>
              <w:top w:val="single" w:sz="6" w:space="0" w:color="auto"/>
              <w:left w:val="single" w:sz="6" w:space="0" w:color="auto"/>
              <w:bottom w:val="single" w:sz="6" w:space="0" w:color="auto"/>
              <w:right w:val="single" w:sz="6" w:space="0" w:color="auto"/>
            </w:tcBorders>
          </w:tcPr>
          <w:p w14:paraId="014A5E95" w14:textId="77777777" w:rsidR="00286F7D" w:rsidRPr="00286F7D" w:rsidRDefault="00286F7D" w:rsidP="00286F7D">
            <w:pPr>
              <w:pStyle w:val="Texttabulky"/>
              <w:spacing w:after="0"/>
              <w:jc w:val="right"/>
              <w:rPr>
                <w:rFonts w:cs="Arial"/>
              </w:rPr>
            </w:pPr>
            <w:r w:rsidRPr="00286F7D">
              <w:rPr>
                <w:rFonts w:cs="Arial"/>
              </w:rPr>
              <w:t>200</w:t>
            </w:r>
          </w:p>
        </w:tc>
        <w:tc>
          <w:tcPr>
            <w:tcW w:w="1011" w:type="dxa"/>
            <w:tcBorders>
              <w:top w:val="single" w:sz="6" w:space="0" w:color="auto"/>
              <w:left w:val="single" w:sz="6" w:space="0" w:color="auto"/>
              <w:bottom w:val="single" w:sz="6" w:space="0" w:color="auto"/>
              <w:right w:val="single" w:sz="6" w:space="0" w:color="auto"/>
            </w:tcBorders>
          </w:tcPr>
          <w:p w14:paraId="1D1B38EC" w14:textId="77777777" w:rsidR="00286F7D" w:rsidRPr="00286F7D" w:rsidRDefault="00286F7D" w:rsidP="00286F7D">
            <w:pPr>
              <w:pStyle w:val="Texttabulky"/>
              <w:spacing w:after="0"/>
              <w:rPr>
                <w:rFonts w:cs="Arial"/>
              </w:rPr>
            </w:pPr>
            <w:r w:rsidRPr="00286F7D">
              <w:rPr>
                <w:rFonts w:cs="Arial"/>
              </w:rPr>
              <w:t xml:space="preserve">       + 150</w:t>
            </w:r>
          </w:p>
        </w:tc>
      </w:tr>
      <w:tr w:rsidR="00286F7D" w:rsidRPr="00286F7D" w14:paraId="6602E422" w14:textId="77777777" w:rsidTr="00286F7D">
        <w:tc>
          <w:tcPr>
            <w:tcW w:w="568" w:type="dxa"/>
            <w:tcBorders>
              <w:top w:val="single" w:sz="6" w:space="0" w:color="auto"/>
              <w:left w:val="single" w:sz="6" w:space="0" w:color="auto"/>
              <w:bottom w:val="single" w:sz="6" w:space="0" w:color="auto"/>
              <w:right w:val="single" w:sz="6" w:space="0" w:color="auto"/>
            </w:tcBorders>
          </w:tcPr>
          <w:p w14:paraId="5A044B90" w14:textId="77777777" w:rsidR="00286F7D" w:rsidRPr="00286F7D" w:rsidRDefault="00286F7D" w:rsidP="00286F7D">
            <w:pPr>
              <w:pStyle w:val="Texttabulky"/>
              <w:spacing w:after="0"/>
              <w:jc w:val="right"/>
              <w:rPr>
                <w:rFonts w:cs="Arial"/>
              </w:rPr>
            </w:pPr>
            <w:r w:rsidRPr="00286F7D">
              <w:rPr>
                <w:rFonts w:cs="Arial"/>
              </w:rPr>
              <w:t>65</w:t>
            </w:r>
          </w:p>
        </w:tc>
        <w:tc>
          <w:tcPr>
            <w:tcW w:w="2108" w:type="dxa"/>
            <w:tcBorders>
              <w:top w:val="single" w:sz="6" w:space="0" w:color="auto"/>
              <w:left w:val="single" w:sz="6" w:space="0" w:color="auto"/>
              <w:bottom w:val="single" w:sz="6" w:space="0" w:color="auto"/>
              <w:right w:val="single" w:sz="6" w:space="0" w:color="auto"/>
            </w:tcBorders>
          </w:tcPr>
          <w:p w14:paraId="71D3C25A" w14:textId="77777777" w:rsidR="00286F7D" w:rsidRPr="00286F7D" w:rsidRDefault="00286F7D" w:rsidP="00286F7D">
            <w:pPr>
              <w:pStyle w:val="Texttabulky"/>
              <w:spacing w:after="0"/>
              <w:rPr>
                <w:rFonts w:cs="Arial"/>
              </w:rPr>
            </w:pPr>
            <w:r w:rsidRPr="00286F7D">
              <w:rPr>
                <w:rFonts w:cs="Arial"/>
              </w:rPr>
              <w:t>Horní Žleb</w:t>
            </w:r>
          </w:p>
        </w:tc>
        <w:tc>
          <w:tcPr>
            <w:tcW w:w="1094" w:type="dxa"/>
            <w:tcBorders>
              <w:top w:val="single" w:sz="6" w:space="0" w:color="auto"/>
              <w:left w:val="single" w:sz="6" w:space="0" w:color="auto"/>
              <w:bottom w:val="single" w:sz="6" w:space="0" w:color="auto"/>
              <w:right w:val="single" w:sz="6" w:space="0" w:color="auto"/>
            </w:tcBorders>
          </w:tcPr>
          <w:p w14:paraId="63D3FE3D"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56CD5AA0"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1F1A9E9E"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5B43DBDA"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55562CD6"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43A1852B" w14:textId="77777777" w:rsidTr="00286F7D">
        <w:tc>
          <w:tcPr>
            <w:tcW w:w="568" w:type="dxa"/>
            <w:tcBorders>
              <w:top w:val="single" w:sz="6" w:space="0" w:color="auto"/>
              <w:left w:val="single" w:sz="6" w:space="0" w:color="auto"/>
              <w:bottom w:val="single" w:sz="6" w:space="0" w:color="auto"/>
              <w:right w:val="single" w:sz="6" w:space="0" w:color="auto"/>
            </w:tcBorders>
          </w:tcPr>
          <w:p w14:paraId="17F6D6C1" w14:textId="77777777" w:rsidR="00286F7D" w:rsidRPr="00286F7D" w:rsidRDefault="00286F7D" w:rsidP="00286F7D">
            <w:pPr>
              <w:pStyle w:val="Texttabulky"/>
              <w:spacing w:after="0"/>
              <w:rPr>
                <w:rFonts w:cs="Arial"/>
              </w:rPr>
            </w:pPr>
            <w:r w:rsidRPr="00286F7D">
              <w:rPr>
                <w:rFonts w:cs="Arial"/>
                <w:b/>
                <w:bCs/>
              </w:rPr>
              <w:t xml:space="preserve">   V</w:t>
            </w:r>
          </w:p>
        </w:tc>
        <w:tc>
          <w:tcPr>
            <w:tcW w:w="2108" w:type="dxa"/>
            <w:tcBorders>
              <w:top w:val="single" w:sz="6" w:space="0" w:color="auto"/>
              <w:left w:val="single" w:sz="6" w:space="0" w:color="auto"/>
              <w:bottom w:val="single" w:sz="6" w:space="0" w:color="auto"/>
              <w:right w:val="single" w:sz="6" w:space="0" w:color="auto"/>
            </w:tcBorders>
          </w:tcPr>
          <w:p w14:paraId="73995AE4" w14:textId="77777777" w:rsidR="00286F7D" w:rsidRPr="00286F7D" w:rsidRDefault="00286F7D" w:rsidP="00286F7D">
            <w:pPr>
              <w:pStyle w:val="Texttabulky"/>
              <w:spacing w:after="0"/>
              <w:rPr>
                <w:rFonts w:cs="Arial"/>
              </w:rPr>
            </w:pPr>
            <w:r w:rsidRPr="00286F7D">
              <w:rPr>
                <w:rFonts w:cs="Arial"/>
                <w:b/>
                <w:bCs/>
                <w:caps/>
              </w:rPr>
              <w:t>sektor celkem</w:t>
            </w:r>
          </w:p>
        </w:tc>
        <w:tc>
          <w:tcPr>
            <w:tcW w:w="1094" w:type="dxa"/>
            <w:tcBorders>
              <w:top w:val="single" w:sz="6" w:space="0" w:color="auto"/>
              <w:left w:val="single" w:sz="6" w:space="0" w:color="auto"/>
              <w:bottom w:val="single" w:sz="6" w:space="0" w:color="auto"/>
              <w:right w:val="single" w:sz="6" w:space="0" w:color="auto"/>
            </w:tcBorders>
          </w:tcPr>
          <w:p w14:paraId="5D40C02E" w14:textId="77777777" w:rsidR="00286F7D" w:rsidRPr="00286F7D" w:rsidRDefault="00286F7D" w:rsidP="00286F7D">
            <w:pPr>
              <w:pStyle w:val="Texttabulky"/>
              <w:spacing w:after="0"/>
              <w:jc w:val="right"/>
              <w:rPr>
                <w:rFonts w:cs="Arial"/>
              </w:rPr>
            </w:pPr>
            <w:r w:rsidRPr="00286F7D">
              <w:rPr>
                <w:rFonts w:cs="Arial"/>
                <w:b/>
                <w:bCs/>
              </w:rPr>
              <w:t>150</w:t>
            </w:r>
          </w:p>
        </w:tc>
        <w:tc>
          <w:tcPr>
            <w:tcW w:w="1165" w:type="dxa"/>
            <w:tcBorders>
              <w:top w:val="single" w:sz="6" w:space="0" w:color="auto"/>
              <w:left w:val="single" w:sz="6" w:space="0" w:color="auto"/>
              <w:bottom w:val="single" w:sz="6" w:space="0" w:color="auto"/>
              <w:right w:val="single" w:sz="6" w:space="0" w:color="auto"/>
            </w:tcBorders>
          </w:tcPr>
          <w:p w14:paraId="18199F85" w14:textId="77777777" w:rsidR="00286F7D" w:rsidRPr="00286F7D" w:rsidRDefault="00286F7D" w:rsidP="00286F7D">
            <w:pPr>
              <w:pStyle w:val="Texttabulky"/>
              <w:spacing w:after="0"/>
              <w:jc w:val="right"/>
              <w:rPr>
                <w:rFonts w:cs="Arial"/>
              </w:rPr>
            </w:pPr>
            <w:r w:rsidRPr="00286F7D">
              <w:rPr>
                <w:rFonts w:cs="Arial"/>
                <w:b/>
                <w:bCs/>
              </w:rPr>
              <w:t>150</w:t>
            </w:r>
          </w:p>
        </w:tc>
        <w:tc>
          <w:tcPr>
            <w:tcW w:w="761" w:type="dxa"/>
            <w:tcBorders>
              <w:top w:val="single" w:sz="6" w:space="0" w:color="auto"/>
              <w:left w:val="single" w:sz="6" w:space="0" w:color="auto"/>
              <w:bottom w:val="single" w:sz="6" w:space="0" w:color="auto"/>
              <w:right w:val="single" w:sz="6" w:space="0" w:color="auto"/>
            </w:tcBorders>
          </w:tcPr>
          <w:p w14:paraId="2A097FFE" w14:textId="77777777" w:rsidR="00286F7D" w:rsidRPr="00286F7D" w:rsidRDefault="00286F7D" w:rsidP="00286F7D">
            <w:pPr>
              <w:pStyle w:val="Texttabulky"/>
              <w:spacing w:after="0"/>
              <w:jc w:val="right"/>
              <w:rPr>
                <w:rFonts w:cs="Arial"/>
              </w:rPr>
            </w:pPr>
            <w:r w:rsidRPr="00286F7D">
              <w:rPr>
                <w:rFonts w:cs="Arial"/>
                <w:b/>
                <w:bCs/>
              </w:rPr>
              <w:t>2</w:t>
            </w:r>
          </w:p>
        </w:tc>
        <w:tc>
          <w:tcPr>
            <w:tcW w:w="1119" w:type="dxa"/>
            <w:tcBorders>
              <w:top w:val="single" w:sz="6" w:space="0" w:color="auto"/>
              <w:left w:val="single" w:sz="6" w:space="0" w:color="auto"/>
              <w:bottom w:val="single" w:sz="6" w:space="0" w:color="auto"/>
              <w:right w:val="single" w:sz="6" w:space="0" w:color="auto"/>
            </w:tcBorders>
          </w:tcPr>
          <w:p w14:paraId="49800279" w14:textId="77777777" w:rsidR="00286F7D" w:rsidRPr="00286F7D" w:rsidRDefault="00286F7D" w:rsidP="00286F7D">
            <w:pPr>
              <w:pStyle w:val="Texttabulky"/>
              <w:spacing w:after="0"/>
              <w:jc w:val="right"/>
              <w:rPr>
                <w:rFonts w:cs="Arial"/>
              </w:rPr>
            </w:pPr>
            <w:r w:rsidRPr="00286F7D">
              <w:rPr>
                <w:rFonts w:cs="Arial"/>
                <w:b/>
                <w:bCs/>
              </w:rPr>
              <w:t>350</w:t>
            </w:r>
          </w:p>
        </w:tc>
        <w:tc>
          <w:tcPr>
            <w:tcW w:w="1011" w:type="dxa"/>
            <w:tcBorders>
              <w:top w:val="single" w:sz="6" w:space="0" w:color="auto"/>
              <w:left w:val="single" w:sz="6" w:space="0" w:color="auto"/>
              <w:bottom w:val="single" w:sz="6" w:space="0" w:color="auto"/>
              <w:right w:val="single" w:sz="6" w:space="0" w:color="auto"/>
            </w:tcBorders>
          </w:tcPr>
          <w:p w14:paraId="4EEBB592" w14:textId="77777777" w:rsidR="00286F7D" w:rsidRPr="00286F7D" w:rsidRDefault="00286F7D" w:rsidP="00286F7D">
            <w:pPr>
              <w:pStyle w:val="Texttabulky"/>
              <w:spacing w:after="0"/>
              <w:rPr>
                <w:rFonts w:cs="Arial"/>
              </w:rPr>
            </w:pPr>
            <w:r w:rsidRPr="00286F7D">
              <w:rPr>
                <w:rFonts w:cs="Arial"/>
                <w:b/>
                <w:bCs/>
              </w:rPr>
              <w:t xml:space="preserve">       + 200</w:t>
            </w:r>
          </w:p>
        </w:tc>
      </w:tr>
      <w:tr w:rsidR="00286F7D" w:rsidRPr="00286F7D" w14:paraId="545AB3BB" w14:textId="77777777" w:rsidTr="00286F7D">
        <w:tc>
          <w:tcPr>
            <w:tcW w:w="568" w:type="dxa"/>
            <w:tcBorders>
              <w:top w:val="single" w:sz="6" w:space="0" w:color="auto"/>
              <w:left w:val="single" w:sz="6" w:space="0" w:color="auto"/>
              <w:bottom w:val="single" w:sz="6" w:space="0" w:color="auto"/>
              <w:right w:val="single" w:sz="6" w:space="0" w:color="auto"/>
            </w:tcBorders>
          </w:tcPr>
          <w:p w14:paraId="267EA860" w14:textId="77777777" w:rsidR="00286F7D" w:rsidRPr="00286F7D" w:rsidRDefault="00286F7D" w:rsidP="00286F7D">
            <w:pPr>
              <w:pStyle w:val="Texttabulky"/>
              <w:spacing w:after="0"/>
              <w:jc w:val="right"/>
              <w:rPr>
                <w:rFonts w:cs="Arial"/>
              </w:rPr>
            </w:pPr>
            <w:r w:rsidRPr="00286F7D">
              <w:rPr>
                <w:rFonts w:cs="Arial"/>
              </w:rPr>
              <w:t>4</w:t>
            </w:r>
          </w:p>
        </w:tc>
        <w:tc>
          <w:tcPr>
            <w:tcW w:w="2108" w:type="dxa"/>
            <w:tcBorders>
              <w:top w:val="single" w:sz="6" w:space="0" w:color="auto"/>
              <w:left w:val="single" w:sz="6" w:space="0" w:color="auto"/>
              <w:bottom w:val="single" w:sz="6" w:space="0" w:color="auto"/>
              <w:right w:val="single" w:sz="6" w:space="0" w:color="auto"/>
            </w:tcBorders>
          </w:tcPr>
          <w:p w14:paraId="640E37F9" w14:textId="77777777" w:rsidR="00286F7D" w:rsidRPr="00286F7D" w:rsidRDefault="00286F7D" w:rsidP="00286F7D">
            <w:pPr>
              <w:pStyle w:val="Texttabulky"/>
              <w:spacing w:after="0"/>
              <w:rPr>
                <w:rFonts w:cs="Arial"/>
              </w:rPr>
            </w:pPr>
            <w:r w:rsidRPr="00286F7D">
              <w:rPr>
                <w:rFonts w:cs="Arial"/>
              </w:rPr>
              <w:t>Nemocnice</w:t>
            </w:r>
          </w:p>
        </w:tc>
        <w:tc>
          <w:tcPr>
            <w:tcW w:w="1094" w:type="dxa"/>
            <w:tcBorders>
              <w:top w:val="single" w:sz="6" w:space="0" w:color="auto"/>
              <w:left w:val="single" w:sz="6" w:space="0" w:color="auto"/>
              <w:bottom w:val="single" w:sz="6" w:space="0" w:color="auto"/>
              <w:right w:val="single" w:sz="6" w:space="0" w:color="auto"/>
            </w:tcBorders>
          </w:tcPr>
          <w:p w14:paraId="10864824" w14:textId="77777777" w:rsidR="00286F7D" w:rsidRPr="00286F7D" w:rsidRDefault="00286F7D" w:rsidP="00286F7D">
            <w:pPr>
              <w:pStyle w:val="Texttabulky"/>
              <w:spacing w:after="0"/>
              <w:jc w:val="right"/>
              <w:rPr>
                <w:rFonts w:cs="Arial"/>
              </w:rPr>
            </w:pPr>
            <w:r w:rsidRPr="00286F7D">
              <w:rPr>
                <w:rFonts w:cs="Arial"/>
              </w:rPr>
              <w:t>1 000</w:t>
            </w:r>
          </w:p>
        </w:tc>
        <w:tc>
          <w:tcPr>
            <w:tcW w:w="1165" w:type="dxa"/>
            <w:tcBorders>
              <w:top w:val="single" w:sz="6" w:space="0" w:color="auto"/>
              <w:left w:val="single" w:sz="6" w:space="0" w:color="auto"/>
              <w:bottom w:val="single" w:sz="6" w:space="0" w:color="auto"/>
              <w:right w:val="single" w:sz="6" w:space="0" w:color="auto"/>
            </w:tcBorders>
          </w:tcPr>
          <w:p w14:paraId="0A8A4A26" w14:textId="77777777" w:rsidR="00286F7D" w:rsidRPr="00286F7D" w:rsidRDefault="00286F7D" w:rsidP="00286F7D">
            <w:pPr>
              <w:pStyle w:val="Texttabulky"/>
              <w:spacing w:after="0"/>
              <w:jc w:val="right"/>
              <w:rPr>
                <w:rFonts w:cs="Arial"/>
              </w:rPr>
            </w:pPr>
            <w:r w:rsidRPr="00286F7D">
              <w:rPr>
                <w:rFonts w:cs="Arial"/>
              </w:rPr>
              <w:t>900</w:t>
            </w:r>
          </w:p>
        </w:tc>
        <w:tc>
          <w:tcPr>
            <w:tcW w:w="761" w:type="dxa"/>
            <w:tcBorders>
              <w:top w:val="single" w:sz="6" w:space="0" w:color="auto"/>
              <w:left w:val="single" w:sz="6" w:space="0" w:color="auto"/>
              <w:bottom w:val="single" w:sz="6" w:space="0" w:color="auto"/>
              <w:right w:val="single" w:sz="6" w:space="0" w:color="auto"/>
            </w:tcBorders>
          </w:tcPr>
          <w:p w14:paraId="764B48B3" w14:textId="77777777" w:rsidR="00286F7D" w:rsidRPr="00286F7D" w:rsidRDefault="00286F7D" w:rsidP="00286F7D">
            <w:pPr>
              <w:pStyle w:val="Texttabulky"/>
              <w:spacing w:after="0"/>
              <w:jc w:val="right"/>
              <w:rPr>
                <w:rFonts w:cs="Arial"/>
              </w:rPr>
            </w:pPr>
            <w:r w:rsidRPr="00286F7D">
              <w:rPr>
                <w:rFonts w:cs="Arial"/>
              </w:rPr>
              <w:t>8</w:t>
            </w:r>
          </w:p>
        </w:tc>
        <w:tc>
          <w:tcPr>
            <w:tcW w:w="1119" w:type="dxa"/>
            <w:tcBorders>
              <w:top w:val="single" w:sz="6" w:space="0" w:color="auto"/>
              <w:left w:val="single" w:sz="6" w:space="0" w:color="auto"/>
              <w:bottom w:val="single" w:sz="6" w:space="0" w:color="auto"/>
              <w:right w:val="single" w:sz="6" w:space="0" w:color="auto"/>
            </w:tcBorders>
          </w:tcPr>
          <w:p w14:paraId="4131045F" w14:textId="77777777" w:rsidR="00286F7D" w:rsidRPr="00286F7D" w:rsidRDefault="00286F7D" w:rsidP="00286F7D">
            <w:pPr>
              <w:pStyle w:val="Texttabulky"/>
              <w:spacing w:after="0"/>
              <w:jc w:val="right"/>
              <w:rPr>
                <w:rFonts w:cs="Arial"/>
              </w:rPr>
            </w:pPr>
            <w:r w:rsidRPr="00286F7D">
              <w:rPr>
                <w:rFonts w:cs="Arial"/>
              </w:rPr>
              <w:t>1 050</w:t>
            </w:r>
          </w:p>
        </w:tc>
        <w:tc>
          <w:tcPr>
            <w:tcW w:w="1011" w:type="dxa"/>
            <w:tcBorders>
              <w:top w:val="single" w:sz="6" w:space="0" w:color="auto"/>
              <w:left w:val="single" w:sz="6" w:space="0" w:color="auto"/>
              <w:bottom w:val="single" w:sz="6" w:space="0" w:color="auto"/>
              <w:right w:val="single" w:sz="6" w:space="0" w:color="auto"/>
            </w:tcBorders>
          </w:tcPr>
          <w:p w14:paraId="10818868" w14:textId="77777777" w:rsidR="00286F7D" w:rsidRPr="00286F7D" w:rsidRDefault="00286F7D" w:rsidP="00286F7D">
            <w:pPr>
              <w:pStyle w:val="Texttabulky"/>
              <w:spacing w:after="0"/>
              <w:rPr>
                <w:rFonts w:cs="Arial"/>
              </w:rPr>
            </w:pPr>
            <w:r w:rsidRPr="00286F7D">
              <w:rPr>
                <w:rFonts w:cs="Arial"/>
              </w:rPr>
              <w:t xml:space="preserve">       + 150</w:t>
            </w:r>
          </w:p>
        </w:tc>
      </w:tr>
      <w:tr w:rsidR="00286F7D" w:rsidRPr="00286F7D" w14:paraId="428F8E43" w14:textId="77777777" w:rsidTr="00286F7D">
        <w:tc>
          <w:tcPr>
            <w:tcW w:w="568" w:type="dxa"/>
            <w:tcBorders>
              <w:top w:val="single" w:sz="6" w:space="0" w:color="auto"/>
              <w:left w:val="single" w:sz="6" w:space="0" w:color="auto"/>
              <w:bottom w:val="single" w:sz="6" w:space="0" w:color="auto"/>
              <w:right w:val="single" w:sz="6" w:space="0" w:color="auto"/>
            </w:tcBorders>
          </w:tcPr>
          <w:p w14:paraId="36ADDE62" w14:textId="77777777" w:rsidR="00286F7D" w:rsidRPr="00286F7D" w:rsidRDefault="00286F7D" w:rsidP="00286F7D">
            <w:pPr>
              <w:pStyle w:val="Texttabulky"/>
              <w:spacing w:after="0"/>
              <w:jc w:val="right"/>
              <w:rPr>
                <w:rFonts w:cs="Arial"/>
              </w:rPr>
            </w:pPr>
            <w:r w:rsidRPr="00286F7D">
              <w:rPr>
                <w:rFonts w:cs="Arial"/>
              </w:rPr>
              <w:t>5</w:t>
            </w:r>
          </w:p>
        </w:tc>
        <w:tc>
          <w:tcPr>
            <w:tcW w:w="2108" w:type="dxa"/>
            <w:tcBorders>
              <w:top w:val="single" w:sz="6" w:space="0" w:color="auto"/>
              <w:left w:val="single" w:sz="6" w:space="0" w:color="auto"/>
              <w:bottom w:val="single" w:sz="6" w:space="0" w:color="auto"/>
              <w:right w:val="single" w:sz="6" w:space="0" w:color="auto"/>
            </w:tcBorders>
          </w:tcPr>
          <w:p w14:paraId="47391A16" w14:textId="77777777" w:rsidR="00286F7D" w:rsidRPr="00286F7D" w:rsidRDefault="00286F7D" w:rsidP="00286F7D">
            <w:pPr>
              <w:pStyle w:val="Texttabulky"/>
              <w:spacing w:after="0"/>
              <w:rPr>
                <w:rFonts w:cs="Arial"/>
              </w:rPr>
            </w:pPr>
            <w:r w:rsidRPr="00286F7D">
              <w:rPr>
                <w:rFonts w:cs="Arial"/>
              </w:rPr>
              <w:t>Kamenická</w:t>
            </w:r>
          </w:p>
        </w:tc>
        <w:tc>
          <w:tcPr>
            <w:tcW w:w="1094" w:type="dxa"/>
            <w:tcBorders>
              <w:top w:val="single" w:sz="6" w:space="0" w:color="auto"/>
              <w:left w:val="single" w:sz="6" w:space="0" w:color="auto"/>
              <w:bottom w:val="single" w:sz="6" w:space="0" w:color="auto"/>
              <w:right w:val="single" w:sz="6" w:space="0" w:color="auto"/>
            </w:tcBorders>
          </w:tcPr>
          <w:p w14:paraId="74AA9894" w14:textId="77777777" w:rsidR="00286F7D" w:rsidRPr="00286F7D" w:rsidRDefault="00286F7D" w:rsidP="00286F7D">
            <w:pPr>
              <w:pStyle w:val="Texttabulky"/>
              <w:spacing w:after="0"/>
              <w:jc w:val="right"/>
              <w:rPr>
                <w:rFonts w:cs="Arial"/>
              </w:rPr>
            </w:pPr>
            <w:r w:rsidRPr="00286F7D">
              <w:rPr>
                <w:rFonts w:cs="Arial"/>
              </w:rPr>
              <w:t>35</w:t>
            </w:r>
          </w:p>
        </w:tc>
        <w:tc>
          <w:tcPr>
            <w:tcW w:w="1165" w:type="dxa"/>
            <w:tcBorders>
              <w:top w:val="single" w:sz="6" w:space="0" w:color="auto"/>
              <w:left w:val="single" w:sz="6" w:space="0" w:color="auto"/>
              <w:bottom w:val="single" w:sz="6" w:space="0" w:color="auto"/>
              <w:right w:val="single" w:sz="6" w:space="0" w:color="auto"/>
            </w:tcBorders>
          </w:tcPr>
          <w:p w14:paraId="4FAC56C2" w14:textId="77777777" w:rsidR="00286F7D" w:rsidRPr="00286F7D" w:rsidRDefault="00286F7D" w:rsidP="00286F7D">
            <w:pPr>
              <w:pStyle w:val="Texttabulky"/>
              <w:spacing w:after="0"/>
              <w:jc w:val="right"/>
              <w:rPr>
                <w:rFonts w:cs="Arial"/>
              </w:rPr>
            </w:pPr>
            <w:r w:rsidRPr="00286F7D">
              <w:rPr>
                <w:rFonts w:cs="Arial"/>
              </w:rPr>
              <w:t>45</w:t>
            </w:r>
          </w:p>
        </w:tc>
        <w:tc>
          <w:tcPr>
            <w:tcW w:w="761" w:type="dxa"/>
            <w:tcBorders>
              <w:top w:val="single" w:sz="6" w:space="0" w:color="auto"/>
              <w:left w:val="single" w:sz="6" w:space="0" w:color="auto"/>
              <w:bottom w:val="single" w:sz="6" w:space="0" w:color="auto"/>
              <w:right w:val="single" w:sz="6" w:space="0" w:color="auto"/>
            </w:tcBorders>
          </w:tcPr>
          <w:p w14:paraId="21892705" w14:textId="77777777" w:rsidR="00286F7D" w:rsidRPr="00286F7D" w:rsidRDefault="00286F7D" w:rsidP="00286F7D">
            <w:pPr>
              <w:pStyle w:val="Texttabulky"/>
              <w:spacing w:after="0"/>
              <w:jc w:val="right"/>
              <w:rPr>
                <w:rFonts w:cs="Arial"/>
              </w:rPr>
            </w:pPr>
            <w:r w:rsidRPr="00286F7D">
              <w:rPr>
                <w:rFonts w:cs="Arial"/>
              </w:rPr>
              <w:t>2</w:t>
            </w:r>
          </w:p>
        </w:tc>
        <w:tc>
          <w:tcPr>
            <w:tcW w:w="1119" w:type="dxa"/>
            <w:tcBorders>
              <w:top w:val="single" w:sz="6" w:space="0" w:color="auto"/>
              <w:left w:val="single" w:sz="6" w:space="0" w:color="auto"/>
              <w:bottom w:val="single" w:sz="6" w:space="0" w:color="auto"/>
              <w:right w:val="single" w:sz="6" w:space="0" w:color="auto"/>
            </w:tcBorders>
          </w:tcPr>
          <w:p w14:paraId="25AABCCA" w14:textId="77777777" w:rsidR="00286F7D" w:rsidRPr="00286F7D" w:rsidRDefault="00286F7D" w:rsidP="00286F7D">
            <w:pPr>
              <w:pStyle w:val="Texttabulky"/>
              <w:spacing w:after="0"/>
              <w:jc w:val="right"/>
              <w:rPr>
                <w:rFonts w:cs="Arial"/>
              </w:rPr>
            </w:pPr>
            <w:r w:rsidRPr="00286F7D">
              <w:rPr>
                <w:rFonts w:cs="Arial"/>
              </w:rPr>
              <w:t>28</w:t>
            </w:r>
          </w:p>
        </w:tc>
        <w:tc>
          <w:tcPr>
            <w:tcW w:w="1011" w:type="dxa"/>
            <w:tcBorders>
              <w:top w:val="single" w:sz="6" w:space="0" w:color="auto"/>
              <w:left w:val="single" w:sz="6" w:space="0" w:color="auto"/>
              <w:bottom w:val="single" w:sz="6" w:space="0" w:color="auto"/>
              <w:right w:val="single" w:sz="6" w:space="0" w:color="auto"/>
            </w:tcBorders>
          </w:tcPr>
          <w:p w14:paraId="22196049" w14:textId="77777777" w:rsidR="00286F7D" w:rsidRPr="00286F7D" w:rsidRDefault="00286F7D" w:rsidP="00286F7D">
            <w:pPr>
              <w:pStyle w:val="Texttabulky"/>
              <w:spacing w:after="0"/>
              <w:jc w:val="right"/>
              <w:rPr>
                <w:rFonts w:cs="Arial"/>
              </w:rPr>
            </w:pPr>
            <w:r w:rsidRPr="00286F7D">
              <w:rPr>
                <w:rFonts w:cs="Arial"/>
              </w:rPr>
              <w:t>-17</w:t>
            </w:r>
          </w:p>
        </w:tc>
      </w:tr>
      <w:tr w:rsidR="00286F7D" w:rsidRPr="00286F7D" w14:paraId="3009EA2D" w14:textId="77777777" w:rsidTr="00286F7D">
        <w:tc>
          <w:tcPr>
            <w:tcW w:w="568" w:type="dxa"/>
            <w:tcBorders>
              <w:top w:val="single" w:sz="6" w:space="0" w:color="auto"/>
              <w:left w:val="single" w:sz="6" w:space="0" w:color="auto"/>
              <w:bottom w:val="single" w:sz="6" w:space="0" w:color="auto"/>
              <w:right w:val="single" w:sz="6" w:space="0" w:color="auto"/>
            </w:tcBorders>
          </w:tcPr>
          <w:p w14:paraId="18516D98" w14:textId="77777777" w:rsidR="00286F7D" w:rsidRPr="00286F7D" w:rsidRDefault="00286F7D" w:rsidP="00286F7D">
            <w:pPr>
              <w:pStyle w:val="Texttabulky"/>
              <w:spacing w:after="0"/>
              <w:jc w:val="right"/>
              <w:rPr>
                <w:rFonts w:cs="Arial"/>
              </w:rPr>
            </w:pPr>
            <w:r w:rsidRPr="00286F7D">
              <w:rPr>
                <w:rFonts w:cs="Arial"/>
              </w:rPr>
              <w:t>6</w:t>
            </w:r>
          </w:p>
        </w:tc>
        <w:tc>
          <w:tcPr>
            <w:tcW w:w="2108" w:type="dxa"/>
            <w:tcBorders>
              <w:top w:val="single" w:sz="6" w:space="0" w:color="auto"/>
              <w:left w:val="single" w:sz="6" w:space="0" w:color="auto"/>
              <w:bottom w:val="single" w:sz="6" w:space="0" w:color="auto"/>
              <w:right w:val="single" w:sz="6" w:space="0" w:color="auto"/>
            </w:tcBorders>
          </w:tcPr>
          <w:p w14:paraId="06E61E1D" w14:textId="77777777" w:rsidR="00286F7D" w:rsidRPr="00286F7D" w:rsidRDefault="00286F7D" w:rsidP="00286F7D">
            <w:pPr>
              <w:pStyle w:val="Texttabulky"/>
              <w:spacing w:after="0"/>
              <w:rPr>
                <w:rFonts w:cs="Arial"/>
              </w:rPr>
            </w:pPr>
            <w:r w:rsidRPr="00286F7D">
              <w:rPr>
                <w:rFonts w:cs="Arial"/>
              </w:rPr>
              <w:t>U nemocnice</w:t>
            </w:r>
          </w:p>
        </w:tc>
        <w:tc>
          <w:tcPr>
            <w:tcW w:w="1094" w:type="dxa"/>
            <w:tcBorders>
              <w:top w:val="single" w:sz="6" w:space="0" w:color="auto"/>
              <w:left w:val="single" w:sz="6" w:space="0" w:color="auto"/>
              <w:bottom w:val="single" w:sz="6" w:space="0" w:color="auto"/>
              <w:right w:val="single" w:sz="6" w:space="0" w:color="auto"/>
            </w:tcBorders>
          </w:tcPr>
          <w:p w14:paraId="451DF35C" w14:textId="77777777" w:rsidR="00286F7D" w:rsidRPr="00286F7D" w:rsidRDefault="00286F7D" w:rsidP="00286F7D">
            <w:pPr>
              <w:pStyle w:val="Texttabulky"/>
              <w:spacing w:after="0"/>
              <w:jc w:val="right"/>
              <w:rPr>
                <w:rFonts w:cs="Arial"/>
              </w:rPr>
            </w:pPr>
            <w:r w:rsidRPr="00286F7D">
              <w:rPr>
                <w:rFonts w:cs="Arial"/>
              </w:rPr>
              <w:t>92</w:t>
            </w:r>
          </w:p>
        </w:tc>
        <w:tc>
          <w:tcPr>
            <w:tcW w:w="1165" w:type="dxa"/>
            <w:tcBorders>
              <w:top w:val="single" w:sz="6" w:space="0" w:color="auto"/>
              <w:left w:val="single" w:sz="6" w:space="0" w:color="auto"/>
              <w:bottom w:val="single" w:sz="6" w:space="0" w:color="auto"/>
              <w:right w:val="single" w:sz="6" w:space="0" w:color="auto"/>
            </w:tcBorders>
          </w:tcPr>
          <w:p w14:paraId="290DEC6F" w14:textId="77777777" w:rsidR="00286F7D" w:rsidRPr="00286F7D" w:rsidRDefault="00286F7D" w:rsidP="00286F7D">
            <w:pPr>
              <w:pStyle w:val="Texttabulky"/>
              <w:spacing w:after="0"/>
              <w:jc w:val="right"/>
              <w:rPr>
                <w:rFonts w:cs="Arial"/>
              </w:rPr>
            </w:pPr>
            <w:r w:rsidRPr="00286F7D">
              <w:rPr>
                <w:rFonts w:cs="Arial"/>
              </w:rPr>
              <w:t>90</w:t>
            </w:r>
          </w:p>
        </w:tc>
        <w:tc>
          <w:tcPr>
            <w:tcW w:w="761" w:type="dxa"/>
            <w:tcBorders>
              <w:top w:val="single" w:sz="6" w:space="0" w:color="auto"/>
              <w:left w:val="single" w:sz="6" w:space="0" w:color="auto"/>
              <w:bottom w:val="single" w:sz="6" w:space="0" w:color="auto"/>
              <w:right w:val="single" w:sz="6" w:space="0" w:color="auto"/>
            </w:tcBorders>
          </w:tcPr>
          <w:p w14:paraId="16343A44" w14:textId="77777777" w:rsidR="00286F7D" w:rsidRPr="00286F7D" w:rsidRDefault="00286F7D" w:rsidP="00286F7D">
            <w:pPr>
              <w:pStyle w:val="Texttabulky"/>
              <w:spacing w:after="0"/>
              <w:jc w:val="right"/>
              <w:rPr>
                <w:rFonts w:cs="Arial"/>
              </w:rPr>
            </w:pPr>
            <w:r w:rsidRPr="00286F7D">
              <w:rPr>
                <w:rFonts w:cs="Arial"/>
              </w:rPr>
              <w:t>4</w:t>
            </w:r>
          </w:p>
        </w:tc>
        <w:tc>
          <w:tcPr>
            <w:tcW w:w="1119" w:type="dxa"/>
            <w:tcBorders>
              <w:top w:val="single" w:sz="6" w:space="0" w:color="auto"/>
              <w:left w:val="single" w:sz="6" w:space="0" w:color="auto"/>
              <w:bottom w:val="single" w:sz="6" w:space="0" w:color="auto"/>
              <w:right w:val="single" w:sz="6" w:space="0" w:color="auto"/>
            </w:tcBorders>
          </w:tcPr>
          <w:p w14:paraId="6CABF14E" w14:textId="77777777" w:rsidR="00286F7D" w:rsidRPr="00286F7D" w:rsidRDefault="00286F7D" w:rsidP="00286F7D">
            <w:pPr>
              <w:pStyle w:val="Texttabulky"/>
              <w:spacing w:after="0"/>
              <w:jc w:val="right"/>
              <w:rPr>
                <w:rFonts w:cs="Arial"/>
              </w:rPr>
            </w:pPr>
            <w:r w:rsidRPr="00286F7D">
              <w:rPr>
                <w:rFonts w:cs="Arial"/>
              </w:rPr>
              <w:t>487</w:t>
            </w:r>
          </w:p>
        </w:tc>
        <w:tc>
          <w:tcPr>
            <w:tcW w:w="1011" w:type="dxa"/>
            <w:tcBorders>
              <w:top w:val="single" w:sz="6" w:space="0" w:color="auto"/>
              <w:left w:val="single" w:sz="6" w:space="0" w:color="auto"/>
              <w:bottom w:val="single" w:sz="6" w:space="0" w:color="auto"/>
              <w:right w:val="single" w:sz="6" w:space="0" w:color="auto"/>
            </w:tcBorders>
          </w:tcPr>
          <w:p w14:paraId="1B553CCB" w14:textId="77777777" w:rsidR="00286F7D" w:rsidRPr="00286F7D" w:rsidRDefault="00286F7D" w:rsidP="00286F7D">
            <w:pPr>
              <w:pStyle w:val="Texttabulky"/>
              <w:spacing w:after="0"/>
              <w:rPr>
                <w:rFonts w:cs="Arial"/>
              </w:rPr>
            </w:pPr>
            <w:r w:rsidRPr="00286F7D">
              <w:rPr>
                <w:rFonts w:cs="Arial"/>
              </w:rPr>
              <w:t xml:space="preserve">       + 397</w:t>
            </w:r>
          </w:p>
        </w:tc>
      </w:tr>
      <w:tr w:rsidR="00286F7D" w:rsidRPr="00286F7D" w14:paraId="68BDE8D7" w14:textId="77777777" w:rsidTr="00286F7D">
        <w:tc>
          <w:tcPr>
            <w:tcW w:w="568" w:type="dxa"/>
            <w:tcBorders>
              <w:top w:val="single" w:sz="6" w:space="0" w:color="auto"/>
              <w:left w:val="single" w:sz="6" w:space="0" w:color="auto"/>
              <w:bottom w:val="single" w:sz="6" w:space="0" w:color="auto"/>
              <w:right w:val="single" w:sz="6" w:space="0" w:color="auto"/>
            </w:tcBorders>
          </w:tcPr>
          <w:p w14:paraId="07697D31" w14:textId="77777777" w:rsidR="00286F7D" w:rsidRPr="00286F7D" w:rsidRDefault="00286F7D" w:rsidP="00286F7D">
            <w:pPr>
              <w:pStyle w:val="Texttabulky"/>
              <w:spacing w:after="0"/>
              <w:jc w:val="right"/>
              <w:rPr>
                <w:rFonts w:cs="Arial"/>
              </w:rPr>
            </w:pPr>
            <w:r w:rsidRPr="00286F7D">
              <w:rPr>
                <w:rFonts w:cs="Arial"/>
              </w:rPr>
              <w:t>7</w:t>
            </w:r>
          </w:p>
        </w:tc>
        <w:tc>
          <w:tcPr>
            <w:tcW w:w="2108" w:type="dxa"/>
            <w:tcBorders>
              <w:top w:val="single" w:sz="6" w:space="0" w:color="auto"/>
              <w:left w:val="single" w:sz="6" w:space="0" w:color="auto"/>
              <w:bottom w:val="single" w:sz="6" w:space="0" w:color="auto"/>
              <w:right w:val="single" w:sz="6" w:space="0" w:color="auto"/>
            </w:tcBorders>
          </w:tcPr>
          <w:p w14:paraId="74F48728" w14:textId="77777777" w:rsidR="00286F7D" w:rsidRPr="00286F7D" w:rsidRDefault="00286F7D" w:rsidP="00286F7D">
            <w:pPr>
              <w:pStyle w:val="Texttabulky"/>
              <w:spacing w:after="0"/>
              <w:rPr>
                <w:rFonts w:cs="Arial"/>
              </w:rPr>
            </w:pPr>
            <w:r w:rsidRPr="00286F7D">
              <w:rPr>
                <w:rFonts w:cs="Arial"/>
              </w:rPr>
              <w:t>Nad Slovankou</w:t>
            </w:r>
          </w:p>
        </w:tc>
        <w:tc>
          <w:tcPr>
            <w:tcW w:w="1094" w:type="dxa"/>
            <w:tcBorders>
              <w:top w:val="single" w:sz="6" w:space="0" w:color="auto"/>
              <w:left w:val="single" w:sz="6" w:space="0" w:color="auto"/>
              <w:bottom w:val="single" w:sz="6" w:space="0" w:color="auto"/>
              <w:right w:val="single" w:sz="6" w:space="0" w:color="auto"/>
            </w:tcBorders>
          </w:tcPr>
          <w:p w14:paraId="63F1F8DF" w14:textId="77777777" w:rsidR="00286F7D" w:rsidRPr="00286F7D" w:rsidRDefault="00286F7D" w:rsidP="00286F7D">
            <w:pPr>
              <w:pStyle w:val="Texttabulky"/>
              <w:spacing w:after="0"/>
              <w:jc w:val="right"/>
              <w:rPr>
                <w:rFonts w:cs="Arial"/>
              </w:rPr>
            </w:pPr>
            <w:r w:rsidRPr="00286F7D">
              <w:rPr>
                <w:rFonts w:cs="Arial"/>
              </w:rPr>
              <w:t>124</w:t>
            </w:r>
          </w:p>
        </w:tc>
        <w:tc>
          <w:tcPr>
            <w:tcW w:w="1165" w:type="dxa"/>
            <w:tcBorders>
              <w:top w:val="single" w:sz="6" w:space="0" w:color="auto"/>
              <w:left w:val="single" w:sz="6" w:space="0" w:color="auto"/>
              <w:bottom w:val="single" w:sz="6" w:space="0" w:color="auto"/>
              <w:right w:val="single" w:sz="6" w:space="0" w:color="auto"/>
            </w:tcBorders>
          </w:tcPr>
          <w:p w14:paraId="54E58037" w14:textId="77777777" w:rsidR="00286F7D" w:rsidRPr="00286F7D" w:rsidRDefault="00286F7D" w:rsidP="00286F7D">
            <w:pPr>
              <w:pStyle w:val="Texttabulky"/>
              <w:spacing w:after="0"/>
              <w:jc w:val="right"/>
              <w:rPr>
                <w:rFonts w:cs="Arial"/>
              </w:rPr>
            </w:pPr>
            <w:r w:rsidRPr="00286F7D">
              <w:rPr>
                <w:rFonts w:cs="Arial"/>
              </w:rPr>
              <w:t>130</w:t>
            </w:r>
          </w:p>
        </w:tc>
        <w:tc>
          <w:tcPr>
            <w:tcW w:w="761" w:type="dxa"/>
            <w:tcBorders>
              <w:top w:val="single" w:sz="6" w:space="0" w:color="auto"/>
              <w:left w:val="single" w:sz="6" w:space="0" w:color="auto"/>
              <w:bottom w:val="single" w:sz="6" w:space="0" w:color="auto"/>
              <w:right w:val="single" w:sz="6" w:space="0" w:color="auto"/>
            </w:tcBorders>
          </w:tcPr>
          <w:p w14:paraId="0374ABD4" w14:textId="77777777" w:rsidR="00286F7D" w:rsidRPr="00286F7D" w:rsidRDefault="00286F7D" w:rsidP="00286F7D">
            <w:pPr>
              <w:pStyle w:val="Texttabulky"/>
              <w:spacing w:after="0"/>
              <w:jc w:val="right"/>
              <w:rPr>
                <w:rFonts w:cs="Arial"/>
              </w:rPr>
            </w:pPr>
            <w:r w:rsidRPr="00286F7D">
              <w:rPr>
                <w:rFonts w:cs="Arial"/>
              </w:rPr>
              <w:t>2</w:t>
            </w:r>
          </w:p>
        </w:tc>
        <w:tc>
          <w:tcPr>
            <w:tcW w:w="1119" w:type="dxa"/>
            <w:tcBorders>
              <w:top w:val="single" w:sz="6" w:space="0" w:color="auto"/>
              <w:left w:val="single" w:sz="6" w:space="0" w:color="auto"/>
              <w:bottom w:val="single" w:sz="6" w:space="0" w:color="auto"/>
              <w:right w:val="single" w:sz="6" w:space="0" w:color="auto"/>
            </w:tcBorders>
          </w:tcPr>
          <w:p w14:paraId="2DF0A26F" w14:textId="77777777" w:rsidR="00286F7D" w:rsidRPr="00286F7D" w:rsidRDefault="00286F7D" w:rsidP="00286F7D">
            <w:pPr>
              <w:pStyle w:val="Texttabulky"/>
              <w:spacing w:after="0"/>
              <w:jc w:val="right"/>
              <w:rPr>
                <w:rFonts w:cs="Arial"/>
              </w:rPr>
            </w:pPr>
            <w:r w:rsidRPr="00286F7D">
              <w:rPr>
                <w:rFonts w:cs="Arial"/>
              </w:rPr>
              <w:t>360</w:t>
            </w:r>
          </w:p>
        </w:tc>
        <w:tc>
          <w:tcPr>
            <w:tcW w:w="1011" w:type="dxa"/>
            <w:tcBorders>
              <w:top w:val="single" w:sz="6" w:space="0" w:color="auto"/>
              <w:left w:val="single" w:sz="6" w:space="0" w:color="auto"/>
              <w:bottom w:val="single" w:sz="6" w:space="0" w:color="auto"/>
              <w:right w:val="single" w:sz="6" w:space="0" w:color="auto"/>
            </w:tcBorders>
          </w:tcPr>
          <w:p w14:paraId="03943B91" w14:textId="77777777" w:rsidR="00286F7D" w:rsidRPr="00286F7D" w:rsidRDefault="00286F7D" w:rsidP="00286F7D">
            <w:pPr>
              <w:pStyle w:val="Texttabulky"/>
              <w:spacing w:after="0"/>
              <w:rPr>
                <w:rFonts w:cs="Arial"/>
              </w:rPr>
            </w:pPr>
            <w:r w:rsidRPr="00286F7D">
              <w:rPr>
                <w:rFonts w:cs="Arial"/>
              </w:rPr>
              <w:t xml:space="preserve">       + 230</w:t>
            </w:r>
          </w:p>
        </w:tc>
      </w:tr>
      <w:tr w:rsidR="00286F7D" w:rsidRPr="00286F7D" w14:paraId="50C39E32" w14:textId="77777777" w:rsidTr="00286F7D">
        <w:tc>
          <w:tcPr>
            <w:tcW w:w="568" w:type="dxa"/>
            <w:tcBorders>
              <w:top w:val="single" w:sz="6" w:space="0" w:color="auto"/>
              <w:left w:val="single" w:sz="6" w:space="0" w:color="auto"/>
              <w:bottom w:val="single" w:sz="6" w:space="0" w:color="auto"/>
              <w:right w:val="single" w:sz="6" w:space="0" w:color="auto"/>
            </w:tcBorders>
          </w:tcPr>
          <w:p w14:paraId="589A5EAA" w14:textId="77777777" w:rsidR="00286F7D" w:rsidRPr="00286F7D" w:rsidRDefault="00286F7D" w:rsidP="00286F7D">
            <w:pPr>
              <w:pStyle w:val="Texttabulky"/>
              <w:spacing w:after="0"/>
              <w:jc w:val="right"/>
              <w:rPr>
                <w:rFonts w:cs="Arial"/>
              </w:rPr>
            </w:pPr>
            <w:r w:rsidRPr="00286F7D">
              <w:rPr>
                <w:rFonts w:cs="Arial"/>
              </w:rPr>
              <w:t>8</w:t>
            </w:r>
          </w:p>
        </w:tc>
        <w:tc>
          <w:tcPr>
            <w:tcW w:w="2108" w:type="dxa"/>
            <w:tcBorders>
              <w:top w:val="single" w:sz="6" w:space="0" w:color="auto"/>
              <w:left w:val="single" w:sz="6" w:space="0" w:color="auto"/>
              <w:bottom w:val="single" w:sz="6" w:space="0" w:color="auto"/>
              <w:right w:val="single" w:sz="6" w:space="0" w:color="auto"/>
            </w:tcBorders>
          </w:tcPr>
          <w:p w14:paraId="352E8270" w14:textId="77777777" w:rsidR="00286F7D" w:rsidRPr="00286F7D" w:rsidRDefault="00286F7D" w:rsidP="00286F7D">
            <w:pPr>
              <w:pStyle w:val="Texttabulky"/>
              <w:spacing w:after="0"/>
              <w:rPr>
                <w:rFonts w:cs="Arial"/>
              </w:rPr>
            </w:pPr>
            <w:r w:rsidRPr="00286F7D">
              <w:rPr>
                <w:rFonts w:cs="Arial"/>
              </w:rPr>
              <w:t>U cihelny</w:t>
            </w:r>
          </w:p>
        </w:tc>
        <w:tc>
          <w:tcPr>
            <w:tcW w:w="1094" w:type="dxa"/>
            <w:tcBorders>
              <w:top w:val="single" w:sz="6" w:space="0" w:color="auto"/>
              <w:left w:val="single" w:sz="6" w:space="0" w:color="auto"/>
              <w:bottom w:val="single" w:sz="6" w:space="0" w:color="auto"/>
              <w:right w:val="single" w:sz="6" w:space="0" w:color="auto"/>
            </w:tcBorders>
          </w:tcPr>
          <w:p w14:paraId="544EE4FE" w14:textId="77777777" w:rsidR="00286F7D" w:rsidRPr="00286F7D" w:rsidRDefault="00286F7D" w:rsidP="00286F7D">
            <w:pPr>
              <w:pStyle w:val="Texttabulky"/>
              <w:spacing w:after="0"/>
              <w:jc w:val="right"/>
              <w:rPr>
                <w:rFonts w:cs="Arial"/>
              </w:rPr>
            </w:pPr>
            <w:r w:rsidRPr="00286F7D">
              <w:rPr>
                <w:rFonts w:cs="Arial"/>
              </w:rPr>
              <w:t>10</w:t>
            </w:r>
          </w:p>
        </w:tc>
        <w:tc>
          <w:tcPr>
            <w:tcW w:w="1165" w:type="dxa"/>
            <w:tcBorders>
              <w:top w:val="single" w:sz="6" w:space="0" w:color="auto"/>
              <w:left w:val="single" w:sz="6" w:space="0" w:color="auto"/>
              <w:bottom w:val="single" w:sz="6" w:space="0" w:color="auto"/>
              <w:right w:val="single" w:sz="6" w:space="0" w:color="auto"/>
            </w:tcBorders>
          </w:tcPr>
          <w:p w14:paraId="71B3CA19" w14:textId="77777777" w:rsidR="00286F7D" w:rsidRPr="00286F7D" w:rsidRDefault="00286F7D" w:rsidP="00286F7D">
            <w:pPr>
              <w:pStyle w:val="Texttabulky"/>
              <w:spacing w:after="0"/>
              <w:jc w:val="right"/>
              <w:rPr>
                <w:rFonts w:cs="Arial"/>
              </w:rPr>
            </w:pPr>
            <w:r w:rsidRPr="00286F7D">
              <w:rPr>
                <w:rFonts w:cs="Arial"/>
              </w:rPr>
              <w:t>45</w:t>
            </w:r>
          </w:p>
        </w:tc>
        <w:tc>
          <w:tcPr>
            <w:tcW w:w="761" w:type="dxa"/>
            <w:tcBorders>
              <w:top w:val="single" w:sz="6" w:space="0" w:color="auto"/>
              <w:left w:val="single" w:sz="6" w:space="0" w:color="auto"/>
              <w:bottom w:val="single" w:sz="6" w:space="0" w:color="auto"/>
              <w:right w:val="single" w:sz="6" w:space="0" w:color="auto"/>
            </w:tcBorders>
          </w:tcPr>
          <w:p w14:paraId="195D1B84"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23F5694D"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18D57A5A" w14:textId="77777777" w:rsidR="00286F7D" w:rsidRPr="00286F7D" w:rsidRDefault="00286F7D" w:rsidP="00286F7D">
            <w:pPr>
              <w:pStyle w:val="Texttabulky"/>
              <w:spacing w:after="0"/>
              <w:jc w:val="right"/>
              <w:rPr>
                <w:rFonts w:cs="Arial"/>
              </w:rPr>
            </w:pPr>
            <w:r w:rsidRPr="00286F7D">
              <w:rPr>
                <w:rFonts w:cs="Arial"/>
              </w:rPr>
              <w:t>-45</w:t>
            </w:r>
          </w:p>
        </w:tc>
      </w:tr>
      <w:tr w:rsidR="00286F7D" w:rsidRPr="00286F7D" w14:paraId="243EBD78" w14:textId="77777777" w:rsidTr="00286F7D">
        <w:tc>
          <w:tcPr>
            <w:tcW w:w="568" w:type="dxa"/>
            <w:tcBorders>
              <w:top w:val="single" w:sz="6" w:space="0" w:color="auto"/>
              <w:left w:val="single" w:sz="6" w:space="0" w:color="auto"/>
              <w:bottom w:val="single" w:sz="6" w:space="0" w:color="auto"/>
              <w:right w:val="single" w:sz="6" w:space="0" w:color="auto"/>
            </w:tcBorders>
          </w:tcPr>
          <w:p w14:paraId="7B98B349" w14:textId="77777777" w:rsidR="00286F7D" w:rsidRPr="00286F7D" w:rsidRDefault="00286F7D" w:rsidP="00286F7D">
            <w:pPr>
              <w:pStyle w:val="Texttabulky"/>
              <w:spacing w:after="0"/>
              <w:jc w:val="right"/>
              <w:rPr>
                <w:rFonts w:cs="Arial"/>
              </w:rPr>
            </w:pPr>
            <w:r w:rsidRPr="00286F7D">
              <w:rPr>
                <w:rFonts w:cs="Arial"/>
              </w:rPr>
              <w:t>9</w:t>
            </w:r>
          </w:p>
        </w:tc>
        <w:tc>
          <w:tcPr>
            <w:tcW w:w="2108" w:type="dxa"/>
            <w:tcBorders>
              <w:top w:val="single" w:sz="6" w:space="0" w:color="auto"/>
              <w:left w:val="single" w:sz="6" w:space="0" w:color="auto"/>
              <w:bottom w:val="single" w:sz="6" w:space="0" w:color="auto"/>
              <w:right w:val="single" w:sz="6" w:space="0" w:color="auto"/>
            </w:tcBorders>
          </w:tcPr>
          <w:p w14:paraId="2C22F088" w14:textId="77777777" w:rsidR="00286F7D" w:rsidRPr="00286F7D" w:rsidRDefault="00286F7D" w:rsidP="00286F7D">
            <w:pPr>
              <w:pStyle w:val="Texttabulky"/>
              <w:spacing w:after="0"/>
              <w:rPr>
                <w:rFonts w:cs="Arial"/>
              </w:rPr>
            </w:pPr>
            <w:r w:rsidRPr="00286F7D">
              <w:rPr>
                <w:rFonts w:cs="Arial"/>
              </w:rPr>
              <w:t>Východní nádraží</w:t>
            </w:r>
          </w:p>
        </w:tc>
        <w:tc>
          <w:tcPr>
            <w:tcW w:w="1094" w:type="dxa"/>
            <w:tcBorders>
              <w:top w:val="single" w:sz="6" w:space="0" w:color="auto"/>
              <w:left w:val="single" w:sz="6" w:space="0" w:color="auto"/>
              <w:bottom w:val="single" w:sz="6" w:space="0" w:color="auto"/>
              <w:right w:val="single" w:sz="6" w:space="0" w:color="auto"/>
            </w:tcBorders>
          </w:tcPr>
          <w:p w14:paraId="5372525E" w14:textId="77777777" w:rsidR="00286F7D" w:rsidRPr="00286F7D" w:rsidRDefault="00286F7D" w:rsidP="00286F7D">
            <w:pPr>
              <w:pStyle w:val="Texttabulky"/>
              <w:spacing w:after="0"/>
              <w:jc w:val="right"/>
              <w:rPr>
                <w:rFonts w:cs="Arial"/>
              </w:rPr>
            </w:pPr>
            <w:r w:rsidRPr="00286F7D">
              <w:rPr>
                <w:rFonts w:cs="Arial"/>
              </w:rPr>
              <w:t>518</w:t>
            </w:r>
          </w:p>
        </w:tc>
        <w:tc>
          <w:tcPr>
            <w:tcW w:w="1165" w:type="dxa"/>
            <w:tcBorders>
              <w:top w:val="single" w:sz="6" w:space="0" w:color="auto"/>
              <w:left w:val="single" w:sz="6" w:space="0" w:color="auto"/>
              <w:bottom w:val="single" w:sz="6" w:space="0" w:color="auto"/>
              <w:right w:val="single" w:sz="6" w:space="0" w:color="auto"/>
            </w:tcBorders>
          </w:tcPr>
          <w:p w14:paraId="63CECC7E" w14:textId="77777777" w:rsidR="00286F7D" w:rsidRPr="00286F7D" w:rsidRDefault="00286F7D" w:rsidP="00286F7D">
            <w:pPr>
              <w:pStyle w:val="Texttabulky"/>
              <w:spacing w:after="0"/>
              <w:jc w:val="right"/>
              <w:rPr>
                <w:rFonts w:cs="Arial"/>
              </w:rPr>
            </w:pPr>
            <w:r w:rsidRPr="00286F7D">
              <w:rPr>
                <w:rFonts w:cs="Arial"/>
              </w:rPr>
              <w:t>500</w:t>
            </w:r>
          </w:p>
        </w:tc>
        <w:tc>
          <w:tcPr>
            <w:tcW w:w="761" w:type="dxa"/>
            <w:tcBorders>
              <w:top w:val="single" w:sz="6" w:space="0" w:color="auto"/>
              <w:left w:val="single" w:sz="6" w:space="0" w:color="auto"/>
              <w:bottom w:val="single" w:sz="6" w:space="0" w:color="auto"/>
              <w:right w:val="single" w:sz="6" w:space="0" w:color="auto"/>
            </w:tcBorders>
          </w:tcPr>
          <w:p w14:paraId="0F87F0A4" w14:textId="77777777" w:rsidR="00286F7D" w:rsidRPr="00286F7D" w:rsidRDefault="00286F7D" w:rsidP="00286F7D">
            <w:pPr>
              <w:pStyle w:val="Texttabulky"/>
              <w:spacing w:after="0"/>
              <w:jc w:val="right"/>
              <w:rPr>
                <w:rFonts w:cs="Arial"/>
              </w:rPr>
            </w:pPr>
            <w:r w:rsidRPr="00286F7D">
              <w:rPr>
                <w:rFonts w:cs="Arial"/>
              </w:rPr>
              <w:t>8</w:t>
            </w:r>
          </w:p>
        </w:tc>
        <w:tc>
          <w:tcPr>
            <w:tcW w:w="1119" w:type="dxa"/>
            <w:tcBorders>
              <w:top w:val="single" w:sz="6" w:space="0" w:color="auto"/>
              <w:left w:val="single" w:sz="6" w:space="0" w:color="auto"/>
              <w:bottom w:val="single" w:sz="6" w:space="0" w:color="auto"/>
              <w:right w:val="single" w:sz="6" w:space="0" w:color="auto"/>
            </w:tcBorders>
          </w:tcPr>
          <w:p w14:paraId="6D278882" w14:textId="77777777" w:rsidR="00286F7D" w:rsidRPr="00286F7D" w:rsidRDefault="00286F7D" w:rsidP="00286F7D">
            <w:pPr>
              <w:pStyle w:val="Texttabulky"/>
              <w:spacing w:after="0"/>
              <w:jc w:val="right"/>
              <w:rPr>
                <w:rFonts w:cs="Arial"/>
              </w:rPr>
            </w:pPr>
            <w:r w:rsidRPr="00286F7D">
              <w:rPr>
                <w:rFonts w:cs="Arial"/>
              </w:rPr>
              <w:t>483</w:t>
            </w:r>
          </w:p>
        </w:tc>
        <w:tc>
          <w:tcPr>
            <w:tcW w:w="1011" w:type="dxa"/>
            <w:tcBorders>
              <w:top w:val="single" w:sz="6" w:space="0" w:color="auto"/>
              <w:left w:val="single" w:sz="6" w:space="0" w:color="auto"/>
              <w:bottom w:val="single" w:sz="6" w:space="0" w:color="auto"/>
              <w:right w:val="single" w:sz="6" w:space="0" w:color="auto"/>
            </w:tcBorders>
          </w:tcPr>
          <w:p w14:paraId="20ACE7A1" w14:textId="77777777" w:rsidR="00286F7D" w:rsidRPr="00286F7D" w:rsidRDefault="00286F7D" w:rsidP="00286F7D">
            <w:pPr>
              <w:pStyle w:val="Texttabulky"/>
              <w:spacing w:after="0"/>
              <w:jc w:val="right"/>
              <w:rPr>
                <w:rFonts w:cs="Arial"/>
              </w:rPr>
            </w:pPr>
            <w:r w:rsidRPr="00286F7D">
              <w:rPr>
                <w:rFonts w:cs="Arial"/>
              </w:rPr>
              <w:t>-17</w:t>
            </w:r>
          </w:p>
        </w:tc>
      </w:tr>
      <w:tr w:rsidR="00286F7D" w:rsidRPr="00286F7D" w14:paraId="6CCB2596" w14:textId="77777777" w:rsidTr="00286F7D">
        <w:tc>
          <w:tcPr>
            <w:tcW w:w="568" w:type="dxa"/>
            <w:tcBorders>
              <w:top w:val="single" w:sz="6" w:space="0" w:color="auto"/>
              <w:left w:val="single" w:sz="6" w:space="0" w:color="auto"/>
              <w:bottom w:val="single" w:sz="6" w:space="0" w:color="auto"/>
              <w:right w:val="single" w:sz="6" w:space="0" w:color="auto"/>
            </w:tcBorders>
          </w:tcPr>
          <w:p w14:paraId="15F75DFE" w14:textId="77777777" w:rsidR="00286F7D" w:rsidRPr="00286F7D" w:rsidRDefault="00286F7D" w:rsidP="00286F7D">
            <w:pPr>
              <w:pStyle w:val="Texttabulky"/>
              <w:spacing w:after="0"/>
              <w:jc w:val="right"/>
              <w:rPr>
                <w:rFonts w:cs="Arial"/>
              </w:rPr>
            </w:pPr>
            <w:r w:rsidRPr="00286F7D">
              <w:rPr>
                <w:rFonts w:cs="Arial"/>
              </w:rPr>
              <w:t>12</w:t>
            </w:r>
          </w:p>
        </w:tc>
        <w:tc>
          <w:tcPr>
            <w:tcW w:w="2108" w:type="dxa"/>
            <w:tcBorders>
              <w:top w:val="single" w:sz="6" w:space="0" w:color="auto"/>
              <w:left w:val="single" w:sz="6" w:space="0" w:color="auto"/>
              <w:bottom w:val="single" w:sz="6" w:space="0" w:color="auto"/>
              <w:right w:val="single" w:sz="6" w:space="0" w:color="auto"/>
            </w:tcBorders>
          </w:tcPr>
          <w:p w14:paraId="4DDD91FE" w14:textId="77777777" w:rsidR="00286F7D" w:rsidRPr="00286F7D" w:rsidRDefault="00286F7D" w:rsidP="00286F7D">
            <w:pPr>
              <w:pStyle w:val="Texttabulky"/>
              <w:spacing w:after="0"/>
              <w:rPr>
                <w:rFonts w:cs="Arial"/>
              </w:rPr>
            </w:pPr>
            <w:r w:rsidRPr="00286F7D">
              <w:rPr>
                <w:rFonts w:cs="Arial"/>
              </w:rPr>
              <w:t>Staré Město</w:t>
            </w:r>
          </w:p>
        </w:tc>
        <w:tc>
          <w:tcPr>
            <w:tcW w:w="1094" w:type="dxa"/>
            <w:tcBorders>
              <w:top w:val="single" w:sz="6" w:space="0" w:color="auto"/>
              <w:left w:val="single" w:sz="6" w:space="0" w:color="auto"/>
              <w:bottom w:val="single" w:sz="6" w:space="0" w:color="auto"/>
              <w:right w:val="single" w:sz="6" w:space="0" w:color="auto"/>
            </w:tcBorders>
          </w:tcPr>
          <w:p w14:paraId="4836AA5E" w14:textId="77777777" w:rsidR="00286F7D" w:rsidRPr="00286F7D" w:rsidRDefault="00286F7D" w:rsidP="00286F7D">
            <w:pPr>
              <w:pStyle w:val="Texttabulky"/>
              <w:spacing w:after="0"/>
              <w:jc w:val="right"/>
              <w:rPr>
                <w:rFonts w:cs="Arial"/>
              </w:rPr>
            </w:pPr>
            <w:r w:rsidRPr="00286F7D">
              <w:rPr>
                <w:rFonts w:cs="Arial"/>
              </w:rPr>
              <w:t>105</w:t>
            </w:r>
          </w:p>
        </w:tc>
        <w:tc>
          <w:tcPr>
            <w:tcW w:w="1165" w:type="dxa"/>
            <w:tcBorders>
              <w:top w:val="single" w:sz="6" w:space="0" w:color="auto"/>
              <w:left w:val="single" w:sz="6" w:space="0" w:color="auto"/>
              <w:bottom w:val="single" w:sz="6" w:space="0" w:color="auto"/>
              <w:right w:val="single" w:sz="6" w:space="0" w:color="auto"/>
            </w:tcBorders>
          </w:tcPr>
          <w:p w14:paraId="7432C3F8" w14:textId="77777777" w:rsidR="00286F7D" w:rsidRPr="00286F7D" w:rsidRDefault="00286F7D" w:rsidP="00286F7D">
            <w:pPr>
              <w:pStyle w:val="Texttabulky"/>
              <w:spacing w:after="0"/>
              <w:jc w:val="right"/>
              <w:rPr>
                <w:rFonts w:cs="Arial"/>
              </w:rPr>
            </w:pPr>
            <w:r w:rsidRPr="00286F7D">
              <w:rPr>
                <w:rFonts w:cs="Arial"/>
              </w:rPr>
              <w:t>230</w:t>
            </w:r>
          </w:p>
        </w:tc>
        <w:tc>
          <w:tcPr>
            <w:tcW w:w="761" w:type="dxa"/>
            <w:tcBorders>
              <w:top w:val="single" w:sz="6" w:space="0" w:color="auto"/>
              <w:left w:val="single" w:sz="6" w:space="0" w:color="auto"/>
              <w:bottom w:val="single" w:sz="6" w:space="0" w:color="auto"/>
              <w:right w:val="single" w:sz="6" w:space="0" w:color="auto"/>
            </w:tcBorders>
          </w:tcPr>
          <w:p w14:paraId="5A94E98B" w14:textId="77777777" w:rsidR="00286F7D" w:rsidRPr="00286F7D" w:rsidRDefault="00286F7D" w:rsidP="00286F7D">
            <w:pPr>
              <w:pStyle w:val="Texttabulky"/>
              <w:spacing w:after="0"/>
              <w:jc w:val="right"/>
              <w:rPr>
                <w:rFonts w:cs="Arial"/>
              </w:rPr>
            </w:pPr>
            <w:r w:rsidRPr="00286F7D">
              <w:rPr>
                <w:rFonts w:cs="Arial"/>
              </w:rPr>
              <w:t>9</w:t>
            </w:r>
          </w:p>
        </w:tc>
        <w:tc>
          <w:tcPr>
            <w:tcW w:w="1119" w:type="dxa"/>
            <w:tcBorders>
              <w:top w:val="single" w:sz="6" w:space="0" w:color="auto"/>
              <w:left w:val="single" w:sz="6" w:space="0" w:color="auto"/>
              <w:bottom w:val="single" w:sz="6" w:space="0" w:color="auto"/>
              <w:right w:val="single" w:sz="6" w:space="0" w:color="auto"/>
            </w:tcBorders>
          </w:tcPr>
          <w:p w14:paraId="1DD05B6E" w14:textId="77777777" w:rsidR="00286F7D" w:rsidRPr="00286F7D" w:rsidRDefault="00286F7D" w:rsidP="00286F7D">
            <w:pPr>
              <w:pStyle w:val="Texttabulky"/>
              <w:spacing w:after="0"/>
              <w:jc w:val="right"/>
              <w:rPr>
                <w:rFonts w:cs="Arial"/>
              </w:rPr>
            </w:pPr>
            <w:r w:rsidRPr="00286F7D">
              <w:rPr>
                <w:rFonts w:cs="Arial"/>
              </w:rPr>
              <w:t>815</w:t>
            </w:r>
          </w:p>
        </w:tc>
        <w:tc>
          <w:tcPr>
            <w:tcW w:w="1011" w:type="dxa"/>
            <w:tcBorders>
              <w:top w:val="single" w:sz="6" w:space="0" w:color="auto"/>
              <w:left w:val="single" w:sz="6" w:space="0" w:color="auto"/>
              <w:bottom w:val="single" w:sz="6" w:space="0" w:color="auto"/>
              <w:right w:val="single" w:sz="6" w:space="0" w:color="auto"/>
            </w:tcBorders>
          </w:tcPr>
          <w:p w14:paraId="5D504DF2" w14:textId="77777777" w:rsidR="00286F7D" w:rsidRPr="00286F7D" w:rsidRDefault="00286F7D" w:rsidP="00286F7D">
            <w:pPr>
              <w:pStyle w:val="Texttabulky"/>
              <w:spacing w:after="0"/>
              <w:rPr>
                <w:rFonts w:cs="Arial"/>
              </w:rPr>
            </w:pPr>
            <w:r w:rsidRPr="00286F7D">
              <w:rPr>
                <w:rFonts w:cs="Arial"/>
              </w:rPr>
              <w:t xml:space="preserve">       + 585</w:t>
            </w:r>
          </w:p>
        </w:tc>
      </w:tr>
      <w:tr w:rsidR="00286F7D" w:rsidRPr="00286F7D" w14:paraId="5835F7FA" w14:textId="77777777" w:rsidTr="00286F7D">
        <w:tc>
          <w:tcPr>
            <w:tcW w:w="568" w:type="dxa"/>
            <w:tcBorders>
              <w:top w:val="single" w:sz="6" w:space="0" w:color="auto"/>
              <w:left w:val="single" w:sz="6" w:space="0" w:color="auto"/>
              <w:bottom w:val="single" w:sz="6" w:space="0" w:color="auto"/>
              <w:right w:val="single" w:sz="6" w:space="0" w:color="auto"/>
            </w:tcBorders>
          </w:tcPr>
          <w:p w14:paraId="486DE22E" w14:textId="77777777" w:rsidR="00286F7D" w:rsidRPr="00286F7D" w:rsidRDefault="00286F7D" w:rsidP="00286F7D">
            <w:pPr>
              <w:pStyle w:val="Texttabulky"/>
              <w:spacing w:after="0"/>
              <w:jc w:val="right"/>
              <w:rPr>
                <w:rFonts w:cs="Arial"/>
              </w:rPr>
            </w:pPr>
            <w:r w:rsidRPr="00286F7D">
              <w:rPr>
                <w:rFonts w:cs="Arial"/>
              </w:rPr>
              <w:t>13</w:t>
            </w:r>
          </w:p>
        </w:tc>
        <w:tc>
          <w:tcPr>
            <w:tcW w:w="2108" w:type="dxa"/>
            <w:tcBorders>
              <w:top w:val="single" w:sz="6" w:space="0" w:color="auto"/>
              <w:left w:val="single" w:sz="6" w:space="0" w:color="auto"/>
              <w:bottom w:val="single" w:sz="6" w:space="0" w:color="auto"/>
              <w:right w:val="single" w:sz="6" w:space="0" w:color="auto"/>
            </w:tcBorders>
          </w:tcPr>
          <w:p w14:paraId="3A8ACDC3" w14:textId="77777777" w:rsidR="00286F7D" w:rsidRPr="00286F7D" w:rsidRDefault="00286F7D" w:rsidP="00286F7D">
            <w:pPr>
              <w:pStyle w:val="Texttabulky"/>
              <w:spacing w:after="0"/>
              <w:rPr>
                <w:rFonts w:cs="Arial"/>
              </w:rPr>
            </w:pPr>
            <w:r w:rsidRPr="00286F7D">
              <w:rPr>
                <w:rFonts w:cs="Arial"/>
              </w:rPr>
              <w:t>U Ploučnice</w:t>
            </w:r>
          </w:p>
        </w:tc>
        <w:tc>
          <w:tcPr>
            <w:tcW w:w="1094" w:type="dxa"/>
            <w:tcBorders>
              <w:top w:val="single" w:sz="6" w:space="0" w:color="auto"/>
              <w:left w:val="single" w:sz="6" w:space="0" w:color="auto"/>
              <w:bottom w:val="single" w:sz="6" w:space="0" w:color="auto"/>
              <w:right w:val="single" w:sz="6" w:space="0" w:color="auto"/>
            </w:tcBorders>
          </w:tcPr>
          <w:p w14:paraId="7A047D84" w14:textId="77777777" w:rsidR="00286F7D" w:rsidRPr="00286F7D" w:rsidRDefault="00286F7D" w:rsidP="00286F7D">
            <w:pPr>
              <w:pStyle w:val="Texttabulky"/>
              <w:spacing w:after="0"/>
              <w:jc w:val="right"/>
              <w:rPr>
                <w:rFonts w:cs="Arial"/>
              </w:rPr>
            </w:pPr>
            <w:r w:rsidRPr="00286F7D">
              <w:rPr>
                <w:rFonts w:cs="Arial"/>
              </w:rPr>
              <w:t>780</w:t>
            </w:r>
          </w:p>
        </w:tc>
        <w:tc>
          <w:tcPr>
            <w:tcW w:w="1165" w:type="dxa"/>
            <w:tcBorders>
              <w:top w:val="single" w:sz="6" w:space="0" w:color="auto"/>
              <w:left w:val="single" w:sz="6" w:space="0" w:color="auto"/>
              <w:bottom w:val="single" w:sz="6" w:space="0" w:color="auto"/>
              <w:right w:val="single" w:sz="6" w:space="0" w:color="auto"/>
            </w:tcBorders>
          </w:tcPr>
          <w:p w14:paraId="19501C54" w14:textId="77777777" w:rsidR="00286F7D" w:rsidRPr="00286F7D" w:rsidRDefault="00286F7D" w:rsidP="00286F7D">
            <w:pPr>
              <w:pStyle w:val="Texttabulky"/>
              <w:spacing w:after="0"/>
              <w:jc w:val="right"/>
              <w:rPr>
                <w:rFonts w:cs="Arial"/>
              </w:rPr>
            </w:pPr>
            <w:r w:rsidRPr="00286F7D">
              <w:rPr>
                <w:rFonts w:cs="Arial"/>
              </w:rPr>
              <w:t>780</w:t>
            </w:r>
          </w:p>
        </w:tc>
        <w:tc>
          <w:tcPr>
            <w:tcW w:w="761" w:type="dxa"/>
            <w:tcBorders>
              <w:top w:val="single" w:sz="6" w:space="0" w:color="auto"/>
              <w:left w:val="single" w:sz="6" w:space="0" w:color="auto"/>
              <w:bottom w:val="single" w:sz="6" w:space="0" w:color="auto"/>
              <w:right w:val="single" w:sz="6" w:space="0" w:color="auto"/>
            </w:tcBorders>
          </w:tcPr>
          <w:p w14:paraId="315B813B" w14:textId="77777777" w:rsidR="00286F7D" w:rsidRPr="00286F7D" w:rsidRDefault="00286F7D" w:rsidP="00286F7D">
            <w:pPr>
              <w:pStyle w:val="Texttabulky"/>
              <w:spacing w:after="0"/>
              <w:jc w:val="right"/>
              <w:rPr>
                <w:rFonts w:cs="Arial"/>
              </w:rPr>
            </w:pPr>
            <w:r w:rsidRPr="00286F7D">
              <w:rPr>
                <w:rFonts w:cs="Arial"/>
              </w:rPr>
              <w:t>4</w:t>
            </w:r>
          </w:p>
        </w:tc>
        <w:tc>
          <w:tcPr>
            <w:tcW w:w="1119" w:type="dxa"/>
            <w:tcBorders>
              <w:top w:val="single" w:sz="6" w:space="0" w:color="auto"/>
              <w:left w:val="single" w:sz="6" w:space="0" w:color="auto"/>
              <w:bottom w:val="single" w:sz="6" w:space="0" w:color="auto"/>
              <w:right w:val="single" w:sz="6" w:space="0" w:color="auto"/>
            </w:tcBorders>
          </w:tcPr>
          <w:p w14:paraId="1E798F8C" w14:textId="77777777" w:rsidR="00286F7D" w:rsidRPr="00286F7D" w:rsidRDefault="00286F7D" w:rsidP="00286F7D">
            <w:pPr>
              <w:pStyle w:val="Texttabulky"/>
              <w:spacing w:after="0"/>
              <w:jc w:val="right"/>
              <w:rPr>
                <w:rFonts w:cs="Arial"/>
              </w:rPr>
            </w:pPr>
            <w:r w:rsidRPr="00286F7D">
              <w:rPr>
                <w:rFonts w:cs="Arial"/>
              </w:rPr>
              <w:t>341</w:t>
            </w:r>
          </w:p>
        </w:tc>
        <w:tc>
          <w:tcPr>
            <w:tcW w:w="1011" w:type="dxa"/>
            <w:tcBorders>
              <w:top w:val="single" w:sz="6" w:space="0" w:color="auto"/>
              <w:left w:val="single" w:sz="6" w:space="0" w:color="auto"/>
              <w:bottom w:val="single" w:sz="6" w:space="0" w:color="auto"/>
              <w:right w:val="single" w:sz="6" w:space="0" w:color="auto"/>
            </w:tcBorders>
          </w:tcPr>
          <w:p w14:paraId="3884C2E7" w14:textId="77777777" w:rsidR="00286F7D" w:rsidRPr="00286F7D" w:rsidRDefault="00286F7D" w:rsidP="00286F7D">
            <w:pPr>
              <w:pStyle w:val="Texttabulky"/>
              <w:spacing w:after="0"/>
              <w:jc w:val="right"/>
              <w:rPr>
                <w:rFonts w:cs="Arial"/>
              </w:rPr>
            </w:pPr>
            <w:r w:rsidRPr="00286F7D">
              <w:rPr>
                <w:rFonts w:cs="Arial"/>
              </w:rPr>
              <w:t>-439</w:t>
            </w:r>
          </w:p>
        </w:tc>
      </w:tr>
      <w:tr w:rsidR="00286F7D" w:rsidRPr="00286F7D" w14:paraId="5C8400A7" w14:textId="77777777" w:rsidTr="00286F7D">
        <w:tc>
          <w:tcPr>
            <w:tcW w:w="568" w:type="dxa"/>
            <w:tcBorders>
              <w:top w:val="single" w:sz="6" w:space="0" w:color="auto"/>
              <w:left w:val="single" w:sz="6" w:space="0" w:color="auto"/>
              <w:bottom w:val="single" w:sz="6" w:space="0" w:color="auto"/>
              <w:right w:val="single" w:sz="6" w:space="0" w:color="auto"/>
            </w:tcBorders>
          </w:tcPr>
          <w:p w14:paraId="2977066B" w14:textId="77777777" w:rsidR="00286F7D" w:rsidRPr="00286F7D" w:rsidRDefault="00286F7D" w:rsidP="00286F7D">
            <w:pPr>
              <w:pStyle w:val="Texttabulky"/>
              <w:spacing w:after="0"/>
              <w:jc w:val="right"/>
              <w:rPr>
                <w:rFonts w:cs="Arial"/>
              </w:rPr>
            </w:pPr>
            <w:r w:rsidRPr="00286F7D">
              <w:rPr>
                <w:rFonts w:cs="Arial"/>
              </w:rPr>
              <w:t>15</w:t>
            </w:r>
          </w:p>
        </w:tc>
        <w:tc>
          <w:tcPr>
            <w:tcW w:w="2108" w:type="dxa"/>
            <w:tcBorders>
              <w:top w:val="single" w:sz="6" w:space="0" w:color="auto"/>
              <w:left w:val="single" w:sz="6" w:space="0" w:color="auto"/>
              <w:bottom w:val="single" w:sz="6" w:space="0" w:color="auto"/>
              <w:right w:val="single" w:sz="6" w:space="0" w:color="auto"/>
            </w:tcBorders>
          </w:tcPr>
          <w:p w14:paraId="563DED1E" w14:textId="77777777" w:rsidR="00286F7D" w:rsidRPr="00286F7D" w:rsidRDefault="00286F7D" w:rsidP="00286F7D">
            <w:pPr>
              <w:pStyle w:val="Texttabulky"/>
              <w:spacing w:after="0"/>
              <w:rPr>
                <w:rFonts w:cs="Arial"/>
              </w:rPr>
            </w:pPr>
            <w:r w:rsidRPr="00286F7D">
              <w:rPr>
                <w:rFonts w:cs="Arial"/>
              </w:rPr>
              <w:t>Pod Chlumem</w:t>
            </w:r>
          </w:p>
        </w:tc>
        <w:tc>
          <w:tcPr>
            <w:tcW w:w="1094" w:type="dxa"/>
            <w:tcBorders>
              <w:top w:val="single" w:sz="6" w:space="0" w:color="auto"/>
              <w:left w:val="single" w:sz="6" w:space="0" w:color="auto"/>
              <w:bottom w:val="single" w:sz="6" w:space="0" w:color="auto"/>
              <w:right w:val="single" w:sz="6" w:space="0" w:color="auto"/>
            </w:tcBorders>
          </w:tcPr>
          <w:p w14:paraId="20BE8539"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48098FB5"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31DAEED8"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37099103"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050CF0F1"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26D23EBB" w14:textId="77777777" w:rsidTr="00286F7D">
        <w:tc>
          <w:tcPr>
            <w:tcW w:w="568" w:type="dxa"/>
            <w:tcBorders>
              <w:top w:val="single" w:sz="6" w:space="0" w:color="auto"/>
              <w:left w:val="single" w:sz="6" w:space="0" w:color="auto"/>
              <w:bottom w:val="single" w:sz="6" w:space="0" w:color="auto"/>
              <w:right w:val="single" w:sz="6" w:space="0" w:color="auto"/>
            </w:tcBorders>
          </w:tcPr>
          <w:p w14:paraId="4F19DBDC" w14:textId="77777777" w:rsidR="00286F7D" w:rsidRPr="00286F7D" w:rsidRDefault="00286F7D" w:rsidP="00286F7D">
            <w:pPr>
              <w:pStyle w:val="Texttabulky"/>
              <w:spacing w:after="0"/>
              <w:jc w:val="right"/>
              <w:rPr>
                <w:rFonts w:cs="Arial"/>
              </w:rPr>
            </w:pPr>
            <w:r w:rsidRPr="00286F7D">
              <w:rPr>
                <w:rFonts w:cs="Arial"/>
              </w:rPr>
              <w:t>47</w:t>
            </w:r>
          </w:p>
        </w:tc>
        <w:tc>
          <w:tcPr>
            <w:tcW w:w="2108" w:type="dxa"/>
            <w:tcBorders>
              <w:top w:val="single" w:sz="6" w:space="0" w:color="auto"/>
              <w:left w:val="single" w:sz="6" w:space="0" w:color="auto"/>
              <w:bottom w:val="single" w:sz="6" w:space="0" w:color="auto"/>
              <w:right w:val="single" w:sz="6" w:space="0" w:color="auto"/>
            </w:tcBorders>
          </w:tcPr>
          <w:p w14:paraId="2E1474EB" w14:textId="77777777" w:rsidR="00286F7D" w:rsidRPr="00286F7D" w:rsidRDefault="00286F7D" w:rsidP="00286F7D">
            <w:pPr>
              <w:pStyle w:val="Texttabulky"/>
              <w:spacing w:after="0"/>
              <w:rPr>
                <w:rFonts w:cs="Arial"/>
              </w:rPr>
            </w:pPr>
            <w:r w:rsidRPr="00286F7D">
              <w:rPr>
                <w:rFonts w:cs="Arial"/>
              </w:rPr>
              <w:t>Folknáře</w:t>
            </w:r>
          </w:p>
        </w:tc>
        <w:tc>
          <w:tcPr>
            <w:tcW w:w="1094" w:type="dxa"/>
            <w:tcBorders>
              <w:top w:val="single" w:sz="6" w:space="0" w:color="auto"/>
              <w:left w:val="single" w:sz="6" w:space="0" w:color="auto"/>
              <w:bottom w:val="single" w:sz="6" w:space="0" w:color="auto"/>
              <w:right w:val="single" w:sz="6" w:space="0" w:color="auto"/>
            </w:tcBorders>
          </w:tcPr>
          <w:p w14:paraId="61D627B9"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6FBEC191"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0414BDF5"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2AC8113C"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5849EB3C"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9349B1A" w14:textId="77777777" w:rsidTr="00286F7D">
        <w:tc>
          <w:tcPr>
            <w:tcW w:w="568" w:type="dxa"/>
            <w:tcBorders>
              <w:top w:val="single" w:sz="6" w:space="0" w:color="auto"/>
              <w:left w:val="single" w:sz="6" w:space="0" w:color="auto"/>
              <w:bottom w:val="single" w:sz="6" w:space="0" w:color="auto"/>
              <w:right w:val="single" w:sz="6" w:space="0" w:color="auto"/>
            </w:tcBorders>
          </w:tcPr>
          <w:p w14:paraId="6ABD4EEB" w14:textId="77777777" w:rsidR="00286F7D" w:rsidRPr="00286F7D" w:rsidRDefault="00286F7D" w:rsidP="00286F7D">
            <w:pPr>
              <w:pStyle w:val="Texttabulky"/>
              <w:spacing w:after="0"/>
              <w:jc w:val="right"/>
              <w:rPr>
                <w:rFonts w:cs="Arial"/>
              </w:rPr>
            </w:pPr>
            <w:r w:rsidRPr="00286F7D">
              <w:rPr>
                <w:rFonts w:cs="Arial"/>
              </w:rPr>
              <w:t>48</w:t>
            </w:r>
          </w:p>
        </w:tc>
        <w:tc>
          <w:tcPr>
            <w:tcW w:w="2108" w:type="dxa"/>
            <w:tcBorders>
              <w:top w:val="single" w:sz="6" w:space="0" w:color="auto"/>
              <w:left w:val="single" w:sz="6" w:space="0" w:color="auto"/>
              <w:bottom w:val="single" w:sz="6" w:space="0" w:color="auto"/>
              <w:right w:val="single" w:sz="6" w:space="0" w:color="auto"/>
            </w:tcBorders>
          </w:tcPr>
          <w:p w14:paraId="7B89760B" w14:textId="77777777" w:rsidR="00286F7D" w:rsidRPr="00286F7D" w:rsidRDefault="00286F7D" w:rsidP="00286F7D">
            <w:pPr>
              <w:pStyle w:val="Texttabulky"/>
              <w:spacing w:after="0"/>
              <w:rPr>
                <w:rFonts w:cs="Arial"/>
              </w:rPr>
            </w:pPr>
            <w:r w:rsidRPr="00286F7D">
              <w:rPr>
                <w:rFonts w:cs="Arial"/>
              </w:rPr>
              <w:t>Březiny - Libverda</w:t>
            </w:r>
          </w:p>
        </w:tc>
        <w:tc>
          <w:tcPr>
            <w:tcW w:w="1094" w:type="dxa"/>
            <w:tcBorders>
              <w:top w:val="single" w:sz="6" w:space="0" w:color="auto"/>
              <w:left w:val="single" w:sz="6" w:space="0" w:color="auto"/>
              <w:bottom w:val="single" w:sz="6" w:space="0" w:color="auto"/>
              <w:right w:val="single" w:sz="6" w:space="0" w:color="auto"/>
            </w:tcBorders>
          </w:tcPr>
          <w:p w14:paraId="63827AAE"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1FA95AA0"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3F0677CE" w14:textId="77777777" w:rsidR="00286F7D" w:rsidRPr="00286F7D" w:rsidRDefault="00286F7D" w:rsidP="00286F7D">
            <w:pPr>
              <w:pStyle w:val="Texttabulky"/>
              <w:spacing w:after="0"/>
              <w:jc w:val="right"/>
              <w:rPr>
                <w:rFonts w:cs="Arial"/>
              </w:rPr>
            </w:pPr>
            <w:r w:rsidRPr="00286F7D">
              <w:rPr>
                <w:rFonts w:cs="Arial"/>
              </w:rPr>
              <w:t>1</w:t>
            </w:r>
          </w:p>
        </w:tc>
        <w:tc>
          <w:tcPr>
            <w:tcW w:w="1119" w:type="dxa"/>
            <w:tcBorders>
              <w:top w:val="single" w:sz="6" w:space="0" w:color="auto"/>
              <w:left w:val="single" w:sz="6" w:space="0" w:color="auto"/>
              <w:bottom w:val="single" w:sz="6" w:space="0" w:color="auto"/>
              <w:right w:val="single" w:sz="6" w:space="0" w:color="auto"/>
            </w:tcBorders>
          </w:tcPr>
          <w:p w14:paraId="762EDED8" w14:textId="77777777" w:rsidR="00286F7D" w:rsidRPr="00286F7D" w:rsidRDefault="00286F7D" w:rsidP="00286F7D">
            <w:pPr>
              <w:pStyle w:val="Texttabulky"/>
              <w:spacing w:after="0"/>
              <w:jc w:val="right"/>
              <w:rPr>
                <w:rFonts w:cs="Arial"/>
              </w:rPr>
            </w:pPr>
            <w:r w:rsidRPr="00286F7D">
              <w:rPr>
                <w:rFonts w:cs="Arial"/>
              </w:rPr>
              <w:t>34</w:t>
            </w:r>
          </w:p>
        </w:tc>
        <w:tc>
          <w:tcPr>
            <w:tcW w:w="1011" w:type="dxa"/>
            <w:tcBorders>
              <w:top w:val="single" w:sz="6" w:space="0" w:color="auto"/>
              <w:left w:val="single" w:sz="6" w:space="0" w:color="auto"/>
              <w:bottom w:val="single" w:sz="6" w:space="0" w:color="auto"/>
              <w:right w:val="single" w:sz="6" w:space="0" w:color="auto"/>
            </w:tcBorders>
          </w:tcPr>
          <w:p w14:paraId="7F27E978" w14:textId="77777777" w:rsidR="00286F7D" w:rsidRPr="00286F7D" w:rsidRDefault="00286F7D" w:rsidP="00286F7D">
            <w:pPr>
              <w:pStyle w:val="Texttabulky"/>
              <w:spacing w:after="0"/>
              <w:rPr>
                <w:rFonts w:cs="Arial"/>
              </w:rPr>
            </w:pPr>
            <w:r w:rsidRPr="00286F7D">
              <w:rPr>
                <w:rFonts w:cs="Arial"/>
              </w:rPr>
              <w:t xml:space="preserve">         + 34</w:t>
            </w:r>
          </w:p>
        </w:tc>
      </w:tr>
      <w:tr w:rsidR="00286F7D" w:rsidRPr="00286F7D" w14:paraId="7A377902" w14:textId="77777777" w:rsidTr="00286F7D">
        <w:tc>
          <w:tcPr>
            <w:tcW w:w="568" w:type="dxa"/>
            <w:tcBorders>
              <w:top w:val="single" w:sz="6" w:space="0" w:color="auto"/>
              <w:left w:val="single" w:sz="6" w:space="0" w:color="auto"/>
              <w:bottom w:val="single" w:sz="6" w:space="0" w:color="auto"/>
              <w:right w:val="single" w:sz="6" w:space="0" w:color="auto"/>
            </w:tcBorders>
          </w:tcPr>
          <w:p w14:paraId="322F0DB0" w14:textId="77777777" w:rsidR="00286F7D" w:rsidRPr="00286F7D" w:rsidRDefault="00286F7D" w:rsidP="00286F7D">
            <w:pPr>
              <w:pStyle w:val="Texttabulky"/>
              <w:spacing w:after="0"/>
              <w:rPr>
                <w:rFonts w:cs="Arial"/>
              </w:rPr>
            </w:pPr>
            <w:r w:rsidRPr="00286F7D">
              <w:rPr>
                <w:rFonts w:cs="Arial"/>
                <w:b/>
                <w:bCs/>
              </w:rPr>
              <w:t xml:space="preserve">  VI</w:t>
            </w:r>
          </w:p>
        </w:tc>
        <w:tc>
          <w:tcPr>
            <w:tcW w:w="2108" w:type="dxa"/>
            <w:tcBorders>
              <w:top w:val="single" w:sz="6" w:space="0" w:color="auto"/>
              <w:left w:val="single" w:sz="6" w:space="0" w:color="auto"/>
              <w:bottom w:val="single" w:sz="6" w:space="0" w:color="auto"/>
              <w:right w:val="single" w:sz="6" w:space="0" w:color="auto"/>
            </w:tcBorders>
          </w:tcPr>
          <w:p w14:paraId="522CD93A" w14:textId="77777777" w:rsidR="00286F7D" w:rsidRPr="00286F7D" w:rsidRDefault="00286F7D" w:rsidP="00286F7D">
            <w:pPr>
              <w:pStyle w:val="Texttabulky"/>
              <w:spacing w:after="0"/>
              <w:rPr>
                <w:rFonts w:cs="Arial"/>
              </w:rPr>
            </w:pPr>
            <w:r w:rsidRPr="00286F7D">
              <w:rPr>
                <w:rFonts w:cs="Arial"/>
                <w:b/>
                <w:bCs/>
                <w:caps/>
              </w:rPr>
              <w:t>sektor celkem</w:t>
            </w:r>
          </w:p>
        </w:tc>
        <w:tc>
          <w:tcPr>
            <w:tcW w:w="1094" w:type="dxa"/>
            <w:tcBorders>
              <w:top w:val="single" w:sz="6" w:space="0" w:color="auto"/>
              <w:left w:val="single" w:sz="6" w:space="0" w:color="auto"/>
              <w:bottom w:val="single" w:sz="6" w:space="0" w:color="auto"/>
              <w:right w:val="single" w:sz="6" w:space="0" w:color="auto"/>
            </w:tcBorders>
          </w:tcPr>
          <w:p w14:paraId="1D965A11" w14:textId="77777777" w:rsidR="00286F7D" w:rsidRPr="00286F7D" w:rsidRDefault="00286F7D" w:rsidP="00286F7D">
            <w:pPr>
              <w:pStyle w:val="Texttabulky"/>
              <w:spacing w:after="0"/>
              <w:jc w:val="right"/>
              <w:rPr>
                <w:rFonts w:cs="Arial"/>
              </w:rPr>
            </w:pPr>
            <w:r w:rsidRPr="00286F7D">
              <w:rPr>
                <w:rFonts w:cs="Arial"/>
                <w:b/>
                <w:bCs/>
              </w:rPr>
              <w:t>2 664</w:t>
            </w:r>
          </w:p>
        </w:tc>
        <w:tc>
          <w:tcPr>
            <w:tcW w:w="1165" w:type="dxa"/>
            <w:tcBorders>
              <w:top w:val="single" w:sz="6" w:space="0" w:color="auto"/>
              <w:left w:val="single" w:sz="6" w:space="0" w:color="auto"/>
              <w:bottom w:val="single" w:sz="6" w:space="0" w:color="auto"/>
              <w:right w:val="single" w:sz="6" w:space="0" w:color="auto"/>
            </w:tcBorders>
          </w:tcPr>
          <w:p w14:paraId="2C0A0968" w14:textId="77777777" w:rsidR="00286F7D" w:rsidRPr="00286F7D" w:rsidRDefault="00286F7D" w:rsidP="00286F7D">
            <w:pPr>
              <w:pStyle w:val="Texttabulky"/>
              <w:spacing w:after="0"/>
              <w:jc w:val="right"/>
              <w:rPr>
                <w:rFonts w:cs="Arial"/>
              </w:rPr>
            </w:pPr>
            <w:r w:rsidRPr="00286F7D">
              <w:rPr>
                <w:rFonts w:cs="Arial"/>
                <w:b/>
                <w:bCs/>
              </w:rPr>
              <w:t>2 720</w:t>
            </w:r>
          </w:p>
        </w:tc>
        <w:tc>
          <w:tcPr>
            <w:tcW w:w="761" w:type="dxa"/>
            <w:tcBorders>
              <w:top w:val="single" w:sz="6" w:space="0" w:color="auto"/>
              <w:left w:val="single" w:sz="6" w:space="0" w:color="auto"/>
              <w:bottom w:val="single" w:sz="6" w:space="0" w:color="auto"/>
              <w:right w:val="single" w:sz="6" w:space="0" w:color="auto"/>
            </w:tcBorders>
          </w:tcPr>
          <w:p w14:paraId="18179C59" w14:textId="77777777" w:rsidR="00286F7D" w:rsidRPr="00286F7D" w:rsidRDefault="00286F7D" w:rsidP="00286F7D">
            <w:pPr>
              <w:pStyle w:val="Texttabulky"/>
              <w:spacing w:after="0"/>
              <w:jc w:val="right"/>
              <w:rPr>
                <w:rFonts w:cs="Arial"/>
              </w:rPr>
            </w:pPr>
            <w:r w:rsidRPr="00286F7D">
              <w:rPr>
                <w:rFonts w:cs="Arial"/>
                <w:b/>
                <w:bCs/>
              </w:rPr>
              <w:t>38</w:t>
            </w:r>
          </w:p>
        </w:tc>
        <w:tc>
          <w:tcPr>
            <w:tcW w:w="1119" w:type="dxa"/>
            <w:tcBorders>
              <w:top w:val="single" w:sz="6" w:space="0" w:color="auto"/>
              <w:left w:val="single" w:sz="6" w:space="0" w:color="auto"/>
              <w:bottom w:val="single" w:sz="6" w:space="0" w:color="auto"/>
              <w:right w:val="single" w:sz="6" w:space="0" w:color="auto"/>
            </w:tcBorders>
          </w:tcPr>
          <w:p w14:paraId="5CD5B355" w14:textId="77777777" w:rsidR="00286F7D" w:rsidRPr="00286F7D" w:rsidRDefault="00286F7D" w:rsidP="00286F7D">
            <w:pPr>
              <w:pStyle w:val="Texttabulky"/>
              <w:spacing w:after="0"/>
              <w:jc w:val="right"/>
              <w:rPr>
                <w:rFonts w:cs="Arial"/>
              </w:rPr>
            </w:pPr>
            <w:r w:rsidRPr="00286F7D">
              <w:rPr>
                <w:rFonts w:cs="Arial"/>
                <w:b/>
                <w:bCs/>
              </w:rPr>
              <w:t>3 598</w:t>
            </w:r>
          </w:p>
        </w:tc>
        <w:tc>
          <w:tcPr>
            <w:tcW w:w="1011" w:type="dxa"/>
            <w:tcBorders>
              <w:top w:val="single" w:sz="6" w:space="0" w:color="auto"/>
              <w:left w:val="single" w:sz="6" w:space="0" w:color="auto"/>
              <w:bottom w:val="single" w:sz="6" w:space="0" w:color="auto"/>
              <w:right w:val="single" w:sz="6" w:space="0" w:color="auto"/>
            </w:tcBorders>
          </w:tcPr>
          <w:p w14:paraId="0D4DBC24" w14:textId="77777777" w:rsidR="00286F7D" w:rsidRPr="00286F7D" w:rsidRDefault="00286F7D" w:rsidP="00286F7D">
            <w:pPr>
              <w:pStyle w:val="Texttabulky"/>
              <w:spacing w:after="0"/>
              <w:rPr>
                <w:rFonts w:cs="Arial"/>
              </w:rPr>
            </w:pPr>
            <w:r w:rsidRPr="00286F7D">
              <w:rPr>
                <w:rFonts w:cs="Arial"/>
                <w:b/>
                <w:bCs/>
              </w:rPr>
              <w:t xml:space="preserve">       + 878</w:t>
            </w:r>
          </w:p>
        </w:tc>
      </w:tr>
      <w:tr w:rsidR="00286F7D" w:rsidRPr="00286F7D" w14:paraId="253CA0B1" w14:textId="77777777" w:rsidTr="00286F7D">
        <w:tc>
          <w:tcPr>
            <w:tcW w:w="568" w:type="dxa"/>
            <w:tcBorders>
              <w:top w:val="single" w:sz="6" w:space="0" w:color="auto"/>
              <w:left w:val="single" w:sz="6" w:space="0" w:color="auto"/>
              <w:bottom w:val="single" w:sz="6" w:space="0" w:color="auto"/>
              <w:right w:val="single" w:sz="6" w:space="0" w:color="auto"/>
            </w:tcBorders>
          </w:tcPr>
          <w:p w14:paraId="3D2A29F4" w14:textId="77777777" w:rsidR="00286F7D" w:rsidRPr="00286F7D" w:rsidRDefault="00286F7D" w:rsidP="00286F7D">
            <w:pPr>
              <w:pStyle w:val="Texttabulky"/>
              <w:spacing w:after="0"/>
              <w:jc w:val="right"/>
              <w:rPr>
                <w:rFonts w:cs="Arial"/>
              </w:rPr>
            </w:pPr>
            <w:r w:rsidRPr="00286F7D">
              <w:rPr>
                <w:rFonts w:cs="Arial"/>
              </w:rPr>
              <w:t>14</w:t>
            </w:r>
          </w:p>
        </w:tc>
        <w:tc>
          <w:tcPr>
            <w:tcW w:w="2108" w:type="dxa"/>
            <w:tcBorders>
              <w:top w:val="single" w:sz="6" w:space="0" w:color="auto"/>
              <w:left w:val="single" w:sz="6" w:space="0" w:color="auto"/>
              <w:bottom w:val="single" w:sz="6" w:space="0" w:color="auto"/>
              <w:right w:val="single" w:sz="6" w:space="0" w:color="auto"/>
            </w:tcBorders>
          </w:tcPr>
          <w:p w14:paraId="15984298" w14:textId="77777777" w:rsidR="00286F7D" w:rsidRPr="00286F7D" w:rsidRDefault="00286F7D" w:rsidP="00286F7D">
            <w:pPr>
              <w:pStyle w:val="Texttabulky"/>
              <w:spacing w:after="0"/>
              <w:rPr>
                <w:rFonts w:cs="Arial"/>
              </w:rPr>
            </w:pPr>
            <w:r w:rsidRPr="00286F7D">
              <w:rPr>
                <w:rFonts w:cs="Arial"/>
              </w:rPr>
              <w:t>Chlumská stráň</w:t>
            </w:r>
          </w:p>
        </w:tc>
        <w:tc>
          <w:tcPr>
            <w:tcW w:w="1094" w:type="dxa"/>
            <w:tcBorders>
              <w:top w:val="single" w:sz="6" w:space="0" w:color="auto"/>
              <w:left w:val="single" w:sz="6" w:space="0" w:color="auto"/>
              <w:bottom w:val="single" w:sz="6" w:space="0" w:color="auto"/>
              <w:right w:val="single" w:sz="6" w:space="0" w:color="auto"/>
            </w:tcBorders>
          </w:tcPr>
          <w:p w14:paraId="0D3F899A"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598E9E41"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4F59FE20"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4A76FBA6"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51A0E9F8"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F333D40" w14:textId="77777777" w:rsidTr="00286F7D">
        <w:tc>
          <w:tcPr>
            <w:tcW w:w="568" w:type="dxa"/>
            <w:tcBorders>
              <w:top w:val="single" w:sz="6" w:space="0" w:color="auto"/>
              <w:left w:val="single" w:sz="6" w:space="0" w:color="auto"/>
              <w:bottom w:val="single" w:sz="6" w:space="0" w:color="auto"/>
              <w:right w:val="single" w:sz="6" w:space="0" w:color="auto"/>
            </w:tcBorders>
          </w:tcPr>
          <w:p w14:paraId="21ED78B9" w14:textId="77777777" w:rsidR="00286F7D" w:rsidRPr="00286F7D" w:rsidRDefault="00286F7D" w:rsidP="00286F7D">
            <w:pPr>
              <w:pStyle w:val="Texttabulky"/>
              <w:spacing w:after="0"/>
              <w:jc w:val="right"/>
              <w:rPr>
                <w:rFonts w:cs="Arial"/>
              </w:rPr>
            </w:pPr>
            <w:r w:rsidRPr="00286F7D">
              <w:rPr>
                <w:rFonts w:cs="Arial"/>
              </w:rPr>
              <w:lastRenderedPageBreak/>
              <w:t>51</w:t>
            </w:r>
          </w:p>
        </w:tc>
        <w:tc>
          <w:tcPr>
            <w:tcW w:w="2108" w:type="dxa"/>
            <w:tcBorders>
              <w:top w:val="single" w:sz="6" w:space="0" w:color="auto"/>
              <w:left w:val="single" w:sz="6" w:space="0" w:color="auto"/>
              <w:bottom w:val="single" w:sz="6" w:space="0" w:color="auto"/>
              <w:right w:val="single" w:sz="6" w:space="0" w:color="auto"/>
            </w:tcBorders>
          </w:tcPr>
          <w:p w14:paraId="2E3D238E" w14:textId="77777777" w:rsidR="00286F7D" w:rsidRPr="00286F7D" w:rsidRDefault="00286F7D" w:rsidP="00286F7D">
            <w:pPr>
              <w:pStyle w:val="Texttabulky"/>
              <w:spacing w:after="0"/>
              <w:rPr>
                <w:rFonts w:cs="Arial"/>
              </w:rPr>
            </w:pPr>
            <w:r w:rsidRPr="00286F7D">
              <w:rPr>
                <w:rFonts w:cs="Arial"/>
              </w:rPr>
              <w:t>Křešice</w:t>
            </w:r>
          </w:p>
        </w:tc>
        <w:tc>
          <w:tcPr>
            <w:tcW w:w="1094" w:type="dxa"/>
            <w:tcBorders>
              <w:top w:val="single" w:sz="6" w:space="0" w:color="auto"/>
              <w:left w:val="single" w:sz="6" w:space="0" w:color="auto"/>
              <w:bottom w:val="single" w:sz="6" w:space="0" w:color="auto"/>
              <w:right w:val="single" w:sz="6" w:space="0" w:color="auto"/>
            </w:tcBorders>
          </w:tcPr>
          <w:p w14:paraId="7A89C9F6"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1315D83C"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48151EA2"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6D450677"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0C15E65D"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5627E736" w14:textId="77777777" w:rsidTr="00286F7D">
        <w:tc>
          <w:tcPr>
            <w:tcW w:w="568" w:type="dxa"/>
            <w:tcBorders>
              <w:top w:val="single" w:sz="6" w:space="0" w:color="auto"/>
              <w:left w:val="single" w:sz="6" w:space="0" w:color="auto"/>
              <w:bottom w:val="single" w:sz="6" w:space="0" w:color="auto"/>
              <w:right w:val="single" w:sz="6" w:space="0" w:color="auto"/>
            </w:tcBorders>
          </w:tcPr>
          <w:p w14:paraId="2BC19452" w14:textId="77777777" w:rsidR="00286F7D" w:rsidRPr="00286F7D" w:rsidRDefault="00286F7D" w:rsidP="00286F7D">
            <w:pPr>
              <w:pStyle w:val="Texttabulky"/>
              <w:spacing w:after="0"/>
              <w:jc w:val="right"/>
              <w:rPr>
                <w:rFonts w:cs="Arial"/>
              </w:rPr>
            </w:pPr>
            <w:r w:rsidRPr="00286F7D">
              <w:rPr>
                <w:rFonts w:cs="Arial"/>
              </w:rPr>
              <w:t>52</w:t>
            </w:r>
          </w:p>
        </w:tc>
        <w:tc>
          <w:tcPr>
            <w:tcW w:w="2108" w:type="dxa"/>
            <w:tcBorders>
              <w:top w:val="single" w:sz="6" w:space="0" w:color="auto"/>
              <w:left w:val="single" w:sz="6" w:space="0" w:color="auto"/>
              <w:bottom w:val="single" w:sz="6" w:space="0" w:color="auto"/>
              <w:right w:val="single" w:sz="6" w:space="0" w:color="auto"/>
            </w:tcBorders>
          </w:tcPr>
          <w:p w14:paraId="3C63DFFC" w14:textId="77777777" w:rsidR="00286F7D" w:rsidRPr="00286F7D" w:rsidRDefault="00286F7D" w:rsidP="00286F7D">
            <w:pPr>
              <w:pStyle w:val="Texttabulky"/>
              <w:spacing w:after="0"/>
              <w:rPr>
                <w:rFonts w:cs="Arial"/>
              </w:rPr>
            </w:pPr>
            <w:r w:rsidRPr="00286F7D">
              <w:rPr>
                <w:rFonts w:cs="Arial"/>
              </w:rPr>
              <w:t>Boletice n.Labem</w:t>
            </w:r>
          </w:p>
        </w:tc>
        <w:tc>
          <w:tcPr>
            <w:tcW w:w="1094" w:type="dxa"/>
            <w:tcBorders>
              <w:top w:val="single" w:sz="6" w:space="0" w:color="auto"/>
              <w:left w:val="single" w:sz="6" w:space="0" w:color="auto"/>
              <w:bottom w:val="single" w:sz="6" w:space="0" w:color="auto"/>
              <w:right w:val="single" w:sz="6" w:space="0" w:color="auto"/>
            </w:tcBorders>
          </w:tcPr>
          <w:p w14:paraId="5E94AA5A" w14:textId="77777777" w:rsidR="00286F7D" w:rsidRPr="00286F7D" w:rsidRDefault="00286F7D" w:rsidP="00286F7D">
            <w:pPr>
              <w:pStyle w:val="Texttabulky"/>
              <w:spacing w:after="0"/>
              <w:jc w:val="right"/>
              <w:rPr>
                <w:rFonts w:cs="Arial"/>
              </w:rPr>
            </w:pPr>
            <w:r w:rsidRPr="00286F7D">
              <w:rPr>
                <w:rFonts w:cs="Arial"/>
              </w:rPr>
              <w:t>20</w:t>
            </w:r>
          </w:p>
        </w:tc>
        <w:tc>
          <w:tcPr>
            <w:tcW w:w="1165" w:type="dxa"/>
            <w:tcBorders>
              <w:top w:val="single" w:sz="6" w:space="0" w:color="auto"/>
              <w:left w:val="single" w:sz="6" w:space="0" w:color="auto"/>
              <w:bottom w:val="single" w:sz="6" w:space="0" w:color="auto"/>
              <w:right w:val="single" w:sz="6" w:space="0" w:color="auto"/>
            </w:tcBorders>
          </w:tcPr>
          <w:p w14:paraId="08581671" w14:textId="77777777" w:rsidR="00286F7D" w:rsidRPr="00286F7D" w:rsidRDefault="00286F7D" w:rsidP="00286F7D">
            <w:pPr>
              <w:pStyle w:val="Texttabulky"/>
              <w:spacing w:after="0"/>
              <w:jc w:val="right"/>
              <w:rPr>
                <w:rFonts w:cs="Arial"/>
              </w:rPr>
            </w:pPr>
            <w:r w:rsidRPr="00286F7D">
              <w:rPr>
                <w:rFonts w:cs="Arial"/>
              </w:rPr>
              <w:t>75</w:t>
            </w:r>
          </w:p>
        </w:tc>
        <w:tc>
          <w:tcPr>
            <w:tcW w:w="761" w:type="dxa"/>
            <w:tcBorders>
              <w:top w:val="single" w:sz="6" w:space="0" w:color="auto"/>
              <w:left w:val="single" w:sz="6" w:space="0" w:color="auto"/>
              <w:bottom w:val="single" w:sz="6" w:space="0" w:color="auto"/>
              <w:right w:val="single" w:sz="6" w:space="0" w:color="auto"/>
            </w:tcBorders>
          </w:tcPr>
          <w:p w14:paraId="36619510"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58A06080"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1BA2F89A"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4477961A" w14:textId="77777777" w:rsidTr="00286F7D">
        <w:tc>
          <w:tcPr>
            <w:tcW w:w="568" w:type="dxa"/>
            <w:tcBorders>
              <w:top w:val="single" w:sz="6" w:space="0" w:color="auto"/>
              <w:left w:val="single" w:sz="6" w:space="0" w:color="auto"/>
              <w:bottom w:val="single" w:sz="6" w:space="0" w:color="auto"/>
              <w:right w:val="single" w:sz="6" w:space="0" w:color="auto"/>
            </w:tcBorders>
          </w:tcPr>
          <w:p w14:paraId="53DDF675" w14:textId="77777777" w:rsidR="00286F7D" w:rsidRPr="00286F7D" w:rsidRDefault="00286F7D" w:rsidP="00286F7D">
            <w:pPr>
              <w:pStyle w:val="Texttabulky"/>
              <w:spacing w:after="0"/>
              <w:jc w:val="right"/>
              <w:rPr>
                <w:rFonts w:cs="Arial"/>
              </w:rPr>
            </w:pPr>
            <w:r w:rsidRPr="00286F7D">
              <w:rPr>
                <w:rFonts w:cs="Arial"/>
              </w:rPr>
              <w:t>57</w:t>
            </w:r>
          </w:p>
        </w:tc>
        <w:tc>
          <w:tcPr>
            <w:tcW w:w="2108" w:type="dxa"/>
            <w:tcBorders>
              <w:top w:val="single" w:sz="6" w:space="0" w:color="auto"/>
              <w:left w:val="single" w:sz="6" w:space="0" w:color="auto"/>
              <w:bottom w:val="single" w:sz="6" w:space="0" w:color="auto"/>
              <w:right w:val="single" w:sz="6" w:space="0" w:color="auto"/>
            </w:tcBorders>
          </w:tcPr>
          <w:p w14:paraId="0544B94E" w14:textId="77777777" w:rsidR="00286F7D" w:rsidRPr="00286F7D" w:rsidRDefault="00286F7D" w:rsidP="00286F7D">
            <w:pPr>
              <w:pStyle w:val="Texttabulky"/>
              <w:spacing w:after="0"/>
              <w:rPr>
                <w:rFonts w:cs="Arial"/>
              </w:rPr>
            </w:pPr>
            <w:r w:rsidRPr="00286F7D">
              <w:rPr>
                <w:rFonts w:cs="Arial"/>
              </w:rPr>
              <w:t>Nebočady</w:t>
            </w:r>
          </w:p>
        </w:tc>
        <w:tc>
          <w:tcPr>
            <w:tcW w:w="1094" w:type="dxa"/>
            <w:tcBorders>
              <w:top w:val="single" w:sz="6" w:space="0" w:color="auto"/>
              <w:left w:val="single" w:sz="6" w:space="0" w:color="auto"/>
              <w:bottom w:val="single" w:sz="6" w:space="0" w:color="auto"/>
              <w:right w:val="single" w:sz="6" w:space="0" w:color="auto"/>
            </w:tcBorders>
          </w:tcPr>
          <w:p w14:paraId="38858DCC"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769DA83E"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194C4A43" w14:textId="77777777" w:rsidR="00286F7D" w:rsidRPr="00286F7D" w:rsidRDefault="00286F7D" w:rsidP="00286F7D">
            <w:pPr>
              <w:pStyle w:val="Texttabulky"/>
              <w:spacing w:after="0"/>
              <w:jc w:val="right"/>
              <w:rPr>
                <w:rFonts w:cs="Arial"/>
              </w:rPr>
            </w:pPr>
            <w:r w:rsidRPr="00286F7D">
              <w:rPr>
                <w:rFonts w:cs="Arial"/>
              </w:rPr>
              <w:t>1</w:t>
            </w:r>
          </w:p>
        </w:tc>
        <w:tc>
          <w:tcPr>
            <w:tcW w:w="1119" w:type="dxa"/>
            <w:tcBorders>
              <w:top w:val="single" w:sz="6" w:space="0" w:color="auto"/>
              <w:left w:val="single" w:sz="6" w:space="0" w:color="auto"/>
              <w:bottom w:val="single" w:sz="6" w:space="0" w:color="auto"/>
              <w:right w:val="single" w:sz="6" w:space="0" w:color="auto"/>
            </w:tcBorders>
          </w:tcPr>
          <w:p w14:paraId="1EC9AA02" w14:textId="77777777" w:rsidR="00286F7D" w:rsidRPr="00286F7D" w:rsidRDefault="00286F7D" w:rsidP="00286F7D">
            <w:pPr>
              <w:pStyle w:val="Texttabulky"/>
              <w:spacing w:after="0"/>
              <w:jc w:val="right"/>
              <w:rPr>
                <w:rFonts w:cs="Arial"/>
              </w:rPr>
            </w:pPr>
            <w:r w:rsidRPr="00286F7D">
              <w:rPr>
                <w:rFonts w:cs="Arial"/>
              </w:rPr>
              <w:t>20</w:t>
            </w:r>
          </w:p>
        </w:tc>
        <w:tc>
          <w:tcPr>
            <w:tcW w:w="1011" w:type="dxa"/>
            <w:tcBorders>
              <w:top w:val="single" w:sz="6" w:space="0" w:color="auto"/>
              <w:left w:val="single" w:sz="6" w:space="0" w:color="auto"/>
              <w:bottom w:val="single" w:sz="6" w:space="0" w:color="auto"/>
              <w:right w:val="single" w:sz="6" w:space="0" w:color="auto"/>
            </w:tcBorders>
          </w:tcPr>
          <w:p w14:paraId="398BD503" w14:textId="77777777" w:rsidR="00286F7D" w:rsidRPr="00286F7D" w:rsidRDefault="00286F7D" w:rsidP="00286F7D">
            <w:pPr>
              <w:pStyle w:val="Texttabulky"/>
              <w:spacing w:after="0"/>
              <w:rPr>
                <w:rFonts w:cs="Arial"/>
              </w:rPr>
            </w:pPr>
            <w:r w:rsidRPr="00286F7D">
              <w:rPr>
                <w:rFonts w:cs="Arial"/>
              </w:rPr>
              <w:t xml:space="preserve">         + 20</w:t>
            </w:r>
          </w:p>
        </w:tc>
      </w:tr>
      <w:tr w:rsidR="00286F7D" w:rsidRPr="00286F7D" w14:paraId="7E688364" w14:textId="77777777" w:rsidTr="00286F7D">
        <w:tc>
          <w:tcPr>
            <w:tcW w:w="568" w:type="dxa"/>
            <w:tcBorders>
              <w:top w:val="single" w:sz="6" w:space="0" w:color="auto"/>
              <w:left w:val="single" w:sz="6" w:space="0" w:color="auto"/>
              <w:bottom w:val="single" w:sz="6" w:space="0" w:color="auto"/>
              <w:right w:val="single" w:sz="6" w:space="0" w:color="auto"/>
            </w:tcBorders>
          </w:tcPr>
          <w:p w14:paraId="3AC63E42" w14:textId="77777777" w:rsidR="00286F7D" w:rsidRPr="00286F7D" w:rsidRDefault="00286F7D" w:rsidP="00286F7D">
            <w:pPr>
              <w:pStyle w:val="Texttabulky"/>
              <w:spacing w:after="0"/>
              <w:jc w:val="right"/>
              <w:rPr>
                <w:rFonts w:cs="Arial"/>
              </w:rPr>
            </w:pPr>
            <w:r w:rsidRPr="00286F7D">
              <w:rPr>
                <w:rFonts w:cs="Arial"/>
              </w:rPr>
              <w:t>58</w:t>
            </w:r>
          </w:p>
        </w:tc>
        <w:tc>
          <w:tcPr>
            <w:tcW w:w="2108" w:type="dxa"/>
            <w:tcBorders>
              <w:top w:val="single" w:sz="6" w:space="0" w:color="auto"/>
              <w:left w:val="single" w:sz="6" w:space="0" w:color="auto"/>
              <w:bottom w:val="single" w:sz="6" w:space="0" w:color="auto"/>
              <w:right w:val="single" w:sz="6" w:space="0" w:color="auto"/>
            </w:tcBorders>
          </w:tcPr>
          <w:p w14:paraId="624F4982" w14:textId="77777777" w:rsidR="00286F7D" w:rsidRPr="00286F7D" w:rsidRDefault="00286F7D" w:rsidP="00286F7D">
            <w:pPr>
              <w:pStyle w:val="Texttabulky"/>
              <w:spacing w:after="0"/>
              <w:rPr>
                <w:rFonts w:cs="Arial"/>
              </w:rPr>
            </w:pPr>
            <w:r w:rsidRPr="00286F7D">
              <w:rPr>
                <w:rFonts w:cs="Arial"/>
              </w:rPr>
              <w:t>Jakuby</w:t>
            </w:r>
          </w:p>
        </w:tc>
        <w:tc>
          <w:tcPr>
            <w:tcW w:w="1094" w:type="dxa"/>
            <w:tcBorders>
              <w:top w:val="single" w:sz="6" w:space="0" w:color="auto"/>
              <w:left w:val="single" w:sz="6" w:space="0" w:color="auto"/>
              <w:bottom w:val="single" w:sz="6" w:space="0" w:color="auto"/>
              <w:right w:val="single" w:sz="6" w:space="0" w:color="auto"/>
            </w:tcBorders>
          </w:tcPr>
          <w:p w14:paraId="16C3F0C6"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75F888A9"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5A9FA617"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39B3B35F"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3DF51662"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41BFD168" w14:textId="77777777" w:rsidTr="00286F7D">
        <w:tc>
          <w:tcPr>
            <w:tcW w:w="568" w:type="dxa"/>
            <w:tcBorders>
              <w:top w:val="single" w:sz="6" w:space="0" w:color="auto"/>
              <w:left w:val="single" w:sz="6" w:space="0" w:color="auto"/>
              <w:bottom w:val="single" w:sz="6" w:space="0" w:color="auto"/>
              <w:right w:val="single" w:sz="6" w:space="0" w:color="auto"/>
            </w:tcBorders>
          </w:tcPr>
          <w:p w14:paraId="0A8592B6" w14:textId="77777777" w:rsidR="00286F7D" w:rsidRPr="00286F7D" w:rsidRDefault="00286F7D" w:rsidP="00286F7D">
            <w:pPr>
              <w:pStyle w:val="Texttabulky"/>
              <w:spacing w:after="0"/>
              <w:jc w:val="right"/>
              <w:rPr>
                <w:rFonts w:cs="Arial"/>
              </w:rPr>
            </w:pPr>
            <w:r w:rsidRPr="00286F7D">
              <w:rPr>
                <w:rFonts w:cs="Arial"/>
              </w:rPr>
              <w:t>66</w:t>
            </w:r>
          </w:p>
        </w:tc>
        <w:tc>
          <w:tcPr>
            <w:tcW w:w="2108" w:type="dxa"/>
            <w:tcBorders>
              <w:top w:val="single" w:sz="6" w:space="0" w:color="auto"/>
              <w:left w:val="single" w:sz="6" w:space="0" w:color="auto"/>
              <w:bottom w:val="single" w:sz="6" w:space="0" w:color="auto"/>
              <w:right w:val="single" w:sz="6" w:space="0" w:color="auto"/>
            </w:tcBorders>
          </w:tcPr>
          <w:p w14:paraId="4159FB80" w14:textId="77777777" w:rsidR="00286F7D" w:rsidRPr="00286F7D" w:rsidRDefault="00286F7D" w:rsidP="00286F7D">
            <w:pPr>
              <w:pStyle w:val="Texttabulky"/>
              <w:spacing w:after="0"/>
              <w:rPr>
                <w:rFonts w:cs="Arial"/>
              </w:rPr>
            </w:pPr>
            <w:r w:rsidRPr="00286F7D">
              <w:rPr>
                <w:rFonts w:cs="Arial"/>
              </w:rPr>
              <w:t>prům.obvod Křešice</w:t>
            </w:r>
          </w:p>
        </w:tc>
        <w:tc>
          <w:tcPr>
            <w:tcW w:w="1094" w:type="dxa"/>
            <w:tcBorders>
              <w:top w:val="single" w:sz="6" w:space="0" w:color="auto"/>
              <w:left w:val="single" w:sz="6" w:space="0" w:color="auto"/>
              <w:bottom w:val="single" w:sz="6" w:space="0" w:color="auto"/>
              <w:right w:val="single" w:sz="6" w:space="0" w:color="auto"/>
            </w:tcBorders>
          </w:tcPr>
          <w:p w14:paraId="34123DDC" w14:textId="77777777" w:rsidR="00286F7D" w:rsidRPr="00286F7D" w:rsidRDefault="00286F7D" w:rsidP="00286F7D">
            <w:pPr>
              <w:pStyle w:val="Texttabulky"/>
              <w:spacing w:after="0"/>
              <w:jc w:val="right"/>
              <w:rPr>
                <w:rFonts w:cs="Arial"/>
              </w:rPr>
            </w:pPr>
            <w:r w:rsidRPr="00286F7D">
              <w:rPr>
                <w:rFonts w:cs="Arial"/>
              </w:rPr>
              <w:t>285</w:t>
            </w:r>
          </w:p>
        </w:tc>
        <w:tc>
          <w:tcPr>
            <w:tcW w:w="1165" w:type="dxa"/>
            <w:tcBorders>
              <w:top w:val="single" w:sz="6" w:space="0" w:color="auto"/>
              <w:left w:val="single" w:sz="6" w:space="0" w:color="auto"/>
              <w:bottom w:val="single" w:sz="6" w:space="0" w:color="auto"/>
              <w:right w:val="single" w:sz="6" w:space="0" w:color="auto"/>
            </w:tcBorders>
          </w:tcPr>
          <w:p w14:paraId="3ADBEB07" w14:textId="77777777" w:rsidR="00286F7D" w:rsidRPr="00286F7D" w:rsidRDefault="00286F7D" w:rsidP="00286F7D">
            <w:pPr>
              <w:pStyle w:val="Texttabulky"/>
              <w:spacing w:after="0"/>
              <w:jc w:val="right"/>
              <w:rPr>
                <w:rFonts w:cs="Arial"/>
              </w:rPr>
            </w:pPr>
            <w:r w:rsidRPr="00286F7D">
              <w:rPr>
                <w:rFonts w:cs="Arial"/>
              </w:rPr>
              <w:t>400</w:t>
            </w:r>
          </w:p>
        </w:tc>
        <w:tc>
          <w:tcPr>
            <w:tcW w:w="761" w:type="dxa"/>
            <w:tcBorders>
              <w:top w:val="single" w:sz="6" w:space="0" w:color="auto"/>
              <w:left w:val="single" w:sz="6" w:space="0" w:color="auto"/>
              <w:bottom w:val="single" w:sz="6" w:space="0" w:color="auto"/>
              <w:right w:val="single" w:sz="6" w:space="0" w:color="auto"/>
            </w:tcBorders>
          </w:tcPr>
          <w:p w14:paraId="21D437AC" w14:textId="77777777" w:rsidR="00286F7D" w:rsidRPr="00286F7D" w:rsidRDefault="00286F7D" w:rsidP="00286F7D">
            <w:pPr>
              <w:pStyle w:val="Texttabulky"/>
              <w:spacing w:after="0"/>
              <w:jc w:val="right"/>
              <w:rPr>
                <w:rFonts w:cs="Arial"/>
              </w:rPr>
            </w:pPr>
            <w:r w:rsidRPr="00286F7D">
              <w:rPr>
                <w:rFonts w:cs="Arial"/>
              </w:rPr>
              <w:t>7</w:t>
            </w:r>
          </w:p>
        </w:tc>
        <w:tc>
          <w:tcPr>
            <w:tcW w:w="1119" w:type="dxa"/>
            <w:tcBorders>
              <w:top w:val="single" w:sz="6" w:space="0" w:color="auto"/>
              <w:left w:val="single" w:sz="6" w:space="0" w:color="auto"/>
              <w:bottom w:val="single" w:sz="6" w:space="0" w:color="auto"/>
              <w:right w:val="single" w:sz="6" w:space="0" w:color="auto"/>
            </w:tcBorders>
          </w:tcPr>
          <w:p w14:paraId="656889F0" w14:textId="77777777" w:rsidR="00286F7D" w:rsidRPr="00286F7D" w:rsidRDefault="00286F7D" w:rsidP="00286F7D">
            <w:pPr>
              <w:pStyle w:val="Texttabulky"/>
              <w:spacing w:after="0"/>
              <w:jc w:val="right"/>
              <w:rPr>
                <w:rFonts w:cs="Arial"/>
              </w:rPr>
            </w:pPr>
            <w:r w:rsidRPr="00286F7D">
              <w:rPr>
                <w:rFonts w:cs="Arial"/>
              </w:rPr>
              <w:t>650</w:t>
            </w:r>
          </w:p>
        </w:tc>
        <w:tc>
          <w:tcPr>
            <w:tcW w:w="1011" w:type="dxa"/>
            <w:tcBorders>
              <w:top w:val="single" w:sz="6" w:space="0" w:color="auto"/>
              <w:left w:val="single" w:sz="6" w:space="0" w:color="auto"/>
              <w:bottom w:val="single" w:sz="6" w:space="0" w:color="auto"/>
              <w:right w:val="single" w:sz="6" w:space="0" w:color="auto"/>
            </w:tcBorders>
          </w:tcPr>
          <w:p w14:paraId="7680AED3" w14:textId="77777777" w:rsidR="00286F7D" w:rsidRPr="00286F7D" w:rsidRDefault="00286F7D" w:rsidP="00286F7D">
            <w:pPr>
              <w:pStyle w:val="Texttabulky"/>
              <w:spacing w:after="0"/>
              <w:rPr>
                <w:rFonts w:cs="Arial"/>
              </w:rPr>
            </w:pPr>
            <w:r w:rsidRPr="00286F7D">
              <w:rPr>
                <w:rFonts w:cs="Arial"/>
              </w:rPr>
              <w:t xml:space="preserve">       + 250</w:t>
            </w:r>
          </w:p>
        </w:tc>
      </w:tr>
      <w:tr w:rsidR="00286F7D" w:rsidRPr="00286F7D" w14:paraId="12C9CC61" w14:textId="77777777" w:rsidTr="00286F7D">
        <w:tc>
          <w:tcPr>
            <w:tcW w:w="568" w:type="dxa"/>
            <w:tcBorders>
              <w:top w:val="single" w:sz="6" w:space="0" w:color="auto"/>
              <w:left w:val="single" w:sz="6" w:space="0" w:color="auto"/>
              <w:bottom w:val="single" w:sz="6" w:space="0" w:color="auto"/>
              <w:right w:val="single" w:sz="6" w:space="0" w:color="auto"/>
            </w:tcBorders>
          </w:tcPr>
          <w:p w14:paraId="76D16D40" w14:textId="77777777" w:rsidR="00286F7D" w:rsidRPr="00286F7D" w:rsidRDefault="00286F7D" w:rsidP="00286F7D">
            <w:pPr>
              <w:pStyle w:val="Texttabulky"/>
              <w:spacing w:after="0"/>
              <w:jc w:val="right"/>
              <w:rPr>
                <w:rFonts w:cs="Arial"/>
              </w:rPr>
            </w:pPr>
            <w:r w:rsidRPr="00286F7D">
              <w:rPr>
                <w:rFonts w:cs="Arial"/>
              </w:rPr>
              <w:t>67</w:t>
            </w:r>
          </w:p>
        </w:tc>
        <w:tc>
          <w:tcPr>
            <w:tcW w:w="2108" w:type="dxa"/>
            <w:tcBorders>
              <w:top w:val="single" w:sz="6" w:space="0" w:color="auto"/>
              <w:left w:val="single" w:sz="6" w:space="0" w:color="auto"/>
              <w:bottom w:val="single" w:sz="6" w:space="0" w:color="auto"/>
              <w:right w:val="single" w:sz="6" w:space="0" w:color="auto"/>
            </w:tcBorders>
          </w:tcPr>
          <w:p w14:paraId="5B5934B9" w14:textId="77777777" w:rsidR="00286F7D" w:rsidRPr="00286F7D" w:rsidRDefault="00286F7D" w:rsidP="00286F7D">
            <w:pPr>
              <w:pStyle w:val="Texttabulky"/>
              <w:spacing w:after="0"/>
              <w:rPr>
                <w:rFonts w:cs="Arial"/>
              </w:rPr>
            </w:pPr>
            <w:r w:rsidRPr="00286F7D">
              <w:rPr>
                <w:rFonts w:cs="Arial"/>
              </w:rPr>
              <w:t>Labská niva</w:t>
            </w:r>
          </w:p>
        </w:tc>
        <w:tc>
          <w:tcPr>
            <w:tcW w:w="1094" w:type="dxa"/>
            <w:tcBorders>
              <w:top w:val="single" w:sz="6" w:space="0" w:color="auto"/>
              <w:left w:val="single" w:sz="6" w:space="0" w:color="auto"/>
              <w:bottom w:val="single" w:sz="6" w:space="0" w:color="auto"/>
              <w:right w:val="single" w:sz="6" w:space="0" w:color="auto"/>
            </w:tcBorders>
          </w:tcPr>
          <w:p w14:paraId="08487C72"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5FDACFB8" w14:textId="77777777" w:rsidR="00286F7D" w:rsidRPr="00286F7D" w:rsidRDefault="00286F7D" w:rsidP="00286F7D">
            <w:pPr>
              <w:pStyle w:val="Texttabulky"/>
              <w:spacing w:after="0"/>
              <w:jc w:val="right"/>
              <w:rPr>
                <w:rFonts w:cs="Arial"/>
              </w:rPr>
            </w:pPr>
            <w:r w:rsidRPr="00286F7D">
              <w:rPr>
                <w:rFonts w:cs="Arial"/>
              </w:rPr>
              <w:t>300</w:t>
            </w:r>
          </w:p>
        </w:tc>
        <w:tc>
          <w:tcPr>
            <w:tcW w:w="761" w:type="dxa"/>
            <w:tcBorders>
              <w:top w:val="single" w:sz="6" w:space="0" w:color="auto"/>
              <w:left w:val="single" w:sz="6" w:space="0" w:color="auto"/>
              <w:bottom w:val="single" w:sz="6" w:space="0" w:color="auto"/>
              <w:right w:val="single" w:sz="6" w:space="0" w:color="auto"/>
            </w:tcBorders>
          </w:tcPr>
          <w:p w14:paraId="685FA96C"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38F37D6F"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701FE60F" w14:textId="77777777" w:rsidR="00286F7D" w:rsidRPr="00286F7D" w:rsidRDefault="00286F7D" w:rsidP="00286F7D">
            <w:pPr>
              <w:pStyle w:val="Texttabulky"/>
              <w:spacing w:after="0"/>
              <w:jc w:val="right"/>
              <w:rPr>
                <w:rFonts w:cs="Arial"/>
              </w:rPr>
            </w:pPr>
            <w:r w:rsidRPr="00286F7D">
              <w:rPr>
                <w:rFonts w:cs="Arial"/>
              </w:rPr>
              <w:t>-300</w:t>
            </w:r>
          </w:p>
        </w:tc>
      </w:tr>
      <w:tr w:rsidR="00286F7D" w:rsidRPr="00286F7D" w14:paraId="3B1DF11B" w14:textId="77777777" w:rsidTr="00286F7D">
        <w:tc>
          <w:tcPr>
            <w:tcW w:w="568" w:type="dxa"/>
            <w:tcBorders>
              <w:top w:val="single" w:sz="6" w:space="0" w:color="auto"/>
              <w:left w:val="single" w:sz="6" w:space="0" w:color="auto"/>
              <w:bottom w:val="single" w:sz="6" w:space="0" w:color="auto"/>
              <w:right w:val="single" w:sz="6" w:space="0" w:color="auto"/>
            </w:tcBorders>
          </w:tcPr>
          <w:p w14:paraId="62B273B0" w14:textId="77777777" w:rsidR="00286F7D" w:rsidRPr="00286F7D" w:rsidRDefault="00286F7D" w:rsidP="00286F7D">
            <w:pPr>
              <w:pStyle w:val="Texttabulky"/>
              <w:spacing w:after="0"/>
              <w:jc w:val="right"/>
              <w:rPr>
                <w:rFonts w:cs="Arial"/>
              </w:rPr>
            </w:pPr>
            <w:r w:rsidRPr="00286F7D">
              <w:rPr>
                <w:rFonts w:cs="Arial"/>
              </w:rPr>
              <w:t>68</w:t>
            </w:r>
          </w:p>
        </w:tc>
        <w:tc>
          <w:tcPr>
            <w:tcW w:w="2108" w:type="dxa"/>
            <w:tcBorders>
              <w:top w:val="single" w:sz="6" w:space="0" w:color="auto"/>
              <w:left w:val="single" w:sz="6" w:space="0" w:color="auto"/>
              <w:bottom w:val="single" w:sz="6" w:space="0" w:color="auto"/>
              <w:right w:val="single" w:sz="6" w:space="0" w:color="auto"/>
            </w:tcBorders>
          </w:tcPr>
          <w:p w14:paraId="730D0798" w14:textId="77777777" w:rsidR="00286F7D" w:rsidRPr="00286F7D" w:rsidRDefault="00286F7D" w:rsidP="00286F7D">
            <w:pPr>
              <w:pStyle w:val="Texttabulky"/>
              <w:spacing w:after="0"/>
              <w:rPr>
                <w:rFonts w:cs="Arial"/>
              </w:rPr>
            </w:pPr>
            <w:r w:rsidRPr="00286F7D">
              <w:rPr>
                <w:rFonts w:cs="Arial"/>
              </w:rPr>
              <w:t>prům.obv.Boletice n. L</w:t>
            </w:r>
          </w:p>
        </w:tc>
        <w:tc>
          <w:tcPr>
            <w:tcW w:w="1094" w:type="dxa"/>
            <w:tcBorders>
              <w:top w:val="single" w:sz="6" w:space="0" w:color="auto"/>
              <w:left w:val="single" w:sz="6" w:space="0" w:color="auto"/>
              <w:bottom w:val="single" w:sz="6" w:space="0" w:color="auto"/>
              <w:right w:val="single" w:sz="6" w:space="0" w:color="auto"/>
            </w:tcBorders>
          </w:tcPr>
          <w:p w14:paraId="55E93832" w14:textId="77777777" w:rsidR="00286F7D" w:rsidRPr="00286F7D" w:rsidRDefault="00286F7D" w:rsidP="00286F7D">
            <w:pPr>
              <w:pStyle w:val="Texttabulky"/>
              <w:spacing w:after="0"/>
              <w:jc w:val="right"/>
              <w:rPr>
                <w:rFonts w:cs="Arial"/>
              </w:rPr>
            </w:pPr>
            <w:r w:rsidRPr="00286F7D">
              <w:rPr>
                <w:rFonts w:cs="Arial"/>
              </w:rPr>
              <w:t>457</w:t>
            </w:r>
          </w:p>
        </w:tc>
        <w:tc>
          <w:tcPr>
            <w:tcW w:w="1165" w:type="dxa"/>
            <w:tcBorders>
              <w:top w:val="single" w:sz="6" w:space="0" w:color="auto"/>
              <w:left w:val="single" w:sz="6" w:space="0" w:color="auto"/>
              <w:bottom w:val="single" w:sz="6" w:space="0" w:color="auto"/>
              <w:right w:val="single" w:sz="6" w:space="0" w:color="auto"/>
            </w:tcBorders>
          </w:tcPr>
          <w:p w14:paraId="6F1DB83E" w14:textId="77777777" w:rsidR="00286F7D" w:rsidRPr="00286F7D" w:rsidRDefault="00286F7D" w:rsidP="00286F7D">
            <w:pPr>
              <w:pStyle w:val="Texttabulky"/>
              <w:spacing w:after="0"/>
              <w:jc w:val="right"/>
              <w:rPr>
                <w:rFonts w:cs="Arial"/>
              </w:rPr>
            </w:pPr>
            <w:r w:rsidRPr="00286F7D">
              <w:rPr>
                <w:rFonts w:cs="Arial"/>
              </w:rPr>
              <w:t>460</w:t>
            </w:r>
          </w:p>
        </w:tc>
        <w:tc>
          <w:tcPr>
            <w:tcW w:w="761" w:type="dxa"/>
            <w:tcBorders>
              <w:top w:val="single" w:sz="6" w:space="0" w:color="auto"/>
              <w:left w:val="single" w:sz="6" w:space="0" w:color="auto"/>
              <w:bottom w:val="single" w:sz="6" w:space="0" w:color="auto"/>
              <w:right w:val="single" w:sz="6" w:space="0" w:color="auto"/>
            </w:tcBorders>
          </w:tcPr>
          <w:p w14:paraId="623219CF" w14:textId="77777777" w:rsidR="00286F7D" w:rsidRPr="00286F7D" w:rsidRDefault="00286F7D" w:rsidP="00286F7D">
            <w:pPr>
              <w:pStyle w:val="Texttabulky"/>
              <w:spacing w:after="0"/>
              <w:jc w:val="right"/>
              <w:rPr>
                <w:rFonts w:cs="Arial"/>
              </w:rPr>
            </w:pPr>
            <w:r w:rsidRPr="00286F7D">
              <w:rPr>
                <w:rFonts w:cs="Arial"/>
              </w:rPr>
              <w:t>10</w:t>
            </w:r>
          </w:p>
        </w:tc>
        <w:tc>
          <w:tcPr>
            <w:tcW w:w="1119" w:type="dxa"/>
            <w:tcBorders>
              <w:top w:val="single" w:sz="6" w:space="0" w:color="auto"/>
              <w:left w:val="single" w:sz="6" w:space="0" w:color="auto"/>
              <w:bottom w:val="single" w:sz="6" w:space="0" w:color="auto"/>
              <w:right w:val="single" w:sz="6" w:space="0" w:color="auto"/>
            </w:tcBorders>
          </w:tcPr>
          <w:p w14:paraId="3714FAA2" w14:textId="77777777" w:rsidR="00286F7D" w:rsidRPr="00286F7D" w:rsidRDefault="00286F7D" w:rsidP="00286F7D">
            <w:pPr>
              <w:pStyle w:val="Texttabulky"/>
              <w:spacing w:after="0"/>
              <w:jc w:val="right"/>
              <w:rPr>
                <w:rFonts w:cs="Arial"/>
              </w:rPr>
            </w:pPr>
            <w:r w:rsidRPr="00286F7D">
              <w:rPr>
                <w:rFonts w:cs="Arial"/>
              </w:rPr>
              <w:t>1 415</w:t>
            </w:r>
          </w:p>
        </w:tc>
        <w:tc>
          <w:tcPr>
            <w:tcW w:w="1011" w:type="dxa"/>
            <w:tcBorders>
              <w:top w:val="single" w:sz="6" w:space="0" w:color="auto"/>
              <w:left w:val="single" w:sz="6" w:space="0" w:color="auto"/>
              <w:bottom w:val="single" w:sz="6" w:space="0" w:color="auto"/>
              <w:right w:val="single" w:sz="6" w:space="0" w:color="auto"/>
            </w:tcBorders>
          </w:tcPr>
          <w:p w14:paraId="3ADFE9ED" w14:textId="77777777" w:rsidR="00286F7D" w:rsidRPr="00286F7D" w:rsidRDefault="00286F7D" w:rsidP="00286F7D">
            <w:pPr>
              <w:pStyle w:val="Texttabulky"/>
              <w:spacing w:after="0"/>
              <w:rPr>
                <w:rFonts w:cs="Arial"/>
              </w:rPr>
            </w:pPr>
            <w:r w:rsidRPr="00286F7D">
              <w:rPr>
                <w:rFonts w:cs="Arial"/>
              </w:rPr>
              <w:t xml:space="preserve">       + 955</w:t>
            </w:r>
          </w:p>
        </w:tc>
      </w:tr>
      <w:tr w:rsidR="00286F7D" w:rsidRPr="00286F7D" w14:paraId="5D77797A" w14:textId="77777777" w:rsidTr="00286F7D">
        <w:tc>
          <w:tcPr>
            <w:tcW w:w="568" w:type="dxa"/>
            <w:tcBorders>
              <w:top w:val="single" w:sz="6" w:space="0" w:color="auto"/>
              <w:left w:val="single" w:sz="6" w:space="0" w:color="auto"/>
              <w:bottom w:val="single" w:sz="6" w:space="0" w:color="auto"/>
              <w:right w:val="single" w:sz="6" w:space="0" w:color="auto"/>
            </w:tcBorders>
          </w:tcPr>
          <w:p w14:paraId="06B761A5" w14:textId="77777777" w:rsidR="00286F7D" w:rsidRPr="00286F7D" w:rsidRDefault="00286F7D" w:rsidP="00286F7D">
            <w:pPr>
              <w:pStyle w:val="Texttabulky"/>
              <w:spacing w:after="0"/>
              <w:rPr>
                <w:rFonts w:cs="Arial"/>
              </w:rPr>
            </w:pPr>
            <w:r w:rsidRPr="00286F7D">
              <w:rPr>
                <w:rFonts w:cs="Arial"/>
                <w:b/>
                <w:bCs/>
              </w:rPr>
              <w:t xml:space="preserve"> VII</w:t>
            </w:r>
          </w:p>
        </w:tc>
        <w:tc>
          <w:tcPr>
            <w:tcW w:w="2108" w:type="dxa"/>
            <w:tcBorders>
              <w:top w:val="single" w:sz="6" w:space="0" w:color="auto"/>
              <w:left w:val="single" w:sz="6" w:space="0" w:color="auto"/>
              <w:bottom w:val="single" w:sz="6" w:space="0" w:color="auto"/>
              <w:right w:val="single" w:sz="6" w:space="0" w:color="auto"/>
            </w:tcBorders>
          </w:tcPr>
          <w:p w14:paraId="44299955" w14:textId="77777777" w:rsidR="00286F7D" w:rsidRPr="00286F7D" w:rsidRDefault="00286F7D" w:rsidP="00286F7D">
            <w:pPr>
              <w:pStyle w:val="Texttabulky"/>
              <w:spacing w:after="0"/>
              <w:rPr>
                <w:rFonts w:cs="Arial"/>
              </w:rPr>
            </w:pPr>
            <w:r w:rsidRPr="00286F7D">
              <w:rPr>
                <w:rFonts w:cs="Arial"/>
                <w:b/>
                <w:bCs/>
                <w:caps/>
              </w:rPr>
              <w:t>sektor celkem</w:t>
            </w:r>
          </w:p>
        </w:tc>
        <w:tc>
          <w:tcPr>
            <w:tcW w:w="1094" w:type="dxa"/>
            <w:tcBorders>
              <w:top w:val="single" w:sz="6" w:space="0" w:color="auto"/>
              <w:left w:val="single" w:sz="6" w:space="0" w:color="auto"/>
              <w:bottom w:val="single" w:sz="6" w:space="0" w:color="auto"/>
              <w:right w:val="single" w:sz="6" w:space="0" w:color="auto"/>
            </w:tcBorders>
          </w:tcPr>
          <w:p w14:paraId="0AEC3A08" w14:textId="77777777" w:rsidR="00286F7D" w:rsidRPr="00286F7D" w:rsidRDefault="00286F7D" w:rsidP="00286F7D">
            <w:pPr>
              <w:pStyle w:val="Texttabulky"/>
              <w:spacing w:after="0"/>
              <w:jc w:val="right"/>
              <w:rPr>
                <w:rFonts w:cs="Arial"/>
              </w:rPr>
            </w:pPr>
            <w:r w:rsidRPr="00286F7D">
              <w:rPr>
                <w:rFonts w:cs="Arial"/>
                <w:b/>
                <w:bCs/>
              </w:rPr>
              <w:t>762</w:t>
            </w:r>
          </w:p>
        </w:tc>
        <w:tc>
          <w:tcPr>
            <w:tcW w:w="1165" w:type="dxa"/>
            <w:tcBorders>
              <w:top w:val="single" w:sz="6" w:space="0" w:color="auto"/>
              <w:left w:val="single" w:sz="6" w:space="0" w:color="auto"/>
              <w:bottom w:val="single" w:sz="6" w:space="0" w:color="auto"/>
              <w:right w:val="single" w:sz="6" w:space="0" w:color="auto"/>
            </w:tcBorders>
          </w:tcPr>
          <w:p w14:paraId="237B0AD1" w14:textId="77777777" w:rsidR="00286F7D" w:rsidRPr="00286F7D" w:rsidRDefault="00286F7D" w:rsidP="00286F7D">
            <w:pPr>
              <w:pStyle w:val="Texttabulky"/>
              <w:spacing w:after="0"/>
              <w:jc w:val="right"/>
              <w:rPr>
                <w:rFonts w:cs="Arial"/>
              </w:rPr>
            </w:pPr>
            <w:r w:rsidRPr="00286F7D">
              <w:rPr>
                <w:rFonts w:cs="Arial"/>
                <w:b/>
                <w:bCs/>
              </w:rPr>
              <w:t>1 255</w:t>
            </w:r>
          </w:p>
        </w:tc>
        <w:tc>
          <w:tcPr>
            <w:tcW w:w="761" w:type="dxa"/>
            <w:tcBorders>
              <w:top w:val="single" w:sz="6" w:space="0" w:color="auto"/>
              <w:left w:val="single" w:sz="6" w:space="0" w:color="auto"/>
              <w:bottom w:val="single" w:sz="6" w:space="0" w:color="auto"/>
              <w:right w:val="single" w:sz="6" w:space="0" w:color="auto"/>
            </w:tcBorders>
          </w:tcPr>
          <w:p w14:paraId="425AB976" w14:textId="77777777" w:rsidR="00286F7D" w:rsidRPr="00286F7D" w:rsidRDefault="00286F7D" w:rsidP="00286F7D">
            <w:pPr>
              <w:pStyle w:val="Texttabulky"/>
              <w:spacing w:after="0"/>
              <w:jc w:val="right"/>
              <w:rPr>
                <w:rFonts w:cs="Arial"/>
              </w:rPr>
            </w:pPr>
            <w:r w:rsidRPr="00286F7D">
              <w:rPr>
                <w:rFonts w:cs="Arial"/>
                <w:b/>
                <w:bCs/>
              </w:rPr>
              <w:t>18</w:t>
            </w:r>
          </w:p>
        </w:tc>
        <w:tc>
          <w:tcPr>
            <w:tcW w:w="1119" w:type="dxa"/>
            <w:tcBorders>
              <w:top w:val="single" w:sz="6" w:space="0" w:color="auto"/>
              <w:left w:val="single" w:sz="6" w:space="0" w:color="auto"/>
              <w:bottom w:val="single" w:sz="6" w:space="0" w:color="auto"/>
              <w:right w:val="single" w:sz="6" w:space="0" w:color="auto"/>
            </w:tcBorders>
          </w:tcPr>
          <w:p w14:paraId="2D89ACEC" w14:textId="77777777" w:rsidR="00286F7D" w:rsidRPr="00286F7D" w:rsidRDefault="00286F7D" w:rsidP="00286F7D">
            <w:pPr>
              <w:pStyle w:val="Texttabulky"/>
              <w:spacing w:after="0"/>
              <w:jc w:val="right"/>
              <w:rPr>
                <w:rFonts w:cs="Arial"/>
              </w:rPr>
            </w:pPr>
            <w:r w:rsidRPr="00286F7D">
              <w:rPr>
                <w:rFonts w:cs="Arial"/>
                <w:b/>
                <w:bCs/>
              </w:rPr>
              <w:t>2 085</w:t>
            </w:r>
          </w:p>
        </w:tc>
        <w:tc>
          <w:tcPr>
            <w:tcW w:w="1011" w:type="dxa"/>
            <w:tcBorders>
              <w:top w:val="single" w:sz="6" w:space="0" w:color="auto"/>
              <w:left w:val="single" w:sz="6" w:space="0" w:color="auto"/>
              <w:bottom w:val="single" w:sz="6" w:space="0" w:color="auto"/>
              <w:right w:val="single" w:sz="6" w:space="0" w:color="auto"/>
            </w:tcBorders>
          </w:tcPr>
          <w:p w14:paraId="15BBB766" w14:textId="77777777" w:rsidR="00286F7D" w:rsidRPr="00286F7D" w:rsidRDefault="00286F7D" w:rsidP="00286F7D">
            <w:pPr>
              <w:pStyle w:val="Texttabulky"/>
              <w:spacing w:after="0"/>
              <w:rPr>
                <w:rFonts w:cs="Arial"/>
              </w:rPr>
            </w:pPr>
            <w:r w:rsidRPr="00286F7D">
              <w:rPr>
                <w:rFonts w:cs="Arial"/>
                <w:b/>
                <w:bCs/>
              </w:rPr>
              <w:t xml:space="preserve">       + 925</w:t>
            </w:r>
          </w:p>
        </w:tc>
      </w:tr>
      <w:tr w:rsidR="00286F7D" w:rsidRPr="00286F7D" w14:paraId="1000B671" w14:textId="77777777" w:rsidTr="00286F7D">
        <w:tc>
          <w:tcPr>
            <w:tcW w:w="568" w:type="dxa"/>
            <w:tcBorders>
              <w:top w:val="single" w:sz="6" w:space="0" w:color="auto"/>
              <w:left w:val="single" w:sz="6" w:space="0" w:color="auto"/>
              <w:bottom w:val="single" w:sz="6" w:space="0" w:color="auto"/>
              <w:right w:val="single" w:sz="6" w:space="0" w:color="auto"/>
            </w:tcBorders>
          </w:tcPr>
          <w:p w14:paraId="4B7C2AB7" w14:textId="77777777" w:rsidR="00286F7D" w:rsidRPr="00286F7D" w:rsidRDefault="00286F7D" w:rsidP="00286F7D">
            <w:pPr>
              <w:pStyle w:val="Texttabulky"/>
              <w:spacing w:after="0"/>
              <w:jc w:val="right"/>
              <w:rPr>
                <w:rFonts w:cs="Arial"/>
              </w:rPr>
            </w:pPr>
            <w:r w:rsidRPr="00286F7D">
              <w:rPr>
                <w:rFonts w:cs="Arial"/>
              </w:rPr>
              <w:t>34</w:t>
            </w:r>
          </w:p>
        </w:tc>
        <w:tc>
          <w:tcPr>
            <w:tcW w:w="2108" w:type="dxa"/>
            <w:tcBorders>
              <w:top w:val="single" w:sz="6" w:space="0" w:color="auto"/>
              <w:left w:val="single" w:sz="6" w:space="0" w:color="auto"/>
              <w:bottom w:val="single" w:sz="6" w:space="0" w:color="auto"/>
              <w:right w:val="single" w:sz="6" w:space="0" w:color="auto"/>
            </w:tcBorders>
          </w:tcPr>
          <w:p w14:paraId="757F8FCF" w14:textId="77777777" w:rsidR="00286F7D" w:rsidRPr="00286F7D" w:rsidRDefault="00286F7D" w:rsidP="00286F7D">
            <w:pPr>
              <w:pStyle w:val="Texttabulky"/>
              <w:spacing w:after="0"/>
              <w:rPr>
                <w:rFonts w:cs="Arial"/>
              </w:rPr>
            </w:pPr>
            <w:r w:rsidRPr="00286F7D">
              <w:rPr>
                <w:rFonts w:cs="Arial"/>
              </w:rPr>
              <w:t>Kristin Hrádek</w:t>
            </w:r>
          </w:p>
        </w:tc>
        <w:tc>
          <w:tcPr>
            <w:tcW w:w="1094" w:type="dxa"/>
            <w:tcBorders>
              <w:top w:val="single" w:sz="6" w:space="0" w:color="auto"/>
              <w:left w:val="single" w:sz="6" w:space="0" w:color="auto"/>
              <w:bottom w:val="single" w:sz="6" w:space="0" w:color="auto"/>
              <w:right w:val="single" w:sz="6" w:space="0" w:color="auto"/>
            </w:tcBorders>
          </w:tcPr>
          <w:p w14:paraId="39BCF687"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214A7C7A"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41960938"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33EC8C53"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14D023F9"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548E00BC" w14:textId="77777777" w:rsidTr="00286F7D">
        <w:tc>
          <w:tcPr>
            <w:tcW w:w="568" w:type="dxa"/>
            <w:tcBorders>
              <w:top w:val="single" w:sz="6" w:space="0" w:color="auto"/>
              <w:left w:val="single" w:sz="6" w:space="0" w:color="auto"/>
              <w:bottom w:val="single" w:sz="6" w:space="0" w:color="auto"/>
              <w:right w:val="single" w:sz="6" w:space="0" w:color="auto"/>
            </w:tcBorders>
          </w:tcPr>
          <w:p w14:paraId="0663BC42" w14:textId="77777777" w:rsidR="00286F7D" w:rsidRPr="00286F7D" w:rsidRDefault="00286F7D" w:rsidP="00286F7D">
            <w:pPr>
              <w:pStyle w:val="Texttabulky"/>
              <w:spacing w:after="0"/>
              <w:jc w:val="right"/>
              <w:rPr>
                <w:rFonts w:cs="Arial"/>
              </w:rPr>
            </w:pPr>
            <w:r w:rsidRPr="00286F7D">
              <w:rPr>
                <w:rFonts w:cs="Arial"/>
              </w:rPr>
              <w:t>35</w:t>
            </w:r>
          </w:p>
        </w:tc>
        <w:tc>
          <w:tcPr>
            <w:tcW w:w="2108" w:type="dxa"/>
            <w:tcBorders>
              <w:top w:val="single" w:sz="6" w:space="0" w:color="auto"/>
              <w:left w:val="single" w:sz="6" w:space="0" w:color="auto"/>
              <w:bottom w:val="single" w:sz="6" w:space="0" w:color="auto"/>
              <w:right w:val="single" w:sz="6" w:space="0" w:color="auto"/>
            </w:tcBorders>
          </w:tcPr>
          <w:p w14:paraId="3B39F416" w14:textId="77777777" w:rsidR="00286F7D" w:rsidRPr="00286F7D" w:rsidRDefault="00286F7D" w:rsidP="00286F7D">
            <w:pPr>
              <w:pStyle w:val="Texttabulky"/>
              <w:spacing w:after="0"/>
              <w:rPr>
                <w:rFonts w:cs="Arial"/>
              </w:rPr>
            </w:pPr>
            <w:r w:rsidRPr="00286F7D">
              <w:rPr>
                <w:rFonts w:cs="Arial"/>
              </w:rPr>
              <w:t>Havraní vrch</w:t>
            </w:r>
          </w:p>
        </w:tc>
        <w:tc>
          <w:tcPr>
            <w:tcW w:w="1094" w:type="dxa"/>
            <w:tcBorders>
              <w:top w:val="single" w:sz="6" w:space="0" w:color="auto"/>
              <w:left w:val="single" w:sz="6" w:space="0" w:color="auto"/>
              <w:bottom w:val="single" w:sz="6" w:space="0" w:color="auto"/>
              <w:right w:val="single" w:sz="6" w:space="0" w:color="auto"/>
            </w:tcBorders>
          </w:tcPr>
          <w:p w14:paraId="3955CE1A"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2BD09AAE"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7CCAD9E0"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0D157052"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0A82BCB4"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4A97D8E3" w14:textId="77777777" w:rsidTr="00286F7D">
        <w:tc>
          <w:tcPr>
            <w:tcW w:w="568" w:type="dxa"/>
            <w:tcBorders>
              <w:top w:val="single" w:sz="6" w:space="0" w:color="auto"/>
              <w:left w:val="single" w:sz="6" w:space="0" w:color="auto"/>
              <w:bottom w:val="single" w:sz="6" w:space="0" w:color="auto"/>
              <w:right w:val="single" w:sz="6" w:space="0" w:color="auto"/>
            </w:tcBorders>
          </w:tcPr>
          <w:p w14:paraId="66BF00BD" w14:textId="77777777" w:rsidR="00286F7D" w:rsidRPr="00286F7D" w:rsidRDefault="00286F7D" w:rsidP="00286F7D">
            <w:pPr>
              <w:pStyle w:val="Texttabulky"/>
              <w:spacing w:after="0"/>
              <w:jc w:val="right"/>
              <w:rPr>
                <w:rFonts w:cs="Arial"/>
              </w:rPr>
            </w:pPr>
            <w:r w:rsidRPr="00286F7D">
              <w:rPr>
                <w:rFonts w:cs="Arial"/>
              </w:rPr>
              <w:t>36</w:t>
            </w:r>
          </w:p>
        </w:tc>
        <w:tc>
          <w:tcPr>
            <w:tcW w:w="2108" w:type="dxa"/>
            <w:tcBorders>
              <w:top w:val="single" w:sz="6" w:space="0" w:color="auto"/>
              <w:left w:val="single" w:sz="6" w:space="0" w:color="auto"/>
              <w:bottom w:val="single" w:sz="6" w:space="0" w:color="auto"/>
              <w:right w:val="single" w:sz="6" w:space="0" w:color="auto"/>
            </w:tcBorders>
          </w:tcPr>
          <w:p w14:paraId="488C47B3" w14:textId="77777777" w:rsidR="00286F7D" w:rsidRPr="00286F7D" w:rsidRDefault="00286F7D" w:rsidP="00286F7D">
            <w:pPr>
              <w:pStyle w:val="Texttabulky"/>
              <w:spacing w:after="0"/>
              <w:rPr>
                <w:rFonts w:cs="Arial"/>
              </w:rPr>
            </w:pPr>
            <w:r w:rsidRPr="00286F7D">
              <w:rPr>
                <w:rFonts w:cs="Arial"/>
              </w:rPr>
              <w:t>Maxičky</w:t>
            </w:r>
          </w:p>
        </w:tc>
        <w:tc>
          <w:tcPr>
            <w:tcW w:w="1094" w:type="dxa"/>
            <w:tcBorders>
              <w:top w:val="single" w:sz="6" w:space="0" w:color="auto"/>
              <w:left w:val="single" w:sz="6" w:space="0" w:color="auto"/>
              <w:bottom w:val="single" w:sz="6" w:space="0" w:color="auto"/>
              <w:right w:val="single" w:sz="6" w:space="0" w:color="auto"/>
            </w:tcBorders>
          </w:tcPr>
          <w:p w14:paraId="48A76D3A"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5A1623AF"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1E63D3B5"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76BD8624"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5FD0068A"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FF5EC04" w14:textId="77777777" w:rsidTr="00286F7D">
        <w:tc>
          <w:tcPr>
            <w:tcW w:w="568" w:type="dxa"/>
            <w:tcBorders>
              <w:top w:val="single" w:sz="6" w:space="0" w:color="auto"/>
              <w:left w:val="single" w:sz="6" w:space="0" w:color="auto"/>
              <w:bottom w:val="single" w:sz="6" w:space="0" w:color="auto"/>
              <w:right w:val="single" w:sz="6" w:space="0" w:color="auto"/>
            </w:tcBorders>
          </w:tcPr>
          <w:p w14:paraId="3E6866DD" w14:textId="77777777" w:rsidR="00286F7D" w:rsidRPr="00286F7D" w:rsidRDefault="00286F7D" w:rsidP="00286F7D">
            <w:pPr>
              <w:pStyle w:val="Texttabulky"/>
              <w:spacing w:after="0"/>
              <w:jc w:val="right"/>
              <w:rPr>
                <w:rFonts w:cs="Arial"/>
              </w:rPr>
            </w:pPr>
            <w:r w:rsidRPr="00286F7D">
              <w:rPr>
                <w:rFonts w:cs="Arial"/>
              </w:rPr>
              <w:t>37</w:t>
            </w:r>
          </w:p>
        </w:tc>
        <w:tc>
          <w:tcPr>
            <w:tcW w:w="2108" w:type="dxa"/>
            <w:tcBorders>
              <w:top w:val="single" w:sz="6" w:space="0" w:color="auto"/>
              <w:left w:val="single" w:sz="6" w:space="0" w:color="auto"/>
              <w:bottom w:val="single" w:sz="6" w:space="0" w:color="auto"/>
              <w:right w:val="single" w:sz="6" w:space="0" w:color="auto"/>
            </w:tcBorders>
          </w:tcPr>
          <w:p w14:paraId="463F036D" w14:textId="77777777" w:rsidR="00286F7D" w:rsidRPr="00286F7D" w:rsidRDefault="00286F7D" w:rsidP="00286F7D">
            <w:pPr>
              <w:pStyle w:val="Texttabulky"/>
              <w:spacing w:after="0"/>
              <w:rPr>
                <w:rFonts w:cs="Arial"/>
              </w:rPr>
            </w:pPr>
            <w:r w:rsidRPr="00286F7D">
              <w:rPr>
                <w:rFonts w:cs="Arial"/>
              </w:rPr>
              <w:t>Telefonka</w:t>
            </w:r>
          </w:p>
        </w:tc>
        <w:tc>
          <w:tcPr>
            <w:tcW w:w="1094" w:type="dxa"/>
            <w:tcBorders>
              <w:top w:val="single" w:sz="6" w:space="0" w:color="auto"/>
              <w:left w:val="single" w:sz="6" w:space="0" w:color="auto"/>
              <w:bottom w:val="single" w:sz="6" w:space="0" w:color="auto"/>
              <w:right w:val="single" w:sz="6" w:space="0" w:color="auto"/>
            </w:tcBorders>
          </w:tcPr>
          <w:p w14:paraId="7A734FF3"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34CF17F0"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07D61301"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3AA3C569"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37D921E4"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61BDAD65" w14:textId="77777777" w:rsidTr="00286F7D">
        <w:tc>
          <w:tcPr>
            <w:tcW w:w="568" w:type="dxa"/>
            <w:tcBorders>
              <w:top w:val="single" w:sz="6" w:space="0" w:color="auto"/>
              <w:left w:val="single" w:sz="6" w:space="0" w:color="auto"/>
              <w:bottom w:val="single" w:sz="6" w:space="0" w:color="auto"/>
              <w:right w:val="single" w:sz="6" w:space="0" w:color="auto"/>
            </w:tcBorders>
          </w:tcPr>
          <w:p w14:paraId="386C142B" w14:textId="77777777" w:rsidR="00286F7D" w:rsidRPr="00286F7D" w:rsidRDefault="00286F7D" w:rsidP="00286F7D">
            <w:pPr>
              <w:pStyle w:val="Texttabulky"/>
              <w:spacing w:after="0"/>
              <w:jc w:val="right"/>
              <w:rPr>
                <w:rFonts w:cs="Arial"/>
              </w:rPr>
            </w:pPr>
            <w:r w:rsidRPr="00286F7D">
              <w:rPr>
                <w:rFonts w:cs="Arial"/>
              </w:rPr>
              <w:t>38</w:t>
            </w:r>
          </w:p>
        </w:tc>
        <w:tc>
          <w:tcPr>
            <w:tcW w:w="2108" w:type="dxa"/>
            <w:tcBorders>
              <w:top w:val="single" w:sz="6" w:space="0" w:color="auto"/>
              <w:left w:val="single" w:sz="6" w:space="0" w:color="auto"/>
              <w:bottom w:val="single" w:sz="6" w:space="0" w:color="auto"/>
              <w:right w:val="single" w:sz="6" w:space="0" w:color="auto"/>
            </w:tcBorders>
          </w:tcPr>
          <w:p w14:paraId="254E90BC" w14:textId="77777777" w:rsidR="00286F7D" w:rsidRPr="00286F7D" w:rsidRDefault="00286F7D" w:rsidP="00286F7D">
            <w:pPr>
              <w:pStyle w:val="Texttabulky"/>
              <w:spacing w:after="0"/>
              <w:rPr>
                <w:rFonts w:cs="Arial"/>
              </w:rPr>
            </w:pPr>
            <w:r w:rsidRPr="00286F7D">
              <w:rPr>
                <w:rFonts w:cs="Arial"/>
              </w:rPr>
              <w:t>Přípeřské polesí</w:t>
            </w:r>
          </w:p>
        </w:tc>
        <w:tc>
          <w:tcPr>
            <w:tcW w:w="1094" w:type="dxa"/>
            <w:tcBorders>
              <w:top w:val="single" w:sz="6" w:space="0" w:color="auto"/>
              <w:left w:val="single" w:sz="6" w:space="0" w:color="auto"/>
              <w:bottom w:val="single" w:sz="6" w:space="0" w:color="auto"/>
              <w:right w:val="single" w:sz="6" w:space="0" w:color="auto"/>
            </w:tcBorders>
          </w:tcPr>
          <w:p w14:paraId="52135157"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4A2456AA"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6F1D8C59"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5B9E354E"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5F6FDEA8"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F2F14D4" w14:textId="77777777" w:rsidTr="00286F7D">
        <w:tc>
          <w:tcPr>
            <w:tcW w:w="568" w:type="dxa"/>
            <w:tcBorders>
              <w:top w:val="single" w:sz="6" w:space="0" w:color="auto"/>
              <w:left w:val="single" w:sz="6" w:space="0" w:color="auto"/>
              <w:bottom w:val="single" w:sz="6" w:space="0" w:color="auto"/>
              <w:right w:val="single" w:sz="6" w:space="0" w:color="auto"/>
            </w:tcBorders>
          </w:tcPr>
          <w:p w14:paraId="44B1D7C7" w14:textId="77777777" w:rsidR="00286F7D" w:rsidRPr="00286F7D" w:rsidRDefault="00286F7D" w:rsidP="00286F7D">
            <w:pPr>
              <w:pStyle w:val="Texttabulky"/>
              <w:spacing w:after="0"/>
              <w:jc w:val="right"/>
              <w:rPr>
                <w:rFonts w:cs="Arial"/>
              </w:rPr>
            </w:pPr>
            <w:r w:rsidRPr="00286F7D">
              <w:rPr>
                <w:rFonts w:cs="Arial"/>
              </w:rPr>
              <w:t>43</w:t>
            </w:r>
          </w:p>
        </w:tc>
        <w:tc>
          <w:tcPr>
            <w:tcW w:w="2108" w:type="dxa"/>
            <w:tcBorders>
              <w:top w:val="single" w:sz="6" w:space="0" w:color="auto"/>
              <w:left w:val="single" w:sz="6" w:space="0" w:color="auto"/>
              <w:bottom w:val="single" w:sz="6" w:space="0" w:color="auto"/>
              <w:right w:val="single" w:sz="6" w:space="0" w:color="auto"/>
            </w:tcBorders>
          </w:tcPr>
          <w:p w14:paraId="75AFD032" w14:textId="77777777" w:rsidR="00286F7D" w:rsidRPr="00286F7D" w:rsidRDefault="00286F7D" w:rsidP="00286F7D">
            <w:pPr>
              <w:pStyle w:val="Texttabulky"/>
              <w:spacing w:after="0"/>
              <w:rPr>
                <w:rFonts w:cs="Arial"/>
              </w:rPr>
            </w:pPr>
            <w:r w:rsidRPr="00286F7D">
              <w:rPr>
                <w:rFonts w:cs="Arial"/>
              </w:rPr>
              <w:t>Nad Dolním Žlebem</w:t>
            </w:r>
          </w:p>
        </w:tc>
        <w:tc>
          <w:tcPr>
            <w:tcW w:w="1094" w:type="dxa"/>
            <w:tcBorders>
              <w:top w:val="single" w:sz="6" w:space="0" w:color="auto"/>
              <w:left w:val="single" w:sz="6" w:space="0" w:color="auto"/>
              <w:bottom w:val="single" w:sz="6" w:space="0" w:color="auto"/>
              <w:right w:val="single" w:sz="6" w:space="0" w:color="auto"/>
            </w:tcBorders>
          </w:tcPr>
          <w:p w14:paraId="74D3055F"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5E820D6A"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3E4977BF"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2383A4DE"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0C58A142"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74536841" w14:textId="77777777" w:rsidTr="00286F7D">
        <w:tc>
          <w:tcPr>
            <w:tcW w:w="568" w:type="dxa"/>
            <w:tcBorders>
              <w:top w:val="single" w:sz="6" w:space="0" w:color="auto"/>
              <w:left w:val="single" w:sz="6" w:space="0" w:color="auto"/>
              <w:bottom w:val="single" w:sz="6" w:space="0" w:color="auto"/>
              <w:right w:val="single" w:sz="6" w:space="0" w:color="auto"/>
            </w:tcBorders>
          </w:tcPr>
          <w:p w14:paraId="0C3ED72B" w14:textId="77777777" w:rsidR="00286F7D" w:rsidRPr="00286F7D" w:rsidRDefault="00286F7D" w:rsidP="00286F7D">
            <w:pPr>
              <w:pStyle w:val="Texttabulky"/>
              <w:spacing w:after="0"/>
              <w:jc w:val="right"/>
              <w:rPr>
                <w:rFonts w:cs="Arial"/>
              </w:rPr>
            </w:pPr>
            <w:r w:rsidRPr="00286F7D">
              <w:rPr>
                <w:rFonts w:cs="Arial"/>
              </w:rPr>
              <w:t>44</w:t>
            </w:r>
          </w:p>
        </w:tc>
        <w:tc>
          <w:tcPr>
            <w:tcW w:w="2108" w:type="dxa"/>
            <w:tcBorders>
              <w:top w:val="single" w:sz="6" w:space="0" w:color="auto"/>
              <w:left w:val="single" w:sz="6" w:space="0" w:color="auto"/>
              <w:bottom w:val="single" w:sz="6" w:space="0" w:color="auto"/>
              <w:right w:val="single" w:sz="6" w:space="0" w:color="auto"/>
            </w:tcBorders>
          </w:tcPr>
          <w:p w14:paraId="61D15167" w14:textId="77777777" w:rsidR="00286F7D" w:rsidRPr="00286F7D" w:rsidRDefault="00286F7D" w:rsidP="00286F7D">
            <w:pPr>
              <w:pStyle w:val="Texttabulky"/>
              <w:spacing w:after="0"/>
              <w:rPr>
                <w:rFonts w:cs="Arial"/>
              </w:rPr>
            </w:pPr>
            <w:r w:rsidRPr="00286F7D">
              <w:rPr>
                <w:rFonts w:cs="Arial"/>
              </w:rPr>
              <w:t>Dolní Žleb</w:t>
            </w:r>
          </w:p>
        </w:tc>
        <w:tc>
          <w:tcPr>
            <w:tcW w:w="1094" w:type="dxa"/>
            <w:tcBorders>
              <w:top w:val="single" w:sz="6" w:space="0" w:color="auto"/>
              <w:left w:val="single" w:sz="6" w:space="0" w:color="auto"/>
              <w:bottom w:val="single" w:sz="6" w:space="0" w:color="auto"/>
              <w:right w:val="single" w:sz="6" w:space="0" w:color="auto"/>
            </w:tcBorders>
          </w:tcPr>
          <w:p w14:paraId="362CD2E1"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70A2E23E"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33CE62EE"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0FB6086D"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556DE768"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7F3F499F" w14:textId="77777777" w:rsidTr="00286F7D">
        <w:tc>
          <w:tcPr>
            <w:tcW w:w="568" w:type="dxa"/>
            <w:tcBorders>
              <w:top w:val="single" w:sz="6" w:space="0" w:color="auto"/>
              <w:left w:val="single" w:sz="6" w:space="0" w:color="auto"/>
              <w:bottom w:val="single" w:sz="6" w:space="0" w:color="auto"/>
              <w:right w:val="single" w:sz="6" w:space="0" w:color="auto"/>
            </w:tcBorders>
          </w:tcPr>
          <w:p w14:paraId="3ED37FE6" w14:textId="77777777" w:rsidR="00286F7D" w:rsidRPr="00286F7D" w:rsidRDefault="00286F7D" w:rsidP="00286F7D">
            <w:pPr>
              <w:pStyle w:val="Texttabulky"/>
              <w:spacing w:after="0"/>
              <w:rPr>
                <w:rFonts w:cs="Arial"/>
              </w:rPr>
            </w:pPr>
            <w:r w:rsidRPr="00286F7D">
              <w:rPr>
                <w:rFonts w:cs="Arial"/>
                <w:b/>
                <w:bCs/>
              </w:rPr>
              <w:t>VIII</w:t>
            </w:r>
          </w:p>
        </w:tc>
        <w:tc>
          <w:tcPr>
            <w:tcW w:w="2108" w:type="dxa"/>
            <w:tcBorders>
              <w:top w:val="single" w:sz="6" w:space="0" w:color="auto"/>
              <w:left w:val="single" w:sz="6" w:space="0" w:color="auto"/>
              <w:bottom w:val="single" w:sz="6" w:space="0" w:color="auto"/>
              <w:right w:val="single" w:sz="6" w:space="0" w:color="auto"/>
            </w:tcBorders>
          </w:tcPr>
          <w:p w14:paraId="52DE5ED0" w14:textId="77777777" w:rsidR="00286F7D" w:rsidRPr="00286F7D" w:rsidRDefault="00286F7D" w:rsidP="00286F7D">
            <w:pPr>
              <w:pStyle w:val="Texttabulky"/>
              <w:spacing w:after="0"/>
              <w:rPr>
                <w:rFonts w:cs="Arial"/>
              </w:rPr>
            </w:pPr>
            <w:r w:rsidRPr="00286F7D">
              <w:rPr>
                <w:rFonts w:cs="Arial"/>
                <w:b/>
                <w:bCs/>
                <w:caps/>
              </w:rPr>
              <w:t>sektor celkem</w:t>
            </w:r>
          </w:p>
        </w:tc>
        <w:tc>
          <w:tcPr>
            <w:tcW w:w="1094" w:type="dxa"/>
            <w:tcBorders>
              <w:top w:val="single" w:sz="6" w:space="0" w:color="auto"/>
              <w:left w:val="single" w:sz="6" w:space="0" w:color="auto"/>
              <w:bottom w:val="single" w:sz="6" w:space="0" w:color="auto"/>
              <w:right w:val="single" w:sz="6" w:space="0" w:color="auto"/>
            </w:tcBorders>
          </w:tcPr>
          <w:p w14:paraId="37E83D9C" w14:textId="77777777" w:rsidR="00286F7D" w:rsidRPr="00286F7D" w:rsidRDefault="00286F7D" w:rsidP="00286F7D">
            <w:pPr>
              <w:pStyle w:val="Texttabulky"/>
              <w:spacing w:after="0"/>
              <w:jc w:val="right"/>
              <w:rPr>
                <w:rFonts w:cs="Arial"/>
              </w:rPr>
            </w:pPr>
            <w:r w:rsidRPr="00286F7D">
              <w:rPr>
                <w:rFonts w:cs="Arial"/>
                <w:b/>
                <w:bCs/>
              </w:rPr>
              <w:t>0</w:t>
            </w:r>
          </w:p>
        </w:tc>
        <w:tc>
          <w:tcPr>
            <w:tcW w:w="1165" w:type="dxa"/>
            <w:tcBorders>
              <w:top w:val="single" w:sz="6" w:space="0" w:color="auto"/>
              <w:left w:val="single" w:sz="6" w:space="0" w:color="auto"/>
              <w:bottom w:val="single" w:sz="6" w:space="0" w:color="auto"/>
              <w:right w:val="single" w:sz="6" w:space="0" w:color="auto"/>
            </w:tcBorders>
          </w:tcPr>
          <w:p w14:paraId="639060A9" w14:textId="77777777" w:rsidR="00286F7D" w:rsidRPr="00286F7D" w:rsidRDefault="00286F7D" w:rsidP="00286F7D">
            <w:pPr>
              <w:pStyle w:val="Texttabulky"/>
              <w:spacing w:after="0"/>
              <w:jc w:val="right"/>
              <w:rPr>
                <w:rFonts w:cs="Arial"/>
              </w:rPr>
            </w:pPr>
            <w:r w:rsidRPr="00286F7D">
              <w:rPr>
                <w:rFonts w:cs="Arial"/>
                <w:b/>
                <w:bCs/>
              </w:rPr>
              <w:t>0</w:t>
            </w:r>
          </w:p>
        </w:tc>
        <w:tc>
          <w:tcPr>
            <w:tcW w:w="761" w:type="dxa"/>
            <w:tcBorders>
              <w:top w:val="single" w:sz="6" w:space="0" w:color="auto"/>
              <w:left w:val="single" w:sz="6" w:space="0" w:color="auto"/>
              <w:bottom w:val="single" w:sz="6" w:space="0" w:color="auto"/>
              <w:right w:val="single" w:sz="6" w:space="0" w:color="auto"/>
            </w:tcBorders>
          </w:tcPr>
          <w:p w14:paraId="34D92F2D" w14:textId="77777777" w:rsidR="00286F7D" w:rsidRPr="00286F7D" w:rsidRDefault="00286F7D" w:rsidP="00286F7D">
            <w:pPr>
              <w:pStyle w:val="Texttabulky"/>
              <w:spacing w:after="0"/>
              <w:jc w:val="right"/>
              <w:rPr>
                <w:rFonts w:cs="Arial"/>
              </w:rPr>
            </w:pPr>
            <w:r w:rsidRPr="00286F7D">
              <w:rPr>
                <w:rFonts w:cs="Arial"/>
                <w:b/>
                <w:bCs/>
              </w:rPr>
              <w:t>0</w:t>
            </w:r>
          </w:p>
        </w:tc>
        <w:tc>
          <w:tcPr>
            <w:tcW w:w="1119" w:type="dxa"/>
            <w:tcBorders>
              <w:top w:val="single" w:sz="6" w:space="0" w:color="auto"/>
              <w:left w:val="single" w:sz="6" w:space="0" w:color="auto"/>
              <w:bottom w:val="single" w:sz="6" w:space="0" w:color="auto"/>
              <w:right w:val="single" w:sz="6" w:space="0" w:color="auto"/>
            </w:tcBorders>
          </w:tcPr>
          <w:p w14:paraId="0AF3ADE3" w14:textId="77777777" w:rsidR="00286F7D" w:rsidRPr="00286F7D" w:rsidRDefault="00286F7D" w:rsidP="00286F7D">
            <w:pPr>
              <w:pStyle w:val="Texttabulky"/>
              <w:spacing w:after="0"/>
              <w:jc w:val="right"/>
              <w:rPr>
                <w:rFonts w:cs="Arial"/>
              </w:rPr>
            </w:pPr>
            <w:r w:rsidRPr="00286F7D">
              <w:rPr>
                <w:rFonts w:cs="Arial"/>
                <w:b/>
                <w:bCs/>
              </w:rPr>
              <w:t>0</w:t>
            </w:r>
          </w:p>
        </w:tc>
        <w:tc>
          <w:tcPr>
            <w:tcW w:w="1011" w:type="dxa"/>
            <w:tcBorders>
              <w:top w:val="single" w:sz="6" w:space="0" w:color="auto"/>
              <w:left w:val="single" w:sz="6" w:space="0" w:color="auto"/>
              <w:bottom w:val="single" w:sz="6" w:space="0" w:color="auto"/>
              <w:right w:val="single" w:sz="6" w:space="0" w:color="auto"/>
            </w:tcBorders>
          </w:tcPr>
          <w:p w14:paraId="41629D74" w14:textId="77777777" w:rsidR="00286F7D" w:rsidRPr="00286F7D" w:rsidRDefault="00286F7D" w:rsidP="00286F7D">
            <w:pPr>
              <w:pStyle w:val="Texttabulky"/>
              <w:spacing w:after="0"/>
              <w:jc w:val="right"/>
              <w:rPr>
                <w:rFonts w:cs="Arial"/>
              </w:rPr>
            </w:pPr>
            <w:r w:rsidRPr="00286F7D">
              <w:rPr>
                <w:rFonts w:cs="Arial"/>
                <w:b/>
                <w:bCs/>
              </w:rPr>
              <w:t>0</w:t>
            </w:r>
          </w:p>
        </w:tc>
      </w:tr>
      <w:tr w:rsidR="00286F7D" w:rsidRPr="00286F7D" w14:paraId="1DCB95BF" w14:textId="77777777" w:rsidTr="00286F7D">
        <w:tc>
          <w:tcPr>
            <w:tcW w:w="568" w:type="dxa"/>
            <w:tcBorders>
              <w:top w:val="single" w:sz="6" w:space="0" w:color="auto"/>
              <w:left w:val="single" w:sz="6" w:space="0" w:color="auto"/>
              <w:bottom w:val="single" w:sz="6" w:space="0" w:color="auto"/>
              <w:right w:val="single" w:sz="6" w:space="0" w:color="auto"/>
            </w:tcBorders>
          </w:tcPr>
          <w:p w14:paraId="39F85AD7" w14:textId="77777777" w:rsidR="00286F7D" w:rsidRPr="00286F7D" w:rsidRDefault="00286F7D" w:rsidP="00286F7D">
            <w:pPr>
              <w:pStyle w:val="Texttabulky"/>
              <w:spacing w:after="0"/>
              <w:jc w:val="right"/>
              <w:rPr>
                <w:rFonts w:cs="Arial"/>
              </w:rPr>
            </w:pPr>
            <w:r w:rsidRPr="00286F7D">
              <w:rPr>
                <w:rFonts w:cs="Arial"/>
              </w:rPr>
              <w:t>49</w:t>
            </w:r>
          </w:p>
        </w:tc>
        <w:tc>
          <w:tcPr>
            <w:tcW w:w="2108" w:type="dxa"/>
            <w:tcBorders>
              <w:top w:val="single" w:sz="6" w:space="0" w:color="auto"/>
              <w:left w:val="single" w:sz="6" w:space="0" w:color="auto"/>
              <w:bottom w:val="single" w:sz="6" w:space="0" w:color="auto"/>
              <w:right w:val="single" w:sz="6" w:space="0" w:color="auto"/>
            </w:tcBorders>
          </w:tcPr>
          <w:p w14:paraId="07C1AA2C" w14:textId="77777777" w:rsidR="00286F7D" w:rsidRPr="00286F7D" w:rsidRDefault="00286F7D" w:rsidP="00286F7D">
            <w:pPr>
              <w:pStyle w:val="Texttabulky"/>
              <w:spacing w:after="0"/>
              <w:rPr>
                <w:rFonts w:cs="Arial"/>
              </w:rPr>
            </w:pPr>
            <w:r w:rsidRPr="00286F7D">
              <w:rPr>
                <w:rFonts w:cs="Arial"/>
              </w:rPr>
              <w:t>Chlum</w:t>
            </w:r>
          </w:p>
        </w:tc>
        <w:tc>
          <w:tcPr>
            <w:tcW w:w="1094" w:type="dxa"/>
            <w:tcBorders>
              <w:top w:val="single" w:sz="6" w:space="0" w:color="auto"/>
              <w:left w:val="single" w:sz="6" w:space="0" w:color="auto"/>
              <w:bottom w:val="single" w:sz="6" w:space="0" w:color="auto"/>
              <w:right w:val="single" w:sz="6" w:space="0" w:color="auto"/>
            </w:tcBorders>
          </w:tcPr>
          <w:p w14:paraId="2BAA1913"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3790C57F"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47F55993"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2A7A3E56"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2EB62C3B"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67FB9FAA" w14:textId="77777777" w:rsidTr="00286F7D">
        <w:tc>
          <w:tcPr>
            <w:tcW w:w="568" w:type="dxa"/>
            <w:tcBorders>
              <w:top w:val="single" w:sz="6" w:space="0" w:color="auto"/>
              <w:left w:val="single" w:sz="6" w:space="0" w:color="auto"/>
              <w:bottom w:val="single" w:sz="6" w:space="0" w:color="auto"/>
              <w:right w:val="single" w:sz="6" w:space="0" w:color="auto"/>
            </w:tcBorders>
          </w:tcPr>
          <w:p w14:paraId="263C90B6" w14:textId="77777777" w:rsidR="00286F7D" w:rsidRPr="00286F7D" w:rsidRDefault="00286F7D" w:rsidP="00286F7D">
            <w:pPr>
              <w:pStyle w:val="Texttabulky"/>
              <w:spacing w:after="0"/>
              <w:jc w:val="right"/>
              <w:rPr>
                <w:rFonts w:cs="Arial"/>
              </w:rPr>
            </w:pPr>
            <w:r w:rsidRPr="00286F7D">
              <w:rPr>
                <w:rFonts w:cs="Arial"/>
              </w:rPr>
              <w:t>53</w:t>
            </w:r>
          </w:p>
        </w:tc>
        <w:tc>
          <w:tcPr>
            <w:tcW w:w="2108" w:type="dxa"/>
            <w:tcBorders>
              <w:top w:val="single" w:sz="6" w:space="0" w:color="auto"/>
              <w:left w:val="single" w:sz="6" w:space="0" w:color="auto"/>
              <w:bottom w:val="single" w:sz="6" w:space="0" w:color="auto"/>
              <w:right w:val="single" w:sz="6" w:space="0" w:color="auto"/>
            </w:tcBorders>
          </w:tcPr>
          <w:p w14:paraId="7C88652A" w14:textId="77777777" w:rsidR="00286F7D" w:rsidRPr="00286F7D" w:rsidRDefault="00286F7D" w:rsidP="00286F7D">
            <w:pPr>
              <w:pStyle w:val="Texttabulky"/>
              <w:spacing w:after="0"/>
              <w:rPr>
                <w:rFonts w:cs="Arial"/>
              </w:rPr>
            </w:pPr>
            <w:r w:rsidRPr="00286F7D">
              <w:rPr>
                <w:rFonts w:cs="Arial"/>
              </w:rPr>
              <w:t>Velká Veleň</w:t>
            </w:r>
          </w:p>
        </w:tc>
        <w:tc>
          <w:tcPr>
            <w:tcW w:w="1094" w:type="dxa"/>
            <w:tcBorders>
              <w:top w:val="single" w:sz="6" w:space="0" w:color="auto"/>
              <w:left w:val="single" w:sz="6" w:space="0" w:color="auto"/>
              <w:bottom w:val="single" w:sz="6" w:space="0" w:color="auto"/>
              <w:right w:val="single" w:sz="6" w:space="0" w:color="auto"/>
            </w:tcBorders>
          </w:tcPr>
          <w:p w14:paraId="179DEE4D"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20CBC522"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445675EE"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43F6F75D"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747C84B2"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37759033" w14:textId="77777777" w:rsidTr="00286F7D">
        <w:tc>
          <w:tcPr>
            <w:tcW w:w="568" w:type="dxa"/>
            <w:tcBorders>
              <w:top w:val="single" w:sz="6" w:space="0" w:color="auto"/>
              <w:left w:val="single" w:sz="6" w:space="0" w:color="auto"/>
              <w:bottom w:val="single" w:sz="6" w:space="0" w:color="auto"/>
              <w:right w:val="single" w:sz="6" w:space="0" w:color="auto"/>
            </w:tcBorders>
          </w:tcPr>
          <w:p w14:paraId="3B293877" w14:textId="77777777" w:rsidR="00286F7D" w:rsidRPr="00286F7D" w:rsidRDefault="00286F7D" w:rsidP="00286F7D">
            <w:pPr>
              <w:pStyle w:val="Texttabulky"/>
              <w:spacing w:after="0"/>
              <w:jc w:val="right"/>
              <w:rPr>
                <w:rFonts w:cs="Arial"/>
              </w:rPr>
            </w:pPr>
            <w:r w:rsidRPr="00286F7D">
              <w:rPr>
                <w:rFonts w:cs="Arial"/>
              </w:rPr>
              <w:t>54</w:t>
            </w:r>
          </w:p>
        </w:tc>
        <w:tc>
          <w:tcPr>
            <w:tcW w:w="2108" w:type="dxa"/>
            <w:tcBorders>
              <w:top w:val="single" w:sz="6" w:space="0" w:color="auto"/>
              <w:left w:val="single" w:sz="6" w:space="0" w:color="auto"/>
              <w:bottom w:val="single" w:sz="6" w:space="0" w:color="auto"/>
              <w:right w:val="single" w:sz="6" w:space="0" w:color="auto"/>
            </w:tcBorders>
          </w:tcPr>
          <w:p w14:paraId="376802CD" w14:textId="77777777" w:rsidR="00286F7D" w:rsidRPr="00286F7D" w:rsidRDefault="00286F7D" w:rsidP="00286F7D">
            <w:pPr>
              <w:pStyle w:val="Texttabulky"/>
              <w:spacing w:after="0"/>
              <w:rPr>
                <w:rFonts w:cs="Arial"/>
              </w:rPr>
            </w:pPr>
            <w:r w:rsidRPr="00286F7D">
              <w:rPr>
                <w:rFonts w:cs="Arial"/>
              </w:rPr>
              <w:t>Lesná</w:t>
            </w:r>
          </w:p>
        </w:tc>
        <w:tc>
          <w:tcPr>
            <w:tcW w:w="1094" w:type="dxa"/>
            <w:tcBorders>
              <w:top w:val="single" w:sz="6" w:space="0" w:color="auto"/>
              <w:left w:val="single" w:sz="6" w:space="0" w:color="auto"/>
              <w:bottom w:val="single" w:sz="6" w:space="0" w:color="auto"/>
              <w:right w:val="single" w:sz="6" w:space="0" w:color="auto"/>
            </w:tcBorders>
          </w:tcPr>
          <w:p w14:paraId="2C403696"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367AD03D"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20939365" w14:textId="77777777" w:rsidR="00286F7D" w:rsidRPr="00286F7D" w:rsidRDefault="00286F7D" w:rsidP="00286F7D">
            <w:pPr>
              <w:pStyle w:val="Texttabulky"/>
              <w:spacing w:after="0"/>
              <w:jc w:val="right"/>
              <w:rPr>
                <w:rFonts w:cs="Arial"/>
              </w:rPr>
            </w:pPr>
            <w:r w:rsidRPr="00286F7D">
              <w:rPr>
                <w:rFonts w:cs="Arial"/>
              </w:rPr>
              <w:t>1</w:t>
            </w:r>
          </w:p>
        </w:tc>
        <w:tc>
          <w:tcPr>
            <w:tcW w:w="1119" w:type="dxa"/>
            <w:tcBorders>
              <w:top w:val="single" w:sz="6" w:space="0" w:color="auto"/>
              <w:left w:val="single" w:sz="6" w:space="0" w:color="auto"/>
              <w:bottom w:val="single" w:sz="6" w:space="0" w:color="auto"/>
              <w:right w:val="single" w:sz="6" w:space="0" w:color="auto"/>
            </w:tcBorders>
          </w:tcPr>
          <w:p w14:paraId="588A5E5C" w14:textId="77777777" w:rsidR="00286F7D" w:rsidRPr="00286F7D" w:rsidRDefault="00286F7D" w:rsidP="00286F7D">
            <w:pPr>
              <w:pStyle w:val="Texttabulky"/>
              <w:spacing w:after="0"/>
              <w:jc w:val="right"/>
              <w:rPr>
                <w:rFonts w:cs="Arial"/>
              </w:rPr>
            </w:pPr>
            <w:r w:rsidRPr="00286F7D">
              <w:rPr>
                <w:rFonts w:cs="Arial"/>
              </w:rPr>
              <w:t>33</w:t>
            </w:r>
          </w:p>
        </w:tc>
        <w:tc>
          <w:tcPr>
            <w:tcW w:w="1011" w:type="dxa"/>
            <w:tcBorders>
              <w:top w:val="single" w:sz="6" w:space="0" w:color="auto"/>
              <w:left w:val="single" w:sz="6" w:space="0" w:color="auto"/>
              <w:bottom w:val="single" w:sz="6" w:space="0" w:color="auto"/>
              <w:right w:val="single" w:sz="6" w:space="0" w:color="auto"/>
            </w:tcBorders>
          </w:tcPr>
          <w:p w14:paraId="4F52D300" w14:textId="77777777" w:rsidR="00286F7D" w:rsidRPr="00286F7D" w:rsidRDefault="00286F7D" w:rsidP="00286F7D">
            <w:pPr>
              <w:pStyle w:val="Texttabulky"/>
              <w:spacing w:after="0"/>
              <w:rPr>
                <w:rFonts w:cs="Arial"/>
              </w:rPr>
            </w:pPr>
            <w:r w:rsidRPr="00286F7D">
              <w:rPr>
                <w:rFonts w:cs="Arial"/>
              </w:rPr>
              <w:t xml:space="preserve">         + 33</w:t>
            </w:r>
          </w:p>
        </w:tc>
      </w:tr>
      <w:tr w:rsidR="00286F7D" w:rsidRPr="00286F7D" w14:paraId="49C93832" w14:textId="77777777" w:rsidTr="00286F7D">
        <w:tc>
          <w:tcPr>
            <w:tcW w:w="568" w:type="dxa"/>
            <w:tcBorders>
              <w:top w:val="single" w:sz="6" w:space="0" w:color="auto"/>
              <w:left w:val="single" w:sz="6" w:space="0" w:color="auto"/>
              <w:bottom w:val="single" w:sz="6" w:space="0" w:color="auto"/>
              <w:right w:val="single" w:sz="6" w:space="0" w:color="auto"/>
            </w:tcBorders>
          </w:tcPr>
          <w:p w14:paraId="3429CF44" w14:textId="77777777" w:rsidR="00286F7D" w:rsidRPr="00286F7D" w:rsidRDefault="00286F7D" w:rsidP="00286F7D">
            <w:pPr>
              <w:pStyle w:val="Texttabulky"/>
              <w:spacing w:after="0"/>
              <w:jc w:val="right"/>
              <w:rPr>
                <w:rFonts w:cs="Arial"/>
              </w:rPr>
            </w:pPr>
            <w:r w:rsidRPr="00286F7D">
              <w:rPr>
                <w:rFonts w:cs="Arial"/>
              </w:rPr>
              <w:t>55</w:t>
            </w:r>
          </w:p>
        </w:tc>
        <w:tc>
          <w:tcPr>
            <w:tcW w:w="2108" w:type="dxa"/>
            <w:tcBorders>
              <w:top w:val="single" w:sz="6" w:space="0" w:color="auto"/>
              <w:left w:val="single" w:sz="6" w:space="0" w:color="auto"/>
              <w:bottom w:val="single" w:sz="6" w:space="0" w:color="auto"/>
              <w:right w:val="single" w:sz="6" w:space="0" w:color="auto"/>
            </w:tcBorders>
          </w:tcPr>
          <w:p w14:paraId="43013C45" w14:textId="77777777" w:rsidR="00286F7D" w:rsidRPr="00286F7D" w:rsidRDefault="00286F7D" w:rsidP="00286F7D">
            <w:pPr>
              <w:pStyle w:val="Texttabulky"/>
              <w:spacing w:after="0"/>
              <w:rPr>
                <w:rFonts w:cs="Arial"/>
              </w:rPr>
            </w:pPr>
            <w:r w:rsidRPr="00286F7D">
              <w:rPr>
                <w:rFonts w:cs="Arial"/>
              </w:rPr>
              <w:t>Lesní mlýn</w:t>
            </w:r>
          </w:p>
        </w:tc>
        <w:tc>
          <w:tcPr>
            <w:tcW w:w="1094" w:type="dxa"/>
            <w:tcBorders>
              <w:top w:val="single" w:sz="6" w:space="0" w:color="auto"/>
              <w:left w:val="single" w:sz="6" w:space="0" w:color="auto"/>
              <w:bottom w:val="single" w:sz="6" w:space="0" w:color="auto"/>
              <w:right w:val="single" w:sz="6" w:space="0" w:color="auto"/>
            </w:tcBorders>
          </w:tcPr>
          <w:p w14:paraId="2171F15E"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2B4575DF"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22C7B3DF"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624C2CE7"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1F639148"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239D06FD" w14:textId="77777777" w:rsidTr="00286F7D">
        <w:tc>
          <w:tcPr>
            <w:tcW w:w="568" w:type="dxa"/>
            <w:tcBorders>
              <w:top w:val="single" w:sz="6" w:space="0" w:color="auto"/>
              <w:left w:val="single" w:sz="6" w:space="0" w:color="auto"/>
              <w:bottom w:val="single" w:sz="6" w:space="0" w:color="auto"/>
              <w:right w:val="single" w:sz="6" w:space="0" w:color="auto"/>
            </w:tcBorders>
          </w:tcPr>
          <w:p w14:paraId="477DA31E" w14:textId="77777777" w:rsidR="00286F7D" w:rsidRPr="00286F7D" w:rsidRDefault="00286F7D" w:rsidP="00286F7D">
            <w:pPr>
              <w:pStyle w:val="Texttabulky"/>
              <w:spacing w:after="0"/>
              <w:jc w:val="right"/>
              <w:rPr>
                <w:rFonts w:cs="Arial"/>
              </w:rPr>
            </w:pPr>
            <w:r w:rsidRPr="00286F7D">
              <w:rPr>
                <w:rFonts w:cs="Arial"/>
              </w:rPr>
              <w:t>56</w:t>
            </w:r>
          </w:p>
        </w:tc>
        <w:tc>
          <w:tcPr>
            <w:tcW w:w="2108" w:type="dxa"/>
            <w:tcBorders>
              <w:top w:val="single" w:sz="6" w:space="0" w:color="auto"/>
              <w:left w:val="single" w:sz="6" w:space="0" w:color="auto"/>
              <w:bottom w:val="single" w:sz="6" w:space="0" w:color="auto"/>
              <w:right w:val="single" w:sz="6" w:space="0" w:color="auto"/>
            </w:tcBorders>
          </w:tcPr>
          <w:p w14:paraId="39E77E48" w14:textId="77777777" w:rsidR="00286F7D" w:rsidRPr="00286F7D" w:rsidRDefault="00286F7D" w:rsidP="00286F7D">
            <w:pPr>
              <w:pStyle w:val="Texttabulky"/>
              <w:spacing w:after="0"/>
              <w:rPr>
                <w:rFonts w:cs="Arial"/>
              </w:rPr>
            </w:pPr>
            <w:r w:rsidRPr="00286F7D">
              <w:rPr>
                <w:rFonts w:cs="Arial"/>
              </w:rPr>
              <w:t>Hoštice</w:t>
            </w:r>
          </w:p>
        </w:tc>
        <w:tc>
          <w:tcPr>
            <w:tcW w:w="1094" w:type="dxa"/>
            <w:tcBorders>
              <w:top w:val="single" w:sz="6" w:space="0" w:color="auto"/>
              <w:left w:val="single" w:sz="6" w:space="0" w:color="auto"/>
              <w:bottom w:val="single" w:sz="6" w:space="0" w:color="auto"/>
              <w:right w:val="single" w:sz="6" w:space="0" w:color="auto"/>
            </w:tcBorders>
          </w:tcPr>
          <w:p w14:paraId="00E45578" w14:textId="77777777" w:rsidR="00286F7D" w:rsidRPr="00286F7D" w:rsidRDefault="00286F7D" w:rsidP="00286F7D">
            <w:pPr>
              <w:pStyle w:val="Texttabulky"/>
              <w:spacing w:after="0"/>
              <w:jc w:val="right"/>
              <w:rPr>
                <w:rFonts w:cs="Arial"/>
              </w:rPr>
            </w:pPr>
            <w:r w:rsidRPr="00286F7D">
              <w:rPr>
                <w:rFonts w:cs="Arial"/>
              </w:rPr>
              <w:t>0</w:t>
            </w:r>
          </w:p>
        </w:tc>
        <w:tc>
          <w:tcPr>
            <w:tcW w:w="1165" w:type="dxa"/>
            <w:tcBorders>
              <w:top w:val="single" w:sz="6" w:space="0" w:color="auto"/>
              <w:left w:val="single" w:sz="6" w:space="0" w:color="auto"/>
              <w:bottom w:val="single" w:sz="6" w:space="0" w:color="auto"/>
              <w:right w:val="single" w:sz="6" w:space="0" w:color="auto"/>
            </w:tcBorders>
          </w:tcPr>
          <w:p w14:paraId="52AF90BE" w14:textId="77777777" w:rsidR="00286F7D" w:rsidRPr="00286F7D" w:rsidRDefault="00286F7D" w:rsidP="00286F7D">
            <w:pPr>
              <w:pStyle w:val="Texttabulky"/>
              <w:spacing w:after="0"/>
              <w:jc w:val="right"/>
              <w:rPr>
                <w:rFonts w:cs="Arial"/>
              </w:rPr>
            </w:pPr>
            <w:r w:rsidRPr="00286F7D">
              <w:rPr>
                <w:rFonts w:cs="Arial"/>
              </w:rPr>
              <w:t>0</w:t>
            </w:r>
          </w:p>
        </w:tc>
        <w:tc>
          <w:tcPr>
            <w:tcW w:w="761" w:type="dxa"/>
            <w:tcBorders>
              <w:top w:val="single" w:sz="6" w:space="0" w:color="auto"/>
              <w:left w:val="single" w:sz="6" w:space="0" w:color="auto"/>
              <w:bottom w:val="single" w:sz="6" w:space="0" w:color="auto"/>
              <w:right w:val="single" w:sz="6" w:space="0" w:color="auto"/>
            </w:tcBorders>
          </w:tcPr>
          <w:p w14:paraId="3450B30D" w14:textId="77777777" w:rsidR="00286F7D" w:rsidRPr="00286F7D" w:rsidRDefault="00286F7D" w:rsidP="00286F7D">
            <w:pPr>
              <w:pStyle w:val="Texttabulky"/>
              <w:spacing w:after="0"/>
              <w:jc w:val="right"/>
              <w:rPr>
                <w:rFonts w:cs="Arial"/>
              </w:rPr>
            </w:pPr>
            <w:r w:rsidRPr="00286F7D">
              <w:rPr>
                <w:rFonts w:cs="Arial"/>
              </w:rPr>
              <w:t>0</w:t>
            </w:r>
          </w:p>
        </w:tc>
        <w:tc>
          <w:tcPr>
            <w:tcW w:w="1119" w:type="dxa"/>
            <w:tcBorders>
              <w:top w:val="single" w:sz="6" w:space="0" w:color="auto"/>
              <w:left w:val="single" w:sz="6" w:space="0" w:color="auto"/>
              <w:bottom w:val="single" w:sz="6" w:space="0" w:color="auto"/>
              <w:right w:val="single" w:sz="6" w:space="0" w:color="auto"/>
            </w:tcBorders>
          </w:tcPr>
          <w:p w14:paraId="16F1B97D" w14:textId="77777777" w:rsidR="00286F7D" w:rsidRPr="00286F7D" w:rsidRDefault="00286F7D" w:rsidP="00286F7D">
            <w:pPr>
              <w:pStyle w:val="Texttabulky"/>
              <w:spacing w:after="0"/>
              <w:jc w:val="right"/>
              <w:rPr>
                <w:rFonts w:cs="Arial"/>
              </w:rPr>
            </w:pPr>
            <w:r w:rsidRPr="00286F7D">
              <w:rPr>
                <w:rFonts w:cs="Arial"/>
              </w:rPr>
              <w:t>0</w:t>
            </w:r>
          </w:p>
        </w:tc>
        <w:tc>
          <w:tcPr>
            <w:tcW w:w="1011" w:type="dxa"/>
            <w:tcBorders>
              <w:top w:val="single" w:sz="6" w:space="0" w:color="auto"/>
              <w:left w:val="single" w:sz="6" w:space="0" w:color="auto"/>
              <w:bottom w:val="single" w:sz="6" w:space="0" w:color="auto"/>
              <w:right w:val="single" w:sz="6" w:space="0" w:color="auto"/>
            </w:tcBorders>
          </w:tcPr>
          <w:p w14:paraId="5265B9FD" w14:textId="77777777" w:rsidR="00286F7D" w:rsidRPr="00286F7D" w:rsidRDefault="00286F7D" w:rsidP="00286F7D">
            <w:pPr>
              <w:pStyle w:val="Texttabulky"/>
              <w:spacing w:after="0"/>
              <w:jc w:val="right"/>
              <w:rPr>
                <w:rFonts w:cs="Arial"/>
              </w:rPr>
            </w:pPr>
            <w:r w:rsidRPr="00286F7D">
              <w:rPr>
                <w:rFonts w:cs="Arial"/>
              </w:rPr>
              <w:t>0</w:t>
            </w:r>
          </w:p>
        </w:tc>
      </w:tr>
      <w:tr w:rsidR="00286F7D" w:rsidRPr="00286F7D" w14:paraId="1557C2C4" w14:textId="77777777" w:rsidTr="00286F7D">
        <w:tc>
          <w:tcPr>
            <w:tcW w:w="568" w:type="dxa"/>
            <w:tcBorders>
              <w:top w:val="single" w:sz="6" w:space="0" w:color="auto"/>
              <w:left w:val="single" w:sz="6" w:space="0" w:color="auto"/>
              <w:bottom w:val="single" w:sz="6" w:space="0" w:color="auto"/>
              <w:right w:val="single" w:sz="6" w:space="0" w:color="auto"/>
            </w:tcBorders>
          </w:tcPr>
          <w:p w14:paraId="5A21D6D9" w14:textId="77777777" w:rsidR="00286F7D" w:rsidRPr="00286F7D" w:rsidRDefault="00286F7D" w:rsidP="00286F7D">
            <w:pPr>
              <w:pStyle w:val="Texttabulky"/>
              <w:spacing w:after="0"/>
              <w:rPr>
                <w:rFonts w:cs="Arial"/>
              </w:rPr>
            </w:pPr>
            <w:r w:rsidRPr="00286F7D">
              <w:rPr>
                <w:rFonts w:cs="Arial"/>
                <w:b/>
                <w:bCs/>
              </w:rPr>
              <w:t xml:space="preserve">  IX</w:t>
            </w:r>
          </w:p>
        </w:tc>
        <w:tc>
          <w:tcPr>
            <w:tcW w:w="2108" w:type="dxa"/>
            <w:tcBorders>
              <w:top w:val="single" w:sz="6" w:space="0" w:color="auto"/>
              <w:left w:val="single" w:sz="6" w:space="0" w:color="auto"/>
              <w:bottom w:val="single" w:sz="6" w:space="0" w:color="auto"/>
              <w:right w:val="single" w:sz="6" w:space="0" w:color="auto"/>
            </w:tcBorders>
          </w:tcPr>
          <w:p w14:paraId="5F3C32D9" w14:textId="77777777" w:rsidR="00286F7D" w:rsidRPr="00286F7D" w:rsidRDefault="00286F7D" w:rsidP="00286F7D">
            <w:pPr>
              <w:pStyle w:val="Texttabulky"/>
              <w:spacing w:after="0"/>
              <w:rPr>
                <w:rFonts w:cs="Arial"/>
              </w:rPr>
            </w:pPr>
            <w:r w:rsidRPr="00286F7D">
              <w:rPr>
                <w:rFonts w:cs="Arial"/>
                <w:b/>
                <w:bCs/>
                <w:caps/>
              </w:rPr>
              <w:t>sektor celkem</w:t>
            </w:r>
          </w:p>
        </w:tc>
        <w:tc>
          <w:tcPr>
            <w:tcW w:w="1094" w:type="dxa"/>
            <w:tcBorders>
              <w:top w:val="single" w:sz="6" w:space="0" w:color="auto"/>
              <w:left w:val="single" w:sz="6" w:space="0" w:color="auto"/>
              <w:bottom w:val="single" w:sz="6" w:space="0" w:color="auto"/>
              <w:right w:val="single" w:sz="6" w:space="0" w:color="auto"/>
            </w:tcBorders>
          </w:tcPr>
          <w:p w14:paraId="23779DE1" w14:textId="77777777" w:rsidR="00286F7D" w:rsidRPr="00286F7D" w:rsidRDefault="00286F7D" w:rsidP="00286F7D">
            <w:pPr>
              <w:pStyle w:val="Texttabulky"/>
              <w:spacing w:after="0"/>
              <w:jc w:val="right"/>
              <w:rPr>
                <w:rFonts w:cs="Arial"/>
              </w:rPr>
            </w:pPr>
            <w:r w:rsidRPr="00286F7D">
              <w:rPr>
                <w:rFonts w:cs="Arial"/>
                <w:b/>
                <w:bCs/>
              </w:rPr>
              <w:t>0</w:t>
            </w:r>
          </w:p>
        </w:tc>
        <w:tc>
          <w:tcPr>
            <w:tcW w:w="1165" w:type="dxa"/>
            <w:tcBorders>
              <w:top w:val="single" w:sz="6" w:space="0" w:color="auto"/>
              <w:left w:val="single" w:sz="6" w:space="0" w:color="auto"/>
              <w:bottom w:val="single" w:sz="6" w:space="0" w:color="auto"/>
              <w:right w:val="single" w:sz="6" w:space="0" w:color="auto"/>
            </w:tcBorders>
          </w:tcPr>
          <w:p w14:paraId="3EF07B8F" w14:textId="77777777" w:rsidR="00286F7D" w:rsidRPr="00286F7D" w:rsidRDefault="00286F7D" w:rsidP="00286F7D">
            <w:pPr>
              <w:pStyle w:val="Texttabulky"/>
              <w:spacing w:after="0"/>
              <w:jc w:val="right"/>
              <w:rPr>
                <w:rFonts w:cs="Arial"/>
              </w:rPr>
            </w:pPr>
            <w:r w:rsidRPr="00286F7D">
              <w:rPr>
                <w:rFonts w:cs="Arial"/>
                <w:b/>
                <w:bCs/>
              </w:rPr>
              <w:t>0</w:t>
            </w:r>
          </w:p>
        </w:tc>
        <w:tc>
          <w:tcPr>
            <w:tcW w:w="761" w:type="dxa"/>
            <w:tcBorders>
              <w:top w:val="single" w:sz="6" w:space="0" w:color="auto"/>
              <w:left w:val="single" w:sz="6" w:space="0" w:color="auto"/>
              <w:bottom w:val="single" w:sz="6" w:space="0" w:color="auto"/>
              <w:right w:val="single" w:sz="6" w:space="0" w:color="auto"/>
            </w:tcBorders>
          </w:tcPr>
          <w:p w14:paraId="2AC0E6FB" w14:textId="77777777" w:rsidR="00286F7D" w:rsidRPr="00286F7D" w:rsidRDefault="00286F7D" w:rsidP="00286F7D">
            <w:pPr>
              <w:pStyle w:val="Texttabulky"/>
              <w:spacing w:after="0"/>
              <w:jc w:val="right"/>
              <w:rPr>
                <w:rFonts w:cs="Arial"/>
              </w:rPr>
            </w:pPr>
            <w:r w:rsidRPr="00286F7D">
              <w:rPr>
                <w:rFonts w:cs="Arial"/>
                <w:b/>
                <w:bCs/>
              </w:rPr>
              <w:t>1</w:t>
            </w:r>
          </w:p>
        </w:tc>
        <w:tc>
          <w:tcPr>
            <w:tcW w:w="1119" w:type="dxa"/>
            <w:tcBorders>
              <w:top w:val="single" w:sz="6" w:space="0" w:color="auto"/>
              <w:left w:val="single" w:sz="6" w:space="0" w:color="auto"/>
              <w:bottom w:val="single" w:sz="6" w:space="0" w:color="auto"/>
              <w:right w:val="single" w:sz="6" w:space="0" w:color="auto"/>
            </w:tcBorders>
          </w:tcPr>
          <w:p w14:paraId="4569F058" w14:textId="77777777" w:rsidR="00286F7D" w:rsidRPr="00286F7D" w:rsidRDefault="00286F7D" w:rsidP="00286F7D">
            <w:pPr>
              <w:pStyle w:val="Texttabulky"/>
              <w:spacing w:after="0"/>
              <w:jc w:val="right"/>
              <w:rPr>
                <w:rFonts w:cs="Arial"/>
              </w:rPr>
            </w:pPr>
            <w:r w:rsidRPr="00286F7D">
              <w:rPr>
                <w:rFonts w:cs="Arial"/>
                <w:b/>
                <w:bCs/>
              </w:rPr>
              <w:t>33</w:t>
            </w:r>
          </w:p>
        </w:tc>
        <w:tc>
          <w:tcPr>
            <w:tcW w:w="1011" w:type="dxa"/>
            <w:tcBorders>
              <w:top w:val="single" w:sz="6" w:space="0" w:color="auto"/>
              <w:left w:val="single" w:sz="6" w:space="0" w:color="auto"/>
              <w:bottom w:val="single" w:sz="6" w:space="0" w:color="auto"/>
              <w:right w:val="single" w:sz="6" w:space="0" w:color="auto"/>
            </w:tcBorders>
          </w:tcPr>
          <w:p w14:paraId="0C362C8D" w14:textId="77777777" w:rsidR="00286F7D" w:rsidRPr="00286F7D" w:rsidRDefault="00286F7D" w:rsidP="00286F7D">
            <w:pPr>
              <w:pStyle w:val="Texttabulky"/>
              <w:spacing w:after="0"/>
              <w:rPr>
                <w:rFonts w:cs="Arial"/>
              </w:rPr>
            </w:pPr>
            <w:r w:rsidRPr="00286F7D">
              <w:rPr>
                <w:rFonts w:cs="Arial"/>
                <w:b/>
                <w:bCs/>
              </w:rPr>
              <w:t xml:space="preserve">         + 33</w:t>
            </w:r>
          </w:p>
        </w:tc>
      </w:tr>
      <w:tr w:rsidR="00286F7D" w:rsidRPr="00286F7D" w14:paraId="6E9C44D9" w14:textId="77777777" w:rsidTr="00286F7D">
        <w:tc>
          <w:tcPr>
            <w:tcW w:w="568" w:type="dxa"/>
            <w:tcBorders>
              <w:top w:val="single" w:sz="6" w:space="0" w:color="auto"/>
              <w:left w:val="single" w:sz="6" w:space="0" w:color="auto"/>
              <w:bottom w:val="single" w:sz="6" w:space="0" w:color="auto"/>
              <w:right w:val="single" w:sz="6" w:space="0" w:color="auto"/>
            </w:tcBorders>
          </w:tcPr>
          <w:p w14:paraId="62D78CC1" w14:textId="77777777" w:rsidR="00286F7D" w:rsidRPr="00286F7D" w:rsidRDefault="00286F7D" w:rsidP="00286F7D">
            <w:pPr>
              <w:pStyle w:val="Texttabulky"/>
              <w:spacing w:after="0"/>
              <w:rPr>
                <w:rFonts w:cs="Arial"/>
              </w:rPr>
            </w:pPr>
            <w:r w:rsidRPr="00286F7D">
              <w:rPr>
                <w:rFonts w:cs="Arial"/>
                <w:b/>
                <w:bCs/>
              </w:rPr>
              <w:t xml:space="preserve">I-IX </w:t>
            </w:r>
          </w:p>
        </w:tc>
        <w:tc>
          <w:tcPr>
            <w:tcW w:w="2108" w:type="dxa"/>
            <w:tcBorders>
              <w:top w:val="single" w:sz="6" w:space="0" w:color="auto"/>
              <w:left w:val="single" w:sz="6" w:space="0" w:color="auto"/>
              <w:bottom w:val="single" w:sz="6" w:space="0" w:color="auto"/>
              <w:right w:val="single" w:sz="6" w:space="0" w:color="auto"/>
            </w:tcBorders>
          </w:tcPr>
          <w:p w14:paraId="023FA0C2" w14:textId="77777777" w:rsidR="00286F7D" w:rsidRPr="00286F7D" w:rsidRDefault="00286F7D" w:rsidP="00286F7D">
            <w:pPr>
              <w:pStyle w:val="Texttabulky"/>
              <w:spacing w:after="0"/>
              <w:rPr>
                <w:rFonts w:cs="Arial"/>
              </w:rPr>
            </w:pPr>
            <w:r w:rsidRPr="00286F7D">
              <w:rPr>
                <w:rFonts w:cs="Arial"/>
                <w:b/>
                <w:bCs/>
              </w:rPr>
              <w:t>MĚSTO CELKEM</w:t>
            </w:r>
          </w:p>
        </w:tc>
        <w:tc>
          <w:tcPr>
            <w:tcW w:w="1094" w:type="dxa"/>
            <w:tcBorders>
              <w:top w:val="single" w:sz="6" w:space="0" w:color="auto"/>
              <w:left w:val="single" w:sz="6" w:space="0" w:color="auto"/>
              <w:bottom w:val="single" w:sz="6" w:space="0" w:color="auto"/>
              <w:right w:val="single" w:sz="6" w:space="0" w:color="auto"/>
            </w:tcBorders>
          </w:tcPr>
          <w:p w14:paraId="5E06E161" w14:textId="77777777" w:rsidR="00286F7D" w:rsidRPr="00286F7D" w:rsidRDefault="00286F7D" w:rsidP="00286F7D">
            <w:pPr>
              <w:pStyle w:val="Texttabulky"/>
              <w:spacing w:after="0"/>
              <w:jc w:val="right"/>
              <w:rPr>
                <w:rFonts w:cs="Arial"/>
              </w:rPr>
            </w:pPr>
            <w:r w:rsidRPr="00286F7D">
              <w:rPr>
                <w:rFonts w:cs="Arial"/>
                <w:b/>
                <w:bCs/>
              </w:rPr>
              <w:t>10 980</w:t>
            </w:r>
          </w:p>
        </w:tc>
        <w:tc>
          <w:tcPr>
            <w:tcW w:w="1165" w:type="dxa"/>
            <w:tcBorders>
              <w:top w:val="single" w:sz="6" w:space="0" w:color="auto"/>
              <w:left w:val="single" w:sz="6" w:space="0" w:color="auto"/>
              <w:bottom w:val="single" w:sz="6" w:space="0" w:color="auto"/>
              <w:right w:val="single" w:sz="6" w:space="0" w:color="auto"/>
            </w:tcBorders>
          </w:tcPr>
          <w:p w14:paraId="49013B34" w14:textId="77777777" w:rsidR="00286F7D" w:rsidRPr="00286F7D" w:rsidRDefault="00286F7D" w:rsidP="00286F7D">
            <w:pPr>
              <w:pStyle w:val="Texttabulky"/>
              <w:spacing w:after="0"/>
              <w:jc w:val="right"/>
              <w:rPr>
                <w:rFonts w:cs="Arial"/>
              </w:rPr>
            </w:pPr>
            <w:r w:rsidRPr="00286F7D">
              <w:rPr>
                <w:rFonts w:cs="Arial"/>
                <w:b/>
                <w:bCs/>
              </w:rPr>
              <w:t>11 575</w:t>
            </w:r>
          </w:p>
        </w:tc>
        <w:tc>
          <w:tcPr>
            <w:tcW w:w="761" w:type="dxa"/>
            <w:tcBorders>
              <w:top w:val="single" w:sz="6" w:space="0" w:color="auto"/>
              <w:left w:val="single" w:sz="6" w:space="0" w:color="auto"/>
              <w:bottom w:val="single" w:sz="6" w:space="0" w:color="auto"/>
              <w:right w:val="single" w:sz="6" w:space="0" w:color="auto"/>
            </w:tcBorders>
          </w:tcPr>
          <w:p w14:paraId="4F491920" w14:textId="77777777" w:rsidR="00286F7D" w:rsidRPr="00286F7D" w:rsidRDefault="00286F7D" w:rsidP="00286F7D">
            <w:pPr>
              <w:pStyle w:val="Texttabulky"/>
              <w:spacing w:after="0"/>
              <w:jc w:val="right"/>
              <w:rPr>
                <w:rFonts w:cs="Arial"/>
              </w:rPr>
            </w:pPr>
            <w:r w:rsidRPr="00286F7D">
              <w:rPr>
                <w:rFonts w:cs="Arial"/>
                <w:b/>
                <w:bCs/>
              </w:rPr>
              <w:t>189</w:t>
            </w:r>
          </w:p>
        </w:tc>
        <w:tc>
          <w:tcPr>
            <w:tcW w:w="1119" w:type="dxa"/>
            <w:tcBorders>
              <w:top w:val="single" w:sz="6" w:space="0" w:color="auto"/>
              <w:left w:val="single" w:sz="6" w:space="0" w:color="auto"/>
              <w:bottom w:val="single" w:sz="6" w:space="0" w:color="auto"/>
              <w:right w:val="single" w:sz="6" w:space="0" w:color="auto"/>
            </w:tcBorders>
          </w:tcPr>
          <w:p w14:paraId="4255B54B" w14:textId="77777777" w:rsidR="00286F7D" w:rsidRPr="00286F7D" w:rsidRDefault="00286F7D" w:rsidP="00286F7D">
            <w:pPr>
              <w:pStyle w:val="Texttabulky"/>
              <w:spacing w:after="0"/>
              <w:jc w:val="right"/>
              <w:rPr>
                <w:rFonts w:cs="Arial"/>
              </w:rPr>
            </w:pPr>
            <w:r w:rsidRPr="00286F7D">
              <w:rPr>
                <w:rFonts w:cs="Arial"/>
                <w:b/>
                <w:bCs/>
              </w:rPr>
              <w:t>18 520</w:t>
            </w:r>
          </w:p>
        </w:tc>
        <w:tc>
          <w:tcPr>
            <w:tcW w:w="1011" w:type="dxa"/>
            <w:tcBorders>
              <w:top w:val="single" w:sz="6" w:space="0" w:color="auto"/>
              <w:left w:val="single" w:sz="6" w:space="0" w:color="auto"/>
              <w:bottom w:val="single" w:sz="6" w:space="0" w:color="auto"/>
              <w:right w:val="single" w:sz="6" w:space="0" w:color="auto"/>
            </w:tcBorders>
          </w:tcPr>
          <w:p w14:paraId="6D18E1D3" w14:textId="77777777" w:rsidR="00286F7D" w:rsidRPr="00286F7D" w:rsidRDefault="00286F7D" w:rsidP="00286F7D">
            <w:pPr>
              <w:pStyle w:val="Texttabulky"/>
              <w:spacing w:after="0"/>
              <w:rPr>
                <w:rFonts w:cs="Arial"/>
              </w:rPr>
            </w:pPr>
            <w:r w:rsidRPr="00286F7D">
              <w:rPr>
                <w:rFonts w:cs="Arial"/>
                <w:b/>
                <w:bCs/>
              </w:rPr>
              <w:t xml:space="preserve">     + 7040</w:t>
            </w:r>
          </w:p>
        </w:tc>
      </w:tr>
    </w:tbl>
    <w:p w14:paraId="7C0A39EE" w14:textId="77777777" w:rsidR="00286F7D" w:rsidRPr="00286F7D" w:rsidRDefault="00286F7D" w:rsidP="00286F7D">
      <w:pPr>
        <w:autoSpaceDE w:val="0"/>
        <w:autoSpaceDN w:val="0"/>
        <w:adjustRightInd w:val="0"/>
        <w:spacing w:before="120" w:line="288" w:lineRule="auto"/>
        <w:rPr>
          <w:rFonts w:ascii="Arial" w:hAnsi="Arial" w:cs="Arial"/>
          <w:sz w:val="20"/>
        </w:rPr>
      </w:pPr>
    </w:p>
    <w:p w14:paraId="2F5D5E77" w14:textId="77777777" w:rsidR="00286F7D" w:rsidRPr="00286F7D" w:rsidRDefault="00286F7D" w:rsidP="00286F7D">
      <w:pPr>
        <w:autoSpaceDE w:val="0"/>
        <w:autoSpaceDN w:val="0"/>
        <w:adjustRightInd w:val="0"/>
        <w:spacing w:before="120" w:line="288" w:lineRule="auto"/>
        <w:rPr>
          <w:rFonts w:ascii="Arial" w:hAnsi="Arial" w:cs="Arial"/>
          <w:b/>
          <w:bCs/>
          <w:sz w:val="32"/>
          <w:szCs w:val="32"/>
        </w:rPr>
      </w:pPr>
      <w:r w:rsidRPr="00286F7D">
        <w:rPr>
          <w:rFonts w:ascii="Arial" w:hAnsi="Arial" w:cs="Arial"/>
          <w:b/>
          <w:bCs/>
          <w:sz w:val="32"/>
          <w:szCs w:val="32"/>
        </w:rPr>
        <w:t>O6. KOMPLEXNÍ REKAPITULACE UKRYTÍ NA ÚZEMÍ MĚSTA</w:t>
      </w:r>
    </w:p>
    <w:p w14:paraId="2BFDD093"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Na základě provedených rozborů a bilancí ve sledovaných oblastech (urbanistické obvody a městské sektory) města jsou zřejmé jednak kapacitní rezervy v ukrytí trvale bydlících obyvatel (rezerva 15 286 míst) a ukrytí pracovníků v podnicích, organizacích a firmách (rezerva 7 040 míst) a min. rezerva v ukrytí žáků a studentů (38 míst). Z pohledu města jako celku, současná kapacita ukrytí nejen, že pokrývá současné požadavky, ale představuje i kapacitní rezervu 22 364 míst.</w:t>
      </w:r>
    </w:p>
    <w:p w14:paraId="43376CF8"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V mnoha případech však nelze deficity kompenzovat rezervami, neboť není dost dobře možné zajistit organizačně a s ohledem i na doběhové vzdálenosti (300 m nebo 5 minut chůze) využitelnost úkrytu pro jinou skupinu, než pro kterou je funkčně i lokalizačně vymezen.</w:t>
      </w:r>
    </w:p>
    <w:p w14:paraId="405C5091" w14:textId="77777777" w:rsidR="00286F7D" w:rsidRPr="00286F7D" w:rsidRDefault="00286F7D" w:rsidP="00286F7D">
      <w:pPr>
        <w:pStyle w:val="Zkladntext"/>
        <w:spacing w:before="120" w:line="288" w:lineRule="auto"/>
        <w:jc w:val="both"/>
        <w:rPr>
          <w:rFonts w:ascii="Arial" w:hAnsi="Arial" w:cs="Arial"/>
          <w:sz w:val="22"/>
          <w:szCs w:val="22"/>
        </w:rPr>
      </w:pPr>
      <w:r w:rsidRPr="00286F7D">
        <w:rPr>
          <w:rFonts w:ascii="Arial" w:hAnsi="Arial" w:cs="Arial"/>
          <w:b/>
          <w:bCs/>
          <w:caps/>
          <w:sz w:val="22"/>
          <w:szCs w:val="22"/>
        </w:rPr>
        <w:t>Závěry a doporučení v ukrytí trvale bydlícího obyvatelstva:</w:t>
      </w:r>
      <w:r w:rsidRPr="00286F7D">
        <w:rPr>
          <w:rFonts w:ascii="Arial" w:hAnsi="Arial" w:cs="Arial"/>
          <w:caps/>
          <w:sz w:val="22"/>
          <w:szCs w:val="22"/>
        </w:rPr>
        <w:t xml:space="preserve"> </w:t>
      </w:r>
    </w:p>
    <w:p w14:paraId="308BA8C9"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problematiku ukrytí s ohledem na vyhovující současný stav i výhledové nároky není nutno řešit v UO č. 1, 2, 3, 5, 6, 8, 10, 11, 12, 13, 16, 17, 18, 19, 20, 21, 22, 23, 24, 28, 30, 31, 32, 34, 35, 36, 37, 38, 39, 40, 41, 42, 43, 48, 51, 57, 67 a 68;</w:t>
      </w:r>
    </w:p>
    <w:p w14:paraId="78D70640"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problematiku ukrytí s ohledem na malé deficity, lze individuálním způsobem řešit v lokalitách s převahou rodinných domů (individuelní bydlení), jedná se o UO č. 7, 9, 14, 15, 25, 26, 27, 29, 33, 44, 47, 49, 53, 54, 55, 56, 58, 64, 65 a 66;</w:t>
      </w:r>
    </w:p>
    <w:p w14:paraId="6C17C048"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zásadním způsobem je nutno problematiku ukrytí řešit v rámci nové výstavby "kolektivního bydlení" v UO č. 4 NEMOCNICE (-335) a č. 52 BOLETICE n. L. (- 628).</w:t>
      </w:r>
    </w:p>
    <w:p w14:paraId="66386DE2" w14:textId="77777777" w:rsidR="00286F7D" w:rsidRPr="00286F7D" w:rsidRDefault="00286F7D" w:rsidP="00286F7D">
      <w:pPr>
        <w:pStyle w:val="Zkladntext"/>
        <w:spacing w:before="120" w:line="288" w:lineRule="auto"/>
        <w:jc w:val="both"/>
        <w:rPr>
          <w:rFonts w:ascii="Arial" w:hAnsi="Arial" w:cs="Arial"/>
          <w:sz w:val="22"/>
          <w:szCs w:val="22"/>
        </w:rPr>
      </w:pPr>
      <w:r w:rsidRPr="00286F7D">
        <w:rPr>
          <w:rFonts w:ascii="Arial" w:hAnsi="Arial" w:cs="Arial"/>
          <w:b/>
          <w:bCs/>
          <w:caps/>
          <w:sz w:val="22"/>
          <w:szCs w:val="22"/>
        </w:rPr>
        <w:t>Závěry a doporučení v ukrytí zařízení škol:</w:t>
      </w:r>
    </w:p>
    <w:p w14:paraId="1DDC6E51"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lastRenderedPageBreak/>
        <w:t xml:space="preserve">problematiku ukrytí lze "kompromisním způsobem" (využití rezerv v ostatních úkrytech) řešit v UO č. 1 DĚČÍN STŘED (-279), č. 6 U NEMOCNICE (-450), č. 12 STARÉ MĚSTO </w:t>
      </w:r>
      <w:r w:rsidRPr="00286F7D">
        <w:rPr>
          <w:rFonts w:cs="Arial"/>
          <w:sz w:val="22"/>
          <w:szCs w:val="22"/>
        </w:rPr>
        <w:br/>
        <w:t>(-208), č. 19 HLAVNÍ NÁDRAŽÍ (-250), č. 20 ŽELENICE (-213), č. 23 PODMOKLY (-157);</w:t>
      </w:r>
    </w:p>
    <w:p w14:paraId="2C80CC87"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zásadním způsobem je nutno problematiku ukrytí řešit v UO č.  48 BŘEZINY (-326) a č. 52 BOLETICE n. L. (-570).</w:t>
      </w:r>
    </w:p>
    <w:p w14:paraId="64332C3C" w14:textId="77777777" w:rsidR="00286F7D" w:rsidRPr="00286F7D" w:rsidRDefault="00286F7D" w:rsidP="00286F7D">
      <w:pPr>
        <w:pStyle w:val="Zkladntext"/>
        <w:spacing w:before="120" w:line="288" w:lineRule="auto"/>
        <w:jc w:val="both"/>
        <w:rPr>
          <w:rFonts w:ascii="Arial" w:hAnsi="Arial" w:cs="Arial"/>
          <w:sz w:val="22"/>
          <w:szCs w:val="22"/>
        </w:rPr>
      </w:pPr>
      <w:r w:rsidRPr="00286F7D">
        <w:rPr>
          <w:rFonts w:ascii="Arial" w:hAnsi="Arial" w:cs="Arial"/>
          <w:b/>
          <w:bCs/>
          <w:caps/>
          <w:sz w:val="22"/>
          <w:szCs w:val="22"/>
        </w:rPr>
        <w:t>Závěry a doporučení v ukrytí pracovníků podniků a firem:</w:t>
      </w:r>
    </w:p>
    <w:p w14:paraId="1A34E7CB"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problematiku ukrytí s ohledem na vyhovující stav i výhledové nároky není nutno řešit v UO č. 1, 2, 3, 4, 6, 7, 10, 12, 14, 15, 17, 18, 19, 21, 22, 23, 24, 25, 26, 28, 29, 31, 32, 33, 34, 35, 36, 37, 38, 39, 40, 41, 42, 43, 44,47, 48, 49, 51, 52, 53, 54, 55, 56, 57, 58, 64, 65, 66 a 68</w:t>
      </w:r>
    </w:p>
    <w:p w14:paraId="7AAD2318"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individuálním způsobem je možno řešit malé deficity v UO č. 5, 8, 9, 20 a 27</w:t>
      </w:r>
    </w:p>
    <w:p w14:paraId="5F285371" w14:textId="77777777" w:rsidR="00286F7D" w:rsidRPr="00286F7D" w:rsidRDefault="00286F7D" w:rsidP="00F32769">
      <w:pPr>
        <w:pStyle w:val="Znaka1"/>
        <w:numPr>
          <w:ilvl w:val="0"/>
          <w:numId w:val="116"/>
        </w:numPr>
        <w:spacing w:before="120" w:line="288" w:lineRule="auto"/>
        <w:ind w:left="426"/>
        <w:jc w:val="both"/>
        <w:rPr>
          <w:rFonts w:cs="Arial"/>
          <w:sz w:val="22"/>
          <w:szCs w:val="22"/>
        </w:rPr>
      </w:pPr>
      <w:r w:rsidRPr="00286F7D">
        <w:rPr>
          <w:rFonts w:cs="Arial"/>
          <w:sz w:val="22"/>
          <w:szCs w:val="22"/>
        </w:rPr>
        <w:t>zásadním způsobem je nutno problematiku ukrytí řešit v UO č. 11 U KOUPALIŠTĚ (-120), č. 13 U PLOUČNICE (-439), č. 16 VILSNICE (-265), č. 30 DOLNÍ OLDŘICHOV (-230) a č. 67 LABSKÁ NIVA (-300)</w:t>
      </w:r>
    </w:p>
    <w:p w14:paraId="2915FC7B" w14:textId="77777777" w:rsidR="00286F7D" w:rsidRPr="00286F7D" w:rsidRDefault="00286F7D" w:rsidP="00286F7D">
      <w:pPr>
        <w:pStyle w:val="Zkladntext"/>
        <w:spacing w:before="120" w:line="288" w:lineRule="auto"/>
        <w:jc w:val="both"/>
        <w:rPr>
          <w:rFonts w:ascii="Arial" w:hAnsi="Arial" w:cs="Arial"/>
          <w:sz w:val="22"/>
          <w:szCs w:val="22"/>
        </w:rPr>
      </w:pPr>
    </w:p>
    <w:p w14:paraId="4B83B9C6" w14:textId="77777777" w:rsidR="00286F7D" w:rsidRPr="00286F7D" w:rsidRDefault="00286F7D" w:rsidP="00286F7D">
      <w:pPr>
        <w:pStyle w:val="Zkladntext"/>
        <w:spacing w:before="120" w:line="288" w:lineRule="auto"/>
        <w:jc w:val="both"/>
        <w:rPr>
          <w:rFonts w:ascii="Arial" w:hAnsi="Arial" w:cs="Arial"/>
          <w:b/>
          <w:bCs/>
          <w:sz w:val="22"/>
          <w:szCs w:val="22"/>
        </w:rPr>
      </w:pPr>
      <w:r w:rsidRPr="00286F7D">
        <w:rPr>
          <w:rFonts w:ascii="Arial" w:hAnsi="Arial" w:cs="Arial"/>
          <w:b/>
          <w:bCs/>
          <w:sz w:val="22"/>
          <w:szCs w:val="22"/>
        </w:rPr>
        <w:t>KOMPLEXNÍ ROZBOR UKRYTÍ ZA MĚSTO</w:t>
      </w:r>
    </w:p>
    <w:p w14:paraId="177AB886" w14:textId="77777777" w:rsidR="00286F7D" w:rsidRPr="00286F7D" w:rsidRDefault="00286F7D" w:rsidP="00286F7D">
      <w:pPr>
        <w:pStyle w:val="Zkladntext"/>
        <w:spacing w:before="120" w:line="288" w:lineRule="auto"/>
        <w:jc w:val="both"/>
        <w:rPr>
          <w:rFonts w:ascii="Arial" w:hAnsi="Arial" w:cs="Arial"/>
          <w:b/>
          <w:bCs/>
          <w:sz w:val="22"/>
          <w:szCs w:val="22"/>
        </w:rPr>
      </w:pPr>
    </w:p>
    <w:p w14:paraId="5A05AD1E" w14:textId="77777777" w:rsidR="00286F7D" w:rsidRPr="00286F7D" w:rsidRDefault="00286F7D" w:rsidP="00286F7D">
      <w:pPr>
        <w:pStyle w:val="Zkladntext"/>
        <w:spacing w:before="120" w:line="288" w:lineRule="auto"/>
        <w:jc w:val="both"/>
        <w:rPr>
          <w:rFonts w:ascii="Arial" w:hAnsi="Arial" w:cs="Arial"/>
          <w:sz w:val="22"/>
          <w:szCs w:val="22"/>
        </w:rPr>
      </w:pPr>
      <w:r w:rsidRPr="00286F7D">
        <w:rPr>
          <w:rFonts w:ascii="Arial" w:hAnsi="Arial" w:cs="Arial"/>
          <w:b/>
          <w:bCs/>
          <w:sz w:val="22"/>
          <w:szCs w:val="22"/>
        </w:rPr>
        <w:t>REKAPITULACE STAVU UKRYTÍ PRÚ-BS a STOÚ</w:t>
      </w:r>
    </w:p>
    <w:tbl>
      <w:tblPr>
        <w:tblW w:w="0" w:type="auto"/>
        <w:tblInd w:w="43" w:type="dxa"/>
        <w:tblLayout w:type="fixed"/>
        <w:tblCellMar>
          <w:left w:w="43" w:type="dxa"/>
          <w:right w:w="43" w:type="dxa"/>
        </w:tblCellMar>
        <w:tblLook w:val="0000" w:firstRow="0" w:lastRow="0" w:firstColumn="0" w:lastColumn="0" w:noHBand="0" w:noVBand="0"/>
      </w:tblPr>
      <w:tblGrid>
        <w:gridCol w:w="426"/>
        <w:gridCol w:w="1984"/>
        <w:gridCol w:w="838"/>
        <w:gridCol w:w="856"/>
        <w:gridCol w:w="999"/>
        <w:gridCol w:w="993"/>
        <w:gridCol w:w="2428"/>
      </w:tblGrid>
      <w:tr w:rsidR="00286F7D" w:rsidRPr="00286F7D" w14:paraId="389470C4" w14:textId="77777777" w:rsidTr="00286F7D">
        <w:tc>
          <w:tcPr>
            <w:tcW w:w="426" w:type="dxa"/>
            <w:vMerge w:val="restart"/>
            <w:tcBorders>
              <w:top w:val="single" w:sz="6" w:space="0" w:color="auto"/>
              <w:left w:val="single" w:sz="6" w:space="0" w:color="auto"/>
              <w:right w:val="single" w:sz="6" w:space="0" w:color="auto"/>
            </w:tcBorders>
          </w:tcPr>
          <w:p w14:paraId="26CF39D5" w14:textId="77777777" w:rsidR="00286F7D" w:rsidRPr="00286F7D" w:rsidRDefault="00286F7D" w:rsidP="00286F7D">
            <w:pPr>
              <w:pStyle w:val="Texttabulky"/>
              <w:spacing w:after="0"/>
              <w:rPr>
                <w:rFonts w:cs="Arial"/>
              </w:rPr>
            </w:pPr>
            <w:r w:rsidRPr="00286F7D">
              <w:rPr>
                <w:rFonts w:cs="Arial"/>
                <w:b/>
                <w:bCs/>
              </w:rPr>
              <w:t>UO</w:t>
            </w:r>
          </w:p>
        </w:tc>
        <w:tc>
          <w:tcPr>
            <w:tcW w:w="1984" w:type="dxa"/>
            <w:vMerge w:val="restart"/>
            <w:tcBorders>
              <w:top w:val="single" w:sz="6" w:space="0" w:color="auto"/>
              <w:left w:val="single" w:sz="6" w:space="0" w:color="auto"/>
              <w:right w:val="single" w:sz="6" w:space="0" w:color="auto"/>
            </w:tcBorders>
          </w:tcPr>
          <w:p w14:paraId="76EA635D" w14:textId="77777777" w:rsidR="00286F7D" w:rsidRPr="00286F7D" w:rsidRDefault="00286F7D" w:rsidP="00286F7D">
            <w:pPr>
              <w:pStyle w:val="Texttabulky"/>
              <w:spacing w:after="0"/>
              <w:rPr>
                <w:rFonts w:cs="Arial"/>
              </w:rPr>
            </w:pPr>
            <w:r w:rsidRPr="00286F7D">
              <w:rPr>
                <w:rFonts w:cs="Arial"/>
                <w:b/>
                <w:bCs/>
              </w:rPr>
              <w:t xml:space="preserve">    název</w:t>
            </w:r>
          </w:p>
        </w:tc>
        <w:tc>
          <w:tcPr>
            <w:tcW w:w="2693" w:type="dxa"/>
            <w:gridSpan w:val="3"/>
            <w:tcBorders>
              <w:top w:val="single" w:sz="6" w:space="0" w:color="auto"/>
              <w:left w:val="single" w:sz="6" w:space="0" w:color="auto"/>
              <w:bottom w:val="single" w:sz="6" w:space="0" w:color="auto"/>
              <w:right w:val="single" w:sz="6" w:space="0" w:color="auto"/>
            </w:tcBorders>
          </w:tcPr>
          <w:p w14:paraId="18F2CF76" w14:textId="77777777" w:rsidR="00286F7D" w:rsidRPr="00286F7D" w:rsidRDefault="00286F7D" w:rsidP="00286F7D">
            <w:pPr>
              <w:pStyle w:val="Zkladntext"/>
              <w:spacing w:after="0"/>
              <w:rPr>
                <w:rFonts w:ascii="Arial" w:hAnsi="Arial" w:cs="Arial"/>
              </w:rPr>
            </w:pPr>
            <w:r w:rsidRPr="00286F7D">
              <w:rPr>
                <w:rFonts w:ascii="Arial" w:hAnsi="Arial" w:cs="Arial"/>
                <w:b/>
                <w:bCs/>
              </w:rPr>
              <w:t>stávající kapacita ukrytí</w:t>
            </w:r>
          </w:p>
        </w:tc>
        <w:tc>
          <w:tcPr>
            <w:tcW w:w="993" w:type="dxa"/>
            <w:vMerge w:val="restart"/>
            <w:tcBorders>
              <w:top w:val="single" w:sz="6" w:space="0" w:color="auto"/>
              <w:left w:val="single" w:sz="6" w:space="0" w:color="auto"/>
              <w:right w:val="single" w:sz="6" w:space="0" w:color="auto"/>
            </w:tcBorders>
          </w:tcPr>
          <w:p w14:paraId="360DB244" w14:textId="77777777" w:rsidR="00286F7D" w:rsidRPr="00286F7D" w:rsidRDefault="00286F7D" w:rsidP="00286F7D">
            <w:pPr>
              <w:pStyle w:val="Texttabulky"/>
              <w:spacing w:after="0"/>
              <w:rPr>
                <w:rFonts w:cs="Arial"/>
              </w:rPr>
            </w:pPr>
            <w:r w:rsidRPr="00286F7D">
              <w:rPr>
                <w:rFonts w:cs="Arial"/>
                <w:b/>
                <w:bCs/>
              </w:rPr>
              <w:t>CELKEM</w:t>
            </w:r>
          </w:p>
        </w:tc>
        <w:tc>
          <w:tcPr>
            <w:tcW w:w="2428" w:type="dxa"/>
            <w:vMerge w:val="restart"/>
            <w:tcBorders>
              <w:top w:val="single" w:sz="6" w:space="0" w:color="auto"/>
              <w:left w:val="single" w:sz="6" w:space="0" w:color="auto"/>
              <w:right w:val="single" w:sz="6" w:space="0" w:color="auto"/>
            </w:tcBorders>
          </w:tcPr>
          <w:p w14:paraId="467CB0B9" w14:textId="77777777" w:rsidR="00286F7D" w:rsidRPr="00286F7D" w:rsidRDefault="00286F7D" w:rsidP="00286F7D">
            <w:pPr>
              <w:pStyle w:val="Texttabulky"/>
              <w:spacing w:after="0"/>
              <w:rPr>
                <w:rFonts w:cs="Arial"/>
              </w:rPr>
            </w:pPr>
            <w:r w:rsidRPr="00286F7D">
              <w:rPr>
                <w:rFonts w:cs="Arial"/>
              </w:rPr>
              <w:t xml:space="preserve">     </w:t>
            </w:r>
            <w:r w:rsidRPr="00286F7D">
              <w:rPr>
                <w:rFonts w:cs="Arial"/>
                <w:b/>
                <w:bCs/>
              </w:rPr>
              <w:t>návrh řešení</w:t>
            </w:r>
          </w:p>
        </w:tc>
      </w:tr>
      <w:tr w:rsidR="00286F7D" w:rsidRPr="00286F7D" w14:paraId="1CA7282D" w14:textId="77777777" w:rsidTr="00286F7D">
        <w:tc>
          <w:tcPr>
            <w:tcW w:w="426" w:type="dxa"/>
            <w:vMerge/>
            <w:tcBorders>
              <w:left w:val="single" w:sz="6" w:space="0" w:color="auto"/>
              <w:bottom w:val="single" w:sz="6" w:space="0" w:color="auto"/>
              <w:right w:val="single" w:sz="6" w:space="0" w:color="auto"/>
            </w:tcBorders>
          </w:tcPr>
          <w:p w14:paraId="31B6D497" w14:textId="77777777" w:rsidR="00286F7D" w:rsidRPr="00286F7D" w:rsidRDefault="00286F7D" w:rsidP="00286F7D">
            <w:pPr>
              <w:pStyle w:val="Zkladntext"/>
              <w:spacing w:after="0"/>
              <w:rPr>
                <w:rFonts w:ascii="Arial" w:hAnsi="Arial" w:cs="Arial"/>
              </w:rPr>
            </w:pPr>
          </w:p>
        </w:tc>
        <w:tc>
          <w:tcPr>
            <w:tcW w:w="1984" w:type="dxa"/>
            <w:vMerge/>
            <w:tcBorders>
              <w:left w:val="single" w:sz="6" w:space="0" w:color="auto"/>
              <w:bottom w:val="single" w:sz="6" w:space="0" w:color="auto"/>
              <w:right w:val="single" w:sz="6" w:space="0" w:color="auto"/>
            </w:tcBorders>
          </w:tcPr>
          <w:p w14:paraId="4E065FF9" w14:textId="77777777" w:rsidR="00286F7D" w:rsidRPr="00286F7D" w:rsidRDefault="00286F7D" w:rsidP="00286F7D">
            <w:pPr>
              <w:pStyle w:val="Zkladntext"/>
              <w:spacing w:after="0"/>
              <w:rPr>
                <w:rFonts w:ascii="Arial" w:hAnsi="Arial" w:cs="Arial"/>
              </w:rPr>
            </w:pPr>
          </w:p>
        </w:tc>
        <w:tc>
          <w:tcPr>
            <w:tcW w:w="838" w:type="dxa"/>
            <w:tcBorders>
              <w:top w:val="single" w:sz="6" w:space="0" w:color="auto"/>
              <w:left w:val="single" w:sz="6" w:space="0" w:color="auto"/>
              <w:bottom w:val="single" w:sz="6" w:space="0" w:color="auto"/>
              <w:right w:val="single" w:sz="6" w:space="0" w:color="auto"/>
            </w:tcBorders>
          </w:tcPr>
          <w:p w14:paraId="659CB95C" w14:textId="77777777" w:rsidR="00286F7D" w:rsidRPr="00286F7D" w:rsidRDefault="00286F7D" w:rsidP="00286F7D">
            <w:pPr>
              <w:pStyle w:val="Texttabulky"/>
              <w:spacing w:after="0"/>
              <w:rPr>
                <w:rFonts w:cs="Arial"/>
              </w:rPr>
            </w:pPr>
            <w:r w:rsidRPr="00286F7D">
              <w:rPr>
                <w:rFonts w:cs="Arial"/>
                <w:b/>
                <w:bCs/>
              </w:rPr>
              <w:t>obyvatelé</w:t>
            </w:r>
          </w:p>
        </w:tc>
        <w:tc>
          <w:tcPr>
            <w:tcW w:w="856" w:type="dxa"/>
            <w:tcBorders>
              <w:top w:val="single" w:sz="6" w:space="0" w:color="auto"/>
              <w:left w:val="single" w:sz="6" w:space="0" w:color="auto"/>
              <w:bottom w:val="single" w:sz="6" w:space="0" w:color="auto"/>
              <w:right w:val="single" w:sz="6" w:space="0" w:color="auto"/>
            </w:tcBorders>
          </w:tcPr>
          <w:p w14:paraId="487FD976" w14:textId="77777777" w:rsidR="00286F7D" w:rsidRPr="00286F7D" w:rsidRDefault="00286F7D" w:rsidP="00286F7D">
            <w:pPr>
              <w:pStyle w:val="Texttabulky"/>
              <w:spacing w:after="0"/>
              <w:rPr>
                <w:rFonts w:cs="Arial"/>
              </w:rPr>
            </w:pPr>
            <w:r w:rsidRPr="00286F7D">
              <w:rPr>
                <w:rFonts w:cs="Arial"/>
                <w:b/>
                <w:bCs/>
              </w:rPr>
              <w:t>školy</w:t>
            </w:r>
          </w:p>
        </w:tc>
        <w:tc>
          <w:tcPr>
            <w:tcW w:w="999" w:type="dxa"/>
            <w:tcBorders>
              <w:top w:val="single" w:sz="6" w:space="0" w:color="auto"/>
              <w:left w:val="single" w:sz="6" w:space="0" w:color="auto"/>
              <w:bottom w:val="single" w:sz="6" w:space="0" w:color="auto"/>
              <w:right w:val="single" w:sz="6" w:space="0" w:color="auto"/>
            </w:tcBorders>
          </w:tcPr>
          <w:p w14:paraId="6BC651F1" w14:textId="77777777" w:rsidR="00286F7D" w:rsidRPr="00286F7D" w:rsidRDefault="00286F7D" w:rsidP="00286F7D">
            <w:pPr>
              <w:pStyle w:val="Texttabulky"/>
              <w:spacing w:after="0"/>
              <w:rPr>
                <w:rFonts w:cs="Arial"/>
              </w:rPr>
            </w:pPr>
            <w:r w:rsidRPr="00286F7D">
              <w:rPr>
                <w:rFonts w:cs="Arial"/>
                <w:b/>
                <w:bCs/>
              </w:rPr>
              <w:t>firmy</w:t>
            </w:r>
          </w:p>
        </w:tc>
        <w:tc>
          <w:tcPr>
            <w:tcW w:w="993" w:type="dxa"/>
            <w:vMerge/>
            <w:tcBorders>
              <w:left w:val="single" w:sz="6" w:space="0" w:color="auto"/>
              <w:bottom w:val="single" w:sz="6" w:space="0" w:color="auto"/>
              <w:right w:val="single" w:sz="6" w:space="0" w:color="auto"/>
            </w:tcBorders>
          </w:tcPr>
          <w:p w14:paraId="32426EBB" w14:textId="77777777" w:rsidR="00286F7D" w:rsidRPr="00286F7D" w:rsidRDefault="00286F7D" w:rsidP="00286F7D">
            <w:pPr>
              <w:pStyle w:val="Zkladntext"/>
              <w:spacing w:after="0"/>
              <w:rPr>
                <w:rFonts w:ascii="Arial" w:hAnsi="Arial" w:cs="Arial"/>
              </w:rPr>
            </w:pPr>
          </w:p>
        </w:tc>
        <w:tc>
          <w:tcPr>
            <w:tcW w:w="2428" w:type="dxa"/>
            <w:vMerge/>
            <w:tcBorders>
              <w:left w:val="single" w:sz="6" w:space="0" w:color="auto"/>
              <w:bottom w:val="single" w:sz="6" w:space="0" w:color="auto"/>
              <w:right w:val="single" w:sz="6" w:space="0" w:color="auto"/>
            </w:tcBorders>
          </w:tcPr>
          <w:p w14:paraId="399ED03B" w14:textId="77777777" w:rsidR="00286F7D" w:rsidRPr="00286F7D" w:rsidRDefault="00286F7D" w:rsidP="00286F7D">
            <w:pPr>
              <w:pStyle w:val="Zkladntext"/>
              <w:spacing w:after="0"/>
              <w:rPr>
                <w:rFonts w:ascii="Arial" w:hAnsi="Arial" w:cs="Arial"/>
              </w:rPr>
            </w:pPr>
          </w:p>
        </w:tc>
      </w:tr>
      <w:tr w:rsidR="00286F7D" w:rsidRPr="00286F7D" w14:paraId="4A599537" w14:textId="77777777" w:rsidTr="00286F7D">
        <w:tc>
          <w:tcPr>
            <w:tcW w:w="426" w:type="dxa"/>
            <w:tcBorders>
              <w:top w:val="single" w:sz="6" w:space="0" w:color="auto"/>
              <w:left w:val="single" w:sz="6" w:space="0" w:color="auto"/>
              <w:bottom w:val="single" w:sz="6" w:space="0" w:color="auto"/>
              <w:right w:val="single" w:sz="6" w:space="0" w:color="auto"/>
            </w:tcBorders>
          </w:tcPr>
          <w:p w14:paraId="53BCF76D" w14:textId="77777777" w:rsidR="00286F7D" w:rsidRPr="00286F7D" w:rsidRDefault="00286F7D" w:rsidP="00286F7D">
            <w:pPr>
              <w:pStyle w:val="Texttabulky"/>
              <w:spacing w:after="0"/>
              <w:jc w:val="right"/>
              <w:rPr>
                <w:rFonts w:cs="Arial"/>
              </w:rPr>
            </w:pPr>
            <w:r w:rsidRPr="00286F7D">
              <w:rPr>
                <w:rFonts w:cs="Arial"/>
              </w:rPr>
              <w:t>1</w:t>
            </w:r>
          </w:p>
        </w:tc>
        <w:tc>
          <w:tcPr>
            <w:tcW w:w="1984" w:type="dxa"/>
            <w:tcBorders>
              <w:top w:val="single" w:sz="6" w:space="0" w:color="auto"/>
              <w:left w:val="single" w:sz="6" w:space="0" w:color="auto"/>
              <w:bottom w:val="single" w:sz="6" w:space="0" w:color="auto"/>
              <w:right w:val="single" w:sz="6" w:space="0" w:color="auto"/>
            </w:tcBorders>
          </w:tcPr>
          <w:p w14:paraId="136CE977" w14:textId="77777777" w:rsidR="00286F7D" w:rsidRPr="00286F7D" w:rsidRDefault="00286F7D" w:rsidP="00286F7D">
            <w:pPr>
              <w:pStyle w:val="Texttabulky"/>
              <w:spacing w:after="0"/>
              <w:rPr>
                <w:rFonts w:cs="Arial"/>
              </w:rPr>
            </w:pPr>
            <w:r w:rsidRPr="00286F7D">
              <w:rPr>
                <w:rFonts w:cs="Arial"/>
              </w:rPr>
              <w:t>Děčín střed</w:t>
            </w:r>
          </w:p>
        </w:tc>
        <w:tc>
          <w:tcPr>
            <w:tcW w:w="838" w:type="dxa"/>
            <w:tcBorders>
              <w:top w:val="single" w:sz="6" w:space="0" w:color="auto"/>
              <w:left w:val="single" w:sz="6" w:space="0" w:color="auto"/>
              <w:bottom w:val="single" w:sz="6" w:space="0" w:color="auto"/>
              <w:right w:val="single" w:sz="6" w:space="0" w:color="auto"/>
            </w:tcBorders>
          </w:tcPr>
          <w:p w14:paraId="54453E0A" w14:textId="77777777" w:rsidR="00286F7D" w:rsidRPr="00286F7D" w:rsidRDefault="00286F7D" w:rsidP="00286F7D">
            <w:pPr>
              <w:pStyle w:val="Texttabulky"/>
              <w:spacing w:after="0"/>
              <w:rPr>
                <w:rFonts w:cs="Arial"/>
              </w:rPr>
            </w:pPr>
            <w:r w:rsidRPr="00286F7D">
              <w:rPr>
                <w:rFonts w:cs="Arial"/>
              </w:rPr>
              <w:t>1 304</w:t>
            </w:r>
          </w:p>
        </w:tc>
        <w:tc>
          <w:tcPr>
            <w:tcW w:w="856" w:type="dxa"/>
            <w:tcBorders>
              <w:top w:val="single" w:sz="6" w:space="0" w:color="auto"/>
              <w:left w:val="single" w:sz="6" w:space="0" w:color="auto"/>
              <w:bottom w:val="single" w:sz="6" w:space="0" w:color="auto"/>
              <w:right w:val="single" w:sz="6" w:space="0" w:color="auto"/>
            </w:tcBorders>
          </w:tcPr>
          <w:p w14:paraId="7F69EE3B" w14:textId="77777777" w:rsidR="00286F7D" w:rsidRPr="00286F7D" w:rsidRDefault="00286F7D" w:rsidP="00286F7D">
            <w:pPr>
              <w:pStyle w:val="Texttabulky"/>
              <w:spacing w:after="0"/>
              <w:rPr>
                <w:rFonts w:cs="Arial"/>
              </w:rPr>
            </w:pPr>
            <w:r w:rsidRPr="00286F7D">
              <w:rPr>
                <w:rFonts w:cs="Arial"/>
              </w:rPr>
              <w:t>-279</w:t>
            </w:r>
          </w:p>
        </w:tc>
        <w:tc>
          <w:tcPr>
            <w:tcW w:w="999" w:type="dxa"/>
            <w:tcBorders>
              <w:top w:val="single" w:sz="6" w:space="0" w:color="auto"/>
              <w:left w:val="single" w:sz="6" w:space="0" w:color="auto"/>
              <w:bottom w:val="single" w:sz="6" w:space="0" w:color="auto"/>
              <w:right w:val="single" w:sz="6" w:space="0" w:color="auto"/>
            </w:tcBorders>
          </w:tcPr>
          <w:p w14:paraId="1DE53D27" w14:textId="77777777" w:rsidR="00286F7D" w:rsidRPr="00286F7D" w:rsidRDefault="00286F7D" w:rsidP="00286F7D">
            <w:pPr>
              <w:pStyle w:val="Texttabulky"/>
              <w:spacing w:after="0"/>
              <w:rPr>
                <w:rFonts w:cs="Arial"/>
              </w:rPr>
            </w:pPr>
            <w:r w:rsidRPr="00286F7D">
              <w:rPr>
                <w:rFonts w:cs="Arial"/>
              </w:rPr>
              <w:t>1 446</w:t>
            </w:r>
          </w:p>
        </w:tc>
        <w:tc>
          <w:tcPr>
            <w:tcW w:w="993" w:type="dxa"/>
            <w:tcBorders>
              <w:top w:val="single" w:sz="6" w:space="0" w:color="auto"/>
              <w:left w:val="single" w:sz="6" w:space="0" w:color="auto"/>
              <w:bottom w:val="single" w:sz="6" w:space="0" w:color="auto"/>
              <w:right w:val="single" w:sz="6" w:space="0" w:color="auto"/>
            </w:tcBorders>
          </w:tcPr>
          <w:p w14:paraId="7E67D469" w14:textId="77777777" w:rsidR="00286F7D" w:rsidRPr="00286F7D" w:rsidRDefault="00286F7D" w:rsidP="00286F7D">
            <w:pPr>
              <w:pStyle w:val="Texttabulky"/>
              <w:spacing w:after="0"/>
              <w:rPr>
                <w:rFonts w:cs="Arial"/>
              </w:rPr>
            </w:pPr>
            <w:r w:rsidRPr="00286F7D">
              <w:rPr>
                <w:rFonts w:cs="Arial"/>
              </w:rPr>
              <w:t>2 471</w:t>
            </w:r>
          </w:p>
        </w:tc>
        <w:tc>
          <w:tcPr>
            <w:tcW w:w="2428" w:type="dxa"/>
            <w:tcBorders>
              <w:top w:val="single" w:sz="6" w:space="0" w:color="auto"/>
              <w:left w:val="single" w:sz="6" w:space="0" w:color="auto"/>
              <w:bottom w:val="single" w:sz="6" w:space="0" w:color="auto"/>
              <w:right w:val="single" w:sz="6" w:space="0" w:color="auto"/>
            </w:tcBorders>
          </w:tcPr>
          <w:p w14:paraId="704CB8C7" w14:textId="77777777" w:rsidR="00286F7D" w:rsidRPr="00286F7D" w:rsidRDefault="00286F7D" w:rsidP="00286F7D">
            <w:pPr>
              <w:pStyle w:val="Texttabulky"/>
              <w:spacing w:after="0"/>
              <w:rPr>
                <w:rFonts w:cs="Arial"/>
              </w:rPr>
            </w:pPr>
            <w:r w:rsidRPr="00286F7D">
              <w:rPr>
                <w:rFonts w:cs="Arial"/>
              </w:rPr>
              <w:t>nutno řešit</w:t>
            </w:r>
          </w:p>
        </w:tc>
      </w:tr>
      <w:tr w:rsidR="00286F7D" w:rsidRPr="00286F7D" w14:paraId="4371E4A3" w14:textId="77777777" w:rsidTr="00286F7D">
        <w:tc>
          <w:tcPr>
            <w:tcW w:w="426" w:type="dxa"/>
            <w:tcBorders>
              <w:top w:val="single" w:sz="6" w:space="0" w:color="auto"/>
              <w:left w:val="single" w:sz="6" w:space="0" w:color="auto"/>
              <w:bottom w:val="single" w:sz="6" w:space="0" w:color="auto"/>
              <w:right w:val="single" w:sz="6" w:space="0" w:color="auto"/>
            </w:tcBorders>
          </w:tcPr>
          <w:p w14:paraId="69BE409C" w14:textId="77777777" w:rsidR="00286F7D" w:rsidRPr="00286F7D" w:rsidRDefault="00286F7D" w:rsidP="00286F7D">
            <w:pPr>
              <w:pStyle w:val="Texttabulky"/>
              <w:spacing w:after="0"/>
              <w:jc w:val="right"/>
              <w:rPr>
                <w:rFonts w:cs="Arial"/>
              </w:rPr>
            </w:pPr>
            <w:r w:rsidRPr="00286F7D">
              <w:rPr>
                <w:rFonts w:cs="Arial"/>
              </w:rPr>
              <w:t>10</w:t>
            </w:r>
          </w:p>
        </w:tc>
        <w:tc>
          <w:tcPr>
            <w:tcW w:w="1984" w:type="dxa"/>
            <w:tcBorders>
              <w:top w:val="single" w:sz="6" w:space="0" w:color="auto"/>
              <w:left w:val="single" w:sz="6" w:space="0" w:color="auto"/>
              <w:bottom w:val="single" w:sz="6" w:space="0" w:color="auto"/>
              <w:right w:val="single" w:sz="6" w:space="0" w:color="auto"/>
            </w:tcBorders>
          </w:tcPr>
          <w:p w14:paraId="42C19483" w14:textId="77777777" w:rsidR="00286F7D" w:rsidRPr="00286F7D" w:rsidRDefault="00286F7D" w:rsidP="00286F7D">
            <w:pPr>
              <w:pStyle w:val="Texttabulky"/>
              <w:spacing w:after="0"/>
              <w:rPr>
                <w:rFonts w:cs="Arial"/>
              </w:rPr>
            </w:pPr>
            <w:r w:rsidRPr="00286F7D">
              <w:rPr>
                <w:rFonts w:cs="Arial"/>
              </w:rPr>
              <w:t>zámek</w:t>
            </w:r>
          </w:p>
        </w:tc>
        <w:tc>
          <w:tcPr>
            <w:tcW w:w="838" w:type="dxa"/>
            <w:tcBorders>
              <w:top w:val="single" w:sz="6" w:space="0" w:color="auto"/>
              <w:left w:val="single" w:sz="6" w:space="0" w:color="auto"/>
              <w:bottom w:val="single" w:sz="6" w:space="0" w:color="auto"/>
              <w:right w:val="single" w:sz="6" w:space="0" w:color="auto"/>
            </w:tcBorders>
          </w:tcPr>
          <w:p w14:paraId="176B3863" w14:textId="77777777" w:rsidR="00286F7D" w:rsidRPr="00286F7D" w:rsidRDefault="00286F7D" w:rsidP="00286F7D">
            <w:pPr>
              <w:pStyle w:val="Texttabulky"/>
              <w:spacing w:after="0"/>
              <w:rPr>
                <w:rFonts w:cs="Arial"/>
              </w:rPr>
            </w:pPr>
            <w:r w:rsidRPr="00286F7D">
              <w:rPr>
                <w:rFonts w:cs="Arial"/>
              </w:rPr>
              <w:t>146</w:t>
            </w:r>
          </w:p>
        </w:tc>
        <w:tc>
          <w:tcPr>
            <w:tcW w:w="856" w:type="dxa"/>
            <w:tcBorders>
              <w:top w:val="single" w:sz="6" w:space="0" w:color="auto"/>
              <w:left w:val="single" w:sz="6" w:space="0" w:color="auto"/>
              <w:bottom w:val="single" w:sz="6" w:space="0" w:color="auto"/>
              <w:right w:val="single" w:sz="6" w:space="0" w:color="auto"/>
            </w:tcBorders>
          </w:tcPr>
          <w:p w14:paraId="075EFCCB" w14:textId="77777777" w:rsidR="00286F7D" w:rsidRPr="00286F7D" w:rsidRDefault="00286F7D" w:rsidP="00286F7D">
            <w:pPr>
              <w:pStyle w:val="Texttabulky"/>
              <w:spacing w:after="0"/>
              <w:rPr>
                <w:rFonts w:cs="Arial"/>
              </w:rPr>
            </w:pPr>
            <w:r w:rsidRPr="00286F7D">
              <w:rPr>
                <w:rFonts w:cs="Arial"/>
              </w:rPr>
              <w:t>-90</w:t>
            </w:r>
          </w:p>
        </w:tc>
        <w:tc>
          <w:tcPr>
            <w:tcW w:w="999" w:type="dxa"/>
            <w:tcBorders>
              <w:top w:val="single" w:sz="6" w:space="0" w:color="auto"/>
              <w:left w:val="single" w:sz="6" w:space="0" w:color="auto"/>
              <w:bottom w:val="single" w:sz="6" w:space="0" w:color="auto"/>
              <w:right w:val="single" w:sz="6" w:space="0" w:color="auto"/>
            </w:tcBorders>
          </w:tcPr>
          <w:p w14:paraId="6214AE84" w14:textId="77777777" w:rsidR="00286F7D" w:rsidRPr="00286F7D" w:rsidRDefault="00286F7D" w:rsidP="00286F7D">
            <w:pPr>
              <w:pStyle w:val="Texttabulky"/>
              <w:spacing w:after="0"/>
              <w:rPr>
                <w:rFonts w:cs="Arial"/>
              </w:rPr>
            </w:pPr>
            <w:r w:rsidRPr="00286F7D">
              <w:rPr>
                <w:rFonts w:cs="Arial"/>
              </w:rPr>
              <w:t>374</w:t>
            </w:r>
          </w:p>
        </w:tc>
        <w:tc>
          <w:tcPr>
            <w:tcW w:w="993" w:type="dxa"/>
            <w:tcBorders>
              <w:top w:val="single" w:sz="6" w:space="0" w:color="auto"/>
              <w:left w:val="single" w:sz="6" w:space="0" w:color="auto"/>
              <w:bottom w:val="single" w:sz="6" w:space="0" w:color="auto"/>
              <w:right w:val="single" w:sz="6" w:space="0" w:color="auto"/>
            </w:tcBorders>
          </w:tcPr>
          <w:p w14:paraId="4E77F5B0" w14:textId="77777777" w:rsidR="00286F7D" w:rsidRPr="00286F7D" w:rsidRDefault="00286F7D" w:rsidP="00286F7D">
            <w:pPr>
              <w:pStyle w:val="Texttabulky"/>
              <w:spacing w:after="0"/>
              <w:rPr>
                <w:rFonts w:cs="Arial"/>
              </w:rPr>
            </w:pPr>
            <w:r w:rsidRPr="00286F7D">
              <w:rPr>
                <w:rFonts w:cs="Arial"/>
              </w:rPr>
              <w:t>430</w:t>
            </w:r>
          </w:p>
        </w:tc>
        <w:tc>
          <w:tcPr>
            <w:tcW w:w="2428" w:type="dxa"/>
            <w:tcBorders>
              <w:top w:val="single" w:sz="6" w:space="0" w:color="auto"/>
              <w:left w:val="single" w:sz="6" w:space="0" w:color="auto"/>
              <w:bottom w:val="single" w:sz="6" w:space="0" w:color="auto"/>
              <w:right w:val="single" w:sz="6" w:space="0" w:color="auto"/>
            </w:tcBorders>
          </w:tcPr>
          <w:p w14:paraId="6B1944D1"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243037A0" w14:textId="77777777" w:rsidTr="00286F7D">
        <w:tc>
          <w:tcPr>
            <w:tcW w:w="426" w:type="dxa"/>
            <w:tcBorders>
              <w:top w:val="single" w:sz="6" w:space="0" w:color="auto"/>
              <w:left w:val="single" w:sz="6" w:space="0" w:color="auto"/>
              <w:bottom w:val="single" w:sz="6" w:space="0" w:color="auto"/>
              <w:right w:val="single" w:sz="6" w:space="0" w:color="auto"/>
            </w:tcBorders>
          </w:tcPr>
          <w:p w14:paraId="035D0B79" w14:textId="77777777" w:rsidR="00286F7D" w:rsidRPr="00286F7D" w:rsidRDefault="00286F7D" w:rsidP="00286F7D">
            <w:pPr>
              <w:pStyle w:val="Texttabulky"/>
              <w:spacing w:after="0"/>
              <w:jc w:val="right"/>
              <w:rPr>
                <w:rFonts w:cs="Arial"/>
              </w:rPr>
            </w:pPr>
            <w:r w:rsidRPr="00286F7D">
              <w:rPr>
                <w:rFonts w:cs="Arial"/>
              </w:rPr>
              <w:t>11</w:t>
            </w:r>
          </w:p>
        </w:tc>
        <w:tc>
          <w:tcPr>
            <w:tcW w:w="1984" w:type="dxa"/>
            <w:tcBorders>
              <w:top w:val="single" w:sz="6" w:space="0" w:color="auto"/>
              <w:left w:val="single" w:sz="6" w:space="0" w:color="auto"/>
              <w:bottom w:val="single" w:sz="6" w:space="0" w:color="auto"/>
              <w:right w:val="single" w:sz="6" w:space="0" w:color="auto"/>
            </w:tcBorders>
          </w:tcPr>
          <w:p w14:paraId="238DD4A9" w14:textId="77777777" w:rsidR="00286F7D" w:rsidRPr="00286F7D" w:rsidRDefault="00286F7D" w:rsidP="00286F7D">
            <w:pPr>
              <w:pStyle w:val="Texttabulky"/>
              <w:spacing w:after="0"/>
              <w:rPr>
                <w:rFonts w:cs="Arial"/>
              </w:rPr>
            </w:pPr>
            <w:r w:rsidRPr="00286F7D">
              <w:rPr>
                <w:rFonts w:cs="Arial"/>
              </w:rPr>
              <w:t>U koupaliště</w:t>
            </w:r>
          </w:p>
        </w:tc>
        <w:tc>
          <w:tcPr>
            <w:tcW w:w="838" w:type="dxa"/>
            <w:tcBorders>
              <w:top w:val="single" w:sz="6" w:space="0" w:color="auto"/>
              <w:left w:val="single" w:sz="6" w:space="0" w:color="auto"/>
              <w:bottom w:val="single" w:sz="6" w:space="0" w:color="auto"/>
              <w:right w:val="single" w:sz="6" w:space="0" w:color="auto"/>
            </w:tcBorders>
          </w:tcPr>
          <w:p w14:paraId="1324179C" w14:textId="77777777" w:rsidR="00286F7D" w:rsidRPr="00286F7D" w:rsidRDefault="00286F7D" w:rsidP="00286F7D">
            <w:pPr>
              <w:pStyle w:val="Texttabulky"/>
              <w:spacing w:after="0"/>
              <w:rPr>
                <w:rFonts w:cs="Arial"/>
              </w:rPr>
            </w:pPr>
            <w:r w:rsidRPr="00286F7D">
              <w:rPr>
                <w:rFonts w:cs="Arial"/>
              </w:rPr>
              <w:t>71</w:t>
            </w:r>
          </w:p>
        </w:tc>
        <w:tc>
          <w:tcPr>
            <w:tcW w:w="856" w:type="dxa"/>
            <w:tcBorders>
              <w:top w:val="single" w:sz="6" w:space="0" w:color="auto"/>
              <w:left w:val="single" w:sz="6" w:space="0" w:color="auto"/>
              <w:bottom w:val="single" w:sz="6" w:space="0" w:color="auto"/>
              <w:right w:val="single" w:sz="6" w:space="0" w:color="auto"/>
            </w:tcBorders>
          </w:tcPr>
          <w:p w14:paraId="6AAA88B2"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2B4B0A61" w14:textId="77777777" w:rsidR="00286F7D" w:rsidRPr="00286F7D" w:rsidRDefault="00286F7D" w:rsidP="00286F7D">
            <w:pPr>
              <w:pStyle w:val="Texttabulky"/>
              <w:spacing w:after="0"/>
              <w:rPr>
                <w:rFonts w:cs="Arial"/>
              </w:rPr>
            </w:pPr>
            <w:r w:rsidRPr="00286F7D">
              <w:rPr>
                <w:rFonts w:cs="Arial"/>
              </w:rPr>
              <w:t>-120</w:t>
            </w:r>
          </w:p>
        </w:tc>
        <w:tc>
          <w:tcPr>
            <w:tcW w:w="993" w:type="dxa"/>
            <w:tcBorders>
              <w:top w:val="single" w:sz="6" w:space="0" w:color="auto"/>
              <w:left w:val="single" w:sz="6" w:space="0" w:color="auto"/>
              <w:bottom w:val="single" w:sz="6" w:space="0" w:color="auto"/>
              <w:right w:val="single" w:sz="6" w:space="0" w:color="auto"/>
            </w:tcBorders>
          </w:tcPr>
          <w:p w14:paraId="78D9EC6C" w14:textId="77777777" w:rsidR="00286F7D" w:rsidRPr="00286F7D" w:rsidRDefault="00286F7D" w:rsidP="00286F7D">
            <w:pPr>
              <w:pStyle w:val="Texttabulky"/>
              <w:spacing w:after="0"/>
              <w:rPr>
                <w:rFonts w:cs="Arial"/>
              </w:rPr>
            </w:pPr>
            <w:r w:rsidRPr="00286F7D">
              <w:rPr>
                <w:rFonts w:cs="Arial"/>
              </w:rPr>
              <w:t>-49</w:t>
            </w:r>
          </w:p>
        </w:tc>
        <w:tc>
          <w:tcPr>
            <w:tcW w:w="2428" w:type="dxa"/>
            <w:tcBorders>
              <w:top w:val="single" w:sz="6" w:space="0" w:color="auto"/>
              <w:left w:val="single" w:sz="6" w:space="0" w:color="auto"/>
              <w:bottom w:val="single" w:sz="6" w:space="0" w:color="auto"/>
              <w:right w:val="single" w:sz="6" w:space="0" w:color="auto"/>
            </w:tcBorders>
          </w:tcPr>
          <w:p w14:paraId="5B4FEC7C" w14:textId="77777777" w:rsidR="00286F7D" w:rsidRPr="00286F7D" w:rsidRDefault="00286F7D" w:rsidP="00286F7D">
            <w:pPr>
              <w:pStyle w:val="Texttabulky"/>
              <w:spacing w:after="0"/>
              <w:rPr>
                <w:rFonts w:cs="Arial"/>
              </w:rPr>
            </w:pPr>
            <w:r w:rsidRPr="00286F7D">
              <w:rPr>
                <w:rFonts w:cs="Arial"/>
              </w:rPr>
              <w:t>nutno řešit</w:t>
            </w:r>
          </w:p>
        </w:tc>
      </w:tr>
      <w:tr w:rsidR="00286F7D" w:rsidRPr="00286F7D" w14:paraId="75628D8D" w14:textId="77777777" w:rsidTr="00286F7D">
        <w:tc>
          <w:tcPr>
            <w:tcW w:w="426" w:type="dxa"/>
            <w:tcBorders>
              <w:top w:val="single" w:sz="6" w:space="0" w:color="auto"/>
              <w:left w:val="single" w:sz="6" w:space="0" w:color="auto"/>
              <w:bottom w:val="single" w:sz="6" w:space="0" w:color="auto"/>
              <w:right w:val="single" w:sz="6" w:space="0" w:color="auto"/>
            </w:tcBorders>
          </w:tcPr>
          <w:p w14:paraId="68D2C226" w14:textId="77777777" w:rsidR="00286F7D" w:rsidRPr="00286F7D" w:rsidRDefault="00286F7D" w:rsidP="00286F7D">
            <w:pPr>
              <w:pStyle w:val="Texttabulky"/>
              <w:spacing w:after="0"/>
              <w:rPr>
                <w:rFonts w:cs="Arial"/>
              </w:rPr>
            </w:pPr>
            <w:r w:rsidRPr="00286F7D">
              <w:rPr>
                <w:rFonts w:cs="Arial"/>
                <w:b/>
                <w:bCs/>
              </w:rPr>
              <w:t xml:space="preserve"> IA</w:t>
            </w:r>
          </w:p>
        </w:tc>
        <w:tc>
          <w:tcPr>
            <w:tcW w:w="1984" w:type="dxa"/>
            <w:tcBorders>
              <w:top w:val="single" w:sz="6" w:space="0" w:color="auto"/>
              <w:left w:val="single" w:sz="6" w:space="0" w:color="auto"/>
              <w:bottom w:val="single" w:sz="6" w:space="0" w:color="auto"/>
              <w:right w:val="single" w:sz="6" w:space="0" w:color="auto"/>
            </w:tcBorders>
          </w:tcPr>
          <w:p w14:paraId="786F2184" w14:textId="77777777" w:rsidR="00286F7D" w:rsidRPr="00286F7D" w:rsidRDefault="00286F7D" w:rsidP="00286F7D">
            <w:pPr>
              <w:pStyle w:val="Texttabulky"/>
              <w:spacing w:after="0"/>
              <w:rPr>
                <w:rFonts w:cs="Arial"/>
              </w:rPr>
            </w:pPr>
            <w:r w:rsidRPr="00286F7D">
              <w:rPr>
                <w:rFonts w:cs="Arial"/>
                <w:b/>
                <w:bCs/>
                <w:caps/>
              </w:rPr>
              <w:t>sektor celkem</w:t>
            </w:r>
          </w:p>
        </w:tc>
        <w:tc>
          <w:tcPr>
            <w:tcW w:w="838" w:type="dxa"/>
            <w:tcBorders>
              <w:top w:val="single" w:sz="6" w:space="0" w:color="auto"/>
              <w:left w:val="single" w:sz="6" w:space="0" w:color="auto"/>
              <w:bottom w:val="single" w:sz="6" w:space="0" w:color="auto"/>
              <w:right w:val="single" w:sz="6" w:space="0" w:color="auto"/>
            </w:tcBorders>
          </w:tcPr>
          <w:p w14:paraId="5A65AC81" w14:textId="77777777" w:rsidR="00286F7D" w:rsidRPr="00286F7D" w:rsidRDefault="00286F7D" w:rsidP="00286F7D">
            <w:pPr>
              <w:pStyle w:val="Texttabulky"/>
              <w:spacing w:after="0"/>
              <w:rPr>
                <w:rFonts w:cs="Arial"/>
              </w:rPr>
            </w:pPr>
            <w:r w:rsidRPr="00286F7D">
              <w:rPr>
                <w:rFonts w:cs="Arial"/>
                <w:b/>
                <w:bCs/>
              </w:rPr>
              <w:t>1 521</w:t>
            </w:r>
          </w:p>
        </w:tc>
        <w:tc>
          <w:tcPr>
            <w:tcW w:w="856" w:type="dxa"/>
            <w:tcBorders>
              <w:top w:val="single" w:sz="6" w:space="0" w:color="auto"/>
              <w:left w:val="single" w:sz="6" w:space="0" w:color="auto"/>
              <w:bottom w:val="single" w:sz="6" w:space="0" w:color="auto"/>
              <w:right w:val="single" w:sz="6" w:space="0" w:color="auto"/>
            </w:tcBorders>
          </w:tcPr>
          <w:p w14:paraId="0997ABE8" w14:textId="77777777" w:rsidR="00286F7D" w:rsidRPr="00286F7D" w:rsidRDefault="00286F7D" w:rsidP="00286F7D">
            <w:pPr>
              <w:pStyle w:val="Texttabulky"/>
              <w:spacing w:after="0"/>
              <w:rPr>
                <w:rFonts w:cs="Arial"/>
              </w:rPr>
            </w:pPr>
            <w:r w:rsidRPr="00286F7D">
              <w:rPr>
                <w:rFonts w:cs="Arial"/>
                <w:b/>
                <w:bCs/>
              </w:rPr>
              <w:t>- 157</w:t>
            </w:r>
          </w:p>
        </w:tc>
        <w:tc>
          <w:tcPr>
            <w:tcW w:w="999" w:type="dxa"/>
            <w:tcBorders>
              <w:top w:val="single" w:sz="6" w:space="0" w:color="auto"/>
              <w:left w:val="single" w:sz="6" w:space="0" w:color="auto"/>
              <w:bottom w:val="single" w:sz="6" w:space="0" w:color="auto"/>
              <w:right w:val="single" w:sz="6" w:space="0" w:color="auto"/>
            </w:tcBorders>
          </w:tcPr>
          <w:p w14:paraId="1AAA8AFF" w14:textId="77777777" w:rsidR="00286F7D" w:rsidRPr="00286F7D" w:rsidRDefault="00286F7D" w:rsidP="00286F7D">
            <w:pPr>
              <w:pStyle w:val="Texttabulky"/>
              <w:spacing w:after="0"/>
              <w:rPr>
                <w:rFonts w:cs="Arial"/>
              </w:rPr>
            </w:pPr>
            <w:r w:rsidRPr="00286F7D">
              <w:rPr>
                <w:rFonts w:cs="Arial"/>
                <w:b/>
                <w:bCs/>
              </w:rPr>
              <w:t>1 700</w:t>
            </w:r>
          </w:p>
        </w:tc>
        <w:tc>
          <w:tcPr>
            <w:tcW w:w="993" w:type="dxa"/>
            <w:tcBorders>
              <w:top w:val="single" w:sz="6" w:space="0" w:color="auto"/>
              <w:left w:val="single" w:sz="6" w:space="0" w:color="auto"/>
              <w:bottom w:val="single" w:sz="6" w:space="0" w:color="auto"/>
              <w:right w:val="single" w:sz="6" w:space="0" w:color="auto"/>
            </w:tcBorders>
          </w:tcPr>
          <w:p w14:paraId="1BA31675" w14:textId="77777777" w:rsidR="00286F7D" w:rsidRPr="00286F7D" w:rsidRDefault="00286F7D" w:rsidP="00286F7D">
            <w:pPr>
              <w:pStyle w:val="Texttabulky"/>
              <w:spacing w:after="0"/>
              <w:rPr>
                <w:rFonts w:cs="Arial"/>
              </w:rPr>
            </w:pPr>
            <w:r w:rsidRPr="00286F7D">
              <w:rPr>
                <w:rFonts w:cs="Arial"/>
                <w:b/>
                <w:bCs/>
              </w:rPr>
              <w:t>2 852</w:t>
            </w:r>
          </w:p>
        </w:tc>
        <w:tc>
          <w:tcPr>
            <w:tcW w:w="2428" w:type="dxa"/>
            <w:tcBorders>
              <w:top w:val="single" w:sz="6" w:space="0" w:color="auto"/>
              <w:left w:val="single" w:sz="6" w:space="0" w:color="auto"/>
              <w:bottom w:val="single" w:sz="6" w:space="0" w:color="auto"/>
              <w:right w:val="single" w:sz="6" w:space="0" w:color="auto"/>
            </w:tcBorders>
          </w:tcPr>
          <w:p w14:paraId="5AA1345C" w14:textId="77777777" w:rsidR="00286F7D" w:rsidRPr="00286F7D" w:rsidRDefault="00286F7D" w:rsidP="00286F7D">
            <w:pPr>
              <w:pStyle w:val="Zkladntext"/>
              <w:spacing w:after="0"/>
              <w:rPr>
                <w:rFonts w:ascii="Arial" w:hAnsi="Arial" w:cs="Arial"/>
              </w:rPr>
            </w:pPr>
          </w:p>
        </w:tc>
      </w:tr>
      <w:tr w:rsidR="00286F7D" w:rsidRPr="00286F7D" w14:paraId="7B1244E2" w14:textId="77777777" w:rsidTr="00286F7D">
        <w:tc>
          <w:tcPr>
            <w:tcW w:w="426" w:type="dxa"/>
            <w:tcBorders>
              <w:top w:val="single" w:sz="6" w:space="0" w:color="auto"/>
              <w:left w:val="single" w:sz="6" w:space="0" w:color="auto"/>
              <w:bottom w:val="single" w:sz="6" w:space="0" w:color="auto"/>
              <w:right w:val="single" w:sz="6" w:space="0" w:color="auto"/>
            </w:tcBorders>
          </w:tcPr>
          <w:p w14:paraId="60DD5C26" w14:textId="77777777" w:rsidR="00286F7D" w:rsidRPr="00286F7D" w:rsidRDefault="00286F7D" w:rsidP="00286F7D">
            <w:pPr>
              <w:pStyle w:val="Texttabulky"/>
              <w:spacing w:after="0"/>
              <w:jc w:val="right"/>
              <w:rPr>
                <w:rFonts w:cs="Arial"/>
              </w:rPr>
            </w:pPr>
            <w:r w:rsidRPr="00286F7D">
              <w:rPr>
                <w:rFonts w:cs="Arial"/>
              </w:rPr>
              <w:t>23</w:t>
            </w:r>
          </w:p>
        </w:tc>
        <w:tc>
          <w:tcPr>
            <w:tcW w:w="1984" w:type="dxa"/>
            <w:tcBorders>
              <w:top w:val="single" w:sz="6" w:space="0" w:color="auto"/>
              <w:left w:val="single" w:sz="6" w:space="0" w:color="auto"/>
              <w:bottom w:val="single" w:sz="6" w:space="0" w:color="auto"/>
              <w:right w:val="single" w:sz="6" w:space="0" w:color="auto"/>
            </w:tcBorders>
          </w:tcPr>
          <w:p w14:paraId="2724F672" w14:textId="77777777" w:rsidR="00286F7D" w:rsidRPr="00286F7D" w:rsidRDefault="00286F7D" w:rsidP="00286F7D">
            <w:pPr>
              <w:pStyle w:val="Texttabulky"/>
              <w:spacing w:after="0"/>
              <w:rPr>
                <w:rFonts w:cs="Arial"/>
              </w:rPr>
            </w:pPr>
            <w:r w:rsidRPr="00286F7D">
              <w:rPr>
                <w:rFonts w:cs="Arial"/>
              </w:rPr>
              <w:t>Podmokly</w:t>
            </w:r>
          </w:p>
        </w:tc>
        <w:tc>
          <w:tcPr>
            <w:tcW w:w="838" w:type="dxa"/>
            <w:tcBorders>
              <w:top w:val="single" w:sz="6" w:space="0" w:color="auto"/>
              <w:left w:val="single" w:sz="6" w:space="0" w:color="auto"/>
              <w:bottom w:val="single" w:sz="6" w:space="0" w:color="auto"/>
              <w:right w:val="single" w:sz="6" w:space="0" w:color="auto"/>
            </w:tcBorders>
          </w:tcPr>
          <w:p w14:paraId="500F48AF" w14:textId="77777777" w:rsidR="00286F7D" w:rsidRPr="00286F7D" w:rsidRDefault="00286F7D" w:rsidP="00286F7D">
            <w:pPr>
              <w:pStyle w:val="Texttabulky"/>
              <w:spacing w:after="0"/>
              <w:rPr>
                <w:rFonts w:cs="Arial"/>
              </w:rPr>
            </w:pPr>
            <w:r w:rsidRPr="00286F7D">
              <w:rPr>
                <w:rFonts w:cs="Arial"/>
              </w:rPr>
              <w:t>1 135</w:t>
            </w:r>
          </w:p>
        </w:tc>
        <w:tc>
          <w:tcPr>
            <w:tcW w:w="856" w:type="dxa"/>
            <w:tcBorders>
              <w:top w:val="single" w:sz="6" w:space="0" w:color="auto"/>
              <w:left w:val="single" w:sz="6" w:space="0" w:color="auto"/>
              <w:bottom w:val="single" w:sz="6" w:space="0" w:color="auto"/>
              <w:right w:val="single" w:sz="6" w:space="0" w:color="auto"/>
            </w:tcBorders>
          </w:tcPr>
          <w:p w14:paraId="7564302C" w14:textId="77777777" w:rsidR="00286F7D" w:rsidRPr="00286F7D" w:rsidRDefault="00286F7D" w:rsidP="00286F7D">
            <w:pPr>
              <w:pStyle w:val="Texttabulky"/>
              <w:spacing w:after="0"/>
              <w:rPr>
                <w:rFonts w:cs="Arial"/>
              </w:rPr>
            </w:pPr>
            <w:r w:rsidRPr="00286F7D">
              <w:rPr>
                <w:rFonts w:cs="Arial"/>
              </w:rPr>
              <w:t>-157</w:t>
            </w:r>
          </w:p>
        </w:tc>
        <w:tc>
          <w:tcPr>
            <w:tcW w:w="999" w:type="dxa"/>
            <w:tcBorders>
              <w:top w:val="single" w:sz="6" w:space="0" w:color="auto"/>
              <w:left w:val="single" w:sz="6" w:space="0" w:color="auto"/>
              <w:bottom w:val="single" w:sz="6" w:space="0" w:color="auto"/>
              <w:right w:val="single" w:sz="6" w:space="0" w:color="auto"/>
            </w:tcBorders>
          </w:tcPr>
          <w:p w14:paraId="1F98F695" w14:textId="77777777" w:rsidR="00286F7D" w:rsidRPr="00286F7D" w:rsidRDefault="00286F7D" w:rsidP="00286F7D">
            <w:pPr>
              <w:pStyle w:val="Texttabulky"/>
              <w:spacing w:after="0"/>
              <w:rPr>
                <w:rFonts w:cs="Arial"/>
              </w:rPr>
            </w:pPr>
            <w:r w:rsidRPr="00286F7D">
              <w:rPr>
                <w:rFonts w:cs="Arial"/>
              </w:rPr>
              <w:t>1 391</w:t>
            </w:r>
          </w:p>
        </w:tc>
        <w:tc>
          <w:tcPr>
            <w:tcW w:w="993" w:type="dxa"/>
            <w:tcBorders>
              <w:top w:val="single" w:sz="6" w:space="0" w:color="auto"/>
              <w:left w:val="single" w:sz="6" w:space="0" w:color="auto"/>
              <w:bottom w:val="single" w:sz="6" w:space="0" w:color="auto"/>
              <w:right w:val="single" w:sz="6" w:space="0" w:color="auto"/>
            </w:tcBorders>
          </w:tcPr>
          <w:p w14:paraId="4A386980" w14:textId="77777777" w:rsidR="00286F7D" w:rsidRPr="00286F7D" w:rsidRDefault="00286F7D" w:rsidP="00286F7D">
            <w:pPr>
              <w:pStyle w:val="Texttabulky"/>
              <w:spacing w:after="0"/>
              <w:rPr>
                <w:rFonts w:cs="Arial"/>
              </w:rPr>
            </w:pPr>
            <w:r w:rsidRPr="00286F7D">
              <w:rPr>
                <w:rFonts w:cs="Arial"/>
              </w:rPr>
              <w:t>2 369</w:t>
            </w:r>
          </w:p>
        </w:tc>
        <w:tc>
          <w:tcPr>
            <w:tcW w:w="2428" w:type="dxa"/>
            <w:tcBorders>
              <w:top w:val="single" w:sz="6" w:space="0" w:color="auto"/>
              <w:left w:val="single" w:sz="6" w:space="0" w:color="auto"/>
              <w:bottom w:val="single" w:sz="6" w:space="0" w:color="auto"/>
              <w:right w:val="single" w:sz="6" w:space="0" w:color="auto"/>
            </w:tcBorders>
          </w:tcPr>
          <w:p w14:paraId="71343641" w14:textId="77777777" w:rsidR="00286F7D" w:rsidRPr="00286F7D" w:rsidRDefault="00286F7D" w:rsidP="00286F7D">
            <w:pPr>
              <w:pStyle w:val="Texttabulky"/>
              <w:spacing w:after="0"/>
              <w:rPr>
                <w:rFonts w:cs="Arial"/>
              </w:rPr>
            </w:pPr>
            <w:r w:rsidRPr="00286F7D">
              <w:rPr>
                <w:rFonts w:cs="Arial"/>
              </w:rPr>
              <w:t>nutno řešit</w:t>
            </w:r>
          </w:p>
        </w:tc>
      </w:tr>
      <w:tr w:rsidR="00286F7D" w:rsidRPr="00286F7D" w14:paraId="105E6D98" w14:textId="77777777" w:rsidTr="00286F7D">
        <w:tc>
          <w:tcPr>
            <w:tcW w:w="426" w:type="dxa"/>
            <w:tcBorders>
              <w:top w:val="single" w:sz="6" w:space="0" w:color="auto"/>
              <w:left w:val="single" w:sz="6" w:space="0" w:color="auto"/>
              <w:bottom w:val="single" w:sz="6" w:space="0" w:color="auto"/>
              <w:right w:val="single" w:sz="6" w:space="0" w:color="auto"/>
            </w:tcBorders>
          </w:tcPr>
          <w:p w14:paraId="06E99A40" w14:textId="77777777" w:rsidR="00286F7D" w:rsidRPr="00286F7D" w:rsidRDefault="00286F7D" w:rsidP="00286F7D">
            <w:pPr>
              <w:pStyle w:val="Texttabulky"/>
              <w:spacing w:after="0"/>
              <w:jc w:val="right"/>
              <w:rPr>
                <w:rFonts w:cs="Arial"/>
              </w:rPr>
            </w:pPr>
            <w:r w:rsidRPr="00286F7D">
              <w:rPr>
                <w:rFonts w:cs="Arial"/>
              </w:rPr>
              <w:t>24</w:t>
            </w:r>
          </w:p>
        </w:tc>
        <w:tc>
          <w:tcPr>
            <w:tcW w:w="1984" w:type="dxa"/>
            <w:tcBorders>
              <w:top w:val="single" w:sz="6" w:space="0" w:color="auto"/>
              <w:left w:val="single" w:sz="6" w:space="0" w:color="auto"/>
              <w:bottom w:val="single" w:sz="6" w:space="0" w:color="auto"/>
              <w:right w:val="single" w:sz="6" w:space="0" w:color="auto"/>
            </w:tcBorders>
          </w:tcPr>
          <w:p w14:paraId="4ACF3E60" w14:textId="77777777" w:rsidR="00286F7D" w:rsidRPr="00286F7D" w:rsidRDefault="00286F7D" w:rsidP="00286F7D">
            <w:pPr>
              <w:pStyle w:val="Texttabulky"/>
              <w:spacing w:after="0"/>
              <w:rPr>
                <w:rFonts w:cs="Arial"/>
              </w:rPr>
            </w:pPr>
            <w:r w:rsidRPr="00286F7D">
              <w:rPr>
                <w:rFonts w:cs="Arial"/>
              </w:rPr>
              <w:t>Ustadionu</w:t>
            </w:r>
          </w:p>
        </w:tc>
        <w:tc>
          <w:tcPr>
            <w:tcW w:w="838" w:type="dxa"/>
            <w:tcBorders>
              <w:top w:val="single" w:sz="6" w:space="0" w:color="auto"/>
              <w:left w:val="single" w:sz="6" w:space="0" w:color="auto"/>
              <w:bottom w:val="single" w:sz="6" w:space="0" w:color="auto"/>
              <w:right w:val="single" w:sz="6" w:space="0" w:color="auto"/>
            </w:tcBorders>
          </w:tcPr>
          <w:p w14:paraId="0B98BA67" w14:textId="77777777" w:rsidR="00286F7D" w:rsidRPr="00286F7D" w:rsidRDefault="00286F7D" w:rsidP="00286F7D">
            <w:pPr>
              <w:pStyle w:val="Texttabulky"/>
              <w:spacing w:after="0"/>
              <w:rPr>
                <w:rFonts w:cs="Arial"/>
              </w:rPr>
            </w:pPr>
            <w:r w:rsidRPr="00286F7D">
              <w:rPr>
                <w:rFonts w:cs="Arial"/>
              </w:rPr>
              <w:t>-5</w:t>
            </w:r>
          </w:p>
        </w:tc>
        <w:tc>
          <w:tcPr>
            <w:tcW w:w="856" w:type="dxa"/>
            <w:tcBorders>
              <w:top w:val="single" w:sz="6" w:space="0" w:color="auto"/>
              <w:left w:val="single" w:sz="6" w:space="0" w:color="auto"/>
              <w:bottom w:val="single" w:sz="6" w:space="0" w:color="auto"/>
              <w:right w:val="single" w:sz="6" w:space="0" w:color="auto"/>
            </w:tcBorders>
          </w:tcPr>
          <w:p w14:paraId="7D33A681"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41879FB2" w14:textId="77777777" w:rsidR="00286F7D" w:rsidRPr="00286F7D" w:rsidRDefault="00286F7D" w:rsidP="00286F7D">
            <w:pPr>
              <w:pStyle w:val="Texttabulky"/>
              <w:spacing w:after="0"/>
              <w:rPr>
                <w:rFonts w:cs="Arial"/>
              </w:rPr>
            </w:pPr>
            <w:r w:rsidRPr="00286F7D">
              <w:rPr>
                <w:rFonts w:cs="Arial"/>
              </w:rPr>
              <w:t>350</w:t>
            </w:r>
          </w:p>
        </w:tc>
        <w:tc>
          <w:tcPr>
            <w:tcW w:w="993" w:type="dxa"/>
            <w:tcBorders>
              <w:top w:val="single" w:sz="6" w:space="0" w:color="auto"/>
              <w:left w:val="single" w:sz="6" w:space="0" w:color="auto"/>
              <w:bottom w:val="single" w:sz="6" w:space="0" w:color="auto"/>
              <w:right w:val="single" w:sz="6" w:space="0" w:color="auto"/>
            </w:tcBorders>
          </w:tcPr>
          <w:p w14:paraId="0B063AD2" w14:textId="77777777" w:rsidR="00286F7D" w:rsidRPr="00286F7D" w:rsidRDefault="00286F7D" w:rsidP="00286F7D">
            <w:pPr>
              <w:pStyle w:val="Texttabulky"/>
              <w:spacing w:after="0"/>
              <w:rPr>
                <w:rFonts w:cs="Arial"/>
              </w:rPr>
            </w:pPr>
            <w:r w:rsidRPr="00286F7D">
              <w:rPr>
                <w:rFonts w:cs="Arial"/>
              </w:rPr>
              <w:t>345</w:t>
            </w:r>
          </w:p>
        </w:tc>
        <w:tc>
          <w:tcPr>
            <w:tcW w:w="2428" w:type="dxa"/>
            <w:tcBorders>
              <w:top w:val="single" w:sz="6" w:space="0" w:color="auto"/>
              <w:left w:val="single" w:sz="6" w:space="0" w:color="auto"/>
              <w:bottom w:val="single" w:sz="6" w:space="0" w:color="auto"/>
              <w:right w:val="single" w:sz="6" w:space="0" w:color="auto"/>
            </w:tcBorders>
          </w:tcPr>
          <w:p w14:paraId="090B44E3"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35910EBF" w14:textId="77777777" w:rsidTr="00286F7D">
        <w:tc>
          <w:tcPr>
            <w:tcW w:w="426" w:type="dxa"/>
            <w:tcBorders>
              <w:top w:val="single" w:sz="6" w:space="0" w:color="auto"/>
              <w:left w:val="single" w:sz="6" w:space="0" w:color="auto"/>
              <w:bottom w:val="single" w:sz="6" w:space="0" w:color="auto"/>
              <w:right w:val="single" w:sz="6" w:space="0" w:color="auto"/>
            </w:tcBorders>
          </w:tcPr>
          <w:p w14:paraId="119F0B61" w14:textId="77777777" w:rsidR="00286F7D" w:rsidRPr="00286F7D" w:rsidRDefault="00286F7D" w:rsidP="00286F7D">
            <w:pPr>
              <w:pStyle w:val="Texttabulky"/>
              <w:spacing w:after="0"/>
              <w:jc w:val="right"/>
              <w:rPr>
                <w:rFonts w:cs="Arial"/>
              </w:rPr>
            </w:pPr>
            <w:r w:rsidRPr="00286F7D">
              <w:rPr>
                <w:rFonts w:cs="Arial"/>
              </w:rPr>
              <w:t>25</w:t>
            </w:r>
          </w:p>
        </w:tc>
        <w:tc>
          <w:tcPr>
            <w:tcW w:w="1984" w:type="dxa"/>
            <w:tcBorders>
              <w:top w:val="single" w:sz="6" w:space="0" w:color="auto"/>
              <w:left w:val="single" w:sz="6" w:space="0" w:color="auto"/>
              <w:bottom w:val="single" w:sz="6" w:space="0" w:color="auto"/>
              <w:right w:val="single" w:sz="6" w:space="0" w:color="auto"/>
            </w:tcBorders>
          </w:tcPr>
          <w:p w14:paraId="1D8453B2" w14:textId="77777777" w:rsidR="00286F7D" w:rsidRPr="00286F7D" w:rsidRDefault="00286F7D" w:rsidP="00286F7D">
            <w:pPr>
              <w:pStyle w:val="Texttabulky"/>
              <w:spacing w:after="0"/>
              <w:rPr>
                <w:rFonts w:cs="Arial"/>
              </w:rPr>
            </w:pPr>
            <w:r w:rsidRPr="00286F7D">
              <w:rPr>
                <w:rFonts w:cs="Arial"/>
              </w:rPr>
              <w:t>Červený vrch</w:t>
            </w:r>
          </w:p>
        </w:tc>
        <w:tc>
          <w:tcPr>
            <w:tcW w:w="838" w:type="dxa"/>
            <w:tcBorders>
              <w:top w:val="single" w:sz="6" w:space="0" w:color="auto"/>
              <w:left w:val="single" w:sz="6" w:space="0" w:color="auto"/>
              <w:bottom w:val="single" w:sz="6" w:space="0" w:color="auto"/>
              <w:right w:val="single" w:sz="6" w:space="0" w:color="auto"/>
            </w:tcBorders>
          </w:tcPr>
          <w:p w14:paraId="788B83C4" w14:textId="77777777" w:rsidR="00286F7D" w:rsidRPr="00286F7D" w:rsidRDefault="00286F7D" w:rsidP="00286F7D">
            <w:pPr>
              <w:pStyle w:val="Texttabulky"/>
              <w:spacing w:after="0"/>
              <w:rPr>
                <w:rFonts w:cs="Arial"/>
              </w:rPr>
            </w:pPr>
            <w:r w:rsidRPr="00286F7D">
              <w:rPr>
                <w:rFonts w:cs="Arial"/>
              </w:rPr>
              <w:t>-33</w:t>
            </w:r>
          </w:p>
        </w:tc>
        <w:tc>
          <w:tcPr>
            <w:tcW w:w="856" w:type="dxa"/>
            <w:tcBorders>
              <w:top w:val="single" w:sz="6" w:space="0" w:color="auto"/>
              <w:left w:val="single" w:sz="6" w:space="0" w:color="auto"/>
              <w:bottom w:val="single" w:sz="6" w:space="0" w:color="auto"/>
              <w:right w:val="single" w:sz="6" w:space="0" w:color="auto"/>
            </w:tcBorders>
          </w:tcPr>
          <w:p w14:paraId="1B4AE792"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23A29F23"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30BFC60D" w14:textId="77777777" w:rsidR="00286F7D" w:rsidRPr="00286F7D" w:rsidRDefault="00286F7D" w:rsidP="00286F7D">
            <w:pPr>
              <w:pStyle w:val="Texttabulky"/>
              <w:spacing w:after="0"/>
              <w:rPr>
                <w:rFonts w:cs="Arial"/>
              </w:rPr>
            </w:pPr>
            <w:r w:rsidRPr="00286F7D">
              <w:rPr>
                <w:rFonts w:cs="Arial"/>
              </w:rPr>
              <w:t>-33</w:t>
            </w:r>
          </w:p>
        </w:tc>
        <w:tc>
          <w:tcPr>
            <w:tcW w:w="2428" w:type="dxa"/>
            <w:tcBorders>
              <w:top w:val="single" w:sz="6" w:space="0" w:color="auto"/>
              <w:left w:val="single" w:sz="6" w:space="0" w:color="auto"/>
              <w:bottom w:val="single" w:sz="6" w:space="0" w:color="auto"/>
              <w:right w:val="single" w:sz="6" w:space="0" w:color="auto"/>
            </w:tcBorders>
          </w:tcPr>
          <w:p w14:paraId="481DAD60"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22EF359F" w14:textId="77777777" w:rsidTr="00286F7D">
        <w:tc>
          <w:tcPr>
            <w:tcW w:w="426" w:type="dxa"/>
            <w:tcBorders>
              <w:top w:val="single" w:sz="6" w:space="0" w:color="auto"/>
              <w:left w:val="single" w:sz="6" w:space="0" w:color="auto"/>
              <w:bottom w:val="single" w:sz="6" w:space="0" w:color="auto"/>
              <w:right w:val="single" w:sz="6" w:space="0" w:color="auto"/>
            </w:tcBorders>
          </w:tcPr>
          <w:p w14:paraId="18EF8B2F" w14:textId="77777777" w:rsidR="00286F7D" w:rsidRPr="00286F7D" w:rsidRDefault="00286F7D" w:rsidP="00286F7D">
            <w:pPr>
              <w:pStyle w:val="Texttabulky"/>
              <w:spacing w:after="0"/>
              <w:jc w:val="right"/>
              <w:rPr>
                <w:rFonts w:cs="Arial"/>
              </w:rPr>
            </w:pPr>
            <w:r w:rsidRPr="00286F7D">
              <w:rPr>
                <w:rFonts w:cs="Arial"/>
              </w:rPr>
              <w:t>26</w:t>
            </w:r>
          </w:p>
        </w:tc>
        <w:tc>
          <w:tcPr>
            <w:tcW w:w="1984" w:type="dxa"/>
            <w:tcBorders>
              <w:top w:val="single" w:sz="6" w:space="0" w:color="auto"/>
              <w:left w:val="single" w:sz="6" w:space="0" w:color="auto"/>
              <w:bottom w:val="single" w:sz="6" w:space="0" w:color="auto"/>
              <w:right w:val="single" w:sz="6" w:space="0" w:color="auto"/>
            </w:tcBorders>
          </w:tcPr>
          <w:p w14:paraId="38BB3CBA" w14:textId="77777777" w:rsidR="00286F7D" w:rsidRPr="00286F7D" w:rsidRDefault="00286F7D" w:rsidP="00286F7D">
            <w:pPr>
              <w:pStyle w:val="Texttabulky"/>
              <w:spacing w:after="0"/>
              <w:rPr>
                <w:rFonts w:cs="Arial"/>
              </w:rPr>
            </w:pPr>
            <w:r w:rsidRPr="00286F7D">
              <w:rPr>
                <w:rFonts w:cs="Arial"/>
              </w:rPr>
              <w:t>Pastýřská stěna</w:t>
            </w:r>
          </w:p>
        </w:tc>
        <w:tc>
          <w:tcPr>
            <w:tcW w:w="838" w:type="dxa"/>
            <w:tcBorders>
              <w:top w:val="single" w:sz="6" w:space="0" w:color="auto"/>
              <w:left w:val="single" w:sz="6" w:space="0" w:color="auto"/>
              <w:bottom w:val="single" w:sz="6" w:space="0" w:color="auto"/>
              <w:right w:val="single" w:sz="6" w:space="0" w:color="auto"/>
            </w:tcBorders>
          </w:tcPr>
          <w:p w14:paraId="02157D52" w14:textId="77777777" w:rsidR="00286F7D" w:rsidRPr="00286F7D" w:rsidRDefault="00286F7D" w:rsidP="00286F7D">
            <w:pPr>
              <w:pStyle w:val="Texttabulky"/>
              <w:spacing w:after="0"/>
              <w:rPr>
                <w:rFonts w:cs="Arial"/>
              </w:rPr>
            </w:pPr>
            <w:r w:rsidRPr="00286F7D">
              <w:rPr>
                <w:rFonts w:cs="Arial"/>
              </w:rPr>
              <w:t>-5</w:t>
            </w:r>
          </w:p>
        </w:tc>
        <w:tc>
          <w:tcPr>
            <w:tcW w:w="856" w:type="dxa"/>
            <w:tcBorders>
              <w:top w:val="single" w:sz="6" w:space="0" w:color="auto"/>
              <w:left w:val="single" w:sz="6" w:space="0" w:color="auto"/>
              <w:bottom w:val="single" w:sz="6" w:space="0" w:color="auto"/>
              <w:right w:val="single" w:sz="6" w:space="0" w:color="auto"/>
            </w:tcBorders>
          </w:tcPr>
          <w:p w14:paraId="0D756CC9"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6CDB2520"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2E2C1FC2" w14:textId="77777777" w:rsidR="00286F7D" w:rsidRPr="00286F7D" w:rsidRDefault="00286F7D" w:rsidP="00286F7D">
            <w:pPr>
              <w:pStyle w:val="Texttabulky"/>
              <w:spacing w:after="0"/>
              <w:rPr>
                <w:rFonts w:cs="Arial"/>
              </w:rPr>
            </w:pPr>
            <w:r w:rsidRPr="00286F7D">
              <w:rPr>
                <w:rFonts w:cs="Arial"/>
              </w:rPr>
              <w:t>-5</w:t>
            </w:r>
          </w:p>
        </w:tc>
        <w:tc>
          <w:tcPr>
            <w:tcW w:w="2428" w:type="dxa"/>
            <w:tcBorders>
              <w:top w:val="single" w:sz="6" w:space="0" w:color="auto"/>
              <w:left w:val="single" w:sz="6" w:space="0" w:color="auto"/>
              <w:bottom w:val="single" w:sz="6" w:space="0" w:color="auto"/>
              <w:right w:val="single" w:sz="6" w:space="0" w:color="auto"/>
            </w:tcBorders>
          </w:tcPr>
          <w:p w14:paraId="6DCB14F0"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3CC42B23" w14:textId="77777777" w:rsidTr="00286F7D">
        <w:tc>
          <w:tcPr>
            <w:tcW w:w="426" w:type="dxa"/>
            <w:tcBorders>
              <w:top w:val="single" w:sz="6" w:space="0" w:color="auto"/>
              <w:left w:val="single" w:sz="6" w:space="0" w:color="auto"/>
              <w:bottom w:val="single" w:sz="6" w:space="0" w:color="auto"/>
              <w:right w:val="single" w:sz="6" w:space="0" w:color="auto"/>
            </w:tcBorders>
          </w:tcPr>
          <w:p w14:paraId="4DE8E71B" w14:textId="77777777" w:rsidR="00286F7D" w:rsidRPr="00286F7D" w:rsidRDefault="00286F7D" w:rsidP="00286F7D">
            <w:pPr>
              <w:pStyle w:val="Texttabulky"/>
              <w:spacing w:after="0"/>
              <w:rPr>
                <w:rFonts w:cs="Arial"/>
              </w:rPr>
            </w:pPr>
            <w:r w:rsidRPr="00286F7D">
              <w:rPr>
                <w:rFonts w:cs="Arial"/>
                <w:b/>
                <w:bCs/>
              </w:rPr>
              <w:t xml:space="preserve"> IB</w:t>
            </w:r>
          </w:p>
        </w:tc>
        <w:tc>
          <w:tcPr>
            <w:tcW w:w="1984" w:type="dxa"/>
            <w:tcBorders>
              <w:top w:val="single" w:sz="6" w:space="0" w:color="auto"/>
              <w:left w:val="single" w:sz="6" w:space="0" w:color="auto"/>
              <w:bottom w:val="single" w:sz="6" w:space="0" w:color="auto"/>
              <w:right w:val="single" w:sz="6" w:space="0" w:color="auto"/>
            </w:tcBorders>
          </w:tcPr>
          <w:p w14:paraId="7AF6E88C" w14:textId="77777777" w:rsidR="00286F7D" w:rsidRPr="00286F7D" w:rsidRDefault="00286F7D" w:rsidP="00286F7D">
            <w:pPr>
              <w:pStyle w:val="Texttabulky"/>
              <w:spacing w:after="0"/>
              <w:rPr>
                <w:rFonts w:cs="Arial"/>
              </w:rPr>
            </w:pPr>
            <w:r w:rsidRPr="00286F7D">
              <w:rPr>
                <w:rFonts w:cs="Arial"/>
                <w:b/>
                <w:bCs/>
                <w:caps/>
              </w:rPr>
              <w:t>sektor celkem</w:t>
            </w:r>
          </w:p>
        </w:tc>
        <w:tc>
          <w:tcPr>
            <w:tcW w:w="838" w:type="dxa"/>
            <w:tcBorders>
              <w:top w:val="single" w:sz="6" w:space="0" w:color="auto"/>
              <w:left w:val="single" w:sz="6" w:space="0" w:color="auto"/>
              <w:bottom w:val="single" w:sz="6" w:space="0" w:color="auto"/>
              <w:right w:val="single" w:sz="6" w:space="0" w:color="auto"/>
            </w:tcBorders>
          </w:tcPr>
          <w:p w14:paraId="6D4438B8" w14:textId="77777777" w:rsidR="00286F7D" w:rsidRPr="00286F7D" w:rsidRDefault="00286F7D" w:rsidP="00286F7D">
            <w:pPr>
              <w:pStyle w:val="Texttabulky"/>
              <w:spacing w:after="0"/>
              <w:rPr>
                <w:rFonts w:cs="Arial"/>
              </w:rPr>
            </w:pPr>
            <w:r w:rsidRPr="00286F7D">
              <w:rPr>
                <w:rFonts w:cs="Arial"/>
                <w:b/>
                <w:bCs/>
              </w:rPr>
              <w:t xml:space="preserve">   1 092</w:t>
            </w:r>
          </w:p>
        </w:tc>
        <w:tc>
          <w:tcPr>
            <w:tcW w:w="856" w:type="dxa"/>
            <w:tcBorders>
              <w:top w:val="single" w:sz="6" w:space="0" w:color="auto"/>
              <w:left w:val="single" w:sz="6" w:space="0" w:color="auto"/>
              <w:bottom w:val="single" w:sz="6" w:space="0" w:color="auto"/>
              <w:right w:val="single" w:sz="6" w:space="0" w:color="auto"/>
            </w:tcBorders>
          </w:tcPr>
          <w:p w14:paraId="6D40E067" w14:textId="77777777" w:rsidR="00286F7D" w:rsidRPr="00286F7D" w:rsidRDefault="00286F7D" w:rsidP="00286F7D">
            <w:pPr>
              <w:pStyle w:val="Texttabulky"/>
              <w:spacing w:after="0"/>
              <w:rPr>
                <w:rFonts w:cs="Arial"/>
              </w:rPr>
            </w:pPr>
            <w:r w:rsidRPr="00286F7D">
              <w:rPr>
                <w:rFonts w:cs="Arial"/>
                <w:b/>
                <w:bCs/>
              </w:rPr>
              <w:t>- 157</w:t>
            </w:r>
          </w:p>
        </w:tc>
        <w:tc>
          <w:tcPr>
            <w:tcW w:w="999" w:type="dxa"/>
            <w:tcBorders>
              <w:top w:val="single" w:sz="6" w:space="0" w:color="auto"/>
              <w:left w:val="single" w:sz="6" w:space="0" w:color="auto"/>
              <w:bottom w:val="single" w:sz="6" w:space="0" w:color="auto"/>
              <w:right w:val="single" w:sz="6" w:space="0" w:color="auto"/>
            </w:tcBorders>
          </w:tcPr>
          <w:p w14:paraId="6CEDCF78" w14:textId="77777777" w:rsidR="00286F7D" w:rsidRPr="00286F7D" w:rsidRDefault="00286F7D" w:rsidP="00286F7D">
            <w:pPr>
              <w:pStyle w:val="Texttabulky"/>
              <w:spacing w:after="0"/>
              <w:rPr>
                <w:rFonts w:cs="Arial"/>
              </w:rPr>
            </w:pPr>
            <w:r w:rsidRPr="00286F7D">
              <w:rPr>
                <w:rFonts w:cs="Arial"/>
                <w:b/>
                <w:bCs/>
              </w:rPr>
              <w:t>1 741</w:t>
            </w:r>
          </w:p>
        </w:tc>
        <w:tc>
          <w:tcPr>
            <w:tcW w:w="993" w:type="dxa"/>
            <w:tcBorders>
              <w:top w:val="single" w:sz="6" w:space="0" w:color="auto"/>
              <w:left w:val="single" w:sz="6" w:space="0" w:color="auto"/>
              <w:bottom w:val="single" w:sz="6" w:space="0" w:color="auto"/>
              <w:right w:val="single" w:sz="6" w:space="0" w:color="auto"/>
            </w:tcBorders>
          </w:tcPr>
          <w:p w14:paraId="7A3D18C4" w14:textId="77777777" w:rsidR="00286F7D" w:rsidRPr="00286F7D" w:rsidRDefault="00286F7D" w:rsidP="00286F7D">
            <w:pPr>
              <w:pStyle w:val="Texttabulky"/>
              <w:spacing w:after="0"/>
              <w:rPr>
                <w:rFonts w:cs="Arial"/>
              </w:rPr>
            </w:pPr>
            <w:r w:rsidRPr="00286F7D">
              <w:rPr>
                <w:rFonts w:cs="Arial"/>
                <w:b/>
                <w:bCs/>
              </w:rPr>
              <w:t>2 676</w:t>
            </w:r>
          </w:p>
        </w:tc>
        <w:tc>
          <w:tcPr>
            <w:tcW w:w="2428" w:type="dxa"/>
            <w:tcBorders>
              <w:top w:val="single" w:sz="6" w:space="0" w:color="auto"/>
              <w:left w:val="single" w:sz="6" w:space="0" w:color="auto"/>
              <w:bottom w:val="single" w:sz="6" w:space="0" w:color="auto"/>
              <w:right w:val="single" w:sz="6" w:space="0" w:color="auto"/>
            </w:tcBorders>
          </w:tcPr>
          <w:p w14:paraId="14EBFFE2" w14:textId="77777777" w:rsidR="00286F7D" w:rsidRPr="00286F7D" w:rsidRDefault="00286F7D" w:rsidP="00286F7D">
            <w:pPr>
              <w:pStyle w:val="Zkladntext"/>
              <w:spacing w:after="0"/>
              <w:rPr>
                <w:rFonts w:ascii="Arial" w:hAnsi="Arial" w:cs="Arial"/>
              </w:rPr>
            </w:pPr>
          </w:p>
        </w:tc>
      </w:tr>
      <w:tr w:rsidR="00286F7D" w:rsidRPr="00286F7D" w14:paraId="6AD3EB2D" w14:textId="77777777" w:rsidTr="00286F7D">
        <w:tc>
          <w:tcPr>
            <w:tcW w:w="426" w:type="dxa"/>
            <w:tcBorders>
              <w:top w:val="single" w:sz="6" w:space="0" w:color="auto"/>
              <w:left w:val="single" w:sz="6" w:space="0" w:color="auto"/>
              <w:bottom w:val="single" w:sz="6" w:space="0" w:color="auto"/>
              <w:right w:val="single" w:sz="6" w:space="0" w:color="auto"/>
            </w:tcBorders>
          </w:tcPr>
          <w:p w14:paraId="4CB7B3BB" w14:textId="77777777" w:rsidR="00286F7D" w:rsidRPr="00286F7D" w:rsidRDefault="00286F7D" w:rsidP="00286F7D">
            <w:pPr>
              <w:pStyle w:val="Texttabulky"/>
              <w:spacing w:after="0"/>
              <w:jc w:val="right"/>
              <w:rPr>
                <w:rFonts w:cs="Arial"/>
              </w:rPr>
            </w:pPr>
            <w:r w:rsidRPr="00286F7D">
              <w:rPr>
                <w:rFonts w:cs="Arial"/>
              </w:rPr>
              <w:t>18</w:t>
            </w:r>
          </w:p>
        </w:tc>
        <w:tc>
          <w:tcPr>
            <w:tcW w:w="1984" w:type="dxa"/>
            <w:tcBorders>
              <w:top w:val="single" w:sz="6" w:space="0" w:color="auto"/>
              <w:left w:val="single" w:sz="6" w:space="0" w:color="auto"/>
              <w:bottom w:val="single" w:sz="6" w:space="0" w:color="auto"/>
              <w:right w:val="single" w:sz="6" w:space="0" w:color="auto"/>
            </w:tcBorders>
          </w:tcPr>
          <w:p w14:paraId="3E76FADB" w14:textId="77777777" w:rsidR="00286F7D" w:rsidRPr="00286F7D" w:rsidRDefault="00286F7D" w:rsidP="00286F7D">
            <w:pPr>
              <w:pStyle w:val="Texttabulky"/>
              <w:spacing w:after="0"/>
              <w:rPr>
                <w:rFonts w:cs="Arial"/>
              </w:rPr>
            </w:pPr>
            <w:r w:rsidRPr="00286F7D">
              <w:rPr>
                <w:rFonts w:cs="Arial"/>
              </w:rPr>
              <w:t>Rozbělesy</w:t>
            </w:r>
          </w:p>
        </w:tc>
        <w:tc>
          <w:tcPr>
            <w:tcW w:w="838" w:type="dxa"/>
            <w:tcBorders>
              <w:top w:val="single" w:sz="6" w:space="0" w:color="auto"/>
              <w:left w:val="single" w:sz="6" w:space="0" w:color="auto"/>
              <w:bottom w:val="single" w:sz="6" w:space="0" w:color="auto"/>
              <w:right w:val="single" w:sz="6" w:space="0" w:color="auto"/>
            </w:tcBorders>
          </w:tcPr>
          <w:p w14:paraId="758268F0" w14:textId="77777777" w:rsidR="00286F7D" w:rsidRPr="00286F7D" w:rsidRDefault="00286F7D" w:rsidP="00286F7D">
            <w:pPr>
              <w:pStyle w:val="Texttabulky"/>
              <w:spacing w:after="0"/>
              <w:rPr>
                <w:rFonts w:cs="Arial"/>
              </w:rPr>
            </w:pPr>
            <w:r w:rsidRPr="00286F7D">
              <w:rPr>
                <w:rFonts w:cs="Arial"/>
              </w:rPr>
              <w:t>432</w:t>
            </w:r>
          </w:p>
        </w:tc>
        <w:tc>
          <w:tcPr>
            <w:tcW w:w="856" w:type="dxa"/>
            <w:tcBorders>
              <w:top w:val="single" w:sz="6" w:space="0" w:color="auto"/>
              <w:left w:val="single" w:sz="6" w:space="0" w:color="auto"/>
              <w:bottom w:val="single" w:sz="6" w:space="0" w:color="auto"/>
              <w:right w:val="single" w:sz="6" w:space="0" w:color="auto"/>
            </w:tcBorders>
          </w:tcPr>
          <w:p w14:paraId="2700C709" w14:textId="77777777" w:rsidR="00286F7D" w:rsidRPr="00286F7D" w:rsidRDefault="00286F7D" w:rsidP="00286F7D">
            <w:pPr>
              <w:pStyle w:val="Texttabulky"/>
              <w:spacing w:after="0"/>
              <w:rPr>
                <w:rFonts w:cs="Arial"/>
              </w:rPr>
            </w:pPr>
            <w:r w:rsidRPr="00286F7D">
              <w:rPr>
                <w:rFonts w:cs="Arial"/>
              </w:rPr>
              <w:t>213</w:t>
            </w:r>
          </w:p>
        </w:tc>
        <w:tc>
          <w:tcPr>
            <w:tcW w:w="999" w:type="dxa"/>
            <w:tcBorders>
              <w:top w:val="single" w:sz="6" w:space="0" w:color="auto"/>
              <w:left w:val="single" w:sz="6" w:space="0" w:color="auto"/>
              <w:bottom w:val="single" w:sz="6" w:space="0" w:color="auto"/>
              <w:right w:val="single" w:sz="6" w:space="0" w:color="auto"/>
            </w:tcBorders>
          </w:tcPr>
          <w:p w14:paraId="63E063E2" w14:textId="77777777" w:rsidR="00286F7D" w:rsidRPr="00286F7D" w:rsidRDefault="00286F7D" w:rsidP="00286F7D">
            <w:pPr>
              <w:pStyle w:val="Texttabulky"/>
              <w:spacing w:after="0"/>
              <w:rPr>
                <w:rFonts w:cs="Arial"/>
              </w:rPr>
            </w:pPr>
            <w:r w:rsidRPr="00286F7D">
              <w:rPr>
                <w:rFonts w:cs="Arial"/>
              </w:rPr>
              <w:t>759</w:t>
            </w:r>
          </w:p>
        </w:tc>
        <w:tc>
          <w:tcPr>
            <w:tcW w:w="993" w:type="dxa"/>
            <w:tcBorders>
              <w:top w:val="single" w:sz="6" w:space="0" w:color="auto"/>
              <w:left w:val="single" w:sz="6" w:space="0" w:color="auto"/>
              <w:bottom w:val="single" w:sz="6" w:space="0" w:color="auto"/>
              <w:right w:val="single" w:sz="6" w:space="0" w:color="auto"/>
            </w:tcBorders>
          </w:tcPr>
          <w:p w14:paraId="3264B71C" w14:textId="77777777" w:rsidR="00286F7D" w:rsidRPr="00286F7D" w:rsidRDefault="00286F7D" w:rsidP="00286F7D">
            <w:pPr>
              <w:pStyle w:val="Texttabulky"/>
              <w:spacing w:after="0"/>
              <w:rPr>
                <w:rFonts w:cs="Arial"/>
              </w:rPr>
            </w:pPr>
            <w:r w:rsidRPr="00286F7D">
              <w:rPr>
                <w:rFonts w:cs="Arial"/>
              </w:rPr>
              <w:t>1 404</w:t>
            </w:r>
          </w:p>
        </w:tc>
        <w:tc>
          <w:tcPr>
            <w:tcW w:w="2428" w:type="dxa"/>
            <w:tcBorders>
              <w:top w:val="single" w:sz="6" w:space="0" w:color="auto"/>
              <w:left w:val="single" w:sz="6" w:space="0" w:color="auto"/>
              <w:bottom w:val="single" w:sz="6" w:space="0" w:color="auto"/>
              <w:right w:val="single" w:sz="6" w:space="0" w:color="auto"/>
            </w:tcBorders>
          </w:tcPr>
          <w:p w14:paraId="5CD17720"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6C077481" w14:textId="77777777" w:rsidTr="00286F7D">
        <w:tc>
          <w:tcPr>
            <w:tcW w:w="426" w:type="dxa"/>
            <w:tcBorders>
              <w:top w:val="single" w:sz="6" w:space="0" w:color="auto"/>
              <w:left w:val="single" w:sz="6" w:space="0" w:color="auto"/>
              <w:bottom w:val="single" w:sz="6" w:space="0" w:color="auto"/>
              <w:right w:val="single" w:sz="6" w:space="0" w:color="auto"/>
            </w:tcBorders>
          </w:tcPr>
          <w:p w14:paraId="5EF21468" w14:textId="77777777" w:rsidR="00286F7D" w:rsidRPr="00286F7D" w:rsidRDefault="00286F7D" w:rsidP="00286F7D">
            <w:pPr>
              <w:pStyle w:val="Texttabulky"/>
              <w:spacing w:after="0"/>
              <w:jc w:val="right"/>
              <w:rPr>
                <w:rFonts w:cs="Arial"/>
              </w:rPr>
            </w:pPr>
            <w:r w:rsidRPr="00286F7D">
              <w:rPr>
                <w:rFonts w:cs="Arial"/>
              </w:rPr>
              <w:t>19</w:t>
            </w:r>
          </w:p>
        </w:tc>
        <w:tc>
          <w:tcPr>
            <w:tcW w:w="1984" w:type="dxa"/>
            <w:tcBorders>
              <w:top w:val="single" w:sz="6" w:space="0" w:color="auto"/>
              <w:left w:val="single" w:sz="6" w:space="0" w:color="auto"/>
              <w:bottom w:val="single" w:sz="6" w:space="0" w:color="auto"/>
              <w:right w:val="single" w:sz="6" w:space="0" w:color="auto"/>
            </w:tcBorders>
          </w:tcPr>
          <w:p w14:paraId="0805CBC0" w14:textId="77777777" w:rsidR="00286F7D" w:rsidRPr="00286F7D" w:rsidRDefault="00286F7D" w:rsidP="00286F7D">
            <w:pPr>
              <w:pStyle w:val="Texttabulky"/>
              <w:spacing w:after="0"/>
              <w:rPr>
                <w:rFonts w:cs="Arial"/>
              </w:rPr>
            </w:pPr>
            <w:r w:rsidRPr="00286F7D">
              <w:rPr>
                <w:rFonts w:cs="Arial"/>
              </w:rPr>
              <w:t>Hlavní nádraží</w:t>
            </w:r>
          </w:p>
        </w:tc>
        <w:tc>
          <w:tcPr>
            <w:tcW w:w="838" w:type="dxa"/>
            <w:tcBorders>
              <w:top w:val="single" w:sz="6" w:space="0" w:color="auto"/>
              <w:left w:val="single" w:sz="6" w:space="0" w:color="auto"/>
              <w:bottom w:val="single" w:sz="6" w:space="0" w:color="auto"/>
              <w:right w:val="single" w:sz="6" w:space="0" w:color="auto"/>
            </w:tcBorders>
          </w:tcPr>
          <w:p w14:paraId="616642CA" w14:textId="77777777" w:rsidR="00286F7D" w:rsidRPr="00286F7D" w:rsidRDefault="00286F7D" w:rsidP="00286F7D">
            <w:pPr>
              <w:pStyle w:val="Texttabulky"/>
              <w:spacing w:after="0"/>
              <w:rPr>
                <w:rFonts w:cs="Arial"/>
              </w:rPr>
            </w:pPr>
            <w:r w:rsidRPr="00286F7D">
              <w:rPr>
                <w:rFonts w:cs="Arial"/>
              </w:rPr>
              <w:t>83</w:t>
            </w:r>
          </w:p>
        </w:tc>
        <w:tc>
          <w:tcPr>
            <w:tcW w:w="856" w:type="dxa"/>
            <w:tcBorders>
              <w:top w:val="single" w:sz="6" w:space="0" w:color="auto"/>
              <w:left w:val="single" w:sz="6" w:space="0" w:color="auto"/>
              <w:bottom w:val="single" w:sz="6" w:space="0" w:color="auto"/>
              <w:right w:val="single" w:sz="6" w:space="0" w:color="auto"/>
            </w:tcBorders>
          </w:tcPr>
          <w:p w14:paraId="2B1D2882" w14:textId="77777777" w:rsidR="00286F7D" w:rsidRPr="00286F7D" w:rsidRDefault="00286F7D" w:rsidP="00286F7D">
            <w:pPr>
              <w:pStyle w:val="Texttabulky"/>
              <w:spacing w:after="0"/>
              <w:rPr>
                <w:rFonts w:cs="Arial"/>
              </w:rPr>
            </w:pPr>
            <w:r w:rsidRPr="00286F7D">
              <w:rPr>
                <w:rFonts w:cs="Arial"/>
              </w:rPr>
              <w:t>-250</w:t>
            </w:r>
          </w:p>
        </w:tc>
        <w:tc>
          <w:tcPr>
            <w:tcW w:w="999" w:type="dxa"/>
            <w:tcBorders>
              <w:top w:val="single" w:sz="6" w:space="0" w:color="auto"/>
              <w:left w:val="single" w:sz="6" w:space="0" w:color="auto"/>
              <w:bottom w:val="single" w:sz="6" w:space="0" w:color="auto"/>
              <w:right w:val="single" w:sz="6" w:space="0" w:color="auto"/>
            </w:tcBorders>
          </w:tcPr>
          <w:p w14:paraId="18A7D700" w14:textId="77777777" w:rsidR="00286F7D" w:rsidRPr="00286F7D" w:rsidRDefault="00286F7D" w:rsidP="00286F7D">
            <w:pPr>
              <w:pStyle w:val="Texttabulky"/>
              <w:spacing w:after="0"/>
              <w:rPr>
                <w:rFonts w:cs="Arial"/>
              </w:rPr>
            </w:pPr>
            <w:r w:rsidRPr="00286F7D">
              <w:rPr>
                <w:rFonts w:cs="Arial"/>
              </w:rPr>
              <w:t>814</w:t>
            </w:r>
          </w:p>
        </w:tc>
        <w:tc>
          <w:tcPr>
            <w:tcW w:w="993" w:type="dxa"/>
            <w:tcBorders>
              <w:top w:val="single" w:sz="6" w:space="0" w:color="auto"/>
              <w:left w:val="single" w:sz="6" w:space="0" w:color="auto"/>
              <w:bottom w:val="single" w:sz="6" w:space="0" w:color="auto"/>
              <w:right w:val="single" w:sz="6" w:space="0" w:color="auto"/>
            </w:tcBorders>
          </w:tcPr>
          <w:p w14:paraId="79EFD152" w14:textId="77777777" w:rsidR="00286F7D" w:rsidRPr="00286F7D" w:rsidRDefault="00286F7D" w:rsidP="00286F7D">
            <w:pPr>
              <w:pStyle w:val="Texttabulky"/>
              <w:spacing w:after="0"/>
              <w:rPr>
                <w:rFonts w:cs="Arial"/>
              </w:rPr>
            </w:pPr>
            <w:r w:rsidRPr="00286F7D">
              <w:rPr>
                <w:rFonts w:cs="Arial"/>
              </w:rPr>
              <w:t>647</w:t>
            </w:r>
          </w:p>
        </w:tc>
        <w:tc>
          <w:tcPr>
            <w:tcW w:w="2428" w:type="dxa"/>
            <w:tcBorders>
              <w:top w:val="single" w:sz="6" w:space="0" w:color="auto"/>
              <w:left w:val="single" w:sz="6" w:space="0" w:color="auto"/>
              <w:bottom w:val="single" w:sz="6" w:space="0" w:color="auto"/>
              <w:right w:val="single" w:sz="6" w:space="0" w:color="auto"/>
            </w:tcBorders>
          </w:tcPr>
          <w:p w14:paraId="003E2B15" w14:textId="77777777" w:rsidR="00286F7D" w:rsidRPr="00286F7D" w:rsidRDefault="00286F7D" w:rsidP="00286F7D">
            <w:pPr>
              <w:pStyle w:val="Texttabulky"/>
              <w:spacing w:after="0"/>
              <w:rPr>
                <w:rFonts w:cs="Arial"/>
              </w:rPr>
            </w:pPr>
            <w:r w:rsidRPr="00286F7D">
              <w:rPr>
                <w:rFonts w:cs="Arial"/>
              </w:rPr>
              <w:t>lze řešit v rámci UO č. 23</w:t>
            </w:r>
          </w:p>
        </w:tc>
      </w:tr>
      <w:tr w:rsidR="00286F7D" w:rsidRPr="00286F7D" w14:paraId="39025FAC" w14:textId="77777777" w:rsidTr="00286F7D">
        <w:tc>
          <w:tcPr>
            <w:tcW w:w="426" w:type="dxa"/>
            <w:tcBorders>
              <w:top w:val="single" w:sz="6" w:space="0" w:color="auto"/>
              <w:left w:val="single" w:sz="6" w:space="0" w:color="auto"/>
              <w:bottom w:val="single" w:sz="6" w:space="0" w:color="auto"/>
              <w:right w:val="single" w:sz="6" w:space="0" w:color="auto"/>
            </w:tcBorders>
          </w:tcPr>
          <w:p w14:paraId="750D7BB0" w14:textId="77777777" w:rsidR="00286F7D" w:rsidRPr="00286F7D" w:rsidRDefault="00286F7D" w:rsidP="00286F7D">
            <w:pPr>
              <w:pStyle w:val="Texttabulky"/>
              <w:spacing w:after="0"/>
              <w:jc w:val="right"/>
              <w:rPr>
                <w:rFonts w:cs="Arial"/>
              </w:rPr>
            </w:pPr>
            <w:r w:rsidRPr="00286F7D">
              <w:rPr>
                <w:rFonts w:cs="Arial"/>
              </w:rPr>
              <w:t>20</w:t>
            </w:r>
          </w:p>
        </w:tc>
        <w:tc>
          <w:tcPr>
            <w:tcW w:w="1984" w:type="dxa"/>
            <w:tcBorders>
              <w:top w:val="single" w:sz="6" w:space="0" w:color="auto"/>
              <w:left w:val="single" w:sz="6" w:space="0" w:color="auto"/>
              <w:bottom w:val="single" w:sz="6" w:space="0" w:color="auto"/>
              <w:right w:val="single" w:sz="6" w:space="0" w:color="auto"/>
            </w:tcBorders>
          </w:tcPr>
          <w:p w14:paraId="214EFCB6" w14:textId="77777777" w:rsidR="00286F7D" w:rsidRPr="00286F7D" w:rsidRDefault="00286F7D" w:rsidP="00286F7D">
            <w:pPr>
              <w:pStyle w:val="Texttabulky"/>
              <w:spacing w:after="0"/>
              <w:rPr>
                <w:rFonts w:cs="Arial"/>
              </w:rPr>
            </w:pPr>
            <w:r w:rsidRPr="00286F7D">
              <w:rPr>
                <w:rFonts w:cs="Arial"/>
              </w:rPr>
              <w:t>Želenice</w:t>
            </w:r>
          </w:p>
        </w:tc>
        <w:tc>
          <w:tcPr>
            <w:tcW w:w="838" w:type="dxa"/>
            <w:tcBorders>
              <w:top w:val="single" w:sz="6" w:space="0" w:color="auto"/>
              <w:left w:val="single" w:sz="6" w:space="0" w:color="auto"/>
              <w:bottom w:val="single" w:sz="6" w:space="0" w:color="auto"/>
              <w:right w:val="single" w:sz="6" w:space="0" w:color="auto"/>
            </w:tcBorders>
          </w:tcPr>
          <w:p w14:paraId="6E4189A3" w14:textId="77777777" w:rsidR="00286F7D" w:rsidRPr="00286F7D" w:rsidRDefault="00286F7D" w:rsidP="00286F7D">
            <w:pPr>
              <w:pStyle w:val="Texttabulky"/>
              <w:spacing w:after="0"/>
              <w:rPr>
                <w:rFonts w:cs="Arial"/>
              </w:rPr>
            </w:pPr>
            <w:r w:rsidRPr="00286F7D">
              <w:rPr>
                <w:rFonts w:cs="Arial"/>
              </w:rPr>
              <w:t>1 499</w:t>
            </w:r>
          </w:p>
        </w:tc>
        <w:tc>
          <w:tcPr>
            <w:tcW w:w="856" w:type="dxa"/>
            <w:tcBorders>
              <w:top w:val="single" w:sz="6" w:space="0" w:color="auto"/>
              <w:left w:val="single" w:sz="6" w:space="0" w:color="auto"/>
              <w:bottom w:val="single" w:sz="6" w:space="0" w:color="auto"/>
              <w:right w:val="single" w:sz="6" w:space="0" w:color="auto"/>
            </w:tcBorders>
          </w:tcPr>
          <w:p w14:paraId="634A22E8" w14:textId="77777777" w:rsidR="00286F7D" w:rsidRPr="00286F7D" w:rsidRDefault="00286F7D" w:rsidP="00286F7D">
            <w:pPr>
              <w:pStyle w:val="Texttabulky"/>
              <w:spacing w:after="0"/>
              <w:rPr>
                <w:rFonts w:cs="Arial"/>
              </w:rPr>
            </w:pPr>
            <w:r w:rsidRPr="00286F7D">
              <w:rPr>
                <w:rFonts w:cs="Arial"/>
              </w:rPr>
              <w:t>- 213</w:t>
            </w:r>
          </w:p>
        </w:tc>
        <w:tc>
          <w:tcPr>
            <w:tcW w:w="999" w:type="dxa"/>
            <w:tcBorders>
              <w:top w:val="single" w:sz="6" w:space="0" w:color="auto"/>
              <w:left w:val="single" w:sz="6" w:space="0" w:color="auto"/>
              <w:bottom w:val="single" w:sz="6" w:space="0" w:color="auto"/>
              <w:right w:val="single" w:sz="6" w:space="0" w:color="auto"/>
            </w:tcBorders>
          </w:tcPr>
          <w:p w14:paraId="2E29FF51" w14:textId="77777777" w:rsidR="00286F7D" w:rsidRPr="00286F7D" w:rsidRDefault="00286F7D" w:rsidP="00286F7D">
            <w:pPr>
              <w:pStyle w:val="Texttabulky"/>
              <w:spacing w:after="0"/>
              <w:rPr>
                <w:rFonts w:cs="Arial"/>
              </w:rPr>
            </w:pPr>
            <w:r w:rsidRPr="00286F7D">
              <w:rPr>
                <w:rFonts w:cs="Arial"/>
              </w:rPr>
              <w:t>-24</w:t>
            </w:r>
          </w:p>
        </w:tc>
        <w:tc>
          <w:tcPr>
            <w:tcW w:w="993" w:type="dxa"/>
            <w:tcBorders>
              <w:top w:val="single" w:sz="6" w:space="0" w:color="auto"/>
              <w:left w:val="single" w:sz="6" w:space="0" w:color="auto"/>
              <w:bottom w:val="single" w:sz="6" w:space="0" w:color="auto"/>
              <w:right w:val="single" w:sz="6" w:space="0" w:color="auto"/>
            </w:tcBorders>
          </w:tcPr>
          <w:p w14:paraId="1C348285" w14:textId="77777777" w:rsidR="00286F7D" w:rsidRPr="00286F7D" w:rsidRDefault="00286F7D" w:rsidP="00286F7D">
            <w:pPr>
              <w:pStyle w:val="Texttabulky"/>
              <w:spacing w:after="0"/>
              <w:rPr>
                <w:rFonts w:cs="Arial"/>
              </w:rPr>
            </w:pPr>
            <w:r w:rsidRPr="00286F7D">
              <w:rPr>
                <w:rFonts w:cs="Arial"/>
              </w:rPr>
              <w:t>1 262</w:t>
            </w:r>
          </w:p>
        </w:tc>
        <w:tc>
          <w:tcPr>
            <w:tcW w:w="2428" w:type="dxa"/>
            <w:tcBorders>
              <w:top w:val="single" w:sz="6" w:space="0" w:color="auto"/>
              <w:left w:val="single" w:sz="6" w:space="0" w:color="auto"/>
              <w:bottom w:val="single" w:sz="6" w:space="0" w:color="auto"/>
              <w:right w:val="single" w:sz="6" w:space="0" w:color="auto"/>
            </w:tcBorders>
          </w:tcPr>
          <w:p w14:paraId="257FF5B8" w14:textId="77777777" w:rsidR="00286F7D" w:rsidRPr="00286F7D" w:rsidRDefault="00286F7D" w:rsidP="00286F7D">
            <w:pPr>
              <w:pStyle w:val="Texttabulky"/>
              <w:spacing w:after="0"/>
              <w:rPr>
                <w:rFonts w:cs="Arial"/>
              </w:rPr>
            </w:pPr>
            <w:r w:rsidRPr="00286F7D">
              <w:rPr>
                <w:rFonts w:cs="Arial"/>
              </w:rPr>
              <w:t>nutno řešit školy</w:t>
            </w:r>
          </w:p>
        </w:tc>
      </w:tr>
      <w:tr w:rsidR="00286F7D" w:rsidRPr="00286F7D" w14:paraId="5C188B4A" w14:textId="77777777" w:rsidTr="00286F7D">
        <w:tc>
          <w:tcPr>
            <w:tcW w:w="426" w:type="dxa"/>
            <w:tcBorders>
              <w:top w:val="single" w:sz="6" w:space="0" w:color="auto"/>
              <w:left w:val="single" w:sz="6" w:space="0" w:color="auto"/>
              <w:bottom w:val="single" w:sz="6" w:space="0" w:color="auto"/>
              <w:right w:val="single" w:sz="6" w:space="0" w:color="auto"/>
            </w:tcBorders>
          </w:tcPr>
          <w:p w14:paraId="2B1D1C6E" w14:textId="77777777" w:rsidR="00286F7D" w:rsidRPr="00286F7D" w:rsidRDefault="00286F7D" w:rsidP="00286F7D">
            <w:pPr>
              <w:pStyle w:val="Texttabulky"/>
              <w:spacing w:after="0"/>
              <w:jc w:val="right"/>
              <w:rPr>
                <w:rFonts w:cs="Arial"/>
              </w:rPr>
            </w:pPr>
            <w:r w:rsidRPr="00286F7D">
              <w:rPr>
                <w:rFonts w:cs="Arial"/>
              </w:rPr>
              <w:t>21</w:t>
            </w:r>
          </w:p>
        </w:tc>
        <w:tc>
          <w:tcPr>
            <w:tcW w:w="1984" w:type="dxa"/>
            <w:tcBorders>
              <w:top w:val="single" w:sz="6" w:space="0" w:color="auto"/>
              <w:left w:val="single" w:sz="6" w:space="0" w:color="auto"/>
              <w:bottom w:val="single" w:sz="6" w:space="0" w:color="auto"/>
              <w:right w:val="single" w:sz="6" w:space="0" w:color="auto"/>
            </w:tcBorders>
          </w:tcPr>
          <w:p w14:paraId="16D884BA" w14:textId="77777777" w:rsidR="00286F7D" w:rsidRPr="00286F7D" w:rsidRDefault="00286F7D" w:rsidP="00286F7D">
            <w:pPr>
              <w:pStyle w:val="Texttabulky"/>
              <w:spacing w:after="0"/>
              <w:rPr>
                <w:rFonts w:cs="Arial"/>
              </w:rPr>
            </w:pPr>
            <w:r w:rsidRPr="00286F7D">
              <w:rPr>
                <w:rFonts w:cs="Arial"/>
              </w:rPr>
              <w:t>Popovice</w:t>
            </w:r>
          </w:p>
        </w:tc>
        <w:tc>
          <w:tcPr>
            <w:tcW w:w="838" w:type="dxa"/>
            <w:tcBorders>
              <w:top w:val="single" w:sz="6" w:space="0" w:color="auto"/>
              <w:left w:val="single" w:sz="6" w:space="0" w:color="auto"/>
              <w:bottom w:val="single" w:sz="6" w:space="0" w:color="auto"/>
              <w:right w:val="single" w:sz="6" w:space="0" w:color="auto"/>
            </w:tcBorders>
          </w:tcPr>
          <w:p w14:paraId="0B68821B" w14:textId="77777777" w:rsidR="00286F7D" w:rsidRPr="00286F7D" w:rsidRDefault="00286F7D" w:rsidP="00286F7D">
            <w:pPr>
              <w:pStyle w:val="Texttabulky"/>
              <w:spacing w:after="0"/>
              <w:rPr>
                <w:rFonts w:cs="Arial"/>
              </w:rPr>
            </w:pPr>
            <w:r w:rsidRPr="00286F7D">
              <w:rPr>
                <w:rFonts w:cs="Arial"/>
              </w:rPr>
              <w:t>594</w:t>
            </w:r>
          </w:p>
        </w:tc>
        <w:tc>
          <w:tcPr>
            <w:tcW w:w="856" w:type="dxa"/>
            <w:tcBorders>
              <w:top w:val="single" w:sz="6" w:space="0" w:color="auto"/>
              <w:left w:val="single" w:sz="6" w:space="0" w:color="auto"/>
              <w:bottom w:val="single" w:sz="6" w:space="0" w:color="auto"/>
              <w:right w:val="single" w:sz="6" w:space="0" w:color="auto"/>
            </w:tcBorders>
          </w:tcPr>
          <w:p w14:paraId="4353F191" w14:textId="77777777" w:rsidR="00286F7D" w:rsidRPr="00286F7D" w:rsidRDefault="00286F7D" w:rsidP="00286F7D">
            <w:pPr>
              <w:pStyle w:val="Texttabulky"/>
              <w:spacing w:after="0"/>
              <w:rPr>
                <w:rFonts w:cs="Arial"/>
              </w:rPr>
            </w:pPr>
            <w:r w:rsidRPr="00286F7D">
              <w:rPr>
                <w:rFonts w:cs="Arial"/>
              </w:rPr>
              <w:t>71</w:t>
            </w:r>
          </w:p>
        </w:tc>
        <w:tc>
          <w:tcPr>
            <w:tcW w:w="999" w:type="dxa"/>
            <w:tcBorders>
              <w:top w:val="single" w:sz="6" w:space="0" w:color="auto"/>
              <w:left w:val="single" w:sz="6" w:space="0" w:color="auto"/>
              <w:bottom w:val="single" w:sz="6" w:space="0" w:color="auto"/>
              <w:right w:val="single" w:sz="6" w:space="0" w:color="auto"/>
            </w:tcBorders>
          </w:tcPr>
          <w:p w14:paraId="06672484"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3DF09174" w14:textId="77777777" w:rsidR="00286F7D" w:rsidRPr="00286F7D" w:rsidRDefault="00286F7D" w:rsidP="00286F7D">
            <w:pPr>
              <w:pStyle w:val="Texttabulky"/>
              <w:spacing w:after="0"/>
              <w:rPr>
                <w:rFonts w:cs="Arial"/>
              </w:rPr>
            </w:pPr>
            <w:r w:rsidRPr="00286F7D">
              <w:rPr>
                <w:rFonts w:cs="Arial"/>
              </w:rPr>
              <w:t>665</w:t>
            </w:r>
          </w:p>
        </w:tc>
        <w:tc>
          <w:tcPr>
            <w:tcW w:w="2428" w:type="dxa"/>
            <w:tcBorders>
              <w:top w:val="single" w:sz="6" w:space="0" w:color="auto"/>
              <w:left w:val="single" w:sz="6" w:space="0" w:color="auto"/>
              <w:bottom w:val="single" w:sz="6" w:space="0" w:color="auto"/>
              <w:right w:val="single" w:sz="6" w:space="0" w:color="auto"/>
            </w:tcBorders>
          </w:tcPr>
          <w:p w14:paraId="5108DD24"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0A2DEC20" w14:textId="77777777" w:rsidTr="00286F7D">
        <w:tc>
          <w:tcPr>
            <w:tcW w:w="426" w:type="dxa"/>
            <w:tcBorders>
              <w:top w:val="single" w:sz="6" w:space="0" w:color="auto"/>
              <w:left w:val="single" w:sz="6" w:space="0" w:color="auto"/>
              <w:bottom w:val="single" w:sz="6" w:space="0" w:color="auto"/>
              <w:right w:val="single" w:sz="6" w:space="0" w:color="auto"/>
            </w:tcBorders>
          </w:tcPr>
          <w:p w14:paraId="34A46E39" w14:textId="77777777" w:rsidR="00286F7D" w:rsidRPr="00286F7D" w:rsidRDefault="00286F7D" w:rsidP="00286F7D">
            <w:pPr>
              <w:pStyle w:val="Texttabulky"/>
              <w:spacing w:after="0"/>
              <w:jc w:val="right"/>
              <w:rPr>
                <w:rFonts w:cs="Arial"/>
              </w:rPr>
            </w:pPr>
            <w:r w:rsidRPr="00286F7D">
              <w:rPr>
                <w:rFonts w:cs="Arial"/>
              </w:rPr>
              <w:t>22</w:t>
            </w:r>
          </w:p>
        </w:tc>
        <w:tc>
          <w:tcPr>
            <w:tcW w:w="1984" w:type="dxa"/>
            <w:tcBorders>
              <w:top w:val="single" w:sz="6" w:space="0" w:color="auto"/>
              <w:left w:val="single" w:sz="6" w:space="0" w:color="auto"/>
              <w:bottom w:val="single" w:sz="6" w:space="0" w:color="auto"/>
              <w:right w:val="single" w:sz="6" w:space="0" w:color="auto"/>
            </w:tcBorders>
          </w:tcPr>
          <w:p w14:paraId="23256078" w14:textId="77777777" w:rsidR="00286F7D" w:rsidRPr="00286F7D" w:rsidRDefault="00286F7D" w:rsidP="00286F7D">
            <w:pPr>
              <w:pStyle w:val="Texttabulky"/>
              <w:spacing w:after="0"/>
              <w:rPr>
                <w:rFonts w:cs="Arial"/>
              </w:rPr>
            </w:pPr>
            <w:r w:rsidRPr="00286F7D">
              <w:rPr>
                <w:rFonts w:cs="Arial"/>
              </w:rPr>
              <w:t>Letná</w:t>
            </w:r>
          </w:p>
        </w:tc>
        <w:tc>
          <w:tcPr>
            <w:tcW w:w="838" w:type="dxa"/>
            <w:tcBorders>
              <w:top w:val="single" w:sz="6" w:space="0" w:color="auto"/>
              <w:left w:val="single" w:sz="6" w:space="0" w:color="auto"/>
              <w:bottom w:val="single" w:sz="6" w:space="0" w:color="auto"/>
              <w:right w:val="single" w:sz="6" w:space="0" w:color="auto"/>
            </w:tcBorders>
          </w:tcPr>
          <w:p w14:paraId="6BF29450" w14:textId="77777777" w:rsidR="00286F7D" w:rsidRPr="00286F7D" w:rsidRDefault="00286F7D" w:rsidP="00286F7D">
            <w:pPr>
              <w:pStyle w:val="Texttabulky"/>
              <w:spacing w:after="0"/>
              <w:rPr>
                <w:rFonts w:cs="Arial"/>
              </w:rPr>
            </w:pPr>
            <w:r w:rsidRPr="00286F7D">
              <w:rPr>
                <w:rFonts w:cs="Arial"/>
              </w:rPr>
              <w:t>465</w:t>
            </w:r>
          </w:p>
        </w:tc>
        <w:tc>
          <w:tcPr>
            <w:tcW w:w="856" w:type="dxa"/>
            <w:tcBorders>
              <w:top w:val="single" w:sz="6" w:space="0" w:color="auto"/>
              <w:left w:val="single" w:sz="6" w:space="0" w:color="auto"/>
              <w:bottom w:val="single" w:sz="6" w:space="0" w:color="auto"/>
              <w:right w:val="single" w:sz="6" w:space="0" w:color="auto"/>
            </w:tcBorders>
          </w:tcPr>
          <w:p w14:paraId="5430AE28" w14:textId="77777777" w:rsidR="00286F7D" w:rsidRPr="00286F7D" w:rsidRDefault="00286F7D" w:rsidP="00286F7D">
            <w:pPr>
              <w:pStyle w:val="Texttabulky"/>
              <w:spacing w:after="0"/>
              <w:rPr>
                <w:rFonts w:cs="Arial"/>
              </w:rPr>
            </w:pPr>
            <w:r w:rsidRPr="00286F7D">
              <w:rPr>
                <w:rFonts w:cs="Arial"/>
              </w:rPr>
              <w:t>969</w:t>
            </w:r>
          </w:p>
        </w:tc>
        <w:tc>
          <w:tcPr>
            <w:tcW w:w="999" w:type="dxa"/>
            <w:tcBorders>
              <w:top w:val="single" w:sz="6" w:space="0" w:color="auto"/>
              <w:left w:val="single" w:sz="6" w:space="0" w:color="auto"/>
              <w:bottom w:val="single" w:sz="6" w:space="0" w:color="auto"/>
              <w:right w:val="single" w:sz="6" w:space="0" w:color="auto"/>
            </w:tcBorders>
          </w:tcPr>
          <w:p w14:paraId="6A96205A" w14:textId="77777777" w:rsidR="00286F7D" w:rsidRPr="00286F7D" w:rsidRDefault="00286F7D" w:rsidP="00286F7D">
            <w:pPr>
              <w:pStyle w:val="Texttabulky"/>
              <w:spacing w:after="0"/>
              <w:rPr>
                <w:rFonts w:cs="Arial"/>
              </w:rPr>
            </w:pPr>
            <w:r w:rsidRPr="00286F7D">
              <w:rPr>
                <w:rFonts w:cs="Arial"/>
              </w:rPr>
              <w:t>157</w:t>
            </w:r>
          </w:p>
        </w:tc>
        <w:tc>
          <w:tcPr>
            <w:tcW w:w="993" w:type="dxa"/>
            <w:tcBorders>
              <w:top w:val="single" w:sz="6" w:space="0" w:color="auto"/>
              <w:left w:val="single" w:sz="6" w:space="0" w:color="auto"/>
              <w:bottom w:val="single" w:sz="6" w:space="0" w:color="auto"/>
              <w:right w:val="single" w:sz="6" w:space="0" w:color="auto"/>
            </w:tcBorders>
          </w:tcPr>
          <w:p w14:paraId="1C640526" w14:textId="77777777" w:rsidR="00286F7D" w:rsidRPr="00286F7D" w:rsidRDefault="00286F7D" w:rsidP="00286F7D">
            <w:pPr>
              <w:pStyle w:val="Texttabulky"/>
              <w:spacing w:after="0"/>
              <w:rPr>
                <w:rFonts w:cs="Arial"/>
              </w:rPr>
            </w:pPr>
            <w:r w:rsidRPr="00286F7D">
              <w:rPr>
                <w:rFonts w:cs="Arial"/>
              </w:rPr>
              <w:t>1 591</w:t>
            </w:r>
          </w:p>
        </w:tc>
        <w:tc>
          <w:tcPr>
            <w:tcW w:w="2428" w:type="dxa"/>
            <w:tcBorders>
              <w:top w:val="single" w:sz="6" w:space="0" w:color="auto"/>
              <w:left w:val="single" w:sz="6" w:space="0" w:color="auto"/>
              <w:bottom w:val="single" w:sz="6" w:space="0" w:color="auto"/>
              <w:right w:val="single" w:sz="6" w:space="0" w:color="auto"/>
            </w:tcBorders>
          </w:tcPr>
          <w:p w14:paraId="44263E39"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0516EDBC" w14:textId="77777777" w:rsidTr="00286F7D">
        <w:tc>
          <w:tcPr>
            <w:tcW w:w="426" w:type="dxa"/>
            <w:tcBorders>
              <w:top w:val="single" w:sz="6" w:space="0" w:color="auto"/>
              <w:left w:val="single" w:sz="6" w:space="0" w:color="auto"/>
              <w:bottom w:val="single" w:sz="6" w:space="0" w:color="auto"/>
              <w:right w:val="single" w:sz="6" w:space="0" w:color="auto"/>
            </w:tcBorders>
          </w:tcPr>
          <w:p w14:paraId="1EC82BD1" w14:textId="77777777" w:rsidR="00286F7D" w:rsidRPr="00286F7D" w:rsidRDefault="00286F7D" w:rsidP="00286F7D">
            <w:pPr>
              <w:pStyle w:val="Texttabulky"/>
              <w:spacing w:after="0"/>
              <w:rPr>
                <w:rFonts w:cs="Arial"/>
              </w:rPr>
            </w:pPr>
            <w:r w:rsidRPr="00286F7D">
              <w:rPr>
                <w:rFonts w:cs="Arial"/>
                <w:b/>
                <w:bCs/>
              </w:rPr>
              <w:t xml:space="preserve">  II</w:t>
            </w:r>
          </w:p>
        </w:tc>
        <w:tc>
          <w:tcPr>
            <w:tcW w:w="1984" w:type="dxa"/>
            <w:tcBorders>
              <w:top w:val="single" w:sz="6" w:space="0" w:color="auto"/>
              <w:left w:val="single" w:sz="6" w:space="0" w:color="auto"/>
              <w:bottom w:val="single" w:sz="6" w:space="0" w:color="auto"/>
              <w:right w:val="single" w:sz="6" w:space="0" w:color="auto"/>
            </w:tcBorders>
          </w:tcPr>
          <w:p w14:paraId="0045C081" w14:textId="77777777" w:rsidR="00286F7D" w:rsidRPr="00286F7D" w:rsidRDefault="00286F7D" w:rsidP="00286F7D">
            <w:pPr>
              <w:pStyle w:val="Texttabulky"/>
              <w:spacing w:after="0"/>
              <w:rPr>
                <w:rFonts w:cs="Arial"/>
              </w:rPr>
            </w:pPr>
            <w:r w:rsidRPr="00286F7D">
              <w:rPr>
                <w:rFonts w:cs="Arial"/>
                <w:b/>
                <w:bCs/>
                <w:caps/>
              </w:rPr>
              <w:t>sektor celkem</w:t>
            </w:r>
          </w:p>
        </w:tc>
        <w:tc>
          <w:tcPr>
            <w:tcW w:w="838" w:type="dxa"/>
            <w:tcBorders>
              <w:top w:val="single" w:sz="6" w:space="0" w:color="auto"/>
              <w:left w:val="single" w:sz="6" w:space="0" w:color="auto"/>
              <w:bottom w:val="single" w:sz="6" w:space="0" w:color="auto"/>
              <w:right w:val="single" w:sz="6" w:space="0" w:color="auto"/>
            </w:tcBorders>
          </w:tcPr>
          <w:p w14:paraId="0EF6C499" w14:textId="77777777" w:rsidR="00286F7D" w:rsidRPr="00286F7D" w:rsidRDefault="00286F7D" w:rsidP="00286F7D">
            <w:pPr>
              <w:pStyle w:val="Texttabulky"/>
              <w:spacing w:after="0"/>
              <w:rPr>
                <w:rFonts w:cs="Arial"/>
              </w:rPr>
            </w:pPr>
            <w:r w:rsidRPr="00286F7D">
              <w:rPr>
                <w:rFonts w:cs="Arial"/>
                <w:b/>
                <w:bCs/>
              </w:rPr>
              <w:t>3 073</w:t>
            </w:r>
          </w:p>
        </w:tc>
        <w:tc>
          <w:tcPr>
            <w:tcW w:w="856" w:type="dxa"/>
            <w:tcBorders>
              <w:top w:val="single" w:sz="6" w:space="0" w:color="auto"/>
              <w:left w:val="single" w:sz="6" w:space="0" w:color="auto"/>
              <w:bottom w:val="single" w:sz="6" w:space="0" w:color="auto"/>
              <w:right w:val="single" w:sz="6" w:space="0" w:color="auto"/>
            </w:tcBorders>
          </w:tcPr>
          <w:p w14:paraId="2BE0C9BF" w14:textId="77777777" w:rsidR="00286F7D" w:rsidRPr="00286F7D" w:rsidRDefault="00286F7D" w:rsidP="00286F7D">
            <w:pPr>
              <w:pStyle w:val="Texttabulky"/>
              <w:spacing w:after="0"/>
              <w:rPr>
                <w:rFonts w:cs="Arial"/>
              </w:rPr>
            </w:pPr>
            <w:r w:rsidRPr="00286F7D">
              <w:rPr>
                <w:rFonts w:cs="Arial"/>
                <w:b/>
                <w:bCs/>
              </w:rPr>
              <w:t>790</w:t>
            </w:r>
          </w:p>
        </w:tc>
        <w:tc>
          <w:tcPr>
            <w:tcW w:w="999" w:type="dxa"/>
            <w:tcBorders>
              <w:top w:val="single" w:sz="6" w:space="0" w:color="auto"/>
              <w:left w:val="single" w:sz="6" w:space="0" w:color="auto"/>
              <w:bottom w:val="single" w:sz="6" w:space="0" w:color="auto"/>
              <w:right w:val="single" w:sz="6" w:space="0" w:color="auto"/>
            </w:tcBorders>
          </w:tcPr>
          <w:p w14:paraId="69A87404" w14:textId="77777777" w:rsidR="00286F7D" w:rsidRPr="00286F7D" w:rsidRDefault="00286F7D" w:rsidP="00286F7D">
            <w:pPr>
              <w:pStyle w:val="Texttabulky"/>
              <w:spacing w:after="0"/>
              <w:rPr>
                <w:rFonts w:cs="Arial"/>
              </w:rPr>
            </w:pPr>
            <w:r w:rsidRPr="00286F7D">
              <w:rPr>
                <w:rFonts w:cs="Arial"/>
                <w:b/>
                <w:bCs/>
              </w:rPr>
              <w:t>1 706</w:t>
            </w:r>
          </w:p>
        </w:tc>
        <w:tc>
          <w:tcPr>
            <w:tcW w:w="993" w:type="dxa"/>
            <w:tcBorders>
              <w:top w:val="single" w:sz="6" w:space="0" w:color="auto"/>
              <w:left w:val="single" w:sz="6" w:space="0" w:color="auto"/>
              <w:bottom w:val="single" w:sz="6" w:space="0" w:color="auto"/>
              <w:right w:val="single" w:sz="6" w:space="0" w:color="auto"/>
            </w:tcBorders>
          </w:tcPr>
          <w:p w14:paraId="7E77A261" w14:textId="77777777" w:rsidR="00286F7D" w:rsidRPr="00286F7D" w:rsidRDefault="00286F7D" w:rsidP="00286F7D">
            <w:pPr>
              <w:pStyle w:val="Texttabulky"/>
              <w:spacing w:after="0"/>
              <w:rPr>
                <w:rFonts w:cs="Arial"/>
              </w:rPr>
            </w:pPr>
            <w:r w:rsidRPr="00286F7D">
              <w:rPr>
                <w:rFonts w:cs="Arial"/>
                <w:b/>
                <w:bCs/>
              </w:rPr>
              <w:t>5 569</w:t>
            </w:r>
          </w:p>
        </w:tc>
        <w:tc>
          <w:tcPr>
            <w:tcW w:w="2428" w:type="dxa"/>
            <w:tcBorders>
              <w:top w:val="single" w:sz="6" w:space="0" w:color="auto"/>
              <w:left w:val="single" w:sz="6" w:space="0" w:color="auto"/>
              <w:bottom w:val="single" w:sz="6" w:space="0" w:color="auto"/>
              <w:right w:val="single" w:sz="6" w:space="0" w:color="auto"/>
            </w:tcBorders>
          </w:tcPr>
          <w:p w14:paraId="4E9D56C7" w14:textId="77777777" w:rsidR="00286F7D" w:rsidRPr="00286F7D" w:rsidRDefault="00286F7D" w:rsidP="00286F7D">
            <w:pPr>
              <w:pStyle w:val="Zkladntext"/>
              <w:spacing w:after="0"/>
              <w:rPr>
                <w:rFonts w:ascii="Arial" w:hAnsi="Arial" w:cs="Arial"/>
              </w:rPr>
            </w:pPr>
          </w:p>
        </w:tc>
      </w:tr>
      <w:tr w:rsidR="00286F7D" w:rsidRPr="00286F7D" w14:paraId="0C3DCA1B" w14:textId="77777777" w:rsidTr="00286F7D">
        <w:tc>
          <w:tcPr>
            <w:tcW w:w="426" w:type="dxa"/>
            <w:tcBorders>
              <w:top w:val="single" w:sz="6" w:space="0" w:color="auto"/>
              <w:left w:val="single" w:sz="6" w:space="0" w:color="auto"/>
              <w:bottom w:val="single" w:sz="6" w:space="0" w:color="auto"/>
              <w:right w:val="single" w:sz="6" w:space="0" w:color="auto"/>
            </w:tcBorders>
          </w:tcPr>
          <w:p w14:paraId="5BAAE5D0" w14:textId="77777777" w:rsidR="00286F7D" w:rsidRPr="00286F7D" w:rsidRDefault="00286F7D" w:rsidP="00286F7D">
            <w:pPr>
              <w:pStyle w:val="Texttabulky"/>
              <w:spacing w:after="0"/>
              <w:jc w:val="right"/>
              <w:rPr>
                <w:rFonts w:cs="Arial"/>
              </w:rPr>
            </w:pPr>
            <w:r w:rsidRPr="00286F7D">
              <w:rPr>
                <w:rFonts w:cs="Arial"/>
              </w:rPr>
              <w:t>16</w:t>
            </w:r>
          </w:p>
        </w:tc>
        <w:tc>
          <w:tcPr>
            <w:tcW w:w="1984" w:type="dxa"/>
            <w:tcBorders>
              <w:top w:val="single" w:sz="6" w:space="0" w:color="auto"/>
              <w:left w:val="single" w:sz="6" w:space="0" w:color="auto"/>
              <w:bottom w:val="single" w:sz="6" w:space="0" w:color="auto"/>
              <w:right w:val="single" w:sz="6" w:space="0" w:color="auto"/>
            </w:tcBorders>
          </w:tcPr>
          <w:p w14:paraId="463F5652" w14:textId="77777777" w:rsidR="00286F7D" w:rsidRPr="00286F7D" w:rsidRDefault="00286F7D" w:rsidP="00286F7D">
            <w:pPr>
              <w:pStyle w:val="Texttabulky"/>
              <w:spacing w:after="0"/>
              <w:rPr>
                <w:rFonts w:cs="Arial"/>
              </w:rPr>
            </w:pPr>
            <w:r w:rsidRPr="00286F7D">
              <w:rPr>
                <w:rFonts w:cs="Arial"/>
              </w:rPr>
              <w:t>Vilsnice</w:t>
            </w:r>
          </w:p>
        </w:tc>
        <w:tc>
          <w:tcPr>
            <w:tcW w:w="838" w:type="dxa"/>
            <w:tcBorders>
              <w:top w:val="single" w:sz="6" w:space="0" w:color="auto"/>
              <w:left w:val="single" w:sz="6" w:space="0" w:color="auto"/>
              <w:bottom w:val="single" w:sz="6" w:space="0" w:color="auto"/>
              <w:right w:val="single" w:sz="6" w:space="0" w:color="auto"/>
            </w:tcBorders>
          </w:tcPr>
          <w:p w14:paraId="06DF6800" w14:textId="77777777" w:rsidR="00286F7D" w:rsidRPr="00286F7D" w:rsidRDefault="00286F7D" w:rsidP="00286F7D">
            <w:pPr>
              <w:pStyle w:val="Texttabulky"/>
              <w:spacing w:after="0"/>
              <w:rPr>
                <w:rFonts w:cs="Arial"/>
              </w:rPr>
            </w:pPr>
            <w:r w:rsidRPr="00286F7D">
              <w:rPr>
                <w:rFonts w:cs="Arial"/>
              </w:rPr>
              <w:t>408</w:t>
            </w:r>
          </w:p>
        </w:tc>
        <w:tc>
          <w:tcPr>
            <w:tcW w:w="856" w:type="dxa"/>
            <w:tcBorders>
              <w:top w:val="single" w:sz="6" w:space="0" w:color="auto"/>
              <w:left w:val="single" w:sz="6" w:space="0" w:color="auto"/>
              <w:bottom w:val="single" w:sz="6" w:space="0" w:color="auto"/>
              <w:right w:val="single" w:sz="6" w:space="0" w:color="auto"/>
            </w:tcBorders>
          </w:tcPr>
          <w:p w14:paraId="43A5842B" w14:textId="77777777" w:rsidR="00286F7D" w:rsidRPr="00286F7D" w:rsidRDefault="00286F7D" w:rsidP="00286F7D">
            <w:pPr>
              <w:pStyle w:val="Texttabulky"/>
              <w:spacing w:after="0"/>
              <w:rPr>
                <w:rFonts w:cs="Arial"/>
              </w:rPr>
            </w:pPr>
            <w:r w:rsidRPr="00286F7D">
              <w:rPr>
                <w:rFonts w:cs="Arial"/>
              </w:rPr>
              <w:t>20</w:t>
            </w:r>
          </w:p>
        </w:tc>
        <w:tc>
          <w:tcPr>
            <w:tcW w:w="999" w:type="dxa"/>
            <w:tcBorders>
              <w:top w:val="single" w:sz="6" w:space="0" w:color="auto"/>
              <w:left w:val="single" w:sz="6" w:space="0" w:color="auto"/>
              <w:bottom w:val="single" w:sz="6" w:space="0" w:color="auto"/>
              <w:right w:val="single" w:sz="6" w:space="0" w:color="auto"/>
            </w:tcBorders>
          </w:tcPr>
          <w:p w14:paraId="3FCC39FE" w14:textId="77777777" w:rsidR="00286F7D" w:rsidRPr="00286F7D" w:rsidRDefault="00286F7D" w:rsidP="00286F7D">
            <w:pPr>
              <w:pStyle w:val="Texttabulky"/>
              <w:spacing w:after="0"/>
              <w:rPr>
                <w:rFonts w:cs="Arial"/>
              </w:rPr>
            </w:pPr>
            <w:r w:rsidRPr="00286F7D">
              <w:rPr>
                <w:rFonts w:cs="Arial"/>
              </w:rPr>
              <w:t>-265</w:t>
            </w:r>
          </w:p>
        </w:tc>
        <w:tc>
          <w:tcPr>
            <w:tcW w:w="993" w:type="dxa"/>
            <w:tcBorders>
              <w:top w:val="single" w:sz="6" w:space="0" w:color="auto"/>
              <w:left w:val="single" w:sz="6" w:space="0" w:color="auto"/>
              <w:bottom w:val="single" w:sz="6" w:space="0" w:color="auto"/>
              <w:right w:val="single" w:sz="6" w:space="0" w:color="auto"/>
            </w:tcBorders>
          </w:tcPr>
          <w:p w14:paraId="18D98CFC" w14:textId="77777777" w:rsidR="00286F7D" w:rsidRPr="00286F7D" w:rsidRDefault="00286F7D" w:rsidP="00286F7D">
            <w:pPr>
              <w:pStyle w:val="Texttabulky"/>
              <w:spacing w:after="0"/>
              <w:rPr>
                <w:rFonts w:cs="Arial"/>
              </w:rPr>
            </w:pPr>
            <w:r w:rsidRPr="00286F7D">
              <w:rPr>
                <w:rFonts w:cs="Arial"/>
              </w:rPr>
              <w:t>163</w:t>
            </w:r>
          </w:p>
        </w:tc>
        <w:tc>
          <w:tcPr>
            <w:tcW w:w="2428" w:type="dxa"/>
            <w:tcBorders>
              <w:top w:val="single" w:sz="6" w:space="0" w:color="auto"/>
              <w:left w:val="single" w:sz="6" w:space="0" w:color="auto"/>
              <w:bottom w:val="single" w:sz="6" w:space="0" w:color="auto"/>
              <w:right w:val="single" w:sz="6" w:space="0" w:color="auto"/>
            </w:tcBorders>
          </w:tcPr>
          <w:p w14:paraId="6D024C80" w14:textId="77777777" w:rsidR="00286F7D" w:rsidRPr="00286F7D" w:rsidRDefault="00286F7D" w:rsidP="00286F7D">
            <w:pPr>
              <w:pStyle w:val="Texttabulky"/>
              <w:spacing w:after="0"/>
              <w:rPr>
                <w:rFonts w:cs="Arial"/>
              </w:rPr>
            </w:pPr>
            <w:r w:rsidRPr="00286F7D">
              <w:rPr>
                <w:rFonts w:cs="Arial"/>
              </w:rPr>
              <w:t>nutno řešit firmy</w:t>
            </w:r>
          </w:p>
        </w:tc>
      </w:tr>
      <w:tr w:rsidR="00286F7D" w:rsidRPr="00286F7D" w14:paraId="10AB9E2C" w14:textId="77777777" w:rsidTr="00286F7D">
        <w:tc>
          <w:tcPr>
            <w:tcW w:w="426" w:type="dxa"/>
            <w:tcBorders>
              <w:top w:val="single" w:sz="6" w:space="0" w:color="auto"/>
              <w:left w:val="single" w:sz="6" w:space="0" w:color="auto"/>
              <w:bottom w:val="single" w:sz="6" w:space="0" w:color="auto"/>
              <w:right w:val="single" w:sz="6" w:space="0" w:color="auto"/>
            </w:tcBorders>
          </w:tcPr>
          <w:p w14:paraId="397F2E2C" w14:textId="77777777" w:rsidR="00286F7D" w:rsidRPr="00286F7D" w:rsidRDefault="00286F7D" w:rsidP="00286F7D">
            <w:pPr>
              <w:pStyle w:val="Texttabulky"/>
              <w:spacing w:after="0"/>
              <w:jc w:val="right"/>
              <w:rPr>
                <w:rFonts w:cs="Arial"/>
              </w:rPr>
            </w:pPr>
            <w:r w:rsidRPr="00286F7D">
              <w:rPr>
                <w:rFonts w:cs="Arial"/>
              </w:rPr>
              <w:t>17</w:t>
            </w:r>
          </w:p>
        </w:tc>
        <w:tc>
          <w:tcPr>
            <w:tcW w:w="1984" w:type="dxa"/>
            <w:tcBorders>
              <w:top w:val="single" w:sz="6" w:space="0" w:color="auto"/>
              <w:left w:val="single" w:sz="6" w:space="0" w:color="auto"/>
              <w:bottom w:val="single" w:sz="6" w:space="0" w:color="auto"/>
              <w:right w:val="single" w:sz="6" w:space="0" w:color="auto"/>
            </w:tcBorders>
          </w:tcPr>
          <w:p w14:paraId="5F1B28F2" w14:textId="77777777" w:rsidR="00286F7D" w:rsidRPr="00286F7D" w:rsidRDefault="00286F7D" w:rsidP="00286F7D">
            <w:pPr>
              <w:pStyle w:val="Texttabulky"/>
              <w:spacing w:after="0"/>
              <w:rPr>
                <w:rFonts w:cs="Arial"/>
              </w:rPr>
            </w:pPr>
            <w:r w:rsidRPr="00286F7D">
              <w:rPr>
                <w:rFonts w:cs="Arial"/>
              </w:rPr>
              <w:t>Chrochvice</w:t>
            </w:r>
          </w:p>
        </w:tc>
        <w:tc>
          <w:tcPr>
            <w:tcW w:w="838" w:type="dxa"/>
            <w:tcBorders>
              <w:top w:val="single" w:sz="6" w:space="0" w:color="auto"/>
              <w:left w:val="single" w:sz="6" w:space="0" w:color="auto"/>
              <w:bottom w:val="single" w:sz="6" w:space="0" w:color="auto"/>
              <w:right w:val="single" w:sz="6" w:space="0" w:color="auto"/>
            </w:tcBorders>
          </w:tcPr>
          <w:p w14:paraId="2FFEB963" w14:textId="77777777" w:rsidR="00286F7D" w:rsidRPr="00286F7D" w:rsidRDefault="00286F7D" w:rsidP="00286F7D">
            <w:pPr>
              <w:pStyle w:val="Texttabulky"/>
              <w:spacing w:after="0"/>
              <w:rPr>
                <w:rFonts w:cs="Arial"/>
              </w:rPr>
            </w:pPr>
            <w:r w:rsidRPr="00286F7D">
              <w:rPr>
                <w:rFonts w:cs="Arial"/>
              </w:rPr>
              <w:t>458</w:t>
            </w:r>
          </w:p>
        </w:tc>
        <w:tc>
          <w:tcPr>
            <w:tcW w:w="856" w:type="dxa"/>
            <w:tcBorders>
              <w:top w:val="single" w:sz="6" w:space="0" w:color="auto"/>
              <w:left w:val="single" w:sz="6" w:space="0" w:color="auto"/>
              <w:bottom w:val="single" w:sz="6" w:space="0" w:color="auto"/>
              <w:right w:val="single" w:sz="6" w:space="0" w:color="auto"/>
            </w:tcBorders>
          </w:tcPr>
          <w:p w14:paraId="5A1ACCE7" w14:textId="77777777" w:rsidR="00286F7D" w:rsidRPr="00286F7D" w:rsidRDefault="00286F7D" w:rsidP="00286F7D">
            <w:pPr>
              <w:pStyle w:val="Texttabulky"/>
              <w:spacing w:after="0"/>
              <w:rPr>
                <w:rFonts w:cs="Arial"/>
              </w:rPr>
            </w:pPr>
            <w:r w:rsidRPr="00286F7D">
              <w:rPr>
                <w:rFonts w:cs="Arial"/>
              </w:rPr>
              <w:t>82</w:t>
            </w:r>
          </w:p>
        </w:tc>
        <w:tc>
          <w:tcPr>
            <w:tcW w:w="999" w:type="dxa"/>
            <w:tcBorders>
              <w:top w:val="single" w:sz="6" w:space="0" w:color="auto"/>
              <w:left w:val="single" w:sz="6" w:space="0" w:color="auto"/>
              <w:bottom w:val="single" w:sz="6" w:space="0" w:color="auto"/>
              <w:right w:val="single" w:sz="6" w:space="0" w:color="auto"/>
            </w:tcBorders>
          </w:tcPr>
          <w:p w14:paraId="51338DC3" w14:textId="77777777" w:rsidR="00286F7D" w:rsidRPr="00286F7D" w:rsidRDefault="00286F7D" w:rsidP="00286F7D">
            <w:pPr>
              <w:pStyle w:val="Texttabulky"/>
              <w:spacing w:after="0"/>
              <w:rPr>
                <w:rFonts w:cs="Arial"/>
              </w:rPr>
            </w:pPr>
            <w:r w:rsidRPr="00286F7D">
              <w:rPr>
                <w:rFonts w:cs="Arial"/>
              </w:rPr>
              <w:t>43</w:t>
            </w:r>
          </w:p>
        </w:tc>
        <w:tc>
          <w:tcPr>
            <w:tcW w:w="993" w:type="dxa"/>
            <w:tcBorders>
              <w:top w:val="single" w:sz="6" w:space="0" w:color="auto"/>
              <w:left w:val="single" w:sz="6" w:space="0" w:color="auto"/>
              <w:bottom w:val="single" w:sz="6" w:space="0" w:color="auto"/>
              <w:right w:val="single" w:sz="6" w:space="0" w:color="auto"/>
            </w:tcBorders>
          </w:tcPr>
          <w:p w14:paraId="41D2557F" w14:textId="77777777" w:rsidR="00286F7D" w:rsidRPr="00286F7D" w:rsidRDefault="00286F7D" w:rsidP="00286F7D">
            <w:pPr>
              <w:pStyle w:val="Texttabulky"/>
              <w:spacing w:after="0"/>
              <w:rPr>
                <w:rFonts w:cs="Arial"/>
              </w:rPr>
            </w:pPr>
            <w:r w:rsidRPr="00286F7D">
              <w:rPr>
                <w:rFonts w:cs="Arial"/>
              </w:rPr>
              <w:t>583</w:t>
            </w:r>
          </w:p>
        </w:tc>
        <w:tc>
          <w:tcPr>
            <w:tcW w:w="2428" w:type="dxa"/>
            <w:tcBorders>
              <w:top w:val="single" w:sz="6" w:space="0" w:color="auto"/>
              <w:left w:val="single" w:sz="6" w:space="0" w:color="auto"/>
              <w:bottom w:val="single" w:sz="6" w:space="0" w:color="auto"/>
              <w:right w:val="single" w:sz="6" w:space="0" w:color="auto"/>
            </w:tcBorders>
          </w:tcPr>
          <w:p w14:paraId="3D26B2F1"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60F1E260" w14:textId="77777777" w:rsidTr="00286F7D">
        <w:tc>
          <w:tcPr>
            <w:tcW w:w="426" w:type="dxa"/>
            <w:tcBorders>
              <w:top w:val="single" w:sz="6" w:space="0" w:color="auto"/>
              <w:left w:val="single" w:sz="6" w:space="0" w:color="auto"/>
              <w:bottom w:val="single" w:sz="6" w:space="0" w:color="auto"/>
              <w:right w:val="single" w:sz="6" w:space="0" w:color="auto"/>
            </w:tcBorders>
          </w:tcPr>
          <w:p w14:paraId="22DFB090" w14:textId="77777777" w:rsidR="00286F7D" w:rsidRPr="00286F7D" w:rsidRDefault="00286F7D" w:rsidP="00286F7D">
            <w:pPr>
              <w:pStyle w:val="Texttabulky"/>
              <w:spacing w:after="0"/>
              <w:jc w:val="right"/>
              <w:rPr>
                <w:rFonts w:cs="Arial"/>
              </w:rPr>
            </w:pPr>
            <w:r w:rsidRPr="00286F7D">
              <w:rPr>
                <w:rFonts w:cs="Arial"/>
              </w:rPr>
              <w:t>41</w:t>
            </w:r>
          </w:p>
        </w:tc>
        <w:tc>
          <w:tcPr>
            <w:tcW w:w="1984" w:type="dxa"/>
            <w:tcBorders>
              <w:top w:val="single" w:sz="6" w:space="0" w:color="auto"/>
              <w:left w:val="single" w:sz="6" w:space="0" w:color="auto"/>
              <w:bottom w:val="single" w:sz="6" w:space="0" w:color="auto"/>
              <w:right w:val="single" w:sz="6" w:space="0" w:color="auto"/>
            </w:tcBorders>
          </w:tcPr>
          <w:p w14:paraId="7A854F16" w14:textId="77777777" w:rsidR="00286F7D" w:rsidRPr="00286F7D" w:rsidRDefault="00286F7D" w:rsidP="00286F7D">
            <w:pPr>
              <w:pStyle w:val="Texttabulky"/>
              <w:spacing w:after="0"/>
              <w:rPr>
                <w:rFonts w:cs="Arial"/>
              </w:rPr>
            </w:pPr>
            <w:r w:rsidRPr="00286F7D">
              <w:rPr>
                <w:rFonts w:cs="Arial"/>
              </w:rPr>
              <w:t>Chmelník</w:t>
            </w:r>
          </w:p>
        </w:tc>
        <w:tc>
          <w:tcPr>
            <w:tcW w:w="838" w:type="dxa"/>
            <w:tcBorders>
              <w:top w:val="single" w:sz="6" w:space="0" w:color="auto"/>
              <w:left w:val="single" w:sz="6" w:space="0" w:color="auto"/>
              <w:bottom w:val="single" w:sz="6" w:space="0" w:color="auto"/>
              <w:right w:val="single" w:sz="6" w:space="0" w:color="auto"/>
            </w:tcBorders>
          </w:tcPr>
          <w:p w14:paraId="673809D5" w14:textId="77777777" w:rsidR="00286F7D" w:rsidRPr="00286F7D" w:rsidRDefault="00286F7D" w:rsidP="00286F7D">
            <w:pPr>
              <w:pStyle w:val="Texttabulky"/>
              <w:spacing w:after="0"/>
              <w:rPr>
                <w:rFonts w:cs="Arial"/>
              </w:rPr>
            </w:pPr>
            <w:r w:rsidRPr="00286F7D">
              <w:rPr>
                <w:rFonts w:cs="Arial"/>
              </w:rPr>
              <w:t>0</w:t>
            </w:r>
          </w:p>
        </w:tc>
        <w:tc>
          <w:tcPr>
            <w:tcW w:w="856" w:type="dxa"/>
            <w:tcBorders>
              <w:top w:val="single" w:sz="6" w:space="0" w:color="auto"/>
              <w:left w:val="single" w:sz="6" w:space="0" w:color="auto"/>
              <w:bottom w:val="single" w:sz="6" w:space="0" w:color="auto"/>
              <w:right w:val="single" w:sz="6" w:space="0" w:color="auto"/>
            </w:tcBorders>
          </w:tcPr>
          <w:p w14:paraId="6BDE208B"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4393717A"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0A752E44" w14:textId="77777777" w:rsidR="00286F7D" w:rsidRPr="00286F7D" w:rsidRDefault="00286F7D" w:rsidP="00286F7D">
            <w:pPr>
              <w:pStyle w:val="Texttabulky"/>
              <w:spacing w:after="0"/>
              <w:rPr>
                <w:rFonts w:cs="Arial"/>
              </w:rPr>
            </w:pPr>
            <w:r w:rsidRPr="00286F7D">
              <w:rPr>
                <w:rFonts w:cs="Arial"/>
              </w:rPr>
              <w:t>0</w:t>
            </w:r>
          </w:p>
        </w:tc>
        <w:tc>
          <w:tcPr>
            <w:tcW w:w="2428" w:type="dxa"/>
            <w:tcBorders>
              <w:top w:val="single" w:sz="6" w:space="0" w:color="auto"/>
              <w:left w:val="single" w:sz="6" w:space="0" w:color="auto"/>
              <w:bottom w:val="single" w:sz="6" w:space="0" w:color="auto"/>
              <w:right w:val="single" w:sz="6" w:space="0" w:color="auto"/>
            </w:tcBorders>
          </w:tcPr>
          <w:p w14:paraId="4C7C8B1E"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5B6A4173" w14:textId="77777777" w:rsidTr="00286F7D">
        <w:tc>
          <w:tcPr>
            <w:tcW w:w="426" w:type="dxa"/>
            <w:tcBorders>
              <w:top w:val="single" w:sz="6" w:space="0" w:color="auto"/>
              <w:left w:val="single" w:sz="6" w:space="0" w:color="auto"/>
              <w:bottom w:val="single" w:sz="6" w:space="0" w:color="auto"/>
              <w:right w:val="single" w:sz="6" w:space="0" w:color="auto"/>
            </w:tcBorders>
          </w:tcPr>
          <w:p w14:paraId="3A866CF8" w14:textId="77777777" w:rsidR="00286F7D" w:rsidRPr="00286F7D" w:rsidRDefault="00286F7D" w:rsidP="00286F7D">
            <w:pPr>
              <w:pStyle w:val="Texttabulky"/>
              <w:spacing w:after="0"/>
              <w:jc w:val="right"/>
              <w:rPr>
                <w:rFonts w:cs="Arial"/>
              </w:rPr>
            </w:pPr>
            <w:r w:rsidRPr="00286F7D">
              <w:rPr>
                <w:rFonts w:cs="Arial"/>
              </w:rPr>
              <w:t>42</w:t>
            </w:r>
          </w:p>
        </w:tc>
        <w:tc>
          <w:tcPr>
            <w:tcW w:w="1984" w:type="dxa"/>
            <w:tcBorders>
              <w:top w:val="single" w:sz="6" w:space="0" w:color="auto"/>
              <w:left w:val="single" w:sz="6" w:space="0" w:color="auto"/>
              <w:bottom w:val="single" w:sz="6" w:space="0" w:color="auto"/>
              <w:right w:val="single" w:sz="6" w:space="0" w:color="auto"/>
            </w:tcBorders>
          </w:tcPr>
          <w:p w14:paraId="520F35BE" w14:textId="77777777" w:rsidR="00286F7D" w:rsidRPr="00286F7D" w:rsidRDefault="00286F7D" w:rsidP="00286F7D">
            <w:pPr>
              <w:pStyle w:val="Texttabulky"/>
              <w:spacing w:after="0"/>
              <w:rPr>
                <w:rFonts w:cs="Arial"/>
              </w:rPr>
            </w:pPr>
            <w:r w:rsidRPr="00286F7D">
              <w:rPr>
                <w:rFonts w:cs="Arial"/>
              </w:rPr>
              <w:t>Krásný Studenec</w:t>
            </w:r>
          </w:p>
        </w:tc>
        <w:tc>
          <w:tcPr>
            <w:tcW w:w="838" w:type="dxa"/>
            <w:tcBorders>
              <w:top w:val="single" w:sz="6" w:space="0" w:color="auto"/>
              <w:left w:val="single" w:sz="6" w:space="0" w:color="auto"/>
              <w:bottom w:val="single" w:sz="6" w:space="0" w:color="auto"/>
              <w:right w:val="single" w:sz="6" w:space="0" w:color="auto"/>
            </w:tcBorders>
          </w:tcPr>
          <w:p w14:paraId="2C8D9716" w14:textId="77777777" w:rsidR="00286F7D" w:rsidRPr="00286F7D" w:rsidRDefault="00286F7D" w:rsidP="00286F7D">
            <w:pPr>
              <w:pStyle w:val="Texttabulky"/>
              <w:spacing w:after="0"/>
              <w:rPr>
                <w:rFonts w:cs="Arial"/>
              </w:rPr>
            </w:pPr>
            <w:r w:rsidRPr="00286F7D">
              <w:rPr>
                <w:rFonts w:cs="Arial"/>
              </w:rPr>
              <w:t>46</w:t>
            </w:r>
          </w:p>
        </w:tc>
        <w:tc>
          <w:tcPr>
            <w:tcW w:w="856" w:type="dxa"/>
            <w:tcBorders>
              <w:top w:val="single" w:sz="6" w:space="0" w:color="auto"/>
              <w:left w:val="single" w:sz="6" w:space="0" w:color="auto"/>
              <w:bottom w:val="single" w:sz="6" w:space="0" w:color="auto"/>
              <w:right w:val="single" w:sz="6" w:space="0" w:color="auto"/>
            </w:tcBorders>
          </w:tcPr>
          <w:p w14:paraId="4EE9F165" w14:textId="77777777" w:rsidR="00286F7D" w:rsidRPr="00286F7D" w:rsidRDefault="00286F7D" w:rsidP="00286F7D">
            <w:pPr>
              <w:pStyle w:val="Texttabulky"/>
              <w:spacing w:after="0"/>
              <w:rPr>
                <w:rFonts w:cs="Arial"/>
              </w:rPr>
            </w:pPr>
            <w:r w:rsidRPr="00286F7D">
              <w:rPr>
                <w:rFonts w:cs="Arial"/>
              </w:rPr>
              <w:t>54</w:t>
            </w:r>
          </w:p>
        </w:tc>
        <w:tc>
          <w:tcPr>
            <w:tcW w:w="999" w:type="dxa"/>
            <w:tcBorders>
              <w:top w:val="single" w:sz="6" w:space="0" w:color="auto"/>
              <w:left w:val="single" w:sz="6" w:space="0" w:color="auto"/>
              <w:bottom w:val="single" w:sz="6" w:space="0" w:color="auto"/>
              <w:right w:val="single" w:sz="6" w:space="0" w:color="auto"/>
            </w:tcBorders>
          </w:tcPr>
          <w:p w14:paraId="7FDE97B0"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196E3FA3" w14:textId="77777777" w:rsidR="00286F7D" w:rsidRPr="00286F7D" w:rsidRDefault="00286F7D" w:rsidP="00286F7D">
            <w:pPr>
              <w:pStyle w:val="Texttabulky"/>
              <w:spacing w:after="0"/>
              <w:rPr>
                <w:rFonts w:cs="Arial"/>
              </w:rPr>
            </w:pPr>
            <w:r w:rsidRPr="00286F7D">
              <w:rPr>
                <w:rFonts w:cs="Arial"/>
              </w:rPr>
              <w:t>100</w:t>
            </w:r>
          </w:p>
        </w:tc>
        <w:tc>
          <w:tcPr>
            <w:tcW w:w="2428" w:type="dxa"/>
            <w:tcBorders>
              <w:top w:val="single" w:sz="6" w:space="0" w:color="auto"/>
              <w:left w:val="single" w:sz="6" w:space="0" w:color="auto"/>
              <w:bottom w:val="single" w:sz="6" w:space="0" w:color="auto"/>
              <w:right w:val="single" w:sz="6" w:space="0" w:color="auto"/>
            </w:tcBorders>
          </w:tcPr>
          <w:p w14:paraId="358C1E11"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1A416173" w14:textId="77777777" w:rsidTr="00286F7D">
        <w:tc>
          <w:tcPr>
            <w:tcW w:w="426" w:type="dxa"/>
            <w:tcBorders>
              <w:top w:val="single" w:sz="6" w:space="0" w:color="auto"/>
              <w:left w:val="single" w:sz="6" w:space="0" w:color="auto"/>
              <w:bottom w:val="single" w:sz="6" w:space="0" w:color="auto"/>
              <w:right w:val="single" w:sz="6" w:space="0" w:color="auto"/>
            </w:tcBorders>
          </w:tcPr>
          <w:p w14:paraId="165DB95D" w14:textId="77777777" w:rsidR="00286F7D" w:rsidRPr="00286F7D" w:rsidRDefault="00286F7D" w:rsidP="00286F7D">
            <w:pPr>
              <w:pStyle w:val="Texttabulky"/>
              <w:spacing w:after="0"/>
              <w:rPr>
                <w:rFonts w:cs="Arial"/>
              </w:rPr>
            </w:pPr>
            <w:r w:rsidRPr="00286F7D">
              <w:rPr>
                <w:rFonts w:cs="Arial"/>
                <w:b/>
                <w:bCs/>
              </w:rPr>
              <w:t xml:space="preserve"> III</w:t>
            </w:r>
          </w:p>
        </w:tc>
        <w:tc>
          <w:tcPr>
            <w:tcW w:w="1984" w:type="dxa"/>
            <w:tcBorders>
              <w:top w:val="single" w:sz="6" w:space="0" w:color="auto"/>
              <w:left w:val="single" w:sz="6" w:space="0" w:color="auto"/>
              <w:bottom w:val="single" w:sz="6" w:space="0" w:color="auto"/>
              <w:right w:val="single" w:sz="6" w:space="0" w:color="auto"/>
            </w:tcBorders>
          </w:tcPr>
          <w:p w14:paraId="249CDD6F" w14:textId="77777777" w:rsidR="00286F7D" w:rsidRPr="00286F7D" w:rsidRDefault="00286F7D" w:rsidP="00286F7D">
            <w:pPr>
              <w:pStyle w:val="Texttabulky"/>
              <w:spacing w:after="0"/>
              <w:rPr>
                <w:rFonts w:cs="Arial"/>
              </w:rPr>
            </w:pPr>
            <w:r w:rsidRPr="00286F7D">
              <w:rPr>
                <w:rFonts w:cs="Arial"/>
                <w:b/>
                <w:bCs/>
              </w:rPr>
              <w:t>sektor celkem</w:t>
            </w:r>
          </w:p>
        </w:tc>
        <w:tc>
          <w:tcPr>
            <w:tcW w:w="838" w:type="dxa"/>
            <w:tcBorders>
              <w:top w:val="single" w:sz="6" w:space="0" w:color="auto"/>
              <w:left w:val="single" w:sz="6" w:space="0" w:color="auto"/>
              <w:bottom w:val="single" w:sz="6" w:space="0" w:color="auto"/>
              <w:right w:val="single" w:sz="6" w:space="0" w:color="auto"/>
            </w:tcBorders>
          </w:tcPr>
          <w:p w14:paraId="30E7AB17" w14:textId="77777777" w:rsidR="00286F7D" w:rsidRPr="00286F7D" w:rsidRDefault="00286F7D" w:rsidP="00286F7D">
            <w:pPr>
              <w:pStyle w:val="Texttabulky"/>
              <w:spacing w:after="0"/>
              <w:rPr>
                <w:rFonts w:cs="Arial"/>
              </w:rPr>
            </w:pPr>
            <w:r w:rsidRPr="00286F7D">
              <w:rPr>
                <w:rFonts w:cs="Arial"/>
                <w:b/>
                <w:bCs/>
              </w:rPr>
              <w:t>912</w:t>
            </w:r>
          </w:p>
        </w:tc>
        <w:tc>
          <w:tcPr>
            <w:tcW w:w="856" w:type="dxa"/>
            <w:tcBorders>
              <w:top w:val="single" w:sz="6" w:space="0" w:color="auto"/>
              <w:left w:val="single" w:sz="6" w:space="0" w:color="auto"/>
              <w:bottom w:val="single" w:sz="6" w:space="0" w:color="auto"/>
              <w:right w:val="single" w:sz="6" w:space="0" w:color="auto"/>
            </w:tcBorders>
          </w:tcPr>
          <w:p w14:paraId="429B5AEF" w14:textId="77777777" w:rsidR="00286F7D" w:rsidRPr="00286F7D" w:rsidRDefault="00286F7D" w:rsidP="00286F7D">
            <w:pPr>
              <w:pStyle w:val="Texttabulky"/>
              <w:spacing w:after="0"/>
              <w:rPr>
                <w:rFonts w:cs="Arial"/>
              </w:rPr>
            </w:pPr>
            <w:r w:rsidRPr="00286F7D">
              <w:rPr>
                <w:rFonts w:cs="Arial"/>
                <w:b/>
                <w:bCs/>
              </w:rPr>
              <w:t>156</w:t>
            </w:r>
          </w:p>
        </w:tc>
        <w:tc>
          <w:tcPr>
            <w:tcW w:w="999" w:type="dxa"/>
            <w:tcBorders>
              <w:top w:val="single" w:sz="6" w:space="0" w:color="auto"/>
              <w:left w:val="single" w:sz="6" w:space="0" w:color="auto"/>
              <w:bottom w:val="single" w:sz="6" w:space="0" w:color="auto"/>
              <w:right w:val="single" w:sz="6" w:space="0" w:color="auto"/>
            </w:tcBorders>
          </w:tcPr>
          <w:p w14:paraId="5CFC6AE6" w14:textId="77777777" w:rsidR="00286F7D" w:rsidRPr="00286F7D" w:rsidRDefault="00286F7D" w:rsidP="00286F7D">
            <w:pPr>
              <w:pStyle w:val="Texttabulky"/>
              <w:spacing w:after="0"/>
              <w:rPr>
                <w:rFonts w:cs="Arial"/>
              </w:rPr>
            </w:pPr>
            <w:r w:rsidRPr="00286F7D">
              <w:rPr>
                <w:rFonts w:cs="Arial"/>
                <w:b/>
                <w:bCs/>
              </w:rPr>
              <w:t>- 222</w:t>
            </w:r>
          </w:p>
        </w:tc>
        <w:tc>
          <w:tcPr>
            <w:tcW w:w="993" w:type="dxa"/>
            <w:tcBorders>
              <w:top w:val="single" w:sz="6" w:space="0" w:color="auto"/>
              <w:left w:val="single" w:sz="6" w:space="0" w:color="auto"/>
              <w:bottom w:val="single" w:sz="6" w:space="0" w:color="auto"/>
              <w:right w:val="single" w:sz="6" w:space="0" w:color="auto"/>
            </w:tcBorders>
          </w:tcPr>
          <w:p w14:paraId="5A9DDEDB" w14:textId="77777777" w:rsidR="00286F7D" w:rsidRPr="00286F7D" w:rsidRDefault="00286F7D" w:rsidP="00286F7D">
            <w:pPr>
              <w:pStyle w:val="Texttabulky"/>
              <w:spacing w:after="0"/>
              <w:rPr>
                <w:rFonts w:cs="Arial"/>
              </w:rPr>
            </w:pPr>
            <w:r w:rsidRPr="00286F7D">
              <w:rPr>
                <w:rFonts w:cs="Arial"/>
                <w:b/>
                <w:bCs/>
              </w:rPr>
              <w:t>846</w:t>
            </w:r>
          </w:p>
        </w:tc>
        <w:tc>
          <w:tcPr>
            <w:tcW w:w="2428" w:type="dxa"/>
            <w:tcBorders>
              <w:top w:val="single" w:sz="6" w:space="0" w:color="auto"/>
              <w:left w:val="single" w:sz="6" w:space="0" w:color="auto"/>
              <w:bottom w:val="single" w:sz="6" w:space="0" w:color="auto"/>
              <w:right w:val="single" w:sz="6" w:space="0" w:color="auto"/>
            </w:tcBorders>
          </w:tcPr>
          <w:p w14:paraId="757B6793" w14:textId="77777777" w:rsidR="00286F7D" w:rsidRPr="00286F7D" w:rsidRDefault="00286F7D" w:rsidP="00286F7D">
            <w:pPr>
              <w:pStyle w:val="Zkladntext"/>
              <w:spacing w:after="0"/>
              <w:rPr>
                <w:rFonts w:ascii="Arial" w:hAnsi="Arial" w:cs="Arial"/>
              </w:rPr>
            </w:pPr>
          </w:p>
        </w:tc>
      </w:tr>
      <w:tr w:rsidR="00286F7D" w:rsidRPr="00286F7D" w14:paraId="11CF6A20" w14:textId="77777777" w:rsidTr="00286F7D">
        <w:tc>
          <w:tcPr>
            <w:tcW w:w="426" w:type="dxa"/>
            <w:tcBorders>
              <w:top w:val="single" w:sz="6" w:space="0" w:color="auto"/>
              <w:left w:val="single" w:sz="6" w:space="0" w:color="auto"/>
              <w:bottom w:val="single" w:sz="6" w:space="0" w:color="auto"/>
              <w:right w:val="single" w:sz="6" w:space="0" w:color="auto"/>
            </w:tcBorders>
          </w:tcPr>
          <w:p w14:paraId="594433BF" w14:textId="77777777" w:rsidR="00286F7D" w:rsidRPr="00286F7D" w:rsidRDefault="00286F7D" w:rsidP="00286F7D">
            <w:pPr>
              <w:pStyle w:val="Texttabulky"/>
              <w:spacing w:after="0"/>
              <w:jc w:val="right"/>
              <w:rPr>
                <w:rFonts w:cs="Arial"/>
              </w:rPr>
            </w:pPr>
            <w:r w:rsidRPr="00286F7D">
              <w:rPr>
                <w:rFonts w:cs="Arial"/>
              </w:rPr>
              <w:t>27</w:t>
            </w:r>
          </w:p>
        </w:tc>
        <w:tc>
          <w:tcPr>
            <w:tcW w:w="1984" w:type="dxa"/>
            <w:tcBorders>
              <w:top w:val="single" w:sz="6" w:space="0" w:color="auto"/>
              <w:left w:val="single" w:sz="6" w:space="0" w:color="auto"/>
              <w:bottom w:val="single" w:sz="6" w:space="0" w:color="auto"/>
              <w:right w:val="single" w:sz="6" w:space="0" w:color="auto"/>
            </w:tcBorders>
          </w:tcPr>
          <w:p w14:paraId="2881FE5B" w14:textId="77777777" w:rsidR="00286F7D" w:rsidRPr="00286F7D" w:rsidRDefault="00286F7D" w:rsidP="00286F7D">
            <w:pPr>
              <w:pStyle w:val="Texttabulky"/>
              <w:spacing w:after="0"/>
              <w:rPr>
                <w:rFonts w:cs="Arial"/>
              </w:rPr>
            </w:pPr>
            <w:r w:rsidRPr="00286F7D">
              <w:rPr>
                <w:rFonts w:cs="Arial"/>
              </w:rPr>
              <w:t>Přípeř</w:t>
            </w:r>
          </w:p>
        </w:tc>
        <w:tc>
          <w:tcPr>
            <w:tcW w:w="838" w:type="dxa"/>
            <w:tcBorders>
              <w:top w:val="single" w:sz="6" w:space="0" w:color="auto"/>
              <w:left w:val="single" w:sz="6" w:space="0" w:color="auto"/>
              <w:bottom w:val="single" w:sz="6" w:space="0" w:color="auto"/>
              <w:right w:val="single" w:sz="6" w:space="0" w:color="auto"/>
            </w:tcBorders>
          </w:tcPr>
          <w:p w14:paraId="1E07A5FA" w14:textId="77777777" w:rsidR="00286F7D" w:rsidRPr="00286F7D" w:rsidRDefault="00286F7D" w:rsidP="00286F7D">
            <w:pPr>
              <w:pStyle w:val="Texttabulky"/>
              <w:spacing w:after="0"/>
              <w:rPr>
                <w:rFonts w:cs="Arial"/>
              </w:rPr>
            </w:pPr>
            <w:r w:rsidRPr="00286F7D">
              <w:rPr>
                <w:rFonts w:cs="Arial"/>
              </w:rPr>
              <w:t>-120</w:t>
            </w:r>
          </w:p>
        </w:tc>
        <w:tc>
          <w:tcPr>
            <w:tcW w:w="856" w:type="dxa"/>
            <w:tcBorders>
              <w:top w:val="single" w:sz="6" w:space="0" w:color="auto"/>
              <w:left w:val="single" w:sz="6" w:space="0" w:color="auto"/>
              <w:bottom w:val="single" w:sz="6" w:space="0" w:color="auto"/>
              <w:right w:val="single" w:sz="6" w:space="0" w:color="auto"/>
            </w:tcBorders>
          </w:tcPr>
          <w:p w14:paraId="26773526"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463EB7AA" w14:textId="77777777" w:rsidR="00286F7D" w:rsidRPr="00286F7D" w:rsidRDefault="00286F7D" w:rsidP="00286F7D">
            <w:pPr>
              <w:pStyle w:val="Texttabulky"/>
              <w:spacing w:after="0"/>
              <w:rPr>
                <w:rFonts w:cs="Arial"/>
              </w:rPr>
            </w:pPr>
            <w:r w:rsidRPr="00286F7D">
              <w:rPr>
                <w:rFonts w:cs="Arial"/>
              </w:rPr>
              <w:t>-90</w:t>
            </w:r>
          </w:p>
        </w:tc>
        <w:tc>
          <w:tcPr>
            <w:tcW w:w="993" w:type="dxa"/>
            <w:tcBorders>
              <w:top w:val="single" w:sz="6" w:space="0" w:color="auto"/>
              <w:left w:val="single" w:sz="6" w:space="0" w:color="auto"/>
              <w:bottom w:val="single" w:sz="6" w:space="0" w:color="auto"/>
              <w:right w:val="single" w:sz="6" w:space="0" w:color="auto"/>
            </w:tcBorders>
          </w:tcPr>
          <w:p w14:paraId="6F18CBD2" w14:textId="77777777" w:rsidR="00286F7D" w:rsidRPr="00286F7D" w:rsidRDefault="00286F7D" w:rsidP="00286F7D">
            <w:pPr>
              <w:pStyle w:val="Texttabulky"/>
              <w:spacing w:after="0"/>
              <w:rPr>
                <w:rFonts w:cs="Arial"/>
              </w:rPr>
            </w:pPr>
            <w:r w:rsidRPr="00286F7D">
              <w:rPr>
                <w:rFonts w:cs="Arial"/>
              </w:rPr>
              <w:t>-210</w:t>
            </w:r>
          </w:p>
        </w:tc>
        <w:tc>
          <w:tcPr>
            <w:tcW w:w="2428" w:type="dxa"/>
            <w:tcBorders>
              <w:top w:val="single" w:sz="6" w:space="0" w:color="auto"/>
              <w:left w:val="single" w:sz="6" w:space="0" w:color="auto"/>
              <w:bottom w:val="single" w:sz="6" w:space="0" w:color="auto"/>
              <w:right w:val="single" w:sz="6" w:space="0" w:color="auto"/>
            </w:tcBorders>
          </w:tcPr>
          <w:p w14:paraId="25503A0A"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71B44B29" w14:textId="77777777" w:rsidTr="00286F7D">
        <w:tc>
          <w:tcPr>
            <w:tcW w:w="426" w:type="dxa"/>
            <w:tcBorders>
              <w:top w:val="single" w:sz="6" w:space="0" w:color="auto"/>
              <w:left w:val="single" w:sz="6" w:space="0" w:color="auto"/>
              <w:bottom w:val="single" w:sz="6" w:space="0" w:color="auto"/>
              <w:right w:val="single" w:sz="6" w:space="0" w:color="auto"/>
            </w:tcBorders>
          </w:tcPr>
          <w:p w14:paraId="5D2714F5" w14:textId="77777777" w:rsidR="00286F7D" w:rsidRPr="00286F7D" w:rsidRDefault="00286F7D" w:rsidP="00286F7D">
            <w:pPr>
              <w:pStyle w:val="Texttabulky"/>
              <w:spacing w:after="0"/>
              <w:jc w:val="right"/>
              <w:rPr>
                <w:rFonts w:cs="Arial"/>
              </w:rPr>
            </w:pPr>
            <w:r w:rsidRPr="00286F7D">
              <w:rPr>
                <w:rFonts w:cs="Arial"/>
              </w:rPr>
              <w:t>28</w:t>
            </w:r>
          </w:p>
        </w:tc>
        <w:tc>
          <w:tcPr>
            <w:tcW w:w="1984" w:type="dxa"/>
            <w:tcBorders>
              <w:top w:val="single" w:sz="6" w:space="0" w:color="auto"/>
              <w:left w:val="single" w:sz="6" w:space="0" w:color="auto"/>
              <w:bottom w:val="single" w:sz="6" w:space="0" w:color="auto"/>
              <w:right w:val="single" w:sz="6" w:space="0" w:color="auto"/>
            </w:tcBorders>
          </w:tcPr>
          <w:p w14:paraId="3F5BD1D9" w14:textId="77777777" w:rsidR="00286F7D" w:rsidRPr="00286F7D" w:rsidRDefault="00286F7D" w:rsidP="00286F7D">
            <w:pPr>
              <w:pStyle w:val="Texttabulky"/>
              <w:spacing w:after="0"/>
              <w:rPr>
                <w:rFonts w:cs="Arial"/>
              </w:rPr>
            </w:pPr>
            <w:r w:rsidRPr="00286F7D">
              <w:rPr>
                <w:rFonts w:cs="Arial"/>
              </w:rPr>
              <w:t>Jalůvčí</w:t>
            </w:r>
          </w:p>
        </w:tc>
        <w:tc>
          <w:tcPr>
            <w:tcW w:w="838" w:type="dxa"/>
            <w:tcBorders>
              <w:top w:val="single" w:sz="6" w:space="0" w:color="auto"/>
              <w:left w:val="single" w:sz="6" w:space="0" w:color="auto"/>
              <w:bottom w:val="single" w:sz="6" w:space="0" w:color="auto"/>
              <w:right w:val="single" w:sz="6" w:space="0" w:color="auto"/>
            </w:tcBorders>
          </w:tcPr>
          <w:p w14:paraId="408E3950" w14:textId="77777777" w:rsidR="00286F7D" w:rsidRPr="00286F7D" w:rsidRDefault="00286F7D" w:rsidP="00286F7D">
            <w:pPr>
              <w:pStyle w:val="Texttabulky"/>
              <w:spacing w:after="0"/>
              <w:rPr>
                <w:rFonts w:cs="Arial"/>
              </w:rPr>
            </w:pPr>
            <w:r w:rsidRPr="00286F7D">
              <w:rPr>
                <w:rFonts w:cs="Arial"/>
              </w:rPr>
              <w:t>189</w:t>
            </w:r>
          </w:p>
        </w:tc>
        <w:tc>
          <w:tcPr>
            <w:tcW w:w="856" w:type="dxa"/>
            <w:tcBorders>
              <w:top w:val="single" w:sz="6" w:space="0" w:color="auto"/>
              <w:left w:val="single" w:sz="6" w:space="0" w:color="auto"/>
              <w:bottom w:val="single" w:sz="6" w:space="0" w:color="auto"/>
              <w:right w:val="single" w:sz="6" w:space="0" w:color="auto"/>
            </w:tcBorders>
          </w:tcPr>
          <w:p w14:paraId="2B3996D8" w14:textId="77777777" w:rsidR="00286F7D" w:rsidRPr="00286F7D" w:rsidRDefault="00286F7D" w:rsidP="00286F7D">
            <w:pPr>
              <w:pStyle w:val="Texttabulky"/>
              <w:spacing w:after="0"/>
              <w:rPr>
                <w:rFonts w:cs="Arial"/>
              </w:rPr>
            </w:pPr>
            <w:r w:rsidRPr="00286F7D">
              <w:rPr>
                <w:rFonts w:cs="Arial"/>
              </w:rPr>
              <w:t>32</w:t>
            </w:r>
          </w:p>
        </w:tc>
        <w:tc>
          <w:tcPr>
            <w:tcW w:w="999" w:type="dxa"/>
            <w:tcBorders>
              <w:top w:val="single" w:sz="6" w:space="0" w:color="auto"/>
              <w:left w:val="single" w:sz="6" w:space="0" w:color="auto"/>
              <w:bottom w:val="single" w:sz="6" w:space="0" w:color="auto"/>
              <w:right w:val="single" w:sz="6" w:space="0" w:color="auto"/>
            </w:tcBorders>
          </w:tcPr>
          <w:p w14:paraId="5B5C9BB5"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0ACE5449" w14:textId="77777777" w:rsidR="00286F7D" w:rsidRPr="00286F7D" w:rsidRDefault="00286F7D" w:rsidP="00286F7D">
            <w:pPr>
              <w:pStyle w:val="Texttabulky"/>
              <w:spacing w:after="0"/>
              <w:rPr>
                <w:rFonts w:cs="Arial"/>
              </w:rPr>
            </w:pPr>
            <w:r w:rsidRPr="00286F7D">
              <w:rPr>
                <w:rFonts w:cs="Arial"/>
              </w:rPr>
              <w:t>221</w:t>
            </w:r>
          </w:p>
        </w:tc>
        <w:tc>
          <w:tcPr>
            <w:tcW w:w="2428" w:type="dxa"/>
            <w:tcBorders>
              <w:top w:val="single" w:sz="6" w:space="0" w:color="auto"/>
              <w:left w:val="single" w:sz="6" w:space="0" w:color="auto"/>
              <w:bottom w:val="single" w:sz="6" w:space="0" w:color="auto"/>
              <w:right w:val="single" w:sz="6" w:space="0" w:color="auto"/>
            </w:tcBorders>
          </w:tcPr>
          <w:p w14:paraId="28842CB8"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3FB19624" w14:textId="77777777" w:rsidTr="00286F7D">
        <w:tc>
          <w:tcPr>
            <w:tcW w:w="426" w:type="dxa"/>
            <w:tcBorders>
              <w:top w:val="single" w:sz="6" w:space="0" w:color="auto"/>
              <w:left w:val="single" w:sz="6" w:space="0" w:color="auto"/>
              <w:bottom w:val="single" w:sz="6" w:space="0" w:color="auto"/>
              <w:right w:val="single" w:sz="6" w:space="0" w:color="auto"/>
            </w:tcBorders>
          </w:tcPr>
          <w:p w14:paraId="2CB44634" w14:textId="77777777" w:rsidR="00286F7D" w:rsidRPr="00286F7D" w:rsidRDefault="00286F7D" w:rsidP="00286F7D">
            <w:pPr>
              <w:pStyle w:val="Texttabulky"/>
              <w:spacing w:after="0"/>
              <w:jc w:val="right"/>
              <w:rPr>
                <w:rFonts w:cs="Arial"/>
              </w:rPr>
            </w:pPr>
            <w:r w:rsidRPr="00286F7D">
              <w:rPr>
                <w:rFonts w:cs="Arial"/>
              </w:rPr>
              <w:t>29</w:t>
            </w:r>
          </w:p>
        </w:tc>
        <w:tc>
          <w:tcPr>
            <w:tcW w:w="1984" w:type="dxa"/>
            <w:tcBorders>
              <w:top w:val="single" w:sz="6" w:space="0" w:color="auto"/>
              <w:left w:val="single" w:sz="6" w:space="0" w:color="auto"/>
              <w:bottom w:val="single" w:sz="6" w:space="0" w:color="auto"/>
              <w:right w:val="single" w:sz="6" w:space="0" w:color="auto"/>
            </w:tcBorders>
          </w:tcPr>
          <w:p w14:paraId="1AF5F85C" w14:textId="77777777" w:rsidR="00286F7D" w:rsidRPr="00286F7D" w:rsidRDefault="00286F7D" w:rsidP="00286F7D">
            <w:pPr>
              <w:pStyle w:val="Texttabulky"/>
              <w:spacing w:after="0"/>
              <w:rPr>
                <w:rFonts w:cs="Arial"/>
              </w:rPr>
            </w:pPr>
            <w:r w:rsidRPr="00286F7D">
              <w:rPr>
                <w:rFonts w:cs="Arial"/>
              </w:rPr>
              <w:t>Žlíbek - Škrabky</w:t>
            </w:r>
          </w:p>
        </w:tc>
        <w:tc>
          <w:tcPr>
            <w:tcW w:w="838" w:type="dxa"/>
            <w:tcBorders>
              <w:top w:val="single" w:sz="6" w:space="0" w:color="auto"/>
              <w:left w:val="single" w:sz="6" w:space="0" w:color="auto"/>
              <w:bottom w:val="single" w:sz="6" w:space="0" w:color="auto"/>
              <w:right w:val="single" w:sz="6" w:space="0" w:color="auto"/>
            </w:tcBorders>
          </w:tcPr>
          <w:p w14:paraId="69458F20" w14:textId="77777777" w:rsidR="00286F7D" w:rsidRPr="00286F7D" w:rsidRDefault="00286F7D" w:rsidP="00286F7D">
            <w:pPr>
              <w:pStyle w:val="Texttabulky"/>
              <w:spacing w:after="0"/>
              <w:rPr>
                <w:rFonts w:cs="Arial"/>
              </w:rPr>
            </w:pPr>
            <w:r w:rsidRPr="00286F7D">
              <w:rPr>
                <w:rFonts w:cs="Arial"/>
              </w:rPr>
              <w:t>-154</w:t>
            </w:r>
          </w:p>
        </w:tc>
        <w:tc>
          <w:tcPr>
            <w:tcW w:w="856" w:type="dxa"/>
            <w:tcBorders>
              <w:top w:val="single" w:sz="6" w:space="0" w:color="auto"/>
              <w:left w:val="single" w:sz="6" w:space="0" w:color="auto"/>
              <w:bottom w:val="single" w:sz="6" w:space="0" w:color="auto"/>
              <w:right w:val="single" w:sz="6" w:space="0" w:color="auto"/>
            </w:tcBorders>
          </w:tcPr>
          <w:p w14:paraId="2C90B730"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46D069E1"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447AB47B" w14:textId="77777777" w:rsidR="00286F7D" w:rsidRPr="00286F7D" w:rsidRDefault="00286F7D" w:rsidP="00286F7D">
            <w:pPr>
              <w:pStyle w:val="Texttabulky"/>
              <w:spacing w:after="0"/>
              <w:rPr>
                <w:rFonts w:cs="Arial"/>
              </w:rPr>
            </w:pPr>
            <w:r w:rsidRPr="00286F7D">
              <w:rPr>
                <w:rFonts w:cs="Arial"/>
              </w:rPr>
              <w:t>-154</w:t>
            </w:r>
          </w:p>
        </w:tc>
        <w:tc>
          <w:tcPr>
            <w:tcW w:w="2428" w:type="dxa"/>
            <w:tcBorders>
              <w:top w:val="single" w:sz="6" w:space="0" w:color="auto"/>
              <w:left w:val="single" w:sz="6" w:space="0" w:color="auto"/>
              <w:bottom w:val="single" w:sz="6" w:space="0" w:color="auto"/>
              <w:right w:val="single" w:sz="6" w:space="0" w:color="auto"/>
            </w:tcBorders>
          </w:tcPr>
          <w:p w14:paraId="326AA10F"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5888ED5E" w14:textId="77777777" w:rsidTr="00286F7D">
        <w:tc>
          <w:tcPr>
            <w:tcW w:w="426" w:type="dxa"/>
            <w:tcBorders>
              <w:top w:val="single" w:sz="6" w:space="0" w:color="auto"/>
              <w:left w:val="single" w:sz="6" w:space="0" w:color="auto"/>
              <w:bottom w:val="single" w:sz="6" w:space="0" w:color="auto"/>
              <w:right w:val="single" w:sz="6" w:space="0" w:color="auto"/>
            </w:tcBorders>
          </w:tcPr>
          <w:p w14:paraId="1AD9A6D1" w14:textId="77777777" w:rsidR="00286F7D" w:rsidRPr="00286F7D" w:rsidRDefault="00286F7D" w:rsidP="00286F7D">
            <w:pPr>
              <w:pStyle w:val="Texttabulky"/>
              <w:spacing w:after="0"/>
              <w:jc w:val="right"/>
              <w:rPr>
                <w:rFonts w:cs="Arial"/>
              </w:rPr>
            </w:pPr>
            <w:r w:rsidRPr="00286F7D">
              <w:rPr>
                <w:rFonts w:cs="Arial"/>
              </w:rPr>
              <w:t>30</w:t>
            </w:r>
          </w:p>
        </w:tc>
        <w:tc>
          <w:tcPr>
            <w:tcW w:w="1984" w:type="dxa"/>
            <w:tcBorders>
              <w:top w:val="single" w:sz="6" w:space="0" w:color="auto"/>
              <w:left w:val="single" w:sz="6" w:space="0" w:color="auto"/>
              <w:bottom w:val="single" w:sz="6" w:space="0" w:color="auto"/>
              <w:right w:val="single" w:sz="6" w:space="0" w:color="auto"/>
            </w:tcBorders>
          </w:tcPr>
          <w:p w14:paraId="2AE15B32" w14:textId="77777777" w:rsidR="00286F7D" w:rsidRPr="00286F7D" w:rsidRDefault="00286F7D" w:rsidP="00286F7D">
            <w:pPr>
              <w:pStyle w:val="Texttabulky"/>
              <w:spacing w:after="0"/>
              <w:rPr>
                <w:rFonts w:cs="Arial"/>
              </w:rPr>
            </w:pPr>
            <w:r w:rsidRPr="00286F7D">
              <w:rPr>
                <w:rFonts w:cs="Arial"/>
              </w:rPr>
              <w:t>Dolní Oldřichov</w:t>
            </w:r>
          </w:p>
        </w:tc>
        <w:tc>
          <w:tcPr>
            <w:tcW w:w="838" w:type="dxa"/>
            <w:tcBorders>
              <w:top w:val="single" w:sz="6" w:space="0" w:color="auto"/>
              <w:left w:val="single" w:sz="6" w:space="0" w:color="auto"/>
              <w:bottom w:val="single" w:sz="6" w:space="0" w:color="auto"/>
              <w:right w:val="single" w:sz="6" w:space="0" w:color="auto"/>
            </w:tcBorders>
          </w:tcPr>
          <w:p w14:paraId="22745AA4" w14:textId="77777777" w:rsidR="00286F7D" w:rsidRPr="00286F7D" w:rsidRDefault="00286F7D" w:rsidP="00286F7D">
            <w:pPr>
              <w:pStyle w:val="Texttabulky"/>
              <w:spacing w:after="0"/>
              <w:rPr>
                <w:rFonts w:cs="Arial"/>
              </w:rPr>
            </w:pPr>
            <w:r w:rsidRPr="00286F7D">
              <w:rPr>
                <w:rFonts w:cs="Arial"/>
              </w:rPr>
              <w:t>270</w:t>
            </w:r>
          </w:p>
        </w:tc>
        <w:tc>
          <w:tcPr>
            <w:tcW w:w="856" w:type="dxa"/>
            <w:tcBorders>
              <w:top w:val="single" w:sz="6" w:space="0" w:color="auto"/>
              <w:left w:val="single" w:sz="6" w:space="0" w:color="auto"/>
              <w:bottom w:val="single" w:sz="6" w:space="0" w:color="auto"/>
              <w:right w:val="single" w:sz="6" w:space="0" w:color="auto"/>
            </w:tcBorders>
          </w:tcPr>
          <w:p w14:paraId="64C6185F" w14:textId="77777777" w:rsidR="00286F7D" w:rsidRPr="00286F7D" w:rsidRDefault="00286F7D" w:rsidP="00286F7D">
            <w:pPr>
              <w:pStyle w:val="Texttabulky"/>
              <w:spacing w:after="0"/>
              <w:rPr>
                <w:rFonts w:cs="Arial"/>
              </w:rPr>
            </w:pPr>
            <w:r w:rsidRPr="00286F7D">
              <w:rPr>
                <w:rFonts w:cs="Arial"/>
              </w:rPr>
              <w:t>59</w:t>
            </w:r>
          </w:p>
        </w:tc>
        <w:tc>
          <w:tcPr>
            <w:tcW w:w="999" w:type="dxa"/>
            <w:tcBorders>
              <w:top w:val="single" w:sz="6" w:space="0" w:color="auto"/>
              <w:left w:val="single" w:sz="6" w:space="0" w:color="auto"/>
              <w:bottom w:val="single" w:sz="6" w:space="0" w:color="auto"/>
              <w:right w:val="single" w:sz="6" w:space="0" w:color="auto"/>
            </w:tcBorders>
          </w:tcPr>
          <w:p w14:paraId="1EA1E9B4" w14:textId="77777777" w:rsidR="00286F7D" w:rsidRPr="00286F7D" w:rsidRDefault="00286F7D" w:rsidP="00286F7D">
            <w:pPr>
              <w:pStyle w:val="Texttabulky"/>
              <w:spacing w:after="0"/>
              <w:rPr>
                <w:rFonts w:cs="Arial"/>
              </w:rPr>
            </w:pPr>
            <w:r w:rsidRPr="00286F7D">
              <w:rPr>
                <w:rFonts w:cs="Arial"/>
              </w:rPr>
              <w:t>-230</w:t>
            </w:r>
          </w:p>
        </w:tc>
        <w:tc>
          <w:tcPr>
            <w:tcW w:w="993" w:type="dxa"/>
            <w:tcBorders>
              <w:top w:val="single" w:sz="6" w:space="0" w:color="auto"/>
              <w:left w:val="single" w:sz="6" w:space="0" w:color="auto"/>
              <w:bottom w:val="single" w:sz="6" w:space="0" w:color="auto"/>
              <w:right w:val="single" w:sz="6" w:space="0" w:color="auto"/>
            </w:tcBorders>
          </w:tcPr>
          <w:p w14:paraId="448F552A" w14:textId="77777777" w:rsidR="00286F7D" w:rsidRPr="00286F7D" w:rsidRDefault="00286F7D" w:rsidP="00286F7D">
            <w:pPr>
              <w:pStyle w:val="Texttabulky"/>
              <w:spacing w:after="0"/>
              <w:rPr>
                <w:rFonts w:cs="Arial"/>
              </w:rPr>
            </w:pPr>
            <w:r w:rsidRPr="00286F7D">
              <w:rPr>
                <w:rFonts w:cs="Arial"/>
              </w:rPr>
              <w:t>99</w:t>
            </w:r>
          </w:p>
        </w:tc>
        <w:tc>
          <w:tcPr>
            <w:tcW w:w="2428" w:type="dxa"/>
            <w:tcBorders>
              <w:top w:val="single" w:sz="6" w:space="0" w:color="auto"/>
              <w:left w:val="single" w:sz="6" w:space="0" w:color="auto"/>
              <w:bottom w:val="single" w:sz="6" w:space="0" w:color="auto"/>
              <w:right w:val="single" w:sz="6" w:space="0" w:color="auto"/>
            </w:tcBorders>
          </w:tcPr>
          <w:p w14:paraId="49C2FDA1" w14:textId="77777777" w:rsidR="00286F7D" w:rsidRPr="00286F7D" w:rsidRDefault="00286F7D" w:rsidP="00286F7D">
            <w:pPr>
              <w:pStyle w:val="Texttabulky"/>
              <w:spacing w:after="0"/>
              <w:rPr>
                <w:rFonts w:cs="Arial"/>
              </w:rPr>
            </w:pPr>
            <w:r w:rsidRPr="00286F7D">
              <w:rPr>
                <w:rFonts w:cs="Arial"/>
              </w:rPr>
              <w:t>nutno řešit firmy</w:t>
            </w:r>
          </w:p>
        </w:tc>
      </w:tr>
      <w:tr w:rsidR="00286F7D" w:rsidRPr="00286F7D" w14:paraId="10C4E52A" w14:textId="77777777" w:rsidTr="00286F7D">
        <w:tc>
          <w:tcPr>
            <w:tcW w:w="426" w:type="dxa"/>
            <w:tcBorders>
              <w:top w:val="single" w:sz="6" w:space="0" w:color="auto"/>
              <w:left w:val="single" w:sz="6" w:space="0" w:color="auto"/>
              <w:bottom w:val="single" w:sz="6" w:space="0" w:color="auto"/>
              <w:right w:val="single" w:sz="6" w:space="0" w:color="auto"/>
            </w:tcBorders>
          </w:tcPr>
          <w:p w14:paraId="18070DDC" w14:textId="77777777" w:rsidR="00286F7D" w:rsidRPr="00286F7D" w:rsidRDefault="00286F7D" w:rsidP="00286F7D">
            <w:pPr>
              <w:pStyle w:val="Texttabulky"/>
              <w:spacing w:after="0"/>
              <w:jc w:val="right"/>
              <w:rPr>
                <w:rFonts w:cs="Arial"/>
              </w:rPr>
            </w:pPr>
            <w:r w:rsidRPr="00286F7D">
              <w:rPr>
                <w:rFonts w:cs="Arial"/>
              </w:rPr>
              <w:t>31</w:t>
            </w:r>
          </w:p>
        </w:tc>
        <w:tc>
          <w:tcPr>
            <w:tcW w:w="1984" w:type="dxa"/>
            <w:tcBorders>
              <w:top w:val="single" w:sz="6" w:space="0" w:color="auto"/>
              <w:left w:val="single" w:sz="6" w:space="0" w:color="auto"/>
              <w:bottom w:val="single" w:sz="6" w:space="0" w:color="auto"/>
              <w:right w:val="single" w:sz="6" w:space="0" w:color="auto"/>
            </w:tcBorders>
          </w:tcPr>
          <w:p w14:paraId="61AB7B2D" w14:textId="77777777" w:rsidR="00286F7D" w:rsidRPr="00286F7D" w:rsidRDefault="00286F7D" w:rsidP="00286F7D">
            <w:pPr>
              <w:pStyle w:val="Texttabulky"/>
              <w:spacing w:after="0"/>
              <w:rPr>
                <w:rFonts w:cs="Arial"/>
              </w:rPr>
            </w:pPr>
            <w:r w:rsidRPr="00286F7D">
              <w:rPr>
                <w:rFonts w:cs="Arial"/>
              </w:rPr>
              <w:t>Horní Oldřichov</w:t>
            </w:r>
          </w:p>
        </w:tc>
        <w:tc>
          <w:tcPr>
            <w:tcW w:w="838" w:type="dxa"/>
            <w:tcBorders>
              <w:top w:val="single" w:sz="6" w:space="0" w:color="auto"/>
              <w:left w:val="single" w:sz="6" w:space="0" w:color="auto"/>
              <w:bottom w:val="single" w:sz="6" w:space="0" w:color="auto"/>
              <w:right w:val="single" w:sz="6" w:space="0" w:color="auto"/>
            </w:tcBorders>
          </w:tcPr>
          <w:p w14:paraId="0AA1476A" w14:textId="77777777" w:rsidR="00286F7D" w:rsidRPr="00286F7D" w:rsidRDefault="00286F7D" w:rsidP="00286F7D">
            <w:pPr>
              <w:pStyle w:val="Texttabulky"/>
              <w:spacing w:after="0"/>
              <w:rPr>
                <w:rFonts w:cs="Arial"/>
              </w:rPr>
            </w:pPr>
            <w:r w:rsidRPr="00286F7D">
              <w:rPr>
                <w:rFonts w:cs="Arial"/>
              </w:rPr>
              <w:t>270</w:t>
            </w:r>
          </w:p>
        </w:tc>
        <w:tc>
          <w:tcPr>
            <w:tcW w:w="856" w:type="dxa"/>
            <w:tcBorders>
              <w:top w:val="single" w:sz="6" w:space="0" w:color="auto"/>
              <w:left w:val="single" w:sz="6" w:space="0" w:color="auto"/>
              <w:bottom w:val="single" w:sz="6" w:space="0" w:color="auto"/>
              <w:right w:val="single" w:sz="6" w:space="0" w:color="auto"/>
            </w:tcBorders>
          </w:tcPr>
          <w:p w14:paraId="683D6DB8"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17A71F3C"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01661026" w14:textId="77777777" w:rsidR="00286F7D" w:rsidRPr="00286F7D" w:rsidRDefault="00286F7D" w:rsidP="00286F7D">
            <w:pPr>
              <w:pStyle w:val="Texttabulky"/>
              <w:spacing w:after="0"/>
              <w:rPr>
                <w:rFonts w:cs="Arial"/>
              </w:rPr>
            </w:pPr>
            <w:r w:rsidRPr="00286F7D">
              <w:rPr>
                <w:rFonts w:cs="Arial"/>
              </w:rPr>
              <w:t>148</w:t>
            </w:r>
          </w:p>
        </w:tc>
        <w:tc>
          <w:tcPr>
            <w:tcW w:w="2428" w:type="dxa"/>
            <w:tcBorders>
              <w:top w:val="single" w:sz="6" w:space="0" w:color="auto"/>
              <w:left w:val="single" w:sz="6" w:space="0" w:color="auto"/>
              <w:bottom w:val="single" w:sz="6" w:space="0" w:color="auto"/>
              <w:right w:val="single" w:sz="6" w:space="0" w:color="auto"/>
            </w:tcBorders>
          </w:tcPr>
          <w:p w14:paraId="438642FE"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23773D79" w14:textId="77777777" w:rsidTr="00286F7D">
        <w:tc>
          <w:tcPr>
            <w:tcW w:w="426" w:type="dxa"/>
            <w:tcBorders>
              <w:top w:val="single" w:sz="6" w:space="0" w:color="auto"/>
              <w:left w:val="single" w:sz="6" w:space="0" w:color="auto"/>
              <w:bottom w:val="single" w:sz="6" w:space="0" w:color="auto"/>
              <w:right w:val="single" w:sz="6" w:space="0" w:color="auto"/>
            </w:tcBorders>
          </w:tcPr>
          <w:p w14:paraId="6C9847DC" w14:textId="77777777" w:rsidR="00286F7D" w:rsidRPr="00286F7D" w:rsidRDefault="00286F7D" w:rsidP="00286F7D">
            <w:pPr>
              <w:pStyle w:val="Texttabulky"/>
              <w:spacing w:after="0"/>
              <w:jc w:val="right"/>
              <w:rPr>
                <w:rFonts w:cs="Arial"/>
              </w:rPr>
            </w:pPr>
            <w:r w:rsidRPr="00286F7D">
              <w:rPr>
                <w:rFonts w:cs="Arial"/>
              </w:rPr>
              <w:lastRenderedPageBreak/>
              <w:t>32</w:t>
            </w:r>
          </w:p>
        </w:tc>
        <w:tc>
          <w:tcPr>
            <w:tcW w:w="1984" w:type="dxa"/>
            <w:tcBorders>
              <w:top w:val="single" w:sz="6" w:space="0" w:color="auto"/>
              <w:left w:val="single" w:sz="6" w:space="0" w:color="auto"/>
              <w:bottom w:val="single" w:sz="6" w:space="0" w:color="auto"/>
              <w:right w:val="single" w:sz="6" w:space="0" w:color="auto"/>
            </w:tcBorders>
          </w:tcPr>
          <w:p w14:paraId="2909A754" w14:textId="77777777" w:rsidR="00286F7D" w:rsidRPr="00286F7D" w:rsidRDefault="00286F7D" w:rsidP="00286F7D">
            <w:pPr>
              <w:pStyle w:val="Texttabulky"/>
              <w:spacing w:after="0"/>
              <w:rPr>
                <w:rFonts w:cs="Arial"/>
              </w:rPr>
            </w:pPr>
            <w:r w:rsidRPr="00286F7D">
              <w:rPr>
                <w:rFonts w:cs="Arial"/>
              </w:rPr>
              <w:t>Bynov</w:t>
            </w:r>
          </w:p>
        </w:tc>
        <w:tc>
          <w:tcPr>
            <w:tcW w:w="838" w:type="dxa"/>
            <w:tcBorders>
              <w:top w:val="single" w:sz="6" w:space="0" w:color="auto"/>
              <w:left w:val="single" w:sz="6" w:space="0" w:color="auto"/>
              <w:bottom w:val="single" w:sz="6" w:space="0" w:color="auto"/>
              <w:right w:val="single" w:sz="6" w:space="0" w:color="auto"/>
            </w:tcBorders>
          </w:tcPr>
          <w:p w14:paraId="72650446" w14:textId="77777777" w:rsidR="00286F7D" w:rsidRPr="00286F7D" w:rsidRDefault="00286F7D" w:rsidP="00286F7D">
            <w:pPr>
              <w:pStyle w:val="Texttabulky"/>
              <w:spacing w:after="0"/>
              <w:rPr>
                <w:rFonts w:cs="Arial"/>
              </w:rPr>
            </w:pPr>
            <w:r w:rsidRPr="00286F7D">
              <w:rPr>
                <w:rFonts w:cs="Arial"/>
              </w:rPr>
              <w:t>1 725</w:t>
            </w:r>
          </w:p>
        </w:tc>
        <w:tc>
          <w:tcPr>
            <w:tcW w:w="856" w:type="dxa"/>
            <w:tcBorders>
              <w:top w:val="single" w:sz="6" w:space="0" w:color="auto"/>
              <w:left w:val="single" w:sz="6" w:space="0" w:color="auto"/>
              <w:bottom w:val="single" w:sz="6" w:space="0" w:color="auto"/>
              <w:right w:val="single" w:sz="6" w:space="0" w:color="auto"/>
            </w:tcBorders>
          </w:tcPr>
          <w:p w14:paraId="2861EB91" w14:textId="77777777" w:rsidR="00286F7D" w:rsidRPr="00286F7D" w:rsidRDefault="00286F7D" w:rsidP="00286F7D">
            <w:pPr>
              <w:pStyle w:val="Texttabulky"/>
              <w:spacing w:after="0"/>
              <w:rPr>
                <w:rFonts w:cs="Arial"/>
              </w:rPr>
            </w:pPr>
            <w:r w:rsidRPr="00286F7D">
              <w:rPr>
                <w:rFonts w:cs="Arial"/>
              </w:rPr>
              <w:t>171</w:t>
            </w:r>
          </w:p>
        </w:tc>
        <w:tc>
          <w:tcPr>
            <w:tcW w:w="999" w:type="dxa"/>
            <w:tcBorders>
              <w:top w:val="single" w:sz="6" w:space="0" w:color="auto"/>
              <w:left w:val="single" w:sz="6" w:space="0" w:color="auto"/>
              <w:bottom w:val="single" w:sz="6" w:space="0" w:color="auto"/>
              <w:right w:val="single" w:sz="6" w:space="0" w:color="auto"/>
            </w:tcBorders>
          </w:tcPr>
          <w:p w14:paraId="4F96D026" w14:textId="77777777" w:rsidR="00286F7D" w:rsidRPr="00286F7D" w:rsidRDefault="00286F7D" w:rsidP="00286F7D">
            <w:pPr>
              <w:pStyle w:val="Texttabulky"/>
              <w:spacing w:after="0"/>
              <w:rPr>
                <w:rFonts w:cs="Arial"/>
              </w:rPr>
            </w:pPr>
            <w:r w:rsidRPr="00286F7D">
              <w:rPr>
                <w:rFonts w:cs="Arial"/>
              </w:rPr>
              <w:t>389</w:t>
            </w:r>
          </w:p>
        </w:tc>
        <w:tc>
          <w:tcPr>
            <w:tcW w:w="993" w:type="dxa"/>
            <w:tcBorders>
              <w:top w:val="single" w:sz="6" w:space="0" w:color="auto"/>
              <w:left w:val="single" w:sz="6" w:space="0" w:color="auto"/>
              <w:bottom w:val="single" w:sz="6" w:space="0" w:color="auto"/>
              <w:right w:val="single" w:sz="6" w:space="0" w:color="auto"/>
            </w:tcBorders>
          </w:tcPr>
          <w:p w14:paraId="67BC1DAA" w14:textId="77777777" w:rsidR="00286F7D" w:rsidRPr="00286F7D" w:rsidRDefault="00286F7D" w:rsidP="00286F7D">
            <w:pPr>
              <w:pStyle w:val="Texttabulky"/>
              <w:spacing w:after="0"/>
              <w:rPr>
                <w:rFonts w:cs="Arial"/>
              </w:rPr>
            </w:pPr>
            <w:r w:rsidRPr="00286F7D">
              <w:rPr>
                <w:rFonts w:cs="Arial"/>
              </w:rPr>
              <w:t>2 285</w:t>
            </w:r>
          </w:p>
        </w:tc>
        <w:tc>
          <w:tcPr>
            <w:tcW w:w="2428" w:type="dxa"/>
            <w:tcBorders>
              <w:top w:val="single" w:sz="6" w:space="0" w:color="auto"/>
              <w:left w:val="single" w:sz="6" w:space="0" w:color="auto"/>
              <w:bottom w:val="single" w:sz="6" w:space="0" w:color="auto"/>
              <w:right w:val="single" w:sz="6" w:space="0" w:color="auto"/>
            </w:tcBorders>
          </w:tcPr>
          <w:p w14:paraId="36CAF71F"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7D0B7B32" w14:textId="77777777" w:rsidTr="00286F7D">
        <w:tc>
          <w:tcPr>
            <w:tcW w:w="426" w:type="dxa"/>
            <w:tcBorders>
              <w:top w:val="single" w:sz="6" w:space="0" w:color="auto"/>
              <w:left w:val="single" w:sz="6" w:space="0" w:color="auto"/>
              <w:bottom w:val="single" w:sz="6" w:space="0" w:color="auto"/>
              <w:right w:val="single" w:sz="6" w:space="0" w:color="auto"/>
            </w:tcBorders>
          </w:tcPr>
          <w:p w14:paraId="307E234C" w14:textId="77777777" w:rsidR="00286F7D" w:rsidRPr="00286F7D" w:rsidRDefault="00286F7D" w:rsidP="00286F7D">
            <w:pPr>
              <w:pStyle w:val="Texttabulky"/>
              <w:spacing w:after="0"/>
              <w:jc w:val="right"/>
              <w:rPr>
                <w:rFonts w:cs="Arial"/>
              </w:rPr>
            </w:pPr>
            <w:r w:rsidRPr="00286F7D">
              <w:rPr>
                <w:rFonts w:cs="Arial"/>
              </w:rPr>
              <w:t>33</w:t>
            </w:r>
          </w:p>
        </w:tc>
        <w:tc>
          <w:tcPr>
            <w:tcW w:w="1984" w:type="dxa"/>
            <w:tcBorders>
              <w:top w:val="single" w:sz="6" w:space="0" w:color="auto"/>
              <w:left w:val="single" w:sz="6" w:space="0" w:color="auto"/>
              <w:bottom w:val="single" w:sz="6" w:space="0" w:color="auto"/>
              <w:right w:val="single" w:sz="6" w:space="0" w:color="auto"/>
            </w:tcBorders>
          </w:tcPr>
          <w:p w14:paraId="721CFA5D" w14:textId="77777777" w:rsidR="00286F7D" w:rsidRPr="00286F7D" w:rsidRDefault="00286F7D" w:rsidP="00286F7D">
            <w:pPr>
              <w:pStyle w:val="Texttabulky"/>
              <w:spacing w:after="0"/>
              <w:rPr>
                <w:rFonts w:cs="Arial"/>
              </w:rPr>
            </w:pPr>
            <w:r w:rsidRPr="00286F7D">
              <w:rPr>
                <w:rFonts w:cs="Arial"/>
              </w:rPr>
              <w:t>Bělá</w:t>
            </w:r>
          </w:p>
        </w:tc>
        <w:tc>
          <w:tcPr>
            <w:tcW w:w="838" w:type="dxa"/>
            <w:tcBorders>
              <w:top w:val="single" w:sz="6" w:space="0" w:color="auto"/>
              <w:left w:val="single" w:sz="6" w:space="0" w:color="auto"/>
              <w:bottom w:val="single" w:sz="6" w:space="0" w:color="auto"/>
              <w:right w:val="single" w:sz="6" w:space="0" w:color="auto"/>
            </w:tcBorders>
          </w:tcPr>
          <w:p w14:paraId="5CBDC73B" w14:textId="77777777" w:rsidR="00286F7D" w:rsidRPr="00286F7D" w:rsidRDefault="00286F7D" w:rsidP="00286F7D">
            <w:pPr>
              <w:pStyle w:val="Texttabulky"/>
              <w:spacing w:after="0"/>
              <w:rPr>
                <w:rFonts w:cs="Arial"/>
              </w:rPr>
            </w:pPr>
            <w:r w:rsidRPr="00286F7D">
              <w:rPr>
                <w:rFonts w:cs="Arial"/>
              </w:rPr>
              <w:t>47</w:t>
            </w:r>
          </w:p>
        </w:tc>
        <w:tc>
          <w:tcPr>
            <w:tcW w:w="856" w:type="dxa"/>
            <w:tcBorders>
              <w:top w:val="single" w:sz="6" w:space="0" w:color="auto"/>
              <w:left w:val="single" w:sz="6" w:space="0" w:color="auto"/>
              <w:bottom w:val="single" w:sz="6" w:space="0" w:color="auto"/>
              <w:right w:val="single" w:sz="6" w:space="0" w:color="auto"/>
            </w:tcBorders>
          </w:tcPr>
          <w:p w14:paraId="77910F9A"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131079BD" w14:textId="77777777" w:rsidR="00286F7D" w:rsidRPr="00286F7D" w:rsidRDefault="00286F7D" w:rsidP="00286F7D">
            <w:pPr>
              <w:pStyle w:val="Texttabulky"/>
              <w:spacing w:after="0"/>
              <w:rPr>
                <w:rFonts w:cs="Arial"/>
              </w:rPr>
            </w:pPr>
            <w:r w:rsidRPr="00286F7D">
              <w:rPr>
                <w:rFonts w:cs="Arial"/>
              </w:rPr>
              <w:t>10</w:t>
            </w:r>
          </w:p>
        </w:tc>
        <w:tc>
          <w:tcPr>
            <w:tcW w:w="993" w:type="dxa"/>
            <w:tcBorders>
              <w:top w:val="single" w:sz="6" w:space="0" w:color="auto"/>
              <w:left w:val="single" w:sz="6" w:space="0" w:color="auto"/>
              <w:bottom w:val="single" w:sz="6" w:space="0" w:color="auto"/>
              <w:right w:val="single" w:sz="6" w:space="0" w:color="auto"/>
            </w:tcBorders>
          </w:tcPr>
          <w:p w14:paraId="7A1B059F" w14:textId="77777777" w:rsidR="00286F7D" w:rsidRPr="00286F7D" w:rsidRDefault="00286F7D" w:rsidP="00286F7D">
            <w:pPr>
              <w:pStyle w:val="Texttabulky"/>
              <w:spacing w:after="0"/>
              <w:rPr>
                <w:rFonts w:cs="Arial"/>
              </w:rPr>
            </w:pPr>
            <w:r w:rsidRPr="00286F7D">
              <w:rPr>
                <w:rFonts w:cs="Arial"/>
              </w:rPr>
              <w:t>57</w:t>
            </w:r>
          </w:p>
        </w:tc>
        <w:tc>
          <w:tcPr>
            <w:tcW w:w="2428" w:type="dxa"/>
            <w:tcBorders>
              <w:top w:val="single" w:sz="6" w:space="0" w:color="auto"/>
              <w:left w:val="single" w:sz="6" w:space="0" w:color="auto"/>
              <w:bottom w:val="single" w:sz="6" w:space="0" w:color="auto"/>
              <w:right w:val="single" w:sz="6" w:space="0" w:color="auto"/>
            </w:tcBorders>
          </w:tcPr>
          <w:p w14:paraId="79B3AD47"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16D16ABA" w14:textId="77777777" w:rsidTr="00286F7D">
        <w:tc>
          <w:tcPr>
            <w:tcW w:w="426" w:type="dxa"/>
            <w:tcBorders>
              <w:top w:val="single" w:sz="6" w:space="0" w:color="auto"/>
              <w:left w:val="single" w:sz="6" w:space="0" w:color="auto"/>
              <w:bottom w:val="single" w:sz="6" w:space="0" w:color="auto"/>
              <w:right w:val="single" w:sz="6" w:space="0" w:color="auto"/>
            </w:tcBorders>
          </w:tcPr>
          <w:p w14:paraId="3C82177D" w14:textId="77777777" w:rsidR="00286F7D" w:rsidRPr="00286F7D" w:rsidRDefault="00286F7D" w:rsidP="00286F7D">
            <w:pPr>
              <w:pStyle w:val="Texttabulky"/>
              <w:spacing w:after="0"/>
              <w:jc w:val="right"/>
              <w:rPr>
                <w:rFonts w:cs="Arial"/>
              </w:rPr>
            </w:pPr>
            <w:r w:rsidRPr="00286F7D">
              <w:rPr>
                <w:rFonts w:cs="Arial"/>
              </w:rPr>
              <w:t>64</w:t>
            </w:r>
          </w:p>
        </w:tc>
        <w:tc>
          <w:tcPr>
            <w:tcW w:w="1984" w:type="dxa"/>
            <w:tcBorders>
              <w:top w:val="single" w:sz="6" w:space="0" w:color="auto"/>
              <w:left w:val="single" w:sz="6" w:space="0" w:color="auto"/>
              <w:bottom w:val="single" w:sz="6" w:space="0" w:color="auto"/>
              <w:right w:val="single" w:sz="6" w:space="0" w:color="auto"/>
            </w:tcBorders>
          </w:tcPr>
          <w:p w14:paraId="65CBE6A8" w14:textId="77777777" w:rsidR="00286F7D" w:rsidRPr="00286F7D" w:rsidRDefault="00286F7D" w:rsidP="00286F7D">
            <w:pPr>
              <w:pStyle w:val="Texttabulky"/>
              <w:spacing w:after="0"/>
              <w:rPr>
                <w:rFonts w:cs="Arial"/>
              </w:rPr>
            </w:pPr>
            <w:r w:rsidRPr="00286F7D">
              <w:rPr>
                <w:rFonts w:cs="Arial"/>
              </w:rPr>
              <w:t>Nová Ves</w:t>
            </w:r>
          </w:p>
        </w:tc>
        <w:tc>
          <w:tcPr>
            <w:tcW w:w="838" w:type="dxa"/>
            <w:tcBorders>
              <w:top w:val="single" w:sz="6" w:space="0" w:color="auto"/>
              <w:left w:val="single" w:sz="6" w:space="0" w:color="auto"/>
              <w:bottom w:val="single" w:sz="6" w:space="0" w:color="auto"/>
              <w:right w:val="single" w:sz="6" w:space="0" w:color="auto"/>
            </w:tcBorders>
          </w:tcPr>
          <w:p w14:paraId="5A5CA979" w14:textId="77777777" w:rsidR="00286F7D" w:rsidRPr="00286F7D" w:rsidRDefault="00286F7D" w:rsidP="00286F7D">
            <w:pPr>
              <w:pStyle w:val="Texttabulky"/>
              <w:spacing w:after="0"/>
              <w:rPr>
                <w:rFonts w:cs="Arial"/>
              </w:rPr>
            </w:pPr>
            <w:r w:rsidRPr="00286F7D">
              <w:rPr>
                <w:rFonts w:cs="Arial"/>
              </w:rPr>
              <w:t>-190</w:t>
            </w:r>
          </w:p>
        </w:tc>
        <w:tc>
          <w:tcPr>
            <w:tcW w:w="856" w:type="dxa"/>
            <w:tcBorders>
              <w:top w:val="single" w:sz="6" w:space="0" w:color="auto"/>
              <w:left w:val="single" w:sz="6" w:space="0" w:color="auto"/>
              <w:bottom w:val="single" w:sz="6" w:space="0" w:color="auto"/>
              <w:right w:val="single" w:sz="6" w:space="0" w:color="auto"/>
            </w:tcBorders>
          </w:tcPr>
          <w:p w14:paraId="2FDE7D1F"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0572D2E6"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211183B8" w14:textId="77777777" w:rsidR="00286F7D" w:rsidRPr="00286F7D" w:rsidRDefault="00286F7D" w:rsidP="00286F7D">
            <w:pPr>
              <w:pStyle w:val="Texttabulky"/>
              <w:spacing w:after="0"/>
              <w:rPr>
                <w:rFonts w:cs="Arial"/>
              </w:rPr>
            </w:pPr>
            <w:r w:rsidRPr="00286F7D">
              <w:rPr>
                <w:rFonts w:cs="Arial"/>
              </w:rPr>
              <w:t>-190</w:t>
            </w:r>
          </w:p>
        </w:tc>
        <w:tc>
          <w:tcPr>
            <w:tcW w:w="2428" w:type="dxa"/>
            <w:tcBorders>
              <w:top w:val="single" w:sz="6" w:space="0" w:color="auto"/>
              <w:left w:val="single" w:sz="6" w:space="0" w:color="auto"/>
              <w:bottom w:val="single" w:sz="6" w:space="0" w:color="auto"/>
              <w:right w:val="single" w:sz="6" w:space="0" w:color="auto"/>
            </w:tcBorders>
          </w:tcPr>
          <w:p w14:paraId="37F6EC3B"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6D9FB51E" w14:textId="77777777" w:rsidTr="00286F7D">
        <w:tc>
          <w:tcPr>
            <w:tcW w:w="426" w:type="dxa"/>
            <w:tcBorders>
              <w:top w:val="single" w:sz="6" w:space="0" w:color="auto"/>
              <w:left w:val="single" w:sz="6" w:space="0" w:color="auto"/>
              <w:bottom w:val="single" w:sz="6" w:space="0" w:color="auto"/>
              <w:right w:val="single" w:sz="6" w:space="0" w:color="auto"/>
            </w:tcBorders>
          </w:tcPr>
          <w:p w14:paraId="7AF82C7F" w14:textId="77777777" w:rsidR="00286F7D" w:rsidRPr="00286F7D" w:rsidRDefault="00286F7D" w:rsidP="00286F7D">
            <w:pPr>
              <w:pStyle w:val="Texttabulky"/>
              <w:spacing w:after="0"/>
              <w:rPr>
                <w:rFonts w:cs="Arial"/>
              </w:rPr>
            </w:pPr>
            <w:r w:rsidRPr="00286F7D">
              <w:rPr>
                <w:rFonts w:cs="Arial"/>
                <w:b/>
                <w:bCs/>
              </w:rPr>
              <w:t xml:space="preserve"> IV</w:t>
            </w:r>
          </w:p>
        </w:tc>
        <w:tc>
          <w:tcPr>
            <w:tcW w:w="1984" w:type="dxa"/>
            <w:tcBorders>
              <w:top w:val="single" w:sz="6" w:space="0" w:color="auto"/>
              <w:left w:val="single" w:sz="6" w:space="0" w:color="auto"/>
              <w:bottom w:val="single" w:sz="6" w:space="0" w:color="auto"/>
              <w:right w:val="single" w:sz="6" w:space="0" w:color="auto"/>
            </w:tcBorders>
          </w:tcPr>
          <w:p w14:paraId="1DCFF68E" w14:textId="77777777" w:rsidR="00286F7D" w:rsidRPr="00286F7D" w:rsidRDefault="00286F7D" w:rsidP="00286F7D">
            <w:pPr>
              <w:pStyle w:val="Texttabulky"/>
              <w:spacing w:after="0"/>
              <w:rPr>
                <w:rFonts w:cs="Arial"/>
              </w:rPr>
            </w:pPr>
            <w:r w:rsidRPr="00286F7D">
              <w:rPr>
                <w:rFonts w:cs="Arial"/>
                <w:b/>
                <w:bCs/>
                <w:caps/>
              </w:rPr>
              <w:t>sektor celkem</w:t>
            </w:r>
          </w:p>
        </w:tc>
        <w:tc>
          <w:tcPr>
            <w:tcW w:w="838" w:type="dxa"/>
            <w:tcBorders>
              <w:top w:val="single" w:sz="6" w:space="0" w:color="auto"/>
              <w:left w:val="single" w:sz="6" w:space="0" w:color="auto"/>
              <w:bottom w:val="single" w:sz="6" w:space="0" w:color="auto"/>
              <w:right w:val="single" w:sz="6" w:space="0" w:color="auto"/>
            </w:tcBorders>
          </w:tcPr>
          <w:p w14:paraId="4E326726" w14:textId="77777777" w:rsidR="00286F7D" w:rsidRPr="00286F7D" w:rsidRDefault="00286F7D" w:rsidP="00286F7D">
            <w:pPr>
              <w:pStyle w:val="Texttabulky"/>
              <w:spacing w:after="0"/>
              <w:rPr>
                <w:rFonts w:cs="Arial"/>
              </w:rPr>
            </w:pPr>
            <w:r w:rsidRPr="00286F7D">
              <w:rPr>
                <w:rFonts w:cs="Arial"/>
                <w:b/>
                <w:bCs/>
              </w:rPr>
              <w:t>1 915</w:t>
            </w:r>
          </w:p>
        </w:tc>
        <w:tc>
          <w:tcPr>
            <w:tcW w:w="856" w:type="dxa"/>
            <w:tcBorders>
              <w:top w:val="single" w:sz="6" w:space="0" w:color="auto"/>
              <w:left w:val="single" w:sz="6" w:space="0" w:color="auto"/>
              <w:bottom w:val="single" w:sz="6" w:space="0" w:color="auto"/>
              <w:right w:val="single" w:sz="6" w:space="0" w:color="auto"/>
            </w:tcBorders>
          </w:tcPr>
          <w:p w14:paraId="7EABF42B" w14:textId="77777777" w:rsidR="00286F7D" w:rsidRPr="00286F7D" w:rsidRDefault="00286F7D" w:rsidP="00286F7D">
            <w:pPr>
              <w:pStyle w:val="Texttabulky"/>
              <w:spacing w:after="0"/>
              <w:rPr>
                <w:rFonts w:cs="Arial"/>
              </w:rPr>
            </w:pPr>
            <w:r w:rsidRPr="00286F7D">
              <w:rPr>
                <w:rFonts w:cs="Arial"/>
                <w:b/>
                <w:bCs/>
              </w:rPr>
              <w:t>318</w:t>
            </w:r>
          </w:p>
        </w:tc>
        <w:tc>
          <w:tcPr>
            <w:tcW w:w="999" w:type="dxa"/>
            <w:tcBorders>
              <w:top w:val="single" w:sz="6" w:space="0" w:color="auto"/>
              <w:left w:val="single" w:sz="6" w:space="0" w:color="auto"/>
              <w:bottom w:val="single" w:sz="6" w:space="0" w:color="auto"/>
              <w:right w:val="single" w:sz="6" w:space="0" w:color="auto"/>
            </w:tcBorders>
          </w:tcPr>
          <w:p w14:paraId="25C30DE2" w14:textId="77777777" w:rsidR="00286F7D" w:rsidRPr="00286F7D" w:rsidRDefault="00286F7D" w:rsidP="00286F7D">
            <w:pPr>
              <w:pStyle w:val="Texttabulky"/>
              <w:spacing w:after="0"/>
              <w:rPr>
                <w:rFonts w:cs="Arial"/>
              </w:rPr>
            </w:pPr>
            <w:r w:rsidRPr="00286F7D">
              <w:rPr>
                <w:rFonts w:cs="Arial"/>
                <w:b/>
                <w:bCs/>
              </w:rPr>
              <w:t>79</w:t>
            </w:r>
          </w:p>
        </w:tc>
        <w:tc>
          <w:tcPr>
            <w:tcW w:w="993" w:type="dxa"/>
            <w:tcBorders>
              <w:top w:val="single" w:sz="6" w:space="0" w:color="auto"/>
              <w:left w:val="single" w:sz="6" w:space="0" w:color="auto"/>
              <w:bottom w:val="single" w:sz="6" w:space="0" w:color="auto"/>
              <w:right w:val="single" w:sz="6" w:space="0" w:color="auto"/>
            </w:tcBorders>
          </w:tcPr>
          <w:p w14:paraId="46F85F1C" w14:textId="77777777" w:rsidR="00286F7D" w:rsidRPr="00286F7D" w:rsidRDefault="00286F7D" w:rsidP="00286F7D">
            <w:pPr>
              <w:pStyle w:val="Texttabulky"/>
              <w:spacing w:after="0"/>
              <w:rPr>
                <w:rFonts w:cs="Arial"/>
              </w:rPr>
            </w:pPr>
            <w:r w:rsidRPr="00286F7D">
              <w:rPr>
                <w:rFonts w:cs="Arial"/>
                <w:b/>
                <w:bCs/>
              </w:rPr>
              <w:t>2 312</w:t>
            </w:r>
          </w:p>
        </w:tc>
        <w:tc>
          <w:tcPr>
            <w:tcW w:w="2428" w:type="dxa"/>
            <w:tcBorders>
              <w:top w:val="single" w:sz="6" w:space="0" w:color="auto"/>
              <w:left w:val="single" w:sz="6" w:space="0" w:color="auto"/>
              <w:bottom w:val="single" w:sz="6" w:space="0" w:color="auto"/>
              <w:right w:val="single" w:sz="6" w:space="0" w:color="auto"/>
            </w:tcBorders>
          </w:tcPr>
          <w:p w14:paraId="41657E01" w14:textId="77777777" w:rsidR="00286F7D" w:rsidRPr="00286F7D" w:rsidRDefault="00286F7D" w:rsidP="00286F7D">
            <w:pPr>
              <w:pStyle w:val="Zkladntext"/>
              <w:spacing w:after="0"/>
              <w:rPr>
                <w:rFonts w:ascii="Arial" w:hAnsi="Arial" w:cs="Arial"/>
              </w:rPr>
            </w:pPr>
          </w:p>
        </w:tc>
      </w:tr>
      <w:tr w:rsidR="00286F7D" w:rsidRPr="00286F7D" w14:paraId="26432189" w14:textId="77777777" w:rsidTr="00286F7D">
        <w:tc>
          <w:tcPr>
            <w:tcW w:w="426" w:type="dxa"/>
            <w:tcBorders>
              <w:top w:val="single" w:sz="6" w:space="0" w:color="auto"/>
              <w:left w:val="single" w:sz="6" w:space="0" w:color="auto"/>
              <w:bottom w:val="single" w:sz="6" w:space="0" w:color="auto"/>
              <w:right w:val="single" w:sz="6" w:space="0" w:color="auto"/>
            </w:tcBorders>
          </w:tcPr>
          <w:p w14:paraId="22F4280D" w14:textId="77777777" w:rsidR="00286F7D" w:rsidRPr="00286F7D" w:rsidRDefault="00286F7D" w:rsidP="00286F7D">
            <w:pPr>
              <w:pStyle w:val="Texttabulky"/>
              <w:spacing w:after="0"/>
              <w:jc w:val="right"/>
              <w:rPr>
                <w:rFonts w:cs="Arial"/>
              </w:rPr>
            </w:pPr>
            <w:r w:rsidRPr="00286F7D">
              <w:rPr>
                <w:rFonts w:cs="Arial"/>
              </w:rPr>
              <w:t>2</w:t>
            </w:r>
          </w:p>
        </w:tc>
        <w:tc>
          <w:tcPr>
            <w:tcW w:w="1984" w:type="dxa"/>
            <w:tcBorders>
              <w:top w:val="single" w:sz="6" w:space="0" w:color="auto"/>
              <w:left w:val="single" w:sz="6" w:space="0" w:color="auto"/>
              <w:bottom w:val="single" w:sz="6" w:space="0" w:color="auto"/>
              <w:right w:val="single" w:sz="6" w:space="0" w:color="auto"/>
            </w:tcBorders>
          </w:tcPr>
          <w:p w14:paraId="0BB140C9" w14:textId="77777777" w:rsidR="00286F7D" w:rsidRPr="00286F7D" w:rsidRDefault="00286F7D" w:rsidP="00286F7D">
            <w:pPr>
              <w:pStyle w:val="Texttabulky"/>
              <w:spacing w:after="0"/>
              <w:rPr>
                <w:rFonts w:cs="Arial"/>
              </w:rPr>
            </w:pPr>
            <w:r w:rsidRPr="00286F7D">
              <w:rPr>
                <w:rFonts w:cs="Arial"/>
              </w:rPr>
              <w:t>Přístav</w:t>
            </w:r>
          </w:p>
        </w:tc>
        <w:tc>
          <w:tcPr>
            <w:tcW w:w="838" w:type="dxa"/>
            <w:tcBorders>
              <w:top w:val="single" w:sz="6" w:space="0" w:color="auto"/>
              <w:left w:val="single" w:sz="6" w:space="0" w:color="auto"/>
              <w:bottom w:val="single" w:sz="6" w:space="0" w:color="auto"/>
              <w:right w:val="single" w:sz="6" w:space="0" w:color="auto"/>
            </w:tcBorders>
          </w:tcPr>
          <w:p w14:paraId="2A0F0C21" w14:textId="77777777" w:rsidR="00286F7D" w:rsidRPr="00286F7D" w:rsidRDefault="00286F7D" w:rsidP="00286F7D">
            <w:pPr>
              <w:pStyle w:val="Texttabulky"/>
              <w:spacing w:after="0"/>
              <w:rPr>
                <w:rFonts w:cs="Arial"/>
              </w:rPr>
            </w:pPr>
            <w:r w:rsidRPr="00286F7D">
              <w:rPr>
                <w:rFonts w:cs="Arial"/>
              </w:rPr>
              <w:t>0</w:t>
            </w:r>
          </w:p>
        </w:tc>
        <w:tc>
          <w:tcPr>
            <w:tcW w:w="856" w:type="dxa"/>
            <w:tcBorders>
              <w:top w:val="single" w:sz="6" w:space="0" w:color="auto"/>
              <w:left w:val="single" w:sz="6" w:space="0" w:color="auto"/>
              <w:bottom w:val="single" w:sz="6" w:space="0" w:color="auto"/>
              <w:right w:val="single" w:sz="6" w:space="0" w:color="auto"/>
            </w:tcBorders>
          </w:tcPr>
          <w:p w14:paraId="1E510ECE"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26B1ACE2" w14:textId="77777777" w:rsidR="00286F7D" w:rsidRPr="00286F7D" w:rsidRDefault="00286F7D" w:rsidP="00286F7D">
            <w:pPr>
              <w:pStyle w:val="Texttabulky"/>
              <w:spacing w:after="0"/>
              <w:rPr>
                <w:rFonts w:cs="Arial"/>
              </w:rPr>
            </w:pPr>
            <w:r w:rsidRPr="00286F7D">
              <w:rPr>
                <w:rFonts w:cs="Arial"/>
              </w:rPr>
              <w:t>50</w:t>
            </w:r>
          </w:p>
        </w:tc>
        <w:tc>
          <w:tcPr>
            <w:tcW w:w="993" w:type="dxa"/>
            <w:tcBorders>
              <w:top w:val="single" w:sz="6" w:space="0" w:color="auto"/>
              <w:left w:val="single" w:sz="6" w:space="0" w:color="auto"/>
              <w:bottom w:val="single" w:sz="6" w:space="0" w:color="auto"/>
              <w:right w:val="single" w:sz="6" w:space="0" w:color="auto"/>
            </w:tcBorders>
          </w:tcPr>
          <w:p w14:paraId="09422ED9" w14:textId="77777777" w:rsidR="00286F7D" w:rsidRPr="00286F7D" w:rsidRDefault="00286F7D" w:rsidP="00286F7D">
            <w:pPr>
              <w:pStyle w:val="Texttabulky"/>
              <w:spacing w:after="0"/>
              <w:rPr>
                <w:rFonts w:cs="Arial"/>
              </w:rPr>
            </w:pPr>
            <w:r w:rsidRPr="00286F7D">
              <w:rPr>
                <w:rFonts w:cs="Arial"/>
              </w:rPr>
              <w:t>50</w:t>
            </w:r>
          </w:p>
        </w:tc>
        <w:tc>
          <w:tcPr>
            <w:tcW w:w="2428" w:type="dxa"/>
            <w:tcBorders>
              <w:top w:val="single" w:sz="6" w:space="0" w:color="auto"/>
              <w:left w:val="single" w:sz="6" w:space="0" w:color="auto"/>
              <w:bottom w:val="single" w:sz="6" w:space="0" w:color="auto"/>
              <w:right w:val="single" w:sz="6" w:space="0" w:color="auto"/>
            </w:tcBorders>
          </w:tcPr>
          <w:p w14:paraId="4B0BFF04"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7CF2FA2B" w14:textId="77777777" w:rsidTr="00286F7D">
        <w:tc>
          <w:tcPr>
            <w:tcW w:w="426" w:type="dxa"/>
            <w:tcBorders>
              <w:top w:val="single" w:sz="6" w:space="0" w:color="auto"/>
              <w:left w:val="single" w:sz="6" w:space="0" w:color="auto"/>
              <w:bottom w:val="single" w:sz="6" w:space="0" w:color="auto"/>
              <w:right w:val="single" w:sz="6" w:space="0" w:color="auto"/>
            </w:tcBorders>
          </w:tcPr>
          <w:p w14:paraId="786A3984" w14:textId="77777777" w:rsidR="00286F7D" w:rsidRPr="00286F7D" w:rsidRDefault="00286F7D" w:rsidP="00286F7D">
            <w:pPr>
              <w:pStyle w:val="Texttabulky"/>
              <w:spacing w:after="0"/>
              <w:jc w:val="right"/>
              <w:rPr>
                <w:rFonts w:cs="Arial"/>
              </w:rPr>
            </w:pPr>
            <w:r w:rsidRPr="00286F7D">
              <w:rPr>
                <w:rFonts w:cs="Arial"/>
              </w:rPr>
              <w:t>3</w:t>
            </w:r>
          </w:p>
        </w:tc>
        <w:tc>
          <w:tcPr>
            <w:tcW w:w="1984" w:type="dxa"/>
            <w:tcBorders>
              <w:top w:val="single" w:sz="6" w:space="0" w:color="auto"/>
              <w:left w:val="single" w:sz="6" w:space="0" w:color="auto"/>
              <w:bottom w:val="single" w:sz="6" w:space="0" w:color="auto"/>
              <w:right w:val="single" w:sz="6" w:space="0" w:color="auto"/>
            </w:tcBorders>
          </w:tcPr>
          <w:p w14:paraId="1E2D785D" w14:textId="77777777" w:rsidR="00286F7D" w:rsidRPr="00286F7D" w:rsidRDefault="00286F7D" w:rsidP="00286F7D">
            <w:pPr>
              <w:pStyle w:val="Texttabulky"/>
              <w:spacing w:after="0"/>
              <w:rPr>
                <w:rFonts w:cs="Arial"/>
              </w:rPr>
            </w:pPr>
            <w:r w:rsidRPr="00286F7D">
              <w:rPr>
                <w:rFonts w:cs="Arial"/>
              </w:rPr>
              <w:t>Děčínská výšina</w:t>
            </w:r>
          </w:p>
        </w:tc>
        <w:tc>
          <w:tcPr>
            <w:tcW w:w="838" w:type="dxa"/>
            <w:tcBorders>
              <w:top w:val="single" w:sz="6" w:space="0" w:color="auto"/>
              <w:left w:val="single" w:sz="6" w:space="0" w:color="auto"/>
              <w:bottom w:val="single" w:sz="6" w:space="0" w:color="auto"/>
              <w:right w:val="single" w:sz="6" w:space="0" w:color="auto"/>
            </w:tcBorders>
          </w:tcPr>
          <w:p w14:paraId="516F418E" w14:textId="77777777" w:rsidR="00286F7D" w:rsidRPr="00286F7D" w:rsidRDefault="00286F7D" w:rsidP="00286F7D">
            <w:pPr>
              <w:pStyle w:val="Texttabulky"/>
              <w:spacing w:after="0"/>
              <w:rPr>
                <w:rFonts w:cs="Arial"/>
              </w:rPr>
            </w:pPr>
            <w:r w:rsidRPr="00286F7D">
              <w:rPr>
                <w:rFonts w:cs="Arial"/>
              </w:rPr>
              <w:t>0</w:t>
            </w:r>
          </w:p>
        </w:tc>
        <w:tc>
          <w:tcPr>
            <w:tcW w:w="856" w:type="dxa"/>
            <w:tcBorders>
              <w:top w:val="single" w:sz="6" w:space="0" w:color="auto"/>
              <w:left w:val="single" w:sz="6" w:space="0" w:color="auto"/>
              <w:bottom w:val="single" w:sz="6" w:space="0" w:color="auto"/>
              <w:right w:val="single" w:sz="6" w:space="0" w:color="auto"/>
            </w:tcBorders>
          </w:tcPr>
          <w:p w14:paraId="3432C026"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1A024A4C"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64E90CF0" w14:textId="77777777" w:rsidR="00286F7D" w:rsidRPr="00286F7D" w:rsidRDefault="00286F7D" w:rsidP="00286F7D">
            <w:pPr>
              <w:pStyle w:val="Texttabulky"/>
              <w:spacing w:after="0"/>
              <w:rPr>
                <w:rFonts w:cs="Arial"/>
              </w:rPr>
            </w:pPr>
            <w:r w:rsidRPr="00286F7D">
              <w:rPr>
                <w:rFonts w:cs="Arial"/>
              </w:rPr>
              <w:t>0</w:t>
            </w:r>
          </w:p>
        </w:tc>
        <w:tc>
          <w:tcPr>
            <w:tcW w:w="2428" w:type="dxa"/>
            <w:tcBorders>
              <w:top w:val="single" w:sz="6" w:space="0" w:color="auto"/>
              <w:left w:val="single" w:sz="6" w:space="0" w:color="auto"/>
              <w:bottom w:val="single" w:sz="6" w:space="0" w:color="auto"/>
              <w:right w:val="single" w:sz="6" w:space="0" w:color="auto"/>
            </w:tcBorders>
          </w:tcPr>
          <w:p w14:paraId="5BA25064"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12ED39A5" w14:textId="77777777" w:rsidTr="00286F7D">
        <w:tc>
          <w:tcPr>
            <w:tcW w:w="426" w:type="dxa"/>
            <w:tcBorders>
              <w:top w:val="single" w:sz="6" w:space="0" w:color="auto"/>
              <w:left w:val="single" w:sz="6" w:space="0" w:color="auto"/>
              <w:bottom w:val="single" w:sz="6" w:space="0" w:color="auto"/>
              <w:right w:val="single" w:sz="6" w:space="0" w:color="auto"/>
            </w:tcBorders>
          </w:tcPr>
          <w:p w14:paraId="10744EC4" w14:textId="77777777" w:rsidR="00286F7D" w:rsidRPr="00286F7D" w:rsidRDefault="00286F7D" w:rsidP="00286F7D">
            <w:pPr>
              <w:pStyle w:val="Texttabulky"/>
              <w:spacing w:after="0"/>
              <w:jc w:val="right"/>
              <w:rPr>
                <w:rFonts w:cs="Arial"/>
              </w:rPr>
            </w:pPr>
            <w:r w:rsidRPr="00286F7D">
              <w:rPr>
                <w:rFonts w:cs="Arial"/>
              </w:rPr>
              <w:t>39</w:t>
            </w:r>
          </w:p>
        </w:tc>
        <w:tc>
          <w:tcPr>
            <w:tcW w:w="1984" w:type="dxa"/>
            <w:tcBorders>
              <w:top w:val="single" w:sz="6" w:space="0" w:color="auto"/>
              <w:left w:val="single" w:sz="6" w:space="0" w:color="auto"/>
              <w:bottom w:val="single" w:sz="6" w:space="0" w:color="auto"/>
              <w:right w:val="single" w:sz="6" w:space="0" w:color="auto"/>
            </w:tcBorders>
          </w:tcPr>
          <w:p w14:paraId="58FE7484" w14:textId="77777777" w:rsidR="00286F7D" w:rsidRPr="00286F7D" w:rsidRDefault="00286F7D" w:rsidP="00286F7D">
            <w:pPr>
              <w:pStyle w:val="Texttabulky"/>
              <w:spacing w:after="0"/>
              <w:rPr>
                <w:rFonts w:cs="Arial"/>
              </w:rPr>
            </w:pPr>
            <w:r w:rsidRPr="00286F7D">
              <w:rPr>
                <w:rFonts w:cs="Arial"/>
              </w:rPr>
              <w:t>Prostřední Žleb</w:t>
            </w:r>
          </w:p>
        </w:tc>
        <w:tc>
          <w:tcPr>
            <w:tcW w:w="838" w:type="dxa"/>
            <w:tcBorders>
              <w:top w:val="single" w:sz="6" w:space="0" w:color="auto"/>
              <w:left w:val="single" w:sz="6" w:space="0" w:color="auto"/>
              <w:bottom w:val="single" w:sz="6" w:space="0" w:color="auto"/>
              <w:right w:val="single" w:sz="6" w:space="0" w:color="auto"/>
            </w:tcBorders>
          </w:tcPr>
          <w:p w14:paraId="34C8D873" w14:textId="77777777" w:rsidR="00286F7D" w:rsidRPr="00286F7D" w:rsidRDefault="00286F7D" w:rsidP="00286F7D">
            <w:pPr>
              <w:pStyle w:val="Texttabulky"/>
              <w:spacing w:after="0"/>
              <w:rPr>
                <w:rFonts w:cs="Arial"/>
              </w:rPr>
            </w:pPr>
            <w:r w:rsidRPr="00286F7D">
              <w:rPr>
                <w:rFonts w:cs="Arial"/>
              </w:rPr>
              <w:t>284</w:t>
            </w:r>
          </w:p>
        </w:tc>
        <w:tc>
          <w:tcPr>
            <w:tcW w:w="856" w:type="dxa"/>
            <w:tcBorders>
              <w:top w:val="single" w:sz="6" w:space="0" w:color="auto"/>
              <w:left w:val="single" w:sz="6" w:space="0" w:color="auto"/>
              <w:bottom w:val="single" w:sz="6" w:space="0" w:color="auto"/>
              <w:right w:val="single" w:sz="6" w:space="0" w:color="auto"/>
            </w:tcBorders>
          </w:tcPr>
          <w:p w14:paraId="18248E38" w14:textId="77777777" w:rsidR="00286F7D" w:rsidRPr="00286F7D" w:rsidRDefault="00286F7D" w:rsidP="00286F7D">
            <w:pPr>
              <w:pStyle w:val="Texttabulky"/>
              <w:spacing w:after="0"/>
              <w:rPr>
                <w:rFonts w:cs="Arial"/>
              </w:rPr>
            </w:pPr>
            <w:r w:rsidRPr="00286F7D">
              <w:rPr>
                <w:rFonts w:cs="Arial"/>
              </w:rPr>
              <w:t>76</w:t>
            </w:r>
          </w:p>
        </w:tc>
        <w:tc>
          <w:tcPr>
            <w:tcW w:w="999" w:type="dxa"/>
            <w:tcBorders>
              <w:top w:val="single" w:sz="6" w:space="0" w:color="auto"/>
              <w:left w:val="single" w:sz="6" w:space="0" w:color="auto"/>
              <w:bottom w:val="single" w:sz="6" w:space="0" w:color="auto"/>
              <w:right w:val="single" w:sz="6" w:space="0" w:color="auto"/>
            </w:tcBorders>
          </w:tcPr>
          <w:p w14:paraId="4D70B709"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782AB30D" w14:textId="77777777" w:rsidR="00286F7D" w:rsidRPr="00286F7D" w:rsidRDefault="00286F7D" w:rsidP="00286F7D">
            <w:pPr>
              <w:pStyle w:val="Texttabulky"/>
              <w:spacing w:after="0"/>
              <w:rPr>
                <w:rFonts w:cs="Arial"/>
              </w:rPr>
            </w:pPr>
            <w:r w:rsidRPr="00286F7D">
              <w:rPr>
                <w:rFonts w:cs="Arial"/>
              </w:rPr>
              <w:t>360</w:t>
            </w:r>
          </w:p>
        </w:tc>
        <w:tc>
          <w:tcPr>
            <w:tcW w:w="2428" w:type="dxa"/>
            <w:tcBorders>
              <w:top w:val="single" w:sz="6" w:space="0" w:color="auto"/>
              <w:left w:val="single" w:sz="6" w:space="0" w:color="auto"/>
              <w:bottom w:val="single" w:sz="6" w:space="0" w:color="auto"/>
              <w:right w:val="single" w:sz="6" w:space="0" w:color="auto"/>
            </w:tcBorders>
          </w:tcPr>
          <w:p w14:paraId="1923F150"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29463ABA" w14:textId="77777777" w:rsidTr="00286F7D">
        <w:tc>
          <w:tcPr>
            <w:tcW w:w="426" w:type="dxa"/>
            <w:tcBorders>
              <w:top w:val="single" w:sz="6" w:space="0" w:color="auto"/>
              <w:left w:val="single" w:sz="6" w:space="0" w:color="auto"/>
              <w:bottom w:val="single" w:sz="6" w:space="0" w:color="auto"/>
              <w:right w:val="single" w:sz="6" w:space="0" w:color="auto"/>
            </w:tcBorders>
          </w:tcPr>
          <w:p w14:paraId="31C92F88" w14:textId="77777777" w:rsidR="00286F7D" w:rsidRPr="00286F7D" w:rsidRDefault="00286F7D" w:rsidP="00286F7D">
            <w:pPr>
              <w:pStyle w:val="Texttabulky"/>
              <w:spacing w:after="0"/>
              <w:jc w:val="right"/>
              <w:rPr>
                <w:rFonts w:cs="Arial"/>
              </w:rPr>
            </w:pPr>
            <w:r w:rsidRPr="00286F7D">
              <w:rPr>
                <w:rFonts w:cs="Arial"/>
              </w:rPr>
              <w:t>40</w:t>
            </w:r>
          </w:p>
        </w:tc>
        <w:tc>
          <w:tcPr>
            <w:tcW w:w="1984" w:type="dxa"/>
            <w:tcBorders>
              <w:top w:val="single" w:sz="6" w:space="0" w:color="auto"/>
              <w:left w:val="single" w:sz="6" w:space="0" w:color="auto"/>
              <w:bottom w:val="single" w:sz="6" w:space="0" w:color="auto"/>
              <w:right w:val="single" w:sz="6" w:space="0" w:color="auto"/>
            </w:tcBorders>
          </w:tcPr>
          <w:p w14:paraId="0E313DEA" w14:textId="77777777" w:rsidR="00286F7D" w:rsidRPr="00286F7D" w:rsidRDefault="00286F7D" w:rsidP="00286F7D">
            <w:pPr>
              <w:pStyle w:val="Texttabulky"/>
              <w:spacing w:after="0"/>
              <w:rPr>
                <w:rFonts w:cs="Arial"/>
              </w:rPr>
            </w:pPr>
            <w:r w:rsidRPr="00286F7D">
              <w:rPr>
                <w:rFonts w:cs="Arial"/>
              </w:rPr>
              <w:t>Loubí</w:t>
            </w:r>
          </w:p>
        </w:tc>
        <w:tc>
          <w:tcPr>
            <w:tcW w:w="838" w:type="dxa"/>
            <w:tcBorders>
              <w:top w:val="single" w:sz="6" w:space="0" w:color="auto"/>
              <w:left w:val="single" w:sz="6" w:space="0" w:color="auto"/>
              <w:bottom w:val="single" w:sz="6" w:space="0" w:color="auto"/>
              <w:right w:val="single" w:sz="6" w:space="0" w:color="auto"/>
            </w:tcBorders>
          </w:tcPr>
          <w:p w14:paraId="1220F4C1" w14:textId="77777777" w:rsidR="00286F7D" w:rsidRPr="00286F7D" w:rsidRDefault="00286F7D" w:rsidP="00286F7D">
            <w:pPr>
              <w:pStyle w:val="Texttabulky"/>
              <w:spacing w:after="0"/>
              <w:rPr>
                <w:rFonts w:cs="Arial"/>
              </w:rPr>
            </w:pPr>
            <w:r w:rsidRPr="00286F7D">
              <w:rPr>
                <w:rFonts w:cs="Arial"/>
              </w:rPr>
              <w:t>-143</w:t>
            </w:r>
          </w:p>
        </w:tc>
        <w:tc>
          <w:tcPr>
            <w:tcW w:w="856" w:type="dxa"/>
            <w:tcBorders>
              <w:top w:val="single" w:sz="6" w:space="0" w:color="auto"/>
              <w:left w:val="single" w:sz="6" w:space="0" w:color="auto"/>
              <w:bottom w:val="single" w:sz="6" w:space="0" w:color="auto"/>
              <w:right w:val="single" w:sz="6" w:space="0" w:color="auto"/>
            </w:tcBorders>
          </w:tcPr>
          <w:p w14:paraId="155A532D"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4535AEA1" w14:textId="77777777" w:rsidR="00286F7D" w:rsidRPr="00286F7D" w:rsidRDefault="00286F7D" w:rsidP="00286F7D">
            <w:pPr>
              <w:pStyle w:val="Texttabulky"/>
              <w:spacing w:after="0"/>
              <w:rPr>
                <w:rFonts w:cs="Arial"/>
              </w:rPr>
            </w:pPr>
            <w:r w:rsidRPr="00286F7D">
              <w:rPr>
                <w:rFonts w:cs="Arial"/>
              </w:rPr>
              <w:t>150</w:t>
            </w:r>
          </w:p>
        </w:tc>
        <w:tc>
          <w:tcPr>
            <w:tcW w:w="993" w:type="dxa"/>
            <w:tcBorders>
              <w:top w:val="single" w:sz="6" w:space="0" w:color="auto"/>
              <w:left w:val="single" w:sz="6" w:space="0" w:color="auto"/>
              <w:bottom w:val="single" w:sz="6" w:space="0" w:color="auto"/>
              <w:right w:val="single" w:sz="6" w:space="0" w:color="auto"/>
            </w:tcBorders>
          </w:tcPr>
          <w:p w14:paraId="377922B1" w14:textId="77777777" w:rsidR="00286F7D" w:rsidRPr="00286F7D" w:rsidRDefault="00286F7D" w:rsidP="00286F7D">
            <w:pPr>
              <w:pStyle w:val="Texttabulky"/>
              <w:spacing w:after="0"/>
              <w:rPr>
                <w:rFonts w:cs="Arial"/>
              </w:rPr>
            </w:pPr>
            <w:r w:rsidRPr="00286F7D">
              <w:rPr>
                <w:rFonts w:cs="Arial"/>
              </w:rPr>
              <w:t>- 37</w:t>
            </w:r>
          </w:p>
        </w:tc>
        <w:tc>
          <w:tcPr>
            <w:tcW w:w="2428" w:type="dxa"/>
            <w:tcBorders>
              <w:top w:val="single" w:sz="6" w:space="0" w:color="auto"/>
              <w:left w:val="single" w:sz="6" w:space="0" w:color="auto"/>
              <w:bottom w:val="single" w:sz="6" w:space="0" w:color="auto"/>
              <w:right w:val="single" w:sz="6" w:space="0" w:color="auto"/>
            </w:tcBorders>
          </w:tcPr>
          <w:p w14:paraId="3D34AFBA" w14:textId="77777777" w:rsidR="00286F7D" w:rsidRPr="00286F7D" w:rsidRDefault="00286F7D" w:rsidP="00286F7D">
            <w:pPr>
              <w:pStyle w:val="Texttabulky"/>
              <w:spacing w:after="0"/>
              <w:rPr>
                <w:rFonts w:cs="Arial"/>
              </w:rPr>
            </w:pPr>
            <w:r w:rsidRPr="00286F7D">
              <w:rPr>
                <w:rFonts w:cs="Arial"/>
              </w:rPr>
              <w:t>vyhovuje v rámci přístavu</w:t>
            </w:r>
          </w:p>
        </w:tc>
      </w:tr>
      <w:tr w:rsidR="00286F7D" w:rsidRPr="00286F7D" w14:paraId="08E2E261" w14:textId="77777777" w:rsidTr="00286F7D">
        <w:tc>
          <w:tcPr>
            <w:tcW w:w="426" w:type="dxa"/>
            <w:tcBorders>
              <w:top w:val="single" w:sz="6" w:space="0" w:color="auto"/>
              <w:left w:val="single" w:sz="6" w:space="0" w:color="auto"/>
              <w:bottom w:val="single" w:sz="6" w:space="0" w:color="auto"/>
              <w:right w:val="single" w:sz="6" w:space="0" w:color="auto"/>
            </w:tcBorders>
          </w:tcPr>
          <w:p w14:paraId="0647C857" w14:textId="77777777" w:rsidR="00286F7D" w:rsidRPr="00286F7D" w:rsidRDefault="00286F7D" w:rsidP="00286F7D">
            <w:pPr>
              <w:pStyle w:val="Texttabulky"/>
              <w:spacing w:after="0"/>
              <w:jc w:val="right"/>
              <w:rPr>
                <w:rFonts w:cs="Arial"/>
              </w:rPr>
            </w:pPr>
            <w:r w:rsidRPr="00286F7D">
              <w:rPr>
                <w:rFonts w:cs="Arial"/>
              </w:rPr>
              <w:t>65</w:t>
            </w:r>
          </w:p>
        </w:tc>
        <w:tc>
          <w:tcPr>
            <w:tcW w:w="1984" w:type="dxa"/>
            <w:tcBorders>
              <w:top w:val="single" w:sz="6" w:space="0" w:color="auto"/>
              <w:left w:val="single" w:sz="6" w:space="0" w:color="auto"/>
              <w:bottom w:val="single" w:sz="6" w:space="0" w:color="auto"/>
              <w:right w:val="single" w:sz="6" w:space="0" w:color="auto"/>
            </w:tcBorders>
          </w:tcPr>
          <w:p w14:paraId="0ADD721F" w14:textId="77777777" w:rsidR="00286F7D" w:rsidRPr="00286F7D" w:rsidRDefault="00286F7D" w:rsidP="00286F7D">
            <w:pPr>
              <w:pStyle w:val="Texttabulky"/>
              <w:spacing w:after="0"/>
              <w:rPr>
                <w:rFonts w:cs="Arial"/>
              </w:rPr>
            </w:pPr>
            <w:r w:rsidRPr="00286F7D">
              <w:rPr>
                <w:rFonts w:cs="Arial"/>
              </w:rPr>
              <w:t>Horní Žleb</w:t>
            </w:r>
          </w:p>
        </w:tc>
        <w:tc>
          <w:tcPr>
            <w:tcW w:w="838" w:type="dxa"/>
            <w:tcBorders>
              <w:top w:val="single" w:sz="6" w:space="0" w:color="auto"/>
              <w:left w:val="single" w:sz="6" w:space="0" w:color="auto"/>
              <w:bottom w:val="single" w:sz="6" w:space="0" w:color="auto"/>
              <w:right w:val="single" w:sz="6" w:space="0" w:color="auto"/>
            </w:tcBorders>
          </w:tcPr>
          <w:p w14:paraId="6C6FD1CC" w14:textId="77777777" w:rsidR="00286F7D" w:rsidRPr="00286F7D" w:rsidRDefault="00286F7D" w:rsidP="00286F7D">
            <w:pPr>
              <w:pStyle w:val="Texttabulky"/>
              <w:spacing w:after="0"/>
              <w:rPr>
                <w:rFonts w:cs="Arial"/>
              </w:rPr>
            </w:pPr>
            <w:r w:rsidRPr="00286F7D">
              <w:rPr>
                <w:rFonts w:cs="Arial"/>
              </w:rPr>
              <w:t>-380</w:t>
            </w:r>
          </w:p>
        </w:tc>
        <w:tc>
          <w:tcPr>
            <w:tcW w:w="856" w:type="dxa"/>
            <w:tcBorders>
              <w:top w:val="single" w:sz="6" w:space="0" w:color="auto"/>
              <w:left w:val="single" w:sz="6" w:space="0" w:color="auto"/>
              <w:bottom w:val="single" w:sz="6" w:space="0" w:color="auto"/>
              <w:right w:val="single" w:sz="6" w:space="0" w:color="auto"/>
            </w:tcBorders>
          </w:tcPr>
          <w:p w14:paraId="18D06457"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0DA6205F"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393489EB" w14:textId="77777777" w:rsidR="00286F7D" w:rsidRPr="00286F7D" w:rsidRDefault="00286F7D" w:rsidP="00286F7D">
            <w:pPr>
              <w:pStyle w:val="Texttabulky"/>
              <w:spacing w:after="0"/>
              <w:rPr>
                <w:rFonts w:cs="Arial"/>
              </w:rPr>
            </w:pPr>
            <w:r w:rsidRPr="00286F7D">
              <w:rPr>
                <w:rFonts w:cs="Arial"/>
              </w:rPr>
              <w:t>-380</w:t>
            </w:r>
          </w:p>
        </w:tc>
        <w:tc>
          <w:tcPr>
            <w:tcW w:w="2428" w:type="dxa"/>
            <w:tcBorders>
              <w:top w:val="single" w:sz="6" w:space="0" w:color="auto"/>
              <w:left w:val="single" w:sz="6" w:space="0" w:color="auto"/>
              <w:bottom w:val="single" w:sz="6" w:space="0" w:color="auto"/>
              <w:right w:val="single" w:sz="6" w:space="0" w:color="auto"/>
            </w:tcBorders>
          </w:tcPr>
          <w:p w14:paraId="2F9BD90F"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79477151" w14:textId="77777777" w:rsidTr="00286F7D">
        <w:tc>
          <w:tcPr>
            <w:tcW w:w="426" w:type="dxa"/>
            <w:tcBorders>
              <w:top w:val="single" w:sz="6" w:space="0" w:color="auto"/>
              <w:left w:val="single" w:sz="6" w:space="0" w:color="auto"/>
              <w:bottom w:val="single" w:sz="6" w:space="0" w:color="auto"/>
              <w:right w:val="single" w:sz="6" w:space="0" w:color="auto"/>
            </w:tcBorders>
          </w:tcPr>
          <w:p w14:paraId="0313531F" w14:textId="77777777" w:rsidR="00286F7D" w:rsidRPr="00286F7D" w:rsidRDefault="00286F7D" w:rsidP="00286F7D">
            <w:pPr>
              <w:pStyle w:val="Texttabulky"/>
              <w:spacing w:after="0"/>
              <w:rPr>
                <w:rFonts w:cs="Arial"/>
              </w:rPr>
            </w:pPr>
            <w:r w:rsidRPr="00286F7D">
              <w:rPr>
                <w:rFonts w:cs="Arial"/>
                <w:b/>
                <w:bCs/>
              </w:rPr>
              <w:t xml:space="preserve">  V</w:t>
            </w:r>
          </w:p>
        </w:tc>
        <w:tc>
          <w:tcPr>
            <w:tcW w:w="1984" w:type="dxa"/>
            <w:tcBorders>
              <w:top w:val="single" w:sz="6" w:space="0" w:color="auto"/>
              <w:left w:val="single" w:sz="6" w:space="0" w:color="auto"/>
              <w:bottom w:val="single" w:sz="6" w:space="0" w:color="auto"/>
              <w:right w:val="single" w:sz="6" w:space="0" w:color="auto"/>
            </w:tcBorders>
          </w:tcPr>
          <w:p w14:paraId="1768825D" w14:textId="77777777" w:rsidR="00286F7D" w:rsidRPr="00286F7D" w:rsidRDefault="00286F7D" w:rsidP="00286F7D">
            <w:pPr>
              <w:pStyle w:val="Texttabulky"/>
              <w:spacing w:after="0"/>
              <w:rPr>
                <w:rFonts w:cs="Arial"/>
              </w:rPr>
            </w:pPr>
            <w:r w:rsidRPr="00286F7D">
              <w:rPr>
                <w:rFonts w:cs="Arial"/>
                <w:b/>
                <w:bCs/>
                <w:caps/>
              </w:rPr>
              <w:t>sektor celkem</w:t>
            </w:r>
          </w:p>
        </w:tc>
        <w:tc>
          <w:tcPr>
            <w:tcW w:w="838" w:type="dxa"/>
            <w:tcBorders>
              <w:top w:val="single" w:sz="6" w:space="0" w:color="auto"/>
              <w:left w:val="single" w:sz="6" w:space="0" w:color="auto"/>
              <w:bottom w:val="single" w:sz="6" w:space="0" w:color="auto"/>
              <w:right w:val="single" w:sz="6" w:space="0" w:color="auto"/>
            </w:tcBorders>
          </w:tcPr>
          <w:p w14:paraId="1F5DE2CF" w14:textId="77777777" w:rsidR="00286F7D" w:rsidRPr="00286F7D" w:rsidRDefault="00286F7D" w:rsidP="00286F7D">
            <w:pPr>
              <w:pStyle w:val="Texttabulky"/>
              <w:spacing w:after="0"/>
              <w:rPr>
                <w:rFonts w:cs="Arial"/>
              </w:rPr>
            </w:pPr>
            <w:r w:rsidRPr="00286F7D">
              <w:rPr>
                <w:rFonts w:cs="Arial"/>
                <w:b/>
                <w:bCs/>
              </w:rPr>
              <w:t>- 239</w:t>
            </w:r>
          </w:p>
        </w:tc>
        <w:tc>
          <w:tcPr>
            <w:tcW w:w="856" w:type="dxa"/>
            <w:tcBorders>
              <w:top w:val="single" w:sz="6" w:space="0" w:color="auto"/>
              <w:left w:val="single" w:sz="6" w:space="0" w:color="auto"/>
              <w:bottom w:val="single" w:sz="6" w:space="0" w:color="auto"/>
              <w:right w:val="single" w:sz="6" w:space="0" w:color="auto"/>
            </w:tcBorders>
          </w:tcPr>
          <w:p w14:paraId="6FD2F271" w14:textId="77777777" w:rsidR="00286F7D" w:rsidRPr="00286F7D" w:rsidRDefault="00286F7D" w:rsidP="00286F7D">
            <w:pPr>
              <w:pStyle w:val="Texttabulky"/>
              <w:spacing w:after="0"/>
              <w:rPr>
                <w:rFonts w:cs="Arial"/>
              </w:rPr>
            </w:pPr>
            <w:r w:rsidRPr="00286F7D">
              <w:rPr>
                <w:rFonts w:cs="Arial"/>
                <w:b/>
                <w:bCs/>
              </w:rPr>
              <w:t>76</w:t>
            </w:r>
          </w:p>
        </w:tc>
        <w:tc>
          <w:tcPr>
            <w:tcW w:w="999" w:type="dxa"/>
            <w:tcBorders>
              <w:top w:val="single" w:sz="6" w:space="0" w:color="auto"/>
              <w:left w:val="single" w:sz="6" w:space="0" w:color="auto"/>
              <w:bottom w:val="single" w:sz="6" w:space="0" w:color="auto"/>
              <w:right w:val="single" w:sz="6" w:space="0" w:color="auto"/>
            </w:tcBorders>
          </w:tcPr>
          <w:p w14:paraId="0AABD1B0" w14:textId="77777777" w:rsidR="00286F7D" w:rsidRPr="00286F7D" w:rsidRDefault="00286F7D" w:rsidP="00286F7D">
            <w:pPr>
              <w:pStyle w:val="Texttabulky"/>
              <w:spacing w:after="0"/>
              <w:rPr>
                <w:rFonts w:cs="Arial"/>
              </w:rPr>
            </w:pPr>
            <w:r w:rsidRPr="00286F7D">
              <w:rPr>
                <w:rFonts w:cs="Arial"/>
                <w:b/>
                <w:bCs/>
              </w:rPr>
              <w:t>200</w:t>
            </w:r>
          </w:p>
        </w:tc>
        <w:tc>
          <w:tcPr>
            <w:tcW w:w="993" w:type="dxa"/>
            <w:tcBorders>
              <w:top w:val="single" w:sz="6" w:space="0" w:color="auto"/>
              <w:left w:val="single" w:sz="6" w:space="0" w:color="auto"/>
              <w:bottom w:val="single" w:sz="6" w:space="0" w:color="auto"/>
              <w:right w:val="single" w:sz="6" w:space="0" w:color="auto"/>
            </w:tcBorders>
          </w:tcPr>
          <w:p w14:paraId="7C98117E" w14:textId="77777777" w:rsidR="00286F7D" w:rsidRPr="00286F7D" w:rsidRDefault="00286F7D" w:rsidP="00286F7D">
            <w:pPr>
              <w:pStyle w:val="Texttabulky"/>
              <w:spacing w:after="0"/>
              <w:rPr>
                <w:rFonts w:cs="Arial"/>
              </w:rPr>
            </w:pPr>
            <w:r w:rsidRPr="00286F7D">
              <w:rPr>
                <w:rFonts w:cs="Arial"/>
                <w:b/>
                <w:bCs/>
              </w:rPr>
              <w:t>- 37</w:t>
            </w:r>
          </w:p>
        </w:tc>
        <w:tc>
          <w:tcPr>
            <w:tcW w:w="2428" w:type="dxa"/>
            <w:tcBorders>
              <w:top w:val="single" w:sz="6" w:space="0" w:color="auto"/>
              <w:left w:val="single" w:sz="6" w:space="0" w:color="auto"/>
              <w:bottom w:val="single" w:sz="6" w:space="0" w:color="auto"/>
              <w:right w:val="single" w:sz="6" w:space="0" w:color="auto"/>
            </w:tcBorders>
          </w:tcPr>
          <w:p w14:paraId="70E416B1" w14:textId="77777777" w:rsidR="00286F7D" w:rsidRPr="00286F7D" w:rsidRDefault="00286F7D" w:rsidP="00286F7D">
            <w:pPr>
              <w:pStyle w:val="Zkladntext"/>
              <w:spacing w:after="0"/>
              <w:rPr>
                <w:rFonts w:ascii="Arial" w:hAnsi="Arial" w:cs="Arial"/>
              </w:rPr>
            </w:pPr>
          </w:p>
        </w:tc>
      </w:tr>
      <w:tr w:rsidR="00286F7D" w:rsidRPr="00286F7D" w14:paraId="35779154" w14:textId="77777777" w:rsidTr="00286F7D">
        <w:tc>
          <w:tcPr>
            <w:tcW w:w="426" w:type="dxa"/>
            <w:tcBorders>
              <w:top w:val="single" w:sz="6" w:space="0" w:color="auto"/>
              <w:left w:val="single" w:sz="6" w:space="0" w:color="auto"/>
              <w:bottom w:val="single" w:sz="6" w:space="0" w:color="auto"/>
              <w:right w:val="single" w:sz="6" w:space="0" w:color="auto"/>
            </w:tcBorders>
          </w:tcPr>
          <w:p w14:paraId="44D33BB8" w14:textId="77777777" w:rsidR="00286F7D" w:rsidRPr="00286F7D" w:rsidRDefault="00286F7D" w:rsidP="00286F7D">
            <w:pPr>
              <w:pStyle w:val="Texttabulky"/>
              <w:spacing w:after="0"/>
              <w:jc w:val="right"/>
              <w:rPr>
                <w:rFonts w:cs="Arial"/>
              </w:rPr>
            </w:pPr>
            <w:r w:rsidRPr="00286F7D">
              <w:rPr>
                <w:rFonts w:cs="Arial"/>
              </w:rPr>
              <w:t>4</w:t>
            </w:r>
          </w:p>
        </w:tc>
        <w:tc>
          <w:tcPr>
            <w:tcW w:w="1984" w:type="dxa"/>
            <w:tcBorders>
              <w:top w:val="single" w:sz="6" w:space="0" w:color="auto"/>
              <w:left w:val="single" w:sz="6" w:space="0" w:color="auto"/>
              <w:bottom w:val="single" w:sz="6" w:space="0" w:color="auto"/>
              <w:right w:val="single" w:sz="6" w:space="0" w:color="auto"/>
            </w:tcBorders>
          </w:tcPr>
          <w:p w14:paraId="76A6CF18" w14:textId="77777777" w:rsidR="00286F7D" w:rsidRPr="00286F7D" w:rsidRDefault="00286F7D" w:rsidP="00286F7D">
            <w:pPr>
              <w:pStyle w:val="Texttabulky"/>
              <w:spacing w:after="0"/>
              <w:rPr>
                <w:rFonts w:cs="Arial"/>
              </w:rPr>
            </w:pPr>
            <w:r w:rsidRPr="00286F7D">
              <w:rPr>
                <w:rFonts w:cs="Arial"/>
              </w:rPr>
              <w:t>Nemocnice</w:t>
            </w:r>
          </w:p>
        </w:tc>
        <w:tc>
          <w:tcPr>
            <w:tcW w:w="838" w:type="dxa"/>
            <w:tcBorders>
              <w:top w:val="single" w:sz="6" w:space="0" w:color="auto"/>
              <w:left w:val="single" w:sz="6" w:space="0" w:color="auto"/>
              <w:bottom w:val="single" w:sz="6" w:space="0" w:color="auto"/>
              <w:right w:val="single" w:sz="6" w:space="0" w:color="auto"/>
            </w:tcBorders>
          </w:tcPr>
          <w:p w14:paraId="7863AFF8" w14:textId="77777777" w:rsidR="00286F7D" w:rsidRPr="00286F7D" w:rsidRDefault="00286F7D" w:rsidP="00286F7D">
            <w:pPr>
              <w:pStyle w:val="Texttabulky"/>
              <w:spacing w:after="0"/>
              <w:rPr>
                <w:rFonts w:cs="Arial"/>
              </w:rPr>
            </w:pPr>
            <w:r w:rsidRPr="00286F7D">
              <w:rPr>
                <w:rFonts w:cs="Arial"/>
              </w:rPr>
              <w:t>-355</w:t>
            </w:r>
          </w:p>
        </w:tc>
        <w:tc>
          <w:tcPr>
            <w:tcW w:w="856" w:type="dxa"/>
            <w:tcBorders>
              <w:top w:val="single" w:sz="6" w:space="0" w:color="auto"/>
              <w:left w:val="single" w:sz="6" w:space="0" w:color="auto"/>
              <w:bottom w:val="single" w:sz="6" w:space="0" w:color="auto"/>
              <w:right w:val="single" w:sz="6" w:space="0" w:color="auto"/>
            </w:tcBorders>
          </w:tcPr>
          <w:p w14:paraId="2362BECC" w14:textId="77777777" w:rsidR="00286F7D" w:rsidRPr="00286F7D" w:rsidRDefault="00286F7D" w:rsidP="00286F7D">
            <w:pPr>
              <w:pStyle w:val="Texttabulky"/>
              <w:spacing w:after="0"/>
              <w:rPr>
                <w:rFonts w:cs="Arial"/>
              </w:rPr>
            </w:pPr>
            <w:r w:rsidRPr="00286F7D">
              <w:rPr>
                <w:rFonts w:cs="Arial"/>
              </w:rPr>
              <w:t>-20</w:t>
            </w:r>
          </w:p>
        </w:tc>
        <w:tc>
          <w:tcPr>
            <w:tcW w:w="999" w:type="dxa"/>
            <w:tcBorders>
              <w:top w:val="single" w:sz="6" w:space="0" w:color="auto"/>
              <w:left w:val="single" w:sz="6" w:space="0" w:color="auto"/>
              <w:bottom w:val="single" w:sz="6" w:space="0" w:color="auto"/>
              <w:right w:val="single" w:sz="6" w:space="0" w:color="auto"/>
            </w:tcBorders>
          </w:tcPr>
          <w:p w14:paraId="1E3E5BC6" w14:textId="77777777" w:rsidR="00286F7D" w:rsidRPr="00286F7D" w:rsidRDefault="00286F7D" w:rsidP="00286F7D">
            <w:pPr>
              <w:pStyle w:val="Texttabulky"/>
              <w:spacing w:after="0"/>
              <w:rPr>
                <w:rFonts w:cs="Arial"/>
              </w:rPr>
            </w:pPr>
            <w:r w:rsidRPr="00286F7D">
              <w:rPr>
                <w:rFonts w:cs="Arial"/>
              </w:rPr>
              <w:t>150</w:t>
            </w:r>
          </w:p>
        </w:tc>
        <w:tc>
          <w:tcPr>
            <w:tcW w:w="993" w:type="dxa"/>
            <w:tcBorders>
              <w:top w:val="single" w:sz="6" w:space="0" w:color="auto"/>
              <w:left w:val="single" w:sz="6" w:space="0" w:color="auto"/>
              <w:bottom w:val="single" w:sz="6" w:space="0" w:color="auto"/>
              <w:right w:val="single" w:sz="6" w:space="0" w:color="auto"/>
            </w:tcBorders>
          </w:tcPr>
          <w:p w14:paraId="59536F3A" w14:textId="77777777" w:rsidR="00286F7D" w:rsidRPr="00286F7D" w:rsidRDefault="00286F7D" w:rsidP="00286F7D">
            <w:pPr>
              <w:pStyle w:val="Texttabulky"/>
              <w:spacing w:after="0"/>
              <w:rPr>
                <w:rFonts w:cs="Arial"/>
              </w:rPr>
            </w:pPr>
            <w:r w:rsidRPr="00286F7D">
              <w:rPr>
                <w:rFonts w:cs="Arial"/>
              </w:rPr>
              <w:t>-205</w:t>
            </w:r>
          </w:p>
        </w:tc>
        <w:tc>
          <w:tcPr>
            <w:tcW w:w="2428" w:type="dxa"/>
            <w:tcBorders>
              <w:top w:val="single" w:sz="6" w:space="0" w:color="auto"/>
              <w:left w:val="single" w:sz="6" w:space="0" w:color="auto"/>
              <w:bottom w:val="single" w:sz="6" w:space="0" w:color="auto"/>
              <w:right w:val="single" w:sz="6" w:space="0" w:color="auto"/>
            </w:tcBorders>
          </w:tcPr>
          <w:p w14:paraId="70DEFC07" w14:textId="77777777" w:rsidR="00286F7D" w:rsidRPr="00286F7D" w:rsidRDefault="00286F7D" w:rsidP="00286F7D">
            <w:pPr>
              <w:pStyle w:val="Texttabulky"/>
              <w:spacing w:after="0"/>
              <w:rPr>
                <w:rFonts w:cs="Arial"/>
              </w:rPr>
            </w:pPr>
            <w:r w:rsidRPr="00286F7D">
              <w:rPr>
                <w:rFonts w:cs="Arial"/>
              </w:rPr>
              <w:t>nutno řešit obyvatelstvo</w:t>
            </w:r>
          </w:p>
        </w:tc>
      </w:tr>
      <w:tr w:rsidR="00286F7D" w:rsidRPr="00286F7D" w14:paraId="469D358E" w14:textId="77777777" w:rsidTr="00286F7D">
        <w:tc>
          <w:tcPr>
            <w:tcW w:w="426" w:type="dxa"/>
            <w:tcBorders>
              <w:top w:val="single" w:sz="6" w:space="0" w:color="auto"/>
              <w:left w:val="single" w:sz="6" w:space="0" w:color="auto"/>
              <w:bottom w:val="single" w:sz="6" w:space="0" w:color="auto"/>
              <w:right w:val="single" w:sz="6" w:space="0" w:color="auto"/>
            </w:tcBorders>
          </w:tcPr>
          <w:p w14:paraId="470F15DD" w14:textId="77777777" w:rsidR="00286F7D" w:rsidRPr="00286F7D" w:rsidRDefault="00286F7D" w:rsidP="00286F7D">
            <w:pPr>
              <w:pStyle w:val="Texttabulky"/>
              <w:spacing w:after="0"/>
              <w:jc w:val="right"/>
              <w:rPr>
                <w:rFonts w:cs="Arial"/>
              </w:rPr>
            </w:pPr>
            <w:r w:rsidRPr="00286F7D">
              <w:rPr>
                <w:rFonts w:cs="Arial"/>
              </w:rPr>
              <w:t>5</w:t>
            </w:r>
          </w:p>
        </w:tc>
        <w:tc>
          <w:tcPr>
            <w:tcW w:w="1984" w:type="dxa"/>
            <w:tcBorders>
              <w:top w:val="single" w:sz="6" w:space="0" w:color="auto"/>
              <w:left w:val="single" w:sz="6" w:space="0" w:color="auto"/>
              <w:bottom w:val="single" w:sz="6" w:space="0" w:color="auto"/>
              <w:right w:val="single" w:sz="6" w:space="0" w:color="auto"/>
            </w:tcBorders>
          </w:tcPr>
          <w:p w14:paraId="28C68AAA" w14:textId="77777777" w:rsidR="00286F7D" w:rsidRPr="00286F7D" w:rsidRDefault="00286F7D" w:rsidP="00286F7D">
            <w:pPr>
              <w:pStyle w:val="Texttabulky"/>
              <w:spacing w:after="0"/>
              <w:rPr>
                <w:rFonts w:cs="Arial"/>
              </w:rPr>
            </w:pPr>
            <w:r w:rsidRPr="00286F7D">
              <w:rPr>
                <w:rFonts w:cs="Arial"/>
              </w:rPr>
              <w:t>Kamenická</w:t>
            </w:r>
          </w:p>
        </w:tc>
        <w:tc>
          <w:tcPr>
            <w:tcW w:w="838" w:type="dxa"/>
            <w:tcBorders>
              <w:top w:val="single" w:sz="6" w:space="0" w:color="auto"/>
              <w:left w:val="single" w:sz="6" w:space="0" w:color="auto"/>
              <w:bottom w:val="single" w:sz="6" w:space="0" w:color="auto"/>
              <w:right w:val="single" w:sz="6" w:space="0" w:color="auto"/>
            </w:tcBorders>
          </w:tcPr>
          <w:p w14:paraId="63C26B41" w14:textId="77777777" w:rsidR="00286F7D" w:rsidRPr="00286F7D" w:rsidRDefault="00286F7D" w:rsidP="00286F7D">
            <w:pPr>
              <w:pStyle w:val="Texttabulky"/>
              <w:spacing w:after="0"/>
              <w:rPr>
                <w:rFonts w:cs="Arial"/>
              </w:rPr>
            </w:pPr>
            <w:r w:rsidRPr="00286F7D">
              <w:rPr>
                <w:rFonts w:cs="Arial"/>
              </w:rPr>
              <w:t>2 497</w:t>
            </w:r>
          </w:p>
        </w:tc>
        <w:tc>
          <w:tcPr>
            <w:tcW w:w="856" w:type="dxa"/>
            <w:tcBorders>
              <w:top w:val="single" w:sz="6" w:space="0" w:color="auto"/>
              <w:left w:val="single" w:sz="6" w:space="0" w:color="auto"/>
              <w:bottom w:val="single" w:sz="6" w:space="0" w:color="auto"/>
              <w:right w:val="single" w:sz="6" w:space="0" w:color="auto"/>
            </w:tcBorders>
          </w:tcPr>
          <w:p w14:paraId="3499921A" w14:textId="77777777" w:rsidR="00286F7D" w:rsidRPr="00286F7D" w:rsidRDefault="00286F7D" w:rsidP="00286F7D">
            <w:pPr>
              <w:pStyle w:val="Texttabulky"/>
              <w:spacing w:after="0"/>
              <w:rPr>
                <w:rFonts w:cs="Arial"/>
              </w:rPr>
            </w:pPr>
            <w:r w:rsidRPr="00286F7D">
              <w:rPr>
                <w:rFonts w:cs="Arial"/>
              </w:rPr>
              <w:t>1 060</w:t>
            </w:r>
          </w:p>
        </w:tc>
        <w:tc>
          <w:tcPr>
            <w:tcW w:w="999" w:type="dxa"/>
            <w:tcBorders>
              <w:top w:val="single" w:sz="6" w:space="0" w:color="auto"/>
              <w:left w:val="single" w:sz="6" w:space="0" w:color="auto"/>
              <w:bottom w:val="single" w:sz="6" w:space="0" w:color="auto"/>
              <w:right w:val="single" w:sz="6" w:space="0" w:color="auto"/>
            </w:tcBorders>
          </w:tcPr>
          <w:p w14:paraId="0286C218" w14:textId="77777777" w:rsidR="00286F7D" w:rsidRPr="00286F7D" w:rsidRDefault="00286F7D" w:rsidP="00286F7D">
            <w:pPr>
              <w:pStyle w:val="Texttabulky"/>
              <w:spacing w:after="0"/>
              <w:rPr>
                <w:rFonts w:cs="Arial"/>
              </w:rPr>
            </w:pPr>
            <w:r w:rsidRPr="00286F7D">
              <w:rPr>
                <w:rFonts w:cs="Arial"/>
              </w:rPr>
              <w:t>-17</w:t>
            </w:r>
          </w:p>
        </w:tc>
        <w:tc>
          <w:tcPr>
            <w:tcW w:w="993" w:type="dxa"/>
            <w:tcBorders>
              <w:top w:val="single" w:sz="6" w:space="0" w:color="auto"/>
              <w:left w:val="single" w:sz="6" w:space="0" w:color="auto"/>
              <w:bottom w:val="single" w:sz="6" w:space="0" w:color="auto"/>
              <w:right w:val="single" w:sz="6" w:space="0" w:color="auto"/>
            </w:tcBorders>
          </w:tcPr>
          <w:p w14:paraId="06D0D39C" w14:textId="77777777" w:rsidR="00286F7D" w:rsidRPr="00286F7D" w:rsidRDefault="00286F7D" w:rsidP="00286F7D">
            <w:pPr>
              <w:pStyle w:val="Texttabulky"/>
              <w:spacing w:after="0"/>
              <w:rPr>
                <w:rFonts w:cs="Arial"/>
              </w:rPr>
            </w:pPr>
            <w:r w:rsidRPr="00286F7D">
              <w:rPr>
                <w:rFonts w:cs="Arial"/>
              </w:rPr>
              <w:t>3 540</w:t>
            </w:r>
          </w:p>
        </w:tc>
        <w:tc>
          <w:tcPr>
            <w:tcW w:w="2428" w:type="dxa"/>
            <w:tcBorders>
              <w:top w:val="single" w:sz="6" w:space="0" w:color="auto"/>
              <w:left w:val="single" w:sz="6" w:space="0" w:color="auto"/>
              <w:bottom w:val="single" w:sz="6" w:space="0" w:color="auto"/>
              <w:right w:val="single" w:sz="6" w:space="0" w:color="auto"/>
            </w:tcBorders>
          </w:tcPr>
          <w:p w14:paraId="1452C6B1"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628BFE3C" w14:textId="77777777" w:rsidTr="00286F7D">
        <w:tc>
          <w:tcPr>
            <w:tcW w:w="426" w:type="dxa"/>
            <w:tcBorders>
              <w:top w:val="single" w:sz="6" w:space="0" w:color="auto"/>
              <w:left w:val="single" w:sz="6" w:space="0" w:color="auto"/>
              <w:bottom w:val="single" w:sz="6" w:space="0" w:color="auto"/>
              <w:right w:val="single" w:sz="6" w:space="0" w:color="auto"/>
            </w:tcBorders>
          </w:tcPr>
          <w:p w14:paraId="181C5B32" w14:textId="77777777" w:rsidR="00286F7D" w:rsidRPr="00286F7D" w:rsidRDefault="00286F7D" w:rsidP="00286F7D">
            <w:pPr>
              <w:pStyle w:val="Texttabulky"/>
              <w:spacing w:after="0"/>
              <w:jc w:val="right"/>
              <w:rPr>
                <w:rFonts w:cs="Arial"/>
              </w:rPr>
            </w:pPr>
            <w:r w:rsidRPr="00286F7D">
              <w:rPr>
                <w:rFonts w:cs="Arial"/>
              </w:rPr>
              <w:t>6</w:t>
            </w:r>
          </w:p>
        </w:tc>
        <w:tc>
          <w:tcPr>
            <w:tcW w:w="1984" w:type="dxa"/>
            <w:tcBorders>
              <w:top w:val="single" w:sz="6" w:space="0" w:color="auto"/>
              <w:left w:val="single" w:sz="6" w:space="0" w:color="auto"/>
              <w:bottom w:val="single" w:sz="6" w:space="0" w:color="auto"/>
              <w:right w:val="single" w:sz="6" w:space="0" w:color="auto"/>
            </w:tcBorders>
          </w:tcPr>
          <w:p w14:paraId="12E35DCA" w14:textId="77777777" w:rsidR="00286F7D" w:rsidRPr="00286F7D" w:rsidRDefault="00286F7D" w:rsidP="00286F7D">
            <w:pPr>
              <w:pStyle w:val="Texttabulky"/>
              <w:spacing w:after="0"/>
              <w:rPr>
                <w:rFonts w:cs="Arial"/>
              </w:rPr>
            </w:pPr>
            <w:r w:rsidRPr="00286F7D">
              <w:rPr>
                <w:rFonts w:cs="Arial"/>
              </w:rPr>
              <w:t>U nemocnice</w:t>
            </w:r>
          </w:p>
        </w:tc>
        <w:tc>
          <w:tcPr>
            <w:tcW w:w="838" w:type="dxa"/>
            <w:tcBorders>
              <w:top w:val="single" w:sz="6" w:space="0" w:color="auto"/>
              <w:left w:val="single" w:sz="6" w:space="0" w:color="auto"/>
              <w:bottom w:val="single" w:sz="6" w:space="0" w:color="auto"/>
              <w:right w:val="single" w:sz="6" w:space="0" w:color="auto"/>
            </w:tcBorders>
          </w:tcPr>
          <w:p w14:paraId="3791D2F1" w14:textId="77777777" w:rsidR="00286F7D" w:rsidRPr="00286F7D" w:rsidRDefault="00286F7D" w:rsidP="00286F7D">
            <w:pPr>
              <w:pStyle w:val="Texttabulky"/>
              <w:spacing w:after="0"/>
              <w:rPr>
                <w:rFonts w:cs="Arial"/>
              </w:rPr>
            </w:pPr>
            <w:r w:rsidRPr="00286F7D">
              <w:rPr>
                <w:rFonts w:cs="Arial"/>
              </w:rPr>
              <w:t>2 927</w:t>
            </w:r>
          </w:p>
        </w:tc>
        <w:tc>
          <w:tcPr>
            <w:tcW w:w="856" w:type="dxa"/>
            <w:tcBorders>
              <w:top w:val="single" w:sz="6" w:space="0" w:color="auto"/>
              <w:left w:val="single" w:sz="6" w:space="0" w:color="auto"/>
              <w:bottom w:val="single" w:sz="6" w:space="0" w:color="auto"/>
              <w:right w:val="single" w:sz="6" w:space="0" w:color="auto"/>
            </w:tcBorders>
          </w:tcPr>
          <w:p w14:paraId="7056491B" w14:textId="77777777" w:rsidR="00286F7D" w:rsidRPr="00286F7D" w:rsidRDefault="00286F7D" w:rsidP="00286F7D">
            <w:pPr>
              <w:pStyle w:val="Texttabulky"/>
              <w:spacing w:after="0"/>
              <w:rPr>
                <w:rFonts w:cs="Arial"/>
              </w:rPr>
            </w:pPr>
            <w:r w:rsidRPr="00286F7D">
              <w:rPr>
                <w:rFonts w:cs="Arial"/>
              </w:rPr>
              <w:t>- 450</w:t>
            </w:r>
          </w:p>
        </w:tc>
        <w:tc>
          <w:tcPr>
            <w:tcW w:w="999" w:type="dxa"/>
            <w:tcBorders>
              <w:top w:val="single" w:sz="6" w:space="0" w:color="auto"/>
              <w:left w:val="single" w:sz="6" w:space="0" w:color="auto"/>
              <w:bottom w:val="single" w:sz="6" w:space="0" w:color="auto"/>
              <w:right w:val="single" w:sz="6" w:space="0" w:color="auto"/>
            </w:tcBorders>
          </w:tcPr>
          <w:p w14:paraId="393F7DAE" w14:textId="77777777" w:rsidR="00286F7D" w:rsidRPr="00286F7D" w:rsidRDefault="00286F7D" w:rsidP="00286F7D">
            <w:pPr>
              <w:pStyle w:val="Texttabulky"/>
              <w:spacing w:after="0"/>
              <w:rPr>
                <w:rFonts w:cs="Arial"/>
              </w:rPr>
            </w:pPr>
            <w:r w:rsidRPr="00286F7D">
              <w:rPr>
                <w:rFonts w:cs="Arial"/>
              </w:rPr>
              <w:t>397</w:t>
            </w:r>
          </w:p>
        </w:tc>
        <w:tc>
          <w:tcPr>
            <w:tcW w:w="993" w:type="dxa"/>
            <w:tcBorders>
              <w:top w:val="single" w:sz="6" w:space="0" w:color="auto"/>
              <w:left w:val="single" w:sz="6" w:space="0" w:color="auto"/>
              <w:bottom w:val="single" w:sz="6" w:space="0" w:color="auto"/>
              <w:right w:val="single" w:sz="6" w:space="0" w:color="auto"/>
            </w:tcBorders>
          </w:tcPr>
          <w:p w14:paraId="53C55334" w14:textId="77777777" w:rsidR="00286F7D" w:rsidRPr="00286F7D" w:rsidRDefault="00286F7D" w:rsidP="00286F7D">
            <w:pPr>
              <w:pStyle w:val="Texttabulky"/>
              <w:spacing w:after="0"/>
              <w:rPr>
                <w:rFonts w:cs="Arial"/>
              </w:rPr>
            </w:pPr>
            <w:r w:rsidRPr="00286F7D">
              <w:rPr>
                <w:rFonts w:cs="Arial"/>
              </w:rPr>
              <w:t>2 874</w:t>
            </w:r>
          </w:p>
        </w:tc>
        <w:tc>
          <w:tcPr>
            <w:tcW w:w="2428" w:type="dxa"/>
            <w:tcBorders>
              <w:top w:val="single" w:sz="6" w:space="0" w:color="auto"/>
              <w:left w:val="single" w:sz="6" w:space="0" w:color="auto"/>
              <w:bottom w:val="single" w:sz="6" w:space="0" w:color="auto"/>
              <w:right w:val="single" w:sz="6" w:space="0" w:color="auto"/>
            </w:tcBorders>
          </w:tcPr>
          <w:p w14:paraId="5415C74F"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76E78ADD" w14:textId="77777777" w:rsidTr="00286F7D">
        <w:tc>
          <w:tcPr>
            <w:tcW w:w="426" w:type="dxa"/>
            <w:tcBorders>
              <w:top w:val="single" w:sz="6" w:space="0" w:color="auto"/>
              <w:left w:val="single" w:sz="6" w:space="0" w:color="auto"/>
              <w:bottom w:val="single" w:sz="6" w:space="0" w:color="auto"/>
              <w:right w:val="single" w:sz="6" w:space="0" w:color="auto"/>
            </w:tcBorders>
          </w:tcPr>
          <w:p w14:paraId="2FA52A26" w14:textId="77777777" w:rsidR="00286F7D" w:rsidRPr="00286F7D" w:rsidRDefault="00286F7D" w:rsidP="00286F7D">
            <w:pPr>
              <w:pStyle w:val="Texttabulky"/>
              <w:spacing w:after="0"/>
              <w:jc w:val="right"/>
              <w:rPr>
                <w:rFonts w:cs="Arial"/>
              </w:rPr>
            </w:pPr>
            <w:r w:rsidRPr="00286F7D">
              <w:rPr>
                <w:rFonts w:cs="Arial"/>
              </w:rPr>
              <w:t>7</w:t>
            </w:r>
          </w:p>
        </w:tc>
        <w:tc>
          <w:tcPr>
            <w:tcW w:w="1984" w:type="dxa"/>
            <w:tcBorders>
              <w:top w:val="single" w:sz="6" w:space="0" w:color="auto"/>
              <w:left w:val="single" w:sz="6" w:space="0" w:color="auto"/>
              <w:bottom w:val="single" w:sz="6" w:space="0" w:color="auto"/>
              <w:right w:val="single" w:sz="6" w:space="0" w:color="auto"/>
            </w:tcBorders>
          </w:tcPr>
          <w:p w14:paraId="6E4ED249" w14:textId="77777777" w:rsidR="00286F7D" w:rsidRPr="00286F7D" w:rsidRDefault="00286F7D" w:rsidP="00286F7D">
            <w:pPr>
              <w:pStyle w:val="Texttabulky"/>
              <w:spacing w:after="0"/>
              <w:rPr>
                <w:rFonts w:cs="Arial"/>
              </w:rPr>
            </w:pPr>
            <w:r w:rsidRPr="00286F7D">
              <w:rPr>
                <w:rFonts w:cs="Arial"/>
              </w:rPr>
              <w:t>Nad Slovankou</w:t>
            </w:r>
          </w:p>
        </w:tc>
        <w:tc>
          <w:tcPr>
            <w:tcW w:w="838" w:type="dxa"/>
            <w:tcBorders>
              <w:top w:val="single" w:sz="6" w:space="0" w:color="auto"/>
              <w:left w:val="single" w:sz="6" w:space="0" w:color="auto"/>
              <w:bottom w:val="single" w:sz="6" w:space="0" w:color="auto"/>
              <w:right w:val="single" w:sz="6" w:space="0" w:color="auto"/>
            </w:tcBorders>
          </w:tcPr>
          <w:p w14:paraId="60E63C98" w14:textId="77777777" w:rsidR="00286F7D" w:rsidRPr="00286F7D" w:rsidRDefault="00286F7D" w:rsidP="00286F7D">
            <w:pPr>
              <w:pStyle w:val="Texttabulky"/>
              <w:spacing w:after="0"/>
              <w:rPr>
                <w:rFonts w:cs="Arial"/>
              </w:rPr>
            </w:pPr>
            <w:r w:rsidRPr="00286F7D">
              <w:rPr>
                <w:rFonts w:cs="Arial"/>
              </w:rPr>
              <w:t>-170</w:t>
            </w:r>
          </w:p>
        </w:tc>
        <w:tc>
          <w:tcPr>
            <w:tcW w:w="856" w:type="dxa"/>
            <w:tcBorders>
              <w:top w:val="single" w:sz="6" w:space="0" w:color="auto"/>
              <w:left w:val="single" w:sz="6" w:space="0" w:color="auto"/>
              <w:bottom w:val="single" w:sz="6" w:space="0" w:color="auto"/>
              <w:right w:val="single" w:sz="6" w:space="0" w:color="auto"/>
            </w:tcBorders>
          </w:tcPr>
          <w:p w14:paraId="7BAF79A4" w14:textId="77777777" w:rsidR="00286F7D" w:rsidRPr="00286F7D" w:rsidRDefault="00286F7D" w:rsidP="00286F7D">
            <w:pPr>
              <w:pStyle w:val="Texttabulky"/>
              <w:spacing w:after="0"/>
              <w:rPr>
                <w:rFonts w:cs="Arial"/>
              </w:rPr>
            </w:pPr>
            <w:r w:rsidRPr="00286F7D">
              <w:rPr>
                <w:rFonts w:cs="Arial"/>
              </w:rPr>
              <w:t>-300</w:t>
            </w:r>
          </w:p>
        </w:tc>
        <w:tc>
          <w:tcPr>
            <w:tcW w:w="999" w:type="dxa"/>
            <w:tcBorders>
              <w:top w:val="single" w:sz="6" w:space="0" w:color="auto"/>
              <w:left w:val="single" w:sz="6" w:space="0" w:color="auto"/>
              <w:bottom w:val="single" w:sz="6" w:space="0" w:color="auto"/>
              <w:right w:val="single" w:sz="6" w:space="0" w:color="auto"/>
            </w:tcBorders>
          </w:tcPr>
          <w:p w14:paraId="15DA9466" w14:textId="77777777" w:rsidR="00286F7D" w:rsidRPr="00286F7D" w:rsidRDefault="00286F7D" w:rsidP="00286F7D">
            <w:pPr>
              <w:pStyle w:val="Texttabulky"/>
              <w:spacing w:after="0"/>
              <w:rPr>
                <w:rFonts w:cs="Arial"/>
              </w:rPr>
            </w:pPr>
            <w:r w:rsidRPr="00286F7D">
              <w:rPr>
                <w:rFonts w:cs="Arial"/>
              </w:rPr>
              <w:t>230</w:t>
            </w:r>
          </w:p>
        </w:tc>
        <w:tc>
          <w:tcPr>
            <w:tcW w:w="993" w:type="dxa"/>
            <w:tcBorders>
              <w:top w:val="single" w:sz="6" w:space="0" w:color="auto"/>
              <w:left w:val="single" w:sz="6" w:space="0" w:color="auto"/>
              <w:bottom w:val="single" w:sz="6" w:space="0" w:color="auto"/>
              <w:right w:val="single" w:sz="6" w:space="0" w:color="auto"/>
            </w:tcBorders>
          </w:tcPr>
          <w:p w14:paraId="7D7BBE6E" w14:textId="77777777" w:rsidR="00286F7D" w:rsidRPr="00286F7D" w:rsidRDefault="00286F7D" w:rsidP="00286F7D">
            <w:pPr>
              <w:pStyle w:val="Texttabulky"/>
              <w:spacing w:after="0"/>
              <w:rPr>
                <w:rFonts w:cs="Arial"/>
              </w:rPr>
            </w:pPr>
            <w:r w:rsidRPr="00286F7D">
              <w:rPr>
                <w:rFonts w:cs="Arial"/>
              </w:rPr>
              <w:t>-240</w:t>
            </w:r>
          </w:p>
        </w:tc>
        <w:tc>
          <w:tcPr>
            <w:tcW w:w="2428" w:type="dxa"/>
            <w:tcBorders>
              <w:top w:val="single" w:sz="6" w:space="0" w:color="auto"/>
              <w:left w:val="single" w:sz="6" w:space="0" w:color="auto"/>
              <w:bottom w:val="single" w:sz="6" w:space="0" w:color="auto"/>
              <w:right w:val="single" w:sz="6" w:space="0" w:color="auto"/>
            </w:tcBorders>
          </w:tcPr>
          <w:p w14:paraId="0F4576B4" w14:textId="77777777" w:rsidR="00286F7D" w:rsidRPr="00286F7D" w:rsidRDefault="00286F7D" w:rsidP="00286F7D">
            <w:pPr>
              <w:pStyle w:val="Texttabulky"/>
              <w:spacing w:after="0"/>
              <w:rPr>
                <w:rFonts w:cs="Arial"/>
              </w:rPr>
            </w:pPr>
            <w:r w:rsidRPr="00286F7D">
              <w:rPr>
                <w:rFonts w:cs="Arial"/>
              </w:rPr>
              <w:t>řešit firmy, obyvatelstvo RD</w:t>
            </w:r>
          </w:p>
        </w:tc>
      </w:tr>
      <w:tr w:rsidR="00286F7D" w:rsidRPr="00286F7D" w14:paraId="322BEA5A" w14:textId="77777777" w:rsidTr="00286F7D">
        <w:tc>
          <w:tcPr>
            <w:tcW w:w="426" w:type="dxa"/>
            <w:tcBorders>
              <w:top w:val="single" w:sz="6" w:space="0" w:color="auto"/>
              <w:left w:val="single" w:sz="6" w:space="0" w:color="auto"/>
              <w:bottom w:val="single" w:sz="6" w:space="0" w:color="auto"/>
              <w:right w:val="single" w:sz="6" w:space="0" w:color="auto"/>
            </w:tcBorders>
          </w:tcPr>
          <w:p w14:paraId="2BC73852" w14:textId="77777777" w:rsidR="00286F7D" w:rsidRPr="00286F7D" w:rsidRDefault="00286F7D" w:rsidP="00286F7D">
            <w:pPr>
              <w:pStyle w:val="Texttabulky"/>
              <w:spacing w:after="0"/>
              <w:jc w:val="right"/>
              <w:rPr>
                <w:rFonts w:cs="Arial"/>
              </w:rPr>
            </w:pPr>
            <w:r w:rsidRPr="00286F7D">
              <w:rPr>
                <w:rFonts w:cs="Arial"/>
              </w:rPr>
              <w:t>8</w:t>
            </w:r>
          </w:p>
        </w:tc>
        <w:tc>
          <w:tcPr>
            <w:tcW w:w="1984" w:type="dxa"/>
            <w:tcBorders>
              <w:top w:val="single" w:sz="6" w:space="0" w:color="auto"/>
              <w:left w:val="single" w:sz="6" w:space="0" w:color="auto"/>
              <w:bottom w:val="single" w:sz="6" w:space="0" w:color="auto"/>
              <w:right w:val="single" w:sz="6" w:space="0" w:color="auto"/>
            </w:tcBorders>
          </w:tcPr>
          <w:p w14:paraId="14C87B55" w14:textId="77777777" w:rsidR="00286F7D" w:rsidRPr="00286F7D" w:rsidRDefault="00286F7D" w:rsidP="00286F7D">
            <w:pPr>
              <w:pStyle w:val="Texttabulky"/>
              <w:spacing w:after="0"/>
              <w:rPr>
                <w:rFonts w:cs="Arial"/>
              </w:rPr>
            </w:pPr>
            <w:r w:rsidRPr="00286F7D">
              <w:rPr>
                <w:rFonts w:cs="Arial"/>
              </w:rPr>
              <w:t>U cihelny</w:t>
            </w:r>
          </w:p>
        </w:tc>
        <w:tc>
          <w:tcPr>
            <w:tcW w:w="838" w:type="dxa"/>
            <w:tcBorders>
              <w:top w:val="single" w:sz="6" w:space="0" w:color="auto"/>
              <w:left w:val="single" w:sz="6" w:space="0" w:color="auto"/>
              <w:bottom w:val="single" w:sz="6" w:space="0" w:color="auto"/>
              <w:right w:val="single" w:sz="6" w:space="0" w:color="auto"/>
            </w:tcBorders>
          </w:tcPr>
          <w:p w14:paraId="6A3021AD" w14:textId="77777777" w:rsidR="00286F7D" w:rsidRPr="00286F7D" w:rsidRDefault="00286F7D" w:rsidP="00286F7D">
            <w:pPr>
              <w:pStyle w:val="Texttabulky"/>
              <w:spacing w:after="0"/>
              <w:rPr>
                <w:rFonts w:cs="Arial"/>
              </w:rPr>
            </w:pPr>
            <w:r w:rsidRPr="00286F7D">
              <w:rPr>
                <w:rFonts w:cs="Arial"/>
              </w:rPr>
              <w:t>77</w:t>
            </w:r>
          </w:p>
        </w:tc>
        <w:tc>
          <w:tcPr>
            <w:tcW w:w="856" w:type="dxa"/>
            <w:tcBorders>
              <w:top w:val="single" w:sz="6" w:space="0" w:color="auto"/>
              <w:left w:val="single" w:sz="6" w:space="0" w:color="auto"/>
              <w:bottom w:val="single" w:sz="6" w:space="0" w:color="auto"/>
              <w:right w:val="single" w:sz="6" w:space="0" w:color="auto"/>
            </w:tcBorders>
          </w:tcPr>
          <w:p w14:paraId="5388D3B8"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432F2CEF" w14:textId="77777777" w:rsidR="00286F7D" w:rsidRPr="00286F7D" w:rsidRDefault="00286F7D" w:rsidP="00286F7D">
            <w:pPr>
              <w:pStyle w:val="Texttabulky"/>
              <w:spacing w:after="0"/>
              <w:rPr>
                <w:rFonts w:cs="Arial"/>
              </w:rPr>
            </w:pPr>
            <w:r w:rsidRPr="00286F7D">
              <w:rPr>
                <w:rFonts w:cs="Arial"/>
              </w:rPr>
              <w:t>-45</w:t>
            </w:r>
          </w:p>
        </w:tc>
        <w:tc>
          <w:tcPr>
            <w:tcW w:w="993" w:type="dxa"/>
            <w:tcBorders>
              <w:top w:val="single" w:sz="6" w:space="0" w:color="auto"/>
              <w:left w:val="single" w:sz="6" w:space="0" w:color="auto"/>
              <w:bottom w:val="single" w:sz="6" w:space="0" w:color="auto"/>
              <w:right w:val="single" w:sz="6" w:space="0" w:color="auto"/>
            </w:tcBorders>
          </w:tcPr>
          <w:p w14:paraId="03DBA6AB" w14:textId="77777777" w:rsidR="00286F7D" w:rsidRPr="00286F7D" w:rsidRDefault="00286F7D" w:rsidP="00286F7D">
            <w:pPr>
              <w:pStyle w:val="Texttabulky"/>
              <w:spacing w:after="0"/>
              <w:rPr>
                <w:rFonts w:cs="Arial"/>
              </w:rPr>
            </w:pPr>
            <w:r w:rsidRPr="00286F7D">
              <w:rPr>
                <w:rFonts w:cs="Arial"/>
              </w:rPr>
              <w:t>32</w:t>
            </w:r>
          </w:p>
        </w:tc>
        <w:tc>
          <w:tcPr>
            <w:tcW w:w="2428" w:type="dxa"/>
            <w:tcBorders>
              <w:top w:val="single" w:sz="6" w:space="0" w:color="auto"/>
              <w:left w:val="single" w:sz="6" w:space="0" w:color="auto"/>
              <w:bottom w:val="single" w:sz="6" w:space="0" w:color="auto"/>
              <w:right w:val="single" w:sz="6" w:space="0" w:color="auto"/>
            </w:tcBorders>
          </w:tcPr>
          <w:p w14:paraId="1C95996F"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6BDE1B90" w14:textId="77777777" w:rsidTr="00286F7D">
        <w:tc>
          <w:tcPr>
            <w:tcW w:w="426" w:type="dxa"/>
            <w:tcBorders>
              <w:top w:val="single" w:sz="6" w:space="0" w:color="auto"/>
              <w:left w:val="single" w:sz="6" w:space="0" w:color="auto"/>
              <w:bottom w:val="single" w:sz="6" w:space="0" w:color="auto"/>
              <w:right w:val="single" w:sz="6" w:space="0" w:color="auto"/>
            </w:tcBorders>
          </w:tcPr>
          <w:p w14:paraId="59CA4CEB" w14:textId="77777777" w:rsidR="00286F7D" w:rsidRPr="00286F7D" w:rsidRDefault="00286F7D" w:rsidP="00286F7D">
            <w:pPr>
              <w:pStyle w:val="Texttabulky"/>
              <w:spacing w:after="0"/>
              <w:jc w:val="right"/>
              <w:rPr>
                <w:rFonts w:cs="Arial"/>
              </w:rPr>
            </w:pPr>
            <w:r w:rsidRPr="00286F7D">
              <w:rPr>
                <w:rFonts w:cs="Arial"/>
              </w:rPr>
              <w:t>9</w:t>
            </w:r>
          </w:p>
        </w:tc>
        <w:tc>
          <w:tcPr>
            <w:tcW w:w="1984" w:type="dxa"/>
            <w:tcBorders>
              <w:top w:val="single" w:sz="6" w:space="0" w:color="auto"/>
              <w:left w:val="single" w:sz="6" w:space="0" w:color="auto"/>
              <w:bottom w:val="single" w:sz="6" w:space="0" w:color="auto"/>
              <w:right w:val="single" w:sz="6" w:space="0" w:color="auto"/>
            </w:tcBorders>
          </w:tcPr>
          <w:p w14:paraId="40F5C57D" w14:textId="77777777" w:rsidR="00286F7D" w:rsidRPr="00286F7D" w:rsidRDefault="00286F7D" w:rsidP="00286F7D">
            <w:pPr>
              <w:pStyle w:val="Texttabulky"/>
              <w:spacing w:after="0"/>
              <w:rPr>
                <w:rFonts w:cs="Arial"/>
              </w:rPr>
            </w:pPr>
            <w:r w:rsidRPr="00286F7D">
              <w:rPr>
                <w:rFonts w:cs="Arial"/>
              </w:rPr>
              <w:t>Východní nádraží</w:t>
            </w:r>
          </w:p>
        </w:tc>
        <w:tc>
          <w:tcPr>
            <w:tcW w:w="838" w:type="dxa"/>
            <w:tcBorders>
              <w:top w:val="single" w:sz="6" w:space="0" w:color="auto"/>
              <w:left w:val="single" w:sz="6" w:space="0" w:color="auto"/>
              <w:bottom w:val="single" w:sz="6" w:space="0" w:color="auto"/>
              <w:right w:val="single" w:sz="6" w:space="0" w:color="auto"/>
            </w:tcBorders>
          </w:tcPr>
          <w:p w14:paraId="2FA61864" w14:textId="77777777" w:rsidR="00286F7D" w:rsidRPr="00286F7D" w:rsidRDefault="00286F7D" w:rsidP="00286F7D">
            <w:pPr>
              <w:pStyle w:val="Texttabulky"/>
              <w:spacing w:after="0"/>
              <w:rPr>
                <w:rFonts w:cs="Arial"/>
              </w:rPr>
            </w:pPr>
            <w:r w:rsidRPr="00286F7D">
              <w:rPr>
                <w:rFonts w:cs="Arial"/>
              </w:rPr>
              <w:t>-30</w:t>
            </w:r>
          </w:p>
        </w:tc>
        <w:tc>
          <w:tcPr>
            <w:tcW w:w="856" w:type="dxa"/>
            <w:tcBorders>
              <w:top w:val="single" w:sz="6" w:space="0" w:color="auto"/>
              <w:left w:val="single" w:sz="6" w:space="0" w:color="auto"/>
              <w:bottom w:val="single" w:sz="6" w:space="0" w:color="auto"/>
              <w:right w:val="single" w:sz="6" w:space="0" w:color="auto"/>
            </w:tcBorders>
          </w:tcPr>
          <w:p w14:paraId="12026EDA"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02634F5B" w14:textId="77777777" w:rsidR="00286F7D" w:rsidRPr="00286F7D" w:rsidRDefault="00286F7D" w:rsidP="00286F7D">
            <w:pPr>
              <w:pStyle w:val="Texttabulky"/>
              <w:spacing w:after="0"/>
              <w:rPr>
                <w:rFonts w:cs="Arial"/>
              </w:rPr>
            </w:pPr>
            <w:r w:rsidRPr="00286F7D">
              <w:rPr>
                <w:rFonts w:cs="Arial"/>
              </w:rPr>
              <w:t>-17</w:t>
            </w:r>
          </w:p>
        </w:tc>
        <w:tc>
          <w:tcPr>
            <w:tcW w:w="993" w:type="dxa"/>
            <w:tcBorders>
              <w:top w:val="single" w:sz="6" w:space="0" w:color="auto"/>
              <w:left w:val="single" w:sz="6" w:space="0" w:color="auto"/>
              <w:bottom w:val="single" w:sz="6" w:space="0" w:color="auto"/>
              <w:right w:val="single" w:sz="6" w:space="0" w:color="auto"/>
            </w:tcBorders>
          </w:tcPr>
          <w:p w14:paraId="36E80557" w14:textId="77777777" w:rsidR="00286F7D" w:rsidRPr="00286F7D" w:rsidRDefault="00286F7D" w:rsidP="00286F7D">
            <w:pPr>
              <w:pStyle w:val="Texttabulky"/>
              <w:spacing w:after="0"/>
              <w:rPr>
                <w:rFonts w:cs="Arial"/>
              </w:rPr>
            </w:pPr>
            <w:r w:rsidRPr="00286F7D">
              <w:rPr>
                <w:rFonts w:cs="Arial"/>
              </w:rPr>
              <w:t>-47</w:t>
            </w:r>
          </w:p>
        </w:tc>
        <w:tc>
          <w:tcPr>
            <w:tcW w:w="2428" w:type="dxa"/>
            <w:tcBorders>
              <w:top w:val="single" w:sz="6" w:space="0" w:color="auto"/>
              <w:left w:val="single" w:sz="6" w:space="0" w:color="auto"/>
              <w:bottom w:val="single" w:sz="6" w:space="0" w:color="auto"/>
              <w:right w:val="single" w:sz="6" w:space="0" w:color="auto"/>
            </w:tcBorders>
          </w:tcPr>
          <w:p w14:paraId="7E21A5AF" w14:textId="77777777" w:rsidR="00286F7D" w:rsidRPr="00286F7D" w:rsidRDefault="00286F7D" w:rsidP="00286F7D">
            <w:pPr>
              <w:pStyle w:val="Texttabulky"/>
              <w:spacing w:after="0"/>
              <w:rPr>
                <w:rFonts w:cs="Arial"/>
              </w:rPr>
            </w:pPr>
            <w:r w:rsidRPr="00286F7D">
              <w:rPr>
                <w:rFonts w:cs="Arial"/>
              </w:rPr>
              <w:t>řešit individuelně</w:t>
            </w:r>
          </w:p>
        </w:tc>
      </w:tr>
      <w:tr w:rsidR="00286F7D" w:rsidRPr="00286F7D" w14:paraId="5DC16B0C" w14:textId="77777777" w:rsidTr="00286F7D">
        <w:tc>
          <w:tcPr>
            <w:tcW w:w="426" w:type="dxa"/>
            <w:tcBorders>
              <w:top w:val="single" w:sz="6" w:space="0" w:color="auto"/>
              <w:left w:val="single" w:sz="6" w:space="0" w:color="auto"/>
              <w:bottom w:val="single" w:sz="6" w:space="0" w:color="auto"/>
              <w:right w:val="single" w:sz="6" w:space="0" w:color="auto"/>
            </w:tcBorders>
          </w:tcPr>
          <w:p w14:paraId="42D46038" w14:textId="77777777" w:rsidR="00286F7D" w:rsidRPr="00286F7D" w:rsidRDefault="00286F7D" w:rsidP="00286F7D">
            <w:pPr>
              <w:pStyle w:val="Texttabulky"/>
              <w:spacing w:after="0"/>
              <w:jc w:val="right"/>
              <w:rPr>
                <w:rFonts w:cs="Arial"/>
              </w:rPr>
            </w:pPr>
            <w:r w:rsidRPr="00286F7D">
              <w:rPr>
                <w:rFonts w:cs="Arial"/>
              </w:rPr>
              <w:t>12</w:t>
            </w:r>
          </w:p>
        </w:tc>
        <w:tc>
          <w:tcPr>
            <w:tcW w:w="1984" w:type="dxa"/>
            <w:tcBorders>
              <w:top w:val="single" w:sz="6" w:space="0" w:color="auto"/>
              <w:left w:val="single" w:sz="6" w:space="0" w:color="auto"/>
              <w:bottom w:val="single" w:sz="6" w:space="0" w:color="auto"/>
              <w:right w:val="single" w:sz="6" w:space="0" w:color="auto"/>
            </w:tcBorders>
          </w:tcPr>
          <w:p w14:paraId="687C1663" w14:textId="77777777" w:rsidR="00286F7D" w:rsidRPr="00286F7D" w:rsidRDefault="00286F7D" w:rsidP="00286F7D">
            <w:pPr>
              <w:pStyle w:val="Texttabulky"/>
              <w:spacing w:after="0"/>
              <w:rPr>
                <w:rFonts w:cs="Arial"/>
              </w:rPr>
            </w:pPr>
            <w:r w:rsidRPr="00286F7D">
              <w:rPr>
                <w:rFonts w:cs="Arial"/>
              </w:rPr>
              <w:t>Staré Město</w:t>
            </w:r>
          </w:p>
        </w:tc>
        <w:tc>
          <w:tcPr>
            <w:tcW w:w="838" w:type="dxa"/>
            <w:tcBorders>
              <w:top w:val="single" w:sz="6" w:space="0" w:color="auto"/>
              <w:left w:val="single" w:sz="6" w:space="0" w:color="auto"/>
              <w:bottom w:val="single" w:sz="6" w:space="0" w:color="auto"/>
              <w:right w:val="single" w:sz="6" w:space="0" w:color="auto"/>
            </w:tcBorders>
          </w:tcPr>
          <w:p w14:paraId="7B73D031" w14:textId="77777777" w:rsidR="00286F7D" w:rsidRPr="00286F7D" w:rsidRDefault="00286F7D" w:rsidP="00286F7D">
            <w:pPr>
              <w:pStyle w:val="Texttabulky"/>
              <w:spacing w:after="0"/>
              <w:rPr>
                <w:rFonts w:cs="Arial"/>
              </w:rPr>
            </w:pPr>
            <w:r w:rsidRPr="00286F7D">
              <w:rPr>
                <w:rFonts w:cs="Arial"/>
              </w:rPr>
              <w:t>1 461</w:t>
            </w:r>
          </w:p>
        </w:tc>
        <w:tc>
          <w:tcPr>
            <w:tcW w:w="856" w:type="dxa"/>
            <w:tcBorders>
              <w:top w:val="single" w:sz="6" w:space="0" w:color="auto"/>
              <w:left w:val="single" w:sz="6" w:space="0" w:color="auto"/>
              <w:bottom w:val="single" w:sz="6" w:space="0" w:color="auto"/>
              <w:right w:val="single" w:sz="6" w:space="0" w:color="auto"/>
            </w:tcBorders>
          </w:tcPr>
          <w:p w14:paraId="2506EE26" w14:textId="77777777" w:rsidR="00286F7D" w:rsidRPr="00286F7D" w:rsidRDefault="00286F7D" w:rsidP="00286F7D">
            <w:pPr>
              <w:pStyle w:val="Texttabulky"/>
              <w:spacing w:after="0"/>
              <w:rPr>
                <w:rFonts w:cs="Arial"/>
              </w:rPr>
            </w:pPr>
            <w:r w:rsidRPr="00286F7D">
              <w:rPr>
                <w:rFonts w:cs="Arial"/>
              </w:rPr>
              <w:t>- 208</w:t>
            </w:r>
          </w:p>
        </w:tc>
        <w:tc>
          <w:tcPr>
            <w:tcW w:w="999" w:type="dxa"/>
            <w:tcBorders>
              <w:top w:val="single" w:sz="6" w:space="0" w:color="auto"/>
              <w:left w:val="single" w:sz="6" w:space="0" w:color="auto"/>
              <w:bottom w:val="single" w:sz="6" w:space="0" w:color="auto"/>
              <w:right w:val="single" w:sz="6" w:space="0" w:color="auto"/>
            </w:tcBorders>
          </w:tcPr>
          <w:p w14:paraId="15EAF582" w14:textId="77777777" w:rsidR="00286F7D" w:rsidRPr="00286F7D" w:rsidRDefault="00286F7D" w:rsidP="00286F7D">
            <w:pPr>
              <w:pStyle w:val="Texttabulky"/>
              <w:spacing w:after="0"/>
              <w:rPr>
                <w:rFonts w:cs="Arial"/>
              </w:rPr>
            </w:pPr>
            <w:r w:rsidRPr="00286F7D">
              <w:rPr>
                <w:rFonts w:cs="Arial"/>
              </w:rPr>
              <w:t>585</w:t>
            </w:r>
          </w:p>
        </w:tc>
        <w:tc>
          <w:tcPr>
            <w:tcW w:w="993" w:type="dxa"/>
            <w:tcBorders>
              <w:top w:val="single" w:sz="6" w:space="0" w:color="auto"/>
              <w:left w:val="single" w:sz="6" w:space="0" w:color="auto"/>
              <w:bottom w:val="single" w:sz="6" w:space="0" w:color="auto"/>
              <w:right w:val="single" w:sz="6" w:space="0" w:color="auto"/>
            </w:tcBorders>
          </w:tcPr>
          <w:p w14:paraId="71D93D90" w14:textId="77777777" w:rsidR="00286F7D" w:rsidRPr="00286F7D" w:rsidRDefault="00286F7D" w:rsidP="00286F7D">
            <w:pPr>
              <w:pStyle w:val="Texttabulky"/>
              <w:spacing w:after="0"/>
              <w:rPr>
                <w:rFonts w:cs="Arial"/>
              </w:rPr>
            </w:pPr>
            <w:r w:rsidRPr="00286F7D">
              <w:rPr>
                <w:rFonts w:cs="Arial"/>
              </w:rPr>
              <w:t>1 838</w:t>
            </w:r>
          </w:p>
        </w:tc>
        <w:tc>
          <w:tcPr>
            <w:tcW w:w="2428" w:type="dxa"/>
            <w:tcBorders>
              <w:top w:val="single" w:sz="6" w:space="0" w:color="auto"/>
              <w:left w:val="single" w:sz="6" w:space="0" w:color="auto"/>
              <w:bottom w:val="single" w:sz="6" w:space="0" w:color="auto"/>
              <w:right w:val="single" w:sz="6" w:space="0" w:color="auto"/>
            </w:tcBorders>
          </w:tcPr>
          <w:p w14:paraId="361BA623" w14:textId="77777777" w:rsidR="00286F7D" w:rsidRPr="00286F7D" w:rsidRDefault="00286F7D" w:rsidP="00286F7D">
            <w:pPr>
              <w:pStyle w:val="Texttabulky"/>
              <w:spacing w:after="0"/>
              <w:rPr>
                <w:rFonts w:cs="Arial"/>
              </w:rPr>
            </w:pPr>
            <w:r w:rsidRPr="00286F7D">
              <w:rPr>
                <w:rFonts w:cs="Arial"/>
              </w:rPr>
              <w:t>nutno řešit školu</w:t>
            </w:r>
          </w:p>
        </w:tc>
      </w:tr>
      <w:tr w:rsidR="00286F7D" w:rsidRPr="00286F7D" w14:paraId="7EE7A33F" w14:textId="77777777" w:rsidTr="00286F7D">
        <w:tc>
          <w:tcPr>
            <w:tcW w:w="426" w:type="dxa"/>
            <w:tcBorders>
              <w:top w:val="single" w:sz="6" w:space="0" w:color="auto"/>
              <w:left w:val="single" w:sz="6" w:space="0" w:color="auto"/>
              <w:bottom w:val="single" w:sz="6" w:space="0" w:color="auto"/>
              <w:right w:val="single" w:sz="6" w:space="0" w:color="auto"/>
            </w:tcBorders>
          </w:tcPr>
          <w:p w14:paraId="60349F7F" w14:textId="77777777" w:rsidR="00286F7D" w:rsidRPr="00286F7D" w:rsidRDefault="00286F7D" w:rsidP="00286F7D">
            <w:pPr>
              <w:pStyle w:val="Texttabulky"/>
              <w:spacing w:after="0"/>
              <w:jc w:val="right"/>
              <w:rPr>
                <w:rFonts w:cs="Arial"/>
              </w:rPr>
            </w:pPr>
            <w:r w:rsidRPr="00286F7D">
              <w:rPr>
                <w:rFonts w:cs="Arial"/>
              </w:rPr>
              <w:t>13</w:t>
            </w:r>
          </w:p>
        </w:tc>
        <w:tc>
          <w:tcPr>
            <w:tcW w:w="1984" w:type="dxa"/>
            <w:tcBorders>
              <w:top w:val="single" w:sz="6" w:space="0" w:color="auto"/>
              <w:left w:val="single" w:sz="6" w:space="0" w:color="auto"/>
              <w:bottom w:val="single" w:sz="6" w:space="0" w:color="auto"/>
              <w:right w:val="single" w:sz="6" w:space="0" w:color="auto"/>
            </w:tcBorders>
          </w:tcPr>
          <w:p w14:paraId="5DD7B9CE" w14:textId="77777777" w:rsidR="00286F7D" w:rsidRPr="00286F7D" w:rsidRDefault="00286F7D" w:rsidP="00286F7D">
            <w:pPr>
              <w:pStyle w:val="Texttabulky"/>
              <w:spacing w:after="0"/>
              <w:rPr>
                <w:rFonts w:cs="Arial"/>
              </w:rPr>
            </w:pPr>
            <w:r w:rsidRPr="00286F7D">
              <w:rPr>
                <w:rFonts w:cs="Arial"/>
              </w:rPr>
              <w:t>U Ploučnice</w:t>
            </w:r>
          </w:p>
        </w:tc>
        <w:tc>
          <w:tcPr>
            <w:tcW w:w="838" w:type="dxa"/>
            <w:tcBorders>
              <w:top w:val="single" w:sz="6" w:space="0" w:color="auto"/>
              <w:left w:val="single" w:sz="6" w:space="0" w:color="auto"/>
              <w:bottom w:val="single" w:sz="6" w:space="0" w:color="auto"/>
              <w:right w:val="single" w:sz="6" w:space="0" w:color="auto"/>
            </w:tcBorders>
          </w:tcPr>
          <w:p w14:paraId="37FFF88A" w14:textId="77777777" w:rsidR="00286F7D" w:rsidRPr="00286F7D" w:rsidRDefault="00286F7D" w:rsidP="00286F7D">
            <w:pPr>
              <w:pStyle w:val="Texttabulky"/>
              <w:spacing w:after="0"/>
              <w:rPr>
                <w:rFonts w:cs="Arial"/>
              </w:rPr>
            </w:pPr>
            <w:r w:rsidRPr="00286F7D">
              <w:rPr>
                <w:rFonts w:cs="Arial"/>
              </w:rPr>
              <w:t>107</w:t>
            </w:r>
          </w:p>
        </w:tc>
        <w:tc>
          <w:tcPr>
            <w:tcW w:w="856" w:type="dxa"/>
            <w:tcBorders>
              <w:top w:val="single" w:sz="6" w:space="0" w:color="auto"/>
              <w:left w:val="single" w:sz="6" w:space="0" w:color="auto"/>
              <w:bottom w:val="single" w:sz="6" w:space="0" w:color="auto"/>
              <w:right w:val="single" w:sz="6" w:space="0" w:color="auto"/>
            </w:tcBorders>
          </w:tcPr>
          <w:p w14:paraId="71EEA4C4"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6B33DCDA" w14:textId="77777777" w:rsidR="00286F7D" w:rsidRPr="00286F7D" w:rsidRDefault="00286F7D" w:rsidP="00286F7D">
            <w:pPr>
              <w:pStyle w:val="Texttabulky"/>
              <w:spacing w:after="0"/>
              <w:rPr>
                <w:rFonts w:cs="Arial"/>
              </w:rPr>
            </w:pPr>
            <w:r w:rsidRPr="00286F7D">
              <w:rPr>
                <w:rFonts w:cs="Arial"/>
              </w:rPr>
              <w:t>-439</w:t>
            </w:r>
          </w:p>
        </w:tc>
        <w:tc>
          <w:tcPr>
            <w:tcW w:w="993" w:type="dxa"/>
            <w:tcBorders>
              <w:top w:val="single" w:sz="6" w:space="0" w:color="auto"/>
              <w:left w:val="single" w:sz="6" w:space="0" w:color="auto"/>
              <w:bottom w:val="single" w:sz="6" w:space="0" w:color="auto"/>
              <w:right w:val="single" w:sz="6" w:space="0" w:color="auto"/>
            </w:tcBorders>
          </w:tcPr>
          <w:p w14:paraId="3FAC7588" w14:textId="77777777" w:rsidR="00286F7D" w:rsidRPr="00286F7D" w:rsidRDefault="00286F7D" w:rsidP="00286F7D">
            <w:pPr>
              <w:pStyle w:val="Texttabulky"/>
              <w:spacing w:after="0"/>
              <w:rPr>
                <w:rFonts w:cs="Arial"/>
              </w:rPr>
            </w:pPr>
            <w:r w:rsidRPr="00286F7D">
              <w:rPr>
                <w:rFonts w:cs="Arial"/>
              </w:rPr>
              <w:t>-332</w:t>
            </w:r>
          </w:p>
        </w:tc>
        <w:tc>
          <w:tcPr>
            <w:tcW w:w="2428" w:type="dxa"/>
            <w:tcBorders>
              <w:top w:val="single" w:sz="6" w:space="0" w:color="auto"/>
              <w:left w:val="single" w:sz="6" w:space="0" w:color="auto"/>
              <w:bottom w:val="single" w:sz="6" w:space="0" w:color="auto"/>
              <w:right w:val="single" w:sz="6" w:space="0" w:color="auto"/>
            </w:tcBorders>
          </w:tcPr>
          <w:p w14:paraId="5625B041" w14:textId="77777777" w:rsidR="00286F7D" w:rsidRPr="00286F7D" w:rsidRDefault="00286F7D" w:rsidP="00286F7D">
            <w:pPr>
              <w:pStyle w:val="Texttabulky"/>
              <w:spacing w:after="0"/>
              <w:rPr>
                <w:rFonts w:cs="Arial"/>
              </w:rPr>
            </w:pPr>
            <w:r w:rsidRPr="00286F7D">
              <w:rPr>
                <w:rFonts w:cs="Arial"/>
              </w:rPr>
              <w:t>nutno řešit nové firmy</w:t>
            </w:r>
          </w:p>
        </w:tc>
      </w:tr>
      <w:tr w:rsidR="00286F7D" w:rsidRPr="00286F7D" w14:paraId="61876F4E" w14:textId="77777777" w:rsidTr="00286F7D">
        <w:tc>
          <w:tcPr>
            <w:tcW w:w="426" w:type="dxa"/>
            <w:tcBorders>
              <w:top w:val="single" w:sz="6" w:space="0" w:color="auto"/>
              <w:left w:val="single" w:sz="6" w:space="0" w:color="auto"/>
              <w:bottom w:val="single" w:sz="6" w:space="0" w:color="auto"/>
              <w:right w:val="single" w:sz="6" w:space="0" w:color="auto"/>
            </w:tcBorders>
          </w:tcPr>
          <w:p w14:paraId="176EAED6" w14:textId="77777777" w:rsidR="00286F7D" w:rsidRPr="00286F7D" w:rsidRDefault="00286F7D" w:rsidP="00286F7D">
            <w:pPr>
              <w:pStyle w:val="Texttabulky"/>
              <w:spacing w:after="0"/>
              <w:jc w:val="right"/>
              <w:rPr>
                <w:rFonts w:cs="Arial"/>
              </w:rPr>
            </w:pPr>
            <w:r w:rsidRPr="00286F7D">
              <w:rPr>
                <w:rFonts w:cs="Arial"/>
              </w:rPr>
              <w:t>15</w:t>
            </w:r>
          </w:p>
        </w:tc>
        <w:tc>
          <w:tcPr>
            <w:tcW w:w="1984" w:type="dxa"/>
            <w:tcBorders>
              <w:top w:val="single" w:sz="6" w:space="0" w:color="auto"/>
              <w:left w:val="single" w:sz="6" w:space="0" w:color="auto"/>
              <w:bottom w:val="single" w:sz="6" w:space="0" w:color="auto"/>
              <w:right w:val="single" w:sz="6" w:space="0" w:color="auto"/>
            </w:tcBorders>
          </w:tcPr>
          <w:p w14:paraId="0C360077" w14:textId="77777777" w:rsidR="00286F7D" w:rsidRPr="00286F7D" w:rsidRDefault="00286F7D" w:rsidP="00286F7D">
            <w:pPr>
              <w:pStyle w:val="Texttabulky"/>
              <w:spacing w:after="0"/>
              <w:rPr>
                <w:rFonts w:cs="Arial"/>
              </w:rPr>
            </w:pPr>
            <w:r w:rsidRPr="00286F7D">
              <w:rPr>
                <w:rFonts w:cs="Arial"/>
              </w:rPr>
              <w:t>Pod Chlumem</w:t>
            </w:r>
          </w:p>
        </w:tc>
        <w:tc>
          <w:tcPr>
            <w:tcW w:w="838" w:type="dxa"/>
            <w:tcBorders>
              <w:top w:val="single" w:sz="6" w:space="0" w:color="auto"/>
              <w:left w:val="single" w:sz="6" w:space="0" w:color="auto"/>
              <w:bottom w:val="single" w:sz="6" w:space="0" w:color="auto"/>
              <w:right w:val="single" w:sz="6" w:space="0" w:color="auto"/>
            </w:tcBorders>
          </w:tcPr>
          <w:p w14:paraId="0EBC9BF7" w14:textId="77777777" w:rsidR="00286F7D" w:rsidRPr="00286F7D" w:rsidRDefault="00286F7D" w:rsidP="00286F7D">
            <w:pPr>
              <w:pStyle w:val="Texttabulky"/>
              <w:spacing w:after="0"/>
              <w:rPr>
                <w:rFonts w:cs="Arial"/>
              </w:rPr>
            </w:pPr>
            <w:r w:rsidRPr="00286F7D">
              <w:rPr>
                <w:rFonts w:cs="Arial"/>
              </w:rPr>
              <w:t>-150</w:t>
            </w:r>
          </w:p>
        </w:tc>
        <w:tc>
          <w:tcPr>
            <w:tcW w:w="856" w:type="dxa"/>
            <w:tcBorders>
              <w:top w:val="single" w:sz="6" w:space="0" w:color="auto"/>
              <w:left w:val="single" w:sz="6" w:space="0" w:color="auto"/>
              <w:bottom w:val="single" w:sz="6" w:space="0" w:color="auto"/>
              <w:right w:val="single" w:sz="6" w:space="0" w:color="auto"/>
            </w:tcBorders>
          </w:tcPr>
          <w:p w14:paraId="74B81830"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5584D1E3"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6374D365" w14:textId="77777777" w:rsidR="00286F7D" w:rsidRPr="00286F7D" w:rsidRDefault="00286F7D" w:rsidP="00286F7D">
            <w:pPr>
              <w:pStyle w:val="Texttabulky"/>
              <w:spacing w:after="0"/>
              <w:rPr>
                <w:rFonts w:cs="Arial"/>
              </w:rPr>
            </w:pPr>
            <w:r w:rsidRPr="00286F7D">
              <w:rPr>
                <w:rFonts w:cs="Arial"/>
              </w:rPr>
              <w:t>-150</w:t>
            </w:r>
          </w:p>
        </w:tc>
        <w:tc>
          <w:tcPr>
            <w:tcW w:w="2428" w:type="dxa"/>
            <w:tcBorders>
              <w:top w:val="single" w:sz="6" w:space="0" w:color="auto"/>
              <w:left w:val="single" w:sz="6" w:space="0" w:color="auto"/>
              <w:bottom w:val="single" w:sz="6" w:space="0" w:color="auto"/>
              <w:right w:val="single" w:sz="6" w:space="0" w:color="auto"/>
            </w:tcBorders>
          </w:tcPr>
          <w:p w14:paraId="13DEB30B"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704DC702" w14:textId="77777777" w:rsidTr="00286F7D">
        <w:tc>
          <w:tcPr>
            <w:tcW w:w="426" w:type="dxa"/>
            <w:tcBorders>
              <w:top w:val="single" w:sz="6" w:space="0" w:color="auto"/>
              <w:left w:val="single" w:sz="6" w:space="0" w:color="auto"/>
              <w:bottom w:val="single" w:sz="6" w:space="0" w:color="auto"/>
              <w:right w:val="single" w:sz="6" w:space="0" w:color="auto"/>
            </w:tcBorders>
          </w:tcPr>
          <w:p w14:paraId="23C5FA06" w14:textId="77777777" w:rsidR="00286F7D" w:rsidRPr="00286F7D" w:rsidRDefault="00286F7D" w:rsidP="00286F7D">
            <w:pPr>
              <w:pStyle w:val="Texttabulky"/>
              <w:spacing w:after="0"/>
              <w:jc w:val="right"/>
              <w:rPr>
                <w:rFonts w:cs="Arial"/>
              </w:rPr>
            </w:pPr>
            <w:r w:rsidRPr="00286F7D">
              <w:rPr>
                <w:rFonts w:cs="Arial"/>
              </w:rPr>
              <w:t>47</w:t>
            </w:r>
          </w:p>
        </w:tc>
        <w:tc>
          <w:tcPr>
            <w:tcW w:w="1984" w:type="dxa"/>
            <w:tcBorders>
              <w:top w:val="single" w:sz="6" w:space="0" w:color="auto"/>
              <w:left w:val="single" w:sz="6" w:space="0" w:color="auto"/>
              <w:bottom w:val="single" w:sz="6" w:space="0" w:color="auto"/>
              <w:right w:val="single" w:sz="6" w:space="0" w:color="auto"/>
            </w:tcBorders>
          </w:tcPr>
          <w:p w14:paraId="7D15873A" w14:textId="77777777" w:rsidR="00286F7D" w:rsidRPr="00286F7D" w:rsidRDefault="00286F7D" w:rsidP="00286F7D">
            <w:pPr>
              <w:pStyle w:val="Texttabulky"/>
              <w:spacing w:after="0"/>
              <w:rPr>
                <w:rFonts w:cs="Arial"/>
              </w:rPr>
            </w:pPr>
            <w:r w:rsidRPr="00286F7D">
              <w:rPr>
                <w:rFonts w:cs="Arial"/>
              </w:rPr>
              <w:t>Folknáře</w:t>
            </w:r>
          </w:p>
        </w:tc>
        <w:tc>
          <w:tcPr>
            <w:tcW w:w="838" w:type="dxa"/>
            <w:tcBorders>
              <w:top w:val="single" w:sz="6" w:space="0" w:color="auto"/>
              <w:left w:val="single" w:sz="6" w:space="0" w:color="auto"/>
              <w:bottom w:val="single" w:sz="6" w:space="0" w:color="auto"/>
              <w:right w:val="single" w:sz="6" w:space="0" w:color="auto"/>
            </w:tcBorders>
          </w:tcPr>
          <w:p w14:paraId="3DF1AE1D" w14:textId="77777777" w:rsidR="00286F7D" w:rsidRPr="00286F7D" w:rsidRDefault="00286F7D" w:rsidP="00286F7D">
            <w:pPr>
              <w:pStyle w:val="Texttabulky"/>
              <w:spacing w:after="0"/>
              <w:rPr>
                <w:rFonts w:cs="Arial"/>
              </w:rPr>
            </w:pPr>
            <w:r w:rsidRPr="00286F7D">
              <w:rPr>
                <w:rFonts w:cs="Arial"/>
              </w:rPr>
              <w:t>-106</w:t>
            </w:r>
          </w:p>
        </w:tc>
        <w:tc>
          <w:tcPr>
            <w:tcW w:w="856" w:type="dxa"/>
            <w:tcBorders>
              <w:top w:val="single" w:sz="6" w:space="0" w:color="auto"/>
              <w:left w:val="single" w:sz="6" w:space="0" w:color="auto"/>
              <w:bottom w:val="single" w:sz="6" w:space="0" w:color="auto"/>
              <w:right w:val="single" w:sz="6" w:space="0" w:color="auto"/>
            </w:tcBorders>
          </w:tcPr>
          <w:p w14:paraId="7BB153B1"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5CE4A03D"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49E43693" w14:textId="77777777" w:rsidR="00286F7D" w:rsidRPr="00286F7D" w:rsidRDefault="00286F7D" w:rsidP="00286F7D">
            <w:pPr>
              <w:pStyle w:val="Texttabulky"/>
              <w:spacing w:after="0"/>
              <w:rPr>
                <w:rFonts w:cs="Arial"/>
              </w:rPr>
            </w:pPr>
            <w:r w:rsidRPr="00286F7D">
              <w:rPr>
                <w:rFonts w:cs="Arial"/>
              </w:rPr>
              <w:t>-106</w:t>
            </w:r>
          </w:p>
        </w:tc>
        <w:tc>
          <w:tcPr>
            <w:tcW w:w="2428" w:type="dxa"/>
            <w:tcBorders>
              <w:top w:val="single" w:sz="6" w:space="0" w:color="auto"/>
              <w:left w:val="single" w:sz="6" w:space="0" w:color="auto"/>
              <w:bottom w:val="single" w:sz="6" w:space="0" w:color="auto"/>
              <w:right w:val="single" w:sz="6" w:space="0" w:color="auto"/>
            </w:tcBorders>
          </w:tcPr>
          <w:p w14:paraId="530E8D41"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0FCB0D68" w14:textId="77777777" w:rsidTr="00286F7D">
        <w:tc>
          <w:tcPr>
            <w:tcW w:w="426" w:type="dxa"/>
            <w:tcBorders>
              <w:top w:val="single" w:sz="6" w:space="0" w:color="auto"/>
              <w:left w:val="single" w:sz="6" w:space="0" w:color="auto"/>
              <w:bottom w:val="single" w:sz="6" w:space="0" w:color="auto"/>
              <w:right w:val="single" w:sz="6" w:space="0" w:color="auto"/>
            </w:tcBorders>
          </w:tcPr>
          <w:p w14:paraId="72D8941B" w14:textId="77777777" w:rsidR="00286F7D" w:rsidRPr="00286F7D" w:rsidRDefault="00286F7D" w:rsidP="00286F7D">
            <w:pPr>
              <w:pStyle w:val="Texttabulky"/>
              <w:spacing w:after="0"/>
              <w:jc w:val="right"/>
              <w:rPr>
                <w:rFonts w:cs="Arial"/>
              </w:rPr>
            </w:pPr>
            <w:r w:rsidRPr="00286F7D">
              <w:rPr>
                <w:rFonts w:cs="Arial"/>
              </w:rPr>
              <w:t>48</w:t>
            </w:r>
          </w:p>
        </w:tc>
        <w:tc>
          <w:tcPr>
            <w:tcW w:w="1984" w:type="dxa"/>
            <w:tcBorders>
              <w:top w:val="single" w:sz="6" w:space="0" w:color="auto"/>
              <w:left w:val="single" w:sz="6" w:space="0" w:color="auto"/>
              <w:bottom w:val="single" w:sz="6" w:space="0" w:color="auto"/>
              <w:right w:val="single" w:sz="6" w:space="0" w:color="auto"/>
            </w:tcBorders>
          </w:tcPr>
          <w:p w14:paraId="79B6BDBA" w14:textId="77777777" w:rsidR="00286F7D" w:rsidRPr="00286F7D" w:rsidRDefault="00286F7D" w:rsidP="00286F7D">
            <w:pPr>
              <w:pStyle w:val="Texttabulky"/>
              <w:spacing w:after="0"/>
              <w:rPr>
                <w:rFonts w:cs="Arial"/>
              </w:rPr>
            </w:pPr>
            <w:r w:rsidRPr="00286F7D">
              <w:rPr>
                <w:rFonts w:cs="Arial"/>
              </w:rPr>
              <w:t xml:space="preserve">Březiny </w:t>
            </w:r>
          </w:p>
        </w:tc>
        <w:tc>
          <w:tcPr>
            <w:tcW w:w="838" w:type="dxa"/>
            <w:tcBorders>
              <w:top w:val="single" w:sz="6" w:space="0" w:color="auto"/>
              <w:left w:val="single" w:sz="6" w:space="0" w:color="auto"/>
              <w:bottom w:val="single" w:sz="6" w:space="0" w:color="auto"/>
              <w:right w:val="single" w:sz="6" w:space="0" w:color="auto"/>
            </w:tcBorders>
          </w:tcPr>
          <w:p w14:paraId="72997464" w14:textId="77777777" w:rsidR="00286F7D" w:rsidRPr="00286F7D" w:rsidRDefault="00286F7D" w:rsidP="00286F7D">
            <w:pPr>
              <w:pStyle w:val="Texttabulky"/>
              <w:spacing w:after="0"/>
              <w:rPr>
                <w:rFonts w:cs="Arial"/>
              </w:rPr>
            </w:pPr>
            <w:r w:rsidRPr="00286F7D">
              <w:rPr>
                <w:rFonts w:cs="Arial"/>
              </w:rPr>
              <w:t>1 451</w:t>
            </w:r>
          </w:p>
        </w:tc>
        <w:tc>
          <w:tcPr>
            <w:tcW w:w="856" w:type="dxa"/>
            <w:tcBorders>
              <w:top w:val="single" w:sz="6" w:space="0" w:color="auto"/>
              <w:left w:val="single" w:sz="6" w:space="0" w:color="auto"/>
              <w:bottom w:val="single" w:sz="6" w:space="0" w:color="auto"/>
              <w:right w:val="single" w:sz="6" w:space="0" w:color="auto"/>
            </w:tcBorders>
          </w:tcPr>
          <w:p w14:paraId="041308DB" w14:textId="77777777" w:rsidR="00286F7D" w:rsidRPr="00286F7D" w:rsidRDefault="00286F7D" w:rsidP="00286F7D">
            <w:pPr>
              <w:pStyle w:val="Texttabulky"/>
              <w:spacing w:after="0"/>
              <w:rPr>
                <w:rFonts w:cs="Arial"/>
              </w:rPr>
            </w:pPr>
            <w:r w:rsidRPr="00286F7D">
              <w:rPr>
                <w:rFonts w:cs="Arial"/>
              </w:rPr>
              <w:t>-326</w:t>
            </w:r>
          </w:p>
        </w:tc>
        <w:tc>
          <w:tcPr>
            <w:tcW w:w="999" w:type="dxa"/>
            <w:tcBorders>
              <w:top w:val="single" w:sz="6" w:space="0" w:color="auto"/>
              <w:left w:val="single" w:sz="6" w:space="0" w:color="auto"/>
              <w:bottom w:val="single" w:sz="6" w:space="0" w:color="auto"/>
              <w:right w:val="single" w:sz="6" w:space="0" w:color="auto"/>
            </w:tcBorders>
          </w:tcPr>
          <w:p w14:paraId="69477C05" w14:textId="77777777" w:rsidR="00286F7D" w:rsidRPr="00286F7D" w:rsidRDefault="00286F7D" w:rsidP="00286F7D">
            <w:pPr>
              <w:pStyle w:val="Texttabulky"/>
              <w:spacing w:after="0"/>
              <w:rPr>
                <w:rFonts w:cs="Arial"/>
              </w:rPr>
            </w:pPr>
            <w:r w:rsidRPr="00286F7D">
              <w:rPr>
                <w:rFonts w:cs="Arial"/>
              </w:rPr>
              <w:t>34</w:t>
            </w:r>
          </w:p>
        </w:tc>
        <w:tc>
          <w:tcPr>
            <w:tcW w:w="993" w:type="dxa"/>
            <w:tcBorders>
              <w:top w:val="single" w:sz="6" w:space="0" w:color="auto"/>
              <w:left w:val="single" w:sz="6" w:space="0" w:color="auto"/>
              <w:bottom w:val="single" w:sz="6" w:space="0" w:color="auto"/>
              <w:right w:val="single" w:sz="6" w:space="0" w:color="auto"/>
            </w:tcBorders>
          </w:tcPr>
          <w:p w14:paraId="766DAA13" w14:textId="77777777" w:rsidR="00286F7D" w:rsidRPr="00286F7D" w:rsidRDefault="00286F7D" w:rsidP="00286F7D">
            <w:pPr>
              <w:pStyle w:val="Texttabulky"/>
              <w:spacing w:after="0"/>
              <w:rPr>
                <w:rFonts w:cs="Arial"/>
              </w:rPr>
            </w:pPr>
            <w:r w:rsidRPr="00286F7D">
              <w:rPr>
                <w:rFonts w:cs="Arial"/>
              </w:rPr>
              <w:t>1 159</w:t>
            </w:r>
          </w:p>
        </w:tc>
        <w:tc>
          <w:tcPr>
            <w:tcW w:w="2428" w:type="dxa"/>
            <w:tcBorders>
              <w:top w:val="single" w:sz="6" w:space="0" w:color="auto"/>
              <w:left w:val="single" w:sz="6" w:space="0" w:color="auto"/>
              <w:bottom w:val="single" w:sz="6" w:space="0" w:color="auto"/>
              <w:right w:val="single" w:sz="6" w:space="0" w:color="auto"/>
            </w:tcBorders>
          </w:tcPr>
          <w:p w14:paraId="68228812" w14:textId="77777777" w:rsidR="00286F7D" w:rsidRPr="00286F7D" w:rsidRDefault="00286F7D" w:rsidP="00286F7D">
            <w:pPr>
              <w:pStyle w:val="Texttabulky"/>
              <w:spacing w:after="0"/>
              <w:rPr>
                <w:rFonts w:cs="Arial"/>
              </w:rPr>
            </w:pPr>
            <w:r w:rsidRPr="00286F7D">
              <w:rPr>
                <w:rFonts w:cs="Arial"/>
              </w:rPr>
              <w:t>nutno řešit školu</w:t>
            </w:r>
          </w:p>
        </w:tc>
      </w:tr>
      <w:tr w:rsidR="00286F7D" w:rsidRPr="00286F7D" w14:paraId="67CC014A" w14:textId="77777777" w:rsidTr="00286F7D">
        <w:tc>
          <w:tcPr>
            <w:tcW w:w="426" w:type="dxa"/>
            <w:tcBorders>
              <w:top w:val="single" w:sz="6" w:space="0" w:color="auto"/>
              <w:left w:val="single" w:sz="6" w:space="0" w:color="auto"/>
              <w:bottom w:val="single" w:sz="6" w:space="0" w:color="auto"/>
              <w:right w:val="single" w:sz="6" w:space="0" w:color="auto"/>
            </w:tcBorders>
          </w:tcPr>
          <w:p w14:paraId="7BCE13B6" w14:textId="77777777" w:rsidR="00286F7D" w:rsidRPr="00286F7D" w:rsidRDefault="00286F7D" w:rsidP="00286F7D">
            <w:pPr>
              <w:pStyle w:val="Texttabulky"/>
              <w:spacing w:after="0"/>
              <w:rPr>
                <w:rFonts w:cs="Arial"/>
              </w:rPr>
            </w:pPr>
            <w:r w:rsidRPr="00286F7D">
              <w:rPr>
                <w:rFonts w:cs="Arial"/>
                <w:b/>
                <w:bCs/>
              </w:rPr>
              <w:t xml:space="preserve"> VI</w:t>
            </w:r>
          </w:p>
        </w:tc>
        <w:tc>
          <w:tcPr>
            <w:tcW w:w="1984" w:type="dxa"/>
            <w:tcBorders>
              <w:top w:val="single" w:sz="6" w:space="0" w:color="auto"/>
              <w:left w:val="single" w:sz="6" w:space="0" w:color="auto"/>
              <w:bottom w:val="single" w:sz="6" w:space="0" w:color="auto"/>
              <w:right w:val="single" w:sz="6" w:space="0" w:color="auto"/>
            </w:tcBorders>
          </w:tcPr>
          <w:p w14:paraId="2BD73184" w14:textId="77777777" w:rsidR="00286F7D" w:rsidRPr="00286F7D" w:rsidRDefault="00286F7D" w:rsidP="00286F7D">
            <w:pPr>
              <w:pStyle w:val="Texttabulky"/>
              <w:spacing w:after="0"/>
              <w:rPr>
                <w:rFonts w:cs="Arial"/>
              </w:rPr>
            </w:pPr>
            <w:r w:rsidRPr="00286F7D">
              <w:rPr>
                <w:rFonts w:cs="Arial"/>
                <w:b/>
                <w:bCs/>
                <w:caps/>
              </w:rPr>
              <w:t>sektor celkem</w:t>
            </w:r>
          </w:p>
        </w:tc>
        <w:tc>
          <w:tcPr>
            <w:tcW w:w="838" w:type="dxa"/>
            <w:tcBorders>
              <w:top w:val="single" w:sz="6" w:space="0" w:color="auto"/>
              <w:left w:val="single" w:sz="6" w:space="0" w:color="auto"/>
              <w:bottom w:val="single" w:sz="6" w:space="0" w:color="auto"/>
              <w:right w:val="single" w:sz="6" w:space="0" w:color="auto"/>
            </w:tcBorders>
          </w:tcPr>
          <w:p w14:paraId="79936D4A" w14:textId="77777777" w:rsidR="00286F7D" w:rsidRPr="00286F7D" w:rsidRDefault="00286F7D" w:rsidP="00286F7D">
            <w:pPr>
              <w:pStyle w:val="Texttabulky"/>
              <w:spacing w:after="0"/>
              <w:rPr>
                <w:rFonts w:cs="Arial"/>
              </w:rPr>
            </w:pPr>
            <w:r w:rsidRPr="00286F7D">
              <w:rPr>
                <w:rFonts w:cs="Arial"/>
                <w:b/>
                <w:bCs/>
              </w:rPr>
              <w:t>7 739</w:t>
            </w:r>
          </w:p>
        </w:tc>
        <w:tc>
          <w:tcPr>
            <w:tcW w:w="856" w:type="dxa"/>
            <w:tcBorders>
              <w:top w:val="single" w:sz="6" w:space="0" w:color="auto"/>
              <w:left w:val="single" w:sz="6" w:space="0" w:color="auto"/>
              <w:bottom w:val="single" w:sz="6" w:space="0" w:color="auto"/>
              <w:right w:val="single" w:sz="6" w:space="0" w:color="auto"/>
            </w:tcBorders>
          </w:tcPr>
          <w:p w14:paraId="27D4B602" w14:textId="77777777" w:rsidR="00286F7D" w:rsidRPr="00286F7D" w:rsidRDefault="00286F7D" w:rsidP="00286F7D">
            <w:pPr>
              <w:pStyle w:val="Texttabulky"/>
              <w:spacing w:after="0"/>
              <w:rPr>
                <w:rFonts w:cs="Arial"/>
              </w:rPr>
            </w:pPr>
            <w:r w:rsidRPr="00286F7D">
              <w:rPr>
                <w:rFonts w:cs="Arial"/>
                <w:b/>
                <w:bCs/>
              </w:rPr>
              <w:t>- 244</w:t>
            </w:r>
          </w:p>
        </w:tc>
        <w:tc>
          <w:tcPr>
            <w:tcW w:w="999" w:type="dxa"/>
            <w:tcBorders>
              <w:top w:val="single" w:sz="6" w:space="0" w:color="auto"/>
              <w:left w:val="single" w:sz="6" w:space="0" w:color="auto"/>
              <w:bottom w:val="single" w:sz="6" w:space="0" w:color="auto"/>
              <w:right w:val="single" w:sz="6" w:space="0" w:color="auto"/>
            </w:tcBorders>
          </w:tcPr>
          <w:p w14:paraId="26572399" w14:textId="77777777" w:rsidR="00286F7D" w:rsidRPr="00286F7D" w:rsidRDefault="00286F7D" w:rsidP="00286F7D">
            <w:pPr>
              <w:pStyle w:val="Texttabulky"/>
              <w:spacing w:after="0"/>
              <w:rPr>
                <w:rFonts w:cs="Arial"/>
              </w:rPr>
            </w:pPr>
            <w:r w:rsidRPr="00286F7D">
              <w:rPr>
                <w:rFonts w:cs="Arial"/>
                <w:b/>
                <w:bCs/>
              </w:rPr>
              <w:t>878</w:t>
            </w:r>
          </w:p>
        </w:tc>
        <w:tc>
          <w:tcPr>
            <w:tcW w:w="993" w:type="dxa"/>
            <w:tcBorders>
              <w:top w:val="single" w:sz="6" w:space="0" w:color="auto"/>
              <w:left w:val="single" w:sz="6" w:space="0" w:color="auto"/>
              <w:bottom w:val="single" w:sz="6" w:space="0" w:color="auto"/>
              <w:right w:val="single" w:sz="6" w:space="0" w:color="auto"/>
            </w:tcBorders>
          </w:tcPr>
          <w:p w14:paraId="77FD793F" w14:textId="77777777" w:rsidR="00286F7D" w:rsidRPr="00286F7D" w:rsidRDefault="00286F7D" w:rsidP="00286F7D">
            <w:pPr>
              <w:pStyle w:val="Texttabulky"/>
              <w:spacing w:after="0"/>
              <w:rPr>
                <w:rFonts w:cs="Arial"/>
              </w:rPr>
            </w:pPr>
            <w:r w:rsidRPr="00286F7D">
              <w:rPr>
                <w:rFonts w:cs="Arial"/>
                <w:b/>
                <w:bCs/>
              </w:rPr>
              <w:t>8 373</w:t>
            </w:r>
          </w:p>
        </w:tc>
        <w:tc>
          <w:tcPr>
            <w:tcW w:w="2428" w:type="dxa"/>
            <w:tcBorders>
              <w:top w:val="single" w:sz="6" w:space="0" w:color="auto"/>
              <w:left w:val="single" w:sz="6" w:space="0" w:color="auto"/>
              <w:bottom w:val="single" w:sz="6" w:space="0" w:color="auto"/>
              <w:right w:val="single" w:sz="6" w:space="0" w:color="auto"/>
            </w:tcBorders>
          </w:tcPr>
          <w:p w14:paraId="52216FD4" w14:textId="77777777" w:rsidR="00286F7D" w:rsidRPr="00286F7D" w:rsidRDefault="00286F7D" w:rsidP="00286F7D">
            <w:pPr>
              <w:pStyle w:val="Zkladntext"/>
              <w:spacing w:after="0"/>
              <w:rPr>
                <w:rFonts w:ascii="Arial" w:hAnsi="Arial" w:cs="Arial"/>
              </w:rPr>
            </w:pPr>
          </w:p>
        </w:tc>
      </w:tr>
      <w:tr w:rsidR="00286F7D" w:rsidRPr="00286F7D" w14:paraId="6FD82B78" w14:textId="77777777" w:rsidTr="00286F7D">
        <w:tc>
          <w:tcPr>
            <w:tcW w:w="426" w:type="dxa"/>
            <w:tcBorders>
              <w:top w:val="single" w:sz="6" w:space="0" w:color="auto"/>
              <w:left w:val="single" w:sz="6" w:space="0" w:color="auto"/>
              <w:bottom w:val="single" w:sz="6" w:space="0" w:color="auto"/>
              <w:right w:val="single" w:sz="6" w:space="0" w:color="auto"/>
            </w:tcBorders>
          </w:tcPr>
          <w:p w14:paraId="185A5598" w14:textId="77777777" w:rsidR="00286F7D" w:rsidRPr="00286F7D" w:rsidRDefault="00286F7D" w:rsidP="00286F7D">
            <w:pPr>
              <w:pStyle w:val="Texttabulky"/>
              <w:spacing w:after="0"/>
              <w:jc w:val="right"/>
              <w:rPr>
                <w:rFonts w:cs="Arial"/>
              </w:rPr>
            </w:pPr>
            <w:r w:rsidRPr="00286F7D">
              <w:rPr>
                <w:rFonts w:cs="Arial"/>
              </w:rPr>
              <w:t>14</w:t>
            </w:r>
          </w:p>
        </w:tc>
        <w:tc>
          <w:tcPr>
            <w:tcW w:w="1984" w:type="dxa"/>
            <w:tcBorders>
              <w:top w:val="single" w:sz="6" w:space="0" w:color="auto"/>
              <w:left w:val="single" w:sz="6" w:space="0" w:color="auto"/>
              <w:bottom w:val="single" w:sz="6" w:space="0" w:color="auto"/>
              <w:right w:val="single" w:sz="6" w:space="0" w:color="auto"/>
            </w:tcBorders>
          </w:tcPr>
          <w:p w14:paraId="5C92564C" w14:textId="77777777" w:rsidR="00286F7D" w:rsidRPr="00286F7D" w:rsidRDefault="00286F7D" w:rsidP="00286F7D">
            <w:pPr>
              <w:pStyle w:val="Texttabulky"/>
              <w:spacing w:after="0"/>
              <w:rPr>
                <w:rFonts w:cs="Arial"/>
              </w:rPr>
            </w:pPr>
            <w:r w:rsidRPr="00286F7D">
              <w:rPr>
                <w:rFonts w:cs="Arial"/>
              </w:rPr>
              <w:t>Chlumská stráň</w:t>
            </w:r>
          </w:p>
        </w:tc>
        <w:tc>
          <w:tcPr>
            <w:tcW w:w="838" w:type="dxa"/>
            <w:tcBorders>
              <w:top w:val="single" w:sz="6" w:space="0" w:color="auto"/>
              <w:left w:val="single" w:sz="6" w:space="0" w:color="auto"/>
              <w:bottom w:val="single" w:sz="6" w:space="0" w:color="auto"/>
              <w:right w:val="single" w:sz="6" w:space="0" w:color="auto"/>
            </w:tcBorders>
          </w:tcPr>
          <w:p w14:paraId="750596A5" w14:textId="77777777" w:rsidR="00286F7D" w:rsidRPr="00286F7D" w:rsidRDefault="00286F7D" w:rsidP="00286F7D">
            <w:pPr>
              <w:pStyle w:val="Texttabulky"/>
              <w:spacing w:after="0"/>
              <w:rPr>
                <w:rFonts w:cs="Arial"/>
              </w:rPr>
            </w:pPr>
            <w:r w:rsidRPr="00286F7D">
              <w:rPr>
                <w:rFonts w:cs="Arial"/>
              </w:rPr>
              <w:t>-20</w:t>
            </w:r>
          </w:p>
        </w:tc>
        <w:tc>
          <w:tcPr>
            <w:tcW w:w="856" w:type="dxa"/>
            <w:tcBorders>
              <w:top w:val="single" w:sz="6" w:space="0" w:color="auto"/>
              <w:left w:val="single" w:sz="6" w:space="0" w:color="auto"/>
              <w:bottom w:val="single" w:sz="6" w:space="0" w:color="auto"/>
              <w:right w:val="single" w:sz="6" w:space="0" w:color="auto"/>
            </w:tcBorders>
          </w:tcPr>
          <w:p w14:paraId="72712D80"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7AEB878D"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38BC1666" w14:textId="77777777" w:rsidR="00286F7D" w:rsidRPr="00286F7D" w:rsidRDefault="00286F7D" w:rsidP="00286F7D">
            <w:pPr>
              <w:pStyle w:val="Texttabulky"/>
              <w:spacing w:after="0"/>
              <w:rPr>
                <w:rFonts w:cs="Arial"/>
              </w:rPr>
            </w:pPr>
            <w:r w:rsidRPr="00286F7D">
              <w:rPr>
                <w:rFonts w:cs="Arial"/>
              </w:rPr>
              <w:t>-20</w:t>
            </w:r>
          </w:p>
        </w:tc>
        <w:tc>
          <w:tcPr>
            <w:tcW w:w="2428" w:type="dxa"/>
            <w:tcBorders>
              <w:top w:val="single" w:sz="6" w:space="0" w:color="auto"/>
              <w:left w:val="single" w:sz="6" w:space="0" w:color="auto"/>
              <w:bottom w:val="single" w:sz="6" w:space="0" w:color="auto"/>
              <w:right w:val="single" w:sz="6" w:space="0" w:color="auto"/>
            </w:tcBorders>
          </w:tcPr>
          <w:p w14:paraId="22B4095E"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25AD4F5F" w14:textId="77777777" w:rsidTr="00286F7D">
        <w:tc>
          <w:tcPr>
            <w:tcW w:w="426" w:type="dxa"/>
            <w:tcBorders>
              <w:top w:val="single" w:sz="6" w:space="0" w:color="auto"/>
              <w:left w:val="single" w:sz="6" w:space="0" w:color="auto"/>
              <w:bottom w:val="single" w:sz="6" w:space="0" w:color="auto"/>
              <w:right w:val="single" w:sz="6" w:space="0" w:color="auto"/>
            </w:tcBorders>
          </w:tcPr>
          <w:p w14:paraId="53089001" w14:textId="77777777" w:rsidR="00286F7D" w:rsidRPr="00286F7D" w:rsidRDefault="00286F7D" w:rsidP="00286F7D">
            <w:pPr>
              <w:pStyle w:val="Texttabulky"/>
              <w:spacing w:after="0"/>
              <w:jc w:val="right"/>
              <w:rPr>
                <w:rFonts w:cs="Arial"/>
              </w:rPr>
            </w:pPr>
            <w:r w:rsidRPr="00286F7D">
              <w:rPr>
                <w:rFonts w:cs="Arial"/>
              </w:rPr>
              <w:t>51</w:t>
            </w:r>
          </w:p>
        </w:tc>
        <w:tc>
          <w:tcPr>
            <w:tcW w:w="1984" w:type="dxa"/>
            <w:tcBorders>
              <w:top w:val="single" w:sz="6" w:space="0" w:color="auto"/>
              <w:left w:val="single" w:sz="6" w:space="0" w:color="auto"/>
              <w:bottom w:val="single" w:sz="6" w:space="0" w:color="auto"/>
              <w:right w:val="single" w:sz="6" w:space="0" w:color="auto"/>
            </w:tcBorders>
          </w:tcPr>
          <w:p w14:paraId="0A89687C" w14:textId="77777777" w:rsidR="00286F7D" w:rsidRPr="00286F7D" w:rsidRDefault="00286F7D" w:rsidP="00286F7D">
            <w:pPr>
              <w:pStyle w:val="Texttabulky"/>
              <w:spacing w:after="0"/>
              <w:rPr>
                <w:rFonts w:cs="Arial"/>
              </w:rPr>
            </w:pPr>
            <w:r w:rsidRPr="00286F7D">
              <w:rPr>
                <w:rFonts w:cs="Arial"/>
              </w:rPr>
              <w:t>Křešice</w:t>
            </w:r>
          </w:p>
        </w:tc>
        <w:tc>
          <w:tcPr>
            <w:tcW w:w="838" w:type="dxa"/>
            <w:tcBorders>
              <w:top w:val="single" w:sz="6" w:space="0" w:color="auto"/>
              <w:left w:val="single" w:sz="6" w:space="0" w:color="auto"/>
              <w:bottom w:val="single" w:sz="6" w:space="0" w:color="auto"/>
              <w:right w:val="single" w:sz="6" w:space="0" w:color="auto"/>
            </w:tcBorders>
          </w:tcPr>
          <w:p w14:paraId="547A02A9" w14:textId="77777777" w:rsidR="00286F7D" w:rsidRPr="00286F7D" w:rsidRDefault="00286F7D" w:rsidP="00286F7D">
            <w:pPr>
              <w:pStyle w:val="Texttabulky"/>
              <w:spacing w:after="0"/>
              <w:rPr>
                <w:rFonts w:cs="Arial"/>
              </w:rPr>
            </w:pPr>
            <w:r w:rsidRPr="00286F7D">
              <w:rPr>
                <w:rFonts w:cs="Arial"/>
              </w:rPr>
              <w:t>104</w:t>
            </w:r>
          </w:p>
        </w:tc>
        <w:tc>
          <w:tcPr>
            <w:tcW w:w="856" w:type="dxa"/>
            <w:tcBorders>
              <w:top w:val="single" w:sz="6" w:space="0" w:color="auto"/>
              <w:left w:val="single" w:sz="6" w:space="0" w:color="auto"/>
              <w:bottom w:val="single" w:sz="6" w:space="0" w:color="auto"/>
              <w:right w:val="single" w:sz="6" w:space="0" w:color="auto"/>
            </w:tcBorders>
          </w:tcPr>
          <w:p w14:paraId="67C4EE46" w14:textId="77777777" w:rsidR="00286F7D" w:rsidRPr="00286F7D" w:rsidRDefault="00286F7D" w:rsidP="00286F7D">
            <w:pPr>
              <w:pStyle w:val="Texttabulky"/>
              <w:spacing w:after="0"/>
              <w:rPr>
                <w:rFonts w:cs="Arial"/>
              </w:rPr>
            </w:pPr>
            <w:r w:rsidRPr="00286F7D">
              <w:rPr>
                <w:rFonts w:cs="Arial"/>
              </w:rPr>
              <w:t>-166</w:t>
            </w:r>
          </w:p>
        </w:tc>
        <w:tc>
          <w:tcPr>
            <w:tcW w:w="999" w:type="dxa"/>
            <w:tcBorders>
              <w:top w:val="single" w:sz="6" w:space="0" w:color="auto"/>
              <w:left w:val="single" w:sz="6" w:space="0" w:color="auto"/>
              <w:bottom w:val="single" w:sz="6" w:space="0" w:color="auto"/>
              <w:right w:val="single" w:sz="6" w:space="0" w:color="auto"/>
            </w:tcBorders>
          </w:tcPr>
          <w:p w14:paraId="08F5EE51"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5DC448B4" w14:textId="77777777" w:rsidR="00286F7D" w:rsidRPr="00286F7D" w:rsidRDefault="00286F7D" w:rsidP="00286F7D">
            <w:pPr>
              <w:pStyle w:val="Texttabulky"/>
              <w:spacing w:after="0"/>
              <w:rPr>
                <w:rFonts w:cs="Arial"/>
              </w:rPr>
            </w:pPr>
            <w:r w:rsidRPr="00286F7D">
              <w:rPr>
                <w:rFonts w:cs="Arial"/>
              </w:rPr>
              <w:t>-62</w:t>
            </w:r>
          </w:p>
        </w:tc>
        <w:tc>
          <w:tcPr>
            <w:tcW w:w="2428" w:type="dxa"/>
            <w:tcBorders>
              <w:top w:val="single" w:sz="6" w:space="0" w:color="auto"/>
              <w:left w:val="single" w:sz="6" w:space="0" w:color="auto"/>
              <w:bottom w:val="single" w:sz="6" w:space="0" w:color="auto"/>
              <w:right w:val="single" w:sz="6" w:space="0" w:color="auto"/>
            </w:tcBorders>
          </w:tcPr>
          <w:p w14:paraId="4E2612D5" w14:textId="77777777" w:rsidR="00286F7D" w:rsidRPr="00286F7D" w:rsidRDefault="00286F7D" w:rsidP="00286F7D">
            <w:pPr>
              <w:pStyle w:val="Texttabulky"/>
              <w:spacing w:after="0"/>
              <w:rPr>
                <w:rFonts w:cs="Arial"/>
              </w:rPr>
            </w:pPr>
            <w:r w:rsidRPr="00286F7D">
              <w:rPr>
                <w:rFonts w:cs="Arial"/>
              </w:rPr>
              <w:t>nutno řešit nové firmy</w:t>
            </w:r>
          </w:p>
        </w:tc>
      </w:tr>
      <w:tr w:rsidR="00286F7D" w:rsidRPr="00286F7D" w14:paraId="47E124C2" w14:textId="77777777" w:rsidTr="00286F7D">
        <w:tc>
          <w:tcPr>
            <w:tcW w:w="426" w:type="dxa"/>
            <w:tcBorders>
              <w:top w:val="single" w:sz="6" w:space="0" w:color="auto"/>
              <w:left w:val="single" w:sz="6" w:space="0" w:color="auto"/>
              <w:bottom w:val="single" w:sz="6" w:space="0" w:color="auto"/>
              <w:right w:val="single" w:sz="6" w:space="0" w:color="auto"/>
            </w:tcBorders>
          </w:tcPr>
          <w:p w14:paraId="04CAA8C3" w14:textId="77777777" w:rsidR="00286F7D" w:rsidRPr="00286F7D" w:rsidRDefault="00286F7D" w:rsidP="00286F7D">
            <w:pPr>
              <w:pStyle w:val="Texttabulky"/>
              <w:spacing w:after="0"/>
              <w:jc w:val="right"/>
              <w:rPr>
                <w:rFonts w:cs="Arial"/>
              </w:rPr>
            </w:pPr>
            <w:r w:rsidRPr="00286F7D">
              <w:rPr>
                <w:rFonts w:cs="Arial"/>
              </w:rPr>
              <w:t>52</w:t>
            </w:r>
          </w:p>
        </w:tc>
        <w:tc>
          <w:tcPr>
            <w:tcW w:w="1984" w:type="dxa"/>
            <w:tcBorders>
              <w:top w:val="single" w:sz="6" w:space="0" w:color="auto"/>
              <w:left w:val="single" w:sz="6" w:space="0" w:color="auto"/>
              <w:bottom w:val="single" w:sz="6" w:space="0" w:color="auto"/>
              <w:right w:val="single" w:sz="6" w:space="0" w:color="auto"/>
            </w:tcBorders>
          </w:tcPr>
          <w:p w14:paraId="6DB8EB9F" w14:textId="77777777" w:rsidR="00286F7D" w:rsidRPr="00286F7D" w:rsidRDefault="00286F7D" w:rsidP="00286F7D">
            <w:pPr>
              <w:pStyle w:val="Texttabulky"/>
              <w:spacing w:after="0"/>
              <w:rPr>
                <w:rFonts w:cs="Arial"/>
              </w:rPr>
            </w:pPr>
            <w:r w:rsidRPr="00286F7D">
              <w:rPr>
                <w:rFonts w:cs="Arial"/>
              </w:rPr>
              <w:t>Boletice n. Labem</w:t>
            </w:r>
          </w:p>
        </w:tc>
        <w:tc>
          <w:tcPr>
            <w:tcW w:w="838" w:type="dxa"/>
            <w:tcBorders>
              <w:top w:val="single" w:sz="6" w:space="0" w:color="auto"/>
              <w:left w:val="single" w:sz="6" w:space="0" w:color="auto"/>
              <w:bottom w:val="single" w:sz="6" w:space="0" w:color="auto"/>
              <w:right w:val="single" w:sz="6" w:space="0" w:color="auto"/>
            </w:tcBorders>
          </w:tcPr>
          <w:p w14:paraId="6A342819" w14:textId="77777777" w:rsidR="00286F7D" w:rsidRPr="00286F7D" w:rsidRDefault="00286F7D" w:rsidP="00286F7D">
            <w:pPr>
              <w:pStyle w:val="Texttabulky"/>
              <w:spacing w:after="0"/>
              <w:rPr>
                <w:rFonts w:cs="Arial"/>
              </w:rPr>
            </w:pPr>
            <w:r w:rsidRPr="00286F7D">
              <w:rPr>
                <w:rFonts w:cs="Arial"/>
              </w:rPr>
              <w:t>-628</w:t>
            </w:r>
          </w:p>
        </w:tc>
        <w:tc>
          <w:tcPr>
            <w:tcW w:w="856" w:type="dxa"/>
            <w:tcBorders>
              <w:top w:val="single" w:sz="6" w:space="0" w:color="auto"/>
              <w:left w:val="single" w:sz="6" w:space="0" w:color="auto"/>
              <w:bottom w:val="single" w:sz="6" w:space="0" w:color="auto"/>
              <w:right w:val="single" w:sz="6" w:space="0" w:color="auto"/>
            </w:tcBorders>
          </w:tcPr>
          <w:p w14:paraId="6DF3324D" w14:textId="77777777" w:rsidR="00286F7D" w:rsidRPr="00286F7D" w:rsidRDefault="00286F7D" w:rsidP="00286F7D">
            <w:pPr>
              <w:pStyle w:val="Texttabulky"/>
              <w:spacing w:after="0"/>
              <w:rPr>
                <w:rFonts w:cs="Arial"/>
              </w:rPr>
            </w:pPr>
            <w:r w:rsidRPr="00286F7D">
              <w:rPr>
                <w:rFonts w:cs="Arial"/>
              </w:rPr>
              <w:t>-570</w:t>
            </w:r>
          </w:p>
        </w:tc>
        <w:tc>
          <w:tcPr>
            <w:tcW w:w="999" w:type="dxa"/>
            <w:tcBorders>
              <w:top w:val="single" w:sz="6" w:space="0" w:color="auto"/>
              <w:left w:val="single" w:sz="6" w:space="0" w:color="auto"/>
              <w:bottom w:val="single" w:sz="6" w:space="0" w:color="auto"/>
              <w:right w:val="single" w:sz="6" w:space="0" w:color="auto"/>
            </w:tcBorders>
          </w:tcPr>
          <w:p w14:paraId="25DDB168"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44EB98F4" w14:textId="77777777" w:rsidR="00286F7D" w:rsidRPr="00286F7D" w:rsidRDefault="00286F7D" w:rsidP="00286F7D">
            <w:pPr>
              <w:pStyle w:val="Texttabulky"/>
              <w:spacing w:after="0"/>
              <w:rPr>
                <w:rFonts w:cs="Arial"/>
              </w:rPr>
            </w:pPr>
            <w:r w:rsidRPr="00286F7D">
              <w:rPr>
                <w:rFonts w:cs="Arial"/>
              </w:rPr>
              <w:t>-1 198</w:t>
            </w:r>
          </w:p>
        </w:tc>
        <w:tc>
          <w:tcPr>
            <w:tcW w:w="2428" w:type="dxa"/>
            <w:tcBorders>
              <w:top w:val="single" w:sz="6" w:space="0" w:color="auto"/>
              <w:left w:val="single" w:sz="6" w:space="0" w:color="auto"/>
              <w:bottom w:val="single" w:sz="6" w:space="0" w:color="auto"/>
              <w:right w:val="single" w:sz="6" w:space="0" w:color="auto"/>
            </w:tcBorders>
          </w:tcPr>
          <w:p w14:paraId="1D57AEFF" w14:textId="77777777" w:rsidR="00286F7D" w:rsidRPr="00286F7D" w:rsidRDefault="00286F7D" w:rsidP="00286F7D">
            <w:pPr>
              <w:pStyle w:val="Texttabulky"/>
              <w:spacing w:after="0"/>
              <w:rPr>
                <w:rFonts w:cs="Arial"/>
              </w:rPr>
            </w:pPr>
            <w:r w:rsidRPr="00286F7D">
              <w:rPr>
                <w:rFonts w:cs="Arial"/>
              </w:rPr>
              <w:t>řešit nové firmy a obyvatelstvo</w:t>
            </w:r>
          </w:p>
        </w:tc>
      </w:tr>
      <w:tr w:rsidR="00286F7D" w:rsidRPr="00286F7D" w14:paraId="294FF600" w14:textId="77777777" w:rsidTr="00286F7D">
        <w:tc>
          <w:tcPr>
            <w:tcW w:w="426" w:type="dxa"/>
            <w:tcBorders>
              <w:top w:val="single" w:sz="6" w:space="0" w:color="auto"/>
              <w:left w:val="single" w:sz="6" w:space="0" w:color="auto"/>
              <w:bottom w:val="single" w:sz="6" w:space="0" w:color="auto"/>
              <w:right w:val="single" w:sz="6" w:space="0" w:color="auto"/>
            </w:tcBorders>
          </w:tcPr>
          <w:p w14:paraId="234C0231" w14:textId="77777777" w:rsidR="00286F7D" w:rsidRPr="00286F7D" w:rsidRDefault="00286F7D" w:rsidP="00286F7D">
            <w:pPr>
              <w:pStyle w:val="Texttabulky"/>
              <w:spacing w:after="0"/>
              <w:jc w:val="right"/>
              <w:rPr>
                <w:rFonts w:cs="Arial"/>
              </w:rPr>
            </w:pPr>
            <w:r w:rsidRPr="00286F7D">
              <w:rPr>
                <w:rFonts w:cs="Arial"/>
              </w:rPr>
              <w:t>57</w:t>
            </w:r>
          </w:p>
        </w:tc>
        <w:tc>
          <w:tcPr>
            <w:tcW w:w="1984" w:type="dxa"/>
            <w:tcBorders>
              <w:top w:val="single" w:sz="6" w:space="0" w:color="auto"/>
              <w:left w:val="single" w:sz="6" w:space="0" w:color="auto"/>
              <w:bottom w:val="single" w:sz="6" w:space="0" w:color="auto"/>
              <w:right w:val="single" w:sz="6" w:space="0" w:color="auto"/>
            </w:tcBorders>
          </w:tcPr>
          <w:p w14:paraId="35FCD1DE" w14:textId="77777777" w:rsidR="00286F7D" w:rsidRPr="00286F7D" w:rsidRDefault="00286F7D" w:rsidP="00286F7D">
            <w:pPr>
              <w:pStyle w:val="Texttabulky"/>
              <w:spacing w:after="0"/>
              <w:rPr>
                <w:rFonts w:cs="Arial"/>
              </w:rPr>
            </w:pPr>
            <w:r w:rsidRPr="00286F7D">
              <w:rPr>
                <w:rFonts w:cs="Arial"/>
              </w:rPr>
              <w:t>Nebočady</w:t>
            </w:r>
          </w:p>
        </w:tc>
        <w:tc>
          <w:tcPr>
            <w:tcW w:w="838" w:type="dxa"/>
            <w:tcBorders>
              <w:top w:val="single" w:sz="6" w:space="0" w:color="auto"/>
              <w:left w:val="single" w:sz="6" w:space="0" w:color="auto"/>
              <w:bottom w:val="single" w:sz="6" w:space="0" w:color="auto"/>
              <w:right w:val="single" w:sz="6" w:space="0" w:color="auto"/>
            </w:tcBorders>
          </w:tcPr>
          <w:p w14:paraId="3F0BF0BD" w14:textId="77777777" w:rsidR="00286F7D" w:rsidRPr="00286F7D" w:rsidRDefault="00286F7D" w:rsidP="00286F7D">
            <w:pPr>
              <w:pStyle w:val="Texttabulky"/>
              <w:spacing w:after="0"/>
              <w:rPr>
                <w:rFonts w:cs="Arial"/>
              </w:rPr>
            </w:pPr>
            <w:r w:rsidRPr="00286F7D">
              <w:rPr>
                <w:rFonts w:cs="Arial"/>
              </w:rPr>
              <w:t>184</w:t>
            </w:r>
          </w:p>
        </w:tc>
        <w:tc>
          <w:tcPr>
            <w:tcW w:w="856" w:type="dxa"/>
            <w:tcBorders>
              <w:top w:val="single" w:sz="6" w:space="0" w:color="auto"/>
              <w:left w:val="single" w:sz="6" w:space="0" w:color="auto"/>
              <w:bottom w:val="single" w:sz="6" w:space="0" w:color="auto"/>
              <w:right w:val="single" w:sz="6" w:space="0" w:color="auto"/>
            </w:tcBorders>
          </w:tcPr>
          <w:p w14:paraId="481F5A40" w14:textId="77777777" w:rsidR="00286F7D" w:rsidRPr="00286F7D" w:rsidRDefault="00286F7D" w:rsidP="00286F7D">
            <w:pPr>
              <w:pStyle w:val="Texttabulky"/>
              <w:spacing w:after="0"/>
              <w:rPr>
                <w:rFonts w:cs="Arial"/>
              </w:rPr>
            </w:pPr>
            <w:r w:rsidRPr="00286F7D">
              <w:rPr>
                <w:rFonts w:cs="Arial"/>
              </w:rPr>
              <w:t>28</w:t>
            </w:r>
          </w:p>
        </w:tc>
        <w:tc>
          <w:tcPr>
            <w:tcW w:w="999" w:type="dxa"/>
            <w:tcBorders>
              <w:top w:val="single" w:sz="6" w:space="0" w:color="auto"/>
              <w:left w:val="single" w:sz="6" w:space="0" w:color="auto"/>
              <w:bottom w:val="single" w:sz="6" w:space="0" w:color="auto"/>
              <w:right w:val="single" w:sz="6" w:space="0" w:color="auto"/>
            </w:tcBorders>
          </w:tcPr>
          <w:p w14:paraId="75D6300C" w14:textId="77777777" w:rsidR="00286F7D" w:rsidRPr="00286F7D" w:rsidRDefault="00286F7D" w:rsidP="00286F7D">
            <w:pPr>
              <w:pStyle w:val="Texttabulky"/>
              <w:spacing w:after="0"/>
              <w:rPr>
                <w:rFonts w:cs="Arial"/>
              </w:rPr>
            </w:pPr>
            <w:r w:rsidRPr="00286F7D">
              <w:rPr>
                <w:rFonts w:cs="Arial"/>
              </w:rPr>
              <w:t>20</w:t>
            </w:r>
          </w:p>
        </w:tc>
        <w:tc>
          <w:tcPr>
            <w:tcW w:w="993" w:type="dxa"/>
            <w:tcBorders>
              <w:top w:val="single" w:sz="6" w:space="0" w:color="auto"/>
              <w:left w:val="single" w:sz="6" w:space="0" w:color="auto"/>
              <w:bottom w:val="single" w:sz="6" w:space="0" w:color="auto"/>
              <w:right w:val="single" w:sz="6" w:space="0" w:color="auto"/>
            </w:tcBorders>
          </w:tcPr>
          <w:p w14:paraId="34FE44A8" w14:textId="77777777" w:rsidR="00286F7D" w:rsidRPr="00286F7D" w:rsidRDefault="00286F7D" w:rsidP="00286F7D">
            <w:pPr>
              <w:pStyle w:val="Texttabulky"/>
              <w:spacing w:after="0"/>
              <w:rPr>
                <w:rFonts w:cs="Arial"/>
              </w:rPr>
            </w:pPr>
            <w:r w:rsidRPr="00286F7D">
              <w:rPr>
                <w:rFonts w:cs="Arial"/>
              </w:rPr>
              <w:t>212</w:t>
            </w:r>
          </w:p>
        </w:tc>
        <w:tc>
          <w:tcPr>
            <w:tcW w:w="2428" w:type="dxa"/>
            <w:tcBorders>
              <w:top w:val="single" w:sz="6" w:space="0" w:color="auto"/>
              <w:left w:val="single" w:sz="6" w:space="0" w:color="auto"/>
              <w:bottom w:val="single" w:sz="6" w:space="0" w:color="auto"/>
              <w:right w:val="single" w:sz="6" w:space="0" w:color="auto"/>
            </w:tcBorders>
          </w:tcPr>
          <w:p w14:paraId="199CA418"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0604CB72" w14:textId="77777777" w:rsidTr="00286F7D">
        <w:tc>
          <w:tcPr>
            <w:tcW w:w="426" w:type="dxa"/>
            <w:tcBorders>
              <w:top w:val="single" w:sz="6" w:space="0" w:color="auto"/>
              <w:left w:val="single" w:sz="6" w:space="0" w:color="auto"/>
              <w:bottom w:val="single" w:sz="6" w:space="0" w:color="auto"/>
              <w:right w:val="single" w:sz="6" w:space="0" w:color="auto"/>
            </w:tcBorders>
          </w:tcPr>
          <w:p w14:paraId="7B9D2A33" w14:textId="77777777" w:rsidR="00286F7D" w:rsidRPr="00286F7D" w:rsidRDefault="00286F7D" w:rsidP="00286F7D">
            <w:pPr>
              <w:pStyle w:val="Texttabulky"/>
              <w:spacing w:after="0"/>
              <w:jc w:val="right"/>
              <w:rPr>
                <w:rFonts w:cs="Arial"/>
              </w:rPr>
            </w:pPr>
            <w:r w:rsidRPr="00286F7D">
              <w:rPr>
                <w:rFonts w:cs="Arial"/>
              </w:rPr>
              <w:t>58</w:t>
            </w:r>
          </w:p>
        </w:tc>
        <w:tc>
          <w:tcPr>
            <w:tcW w:w="1984" w:type="dxa"/>
            <w:tcBorders>
              <w:top w:val="single" w:sz="6" w:space="0" w:color="auto"/>
              <w:left w:val="single" w:sz="6" w:space="0" w:color="auto"/>
              <w:bottom w:val="single" w:sz="6" w:space="0" w:color="auto"/>
              <w:right w:val="single" w:sz="6" w:space="0" w:color="auto"/>
            </w:tcBorders>
          </w:tcPr>
          <w:p w14:paraId="5768DC50" w14:textId="77777777" w:rsidR="00286F7D" w:rsidRPr="00286F7D" w:rsidRDefault="00286F7D" w:rsidP="00286F7D">
            <w:pPr>
              <w:pStyle w:val="Texttabulky"/>
              <w:spacing w:after="0"/>
              <w:rPr>
                <w:rFonts w:cs="Arial"/>
              </w:rPr>
            </w:pPr>
            <w:r w:rsidRPr="00286F7D">
              <w:rPr>
                <w:rFonts w:cs="Arial"/>
              </w:rPr>
              <w:t>Jakuby</w:t>
            </w:r>
          </w:p>
        </w:tc>
        <w:tc>
          <w:tcPr>
            <w:tcW w:w="838" w:type="dxa"/>
            <w:tcBorders>
              <w:top w:val="single" w:sz="6" w:space="0" w:color="auto"/>
              <w:left w:val="single" w:sz="6" w:space="0" w:color="auto"/>
              <w:bottom w:val="single" w:sz="6" w:space="0" w:color="auto"/>
              <w:right w:val="single" w:sz="6" w:space="0" w:color="auto"/>
            </w:tcBorders>
          </w:tcPr>
          <w:p w14:paraId="6CD8D794" w14:textId="77777777" w:rsidR="00286F7D" w:rsidRPr="00286F7D" w:rsidRDefault="00286F7D" w:rsidP="00286F7D">
            <w:pPr>
              <w:pStyle w:val="Texttabulky"/>
              <w:spacing w:after="0"/>
              <w:rPr>
                <w:rFonts w:cs="Arial"/>
              </w:rPr>
            </w:pPr>
            <w:r w:rsidRPr="00286F7D">
              <w:rPr>
                <w:rFonts w:cs="Arial"/>
              </w:rPr>
              <w:t>-20</w:t>
            </w:r>
          </w:p>
        </w:tc>
        <w:tc>
          <w:tcPr>
            <w:tcW w:w="856" w:type="dxa"/>
            <w:tcBorders>
              <w:top w:val="single" w:sz="6" w:space="0" w:color="auto"/>
              <w:left w:val="single" w:sz="6" w:space="0" w:color="auto"/>
              <w:bottom w:val="single" w:sz="6" w:space="0" w:color="auto"/>
              <w:right w:val="single" w:sz="6" w:space="0" w:color="auto"/>
            </w:tcBorders>
          </w:tcPr>
          <w:p w14:paraId="55D345E5"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252D4938"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555EB9D1" w14:textId="77777777" w:rsidR="00286F7D" w:rsidRPr="00286F7D" w:rsidRDefault="00286F7D" w:rsidP="00286F7D">
            <w:pPr>
              <w:pStyle w:val="Texttabulky"/>
              <w:spacing w:after="0"/>
              <w:rPr>
                <w:rFonts w:cs="Arial"/>
              </w:rPr>
            </w:pPr>
            <w:r w:rsidRPr="00286F7D">
              <w:rPr>
                <w:rFonts w:cs="Arial"/>
              </w:rPr>
              <w:t>-20</w:t>
            </w:r>
          </w:p>
        </w:tc>
        <w:tc>
          <w:tcPr>
            <w:tcW w:w="2428" w:type="dxa"/>
            <w:tcBorders>
              <w:top w:val="single" w:sz="6" w:space="0" w:color="auto"/>
              <w:left w:val="single" w:sz="6" w:space="0" w:color="auto"/>
              <w:bottom w:val="single" w:sz="6" w:space="0" w:color="auto"/>
              <w:right w:val="single" w:sz="6" w:space="0" w:color="auto"/>
            </w:tcBorders>
          </w:tcPr>
          <w:p w14:paraId="2E0B63EA"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64677B62" w14:textId="77777777" w:rsidTr="00286F7D">
        <w:tc>
          <w:tcPr>
            <w:tcW w:w="426" w:type="dxa"/>
            <w:tcBorders>
              <w:top w:val="single" w:sz="6" w:space="0" w:color="auto"/>
              <w:left w:val="single" w:sz="6" w:space="0" w:color="auto"/>
              <w:bottom w:val="single" w:sz="6" w:space="0" w:color="auto"/>
              <w:right w:val="single" w:sz="6" w:space="0" w:color="auto"/>
            </w:tcBorders>
          </w:tcPr>
          <w:p w14:paraId="00FD9A2D" w14:textId="77777777" w:rsidR="00286F7D" w:rsidRPr="00286F7D" w:rsidRDefault="00286F7D" w:rsidP="00286F7D">
            <w:pPr>
              <w:pStyle w:val="Texttabulky"/>
              <w:spacing w:after="0"/>
              <w:jc w:val="right"/>
              <w:rPr>
                <w:rFonts w:cs="Arial"/>
              </w:rPr>
            </w:pPr>
            <w:r w:rsidRPr="00286F7D">
              <w:rPr>
                <w:rFonts w:cs="Arial"/>
              </w:rPr>
              <w:t>66</w:t>
            </w:r>
          </w:p>
        </w:tc>
        <w:tc>
          <w:tcPr>
            <w:tcW w:w="1984" w:type="dxa"/>
            <w:tcBorders>
              <w:top w:val="single" w:sz="6" w:space="0" w:color="auto"/>
              <w:left w:val="single" w:sz="6" w:space="0" w:color="auto"/>
              <w:bottom w:val="single" w:sz="6" w:space="0" w:color="auto"/>
              <w:right w:val="single" w:sz="6" w:space="0" w:color="auto"/>
            </w:tcBorders>
          </w:tcPr>
          <w:p w14:paraId="1C1067F2" w14:textId="77777777" w:rsidR="00286F7D" w:rsidRPr="00286F7D" w:rsidRDefault="00286F7D" w:rsidP="00286F7D">
            <w:pPr>
              <w:pStyle w:val="Texttabulky"/>
              <w:spacing w:after="0"/>
              <w:rPr>
                <w:rFonts w:cs="Arial"/>
              </w:rPr>
            </w:pPr>
            <w:r w:rsidRPr="00286F7D">
              <w:rPr>
                <w:rFonts w:cs="Arial"/>
              </w:rPr>
              <w:t>prům. obvod Křešice</w:t>
            </w:r>
          </w:p>
        </w:tc>
        <w:tc>
          <w:tcPr>
            <w:tcW w:w="838" w:type="dxa"/>
            <w:tcBorders>
              <w:top w:val="single" w:sz="6" w:space="0" w:color="auto"/>
              <w:left w:val="single" w:sz="6" w:space="0" w:color="auto"/>
              <w:bottom w:val="single" w:sz="6" w:space="0" w:color="auto"/>
              <w:right w:val="single" w:sz="6" w:space="0" w:color="auto"/>
            </w:tcBorders>
          </w:tcPr>
          <w:p w14:paraId="3C708037" w14:textId="77777777" w:rsidR="00286F7D" w:rsidRPr="00286F7D" w:rsidRDefault="00286F7D" w:rsidP="00286F7D">
            <w:pPr>
              <w:pStyle w:val="Texttabulky"/>
              <w:spacing w:after="0"/>
              <w:rPr>
                <w:rFonts w:cs="Arial"/>
              </w:rPr>
            </w:pPr>
            <w:r w:rsidRPr="00286F7D">
              <w:rPr>
                <w:rFonts w:cs="Arial"/>
              </w:rPr>
              <w:t>-70</w:t>
            </w:r>
          </w:p>
        </w:tc>
        <w:tc>
          <w:tcPr>
            <w:tcW w:w="856" w:type="dxa"/>
            <w:tcBorders>
              <w:top w:val="single" w:sz="6" w:space="0" w:color="auto"/>
              <w:left w:val="single" w:sz="6" w:space="0" w:color="auto"/>
              <w:bottom w:val="single" w:sz="6" w:space="0" w:color="auto"/>
              <w:right w:val="single" w:sz="6" w:space="0" w:color="auto"/>
            </w:tcBorders>
          </w:tcPr>
          <w:p w14:paraId="42F38008"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12837DFD" w14:textId="77777777" w:rsidR="00286F7D" w:rsidRPr="00286F7D" w:rsidRDefault="00286F7D" w:rsidP="00286F7D">
            <w:pPr>
              <w:pStyle w:val="Texttabulky"/>
              <w:spacing w:after="0"/>
              <w:rPr>
                <w:rFonts w:cs="Arial"/>
              </w:rPr>
            </w:pPr>
            <w:r w:rsidRPr="00286F7D">
              <w:rPr>
                <w:rFonts w:cs="Arial"/>
              </w:rPr>
              <w:t>250</w:t>
            </w:r>
          </w:p>
        </w:tc>
        <w:tc>
          <w:tcPr>
            <w:tcW w:w="993" w:type="dxa"/>
            <w:tcBorders>
              <w:top w:val="single" w:sz="6" w:space="0" w:color="auto"/>
              <w:left w:val="single" w:sz="6" w:space="0" w:color="auto"/>
              <w:bottom w:val="single" w:sz="6" w:space="0" w:color="auto"/>
              <w:right w:val="single" w:sz="6" w:space="0" w:color="auto"/>
            </w:tcBorders>
          </w:tcPr>
          <w:p w14:paraId="59850689" w14:textId="77777777" w:rsidR="00286F7D" w:rsidRPr="00286F7D" w:rsidRDefault="00286F7D" w:rsidP="00286F7D">
            <w:pPr>
              <w:pStyle w:val="Texttabulky"/>
              <w:spacing w:after="0"/>
              <w:rPr>
                <w:rFonts w:cs="Arial"/>
              </w:rPr>
            </w:pPr>
            <w:r w:rsidRPr="00286F7D">
              <w:rPr>
                <w:rFonts w:cs="Arial"/>
              </w:rPr>
              <w:t>180</w:t>
            </w:r>
          </w:p>
        </w:tc>
        <w:tc>
          <w:tcPr>
            <w:tcW w:w="2428" w:type="dxa"/>
            <w:tcBorders>
              <w:top w:val="single" w:sz="6" w:space="0" w:color="auto"/>
              <w:left w:val="single" w:sz="6" w:space="0" w:color="auto"/>
              <w:bottom w:val="single" w:sz="6" w:space="0" w:color="auto"/>
              <w:right w:val="single" w:sz="6" w:space="0" w:color="auto"/>
            </w:tcBorders>
          </w:tcPr>
          <w:p w14:paraId="5F589560"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7FD7D75B" w14:textId="77777777" w:rsidTr="00286F7D">
        <w:tc>
          <w:tcPr>
            <w:tcW w:w="426" w:type="dxa"/>
            <w:tcBorders>
              <w:top w:val="single" w:sz="6" w:space="0" w:color="auto"/>
              <w:left w:val="single" w:sz="6" w:space="0" w:color="auto"/>
              <w:bottom w:val="single" w:sz="6" w:space="0" w:color="auto"/>
              <w:right w:val="single" w:sz="6" w:space="0" w:color="auto"/>
            </w:tcBorders>
          </w:tcPr>
          <w:p w14:paraId="70F553F0" w14:textId="77777777" w:rsidR="00286F7D" w:rsidRPr="00286F7D" w:rsidRDefault="00286F7D" w:rsidP="00286F7D">
            <w:pPr>
              <w:pStyle w:val="Texttabulky"/>
              <w:spacing w:after="0"/>
              <w:jc w:val="right"/>
              <w:rPr>
                <w:rFonts w:cs="Arial"/>
              </w:rPr>
            </w:pPr>
            <w:r w:rsidRPr="00286F7D">
              <w:rPr>
                <w:rFonts w:cs="Arial"/>
              </w:rPr>
              <w:t>67</w:t>
            </w:r>
          </w:p>
        </w:tc>
        <w:tc>
          <w:tcPr>
            <w:tcW w:w="1984" w:type="dxa"/>
            <w:tcBorders>
              <w:top w:val="single" w:sz="6" w:space="0" w:color="auto"/>
              <w:left w:val="single" w:sz="6" w:space="0" w:color="auto"/>
              <w:bottom w:val="single" w:sz="6" w:space="0" w:color="auto"/>
              <w:right w:val="single" w:sz="6" w:space="0" w:color="auto"/>
            </w:tcBorders>
          </w:tcPr>
          <w:p w14:paraId="0EA20943" w14:textId="77777777" w:rsidR="00286F7D" w:rsidRPr="00286F7D" w:rsidRDefault="00286F7D" w:rsidP="00286F7D">
            <w:pPr>
              <w:pStyle w:val="Texttabulky"/>
              <w:spacing w:after="0"/>
              <w:rPr>
                <w:rFonts w:cs="Arial"/>
              </w:rPr>
            </w:pPr>
            <w:r w:rsidRPr="00286F7D">
              <w:rPr>
                <w:rFonts w:cs="Arial"/>
              </w:rPr>
              <w:t>Labská niva</w:t>
            </w:r>
          </w:p>
        </w:tc>
        <w:tc>
          <w:tcPr>
            <w:tcW w:w="838" w:type="dxa"/>
            <w:tcBorders>
              <w:top w:val="single" w:sz="6" w:space="0" w:color="auto"/>
              <w:left w:val="single" w:sz="6" w:space="0" w:color="auto"/>
              <w:bottom w:val="single" w:sz="6" w:space="0" w:color="auto"/>
              <w:right w:val="single" w:sz="6" w:space="0" w:color="auto"/>
            </w:tcBorders>
          </w:tcPr>
          <w:p w14:paraId="794A188B" w14:textId="77777777" w:rsidR="00286F7D" w:rsidRPr="00286F7D" w:rsidRDefault="00286F7D" w:rsidP="00286F7D">
            <w:pPr>
              <w:pStyle w:val="Texttabulky"/>
              <w:spacing w:after="0"/>
              <w:rPr>
                <w:rFonts w:cs="Arial"/>
              </w:rPr>
            </w:pPr>
            <w:r w:rsidRPr="00286F7D">
              <w:rPr>
                <w:rFonts w:cs="Arial"/>
              </w:rPr>
              <w:t>0</w:t>
            </w:r>
          </w:p>
        </w:tc>
        <w:tc>
          <w:tcPr>
            <w:tcW w:w="856" w:type="dxa"/>
            <w:tcBorders>
              <w:top w:val="single" w:sz="6" w:space="0" w:color="auto"/>
              <w:left w:val="single" w:sz="6" w:space="0" w:color="auto"/>
              <w:bottom w:val="single" w:sz="6" w:space="0" w:color="auto"/>
              <w:right w:val="single" w:sz="6" w:space="0" w:color="auto"/>
            </w:tcBorders>
          </w:tcPr>
          <w:p w14:paraId="2A9C7818"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4FB80443" w14:textId="77777777" w:rsidR="00286F7D" w:rsidRPr="00286F7D" w:rsidRDefault="00286F7D" w:rsidP="00286F7D">
            <w:pPr>
              <w:pStyle w:val="Texttabulky"/>
              <w:spacing w:after="0"/>
              <w:rPr>
                <w:rFonts w:cs="Arial"/>
              </w:rPr>
            </w:pPr>
            <w:r w:rsidRPr="00286F7D">
              <w:rPr>
                <w:rFonts w:cs="Arial"/>
              </w:rPr>
              <w:t>-300</w:t>
            </w:r>
          </w:p>
        </w:tc>
        <w:tc>
          <w:tcPr>
            <w:tcW w:w="993" w:type="dxa"/>
            <w:tcBorders>
              <w:top w:val="single" w:sz="6" w:space="0" w:color="auto"/>
              <w:left w:val="single" w:sz="6" w:space="0" w:color="auto"/>
              <w:bottom w:val="single" w:sz="6" w:space="0" w:color="auto"/>
              <w:right w:val="single" w:sz="6" w:space="0" w:color="auto"/>
            </w:tcBorders>
          </w:tcPr>
          <w:p w14:paraId="61886C7C" w14:textId="77777777" w:rsidR="00286F7D" w:rsidRPr="00286F7D" w:rsidRDefault="00286F7D" w:rsidP="00286F7D">
            <w:pPr>
              <w:pStyle w:val="Texttabulky"/>
              <w:spacing w:after="0"/>
              <w:rPr>
                <w:rFonts w:cs="Arial"/>
              </w:rPr>
            </w:pPr>
            <w:r w:rsidRPr="00286F7D">
              <w:rPr>
                <w:rFonts w:cs="Arial"/>
              </w:rPr>
              <w:t>-300</w:t>
            </w:r>
          </w:p>
        </w:tc>
        <w:tc>
          <w:tcPr>
            <w:tcW w:w="2428" w:type="dxa"/>
            <w:tcBorders>
              <w:top w:val="single" w:sz="6" w:space="0" w:color="auto"/>
              <w:left w:val="single" w:sz="6" w:space="0" w:color="auto"/>
              <w:bottom w:val="single" w:sz="6" w:space="0" w:color="auto"/>
              <w:right w:val="single" w:sz="6" w:space="0" w:color="auto"/>
            </w:tcBorders>
          </w:tcPr>
          <w:p w14:paraId="49B6AB56" w14:textId="77777777" w:rsidR="00286F7D" w:rsidRPr="00286F7D" w:rsidRDefault="00286F7D" w:rsidP="00286F7D">
            <w:pPr>
              <w:pStyle w:val="Texttabulky"/>
              <w:spacing w:after="0"/>
              <w:rPr>
                <w:rFonts w:cs="Arial"/>
              </w:rPr>
            </w:pPr>
            <w:r w:rsidRPr="00286F7D">
              <w:rPr>
                <w:rFonts w:cs="Arial"/>
              </w:rPr>
              <w:t>nutno řešit nové firmy</w:t>
            </w:r>
          </w:p>
        </w:tc>
      </w:tr>
      <w:tr w:rsidR="00286F7D" w:rsidRPr="00286F7D" w14:paraId="01031887" w14:textId="77777777" w:rsidTr="00286F7D">
        <w:tc>
          <w:tcPr>
            <w:tcW w:w="426" w:type="dxa"/>
            <w:tcBorders>
              <w:top w:val="single" w:sz="6" w:space="0" w:color="auto"/>
              <w:left w:val="single" w:sz="6" w:space="0" w:color="auto"/>
              <w:bottom w:val="single" w:sz="6" w:space="0" w:color="auto"/>
              <w:right w:val="single" w:sz="6" w:space="0" w:color="auto"/>
            </w:tcBorders>
          </w:tcPr>
          <w:p w14:paraId="166DCB73" w14:textId="77777777" w:rsidR="00286F7D" w:rsidRPr="00286F7D" w:rsidRDefault="00286F7D" w:rsidP="00286F7D">
            <w:pPr>
              <w:pStyle w:val="Texttabulky"/>
              <w:spacing w:after="0"/>
              <w:jc w:val="right"/>
              <w:rPr>
                <w:rFonts w:cs="Arial"/>
              </w:rPr>
            </w:pPr>
            <w:r w:rsidRPr="00286F7D">
              <w:rPr>
                <w:rFonts w:cs="Arial"/>
              </w:rPr>
              <w:t>68</w:t>
            </w:r>
          </w:p>
        </w:tc>
        <w:tc>
          <w:tcPr>
            <w:tcW w:w="1984" w:type="dxa"/>
            <w:tcBorders>
              <w:top w:val="single" w:sz="6" w:space="0" w:color="auto"/>
              <w:left w:val="single" w:sz="6" w:space="0" w:color="auto"/>
              <w:bottom w:val="single" w:sz="6" w:space="0" w:color="auto"/>
              <w:right w:val="single" w:sz="6" w:space="0" w:color="auto"/>
            </w:tcBorders>
          </w:tcPr>
          <w:p w14:paraId="0D22CB54" w14:textId="77777777" w:rsidR="00286F7D" w:rsidRPr="00286F7D" w:rsidRDefault="00286F7D" w:rsidP="00286F7D">
            <w:pPr>
              <w:pStyle w:val="Texttabulky"/>
              <w:spacing w:after="0"/>
              <w:rPr>
                <w:rFonts w:cs="Arial"/>
              </w:rPr>
            </w:pPr>
            <w:r w:rsidRPr="00286F7D">
              <w:rPr>
                <w:rFonts w:cs="Arial"/>
              </w:rPr>
              <w:t>prům.obv. Boletice</w:t>
            </w:r>
          </w:p>
        </w:tc>
        <w:tc>
          <w:tcPr>
            <w:tcW w:w="838" w:type="dxa"/>
            <w:tcBorders>
              <w:top w:val="single" w:sz="6" w:space="0" w:color="auto"/>
              <w:left w:val="single" w:sz="6" w:space="0" w:color="auto"/>
              <w:bottom w:val="single" w:sz="6" w:space="0" w:color="auto"/>
              <w:right w:val="single" w:sz="6" w:space="0" w:color="auto"/>
            </w:tcBorders>
          </w:tcPr>
          <w:p w14:paraId="0ADF131C" w14:textId="77777777" w:rsidR="00286F7D" w:rsidRPr="00286F7D" w:rsidRDefault="00286F7D" w:rsidP="00286F7D">
            <w:pPr>
              <w:pStyle w:val="Texttabulky"/>
              <w:spacing w:after="0"/>
              <w:rPr>
                <w:rFonts w:cs="Arial"/>
              </w:rPr>
            </w:pPr>
            <w:r w:rsidRPr="00286F7D">
              <w:rPr>
                <w:rFonts w:cs="Arial"/>
              </w:rPr>
              <w:t>0</w:t>
            </w:r>
          </w:p>
        </w:tc>
        <w:tc>
          <w:tcPr>
            <w:tcW w:w="856" w:type="dxa"/>
            <w:tcBorders>
              <w:top w:val="single" w:sz="6" w:space="0" w:color="auto"/>
              <w:left w:val="single" w:sz="6" w:space="0" w:color="auto"/>
              <w:bottom w:val="single" w:sz="6" w:space="0" w:color="auto"/>
              <w:right w:val="single" w:sz="6" w:space="0" w:color="auto"/>
            </w:tcBorders>
          </w:tcPr>
          <w:p w14:paraId="2AECD87D"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5B39F98B" w14:textId="77777777" w:rsidR="00286F7D" w:rsidRPr="00286F7D" w:rsidRDefault="00286F7D" w:rsidP="00286F7D">
            <w:pPr>
              <w:pStyle w:val="Texttabulky"/>
              <w:spacing w:after="0"/>
              <w:rPr>
                <w:rFonts w:cs="Arial"/>
              </w:rPr>
            </w:pPr>
            <w:r w:rsidRPr="00286F7D">
              <w:rPr>
                <w:rFonts w:cs="Arial"/>
              </w:rPr>
              <w:t>955</w:t>
            </w:r>
          </w:p>
        </w:tc>
        <w:tc>
          <w:tcPr>
            <w:tcW w:w="993" w:type="dxa"/>
            <w:tcBorders>
              <w:top w:val="single" w:sz="6" w:space="0" w:color="auto"/>
              <w:left w:val="single" w:sz="6" w:space="0" w:color="auto"/>
              <w:bottom w:val="single" w:sz="6" w:space="0" w:color="auto"/>
              <w:right w:val="single" w:sz="6" w:space="0" w:color="auto"/>
            </w:tcBorders>
          </w:tcPr>
          <w:p w14:paraId="5A2723EF" w14:textId="77777777" w:rsidR="00286F7D" w:rsidRPr="00286F7D" w:rsidRDefault="00286F7D" w:rsidP="00286F7D">
            <w:pPr>
              <w:pStyle w:val="Texttabulky"/>
              <w:spacing w:after="0"/>
              <w:rPr>
                <w:rFonts w:cs="Arial"/>
              </w:rPr>
            </w:pPr>
            <w:r w:rsidRPr="00286F7D">
              <w:rPr>
                <w:rFonts w:cs="Arial"/>
              </w:rPr>
              <w:t>955</w:t>
            </w:r>
          </w:p>
        </w:tc>
        <w:tc>
          <w:tcPr>
            <w:tcW w:w="2428" w:type="dxa"/>
            <w:tcBorders>
              <w:top w:val="single" w:sz="6" w:space="0" w:color="auto"/>
              <w:left w:val="single" w:sz="6" w:space="0" w:color="auto"/>
              <w:bottom w:val="single" w:sz="6" w:space="0" w:color="auto"/>
              <w:right w:val="single" w:sz="6" w:space="0" w:color="auto"/>
            </w:tcBorders>
          </w:tcPr>
          <w:p w14:paraId="2A9A6AE2"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01D0B5A9" w14:textId="77777777" w:rsidTr="00286F7D">
        <w:tc>
          <w:tcPr>
            <w:tcW w:w="426" w:type="dxa"/>
            <w:tcBorders>
              <w:top w:val="single" w:sz="6" w:space="0" w:color="auto"/>
              <w:left w:val="single" w:sz="6" w:space="0" w:color="auto"/>
              <w:bottom w:val="single" w:sz="6" w:space="0" w:color="auto"/>
              <w:right w:val="single" w:sz="6" w:space="0" w:color="auto"/>
            </w:tcBorders>
          </w:tcPr>
          <w:p w14:paraId="6ED09DE6" w14:textId="77777777" w:rsidR="00286F7D" w:rsidRPr="00286F7D" w:rsidRDefault="00286F7D" w:rsidP="00286F7D">
            <w:pPr>
              <w:pStyle w:val="Texttabulky"/>
              <w:spacing w:after="0"/>
              <w:rPr>
                <w:rFonts w:cs="Arial"/>
              </w:rPr>
            </w:pPr>
            <w:r w:rsidRPr="00286F7D">
              <w:rPr>
                <w:rFonts w:cs="Arial"/>
                <w:b/>
                <w:bCs/>
              </w:rPr>
              <w:t xml:space="preserve"> VII</w:t>
            </w:r>
          </w:p>
        </w:tc>
        <w:tc>
          <w:tcPr>
            <w:tcW w:w="1984" w:type="dxa"/>
            <w:tcBorders>
              <w:top w:val="single" w:sz="6" w:space="0" w:color="auto"/>
              <w:left w:val="single" w:sz="6" w:space="0" w:color="auto"/>
              <w:bottom w:val="single" w:sz="6" w:space="0" w:color="auto"/>
              <w:right w:val="single" w:sz="6" w:space="0" w:color="auto"/>
            </w:tcBorders>
          </w:tcPr>
          <w:p w14:paraId="54467CDC" w14:textId="77777777" w:rsidR="00286F7D" w:rsidRPr="00286F7D" w:rsidRDefault="00286F7D" w:rsidP="00286F7D">
            <w:pPr>
              <w:pStyle w:val="Texttabulky"/>
              <w:spacing w:after="0"/>
              <w:rPr>
                <w:rFonts w:cs="Arial"/>
              </w:rPr>
            </w:pPr>
            <w:r w:rsidRPr="00286F7D">
              <w:rPr>
                <w:rFonts w:cs="Arial"/>
                <w:b/>
                <w:bCs/>
                <w:caps/>
              </w:rPr>
              <w:t>sektor celkem</w:t>
            </w:r>
          </w:p>
        </w:tc>
        <w:tc>
          <w:tcPr>
            <w:tcW w:w="838" w:type="dxa"/>
            <w:tcBorders>
              <w:top w:val="single" w:sz="6" w:space="0" w:color="auto"/>
              <w:left w:val="single" w:sz="6" w:space="0" w:color="auto"/>
              <w:bottom w:val="single" w:sz="6" w:space="0" w:color="auto"/>
              <w:right w:val="single" w:sz="6" w:space="0" w:color="auto"/>
            </w:tcBorders>
          </w:tcPr>
          <w:p w14:paraId="2F30F67D" w14:textId="77777777" w:rsidR="00286F7D" w:rsidRPr="00286F7D" w:rsidRDefault="00286F7D" w:rsidP="00286F7D">
            <w:pPr>
              <w:pStyle w:val="Texttabulky"/>
              <w:spacing w:after="0"/>
              <w:rPr>
                <w:rFonts w:cs="Arial"/>
              </w:rPr>
            </w:pPr>
            <w:r w:rsidRPr="00286F7D">
              <w:rPr>
                <w:rFonts w:cs="Arial"/>
                <w:b/>
                <w:bCs/>
              </w:rPr>
              <w:t>-470</w:t>
            </w:r>
          </w:p>
        </w:tc>
        <w:tc>
          <w:tcPr>
            <w:tcW w:w="856" w:type="dxa"/>
            <w:tcBorders>
              <w:top w:val="single" w:sz="6" w:space="0" w:color="auto"/>
              <w:left w:val="single" w:sz="6" w:space="0" w:color="auto"/>
              <w:bottom w:val="single" w:sz="6" w:space="0" w:color="auto"/>
              <w:right w:val="single" w:sz="6" w:space="0" w:color="auto"/>
            </w:tcBorders>
          </w:tcPr>
          <w:p w14:paraId="046CE8D7" w14:textId="77777777" w:rsidR="00286F7D" w:rsidRPr="00286F7D" w:rsidRDefault="00286F7D" w:rsidP="00286F7D">
            <w:pPr>
              <w:pStyle w:val="Texttabulky"/>
              <w:spacing w:after="0"/>
              <w:rPr>
                <w:rFonts w:cs="Arial"/>
              </w:rPr>
            </w:pPr>
            <w:r w:rsidRPr="00286F7D">
              <w:rPr>
                <w:rFonts w:cs="Arial"/>
                <w:b/>
                <w:bCs/>
              </w:rPr>
              <w:t>- 608</w:t>
            </w:r>
          </w:p>
        </w:tc>
        <w:tc>
          <w:tcPr>
            <w:tcW w:w="999" w:type="dxa"/>
            <w:tcBorders>
              <w:top w:val="single" w:sz="6" w:space="0" w:color="auto"/>
              <w:left w:val="single" w:sz="6" w:space="0" w:color="auto"/>
              <w:bottom w:val="single" w:sz="6" w:space="0" w:color="auto"/>
              <w:right w:val="single" w:sz="6" w:space="0" w:color="auto"/>
            </w:tcBorders>
          </w:tcPr>
          <w:p w14:paraId="612D21E5" w14:textId="77777777" w:rsidR="00286F7D" w:rsidRPr="00286F7D" w:rsidRDefault="00286F7D" w:rsidP="00286F7D">
            <w:pPr>
              <w:pStyle w:val="Texttabulky"/>
              <w:spacing w:after="0"/>
              <w:rPr>
                <w:rFonts w:cs="Arial"/>
              </w:rPr>
            </w:pPr>
            <w:r w:rsidRPr="00286F7D">
              <w:rPr>
                <w:rFonts w:cs="Arial"/>
                <w:b/>
                <w:bCs/>
              </w:rPr>
              <w:t>925</w:t>
            </w:r>
          </w:p>
        </w:tc>
        <w:tc>
          <w:tcPr>
            <w:tcW w:w="993" w:type="dxa"/>
            <w:tcBorders>
              <w:top w:val="single" w:sz="6" w:space="0" w:color="auto"/>
              <w:left w:val="single" w:sz="6" w:space="0" w:color="auto"/>
              <w:bottom w:val="single" w:sz="6" w:space="0" w:color="auto"/>
              <w:right w:val="single" w:sz="6" w:space="0" w:color="auto"/>
            </w:tcBorders>
          </w:tcPr>
          <w:p w14:paraId="1B7A4B53" w14:textId="77777777" w:rsidR="00286F7D" w:rsidRPr="00286F7D" w:rsidRDefault="00286F7D" w:rsidP="00286F7D">
            <w:pPr>
              <w:pStyle w:val="Texttabulky"/>
              <w:spacing w:after="0"/>
              <w:rPr>
                <w:rFonts w:cs="Arial"/>
              </w:rPr>
            </w:pPr>
            <w:r w:rsidRPr="00286F7D">
              <w:rPr>
                <w:rFonts w:cs="Arial"/>
                <w:b/>
                <w:bCs/>
              </w:rPr>
              <w:t>- 153</w:t>
            </w:r>
          </w:p>
        </w:tc>
        <w:tc>
          <w:tcPr>
            <w:tcW w:w="2428" w:type="dxa"/>
            <w:tcBorders>
              <w:top w:val="single" w:sz="6" w:space="0" w:color="auto"/>
              <w:left w:val="single" w:sz="6" w:space="0" w:color="auto"/>
              <w:bottom w:val="single" w:sz="6" w:space="0" w:color="auto"/>
              <w:right w:val="single" w:sz="6" w:space="0" w:color="auto"/>
            </w:tcBorders>
          </w:tcPr>
          <w:p w14:paraId="3DA86FAB" w14:textId="77777777" w:rsidR="00286F7D" w:rsidRPr="00286F7D" w:rsidRDefault="00286F7D" w:rsidP="00286F7D">
            <w:pPr>
              <w:pStyle w:val="Zkladntext"/>
              <w:spacing w:after="0"/>
              <w:rPr>
                <w:rFonts w:ascii="Arial" w:hAnsi="Arial" w:cs="Arial"/>
              </w:rPr>
            </w:pPr>
          </w:p>
        </w:tc>
      </w:tr>
      <w:tr w:rsidR="00286F7D" w:rsidRPr="00286F7D" w14:paraId="07EA5C50" w14:textId="77777777" w:rsidTr="00286F7D">
        <w:tc>
          <w:tcPr>
            <w:tcW w:w="426" w:type="dxa"/>
            <w:tcBorders>
              <w:top w:val="single" w:sz="6" w:space="0" w:color="auto"/>
              <w:left w:val="single" w:sz="6" w:space="0" w:color="auto"/>
              <w:bottom w:val="single" w:sz="6" w:space="0" w:color="auto"/>
              <w:right w:val="single" w:sz="6" w:space="0" w:color="auto"/>
            </w:tcBorders>
          </w:tcPr>
          <w:p w14:paraId="3ED5D343" w14:textId="77777777" w:rsidR="00286F7D" w:rsidRPr="00286F7D" w:rsidRDefault="00286F7D" w:rsidP="00286F7D">
            <w:pPr>
              <w:pStyle w:val="Texttabulky"/>
              <w:spacing w:after="0"/>
              <w:jc w:val="right"/>
              <w:rPr>
                <w:rFonts w:cs="Arial"/>
              </w:rPr>
            </w:pPr>
            <w:r w:rsidRPr="00286F7D">
              <w:rPr>
                <w:rFonts w:cs="Arial"/>
              </w:rPr>
              <w:t>34</w:t>
            </w:r>
          </w:p>
        </w:tc>
        <w:tc>
          <w:tcPr>
            <w:tcW w:w="1984" w:type="dxa"/>
            <w:tcBorders>
              <w:top w:val="single" w:sz="6" w:space="0" w:color="auto"/>
              <w:left w:val="single" w:sz="6" w:space="0" w:color="auto"/>
              <w:bottom w:val="single" w:sz="6" w:space="0" w:color="auto"/>
              <w:right w:val="single" w:sz="6" w:space="0" w:color="auto"/>
            </w:tcBorders>
          </w:tcPr>
          <w:p w14:paraId="2C167408" w14:textId="77777777" w:rsidR="00286F7D" w:rsidRPr="00286F7D" w:rsidRDefault="00286F7D" w:rsidP="00286F7D">
            <w:pPr>
              <w:pStyle w:val="Texttabulky"/>
              <w:spacing w:after="0"/>
              <w:rPr>
                <w:rFonts w:cs="Arial"/>
              </w:rPr>
            </w:pPr>
            <w:r w:rsidRPr="00286F7D">
              <w:rPr>
                <w:rFonts w:cs="Arial"/>
              </w:rPr>
              <w:t>Kristin Hrádek</w:t>
            </w:r>
          </w:p>
        </w:tc>
        <w:tc>
          <w:tcPr>
            <w:tcW w:w="838" w:type="dxa"/>
            <w:tcBorders>
              <w:top w:val="single" w:sz="6" w:space="0" w:color="auto"/>
              <w:left w:val="single" w:sz="6" w:space="0" w:color="auto"/>
              <w:bottom w:val="single" w:sz="6" w:space="0" w:color="auto"/>
              <w:right w:val="single" w:sz="6" w:space="0" w:color="auto"/>
            </w:tcBorders>
          </w:tcPr>
          <w:p w14:paraId="746E1458" w14:textId="77777777" w:rsidR="00286F7D" w:rsidRPr="00286F7D" w:rsidRDefault="00286F7D" w:rsidP="00286F7D">
            <w:pPr>
              <w:pStyle w:val="Texttabulky"/>
              <w:spacing w:after="0"/>
              <w:rPr>
                <w:rFonts w:cs="Arial"/>
              </w:rPr>
            </w:pPr>
            <w:r w:rsidRPr="00286F7D">
              <w:rPr>
                <w:rFonts w:cs="Arial"/>
              </w:rPr>
              <w:t>0</w:t>
            </w:r>
          </w:p>
        </w:tc>
        <w:tc>
          <w:tcPr>
            <w:tcW w:w="856" w:type="dxa"/>
            <w:tcBorders>
              <w:top w:val="single" w:sz="6" w:space="0" w:color="auto"/>
              <w:left w:val="single" w:sz="6" w:space="0" w:color="auto"/>
              <w:bottom w:val="single" w:sz="6" w:space="0" w:color="auto"/>
              <w:right w:val="single" w:sz="6" w:space="0" w:color="auto"/>
            </w:tcBorders>
          </w:tcPr>
          <w:p w14:paraId="3E0F7213"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71981159"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71DE8A5A" w14:textId="77777777" w:rsidR="00286F7D" w:rsidRPr="00286F7D" w:rsidRDefault="00286F7D" w:rsidP="00286F7D">
            <w:pPr>
              <w:pStyle w:val="Texttabulky"/>
              <w:spacing w:after="0"/>
              <w:rPr>
                <w:rFonts w:cs="Arial"/>
              </w:rPr>
            </w:pPr>
            <w:r w:rsidRPr="00286F7D">
              <w:rPr>
                <w:rFonts w:cs="Arial"/>
              </w:rPr>
              <w:t>0</w:t>
            </w:r>
          </w:p>
        </w:tc>
        <w:tc>
          <w:tcPr>
            <w:tcW w:w="2428" w:type="dxa"/>
            <w:tcBorders>
              <w:top w:val="single" w:sz="6" w:space="0" w:color="auto"/>
              <w:left w:val="single" w:sz="6" w:space="0" w:color="auto"/>
              <w:bottom w:val="single" w:sz="6" w:space="0" w:color="auto"/>
              <w:right w:val="single" w:sz="6" w:space="0" w:color="auto"/>
            </w:tcBorders>
          </w:tcPr>
          <w:p w14:paraId="016E84D4" w14:textId="77777777" w:rsidR="00286F7D" w:rsidRPr="00286F7D" w:rsidRDefault="00286F7D" w:rsidP="00286F7D">
            <w:pPr>
              <w:pStyle w:val="Zkladntext"/>
              <w:spacing w:after="0"/>
              <w:rPr>
                <w:rFonts w:ascii="Arial" w:hAnsi="Arial" w:cs="Arial"/>
              </w:rPr>
            </w:pPr>
          </w:p>
        </w:tc>
      </w:tr>
      <w:tr w:rsidR="00286F7D" w:rsidRPr="00286F7D" w14:paraId="1096A45F" w14:textId="77777777" w:rsidTr="00286F7D">
        <w:tc>
          <w:tcPr>
            <w:tcW w:w="426" w:type="dxa"/>
            <w:tcBorders>
              <w:top w:val="single" w:sz="6" w:space="0" w:color="auto"/>
              <w:left w:val="single" w:sz="6" w:space="0" w:color="auto"/>
              <w:bottom w:val="single" w:sz="6" w:space="0" w:color="auto"/>
              <w:right w:val="single" w:sz="6" w:space="0" w:color="auto"/>
            </w:tcBorders>
          </w:tcPr>
          <w:p w14:paraId="44E40B62" w14:textId="77777777" w:rsidR="00286F7D" w:rsidRPr="00286F7D" w:rsidRDefault="00286F7D" w:rsidP="00286F7D">
            <w:pPr>
              <w:pStyle w:val="Texttabulky"/>
              <w:spacing w:after="0"/>
              <w:jc w:val="right"/>
              <w:rPr>
                <w:rFonts w:cs="Arial"/>
              </w:rPr>
            </w:pPr>
            <w:r w:rsidRPr="00286F7D">
              <w:rPr>
                <w:rFonts w:cs="Arial"/>
              </w:rPr>
              <w:t>35</w:t>
            </w:r>
          </w:p>
        </w:tc>
        <w:tc>
          <w:tcPr>
            <w:tcW w:w="1984" w:type="dxa"/>
            <w:tcBorders>
              <w:top w:val="single" w:sz="6" w:space="0" w:color="auto"/>
              <w:left w:val="single" w:sz="6" w:space="0" w:color="auto"/>
              <w:bottom w:val="single" w:sz="6" w:space="0" w:color="auto"/>
              <w:right w:val="single" w:sz="6" w:space="0" w:color="auto"/>
            </w:tcBorders>
          </w:tcPr>
          <w:p w14:paraId="7B9574EB" w14:textId="77777777" w:rsidR="00286F7D" w:rsidRPr="00286F7D" w:rsidRDefault="00286F7D" w:rsidP="00286F7D">
            <w:pPr>
              <w:pStyle w:val="Texttabulky"/>
              <w:spacing w:after="0"/>
              <w:rPr>
                <w:rFonts w:cs="Arial"/>
              </w:rPr>
            </w:pPr>
            <w:r w:rsidRPr="00286F7D">
              <w:rPr>
                <w:rFonts w:cs="Arial"/>
              </w:rPr>
              <w:t>Havraní vrch</w:t>
            </w:r>
          </w:p>
        </w:tc>
        <w:tc>
          <w:tcPr>
            <w:tcW w:w="838" w:type="dxa"/>
            <w:tcBorders>
              <w:top w:val="single" w:sz="6" w:space="0" w:color="auto"/>
              <w:left w:val="single" w:sz="6" w:space="0" w:color="auto"/>
              <w:bottom w:val="single" w:sz="6" w:space="0" w:color="auto"/>
              <w:right w:val="single" w:sz="6" w:space="0" w:color="auto"/>
            </w:tcBorders>
          </w:tcPr>
          <w:p w14:paraId="2FB35A73" w14:textId="77777777" w:rsidR="00286F7D" w:rsidRPr="00286F7D" w:rsidRDefault="00286F7D" w:rsidP="00286F7D">
            <w:pPr>
              <w:pStyle w:val="Texttabulky"/>
              <w:spacing w:after="0"/>
              <w:rPr>
                <w:rFonts w:cs="Arial"/>
              </w:rPr>
            </w:pPr>
            <w:r w:rsidRPr="00286F7D">
              <w:rPr>
                <w:rFonts w:cs="Arial"/>
              </w:rPr>
              <w:t>0</w:t>
            </w:r>
          </w:p>
        </w:tc>
        <w:tc>
          <w:tcPr>
            <w:tcW w:w="856" w:type="dxa"/>
            <w:tcBorders>
              <w:top w:val="single" w:sz="6" w:space="0" w:color="auto"/>
              <w:left w:val="single" w:sz="6" w:space="0" w:color="auto"/>
              <w:bottom w:val="single" w:sz="6" w:space="0" w:color="auto"/>
              <w:right w:val="single" w:sz="6" w:space="0" w:color="auto"/>
            </w:tcBorders>
          </w:tcPr>
          <w:p w14:paraId="0EA1CA04"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6FCFC5EE"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10E92A6F" w14:textId="77777777" w:rsidR="00286F7D" w:rsidRPr="00286F7D" w:rsidRDefault="00286F7D" w:rsidP="00286F7D">
            <w:pPr>
              <w:pStyle w:val="Texttabulky"/>
              <w:spacing w:after="0"/>
              <w:rPr>
                <w:rFonts w:cs="Arial"/>
              </w:rPr>
            </w:pPr>
            <w:r w:rsidRPr="00286F7D">
              <w:rPr>
                <w:rFonts w:cs="Arial"/>
              </w:rPr>
              <w:t>0</w:t>
            </w:r>
          </w:p>
        </w:tc>
        <w:tc>
          <w:tcPr>
            <w:tcW w:w="2428" w:type="dxa"/>
            <w:tcBorders>
              <w:top w:val="single" w:sz="6" w:space="0" w:color="auto"/>
              <w:left w:val="single" w:sz="6" w:space="0" w:color="auto"/>
              <w:bottom w:val="single" w:sz="6" w:space="0" w:color="auto"/>
              <w:right w:val="single" w:sz="6" w:space="0" w:color="auto"/>
            </w:tcBorders>
          </w:tcPr>
          <w:p w14:paraId="5C0D9840" w14:textId="77777777" w:rsidR="00286F7D" w:rsidRPr="00286F7D" w:rsidRDefault="00286F7D" w:rsidP="00286F7D">
            <w:pPr>
              <w:pStyle w:val="Zkladntext"/>
              <w:spacing w:after="0"/>
              <w:rPr>
                <w:rFonts w:ascii="Arial" w:hAnsi="Arial" w:cs="Arial"/>
              </w:rPr>
            </w:pPr>
          </w:p>
        </w:tc>
      </w:tr>
      <w:tr w:rsidR="00286F7D" w:rsidRPr="00286F7D" w14:paraId="144486BD" w14:textId="77777777" w:rsidTr="00286F7D">
        <w:tc>
          <w:tcPr>
            <w:tcW w:w="426" w:type="dxa"/>
            <w:tcBorders>
              <w:top w:val="single" w:sz="6" w:space="0" w:color="auto"/>
              <w:left w:val="single" w:sz="6" w:space="0" w:color="auto"/>
              <w:bottom w:val="single" w:sz="6" w:space="0" w:color="auto"/>
              <w:right w:val="single" w:sz="6" w:space="0" w:color="auto"/>
            </w:tcBorders>
          </w:tcPr>
          <w:p w14:paraId="7E2C912C" w14:textId="77777777" w:rsidR="00286F7D" w:rsidRPr="00286F7D" w:rsidRDefault="00286F7D" w:rsidP="00286F7D">
            <w:pPr>
              <w:pStyle w:val="Texttabulky"/>
              <w:spacing w:after="0"/>
              <w:jc w:val="right"/>
              <w:rPr>
                <w:rFonts w:cs="Arial"/>
              </w:rPr>
            </w:pPr>
            <w:r w:rsidRPr="00286F7D">
              <w:rPr>
                <w:rFonts w:cs="Arial"/>
              </w:rPr>
              <w:t>36</w:t>
            </w:r>
          </w:p>
        </w:tc>
        <w:tc>
          <w:tcPr>
            <w:tcW w:w="1984" w:type="dxa"/>
            <w:tcBorders>
              <w:top w:val="single" w:sz="6" w:space="0" w:color="auto"/>
              <w:left w:val="single" w:sz="6" w:space="0" w:color="auto"/>
              <w:bottom w:val="single" w:sz="6" w:space="0" w:color="auto"/>
              <w:right w:val="single" w:sz="6" w:space="0" w:color="auto"/>
            </w:tcBorders>
          </w:tcPr>
          <w:p w14:paraId="0ECA3BD3" w14:textId="77777777" w:rsidR="00286F7D" w:rsidRPr="00286F7D" w:rsidRDefault="00286F7D" w:rsidP="00286F7D">
            <w:pPr>
              <w:pStyle w:val="Texttabulky"/>
              <w:spacing w:after="0"/>
              <w:rPr>
                <w:rFonts w:cs="Arial"/>
              </w:rPr>
            </w:pPr>
            <w:r w:rsidRPr="00286F7D">
              <w:rPr>
                <w:rFonts w:cs="Arial"/>
              </w:rPr>
              <w:t>Maxičky</w:t>
            </w:r>
          </w:p>
        </w:tc>
        <w:tc>
          <w:tcPr>
            <w:tcW w:w="838" w:type="dxa"/>
            <w:tcBorders>
              <w:top w:val="single" w:sz="6" w:space="0" w:color="auto"/>
              <w:left w:val="single" w:sz="6" w:space="0" w:color="auto"/>
              <w:bottom w:val="single" w:sz="6" w:space="0" w:color="auto"/>
              <w:right w:val="single" w:sz="6" w:space="0" w:color="auto"/>
            </w:tcBorders>
          </w:tcPr>
          <w:p w14:paraId="7F65C46C" w14:textId="77777777" w:rsidR="00286F7D" w:rsidRPr="00286F7D" w:rsidRDefault="00286F7D" w:rsidP="00286F7D">
            <w:pPr>
              <w:pStyle w:val="Texttabulky"/>
              <w:spacing w:after="0"/>
              <w:rPr>
                <w:rFonts w:cs="Arial"/>
              </w:rPr>
            </w:pPr>
            <w:r w:rsidRPr="00286F7D">
              <w:rPr>
                <w:rFonts w:cs="Arial"/>
              </w:rPr>
              <w:t>19</w:t>
            </w:r>
          </w:p>
        </w:tc>
        <w:tc>
          <w:tcPr>
            <w:tcW w:w="856" w:type="dxa"/>
            <w:tcBorders>
              <w:top w:val="single" w:sz="6" w:space="0" w:color="auto"/>
              <w:left w:val="single" w:sz="6" w:space="0" w:color="auto"/>
              <w:bottom w:val="single" w:sz="6" w:space="0" w:color="auto"/>
              <w:right w:val="single" w:sz="6" w:space="0" w:color="auto"/>
            </w:tcBorders>
          </w:tcPr>
          <w:p w14:paraId="7E2D5AF7"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2D07C020"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1D6251FC" w14:textId="77777777" w:rsidR="00286F7D" w:rsidRPr="00286F7D" w:rsidRDefault="00286F7D" w:rsidP="00286F7D">
            <w:pPr>
              <w:pStyle w:val="Texttabulky"/>
              <w:spacing w:after="0"/>
              <w:rPr>
                <w:rFonts w:cs="Arial"/>
              </w:rPr>
            </w:pPr>
            <w:r w:rsidRPr="00286F7D">
              <w:rPr>
                <w:rFonts w:cs="Arial"/>
              </w:rPr>
              <w:t>19</w:t>
            </w:r>
          </w:p>
        </w:tc>
        <w:tc>
          <w:tcPr>
            <w:tcW w:w="2428" w:type="dxa"/>
            <w:tcBorders>
              <w:top w:val="single" w:sz="6" w:space="0" w:color="auto"/>
              <w:left w:val="single" w:sz="6" w:space="0" w:color="auto"/>
              <w:bottom w:val="single" w:sz="6" w:space="0" w:color="auto"/>
              <w:right w:val="single" w:sz="6" w:space="0" w:color="auto"/>
            </w:tcBorders>
          </w:tcPr>
          <w:p w14:paraId="5FEFF987" w14:textId="77777777" w:rsidR="00286F7D" w:rsidRPr="00286F7D" w:rsidRDefault="00286F7D" w:rsidP="00286F7D">
            <w:pPr>
              <w:pStyle w:val="Texttabulky"/>
              <w:spacing w:after="0"/>
              <w:rPr>
                <w:rFonts w:cs="Arial"/>
              </w:rPr>
            </w:pPr>
            <w:r w:rsidRPr="00286F7D">
              <w:rPr>
                <w:rFonts w:cs="Arial"/>
              </w:rPr>
              <w:t>vyhovuje</w:t>
            </w:r>
          </w:p>
        </w:tc>
      </w:tr>
      <w:tr w:rsidR="00286F7D" w:rsidRPr="00286F7D" w14:paraId="531CC840" w14:textId="77777777" w:rsidTr="00286F7D">
        <w:tc>
          <w:tcPr>
            <w:tcW w:w="426" w:type="dxa"/>
            <w:tcBorders>
              <w:top w:val="single" w:sz="6" w:space="0" w:color="auto"/>
              <w:left w:val="single" w:sz="6" w:space="0" w:color="auto"/>
              <w:bottom w:val="single" w:sz="6" w:space="0" w:color="auto"/>
              <w:right w:val="single" w:sz="6" w:space="0" w:color="auto"/>
            </w:tcBorders>
          </w:tcPr>
          <w:p w14:paraId="23F1BA35" w14:textId="77777777" w:rsidR="00286F7D" w:rsidRPr="00286F7D" w:rsidRDefault="00286F7D" w:rsidP="00286F7D">
            <w:pPr>
              <w:pStyle w:val="Texttabulky"/>
              <w:spacing w:after="0"/>
              <w:jc w:val="right"/>
              <w:rPr>
                <w:rFonts w:cs="Arial"/>
              </w:rPr>
            </w:pPr>
            <w:r w:rsidRPr="00286F7D">
              <w:rPr>
                <w:rFonts w:cs="Arial"/>
              </w:rPr>
              <w:t>37</w:t>
            </w:r>
          </w:p>
        </w:tc>
        <w:tc>
          <w:tcPr>
            <w:tcW w:w="1984" w:type="dxa"/>
            <w:tcBorders>
              <w:top w:val="single" w:sz="6" w:space="0" w:color="auto"/>
              <w:left w:val="single" w:sz="6" w:space="0" w:color="auto"/>
              <w:bottom w:val="single" w:sz="6" w:space="0" w:color="auto"/>
              <w:right w:val="single" w:sz="6" w:space="0" w:color="auto"/>
            </w:tcBorders>
          </w:tcPr>
          <w:p w14:paraId="0B8149EA" w14:textId="77777777" w:rsidR="00286F7D" w:rsidRPr="00286F7D" w:rsidRDefault="00286F7D" w:rsidP="00286F7D">
            <w:pPr>
              <w:pStyle w:val="Texttabulky"/>
              <w:spacing w:after="0"/>
              <w:rPr>
                <w:rFonts w:cs="Arial"/>
              </w:rPr>
            </w:pPr>
            <w:r w:rsidRPr="00286F7D">
              <w:rPr>
                <w:rFonts w:cs="Arial"/>
              </w:rPr>
              <w:t>Telefonka</w:t>
            </w:r>
          </w:p>
        </w:tc>
        <w:tc>
          <w:tcPr>
            <w:tcW w:w="838" w:type="dxa"/>
            <w:tcBorders>
              <w:top w:val="single" w:sz="6" w:space="0" w:color="auto"/>
              <w:left w:val="single" w:sz="6" w:space="0" w:color="auto"/>
              <w:bottom w:val="single" w:sz="6" w:space="0" w:color="auto"/>
              <w:right w:val="single" w:sz="6" w:space="0" w:color="auto"/>
            </w:tcBorders>
          </w:tcPr>
          <w:p w14:paraId="79FD547F" w14:textId="77777777" w:rsidR="00286F7D" w:rsidRPr="00286F7D" w:rsidRDefault="00286F7D" w:rsidP="00286F7D">
            <w:pPr>
              <w:pStyle w:val="Texttabulky"/>
              <w:spacing w:after="0"/>
              <w:rPr>
                <w:rFonts w:cs="Arial"/>
              </w:rPr>
            </w:pPr>
            <w:r w:rsidRPr="00286F7D">
              <w:rPr>
                <w:rFonts w:cs="Arial"/>
              </w:rPr>
              <w:t>0</w:t>
            </w:r>
          </w:p>
        </w:tc>
        <w:tc>
          <w:tcPr>
            <w:tcW w:w="856" w:type="dxa"/>
            <w:tcBorders>
              <w:top w:val="single" w:sz="6" w:space="0" w:color="auto"/>
              <w:left w:val="single" w:sz="6" w:space="0" w:color="auto"/>
              <w:bottom w:val="single" w:sz="6" w:space="0" w:color="auto"/>
              <w:right w:val="single" w:sz="6" w:space="0" w:color="auto"/>
            </w:tcBorders>
          </w:tcPr>
          <w:p w14:paraId="069F78B6"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2EE6993D"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5F9178B3" w14:textId="77777777" w:rsidR="00286F7D" w:rsidRPr="00286F7D" w:rsidRDefault="00286F7D" w:rsidP="00286F7D">
            <w:pPr>
              <w:pStyle w:val="Texttabulky"/>
              <w:spacing w:after="0"/>
              <w:rPr>
                <w:rFonts w:cs="Arial"/>
              </w:rPr>
            </w:pPr>
            <w:r w:rsidRPr="00286F7D">
              <w:rPr>
                <w:rFonts w:cs="Arial"/>
              </w:rPr>
              <w:t>0</w:t>
            </w:r>
          </w:p>
        </w:tc>
        <w:tc>
          <w:tcPr>
            <w:tcW w:w="2428" w:type="dxa"/>
            <w:tcBorders>
              <w:top w:val="single" w:sz="6" w:space="0" w:color="auto"/>
              <w:left w:val="single" w:sz="6" w:space="0" w:color="auto"/>
              <w:bottom w:val="single" w:sz="6" w:space="0" w:color="auto"/>
              <w:right w:val="single" w:sz="6" w:space="0" w:color="auto"/>
            </w:tcBorders>
          </w:tcPr>
          <w:p w14:paraId="6AD04610" w14:textId="77777777" w:rsidR="00286F7D" w:rsidRPr="00286F7D" w:rsidRDefault="00286F7D" w:rsidP="00286F7D">
            <w:pPr>
              <w:pStyle w:val="Zkladntext"/>
              <w:spacing w:after="0"/>
              <w:rPr>
                <w:rFonts w:ascii="Arial" w:hAnsi="Arial" w:cs="Arial"/>
              </w:rPr>
            </w:pPr>
          </w:p>
        </w:tc>
      </w:tr>
      <w:tr w:rsidR="00286F7D" w:rsidRPr="00286F7D" w14:paraId="2DAAE88F" w14:textId="77777777" w:rsidTr="00286F7D">
        <w:tc>
          <w:tcPr>
            <w:tcW w:w="426" w:type="dxa"/>
            <w:tcBorders>
              <w:top w:val="single" w:sz="6" w:space="0" w:color="auto"/>
              <w:left w:val="single" w:sz="6" w:space="0" w:color="auto"/>
              <w:bottom w:val="single" w:sz="6" w:space="0" w:color="auto"/>
              <w:right w:val="single" w:sz="6" w:space="0" w:color="auto"/>
            </w:tcBorders>
          </w:tcPr>
          <w:p w14:paraId="123B2395" w14:textId="77777777" w:rsidR="00286F7D" w:rsidRPr="00286F7D" w:rsidRDefault="00286F7D" w:rsidP="00286F7D">
            <w:pPr>
              <w:pStyle w:val="Texttabulky"/>
              <w:spacing w:after="0"/>
              <w:jc w:val="right"/>
              <w:rPr>
                <w:rFonts w:cs="Arial"/>
              </w:rPr>
            </w:pPr>
            <w:r w:rsidRPr="00286F7D">
              <w:rPr>
                <w:rFonts w:cs="Arial"/>
              </w:rPr>
              <w:t>38</w:t>
            </w:r>
          </w:p>
        </w:tc>
        <w:tc>
          <w:tcPr>
            <w:tcW w:w="1984" w:type="dxa"/>
            <w:tcBorders>
              <w:top w:val="single" w:sz="6" w:space="0" w:color="auto"/>
              <w:left w:val="single" w:sz="6" w:space="0" w:color="auto"/>
              <w:bottom w:val="single" w:sz="6" w:space="0" w:color="auto"/>
              <w:right w:val="single" w:sz="6" w:space="0" w:color="auto"/>
            </w:tcBorders>
          </w:tcPr>
          <w:p w14:paraId="01D0C6ED" w14:textId="77777777" w:rsidR="00286F7D" w:rsidRPr="00286F7D" w:rsidRDefault="00286F7D" w:rsidP="00286F7D">
            <w:pPr>
              <w:pStyle w:val="Texttabulky"/>
              <w:spacing w:after="0"/>
              <w:rPr>
                <w:rFonts w:cs="Arial"/>
              </w:rPr>
            </w:pPr>
            <w:r w:rsidRPr="00286F7D">
              <w:rPr>
                <w:rFonts w:cs="Arial"/>
              </w:rPr>
              <w:t>Přípeřské polesí</w:t>
            </w:r>
          </w:p>
        </w:tc>
        <w:tc>
          <w:tcPr>
            <w:tcW w:w="838" w:type="dxa"/>
            <w:tcBorders>
              <w:top w:val="single" w:sz="6" w:space="0" w:color="auto"/>
              <w:left w:val="single" w:sz="6" w:space="0" w:color="auto"/>
              <w:bottom w:val="single" w:sz="6" w:space="0" w:color="auto"/>
              <w:right w:val="single" w:sz="6" w:space="0" w:color="auto"/>
            </w:tcBorders>
          </w:tcPr>
          <w:p w14:paraId="416C23A0" w14:textId="77777777" w:rsidR="00286F7D" w:rsidRPr="00286F7D" w:rsidRDefault="00286F7D" w:rsidP="00286F7D">
            <w:pPr>
              <w:pStyle w:val="Texttabulky"/>
              <w:spacing w:after="0"/>
              <w:rPr>
                <w:rFonts w:cs="Arial"/>
              </w:rPr>
            </w:pPr>
            <w:r w:rsidRPr="00286F7D">
              <w:rPr>
                <w:rFonts w:cs="Arial"/>
              </w:rPr>
              <w:t>0</w:t>
            </w:r>
          </w:p>
        </w:tc>
        <w:tc>
          <w:tcPr>
            <w:tcW w:w="856" w:type="dxa"/>
            <w:tcBorders>
              <w:top w:val="single" w:sz="6" w:space="0" w:color="auto"/>
              <w:left w:val="single" w:sz="6" w:space="0" w:color="auto"/>
              <w:bottom w:val="single" w:sz="6" w:space="0" w:color="auto"/>
              <w:right w:val="single" w:sz="6" w:space="0" w:color="auto"/>
            </w:tcBorders>
          </w:tcPr>
          <w:p w14:paraId="6C9F8D70"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4001EA23"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248022A6" w14:textId="77777777" w:rsidR="00286F7D" w:rsidRPr="00286F7D" w:rsidRDefault="00286F7D" w:rsidP="00286F7D">
            <w:pPr>
              <w:pStyle w:val="Texttabulky"/>
              <w:spacing w:after="0"/>
              <w:rPr>
                <w:rFonts w:cs="Arial"/>
              </w:rPr>
            </w:pPr>
            <w:r w:rsidRPr="00286F7D">
              <w:rPr>
                <w:rFonts w:cs="Arial"/>
              </w:rPr>
              <w:t>0</w:t>
            </w:r>
          </w:p>
        </w:tc>
        <w:tc>
          <w:tcPr>
            <w:tcW w:w="2428" w:type="dxa"/>
            <w:tcBorders>
              <w:top w:val="single" w:sz="6" w:space="0" w:color="auto"/>
              <w:left w:val="single" w:sz="6" w:space="0" w:color="auto"/>
              <w:bottom w:val="single" w:sz="6" w:space="0" w:color="auto"/>
              <w:right w:val="single" w:sz="6" w:space="0" w:color="auto"/>
            </w:tcBorders>
          </w:tcPr>
          <w:p w14:paraId="62BDFD4A" w14:textId="77777777" w:rsidR="00286F7D" w:rsidRPr="00286F7D" w:rsidRDefault="00286F7D" w:rsidP="00286F7D">
            <w:pPr>
              <w:pStyle w:val="Zkladntext"/>
              <w:spacing w:after="0"/>
              <w:rPr>
                <w:rFonts w:ascii="Arial" w:hAnsi="Arial" w:cs="Arial"/>
              </w:rPr>
            </w:pPr>
          </w:p>
        </w:tc>
      </w:tr>
      <w:tr w:rsidR="00286F7D" w:rsidRPr="00286F7D" w14:paraId="3E5C85BE" w14:textId="77777777" w:rsidTr="00286F7D">
        <w:tc>
          <w:tcPr>
            <w:tcW w:w="426" w:type="dxa"/>
            <w:tcBorders>
              <w:top w:val="single" w:sz="6" w:space="0" w:color="auto"/>
              <w:left w:val="single" w:sz="6" w:space="0" w:color="auto"/>
              <w:bottom w:val="single" w:sz="6" w:space="0" w:color="auto"/>
              <w:right w:val="single" w:sz="6" w:space="0" w:color="auto"/>
            </w:tcBorders>
          </w:tcPr>
          <w:p w14:paraId="10A88647" w14:textId="77777777" w:rsidR="00286F7D" w:rsidRPr="00286F7D" w:rsidRDefault="00286F7D" w:rsidP="00286F7D">
            <w:pPr>
              <w:pStyle w:val="Texttabulky"/>
              <w:spacing w:after="0"/>
              <w:jc w:val="right"/>
              <w:rPr>
                <w:rFonts w:cs="Arial"/>
              </w:rPr>
            </w:pPr>
            <w:r w:rsidRPr="00286F7D">
              <w:rPr>
                <w:rFonts w:cs="Arial"/>
              </w:rPr>
              <w:t>43</w:t>
            </w:r>
          </w:p>
        </w:tc>
        <w:tc>
          <w:tcPr>
            <w:tcW w:w="1984" w:type="dxa"/>
            <w:tcBorders>
              <w:top w:val="single" w:sz="6" w:space="0" w:color="auto"/>
              <w:left w:val="single" w:sz="6" w:space="0" w:color="auto"/>
              <w:bottom w:val="single" w:sz="6" w:space="0" w:color="auto"/>
              <w:right w:val="single" w:sz="6" w:space="0" w:color="auto"/>
            </w:tcBorders>
          </w:tcPr>
          <w:p w14:paraId="2C33FA7B" w14:textId="77777777" w:rsidR="00286F7D" w:rsidRPr="00286F7D" w:rsidRDefault="00286F7D" w:rsidP="00286F7D">
            <w:pPr>
              <w:pStyle w:val="Texttabulky"/>
              <w:spacing w:after="0"/>
              <w:rPr>
                <w:rFonts w:cs="Arial"/>
              </w:rPr>
            </w:pPr>
            <w:r w:rsidRPr="00286F7D">
              <w:rPr>
                <w:rFonts w:cs="Arial"/>
              </w:rPr>
              <w:t>Nad Dolním Žlebem</w:t>
            </w:r>
          </w:p>
        </w:tc>
        <w:tc>
          <w:tcPr>
            <w:tcW w:w="838" w:type="dxa"/>
            <w:tcBorders>
              <w:top w:val="single" w:sz="6" w:space="0" w:color="auto"/>
              <w:left w:val="single" w:sz="6" w:space="0" w:color="auto"/>
              <w:bottom w:val="single" w:sz="6" w:space="0" w:color="auto"/>
              <w:right w:val="single" w:sz="6" w:space="0" w:color="auto"/>
            </w:tcBorders>
          </w:tcPr>
          <w:p w14:paraId="611D0C5C" w14:textId="77777777" w:rsidR="00286F7D" w:rsidRPr="00286F7D" w:rsidRDefault="00286F7D" w:rsidP="00286F7D">
            <w:pPr>
              <w:pStyle w:val="Texttabulky"/>
              <w:spacing w:after="0"/>
              <w:rPr>
                <w:rFonts w:cs="Arial"/>
              </w:rPr>
            </w:pPr>
            <w:r w:rsidRPr="00286F7D">
              <w:rPr>
                <w:rFonts w:cs="Arial"/>
              </w:rPr>
              <w:t>0</w:t>
            </w:r>
          </w:p>
        </w:tc>
        <w:tc>
          <w:tcPr>
            <w:tcW w:w="856" w:type="dxa"/>
            <w:tcBorders>
              <w:top w:val="single" w:sz="6" w:space="0" w:color="auto"/>
              <w:left w:val="single" w:sz="6" w:space="0" w:color="auto"/>
              <w:bottom w:val="single" w:sz="6" w:space="0" w:color="auto"/>
              <w:right w:val="single" w:sz="6" w:space="0" w:color="auto"/>
            </w:tcBorders>
          </w:tcPr>
          <w:p w14:paraId="327010CC"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104120C1"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2D9239E5" w14:textId="77777777" w:rsidR="00286F7D" w:rsidRPr="00286F7D" w:rsidRDefault="00286F7D" w:rsidP="00286F7D">
            <w:pPr>
              <w:pStyle w:val="Texttabulky"/>
              <w:spacing w:after="0"/>
              <w:rPr>
                <w:rFonts w:cs="Arial"/>
              </w:rPr>
            </w:pPr>
            <w:r w:rsidRPr="00286F7D">
              <w:rPr>
                <w:rFonts w:cs="Arial"/>
              </w:rPr>
              <w:t>0</w:t>
            </w:r>
          </w:p>
        </w:tc>
        <w:tc>
          <w:tcPr>
            <w:tcW w:w="2428" w:type="dxa"/>
            <w:tcBorders>
              <w:top w:val="single" w:sz="6" w:space="0" w:color="auto"/>
              <w:left w:val="single" w:sz="6" w:space="0" w:color="auto"/>
              <w:bottom w:val="single" w:sz="6" w:space="0" w:color="auto"/>
              <w:right w:val="single" w:sz="6" w:space="0" w:color="auto"/>
            </w:tcBorders>
          </w:tcPr>
          <w:p w14:paraId="5DC3DF5B" w14:textId="77777777" w:rsidR="00286F7D" w:rsidRPr="00286F7D" w:rsidRDefault="00286F7D" w:rsidP="00286F7D">
            <w:pPr>
              <w:pStyle w:val="Zkladntext"/>
              <w:spacing w:after="0"/>
              <w:rPr>
                <w:rFonts w:ascii="Arial" w:hAnsi="Arial" w:cs="Arial"/>
              </w:rPr>
            </w:pPr>
          </w:p>
        </w:tc>
      </w:tr>
      <w:tr w:rsidR="00286F7D" w:rsidRPr="00286F7D" w14:paraId="37CB8B36" w14:textId="77777777" w:rsidTr="00286F7D">
        <w:tc>
          <w:tcPr>
            <w:tcW w:w="426" w:type="dxa"/>
            <w:tcBorders>
              <w:top w:val="single" w:sz="6" w:space="0" w:color="auto"/>
              <w:left w:val="single" w:sz="6" w:space="0" w:color="auto"/>
              <w:bottom w:val="single" w:sz="6" w:space="0" w:color="auto"/>
              <w:right w:val="single" w:sz="6" w:space="0" w:color="auto"/>
            </w:tcBorders>
          </w:tcPr>
          <w:p w14:paraId="7E83A223" w14:textId="77777777" w:rsidR="00286F7D" w:rsidRPr="00286F7D" w:rsidRDefault="00286F7D" w:rsidP="00286F7D">
            <w:pPr>
              <w:pStyle w:val="Texttabulky"/>
              <w:spacing w:after="0"/>
              <w:jc w:val="right"/>
              <w:rPr>
                <w:rFonts w:cs="Arial"/>
              </w:rPr>
            </w:pPr>
            <w:r w:rsidRPr="00286F7D">
              <w:rPr>
                <w:rFonts w:cs="Arial"/>
              </w:rPr>
              <w:t>44</w:t>
            </w:r>
          </w:p>
        </w:tc>
        <w:tc>
          <w:tcPr>
            <w:tcW w:w="1984" w:type="dxa"/>
            <w:tcBorders>
              <w:top w:val="single" w:sz="6" w:space="0" w:color="auto"/>
              <w:left w:val="single" w:sz="6" w:space="0" w:color="auto"/>
              <w:bottom w:val="single" w:sz="6" w:space="0" w:color="auto"/>
              <w:right w:val="single" w:sz="6" w:space="0" w:color="auto"/>
            </w:tcBorders>
          </w:tcPr>
          <w:p w14:paraId="1AF009EF" w14:textId="77777777" w:rsidR="00286F7D" w:rsidRPr="00286F7D" w:rsidRDefault="00286F7D" w:rsidP="00286F7D">
            <w:pPr>
              <w:pStyle w:val="Texttabulky"/>
              <w:spacing w:after="0"/>
              <w:rPr>
                <w:rFonts w:cs="Arial"/>
              </w:rPr>
            </w:pPr>
            <w:r w:rsidRPr="00286F7D">
              <w:rPr>
                <w:rFonts w:cs="Arial"/>
              </w:rPr>
              <w:t>Dolní Žleb</w:t>
            </w:r>
          </w:p>
        </w:tc>
        <w:tc>
          <w:tcPr>
            <w:tcW w:w="838" w:type="dxa"/>
            <w:tcBorders>
              <w:top w:val="single" w:sz="6" w:space="0" w:color="auto"/>
              <w:left w:val="single" w:sz="6" w:space="0" w:color="auto"/>
              <w:bottom w:val="single" w:sz="6" w:space="0" w:color="auto"/>
              <w:right w:val="single" w:sz="6" w:space="0" w:color="auto"/>
            </w:tcBorders>
          </w:tcPr>
          <w:p w14:paraId="05B9DAFD" w14:textId="77777777" w:rsidR="00286F7D" w:rsidRPr="00286F7D" w:rsidRDefault="00286F7D" w:rsidP="00286F7D">
            <w:pPr>
              <w:pStyle w:val="Texttabulky"/>
              <w:spacing w:after="0"/>
              <w:rPr>
                <w:rFonts w:cs="Arial"/>
              </w:rPr>
            </w:pPr>
            <w:r w:rsidRPr="00286F7D">
              <w:rPr>
                <w:rFonts w:cs="Arial"/>
              </w:rPr>
              <w:t>-100</w:t>
            </w:r>
          </w:p>
        </w:tc>
        <w:tc>
          <w:tcPr>
            <w:tcW w:w="856" w:type="dxa"/>
            <w:tcBorders>
              <w:top w:val="single" w:sz="6" w:space="0" w:color="auto"/>
              <w:left w:val="single" w:sz="6" w:space="0" w:color="auto"/>
              <w:bottom w:val="single" w:sz="6" w:space="0" w:color="auto"/>
              <w:right w:val="single" w:sz="6" w:space="0" w:color="auto"/>
            </w:tcBorders>
          </w:tcPr>
          <w:p w14:paraId="4612C220"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58AE1187"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28E341F5" w14:textId="77777777" w:rsidR="00286F7D" w:rsidRPr="00286F7D" w:rsidRDefault="00286F7D" w:rsidP="00286F7D">
            <w:pPr>
              <w:pStyle w:val="Texttabulky"/>
              <w:spacing w:after="0"/>
              <w:rPr>
                <w:rFonts w:cs="Arial"/>
              </w:rPr>
            </w:pPr>
            <w:r w:rsidRPr="00286F7D">
              <w:rPr>
                <w:rFonts w:cs="Arial"/>
              </w:rPr>
              <w:t>-100</w:t>
            </w:r>
          </w:p>
        </w:tc>
        <w:tc>
          <w:tcPr>
            <w:tcW w:w="2428" w:type="dxa"/>
            <w:tcBorders>
              <w:top w:val="single" w:sz="6" w:space="0" w:color="auto"/>
              <w:left w:val="single" w:sz="6" w:space="0" w:color="auto"/>
              <w:bottom w:val="single" w:sz="6" w:space="0" w:color="auto"/>
              <w:right w:val="single" w:sz="6" w:space="0" w:color="auto"/>
            </w:tcBorders>
          </w:tcPr>
          <w:p w14:paraId="31662CA5"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2CC62F8A" w14:textId="77777777" w:rsidTr="00286F7D">
        <w:tc>
          <w:tcPr>
            <w:tcW w:w="426" w:type="dxa"/>
            <w:tcBorders>
              <w:top w:val="single" w:sz="6" w:space="0" w:color="auto"/>
              <w:left w:val="single" w:sz="6" w:space="0" w:color="auto"/>
              <w:bottom w:val="single" w:sz="6" w:space="0" w:color="auto"/>
              <w:right w:val="single" w:sz="6" w:space="0" w:color="auto"/>
            </w:tcBorders>
          </w:tcPr>
          <w:p w14:paraId="16A86538" w14:textId="77777777" w:rsidR="00286F7D" w:rsidRPr="00286F7D" w:rsidRDefault="00286F7D" w:rsidP="00286F7D">
            <w:pPr>
              <w:pStyle w:val="Texttabulky"/>
              <w:spacing w:after="0"/>
              <w:rPr>
                <w:rFonts w:cs="Arial"/>
              </w:rPr>
            </w:pPr>
            <w:r w:rsidRPr="00286F7D">
              <w:rPr>
                <w:rFonts w:cs="Arial"/>
                <w:b/>
                <w:bCs/>
              </w:rPr>
              <w:t>VIII</w:t>
            </w:r>
          </w:p>
        </w:tc>
        <w:tc>
          <w:tcPr>
            <w:tcW w:w="1984" w:type="dxa"/>
            <w:tcBorders>
              <w:top w:val="single" w:sz="6" w:space="0" w:color="auto"/>
              <w:left w:val="single" w:sz="6" w:space="0" w:color="auto"/>
              <w:bottom w:val="single" w:sz="6" w:space="0" w:color="auto"/>
              <w:right w:val="single" w:sz="6" w:space="0" w:color="auto"/>
            </w:tcBorders>
          </w:tcPr>
          <w:p w14:paraId="553FDD93" w14:textId="77777777" w:rsidR="00286F7D" w:rsidRPr="00286F7D" w:rsidRDefault="00286F7D" w:rsidP="00286F7D">
            <w:pPr>
              <w:pStyle w:val="Texttabulky"/>
              <w:spacing w:after="0"/>
              <w:rPr>
                <w:rFonts w:cs="Arial"/>
              </w:rPr>
            </w:pPr>
            <w:r w:rsidRPr="00286F7D">
              <w:rPr>
                <w:rFonts w:cs="Arial"/>
                <w:b/>
                <w:bCs/>
                <w:caps/>
              </w:rPr>
              <w:t>sektor celkem</w:t>
            </w:r>
          </w:p>
        </w:tc>
        <w:tc>
          <w:tcPr>
            <w:tcW w:w="838" w:type="dxa"/>
            <w:tcBorders>
              <w:top w:val="single" w:sz="6" w:space="0" w:color="auto"/>
              <w:left w:val="single" w:sz="6" w:space="0" w:color="auto"/>
              <w:bottom w:val="single" w:sz="6" w:space="0" w:color="auto"/>
              <w:right w:val="single" w:sz="6" w:space="0" w:color="auto"/>
            </w:tcBorders>
          </w:tcPr>
          <w:p w14:paraId="0E242E24" w14:textId="77777777" w:rsidR="00286F7D" w:rsidRPr="00286F7D" w:rsidRDefault="00286F7D" w:rsidP="00286F7D">
            <w:pPr>
              <w:pStyle w:val="Texttabulky"/>
              <w:spacing w:after="0"/>
              <w:rPr>
                <w:rFonts w:cs="Arial"/>
              </w:rPr>
            </w:pPr>
            <w:r w:rsidRPr="00286F7D">
              <w:rPr>
                <w:rFonts w:cs="Arial"/>
                <w:b/>
                <w:bCs/>
              </w:rPr>
              <w:t>- 81</w:t>
            </w:r>
          </w:p>
        </w:tc>
        <w:tc>
          <w:tcPr>
            <w:tcW w:w="856" w:type="dxa"/>
            <w:tcBorders>
              <w:top w:val="single" w:sz="6" w:space="0" w:color="auto"/>
              <w:left w:val="single" w:sz="6" w:space="0" w:color="auto"/>
              <w:bottom w:val="single" w:sz="6" w:space="0" w:color="auto"/>
              <w:right w:val="single" w:sz="6" w:space="0" w:color="auto"/>
            </w:tcBorders>
          </w:tcPr>
          <w:p w14:paraId="1D0AD779" w14:textId="77777777" w:rsidR="00286F7D" w:rsidRPr="00286F7D" w:rsidRDefault="00286F7D" w:rsidP="00286F7D">
            <w:pPr>
              <w:pStyle w:val="Texttabulky"/>
              <w:spacing w:after="0"/>
              <w:rPr>
                <w:rFonts w:cs="Arial"/>
              </w:rPr>
            </w:pPr>
            <w:r w:rsidRPr="00286F7D">
              <w:rPr>
                <w:rFonts w:cs="Arial"/>
                <w:b/>
                <w:bCs/>
              </w:rPr>
              <w:t>0</w:t>
            </w:r>
          </w:p>
        </w:tc>
        <w:tc>
          <w:tcPr>
            <w:tcW w:w="999" w:type="dxa"/>
            <w:tcBorders>
              <w:top w:val="single" w:sz="6" w:space="0" w:color="auto"/>
              <w:left w:val="single" w:sz="6" w:space="0" w:color="auto"/>
              <w:bottom w:val="single" w:sz="6" w:space="0" w:color="auto"/>
              <w:right w:val="single" w:sz="6" w:space="0" w:color="auto"/>
            </w:tcBorders>
          </w:tcPr>
          <w:p w14:paraId="43F8FFDE" w14:textId="77777777" w:rsidR="00286F7D" w:rsidRPr="00286F7D" w:rsidRDefault="00286F7D" w:rsidP="00286F7D">
            <w:pPr>
              <w:pStyle w:val="Texttabulky"/>
              <w:spacing w:after="0"/>
              <w:rPr>
                <w:rFonts w:cs="Arial"/>
              </w:rPr>
            </w:pPr>
            <w:r w:rsidRPr="00286F7D">
              <w:rPr>
                <w:rFonts w:cs="Arial"/>
                <w:b/>
                <w:bCs/>
              </w:rPr>
              <w:t>0</w:t>
            </w:r>
          </w:p>
        </w:tc>
        <w:tc>
          <w:tcPr>
            <w:tcW w:w="993" w:type="dxa"/>
            <w:tcBorders>
              <w:top w:val="single" w:sz="6" w:space="0" w:color="auto"/>
              <w:left w:val="single" w:sz="6" w:space="0" w:color="auto"/>
              <w:bottom w:val="single" w:sz="6" w:space="0" w:color="auto"/>
              <w:right w:val="single" w:sz="6" w:space="0" w:color="auto"/>
            </w:tcBorders>
          </w:tcPr>
          <w:p w14:paraId="427CC95B" w14:textId="77777777" w:rsidR="00286F7D" w:rsidRPr="00286F7D" w:rsidRDefault="00286F7D" w:rsidP="00286F7D">
            <w:pPr>
              <w:pStyle w:val="Texttabulky"/>
              <w:spacing w:after="0"/>
              <w:rPr>
                <w:rFonts w:cs="Arial"/>
              </w:rPr>
            </w:pPr>
            <w:r w:rsidRPr="00286F7D">
              <w:rPr>
                <w:rFonts w:cs="Arial"/>
                <w:b/>
                <w:bCs/>
              </w:rPr>
              <w:t>- 81</w:t>
            </w:r>
          </w:p>
        </w:tc>
        <w:tc>
          <w:tcPr>
            <w:tcW w:w="2428" w:type="dxa"/>
            <w:tcBorders>
              <w:top w:val="single" w:sz="6" w:space="0" w:color="auto"/>
              <w:left w:val="single" w:sz="6" w:space="0" w:color="auto"/>
              <w:bottom w:val="single" w:sz="6" w:space="0" w:color="auto"/>
              <w:right w:val="single" w:sz="6" w:space="0" w:color="auto"/>
            </w:tcBorders>
          </w:tcPr>
          <w:p w14:paraId="48457C81" w14:textId="77777777" w:rsidR="00286F7D" w:rsidRPr="00286F7D" w:rsidRDefault="00286F7D" w:rsidP="00286F7D">
            <w:pPr>
              <w:pStyle w:val="Zkladntext"/>
              <w:spacing w:after="0"/>
              <w:rPr>
                <w:rFonts w:ascii="Arial" w:hAnsi="Arial" w:cs="Arial"/>
              </w:rPr>
            </w:pPr>
          </w:p>
        </w:tc>
      </w:tr>
      <w:tr w:rsidR="00286F7D" w:rsidRPr="00286F7D" w14:paraId="68ACF752" w14:textId="77777777" w:rsidTr="00286F7D">
        <w:tc>
          <w:tcPr>
            <w:tcW w:w="426" w:type="dxa"/>
            <w:tcBorders>
              <w:top w:val="single" w:sz="6" w:space="0" w:color="auto"/>
              <w:left w:val="single" w:sz="6" w:space="0" w:color="auto"/>
              <w:bottom w:val="single" w:sz="6" w:space="0" w:color="auto"/>
              <w:right w:val="single" w:sz="6" w:space="0" w:color="auto"/>
            </w:tcBorders>
          </w:tcPr>
          <w:p w14:paraId="4A1A9055" w14:textId="77777777" w:rsidR="00286F7D" w:rsidRPr="00286F7D" w:rsidRDefault="00286F7D" w:rsidP="00286F7D">
            <w:pPr>
              <w:pStyle w:val="Texttabulky"/>
              <w:spacing w:after="0"/>
              <w:jc w:val="right"/>
              <w:rPr>
                <w:rFonts w:cs="Arial"/>
              </w:rPr>
            </w:pPr>
            <w:r w:rsidRPr="00286F7D">
              <w:rPr>
                <w:rFonts w:cs="Arial"/>
              </w:rPr>
              <w:t>49</w:t>
            </w:r>
          </w:p>
        </w:tc>
        <w:tc>
          <w:tcPr>
            <w:tcW w:w="1984" w:type="dxa"/>
            <w:tcBorders>
              <w:top w:val="single" w:sz="6" w:space="0" w:color="auto"/>
              <w:left w:val="single" w:sz="6" w:space="0" w:color="auto"/>
              <w:bottom w:val="single" w:sz="6" w:space="0" w:color="auto"/>
              <w:right w:val="single" w:sz="6" w:space="0" w:color="auto"/>
            </w:tcBorders>
          </w:tcPr>
          <w:p w14:paraId="781FE67D" w14:textId="77777777" w:rsidR="00286F7D" w:rsidRPr="00286F7D" w:rsidRDefault="00286F7D" w:rsidP="00286F7D">
            <w:pPr>
              <w:pStyle w:val="Texttabulky"/>
              <w:spacing w:after="0"/>
              <w:rPr>
                <w:rFonts w:cs="Arial"/>
              </w:rPr>
            </w:pPr>
            <w:r w:rsidRPr="00286F7D">
              <w:rPr>
                <w:rFonts w:cs="Arial"/>
              </w:rPr>
              <w:t>Chlum</w:t>
            </w:r>
          </w:p>
        </w:tc>
        <w:tc>
          <w:tcPr>
            <w:tcW w:w="838" w:type="dxa"/>
            <w:tcBorders>
              <w:top w:val="single" w:sz="6" w:space="0" w:color="auto"/>
              <w:left w:val="single" w:sz="6" w:space="0" w:color="auto"/>
              <w:bottom w:val="single" w:sz="6" w:space="0" w:color="auto"/>
              <w:right w:val="single" w:sz="6" w:space="0" w:color="auto"/>
            </w:tcBorders>
          </w:tcPr>
          <w:p w14:paraId="7ADA52E6" w14:textId="77777777" w:rsidR="00286F7D" w:rsidRPr="00286F7D" w:rsidRDefault="00286F7D" w:rsidP="00286F7D">
            <w:pPr>
              <w:pStyle w:val="Texttabulky"/>
              <w:spacing w:after="0"/>
              <w:rPr>
                <w:rFonts w:cs="Arial"/>
              </w:rPr>
            </w:pPr>
            <w:r w:rsidRPr="00286F7D">
              <w:rPr>
                <w:rFonts w:cs="Arial"/>
              </w:rPr>
              <w:t>-280</w:t>
            </w:r>
          </w:p>
        </w:tc>
        <w:tc>
          <w:tcPr>
            <w:tcW w:w="856" w:type="dxa"/>
            <w:tcBorders>
              <w:top w:val="single" w:sz="6" w:space="0" w:color="auto"/>
              <w:left w:val="single" w:sz="6" w:space="0" w:color="auto"/>
              <w:bottom w:val="single" w:sz="6" w:space="0" w:color="auto"/>
              <w:right w:val="single" w:sz="6" w:space="0" w:color="auto"/>
            </w:tcBorders>
          </w:tcPr>
          <w:p w14:paraId="24AB4DBF"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5AD26C88"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559A7692" w14:textId="77777777" w:rsidR="00286F7D" w:rsidRPr="00286F7D" w:rsidRDefault="00286F7D" w:rsidP="00286F7D">
            <w:pPr>
              <w:pStyle w:val="Texttabulky"/>
              <w:spacing w:after="0"/>
              <w:rPr>
                <w:rFonts w:cs="Arial"/>
              </w:rPr>
            </w:pPr>
            <w:r w:rsidRPr="00286F7D">
              <w:rPr>
                <w:rFonts w:cs="Arial"/>
              </w:rPr>
              <w:t>-280</w:t>
            </w:r>
          </w:p>
        </w:tc>
        <w:tc>
          <w:tcPr>
            <w:tcW w:w="2428" w:type="dxa"/>
            <w:tcBorders>
              <w:top w:val="single" w:sz="6" w:space="0" w:color="auto"/>
              <w:left w:val="single" w:sz="6" w:space="0" w:color="auto"/>
              <w:bottom w:val="single" w:sz="6" w:space="0" w:color="auto"/>
              <w:right w:val="single" w:sz="6" w:space="0" w:color="auto"/>
            </w:tcBorders>
          </w:tcPr>
          <w:p w14:paraId="21C39EBA"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0DC8DFA0" w14:textId="77777777" w:rsidTr="00286F7D">
        <w:tc>
          <w:tcPr>
            <w:tcW w:w="426" w:type="dxa"/>
            <w:tcBorders>
              <w:top w:val="single" w:sz="6" w:space="0" w:color="auto"/>
              <w:left w:val="single" w:sz="6" w:space="0" w:color="auto"/>
              <w:bottom w:val="single" w:sz="6" w:space="0" w:color="auto"/>
              <w:right w:val="single" w:sz="6" w:space="0" w:color="auto"/>
            </w:tcBorders>
          </w:tcPr>
          <w:p w14:paraId="4E98F601" w14:textId="77777777" w:rsidR="00286F7D" w:rsidRPr="00286F7D" w:rsidRDefault="00286F7D" w:rsidP="00286F7D">
            <w:pPr>
              <w:pStyle w:val="Texttabulky"/>
              <w:spacing w:after="0"/>
              <w:jc w:val="right"/>
              <w:rPr>
                <w:rFonts w:cs="Arial"/>
              </w:rPr>
            </w:pPr>
            <w:r w:rsidRPr="00286F7D">
              <w:rPr>
                <w:rFonts w:cs="Arial"/>
              </w:rPr>
              <w:t>53</w:t>
            </w:r>
          </w:p>
        </w:tc>
        <w:tc>
          <w:tcPr>
            <w:tcW w:w="1984" w:type="dxa"/>
            <w:tcBorders>
              <w:top w:val="single" w:sz="6" w:space="0" w:color="auto"/>
              <w:left w:val="single" w:sz="6" w:space="0" w:color="auto"/>
              <w:bottom w:val="single" w:sz="6" w:space="0" w:color="auto"/>
              <w:right w:val="single" w:sz="6" w:space="0" w:color="auto"/>
            </w:tcBorders>
          </w:tcPr>
          <w:p w14:paraId="5D226FCF" w14:textId="77777777" w:rsidR="00286F7D" w:rsidRPr="00286F7D" w:rsidRDefault="00286F7D" w:rsidP="00286F7D">
            <w:pPr>
              <w:pStyle w:val="Texttabulky"/>
              <w:spacing w:after="0"/>
              <w:rPr>
                <w:rFonts w:cs="Arial"/>
              </w:rPr>
            </w:pPr>
            <w:r w:rsidRPr="00286F7D">
              <w:rPr>
                <w:rFonts w:cs="Arial"/>
              </w:rPr>
              <w:t>Velká Veleň</w:t>
            </w:r>
          </w:p>
        </w:tc>
        <w:tc>
          <w:tcPr>
            <w:tcW w:w="838" w:type="dxa"/>
            <w:tcBorders>
              <w:top w:val="single" w:sz="6" w:space="0" w:color="auto"/>
              <w:left w:val="single" w:sz="6" w:space="0" w:color="auto"/>
              <w:bottom w:val="single" w:sz="6" w:space="0" w:color="auto"/>
              <w:right w:val="single" w:sz="6" w:space="0" w:color="auto"/>
            </w:tcBorders>
          </w:tcPr>
          <w:p w14:paraId="0D28442D" w14:textId="77777777" w:rsidR="00286F7D" w:rsidRPr="00286F7D" w:rsidRDefault="00286F7D" w:rsidP="00286F7D">
            <w:pPr>
              <w:pStyle w:val="Texttabulky"/>
              <w:spacing w:after="0"/>
              <w:rPr>
                <w:rFonts w:cs="Arial"/>
              </w:rPr>
            </w:pPr>
            <w:r w:rsidRPr="00286F7D">
              <w:rPr>
                <w:rFonts w:cs="Arial"/>
              </w:rPr>
              <w:t>-25</w:t>
            </w:r>
          </w:p>
        </w:tc>
        <w:tc>
          <w:tcPr>
            <w:tcW w:w="856" w:type="dxa"/>
            <w:tcBorders>
              <w:top w:val="single" w:sz="6" w:space="0" w:color="auto"/>
              <w:left w:val="single" w:sz="6" w:space="0" w:color="auto"/>
              <w:bottom w:val="single" w:sz="6" w:space="0" w:color="auto"/>
              <w:right w:val="single" w:sz="6" w:space="0" w:color="auto"/>
            </w:tcBorders>
          </w:tcPr>
          <w:p w14:paraId="5CCC1C02"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1D5B5245"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536FD6DD" w14:textId="77777777" w:rsidR="00286F7D" w:rsidRPr="00286F7D" w:rsidRDefault="00286F7D" w:rsidP="00286F7D">
            <w:pPr>
              <w:pStyle w:val="Texttabulky"/>
              <w:spacing w:after="0"/>
              <w:rPr>
                <w:rFonts w:cs="Arial"/>
              </w:rPr>
            </w:pPr>
            <w:r w:rsidRPr="00286F7D">
              <w:rPr>
                <w:rFonts w:cs="Arial"/>
              </w:rPr>
              <w:t>-25</w:t>
            </w:r>
          </w:p>
        </w:tc>
        <w:tc>
          <w:tcPr>
            <w:tcW w:w="2428" w:type="dxa"/>
            <w:tcBorders>
              <w:top w:val="single" w:sz="6" w:space="0" w:color="auto"/>
              <w:left w:val="single" w:sz="6" w:space="0" w:color="auto"/>
              <w:bottom w:val="single" w:sz="6" w:space="0" w:color="auto"/>
              <w:right w:val="single" w:sz="6" w:space="0" w:color="auto"/>
            </w:tcBorders>
          </w:tcPr>
          <w:p w14:paraId="0492C62A"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1BCDB5EE" w14:textId="77777777" w:rsidTr="00286F7D">
        <w:tc>
          <w:tcPr>
            <w:tcW w:w="426" w:type="dxa"/>
            <w:tcBorders>
              <w:top w:val="single" w:sz="6" w:space="0" w:color="auto"/>
              <w:left w:val="single" w:sz="6" w:space="0" w:color="auto"/>
              <w:bottom w:val="single" w:sz="6" w:space="0" w:color="auto"/>
              <w:right w:val="single" w:sz="6" w:space="0" w:color="auto"/>
            </w:tcBorders>
          </w:tcPr>
          <w:p w14:paraId="6E37B099" w14:textId="77777777" w:rsidR="00286F7D" w:rsidRPr="00286F7D" w:rsidRDefault="00286F7D" w:rsidP="00286F7D">
            <w:pPr>
              <w:pStyle w:val="Texttabulky"/>
              <w:spacing w:after="0"/>
              <w:jc w:val="right"/>
              <w:rPr>
                <w:rFonts w:cs="Arial"/>
              </w:rPr>
            </w:pPr>
            <w:r w:rsidRPr="00286F7D">
              <w:rPr>
                <w:rFonts w:cs="Arial"/>
              </w:rPr>
              <w:t>54</w:t>
            </w:r>
          </w:p>
        </w:tc>
        <w:tc>
          <w:tcPr>
            <w:tcW w:w="1984" w:type="dxa"/>
            <w:tcBorders>
              <w:top w:val="single" w:sz="6" w:space="0" w:color="auto"/>
              <w:left w:val="single" w:sz="6" w:space="0" w:color="auto"/>
              <w:bottom w:val="single" w:sz="6" w:space="0" w:color="auto"/>
              <w:right w:val="single" w:sz="6" w:space="0" w:color="auto"/>
            </w:tcBorders>
          </w:tcPr>
          <w:p w14:paraId="697ED59D" w14:textId="77777777" w:rsidR="00286F7D" w:rsidRPr="00286F7D" w:rsidRDefault="00286F7D" w:rsidP="00286F7D">
            <w:pPr>
              <w:pStyle w:val="Texttabulky"/>
              <w:spacing w:after="0"/>
              <w:rPr>
                <w:rFonts w:cs="Arial"/>
              </w:rPr>
            </w:pPr>
            <w:r w:rsidRPr="00286F7D">
              <w:rPr>
                <w:rFonts w:cs="Arial"/>
              </w:rPr>
              <w:t>Lesná</w:t>
            </w:r>
          </w:p>
        </w:tc>
        <w:tc>
          <w:tcPr>
            <w:tcW w:w="838" w:type="dxa"/>
            <w:tcBorders>
              <w:top w:val="single" w:sz="6" w:space="0" w:color="auto"/>
              <w:left w:val="single" w:sz="6" w:space="0" w:color="auto"/>
              <w:bottom w:val="single" w:sz="6" w:space="0" w:color="auto"/>
              <w:right w:val="single" w:sz="6" w:space="0" w:color="auto"/>
            </w:tcBorders>
          </w:tcPr>
          <w:p w14:paraId="41D5E7F0" w14:textId="77777777" w:rsidR="00286F7D" w:rsidRPr="00286F7D" w:rsidRDefault="00286F7D" w:rsidP="00286F7D">
            <w:pPr>
              <w:pStyle w:val="Texttabulky"/>
              <w:spacing w:after="0"/>
              <w:rPr>
                <w:rFonts w:cs="Arial"/>
              </w:rPr>
            </w:pPr>
            <w:r w:rsidRPr="00286F7D">
              <w:rPr>
                <w:rFonts w:cs="Arial"/>
              </w:rPr>
              <w:t>-185</w:t>
            </w:r>
          </w:p>
        </w:tc>
        <w:tc>
          <w:tcPr>
            <w:tcW w:w="856" w:type="dxa"/>
            <w:tcBorders>
              <w:top w:val="single" w:sz="6" w:space="0" w:color="auto"/>
              <w:left w:val="single" w:sz="6" w:space="0" w:color="auto"/>
              <w:bottom w:val="single" w:sz="6" w:space="0" w:color="auto"/>
              <w:right w:val="single" w:sz="6" w:space="0" w:color="auto"/>
            </w:tcBorders>
          </w:tcPr>
          <w:p w14:paraId="462FBE59"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30A64635" w14:textId="77777777" w:rsidR="00286F7D" w:rsidRPr="00286F7D" w:rsidRDefault="00286F7D" w:rsidP="00286F7D">
            <w:pPr>
              <w:pStyle w:val="Texttabulky"/>
              <w:spacing w:after="0"/>
              <w:rPr>
                <w:rFonts w:cs="Arial"/>
              </w:rPr>
            </w:pPr>
            <w:r w:rsidRPr="00286F7D">
              <w:rPr>
                <w:rFonts w:cs="Arial"/>
              </w:rPr>
              <w:t>33</w:t>
            </w:r>
          </w:p>
        </w:tc>
        <w:tc>
          <w:tcPr>
            <w:tcW w:w="993" w:type="dxa"/>
            <w:tcBorders>
              <w:top w:val="single" w:sz="6" w:space="0" w:color="auto"/>
              <w:left w:val="single" w:sz="6" w:space="0" w:color="auto"/>
              <w:bottom w:val="single" w:sz="6" w:space="0" w:color="auto"/>
              <w:right w:val="single" w:sz="6" w:space="0" w:color="auto"/>
            </w:tcBorders>
          </w:tcPr>
          <w:p w14:paraId="75E02BFA" w14:textId="77777777" w:rsidR="00286F7D" w:rsidRPr="00286F7D" w:rsidRDefault="00286F7D" w:rsidP="00286F7D">
            <w:pPr>
              <w:pStyle w:val="Texttabulky"/>
              <w:spacing w:after="0"/>
              <w:rPr>
                <w:rFonts w:cs="Arial"/>
              </w:rPr>
            </w:pPr>
            <w:r w:rsidRPr="00286F7D">
              <w:rPr>
                <w:rFonts w:cs="Arial"/>
              </w:rPr>
              <w:t>-152</w:t>
            </w:r>
          </w:p>
        </w:tc>
        <w:tc>
          <w:tcPr>
            <w:tcW w:w="2428" w:type="dxa"/>
            <w:tcBorders>
              <w:top w:val="single" w:sz="6" w:space="0" w:color="auto"/>
              <w:left w:val="single" w:sz="6" w:space="0" w:color="auto"/>
              <w:bottom w:val="single" w:sz="6" w:space="0" w:color="auto"/>
              <w:right w:val="single" w:sz="6" w:space="0" w:color="auto"/>
            </w:tcBorders>
          </w:tcPr>
          <w:p w14:paraId="34041606"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664F8B67" w14:textId="77777777" w:rsidTr="00286F7D">
        <w:tc>
          <w:tcPr>
            <w:tcW w:w="426" w:type="dxa"/>
            <w:tcBorders>
              <w:top w:val="single" w:sz="6" w:space="0" w:color="auto"/>
              <w:left w:val="single" w:sz="6" w:space="0" w:color="auto"/>
              <w:bottom w:val="single" w:sz="6" w:space="0" w:color="auto"/>
              <w:right w:val="single" w:sz="6" w:space="0" w:color="auto"/>
            </w:tcBorders>
          </w:tcPr>
          <w:p w14:paraId="3DC92575" w14:textId="77777777" w:rsidR="00286F7D" w:rsidRPr="00286F7D" w:rsidRDefault="00286F7D" w:rsidP="00286F7D">
            <w:pPr>
              <w:pStyle w:val="Texttabulky"/>
              <w:spacing w:after="0"/>
              <w:jc w:val="right"/>
              <w:rPr>
                <w:rFonts w:cs="Arial"/>
              </w:rPr>
            </w:pPr>
            <w:r w:rsidRPr="00286F7D">
              <w:rPr>
                <w:rFonts w:cs="Arial"/>
              </w:rPr>
              <w:t>55</w:t>
            </w:r>
          </w:p>
        </w:tc>
        <w:tc>
          <w:tcPr>
            <w:tcW w:w="1984" w:type="dxa"/>
            <w:tcBorders>
              <w:top w:val="single" w:sz="6" w:space="0" w:color="auto"/>
              <w:left w:val="single" w:sz="6" w:space="0" w:color="auto"/>
              <w:bottom w:val="single" w:sz="6" w:space="0" w:color="auto"/>
              <w:right w:val="single" w:sz="6" w:space="0" w:color="auto"/>
            </w:tcBorders>
          </w:tcPr>
          <w:p w14:paraId="68AEC39B" w14:textId="77777777" w:rsidR="00286F7D" w:rsidRPr="00286F7D" w:rsidRDefault="00286F7D" w:rsidP="00286F7D">
            <w:pPr>
              <w:pStyle w:val="Texttabulky"/>
              <w:spacing w:after="0"/>
              <w:rPr>
                <w:rFonts w:cs="Arial"/>
              </w:rPr>
            </w:pPr>
            <w:r w:rsidRPr="00286F7D">
              <w:rPr>
                <w:rFonts w:cs="Arial"/>
              </w:rPr>
              <w:t>Lesní mlýn</w:t>
            </w:r>
          </w:p>
        </w:tc>
        <w:tc>
          <w:tcPr>
            <w:tcW w:w="838" w:type="dxa"/>
            <w:tcBorders>
              <w:top w:val="single" w:sz="6" w:space="0" w:color="auto"/>
              <w:left w:val="single" w:sz="6" w:space="0" w:color="auto"/>
              <w:bottom w:val="single" w:sz="6" w:space="0" w:color="auto"/>
              <w:right w:val="single" w:sz="6" w:space="0" w:color="auto"/>
            </w:tcBorders>
          </w:tcPr>
          <w:p w14:paraId="139303CD" w14:textId="77777777" w:rsidR="00286F7D" w:rsidRPr="00286F7D" w:rsidRDefault="00286F7D" w:rsidP="00286F7D">
            <w:pPr>
              <w:pStyle w:val="Texttabulky"/>
              <w:spacing w:after="0"/>
              <w:rPr>
                <w:rFonts w:cs="Arial"/>
              </w:rPr>
            </w:pPr>
            <w:r w:rsidRPr="00286F7D">
              <w:rPr>
                <w:rFonts w:cs="Arial"/>
              </w:rPr>
              <w:t>-5</w:t>
            </w:r>
          </w:p>
        </w:tc>
        <w:tc>
          <w:tcPr>
            <w:tcW w:w="856" w:type="dxa"/>
            <w:tcBorders>
              <w:top w:val="single" w:sz="6" w:space="0" w:color="auto"/>
              <w:left w:val="single" w:sz="6" w:space="0" w:color="auto"/>
              <w:bottom w:val="single" w:sz="6" w:space="0" w:color="auto"/>
              <w:right w:val="single" w:sz="6" w:space="0" w:color="auto"/>
            </w:tcBorders>
          </w:tcPr>
          <w:p w14:paraId="0A0597EF"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13A251BE"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5526960D" w14:textId="77777777" w:rsidR="00286F7D" w:rsidRPr="00286F7D" w:rsidRDefault="00286F7D" w:rsidP="00286F7D">
            <w:pPr>
              <w:pStyle w:val="Texttabulky"/>
              <w:spacing w:after="0"/>
              <w:rPr>
                <w:rFonts w:cs="Arial"/>
              </w:rPr>
            </w:pPr>
            <w:r w:rsidRPr="00286F7D">
              <w:rPr>
                <w:rFonts w:cs="Arial"/>
              </w:rPr>
              <w:t>-5</w:t>
            </w:r>
          </w:p>
        </w:tc>
        <w:tc>
          <w:tcPr>
            <w:tcW w:w="2428" w:type="dxa"/>
            <w:tcBorders>
              <w:top w:val="single" w:sz="6" w:space="0" w:color="auto"/>
              <w:left w:val="single" w:sz="6" w:space="0" w:color="auto"/>
              <w:bottom w:val="single" w:sz="6" w:space="0" w:color="auto"/>
              <w:right w:val="single" w:sz="6" w:space="0" w:color="auto"/>
            </w:tcBorders>
          </w:tcPr>
          <w:p w14:paraId="44575B1F"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627FACD4" w14:textId="77777777" w:rsidTr="00286F7D">
        <w:tc>
          <w:tcPr>
            <w:tcW w:w="426" w:type="dxa"/>
            <w:tcBorders>
              <w:top w:val="single" w:sz="6" w:space="0" w:color="auto"/>
              <w:left w:val="single" w:sz="6" w:space="0" w:color="auto"/>
              <w:bottom w:val="single" w:sz="6" w:space="0" w:color="auto"/>
              <w:right w:val="single" w:sz="6" w:space="0" w:color="auto"/>
            </w:tcBorders>
          </w:tcPr>
          <w:p w14:paraId="14A3D1C7" w14:textId="77777777" w:rsidR="00286F7D" w:rsidRPr="00286F7D" w:rsidRDefault="00286F7D" w:rsidP="00286F7D">
            <w:pPr>
              <w:pStyle w:val="Texttabulky"/>
              <w:spacing w:after="0"/>
              <w:jc w:val="right"/>
              <w:rPr>
                <w:rFonts w:cs="Arial"/>
              </w:rPr>
            </w:pPr>
            <w:r w:rsidRPr="00286F7D">
              <w:rPr>
                <w:rFonts w:cs="Arial"/>
              </w:rPr>
              <w:t>56</w:t>
            </w:r>
          </w:p>
        </w:tc>
        <w:tc>
          <w:tcPr>
            <w:tcW w:w="1984" w:type="dxa"/>
            <w:tcBorders>
              <w:top w:val="single" w:sz="6" w:space="0" w:color="auto"/>
              <w:left w:val="single" w:sz="6" w:space="0" w:color="auto"/>
              <w:bottom w:val="single" w:sz="6" w:space="0" w:color="auto"/>
              <w:right w:val="single" w:sz="6" w:space="0" w:color="auto"/>
            </w:tcBorders>
          </w:tcPr>
          <w:p w14:paraId="6BB36D39" w14:textId="77777777" w:rsidR="00286F7D" w:rsidRPr="00286F7D" w:rsidRDefault="00286F7D" w:rsidP="00286F7D">
            <w:pPr>
              <w:pStyle w:val="Texttabulky"/>
              <w:spacing w:after="0"/>
              <w:rPr>
                <w:rFonts w:cs="Arial"/>
              </w:rPr>
            </w:pPr>
            <w:r w:rsidRPr="00286F7D">
              <w:rPr>
                <w:rFonts w:cs="Arial"/>
              </w:rPr>
              <w:t>Hoštice</w:t>
            </w:r>
          </w:p>
        </w:tc>
        <w:tc>
          <w:tcPr>
            <w:tcW w:w="838" w:type="dxa"/>
            <w:tcBorders>
              <w:top w:val="single" w:sz="6" w:space="0" w:color="auto"/>
              <w:left w:val="single" w:sz="6" w:space="0" w:color="auto"/>
              <w:bottom w:val="single" w:sz="6" w:space="0" w:color="auto"/>
              <w:right w:val="single" w:sz="6" w:space="0" w:color="auto"/>
            </w:tcBorders>
          </w:tcPr>
          <w:p w14:paraId="5D720ACF" w14:textId="77777777" w:rsidR="00286F7D" w:rsidRPr="00286F7D" w:rsidRDefault="00286F7D" w:rsidP="00286F7D">
            <w:pPr>
              <w:pStyle w:val="Texttabulky"/>
              <w:spacing w:after="0"/>
              <w:rPr>
                <w:rFonts w:cs="Arial"/>
              </w:rPr>
            </w:pPr>
            <w:r w:rsidRPr="00286F7D">
              <w:rPr>
                <w:rFonts w:cs="Arial"/>
              </w:rPr>
              <w:t>-10</w:t>
            </w:r>
          </w:p>
        </w:tc>
        <w:tc>
          <w:tcPr>
            <w:tcW w:w="856" w:type="dxa"/>
            <w:tcBorders>
              <w:top w:val="single" w:sz="6" w:space="0" w:color="auto"/>
              <w:left w:val="single" w:sz="6" w:space="0" w:color="auto"/>
              <w:bottom w:val="single" w:sz="6" w:space="0" w:color="auto"/>
              <w:right w:val="single" w:sz="6" w:space="0" w:color="auto"/>
            </w:tcBorders>
          </w:tcPr>
          <w:p w14:paraId="7B157EA3" w14:textId="77777777" w:rsidR="00286F7D" w:rsidRPr="00286F7D" w:rsidRDefault="00286F7D" w:rsidP="00286F7D">
            <w:pPr>
              <w:pStyle w:val="Texttabulky"/>
              <w:spacing w:after="0"/>
              <w:rPr>
                <w:rFonts w:cs="Arial"/>
              </w:rPr>
            </w:pPr>
            <w:r w:rsidRPr="00286F7D">
              <w:rPr>
                <w:rFonts w:cs="Arial"/>
              </w:rPr>
              <w:t>0</w:t>
            </w:r>
          </w:p>
        </w:tc>
        <w:tc>
          <w:tcPr>
            <w:tcW w:w="999" w:type="dxa"/>
            <w:tcBorders>
              <w:top w:val="single" w:sz="6" w:space="0" w:color="auto"/>
              <w:left w:val="single" w:sz="6" w:space="0" w:color="auto"/>
              <w:bottom w:val="single" w:sz="6" w:space="0" w:color="auto"/>
              <w:right w:val="single" w:sz="6" w:space="0" w:color="auto"/>
            </w:tcBorders>
          </w:tcPr>
          <w:p w14:paraId="02A83272" w14:textId="77777777" w:rsidR="00286F7D" w:rsidRPr="00286F7D" w:rsidRDefault="00286F7D" w:rsidP="00286F7D">
            <w:pPr>
              <w:pStyle w:val="Texttabulky"/>
              <w:spacing w:after="0"/>
              <w:rPr>
                <w:rFonts w:cs="Arial"/>
              </w:rPr>
            </w:pPr>
            <w:r w:rsidRPr="00286F7D">
              <w:rPr>
                <w:rFonts w:cs="Arial"/>
              </w:rPr>
              <w:t>0</w:t>
            </w:r>
          </w:p>
        </w:tc>
        <w:tc>
          <w:tcPr>
            <w:tcW w:w="993" w:type="dxa"/>
            <w:tcBorders>
              <w:top w:val="single" w:sz="6" w:space="0" w:color="auto"/>
              <w:left w:val="single" w:sz="6" w:space="0" w:color="auto"/>
              <w:bottom w:val="single" w:sz="6" w:space="0" w:color="auto"/>
              <w:right w:val="single" w:sz="6" w:space="0" w:color="auto"/>
            </w:tcBorders>
          </w:tcPr>
          <w:p w14:paraId="09A40361" w14:textId="77777777" w:rsidR="00286F7D" w:rsidRPr="00286F7D" w:rsidRDefault="00286F7D" w:rsidP="00286F7D">
            <w:pPr>
              <w:pStyle w:val="Texttabulky"/>
              <w:spacing w:after="0"/>
              <w:rPr>
                <w:rFonts w:cs="Arial"/>
              </w:rPr>
            </w:pPr>
            <w:r w:rsidRPr="00286F7D">
              <w:rPr>
                <w:rFonts w:cs="Arial"/>
              </w:rPr>
              <w:t>-10</w:t>
            </w:r>
          </w:p>
        </w:tc>
        <w:tc>
          <w:tcPr>
            <w:tcW w:w="2428" w:type="dxa"/>
            <w:tcBorders>
              <w:top w:val="single" w:sz="6" w:space="0" w:color="auto"/>
              <w:left w:val="single" w:sz="6" w:space="0" w:color="auto"/>
              <w:bottom w:val="single" w:sz="6" w:space="0" w:color="auto"/>
              <w:right w:val="single" w:sz="6" w:space="0" w:color="auto"/>
            </w:tcBorders>
          </w:tcPr>
          <w:p w14:paraId="74224A0C" w14:textId="77777777" w:rsidR="00286F7D" w:rsidRPr="00286F7D" w:rsidRDefault="00286F7D" w:rsidP="00286F7D">
            <w:pPr>
              <w:pStyle w:val="Texttabulky"/>
              <w:spacing w:after="0"/>
              <w:rPr>
                <w:rFonts w:cs="Arial"/>
              </w:rPr>
            </w:pPr>
            <w:r w:rsidRPr="00286F7D">
              <w:rPr>
                <w:rFonts w:cs="Arial"/>
              </w:rPr>
              <w:t>řešit individuelně RD</w:t>
            </w:r>
          </w:p>
        </w:tc>
      </w:tr>
      <w:tr w:rsidR="00286F7D" w:rsidRPr="00286F7D" w14:paraId="124643EA" w14:textId="77777777" w:rsidTr="00286F7D">
        <w:tc>
          <w:tcPr>
            <w:tcW w:w="426" w:type="dxa"/>
            <w:tcBorders>
              <w:top w:val="single" w:sz="6" w:space="0" w:color="auto"/>
              <w:left w:val="single" w:sz="6" w:space="0" w:color="auto"/>
              <w:bottom w:val="single" w:sz="6" w:space="0" w:color="auto"/>
              <w:right w:val="single" w:sz="6" w:space="0" w:color="auto"/>
            </w:tcBorders>
          </w:tcPr>
          <w:p w14:paraId="57162318" w14:textId="77777777" w:rsidR="00286F7D" w:rsidRPr="00286F7D" w:rsidRDefault="00286F7D" w:rsidP="00286F7D">
            <w:pPr>
              <w:pStyle w:val="Texttabulky"/>
              <w:spacing w:after="0"/>
              <w:rPr>
                <w:rFonts w:cs="Arial"/>
              </w:rPr>
            </w:pPr>
            <w:r w:rsidRPr="00286F7D">
              <w:rPr>
                <w:rFonts w:cs="Arial"/>
                <w:b/>
                <w:bCs/>
              </w:rPr>
              <w:t xml:space="preserve"> IX</w:t>
            </w:r>
          </w:p>
        </w:tc>
        <w:tc>
          <w:tcPr>
            <w:tcW w:w="1984" w:type="dxa"/>
            <w:tcBorders>
              <w:top w:val="single" w:sz="6" w:space="0" w:color="auto"/>
              <w:left w:val="single" w:sz="6" w:space="0" w:color="auto"/>
              <w:bottom w:val="single" w:sz="6" w:space="0" w:color="auto"/>
              <w:right w:val="single" w:sz="6" w:space="0" w:color="auto"/>
            </w:tcBorders>
          </w:tcPr>
          <w:p w14:paraId="074D4702" w14:textId="77777777" w:rsidR="00286F7D" w:rsidRPr="00286F7D" w:rsidRDefault="00286F7D" w:rsidP="00286F7D">
            <w:pPr>
              <w:pStyle w:val="Texttabulky"/>
              <w:spacing w:after="0"/>
              <w:rPr>
                <w:rFonts w:cs="Arial"/>
              </w:rPr>
            </w:pPr>
            <w:r w:rsidRPr="00286F7D">
              <w:rPr>
                <w:rFonts w:cs="Arial"/>
                <w:b/>
                <w:bCs/>
                <w:caps/>
              </w:rPr>
              <w:t>sektor celkem</w:t>
            </w:r>
          </w:p>
        </w:tc>
        <w:tc>
          <w:tcPr>
            <w:tcW w:w="838" w:type="dxa"/>
            <w:tcBorders>
              <w:top w:val="single" w:sz="6" w:space="0" w:color="auto"/>
              <w:left w:val="single" w:sz="6" w:space="0" w:color="auto"/>
              <w:bottom w:val="single" w:sz="6" w:space="0" w:color="auto"/>
              <w:right w:val="single" w:sz="6" w:space="0" w:color="auto"/>
            </w:tcBorders>
          </w:tcPr>
          <w:p w14:paraId="3AA9D1CC" w14:textId="77777777" w:rsidR="00286F7D" w:rsidRPr="00286F7D" w:rsidRDefault="00286F7D" w:rsidP="00286F7D">
            <w:pPr>
              <w:pStyle w:val="Texttabulky"/>
              <w:spacing w:after="0"/>
              <w:rPr>
                <w:rFonts w:cs="Arial"/>
              </w:rPr>
            </w:pPr>
            <w:r w:rsidRPr="00286F7D">
              <w:rPr>
                <w:rFonts w:cs="Arial"/>
                <w:b/>
                <w:bCs/>
              </w:rPr>
              <w:t>- 505</w:t>
            </w:r>
          </w:p>
        </w:tc>
        <w:tc>
          <w:tcPr>
            <w:tcW w:w="856" w:type="dxa"/>
            <w:tcBorders>
              <w:top w:val="single" w:sz="6" w:space="0" w:color="auto"/>
              <w:left w:val="single" w:sz="6" w:space="0" w:color="auto"/>
              <w:bottom w:val="single" w:sz="6" w:space="0" w:color="auto"/>
              <w:right w:val="single" w:sz="6" w:space="0" w:color="auto"/>
            </w:tcBorders>
          </w:tcPr>
          <w:p w14:paraId="1FE2502F" w14:textId="77777777" w:rsidR="00286F7D" w:rsidRPr="00286F7D" w:rsidRDefault="00286F7D" w:rsidP="00286F7D">
            <w:pPr>
              <w:pStyle w:val="Texttabulky"/>
              <w:spacing w:after="0"/>
              <w:rPr>
                <w:rFonts w:cs="Arial"/>
              </w:rPr>
            </w:pPr>
            <w:r w:rsidRPr="00286F7D">
              <w:rPr>
                <w:rFonts w:cs="Arial"/>
                <w:b/>
                <w:bCs/>
              </w:rPr>
              <w:t>0</w:t>
            </w:r>
          </w:p>
        </w:tc>
        <w:tc>
          <w:tcPr>
            <w:tcW w:w="999" w:type="dxa"/>
            <w:tcBorders>
              <w:top w:val="single" w:sz="6" w:space="0" w:color="auto"/>
              <w:left w:val="single" w:sz="6" w:space="0" w:color="auto"/>
              <w:bottom w:val="single" w:sz="6" w:space="0" w:color="auto"/>
              <w:right w:val="single" w:sz="6" w:space="0" w:color="auto"/>
            </w:tcBorders>
          </w:tcPr>
          <w:p w14:paraId="482AE315" w14:textId="77777777" w:rsidR="00286F7D" w:rsidRPr="00286F7D" w:rsidRDefault="00286F7D" w:rsidP="00286F7D">
            <w:pPr>
              <w:pStyle w:val="Texttabulky"/>
              <w:spacing w:after="0"/>
              <w:rPr>
                <w:rFonts w:cs="Arial"/>
              </w:rPr>
            </w:pPr>
            <w:r w:rsidRPr="00286F7D">
              <w:rPr>
                <w:rFonts w:cs="Arial"/>
                <w:b/>
                <w:bCs/>
              </w:rPr>
              <w:t>33</w:t>
            </w:r>
          </w:p>
        </w:tc>
        <w:tc>
          <w:tcPr>
            <w:tcW w:w="993" w:type="dxa"/>
            <w:tcBorders>
              <w:top w:val="single" w:sz="6" w:space="0" w:color="auto"/>
              <w:left w:val="single" w:sz="6" w:space="0" w:color="auto"/>
              <w:bottom w:val="single" w:sz="6" w:space="0" w:color="auto"/>
              <w:right w:val="single" w:sz="6" w:space="0" w:color="auto"/>
            </w:tcBorders>
          </w:tcPr>
          <w:p w14:paraId="30566576" w14:textId="77777777" w:rsidR="00286F7D" w:rsidRPr="00286F7D" w:rsidRDefault="00286F7D" w:rsidP="00286F7D">
            <w:pPr>
              <w:pStyle w:val="Texttabulky"/>
              <w:spacing w:after="0"/>
              <w:rPr>
                <w:rFonts w:cs="Arial"/>
              </w:rPr>
            </w:pPr>
            <w:r w:rsidRPr="00286F7D">
              <w:rPr>
                <w:rFonts w:cs="Arial"/>
                <w:b/>
                <w:bCs/>
              </w:rPr>
              <w:t>- 472</w:t>
            </w:r>
          </w:p>
        </w:tc>
        <w:tc>
          <w:tcPr>
            <w:tcW w:w="2428" w:type="dxa"/>
            <w:tcBorders>
              <w:top w:val="single" w:sz="6" w:space="0" w:color="auto"/>
              <w:left w:val="single" w:sz="6" w:space="0" w:color="auto"/>
              <w:bottom w:val="single" w:sz="6" w:space="0" w:color="auto"/>
              <w:right w:val="single" w:sz="6" w:space="0" w:color="auto"/>
            </w:tcBorders>
          </w:tcPr>
          <w:p w14:paraId="7D7F289E" w14:textId="77777777" w:rsidR="00286F7D" w:rsidRPr="00286F7D" w:rsidRDefault="00286F7D" w:rsidP="00286F7D">
            <w:pPr>
              <w:pStyle w:val="Zkladntext"/>
              <w:spacing w:after="0"/>
              <w:rPr>
                <w:rFonts w:ascii="Arial" w:hAnsi="Arial" w:cs="Arial"/>
              </w:rPr>
            </w:pPr>
          </w:p>
        </w:tc>
      </w:tr>
      <w:tr w:rsidR="00286F7D" w:rsidRPr="00286F7D" w14:paraId="356AF753" w14:textId="77777777" w:rsidTr="00286F7D">
        <w:tc>
          <w:tcPr>
            <w:tcW w:w="426" w:type="dxa"/>
            <w:tcBorders>
              <w:top w:val="single" w:sz="6" w:space="0" w:color="auto"/>
              <w:left w:val="single" w:sz="6" w:space="0" w:color="auto"/>
              <w:bottom w:val="single" w:sz="6" w:space="0" w:color="auto"/>
              <w:right w:val="single" w:sz="6" w:space="0" w:color="auto"/>
            </w:tcBorders>
          </w:tcPr>
          <w:p w14:paraId="2CA82E11" w14:textId="77777777" w:rsidR="00286F7D" w:rsidRPr="00286F7D" w:rsidRDefault="00286F7D" w:rsidP="00286F7D">
            <w:pPr>
              <w:pStyle w:val="Texttabulky"/>
              <w:spacing w:after="0"/>
              <w:rPr>
                <w:rFonts w:cs="Arial"/>
              </w:rPr>
            </w:pPr>
            <w:r w:rsidRPr="00286F7D">
              <w:rPr>
                <w:rFonts w:cs="Arial"/>
                <w:b/>
                <w:bCs/>
              </w:rPr>
              <w:t>I-IX</w:t>
            </w:r>
          </w:p>
        </w:tc>
        <w:tc>
          <w:tcPr>
            <w:tcW w:w="1984" w:type="dxa"/>
            <w:tcBorders>
              <w:top w:val="single" w:sz="6" w:space="0" w:color="auto"/>
              <w:left w:val="single" w:sz="6" w:space="0" w:color="auto"/>
              <w:bottom w:val="single" w:sz="6" w:space="0" w:color="auto"/>
              <w:right w:val="single" w:sz="6" w:space="0" w:color="auto"/>
            </w:tcBorders>
          </w:tcPr>
          <w:p w14:paraId="4AFC15A5" w14:textId="77777777" w:rsidR="00286F7D" w:rsidRPr="00286F7D" w:rsidRDefault="00286F7D" w:rsidP="00286F7D">
            <w:pPr>
              <w:pStyle w:val="Texttabulky"/>
              <w:spacing w:after="0"/>
              <w:rPr>
                <w:rFonts w:cs="Arial"/>
              </w:rPr>
            </w:pPr>
            <w:r w:rsidRPr="00286F7D">
              <w:rPr>
                <w:rFonts w:cs="Arial"/>
                <w:b/>
                <w:bCs/>
                <w:caps/>
              </w:rPr>
              <w:t>město celkem</w:t>
            </w:r>
          </w:p>
        </w:tc>
        <w:tc>
          <w:tcPr>
            <w:tcW w:w="838" w:type="dxa"/>
            <w:tcBorders>
              <w:top w:val="single" w:sz="6" w:space="0" w:color="auto"/>
              <w:left w:val="single" w:sz="6" w:space="0" w:color="auto"/>
              <w:bottom w:val="single" w:sz="6" w:space="0" w:color="auto"/>
              <w:right w:val="single" w:sz="6" w:space="0" w:color="auto"/>
            </w:tcBorders>
          </w:tcPr>
          <w:p w14:paraId="43D7421E" w14:textId="77777777" w:rsidR="00286F7D" w:rsidRPr="00286F7D" w:rsidRDefault="00286F7D" w:rsidP="00286F7D">
            <w:pPr>
              <w:pStyle w:val="Texttabulky"/>
              <w:spacing w:after="0"/>
              <w:rPr>
                <w:rFonts w:cs="Arial"/>
              </w:rPr>
            </w:pPr>
            <w:r w:rsidRPr="00286F7D">
              <w:rPr>
                <w:rFonts w:cs="Arial"/>
                <w:b/>
                <w:bCs/>
              </w:rPr>
              <w:t>+15 286</w:t>
            </w:r>
          </w:p>
        </w:tc>
        <w:tc>
          <w:tcPr>
            <w:tcW w:w="856" w:type="dxa"/>
            <w:tcBorders>
              <w:top w:val="single" w:sz="6" w:space="0" w:color="auto"/>
              <w:left w:val="single" w:sz="6" w:space="0" w:color="auto"/>
              <w:bottom w:val="single" w:sz="6" w:space="0" w:color="auto"/>
              <w:right w:val="single" w:sz="6" w:space="0" w:color="auto"/>
            </w:tcBorders>
          </w:tcPr>
          <w:p w14:paraId="3410574F" w14:textId="77777777" w:rsidR="00286F7D" w:rsidRPr="00286F7D" w:rsidRDefault="00286F7D" w:rsidP="00286F7D">
            <w:pPr>
              <w:pStyle w:val="Texttabulky"/>
              <w:spacing w:after="0"/>
              <w:rPr>
                <w:rFonts w:cs="Arial"/>
              </w:rPr>
            </w:pPr>
            <w:r w:rsidRPr="00286F7D">
              <w:rPr>
                <w:rFonts w:cs="Arial"/>
                <w:b/>
                <w:bCs/>
              </w:rPr>
              <w:t>+ 38</w:t>
            </w:r>
            <w:r w:rsidRPr="00286F7D">
              <w:rPr>
                <w:rFonts w:cs="Arial"/>
              </w:rPr>
              <w:t xml:space="preserve"> </w:t>
            </w:r>
          </w:p>
        </w:tc>
        <w:tc>
          <w:tcPr>
            <w:tcW w:w="999" w:type="dxa"/>
            <w:tcBorders>
              <w:top w:val="single" w:sz="6" w:space="0" w:color="auto"/>
              <w:left w:val="single" w:sz="6" w:space="0" w:color="auto"/>
              <w:bottom w:val="single" w:sz="6" w:space="0" w:color="auto"/>
              <w:right w:val="single" w:sz="6" w:space="0" w:color="auto"/>
            </w:tcBorders>
          </w:tcPr>
          <w:p w14:paraId="71F24671" w14:textId="77777777" w:rsidR="00286F7D" w:rsidRPr="00286F7D" w:rsidRDefault="00286F7D" w:rsidP="00286F7D">
            <w:pPr>
              <w:pStyle w:val="Texttabulky"/>
              <w:spacing w:after="0"/>
              <w:rPr>
                <w:rFonts w:cs="Arial"/>
              </w:rPr>
            </w:pPr>
            <w:r w:rsidRPr="00286F7D">
              <w:rPr>
                <w:rFonts w:cs="Arial"/>
                <w:b/>
                <w:bCs/>
              </w:rPr>
              <w:t>+7 040</w:t>
            </w:r>
          </w:p>
        </w:tc>
        <w:tc>
          <w:tcPr>
            <w:tcW w:w="993" w:type="dxa"/>
            <w:tcBorders>
              <w:top w:val="single" w:sz="6" w:space="0" w:color="auto"/>
              <w:left w:val="single" w:sz="6" w:space="0" w:color="auto"/>
              <w:bottom w:val="single" w:sz="6" w:space="0" w:color="auto"/>
              <w:right w:val="single" w:sz="6" w:space="0" w:color="auto"/>
            </w:tcBorders>
          </w:tcPr>
          <w:p w14:paraId="76854799" w14:textId="77777777" w:rsidR="00286F7D" w:rsidRPr="00286F7D" w:rsidRDefault="00286F7D" w:rsidP="00286F7D">
            <w:pPr>
              <w:pStyle w:val="Texttabulky"/>
              <w:spacing w:after="0"/>
              <w:rPr>
                <w:rFonts w:cs="Arial"/>
              </w:rPr>
            </w:pPr>
            <w:r w:rsidRPr="00286F7D">
              <w:rPr>
                <w:rFonts w:cs="Arial"/>
                <w:b/>
                <w:bCs/>
              </w:rPr>
              <w:t>+22 364</w:t>
            </w:r>
          </w:p>
        </w:tc>
        <w:tc>
          <w:tcPr>
            <w:tcW w:w="2428" w:type="dxa"/>
            <w:tcBorders>
              <w:top w:val="single" w:sz="6" w:space="0" w:color="auto"/>
              <w:left w:val="single" w:sz="6" w:space="0" w:color="auto"/>
              <w:bottom w:val="single" w:sz="6" w:space="0" w:color="auto"/>
              <w:right w:val="single" w:sz="6" w:space="0" w:color="auto"/>
            </w:tcBorders>
          </w:tcPr>
          <w:p w14:paraId="72189DCF" w14:textId="77777777" w:rsidR="00286F7D" w:rsidRPr="00286F7D" w:rsidRDefault="00286F7D" w:rsidP="00286F7D">
            <w:pPr>
              <w:pStyle w:val="Zkladntext"/>
              <w:spacing w:after="0"/>
              <w:rPr>
                <w:rFonts w:ascii="Arial" w:hAnsi="Arial" w:cs="Arial"/>
              </w:rPr>
            </w:pPr>
          </w:p>
        </w:tc>
      </w:tr>
    </w:tbl>
    <w:p w14:paraId="639EFEFF" w14:textId="77777777" w:rsidR="00286F7D" w:rsidRPr="00286F7D" w:rsidRDefault="00286F7D" w:rsidP="00286F7D">
      <w:pPr>
        <w:autoSpaceDE w:val="0"/>
        <w:autoSpaceDN w:val="0"/>
        <w:adjustRightInd w:val="0"/>
        <w:spacing w:before="120" w:line="288" w:lineRule="auto"/>
        <w:jc w:val="both"/>
        <w:rPr>
          <w:rFonts w:ascii="Arial" w:hAnsi="Arial" w:cs="Arial"/>
          <w:sz w:val="20"/>
        </w:rPr>
      </w:pPr>
    </w:p>
    <w:p w14:paraId="65A9604A" w14:textId="77777777" w:rsidR="00286F7D" w:rsidRPr="00286F7D" w:rsidRDefault="00286F7D" w:rsidP="00286F7D">
      <w:pPr>
        <w:autoSpaceDE w:val="0"/>
        <w:autoSpaceDN w:val="0"/>
        <w:adjustRightInd w:val="0"/>
        <w:spacing w:before="120" w:line="288" w:lineRule="auto"/>
        <w:jc w:val="both"/>
        <w:rPr>
          <w:rFonts w:ascii="Arial" w:hAnsi="Arial" w:cs="Arial"/>
          <w:b/>
          <w:bCs/>
          <w:sz w:val="32"/>
          <w:szCs w:val="32"/>
        </w:rPr>
      </w:pPr>
      <w:r w:rsidRPr="00286F7D">
        <w:rPr>
          <w:rFonts w:ascii="Arial" w:hAnsi="Arial" w:cs="Arial"/>
          <w:b/>
          <w:bCs/>
          <w:sz w:val="32"/>
          <w:szCs w:val="32"/>
        </w:rPr>
        <w:t>O7. NÁVRH OCHRANY OBYVATELSTVA UKRYTÍM</w:t>
      </w:r>
    </w:p>
    <w:p w14:paraId="2DDFE70D"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Návrh řeší možnosti ukrytí všeho obyvatelstva města (trvale bydlící obyvatelé, žáci a studenti škol, pracovníci subjektů ekonomické základny) v případě mimořádné situace v:</w:t>
      </w:r>
    </w:p>
    <w:p w14:paraId="01AFB458" w14:textId="77777777" w:rsidR="00286F7D" w:rsidRPr="00286F7D" w:rsidRDefault="00286F7D" w:rsidP="00F32769">
      <w:pPr>
        <w:pStyle w:val="Znaka1"/>
        <w:numPr>
          <w:ilvl w:val="0"/>
          <w:numId w:val="117"/>
        </w:numPr>
        <w:spacing w:before="120" w:line="288" w:lineRule="auto"/>
        <w:ind w:left="426"/>
        <w:jc w:val="both"/>
        <w:rPr>
          <w:rFonts w:cs="Arial"/>
          <w:sz w:val="22"/>
          <w:szCs w:val="22"/>
        </w:rPr>
      </w:pPr>
      <w:r w:rsidRPr="00286F7D">
        <w:rPr>
          <w:rFonts w:cs="Arial"/>
          <w:b/>
          <w:bCs/>
          <w:sz w:val="22"/>
          <w:szCs w:val="22"/>
        </w:rPr>
        <w:t>protiradiačních úkrytech budovaných svépomocí - PRÚ BS</w:t>
      </w:r>
      <w:r w:rsidRPr="00286F7D">
        <w:rPr>
          <w:rFonts w:cs="Arial"/>
          <w:sz w:val="22"/>
          <w:szCs w:val="22"/>
        </w:rPr>
        <w:t>;</w:t>
      </w:r>
    </w:p>
    <w:p w14:paraId="4CA6468B" w14:textId="77777777" w:rsidR="00286F7D" w:rsidRPr="00286F7D" w:rsidRDefault="00286F7D" w:rsidP="00F32769">
      <w:pPr>
        <w:pStyle w:val="Znaka1"/>
        <w:numPr>
          <w:ilvl w:val="0"/>
          <w:numId w:val="117"/>
        </w:numPr>
        <w:spacing w:before="120" w:line="288" w:lineRule="auto"/>
        <w:ind w:left="426"/>
        <w:jc w:val="both"/>
        <w:rPr>
          <w:rFonts w:cs="Arial"/>
          <w:sz w:val="22"/>
          <w:szCs w:val="22"/>
        </w:rPr>
      </w:pPr>
      <w:r w:rsidRPr="00286F7D">
        <w:rPr>
          <w:rFonts w:cs="Arial"/>
          <w:sz w:val="22"/>
          <w:szCs w:val="22"/>
        </w:rPr>
        <w:lastRenderedPageBreak/>
        <w:t>v lokalitách a objektech k tomu vhodných v členění po UO a sektorech města a zahrnujících základní informace o jejich využití, funkci a možném pořadí výstavby;</w:t>
      </w:r>
    </w:p>
    <w:p w14:paraId="21ED33A4" w14:textId="77777777" w:rsidR="00286F7D" w:rsidRPr="00286F7D" w:rsidRDefault="00286F7D" w:rsidP="00F32769">
      <w:pPr>
        <w:pStyle w:val="Znaka1"/>
        <w:numPr>
          <w:ilvl w:val="0"/>
          <w:numId w:val="117"/>
        </w:numPr>
        <w:spacing w:before="120" w:line="288" w:lineRule="auto"/>
        <w:ind w:left="426"/>
        <w:jc w:val="both"/>
        <w:rPr>
          <w:rFonts w:cs="Arial"/>
          <w:sz w:val="22"/>
          <w:szCs w:val="22"/>
        </w:rPr>
      </w:pPr>
      <w:r w:rsidRPr="00286F7D">
        <w:rPr>
          <w:rFonts w:cs="Arial"/>
          <w:sz w:val="22"/>
          <w:szCs w:val="22"/>
        </w:rPr>
        <w:t>v max. míře upřednostňuje vhodné objekty se zapuštěným podlažím, jako jsou městské domy (MD), bytové domy (BD), podzemní parkoviště (PP) a halové garáže (HG).</w:t>
      </w:r>
    </w:p>
    <w:p w14:paraId="23E2EFB3"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Jedná se tedy o návrh kapacit ukrytí do objektů a zařízení, která mohou výhledově optimálně plnit funkci dvouúčelových objektů a postupně nahradit chybějící deficity nebo i méně vhodná stávající zařízení, neboť nejen v průběhu minulých let, ale i v současnosti, došlo a dochází k celé řadě změn (změna funkce a využití objektů a areálů, likvidace stávajících zařízení a provozů, výstavba nových provozních jednotek apod.).</w:t>
      </w:r>
    </w:p>
    <w:p w14:paraId="541266B1" w14:textId="77777777" w:rsidR="00286F7D" w:rsidRPr="00286F7D" w:rsidRDefault="00286F7D" w:rsidP="00286F7D">
      <w:pPr>
        <w:pStyle w:val="Zkladntext"/>
        <w:spacing w:before="120" w:line="288" w:lineRule="auto"/>
        <w:jc w:val="both"/>
        <w:rPr>
          <w:rFonts w:ascii="Arial" w:hAnsi="Arial" w:cs="Arial"/>
          <w:sz w:val="28"/>
          <w:szCs w:val="28"/>
        </w:rPr>
      </w:pPr>
      <w:r w:rsidRPr="00286F7D">
        <w:rPr>
          <w:rFonts w:ascii="Arial" w:hAnsi="Arial" w:cs="Arial"/>
          <w:b/>
          <w:bCs/>
          <w:caps/>
          <w:sz w:val="28"/>
          <w:szCs w:val="28"/>
        </w:rPr>
        <w:t>individuelní ochrana obyvatelstva</w:t>
      </w:r>
    </w:p>
    <w:p w14:paraId="60FA64C6"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 xml:space="preserve">V současné době slouží jako hlavní skladovací prostory </w:t>
      </w:r>
      <w:r w:rsidRPr="00286F7D">
        <w:rPr>
          <w:rFonts w:ascii="Arial" w:hAnsi="Arial" w:cs="Arial"/>
          <w:b/>
          <w:bCs/>
          <w:sz w:val="22"/>
          <w:szCs w:val="22"/>
        </w:rPr>
        <w:t>materiálu PIO</w:t>
      </w:r>
      <w:r w:rsidRPr="00286F7D">
        <w:rPr>
          <w:rFonts w:ascii="Arial" w:hAnsi="Arial" w:cs="Arial"/>
          <w:sz w:val="22"/>
          <w:szCs w:val="22"/>
        </w:rPr>
        <w:t xml:space="preserve"> objekt v Malé veleni se sítí 21 výdejních středisek (převážně školy) na území města.</w:t>
      </w:r>
    </w:p>
    <w:p w14:paraId="00F8DCEB"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 xml:space="preserve">S ohledem na novou připravovanou koncepci (PIO bude vlastnit každý občan) se nové skladovací prostory a výdejní místa </w:t>
      </w:r>
      <w:r w:rsidRPr="00286F7D">
        <w:rPr>
          <w:rFonts w:ascii="Arial" w:hAnsi="Arial" w:cs="Arial"/>
          <w:b/>
          <w:bCs/>
          <w:sz w:val="22"/>
          <w:szCs w:val="22"/>
        </w:rPr>
        <w:t>nenavrhují.</w:t>
      </w:r>
    </w:p>
    <w:p w14:paraId="663FE6CE" w14:textId="77777777" w:rsidR="00286F7D" w:rsidRPr="00286F7D" w:rsidRDefault="00286F7D" w:rsidP="00286F7D">
      <w:pPr>
        <w:pStyle w:val="Zkladntext"/>
        <w:spacing w:before="120" w:line="288" w:lineRule="auto"/>
        <w:jc w:val="both"/>
        <w:rPr>
          <w:rFonts w:ascii="Arial" w:hAnsi="Arial" w:cs="Arial"/>
          <w:b/>
          <w:bCs/>
          <w:caps/>
          <w:sz w:val="28"/>
          <w:szCs w:val="28"/>
        </w:rPr>
      </w:pPr>
      <w:r w:rsidRPr="00286F7D">
        <w:rPr>
          <w:rFonts w:ascii="Arial" w:hAnsi="Arial" w:cs="Arial"/>
          <w:b/>
          <w:bCs/>
          <w:caps/>
          <w:sz w:val="28"/>
          <w:szCs w:val="28"/>
        </w:rPr>
        <w:t>evakuace osob</w:t>
      </w:r>
    </w:p>
    <w:p w14:paraId="3C8658F6"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V případě mimořádné situace se k evakuaci obyvatel navrhují následující prostory:</w:t>
      </w:r>
    </w:p>
    <w:p w14:paraId="090F986F" w14:textId="77777777" w:rsidR="00286F7D" w:rsidRPr="00286F7D" w:rsidRDefault="00286F7D" w:rsidP="00F32769">
      <w:pPr>
        <w:pStyle w:val="Znaka1"/>
        <w:numPr>
          <w:ilvl w:val="0"/>
          <w:numId w:val="118"/>
        </w:numPr>
        <w:spacing w:before="120" w:line="288" w:lineRule="auto"/>
        <w:ind w:left="426"/>
        <w:jc w:val="both"/>
        <w:rPr>
          <w:rFonts w:cs="Arial"/>
          <w:sz w:val="22"/>
          <w:szCs w:val="22"/>
        </w:rPr>
      </w:pPr>
      <w:r w:rsidRPr="00286F7D">
        <w:rPr>
          <w:rFonts w:cs="Arial"/>
          <w:b/>
          <w:bCs/>
          <w:sz w:val="22"/>
          <w:szCs w:val="22"/>
        </w:rPr>
        <w:t xml:space="preserve">dlouhodobé s ubytováním </w:t>
      </w:r>
      <w:r w:rsidRPr="00286F7D">
        <w:rPr>
          <w:rFonts w:cs="Arial"/>
          <w:sz w:val="22"/>
          <w:szCs w:val="22"/>
        </w:rPr>
        <w:t>Maxičky ( 440 m n.m.), Ludvíkovice - střelnice ( kat. území Huntířov, 340 m n.m.) a Stará Oleška (chatové tábory a kempinky);</w:t>
      </w:r>
    </w:p>
    <w:p w14:paraId="36577D3E" w14:textId="77777777" w:rsidR="00286F7D" w:rsidRPr="00286F7D" w:rsidRDefault="00286F7D" w:rsidP="00F32769">
      <w:pPr>
        <w:pStyle w:val="Znaka1"/>
        <w:numPr>
          <w:ilvl w:val="0"/>
          <w:numId w:val="118"/>
        </w:numPr>
        <w:spacing w:before="120" w:line="288" w:lineRule="auto"/>
        <w:ind w:left="426"/>
        <w:jc w:val="both"/>
        <w:rPr>
          <w:rFonts w:cs="Arial"/>
          <w:sz w:val="22"/>
          <w:szCs w:val="22"/>
        </w:rPr>
      </w:pPr>
      <w:r w:rsidRPr="00286F7D">
        <w:rPr>
          <w:rFonts w:cs="Arial"/>
          <w:b/>
          <w:bCs/>
          <w:sz w:val="22"/>
          <w:szCs w:val="22"/>
        </w:rPr>
        <w:t xml:space="preserve">krátkodobé bez ubytování </w:t>
      </w:r>
      <w:r w:rsidRPr="00286F7D">
        <w:rPr>
          <w:rFonts w:cs="Arial"/>
          <w:sz w:val="22"/>
          <w:szCs w:val="22"/>
        </w:rPr>
        <w:t>Horní Chlum (400 m n.m.), Lesná a Lesní mlýn (430 m n.m.), Dobrná (43 m n.m.), Ludvíkovice (310 m n.m.) a Krásný Studenec (západní část).</w:t>
      </w:r>
    </w:p>
    <w:p w14:paraId="556C7FB9" w14:textId="77777777" w:rsidR="00286F7D" w:rsidRPr="00286F7D" w:rsidRDefault="00286F7D" w:rsidP="00286F7D">
      <w:pPr>
        <w:pStyle w:val="Zkladntext"/>
        <w:spacing w:before="120" w:line="288" w:lineRule="auto"/>
        <w:jc w:val="both"/>
        <w:rPr>
          <w:rFonts w:ascii="Arial" w:hAnsi="Arial" w:cs="Arial"/>
          <w:b/>
          <w:bCs/>
          <w:caps/>
          <w:sz w:val="28"/>
          <w:szCs w:val="28"/>
        </w:rPr>
      </w:pPr>
      <w:r w:rsidRPr="00286F7D">
        <w:rPr>
          <w:rFonts w:ascii="Arial" w:hAnsi="Arial" w:cs="Arial"/>
          <w:b/>
          <w:bCs/>
          <w:caps/>
          <w:sz w:val="28"/>
          <w:szCs w:val="28"/>
        </w:rPr>
        <w:t>ZÁCHRANNÉ PRÁCE</w:t>
      </w:r>
    </w:p>
    <w:p w14:paraId="3E6CD1FF"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Při projektové přípravě (územní rozhodnutí a stavební povolení) a následné realizaci nových objektů a zařízení doporučených pro využití při mimořádných událostech (ukrytí) je nutno:</w:t>
      </w:r>
    </w:p>
    <w:p w14:paraId="6FC0EBCA" w14:textId="77777777" w:rsidR="00286F7D" w:rsidRPr="00286F7D" w:rsidRDefault="00286F7D" w:rsidP="00F32769">
      <w:pPr>
        <w:pStyle w:val="Znaka1"/>
        <w:numPr>
          <w:ilvl w:val="0"/>
          <w:numId w:val="118"/>
        </w:numPr>
        <w:spacing w:before="120" w:line="288" w:lineRule="auto"/>
        <w:ind w:left="426"/>
        <w:jc w:val="both"/>
        <w:rPr>
          <w:rFonts w:cs="Arial"/>
          <w:bCs/>
          <w:sz w:val="22"/>
          <w:szCs w:val="22"/>
        </w:rPr>
      </w:pPr>
      <w:r w:rsidRPr="00286F7D">
        <w:rPr>
          <w:rFonts w:cs="Arial"/>
          <w:bCs/>
          <w:sz w:val="22"/>
          <w:szCs w:val="22"/>
        </w:rPr>
        <w:t>vycházet ze zákona č. 239 a připravovaných prováděcích vyhlášek;</w:t>
      </w:r>
    </w:p>
    <w:p w14:paraId="5722A183" w14:textId="77777777" w:rsidR="00286F7D" w:rsidRPr="00286F7D" w:rsidRDefault="00286F7D" w:rsidP="00F32769">
      <w:pPr>
        <w:pStyle w:val="Znaka1"/>
        <w:numPr>
          <w:ilvl w:val="0"/>
          <w:numId w:val="118"/>
        </w:numPr>
        <w:spacing w:before="120" w:line="288" w:lineRule="auto"/>
        <w:ind w:left="426"/>
        <w:jc w:val="both"/>
        <w:rPr>
          <w:rFonts w:cs="Arial"/>
          <w:bCs/>
          <w:sz w:val="22"/>
          <w:szCs w:val="22"/>
        </w:rPr>
      </w:pPr>
      <w:r w:rsidRPr="00286F7D">
        <w:rPr>
          <w:rFonts w:cs="Arial"/>
          <w:bCs/>
          <w:sz w:val="22"/>
          <w:szCs w:val="22"/>
        </w:rPr>
        <w:t>vycházet z požadavků "Technických opatření CO na území ČR - hlava 2 a 3;</w:t>
      </w:r>
    </w:p>
    <w:p w14:paraId="669B059D" w14:textId="77777777" w:rsidR="00286F7D" w:rsidRPr="00286F7D" w:rsidRDefault="00286F7D" w:rsidP="00F32769">
      <w:pPr>
        <w:pStyle w:val="Znaka1"/>
        <w:numPr>
          <w:ilvl w:val="0"/>
          <w:numId w:val="118"/>
        </w:numPr>
        <w:spacing w:before="120" w:line="288" w:lineRule="auto"/>
        <w:ind w:left="426"/>
        <w:jc w:val="both"/>
        <w:rPr>
          <w:rFonts w:cs="Arial"/>
          <w:bCs/>
          <w:sz w:val="22"/>
          <w:szCs w:val="22"/>
        </w:rPr>
      </w:pPr>
      <w:r w:rsidRPr="00286F7D">
        <w:rPr>
          <w:rFonts w:cs="Arial"/>
          <w:bCs/>
          <w:sz w:val="22"/>
          <w:szCs w:val="22"/>
        </w:rPr>
        <w:t>ze strany státu pak se podílet na nezbytných stavebních úpravách a technickém zabezpečení kapacit PRÚ-BS.</w:t>
      </w:r>
    </w:p>
    <w:p w14:paraId="64334EDF" w14:textId="77777777" w:rsidR="00286F7D" w:rsidRPr="00286F7D" w:rsidRDefault="00286F7D" w:rsidP="00286F7D">
      <w:pPr>
        <w:autoSpaceDE w:val="0"/>
        <w:autoSpaceDN w:val="0"/>
        <w:adjustRightInd w:val="0"/>
        <w:rPr>
          <w:rFonts w:ascii="Arial" w:hAnsi="Arial" w:cs="Arial"/>
          <w:b/>
          <w:bCs/>
          <w:sz w:val="22"/>
          <w:szCs w:val="22"/>
        </w:rPr>
      </w:pPr>
    </w:p>
    <w:p w14:paraId="1F659E00" w14:textId="77777777" w:rsidR="00286F7D" w:rsidRPr="00286F7D" w:rsidRDefault="00286F7D" w:rsidP="00286F7D">
      <w:pPr>
        <w:autoSpaceDE w:val="0"/>
        <w:autoSpaceDN w:val="0"/>
        <w:adjustRightInd w:val="0"/>
        <w:rPr>
          <w:rFonts w:ascii="Arial" w:hAnsi="Arial" w:cs="Arial"/>
          <w:b/>
          <w:bCs/>
          <w:sz w:val="32"/>
          <w:szCs w:val="32"/>
        </w:rPr>
      </w:pPr>
      <w:r w:rsidRPr="00286F7D">
        <w:rPr>
          <w:rFonts w:ascii="Arial" w:hAnsi="Arial" w:cs="Arial"/>
          <w:b/>
          <w:bCs/>
          <w:sz w:val="32"/>
          <w:szCs w:val="32"/>
        </w:rPr>
        <w:t>O8. ZAJIŠTĚNÍ VAROVÁNÍ OBYVATELSTVA</w:t>
      </w:r>
    </w:p>
    <w:p w14:paraId="186B2970" w14:textId="77777777" w:rsidR="00286F7D" w:rsidRPr="00286F7D" w:rsidRDefault="00286F7D" w:rsidP="00286F7D">
      <w:pPr>
        <w:pStyle w:val="Zkladntext"/>
        <w:spacing w:before="120" w:line="288" w:lineRule="auto"/>
        <w:ind w:firstLine="709"/>
        <w:jc w:val="both"/>
        <w:rPr>
          <w:rFonts w:ascii="Arial" w:hAnsi="Arial" w:cs="Arial"/>
          <w:sz w:val="22"/>
          <w:szCs w:val="22"/>
        </w:rPr>
      </w:pPr>
      <w:r w:rsidRPr="00286F7D">
        <w:rPr>
          <w:rFonts w:ascii="Arial" w:hAnsi="Arial" w:cs="Arial"/>
          <w:sz w:val="22"/>
          <w:szCs w:val="22"/>
        </w:rPr>
        <w:t xml:space="preserve">Varování osob nacházejících se na území města (všechny sídelní lokality) před hrozícím nebezpečím </w:t>
      </w:r>
      <w:r w:rsidRPr="00286F7D">
        <w:rPr>
          <w:rFonts w:ascii="Arial" w:hAnsi="Arial" w:cs="Arial"/>
          <w:b/>
          <w:bCs/>
          <w:sz w:val="22"/>
          <w:szCs w:val="22"/>
        </w:rPr>
        <w:t>je zajištěno jednak:</w:t>
      </w:r>
    </w:p>
    <w:p w14:paraId="62217372" w14:textId="77777777" w:rsidR="00286F7D" w:rsidRPr="00286F7D" w:rsidRDefault="00286F7D" w:rsidP="00F32769">
      <w:pPr>
        <w:pStyle w:val="Znaka1"/>
        <w:numPr>
          <w:ilvl w:val="0"/>
          <w:numId w:val="118"/>
        </w:numPr>
        <w:spacing w:before="120" w:line="288" w:lineRule="auto"/>
        <w:ind w:left="426"/>
        <w:jc w:val="both"/>
        <w:rPr>
          <w:rFonts w:cs="Arial"/>
          <w:bCs/>
          <w:sz w:val="22"/>
          <w:szCs w:val="22"/>
        </w:rPr>
      </w:pPr>
      <w:r w:rsidRPr="00286F7D">
        <w:rPr>
          <w:rFonts w:cs="Arial"/>
          <w:bCs/>
          <w:sz w:val="22"/>
          <w:szCs w:val="22"/>
        </w:rPr>
        <w:t>prostřednictvím 23 elektrických poplachových sirén HZS;</w:t>
      </w:r>
    </w:p>
    <w:p w14:paraId="3856BA60" w14:textId="77777777" w:rsidR="00286F7D" w:rsidRPr="00286F7D" w:rsidRDefault="00286F7D" w:rsidP="00F32769">
      <w:pPr>
        <w:pStyle w:val="Znaka1"/>
        <w:numPr>
          <w:ilvl w:val="0"/>
          <w:numId w:val="118"/>
        </w:numPr>
        <w:spacing w:before="120" w:line="288" w:lineRule="auto"/>
        <w:ind w:left="426"/>
        <w:jc w:val="both"/>
        <w:rPr>
          <w:rFonts w:cs="Arial"/>
          <w:bCs/>
          <w:sz w:val="22"/>
          <w:szCs w:val="22"/>
        </w:rPr>
      </w:pPr>
      <w:r w:rsidRPr="00286F7D">
        <w:rPr>
          <w:rFonts w:cs="Arial"/>
          <w:bCs/>
          <w:sz w:val="22"/>
          <w:szCs w:val="22"/>
        </w:rPr>
        <w:t>vyhlášením informací v hromadných sdělovacích prostředcích Rádio Děčín (FM 91,6 94,8) a Rádio Crystal (FM 97,6);</w:t>
      </w:r>
    </w:p>
    <w:p w14:paraId="7238C62B" w14:textId="77777777" w:rsidR="00286F7D" w:rsidRPr="00286F7D" w:rsidRDefault="00286F7D" w:rsidP="00F32769">
      <w:pPr>
        <w:pStyle w:val="Znaka1"/>
        <w:numPr>
          <w:ilvl w:val="0"/>
          <w:numId w:val="118"/>
        </w:numPr>
        <w:spacing w:before="120" w:line="288" w:lineRule="auto"/>
        <w:ind w:left="426"/>
        <w:jc w:val="both"/>
        <w:rPr>
          <w:rFonts w:cs="Arial"/>
          <w:bCs/>
          <w:sz w:val="22"/>
          <w:szCs w:val="22"/>
        </w:rPr>
      </w:pPr>
      <w:r w:rsidRPr="00286F7D">
        <w:rPr>
          <w:rFonts w:cs="Arial"/>
          <w:bCs/>
          <w:sz w:val="22"/>
          <w:szCs w:val="22"/>
        </w:rPr>
        <w:lastRenderedPageBreak/>
        <w:t>v regionálním televizním vysílání TV Lyra (kanál PRIMA TV);</w:t>
      </w:r>
    </w:p>
    <w:p w14:paraId="071762E6" w14:textId="77777777" w:rsidR="00286F7D" w:rsidRPr="00286F7D" w:rsidRDefault="00286F7D" w:rsidP="00F32769">
      <w:pPr>
        <w:pStyle w:val="Znaka1"/>
        <w:numPr>
          <w:ilvl w:val="0"/>
          <w:numId w:val="118"/>
        </w:numPr>
        <w:spacing w:before="120" w:line="288" w:lineRule="auto"/>
        <w:ind w:left="426"/>
        <w:jc w:val="both"/>
        <w:rPr>
          <w:rFonts w:cs="Arial"/>
          <w:bCs/>
          <w:sz w:val="22"/>
          <w:szCs w:val="22"/>
        </w:rPr>
      </w:pPr>
      <w:r w:rsidRPr="00286F7D">
        <w:rPr>
          <w:rFonts w:cs="Arial"/>
          <w:bCs/>
          <w:sz w:val="22"/>
          <w:szCs w:val="22"/>
        </w:rPr>
        <w:t>městském infokanálu kabelové televize,</w:t>
      </w:r>
    </w:p>
    <w:p w14:paraId="2739CE06" w14:textId="77777777" w:rsidR="00286F7D" w:rsidRPr="00286F7D" w:rsidRDefault="00286F7D" w:rsidP="00286F7D">
      <w:pPr>
        <w:pStyle w:val="Zkladntext"/>
        <w:spacing w:before="120" w:line="288" w:lineRule="auto"/>
        <w:jc w:val="both"/>
        <w:rPr>
          <w:rFonts w:ascii="Arial" w:hAnsi="Arial" w:cs="Arial"/>
          <w:sz w:val="22"/>
          <w:szCs w:val="22"/>
        </w:rPr>
      </w:pPr>
      <w:r w:rsidRPr="00286F7D">
        <w:rPr>
          <w:rFonts w:ascii="Arial" w:hAnsi="Arial" w:cs="Arial"/>
          <w:sz w:val="22"/>
          <w:szCs w:val="22"/>
        </w:rPr>
        <w:t>a to na základě povinností, které těmto subjektům ukládá zákon a také na základě platných smluv o spolupráci, uzavřených mezi městem Děčín a jednotlivými společnostmi provozujících tato média.</w:t>
      </w:r>
    </w:p>
    <w:p w14:paraId="6FA1860E" w14:textId="77777777" w:rsidR="00286F7D" w:rsidRPr="00286F7D" w:rsidRDefault="00286F7D" w:rsidP="00286F7D">
      <w:pPr>
        <w:pStyle w:val="Zkladntext"/>
        <w:spacing w:before="120" w:line="288" w:lineRule="auto"/>
        <w:jc w:val="both"/>
        <w:rPr>
          <w:rFonts w:ascii="Arial" w:hAnsi="Arial" w:cs="Arial"/>
          <w:sz w:val="22"/>
          <w:szCs w:val="22"/>
        </w:rPr>
      </w:pPr>
    </w:p>
    <w:p w14:paraId="22A0CB09" w14:textId="77777777" w:rsidR="00286F7D" w:rsidRPr="00286F7D" w:rsidRDefault="00286F7D" w:rsidP="00286F7D">
      <w:pPr>
        <w:pStyle w:val="Zkladntext"/>
        <w:spacing w:before="120" w:line="288" w:lineRule="auto"/>
        <w:jc w:val="both"/>
        <w:rPr>
          <w:rFonts w:ascii="Arial" w:hAnsi="Arial" w:cs="Arial"/>
          <w:sz w:val="22"/>
          <w:szCs w:val="22"/>
        </w:rPr>
      </w:pPr>
      <w:r w:rsidRPr="00286F7D">
        <w:rPr>
          <w:rFonts w:ascii="Arial" w:hAnsi="Arial" w:cs="Arial"/>
          <w:b/>
          <w:bCs/>
          <w:caps/>
          <w:sz w:val="22"/>
          <w:szCs w:val="22"/>
        </w:rPr>
        <w:t>seznam sirén umístěných na území města děčína</w:t>
      </w:r>
    </w:p>
    <w:tbl>
      <w:tblPr>
        <w:tblW w:w="0" w:type="auto"/>
        <w:tblInd w:w="43" w:type="dxa"/>
        <w:tblLayout w:type="fixed"/>
        <w:tblCellMar>
          <w:left w:w="43" w:type="dxa"/>
          <w:right w:w="43" w:type="dxa"/>
        </w:tblCellMar>
        <w:tblLook w:val="0000" w:firstRow="0" w:lastRow="0" w:firstColumn="0" w:lastColumn="0" w:noHBand="0" w:noVBand="0"/>
      </w:tblPr>
      <w:tblGrid>
        <w:gridCol w:w="1395"/>
        <w:gridCol w:w="2955"/>
        <w:gridCol w:w="3510"/>
      </w:tblGrid>
      <w:tr w:rsidR="00286F7D" w:rsidRPr="00286F7D" w14:paraId="035E28D9" w14:textId="77777777" w:rsidTr="00286F7D">
        <w:tc>
          <w:tcPr>
            <w:tcW w:w="1395" w:type="dxa"/>
            <w:tcBorders>
              <w:top w:val="single" w:sz="6" w:space="0" w:color="auto"/>
              <w:left w:val="single" w:sz="6" w:space="0" w:color="auto"/>
              <w:bottom w:val="single" w:sz="6" w:space="0" w:color="auto"/>
              <w:right w:val="single" w:sz="6" w:space="0" w:color="auto"/>
            </w:tcBorders>
          </w:tcPr>
          <w:p w14:paraId="0D99ED2B" w14:textId="77777777" w:rsidR="00286F7D" w:rsidRPr="00286F7D" w:rsidRDefault="00286F7D" w:rsidP="00286F7D">
            <w:pPr>
              <w:pStyle w:val="Texttabulky"/>
              <w:spacing w:after="0"/>
              <w:jc w:val="center"/>
              <w:rPr>
                <w:rFonts w:cs="Arial"/>
              </w:rPr>
            </w:pPr>
            <w:r w:rsidRPr="00286F7D">
              <w:rPr>
                <w:rFonts w:cs="Arial"/>
              </w:rPr>
              <w:t>pořadové číslo</w:t>
            </w:r>
          </w:p>
          <w:p w14:paraId="652C3661" w14:textId="77777777" w:rsidR="00286F7D" w:rsidRPr="00286F7D" w:rsidRDefault="00286F7D" w:rsidP="00286F7D">
            <w:pPr>
              <w:pStyle w:val="Texttabulky"/>
              <w:spacing w:after="0"/>
              <w:jc w:val="center"/>
              <w:rPr>
                <w:rFonts w:cs="Arial"/>
              </w:rPr>
            </w:pPr>
            <w:r w:rsidRPr="00286F7D">
              <w:rPr>
                <w:rFonts w:cs="Arial"/>
              </w:rPr>
              <w:t>MěÚ / OkÚ</w:t>
            </w:r>
          </w:p>
        </w:tc>
        <w:tc>
          <w:tcPr>
            <w:tcW w:w="2955" w:type="dxa"/>
            <w:tcBorders>
              <w:top w:val="single" w:sz="6" w:space="0" w:color="auto"/>
              <w:left w:val="single" w:sz="6" w:space="0" w:color="auto"/>
              <w:bottom w:val="single" w:sz="6" w:space="0" w:color="auto"/>
              <w:right w:val="single" w:sz="6" w:space="0" w:color="auto"/>
            </w:tcBorders>
          </w:tcPr>
          <w:p w14:paraId="6C2F0412" w14:textId="77777777" w:rsidR="00286F7D" w:rsidRPr="00286F7D" w:rsidRDefault="00286F7D" w:rsidP="00286F7D">
            <w:pPr>
              <w:pStyle w:val="Texttabulky"/>
              <w:spacing w:after="0"/>
              <w:jc w:val="center"/>
              <w:rPr>
                <w:rFonts w:cs="Arial"/>
              </w:rPr>
            </w:pPr>
            <w:r w:rsidRPr="00286F7D">
              <w:rPr>
                <w:rFonts w:cs="Arial"/>
              </w:rPr>
              <w:t xml:space="preserve">inv. číslo  </w:t>
            </w:r>
          </w:p>
          <w:p w14:paraId="62BC28C3" w14:textId="77777777" w:rsidR="00286F7D" w:rsidRPr="00286F7D" w:rsidRDefault="00286F7D" w:rsidP="00286F7D">
            <w:pPr>
              <w:pStyle w:val="Texttabulky"/>
              <w:spacing w:after="0"/>
              <w:jc w:val="center"/>
              <w:rPr>
                <w:rFonts w:cs="Arial"/>
              </w:rPr>
            </w:pPr>
            <w:r w:rsidRPr="00286F7D">
              <w:rPr>
                <w:rFonts w:cs="Arial"/>
              </w:rPr>
              <w:t>číslo dle HÚCO</w:t>
            </w:r>
          </w:p>
        </w:tc>
        <w:tc>
          <w:tcPr>
            <w:tcW w:w="3510" w:type="dxa"/>
            <w:tcBorders>
              <w:top w:val="single" w:sz="6" w:space="0" w:color="auto"/>
              <w:left w:val="single" w:sz="6" w:space="0" w:color="auto"/>
              <w:bottom w:val="single" w:sz="6" w:space="0" w:color="auto"/>
              <w:right w:val="single" w:sz="6" w:space="0" w:color="auto"/>
            </w:tcBorders>
          </w:tcPr>
          <w:p w14:paraId="6774B55A" w14:textId="77777777" w:rsidR="00286F7D" w:rsidRPr="00286F7D" w:rsidRDefault="00286F7D" w:rsidP="00286F7D">
            <w:pPr>
              <w:pStyle w:val="Texttabulky"/>
              <w:spacing w:after="0"/>
              <w:jc w:val="center"/>
              <w:rPr>
                <w:rFonts w:cs="Arial"/>
              </w:rPr>
            </w:pPr>
            <w:r w:rsidRPr="00286F7D">
              <w:rPr>
                <w:rFonts w:cs="Arial"/>
              </w:rPr>
              <w:t>umístění - lokalita</w:t>
            </w:r>
          </w:p>
        </w:tc>
      </w:tr>
      <w:tr w:rsidR="00286F7D" w:rsidRPr="00286F7D" w14:paraId="6909084D" w14:textId="77777777" w:rsidTr="00286F7D">
        <w:tc>
          <w:tcPr>
            <w:tcW w:w="1395" w:type="dxa"/>
            <w:tcBorders>
              <w:top w:val="single" w:sz="6" w:space="0" w:color="auto"/>
              <w:left w:val="single" w:sz="6" w:space="0" w:color="auto"/>
              <w:bottom w:val="single" w:sz="6" w:space="0" w:color="auto"/>
              <w:right w:val="single" w:sz="6" w:space="0" w:color="auto"/>
            </w:tcBorders>
          </w:tcPr>
          <w:p w14:paraId="4E51B691" w14:textId="77777777" w:rsidR="00286F7D" w:rsidRPr="00286F7D" w:rsidRDefault="00286F7D" w:rsidP="00286F7D">
            <w:pPr>
              <w:pStyle w:val="Texttabulky"/>
              <w:spacing w:after="0"/>
              <w:jc w:val="center"/>
              <w:rPr>
                <w:rFonts w:cs="Arial"/>
              </w:rPr>
            </w:pPr>
            <w:r w:rsidRPr="00286F7D">
              <w:rPr>
                <w:rFonts w:cs="Arial"/>
              </w:rPr>
              <w:t>1 / 13</w:t>
            </w:r>
          </w:p>
        </w:tc>
        <w:tc>
          <w:tcPr>
            <w:tcW w:w="2955" w:type="dxa"/>
            <w:tcBorders>
              <w:top w:val="single" w:sz="6" w:space="0" w:color="auto"/>
              <w:left w:val="single" w:sz="6" w:space="0" w:color="auto"/>
              <w:bottom w:val="single" w:sz="6" w:space="0" w:color="auto"/>
              <w:right w:val="single" w:sz="6" w:space="0" w:color="auto"/>
            </w:tcBorders>
          </w:tcPr>
          <w:p w14:paraId="2FD5B92F" w14:textId="77777777" w:rsidR="00286F7D" w:rsidRPr="00286F7D" w:rsidRDefault="00286F7D" w:rsidP="00286F7D">
            <w:pPr>
              <w:pStyle w:val="Texttabulky"/>
              <w:spacing w:after="0"/>
              <w:jc w:val="center"/>
              <w:rPr>
                <w:rFonts w:cs="Arial"/>
              </w:rPr>
            </w:pPr>
            <w:r w:rsidRPr="00286F7D">
              <w:rPr>
                <w:rFonts w:cs="Arial"/>
              </w:rPr>
              <w:t xml:space="preserve">300 615 </w:t>
            </w:r>
          </w:p>
          <w:p w14:paraId="352E181E" w14:textId="77777777" w:rsidR="00286F7D" w:rsidRPr="00286F7D" w:rsidRDefault="00286F7D" w:rsidP="00286F7D">
            <w:pPr>
              <w:pStyle w:val="Texttabulky"/>
              <w:spacing w:after="0"/>
              <w:jc w:val="center"/>
              <w:rPr>
                <w:rFonts w:cs="Arial"/>
              </w:rPr>
            </w:pPr>
            <w:r w:rsidRPr="00286F7D">
              <w:rPr>
                <w:rFonts w:cs="Arial"/>
              </w:rPr>
              <w:t>170 01</w:t>
            </w:r>
          </w:p>
        </w:tc>
        <w:tc>
          <w:tcPr>
            <w:tcW w:w="3510" w:type="dxa"/>
            <w:tcBorders>
              <w:top w:val="single" w:sz="6" w:space="0" w:color="auto"/>
              <w:left w:val="single" w:sz="6" w:space="0" w:color="auto"/>
              <w:bottom w:val="single" w:sz="6" w:space="0" w:color="auto"/>
              <w:right w:val="single" w:sz="6" w:space="0" w:color="auto"/>
            </w:tcBorders>
          </w:tcPr>
          <w:p w14:paraId="445FFAC9" w14:textId="77777777" w:rsidR="00286F7D" w:rsidRPr="00286F7D" w:rsidRDefault="00286F7D" w:rsidP="00286F7D">
            <w:pPr>
              <w:pStyle w:val="Texttabulky"/>
              <w:spacing w:after="0"/>
              <w:rPr>
                <w:rFonts w:cs="Arial"/>
              </w:rPr>
            </w:pPr>
            <w:r w:rsidRPr="00286F7D">
              <w:rPr>
                <w:rFonts w:cs="Arial"/>
              </w:rPr>
              <w:t xml:space="preserve">Děčín 8, Teplická 165 </w:t>
            </w:r>
          </w:p>
          <w:p w14:paraId="3124BA3A" w14:textId="77777777" w:rsidR="00286F7D" w:rsidRPr="00286F7D" w:rsidRDefault="00286F7D" w:rsidP="00286F7D">
            <w:pPr>
              <w:pStyle w:val="Texttabulky"/>
              <w:spacing w:after="0"/>
              <w:rPr>
                <w:rFonts w:cs="Arial"/>
              </w:rPr>
            </w:pPr>
            <w:r w:rsidRPr="00286F7D">
              <w:rPr>
                <w:rFonts w:cs="Arial"/>
              </w:rPr>
              <w:t>obytný dům</w:t>
            </w:r>
          </w:p>
        </w:tc>
      </w:tr>
      <w:tr w:rsidR="00286F7D" w:rsidRPr="00286F7D" w14:paraId="4EF6C086" w14:textId="77777777" w:rsidTr="00286F7D">
        <w:tc>
          <w:tcPr>
            <w:tcW w:w="1395" w:type="dxa"/>
            <w:tcBorders>
              <w:top w:val="single" w:sz="6" w:space="0" w:color="auto"/>
              <w:left w:val="single" w:sz="6" w:space="0" w:color="auto"/>
              <w:bottom w:val="single" w:sz="6" w:space="0" w:color="auto"/>
              <w:right w:val="single" w:sz="6" w:space="0" w:color="auto"/>
            </w:tcBorders>
          </w:tcPr>
          <w:p w14:paraId="1A906BE2" w14:textId="77777777" w:rsidR="00286F7D" w:rsidRPr="00286F7D" w:rsidRDefault="00286F7D" w:rsidP="00286F7D">
            <w:pPr>
              <w:pStyle w:val="Texttabulky"/>
              <w:spacing w:after="0"/>
              <w:jc w:val="center"/>
              <w:rPr>
                <w:rFonts w:cs="Arial"/>
              </w:rPr>
            </w:pPr>
            <w:r w:rsidRPr="00286F7D">
              <w:rPr>
                <w:rFonts w:cs="Arial"/>
              </w:rPr>
              <w:t>2 / 14</w:t>
            </w:r>
          </w:p>
        </w:tc>
        <w:tc>
          <w:tcPr>
            <w:tcW w:w="2955" w:type="dxa"/>
            <w:tcBorders>
              <w:top w:val="single" w:sz="6" w:space="0" w:color="auto"/>
              <w:left w:val="single" w:sz="6" w:space="0" w:color="auto"/>
              <w:bottom w:val="single" w:sz="6" w:space="0" w:color="auto"/>
              <w:right w:val="single" w:sz="6" w:space="0" w:color="auto"/>
            </w:tcBorders>
          </w:tcPr>
          <w:p w14:paraId="318784E2" w14:textId="77777777" w:rsidR="00286F7D" w:rsidRPr="00286F7D" w:rsidRDefault="00286F7D" w:rsidP="00286F7D">
            <w:pPr>
              <w:pStyle w:val="Texttabulky"/>
              <w:spacing w:after="0"/>
              <w:jc w:val="center"/>
              <w:rPr>
                <w:rFonts w:cs="Arial"/>
              </w:rPr>
            </w:pPr>
            <w:r w:rsidRPr="00286F7D">
              <w:rPr>
                <w:rFonts w:cs="Arial"/>
              </w:rPr>
              <w:t xml:space="preserve">300 620 </w:t>
            </w:r>
          </w:p>
          <w:p w14:paraId="3701AC64" w14:textId="77777777" w:rsidR="00286F7D" w:rsidRPr="00286F7D" w:rsidRDefault="00286F7D" w:rsidP="00286F7D">
            <w:pPr>
              <w:pStyle w:val="Texttabulky"/>
              <w:spacing w:after="0"/>
              <w:jc w:val="center"/>
              <w:rPr>
                <w:rFonts w:cs="Arial"/>
              </w:rPr>
            </w:pPr>
            <w:r w:rsidRPr="00286F7D">
              <w:rPr>
                <w:rFonts w:cs="Arial"/>
              </w:rPr>
              <w:t>170 0 2</w:t>
            </w:r>
          </w:p>
        </w:tc>
        <w:tc>
          <w:tcPr>
            <w:tcW w:w="3510" w:type="dxa"/>
            <w:tcBorders>
              <w:top w:val="single" w:sz="6" w:space="0" w:color="auto"/>
              <w:left w:val="single" w:sz="6" w:space="0" w:color="auto"/>
              <w:bottom w:val="single" w:sz="6" w:space="0" w:color="auto"/>
              <w:right w:val="single" w:sz="6" w:space="0" w:color="auto"/>
            </w:tcBorders>
          </w:tcPr>
          <w:p w14:paraId="563F4D72" w14:textId="77777777" w:rsidR="00286F7D" w:rsidRPr="00286F7D" w:rsidRDefault="00286F7D" w:rsidP="00286F7D">
            <w:pPr>
              <w:pStyle w:val="Texttabulky"/>
              <w:spacing w:after="0"/>
              <w:rPr>
                <w:rFonts w:cs="Arial"/>
              </w:rPr>
            </w:pPr>
            <w:r w:rsidRPr="00286F7D">
              <w:rPr>
                <w:rFonts w:cs="Arial"/>
              </w:rPr>
              <w:t xml:space="preserve">Děčín 1, náměstí Svobody 1, </w:t>
            </w:r>
          </w:p>
          <w:p w14:paraId="558AF571" w14:textId="77777777" w:rsidR="00286F7D" w:rsidRPr="00286F7D" w:rsidRDefault="00286F7D" w:rsidP="00286F7D">
            <w:pPr>
              <w:pStyle w:val="Texttabulky"/>
              <w:spacing w:after="0"/>
              <w:rPr>
                <w:rFonts w:cs="Arial"/>
              </w:rPr>
            </w:pPr>
            <w:r w:rsidRPr="00286F7D">
              <w:rPr>
                <w:rFonts w:cs="Arial"/>
              </w:rPr>
              <w:t>Okresní hygienická stanice</w:t>
            </w:r>
          </w:p>
        </w:tc>
      </w:tr>
      <w:tr w:rsidR="00286F7D" w:rsidRPr="00286F7D" w14:paraId="60482C34" w14:textId="77777777" w:rsidTr="00286F7D">
        <w:tc>
          <w:tcPr>
            <w:tcW w:w="1395" w:type="dxa"/>
            <w:tcBorders>
              <w:top w:val="single" w:sz="6" w:space="0" w:color="auto"/>
              <w:left w:val="single" w:sz="6" w:space="0" w:color="auto"/>
              <w:bottom w:val="single" w:sz="6" w:space="0" w:color="auto"/>
              <w:right w:val="single" w:sz="6" w:space="0" w:color="auto"/>
            </w:tcBorders>
          </w:tcPr>
          <w:p w14:paraId="6B44B1AA" w14:textId="77777777" w:rsidR="00286F7D" w:rsidRPr="00286F7D" w:rsidRDefault="00286F7D" w:rsidP="00286F7D">
            <w:pPr>
              <w:pStyle w:val="Texttabulky"/>
              <w:spacing w:after="0"/>
              <w:jc w:val="center"/>
              <w:rPr>
                <w:rFonts w:cs="Arial"/>
              </w:rPr>
            </w:pPr>
            <w:r w:rsidRPr="00286F7D">
              <w:rPr>
                <w:rFonts w:cs="Arial"/>
              </w:rPr>
              <w:t>3 / 15</w:t>
            </w:r>
          </w:p>
        </w:tc>
        <w:tc>
          <w:tcPr>
            <w:tcW w:w="2955" w:type="dxa"/>
            <w:tcBorders>
              <w:top w:val="single" w:sz="6" w:space="0" w:color="auto"/>
              <w:left w:val="single" w:sz="6" w:space="0" w:color="auto"/>
              <w:bottom w:val="single" w:sz="6" w:space="0" w:color="auto"/>
              <w:right w:val="single" w:sz="6" w:space="0" w:color="auto"/>
            </w:tcBorders>
          </w:tcPr>
          <w:p w14:paraId="4560B08E" w14:textId="77777777" w:rsidR="00286F7D" w:rsidRPr="00286F7D" w:rsidRDefault="00286F7D" w:rsidP="00286F7D">
            <w:pPr>
              <w:pStyle w:val="Texttabulky"/>
              <w:spacing w:after="0"/>
              <w:jc w:val="center"/>
              <w:rPr>
                <w:rFonts w:cs="Arial"/>
              </w:rPr>
            </w:pPr>
            <w:r w:rsidRPr="00286F7D">
              <w:rPr>
                <w:rFonts w:cs="Arial"/>
              </w:rPr>
              <w:t>300 620</w:t>
            </w:r>
          </w:p>
          <w:p w14:paraId="296223B6" w14:textId="77777777" w:rsidR="00286F7D" w:rsidRPr="00286F7D" w:rsidRDefault="00286F7D" w:rsidP="00286F7D">
            <w:pPr>
              <w:pStyle w:val="Texttabulky"/>
              <w:spacing w:after="0"/>
              <w:jc w:val="center"/>
              <w:rPr>
                <w:rFonts w:cs="Arial"/>
              </w:rPr>
            </w:pPr>
            <w:r w:rsidRPr="00286F7D">
              <w:rPr>
                <w:rFonts w:cs="Arial"/>
              </w:rPr>
              <w:t>170 0 3</w:t>
            </w:r>
          </w:p>
        </w:tc>
        <w:tc>
          <w:tcPr>
            <w:tcW w:w="3510" w:type="dxa"/>
            <w:tcBorders>
              <w:top w:val="single" w:sz="6" w:space="0" w:color="auto"/>
              <w:left w:val="single" w:sz="6" w:space="0" w:color="auto"/>
              <w:bottom w:val="single" w:sz="6" w:space="0" w:color="auto"/>
              <w:right w:val="single" w:sz="6" w:space="0" w:color="auto"/>
            </w:tcBorders>
          </w:tcPr>
          <w:p w14:paraId="3500B4B7" w14:textId="77777777" w:rsidR="00286F7D" w:rsidRPr="00286F7D" w:rsidRDefault="00286F7D" w:rsidP="00286F7D">
            <w:pPr>
              <w:pStyle w:val="Texttabulky"/>
              <w:spacing w:after="0"/>
              <w:rPr>
                <w:rFonts w:cs="Arial"/>
              </w:rPr>
            </w:pPr>
            <w:r w:rsidRPr="00286F7D">
              <w:rPr>
                <w:rFonts w:cs="Arial"/>
              </w:rPr>
              <w:t>Děčín 2, Kamenická 934</w:t>
            </w:r>
          </w:p>
          <w:p w14:paraId="7721A1C6" w14:textId="77777777" w:rsidR="00286F7D" w:rsidRPr="00286F7D" w:rsidRDefault="00286F7D" w:rsidP="00286F7D">
            <w:pPr>
              <w:pStyle w:val="Texttabulky"/>
              <w:spacing w:after="0"/>
              <w:rPr>
                <w:rFonts w:cs="Arial"/>
              </w:rPr>
            </w:pPr>
            <w:r w:rsidRPr="00286F7D">
              <w:rPr>
                <w:rFonts w:cs="Arial"/>
              </w:rPr>
              <w:t>obytný dům</w:t>
            </w:r>
          </w:p>
        </w:tc>
      </w:tr>
      <w:tr w:rsidR="00286F7D" w:rsidRPr="00286F7D" w14:paraId="614772E6" w14:textId="77777777" w:rsidTr="00286F7D">
        <w:tc>
          <w:tcPr>
            <w:tcW w:w="1395" w:type="dxa"/>
            <w:tcBorders>
              <w:top w:val="single" w:sz="6" w:space="0" w:color="auto"/>
              <w:left w:val="single" w:sz="6" w:space="0" w:color="auto"/>
              <w:bottom w:val="single" w:sz="6" w:space="0" w:color="auto"/>
              <w:right w:val="single" w:sz="6" w:space="0" w:color="auto"/>
            </w:tcBorders>
          </w:tcPr>
          <w:p w14:paraId="4BD4A9B8" w14:textId="77777777" w:rsidR="00286F7D" w:rsidRPr="00286F7D" w:rsidRDefault="00286F7D" w:rsidP="00286F7D">
            <w:pPr>
              <w:pStyle w:val="Texttabulky"/>
              <w:spacing w:after="0"/>
              <w:jc w:val="center"/>
              <w:rPr>
                <w:rFonts w:cs="Arial"/>
              </w:rPr>
            </w:pPr>
            <w:r w:rsidRPr="00286F7D">
              <w:rPr>
                <w:rFonts w:cs="Arial"/>
              </w:rPr>
              <w:t>4 / 16</w:t>
            </w:r>
          </w:p>
        </w:tc>
        <w:tc>
          <w:tcPr>
            <w:tcW w:w="2955" w:type="dxa"/>
            <w:tcBorders>
              <w:top w:val="single" w:sz="6" w:space="0" w:color="auto"/>
              <w:left w:val="single" w:sz="6" w:space="0" w:color="auto"/>
              <w:bottom w:val="single" w:sz="6" w:space="0" w:color="auto"/>
              <w:right w:val="single" w:sz="6" w:space="0" w:color="auto"/>
            </w:tcBorders>
          </w:tcPr>
          <w:p w14:paraId="387FE816" w14:textId="77777777" w:rsidR="00286F7D" w:rsidRPr="00286F7D" w:rsidRDefault="00286F7D" w:rsidP="00286F7D">
            <w:pPr>
              <w:pStyle w:val="Texttabulky"/>
              <w:spacing w:after="0"/>
              <w:jc w:val="center"/>
              <w:rPr>
                <w:rFonts w:cs="Arial"/>
              </w:rPr>
            </w:pPr>
            <w:r w:rsidRPr="00286F7D">
              <w:rPr>
                <w:rFonts w:cs="Arial"/>
              </w:rPr>
              <w:t>300 631</w:t>
            </w:r>
          </w:p>
          <w:p w14:paraId="1DF77194" w14:textId="77777777" w:rsidR="00286F7D" w:rsidRPr="00286F7D" w:rsidRDefault="00286F7D" w:rsidP="00286F7D">
            <w:pPr>
              <w:pStyle w:val="Texttabulky"/>
              <w:spacing w:after="0"/>
              <w:jc w:val="center"/>
              <w:rPr>
                <w:rFonts w:cs="Arial"/>
              </w:rPr>
            </w:pPr>
            <w:r w:rsidRPr="00286F7D">
              <w:rPr>
                <w:rFonts w:cs="Arial"/>
              </w:rPr>
              <w:t>170 04</w:t>
            </w:r>
          </w:p>
        </w:tc>
        <w:tc>
          <w:tcPr>
            <w:tcW w:w="3510" w:type="dxa"/>
            <w:tcBorders>
              <w:top w:val="single" w:sz="6" w:space="0" w:color="auto"/>
              <w:left w:val="single" w:sz="6" w:space="0" w:color="auto"/>
              <w:bottom w:val="single" w:sz="6" w:space="0" w:color="auto"/>
              <w:right w:val="single" w:sz="6" w:space="0" w:color="auto"/>
            </w:tcBorders>
          </w:tcPr>
          <w:p w14:paraId="38CD0F96" w14:textId="77777777" w:rsidR="00286F7D" w:rsidRPr="00286F7D" w:rsidRDefault="00286F7D" w:rsidP="00286F7D">
            <w:pPr>
              <w:pStyle w:val="Texttabulky"/>
              <w:spacing w:after="0"/>
              <w:rPr>
                <w:rFonts w:cs="Arial"/>
              </w:rPr>
            </w:pPr>
            <w:r w:rsidRPr="00286F7D">
              <w:rPr>
                <w:rFonts w:cs="Arial"/>
              </w:rPr>
              <w:t>Děčín 13, Loubí</w:t>
            </w:r>
          </w:p>
          <w:p w14:paraId="2DDBB8A6" w14:textId="77777777" w:rsidR="00286F7D" w:rsidRPr="00286F7D" w:rsidRDefault="00286F7D" w:rsidP="00286F7D">
            <w:pPr>
              <w:pStyle w:val="Texttabulky"/>
              <w:spacing w:after="0"/>
              <w:rPr>
                <w:rFonts w:cs="Arial"/>
              </w:rPr>
            </w:pPr>
            <w:r w:rsidRPr="00286F7D">
              <w:rPr>
                <w:rFonts w:cs="Arial"/>
              </w:rPr>
              <w:t>ČSPL as. - přístav</w:t>
            </w:r>
          </w:p>
        </w:tc>
      </w:tr>
      <w:tr w:rsidR="00286F7D" w:rsidRPr="00286F7D" w14:paraId="3F001D31" w14:textId="77777777" w:rsidTr="00286F7D">
        <w:tc>
          <w:tcPr>
            <w:tcW w:w="1395" w:type="dxa"/>
            <w:tcBorders>
              <w:top w:val="single" w:sz="6" w:space="0" w:color="auto"/>
              <w:left w:val="single" w:sz="6" w:space="0" w:color="auto"/>
              <w:bottom w:val="single" w:sz="6" w:space="0" w:color="auto"/>
              <w:right w:val="single" w:sz="6" w:space="0" w:color="auto"/>
            </w:tcBorders>
          </w:tcPr>
          <w:p w14:paraId="0D0FBD0C" w14:textId="77777777" w:rsidR="00286F7D" w:rsidRPr="00286F7D" w:rsidRDefault="00286F7D" w:rsidP="00286F7D">
            <w:pPr>
              <w:pStyle w:val="Texttabulky"/>
              <w:spacing w:after="0"/>
              <w:jc w:val="center"/>
              <w:rPr>
                <w:rFonts w:cs="Arial"/>
              </w:rPr>
            </w:pPr>
            <w:r w:rsidRPr="00286F7D">
              <w:rPr>
                <w:rFonts w:cs="Arial"/>
              </w:rPr>
              <w:t>5 / 17</w:t>
            </w:r>
          </w:p>
        </w:tc>
        <w:tc>
          <w:tcPr>
            <w:tcW w:w="2955" w:type="dxa"/>
            <w:tcBorders>
              <w:top w:val="single" w:sz="6" w:space="0" w:color="auto"/>
              <w:left w:val="single" w:sz="6" w:space="0" w:color="auto"/>
              <w:bottom w:val="single" w:sz="6" w:space="0" w:color="auto"/>
              <w:right w:val="single" w:sz="6" w:space="0" w:color="auto"/>
            </w:tcBorders>
          </w:tcPr>
          <w:p w14:paraId="2FD42085" w14:textId="77777777" w:rsidR="00286F7D" w:rsidRPr="00286F7D" w:rsidRDefault="00286F7D" w:rsidP="00286F7D">
            <w:pPr>
              <w:pStyle w:val="Texttabulky"/>
              <w:spacing w:after="0"/>
              <w:jc w:val="center"/>
              <w:rPr>
                <w:rFonts w:cs="Arial"/>
              </w:rPr>
            </w:pPr>
            <w:r w:rsidRPr="00286F7D">
              <w:rPr>
                <w:rFonts w:cs="Arial"/>
              </w:rPr>
              <w:t>300 841</w:t>
            </w:r>
          </w:p>
          <w:p w14:paraId="77F059C4" w14:textId="77777777" w:rsidR="00286F7D" w:rsidRPr="00286F7D" w:rsidRDefault="00286F7D" w:rsidP="00286F7D">
            <w:pPr>
              <w:pStyle w:val="Texttabulky"/>
              <w:spacing w:after="0"/>
              <w:jc w:val="center"/>
              <w:rPr>
                <w:rFonts w:cs="Arial"/>
              </w:rPr>
            </w:pPr>
            <w:r w:rsidRPr="00286F7D">
              <w:rPr>
                <w:rFonts w:cs="Arial"/>
              </w:rPr>
              <w:t>170 27</w:t>
            </w:r>
          </w:p>
        </w:tc>
        <w:tc>
          <w:tcPr>
            <w:tcW w:w="3510" w:type="dxa"/>
            <w:tcBorders>
              <w:top w:val="single" w:sz="6" w:space="0" w:color="auto"/>
              <w:left w:val="single" w:sz="6" w:space="0" w:color="auto"/>
              <w:bottom w:val="single" w:sz="6" w:space="0" w:color="auto"/>
              <w:right w:val="single" w:sz="6" w:space="0" w:color="auto"/>
            </w:tcBorders>
          </w:tcPr>
          <w:p w14:paraId="5AB0B108" w14:textId="77777777" w:rsidR="00286F7D" w:rsidRPr="00286F7D" w:rsidRDefault="00286F7D" w:rsidP="00286F7D">
            <w:pPr>
              <w:pStyle w:val="Texttabulky"/>
              <w:spacing w:after="0"/>
              <w:rPr>
                <w:rFonts w:cs="Arial"/>
              </w:rPr>
            </w:pPr>
            <w:r w:rsidRPr="00286F7D">
              <w:rPr>
                <w:rFonts w:cs="Arial"/>
              </w:rPr>
              <w:t>Děčín 6, Želenice</w:t>
            </w:r>
          </w:p>
          <w:p w14:paraId="4784716C" w14:textId="77777777" w:rsidR="00286F7D" w:rsidRPr="00286F7D" w:rsidRDefault="00286F7D" w:rsidP="00286F7D">
            <w:pPr>
              <w:pStyle w:val="Texttabulky"/>
              <w:spacing w:after="0"/>
              <w:rPr>
                <w:rFonts w:cs="Arial"/>
              </w:rPr>
            </w:pPr>
            <w:r w:rsidRPr="00286F7D">
              <w:rPr>
                <w:rFonts w:cs="Arial"/>
              </w:rPr>
              <w:t>Základní škola - Školní 1544/5</w:t>
            </w:r>
          </w:p>
        </w:tc>
      </w:tr>
      <w:tr w:rsidR="00286F7D" w:rsidRPr="00286F7D" w14:paraId="6BCACB14" w14:textId="77777777" w:rsidTr="00286F7D">
        <w:tc>
          <w:tcPr>
            <w:tcW w:w="1395" w:type="dxa"/>
            <w:tcBorders>
              <w:top w:val="single" w:sz="6" w:space="0" w:color="auto"/>
              <w:left w:val="single" w:sz="6" w:space="0" w:color="auto"/>
              <w:bottom w:val="single" w:sz="6" w:space="0" w:color="auto"/>
              <w:right w:val="single" w:sz="6" w:space="0" w:color="auto"/>
            </w:tcBorders>
          </w:tcPr>
          <w:p w14:paraId="026CBC4B" w14:textId="77777777" w:rsidR="00286F7D" w:rsidRPr="00286F7D" w:rsidRDefault="00286F7D" w:rsidP="00286F7D">
            <w:pPr>
              <w:pStyle w:val="Texttabulky"/>
              <w:spacing w:after="0"/>
              <w:jc w:val="center"/>
              <w:rPr>
                <w:rFonts w:cs="Arial"/>
              </w:rPr>
            </w:pPr>
            <w:r w:rsidRPr="00286F7D">
              <w:rPr>
                <w:rFonts w:cs="Arial"/>
              </w:rPr>
              <w:t>6 / 18</w:t>
            </w:r>
          </w:p>
        </w:tc>
        <w:tc>
          <w:tcPr>
            <w:tcW w:w="2955" w:type="dxa"/>
            <w:tcBorders>
              <w:top w:val="single" w:sz="6" w:space="0" w:color="auto"/>
              <w:left w:val="single" w:sz="6" w:space="0" w:color="auto"/>
              <w:bottom w:val="single" w:sz="6" w:space="0" w:color="auto"/>
              <w:right w:val="single" w:sz="6" w:space="0" w:color="auto"/>
            </w:tcBorders>
          </w:tcPr>
          <w:p w14:paraId="20803468" w14:textId="77777777" w:rsidR="00286F7D" w:rsidRPr="00286F7D" w:rsidRDefault="00286F7D" w:rsidP="00286F7D">
            <w:pPr>
              <w:pStyle w:val="Texttabulky"/>
              <w:spacing w:after="0"/>
              <w:jc w:val="center"/>
              <w:rPr>
                <w:rFonts w:cs="Arial"/>
              </w:rPr>
            </w:pPr>
            <w:r w:rsidRPr="00286F7D">
              <w:rPr>
                <w:rFonts w:cs="Arial"/>
              </w:rPr>
              <w:t>300 625</w:t>
            </w:r>
          </w:p>
          <w:p w14:paraId="7167453C" w14:textId="77777777" w:rsidR="00286F7D" w:rsidRPr="00286F7D" w:rsidRDefault="00286F7D" w:rsidP="00286F7D">
            <w:pPr>
              <w:pStyle w:val="Texttabulky"/>
              <w:spacing w:after="0"/>
              <w:jc w:val="center"/>
              <w:rPr>
                <w:rFonts w:cs="Arial"/>
              </w:rPr>
            </w:pPr>
            <w:r w:rsidRPr="00286F7D">
              <w:rPr>
                <w:rFonts w:cs="Arial"/>
              </w:rPr>
              <w:t>170 28</w:t>
            </w:r>
          </w:p>
        </w:tc>
        <w:tc>
          <w:tcPr>
            <w:tcW w:w="3510" w:type="dxa"/>
            <w:tcBorders>
              <w:top w:val="single" w:sz="6" w:space="0" w:color="auto"/>
              <w:left w:val="single" w:sz="6" w:space="0" w:color="auto"/>
              <w:bottom w:val="single" w:sz="6" w:space="0" w:color="auto"/>
              <w:right w:val="single" w:sz="6" w:space="0" w:color="auto"/>
            </w:tcBorders>
          </w:tcPr>
          <w:p w14:paraId="21D7FC45" w14:textId="77777777" w:rsidR="00286F7D" w:rsidRPr="00286F7D" w:rsidRDefault="00286F7D" w:rsidP="00286F7D">
            <w:pPr>
              <w:pStyle w:val="Texttabulky"/>
              <w:spacing w:after="0"/>
              <w:rPr>
                <w:rFonts w:cs="Arial"/>
              </w:rPr>
            </w:pPr>
            <w:r w:rsidRPr="00286F7D">
              <w:rPr>
                <w:rFonts w:cs="Arial"/>
              </w:rPr>
              <w:t>Děčín 9, Družstevní 8</w:t>
            </w:r>
          </w:p>
          <w:p w14:paraId="75F5A513" w14:textId="77777777" w:rsidR="00286F7D" w:rsidRPr="00286F7D" w:rsidRDefault="00286F7D" w:rsidP="00286F7D">
            <w:pPr>
              <w:pStyle w:val="Texttabulky"/>
              <w:spacing w:after="0"/>
              <w:rPr>
                <w:rFonts w:cs="Arial"/>
              </w:rPr>
            </w:pPr>
            <w:r w:rsidRPr="00286F7D">
              <w:rPr>
                <w:rFonts w:cs="Arial"/>
              </w:rPr>
              <w:t>Služba škole</w:t>
            </w:r>
          </w:p>
        </w:tc>
      </w:tr>
      <w:tr w:rsidR="00286F7D" w:rsidRPr="00286F7D" w14:paraId="418C4E42" w14:textId="77777777" w:rsidTr="00286F7D">
        <w:tc>
          <w:tcPr>
            <w:tcW w:w="1395" w:type="dxa"/>
            <w:tcBorders>
              <w:top w:val="single" w:sz="6" w:space="0" w:color="auto"/>
              <w:left w:val="single" w:sz="6" w:space="0" w:color="auto"/>
              <w:bottom w:val="single" w:sz="6" w:space="0" w:color="auto"/>
              <w:right w:val="single" w:sz="6" w:space="0" w:color="auto"/>
            </w:tcBorders>
          </w:tcPr>
          <w:p w14:paraId="5DDD9DCC" w14:textId="77777777" w:rsidR="00286F7D" w:rsidRPr="00286F7D" w:rsidRDefault="00286F7D" w:rsidP="00286F7D">
            <w:pPr>
              <w:pStyle w:val="Texttabulky"/>
              <w:spacing w:after="0"/>
              <w:jc w:val="center"/>
              <w:rPr>
                <w:rFonts w:cs="Arial"/>
              </w:rPr>
            </w:pPr>
            <w:r w:rsidRPr="00286F7D">
              <w:rPr>
                <w:rFonts w:cs="Arial"/>
              </w:rPr>
              <w:t>7 / 19</w:t>
            </w:r>
          </w:p>
        </w:tc>
        <w:tc>
          <w:tcPr>
            <w:tcW w:w="2955" w:type="dxa"/>
            <w:tcBorders>
              <w:top w:val="single" w:sz="6" w:space="0" w:color="auto"/>
              <w:left w:val="single" w:sz="6" w:space="0" w:color="auto"/>
              <w:bottom w:val="single" w:sz="6" w:space="0" w:color="auto"/>
              <w:right w:val="single" w:sz="6" w:space="0" w:color="auto"/>
            </w:tcBorders>
          </w:tcPr>
          <w:p w14:paraId="19FB8BBB" w14:textId="77777777" w:rsidR="00286F7D" w:rsidRPr="00286F7D" w:rsidRDefault="00286F7D" w:rsidP="00286F7D">
            <w:pPr>
              <w:pStyle w:val="Texttabulky"/>
              <w:spacing w:after="0"/>
              <w:jc w:val="center"/>
              <w:rPr>
                <w:rFonts w:cs="Arial"/>
              </w:rPr>
            </w:pPr>
            <w:r w:rsidRPr="00286F7D">
              <w:rPr>
                <w:rFonts w:cs="Arial"/>
              </w:rPr>
              <w:t>300 872</w:t>
            </w:r>
          </w:p>
          <w:p w14:paraId="622C38A2" w14:textId="77777777" w:rsidR="00286F7D" w:rsidRPr="00286F7D" w:rsidRDefault="00286F7D" w:rsidP="00286F7D">
            <w:pPr>
              <w:pStyle w:val="Texttabulky"/>
              <w:spacing w:after="0"/>
              <w:jc w:val="center"/>
              <w:rPr>
                <w:rFonts w:cs="Arial"/>
              </w:rPr>
            </w:pPr>
            <w:r w:rsidRPr="00286F7D">
              <w:rPr>
                <w:rFonts w:cs="Arial"/>
              </w:rPr>
              <w:t>170 0 5</w:t>
            </w:r>
          </w:p>
        </w:tc>
        <w:tc>
          <w:tcPr>
            <w:tcW w:w="3510" w:type="dxa"/>
            <w:tcBorders>
              <w:top w:val="single" w:sz="6" w:space="0" w:color="auto"/>
              <w:left w:val="single" w:sz="6" w:space="0" w:color="auto"/>
              <w:bottom w:val="single" w:sz="6" w:space="0" w:color="auto"/>
              <w:right w:val="single" w:sz="6" w:space="0" w:color="auto"/>
            </w:tcBorders>
          </w:tcPr>
          <w:p w14:paraId="5585856D" w14:textId="77777777" w:rsidR="00286F7D" w:rsidRPr="00286F7D" w:rsidRDefault="00286F7D" w:rsidP="00286F7D">
            <w:pPr>
              <w:pStyle w:val="Texttabulky"/>
              <w:spacing w:after="0"/>
              <w:rPr>
                <w:rFonts w:cs="Arial"/>
              </w:rPr>
            </w:pPr>
            <w:r w:rsidRPr="00286F7D">
              <w:rPr>
                <w:rFonts w:cs="Arial"/>
              </w:rPr>
              <w:t>Děčín 17, Jalůvčí 7</w:t>
            </w:r>
          </w:p>
          <w:p w14:paraId="7E5C99FC" w14:textId="77777777" w:rsidR="00286F7D" w:rsidRPr="00286F7D" w:rsidRDefault="00286F7D" w:rsidP="00286F7D">
            <w:pPr>
              <w:pStyle w:val="Texttabulky"/>
              <w:spacing w:after="0"/>
              <w:rPr>
                <w:rFonts w:cs="Arial"/>
              </w:rPr>
            </w:pPr>
            <w:r w:rsidRPr="00286F7D">
              <w:rPr>
                <w:rFonts w:cs="Arial"/>
              </w:rPr>
              <w:t>Základní škola</w:t>
            </w:r>
          </w:p>
        </w:tc>
      </w:tr>
      <w:tr w:rsidR="00286F7D" w:rsidRPr="00286F7D" w14:paraId="2F70E05B" w14:textId="77777777" w:rsidTr="00286F7D">
        <w:tc>
          <w:tcPr>
            <w:tcW w:w="1395" w:type="dxa"/>
            <w:tcBorders>
              <w:top w:val="single" w:sz="6" w:space="0" w:color="auto"/>
              <w:left w:val="single" w:sz="6" w:space="0" w:color="auto"/>
              <w:bottom w:val="single" w:sz="6" w:space="0" w:color="auto"/>
              <w:right w:val="single" w:sz="6" w:space="0" w:color="auto"/>
            </w:tcBorders>
          </w:tcPr>
          <w:p w14:paraId="3EA3219A" w14:textId="77777777" w:rsidR="00286F7D" w:rsidRPr="00286F7D" w:rsidRDefault="00286F7D" w:rsidP="00286F7D">
            <w:pPr>
              <w:pStyle w:val="Texttabulky"/>
              <w:spacing w:after="0"/>
              <w:jc w:val="center"/>
              <w:rPr>
                <w:rFonts w:cs="Arial"/>
              </w:rPr>
            </w:pPr>
            <w:r w:rsidRPr="00286F7D">
              <w:rPr>
                <w:rFonts w:cs="Arial"/>
              </w:rPr>
              <w:t>8 / 20</w:t>
            </w:r>
          </w:p>
        </w:tc>
        <w:tc>
          <w:tcPr>
            <w:tcW w:w="2955" w:type="dxa"/>
            <w:tcBorders>
              <w:top w:val="single" w:sz="6" w:space="0" w:color="auto"/>
              <w:left w:val="single" w:sz="6" w:space="0" w:color="auto"/>
              <w:bottom w:val="single" w:sz="6" w:space="0" w:color="auto"/>
              <w:right w:val="single" w:sz="6" w:space="0" w:color="auto"/>
            </w:tcBorders>
          </w:tcPr>
          <w:p w14:paraId="134CF2CE" w14:textId="77777777" w:rsidR="00286F7D" w:rsidRPr="00286F7D" w:rsidRDefault="00286F7D" w:rsidP="00286F7D">
            <w:pPr>
              <w:pStyle w:val="Texttabulky"/>
              <w:spacing w:after="0"/>
              <w:jc w:val="center"/>
              <w:rPr>
                <w:rFonts w:cs="Arial"/>
              </w:rPr>
            </w:pPr>
            <w:r w:rsidRPr="00286F7D">
              <w:rPr>
                <w:rFonts w:cs="Arial"/>
              </w:rPr>
              <w:t>300 618</w:t>
            </w:r>
          </w:p>
          <w:p w14:paraId="0A0B84DB" w14:textId="77777777" w:rsidR="00286F7D" w:rsidRPr="00286F7D" w:rsidRDefault="00286F7D" w:rsidP="00286F7D">
            <w:pPr>
              <w:pStyle w:val="Texttabulky"/>
              <w:spacing w:after="0"/>
              <w:jc w:val="center"/>
              <w:rPr>
                <w:rFonts w:cs="Arial"/>
              </w:rPr>
            </w:pPr>
            <w:r w:rsidRPr="00286F7D">
              <w:rPr>
                <w:rFonts w:cs="Arial"/>
              </w:rPr>
              <w:t>170 29</w:t>
            </w:r>
          </w:p>
        </w:tc>
        <w:tc>
          <w:tcPr>
            <w:tcW w:w="3510" w:type="dxa"/>
            <w:tcBorders>
              <w:top w:val="single" w:sz="6" w:space="0" w:color="auto"/>
              <w:left w:val="single" w:sz="6" w:space="0" w:color="auto"/>
              <w:bottom w:val="single" w:sz="6" w:space="0" w:color="auto"/>
              <w:right w:val="single" w:sz="6" w:space="0" w:color="auto"/>
            </w:tcBorders>
          </w:tcPr>
          <w:p w14:paraId="76F48BFD" w14:textId="77777777" w:rsidR="00286F7D" w:rsidRPr="00286F7D" w:rsidRDefault="00286F7D" w:rsidP="00286F7D">
            <w:pPr>
              <w:pStyle w:val="Texttabulky"/>
              <w:spacing w:after="0"/>
              <w:rPr>
                <w:rFonts w:cs="Arial"/>
              </w:rPr>
            </w:pPr>
            <w:r w:rsidRPr="00286F7D">
              <w:rPr>
                <w:rFonts w:cs="Arial"/>
              </w:rPr>
              <w:t>Děčín 32, Spojenců 159</w:t>
            </w:r>
          </w:p>
          <w:p w14:paraId="1EAB5F39" w14:textId="77777777" w:rsidR="00286F7D" w:rsidRPr="00286F7D" w:rsidRDefault="00286F7D" w:rsidP="00286F7D">
            <w:pPr>
              <w:pStyle w:val="Texttabulky"/>
              <w:spacing w:after="0"/>
              <w:rPr>
                <w:rFonts w:cs="Arial"/>
              </w:rPr>
            </w:pPr>
            <w:r w:rsidRPr="00286F7D">
              <w:rPr>
                <w:rFonts w:cs="Arial"/>
              </w:rPr>
              <w:t>Hasičská zbrojnice</w:t>
            </w:r>
          </w:p>
        </w:tc>
      </w:tr>
      <w:tr w:rsidR="00286F7D" w:rsidRPr="00286F7D" w14:paraId="3DEF5617" w14:textId="77777777" w:rsidTr="00286F7D">
        <w:tc>
          <w:tcPr>
            <w:tcW w:w="1395" w:type="dxa"/>
            <w:tcBorders>
              <w:top w:val="single" w:sz="6" w:space="0" w:color="auto"/>
              <w:left w:val="single" w:sz="6" w:space="0" w:color="auto"/>
              <w:bottom w:val="single" w:sz="6" w:space="0" w:color="auto"/>
              <w:right w:val="single" w:sz="6" w:space="0" w:color="auto"/>
            </w:tcBorders>
          </w:tcPr>
          <w:p w14:paraId="185BC3F3" w14:textId="77777777" w:rsidR="00286F7D" w:rsidRPr="00286F7D" w:rsidRDefault="00286F7D" w:rsidP="00286F7D">
            <w:pPr>
              <w:pStyle w:val="Texttabulky"/>
              <w:spacing w:after="0"/>
              <w:jc w:val="center"/>
              <w:rPr>
                <w:rFonts w:cs="Arial"/>
              </w:rPr>
            </w:pPr>
            <w:r w:rsidRPr="00286F7D">
              <w:rPr>
                <w:rFonts w:cs="Arial"/>
              </w:rPr>
              <w:t>9 / 21</w:t>
            </w:r>
          </w:p>
        </w:tc>
        <w:tc>
          <w:tcPr>
            <w:tcW w:w="2955" w:type="dxa"/>
            <w:tcBorders>
              <w:top w:val="single" w:sz="6" w:space="0" w:color="auto"/>
              <w:left w:val="single" w:sz="6" w:space="0" w:color="auto"/>
              <w:bottom w:val="single" w:sz="6" w:space="0" w:color="auto"/>
              <w:right w:val="single" w:sz="6" w:space="0" w:color="auto"/>
            </w:tcBorders>
          </w:tcPr>
          <w:p w14:paraId="1379004C" w14:textId="77777777" w:rsidR="00286F7D" w:rsidRPr="00286F7D" w:rsidRDefault="00286F7D" w:rsidP="00286F7D">
            <w:pPr>
              <w:pStyle w:val="Texttabulky"/>
              <w:spacing w:after="0"/>
              <w:jc w:val="center"/>
              <w:rPr>
                <w:rFonts w:cs="Arial"/>
              </w:rPr>
            </w:pPr>
            <w:r w:rsidRPr="00286F7D">
              <w:rPr>
                <w:rFonts w:cs="Arial"/>
              </w:rPr>
              <w:t>300 616</w:t>
            </w:r>
          </w:p>
          <w:p w14:paraId="240D0DDF" w14:textId="77777777" w:rsidR="00286F7D" w:rsidRPr="00286F7D" w:rsidRDefault="00286F7D" w:rsidP="00286F7D">
            <w:pPr>
              <w:pStyle w:val="Texttabulky"/>
              <w:spacing w:after="0"/>
              <w:jc w:val="center"/>
              <w:rPr>
                <w:rFonts w:cs="Arial"/>
              </w:rPr>
            </w:pPr>
            <w:r w:rsidRPr="00286F7D">
              <w:rPr>
                <w:rFonts w:cs="Arial"/>
              </w:rPr>
              <w:t>170 30</w:t>
            </w:r>
          </w:p>
        </w:tc>
        <w:tc>
          <w:tcPr>
            <w:tcW w:w="3510" w:type="dxa"/>
            <w:tcBorders>
              <w:top w:val="single" w:sz="6" w:space="0" w:color="auto"/>
              <w:left w:val="single" w:sz="6" w:space="0" w:color="auto"/>
              <w:bottom w:val="single" w:sz="6" w:space="0" w:color="auto"/>
              <w:right w:val="single" w:sz="6" w:space="0" w:color="auto"/>
            </w:tcBorders>
          </w:tcPr>
          <w:p w14:paraId="23D9E893" w14:textId="77777777" w:rsidR="00286F7D" w:rsidRPr="00286F7D" w:rsidRDefault="00286F7D" w:rsidP="00286F7D">
            <w:pPr>
              <w:pStyle w:val="Texttabulky"/>
              <w:spacing w:after="0"/>
              <w:rPr>
                <w:rFonts w:cs="Arial"/>
              </w:rPr>
            </w:pPr>
            <w:r w:rsidRPr="00286F7D">
              <w:rPr>
                <w:rFonts w:cs="Arial"/>
              </w:rPr>
              <w:t>Děčín 35, Lesná</w:t>
            </w:r>
          </w:p>
          <w:p w14:paraId="79BC0A98" w14:textId="77777777" w:rsidR="00286F7D" w:rsidRPr="00286F7D" w:rsidRDefault="00286F7D" w:rsidP="00286F7D">
            <w:pPr>
              <w:pStyle w:val="Texttabulky"/>
              <w:spacing w:after="0"/>
              <w:rPr>
                <w:rFonts w:cs="Arial"/>
              </w:rPr>
            </w:pPr>
            <w:r w:rsidRPr="00286F7D">
              <w:rPr>
                <w:rFonts w:cs="Arial"/>
              </w:rPr>
              <w:t>Hasičská zbrojnice</w:t>
            </w:r>
          </w:p>
        </w:tc>
      </w:tr>
      <w:tr w:rsidR="00286F7D" w:rsidRPr="00286F7D" w14:paraId="5074AED9" w14:textId="77777777" w:rsidTr="00286F7D">
        <w:tc>
          <w:tcPr>
            <w:tcW w:w="1395" w:type="dxa"/>
            <w:tcBorders>
              <w:top w:val="single" w:sz="6" w:space="0" w:color="auto"/>
              <w:left w:val="single" w:sz="6" w:space="0" w:color="auto"/>
              <w:bottom w:val="single" w:sz="6" w:space="0" w:color="auto"/>
              <w:right w:val="single" w:sz="6" w:space="0" w:color="auto"/>
            </w:tcBorders>
          </w:tcPr>
          <w:p w14:paraId="21C68759" w14:textId="77777777" w:rsidR="00286F7D" w:rsidRPr="00286F7D" w:rsidRDefault="00286F7D" w:rsidP="00286F7D">
            <w:pPr>
              <w:pStyle w:val="Texttabulky"/>
              <w:spacing w:after="0"/>
              <w:jc w:val="center"/>
              <w:rPr>
                <w:rFonts w:cs="Arial"/>
              </w:rPr>
            </w:pPr>
            <w:r w:rsidRPr="00286F7D">
              <w:rPr>
                <w:rFonts w:cs="Arial"/>
              </w:rPr>
              <w:t>10 / 22</w:t>
            </w:r>
          </w:p>
        </w:tc>
        <w:tc>
          <w:tcPr>
            <w:tcW w:w="2955" w:type="dxa"/>
            <w:tcBorders>
              <w:top w:val="single" w:sz="6" w:space="0" w:color="auto"/>
              <w:left w:val="single" w:sz="6" w:space="0" w:color="auto"/>
              <w:bottom w:val="single" w:sz="6" w:space="0" w:color="auto"/>
              <w:right w:val="single" w:sz="6" w:space="0" w:color="auto"/>
            </w:tcBorders>
          </w:tcPr>
          <w:p w14:paraId="584336C0" w14:textId="77777777" w:rsidR="00286F7D" w:rsidRPr="00286F7D" w:rsidRDefault="00286F7D" w:rsidP="00286F7D">
            <w:pPr>
              <w:pStyle w:val="Texttabulky"/>
              <w:spacing w:after="0"/>
              <w:jc w:val="center"/>
              <w:rPr>
                <w:rFonts w:cs="Arial"/>
              </w:rPr>
            </w:pPr>
            <w:r w:rsidRPr="00286F7D">
              <w:rPr>
                <w:rFonts w:cs="Arial"/>
              </w:rPr>
              <w:t>300 619</w:t>
            </w:r>
          </w:p>
          <w:p w14:paraId="2598404A" w14:textId="77777777" w:rsidR="00286F7D" w:rsidRPr="00286F7D" w:rsidRDefault="00286F7D" w:rsidP="00286F7D">
            <w:pPr>
              <w:pStyle w:val="Texttabulky"/>
              <w:spacing w:after="0"/>
              <w:jc w:val="center"/>
              <w:rPr>
                <w:rFonts w:cs="Arial"/>
              </w:rPr>
            </w:pPr>
            <w:r w:rsidRPr="00286F7D">
              <w:rPr>
                <w:rFonts w:cs="Arial"/>
              </w:rPr>
              <w:t>170 0 6</w:t>
            </w:r>
          </w:p>
        </w:tc>
        <w:tc>
          <w:tcPr>
            <w:tcW w:w="3510" w:type="dxa"/>
            <w:tcBorders>
              <w:top w:val="single" w:sz="6" w:space="0" w:color="auto"/>
              <w:left w:val="single" w:sz="6" w:space="0" w:color="auto"/>
              <w:bottom w:val="single" w:sz="6" w:space="0" w:color="auto"/>
              <w:right w:val="single" w:sz="6" w:space="0" w:color="auto"/>
            </w:tcBorders>
          </w:tcPr>
          <w:p w14:paraId="5CE716DF" w14:textId="77777777" w:rsidR="00286F7D" w:rsidRPr="00286F7D" w:rsidRDefault="00286F7D" w:rsidP="00286F7D">
            <w:pPr>
              <w:pStyle w:val="Texttabulky"/>
              <w:spacing w:after="0"/>
              <w:rPr>
                <w:rFonts w:cs="Arial"/>
              </w:rPr>
            </w:pPr>
            <w:r w:rsidRPr="00286F7D">
              <w:rPr>
                <w:rFonts w:cs="Arial"/>
              </w:rPr>
              <w:t>Děčín 3, Březová 135</w:t>
            </w:r>
          </w:p>
          <w:p w14:paraId="28654780" w14:textId="77777777" w:rsidR="00286F7D" w:rsidRPr="00286F7D" w:rsidRDefault="00286F7D" w:rsidP="00286F7D">
            <w:pPr>
              <w:pStyle w:val="Texttabulky"/>
              <w:spacing w:after="0"/>
              <w:rPr>
                <w:rFonts w:cs="Arial"/>
              </w:rPr>
            </w:pPr>
            <w:r w:rsidRPr="00286F7D">
              <w:rPr>
                <w:rFonts w:cs="Arial"/>
              </w:rPr>
              <w:t>Hasičská zbrojnice</w:t>
            </w:r>
          </w:p>
        </w:tc>
      </w:tr>
      <w:tr w:rsidR="00286F7D" w:rsidRPr="00286F7D" w14:paraId="6EABD098" w14:textId="77777777" w:rsidTr="00286F7D">
        <w:tc>
          <w:tcPr>
            <w:tcW w:w="1395" w:type="dxa"/>
            <w:tcBorders>
              <w:top w:val="single" w:sz="6" w:space="0" w:color="auto"/>
              <w:left w:val="single" w:sz="6" w:space="0" w:color="auto"/>
              <w:bottom w:val="single" w:sz="6" w:space="0" w:color="auto"/>
              <w:right w:val="single" w:sz="6" w:space="0" w:color="auto"/>
            </w:tcBorders>
          </w:tcPr>
          <w:p w14:paraId="2764A143" w14:textId="77777777" w:rsidR="00286F7D" w:rsidRPr="00286F7D" w:rsidRDefault="00286F7D" w:rsidP="00286F7D">
            <w:pPr>
              <w:pStyle w:val="Texttabulky"/>
              <w:spacing w:after="0"/>
              <w:jc w:val="center"/>
              <w:rPr>
                <w:rFonts w:cs="Arial"/>
              </w:rPr>
            </w:pPr>
            <w:r w:rsidRPr="00286F7D">
              <w:rPr>
                <w:rFonts w:cs="Arial"/>
              </w:rPr>
              <w:t>11 / 23</w:t>
            </w:r>
          </w:p>
        </w:tc>
        <w:tc>
          <w:tcPr>
            <w:tcW w:w="2955" w:type="dxa"/>
            <w:tcBorders>
              <w:top w:val="single" w:sz="6" w:space="0" w:color="auto"/>
              <w:left w:val="single" w:sz="6" w:space="0" w:color="auto"/>
              <w:bottom w:val="single" w:sz="6" w:space="0" w:color="auto"/>
              <w:right w:val="single" w:sz="6" w:space="0" w:color="auto"/>
            </w:tcBorders>
          </w:tcPr>
          <w:p w14:paraId="5A8B466E" w14:textId="77777777" w:rsidR="00286F7D" w:rsidRPr="00286F7D" w:rsidRDefault="00286F7D" w:rsidP="00286F7D">
            <w:pPr>
              <w:pStyle w:val="Texttabulky"/>
              <w:spacing w:after="0"/>
              <w:jc w:val="center"/>
              <w:rPr>
                <w:rFonts w:cs="Arial"/>
              </w:rPr>
            </w:pPr>
            <w:r w:rsidRPr="00286F7D">
              <w:rPr>
                <w:rFonts w:cs="Arial"/>
              </w:rPr>
              <w:t>301 634</w:t>
            </w:r>
          </w:p>
          <w:p w14:paraId="2C19C18E" w14:textId="77777777" w:rsidR="00286F7D" w:rsidRPr="00286F7D" w:rsidRDefault="00286F7D" w:rsidP="00286F7D">
            <w:pPr>
              <w:pStyle w:val="Texttabulky"/>
              <w:spacing w:after="0"/>
              <w:jc w:val="center"/>
              <w:rPr>
                <w:rFonts w:cs="Arial"/>
              </w:rPr>
            </w:pPr>
            <w:r w:rsidRPr="00286F7D">
              <w:rPr>
                <w:rFonts w:cs="Arial"/>
              </w:rPr>
              <w:t>170 31</w:t>
            </w:r>
          </w:p>
        </w:tc>
        <w:tc>
          <w:tcPr>
            <w:tcW w:w="3510" w:type="dxa"/>
            <w:tcBorders>
              <w:top w:val="single" w:sz="6" w:space="0" w:color="auto"/>
              <w:left w:val="single" w:sz="6" w:space="0" w:color="auto"/>
              <w:bottom w:val="single" w:sz="6" w:space="0" w:color="auto"/>
              <w:right w:val="single" w:sz="6" w:space="0" w:color="auto"/>
            </w:tcBorders>
          </w:tcPr>
          <w:p w14:paraId="73232505" w14:textId="77777777" w:rsidR="00286F7D" w:rsidRPr="00286F7D" w:rsidRDefault="00286F7D" w:rsidP="00286F7D">
            <w:pPr>
              <w:pStyle w:val="Texttabulky"/>
              <w:spacing w:after="0"/>
              <w:rPr>
                <w:rFonts w:cs="Arial"/>
              </w:rPr>
            </w:pPr>
            <w:r w:rsidRPr="00286F7D">
              <w:rPr>
                <w:rFonts w:cs="Arial"/>
              </w:rPr>
              <w:t>Děčín 31, Klicperova 40</w:t>
            </w:r>
          </w:p>
          <w:p w14:paraId="2650391D" w14:textId="77777777" w:rsidR="00286F7D" w:rsidRPr="00286F7D" w:rsidRDefault="00286F7D" w:rsidP="00286F7D">
            <w:pPr>
              <w:pStyle w:val="Texttabulky"/>
              <w:spacing w:after="0"/>
              <w:rPr>
                <w:rFonts w:cs="Arial"/>
              </w:rPr>
            </w:pPr>
            <w:r w:rsidRPr="00286F7D">
              <w:rPr>
                <w:rFonts w:cs="Arial"/>
              </w:rPr>
              <w:t>Hasičská zbrojnice</w:t>
            </w:r>
          </w:p>
        </w:tc>
      </w:tr>
      <w:tr w:rsidR="00286F7D" w:rsidRPr="00286F7D" w14:paraId="40182067" w14:textId="77777777" w:rsidTr="00286F7D">
        <w:tc>
          <w:tcPr>
            <w:tcW w:w="1395" w:type="dxa"/>
            <w:tcBorders>
              <w:top w:val="single" w:sz="6" w:space="0" w:color="auto"/>
              <w:left w:val="single" w:sz="6" w:space="0" w:color="auto"/>
              <w:bottom w:val="single" w:sz="6" w:space="0" w:color="auto"/>
              <w:right w:val="single" w:sz="6" w:space="0" w:color="auto"/>
            </w:tcBorders>
          </w:tcPr>
          <w:p w14:paraId="506E46DC" w14:textId="77777777" w:rsidR="00286F7D" w:rsidRPr="00286F7D" w:rsidRDefault="00286F7D" w:rsidP="00286F7D">
            <w:pPr>
              <w:pStyle w:val="Texttabulky"/>
              <w:spacing w:after="0"/>
              <w:jc w:val="center"/>
              <w:rPr>
                <w:rFonts w:cs="Arial"/>
              </w:rPr>
            </w:pPr>
            <w:r w:rsidRPr="00286F7D">
              <w:rPr>
                <w:rFonts w:cs="Arial"/>
              </w:rPr>
              <w:t>12 / 24</w:t>
            </w:r>
          </w:p>
        </w:tc>
        <w:tc>
          <w:tcPr>
            <w:tcW w:w="2955" w:type="dxa"/>
            <w:tcBorders>
              <w:top w:val="single" w:sz="6" w:space="0" w:color="auto"/>
              <w:left w:val="single" w:sz="6" w:space="0" w:color="auto"/>
              <w:bottom w:val="single" w:sz="6" w:space="0" w:color="auto"/>
              <w:right w:val="single" w:sz="6" w:space="0" w:color="auto"/>
            </w:tcBorders>
          </w:tcPr>
          <w:p w14:paraId="31A158A3" w14:textId="77777777" w:rsidR="00286F7D" w:rsidRPr="00286F7D" w:rsidRDefault="00286F7D" w:rsidP="00286F7D">
            <w:pPr>
              <w:pStyle w:val="Texttabulky"/>
              <w:spacing w:after="0"/>
              <w:jc w:val="center"/>
              <w:rPr>
                <w:rFonts w:cs="Arial"/>
              </w:rPr>
            </w:pPr>
            <w:r w:rsidRPr="00286F7D">
              <w:rPr>
                <w:rFonts w:cs="Arial"/>
              </w:rPr>
              <w:t>300 617</w:t>
            </w:r>
          </w:p>
          <w:p w14:paraId="15D24294" w14:textId="77777777" w:rsidR="00286F7D" w:rsidRPr="00286F7D" w:rsidRDefault="00286F7D" w:rsidP="00286F7D">
            <w:pPr>
              <w:pStyle w:val="Texttabulky"/>
              <w:spacing w:after="0"/>
              <w:jc w:val="center"/>
              <w:rPr>
                <w:rFonts w:cs="Arial"/>
              </w:rPr>
            </w:pPr>
            <w:r w:rsidRPr="00286F7D">
              <w:rPr>
                <w:rFonts w:cs="Arial"/>
              </w:rPr>
              <w:t>170 07</w:t>
            </w:r>
          </w:p>
        </w:tc>
        <w:tc>
          <w:tcPr>
            <w:tcW w:w="3510" w:type="dxa"/>
            <w:tcBorders>
              <w:top w:val="single" w:sz="6" w:space="0" w:color="auto"/>
              <w:left w:val="single" w:sz="6" w:space="0" w:color="auto"/>
              <w:bottom w:val="single" w:sz="6" w:space="0" w:color="auto"/>
              <w:right w:val="single" w:sz="6" w:space="0" w:color="auto"/>
            </w:tcBorders>
          </w:tcPr>
          <w:p w14:paraId="3E50E7AE" w14:textId="77777777" w:rsidR="00286F7D" w:rsidRPr="00286F7D" w:rsidRDefault="00286F7D" w:rsidP="00286F7D">
            <w:pPr>
              <w:pStyle w:val="Texttabulky"/>
              <w:spacing w:after="0"/>
              <w:rPr>
                <w:rFonts w:cs="Arial"/>
              </w:rPr>
            </w:pPr>
            <w:r w:rsidRPr="00286F7D">
              <w:rPr>
                <w:rFonts w:cs="Arial"/>
              </w:rPr>
              <w:t>Děčín 5, Ústecká 1757</w:t>
            </w:r>
          </w:p>
          <w:p w14:paraId="40D4D5BA" w14:textId="77777777" w:rsidR="00286F7D" w:rsidRPr="00286F7D" w:rsidRDefault="00286F7D" w:rsidP="00286F7D">
            <w:pPr>
              <w:pStyle w:val="Texttabulky"/>
              <w:spacing w:after="0"/>
              <w:rPr>
                <w:rFonts w:cs="Arial"/>
              </w:rPr>
            </w:pPr>
            <w:r w:rsidRPr="00286F7D">
              <w:rPr>
                <w:rFonts w:cs="Arial"/>
              </w:rPr>
              <w:t>KOVOŠROT as.</w:t>
            </w:r>
          </w:p>
        </w:tc>
      </w:tr>
      <w:tr w:rsidR="00286F7D" w:rsidRPr="00286F7D" w14:paraId="61F8490F" w14:textId="77777777" w:rsidTr="00286F7D">
        <w:tc>
          <w:tcPr>
            <w:tcW w:w="1395" w:type="dxa"/>
            <w:tcBorders>
              <w:top w:val="single" w:sz="6" w:space="0" w:color="auto"/>
              <w:left w:val="single" w:sz="6" w:space="0" w:color="auto"/>
              <w:bottom w:val="single" w:sz="6" w:space="0" w:color="auto"/>
              <w:right w:val="single" w:sz="6" w:space="0" w:color="auto"/>
            </w:tcBorders>
          </w:tcPr>
          <w:p w14:paraId="789FF578" w14:textId="77777777" w:rsidR="00286F7D" w:rsidRPr="00286F7D" w:rsidRDefault="00286F7D" w:rsidP="00286F7D">
            <w:pPr>
              <w:pStyle w:val="Texttabulky"/>
              <w:spacing w:after="0"/>
              <w:jc w:val="center"/>
              <w:rPr>
                <w:rFonts w:cs="Arial"/>
              </w:rPr>
            </w:pPr>
            <w:r w:rsidRPr="00286F7D">
              <w:rPr>
                <w:rFonts w:cs="Arial"/>
              </w:rPr>
              <w:t>13 / 25</w:t>
            </w:r>
          </w:p>
        </w:tc>
        <w:tc>
          <w:tcPr>
            <w:tcW w:w="2955" w:type="dxa"/>
            <w:tcBorders>
              <w:top w:val="single" w:sz="6" w:space="0" w:color="auto"/>
              <w:left w:val="single" w:sz="6" w:space="0" w:color="auto"/>
              <w:bottom w:val="single" w:sz="6" w:space="0" w:color="auto"/>
              <w:right w:val="single" w:sz="6" w:space="0" w:color="auto"/>
            </w:tcBorders>
          </w:tcPr>
          <w:p w14:paraId="2B98E592" w14:textId="77777777" w:rsidR="00286F7D" w:rsidRPr="00286F7D" w:rsidRDefault="00286F7D" w:rsidP="00286F7D">
            <w:pPr>
              <w:pStyle w:val="Texttabulky"/>
              <w:spacing w:after="0"/>
              <w:jc w:val="center"/>
              <w:rPr>
                <w:rFonts w:cs="Arial"/>
              </w:rPr>
            </w:pPr>
            <w:r w:rsidRPr="00286F7D">
              <w:rPr>
                <w:rFonts w:cs="Arial"/>
              </w:rPr>
              <w:t>300 626</w:t>
            </w:r>
          </w:p>
          <w:p w14:paraId="23ABD7F3" w14:textId="77777777" w:rsidR="00286F7D" w:rsidRPr="00286F7D" w:rsidRDefault="00286F7D" w:rsidP="00286F7D">
            <w:pPr>
              <w:pStyle w:val="Texttabulky"/>
              <w:spacing w:after="0"/>
              <w:jc w:val="center"/>
              <w:rPr>
                <w:rFonts w:cs="Arial"/>
              </w:rPr>
            </w:pPr>
            <w:r w:rsidRPr="00286F7D">
              <w:rPr>
                <w:rFonts w:cs="Arial"/>
              </w:rPr>
              <w:t>170 32</w:t>
            </w:r>
          </w:p>
        </w:tc>
        <w:tc>
          <w:tcPr>
            <w:tcW w:w="3510" w:type="dxa"/>
            <w:tcBorders>
              <w:top w:val="single" w:sz="6" w:space="0" w:color="auto"/>
              <w:left w:val="single" w:sz="6" w:space="0" w:color="auto"/>
              <w:bottom w:val="single" w:sz="6" w:space="0" w:color="auto"/>
              <w:right w:val="single" w:sz="6" w:space="0" w:color="auto"/>
            </w:tcBorders>
          </w:tcPr>
          <w:p w14:paraId="12884AD0" w14:textId="77777777" w:rsidR="00286F7D" w:rsidRPr="00286F7D" w:rsidRDefault="00286F7D" w:rsidP="00286F7D">
            <w:pPr>
              <w:pStyle w:val="Texttabulky"/>
              <w:spacing w:after="0"/>
              <w:rPr>
                <w:rFonts w:cs="Arial"/>
              </w:rPr>
            </w:pPr>
            <w:r w:rsidRPr="00286F7D">
              <w:rPr>
                <w:rFonts w:cs="Arial"/>
              </w:rPr>
              <w:t>Děčín 15, Prostřední Žleb</w:t>
            </w:r>
          </w:p>
          <w:p w14:paraId="11AAD69F" w14:textId="77777777" w:rsidR="00286F7D" w:rsidRPr="00286F7D" w:rsidRDefault="00286F7D" w:rsidP="00286F7D">
            <w:pPr>
              <w:pStyle w:val="Texttabulky"/>
              <w:spacing w:after="0"/>
              <w:rPr>
                <w:rFonts w:cs="Arial"/>
              </w:rPr>
            </w:pPr>
            <w:r w:rsidRPr="00286F7D">
              <w:rPr>
                <w:rFonts w:cs="Arial"/>
              </w:rPr>
              <w:t>obytný dům, Žlebská 80</w:t>
            </w:r>
          </w:p>
        </w:tc>
      </w:tr>
      <w:tr w:rsidR="00286F7D" w:rsidRPr="00286F7D" w14:paraId="0F26A315" w14:textId="77777777" w:rsidTr="00286F7D">
        <w:tc>
          <w:tcPr>
            <w:tcW w:w="1395" w:type="dxa"/>
            <w:tcBorders>
              <w:top w:val="single" w:sz="6" w:space="0" w:color="auto"/>
              <w:left w:val="single" w:sz="6" w:space="0" w:color="auto"/>
              <w:bottom w:val="single" w:sz="6" w:space="0" w:color="auto"/>
              <w:right w:val="single" w:sz="6" w:space="0" w:color="auto"/>
            </w:tcBorders>
          </w:tcPr>
          <w:p w14:paraId="0D17A03D" w14:textId="77777777" w:rsidR="00286F7D" w:rsidRPr="00286F7D" w:rsidRDefault="00286F7D" w:rsidP="00286F7D">
            <w:pPr>
              <w:pStyle w:val="Texttabulky"/>
              <w:spacing w:after="0"/>
              <w:jc w:val="center"/>
              <w:rPr>
                <w:rFonts w:cs="Arial"/>
              </w:rPr>
            </w:pPr>
            <w:r w:rsidRPr="00286F7D">
              <w:rPr>
                <w:rFonts w:cs="Arial"/>
              </w:rPr>
              <w:t>14 / 27</w:t>
            </w:r>
          </w:p>
        </w:tc>
        <w:tc>
          <w:tcPr>
            <w:tcW w:w="2955" w:type="dxa"/>
            <w:tcBorders>
              <w:top w:val="single" w:sz="6" w:space="0" w:color="auto"/>
              <w:left w:val="single" w:sz="6" w:space="0" w:color="auto"/>
              <w:bottom w:val="single" w:sz="6" w:space="0" w:color="auto"/>
              <w:right w:val="single" w:sz="6" w:space="0" w:color="auto"/>
            </w:tcBorders>
          </w:tcPr>
          <w:p w14:paraId="5E6B0B31" w14:textId="77777777" w:rsidR="00286F7D" w:rsidRPr="00286F7D" w:rsidRDefault="00286F7D" w:rsidP="00286F7D">
            <w:pPr>
              <w:pStyle w:val="Texttabulky"/>
              <w:spacing w:after="0"/>
              <w:jc w:val="center"/>
              <w:rPr>
                <w:rFonts w:cs="Arial"/>
              </w:rPr>
            </w:pPr>
            <w:r w:rsidRPr="00286F7D">
              <w:rPr>
                <w:rFonts w:cs="Arial"/>
              </w:rPr>
              <w:t>300 624</w:t>
            </w:r>
          </w:p>
          <w:p w14:paraId="4B993822" w14:textId="77777777" w:rsidR="00286F7D" w:rsidRPr="00286F7D" w:rsidRDefault="00286F7D" w:rsidP="00286F7D">
            <w:pPr>
              <w:pStyle w:val="Texttabulky"/>
              <w:spacing w:after="0"/>
              <w:jc w:val="center"/>
              <w:rPr>
                <w:rFonts w:cs="Arial"/>
              </w:rPr>
            </w:pPr>
            <w:r w:rsidRPr="00286F7D">
              <w:rPr>
                <w:rFonts w:cs="Arial"/>
              </w:rPr>
              <w:t>170 33</w:t>
            </w:r>
          </w:p>
        </w:tc>
        <w:tc>
          <w:tcPr>
            <w:tcW w:w="3510" w:type="dxa"/>
            <w:tcBorders>
              <w:top w:val="single" w:sz="6" w:space="0" w:color="auto"/>
              <w:left w:val="single" w:sz="6" w:space="0" w:color="auto"/>
              <w:bottom w:val="single" w:sz="6" w:space="0" w:color="auto"/>
              <w:right w:val="single" w:sz="6" w:space="0" w:color="auto"/>
            </w:tcBorders>
          </w:tcPr>
          <w:p w14:paraId="500B4851" w14:textId="77777777" w:rsidR="00286F7D" w:rsidRPr="00286F7D" w:rsidRDefault="00286F7D" w:rsidP="00286F7D">
            <w:pPr>
              <w:pStyle w:val="Texttabulky"/>
              <w:spacing w:after="0"/>
              <w:rPr>
                <w:rFonts w:cs="Arial"/>
              </w:rPr>
            </w:pPr>
            <w:r w:rsidRPr="00286F7D">
              <w:rPr>
                <w:rFonts w:cs="Arial"/>
              </w:rPr>
              <w:t>Děčín 27, Březiny 59</w:t>
            </w:r>
          </w:p>
          <w:p w14:paraId="5BE22EB4" w14:textId="77777777" w:rsidR="00286F7D" w:rsidRPr="00286F7D" w:rsidRDefault="00286F7D" w:rsidP="00286F7D">
            <w:pPr>
              <w:pStyle w:val="Texttabulky"/>
              <w:spacing w:after="0"/>
              <w:rPr>
                <w:rFonts w:cs="Arial"/>
              </w:rPr>
            </w:pPr>
            <w:r w:rsidRPr="00286F7D">
              <w:rPr>
                <w:rFonts w:cs="Arial"/>
              </w:rPr>
              <w:t>obytný dům</w:t>
            </w:r>
          </w:p>
        </w:tc>
      </w:tr>
      <w:tr w:rsidR="00286F7D" w:rsidRPr="00286F7D" w14:paraId="24B4544C" w14:textId="77777777" w:rsidTr="00286F7D">
        <w:tc>
          <w:tcPr>
            <w:tcW w:w="1395" w:type="dxa"/>
            <w:tcBorders>
              <w:top w:val="single" w:sz="6" w:space="0" w:color="auto"/>
              <w:left w:val="single" w:sz="6" w:space="0" w:color="auto"/>
              <w:bottom w:val="single" w:sz="6" w:space="0" w:color="auto"/>
              <w:right w:val="single" w:sz="6" w:space="0" w:color="auto"/>
            </w:tcBorders>
          </w:tcPr>
          <w:p w14:paraId="584B217D" w14:textId="77777777" w:rsidR="00286F7D" w:rsidRPr="00286F7D" w:rsidRDefault="00286F7D" w:rsidP="00286F7D">
            <w:pPr>
              <w:pStyle w:val="Texttabulky"/>
              <w:spacing w:after="0"/>
              <w:jc w:val="center"/>
              <w:rPr>
                <w:rFonts w:cs="Arial"/>
              </w:rPr>
            </w:pPr>
            <w:r w:rsidRPr="00286F7D">
              <w:rPr>
                <w:rFonts w:cs="Arial"/>
              </w:rPr>
              <w:t>15 / 28</w:t>
            </w:r>
          </w:p>
        </w:tc>
        <w:tc>
          <w:tcPr>
            <w:tcW w:w="2955" w:type="dxa"/>
            <w:tcBorders>
              <w:top w:val="single" w:sz="6" w:space="0" w:color="auto"/>
              <w:left w:val="single" w:sz="6" w:space="0" w:color="auto"/>
              <w:bottom w:val="single" w:sz="6" w:space="0" w:color="auto"/>
              <w:right w:val="single" w:sz="6" w:space="0" w:color="auto"/>
            </w:tcBorders>
          </w:tcPr>
          <w:p w14:paraId="55508F7A" w14:textId="77777777" w:rsidR="00286F7D" w:rsidRPr="00286F7D" w:rsidRDefault="00286F7D" w:rsidP="00286F7D">
            <w:pPr>
              <w:pStyle w:val="Texttabulky"/>
              <w:spacing w:after="0"/>
              <w:jc w:val="center"/>
              <w:rPr>
                <w:rFonts w:cs="Arial"/>
              </w:rPr>
            </w:pPr>
            <w:r w:rsidRPr="00286F7D">
              <w:rPr>
                <w:rFonts w:cs="Arial"/>
              </w:rPr>
              <w:t>301 193</w:t>
            </w:r>
          </w:p>
          <w:p w14:paraId="0E9D17B6" w14:textId="77777777" w:rsidR="00286F7D" w:rsidRPr="00286F7D" w:rsidRDefault="00286F7D" w:rsidP="00286F7D">
            <w:pPr>
              <w:pStyle w:val="Texttabulky"/>
              <w:spacing w:after="0"/>
              <w:jc w:val="center"/>
              <w:rPr>
                <w:rFonts w:cs="Arial"/>
              </w:rPr>
            </w:pPr>
            <w:r w:rsidRPr="00286F7D">
              <w:rPr>
                <w:rFonts w:cs="Arial"/>
              </w:rPr>
              <w:t>170 34</w:t>
            </w:r>
          </w:p>
        </w:tc>
        <w:tc>
          <w:tcPr>
            <w:tcW w:w="3510" w:type="dxa"/>
            <w:tcBorders>
              <w:top w:val="single" w:sz="6" w:space="0" w:color="auto"/>
              <w:left w:val="single" w:sz="6" w:space="0" w:color="auto"/>
              <w:bottom w:val="single" w:sz="6" w:space="0" w:color="auto"/>
              <w:right w:val="single" w:sz="6" w:space="0" w:color="auto"/>
            </w:tcBorders>
          </w:tcPr>
          <w:p w14:paraId="3BA3532B" w14:textId="77777777" w:rsidR="00286F7D" w:rsidRPr="00286F7D" w:rsidRDefault="00286F7D" w:rsidP="00286F7D">
            <w:pPr>
              <w:pStyle w:val="Texttabulky"/>
              <w:spacing w:after="0"/>
              <w:rPr>
                <w:rFonts w:cs="Arial"/>
              </w:rPr>
            </w:pPr>
            <w:r w:rsidRPr="00286F7D">
              <w:rPr>
                <w:rFonts w:cs="Arial"/>
              </w:rPr>
              <w:t>Děčín 4, Mírové náměstí 5</w:t>
            </w:r>
          </w:p>
          <w:p w14:paraId="03BA7F5A" w14:textId="77777777" w:rsidR="00286F7D" w:rsidRPr="00286F7D" w:rsidRDefault="00286F7D" w:rsidP="00286F7D">
            <w:pPr>
              <w:pStyle w:val="Texttabulky"/>
              <w:spacing w:after="0"/>
              <w:rPr>
                <w:rFonts w:cs="Arial"/>
              </w:rPr>
            </w:pPr>
            <w:r w:rsidRPr="00286F7D">
              <w:rPr>
                <w:rFonts w:cs="Arial"/>
              </w:rPr>
              <w:t>Městský úřad</w:t>
            </w:r>
          </w:p>
        </w:tc>
      </w:tr>
      <w:tr w:rsidR="00286F7D" w:rsidRPr="00286F7D" w14:paraId="411629DC" w14:textId="77777777" w:rsidTr="00286F7D">
        <w:tc>
          <w:tcPr>
            <w:tcW w:w="1395" w:type="dxa"/>
            <w:tcBorders>
              <w:top w:val="single" w:sz="6" w:space="0" w:color="auto"/>
              <w:left w:val="single" w:sz="6" w:space="0" w:color="auto"/>
              <w:bottom w:val="single" w:sz="6" w:space="0" w:color="auto"/>
              <w:right w:val="single" w:sz="6" w:space="0" w:color="auto"/>
            </w:tcBorders>
          </w:tcPr>
          <w:p w14:paraId="3512AEB8" w14:textId="77777777" w:rsidR="00286F7D" w:rsidRPr="00286F7D" w:rsidRDefault="00286F7D" w:rsidP="00286F7D">
            <w:pPr>
              <w:pStyle w:val="Texttabulky"/>
              <w:spacing w:after="0"/>
              <w:jc w:val="center"/>
              <w:rPr>
                <w:rFonts w:cs="Arial"/>
              </w:rPr>
            </w:pPr>
            <w:r w:rsidRPr="00286F7D">
              <w:rPr>
                <w:rFonts w:cs="Arial"/>
              </w:rPr>
              <w:t>16 / 29</w:t>
            </w:r>
          </w:p>
        </w:tc>
        <w:tc>
          <w:tcPr>
            <w:tcW w:w="2955" w:type="dxa"/>
            <w:tcBorders>
              <w:top w:val="single" w:sz="6" w:space="0" w:color="auto"/>
              <w:left w:val="single" w:sz="6" w:space="0" w:color="auto"/>
              <w:bottom w:val="single" w:sz="6" w:space="0" w:color="auto"/>
              <w:right w:val="single" w:sz="6" w:space="0" w:color="auto"/>
            </w:tcBorders>
          </w:tcPr>
          <w:p w14:paraId="28C58AC8" w14:textId="77777777" w:rsidR="00286F7D" w:rsidRPr="00286F7D" w:rsidRDefault="00286F7D" w:rsidP="00286F7D">
            <w:pPr>
              <w:pStyle w:val="Texttabulky"/>
              <w:spacing w:after="0"/>
              <w:jc w:val="center"/>
              <w:rPr>
                <w:rFonts w:cs="Arial"/>
              </w:rPr>
            </w:pPr>
            <w:r w:rsidRPr="00286F7D">
              <w:rPr>
                <w:rFonts w:cs="Arial"/>
              </w:rPr>
              <w:t>301 635</w:t>
            </w:r>
          </w:p>
          <w:p w14:paraId="3D69EE80" w14:textId="77777777" w:rsidR="00286F7D" w:rsidRPr="00286F7D" w:rsidRDefault="00286F7D" w:rsidP="00286F7D">
            <w:pPr>
              <w:pStyle w:val="Texttabulky"/>
              <w:spacing w:after="0"/>
              <w:jc w:val="center"/>
              <w:rPr>
                <w:rFonts w:cs="Arial"/>
              </w:rPr>
            </w:pPr>
            <w:r w:rsidRPr="00286F7D">
              <w:rPr>
                <w:rFonts w:cs="Arial"/>
              </w:rPr>
              <w:t>170 09</w:t>
            </w:r>
          </w:p>
        </w:tc>
        <w:tc>
          <w:tcPr>
            <w:tcW w:w="3510" w:type="dxa"/>
            <w:tcBorders>
              <w:top w:val="single" w:sz="6" w:space="0" w:color="auto"/>
              <w:left w:val="single" w:sz="6" w:space="0" w:color="auto"/>
              <w:bottom w:val="single" w:sz="6" w:space="0" w:color="auto"/>
              <w:right w:val="single" w:sz="6" w:space="0" w:color="auto"/>
            </w:tcBorders>
          </w:tcPr>
          <w:p w14:paraId="23EF8828" w14:textId="77777777" w:rsidR="00286F7D" w:rsidRPr="00286F7D" w:rsidRDefault="00286F7D" w:rsidP="00286F7D">
            <w:pPr>
              <w:pStyle w:val="Texttabulky"/>
              <w:spacing w:after="0"/>
              <w:rPr>
                <w:rFonts w:cs="Arial"/>
              </w:rPr>
            </w:pPr>
            <w:r w:rsidRPr="00286F7D">
              <w:rPr>
                <w:rFonts w:cs="Arial"/>
              </w:rPr>
              <w:t>Děčín 3, Pod Chlumem 209</w:t>
            </w:r>
          </w:p>
          <w:p w14:paraId="37473056" w14:textId="77777777" w:rsidR="00286F7D" w:rsidRPr="00286F7D" w:rsidRDefault="00286F7D" w:rsidP="00286F7D">
            <w:pPr>
              <w:pStyle w:val="Texttabulky"/>
              <w:spacing w:after="0"/>
              <w:rPr>
                <w:rFonts w:cs="Arial"/>
              </w:rPr>
            </w:pPr>
            <w:r w:rsidRPr="00286F7D">
              <w:rPr>
                <w:rFonts w:cs="Arial"/>
              </w:rPr>
              <w:t>SEMPRA as.</w:t>
            </w:r>
          </w:p>
        </w:tc>
      </w:tr>
      <w:tr w:rsidR="00286F7D" w:rsidRPr="00286F7D" w14:paraId="070B38A9" w14:textId="77777777" w:rsidTr="00286F7D">
        <w:tc>
          <w:tcPr>
            <w:tcW w:w="1395" w:type="dxa"/>
            <w:tcBorders>
              <w:top w:val="single" w:sz="6" w:space="0" w:color="auto"/>
              <w:left w:val="single" w:sz="6" w:space="0" w:color="auto"/>
              <w:bottom w:val="single" w:sz="6" w:space="0" w:color="auto"/>
              <w:right w:val="single" w:sz="6" w:space="0" w:color="auto"/>
            </w:tcBorders>
          </w:tcPr>
          <w:p w14:paraId="0A50B5DE" w14:textId="77777777" w:rsidR="00286F7D" w:rsidRPr="00286F7D" w:rsidRDefault="00286F7D" w:rsidP="00286F7D">
            <w:pPr>
              <w:pStyle w:val="Texttabulky"/>
              <w:spacing w:after="0"/>
              <w:jc w:val="center"/>
              <w:rPr>
                <w:rFonts w:cs="Arial"/>
              </w:rPr>
            </w:pPr>
            <w:r w:rsidRPr="00286F7D">
              <w:rPr>
                <w:rFonts w:cs="Arial"/>
              </w:rPr>
              <w:t>17 / 30</w:t>
            </w:r>
          </w:p>
        </w:tc>
        <w:tc>
          <w:tcPr>
            <w:tcW w:w="2955" w:type="dxa"/>
            <w:tcBorders>
              <w:top w:val="single" w:sz="6" w:space="0" w:color="auto"/>
              <w:left w:val="single" w:sz="6" w:space="0" w:color="auto"/>
              <w:bottom w:val="single" w:sz="6" w:space="0" w:color="auto"/>
              <w:right w:val="single" w:sz="6" w:space="0" w:color="auto"/>
            </w:tcBorders>
          </w:tcPr>
          <w:p w14:paraId="555DAA10" w14:textId="77777777" w:rsidR="00286F7D" w:rsidRPr="00286F7D" w:rsidRDefault="00286F7D" w:rsidP="00286F7D">
            <w:pPr>
              <w:pStyle w:val="Texttabulky"/>
              <w:spacing w:after="0"/>
              <w:jc w:val="center"/>
              <w:rPr>
                <w:rFonts w:cs="Arial"/>
              </w:rPr>
            </w:pPr>
            <w:r w:rsidRPr="00286F7D">
              <w:rPr>
                <w:rFonts w:cs="Arial"/>
              </w:rPr>
              <w:t>301 190</w:t>
            </w:r>
          </w:p>
          <w:p w14:paraId="05520C4C" w14:textId="77777777" w:rsidR="00286F7D" w:rsidRPr="00286F7D" w:rsidRDefault="00286F7D" w:rsidP="00286F7D">
            <w:pPr>
              <w:pStyle w:val="Texttabulky"/>
              <w:spacing w:after="0"/>
              <w:jc w:val="center"/>
              <w:rPr>
                <w:rFonts w:cs="Arial"/>
              </w:rPr>
            </w:pPr>
            <w:r w:rsidRPr="00286F7D">
              <w:rPr>
                <w:rFonts w:cs="Arial"/>
              </w:rPr>
              <w:t>170 10</w:t>
            </w:r>
          </w:p>
        </w:tc>
        <w:tc>
          <w:tcPr>
            <w:tcW w:w="3510" w:type="dxa"/>
            <w:tcBorders>
              <w:top w:val="single" w:sz="6" w:space="0" w:color="auto"/>
              <w:left w:val="single" w:sz="6" w:space="0" w:color="auto"/>
              <w:bottom w:val="single" w:sz="6" w:space="0" w:color="auto"/>
              <w:right w:val="single" w:sz="6" w:space="0" w:color="auto"/>
            </w:tcBorders>
          </w:tcPr>
          <w:p w14:paraId="37AE62FA" w14:textId="77777777" w:rsidR="00286F7D" w:rsidRPr="00286F7D" w:rsidRDefault="00286F7D" w:rsidP="00286F7D">
            <w:pPr>
              <w:pStyle w:val="Texttabulky"/>
              <w:spacing w:after="0"/>
              <w:rPr>
                <w:rFonts w:cs="Arial"/>
              </w:rPr>
            </w:pPr>
            <w:r w:rsidRPr="00286F7D">
              <w:rPr>
                <w:rFonts w:cs="Arial"/>
              </w:rPr>
              <w:t>Děčín 1, Masarykovo náměstí 5</w:t>
            </w:r>
          </w:p>
          <w:p w14:paraId="3817E078" w14:textId="77777777" w:rsidR="00286F7D" w:rsidRPr="00286F7D" w:rsidRDefault="00286F7D" w:rsidP="00286F7D">
            <w:pPr>
              <w:pStyle w:val="Texttabulky"/>
              <w:spacing w:after="0"/>
              <w:rPr>
                <w:rFonts w:cs="Arial"/>
              </w:rPr>
            </w:pPr>
            <w:r w:rsidRPr="00286F7D">
              <w:rPr>
                <w:rFonts w:cs="Arial"/>
              </w:rPr>
              <w:t>Okresní soud</w:t>
            </w:r>
          </w:p>
        </w:tc>
      </w:tr>
      <w:tr w:rsidR="00286F7D" w:rsidRPr="00286F7D" w14:paraId="5A7CB6BA" w14:textId="77777777" w:rsidTr="00286F7D">
        <w:tc>
          <w:tcPr>
            <w:tcW w:w="1395" w:type="dxa"/>
            <w:tcBorders>
              <w:top w:val="single" w:sz="6" w:space="0" w:color="auto"/>
              <w:left w:val="single" w:sz="6" w:space="0" w:color="auto"/>
              <w:bottom w:val="single" w:sz="6" w:space="0" w:color="auto"/>
              <w:right w:val="single" w:sz="6" w:space="0" w:color="auto"/>
            </w:tcBorders>
          </w:tcPr>
          <w:p w14:paraId="54894F6F" w14:textId="77777777" w:rsidR="00286F7D" w:rsidRPr="00286F7D" w:rsidRDefault="00286F7D" w:rsidP="00286F7D">
            <w:pPr>
              <w:pStyle w:val="Texttabulky"/>
              <w:spacing w:after="0"/>
              <w:jc w:val="center"/>
              <w:rPr>
                <w:rFonts w:cs="Arial"/>
              </w:rPr>
            </w:pPr>
            <w:r w:rsidRPr="00286F7D">
              <w:rPr>
                <w:rFonts w:cs="Arial"/>
              </w:rPr>
              <w:t>18 / 32</w:t>
            </w:r>
          </w:p>
        </w:tc>
        <w:tc>
          <w:tcPr>
            <w:tcW w:w="2955" w:type="dxa"/>
            <w:tcBorders>
              <w:top w:val="single" w:sz="6" w:space="0" w:color="auto"/>
              <w:left w:val="single" w:sz="6" w:space="0" w:color="auto"/>
              <w:bottom w:val="single" w:sz="6" w:space="0" w:color="auto"/>
              <w:right w:val="single" w:sz="6" w:space="0" w:color="auto"/>
            </w:tcBorders>
          </w:tcPr>
          <w:p w14:paraId="32B93D53" w14:textId="77777777" w:rsidR="00286F7D" w:rsidRPr="00286F7D" w:rsidRDefault="00286F7D" w:rsidP="00286F7D">
            <w:pPr>
              <w:pStyle w:val="Texttabulky"/>
              <w:spacing w:after="0"/>
              <w:jc w:val="center"/>
              <w:rPr>
                <w:rFonts w:cs="Arial"/>
              </w:rPr>
            </w:pPr>
            <w:r w:rsidRPr="00286F7D">
              <w:rPr>
                <w:rFonts w:cs="Arial"/>
              </w:rPr>
              <w:t>301 192</w:t>
            </w:r>
          </w:p>
          <w:p w14:paraId="0772777E" w14:textId="77777777" w:rsidR="00286F7D" w:rsidRPr="00286F7D" w:rsidRDefault="00286F7D" w:rsidP="00286F7D">
            <w:pPr>
              <w:pStyle w:val="Texttabulky"/>
              <w:spacing w:after="0"/>
              <w:jc w:val="center"/>
              <w:rPr>
                <w:rFonts w:cs="Arial"/>
              </w:rPr>
            </w:pPr>
            <w:r w:rsidRPr="00286F7D">
              <w:rPr>
                <w:rFonts w:cs="Arial"/>
              </w:rPr>
              <w:t>170 36</w:t>
            </w:r>
          </w:p>
        </w:tc>
        <w:tc>
          <w:tcPr>
            <w:tcW w:w="3510" w:type="dxa"/>
            <w:tcBorders>
              <w:top w:val="single" w:sz="6" w:space="0" w:color="auto"/>
              <w:left w:val="single" w:sz="6" w:space="0" w:color="auto"/>
              <w:bottom w:val="single" w:sz="6" w:space="0" w:color="auto"/>
              <w:right w:val="single" w:sz="6" w:space="0" w:color="auto"/>
            </w:tcBorders>
          </w:tcPr>
          <w:p w14:paraId="4D5EC42F" w14:textId="77777777" w:rsidR="00286F7D" w:rsidRPr="00286F7D" w:rsidRDefault="00286F7D" w:rsidP="00286F7D">
            <w:pPr>
              <w:pStyle w:val="Texttabulky"/>
              <w:spacing w:after="0"/>
              <w:rPr>
                <w:rFonts w:cs="Arial"/>
              </w:rPr>
            </w:pPr>
            <w:r w:rsidRPr="00286F7D">
              <w:rPr>
                <w:rFonts w:cs="Arial"/>
              </w:rPr>
              <w:t>Děčín 31, Vítězství 70</w:t>
            </w:r>
          </w:p>
          <w:p w14:paraId="47992DBE" w14:textId="77777777" w:rsidR="00286F7D" w:rsidRPr="00286F7D" w:rsidRDefault="00286F7D" w:rsidP="00286F7D">
            <w:pPr>
              <w:pStyle w:val="Texttabulky"/>
              <w:spacing w:after="0"/>
              <w:rPr>
                <w:rFonts w:cs="Arial"/>
              </w:rPr>
            </w:pPr>
            <w:r w:rsidRPr="00286F7D">
              <w:rPr>
                <w:rFonts w:cs="Arial"/>
              </w:rPr>
              <w:t>Dětský výchovný ústav</w:t>
            </w:r>
          </w:p>
        </w:tc>
      </w:tr>
      <w:tr w:rsidR="00286F7D" w:rsidRPr="00286F7D" w14:paraId="5F144185" w14:textId="77777777" w:rsidTr="00286F7D">
        <w:tc>
          <w:tcPr>
            <w:tcW w:w="1395" w:type="dxa"/>
            <w:tcBorders>
              <w:top w:val="single" w:sz="6" w:space="0" w:color="auto"/>
              <w:left w:val="single" w:sz="6" w:space="0" w:color="auto"/>
              <w:bottom w:val="single" w:sz="6" w:space="0" w:color="auto"/>
              <w:right w:val="single" w:sz="6" w:space="0" w:color="auto"/>
            </w:tcBorders>
          </w:tcPr>
          <w:p w14:paraId="7D7ADC34" w14:textId="77777777" w:rsidR="00286F7D" w:rsidRPr="00286F7D" w:rsidRDefault="00286F7D" w:rsidP="00286F7D">
            <w:pPr>
              <w:pStyle w:val="Texttabulky"/>
              <w:spacing w:after="0"/>
              <w:jc w:val="center"/>
              <w:rPr>
                <w:rFonts w:cs="Arial"/>
              </w:rPr>
            </w:pPr>
            <w:r w:rsidRPr="00286F7D">
              <w:rPr>
                <w:rFonts w:cs="Arial"/>
              </w:rPr>
              <w:t>19 / 33</w:t>
            </w:r>
          </w:p>
        </w:tc>
        <w:tc>
          <w:tcPr>
            <w:tcW w:w="2955" w:type="dxa"/>
            <w:tcBorders>
              <w:top w:val="single" w:sz="6" w:space="0" w:color="auto"/>
              <w:left w:val="single" w:sz="6" w:space="0" w:color="auto"/>
              <w:bottom w:val="single" w:sz="6" w:space="0" w:color="auto"/>
              <w:right w:val="single" w:sz="6" w:space="0" w:color="auto"/>
            </w:tcBorders>
          </w:tcPr>
          <w:p w14:paraId="6D5EA089" w14:textId="77777777" w:rsidR="00286F7D" w:rsidRPr="00286F7D" w:rsidRDefault="00286F7D" w:rsidP="00286F7D">
            <w:pPr>
              <w:pStyle w:val="Texttabulky"/>
              <w:spacing w:after="0"/>
              <w:jc w:val="center"/>
              <w:rPr>
                <w:rFonts w:cs="Arial"/>
              </w:rPr>
            </w:pPr>
            <w:r w:rsidRPr="00286F7D">
              <w:rPr>
                <w:rFonts w:cs="Arial"/>
              </w:rPr>
              <w:t>301 178</w:t>
            </w:r>
          </w:p>
          <w:p w14:paraId="6241AC77" w14:textId="77777777" w:rsidR="00286F7D" w:rsidRPr="00286F7D" w:rsidRDefault="00286F7D" w:rsidP="00286F7D">
            <w:pPr>
              <w:pStyle w:val="Texttabulky"/>
              <w:spacing w:after="0"/>
              <w:jc w:val="center"/>
              <w:rPr>
                <w:rFonts w:cs="Arial"/>
              </w:rPr>
            </w:pPr>
            <w:r w:rsidRPr="00286F7D">
              <w:rPr>
                <w:rFonts w:cs="Arial"/>
              </w:rPr>
              <w:t>17 037</w:t>
            </w:r>
          </w:p>
        </w:tc>
        <w:tc>
          <w:tcPr>
            <w:tcW w:w="3510" w:type="dxa"/>
            <w:tcBorders>
              <w:top w:val="single" w:sz="6" w:space="0" w:color="auto"/>
              <w:left w:val="single" w:sz="6" w:space="0" w:color="auto"/>
              <w:bottom w:val="single" w:sz="6" w:space="0" w:color="auto"/>
              <w:right w:val="single" w:sz="6" w:space="0" w:color="auto"/>
            </w:tcBorders>
          </w:tcPr>
          <w:p w14:paraId="0C824573" w14:textId="77777777" w:rsidR="00286F7D" w:rsidRPr="00286F7D" w:rsidRDefault="00286F7D" w:rsidP="00286F7D">
            <w:pPr>
              <w:pStyle w:val="Texttabulky"/>
              <w:spacing w:after="0"/>
              <w:rPr>
                <w:rFonts w:cs="Arial"/>
              </w:rPr>
            </w:pPr>
            <w:r w:rsidRPr="00286F7D">
              <w:rPr>
                <w:rFonts w:cs="Arial"/>
              </w:rPr>
              <w:t>Děčín 6, Dělnická 51</w:t>
            </w:r>
          </w:p>
          <w:p w14:paraId="7CAEF5AF" w14:textId="77777777" w:rsidR="00286F7D" w:rsidRPr="00286F7D" w:rsidRDefault="00286F7D" w:rsidP="00286F7D">
            <w:pPr>
              <w:pStyle w:val="Texttabulky"/>
              <w:spacing w:after="0"/>
              <w:rPr>
                <w:rFonts w:cs="Arial"/>
              </w:rPr>
            </w:pPr>
            <w:r w:rsidRPr="00286F7D">
              <w:rPr>
                <w:rFonts w:cs="Arial"/>
              </w:rPr>
              <w:t>NOWATT</w:t>
            </w:r>
          </w:p>
        </w:tc>
      </w:tr>
      <w:tr w:rsidR="00286F7D" w:rsidRPr="00286F7D" w14:paraId="7DE9B060" w14:textId="77777777" w:rsidTr="00286F7D">
        <w:tc>
          <w:tcPr>
            <w:tcW w:w="1395" w:type="dxa"/>
            <w:tcBorders>
              <w:top w:val="single" w:sz="6" w:space="0" w:color="auto"/>
              <w:left w:val="single" w:sz="6" w:space="0" w:color="auto"/>
              <w:bottom w:val="single" w:sz="6" w:space="0" w:color="auto"/>
              <w:right w:val="single" w:sz="6" w:space="0" w:color="auto"/>
            </w:tcBorders>
          </w:tcPr>
          <w:p w14:paraId="27226A67" w14:textId="77777777" w:rsidR="00286F7D" w:rsidRPr="00286F7D" w:rsidRDefault="00286F7D" w:rsidP="00286F7D">
            <w:pPr>
              <w:pStyle w:val="Texttabulky"/>
              <w:spacing w:after="0"/>
              <w:jc w:val="center"/>
              <w:rPr>
                <w:rFonts w:cs="Arial"/>
              </w:rPr>
            </w:pPr>
            <w:r w:rsidRPr="00286F7D">
              <w:rPr>
                <w:rFonts w:cs="Arial"/>
              </w:rPr>
              <w:t>20 / 34</w:t>
            </w:r>
          </w:p>
        </w:tc>
        <w:tc>
          <w:tcPr>
            <w:tcW w:w="2955" w:type="dxa"/>
            <w:tcBorders>
              <w:top w:val="single" w:sz="6" w:space="0" w:color="auto"/>
              <w:left w:val="single" w:sz="6" w:space="0" w:color="auto"/>
              <w:bottom w:val="single" w:sz="6" w:space="0" w:color="auto"/>
              <w:right w:val="single" w:sz="6" w:space="0" w:color="auto"/>
            </w:tcBorders>
          </w:tcPr>
          <w:p w14:paraId="6E58B826" w14:textId="77777777" w:rsidR="00286F7D" w:rsidRPr="00286F7D" w:rsidRDefault="00286F7D" w:rsidP="00286F7D">
            <w:pPr>
              <w:pStyle w:val="Texttabulky"/>
              <w:spacing w:after="0"/>
              <w:jc w:val="center"/>
              <w:rPr>
                <w:rFonts w:cs="Arial"/>
              </w:rPr>
            </w:pPr>
            <w:r w:rsidRPr="00286F7D">
              <w:rPr>
                <w:rFonts w:cs="Arial"/>
              </w:rPr>
              <w:t>301 191</w:t>
            </w:r>
          </w:p>
          <w:p w14:paraId="5C9D75A0" w14:textId="77777777" w:rsidR="00286F7D" w:rsidRPr="00286F7D" w:rsidRDefault="00286F7D" w:rsidP="00286F7D">
            <w:pPr>
              <w:pStyle w:val="Texttabulky"/>
              <w:spacing w:after="0"/>
              <w:jc w:val="center"/>
              <w:rPr>
                <w:rFonts w:cs="Arial"/>
              </w:rPr>
            </w:pPr>
            <w:r w:rsidRPr="00286F7D">
              <w:rPr>
                <w:rFonts w:cs="Arial"/>
              </w:rPr>
              <w:t>170 11</w:t>
            </w:r>
          </w:p>
        </w:tc>
        <w:tc>
          <w:tcPr>
            <w:tcW w:w="3510" w:type="dxa"/>
            <w:tcBorders>
              <w:top w:val="single" w:sz="6" w:space="0" w:color="auto"/>
              <w:left w:val="single" w:sz="6" w:space="0" w:color="auto"/>
              <w:bottom w:val="single" w:sz="6" w:space="0" w:color="auto"/>
              <w:right w:val="single" w:sz="6" w:space="0" w:color="auto"/>
            </w:tcBorders>
          </w:tcPr>
          <w:p w14:paraId="1FB663A7" w14:textId="77777777" w:rsidR="00286F7D" w:rsidRPr="00286F7D" w:rsidRDefault="00286F7D" w:rsidP="00286F7D">
            <w:pPr>
              <w:pStyle w:val="Texttabulky"/>
              <w:spacing w:after="0"/>
              <w:rPr>
                <w:rFonts w:cs="Arial"/>
              </w:rPr>
            </w:pPr>
            <w:r w:rsidRPr="00286F7D">
              <w:rPr>
                <w:rFonts w:cs="Arial"/>
              </w:rPr>
              <w:t>Děčín 4, Podmokelská 1</w:t>
            </w:r>
          </w:p>
          <w:p w14:paraId="3319C00E" w14:textId="77777777" w:rsidR="00286F7D" w:rsidRPr="00286F7D" w:rsidRDefault="00286F7D" w:rsidP="00286F7D">
            <w:pPr>
              <w:pStyle w:val="Texttabulky"/>
              <w:spacing w:after="0"/>
              <w:rPr>
                <w:rFonts w:cs="Arial"/>
              </w:rPr>
            </w:pPr>
            <w:r w:rsidRPr="00286F7D">
              <w:rPr>
                <w:rFonts w:cs="Arial"/>
              </w:rPr>
              <w:t>Okresní správa pošt</w:t>
            </w:r>
          </w:p>
        </w:tc>
      </w:tr>
      <w:tr w:rsidR="00286F7D" w:rsidRPr="00286F7D" w14:paraId="51658C23" w14:textId="77777777" w:rsidTr="00286F7D">
        <w:tc>
          <w:tcPr>
            <w:tcW w:w="1395" w:type="dxa"/>
            <w:tcBorders>
              <w:top w:val="single" w:sz="6" w:space="0" w:color="auto"/>
              <w:left w:val="single" w:sz="6" w:space="0" w:color="auto"/>
              <w:bottom w:val="single" w:sz="6" w:space="0" w:color="auto"/>
              <w:right w:val="single" w:sz="6" w:space="0" w:color="auto"/>
            </w:tcBorders>
          </w:tcPr>
          <w:p w14:paraId="0920442C" w14:textId="77777777" w:rsidR="00286F7D" w:rsidRPr="00286F7D" w:rsidRDefault="00286F7D" w:rsidP="00286F7D">
            <w:pPr>
              <w:pStyle w:val="Texttabulky"/>
              <w:spacing w:after="0"/>
              <w:jc w:val="center"/>
              <w:rPr>
                <w:rFonts w:cs="Arial"/>
              </w:rPr>
            </w:pPr>
            <w:r w:rsidRPr="00286F7D">
              <w:rPr>
                <w:rFonts w:cs="Arial"/>
              </w:rPr>
              <w:t>21 / 35</w:t>
            </w:r>
          </w:p>
        </w:tc>
        <w:tc>
          <w:tcPr>
            <w:tcW w:w="2955" w:type="dxa"/>
            <w:tcBorders>
              <w:top w:val="single" w:sz="6" w:space="0" w:color="auto"/>
              <w:left w:val="single" w:sz="6" w:space="0" w:color="auto"/>
              <w:bottom w:val="single" w:sz="6" w:space="0" w:color="auto"/>
              <w:right w:val="single" w:sz="6" w:space="0" w:color="auto"/>
            </w:tcBorders>
          </w:tcPr>
          <w:p w14:paraId="35E3F1AD" w14:textId="77777777" w:rsidR="00286F7D" w:rsidRPr="00286F7D" w:rsidRDefault="00286F7D" w:rsidP="00286F7D">
            <w:pPr>
              <w:pStyle w:val="Texttabulky"/>
              <w:spacing w:after="0"/>
              <w:jc w:val="center"/>
              <w:rPr>
                <w:rFonts w:cs="Arial"/>
              </w:rPr>
            </w:pPr>
            <w:r w:rsidRPr="00286F7D">
              <w:rPr>
                <w:rFonts w:cs="Arial"/>
              </w:rPr>
              <w:t>301 176</w:t>
            </w:r>
          </w:p>
          <w:p w14:paraId="04BB3B57" w14:textId="77777777" w:rsidR="00286F7D" w:rsidRPr="00286F7D" w:rsidRDefault="00286F7D" w:rsidP="00286F7D">
            <w:pPr>
              <w:pStyle w:val="Texttabulky"/>
              <w:spacing w:after="0"/>
              <w:jc w:val="center"/>
              <w:rPr>
                <w:rFonts w:cs="Arial"/>
              </w:rPr>
            </w:pPr>
            <w:r w:rsidRPr="00286F7D">
              <w:rPr>
                <w:rFonts w:cs="Arial"/>
              </w:rPr>
              <w:t>170 12</w:t>
            </w:r>
          </w:p>
        </w:tc>
        <w:tc>
          <w:tcPr>
            <w:tcW w:w="3510" w:type="dxa"/>
            <w:tcBorders>
              <w:top w:val="single" w:sz="6" w:space="0" w:color="auto"/>
              <w:left w:val="single" w:sz="6" w:space="0" w:color="auto"/>
              <w:bottom w:val="single" w:sz="6" w:space="0" w:color="auto"/>
              <w:right w:val="single" w:sz="6" w:space="0" w:color="auto"/>
            </w:tcBorders>
          </w:tcPr>
          <w:p w14:paraId="1DE022A5" w14:textId="77777777" w:rsidR="00286F7D" w:rsidRPr="00286F7D" w:rsidRDefault="00286F7D" w:rsidP="00286F7D">
            <w:pPr>
              <w:pStyle w:val="Texttabulky"/>
              <w:spacing w:after="0"/>
              <w:rPr>
                <w:rFonts w:cs="Arial"/>
              </w:rPr>
            </w:pPr>
            <w:r w:rsidRPr="00286F7D">
              <w:rPr>
                <w:rFonts w:cs="Arial"/>
              </w:rPr>
              <w:t>Děčín 1, ul. 28. října 1054/15</w:t>
            </w:r>
          </w:p>
          <w:p w14:paraId="3A9DC399" w14:textId="77777777" w:rsidR="00286F7D" w:rsidRPr="00286F7D" w:rsidRDefault="00286F7D" w:rsidP="00286F7D">
            <w:pPr>
              <w:pStyle w:val="Texttabulky"/>
              <w:spacing w:after="0"/>
              <w:rPr>
                <w:rFonts w:cs="Arial"/>
              </w:rPr>
            </w:pPr>
            <w:r w:rsidRPr="00286F7D">
              <w:rPr>
                <w:rFonts w:cs="Arial"/>
              </w:rPr>
              <w:t>obytný dům</w:t>
            </w:r>
          </w:p>
        </w:tc>
      </w:tr>
      <w:tr w:rsidR="00286F7D" w:rsidRPr="00286F7D" w14:paraId="3DCC1B1B" w14:textId="77777777" w:rsidTr="00286F7D">
        <w:tc>
          <w:tcPr>
            <w:tcW w:w="1395" w:type="dxa"/>
            <w:tcBorders>
              <w:top w:val="single" w:sz="6" w:space="0" w:color="auto"/>
              <w:left w:val="single" w:sz="6" w:space="0" w:color="auto"/>
              <w:bottom w:val="single" w:sz="6" w:space="0" w:color="auto"/>
              <w:right w:val="single" w:sz="6" w:space="0" w:color="auto"/>
            </w:tcBorders>
          </w:tcPr>
          <w:p w14:paraId="3FBE0676" w14:textId="77777777" w:rsidR="00286F7D" w:rsidRPr="00286F7D" w:rsidRDefault="00286F7D" w:rsidP="00286F7D">
            <w:pPr>
              <w:pStyle w:val="Texttabulky"/>
              <w:spacing w:after="0"/>
              <w:jc w:val="center"/>
              <w:rPr>
                <w:rFonts w:cs="Arial"/>
              </w:rPr>
            </w:pPr>
            <w:r w:rsidRPr="00286F7D">
              <w:rPr>
                <w:rFonts w:cs="Arial"/>
              </w:rPr>
              <w:t>22 / 36</w:t>
            </w:r>
          </w:p>
        </w:tc>
        <w:tc>
          <w:tcPr>
            <w:tcW w:w="2955" w:type="dxa"/>
            <w:tcBorders>
              <w:top w:val="single" w:sz="6" w:space="0" w:color="auto"/>
              <w:left w:val="single" w:sz="6" w:space="0" w:color="auto"/>
              <w:bottom w:val="single" w:sz="6" w:space="0" w:color="auto"/>
              <w:right w:val="single" w:sz="6" w:space="0" w:color="auto"/>
            </w:tcBorders>
          </w:tcPr>
          <w:p w14:paraId="780ABE59" w14:textId="77777777" w:rsidR="00286F7D" w:rsidRPr="00286F7D" w:rsidRDefault="00286F7D" w:rsidP="00286F7D">
            <w:pPr>
              <w:pStyle w:val="Texttabulky"/>
              <w:spacing w:after="0"/>
              <w:jc w:val="center"/>
              <w:rPr>
                <w:rFonts w:cs="Arial"/>
              </w:rPr>
            </w:pPr>
            <w:r w:rsidRPr="00286F7D">
              <w:rPr>
                <w:rFonts w:cs="Arial"/>
              </w:rPr>
              <w:t>301 177</w:t>
            </w:r>
          </w:p>
          <w:p w14:paraId="4F35423C" w14:textId="77777777" w:rsidR="00286F7D" w:rsidRPr="00286F7D" w:rsidRDefault="00286F7D" w:rsidP="00286F7D">
            <w:pPr>
              <w:pStyle w:val="Texttabulky"/>
              <w:spacing w:after="0"/>
              <w:jc w:val="center"/>
              <w:rPr>
                <w:rFonts w:cs="Arial"/>
              </w:rPr>
            </w:pPr>
            <w:r w:rsidRPr="00286F7D">
              <w:rPr>
                <w:rFonts w:cs="Arial"/>
              </w:rPr>
              <w:t>170 13</w:t>
            </w:r>
          </w:p>
        </w:tc>
        <w:tc>
          <w:tcPr>
            <w:tcW w:w="3510" w:type="dxa"/>
            <w:tcBorders>
              <w:top w:val="single" w:sz="6" w:space="0" w:color="auto"/>
              <w:left w:val="single" w:sz="6" w:space="0" w:color="auto"/>
              <w:bottom w:val="single" w:sz="6" w:space="0" w:color="auto"/>
              <w:right w:val="single" w:sz="6" w:space="0" w:color="auto"/>
            </w:tcBorders>
          </w:tcPr>
          <w:p w14:paraId="493AD2D6" w14:textId="77777777" w:rsidR="00286F7D" w:rsidRPr="00286F7D" w:rsidRDefault="00286F7D" w:rsidP="00286F7D">
            <w:pPr>
              <w:pStyle w:val="Texttabulky"/>
              <w:spacing w:after="0"/>
              <w:rPr>
                <w:rFonts w:cs="Arial"/>
              </w:rPr>
            </w:pPr>
            <w:r w:rsidRPr="00286F7D">
              <w:rPr>
                <w:rFonts w:cs="Arial"/>
              </w:rPr>
              <w:t>Děčín 9, Bynov</w:t>
            </w:r>
          </w:p>
          <w:p w14:paraId="70B729D1" w14:textId="77777777" w:rsidR="00286F7D" w:rsidRPr="00286F7D" w:rsidRDefault="00286F7D" w:rsidP="00286F7D">
            <w:pPr>
              <w:pStyle w:val="Texttabulky"/>
              <w:spacing w:after="0"/>
              <w:rPr>
                <w:rFonts w:cs="Arial"/>
              </w:rPr>
            </w:pPr>
            <w:r w:rsidRPr="00286F7D">
              <w:rPr>
                <w:rFonts w:cs="Arial"/>
              </w:rPr>
              <w:t>Kotelna</w:t>
            </w:r>
          </w:p>
        </w:tc>
      </w:tr>
      <w:tr w:rsidR="00286F7D" w:rsidRPr="00286F7D" w14:paraId="09C9C39D" w14:textId="77777777" w:rsidTr="00286F7D">
        <w:tc>
          <w:tcPr>
            <w:tcW w:w="1395" w:type="dxa"/>
            <w:tcBorders>
              <w:top w:val="single" w:sz="6" w:space="0" w:color="auto"/>
              <w:left w:val="single" w:sz="6" w:space="0" w:color="auto"/>
              <w:bottom w:val="single" w:sz="6" w:space="0" w:color="auto"/>
              <w:right w:val="single" w:sz="6" w:space="0" w:color="auto"/>
            </w:tcBorders>
          </w:tcPr>
          <w:p w14:paraId="5A38AF1A" w14:textId="77777777" w:rsidR="00286F7D" w:rsidRPr="00286F7D" w:rsidRDefault="00286F7D" w:rsidP="00286F7D">
            <w:pPr>
              <w:pStyle w:val="Texttabulky"/>
              <w:spacing w:after="0"/>
              <w:jc w:val="center"/>
              <w:rPr>
                <w:rFonts w:cs="Arial"/>
              </w:rPr>
            </w:pPr>
            <w:r w:rsidRPr="00286F7D">
              <w:rPr>
                <w:rFonts w:cs="Arial"/>
              </w:rPr>
              <w:t>23 / 38</w:t>
            </w:r>
          </w:p>
        </w:tc>
        <w:tc>
          <w:tcPr>
            <w:tcW w:w="2955" w:type="dxa"/>
            <w:tcBorders>
              <w:top w:val="single" w:sz="6" w:space="0" w:color="auto"/>
              <w:left w:val="single" w:sz="6" w:space="0" w:color="auto"/>
              <w:bottom w:val="single" w:sz="6" w:space="0" w:color="auto"/>
              <w:right w:val="single" w:sz="6" w:space="0" w:color="auto"/>
            </w:tcBorders>
          </w:tcPr>
          <w:p w14:paraId="4BA25F8C" w14:textId="77777777" w:rsidR="00286F7D" w:rsidRPr="00286F7D" w:rsidRDefault="00286F7D" w:rsidP="00286F7D">
            <w:pPr>
              <w:pStyle w:val="Texttabulky"/>
              <w:spacing w:after="0"/>
              <w:jc w:val="center"/>
              <w:rPr>
                <w:rFonts w:cs="Arial"/>
              </w:rPr>
            </w:pPr>
            <w:r w:rsidRPr="00286F7D">
              <w:rPr>
                <w:rFonts w:cs="Arial"/>
              </w:rPr>
              <w:t>301 166</w:t>
            </w:r>
          </w:p>
          <w:p w14:paraId="2F38554D" w14:textId="77777777" w:rsidR="00286F7D" w:rsidRPr="00286F7D" w:rsidRDefault="00286F7D" w:rsidP="00286F7D">
            <w:pPr>
              <w:pStyle w:val="Texttabulky"/>
              <w:spacing w:after="0"/>
              <w:jc w:val="center"/>
              <w:rPr>
                <w:rFonts w:cs="Arial"/>
              </w:rPr>
            </w:pPr>
            <w:r w:rsidRPr="00286F7D">
              <w:rPr>
                <w:rFonts w:cs="Arial"/>
              </w:rPr>
              <w:t>170 14</w:t>
            </w:r>
          </w:p>
        </w:tc>
        <w:tc>
          <w:tcPr>
            <w:tcW w:w="3510" w:type="dxa"/>
            <w:tcBorders>
              <w:top w:val="single" w:sz="6" w:space="0" w:color="auto"/>
              <w:left w:val="single" w:sz="6" w:space="0" w:color="auto"/>
              <w:bottom w:val="single" w:sz="6" w:space="0" w:color="auto"/>
              <w:right w:val="single" w:sz="6" w:space="0" w:color="auto"/>
            </w:tcBorders>
          </w:tcPr>
          <w:p w14:paraId="1F2D43D7" w14:textId="77777777" w:rsidR="00286F7D" w:rsidRPr="00286F7D" w:rsidRDefault="00286F7D" w:rsidP="00286F7D">
            <w:pPr>
              <w:pStyle w:val="Texttabulky"/>
              <w:spacing w:after="0"/>
              <w:rPr>
                <w:rFonts w:cs="Arial"/>
              </w:rPr>
            </w:pPr>
            <w:r w:rsidRPr="00286F7D">
              <w:rPr>
                <w:rFonts w:cs="Arial"/>
              </w:rPr>
              <w:t>Děčín 9, Rudolfova 1</w:t>
            </w:r>
          </w:p>
          <w:p w14:paraId="269052EB" w14:textId="77777777" w:rsidR="00286F7D" w:rsidRPr="00286F7D" w:rsidRDefault="00286F7D" w:rsidP="00286F7D">
            <w:pPr>
              <w:pStyle w:val="Texttabulky"/>
              <w:spacing w:after="0"/>
              <w:rPr>
                <w:rFonts w:cs="Arial"/>
              </w:rPr>
            </w:pPr>
            <w:r w:rsidRPr="00286F7D">
              <w:rPr>
                <w:rFonts w:cs="Arial"/>
              </w:rPr>
              <w:t>WICO as.</w:t>
            </w:r>
          </w:p>
        </w:tc>
      </w:tr>
    </w:tbl>
    <w:p w14:paraId="1C620107" w14:textId="77777777" w:rsidR="00286F7D" w:rsidRPr="00286F7D" w:rsidRDefault="00286F7D" w:rsidP="00286F7D">
      <w:pPr>
        <w:autoSpaceDE w:val="0"/>
        <w:autoSpaceDN w:val="0"/>
        <w:adjustRightInd w:val="0"/>
        <w:rPr>
          <w:rFonts w:ascii="Arial" w:hAnsi="Arial" w:cs="Arial"/>
          <w:sz w:val="20"/>
        </w:rPr>
      </w:pPr>
    </w:p>
    <w:p w14:paraId="76CE3CB6" w14:textId="77777777" w:rsidR="00286F7D" w:rsidRPr="00286F7D" w:rsidRDefault="00286F7D" w:rsidP="00286F7D">
      <w:pPr>
        <w:autoSpaceDE w:val="0"/>
        <w:autoSpaceDN w:val="0"/>
        <w:adjustRightInd w:val="0"/>
        <w:rPr>
          <w:rFonts w:ascii="Arial" w:hAnsi="Arial" w:cs="Arial"/>
          <w:b/>
          <w:bCs/>
          <w:sz w:val="32"/>
          <w:szCs w:val="32"/>
        </w:rPr>
      </w:pPr>
      <w:r w:rsidRPr="00286F7D">
        <w:rPr>
          <w:rFonts w:ascii="Arial" w:hAnsi="Arial" w:cs="Arial"/>
          <w:b/>
          <w:bCs/>
          <w:sz w:val="32"/>
          <w:szCs w:val="32"/>
        </w:rPr>
        <w:lastRenderedPageBreak/>
        <w:t>O9. TELEFONNÍ SEZNAM PRO MIMOŘÁDNÉ SITUACE</w:t>
      </w:r>
    </w:p>
    <w:tbl>
      <w:tblPr>
        <w:tblW w:w="0" w:type="auto"/>
        <w:tblInd w:w="43" w:type="dxa"/>
        <w:tblLayout w:type="fixed"/>
        <w:tblCellMar>
          <w:left w:w="43" w:type="dxa"/>
          <w:right w:w="43" w:type="dxa"/>
        </w:tblCellMar>
        <w:tblLook w:val="0000" w:firstRow="0" w:lastRow="0" w:firstColumn="0" w:lastColumn="0" w:noHBand="0" w:noVBand="0"/>
      </w:tblPr>
      <w:tblGrid>
        <w:gridCol w:w="3645"/>
        <w:gridCol w:w="225"/>
        <w:gridCol w:w="285"/>
        <w:gridCol w:w="1350"/>
        <w:gridCol w:w="435"/>
        <w:gridCol w:w="2415"/>
        <w:gridCol w:w="120"/>
      </w:tblGrid>
      <w:tr w:rsidR="00286F7D" w:rsidRPr="00286F7D" w14:paraId="37A00F92" w14:textId="77777777" w:rsidTr="00286F7D">
        <w:tc>
          <w:tcPr>
            <w:tcW w:w="3870" w:type="dxa"/>
            <w:gridSpan w:val="2"/>
            <w:tcBorders>
              <w:top w:val="nil"/>
              <w:left w:val="nil"/>
              <w:bottom w:val="nil"/>
              <w:right w:val="nil"/>
            </w:tcBorders>
          </w:tcPr>
          <w:p w14:paraId="3F879E76" w14:textId="77777777" w:rsidR="00286F7D" w:rsidRPr="00286F7D" w:rsidRDefault="00286F7D" w:rsidP="00286F7D">
            <w:pPr>
              <w:pStyle w:val="Zkladntext"/>
              <w:spacing w:after="0"/>
              <w:rPr>
                <w:rFonts w:ascii="Arial" w:hAnsi="Arial" w:cs="Arial"/>
              </w:rPr>
            </w:pPr>
          </w:p>
        </w:tc>
        <w:tc>
          <w:tcPr>
            <w:tcW w:w="285" w:type="dxa"/>
            <w:tcBorders>
              <w:top w:val="nil"/>
              <w:left w:val="nil"/>
              <w:bottom w:val="nil"/>
              <w:right w:val="nil"/>
            </w:tcBorders>
          </w:tcPr>
          <w:p w14:paraId="50D6EF9B"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60B2E5DF" w14:textId="77777777" w:rsidR="00286F7D" w:rsidRPr="00286F7D" w:rsidRDefault="00286F7D" w:rsidP="00286F7D">
            <w:pPr>
              <w:pStyle w:val="Zkladntext"/>
              <w:spacing w:after="0"/>
              <w:rPr>
                <w:rFonts w:ascii="Arial" w:hAnsi="Arial" w:cs="Arial"/>
              </w:rPr>
            </w:pPr>
          </w:p>
        </w:tc>
        <w:tc>
          <w:tcPr>
            <w:tcW w:w="2535" w:type="dxa"/>
            <w:gridSpan w:val="2"/>
            <w:tcBorders>
              <w:top w:val="nil"/>
              <w:left w:val="nil"/>
              <w:bottom w:val="nil"/>
              <w:right w:val="nil"/>
            </w:tcBorders>
          </w:tcPr>
          <w:p w14:paraId="4A2990AD" w14:textId="77777777" w:rsidR="00286F7D" w:rsidRPr="00286F7D" w:rsidRDefault="00286F7D" w:rsidP="00286F7D">
            <w:pPr>
              <w:pStyle w:val="Zkladntext"/>
              <w:spacing w:after="0"/>
              <w:rPr>
                <w:rFonts w:ascii="Arial" w:hAnsi="Arial" w:cs="Arial"/>
              </w:rPr>
            </w:pPr>
          </w:p>
        </w:tc>
      </w:tr>
      <w:tr w:rsidR="00286F7D" w:rsidRPr="00286F7D" w14:paraId="2AE761D5" w14:textId="77777777" w:rsidTr="00286F7D">
        <w:tc>
          <w:tcPr>
            <w:tcW w:w="3870" w:type="dxa"/>
            <w:gridSpan w:val="2"/>
            <w:tcBorders>
              <w:top w:val="nil"/>
              <w:left w:val="nil"/>
              <w:bottom w:val="nil"/>
              <w:right w:val="nil"/>
            </w:tcBorders>
          </w:tcPr>
          <w:p w14:paraId="12821BE6" w14:textId="77777777" w:rsidR="00286F7D" w:rsidRPr="00286F7D" w:rsidRDefault="00286F7D" w:rsidP="00286F7D">
            <w:pPr>
              <w:pStyle w:val="Texttabulky"/>
              <w:spacing w:after="0"/>
              <w:rPr>
                <w:rFonts w:cs="Arial"/>
              </w:rPr>
            </w:pPr>
            <w:r w:rsidRPr="00286F7D">
              <w:rPr>
                <w:rFonts w:cs="Arial"/>
                <w:b/>
                <w:bCs/>
                <w:caps/>
              </w:rPr>
              <w:t>policie čr</w:t>
            </w:r>
          </w:p>
        </w:tc>
        <w:tc>
          <w:tcPr>
            <w:tcW w:w="285" w:type="dxa"/>
            <w:tcBorders>
              <w:top w:val="nil"/>
              <w:left w:val="nil"/>
              <w:bottom w:val="nil"/>
              <w:right w:val="nil"/>
            </w:tcBorders>
          </w:tcPr>
          <w:p w14:paraId="24750173"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37C569C7" w14:textId="77777777" w:rsidR="00286F7D" w:rsidRPr="00286F7D" w:rsidRDefault="00286F7D" w:rsidP="00286F7D">
            <w:pPr>
              <w:pStyle w:val="Texttabulky"/>
              <w:spacing w:after="0"/>
              <w:rPr>
                <w:rFonts w:cs="Arial"/>
              </w:rPr>
            </w:pPr>
            <w:r w:rsidRPr="00286F7D">
              <w:rPr>
                <w:rFonts w:cs="Arial"/>
                <w:b/>
                <w:bCs/>
              </w:rPr>
              <w:t>158</w:t>
            </w:r>
          </w:p>
        </w:tc>
        <w:tc>
          <w:tcPr>
            <w:tcW w:w="2535" w:type="dxa"/>
            <w:gridSpan w:val="2"/>
            <w:tcBorders>
              <w:top w:val="nil"/>
              <w:left w:val="nil"/>
              <w:bottom w:val="nil"/>
              <w:right w:val="nil"/>
            </w:tcBorders>
          </w:tcPr>
          <w:p w14:paraId="2B77B855" w14:textId="77777777" w:rsidR="00286F7D" w:rsidRPr="00286F7D" w:rsidRDefault="00286F7D" w:rsidP="00286F7D">
            <w:pPr>
              <w:pStyle w:val="Zkladntext"/>
              <w:spacing w:after="0"/>
              <w:rPr>
                <w:rFonts w:ascii="Arial" w:hAnsi="Arial" w:cs="Arial"/>
              </w:rPr>
            </w:pPr>
          </w:p>
        </w:tc>
      </w:tr>
      <w:tr w:rsidR="00286F7D" w:rsidRPr="00286F7D" w14:paraId="5F47A170" w14:textId="77777777" w:rsidTr="00286F7D">
        <w:tc>
          <w:tcPr>
            <w:tcW w:w="3870" w:type="dxa"/>
            <w:gridSpan w:val="2"/>
            <w:tcBorders>
              <w:top w:val="nil"/>
              <w:left w:val="nil"/>
              <w:bottom w:val="nil"/>
              <w:right w:val="nil"/>
            </w:tcBorders>
          </w:tcPr>
          <w:p w14:paraId="09A0F0C3" w14:textId="77777777" w:rsidR="00286F7D" w:rsidRPr="00286F7D" w:rsidRDefault="00286F7D" w:rsidP="00286F7D">
            <w:pPr>
              <w:pStyle w:val="Texttabulky"/>
              <w:spacing w:after="0"/>
              <w:jc w:val="right"/>
              <w:rPr>
                <w:rFonts w:cs="Arial"/>
              </w:rPr>
            </w:pPr>
            <w:r w:rsidRPr="00286F7D">
              <w:rPr>
                <w:rFonts w:cs="Arial"/>
              </w:rPr>
              <w:t>ředitel OŘ PČR</w:t>
            </w:r>
          </w:p>
        </w:tc>
        <w:tc>
          <w:tcPr>
            <w:tcW w:w="285" w:type="dxa"/>
            <w:tcBorders>
              <w:top w:val="nil"/>
              <w:left w:val="nil"/>
              <w:bottom w:val="nil"/>
              <w:right w:val="nil"/>
            </w:tcBorders>
          </w:tcPr>
          <w:p w14:paraId="7E412E25"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25944252" w14:textId="77777777" w:rsidR="00286F7D" w:rsidRPr="00286F7D" w:rsidRDefault="00286F7D" w:rsidP="00286F7D">
            <w:pPr>
              <w:pStyle w:val="Texttabulky"/>
              <w:spacing w:after="0"/>
              <w:rPr>
                <w:rFonts w:cs="Arial"/>
              </w:rPr>
            </w:pPr>
            <w:r w:rsidRPr="00286F7D">
              <w:rPr>
                <w:rFonts w:cs="Arial"/>
              </w:rPr>
              <w:t>500 240, 510 007</w:t>
            </w:r>
          </w:p>
        </w:tc>
        <w:tc>
          <w:tcPr>
            <w:tcW w:w="2535" w:type="dxa"/>
            <w:gridSpan w:val="2"/>
            <w:tcBorders>
              <w:top w:val="nil"/>
              <w:left w:val="nil"/>
              <w:bottom w:val="nil"/>
              <w:right w:val="nil"/>
            </w:tcBorders>
          </w:tcPr>
          <w:p w14:paraId="43C10773" w14:textId="77777777" w:rsidR="00286F7D" w:rsidRPr="00286F7D" w:rsidRDefault="00286F7D" w:rsidP="00286F7D">
            <w:pPr>
              <w:pStyle w:val="Zkladntext"/>
              <w:spacing w:after="0"/>
              <w:rPr>
                <w:rFonts w:ascii="Arial" w:hAnsi="Arial" w:cs="Arial"/>
              </w:rPr>
            </w:pPr>
          </w:p>
        </w:tc>
      </w:tr>
      <w:tr w:rsidR="00286F7D" w:rsidRPr="00286F7D" w14:paraId="12688F41" w14:textId="77777777" w:rsidTr="00286F7D">
        <w:tc>
          <w:tcPr>
            <w:tcW w:w="3870" w:type="dxa"/>
            <w:gridSpan w:val="2"/>
            <w:tcBorders>
              <w:top w:val="nil"/>
              <w:left w:val="nil"/>
              <w:bottom w:val="nil"/>
              <w:right w:val="nil"/>
            </w:tcBorders>
          </w:tcPr>
          <w:p w14:paraId="5A093DA5" w14:textId="77777777" w:rsidR="00286F7D" w:rsidRPr="00286F7D" w:rsidRDefault="00286F7D" w:rsidP="00286F7D">
            <w:pPr>
              <w:pStyle w:val="Texttabulky"/>
              <w:spacing w:after="0"/>
              <w:jc w:val="right"/>
              <w:rPr>
                <w:rFonts w:cs="Arial"/>
              </w:rPr>
            </w:pPr>
            <w:r w:rsidRPr="00286F7D">
              <w:rPr>
                <w:rFonts w:cs="Arial"/>
              </w:rPr>
              <w:t>dispečink (stálá služba)</w:t>
            </w:r>
          </w:p>
        </w:tc>
        <w:tc>
          <w:tcPr>
            <w:tcW w:w="285" w:type="dxa"/>
            <w:tcBorders>
              <w:top w:val="nil"/>
              <w:left w:val="nil"/>
              <w:bottom w:val="nil"/>
              <w:right w:val="nil"/>
            </w:tcBorders>
          </w:tcPr>
          <w:p w14:paraId="2F8EDBBA"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169040EB" w14:textId="77777777" w:rsidR="00286F7D" w:rsidRPr="00286F7D" w:rsidRDefault="00286F7D" w:rsidP="00286F7D">
            <w:pPr>
              <w:pStyle w:val="Texttabulky"/>
              <w:spacing w:after="0"/>
              <w:rPr>
                <w:rFonts w:cs="Arial"/>
              </w:rPr>
            </w:pPr>
            <w:r w:rsidRPr="00286F7D">
              <w:rPr>
                <w:rFonts w:cs="Arial"/>
              </w:rPr>
              <w:t>500 235</w:t>
            </w:r>
          </w:p>
        </w:tc>
        <w:tc>
          <w:tcPr>
            <w:tcW w:w="2535" w:type="dxa"/>
            <w:gridSpan w:val="2"/>
            <w:tcBorders>
              <w:top w:val="nil"/>
              <w:left w:val="nil"/>
              <w:bottom w:val="nil"/>
              <w:right w:val="nil"/>
            </w:tcBorders>
          </w:tcPr>
          <w:p w14:paraId="371742C0" w14:textId="77777777" w:rsidR="00286F7D" w:rsidRPr="00286F7D" w:rsidRDefault="00286F7D" w:rsidP="00286F7D">
            <w:pPr>
              <w:pStyle w:val="Zkladntext"/>
              <w:spacing w:after="0"/>
              <w:rPr>
                <w:rFonts w:ascii="Arial" w:hAnsi="Arial" w:cs="Arial"/>
              </w:rPr>
            </w:pPr>
          </w:p>
        </w:tc>
      </w:tr>
      <w:tr w:rsidR="00286F7D" w:rsidRPr="00286F7D" w14:paraId="6D7EF8B5" w14:textId="77777777" w:rsidTr="00286F7D">
        <w:tc>
          <w:tcPr>
            <w:tcW w:w="3870" w:type="dxa"/>
            <w:gridSpan w:val="2"/>
            <w:tcBorders>
              <w:top w:val="nil"/>
              <w:left w:val="nil"/>
              <w:bottom w:val="nil"/>
              <w:right w:val="nil"/>
            </w:tcBorders>
          </w:tcPr>
          <w:p w14:paraId="504C5960" w14:textId="77777777" w:rsidR="00286F7D" w:rsidRPr="00286F7D" w:rsidRDefault="00286F7D" w:rsidP="00286F7D">
            <w:pPr>
              <w:pStyle w:val="Texttabulky"/>
              <w:spacing w:after="0"/>
              <w:jc w:val="right"/>
              <w:rPr>
                <w:rFonts w:cs="Arial"/>
              </w:rPr>
            </w:pPr>
            <w:r w:rsidRPr="00286F7D">
              <w:rPr>
                <w:rFonts w:cs="Arial"/>
              </w:rPr>
              <w:t>vedoucí dopravního inspektorátu</w:t>
            </w:r>
          </w:p>
        </w:tc>
        <w:tc>
          <w:tcPr>
            <w:tcW w:w="285" w:type="dxa"/>
            <w:tcBorders>
              <w:top w:val="nil"/>
              <w:left w:val="nil"/>
              <w:bottom w:val="nil"/>
              <w:right w:val="nil"/>
            </w:tcBorders>
          </w:tcPr>
          <w:p w14:paraId="1C0D8A86"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4E87F791" w14:textId="77777777" w:rsidR="00286F7D" w:rsidRPr="00286F7D" w:rsidRDefault="00286F7D" w:rsidP="00286F7D">
            <w:pPr>
              <w:pStyle w:val="Texttabulky"/>
              <w:spacing w:after="0"/>
              <w:rPr>
                <w:rFonts w:cs="Arial"/>
              </w:rPr>
            </w:pPr>
            <w:r w:rsidRPr="00286F7D">
              <w:rPr>
                <w:rFonts w:cs="Arial"/>
              </w:rPr>
              <w:t>500 245</w:t>
            </w:r>
          </w:p>
        </w:tc>
        <w:tc>
          <w:tcPr>
            <w:tcW w:w="2535" w:type="dxa"/>
            <w:gridSpan w:val="2"/>
            <w:tcBorders>
              <w:top w:val="nil"/>
              <w:left w:val="nil"/>
              <w:bottom w:val="nil"/>
              <w:right w:val="nil"/>
            </w:tcBorders>
          </w:tcPr>
          <w:p w14:paraId="51315B0E" w14:textId="77777777" w:rsidR="00286F7D" w:rsidRPr="00286F7D" w:rsidRDefault="00286F7D" w:rsidP="00286F7D">
            <w:pPr>
              <w:pStyle w:val="Zkladntext"/>
              <w:spacing w:after="0"/>
              <w:rPr>
                <w:rFonts w:ascii="Arial" w:hAnsi="Arial" w:cs="Arial"/>
              </w:rPr>
            </w:pPr>
          </w:p>
        </w:tc>
      </w:tr>
      <w:tr w:rsidR="00286F7D" w:rsidRPr="00286F7D" w14:paraId="379AF420" w14:textId="77777777" w:rsidTr="00286F7D">
        <w:tc>
          <w:tcPr>
            <w:tcW w:w="3870" w:type="dxa"/>
            <w:gridSpan w:val="2"/>
            <w:tcBorders>
              <w:top w:val="nil"/>
              <w:left w:val="nil"/>
              <w:bottom w:val="nil"/>
              <w:right w:val="nil"/>
            </w:tcBorders>
          </w:tcPr>
          <w:p w14:paraId="3B1822AD" w14:textId="77777777" w:rsidR="00286F7D" w:rsidRPr="00286F7D" w:rsidRDefault="00286F7D" w:rsidP="00286F7D">
            <w:pPr>
              <w:pStyle w:val="Zkladntext"/>
              <w:spacing w:after="0"/>
              <w:rPr>
                <w:rFonts w:ascii="Arial" w:hAnsi="Arial" w:cs="Arial"/>
              </w:rPr>
            </w:pPr>
          </w:p>
        </w:tc>
        <w:tc>
          <w:tcPr>
            <w:tcW w:w="285" w:type="dxa"/>
            <w:tcBorders>
              <w:top w:val="nil"/>
              <w:left w:val="nil"/>
              <w:bottom w:val="nil"/>
              <w:right w:val="nil"/>
            </w:tcBorders>
          </w:tcPr>
          <w:p w14:paraId="27F7287B"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4FD8C429" w14:textId="77777777" w:rsidR="00286F7D" w:rsidRPr="00286F7D" w:rsidRDefault="00286F7D" w:rsidP="00286F7D">
            <w:pPr>
              <w:pStyle w:val="Zkladntext"/>
              <w:spacing w:after="0"/>
              <w:rPr>
                <w:rFonts w:ascii="Arial" w:hAnsi="Arial" w:cs="Arial"/>
              </w:rPr>
            </w:pPr>
          </w:p>
        </w:tc>
        <w:tc>
          <w:tcPr>
            <w:tcW w:w="2535" w:type="dxa"/>
            <w:gridSpan w:val="2"/>
            <w:tcBorders>
              <w:top w:val="nil"/>
              <w:left w:val="nil"/>
              <w:bottom w:val="nil"/>
              <w:right w:val="nil"/>
            </w:tcBorders>
          </w:tcPr>
          <w:p w14:paraId="49EA2BB1" w14:textId="77777777" w:rsidR="00286F7D" w:rsidRPr="00286F7D" w:rsidRDefault="00286F7D" w:rsidP="00286F7D">
            <w:pPr>
              <w:pStyle w:val="Zkladntext"/>
              <w:spacing w:after="0"/>
              <w:rPr>
                <w:rFonts w:ascii="Arial" w:hAnsi="Arial" w:cs="Arial"/>
              </w:rPr>
            </w:pPr>
          </w:p>
        </w:tc>
      </w:tr>
      <w:tr w:rsidR="00286F7D" w:rsidRPr="00286F7D" w14:paraId="26F82E16" w14:textId="77777777" w:rsidTr="00286F7D">
        <w:tc>
          <w:tcPr>
            <w:tcW w:w="3870" w:type="dxa"/>
            <w:gridSpan w:val="2"/>
            <w:tcBorders>
              <w:top w:val="nil"/>
              <w:left w:val="nil"/>
              <w:bottom w:val="nil"/>
              <w:right w:val="nil"/>
            </w:tcBorders>
          </w:tcPr>
          <w:p w14:paraId="4E944CC3" w14:textId="77777777" w:rsidR="00286F7D" w:rsidRPr="00286F7D" w:rsidRDefault="00286F7D" w:rsidP="00286F7D">
            <w:pPr>
              <w:pStyle w:val="Texttabulky"/>
              <w:spacing w:after="0"/>
              <w:rPr>
                <w:rFonts w:cs="Arial"/>
              </w:rPr>
            </w:pPr>
            <w:r w:rsidRPr="00286F7D">
              <w:rPr>
                <w:rFonts w:cs="Arial"/>
                <w:b/>
                <w:bCs/>
                <w:caps/>
              </w:rPr>
              <w:t>městská policie</w:t>
            </w:r>
          </w:p>
        </w:tc>
        <w:tc>
          <w:tcPr>
            <w:tcW w:w="285" w:type="dxa"/>
            <w:tcBorders>
              <w:top w:val="nil"/>
              <w:left w:val="nil"/>
              <w:bottom w:val="nil"/>
              <w:right w:val="nil"/>
            </w:tcBorders>
          </w:tcPr>
          <w:p w14:paraId="2A51A637"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19624980" w14:textId="77777777" w:rsidR="00286F7D" w:rsidRPr="00286F7D" w:rsidRDefault="00286F7D" w:rsidP="00286F7D">
            <w:pPr>
              <w:pStyle w:val="Texttabulky"/>
              <w:spacing w:after="0"/>
              <w:rPr>
                <w:rFonts w:cs="Arial"/>
              </w:rPr>
            </w:pPr>
            <w:r w:rsidRPr="00286F7D">
              <w:rPr>
                <w:rFonts w:cs="Arial"/>
                <w:b/>
                <w:bCs/>
              </w:rPr>
              <w:t>156</w:t>
            </w:r>
          </w:p>
        </w:tc>
        <w:tc>
          <w:tcPr>
            <w:tcW w:w="2535" w:type="dxa"/>
            <w:gridSpan w:val="2"/>
            <w:tcBorders>
              <w:top w:val="nil"/>
              <w:left w:val="nil"/>
              <w:bottom w:val="nil"/>
              <w:right w:val="nil"/>
            </w:tcBorders>
          </w:tcPr>
          <w:p w14:paraId="6AAA6BD8" w14:textId="77777777" w:rsidR="00286F7D" w:rsidRPr="00286F7D" w:rsidRDefault="00286F7D" w:rsidP="00286F7D">
            <w:pPr>
              <w:pStyle w:val="Zkladntext"/>
              <w:spacing w:after="0"/>
              <w:rPr>
                <w:rFonts w:ascii="Arial" w:hAnsi="Arial" w:cs="Arial"/>
              </w:rPr>
            </w:pPr>
          </w:p>
        </w:tc>
      </w:tr>
      <w:tr w:rsidR="00286F7D" w:rsidRPr="00286F7D" w14:paraId="024900B4" w14:textId="77777777" w:rsidTr="00286F7D">
        <w:tc>
          <w:tcPr>
            <w:tcW w:w="3870" w:type="dxa"/>
            <w:gridSpan w:val="2"/>
            <w:tcBorders>
              <w:top w:val="nil"/>
              <w:left w:val="nil"/>
              <w:bottom w:val="nil"/>
              <w:right w:val="nil"/>
            </w:tcBorders>
          </w:tcPr>
          <w:p w14:paraId="1A0CDC0F" w14:textId="77777777" w:rsidR="00286F7D" w:rsidRPr="00286F7D" w:rsidRDefault="00286F7D" w:rsidP="00286F7D">
            <w:pPr>
              <w:pStyle w:val="Texttabulky"/>
              <w:spacing w:after="0"/>
              <w:jc w:val="right"/>
              <w:rPr>
                <w:rFonts w:cs="Arial"/>
              </w:rPr>
            </w:pPr>
            <w:r w:rsidRPr="00286F7D">
              <w:rPr>
                <w:rFonts w:cs="Arial"/>
              </w:rPr>
              <w:t>ředitel</w:t>
            </w:r>
          </w:p>
        </w:tc>
        <w:tc>
          <w:tcPr>
            <w:tcW w:w="285" w:type="dxa"/>
            <w:tcBorders>
              <w:top w:val="nil"/>
              <w:left w:val="nil"/>
              <w:bottom w:val="nil"/>
              <w:right w:val="nil"/>
            </w:tcBorders>
          </w:tcPr>
          <w:p w14:paraId="7A62EBA9"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3FF7A5C9" w14:textId="77777777" w:rsidR="00286F7D" w:rsidRPr="00286F7D" w:rsidRDefault="00286F7D" w:rsidP="00286F7D">
            <w:pPr>
              <w:pStyle w:val="Texttabulky"/>
              <w:spacing w:after="0"/>
              <w:rPr>
                <w:rFonts w:cs="Arial"/>
              </w:rPr>
            </w:pPr>
            <w:r w:rsidRPr="00286F7D">
              <w:rPr>
                <w:rFonts w:cs="Arial"/>
              </w:rPr>
              <w:t>593 180</w:t>
            </w:r>
          </w:p>
        </w:tc>
        <w:tc>
          <w:tcPr>
            <w:tcW w:w="2535" w:type="dxa"/>
            <w:gridSpan w:val="2"/>
            <w:tcBorders>
              <w:top w:val="nil"/>
              <w:left w:val="nil"/>
              <w:bottom w:val="nil"/>
              <w:right w:val="nil"/>
            </w:tcBorders>
          </w:tcPr>
          <w:p w14:paraId="1A9FDF5F" w14:textId="77777777" w:rsidR="00286F7D" w:rsidRPr="00286F7D" w:rsidRDefault="00286F7D" w:rsidP="00286F7D">
            <w:pPr>
              <w:pStyle w:val="Texttabulky"/>
              <w:spacing w:after="0"/>
              <w:rPr>
                <w:rFonts w:cs="Arial"/>
              </w:rPr>
            </w:pPr>
            <w:r w:rsidRPr="00286F7D">
              <w:rPr>
                <w:rFonts w:cs="Arial"/>
              </w:rPr>
              <w:t>marcel.horak@mudecin.cz</w:t>
            </w:r>
          </w:p>
        </w:tc>
      </w:tr>
      <w:tr w:rsidR="00286F7D" w:rsidRPr="00286F7D" w14:paraId="71D78589" w14:textId="77777777" w:rsidTr="00286F7D">
        <w:tc>
          <w:tcPr>
            <w:tcW w:w="3870" w:type="dxa"/>
            <w:gridSpan w:val="2"/>
            <w:tcBorders>
              <w:top w:val="nil"/>
              <w:left w:val="nil"/>
              <w:bottom w:val="nil"/>
              <w:right w:val="nil"/>
            </w:tcBorders>
          </w:tcPr>
          <w:p w14:paraId="45ACADEA" w14:textId="77777777" w:rsidR="00286F7D" w:rsidRPr="00286F7D" w:rsidRDefault="00286F7D" w:rsidP="00286F7D">
            <w:pPr>
              <w:pStyle w:val="Texttabulky"/>
              <w:spacing w:after="0"/>
              <w:jc w:val="right"/>
              <w:rPr>
                <w:rFonts w:cs="Arial"/>
              </w:rPr>
            </w:pPr>
            <w:r w:rsidRPr="00286F7D">
              <w:rPr>
                <w:rFonts w:cs="Arial"/>
              </w:rPr>
              <w:t>zástupce ředitele</w:t>
            </w:r>
          </w:p>
        </w:tc>
        <w:tc>
          <w:tcPr>
            <w:tcW w:w="285" w:type="dxa"/>
            <w:tcBorders>
              <w:top w:val="nil"/>
              <w:left w:val="nil"/>
              <w:bottom w:val="nil"/>
              <w:right w:val="nil"/>
            </w:tcBorders>
          </w:tcPr>
          <w:p w14:paraId="0C98D084"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5D840EA6" w14:textId="77777777" w:rsidR="00286F7D" w:rsidRPr="00286F7D" w:rsidRDefault="00286F7D" w:rsidP="00286F7D">
            <w:pPr>
              <w:pStyle w:val="Texttabulky"/>
              <w:spacing w:after="0"/>
              <w:rPr>
                <w:rFonts w:cs="Arial"/>
              </w:rPr>
            </w:pPr>
            <w:r w:rsidRPr="00286F7D">
              <w:rPr>
                <w:rFonts w:cs="Arial"/>
              </w:rPr>
              <w:t>593 181</w:t>
            </w:r>
          </w:p>
        </w:tc>
        <w:tc>
          <w:tcPr>
            <w:tcW w:w="2535" w:type="dxa"/>
            <w:gridSpan w:val="2"/>
            <w:tcBorders>
              <w:top w:val="nil"/>
              <w:left w:val="nil"/>
              <w:bottom w:val="nil"/>
              <w:right w:val="nil"/>
            </w:tcBorders>
          </w:tcPr>
          <w:p w14:paraId="2E32E713" w14:textId="77777777" w:rsidR="00286F7D" w:rsidRPr="00286F7D" w:rsidRDefault="00286F7D" w:rsidP="00286F7D">
            <w:pPr>
              <w:pStyle w:val="Zkladntext"/>
              <w:spacing w:after="0"/>
              <w:rPr>
                <w:rFonts w:ascii="Arial" w:hAnsi="Arial" w:cs="Arial"/>
              </w:rPr>
            </w:pPr>
          </w:p>
        </w:tc>
      </w:tr>
      <w:tr w:rsidR="00286F7D" w:rsidRPr="00286F7D" w14:paraId="2780D538" w14:textId="77777777" w:rsidTr="00286F7D">
        <w:tc>
          <w:tcPr>
            <w:tcW w:w="3870" w:type="dxa"/>
            <w:gridSpan w:val="2"/>
            <w:tcBorders>
              <w:top w:val="nil"/>
              <w:left w:val="nil"/>
              <w:bottom w:val="nil"/>
              <w:right w:val="nil"/>
            </w:tcBorders>
          </w:tcPr>
          <w:p w14:paraId="742ADD77" w14:textId="77777777" w:rsidR="00286F7D" w:rsidRPr="00286F7D" w:rsidRDefault="00286F7D" w:rsidP="00286F7D">
            <w:pPr>
              <w:pStyle w:val="Texttabulky"/>
              <w:spacing w:after="0"/>
              <w:jc w:val="right"/>
              <w:rPr>
                <w:rFonts w:cs="Arial"/>
              </w:rPr>
            </w:pPr>
            <w:r w:rsidRPr="00286F7D">
              <w:rPr>
                <w:rFonts w:cs="Arial"/>
              </w:rPr>
              <w:t>stálá služba</w:t>
            </w:r>
          </w:p>
        </w:tc>
        <w:tc>
          <w:tcPr>
            <w:tcW w:w="285" w:type="dxa"/>
            <w:tcBorders>
              <w:top w:val="nil"/>
              <w:left w:val="nil"/>
              <w:bottom w:val="nil"/>
              <w:right w:val="nil"/>
            </w:tcBorders>
          </w:tcPr>
          <w:p w14:paraId="2B7F1272"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44F36EC3" w14:textId="77777777" w:rsidR="00286F7D" w:rsidRPr="00286F7D" w:rsidRDefault="00286F7D" w:rsidP="00286F7D">
            <w:pPr>
              <w:pStyle w:val="Texttabulky"/>
              <w:spacing w:after="0"/>
              <w:rPr>
                <w:rFonts w:cs="Arial"/>
              </w:rPr>
            </w:pPr>
            <w:r w:rsidRPr="00286F7D">
              <w:rPr>
                <w:rFonts w:cs="Arial"/>
              </w:rPr>
              <w:t>516 516, 593 183</w:t>
            </w:r>
          </w:p>
        </w:tc>
        <w:tc>
          <w:tcPr>
            <w:tcW w:w="2535" w:type="dxa"/>
            <w:gridSpan w:val="2"/>
            <w:tcBorders>
              <w:top w:val="nil"/>
              <w:left w:val="nil"/>
              <w:bottom w:val="nil"/>
              <w:right w:val="nil"/>
            </w:tcBorders>
          </w:tcPr>
          <w:p w14:paraId="49ED1664" w14:textId="77777777" w:rsidR="00286F7D" w:rsidRPr="00286F7D" w:rsidRDefault="00286F7D" w:rsidP="00286F7D">
            <w:pPr>
              <w:pStyle w:val="Zkladntext"/>
              <w:spacing w:after="0"/>
              <w:rPr>
                <w:rFonts w:ascii="Arial" w:hAnsi="Arial" w:cs="Arial"/>
              </w:rPr>
            </w:pPr>
          </w:p>
        </w:tc>
      </w:tr>
      <w:tr w:rsidR="00286F7D" w:rsidRPr="00286F7D" w14:paraId="21419D81" w14:textId="77777777" w:rsidTr="00286F7D">
        <w:tc>
          <w:tcPr>
            <w:tcW w:w="3870" w:type="dxa"/>
            <w:gridSpan w:val="2"/>
            <w:tcBorders>
              <w:top w:val="nil"/>
              <w:left w:val="nil"/>
              <w:bottom w:val="nil"/>
              <w:right w:val="nil"/>
            </w:tcBorders>
          </w:tcPr>
          <w:p w14:paraId="1480857C" w14:textId="77777777" w:rsidR="00286F7D" w:rsidRPr="00286F7D" w:rsidRDefault="00286F7D" w:rsidP="00286F7D">
            <w:pPr>
              <w:pStyle w:val="Zkladntext"/>
              <w:spacing w:after="0"/>
              <w:rPr>
                <w:rFonts w:ascii="Arial" w:hAnsi="Arial" w:cs="Arial"/>
              </w:rPr>
            </w:pPr>
          </w:p>
        </w:tc>
        <w:tc>
          <w:tcPr>
            <w:tcW w:w="285" w:type="dxa"/>
            <w:tcBorders>
              <w:top w:val="nil"/>
              <w:left w:val="nil"/>
              <w:bottom w:val="nil"/>
              <w:right w:val="nil"/>
            </w:tcBorders>
          </w:tcPr>
          <w:p w14:paraId="218DAC1B"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53105B47" w14:textId="77777777" w:rsidR="00286F7D" w:rsidRPr="00286F7D" w:rsidRDefault="00286F7D" w:rsidP="00286F7D">
            <w:pPr>
              <w:pStyle w:val="Zkladntext"/>
              <w:spacing w:after="0"/>
              <w:rPr>
                <w:rFonts w:ascii="Arial" w:hAnsi="Arial" w:cs="Arial"/>
              </w:rPr>
            </w:pPr>
          </w:p>
        </w:tc>
        <w:tc>
          <w:tcPr>
            <w:tcW w:w="2535" w:type="dxa"/>
            <w:gridSpan w:val="2"/>
            <w:tcBorders>
              <w:top w:val="nil"/>
              <w:left w:val="nil"/>
              <w:bottom w:val="nil"/>
              <w:right w:val="nil"/>
            </w:tcBorders>
          </w:tcPr>
          <w:p w14:paraId="358A99F8" w14:textId="77777777" w:rsidR="00286F7D" w:rsidRPr="00286F7D" w:rsidRDefault="00286F7D" w:rsidP="00286F7D">
            <w:pPr>
              <w:pStyle w:val="Zkladntext"/>
              <w:spacing w:after="0"/>
              <w:rPr>
                <w:rFonts w:ascii="Arial" w:hAnsi="Arial" w:cs="Arial"/>
              </w:rPr>
            </w:pPr>
          </w:p>
        </w:tc>
      </w:tr>
      <w:tr w:rsidR="00286F7D" w:rsidRPr="00286F7D" w14:paraId="11C5B337" w14:textId="77777777" w:rsidTr="00286F7D">
        <w:tc>
          <w:tcPr>
            <w:tcW w:w="3870" w:type="dxa"/>
            <w:gridSpan w:val="2"/>
            <w:tcBorders>
              <w:top w:val="nil"/>
              <w:left w:val="nil"/>
              <w:bottom w:val="nil"/>
              <w:right w:val="nil"/>
            </w:tcBorders>
          </w:tcPr>
          <w:p w14:paraId="6D44329B" w14:textId="77777777" w:rsidR="00286F7D" w:rsidRPr="00286F7D" w:rsidRDefault="00286F7D" w:rsidP="00286F7D">
            <w:pPr>
              <w:pStyle w:val="Texttabulky"/>
              <w:spacing w:after="0"/>
              <w:rPr>
                <w:rFonts w:cs="Arial"/>
              </w:rPr>
            </w:pPr>
            <w:r w:rsidRPr="00286F7D">
              <w:rPr>
                <w:rFonts w:cs="Arial"/>
                <w:b/>
                <w:bCs/>
                <w:caps/>
              </w:rPr>
              <w:t>záchranná zdravotní služba</w:t>
            </w:r>
          </w:p>
        </w:tc>
        <w:tc>
          <w:tcPr>
            <w:tcW w:w="285" w:type="dxa"/>
            <w:tcBorders>
              <w:top w:val="nil"/>
              <w:left w:val="nil"/>
              <w:bottom w:val="nil"/>
              <w:right w:val="nil"/>
            </w:tcBorders>
          </w:tcPr>
          <w:p w14:paraId="6C564EDB"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461C0CC9" w14:textId="77777777" w:rsidR="00286F7D" w:rsidRPr="00286F7D" w:rsidRDefault="00286F7D" w:rsidP="00286F7D">
            <w:pPr>
              <w:pStyle w:val="Texttabulky"/>
              <w:spacing w:after="0"/>
              <w:rPr>
                <w:rFonts w:cs="Arial"/>
              </w:rPr>
            </w:pPr>
            <w:r w:rsidRPr="00286F7D">
              <w:rPr>
                <w:rFonts w:cs="Arial"/>
                <w:b/>
                <w:bCs/>
              </w:rPr>
              <w:t>155</w:t>
            </w:r>
          </w:p>
        </w:tc>
        <w:tc>
          <w:tcPr>
            <w:tcW w:w="2535" w:type="dxa"/>
            <w:gridSpan w:val="2"/>
            <w:tcBorders>
              <w:top w:val="nil"/>
              <w:left w:val="nil"/>
              <w:bottom w:val="nil"/>
              <w:right w:val="nil"/>
            </w:tcBorders>
          </w:tcPr>
          <w:p w14:paraId="3D236425" w14:textId="77777777" w:rsidR="00286F7D" w:rsidRPr="00286F7D" w:rsidRDefault="00286F7D" w:rsidP="00286F7D">
            <w:pPr>
              <w:pStyle w:val="Zkladntext"/>
              <w:spacing w:after="0"/>
              <w:rPr>
                <w:rFonts w:ascii="Arial" w:hAnsi="Arial" w:cs="Arial"/>
              </w:rPr>
            </w:pPr>
          </w:p>
        </w:tc>
      </w:tr>
      <w:tr w:rsidR="00286F7D" w:rsidRPr="00286F7D" w14:paraId="540E313D" w14:textId="77777777" w:rsidTr="00286F7D">
        <w:tc>
          <w:tcPr>
            <w:tcW w:w="3870" w:type="dxa"/>
            <w:gridSpan w:val="2"/>
            <w:tcBorders>
              <w:top w:val="nil"/>
              <w:left w:val="nil"/>
              <w:bottom w:val="nil"/>
              <w:right w:val="nil"/>
            </w:tcBorders>
          </w:tcPr>
          <w:p w14:paraId="6878FB4D" w14:textId="77777777" w:rsidR="00286F7D" w:rsidRPr="00286F7D" w:rsidRDefault="00286F7D" w:rsidP="00286F7D">
            <w:pPr>
              <w:pStyle w:val="Texttabulky"/>
              <w:spacing w:after="0"/>
              <w:jc w:val="right"/>
              <w:rPr>
                <w:rFonts w:cs="Arial"/>
              </w:rPr>
            </w:pPr>
            <w:r w:rsidRPr="00286F7D">
              <w:rPr>
                <w:rFonts w:cs="Arial"/>
              </w:rPr>
              <w:t>ředitel ZZS okresu Děčín</w:t>
            </w:r>
          </w:p>
        </w:tc>
        <w:tc>
          <w:tcPr>
            <w:tcW w:w="285" w:type="dxa"/>
            <w:tcBorders>
              <w:top w:val="nil"/>
              <w:left w:val="nil"/>
              <w:bottom w:val="nil"/>
              <w:right w:val="nil"/>
            </w:tcBorders>
          </w:tcPr>
          <w:p w14:paraId="044DAD44"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32FCB995" w14:textId="77777777" w:rsidR="00286F7D" w:rsidRPr="00286F7D" w:rsidRDefault="00286F7D" w:rsidP="00286F7D">
            <w:pPr>
              <w:pStyle w:val="Texttabulky"/>
              <w:spacing w:after="0"/>
              <w:rPr>
                <w:rFonts w:cs="Arial"/>
              </w:rPr>
            </w:pPr>
            <w:r w:rsidRPr="00286F7D">
              <w:rPr>
                <w:rFonts w:cs="Arial"/>
              </w:rPr>
              <w:t>517 155, 709 900</w:t>
            </w:r>
          </w:p>
        </w:tc>
        <w:tc>
          <w:tcPr>
            <w:tcW w:w="2535" w:type="dxa"/>
            <w:gridSpan w:val="2"/>
            <w:tcBorders>
              <w:top w:val="nil"/>
              <w:left w:val="nil"/>
              <w:bottom w:val="nil"/>
              <w:right w:val="nil"/>
            </w:tcBorders>
          </w:tcPr>
          <w:p w14:paraId="24686598" w14:textId="77777777" w:rsidR="00286F7D" w:rsidRPr="00286F7D" w:rsidRDefault="00286F7D" w:rsidP="00286F7D">
            <w:pPr>
              <w:pStyle w:val="Zkladntext"/>
              <w:spacing w:after="0"/>
              <w:rPr>
                <w:rFonts w:ascii="Arial" w:hAnsi="Arial" w:cs="Arial"/>
              </w:rPr>
            </w:pPr>
          </w:p>
        </w:tc>
      </w:tr>
      <w:tr w:rsidR="00286F7D" w:rsidRPr="00286F7D" w14:paraId="691C77DE" w14:textId="77777777" w:rsidTr="00286F7D">
        <w:tc>
          <w:tcPr>
            <w:tcW w:w="3870" w:type="dxa"/>
            <w:gridSpan w:val="2"/>
            <w:tcBorders>
              <w:top w:val="nil"/>
              <w:left w:val="nil"/>
              <w:bottom w:val="nil"/>
              <w:right w:val="nil"/>
            </w:tcBorders>
          </w:tcPr>
          <w:p w14:paraId="3F83D3C4" w14:textId="77777777" w:rsidR="00286F7D" w:rsidRPr="00286F7D" w:rsidRDefault="00286F7D" w:rsidP="00286F7D">
            <w:pPr>
              <w:pStyle w:val="Texttabulky"/>
              <w:spacing w:after="0"/>
              <w:jc w:val="right"/>
              <w:rPr>
                <w:rFonts w:cs="Arial"/>
              </w:rPr>
            </w:pPr>
            <w:r w:rsidRPr="00286F7D">
              <w:rPr>
                <w:rFonts w:cs="Arial"/>
              </w:rPr>
              <w:t>dispečink</w:t>
            </w:r>
          </w:p>
        </w:tc>
        <w:tc>
          <w:tcPr>
            <w:tcW w:w="285" w:type="dxa"/>
            <w:tcBorders>
              <w:top w:val="nil"/>
              <w:left w:val="nil"/>
              <w:bottom w:val="nil"/>
              <w:right w:val="nil"/>
            </w:tcBorders>
          </w:tcPr>
          <w:p w14:paraId="3F5FE18B"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5C5C5514" w14:textId="77777777" w:rsidR="00286F7D" w:rsidRPr="00286F7D" w:rsidRDefault="00286F7D" w:rsidP="00286F7D">
            <w:pPr>
              <w:pStyle w:val="Texttabulky"/>
              <w:spacing w:after="0"/>
              <w:rPr>
                <w:rFonts w:cs="Arial"/>
              </w:rPr>
            </w:pPr>
            <w:r w:rsidRPr="00286F7D">
              <w:rPr>
                <w:rFonts w:cs="Arial"/>
              </w:rPr>
              <w:t>0602/156 732</w:t>
            </w:r>
          </w:p>
        </w:tc>
        <w:tc>
          <w:tcPr>
            <w:tcW w:w="2535" w:type="dxa"/>
            <w:gridSpan w:val="2"/>
            <w:tcBorders>
              <w:top w:val="nil"/>
              <w:left w:val="nil"/>
              <w:bottom w:val="nil"/>
              <w:right w:val="nil"/>
            </w:tcBorders>
          </w:tcPr>
          <w:p w14:paraId="5D38DA53" w14:textId="77777777" w:rsidR="00286F7D" w:rsidRPr="00286F7D" w:rsidRDefault="00286F7D" w:rsidP="00286F7D">
            <w:pPr>
              <w:pStyle w:val="Zkladntext"/>
              <w:spacing w:after="0"/>
              <w:rPr>
                <w:rFonts w:ascii="Arial" w:hAnsi="Arial" w:cs="Arial"/>
              </w:rPr>
            </w:pPr>
          </w:p>
        </w:tc>
      </w:tr>
      <w:tr w:rsidR="00286F7D" w:rsidRPr="00286F7D" w14:paraId="4E74E74C" w14:textId="77777777" w:rsidTr="00286F7D">
        <w:tc>
          <w:tcPr>
            <w:tcW w:w="3870" w:type="dxa"/>
            <w:gridSpan w:val="2"/>
            <w:tcBorders>
              <w:top w:val="nil"/>
              <w:left w:val="nil"/>
              <w:bottom w:val="nil"/>
              <w:right w:val="nil"/>
            </w:tcBorders>
          </w:tcPr>
          <w:p w14:paraId="042F7810" w14:textId="77777777" w:rsidR="00286F7D" w:rsidRPr="00286F7D" w:rsidRDefault="00286F7D" w:rsidP="00286F7D">
            <w:pPr>
              <w:pStyle w:val="Texttabulky"/>
              <w:spacing w:after="0"/>
              <w:jc w:val="right"/>
              <w:rPr>
                <w:rFonts w:cs="Arial"/>
              </w:rPr>
            </w:pPr>
            <w:r w:rsidRPr="00286F7D">
              <w:rPr>
                <w:rFonts w:cs="Arial"/>
              </w:rPr>
              <w:t>tel. / fax</w:t>
            </w:r>
          </w:p>
        </w:tc>
        <w:tc>
          <w:tcPr>
            <w:tcW w:w="285" w:type="dxa"/>
            <w:tcBorders>
              <w:top w:val="nil"/>
              <w:left w:val="nil"/>
              <w:bottom w:val="nil"/>
              <w:right w:val="nil"/>
            </w:tcBorders>
          </w:tcPr>
          <w:p w14:paraId="2C1DAD52"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098EDC6A" w14:textId="77777777" w:rsidR="00286F7D" w:rsidRPr="00286F7D" w:rsidRDefault="00286F7D" w:rsidP="00286F7D">
            <w:pPr>
              <w:pStyle w:val="Texttabulky"/>
              <w:spacing w:after="0"/>
              <w:rPr>
                <w:rFonts w:cs="Arial"/>
              </w:rPr>
            </w:pPr>
            <w:r w:rsidRPr="00286F7D">
              <w:rPr>
                <w:rFonts w:cs="Arial"/>
              </w:rPr>
              <w:t>709 913</w:t>
            </w:r>
          </w:p>
        </w:tc>
        <w:tc>
          <w:tcPr>
            <w:tcW w:w="2535" w:type="dxa"/>
            <w:gridSpan w:val="2"/>
            <w:tcBorders>
              <w:top w:val="nil"/>
              <w:left w:val="nil"/>
              <w:bottom w:val="nil"/>
              <w:right w:val="nil"/>
            </w:tcBorders>
          </w:tcPr>
          <w:p w14:paraId="48AA75C5" w14:textId="77777777" w:rsidR="00286F7D" w:rsidRPr="00286F7D" w:rsidRDefault="00286F7D" w:rsidP="00286F7D">
            <w:pPr>
              <w:pStyle w:val="Zkladntext"/>
              <w:spacing w:after="0"/>
              <w:rPr>
                <w:rFonts w:ascii="Arial" w:hAnsi="Arial" w:cs="Arial"/>
              </w:rPr>
            </w:pPr>
          </w:p>
        </w:tc>
      </w:tr>
      <w:tr w:rsidR="00286F7D" w:rsidRPr="00286F7D" w14:paraId="36128A92" w14:textId="77777777" w:rsidTr="00286F7D">
        <w:tc>
          <w:tcPr>
            <w:tcW w:w="3870" w:type="dxa"/>
            <w:gridSpan w:val="2"/>
            <w:tcBorders>
              <w:top w:val="nil"/>
              <w:left w:val="nil"/>
              <w:bottom w:val="nil"/>
              <w:right w:val="nil"/>
            </w:tcBorders>
          </w:tcPr>
          <w:p w14:paraId="75DA3B8D" w14:textId="77777777" w:rsidR="00286F7D" w:rsidRPr="00286F7D" w:rsidRDefault="00286F7D" w:rsidP="00286F7D">
            <w:pPr>
              <w:pStyle w:val="Texttabulky"/>
              <w:spacing w:after="0"/>
              <w:jc w:val="right"/>
              <w:rPr>
                <w:rFonts w:cs="Arial"/>
              </w:rPr>
            </w:pPr>
            <w:r w:rsidRPr="00286F7D">
              <w:rPr>
                <w:rFonts w:cs="Arial"/>
              </w:rPr>
              <w:t>e - mail</w:t>
            </w:r>
          </w:p>
        </w:tc>
        <w:tc>
          <w:tcPr>
            <w:tcW w:w="285" w:type="dxa"/>
            <w:tcBorders>
              <w:top w:val="nil"/>
              <w:left w:val="nil"/>
              <w:bottom w:val="nil"/>
              <w:right w:val="nil"/>
            </w:tcBorders>
          </w:tcPr>
          <w:p w14:paraId="502B9478"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32EBB05D" w14:textId="77777777" w:rsidR="00286F7D" w:rsidRPr="00286F7D" w:rsidRDefault="00286F7D" w:rsidP="00286F7D">
            <w:pPr>
              <w:pStyle w:val="Zkladntext"/>
              <w:spacing w:after="0"/>
              <w:rPr>
                <w:rFonts w:ascii="Arial" w:hAnsi="Arial" w:cs="Arial"/>
              </w:rPr>
            </w:pPr>
          </w:p>
        </w:tc>
        <w:tc>
          <w:tcPr>
            <w:tcW w:w="2535" w:type="dxa"/>
            <w:gridSpan w:val="2"/>
            <w:tcBorders>
              <w:top w:val="nil"/>
              <w:left w:val="nil"/>
              <w:bottom w:val="nil"/>
              <w:right w:val="nil"/>
            </w:tcBorders>
          </w:tcPr>
          <w:p w14:paraId="16D9A16D" w14:textId="77777777" w:rsidR="00286F7D" w:rsidRPr="00286F7D" w:rsidRDefault="00286F7D" w:rsidP="00286F7D">
            <w:pPr>
              <w:pStyle w:val="Texttabulky"/>
              <w:spacing w:after="0"/>
              <w:rPr>
                <w:rFonts w:cs="Arial"/>
              </w:rPr>
            </w:pPr>
            <w:r w:rsidRPr="00286F7D">
              <w:rPr>
                <w:rFonts w:cs="Arial"/>
              </w:rPr>
              <w:t>zzs.dc@telecom.cz</w:t>
            </w:r>
          </w:p>
        </w:tc>
      </w:tr>
      <w:tr w:rsidR="00286F7D" w:rsidRPr="00286F7D" w14:paraId="75019E26" w14:textId="77777777" w:rsidTr="00286F7D">
        <w:tc>
          <w:tcPr>
            <w:tcW w:w="3870" w:type="dxa"/>
            <w:gridSpan w:val="2"/>
            <w:tcBorders>
              <w:top w:val="nil"/>
              <w:left w:val="nil"/>
              <w:bottom w:val="nil"/>
              <w:right w:val="nil"/>
            </w:tcBorders>
          </w:tcPr>
          <w:p w14:paraId="005AD0D2" w14:textId="77777777" w:rsidR="00286F7D" w:rsidRPr="00286F7D" w:rsidRDefault="00286F7D" w:rsidP="00286F7D">
            <w:pPr>
              <w:pStyle w:val="Zkladntext"/>
              <w:spacing w:after="0"/>
              <w:rPr>
                <w:rFonts w:ascii="Arial" w:hAnsi="Arial" w:cs="Arial"/>
              </w:rPr>
            </w:pPr>
          </w:p>
        </w:tc>
        <w:tc>
          <w:tcPr>
            <w:tcW w:w="285" w:type="dxa"/>
            <w:tcBorders>
              <w:top w:val="nil"/>
              <w:left w:val="nil"/>
              <w:bottom w:val="nil"/>
              <w:right w:val="nil"/>
            </w:tcBorders>
          </w:tcPr>
          <w:p w14:paraId="3709AA3C"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08D47E24" w14:textId="77777777" w:rsidR="00286F7D" w:rsidRPr="00286F7D" w:rsidRDefault="00286F7D" w:rsidP="00286F7D">
            <w:pPr>
              <w:pStyle w:val="Zkladntext"/>
              <w:spacing w:after="0"/>
              <w:rPr>
                <w:rFonts w:ascii="Arial" w:hAnsi="Arial" w:cs="Arial"/>
              </w:rPr>
            </w:pPr>
          </w:p>
        </w:tc>
        <w:tc>
          <w:tcPr>
            <w:tcW w:w="2535" w:type="dxa"/>
            <w:gridSpan w:val="2"/>
            <w:tcBorders>
              <w:top w:val="nil"/>
              <w:left w:val="nil"/>
              <w:bottom w:val="nil"/>
              <w:right w:val="nil"/>
            </w:tcBorders>
          </w:tcPr>
          <w:p w14:paraId="5AF7F1BC" w14:textId="77777777" w:rsidR="00286F7D" w:rsidRPr="00286F7D" w:rsidRDefault="00286F7D" w:rsidP="00286F7D">
            <w:pPr>
              <w:pStyle w:val="Zkladntext"/>
              <w:spacing w:after="0"/>
              <w:rPr>
                <w:rFonts w:ascii="Arial" w:hAnsi="Arial" w:cs="Arial"/>
              </w:rPr>
            </w:pPr>
          </w:p>
        </w:tc>
      </w:tr>
      <w:tr w:rsidR="00286F7D" w:rsidRPr="00286F7D" w14:paraId="52AD9BDB" w14:textId="77777777" w:rsidTr="00286F7D">
        <w:tc>
          <w:tcPr>
            <w:tcW w:w="3870" w:type="dxa"/>
            <w:gridSpan w:val="2"/>
            <w:tcBorders>
              <w:top w:val="nil"/>
              <w:left w:val="nil"/>
              <w:bottom w:val="nil"/>
              <w:right w:val="nil"/>
            </w:tcBorders>
          </w:tcPr>
          <w:p w14:paraId="5A1D0460" w14:textId="77777777" w:rsidR="00286F7D" w:rsidRPr="00286F7D" w:rsidRDefault="00286F7D" w:rsidP="00286F7D">
            <w:pPr>
              <w:pStyle w:val="Texttabulky"/>
              <w:spacing w:after="0"/>
              <w:rPr>
                <w:rFonts w:cs="Arial"/>
              </w:rPr>
            </w:pPr>
            <w:r w:rsidRPr="00286F7D">
              <w:rPr>
                <w:rFonts w:cs="Arial"/>
                <w:b/>
                <w:bCs/>
                <w:caps/>
              </w:rPr>
              <w:t>hasičský záchranný sbor</w:t>
            </w:r>
          </w:p>
        </w:tc>
        <w:tc>
          <w:tcPr>
            <w:tcW w:w="285" w:type="dxa"/>
            <w:tcBorders>
              <w:top w:val="nil"/>
              <w:left w:val="nil"/>
              <w:bottom w:val="nil"/>
              <w:right w:val="nil"/>
            </w:tcBorders>
          </w:tcPr>
          <w:p w14:paraId="263DB85C"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28D660F6" w14:textId="77777777" w:rsidR="00286F7D" w:rsidRPr="00286F7D" w:rsidRDefault="00286F7D" w:rsidP="00286F7D">
            <w:pPr>
              <w:pStyle w:val="Texttabulky"/>
              <w:spacing w:after="0"/>
              <w:rPr>
                <w:rFonts w:cs="Arial"/>
              </w:rPr>
            </w:pPr>
            <w:r w:rsidRPr="00286F7D">
              <w:rPr>
                <w:rFonts w:cs="Arial"/>
                <w:b/>
                <w:bCs/>
              </w:rPr>
              <w:t>150</w:t>
            </w:r>
          </w:p>
        </w:tc>
        <w:tc>
          <w:tcPr>
            <w:tcW w:w="2535" w:type="dxa"/>
            <w:gridSpan w:val="2"/>
            <w:tcBorders>
              <w:top w:val="nil"/>
              <w:left w:val="nil"/>
              <w:bottom w:val="nil"/>
              <w:right w:val="nil"/>
            </w:tcBorders>
          </w:tcPr>
          <w:p w14:paraId="43529868" w14:textId="77777777" w:rsidR="00286F7D" w:rsidRPr="00286F7D" w:rsidRDefault="00286F7D" w:rsidP="00286F7D">
            <w:pPr>
              <w:pStyle w:val="Zkladntext"/>
              <w:spacing w:after="0"/>
              <w:rPr>
                <w:rFonts w:ascii="Arial" w:hAnsi="Arial" w:cs="Arial"/>
              </w:rPr>
            </w:pPr>
          </w:p>
        </w:tc>
      </w:tr>
      <w:tr w:rsidR="00286F7D" w:rsidRPr="00286F7D" w14:paraId="5596BEC3" w14:textId="77777777" w:rsidTr="00286F7D">
        <w:tc>
          <w:tcPr>
            <w:tcW w:w="3870" w:type="dxa"/>
            <w:gridSpan w:val="2"/>
            <w:tcBorders>
              <w:top w:val="nil"/>
              <w:left w:val="nil"/>
              <w:bottom w:val="nil"/>
              <w:right w:val="nil"/>
            </w:tcBorders>
          </w:tcPr>
          <w:p w14:paraId="694104BC" w14:textId="77777777" w:rsidR="00286F7D" w:rsidRPr="00286F7D" w:rsidRDefault="00286F7D" w:rsidP="00286F7D">
            <w:pPr>
              <w:pStyle w:val="Texttabulky"/>
              <w:spacing w:after="0"/>
              <w:jc w:val="right"/>
              <w:rPr>
                <w:rFonts w:cs="Arial"/>
              </w:rPr>
            </w:pPr>
            <w:r w:rsidRPr="00286F7D">
              <w:rPr>
                <w:rFonts w:cs="Arial"/>
              </w:rPr>
              <w:t>ústředna</w:t>
            </w:r>
          </w:p>
        </w:tc>
        <w:tc>
          <w:tcPr>
            <w:tcW w:w="285" w:type="dxa"/>
            <w:tcBorders>
              <w:top w:val="nil"/>
              <w:left w:val="nil"/>
              <w:bottom w:val="nil"/>
              <w:right w:val="nil"/>
            </w:tcBorders>
          </w:tcPr>
          <w:p w14:paraId="7E5F9AE0"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34C589DF" w14:textId="77777777" w:rsidR="00286F7D" w:rsidRPr="00286F7D" w:rsidRDefault="00286F7D" w:rsidP="00286F7D">
            <w:pPr>
              <w:pStyle w:val="Texttabulky"/>
              <w:spacing w:after="0"/>
              <w:rPr>
                <w:rFonts w:cs="Arial"/>
              </w:rPr>
            </w:pPr>
            <w:r w:rsidRPr="00286F7D">
              <w:rPr>
                <w:rFonts w:cs="Arial"/>
              </w:rPr>
              <w:t>709 111</w:t>
            </w:r>
          </w:p>
        </w:tc>
        <w:tc>
          <w:tcPr>
            <w:tcW w:w="2535" w:type="dxa"/>
            <w:gridSpan w:val="2"/>
            <w:tcBorders>
              <w:top w:val="nil"/>
              <w:left w:val="nil"/>
              <w:bottom w:val="nil"/>
              <w:right w:val="nil"/>
            </w:tcBorders>
          </w:tcPr>
          <w:p w14:paraId="19470BA7" w14:textId="77777777" w:rsidR="00286F7D" w:rsidRPr="00286F7D" w:rsidRDefault="00286F7D" w:rsidP="00286F7D">
            <w:pPr>
              <w:pStyle w:val="Zkladntext"/>
              <w:spacing w:after="0"/>
              <w:rPr>
                <w:rFonts w:ascii="Arial" w:hAnsi="Arial" w:cs="Arial"/>
              </w:rPr>
            </w:pPr>
          </w:p>
        </w:tc>
      </w:tr>
      <w:tr w:rsidR="00286F7D" w:rsidRPr="00286F7D" w14:paraId="3BFB021D" w14:textId="77777777" w:rsidTr="00286F7D">
        <w:tc>
          <w:tcPr>
            <w:tcW w:w="3870" w:type="dxa"/>
            <w:gridSpan w:val="2"/>
            <w:tcBorders>
              <w:top w:val="nil"/>
              <w:left w:val="nil"/>
              <w:bottom w:val="nil"/>
              <w:right w:val="nil"/>
            </w:tcBorders>
          </w:tcPr>
          <w:p w14:paraId="1321286B" w14:textId="77777777" w:rsidR="00286F7D" w:rsidRPr="00286F7D" w:rsidRDefault="00286F7D" w:rsidP="00286F7D">
            <w:pPr>
              <w:pStyle w:val="Texttabulky"/>
              <w:spacing w:after="0"/>
              <w:jc w:val="right"/>
              <w:rPr>
                <w:rFonts w:cs="Arial"/>
              </w:rPr>
            </w:pPr>
            <w:r w:rsidRPr="00286F7D">
              <w:rPr>
                <w:rFonts w:cs="Arial"/>
              </w:rPr>
              <w:t>operační důstojník</w:t>
            </w:r>
          </w:p>
        </w:tc>
        <w:tc>
          <w:tcPr>
            <w:tcW w:w="285" w:type="dxa"/>
            <w:tcBorders>
              <w:top w:val="nil"/>
              <w:left w:val="nil"/>
              <w:bottom w:val="nil"/>
              <w:right w:val="nil"/>
            </w:tcBorders>
          </w:tcPr>
          <w:p w14:paraId="7A1841B9"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0F9E4089" w14:textId="77777777" w:rsidR="00286F7D" w:rsidRPr="00286F7D" w:rsidRDefault="00286F7D" w:rsidP="00286F7D">
            <w:pPr>
              <w:pStyle w:val="Texttabulky"/>
              <w:spacing w:after="0"/>
              <w:rPr>
                <w:rFonts w:cs="Arial"/>
              </w:rPr>
            </w:pPr>
            <w:r w:rsidRPr="00286F7D">
              <w:rPr>
                <w:rFonts w:cs="Arial"/>
              </w:rPr>
              <w:t>709 410, 709 413</w:t>
            </w:r>
          </w:p>
        </w:tc>
        <w:tc>
          <w:tcPr>
            <w:tcW w:w="2535" w:type="dxa"/>
            <w:gridSpan w:val="2"/>
            <w:tcBorders>
              <w:top w:val="nil"/>
              <w:left w:val="nil"/>
              <w:bottom w:val="nil"/>
              <w:right w:val="nil"/>
            </w:tcBorders>
          </w:tcPr>
          <w:p w14:paraId="451E71A8" w14:textId="77777777" w:rsidR="00286F7D" w:rsidRPr="00286F7D" w:rsidRDefault="00286F7D" w:rsidP="00286F7D">
            <w:pPr>
              <w:pStyle w:val="Zkladntext"/>
              <w:spacing w:after="0"/>
              <w:rPr>
                <w:rFonts w:ascii="Arial" w:hAnsi="Arial" w:cs="Arial"/>
              </w:rPr>
            </w:pPr>
          </w:p>
        </w:tc>
      </w:tr>
      <w:tr w:rsidR="00286F7D" w:rsidRPr="00286F7D" w14:paraId="614B2DC7" w14:textId="77777777" w:rsidTr="00286F7D">
        <w:tc>
          <w:tcPr>
            <w:tcW w:w="3870" w:type="dxa"/>
            <w:gridSpan w:val="2"/>
            <w:tcBorders>
              <w:top w:val="nil"/>
              <w:left w:val="nil"/>
              <w:bottom w:val="nil"/>
              <w:right w:val="nil"/>
            </w:tcBorders>
          </w:tcPr>
          <w:p w14:paraId="278CE256" w14:textId="77777777" w:rsidR="00286F7D" w:rsidRPr="00286F7D" w:rsidRDefault="00286F7D" w:rsidP="00286F7D">
            <w:pPr>
              <w:pStyle w:val="Texttabulky"/>
              <w:spacing w:after="0"/>
              <w:jc w:val="right"/>
              <w:rPr>
                <w:rFonts w:cs="Arial"/>
              </w:rPr>
            </w:pPr>
            <w:r w:rsidRPr="00286F7D">
              <w:rPr>
                <w:rFonts w:cs="Arial"/>
              </w:rPr>
              <w:t>fax</w:t>
            </w:r>
          </w:p>
        </w:tc>
        <w:tc>
          <w:tcPr>
            <w:tcW w:w="285" w:type="dxa"/>
            <w:tcBorders>
              <w:top w:val="nil"/>
              <w:left w:val="nil"/>
              <w:bottom w:val="nil"/>
              <w:right w:val="nil"/>
            </w:tcBorders>
          </w:tcPr>
          <w:p w14:paraId="62D3C1E0" w14:textId="77777777" w:rsidR="00286F7D" w:rsidRPr="00286F7D" w:rsidRDefault="00286F7D" w:rsidP="00286F7D">
            <w:pPr>
              <w:pStyle w:val="Zkladntext"/>
              <w:spacing w:after="0"/>
              <w:rPr>
                <w:rFonts w:ascii="Arial" w:hAnsi="Arial" w:cs="Arial"/>
              </w:rPr>
            </w:pPr>
          </w:p>
        </w:tc>
        <w:tc>
          <w:tcPr>
            <w:tcW w:w="1785" w:type="dxa"/>
            <w:gridSpan w:val="2"/>
            <w:tcBorders>
              <w:top w:val="nil"/>
              <w:left w:val="nil"/>
              <w:bottom w:val="nil"/>
              <w:right w:val="nil"/>
            </w:tcBorders>
          </w:tcPr>
          <w:p w14:paraId="70C196E6" w14:textId="77777777" w:rsidR="00286F7D" w:rsidRPr="00286F7D" w:rsidRDefault="00286F7D" w:rsidP="00286F7D">
            <w:pPr>
              <w:pStyle w:val="Texttabulky"/>
              <w:spacing w:after="0"/>
              <w:rPr>
                <w:rFonts w:cs="Arial"/>
              </w:rPr>
            </w:pPr>
            <w:r w:rsidRPr="00286F7D">
              <w:rPr>
                <w:rFonts w:cs="Arial"/>
              </w:rPr>
              <w:t>709 412</w:t>
            </w:r>
          </w:p>
        </w:tc>
        <w:tc>
          <w:tcPr>
            <w:tcW w:w="2535" w:type="dxa"/>
            <w:gridSpan w:val="2"/>
            <w:tcBorders>
              <w:top w:val="nil"/>
              <w:left w:val="nil"/>
              <w:bottom w:val="nil"/>
              <w:right w:val="nil"/>
            </w:tcBorders>
          </w:tcPr>
          <w:p w14:paraId="4DC6DE4E" w14:textId="77777777" w:rsidR="00286F7D" w:rsidRPr="00286F7D" w:rsidRDefault="00286F7D" w:rsidP="00286F7D">
            <w:pPr>
              <w:pStyle w:val="Zkladntext"/>
              <w:spacing w:after="0"/>
              <w:rPr>
                <w:rFonts w:ascii="Arial" w:hAnsi="Arial" w:cs="Arial"/>
              </w:rPr>
            </w:pPr>
          </w:p>
        </w:tc>
      </w:tr>
      <w:tr w:rsidR="00286F7D" w:rsidRPr="00286F7D" w14:paraId="46345CB4" w14:textId="77777777" w:rsidTr="00286F7D">
        <w:trPr>
          <w:gridAfter w:val="1"/>
          <w:wAfter w:w="120" w:type="dxa"/>
        </w:trPr>
        <w:tc>
          <w:tcPr>
            <w:tcW w:w="8355" w:type="dxa"/>
            <w:gridSpan w:val="6"/>
            <w:tcBorders>
              <w:top w:val="nil"/>
              <w:left w:val="nil"/>
              <w:bottom w:val="nil"/>
              <w:right w:val="nil"/>
            </w:tcBorders>
          </w:tcPr>
          <w:p w14:paraId="1C280429" w14:textId="77777777" w:rsidR="00286F7D" w:rsidRPr="00286F7D" w:rsidRDefault="00286F7D" w:rsidP="00286F7D">
            <w:pPr>
              <w:pStyle w:val="Zkladntext"/>
              <w:rPr>
                <w:rFonts w:ascii="Arial" w:hAnsi="Arial" w:cs="Arial"/>
              </w:rPr>
            </w:pPr>
            <w:r w:rsidRPr="00286F7D">
              <w:rPr>
                <w:rFonts w:ascii="Arial" w:hAnsi="Arial" w:cs="Arial"/>
                <w:b/>
                <w:bCs/>
                <w:caps/>
              </w:rPr>
              <w:t>letecká záchranná služba ústí nad labem</w:t>
            </w:r>
          </w:p>
        </w:tc>
      </w:tr>
      <w:tr w:rsidR="00286F7D" w:rsidRPr="00286F7D" w14:paraId="441847B3" w14:textId="77777777" w:rsidTr="00286F7D">
        <w:trPr>
          <w:gridAfter w:val="1"/>
          <w:wAfter w:w="120" w:type="dxa"/>
        </w:trPr>
        <w:tc>
          <w:tcPr>
            <w:tcW w:w="3645" w:type="dxa"/>
            <w:tcBorders>
              <w:top w:val="nil"/>
              <w:left w:val="nil"/>
              <w:bottom w:val="nil"/>
              <w:right w:val="nil"/>
            </w:tcBorders>
          </w:tcPr>
          <w:p w14:paraId="61D54DFD"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4F1DD2A1"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46263DA9" w14:textId="77777777" w:rsidR="00286F7D" w:rsidRPr="00286F7D" w:rsidRDefault="00286F7D" w:rsidP="00286F7D">
            <w:pPr>
              <w:pStyle w:val="Texttabulky"/>
              <w:spacing w:after="0"/>
              <w:rPr>
                <w:rFonts w:cs="Arial"/>
              </w:rPr>
            </w:pPr>
            <w:r w:rsidRPr="00286F7D">
              <w:rPr>
                <w:rFonts w:cs="Arial"/>
              </w:rPr>
              <w:t>047/523 4511    047/568 4443</w:t>
            </w:r>
          </w:p>
        </w:tc>
      </w:tr>
      <w:tr w:rsidR="00286F7D" w:rsidRPr="00286F7D" w14:paraId="028483F9" w14:textId="77777777" w:rsidTr="00286F7D">
        <w:trPr>
          <w:gridAfter w:val="1"/>
          <w:wAfter w:w="120" w:type="dxa"/>
        </w:trPr>
        <w:tc>
          <w:tcPr>
            <w:tcW w:w="3645" w:type="dxa"/>
            <w:tcBorders>
              <w:top w:val="nil"/>
              <w:left w:val="nil"/>
              <w:bottom w:val="nil"/>
              <w:right w:val="nil"/>
            </w:tcBorders>
          </w:tcPr>
          <w:p w14:paraId="7283668E"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36024F32"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11A50383" w14:textId="77777777" w:rsidR="00286F7D" w:rsidRPr="00286F7D" w:rsidRDefault="00286F7D" w:rsidP="00286F7D">
            <w:pPr>
              <w:pStyle w:val="Zkladntext"/>
              <w:spacing w:after="0"/>
              <w:rPr>
                <w:rFonts w:ascii="Arial" w:hAnsi="Arial" w:cs="Arial"/>
              </w:rPr>
            </w:pPr>
          </w:p>
        </w:tc>
      </w:tr>
      <w:tr w:rsidR="00286F7D" w:rsidRPr="00286F7D" w14:paraId="7302E658" w14:textId="77777777" w:rsidTr="00286F7D">
        <w:trPr>
          <w:gridAfter w:val="1"/>
          <w:wAfter w:w="120" w:type="dxa"/>
        </w:trPr>
        <w:tc>
          <w:tcPr>
            <w:tcW w:w="8355" w:type="dxa"/>
            <w:gridSpan w:val="6"/>
            <w:tcBorders>
              <w:top w:val="nil"/>
              <w:left w:val="nil"/>
              <w:bottom w:val="nil"/>
              <w:right w:val="nil"/>
            </w:tcBorders>
          </w:tcPr>
          <w:p w14:paraId="30C79098" w14:textId="77777777" w:rsidR="00286F7D" w:rsidRPr="00286F7D" w:rsidRDefault="00286F7D" w:rsidP="00286F7D">
            <w:pPr>
              <w:pStyle w:val="Zkladntext"/>
              <w:spacing w:after="0"/>
              <w:rPr>
                <w:rFonts w:ascii="Arial" w:hAnsi="Arial" w:cs="Arial"/>
              </w:rPr>
            </w:pPr>
            <w:r w:rsidRPr="00286F7D">
              <w:rPr>
                <w:rFonts w:ascii="Arial" w:hAnsi="Arial" w:cs="Arial"/>
                <w:b/>
                <w:bCs/>
                <w:caps/>
              </w:rPr>
              <w:t>severočeské energetické závody</w:t>
            </w:r>
            <w:r w:rsidRPr="00286F7D">
              <w:rPr>
                <w:rFonts w:ascii="Arial" w:hAnsi="Arial" w:cs="Arial"/>
                <w:b/>
                <w:bCs/>
              </w:rPr>
              <w:t xml:space="preserve"> as.</w:t>
            </w:r>
          </w:p>
        </w:tc>
      </w:tr>
      <w:tr w:rsidR="00286F7D" w:rsidRPr="00286F7D" w14:paraId="6350D935" w14:textId="77777777" w:rsidTr="00286F7D">
        <w:trPr>
          <w:gridAfter w:val="1"/>
          <w:wAfter w:w="120" w:type="dxa"/>
        </w:trPr>
        <w:tc>
          <w:tcPr>
            <w:tcW w:w="3645" w:type="dxa"/>
            <w:tcBorders>
              <w:top w:val="nil"/>
              <w:left w:val="nil"/>
              <w:bottom w:val="nil"/>
              <w:right w:val="nil"/>
            </w:tcBorders>
          </w:tcPr>
          <w:p w14:paraId="514BA79E" w14:textId="77777777" w:rsidR="00286F7D" w:rsidRPr="00286F7D" w:rsidRDefault="00286F7D" w:rsidP="00286F7D">
            <w:pPr>
              <w:pStyle w:val="Texttabulky"/>
              <w:spacing w:after="0"/>
              <w:jc w:val="right"/>
              <w:rPr>
                <w:rFonts w:cs="Arial"/>
              </w:rPr>
            </w:pPr>
            <w:r w:rsidRPr="00286F7D">
              <w:rPr>
                <w:rFonts w:cs="Arial"/>
              </w:rPr>
              <w:t>ústředna</w:t>
            </w:r>
          </w:p>
        </w:tc>
        <w:tc>
          <w:tcPr>
            <w:tcW w:w="1860" w:type="dxa"/>
            <w:gridSpan w:val="3"/>
            <w:tcBorders>
              <w:top w:val="nil"/>
              <w:left w:val="nil"/>
              <w:bottom w:val="nil"/>
              <w:right w:val="nil"/>
            </w:tcBorders>
          </w:tcPr>
          <w:p w14:paraId="5E6A36BB" w14:textId="77777777" w:rsidR="00286F7D" w:rsidRPr="00286F7D" w:rsidRDefault="00286F7D" w:rsidP="00286F7D">
            <w:pPr>
              <w:pStyle w:val="Texttabulky"/>
              <w:spacing w:after="0"/>
              <w:jc w:val="center"/>
              <w:rPr>
                <w:rFonts w:cs="Arial"/>
              </w:rPr>
            </w:pPr>
            <w:r w:rsidRPr="00286F7D">
              <w:rPr>
                <w:rFonts w:cs="Arial"/>
              </w:rPr>
              <w:t>571 111</w:t>
            </w:r>
          </w:p>
        </w:tc>
        <w:tc>
          <w:tcPr>
            <w:tcW w:w="2850" w:type="dxa"/>
            <w:gridSpan w:val="2"/>
            <w:tcBorders>
              <w:top w:val="nil"/>
              <w:left w:val="nil"/>
              <w:bottom w:val="nil"/>
              <w:right w:val="nil"/>
            </w:tcBorders>
          </w:tcPr>
          <w:p w14:paraId="2BC29813" w14:textId="77777777" w:rsidR="00286F7D" w:rsidRPr="00286F7D" w:rsidRDefault="00286F7D" w:rsidP="00286F7D">
            <w:pPr>
              <w:pStyle w:val="Zkladntext"/>
              <w:spacing w:after="0"/>
              <w:rPr>
                <w:rFonts w:ascii="Arial" w:hAnsi="Arial" w:cs="Arial"/>
              </w:rPr>
            </w:pPr>
          </w:p>
        </w:tc>
      </w:tr>
      <w:tr w:rsidR="00286F7D" w:rsidRPr="00286F7D" w14:paraId="3B918978" w14:textId="77777777" w:rsidTr="00286F7D">
        <w:trPr>
          <w:gridAfter w:val="1"/>
          <w:wAfter w:w="120" w:type="dxa"/>
        </w:trPr>
        <w:tc>
          <w:tcPr>
            <w:tcW w:w="3645" w:type="dxa"/>
            <w:tcBorders>
              <w:top w:val="nil"/>
              <w:left w:val="nil"/>
              <w:bottom w:val="nil"/>
              <w:right w:val="nil"/>
            </w:tcBorders>
          </w:tcPr>
          <w:p w14:paraId="2FA9AAF5" w14:textId="77777777" w:rsidR="00286F7D" w:rsidRPr="00286F7D" w:rsidRDefault="00286F7D" w:rsidP="00286F7D">
            <w:pPr>
              <w:pStyle w:val="Texttabulky"/>
              <w:spacing w:after="0"/>
              <w:jc w:val="right"/>
              <w:rPr>
                <w:rFonts w:cs="Arial"/>
              </w:rPr>
            </w:pPr>
            <w:r w:rsidRPr="00286F7D">
              <w:rPr>
                <w:rFonts w:cs="Arial"/>
              </w:rPr>
              <w:t>hlášení poruch v pracovní době</w:t>
            </w:r>
          </w:p>
        </w:tc>
        <w:tc>
          <w:tcPr>
            <w:tcW w:w="1860" w:type="dxa"/>
            <w:gridSpan w:val="3"/>
            <w:tcBorders>
              <w:top w:val="nil"/>
              <w:left w:val="nil"/>
              <w:bottom w:val="nil"/>
              <w:right w:val="nil"/>
            </w:tcBorders>
          </w:tcPr>
          <w:p w14:paraId="1B1057A4" w14:textId="77777777" w:rsidR="00286F7D" w:rsidRPr="00286F7D" w:rsidRDefault="00286F7D" w:rsidP="00286F7D">
            <w:pPr>
              <w:pStyle w:val="Texttabulky"/>
              <w:spacing w:after="0"/>
              <w:jc w:val="center"/>
              <w:rPr>
                <w:rFonts w:cs="Arial"/>
              </w:rPr>
            </w:pPr>
            <w:r w:rsidRPr="00286F7D">
              <w:rPr>
                <w:rFonts w:cs="Arial"/>
              </w:rPr>
              <w:t>541 001</w:t>
            </w:r>
          </w:p>
        </w:tc>
        <w:tc>
          <w:tcPr>
            <w:tcW w:w="2850" w:type="dxa"/>
            <w:gridSpan w:val="2"/>
            <w:tcBorders>
              <w:top w:val="nil"/>
              <w:left w:val="nil"/>
              <w:bottom w:val="nil"/>
              <w:right w:val="nil"/>
            </w:tcBorders>
          </w:tcPr>
          <w:p w14:paraId="5CFEF1DD" w14:textId="77777777" w:rsidR="00286F7D" w:rsidRPr="00286F7D" w:rsidRDefault="00286F7D" w:rsidP="00286F7D">
            <w:pPr>
              <w:pStyle w:val="Zkladntext"/>
              <w:spacing w:after="0"/>
              <w:rPr>
                <w:rFonts w:ascii="Arial" w:hAnsi="Arial" w:cs="Arial"/>
              </w:rPr>
            </w:pPr>
          </w:p>
        </w:tc>
      </w:tr>
      <w:tr w:rsidR="00286F7D" w:rsidRPr="00286F7D" w14:paraId="0322A961" w14:textId="77777777" w:rsidTr="00286F7D">
        <w:trPr>
          <w:gridAfter w:val="1"/>
          <w:wAfter w:w="120" w:type="dxa"/>
        </w:trPr>
        <w:tc>
          <w:tcPr>
            <w:tcW w:w="3645" w:type="dxa"/>
            <w:tcBorders>
              <w:top w:val="nil"/>
              <w:left w:val="nil"/>
              <w:bottom w:val="nil"/>
              <w:right w:val="nil"/>
            </w:tcBorders>
          </w:tcPr>
          <w:p w14:paraId="5953A6CB" w14:textId="77777777" w:rsidR="00286F7D" w:rsidRPr="00286F7D" w:rsidRDefault="00286F7D" w:rsidP="00286F7D">
            <w:pPr>
              <w:pStyle w:val="Texttabulky"/>
              <w:spacing w:after="0"/>
              <w:jc w:val="right"/>
              <w:rPr>
                <w:rFonts w:cs="Arial"/>
              </w:rPr>
            </w:pPr>
            <w:r w:rsidRPr="00286F7D">
              <w:rPr>
                <w:rFonts w:cs="Arial"/>
              </w:rPr>
              <w:t>hlášení poruch v mimopracovní době</w:t>
            </w:r>
          </w:p>
        </w:tc>
        <w:tc>
          <w:tcPr>
            <w:tcW w:w="1860" w:type="dxa"/>
            <w:gridSpan w:val="3"/>
            <w:tcBorders>
              <w:top w:val="nil"/>
              <w:left w:val="nil"/>
              <w:bottom w:val="nil"/>
              <w:right w:val="nil"/>
            </w:tcBorders>
          </w:tcPr>
          <w:p w14:paraId="7932B0A7" w14:textId="77777777" w:rsidR="00286F7D" w:rsidRPr="00286F7D" w:rsidRDefault="00286F7D" w:rsidP="00286F7D">
            <w:pPr>
              <w:pStyle w:val="Texttabulky"/>
              <w:spacing w:after="0"/>
              <w:jc w:val="center"/>
              <w:rPr>
                <w:rFonts w:cs="Arial"/>
              </w:rPr>
            </w:pPr>
            <w:r w:rsidRPr="00286F7D">
              <w:rPr>
                <w:rFonts w:cs="Arial"/>
              </w:rPr>
              <w:t>541 002</w:t>
            </w:r>
          </w:p>
        </w:tc>
        <w:tc>
          <w:tcPr>
            <w:tcW w:w="2850" w:type="dxa"/>
            <w:gridSpan w:val="2"/>
            <w:tcBorders>
              <w:top w:val="nil"/>
              <w:left w:val="nil"/>
              <w:bottom w:val="nil"/>
              <w:right w:val="nil"/>
            </w:tcBorders>
          </w:tcPr>
          <w:p w14:paraId="28B000FD" w14:textId="77777777" w:rsidR="00286F7D" w:rsidRPr="00286F7D" w:rsidRDefault="00286F7D" w:rsidP="00286F7D">
            <w:pPr>
              <w:pStyle w:val="Zkladntext"/>
              <w:spacing w:after="0"/>
              <w:rPr>
                <w:rFonts w:ascii="Arial" w:hAnsi="Arial" w:cs="Arial"/>
              </w:rPr>
            </w:pPr>
          </w:p>
        </w:tc>
      </w:tr>
      <w:tr w:rsidR="00286F7D" w:rsidRPr="00286F7D" w14:paraId="6AC2B4DB" w14:textId="77777777" w:rsidTr="00286F7D">
        <w:trPr>
          <w:gridAfter w:val="1"/>
          <w:wAfter w:w="120" w:type="dxa"/>
        </w:trPr>
        <w:tc>
          <w:tcPr>
            <w:tcW w:w="3645" w:type="dxa"/>
            <w:tcBorders>
              <w:top w:val="nil"/>
              <w:left w:val="nil"/>
              <w:bottom w:val="nil"/>
              <w:right w:val="nil"/>
            </w:tcBorders>
          </w:tcPr>
          <w:p w14:paraId="63C89BF1"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2213651D"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5D1ADDFA" w14:textId="77777777" w:rsidR="00286F7D" w:rsidRPr="00286F7D" w:rsidRDefault="00286F7D" w:rsidP="00286F7D">
            <w:pPr>
              <w:pStyle w:val="Zkladntext"/>
              <w:spacing w:after="0"/>
              <w:rPr>
                <w:rFonts w:ascii="Arial" w:hAnsi="Arial" w:cs="Arial"/>
              </w:rPr>
            </w:pPr>
          </w:p>
        </w:tc>
      </w:tr>
      <w:tr w:rsidR="00286F7D" w:rsidRPr="00286F7D" w14:paraId="24001DE1" w14:textId="77777777" w:rsidTr="00286F7D">
        <w:trPr>
          <w:gridAfter w:val="1"/>
          <w:wAfter w:w="120" w:type="dxa"/>
        </w:trPr>
        <w:tc>
          <w:tcPr>
            <w:tcW w:w="8355" w:type="dxa"/>
            <w:gridSpan w:val="6"/>
            <w:tcBorders>
              <w:top w:val="nil"/>
              <w:left w:val="nil"/>
              <w:bottom w:val="nil"/>
              <w:right w:val="nil"/>
            </w:tcBorders>
          </w:tcPr>
          <w:p w14:paraId="4AA12B1F" w14:textId="77777777" w:rsidR="00286F7D" w:rsidRPr="00286F7D" w:rsidRDefault="00286F7D" w:rsidP="00286F7D">
            <w:pPr>
              <w:pStyle w:val="Zkladntext"/>
              <w:spacing w:after="0"/>
              <w:rPr>
                <w:rFonts w:ascii="Arial" w:hAnsi="Arial" w:cs="Arial"/>
              </w:rPr>
            </w:pPr>
            <w:r w:rsidRPr="00286F7D">
              <w:rPr>
                <w:rFonts w:ascii="Arial" w:hAnsi="Arial" w:cs="Arial"/>
                <w:b/>
                <w:bCs/>
                <w:caps/>
              </w:rPr>
              <w:t>severočeské vodovody a kanalizace as.</w:t>
            </w:r>
          </w:p>
        </w:tc>
      </w:tr>
      <w:tr w:rsidR="00286F7D" w:rsidRPr="00286F7D" w14:paraId="3CE6D1D1" w14:textId="77777777" w:rsidTr="00286F7D">
        <w:trPr>
          <w:gridAfter w:val="1"/>
          <w:wAfter w:w="120" w:type="dxa"/>
        </w:trPr>
        <w:tc>
          <w:tcPr>
            <w:tcW w:w="3645" w:type="dxa"/>
            <w:tcBorders>
              <w:top w:val="nil"/>
              <w:left w:val="nil"/>
              <w:bottom w:val="nil"/>
              <w:right w:val="nil"/>
            </w:tcBorders>
          </w:tcPr>
          <w:p w14:paraId="3386FD82"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5CB8239D" w14:textId="77777777" w:rsidR="00286F7D" w:rsidRPr="00286F7D" w:rsidRDefault="00286F7D" w:rsidP="00286F7D">
            <w:pPr>
              <w:pStyle w:val="Texttabulky"/>
              <w:spacing w:after="0"/>
              <w:jc w:val="center"/>
              <w:rPr>
                <w:rFonts w:cs="Arial"/>
              </w:rPr>
            </w:pPr>
            <w:r w:rsidRPr="00286F7D">
              <w:rPr>
                <w:rFonts w:cs="Arial"/>
              </w:rPr>
              <w:t>535 012</w:t>
            </w:r>
          </w:p>
        </w:tc>
        <w:tc>
          <w:tcPr>
            <w:tcW w:w="2850" w:type="dxa"/>
            <w:gridSpan w:val="2"/>
            <w:tcBorders>
              <w:top w:val="nil"/>
              <w:left w:val="nil"/>
              <w:bottom w:val="nil"/>
              <w:right w:val="nil"/>
            </w:tcBorders>
          </w:tcPr>
          <w:p w14:paraId="1F3B3181" w14:textId="77777777" w:rsidR="00286F7D" w:rsidRPr="00286F7D" w:rsidRDefault="00286F7D" w:rsidP="00286F7D">
            <w:pPr>
              <w:pStyle w:val="Zkladntext"/>
              <w:spacing w:after="0"/>
              <w:rPr>
                <w:rFonts w:ascii="Arial" w:hAnsi="Arial" w:cs="Arial"/>
              </w:rPr>
            </w:pPr>
          </w:p>
        </w:tc>
      </w:tr>
      <w:tr w:rsidR="00286F7D" w:rsidRPr="00286F7D" w14:paraId="7F7CB11F" w14:textId="77777777" w:rsidTr="00286F7D">
        <w:trPr>
          <w:gridAfter w:val="1"/>
          <w:wAfter w:w="120" w:type="dxa"/>
        </w:trPr>
        <w:tc>
          <w:tcPr>
            <w:tcW w:w="3645" w:type="dxa"/>
            <w:tcBorders>
              <w:top w:val="nil"/>
              <w:left w:val="nil"/>
              <w:bottom w:val="nil"/>
              <w:right w:val="nil"/>
            </w:tcBorders>
          </w:tcPr>
          <w:p w14:paraId="7E0C225A" w14:textId="77777777" w:rsidR="00286F7D" w:rsidRPr="00286F7D" w:rsidRDefault="00286F7D" w:rsidP="00286F7D">
            <w:pPr>
              <w:pStyle w:val="Texttabulky"/>
              <w:spacing w:after="0"/>
              <w:jc w:val="center"/>
              <w:rPr>
                <w:rFonts w:cs="Arial"/>
              </w:rPr>
            </w:pPr>
            <w:r w:rsidRPr="00286F7D">
              <w:rPr>
                <w:rFonts w:cs="Arial"/>
              </w:rPr>
              <w:t>hlášení poruch v prac. i mimoprac. době</w:t>
            </w:r>
          </w:p>
        </w:tc>
        <w:tc>
          <w:tcPr>
            <w:tcW w:w="1860" w:type="dxa"/>
            <w:gridSpan w:val="3"/>
            <w:tcBorders>
              <w:top w:val="nil"/>
              <w:left w:val="nil"/>
              <w:bottom w:val="nil"/>
              <w:right w:val="nil"/>
            </w:tcBorders>
          </w:tcPr>
          <w:p w14:paraId="328ED853" w14:textId="77777777" w:rsidR="00286F7D" w:rsidRPr="00286F7D" w:rsidRDefault="00286F7D" w:rsidP="00286F7D">
            <w:pPr>
              <w:pStyle w:val="Texttabulky"/>
              <w:spacing w:after="0"/>
              <w:jc w:val="center"/>
              <w:rPr>
                <w:rFonts w:cs="Arial"/>
              </w:rPr>
            </w:pPr>
            <w:r w:rsidRPr="00286F7D">
              <w:rPr>
                <w:rFonts w:cs="Arial"/>
              </w:rPr>
              <w:t>535 011</w:t>
            </w:r>
          </w:p>
        </w:tc>
        <w:tc>
          <w:tcPr>
            <w:tcW w:w="2850" w:type="dxa"/>
            <w:gridSpan w:val="2"/>
            <w:tcBorders>
              <w:top w:val="nil"/>
              <w:left w:val="nil"/>
              <w:bottom w:val="nil"/>
              <w:right w:val="nil"/>
            </w:tcBorders>
          </w:tcPr>
          <w:p w14:paraId="2D0DA4EC" w14:textId="77777777" w:rsidR="00286F7D" w:rsidRPr="00286F7D" w:rsidRDefault="00286F7D" w:rsidP="00286F7D">
            <w:pPr>
              <w:pStyle w:val="Zkladntext"/>
              <w:spacing w:after="0"/>
              <w:rPr>
                <w:rFonts w:ascii="Arial" w:hAnsi="Arial" w:cs="Arial"/>
              </w:rPr>
            </w:pPr>
          </w:p>
        </w:tc>
      </w:tr>
      <w:tr w:rsidR="00286F7D" w:rsidRPr="00286F7D" w14:paraId="397EF737" w14:textId="77777777" w:rsidTr="00286F7D">
        <w:trPr>
          <w:gridAfter w:val="1"/>
          <w:wAfter w:w="120" w:type="dxa"/>
        </w:trPr>
        <w:tc>
          <w:tcPr>
            <w:tcW w:w="3645" w:type="dxa"/>
            <w:tcBorders>
              <w:top w:val="nil"/>
              <w:left w:val="nil"/>
              <w:bottom w:val="nil"/>
              <w:right w:val="nil"/>
            </w:tcBorders>
          </w:tcPr>
          <w:p w14:paraId="6DA3E5B9"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43B0E6F6"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749955D6" w14:textId="77777777" w:rsidR="00286F7D" w:rsidRPr="00286F7D" w:rsidRDefault="00286F7D" w:rsidP="00286F7D">
            <w:pPr>
              <w:pStyle w:val="Zkladntext"/>
              <w:spacing w:after="0"/>
              <w:rPr>
                <w:rFonts w:ascii="Arial" w:hAnsi="Arial" w:cs="Arial"/>
              </w:rPr>
            </w:pPr>
          </w:p>
        </w:tc>
      </w:tr>
      <w:tr w:rsidR="00286F7D" w:rsidRPr="00286F7D" w14:paraId="25C7F84E" w14:textId="77777777" w:rsidTr="00286F7D">
        <w:trPr>
          <w:gridAfter w:val="1"/>
          <w:wAfter w:w="120" w:type="dxa"/>
        </w:trPr>
        <w:tc>
          <w:tcPr>
            <w:tcW w:w="3645" w:type="dxa"/>
            <w:tcBorders>
              <w:top w:val="nil"/>
              <w:left w:val="nil"/>
              <w:bottom w:val="nil"/>
              <w:right w:val="nil"/>
            </w:tcBorders>
          </w:tcPr>
          <w:p w14:paraId="56DED837" w14:textId="77777777" w:rsidR="00286F7D" w:rsidRPr="00286F7D" w:rsidRDefault="00286F7D" w:rsidP="00286F7D">
            <w:pPr>
              <w:pStyle w:val="Texttabulky"/>
              <w:spacing w:after="0"/>
              <w:rPr>
                <w:rFonts w:cs="Arial"/>
              </w:rPr>
            </w:pPr>
            <w:r w:rsidRPr="00286F7D">
              <w:rPr>
                <w:rFonts w:cs="Arial"/>
                <w:b/>
                <w:bCs/>
                <w:caps/>
              </w:rPr>
              <w:t xml:space="preserve">severočeská plynárenská </w:t>
            </w:r>
            <w:r w:rsidRPr="00286F7D">
              <w:rPr>
                <w:rFonts w:cs="Arial"/>
                <w:b/>
                <w:bCs/>
              </w:rPr>
              <w:t>as.</w:t>
            </w:r>
          </w:p>
        </w:tc>
        <w:tc>
          <w:tcPr>
            <w:tcW w:w="1860" w:type="dxa"/>
            <w:gridSpan w:val="3"/>
            <w:tcBorders>
              <w:top w:val="nil"/>
              <w:left w:val="nil"/>
              <w:bottom w:val="nil"/>
              <w:right w:val="nil"/>
            </w:tcBorders>
          </w:tcPr>
          <w:p w14:paraId="3E198AA6"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74E8E5E2" w14:textId="77777777" w:rsidR="00286F7D" w:rsidRPr="00286F7D" w:rsidRDefault="00286F7D" w:rsidP="00286F7D">
            <w:pPr>
              <w:pStyle w:val="Zkladntext"/>
              <w:spacing w:after="0"/>
              <w:rPr>
                <w:rFonts w:ascii="Arial" w:hAnsi="Arial" w:cs="Arial"/>
              </w:rPr>
            </w:pPr>
          </w:p>
        </w:tc>
      </w:tr>
      <w:tr w:rsidR="00286F7D" w:rsidRPr="00286F7D" w14:paraId="64AEE918" w14:textId="77777777" w:rsidTr="00286F7D">
        <w:trPr>
          <w:gridAfter w:val="1"/>
          <w:wAfter w:w="120" w:type="dxa"/>
        </w:trPr>
        <w:tc>
          <w:tcPr>
            <w:tcW w:w="3645" w:type="dxa"/>
            <w:tcBorders>
              <w:top w:val="nil"/>
              <w:left w:val="nil"/>
              <w:bottom w:val="nil"/>
              <w:right w:val="nil"/>
            </w:tcBorders>
          </w:tcPr>
          <w:p w14:paraId="038D7CB7"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65F62AAE" w14:textId="77777777" w:rsidR="00286F7D" w:rsidRPr="00286F7D" w:rsidRDefault="00286F7D" w:rsidP="00286F7D">
            <w:pPr>
              <w:pStyle w:val="Texttabulky"/>
              <w:spacing w:after="0"/>
              <w:jc w:val="center"/>
              <w:rPr>
                <w:rFonts w:cs="Arial"/>
              </w:rPr>
            </w:pPr>
            <w:r w:rsidRPr="00286F7D">
              <w:rPr>
                <w:rFonts w:cs="Arial"/>
              </w:rPr>
              <w:t>516 011</w:t>
            </w:r>
          </w:p>
        </w:tc>
        <w:tc>
          <w:tcPr>
            <w:tcW w:w="2850" w:type="dxa"/>
            <w:gridSpan w:val="2"/>
            <w:tcBorders>
              <w:top w:val="nil"/>
              <w:left w:val="nil"/>
              <w:bottom w:val="nil"/>
              <w:right w:val="nil"/>
            </w:tcBorders>
          </w:tcPr>
          <w:p w14:paraId="2FD049E0" w14:textId="77777777" w:rsidR="00286F7D" w:rsidRPr="00286F7D" w:rsidRDefault="00286F7D" w:rsidP="00286F7D">
            <w:pPr>
              <w:pStyle w:val="Texttabulky"/>
              <w:spacing w:after="0"/>
              <w:rPr>
                <w:rFonts w:cs="Arial"/>
              </w:rPr>
            </w:pPr>
            <w:r w:rsidRPr="00286F7D">
              <w:rPr>
                <w:rFonts w:cs="Arial"/>
              </w:rPr>
              <w:t>047/ 52001250</w:t>
            </w:r>
          </w:p>
        </w:tc>
      </w:tr>
      <w:tr w:rsidR="00286F7D" w:rsidRPr="00286F7D" w14:paraId="0A7CA08D" w14:textId="77777777" w:rsidTr="00286F7D">
        <w:trPr>
          <w:gridAfter w:val="1"/>
          <w:wAfter w:w="120" w:type="dxa"/>
        </w:trPr>
        <w:tc>
          <w:tcPr>
            <w:tcW w:w="3645" w:type="dxa"/>
            <w:tcBorders>
              <w:top w:val="nil"/>
              <w:left w:val="nil"/>
              <w:bottom w:val="nil"/>
              <w:right w:val="nil"/>
            </w:tcBorders>
          </w:tcPr>
          <w:p w14:paraId="25312BF1" w14:textId="77777777" w:rsidR="00286F7D" w:rsidRPr="00286F7D" w:rsidRDefault="00286F7D" w:rsidP="00286F7D">
            <w:pPr>
              <w:pStyle w:val="Texttabulky"/>
              <w:spacing w:after="0"/>
              <w:jc w:val="right"/>
              <w:rPr>
                <w:rFonts w:cs="Arial"/>
              </w:rPr>
            </w:pPr>
            <w:r w:rsidRPr="00286F7D">
              <w:rPr>
                <w:rFonts w:cs="Arial"/>
              </w:rPr>
              <w:t>stálá služba</w:t>
            </w:r>
          </w:p>
        </w:tc>
        <w:tc>
          <w:tcPr>
            <w:tcW w:w="1860" w:type="dxa"/>
            <w:gridSpan w:val="3"/>
            <w:tcBorders>
              <w:top w:val="nil"/>
              <w:left w:val="nil"/>
              <w:bottom w:val="nil"/>
              <w:right w:val="nil"/>
            </w:tcBorders>
          </w:tcPr>
          <w:p w14:paraId="6A6F7771" w14:textId="77777777" w:rsidR="00286F7D" w:rsidRPr="00286F7D" w:rsidRDefault="00286F7D" w:rsidP="00286F7D">
            <w:pPr>
              <w:pStyle w:val="Texttabulky"/>
              <w:spacing w:after="0"/>
              <w:jc w:val="center"/>
              <w:rPr>
                <w:rFonts w:cs="Arial"/>
              </w:rPr>
            </w:pPr>
            <w:r w:rsidRPr="00286F7D">
              <w:rPr>
                <w:rFonts w:cs="Arial"/>
              </w:rPr>
              <w:t>516 013,  702 230</w:t>
            </w:r>
          </w:p>
        </w:tc>
        <w:tc>
          <w:tcPr>
            <w:tcW w:w="2850" w:type="dxa"/>
            <w:gridSpan w:val="2"/>
            <w:tcBorders>
              <w:top w:val="nil"/>
              <w:left w:val="nil"/>
              <w:bottom w:val="nil"/>
              <w:right w:val="nil"/>
            </w:tcBorders>
          </w:tcPr>
          <w:p w14:paraId="51462169" w14:textId="77777777" w:rsidR="00286F7D" w:rsidRPr="00286F7D" w:rsidRDefault="00286F7D" w:rsidP="00286F7D">
            <w:pPr>
              <w:pStyle w:val="Zkladntext"/>
              <w:spacing w:after="0"/>
              <w:rPr>
                <w:rFonts w:ascii="Arial" w:hAnsi="Arial" w:cs="Arial"/>
              </w:rPr>
            </w:pPr>
          </w:p>
        </w:tc>
      </w:tr>
      <w:tr w:rsidR="00286F7D" w:rsidRPr="00286F7D" w14:paraId="7C63F838" w14:textId="77777777" w:rsidTr="00286F7D">
        <w:trPr>
          <w:gridAfter w:val="1"/>
          <w:wAfter w:w="120" w:type="dxa"/>
        </w:trPr>
        <w:tc>
          <w:tcPr>
            <w:tcW w:w="3645" w:type="dxa"/>
            <w:tcBorders>
              <w:top w:val="nil"/>
              <w:left w:val="nil"/>
              <w:bottom w:val="nil"/>
              <w:right w:val="nil"/>
            </w:tcBorders>
          </w:tcPr>
          <w:p w14:paraId="6A27E7CF"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17F4DEF2"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2819AF39" w14:textId="77777777" w:rsidR="00286F7D" w:rsidRPr="00286F7D" w:rsidRDefault="00286F7D" w:rsidP="00286F7D">
            <w:pPr>
              <w:pStyle w:val="Zkladntext"/>
              <w:spacing w:after="0"/>
              <w:rPr>
                <w:rFonts w:ascii="Arial" w:hAnsi="Arial" w:cs="Arial"/>
              </w:rPr>
            </w:pPr>
          </w:p>
        </w:tc>
      </w:tr>
      <w:tr w:rsidR="00286F7D" w:rsidRPr="00286F7D" w14:paraId="67F8B834" w14:textId="77777777" w:rsidTr="00286F7D">
        <w:trPr>
          <w:gridAfter w:val="1"/>
          <w:wAfter w:w="120" w:type="dxa"/>
        </w:trPr>
        <w:tc>
          <w:tcPr>
            <w:tcW w:w="3645" w:type="dxa"/>
            <w:tcBorders>
              <w:top w:val="nil"/>
              <w:left w:val="nil"/>
              <w:bottom w:val="nil"/>
              <w:right w:val="nil"/>
            </w:tcBorders>
          </w:tcPr>
          <w:p w14:paraId="2236665F" w14:textId="77777777" w:rsidR="00286F7D" w:rsidRPr="00286F7D" w:rsidRDefault="00286F7D" w:rsidP="00286F7D">
            <w:pPr>
              <w:pStyle w:val="Texttabulky"/>
              <w:spacing w:after="0"/>
              <w:rPr>
                <w:rFonts w:cs="Arial"/>
              </w:rPr>
            </w:pPr>
            <w:r w:rsidRPr="00286F7D">
              <w:rPr>
                <w:rFonts w:cs="Arial"/>
                <w:b/>
                <w:bCs/>
                <w:caps/>
              </w:rPr>
              <w:t>okresní hygienická stanice</w:t>
            </w:r>
          </w:p>
        </w:tc>
        <w:tc>
          <w:tcPr>
            <w:tcW w:w="1860" w:type="dxa"/>
            <w:gridSpan w:val="3"/>
            <w:tcBorders>
              <w:top w:val="nil"/>
              <w:left w:val="nil"/>
              <w:bottom w:val="nil"/>
              <w:right w:val="nil"/>
            </w:tcBorders>
          </w:tcPr>
          <w:p w14:paraId="1C01FEE4"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139C2308" w14:textId="77777777" w:rsidR="00286F7D" w:rsidRPr="00286F7D" w:rsidRDefault="00286F7D" w:rsidP="00286F7D">
            <w:pPr>
              <w:pStyle w:val="Zkladntext"/>
              <w:spacing w:after="0"/>
              <w:rPr>
                <w:rFonts w:ascii="Arial" w:hAnsi="Arial" w:cs="Arial"/>
              </w:rPr>
            </w:pPr>
          </w:p>
        </w:tc>
      </w:tr>
      <w:tr w:rsidR="00286F7D" w:rsidRPr="00286F7D" w14:paraId="5BCC67CE" w14:textId="77777777" w:rsidTr="00286F7D">
        <w:trPr>
          <w:gridAfter w:val="1"/>
          <w:wAfter w:w="120" w:type="dxa"/>
        </w:trPr>
        <w:tc>
          <w:tcPr>
            <w:tcW w:w="3645" w:type="dxa"/>
            <w:tcBorders>
              <w:top w:val="nil"/>
              <w:left w:val="nil"/>
              <w:bottom w:val="nil"/>
              <w:right w:val="nil"/>
            </w:tcBorders>
          </w:tcPr>
          <w:p w14:paraId="4BBF9BF9"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10CF8DAE" w14:textId="77777777" w:rsidR="00286F7D" w:rsidRPr="00286F7D" w:rsidRDefault="00286F7D" w:rsidP="00286F7D">
            <w:pPr>
              <w:pStyle w:val="Texttabulky"/>
              <w:spacing w:after="0"/>
              <w:jc w:val="center"/>
              <w:rPr>
                <w:rFonts w:cs="Arial"/>
              </w:rPr>
            </w:pPr>
            <w:r w:rsidRPr="00286F7D">
              <w:rPr>
                <w:rFonts w:cs="Arial"/>
              </w:rPr>
              <w:t xml:space="preserve">502 111, 520 206 </w:t>
            </w:r>
          </w:p>
        </w:tc>
        <w:tc>
          <w:tcPr>
            <w:tcW w:w="2850" w:type="dxa"/>
            <w:gridSpan w:val="2"/>
            <w:tcBorders>
              <w:top w:val="nil"/>
              <w:left w:val="nil"/>
              <w:bottom w:val="nil"/>
              <w:right w:val="nil"/>
            </w:tcBorders>
          </w:tcPr>
          <w:p w14:paraId="057B071C" w14:textId="77777777" w:rsidR="00286F7D" w:rsidRPr="00286F7D" w:rsidRDefault="00286F7D" w:rsidP="00286F7D">
            <w:pPr>
              <w:pStyle w:val="Texttabulky"/>
              <w:spacing w:after="0"/>
              <w:rPr>
                <w:rFonts w:cs="Arial"/>
              </w:rPr>
            </w:pPr>
            <w:r w:rsidRPr="00286F7D">
              <w:rPr>
                <w:rFonts w:cs="Arial"/>
              </w:rPr>
              <w:t>517 271    528 947</w:t>
            </w:r>
          </w:p>
        </w:tc>
      </w:tr>
      <w:tr w:rsidR="00286F7D" w:rsidRPr="00286F7D" w14:paraId="3D2BCAAE" w14:textId="77777777" w:rsidTr="00286F7D">
        <w:trPr>
          <w:gridAfter w:val="1"/>
          <w:wAfter w:w="120" w:type="dxa"/>
        </w:trPr>
        <w:tc>
          <w:tcPr>
            <w:tcW w:w="3645" w:type="dxa"/>
            <w:tcBorders>
              <w:top w:val="nil"/>
              <w:left w:val="nil"/>
              <w:bottom w:val="nil"/>
              <w:right w:val="nil"/>
            </w:tcBorders>
          </w:tcPr>
          <w:p w14:paraId="4BB7313D"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4DE8BE1C"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74D226EA" w14:textId="77777777" w:rsidR="00286F7D" w:rsidRPr="00286F7D" w:rsidRDefault="00286F7D" w:rsidP="00286F7D">
            <w:pPr>
              <w:pStyle w:val="Zkladntext"/>
              <w:spacing w:after="0"/>
              <w:rPr>
                <w:rFonts w:ascii="Arial" w:hAnsi="Arial" w:cs="Arial"/>
              </w:rPr>
            </w:pPr>
          </w:p>
        </w:tc>
      </w:tr>
      <w:tr w:rsidR="00286F7D" w:rsidRPr="00286F7D" w14:paraId="5101361A" w14:textId="77777777" w:rsidTr="00286F7D">
        <w:trPr>
          <w:gridAfter w:val="1"/>
          <w:wAfter w:w="120" w:type="dxa"/>
        </w:trPr>
        <w:tc>
          <w:tcPr>
            <w:tcW w:w="8355" w:type="dxa"/>
            <w:gridSpan w:val="6"/>
            <w:tcBorders>
              <w:top w:val="nil"/>
              <w:left w:val="nil"/>
              <w:bottom w:val="nil"/>
              <w:right w:val="nil"/>
            </w:tcBorders>
          </w:tcPr>
          <w:p w14:paraId="540B4FCC" w14:textId="77777777" w:rsidR="00286F7D" w:rsidRPr="00286F7D" w:rsidRDefault="00286F7D" w:rsidP="00286F7D">
            <w:pPr>
              <w:pStyle w:val="Zkladntext"/>
              <w:spacing w:after="0"/>
              <w:rPr>
                <w:rFonts w:ascii="Arial" w:hAnsi="Arial" w:cs="Arial"/>
              </w:rPr>
            </w:pPr>
            <w:r w:rsidRPr="00286F7D">
              <w:rPr>
                <w:rFonts w:ascii="Arial" w:hAnsi="Arial" w:cs="Arial"/>
                <w:b/>
                <w:bCs/>
                <w:caps/>
              </w:rPr>
              <w:t>okresní veterinární správa česká lípa</w:t>
            </w:r>
          </w:p>
        </w:tc>
      </w:tr>
      <w:tr w:rsidR="00286F7D" w:rsidRPr="00286F7D" w14:paraId="55B64D1A" w14:textId="77777777" w:rsidTr="00286F7D">
        <w:trPr>
          <w:gridAfter w:val="1"/>
          <w:wAfter w:w="120" w:type="dxa"/>
        </w:trPr>
        <w:tc>
          <w:tcPr>
            <w:tcW w:w="3645" w:type="dxa"/>
            <w:tcBorders>
              <w:top w:val="nil"/>
              <w:left w:val="nil"/>
              <w:bottom w:val="nil"/>
              <w:right w:val="nil"/>
            </w:tcBorders>
          </w:tcPr>
          <w:p w14:paraId="368559FD" w14:textId="77777777" w:rsidR="00286F7D" w:rsidRPr="00286F7D" w:rsidRDefault="00286F7D" w:rsidP="00286F7D">
            <w:pPr>
              <w:pStyle w:val="Texttabulky"/>
              <w:spacing w:after="0"/>
              <w:jc w:val="right"/>
              <w:rPr>
                <w:rFonts w:cs="Arial"/>
              </w:rPr>
            </w:pPr>
            <w:r w:rsidRPr="00286F7D">
              <w:rPr>
                <w:rFonts w:cs="Arial"/>
              </w:rPr>
              <w:t>OVS Česká Lípa</w:t>
            </w:r>
          </w:p>
        </w:tc>
        <w:tc>
          <w:tcPr>
            <w:tcW w:w="1860" w:type="dxa"/>
            <w:gridSpan w:val="3"/>
            <w:tcBorders>
              <w:top w:val="nil"/>
              <w:left w:val="nil"/>
              <w:bottom w:val="nil"/>
              <w:right w:val="nil"/>
            </w:tcBorders>
          </w:tcPr>
          <w:p w14:paraId="34DA10E2"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2CC67D01" w14:textId="77777777" w:rsidR="00286F7D" w:rsidRPr="00286F7D" w:rsidRDefault="00286F7D" w:rsidP="00286F7D">
            <w:pPr>
              <w:pStyle w:val="Texttabulky"/>
              <w:spacing w:after="0"/>
              <w:rPr>
                <w:rFonts w:cs="Arial"/>
              </w:rPr>
            </w:pPr>
            <w:r w:rsidRPr="00286F7D">
              <w:rPr>
                <w:rFonts w:cs="Arial"/>
              </w:rPr>
              <w:t>0425/227 15,  0425/912 76</w:t>
            </w:r>
          </w:p>
        </w:tc>
      </w:tr>
      <w:tr w:rsidR="00286F7D" w:rsidRPr="00286F7D" w14:paraId="6978A2C6" w14:textId="77777777" w:rsidTr="00286F7D">
        <w:trPr>
          <w:gridAfter w:val="1"/>
          <w:wAfter w:w="120" w:type="dxa"/>
        </w:trPr>
        <w:tc>
          <w:tcPr>
            <w:tcW w:w="3645" w:type="dxa"/>
            <w:tcBorders>
              <w:top w:val="nil"/>
              <w:left w:val="nil"/>
              <w:bottom w:val="nil"/>
              <w:right w:val="nil"/>
            </w:tcBorders>
          </w:tcPr>
          <w:p w14:paraId="4DB8D20F" w14:textId="77777777" w:rsidR="00286F7D" w:rsidRPr="00286F7D" w:rsidRDefault="00286F7D" w:rsidP="00286F7D">
            <w:pPr>
              <w:pStyle w:val="Texttabulky"/>
              <w:spacing w:after="0"/>
              <w:jc w:val="right"/>
              <w:rPr>
                <w:rFonts w:cs="Arial"/>
              </w:rPr>
            </w:pPr>
            <w:r w:rsidRPr="00286F7D">
              <w:rPr>
                <w:rFonts w:cs="Arial"/>
              </w:rPr>
              <w:t>detašované pracoviště Děčín</w:t>
            </w:r>
          </w:p>
        </w:tc>
        <w:tc>
          <w:tcPr>
            <w:tcW w:w="1860" w:type="dxa"/>
            <w:gridSpan w:val="3"/>
            <w:tcBorders>
              <w:top w:val="nil"/>
              <w:left w:val="nil"/>
              <w:bottom w:val="nil"/>
              <w:right w:val="nil"/>
            </w:tcBorders>
          </w:tcPr>
          <w:p w14:paraId="465F6DB4" w14:textId="77777777" w:rsidR="00286F7D" w:rsidRPr="00286F7D" w:rsidRDefault="00286F7D" w:rsidP="00286F7D">
            <w:pPr>
              <w:pStyle w:val="Texttabulky"/>
              <w:spacing w:after="0"/>
              <w:jc w:val="center"/>
              <w:rPr>
                <w:rFonts w:cs="Arial"/>
              </w:rPr>
            </w:pPr>
            <w:r w:rsidRPr="00286F7D">
              <w:rPr>
                <w:rFonts w:cs="Arial"/>
              </w:rPr>
              <w:t>542 503</w:t>
            </w:r>
          </w:p>
        </w:tc>
        <w:tc>
          <w:tcPr>
            <w:tcW w:w="2850" w:type="dxa"/>
            <w:gridSpan w:val="2"/>
            <w:tcBorders>
              <w:top w:val="nil"/>
              <w:left w:val="nil"/>
              <w:bottom w:val="nil"/>
              <w:right w:val="nil"/>
            </w:tcBorders>
          </w:tcPr>
          <w:p w14:paraId="56006D94" w14:textId="77777777" w:rsidR="00286F7D" w:rsidRPr="00286F7D" w:rsidRDefault="00286F7D" w:rsidP="00286F7D">
            <w:pPr>
              <w:pStyle w:val="Zkladntext"/>
              <w:spacing w:after="0"/>
              <w:rPr>
                <w:rFonts w:ascii="Arial" w:hAnsi="Arial" w:cs="Arial"/>
              </w:rPr>
            </w:pPr>
          </w:p>
        </w:tc>
      </w:tr>
      <w:tr w:rsidR="00286F7D" w:rsidRPr="00286F7D" w14:paraId="6D862FF0" w14:textId="77777777" w:rsidTr="00286F7D">
        <w:trPr>
          <w:gridAfter w:val="1"/>
          <w:wAfter w:w="120" w:type="dxa"/>
        </w:trPr>
        <w:tc>
          <w:tcPr>
            <w:tcW w:w="3645" w:type="dxa"/>
            <w:tcBorders>
              <w:top w:val="nil"/>
              <w:left w:val="nil"/>
              <w:bottom w:val="nil"/>
              <w:right w:val="nil"/>
            </w:tcBorders>
          </w:tcPr>
          <w:p w14:paraId="5409883B"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0CBC1468"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26678C82" w14:textId="77777777" w:rsidR="00286F7D" w:rsidRPr="00286F7D" w:rsidRDefault="00286F7D" w:rsidP="00286F7D">
            <w:pPr>
              <w:pStyle w:val="Zkladntext"/>
              <w:spacing w:after="0"/>
              <w:rPr>
                <w:rFonts w:ascii="Arial" w:hAnsi="Arial" w:cs="Arial"/>
              </w:rPr>
            </w:pPr>
          </w:p>
        </w:tc>
      </w:tr>
      <w:tr w:rsidR="00286F7D" w:rsidRPr="00286F7D" w14:paraId="5619FFEE" w14:textId="77777777" w:rsidTr="00286F7D">
        <w:trPr>
          <w:gridAfter w:val="1"/>
          <w:wAfter w:w="120" w:type="dxa"/>
        </w:trPr>
        <w:tc>
          <w:tcPr>
            <w:tcW w:w="3645" w:type="dxa"/>
            <w:tcBorders>
              <w:top w:val="nil"/>
              <w:left w:val="nil"/>
              <w:bottom w:val="nil"/>
              <w:right w:val="nil"/>
            </w:tcBorders>
          </w:tcPr>
          <w:p w14:paraId="4FEA0CC9" w14:textId="77777777" w:rsidR="00286F7D" w:rsidRPr="00286F7D" w:rsidRDefault="00286F7D" w:rsidP="00286F7D">
            <w:pPr>
              <w:pStyle w:val="Texttabulky"/>
              <w:spacing w:after="0"/>
              <w:rPr>
                <w:rFonts w:cs="Arial"/>
              </w:rPr>
            </w:pPr>
            <w:r w:rsidRPr="00286F7D">
              <w:rPr>
                <w:rFonts w:cs="Arial"/>
                <w:b/>
                <w:bCs/>
              </w:rPr>
              <w:t>ČESKÉ DRÁHY</w:t>
            </w:r>
          </w:p>
        </w:tc>
        <w:tc>
          <w:tcPr>
            <w:tcW w:w="1860" w:type="dxa"/>
            <w:gridSpan w:val="3"/>
            <w:tcBorders>
              <w:top w:val="nil"/>
              <w:left w:val="nil"/>
              <w:bottom w:val="nil"/>
              <w:right w:val="nil"/>
            </w:tcBorders>
          </w:tcPr>
          <w:p w14:paraId="60F96BEF"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5BAEA5C3" w14:textId="77777777" w:rsidR="00286F7D" w:rsidRPr="00286F7D" w:rsidRDefault="00286F7D" w:rsidP="00286F7D">
            <w:pPr>
              <w:pStyle w:val="Zkladntext"/>
              <w:spacing w:after="0"/>
              <w:rPr>
                <w:rFonts w:ascii="Arial" w:hAnsi="Arial" w:cs="Arial"/>
              </w:rPr>
            </w:pPr>
          </w:p>
        </w:tc>
      </w:tr>
      <w:tr w:rsidR="00286F7D" w:rsidRPr="00286F7D" w14:paraId="3462414E" w14:textId="77777777" w:rsidTr="00286F7D">
        <w:trPr>
          <w:gridAfter w:val="1"/>
          <w:wAfter w:w="120" w:type="dxa"/>
        </w:trPr>
        <w:tc>
          <w:tcPr>
            <w:tcW w:w="3645" w:type="dxa"/>
            <w:tcBorders>
              <w:top w:val="nil"/>
              <w:left w:val="nil"/>
              <w:bottom w:val="nil"/>
              <w:right w:val="nil"/>
            </w:tcBorders>
          </w:tcPr>
          <w:p w14:paraId="3E7C4259"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400A37F5" w14:textId="77777777" w:rsidR="00286F7D" w:rsidRPr="00286F7D" w:rsidRDefault="00286F7D" w:rsidP="00286F7D">
            <w:pPr>
              <w:pStyle w:val="Texttabulky"/>
              <w:spacing w:after="0"/>
              <w:rPr>
                <w:rFonts w:cs="Arial"/>
              </w:rPr>
            </w:pPr>
            <w:r w:rsidRPr="00286F7D">
              <w:rPr>
                <w:rFonts w:cs="Arial"/>
              </w:rPr>
              <w:t>503 490, 530 035</w:t>
            </w:r>
          </w:p>
        </w:tc>
        <w:tc>
          <w:tcPr>
            <w:tcW w:w="2850" w:type="dxa"/>
            <w:gridSpan w:val="2"/>
            <w:tcBorders>
              <w:top w:val="nil"/>
              <w:left w:val="nil"/>
              <w:bottom w:val="nil"/>
              <w:right w:val="nil"/>
            </w:tcBorders>
          </w:tcPr>
          <w:p w14:paraId="631193DC" w14:textId="77777777" w:rsidR="00286F7D" w:rsidRPr="00286F7D" w:rsidRDefault="00286F7D" w:rsidP="00286F7D">
            <w:pPr>
              <w:pStyle w:val="Texttabulky"/>
              <w:spacing w:after="0"/>
              <w:rPr>
                <w:rFonts w:cs="Arial"/>
              </w:rPr>
            </w:pPr>
            <w:r w:rsidRPr="00286F7D">
              <w:rPr>
                <w:rFonts w:cs="Arial"/>
              </w:rPr>
              <w:t>530 042   047/5501796</w:t>
            </w:r>
          </w:p>
        </w:tc>
      </w:tr>
      <w:tr w:rsidR="00286F7D" w:rsidRPr="00286F7D" w14:paraId="1EDB02F7" w14:textId="77777777" w:rsidTr="00286F7D">
        <w:trPr>
          <w:gridAfter w:val="1"/>
          <w:wAfter w:w="120" w:type="dxa"/>
        </w:trPr>
        <w:tc>
          <w:tcPr>
            <w:tcW w:w="3645" w:type="dxa"/>
            <w:tcBorders>
              <w:top w:val="nil"/>
              <w:left w:val="nil"/>
              <w:bottom w:val="nil"/>
              <w:right w:val="nil"/>
            </w:tcBorders>
          </w:tcPr>
          <w:p w14:paraId="387013C5"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3EB33C84"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7D256685" w14:textId="77777777" w:rsidR="00286F7D" w:rsidRPr="00286F7D" w:rsidRDefault="00286F7D" w:rsidP="00286F7D">
            <w:pPr>
              <w:pStyle w:val="Zkladntext"/>
              <w:spacing w:after="0"/>
              <w:rPr>
                <w:rFonts w:ascii="Arial" w:hAnsi="Arial" w:cs="Arial"/>
              </w:rPr>
            </w:pPr>
          </w:p>
        </w:tc>
      </w:tr>
      <w:tr w:rsidR="00286F7D" w:rsidRPr="00286F7D" w14:paraId="752AA437" w14:textId="77777777" w:rsidTr="00286F7D">
        <w:trPr>
          <w:gridAfter w:val="1"/>
          <w:wAfter w:w="120" w:type="dxa"/>
        </w:trPr>
        <w:tc>
          <w:tcPr>
            <w:tcW w:w="3645" w:type="dxa"/>
            <w:tcBorders>
              <w:top w:val="nil"/>
              <w:left w:val="nil"/>
              <w:bottom w:val="nil"/>
              <w:right w:val="nil"/>
            </w:tcBorders>
          </w:tcPr>
          <w:p w14:paraId="530D80F1" w14:textId="77777777" w:rsidR="00286F7D" w:rsidRPr="00286F7D" w:rsidRDefault="00286F7D" w:rsidP="00286F7D">
            <w:pPr>
              <w:pStyle w:val="Texttabulky"/>
              <w:spacing w:after="0"/>
              <w:rPr>
                <w:rFonts w:cs="Arial"/>
              </w:rPr>
            </w:pPr>
            <w:r w:rsidRPr="00286F7D">
              <w:rPr>
                <w:rFonts w:cs="Arial"/>
                <w:b/>
                <w:bCs/>
                <w:caps/>
              </w:rPr>
              <w:t>správa a údržba komunikací</w:t>
            </w:r>
          </w:p>
        </w:tc>
        <w:tc>
          <w:tcPr>
            <w:tcW w:w="1860" w:type="dxa"/>
            <w:gridSpan w:val="3"/>
            <w:tcBorders>
              <w:top w:val="nil"/>
              <w:left w:val="nil"/>
              <w:bottom w:val="nil"/>
              <w:right w:val="nil"/>
            </w:tcBorders>
          </w:tcPr>
          <w:p w14:paraId="481874C4"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6D446D86" w14:textId="77777777" w:rsidR="00286F7D" w:rsidRPr="00286F7D" w:rsidRDefault="00286F7D" w:rsidP="00286F7D">
            <w:pPr>
              <w:pStyle w:val="Zkladntext"/>
              <w:spacing w:after="0"/>
              <w:rPr>
                <w:rFonts w:ascii="Arial" w:hAnsi="Arial" w:cs="Arial"/>
              </w:rPr>
            </w:pPr>
          </w:p>
        </w:tc>
      </w:tr>
      <w:tr w:rsidR="00286F7D" w:rsidRPr="00286F7D" w14:paraId="6F3795D8" w14:textId="77777777" w:rsidTr="00286F7D">
        <w:trPr>
          <w:gridAfter w:val="1"/>
          <w:wAfter w:w="120" w:type="dxa"/>
        </w:trPr>
        <w:tc>
          <w:tcPr>
            <w:tcW w:w="3645" w:type="dxa"/>
            <w:tcBorders>
              <w:top w:val="nil"/>
              <w:left w:val="nil"/>
              <w:bottom w:val="nil"/>
              <w:right w:val="nil"/>
            </w:tcBorders>
          </w:tcPr>
          <w:p w14:paraId="7FEAB99A"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6ADF513D" w14:textId="77777777" w:rsidR="00286F7D" w:rsidRPr="00286F7D" w:rsidRDefault="00286F7D" w:rsidP="00286F7D">
            <w:pPr>
              <w:pStyle w:val="Texttabulky"/>
              <w:spacing w:after="0"/>
              <w:rPr>
                <w:rFonts w:cs="Arial"/>
              </w:rPr>
            </w:pPr>
            <w:r w:rsidRPr="00286F7D">
              <w:rPr>
                <w:rFonts w:cs="Arial"/>
              </w:rPr>
              <w:t>544 531,  544 407</w:t>
            </w:r>
          </w:p>
        </w:tc>
        <w:tc>
          <w:tcPr>
            <w:tcW w:w="2850" w:type="dxa"/>
            <w:gridSpan w:val="2"/>
            <w:tcBorders>
              <w:top w:val="nil"/>
              <w:left w:val="nil"/>
              <w:bottom w:val="nil"/>
              <w:right w:val="nil"/>
            </w:tcBorders>
          </w:tcPr>
          <w:p w14:paraId="143C7A96" w14:textId="77777777" w:rsidR="00286F7D" w:rsidRPr="00286F7D" w:rsidRDefault="00286F7D" w:rsidP="00286F7D">
            <w:pPr>
              <w:pStyle w:val="Zkladntext"/>
              <w:spacing w:after="0"/>
              <w:rPr>
                <w:rFonts w:ascii="Arial" w:hAnsi="Arial" w:cs="Arial"/>
              </w:rPr>
            </w:pPr>
          </w:p>
        </w:tc>
      </w:tr>
      <w:tr w:rsidR="00286F7D" w:rsidRPr="00286F7D" w14:paraId="68230BB1" w14:textId="77777777" w:rsidTr="00286F7D">
        <w:trPr>
          <w:gridAfter w:val="1"/>
          <w:wAfter w:w="120" w:type="dxa"/>
        </w:trPr>
        <w:tc>
          <w:tcPr>
            <w:tcW w:w="3645" w:type="dxa"/>
            <w:tcBorders>
              <w:top w:val="nil"/>
              <w:left w:val="nil"/>
              <w:bottom w:val="nil"/>
              <w:right w:val="nil"/>
            </w:tcBorders>
          </w:tcPr>
          <w:p w14:paraId="427C7901" w14:textId="77777777" w:rsidR="00286F7D" w:rsidRPr="00286F7D" w:rsidRDefault="00286F7D" w:rsidP="00286F7D">
            <w:pPr>
              <w:pStyle w:val="Zkladntext"/>
              <w:spacing w:after="0"/>
              <w:rPr>
                <w:rFonts w:ascii="Arial" w:hAnsi="Arial" w:cs="Arial"/>
              </w:rPr>
            </w:pPr>
          </w:p>
        </w:tc>
        <w:tc>
          <w:tcPr>
            <w:tcW w:w="1860" w:type="dxa"/>
            <w:gridSpan w:val="3"/>
            <w:tcBorders>
              <w:top w:val="nil"/>
              <w:left w:val="nil"/>
              <w:bottom w:val="nil"/>
              <w:right w:val="nil"/>
            </w:tcBorders>
          </w:tcPr>
          <w:p w14:paraId="3C3AE6D1"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3AB5B665" w14:textId="77777777" w:rsidR="00286F7D" w:rsidRPr="00286F7D" w:rsidRDefault="00286F7D" w:rsidP="00286F7D">
            <w:pPr>
              <w:pStyle w:val="Zkladntext"/>
              <w:spacing w:after="0"/>
              <w:rPr>
                <w:rFonts w:ascii="Arial" w:hAnsi="Arial" w:cs="Arial"/>
              </w:rPr>
            </w:pPr>
          </w:p>
        </w:tc>
      </w:tr>
      <w:tr w:rsidR="00286F7D" w:rsidRPr="00286F7D" w14:paraId="79431CAA" w14:textId="77777777" w:rsidTr="00286F7D">
        <w:trPr>
          <w:gridAfter w:val="1"/>
          <w:wAfter w:w="120" w:type="dxa"/>
        </w:trPr>
        <w:tc>
          <w:tcPr>
            <w:tcW w:w="3645" w:type="dxa"/>
            <w:tcBorders>
              <w:top w:val="nil"/>
              <w:left w:val="nil"/>
              <w:bottom w:val="nil"/>
              <w:right w:val="nil"/>
            </w:tcBorders>
          </w:tcPr>
          <w:p w14:paraId="23847EB0" w14:textId="77777777" w:rsidR="00286F7D" w:rsidRPr="00286F7D" w:rsidRDefault="00286F7D" w:rsidP="00286F7D">
            <w:pPr>
              <w:pStyle w:val="Texttabulky"/>
              <w:spacing w:after="0"/>
              <w:rPr>
                <w:rFonts w:cs="Arial"/>
              </w:rPr>
            </w:pPr>
            <w:r w:rsidRPr="00286F7D">
              <w:rPr>
                <w:rFonts w:cs="Arial"/>
                <w:b/>
                <w:bCs/>
                <w:caps/>
              </w:rPr>
              <w:t>povodí labe</w:t>
            </w:r>
          </w:p>
        </w:tc>
        <w:tc>
          <w:tcPr>
            <w:tcW w:w="1860" w:type="dxa"/>
            <w:gridSpan w:val="3"/>
            <w:tcBorders>
              <w:top w:val="nil"/>
              <w:left w:val="nil"/>
              <w:bottom w:val="nil"/>
              <w:right w:val="nil"/>
            </w:tcBorders>
          </w:tcPr>
          <w:p w14:paraId="2CFCE34E" w14:textId="77777777" w:rsidR="00286F7D" w:rsidRPr="00286F7D" w:rsidRDefault="00286F7D" w:rsidP="00286F7D">
            <w:pPr>
              <w:pStyle w:val="Zkladntext"/>
              <w:spacing w:after="0"/>
              <w:rPr>
                <w:rFonts w:ascii="Arial" w:hAnsi="Arial" w:cs="Arial"/>
              </w:rPr>
            </w:pPr>
          </w:p>
        </w:tc>
        <w:tc>
          <w:tcPr>
            <w:tcW w:w="2850" w:type="dxa"/>
            <w:gridSpan w:val="2"/>
            <w:tcBorders>
              <w:top w:val="nil"/>
              <w:left w:val="nil"/>
              <w:bottom w:val="nil"/>
              <w:right w:val="nil"/>
            </w:tcBorders>
          </w:tcPr>
          <w:p w14:paraId="7CA8F81B" w14:textId="77777777" w:rsidR="00286F7D" w:rsidRPr="00286F7D" w:rsidRDefault="00286F7D" w:rsidP="00286F7D">
            <w:pPr>
              <w:pStyle w:val="Zkladntext"/>
              <w:spacing w:after="0"/>
              <w:rPr>
                <w:rFonts w:ascii="Arial" w:hAnsi="Arial" w:cs="Arial"/>
              </w:rPr>
            </w:pPr>
          </w:p>
        </w:tc>
      </w:tr>
      <w:tr w:rsidR="00286F7D" w:rsidRPr="00286F7D" w14:paraId="55823214" w14:textId="77777777" w:rsidTr="00286F7D">
        <w:trPr>
          <w:gridAfter w:val="1"/>
          <w:wAfter w:w="120" w:type="dxa"/>
        </w:trPr>
        <w:tc>
          <w:tcPr>
            <w:tcW w:w="3645" w:type="dxa"/>
            <w:tcBorders>
              <w:top w:val="nil"/>
              <w:left w:val="nil"/>
              <w:bottom w:val="nil"/>
              <w:right w:val="nil"/>
            </w:tcBorders>
          </w:tcPr>
          <w:p w14:paraId="1EAFA583" w14:textId="77777777" w:rsidR="00286F7D" w:rsidRPr="00286F7D" w:rsidRDefault="00286F7D" w:rsidP="00286F7D">
            <w:pPr>
              <w:pStyle w:val="Texttabulky"/>
              <w:spacing w:after="0"/>
              <w:jc w:val="right"/>
              <w:rPr>
                <w:rFonts w:cs="Arial"/>
              </w:rPr>
            </w:pPr>
            <w:r w:rsidRPr="00286F7D">
              <w:rPr>
                <w:rFonts w:cs="Arial"/>
              </w:rPr>
              <w:t>Ústí nad Labem - Vaňov</w:t>
            </w:r>
          </w:p>
        </w:tc>
        <w:tc>
          <w:tcPr>
            <w:tcW w:w="1860" w:type="dxa"/>
            <w:gridSpan w:val="3"/>
            <w:tcBorders>
              <w:top w:val="nil"/>
              <w:left w:val="nil"/>
              <w:bottom w:val="nil"/>
              <w:right w:val="nil"/>
            </w:tcBorders>
          </w:tcPr>
          <w:p w14:paraId="536D60E4" w14:textId="77777777" w:rsidR="00286F7D" w:rsidRPr="00286F7D" w:rsidRDefault="00286F7D" w:rsidP="00286F7D">
            <w:pPr>
              <w:pStyle w:val="Texttabulky"/>
              <w:spacing w:after="0"/>
              <w:jc w:val="center"/>
              <w:rPr>
                <w:rFonts w:cs="Arial"/>
              </w:rPr>
            </w:pPr>
            <w:r w:rsidRPr="00286F7D">
              <w:rPr>
                <w:rFonts w:cs="Arial"/>
              </w:rPr>
              <w:t>047/521 1297</w:t>
            </w:r>
          </w:p>
        </w:tc>
        <w:tc>
          <w:tcPr>
            <w:tcW w:w="2850" w:type="dxa"/>
            <w:gridSpan w:val="2"/>
            <w:tcBorders>
              <w:top w:val="nil"/>
              <w:left w:val="nil"/>
              <w:bottom w:val="nil"/>
              <w:right w:val="nil"/>
            </w:tcBorders>
          </w:tcPr>
          <w:p w14:paraId="262ADD8D" w14:textId="77777777" w:rsidR="00286F7D" w:rsidRPr="00286F7D" w:rsidRDefault="00286F7D" w:rsidP="00286F7D">
            <w:pPr>
              <w:pStyle w:val="Texttabulky"/>
              <w:spacing w:after="0"/>
              <w:rPr>
                <w:rFonts w:cs="Arial"/>
              </w:rPr>
            </w:pPr>
            <w:r w:rsidRPr="00286F7D">
              <w:rPr>
                <w:rFonts w:cs="Arial"/>
              </w:rPr>
              <w:t>fax. 047/521 1326</w:t>
            </w:r>
          </w:p>
        </w:tc>
      </w:tr>
      <w:tr w:rsidR="00286F7D" w:rsidRPr="00286F7D" w14:paraId="2C494713" w14:textId="77777777" w:rsidTr="00286F7D">
        <w:trPr>
          <w:gridAfter w:val="1"/>
          <w:wAfter w:w="120" w:type="dxa"/>
          <w:trHeight w:val="119"/>
        </w:trPr>
        <w:tc>
          <w:tcPr>
            <w:tcW w:w="3645" w:type="dxa"/>
            <w:tcBorders>
              <w:top w:val="nil"/>
              <w:left w:val="nil"/>
              <w:bottom w:val="nil"/>
              <w:right w:val="nil"/>
            </w:tcBorders>
          </w:tcPr>
          <w:p w14:paraId="7EC80A85" w14:textId="77777777" w:rsidR="00286F7D" w:rsidRPr="00286F7D" w:rsidRDefault="00286F7D" w:rsidP="00286F7D">
            <w:pPr>
              <w:pStyle w:val="Texttabulky"/>
              <w:spacing w:after="0"/>
              <w:jc w:val="right"/>
              <w:rPr>
                <w:rFonts w:cs="Arial"/>
              </w:rPr>
            </w:pPr>
            <w:r w:rsidRPr="00286F7D">
              <w:rPr>
                <w:rFonts w:cs="Arial"/>
              </w:rPr>
              <w:t>Děčín</w:t>
            </w:r>
          </w:p>
        </w:tc>
        <w:tc>
          <w:tcPr>
            <w:tcW w:w="1860" w:type="dxa"/>
            <w:gridSpan w:val="3"/>
            <w:tcBorders>
              <w:top w:val="nil"/>
              <w:left w:val="nil"/>
              <w:bottom w:val="nil"/>
              <w:right w:val="nil"/>
            </w:tcBorders>
          </w:tcPr>
          <w:p w14:paraId="5B4887AD" w14:textId="77777777" w:rsidR="00286F7D" w:rsidRPr="00286F7D" w:rsidRDefault="00286F7D" w:rsidP="00286F7D">
            <w:pPr>
              <w:pStyle w:val="Texttabulky"/>
              <w:spacing w:after="0"/>
              <w:jc w:val="center"/>
              <w:rPr>
                <w:rFonts w:cs="Arial"/>
              </w:rPr>
            </w:pPr>
            <w:r w:rsidRPr="00286F7D">
              <w:rPr>
                <w:rFonts w:cs="Arial"/>
              </w:rPr>
              <w:t>512 606</w:t>
            </w:r>
          </w:p>
        </w:tc>
        <w:tc>
          <w:tcPr>
            <w:tcW w:w="2850" w:type="dxa"/>
            <w:gridSpan w:val="2"/>
            <w:tcBorders>
              <w:top w:val="nil"/>
              <w:left w:val="nil"/>
              <w:bottom w:val="nil"/>
              <w:right w:val="nil"/>
            </w:tcBorders>
          </w:tcPr>
          <w:p w14:paraId="0889DF54" w14:textId="77777777" w:rsidR="00286F7D" w:rsidRPr="00286F7D" w:rsidRDefault="00286F7D" w:rsidP="00286F7D">
            <w:pPr>
              <w:pStyle w:val="Zkladntext"/>
              <w:spacing w:after="0"/>
              <w:rPr>
                <w:rFonts w:ascii="Arial" w:hAnsi="Arial" w:cs="Arial"/>
              </w:rPr>
            </w:pPr>
          </w:p>
        </w:tc>
      </w:tr>
      <w:tr w:rsidR="00286F7D" w:rsidRPr="00286F7D" w14:paraId="2943E5EB" w14:textId="77777777" w:rsidTr="00286F7D">
        <w:trPr>
          <w:gridAfter w:val="1"/>
          <w:wAfter w:w="120" w:type="dxa"/>
        </w:trPr>
        <w:tc>
          <w:tcPr>
            <w:tcW w:w="3645" w:type="dxa"/>
            <w:tcBorders>
              <w:top w:val="nil"/>
              <w:left w:val="nil"/>
              <w:bottom w:val="nil"/>
              <w:right w:val="nil"/>
            </w:tcBorders>
          </w:tcPr>
          <w:p w14:paraId="1238682A" w14:textId="77777777" w:rsidR="00286F7D" w:rsidRPr="00286F7D" w:rsidRDefault="00286F7D" w:rsidP="00286F7D">
            <w:pPr>
              <w:pStyle w:val="Texttabulky"/>
              <w:jc w:val="right"/>
              <w:rPr>
                <w:rFonts w:cs="Arial"/>
              </w:rPr>
            </w:pPr>
            <w:r w:rsidRPr="00286F7D">
              <w:rPr>
                <w:rFonts w:cs="Arial"/>
              </w:rPr>
              <w:t>dispečink Hradec Králové</w:t>
            </w:r>
          </w:p>
        </w:tc>
        <w:tc>
          <w:tcPr>
            <w:tcW w:w="1860" w:type="dxa"/>
            <w:gridSpan w:val="3"/>
            <w:tcBorders>
              <w:top w:val="nil"/>
              <w:left w:val="nil"/>
              <w:bottom w:val="nil"/>
              <w:right w:val="nil"/>
            </w:tcBorders>
          </w:tcPr>
          <w:p w14:paraId="1900D8F2" w14:textId="77777777" w:rsidR="00286F7D" w:rsidRPr="00286F7D" w:rsidRDefault="00286F7D" w:rsidP="00286F7D">
            <w:pPr>
              <w:pStyle w:val="Texttabulky"/>
              <w:jc w:val="center"/>
              <w:rPr>
                <w:rFonts w:cs="Arial"/>
              </w:rPr>
            </w:pPr>
            <w:r w:rsidRPr="00286F7D">
              <w:rPr>
                <w:rFonts w:cs="Arial"/>
              </w:rPr>
              <w:t>049/541 0099</w:t>
            </w:r>
          </w:p>
        </w:tc>
        <w:tc>
          <w:tcPr>
            <w:tcW w:w="2850" w:type="dxa"/>
            <w:gridSpan w:val="2"/>
            <w:tcBorders>
              <w:top w:val="nil"/>
              <w:left w:val="nil"/>
              <w:bottom w:val="nil"/>
              <w:right w:val="nil"/>
            </w:tcBorders>
          </w:tcPr>
          <w:p w14:paraId="508F6C8B" w14:textId="77777777" w:rsidR="00286F7D" w:rsidRPr="00286F7D" w:rsidRDefault="00286F7D" w:rsidP="00286F7D">
            <w:pPr>
              <w:pStyle w:val="Texttabulky"/>
              <w:rPr>
                <w:rFonts w:cs="Arial"/>
              </w:rPr>
            </w:pPr>
            <w:r w:rsidRPr="00286F7D">
              <w:rPr>
                <w:rFonts w:cs="Arial"/>
              </w:rPr>
              <w:t>049/457 57</w:t>
            </w:r>
          </w:p>
        </w:tc>
      </w:tr>
      <w:tr w:rsidR="00286F7D" w:rsidRPr="00286F7D" w14:paraId="22BD9637" w14:textId="77777777" w:rsidTr="00286F7D">
        <w:trPr>
          <w:gridAfter w:val="1"/>
          <w:wAfter w:w="120" w:type="dxa"/>
        </w:trPr>
        <w:tc>
          <w:tcPr>
            <w:tcW w:w="3645" w:type="dxa"/>
            <w:tcBorders>
              <w:top w:val="nil"/>
              <w:left w:val="nil"/>
              <w:bottom w:val="nil"/>
              <w:right w:val="nil"/>
            </w:tcBorders>
          </w:tcPr>
          <w:p w14:paraId="2CD81E8C" w14:textId="77777777" w:rsidR="00286F7D" w:rsidRPr="00286F7D" w:rsidRDefault="00286F7D" w:rsidP="00286F7D">
            <w:pPr>
              <w:pStyle w:val="Zkladntext"/>
              <w:rPr>
                <w:rFonts w:ascii="Arial" w:hAnsi="Arial" w:cs="Arial"/>
              </w:rPr>
            </w:pPr>
          </w:p>
        </w:tc>
        <w:tc>
          <w:tcPr>
            <w:tcW w:w="1860" w:type="dxa"/>
            <w:gridSpan w:val="3"/>
            <w:tcBorders>
              <w:top w:val="nil"/>
              <w:left w:val="nil"/>
              <w:bottom w:val="nil"/>
              <w:right w:val="nil"/>
            </w:tcBorders>
          </w:tcPr>
          <w:p w14:paraId="7A18A0D8" w14:textId="77777777" w:rsidR="00286F7D" w:rsidRPr="00286F7D" w:rsidRDefault="00286F7D" w:rsidP="00286F7D">
            <w:pPr>
              <w:pStyle w:val="Zkladntext"/>
              <w:rPr>
                <w:rFonts w:ascii="Arial" w:hAnsi="Arial" w:cs="Arial"/>
              </w:rPr>
            </w:pPr>
          </w:p>
        </w:tc>
        <w:tc>
          <w:tcPr>
            <w:tcW w:w="2850" w:type="dxa"/>
            <w:gridSpan w:val="2"/>
            <w:tcBorders>
              <w:top w:val="nil"/>
              <w:left w:val="nil"/>
              <w:bottom w:val="nil"/>
              <w:right w:val="nil"/>
            </w:tcBorders>
          </w:tcPr>
          <w:p w14:paraId="1DDF8352" w14:textId="77777777" w:rsidR="00286F7D" w:rsidRPr="00286F7D" w:rsidRDefault="00286F7D" w:rsidP="00286F7D">
            <w:pPr>
              <w:pStyle w:val="Zkladntext"/>
              <w:rPr>
                <w:rFonts w:ascii="Arial" w:hAnsi="Arial" w:cs="Arial"/>
              </w:rPr>
            </w:pPr>
          </w:p>
        </w:tc>
      </w:tr>
    </w:tbl>
    <w:p w14:paraId="5E388303" w14:textId="77777777" w:rsidR="00286F7D" w:rsidRPr="00286F7D" w:rsidRDefault="00286F7D" w:rsidP="00286F7D">
      <w:pPr>
        <w:autoSpaceDE w:val="0"/>
        <w:autoSpaceDN w:val="0"/>
        <w:adjustRightInd w:val="0"/>
        <w:rPr>
          <w:rFonts w:ascii="Arial" w:hAnsi="Arial" w:cs="Arial"/>
          <w:sz w:val="20"/>
        </w:rPr>
      </w:pPr>
    </w:p>
    <w:p w14:paraId="3906EB6C" w14:textId="77777777" w:rsidR="00286F7D" w:rsidRPr="00286F7D" w:rsidRDefault="00286F7D" w:rsidP="00286F7D">
      <w:pPr>
        <w:tabs>
          <w:tab w:val="decimal" w:pos="72"/>
          <w:tab w:val="decimal" w:pos="144"/>
          <w:tab w:val="right" w:pos="2679"/>
        </w:tabs>
        <w:spacing w:before="120" w:line="288" w:lineRule="auto"/>
        <w:ind w:left="72"/>
        <w:jc w:val="both"/>
        <w:rPr>
          <w:rFonts w:ascii="Arial" w:hAnsi="Arial" w:cs="Arial"/>
          <w:b/>
          <w:color w:val="00B050"/>
          <w:spacing w:val="3"/>
        </w:rPr>
      </w:pPr>
      <w:r w:rsidRPr="00286F7D">
        <w:rPr>
          <w:rFonts w:ascii="Arial" w:hAnsi="Arial" w:cs="Arial"/>
          <w:color w:val="00B050"/>
          <w:sz w:val="22"/>
          <w:szCs w:val="22"/>
        </w:rPr>
        <w:br w:type="page"/>
      </w:r>
      <w:r w:rsidRPr="00286F7D">
        <w:rPr>
          <w:rFonts w:ascii="Arial" w:hAnsi="Arial" w:cs="Arial"/>
          <w:b/>
          <w:color w:val="00B050"/>
        </w:rPr>
        <w:lastRenderedPageBreak/>
        <w:t xml:space="preserve">(Z1) </w:t>
      </w:r>
      <w:r w:rsidRPr="00286F7D">
        <w:rPr>
          <w:rFonts w:ascii="Arial" w:hAnsi="Arial" w:cs="Arial"/>
          <w:b/>
          <w:color w:val="00B050"/>
          <w:spacing w:val="3"/>
        </w:rPr>
        <w:t>NÁVRH ŘEŠENÍ POŽADAVKÚ CIVILNÍ OCHRANY</w:t>
      </w:r>
    </w:p>
    <w:p w14:paraId="59826633" w14:textId="77777777" w:rsidR="00286F7D" w:rsidRPr="00286F7D" w:rsidRDefault="00286F7D" w:rsidP="00286F7D">
      <w:pPr>
        <w:tabs>
          <w:tab w:val="decimal" w:pos="72"/>
          <w:tab w:val="decimal" w:pos="144"/>
          <w:tab w:val="right" w:pos="2679"/>
        </w:tabs>
        <w:spacing w:before="120" w:line="288" w:lineRule="auto"/>
        <w:ind w:firstLine="284"/>
        <w:jc w:val="both"/>
        <w:rPr>
          <w:rFonts w:ascii="Arial" w:hAnsi="Arial" w:cs="Arial"/>
          <w:color w:val="00B050"/>
          <w:spacing w:val="3"/>
          <w:sz w:val="22"/>
          <w:szCs w:val="22"/>
        </w:rPr>
      </w:pPr>
      <w:r w:rsidRPr="00286F7D">
        <w:rPr>
          <w:rFonts w:ascii="Arial" w:hAnsi="Arial" w:cs="Arial"/>
          <w:color w:val="00B050"/>
          <w:spacing w:val="3"/>
          <w:sz w:val="22"/>
          <w:szCs w:val="22"/>
        </w:rPr>
        <w:t>V řešeném území 1. změny ÚPn nejsou žádné jmenovité zdroje rizik od škodlivin v svislosti s výrobou nebo jinými provozy.</w:t>
      </w:r>
    </w:p>
    <w:p w14:paraId="7A9795CE" w14:textId="77777777" w:rsidR="00286F7D" w:rsidRPr="00286F7D" w:rsidRDefault="00286F7D" w:rsidP="00286F7D">
      <w:pPr>
        <w:tabs>
          <w:tab w:val="decimal" w:pos="72"/>
          <w:tab w:val="decimal" w:pos="144"/>
          <w:tab w:val="right" w:pos="2679"/>
        </w:tabs>
        <w:spacing w:before="120" w:line="288" w:lineRule="auto"/>
        <w:ind w:firstLine="284"/>
        <w:jc w:val="both"/>
        <w:rPr>
          <w:rFonts w:ascii="Arial" w:hAnsi="Arial" w:cs="Arial"/>
          <w:color w:val="00B050"/>
          <w:spacing w:val="3"/>
          <w:sz w:val="22"/>
          <w:szCs w:val="22"/>
        </w:rPr>
      </w:pPr>
      <w:r w:rsidRPr="00286F7D">
        <w:rPr>
          <w:rFonts w:ascii="Arial" w:hAnsi="Arial" w:cs="Arial"/>
          <w:color w:val="00B050"/>
          <w:spacing w:val="3"/>
          <w:sz w:val="22"/>
          <w:szCs w:val="22"/>
        </w:rPr>
        <w:t>V řešeném území 1. změny ÚPn se nepředpokládá přeprava nebezpečných látek.</w:t>
      </w:r>
    </w:p>
    <w:p w14:paraId="245AF387" w14:textId="77777777" w:rsidR="00286F7D" w:rsidRPr="00286F7D" w:rsidRDefault="00286F7D" w:rsidP="00286F7D">
      <w:pPr>
        <w:tabs>
          <w:tab w:val="decimal" w:pos="72"/>
          <w:tab w:val="decimal" w:pos="144"/>
          <w:tab w:val="right" w:pos="2679"/>
        </w:tabs>
        <w:spacing w:before="120" w:line="288" w:lineRule="auto"/>
        <w:ind w:firstLine="284"/>
        <w:jc w:val="both"/>
        <w:rPr>
          <w:rFonts w:ascii="Arial" w:hAnsi="Arial" w:cs="Arial"/>
          <w:color w:val="00B050"/>
          <w:spacing w:val="3"/>
          <w:sz w:val="22"/>
          <w:szCs w:val="22"/>
        </w:rPr>
      </w:pPr>
      <w:r w:rsidRPr="00286F7D">
        <w:rPr>
          <w:rFonts w:ascii="Arial" w:hAnsi="Arial" w:cs="Arial"/>
          <w:color w:val="00B050"/>
          <w:spacing w:val="3"/>
          <w:sz w:val="22"/>
          <w:szCs w:val="22"/>
        </w:rPr>
        <w:t>Z tohoto důvodu není nutno vymezovat nebezpečné zóny</w:t>
      </w:r>
    </w:p>
    <w:p w14:paraId="503D46E7" w14:textId="77777777" w:rsidR="00286F7D" w:rsidRPr="00286F7D" w:rsidRDefault="00286F7D" w:rsidP="00286F7D">
      <w:pPr>
        <w:tabs>
          <w:tab w:val="decimal" w:pos="72"/>
          <w:tab w:val="decimal" w:pos="144"/>
          <w:tab w:val="right" w:pos="2679"/>
        </w:tabs>
        <w:spacing w:before="120" w:line="288" w:lineRule="auto"/>
        <w:ind w:firstLine="284"/>
        <w:jc w:val="both"/>
        <w:rPr>
          <w:rFonts w:ascii="Arial" w:hAnsi="Arial" w:cs="Arial"/>
          <w:color w:val="00B050"/>
          <w:spacing w:val="3"/>
          <w:sz w:val="22"/>
          <w:szCs w:val="22"/>
        </w:rPr>
      </w:pPr>
      <w:r w:rsidRPr="00286F7D">
        <w:rPr>
          <w:rFonts w:ascii="Arial" w:hAnsi="Arial" w:cs="Arial"/>
          <w:color w:val="00B050"/>
          <w:spacing w:val="3"/>
          <w:sz w:val="22"/>
          <w:szCs w:val="22"/>
        </w:rPr>
        <w:t>V řešeném území 1. změny ÚPn neexistují větší zásobníky propan-butanu a čerpací stanice LPG. Z těchto důvodů nejsou vymezeny žádné nebezpečné zóny.</w:t>
      </w:r>
    </w:p>
    <w:p w14:paraId="59D5E2FC" w14:textId="77777777" w:rsidR="00286F7D" w:rsidRPr="00286F7D" w:rsidRDefault="00286F7D" w:rsidP="00286F7D">
      <w:pPr>
        <w:tabs>
          <w:tab w:val="decimal" w:pos="72"/>
          <w:tab w:val="decimal" w:pos="144"/>
          <w:tab w:val="right" w:pos="2679"/>
        </w:tabs>
        <w:spacing w:before="120" w:line="288" w:lineRule="auto"/>
        <w:ind w:firstLine="284"/>
        <w:jc w:val="both"/>
        <w:rPr>
          <w:rFonts w:ascii="Arial" w:hAnsi="Arial" w:cs="Arial"/>
          <w:color w:val="00B050"/>
          <w:spacing w:val="3"/>
          <w:sz w:val="22"/>
          <w:szCs w:val="22"/>
        </w:rPr>
      </w:pPr>
      <w:r w:rsidRPr="00286F7D">
        <w:rPr>
          <w:rFonts w:ascii="Arial" w:hAnsi="Arial" w:cs="Arial"/>
          <w:color w:val="00B050"/>
          <w:spacing w:val="3"/>
          <w:sz w:val="22"/>
          <w:szCs w:val="22"/>
        </w:rPr>
        <w:t>Město má zpracovaný „Povodňový plán“. Součástí grafické části dokumentace ÚPn O (vyhodnocení důsledků navrhovaného řešení na ZPF) je zákres záplavového území.</w:t>
      </w:r>
    </w:p>
    <w:p w14:paraId="7D71B9EE" w14:textId="77777777" w:rsidR="00286F7D" w:rsidRPr="00286F7D" w:rsidRDefault="00286F7D" w:rsidP="00286F7D">
      <w:pPr>
        <w:tabs>
          <w:tab w:val="decimal" w:pos="72"/>
          <w:tab w:val="decimal" w:pos="144"/>
          <w:tab w:val="right" w:pos="2679"/>
        </w:tabs>
        <w:spacing w:before="120" w:line="288" w:lineRule="auto"/>
        <w:ind w:firstLine="284"/>
        <w:jc w:val="both"/>
        <w:rPr>
          <w:rFonts w:ascii="Arial" w:hAnsi="Arial" w:cs="Arial"/>
          <w:color w:val="00B050"/>
          <w:spacing w:val="3"/>
          <w:sz w:val="22"/>
          <w:szCs w:val="22"/>
        </w:rPr>
      </w:pPr>
      <w:r w:rsidRPr="00286F7D">
        <w:rPr>
          <w:rFonts w:ascii="Arial" w:hAnsi="Arial" w:cs="Arial"/>
          <w:color w:val="00B050"/>
          <w:spacing w:val="3"/>
          <w:sz w:val="22"/>
          <w:szCs w:val="22"/>
        </w:rPr>
        <w:t>Q</w:t>
      </w:r>
      <w:r w:rsidRPr="00286F7D">
        <w:rPr>
          <w:rFonts w:ascii="Arial" w:hAnsi="Arial" w:cs="Arial"/>
          <w:color w:val="00B050"/>
          <w:spacing w:val="3"/>
          <w:sz w:val="22"/>
          <w:szCs w:val="22"/>
          <w:vertAlign w:val="subscript"/>
        </w:rPr>
        <w:t>l00</w:t>
      </w:r>
      <w:r w:rsidRPr="00286F7D">
        <w:rPr>
          <w:rFonts w:ascii="Arial" w:hAnsi="Arial" w:cs="Arial"/>
          <w:color w:val="00B050"/>
          <w:spacing w:val="3"/>
          <w:sz w:val="22"/>
          <w:szCs w:val="22"/>
        </w:rPr>
        <w:t>. V záplavovém území je z navrhovaných lokalit pouze lokalita č. 9 přestavbové území.</w:t>
      </w:r>
    </w:p>
    <w:p w14:paraId="0EF6DE3E" w14:textId="77777777" w:rsidR="00286F7D" w:rsidRPr="00286F7D" w:rsidRDefault="00286F7D" w:rsidP="00286F7D">
      <w:pPr>
        <w:tabs>
          <w:tab w:val="decimal" w:pos="72"/>
          <w:tab w:val="decimal" w:pos="144"/>
          <w:tab w:val="right" w:pos="2679"/>
        </w:tabs>
        <w:spacing w:before="120" w:line="288" w:lineRule="auto"/>
        <w:ind w:firstLine="284"/>
        <w:jc w:val="both"/>
        <w:rPr>
          <w:rFonts w:ascii="Arial" w:hAnsi="Arial" w:cs="Arial"/>
          <w:color w:val="00B050"/>
          <w:spacing w:val="3"/>
          <w:sz w:val="22"/>
          <w:szCs w:val="22"/>
        </w:rPr>
      </w:pPr>
      <w:r w:rsidRPr="00286F7D">
        <w:rPr>
          <w:rFonts w:ascii="Arial" w:hAnsi="Arial" w:cs="Arial"/>
          <w:color w:val="00B050"/>
          <w:spacing w:val="3"/>
          <w:sz w:val="22"/>
          <w:szCs w:val="22"/>
        </w:rPr>
        <w:t>Ve všech nových lokalitách (vyjma lokality č. 6 - vlastní zdroj) plní veřejný vodovod funkcí požárního vodovodu.</w:t>
      </w:r>
    </w:p>
    <w:p w14:paraId="2FB8B0E3" w14:textId="77777777" w:rsidR="00286F7D" w:rsidRPr="00286F7D" w:rsidRDefault="00286F7D" w:rsidP="00286F7D">
      <w:pPr>
        <w:autoSpaceDE w:val="0"/>
        <w:autoSpaceDN w:val="0"/>
        <w:adjustRightInd w:val="0"/>
        <w:spacing w:before="120" w:line="288" w:lineRule="auto"/>
        <w:jc w:val="both"/>
        <w:rPr>
          <w:rFonts w:ascii="Arial" w:hAnsi="Arial" w:cs="Arial"/>
          <w:color w:val="BF8F00"/>
          <w:sz w:val="22"/>
          <w:szCs w:val="22"/>
        </w:rPr>
      </w:pPr>
    </w:p>
    <w:p w14:paraId="5B66CF6D" w14:textId="77777777" w:rsidR="00286F7D" w:rsidRPr="00286F7D" w:rsidRDefault="00286F7D" w:rsidP="00286F7D">
      <w:pPr>
        <w:autoSpaceDE w:val="0"/>
        <w:autoSpaceDN w:val="0"/>
        <w:adjustRightInd w:val="0"/>
        <w:spacing w:before="120" w:line="288" w:lineRule="auto"/>
        <w:jc w:val="both"/>
        <w:rPr>
          <w:rFonts w:ascii="Arial" w:hAnsi="Arial" w:cs="Arial"/>
          <w:b/>
          <w:color w:val="AC7F00"/>
        </w:rPr>
      </w:pPr>
      <w:r w:rsidRPr="00286F7D">
        <w:rPr>
          <w:rFonts w:ascii="Arial" w:hAnsi="Arial" w:cs="Arial"/>
          <w:b/>
          <w:color w:val="AC7F00"/>
        </w:rPr>
        <w:t>(Z2) ZMĚNA Č. 2 NENÍ V KAPITOLE ZASTOUPENA.</w:t>
      </w:r>
    </w:p>
    <w:p w14:paraId="12307612" w14:textId="77777777" w:rsidR="00286F7D" w:rsidRPr="00286F7D" w:rsidRDefault="00286F7D" w:rsidP="00286F7D">
      <w:pPr>
        <w:autoSpaceDE w:val="0"/>
        <w:autoSpaceDN w:val="0"/>
        <w:adjustRightInd w:val="0"/>
        <w:spacing w:before="120" w:line="288" w:lineRule="auto"/>
        <w:jc w:val="both"/>
        <w:rPr>
          <w:rFonts w:ascii="Arial" w:hAnsi="Arial" w:cs="Arial"/>
          <w:color w:val="BF8F00"/>
          <w:sz w:val="22"/>
          <w:szCs w:val="22"/>
        </w:rPr>
      </w:pPr>
    </w:p>
    <w:p w14:paraId="682E5279" w14:textId="77777777" w:rsidR="00286F7D" w:rsidRPr="00286F7D" w:rsidRDefault="00286F7D" w:rsidP="00286F7D">
      <w:pPr>
        <w:spacing w:before="120" w:line="288" w:lineRule="auto"/>
        <w:jc w:val="both"/>
        <w:rPr>
          <w:rFonts w:ascii="Arial" w:hAnsi="Arial" w:cs="Arial"/>
          <w:b/>
          <w:color w:val="0066FF"/>
        </w:rPr>
      </w:pPr>
      <w:r w:rsidRPr="00286F7D">
        <w:rPr>
          <w:rFonts w:ascii="Arial" w:hAnsi="Arial" w:cs="Arial"/>
          <w:b/>
          <w:color w:val="0066FF"/>
        </w:rPr>
        <w:t>(Z4) NÁVRH ŘEŠENÍ POŽADAVKÚ CIVILNÍ OCHRANY</w:t>
      </w:r>
    </w:p>
    <w:p w14:paraId="541EE62A" w14:textId="77777777" w:rsidR="00286F7D" w:rsidRPr="00286F7D" w:rsidRDefault="00286F7D" w:rsidP="00286F7D">
      <w:pPr>
        <w:spacing w:before="120" w:line="288" w:lineRule="auto"/>
        <w:ind w:firstLine="284"/>
        <w:jc w:val="both"/>
        <w:rPr>
          <w:rFonts w:ascii="Arial" w:hAnsi="Arial" w:cs="Arial"/>
          <w:color w:val="0066FF"/>
          <w:sz w:val="22"/>
          <w:szCs w:val="22"/>
        </w:rPr>
      </w:pPr>
      <w:r w:rsidRPr="00286F7D">
        <w:rPr>
          <w:rFonts w:ascii="Arial" w:hAnsi="Arial" w:cs="Arial"/>
          <w:color w:val="0066FF"/>
          <w:sz w:val="22"/>
          <w:szCs w:val="22"/>
        </w:rPr>
        <w:t>V řešeném území 4. změny ÚPn M nejsou žádné jmenovité zdroje rizik od škodlivin v svislosti s výrobou nebo jinými provozy.</w:t>
      </w:r>
    </w:p>
    <w:p w14:paraId="4070BCEA" w14:textId="77777777" w:rsidR="00286F7D" w:rsidRPr="00286F7D" w:rsidRDefault="00286F7D" w:rsidP="00286F7D">
      <w:pPr>
        <w:spacing w:before="120" w:line="288" w:lineRule="auto"/>
        <w:ind w:firstLine="284"/>
        <w:jc w:val="both"/>
        <w:rPr>
          <w:rFonts w:ascii="Arial" w:hAnsi="Arial" w:cs="Arial"/>
          <w:color w:val="0066FF"/>
          <w:sz w:val="22"/>
          <w:szCs w:val="22"/>
        </w:rPr>
      </w:pPr>
      <w:r w:rsidRPr="00286F7D">
        <w:rPr>
          <w:rFonts w:ascii="Arial" w:hAnsi="Arial" w:cs="Arial"/>
          <w:color w:val="0066FF"/>
          <w:sz w:val="22"/>
          <w:szCs w:val="22"/>
        </w:rPr>
        <w:t>V řešeném území 4. změny ÚPn M se nepředpokládá přeprava nebezpečných látek.</w:t>
      </w:r>
    </w:p>
    <w:p w14:paraId="400C26D0" w14:textId="77777777" w:rsidR="00286F7D" w:rsidRPr="00286F7D" w:rsidRDefault="00286F7D" w:rsidP="00286F7D">
      <w:pPr>
        <w:spacing w:before="120" w:line="288" w:lineRule="auto"/>
        <w:ind w:firstLine="284"/>
        <w:jc w:val="both"/>
        <w:rPr>
          <w:rFonts w:ascii="Arial" w:hAnsi="Arial" w:cs="Arial"/>
          <w:color w:val="0066FF"/>
          <w:sz w:val="22"/>
          <w:szCs w:val="22"/>
        </w:rPr>
      </w:pPr>
      <w:r w:rsidRPr="00286F7D">
        <w:rPr>
          <w:rFonts w:ascii="Arial" w:hAnsi="Arial" w:cs="Arial"/>
          <w:color w:val="0066FF"/>
          <w:sz w:val="22"/>
          <w:szCs w:val="22"/>
        </w:rPr>
        <w:t>Z tohoto důvodu není nutno vymezovat nebezpečné zóny.</w:t>
      </w:r>
    </w:p>
    <w:p w14:paraId="2D39D02E" w14:textId="77777777" w:rsidR="00286F7D" w:rsidRPr="00286F7D" w:rsidRDefault="00286F7D" w:rsidP="00286F7D">
      <w:pPr>
        <w:spacing w:before="120" w:line="288" w:lineRule="auto"/>
        <w:ind w:firstLine="284"/>
        <w:jc w:val="both"/>
        <w:rPr>
          <w:rFonts w:ascii="Arial" w:hAnsi="Arial" w:cs="Arial"/>
          <w:color w:val="0066FF"/>
          <w:sz w:val="22"/>
          <w:szCs w:val="22"/>
        </w:rPr>
      </w:pPr>
      <w:r w:rsidRPr="00286F7D">
        <w:rPr>
          <w:rFonts w:ascii="Arial" w:hAnsi="Arial" w:cs="Arial"/>
          <w:color w:val="0066FF"/>
          <w:sz w:val="22"/>
          <w:szCs w:val="22"/>
        </w:rPr>
        <w:t>V řešeném území 4. změny ÚPn M neexistují větší zásobníky propan-butanu a čerpací stanice LPG. Z těchto důvodů nejsou vymezeny žádné nebezpečné zóny.</w:t>
      </w:r>
    </w:p>
    <w:p w14:paraId="1DF44DA7" w14:textId="77777777" w:rsidR="00286F7D" w:rsidRPr="00286F7D" w:rsidRDefault="00286F7D" w:rsidP="00286F7D">
      <w:pPr>
        <w:spacing w:before="120" w:line="288" w:lineRule="auto"/>
        <w:ind w:firstLine="284"/>
        <w:jc w:val="both"/>
        <w:rPr>
          <w:rFonts w:ascii="Arial" w:hAnsi="Arial" w:cs="Arial"/>
          <w:color w:val="0066FF"/>
          <w:sz w:val="22"/>
          <w:szCs w:val="22"/>
        </w:rPr>
      </w:pPr>
      <w:r w:rsidRPr="00286F7D">
        <w:rPr>
          <w:rFonts w:ascii="Arial" w:hAnsi="Arial" w:cs="Arial"/>
          <w:color w:val="0066FF"/>
          <w:sz w:val="22"/>
          <w:szCs w:val="22"/>
        </w:rPr>
        <w:t>Lokalita Krásný Studenec je mimo záplavové území.</w:t>
      </w:r>
    </w:p>
    <w:p w14:paraId="4053CA72" w14:textId="77777777" w:rsidR="00286F7D" w:rsidRPr="00286F7D" w:rsidRDefault="00286F7D" w:rsidP="00286F7D">
      <w:pPr>
        <w:spacing w:before="120" w:line="288" w:lineRule="auto"/>
        <w:ind w:firstLine="284"/>
        <w:jc w:val="both"/>
        <w:rPr>
          <w:rFonts w:ascii="Arial" w:hAnsi="Arial" w:cs="Arial"/>
          <w:color w:val="0066FF"/>
          <w:sz w:val="22"/>
          <w:szCs w:val="22"/>
        </w:rPr>
      </w:pPr>
      <w:r w:rsidRPr="00286F7D">
        <w:rPr>
          <w:rFonts w:ascii="Arial" w:hAnsi="Arial" w:cs="Arial"/>
          <w:color w:val="0066FF"/>
          <w:sz w:val="22"/>
          <w:szCs w:val="22"/>
        </w:rPr>
        <w:t>V nové lokalitě plní veřejný vodovod funkci požárního vodovodu.</w:t>
      </w:r>
    </w:p>
    <w:p w14:paraId="698A5BE4" w14:textId="77777777" w:rsidR="00286F7D" w:rsidRPr="00286F7D" w:rsidRDefault="00286F7D" w:rsidP="00286F7D">
      <w:pPr>
        <w:autoSpaceDE w:val="0"/>
        <w:autoSpaceDN w:val="0"/>
        <w:adjustRightInd w:val="0"/>
        <w:spacing w:before="120" w:line="288" w:lineRule="auto"/>
        <w:jc w:val="both"/>
        <w:rPr>
          <w:rFonts w:ascii="Arial" w:hAnsi="Arial" w:cs="Arial"/>
          <w:color w:val="BF8F00"/>
          <w:sz w:val="22"/>
          <w:szCs w:val="22"/>
        </w:rPr>
      </w:pPr>
    </w:p>
    <w:p w14:paraId="7BF429EB" w14:textId="77777777" w:rsidR="00286F7D" w:rsidRPr="00286F7D" w:rsidRDefault="00286F7D" w:rsidP="00286F7D">
      <w:pPr>
        <w:autoSpaceDE w:val="0"/>
        <w:autoSpaceDN w:val="0"/>
        <w:adjustRightInd w:val="0"/>
        <w:spacing w:before="120" w:line="288" w:lineRule="auto"/>
        <w:jc w:val="both"/>
        <w:rPr>
          <w:rFonts w:ascii="Arial" w:hAnsi="Arial" w:cs="Arial"/>
          <w:b/>
          <w:color w:val="D60093"/>
        </w:rPr>
      </w:pPr>
      <w:r w:rsidRPr="00286F7D">
        <w:rPr>
          <w:rFonts w:ascii="Arial" w:hAnsi="Arial" w:cs="Arial"/>
          <w:b/>
          <w:color w:val="D60093"/>
        </w:rPr>
        <w:t>(Z6) ZMĚNA Č. 6 NENÍ V KAPITOLE ZASTOUPENA</w:t>
      </w:r>
    </w:p>
    <w:p w14:paraId="60F91262" w14:textId="77777777" w:rsidR="00286F7D" w:rsidRPr="00286F7D" w:rsidRDefault="00286F7D" w:rsidP="00286F7D">
      <w:pPr>
        <w:autoSpaceDE w:val="0"/>
        <w:autoSpaceDN w:val="0"/>
        <w:adjustRightInd w:val="0"/>
        <w:spacing w:before="120" w:line="288" w:lineRule="auto"/>
        <w:jc w:val="both"/>
        <w:rPr>
          <w:rFonts w:ascii="Arial" w:hAnsi="Arial" w:cs="Arial"/>
          <w:color w:val="D60093"/>
          <w:sz w:val="22"/>
          <w:szCs w:val="22"/>
        </w:rPr>
      </w:pPr>
    </w:p>
    <w:p w14:paraId="4E4316BD" w14:textId="77777777" w:rsidR="00286F7D" w:rsidRPr="00286F7D" w:rsidRDefault="00286F7D" w:rsidP="00286F7D">
      <w:pPr>
        <w:spacing w:before="120" w:line="288" w:lineRule="auto"/>
        <w:jc w:val="both"/>
        <w:rPr>
          <w:rFonts w:ascii="Arial" w:hAnsi="Arial" w:cs="Arial"/>
          <w:b/>
          <w:color w:val="FF0000"/>
        </w:rPr>
      </w:pPr>
      <w:r w:rsidRPr="00286F7D">
        <w:rPr>
          <w:rFonts w:ascii="Arial" w:hAnsi="Arial" w:cs="Arial"/>
          <w:b/>
          <w:color w:val="FF0000"/>
        </w:rPr>
        <w:t xml:space="preserve">(Z8) </w:t>
      </w:r>
      <w:bookmarkStart w:id="45" w:name="_Toc358720180"/>
      <w:r w:rsidRPr="00286F7D">
        <w:rPr>
          <w:rFonts w:ascii="Arial" w:hAnsi="Arial" w:cs="Arial"/>
          <w:b/>
          <w:color w:val="FF0000"/>
        </w:rPr>
        <w:t>OCHRANA ÚZEMÍ PŘED POTENCIÁLNÍMI RIZIKY A PŘÍRODNÍMI KATASTROFAMI</w:t>
      </w:r>
      <w:bookmarkEnd w:id="45"/>
    </w:p>
    <w:p w14:paraId="7ECC2207" w14:textId="77777777" w:rsidR="00286F7D" w:rsidRPr="00286F7D" w:rsidRDefault="00286F7D" w:rsidP="00286F7D">
      <w:pPr>
        <w:spacing w:before="120" w:line="288" w:lineRule="auto"/>
        <w:ind w:firstLine="284"/>
        <w:jc w:val="both"/>
        <w:rPr>
          <w:rFonts w:ascii="Arial" w:hAnsi="Arial" w:cs="Arial"/>
          <w:color w:val="FF0000"/>
          <w:sz w:val="22"/>
          <w:szCs w:val="22"/>
        </w:rPr>
      </w:pPr>
      <w:r w:rsidRPr="00286F7D">
        <w:rPr>
          <w:rFonts w:ascii="Arial" w:hAnsi="Arial" w:cs="Arial"/>
          <w:color w:val="FF0000"/>
          <w:sz w:val="22"/>
          <w:szCs w:val="22"/>
        </w:rPr>
        <w:t>Respektovat zájmy obrany státu a civilní ochrany obyvatelstva a majetku.</w:t>
      </w:r>
    </w:p>
    <w:p w14:paraId="784270C8" w14:textId="77777777" w:rsidR="00286F7D" w:rsidRPr="00286F7D" w:rsidRDefault="00286F7D" w:rsidP="00286F7D">
      <w:pPr>
        <w:spacing w:before="120" w:line="288" w:lineRule="auto"/>
        <w:ind w:firstLine="284"/>
        <w:jc w:val="both"/>
        <w:rPr>
          <w:rFonts w:ascii="Arial" w:hAnsi="Arial" w:cs="Arial"/>
          <w:color w:val="FF0000"/>
          <w:sz w:val="22"/>
          <w:szCs w:val="22"/>
        </w:rPr>
      </w:pPr>
      <w:r w:rsidRPr="00286F7D">
        <w:rPr>
          <w:rFonts w:ascii="Arial" w:hAnsi="Arial" w:cs="Arial"/>
          <w:color w:val="FF0000"/>
          <w:sz w:val="22"/>
          <w:szCs w:val="22"/>
        </w:rPr>
        <w:t>Územně plánovacími nástroji legalizovat opatření pro minimalizaci rozsahu možných materiálních škod a ohrožení obyvatel z působení přírodních sil v území a havarijních situací, vyplývajících z provozu dopravní a technické infrastruktury a průmyslové výroby</w:t>
      </w:r>
    </w:p>
    <w:p w14:paraId="27EDADCE" w14:textId="77777777" w:rsidR="00286F7D" w:rsidRPr="00286F7D" w:rsidRDefault="00286F7D" w:rsidP="00286F7D">
      <w:pPr>
        <w:spacing w:before="120" w:line="288" w:lineRule="auto"/>
        <w:ind w:firstLine="284"/>
        <w:jc w:val="both"/>
        <w:rPr>
          <w:rFonts w:ascii="Arial" w:hAnsi="Arial" w:cs="Arial"/>
          <w:color w:val="FF0000"/>
          <w:sz w:val="22"/>
          <w:szCs w:val="22"/>
        </w:rPr>
      </w:pPr>
      <w:r w:rsidRPr="00286F7D">
        <w:rPr>
          <w:rFonts w:ascii="Arial" w:hAnsi="Arial" w:cs="Arial"/>
          <w:color w:val="FF0000"/>
          <w:sz w:val="22"/>
          <w:szCs w:val="22"/>
        </w:rPr>
        <w:lastRenderedPageBreak/>
        <w:t xml:space="preserve">Zajistit územní ochranu ploch a koridorů potřebných pro umisťování protipovodňových opatření. Vymezovat zastavitelné plochy v záplavových územích jen ve výjimečných a zvlášť odůvodněných případech, chránit zastavitelné plochy pro přemístění zástavby z území, ohrožených záplavami.    </w:t>
      </w:r>
    </w:p>
    <w:p w14:paraId="64318922" w14:textId="77777777" w:rsidR="00286F7D" w:rsidRPr="00286F7D" w:rsidRDefault="00286F7D" w:rsidP="00286F7D">
      <w:pPr>
        <w:spacing w:before="120" w:line="288" w:lineRule="auto"/>
        <w:ind w:firstLine="284"/>
        <w:jc w:val="both"/>
        <w:rPr>
          <w:rFonts w:ascii="Arial" w:hAnsi="Arial" w:cs="Arial"/>
          <w:color w:val="FF0000"/>
          <w:sz w:val="22"/>
          <w:szCs w:val="22"/>
        </w:rPr>
      </w:pPr>
      <w:r w:rsidRPr="00286F7D">
        <w:rPr>
          <w:rFonts w:ascii="Arial" w:hAnsi="Arial" w:cs="Arial"/>
          <w:color w:val="FF0000"/>
          <w:sz w:val="22"/>
          <w:szCs w:val="22"/>
        </w:rPr>
        <w:t>Změna ÚP nemá vliv na zájmy obrany státu, nové plochy v záplavových územích vymezuje pouze výjimečně, jako plochy přestavby, za podmínky umístění nad záplavu Q100 , činnost je podmíněna souhlasem s.p. Povodí Labe.</w:t>
      </w:r>
    </w:p>
    <w:p w14:paraId="5B66BA43" w14:textId="77777777" w:rsidR="00286F7D" w:rsidRPr="00286F7D" w:rsidRDefault="00286F7D" w:rsidP="00286F7D">
      <w:pPr>
        <w:tabs>
          <w:tab w:val="left" w:pos="1920"/>
          <w:tab w:val="left" w:pos="2346"/>
          <w:tab w:val="left" w:pos="3840"/>
        </w:tabs>
        <w:autoSpaceDE w:val="0"/>
        <w:rPr>
          <w:rFonts w:ascii="Arial" w:hAnsi="Arial" w:cs="Arial"/>
          <w:b/>
          <w:i/>
        </w:rPr>
      </w:pPr>
    </w:p>
    <w:p w14:paraId="0F047F2C" w14:textId="77777777" w:rsidR="00286F7D" w:rsidRPr="00754FF6" w:rsidRDefault="00754FF6" w:rsidP="00286F7D">
      <w:pPr>
        <w:autoSpaceDE w:val="0"/>
        <w:autoSpaceDN w:val="0"/>
        <w:adjustRightInd w:val="0"/>
        <w:spacing w:before="120" w:line="288" w:lineRule="auto"/>
        <w:jc w:val="both"/>
        <w:rPr>
          <w:rFonts w:ascii="Arial" w:hAnsi="Arial" w:cs="Arial"/>
          <w:b/>
          <w:color w:val="18B8B0"/>
          <w:sz w:val="22"/>
          <w:szCs w:val="22"/>
        </w:rPr>
      </w:pPr>
      <w:r w:rsidRPr="00FF2F84">
        <w:rPr>
          <w:rFonts w:ascii="Arial" w:hAnsi="Arial" w:cs="Arial"/>
          <w:b/>
          <w:color w:val="18B8B0"/>
        </w:rPr>
        <w:t>(Z12) ZMĚNA Č. 12 NENÍ V KAPITOLE ZASTOUPENA</w:t>
      </w:r>
    </w:p>
    <w:p w14:paraId="3A8F84DD" w14:textId="77777777" w:rsidR="000968B5" w:rsidRPr="00286F7D" w:rsidRDefault="000968B5" w:rsidP="00CA23D0">
      <w:pPr>
        <w:jc w:val="both"/>
        <w:rPr>
          <w:rFonts w:ascii="Arial" w:hAnsi="Arial" w:cs="Arial"/>
          <w:sz w:val="22"/>
        </w:rPr>
      </w:pPr>
    </w:p>
    <w:p w14:paraId="2EE8EFDF" w14:textId="77777777" w:rsidR="000968B5" w:rsidRDefault="000968B5" w:rsidP="00CA23D0">
      <w:pPr>
        <w:jc w:val="both"/>
        <w:rPr>
          <w:rFonts w:ascii="Arial" w:hAnsi="Arial" w:cs="Arial"/>
          <w:sz w:val="22"/>
        </w:rPr>
      </w:pPr>
    </w:p>
    <w:p w14:paraId="394712D5" w14:textId="77777777" w:rsidR="000968B5" w:rsidRDefault="000968B5" w:rsidP="00CA23D0">
      <w:pPr>
        <w:jc w:val="both"/>
        <w:rPr>
          <w:rFonts w:ascii="Arial" w:hAnsi="Arial" w:cs="Arial"/>
          <w:sz w:val="22"/>
        </w:rPr>
      </w:pPr>
    </w:p>
    <w:p w14:paraId="76AA4087" w14:textId="77777777" w:rsidR="00154834" w:rsidRDefault="00154834" w:rsidP="00CA23D0">
      <w:pPr>
        <w:jc w:val="both"/>
        <w:rPr>
          <w:rFonts w:ascii="Arial" w:hAnsi="Arial" w:cs="Arial"/>
          <w:sz w:val="22"/>
        </w:rPr>
      </w:pPr>
    </w:p>
    <w:p w14:paraId="7C7A825C" w14:textId="77777777" w:rsidR="00154834" w:rsidRDefault="00154834" w:rsidP="00CA23D0">
      <w:pPr>
        <w:jc w:val="both"/>
        <w:rPr>
          <w:rFonts w:ascii="Arial" w:hAnsi="Arial" w:cs="Arial"/>
          <w:sz w:val="22"/>
        </w:rPr>
      </w:pPr>
    </w:p>
    <w:p w14:paraId="02E8056D" w14:textId="77777777" w:rsidR="00154834" w:rsidRDefault="00154834" w:rsidP="00CA23D0">
      <w:pPr>
        <w:jc w:val="both"/>
        <w:rPr>
          <w:rFonts w:ascii="Arial" w:hAnsi="Arial" w:cs="Arial"/>
          <w:sz w:val="22"/>
        </w:rPr>
      </w:pPr>
    </w:p>
    <w:p w14:paraId="1A24DFC5" w14:textId="77777777" w:rsidR="00154834" w:rsidRDefault="00154834" w:rsidP="00CA23D0">
      <w:pPr>
        <w:jc w:val="both"/>
        <w:rPr>
          <w:rFonts w:ascii="Arial" w:hAnsi="Arial" w:cs="Arial"/>
          <w:sz w:val="22"/>
        </w:rPr>
      </w:pPr>
    </w:p>
    <w:p w14:paraId="13A952C0" w14:textId="77777777" w:rsidR="00154834" w:rsidRDefault="00154834" w:rsidP="00CA23D0">
      <w:pPr>
        <w:jc w:val="both"/>
        <w:rPr>
          <w:rFonts w:ascii="Arial" w:hAnsi="Arial" w:cs="Arial"/>
          <w:sz w:val="22"/>
        </w:rPr>
      </w:pPr>
    </w:p>
    <w:p w14:paraId="61D8537C" w14:textId="77777777" w:rsidR="00154834" w:rsidRDefault="00154834" w:rsidP="00CA23D0">
      <w:pPr>
        <w:jc w:val="both"/>
        <w:rPr>
          <w:rFonts w:ascii="Arial" w:hAnsi="Arial" w:cs="Arial"/>
          <w:sz w:val="22"/>
        </w:rPr>
      </w:pPr>
    </w:p>
    <w:p w14:paraId="43079DAE" w14:textId="77777777" w:rsidR="00154834" w:rsidRDefault="00154834" w:rsidP="00CA23D0">
      <w:pPr>
        <w:jc w:val="both"/>
        <w:rPr>
          <w:rFonts w:ascii="Arial" w:hAnsi="Arial" w:cs="Arial"/>
          <w:sz w:val="22"/>
        </w:rPr>
      </w:pPr>
    </w:p>
    <w:p w14:paraId="1638E9B1" w14:textId="77777777" w:rsidR="00154834" w:rsidRDefault="00154834" w:rsidP="00CA23D0">
      <w:pPr>
        <w:jc w:val="both"/>
        <w:rPr>
          <w:rFonts w:ascii="Arial" w:hAnsi="Arial" w:cs="Arial"/>
          <w:sz w:val="22"/>
        </w:rPr>
      </w:pPr>
    </w:p>
    <w:p w14:paraId="2069D7BC" w14:textId="77777777" w:rsidR="00154834" w:rsidRDefault="00154834" w:rsidP="00CA23D0">
      <w:pPr>
        <w:jc w:val="both"/>
        <w:rPr>
          <w:rFonts w:ascii="Arial" w:hAnsi="Arial" w:cs="Arial"/>
          <w:sz w:val="22"/>
        </w:rPr>
      </w:pPr>
    </w:p>
    <w:p w14:paraId="17861620" w14:textId="77777777" w:rsidR="00154834" w:rsidRDefault="00154834" w:rsidP="00CA23D0">
      <w:pPr>
        <w:jc w:val="both"/>
        <w:rPr>
          <w:rFonts w:ascii="Arial" w:hAnsi="Arial" w:cs="Arial"/>
          <w:sz w:val="22"/>
        </w:rPr>
      </w:pPr>
    </w:p>
    <w:p w14:paraId="0E0B8067" w14:textId="77777777" w:rsidR="00154834" w:rsidRDefault="00154834" w:rsidP="00CA23D0">
      <w:pPr>
        <w:jc w:val="both"/>
        <w:rPr>
          <w:rFonts w:ascii="Arial" w:hAnsi="Arial" w:cs="Arial"/>
          <w:sz w:val="22"/>
        </w:rPr>
      </w:pPr>
    </w:p>
    <w:p w14:paraId="6A499A6D" w14:textId="77777777" w:rsidR="00154834" w:rsidRDefault="00154834" w:rsidP="00CA23D0">
      <w:pPr>
        <w:jc w:val="both"/>
        <w:rPr>
          <w:rFonts w:ascii="Arial" w:hAnsi="Arial" w:cs="Arial"/>
          <w:sz w:val="22"/>
        </w:rPr>
      </w:pPr>
    </w:p>
    <w:p w14:paraId="24B62B7B" w14:textId="77777777" w:rsidR="00154834" w:rsidRDefault="00154834" w:rsidP="00CA23D0">
      <w:pPr>
        <w:jc w:val="both"/>
        <w:rPr>
          <w:rFonts w:ascii="Arial" w:hAnsi="Arial" w:cs="Arial"/>
          <w:sz w:val="22"/>
        </w:rPr>
      </w:pPr>
    </w:p>
    <w:p w14:paraId="7BAEC607" w14:textId="77777777" w:rsidR="00154834" w:rsidRDefault="00154834" w:rsidP="00CA23D0">
      <w:pPr>
        <w:jc w:val="both"/>
        <w:rPr>
          <w:rFonts w:ascii="Arial" w:hAnsi="Arial" w:cs="Arial"/>
          <w:sz w:val="22"/>
        </w:rPr>
      </w:pPr>
    </w:p>
    <w:p w14:paraId="7AEFEB28" w14:textId="77777777" w:rsidR="00154834" w:rsidRDefault="00154834" w:rsidP="00CA23D0">
      <w:pPr>
        <w:jc w:val="both"/>
        <w:rPr>
          <w:rFonts w:ascii="Arial" w:hAnsi="Arial" w:cs="Arial"/>
          <w:sz w:val="22"/>
        </w:rPr>
      </w:pPr>
    </w:p>
    <w:p w14:paraId="611D5E08" w14:textId="77777777" w:rsidR="00154834" w:rsidRDefault="00154834" w:rsidP="00CA23D0">
      <w:pPr>
        <w:jc w:val="both"/>
        <w:rPr>
          <w:rFonts w:ascii="Arial" w:hAnsi="Arial" w:cs="Arial"/>
          <w:sz w:val="22"/>
        </w:rPr>
      </w:pPr>
    </w:p>
    <w:p w14:paraId="3EAD4687" w14:textId="77777777" w:rsidR="00154834" w:rsidRDefault="00154834" w:rsidP="00CA23D0">
      <w:pPr>
        <w:jc w:val="both"/>
        <w:rPr>
          <w:rFonts w:ascii="Arial" w:hAnsi="Arial" w:cs="Arial"/>
          <w:sz w:val="22"/>
        </w:rPr>
      </w:pPr>
    </w:p>
    <w:p w14:paraId="187778EB" w14:textId="77777777" w:rsidR="00154834" w:rsidRDefault="00154834" w:rsidP="00CA23D0">
      <w:pPr>
        <w:jc w:val="both"/>
        <w:rPr>
          <w:rFonts w:ascii="Arial" w:hAnsi="Arial" w:cs="Arial"/>
          <w:sz w:val="22"/>
        </w:rPr>
      </w:pPr>
    </w:p>
    <w:p w14:paraId="3A669AF9" w14:textId="77777777" w:rsidR="00154834" w:rsidRDefault="00154834" w:rsidP="00CA23D0">
      <w:pPr>
        <w:jc w:val="both"/>
        <w:rPr>
          <w:rFonts w:ascii="Arial" w:hAnsi="Arial" w:cs="Arial"/>
          <w:sz w:val="22"/>
        </w:rPr>
      </w:pPr>
    </w:p>
    <w:p w14:paraId="0D5426DD" w14:textId="77777777" w:rsidR="00154834" w:rsidRDefault="00154834" w:rsidP="00CA23D0">
      <w:pPr>
        <w:jc w:val="both"/>
        <w:rPr>
          <w:rFonts w:ascii="Arial" w:hAnsi="Arial" w:cs="Arial"/>
          <w:sz w:val="22"/>
        </w:rPr>
      </w:pPr>
    </w:p>
    <w:p w14:paraId="7063AF0B" w14:textId="77777777" w:rsidR="00154834" w:rsidRDefault="00154834" w:rsidP="00CA23D0">
      <w:pPr>
        <w:jc w:val="both"/>
        <w:rPr>
          <w:rFonts w:ascii="Arial" w:hAnsi="Arial" w:cs="Arial"/>
          <w:sz w:val="22"/>
        </w:rPr>
      </w:pPr>
    </w:p>
    <w:p w14:paraId="3B3F3321" w14:textId="77777777" w:rsidR="00154834" w:rsidRDefault="00154834" w:rsidP="00CA23D0">
      <w:pPr>
        <w:jc w:val="both"/>
        <w:rPr>
          <w:rFonts w:ascii="Arial" w:hAnsi="Arial" w:cs="Arial"/>
          <w:sz w:val="22"/>
        </w:rPr>
      </w:pPr>
    </w:p>
    <w:p w14:paraId="029955D4" w14:textId="77777777" w:rsidR="00154834" w:rsidRDefault="00154834" w:rsidP="00CA23D0">
      <w:pPr>
        <w:jc w:val="both"/>
        <w:rPr>
          <w:rFonts w:ascii="Arial" w:hAnsi="Arial" w:cs="Arial"/>
          <w:sz w:val="22"/>
        </w:rPr>
      </w:pPr>
    </w:p>
    <w:p w14:paraId="4F7E5B84" w14:textId="77777777" w:rsidR="00154834" w:rsidRDefault="00154834" w:rsidP="00CA23D0">
      <w:pPr>
        <w:jc w:val="both"/>
        <w:rPr>
          <w:rFonts w:ascii="Arial" w:hAnsi="Arial" w:cs="Arial"/>
          <w:sz w:val="22"/>
        </w:rPr>
      </w:pPr>
    </w:p>
    <w:p w14:paraId="3D89A4F5" w14:textId="77777777" w:rsidR="00154834" w:rsidRDefault="00154834" w:rsidP="00CA23D0">
      <w:pPr>
        <w:jc w:val="both"/>
        <w:rPr>
          <w:rFonts w:ascii="Arial" w:hAnsi="Arial" w:cs="Arial"/>
          <w:sz w:val="22"/>
        </w:rPr>
      </w:pPr>
    </w:p>
    <w:p w14:paraId="648A18DA" w14:textId="77777777" w:rsidR="00154834" w:rsidRDefault="00154834" w:rsidP="00CA23D0">
      <w:pPr>
        <w:jc w:val="both"/>
        <w:rPr>
          <w:rFonts w:ascii="Arial" w:hAnsi="Arial" w:cs="Arial"/>
          <w:sz w:val="22"/>
        </w:rPr>
      </w:pPr>
    </w:p>
    <w:p w14:paraId="20E858D6" w14:textId="77777777" w:rsidR="00154834" w:rsidRDefault="00154834" w:rsidP="00CA23D0">
      <w:pPr>
        <w:jc w:val="both"/>
        <w:rPr>
          <w:rFonts w:ascii="Arial" w:hAnsi="Arial" w:cs="Arial"/>
          <w:sz w:val="22"/>
        </w:rPr>
      </w:pPr>
    </w:p>
    <w:p w14:paraId="0CA4C3F7" w14:textId="77777777" w:rsidR="00154834" w:rsidRDefault="00154834" w:rsidP="00CA23D0">
      <w:pPr>
        <w:jc w:val="both"/>
        <w:rPr>
          <w:rFonts w:ascii="Arial" w:hAnsi="Arial" w:cs="Arial"/>
          <w:sz w:val="22"/>
        </w:rPr>
      </w:pPr>
    </w:p>
    <w:p w14:paraId="27FE9361" w14:textId="77777777" w:rsidR="00154834" w:rsidRDefault="00154834" w:rsidP="00CA23D0">
      <w:pPr>
        <w:jc w:val="both"/>
        <w:rPr>
          <w:rFonts w:ascii="Arial" w:hAnsi="Arial" w:cs="Arial"/>
          <w:sz w:val="22"/>
        </w:rPr>
      </w:pPr>
    </w:p>
    <w:p w14:paraId="6C68B000" w14:textId="77777777" w:rsidR="00154834" w:rsidRDefault="00154834" w:rsidP="00CA23D0">
      <w:pPr>
        <w:jc w:val="both"/>
        <w:rPr>
          <w:rFonts w:ascii="Arial" w:hAnsi="Arial" w:cs="Arial"/>
          <w:sz w:val="22"/>
        </w:rPr>
      </w:pPr>
    </w:p>
    <w:p w14:paraId="0734DFF2" w14:textId="77777777" w:rsidR="00154834" w:rsidRDefault="00154834" w:rsidP="00CA23D0">
      <w:pPr>
        <w:jc w:val="both"/>
        <w:rPr>
          <w:rFonts w:ascii="Arial" w:hAnsi="Arial" w:cs="Arial"/>
          <w:sz w:val="22"/>
        </w:rPr>
      </w:pPr>
    </w:p>
    <w:p w14:paraId="128008C7" w14:textId="77777777" w:rsidR="00154834" w:rsidRDefault="00154834" w:rsidP="00CA23D0">
      <w:pPr>
        <w:jc w:val="both"/>
        <w:rPr>
          <w:rFonts w:ascii="Arial" w:hAnsi="Arial" w:cs="Arial"/>
          <w:sz w:val="22"/>
        </w:rPr>
      </w:pPr>
    </w:p>
    <w:p w14:paraId="54DD872B" w14:textId="77777777" w:rsidR="00154834" w:rsidRDefault="00154834" w:rsidP="00CA23D0">
      <w:pPr>
        <w:jc w:val="both"/>
        <w:rPr>
          <w:rFonts w:ascii="Arial" w:hAnsi="Arial" w:cs="Arial"/>
          <w:sz w:val="22"/>
        </w:rPr>
      </w:pPr>
    </w:p>
    <w:p w14:paraId="51976465" w14:textId="77777777" w:rsidR="00154834" w:rsidRDefault="00154834" w:rsidP="00CA23D0">
      <w:pPr>
        <w:jc w:val="both"/>
        <w:rPr>
          <w:rFonts w:ascii="Arial" w:hAnsi="Arial" w:cs="Arial"/>
          <w:sz w:val="22"/>
        </w:rPr>
      </w:pPr>
    </w:p>
    <w:p w14:paraId="37F3667C" w14:textId="77777777" w:rsidR="00154834" w:rsidRDefault="00154834" w:rsidP="00CA23D0">
      <w:pPr>
        <w:jc w:val="both"/>
        <w:rPr>
          <w:rFonts w:ascii="Arial" w:hAnsi="Arial" w:cs="Arial"/>
          <w:sz w:val="22"/>
        </w:rPr>
      </w:pPr>
    </w:p>
    <w:p w14:paraId="0FAF7D30" w14:textId="77777777" w:rsidR="00154834" w:rsidRDefault="00154834" w:rsidP="00CA23D0">
      <w:pPr>
        <w:jc w:val="both"/>
        <w:rPr>
          <w:rFonts w:ascii="Arial" w:hAnsi="Arial" w:cs="Arial"/>
          <w:sz w:val="22"/>
        </w:rPr>
      </w:pPr>
    </w:p>
    <w:p w14:paraId="5A62619E" w14:textId="77777777" w:rsidR="00EF1DD2" w:rsidRPr="00EC5881" w:rsidRDefault="008618E2" w:rsidP="00EF1DD2">
      <w:pPr>
        <w:pStyle w:val="Nadpis"/>
        <w:jc w:val="both"/>
        <w:rPr>
          <w:sz w:val="40"/>
          <w:szCs w:val="48"/>
        </w:rPr>
      </w:pPr>
      <w:r w:rsidRPr="00EC5881">
        <w:rPr>
          <w:sz w:val="40"/>
          <w:szCs w:val="48"/>
        </w:rPr>
        <w:lastRenderedPageBreak/>
        <w:t xml:space="preserve">P. ZÁVAZNÁ ČÁST </w:t>
      </w:r>
    </w:p>
    <w:p w14:paraId="0B47D9AC" w14:textId="77777777" w:rsidR="00EF1DD2" w:rsidRPr="00EC5881" w:rsidRDefault="008618E2" w:rsidP="00EF1DD2">
      <w:pPr>
        <w:pStyle w:val="Nadpis"/>
        <w:jc w:val="both"/>
        <w:rPr>
          <w:sz w:val="36"/>
        </w:rPr>
      </w:pPr>
      <w:r w:rsidRPr="00EC5881">
        <w:rPr>
          <w:sz w:val="40"/>
          <w:szCs w:val="48"/>
        </w:rPr>
        <w:t>VE FORMĚ REGULATIVŮ</w:t>
      </w:r>
    </w:p>
    <w:p w14:paraId="5E7644D8" w14:textId="77777777" w:rsidR="00EF1DD2" w:rsidRPr="00EC5881" w:rsidRDefault="00EF1DD2" w:rsidP="00EF1DD2">
      <w:pPr>
        <w:pStyle w:val="Zkladntext"/>
        <w:jc w:val="both"/>
        <w:rPr>
          <w:sz w:val="16"/>
        </w:rPr>
      </w:pPr>
    </w:p>
    <w:p w14:paraId="7A3BF67F" w14:textId="77777777" w:rsidR="00EF1DD2" w:rsidRPr="00EC5881" w:rsidRDefault="00EF1DD2" w:rsidP="00EF1DD2">
      <w:pPr>
        <w:pStyle w:val="podnadpis2"/>
        <w:spacing w:before="120" w:after="0" w:line="288" w:lineRule="auto"/>
        <w:jc w:val="both"/>
        <w:rPr>
          <w:rFonts w:cs="Arial"/>
          <w:szCs w:val="32"/>
        </w:rPr>
      </w:pPr>
      <w:r w:rsidRPr="00EC5881">
        <w:rPr>
          <w:rFonts w:cs="Arial"/>
          <w:szCs w:val="32"/>
        </w:rPr>
        <w:t>závazné části územního plánu jsou:</w:t>
      </w:r>
    </w:p>
    <w:p w14:paraId="696C52C8" w14:textId="77777777" w:rsidR="00EF1DD2" w:rsidRPr="00EC5881" w:rsidRDefault="00EF1DD2" w:rsidP="00EF1DD2">
      <w:pPr>
        <w:pStyle w:val="Znaka1"/>
        <w:numPr>
          <w:ilvl w:val="0"/>
          <w:numId w:val="120"/>
        </w:numPr>
        <w:spacing w:line="288" w:lineRule="auto"/>
        <w:ind w:left="425" w:hanging="357"/>
        <w:jc w:val="both"/>
        <w:rPr>
          <w:rFonts w:cs="Arial"/>
          <w:sz w:val="18"/>
          <w:szCs w:val="22"/>
        </w:rPr>
      </w:pPr>
      <w:r w:rsidRPr="00EC5881">
        <w:rPr>
          <w:rFonts w:cs="Arial"/>
          <w:sz w:val="18"/>
          <w:szCs w:val="22"/>
        </w:rPr>
        <w:t>urbanistická koncepce rozvoje města, využití ploch a jejich uspořádání - výkresy č. 2 a 3;</w:t>
      </w:r>
    </w:p>
    <w:p w14:paraId="7BB0AB2E" w14:textId="77777777" w:rsidR="00EF1DD2" w:rsidRPr="00EC5881" w:rsidRDefault="00EF1DD2" w:rsidP="00EF1DD2">
      <w:pPr>
        <w:pStyle w:val="Znaka1"/>
        <w:numPr>
          <w:ilvl w:val="0"/>
          <w:numId w:val="120"/>
        </w:numPr>
        <w:spacing w:line="288" w:lineRule="auto"/>
        <w:ind w:left="425" w:hanging="357"/>
        <w:jc w:val="both"/>
        <w:rPr>
          <w:rFonts w:cs="Arial"/>
          <w:sz w:val="18"/>
          <w:szCs w:val="22"/>
        </w:rPr>
      </w:pPr>
      <w:r w:rsidRPr="00EC5881">
        <w:rPr>
          <w:rFonts w:cs="Arial"/>
          <w:sz w:val="18"/>
          <w:szCs w:val="22"/>
        </w:rPr>
        <w:t>vymezení zastavitelného území - výkresy č. 2 a 3;</w:t>
      </w:r>
    </w:p>
    <w:p w14:paraId="43A3EC76" w14:textId="77777777" w:rsidR="00EF1DD2" w:rsidRPr="00EC5881" w:rsidRDefault="00EF1DD2" w:rsidP="00EF1DD2">
      <w:pPr>
        <w:pStyle w:val="Znaka1"/>
        <w:numPr>
          <w:ilvl w:val="0"/>
          <w:numId w:val="120"/>
        </w:numPr>
        <w:spacing w:line="288" w:lineRule="auto"/>
        <w:ind w:left="425" w:hanging="357"/>
        <w:jc w:val="both"/>
        <w:rPr>
          <w:rFonts w:cs="Arial"/>
          <w:sz w:val="18"/>
          <w:szCs w:val="22"/>
        </w:rPr>
      </w:pPr>
      <w:r w:rsidRPr="00EC5881">
        <w:rPr>
          <w:rFonts w:cs="Arial"/>
          <w:sz w:val="18"/>
          <w:szCs w:val="22"/>
        </w:rPr>
        <w:t>zásady uspořádání dopravního a technického vybavení - výkresy č. 4,5,6,7 a 8;</w:t>
      </w:r>
    </w:p>
    <w:p w14:paraId="02B34250" w14:textId="77777777" w:rsidR="00EF1DD2" w:rsidRPr="00EC5881" w:rsidRDefault="00EF1DD2" w:rsidP="00EF1DD2">
      <w:pPr>
        <w:pStyle w:val="Znaka1"/>
        <w:numPr>
          <w:ilvl w:val="0"/>
          <w:numId w:val="120"/>
        </w:numPr>
        <w:spacing w:line="288" w:lineRule="auto"/>
        <w:ind w:left="425" w:hanging="357"/>
        <w:jc w:val="both"/>
        <w:rPr>
          <w:rFonts w:cs="Arial"/>
          <w:sz w:val="18"/>
          <w:szCs w:val="22"/>
        </w:rPr>
      </w:pPr>
      <w:r w:rsidRPr="00EC5881">
        <w:rPr>
          <w:rFonts w:cs="Arial"/>
          <w:sz w:val="18"/>
          <w:szCs w:val="22"/>
        </w:rPr>
        <w:t>vymezení územního systému ekologické stability (ÚSES) - výkresy č. 2 a 3;</w:t>
      </w:r>
    </w:p>
    <w:p w14:paraId="3203A991" w14:textId="77777777" w:rsidR="00EF1DD2" w:rsidRPr="00EC5881" w:rsidRDefault="00EF1DD2" w:rsidP="00EF1DD2">
      <w:pPr>
        <w:pStyle w:val="Znaka1"/>
        <w:numPr>
          <w:ilvl w:val="0"/>
          <w:numId w:val="120"/>
        </w:numPr>
        <w:spacing w:line="288" w:lineRule="auto"/>
        <w:ind w:left="425" w:hanging="357"/>
        <w:jc w:val="both"/>
        <w:rPr>
          <w:rFonts w:cs="Arial"/>
          <w:sz w:val="18"/>
          <w:szCs w:val="22"/>
        </w:rPr>
      </w:pPr>
      <w:r w:rsidRPr="00EC5881">
        <w:rPr>
          <w:rFonts w:cs="Arial"/>
          <w:sz w:val="18"/>
          <w:szCs w:val="22"/>
        </w:rPr>
        <w:t>limity využití území</w:t>
      </w:r>
      <w:r w:rsidRPr="00EC5881">
        <w:rPr>
          <w:rFonts w:cs="Arial"/>
          <w:caps/>
          <w:sz w:val="18"/>
          <w:szCs w:val="22"/>
        </w:rPr>
        <w:t xml:space="preserve"> - </w:t>
      </w:r>
      <w:r w:rsidRPr="00EC5881">
        <w:rPr>
          <w:rFonts w:cs="Arial"/>
          <w:sz w:val="18"/>
          <w:szCs w:val="22"/>
        </w:rPr>
        <w:t>výkresy č. 2 – 8;</w:t>
      </w:r>
    </w:p>
    <w:p w14:paraId="518CE37D" w14:textId="77777777" w:rsidR="00EF1DD2" w:rsidRPr="00EC5881" w:rsidRDefault="00EF1DD2" w:rsidP="00EF1DD2">
      <w:pPr>
        <w:pStyle w:val="Znaka1"/>
        <w:numPr>
          <w:ilvl w:val="0"/>
          <w:numId w:val="120"/>
        </w:numPr>
        <w:spacing w:line="288" w:lineRule="auto"/>
        <w:ind w:left="425" w:hanging="357"/>
        <w:jc w:val="both"/>
        <w:rPr>
          <w:rFonts w:cs="Arial"/>
          <w:sz w:val="18"/>
          <w:szCs w:val="22"/>
        </w:rPr>
      </w:pPr>
      <w:r w:rsidRPr="00EC5881">
        <w:rPr>
          <w:rFonts w:cs="Arial"/>
          <w:sz w:val="18"/>
          <w:szCs w:val="22"/>
        </w:rPr>
        <w:t>vymezení veřejně prospěšných staveb (výkres č. 9).</w:t>
      </w:r>
    </w:p>
    <w:p w14:paraId="25000BA7" w14:textId="77777777" w:rsidR="00EF1DD2" w:rsidRPr="00EC5881" w:rsidRDefault="00EF1DD2" w:rsidP="00EF1DD2">
      <w:pPr>
        <w:pStyle w:val="Zkladntext"/>
        <w:spacing w:before="120" w:line="288" w:lineRule="auto"/>
        <w:jc w:val="both"/>
        <w:rPr>
          <w:rFonts w:cs="Arial"/>
          <w:sz w:val="18"/>
          <w:szCs w:val="22"/>
        </w:rPr>
      </w:pPr>
    </w:p>
    <w:p w14:paraId="0DCBC5F6" w14:textId="77777777" w:rsidR="00EF1DD2" w:rsidRPr="00EC5881" w:rsidRDefault="00EF1DD2" w:rsidP="00EF1DD2">
      <w:pPr>
        <w:pStyle w:val="podnadpis2"/>
        <w:spacing w:before="120" w:after="0" w:line="288" w:lineRule="auto"/>
        <w:jc w:val="both"/>
        <w:rPr>
          <w:rFonts w:cs="Arial"/>
          <w:szCs w:val="32"/>
        </w:rPr>
      </w:pPr>
      <w:r w:rsidRPr="00EC5881">
        <w:rPr>
          <w:rFonts w:cs="Arial"/>
          <w:szCs w:val="32"/>
        </w:rPr>
        <w:t>závazné části územního plánu jsou vyjádřeny v grafických přílohách</w:t>
      </w:r>
    </w:p>
    <w:p w14:paraId="5D761BFF" w14:textId="77777777" w:rsidR="00EF1DD2" w:rsidRPr="00EC5881" w:rsidRDefault="00EF1DD2" w:rsidP="00EF1DD2">
      <w:pPr>
        <w:pStyle w:val="Znaka1"/>
        <w:numPr>
          <w:ilvl w:val="0"/>
          <w:numId w:val="120"/>
        </w:numPr>
        <w:spacing w:line="288" w:lineRule="auto"/>
        <w:ind w:left="426"/>
        <w:jc w:val="both"/>
        <w:rPr>
          <w:rFonts w:cs="Arial"/>
          <w:sz w:val="18"/>
          <w:szCs w:val="22"/>
        </w:rPr>
      </w:pPr>
      <w:r w:rsidRPr="00EC5881">
        <w:rPr>
          <w:rFonts w:cs="Arial"/>
          <w:sz w:val="18"/>
          <w:szCs w:val="22"/>
        </w:rPr>
        <w:t>č. 2. hlavní výkres s komplexním řešením celého správního území města;</w:t>
      </w:r>
    </w:p>
    <w:p w14:paraId="171CF73B" w14:textId="77777777" w:rsidR="00EF1DD2" w:rsidRPr="00EC5881" w:rsidRDefault="00EF1DD2" w:rsidP="00EF1DD2">
      <w:pPr>
        <w:pStyle w:val="Znaka1"/>
        <w:numPr>
          <w:ilvl w:val="0"/>
          <w:numId w:val="120"/>
        </w:numPr>
        <w:spacing w:line="288" w:lineRule="auto"/>
        <w:ind w:left="426"/>
        <w:jc w:val="both"/>
        <w:rPr>
          <w:rFonts w:cs="Arial"/>
          <w:sz w:val="18"/>
          <w:szCs w:val="22"/>
        </w:rPr>
      </w:pPr>
      <w:r w:rsidRPr="00EC5881">
        <w:rPr>
          <w:rFonts w:cs="Arial"/>
          <w:sz w:val="18"/>
          <w:szCs w:val="22"/>
        </w:rPr>
        <w:t>č. 3. hlavní výkres s komplexním řešením jádrového území města;</w:t>
      </w:r>
    </w:p>
    <w:p w14:paraId="4D4553FF" w14:textId="77777777" w:rsidR="00EF1DD2" w:rsidRPr="00EC5881" w:rsidRDefault="00EF1DD2" w:rsidP="00EF1DD2">
      <w:pPr>
        <w:pStyle w:val="Znaka1"/>
        <w:numPr>
          <w:ilvl w:val="0"/>
          <w:numId w:val="120"/>
        </w:numPr>
        <w:spacing w:line="288" w:lineRule="auto"/>
        <w:ind w:left="426"/>
        <w:jc w:val="both"/>
        <w:rPr>
          <w:rFonts w:cs="Arial"/>
          <w:sz w:val="18"/>
          <w:szCs w:val="22"/>
        </w:rPr>
      </w:pPr>
      <w:r w:rsidRPr="00EC5881">
        <w:rPr>
          <w:rFonts w:cs="Arial"/>
          <w:sz w:val="18"/>
          <w:szCs w:val="22"/>
        </w:rPr>
        <w:t>č. 4. návrh dopravního řešení se základní koncepcí dopravního uspořádání;</w:t>
      </w:r>
    </w:p>
    <w:p w14:paraId="77B43500" w14:textId="77777777" w:rsidR="00EF1DD2" w:rsidRPr="00EC5881" w:rsidRDefault="00EF1DD2" w:rsidP="00EF1DD2">
      <w:pPr>
        <w:pStyle w:val="Znaka1"/>
        <w:numPr>
          <w:ilvl w:val="0"/>
          <w:numId w:val="120"/>
        </w:numPr>
        <w:spacing w:line="288" w:lineRule="auto"/>
        <w:ind w:left="426"/>
        <w:jc w:val="both"/>
        <w:rPr>
          <w:rFonts w:cs="Arial"/>
          <w:sz w:val="18"/>
          <w:szCs w:val="22"/>
        </w:rPr>
      </w:pPr>
      <w:r w:rsidRPr="00EC5881">
        <w:rPr>
          <w:rFonts w:cs="Arial"/>
          <w:sz w:val="18"/>
          <w:szCs w:val="22"/>
        </w:rPr>
        <w:t>č. 5. návrh zásobování vodou se základní koncepcí technického uspořádání;</w:t>
      </w:r>
    </w:p>
    <w:p w14:paraId="57623942" w14:textId="77777777" w:rsidR="00EF1DD2" w:rsidRPr="00EC5881" w:rsidRDefault="00EF1DD2" w:rsidP="00EF1DD2">
      <w:pPr>
        <w:pStyle w:val="Znaka1"/>
        <w:numPr>
          <w:ilvl w:val="0"/>
          <w:numId w:val="120"/>
        </w:numPr>
        <w:spacing w:line="288" w:lineRule="auto"/>
        <w:ind w:left="426"/>
        <w:jc w:val="both"/>
        <w:rPr>
          <w:rFonts w:cs="Arial"/>
          <w:sz w:val="18"/>
          <w:szCs w:val="22"/>
        </w:rPr>
      </w:pPr>
      <w:r w:rsidRPr="00EC5881">
        <w:rPr>
          <w:rFonts w:cs="Arial"/>
          <w:sz w:val="18"/>
          <w:szCs w:val="22"/>
        </w:rPr>
        <w:t>č. 6. návrh likvidace odpadních vod se základní koncepcí technického uspořádání;</w:t>
      </w:r>
    </w:p>
    <w:p w14:paraId="6E3B8758" w14:textId="77777777" w:rsidR="00EF1DD2" w:rsidRPr="00EC5881" w:rsidRDefault="00EF1DD2" w:rsidP="00EF1DD2">
      <w:pPr>
        <w:pStyle w:val="Znaka1"/>
        <w:numPr>
          <w:ilvl w:val="0"/>
          <w:numId w:val="120"/>
        </w:numPr>
        <w:spacing w:line="288" w:lineRule="auto"/>
        <w:ind w:left="426"/>
        <w:jc w:val="both"/>
        <w:rPr>
          <w:rFonts w:cs="Arial"/>
          <w:sz w:val="18"/>
          <w:szCs w:val="22"/>
        </w:rPr>
      </w:pPr>
      <w:r w:rsidRPr="00EC5881">
        <w:rPr>
          <w:rFonts w:cs="Arial"/>
          <w:sz w:val="18"/>
          <w:szCs w:val="22"/>
        </w:rPr>
        <w:t>č. 7. návrh zásobování teplem a plynem se základní koncepcí technického uspořádání a vymezení zón s CZT;</w:t>
      </w:r>
    </w:p>
    <w:p w14:paraId="7CC42A29" w14:textId="77777777" w:rsidR="00EF1DD2" w:rsidRPr="00EC5881" w:rsidRDefault="00EF1DD2" w:rsidP="00EF1DD2">
      <w:pPr>
        <w:pStyle w:val="Znaka1"/>
        <w:numPr>
          <w:ilvl w:val="0"/>
          <w:numId w:val="120"/>
        </w:numPr>
        <w:spacing w:line="288" w:lineRule="auto"/>
        <w:ind w:left="426"/>
        <w:jc w:val="both"/>
        <w:rPr>
          <w:rFonts w:cs="Arial"/>
          <w:sz w:val="18"/>
          <w:szCs w:val="22"/>
        </w:rPr>
      </w:pPr>
      <w:r w:rsidRPr="00EC5881">
        <w:rPr>
          <w:rFonts w:cs="Arial"/>
          <w:sz w:val="18"/>
          <w:szCs w:val="22"/>
        </w:rPr>
        <w:t>č. 8. návrh zásobování elektrickou energií + spoje se základní koncepcí technického uspořádání;</w:t>
      </w:r>
    </w:p>
    <w:p w14:paraId="0C925604" w14:textId="77777777" w:rsidR="00EF1DD2" w:rsidRPr="00EC5881" w:rsidRDefault="00EF1DD2" w:rsidP="00EF1DD2">
      <w:pPr>
        <w:pStyle w:val="Znaka1"/>
        <w:numPr>
          <w:ilvl w:val="0"/>
          <w:numId w:val="120"/>
        </w:numPr>
        <w:spacing w:line="288" w:lineRule="auto"/>
        <w:ind w:left="426"/>
        <w:jc w:val="both"/>
        <w:rPr>
          <w:rFonts w:cs="Arial"/>
          <w:sz w:val="18"/>
          <w:szCs w:val="22"/>
        </w:rPr>
      </w:pPr>
      <w:r w:rsidRPr="00EC5881">
        <w:rPr>
          <w:rFonts w:cs="Arial"/>
          <w:sz w:val="18"/>
          <w:szCs w:val="22"/>
        </w:rPr>
        <w:t>č. 9 vymezení veřejně prospěšných staveb.</w:t>
      </w:r>
    </w:p>
    <w:p w14:paraId="64FA9950" w14:textId="77777777" w:rsidR="00EF1DD2" w:rsidRDefault="00EF1DD2" w:rsidP="00EF1DD2">
      <w:pPr>
        <w:pStyle w:val="Zkladntext"/>
        <w:spacing w:before="120" w:line="288" w:lineRule="auto"/>
        <w:jc w:val="both"/>
        <w:rPr>
          <w:rFonts w:cs="Arial"/>
          <w:sz w:val="18"/>
          <w:szCs w:val="22"/>
        </w:rPr>
      </w:pPr>
    </w:p>
    <w:p w14:paraId="7CD8854C" w14:textId="77777777" w:rsidR="00EF1DD2" w:rsidRPr="00EC5881" w:rsidRDefault="00EF1DD2" w:rsidP="00EF1DD2">
      <w:pPr>
        <w:pStyle w:val="Zkladntext"/>
        <w:spacing w:before="120" w:line="288" w:lineRule="auto"/>
        <w:jc w:val="both"/>
        <w:rPr>
          <w:rFonts w:cs="Arial"/>
          <w:sz w:val="18"/>
          <w:szCs w:val="22"/>
        </w:rPr>
      </w:pPr>
    </w:p>
    <w:p w14:paraId="197EC2C0" w14:textId="77777777" w:rsidR="00EF1DD2" w:rsidRDefault="00EF1DD2" w:rsidP="00EF1DD2">
      <w:pPr>
        <w:pStyle w:val="podnadpis1"/>
        <w:spacing w:before="120" w:after="0" w:line="288" w:lineRule="auto"/>
        <w:jc w:val="both"/>
        <w:rPr>
          <w:rFonts w:cs="Arial"/>
          <w:sz w:val="20"/>
        </w:rPr>
      </w:pPr>
      <w:r w:rsidRPr="00EC5881">
        <w:rPr>
          <w:rFonts w:cs="Arial"/>
          <w:sz w:val="20"/>
        </w:rPr>
        <w:t>p1. návrh urbanistické koncepce</w:t>
      </w:r>
    </w:p>
    <w:p w14:paraId="2F020942" w14:textId="77777777" w:rsidR="00EF1DD2" w:rsidRPr="00EC5881" w:rsidRDefault="00EF1DD2" w:rsidP="00EF1DD2">
      <w:pPr>
        <w:pStyle w:val="podnadpis1"/>
        <w:spacing w:before="120" w:after="0" w:line="288" w:lineRule="auto"/>
        <w:jc w:val="both"/>
        <w:rPr>
          <w:rFonts w:cs="Arial"/>
          <w:sz w:val="20"/>
        </w:rPr>
      </w:pPr>
    </w:p>
    <w:p w14:paraId="7C29E3B8" w14:textId="77777777" w:rsidR="00EF1DD2" w:rsidRPr="00EC5881" w:rsidRDefault="00EF1DD2" w:rsidP="00EF1DD2">
      <w:pPr>
        <w:pStyle w:val="Znaka"/>
        <w:numPr>
          <w:ilvl w:val="1"/>
          <w:numId w:val="121"/>
        </w:numPr>
        <w:spacing w:before="120" w:after="0" w:line="288" w:lineRule="auto"/>
        <w:ind w:left="426"/>
        <w:jc w:val="both"/>
        <w:rPr>
          <w:rFonts w:cs="Arial"/>
          <w:sz w:val="18"/>
        </w:rPr>
      </w:pPr>
      <w:r w:rsidRPr="00EC5881">
        <w:rPr>
          <w:rFonts w:cs="Arial"/>
          <w:sz w:val="18"/>
        </w:rPr>
        <w:t>město Děčín se výhledově bude rozvíjet jako samostatné významné centrum osídlení ČR, s významnými vazbami jednak v rámci regionu, ale i s územím SRN;</w:t>
      </w:r>
    </w:p>
    <w:p w14:paraId="6E11F344" w14:textId="77777777" w:rsidR="00EF1DD2" w:rsidRPr="00EC5881" w:rsidRDefault="00EF1DD2" w:rsidP="00EF1DD2">
      <w:pPr>
        <w:pStyle w:val="Znaka"/>
        <w:numPr>
          <w:ilvl w:val="1"/>
          <w:numId w:val="121"/>
        </w:numPr>
        <w:spacing w:before="120" w:after="0" w:line="288" w:lineRule="auto"/>
        <w:ind w:left="426"/>
        <w:jc w:val="both"/>
        <w:rPr>
          <w:rFonts w:cs="Arial"/>
          <w:sz w:val="18"/>
        </w:rPr>
      </w:pPr>
      <w:r w:rsidRPr="00EC5881">
        <w:rPr>
          <w:rFonts w:cs="Arial"/>
          <w:sz w:val="18"/>
        </w:rPr>
        <w:t xml:space="preserve">na základě navrženého modelu v rozložení obyvatel k roku 2010 se počítá </w:t>
      </w:r>
      <w:r w:rsidRPr="00EC5881">
        <w:rPr>
          <w:rFonts w:cs="Arial"/>
          <w:b/>
          <w:bCs/>
          <w:sz w:val="18"/>
        </w:rPr>
        <w:t>se směrnou velikostí města 55 000 trvale bydlících</w:t>
      </w:r>
      <w:r w:rsidRPr="00EC5881">
        <w:rPr>
          <w:rFonts w:cs="Arial"/>
          <w:sz w:val="18"/>
        </w:rPr>
        <w:t xml:space="preserve"> obyvatel, s územními rezervami potom s cca 58 000 obyvateli;</w:t>
      </w:r>
    </w:p>
    <w:p w14:paraId="41AE676C" w14:textId="77777777" w:rsidR="00EF1DD2" w:rsidRPr="00EC5881" w:rsidRDefault="00EF1DD2" w:rsidP="00EF1DD2">
      <w:pPr>
        <w:pStyle w:val="Znaka"/>
        <w:numPr>
          <w:ilvl w:val="1"/>
          <w:numId w:val="121"/>
        </w:numPr>
        <w:spacing w:before="120" w:after="0" w:line="288" w:lineRule="auto"/>
        <w:ind w:left="426"/>
        <w:jc w:val="both"/>
        <w:rPr>
          <w:rFonts w:cs="Arial"/>
          <w:sz w:val="18"/>
        </w:rPr>
      </w:pPr>
      <w:r w:rsidRPr="00EC5881">
        <w:rPr>
          <w:rFonts w:cs="Arial"/>
          <w:sz w:val="18"/>
        </w:rPr>
        <w:t>upřednostňuje Děčín jako "</w:t>
      </w:r>
      <w:r w:rsidRPr="00EC5881">
        <w:rPr>
          <w:rFonts w:cs="Arial"/>
          <w:b/>
          <w:bCs/>
          <w:sz w:val="18"/>
        </w:rPr>
        <w:t>město kompaktní</w:t>
      </w:r>
      <w:r w:rsidRPr="00EC5881">
        <w:rPr>
          <w:rFonts w:cs="Arial"/>
          <w:sz w:val="18"/>
        </w:rPr>
        <w:t>", s využitím všech disponibilních vnitřních územních rezerv (přestavba, dostavba proluk, změna funkce objektů a areálů);</w:t>
      </w:r>
    </w:p>
    <w:p w14:paraId="5AC26D7A" w14:textId="77777777" w:rsidR="00EF1DD2" w:rsidRPr="00EC5881" w:rsidRDefault="00EF1DD2" w:rsidP="00EF1DD2">
      <w:pPr>
        <w:pStyle w:val="Znaka"/>
        <w:numPr>
          <w:ilvl w:val="1"/>
          <w:numId w:val="121"/>
        </w:numPr>
        <w:spacing w:before="120" w:after="0" w:line="288" w:lineRule="auto"/>
        <w:ind w:left="426"/>
        <w:jc w:val="both"/>
        <w:rPr>
          <w:rFonts w:cs="Arial"/>
          <w:sz w:val="18"/>
        </w:rPr>
      </w:pPr>
      <w:r w:rsidRPr="00EC5881">
        <w:rPr>
          <w:rFonts w:cs="Arial"/>
          <w:sz w:val="18"/>
        </w:rPr>
        <w:t>řeší</w:t>
      </w:r>
      <w:r w:rsidRPr="00EC5881">
        <w:rPr>
          <w:rFonts w:cs="Arial"/>
          <w:b/>
          <w:bCs/>
          <w:sz w:val="18"/>
        </w:rPr>
        <w:t xml:space="preserve"> dostavbu centra</w:t>
      </w:r>
      <w:r w:rsidRPr="00EC5881">
        <w:rPr>
          <w:rFonts w:cs="Arial"/>
          <w:sz w:val="18"/>
        </w:rPr>
        <w:t xml:space="preserve"> na obou březích Labe formou "městských domů" s 50 % zastoupením trvalého bydlení - polyfunkční domy;</w:t>
      </w:r>
    </w:p>
    <w:p w14:paraId="6FEED9F4" w14:textId="77777777" w:rsidR="00EF1DD2" w:rsidRPr="00EC5881" w:rsidRDefault="00EF1DD2" w:rsidP="00EF1DD2">
      <w:pPr>
        <w:pStyle w:val="Znaka"/>
        <w:numPr>
          <w:ilvl w:val="1"/>
          <w:numId w:val="121"/>
        </w:numPr>
        <w:spacing w:before="120" w:after="0" w:line="288" w:lineRule="auto"/>
        <w:ind w:left="426"/>
        <w:jc w:val="both"/>
        <w:rPr>
          <w:rFonts w:cs="Arial"/>
          <w:sz w:val="18"/>
        </w:rPr>
      </w:pPr>
      <w:r w:rsidRPr="00EC5881">
        <w:rPr>
          <w:rFonts w:cs="Arial"/>
          <w:sz w:val="18"/>
        </w:rPr>
        <w:t xml:space="preserve">lokalizuje výhledově </w:t>
      </w:r>
      <w:r w:rsidRPr="00EC5881">
        <w:rPr>
          <w:rFonts w:cs="Arial"/>
          <w:b/>
          <w:bCs/>
          <w:sz w:val="18"/>
        </w:rPr>
        <w:t>obytné území</w:t>
      </w:r>
      <w:r w:rsidRPr="00EC5881">
        <w:rPr>
          <w:rFonts w:cs="Arial"/>
          <w:sz w:val="18"/>
        </w:rPr>
        <w:t xml:space="preserve"> s převažující rodinnou zástavbou, do nejatraktivnějších poloh města s optimálním napojením na komunikační síť a systémy technické infrastruktury (Letná, Želenice, Chrochvice, Bělá, Jalůvčí, Škrabky, Folknáře, Boletice n. L.);</w:t>
      </w:r>
    </w:p>
    <w:p w14:paraId="392C506A" w14:textId="77777777" w:rsidR="00EF1DD2" w:rsidRDefault="00EF1DD2" w:rsidP="00EF1DD2">
      <w:pPr>
        <w:pStyle w:val="Znaka"/>
        <w:numPr>
          <w:ilvl w:val="1"/>
          <w:numId w:val="121"/>
        </w:numPr>
        <w:spacing w:before="120" w:after="0" w:line="288" w:lineRule="auto"/>
        <w:ind w:left="426"/>
        <w:jc w:val="both"/>
        <w:rPr>
          <w:rFonts w:cs="Arial"/>
          <w:sz w:val="18"/>
        </w:rPr>
      </w:pPr>
      <w:r w:rsidRPr="00EC5881">
        <w:rPr>
          <w:rFonts w:cs="Arial"/>
          <w:sz w:val="18"/>
        </w:rPr>
        <w:t xml:space="preserve">sleduje koncepci jednak "územních náhrad" a jednak "kvalifikovanou nabídku" pro nezbytný rozvoj </w:t>
      </w:r>
      <w:r w:rsidRPr="00EC5881">
        <w:rPr>
          <w:rFonts w:cs="Arial"/>
          <w:b/>
          <w:bCs/>
          <w:sz w:val="18"/>
        </w:rPr>
        <w:t>ekonomické základny</w:t>
      </w:r>
      <w:r w:rsidRPr="00EC5881">
        <w:rPr>
          <w:rFonts w:cs="Arial"/>
          <w:sz w:val="18"/>
        </w:rPr>
        <w:t xml:space="preserve"> (Dolní Oldřichov, Rozbělesy-Želenice, nádraží východ-Staré Město, Boletice n. L. - Křešice);</w:t>
      </w:r>
    </w:p>
    <w:p w14:paraId="7415C633" w14:textId="77777777" w:rsidR="00EF1DD2" w:rsidRPr="00EC5881" w:rsidRDefault="00EF1DD2" w:rsidP="00EF1DD2">
      <w:pPr>
        <w:pStyle w:val="Znaka"/>
        <w:spacing w:before="120" w:line="288" w:lineRule="auto"/>
        <w:ind w:left="66"/>
        <w:jc w:val="both"/>
        <w:rPr>
          <w:rFonts w:cs="Arial"/>
          <w:sz w:val="18"/>
        </w:rPr>
      </w:pPr>
      <w:r>
        <w:rPr>
          <w:rFonts w:cs="Arial"/>
          <w:sz w:val="18"/>
        </w:rPr>
        <w:br w:type="page"/>
      </w:r>
    </w:p>
    <w:p w14:paraId="02618E9D" w14:textId="77777777" w:rsidR="00EF1DD2" w:rsidRPr="00EC5881" w:rsidRDefault="00EF1DD2" w:rsidP="00EF1DD2">
      <w:pPr>
        <w:pStyle w:val="Znaka"/>
        <w:numPr>
          <w:ilvl w:val="1"/>
          <w:numId w:val="121"/>
        </w:numPr>
        <w:spacing w:before="120" w:after="0" w:line="288" w:lineRule="auto"/>
        <w:ind w:left="426"/>
        <w:jc w:val="both"/>
        <w:rPr>
          <w:rFonts w:cs="Arial"/>
          <w:sz w:val="18"/>
        </w:rPr>
      </w:pPr>
      <w:r w:rsidRPr="00EC5881">
        <w:rPr>
          <w:rFonts w:cs="Arial"/>
          <w:sz w:val="18"/>
        </w:rPr>
        <w:lastRenderedPageBreak/>
        <w:t>využívá pro rozvoj města všech vhodných ploch funkčně diferencovaných, bezproblémové a stabilní výhledově potvrzuje, nestabilní a funkčně či provozně problémové návrhem vymisťuje (výrobní a skladové areály v centru a obytném území);</w:t>
      </w:r>
    </w:p>
    <w:p w14:paraId="73A8C8B7" w14:textId="77777777" w:rsidR="00EF1DD2" w:rsidRPr="00EC5881" w:rsidRDefault="00EF1DD2" w:rsidP="00EF1DD2">
      <w:pPr>
        <w:pStyle w:val="Znaka"/>
        <w:numPr>
          <w:ilvl w:val="1"/>
          <w:numId w:val="121"/>
        </w:numPr>
        <w:spacing w:before="120" w:after="0" w:line="288" w:lineRule="auto"/>
        <w:ind w:left="426"/>
        <w:jc w:val="both"/>
        <w:rPr>
          <w:rFonts w:cs="Arial"/>
          <w:sz w:val="18"/>
        </w:rPr>
      </w:pPr>
      <w:r w:rsidRPr="00EC5881">
        <w:rPr>
          <w:rFonts w:cs="Arial"/>
          <w:sz w:val="18"/>
        </w:rPr>
        <w:t xml:space="preserve">na úseku </w:t>
      </w:r>
      <w:r w:rsidRPr="00EC5881">
        <w:rPr>
          <w:rFonts w:cs="Arial"/>
          <w:b/>
          <w:bCs/>
          <w:sz w:val="18"/>
        </w:rPr>
        <w:t>občanského vybavení</w:t>
      </w:r>
      <w:r w:rsidRPr="00EC5881">
        <w:rPr>
          <w:rFonts w:cs="Arial"/>
          <w:sz w:val="18"/>
        </w:rPr>
        <w:t xml:space="preserve"> řeší pouze deficitní nabídky obchodu, služeb, veřejného ubytování a stravování, tělovýchovy a sportu, stabilizované a funkční návrhem pouze potvrzuje s řadou doporučení. Důraz je kladen zejména na komplexnost řešení centra (Děčín, Podmokly, Boletice n. L.), areál zámku, soutok Labe a Ploučnice. </w:t>
      </w:r>
    </w:p>
    <w:p w14:paraId="2D2910B7" w14:textId="77777777" w:rsidR="00EF1DD2" w:rsidRPr="00EC5881" w:rsidRDefault="00EF1DD2" w:rsidP="00EF1DD2">
      <w:pPr>
        <w:pStyle w:val="Znaka"/>
        <w:numPr>
          <w:ilvl w:val="1"/>
          <w:numId w:val="121"/>
        </w:numPr>
        <w:spacing w:before="120" w:after="0" w:line="288" w:lineRule="auto"/>
        <w:ind w:left="426"/>
        <w:jc w:val="both"/>
        <w:rPr>
          <w:rFonts w:cs="Arial"/>
          <w:sz w:val="18"/>
        </w:rPr>
      </w:pPr>
      <w:r w:rsidRPr="00EC5881">
        <w:rPr>
          <w:rFonts w:cs="Arial"/>
          <w:sz w:val="18"/>
        </w:rPr>
        <w:t xml:space="preserve">plně respektuje stávající ekologickou </w:t>
      </w:r>
      <w:r w:rsidRPr="00EC5881">
        <w:rPr>
          <w:rFonts w:cs="Arial"/>
          <w:b/>
          <w:bCs/>
          <w:sz w:val="18"/>
        </w:rPr>
        <w:t>kostru zeleně</w:t>
      </w:r>
      <w:r w:rsidRPr="00EC5881">
        <w:rPr>
          <w:rFonts w:cs="Arial"/>
          <w:sz w:val="18"/>
        </w:rPr>
        <w:t xml:space="preserve"> (parky, doprovodná a strukturní zeleň, příměstské lesy), navrženým řešením upřednostňuje založení "centrálního parku" na obou březích Labe, plně respektuje navržený ÚSES</w:t>
      </w:r>
    </w:p>
    <w:p w14:paraId="1B730D2E" w14:textId="77777777" w:rsidR="00EF1DD2" w:rsidRPr="00EC5881" w:rsidRDefault="00EF1DD2" w:rsidP="00EF1DD2">
      <w:pPr>
        <w:pStyle w:val="Znaka"/>
        <w:numPr>
          <w:ilvl w:val="1"/>
          <w:numId w:val="121"/>
        </w:numPr>
        <w:spacing w:before="120" w:after="0" w:line="288" w:lineRule="auto"/>
        <w:ind w:left="426"/>
        <w:jc w:val="both"/>
        <w:rPr>
          <w:rFonts w:cs="Arial"/>
          <w:sz w:val="18"/>
        </w:rPr>
      </w:pPr>
      <w:r w:rsidRPr="00EC5881">
        <w:rPr>
          <w:rFonts w:cs="Arial"/>
          <w:sz w:val="18"/>
        </w:rPr>
        <w:t xml:space="preserve">NÁVRH </w:t>
      </w:r>
      <w:r w:rsidRPr="00EC5881">
        <w:rPr>
          <w:rFonts w:cs="Arial"/>
          <w:b/>
          <w:bCs/>
          <w:sz w:val="18"/>
        </w:rPr>
        <w:t>PROSTOROVÉHO a funkčního USPOŘÁDÁNÍ</w:t>
      </w:r>
      <w:r w:rsidRPr="00EC5881">
        <w:rPr>
          <w:rFonts w:cs="Arial"/>
          <w:sz w:val="18"/>
        </w:rPr>
        <w:t xml:space="preserve"> rozvoje města a jeho funkčního využití je obsahem samostatného přehledu, v řazení dle lokalit a městských sektorů, obsahující základní informace o jejich využití, funkci a možném pořadí výstavby (1 a 2. etapa, výhled).</w:t>
      </w:r>
    </w:p>
    <w:p w14:paraId="27CD693E" w14:textId="77777777" w:rsidR="00EF1DD2" w:rsidRPr="00EC5881" w:rsidRDefault="00EF1DD2" w:rsidP="00EF1DD2">
      <w:pPr>
        <w:pStyle w:val="Znaka"/>
        <w:numPr>
          <w:ilvl w:val="1"/>
          <w:numId w:val="121"/>
        </w:numPr>
        <w:spacing w:before="120" w:after="0" w:line="288" w:lineRule="auto"/>
        <w:ind w:left="426"/>
        <w:jc w:val="both"/>
        <w:rPr>
          <w:rFonts w:cs="Arial"/>
          <w:sz w:val="18"/>
        </w:rPr>
      </w:pPr>
      <w:r w:rsidRPr="00EC5881">
        <w:rPr>
          <w:rFonts w:cs="Arial"/>
          <w:b/>
          <w:bCs/>
          <w:sz w:val="18"/>
        </w:rPr>
        <w:t>dopravního řešení</w:t>
      </w:r>
      <w:r w:rsidRPr="00EC5881">
        <w:rPr>
          <w:rFonts w:cs="Arial"/>
          <w:sz w:val="18"/>
        </w:rPr>
        <w:t xml:space="preserve"> v plném rozsahu akceptuje všechny požadavky na uspořádání silniční sítě (přeložky silnice I/13 v úseku Jílové - Děčín - Benešov n. Pl., přeložka silnice II/261 Staré Město-Křešice-Boletice n. L., v železniční dopravě respektuje probíhající realizaci přestavby mezinárodního koridoru a železničního uzlu Děčín, vodní dílo v Prostředním Žlebu je zařazeno do návrhového období).</w:t>
      </w:r>
      <w:r w:rsidRPr="00EC5881">
        <w:rPr>
          <w:rFonts w:cs="Arial"/>
          <w:color w:val="FF0000"/>
          <w:sz w:val="18"/>
        </w:rPr>
        <w:t xml:space="preserve"> </w:t>
      </w:r>
    </w:p>
    <w:p w14:paraId="0E4B2699" w14:textId="77777777" w:rsidR="00EF1DD2" w:rsidRPr="00EC5881" w:rsidRDefault="00EF1DD2" w:rsidP="00EF1DD2">
      <w:pPr>
        <w:pStyle w:val="Znaka"/>
        <w:numPr>
          <w:ilvl w:val="1"/>
          <w:numId w:val="121"/>
        </w:numPr>
        <w:spacing w:before="120" w:after="0" w:line="288" w:lineRule="auto"/>
        <w:ind w:left="426"/>
        <w:jc w:val="both"/>
        <w:rPr>
          <w:rFonts w:cs="Arial"/>
          <w:sz w:val="18"/>
        </w:rPr>
      </w:pPr>
    </w:p>
    <w:p w14:paraId="74148276" w14:textId="77777777" w:rsidR="00EF1DD2" w:rsidRDefault="00EF1DD2" w:rsidP="00EF1DD2">
      <w:pPr>
        <w:pStyle w:val="podnadpis1"/>
        <w:spacing w:before="120" w:after="0" w:line="288" w:lineRule="auto"/>
        <w:jc w:val="both"/>
        <w:rPr>
          <w:rFonts w:cs="Arial"/>
          <w:sz w:val="24"/>
        </w:rPr>
      </w:pPr>
      <w:r w:rsidRPr="00EC5881">
        <w:rPr>
          <w:rFonts w:cs="Arial"/>
          <w:sz w:val="24"/>
        </w:rPr>
        <w:t>P2. funkční a prostorové uspořádání</w:t>
      </w:r>
    </w:p>
    <w:p w14:paraId="51DDE2A0" w14:textId="77777777" w:rsidR="00EF1DD2" w:rsidRPr="00EC5881" w:rsidRDefault="00EF1DD2" w:rsidP="00EF1DD2">
      <w:pPr>
        <w:pStyle w:val="podnadpis1"/>
        <w:spacing w:before="120" w:after="0" w:line="288" w:lineRule="auto"/>
        <w:jc w:val="both"/>
        <w:rPr>
          <w:rFonts w:cs="Arial"/>
          <w:sz w:val="24"/>
        </w:rPr>
      </w:pPr>
    </w:p>
    <w:p w14:paraId="484BF468" w14:textId="77777777" w:rsidR="00EF1DD2" w:rsidRPr="00EC5881" w:rsidRDefault="00EF1DD2" w:rsidP="00EF1DD2">
      <w:pPr>
        <w:pStyle w:val="Znaka1"/>
        <w:numPr>
          <w:ilvl w:val="0"/>
          <w:numId w:val="122"/>
        </w:numPr>
        <w:spacing w:line="288" w:lineRule="auto"/>
        <w:ind w:left="426"/>
        <w:jc w:val="both"/>
        <w:rPr>
          <w:rFonts w:cs="Arial"/>
          <w:sz w:val="18"/>
          <w:szCs w:val="22"/>
        </w:rPr>
      </w:pPr>
      <w:r w:rsidRPr="00EC5881">
        <w:rPr>
          <w:rFonts w:cs="Arial"/>
          <w:sz w:val="18"/>
          <w:szCs w:val="22"/>
        </w:rPr>
        <w:t>základním prostředkem regulace využití území je členění území města na prostory - zóny s přiřazenými kódy a charakteristikami jejich využití;</w:t>
      </w:r>
    </w:p>
    <w:p w14:paraId="24EC2348" w14:textId="77777777" w:rsidR="00EF1DD2" w:rsidRPr="00EC5881" w:rsidRDefault="00EF1DD2" w:rsidP="00EF1DD2">
      <w:pPr>
        <w:pStyle w:val="Znaka1"/>
        <w:numPr>
          <w:ilvl w:val="0"/>
          <w:numId w:val="122"/>
        </w:numPr>
        <w:spacing w:line="288" w:lineRule="auto"/>
        <w:ind w:left="426"/>
        <w:jc w:val="both"/>
        <w:rPr>
          <w:rFonts w:cs="Arial"/>
          <w:sz w:val="18"/>
          <w:szCs w:val="22"/>
        </w:rPr>
      </w:pPr>
      <w:r w:rsidRPr="00EC5881">
        <w:rPr>
          <w:rFonts w:cs="Arial"/>
          <w:sz w:val="18"/>
          <w:szCs w:val="22"/>
        </w:rPr>
        <w:t>pro takto vymezenou část území jsou stanoveny limity využití (funkce dominantní, vhodná, přípustná, nepřípustná), IZP - index zastavění pozemku (% zastavění) a optimální podlažnost;</w:t>
      </w:r>
    </w:p>
    <w:p w14:paraId="12125168" w14:textId="77777777" w:rsidR="00EF1DD2" w:rsidRPr="00EC5881" w:rsidRDefault="00EF1DD2" w:rsidP="00EF1DD2">
      <w:pPr>
        <w:pStyle w:val="Znaka1"/>
        <w:numPr>
          <w:ilvl w:val="0"/>
          <w:numId w:val="122"/>
        </w:numPr>
        <w:spacing w:before="120" w:line="288" w:lineRule="auto"/>
        <w:ind w:left="426"/>
        <w:jc w:val="both"/>
        <w:rPr>
          <w:rFonts w:cs="Arial"/>
          <w:sz w:val="18"/>
          <w:szCs w:val="22"/>
        </w:rPr>
      </w:pPr>
      <w:r w:rsidRPr="00EC5881">
        <w:rPr>
          <w:rFonts w:cs="Arial"/>
          <w:sz w:val="18"/>
          <w:szCs w:val="22"/>
        </w:rPr>
        <w:t>z hlediska stavební činnosti je území města členěno na území urbanizované, neurbanizované a území potenciálně zastavitelná zahrnující všechny výhledové územní rezervy - rozvojové plochy po návrhovém období;</w:t>
      </w:r>
    </w:p>
    <w:p w14:paraId="63C9CADC" w14:textId="77777777" w:rsidR="00EF1DD2" w:rsidRPr="00EC5881" w:rsidRDefault="00EF1DD2" w:rsidP="00EF1DD2">
      <w:pPr>
        <w:pStyle w:val="Znaka1"/>
        <w:spacing w:before="120" w:line="288" w:lineRule="auto"/>
        <w:ind w:left="426"/>
        <w:jc w:val="both"/>
        <w:rPr>
          <w:rFonts w:cs="Arial"/>
          <w:sz w:val="18"/>
          <w:szCs w:val="22"/>
        </w:rPr>
      </w:pPr>
    </w:p>
    <w:p w14:paraId="4F785015" w14:textId="77777777" w:rsidR="00EF1DD2" w:rsidRPr="00EC5881" w:rsidRDefault="00EF1DD2" w:rsidP="00EF1DD2">
      <w:pPr>
        <w:pStyle w:val="podnadpis2"/>
        <w:spacing w:before="0" w:after="0" w:line="288" w:lineRule="auto"/>
        <w:jc w:val="both"/>
        <w:rPr>
          <w:rFonts w:cs="Arial"/>
          <w:sz w:val="18"/>
          <w:szCs w:val="22"/>
        </w:rPr>
      </w:pPr>
      <w:r w:rsidRPr="00EC5881">
        <w:rPr>
          <w:rFonts w:cs="Arial"/>
          <w:sz w:val="18"/>
          <w:szCs w:val="22"/>
        </w:rPr>
        <w:t>ÚZEMÍ URBANIZOVANÉ</w:t>
      </w:r>
    </w:p>
    <w:p w14:paraId="55A520A0" w14:textId="77777777" w:rsidR="00EF1DD2" w:rsidRDefault="00EF1DD2" w:rsidP="00EF1DD2">
      <w:pPr>
        <w:pStyle w:val="Zkladntext"/>
        <w:spacing w:before="120" w:line="288" w:lineRule="auto"/>
        <w:jc w:val="both"/>
        <w:rPr>
          <w:rFonts w:cs="Arial"/>
          <w:sz w:val="18"/>
          <w:szCs w:val="22"/>
        </w:rPr>
      </w:pPr>
      <w:r w:rsidRPr="00EC5881">
        <w:rPr>
          <w:rFonts w:cs="Arial"/>
          <w:b/>
          <w:bCs/>
          <w:sz w:val="18"/>
          <w:szCs w:val="22"/>
        </w:rPr>
        <w:t>zahrnuje současné zastavěné územ</w:t>
      </w:r>
      <w:r w:rsidRPr="00EC5881">
        <w:rPr>
          <w:rFonts w:cs="Arial"/>
          <w:sz w:val="18"/>
          <w:szCs w:val="22"/>
        </w:rPr>
        <w:t xml:space="preserve">í (SZÚ) a </w:t>
      </w:r>
      <w:r w:rsidRPr="00EC5881">
        <w:rPr>
          <w:rFonts w:cs="Arial"/>
          <w:b/>
          <w:bCs/>
          <w:sz w:val="18"/>
          <w:szCs w:val="22"/>
        </w:rPr>
        <w:t>území zastavitelné</w:t>
      </w:r>
      <w:r w:rsidRPr="00EC5881">
        <w:rPr>
          <w:rFonts w:cs="Arial"/>
          <w:sz w:val="18"/>
          <w:szCs w:val="22"/>
        </w:rPr>
        <w:t>, zahrnující nově navržené lokality územního rozvoje bydlení, smíšená území, území výroby, dopravy, vybavenosti, rekreace a technické infrastruktury v návrhovém období (1 - 2. etapa výstavby)</w:t>
      </w:r>
    </w:p>
    <w:p w14:paraId="3AE182A7" w14:textId="77777777" w:rsidR="00EF1DD2" w:rsidRPr="00EC5881" w:rsidRDefault="00EF1DD2" w:rsidP="00EF1DD2">
      <w:pPr>
        <w:pStyle w:val="Zkladntext"/>
        <w:spacing w:before="120" w:after="0" w:line="288" w:lineRule="auto"/>
        <w:jc w:val="both"/>
        <w:rPr>
          <w:rFonts w:cs="Arial"/>
          <w:sz w:val="18"/>
          <w:szCs w:val="22"/>
        </w:rPr>
      </w:pPr>
    </w:p>
    <w:p w14:paraId="785E030D"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SC</w:t>
      </w:r>
      <w:r w:rsidRPr="00EC5881">
        <w:rPr>
          <w:rFonts w:cs="Arial"/>
          <w:sz w:val="18"/>
          <w:szCs w:val="22"/>
        </w:rPr>
        <w:t xml:space="preserve"> </w:t>
      </w:r>
      <w:r w:rsidRPr="00EC5881">
        <w:rPr>
          <w:rFonts w:cs="Arial"/>
          <w:sz w:val="18"/>
          <w:szCs w:val="22"/>
        </w:rPr>
        <w:tab/>
        <w:t>smíšená centrální zóna</w:t>
      </w:r>
    </w:p>
    <w:p w14:paraId="49A80761"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SM</w:t>
      </w:r>
      <w:r w:rsidRPr="00EC5881">
        <w:rPr>
          <w:rFonts w:cs="Arial"/>
          <w:sz w:val="18"/>
          <w:szCs w:val="22"/>
        </w:rPr>
        <w:tab/>
        <w:t>smíšená městská zóna</w:t>
      </w:r>
    </w:p>
    <w:p w14:paraId="4E2FDF3E"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BM</w:t>
      </w:r>
      <w:r w:rsidRPr="00EC5881">
        <w:rPr>
          <w:rFonts w:cs="Arial"/>
          <w:sz w:val="18"/>
          <w:szCs w:val="22"/>
        </w:rPr>
        <w:tab/>
        <w:t>RD městského typu</w:t>
      </w:r>
    </w:p>
    <w:p w14:paraId="1D94208C"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BV</w:t>
      </w:r>
      <w:r w:rsidRPr="00EC5881">
        <w:rPr>
          <w:rFonts w:cs="Arial"/>
          <w:sz w:val="18"/>
          <w:szCs w:val="22"/>
        </w:rPr>
        <w:tab/>
        <w:t>smíšená zóna s RD venkovského typu</w:t>
      </w:r>
    </w:p>
    <w:p w14:paraId="56B15839"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OV</w:t>
      </w:r>
      <w:r w:rsidRPr="00EC5881">
        <w:rPr>
          <w:rFonts w:cs="Arial"/>
          <w:b/>
          <w:bCs/>
          <w:sz w:val="18"/>
          <w:szCs w:val="22"/>
        </w:rPr>
        <w:tab/>
      </w:r>
      <w:r w:rsidRPr="00EC5881">
        <w:rPr>
          <w:rFonts w:cs="Arial"/>
          <w:sz w:val="18"/>
          <w:szCs w:val="22"/>
        </w:rPr>
        <w:t>objekty a areály občanského vybavení</w:t>
      </w:r>
    </w:p>
    <w:p w14:paraId="6C9279D7"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S</w:t>
      </w:r>
      <w:r w:rsidRPr="00EC5881">
        <w:rPr>
          <w:rFonts w:cs="Arial"/>
          <w:sz w:val="18"/>
          <w:szCs w:val="22"/>
        </w:rPr>
        <w:tab/>
        <w:t>areály tělovýchovy a sportu</w:t>
      </w:r>
    </w:p>
    <w:p w14:paraId="4A5925F7"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PV</w:t>
      </w:r>
      <w:r w:rsidRPr="00EC5881">
        <w:rPr>
          <w:rFonts w:cs="Arial"/>
          <w:sz w:val="18"/>
          <w:szCs w:val="22"/>
        </w:rPr>
        <w:tab/>
        <w:t>zóna průmyslové výroby</w:t>
      </w:r>
    </w:p>
    <w:p w14:paraId="59124E1E"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NV</w:t>
      </w:r>
      <w:r w:rsidRPr="00EC5881">
        <w:rPr>
          <w:rFonts w:cs="Arial"/>
          <w:sz w:val="18"/>
          <w:szCs w:val="22"/>
        </w:rPr>
        <w:tab/>
        <w:t>zóna nerušící výroby a výrobních služeb</w:t>
      </w:r>
    </w:p>
    <w:p w14:paraId="2E4BC97D"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TV</w:t>
      </w:r>
      <w:r w:rsidRPr="00EC5881">
        <w:rPr>
          <w:rFonts w:cs="Arial"/>
          <w:sz w:val="18"/>
          <w:szCs w:val="22"/>
        </w:rPr>
        <w:tab/>
        <w:t>areály technického vybavení</w:t>
      </w:r>
    </w:p>
    <w:p w14:paraId="2C7D8C2A"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w:t>
      </w:r>
      <w:r w:rsidRPr="00EC5881">
        <w:rPr>
          <w:rFonts w:cs="Arial"/>
          <w:b/>
          <w:bCs/>
          <w:sz w:val="18"/>
          <w:szCs w:val="22"/>
        </w:rPr>
        <w:tab/>
      </w:r>
      <w:r w:rsidRPr="00EC5881">
        <w:rPr>
          <w:rFonts w:cs="Arial"/>
          <w:sz w:val="18"/>
          <w:szCs w:val="22"/>
        </w:rPr>
        <w:t>plochy a areály dopravy</w:t>
      </w:r>
    </w:p>
    <w:p w14:paraId="6776F33C"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ZV</w:t>
      </w:r>
      <w:r w:rsidRPr="00EC5881">
        <w:rPr>
          <w:rFonts w:cs="Arial"/>
          <w:sz w:val="18"/>
          <w:szCs w:val="22"/>
        </w:rPr>
        <w:tab/>
        <w:t>areály a služby zemědělské výroby, zahradnictví</w:t>
      </w:r>
    </w:p>
    <w:p w14:paraId="595E25AE"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Z</w:t>
      </w:r>
      <w:r w:rsidRPr="00EC5881">
        <w:rPr>
          <w:rFonts w:cs="Arial"/>
          <w:b/>
          <w:bCs/>
          <w:sz w:val="18"/>
          <w:szCs w:val="22"/>
        </w:rPr>
        <w:tab/>
      </w:r>
      <w:r w:rsidRPr="00EC5881">
        <w:rPr>
          <w:rFonts w:cs="Arial"/>
          <w:sz w:val="18"/>
          <w:szCs w:val="22"/>
        </w:rPr>
        <w:tab/>
        <w:t>zóna rekreačně klidová</w:t>
      </w:r>
    </w:p>
    <w:p w14:paraId="0BD858BC" w14:textId="77777777" w:rsidR="00EF1DD2" w:rsidRPr="00EC5881" w:rsidRDefault="00EF1DD2" w:rsidP="00EF1DD2">
      <w:pPr>
        <w:pStyle w:val="podnadpis2"/>
        <w:spacing w:before="120" w:after="0" w:line="288" w:lineRule="auto"/>
        <w:jc w:val="both"/>
        <w:rPr>
          <w:rFonts w:cs="Arial"/>
          <w:sz w:val="18"/>
          <w:szCs w:val="22"/>
        </w:rPr>
      </w:pPr>
      <w:r>
        <w:rPr>
          <w:rFonts w:cs="Arial"/>
          <w:sz w:val="18"/>
          <w:szCs w:val="22"/>
        </w:rPr>
        <w:br w:type="page"/>
      </w:r>
      <w:r w:rsidRPr="00EC5881">
        <w:rPr>
          <w:rFonts w:cs="Arial"/>
          <w:sz w:val="18"/>
          <w:szCs w:val="22"/>
        </w:rPr>
        <w:lastRenderedPageBreak/>
        <w:t>ÚZEMÍ neURBANIZOVANÉ</w:t>
      </w:r>
    </w:p>
    <w:p w14:paraId="05D0D395" w14:textId="77777777" w:rsidR="00EF1DD2" w:rsidRPr="00EC5881" w:rsidRDefault="00EF1DD2" w:rsidP="00EF1DD2">
      <w:pPr>
        <w:pStyle w:val="Zkladntext"/>
        <w:spacing w:before="120" w:line="288" w:lineRule="auto"/>
        <w:jc w:val="both"/>
        <w:rPr>
          <w:rFonts w:cs="Arial"/>
          <w:sz w:val="18"/>
          <w:szCs w:val="22"/>
        </w:rPr>
      </w:pPr>
      <w:r w:rsidRPr="00EC5881">
        <w:rPr>
          <w:rFonts w:cs="Arial"/>
          <w:sz w:val="18"/>
          <w:szCs w:val="22"/>
        </w:rPr>
        <w:t>zahrnuje</w:t>
      </w:r>
      <w:r w:rsidRPr="00EC5881">
        <w:rPr>
          <w:rFonts w:cs="Arial"/>
          <w:b/>
          <w:bCs/>
          <w:sz w:val="18"/>
          <w:szCs w:val="22"/>
        </w:rPr>
        <w:t xml:space="preserve"> území</w:t>
      </w:r>
      <w:r w:rsidRPr="00EC5881">
        <w:rPr>
          <w:rFonts w:cs="Arial"/>
          <w:sz w:val="18"/>
          <w:szCs w:val="22"/>
        </w:rPr>
        <w:t xml:space="preserve"> </w:t>
      </w:r>
      <w:r w:rsidRPr="00EC5881">
        <w:rPr>
          <w:rFonts w:cs="Arial"/>
          <w:b/>
          <w:bCs/>
          <w:sz w:val="18"/>
          <w:szCs w:val="22"/>
        </w:rPr>
        <w:t xml:space="preserve">nezastavitelné, </w:t>
      </w:r>
      <w:r w:rsidRPr="00EC5881">
        <w:rPr>
          <w:rFonts w:cs="Arial"/>
          <w:sz w:val="18"/>
          <w:szCs w:val="22"/>
        </w:rPr>
        <w:t>které není návrhem územního plánu</w:t>
      </w:r>
      <w:r w:rsidRPr="00EC5881">
        <w:rPr>
          <w:rFonts w:cs="Arial"/>
          <w:b/>
          <w:bCs/>
          <w:sz w:val="18"/>
          <w:szCs w:val="22"/>
        </w:rPr>
        <w:t xml:space="preserve"> </w:t>
      </w:r>
      <w:r w:rsidRPr="00EC5881">
        <w:rPr>
          <w:rFonts w:cs="Arial"/>
          <w:sz w:val="18"/>
          <w:szCs w:val="22"/>
        </w:rPr>
        <w:t>určeno k zastavění</w:t>
      </w:r>
    </w:p>
    <w:p w14:paraId="37519FD8"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CHÚ</w:t>
      </w:r>
      <w:r w:rsidRPr="00EC5881">
        <w:rPr>
          <w:rFonts w:cs="Arial"/>
          <w:sz w:val="18"/>
          <w:szCs w:val="22"/>
        </w:rPr>
        <w:tab/>
        <w:t>ZÓNA CHRÁNĚNÝCH ÚZEMÍ</w:t>
      </w:r>
    </w:p>
    <w:p w14:paraId="516DFB75"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ZPF</w:t>
      </w:r>
      <w:r w:rsidRPr="00EC5881">
        <w:rPr>
          <w:rFonts w:cs="Arial"/>
          <w:sz w:val="18"/>
          <w:szCs w:val="22"/>
        </w:rPr>
        <w:tab/>
        <w:t>ZÓNA ZEMĚDĚLSKÝCH KULTUR</w:t>
      </w:r>
    </w:p>
    <w:p w14:paraId="0354971E"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LPF</w:t>
      </w:r>
      <w:r w:rsidRPr="00EC5881">
        <w:rPr>
          <w:rFonts w:cs="Arial"/>
          <w:b/>
          <w:bCs/>
          <w:sz w:val="18"/>
          <w:szCs w:val="22"/>
        </w:rPr>
        <w:tab/>
      </w:r>
      <w:r w:rsidRPr="00EC5881">
        <w:rPr>
          <w:rFonts w:cs="Arial"/>
          <w:sz w:val="18"/>
          <w:szCs w:val="22"/>
        </w:rPr>
        <w:t xml:space="preserve">ZÓNA LESNÍCH KOMPLEXŮ </w:t>
      </w:r>
    </w:p>
    <w:p w14:paraId="5F3604AE" w14:textId="77777777" w:rsidR="00EF1DD2" w:rsidRDefault="00EF1DD2" w:rsidP="00EF1DD2">
      <w:pPr>
        <w:pStyle w:val="podnadpis2"/>
        <w:spacing w:before="120" w:after="0" w:line="288" w:lineRule="auto"/>
        <w:jc w:val="both"/>
        <w:rPr>
          <w:rFonts w:cs="Arial"/>
          <w:sz w:val="18"/>
          <w:szCs w:val="22"/>
        </w:rPr>
      </w:pPr>
    </w:p>
    <w:p w14:paraId="365E7C8D" w14:textId="77777777" w:rsidR="00EF1DD2" w:rsidRDefault="00EF1DD2" w:rsidP="00EF1DD2">
      <w:pPr>
        <w:pStyle w:val="podnadpis2"/>
        <w:spacing w:before="120" w:after="0" w:line="288" w:lineRule="auto"/>
        <w:jc w:val="both"/>
        <w:rPr>
          <w:rFonts w:cs="Arial"/>
          <w:sz w:val="18"/>
          <w:szCs w:val="22"/>
        </w:rPr>
      </w:pPr>
    </w:p>
    <w:p w14:paraId="61DD08EF" w14:textId="77777777" w:rsidR="00EF1DD2" w:rsidRPr="00EC5881" w:rsidRDefault="00EF1DD2" w:rsidP="00EF1DD2">
      <w:pPr>
        <w:pStyle w:val="podnadpis2"/>
        <w:spacing w:before="120" w:after="0" w:line="288" w:lineRule="auto"/>
        <w:jc w:val="both"/>
        <w:rPr>
          <w:rFonts w:cs="Arial"/>
          <w:sz w:val="18"/>
          <w:szCs w:val="22"/>
        </w:rPr>
      </w:pPr>
    </w:p>
    <w:p w14:paraId="77AC9F40" w14:textId="77777777" w:rsidR="00EF1DD2" w:rsidRDefault="00EF1DD2" w:rsidP="00EF1DD2">
      <w:pPr>
        <w:pStyle w:val="podnadpis2"/>
        <w:spacing w:before="120" w:line="288" w:lineRule="auto"/>
        <w:jc w:val="both"/>
        <w:rPr>
          <w:rFonts w:cs="Arial"/>
          <w:szCs w:val="22"/>
        </w:rPr>
      </w:pPr>
      <w:r w:rsidRPr="00EC5881">
        <w:rPr>
          <w:rFonts w:cs="Arial"/>
          <w:szCs w:val="22"/>
        </w:rPr>
        <w:t>funkční uspořádání</w:t>
      </w:r>
    </w:p>
    <w:p w14:paraId="34663FB4" w14:textId="77777777" w:rsidR="00EF1DD2" w:rsidRPr="00EC5881" w:rsidRDefault="00EF1DD2" w:rsidP="00EF1DD2">
      <w:pPr>
        <w:pStyle w:val="podnadpis2"/>
        <w:spacing w:before="120" w:after="0" w:line="288" w:lineRule="auto"/>
        <w:jc w:val="both"/>
        <w:rPr>
          <w:rFonts w:cs="Arial"/>
          <w:szCs w:val="22"/>
        </w:rPr>
      </w:pPr>
    </w:p>
    <w:p w14:paraId="51A6B422" w14:textId="77777777" w:rsidR="00EF1DD2" w:rsidRPr="00724306" w:rsidRDefault="00EF1DD2" w:rsidP="00EF1DD2">
      <w:pPr>
        <w:pStyle w:val="Zkladntext"/>
        <w:numPr>
          <w:ilvl w:val="0"/>
          <w:numId w:val="123"/>
        </w:numPr>
        <w:suppressAutoHyphens w:val="0"/>
        <w:autoSpaceDE w:val="0"/>
        <w:autoSpaceDN w:val="0"/>
        <w:adjustRightInd w:val="0"/>
        <w:spacing w:before="120" w:after="0" w:line="288" w:lineRule="auto"/>
        <w:ind w:left="426"/>
        <w:jc w:val="both"/>
        <w:rPr>
          <w:rFonts w:ascii="Arial" w:hAnsi="Arial" w:cs="Arial"/>
          <w:sz w:val="18"/>
          <w:szCs w:val="22"/>
        </w:rPr>
      </w:pPr>
      <w:r w:rsidRPr="00724306">
        <w:rPr>
          <w:rFonts w:ascii="Arial" w:hAnsi="Arial" w:cs="Arial"/>
          <w:sz w:val="18"/>
          <w:szCs w:val="22"/>
        </w:rPr>
        <w:t>Návrh funkčního využití území (zón) musí odpovídat i způsob jeho využívání a zejména pak účel lokalizovaných staveb včetně jejich změn a změn jejich využití. Stavby a další opatření, která navrženému funkčnímu využití území neodpovídají, nesmí být v tomto prostoru - zóně povoleny.</w:t>
      </w:r>
    </w:p>
    <w:p w14:paraId="03594ABB" w14:textId="77777777" w:rsidR="00EF1DD2" w:rsidRPr="00724306" w:rsidRDefault="00EF1DD2" w:rsidP="00EF1DD2">
      <w:pPr>
        <w:pStyle w:val="Zkladntext"/>
        <w:numPr>
          <w:ilvl w:val="0"/>
          <w:numId w:val="123"/>
        </w:numPr>
        <w:suppressAutoHyphens w:val="0"/>
        <w:autoSpaceDE w:val="0"/>
        <w:autoSpaceDN w:val="0"/>
        <w:adjustRightInd w:val="0"/>
        <w:spacing w:before="120" w:after="0" w:line="288" w:lineRule="auto"/>
        <w:ind w:left="426"/>
        <w:jc w:val="both"/>
        <w:rPr>
          <w:rFonts w:ascii="Arial" w:hAnsi="Arial" w:cs="Arial"/>
          <w:sz w:val="18"/>
          <w:szCs w:val="22"/>
        </w:rPr>
      </w:pPr>
      <w:r w:rsidRPr="00724306">
        <w:rPr>
          <w:rFonts w:ascii="Arial" w:hAnsi="Arial" w:cs="Arial"/>
          <w:sz w:val="18"/>
          <w:szCs w:val="22"/>
        </w:rPr>
        <w:t>Dosavadní způsob využití polyfunkčních i monofunkčních zón, který neodpovídá navrženému funkčnímu využití dle ÚP, je možný v těch případech, pokud nenarušuje veřejné zájmy a další normativy, zejména pak z hlediska tvorby a ochrany životního prostředí.</w:t>
      </w:r>
    </w:p>
    <w:p w14:paraId="13949B43" w14:textId="77777777" w:rsidR="00EF1DD2" w:rsidRPr="00724306" w:rsidRDefault="00EF1DD2" w:rsidP="00EF1DD2">
      <w:pPr>
        <w:pStyle w:val="Zkladntext"/>
        <w:numPr>
          <w:ilvl w:val="0"/>
          <w:numId w:val="123"/>
        </w:numPr>
        <w:suppressAutoHyphens w:val="0"/>
        <w:autoSpaceDE w:val="0"/>
        <w:autoSpaceDN w:val="0"/>
        <w:adjustRightInd w:val="0"/>
        <w:spacing w:before="120" w:after="0" w:line="288" w:lineRule="auto"/>
        <w:ind w:left="426"/>
        <w:jc w:val="both"/>
        <w:rPr>
          <w:rFonts w:ascii="Arial" w:hAnsi="Arial" w:cs="Arial"/>
          <w:sz w:val="18"/>
          <w:szCs w:val="22"/>
        </w:rPr>
      </w:pPr>
      <w:r w:rsidRPr="00724306">
        <w:rPr>
          <w:rFonts w:ascii="Arial" w:hAnsi="Arial" w:cs="Arial"/>
          <w:sz w:val="18"/>
          <w:szCs w:val="22"/>
        </w:rPr>
        <w:t xml:space="preserve">Umisťování a povolování staveb technického vybavení pro obsluhu jednotlivých zón je přípustné jen tehdy, pokud nebudou mít vliv na jejich dominantní funkci. </w:t>
      </w:r>
    </w:p>
    <w:p w14:paraId="47151D13" w14:textId="77777777" w:rsidR="00EF1DD2" w:rsidRPr="00724306" w:rsidRDefault="00EF1DD2" w:rsidP="00EF1DD2">
      <w:pPr>
        <w:pStyle w:val="Zkladntext"/>
        <w:numPr>
          <w:ilvl w:val="0"/>
          <w:numId w:val="123"/>
        </w:numPr>
        <w:suppressAutoHyphens w:val="0"/>
        <w:autoSpaceDE w:val="0"/>
        <w:autoSpaceDN w:val="0"/>
        <w:adjustRightInd w:val="0"/>
        <w:spacing w:before="120" w:after="0" w:line="288" w:lineRule="auto"/>
        <w:ind w:left="426"/>
        <w:jc w:val="both"/>
        <w:rPr>
          <w:rFonts w:ascii="Arial" w:hAnsi="Arial" w:cs="Arial"/>
          <w:sz w:val="18"/>
          <w:szCs w:val="22"/>
        </w:rPr>
      </w:pPr>
      <w:r w:rsidRPr="00724306">
        <w:rPr>
          <w:rFonts w:ascii="Arial" w:hAnsi="Arial" w:cs="Arial"/>
          <w:sz w:val="18"/>
          <w:szCs w:val="22"/>
        </w:rPr>
        <w:t>Umisťování ploch dopravy v klidu pro osobní vozidla je přípustné ve všech polyfunkčních i monofunkčních zónách, na plochách občanského vybavení a rekreace, pokud nebudou mít vliv na jejich dominantní funkci.</w:t>
      </w:r>
    </w:p>
    <w:p w14:paraId="1009438A" w14:textId="77777777" w:rsidR="00EF1DD2" w:rsidRPr="00724306" w:rsidRDefault="00EF1DD2" w:rsidP="00EF1DD2">
      <w:pPr>
        <w:pStyle w:val="Zkladntext"/>
        <w:spacing w:before="120" w:after="0" w:line="288" w:lineRule="auto"/>
        <w:ind w:left="426"/>
        <w:jc w:val="both"/>
        <w:rPr>
          <w:rFonts w:ascii="Arial" w:hAnsi="Arial" w:cs="Arial"/>
          <w:sz w:val="18"/>
          <w:szCs w:val="22"/>
        </w:rPr>
      </w:pPr>
    </w:p>
    <w:p w14:paraId="4E70AC3F" w14:textId="77777777" w:rsidR="00EF1DD2" w:rsidRPr="00724306" w:rsidRDefault="00EF1DD2" w:rsidP="00EF1DD2">
      <w:pPr>
        <w:pStyle w:val="Zkladntext"/>
        <w:spacing w:before="120" w:after="0" w:line="288" w:lineRule="auto"/>
        <w:jc w:val="both"/>
        <w:rPr>
          <w:rFonts w:ascii="Arial" w:hAnsi="Arial" w:cs="Arial"/>
          <w:sz w:val="18"/>
          <w:szCs w:val="22"/>
        </w:rPr>
      </w:pPr>
      <w:r w:rsidRPr="00724306">
        <w:rPr>
          <w:rFonts w:ascii="Arial" w:hAnsi="Arial" w:cs="Arial"/>
          <w:b/>
          <w:bCs/>
          <w:sz w:val="18"/>
          <w:szCs w:val="22"/>
        </w:rPr>
        <w:t>SC</w:t>
      </w:r>
      <w:r w:rsidRPr="00724306">
        <w:rPr>
          <w:rFonts w:ascii="Arial" w:hAnsi="Arial" w:cs="Arial"/>
          <w:sz w:val="18"/>
          <w:szCs w:val="22"/>
        </w:rPr>
        <w:t xml:space="preserve"> </w:t>
      </w:r>
      <w:r w:rsidRPr="00724306">
        <w:rPr>
          <w:rFonts w:ascii="Arial" w:hAnsi="Arial" w:cs="Arial"/>
          <w:sz w:val="18"/>
          <w:szCs w:val="22"/>
        </w:rPr>
        <w:tab/>
      </w:r>
      <w:r w:rsidRPr="00724306">
        <w:rPr>
          <w:rFonts w:ascii="Arial" w:hAnsi="Arial" w:cs="Arial"/>
          <w:b/>
          <w:bCs/>
          <w:caps/>
          <w:sz w:val="18"/>
          <w:szCs w:val="22"/>
        </w:rPr>
        <w:t>smíšená centrální zóna</w:t>
      </w:r>
    </w:p>
    <w:p w14:paraId="538CBFAE" w14:textId="77777777" w:rsidR="00EF1DD2" w:rsidRPr="00724306" w:rsidRDefault="00EF1DD2" w:rsidP="00EF1DD2">
      <w:pPr>
        <w:pStyle w:val="Zkladntext"/>
        <w:spacing w:before="120" w:after="0" w:line="288" w:lineRule="auto"/>
        <w:ind w:left="709"/>
        <w:jc w:val="both"/>
        <w:rPr>
          <w:rFonts w:ascii="Arial" w:hAnsi="Arial" w:cs="Arial"/>
          <w:sz w:val="18"/>
          <w:szCs w:val="22"/>
        </w:rPr>
      </w:pPr>
      <w:r w:rsidRPr="00724306">
        <w:rPr>
          <w:rFonts w:ascii="Arial" w:hAnsi="Arial" w:cs="Arial"/>
          <w:sz w:val="18"/>
          <w:szCs w:val="22"/>
        </w:rPr>
        <w:t>zahrnuje centrální historické území města, vymezené v rozsahu původních samostatných měst na obou březích Labe, je součástí navržené krajinné památkové zóny</w:t>
      </w:r>
    </w:p>
    <w:p w14:paraId="59A26B66" w14:textId="77777777" w:rsidR="00EF1DD2" w:rsidRPr="00724306" w:rsidRDefault="00EF1DD2" w:rsidP="00EF1DD2">
      <w:pPr>
        <w:pStyle w:val="Zkladntext"/>
        <w:spacing w:before="120" w:after="0" w:line="288" w:lineRule="auto"/>
        <w:ind w:left="709"/>
        <w:jc w:val="both"/>
        <w:rPr>
          <w:rFonts w:ascii="Arial" w:hAnsi="Arial" w:cs="Arial"/>
          <w:sz w:val="18"/>
          <w:szCs w:val="22"/>
        </w:rPr>
      </w:pPr>
      <w:r w:rsidRPr="00724306">
        <w:rPr>
          <w:rFonts w:ascii="Arial" w:hAnsi="Arial" w:cs="Arial"/>
          <w:sz w:val="18"/>
          <w:szCs w:val="22"/>
        </w:rPr>
        <w:t>DĚČÍN - PODMOKLY (CENTRÁLNÍ ČÁST)</w:t>
      </w:r>
    </w:p>
    <w:p w14:paraId="46FF0531" w14:textId="77777777" w:rsidR="00EF1DD2" w:rsidRPr="00724306" w:rsidRDefault="00EF1DD2" w:rsidP="00EF1DD2">
      <w:pPr>
        <w:pStyle w:val="Texttabulky"/>
        <w:spacing w:before="120" w:after="0" w:line="288" w:lineRule="auto"/>
        <w:ind w:left="709"/>
        <w:jc w:val="both"/>
        <w:rPr>
          <w:rFonts w:cs="Arial"/>
          <w:sz w:val="18"/>
          <w:szCs w:val="22"/>
        </w:rPr>
      </w:pPr>
      <w:r w:rsidRPr="00724306">
        <w:rPr>
          <w:rFonts w:cs="Arial"/>
          <w:b/>
          <w:bCs/>
          <w:sz w:val="18"/>
          <w:szCs w:val="22"/>
        </w:rPr>
        <w:t>dominantní:</w:t>
      </w:r>
      <w:r w:rsidRPr="00724306">
        <w:rPr>
          <w:rFonts w:cs="Arial"/>
          <w:sz w:val="18"/>
          <w:szCs w:val="22"/>
        </w:rPr>
        <w:t xml:space="preserve"> vybavenost celoměstského a lokálního charakteru (administrativně správní, obchodní, zdravotní a sociální, kulturní, církevní, ubytování) odpovídající komunikační síť (hlavní ulice s charakterem městské třídy), MHD, parkovací plochy a garáže, stanice PHM, zeleň liniová i plošná, nezbytná technická infrastruktura</w:t>
      </w:r>
    </w:p>
    <w:p w14:paraId="4076FA2C" w14:textId="77777777" w:rsidR="00EF1DD2" w:rsidRPr="00724306" w:rsidRDefault="00EF1DD2" w:rsidP="00EF1DD2">
      <w:pPr>
        <w:pStyle w:val="Texttabulky"/>
        <w:spacing w:before="120" w:after="0" w:line="288" w:lineRule="auto"/>
        <w:ind w:left="709"/>
        <w:jc w:val="both"/>
        <w:rPr>
          <w:rFonts w:cs="Arial"/>
          <w:sz w:val="18"/>
          <w:szCs w:val="22"/>
        </w:rPr>
      </w:pPr>
      <w:r w:rsidRPr="00724306">
        <w:rPr>
          <w:rFonts w:cs="Arial"/>
          <w:b/>
          <w:bCs/>
          <w:sz w:val="18"/>
          <w:szCs w:val="22"/>
        </w:rPr>
        <w:t xml:space="preserve">vhodné: </w:t>
      </w:r>
      <w:r w:rsidRPr="00724306">
        <w:rPr>
          <w:rFonts w:cs="Arial"/>
          <w:sz w:val="18"/>
          <w:szCs w:val="22"/>
        </w:rPr>
        <w:t>trvalé bydlení v městských i bytových domech považovat za nezbytné, individuelní trvalé bydlení pak výjimečně, zařízení obchodu, školství, veřejného stravování, tělovýchovné areály, nerušící provozy drobné výroby a služeb</w:t>
      </w:r>
    </w:p>
    <w:p w14:paraId="2F684DDD" w14:textId="77777777" w:rsidR="00EF1DD2" w:rsidRPr="00724306" w:rsidRDefault="00EF1DD2" w:rsidP="00EF1DD2">
      <w:pPr>
        <w:pStyle w:val="Texttabulky"/>
        <w:spacing w:before="120" w:after="0" w:line="288" w:lineRule="auto"/>
        <w:ind w:left="709"/>
        <w:jc w:val="both"/>
        <w:rPr>
          <w:rFonts w:cs="Arial"/>
          <w:sz w:val="18"/>
          <w:szCs w:val="22"/>
        </w:rPr>
      </w:pPr>
      <w:r w:rsidRPr="00724306">
        <w:rPr>
          <w:rFonts w:cs="Arial"/>
          <w:b/>
          <w:bCs/>
          <w:sz w:val="18"/>
          <w:szCs w:val="22"/>
        </w:rPr>
        <w:t xml:space="preserve">nepřípustné: </w:t>
      </w:r>
      <w:r w:rsidRPr="00724306">
        <w:rPr>
          <w:rFonts w:cs="Arial"/>
          <w:sz w:val="18"/>
          <w:szCs w:val="22"/>
        </w:rPr>
        <w:t>areály výroby, skladů, dopravních zařízení a rušících výrobních služeb</w:t>
      </w:r>
    </w:p>
    <w:p w14:paraId="4F7FF5FE" w14:textId="77777777" w:rsidR="00EF1DD2" w:rsidRPr="00724306" w:rsidRDefault="00EF1DD2" w:rsidP="00EF1DD2">
      <w:pPr>
        <w:pStyle w:val="Zkladntext"/>
        <w:spacing w:before="120" w:after="0" w:line="288" w:lineRule="auto"/>
        <w:ind w:left="709"/>
        <w:jc w:val="both"/>
        <w:rPr>
          <w:rFonts w:ascii="Arial" w:hAnsi="Arial" w:cs="Arial"/>
          <w:sz w:val="18"/>
          <w:szCs w:val="22"/>
        </w:rPr>
      </w:pPr>
      <w:r w:rsidRPr="00724306">
        <w:rPr>
          <w:rFonts w:ascii="Arial" w:hAnsi="Arial" w:cs="Arial"/>
          <w:b/>
          <w:bCs/>
          <w:sz w:val="18"/>
          <w:szCs w:val="22"/>
        </w:rPr>
        <w:t xml:space="preserve">polyfunkční městské domy </w:t>
      </w:r>
      <w:r w:rsidRPr="00724306">
        <w:rPr>
          <w:rFonts w:ascii="Arial" w:hAnsi="Arial" w:cs="Arial"/>
          <w:sz w:val="18"/>
          <w:szCs w:val="22"/>
        </w:rPr>
        <w:t xml:space="preserve">s odpovídajícím uspořádáním parteru a 50 % trvalým bydlením, </w:t>
      </w:r>
      <w:r w:rsidRPr="00724306">
        <w:rPr>
          <w:rFonts w:ascii="Arial" w:hAnsi="Arial" w:cs="Arial"/>
          <w:b/>
          <w:bCs/>
          <w:sz w:val="18"/>
          <w:szCs w:val="22"/>
        </w:rPr>
        <w:t>monofunkční bytové domy a vila domy</w:t>
      </w:r>
      <w:r w:rsidRPr="00724306">
        <w:rPr>
          <w:rFonts w:ascii="Arial" w:hAnsi="Arial" w:cs="Arial"/>
          <w:sz w:val="18"/>
          <w:szCs w:val="22"/>
        </w:rPr>
        <w:t xml:space="preserve"> se 100 % trvalým bydlením a regulativy, vyplývající z podmínek příslušného prostoru či lokality, (tvar střech, počet podlaží, uliční čára, stavební čára, pestrá skladba arch. prvků a detailů, členění fasád - okna, výkladce, reklamy, obytný vnitroblok (zeleň, PP), půdní vestavby, bez dominant </w:t>
      </w:r>
    </w:p>
    <w:p w14:paraId="7B0D01E3" w14:textId="77777777" w:rsidR="00EF1DD2" w:rsidRPr="00724306" w:rsidRDefault="00EF1DD2" w:rsidP="00EF1DD2">
      <w:pPr>
        <w:pStyle w:val="Zkladntext"/>
        <w:spacing w:before="120" w:after="0" w:line="288" w:lineRule="auto"/>
        <w:ind w:left="709"/>
        <w:jc w:val="both"/>
        <w:rPr>
          <w:rFonts w:ascii="Arial" w:hAnsi="Arial" w:cs="Arial"/>
          <w:sz w:val="18"/>
          <w:szCs w:val="22"/>
        </w:rPr>
      </w:pPr>
      <w:r w:rsidRPr="00724306">
        <w:rPr>
          <w:rFonts w:ascii="Arial" w:hAnsi="Arial" w:cs="Arial"/>
          <w:b/>
          <w:bCs/>
          <w:sz w:val="18"/>
          <w:szCs w:val="22"/>
        </w:rPr>
        <w:t>doporučení</w:t>
      </w:r>
      <w:r w:rsidRPr="00724306">
        <w:rPr>
          <w:rFonts w:ascii="Arial" w:hAnsi="Arial" w:cs="Arial"/>
          <w:sz w:val="18"/>
          <w:szCs w:val="22"/>
        </w:rPr>
        <w:t>: dostavba proluk, modernizace, rekonstrukce a přestavba tohoto území je prvořadá, zpracovat regulační plán, vymístit nevhodné provozy</w:t>
      </w:r>
    </w:p>
    <w:p w14:paraId="3D0E61E4" w14:textId="77777777" w:rsidR="00EF1DD2" w:rsidRPr="00724306" w:rsidRDefault="00EF1DD2" w:rsidP="00EF1DD2">
      <w:pPr>
        <w:pStyle w:val="Zkladntext"/>
        <w:spacing w:before="120" w:after="0" w:line="288" w:lineRule="auto"/>
        <w:jc w:val="both"/>
        <w:rPr>
          <w:rFonts w:ascii="Arial" w:hAnsi="Arial" w:cs="Arial"/>
          <w:sz w:val="18"/>
          <w:szCs w:val="22"/>
        </w:rPr>
      </w:pPr>
      <w:r w:rsidRPr="00724306">
        <w:rPr>
          <w:rFonts w:ascii="Arial" w:hAnsi="Arial" w:cs="Arial"/>
          <w:sz w:val="18"/>
          <w:szCs w:val="22"/>
        </w:rPr>
        <w:br w:type="page"/>
      </w:r>
      <w:r w:rsidRPr="00724306">
        <w:rPr>
          <w:rFonts w:ascii="Arial" w:hAnsi="Arial" w:cs="Arial"/>
          <w:b/>
          <w:bCs/>
          <w:sz w:val="18"/>
          <w:szCs w:val="22"/>
        </w:rPr>
        <w:lastRenderedPageBreak/>
        <w:t>SM</w:t>
      </w:r>
      <w:r w:rsidRPr="00724306">
        <w:rPr>
          <w:rFonts w:ascii="Arial" w:hAnsi="Arial" w:cs="Arial"/>
          <w:sz w:val="18"/>
          <w:szCs w:val="22"/>
        </w:rPr>
        <w:tab/>
      </w:r>
      <w:r w:rsidRPr="00724306">
        <w:rPr>
          <w:rFonts w:ascii="Arial" w:hAnsi="Arial" w:cs="Arial"/>
          <w:b/>
          <w:bCs/>
          <w:caps/>
          <w:sz w:val="18"/>
          <w:szCs w:val="22"/>
        </w:rPr>
        <w:t>smíšená městská zóna</w:t>
      </w:r>
    </w:p>
    <w:p w14:paraId="6BCE4E8D" w14:textId="77777777" w:rsidR="00EF1DD2" w:rsidRPr="00724306" w:rsidRDefault="00EF1DD2" w:rsidP="00EF1DD2">
      <w:pPr>
        <w:pStyle w:val="Zkladntext"/>
        <w:spacing w:after="0" w:line="288" w:lineRule="auto"/>
        <w:ind w:left="709"/>
        <w:jc w:val="both"/>
        <w:rPr>
          <w:rFonts w:ascii="Arial" w:hAnsi="Arial" w:cs="Arial"/>
          <w:sz w:val="18"/>
          <w:szCs w:val="22"/>
        </w:rPr>
      </w:pPr>
      <w:r w:rsidRPr="00724306">
        <w:rPr>
          <w:rFonts w:ascii="Arial" w:hAnsi="Arial" w:cs="Arial"/>
          <w:sz w:val="18"/>
          <w:szCs w:val="22"/>
        </w:rPr>
        <w:t>zahrnuje dominantní obytné území města na obou březích Labe s vysokým podílem kolektivního bydlení</w:t>
      </w:r>
    </w:p>
    <w:p w14:paraId="64A8788C" w14:textId="77777777" w:rsidR="00EF1DD2" w:rsidRPr="00724306" w:rsidRDefault="00EF1DD2" w:rsidP="00EF1DD2">
      <w:pPr>
        <w:pStyle w:val="Zkladntext"/>
        <w:spacing w:after="0" w:line="288" w:lineRule="auto"/>
        <w:ind w:left="709"/>
        <w:jc w:val="both"/>
        <w:rPr>
          <w:rFonts w:ascii="Arial" w:hAnsi="Arial" w:cs="Arial"/>
          <w:caps/>
          <w:sz w:val="18"/>
          <w:szCs w:val="22"/>
        </w:rPr>
      </w:pPr>
      <w:r w:rsidRPr="00724306">
        <w:rPr>
          <w:rFonts w:ascii="Arial" w:hAnsi="Arial" w:cs="Arial"/>
          <w:caps/>
          <w:sz w:val="18"/>
          <w:szCs w:val="22"/>
        </w:rPr>
        <w:t>NOVÉ MĚSTO, STARÉ MĚSTO, ŽELENICE, bynov, BŘEZINY, BOLETICE n. Lab.</w:t>
      </w:r>
    </w:p>
    <w:p w14:paraId="2E25807B" w14:textId="77777777" w:rsidR="00EF1DD2" w:rsidRPr="00724306" w:rsidRDefault="00EF1DD2" w:rsidP="00EF1DD2">
      <w:pPr>
        <w:pStyle w:val="Zkladntext"/>
        <w:spacing w:after="0" w:line="288" w:lineRule="auto"/>
        <w:ind w:left="709"/>
        <w:jc w:val="both"/>
        <w:rPr>
          <w:rFonts w:ascii="Arial" w:hAnsi="Arial" w:cs="Arial"/>
          <w:sz w:val="18"/>
          <w:szCs w:val="22"/>
        </w:rPr>
      </w:pPr>
    </w:p>
    <w:p w14:paraId="6FBEBE8E" w14:textId="77777777" w:rsidR="00EF1DD2" w:rsidRPr="00724306" w:rsidRDefault="00EF1DD2" w:rsidP="00EF1DD2">
      <w:pPr>
        <w:pStyle w:val="Zkladntext"/>
        <w:spacing w:after="0" w:line="288" w:lineRule="auto"/>
        <w:ind w:left="709"/>
        <w:jc w:val="both"/>
        <w:rPr>
          <w:rFonts w:ascii="Arial" w:hAnsi="Arial" w:cs="Arial"/>
          <w:sz w:val="18"/>
          <w:szCs w:val="22"/>
        </w:rPr>
      </w:pPr>
      <w:r w:rsidRPr="00724306">
        <w:rPr>
          <w:rFonts w:ascii="Arial" w:hAnsi="Arial" w:cs="Arial"/>
          <w:b/>
          <w:bCs/>
          <w:sz w:val="18"/>
          <w:szCs w:val="22"/>
        </w:rPr>
        <w:t>dominantní:</w:t>
      </w:r>
      <w:r w:rsidRPr="00724306">
        <w:rPr>
          <w:rFonts w:ascii="Arial" w:hAnsi="Arial" w:cs="Arial"/>
          <w:sz w:val="18"/>
          <w:szCs w:val="22"/>
        </w:rPr>
        <w:t xml:space="preserve"> trvalé bydlení v městských i bytových domech, individuelní trvalé bydlení, zařízení obchodu, školství, veřejného stravování, tělovýchovné areály, nerušící provozy drobné výroby a služeb</w:t>
      </w:r>
    </w:p>
    <w:p w14:paraId="03A13F8E" w14:textId="77777777" w:rsidR="00EF1DD2" w:rsidRPr="00724306" w:rsidRDefault="00EF1DD2" w:rsidP="00EF1DD2">
      <w:pPr>
        <w:pStyle w:val="Zkladntext"/>
        <w:spacing w:after="0" w:line="288" w:lineRule="auto"/>
        <w:ind w:left="709"/>
        <w:jc w:val="both"/>
        <w:rPr>
          <w:rFonts w:ascii="Arial" w:hAnsi="Arial" w:cs="Arial"/>
          <w:sz w:val="18"/>
          <w:szCs w:val="22"/>
        </w:rPr>
      </w:pPr>
      <w:r w:rsidRPr="00724306">
        <w:rPr>
          <w:rFonts w:ascii="Arial" w:hAnsi="Arial" w:cs="Arial"/>
          <w:b/>
          <w:bCs/>
          <w:sz w:val="18"/>
          <w:szCs w:val="22"/>
        </w:rPr>
        <w:t xml:space="preserve">vhodné: </w:t>
      </w:r>
      <w:r w:rsidRPr="00724306">
        <w:rPr>
          <w:rFonts w:ascii="Arial" w:hAnsi="Arial" w:cs="Arial"/>
          <w:sz w:val="18"/>
          <w:szCs w:val="22"/>
        </w:rPr>
        <w:t>vybavenost celoměstského a lokálního charakteru (zdravotní a sociální, kulturní, církevní, ubytování) odpovídající komunikační síť (hlavní ulice s charakterem městské třídy), MHD, parkovací plochy a garáže, stanice PHM, zeleň liniová i plošná, nezbytná technická infrastruktura</w:t>
      </w:r>
    </w:p>
    <w:p w14:paraId="5C0FE8B3" w14:textId="77777777" w:rsidR="00EF1DD2" w:rsidRPr="00724306" w:rsidRDefault="00EF1DD2" w:rsidP="00EF1DD2">
      <w:pPr>
        <w:pStyle w:val="Zkladntext"/>
        <w:spacing w:after="0" w:line="288" w:lineRule="auto"/>
        <w:ind w:left="709"/>
        <w:jc w:val="both"/>
        <w:rPr>
          <w:rFonts w:ascii="Arial" w:hAnsi="Arial" w:cs="Arial"/>
          <w:sz w:val="18"/>
          <w:szCs w:val="22"/>
        </w:rPr>
      </w:pPr>
      <w:r w:rsidRPr="00724306">
        <w:rPr>
          <w:rFonts w:ascii="Arial" w:hAnsi="Arial" w:cs="Arial"/>
          <w:b/>
          <w:bCs/>
          <w:sz w:val="18"/>
          <w:szCs w:val="22"/>
        </w:rPr>
        <w:t xml:space="preserve">nepřípustné: </w:t>
      </w:r>
      <w:r w:rsidRPr="00724306">
        <w:rPr>
          <w:rFonts w:ascii="Arial" w:hAnsi="Arial" w:cs="Arial"/>
          <w:sz w:val="18"/>
          <w:szCs w:val="22"/>
        </w:rPr>
        <w:t>areály výroby, skladů, dopravních zařízení a rušících výrobních služeb</w:t>
      </w:r>
    </w:p>
    <w:p w14:paraId="695F0B1E" w14:textId="77777777" w:rsidR="00EF1DD2" w:rsidRPr="00724306" w:rsidRDefault="00EF1DD2" w:rsidP="00EF1DD2">
      <w:pPr>
        <w:pStyle w:val="Zkladntext"/>
        <w:spacing w:after="0" w:line="288" w:lineRule="auto"/>
        <w:ind w:left="709"/>
        <w:jc w:val="both"/>
        <w:rPr>
          <w:rFonts w:ascii="Arial" w:hAnsi="Arial" w:cs="Arial"/>
          <w:sz w:val="18"/>
          <w:szCs w:val="22"/>
        </w:rPr>
      </w:pPr>
    </w:p>
    <w:p w14:paraId="7E3A73E8" w14:textId="77777777" w:rsidR="00EF1DD2" w:rsidRPr="00724306" w:rsidRDefault="00EF1DD2" w:rsidP="00EF1DD2">
      <w:pPr>
        <w:pStyle w:val="Zkladntext"/>
        <w:spacing w:before="120" w:after="0" w:line="288" w:lineRule="auto"/>
        <w:ind w:left="709"/>
        <w:jc w:val="both"/>
        <w:rPr>
          <w:rFonts w:ascii="Arial" w:hAnsi="Arial" w:cs="Arial"/>
          <w:sz w:val="18"/>
          <w:szCs w:val="22"/>
        </w:rPr>
      </w:pPr>
      <w:r w:rsidRPr="00724306">
        <w:rPr>
          <w:rFonts w:ascii="Arial" w:hAnsi="Arial" w:cs="Arial"/>
          <w:b/>
          <w:bCs/>
          <w:sz w:val="18"/>
          <w:szCs w:val="22"/>
        </w:rPr>
        <w:t xml:space="preserve">polyfunkční městské domy </w:t>
      </w:r>
      <w:r w:rsidRPr="00724306">
        <w:rPr>
          <w:rFonts w:ascii="Arial" w:hAnsi="Arial" w:cs="Arial"/>
          <w:sz w:val="18"/>
          <w:szCs w:val="22"/>
        </w:rPr>
        <w:t xml:space="preserve">s odpovídajícím uspořádáním parteru a 50 % trvalým bydlením, </w:t>
      </w:r>
      <w:r w:rsidRPr="00724306">
        <w:rPr>
          <w:rFonts w:ascii="Arial" w:hAnsi="Arial" w:cs="Arial"/>
          <w:b/>
          <w:bCs/>
          <w:sz w:val="18"/>
          <w:szCs w:val="22"/>
        </w:rPr>
        <w:t>monofunkční bytové domy a vila domy</w:t>
      </w:r>
      <w:r w:rsidRPr="00724306">
        <w:rPr>
          <w:rFonts w:ascii="Arial" w:hAnsi="Arial" w:cs="Arial"/>
          <w:sz w:val="18"/>
          <w:szCs w:val="22"/>
        </w:rPr>
        <w:t xml:space="preserve"> se 100 % trvalým bydlením a regulativy, vyplývající z podmínek příslušného prostoru či lokality </w:t>
      </w:r>
    </w:p>
    <w:p w14:paraId="237D8EB5" w14:textId="77777777" w:rsidR="00EF1DD2" w:rsidRPr="00EC5881" w:rsidRDefault="00EF1DD2" w:rsidP="00EF1DD2">
      <w:pPr>
        <w:pStyle w:val="Zkladntext"/>
        <w:spacing w:before="120" w:after="0" w:line="288" w:lineRule="auto"/>
        <w:ind w:left="709"/>
        <w:jc w:val="both"/>
        <w:rPr>
          <w:rFonts w:cs="Arial"/>
          <w:sz w:val="18"/>
          <w:szCs w:val="22"/>
        </w:rPr>
      </w:pPr>
    </w:p>
    <w:p w14:paraId="22D8804F" w14:textId="77777777" w:rsidR="00EF1DD2" w:rsidRPr="00724306" w:rsidRDefault="00EF1DD2" w:rsidP="00EF1DD2">
      <w:pPr>
        <w:pStyle w:val="Zkladntext"/>
        <w:spacing w:after="0"/>
        <w:rPr>
          <w:rFonts w:ascii="Arial" w:hAnsi="Arial" w:cs="Arial"/>
          <w:sz w:val="18"/>
        </w:rPr>
      </w:pPr>
      <w:r w:rsidRPr="00724306">
        <w:rPr>
          <w:rFonts w:ascii="Arial" w:hAnsi="Arial" w:cs="Arial"/>
          <w:b/>
          <w:bCs/>
          <w:sz w:val="20"/>
          <w:szCs w:val="22"/>
        </w:rPr>
        <w:t>BM</w:t>
      </w:r>
      <w:r w:rsidRPr="00724306">
        <w:rPr>
          <w:rFonts w:ascii="Arial" w:hAnsi="Arial" w:cs="Arial"/>
          <w:sz w:val="18"/>
        </w:rPr>
        <w:tab/>
      </w:r>
      <w:r w:rsidRPr="00724306">
        <w:rPr>
          <w:rFonts w:ascii="Arial" w:hAnsi="Arial" w:cs="Arial"/>
          <w:b/>
          <w:bCs/>
          <w:caps/>
          <w:sz w:val="18"/>
        </w:rPr>
        <w:t>RD městského typu</w:t>
      </w:r>
    </w:p>
    <w:p w14:paraId="66BF2645" w14:textId="77777777" w:rsidR="00EF1DD2" w:rsidRPr="00724306" w:rsidRDefault="00EF1DD2" w:rsidP="00EF1DD2">
      <w:pPr>
        <w:pStyle w:val="Zkladntext"/>
        <w:spacing w:after="0"/>
        <w:rPr>
          <w:rFonts w:ascii="Arial" w:hAnsi="Arial" w:cs="Arial"/>
          <w:sz w:val="18"/>
        </w:rPr>
      </w:pPr>
      <w:r w:rsidRPr="00724306">
        <w:rPr>
          <w:rFonts w:ascii="Arial" w:hAnsi="Arial" w:cs="Arial"/>
          <w:sz w:val="16"/>
          <w:szCs w:val="18"/>
        </w:rPr>
        <w:tab/>
        <w:t xml:space="preserve">zahrnuje nejkvalitnější obytné území města s nejlepšími podmínkami pro trvalé bydlení  </w:t>
      </w:r>
    </w:p>
    <w:p w14:paraId="4E2C2186" w14:textId="77777777" w:rsidR="00EF1DD2" w:rsidRPr="00724306" w:rsidRDefault="00EF1DD2" w:rsidP="00EF1DD2">
      <w:pPr>
        <w:pStyle w:val="Zkladntext"/>
        <w:spacing w:after="0"/>
        <w:rPr>
          <w:rFonts w:ascii="Arial" w:hAnsi="Arial" w:cs="Arial"/>
          <w:sz w:val="18"/>
        </w:rPr>
      </w:pPr>
      <w:r w:rsidRPr="00724306">
        <w:rPr>
          <w:rFonts w:ascii="Arial" w:hAnsi="Arial" w:cs="Arial"/>
          <w:sz w:val="16"/>
          <w:szCs w:val="18"/>
        </w:rPr>
        <w:tab/>
        <w:t>BĚLÁ, ČECHY, JALŮVČÍ, ŠKRABKY, CHROCHVICE, LETNÁ, POPOVICE, HORNÍ OLDŘICHOV,</w:t>
      </w:r>
    </w:p>
    <w:p w14:paraId="0E0EE035" w14:textId="77777777" w:rsidR="00EF1DD2" w:rsidRPr="00724306" w:rsidRDefault="00EF1DD2" w:rsidP="00EF1DD2">
      <w:pPr>
        <w:pStyle w:val="Zkladntext"/>
        <w:spacing w:after="0"/>
        <w:rPr>
          <w:rFonts w:ascii="Arial" w:hAnsi="Arial" w:cs="Arial"/>
          <w:sz w:val="18"/>
        </w:rPr>
      </w:pPr>
      <w:r w:rsidRPr="00724306">
        <w:rPr>
          <w:rFonts w:ascii="Arial" w:hAnsi="Arial" w:cs="Arial"/>
          <w:sz w:val="16"/>
          <w:szCs w:val="18"/>
        </w:rPr>
        <w:tab/>
        <w:t>CHROCHVICE, FOLKNÁŘE, VILSNICE, KŘEŠICE, NEBOČADY</w:t>
      </w:r>
    </w:p>
    <w:p w14:paraId="6BBC1284" w14:textId="77777777" w:rsidR="00EF1DD2" w:rsidRPr="00724306" w:rsidRDefault="00EF1DD2" w:rsidP="00EF1DD2">
      <w:pPr>
        <w:pStyle w:val="Zkladntext"/>
        <w:spacing w:after="0"/>
        <w:rPr>
          <w:rFonts w:ascii="Arial" w:hAnsi="Arial" w:cs="Arial"/>
          <w:sz w:val="18"/>
        </w:rPr>
      </w:pPr>
    </w:p>
    <w:p w14:paraId="291F33D0" w14:textId="77777777" w:rsidR="00EF1DD2" w:rsidRPr="00724306" w:rsidRDefault="00EF1DD2" w:rsidP="00EF1DD2">
      <w:pPr>
        <w:pStyle w:val="Zkladntext"/>
        <w:spacing w:after="0"/>
        <w:rPr>
          <w:rFonts w:ascii="Arial" w:hAnsi="Arial" w:cs="Arial"/>
          <w:sz w:val="18"/>
        </w:rPr>
      </w:pPr>
      <w:r w:rsidRPr="00724306">
        <w:rPr>
          <w:rFonts w:ascii="Arial" w:hAnsi="Arial" w:cs="Arial"/>
          <w:b/>
          <w:bCs/>
          <w:sz w:val="18"/>
        </w:rPr>
        <w:tab/>
        <w:t xml:space="preserve">dominantní: </w:t>
      </w:r>
      <w:r w:rsidRPr="00724306">
        <w:rPr>
          <w:rFonts w:ascii="Arial" w:hAnsi="Arial" w:cs="Arial"/>
          <w:sz w:val="18"/>
        </w:rPr>
        <w:t xml:space="preserve">trvalé bydlení v rodinných domech, rodinné domy izolované, dvojdomy a řadové </w:t>
      </w:r>
      <w:r w:rsidRPr="00724306">
        <w:rPr>
          <w:rFonts w:ascii="Arial" w:hAnsi="Arial" w:cs="Arial"/>
          <w:sz w:val="18"/>
        </w:rPr>
        <w:tab/>
      </w:r>
      <w:r w:rsidRPr="00724306">
        <w:rPr>
          <w:rFonts w:ascii="Arial" w:hAnsi="Arial" w:cs="Arial"/>
          <w:sz w:val="18"/>
        </w:rPr>
        <w:tab/>
        <w:t xml:space="preserve">rodinné domy s obytnými  zahradami, vestavěnou garáží a bez možnosti chovu domácího </w:t>
      </w:r>
      <w:r w:rsidRPr="00724306">
        <w:rPr>
          <w:rFonts w:ascii="Arial" w:hAnsi="Arial" w:cs="Arial"/>
          <w:sz w:val="18"/>
        </w:rPr>
        <w:tab/>
      </w:r>
      <w:r w:rsidRPr="00724306">
        <w:rPr>
          <w:rFonts w:ascii="Arial" w:hAnsi="Arial" w:cs="Arial"/>
          <w:sz w:val="18"/>
        </w:rPr>
        <w:tab/>
        <w:t xml:space="preserve">zvířectva a výr. podnikatelských aktivit </w:t>
      </w:r>
    </w:p>
    <w:p w14:paraId="2D136EBB" w14:textId="77777777" w:rsidR="00EF1DD2" w:rsidRPr="00724306" w:rsidRDefault="00EF1DD2" w:rsidP="00EF1DD2">
      <w:pPr>
        <w:pStyle w:val="Zkladntext"/>
        <w:spacing w:after="0"/>
        <w:ind w:left="709"/>
        <w:rPr>
          <w:rFonts w:ascii="Arial" w:hAnsi="Arial" w:cs="Arial"/>
          <w:sz w:val="18"/>
        </w:rPr>
      </w:pPr>
      <w:r w:rsidRPr="00724306">
        <w:rPr>
          <w:rFonts w:ascii="Arial" w:hAnsi="Arial" w:cs="Arial"/>
          <w:b/>
          <w:bCs/>
          <w:sz w:val="18"/>
        </w:rPr>
        <w:t xml:space="preserve">vhodné : </w:t>
      </w:r>
      <w:r w:rsidRPr="00724306">
        <w:rPr>
          <w:rFonts w:ascii="Arial" w:hAnsi="Arial" w:cs="Arial"/>
          <w:sz w:val="18"/>
        </w:rPr>
        <w:t xml:space="preserve">lokální zařízení škol, maloobchodu, stravování a tělovýchovy, nerušící služby a "malé </w:t>
      </w:r>
      <w:r w:rsidRPr="00724306">
        <w:rPr>
          <w:rFonts w:ascii="Arial" w:hAnsi="Arial" w:cs="Arial"/>
          <w:sz w:val="18"/>
        </w:rPr>
        <w:tab/>
        <w:t>podnikání", nezbytné přístupové komunikace s MHD, plochy dopravy v klidu, zeleň plošná, strukturní i liniová, zahrádkářské osady, nezbytné technické vybavení</w:t>
      </w:r>
    </w:p>
    <w:p w14:paraId="5D8BD04D" w14:textId="77777777" w:rsidR="00EF1DD2" w:rsidRPr="00724306" w:rsidRDefault="00EF1DD2" w:rsidP="00EF1DD2">
      <w:pPr>
        <w:pStyle w:val="Zkladntext"/>
        <w:spacing w:after="0"/>
        <w:ind w:left="709"/>
        <w:rPr>
          <w:rFonts w:ascii="Arial" w:hAnsi="Arial" w:cs="Arial"/>
          <w:sz w:val="18"/>
        </w:rPr>
      </w:pPr>
      <w:r w:rsidRPr="00724306">
        <w:rPr>
          <w:rFonts w:ascii="Arial" w:hAnsi="Arial" w:cs="Arial"/>
          <w:b/>
          <w:bCs/>
          <w:sz w:val="18"/>
        </w:rPr>
        <w:t>nepřípustné:</w:t>
      </w:r>
      <w:r w:rsidRPr="00724306">
        <w:rPr>
          <w:rFonts w:ascii="Arial" w:hAnsi="Arial" w:cs="Arial"/>
          <w:sz w:val="18"/>
        </w:rPr>
        <w:t xml:space="preserve"> trvalé bydlení ve vícepodlažních bytových domech, výrobní podnikatelské </w:t>
      </w:r>
      <w:r w:rsidRPr="00724306">
        <w:rPr>
          <w:rFonts w:ascii="Arial" w:hAnsi="Arial" w:cs="Arial"/>
          <w:sz w:val="18"/>
        </w:rPr>
        <w:tab/>
        <w:t>aktivity, sklady a zařízení dopravy, rušící výrobní a opravárenské služby nedoporučuje se převod objektů do rekreačního fondu</w:t>
      </w:r>
    </w:p>
    <w:p w14:paraId="57C3080B" w14:textId="77777777" w:rsidR="00EF1DD2" w:rsidRPr="00724306" w:rsidRDefault="00EF1DD2" w:rsidP="00EF1DD2">
      <w:pPr>
        <w:pStyle w:val="Zkladntext"/>
        <w:spacing w:before="120" w:after="0" w:line="288" w:lineRule="auto"/>
        <w:jc w:val="both"/>
        <w:rPr>
          <w:rFonts w:ascii="Arial" w:hAnsi="Arial" w:cs="Arial"/>
          <w:sz w:val="18"/>
          <w:szCs w:val="22"/>
        </w:rPr>
      </w:pPr>
      <w:r w:rsidRPr="00724306">
        <w:rPr>
          <w:rFonts w:ascii="Arial" w:hAnsi="Arial" w:cs="Arial"/>
          <w:b/>
          <w:bCs/>
          <w:sz w:val="18"/>
          <w:szCs w:val="22"/>
        </w:rPr>
        <w:t>BV</w:t>
      </w:r>
      <w:r w:rsidRPr="00724306">
        <w:rPr>
          <w:rFonts w:ascii="Arial" w:hAnsi="Arial" w:cs="Arial"/>
          <w:sz w:val="18"/>
          <w:szCs w:val="22"/>
        </w:rPr>
        <w:tab/>
      </w:r>
      <w:r w:rsidRPr="00724306">
        <w:rPr>
          <w:rFonts w:ascii="Arial" w:hAnsi="Arial" w:cs="Arial"/>
          <w:b/>
          <w:bCs/>
          <w:caps/>
          <w:sz w:val="18"/>
          <w:szCs w:val="22"/>
        </w:rPr>
        <w:t>smíšená zóna s RD venkovského typu</w:t>
      </w:r>
    </w:p>
    <w:p w14:paraId="70186150" w14:textId="77777777" w:rsidR="00EF1DD2" w:rsidRPr="00724306" w:rsidRDefault="00EF1DD2" w:rsidP="00EF1DD2">
      <w:pPr>
        <w:pStyle w:val="Zkladntext"/>
        <w:spacing w:after="0" w:line="288" w:lineRule="auto"/>
        <w:ind w:left="709"/>
        <w:jc w:val="both"/>
        <w:rPr>
          <w:rFonts w:ascii="Arial" w:hAnsi="Arial" w:cs="Arial"/>
          <w:sz w:val="18"/>
          <w:szCs w:val="22"/>
        </w:rPr>
      </w:pPr>
      <w:r w:rsidRPr="00724306">
        <w:rPr>
          <w:rFonts w:ascii="Arial" w:hAnsi="Arial" w:cs="Arial"/>
          <w:sz w:val="18"/>
          <w:szCs w:val="22"/>
        </w:rPr>
        <w:t>zahrnuje obytné území a rekreační lokality ve venkovském prostoru města</w:t>
      </w:r>
    </w:p>
    <w:p w14:paraId="725A39AA" w14:textId="77777777" w:rsidR="00EF1DD2" w:rsidRPr="00724306" w:rsidRDefault="00EF1DD2" w:rsidP="00EF1DD2">
      <w:pPr>
        <w:pStyle w:val="Zkladntext"/>
        <w:spacing w:after="0" w:line="288" w:lineRule="auto"/>
        <w:ind w:left="709"/>
        <w:jc w:val="both"/>
        <w:rPr>
          <w:rFonts w:ascii="Arial" w:hAnsi="Arial" w:cs="Arial"/>
          <w:sz w:val="18"/>
          <w:szCs w:val="22"/>
        </w:rPr>
      </w:pPr>
      <w:r w:rsidRPr="00724306">
        <w:rPr>
          <w:rFonts w:ascii="Arial" w:hAnsi="Arial" w:cs="Arial"/>
          <w:sz w:val="18"/>
          <w:szCs w:val="22"/>
        </w:rPr>
        <w:t>KRÁSNÝ STUDENEC, LESNÁ, HORNÍ A DOLNÍ CHLUM, VELKÁ VELEŇ, HOŠTICE, SMORDOV, LESNÍ MLÝN, MAXIČKY</w:t>
      </w:r>
    </w:p>
    <w:p w14:paraId="0A63157D" w14:textId="77777777" w:rsidR="00EF1DD2" w:rsidRPr="00724306" w:rsidRDefault="00EF1DD2" w:rsidP="00EF1DD2">
      <w:pPr>
        <w:pStyle w:val="Zkladntext"/>
        <w:spacing w:after="0" w:line="288" w:lineRule="auto"/>
        <w:ind w:left="709"/>
        <w:jc w:val="both"/>
        <w:rPr>
          <w:rFonts w:ascii="Arial" w:hAnsi="Arial" w:cs="Arial"/>
          <w:sz w:val="18"/>
          <w:szCs w:val="22"/>
        </w:rPr>
      </w:pPr>
    </w:p>
    <w:p w14:paraId="163C1116" w14:textId="77777777" w:rsidR="00EF1DD2" w:rsidRPr="00724306" w:rsidRDefault="00EF1DD2" w:rsidP="00EF1DD2">
      <w:pPr>
        <w:pStyle w:val="Texttabulky"/>
        <w:spacing w:after="0" w:line="288" w:lineRule="auto"/>
        <w:ind w:left="709"/>
        <w:jc w:val="both"/>
        <w:rPr>
          <w:rFonts w:cs="Arial"/>
          <w:sz w:val="18"/>
          <w:szCs w:val="22"/>
        </w:rPr>
      </w:pPr>
      <w:r w:rsidRPr="00724306">
        <w:rPr>
          <w:rFonts w:cs="Arial"/>
          <w:b/>
          <w:bCs/>
          <w:sz w:val="18"/>
          <w:szCs w:val="22"/>
        </w:rPr>
        <w:t>dominantní:</w:t>
      </w:r>
      <w:r w:rsidRPr="00724306">
        <w:rPr>
          <w:rFonts w:cs="Arial"/>
          <w:sz w:val="18"/>
          <w:szCs w:val="22"/>
        </w:rPr>
        <w:t xml:space="preserve"> individuelní trvalé bydlení v příměstské zóně ve spojení s užitkovými zahradami a samozásobitelským hospodářstvím, ojediněle i v bytových domech, individuelní rekreace</w:t>
      </w:r>
    </w:p>
    <w:p w14:paraId="19684712" w14:textId="77777777" w:rsidR="00EF1DD2" w:rsidRPr="00724306" w:rsidRDefault="00EF1DD2" w:rsidP="00EF1DD2">
      <w:pPr>
        <w:pStyle w:val="Texttabulky"/>
        <w:spacing w:after="0" w:line="288" w:lineRule="auto"/>
        <w:ind w:left="709"/>
        <w:jc w:val="both"/>
        <w:rPr>
          <w:rFonts w:cs="Arial"/>
          <w:sz w:val="18"/>
          <w:szCs w:val="22"/>
        </w:rPr>
      </w:pPr>
      <w:r w:rsidRPr="00724306">
        <w:rPr>
          <w:rFonts w:cs="Arial"/>
          <w:b/>
          <w:bCs/>
          <w:sz w:val="18"/>
          <w:szCs w:val="22"/>
        </w:rPr>
        <w:t xml:space="preserve">vhodné: </w:t>
      </w:r>
      <w:r w:rsidRPr="00724306">
        <w:rPr>
          <w:rFonts w:cs="Arial"/>
          <w:sz w:val="18"/>
          <w:szCs w:val="22"/>
        </w:rPr>
        <w:t>lokální občanské vybavení (maloobchod, veřejné ubytování a stravování, sportovní zařízení) nerušící podnikatelské aktivity, odpovídající komunikace (přístupové a účelové) turistické trasy, odstavná parkoviště, MHD, všechny formy zeleně, nezbytná technická infrastruktura</w:t>
      </w:r>
    </w:p>
    <w:p w14:paraId="507B3B5B" w14:textId="77777777" w:rsidR="00EF1DD2" w:rsidRPr="00724306" w:rsidRDefault="00EF1DD2" w:rsidP="00EF1DD2">
      <w:pPr>
        <w:pStyle w:val="Texttabulky"/>
        <w:spacing w:after="0" w:line="288" w:lineRule="auto"/>
        <w:ind w:left="709"/>
        <w:jc w:val="both"/>
        <w:rPr>
          <w:rFonts w:cs="Arial"/>
          <w:sz w:val="18"/>
          <w:szCs w:val="22"/>
        </w:rPr>
      </w:pPr>
      <w:r w:rsidRPr="00724306">
        <w:rPr>
          <w:rFonts w:cs="Arial"/>
          <w:b/>
          <w:bCs/>
          <w:sz w:val="18"/>
          <w:szCs w:val="22"/>
        </w:rPr>
        <w:t>přípustné:</w:t>
      </w:r>
      <w:r w:rsidRPr="00724306">
        <w:rPr>
          <w:rFonts w:cs="Arial"/>
          <w:sz w:val="18"/>
          <w:szCs w:val="22"/>
        </w:rPr>
        <w:t xml:space="preserve"> areály zemědělské výroby (PHO), rodinné farmy </w:t>
      </w:r>
    </w:p>
    <w:p w14:paraId="22A0E648" w14:textId="77777777" w:rsidR="00EF1DD2" w:rsidRPr="00724306" w:rsidRDefault="00EF1DD2" w:rsidP="00EF1DD2">
      <w:pPr>
        <w:pStyle w:val="Texttabulky"/>
        <w:spacing w:after="0" w:line="288" w:lineRule="auto"/>
        <w:ind w:left="709"/>
        <w:jc w:val="both"/>
        <w:rPr>
          <w:rFonts w:cs="Arial"/>
          <w:sz w:val="18"/>
          <w:szCs w:val="22"/>
        </w:rPr>
      </w:pPr>
      <w:r w:rsidRPr="00724306">
        <w:rPr>
          <w:rFonts w:cs="Arial"/>
          <w:b/>
          <w:bCs/>
          <w:sz w:val="18"/>
          <w:szCs w:val="22"/>
        </w:rPr>
        <w:t xml:space="preserve">nepřípustné: </w:t>
      </w:r>
      <w:r w:rsidRPr="00724306">
        <w:rPr>
          <w:rFonts w:cs="Arial"/>
          <w:sz w:val="18"/>
          <w:szCs w:val="22"/>
        </w:rPr>
        <w:t>ostatní rušící výrobní aktivity a služby</w:t>
      </w:r>
    </w:p>
    <w:p w14:paraId="11AF11EE" w14:textId="77777777" w:rsidR="00EF1DD2" w:rsidRPr="00724306" w:rsidRDefault="00EF1DD2" w:rsidP="00EF1DD2">
      <w:pPr>
        <w:pStyle w:val="Zkladntext"/>
        <w:spacing w:after="0" w:line="288" w:lineRule="auto"/>
        <w:jc w:val="both"/>
        <w:rPr>
          <w:rFonts w:ascii="Arial" w:hAnsi="Arial" w:cs="Arial"/>
          <w:sz w:val="18"/>
          <w:szCs w:val="22"/>
        </w:rPr>
      </w:pPr>
      <w:r w:rsidRPr="00724306">
        <w:rPr>
          <w:rFonts w:ascii="Arial" w:hAnsi="Arial" w:cs="Arial"/>
          <w:b/>
          <w:bCs/>
          <w:sz w:val="18"/>
          <w:szCs w:val="22"/>
        </w:rPr>
        <w:t>OV</w:t>
      </w:r>
      <w:r w:rsidRPr="00724306">
        <w:rPr>
          <w:rFonts w:ascii="Arial" w:hAnsi="Arial" w:cs="Arial"/>
          <w:b/>
          <w:bCs/>
          <w:sz w:val="18"/>
          <w:szCs w:val="22"/>
        </w:rPr>
        <w:tab/>
      </w:r>
      <w:r w:rsidRPr="00724306">
        <w:rPr>
          <w:rFonts w:ascii="Arial" w:hAnsi="Arial" w:cs="Arial"/>
          <w:b/>
          <w:bCs/>
          <w:caps/>
          <w:sz w:val="18"/>
          <w:szCs w:val="22"/>
        </w:rPr>
        <w:t>objekty a areály občanského vybavení</w:t>
      </w:r>
    </w:p>
    <w:p w14:paraId="044F8CAA" w14:textId="77777777" w:rsidR="00EF1DD2" w:rsidRPr="00724306" w:rsidRDefault="00EF1DD2" w:rsidP="00EF1DD2">
      <w:pPr>
        <w:pStyle w:val="Zkladntext"/>
        <w:spacing w:after="0" w:line="288" w:lineRule="auto"/>
        <w:ind w:left="709"/>
        <w:jc w:val="both"/>
        <w:rPr>
          <w:rFonts w:ascii="Arial" w:hAnsi="Arial" w:cs="Arial"/>
          <w:sz w:val="18"/>
          <w:szCs w:val="22"/>
        </w:rPr>
      </w:pPr>
      <w:r w:rsidRPr="00724306">
        <w:rPr>
          <w:rFonts w:ascii="Arial" w:hAnsi="Arial" w:cs="Arial"/>
          <w:caps/>
          <w:sz w:val="18"/>
          <w:szCs w:val="22"/>
        </w:rPr>
        <w:t>v rámci celého území města</w:t>
      </w:r>
    </w:p>
    <w:p w14:paraId="7AD407E2" w14:textId="77777777" w:rsidR="00EF1DD2" w:rsidRPr="00724306" w:rsidRDefault="00EF1DD2" w:rsidP="00EF1DD2">
      <w:pPr>
        <w:pStyle w:val="Zkladntext"/>
        <w:spacing w:before="120" w:after="0" w:line="288" w:lineRule="auto"/>
        <w:ind w:left="709"/>
        <w:jc w:val="both"/>
        <w:rPr>
          <w:rFonts w:ascii="Arial" w:hAnsi="Arial" w:cs="Arial"/>
          <w:sz w:val="18"/>
          <w:szCs w:val="22"/>
        </w:rPr>
      </w:pPr>
      <w:r w:rsidRPr="00724306">
        <w:rPr>
          <w:rFonts w:ascii="Arial" w:hAnsi="Arial" w:cs="Arial"/>
          <w:b/>
          <w:bCs/>
          <w:sz w:val="18"/>
          <w:szCs w:val="22"/>
        </w:rPr>
        <w:t>dominantní:</w:t>
      </w:r>
      <w:r w:rsidRPr="00724306">
        <w:rPr>
          <w:rFonts w:ascii="Arial" w:hAnsi="Arial" w:cs="Arial"/>
          <w:sz w:val="18"/>
          <w:szCs w:val="22"/>
        </w:rPr>
        <w:t xml:space="preserve"> plochy a objekty školství (základní střední a VŠ), kultury a osvěty (divadla, kina, kulturní sály, ZOO), veřejné stravování a ubytování (hotely), zdravotnictví a sociální péče (nemocnice, poliklinika, domov důchodců, ústav sociální péče, zdravotní služby), velkoplošné obchodní jednotky (obchodní dům, nákupní komerční centrum), správa a administrativa</w:t>
      </w:r>
    </w:p>
    <w:p w14:paraId="333F56CC" w14:textId="77777777" w:rsidR="00EF1DD2" w:rsidRPr="00724306" w:rsidRDefault="00EF1DD2" w:rsidP="00EF1DD2">
      <w:pPr>
        <w:pStyle w:val="Zkladntext"/>
        <w:spacing w:before="120" w:after="0" w:line="288" w:lineRule="auto"/>
        <w:ind w:left="709"/>
        <w:jc w:val="both"/>
        <w:rPr>
          <w:rFonts w:ascii="Arial" w:hAnsi="Arial" w:cs="Arial"/>
          <w:sz w:val="18"/>
          <w:szCs w:val="22"/>
        </w:rPr>
      </w:pPr>
      <w:r w:rsidRPr="00724306">
        <w:rPr>
          <w:rFonts w:ascii="Arial" w:hAnsi="Arial" w:cs="Arial"/>
          <w:b/>
          <w:bCs/>
          <w:sz w:val="18"/>
          <w:szCs w:val="22"/>
        </w:rPr>
        <w:t>vhodné:</w:t>
      </w:r>
      <w:r w:rsidRPr="00724306">
        <w:rPr>
          <w:rFonts w:ascii="Arial" w:hAnsi="Arial" w:cs="Arial"/>
          <w:sz w:val="18"/>
          <w:szCs w:val="22"/>
        </w:rPr>
        <w:t xml:space="preserve"> přístup na komunikační síť s přímou vazbou na dopravní systém města a síť MHD, odstavné a parkovací plochy, veřejné WC, zeleň liniová i plošná</w:t>
      </w:r>
    </w:p>
    <w:p w14:paraId="1FF1A6F4" w14:textId="77777777" w:rsidR="00EF1DD2" w:rsidRPr="00724306" w:rsidRDefault="00EF1DD2" w:rsidP="00EF1DD2">
      <w:pPr>
        <w:pStyle w:val="Zkladntext"/>
        <w:spacing w:before="120" w:after="0" w:line="288" w:lineRule="auto"/>
        <w:ind w:left="709"/>
        <w:jc w:val="both"/>
        <w:rPr>
          <w:rFonts w:ascii="Arial" w:hAnsi="Arial" w:cs="Arial"/>
          <w:sz w:val="18"/>
          <w:szCs w:val="22"/>
        </w:rPr>
      </w:pPr>
      <w:r w:rsidRPr="00724306">
        <w:rPr>
          <w:rFonts w:ascii="Arial" w:hAnsi="Arial" w:cs="Arial"/>
          <w:b/>
          <w:bCs/>
          <w:sz w:val="18"/>
          <w:szCs w:val="22"/>
        </w:rPr>
        <w:t>přípustné:</w:t>
      </w:r>
      <w:r w:rsidRPr="00724306">
        <w:rPr>
          <w:rFonts w:ascii="Arial" w:hAnsi="Arial" w:cs="Arial"/>
          <w:sz w:val="18"/>
          <w:szCs w:val="22"/>
        </w:rPr>
        <w:t xml:space="preserve"> podnikatelská činnost zaměřená na služby související s funkcí objektu, byt správce</w:t>
      </w:r>
    </w:p>
    <w:p w14:paraId="149EA620" w14:textId="77777777" w:rsidR="00EF1DD2" w:rsidRPr="00724306" w:rsidRDefault="00EF1DD2" w:rsidP="00EF1DD2">
      <w:pPr>
        <w:pStyle w:val="Zkladntext"/>
        <w:spacing w:before="120" w:after="0" w:line="288" w:lineRule="auto"/>
        <w:ind w:left="709"/>
        <w:jc w:val="both"/>
        <w:rPr>
          <w:rFonts w:ascii="Arial" w:hAnsi="Arial" w:cs="Arial"/>
          <w:sz w:val="18"/>
          <w:szCs w:val="22"/>
        </w:rPr>
      </w:pPr>
      <w:r w:rsidRPr="00724306">
        <w:rPr>
          <w:rFonts w:ascii="Arial" w:hAnsi="Arial" w:cs="Arial"/>
          <w:b/>
          <w:bCs/>
          <w:sz w:val="18"/>
          <w:szCs w:val="22"/>
        </w:rPr>
        <w:t xml:space="preserve">nepřípustné: </w:t>
      </w:r>
      <w:r w:rsidRPr="00724306">
        <w:rPr>
          <w:rFonts w:ascii="Arial" w:hAnsi="Arial" w:cs="Arial"/>
          <w:sz w:val="18"/>
          <w:szCs w:val="22"/>
        </w:rPr>
        <w:t>průmyslová výrobní a skladovací činnost, výrobní služby, trvalé bydlení</w:t>
      </w:r>
    </w:p>
    <w:p w14:paraId="2557D80B" w14:textId="77777777" w:rsidR="00EF1DD2" w:rsidRPr="00724306" w:rsidRDefault="00EF1DD2" w:rsidP="00EF1DD2">
      <w:pPr>
        <w:pStyle w:val="Zkladntext"/>
        <w:spacing w:after="0" w:line="288" w:lineRule="auto"/>
        <w:jc w:val="both"/>
        <w:rPr>
          <w:rFonts w:ascii="Arial" w:hAnsi="Arial" w:cs="Arial"/>
          <w:sz w:val="18"/>
          <w:szCs w:val="22"/>
        </w:rPr>
      </w:pPr>
      <w:r w:rsidRPr="00724306">
        <w:rPr>
          <w:rFonts w:ascii="Arial" w:hAnsi="Arial" w:cs="Arial"/>
          <w:b/>
          <w:bCs/>
          <w:sz w:val="18"/>
          <w:szCs w:val="22"/>
        </w:rPr>
        <w:lastRenderedPageBreak/>
        <w:t>S</w:t>
      </w:r>
      <w:r w:rsidRPr="00724306">
        <w:rPr>
          <w:rFonts w:ascii="Arial" w:hAnsi="Arial" w:cs="Arial"/>
          <w:sz w:val="18"/>
          <w:szCs w:val="22"/>
        </w:rPr>
        <w:tab/>
      </w:r>
      <w:r w:rsidRPr="00724306">
        <w:rPr>
          <w:rFonts w:ascii="Arial" w:hAnsi="Arial" w:cs="Arial"/>
          <w:b/>
          <w:bCs/>
          <w:caps/>
          <w:sz w:val="18"/>
          <w:szCs w:val="22"/>
        </w:rPr>
        <w:t>areály tělovýchovy a sportu</w:t>
      </w:r>
    </w:p>
    <w:p w14:paraId="3607DD3D" w14:textId="77777777" w:rsidR="00EF1DD2" w:rsidRDefault="00EF1DD2" w:rsidP="00EF1DD2">
      <w:pPr>
        <w:pStyle w:val="Zkladntext"/>
        <w:spacing w:after="0" w:line="288" w:lineRule="auto"/>
        <w:ind w:left="709"/>
        <w:jc w:val="both"/>
        <w:rPr>
          <w:rFonts w:cs="Arial"/>
          <w:sz w:val="18"/>
          <w:szCs w:val="22"/>
        </w:rPr>
      </w:pPr>
      <w:r w:rsidRPr="00EC5881">
        <w:rPr>
          <w:rFonts w:cs="Arial"/>
          <w:sz w:val="18"/>
          <w:szCs w:val="22"/>
        </w:rPr>
        <w:t>PODMOKLY, BYNOV, STARÉ MĚSTO, BOLETICE n. L., DĚČÍN - KAMENICKÁ, POD ZÁMKEM, CHROCHVICE, TEREZÍNSKÝ RYBNÍK</w:t>
      </w:r>
    </w:p>
    <w:p w14:paraId="66BF2C53" w14:textId="77777777" w:rsidR="00EF1DD2" w:rsidRPr="00EC5881" w:rsidRDefault="00EF1DD2" w:rsidP="00EF1DD2">
      <w:pPr>
        <w:pStyle w:val="Zkladntext"/>
        <w:spacing w:after="0" w:line="288" w:lineRule="auto"/>
        <w:ind w:left="709"/>
        <w:jc w:val="both"/>
        <w:rPr>
          <w:rFonts w:cs="Arial"/>
          <w:sz w:val="18"/>
          <w:szCs w:val="22"/>
        </w:rPr>
      </w:pPr>
    </w:p>
    <w:p w14:paraId="4F144AB6" w14:textId="77777777" w:rsidR="00EF1DD2" w:rsidRPr="00EC5881" w:rsidRDefault="00EF1DD2" w:rsidP="00EF1DD2">
      <w:pPr>
        <w:pStyle w:val="Texttabulky"/>
        <w:spacing w:after="0" w:line="288" w:lineRule="auto"/>
        <w:ind w:left="709"/>
        <w:jc w:val="both"/>
        <w:rPr>
          <w:rFonts w:cs="Arial"/>
          <w:sz w:val="18"/>
          <w:szCs w:val="22"/>
        </w:rPr>
      </w:pPr>
      <w:r w:rsidRPr="00EC5881">
        <w:rPr>
          <w:rFonts w:cs="Arial"/>
          <w:b/>
          <w:bCs/>
          <w:sz w:val="18"/>
          <w:szCs w:val="22"/>
        </w:rPr>
        <w:t>dominantní:</w:t>
      </w:r>
      <w:r w:rsidRPr="00EC5881">
        <w:rPr>
          <w:rFonts w:cs="Arial"/>
          <w:sz w:val="18"/>
          <w:szCs w:val="22"/>
        </w:rPr>
        <w:t xml:space="preserve"> plochy, zařízení a objekty pro tělovýchovu a sport (velkoplošná hřiště a stadiony, zimní stadion, sportovní haly a tělocvičny, kryté a přírodní plavecké bazény, loděnice, autocvičiště, střelnice, cyklotrial, kynologie apod.)</w:t>
      </w:r>
    </w:p>
    <w:p w14:paraId="58830ACC" w14:textId="77777777" w:rsidR="00EF1DD2" w:rsidRPr="00EC5881" w:rsidRDefault="00EF1DD2" w:rsidP="00EF1DD2">
      <w:pPr>
        <w:pStyle w:val="Texttabulky"/>
        <w:spacing w:after="0" w:line="288" w:lineRule="auto"/>
        <w:ind w:left="709"/>
        <w:jc w:val="both"/>
        <w:rPr>
          <w:rFonts w:cs="Arial"/>
          <w:sz w:val="18"/>
          <w:szCs w:val="22"/>
        </w:rPr>
      </w:pPr>
      <w:r w:rsidRPr="00EC5881">
        <w:rPr>
          <w:rFonts w:cs="Arial"/>
          <w:b/>
          <w:bCs/>
          <w:sz w:val="18"/>
          <w:szCs w:val="22"/>
        </w:rPr>
        <w:t>vhodné:</w:t>
      </w:r>
      <w:r w:rsidRPr="00EC5881">
        <w:rPr>
          <w:rFonts w:cs="Arial"/>
          <w:sz w:val="18"/>
          <w:szCs w:val="22"/>
        </w:rPr>
        <w:t xml:space="preserve"> přístup na komunikační síť s přímou vazbou na dopravní systém města a síť MHD, odstavné a parkovací plochy, ŠATNY A KLUBOVNY, veřejné WC, ubytování, stravování, zeleň liniová i plošná, technická infrastruktura</w:t>
      </w:r>
    </w:p>
    <w:p w14:paraId="3642166B" w14:textId="77777777" w:rsidR="00EF1DD2" w:rsidRPr="00EC5881" w:rsidRDefault="00EF1DD2" w:rsidP="00EF1DD2">
      <w:pPr>
        <w:pStyle w:val="Texttabulky"/>
        <w:keepNext/>
        <w:spacing w:after="0" w:line="288" w:lineRule="auto"/>
        <w:ind w:left="709"/>
        <w:jc w:val="both"/>
        <w:rPr>
          <w:rFonts w:cs="Arial"/>
          <w:sz w:val="18"/>
          <w:szCs w:val="22"/>
        </w:rPr>
      </w:pPr>
      <w:r w:rsidRPr="00EC5881">
        <w:rPr>
          <w:rFonts w:cs="Arial"/>
          <w:b/>
          <w:bCs/>
          <w:sz w:val="18"/>
          <w:szCs w:val="22"/>
        </w:rPr>
        <w:t>přípustné:</w:t>
      </w:r>
      <w:r w:rsidRPr="00EC5881">
        <w:rPr>
          <w:rFonts w:cs="Arial"/>
          <w:sz w:val="18"/>
          <w:szCs w:val="22"/>
        </w:rPr>
        <w:t xml:space="preserve"> podnikatelská činnost zaměřená na služby pro sport a rekreaci, byt správce</w:t>
      </w:r>
    </w:p>
    <w:p w14:paraId="2062C656" w14:textId="77777777" w:rsidR="00EF1DD2" w:rsidRPr="00EC5881" w:rsidRDefault="00EF1DD2" w:rsidP="00EF1DD2">
      <w:pPr>
        <w:pStyle w:val="Texttabulky"/>
        <w:spacing w:after="0" w:line="288" w:lineRule="auto"/>
        <w:ind w:left="709"/>
        <w:jc w:val="both"/>
        <w:rPr>
          <w:rFonts w:cs="Arial"/>
          <w:sz w:val="18"/>
          <w:szCs w:val="22"/>
        </w:rPr>
      </w:pPr>
      <w:r w:rsidRPr="00EC5881">
        <w:rPr>
          <w:rFonts w:cs="Arial"/>
          <w:b/>
          <w:bCs/>
          <w:sz w:val="18"/>
          <w:szCs w:val="22"/>
        </w:rPr>
        <w:t xml:space="preserve">nepřípustné: </w:t>
      </w:r>
      <w:r w:rsidRPr="00EC5881">
        <w:rPr>
          <w:rFonts w:cs="Arial"/>
          <w:sz w:val="18"/>
          <w:szCs w:val="22"/>
        </w:rPr>
        <w:t>průmyslová výrobní a skladovací činnost, trvalé bydlení</w:t>
      </w:r>
    </w:p>
    <w:p w14:paraId="085FA551" w14:textId="77777777" w:rsidR="00EF1DD2" w:rsidRPr="00EC5881" w:rsidRDefault="00EF1DD2" w:rsidP="00EF1DD2">
      <w:pPr>
        <w:pStyle w:val="Zkladntext"/>
        <w:spacing w:before="120" w:after="0" w:line="288" w:lineRule="auto"/>
        <w:jc w:val="both"/>
        <w:rPr>
          <w:rFonts w:cs="Arial"/>
          <w:sz w:val="18"/>
          <w:szCs w:val="22"/>
        </w:rPr>
      </w:pPr>
      <w:r w:rsidRPr="00EC5881">
        <w:rPr>
          <w:rFonts w:cs="Arial"/>
          <w:b/>
          <w:bCs/>
          <w:sz w:val="18"/>
          <w:szCs w:val="22"/>
        </w:rPr>
        <w:t>PV</w:t>
      </w:r>
      <w:r w:rsidRPr="00EC5881">
        <w:rPr>
          <w:rFonts w:cs="Arial"/>
          <w:sz w:val="18"/>
          <w:szCs w:val="22"/>
        </w:rPr>
        <w:tab/>
      </w:r>
      <w:r w:rsidRPr="00EC5881">
        <w:rPr>
          <w:rFonts w:cs="Arial"/>
          <w:b/>
          <w:bCs/>
          <w:caps/>
          <w:sz w:val="18"/>
          <w:szCs w:val="22"/>
        </w:rPr>
        <w:t>zóna průmyslové výroby</w:t>
      </w:r>
    </w:p>
    <w:p w14:paraId="5855C042" w14:textId="77777777" w:rsidR="00EF1DD2" w:rsidRPr="00EC5881" w:rsidRDefault="00EF1DD2" w:rsidP="00EF1DD2">
      <w:pPr>
        <w:pStyle w:val="Zkladntext"/>
        <w:spacing w:after="0" w:line="288" w:lineRule="auto"/>
        <w:ind w:left="709"/>
        <w:jc w:val="both"/>
        <w:rPr>
          <w:rFonts w:cs="Arial"/>
          <w:sz w:val="18"/>
          <w:szCs w:val="22"/>
        </w:rPr>
      </w:pPr>
      <w:r w:rsidRPr="00EC5881">
        <w:rPr>
          <w:rFonts w:cs="Arial"/>
          <w:sz w:val="18"/>
          <w:szCs w:val="22"/>
        </w:rPr>
        <w:t>zahrnuje výrobní území města s nosnými výrobními podniky (kat. A, B)</w:t>
      </w:r>
    </w:p>
    <w:p w14:paraId="6CBD87C7" w14:textId="77777777" w:rsidR="00EF1DD2" w:rsidRDefault="00EF1DD2" w:rsidP="00EF1DD2">
      <w:pPr>
        <w:pStyle w:val="Zkladntext"/>
        <w:spacing w:after="0" w:line="288" w:lineRule="auto"/>
        <w:ind w:left="709"/>
        <w:jc w:val="both"/>
        <w:rPr>
          <w:rFonts w:cs="Arial"/>
          <w:sz w:val="18"/>
          <w:szCs w:val="22"/>
        </w:rPr>
      </w:pPr>
      <w:r w:rsidRPr="00EC5881">
        <w:rPr>
          <w:rFonts w:cs="Arial"/>
          <w:sz w:val="18"/>
          <w:szCs w:val="22"/>
        </w:rPr>
        <w:t xml:space="preserve">ROZBĚLESY - HLAVNÍ NÁDRAŽÍ, BENEŠOVSKÁ UL. - VÝCHODNÍ NÁDRAŽÍ, STARÉ MĚSTO, BOLETICE n. L. </w:t>
      </w:r>
      <w:r>
        <w:rPr>
          <w:rFonts w:cs="Arial"/>
          <w:sz w:val="18"/>
          <w:szCs w:val="22"/>
        </w:rPr>
        <w:t>–</w:t>
      </w:r>
      <w:r w:rsidRPr="00EC5881">
        <w:rPr>
          <w:rFonts w:cs="Arial"/>
          <w:sz w:val="18"/>
          <w:szCs w:val="22"/>
        </w:rPr>
        <w:t xml:space="preserve"> KŘEŠICE</w:t>
      </w:r>
    </w:p>
    <w:p w14:paraId="3E0EDB66" w14:textId="77777777" w:rsidR="00EF1DD2" w:rsidRPr="00EC5881" w:rsidRDefault="00EF1DD2" w:rsidP="00EF1DD2">
      <w:pPr>
        <w:pStyle w:val="Zkladntext"/>
        <w:spacing w:after="0" w:line="288" w:lineRule="auto"/>
        <w:ind w:left="709"/>
        <w:jc w:val="both"/>
        <w:rPr>
          <w:rFonts w:cs="Arial"/>
          <w:sz w:val="18"/>
          <w:szCs w:val="22"/>
        </w:rPr>
      </w:pPr>
    </w:p>
    <w:p w14:paraId="5B03A681" w14:textId="77777777" w:rsidR="00EF1DD2" w:rsidRDefault="00EF1DD2" w:rsidP="00EF1DD2">
      <w:pPr>
        <w:pStyle w:val="Texttabulky"/>
        <w:spacing w:after="0" w:line="288" w:lineRule="auto"/>
        <w:ind w:left="709"/>
        <w:jc w:val="both"/>
        <w:rPr>
          <w:rFonts w:cs="Arial"/>
          <w:sz w:val="18"/>
          <w:szCs w:val="22"/>
        </w:rPr>
      </w:pPr>
      <w:r w:rsidRPr="00EC5881">
        <w:rPr>
          <w:rFonts w:cs="Arial"/>
          <w:b/>
          <w:bCs/>
          <w:sz w:val="18"/>
          <w:szCs w:val="22"/>
        </w:rPr>
        <w:t>areály, objekty a zařízení průmyslové výroby</w:t>
      </w:r>
      <w:r w:rsidRPr="00EC5881">
        <w:rPr>
          <w:rFonts w:cs="Arial"/>
          <w:sz w:val="18"/>
          <w:szCs w:val="22"/>
        </w:rPr>
        <w:t xml:space="preserve">, výrobních služeb a dopravy - urbanistická kategorie A, B (charakteristická výrobní struktura zástavby, vyplývající z výrobního programu a činnosti podnikatelského subjektu, korigovaného vždy PHO) </w:t>
      </w:r>
    </w:p>
    <w:p w14:paraId="36178386" w14:textId="77777777" w:rsidR="00EF1DD2" w:rsidRPr="00EC5881" w:rsidRDefault="00EF1DD2" w:rsidP="00EF1DD2">
      <w:pPr>
        <w:pStyle w:val="Texttabulky"/>
        <w:spacing w:after="0" w:line="288" w:lineRule="auto"/>
        <w:ind w:left="709"/>
        <w:jc w:val="both"/>
        <w:rPr>
          <w:rFonts w:cs="Arial"/>
          <w:sz w:val="18"/>
          <w:szCs w:val="22"/>
        </w:rPr>
      </w:pPr>
    </w:p>
    <w:p w14:paraId="3F1D6B4B" w14:textId="77777777" w:rsidR="00EF1DD2" w:rsidRPr="00EC5881" w:rsidRDefault="00EF1DD2" w:rsidP="00EF1DD2">
      <w:pPr>
        <w:pStyle w:val="Texttabulky"/>
        <w:spacing w:after="0" w:line="288" w:lineRule="auto"/>
        <w:ind w:left="709"/>
        <w:jc w:val="both"/>
        <w:rPr>
          <w:rFonts w:cs="Arial"/>
          <w:sz w:val="18"/>
          <w:szCs w:val="22"/>
        </w:rPr>
      </w:pPr>
      <w:r w:rsidRPr="00EC5881">
        <w:rPr>
          <w:rFonts w:cs="Arial"/>
          <w:b/>
          <w:bCs/>
          <w:sz w:val="18"/>
          <w:szCs w:val="22"/>
        </w:rPr>
        <w:t xml:space="preserve">dominantní: </w:t>
      </w:r>
      <w:r w:rsidRPr="00EC5881">
        <w:rPr>
          <w:rFonts w:cs="Arial"/>
          <w:sz w:val="18"/>
          <w:szCs w:val="22"/>
        </w:rPr>
        <w:t>průmyslová výroba v celém spektru odvětvové činnosti, výrobní služby, skladové plochy a areály (</w:t>
      </w:r>
      <w:r w:rsidRPr="00EC5881">
        <w:rPr>
          <w:rFonts w:cs="Arial"/>
          <w:caps/>
          <w:sz w:val="18"/>
          <w:szCs w:val="22"/>
        </w:rPr>
        <w:t>pho</w:t>
      </w:r>
      <w:r w:rsidRPr="00EC5881">
        <w:rPr>
          <w:rFonts w:cs="Arial"/>
          <w:sz w:val="18"/>
          <w:szCs w:val="22"/>
        </w:rPr>
        <w:t>), zařízení a související provozy železniční dopravy včetně nádraží, nákladní přístavy</w:t>
      </w:r>
    </w:p>
    <w:p w14:paraId="66A9FE40" w14:textId="77777777" w:rsidR="00EF1DD2" w:rsidRPr="00EC5881" w:rsidRDefault="00EF1DD2" w:rsidP="00EF1DD2">
      <w:pPr>
        <w:pStyle w:val="Texttabulky"/>
        <w:spacing w:after="0" w:line="288" w:lineRule="auto"/>
        <w:ind w:left="709"/>
        <w:jc w:val="both"/>
        <w:rPr>
          <w:rFonts w:cs="Arial"/>
          <w:sz w:val="18"/>
          <w:szCs w:val="22"/>
        </w:rPr>
      </w:pPr>
      <w:r w:rsidRPr="00EC5881">
        <w:rPr>
          <w:rFonts w:cs="Arial"/>
          <w:b/>
          <w:bCs/>
          <w:sz w:val="18"/>
          <w:szCs w:val="22"/>
        </w:rPr>
        <w:t xml:space="preserve">vhodné: </w:t>
      </w:r>
      <w:r w:rsidRPr="00EC5881">
        <w:rPr>
          <w:rFonts w:cs="Arial"/>
          <w:sz w:val="18"/>
          <w:szCs w:val="22"/>
        </w:rPr>
        <w:t>odpovídající komunikační síť s přímou vazbou na nadřazený dopravní systém města a síť MHD, odstavné a parkovací plochy, dopravní vybavenost, stanice PHM, odpovídající technická infrastruktura, liniová a ochranná zeleň, komerční aktivity</w:t>
      </w:r>
    </w:p>
    <w:p w14:paraId="228BCD92" w14:textId="77777777" w:rsidR="00EF1DD2" w:rsidRPr="00EC5881" w:rsidRDefault="00EF1DD2" w:rsidP="00EF1DD2">
      <w:pPr>
        <w:pStyle w:val="Texttabulky"/>
        <w:spacing w:after="0" w:line="288" w:lineRule="auto"/>
        <w:ind w:left="709"/>
        <w:jc w:val="both"/>
        <w:rPr>
          <w:rFonts w:cs="Arial"/>
          <w:sz w:val="18"/>
          <w:szCs w:val="22"/>
        </w:rPr>
      </w:pPr>
      <w:r w:rsidRPr="00EC5881">
        <w:rPr>
          <w:rFonts w:cs="Arial"/>
          <w:b/>
          <w:bCs/>
          <w:sz w:val="18"/>
          <w:szCs w:val="22"/>
        </w:rPr>
        <w:t xml:space="preserve">přípustné: </w:t>
      </w:r>
      <w:r w:rsidRPr="00EC5881">
        <w:rPr>
          <w:rFonts w:cs="Arial"/>
          <w:sz w:val="18"/>
          <w:szCs w:val="22"/>
        </w:rPr>
        <w:t>komerční, servisní a skladové areály, ubytovny, služební byty, HOLOBYTY</w:t>
      </w:r>
    </w:p>
    <w:p w14:paraId="685A183A" w14:textId="77777777" w:rsidR="00EF1DD2" w:rsidRPr="00EC5881" w:rsidRDefault="00EF1DD2" w:rsidP="00EF1DD2">
      <w:pPr>
        <w:pStyle w:val="Texttabulky"/>
        <w:spacing w:after="0" w:line="288" w:lineRule="auto"/>
        <w:ind w:left="709"/>
        <w:jc w:val="both"/>
        <w:rPr>
          <w:rFonts w:cs="Arial"/>
          <w:sz w:val="18"/>
          <w:szCs w:val="22"/>
        </w:rPr>
      </w:pPr>
      <w:r w:rsidRPr="00EC5881">
        <w:rPr>
          <w:rFonts w:cs="Arial"/>
          <w:b/>
          <w:bCs/>
          <w:sz w:val="18"/>
          <w:szCs w:val="22"/>
        </w:rPr>
        <w:t xml:space="preserve">nevhodné </w:t>
      </w:r>
      <w:r w:rsidRPr="00EC5881">
        <w:rPr>
          <w:rFonts w:cs="Arial"/>
          <w:sz w:val="18"/>
          <w:szCs w:val="22"/>
        </w:rPr>
        <w:t>trvalé bydlení všech forem, tělovýchovná, školní, sociální a zdravotní zařízení</w:t>
      </w:r>
    </w:p>
    <w:p w14:paraId="63606021" w14:textId="77777777" w:rsidR="00EF1DD2" w:rsidRPr="00EC5881" w:rsidRDefault="00EF1DD2" w:rsidP="00EF1DD2">
      <w:pPr>
        <w:pStyle w:val="Zkladntext"/>
        <w:spacing w:before="120" w:after="0" w:line="288" w:lineRule="auto"/>
        <w:jc w:val="both"/>
        <w:rPr>
          <w:rFonts w:cs="Arial"/>
          <w:sz w:val="18"/>
          <w:szCs w:val="22"/>
        </w:rPr>
      </w:pPr>
      <w:r w:rsidRPr="00EC5881">
        <w:rPr>
          <w:rFonts w:cs="Arial"/>
          <w:b/>
          <w:bCs/>
          <w:sz w:val="18"/>
          <w:szCs w:val="22"/>
        </w:rPr>
        <w:t>NV</w:t>
      </w:r>
      <w:r w:rsidRPr="00EC5881">
        <w:rPr>
          <w:rFonts w:cs="Arial"/>
          <w:sz w:val="18"/>
          <w:szCs w:val="22"/>
        </w:rPr>
        <w:tab/>
      </w:r>
      <w:r w:rsidRPr="00EC5881">
        <w:rPr>
          <w:rFonts w:cs="Arial"/>
          <w:b/>
          <w:bCs/>
          <w:caps/>
          <w:sz w:val="18"/>
          <w:szCs w:val="22"/>
        </w:rPr>
        <w:t>zóna nerušící výroby a výrobních služeb</w:t>
      </w:r>
    </w:p>
    <w:p w14:paraId="0354C3E2" w14:textId="77777777" w:rsidR="00EF1DD2" w:rsidRPr="00EC5881" w:rsidRDefault="00EF1DD2" w:rsidP="00EF1DD2">
      <w:pPr>
        <w:pStyle w:val="Zkladntext"/>
        <w:spacing w:after="0" w:line="288" w:lineRule="auto"/>
        <w:ind w:left="709"/>
        <w:jc w:val="both"/>
        <w:rPr>
          <w:rFonts w:cs="Arial"/>
          <w:sz w:val="18"/>
          <w:szCs w:val="22"/>
        </w:rPr>
      </w:pPr>
      <w:r w:rsidRPr="00EC5881">
        <w:rPr>
          <w:rFonts w:cs="Arial"/>
          <w:sz w:val="18"/>
          <w:szCs w:val="22"/>
        </w:rPr>
        <w:t>zahrnuje zejména střední a malé podnikatelské aktivity (kat. C)</w:t>
      </w:r>
    </w:p>
    <w:p w14:paraId="65EB6C2C" w14:textId="77777777" w:rsidR="00EF1DD2" w:rsidRDefault="00EF1DD2" w:rsidP="00EF1DD2">
      <w:pPr>
        <w:pStyle w:val="Zkladntext"/>
        <w:spacing w:after="0" w:line="288" w:lineRule="auto"/>
        <w:ind w:left="709"/>
        <w:jc w:val="both"/>
        <w:rPr>
          <w:rFonts w:cs="Arial"/>
          <w:sz w:val="18"/>
          <w:szCs w:val="22"/>
        </w:rPr>
      </w:pPr>
      <w:r w:rsidRPr="00EC5881">
        <w:rPr>
          <w:rFonts w:cs="Arial"/>
          <w:sz w:val="18"/>
          <w:szCs w:val="22"/>
        </w:rPr>
        <w:t xml:space="preserve">DOLNÍ OLDŘICHOV, BENEŠOVSKÁ </w:t>
      </w:r>
      <w:r>
        <w:rPr>
          <w:rFonts w:cs="Arial"/>
          <w:sz w:val="18"/>
          <w:szCs w:val="22"/>
        </w:rPr>
        <w:t>–</w:t>
      </w:r>
      <w:r w:rsidRPr="00EC5881">
        <w:rPr>
          <w:rFonts w:cs="Arial"/>
          <w:sz w:val="18"/>
          <w:szCs w:val="22"/>
        </w:rPr>
        <w:t xml:space="preserve"> FOLKNÁŘSKÁ</w:t>
      </w:r>
    </w:p>
    <w:p w14:paraId="13A1C13C" w14:textId="77777777" w:rsidR="00EF1DD2" w:rsidRPr="00EC5881" w:rsidRDefault="00EF1DD2" w:rsidP="00EF1DD2">
      <w:pPr>
        <w:pStyle w:val="Zkladntext"/>
        <w:spacing w:after="0" w:line="288" w:lineRule="auto"/>
        <w:ind w:left="709"/>
        <w:jc w:val="both"/>
        <w:rPr>
          <w:rFonts w:cs="Arial"/>
          <w:sz w:val="18"/>
          <w:szCs w:val="22"/>
        </w:rPr>
      </w:pPr>
    </w:p>
    <w:p w14:paraId="3F7EDED5" w14:textId="77777777" w:rsidR="00EF1DD2" w:rsidRPr="00EC5881" w:rsidRDefault="00EF1DD2" w:rsidP="00EF1DD2">
      <w:pPr>
        <w:pStyle w:val="Zkladntext"/>
        <w:spacing w:after="0" w:line="288" w:lineRule="auto"/>
        <w:ind w:left="709"/>
        <w:jc w:val="both"/>
        <w:rPr>
          <w:rFonts w:cs="Arial"/>
          <w:sz w:val="18"/>
          <w:szCs w:val="22"/>
        </w:rPr>
      </w:pPr>
      <w:r w:rsidRPr="00EC5881">
        <w:rPr>
          <w:rFonts w:cs="Arial"/>
          <w:b/>
          <w:bCs/>
          <w:sz w:val="18"/>
          <w:szCs w:val="22"/>
        </w:rPr>
        <w:t>areály, objekty a doplňující zařízení nerušící výroby a výrobních služeb</w:t>
      </w:r>
      <w:r w:rsidRPr="00EC5881">
        <w:rPr>
          <w:rFonts w:cs="Arial"/>
          <w:sz w:val="18"/>
          <w:szCs w:val="22"/>
        </w:rPr>
        <w:t xml:space="preserve"> celoměstského významu urbanistické kategorie B a C a rozsahem malé provozy odpovídající výrobnímu programu a činnosti podnikatelského subjektu, korigované i PHO</w:t>
      </w:r>
    </w:p>
    <w:p w14:paraId="01376886" w14:textId="77777777" w:rsidR="00EF1DD2" w:rsidRDefault="00EF1DD2" w:rsidP="00EF1DD2">
      <w:pPr>
        <w:pStyle w:val="Texttabulky"/>
        <w:spacing w:after="0" w:line="288" w:lineRule="auto"/>
        <w:ind w:left="709"/>
        <w:jc w:val="both"/>
        <w:rPr>
          <w:rFonts w:cs="Arial"/>
          <w:b/>
          <w:bCs/>
          <w:color w:val="auto"/>
          <w:sz w:val="18"/>
          <w:szCs w:val="22"/>
        </w:rPr>
      </w:pPr>
    </w:p>
    <w:p w14:paraId="45B199AC" w14:textId="77777777" w:rsidR="00EF1DD2" w:rsidRPr="00EC5881" w:rsidRDefault="00EF1DD2" w:rsidP="00EF1DD2">
      <w:pPr>
        <w:pStyle w:val="Texttabulky"/>
        <w:spacing w:after="0" w:line="288" w:lineRule="auto"/>
        <w:ind w:left="709"/>
        <w:jc w:val="both"/>
        <w:rPr>
          <w:rFonts w:cs="Arial"/>
          <w:color w:val="auto"/>
          <w:sz w:val="18"/>
          <w:szCs w:val="22"/>
        </w:rPr>
      </w:pPr>
      <w:r w:rsidRPr="00EC5881">
        <w:rPr>
          <w:rFonts w:cs="Arial"/>
          <w:b/>
          <w:bCs/>
          <w:color w:val="auto"/>
          <w:sz w:val="18"/>
          <w:szCs w:val="22"/>
        </w:rPr>
        <w:t xml:space="preserve">dominantní: </w:t>
      </w:r>
      <w:r w:rsidRPr="00EC5881">
        <w:rPr>
          <w:rFonts w:cs="Arial"/>
          <w:color w:val="auto"/>
          <w:sz w:val="18"/>
          <w:szCs w:val="22"/>
        </w:rPr>
        <w:t>nerušící provozy výroby a výrobních služeb, hygienicky, dopravně a provozně nenarušující existenci přilehlých polyfunkčních zón, sklady</w:t>
      </w:r>
    </w:p>
    <w:p w14:paraId="49612FC8" w14:textId="77777777" w:rsidR="00EF1DD2" w:rsidRPr="00EC5881" w:rsidRDefault="00EF1DD2" w:rsidP="00EF1DD2">
      <w:pPr>
        <w:pStyle w:val="Texttabulky"/>
        <w:spacing w:after="0" w:line="288" w:lineRule="auto"/>
        <w:ind w:left="709"/>
        <w:jc w:val="both"/>
        <w:rPr>
          <w:rFonts w:cs="Arial"/>
          <w:color w:val="auto"/>
          <w:sz w:val="18"/>
          <w:szCs w:val="22"/>
        </w:rPr>
      </w:pPr>
      <w:r w:rsidRPr="00EC5881">
        <w:rPr>
          <w:rFonts w:cs="Arial"/>
          <w:b/>
          <w:bCs/>
          <w:color w:val="auto"/>
          <w:sz w:val="18"/>
          <w:szCs w:val="22"/>
        </w:rPr>
        <w:t xml:space="preserve">vhodné: </w:t>
      </w:r>
      <w:r w:rsidRPr="00EC5881">
        <w:rPr>
          <w:rFonts w:cs="Arial"/>
          <w:color w:val="auto"/>
          <w:sz w:val="18"/>
          <w:szCs w:val="22"/>
        </w:rPr>
        <w:t>komerce, obchod, byty služební a vlastníků provozoven, parkovací plochy, garáže, odpovídající komunikační síť a technická infrastruktura, zeleň liniová a ochranná</w:t>
      </w:r>
    </w:p>
    <w:p w14:paraId="3072D7DC" w14:textId="77777777" w:rsidR="00EF1DD2" w:rsidRDefault="00EF1DD2" w:rsidP="00EF1DD2">
      <w:pPr>
        <w:pStyle w:val="Texttabulky"/>
        <w:spacing w:after="0" w:line="288" w:lineRule="auto"/>
        <w:ind w:left="709"/>
        <w:jc w:val="both"/>
        <w:rPr>
          <w:rFonts w:cs="Arial"/>
          <w:color w:val="auto"/>
          <w:sz w:val="18"/>
          <w:szCs w:val="22"/>
        </w:rPr>
      </w:pPr>
      <w:r w:rsidRPr="00EC5881">
        <w:rPr>
          <w:rFonts w:cs="Arial"/>
          <w:b/>
          <w:bCs/>
          <w:color w:val="auto"/>
          <w:sz w:val="18"/>
          <w:szCs w:val="22"/>
        </w:rPr>
        <w:t xml:space="preserve">nevhodné: </w:t>
      </w:r>
      <w:r w:rsidRPr="00EC5881">
        <w:rPr>
          <w:rFonts w:cs="Arial"/>
          <w:color w:val="auto"/>
          <w:sz w:val="18"/>
          <w:szCs w:val="22"/>
        </w:rPr>
        <w:t>ostatní trvalé bydlení všech forem, sportovní, školská, zdravotnická a sociální zařízení</w:t>
      </w:r>
    </w:p>
    <w:p w14:paraId="40CFE259" w14:textId="77777777" w:rsidR="00EF1DD2" w:rsidRDefault="00EF1DD2" w:rsidP="00EF1DD2">
      <w:pPr>
        <w:pStyle w:val="Texttabulky"/>
        <w:spacing w:after="0" w:line="288" w:lineRule="auto"/>
        <w:ind w:left="709"/>
        <w:jc w:val="both"/>
        <w:rPr>
          <w:rFonts w:cs="Arial"/>
          <w:color w:val="auto"/>
          <w:sz w:val="18"/>
          <w:szCs w:val="22"/>
        </w:rPr>
      </w:pPr>
    </w:p>
    <w:p w14:paraId="022B387E" w14:textId="77777777" w:rsidR="00EF1DD2" w:rsidRPr="00ED3E8A" w:rsidRDefault="00EF1DD2" w:rsidP="00EF1DD2">
      <w:pPr>
        <w:pStyle w:val="Zkladntext"/>
        <w:spacing w:after="0"/>
        <w:rPr>
          <w:sz w:val="18"/>
        </w:rPr>
      </w:pPr>
      <w:r w:rsidRPr="00ED3E8A">
        <w:rPr>
          <w:b/>
          <w:bCs/>
          <w:szCs w:val="22"/>
        </w:rPr>
        <w:t>TV</w:t>
      </w:r>
      <w:r w:rsidRPr="00ED3E8A">
        <w:rPr>
          <w:sz w:val="18"/>
        </w:rPr>
        <w:tab/>
      </w:r>
      <w:r w:rsidRPr="00ED3E8A">
        <w:rPr>
          <w:b/>
          <w:bCs/>
          <w:caps/>
          <w:sz w:val="18"/>
        </w:rPr>
        <w:t>areály technického vybavení</w:t>
      </w:r>
    </w:p>
    <w:p w14:paraId="4F22EA2D" w14:textId="77777777" w:rsidR="00EF1DD2" w:rsidRPr="00ED3E8A" w:rsidRDefault="00EF1DD2" w:rsidP="00EF1DD2">
      <w:pPr>
        <w:pStyle w:val="Zkladntext"/>
        <w:spacing w:after="0"/>
        <w:rPr>
          <w:sz w:val="18"/>
        </w:rPr>
      </w:pPr>
      <w:r w:rsidRPr="00ED3E8A">
        <w:rPr>
          <w:sz w:val="16"/>
          <w:szCs w:val="18"/>
        </w:rPr>
        <w:tab/>
        <w:t>zahrnuje hlavní zařízení energetiky, spojů a vodního hospodářství</w:t>
      </w:r>
    </w:p>
    <w:p w14:paraId="097EA73B" w14:textId="77777777" w:rsidR="00EF1DD2" w:rsidRPr="00ED3E8A" w:rsidRDefault="00EF1DD2" w:rsidP="00EF1DD2">
      <w:pPr>
        <w:pStyle w:val="Zkladntext"/>
        <w:spacing w:after="0"/>
        <w:rPr>
          <w:sz w:val="18"/>
        </w:rPr>
      </w:pPr>
      <w:r w:rsidRPr="00ED3E8A">
        <w:rPr>
          <w:sz w:val="16"/>
          <w:szCs w:val="18"/>
        </w:rPr>
        <w:tab/>
      </w:r>
      <w:r w:rsidRPr="00ED3E8A">
        <w:rPr>
          <w:caps/>
          <w:sz w:val="16"/>
          <w:szCs w:val="18"/>
        </w:rPr>
        <w:t>v rámci celého území města</w:t>
      </w:r>
    </w:p>
    <w:p w14:paraId="5AE2359C" w14:textId="77777777" w:rsidR="00EF1DD2" w:rsidRPr="00ED3E8A" w:rsidRDefault="00EF1DD2" w:rsidP="00EF1DD2">
      <w:pPr>
        <w:pStyle w:val="Zkladntext"/>
        <w:spacing w:after="0"/>
        <w:rPr>
          <w:sz w:val="18"/>
        </w:rPr>
      </w:pPr>
    </w:p>
    <w:p w14:paraId="332F7DD6" w14:textId="77777777" w:rsidR="00EF1DD2" w:rsidRPr="00ED3E8A" w:rsidRDefault="00EF1DD2" w:rsidP="00EF1DD2">
      <w:pPr>
        <w:pStyle w:val="Texttabulky"/>
        <w:spacing w:after="0"/>
        <w:rPr>
          <w:sz w:val="14"/>
        </w:rPr>
      </w:pPr>
      <w:r w:rsidRPr="00ED3E8A">
        <w:rPr>
          <w:b/>
          <w:bCs/>
          <w:sz w:val="18"/>
          <w:szCs w:val="20"/>
        </w:rPr>
        <w:tab/>
        <w:t>dominantní :</w:t>
      </w:r>
      <w:r w:rsidRPr="00ED3E8A">
        <w:rPr>
          <w:sz w:val="18"/>
          <w:szCs w:val="20"/>
        </w:rPr>
        <w:t xml:space="preserve"> monofunkční  účelové areály a objekty  sloužící k zajištění energetických sítí ( </w:t>
      </w:r>
      <w:r w:rsidRPr="00ED3E8A">
        <w:rPr>
          <w:sz w:val="18"/>
          <w:szCs w:val="20"/>
        </w:rPr>
        <w:tab/>
      </w:r>
      <w:r w:rsidRPr="00ED3E8A">
        <w:rPr>
          <w:sz w:val="18"/>
          <w:szCs w:val="20"/>
        </w:rPr>
        <w:tab/>
        <w:t xml:space="preserve">rozvodny a TS elektrické energie, RS plynu, zdroje a VS tepla, ČOV pro likvidaci odpadních </w:t>
      </w:r>
      <w:r w:rsidRPr="00ED3E8A">
        <w:rPr>
          <w:sz w:val="18"/>
          <w:szCs w:val="20"/>
        </w:rPr>
        <w:tab/>
      </w:r>
      <w:r w:rsidRPr="00ED3E8A">
        <w:rPr>
          <w:sz w:val="18"/>
          <w:szCs w:val="20"/>
        </w:rPr>
        <w:tab/>
        <w:t>vod, VDJ, jímací zařízení a ČS pro zásobování vodou, recyklační a sběrné dvory odpadu</w:t>
      </w:r>
    </w:p>
    <w:p w14:paraId="3FFB3E41" w14:textId="77777777" w:rsidR="00EF1DD2" w:rsidRPr="00ED3E8A" w:rsidRDefault="00EF1DD2" w:rsidP="00EF1DD2">
      <w:pPr>
        <w:pStyle w:val="Texttabulky"/>
        <w:spacing w:after="0"/>
        <w:rPr>
          <w:sz w:val="14"/>
        </w:rPr>
      </w:pPr>
      <w:r w:rsidRPr="00ED3E8A">
        <w:rPr>
          <w:b/>
          <w:bCs/>
          <w:sz w:val="18"/>
          <w:szCs w:val="20"/>
        </w:rPr>
        <w:tab/>
        <w:t xml:space="preserve">přípustné : </w:t>
      </w:r>
      <w:r w:rsidRPr="00ED3E8A">
        <w:rPr>
          <w:sz w:val="18"/>
          <w:szCs w:val="20"/>
        </w:rPr>
        <w:t>obvodové služebny a služební byty</w:t>
      </w:r>
    </w:p>
    <w:p w14:paraId="24901058" w14:textId="77777777" w:rsidR="00EF1DD2" w:rsidRDefault="00EF1DD2" w:rsidP="00EF1DD2">
      <w:pPr>
        <w:pStyle w:val="Texttabulky"/>
        <w:spacing w:after="0"/>
        <w:rPr>
          <w:sz w:val="18"/>
          <w:szCs w:val="20"/>
        </w:rPr>
      </w:pPr>
      <w:r w:rsidRPr="00ED3E8A">
        <w:rPr>
          <w:b/>
          <w:bCs/>
          <w:sz w:val="18"/>
          <w:szCs w:val="20"/>
        </w:rPr>
        <w:tab/>
        <w:t xml:space="preserve">nepřípustné : </w:t>
      </w:r>
      <w:r w:rsidRPr="00ED3E8A">
        <w:rPr>
          <w:sz w:val="18"/>
          <w:szCs w:val="20"/>
        </w:rPr>
        <w:t xml:space="preserve">všechny ostatní provozy a činnosti neodpovídající svojím provozem a </w:t>
      </w:r>
      <w:r w:rsidRPr="00ED3E8A">
        <w:rPr>
          <w:sz w:val="18"/>
          <w:szCs w:val="20"/>
        </w:rPr>
        <w:tab/>
      </w:r>
      <w:r w:rsidRPr="00ED3E8A">
        <w:rPr>
          <w:sz w:val="18"/>
          <w:szCs w:val="20"/>
        </w:rPr>
        <w:tab/>
      </w:r>
      <w:r w:rsidRPr="00ED3E8A">
        <w:rPr>
          <w:sz w:val="18"/>
          <w:szCs w:val="20"/>
        </w:rPr>
        <w:tab/>
        <w:t>charakterem dominantní činnosti</w:t>
      </w:r>
    </w:p>
    <w:p w14:paraId="45CFB372" w14:textId="77777777" w:rsidR="00EF1DD2" w:rsidRPr="00ED3E8A" w:rsidRDefault="00EF1DD2" w:rsidP="00EF1DD2">
      <w:pPr>
        <w:pStyle w:val="Texttabulky"/>
        <w:spacing w:after="0"/>
        <w:rPr>
          <w:sz w:val="14"/>
        </w:rPr>
      </w:pPr>
    </w:p>
    <w:p w14:paraId="4C23EE16" w14:textId="77777777" w:rsidR="00EF1DD2" w:rsidRPr="00ED3E8A" w:rsidRDefault="00EF1DD2" w:rsidP="00EF1DD2">
      <w:pPr>
        <w:pStyle w:val="Zkladntext"/>
        <w:spacing w:after="0"/>
        <w:rPr>
          <w:sz w:val="18"/>
        </w:rPr>
      </w:pPr>
      <w:r w:rsidRPr="00ED3E8A">
        <w:rPr>
          <w:b/>
          <w:bCs/>
          <w:szCs w:val="22"/>
        </w:rPr>
        <w:t>D</w:t>
      </w:r>
      <w:r w:rsidRPr="00ED3E8A">
        <w:rPr>
          <w:b/>
          <w:bCs/>
          <w:sz w:val="18"/>
        </w:rPr>
        <w:tab/>
      </w:r>
      <w:r w:rsidRPr="00ED3E8A">
        <w:rPr>
          <w:b/>
          <w:bCs/>
          <w:caps/>
          <w:sz w:val="18"/>
        </w:rPr>
        <w:t>plochy a areály dopravy</w:t>
      </w:r>
    </w:p>
    <w:p w14:paraId="19719B62" w14:textId="77777777" w:rsidR="00EF1DD2" w:rsidRPr="00ED3E8A" w:rsidRDefault="00EF1DD2" w:rsidP="00EF1DD2">
      <w:pPr>
        <w:pStyle w:val="Zkladntext"/>
        <w:spacing w:after="0"/>
        <w:rPr>
          <w:sz w:val="18"/>
        </w:rPr>
      </w:pPr>
      <w:r w:rsidRPr="00ED3E8A">
        <w:rPr>
          <w:sz w:val="18"/>
        </w:rPr>
        <w:tab/>
      </w:r>
      <w:r w:rsidRPr="00ED3E8A">
        <w:rPr>
          <w:sz w:val="16"/>
          <w:szCs w:val="18"/>
        </w:rPr>
        <w:t>silniční, železniční a lodní doprava (nákladní a osobní, MHD)</w:t>
      </w:r>
    </w:p>
    <w:p w14:paraId="3662CCD4" w14:textId="77777777" w:rsidR="00EF1DD2" w:rsidRPr="00ED3E8A" w:rsidRDefault="00EF1DD2" w:rsidP="00EF1DD2">
      <w:pPr>
        <w:pStyle w:val="Zkladntext"/>
        <w:spacing w:after="0"/>
        <w:rPr>
          <w:sz w:val="18"/>
        </w:rPr>
      </w:pPr>
      <w:r w:rsidRPr="00ED3E8A">
        <w:rPr>
          <w:sz w:val="16"/>
          <w:szCs w:val="18"/>
        </w:rPr>
        <w:tab/>
      </w:r>
      <w:r w:rsidRPr="00ED3E8A">
        <w:rPr>
          <w:caps/>
          <w:sz w:val="16"/>
          <w:szCs w:val="18"/>
        </w:rPr>
        <w:t>v rámci celého území města</w:t>
      </w:r>
    </w:p>
    <w:p w14:paraId="0758ACC6" w14:textId="77777777" w:rsidR="00EF1DD2" w:rsidRPr="00ED3E8A" w:rsidRDefault="00EF1DD2" w:rsidP="00EF1DD2">
      <w:pPr>
        <w:pStyle w:val="Zkladntext"/>
        <w:spacing w:after="0"/>
        <w:rPr>
          <w:sz w:val="18"/>
        </w:rPr>
      </w:pPr>
    </w:p>
    <w:p w14:paraId="6FE8CD8B" w14:textId="77777777" w:rsidR="00EF1DD2" w:rsidRPr="00ED3E8A" w:rsidRDefault="00EF1DD2" w:rsidP="00EF1DD2">
      <w:pPr>
        <w:pStyle w:val="Zkladntext"/>
        <w:spacing w:after="0"/>
        <w:rPr>
          <w:sz w:val="18"/>
        </w:rPr>
      </w:pPr>
      <w:r w:rsidRPr="00ED3E8A">
        <w:rPr>
          <w:rFonts w:cs="Arial"/>
          <w:b/>
          <w:bCs/>
          <w:sz w:val="18"/>
        </w:rPr>
        <w:tab/>
        <w:t>dominantní :</w:t>
      </w:r>
      <w:r w:rsidRPr="00ED3E8A">
        <w:rPr>
          <w:rFonts w:cs="Arial"/>
          <w:sz w:val="18"/>
        </w:rPr>
        <w:t xml:space="preserve"> dopravní skelet města tvořený silnicemi, trasami a komunikacemi  všech </w:t>
      </w:r>
      <w:r w:rsidRPr="00ED3E8A">
        <w:rPr>
          <w:rFonts w:cs="Arial"/>
          <w:sz w:val="18"/>
        </w:rPr>
        <w:tab/>
      </w:r>
      <w:r w:rsidRPr="00ED3E8A">
        <w:rPr>
          <w:rFonts w:cs="Arial"/>
          <w:sz w:val="18"/>
        </w:rPr>
        <w:tab/>
      </w:r>
      <w:r w:rsidRPr="00ED3E8A">
        <w:rPr>
          <w:rFonts w:cs="Arial"/>
          <w:sz w:val="18"/>
        </w:rPr>
        <w:tab/>
        <w:t xml:space="preserve">kategorií, veřejná osobní a nákladová doprava, MHD, účelové stavby a provozní </w:t>
      </w:r>
      <w:r w:rsidRPr="00ED3E8A">
        <w:rPr>
          <w:rFonts w:cs="Arial"/>
          <w:sz w:val="18"/>
        </w:rPr>
        <w:tab/>
      </w:r>
      <w:r w:rsidRPr="00ED3E8A">
        <w:rPr>
          <w:rFonts w:cs="Arial"/>
          <w:sz w:val="18"/>
        </w:rPr>
        <w:tab/>
      </w:r>
      <w:r w:rsidRPr="00ED3E8A">
        <w:rPr>
          <w:rFonts w:cs="Arial"/>
          <w:sz w:val="18"/>
        </w:rPr>
        <w:tab/>
        <w:t xml:space="preserve">objekty, přístavy, nádraží, služby pro motoristy , parkovací a odstavná stání povrchová a </w:t>
      </w:r>
      <w:r w:rsidRPr="00ED3E8A">
        <w:rPr>
          <w:rFonts w:cs="Arial"/>
          <w:sz w:val="18"/>
        </w:rPr>
        <w:tab/>
      </w:r>
      <w:r w:rsidRPr="00ED3E8A">
        <w:rPr>
          <w:rFonts w:cs="Arial"/>
          <w:sz w:val="18"/>
        </w:rPr>
        <w:tab/>
      </w:r>
      <w:r w:rsidRPr="00ED3E8A">
        <w:rPr>
          <w:rFonts w:cs="Arial"/>
          <w:sz w:val="18"/>
        </w:rPr>
        <w:tab/>
        <w:t>podpovrchová, garážové dvory  individuelní  i hromadné, terminál HD</w:t>
      </w:r>
    </w:p>
    <w:p w14:paraId="51222E61" w14:textId="77777777" w:rsidR="00EF1DD2" w:rsidRPr="00ED3E8A" w:rsidRDefault="00EF1DD2" w:rsidP="00EF1DD2">
      <w:pPr>
        <w:pStyle w:val="Zkladntext"/>
        <w:spacing w:after="0"/>
        <w:rPr>
          <w:sz w:val="18"/>
        </w:rPr>
      </w:pPr>
      <w:r w:rsidRPr="00ED3E8A">
        <w:rPr>
          <w:rFonts w:cs="Arial"/>
          <w:b/>
          <w:bCs/>
          <w:sz w:val="18"/>
        </w:rPr>
        <w:tab/>
        <w:t xml:space="preserve">vhodné: </w:t>
      </w:r>
      <w:r w:rsidRPr="00ED3E8A">
        <w:rPr>
          <w:rFonts w:cs="Arial"/>
          <w:sz w:val="18"/>
        </w:rPr>
        <w:t xml:space="preserve">podnikatelská činnost  zaměřená na služby související s funkcí objektu (stravování, </w:t>
      </w:r>
      <w:r w:rsidRPr="00ED3E8A">
        <w:rPr>
          <w:rFonts w:cs="Arial"/>
          <w:sz w:val="18"/>
        </w:rPr>
        <w:tab/>
      </w:r>
      <w:r w:rsidRPr="00ED3E8A">
        <w:rPr>
          <w:rFonts w:cs="Arial"/>
          <w:sz w:val="18"/>
        </w:rPr>
        <w:tab/>
        <w:t>informace, související služby), byty  služební, veřejné WC</w:t>
      </w:r>
    </w:p>
    <w:p w14:paraId="275A13D6" w14:textId="77777777" w:rsidR="00EF1DD2" w:rsidRPr="00ED3E8A" w:rsidRDefault="00EF1DD2" w:rsidP="00EF1DD2">
      <w:pPr>
        <w:pStyle w:val="Zkladntext"/>
        <w:spacing w:after="0"/>
        <w:rPr>
          <w:sz w:val="18"/>
        </w:rPr>
      </w:pPr>
      <w:r w:rsidRPr="00ED3E8A">
        <w:rPr>
          <w:rFonts w:cs="Arial"/>
          <w:b/>
          <w:bCs/>
          <w:sz w:val="18"/>
        </w:rPr>
        <w:tab/>
        <w:t xml:space="preserve">nepřípustné : </w:t>
      </w:r>
      <w:r w:rsidRPr="00ED3E8A">
        <w:rPr>
          <w:rFonts w:cs="Arial"/>
          <w:sz w:val="18"/>
        </w:rPr>
        <w:t xml:space="preserve">všechny ostatní provozy a činnosti neodpovídající svojím provozem a </w:t>
      </w:r>
      <w:r w:rsidRPr="00ED3E8A">
        <w:rPr>
          <w:rFonts w:cs="Arial"/>
          <w:sz w:val="18"/>
        </w:rPr>
        <w:tab/>
      </w:r>
      <w:r w:rsidRPr="00ED3E8A">
        <w:rPr>
          <w:rFonts w:cs="Arial"/>
          <w:sz w:val="18"/>
        </w:rPr>
        <w:tab/>
      </w:r>
      <w:r w:rsidRPr="00ED3E8A">
        <w:rPr>
          <w:rFonts w:cs="Arial"/>
          <w:sz w:val="18"/>
        </w:rPr>
        <w:tab/>
        <w:t>charakterem dominantní činnosti</w:t>
      </w:r>
    </w:p>
    <w:p w14:paraId="45B7AEFE" w14:textId="77777777" w:rsidR="00EF1DD2" w:rsidRPr="00ED3E8A" w:rsidRDefault="00EF1DD2" w:rsidP="00EF1DD2">
      <w:pPr>
        <w:pStyle w:val="Zkladntext"/>
        <w:spacing w:after="0"/>
        <w:rPr>
          <w:sz w:val="18"/>
        </w:rPr>
      </w:pPr>
    </w:p>
    <w:p w14:paraId="32C10D3B" w14:textId="77777777" w:rsidR="00EF1DD2" w:rsidRPr="00ED3E8A" w:rsidRDefault="00EF1DD2" w:rsidP="00EF1DD2">
      <w:pPr>
        <w:pStyle w:val="Zkladntext"/>
        <w:spacing w:after="0"/>
        <w:jc w:val="both"/>
        <w:rPr>
          <w:sz w:val="18"/>
        </w:rPr>
      </w:pPr>
    </w:p>
    <w:p w14:paraId="33256ACC" w14:textId="77777777" w:rsidR="00EF1DD2" w:rsidRPr="00ED3E8A" w:rsidRDefault="00EF1DD2" w:rsidP="00EF1DD2">
      <w:pPr>
        <w:pStyle w:val="Zkladntext"/>
        <w:spacing w:after="0"/>
        <w:rPr>
          <w:sz w:val="18"/>
        </w:rPr>
      </w:pPr>
      <w:r w:rsidRPr="00ED3E8A">
        <w:rPr>
          <w:b/>
          <w:bCs/>
          <w:sz w:val="18"/>
        </w:rPr>
        <w:t>ZV</w:t>
      </w:r>
      <w:r w:rsidRPr="00ED3E8A">
        <w:rPr>
          <w:sz w:val="18"/>
        </w:rPr>
        <w:tab/>
      </w:r>
      <w:r w:rsidRPr="00ED3E8A">
        <w:rPr>
          <w:b/>
          <w:bCs/>
          <w:caps/>
          <w:sz w:val="18"/>
        </w:rPr>
        <w:t xml:space="preserve">areály a služby zemědělské výroby, zahradnictví </w:t>
      </w:r>
    </w:p>
    <w:p w14:paraId="3D7EF032" w14:textId="77777777" w:rsidR="00EF1DD2" w:rsidRPr="00ED3E8A" w:rsidRDefault="00EF1DD2" w:rsidP="00EF1DD2">
      <w:pPr>
        <w:pStyle w:val="Zkladntext"/>
        <w:spacing w:after="0"/>
        <w:rPr>
          <w:sz w:val="18"/>
        </w:rPr>
      </w:pPr>
      <w:r w:rsidRPr="00ED3E8A">
        <w:rPr>
          <w:sz w:val="18"/>
        </w:rPr>
        <w:tab/>
      </w:r>
      <w:r w:rsidRPr="00ED3E8A">
        <w:rPr>
          <w:sz w:val="16"/>
          <w:szCs w:val="18"/>
        </w:rPr>
        <w:t>KRÁSNÝ STUDENEC, VILSNICE, LESNÁ, BŘEZINY - LIBVERDA, NEBOČADY, HORNÍ CHLUM</w:t>
      </w:r>
    </w:p>
    <w:p w14:paraId="49D19112" w14:textId="77777777" w:rsidR="00EF1DD2" w:rsidRPr="00ED3E8A" w:rsidRDefault="00EF1DD2" w:rsidP="00EF1DD2">
      <w:pPr>
        <w:pStyle w:val="Zkladntext"/>
        <w:spacing w:after="0"/>
        <w:rPr>
          <w:sz w:val="18"/>
        </w:rPr>
      </w:pPr>
    </w:p>
    <w:p w14:paraId="07B73064" w14:textId="77777777" w:rsidR="00EF1DD2" w:rsidRPr="00ED3E8A" w:rsidRDefault="00EF1DD2" w:rsidP="00EF1DD2">
      <w:pPr>
        <w:pStyle w:val="Texttabulky"/>
        <w:spacing w:after="0"/>
        <w:rPr>
          <w:sz w:val="14"/>
        </w:rPr>
      </w:pPr>
      <w:r w:rsidRPr="00ED3E8A">
        <w:rPr>
          <w:rFonts w:cs="Arial"/>
          <w:b/>
          <w:bCs/>
          <w:sz w:val="18"/>
          <w:szCs w:val="20"/>
        </w:rPr>
        <w:tab/>
        <w:t>dominantní :</w:t>
      </w:r>
      <w:r w:rsidRPr="00ED3E8A">
        <w:rPr>
          <w:rFonts w:cs="Arial"/>
          <w:sz w:val="18"/>
          <w:szCs w:val="20"/>
        </w:rPr>
        <w:t xml:space="preserve"> zemědělská rostlinná a živočišná výroba se soustředěním účelových staveb do </w:t>
      </w:r>
      <w:r w:rsidRPr="00ED3E8A">
        <w:rPr>
          <w:rFonts w:cs="Arial"/>
          <w:sz w:val="18"/>
          <w:szCs w:val="20"/>
        </w:rPr>
        <w:tab/>
      </w:r>
      <w:r w:rsidRPr="00ED3E8A">
        <w:rPr>
          <w:rFonts w:cs="Arial"/>
          <w:sz w:val="18"/>
          <w:szCs w:val="20"/>
        </w:rPr>
        <w:tab/>
        <w:t>monofunkčních areálů (PHO), rodinné farmy, zahradnictví, rybářství</w:t>
      </w:r>
    </w:p>
    <w:p w14:paraId="19C81F6F" w14:textId="77777777" w:rsidR="00EF1DD2" w:rsidRPr="00ED3E8A" w:rsidRDefault="00EF1DD2" w:rsidP="00EF1DD2">
      <w:pPr>
        <w:pStyle w:val="Texttabulky"/>
        <w:spacing w:after="0"/>
        <w:rPr>
          <w:sz w:val="14"/>
        </w:rPr>
      </w:pPr>
      <w:r w:rsidRPr="00ED3E8A">
        <w:rPr>
          <w:rFonts w:cs="Arial"/>
          <w:b/>
          <w:bCs/>
          <w:sz w:val="18"/>
          <w:szCs w:val="20"/>
        </w:rPr>
        <w:tab/>
        <w:t xml:space="preserve">přípustné : </w:t>
      </w:r>
      <w:r w:rsidRPr="00ED3E8A">
        <w:rPr>
          <w:rFonts w:cs="Arial"/>
          <w:sz w:val="18"/>
          <w:szCs w:val="20"/>
        </w:rPr>
        <w:t xml:space="preserve">podnikatelská činnost zaměřená na služby související s funkcí zóny, bydlení </w:t>
      </w:r>
      <w:r w:rsidRPr="00ED3E8A">
        <w:rPr>
          <w:rFonts w:cs="Arial"/>
          <w:sz w:val="18"/>
          <w:szCs w:val="20"/>
        </w:rPr>
        <w:tab/>
      </w:r>
      <w:r w:rsidRPr="00ED3E8A">
        <w:rPr>
          <w:rFonts w:cs="Arial"/>
          <w:sz w:val="18"/>
          <w:szCs w:val="20"/>
        </w:rPr>
        <w:tab/>
        <w:t>majitele firmy - provozovny</w:t>
      </w:r>
    </w:p>
    <w:p w14:paraId="2D6A9428" w14:textId="77777777" w:rsidR="00EF1DD2" w:rsidRPr="00ED3E8A" w:rsidRDefault="00EF1DD2" w:rsidP="00EF1DD2">
      <w:pPr>
        <w:pStyle w:val="Texttabulky"/>
        <w:spacing w:after="0"/>
        <w:rPr>
          <w:sz w:val="14"/>
        </w:rPr>
      </w:pPr>
      <w:r w:rsidRPr="00ED3E8A">
        <w:rPr>
          <w:rFonts w:cs="Arial"/>
          <w:b/>
          <w:bCs/>
          <w:sz w:val="18"/>
          <w:szCs w:val="20"/>
        </w:rPr>
        <w:tab/>
        <w:t xml:space="preserve">nepřípustné : </w:t>
      </w:r>
      <w:r w:rsidRPr="00ED3E8A">
        <w:rPr>
          <w:rFonts w:cs="Arial"/>
          <w:sz w:val="18"/>
          <w:szCs w:val="20"/>
        </w:rPr>
        <w:t xml:space="preserve">všechny ostatní provozy a činnosti neodpovídající svojím provozem a </w:t>
      </w:r>
      <w:r w:rsidRPr="00ED3E8A">
        <w:rPr>
          <w:rFonts w:cs="Arial"/>
          <w:sz w:val="18"/>
          <w:szCs w:val="20"/>
        </w:rPr>
        <w:tab/>
      </w:r>
      <w:r w:rsidRPr="00ED3E8A">
        <w:rPr>
          <w:rFonts w:cs="Arial"/>
          <w:sz w:val="18"/>
          <w:szCs w:val="20"/>
        </w:rPr>
        <w:tab/>
      </w:r>
      <w:r w:rsidRPr="00ED3E8A">
        <w:rPr>
          <w:rFonts w:cs="Arial"/>
          <w:sz w:val="18"/>
          <w:szCs w:val="20"/>
        </w:rPr>
        <w:tab/>
        <w:t>charakterem dominantní činnosti</w:t>
      </w:r>
    </w:p>
    <w:p w14:paraId="6CC28A29" w14:textId="77777777" w:rsidR="00EF1DD2" w:rsidRDefault="00EF1DD2" w:rsidP="00EF1DD2">
      <w:pPr>
        <w:pStyle w:val="Zkladntext"/>
        <w:spacing w:after="0"/>
      </w:pPr>
    </w:p>
    <w:p w14:paraId="7E3B399B" w14:textId="77777777" w:rsidR="00EF1DD2" w:rsidRPr="00EC5881" w:rsidRDefault="00EF1DD2" w:rsidP="00EF1DD2">
      <w:pPr>
        <w:pStyle w:val="Texttabulky"/>
        <w:spacing w:after="0" w:line="288" w:lineRule="auto"/>
        <w:ind w:left="709"/>
        <w:jc w:val="both"/>
        <w:rPr>
          <w:rFonts w:cs="Arial"/>
          <w:color w:val="auto"/>
          <w:sz w:val="18"/>
          <w:szCs w:val="22"/>
        </w:rPr>
      </w:pPr>
    </w:p>
    <w:p w14:paraId="411DF31C" w14:textId="77777777" w:rsidR="00EF1DD2" w:rsidRPr="00EC5881" w:rsidRDefault="00EF1DD2" w:rsidP="00EF1DD2">
      <w:pPr>
        <w:pStyle w:val="Zkladntext"/>
        <w:spacing w:before="120" w:after="0" w:line="288" w:lineRule="auto"/>
        <w:jc w:val="both"/>
        <w:rPr>
          <w:rFonts w:cs="Arial"/>
          <w:sz w:val="18"/>
          <w:szCs w:val="22"/>
        </w:rPr>
      </w:pPr>
      <w:r w:rsidRPr="00EC5881">
        <w:rPr>
          <w:rFonts w:cs="Arial"/>
          <w:b/>
          <w:bCs/>
          <w:sz w:val="18"/>
          <w:szCs w:val="22"/>
        </w:rPr>
        <w:t>Z</w:t>
      </w:r>
      <w:r w:rsidRPr="00EC5881">
        <w:rPr>
          <w:rFonts w:cs="Arial"/>
          <w:b/>
          <w:bCs/>
          <w:sz w:val="18"/>
          <w:szCs w:val="22"/>
        </w:rPr>
        <w:tab/>
      </w:r>
      <w:r w:rsidRPr="00EC5881">
        <w:rPr>
          <w:rFonts w:cs="Arial"/>
          <w:b/>
          <w:bCs/>
          <w:caps/>
          <w:sz w:val="18"/>
          <w:szCs w:val="22"/>
        </w:rPr>
        <w:t>zóna rekreačně klidová</w:t>
      </w:r>
    </w:p>
    <w:p w14:paraId="35044021" w14:textId="77777777" w:rsidR="00EF1DD2" w:rsidRPr="00EC5881" w:rsidRDefault="00EF1DD2" w:rsidP="00EF1DD2">
      <w:pPr>
        <w:pStyle w:val="Zkladntext"/>
        <w:spacing w:after="0" w:line="288" w:lineRule="auto"/>
        <w:ind w:left="709"/>
        <w:jc w:val="both"/>
        <w:rPr>
          <w:rFonts w:cs="Arial"/>
          <w:sz w:val="18"/>
          <w:szCs w:val="22"/>
        </w:rPr>
      </w:pPr>
      <w:r w:rsidRPr="00EC5881">
        <w:rPr>
          <w:rFonts w:cs="Arial"/>
          <w:sz w:val="18"/>
          <w:szCs w:val="22"/>
        </w:rPr>
        <w:t>zahrnuje plochy veřejné zeleně, lesoparky</w:t>
      </w:r>
    </w:p>
    <w:p w14:paraId="7F1D0C59" w14:textId="77777777" w:rsidR="00EF1DD2" w:rsidRDefault="00EF1DD2" w:rsidP="00EF1DD2">
      <w:pPr>
        <w:pStyle w:val="Zkladntext"/>
        <w:spacing w:after="0" w:line="288" w:lineRule="auto"/>
        <w:ind w:left="709"/>
        <w:jc w:val="both"/>
        <w:rPr>
          <w:rFonts w:cs="Arial"/>
          <w:sz w:val="18"/>
          <w:szCs w:val="22"/>
        </w:rPr>
      </w:pPr>
      <w:r w:rsidRPr="00EC5881">
        <w:rPr>
          <w:rFonts w:cs="Arial"/>
          <w:caps/>
          <w:sz w:val="18"/>
          <w:szCs w:val="22"/>
        </w:rPr>
        <w:t xml:space="preserve">maxičky, </w:t>
      </w:r>
      <w:r w:rsidRPr="00EC5881">
        <w:rPr>
          <w:rFonts w:cs="Arial"/>
          <w:sz w:val="18"/>
          <w:szCs w:val="22"/>
        </w:rPr>
        <w:t xml:space="preserve">SOUTOK LABE A PLOUČNICE, PASTÝŘSKÁ STĚNA, DĚČÍN - KAMENICKÁ, U KAPLE - BAŽANTNICE, STOLIČNÍ HORA </w:t>
      </w:r>
    </w:p>
    <w:p w14:paraId="186FB4C9" w14:textId="77777777" w:rsidR="00EF1DD2" w:rsidRPr="00EC5881" w:rsidRDefault="00EF1DD2" w:rsidP="00EF1DD2">
      <w:pPr>
        <w:pStyle w:val="Zkladntext"/>
        <w:spacing w:after="0" w:line="288" w:lineRule="auto"/>
        <w:ind w:left="709"/>
        <w:jc w:val="both"/>
        <w:rPr>
          <w:rFonts w:cs="Arial"/>
          <w:sz w:val="18"/>
          <w:szCs w:val="22"/>
        </w:rPr>
      </w:pPr>
    </w:p>
    <w:p w14:paraId="10773FA4" w14:textId="77777777" w:rsidR="00EF1DD2" w:rsidRPr="00EC5881" w:rsidRDefault="00EF1DD2" w:rsidP="00EF1DD2">
      <w:pPr>
        <w:pStyle w:val="Texttabulky"/>
        <w:spacing w:after="0" w:line="288" w:lineRule="auto"/>
        <w:ind w:left="709"/>
        <w:jc w:val="both"/>
        <w:rPr>
          <w:rFonts w:cs="Arial"/>
          <w:sz w:val="18"/>
          <w:szCs w:val="22"/>
        </w:rPr>
      </w:pPr>
      <w:r w:rsidRPr="00EC5881">
        <w:rPr>
          <w:rFonts w:cs="Arial"/>
          <w:b/>
          <w:bCs/>
          <w:sz w:val="18"/>
          <w:szCs w:val="22"/>
        </w:rPr>
        <w:t xml:space="preserve">dominantní: </w:t>
      </w:r>
      <w:r w:rsidRPr="00EC5881">
        <w:rPr>
          <w:rFonts w:cs="Arial"/>
          <w:sz w:val="18"/>
          <w:szCs w:val="22"/>
        </w:rPr>
        <w:t>krátkodobá rekreace a volný čas v rámci jednotlivých lokalit, nenarušující přírodní charakter a atraktivity daného území, areály, objekty, zařízení a plochy specifického charakteru, až na výjimky se sezónním využitím, zařízení rekreačních služeb a veřejného stravování, osvěta, mezinárodní i regionální význam</w:t>
      </w:r>
    </w:p>
    <w:p w14:paraId="49D12808" w14:textId="77777777" w:rsidR="00EF1DD2" w:rsidRPr="00EC5881" w:rsidRDefault="00EF1DD2" w:rsidP="00EF1DD2">
      <w:pPr>
        <w:pStyle w:val="Texttabulky"/>
        <w:spacing w:after="0" w:line="288" w:lineRule="auto"/>
        <w:ind w:left="709"/>
        <w:jc w:val="both"/>
        <w:rPr>
          <w:rFonts w:cs="Arial"/>
          <w:sz w:val="18"/>
          <w:szCs w:val="22"/>
        </w:rPr>
      </w:pPr>
      <w:r w:rsidRPr="00EC5881">
        <w:rPr>
          <w:rFonts w:cs="Arial"/>
          <w:b/>
          <w:bCs/>
          <w:sz w:val="18"/>
          <w:szCs w:val="22"/>
        </w:rPr>
        <w:t xml:space="preserve">vhodné: </w:t>
      </w:r>
      <w:r w:rsidRPr="00EC5881">
        <w:rPr>
          <w:rFonts w:cs="Arial"/>
          <w:sz w:val="18"/>
          <w:szCs w:val="22"/>
        </w:rPr>
        <w:t>zařízení kultury, osvěty a sportu, veřejného stravování, pěší a turistické trasy, vyhlídky, odpočívky, nezbytné ostatní účelové komunikace, základní technické vybavení, sportovní zařízení a vybavení</w:t>
      </w:r>
    </w:p>
    <w:p w14:paraId="77F9903F" w14:textId="77777777" w:rsidR="00EF1DD2" w:rsidRPr="00EC5881" w:rsidRDefault="00EF1DD2" w:rsidP="00EF1DD2">
      <w:pPr>
        <w:pStyle w:val="Texttabulky"/>
        <w:spacing w:after="0" w:line="288" w:lineRule="auto"/>
        <w:ind w:left="709"/>
        <w:jc w:val="both"/>
        <w:rPr>
          <w:rFonts w:cs="Arial"/>
          <w:sz w:val="18"/>
          <w:szCs w:val="22"/>
        </w:rPr>
      </w:pPr>
      <w:r w:rsidRPr="00EC5881">
        <w:rPr>
          <w:rFonts w:cs="Arial"/>
          <w:b/>
          <w:bCs/>
          <w:sz w:val="18"/>
          <w:szCs w:val="22"/>
        </w:rPr>
        <w:t xml:space="preserve">nepřípustné: </w:t>
      </w:r>
      <w:r w:rsidRPr="00EC5881">
        <w:rPr>
          <w:rFonts w:cs="Arial"/>
          <w:sz w:val="18"/>
          <w:szCs w:val="22"/>
        </w:rPr>
        <w:t>všechny ostatní provozy a činnosti neodpovídající svým provozem a charakterem poslání této zóny</w:t>
      </w:r>
    </w:p>
    <w:p w14:paraId="3C1FBCD2" w14:textId="77777777" w:rsidR="00EF1DD2" w:rsidRDefault="00EF1DD2" w:rsidP="00EF1DD2">
      <w:pPr>
        <w:pStyle w:val="Zkladntext"/>
        <w:spacing w:before="120" w:line="288" w:lineRule="auto"/>
        <w:jc w:val="both"/>
        <w:rPr>
          <w:rFonts w:cs="Arial"/>
          <w:sz w:val="18"/>
          <w:szCs w:val="22"/>
        </w:rPr>
      </w:pPr>
    </w:p>
    <w:p w14:paraId="289B888D" w14:textId="77777777" w:rsidR="00EF1DD2" w:rsidRPr="00EC5881" w:rsidRDefault="00EF1DD2" w:rsidP="00EF1DD2">
      <w:pPr>
        <w:pStyle w:val="Zkladntext"/>
        <w:spacing w:before="120" w:line="288" w:lineRule="auto"/>
        <w:jc w:val="both"/>
        <w:rPr>
          <w:rFonts w:cs="Arial"/>
          <w:sz w:val="18"/>
          <w:szCs w:val="22"/>
        </w:rPr>
      </w:pPr>
    </w:p>
    <w:p w14:paraId="71D24EE7" w14:textId="77777777" w:rsidR="00EF1DD2" w:rsidRDefault="00EF1DD2" w:rsidP="00EF1DD2">
      <w:pPr>
        <w:pStyle w:val="podnadpis2"/>
        <w:spacing w:before="0" w:after="0" w:line="288" w:lineRule="auto"/>
        <w:jc w:val="both"/>
        <w:rPr>
          <w:rFonts w:cs="Arial"/>
          <w:sz w:val="18"/>
          <w:szCs w:val="22"/>
        </w:rPr>
      </w:pPr>
      <w:r w:rsidRPr="00EC5881">
        <w:rPr>
          <w:rFonts w:cs="Arial"/>
          <w:sz w:val="18"/>
          <w:szCs w:val="22"/>
        </w:rPr>
        <w:t>ÚZEMÍ neURBANIZOVANÉ</w:t>
      </w:r>
    </w:p>
    <w:p w14:paraId="2C29F146" w14:textId="77777777" w:rsidR="00EF1DD2" w:rsidRPr="00EC5881" w:rsidRDefault="00EF1DD2" w:rsidP="00EF1DD2">
      <w:pPr>
        <w:pStyle w:val="podnadpis2"/>
        <w:spacing w:before="0" w:after="0" w:line="288" w:lineRule="auto"/>
        <w:jc w:val="both"/>
        <w:rPr>
          <w:rFonts w:cs="Arial"/>
          <w:sz w:val="18"/>
          <w:szCs w:val="22"/>
        </w:rPr>
      </w:pPr>
    </w:p>
    <w:p w14:paraId="6019DFEC"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CHÚ</w:t>
      </w:r>
      <w:r w:rsidRPr="00EC5881">
        <w:rPr>
          <w:rFonts w:cs="Arial"/>
          <w:sz w:val="18"/>
          <w:szCs w:val="22"/>
        </w:rPr>
        <w:tab/>
      </w:r>
      <w:r w:rsidRPr="00EC5881">
        <w:rPr>
          <w:rFonts w:cs="Arial"/>
          <w:b/>
          <w:bCs/>
          <w:sz w:val="18"/>
          <w:szCs w:val="22"/>
        </w:rPr>
        <w:t>ZÓNA CHRÁNĚNÝCH ÚZEMÍ</w:t>
      </w:r>
    </w:p>
    <w:p w14:paraId="5BB0443D" w14:textId="77777777" w:rsidR="00EF1DD2" w:rsidRPr="00EC5881" w:rsidRDefault="00EF1DD2" w:rsidP="00EF1DD2">
      <w:pPr>
        <w:pStyle w:val="Zkladntext"/>
        <w:spacing w:line="288" w:lineRule="auto"/>
        <w:ind w:left="709"/>
        <w:jc w:val="both"/>
        <w:rPr>
          <w:rFonts w:cs="Arial"/>
          <w:sz w:val="18"/>
          <w:szCs w:val="22"/>
        </w:rPr>
      </w:pPr>
      <w:r w:rsidRPr="00EC5881">
        <w:rPr>
          <w:rFonts w:cs="Arial"/>
          <w:sz w:val="18"/>
          <w:szCs w:val="22"/>
        </w:rPr>
        <w:t>zahrnuje přírodní ekosystémy v CHKO na území města</w:t>
      </w:r>
    </w:p>
    <w:p w14:paraId="1436BA65" w14:textId="77777777" w:rsidR="00EF1DD2" w:rsidRDefault="00EF1DD2" w:rsidP="00EF1DD2">
      <w:pPr>
        <w:pStyle w:val="Zkladntext"/>
        <w:spacing w:line="288" w:lineRule="auto"/>
        <w:ind w:left="709"/>
        <w:jc w:val="both"/>
        <w:rPr>
          <w:rFonts w:cs="Arial"/>
          <w:sz w:val="18"/>
          <w:szCs w:val="22"/>
        </w:rPr>
      </w:pPr>
      <w:r w:rsidRPr="00EC5881">
        <w:rPr>
          <w:rFonts w:cs="Arial"/>
          <w:sz w:val="18"/>
          <w:szCs w:val="22"/>
        </w:rPr>
        <w:t>ÚSES, BŘEZINSKÉ TISY, NEBOČADSKÝ LUH, BOHYŇSKÁ LADA</w:t>
      </w:r>
    </w:p>
    <w:p w14:paraId="12996D31" w14:textId="77777777" w:rsidR="00EF1DD2" w:rsidRPr="00EC5881" w:rsidRDefault="00EF1DD2" w:rsidP="00EF1DD2">
      <w:pPr>
        <w:pStyle w:val="Zkladntext"/>
        <w:spacing w:line="288" w:lineRule="auto"/>
        <w:ind w:left="709"/>
        <w:jc w:val="both"/>
        <w:rPr>
          <w:rFonts w:cs="Arial"/>
          <w:sz w:val="18"/>
          <w:szCs w:val="22"/>
        </w:rPr>
      </w:pPr>
    </w:p>
    <w:p w14:paraId="22FEA2A1" w14:textId="77777777" w:rsidR="00EF1DD2" w:rsidRPr="00EC5881" w:rsidRDefault="00EF1DD2" w:rsidP="00EF1DD2">
      <w:pPr>
        <w:pStyle w:val="Texttabulky"/>
        <w:spacing w:line="288" w:lineRule="auto"/>
        <w:ind w:left="709"/>
        <w:jc w:val="both"/>
        <w:rPr>
          <w:rFonts w:cs="Arial"/>
          <w:sz w:val="18"/>
          <w:szCs w:val="22"/>
        </w:rPr>
      </w:pPr>
      <w:r w:rsidRPr="00EC5881">
        <w:rPr>
          <w:rFonts w:cs="Arial"/>
          <w:b/>
          <w:bCs/>
          <w:sz w:val="18"/>
          <w:szCs w:val="22"/>
        </w:rPr>
        <w:t xml:space="preserve">dominantní: </w:t>
      </w:r>
      <w:r w:rsidRPr="00EC5881">
        <w:rPr>
          <w:rFonts w:cs="Arial"/>
          <w:sz w:val="18"/>
          <w:szCs w:val="22"/>
        </w:rPr>
        <w:t>přírodní fenomény s vyhlášenými regulativy využití a ochrany dle zákonných ustanovení, v podstatě bez dalšího možného funkčního využití</w:t>
      </w:r>
    </w:p>
    <w:p w14:paraId="1DB1CC50" w14:textId="77777777" w:rsidR="00EF1DD2" w:rsidRPr="00EC5881" w:rsidRDefault="00EF1DD2" w:rsidP="00EF1DD2">
      <w:pPr>
        <w:pStyle w:val="Texttabulky"/>
        <w:spacing w:line="288" w:lineRule="auto"/>
        <w:ind w:left="709"/>
        <w:jc w:val="both"/>
        <w:rPr>
          <w:rFonts w:cs="Arial"/>
          <w:sz w:val="18"/>
          <w:szCs w:val="22"/>
        </w:rPr>
      </w:pPr>
      <w:r w:rsidRPr="00EC5881">
        <w:rPr>
          <w:rFonts w:cs="Arial"/>
          <w:b/>
          <w:bCs/>
          <w:sz w:val="18"/>
          <w:szCs w:val="22"/>
        </w:rPr>
        <w:t xml:space="preserve">vhodné: </w:t>
      </w:r>
      <w:r w:rsidRPr="00EC5881">
        <w:rPr>
          <w:rFonts w:cs="Arial"/>
          <w:sz w:val="18"/>
          <w:szCs w:val="22"/>
        </w:rPr>
        <w:t>kultura a osvěta, naučné stezky</w:t>
      </w:r>
    </w:p>
    <w:p w14:paraId="48F7DA06" w14:textId="77777777" w:rsidR="00EF1DD2" w:rsidRPr="00EC5881" w:rsidRDefault="00EF1DD2" w:rsidP="00EF1DD2">
      <w:pPr>
        <w:pStyle w:val="Texttabulky"/>
        <w:spacing w:line="288" w:lineRule="auto"/>
        <w:ind w:left="709"/>
        <w:jc w:val="both"/>
        <w:rPr>
          <w:rFonts w:cs="Arial"/>
          <w:sz w:val="18"/>
          <w:szCs w:val="22"/>
        </w:rPr>
      </w:pPr>
      <w:r w:rsidRPr="00EC5881">
        <w:rPr>
          <w:rFonts w:cs="Arial"/>
          <w:b/>
          <w:bCs/>
          <w:sz w:val="18"/>
          <w:szCs w:val="22"/>
        </w:rPr>
        <w:t>přípustné:</w:t>
      </w:r>
      <w:r w:rsidRPr="00EC5881">
        <w:rPr>
          <w:rFonts w:cs="Arial"/>
          <w:sz w:val="18"/>
          <w:szCs w:val="22"/>
        </w:rPr>
        <w:t xml:space="preserve"> nezbytné opravy a rekonstrukce stávajících děl nebo zařízení</w:t>
      </w:r>
    </w:p>
    <w:p w14:paraId="67740486" w14:textId="77777777" w:rsidR="00EF1DD2" w:rsidRDefault="00EF1DD2" w:rsidP="00EF1DD2">
      <w:pPr>
        <w:pStyle w:val="Texttabulky"/>
        <w:spacing w:line="288" w:lineRule="auto"/>
        <w:ind w:left="709"/>
        <w:jc w:val="both"/>
        <w:rPr>
          <w:rFonts w:cs="Arial"/>
          <w:sz w:val="18"/>
          <w:szCs w:val="22"/>
        </w:rPr>
      </w:pPr>
      <w:r w:rsidRPr="00EC5881">
        <w:rPr>
          <w:rFonts w:cs="Arial"/>
          <w:b/>
          <w:bCs/>
          <w:sz w:val="18"/>
          <w:szCs w:val="22"/>
        </w:rPr>
        <w:lastRenderedPageBreak/>
        <w:t xml:space="preserve">nepřípustné: </w:t>
      </w:r>
      <w:r w:rsidRPr="00EC5881">
        <w:rPr>
          <w:rFonts w:cs="Arial"/>
          <w:sz w:val="18"/>
          <w:szCs w:val="22"/>
        </w:rPr>
        <w:t xml:space="preserve">všechny formy výrobních aktivit, volná těžba lesního půdního fondu a strukturní zeleně, regulace vodního toku, výstavba všech forem </w:t>
      </w:r>
    </w:p>
    <w:p w14:paraId="68DE7B8B" w14:textId="77777777" w:rsidR="00EF1DD2" w:rsidRPr="00EC5881" w:rsidRDefault="00EF1DD2" w:rsidP="00EF1DD2">
      <w:pPr>
        <w:pStyle w:val="Texttabulky"/>
        <w:spacing w:line="288" w:lineRule="auto"/>
        <w:ind w:left="709"/>
        <w:jc w:val="both"/>
        <w:rPr>
          <w:rFonts w:cs="Arial"/>
          <w:sz w:val="18"/>
          <w:szCs w:val="22"/>
        </w:rPr>
      </w:pPr>
    </w:p>
    <w:p w14:paraId="3A366ECB"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ZPF</w:t>
      </w:r>
      <w:r w:rsidRPr="00EC5881">
        <w:rPr>
          <w:rFonts w:cs="Arial"/>
          <w:sz w:val="18"/>
          <w:szCs w:val="22"/>
        </w:rPr>
        <w:tab/>
      </w:r>
      <w:r w:rsidRPr="00EC5881">
        <w:rPr>
          <w:rFonts w:cs="Arial"/>
          <w:b/>
          <w:bCs/>
          <w:sz w:val="18"/>
          <w:szCs w:val="22"/>
        </w:rPr>
        <w:t>ZÓNA ZEMĚDĚLSKÝCH KULTUR</w:t>
      </w:r>
    </w:p>
    <w:p w14:paraId="55453FC8" w14:textId="77777777" w:rsidR="00EF1DD2" w:rsidRPr="00EC5881" w:rsidRDefault="00EF1DD2" w:rsidP="00EF1DD2">
      <w:pPr>
        <w:pStyle w:val="Zkladntext"/>
        <w:spacing w:line="288" w:lineRule="auto"/>
        <w:ind w:left="709"/>
        <w:jc w:val="both"/>
        <w:rPr>
          <w:rFonts w:cs="Arial"/>
          <w:sz w:val="18"/>
          <w:szCs w:val="22"/>
        </w:rPr>
      </w:pPr>
      <w:r w:rsidRPr="00EC5881">
        <w:rPr>
          <w:rFonts w:cs="Arial"/>
          <w:sz w:val="18"/>
          <w:szCs w:val="22"/>
        </w:rPr>
        <w:t>zahrnuje zemědělský půdní fond na území města</w:t>
      </w:r>
    </w:p>
    <w:p w14:paraId="5CACB3EC" w14:textId="77777777" w:rsidR="00EF1DD2" w:rsidRPr="00EC5881" w:rsidRDefault="00EF1DD2" w:rsidP="00EF1DD2">
      <w:pPr>
        <w:pStyle w:val="Zkladntext"/>
        <w:spacing w:after="240" w:line="288" w:lineRule="auto"/>
        <w:ind w:left="709"/>
        <w:jc w:val="both"/>
        <w:rPr>
          <w:rFonts w:cs="Arial"/>
          <w:sz w:val="18"/>
          <w:szCs w:val="22"/>
        </w:rPr>
      </w:pPr>
      <w:r w:rsidRPr="00EC5881">
        <w:rPr>
          <w:rFonts w:cs="Arial"/>
          <w:sz w:val="18"/>
          <w:szCs w:val="22"/>
        </w:rPr>
        <w:t>KRÁSNÝ STUDENEC, LESNÁ, VELKÁ VELEŇ, CHLUM, FOLKNÁŘE, KŘEŠICE, BOLETICE, NEBOČADY, VILSNICE, CHROCHVICE</w:t>
      </w:r>
    </w:p>
    <w:p w14:paraId="687F3D86" w14:textId="77777777" w:rsidR="00EF1DD2" w:rsidRPr="00EC5881" w:rsidRDefault="00EF1DD2" w:rsidP="00EF1DD2">
      <w:pPr>
        <w:pStyle w:val="Texttabulky"/>
        <w:spacing w:line="288" w:lineRule="auto"/>
        <w:ind w:left="709"/>
        <w:jc w:val="both"/>
        <w:rPr>
          <w:rFonts w:cs="Arial"/>
          <w:sz w:val="18"/>
          <w:szCs w:val="22"/>
        </w:rPr>
      </w:pPr>
      <w:r w:rsidRPr="00EC5881">
        <w:rPr>
          <w:rFonts w:cs="Arial"/>
          <w:b/>
          <w:bCs/>
          <w:sz w:val="18"/>
          <w:szCs w:val="22"/>
        </w:rPr>
        <w:t xml:space="preserve">dominantní: </w:t>
      </w:r>
      <w:r w:rsidRPr="00EC5881">
        <w:rPr>
          <w:rFonts w:cs="Arial"/>
          <w:sz w:val="18"/>
          <w:szCs w:val="22"/>
        </w:rPr>
        <w:t>produkční zemědělská výroba (orná půda, trvalé trávní porosty, sady, zahrady, zahradnictví, školkařství)</w:t>
      </w:r>
    </w:p>
    <w:p w14:paraId="746820E2" w14:textId="77777777" w:rsidR="00EF1DD2" w:rsidRPr="00EC5881" w:rsidRDefault="00EF1DD2" w:rsidP="00EF1DD2">
      <w:pPr>
        <w:pStyle w:val="Texttabulky"/>
        <w:spacing w:line="288" w:lineRule="auto"/>
        <w:ind w:left="709"/>
        <w:jc w:val="both"/>
        <w:rPr>
          <w:rFonts w:cs="Arial"/>
          <w:sz w:val="18"/>
          <w:szCs w:val="22"/>
        </w:rPr>
      </w:pPr>
      <w:r w:rsidRPr="00EC5881">
        <w:rPr>
          <w:rFonts w:cs="Arial"/>
          <w:b/>
          <w:bCs/>
          <w:sz w:val="18"/>
          <w:szCs w:val="22"/>
        </w:rPr>
        <w:t>vhodné:</w:t>
      </w:r>
      <w:r w:rsidRPr="00EC5881">
        <w:rPr>
          <w:rFonts w:cs="Arial"/>
          <w:sz w:val="18"/>
          <w:szCs w:val="22"/>
        </w:rPr>
        <w:t xml:space="preserve"> nelesní ekosystémy, zahrádkářské osady, doprovodná a strukturní zeleň, vodní toky a plochy, přístupové a účelové komunikace</w:t>
      </w:r>
    </w:p>
    <w:p w14:paraId="59C26AD2" w14:textId="77777777" w:rsidR="00EF1DD2" w:rsidRPr="00EC5881" w:rsidRDefault="00EF1DD2" w:rsidP="00EF1DD2">
      <w:pPr>
        <w:pStyle w:val="Texttabulky"/>
        <w:spacing w:line="288" w:lineRule="auto"/>
        <w:ind w:left="709"/>
        <w:jc w:val="both"/>
        <w:rPr>
          <w:rFonts w:cs="Arial"/>
          <w:sz w:val="18"/>
          <w:szCs w:val="22"/>
        </w:rPr>
      </w:pPr>
      <w:r w:rsidRPr="00EC5881">
        <w:rPr>
          <w:rFonts w:cs="Arial"/>
          <w:b/>
          <w:bCs/>
          <w:sz w:val="18"/>
          <w:szCs w:val="22"/>
        </w:rPr>
        <w:t xml:space="preserve">přípustné: </w:t>
      </w:r>
      <w:r w:rsidRPr="00EC5881">
        <w:rPr>
          <w:rFonts w:cs="Arial"/>
          <w:sz w:val="18"/>
          <w:szCs w:val="22"/>
        </w:rPr>
        <w:t>účelové stavby, nadřazené trasy technické infrastruktury, komunikační síť s převahou účelových komunikací, turistické cesty a vyhlídky, cykloturistika</w:t>
      </w:r>
    </w:p>
    <w:p w14:paraId="1288E9B6" w14:textId="77777777" w:rsidR="00EF1DD2" w:rsidRPr="00EC5881" w:rsidRDefault="00EF1DD2" w:rsidP="00EF1DD2">
      <w:pPr>
        <w:pStyle w:val="Texttabulky"/>
        <w:spacing w:line="288" w:lineRule="auto"/>
        <w:ind w:left="709"/>
        <w:jc w:val="both"/>
        <w:rPr>
          <w:rFonts w:cs="Arial"/>
          <w:sz w:val="18"/>
          <w:szCs w:val="22"/>
        </w:rPr>
      </w:pPr>
      <w:r w:rsidRPr="00EC5881">
        <w:rPr>
          <w:rFonts w:cs="Arial"/>
          <w:b/>
          <w:bCs/>
          <w:sz w:val="18"/>
          <w:szCs w:val="22"/>
        </w:rPr>
        <w:t xml:space="preserve">zachovat průchodnost krajiny </w:t>
      </w:r>
    </w:p>
    <w:p w14:paraId="297AA26A" w14:textId="77777777" w:rsidR="00EF1DD2" w:rsidRPr="00EC5881" w:rsidRDefault="00EF1DD2" w:rsidP="00EF1DD2">
      <w:pPr>
        <w:pStyle w:val="Zkladntext"/>
        <w:spacing w:line="288" w:lineRule="auto"/>
        <w:ind w:left="709"/>
        <w:jc w:val="both"/>
        <w:rPr>
          <w:rFonts w:cs="Arial"/>
          <w:sz w:val="18"/>
          <w:szCs w:val="22"/>
        </w:rPr>
      </w:pPr>
      <w:r w:rsidRPr="00EC5881">
        <w:rPr>
          <w:rFonts w:cs="Arial"/>
          <w:sz w:val="18"/>
          <w:szCs w:val="22"/>
        </w:rPr>
        <w:t xml:space="preserve">obnova stabilizačních a protierozních opatření (strukturní zeleň, meze) v rámci souhrnných pozemkových úprav </w:t>
      </w:r>
    </w:p>
    <w:p w14:paraId="60B5984B" w14:textId="77777777" w:rsidR="00EF1DD2" w:rsidRPr="00732B81" w:rsidRDefault="00EF1DD2" w:rsidP="00EF1DD2">
      <w:pPr>
        <w:pStyle w:val="Zkladntext"/>
        <w:keepNext/>
        <w:spacing w:line="288" w:lineRule="auto"/>
        <w:jc w:val="both"/>
        <w:rPr>
          <w:rFonts w:cs="Arial"/>
          <w:b/>
          <w:bCs/>
          <w:caps/>
          <w:sz w:val="18"/>
          <w:szCs w:val="22"/>
        </w:rPr>
      </w:pPr>
      <w:r w:rsidRPr="00EC5881">
        <w:rPr>
          <w:rFonts w:cs="Arial"/>
          <w:b/>
          <w:bCs/>
          <w:sz w:val="18"/>
          <w:szCs w:val="22"/>
        </w:rPr>
        <w:t>LPF</w:t>
      </w:r>
      <w:r w:rsidRPr="00EC5881">
        <w:rPr>
          <w:rFonts w:cs="Arial"/>
          <w:b/>
          <w:bCs/>
          <w:sz w:val="18"/>
          <w:szCs w:val="22"/>
        </w:rPr>
        <w:tab/>
      </w:r>
      <w:r w:rsidRPr="00EC5881">
        <w:rPr>
          <w:rFonts w:cs="Arial"/>
          <w:b/>
          <w:bCs/>
          <w:caps/>
          <w:sz w:val="18"/>
          <w:szCs w:val="22"/>
        </w:rPr>
        <w:t>zóna lesních komplexů</w:t>
      </w:r>
    </w:p>
    <w:p w14:paraId="31A062A5" w14:textId="77777777" w:rsidR="00EF1DD2" w:rsidRPr="00EC5881" w:rsidRDefault="00EF1DD2" w:rsidP="00EF1DD2">
      <w:pPr>
        <w:pStyle w:val="Zkladntext"/>
        <w:keepNext/>
        <w:spacing w:line="288" w:lineRule="auto"/>
        <w:ind w:left="709"/>
        <w:jc w:val="both"/>
        <w:rPr>
          <w:rFonts w:cs="Arial"/>
          <w:sz w:val="18"/>
          <w:szCs w:val="22"/>
        </w:rPr>
      </w:pPr>
      <w:r w:rsidRPr="00EC5881">
        <w:rPr>
          <w:rFonts w:cs="Arial"/>
          <w:sz w:val="18"/>
          <w:szCs w:val="22"/>
        </w:rPr>
        <w:t>zahrnuje všechna rozsáhlá území lesního půdního fondu</w:t>
      </w:r>
    </w:p>
    <w:p w14:paraId="70F50EE8" w14:textId="77777777" w:rsidR="00EF1DD2" w:rsidRDefault="00EF1DD2" w:rsidP="00EF1DD2">
      <w:pPr>
        <w:pStyle w:val="Zkladntext"/>
        <w:keepNext/>
        <w:spacing w:line="288" w:lineRule="auto"/>
        <w:ind w:left="709"/>
        <w:jc w:val="both"/>
        <w:rPr>
          <w:rFonts w:cs="Arial"/>
          <w:caps/>
          <w:sz w:val="18"/>
          <w:szCs w:val="22"/>
        </w:rPr>
      </w:pPr>
      <w:r w:rsidRPr="00EC5881">
        <w:rPr>
          <w:rFonts w:cs="Arial"/>
          <w:caps/>
          <w:sz w:val="18"/>
          <w:szCs w:val="22"/>
        </w:rPr>
        <w:t>v rámci celého území města</w:t>
      </w:r>
    </w:p>
    <w:p w14:paraId="0449D89D" w14:textId="77777777" w:rsidR="00EF1DD2" w:rsidRPr="00EC5881" w:rsidRDefault="00EF1DD2" w:rsidP="00EF1DD2">
      <w:pPr>
        <w:pStyle w:val="Zkladntext"/>
        <w:keepNext/>
        <w:spacing w:line="288" w:lineRule="auto"/>
        <w:ind w:left="709"/>
        <w:jc w:val="both"/>
        <w:rPr>
          <w:rFonts w:cs="Arial"/>
          <w:sz w:val="18"/>
          <w:szCs w:val="22"/>
        </w:rPr>
      </w:pPr>
    </w:p>
    <w:p w14:paraId="2007BC1B" w14:textId="77777777" w:rsidR="00EF1DD2" w:rsidRPr="00EC5881" w:rsidRDefault="00EF1DD2" w:rsidP="00EF1DD2">
      <w:pPr>
        <w:pStyle w:val="Texttabulky"/>
        <w:spacing w:line="288" w:lineRule="auto"/>
        <w:ind w:left="709"/>
        <w:jc w:val="both"/>
        <w:rPr>
          <w:rFonts w:cs="Arial"/>
          <w:sz w:val="18"/>
          <w:szCs w:val="22"/>
        </w:rPr>
      </w:pPr>
      <w:r w:rsidRPr="00EC5881">
        <w:rPr>
          <w:rFonts w:cs="Arial"/>
          <w:b/>
          <w:bCs/>
          <w:sz w:val="18"/>
          <w:szCs w:val="22"/>
        </w:rPr>
        <w:t xml:space="preserve">dominantní: </w:t>
      </w:r>
      <w:r w:rsidRPr="00EC5881">
        <w:rPr>
          <w:rFonts w:cs="Arial"/>
          <w:sz w:val="18"/>
          <w:szCs w:val="22"/>
        </w:rPr>
        <w:t>produkční, ochranná, vodohospodářská, ekologická a rekreační funkce</w:t>
      </w:r>
    </w:p>
    <w:p w14:paraId="63C80CB5" w14:textId="77777777" w:rsidR="00EF1DD2" w:rsidRPr="00EC5881" w:rsidRDefault="00EF1DD2" w:rsidP="00EF1DD2">
      <w:pPr>
        <w:pStyle w:val="Texttabulky"/>
        <w:spacing w:line="288" w:lineRule="auto"/>
        <w:ind w:left="709"/>
        <w:jc w:val="both"/>
        <w:rPr>
          <w:rFonts w:cs="Arial"/>
          <w:sz w:val="18"/>
          <w:szCs w:val="22"/>
        </w:rPr>
      </w:pPr>
      <w:r w:rsidRPr="00EC5881">
        <w:rPr>
          <w:rFonts w:cs="Arial"/>
          <w:b/>
          <w:bCs/>
          <w:sz w:val="18"/>
          <w:szCs w:val="22"/>
        </w:rPr>
        <w:t xml:space="preserve">vhodné: </w:t>
      </w:r>
      <w:r w:rsidRPr="00EC5881">
        <w:rPr>
          <w:rFonts w:cs="Arial"/>
          <w:sz w:val="18"/>
          <w:szCs w:val="22"/>
        </w:rPr>
        <w:t>myslivost, sběr lesních plodin, krátkodobá a turistická rekreace, cykloturistika</w:t>
      </w:r>
    </w:p>
    <w:p w14:paraId="0C9C5EBD" w14:textId="77777777" w:rsidR="00EF1DD2" w:rsidRPr="00EC5881" w:rsidRDefault="00EF1DD2" w:rsidP="00EF1DD2">
      <w:pPr>
        <w:pStyle w:val="Texttabulky"/>
        <w:spacing w:line="288" w:lineRule="auto"/>
        <w:ind w:left="709"/>
        <w:jc w:val="both"/>
        <w:rPr>
          <w:rFonts w:cs="Arial"/>
          <w:sz w:val="18"/>
          <w:szCs w:val="22"/>
        </w:rPr>
      </w:pPr>
      <w:r w:rsidRPr="00EC5881">
        <w:rPr>
          <w:rFonts w:cs="Arial"/>
          <w:b/>
          <w:bCs/>
          <w:sz w:val="18"/>
          <w:szCs w:val="22"/>
        </w:rPr>
        <w:t>přípustná:</w:t>
      </w:r>
      <w:r w:rsidRPr="00EC5881">
        <w:rPr>
          <w:rFonts w:cs="Arial"/>
          <w:sz w:val="18"/>
          <w:szCs w:val="22"/>
        </w:rPr>
        <w:t xml:space="preserve"> komunikační síť + P, účelové a turistické cesty, cykloturistika, systémy technické infrastruktury, rekreační lokality, veřejné služby CR (ubytování, stravování), zařízení a plochy pro lesní hospodaření a pro obranu a ochranu státu </w:t>
      </w:r>
    </w:p>
    <w:p w14:paraId="65EB2A1C" w14:textId="77777777" w:rsidR="00EF1DD2" w:rsidRPr="00EC5881" w:rsidRDefault="00EF1DD2" w:rsidP="00EF1DD2">
      <w:pPr>
        <w:pStyle w:val="Zkladntext"/>
        <w:spacing w:line="288" w:lineRule="auto"/>
        <w:jc w:val="both"/>
        <w:rPr>
          <w:rFonts w:cs="Arial"/>
          <w:sz w:val="18"/>
          <w:szCs w:val="22"/>
        </w:rPr>
      </w:pPr>
    </w:p>
    <w:p w14:paraId="09BB6FE2" w14:textId="77777777" w:rsidR="00EF1DD2" w:rsidRPr="00EC5881" w:rsidRDefault="00EF1DD2" w:rsidP="00EF1DD2">
      <w:pPr>
        <w:pStyle w:val="podnadpis2"/>
        <w:spacing w:before="0" w:after="0" w:line="288" w:lineRule="auto"/>
        <w:jc w:val="both"/>
        <w:rPr>
          <w:rFonts w:cs="Arial"/>
          <w:sz w:val="18"/>
          <w:szCs w:val="22"/>
        </w:rPr>
      </w:pPr>
      <w:r w:rsidRPr="00EC5881">
        <w:rPr>
          <w:rFonts w:cs="Arial"/>
          <w:sz w:val="18"/>
          <w:szCs w:val="22"/>
        </w:rPr>
        <w:t>prostorové uspořádání</w:t>
      </w:r>
    </w:p>
    <w:p w14:paraId="76BFE04E"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SC</w:t>
      </w:r>
      <w:r w:rsidRPr="00EC5881">
        <w:rPr>
          <w:rFonts w:cs="Arial"/>
          <w:sz w:val="18"/>
          <w:szCs w:val="22"/>
        </w:rPr>
        <w:t xml:space="preserve"> </w:t>
      </w:r>
      <w:r w:rsidRPr="00EC5881">
        <w:rPr>
          <w:rFonts w:cs="Arial"/>
          <w:sz w:val="18"/>
          <w:szCs w:val="22"/>
        </w:rPr>
        <w:tab/>
        <w:t>SMÍŠENÁ CENTRÁLNÍ ZÓNA</w:t>
      </w:r>
    </w:p>
    <w:p w14:paraId="3A0CFACF" w14:textId="77777777" w:rsidR="00EF1DD2" w:rsidRPr="00EC5881" w:rsidRDefault="00EF1DD2" w:rsidP="00EF1DD2">
      <w:pPr>
        <w:pStyle w:val="Zkladntext"/>
        <w:spacing w:after="0" w:line="288" w:lineRule="auto"/>
        <w:jc w:val="both"/>
        <w:rPr>
          <w:rFonts w:cs="Arial"/>
          <w:sz w:val="18"/>
          <w:szCs w:val="22"/>
        </w:rPr>
      </w:pPr>
      <w:r w:rsidRPr="00EC5881">
        <w:rPr>
          <w:rFonts w:cs="Arial"/>
          <w:caps/>
          <w:sz w:val="18"/>
          <w:szCs w:val="22"/>
        </w:rPr>
        <w:tab/>
      </w:r>
      <w:r w:rsidRPr="00EC5881">
        <w:rPr>
          <w:rFonts w:cs="Arial"/>
          <w:sz w:val="18"/>
          <w:szCs w:val="22"/>
        </w:rPr>
        <w:t>počet podlaží: 4 - 5</w:t>
      </w:r>
    </w:p>
    <w:p w14:paraId="1EFEB563"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 xml:space="preserve">intenzita zastavění pozemku v %: 75 </w:t>
      </w:r>
      <w:r>
        <w:rPr>
          <w:rFonts w:cs="Arial"/>
          <w:sz w:val="18"/>
          <w:szCs w:val="22"/>
        </w:rPr>
        <w:t>–</w:t>
      </w:r>
      <w:r w:rsidRPr="00EC5881">
        <w:rPr>
          <w:rFonts w:cs="Arial"/>
          <w:sz w:val="18"/>
          <w:szCs w:val="22"/>
        </w:rPr>
        <w:t xml:space="preserve"> 100</w:t>
      </w:r>
    </w:p>
    <w:p w14:paraId="2C8156CE"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SM</w:t>
      </w:r>
      <w:r w:rsidRPr="00EC5881">
        <w:rPr>
          <w:rFonts w:cs="Arial"/>
          <w:sz w:val="18"/>
          <w:szCs w:val="22"/>
        </w:rPr>
        <w:tab/>
        <w:t>SMÍŠENÁ MĚSTSKÁ ZÓNA</w:t>
      </w:r>
    </w:p>
    <w:p w14:paraId="78EBED61"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počet podlaží: 3 - 4</w:t>
      </w:r>
    </w:p>
    <w:p w14:paraId="0DFEAC8F"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50</w:t>
      </w:r>
    </w:p>
    <w:p w14:paraId="7E2EA969"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BM</w:t>
      </w:r>
      <w:r w:rsidRPr="00EC5881">
        <w:rPr>
          <w:rFonts w:cs="Arial"/>
          <w:sz w:val="18"/>
          <w:szCs w:val="22"/>
        </w:rPr>
        <w:tab/>
        <w:t>RD MĚSTSKÉHO TYPU</w:t>
      </w:r>
    </w:p>
    <w:p w14:paraId="5F261B93"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počet podlaží: do 2 + podkroví</w:t>
      </w:r>
    </w:p>
    <w:p w14:paraId="53FCCF1C"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25</w:t>
      </w:r>
    </w:p>
    <w:p w14:paraId="24A256EA" w14:textId="77777777" w:rsidR="00EF1DD2" w:rsidRPr="00EC5881" w:rsidRDefault="00EF1DD2" w:rsidP="00EF1DD2">
      <w:pPr>
        <w:pStyle w:val="Zkladntext"/>
        <w:spacing w:after="0" w:line="288" w:lineRule="auto"/>
        <w:jc w:val="both"/>
        <w:rPr>
          <w:rFonts w:cs="Arial"/>
          <w:sz w:val="18"/>
          <w:szCs w:val="22"/>
        </w:rPr>
      </w:pPr>
    </w:p>
    <w:p w14:paraId="02ED1E83"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BV</w:t>
      </w:r>
      <w:r w:rsidRPr="00EC5881">
        <w:rPr>
          <w:rFonts w:cs="Arial"/>
          <w:sz w:val="18"/>
          <w:szCs w:val="22"/>
        </w:rPr>
        <w:tab/>
        <w:t>SMÍŠENÁ ZÓNA S RD VENKOVSKÉHO TYPU</w:t>
      </w:r>
    </w:p>
    <w:p w14:paraId="5DB83059"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počet podlaží: 1 - 2 + podkroví</w:t>
      </w:r>
    </w:p>
    <w:p w14:paraId="7E23BF57"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15</w:t>
      </w:r>
    </w:p>
    <w:p w14:paraId="3C706ADC" w14:textId="77777777" w:rsidR="00EF1DD2" w:rsidRPr="00EC5881" w:rsidRDefault="00EF1DD2" w:rsidP="00EF1DD2">
      <w:pPr>
        <w:pStyle w:val="Zkladntext"/>
        <w:spacing w:after="0" w:line="288" w:lineRule="auto"/>
        <w:jc w:val="both"/>
        <w:rPr>
          <w:rFonts w:cs="Arial"/>
          <w:sz w:val="18"/>
          <w:szCs w:val="22"/>
        </w:rPr>
      </w:pPr>
    </w:p>
    <w:p w14:paraId="3FC0564F"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OV</w:t>
      </w:r>
      <w:r w:rsidRPr="00EC5881">
        <w:rPr>
          <w:rFonts w:cs="Arial"/>
          <w:b/>
          <w:bCs/>
          <w:sz w:val="18"/>
          <w:szCs w:val="22"/>
        </w:rPr>
        <w:tab/>
      </w:r>
      <w:r w:rsidRPr="00EC5881">
        <w:rPr>
          <w:rFonts w:cs="Arial"/>
          <w:sz w:val="18"/>
          <w:szCs w:val="22"/>
        </w:rPr>
        <w:t>OBJEKTY A AREÁLY OBČANSKÉHO VYBAVENÍ</w:t>
      </w:r>
    </w:p>
    <w:p w14:paraId="50BBED1D"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lastRenderedPageBreak/>
        <w:tab/>
        <w:t>počet podlaží: 2 - 4</w:t>
      </w:r>
    </w:p>
    <w:p w14:paraId="54845843"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 xml:space="preserve">intenzita zastavění pozemku v %: 50 </w:t>
      </w:r>
      <w:r>
        <w:rPr>
          <w:rFonts w:cs="Arial"/>
          <w:sz w:val="18"/>
          <w:szCs w:val="22"/>
        </w:rPr>
        <w:t>–</w:t>
      </w:r>
      <w:r w:rsidRPr="00EC5881">
        <w:rPr>
          <w:rFonts w:cs="Arial"/>
          <w:sz w:val="18"/>
          <w:szCs w:val="22"/>
        </w:rPr>
        <w:t xml:space="preserve"> 70</w:t>
      </w:r>
    </w:p>
    <w:p w14:paraId="743ADD4D" w14:textId="77777777" w:rsidR="00EF1DD2" w:rsidRPr="00EC5881" w:rsidRDefault="00EF1DD2" w:rsidP="00EF1DD2">
      <w:pPr>
        <w:pStyle w:val="Zkladntext"/>
        <w:spacing w:after="0" w:line="288" w:lineRule="auto"/>
        <w:jc w:val="both"/>
        <w:rPr>
          <w:rFonts w:cs="Arial"/>
          <w:sz w:val="18"/>
          <w:szCs w:val="22"/>
        </w:rPr>
      </w:pPr>
    </w:p>
    <w:p w14:paraId="1148C072"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S</w:t>
      </w:r>
      <w:r w:rsidRPr="00EC5881">
        <w:rPr>
          <w:rFonts w:cs="Arial"/>
          <w:sz w:val="18"/>
          <w:szCs w:val="22"/>
        </w:rPr>
        <w:tab/>
        <w:t>AREÁLY TĚLOVÝCHOVY A SPORTU</w:t>
      </w:r>
    </w:p>
    <w:p w14:paraId="2F0B976D" w14:textId="77777777" w:rsidR="00EF1DD2" w:rsidRPr="00EC5881" w:rsidRDefault="00EF1DD2" w:rsidP="00EF1DD2">
      <w:pPr>
        <w:pStyle w:val="Zkladntext"/>
        <w:spacing w:after="0"/>
        <w:jc w:val="both"/>
        <w:rPr>
          <w:rFonts w:cs="Arial"/>
          <w:sz w:val="18"/>
          <w:szCs w:val="22"/>
        </w:rPr>
      </w:pPr>
      <w:r w:rsidRPr="00EC5881">
        <w:rPr>
          <w:rFonts w:cs="Arial"/>
          <w:sz w:val="18"/>
          <w:szCs w:val="22"/>
        </w:rPr>
        <w:tab/>
        <w:t>počet podlaží: 1 - 2</w:t>
      </w:r>
    </w:p>
    <w:p w14:paraId="6ABD0B69" w14:textId="77777777" w:rsidR="00EF1DD2" w:rsidRDefault="00EF1DD2" w:rsidP="00EF1DD2">
      <w:pPr>
        <w:pStyle w:val="Zkladntext"/>
        <w:spacing w:after="0"/>
        <w:jc w:val="both"/>
        <w:rPr>
          <w:rFonts w:cs="Arial"/>
          <w:sz w:val="18"/>
          <w:szCs w:val="22"/>
        </w:rPr>
      </w:pPr>
      <w:r w:rsidRPr="00EC5881">
        <w:rPr>
          <w:rFonts w:cs="Arial"/>
          <w:sz w:val="18"/>
          <w:szCs w:val="22"/>
        </w:rPr>
        <w:tab/>
        <w:t>intenzita zastavění pozemku v %: 5 (70)</w:t>
      </w:r>
    </w:p>
    <w:p w14:paraId="716B9AAD" w14:textId="77777777" w:rsidR="00EF1DD2" w:rsidRPr="00EC5881" w:rsidRDefault="00EF1DD2" w:rsidP="00EF1DD2">
      <w:pPr>
        <w:pStyle w:val="Zkladntext"/>
        <w:spacing w:after="0"/>
        <w:jc w:val="both"/>
        <w:rPr>
          <w:rFonts w:cs="Arial"/>
          <w:sz w:val="18"/>
          <w:szCs w:val="22"/>
        </w:rPr>
      </w:pPr>
    </w:p>
    <w:p w14:paraId="4819CF64"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PV</w:t>
      </w:r>
      <w:r w:rsidRPr="00EC5881">
        <w:rPr>
          <w:rFonts w:cs="Arial"/>
          <w:sz w:val="18"/>
          <w:szCs w:val="22"/>
        </w:rPr>
        <w:tab/>
        <w:t>ZÓNA PRŮMYSLOVÉ VÝROBY</w:t>
      </w:r>
    </w:p>
    <w:p w14:paraId="21360293"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počet podlaží: 1 - 3 (zohlednit speciální výrobní charakter – 15 m)</w:t>
      </w:r>
    </w:p>
    <w:p w14:paraId="300D93AD"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80</w:t>
      </w:r>
    </w:p>
    <w:p w14:paraId="13E71843" w14:textId="77777777" w:rsidR="00EF1DD2" w:rsidRPr="00EC5881" w:rsidRDefault="00EF1DD2" w:rsidP="00EF1DD2">
      <w:pPr>
        <w:pStyle w:val="Zkladntext"/>
        <w:spacing w:after="0" w:line="288" w:lineRule="auto"/>
        <w:jc w:val="both"/>
        <w:rPr>
          <w:rFonts w:cs="Arial"/>
          <w:sz w:val="18"/>
          <w:szCs w:val="22"/>
        </w:rPr>
      </w:pPr>
    </w:p>
    <w:p w14:paraId="239A6F99"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NV</w:t>
      </w:r>
      <w:r w:rsidRPr="00EC5881">
        <w:rPr>
          <w:rFonts w:cs="Arial"/>
          <w:sz w:val="18"/>
          <w:szCs w:val="22"/>
        </w:rPr>
        <w:tab/>
        <w:t>ZÓNA NERUŠÍCÍ VÝROBY A VÝROBNÍCH SLUŽEB</w:t>
      </w:r>
    </w:p>
    <w:p w14:paraId="76B80F54"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počet podlaží: 1 - 2</w:t>
      </w:r>
    </w:p>
    <w:p w14:paraId="0E31060D"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až 80</w:t>
      </w:r>
    </w:p>
    <w:p w14:paraId="09C1D002" w14:textId="77777777" w:rsidR="00EF1DD2" w:rsidRPr="00EC5881" w:rsidRDefault="00EF1DD2" w:rsidP="00EF1DD2">
      <w:pPr>
        <w:pStyle w:val="Zkladntext"/>
        <w:spacing w:after="0" w:line="288" w:lineRule="auto"/>
        <w:jc w:val="both"/>
        <w:rPr>
          <w:rFonts w:cs="Arial"/>
          <w:sz w:val="18"/>
          <w:szCs w:val="22"/>
        </w:rPr>
      </w:pPr>
    </w:p>
    <w:p w14:paraId="6B558170"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TV</w:t>
      </w:r>
      <w:r w:rsidRPr="00EC5881">
        <w:rPr>
          <w:rFonts w:cs="Arial"/>
          <w:sz w:val="18"/>
          <w:szCs w:val="22"/>
        </w:rPr>
        <w:tab/>
        <w:t>AREÁLY TECHNICKÉHO VYBAVENÍ</w:t>
      </w:r>
    </w:p>
    <w:p w14:paraId="4A53A60A"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počet podlaží: 1 - 2 (zohlednit speciální charakter)</w:t>
      </w:r>
    </w:p>
    <w:p w14:paraId="0615AD52"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75 - 100 (zohlednit speciální charakter)</w:t>
      </w:r>
    </w:p>
    <w:p w14:paraId="08A6D48C" w14:textId="77777777" w:rsidR="00EF1DD2" w:rsidRPr="00EC5881" w:rsidRDefault="00EF1DD2" w:rsidP="00EF1DD2">
      <w:pPr>
        <w:pStyle w:val="Zkladntext"/>
        <w:spacing w:after="0" w:line="288" w:lineRule="auto"/>
        <w:jc w:val="both"/>
        <w:rPr>
          <w:rFonts w:cs="Arial"/>
          <w:sz w:val="18"/>
          <w:szCs w:val="22"/>
        </w:rPr>
      </w:pPr>
    </w:p>
    <w:p w14:paraId="0334A35A"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w:t>
      </w:r>
      <w:r w:rsidRPr="00EC5881">
        <w:rPr>
          <w:rFonts w:cs="Arial"/>
          <w:b/>
          <w:bCs/>
          <w:sz w:val="18"/>
          <w:szCs w:val="22"/>
        </w:rPr>
        <w:tab/>
      </w:r>
      <w:r w:rsidRPr="00EC5881">
        <w:rPr>
          <w:rFonts w:cs="Arial"/>
          <w:sz w:val="18"/>
          <w:szCs w:val="22"/>
        </w:rPr>
        <w:t>PLOCHY A AREÁLY DOPRAVY</w:t>
      </w:r>
    </w:p>
    <w:p w14:paraId="156B78C8" w14:textId="77777777" w:rsidR="00EF1DD2" w:rsidRPr="00EC5881" w:rsidRDefault="00EF1DD2" w:rsidP="00EF1DD2">
      <w:pPr>
        <w:pStyle w:val="Zkladntext"/>
        <w:spacing w:after="0" w:line="288" w:lineRule="auto"/>
        <w:jc w:val="both"/>
        <w:rPr>
          <w:rFonts w:cs="Arial"/>
          <w:sz w:val="18"/>
          <w:szCs w:val="22"/>
        </w:rPr>
      </w:pPr>
      <w:r w:rsidRPr="00EC5881">
        <w:rPr>
          <w:rFonts w:cs="Arial"/>
          <w:caps/>
          <w:sz w:val="18"/>
          <w:szCs w:val="22"/>
        </w:rPr>
        <w:tab/>
      </w:r>
      <w:r w:rsidRPr="00EC5881">
        <w:rPr>
          <w:rFonts w:cs="Arial"/>
          <w:sz w:val="18"/>
          <w:szCs w:val="22"/>
        </w:rPr>
        <w:t>počet podlaží: 1 - 2 (pro HG až 3)</w:t>
      </w:r>
    </w:p>
    <w:p w14:paraId="57055644"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90 (zohlednit speciální charakter)</w:t>
      </w:r>
    </w:p>
    <w:p w14:paraId="02CB55BC" w14:textId="77777777" w:rsidR="00EF1DD2" w:rsidRPr="00EC5881" w:rsidRDefault="00EF1DD2" w:rsidP="00EF1DD2">
      <w:pPr>
        <w:pStyle w:val="Zkladntext"/>
        <w:spacing w:after="0" w:line="288" w:lineRule="auto"/>
        <w:jc w:val="both"/>
        <w:rPr>
          <w:rFonts w:cs="Arial"/>
          <w:sz w:val="18"/>
          <w:szCs w:val="22"/>
        </w:rPr>
      </w:pPr>
    </w:p>
    <w:p w14:paraId="4DA4B768"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ZV</w:t>
      </w:r>
      <w:r w:rsidRPr="00EC5881">
        <w:rPr>
          <w:rFonts w:cs="Arial"/>
          <w:sz w:val="18"/>
          <w:szCs w:val="22"/>
        </w:rPr>
        <w:tab/>
        <w:t xml:space="preserve">AREÁLY A SLUŽBY ZEMĚDĚLSKÉ VÝROBY, ZAHRADNICTVÍ </w:t>
      </w:r>
    </w:p>
    <w:p w14:paraId="431CEDC5"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počet podlaží: 1 - 2 (zohlednit speciální výrobní charakter až 12 m)</w:t>
      </w:r>
    </w:p>
    <w:p w14:paraId="47DA7901"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až 60 (zohlednit speciální výrobní charakter)</w:t>
      </w:r>
    </w:p>
    <w:p w14:paraId="2360FE6C" w14:textId="77777777" w:rsidR="00EF1DD2" w:rsidRPr="00EC5881" w:rsidRDefault="00EF1DD2" w:rsidP="00EF1DD2">
      <w:pPr>
        <w:pStyle w:val="Zkladntext"/>
        <w:spacing w:line="288" w:lineRule="auto"/>
        <w:jc w:val="both"/>
        <w:rPr>
          <w:rFonts w:cs="Arial"/>
          <w:sz w:val="18"/>
          <w:szCs w:val="22"/>
        </w:rPr>
      </w:pPr>
    </w:p>
    <w:p w14:paraId="5B0D2DA7"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Z</w:t>
      </w:r>
      <w:r w:rsidRPr="00EC5881">
        <w:rPr>
          <w:rFonts w:cs="Arial"/>
          <w:sz w:val="18"/>
          <w:szCs w:val="22"/>
        </w:rPr>
        <w:tab/>
        <w:t>ZÓNA REKREAČNĚ KLIDOVÁ</w:t>
      </w:r>
    </w:p>
    <w:p w14:paraId="239D5741"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počet podlaží: 1</w:t>
      </w:r>
    </w:p>
    <w:p w14:paraId="66292E8E"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5</w:t>
      </w:r>
    </w:p>
    <w:p w14:paraId="54EBE489" w14:textId="77777777" w:rsidR="00EF1DD2" w:rsidRPr="00EC5881" w:rsidRDefault="00EF1DD2" w:rsidP="00EF1DD2">
      <w:pPr>
        <w:pStyle w:val="Zkladntext"/>
        <w:spacing w:after="0" w:line="288" w:lineRule="auto"/>
        <w:jc w:val="both"/>
        <w:rPr>
          <w:rFonts w:cs="Arial"/>
          <w:sz w:val="18"/>
          <w:szCs w:val="22"/>
        </w:rPr>
      </w:pPr>
    </w:p>
    <w:p w14:paraId="78AB4BA2"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CHÚ</w:t>
      </w:r>
      <w:r w:rsidRPr="00EC5881">
        <w:rPr>
          <w:rFonts w:cs="Arial"/>
          <w:sz w:val="18"/>
          <w:szCs w:val="22"/>
        </w:rPr>
        <w:tab/>
        <w:t>ZÓNA CHRÁNĚNÝCH ÚZEMÍ</w:t>
      </w:r>
    </w:p>
    <w:p w14:paraId="5E818D52"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počet podlaží: 0</w:t>
      </w:r>
    </w:p>
    <w:p w14:paraId="2B176C37"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0</w:t>
      </w:r>
    </w:p>
    <w:p w14:paraId="3C9F4343" w14:textId="77777777" w:rsidR="00EF1DD2" w:rsidRPr="00EC5881" w:rsidRDefault="00EF1DD2" w:rsidP="00EF1DD2">
      <w:pPr>
        <w:pStyle w:val="Zkladntext"/>
        <w:spacing w:after="0" w:line="288" w:lineRule="auto"/>
        <w:jc w:val="both"/>
        <w:rPr>
          <w:rFonts w:cs="Arial"/>
          <w:sz w:val="18"/>
          <w:szCs w:val="22"/>
        </w:rPr>
      </w:pPr>
    </w:p>
    <w:p w14:paraId="44E42D8B"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ZPF</w:t>
      </w:r>
      <w:r w:rsidRPr="00EC5881">
        <w:rPr>
          <w:rFonts w:cs="Arial"/>
          <w:sz w:val="18"/>
          <w:szCs w:val="22"/>
        </w:rPr>
        <w:tab/>
        <w:t>ZÓNA ZEMĚDĚLSKÝCH KULTUR</w:t>
      </w:r>
    </w:p>
    <w:p w14:paraId="00B3FCED"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počet podlaží: 1 - 2</w:t>
      </w:r>
    </w:p>
    <w:p w14:paraId="13FAB1E5" w14:textId="77777777" w:rsidR="00EF1DD2"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dle konkrétní stavby</w:t>
      </w:r>
    </w:p>
    <w:p w14:paraId="13874E99" w14:textId="77777777" w:rsidR="00EF1DD2" w:rsidRPr="00EC5881" w:rsidRDefault="00EF1DD2" w:rsidP="00EF1DD2">
      <w:pPr>
        <w:pStyle w:val="Zkladntext"/>
        <w:spacing w:after="0" w:line="288" w:lineRule="auto"/>
        <w:jc w:val="both"/>
        <w:rPr>
          <w:rFonts w:cs="Arial"/>
          <w:sz w:val="18"/>
          <w:szCs w:val="22"/>
        </w:rPr>
      </w:pPr>
    </w:p>
    <w:p w14:paraId="48DF0F99"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LPF</w:t>
      </w:r>
      <w:r w:rsidRPr="00EC5881">
        <w:rPr>
          <w:rFonts w:cs="Arial"/>
          <w:b/>
          <w:bCs/>
          <w:sz w:val="18"/>
          <w:szCs w:val="22"/>
        </w:rPr>
        <w:tab/>
      </w:r>
      <w:r w:rsidRPr="00EC5881">
        <w:rPr>
          <w:rFonts w:cs="Arial"/>
          <w:sz w:val="18"/>
          <w:szCs w:val="22"/>
        </w:rPr>
        <w:t>ZÓNA LESNÍCH KOMPLEXŮ</w:t>
      </w:r>
    </w:p>
    <w:p w14:paraId="306631C5"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počet podlaží: 1</w:t>
      </w:r>
    </w:p>
    <w:p w14:paraId="5B9011CE"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ab/>
        <w:t>intenzita zastavění pozemku v %: dle konkrétní stavby</w:t>
      </w:r>
    </w:p>
    <w:p w14:paraId="4107F15D" w14:textId="77777777" w:rsidR="00EF1DD2" w:rsidRPr="00EC5881" w:rsidRDefault="00EF1DD2" w:rsidP="00EF1DD2">
      <w:pPr>
        <w:pStyle w:val="Zkladntext"/>
        <w:spacing w:line="288" w:lineRule="auto"/>
        <w:jc w:val="both"/>
        <w:rPr>
          <w:rFonts w:cs="Arial"/>
          <w:sz w:val="18"/>
          <w:szCs w:val="22"/>
        </w:rPr>
      </w:pPr>
    </w:p>
    <w:p w14:paraId="68C35B58" w14:textId="77777777" w:rsidR="00EF1DD2" w:rsidRPr="00EC5881" w:rsidRDefault="00EF1DD2" w:rsidP="00EF1DD2">
      <w:pPr>
        <w:pStyle w:val="podnadpis1"/>
        <w:spacing w:before="0" w:after="0" w:line="288" w:lineRule="auto"/>
        <w:jc w:val="both"/>
        <w:rPr>
          <w:rFonts w:cs="Arial"/>
          <w:sz w:val="24"/>
        </w:rPr>
      </w:pPr>
      <w:r w:rsidRPr="00EC5881">
        <w:rPr>
          <w:rFonts w:cs="Arial"/>
          <w:sz w:val="24"/>
        </w:rPr>
        <w:t>p3. limity využití území</w:t>
      </w:r>
    </w:p>
    <w:p w14:paraId="299421A7" w14:textId="77777777" w:rsidR="00EF1DD2" w:rsidRPr="00EC5881" w:rsidRDefault="00EF1DD2" w:rsidP="00EF1DD2">
      <w:pPr>
        <w:pStyle w:val="podnadpis2"/>
        <w:spacing w:before="0" w:line="288" w:lineRule="auto"/>
        <w:jc w:val="both"/>
        <w:rPr>
          <w:rFonts w:cs="Arial"/>
          <w:sz w:val="18"/>
          <w:szCs w:val="22"/>
        </w:rPr>
      </w:pPr>
      <w:r w:rsidRPr="00EC5881">
        <w:rPr>
          <w:rFonts w:cs="Arial"/>
          <w:sz w:val="18"/>
          <w:szCs w:val="22"/>
        </w:rPr>
        <w:t xml:space="preserve">ochrana přírody a krajiny </w:t>
      </w:r>
    </w:p>
    <w:p w14:paraId="32DBBF9D" w14:textId="77777777" w:rsidR="00EF1DD2" w:rsidRPr="00EC5881" w:rsidRDefault="00EF1DD2" w:rsidP="00EF1DD2">
      <w:pPr>
        <w:pStyle w:val="Znaka1"/>
        <w:numPr>
          <w:ilvl w:val="2"/>
          <w:numId w:val="124"/>
        </w:numPr>
        <w:spacing w:line="288" w:lineRule="auto"/>
        <w:ind w:left="426"/>
        <w:jc w:val="both"/>
        <w:rPr>
          <w:rFonts w:cs="Arial"/>
          <w:sz w:val="18"/>
          <w:szCs w:val="22"/>
        </w:rPr>
      </w:pPr>
      <w:r w:rsidRPr="00EC5881">
        <w:rPr>
          <w:rFonts w:cs="Arial"/>
          <w:sz w:val="18"/>
          <w:szCs w:val="22"/>
        </w:rPr>
        <w:t>chráněná krajinná oblast Labské pískovce – zónování;</w:t>
      </w:r>
    </w:p>
    <w:p w14:paraId="3352A980" w14:textId="77777777" w:rsidR="00EF1DD2" w:rsidRPr="00EC5881" w:rsidRDefault="00EF1DD2" w:rsidP="00EF1DD2">
      <w:pPr>
        <w:pStyle w:val="Znaka1"/>
        <w:numPr>
          <w:ilvl w:val="2"/>
          <w:numId w:val="124"/>
        </w:numPr>
        <w:spacing w:line="288" w:lineRule="auto"/>
        <w:ind w:left="426"/>
        <w:jc w:val="both"/>
        <w:rPr>
          <w:rFonts w:cs="Arial"/>
          <w:sz w:val="18"/>
          <w:szCs w:val="22"/>
        </w:rPr>
      </w:pPr>
      <w:r w:rsidRPr="00EC5881">
        <w:rPr>
          <w:rFonts w:cs="Arial"/>
          <w:sz w:val="18"/>
          <w:szCs w:val="22"/>
        </w:rPr>
        <w:t>chráněná krajinná oblast České středohoří – zónování;</w:t>
      </w:r>
    </w:p>
    <w:p w14:paraId="053D6793" w14:textId="77777777" w:rsidR="00EF1DD2" w:rsidRPr="00EC5881" w:rsidRDefault="00EF1DD2" w:rsidP="00EF1DD2">
      <w:pPr>
        <w:pStyle w:val="Znaka1"/>
        <w:numPr>
          <w:ilvl w:val="2"/>
          <w:numId w:val="124"/>
        </w:numPr>
        <w:spacing w:line="288" w:lineRule="auto"/>
        <w:ind w:left="426"/>
        <w:jc w:val="both"/>
        <w:rPr>
          <w:rFonts w:cs="Arial"/>
          <w:sz w:val="18"/>
          <w:szCs w:val="22"/>
        </w:rPr>
      </w:pPr>
      <w:r w:rsidRPr="00EC5881">
        <w:rPr>
          <w:rFonts w:cs="Arial"/>
          <w:sz w:val="18"/>
          <w:szCs w:val="22"/>
        </w:rPr>
        <w:t>národní přírodní památka Březinské tisy;</w:t>
      </w:r>
    </w:p>
    <w:p w14:paraId="1FBB1E3D" w14:textId="77777777" w:rsidR="00EF1DD2" w:rsidRPr="00EC5881" w:rsidRDefault="00EF1DD2" w:rsidP="00EF1DD2">
      <w:pPr>
        <w:pStyle w:val="Znaka1"/>
        <w:numPr>
          <w:ilvl w:val="2"/>
          <w:numId w:val="124"/>
        </w:numPr>
        <w:spacing w:line="288" w:lineRule="auto"/>
        <w:ind w:left="426"/>
        <w:jc w:val="both"/>
        <w:rPr>
          <w:rFonts w:cs="Arial"/>
          <w:sz w:val="18"/>
          <w:szCs w:val="22"/>
        </w:rPr>
      </w:pPr>
      <w:r w:rsidRPr="00EC5881">
        <w:rPr>
          <w:rFonts w:cs="Arial"/>
          <w:sz w:val="18"/>
          <w:szCs w:val="22"/>
        </w:rPr>
        <w:t>přírodní památka Nebočadský luh;</w:t>
      </w:r>
    </w:p>
    <w:p w14:paraId="6883C799" w14:textId="77777777" w:rsidR="00EF1DD2" w:rsidRPr="00EC5881" w:rsidRDefault="00EF1DD2" w:rsidP="00EF1DD2">
      <w:pPr>
        <w:pStyle w:val="Znaka1"/>
        <w:numPr>
          <w:ilvl w:val="2"/>
          <w:numId w:val="124"/>
        </w:numPr>
        <w:spacing w:line="288" w:lineRule="auto"/>
        <w:ind w:left="426"/>
        <w:jc w:val="both"/>
        <w:rPr>
          <w:rFonts w:cs="Arial"/>
          <w:sz w:val="18"/>
          <w:szCs w:val="22"/>
        </w:rPr>
      </w:pPr>
      <w:r w:rsidRPr="00EC5881">
        <w:rPr>
          <w:rFonts w:cs="Arial"/>
          <w:sz w:val="18"/>
          <w:szCs w:val="22"/>
        </w:rPr>
        <w:t>přírodní památka Bohyňská lada (v návrhu);</w:t>
      </w:r>
    </w:p>
    <w:p w14:paraId="228D36B0" w14:textId="77777777" w:rsidR="00EF1DD2" w:rsidRPr="00EC5881" w:rsidRDefault="00EF1DD2" w:rsidP="00EF1DD2">
      <w:pPr>
        <w:pStyle w:val="Znaka1"/>
        <w:numPr>
          <w:ilvl w:val="2"/>
          <w:numId w:val="124"/>
        </w:numPr>
        <w:spacing w:line="288" w:lineRule="auto"/>
        <w:ind w:left="426"/>
        <w:jc w:val="both"/>
        <w:rPr>
          <w:rFonts w:cs="Arial"/>
          <w:sz w:val="18"/>
          <w:szCs w:val="22"/>
        </w:rPr>
      </w:pPr>
      <w:r w:rsidRPr="00EC5881">
        <w:rPr>
          <w:rFonts w:cs="Arial"/>
          <w:sz w:val="18"/>
          <w:szCs w:val="22"/>
        </w:rPr>
        <w:t>rybník u Králova mlýna (v přípravě);</w:t>
      </w:r>
    </w:p>
    <w:p w14:paraId="1E77CC51" w14:textId="77777777" w:rsidR="00EF1DD2" w:rsidRPr="00EC5881" w:rsidRDefault="00EF1DD2" w:rsidP="00EF1DD2">
      <w:pPr>
        <w:pStyle w:val="Znaka1"/>
        <w:numPr>
          <w:ilvl w:val="2"/>
          <w:numId w:val="124"/>
        </w:numPr>
        <w:spacing w:line="288" w:lineRule="auto"/>
        <w:ind w:left="426"/>
        <w:jc w:val="both"/>
        <w:rPr>
          <w:rFonts w:cs="Arial"/>
          <w:sz w:val="18"/>
          <w:szCs w:val="22"/>
        </w:rPr>
      </w:pPr>
      <w:r w:rsidRPr="00EC5881">
        <w:rPr>
          <w:rFonts w:cs="Arial"/>
          <w:sz w:val="18"/>
          <w:szCs w:val="22"/>
        </w:rPr>
        <w:lastRenderedPageBreak/>
        <w:t>památné stromy;</w:t>
      </w:r>
    </w:p>
    <w:p w14:paraId="74E5F2C0" w14:textId="77777777" w:rsidR="00EF1DD2" w:rsidRPr="00EC5881" w:rsidRDefault="00EF1DD2" w:rsidP="00EF1DD2">
      <w:pPr>
        <w:pStyle w:val="Znaka1"/>
        <w:numPr>
          <w:ilvl w:val="2"/>
          <w:numId w:val="124"/>
        </w:numPr>
        <w:spacing w:line="288" w:lineRule="auto"/>
        <w:ind w:left="426"/>
        <w:jc w:val="both"/>
        <w:rPr>
          <w:rFonts w:cs="Arial"/>
          <w:sz w:val="18"/>
          <w:szCs w:val="22"/>
        </w:rPr>
      </w:pPr>
      <w:r w:rsidRPr="00EC5881">
        <w:rPr>
          <w:rFonts w:cs="Arial"/>
          <w:sz w:val="18"/>
          <w:szCs w:val="22"/>
        </w:rPr>
        <w:t>ochranné pásmo lesa (50 m).</w:t>
      </w:r>
    </w:p>
    <w:p w14:paraId="349E99D9" w14:textId="77777777" w:rsidR="00EF1DD2" w:rsidRPr="00EC5881" w:rsidRDefault="00EF1DD2" w:rsidP="00EF1DD2">
      <w:pPr>
        <w:pStyle w:val="podnadpis2"/>
        <w:spacing w:before="0" w:after="0" w:line="288" w:lineRule="auto"/>
        <w:jc w:val="both"/>
        <w:rPr>
          <w:rFonts w:cs="Arial"/>
          <w:sz w:val="18"/>
          <w:szCs w:val="22"/>
        </w:rPr>
      </w:pPr>
      <w:r w:rsidRPr="00EC5881">
        <w:rPr>
          <w:rFonts w:cs="Arial"/>
          <w:sz w:val="18"/>
          <w:szCs w:val="22"/>
        </w:rPr>
        <w:t>územní systém ekologické stability</w:t>
      </w:r>
    </w:p>
    <w:p w14:paraId="4380FB77" w14:textId="77777777" w:rsidR="00EF1DD2" w:rsidRPr="00EC5881" w:rsidRDefault="00EF1DD2" w:rsidP="00EF1DD2">
      <w:pPr>
        <w:pStyle w:val="Zkladntext"/>
        <w:numPr>
          <w:ilvl w:val="0"/>
          <w:numId w:val="125"/>
        </w:numPr>
        <w:suppressAutoHyphens w:val="0"/>
        <w:autoSpaceDE w:val="0"/>
        <w:autoSpaceDN w:val="0"/>
        <w:adjustRightInd w:val="0"/>
        <w:spacing w:after="0" w:line="288" w:lineRule="auto"/>
        <w:ind w:left="426"/>
        <w:jc w:val="both"/>
        <w:rPr>
          <w:rFonts w:cs="Arial"/>
          <w:sz w:val="18"/>
          <w:szCs w:val="22"/>
        </w:rPr>
      </w:pPr>
      <w:r w:rsidRPr="00EC5881">
        <w:rPr>
          <w:rFonts w:cs="Arial"/>
          <w:sz w:val="18"/>
          <w:szCs w:val="22"/>
        </w:rPr>
        <w:t>regionální biocentra:</w:t>
      </w:r>
      <w:r w:rsidRPr="00EC5881">
        <w:rPr>
          <w:rFonts w:cs="Arial"/>
          <w:b/>
          <w:bCs/>
          <w:sz w:val="18"/>
          <w:szCs w:val="22"/>
        </w:rPr>
        <w:t xml:space="preserve"> </w:t>
      </w:r>
      <w:r w:rsidRPr="00EC5881">
        <w:rPr>
          <w:rFonts w:cs="Arial"/>
          <w:sz w:val="18"/>
          <w:szCs w:val="22"/>
        </w:rPr>
        <w:t>3, 15, 17, 18, 20, 24, 39;</w:t>
      </w:r>
    </w:p>
    <w:p w14:paraId="463BD1B5" w14:textId="77777777" w:rsidR="00EF1DD2" w:rsidRPr="00EC5881" w:rsidRDefault="00EF1DD2" w:rsidP="00EF1DD2">
      <w:pPr>
        <w:pStyle w:val="Znaka1"/>
        <w:numPr>
          <w:ilvl w:val="0"/>
          <w:numId w:val="125"/>
        </w:numPr>
        <w:spacing w:line="288" w:lineRule="auto"/>
        <w:ind w:left="426" w:right="1042"/>
        <w:jc w:val="both"/>
        <w:rPr>
          <w:rFonts w:cs="Arial"/>
          <w:sz w:val="18"/>
          <w:szCs w:val="22"/>
        </w:rPr>
      </w:pPr>
      <w:r w:rsidRPr="00EC5881">
        <w:rPr>
          <w:rFonts w:cs="Arial"/>
          <w:sz w:val="18"/>
          <w:szCs w:val="22"/>
        </w:rPr>
        <w:t>lokální biocentra:</w:t>
      </w:r>
      <w:r w:rsidRPr="00EC5881">
        <w:rPr>
          <w:rFonts w:cs="Arial"/>
          <w:b/>
          <w:bCs/>
          <w:sz w:val="18"/>
          <w:szCs w:val="22"/>
        </w:rPr>
        <w:t xml:space="preserve"> </w:t>
      </w:r>
      <w:r w:rsidRPr="00EC5881">
        <w:rPr>
          <w:rFonts w:cs="Arial"/>
          <w:sz w:val="18"/>
          <w:szCs w:val="22"/>
        </w:rPr>
        <w:t>2, 4,5, 6, 7, 11, 12, 13, 14, 16, 19, 21, 22, 23, 25, 26, 27, 28, 29, 30, 31, 32, 33, 34, 35, 36, 37, 38;</w:t>
      </w:r>
    </w:p>
    <w:p w14:paraId="7FE8DF8C"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nadregionální biokoridory: K8 vodní (Labe), K8 mezofilní bučinný, K8 borový a K8 mezofilní hájový;</w:t>
      </w:r>
    </w:p>
    <w:p w14:paraId="23D4F30D"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regionální biokoridory k vymezení: RK 549, RK 550 a RK 551;</w:t>
      </w:r>
    </w:p>
    <w:p w14:paraId="3B7CF07F" w14:textId="77777777" w:rsidR="00EF1DD2"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lokální biokoridory.</w:t>
      </w:r>
    </w:p>
    <w:p w14:paraId="43230982" w14:textId="77777777" w:rsidR="00EF1DD2" w:rsidRPr="00EC5881" w:rsidRDefault="00EF1DD2" w:rsidP="00EF1DD2">
      <w:pPr>
        <w:pStyle w:val="Znaka1"/>
        <w:spacing w:line="288" w:lineRule="auto"/>
        <w:ind w:left="426"/>
        <w:jc w:val="both"/>
        <w:rPr>
          <w:rFonts w:cs="Arial"/>
          <w:sz w:val="18"/>
          <w:szCs w:val="22"/>
        </w:rPr>
      </w:pPr>
    </w:p>
    <w:p w14:paraId="3230A41B" w14:textId="77777777" w:rsidR="00EF1DD2" w:rsidRPr="00EC5881" w:rsidRDefault="00EF1DD2" w:rsidP="00EF1DD2">
      <w:pPr>
        <w:pStyle w:val="podnadpis2"/>
        <w:spacing w:before="0" w:after="0" w:line="288" w:lineRule="auto"/>
        <w:jc w:val="both"/>
        <w:rPr>
          <w:rFonts w:cs="Arial"/>
          <w:sz w:val="18"/>
          <w:szCs w:val="22"/>
        </w:rPr>
      </w:pPr>
      <w:r w:rsidRPr="00EC5881">
        <w:rPr>
          <w:rFonts w:cs="Arial"/>
          <w:sz w:val="18"/>
          <w:szCs w:val="22"/>
        </w:rPr>
        <w:t>životní prostředí - ochrana staveb</w:t>
      </w:r>
    </w:p>
    <w:p w14:paraId="0F147E85"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vyhlášená PHO;</w:t>
      </w:r>
    </w:p>
    <w:p w14:paraId="20467E93"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území ohrožené hlukem z dopravy;</w:t>
      </w:r>
    </w:p>
    <w:p w14:paraId="4B72811A"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sesuvná území;</w:t>
      </w:r>
    </w:p>
    <w:p w14:paraId="02CFA907" w14:textId="77777777" w:rsidR="00EF1DD2"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území s výskytem radonového rizika;</w:t>
      </w:r>
    </w:p>
    <w:p w14:paraId="73941834" w14:textId="77777777" w:rsidR="00EF1DD2" w:rsidRPr="00EC5881" w:rsidRDefault="00EF1DD2" w:rsidP="00EF1DD2">
      <w:pPr>
        <w:pStyle w:val="Znaka1"/>
        <w:spacing w:line="288" w:lineRule="auto"/>
        <w:ind w:left="426"/>
        <w:jc w:val="both"/>
        <w:rPr>
          <w:rFonts w:cs="Arial"/>
          <w:sz w:val="18"/>
          <w:szCs w:val="22"/>
        </w:rPr>
      </w:pPr>
    </w:p>
    <w:p w14:paraId="1371789C" w14:textId="77777777" w:rsidR="00EF1DD2" w:rsidRPr="00EC5881" w:rsidRDefault="00EF1DD2" w:rsidP="00EF1DD2">
      <w:pPr>
        <w:pStyle w:val="podnadpis2"/>
        <w:spacing w:before="0" w:after="0" w:line="288" w:lineRule="auto"/>
        <w:jc w:val="both"/>
        <w:rPr>
          <w:rFonts w:cs="Arial"/>
          <w:sz w:val="18"/>
          <w:szCs w:val="22"/>
        </w:rPr>
      </w:pPr>
      <w:r w:rsidRPr="00EC5881">
        <w:rPr>
          <w:rFonts w:cs="Arial"/>
          <w:sz w:val="18"/>
          <w:szCs w:val="22"/>
        </w:rPr>
        <w:t>kulturní památky</w:t>
      </w:r>
    </w:p>
    <w:p w14:paraId="032CAA81"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nemovité kulturní památky, popř. soubory (viz. seznam kap. D2);</w:t>
      </w:r>
    </w:p>
    <w:p w14:paraId="6395C252"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archeologické naleziště (areál koupaliště pod zámkem - poliklinika);</w:t>
      </w:r>
    </w:p>
    <w:p w14:paraId="034CAB1F" w14:textId="77777777" w:rsidR="00EF1DD2"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krajinná památková zóna (v přípravě).</w:t>
      </w:r>
    </w:p>
    <w:p w14:paraId="2F4D7AE3" w14:textId="77777777" w:rsidR="00EF1DD2" w:rsidRPr="00EC5881" w:rsidRDefault="00EF1DD2" w:rsidP="00EF1DD2">
      <w:pPr>
        <w:pStyle w:val="Znaka1"/>
        <w:spacing w:line="288" w:lineRule="auto"/>
        <w:ind w:left="426"/>
        <w:jc w:val="both"/>
        <w:rPr>
          <w:rFonts w:cs="Arial"/>
          <w:sz w:val="18"/>
          <w:szCs w:val="22"/>
        </w:rPr>
      </w:pPr>
    </w:p>
    <w:p w14:paraId="4A7019E7" w14:textId="77777777" w:rsidR="00EF1DD2" w:rsidRPr="00EC5881" w:rsidRDefault="00EF1DD2" w:rsidP="00EF1DD2">
      <w:pPr>
        <w:pStyle w:val="podnadpis2"/>
        <w:spacing w:before="0" w:after="0" w:line="288" w:lineRule="auto"/>
        <w:jc w:val="both"/>
        <w:rPr>
          <w:rFonts w:cs="Arial"/>
          <w:sz w:val="18"/>
          <w:szCs w:val="22"/>
        </w:rPr>
      </w:pPr>
      <w:r w:rsidRPr="00EC5881">
        <w:rPr>
          <w:rFonts w:cs="Arial"/>
          <w:sz w:val="18"/>
          <w:szCs w:val="22"/>
        </w:rPr>
        <w:t>dopravy</w:t>
      </w:r>
    </w:p>
    <w:p w14:paraId="499E8FAE" w14:textId="77777777" w:rsidR="00EF1DD2" w:rsidRPr="00E34AF5" w:rsidRDefault="00EF1DD2" w:rsidP="00EF1DD2">
      <w:pPr>
        <w:pStyle w:val="Znaka1"/>
        <w:numPr>
          <w:ilvl w:val="0"/>
          <w:numId w:val="126"/>
        </w:numPr>
        <w:spacing w:line="288" w:lineRule="auto"/>
        <w:ind w:left="426"/>
        <w:jc w:val="both"/>
        <w:rPr>
          <w:rFonts w:cs="Arial"/>
          <w:sz w:val="18"/>
          <w:szCs w:val="22"/>
        </w:rPr>
      </w:pPr>
      <w:r w:rsidRPr="00E34AF5">
        <w:rPr>
          <w:rFonts w:cs="Arial"/>
          <w:sz w:val="18"/>
          <w:szCs w:val="22"/>
        </w:rPr>
        <w:t>ochranné pásmo silnic I. a II. třídy;</w:t>
      </w:r>
    </w:p>
    <w:p w14:paraId="62FADB1A" w14:textId="77777777" w:rsidR="00EF1DD2" w:rsidRPr="00E34AF5" w:rsidRDefault="00EF1DD2" w:rsidP="00EF1DD2">
      <w:pPr>
        <w:pStyle w:val="Znaka1"/>
        <w:numPr>
          <w:ilvl w:val="0"/>
          <w:numId w:val="126"/>
        </w:numPr>
        <w:spacing w:line="288" w:lineRule="auto"/>
        <w:ind w:left="426"/>
        <w:jc w:val="both"/>
        <w:rPr>
          <w:rFonts w:cs="Arial"/>
          <w:sz w:val="18"/>
          <w:szCs w:val="22"/>
        </w:rPr>
      </w:pPr>
      <w:r w:rsidRPr="00E34AF5">
        <w:rPr>
          <w:rFonts w:cs="Arial"/>
          <w:sz w:val="18"/>
          <w:szCs w:val="22"/>
        </w:rPr>
        <w:t>ochranné pásmo dráhy a vleček</w:t>
      </w:r>
      <w:r w:rsidRPr="00E34AF5">
        <w:rPr>
          <w:rFonts w:cs="Arial"/>
          <w:caps/>
          <w:sz w:val="18"/>
          <w:szCs w:val="22"/>
        </w:rPr>
        <w:t>.</w:t>
      </w:r>
    </w:p>
    <w:p w14:paraId="4CB46CEE" w14:textId="77777777" w:rsidR="00EF1DD2" w:rsidRPr="00EC5881" w:rsidRDefault="00EF1DD2" w:rsidP="00EF1DD2">
      <w:pPr>
        <w:pStyle w:val="Znaka1"/>
        <w:spacing w:line="288" w:lineRule="auto"/>
        <w:ind w:left="66"/>
        <w:jc w:val="both"/>
        <w:rPr>
          <w:rFonts w:cs="Arial"/>
          <w:strike/>
          <w:sz w:val="18"/>
          <w:szCs w:val="22"/>
        </w:rPr>
      </w:pPr>
    </w:p>
    <w:p w14:paraId="40C3C34C" w14:textId="77777777" w:rsidR="00EF1DD2" w:rsidRPr="00EC5881" w:rsidRDefault="00EF1DD2" w:rsidP="00EF1DD2">
      <w:pPr>
        <w:pStyle w:val="podnadpis2"/>
        <w:spacing w:before="0" w:after="0" w:line="288" w:lineRule="auto"/>
        <w:jc w:val="both"/>
        <w:rPr>
          <w:rFonts w:cs="Arial"/>
          <w:sz w:val="18"/>
          <w:szCs w:val="22"/>
        </w:rPr>
      </w:pPr>
      <w:r w:rsidRPr="00EC5881">
        <w:rPr>
          <w:rFonts w:cs="Arial"/>
          <w:sz w:val="18"/>
          <w:szCs w:val="22"/>
        </w:rPr>
        <w:t>vodního hospodářství</w:t>
      </w:r>
    </w:p>
    <w:p w14:paraId="31281679"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CHOPAV Severočeská křída;</w:t>
      </w:r>
    </w:p>
    <w:p w14:paraId="69F2EDF5"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PHO vodních zdrojů PHO I., II. A a II. B stupně;</w:t>
      </w:r>
    </w:p>
    <w:p w14:paraId="279FAD37"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ochranné pásmo ČOV Boletice;</w:t>
      </w:r>
    </w:p>
    <w:p w14:paraId="33C4EF52"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ochranné pásmo vodovodních potrubí;</w:t>
      </w:r>
    </w:p>
    <w:p w14:paraId="251DFC8D"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ochranné pásmo kanalizace;</w:t>
      </w:r>
    </w:p>
    <w:p w14:paraId="0A6E65F2"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zátopová území Labe, Ploučnice a Jílovského potoka;</w:t>
      </w:r>
    </w:p>
    <w:p w14:paraId="4849BBA5"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pozemky podél splavného vodního toku v šířce 10m, u ostatních toků 6m od břehové čáry;</w:t>
      </w:r>
    </w:p>
    <w:p w14:paraId="4FB094C3" w14:textId="77777777" w:rsidR="00EF1DD2"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hranice ochrany termálních vod.</w:t>
      </w:r>
    </w:p>
    <w:p w14:paraId="4447E54A" w14:textId="77777777" w:rsidR="00EF1DD2" w:rsidRPr="00EC5881" w:rsidRDefault="00EF1DD2" w:rsidP="00EF1DD2">
      <w:pPr>
        <w:pStyle w:val="Znaka1"/>
        <w:spacing w:line="288" w:lineRule="auto"/>
        <w:ind w:left="426"/>
        <w:jc w:val="both"/>
        <w:rPr>
          <w:rFonts w:cs="Arial"/>
          <w:sz w:val="18"/>
          <w:szCs w:val="22"/>
        </w:rPr>
      </w:pPr>
    </w:p>
    <w:p w14:paraId="153429AB" w14:textId="77777777" w:rsidR="00EF1DD2" w:rsidRPr="00EC5881" w:rsidRDefault="00EF1DD2" w:rsidP="00EF1DD2">
      <w:pPr>
        <w:pStyle w:val="podnadpis1"/>
        <w:spacing w:before="0" w:after="0" w:line="288" w:lineRule="auto"/>
        <w:jc w:val="both"/>
        <w:rPr>
          <w:rFonts w:cs="Arial"/>
          <w:sz w:val="18"/>
          <w:szCs w:val="22"/>
        </w:rPr>
      </w:pPr>
      <w:r w:rsidRPr="00EC5881">
        <w:rPr>
          <w:rFonts w:cs="Arial"/>
          <w:sz w:val="18"/>
          <w:szCs w:val="22"/>
        </w:rPr>
        <w:t xml:space="preserve">elektroenergetiky </w:t>
      </w:r>
    </w:p>
    <w:p w14:paraId="0D2F3A2C"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 xml:space="preserve"> ochranné pásmo venkovního vedení VVN, VN;</w:t>
      </w:r>
    </w:p>
    <w:p w14:paraId="67D77489"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ochranné pásmo podzemního vedení;</w:t>
      </w:r>
    </w:p>
    <w:p w14:paraId="4F9EA1B5" w14:textId="77777777" w:rsidR="00EF1DD2"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ochranné pásmo elektrické stanice – rozvodny.</w:t>
      </w:r>
    </w:p>
    <w:p w14:paraId="13AE72D9" w14:textId="77777777" w:rsidR="00EF1DD2" w:rsidRPr="00EC5881" w:rsidRDefault="00EF1DD2" w:rsidP="00EF1DD2">
      <w:pPr>
        <w:pStyle w:val="Znaka1"/>
        <w:spacing w:line="288" w:lineRule="auto"/>
        <w:ind w:left="426"/>
        <w:jc w:val="both"/>
        <w:rPr>
          <w:rFonts w:cs="Arial"/>
          <w:sz w:val="18"/>
          <w:szCs w:val="22"/>
        </w:rPr>
      </w:pPr>
    </w:p>
    <w:p w14:paraId="2678BD5C" w14:textId="77777777" w:rsidR="00EF1DD2" w:rsidRPr="00EC5881" w:rsidRDefault="00EF1DD2" w:rsidP="00EF1DD2">
      <w:pPr>
        <w:pStyle w:val="podnadpis1"/>
        <w:spacing w:before="0" w:after="0" w:line="288" w:lineRule="auto"/>
        <w:jc w:val="both"/>
        <w:rPr>
          <w:rFonts w:cs="Arial"/>
          <w:sz w:val="18"/>
          <w:szCs w:val="22"/>
        </w:rPr>
      </w:pPr>
      <w:r w:rsidRPr="00EC5881">
        <w:rPr>
          <w:rFonts w:cs="Arial"/>
          <w:sz w:val="18"/>
          <w:szCs w:val="22"/>
        </w:rPr>
        <w:t>spojů</w:t>
      </w:r>
    </w:p>
    <w:p w14:paraId="010533B0"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ochranné pásmo telekomunikačních kabelů;</w:t>
      </w:r>
    </w:p>
    <w:p w14:paraId="3F9CA26E"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ochranné pásmo radioreléových tras;</w:t>
      </w:r>
    </w:p>
    <w:p w14:paraId="77103857"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ochranné pásmo televizního převaděče.</w:t>
      </w:r>
    </w:p>
    <w:p w14:paraId="444E59DE" w14:textId="77777777" w:rsidR="00EF1DD2" w:rsidRDefault="00EF1DD2" w:rsidP="00EF1DD2">
      <w:pPr>
        <w:pStyle w:val="podnadpis2"/>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after="0" w:line="288" w:lineRule="auto"/>
        <w:jc w:val="both"/>
        <w:rPr>
          <w:rFonts w:cs="Arial"/>
          <w:sz w:val="18"/>
          <w:szCs w:val="22"/>
        </w:rPr>
      </w:pPr>
    </w:p>
    <w:p w14:paraId="0CDA61A8" w14:textId="77777777" w:rsidR="00EF1DD2" w:rsidRPr="00EC5881" w:rsidRDefault="00EF1DD2" w:rsidP="00EF1DD2">
      <w:pPr>
        <w:pStyle w:val="podnadpis2"/>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after="0" w:line="288" w:lineRule="auto"/>
        <w:jc w:val="both"/>
        <w:rPr>
          <w:rFonts w:cs="Arial"/>
          <w:sz w:val="18"/>
          <w:szCs w:val="22"/>
        </w:rPr>
      </w:pPr>
      <w:r w:rsidRPr="00EC5881">
        <w:rPr>
          <w:rFonts w:cs="Arial"/>
          <w:sz w:val="18"/>
          <w:szCs w:val="22"/>
        </w:rPr>
        <w:t>Plynárenství</w:t>
      </w:r>
    </w:p>
    <w:p w14:paraId="30E132DD"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ochranná pásma plynovodů a přípojek (VTL, STL, NTL);</w:t>
      </w:r>
    </w:p>
    <w:p w14:paraId="4A69110A"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ochranná pásma u technologických objektů;</w:t>
      </w:r>
    </w:p>
    <w:p w14:paraId="3BBF94C9"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bezpečnostní pásma.</w:t>
      </w:r>
    </w:p>
    <w:p w14:paraId="3FBBA8EE" w14:textId="77777777" w:rsidR="00EF1DD2" w:rsidRDefault="00EF1DD2" w:rsidP="00EF1DD2">
      <w:pPr>
        <w:pStyle w:val="podnadpis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after="0" w:line="288" w:lineRule="auto"/>
        <w:jc w:val="both"/>
        <w:rPr>
          <w:rFonts w:cs="Arial"/>
          <w:sz w:val="18"/>
          <w:szCs w:val="22"/>
        </w:rPr>
      </w:pPr>
    </w:p>
    <w:p w14:paraId="1D4C77FF" w14:textId="77777777" w:rsidR="00EF1DD2" w:rsidRPr="00EC5881" w:rsidRDefault="00EF1DD2" w:rsidP="00EF1DD2">
      <w:pPr>
        <w:pStyle w:val="podnadpis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after="0" w:line="288" w:lineRule="auto"/>
        <w:jc w:val="both"/>
        <w:rPr>
          <w:rFonts w:cs="Arial"/>
          <w:sz w:val="18"/>
          <w:szCs w:val="22"/>
        </w:rPr>
      </w:pPr>
      <w:r w:rsidRPr="00EC5881">
        <w:rPr>
          <w:rFonts w:cs="Arial"/>
          <w:sz w:val="18"/>
          <w:szCs w:val="22"/>
        </w:rPr>
        <w:t>Teplárenství</w:t>
      </w:r>
    </w:p>
    <w:p w14:paraId="19A43AB2" w14:textId="77777777" w:rsidR="00EF1DD2" w:rsidRPr="00EC5881" w:rsidRDefault="00EF1DD2" w:rsidP="00EF1DD2">
      <w:pPr>
        <w:pStyle w:val="Znaka1"/>
        <w:numPr>
          <w:ilvl w:val="0"/>
          <w:numId w:val="125"/>
        </w:numPr>
        <w:spacing w:line="288" w:lineRule="auto"/>
        <w:ind w:left="426"/>
        <w:jc w:val="both"/>
        <w:rPr>
          <w:rFonts w:cs="Arial"/>
          <w:sz w:val="18"/>
          <w:szCs w:val="22"/>
        </w:rPr>
      </w:pPr>
      <w:r w:rsidRPr="00EC5881">
        <w:rPr>
          <w:rFonts w:cs="Arial"/>
          <w:sz w:val="18"/>
          <w:szCs w:val="22"/>
        </w:rPr>
        <w:t>ochranná pásma zařízení na výrobu či rozvod tepla.</w:t>
      </w:r>
    </w:p>
    <w:p w14:paraId="4C6C75F6" w14:textId="77777777" w:rsidR="00EF1DD2" w:rsidRDefault="00EF1DD2" w:rsidP="00EF1DD2">
      <w:pPr>
        <w:pStyle w:val="podnadpis1"/>
        <w:spacing w:before="0" w:after="0" w:line="288" w:lineRule="auto"/>
        <w:jc w:val="both"/>
        <w:rPr>
          <w:rFonts w:cs="Arial"/>
          <w:sz w:val="24"/>
        </w:rPr>
      </w:pPr>
      <w:r w:rsidRPr="00EC5881">
        <w:rPr>
          <w:rFonts w:cs="Arial"/>
          <w:sz w:val="24"/>
        </w:rPr>
        <w:lastRenderedPageBreak/>
        <w:t xml:space="preserve">p4. zásady uspořádání dopravního a </w:t>
      </w:r>
    </w:p>
    <w:p w14:paraId="77F63A27" w14:textId="77777777" w:rsidR="00EF1DD2" w:rsidRDefault="00EF1DD2" w:rsidP="00EF1DD2">
      <w:pPr>
        <w:pStyle w:val="podnadpis1"/>
        <w:spacing w:before="0" w:after="0" w:line="288" w:lineRule="auto"/>
        <w:jc w:val="both"/>
        <w:rPr>
          <w:rFonts w:cs="Arial"/>
          <w:sz w:val="24"/>
        </w:rPr>
      </w:pPr>
      <w:r w:rsidRPr="00EC5881">
        <w:rPr>
          <w:rFonts w:cs="Arial"/>
          <w:sz w:val="24"/>
        </w:rPr>
        <w:t>technického vybavení</w:t>
      </w:r>
      <w:r>
        <w:rPr>
          <w:rFonts w:cs="Arial"/>
          <w:sz w:val="24"/>
        </w:rPr>
        <w:t xml:space="preserve"> </w:t>
      </w:r>
    </w:p>
    <w:p w14:paraId="3C21D790" w14:textId="77777777" w:rsidR="00EF1DD2" w:rsidRDefault="00EF1DD2" w:rsidP="00EF1DD2">
      <w:pPr>
        <w:pStyle w:val="podnadpis1"/>
        <w:spacing w:before="0" w:after="0" w:line="288" w:lineRule="auto"/>
        <w:jc w:val="both"/>
        <w:rPr>
          <w:rFonts w:cs="Arial"/>
          <w:sz w:val="24"/>
        </w:rPr>
      </w:pPr>
    </w:p>
    <w:p w14:paraId="795790A4" w14:textId="77777777" w:rsidR="00EF1DD2" w:rsidRPr="00EC5881" w:rsidRDefault="00EF1DD2" w:rsidP="00EF1DD2">
      <w:pPr>
        <w:pStyle w:val="podnadpis1"/>
        <w:spacing w:before="0" w:after="0" w:line="288" w:lineRule="auto"/>
        <w:jc w:val="both"/>
        <w:rPr>
          <w:rFonts w:cs="Arial"/>
          <w:sz w:val="22"/>
          <w:szCs w:val="28"/>
        </w:rPr>
      </w:pPr>
      <w:r w:rsidRPr="00EC5881">
        <w:rPr>
          <w:rFonts w:cs="Arial"/>
          <w:sz w:val="22"/>
          <w:szCs w:val="28"/>
        </w:rPr>
        <w:t>ZÁSADY PRO USPOŘÁDÁNÍ DOPRAVY</w:t>
      </w:r>
    </w:p>
    <w:p w14:paraId="2F54E1E9" w14:textId="77777777" w:rsidR="00EF1DD2" w:rsidRDefault="00EF1DD2" w:rsidP="00EF1DD2">
      <w:pPr>
        <w:pStyle w:val="Zkladntext"/>
        <w:spacing w:line="288" w:lineRule="auto"/>
        <w:jc w:val="both"/>
        <w:rPr>
          <w:rFonts w:cs="Arial"/>
          <w:b/>
          <w:bCs/>
          <w:sz w:val="18"/>
          <w:szCs w:val="22"/>
        </w:rPr>
      </w:pPr>
    </w:p>
    <w:p w14:paraId="666B64B6"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Záměry související s výstavbou dálnice D8</w:t>
      </w:r>
    </w:p>
    <w:p w14:paraId="41037561" w14:textId="77777777" w:rsidR="00EF1DD2" w:rsidRPr="00EC5881" w:rsidRDefault="00EF1DD2" w:rsidP="00EF1DD2">
      <w:pPr>
        <w:pStyle w:val="Zkladntext"/>
        <w:spacing w:line="288" w:lineRule="auto"/>
        <w:jc w:val="both"/>
        <w:rPr>
          <w:rFonts w:cs="Arial"/>
          <w:sz w:val="18"/>
          <w:szCs w:val="22"/>
        </w:rPr>
      </w:pPr>
      <w:r w:rsidRPr="00EC5881">
        <w:rPr>
          <w:rFonts w:cs="Arial"/>
          <w:sz w:val="18"/>
          <w:szCs w:val="22"/>
        </w:rPr>
        <w:t>trasa D8 není předmětem řešeného území, avšak svým významem se samotného města Děčína dotýká. Po její realizaci a uvedení do provozu lze oprávněně očekávat zvýšení dopravních intenzit na jejích přivaděčích a silničních tazích, které budou napojeny do uzlových bodů mimoúrovňových křižovatek. V konkrétním případě u Děčína se jedná o silnici I/62 (vazba na mimoúrovňovou křižovatku Trmice) a silnici I/13 (vazba na mimoúrovňovou křižovatku Knínice). Z tohoto důvodu je nutné rekonstruovat a zkapacitnit vstupy těchto tahů na území města Děčína.</w:t>
      </w:r>
    </w:p>
    <w:p w14:paraId="3CBAED38"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 xml:space="preserve">Přeložka silnice I/13 Děčín - Knínice </w:t>
      </w:r>
    </w:p>
    <w:p w14:paraId="6A2B5528" w14:textId="77777777" w:rsidR="00EF1DD2" w:rsidRPr="00EC5881" w:rsidRDefault="00EF1DD2" w:rsidP="00EF1DD2">
      <w:pPr>
        <w:pStyle w:val="Zkladntext"/>
        <w:spacing w:line="288" w:lineRule="auto"/>
        <w:jc w:val="both"/>
        <w:rPr>
          <w:rFonts w:cs="Arial"/>
          <w:sz w:val="18"/>
          <w:szCs w:val="22"/>
        </w:rPr>
      </w:pPr>
      <w:r w:rsidRPr="00EC5881">
        <w:rPr>
          <w:rFonts w:cs="Arial"/>
          <w:sz w:val="18"/>
          <w:szCs w:val="22"/>
        </w:rPr>
        <w:t>jeho nezbytnost je výhledově nutná vzhledem ke kritické situaci vznikající každodenně na průtahu vedeném městem po Teplické, Pivovarské a Podmokelské ulici. Je zřejmé, že podstatná část dopravní zátěže spadá do kategorie vnitroměstských či radiálních vztahů, avšak další výraznější zatížení tranzitem po zprovoznění dálnice je již těžko přípustné. Realizace se předpokládá ve výhledu a je vázána na časové období dokončení D8.</w:t>
      </w:r>
    </w:p>
    <w:p w14:paraId="1B6EDB3E" w14:textId="77777777" w:rsidR="00EF1DD2" w:rsidRPr="00EC5881" w:rsidRDefault="00EF1DD2" w:rsidP="00EF1DD2">
      <w:pPr>
        <w:pStyle w:val="Zkladntext"/>
        <w:keepNext/>
        <w:spacing w:line="288" w:lineRule="auto"/>
        <w:jc w:val="both"/>
        <w:rPr>
          <w:rFonts w:cs="Arial"/>
          <w:sz w:val="18"/>
          <w:szCs w:val="22"/>
        </w:rPr>
      </w:pPr>
      <w:r w:rsidRPr="00EC5881">
        <w:rPr>
          <w:rFonts w:cs="Arial"/>
          <w:b/>
          <w:bCs/>
          <w:sz w:val="18"/>
          <w:szCs w:val="22"/>
        </w:rPr>
        <w:t xml:space="preserve">Přeložka silnice I/13 Děčín - Benešov - Nový Bor </w:t>
      </w:r>
    </w:p>
    <w:p w14:paraId="06DD88BB" w14:textId="77777777" w:rsidR="00EF1DD2" w:rsidRPr="00EC5881" w:rsidRDefault="00EF1DD2" w:rsidP="00EF1DD2">
      <w:pPr>
        <w:pStyle w:val="Zkladntext"/>
        <w:spacing w:line="288" w:lineRule="auto"/>
        <w:jc w:val="both"/>
        <w:rPr>
          <w:rFonts w:cs="Arial"/>
          <w:sz w:val="18"/>
          <w:szCs w:val="22"/>
        </w:rPr>
      </w:pPr>
      <w:r w:rsidRPr="00EC5881">
        <w:rPr>
          <w:rFonts w:cs="Arial"/>
          <w:sz w:val="18"/>
          <w:szCs w:val="22"/>
        </w:rPr>
        <w:t xml:space="preserve">je dlouhodobě sledovaná akce. Nahrazuje trasu vedenou v nevhodných podmínkách přes Huntířov a Českou Kamenici ve směru na Nový Bor, kde šířkové, směrové ani výškové parametry neodpovídají kategorii nadřazeného tahu. </w:t>
      </w:r>
    </w:p>
    <w:p w14:paraId="7BD3320A"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Přeložka silnice II/261 Křešice - Boletice - Nebočady</w:t>
      </w:r>
    </w:p>
    <w:p w14:paraId="7033AE1A" w14:textId="77777777" w:rsidR="00EF1DD2" w:rsidRPr="00EC5881" w:rsidRDefault="00EF1DD2" w:rsidP="00EF1DD2">
      <w:pPr>
        <w:pStyle w:val="Zkladntext"/>
        <w:spacing w:line="288" w:lineRule="auto"/>
        <w:jc w:val="both"/>
        <w:rPr>
          <w:rFonts w:cs="Arial"/>
          <w:sz w:val="18"/>
          <w:szCs w:val="22"/>
        </w:rPr>
      </w:pPr>
      <w:r w:rsidRPr="00EC5881">
        <w:rPr>
          <w:rFonts w:cs="Arial"/>
          <w:sz w:val="18"/>
          <w:szCs w:val="22"/>
        </w:rPr>
        <w:t xml:space="preserve">je sledována jako výhledová. V návrhovém období připadá v úvahu pouze její část vedená v Křešicích v souběhu s tratí ČD a s vyloučením úrovňového přejezdu na Starém Městě. </w:t>
      </w:r>
    </w:p>
    <w:p w14:paraId="09AB210C"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 xml:space="preserve">Folknářská spojka </w:t>
      </w:r>
    </w:p>
    <w:p w14:paraId="051F77BE" w14:textId="77777777" w:rsidR="00EF1DD2" w:rsidRPr="00EC5881" w:rsidRDefault="00EF1DD2" w:rsidP="00EF1DD2">
      <w:pPr>
        <w:pStyle w:val="Zkladntext"/>
        <w:spacing w:line="288" w:lineRule="auto"/>
        <w:jc w:val="both"/>
        <w:rPr>
          <w:rFonts w:cs="Arial"/>
          <w:sz w:val="18"/>
          <w:szCs w:val="22"/>
        </w:rPr>
      </w:pPr>
      <w:r w:rsidRPr="00EC5881">
        <w:rPr>
          <w:rFonts w:cs="Arial"/>
          <w:sz w:val="18"/>
          <w:szCs w:val="22"/>
        </w:rPr>
        <w:t xml:space="preserve">trasa zlepšuje dopravní situaci na kritickém úseku na Kamenické ulici. Je po ní vedena část tranzitní a regionální dopravy a odlehčuje stávající trasu. Opodstatnění bude mít i po vybudování přeložky silnice I/13 ve směru na Benešov. </w:t>
      </w:r>
    </w:p>
    <w:p w14:paraId="23417836"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 xml:space="preserve">Rekonstrukce trati ČD Břeclav - Děčín - Drážďany - </w:t>
      </w:r>
      <w:r w:rsidRPr="00EC5881">
        <w:rPr>
          <w:rFonts w:cs="Arial"/>
          <w:sz w:val="18"/>
          <w:szCs w:val="22"/>
        </w:rPr>
        <w:t xml:space="preserve">souvisí se zvýšením rychlosti a výkonnosti železniční trati. Úpravy jsou uvažovány převážně v prostoru ochranného pásma dráhy. Výhledově bude realizován tunel pod Pastýřskou stěnou. </w:t>
      </w:r>
    </w:p>
    <w:p w14:paraId="21AD6E56"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Výstavba vodního díla v lokalitě Prostřední Žleb</w:t>
      </w:r>
    </w:p>
    <w:p w14:paraId="156E8DFF" w14:textId="77777777" w:rsidR="00EF1DD2" w:rsidRPr="00EC5881" w:rsidRDefault="00EF1DD2" w:rsidP="00EF1DD2">
      <w:pPr>
        <w:pStyle w:val="Zkladntext"/>
        <w:spacing w:line="288" w:lineRule="auto"/>
        <w:jc w:val="both"/>
        <w:rPr>
          <w:rFonts w:cs="Arial"/>
          <w:sz w:val="18"/>
          <w:szCs w:val="22"/>
        </w:rPr>
      </w:pPr>
      <w:r w:rsidRPr="00EC5881">
        <w:rPr>
          <w:rFonts w:cs="Arial"/>
          <w:sz w:val="18"/>
          <w:szCs w:val="22"/>
        </w:rPr>
        <w:t xml:space="preserve">dlouho diskutovaná otázka ohledně nutnosti jeho realizace a umístění se zdá být již koncepčně stanovena. S jeho výstavbou se počítá v návrhovém období. </w:t>
      </w:r>
    </w:p>
    <w:p w14:paraId="4D4A1E51"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Autobusové nádraží, terminál hromadné dopravy</w:t>
      </w:r>
    </w:p>
    <w:p w14:paraId="2F79E97C" w14:textId="77777777" w:rsidR="00EF1DD2" w:rsidRDefault="00EF1DD2" w:rsidP="00EF1DD2">
      <w:pPr>
        <w:pStyle w:val="Zkladntext"/>
        <w:spacing w:line="288" w:lineRule="auto"/>
        <w:jc w:val="both"/>
        <w:rPr>
          <w:rFonts w:cs="Arial"/>
          <w:sz w:val="18"/>
          <w:szCs w:val="22"/>
        </w:rPr>
      </w:pPr>
      <w:r w:rsidRPr="00EC5881">
        <w:rPr>
          <w:rFonts w:cs="Arial"/>
          <w:sz w:val="18"/>
          <w:szCs w:val="22"/>
        </w:rPr>
        <w:t>město Děčín má dosud provizorní autobusové nádraží v Hankově ulici. Pro jeho výstavbu je navržena lokalita za poštou v Podmoklech tak, aby odpovídala požadavkům na optimální dostupnost a lokalizaci v centru vybavenosti.</w:t>
      </w:r>
    </w:p>
    <w:p w14:paraId="72FF0EA3" w14:textId="77777777" w:rsidR="00EF1DD2" w:rsidRPr="00EC5881" w:rsidRDefault="00EF1DD2" w:rsidP="00EF1DD2">
      <w:pPr>
        <w:pStyle w:val="Zkladntext"/>
        <w:spacing w:line="288" w:lineRule="auto"/>
        <w:jc w:val="both"/>
        <w:rPr>
          <w:rFonts w:cs="Arial"/>
          <w:sz w:val="18"/>
          <w:szCs w:val="22"/>
        </w:rPr>
      </w:pPr>
    </w:p>
    <w:p w14:paraId="3DE18631" w14:textId="77777777" w:rsidR="00EF1DD2" w:rsidRPr="00EC5881" w:rsidRDefault="00EF1DD2" w:rsidP="00EF1DD2">
      <w:pPr>
        <w:pStyle w:val="Zkladntext"/>
        <w:numPr>
          <w:ilvl w:val="2"/>
          <w:numId w:val="127"/>
        </w:numPr>
        <w:suppressAutoHyphens w:val="0"/>
        <w:autoSpaceDE w:val="0"/>
        <w:autoSpaceDN w:val="0"/>
        <w:adjustRightInd w:val="0"/>
        <w:spacing w:after="0" w:line="288" w:lineRule="auto"/>
        <w:ind w:left="426"/>
        <w:jc w:val="both"/>
        <w:rPr>
          <w:rFonts w:cs="Arial"/>
          <w:sz w:val="18"/>
          <w:szCs w:val="22"/>
        </w:rPr>
      </w:pPr>
      <w:r w:rsidRPr="00EC5881">
        <w:rPr>
          <w:rFonts w:cs="Arial"/>
          <w:sz w:val="18"/>
          <w:szCs w:val="22"/>
        </w:rPr>
        <w:t xml:space="preserve">pro správnou funkci dopravy v Podmoklech zachovat a </w:t>
      </w:r>
      <w:r w:rsidRPr="00EC5881">
        <w:rPr>
          <w:rFonts w:cs="Arial"/>
          <w:b/>
          <w:bCs/>
          <w:sz w:val="18"/>
          <w:szCs w:val="22"/>
        </w:rPr>
        <w:t>zrekonstruovat železniční podjezdy</w:t>
      </w:r>
      <w:r w:rsidRPr="00EC5881">
        <w:rPr>
          <w:rFonts w:cs="Arial"/>
          <w:sz w:val="18"/>
          <w:szCs w:val="22"/>
        </w:rPr>
        <w:t xml:space="preserve"> Podmokelská - Ústecká, Teplická - Labské nábřeží a Dělnická – Ústecká;</w:t>
      </w:r>
    </w:p>
    <w:p w14:paraId="0FE5CCC3"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 xml:space="preserve">za nosný systém MHD ve městě považovat </w:t>
      </w:r>
      <w:r w:rsidRPr="00EC5881">
        <w:rPr>
          <w:rFonts w:cs="Arial"/>
          <w:b/>
          <w:bCs/>
          <w:sz w:val="18"/>
          <w:szCs w:val="22"/>
        </w:rPr>
        <w:t>autobusovou dopravu;</w:t>
      </w:r>
    </w:p>
    <w:p w14:paraId="7DED08D6"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 xml:space="preserve">zajistit </w:t>
      </w:r>
      <w:r w:rsidRPr="00EC5881">
        <w:rPr>
          <w:rFonts w:cs="Arial"/>
          <w:b/>
          <w:bCs/>
          <w:sz w:val="18"/>
          <w:szCs w:val="22"/>
        </w:rPr>
        <w:t>cyklistické propojení</w:t>
      </w:r>
      <w:r w:rsidRPr="00EC5881">
        <w:rPr>
          <w:rFonts w:cs="Arial"/>
          <w:sz w:val="18"/>
          <w:szCs w:val="22"/>
        </w:rPr>
        <w:t xml:space="preserve"> v trase podél Labe ve směru od Ústí nad Labem až po státní hranici se SRN. Na tento hlavní tah navázat odbočkami ve směru na Jílové a podél Ploučnice na Benešov;</w:t>
      </w:r>
    </w:p>
    <w:p w14:paraId="0978FC32"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objekty a plochy klidové dopravy realizovat po lokalitách v městských sektorech v rozsahu požadavků souvisejících s bydlením v bytových domech, obč. vybaveností a výrobou;</w:t>
      </w:r>
    </w:p>
    <w:p w14:paraId="016FC6C9" w14:textId="77777777" w:rsidR="00EF1DD2"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územně chránit výhledové rezervní trasy.</w:t>
      </w:r>
    </w:p>
    <w:p w14:paraId="3829BE79" w14:textId="77777777" w:rsidR="00EF1DD2" w:rsidRPr="00EC5881" w:rsidRDefault="00EF1DD2" w:rsidP="00EF1DD2">
      <w:pPr>
        <w:pStyle w:val="Znaka1"/>
        <w:spacing w:line="288" w:lineRule="auto"/>
        <w:ind w:left="426"/>
        <w:jc w:val="both"/>
        <w:rPr>
          <w:rFonts w:cs="Arial"/>
          <w:sz w:val="18"/>
          <w:szCs w:val="22"/>
        </w:rPr>
      </w:pPr>
    </w:p>
    <w:p w14:paraId="347CFD4D" w14:textId="77777777" w:rsidR="00EF1DD2" w:rsidRPr="00EC5881" w:rsidRDefault="00EF1DD2" w:rsidP="00EF1DD2">
      <w:pPr>
        <w:pStyle w:val="podnadpis2"/>
        <w:spacing w:before="0" w:after="0" w:line="288" w:lineRule="auto"/>
        <w:jc w:val="both"/>
        <w:rPr>
          <w:rFonts w:cs="Arial"/>
          <w:szCs w:val="28"/>
        </w:rPr>
      </w:pPr>
      <w:r w:rsidRPr="00EC5881">
        <w:rPr>
          <w:rFonts w:cs="Arial"/>
          <w:szCs w:val="28"/>
        </w:rPr>
        <w:t>ZÁSADY PRO USPOŘÁDÁNÍ vodního hospodářství</w:t>
      </w:r>
    </w:p>
    <w:p w14:paraId="3A0E5401" w14:textId="77777777" w:rsidR="00EF1DD2" w:rsidRPr="00EC5881" w:rsidRDefault="00EF1DD2" w:rsidP="00EF1DD2">
      <w:pPr>
        <w:pStyle w:val="Zkladntext"/>
        <w:spacing w:line="288" w:lineRule="auto"/>
        <w:jc w:val="both"/>
        <w:rPr>
          <w:rFonts w:cs="Arial"/>
          <w:sz w:val="18"/>
          <w:szCs w:val="22"/>
        </w:rPr>
      </w:pPr>
      <w:r w:rsidRPr="00EC5881">
        <w:rPr>
          <w:rFonts w:cs="Arial"/>
          <w:sz w:val="18"/>
          <w:szCs w:val="22"/>
        </w:rPr>
        <w:t xml:space="preserve">Podmínkou rozvoje města je realizace a dokončení </w:t>
      </w:r>
      <w:r w:rsidRPr="00EC5881">
        <w:rPr>
          <w:rFonts w:cs="Arial"/>
          <w:b/>
          <w:bCs/>
          <w:sz w:val="18"/>
          <w:szCs w:val="22"/>
        </w:rPr>
        <w:t>základní kostry hlavních kanalizačních sběračů</w:t>
      </w:r>
      <w:r w:rsidRPr="00EC5881">
        <w:rPr>
          <w:rFonts w:cs="Arial"/>
          <w:sz w:val="18"/>
          <w:szCs w:val="22"/>
        </w:rPr>
        <w:t xml:space="preserve"> zajišťujících podchycení dílčích vyústění kanalizací a převedení k místní ČOV. Tento záměr je nutno realizovat přednostně, jedná se tedy o I. etapu výstavby kanalizace, která je v současné době rozestavěná.</w:t>
      </w:r>
    </w:p>
    <w:p w14:paraId="52B98CD1" w14:textId="77777777" w:rsidR="00EF1DD2" w:rsidRDefault="00EF1DD2" w:rsidP="00EF1DD2">
      <w:pPr>
        <w:pStyle w:val="Zkladntext"/>
        <w:spacing w:line="288" w:lineRule="auto"/>
        <w:jc w:val="both"/>
        <w:rPr>
          <w:rFonts w:cs="Arial"/>
          <w:b/>
          <w:bCs/>
          <w:caps/>
          <w:sz w:val="18"/>
          <w:szCs w:val="22"/>
        </w:rPr>
      </w:pPr>
    </w:p>
    <w:p w14:paraId="335C21B1" w14:textId="77777777" w:rsidR="00EF1DD2" w:rsidRPr="00EC5881" w:rsidRDefault="00EF1DD2" w:rsidP="00EF1DD2">
      <w:pPr>
        <w:pStyle w:val="Zkladntext"/>
        <w:spacing w:line="288" w:lineRule="auto"/>
        <w:jc w:val="both"/>
        <w:rPr>
          <w:rFonts w:cs="Arial"/>
          <w:sz w:val="18"/>
          <w:szCs w:val="22"/>
        </w:rPr>
      </w:pPr>
      <w:r w:rsidRPr="00EC5881">
        <w:rPr>
          <w:rFonts w:cs="Arial"/>
          <w:b/>
          <w:bCs/>
          <w:caps/>
          <w:sz w:val="18"/>
          <w:szCs w:val="22"/>
        </w:rPr>
        <w:t xml:space="preserve">výstavba kanalizace </w:t>
      </w:r>
      <w:r w:rsidRPr="00EC5881">
        <w:rPr>
          <w:rFonts w:cs="Arial"/>
          <w:caps/>
          <w:sz w:val="18"/>
          <w:szCs w:val="22"/>
        </w:rPr>
        <w:t>(I. etapa)</w:t>
      </w:r>
    </w:p>
    <w:p w14:paraId="70854F20"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 xml:space="preserve">hlavní kanalizační sběrač A, výtlak A, čerpací stanice u jednotlivě podchycených stok, sběrač B </w:t>
      </w:r>
      <w:r w:rsidRPr="00EC5881">
        <w:rPr>
          <w:rFonts w:cs="Arial"/>
          <w:sz w:val="18"/>
          <w:szCs w:val="22"/>
        </w:rPr>
        <w:tab/>
        <w:t>(pravý břeh) a ČOV Boletice.</w:t>
      </w:r>
    </w:p>
    <w:p w14:paraId="453977EF" w14:textId="77777777" w:rsidR="00EF1DD2" w:rsidRPr="00EC5881" w:rsidRDefault="00EF1DD2" w:rsidP="00EF1DD2">
      <w:pPr>
        <w:pStyle w:val="Zkladntext"/>
        <w:spacing w:line="288" w:lineRule="auto"/>
        <w:jc w:val="both"/>
        <w:rPr>
          <w:rFonts w:cs="Arial"/>
          <w:sz w:val="18"/>
          <w:szCs w:val="22"/>
        </w:rPr>
      </w:pPr>
      <w:r w:rsidRPr="00EC5881">
        <w:rPr>
          <w:rFonts w:cs="Arial"/>
          <w:b/>
          <w:bCs/>
          <w:caps/>
          <w:sz w:val="18"/>
          <w:szCs w:val="22"/>
        </w:rPr>
        <w:t xml:space="preserve">výstavba kanalizace bezprostředně navazující </w:t>
      </w:r>
      <w:r w:rsidRPr="00EC5881">
        <w:rPr>
          <w:rFonts w:cs="Arial"/>
          <w:caps/>
          <w:sz w:val="18"/>
          <w:szCs w:val="22"/>
        </w:rPr>
        <w:t>(II. etapa</w:t>
      </w:r>
      <w:r w:rsidRPr="00EC5881">
        <w:rPr>
          <w:rFonts w:cs="Arial"/>
          <w:sz w:val="18"/>
          <w:szCs w:val="22"/>
        </w:rPr>
        <w:t>)</w:t>
      </w:r>
    </w:p>
    <w:p w14:paraId="48BAE8A9"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napojení kanalizace Nového Města;</w:t>
      </w:r>
    </w:p>
    <w:p w14:paraId="457C7742"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napojení Teplické ulice;</w:t>
      </w:r>
    </w:p>
    <w:p w14:paraId="52F7ECFA"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rekonstrukce a přestavba stoky V. (povodí Jílovského potoka);</w:t>
      </w:r>
    </w:p>
    <w:p w14:paraId="0C4B1009"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kanalizace ve Sněžnické ulici;</w:t>
      </w:r>
    </w:p>
    <w:p w14:paraId="36B2DB3F"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podchycení stoky VII. a dokončení kanalizace v Jalůvčí;</w:t>
      </w:r>
    </w:p>
    <w:p w14:paraId="0691DFA6"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splašková kanalizace Folknáře;</w:t>
      </w:r>
    </w:p>
    <w:p w14:paraId="253D9C07"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splašková kanalizace Oldřichov;</w:t>
      </w:r>
    </w:p>
    <w:p w14:paraId="47977F46"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splašková kanalizace Bělá;</w:t>
      </w:r>
    </w:p>
    <w:p w14:paraId="19FA8C41"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splašková kanalizace Křešice a Boletice;</w:t>
      </w:r>
    </w:p>
    <w:p w14:paraId="3BE35BB3"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přečerpání odpadních vod se stoky XXVI. do stoky v Provaznické ulici;</w:t>
      </w:r>
    </w:p>
    <w:p w14:paraId="1C41C3D0" w14:textId="77777777" w:rsidR="00EF1DD2" w:rsidRPr="00EC5881" w:rsidRDefault="00EF1DD2" w:rsidP="00EF1DD2">
      <w:pPr>
        <w:pStyle w:val="Znaka1"/>
        <w:numPr>
          <w:ilvl w:val="2"/>
          <w:numId w:val="127"/>
        </w:numPr>
        <w:spacing w:line="288" w:lineRule="auto"/>
        <w:ind w:left="426"/>
        <w:jc w:val="both"/>
        <w:rPr>
          <w:rFonts w:cs="Arial"/>
          <w:sz w:val="18"/>
          <w:szCs w:val="22"/>
        </w:rPr>
      </w:pPr>
      <w:r w:rsidRPr="00EC5881">
        <w:rPr>
          <w:rFonts w:cs="Arial"/>
          <w:sz w:val="18"/>
          <w:szCs w:val="22"/>
        </w:rPr>
        <w:t>dobudování kanalizace Březiny.</w:t>
      </w:r>
    </w:p>
    <w:p w14:paraId="2201B79D" w14:textId="77777777" w:rsidR="00EF1DD2" w:rsidRDefault="00EF1DD2" w:rsidP="00EF1DD2">
      <w:pPr>
        <w:pStyle w:val="Zkladntext"/>
        <w:spacing w:line="288" w:lineRule="auto"/>
        <w:jc w:val="both"/>
        <w:rPr>
          <w:rFonts w:cs="Arial"/>
          <w:b/>
          <w:bCs/>
          <w:caps/>
          <w:sz w:val="18"/>
          <w:szCs w:val="22"/>
        </w:rPr>
      </w:pPr>
    </w:p>
    <w:p w14:paraId="36EDCC97" w14:textId="77777777" w:rsidR="00EF1DD2" w:rsidRPr="00EC5881" w:rsidRDefault="00EF1DD2" w:rsidP="00EF1DD2">
      <w:pPr>
        <w:pStyle w:val="Zkladntext"/>
        <w:spacing w:line="288" w:lineRule="auto"/>
        <w:jc w:val="both"/>
        <w:rPr>
          <w:rFonts w:cs="Arial"/>
          <w:sz w:val="18"/>
          <w:szCs w:val="22"/>
        </w:rPr>
      </w:pPr>
      <w:r w:rsidRPr="00EC5881">
        <w:rPr>
          <w:rFonts w:cs="Arial"/>
          <w:b/>
          <w:bCs/>
          <w:caps/>
          <w:sz w:val="18"/>
          <w:szCs w:val="22"/>
        </w:rPr>
        <w:t xml:space="preserve">výstavba vodovodu </w:t>
      </w:r>
    </w:p>
    <w:p w14:paraId="5BCE8C6E" w14:textId="77777777" w:rsidR="00EF1DD2" w:rsidRPr="00EC5881" w:rsidRDefault="00EF1DD2" w:rsidP="00EF1DD2">
      <w:pPr>
        <w:pStyle w:val="Znaka1"/>
        <w:numPr>
          <w:ilvl w:val="0"/>
          <w:numId w:val="128"/>
        </w:numPr>
        <w:spacing w:line="288" w:lineRule="auto"/>
        <w:ind w:left="426"/>
        <w:jc w:val="both"/>
        <w:rPr>
          <w:rFonts w:cs="Arial"/>
          <w:sz w:val="18"/>
          <w:szCs w:val="22"/>
        </w:rPr>
      </w:pPr>
      <w:r w:rsidRPr="00EC5881">
        <w:rPr>
          <w:rFonts w:cs="Arial"/>
          <w:sz w:val="18"/>
          <w:szCs w:val="22"/>
        </w:rPr>
        <w:t xml:space="preserve">do konce návrhového období je potřebné </w:t>
      </w:r>
      <w:r w:rsidRPr="00EC5881">
        <w:rPr>
          <w:rFonts w:cs="Arial"/>
          <w:b/>
          <w:bCs/>
          <w:sz w:val="18"/>
          <w:szCs w:val="22"/>
        </w:rPr>
        <w:t>zajistit doplnění kapacity vodních zdrojů vodovodu Děčín</w:t>
      </w:r>
      <w:r w:rsidRPr="00EC5881">
        <w:rPr>
          <w:rFonts w:cs="Arial"/>
          <w:sz w:val="18"/>
          <w:szCs w:val="22"/>
        </w:rPr>
        <w:t>.</w:t>
      </w:r>
    </w:p>
    <w:p w14:paraId="1DEE2E0E" w14:textId="77777777" w:rsidR="00EF1DD2" w:rsidRPr="00EC5881" w:rsidRDefault="00EF1DD2" w:rsidP="00EF1DD2">
      <w:pPr>
        <w:pStyle w:val="Zkladntext"/>
        <w:spacing w:line="288" w:lineRule="auto"/>
        <w:jc w:val="both"/>
        <w:rPr>
          <w:rFonts w:cs="Arial"/>
          <w:sz w:val="18"/>
          <w:szCs w:val="22"/>
        </w:rPr>
      </w:pPr>
      <w:r w:rsidRPr="00EC5881">
        <w:rPr>
          <w:rFonts w:cs="Arial"/>
          <w:b/>
          <w:bCs/>
          <w:caps/>
          <w:sz w:val="18"/>
          <w:szCs w:val="22"/>
        </w:rPr>
        <w:t>výstavby úpravy toků</w:t>
      </w:r>
    </w:p>
    <w:p w14:paraId="55699D9C" w14:textId="77777777" w:rsidR="00EF1DD2" w:rsidRPr="00EC5881" w:rsidRDefault="00EF1DD2" w:rsidP="00EF1DD2">
      <w:pPr>
        <w:pStyle w:val="Znaka1"/>
        <w:spacing w:line="288" w:lineRule="auto"/>
        <w:ind w:hanging="578"/>
        <w:jc w:val="both"/>
        <w:rPr>
          <w:rFonts w:cs="Arial"/>
          <w:sz w:val="18"/>
          <w:szCs w:val="22"/>
        </w:rPr>
      </w:pPr>
      <w:r w:rsidRPr="00EC5881">
        <w:rPr>
          <w:rFonts w:cs="Arial"/>
          <w:sz w:val="18"/>
          <w:szCs w:val="22"/>
        </w:rPr>
        <w:t>*</w:t>
      </w:r>
      <w:r w:rsidRPr="00EC5881">
        <w:rPr>
          <w:rFonts w:cs="Arial"/>
          <w:sz w:val="18"/>
          <w:szCs w:val="22"/>
        </w:rPr>
        <w:tab/>
        <w:t>pro zajištění ochrany zástavby před velkými vodami je nutno</w:t>
      </w:r>
      <w:r w:rsidRPr="00EC5881">
        <w:rPr>
          <w:rFonts w:cs="Arial"/>
          <w:b/>
          <w:bCs/>
          <w:sz w:val="18"/>
          <w:szCs w:val="22"/>
        </w:rPr>
        <w:t xml:space="preserve"> dokončit úpravu Jílovského potoka </w:t>
      </w:r>
      <w:r w:rsidRPr="00EC5881">
        <w:rPr>
          <w:rFonts w:cs="Arial"/>
          <w:sz w:val="18"/>
          <w:szCs w:val="22"/>
        </w:rPr>
        <w:t>v intravilánu tak, aby kapacita koryta zajišťovala průchod min. padesátileté povodně (Q</w:t>
      </w:r>
      <w:r w:rsidRPr="00EC5881">
        <w:rPr>
          <w:rFonts w:cs="Arial"/>
          <w:sz w:val="18"/>
          <w:szCs w:val="22"/>
          <w:vertAlign w:val="subscript"/>
        </w:rPr>
        <w:t>50</w:t>
      </w:r>
      <w:r w:rsidRPr="00EC5881">
        <w:rPr>
          <w:rFonts w:cs="Arial"/>
          <w:sz w:val="18"/>
          <w:szCs w:val="22"/>
        </w:rPr>
        <w:t>).</w:t>
      </w:r>
    </w:p>
    <w:p w14:paraId="4FD0514C" w14:textId="77777777" w:rsidR="00EF1DD2" w:rsidRDefault="00EF1DD2" w:rsidP="00EF1DD2">
      <w:pPr>
        <w:pStyle w:val="podnadpis2"/>
        <w:spacing w:before="0" w:after="0" w:line="288" w:lineRule="auto"/>
        <w:jc w:val="both"/>
        <w:rPr>
          <w:rFonts w:cs="Arial"/>
          <w:szCs w:val="28"/>
        </w:rPr>
      </w:pPr>
    </w:p>
    <w:p w14:paraId="05CBB278" w14:textId="77777777" w:rsidR="00EF1DD2" w:rsidRPr="00EC5881" w:rsidRDefault="00EF1DD2" w:rsidP="00EF1DD2">
      <w:pPr>
        <w:pStyle w:val="podnadpis2"/>
        <w:spacing w:before="0" w:after="0" w:line="288" w:lineRule="auto"/>
        <w:jc w:val="both"/>
        <w:rPr>
          <w:rFonts w:cs="Arial"/>
          <w:szCs w:val="28"/>
        </w:rPr>
      </w:pPr>
      <w:r w:rsidRPr="00EC5881">
        <w:rPr>
          <w:rFonts w:cs="Arial"/>
          <w:szCs w:val="28"/>
        </w:rPr>
        <w:t>Zásady pro uspořádání Energetiky</w:t>
      </w:r>
    </w:p>
    <w:p w14:paraId="728A619C"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největší a nejdůležitější investicí bude výstavba zdroje CZT Děčín - východ a tepelných napaječů. Výstavba tohoto zdroje umožní zrušit řadu větších kotelen spalující neekologická paliva. Stavba má tedy i značný ekologický význam;</w:t>
      </w:r>
    </w:p>
    <w:p w14:paraId="41CF8A78"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tepelnou síť v Podmoklech bude nutné posílit dalším zdrojem. Po technicko - ekonomickém zhodnocení se navrhuje využít plynové kotelny podniku Kabelovna a vybudovat tepelný napaječ do centra Podmokel;</w:t>
      </w:r>
    </w:p>
    <w:p w14:paraId="51FFED8B"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jednotlivé rozvojové plochy se navrhuje zastavovat postupně. Doporučuje se vybrat několik ploch, vybudovat zde technickou infrastrukturu a parcely rozprodat. Následně předinvestovat další rozvojové plochy. Takovýmto postupem je zaručena efektivnost provozovaných sítí;</w:t>
      </w:r>
    </w:p>
    <w:p w14:paraId="6248C011"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 xml:space="preserve">objekty budou zásobovány dvoucestným způsobem (elektřina + dodávkové teplo, elektřina + plyn) nebo jednocestným způsobem (komplexní elektrifikace objektů nebo elektřina </w:t>
      </w:r>
      <w:r w:rsidRPr="00EC5881">
        <w:rPr>
          <w:rFonts w:cs="Arial"/>
          <w:sz w:val="18"/>
          <w:szCs w:val="22"/>
        </w:rPr>
        <w:br/>
        <w:t>+ vytápění ekologickými palivy nezávislými na síťových systémech).</w:t>
      </w:r>
    </w:p>
    <w:p w14:paraId="1BFD2C76" w14:textId="77777777" w:rsidR="00EF1DD2" w:rsidRDefault="00EF1DD2" w:rsidP="00EF1DD2">
      <w:pPr>
        <w:pStyle w:val="Zkladntext"/>
        <w:spacing w:line="288" w:lineRule="auto"/>
        <w:jc w:val="both"/>
        <w:rPr>
          <w:rFonts w:cs="Arial"/>
          <w:b/>
          <w:bCs/>
          <w:caps/>
          <w:sz w:val="18"/>
          <w:szCs w:val="22"/>
        </w:rPr>
      </w:pPr>
    </w:p>
    <w:p w14:paraId="5A9F6E00" w14:textId="77777777" w:rsidR="00EF1DD2" w:rsidRDefault="00EF1DD2" w:rsidP="00EF1DD2">
      <w:pPr>
        <w:pStyle w:val="Zkladntext"/>
        <w:spacing w:line="288" w:lineRule="auto"/>
        <w:jc w:val="both"/>
        <w:rPr>
          <w:rFonts w:cs="Arial"/>
          <w:b/>
          <w:bCs/>
          <w:caps/>
          <w:sz w:val="18"/>
          <w:szCs w:val="22"/>
        </w:rPr>
      </w:pPr>
      <w:r w:rsidRPr="00EC5881">
        <w:rPr>
          <w:rFonts w:cs="Arial"/>
          <w:b/>
          <w:bCs/>
          <w:caps/>
          <w:sz w:val="18"/>
          <w:szCs w:val="22"/>
        </w:rPr>
        <w:t xml:space="preserve">Zásady pro energetickou koncepci jednotlivých </w:t>
      </w:r>
    </w:p>
    <w:p w14:paraId="314BEC9D" w14:textId="77777777" w:rsidR="00EF1DD2" w:rsidRPr="001B598A" w:rsidRDefault="00EF1DD2" w:rsidP="00EF1DD2">
      <w:pPr>
        <w:pStyle w:val="Zkladntext"/>
        <w:spacing w:line="288" w:lineRule="auto"/>
        <w:jc w:val="both"/>
        <w:rPr>
          <w:rFonts w:cs="Arial"/>
          <w:b/>
          <w:bCs/>
          <w:caps/>
          <w:sz w:val="18"/>
          <w:szCs w:val="22"/>
        </w:rPr>
      </w:pPr>
      <w:r w:rsidRPr="00EC5881">
        <w:rPr>
          <w:rFonts w:cs="Arial"/>
          <w:b/>
          <w:bCs/>
          <w:caps/>
          <w:sz w:val="18"/>
          <w:szCs w:val="22"/>
        </w:rPr>
        <w:t>sektorů a rozvojo-vých ploch</w:t>
      </w:r>
    </w:p>
    <w:p w14:paraId="48C10B1E"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 xml:space="preserve">objekty budou zásobovány dvoucestným způsobem (elektřina + dodávkové teplo, elektřina + plyn) nebo jednocestným způsobem (komplexní elektrifikace objektů nebo elektřina </w:t>
      </w:r>
      <w:r w:rsidRPr="00EC5881">
        <w:rPr>
          <w:rFonts w:cs="Arial"/>
          <w:sz w:val="18"/>
          <w:szCs w:val="22"/>
        </w:rPr>
        <w:br/>
        <w:t>+ vytápění ekologickými palivy nezávislými na síťových systémech);</w:t>
      </w:r>
    </w:p>
    <w:p w14:paraId="30D44DB3"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lastRenderedPageBreak/>
        <w:t>u nově budovaných objektů s elektrickým vytápěním přednostně využívat tepelných čerpadel nebo hybridních systémů;</w:t>
      </w:r>
    </w:p>
    <w:p w14:paraId="5BB590A9"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důsledně rozvíjet systém CZT v oblastech určených územním plánem;</w:t>
      </w:r>
    </w:p>
    <w:p w14:paraId="5F7B8BEB"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u zdroje CZT Děčín - východ využívat geotermální energii;</w:t>
      </w:r>
    </w:p>
    <w:p w14:paraId="21B39F1F"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u nových staveb klást důraz na tepelně - technické vlastnosti obvodového pláště budov;</w:t>
      </w:r>
    </w:p>
    <w:p w14:paraId="02EC3F8F"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neekologická paliva (hnědé uhlí, těžký topný olej) budou nahrazeny ušlechtilejšími palivy;</w:t>
      </w:r>
    </w:p>
    <w:p w14:paraId="3C4EF584"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plošně plynofikovat sídla Křešice, Marjanín, Vilsnice a Nebočady;</w:t>
      </w:r>
    </w:p>
    <w:p w14:paraId="3C2D9502"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držet územní rezervu pro výstavbu vedení VVN 110 kV Želenice – Babylon;</w:t>
      </w:r>
    </w:p>
    <w:p w14:paraId="3BBA4638"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v rozptýlené výstavbě využívat pro ohřev užitkové vody sluneční energie;</w:t>
      </w:r>
    </w:p>
    <w:p w14:paraId="742499AC"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u vytápění nezávislého na sítích využívat především zkapalněné uhlovodíkové plyny, extralehké nízkosirnaté oleje, biomasu apod.</w:t>
      </w:r>
    </w:p>
    <w:p w14:paraId="3B2858B1"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případné využívání hnědého uhlí podmínit instalací ekologických kotlů;</w:t>
      </w:r>
    </w:p>
    <w:p w14:paraId="15DF45DC"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v blízkosti zdroje CZT Děčín - východ rezervovat plochu pro technologii termické likvidace odpadů.</w:t>
      </w:r>
    </w:p>
    <w:p w14:paraId="3187CE4F" w14:textId="77777777" w:rsidR="00EF1DD2" w:rsidRDefault="00EF1DD2" w:rsidP="00EF1DD2">
      <w:pPr>
        <w:pStyle w:val="Zkladntext"/>
        <w:spacing w:line="288" w:lineRule="auto"/>
        <w:jc w:val="both"/>
        <w:rPr>
          <w:rFonts w:cs="Arial"/>
          <w:b/>
          <w:bCs/>
          <w:caps/>
          <w:sz w:val="18"/>
          <w:szCs w:val="22"/>
        </w:rPr>
      </w:pPr>
    </w:p>
    <w:p w14:paraId="420267D1" w14:textId="77777777" w:rsidR="00EF1DD2" w:rsidRPr="00EC5881" w:rsidRDefault="00EF1DD2" w:rsidP="00EF1DD2">
      <w:pPr>
        <w:pStyle w:val="Zkladntext"/>
        <w:spacing w:line="288" w:lineRule="auto"/>
        <w:jc w:val="both"/>
        <w:rPr>
          <w:rFonts w:cs="Arial"/>
          <w:b/>
          <w:bCs/>
          <w:caps/>
          <w:sz w:val="18"/>
          <w:szCs w:val="22"/>
        </w:rPr>
      </w:pPr>
      <w:r w:rsidRPr="00EC5881">
        <w:rPr>
          <w:rFonts w:cs="Arial"/>
          <w:b/>
          <w:bCs/>
          <w:caps/>
          <w:sz w:val="18"/>
          <w:szCs w:val="22"/>
        </w:rPr>
        <w:t>Spoje</w:t>
      </w:r>
    </w:p>
    <w:p w14:paraId="7155A2D3"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*nové objekty pro bydlení 100%-ně telefonizovat;</w:t>
      </w:r>
    </w:p>
    <w:p w14:paraId="7D547A0D" w14:textId="77777777" w:rsidR="00EF1DD2" w:rsidRPr="00EC5881" w:rsidRDefault="00EF1DD2" w:rsidP="00EF1DD2">
      <w:pPr>
        <w:pStyle w:val="Znaka1"/>
        <w:numPr>
          <w:ilvl w:val="0"/>
          <w:numId w:val="129"/>
        </w:numPr>
        <w:spacing w:line="288" w:lineRule="auto"/>
        <w:ind w:left="426"/>
        <w:jc w:val="both"/>
        <w:rPr>
          <w:rFonts w:cs="Arial"/>
          <w:sz w:val="18"/>
          <w:szCs w:val="22"/>
        </w:rPr>
      </w:pPr>
      <w:r w:rsidRPr="00EC5881">
        <w:rPr>
          <w:rFonts w:cs="Arial"/>
          <w:sz w:val="18"/>
          <w:szCs w:val="22"/>
        </w:rPr>
        <w:t>*vytvořit rezervu pro telefonizaci ploch určených pro výstavbu občanské vybavenosti a pro rozvoj ekonomické základny;</w:t>
      </w:r>
    </w:p>
    <w:p w14:paraId="2CDB393D" w14:textId="77777777" w:rsidR="00EF1DD2" w:rsidRPr="00EC5881" w:rsidRDefault="00EF1DD2" w:rsidP="00EF1DD2">
      <w:pPr>
        <w:pStyle w:val="podnadpis1"/>
        <w:spacing w:before="0" w:after="0" w:line="288" w:lineRule="auto"/>
        <w:jc w:val="both"/>
        <w:rPr>
          <w:rFonts w:cs="Arial"/>
          <w:sz w:val="18"/>
          <w:szCs w:val="22"/>
        </w:rPr>
      </w:pPr>
    </w:p>
    <w:p w14:paraId="712F9E04" w14:textId="77777777" w:rsidR="00EF1DD2" w:rsidRPr="00EC5881" w:rsidRDefault="00EF1DD2" w:rsidP="00EF1DD2">
      <w:pPr>
        <w:pStyle w:val="podnadpis1"/>
        <w:spacing w:before="0" w:after="0" w:line="288" w:lineRule="auto"/>
        <w:jc w:val="both"/>
        <w:rPr>
          <w:rFonts w:cs="Arial"/>
          <w:sz w:val="24"/>
        </w:rPr>
      </w:pPr>
      <w:r w:rsidRPr="00EC5881">
        <w:rPr>
          <w:rFonts w:cs="Arial"/>
          <w:sz w:val="24"/>
        </w:rPr>
        <w:t>p5. VEŘEJNĚ PROSPĚŠNÉ STAVBY</w:t>
      </w:r>
    </w:p>
    <w:p w14:paraId="4ACDFCE2" w14:textId="77777777" w:rsidR="00EF1DD2" w:rsidRPr="00724306" w:rsidRDefault="00EF1DD2" w:rsidP="00EF1DD2">
      <w:pPr>
        <w:pStyle w:val="Zkladntext"/>
        <w:spacing w:line="288" w:lineRule="auto"/>
        <w:jc w:val="both"/>
        <w:rPr>
          <w:rFonts w:ascii="Arial" w:hAnsi="Arial" w:cs="Arial"/>
          <w:sz w:val="18"/>
          <w:szCs w:val="22"/>
        </w:rPr>
      </w:pPr>
      <w:r w:rsidRPr="00724306">
        <w:rPr>
          <w:rFonts w:ascii="Arial" w:hAnsi="Arial" w:cs="Arial"/>
          <w:sz w:val="18"/>
          <w:szCs w:val="22"/>
        </w:rPr>
        <w:t xml:space="preserve">Rozsah a vymezení "veřejně prospěšných staveb" je provedeno na základě úplného znění stavebního zákona č. 50/76 Sb. a doplňujících změn dle zákona č. 103/90 Sb. a zákona č. 262/92 Sb., části čtvrté § 108. Za veřejně prospěšné stavby se navrhují stavby určené pro veřejně prospěšné služby a pro veřejně technické vybavení území města podporující jeho rozvoj a ochranu životního prostředí. </w:t>
      </w:r>
    </w:p>
    <w:tbl>
      <w:tblPr>
        <w:tblW w:w="0" w:type="auto"/>
        <w:tblInd w:w="43" w:type="dxa"/>
        <w:tblLayout w:type="fixed"/>
        <w:tblCellMar>
          <w:left w:w="43" w:type="dxa"/>
          <w:right w:w="43" w:type="dxa"/>
        </w:tblCellMar>
        <w:tblLook w:val="0000" w:firstRow="0" w:lastRow="0" w:firstColumn="0" w:lastColumn="0" w:noHBand="0" w:noVBand="0"/>
      </w:tblPr>
      <w:tblGrid>
        <w:gridCol w:w="559"/>
        <w:gridCol w:w="8207"/>
      </w:tblGrid>
      <w:tr w:rsidR="00EF1DD2" w:rsidRPr="00724306" w14:paraId="35EBB629" w14:textId="77777777" w:rsidTr="00AB2594">
        <w:tc>
          <w:tcPr>
            <w:tcW w:w="559" w:type="dxa"/>
            <w:tcBorders>
              <w:top w:val="nil"/>
              <w:left w:val="nil"/>
              <w:bottom w:val="nil"/>
              <w:right w:val="nil"/>
            </w:tcBorders>
          </w:tcPr>
          <w:p w14:paraId="5B6B46A3" w14:textId="77777777" w:rsidR="00EF1DD2" w:rsidRPr="00724306" w:rsidRDefault="00EF1DD2" w:rsidP="00EF1DD2">
            <w:pPr>
              <w:pStyle w:val="Texttabulky"/>
              <w:keepNext/>
              <w:spacing w:after="0" w:line="288" w:lineRule="auto"/>
              <w:jc w:val="both"/>
              <w:rPr>
                <w:rFonts w:cs="Arial"/>
                <w:sz w:val="18"/>
                <w:szCs w:val="22"/>
              </w:rPr>
            </w:pPr>
            <w:r w:rsidRPr="00724306">
              <w:rPr>
                <w:rFonts w:cs="Arial"/>
                <w:b/>
                <w:bCs/>
                <w:sz w:val="18"/>
                <w:szCs w:val="22"/>
              </w:rPr>
              <w:t>A1</w:t>
            </w:r>
          </w:p>
        </w:tc>
        <w:tc>
          <w:tcPr>
            <w:tcW w:w="8207" w:type="dxa"/>
            <w:tcBorders>
              <w:top w:val="nil"/>
              <w:left w:val="nil"/>
              <w:bottom w:val="nil"/>
              <w:right w:val="nil"/>
            </w:tcBorders>
          </w:tcPr>
          <w:p w14:paraId="3D81C191" w14:textId="77777777" w:rsidR="00EF1DD2" w:rsidRPr="00724306" w:rsidRDefault="00EF1DD2" w:rsidP="00EF1DD2">
            <w:pPr>
              <w:pStyle w:val="Texttabulky"/>
              <w:keepNext/>
              <w:spacing w:after="0" w:line="288" w:lineRule="auto"/>
              <w:jc w:val="both"/>
              <w:rPr>
                <w:rFonts w:cs="Arial"/>
                <w:sz w:val="18"/>
                <w:szCs w:val="22"/>
              </w:rPr>
            </w:pPr>
            <w:r w:rsidRPr="00724306">
              <w:rPr>
                <w:rFonts w:cs="Arial"/>
                <w:sz w:val="18"/>
                <w:szCs w:val="22"/>
              </w:rPr>
              <w:t>Nové Město, Kamenická ul. - malometrážní byty 150 bj.</w:t>
            </w:r>
          </w:p>
        </w:tc>
      </w:tr>
      <w:tr w:rsidR="00EF1DD2" w:rsidRPr="00724306" w14:paraId="52BE3FC0" w14:textId="77777777" w:rsidTr="00AB2594">
        <w:tc>
          <w:tcPr>
            <w:tcW w:w="559" w:type="dxa"/>
            <w:tcBorders>
              <w:top w:val="nil"/>
              <w:left w:val="nil"/>
              <w:bottom w:val="nil"/>
              <w:right w:val="nil"/>
            </w:tcBorders>
          </w:tcPr>
          <w:p w14:paraId="2EB81E9C"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A2</w:t>
            </w:r>
          </w:p>
        </w:tc>
        <w:tc>
          <w:tcPr>
            <w:tcW w:w="8207" w:type="dxa"/>
            <w:tcBorders>
              <w:top w:val="nil"/>
              <w:left w:val="nil"/>
              <w:bottom w:val="nil"/>
              <w:right w:val="nil"/>
            </w:tcBorders>
          </w:tcPr>
          <w:p w14:paraId="687B06BC"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Podmokly, Jungmannova ul. - malometrážní byty, penzion 10 bj.</w:t>
            </w:r>
          </w:p>
        </w:tc>
      </w:tr>
      <w:tr w:rsidR="00EF1DD2" w:rsidRPr="00724306" w14:paraId="28AD27B7" w14:textId="77777777" w:rsidTr="00AB2594">
        <w:tc>
          <w:tcPr>
            <w:tcW w:w="559" w:type="dxa"/>
            <w:tcBorders>
              <w:top w:val="nil"/>
              <w:left w:val="nil"/>
              <w:bottom w:val="nil"/>
              <w:right w:val="nil"/>
            </w:tcBorders>
          </w:tcPr>
          <w:p w14:paraId="67A08057"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A3</w:t>
            </w:r>
          </w:p>
        </w:tc>
        <w:tc>
          <w:tcPr>
            <w:tcW w:w="8207" w:type="dxa"/>
            <w:tcBorders>
              <w:top w:val="nil"/>
              <w:left w:val="nil"/>
              <w:bottom w:val="nil"/>
              <w:right w:val="nil"/>
            </w:tcBorders>
          </w:tcPr>
          <w:p w14:paraId="13687069"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Podmokly, Ruská ul. - malometrážní byty, penzion 15 b.j.</w:t>
            </w:r>
          </w:p>
        </w:tc>
      </w:tr>
      <w:tr w:rsidR="00EF1DD2" w:rsidRPr="00724306" w14:paraId="4A81E79B" w14:textId="77777777" w:rsidTr="00AB2594">
        <w:tc>
          <w:tcPr>
            <w:tcW w:w="559" w:type="dxa"/>
            <w:tcBorders>
              <w:top w:val="nil"/>
              <w:left w:val="nil"/>
              <w:bottom w:val="nil"/>
              <w:right w:val="nil"/>
            </w:tcBorders>
          </w:tcPr>
          <w:p w14:paraId="15D95A78"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A4</w:t>
            </w:r>
          </w:p>
        </w:tc>
        <w:tc>
          <w:tcPr>
            <w:tcW w:w="8207" w:type="dxa"/>
            <w:tcBorders>
              <w:top w:val="nil"/>
              <w:left w:val="nil"/>
              <w:bottom w:val="nil"/>
              <w:right w:val="nil"/>
            </w:tcBorders>
          </w:tcPr>
          <w:p w14:paraId="4E706FE8"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Podmokly, Ruská ul. - malometrážní byty, penzion 20 b.j.</w:t>
            </w:r>
          </w:p>
        </w:tc>
      </w:tr>
      <w:tr w:rsidR="00EF1DD2" w:rsidRPr="00724306" w14:paraId="5CC85F9A" w14:textId="77777777" w:rsidTr="00AB2594">
        <w:tc>
          <w:tcPr>
            <w:tcW w:w="559" w:type="dxa"/>
            <w:tcBorders>
              <w:top w:val="nil"/>
              <w:left w:val="nil"/>
              <w:bottom w:val="nil"/>
              <w:right w:val="nil"/>
            </w:tcBorders>
          </w:tcPr>
          <w:p w14:paraId="749EF45B"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A5</w:t>
            </w:r>
          </w:p>
        </w:tc>
        <w:tc>
          <w:tcPr>
            <w:tcW w:w="8207" w:type="dxa"/>
            <w:tcBorders>
              <w:top w:val="nil"/>
              <w:left w:val="nil"/>
              <w:bottom w:val="nil"/>
              <w:right w:val="nil"/>
            </w:tcBorders>
          </w:tcPr>
          <w:p w14:paraId="1111391A"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ZŚ Máchova - dětské dopravní a sportovní hřiště, rekonstrukce zeleně</w:t>
            </w:r>
          </w:p>
        </w:tc>
      </w:tr>
      <w:tr w:rsidR="00EF1DD2" w:rsidRPr="00724306" w14:paraId="76D5110F" w14:textId="77777777" w:rsidTr="00AB2594">
        <w:tc>
          <w:tcPr>
            <w:tcW w:w="559" w:type="dxa"/>
            <w:tcBorders>
              <w:top w:val="nil"/>
              <w:left w:val="nil"/>
              <w:bottom w:val="nil"/>
              <w:right w:val="nil"/>
            </w:tcBorders>
          </w:tcPr>
          <w:p w14:paraId="0E0889E4"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A6</w:t>
            </w:r>
          </w:p>
        </w:tc>
        <w:tc>
          <w:tcPr>
            <w:tcW w:w="8207" w:type="dxa"/>
            <w:tcBorders>
              <w:top w:val="nil"/>
              <w:left w:val="nil"/>
              <w:bottom w:val="nil"/>
              <w:right w:val="nil"/>
            </w:tcBorders>
          </w:tcPr>
          <w:p w14:paraId="789E955D"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zámek - komplexní dostavba, přestavba a rekonstrukce areálu</w:t>
            </w:r>
          </w:p>
        </w:tc>
      </w:tr>
      <w:tr w:rsidR="00EF1DD2" w:rsidRPr="00724306" w14:paraId="7D72689D" w14:textId="77777777" w:rsidTr="00AB2594">
        <w:tc>
          <w:tcPr>
            <w:tcW w:w="559" w:type="dxa"/>
            <w:tcBorders>
              <w:top w:val="nil"/>
              <w:left w:val="nil"/>
              <w:bottom w:val="nil"/>
              <w:right w:val="nil"/>
            </w:tcBorders>
          </w:tcPr>
          <w:p w14:paraId="66FC6B73"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A7</w:t>
            </w:r>
          </w:p>
        </w:tc>
        <w:tc>
          <w:tcPr>
            <w:tcW w:w="8207" w:type="dxa"/>
            <w:tcBorders>
              <w:top w:val="nil"/>
              <w:left w:val="nil"/>
              <w:bottom w:val="nil"/>
              <w:right w:val="nil"/>
            </w:tcBorders>
          </w:tcPr>
          <w:p w14:paraId="7CB3167B"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rekonstrukce objektu městských lázní a topného zdroje - rehabilitační centrum</w:t>
            </w:r>
          </w:p>
        </w:tc>
      </w:tr>
      <w:tr w:rsidR="00EF1DD2" w:rsidRPr="00724306" w14:paraId="32258C21" w14:textId="77777777" w:rsidTr="00AB2594">
        <w:tc>
          <w:tcPr>
            <w:tcW w:w="559" w:type="dxa"/>
            <w:tcBorders>
              <w:top w:val="nil"/>
              <w:left w:val="nil"/>
              <w:bottom w:val="nil"/>
              <w:right w:val="nil"/>
            </w:tcBorders>
          </w:tcPr>
          <w:p w14:paraId="292439A9"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A8</w:t>
            </w:r>
          </w:p>
        </w:tc>
        <w:tc>
          <w:tcPr>
            <w:tcW w:w="8207" w:type="dxa"/>
            <w:tcBorders>
              <w:top w:val="nil"/>
              <w:left w:val="nil"/>
              <w:bottom w:val="nil"/>
              <w:right w:val="nil"/>
            </w:tcBorders>
          </w:tcPr>
          <w:p w14:paraId="6DC4CE26"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Podmokly, Jílovský potok - revitalizace a rehabilitace nábřeží, cyklistická trasa</w:t>
            </w:r>
          </w:p>
        </w:tc>
      </w:tr>
      <w:tr w:rsidR="00EF1DD2" w:rsidRPr="00724306" w14:paraId="66C28292" w14:textId="77777777" w:rsidTr="00AB2594">
        <w:tc>
          <w:tcPr>
            <w:tcW w:w="559" w:type="dxa"/>
            <w:tcBorders>
              <w:top w:val="nil"/>
              <w:left w:val="nil"/>
              <w:bottom w:val="nil"/>
              <w:right w:val="nil"/>
            </w:tcBorders>
          </w:tcPr>
          <w:p w14:paraId="657D9F6F"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A9</w:t>
            </w:r>
          </w:p>
        </w:tc>
        <w:tc>
          <w:tcPr>
            <w:tcW w:w="8207" w:type="dxa"/>
            <w:tcBorders>
              <w:top w:val="nil"/>
              <w:left w:val="nil"/>
              <w:bottom w:val="nil"/>
              <w:right w:val="nil"/>
            </w:tcBorders>
          </w:tcPr>
          <w:p w14:paraId="1F5A502D"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Podmokly, TJ LOKOMOTIVA - šatny, technické zázemí, parkoviště</w:t>
            </w:r>
          </w:p>
        </w:tc>
      </w:tr>
      <w:tr w:rsidR="00EF1DD2" w:rsidRPr="00724306" w14:paraId="534ABEBF" w14:textId="77777777" w:rsidTr="00AB2594">
        <w:tc>
          <w:tcPr>
            <w:tcW w:w="559" w:type="dxa"/>
            <w:tcBorders>
              <w:top w:val="nil"/>
              <w:left w:val="nil"/>
              <w:bottom w:val="nil"/>
              <w:right w:val="nil"/>
            </w:tcBorders>
          </w:tcPr>
          <w:p w14:paraId="4F180C08"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A10</w:t>
            </w:r>
          </w:p>
        </w:tc>
        <w:tc>
          <w:tcPr>
            <w:tcW w:w="8207" w:type="dxa"/>
            <w:tcBorders>
              <w:top w:val="nil"/>
              <w:left w:val="nil"/>
              <w:bottom w:val="nil"/>
              <w:right w:val="nil"/>
            </w:tcBorders>
          </w:tcPr>
          <w:p w14:paraId="68926572"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Rozbělesy, Ústecká ul. - rekonstrukce areálu kostela a fary</w:t>
            </w:r>
          </w:p>
        </w:tc>
      </w:tr>
      <w:tr w:rsidR="00EF1DD2" w:rsidRPr="00724306" w14:paraId="23BBA766" w14:textId="77777777" w:rsidTr="00AB2594">
        <w:tc>
          <w:tcPr>
            <w:tcW w:w="559" w:type="dxa"/>
            <w:tcBorders>
              <w:top w:val="nil"/>
              <w:left w:val="nil"/>
              <w:bottom w:val="nil"/>
              <w:right w:val="nil"/>
            </w:tcBorders>
          </w:tcPr>
          <w:p w14:paraId="75849AA6"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A11</w:t>
            </w:r>
          </w:p>
        </w:tc>
        <w:tc>
          <w:tcPr>
            <w:tcW w:w="8207" w:type="dxa"/>
            <w:tcBorders>
              <w:top w:val="nil"/>
              <w:left w:val="nil"/>
              <w:bottom w:val="nil"/>
              <w:right w:val="nil"/>
            </w:tcBorders>
          </w:tcPr>
          <w:p w14:paraId="7B2DB668"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Bělá, Terezínský rybník - sportovní areál (sportovní hala - JITŘENKA,hřiště, zeleň)</w:t>
            </w:r>
          </w:p>
        </w:tc>
      </w:tr>
      <w:tr w:rsidR="00EF1DD2" w:rsidRPr="00724306" w14:paraId="1A5A6780" w14:textId="77777777" w:rsidTr="00AB2594">
        <w:tc>
          <w:tcPr>
            <w:tcW w:w="559" w:type="dxa"/>
            <w:tcBorders>
              <w:top w:val="nil"/>
              <w:left w:val="nil"/>
              <w:bottom w:val="nil"/>
              <w:right w:val="nil"/>
            </w:tcBorders>
          </w:tcPr>
          <w:p w14:paraId="7111B205"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A12</w:t>
            </w:r>
          </w:p>
        </w:tc>
        <w:tc>
          <w:tcPr>
            <w:tcW w:w="8207" w:type="dxa"/>
            <w:tcBorders>
              <w:top w:val="nil"/>
              <w:left w:val="nil"/>
              <w:bottom w:val="nil"/>
              <w:right w:val="nil"/>
            </w:tcBorders>
          </w:tcPr>
          <w:p w14:paraId="4EE74BF9"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Bynov, tréninkové hřiště</w:t>
            </w:r>
          </w:p>
        </w:tc>
      </w:tr>
      <w:tr w:rsidR="00EF1DD2" w:rsidRPr="00724306" w14:paraId="06B12539" w14:textId="77777777" w:rsidTr="00AB2594">
        <w:tc>
          <w:tcPr>
            <w:tcW w:w="559" w:type="dxa"/>
            <w:tcBorders>
              <w:top w:val="nil"/>
              <w:left w:val="nil"/>
              <w:bottom w:val="nil"/>
              <w:right w:val="nil"/>
            </w:tcBorders>
          </w:tcPr>
          <w:p w14:paraId="19415D63"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A13</w:t>
            </w:r>
          </w:p>
        </w:tc>
        <w:tc>
          <w:tcPr>
            <w:tcW w:w="8207" w:type="dxa"/>
            <w:tcBorders>
              <w:top w:val="nil"/>
              <w:left w:val="nil"/>
              <w:bottom w:val="nil"/>
              <w:right w:val="nil"/>
            </w:tcBorders>
          </w:tcPr>
          <w:p w14:paraId="7BA8682B"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Staré Město, TJ START - loděnice, rekonstrukce stadionu (likvidace staveb. dvora)</w:t>
            </w:r>
          </w:p>
        </w:tc>
      </w:tr>
      <w:tr w:rsidR="00EF1DD2" w:rsidRPr="00724306" w14:paraId="6EBF0CF5" w14:textId="77777777" w:rsidTr="00AB2594">
        <w:tc>
          <w:tcPr>
            <w:tcW w:w="559" w:type="dxa"/>
            <w:tcBorders>
              <w:top w:val="nil"/>
              <w:left w:val="nil"/>
              <w:bottom w:val="nil"/>
              <w:right w:val="nil"/>
            </w:tcBorders>
          </w:tcPr>
          <w:p w14:paraId="54EDA8E3"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A14</w:t>
            </w:r>
          </w:p>
        </w:tc>
        <w:tc>
          <w:tcPr>
            <w:tcW w:w="8207" w:type="dxa"/>
            <w:tcBorders>
              <w:top w:val="nil"/>
              <w:left w:val="nil"/>
              <w:bottom w:val="nil"/>
              <w:right w:val="nil"/>
            </w:tcBorders>
          </w:tcPr>
          <w:p w14:paraId="3C74FA9C"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Kamenická - sportovní a rekreační areál, veřejná zeleň</w:t>
            </w:r>
          </w:p>
        </w:tc>
      </w:tr>
      <w:tr w:rsidR="00EF1DD2" w:rsidRPr="00724306" w14:paraId="4971B360" w14:textId="77777777" w:rsidTr="00AB2594">
        <w:tc>
          <w:tcPr>
            <w:tcW w:w="559" w:type="dxa"/>
            <w:tcBorders>
              <w:top w:val="nil"/>
              <w:left w:val="nil"/>
              <w:bottom w:val="nil"/>
              <w:right w:val="nil"/>
            </w:tcBorders>
          </w:tcPr>
          <w:p w14:paraId="32610E7D"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A15</w:t>
            </w:r>
          </w:p>
        </w:tc>
        <w:tc>
          <w:tcPr>
            <w:tcW w:w="8207" w:type="dxa"/>
            <w:tcBorders>
              <w:top w:val="nil"/>
              <w:left w:val="nil"/>
              <w:bottom w:val="nil"/>
              <w:right w:val="nil"/>
            </w:tcBorders>
          </w:tcPr>
          <w:p w14:paraId="50759213"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Folknáře, hřbitov - rozšíření areálu</w:t>
            </w:r>
          </w:p>
        </w:tc>
      </w:tr>
      <w:tr w:rsidR="00EF1DD2" w:rsidRPr="00724306" w14:paraId="7D3131F6" w14:textId="77777777" w:rsidTr="00AB2594">
        <w:tc>
          <w:tcPr>
            <w:tcW w:w="559" w:type="dxa"/>
            <w:tcBorders>
              <w:top w:val="nil"/>
              <w:left w:val="nil"/>
              <w:bottom w:val="nil"/>
              <w:right w:val="nil"/>
            </w:tcBorders>
          </w:tcPr>
          <w:p w14:paraId="29FB46DD"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A16</w:t>
            </w:r>
          </w:p>
        </w:tc>
        <w:tc>
          <w:tcPr>
            <w:tcW w:w="8207" w:type="dxa"/>
            <w:tcBorders>
              <w:top w:val="nil"/>
              <w:left w:val="nil"/>
              <w:bottom w:val="nil"/>
              <w:right w:val="nil"/>
            </w:tcBorders>
          </w:tcPr>
          <w:p w14:paraId="27DA4FB9"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Podmokly, Labské nábřeží - komplexní rekonstrukce, promenáda, park, cyklistická trasa</w:t>
            </w:r>
          </w:p>
        </w:tc>
      </w:tr>
      <w:tr w:rsidR="00EF1DD2" w:rsidRPr="00724306" w14:paraId="1EE2C33D" w14:textId="77777777" w:rsidTr="00AB2594">
        <w:tc>
          <w:tcPr>
            <w:tcW w:w="559" w:type="dxa"/>
            <w:tcBorders>
              <w:top w:val="nil"/>
              <w:left w:val="nil"/>
              <w:bottom w:val="nil"/>
              <w:right w:val="nil"/>
            </w:tcBorders>
          </w:tcPr>
          <w:p w14:paraId="6356AEB0"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A17</w:t>
            </w:r>
          </w:p>
        </w:tc>
        <w:tc>
          <w:tcPr>
            <w:tcW w:w="8207" w:type="dxa"/>
            <w:tcBorders>
              <w:top w:val="nil"/>
              <w:left w:val="nil"/>
              <w:bottom w:val="nil"/>
              <w:right w:val="nil"/>
            </w:tcBorders>
          </w:tcPr>
          <w:p w14:paraId="0F788DC0"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Staré Město, Labské nábřeží, soutok - park, sport, promenáda, cyklistické trasy, přívoz</w:t>
            </w:r>
          </w:p>
        </w:tc>
      </w:tr>
      <w:tr w:rsidR="00EF1DD2" w:rsidRPr="00724306" w14:paraId="165124C4" w14:textId="77777777" w:rsidTr="00AB2594">
        <w:tc>
          <w:tcPr>
            <w:tcW w:w="559" w:type="dxa"/>
            <w:tcBorders>
              <w:top w:val="nil"/>
              <w:left w:val="nil"/>
              <w:bottom w:val="nil"/>
              <w:right w:val="nil"/>
            </w:tcBorders>
          </w:tcPr>
          <w:p w14:paraId="7C68AF62"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A18</w:t>
            </w:r>
          </w:p>
        </w:tc>
        <w:tc>
          <w:tcPr>
            <w:tcW w:w="8207" w:type="dxa"/>
            <w:tcBorders>
              <w:top w:val="nil"/>
              <w:left w:val="nil"/>
              <w:bottom w:val="nil"/>
              <w:right w:val="nil"/>
            </w:tcBorders>
          </w:tcPr>
          <w:p w14:paraId="571D3398"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Popovice, U kaple - rozšíření lesoparku Bažantnice, rekonstrukce prostoru, sport</w:t>
            </w:r>
          </w:p>
        </w:tc>
      </w:tr>
      <w:tr w:rsidR="00EF1DD2" w:rsidRPr="00724306" w14:paraId="544DF2F8" w14:textId="77777777" w:rsidTr="00AB2594">
        <w:tc>
          <w:tcPr>
            <w:tcW w:w="559" w:type="dxa"/>
            <w:tcBorders>
              <w:top w:val="nil"/>
              <w:left w:val="nil"/>
              <w:bottom w:val="nil"/>
              <w:right w:val="nil"/>
            </w:tcBorders>
          </w:tcPr>
          <w:p w14:paraId="41FC1ED0"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A19</w:t>
            </w:r>
          </w:p>
        </w:tc>
        <w:tc>
          <w:tcPr>
            <w:tcW w:w="8207" w:type="dxa"/>
            <w:tcBorders>
              <w:top w:val="nil"/>
              <w:left w:val="nil"/>
              <w:bottom w:val="nil"/>
              <w:right w:val="nil"/>
            </w:tcBorders>
          </w:tcPr>
          <w:p w14:paraId="0036E077"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Děčín, Na hůrkách - rekonstrukce a rozšíření ploch na lesopark</w:t>
            </w:r>
          </w:p>
        </w:tc>
      </w:tr>
      <w:tr w:rsidR="00EF1DD2" w:rsidRPr="00724306" w14:paraId="68AE0215" w14:textId="77777777" w:rsidTr="00AB2594">
        <w:tc>
          <w:tcPr>
            <w:tcW w:w="559" w:type="dxa"/>
            <w:tcBorders>
              <w:top w:val="nil"/>
              <w:left w:val="nil"/>
              <w:bottom w:val="nil"/>
              <w:right w:val="nil"/>
            </w:tcBorders>
          </w:tcPr>
          <w:p w14:paraId="4D6F07B6"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A20</w:t>
            </w:r>
          </w:p>
        </w:tc>
        <w:tc>
          <w:tcPr>
            <w:tcW w:w="8207" w:type="dxa"/>
            <w:tcBorders>
              <w:top w:val="nil"/>
              <w:left w:val="nil"/>
              <w:bottom w:val="nil"/>
              <w:right w:val="nil"/>
            </w:tcBorders>
          </w:tcPr>
          <w:p w14:paraId="37879D65"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Nové Město, u nemocnice - veřejná zeleň, nemocniční park</w:t>
            </w:r>
          </w:p>
        </w:tc>
      </w:tr>
      <w:tr w:rsidR="00EF1DD2" w:rsidRPr="00724306" w14:paraId="2D472E01" w14:textId="77777777" w:rsidTr="00AB2594">
        <w:tc>
          <w:tcPr>
            <w:tcW w:w="559" w:type="dxa"/>
            <w:tcBorders>
              <w:top w:val="nil"/>
              <w:left w:val="nil"/>
              <w:bottom w:val="nil"/>
              <w:right w:val="nil"/>
            </w:tcBorders>
          </w:tcPr>
          <w:p w14:paraId="7692CA06"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A21</w:t>
            </w:r>
          </w:p>
        </w:tc>
        <w:tc>
          <w:tcPr>
            <w:tcW w:w="8207" w:type="dxa"/>
            <w:tcBorders>
              <w:top w:val="nil"/>
              <w:left w:val="nil"/>
              <w:bottom w:val="nil"/>
              <w:right w:val="nil"/>
            </w:tcBorders>
          </w:tcPr>
          <w:p w14:paraId="785D45AE"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Boletice n.L. - rekonstrukce a rozšíření ploch na lesopark, sport</w:t>
            </w:r>
          </w:p>
        </w:tc>
      </w:tr>
      <w:tr w:rsidR="00EF1DD2" w:rsidRPr="00724306" w14:paraId="5CD04584" w14:textId="77777777" w:rsidTr="00AB2594">
        <w:tc>
          <w:tcPr>
            <w:tcW w:w="559" w:type="dxa"/>
            <w:tcBorders>
              <w:top w:val="nil"/>
              <w:left w:val="nil"/>
              <w:bottom w:val="nil"/>
              <w:right w:val="nil"/>
            </w:tcBorders>
          </w:tcPr>
          <w:p w14:paraId="1EBCB7B4"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A22</w:t>
            </w:r>
          </w:p>
        </w:tc>
        <w:tc>
          <w:tcPr>
            <w:tcW w:w="8207" w:type="dxa"/>
            <w:tcBorders>
              <w:top w:val="nil"/>
              <w:left w:val="nil"/>
              <w:bottom w:val="nil"/>
              <w:right w:val="nil"/>
            </w:tcBorders>
          </w:tcPr>
          <w:p w14:paraId="48E037FA"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Březiny, obytný soubor - veřejná zeleň, sportovní hřiště</w:t>
            </w:r>
          </w:p>
        </w:tc>
      </w:tr>
      <w:tr w:rsidR="00EF1DD2" w:rsidRPr="00724306" w14:paraId="1B340D47" w14:textId="77777777" w:rsidTr="00AB2594">
        <w:tc>
          <w:tcPr>
            <w:tcW w:w="559" w:type="dxa"/>
            <w:tcBorders>
              <w:top w:val="nil"/>
              <w:left w:val="nil"/>
              <w:bottom w:val="nil"/>
              <w:right w:val="nil"/>
            </w:tcBorders>
          </w:tcPr>
          <w:p w14:paraId="3D07AEAC"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A23</w:t>
            </w:r>
          </w:p>
        </w:tc>
        <w:tc>
          <w:tcPr>
            <w:tcW w:w="8207" w:type="dxa"/>
            <w:tcBorders>
              <w:top w:val="nil"/>
              <w:left w:val="nil"/>
              <w:bottom w:val="nil"/>
              <w:right w:val="nil"/>
            </w:tcBorders>
          </w:tcPr>
          <w:p w14:paraId="6AC4CE87"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recyklační dvůr odpadu - areál CTZ Děčín východ</w:t>
            </w:r>
          </w:p>
        </w:tc>
      </w:tr>
      <w:tr w:rsidR="00EF1DD2" w:rsidRPr="00724306" w14:paraId="645802DD" w14:textId="77777777" w:rsidTr="00AB2594">
        <w:tc>
          <w:tcPr>
            <w:tcW w:w="559" w:type="dxa"/>
            <w:tcBorders>
              <w:top w:val="nil"/>
              <w:left w:val="nil"/>
              <w:bottom w:val="nil"/>
              <w:right w:val="nil"/>
            </w:tcBorders>
          </w:tcPr>
          <w:p w14:paraId="36EE1690" w14:textId="77777777" w:rsidR="00EF1DD2" w:rsidRPr="00724306" w:rsidRDefault="00EF1DD2" w:rsidP="00EF1DD2">
            <w:pPr>
              <w:pStyle w:val="Texttabulky"/>
              <w:spacing w:after="0" w:line="288" w:lineRule="auto"/>
              <w:jc w:val="both"/>
              <w:rPr>
                <w:rFonts w:cs="Arial"/>
                <w:sz w:val="18"/>
                <w:szCs w:val="22"/>
              </w:rPr>
            </w:pPr>
            <w:r w:rsidRPr="00724306">
              <w:rPr>
                <w:rFonts w:cs="Arial"/>
                <w:b/>
                <w:bCs/>
                <w:sz w:val="18"/>
                <w:szCs w:val="22"/>
              </w:rPr>
              <w:t>A24</w:t>
            </w:r>
          </w:p>
        </w:tc>
        <w:tc>
          <w:tcPr>
            <w:tcW w:w="8207" w:type="dxa"/>
            <w:tcBorders>
              <w:top w:val="nil"/>
              <w:left w:val="nil"/>
              <w:bottom w:val="nil"/>
              <w:right w:val="nil"/>
            </w:tcBorders>
          </w:tcPr>
          <w:p w14:paraId="66E46DDF" w14:textId="77777777" w:rsidR="00EF1DD2" w:rsidRPr="00724306" w:rsidRDefault="00EF1DD2" w:rsidP="00EF1DD2">
            <w:pPr>
              <w:pStyle w:val="Texttabulky"/>
              <w:spacing w:after="0" w:line="288" w:lineRule="auto"/>
              <w:jc w:val="both"/>
              <w:rPr>
                <w:rFonts w:cs="Arial"/>
                <w:sz w:val="18"/>
                <w:szCs w:val="22"/>
              </w:rPr>
            </w:pPr>
            <w:r w:rsidRPr="00724306">
              <w:rPr>
                <w:rFonts w:cs="Arial"/>
                <w:sz w:val="18"/>
                <w:szCs w:val="22"/>
              </w:rPr>
              <w:t>rozšíření areálu TS + sportovní hřiště</w:t>
            </w:r>
          </w:p>
        </w:tc>
      </w:tr>
    </w:tbl>
    <w:p w14:paraId="1F72C5FC" w14:textId="77777777" w:rsidR="00EF1DD2" w:rsidRDefault="00EF1DD2" w:rsidP="00EF1DD2">
      <w:pPr>
        <w:pStyle w:val="podnadpis1"/>
        <w:keepNext/>
        <w:spacing w:before="0" w:after="0" w:line="288" w:lineRule="auto"/>
        <w:jc w:val="both"/>
        <w:rPr>
          <w:rFonts w:cs="Arial"/>
          <w:sz w:val="22"/>
          <w:szCs w:val="28"/>
        </w:rPr>
      </w:pPr>
    </w:p>
    <w:p w14:paraId="11220507" w14:textId="77777777" w:rsidR="00EF1DD2" w:rsidRPr="00EC5881" w:rsidRDefault="00EF1DD2" w:rsidP="00EF1DD2">
      <w:pPr>
        <w:pStyle w:val="podnadpis1"/>
        <w:keepNext/>
        <w:spacing w:before="0" w:after="0" w:line="288" w:lineRule="auto"/>
        <w:jc w:val="both"/>
        <w:rPr>
          <w:rFonts w:cs="Arial"/>
          <w:sz w:val="22"/>
          <w:szCs w:val="28"/>
        </w:rPr>
      </w:pPr>
      <w:r w:rsidRPr="00EC5881">
        <w:rPr>
          <w:rFonts w:cs="Arial"/>
          <w:sz w:val="22"/>
          <w:szCs w:val="28"/>
        </w:rPr>
        <w:t>VEŘEJNĚ PROSPĚŠNÉ STAVBY dopravy</w:t>
      </w:r>
    </w:p>
    <w:p w14:paraId="6127A506" w14:textId="77777777" w:rsidR="00EF1DD2" w:rsidRDefault="00EF1DD2" w:rsidP="00EF1DD2">
      <w:pPr>
        <w:pStyle w:val="podnadpis2"/>
        <w:keepNext/>
        <w:spacing w:before="0" w:after="0" w:line="288" w:lineRule="auto"/>
        <w:jc w:val="both"/>
        <w:rPr>
          <w:rFonts w:cs="Arial"/>
        </w:rPr>
      </w:pPr>
    </w:p>
    <w:p w14:paraId="48F2BBF5" w14:textId="77777777" w:rsidR="00EF1DD2" w:rsidRPr="00EC5881" w:rsidRDefault="00EF1DD2" w:rsidP="00EF1DD2">
      <w:pPr>
        <w:pStyle w:val="podnadpis2"/>
        <w:keepNext/>
        <w:spacing w:before="0" w:after="0" w:line="288" w:lineRule="auto"/>
        <w:jc w:val="both"/>
        <w:rPr>
          <w:rFonts w:cs="Arial"/>
        </w:rPr>
      </w:pPr>
      <w:r w:rsidRPr="00EC5881">
        <w:rPr>
          <w:rFonts w:cs="Arial"/>
        </w:rPr>
        <w:t xml:space="preserve">LINIOVÉ STAVBY </w:t>
      </w:r>
    </w:p>
    <w:p w14:paraId="23218B9C" w14:textId="77777777" w:rsidR="00EF1DD2" w:rsidRPr="00EC5881" w:rsidRDefault="00EF1DD2" w:rsidP="00EF1DD2">
      <w:pPr>
        <w:pStyle w:val="Zkladntext"/>
        <w:keepNext/>
        <w:spacing w:line="288" w:lineRule="auto"/>
        <w:jc w:val="both"/>
        <w:rPr>
          <w:rFonts w:cs="Arial"/>
          <w:sz w:val="18"/>
          <w:szCs w:val="22"/>
        </w:rPr>
      </w:pPr>
      <w:r w:rsidRPr="00EC5881">
        <w:rPr>
          <w:rFonts w:cs="Arial"/>
          <w:b/>
          <w:bCs/>
          <w:caps/>
          <w:sz w:val="18"/>
          <w:szCs w:val="22"/>
        </w:rPr>
        <w:t>A - České dráhy</w:t>
      </w:r>
    </w:p>
    <w:p w14:paraId="58F59ED6"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D1</w:t>
      </w:r>
      <w:r w:rsidRPr="00EC5881">
        <w:rPr>
          <w:rFonts w:cs="Arial"/>
          <w:b/>
          <w:bCs/>
          <w:sz w:val="18"/>
          <w:szCs w:val="22"/>
        </w:rPr>
        <w:tab/>
      </w:r>
      <w:r w:rsidRPr="00EC5881">
        <w:rPr>
          <w:rFonts w:cs="Arial"/>
          <w:sz w:val="18"/>
          <w:szCs w:val="22"/>
        </w:rPr>
        <w:t>A0 - Modernizace I. železničního koridoru Břeclav - Děčín - Berlín včetně úpravy přejezdu v Přípeři.</w:t>
      </w:r>
    </w:p>
    <w:p w14:paraId="61DB564D" w14:textId="77777777" w:rsidR="00EF1DD2" w:rsidRPr="00EC5881" w:rsidRDefault="00EF1DD2" w:rsidP="00EF1DD2">
      <w:pPr>
        <w:pStyle w:val="Zkladntext"/>
        <w:spacing w:after="0" w:line="288" w:lineRule="auto"/>
        <w:ind w:left="708" w:hanging="708"/>
        <w:jc w:val="both"/>
        <w:rPr>
          <w:rFonts w:cs="Arial"/>
          <w:sz w:val="18"/>
          <w:szCs w:val="22"/>
        </w:rPr>
      </w:pPr>
      <w:r w:rsidRPr="00EC5881">
        <w:rPr>
          <w:rFonts w:cs="Arial"/>
          <w:b/>
          <w:bCs/>
          <w:sz w:val="18"/>
          <w:szCs w:val="22"/>
        </w:rPr>
        <w:t>D2</w:t>
      </w:r>
      <w:r w:rsidRPr="00EC5881">
        <w:rPr>
          <w:rFonts w:cs="Arial"/>
          <w:b/>
          <w:bCs/>
          <w:sz w:val="18"/>
          <w:szCs w:val="22"/>
        </w:rPr>
        <w:tab/>
      </w:r>
      <w:r w:rsidRPr="00EC5881">
        <w:rPr>
          <w:rFonts w:cs="Arial"/>
          <w:sz w:val="18"/>
          <w:szCs w:val="22"/>
        </w:rPr>
        <w:t>A1 - Podchod pro pěší z přednádražního prostoru do ulice Práce (v rámci přestavby železniční stanice Děčín-hl. n.)</w:t>
      </w:r>
    </w:p>
    <w:p w14:paraId="368AAAA7"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D3</w:t>
      </w:r>
      <w:r w:rsidRPr="00EC5881">
        <w:rPr>
          <w:rFonts w:cs="Arial"/>
          <w:b/>
          <w:bCs/>
          <w:sz w:val="18"/>
          <w:szCs w:val="22"/>
        </w:rPr>
        <w:tab/>
      </w:r>
      <w:r w:rsidRPr="00EC5881">
        <w:rPr>
          <w:rFonts w:cs="Arial"/>
          <w:sz w:val="18"/>
          <w:szCs w:val="22"/>
        </w:rPr>
        <w:t>A4 - Přeložka vlečky do Rozběles v ul. Práce.</w:t>
      </w:r>
    </w:p>
    <w:p w14:paraId="00C1AAFA"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D4</w:t>
      </w:r>
      <w:r w:rsidRPr="00EC5881">
        <w:rPr>
          <w:rFonts w:cs="Arial"/>
          <w:b/>
          <w:bCs/>
          <w:sz w:val="18"/>
          <w:szCs w:val="22"/>
        </w:rPr>
        <w:tab/>
      </w:r>
      <w:r w:rsidRPr="00EC5881">
        <w:rPr>
          <w:rFonts w:cs="Arial"/>
          <w:sz w:val="18"/>
          <w:szCs w:val="22"/>
        </w:rPr>
        <w:t>A5 - Vlečka k ČOV v Boleticích.</w:t>
      </w:r>
    </w:p>
    <w:p w14:paraId="20C8F849" w14:textId="77777777" w:rsidR="00EF1DD2" w:rsidRDefault="00EF1DD2" w:rsidP="00EF1DD2">
      <w:pPr>
        <w:pStyle w:val="Zkladntext"/>
        <w:spacing w:line="288" w:lineRule="auto"/>
        <w:jc w:val="both"/>
        <w:rPr>
          <w:rFonts w:cs="Arial"/>
          <w:b/>
          <w:bCs/>
          <w:sz w:val="18"/>
          <w:szCs w:val="22"/>
        </w:rPr>
      </w:pPr>
    </w:p>
    <w:p w14:paraId="58E9DC97"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B -</w:t>
      </w:r>
      <w:r w:rsidRPr="00EC5881">
        <w:rPr>
          <w:rFonts w:cs="Arial"/>
          <w:b/>
          <w:bCs/>
          <w:caps/>
          <w:sz w:val="18"/>
          <w:szCs w:val="22"/>
        </w:rPr>
        <w:t xml:space="preserve"> silnice </w:t>
      </w:r>
      <w:r w:rsidRPr="00EC5881">
        <w:rPr>
          <w:rFonts w:cs="Arial"/>
          <w:b/>
          <w:bCs/>
          <w:sz w:val="18"/>
          <w:szCs w:val="22"/>
        </w:rPr>
        <w:t>I/13</w:t>
      </w:r>
    </w:p>
    <w:p w14:paraId="1EC06A8E"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D5</w:t>
      </w:r>
      <w:r w:rsidRPr="00EC5881">
        <w:rPr>
          <w:rFonts w:cs="Arial"/>
          <w:b/>
          <w:bCs/>
          <w:sz w:val="18"/>
          <w:szCs w:val="22"/>
        </w:rPr>
        <w:tab/>
      </w:r>
      <w:r w:rsidRPr="00EC5881">
        <w:rPr>
          <w:rFonts w:cs="Arial"/>
          <w:sz w:val="18"/>
          <w:szCs w:val="22"/>
        </w:rPr>
        <w:t>B2 - Komplexní rekonstrukce ulice Práce (přeložka sil. I/62) v Rozbělesech a realizace mimoúrovňové křižovatky na levém předmostí Nového mostu.</w:t>
      </w:r>
    </w:p>
    <w:p w14:paraId="56C495B6" w14:textId="5BFF8AA7" w:rsidR="00EF1DD2" w:rsidRPr="00281DD8" w:rsidRDefault="00EF1DD2" w:rsidP="00EF1DD2">
      <w:pPr>
        <w:pStyle w:val="Zkladntext"/>
        <w:spacing w:after="0" w:line="288" w:lineRule="auto"/>
        <w:ind w:left="709" w:hanging="709"/>
        <w:jc w:val="both"/>
        <w:rPr>
          <w:rFonts w:cs="Arial"/>
          <w:color w:val="009999"/>
          <w:sz w:val="18"/>
          <w:szCs w:val="22"/>
        </w:rPr>
      </w:pPr>
      <w:r w:rsidRPr="00281DD8">
        <w:rPr>
          <w:rFonts w:cs="Arial"/>
          <w:b/>
          <w:bCs/>
          <w:sz w:val="18"/>
          <w:szCs w:val="22"/>
        </w:rPr>
        <w:t>D6</w:t>
      </w:r>
      <w:r w:rsidRPr="00281DD8">
        <w:rPr>
          <w:rFonts w:cs="Arial"/>
          <w:b/>
          <w:bCs/>
          <w:sz w:val="18"/>
          <w:szCs w:val="22"/>
        </w:rPr>
        <w:tab/>
      </w:r>
      <w:r w:rsidRPr="00281DD8">
        <w:rPr>
          <w:rFonts w:cs="Arial"/>
          <w:sz w:val="18"/>
          <w:szCs w:val="22"/>
        </w:rPr>
        <w:t>B3 - Přeložka sil. I/13 v pravobřežní č</w:t>
      </w:r>
      <w:r w:rsidR="006B0D1F">
        <w:rPr>
          <w:rFonts w:cs="Arial"/>
          <w:sz w:val="18"/>
          <w:szCs w:val="22"/>
        </w:rPr>
        <w:t xml:space="preserve">ásti Děčína v prostoru Libverdy. </w:t>
      </w:r>
      <w:r w:rsidRPr="00281DD8">
        <w:rPr>
          <w:rFonts w:cs="Arial"/>
          <w:sz w:val="18"/>
          <w:szCs w:val="22"/>
        </w:rPr>
        <w:t xml:space="preserve">Trasa je součástí komplexní přestavby tahu od Děčína po Nový </w:t>
      </w:r>
      <w:r w:rsidRPr="006B0D1F">
        <w:rPr>
          <w:rFonts w:cs="Arial"/>
          <w:sz w:val="18"/>
          <w:szCs w:val="22"/>
        </w:rPr>
        <w:t>Bor.</w:t>
      </w:r>
      <w:r w:rsidR="00281DD8" w:rsidRPr="006B0D1F">
        <w:t xml:space="preserve"> </w:t>
      </w:r>
      <w:r w:rsidR="00281DD8" w:rsidRPr="006B0D1F">
        <w:rPr>
          <w:rFonts w:cs="Arial"/>
          <w:color w:val="009999"/>
          <w:sz w:val="18"/>
          <w:szCs w:val="22"/>
        </w:rPr>
        <w:t>VPS je v úseku Libverda - Březiny nahrazena koridorem CNZ.D(12).</w:t>
      </w:r>
    </w:p>
    <w:p w14:paraId="4EB055F0" w14:textId="77777777" w:rsidR="00EF1DD2" w:rsidRPr="00EC5881" w:rsidRDefault="00EF1DD2" w:rsidP="00281DD8">
      <w:pPr>
        <w:pStyle w:val="Zkladntext"/>
        <w:spacing w:after="0" w:line="288" w:lineRule="auto"/>
        <w:jc w:val="both"/>
        <w:rPr>
          <w:rFonts w:cs="Arial"/>
          <w:sz w:val="18"/>
          <w:szCs w:val="22"/>
        </w:rPr>
      </w:pPr>
      <w:r w:rsidRPr="00EC5881">
        <w:rPr>
          <w:rFonts w:cs="Arial"/>
          <w:b/>
          <w:bCs/>
          <w:sz w:val="18"/>
          <w:szCs w:val="22"/>
        </w:rPr>
        <w:t>D7</w:t>
      </w:r>
      <w:r w:rsidRPr="00EC5881">
        <w:rPr>
          <w:rFonts w:cs="Arial"/>
          <w:b/>
          <w:bCs/>
          <w:sz w:val="18"/>
          <w:szCs w:val="22"/>
        </w:rPr>
        <w:tab/>
      </w:r>
      <w:r w:rsidRPr="00EC5881">
        <w:rPr>
          <w:rFonts w:cs="Arial"/>
          <w:sz w:val="18"/>
          <w:szCs w:val="22"/>
        </w:rPr>
        <w:t>B4 - Komplexní rekonstrukce a šířková úprava stávajícího průtahu sil. I/13 v Bynově a Dolním Oldřichově</w:t>
      </w:r>
    </w:p>
    <w:p w14:paraId="5DDDA477" w14:textId="77777777" w:rsidR="00EF1DD2" w:rsidRDefault="00EF1DD2" w:rsidP="00EF1DD2">
      <w:pPr>
        <w:pStyle w:val="Zkladntext"/>
        <w:spacing w:line="288" w:lineRule="auto"/>
        <w:jc w:val="both"/>
        <w:rPr>
          <w:rFonts w:cs="Arial"/>
          <w:b/>
          <w:bCs/>
          <w:sz w:val="18"/>
          <w:szCs w:val="22"/>
        </w:rPr>
      </w:pPr>
    </w:p>
    <w:p w14:paraId="1AFB3FA0" w14:textId="77777777" w:rsidR="00EF1DD2" w:rsidRPr="00EC5881" w:rsidRDefault="00EF1DD2" w:rsidP="00EF1DD2">
      <w:pPr>
        <w:pStyle w:val="Zkladntext"/>
        <w:spacing w:line="288" w:lineRule="auto"/>
        <w:jc w:val="both"/>
        <w:rPr>
          <w:rFonts w:cs="Arial"/>
          <w:sz w:val="18"/>
          <w:szCs w:val="22"/>
        </w:rPr>
      </w:pPr>
      <w:r w:rsidRPr="00EC5881">
        <w:rPr>
          <w:rFonts w:cs="Arial"/>
          <w:b/>
          <w:bCs/>
          <w:sz w:val="18"/>
          <w:szCs w:val="22"/>
        </w:rPr>
        <w:t>C - SILNICE II/261</w:t>
      </w:r>
    </w:p>
    <w:p w14:paraId="33C4A129"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D8</w:t>
      </w:r>
      <w:r w:rsidRPr="00EC5881">
        <w:rPr>
          <w:rFonts w:cs="Arial"/>
          <w:b/>
          <w:bCs/>
          <w:sz w:val="18"/>
          <w:szCs w:val="22"/>
        </w:rPr>
        <w:tab/>
      </w:r>
      <w:r w:rsidRPr="00EC5881">
        <w:rPr>
          <w:rFonts w:cs="Arial"/>
          <w:sz w:val="18"/>
          <w:szCs w:val="22"/>
        </w:rPr>
        <w:t>C1 - Přeložka silnice II/261 v úseku Staré Město - Křešice s mimoúrovňovým přechodem dráhy a s opětným napojením na stávající trasu v ul. Vítězství.</w:t>
      </w:r>
    </w:p>
    <w:p w14:paraId="1967790A" w14:textId="77777777" w:rsidR="00EF1DD2" w:rsidRDefault="00EF1DD2" w:rsidP="00EF1DD2">
      <w:pPr>
        <w:pStyle w:val="Zkladntext"/>
        <w:spacing w:after="0" w:line="288" w:lineRule="auto"/>
        <w:jc w:val="both"/>
        <w:rPr>
          <w:rFonts w:cs="Arial"/>
          <w:b/>
          <w:bCs/>
          <w:caps/>
          <w:sz w:val="18"/>
          <w:szCs w:val="22"/>
        </w:rPr>
      </w:pPr>
    </w:p>
    <w:p w14:paraId="319B31A0"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t>D - Folknářská spojka</w:t>
      </w:r>
    </w:p>
    <w:p w14:paraId="03163EFA" w14:textId="086ED191" w:rsidR="00724306" w:rsidRPr="00724306" w:rsidRDefault="00724306" w:rsidP="00724306">
      <w:pPr>
        <w:pStyle w:val="Zkladntext"/>
        <w:spacing w:before="120" w:line="288" w:lineRule="auto"/>
        <w:jc w:val="both"/>
        <w:rPr>
          <w:rFonts w:ascii="Arial" w:hAnsi="Arial" w:cs="Arial"/>
          <w:color w:val="18B8B0"/>
          <w:sz w:val="18"/>
          <w:szCs w:val="22"/>
        </w:rPr>
      </w:pPr>
      <w:r w:rsidRPr="006B0D1F">
        <w:rPr>
          <w:rFonts w:ascii="Arial" w:hAnsi="Arial" w:cs="Arial"/>
          <w:b/>
          <w:color w:val="18B8B0"/>
          <w:sz w:val="18"/>
          <w:szCs w:val="22"/>
        </w:rPr>
        <w:t>CNZ.D(12)</w:t>
      </w:r>
      <w:r w:rsidRPr="006B0D1F">
        <w:rPr>
          <w:rFonts w:ascii="Arial" w:hAnsi="Arial" w:cs="Arial"/>
          <w:color w:val="18B8B0"/>
          <w:sz w:val="18"/>
          <w:szCs w:val="22"/>
        </w:rPr>
        <w:t xml:space="preserve"> Přeložka sil. I/13</w:t>
      </w:r>
      <w:r w:rsidR="004D1FB9" w:rsidRPr="006B0D1F">
        <w:rPr>
          <w:rFonts w:ascii="Arial" w:hAnsi="Arial" w:cs="Arial"/>
          <w:color w:val="18B8B0"/>
          <w:sz w:val="18"/>
          <w:szCs w:val="22"/>
        </w:rPr>
        <w:t xml:space="preserve"> Děčín - Ludvíkovice  </w:t>
      </w:r>
      <w:r w:rsidRPr="006B0D1F">
        <w:rPr>
          <w:rFonts w:ascii="Arial" w:hAnsi="Arial" w:cs="Arial"/>
          <w:color w:val="18B8B0"/>
          <w:sz w:val="18"/>
          <w:szCs w:val="22"/>
        </w:rPr>
        <w:t>(Tzv. Folknářská spojka odlehčujícící ulici Kamenickou) v pravobřežní části Děčína v prostoru Libverdy, včetně mimoúrovňové křižovatky na Folknářské spojce. V rámci koridoru jsou zahrnuty stavby související s touto přeložkou. Trasa je součástí komplexní přestavby tahu od Děčína po Nový Bor.</w:t>
      </w:r>
    </w:p>
    <w:p w14:paraId="077AADE7" w14:textId="77777777" w:rsidR="00EF1DD2" w:rsidRDefault="00EF1DD2" w:rsidP="00EF1DD2">
      <w:pPr>
        <w:pStyle w:val="Zkladntext"/>
        <w:spacing w:after="0" w:line="288" w:lineRule="auto"/>
        <w:jc w:val="both"/>
        <w:rPr>
          <w:rFonts w:cs="Arial"/>
          <w:b/>
          <w:bCs/>
          <w:caps/>
          <w:sz w:val="18"/>
          <w:szCs w:val="22"/>
        </w:rPr>
      </w:pPr>
    </w:p>
    <w:p w14:paraId="086E296D"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t>E - Letná-Oldřichov</w:t>
      </w:r>
    </w:p>
    <w:p w14:paraId="0537EF0B"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D10</w:t>
      </w:r>
      <w:r w:rsidRPr="00EC5881">
        <w:rPr>
          <w:rFonts w:cs="Arial"/>
          <w:b/>
          <w:bCs/>
          <w:sz w:val="18"/>
          <w:szCs w:val="22"/>
        </w:rPr>
        <w:tab/>
      </w:r>
      <w:r w:rsidRPr="00EC5881">
        <w:rPr>
          <w:rFonts w:cs="Arial"/>
          <w:sz w:val="18"/>
          <w:szCs w:val="22"/>
        </w:rPr>
        <w:t>E - Komunikační propojení Horního Oldřichova s Letnou.</w:t>
      </w:r>
    </w:p>
    <w:p w14:paraId="4DDA22E9"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t>H - cyklistické trasy</w:t>
      </w:r>
    </w:p>
    <w:p w14:paraId="447A1422"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D11</w:t>
      </w:r>
      <w:r w:rsidRPr="00EC5881">
        <w:rPr>
          <w:rFonts w:cs="Arial"/>
          <w:b/>
          <w:bCs/>
          <w:sz w:val="18"/>
          <w:szCs w:val="22"/>
        </w:rPr>
        <w:tab/>
      </w:r>
      <w:r w:rsidRPr="00EC5881">
        <w:rPr>
          <w:rFonts w:cs="Arial"/>
          <w:sz w:val="18"/>
          <w:szCs w:val="22"/>
        </w:rPr>
        <w:t>H1 - cyklotrasa vedená údolím Labe Nebočady - Prostřední Žleb</w:t>
      </w:r>
    </w:p>
    <w:p w14:paraId="1A63428E"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D12</w:t>
      </w:r>
      <w:r w:rsidRPr="00EC5881">
        <w:rPr>
          <w:rFonts w:cs="Arial"/>
          <w:b/>
          <w:bCs/>
          <w:sz w:val="18"/>
          <w:szCs w:val="22"/>
        </w:rPr>
        <w:tab/>
      </w:r>
      <w:r w:rsidRPr="00EC5881">
        <w:rPr>
          <w:rFonts w:cs="Arial"/>
          <w:sz w:val="18"/>
          <w:szCs w:val="22"/>
        </w:rPr>
        <w:t>H2 - cyklotrasa vedená údolím Jílovského potoka Podmokly - Jílové</w:t>
      </w:r>
    </w:p>
    <w:p w14:paraId="6CFD1222"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D13</w:t>
      </w:r>
      <w:r w:rsidRPr="00EC5881">
        <w:rPr>
          <w:rFonts w:cs="Arial"/>
          <w:b/>
          <w:bCs/>
          <w:sz w:val="18"/>
          <w:szCs w:val="22"/>
        </w:rPr>
        <w:tab/>
      </w:r>
      <w:r w:rsidRPr="00EC5881">
        <w:rPr>
          <w:rFonts w:cs="Arial"/>
          <w:sz w:val="18"/>
          <w:szCs w:val="22"/>
        </w:rPr>
        <w:t>H3 - cyklotrasa vedená údolím Ploučnice Staré město - Březiny</w:t>
      </w:r>
    </w:p>
    <w:p w14:paraId="43AD864E" w14:textId="77777777" w:rsidR="00EF1DD2" w:rsidRPr="00EC5881" w:rsidRDefault="00EF1DD2" w:rsidP="00EF1DD2">
      <w:pPr>
        <w:pStyle w:val="Zkladntext"/>
        <w:spacing w:after="0" w:line="288" w:lineRule="auto"/>
        <w:jc w:val="both"/>
        <w:rPr>
          <w:rFonts w:cs="Arial"/>
          <w:sz w:val="18"/>
          <w:szCs w:val="22"/>
        </w:rPr>
      </w:pPr>
    </w:p>
    <w:p w14:paraId="73064429"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t>LOKAlity Sektor I. A</w:t>
      </w:r>
    </w:p>
    <w:p w14:paraId="5271D354"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D14</w:t>
      </w:r>
      <w:r w:rsidRPr="00EC5881">
        <w:rPr>
          <w:rFonts w:cs="Arial"/>
          <w:sz w:val="18"/>
          <w:szCs w:val="22"/>
        </w:rPr>
        <w:tab/>
        <w:t>I/1 - HG 56 v rámci dostavby bloku v Jeronýmově ulici</w:t>
      </w:r>
    </w:p>
    <w:p w14:paraId="73C50FDC"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D15</w:t>
      </w:r>
      <w:r w:rsidRPr="00EC5881">
        <w:rPr>
          <w:rFonts w:cs="Arial"/>
          <w:b/>
          <w:bCs/>
          <w:sz w:val="18"/>
          <w:szCs w:val="22"/>
        </w:rPr>
        <w:tab/>
      </w:r>
      <w:r w:rsidRPr="00EC5881">
        <w:rPr>
          <w:rFonts w:cs="Arial"/>
          <w:sz w:val="18"/>
          <w:szCs w:val="22"/>
        </w:rPr>
        <w:t>I/16 - revitalizace nábřeží, promenáda a pěší zóna na Jílovském potoku</w:t>
      </w:r>
    </w:p>
    <w:p w14:paraId="69FE5CA9"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D16</w:t>
      </w:r>
      <w:r w:rsidRPr="00EC5881">
        <w:rPr>
          <w:rFonts w:cs="Arial"/>
          <w:b/>
          <w:bCs/>
          <w:sz w:val="18"/>
          <w:szCs w:val="22"/>
        </w:rPr>
        <w:tab/>
      </w:r>
      <w:r w:rsidRPr="00EC5881">
        <w:rPr>
          <w:rFonts w:cs="Arial"/>
          <w:sz w:val="18"/>
          <w:szCs w:val="22"/>
        </w:rPr>
        <w:t>I/17 - terminál hromadné dopravy v Podmoklech</w:t>
      </w:r>
    </w:p>
    <w:p w14:paraId="5E35B568"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D17</w:t>
      </w:r>
      <w:r w:rsidRPr="00EC5881">
        <w:rPr>
          <w:rFonts w:cs="Arial"/>
          <w:b/>
          <w:bCs/>
          <w:sz w:val="18"/>
          <w:szCs w:val="22"/>
        </w:rPr>
        <w:tab/>
      </w:r>
      <w:r w:rsidRPr="00EC5881">
        <w:rPr>
          <w:rFonts w:cs="Arial"/>
          <w:sz w:val="18"/>
          <w:szCs w:val="22"/>
        </w:rPr>
        <w:t>I/19 - přístupová MK a parkoviště P50 u TJ Lokomotiva</w:t>
      </w:r>
    </w:p>
    <w:p w14:paraId="4D7D33D7"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D18</w:t>
      </w:r>
      <w:r w:rsidRPr="00EC5881">
        <w:rPr>
          <w:rFonts w:cs="Arial"/>
          <w:b/>
          <w:bCs/>
          <w:sz w:val="18"/>
          <w:szCs w:val="22"/>
        </w:rPr>
        <w:tab/>
      </w:r>
      <w:r w:rsidRPr="00EC5881">
        <w:rPr>
          <w:rFonts w:cs="Arial"/>
          <w:sz w:val="18"/>
          <w:szCs w:val="22"/>
        </w:rPr>
        <w:t>I/20 - pěší stezka kombinovaná s cyklistickou podél břehu Labe od navrhovaného přívozu v RozbělesÍch po Tyršův most</w:t>
      </w:r>
    </w:p>
    <w:p w14:paraId="573AAFDF"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D19</w:t>
      </w:r>
      <w:r w:rsidRPr="00EC5881">
        <w:rPr>
          <w:rFonts w:cs="Arial"/>
          <w:b/>
          <w:bCs/>
          <w:sz w:val="18"/>
          <w:szCs w:val="22"/>
        </w:rPr>
        <w:tab/>
      </w:r>
      <w:r w:rsidRPr="00EC5881">
        <w:rPr>
          <w:rFonts w:cs="Arial"/>
          <w:sz w:val="18"/>
          <w:szCs w:val="22"/>
        </w:rPr>
        <w:t>I/23 - rekonstrukce křižovatky Teplická - Pivovarská u Ovčí lávky</w:t>
      </w:r>
    </w:p>
    <w:p w14:paraId="0179E604"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D20</w:t>
      </w:r>
      <w:r w:rsidRPr="00EC5881">
        <w:rPr>
          <w:rFonts w:cs="Arial"/>
          <w:b/>
          <w:bCs/>
          <w:sz w:val="18"/>
          <w:szCs w:val="22"/>
        </w:rPr>
        <w:tab/>
      </w:r>
      <w:r w:rsidRPr="00EC5881">
        <w:rPr>
          <w:rFonts w:cs="Arial"/>
          <w:sz w:val="18"/>
          <w:szCs w:val="22"/>
        </w:rPr>
        <w:t>I/24 - Pěší podchod pod nádražím ČD s propojením do ulice Práce a s PP200</w:t>
      </w:r>
    </w:p>
    <w:p w14:paraId="3C79DF6D"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D21</w:t>
      </w:r>
      <w:r w:rsidRPr="00EC5881">
        <w:rPr>
          <w:rFonts w:cs="Arial"/>
          <w:b/>
          <w:bCs/>
          <w:sz w:val="18"/>
          <w:szCs w:val="22"/>
        </w:rPr>
        <w:tab/>
      </w:r>
      <w:r w:rsidRPr="00EC5881">
        <w:rPr>
          <w:rFonts w:cs="Arial"/>
          <w:sz w:val="18"/>
          <w:szCs w:val="22"/>
        </w:rPr>
        <w:t>I/25 - parkoviště u ZOO P50</w:t>
      </w:r>
    </w:p>
    <w:p w14:paraId="2A7D2660"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D22</w:t>
      </w:r>
      <w:r w:rsidRPr="00EC5881">
        <w:rPr>
          <w:rFonts w:cs="Arial"/>
          <w:b/>
          <w:bCs/>
          <w:sz w:val="18"/>
          <w:szCs w:val="22"/>
        </w:rPr>
        <w:tab/>
      </w:r>
      <w:r w:rsidRPr="00EC5881">
        <w:rPr>
          <w:rFonts w:cs="Arial"/>
          <w:sz w:val="18"/>
          <w:szCs w:val="22"/>
        </w:rPr>
        <w:t>I/26 - kruhové uspořádání křižovatky, rekonstrukce podjezdu ČD na Labském nábřeží</w:t>
      </w:r>
    </w:p>
    <w:p w14:paraId="1E3604A6"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D23</w:t>
      </w:r>
      <w:r w:rsidRPr="00EC5881">
        <w:rPr>
          <w:rFonts w:cs="Arial"/>
          <w:b/>
          <w:bCs/>
          <w:sz w:val="18"/>
          <w:szCs w:val="22"/>
        </w:rPr>
        <w:tab/>
      </w:r>
      <w:r w:rsidRPr="00EC5881">
        <w:rPr>
          <w:rFonts w:cs="Arial"/>
          <w:sz w:val="18"/>
          <w:szCs w:val="22"/>
        </w:rPr>
        <w:t>I/27 - zkapacitnění podjezdu trati ČD "Pětimostí", zaslepení ul. Práce</w:t>
      </w:r>
    </w:p>
    <w:p w14:paraId="195D0AA1"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D24</w:t>
      </w:r>
      <w:r w:rsidRPr="00EC5881">
        <w:rPr>
          <w:rFonts w:cs="Arial"/>
          <w:b/>
          <w:bCs/>
          <w:sz w:val="18"/>
          <w:szCs w:val="22"/>
        </w:rPr>
        <w:tab/>
      </w:r>
      <w:r w:rsidRPr="00EC5881">
        <w:rPr>
          <w:rFonts w:cs="Arial"/>
          <w:sz w:val="18"/>
          <w:szCs w:val="22"/>
        </w:rPr>
        <w:t>I/28 - parkoviště P 8 v Chelčického ulici u divadla</w:t>
      </w:r>
    </w:p>
    <w:p w14:paraId="216D906A"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D25</w:t>
      </w:r>
      <w:r w:rsidRPr="00EC5881">
        <w:rPr>
          <w:rFonts w:cs="Arial"/>
          <w:b/>
          <w:bCs/>
          <w:sz w:val="18"/>
          <w:szCs w:val="22"/>
        </w:rPr>
        <w:tab/>
      </w:r>
      <w:r w:rsidRPr="00EC5881">
        <w:rPr>
          <w:rFonts w:cs="Arial"/>
          <w:sz w:val="18"/>
          <w:szCs w:val="22"/>
        </w:rPr>
        <w:t>I/29 - parkoviště P 50 v ul. Práce u hřiště</w:t>
      </w:r>
    </w:p>
    <w:p w14:paraId="034A08C1" w14:textId="77777777" w:rsidR="00EF1DD2" w:rsidRDefault="00EF1DD2" w:rsidP="00EF1DD2">
      <w:pPr>
        <w:pStyle w:val="Zkladntext"/>
        <w:spacing w:after="0" w:line="288" w:lineRule="auto"/>
        <w:jc w:val="both"/>
        <w:rPr>
          <w:rFonts w:cs="Arial"/>
          <w:b/>
          <w:bCs/>
          <w:caps/>
          <w:sz w:val="18"/>
          <w:szCs w:val="22"/>
        </w:rPr>
      </w:pPr>
    </w:p>
    <w:p w14:paraId="4A3E8A36"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lastRenderedPageBreak/>
        <w:t>lokality Sektor I. B</w:t>
      </w:r>
    </w:p>
    <w:p w14:paraId="5C491900"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D26</w:t>
      </w:r>
      <w:r w:rsidRPr="00EC5881">
        <w:rPr>
          <w:rFonts w:cs="Arial"/>
          <w:b/>
          <w:bCs/>
          <w:sz w:val="18"/>
          <w:szCs w:val="22"/>
        </w:rPr>
        <w:tab/>
      </w:r>
      <w:r w:rsidRPr="00EC5881">
        <w:rPr>
          <w:rFonts w:cs="Arial"/>
          <w:sz w:val="18"/>
          <w:szCs w:val="22"/>
        </w:rPr>
        <w:t>I/8 - nové napojení navrhovaného parkoviště P60 z ul. U plovárny, 2 osobní výtahy</w:t>
      </w:r>
    </w:p>
    <w:p w14:paraId="7B510E9B"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D27</w:t>
      </w:r>
      <w:r w:rsidRPr="00EC5881">
        <w:rPr>
          <w:rFonts w:cs="Arial"/>
          <w:sz w:val="18"/>
          <w:szCs w:val="22"/>
        </w:rPr>
        <w:tab/>
        <w:t>I/18 - komplexní přestavba Masarykova náměstí, parking, okružní křižovatka</w:t>
      </w:r>
    </w:p>
    <w:p w14:paraId="6FAA48F1"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D28</w:t>
      </w:r>
      <w:r w:rsidRPr="00EC5881">
        <w:rPr>
          <w:rFonts w:cs="Arial"/>
          <w:b/>
          <w:bCs/>
          <w:sz w:val="18"/>
          <w:szCs w:val="22"/>
        </w:rPr>
        <w:tab/>
      </w:r>
      <w:r w:rsidRPr="00EC5881">
        <w:rPr>
          <w:rFonts w:cs="Arial"/>
          <w:sz w:val="18"/>
          <w:szCs w:val="22"/>
        </w:rPr>
        <w:t>I/19 - parkoviště U plovárny, P20 + P30 + 7BUS</w:t>
      </w:r>
    </w:p>
    <w:p w14:paraId="72BD3078"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D29</w:t>
      </w:r>
      <w:r w:rsidRPr="00EC5881">
        <w:rPr>
          <w:rFonts w:cs="Arial"/>
          <w:b/>
          <w:bCs/>
          <w:sz w:val="18"/>
          <w:szCs w:val="22"/>
        </w:rPr>
        <w:tab/>
      </w:r>
      <w:r w:rsidRPr="00EC5881">
        <w:rPr>
          <w:rFonts w:cs="Arial"/>
          <w:sz w:val="18"/>
          <w:szCs w:val="22"/>
        </w:rPr>
        <w:t>I/20 - halová garáž HG 280 ve Fügnerově ulici</w:t>
      </w:r>
    </w:p>
    <w:p w14:paraId="5EF97396"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D30</w:t>
      </w:r>
      <w:r w:rsidRPr="00EC5881">
        <w:rPr>
          <w:rFonts w:cs="Arial"/>
          <w:b/>
          <w:bCs/>
          <w:sz w:val="18"/>
          <w:szCs w:val="22"/>
        </w:rPr>
        <w:tab/>
      </w:r>
      <w:r w:rsidRPr="00EC5881">
        <w:rPr>
          <w:rFonts w:cs="Arial"/>
          <w:sz w:val="18"/>
          <w:szCs w:val="22"/>
        </w:rPr>
        <w:t>I/21 - halová garáž HG 240 v Maroldově ulici</w:t>
      </w:r>
    </w:p>
    <w:p w14:paraId="22D43569"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D31</w:t>
      </w:r>
      <w:r w:rsidRPr="00EC5881">
        <w:rPr>
          <w:rFonts w:cs="Arial"/>
          <w:b/>
          <w:bCs/>
          <w:sz w:val="18"/>
          <w:szCs w:val="22"/>
        </w:rPr>
        <w:tab/>
      </w:r>
      <w:r w:rsidRPr="00EC5881">
        <w:rPr>
          <w:rFonts w:cs="Arial"/>
          <w:sz w:val="18"/>
          <w:szCs w:val="22"/>
        </w:rPr>
        <w:t>I/22 - halová garáž HG 100 v Zámecké ul.</w:t>
      </w:r>
    </w:p>
    <w:p w14:paraId="4211B08C"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D32</w:t>
      </w:r>
      <w:r w:rsidRPr="00EC5881">
        <w:rPr>
          <w:rFonts w:cs="Arial"/>
          <w:b/>
          <w:bCs/>
          <w:sz w:val="18"/>
          <w:szCs w:val="22"/>
        </w:rPr>
        <w:tab/>
      </w:r>
      <w:r w:rsidRPr="00EC5881">
        <w:rPr>
          <w:rFonts w:cs="Arial"/>
          <w:sz w:val="18"/>
          <w:szCs w:val="22"/>
        </w:rPr>
        <w:t>I/23 - parkoviště v ul. U plovárny, P80 + 5 BUS</w:t>
      </w:r>
    </w:p>
    <w:p w14:paraId="3BAEB590"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D33</w:t>
      </w:r>
      <w:r w:rsidRPr="00EC5881">
        <w:rPr>
          <w:rFonts w:cs="Arial"/>
          <w:b/>
          <w:bCs/>
          <w:sz w:val="18"/>
          <w:szCs w:val="22"/>
        </w:rPr>
        <w:tab/>
      </w:r>
      <w:r w:rsidRPr="00EC5881">
        <w:rPr>
          <w:rFonts w:cs="Arial"/>
          <w:sz w:val="18"/>
          <w:szCs w:val="22"/>
        </w:rPr>
        <w:t>I/24 - přestavba Oblouková ulice, napojení na 2.polské armády</w:t>
      </w:r>
    </w:p>
    <w:p w14:paraId="387832D3"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D34</w:t>
      </w:r>
      <w:r w:rsidRPr="00EC5881">
        <w:rPr>
          <w:rFonts w:cs="Arial"/>
          <w:b/>
          <w:bCs/>
          <w:sz w:val="18"/>
          <w:szCs w:val="22"/>
        </w:rPr>
        <w:tab/>
      </w:r>
      <w:r w:rsidRPr="00EC5881">
        <w:rPr>
          <w:rFonts w:cs="Arial"/>
          <w:sz w:val="18"/>
          <w:szCs w:val="22"/>
        </w:rPr>
        <w:t>I/25 - okružní křižovatka na nám. Svobody</w:t>
      </w:r>
    </w:p>
    <w:p w14:paraId="76429680"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D35</w:t>
      </w:r>
      <w:r w:rsidRPr="00EC5881">
        <w:rPr>
          <w:rFonts w:cs="Arial"/>
          <w:b/>
          <w:bCs/>
          <w:sz w:val="18"/>
          <w:szCs w:val="22"/>
        </w:rPr>
        <w:tab/>
      </w:r>
      <w:r w:rsidRPr="00EC5881">
        <w:rPr>
          <w:rFonts w:cs="Arial"/>
          <w:sz w:val="18"/>
          <w:szCs w:val="22"/>
        </w:rPr>
        <w:t>I/26 - parkoviště na terénu a PP60 u polyfunkčního domu (KOKOS)</w:t>
      </w:r>
    </w:p>
    <w:p w14:paraId="7394A222"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D36</w:t>
      </w:r>
      <w:r w:rsidRPr="00EC5881">
        <w:rPr>
          <w:rFonts w:cs="Arial"/>
          <w:b/>
          <w:bCs/>
          <w:sz w:val="18"/>
          <w:szCs w:val="22"/>
        </w:rPr>
        <w:tab/>
      </w:r>
      <w:r w:rsidRPr="00EC5881">
        <w:rPr>
          <w:rFonts w:cs="Arial"/>
          <w:sz w:val="18"/>
          <w:szCs w:val="22"/>
        </w:rPr>
        <w:t>I/27 - parkoviště na Labské u os. Přístavu P150 s přístupovou MK</w:t>
      </w:r>
    </w:p>
    <w:p w14:paraId="281CF973"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D37</w:t>
      </w:r>
      <w:r w:rsidRPr="00EC5881">
        <w:rPr>
          <w:rFonts w:cs="Arial"/>
          <w:b/>
          <w:bCs/>
          <w:sz w:val="18"/>
          <w:szCs w:val="22"/>
        </w:rPr>
        <w:tab/>
      </w:r>
      <w:r w:rsidRPr="00EC5881">
        <w:rPr>
          <w:rFonts w:cs="Arial"/>
          <w:sz w:val="18"/>
          <w:szCs w:val="22"/>
        </w:rPr>
        <w:t>I/28 - halová garáž HG 140 v Duchcovské ulici</w:t>
      </w:r>
    </w:p>
    <w:p w14:paraId="7A9A776E"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D38</w:t>
      </w:r>
      <w:r w:rsidRPr="00EC5881">
        <w:rPr>
          <w:rFonts w:cs="Arial"/>
          <w:b/>
          <w:bCs/>
          <w:sz w:val="18"/>
          <w:szCs w:val="22"/>
        </w:rPr>
        <w:tab/>
      </w:r>
      <w:r w:rsidRPr="00EC5881">
        <w:rPr>
          <w:rFonts w:cs="Arial"/>
          <w:sz w:val="18"/>
          <w:szCs w:val="22"/>
        </w:rPr>
        <w:t>I/30 - parkoviště P50 + 8 BUS na Labské u nábřeží</w:t>
      </w:r>
    </w:p>
    <w:p w14:paraId="12E4C22E"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D39</w:t>
      </w:r>
      <w:r w:rsidRPr="00EC5881">
        <w:rPr>
          <w:rFonts w:cs="Arial"/>
          <w:b/>
          <w:bCs/>
          <w:sz w:val="18"/>
          <w:szCs w:val="22"/>
        </w:rPr>
        <w:tab/>
      </w:r>
      <w:r w:rsidRPr="00EC5881">
        <w:rPr>
          <w:rFonts w:cs="Arial"/>
          <w:sz w:val="18"/>
          <w:szCs w:val="22"/>
        </w:rPr>
        <w:t>I/31 - parkoviště P42 za střediskem na Duchcovské</w:t>
      </w:r>
    </w:p>
    <w:p w14:paraId="6CFA2511"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D40</w:t>
      </w:r>
      <w:r w:rsidRPr="00EC5881">
        <w:rPr>
          <w:rFonts w:cs="Arial"/>
          <w:b/>
          <w:bCs/>
          <w:sz w:val="18"/>
          <w:szCs w:val="22"/>
        </w:rPr>
        <w:tab/>
      </w:r>
      <w:r w:rsidRPr="00EC5881">
        <w:rPr>
          <w:rFonts w:cs="Arial"/>
          <w:sz w:val="18"/>
          <w:szCs w:val="22"/>
        </w:rPr>
        <w:t>I/32 - parkoviště u policie P150, rek. a dostavba</w:t>
      </w:r>
    </w:p>
    <w:p w14:paraId="536CEC85" w14:textId="77777777" w:rsidR="00EF1DD2" w:rsidRDefault="00EF1DD2" w:rsidP="00EF1DD2">
      <w:pPr>
        <w:pStyle w:val="Zkladntext"/>
        <w:spacing w:after="0" w:line="288" w:lineRule="auto"/>
        <w:jc w:val="both"/>
        <w:rPr>
          <w:rFonts w:cs="Arial"/>
          <w:b/>
          <w:bCs/>
          <w:caps/>
          <w:sz w:val="18"/>
          <w:szCs w:val="22"/>
        </w:rPr>
      </w:pPr>
    </w:p>
    <w:p w14:paraId="14BA8129"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t>lokality Sektor II</w:t>
      </w:r>
      <w:r w:rsidRPr="00EC5881">
        <w:rPr>
          <w:rFonts w:cs="Arial"/>
          <w:caps/>
          <w:sz w:val="18"/>
          <w:szCs w:val="22"/>
        </w:rPr>
        <w:t>.</w:t>
      </w:r>
    </w:p>
    <w:p w14:paraId="51F9C960"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D41</w:t>
      </w:r>
      <w:r w:rsidRPr="00EC5881">
        <w:rPr>
          <w:rFonts w:cs="Arial"/>
          <w:b/>
          <w:bCs/>
          <w:sz w:val="18"/>
          <w:szCs w:val="22"/>
        </w:rPr>
        <w:tab/>
      </w:r>
      <w:r w:rsidRPr="00EC5881">
        <w:rPr>
          <w:rFonts w:cs="Arial"/>
          <w:sz w:val="18"/>
          <w:szCs w:val="22"/>
        </w:rPr>
        <w:t>II/5 - přístupová MK k polyfunkčnímu bloku v ul. Jiřího z Poděbrad</w:t>
      </w:r>
    </w:p>
    <w:p w14:paraId="76AF4CA7"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D42</w:t>
      </w:r>
      <w:r w:rsidRPr="00EC5881">
        <w:rPr>
          <w:rFonts w:cs="Arial"/>
          <w:b/>
          <w:bCs/>
          <w:sz w:val="18"/>
          <w:szCs w:val="22"/>
        </w:rPr>
        <w:tab/>
      </w:r>
      <w:r w:rsidRPr="00EC5881">
        <w:rPr>
          <w:rFonts w:cs="Arial"/>
          <w:sz w:val="18"/>
          <w:szCs w:val="22"/>
        </w:rPr>
        <w:t>II/9 - přístupová MK k bloku v ul. Kozinova</w:t>
      </w:r>
    </w:p>
    <w:p w14:paraId="3E1C8845"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D43</w:t>
      </w:r>
      <w:r w:rsidRPr="00EC5881">
        <w:rPr>
          <w:rFonts w:cs="Arial"/>
          <w:b/>
          <w:bCs/>
          <w:sz w:val="18"/>
          <w:szCs w:val="22"/>
        </w:rPr>
        <w:tab/>
      </w:r>
      <w:r w:rsidRPr="00EC5881">
        <w:rPr>
          <w:rFonts w:cs="Arial"/>
          <w:sz w:val="18"/>
          <w:szCs w:val="22"/>
        </w:rPr>
        <w:t>II/18 - parkoviště na Labském nábřeží P188 + BUS P30</w:t>
      </w:r>
    </w:p>
    <w:p w14:paraId="67A4A498"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D44</w:t>
      </w:r>
      <w:r w:rsidRPr="00EC5881">
        <w:rPr>
          <w:rFonts w:cs="Arial"/>
          <w:b/>
          <w:bCs/>
          <w:sz w:val="18"/>
          <w:szCs w:val="22"/>
        </w:rPr>
        <w:tab/>
      </w:r>
      <w:r w:rsidRPr="00EC5881">
        <w:rPr>
          <w:rFonts w:cs="Arial"/>
          <w:sz w:val="18"/>
          <w:szCs w:val="22"/>
        </w:rPr>
        <w:t>II/20 - cyklotrasa na Labském nábřeží</w:t>
      </w:r>
    </w:p>
    <w:p w14:paraId="324B39C8"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D45</w:t>
      </w:r>
      <w:r w:rsidRPr="00EC5881">
        <w:rPr>
          <w:rFonts w:cs="Arial"/>
          <w:b/>
          <w:bCs/>
          <w:sz w:val="18"/>
          <w:szCs w:val="22"/>
        </w:rPr>
        <w:tab/>
      </w:r>
      <w:r w:rsidRPr="00EC5881">
        <w:rPr>
          <w:rFonts w:cs="Arial"/>
          <w:sz w:val="18"/>
          <w:szCs w:val="22"/>
        </w:rPr>
        <w:t>II/28 - parkoviště P100 v Želenicích v Lounské ul.</w:t>
      </w:r>
    </w:p>
    <w:p w14:paraId="0AF469FA"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D46</w:t>
      </w:r>
      <w:r w:rsidRPr="00EC5881">
        <w:rPr>
          <w:rFonts w:cs="Arial"/>
          <w:b/>
          <w:bCs/>
          <w:sz w:val="18"/>
          <w:szCs w:val="22"/>
        </w:rPr>
        <w:tab/>
      </w:r>
      <w:r w:rsidRPr="00EC5881">
        <w:rPr>
          <w:rFonts w:cs="Arial"/>
          <w:sz w:val="18"/>
          <w:szCs w:val="22"/>
        </w:rPr>
        <w:t>II/29 - dvoupodlažní halové garáže HG200, včetně návrhu přístupové MK v Želenicích</w:t>
      </w:r>
    </w:p>
    <w:p w14:paraId="5D9257C3"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D47</w:t>
      </w:r>
      <w:r w:rsidRPr="00EC5881">
        <w:rPr>
          <w:rFonts w:cs="Arial"/>
          <w:b/>
          <w:bCs/>
          <w:sz w:val="18"/>
          <w:szCs w:val="22"/>
        </w:rPr>
        <w:tab/>
      </w:r>
      <w:r w:rsidRPr="00EC5881">
        <w:rPr>
          <w:rFonts w:cs="Arial"/>
          <w:sz w:val="18"/>
          <w:szCs w:val="22"/>
        </w:rPr>
        <w:t>II/30 - halové garáže HG300 v Želenicích u potoka</w:t>
      </w:r>
    </w:p>
    <w:p w14:paraId="523DB9AB"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D48</w:t>
      </w:r>
      <w:r w:rsidRPr="00EC5881">
        <w:rPr>
          <w:rFonts w:cs="Arial"/>
          <w:b/>
          <w:bCs/>
          <w:sz w:val="18"/>
          <w:szCs w:val="22"/>
        </w:rPr>
        <w:tab/>
      </w:r>
      <w:r w:rsidRPr="00EC5881">
        <w:rPr>
          <w:rFonts w:cs="Arial"/>
          <w:sz w:val="18"/>
          <w:szCs w:val="22"/>
        </w:rPr>
        <w:t>II/31 - podzemní garáže PP200 v Želenicích</w:t>
      </w:r>
    </w:p>
    <w:p w14:paraId="2508A931"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D49</w:t>
      </w:r>
      <w:r w:rsidRPr="00EC5881">
        <w:rPr>
          <w:rFonts w:cs="Arial"/>
          <w:b/>
          <w:bCs/>
          <w:sz w:val="18"/>
          <w:szCs w:val="22"/>
        </w:rPr>
        <w:tab/>
      </w:r>
      <w:r w:rsidRPr="00EC5881">
        <w:rPr>
          <w:rFonts w:cs="Arial"/>
          <w:sz w:val="18"/>
          <w:szCs w:val="22"/>
        </w:rPr>
        <w:t>II/33 - halové garáže HG240 ve Slezské ul.</w:t>
      </w:r>
    </w:p>
    <w:p w14:paraId="584F8EFF"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D50</w:t>
      </w:r>
      <w:r w:rsidRPr="00EC5881">
        <w:rPr>
          <w:rFonts w:cs="Arial"/>
          <w:b/>
          <w:bCs/>
          <w:sz w:val="18"/>
          <w:szCs w:val="22"/>
        </w:rPr>
        <w:tab/>
      </w:r>
      <w:r w:rsidRPr="00EC5881">
        <w:rPr>
          <w:rFonts w:cs="Arial"/>
          <w:sz w:val="18"/>
          <w:szCs w:val="22"/>
        </w:rPr>
        <w:t>II/34 - podzemní parking PP100 ve vnitrobloku na Ruské</w:t>
      </w:r>
    </w:p>
    <w:p w14:paraId="7F2DB070"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D51</w:t>
      </w:r>
      <w:r w:rsidRPr="00EC5881">
        <w:rPr>
          <w:rFonts w:cs="Arial"/>
          <w:b/>
          <w:bCs/>
          <w:sz w:val="18"/>
          <w:szCs w:val="22"/>
        </w:rPr>
        <w:tab/>
      </w:r>
      <w:r w:rsidRPr="00EC5881">
        <w:rPr>
          <w:rFonts w:cs="Arial"/>
          <w:sz w:val="18"/>
          <w:szCs w:val="22"/>
        </w:rPr>
        <w:t>II/36 - komunikační propojení Klostermannova - Budapešťská</w:t>
      </w:r>
    </w:p>
    <w:p w14:paraId="16D6B6CB"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D52</w:t>
      </w:r>
      <w:r w:rsidRPr="00EC5881">
        <w:rPr>
          <w:rFonts w:cs="Arial"/>
          <w:b/>
          <w:bCs/>
          <w:sz w:val="18"/>
          <w:szCs w:val="22"/>
        </w:rPr>
        <w:tab/>
      </w:r>
      <w:r w:rsidRPr="00EC5881">
        <w:rPr>
          <w:rFonts w:cs="Arial"/>
          <w:sz w:val="18"/>
          <w:szCs w:val="22"/>
        </w:rPr>
        <w:t xml:space="preserve">II/37 - parkoviště P40 ve Slovanské ulici </w:t>
      </w:r>
    </w:p>
    <w:p w14:paraId="462F5832"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D53</w:t>
      </w:r>
      <w:r w:rsidRPr="00EC5881">
        <w:rPr>
          <w:rFonts w:cs="Arial"/>
          <w:b/>
          <w:bCs/>
          <w:sz w:val="18"/>
          <w:szCs w:val="22"/>
        </w:rPr>
        <w:tab/>
      </w:r>
      <w:r w:rsidRPr="00EC5881">
        <w:rPr>
          <w:rFonts w:cs="Arial"/>
          <w:sz w:val="18"/>
          <w:szCs w:val="22"/>
        </w:rPr>
        <w:t xml:space="preserve">II/38 - parkoviště P60 ve Slezské ulici </w:t>
      </w:r>
    </w:p>
    <w:p w14:paraId="215756D3"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D54</w:t>
      </w:r>
      <w:r w:rsidRPr="00EC5881">
        <w:rPr>
          <w:rFonts w:cs="Arial"/>
          <w:b/>
          <w:bCs/>
          <w:sz w:val="18"/>
          <w:szCs w:val="22"/>
        </w:rPr>
        <w:tab/>
      </w:r>
      <w:r w:rsidRPr="00EC5881">
        <w:rPr>
          <w:rFonts w:cs="Arial"/>
          <w:sz w:val="18"/>
          <w:szCs w:val="22"/>
        </w:rPr>
        <w:t>II/39 - rozšíření ul. Za bažantnicí, optimalizace komunikačního propojení</w:t>
      </w:r>
    </w:p>
    <w:p w14:paraId="2EAA9C45"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D55</w:t>
      </w:r>
      <w:r w:rsidRPr="00EC5881">
        <w:rPr>
          <w:rFonts w:cs="Arial"/>
          <w:b/>
          <w:bCs/>
          <w:sz w:val="18"/>
          <w:szCs w:val="22"/>
        </w:rPr>
        <w:tab/>
      </w:r>
      <w:r w:rsidRPr="00EC5881">
        <w:rPr>
          <w:rFonts w:cs="Arial"/>
          <w:sz w:val="18"/>
          <w:szCs w:val="22"/>
        </w:rPr>
        <w:t>II/40 - obratiště pro BUS v Želenicích</w:t>
      </w:r>
    </w:p>
    <w:p w14:paraId="6239BEB5"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D56</w:t>
      </w:r>
      <w:r w:rsidRPr="00EC5881">
        <w:rPr>
          <w:rFonts w:cs="Arial"/>
          <w:b/>
          <w:bCs/>
          <w:sz w:val="18"/>
          <w:szCs w:val="22"/>
        </w:rPr>
        <w:tab/>
      </w:r>
      <w:r w:rsidRPr="00EC5881">
        <w:rPr>
          <w:rFonts w:cs="Arial"/>
          <w:sz w:val="18"/>
          <w:szCs w:val="22"/>
        </w:rPr>
        <w:t>II/41 - halové garáže HG200 v ul. U Tvrze</w:t>
      </w:r>
    </w:p>
    <w:p w14:paraId="5C561612"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D57</w:t>
      </w:r>
      <w:r w:rsidRPr="00EC5881">
        <w:rPr>
          <w:rFonts w:cs="Arial"/>
          <w:b/>
          <w:bCs/>
          <w:sz w:val="18"/>
          <w:szCs w:val="22"/>
        </w:rPr>
        <w:tab/>
      </w:r>
      <w:r w:rsidRPr="00EC5881">
        <w:rPr>
          <w:rFonts w:cs="Arial"/>
          <w:sz w:val="18"/>
          <w:szCs w:val="22"/>
        </w:rPr>
        <w:t>II/42 - parkoviště P67 v Ovocné ulici</w:t>
      </w:r>
    </w:p>
    <w:p w14:paraId="6D999517"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D58</w:t>
      </w:r>
      <w:r w:rsidRPr="00EC5881">
        <w:rPr>
          <w:rFonts w:cs="Arial"/>
          <w:b/>
          <w:bCs/>
          <w:sz w:val="18"/>
          <w:szCs w:val="22"/>
        </w:rPr>
        <w:tab/>
      </w:r>
      <w:r w:rsidRPr="00EC5881">
        <w:rPr>
          <w:rFonts w:cs="Arial"/>
          <w:sz w:val="18"/>
          <w:szCs w:val="22"/>
        </w:rPr>
        <w:t>II/43 - přívoz v Rozbělesích</w:t>
      </w:r>
    </w:p>
    <w:p w14:paraId="37F98A6B" w14:textId="77777777" w:rsidR="00EF1DD2" w:rsidRDefault="00EF1DD2" w:rsidP="00EF1DD2">
      <w:pPr>
        <w:pStyle w:val="Zkladntext"/>
        <w:spacing w:after="0" w:line="288" w:lineRule="auto"/>
        <w:jc w:val="both"/>
        <w:rPr>
          <w:rFonts w:cs="Arial"/>
          <w:b/>
          <w:bCs/>
          <w:caps/>
          <w:sz w:val="18"/>
          <w:szCs w:val="22"/>
        </w:rPr>
      </w:pPr>
    </w:p>
    <w:p w14:paraId="7B3FF678"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t>lokality Sektor III</w:t>
      </w:r>
      <w:r w:rsidRPr="00EC5881">
        <w:rPr>
          <w:rFonts w:cs="Arial"/>
          <w:caps/>
          <w:sz w:val="18"/>
          <w:szCs w:val="22"/>
        </w:rPr>
        <w:t>.</w:t>
      </w:r>
    </w:p>
    <w:p w14:paraId="5FDF645C"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D59</w:t>
      </w:r>
      <w:r w:rsidRPr="00EC5881">
        <w:rPr>
          <w:rFonts w:cs="Arial"/>
          <w:b/>
          <w:bCs/>
          <w:sz w:val="18"/>
          <w:szCs w:val="22"/>
        </w:rPr>
        <w:tab/>
      </w:r>
      <w:r w:rsidRPr="00EC5881">
        <w:rPr>
          <w:rFonts w:cs="Arial"/>
          <w:sz w:val="18"/>
          <w:szCs w:val="22"/>
        </w:rPr>
        <w:t>III/11 - obratiště BUS ve Slovanské ul. Na Letné</w:t>
      </w:r>
    </w:p>
    <w:p w14:paraId="181A068D" w14:textId="77777777" w:rsidR="00EF1DD2" w:rsidRDefault="00EF1DD2" w:rsidP="00EF1DD2">
      <w:pPr>
        <w:pStyle w:val="Zkladntext"/>
        <w:spacing w:after="0" w:line="288" w:lineRule="auto"/>
        <w:jc w:val="both"/>
        <w:rPr>
          <w:rFonts w:cs="Arial"/>
          <w:b/>
          <w:bCs/>
          <w:caps/>
          <w:sz w:val="18"/>
          <w:szCs w:val="22"/>
        </w:rPr>
      </w:pPr>
    </w:p>
    <w:p w14:paraId="3979FCA1"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t>lokality Sektor IV</w:t>
      </w:r>
      <w:r w:rsidRPr="00EC5881">
        <w:rPr>
          <w:rFonts w:cs="Arial"/>
          <w:caps/>
          <w:sz w:val="18"/>
          <w:szCs w:val="22"/>
        </w:rPr>
        <w:t>.</w:t>
      </w:r>
    </w:p>
    <w:p w14:paraId="17DD892D"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D60</w:t>
      </w:r>
      <w:r w:rsidRPr="00EC5881">
        <w:rPr>
          <w:rFonts w:cs="Arial"/>
          <w:b/>
          <w:bCs/>
          <w:sz w:val="18"/>
          <w:szCs w:val="22"/>
        </w:rPr>
        <w:tab/>
      </w:r>
      <w:r w:rsidRPr="00EC5881">
        <w:rPr>
          <w:rFonts w:cs="Arial"/>
          <w:sz w:val="18"/>
          <w:szCs w:val="22"/>
        </w:rPr>
        <w:t>IV/17 - parkoviště P15 u vodní plochy Terezínský rybník</w:t>
      </w:r>
    </w:p>
    <w:p w14:paraId="28E45146"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D61</w:t>
      </w:r>
      <w:r w:rsidRPr="00EC5881">
        <w:rPr>
          <w:rFonts w:cs="Arial"/>
          <w:b/>
          <w:bCs/>
          <w:sz w:val="18"/>
          <w:szCs w:val="22"/>
        </w:rPr>
        <w:tab/>
      </w:r>
      <w:r w:rsidRPr="00EC5881">
        <w:rPr>
          <w:rFonts w:cs="Arial"/>
          <w:sz w:val="18"/>
          <w:szCs w:val="22"/>
        </w:rPr>
        <w:t>IV/22 - hromadná garáž HG200 u výtopny v Bynově</w:t>
      </w:r>
    </w:p>
    <w:p w14:paraId="5A0EC0AC"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D62</w:t>
      </w:r>
      <w:r w:rsidRPr="00EC5881">
        <w:rPr>
          <w:rFonts w:cs="Arial"/>
          <w:b/>
          <w:bCs/>
          <w:sz w:val="18"/>
          <w:szCs w:val="22"/>
        </w:rPr>
        <w:tab/>
      </w:r>
      <w:r w:rsidRPr="00EC5881">
        <w:rPr>
          <w:rFonts w:cs="Arial"/>
          <w:sz w:val="18"/>
          <w:szCs w:val="22"/>
        </w:rPr>
        <w:t>IV/23 - parkoviště u hřiště P50 v Bynově na Teplické ul.</w:t>
      </w:r>
    </w:p>
    <w:p w14:paraId="030262F3"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D63</w:t>
      </w:r>
      <w:r w:rsidRPr="00EC5881">
        <w:rPr>
          <w:rFonts w:cs="Arial"/>
          <w:b/>
          <w:bCs/>
          <w:sz w:val="18"/>
          <w:szCs w:val="22"/>
        </w:rPr>
        <w:tab/>
      </w:r>
      <w:r w:rsidRPr="00EC5881">
        <w:rPr>
          <w:rFonts w:cs="Arial"/>
          <w:sz w:val="18"/>
          <w:szCs w:val="22"/>
        </w:rPr>
        <w:t xml:space="preserve">IV/24 - hromadná garáž HG400 v Bynově na Teplické ul. </w:t>
      </w:r>
    </w:p>
    <w:p w14:paraId="0D9ABD4D"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D64</w:t>
      </w:r>
      <w:r w:rsidRPr="00EC5881">
        <w:rPr>
          <w:rFonts w:cs="Arial"/>
          <w:b/>
          <w:bCs/>
          <w:sz w:val="18"/>
          <w:szCs w:val="22"/>
        </w:rPr>
        <w:tab/>
      </w:r>
      <w:r w:rsidRPr="00EC5881">
        <w:rPr>
          <w:rFonts w:cs="Arial"/>
          <w:sz w:val="18"/>
          <w:szCs w:val="22"/>
        </w:rPr>
        <w:t>IV/25 - obratiště pro BUS v Bynově</w:t>
      </w:r>
    </w:p>
    <w:p w14:paraId="045CEF39" w14:textId="77777777" w:rsidR="00EF1DD2" w:rsidRDefault="00EF1DD2" w:rsidP="00EF1DD2">
      <w:pPr>
        <w:pStyle w:val="Zkladntext"/>
        <w:spacing w:after="0" w:line="288" w:lineRule="auto"/>
        <w:jc w:val="both"/>
        <w:rPr>
          <w:rFonts w:cs="Arial"/>
          <w:b/>
          <w:bCs/>
          <w:caps/>
          <w:sz w:val="18"/>
          <w:szCs w:val="22"/>
        </w:rPr>
      </w:pPr>
    </w:p>
    <w:p w14:paraId="7C520351"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t>lokality Sektor V</w:t>
      </w:r>
      <w:r w:rsidRPr="00EC5881">
        <w:rPr>
          <w:rFonts w:cs="Arial"/>
          <w:caps/>
          <w:sz w:val="18"/>
          <w:szCs w:val="22"/>
        </w:rPr>
        <w:t>.</w:t>
      </w:r>
    </w:p>
    <w:p w14:paraId="715641AB"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(D65</w:t>
      </w:r>
      <w:r w:rsidRPr="00EC5881">
        <w:rPr>
          <w:rFonts w:cs="Arial"/>
          <w:sz w:val="18"/>
          <w:szCs w:val="22"/>
        </w:rPr>
        <w:tab/>
        <w:t>V/4</w:t>
      </w:r>
      <w:r w:rsidRPr="00EC5881">
        <w:rPr>
          <w:rFonts w:cs="Arial"/>
          <w:b/>
          <w:bCs/>
          <w:sz w:val="18"/>
          <w:szCs w:val="22"/>
        </w:rPr>
        <w:t xml:space="preserve"> - výstavba vodního díla byla vyřazena</w:t>
      </w:r>
      <w:r w:rsidRPr="00EC5881">
        <w:rPr>
          <w:rFonts w:cs="Arial"/>
          <w:sz w:val="18"/>
          <w:szCs w:val="22"/>
        </w:rPr>
        <w:t>)</w:t>
      </w:r>
    </w:p>
    <w:p w14:paraId="15223815" w14:textId="77777777" w:rsidR="00EF1DD2" w:rsidRDefault="00EF1DD2" w:rsidP="00EF1DD2">
      <w:pPr>
        <w:pStyle w:val="Zkladntext"/>
        <w:spacing w:after="0" w:line="288" w:lineRule="auto"/>
        <w:jc w:val="both"/>
        <w:rPr>
          <w:rFonts w:cs="Arial"/>
          <w:b/>
          <w:bCs/>
          <w:caps/>
          <w:sz w:val="18"/>
          <w:szCs w:val="22"/>
        </w:rPr>
      </w:pPr>
    </w:p>
    <w:p w14:paraId="5CCE33F3"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t>lokality Sektor VI</w:t>
      </w:r>
      <w:r w:rsidRPr="00EC5881">
        <w:rPr>
          <w:rFonts w:cs="Arial"/>
          <w:caps/>
          <w:sz w:val="18"/>
          <w:szCs w:val="22"/>
        </w:rPr>
        <w:t>.</w:t>
      </w:r>
    </w:p>
    <w:p w14:paraId="6DABE590"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D66</w:t>
      </w:r>
      <w:r w:rsidRPr="00EC5881">
        <w:rPr>
          <w:rFonts w:cs="Arial"/>
          <w:b/>
          <w:bCs/>
          <w:sz w:val="18"/>
          <w:szCs w:val="22"/>
        </w:rPr>
        <w:tab/>
      </w:r>
      <w:r w:rsidRPr="00EC5881">
        <w:rPr>
          <w:rFonts w:cs="Arial"/>
          <w:sz w:val="18"/>
          <w:szCs w:val="22"/>
        </w:rPr>
        <w:t>VI/1 - parkoviště P60 a podzemní PP100 na Kamenické ul.</w:t>
      </w:r>
    </w:p>
    <w:p w14:paraId="7692C1EA"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lastRenderedPageBreak/>
        <w:t>D67</w:t>
      </w:r>
      <w:r w:rsidRPr="00EC5881">
        <w:rPr>
          <w:rFonts w:cs="Arial"/>
          <w:b/>
          <w:bCs/>
          <w:sz w:val="18"/>
          <w:szCs w:val="22"/>
        </w:rPr>
        <w:tab/>
      </w:r>
      <w:r w:rsidRPr="00EC5881">
        <w:rPr>
          <w:rFonts w:cs="Arial"/>
          <w:sz w:val="18"/>
          <w:szCs w:val="22"/>
        </w:rPr>
        <w:t>VI/19 - parkoviště P100 u hřbitova ve Folknářích</w:t>
      </w:r>
    </w:p>
    <w:p w14:paraId="772630E8"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D68</w:t>
      </w:r>
      <w:r w:rsidRPr="00EC5881">
        <w:rPr>
          <w:rFonts w:cs="Arial"/>
          <w:b/>
          <w:bCs/>
          <w:sz w:val="18"/>
          <w:szCs w:val="22"/>
        </w:rPr>
        <w:tab/>
      </w:r>
      <w:r w:rsidRPr="00EC5881">
        <w:rPr>
          <w:rFonts w:cs="Arial"/>
          <w:sz w:val="18"/>
          <w:szCs w:val="22"/>
        </w:rPr>
        <w:t>VI/35 - parkoviště P60 a HG240 v Březinách</w:t>
      </w:r>
    </w:p>
    <w:p w14:paraId="0F2F1AB6"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D69</w:t>
      </w:r>
      <w:r w:rsidRPr="00EC5881">
        <w:rPr>
          <w:rFonts w:cs="Arial"/>
          <w:b/>
          <w:bCs/>
          <w:sz w:val="18"/>
          <w:szCs w:val="22"/>
        </w:rPr>
        <w:tab/>
      </w:r>
      <w:r w:rsidRPr="00EC5881">
        <w:rPr>
          <w:rFonts w:cs="Arial"/>
          <w:sz w:val="18"/>
          <w:szCs w:val="22"/>
        </w:rPr>
        <w:t>VI/36 - podzemní PP60 ve Försterově ul.</w:t>
      </w:r>
    </w:p>
    <w:p w14:paraId="1D207749"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D70</w:t>
      </w:r>
      <w:r w:rsidRPr="00EC5881">
        <w:rPr>
          <w:rFonts w:cs="Arial"/>
          <w:b/>
          <w:bCs/>
          <w:sz w:val="18"/>
          <w:szCs w:val="22"/>
        </w:rPr>
        <w:tab/>
      </w:r>
      <w:r w:rsidRPr="00EC5881">
        <w:rPr>
          <w:rFonts w:cs="Arial"/>
          <w:sz w:val="18"/>
          <w:szCs w:val="22"/>
        </w:rPr>
        <w:t>VI/39 - parkoviště P60+P80+P30 v sídlišti v Březinách</w:t>
      </w:r>
    </w:p>
    <w:p w14:paraId="018CE3B8"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D71</w:t>
      </w:r>
      <w:r w:rsidRPr="00EC5881">
        <w:rPr>
          <w:rFonts w:cs="Arial"/>
          <w:b/>
          <w:bCs/>
          <w:sz w:val="18"/>
          <w:szCs w:val="22"/>
        </w:rPr>
        <w:tab/>
      </w:r>
      <w:r w:rsidRPr="00EC5881">
        <w:rPr>
          <w:rFonts w:cs="Arial"/>
          <w:sz w:val="18"/>
          <w:szCs w:val="22"/>
        </w:rPr>
        <w:t>VI/40 - chodník podél MK od MŠ v Březinách do Libverdy</w:t>
      </w:r>
    </w:p>
    <w:p w14:paraId="1508C62A" w14:textId="77777777" w:rsidR="00EF1DD2" w:rsidRDefault="00EF1DD2" w:rsidP="00EF1DD2">
      <w:pPr>
        <w:pStyle w:val="Zkladntext"/>
        <w:spacing w:after="0" w:line="288" w:lineRule="auto"/>
        <w:jc w:val="both"/>
        <w:rPr>
          <w:rFonts w:cs="Arial"/>
          <w:b/>
          <w:bCs/>
          <w:caps/>
          <w:sz w:val="18"/>
          <w:szCs w:val="22"/>
        </w:rPr>
      </w:pPr>
    </w:p>
    <w:p w14:paraId="0CA6F535"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t>lokality Sektor VII.</w:t>
      </w:r>
    </w:p>
    <w:p w14:paraId="7C1996DA"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D72</w:t>
      </w:r>
      <w:r w:rsidRPr="00EC5881">
        <w:rPr>
          <w:rFonts w:cs="Arial"/>
          <w:b/>
          <w:bCs/>
          <w:sz w:val="18"/>
          <w:szCs w:val="22"/>
        </w:rPr>
        <w:tab/>
      </w:r>
      <w:r w:rsidRPr="00EC5881">
        <w:rPr>
          <w:rFonts w:cs="Arial"/>
          <w:sz w:val="18"/>
          <w:szCs w:val="22"/>
        </w:rPr>
        <w:t>VII/1 - přístupová MK k polyfunkčnímu objektu v Boleticích - u parku</w:t>
      </w:r>
    </w:p>
    <w:p w14:paraId="7CBD3246"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D73</w:t>
      </w:r>
      <w:r w:rsidRPr="00EC5881">
        <w:rPr>
          <w:rFonts w:cs="Arial"/>
          <w:b/>
          <w:bCs/>
          <w:sz w:val="18"/>
          <w:szCs w:val="22"/>
        </w:rPr>
        <w:tab/>
      </w:r>
      <w:r w:rsidRPr="00EC5881">
        <w:rPr>
          <w:rFonts w:cs="Arial"/>
          <w:sz w:val="18"/>
          <w:szCs w:val="22"/>
        </w:rPr>
        <w:t>VII/4 - přístupová MK k polyfunkčnímu objektu a k bytovému domu v Boleticích</w:t>
      </w:r>
    </w:p>
    <w:p w14:paraId="013EA071"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D74</w:t>
      </w:r>
      <w:r w:rsidRPr="00EC5881">
        <w:rPr>
          <w:rFonts w:cs="Arial"/>
          <w:b/>
          <w:bCs/>
          <w:sz w:val="18"/>
          <w:szCs w:val="22"/>
        </w:rPr>
        <w:tab/>
      </w:r>
      <w:r w:rsidRPr="00EC5881">
        <w:rPr>
          <w:rFonts w:cs="Arial"/>
          <w:sz w:val="18"/>
          <w:szCs w:val="22"/>
        </w:rPr>
        <w:t>VII/26 - halová garáž HG200 v Boleticích u trati</w:t>
      </w:r>
    </w:p>
    <w:p w14:paraId="5A9DD003"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D75</w:t>
      </w:r>
      <w:r w:rsidRPr="00EC5881">
        <w:rPr>
          <w:rFonts w:cs="Arial"/>
          <w:b/>
          <w:bCs/>
          <w:sz w:val="18"/>
          <w:szCs w:val="22"/>
        </w:rPr>
        <w:tab/>
      </w:r>
      <w:r w:rsidRPr="00EC5881">
        <w:rPr>
          <w:rFonts w:cs="Arial"/>
          <w:sz w:val="18"/>
          <w:szCs w:val="22"/>
        </w:rPr>
        <w:t>VII/27 - halová garáž HG200 a parkoviště P150 v Boleticích v obytném souboru</w:t>
      </w:r>
    </w:p>
    <w:p w14:paraId="7341EF6F"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D76</w:t>
      </w:r>
      <w:r w:rsidRPr="00EC5881">
        <w:rPr>
          <w:rFonts w:cs="Arial"/>
          <w:b/>
          <w:bCs/>
          <w:sz w:val="18"/>
          <w:szCs w:val="22"/>
        </w:rPr>
        <w:tab/>
      </w:r>
      <w:r w:rsidRPr="00EC5881">
        <w:rPr>
          <w:rFonts w:cs="Arial"/>
          <w:sz w:val="18"/>
          <w:szCs w:val="22"/>
        </w:rPr>
        <w:t>VII/28 - parkoviště P100 v Boleticích v obytném souboru</w:t>
      </w:r>
    </w:p>
    <w:p w14:paraId="438B73A7"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D77</w:t>
      </w:r>
      <w:r w:rsidRPr="00EC5881">
        <w:rPr>
          <w:rFonts w:cs="Arial"/>
          <w:b/>
          <w:bCs/>
          <w:sz w:val="18"/>
          <w:szCs w:val="22"/>
        </w:rPr>
        <w:tab/>
      </w:r>
      <w:r w:rsidRPr="00EC5881">
        <w:rPr>
          <w:rFonts w:cs="Arial"/>
          <w:sz w:val="18"/>
          <w:szCs w:val="22"/>
        </w:rPr>
        <w:t>VII/29 - parkoviště P30 na Kostelní ulici</w:t>
      </w:r>
    </w:p>
    <w:p w14:paraId="57E0B119"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D78</w:t>
      </w:r>
      <w:r w:rsidRPr="00EC5881">
        <w:rPr>
          <w:rFonts w:cs="Arial"/>
          <w:b/>
          <w:bCs/>
          <w:sz w:val="18"/>
          <w:szCs w:val="22"/>
        </w:rPr>
        <w:tab/>
      </w:r>
      <w:r w:rsidRPr="00EC5881">
        <w:rPr>
          <w:rFonts w:cs="Arial"/>
          <w:sz w:val="18"/>
          <w:szCs w:val="22"/>
        </w:rPr>
        <w:t>VII/30 - rekonstrukce a rozšíření Kostelní ulice</w:t>
      </w:r>
    </w:p>
    <w:p w14:paraId="61F6E758"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D79</w:t>
      </w:r>
      <w:r w:rsidRPr="00EC5881">
        <w:rPr>
          <w:rFonts w:cs="Arial"/>
          <w:b/>
          <w:bCs/>
          <w:sz w:val="18"/>
          <w:szCs w:val="22"/>
        </w:rPr>
        <w:tab/>
      </w:r>
      <w:r w:rsidRPr="00EC5881">
        <w:rPr>
          <w:rFonts w:cs="Arial"/>
          <w:sz w:val="18"/>
          <w:szCs w:val="22"/>
        </w:rPr>
        <w:t>VII/32 - rekonstrukce, rozšíření profilu v oblouku silnice II/261 v Nebočadech</w:t>
      </w:r>
    </w:p>
    <w:p w14:paraId="5815FDF3"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D80</w:t>
      </w:r>
      <w:r w:rsidRPr="00EC5881">
        <w:rPr>
          <w:rFonts w:cs="Arial"/>
          <w:b/>
          <w:bCs/>
          <w:sz w:val="18"/>
          <w:szCs w:val="22"/>
        </w:rPr>
        <w:tab/>
      </w:r>
      <w:r w:rsidRPr="00EC5881">
        <w:rPr>
          <w:rFonts w:cs="Arial"/>
          <w:sz w:val="18"/>
          <w:szCs w:val="22"/>
        </w:rPr>
        <w:t>VII/33 - obratiště BUS v Jakubech</w:t>
      </w:r>
    </w:p>
    <w:p w14:paraId="5EBC2B17" w14:textId="77777777" w:rsidR="00EF1DD2" w:rsidRDefault="00EF1DD2" w:rsidP="00EF1DD2">
      <w:pPr>
        <w:pStyle w:val="Zkladntext"/>
        <w:spacing w:after="0" w:line="288" w:lineRule="auto"/>
        <w:jc w:val="both"/>
        <w:rPr>
          <w:rFonts w:cs="Arial"/>
          <w:b/>
          <w:bCs/>
          <w:caps/>
          <w:sz w:val="18"/>
          <w:szCs w:val="22"/>
        </w:rPr>
      </w:pPr>
    </w:p>
    <w:p w14:paraId="73CE0D0F" w14:textId="77777777" w:rsidR="00EF1DD2" w:rsidRPr="00EC5881" w:rsidRDefault="00EF1DD2" w:rsidP="00EF1DD2">
      <w:pPr>
        <w:pStyle w:val="Zkladntext"/>
        <w:spacing w:after="0" w:line="288" w:lineRule="auto"/>
        <w:jc w:val="both"/>
        <w:rPr>
          <w:rFonts w:cs="Arial"/>
          <w:sz w:val="18"/>
          <w:szCs w:val="22"/>
        </w:rPr>
      </w:pPr>
      <w:r w:rsidRPr="00EC5881">
        <w:rPr>
          <w:rFonts w:cs="Arial"/>
          <w:b/>
          <w:bCs/>
          <w:caps/>
          <w:sz w:val="18"/>
          <w:szCs w:val="22"/>
        </w:rPr>
        <w:t>lokality Sektor VIII.</w:t>
      </w:r>
    </w:p>
    <w:p w14:paraId="42D7F461"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D81</w:t>
      </w:r>
      <w:r w:rsidRPr="00EC5881">
        <w:rPr>
          <w:rFonts w:cs="Arial"/>
          <w:b/>
          <w:bCs/>
          <w:sz w:val="18"/>
          <w:szCs w:val="22"/>
        </w:rPr>
        <w:tab/>
      </w:r>
      <w:r w:rsidRPr="00EC5881">
        <w:rPr>
          <w:rFonts w:cs="Arial"/>
          <w:sz w:val="18"/>
          <w:szCs w:val="22"/>
        </w:rPr>
        <w:t>VIII/3 - parkoviště P20 v Maxičkách</w:t>
      </w:r>
    </w:p>
    <w:p w14:paraId="71C717DC"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D82</w:t>
      </w:r>
      <w:r w:rsidRPr="00EC5881">
        <w:rPr>
          <w:rFonts w:cs="Arial"/>
          <w:b/>
          <w:bCs/>
          <w:sz w:val="18"/>
          <w:szCs w:val="22"/>
        </w:rPr>
        <w:tab/>
      </w:r>
      <w:r w:rsidRPr="00EC5881">
        <w:rPr>
          <w:rFonts w:cs="Arial"/>
          <w:sz w:val="18"/>
          <w:szCs w:val="22"/>
        </w:rPr>
        <w:t xml:space="preserve">VIII/4 - rekonstrukce komunikace (lesní cesty) vedené od Maxiček do Dolního Žlebu </w:t>
      </w:r>
    </w:p>
    <w:p w14:paraId="7DEB3EF7" w14:textId="77777777" w:rsidR="00EF1DD2" w:rsidRPr="00EC5881" w:rsidRDefault="00EF1DD2" w:rsidP="00EF1DD2">
      <w:pPr>
        <w:pStyle w:val="Zkladntext"/>
        <w:spacing w:after="0" w:line="288" w:lineRule="auto"/>
        <w:jc w:val="both"/>
        <w:rPr>
          <w:rFonts w:cs="Arial"/>
          <w:sz w:val="18"/>
          <w:szCs w:val="22"/>
        </w:rPr>
      </w:pPr>
    </w:p>
    <w:p w14:paraId="44DB873C" w14:textId="77777777" w:rsidR="00EF1DD2" w:rsidRPr="00EC5881" w:rsidRDefault="00EF1DD2" w:rsidP="00EF1DD2">
      <w:pPr>
        <w:pStyle w:val="podnadpis2"/>
        <w:spacing w:before="0" w:after="0" w:line="288" w:lineRule="auto"/>
        <w:jc w:val="both"/>
        <w:rPr>
          <w:rFonts w:cs="Arial"/>
          <w:szCs w:val="28"/>
        </w:rPr>
      </w:pPr>
      <w:r w:rsidRPr="00EC5881">
        <w:rPr>
          <w:rFonts w:cs="Arial"/>
          <w:szCs w:val="28"/>
        </w:rPr>
        <w:t>VEŘEJNĚ PROSPĚŠNÉ STAVBY VODNÍHO HOSPODÁŘSTVÍ</w:t>
      </w:r>
    </w:p>
    <w:p w14:paraId="34DFEC3A" w14:textId="77777777" w:rsidR="00EF1DD2" w:rsidRDefault="00EF1DD2" w:rsidP="00EF1DD2">
      <w:pPr>
        <w:pStyle w:val="podnadpis2"/>
        <w:spacing w:before="0" w:after="0" w:line="288" w:lineRule="auto"/>
        <w:jc w:val="both"/>
        <w:rPr>
          <w:rFonts w:cs="Arial"/>
        </w:rPr>
      </w:pPr>
    </w:p>
    <w:p w14:paraId="0D764856" w14:textId="77777777" w:rsidR="00EF1DD2" w:rsidRPr="00EC5881" w:rsidRDefault="00EF1DD2" w:rsidP="00EF1DD2">
      <w:pPr>
        <w:pStyle w:val="podnadpis2"/>
        <w:spacing w:before="0" w:after="0" w:line="288" w:lineRule="auto"/>
        <w:jc w:val="both"/>
        <w:rPr>
          <w:rFonts w:cs="Arial"/>
        </w:rPr>
      </w:pPr>
      <w:r w:rsidRPr="00EC5881">
        <w:rPr>
          <w:rFonts w:cs="Arial"/>
        </w:rPr>
        <w:t>zásobování vodou</w:t>
      </w:r>
    </w:p>
    <w:p w14:paraId="0DC1C7DD"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V1</w:t>
      </w:r>
      <w:r w:rsidRPr="00EC5881">
        <w:rPr>
          <w:rFonts w:cs="Arial"/>
          <w:sz w:val="18"/>
          <w:szCs w:val="22"/>
        </w:rPr>
        <w:tab/>
        <w:t>Vodojem Letná 150m</w:t>
      </w:r>
      <w:r w:rsidRPr="00EC5881">
        <w:rPr>
          <w:rFonts w:cs="Arial"/>
          <w:sz w:val="18"/>
          <w:szCs w:val="22"/>
          <w:vertAlign w:val="superscript"/>
        </w:rPr>
        <w:t>3</w:t>
      </w:r>
      <w:r w:rsidRPr="00EC5881">
        <w:rPr>
          <w:rFonts w:cs="Arial"/>
          <w:sz w:val="18"/>
          <w:szCs w:val="22"/>
        </w:rPr>
        <w:t xml:space="preserve"> a zásobní řady pro navrženou zásobu</w:t>
      </w:r>
    </w:p>
    <w:p w14:paraId="5E1D1ABC"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V2</w:t>
      </w:r>
      <w:r w:rsidRPr="00EC5881">
        <w:rPr>
          <w:rFonts w:cs="Arial"/>
          <w:sz w:val="18"/>
          <w:szCs w:val="22"/>
        </w:rPr>
        <w:tab/>
        <w:t>Nový přívodní řad z vodojemu Václavov do vodojemu Popovice DN 100 a zásobní řady pro navrženou zástavbu z vodojemu Popovice</w:t>
      </w:r>
    </w:p>
    <w:p w14:paraId="1D979A02" w14:textId="77777777" w:rsidR="00EF1DD2" w:rsidRDefault="00EF1DD2" w:rsidP="00EF1DD2">
      <w:pPr>
        <w:pStyle w:val="podnadpis2"/>
        <w:spacing w:before="0" w:after="0" w:line="288" w:lineRule="auto"/>
        <w:jc w:val="both"/>
        <w:rPr>
          <w:rFonts w:cs="Arial"/>
          <w:sz w:val="18"/>
          <w:szCs w:val="22"/>
        </w:rPr>
      </w:pPr>
    </w:p>
    <w:p w14:paraId="5BFBEDEE" w14:textId="77777777" w:rsidR="00EF1DD2" w:rsidRPr="00EC5881" w:rsidRDefault="00EF1DD2" w:rsidP="00EF1DD2">
      <w:pPr>
        <w:pStyle w:val="podnadpis2"/>
        <w:spacing w:before="0" w:after="0" w:line="288" w:lineRule="auto"/>
        <w:jc w:val="both"/>
        <w:rPr>
          <w:rFonts w:cs="Arial"/>
          <w:sz w:val="18"/>
          <w:szCs w:val="22"/>
        </w:rPr>
      </w:pPr>
      <w:r w:rsidRPr="00EC5881">
        <w:rPr>
          <w:rFonts w:cs="Arial"/>
          <w:sz w:val="18"/>
          <w:szCs w:val="22"/>
        </w:rPr>
        <w:t>likvidace odpadních vod</w:t>
      </w:r>
    </w:p>
    <w:p w14:paraId="6AE3ADEF" w14:textId="77777777" w:rsidR="00EF1DD2" w:rsidRDefault="00EF1DD2" w:rsidP="00EF1DD2">
      <w:pPr>
        <w:pStyle w:val="Zkladntext"/>
        <w:spacing w:after="0" w:line="288" w:lineRule="auto"/>
        <w:ind w:left="709" w:hanging="709"/>
        <w:jc w:val="both"/>
        <w:rPr>
          <w:rFonts w:cs="Arial"/>
          <w:b/>
          <w:bCs/>
          <w:sz w:val="18"/>
          <w:szCs w:val="22"/>
        </w:rPr>
      </w:pPr>
    </w:p>
    <w:p w14:paraId="3B9487EF"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K1</w:t>
      </w:r>
      <w:r w:rsidRPr="00EC5881">
        <w:rPr>
          <w:rFonts w:cs="Arial"/>
          <w:sz w:val="18"/>
          <w:szCs w:val="22"/>
        </w:rPr>
        <w:tab/>
        <w:t>Splašková kanalizace DN 300 (250) v Oldřichově Jelení ulici v úseku od železničního podjezdu na konec stávající zástavby</w:t>
      </w:r>
    </w:p>
    <w:p w14:paraId="4C2FBB0F"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K2</w:t>
      </w:r>
      <w:r w:rsidRPr="00EC5881">
        <w:rPr>
          <w:rFonts w:cs="Arial"/>
          <w:sz w:val="18"/>
          <w:szCs w:val="22"/>
        </w:rPr>
        <w:t xml:space="preserve"> </w:t>
      </w:r>
      <w:r w:rsidRPr="00EC5881">
        <w:rPr>
          <w:rFonts w:cs="Arial"/>
          <w:sz w:val="18"/>
          <w:szCs w:val="22"/>
        </w:rPr>
        <w:tab/>
        <w:t>Splašková kanalizace v celé lokalitě Oldřichov</w:t>
      </w:r>
    </w:p>
    <w:p w14:paraId="5E28031E"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K3</w:t>
      </w:r>
      <w:r w:rsidRPr="00EC5881">
        <w:rPr>
          <w:rFonts w:cs="Arial"/>
          <w:sz w:val="18"/>
          <w:szCs w:val="22"/>
        </w:rPr>
        <w:t xml:space="preserve"> </w:t>
      </w:r>
      <w:r w:rsidRPr="00EC5881">
        <w:rPr>
          <w:rFonts w:cs="Arial"/>
          <w:sz w:val="18"/>
          <w:szCs w:val="22"/>
        </w:rPr>
        <w:tab/>
        <w:t>Obnova dešťového odvodnění Oldřichov (kombinace zatrubněných úseků s příkopy) v celé lokalitě</w:t>
      </w:r>
    </w:p>
    <w:p w14:paraId="400C797A"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K4</w:t>
      </w:r>
      <w:r w:rsidRPr="00EC5881">
        <w:rPr>
          <w:rFonts w:cs="Arial"/>
          <w:sz w:val="18"/>
          <w:szCs w:val="22"/>
        </w:rPr>
        <w:tab/>
        <w:t>Splašková kanalizace v ulicích "U Korkárny" a "Pod vrchem" v Bynově</w:t>
      </w:r>
    </w:p>
    <w:p w14:paraId="399D2685"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K5</w:t>
      </w:r>
      <w:r w:rsidRPr="00EC5881">
        <w:rPr>
          <w:rFonts w:cs="Arial"/>
          <w:sz w:val="18"/>
          <w:szCs w:val="22"/>
        </w:rPr>
        <w:tab/>
        <w:t>Jednotná kanalizace v "Kyjevské ulici " Bynov</w:t>
      </w:r>
    </w:p>
    <w:p w14:paraId="5CDB970E"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K6</w:t>
      </w:r>
      <w:r w:rsidRPr="00EC5881">
        <w:rPr>
          <w:rFonts w:cs="Arial"/>
          <w:sz w:val="18"/>
          <w:szCs w:val="22"/>
        </w:rPr>
        <w:tab/>
        <w:t>Dešťové odvodnění Lesní cesty Bynov. Jedná se o kombinaci otevřeného příkopu a zatrubněné stoky odvádějících povrchové vody do Jílovského potoka</w:t>
      </w:r>
    </w:p>
    <w:p w14:paraId="6F3ECCA6"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K7</w:t>
      </w:r>
      <w:r w:rsidRPr="00EC5881">
        <w:rPr>
          <w:rFonts w:cs="Arial"/>
          <w:sz w:val="18"/>
          <w:szCs w:val="22"/>
        </w:rPr>
        <w:tab/>
        <w:t>Splašková a dešťová kanalizace v ulici Červený vrch, čerpací stanice splašků</w:t>
      </w:r>
    </w:p>
    <w:p w14:paraId="573DF0F8"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K8</w:t>
      </w:r>
      <w:r w:rsidRPr="00EC5881">
        <w:rPr>
          <w:rFonts w:cs="Arial"/>
          <w:sz w:val="18"/>
          <w:szCs w:val="22"/>
        </w:rPr>
        <w:tab/>
        <w:t>Dešťová kanalizace v ulici "Pod Svahem"</w:t>
      </w:r>
    </w:p>
    <w:p w14:paraId="7E522CE3"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K9</w:t>
      </w:r>
      <w:r w:rsidRPr="00EC5881">
        <w:rPr>
          <w:rFonts w:cs="Arial"/>
          <w:sz w:val="18"/>
          <w:szCs w:val="22"/>
        </w:rPr>
        <w:tab/>
        <w:t>Napojení kanalizace Nového města, podchycení jednotlivých vyústí novou kanalizací v ulici Labská svedené do navržené čerpací stanice Maroldova, odtud výtlačný řad do stoky XXIV.</w:t>
      </w:r>
    </w:p>
    <w:p w14:paraId="3190F5A7"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K10</w:t>
      </w:r>
      <w:r w:rsidRPr="00EC5881">
        <w:rPr>
          <w:rFonts w:cs="Arial"/>
          <w:sz w:val="18"/>
          <w:szCs w:val="22"/>
        </w:rPr>
        <w:tab/>
        <w:t>Dešťová kanalizace v ulici "V Sadech" – Nové město</w:t>
      </w:r>
    </w:p>
    <w:p w14:paraId="212CE4CE"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K11</w:t>
      </w:r>
      <w:r w:rsidRPr="00EC5881">
        <w:rPr>
          <w:rFonts w:cs="Arial"/>
          <w:sz w:val="18"/>
          <w:szCs w:val="22"/>
        </w:rPr>
        <w:tab/>
        <w:t>Dešťová a splašková kanalizace v celé ulici "Za Sadem" v Březinách. Řešení spočívá v odkanalizování dolní a zvlášť horní části ulice včetně zachycení extravilánových vod a podchycení stávající kanalizace</w:t>
      </w:r>
    </w:p>
    <w:p w14:paraId="52528435"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K12</w:t>
      </w:r>
      <w:r w:rsidRPr="00EC5881">
        <w:rPr>
          <w:rFonts w:cs="Arial"/>
          <w:sz w:val="18"/>
          <w:szCs w:val="22"/>
        </w:rPr>
        <w:tab/>
        <w:t>Splašková kanalizace v Březové ulici Březiny</w:t>
      </w:r>
    </w:p>
    <w:p w14:paraId="42A6C922"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K13</w:t>
      </w:r>
      <w:r w:rsidRPr="00EC5881">
        <w:rPr>
          <w:rFonts w:cs="Arial"/>
          <w:sz w:val="18"/>
          <w:szCs w:val="22"/>
        </w:rPr>
        <w:tab/>
        <w:t>Splašková kanalizace Folknářská: podchycení stávající stoky a převedení do stoky Liberecká</w:t>
      </w:r>
    </w:p>
    <w:p w14:paraId="137EFC10"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K14</w:t>
      </w:r>
      <w:r w:rsidRPr="00EC5881">
        <w:rPr>
          <w:rFonts w:cs="Arial"/>
          <w:sz w:val="18"/>
          <w:szCs w:val="22"/>
        </w:rPr>
        <w:tab/>
        <w:t>Splašková kanalizace v ulicích Záhořova, U dvora a Kotlářská</w:t>
      </w:r>
    </w:p>
    <w:p w14:paraId="0998BC12"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K15</w:t>
      </w:r>
      <w:r w:rsidRPr="00EC5881">
        <w:rPr>
          <w:rFonts w:cs="Arial"/>
          <w:sz w:val="18"/>
          <w:szCs w:val="22"/>
        </w:rPr>
        <w:tab/>
        <w:t>Odvodnění v ulici "U dvora a Kotlářská"</w:t>
      </w:r>
    </w:p>
    <w:p w14:paraId="4373B23D"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lastRenderedPageBreak/>
        <w:t>K16</w:t>
      </w:r>
      <w:r w:rsidRPr="00EC5881">
        <w:rPr>
          <w:rFonts w:cs="Arial"/>
          <w:sz w:val="18"/>
          <w:szCs w:val="22"/>
        </w:rPr>
        <w:tab/>
        <w:t>Splašková kanalizace v ulicích Staroměstské nábřeží, U trati, Sochorova, Koperníkova, Na točně, Havlíčkova, Dlouhá, Šikmá, Průchodní, Zemědělská, U Sokolovny převážně v Křešicích. Stoky svedené do čerpací stanice navržené pro tuto část, výtlačný řad a gravitační stoka do hlavní čerpací stanice Křešice</w:t>
      </w:r>
    </w:p>
    <w:p w14:paraId="4889B4BD"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K17</w:t>
      </w:r>
      <w:r w:rsidRPr="00EC5881">
        <w:rPr>
          <w:rFonts w:cs="Arial"/>
          <w:sz w:val="18"/>
          <w:szCs w:val="22"/>
        </w:rPr>
        <w:tab/>
        <w:t>Splašková kanalizace v ulicích Družinová, Klicperova, U školy, Potoční, Luční, hlavní čerpací stanice</w:t>
      </w:r>
    </w:p>
    <w:p w14:paraId="65E783AF"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K18</w:t>
      </w:r>
      <w:r w:rsidRPr="00EC5881">
        <w:rPr>
          <w:rFonts w:cs="Arial"/>
          <w:sz w:val="18"/>
          <w:szCs w:val="22"/>
        </w:rPr>
        <w:tab/>
        <w:t>Křešice a výtlačný řad do výtlaku "A" k ČOV</w:t>
      </w:r>
    </w:p>
    <w:p w14:paraId="7DB3C648"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K19</w:t>
      </w:r>
      <w:r w:rsidRPr="00EC5881">
        <w:rPr>
          <w:rFonts w:cs="Arial"/>
          <w:sz w:val="18"/>
          <w:szCs w:val="22"/>
        </w:rPr>
        <w:tab/>
        <w:t>Splašková kanalizace v ulicích "u Přívozu" a "Polabí" a přečerpání do hlavního systému města</w:t>
      </w:r>
    </w:p>
    <w:p w14:paraId="74CAC611"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K20</w:t>
      </w:r>
      <w:r w:rsidRPr="00EC5881">
        <w:rPr>
          <w:rFonts w:cs="Arial"/>
          <w:sz w:val="18"/>
          <w:szCs w:val="22"/>
        </w:rPr>
        <w:tab/>
        <w:t>Splašková kanalizace v celé lokalitě Krásný Studenec, zahrnutí vybudování splaškové kanalizace v ulicích "Na Skluzu" a "Hraniční" a svedení do stoky v ulici Krásnostudenecké. Napojení je podmíněno rekonstrukcí stávající stoky Krásnostudenecká a Novoměstská na potřebný profil</w:t>
      </w:r>
    </w:p>
    <w:p w14:paraId="221D7B94"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K21</w:t>
      </w:r>
      <w:r w:rsidRPr="00EC5881">
        <w:rPr>
          <w:rFonts w:cs="Arial"/>
          <w:sz w:val="18"/>
          <w:szCs w:val="22"/>
        </w:rPr>
        <w:tab/>
        <w:t>Splašková kanalizace v ulici Rokycanova Chrochvice a přečerpání do stoky v ulici Novoměstské</w:t>
      </w:r>
    </w:p>
    <w:p w14:paraId="601AAAEA"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K22</w:t>
      </w:r>
      <w:r w:rsidRPr="00EC5881">
        <w:rPr>
          <w:rFonts w:cs="Arial"/>
          <w:sz w:val="18"/>
          <w:szCs w:val="22"/>
        </w:rPr>
        <w:tab/>
        <w:t>Odvodnění komunikace Jílovská - Chrochvice, Krásný studenec</w:t>
      </w:r>
    </w:p>
    <w:p w14:paraId="7A1BBE27"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K23</w:t>
      </w:r>
      <w:r w:rsidRPr="00EC5881">
        <w:rPr>
          <w:rFonts w:cs="Arial"/>
          <w:sz w:val="18"/>
          <w:szCs w:val="22"/>
        </w:rPr>
        <w:tab/>
        <w:t>Splašková kanalizace v ulici "V Lukách" od nové zástavby do ulice Vilsnické (stoku nutno též vybudovat) a napojit na navrhovanou stoku v ulici Květinové pobřežní sběrač a přečerpání do výtlaku A.</w:t>
      </w:r>
    </w:p>
    <w:p w14:paraId="155AD4A2"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K24</w:t>
      </w:r>
      <w:r w:rsidRPr="00EC5881">
        <w:rPr>
          <w:rFonts w:cs="Arial"/>
          <w:sz w:val="18"/>
          <w:szCs w:val="22"/>
        </w:rPr>
        <w:tab/>
        <w:t>Splašková kanalizace v ulici Květinové Chmelnice a v příslušně spádované části Vilsnické ulice</w:t>
      </w:r>
    </w:p>
    <w:p w14:paraId="589C0512"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K25</w:t>
      </w:r>
      <w:r w:rsidRPr="00EC5881">
        <w:rPr>
          <w:rFonts w:cs="Arial"/>
          <w:sz w:val="18"/>
          <w:szCs w:val="22"/>
        </w:rPr>
        <w:tab/>
        <w:t>Splašková kanalizace Třešňová (do Květinové)</w:t>
      </w:r>
    </w:p>
    <w:p w14:paraId="747B628C"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K26</w:t>
      </w:r>
      <w:r w:rsidRPr="00EC5881">
        <w:rPr>
          <w:rFonts w:cs="Arial"/>
          <w:sz w:val="18"/>
          <w:szCs w:val="22"/>
        </w:rPr>
        <w:tab/>
        <w:t>Splašková kanalizace Višňová, Vřesová a Chmelnická Vilsnice. Nutno zajistit převedení k ČOV Děčín v Boleticích. Ve vyjmenovaných ulicích je návrh omezen stávající zástavbou, tj. od stávající kanalizace proti proudu na konec dnešní zástavby</w:t>
      </w:r>
    </w:p>
    <w:p w14:paraId="3C807AFD"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K27</w:t>
      </w:r>
      <w:r w:rsidRPr="00EC5881">
        <w:rPr>
          <w:rFonts w:cs="Arial"/>
          <w:sz w:val="18"/>
          <w:szCs w:val="22"/>
        </w:rPr>
        <w:tab/>
        <w:t>Jednotná kanalizace v ulici Lidické a části Kladské svedené do stávající stoky v Dělnické ulici Rozbělesy</w:t>
      </w:r>
    </w:p>
    <w:p w14:paraId="27FB0591"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K28</w:t>
      </w:r>
      <w:r w:rsidRPr="00EC5881">
        <w:rPr>
          <w:rFonts w:cs="Arial"/>
          <w:sz w:val="18"/>
          <w:szCs w:val="22"/>
        </w:rPr>
        <w:tab/>
        <w:t>Jednotná kanalizace ve zbylé části ulice Kladské (u sv. Jana) a to v úseku od ulice Jiřího z Poděbrad do stávající stoky v Dělnické ulici</w:t>
      </w:r>
    </w:p>
    <w:p w14:paraId="6411545B"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K29</w:t>
      </w:r>
      <w:r w:rsidRPr="00EC5881">
        <w:rPr>
          <w:rFonts w:cs="Arial"/>
          <w:sz w:val="18"/>
          <w:szCs w:val="22"/>
        </w:rPr>
        <w:tab/>
        <w:t>Odvodnění ulice "Na Spádu" Škrabky a to v úseku od ulice "Pod lesem" do Terezínského rybníka</w:t>
      </w:r>
    </w:p>
    <w:p w14:paraId="07DE083F"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K30</w:t>
      </w:r>
      <w:r w:rsidRPr="00EC5881">
        <w:rPr>
          <w:rFonts w:cs="Arial"/>
          <w:sz w:val="18"/>
          <w:szCs w:val="22"/>
        </w:rPr>
        <w:tab/>
        <w:t>Splašková kanalizace v ulicích Zahradní a Vančurova Škrabky</w:t>
      </w:r>
    </w:p>
    <w:p w14:paraId="6BEEFC8D"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K31</w:t>
      </w:r>
      <w:r w:rsidRPr="00EC5881">
        <w:rPr>
          <w:rFonts w:cs="Arial"/>
          <w:sz w:val="18"/>
          <w:szCs w:val="22"/>
        </w:rPr>
        <w:tab/>
        <w:t>Splašková kanalizace Žitná, Pod hřištěm a 5. května a Pod Úvozem v Jalůvčí a zajištění převedení do systému městské kanalizace. Stoku u Jalůvčí (VII) podchytit a zajistit přečerpání odpadních vod do hlavních sběračů. (čerpací stanice a výtlak) odvodnění Žitné a 5. května v Jalůvčí</w:t>
      </w:r>
    </w:p>
    <w:p w14:paraId="4A5B98BF"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K32</w:t>
      </w:r>
      <w:r w:rsidRPr="00EC5881">
        <w:rPr>
          <w:rFonts w:cs="Arial"/>
          <w:sz w:val="18"/>
          <w:szCs w:val="22"/>
        </w:rPr>
        <w:tab/>
        <w:t>Splašková kanalizace v Bělé v ulicích Jasná, Včelná, Saská, Družstevní, Tělocvičná se svedením do stávající kanalizace DN 1000 v Saské ulici</w:t>
      </w:r>
    </w:p>
    <w:p w14:paraId="36FFA40A"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K33</w:t>
      </w:r>
      <w:r w:rsidRPr="00EC5881">
        <w:rPr>
          <w:rFonts w:cs="Arial"/>
          <w:sz w:val="18"/>
          <w:szCs w:val="22"/>
        </w:rPr>
        <w:tab/>
        <w:t>Jednotná kanalizace ve Sněžnické ulici (Čechy)</w:t>
      </w:r>
    </w:p>
    <w:p w14:paraId="0844E682"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K34</w:t>
      </w:r>
      <w:r w:rsidRPr="00EC5881">
        <w:rPr>
          <w:rFonts w:cs="Arial"/>
          <w:sz w:val="18"/>
          <w:szCs w:val="22"/>
        </w:rPr>
        <w:tab/>
        <w:t>Podtlaková splašková kanalizace v ulicích "Ke trati" a "Říčná" splašková kanalizace v ulici Neumanově a převedení splašků z jmenovaných ulic do stávající stoky v ulici Vítězství</w:t>
      </w:r>
    </w:p>
    <w:p w14:paraId="564BB8A8"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K35</w:t>
      </w:r>
      <w:r w:rsidRPr="00EC5881">
        <w:rPr>
          <w:rFonts w:cs="Arial"/>
          <w:sz w:val="18"/>
          <w:szCs w:val="22"/>
        </w:rPr>
        <w:tab/>
        <w:t>Splašková kanalizace v celé lokalitě Folknáře. Jedna větev do Folknářské, druhá do Liberecké</w:t>
      </w:r>
    </w:p>
    <w:p w14:paraId="31F7DE0C"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K36</w:t>
      </w:r>
      <w:r w:rsidRPr="00EC5881">
        <w:rPr>
          <w:rFonts w:cs="Arial"/>
          <w:sz w:val="18"/>
          <w:szCs w:val="22"/>
        </w:rPr>
        <w:tab/>
        <w:t>Splašková kanalizace v ulici Kamenná Boletice</w:t>
      </w:r>
    </w:p>
    <w:p w14:paraId="0D0E441C"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K37</w:t>
      </w:r>
      <w:r w:rsidRPr="00EC5881">
        <w:rPr>
          <w:rFonts w:cs="Arial"/>
          <w:sz w:val="18"/>
          <w:szCs w:val="22"/>
        </w:rPr>
        <w:tab/>
        <w:t>Splašková kanalizace Nebočady, přečerpání do Boletic</w:t>
      </w:r>
    </w:p>
    <w:p w14:paraId="7757A02A"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K38</w:t>
      </w:r>
      <w:r w:rsidRPr="00EC5881">
        <w:rPr>
          <w:rFonts w:cs="Arial"/>
          <w:sz w:val="18"/>
          <w:szCs w:val="22"/>
        </w:rPr>
        <w:tab/>
        <w:t>Napojení stoky VI. "Teplická ulice" akce sestává z čerpací odpadních vod Teplická, čerpací stanice odpadních vod Pastýřská výtlaku V4 a V3 zajišťující po přepojení přečerpání do sběrače B</w:t>
      </w:r>
    </w:p>
    <w:p w14:paraId="77A85BB9"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K39</w:t>
      </w:r>
      <w:r w:rsidRPr="00EC5881">
        <w:rPr>
          <w:rFonts w:cs="Arial"/>
          <w:sz w:val="18"/>
          <w:szCs w:val="22"/>
        </w:rPr>
        <w:tab/>
        <w:t>Podchycení odpadních vod z povodí stoky VII. sestává z čerpací stanice Přípeř a výtlačného řadu do čerpací stanice Pastýřská. (Spolu s odpadními vodami z Červeného vrchu po vybudování zde navržené splaškové kanalizace.)</w:t>
      </w:r>
    </w:p>
    <w:p w14:paraId="10D3BAC7"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K40</w:t>
      </w:r>
      <w:r w:rsidRPr="00EC5881">
        <w:rPr>
          <w:rFonts w:cs="Arial"/>
          <w:sz w:val="18"/>
          <w:szCs w:val="22"/>
        </w:rPr>
        <w:tab/>
        <w:t>Přečerpání odpadních vod z povodí stoky XXV. do stoky XIV.</w:t>
      </w:r>
    </w:p>
    <w:p w14:paraId="25B10D6E"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K41</w:t>
      </w:r>
      <w:r w:rsidRPr="00EC5881">
        <w:rPr>
          <w:rFonts w:cs="Arial"/>
          <w:b/>
          <w:bCs/>
          <w:sz w:val="18"/>
          <w:szCs w:val="22"/>
        </w:rPr>
        <w:tab/>
      </w:r>
      <w:r w:rsidRPr="00EC5881">
        <w:rPr>
          <w:rFonts w:cs="Arial"/>
          <w:sz w:val="18"/>
          <w:szCs w:val="22"/>
        </w:rPr>
        <w:t>Odpadní vody ze stoky XXVI. přečerpat do stoky v Provaznické ulici</w:t>
      </w:r>
    </w:p>
    <w:p w14:paraId="145D0417"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K42</w:t>
      </w:r>
      <w:r w:rsidRPr="00EC5881">
        <w:rPr>
          <w:rFonts w:cs="Arial"/>
          <w:sz w:val="18"/>
          <w:szCs w:val="22"/>
        </w:rPr>
        <w:tab/>
        <w:t>Podchycení extravilánových vod (Březiny, Boletice n. L., Letná)</w:t>
      </w:r>
    </w:p>
    <w:p w14:paraId="4F7292A3" w14:textId="77777777" w:rsidR="00EF1DD2" w:rsidRDefault="00EF1DD2" w:rsidP="00EF1DD2">
      <w:pPr>
        <w:pStyle w:val="podnadpis2"/>
        <w:spacing w:before="0" w:after="0" w:line="288" w:lineRule="auto"/>
        <w:jc w:val="both"/>
        <w:rPr>
          <w:rFonts w:cs="Arial"/>
        </w:rPr>
      </w:pPr>
    </w:p>
    <w:p w14:paraId="79705E76" w14:textId="77777777" w:rsidR="00EF1DD2" w:rsidRPr="00EC5881" w:rsidRDefault="00EF1DD2" w:rsidP="00EF1DD2">
      <w:pPr>
        <w:pStyle w:val="podnadpis2"/>
        <w:spacing w:before="0" w:after="0" w:line="288" w:lineRule="auto"/>
        <w:jc w:val="both"/>
        <w:rPr>
          <w:rFonts w:cs="Arial"/>
        </w:rPr>
      </w:pPr>
      <w:r w:rsidRPr="00EC5881">
        <w:rPr>
          <w:rFonts w:cs="Arial"/>
        </w:rPr>
        <w:t>úpravy vodních toků</w:t>
      </w:r>
    </w:p>
    <w:p w14:paraId="66E4E09B" w14:textId="77777777" w:rsidR="00EF1DD2" w:rsidRDefault="00EF1DD2" w:rsidP="00EF1DD2">
      <w:pPr>
        <w:pStyle w:val="Zkladntext"/>
        <w:spacing w:after="0" w:line="288" w:lineRule="auto"/>
        <w:jc w:val="both"/>
        <w:rPr>
          <w:rFonts w:cs="Arial"/>
          <w:b/>
          <w:bCs/>
          <w:sz w:val="18"/>
          <w:szCs w:val="22"/>
        </w:rPr>
      </w:pPr>
    </w:p>
    <w:p w14:paraId="7589915E"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VT1</w:t>
      </w:r>
      <w:r w:rsidRPr="00EC5881">
        <w:rPr>
          <w:rFonts w:cs="Arial"/>
          <w:sz w:val="18"/>
          <w:szCs w:val="22"/>
        </w:rPr>
        <w:tab/>
        <w:t>Úprava Jílovského potoka od km 4,821 po km 5,683 u benzinové pumpy v Bynově</w:t>
      </w:r>
    </w:p>
    <w:p w14:paraId="399AB50A"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VT2</w:t>
      </w:r>
      <w:r w:rsidRPr="00EC5881">
        <w:rPr>
          <w:rFonts w:cs="Arial"/>
          <w:sz w:val="18"/>
          <w:szCs w:val="22"/>
        </w:rPr>
        <w:tab/>
        <w:t>Úprava Jílovského potoka v úseku od km 4,528 po km 4,821</w:t>
      </w:r>
    </w:p>
    <w:p w14:paraId="7F201E11"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VT3</w:t>
      </w:r>
      <w:r w:rsidRPr="00EC5881">
        <w:rPr>
          <w:rFonts w:cs="Arial"/>
          <w:sz w:val="18"/>
          <w:szCs w:val="22"/>
        </w:rPr>
        <w:tab/>
        <w:t>Úprava Jílovského potoka v úseku od km 2,9 po km 4,025</w:t>
      </w:r>
    </w:p>
    <w:p w14:paraId="0E2E5F6D"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VT4</w:t>
      </w:r>
      <w:r w:rsidRPr="00EC5881">
        <w:rPr>
          <w:rFonts w:cs="Arial"/>
          <w:sz w:val="18"/>
          <w:szCs w:val="22"/>
        </w:rPr>
        <w:tab/>
        <w:t>Úprava Jílovského potoka v úseku od km 0,635 po km 1,065</w:t>
      </w:r>
    </w:p>
    <w:p w14:paraId="240F85C8" w14:textId="77777777" w:rsidR="00EF1DD2" w:rsidRPr="00EC5881" w:rsidRDefault="00EF1DD2" w:rsidP="00EF1DD2">
      <w:pPr>
        <w:pStyle w:val="Zkladntext"/>
        <w:spacing w:after="0" w:line="288" w:lineRule="auto"/>
        <w:ind w:left="709" w:hanging="709"/>
        <w:jc w:val="both"/>
        <w:rPr>
          <w:rFonts w:cs="Arial"/>
          <w:sz w:val="18"/>
          <w:szCs w:val="22"/>
        </w:rPr>
      </w:pPr>
      <w:r w:rsidRPr="00EC5881">
        <w:rPr>
          <w:rFonts w:cs="Arial"/>
          <w:b/>
          <w:bCs/>
          <w:sz w:val="18"/>
          <w:szCs w:val="22"/>
        </w:rPr>
        <w:t>VT5</w:t>
      </w:r>
      <w:r w:rsidRPr="00EC5881">
        <w:rPr>
          <w:rFonts w:cs="Arial"/>
          <w:sz w:val="18"/>
          <w:szCs w:val="22"/>
        </w:rPr>
        <w:t xml:space="preserve"> </w:t>
      </w:r>
      <w:r w:rsidRPr="00EC5881">
        <w:rPr>
          <w:rFonts w:cs="Arial"/>
          <w:sz w:val="18"/>
          <w:szCs w:val="22"/>
        </w:rPr>
        <w:tab/>
        <w:t>Úprava Oldřichovského potoka v délce 350m od začátku zakryté části proti proudu do Jeleního potoka</w:t>
      </w:r>
    </w:p>
    <w:p w14:paraId="028C1171"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VT6</w:t>
      </w:r>
      <w:r w:rsidRPr="00EC5881">
        <w:rPr>
          <w:rFonts w:cs="Arial"/>
          <w:sz w:val="18"/>
          <w:szCs w:val="22"/>
        </w:rPr>
        <w:tab/>
        <w:t>Obnova opevnění Chrochvického potoka od vyústění do Labe přes zastavěnou část</w:t>
      </w:r>
    </w:p>
    <w:p w14:paraId="5285CFFA"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VT7</w:t>
      </w:r>
      <w:r w:rsidRPr="00EC5881">
        <w:rPr>
          <w:rFonts w:cs="Arial"/>
          <w:sz w:val="18"/>
          <w:szCs w:val="22"/>
        </w:rPr>
        <w:tab/>
        <w:t>Zkapacitnění koryta toku SMS Ústí n/L 5 ve Vilsnici</w:t>
      </w:r>
    </w:p>
    <w:p w14:paraId="72887EF0"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lastRenderedPageBreak/>
        <w:t>VT8</w:t>
      </w:r>
      <w:r w:rsidRPr="00EC5881">
        <w:rPr>
          <w:rFonts w:cs="Arial"/>
          <w:sz w:val="18"/>
          <w:szCs w:val="22"/>
        </w:rPr>
        <w:tab/>
        <w:t>Zkapacitnění koryt toků SMS Ústí n/L 6 a 6A ve Vilsnici</w:t>
      </w:r>
    </w:p>
    <w:p w14:paraId="797ABB37" w14:textId="77777777" w:rsidR="00EF1DD2" w:rsidRPr="00EC5881" w:rsidRDefault="00EF1DD2" w:rsidP="00EF1DD2">
      <w:pPr>
        <w:pStyle w:val="Zkladntext"/>
        <w:spacing w:after="0" w:line="288" w:lineRule="auto"/>
        <w:jc w:val="both"/>
        <w:rPr>
          <w:rFonts w:cs="Arial"/>
          <w:sz w:val="18"/>
          <w:szCs w:val="22"/>
        </w:rPr>
      </w:pPr>
      <w:r w:rsidRPr="00EC5881">
        <w:rPr>
          <w:rFonts w:cs="Arial"/>
          <w:b/>
          <w:bCs/>
          <w:sz w:val="18"/>
          <w:szCs w:val="22"/>
        </w:rPr>
        <w:t>VT9</w:t>
      </w:r>
      <w:r w:rsidRPr="00EC5881">
        <w:rPr>
          <w:rFonts w:cs="Arial"/>
          <w:sz w:val="18"/>
          <w:szCs w:val="22"/>
        </w:rPr>
        <w:tab/>
        <w:t>Úprava Bělského potoka v km 0,418 po km 1,418 nad Terezínským rybníkem</w:t>
      </w:r>
    </w:p>
    <w:p w14:paraId="746D1AE6" w14:textId="77777777" w:rsidR="00EF1DD2" w:rsidRDefault="00EF1DD2" w:rsidP="00EF1DD2">
      <w:pPr>
        <w:pStyle w:val="podnadpis2"/>
        <w:spacing w:before="0" w:after="0" w:line="288" w:lineRule="auto"/>
        <w:jc w:val="both"/>
        <w:rPr>
          <w:rFonts w:cs="Arial"/>
          <w:sz w:val="18"/>
          <w:szCs w:val="22"/>
        </w:rPr>
      </w:pPr>
    </w:p>
    <w:p w14:paraId="18ADD561" w14:textId="77777777" w:rsidR="00EF1DD2" w:rsidRPr="00EC5881" w:rsidRDefault="00EF1DD2" w:rsidP="00EF1DD2">
      <w:pPr>
        <w:pStyle w:val="podnadpis2"/>
        <w:spacing w:before="0" w:after="0" w:line="288" w:lineRule="auto"/>
        <w:jc w:val="both"/>
        <w:rPr>
          <w:rFonts w:cs="Arial"/>
          <w:szCs w:val="28"/>
        </w:rPr>
      </w:pPr>
      <w:r w:rsidRPr="00EC5881">
        <w:rPr>
          <w:rFonts w:cs="Arial"/>
          <w:szCs w:val="28"/>
        </w:rPr>
        <w:t>VEŘEJNĚ PROSPĚŠNÉ STAVBY energetikY A spojŮ</w:t>
      </w:r>
    </w:p>
    <w:tbl>
      <w:tblPr>
        <w:tblW w:w="0" w:type="auto"/>
        <w:tblInd w:w="-88" w:type="dxa"/>
        <w:tblLayout w:type="fixed"/>
        <w:tblCellMar>
          <w:left w:w="54" w:type="dxa"/>
          <w:right w:w="54" w:type="dxa"/>
        </w:tblCellMar>
        <w:tblLook w:val="0000" w:firstRow="0" w:lastRow="0" w:firstColumn="0" w:lastColumn="0" w:noHBand="0" w:noVBand="0"/>
      </w:tblPr>
      <w:tblGrid>
        <w:gridCol w:w="576"/>
        <w:gridCol w:w="130"/>
        <w:gridCol w:w="4394"/>
        <w:gridCol w:w="3797"/>
      </w:tblGrid>
      <w:tr w:rsidR="00EF1DD2" w:rsidRPr="00EC5881" w14:paraId="0104AFEC" w14:textId="77777777" w:rsidTr="00AB2594">
        <w:tc>
          <w:tcPr>
            <w:tcW w:w="8897" w:type="dxa"/>
            <w:gridSpan w:val="4"/>
            <w:tcBorders>
              <w:top w:val="nil"/>
              <w:left w:val="nil"/>
              <w:bottom w:val="nil"/>
            </w:tcBorders>
          </w:tcPr>
          <w:p w14:paraId="5FDFAC66" w14:textId="77777777" w:rsidR="00EF1DD2" w:rsidRDefault="00EF1DD2" w:rsidP="00EF1DD2">
            <w:pPr>
              <w:pStyle w:val="Texttabulky"/>
              <w:spacing w:after="0" w:line="288" w:lineRule="auto"/>
              <w:jc w:val="both"/>
              <w:rPr>
                <w:rFonts w:cs="Arial"/>
                <w:b/>
                <w:bCs/>
                <w:caps/>
                <w:sz w:val="20"/>
                <w:szCs w:val="24"/>
              </w:rPr>
            </w:pPr>
          </w:p>
          <w:p w14:paraId="22E5ADCE" w14:textId="77777777" w:rsidR="00EF1DD2" w:rsidRDefault="00EF1DD2" w:rsidP="00EF1DD2">
            <w:pPr>
              <w:pStyle w:val="Texttabulky"/>
              <w:spacing w:after="0" w:line="288" w:lineRule="auto"/>
              <w:jc w:val="both"/>
              <w:rPr>
                <w:rFonts w:cs="Arial"/>
                <w:b/>
                <w:bCs/>
                <w:caps/>
                <w:sz w:val="20"/>
                <w:szCs w:val="24"/>
              </w:rPr>
            </w:pPr>
            <w:r w:rsidRPr="00EC5881">
              <w:rPr>
                <w:rFonts w:cs="Arial"/>
                <w:b/>
                <w:bCs/>
                <w:caps/>
                <w:sz w:val="20"/>
                <w:szCs w:val="24"/>
              </w:rPr>
              <w:t>stavby elektrorozvodné</w:t>
            </w:r>
          </w:p>
          <w:p w14:paraId="60498F20" w14:textId="77777777" w:rsidR="00EF1DD2" w:rsidRPr="00EC5881" w:rsidRDefault="00EF1DD2" w:rsidP="00EF1DD2">
            <w:pPr>
              <w:pStyle w:val="Texttabulky"/>
              <w:spacing w:after="0" w:line="288" w:lineRule="auto"/>
              <w:jc w:val="both"/>
              <w:rPr>
                <w:rFonts w:cs="Arial"/>
                <w:sz w:val="20"/>
                <w:szCs w:val="24"/>
              </w:rPr>
            </w:pPr>
          </w:p>
        </w:tc>
      </w:tr>
      <w:tr w:rsidR="00EF1DD2" w:rsidRPr="00EC5881" w14:paraId="2ABB1AEA" w14:textId="77777777" w:rsidTr="00AB2594">
        <w:tc>
          <w:tcPr>
            <w:tcW w:w="576" w:type="dxa"/>
            <w:tcBorders>
              <w:top w:val="nil"/>
              <w:left w:val="nil"/>
              <w:bottom w:val="nil"/>
              <w:right w:val="nil"/>
            </w:tcBorders>
          </w:tcPr>
          <w:p w14:paraId="2BDD966D"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E1</w:t>
            </w:r>
          </w:p>
        </w:tc>
        <w:tc>
          <w:tcPr>
            <w:tcW w:w="130" w:type="dxa"/>
            <w:tcBorders>
              <w:top w:val="nil"/>
              <w:left w:val="nil"/>
              <w:bottom w:val="nil"/>
              <w:right w:val="nil"/>
            </w:tcBorders>
          </w:tcPr>
          <w:p w14:paraId="6EE09515"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38C448E4"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301 včetně kabelové přípojky VN</w:t>
            </w:r>
          </w:p>
        </w:tc>
        <w:tc>
          <w:tcPr>
            <w:tcW w:w="3797" w:type="dxa"/>
            <w:tcBorders>
              <w:top w:val="nil"/>
              <w:left w:val="nil"/>
              <w:bottom w:val="nil"/>
              <w:right w:val="nil"/>
            </w:tcBorders>
          </w:tcPr>
          <w:p w14:paraId="5D2D379B"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 xml:space="preserve">I.A - I/9, I/17 </w:t>
            </w:r>
          </w:p>
        </w:tc>
      </w:tr>
      <w:tr w:rsidR="00EF1DD2" w:rsidRPr="00EC5881" w14:paraId="2433EB7F" w14:textId="77777777" w:rsidTr="00AB2594">
        <w:tc>
          <w:tcPr>
            <w:tcW w:w="576" w:type="dxa"/>
            <w:tcBorders>
              <w:top w:val="nil"/>
              <w:left w:val="nil"/>
              <w:bottom w:val="nil"/>
              <w:right w:val="nil"/>
            </w:tcBorders>
          </w:tcPr>
          <w:p w14:paraId="6704422C"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E2</w:t>
            </w:r>
          </w:p>
        </w:tc>
        <w:tc>
          <w:tcPr>
            <w:tcW w:w="130" w:type="dxa"/>
            <w:tcBorders>
              <w:top w:val="nil"/>
              <w:left w:val="nil"/>
              <w:bottom w:val="nil"/>
              <w:right w:val="nil"/>
            </w:tcBorders>
          </w:tcPr>
          <w:p w14:paraId="296B708C"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19C9672E"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302 včetně kabelové přípojky VN</w:t>
            </w:r>
          </w:p>
        </w:tc>
        <w:tc>
          <w:tcPr>
            <w:tcW w:w="3797" w:type="dxa"/>
            <w:tcBorders>
              <w:top w:val="nil"/>
              <w:left w:val="nil"/>
              <w:bottom w:val="nil"/>
              <w:right w:val="nil"/>
            </w:tcBorders>
          </w:tcPr>
          <w:p w14:paraId="5E880BA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 xml:space="preserve">I.B - I/8 </w:t>
            </w:r>
          </w:p>
        </w:tc>
      </w:tr>
      <w:tr w:rsidR="00EF1DD2" w:rsidRPr="00EC5881" w14:paraId="14119348" w14:textId="77777777" w:rsidTr="00AB2594">
        <w:tc>
          <w:tcPr>
            <w:tcW w:w="576" w:type="dxa"/>
            <w:tcBorders>
              <w:top w:val="nil"/>
              <w:left w:val="nil"/>
              <w:bottom w:val="nil"/>
              <w:right w:val="nil"/>
            </w:tcBorders>
          </w:tcPr>
          <w:p w14:paraId="76DE3B34"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E3</w:t>
            </w:r>
          </w:p>
        </w:tc>
        <w:tc>
          <w:tcPr>
            <w:tcW w:w="130" w:type="dxa"/>
            <w:tcBorders>
              <w:top w:val="nil"/>
              <w:left w:val="nil"/>
              <w:bottom w:val="nil"/>
              <w:right w:val="nil"/>
            </w:tcBorders>
          </w:tcPr>
          <w:p w14:paraId="46923273"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71A649A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303 včetně kabelové přípojky VN</w:t>
            </w:r>
          </w:p>
        </w:tc>
        <w:tc>
          <w:tcPr>
            <w:tcW w:w="3797" w:type="dxa"/>
            <w:tcBorders>
              <w:top w:val="nil"/>
              <w:left w:val="nil"/>
              <w:bottom w:val="nil"/>
              <w:right w:val="nil"/>
            </w:tcBorders>
          </w:tcPr>
          <w:p w14:paraId="136490BE"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II/1, II/2</w:t>
            </w:r>
          </w:p>
        </w:tc>
      </w:tr>
      <w:tr w:rsidR="00EF1DD2" w:rsidRPr="00EC5881" w14:paraId="63217746" w14:textId="77777777" w:rsidTr="00AB2594">
        <w:tc>
          <w:tcPr>
            <w:tcW w:w="576" w:type="dxa"/>
            <w:tcBorders>
              <w:top w:val="nil"/>
              <w:left w:val="nil"/>
              <w:bottom w:val="nil"/>
              <w:right w:val="nil"/>
            </w:tcBorders>
          </w:tcPr>
          <w:p w14:paraId="014BE4DC"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E4</w:t>
            </w:r>
          </w:p>
        </w:tc>
        <w:tc>
          <w:tcPr>
            <w:tcW w:w="130" w:type="dxa"/>
            <w:tcBorders>
              <w:top w:val="nil"/>
              <w:left w:val="nil"/>
              <w:bottom w:val="nil"/>
              <w:right w:val="nil"/>
            </w:tcBorders>
          </w:tcPr>
          <w:p w14:paraId="57978C22"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6BE7E7BD"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304 včetně kabelové přípojky VN</w:t>
            </w:r>
          </w:p>
        </w:tc>
        <w:tc>
          <w:tcPr>
            <w:tcW w:w="3797" w:type="dxa"/>
            <w:tcBorders>
              <w:top w:val="nil"/>
              <w:left w:val="nil"/>
              <w:bottom w:val="nil"/>
              <w:right w:val="nil"/>
            </w:tcBorders>
          </w:tcPr>
          <w:p w14:paraId="3AB23ED6"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II/5, II/6, II/7</w:t>
            </w:r>
          </w:p>
        </w:tc>
      </w:tr>
      <w:tr w:rsidR="00EF1DD2" w:rsidRPr="00EC5881" w14:paraId="395D64E9" w14:textId="77777777" w:rsidTr="00AB2594">
        <w:tc>
          <w:tcPr>
            <w:tcW w:w="576" w:type="dxa"/>
            <w:tcBorders>
              <w:top w:val="nil"/>
              <w:left w:val="nil"/>
              <w:bottom w:val="nil"/>
              <w:right w:val="nil"/>
            </w:tcBorders>
          </w:tcPr>
          <w:p w14:paraId="15E9A8FA"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E5</w:t>
            </w:r>
          </w:p>
        </w:tc>
        <w:tc>
          <w:tcPr>
            <w:tcW w:w="130" w:type="dxa"/>
            <w:tcBorders>
              <w:top w:val="nil"/>
              <w:left w:val="nil"/>
              <w:bottom w:val="nil"/>
              <w:right w:val="nil"/>
            </w:tcBorders>
          </w:tcPr>
          <w:p w14:paraId="40042B8E"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7B07AAEB"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305 včetně kabelové přípojky VN</w:t>
            </w:r>
          </w:p>
        </w:tc>
        <w:tc>
          <w:tcPr>
            <w:tcW w:w="3797" w:type="dxa"/>
            <w:tcBorders>
              <w:top w:val="nil"/>
              <w:left w:val="nil"/>
              <w:bottom w:val="nil"/>
              <w:right w:val="nil"/>
            </w:tcBorders>
          </w:tcPr>
          <w:p w14:paraId="7034EC62"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II/8, II/9, II/10</w:t>
            </w:r>
          </w:p>
        </w:tc>
      </w:tr>
      <w:tr w:rsidR="00EF1DD2" w:rsidRPr="00EC5881" w14:paraId="29E8D6B2" w14:textId="77777777" w:rsidTr="00AB2594">
        <w:tc>
          <w:tcPr>
            <w:tcW w:w="576" w:type="dxa"/>
            <w:tcBorders>
              <w:top w:val="nil"/>
              <w:left w:val="nil"/>
              <w:bottom w:val="nil"/>
              <w:right w:val="nil"/>
            </w:tcBorders>
          </w:tcPr>
          <w:p w14:paraId="4EF51B7B"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E6</w:t>
            </w:r>
          </w:p>
        </w:tc>
        <w:tc>
          <w:tcPr>
            <w:tcW w:w="130" w:type="dxa"/>
            <w:tcBorders>
              <w:top w:val="nil"/>
              <w:left w:val="nil"/>
              <w:bottom w:val="nil"/>
              <w:right w:val="nil"/>
            </w:tcBorders>
          </w:tcPr>
          <w:p w14:paraId="2C2C198C"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32DCDDDC"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306 včetně kabelové přípojky VN</w:t>
            </w:r>
          </w:p>
        </w:tc>
        <w:tc>
          <w:tcPr>
            <w:tcW w:w="3797" w:type="dxa"/>
            <w:tcBorders>
              <w:top w:val="nil"/>
              <w:left w:val="nil"/>
              <w:bottom w:val="nil"/>
              <w:right w:val="nil"/>
            </w:tcBorders>
          </w:tcPr>
          <w:p w14:paraId="5E381E22"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II/11, II/21</w:t>
            </w:r>
          </w:p>
        </w:tc>
      </w:tr>
      <w:tr w:rsidR="00EF1DD2" w:rsidRPr="00EC5881" w14:paraId="6300DC3D" w14:textId="77777777" w:rsidTr="00AB2594">
        <w:tc>
          <w:tcPr>
            <w:tcW w:w="576" w:type="dxa"/>
            <w:tcBorders>
              <w:top w:val="nil"/>
              <w:left w:val="nil"/>
              <w:bottom w:val="nil"/>
              <w:right w:val="nil"/>
            </w:tcBorders>
          </w:tcPr>
          <w:p w14:paraId="6481240F"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E7</w:t>
            </w:r>
          </w:p>
        </w:tc>
        <w:tc>
          <w:tcPr>
            <w:tcW w:w="130" w:type="dxa"/>
            <w:tcBorders>
              <w:top w:val="nil"/>
              <w:left w:val="nil"/>
              <w:bottom w:val="nil"/>
              <w:right w:val="nil"/>
            </w:tcBorders>
          </w:tcPr>
          <w:p w14:paraId="49513288"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4B0C7880"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307 včetně kabelové přípojky VN</w:t>
            </w:r>
          </w:p>
        </w:tc>
        <w:tc>
          <w:tcPr>
            <w:tcW w:w="3797" w:type="dxa"/>
            <w:tcBorders>
              <w:top w:val="nil"/>
              <w:left w:val="nil"/>
              <w:bottom w:val="nil"/>
              <w:right w:val="nil"/>
            </w:tcBorders>
          </w:tcPr>
          <w:p w14:paraId="3877B253"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IV/8</w:t>
            </w:r>
          </w:p>
        </w:tc>
      </w:tr>
      <w:tr w:rsidR="00EF1DD2" w:rsidRPr="00EC5881" w14:paraId="666F85F6" w14:textId="77777777" w:rsidTr="00AB2594">
        <w:tc>
          <w:tcPr>
            <w:tcW w:w="576" w:type="dxa"/>
            <w:tcBorders>
              <w:top w:val="nil"/>
              <w:left w:val="nil"/>
              <w:bottom w:val="nil"/>
              <w:right w:val="nil"/>
            </w:tcBorders>
          </w:tcPr>
          <w:p w14:paraId="330DF1F1"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E8</w:t>
            </w:r>
          </w:p>
        </w:tc>
        <w:tc>
          <w:tcPr>
            <w:tcW w:w="130" w:type="dxa"/>
            <w:tcBorders>
              <w:top w:val="nil"/>
              <w:left w:val="nil"/>
              <w:bottom w:val="nil"/>
              <w:right w:val="nil"/>
            </w:tcBorders>
          </w:tcPr>
          <w:p w14:paraId="390785F7"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70AB1F48"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308 včetně venk. přípojky VN</w:t>
            </w:r>
          </w:p>
        </w:tc>
        <w:tc>
          <w:tcPr>
            <w:tcW w:w="3797" w:type="dxa"/>
            <w:tcBorders>
              <w:top w:val="nil"/>
              <w:left w:val="nil"/>
              <w:bottom w:val="nil"/>
              <w:right w:val="nil"/>
            </w:tcBorders>
          </w:tcPr>
          <w:p w14:paraId="6FDC031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V/4</w:t>
            </w:r>
          </w:p>
        </w:tc>
      </w:tr>
      <w:tr w:rsidR="00EF1DD2" w:rsidRPr="00EC5881" w14:paraId="5D499E40" w14:textId="77777777" w:rsidTr="00AB2594">
        <w:tc>
          <w:tcPr>
            <w:tcW w:w="576" w:type="dxa"/>
            <w:tcBorders>
              <w:top w:val="nil"/>
              <w:left w:val="nil"/>
              <w:bottom w:val="nil"/>
              <w:right w:val="nil"/>
            </w:tcBorders>
          </w:tcPr>
          <w:p w14:paraId="5F730AE7"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E9</w:t>
            </w:r>
          </w:p>
        </w:tc>
        <w:tc>
          <w:tcPr>
            <w:tcW w:w="130" w:type="dxa"/>
            <w:tcBorders>
              <w:top w:val="nil"/>
              <w:left w:val="nil"/>
              <w:bottom w:val="nil"/>
              <w:right w:val="nil"/>
            </w:tcBorders>
          </w:tcPr>
          <w:p w14:paraId="5B762645"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5EA7038D"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transformovna MVE č. 309 včetně kabelové přípojky VN do rozvodny 110 kV Děčín východ</w:t>
            </w:r>
          </w:p>
        </w:tc>
        <w:tc>
          <w:tcPr>
            <w:tcW w:w="3797" w:type="dxa"/>
            <w:tcBorders>
              <w:top w:val="nil"/>
              <w:left w:val="nil"/>
              <w:bottom w:val="nil"/>
              <w:right w:val="nil"/>
            </w:tcBorders>
          </w:tcPr>
          <w:p w14:paraId="484013EF"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V/4 (v případě energetického využití VD)</w:t>
            </w:r>
          </w:p>
        </w:tc>
      </w:tr>
      <w:tr w:rsidR="00EF1DD2" w:rsidRPr="00EC5881" w14:paraId="5E5EF98F" w14:textId="77777777" w:rsidTr="00AB2594">
        <w:tc>
          <w:tcPr>
            <w:tcW w:w="576" w:type="dxa"/>
            <w:tcBorders>
              <w:top w:val="nil"/>
              <w:left w:val="nil"/>
              <w:bottom w:val="nil"/>
              <w:right w:val="nil"/>
            </w:tcBorders>
          </w:tcPr>
          <w:p w14:paraId="6C48E2B3"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E10</w:t>
            </w:r>
          </w:p>
        </w:tc>
        <w:tc>
          <w:tcPr>
            <w:tcW w:w="130" w:type="dxa"/>
            <w:tcBorders>
              <w:top w:val="nil"/>
              <w:left w:val="nil"/>
              <w:bottom w:val="nil"/>
              <w:right w:val="nil"/>
            </w:tcBorders>
          </w:tcPr>
          <w:p w14:paraId="432DEAFB"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539C860F"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310 včetně kabelové přípojky VN</w:t>
            </w:r>
          </w:p>
        </w:tc>
        <w:tc>
          <w:tcPr>
            <w:tcW w:w="3797" w:type="dxa"/>
            <w:tcBorders>
              <w:top w:val="nil"/>
              <w:left w:val="nil"/>
              <w:bottom w:val="nil"/>
              <w:right w:val="nil"/>
            </w:tcBorders>
          </w:tcPr>
          <w:p w14:paraId="36CFD65A"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VI/1</w:t>
            </w:r>
          </w:p>
        </w:tc>
      </w:tr>
      <w:tr w:rsidR="00EF1DD2" w:rsidRPr="00EC5881" w14:paraId="6B0CE768" w14:textId="77777777" w:rsidTr="00AB2594">
        <w:tc>
          <w:tcPr>
            <w:tcW w:w="576" w:type="dxa"/>
            <w:tcBorders>
              <w:top w:val="nil"/>
              <w:left w:val="nil"/>
              <w:bottom w:val="nil"/>
              <w:right w:val="nil"/>
            </w:tcBorders>
          </w:tcPr>
          <w:p w14:paraId="7C98CBFF" w14:textId="77777777" w:rsidR="00EF1DD2" w:rsidRPr="00EC5881" w:rsidRDefault="00EF1DD2" w:rsidP="00EF1DD2">
            <w:pPr>
              <w:pStyle w:val="Texttabulky"/>
              <w:keepNext/>
              <w:spacing w:after="0" w:line="288" w:lineRule="auto"/>
              <w:jc w:val="both"/>
              <w:rPr>
                <w:rFonts w:cs="Arial"/>
                <w:sz w:val="18"/>
                <w:szCs w:val="22"/>
              </w:rPr>
            </w:pPr>
            <w:r w:rsidRPr="00EC5881">
              <w:rPr>
                <w:rFonts w:cs="Arial"/>
                <w:b/>
                <w:bCs/>
                <w:sz w:val="18"/>
                <w:szCs w:val="22"/>
              </w:rPr>
              <w:t>E11</w:t>
            </w:r>
          </w:p>
        </w:tc>
        <w:tc>
          <w:tcPr>
            <w:tcW w:w="130" w:type="dxa"/>
            <w:tcBorders>
              <w:top w:val="nil"/>
              <w:left w:val="nil"/>
              <w:bottom w:val="nil"/>
              <w:right w:val="nil"/>
            </w:tcBorders>
          </w:tcPr>
          <w:p w14:paraId="0CD6E8CE" w14:textId="77777777" w:rsidR="00EF1DD2" w:rsidRPr="00EC5881" w:rsidRDefault="00EF1DD2" w:rsidP="00EF1DD2">
            <w:pPr>
              <w:pStyle w:val="Zkladntext"/>
              <w:keepNext/>
              <w:spacing w:after="0" w:line="288" w:lineRule="auto"/>
              <w:jc w:val="both"/>
              <w:rPr>
                <w:rFonts w:cs="Arial"/>
                <w:sz w:val="18"/>
                <w:szCs w:val="22"/>
              </w:rPr>
            </w:pPr>
          </w:p>
        </w:tc>
        <w:tc>
          <w:tcPr>
            <w:tcW w:w="4394" w:type="dxa"/>
            <w:tcBorders>
              <w:top w:val="nil"/>
              <w:left w:val="nil"/>
              <w:bottom w:val="nil"/>
              <w:right w:val="nil"/>
            </w:tcBorders>
          </w:tcPr>
          <w:p w14:paraId="2BADE15B" w14:textId="77777777" w:rsidR="00EF1DD2" w:rsidRPr="00EC5881" w:rsidRDefault="00EF1DD2" w:rsidP="00EF1DD2">
            <w:pPr>
              <w:pStyle w:val="Texttabulky"/>
              <w:keepNext/>
              <w:spacing w:after="0" w:line="288" w:lineRule="auto"/>
              <w:jc w:val="both"/>
              <w:rPr>
                <w:rFonts w:cs="Arial"/>
                <w:sz w:val="18"/>
                <w:szCs w:val="22"/>
              </w:rPr>
            </w:pPr>
            <w:r w:rsidRPr="00EC5881">
              <w:rPr>
                <w:rFonts w:cs="Arial"/>
                <w:sz w:val="18"/>
                <w:szCs w:val="22"/>
              </w:rPr>
              <w:t>trafostanice č. 311 včetně kabelové přípojky VN</w:t>
            </w:r>
          </w:p>
        </w:tc>
        <w:tc>
          <w:tcPr>
            <w:tcW w:w="3797" w:type="dxa"/>
            <w:tcBorders>
              <w:top w:val="nil"/>
              <w:left w:val="nil"/>
              <w:bottom w:val="nil"/>
              <w:right w:val="nil"/>
            </w:tcBorders>
          </w:tcPr>
          <w:p w14:paraId="48AB3494" w14:textId="77777777" w:rsidR="00EF1DD2" w:rsidRPr="00EC5881" w:rsidRDefault="00EF1DD2" w:rsidP="00EF1DD2">
            <w:pPr>
              <w:pStyle w:val="Texttabulky"/>
              <w:keepNext/>
              <w:spacing w:after="0" w:line="288" w:lineRule="auto"/>
              <w:jc w:val="both"/>
              <w:rPr>
                <w:rFonts w:cs="Arial"/>
                <w:sz w:val="18"/>
                <w:szCs w:val="22"/>
              </w:rPr>
            </w:pPr>
            <w:r w:rsidRPr="00EC5881">
              <w:rPr>
                <w:rFonts w:cs="Arial"/>
                <w:sz w:val="18"/>
                <w:szCs w:val="22"/>
              </w:rPr>
              <w:t>VI/3, VI/4, VI/8</w:t>
            </w:r>
          </w:p>
        </w:tc>
      </w:tr>
      <w:tr w:rsidR="00EF1DD2" w:rsidRPr="00EC5881" w14:paraId="23EBE526" w14:textId="77777777" w:rsidTr="00AB2594">
        <w:tc>
          <w:tcPr>
            <w:tcW w:w="576" w:type="dxa"/>
            <w:tcBorders>
              <w:top w:val="nil"/>
              <w:left w:val="nil"/>
              <w:bottom w:val="nil"/>
              <w:right w:val="nil"/>
            </w:tcBorders>
          </w:tcPr>
          <w:p w14:paraId="69167238"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E12</w:t>
            </w:r>
          </w:p>
        </w:tc>
        <w:tc>
          <w:tcPr>
            <w:tcW w:w="130" w:type="dxa"/>
            <w:tcBorders>
              <w:top w:val="nil"/>
              <w:left w:val="nil"/>
              <w:bottom w:val="nil"/>
              <w:right w:val="nil"/>
            </w:tcBorders>
          </w:tcPr>
          <w:p w14:paraId="1D28CED9"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41942204"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312 včetně kabelové přípojky VN</w:t>
            </w:r>
          </w:p>
        </w:tc>
        <w:tc>
          <w:tcPr>
            <w:tcW w:w="3797" w:type="dxa"/>
            <w:tcBorders>
              <w:top w:val="nil"/>
              <w:left w:val="nil"/>
              <w:bottom w:val="nil"/>
              <w:right w:val="nil"/>
            </w:tcBorders>
          </w:tcPr>
          <w:p w14:paraId="6AE9BC5B"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VI/18</w:t>
            </w:r>
          </w:p>
        </w:tc>
      </w:tr>
      <w:tr w:rsidR="00EF1DD2" w:rsidRPr="00EC5881" w14:paraId="571A61A9" w14:textId="77777777" w:rsidTr="00AB2594">
        <w:tc>
          <w:tcPr>
            <w:tcW w:w="576" w:type="dxa"/>
            <w:tcBorders>
              <w:top w:val="nil"/>
              <w:left w:val="nil"/>
              <w:bottom w:val="nil"/>
              <w:right w:val="nil"/>
            </w:tcBorders>
          </w:tcPr>
          <w:p w14:paraId="2BC2A079"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E13</w:t>
            </w:r>
          </w:p>
        </w:tc>
        <w:tc>
          <w:tcPr>
            <w:tcW w:w="130" w:type="dxa"/>
            <w:tcBorders>
              <w:top w:val="nil"/>
              <w:left w:val="nil"/>
              <w:bottom w:val="nil"/>
              <w:right w:val="nil"/>
            </w:tcBorders>
          </w:tcPr>
          <w:p w14:paraId="6493083D"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77AFF488"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313 včetně kabelové přípojky VN</w:t>
            </w:r>
          </w:p>
        </w:tc>
        <w:tc>
          <w:tcPr>
            <w:tcW w:w="3797" w:type="dxa"/>
            <w:tcBorders>
              <w:top w:val="nil"/>
              <w:left w:val="nil"/>
              <w:bottom w:val="nil"/>
              <w:right w:val="nil"/>
            </w:tcBorders>
          </w:tcPr>
          <w:p w14:paraId="34450695"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VII/4, VII/5</w:t>
            </w:r>
          </w:p>
        </w:tc>
      </w:tr>
      <w:tr w:rsidR="00EF1DD2" w:rsidRPr="00EC5881" w14:paraId="5539167D" w14:textId="77777777" w:rsidTr="00AB2594">
        <w:tc>
          <w:tcPr>
            <w:tcW w:w="576" w:type="dxa"/>
            <w:tcBorders>
              <w:top w:val="nil"/>
              <w:left w:val="nil"/>
              <w:bottom w:val="nil"/>
              <w:right w:val="nil"/>
            </w:tcBorders>
          </w:tcPr>
          <w:p w14:paraId="2A2180F0"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E14</w:t>
            </w:r>
          </w:p>
        </w:tc>
        <w:tc>
          <w:tcPr>
            <w:tcW w:w="130" w:type="dxa"/>
            <w:tcBorders>
              <w:top w:val="nil"/>
              <w:left w:val="nil"/>
              <w:bottom w:val="nil"/>
              <w:right w:val="nil"/>
            </w:tcBorders>
          </w:tcPr>
          <w:p w14:paraId="625C4A48"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099A96DC"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314 včetně venk. přípojky VN</w:t>
            </w:r>
          </w:p>
        </w:tc>
        <w:tc>
          <w:tcPr>
            <w:tcW w:w="3797" w:type="dxa"/>
            <w:tcBorders>
              <w:top w:val="nil"/>
              <w:left w:val="nil"/>
              <w:bottom w:val="nil"/>
              <w:right w:val="nil"/>
            </w:tcBorders>
          </w:tcPr>
          <w:p w14:paraId="0A9A1C3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VII/18</w:t>
            </w:r>
          </w:p>
        </w:tc>
      </w:tr>
      <w:tr w:rsidR="00EF1DD2" w:rsidRPr="00EC5881" w14:paraId="223DD806" w14:textId="77777777" w:rsidTr="00AB2594">
        <w:tc>
          <w:tcPr>
            <w:tcW w:w="576" w:type="dxa"/>
            <w:tcBorders>
              <w:top w:val="nil"/>
              <w:left w:val="nil"/>
              <w:bottom w:val="nil"/>
              <w:right w:val="nil"/>
            </w:tcBorders>
          </w:tcPr>
          <w:p w14:paraId="0A208F35"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E15</w:t>
            </w:r>
          </w:p>
        </w:tc>
        <w:tc>
          <w:tcPr>
            <w:tcW w:w="130" w:type="dxa"/>
            <w:tcBorders>
              <w:top w:val="nil"/>
              <w:left w:val="nil"/>
              <w:bottom w:val="nil"/>
              <w:right w:val="nil"/>
            </w:tcBorders>
          </w:tcPr>
          <w:p w14:paraId="1E2296E8"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30041408"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315 včetně venk. přípojky VN</w:t>
            </w:r>
          </w:p>
        </w:tc>
        <w:tc>
          <w:tcPr>
            <w:tcW w:w="3797" w:type="dxa"/>
            <w:tcBorders>
              <w:top w:val="nil"/>
              <w:left w:val="nil"/>
              <w:bottom w:val="nil"/>
              <w:right w:val="nil"/>
            </w:tcBorders>
          </w:tcPr>
          <w:p w14:paraId="278130E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VII/19</w:t>
            </w:r>
          </w:p>
        </w:tc>
      </w:tr>
      <w:tr w:rsidR="00EF1DD2" w:rsidRPr="00EC5881" w14:paraId="6AD71940" w14:textId="77777777" w:rsidTr="00AB2594">
        <w:tc>
          <w:tcPr>
            <w:tcW w:w="576" w:type="dxa"/>
            <w:tcBorders>
              <w:top w:val="nil"/>
              <w:left w:val="nil"/>
              <w:bottom w:val="nil"/>
              <w:right w:val="nil"/>
            </w:tcBorders>
          </w:tcPr>
          <w:p w14:paraId="39952A4F"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E16</w:t>
            </w:r>
          </w:p>
        </w:tc>
        <w:tc>
          <w:tcPr>
            <w:tcW w:w="130" w:type="dxa"/>
            <w:tcBorders>
              <w:top w:val="nil"/>
              <w:left w:val="nil"/>
              <w:bottom w:val="nil"/>
              <w:right w:val="nil"/>
            </w:tcBorders>
          </w:tcPr>
          <w:p w14:paraId="2A84E128"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46BE87CF"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316 včetně venk. přípojky VN</w:t>
            </w:r>
          </w:p>
        </w:tc>
        <w:tc>
          <w:tcPr>
            <w:tcW w:w="3797" w:type="dxa"/>
            <w:tcBorders>
              <w:top w:val="nil"/>
              <w:left w:val="nil"/>
              <w:bottom w:val="nil"/>
              <w:right w:val="nil"/>
            </w:tcBorders>
          </w:tcPr>
          <w:p w14:paraId="166CE698"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III/9</w:t>
            </w:r>
          </w:p>
        </w:tc>
      </w:tr>
      <w:tr w:rsidR="00EF1DD2" w:rsidRPr="00EC5881" w14:paraId="4F61CC52" w14:textId="77777777" w:rsidTr="00AB2594">
        <w:tc>
          <w:tcPr>
            <w:tcW w:w="576" w:type="dxa"/>
            <w:tcBorders>
              <w:top w:val="nil"/>
              <w:left w:val="nil"/>
              <w:bottom w:val="nil"/>
              <w:right w:val="nil"/>
            </w:tcBorders>
          </w:tcPr>
          <w:p w14:paraId="58F0A9C1"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E17</w:t>
            </w:r>
          </w:p>
        </w:tc>
        <w:tc>
          <w:tcPr>
            <w:tcW w:w="130" w:type="dxa"/>
            <w:tcBorders>
              <w:top w:val="nil"/>
              <w:left w:val="nil"/>
              <w:bottom w:val="nil"/>
              <w:right w:val="nil"/>
            </w:tcBorders>
          </w:tcPr>
          <w:p w14:paraId="23AD348C"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46C593C2"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vedení VVN 110 kV Želenice - Babylon</w:t>
            </w:r>
          </w:p>
        </w:tc>
        <w:tc>
          <w:tcPr>
            <w:tcW w:w="3797" w:type="dxa"/>
            <w:tcBorders>
              <w:top w:val="nil"/>
              <w:left w:val="nil"/>
              <w:bottom w:val="nil"/>
              <w:right w:val="nil"/>
            </w:tcBorders>
          </w:tcPr>
          <w:p w14:paraId="24C25C75"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zvýšení spolehlivosti zásobování Děčína elektřinou</w:t>
            </w:r>
          </w:p>
        </w:tc>
      </w:tr>
      <w:tr w:rsidR="00EF1DD2" w:rsidRPr="00EC5881" w14:paraId="000461C9" w14:textId="77777777" w:rsidTr="00AB2594">
        <w:tc>
          <w:tcPr>
            <w:tcW w:w="576" w:type="dxa"/>
            <w:tcBorders>
              <w:top w:val="nil"/>
              <w:left w:val="nil"/>
              <w:bottom w:val="nil"/>
              <w:right w:val="nil"/>
            </w:tcBorders>
          </w:tcPr>
          <w:p w14:paraId="75E83B21"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E18</w:t>
            </w:r>
          </w:p>
        </w:tc>
        <w:tc>
          <w:tcPr>
            <w:tcW w:w="130" w:type="dxa"/>
            <w:tcBorders>
              <w:top w:val="nil"/>
              <w:left w:val="nil"/>
              <w:bottom w:val="nil"/>
              <w:right w:val="nil"/>
            </w:tcBorders>
          </w:tcPr>
          <w:p w14:paraId="69315CEB"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25C68DFF"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propojovací kabel VN mezi trafostanicemi č. 194 a 201 (Boletice)</w:t>
            </w:r>
          </w:p>
        </w:tc>
        <w:tc>
          <w:tcPr>
            <w:tcW w:w="3797" w:type="dxa"/>
            <w:tcBorders>
              <w:top w:val="nil"/>
              <w:left w:val="nil"/>
              <w:bottom w:val="nil"/>
              <w:right w:val="nil"/>
            </w:tcBorders>
          </w:tcPr>
          <w:p w14:paraId="4D423552"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uvolnění rozvojové plochy VII/15 pro výstavbu</w:t>
            </w:r>
          </w:p>
        </w:tc>
      </w:tr>
      <w:tr w:rsidR="00EF1DD2" w:rsidRPr="00EC5881" w14:paraId="5378D141" w14:textId="77777777" w:rsidTr="00AB2594">
        <w:tc>
          <w:tcPr>
            <w:tcW w:w="576" w:type="dxa"/>
            <w:tcBorders>
              <w:top w:val="nil"/>
              <w:left w:val="nil"/>
              <w:bottom w:val="nil"/>
              <w:right w:val="nil"/>
            </w:tcBorders>
          </w:tcPr>
          <w:p w14:paraId="43280B13"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E19</w:t>
            </w:r>
          </w:p>
        </w:tc>
        <w:tc>
          <w:tcPr>
            <w:tcW w:w="130" w:type="dxa"/>
            <w:tcBorders>
              <w:top w:val="nil"/>
              <w:left w:val="nil"/>
              <w:bottom w:val="nil"/>
              <w:right w:val="nil"/>
            </w:tcBorders>
          </w:tcPr>
          <w:p w14:paraId="723DB470"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444020E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trafostanice č. 317 včetně kabelové přípojky VN</w:t>
            </w:r>
          </w:p>
        </w:tc>
        <w:tc>
          <w:tcPr>
            <w:tcW w:w="3797" w:type="dxa"/>
            <w:tcBorders>
              <w:top w:val="nil"/>
              <w:left w:val="nil"/>
              <w:bottom w:val="nil"/>
              <w:right w:val="nil"/>
            </w:tcBorders>
          </w:tcPr>
          <w:p w14:paraId="6B3B0D44"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VI/32</w:t>
            </w:r>
          </w:p>
        </w:tc>
      </w:tr>
      <w:tr w:rsidR="00EF1DD2" w:rsidRPr="00EC5881" w14:paraId="559B732D" w14:textId="77777777" w:rsidTr="00AB2594">
        <w:tc>
          <w:tcPr>
            <w:tcW w:w="576" w:type="dxa"/>
            <w:tcBorders>
              <w:top w:val="nil"/>
              <w:left w:val="nil"/>
              <w:bottom w:val="nil"/>
              <w:right w:val="nil"/>
            </w:tcBorders>
          </w:tcPr>
          <w:p w14:paraId="5D0085A6"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E20</w:t>
            </w:r>
          </w:p>
        </w:tc>
        <w:tc>
          <w:tcPr>
            <w:tcW w:w="130" w:type="dxa"/>
            <w:tcBorders>
              <w:top w:val="nil"/>
              <w:left w:val="nil"/>
              <w:bottom w:val="nil"/>
              <w:right w:val="nil"/>
            </w:tcBorders>
          </w:tcPr>
          <w:p w14:paraId="781425BD"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37F8CE34"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2 vývodní vedení 22 kV pro stávající trasu Děčín - Česká Kamenice</w:t>
            </w:r>
          </w:p>
        </w:tc>
        <w:tc>
          <w:tcPr>
            <w:tcW w:w="3797" w:type="dxa"/>
            <w:tcBorders>
              <w:top w:val="nil"/>
              <w:left w:val="nil"/>
              <w:bottom w:val="nil"/>
              <w:right w:val="nil"/>
            </w:tcBorders>
          </w:tcPr>
          <w:p w14:paraId="5F0B752F"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zvýšení spolehlivosti dodávek elektřiny do území ve směru na Č. Kamenici</w:t>
            </w:r>
          </w:p>
        </w:tc>
      </w:tr>
      <w:tr w:rsidR="00EF1DD2" w:rsidRPr="00EC5881" w14:paraId="7AD16913" w14:textId="77777777" w:rsidTr="00AB2594">
        <w:tc>
          <w:tcPr>
            <w:tcW w:w="576" w:type="dxa"/>
            <w:tcBorders>
              <w:top w:val="nil"/>
              <w:left w:val="nil"/>
              <w:right w:val="nil"/>
            </w:tcBorders>
          </w:tcPr>
          <w:p w14:paraId="479E5CCA"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E21</w:t>
            </w:r>
          </w:p>
        </w:tc>
        <w:tc>
          <w:tcPr>
            <w:tcW w:w="130" w:type="dxa"/>
            <w:tcBorders>
              <w:top w:val="nil"/>
              <w:left w:val="nil"/>
              <w:right w:val="nil"/>
            </w:tcBorders>
          </w:tcPr>
          <w:p w14:paraId="215A8A40"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right w:val="nil"/>
            </w:tcBorders>
          </w:tcPr>
          <w:p w14:paraId="29767D10"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propojovací vedení 22 kV</w:t>
            </w:r>
          </w:p>
        </w:tc>
        <w:tc>
          <w:tcPr>
            <w:tcW w:w="3797" w:type="dxa"/>
            <w:tcBorders>
              <w:top w:val="nil"/>
              <w:left w:val="nil"/>
              <w:right w:val="nil"/>
            </w:tcBorders>
          </w:tcPr>
          <w:p w14:paraId="41A8910D"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výstavba nového vedení</w:t>
            </w:r>
          </w:p>
        </w:tc>
      </w:tr>
      <w:tr w:rsidR="00EF1DD2" w:rsidRPr="00EC5881" w14:paraId="51953BDD" w14:textId="77777777" w:rsidTr="00AB2594">
        <w:tc>
          <w:tcPr>
            <w:tcW w:w="8897" w:type="dxa"/>
            <w:gridSpan w:val="4"/>
            <w:tcBorders>
              <w:top w:val="nil"/>
              <w:left w:val="nil"/>
              <w:bottom w:val="nil"/>
            </w:tcBorders>
          </w:tcPr>
          <w:p w14:paraId="4EB8F76F" w14:textId="77777777" w:rsidR="00EF1DD2" w:rsidRDefault="00EF1DD2" w:rsidP="00EF1DD2">
            <w:pPr>
              <w:pStyle w:val="Texttabulky"/>
              <w:spacing w:after="0" w:line="288" w:lineRule="auto"/>
              <w:jc w:val="both"/>
              <w:rPr>
                <w:rFonts w:cs="Arial"/>
                <w:b/>
                <w:bCs/>
                <w:caps/>
                <w:sz w:val="20"/>
                <w:szCs w:val="24"/>
              </w:rPr>
            </w:pPr>
          </w:p>
          <w:p w14:paraId="28F94F24" w14:textId="77777777" w:rsidR="00EF1DD2" w:rsidRDefault="00EF1DD2" w:rsidP="00EF1DD2">
            <w:pPr>
              <w:pStyle w:val="Texttabulky"/>
              <w:spacing w:after="0" w:line="288" w:lineRule="auto"/>
              <w:jc w:val="both"/>
              <w:rPr>
                <w:rFonts w:cs="Arial"/>
                <w:b/>
                <w:bCs/>
                <w:caps/>
                <w:sz w:val="20"/>
                <w:szCs w:val="24"/>
              </w:rPr>
            </w:pPr>
            <w:r w:rsidRPr="00EC5881">
              <w:rPr>
                <w:rFonts w:cs="Arial"/>
                <w:b/>
                <w:bCs/>
                <w:caps/>
                <w:sz w:val="20"/>
                <w:szCs w:val="24"/>
              </w:rPr>
              <w:t>stavby teplárenské</w:t>
            </w:r>
          </w:p>
          <w:p w14:paraId="7F5DEE8B" w14:textId="77777777" w:rsidR="00EF1DD2" w:rsidRPr="00EC5881" w:rsidRDefault="00EF1DD2" w:rsidP="00EF1DD2">
            <w:pPr>
              <w:pStyle w:val="Texttabulky"/>
              <w:spacing w:after="0" w:line="288" w:lineRule="auto"/>
              <w:jc w:val="both"/>
              <w:rPr>
                <w:rFonts w:cs="Arial"/>
                <w:sz w:val="20"/>
                <w:szCs w:val="24"/>
              </w:rPr>
            </w:pPr>
          </w:p>
        </w:tc>
      </w:tr>
      <w:tr w:rsidR="00EF1DD2" w:rsidRPr="00EC5881" w14:paraId="47A0A89D" w14:textId="77777777" w:rsidTr="00AB2594">
        <w:tc>
          <w:tcPr>
            <w:tcW w:w="576" w:type="dxa"/>
            <w:tcBorders>
              <w:top w:val="nil"/>
              <w:left w:val="nil"/>
              <w:bottom w:val="nil"/>
              <w:right w:val="nil"/>
            </w:tcBorders>
          </w:tcPr>
          <w:p w14:paraId="65266061"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T1</w:t>
            </w:r>
          </w:p>
        </w:tc>
        <w:tc>
          <w:tcPr>
            <w:tcW w:w="130" w:type="dxa"/>
            <w:tcBorders>
              <w:top w:val="nil"/>
              <w:left w:val="nil"/>
              <w:bottom w:val="nil"/>
              <w:right w:val="nil"/>
            </w:tcBorders>
          </w:tcPr>
          <w:p w14:paraId="0C4C53F1"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673CEAD6"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primerní rozvody CZT</w:t>
            </w:r>
          </w:p>
        </w:tc>
        <w:tc>
          <w:tcPr>
            <w:tcW w:w="3797" w:type="dxa"/>
            <w:tcBorders>
              <w:top w:val="nil"/>
              <w:left w:val="nil"/>
              <w:bottom w:val="nil"/>
              <w:right w:val="nil"/>
            </w:tcBorders>
          </w:tcPr>
          <w:p w14:paraId="270A0CFA"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plošná teplofikace, Podmokly, II/2,II/25</w:t>
            </w:r>
          </w:p>
        </w:tc>
      </w:tr>
      <w:tr w:rsidR="00EF1DD2" w:rsidRPr="00EC5881" w14:paraId="187A3668" w14:textId="77777777" w:rsidTr="00AB2594">
        <w:tc>
          <w:tcPr>
            <w:tcW w:w="576" w:type="dxa"/>
            <w:tcBorders>
              <w:top w:val="nil"/>
              <w:left w:val="nil"/>
              <w:bottom w:val="nil"/>
              <w:right w:val="nil"/>
            </w:tcBorders>
          </w:tcPr>
          <w:p w14:paraId="7971680C"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T2</w:t>
            </w:r>
          </w:p>
        </w:tc>
        <w:tc>
          <w:tcPr>
            <w:tcW w:w="130" w:type="dxa"/>
            <w:tcBorders>
              <w:top w:val="nil"/>
              <w:left w:val="nil"/>
              <w:bottom w:val="nil"/>
              <w:right w:val="nil"/>
            </w:tcBorders>
          </w:tcPr>
          <w:p w14:paraId="0EB18C79"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4C66B80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zdroj CZT Děčín východ</w:t>
            </w:r>
          </w:p>
        </w:tc>
        <w:tc>
          <w:tcPr>
            <w:tcW w:w="3797" w:type="dxa"/>
            <w:tcBorders>
              <w:top w:val="nil"/>
              <w:left w:val="nil"/>
              <w:bottom w:val="nil"/>
              <w:right w:val="nil"/>
            </w:tcBorders>
          </w:tcPr>
          <w:p w14:paraId="1BAEB59E"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plošná teplofikace, Děčín 1, Staré Město, Nové Město, Březiny</w:t>
            </w:r>
          </w:p>
        </w:tc>
      </w:tr>
      <w:tr w:rsidR="00EF1DD2" w:rsidRPr="00EC5881" w14:paraId="1B016DBF" w14:textId="77777777" w:rsidTr="00AB2594">
        <w:tc>
          <w:tcPr>
            <w:tcW w:w="576" w:type="dxa"/>
            <w:tcBorders>
              <w:top w:val="nil"/>
              <w:left w:val="nil"/>
              <w:bottom w:val="nil"/>
              <w:right w:val="nil"/>
            </w:tcBorders>
          </w:tcPr>
          <w:p w14:paraId="2385FC9D"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T3</w:t>
            </w:r>
          </w:p>
        </w:tc>
        <w:tc>
          <w:tcPr>
            <w:tcW w:w="130" w:type="dxa"/>
            <w:tcBorders>
              <w:top w:val="nil"/>
              <w:left w:val="nil"/>
              <w:bottom w:val="nil"/>
              <w:right w:val="nil"/>
            </w:tcBorders>
          </w:tcPr>
          <w:p w14:paraId="6638DBCA"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2E54BC89"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páteřní primerní rozvody CZT ze zdroje Děčín východ</w:t>
            </w:r>
          </w:p>
        </w:tc>
        <w:tc>
          <w:tcPr>
            <w:tcW w:w="3797" w:type="dxa"/>
            <w:tcBorders>
              <w:top w:val="nil"/>
              <w:left w:val="nil"/>
              <w:bottom w:val="nil"/>
              <w:right w:val="nil"/>
            </w:tcBorders>
          </w:tcPr>
          <w:p w14:paraId="03D199AE"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plošná teplofikace, Děčín 1, Staré Město, Nové Město</w:t>
            </w:r>
          </w:p>
        </w:tc>
      </w:tr>
      <w:tr w:rsidR="00EF1DD2" w:rsidRPr="00EC5881" w14:paraId="06D81366" w14:textId="77777777" w:rsidTr="00AB2594">
        <w:tc>
          <w:tcPr>
            <w:tcW w:w="576" w:type="dxa"/>
            <w:tcBorders>
              <w:top w:val="nil"/>
              <w:left w:val="nil"/>
              <w:bottom w:val="nil"/>
              <w:right w:val="nil"/>
            </w:tcBorders>
          </w:tcPr>
          <w:p w14:paraId="20DC0172"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T4</w:t>
            </w:r>
          </w:p>
        </w:tc>
        <w:tc>
          <w:tcPr>
            <w:tcW w:w="130" w:type="dxa"/>
            <w:tcBorders>
              <w:top w:val="nil"/>
              <w:left w:val="nil"/>
              <w:bottom w:val="nil"/>
              <w:right w:val="nil"/>
            </w:tcBorders>
          </w:tcPr>
          <w:p w14:paraId="333029B6"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59BD06E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primerních rozvodů CZT</w:t>
            </w:r>
          </w:p>
        </w:tc>
        <w:tc>
          <w:tcPr>
            <w:tcW w:w="3797" w:type="dxa"/>
            <w:tcBorders>
              <w:top w:val="nil"/>
              <w:left w:val="nil"/>
              <w:bottom w:val="nil"/>
              <w:right w:val="nil"/>
            </w:tcBorders>
          </w:tcPr>
          <w:p w14:paraId="43BEB950"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II/25</w:t>
            </w:r>
          </w:p>
        </w:tc>
      </w:tr>
      <w:tr w:rsidR="00EF1DD2" w:rsidRPr="00EC5881" w14:paraId="6210C081" w14:textId="77777777" w:rsidTr="00AB2594">
        <w:tc>
          <w:tcPr>
            <w:tcW w:w="576" w:type="dxa"/>
            <w:tcBorders>
              <w:top w:val="nil"/>
              <w:left w:val="nil"/>
              <w:bottom w:val="nil"/>
              <w:right w:val="nil"/>
            </w:tcBorders>
          </w:tcPr>
          <w:p w14:paraId="2A6CE1A9"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T5</w:t>
            </w:r>
          </w:p>
        </w:tc>
        <w:tc>
          <w:tcPr>
            <w:tcW w:w="130" w:type="dxa"/>
            <w:tcBorders>
              <w:top w:val="nil"/>
              <w:left w:val="nil"/>
              <w:bottom w:val="nil"/>
              <w:right w:val="nil"/>
            </w:tcBorders>
          </w:tcPr>
          <w:p w14:paraId="2E19CD50"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2EE64364"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primerních rozvodů CZT</w:t>
            </w:r>
          </w:p>
        </w:tc>
        <w:tc>
          <w:tcPr>
            <w:tcW w:w="3797" w:type="dxa"/>
            <w:tcBorders>
              <w:top w:val="nil"/>
              <w:left w:val="nil"/>
              <w:bottom w:val="nil"/>
              <w:right w:val="nil"/>
            </w:tcBorders>
          </w:tcPr>
          <w:p w14:paraId="52B41830"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VI/1</w:t>
            </w:r>
          </w:p>
        </w:tc>
      </w:tr>
      <w:tr w:rsidR="00EF1DD2" w:rsidRPr="00EC5881" w14:paraId="40C33632" w14:textId="77777777" w:rsidTr="00AB2594">
        <w:tc>
          <w:tcPr>
            <w:tcW w:w="576" w:type="dxa"/>
            <w:tcBorders>
              <w:top w:val="nil"/>
              <w:left w:val="nil"/>
              <w:bottom w:val="nil"/>
              <w:right w:val="nil"/>
            </w:tcBorders>
          </w:tcPr>
          <w:p w14:paraId="37B5F140"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T6</w:t>
            </w:r>
          </w:p>
        </w:tc>
        <w:tc>
          <w:tcPr>
            <w:tcW w:w="130" w:type="dxa"/>
            <w:tcBorders>
              <w:top w:val="nil"/>
              <w:left w:val="nil"/>
              <w:bottom w:val="nil"/>
              <w:right w:val="nil"/>
            </w:tcBorders>
          </w:tcPr>
          <w:p w14:paraId="59F4FCAA"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268DEC7D"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primerních rozvodů CZT</w:t>
            </w:r>
          </w:p>
        </w:tc>
        <w:tc>
          <w:tcPr>
            <w:tcW w:w="3797" w:type="dxa"/>
            <w:tcBorders>
              <w:top w:val="nil"/>
              <w:left w:val="nil"/>
              <w:bottom w:val="nil"/>
              <w:right w:val="nil"/>
            </w:tcBorders>
          </w:tcPr>
          <w:p w14:paraId="2DB62C03"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VI/25</w:t>
            </w:r>
          </w:p>
        </w:tc>
      </w:tr>
      <w:tr w:rsidR="00EF1DD2" w:rsidRPr="00EC5881" w14:paraId="079BEABC" w14:textId="77777777" w:rsidTr="00AB2594">
        <w:tc>
          <w:tcPr>
            <w:tcW w:w="576" w:type="dxa"/>
            <w:tcBorders>
              <w:top w:val="nil"/>
              <w:left w:val="nil"/>
              <w:bottom w:val="nil"/>
              <w:right w:val="nil"/>
            </w:tcBorders>
          </w:tcPr>
          <w:p w14:paraId="1C030477"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T7</w:t>
            </w:r>
          </w:p>
        </w:tc>
        <w:tc>
          <w:tcPr>
            <w:tcW w:w="130" w:type="dxa"/>
            <w:tcBorders>
              <w:top w:val="nil"/>
              <w:left w:val="nil"/>
              <w:bottom w:val="nil"/>
              <w:right w:val="nil"/>
            </w:tcBorders>
          </w:tcPr>
          <w:p w14:paraId="3ACF1D13"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369B458F"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primerních rozvodů CZT</w:t>
            </w:r>
          </w:p>
        </w:tc>
        <w:tc>
          <w:tcPr>
            <w:tcW w:w="3797" w:type="dxa"/>
            <w:tcBorders>
              <w:top w:val="nil"/>
              <w:left w:val="nil"/>
              <w:bottom w:val="nil"/>
              <w:right w:val="nil"/>
            </w:tcBorders>
          </w:tcPr>
          <w:p w14:paraId="7DC848C0"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VII/1, VII/15, VII/3</w:t>
            </w:r>
          </w:p>
        </w:tc>
      </w:tr>
      <w:tr w:rsidR="00EF1DD2" w:rsidRPr="00EC5881" w14:paraId="722132EA" w14:textId="77777777" w:rsidTr="00AB2594">
        <w:tc>
          <w:tcPr>
            <w:tcW w:w="576" w:type="dxa"/>
            <w:tcBorders>
              <w:top w:val="nil"/>
              <w:left w:val="nil"/>
              <w:bottom w:val="nil"/>
              <w:right w:val="nil"/>
            </w:tcBorders>
          </w:tcPr>
          <w:p w14:paraId="0388E0E1"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T8</w:t>
            </w:r>
          </w:p>
        </w:tc>
        <w:tc>
          <w:tcPr>
            <w:tcW w:w="130" w:type="dxa"/>
            <w:tcBorders>
              <w:top w:val="nil"/>
              <w:left w:val="nil"/>
              <w:bottom w:val="nil"/>
              <w:right w:val="nil"/>
            </w:tcBorders>
          </w:tcPr>
          <w:p w14:paraId="3527BC28"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506A08A5"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primerních rozvodů CZT</w:t>
            </w:r>
          </w:p>
        </w:tc>
        <w:tc>
          <w:tcPr>
            <w:tcW w:w="3797" w:type="dxa"/>
            <w:tcBorders>
              <w:top w:val="nil"/>
              <w:left w:val="nil"/>
              <w:bottom w:val="nil"/>
              <w:right w:val="nil"/>
            </w:tcBorders>
          </w:tcPr>
          <w:p w14:paraId="0EDA920A"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VII/4</w:t>
            </w:r>
          </w:p>
        </w:tc>
      </w:tr>
      <w:tr w:rsidR="00EF1DD2" w:rsidRPr="00EC5881" w14:paraId="1295971A" w14:textId="77777777" w:rsidTr="00AB2594">
        <w:tc>
          <w:tcPr>
            <w:tcW w:w="576" w:type="dxa"/>
            <w:tcBorders>
              <w:top w:val="nil"/>
              <w:left w:val="nil"/>
              <w:bottom w:val="nil"/>
              <w:right w:val="nil"/>
            </w:tcBorders>
          </w:tcPr>
          <w:p w14:paraId="7EAB3E6E"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T9</w:t>
            </w:r>
          </w:p>
        </w:tc>
        <w:tc>
          <w:tcPr>
            <w:tcW w:w="130" w:type="dxa"/>
            <w:tcBorders>
              <w:top w:val="nil"/>
              <w:left w:val="nil"/>
              <w:bottom w:val="nil"/>
              <w:right w:val="nil"/>
            </w:tcBorders>
          </w:tcPr>
          <w:p w14:paraId="0A86F2E2"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76207162"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tepelný napaječ Kabelovna - Podmokly</w:t>
            </w:r>
          </w:p>
        </w:tc>
        <w:tc>
          <w:tcPr>
            <w:tcW w:w="3797" w:type="dxa"/>
            <w:tcBorders>
              <w:top w:val="nil"/>
              <w:left w:val="nil"/>
              <w:bottom w:val="nil"/>
              <w:right w:val="nil"/>
            </w:tcBorders>
          </w:tcPr>
          <w:p w14:paraId="55AAC006"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plošná teplofikace Podmokel</w:t>
            </w:r>
          </w:p>
        </w:tc>
      </w:tr>
      <w:tr w:rsidR="00EF1DD2" w:rsidRPr="00EC5881" w14:paraId="3F35A4D1" w14:textId="77777777" w:rsidTr="00AB2594">
        <w:tc>
          <w:tcPr>
            <w:tcW w:w="576" w:type="dxa"/>
            <w:tcBorders>
              <w:top w:val="nil"/>
              <w:left w:val="nil"/>
              <w:right w:val="nil"/>
            </w:tcBorders>
          </w:tcPr>
          <w:p w14:paraId="0FD269A9"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T10</w:t>
            </w:r>
          </w:p>
        </w:tc>
        <w:tc>
          <w:tcPr>
            <w:tcW w:w="130" w:type="dxa"/>
            <w:tcBorders>
              <w:top w:val="nil"/>
              <w:left w:val="nil"/>
              <w:right w:val="nil"/>
            </w:tcBorders>
          </w:tcPr>
          <w:p w14:paraId="162C2820"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right w:val="nil"/>
            </w:tcBorders>
          </w:tcPr>
          <w:p w14:paraId="370C222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výstavba kogenerační jednotky</w:t>
            </w:r>
          </w:p>
        </w:tc>
        <w:tc>
          <w:tcPr>
            <w:tcW w:w="3797" w:type="dxa"/>
            <w:tcBorders>
              <w:top w:val="nil"/>
              <w:left w:val="nil"/>
              <w:right w:val="nil"/>
            </w:tcBorders>
          </w:tcPr>
          <w:p w14:paraId="6786F36E"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Boletice, VII/4</w:t>
            </w:r>
          </w:p>
        </w:tc>
      </w:tr>
      <w:tr w:rsidR="00EF1DD2" w:rsidRPr="00EC5881" w14:paraId="4A89D18B" w14:textId="77777777" w:rsidTr="00AB2594">
        <w:tc>
          <w:tcPr>
            <w:tcW w:w="8897" w:type="dxa"/>
            <w:gridSpan w:val="4"/>
            <w:tcBorders>
              <w:top w:val="nil"/>
              <w:left w:val="nil"/>
              <w:bottom w:val="nil"/>
            </w:tcBorders>
          </w:tcPr>
          <w:p w14:paraId="0800C84F" w14:textId="77777777" w:rsidR="00EF1DD2" w:rsidRDefault="00EF1DD2" w:rsidP="00EF1DD2">
            <w:pPr>
              <w:pStyle w:val="Texttabulky"/>
              <w:spacing w:after="0" w:line="288" w:lineRule="auto"/>
              <w:jc w:val="both"/>
              <w:rPr>
                <w:rFonts w:cs="Arial"/>
                <w:b/>
                <w:bCs/>
                <w:caps/>
                <w:sz w:val="20"/>
                <w:szCs w:val="24"/>
              </w:rPr>
            </w:pPr>
          </w:p>
          <w:p w14:paraId="21114522" w14:textId="77777777" w:rsidR="00EF1DD2" w:rsidRDefault="00EF1DD2" w:rsidP="00EF1DD2">
            <w:pPr>
              <w:pStyle w:val="Texttabulky"/>
              <w:spacing w:after="0" w:line="288" w:lineRule="auto"/>
              <w:jc w:val="both"/>
              <w:rPr>
                <w:rFonts w:cs="Arial"/>
                <w:b/>
                <w:bCs/>
                <w:caps/>
                <w:sz w:val="20"/>
                <w:szCs w:val="24"/>
              </w:rPr>
            </w:pPr>
            <w:r w:rsidRPr="00EC5881">
              <w:rPr>
                <w:rFonts w:cs="Arial"/>
                <w:b/>
                <w:bCs/>
                <w:caps/>
                <w:sz w:val="20"/>
                <w:szCs w:val="24"/>
              </w:rPr>
              <w:t>stavby plynárenské</w:t>
            </w:r>
          </w:p>
          <w:p w14:paraId="2E95F94D" w14:textId="77777777" w:rsidR="00EF1DD2" w:rsidRPr="00EC5881" w:rsidRDefault="00EF1DD2" w:rsidP="00EF1DD2">
            <w:pPr>
              <w:pStyle w:val="Texttabulky"/>
              <w:spacing w:after="0" w:line="288" w:lineRule="auto"/>
              <w:jc w:val="both"/>
              <w:rPr>
                <w:rFonts w:cs="Arial"/>
                <w:sz w:val="20"/>
                <w:szCs w:val="24"/>
              </w:rPr>
            </w:pPr>
          </w:p>
        </w:tc>
      </w:tr>
      <w:tr w:rsidR="00EF1DD2" w:rsidRPr="00EC5881" w14:paraId="58D313A4" w14:textId="77777777" w:rsidTr="00AB2594">
        <w:tc>
          <w:tcPr>
            <w:tcW w:w="576" w:type="dxa"/>
            <w:tcBorders>
              <w:top w:val="nil"/>
              <w:left w:val="nil"/>
              <w:bottom w:val="nil"/>
              <w:right w:val="nil"/>
            </w:tcBorders>
          </w:tcPr>
          <w:p w14:paraId="2438A1C8"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lastRenderedPageBreak/>
              <w:t>P1</w:t>
            </w:r>
          </w:p>
        </w:tc>
        <w:tc>
          <w:tcPr>
            <w:tcW w:w="130" w:type="dxa"/>
            <w:tcBorders>
              <w:top w:val="nil"/>
              <w:left w:val="nil"/>
              <w:bottom w:val="nil"/>
              <w:right w:val="nil"/>
            </w:tcBorders>
          </w:tcPr>
          <w:p w14:paraId="2BA338CB"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2FC693FF"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NTL sítě</w:t>
            </w:r>
          </w:p>
        </w:tc>
        <w:tc>
          <w:tcPr>
            <w:tcW w:w="3797" w:type="dxa"/>
            <w:tcBorders>
              <w:top w:val="nil"/>
              <w:left w:val="nil"/>
              <w:bottom w:val="nil"/>
              <w:right w:val="nil"/>
            </w:tcBorders>
          </w:tcPr>
          <w:p w14:paraId="702865B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II/3</w:t>
            </w:r>
          </w:p>
        </w:tc>
      </w:tr>
      <w:tr w:rsidR="00EF1DD2" w:rsidRPr="00EC5881" w14:paraId="5FA6C5EC" w14:textId="77777777" w:rsidTr="00AB2594">
        <w:tc>
          <w:tcPr>
            <w:tcW w:w="576" w:type="dxa"/>
            <w:tcBorders>
              <w:top w:val="nil"/>
              <w:left w:val="nil"/>
              <w:bottom w:val="nil"/>
              <w:right w:val="nil"/>
            </w:tcBorders>
          </w:tcPr>
          <w:p w14:paraId="34A565A7"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P2</w:t>
            </w:r>
          </w:p>
        </w:tc>
        <w:tc>
          <w:tcPr>
            <w:tcW w:w="130" w:type="dxa"/>
            <w:tcBorders>
              <w:top w:val="nil"/>
              <w:left w:val="nil"/>
              <w:bottom w:val="nil"/>
              <w:right w:val="nil"/>
            </w:tcBorders>
          </w:tcPr>
          <w:p w14:paraId="483980CC"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610EF6BD"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161C8854"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II/5</w:t>
            </w:r>
          </w:p>
        </w:tc>
      </w:tr>
      <w:tr w:rsidR="00EF1DD2" w:rsidRPr="00EC5881" w14:paraId="084ACA58" w14:textId="77777777" w:rsidTr="00AB2594">
        <w:tc>
          <w:tcPr>
            <w:tcW w:w="576" w:type="dxa"/>
            <w:tcBorders>
              <w:top w:val="nil"/>
              <w:left w:val="nil"/>
              <w:bottom w:val="nil"/>
              <w:right w:val="nil"/>
            </w:tcBorders>
          </w:tcPr>
          <w:p w14:paraId="1C03CC8C"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P3</w:t>
            </w:r>
          </w:p>
        </w:tc>
        <w:tc>
          <w:tcPr>
            <w:tcW w:w="130" w:type="dxa"/>
            <w:tcBorders>
              <w:top w:val="nil"/>
              <w:left w:val="nil"/>
              <w:bottom w:val="nil"/>
              <w:right w:val="nil"/>
            </w:tcBorders>
          </w:tcPr>
          <w:p w14:paraId="58CADA38"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79227B7E"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3AE89938"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II/6</w:t>
            </w:r>
          </w:p>
        </w:tc>
      </w:tr>
      <w:tr w:rsidR="00EF1DD2" w:rsidRPr="00EC5881" w14:paraId="1787248F" w14:textId="77777777" w:rsidTr="00AB2594">
        <w:tc>
          <w:tcPr>
            <w:tcW w:w="576" w:type="dxa"/>
            <w:tcBorders>
              <w:top w:val="nil"/>
              <w:left w:val="nil"/>
              <w:bottom w:val="nil"/>
              <w:right w:val="nil"/>
            </w:tcBorders>
          </w:tcPr>
          <w:p w14:paraId="38415302"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P4</w:t>
            </w:r>
          </w:p>
        </w:tc>
        <w:tc>
          <w:tcPr>
            <w:tcW w:w="130" w:type="dxa"/>
            <w:tcBorders>
              <w:top w:val="nil"/>
              <w:left w:val="nil"/>
              <w:bottom w:val="nil"/>
              <w:right w:val="nil"/>
            </w:tcBorders>
          </w:tcPr>
          <w:p w14:paraId="3D1A40AE"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33301B98"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579F5B8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II/7, II/8, II/9, II/10, II/11, II/21</w:t>
            </w:r>
          </w:p>
        </w:tc>
      </w:tr>
      <w:tr w:rsidR="00EF1DD2" w:rsidRPr="00EC5881" w14:paraId="35067F64" w14:textId="77777777" w:rsidTr="00AB2594">
        <w:tc>
          <w:tcPr>
            <w:tcW w:w="576" w:type="dxa"/>
            <w:tcBorders>
              <w:top w:val="nil"/>
              <w:left w:val="nil"/>
              <w:bottom w:val="nil"/>
              <w:right w:val="nil"/>
            </w:tcBorders>
          </w:tcPr>
          <w:p w14:paraId="3692459C"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P5</w:t>
            </w:r>
          </w:p>
        </w:tc>
        <w:tc>
          <w:tcPr>
            <w:tcW w:w="130" w:type="dxa"/>
            <w:tcBorders>
              <w:top w:val="nil"/>
              <w:left w:val="nil"/>
              <w:bottom w:val="nil"/>
              <w:right w:val="nil"/>
            </w:tcBorders>
          </w:tcPr>
          <w:p w14:paraId="24854C56"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28CE50D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0E001A88"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II/12</w:t>
            </w:r>
          </w:p>
        </w:tc>
      </w:tr>
      <w:tr w:rsidR="00EF1DD2" w:rsidRPr="00EC5881" w14:paraId="071EA9AA" w14:textId="77777777" w:rsidTr="00AB2594">
        <w:tc>
          <w:tcPr>
            <w:tcW w:w="576" w:type="dxa"/>
            <w:tcBorders>
              <w:top w:val="nil"/>
              <w:left w:val="nil"/>
              <w:bottom w:val="nil"/>
              <w:right w:val="nil"/>
            </w:tcBorders>
          </w:tcPr>
          <w:p w14:paraId="5551EAB4"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P6</w:t>
            </w:r>
          </w:p>
        </w:tc>
        <w:tc>
          <w:tcPr>
            <w:tcW w:w="130" w:type="dxa"/>
            <w:tcBorders>
              <w:top w:val="nil"/>
              <w:left w:val="nil"/>
              <w:bottom w:val="nil"/>
              <w:right w:val="nil"/>
            </w:tcBorders>
          </w:tcPr>
          <w:p w14:paraId="42A5F141"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732519BC"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NTL sítě</w:t>
            </w:r>
          </w:p>
        </w:tc>
        <w:tc>
          <w:tcPr>
            <w:tcW w:w="3797" w:type="dxa"/>
            <w:tcBorders>
              <w:top w:val="nil"/>
              <w:left w:val="nil"/>
              <w:bottom w:val="nil"/>
              <w:right w:val="nil"/>
            </w:tcBorders>
          </w:tcPr>
          <w:p w14:paraId="71593A4E"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II/13</w:t>
            </w:r>
          </w:p>
        </w:tc>
      </w:tr>
      <w:tr w:rsidR="00EF1DD2" w:rsidRPr="00EC5881" w14:paraId="71845923" w14:textId="77777777" w:rsidTr="00AB2594">
        <w:tc>
          <w:tcPr>
            <w:tcW w:w="576" w:type="dxa"/>
            <w:tcBorders>
              <w:top w:val="nil"/>
              <w:left w:val="nil"/>
              <w:bottom w:val="nil"/>
              <w:right w:val="nil"/>
            </w:tcBorders>
          </w:tcPr>
          <w:p w14:paraId="3E5FA4D1"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P7</w:t>
            </w:r>
          </w:p>
        </w:tc>
        <w:tc>
          <w:tcPr>
            <w:tcW w:w="130" w:type="dxa"/>
            <w:tcBorders>
              <w:top w:val="nil"/>
              <w:left w:val="nil"/>
              <w:bottom w:val="nil"/>
              <w:right w:val="nil"/>
            </w:tcBorders>
          </w:tcPr>
          <w:p w14:paraId="7642B965"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78CF3EDD"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NTL sítě</w:t>
            </w:r>
          </w:p>
        </w:tc>
        <w:tc>
          <w:tcPr>
            <w:tcW w:w="3797" w:type="dxa"/>
            <w:tcBorders>
              <w:top w:val="nil"/>
              <w:left w:val="nil"/>
              <w:bottom w:val="nil"/>
              <w:right w:val="nil"/>
            </w:tcBorders>
          </w:tcPr>
          <w:p w14:paraId="41ABA922"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III/2</w:t>
            </w:r>
          </w:p>
        </w:tc>
      </w:tr>
      <w:tr w:rsidR="00EF1DD2" w:rsidRPr="00EC5881" w14:paraId="21DFDEFA" w14:textId="77777777" w:rsidTr="00AB2594">
        <w:tc>
          <w:tcPr>
            <w:tcW w:w="576" w:type="dxa"/>
            <w:tcBorders>
              <w:top w:val="nil"/>
              <w:left w:val="nil"/>
              <w:bottom w:val="nil"/>
              <w:right w:val="nil"/>
            </w:tcBorders>
          </w:tcPr>
          <w:p w14:paraId="7D5C811B"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P8</w:t>
            </w:r>
          </w:p>
        </w:tc>
        <w:tc>
          <w:tcPr>
            <w:tcW w:w="130" w:type="dxa"/>
            <w:tcBorders>
              <w:top w:val="nil"/>
              <w:left w:val="nil"/>
              <w:bottom w:val="nil"/>
              <w:right w:val="nil"/>
            </w:tcBorders>
          </w:tcPr>
          <w:p w14:paraId="60D1F081"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71045CE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NTL sítě</w:t>
            </w:r>
          </w:p>
        </w:tc>
        <w:tc>
          <w:tcPr>
            <w:tcW w:w="3797" w:type="dxa"/>
            <w:tcBorders>
              <w:top w:val="nil"/>
              <w:left w:val="nil"/>
              <w:bottom w:val="nil"/>
              <w:right w:val="nil"/>
            </w:tcBorders>
          </w:tcPr>
          <w:p w14:paraId="4F6CF42A"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III/3</w:t>
            </w:r>
          </w:p>
        </w:tc>
      </w:tr>
      <w:tr w:rsidR="00EF1DD2" w:rsidRPr="00EC5881" w14:paraId="2DD9CDD5" w14:textId="77777777" w:rsidTr="00AB2594">
        <w:tc>
          <w:tcPr>
            <w:tcW w:w="576" w:type="dxa"/>
            <w:tcBorders>
              <w:top w:val="nil"/>
              <w:left w:val="nil"/>
              <w:bottom w:val="nil"/>
              <w:right w:val="nil"/>
            </w:tcBorders>
          </w:tcPr>
          <w:p w14:paraId="2479EFFE"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P9</w:t>
            </w:r>
          </w:p>
        </w:tc>
        <w:tc>
          <w:tcPr>
            <w:tcW w:w="130" w:type="dxa"/>
            <w:tcBorders>
              <w:top w:val="nil"/>
              <w:left w:val="nil"/>
              <w:bottom w:val="nil"/>
              <w:right w:val="nil"/>
            </w:tcBorders>
          </w:tcPr>
          <w:p w14:paraId="74F8AE93"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034E2C4D"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NTL sítě</w:t>
            </w:r>
          </w:p>
        </w:tc>
        <w:tc>
          <w:tcPr>
            <w:tcW w:w="3797" w:type="dxa"/>
            <w:tcBorders>
              <w:top w:val="nil"/>
              <w:left w:val="nil"/>
              <w:bottom w:val="nil"/>
              <w:right w:val="nil"/>
            </w:tcBorders>
          </w:tcPr>
          <w:p w14:paraId="690632DA"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III/4</w:t>
            </w:r>
          </w:p>
        </w:tc>
      </w:tr>
      <w:tr w:rsidR="00EF1DD2" w:rsidRPr="00EC5881" w14:paraId="1C9B4D2B" w14:textId="77777777" w:rsidTr="00AB2594">
        <w:tc>
          <w:tcPr>
            <w:tcW w:w="576" w:type="dxa"/>
            <w:tcBorders>
              <w:top w:val="nil"/>
              <w:left w:val="nil"/>
              <w:bottom w:val="nil"/>
              <w:right w:val="nil"/>
            </w:tcBorders>
          </w:tcPr>
          <w:p w14:paraId="17BA3FCB"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P10</w:t>
            </w:r>
          </w:p>
        </w:tc>
        <w:tc>
          <w:tcPr>
            <w:tcW w:w="130" w:type="dxa"/>
            <w:tcBorders>
              <w:top w:val="nil"/>
              <w:left w:val="nil"/>
              <w:bottom w:val="nil"/>
              <w:right w:val="nil"/>
            </w:tcBorders>
          </w:tcPr>
          <w:p w14:paraId="5F2E194C"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068D6E8D"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7AD6C6F3"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IV/2</w:t>
            </w:r>
          </w:p>
        </w:tc>
      </w:tr>
      <w:tr w:rsidR="00EF1DD2" w:rsidRPr="00EC5881" w14:paraId="186FBC02" w14:textId="77777777" w:rsidTr="00AB2594">
        <w:tc>
          <w:tcPr>
            <w:tcW w:w="576" w:type="dxa"/>
            <w:tcBorders>
              <w:top w:val="nil"/>
              <w:left w:val="nil"/>
              <w:bottom w:val="nil"/>
              <w:right w:val="nil"/>
            </w:tcBorders>
          </w:tcPr>
          <w:p w14:paraId="0CEC2BE3"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P11</w:t>
            </w:r>
          </w:p>
        </w:tc>
        <w:tc>
          <w:tcPr>
            <w:tcW w:w="130" w:type="dxa"/>
            <w:tcBorders>
              <w:top w:val="nil"/>
              <w:left w:val="nil"/>
              <w:bottom w:val="nil"/>
              <w:right w:val="nil"/>
            </w:tcBorders>
          </w:tcPr>
          <w:p w14:paraId="5B5C5EF5"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01B3BF64"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67C1FF65"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IV/3</w:t>
            </w:r>
          </w:p>
        </w:tc>
      </w:tr>
      <w:tr w:rsidR="00EF1DD2" w:rsidRPr="00EC5881" w14:paraId="56F81CA4" w14:textId="77777777" w:rsidTr="00AB2594">
        <w:tc>
          <w:tcPr>
            <w:tcW w:w="576" w:type="dxa"/>
            <w:tcBorders>
              <w:top w:val="nil"/>
              <w:left w:val="nil"/>
              <w:bottom w:val="nil"/>
              <w:right w:val="nil"/>
            </w:tcBorders>
          </w:tcPr>
          <w:p w14:paraId="118C5BF1"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P12</w:t>
            </w:r>
          </w:p>
        </w:tc>
        <w:tc>
          <w:tcPr>
            <w:tcW w:w="130" w:type="dxa"/>
            <w:tcBorders>
              <w:top w:val="nil"/>
              <w:left w:val="nil"/>
              <w:bottom w:val="nil"/>
              <w:right w:val="nil"/>
            </w:tcBorders>
          </w:tcPr>
          <w:p w14:paraId="50AFDD67"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05CDA2BF"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NTL sítě</w:t>
            </w:r>
          </w:p>
        </w:tc>
        <w:tc>
          <w:tcPr>
            <w:tcW w:w="3797" w:type="dxa"/>
            <w:tcBorders>
              <w:top w:val="nil"/>
              <w:left w:val="nil"/>
              <w:bottom w:val="nil"/>
              <w:right w:val="nil"/>
            </w:tcBorders>
          </w:tcPr>
          <w:p w14:paraId="3CE92332"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IV/4</w:t>
            </w:r>
          </w:p>
        </w:tc>
      </w:tr>
      <w:tr w:rsidR="00EF1DD2" w:rsidRPr="00EC5881" w14:paraId="786825E6" w14:textId="77777777" w:rsidTr="00AB2594">
        <w:tc>
          <w:tcPr>
            <w:tcW w:w="576" w:type="dxa"/>
            <w:tcBorders>
              <w:top w:val="nil"/>
              <w:left w:val="nil"/>
              <w:bottom w:val="nil"/>
              <w:right w:val="nil"/>
            </w:tcBorders>
          </w:tcPr>
          <w:p w14:paraId="076F9380"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P13</w:t>
            </w:r>
          </w:p>
        </w:tc>
        <w:tc>
          <w:tcPr>
            <w:tcW w:w="130" w:type="dxa"/>
            <w:tcBorders>
              <w:top w:val="nil"/>
              <w:left w:val="nil"/>
              <w:bottom w:val="nil"/>
              <w:right w:val="nil"/>
            </w:tcBorders>
          </w:tcPr>
          <w:p w14:paraId="5E7A59C2"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16D25387"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1DDB12AD"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IV/5</w:t>
            </w:r>
          </w:p>
        </w:tc>
      </w:tr>
      <w:tr w:rsidR="00EF1DD2" w:rsidRPr="00EC5881" w14:paraId="0004FC92" w14:textId="77777777" w:rsidTr="00AB2594">
        <w:tc>
          <w:tcPr>
            <w:tcW w:w="576" w:type="dxa"/>
            <w:tcBorders>
              <w:top w:val="nil"/>
              <w:left w:val="nil"/>
              <w:bottom w:val="nil"/>
              <w:right w:val="nil"/>
            </w:tcBorders>
          </w:tcPr>
          <w:p w14:paraId="4E82EB74"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P14</w:t>
            </w:r>
          </w:p>
        </w:tc>
        <w:tc>
          <w:tcPr>
            <w:tcW w:w="130" w:type="dxa"/>
            <w:tcBorders>
              <w:top w:val="nil"/>
              <w:left w:val="nil"/>
              <w:bottom w:val="nil"/>
              <w:right w:val="nil"/>
            </w:tcBorders>
          </w:tcPr>
          <w:p w14:paraId="0F8FA792"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151C4B22"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797B0894"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IV/6</w:t>
            </w:r>
          </w:p>
        </w:tc>
      </w:tr>
      <w:tr w:rsidR="00EF1DD2" w:rsidRPr="00EC5881" w14:paraId="563B5816" w14:textId="77777777" w:rsidTr="00AB2594">
        <w:tc>
          <w:tcPr>
            <w:tcW w:w="576" w:type="dxa"/>
            <w:tcBorders>
              <w:top w:val="nil"/>
              <w:left w:val="nil"/>
              <w:bottom w:val="nil"/>
              <w:right w:val="nil"/>
            </w:tcBorders>
          </w:tcPr>
          <w:p w14:paraId="5A5A289B"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P15</w:t>
            </w:r>
          </w:p>
        </w:tc>
        <w:tc>
          <w:tcPr>
            <w:tcW w:w="130" w:type="dxa"/>
            <w:tcBorders>
              <w:top w:val="nil"/>
              <w:left w:val="nil"/>
              <w:bottom w:val="nil"/>
              <w:right w:val="nil"/>
            </w:tcBorders>
          </w:tcPr>
          <w:p w14:paraId="4FD4ABA9"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2CCA4292"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66689C26"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IV/7</w:t>
            </w:r>
          </w:p>
        </w:tc>
      </w:tr>
      <w:tr w:rsidR="00EF1DD2" w:rsidRPr="00EC5881" w14:paraId="5B28CF3F" w14:textId="77777777" w:rsidTr="00AB2594">
        <w:tc>
          <w:tcPr>
            <w:tcW w:w="576" w:type="dxa"/>
            <w:tcBorders>
              <w:top w:val="nil"/>
              <w:left w:val="nil"/>
              <w:bottom w:val="nil"/>
              <w:right w:val="nil"/>
            </w:tcBorders>
          </w:tcPr>
          <w:p w14:paraId="3DAF2E9E"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P16</w:t>
            </w:r>
          </w:p>
        </w:tc>
        <w:tc>
          <w:tcPr>
            <w:tcW w:w="130" w:type="dxa"/>
            <w:tcBorders>
              <w:top w:val="nil"/>
              <w:left w:val="nil"/>
              <w:bottom w:val="nil"/>
              <w:right w:val="nil"/>
            </w:tcBorders>
          </w:tcPr>
          <w:p w14:paraId="049C2916"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75E0E19E"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4F3C662E"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IV/8</w:t>
            </w:r>
          </w:p>
        </w:tc>
      </w:tr>
      <w:tr w:rsidR="00EF1DD2" w:rsidRPr="00EC5881" w14:paraId="3B90482C" w14:textId="77777777" w:rsidTr="00AB2594">
        <w:tc>
          <w:tcPr>
            <w:tcW w:w="576" w:type="dxa"/>
            <w:tcBorders>
              <w:top w:val="nil"/>
              <w:left w:val="nil"/>
              <w:bottom w:val="nil"/>
              <w:right w:val="nil"/>
            </w:tcBorders>
          </w:tcPr>
          <w:p w14:paraId="47A38A3D"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P17</w:t>
            </w:r>
          </w:p>
        </w:tc>
        <w:tc>
          <w:tcPr>
            <w:tcW w:w="130" w:type="dxa"/>
            <w:tcBorders>
              <w:top w:val="nil"/>
              <w:left w:val="nil"/>
              <w:bottom w:val="nil"/>
              <w:right w:val="nil"/>
            </w:tcBorders>
          </w:tcPr>
          <w:p w14:paraId="67FB24A5"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28B9A9A8"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75AE5218"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IV/9</w:t>
            </w:r>
          </w:p>
        </w:tc>
      </w:tr>
      <w:tr w:rsidR="00EF1DD2" w:rsidRPr="00EC5881" w14:paraId="49BB3AA1" w14:textId="77777777" w:rsidTr="00AB2594">
        <w:tc>
          <w:tcPr>
            <w:tcW w:w="576" w:type="dxa"/>
            <w:tcBorders>
              <w:top w:val="nil"/>
              <w:left w:val="nil"/>
              <w:bottom w:val="nil"/>
              <w:right w:val="nil"/>
            </w:tcBorders>
          </w:tcPr>
          <w:p w14:paraId="292D97BA"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P18</w:t>
            </w:r>
          </w:p>
        </w:tc>
        <w:tc>
          <w:tcPr>
            <w:tcW w:w="130" w:type="dxa"/>
            <w:tcBorders>
              <w:top w:val="nil"/>
              <w:left w:val="nil"/>
              <w:bottom w:val="nil"/>
              <w:right w:val="nil"/>
            </w:tcBorders>
          </w:tcPr>
          <w:p w14:paraId="552288F2"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28EC859B"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14CE4F0C"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severní část Bynova</w:t>
            </w:r>
          </w:p>
        </w:tc>
      </w:tr>
      <w:tr w:rsidR="00EF1DD2" w:rsidRPr="00EC5881" w14:paraId="65FE5B64" w14:textId="77777777" w:rsidTr="00AB2594">
        <w:tc>
          <w:tcPr>
            <w:tcW w:w="576" w:type="dxa"/>
            <w:tcBorders>
              <w:top w:val="nil"/>
              <w:left w:val="nil"/>
              <w:bottom w:val="nil"/>
              <w:right w:val="nil"/>
            </w:tcBorders>
          </w:tcPr>
          <w:p w14:paraId="2EC4FFF7"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P19</w:t>
            </w:r>
          </w:p>
        </w:tc>
        <w:tc>
          <w:tcPr>
            <w:tcW w:w="130" w:type="dxa"/>
            <w:tcBorders>
              <w:top w:val="nil"/>
              <w:left w:val="nil"/>
              <w:bottom w:val="nil"/>
              <w:right w:val="nil"/>
            </w:tcBorders>
          </w:tcPr>
          <w:p w14:paraId="569C7986"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4BEEFEDE"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NTL sítě</w:t>
            </w:r>
          </w:p>
        </w:tc>
        <w:tc>
          <w:tcPr>
            <w:tcW w:w="3797" w:type="dxa"/>
            <w:tcBorders>
              <w:top w:val="nil"/>
              <w:left w:val="nil"/>
              <w:bottom w:val="nil"/>
              <w:right w:val="nil"/>
            </w:tcBorders>
          </w:tcPr>
          <w:p w14:paraId="2AB467C9"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VI/2</w:t>
            </w:r>
          </w:p>
        </w:tc>
      </w:tr>
      <w:tr w:rsidR="00EF1DD2" w:rsidRPr="00EC5881" w14:paraId="61986F3F" w14:textId="77777777" w:rsidTr="00AB2594">
        <w:tc>
          <w:tcPr>
            <w:tcW w:w="576" w:type="dxa"/>
            <w:tcBorders>
              <w:top w:val="nil"/>
              <w:left w:val="nil"/>
              <w:bottom w:val="nil"/>
              <w:right w:val="nil"/>
            </w:tcBorders>
          </w:tcPr>
          <w:p w14:paraId="6A04EF35"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P20</w:t>
            </w:r>
          </w:p>
        </w:tc>
        <w:tc>
          <w:tcPr>
            <w:tcW w:w="130" w:type="dxa"/>
            <w:tcBorders>
              <w:top w:val="nil"/>
              <w:left w:val="nil"/>
              <w:bottom w:val="nil"/>
              <w:right w:val="nil"/>
            </w:tcBorders>
          </w:tcPr>
          <w:p w14:paraId="5A59A2F6"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3BCDA7FC"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NTL sítě</w:t>
            </w:r>
          </w:p>
        </w:tc>
        <w:tc>
          <w:tcPr>
            <w:tcW w:w="3797" w:type="dxa"/>
            <w:tcBorders>
              <w:top w:val="nil"/>
              <w:left w:val="nil"/>
              <w:bottom w:val="nil"/>
              <w:right w:val="nil"/>
            </w:tcBorders>
          </w:tcPr>
          <w:p w14:paraId="5BB2489C"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VI/18</w:t>
            </w:r>
          </w:p>
        </w:tc>
      </w:tr>
      <w:tr w:rsidR="00EF1DD2" w:rsidRPr="00EC5881" w14:paraId="6BB9CA60" w14:textId="77777777" w:rsidTr="00AB2594">
        <w:tc>
          <w:tcPr>
            <w:tcW w:w="576" w:type="dxa"/>
            <w:tcBorders>
              <w:top w:val="nil"/>
              <w:left w:val="nil"/>
              <w:bottom w:val="nil"/>
              <w:right w:val="nil"/>
            </w:tcBorders>
          </w:tcPr>
          <w:p w14:paraId="2FF0B747"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P21</w:t>
            </w:r>
          </w:p>
        </w:tc>
        <w:tc>
          <w:tcPr>
            <w:tcW w:w="130" w:type="dxa"/>
            <w:tcBorders>
              <w:top w:val="nil"/>
              <w:left w:val="nil"/>
              <w:bottom w:val="nil"/>
              <w:right w:val="nil"/>
            </w:tcBorders>
          </w:tcPr>
          <w:p w14:paraId="40B3EE24"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51C3C2A1"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5E0E7560"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VI/3, VI/8</w:t>
            </w:r>
          </w:p>
        </w:tc>
      </w:tr>
      <w:tr w:rsidR="00EF1DD2" w:rsidRPr="00EC5881" w14:paraId="37D9368E" w14:textId="77777777" w:rsidTr="00AB2594">
        <w:tc>
          <w:tcPr>
            <w:tcW w:w="576" w:type="dxa"/>
            <w:tcBorders>
              <w:top w:val="nil"/>
              <w:left w:val="nil"/>
              <w:bottom w:val="nil"/>
              <w:right w:val="nil"/>
            </w:tcBorders>
          </w:tcPr>
          <w:p w14:paraId="5195B14C"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P22</w:t>
            </w:r>
          </w:p>
        </w:tc>
        <w:tc>
          <w:tcPr>
            <w:tcW w:w="130" w:type="dxa"/>
            <w:tcBorders>
              <w:top w:val="nil"/>
              <w:left w:val="nil"/>
              <w:bottom w:val="nil"/>
              <w:right w:val="nil"/>
            </w:tcBorders>
          </w:tcPr>
          <w:p w14:paraId="76BF8427"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2C3DBA50"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STL sítě</w:t>
            </w:r>
          </w:p>
        </w:tc>
        <w:tc>
          <w:tcPr>
            <w:tcW w:w="3797" w:type="dxa"/>
            <w:tcBorders>
              <w:top w:val="nil"/>
              <w:left w:val="nil"/>
              <w:bottom w:val="nil"/>
              <w:right w:val="nil"/>
            </w:tcBorders>
          </w:tcPr>
          <w:p w14:paraId="57216980"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VI/32</w:t>
            </w:r>
          </w:p>
        </w:tc>
      </w:tr>
      <w:tr w:rsidR="00EF1DD2" w:rsidRPr="00EC5881" w14:paraId="3FFAF80A" w14:textId="77777777" w:rsidTr="00AB2594">
        <w:tc>
          <w:tcPr>
            <w:tcW w:w="576" w:type="dxa"/>
            <w:tcBorders>
              <w:top w:val="nil"/>
              <w:left w:val="nil"/>
              <w:bottom w:val="nil"/>
              <w:right w:val="nil"/>
            </w:tcBorders>
          </w:tcPr>
          <w:p w14:paraId="230EC45F"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P23</w:t>
            </w:r>
          </w:p>
        </w:tc>
        <w:tc>
          <w:tcPr>
            <w:tcW w:w="130" w:type="dxa"/>
            <w:tcBorders>
              <w:top w:val="nil"/>
              <w:left w:val="nil"/>
              <w:bottom w:val="nil"/>
              <w:right w:val="nil"/>
            </w:tcBorders>
          </w:tcPr>
          <w:p w14:paraId="089041BD"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21369F3E"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plošná plynofikace</w:t>
            </w:r>
          </w:p>
        </w:tc>
        <w:tc>
          <w:tcPr>
            <w:tcW w:w="3797" w:type="dxa"/>
            <w:tcBorders>
              <w:top w:val="nil"/>
              <w:left w:val="nil"/>
              <w:bottom w:val="nil"/>
              <w:right w:val="nil"/>
            </w:tcBorders>
          </w:tcPr>
          <w:p w14:paraId="4787CE1D"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Křešice, VII/24</w:t>
            </w:r>
          </w:p>
        </w:tc>
      </w:tr>
      <w:tr w:rsidR="00EF1DD2" w:rsidRPr="00EC5881" w14:paraId="5D143C46" w14:textId="77777777" w:rsidTr="00AB2594">
        <w:tc>
          <w:tcPr>
            <w:tcW w:w="576" w:type="dxa"/>
            <w:tcBorders>
              <w:top w:val="nil"/>
              <w:left w:val="nil"/>
              <w:bottom w:val="nil"/>
              <w:right w:val="nil"/>
            </w:tcBorders>
          </w:tcPr>
          <w:p w14:paraId="1A0A78BE"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P24</w:t>
            </w:r>
          </w:p>
        </w:tc>
        <w:tc>
          <w:tcPr>
            <w:tcW w:w="130" w:type="dxa"/>
            <w:tcBorders>
              <w:top w:val="nil"/>
              <w:left w:val="nil"/>
              <w:bottom w:val="nil"/>
              <w:right w:val="nil"/>
            </w:tcBorders>
          </w:tcPr>
          <w:p w14:paraId="1EC6D416"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4CC31946"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plošná plynofikace</w:t>
            </w:r>
          </w:p>
        </w:tc>
        <w:tc>
          <w:tcPr>
            <w:tcW w:w="3797" w:type="dxa"/>
            <w:tcBorders>
              <w:top w:val="nil"/>
              <w:left w:val="nil"/>
              <w:bottom w:val="nil"/>
              <w:right w:val="nil"/>
            </w:tcBorders>
          </w:tcPr>
          <w:p w14:paraId="73AD5EA1"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Nebočady, VII/21</w:t>
            </w:r>
          </w:p>
        </w:tc>
      </w:tr>
      <w:tr w:rsidR="00EF1DD2" w:rsidRPr="00EC5881" w14:paraId="775FE2A7" w14:textId="77777777" w:rsidTr="00AB2594">
        <w:tc>
          <w:tcPr>
            <w:tcW w:w="576" w:type="dxa"/>
            <w:tcBorders>
              <w:top w:val="nil"/>
              <w:left w:val="nil"/>
              <w:bottom w:val="nil"/>
              <w:right w:val="nil"/>
            </w:tcBorders>
          </w:tcPr>
          <w:p w14:paraId="6C5937F2"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P25</w:t>
            </w:r>
          </w:p>
        </w:tc>
        <w:tc>
          <w:tcPr>
            <w:tcW w:w="130" w:type="dxa"/>
            <w:tcBorders>
              <w:top w:val="nil"/>
              <w:left w:val="nil"/>
              <w:bottom w:val="nil"/>
              <w:right w:val="nil"/>
            </w:tcBorders>
          </w:tcPr>
          <w:p w14:paraId="35C43C0C"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44405906"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rozšíření NTL sítě</w:t>
            </w:r>
          </w:p>
        </w:tc>
        <w:tc>
          <w:tcPr>
            <w:tcW w:w="3797" w:type="dxa"/>
            <w:tcBorders>
              <w:top w:val="nil"/>
              <w:left w:val="nil"/>
              <w:bottom w:val="nil"/>
              <w:right w:val="nil"/>
            </w:tcBorders>
          </w:tcPr>
          <w:p w14:paraId="73A40BA6"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VII/5, VII/6</w:t>
            </w:r>
          </w:p>
        </w:tc>
      </w:tr>
      <w:tr w:rsidR="00EF1DD2" w:rsidRPr="00EC5881" w14:paraId="20517A00" w14:textId="77777777" w:rsidTr="00AB2594">
        <w:tc>
          <w:tcPr>
            <w:tcW w:w="576" w:type="dxa"/>
            <w:tcBorders>
              <w:top w:val="nil"/>
              <w:left w:val="nil"/>
              <w:bottom w:val="nil"/>
              <w:right w:val="nil"/>
            </w:tcBorders>
          </w:tcPr>
          <w:p w14:paraId="34870A8B" w14:textId="77777777" w:rsidR="00EF1DD2" w:rsidRPr="00EC5881" w:rsidRDefault="00EF1DD2" w:rsidP="00EF1DD2">
            <w:pPr>
              <w:pStyle w:val="Texttabulky"/>
              <w:spacing w:after="0" w:line="288" w:lineRule="auto"/>
              <w:jc w:val="both"/>
              <w:rPr>
                <w:rFonts w:cs="Arial"/>
                <w:sz w:val="18"/>
                <w:szCs w:val="22"/>
              </w:rPr>
            </w:pPr>
            <w:r w:rsidRPr="00EC5881">
              <w:rPr>
                <w:rFonts w:cs="Arial"/>
                <w:b/>
                <w:bCs/>
                <w:sz w:val="18"/>
                <w:szCs w:val="22"/>
              </w:rPr>
              <w:t>P26</w:t>
            </w:r>
          </w:p>
        </w:tc>
        <w:tc>
          <w:tcPr>
            <w:tcW w:w="130" w:type="dxa"/>
            <w:tcBorders>
              <w:top w:val="nil"/>
              <w:left w:val="nil"/>
              <w:bottom w:val="nil"/>
              <w:right w:val="nil"/>
            </w:tcBorders>
          </w:tcPr>
          <w:p w14:paraId="3BAC434C" w14:textId="77777777" w:rsidR="00EF1DD2" w:rsidRPr="00EC5881" w:rsidRDefault="00EF1DD2" w:rsidP="00EF1DD2">
            <w:pPr>
              <w:pStyle w:val="Zkladntext"/>
              <w:spacing w:after="0" w:line="288" w:lineRule="auto"/>
              <w:jc w:val="both"/>
              <w:rPr>
                <w:rFonts w:cs="Arial"/>
                <w:sz w:val="18"/>
                <w:szCs w:val="22"/>
              </w:rPr>
            </w:pPr>
          </w:p>
        </w:tc>
        <w:tc>
          <w:tcPr>
            <w:tcW w:w="4394" w:type="dxa"/>
            <w:tcBorders>
              <w:top w:val="nil"/>
              <w:left w:val="nil"/>
              <w:bottom w:val="nil"/>
              <w:right w:val="nil"/>
            </w:tcBorders>
          </w:tcPr>
          <w:p w14:paraId="5A9E9B6A"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plošná plynofikace</w:t>
            </w:r>
          </w:p>
        </w:tc>
        <w:tc>
          <w:tcPr>
            <w:tcW w:w="3797" w:type="dxa"/>
            <w:tcBorders>
              <w:top w:val="nil"/>
              <w:left w:val="nil"/>
              <w:bottom w:val="nil"/>
              <w:right w:val="nil"/>
            </w:tcBorders>
          </w:tcPr>
          <w:p w14:paraId="11BD256D" w14:textId="77777777" w:rsidR="00EF1DD2" w:rsidRPr="00EC5881" w:rsidRDefault="00EF1DD2" w:rsidP="00EF1DD2">
            <w:pPr>
              <w:pStyle w:val="Texttabulky"/>
              <w:spacing w:after="0" w:line="288" w:lineRule="auto"/>
              <w:jc w:val="both"/>
              <w:rPr>
                <w:rFonts w:cs="Arial"/>
                <w:sz w:val="18"/>
                <w:szCs w:val="22"/>
              </w:rPr>
            </w:pPr>
            <w:r w:rsidRPr="00EC5881">
              <w:rPr>
                <w:rFonts w:cs="Arial"/>
                <w:sz w:val="18"/>
                <w:szCs w:val="22"/>
              </w:rPr>
              <w:t>Vilsnice</w:t>
            </w:r>
          </w:p>
        </w:tc>
      </w:tr>
      <w:tr w:rsidR="00EF1DD2" w:rsidRPr="00EC5881" w14:paraId="5835C5D7" w14:textId="77777777" w:rsidTr="00AB2594">
        <w:tc>
          <w:tcPr>
            <w:tcW w:w="8897" w:type="dxa"/>
            <w:gridSpan w:val="4"/>
            <w:tcBorders>
              <w:top w:val="nil"/>
              <w:left w:val="nil"/>
              <w:bottom w:val="nil"/>
              <w:right w:val="nil"/>
            </w:tcBorders>
          </w:tcPr>
          <w:p w14:paraId="70C21CB3" w14:textId="77777777" w:rsidR="00EF1DD2" w:rsidRDefault="00EF1DD2" w:rsidP="00EF1DD2">
            <w:pPr>
              <w:pStyle w:val="Zkladntext"/>
              <w:keepNext/>
              <w:spacing w:after="0" w:line="288" w:lineRule="auto"/>
              <w:jc w:val="both"/>
              <w:rPr>
                <w:rFonts w:cs="Arial"/>
                <w:b/>
              </w:rPr>
            </w:pPr>
          </w:p>
          <w:p w14:paraId="61D402E6" w14:textId="77777777" w:rsidR="00EF1DD2" w:rsidRDefault="00EF1DD2" w:rsidP="00EF1DD2">
            <w:pPr>
              <w:pStyle w:val="Zkladntext"/>
              <w:keepNext/>
              <w:spacing w:after="0" w:line="288" w:lineRule="auto"/>
              <w:jc w:val="both"/>
              <w:rPr>
                <w:rFonts w:cs="Arial"/>
                <w:b/>
              </w:rPr>
            </w:pPr>
            <w:r w:rsidRPr="00EC5881">
              <w:rPr>
                <w:rFonts w:cs="Arial"/>
                <w:b/>
              </w:rPr>
              <w:t>STAVBY SPOJŮ</w:t>
            </w:r>
          </w:p>
          <w:p w14:paraId="1D8025C5" w14:textId="77777777" w:rsidR="00EF1DD2" w:rsidRPr="00EC5881" w:rsidRDefault="00EF1DD2" w:rsidP="00EF1DD2">
            <w:pPr>
              <w:pStyle w:val="Zkladntext"/>
              <w:keepNext/>
              <w:spacing w:after="0" w:line="288" w:lineRule="auto"/>
              <w:jc w:val="both"/>
              <w:rPr>
                <w:rFonts w:cs="Arial"/>
                <w:b/>
              </w:rPr>
            </w:pPr>
          </w:p>
        </w:tc>
      </w:tr>
      <w:tr w:rsidR="00EF1DD2" w:rsidRPr="00EC5881" w14:paraId="2586AC94" w14:textId="77777777" w:rsidTr="00AB2594">
        <w:trPr>
          <w:cantSplit/>
        </w:trPr>
        <w:tc>
          <w:tcPr>
            <w:tcW w:w="576" w:type="dxa"/>
            <w:tcBorders>
              <w:top w:val="nil"/>
              <w:left w:val="nil"/>
              <w:bottom w:val="nil"/>
              <w:right w:val="nil"/>
            </w:tcBorders>
          </w:tcPr>
          <w:p w14:paraId="21F3A9B1" w14:textId="77777777" w:rsidR="00EF1DD2" w:rsidRPr="00EC5881" w:rsidRDefault="00EF1DD2" w:rsidP="00EF1DD2">
            <w:pPr>
              <w:pStyle w:val="Texttabulky"/>
              <w:spacing w:after="0" w:line="288" w:lineRule="auto"/>
              <w:jc w:val="both"/>
              <w:rPr>
                <w:rFonts w:cs="Arial"/>
                <w:sz w:val="18"/>
                <w:szCs w:val="22"/>
              </w:rPr>
            </w:pPr>
            <w:r w:rsidRPr="00EC5881">
              <w:rPr>
                <w:rFonts w:cs="Arial"/>
                <w:b/>
                <w:bCs/>
                <w:caps/>
                <w:sz w:val="18"/>
                <w:szCs w:val="22"/>
              </w:rPr>
              <w:t>S</w:t>
            </w:r>
          </w:p>
        </w:tc>
        <w:tc>
          <w:tcPr>
            <w:tcW w:w="130" w:type="dxa"/>
            <w:tcBorders>
              <w:top w:val="nil"/>
              <w:left w:val="nil"/>
              <w:bottom w:val="nil"/>
              <w:right w:val="nil"/>
            </w:tcBorders>
          </w:tcPr>
          <w:p w14:paraId="1BC1A3F3" w14:textId="77777777" w:rsidR="00EF1DD2" w:rsidRPr="00EC5881" w:rsidRDefault="00EF1DD2" w:rsidP="00EF1DD2">
            <w:pPr>
              <w:pStyle w:val="Zkladntext"/>
              <w:spacing w:after="0" w:line="288" w:lineRule="auto"/>
              <w:jc w:val="both"/>
              <w:rPr>
                <w:rFonts w:cs="Arial"/>
                <w:sz w:val="18"/>
                <w:szCs w:val="22"/>
              </w:rPr>
            </w:pPr>
          </w:p>
        </w:tc>
        <w:tc>
          <w:tcPr>
            <w:tcW w:w="8191" w:type="dxa"/>
            <w:gridSpan w:val="2"/>
            <w:tcBorders>
              <w:top w:val="nil"/>
              <w:left w:val="nil"/>
              <w:bottom w:val="nil"/>
              <w:right w:val="nil"/>
            </w:tcBorders>
          </w:tcPr>
          <w:p w14:paraId="6EBB610A" w14:textId="77777777" w:rsidR="00EF1DD2" w:rsidRPr="00EC5881" w:rsidRDefault="00EF1DD2" w:rsidP="00EF1DD2">
            <w:pPr>
              <w:pStyle w:val="Zkladntext"/>
              <w:spacing w:after="0" w:line="288" w:lineRule="auto"/>
              <w:jc w:val="both"/>
              <w:rPr>
                <w:rFonts w:cs="Arial"/>
                <w:sz w:val="18"/>
                <w:szCs w:val="22"/>
              </w:rPr>
            </w:pPr>
            <w:r w:rsidRPr="00EC5881">
              <w:rPr>
                <w:rFonts w:cs="Arial"/>
                <w:sz w:val="18"/>
                <w:szCs w:val="22"/>
              </w:rPr>
              <w:t>Územní plán neřeší detailně rozvoj místní sítě, v grafické části jsou zakresleny dálkové kabely a telekomunikační uzly (ústředny). Napojení jednotlivých rozvojových ploch na místní síť bude řešeno v zastavovacích studiích rozvojových ploch a konkretizované trasy připojovacích kabelů mohou být prohlášeny za stavbu veřejně prospěšnou.</w:t>
            </w:r>
          </w:p>
        </w:tc>
      </w:tr>
    </w:tbl>
    <w:p w14:paraId="3A976BA1" w14:textId="77777777" w:rsidR="00EF1DD2" w:rsidRPr="00EC5881" w:rsidRDefault="00EF1DD2" w:rsidP="00EF1DD2">
      <w:pPr>
        <w:spacing w:line="288" w:lineRule="auto"/>
        <w:jc w:val="both"/>
        <w:rPr>
          <w:rFonts w:ascii="Arial" w:hAnsi="Arial" w:cs="Arial"/>
          <w:sz w:val="18"/>
          <w:szCs w:val="22"/>
        </w:rPr>
      </w:pPr>
    </w:p>
    <w:p w14:paraId="5E08CC5D" w14:textId="77777777" w:rsidR="00EF1DD2" w:rsidRDefault="00EF1DD2" w:rsidP="00EF1DD2">
      <w:pPr>
        <w:tabs>
          <w:tab w:val="decimal" w:pos="72"/>
          <w:tab w:val="decimal" w:pos="144"/>
          <w:tab w:val="right" w:pos="2679"/>
        </w:tabs>
        <w:spacing w:line="288" w:lineRule="auto"/>
        <w:ind w:left="72"/>
        <w:jc w:val="both"/>
        <w:rPr>
          <w:rFonts w:ascii="Arial" w:hAnsi="Arial" w:cs="Arial"/>
          <w:b/>
          <w:color w:val="00B050"/>
          <w:spacing w:val="3"/>
          <w:sz w:val="20"/>
        </w:rPr>
      </w:pPr>
    </w:p>
    <w:p w14:paraId="1294F390" w14:textId="77777777" w:rsidR="00EF1DD2"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20"/>
        </w:rPr>
      </w:pPr>
    </w:p>
    <w:p w14:paraId="7750A4BD" w14:textId="77777777" w:rsidR="00EF1DD2" w:rsidRDefault="00EF1DD2" w:rsidP="00EF1DD2">
      <w:pPr>
        <w:spacing w:before="120" w:line="288" w:lineRule="auto"/>
        <w:jc w:val="both"/>
        <w:rPr>
          <w:rFonts w:ascii="Arial" w:hAnsi="Arial" w:cs="Arial"/>
          <w:b/>
          <w:noProof/>
        </w:rPr>
      </w:pPr>
      <w:r>
        <w:rPr>
          <w:rFonts w:ascii="Arial" w:hAnsi="Arial" w:cs="Arial"/>
          <w:b/>
          <w:color w:val="00B050"/>
          <w:spacing w:val="3"/>
          <w:sz w:val="20"/>
        </w:rPr>
        <w:br w:type="page"/>
      </w:r>
    </w:p>
    <w:p w14:paraId="6BCCE729" w14:textId="77777777" w:rsidR="00EF1DD2" w:rsidRPr="00C42150" w:rsidRDefault="00EF1DD2" w:rsidP="00EF1DD2">
      <w:pPr>
        <w:spacing w:before="120" w:line="288" w:lineRule="auto"/>
        <w:jc w:val="center"/>
        <w:rPr>
          <w:rFonts w:ascii="Arial" w:hAnsi="Arial" w:cs="Arial"/>
          <w:b/>
          <w:noProof/>
        </w:rPr>
      </w:pPr>
      <w:r w:rsidRPr="00C42150">
        <w:rPr>
          <w:rFonts w:ascii="Arial" w:hAnsi="Arial" w:cs="Arial"/>
          <w:b/>
          <w:noProof/>
        </w:rPr>
        <w:lastRenderedPageBreak/>
        <w:t>MĚSTO DĚČÍN</w:t>
      </w:r>
    </w:p>
    <w:p w14:paraId="2ECCFD84" w14:textId="77777777" w:rsidR="00EF1DD2" w:rsidRPr="00C42150" w:rsidRDefault="00EF1DD2" w:rsidP="00EF1DD2">
      <w:pPr>
        <w:spacing w:before="120" w:line="288" w:lineRule="auto"/>
        <w:jc w:val="center"/>
        <w:rPr>
          <w:rFonts w:ascii="Arial" w:hAnsi="Arial" w:cs="Arial"/>
          <w:b/>
          <w:noProof/>
        </w:rPr>
      </w:pPr>
      <w:r w:rsidRPr="00C42150">
        <w:rPr>
          <w:rFonts w:ascii="Arial" w:hAnsi="Arial" w:cs="Arial"/>
          <w:b/>
          <w:noProof/>
        </w:rPr>
        <w:t>OBECNĚ ZÁVAZNÁ VYHLÁŠKA</w:t>
      </w:r>
    </w:p>
    <w:p w14:paraId="092680E8" w14:textId="77777777" w:rsidR="00EF1DD2" w:rsidRPr="00C42150" w:rsidRDefault="00EF1DD2" w:rsidP="00EF1DD2">
      <w:pPr>
        <w:spacing w:before="120" w:line="288" w:lineRule="auto"/>
        <w:jc w:val="center"/>
        <w:rPr>
          <w:rFonts w:ascii="Arial" w:hAnsi="Arial" w:cs="Arial"/>
          <w:b/>
          <w:noProof/>
        </w:rPr>
      </w:pPr>
      <w:r w:rsidRPr="00C42150">
        <w:rPr>
          <w:rFonts w:ascii="Arial" w:hAnsi="Arial" w:cs="Arial"/>
          <w:b/>
          <w:noProof/>
        </w:rPr>
        <w:t>Č. 3/2002</w:t>
      </w:r>
    </w:p>
    <w:p w14:paraId="252BF07E" w14:textId="77777777" w:rsidR="00EF1DD2" w:rsidRPr="00C42150" w:rsidRDefault="00EF1DD2" w:rsidP="00EF1DD2">
      <w:pPr>
        <w:spacing w:before="120" w:line="288" w:lineRule="auto"/>
        <w:jc w:val="center"/>
        <w:rPr>
          <w:rFonts w:ascii="Arial" w:hAnsi="Arial" w:cs="Arial"/>
          <w:b/>
          <w:noProof/>
        </w:rPr>
      </w:pPr>
      <w:r w:rsidRPr="00C42150">
        <w:rPr>
          <w:rFonts w:ascii="Arial" w:hAnsi="Arial" w:cs="Arial"/>
          <w:b/>
          <w:noProof/>
          <w:lang w:eastAsia="cs-CZ"/>
        </w:rPr>
        <w:drawing>
          <wp:anchor distT="0" distB="0" distL="114300" distR="114300" simplePos="0" relativeHeight="251788288" behindDoc="0" locked="0" layoutInCell="1" allowOverlap="1" wp14:anchorId="5B79666D" wp14:editId="5B5B429C">
            <wp:simplePos x="0" y="0"/>
            <wp:positionH relativeFrom="margin">
              <wp:align>center</wp:align>
            </wp:positionH>
            <wp:positionV relativeFrom="margin">
              <wp:align>bottom</wp:align>
            </wp:positionV>
            <wp:extent cx="5748655" cy="5723255"/>
            <wp:effectExtent l="0" t="0" r="4445" b="0"/>
            <wp:wrapSquare wrapText="bothSides"/>
            <wp:docPr id="24003" name="Obrázek 24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63">
                      <a:extLst>
                        <a:ext uri="{28A0092B-C50C-407E-A947-70E740481C1C}">
                          <a14:useLocalDpi xmlns:a14="http://schemas.microsoft.com/office/drawing/2010/main" val="0"/>
                        </a:ext>
                      </a:extLst>
                    </a:blip>
                    <a:srcRect l="11974" t="29797" r="6148" b="9094"/>
                    <a:stretch>
                      <a:fillRect/>
                    </a:stretch>
                  </pic:blipFill>
                  <pic:spPr bwMode="auto">
                    <a:xfrm>
                      <a:off x="0" y="0"/>
                      <a:ext cx="5748655" cy="57232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42150">
        <w:rPr>
          <w:rFonts w:ascii="Arial" w:hAnsi="Arial" w:cs="Arial"/>
          <w:b/>
          <w:noProof/>
        </w:rPr>
        <w:t>O ZÁVAZNÉ ČÁSTI ÚZEMNÍHO PLÁNU MĚSTA DĚČÍN</w:t>
      </w:r>
    </w:p>
    <w:p w14:paraId="21B5CBB2" w14:textId="77777777" w:rsidR="00EF1DD2" w:rsidRDefault="00EF1DD2" w:rsidP="00EF1DD2">
      <w:pPr>
        <w:spacing w:before="120" w:line="288" w:lineRule="auto"/>
        <w:jc w:val="both"/>
        <w:rPr>
          <w:noProof/>
        </w:rPr>
      </w:pPr>
      <w:r w:rsidRPr="00BE57B5">
        <w:rPr>
          <w:noProof/>
          <w:lang w:eastAsia="cs-CZ"/>
        </w:rPr>
        <w:lastRenderedPageBreak/>
        <w:drawing>
          <wp:inline distT="0" distB="0" distL="0" distR="0" wp14:anchorId="57173170" wp14:editId="2FD07C91">
            <wp:extent cx="5943600" cy="7315200"/>
            <wp:effectExtent l="0" t="0" r="0" b="0"/>
            <wp:docPr id="10621" name="Obrázek 10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64">
                      <a:extLst>
                        <a:ext uri="{28A0092B-C50C-407E-A947-70E740481C1C}">
                          <a14:useLocalDpi xmlns:a14="http://schemas.microsoft.com/office/drawing/2010/main" val="0"/>
                        </a:ext>
                      </a:extLst>
                    </a:blip>
                    <a:srcRect l="9201" t="13866" r="10069" b="15582"/>
                    <a:stretch>
                      <a:fillRect/>
                    </a:stretch>
                  </pic:blipFill>
                  <pic:spPr bwMode="auto">
                    <a:xfrm>
                      <a:off x="0" y="0"/>
                      <a:ext cx="5943600" cy="7315200"/>
                    </a:xfrm>
                    <a:prstGeom prst="rect">
                      <a:avLst/>
                    </a:prstGeom>
                    <a:noFill/>
                    <a:ln>
                      <a:noFill/>
                    </a:ln>
                  </pic:spPr>
                </pic:pic>
              </a:graphicData>
            </a:graphic>
          </wp:inline>
        </w:drawing>
      </w:r>
    </w:p>
    <w:p w14:paraId="56542ECC" w14:textId="77777777" w:rsidR="00EF1DD2" w:rsidRDefault="00EF1DD2" w:rsidP="00EF1DD2">
      <w:pPr>
        <w:spacing w:before="120" w:line="288" w:lineRule="auto"/>
        <w:jc w:val="both"/>
        <w:rPr>
          <w:noProof/>
        </w:rPr>
      </w:pPr>
      <w:r w:rsidRPr="00BE57B5">
        <w:rPr>
          <w:noProof/>
          <w:lang w:eastAsia="cs-CZ"/>
        </w:rPr>
        <w:lastRenderedPageBreak/>
        <w:drawing>
          <wp:inline distT="0" distB="0" distL="0" distR="0" wp14:anchorId="6C478936" wp14:editId="0F67C1D9">
            <wp:extent cx="5669280" cy="8229600"/>
            <wp:effectExtent l="0" t="0" r="7620" b="0"/>
            <wp:docPr id="10620" name="Obrázek 10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65">
                      <a:extLst>
                        <a:ext uri="{28A0092B-C50C-407E-A947-70E740481C1C}">
                          <a14:useLocalDpi xmlns:a14="http://schemas.microsoft.com/office/drawing/2010/main" val="0"/>
                        </a:ext>
                      </a:extLst>
                    </a:blip>
                    <a:srcRect l="11815" t="6529" r="6165" b="10158"/>
                    <a:stretch>
                      <a:fillRect/>
                    </a:stretch>
                  </pic:blipFill>
                  <pic:spPr bwMode="auto">
                    <a:xfrm>
                      <a:off x="0" y="0"/>
                      <a:ext cx="5669280" cy="8229600"/>
                    </a:xfrm>
                    <a:prstGeom prst="rect">
                      <a:avLst/>
                    </a:prstGeom>
                    <a:noFill/>
                    <a:ln>
                      <a:noFill/>
                    </a:ln>
                  </pic:spPr>
                </pic:pic>
              </a:graphicData>
            </a:graphic>
          </wp:inline>
        </w:drawing>
      </w:r>
    </w:p>
    <w:p w14:paraId="76943EB8" w14:textId="77777777" w:rsidR="00EF1DD2" w:rsidRDefault="00EF1DD2" w:rsidP="00EF1DD2">
      <w:pPr>
        <w:tabs>
          <w:tab w:val="left" w:pos="1135"/>
        </w:tabs>
        <w:spacing w:before="120" w:line="288" w:lineRule="auto"/>
        <w:jc w:val="both"/>
        <w:rPr>
          <w:noProof/>
        </w:rPr>
      </w:pPr>
      <w:r>
        <w:rPr>
          <w:noProof/>
          <w:lang w:eastAsia="cs-CZ"/>
        </w:rPr>
        <w:lastRenderedPageBreak/>
        <w:drawing>
          <wp:anchor distT="0" distB="0" distL="114300" distR="114300" simplePos="0" relativeHeight="251789312" behindDoc="0" locked="0" layoutInCell="1" allowOverlap="1" wp14:anchorId="1A846499" wp14:editId="6413EEFD">
            <wp:simplePos x="0" y="0"/>
            <wp:positionH relativeFrom="margin">
              <wp:align>center</wp:align>
            </wp:positionH>
            <wp:positionV relativeFrom="margin">
              <wp:align>top</wp:align>
            </wp:positionV>
            <wp:extent cx="5522595" cy="8074025"/>
            <wp:effectExtent l="0" t="0" r="1905" b="3175"/>
            <wp:wrapSquare wrapText="bothSides"/>
            <wp:docPr id="24002" name="Obrázek 24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66">
                      <a:extLst>
                        <a:ext uri="{28A0092B-C50C-407E-A947-70E740481C1C}">
                          <a14:useLocalDpi xmlns:a14="http://schemas.microsoft.com/office/drawing/2010/main" val="0"/>
                        </a:ext>
                      </a:extLst>
                    </a:blip>
                    <a:srcRect l="7191" t="5441" r="12329" b="12454"/>
                    <a:stretch>
                      <a:fillRect/>
                    </a:stretch>
                  </pic:blipFill>
                  <pic:spPr bwMode="auto">
                    <a:xfrm>
                      <a:off x="0" y="0"/>
                      <a:ext cx="5522595" cy="80740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tab/>
      </w:r>
    </w:p>
    <w:p w14:paraId="3037074A" w14:textId="77777777" w:rsidR="00EF1DD2" w:rsidRDefault="00EF1DD2" w:rsidP="00EF1DD2">
      <w:pPr>
        <w:spacing w:before="120" w:line="288" w:lineRule="auto"/>
        <w:jc w:val="both"/>
        <w:rPr>
          <w:noProof/>
        </w:rPr>
      </w:pPr>
      <w:r w:rsidRPr="00BE57B5">
        <w:rPr>
          <w:noProof/>
          <w:lang w:eastAsia="cs-CZ"/>
        </w:rPr>
        <w:lastRenderedPageBreak/>
        <w:drawing>
          <wp:inline distT="0" distB="0" distL="0" distR="0" wp14:anchorId="6BC43C98" wp14:editId="62558781">
            <wp:extent cx="5669280" cy="8229600"/>
            <wp:effectExtent l="0" t="0" r="7620" b="0"/>
            <wp:docPr id="10619" name="Obrázek 10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67">
                      <a:extLst>
                        <a:ext uri="{28A0092B-C50C-407E-A947-70E740481C1C}">
                          <a14:useLocalDpi xmlns:a14="http://schemas.microsoft.com/office/drawing/2010/main" val="0"/>
                        </a:ext>
                      </a:extLst>
                    </a:blip>
                    <a:srcRect l="12311" t="6345" r="7295" b="11183"/>
                    <a:stretch>
                      <a:fillRect/>
                    </a:stretch>
                  </pic:blipFill>
                  <pic:spPr bwMode="auto">
                    <a:xfrm>
                      <a:off x="0" y="0"/>
                      <a:ext cx="5669280" cy="8229600"/>
                    </a:xfrm>
                    <a:prstGeom prst="rect">
                      <a:avLst/>
                    </a:prstGeom>
                    <a:noFill/>
                    <a:ln>
                      <a:noFill/>
                    </a:ln>
                  </pic:spPr>
                </pic:pic>
              </a:graphicData>
            </a:graphic>
          </wp:inline>
        </w:drawing>
      </w:r>
    </w:p>
    <w:p w14:paraId="4A1F71D5" w14:textId="77777777" w:rsidR="00EF1DD2" w:rsidRDefault="00EF1DD2" w:rsidP="00EF1DD2">
      <w:pPr>
        <w:spacing w:before="120" w:line="288" w:lineRule="auto"/>
        <w:jc w:val="both"/>
        <w:rPr>
          <w:noProof/>
        </w:rPr>
      </w:pPr>
    </w:p>
    <w:p w14:paraId="335ECAF3" w14:textId="77777777" w:rsidR="00EF1DD2" w:rsidRDefault="00EF1DD2" w:rsidP="00EF1DD2">
      <w:pPr>
        <w:spacing w:before="120" w:line="288" w:lineRule="auto"/>
        <w:jc w:val="both"/>
        <w:rPr>
          <w:noProof/>
        </w:rPr>
      </w:pPr>
      <w:r w:rsidRPr="00BE57B5">
        <w:rPr>
          <w:noProof/>
          <w:lang w:eastAsia="cs-CZ"/>
        </w:rPr>
        <w:drawing>
          <wp:inline distT="0" distB="0" distL="0" distR="0" wp14:anchorId="063C5C79" wp14:editId="54B4440E">
            <wp:extent cx="5669280" cy="7863840"/>
            <wp:effectExtent l="0" t="0" r="7620" b="3810"/>
            <wp:docPr id="10618" name="Obrázek 10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68">
                      <a:extLst>
                        <a:ext uri="{28A0092B-C50C-407E-A947-70E740481C1C}">
                          <a14:useLocalDpi xmlns:a14="http://schemas.microsoft.com/office/drawing/2010/main" val="0"/>
                        </a:ext>
                      </a:extLst>
                    </a:blip>
                    <a:srcRect l="7362" t="9915" r="12842" b="11246"/>
                    <a:stretch>
                      <a:fillRect/>
                    </a:stretch>
                  </pic:blipFill>
                  <pic:spPr bwMode="auto">
                    <a:xfrm>
                      <a:off x="0" y="0"/>
                      <a:ext cx="5669280" cy="7863840"/>
                    </a:xfrm>
                    <a:prstGeom prst="rect">
                      <a:avLst/>
                    </a:prstGeom>
                    <a:noFill/>
                    <a:ln>
                      <a:noFill/>
                    </a:ln>
                  </pic:spPr>
                </pic:pic>
              </a:graphicData>
            </a:graphic>
          </wp:inline>
        </w:drawing>
      </w:r>
    </w:p>
    <w:p w14:paraId="569CAC8F"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lastRenderedPageBreak/>
        <w:drawing>
          <wp:inline distT="0" distB="0" distL="0" distR="0" wp14:anchorId="22A3AC79" wp14:editId="7C1C5A32">
            <wp:extent cx="5669280" cy="8229600"/>
            <wp:effectExtent l="0" t="0" r="7620" b="0"/>
            <wp:docPr id="10617" name="Obrázek 10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69">
                      <a:extLst>
                        <a:ext uri="{28A0092B-C50C-407E-A947-70E740481C1C}">
                          <a14:useLocalDpi xmlns:a14="http://schemas.microsoft.com/office/drawing/2010/main" val="0"/>
                        </a:ext>
                      </a:extLst>
                    </a:blip>
                    <a:srcRect l="11473" t="5925" r="7362" b="10519"/>
                    <a:stretch>
                      <a:fillRect/>
                    </a:stretch>
                  </pic:blipFill>
                  <pic:spPr bwMode="auto">
                    <a:xfrm>
                      <a:off x="0" y="0"/>
                      <a:ext cx="5669280" cy="8229600"/>
                    </a:xfrm>
                    <a:prstGeom prst="rect">
                      <a:avLst/>
                    </a:prstGeom>
                    <a:noFill/>
                    <a:ln>
                      <a:noFill/>
                    </a:ln>
                  </pic:spPr>
                </pic:pic>
              </a:graphicData>
            </a:graphic>
          </wp:inline>
        </w:drawing>
      </w:r>
    </w:p>
    <w:p w14:paraId="5394D373"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lastRenderedPageBreak/>
        <w:drawing>
          <wp:inline distT="0" distB="0" distL="0" distR="0" wp14:anchorId="66BD31DD" wp14:editId="032ED550">
            <wp:extent cx="5577840" cy="8321040"/>
            <wp:effectExtent l="0" t="0" r="3810" b="3810"/>
            <wp:docPr id="10616" name="Obrázek 10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70">
                      <a:extLst>
                        <a:ext uri="{28A0092B-C50C-407E-A947-70E740481C1C}">
                          <a14:useLocalDpi xmlns:a14="http://schemas.microsoft.com/office/drawing/2010/main" val="0"/>
                        </a:ext>
                      </a:extLst>
                    </a:blip>
                    <a:srcRect l="8391" t="5562" r="11815" b="10519"/>
                    <a:stretch>
                      <a:fillRect/>
                    </a:stretch>
                  </pic:blipFill>
                  <pic:spPr bwMode="auto">
                    <a:xfrm>
                      <a:off x="0" y="0"/>
                      <a:ext cx="5577840" cy="8321040"/>
                    </a:xfrm>
                    <a:prstGeom prst="rect">
                      <a:avLst/>
                    </a:prstGeom>
                    <a:noFill/>
                    <a:ln>
                      <a:noFill/>
                    </a:ln>
                  </pic:spPr>
                </pic:pic>
              </a:graphicData>
            </a:graphic>
          </wp:inline>
        </w:drawing>
      </w:r>
    </w:p>
    <w:p w14:paraId="0F80B307" w14:textId="77777777" w:rsidR="00EF1DD2" w:rsidRDefault="00EF1DD2" w:rsidP="00EF1DD2">
      <w:pPr>
        <w:spacing w:before="120" w:line="288" w:lineRule="auto"/>
        <w:jc w:val="both"/>
        <w:rPr>
          <w:rFonts w:ascii="Arial" w:hAnsi="Arial" w:cs="Arial"/>
          <w:b/>
          <w:color w:val="FF0000"/>
          <w:sz w:val="18"/>
          <w:szCs w:val="22"/>
        </w:rPr>
      </w:pPr>
    </w:p>
    <w:p w14:paraId="5760DB9F" w14:textId="77777777" w:rsidR="00EF1DD2" w:rsidRDefault="00EF1DD2" w:rsidP="00EF1DD2">
      <w:pPr>
        <w:spacing w:before="120" w:line="288" w:lineRule="auto"/>
        <w:ind w:firstLine="708"/>
        <w:jc w:val="both"/>
        <w:rPr>
          <w:rFonts w:ascii="Arial" w:hAnsi="Arial" w:cs="Arial"/>
          <w:b/>
          <w:color w:val="FF0000"/>
          <w:sz w:val="18"/>
          <w:szCs w:val="22"/>
        </w:rPr>
      </w:pPr>
      <w:r w:rsidRPr="00BE57B5">
        <w:rPr>
          <w:noProof/>
          <w:lang w:eastAsia="cs-CZ"/>
        </w:rPr>
        <w:drawing>
          <wp:inline distT="0" distB="0" distL="0" distR="0" wp14:anchorId="36BA125D" wp14:editId="1B5F4B63">
            <wp:extent cx="5394960" cy="7406640"/>
            <wp:effectExtent l="0" t="0" r="0" b="3810"/>
            <wp:docPr id="10613" name="Obrázek 10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71">
                      <a:extLst>
                        <a:ext uri="{28A0092B-C50C-407E-A947-70E740481C1C}">
                          <a14:useLocalDpi xmlns:a14="http://schemas.microsoft.com/office/drawing/2010/main" val="0"/>
                        </a:ext>
                      </a:extLst>
                    </a:blip>
                    <a:srcRect l="12842" t="7860" r="4965" b="12576"/>
                    <a:stretch>
                      <a:fillRect/>
                    </a:stretch>
                  </pic:blipFill>
                  <pic:spPr bwMode="auto">
                    <a:xfrm>
                      <a:off x="0" y="0"/>
                      <a:ext cx="5394960" cy="7406640"/>
                    </a:xfrm>
                    <a:prstGeom prst="rect">
                      <a:avLst/>
                    </a:prstGeom>
                    <a:noFill/>
                    <a:ln>
                      <a:noFill/>
                    </a:ln>
                  </pic:spPr>
                </pic:pic>
              </a:graphicData>
            </a:graphic>
          </wp:inline>
        </w:drawing>
      </w:r>
    </w:p>
    <w:p w14:paraId="39D658ED" w14:textId="77777777" w:rsidR="00EF1DD2" w:rsidRDefault="00EF1DD2" w:rsidP="00EF1DD2">
      <w:pPr>
        <w:spacing w:before="120" w:line="288" w:lineRule="auto"/>
        <w:jc w:val="both"/>
        <w:rPr>
          <w:rFonts w:ascii="Arial" w:hAnsi="Arial" w:cs="Arial"/>
          <w:b/>
          <w:color w:val="FF0000"/>
          <w:sz w:val="18"/>
          <w:szCs w:val="22"/>
        </w:rPr>
      </w:pPr>
    </w:p>
    <w:p w14:paraId="6F1E40BB" w14:textId="77777777" w:rsidR="00EF1DD2" w:rsidRDefault="00EF1DD2" w:rsidP="00EF1DD2">
      <w:pPr>
        <w:tabs>
          <w:tab w:val="left" w:pos="1025"/>
        </w:tabs>
        <w:spacing w:before="120" w:line="288" w:lineRule="auto"/>
        <w:jc w:val="both"/>
        <w:rPr>
          <w:rFonts w:ascii="Arial" w:hAnsi="Arial" w:cs="Arial"/>
          <w:b/>
          <w:color w:val="FF0000"/>
          <w:sz w:val="18"/>
          <w:szCs w:val="22"/>
        </w:rPr>
      </w:pPr>
      <w:r>
        <w:rPr>
          <w:rFonts w:ascii="Arial" w:hAnsi="Arial" w:cs="Arial"/>
          <w:b/>
          <w:color w:val="FF0000"/>
          <w:sz w:val="18"/>
          <w:szCs w:val="22"/>
        </w:rPr>
        <w:lastRenderedPageBreak/>
        <w:tab/>
      </w:r>
      <w:r w:rsidRPr="00BE57B5">
        <w:rPr>
          <w:noProof/>
          <w:lang w:eastAsia="cs-CZ"/>
        </w:rPr>
        <w:drawing>
          <wp:inline distT="0" distB="0" distL="0" distR="0" wp14:anchorId="31DBD807" wp14:editId="59FB4DD2">
            <wp:extent cx="5760720" cy="7772400"/>
            <wp:effectExtent l="0" t="0" r="0" b="0"/>
            <wp:docPr id="10612" name="Obrázek 10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72">
                      <a:extLst>
                        <a:ext uri="{28A0092B-C50C-407E-A947-70E740481C1C}">
                          <a14:useLocalDpi xmlns:a14="http://schemas.microsoft.com/office/drawing/2010/main" val="0"/>
                        </a:ext>
                      </a:extLst>
                    </a:blip>
                    <a:srcRect l="7877" t="7980" r="10274" b="9190"/>
                    <a:stretch>
                      <a:fillRect/>
                    </a:stretch>
                  </pic:blipFill>
                  <pic:spPr bwMode="auto">
                    <a:xfrm>
                      <a:off x="0" y="0"/>
                      <a:ext cx="5760720" cy="7772400"/>
                    </a:xfrm>
                    <a:prstGeom prst="rect">
                      <a:avLst/>
                    </a:prstGeom>
                    <a:noFill/>
                    <a:ln>
                      <a:noFill/>
                    </a:ln>
                  </pic:spPr>
                </pic:pic>
              </a:graphicData>
            </a:graphic>
          </wp:inline>
        </w:drawing>
      </w:r>
    </w:p>
    <w:p w14:paraId="76A62E75"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lastRenderedPageBreak/>
        <w:drawing>
          <wp:inline distT="0" distB="0" distL="0" distR="0" wp14:anchorId="18E563DB" wp14:editId="333497FC">
            <wp:extent cx="5760720" cy="7589520"/>
            <wp:effectExtent l="0" t="0" r="0" b="0"/>
            <wp:docPr id="10611" name="Obrázek 10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73">
                      <a:extLst>
                        <a:ext uri="{28A0092B-C50C-407E-A947-70E740481C1C}">
                          <a14:useLocalDpi xmlns:a14="http://schemas.microsoft.com/office/drawing/2010/main" val="0"/>
                        </a:ext>
                      </a:extLst>
                    </a:blip>
                    <a:srcRect l="10274" t="9311" r="11130" b="18138"/>
                    <a:stretch>
                      <a:fillRect/>
                    </a:stretch>
                  </pic:blipFill>
                  <pic:spPr bwMode="auto">
                    <a:xfrm>
                      <a:off x="0" y="0"/>
                      <a:ext cx="5760720" cy="7589520"/>
                    </a:xfrm>
                    <a:prstGeom prst="rect">
                      <a:avLst/>
                    </a:prstGeom>
                    <a:noFill/>
                    <a:ln>
                      <a:noFill/>
                    </a:ln>
                  </pic:spPr>
                </pic:pic>
              </a:graphicData>
            </a:graphic>
          </wp:inline>
        </w:drawing>
      </w:r>
    </w:p>
    <w:p w14:paraId="60512754" w14:textId="77777777" w:rsidR="00EF1DD2" w:rsidRDefault="00EF1DD2" w:rsidP="00EF1DD2">
      <w:pPr>
        <w:spacing w:before="120" w:line="288" w:lineRule="auto"/>
        <w:jc w:val="both"/>
        <w:rPr>
          <w:rFonts w:ascii="Arial" w:hAnsi="Arial" w:cs="Arial"/>
          <w:b/>
          <w:color w:val="FF0000"/>
          <w:sz w:val="18"/>
          <w:szCs w:val="22"/>
        </w:rPr>
      </w:pPr>
    </w:p>
    <w:p w14:paraId="245E9FDA" w14:textId="77777777" w:rsidR="00EF1DD2" w:rsidRDefault="00EF1DD2" w:rsidP="00EF1DD2">
      <w:pPr>
        <w:spacing w:before="120" w:line="288" w:lineRule="auto"/>
        <w:jc w:val="both"/>
        <w:rPr>
          <w:rFonts w:ascii="Arial" w:hAnsi="Arial" w:cs="Arial"/>
          <w:b/>
          <w:color w:val="FF0000"/>
          <w:sz w:val="18"/>
          <w:szCs w:val="22"/>
        </w:rPr>
      </w:pPr>
    </w:p>
    <w:p w14:paraId="5D273BF8"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lastRenderedPageBreak/>
        <w:drawing>
          <wp:inline distT="0" distB="0" distL="0" distR="0" wp14:anchorId="03B766B5" wp14:editId="2DEBDE29">
            <wp:extent cx="5852160" cy="7955280"/>
            <wp:effectExtent l="0" t="0" r="0" b="7620"/>
            <wp:docPr id="10610" name="Obrázek 10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74">
                      <a:extLst>
                        <a:ext uri="{28A0092B-C50C-407E-A947-70E740481C1C}">
                          <a14:useLocalDpi xmlns:a14="http://schemas.microsoft.com/office/drawing/2010/main" val="0"/>
                        </a:ext>
                      </a:extLst>
                    </a:blip>
                    <a:srcRect l="6679" t="8464" r="9930" b="10641"/>
                    <a:stretch>
                      <a:fillRect/>
                    </a:stretch>
                  </pic:blipFill>
                  <pic:spPr bwMode="auto">
                    <a:xfrm>
                      <a:off x="0" y="0"/>
                      <a:ext cx="5852160" cy="7955280"/>
                    </a:xfrm>
                    <a:prstGeom prst="rect">
                      <a:avLst/>
                    </a:prstGeom>
                    <a:noFill/>
                    <a:ln>
                      <a:noFill/>
                    </a:ln>
                  </pic:spPr>
                </pic:pic>
              </a:graphicData>
            </a:graphic>
          </wp:inline>
        </w:drawing>
      </w:r>
    </w:p>
    <w:p w14:paraId="453487C3"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lastRenderedPageBreak/>
        <w:drawing>
          <wp:inline distT="0" distB="0" distL="0" distR="0" wp14:anchorId="4CB68B68" wp14:editId="120EFDAF">
            <wp:extent cx="5577840" cy="8138160"/>
            <wp:effectExtent l="0" t="0" r="3810" b="0"/>
            <wp:docPr id="10609" name="Obrázek 10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75">
                      <a:extLst>
                        <a:ext uri="{28A0092B-C50C-407E-A947-70E740481C1C}">
                          <a14:useLocalDpi xmlns:a14="http://schemas.microsoft.com/office/drawing/2010/main" val="0"/>
                        </a:ext>
                      </a:extLst>
                    </a:blip>
                    <a:srcRect l="10959" t="8223" r="7364" b="7980"/>
                    <a:stretch>
                      <a:fillRect/>
                    </a:stretch>
                  </pic:blipFill>
                  <pic:spPr bwMode="auto">
                    <a:xfrm>
                      <a:off x="0" y="0"/>
                      <a:ext cx="5577840" cy="8138160"/>
                    </a:xfrm>
                    <a:prstGeom prst="rect">
                      <a:avLst/>
                    </a:prstGeom>
                    <a:noFill/>
                    <a:ln>
                      <a:noFill/>
                    </a:ln>
                  </pic:spPr>
                </pic:pic>
              </a:graphicData>
            </a:graphic>
          </wp:inline>
        </w:drawing>
      </w:r>
    </w:p>
    <w:p w14:paraId="0B49288C"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lastRenderedPageBreak/>
        <w:drawing>
          <wp:inline distT="0" distB="0" distL="0" distR="0" wp14:anchorId="6426E170" wp14:editId="42A36EBD">
            <wp:extent cx="5852160" cy="8138160"/>
            <wp:effectExtent l="0" t="0" r="0" b="0"/>
            <wp:docPr id="10608" name="Obrázek 10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76">
                      <a:extLst>
                        <a:ext uri="{28A0092B-C50C-407E-A947-70E740481C1C}">
                          <a14:useLocalDpi xmlns:a14="http://schemas.microsoft.com/office/drawing/2010/main" val="0"/>
                        </a:ext>
                      </a:extLst>
                    </a:blip>
                    <a:srcRect l="8562" t="8464" r="11301" b="12454"/>
                    <a:stretch>
                      <a:fillRect/>
                    </a:stretch>
                  </pic:blipFill>
                  <pic:spPr bwMode="auto">
                    <a:xfrm>
                      <a:off x="0" y="0"/>
                      <a:ext cx="5852160" cy="8138160"/>
                    </a:xfrm>
                    <a:prstGeom prst="rect">
                      <a:avLst/>
                    </a:prstGeom>
                    <a:noFill/>
                    <a:ln>
                      <a:noFill/>
                    </a:ln>
                  </pic:spPr>
                </pic:pic>
              </a:graphicData>
            </a:graphic>
          </wp:inline>
        </w:drawing>
      </w:r>
    </w:p>
    <w:p w14:paraId="10A53B22" w14:textId="77777777" w:rsidR="00EF1DD2" w:rsidRDefault="00EF1DD2" w:rsidP="00EF1DD2">
      <w:pPr>
        <w:spacing w:before="120" w:line="288" w:lineRule="auto"/>
        <w:jc w:val="both"/>
        <w:rPr>
          <w:rFonts w:ascii="Arial" w:hAnsi="Arial" w:cs="Arial"/>
          <w:b/>
          <w:color w:val="FF0000"/>
          <w:sz w:val="18"/>
          <w:szCs w:val="22"/>
        </w:rPr>
      </w:pPr>
    </w:p>
    <w:p w14:paraId="2DDA4AA3"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drawing>
          <wp:inline distT="0" distB="0" distL="0" distR="0" wp14:anchorId="12DC1577" wp14:editId="203030AD">
            <wp:extent cx="5486400" cy="7955280"/>
            <wp:effectExtent l="0" t="0" r="0" b="7620"/>
            <wp:docPr id="10607" name="Obrázek 10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77">
                      <a:extLst>
                        <a:ext uri="{28A0092B-C50C-407E-A947-70E740481C1C}">
                          <a14:useLocalDpi xmlns:a14="http://schemas.microsoft.com/office/drawing/2010/main" val="0"/>
                        </a:ext>
                      </a:extLst>
                    </a:blip>
                    <a:srcRect l="11644" t="8101" r="7706" b="8948"/>
                    <a:stretch>
                      <a:fillRect/>
                    </a:stretch>
                  </pic:blipFill>
                  <pic:spPr bwMode="auto">
                    <a:xfrm>
                      <a:off x="0" y="0"/>
                      <a:ext cx="5486400" cy="7955280"/>
                    </a:xfrm>
                    <a:prstGeom prst="rect">
                      <a:avLst/>
                    </a:prstGeom>
                    <a:noFill/>
                    <a:ln>
                      <a:noFill/>
                    </a:ln>
                  </pic:spPr>
                </pic:pic>
              </a:graphicData>
            </a:graphic>
          </wp:inline>
        </w:drawing>
      </w:r>
    </w:p>
    <w:p w14:paraId="2A6E2D67" w14:textId="77777777" w:rsidR="00EF1DD2" w:rsidRDefault="00EF1DD2" w:rsidP="00EF1DD2">
      <w:pPr>
        <w:spacing w:before="120" w:line="288" w:lineRule="auto"/>
        <w:jc w:val="both"/>
        <w:rPr>
          <w:rFonts w:ascii="Arial" w:hAnsi="Arial" w:cs="Arial"/>
          <w:b/>
          <w:color w:val="FF0000"/>
          <w:sz w:val="18"/>
          <w:szCs w:val="22"/>
        </w:rPr>
      </w:pPr>
    </w:p>
    <w:p w14:paraId="5FD08841"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drawing>
          <wp:inline distT="0" distB="0" distL="0" distR="0" wp14:anchorId="73C82A65" wp14:editId="610F64D1">
            <wp:extent cx="5486400" cy="7863840"/>
            <wp:effectExtent l="0" t="0" r="0" b="3810"/>
            <wp:docPr id="10606" name="Obrázek 10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78">
                      <a:extLst>
                        <a:ext uri="{28A0092B-C50C-407E-A947-70E740481C1C}">
                          <a14:useLocalDpi xmlns:a14="http://schemas.microsoft.com/office/drawing/2010/main" val="0"/>
                        </a:ext>
                      </a:extLst>
                    </a:blip>
                    <a:srcRect l="7535" t="8707" r="10445" b="7980"/>
                    <a:stretch>
                      <a:fillRect/>
                    </a:stretch>
                  </pic:blipFill>
                  <pic:spPr bwMode="auto">
                    <a:xfrm>
                      <a:off x="0" y="0"/>
                      <a:ext cx="5486400" cy="7863840"/>
                    </a:xfrm>
                    <a:prstGeom prst="rect">
                      <a:avLst/>
                    </a:prstGeom>
                    <a:noFill/>
                    <a:ln>
                      <a:noFill/>
                    </a:ln>
                  </pic:spPr>
                </pic:pic>
              </a:graphicData>
            </a:graphic>
          </wp:inline>
        </w:drawing>
      </w:r>
    </w:p>
    <w:p w14:paraId="5E081C86" w14:textId="77777777" w:rsidR="00EF1DD2" w:rsidRDefault="00EF1DD2" w:rsidP="00EF1DD2">
      <w:pPr>
        <w:spacing w:before="120" w:line="288" w:lineRule="auto"/>
        <w:jc w:val="both"/>
        <w:rPr>
          <w:rFonts w:ascii="Arial" w:hAnsi="Arial" w:cs="Arial"/>
          <w:b/>
          <w:color w:val="FF0000"/>
          <w:sz w:val="18"/>
          <w:szCs w:val="22"/>
        </w:rPr>
      </w:pPr>
    </w:p>
    <w:p w14:paraId="783B24A2" w14:textId="77777777" w:rsidR="00EF1DD2" w:rsidRDefault="00724306" w:rsidP="00EF1DD2">
      <w:pPr>
        <w:spacing w:before="120" w:line="288" w:lineRule="auto"/>
        <w:jc w:val="both"/>
        <w:rPr>
          <w:rFonts w:ascii="Arial" w:hAnsi="Arial" w:cs="Arial"/>
          <w:b/>
          <w:color w:val="FF0000"/>
          <w:sz w:val="18"/>
          <w:szCs w:val="22"/>
        </w:rPr>
      </w:pPr>
      <w:r>
        <w:rPr>
          <w:noProof/>
          <w:lang w:eastAsia="cs-CZ"/>
        </w:rPr>
        <mc:AlternateContent>
          <mc:Choice Requires="wps">
            <w:drawing>
              <wp:anchor distT="0" distB="0" distL="114300" distR="114300" simplePos="0" relativeHeight="251813888" behindDoc="0" locked="0" layoutInCell="1" allowOverlap="1" wp14:anchorId="269B9725" wp14:editId="3A022B87">
                <wp:simplePos x="0" y="0"/>
                <wp:positionH relativeFrom="column">
                  <wp:posOffset>238892</wp:posOffset>
                </wp:positionH>
                <wp:positionV relativeFrom="paragraph">
                  <wp:posOffset>3764890</wp:posOffset>
                </wp:positionV>
                <wp:extent cx="5428459" cy="422694"/>
                <wp:effectExtent l="19050" t="19050" r="20320" b="34925"/>
                <wp:wrapNone/>
                <wp:docPr id="11" name="Přímá spojnice 11"/>
                <wp:cNvGraphicFramePr/>
                <a:graphic xmlns:a="http://schemas.openxmlformats.org/drawingml/2006/main">
                  <a:graphicData uri="http://schemas.microsoft.com/office/word/2010/wordprocessingShape">
                    <wps:wsp>
                      <wps:cNvCnPr/>
                      <wps:spPr>
                        <a:xfrm flipV="1">
                          <a:off x="0" y="0"/>
                          <a:ext cx="5428459" cy="422694"/>
                        </a:xfrm>
                        <a:prstGeom prst="line">
                          <a:avLst/>
                        </a:prstGeom>
                        <a:ln w="38100">
                          <a:solidFill>
                            <a:srgbClr val="18B8B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764274" id="Přímá spojnice 11" o:spid="_x0000_s1026" style="position:absolute;flip:y;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8pt,296.45pt" to="446.25pt,3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" strokecolor="#18b8b0" strokeweight="3pt">
                <v:stroke joinstyle="miter"/>
              </v:line>
            </w:pict>
          </mc:Fallback>
        </mc:AlternateContent>
      </w:r>
      <w:r>
        <w:rPr>
          <w:noProof/>
          <w:lang w:eastAsia="cs-CZ"/>
        </w:rPr>
        <mc:AlternateContent>
          <mc:Choice Requires="wps">
            <w:drawing>
              <wp:anchor distT="0" distB="0" distL="114300" distR="114300" simplePos="0" relativeHeight="251815936" behindDoc="0" locked="0" layoutInCell="1" allowOverlap="1" wp14:anchorId="004C9FA8" wp14:editId="169599B2">
                <wp:simplePos x="0" y="0"/>
                <wp:positionH relativeFrom="margin">
                  <wp:posOffset>241376</wp:posOffset>
                </wp:positionH>
                <wp:positionV relativeFrom="paragraph">
                  <wp:posOffset>5782437</wp:posOffset>
                </wp:positionV>
                <wp:extent cx="5376672" cy="251104"/>
                <wp:effectExtent l="19050" t="19050" r="33655" b="34925"/>
                <wp:wrapNone/>
                <wp:docPr id="12" name="Přímá spojnice 12"/>
                <wp:cNvGraphicFramePr/>
                <a:graphic xmlns:a="http://schemas.openxmlformats.org/drawingml/2006/main">
                  <a:graphicData uri="http://schemas.microsoft.com/office/word/2010/wordprocessingShape">
                    <wps:wsp>
                      <wps:cNvCnPr/>
                      <wps:spPr>
                        <a:xfrm flipV="1">
                          <a:off x="0" y="0"/>
                          <a:ext cx="5376672" cy="251104"/>
                        </a:xfrm>
                        <a:prstGeom prst="line">
                          <a:avLst/>
                        </a:prstGeom>
                        <a:ln w="38100">
                          <a:solidFill>
                            <a:srgbClr val="18B8B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FEE188" id="Přímá spojnice 12" o:spid="_x0000_s1026" style="position:absolute;flip:y;z-index:251815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9pt,455.3pt" to="442.35pt,47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" strokecolor="#18b8b0" strokeweight="3pt">
                <v:stroke joinstyle="miter"/>
                <w10:wrap anchorx="margin"/>
              </v:line>
            </w:pict>
          </mc:Fallback>
        </mc:AlternateContent>
      </w:r>
      <w:r>
        <w:rPr>
          <w:noProof/>
          <w:lang w:eastAsia="cs-CZ"/>
        </w:rPr>
        <mc:AlternateContent>
          <mc:Choice Requires="wps">
            <w:drawing>
              <wp:anchor distT="0" distB="0" distL="114300" distR="114300" simplePos="0" relativeHeight="251812864" behindDoc="0" locked="0" layoutInCell="1" allowOverlap="1" wp14:anchorId="0435F4D8" wp14:editId="24FEC6A3">
                <wp:simplePos x="0" y="0"/>
                <wp:positionH relativeFrom="margin">
                  <wp:posOffset>204800</wp:posOffset>
                </wp:positionH>
                <wp:positionV relativeFrom="paragraph">
                  <wp:posOffset>5775122</wp:posOffset>
                </wp:positionV>
                <wp:extent cx="5426710" cy="283464"/>
                <wp:effectExtent l="19050" t="19050" r="21590" b="21590"/>
                <wp:wrapNone/>
                <wp:docPr id="10" name="Obdélník 10"/>
                <wp:cNvGraphicFramePr/>
                <a:graphic xmlns:a="http://schemas.openxmlformats.org/drawingml/2006/main">
                  <a:graphicData uri="http://schemas.microsoft.com/office/word/2010/wordprocessingShape">
                    <wps:wsp>
                      <wps:cNvSpPr/>
                      <wps:spPr>
                        <a:xfrm>
                          <a:off x="0" y="0"/>
                          <a:ext cx="5426710" cy="283464"/>
                        </a:xfrm>
                        <a:prstGeom prst="rect">
                          <a:avLst/>
                        </a:prstGeom>
                        <a:noFill/>
                        <a:ln w="3810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D74D6F7" id="Obdélník 10" o:spid="_x0000_s1026" style="position:absolute;margin-left:16.15pt;margin-top:454.75pt;width:427.3pt;height:22.3pt;z-index:2518128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" filled="f" strokecolor="#18b8b0" strokeweight="3pt">
                <w10:wrap anchorx="margin"/>
              </v:rect>
            </w:pict>
          </mc:Fallback>
        </mc:AlternateContent>
      </w:r>
      <w:r>
        <w:rPr>
          <w:noProof/>
          <w:lang w:eastAsia="cs-CZ"/>
        </w:rPr>
        <mc:AlternateContent>
          <mc:Choice Requires="wps">
            <w:drawing>
              <wp:anchor distT="0" distB="0" distL="114300" distR="114300" simplePos="0" relativeHeight="251810816" behindDoc="0" locked="0" layoutInCell="1" allowOverlap="1" wp14:anchorId="5D1721C7" wp14:editId="5B77B50B">
                <wp:simplePos x="0" y="0"/>
                <wp:positionH relativeFrom="column">
                  <wp:posOffset>240236</wp:posOffset>
                </wp:positionH>
                <wp:positionV relativeFrom="paragraph">
                  <wp:posOffset>3728480</wp:posOffset>
                </wp:positionV>
                <wp:extent cx="5427024" cy="474469"/>
                <wp:effectExtent l="19050" t="19050" r="21590" b="20955"/>
                <wp:wrapNone/>
                <wp:docPr id="9" name="Obdélník 9"/>
                <wp:cNvGraphicFramePr/>
                <a:graphic xmlns:a="http://schemas.openxmlformats.org/drawingml/2006/main">
                  <a:graphicData uri="http://schemas.microsoft.com/office/word/2010/wordprocessingShape">
                    <wps:wsp>
                      <wps:cNvSpPr/>
                      <wps:spPr>
                        <a:xfrm>
                          <a:off x="0" y="0"/>
                          <a:ext cx="5427024" cy="474469"/>
                        </a:xfrm>
                        <a:prstGeom prst="rect">
                          <a:avLst/>
                        </a:prstGeom>
                        <a:noFill/>
                        <a:ln w="38100">
                          <a:solidFill>
                            <a:srgbClr val="18B8B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3ACDB29" id="Obdélník 9" o:spid="_x0000_s1026" style="position:absolute;margin-left:18.9pt;margin-top:293.6pt;width:427.3pt;height:37.35pt;z-index:251810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" filled="f" strokecolor="#18b8b0" strokeweight="3pt"/>
            </w:pict>
          </mc:Fallback>
        </mc:AlternateContent>
      </w:r>
      <w:r w:rsidR="00EF1DD2" w:rsidRPr="00BE57B5">
        <w:rPr>
          <w:noProof/>
          <w:lang w:eastAsia="cs-CZ"/>
        </w:rPr>
        <w:drawing>
          <wp:inline distT="0" distB="0" distL="0" distR="0" wp14:anchorId="1A695A77" wp14:editId="56C0372F">
            <wp:extent cx="5760720" cy="7589520"/>
            <wp:effectExtent l="0" t="0" r="0" b="0"/>
            <wp:docPr id="10605" name="Obrázek 10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79">
                      <a:extLst>
                        <a:ext uri="{28A0092B-C50C-407E-A947-70E740481C1C}">
                          <a14:useLocalDpi xmlns:a14="http://schemas.microsoft.com/office/drawing/2010/main" val="0"/>
                        </a:ext>
                      </a:extLst>
                    </a:blip>
                    <a:srcRect l="9932" t="8948" r="6165" b="13422"/>
                    <a:stretch>
                      <a:fillRect/>
                    </a:stretch>
                  </pic:blipFill>
                  <pic:spPr bwMode="auto">
                    <a:xfrm>
                      <a:off x="0" y="0"/>
                      <a:ext cx="5760720" cy="7589520"/>
                    </a:xfrm>
                    <a:prstGeom prst="rect">
                      <a:avLst/>
                    </a:prstGeom>
                    <a:noFill/>
                    <a:ln>
                      <a:noFill/>
                    </a:ln>
                  </pic:spPr>
                </pic:pic>
              </a:graphicData>
            </a:graphic>
          </wp:inline>
        </w:drawing>
      </w:r>
    </w:p>
    <w:p w14:paraId="0FF94088"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lastRenderedPageBreak/>
        <w:drawing>
          <wp:inline distT="0" distB="0" distL="0" distR="0" wp14:anchorId="2711E982" wp14:editId="7537D51F">
            <wp:extent cx="5669280" cy="8046720"/>
            <wp:effectExtent l="0" t="0" r="7620" b="0"/>
            <wp:docPr id="10604" name="Obrázek 10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80">
                      <a:extLst>
                        <a:ext uri="{28A0092B-C50C-407E-A947-70E740481C1C}">
                          <a14:useLocalDpi xmlns:a14="http://schemas.microsoft.com/office/drawing/2010/main" val="0"/>
                        </a:ext>
                      </a:extLst>
                    </a:blip>
                    <a:srcRect l="8391" t="9190" r="10274" b="9795"/>
                    <a:stretch>
                      <a:fillRect/>
                    </a:stretch>
                  </pic:blipFill>
                  <pic:spPr bwMode="auto">
                    <a:xfrm>
                      <a:off x="0" y="0"/>
                      <a:ext cx="5669280" cy="8046720"/>
                    </a:xfrm>
                    <a:prstGeom prst="rect">
                      <a:avLst/>
                    </a:prstGeom>
                    <a:noFill/>
                    <a:ln>
                      <a:noFill/>
                    </a:ln>
                  </pic:spPr>
                </pic:pic>
              </a:graphicData>
            </a:graphic>
          </wp:inline>
        </w:drawing>
      </w:r>
    </w:p>
    <w:p w14:paraId="682D679D" w14:textId="77777777" w:rsidR="00EF1DD2" w:rsidRDefault="00EF1DD2" w:rsidP="00EF1DD2">
      <w:pPr>
        <w:spacing w:before="120" w:line="288" w:lineRule="auto"/>
        <w:jc w:val="both"/>
        <w:rPr>
          <w:rFonts w:ascii="Arial" w:hAnsi="Arial" w:cs="Arial"/>
          <w:b/>
          <w:color w:val="FF0000"/>
          <w:sz w:val="18"/>
          <w:szCs w:val="22"/>
        </w:rPr>
      </w:pPr>
    </w:p>
    <w:p w14:paraId="30ECD371"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drawing>
          <wp:inline distT="0" distB="0" distL="0" distR="0" wp14:anchorId="79F80F9A" wp14:editId="3C7B8533">
            <wp:extent cx="5669280" cy="7863840"/>
            <wp:effectExtent l="0" t="0" r="7620" b="3810"/>
            <wp:docPr id="10603" name="Obrázek 10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81">
                      <a:extLst>
                        <a:ext uri="{28A0092B-C50C-407E-A947-70E740481C1C}">
                          <a14:useLocalDpi xmlns:a14="http://schemas.microsoft.com/office/drawing/2010/main" val="0"/>
                        </a:ext>
                      </a:extLst>
                    </a:blip>
                    <a:srcRect l="10948" t="11255" r="6778" b="8464"/>
                    <a:stretch>
                      <a:fillRect/>
                    </a:stretch>
                  </pic:blipFill>
                  <pic:spPr bwMode="auto">
                    <a:xfrm>
                      <a:off x="0" y="0"/>
                      <a:ext cx="5669280" cy="7863840"/>
                    </a:xfrm>
                    <a:prstGeom prst="rect">
                      <a:avLst/>
                    </a:prstGeom>
                    <a:noFill/>
                    <a:ln>
                      <a:noFill/>
                    </a:ln>
                  </pic:spPr>
                </pic:pic>
              </a:graphicData>
            </a:graphic>
          </wp:inline>
        </w:drawing>
      </w:r>
    </w:p>
    <w:p w14:paraId="087874FD" w14:textId="77777777" w:rsidR="00EF1DD2" w:rsidRDefault="00EF1DD2" w:rsidP="00EF1DD2">
      <w:pPr>
        <w:spacing w:before="120" w:line="288" w:lineRule="auto"/>
        <w:jc w:val="both"/>
        <w:rPr>
          <w:rFonts w:ascii="Arial" w:hAnsi="Arial" w:cs="Arial"/>
          <w:b/>
          <w:color w:val="FF0000"/>
          <w:sz w:val="18"/>
          <w:szCs w:val="22"/>
        </w:rPr>
      </w:pPr>
    </w:p>
    <w:p w14:paraId="102CC6B6"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drawing>
          <wp:inline distT="0" distB="0" distL="0" distR="0" wp14:anchorId="69B1D1E9" wp14:editId="65CED66C">
            <wp:extent cx="5760720" cy="7772400"/>
            <wp:effectExtent l="0" t="0" r="0" b="0"/>
            <wp:docPr id="10602" name="Obrázek 10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82">
                      <a:extLst>
                        <a:ext uri="{28A0092B-C50C-407E-A947-70E740481C1C}">
                          <a14:useLocalDpi xmlns:a14="http://schemas.microsoft.com/office/drawing/2010/main" val="0"/>
                        </a:ext>
                      </a:extLst>
                    </a:blip>
                    <a:srcRect l="8904" t="11487" r="7362" b="9795"/>
                    <a:stretch>
                      <a:fillRect/>
                    </a:stretch>
                  </pic:blipFill>
                  <pic:spPr bwMode="auto">
                    <a:xfrm>
                      <a:off x="0" y="0"/>
                      <a:ext cx="5760720" cy="7772400"/>
                    </a:xfrm>
                    <a:prstGeom prst="rect">
                      <a:avLst/>
                    </a:prstGeom>
                    <a:noFill/>
                    <a:ln>
                      <a:noFill/>
                    </a:ln>
                  </pic:spPr>
                </pic:pic>
              </a:graphicData>
            </a:graphic>
          </wp:inline>
        </w:drawing>
      </w:r>
    </w:p>
    <w:p w14:paraId="20CFDB75"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lastRenderedPageBreak/>
        <w:drawing>
          <wp:inline distT="0" distB="0" distL="0" distR="0" wp14:anchorId="4B04D3F6" wp14:editId="13445F55">
            <wp:extent cx="5303520" cy="8046720"/>
            <wp:effectExtent l="0" t="0" r="0" b="0"/>
            <wp:docPr id="10601" name="Obrázek 10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83">
                      <a:extLst>
                        <a:ext uri="{28A0092B-C50C-407E-A947-70E740481C1C}">
                          <a14:useLocalDpi xmlns:a14="http://schemas.microsoft.com/office/drawing/2010/main" val="0"/>
                        </a:ext>
                      </a:extLst>
                    </a:blip>
                    <a:srcRect l="10056" t="6926" r="9247" b="5885"/>
                    <a:stretch>
                      <a:fillRect/>
                    </a:stretch>
                  </pic:blipFill>
                  <pic:spPr bwMode="auto">
                    <a:xfrm>
                      <a:off x="0" y="0"/>
                      <a:ext cx="5303520" cy="8046720"/>
                    </a:xfrm>
                    <a:prstGeom prst="rect">
                      <a:avLst/>
                    </a:prstGeom>
                    <a:noFill/>
                    <a:ln>
                      <a:noFill/>
                    </a:ln>
                  </pic:spPr>
                </pic:pic>
              </a:graphicData>
            </a:graphic>
          </wp:inline>
        </w:drawing>
      </w:r>
    </w:p>
    <w:p w14:paraId="6122D8D7" w14:textId="77777777" w:rsidR="00EF1DD2" w:rsidRDefault="00EF1DD2" w:rsidP="00EF1DD2">
      <w:pPr>
        <w:spacing w:before="120" w:line="288" w:lineRule="auto"/>
        <w:jc w:val="both"/>
        <w:rPr>
          <w:rFonts w:ascii="Arial" w:hAnsi="Arial" w:cs="Arial"/>
          <w:b/>
          <w:color w:val="FF0000"/>
          <w:sz w:val="18"/>
          <w:szCs w:val="22"/>
        </w:rPr>
      </w:pPr>
      <w:r w:rsidRPr="00BE57B5">
        <w:rPr>
          <w:noProof/>
          <w:lang w:eastAsia="cs-CZ"/>
        </w:rPr>
        <w:lastRenderedPageBreak/>
        <w:drawing>
          <wp:inline distT="0" distB="0" distL="0" distR="0" wp14:anchorId="410A06FC" wp14:editId="38BAD9D9">
            <wp:extent cx="5669280" cy="8229600"/>
            <wp:effectExtent l="0" t="0" r="7620" b="0"/>
            <wp:docPr id="10600" name="Obrázek 10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84">
                      <a:extLst>
                        <a:ext uri="{28A0092B-C50C-407E-A947-70E740481C1C}">
                          <a14:useLocalDpi xmlns:a14="http://schemas.microsoft.com/office/drawing/2010/main" val="0"/>
                        </a:ext>
                      </a:extLst>
                    </a:blip>
                    <a:srcRect l="8733" t="7013" r="9247" b="8707"/>
                    <a:stretch>
                      <a:fillRect/>
                    </a:stretch>
                  </pic:blipFill>
                  <pic:spPr bwMode="auto">
                    <a:xfrm>
                      <a:off x="0" y="0"/>
                      <a:ext cx="5669280" cy="8229600"/>
                    </a:xfrm>
                    <a:prstGeom prst="rect">
                      <a:avLst/>
                    </a:prstGeom>
                    <a:noFill/>
                    <a:ln>
                      <a:noFill/>
                    </a:ln>
                  </pic:spPr>
                </pic:pic>
              </a:graphicData>
            </a:graphic>
          </wp:inline>
        </w:drawing>
      </w:r>
    </w:p>
    <w:p w14:paraId="10E598EF" w14:textId="77777777" w:rsidR="00EF1DD2" w:rsidRDefault="00EF1DD2" w:rsidP="00EF1DD2">
      <w:pPr>
        <w:spacing w:before="120" w:line="288" w:lineRule="auto"/>
        <w:jc w:val="both"/>
        <w:rPr>
          <w:rFonts w:ascii="Arial" w:hAnsi="Arial" w:cs="Arial"/>
          <w:b/>
          <w:color w:val="FF0000"/>
          <w:sz w:val="18"/>
          <w:szCs w:val="22"/>
        </w:rPr>
      </w:pPr>
    </w:p>
    <w:p w14:paraId="5328C0B8" w14:textId="77777777" w:rsidR="00EF1DD2" w:rsidRDefault="00EF1DD2" w:rsidP="00EF1DD2">
      <w:pPr>
        <w:spacing w:before="120" w:line="288" w:lineRule="auto"/>
        <w:jc w:val="both"/>
        <w:rPr>
          <w:noProof/>
        </w:rPr>
      </w:pPr>
      <w:r w:rsidRPr="00BE57B5">
        <w:rPr>
          <w:noProof/>
          <w:lang w:eastAsia="cs-CZ"/>
        </w:rPr>
        <w:drawing>
          <wp:inline distT="0" distB="0" distL="0" distR="0" wp14:anchorId="73442DAD" wp14:editId="19992981">
            <wp:extent cx="5760720" cy="5669280"/>
            <wp:effectExtent l="0" t="0" r="0" b="7620"/>
            <wp:docPr id="10599" name="Obrázek 10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85">
                      <a:extLst>
                        <a:ext uri="{28A0092B-C50C-407E-A947-70E740481C1C}">
                          <a14:useLocalDpi xmlns:a14="http://schemas.microsoft.com/office/drawing/2010/main" val="0"/>
                        </a:ext>
                      </a:extLst>
                    </a:blip>
                    <a:srcRect l="11301" t="14148" r="6679" b="28972"/>
                    <a:stretch>
                      <a:fillRect/>
                    </a:stretch>
                  </pic:blipFill>
                  <pic:spPr bwMode="auto">
                    <a:xfrm>
                      <a:off x="0" y="0"/>
                      <a:ext cx="5760720" cy="5669280"/>
                    </a:xfrm>
                    <a:prstGeom prst="rect">
                      <a:avLst/>
                    </a:prstGeom>
                    <a:noFill/>
                    <a:ln>
                      <a:noFill/>
                    </a:ln>
                  </pic:spPr>
                </pic:pic>
              </a:graphicData>
            </a:graphic>
          </wp:inline>
        </w:drawing>
      </w:r>
    </w:p>
    <w:p w14:paraId="5D764003" w14:textId="77777777" w:rsidR="00EF1DD2" w:rsidRPr="00B841D2" w:rsidRDefault="00EF1DD2" w:rsidP="00EF1DD2">
      <w:pPr>
        <w:spacing w:before="120" w:line="288" w:lineRule="auto"/>
        <w:jc w:val="both"/>
        <w:rPr>
          <w:rFonts w:ascii="Arial" w:hAnsi="Arial" w:cs="Arial"/>
          <w:b/>
          <w:color w:val="FF0000"/>
          <w:sz w:val="28"/>
          <w:szCs w:val="28"/>
        </w:rPr>
      </w:pPr>
      <w:r>
        <w:rPr>
          <w:noProof/>
        </w:rPr>
        <w:br w:type="page"/>
      </w:r>
      <w:bookmarkStart w:id="46" w:name="_Toc354838605"/>
      <w:r w:rsidRPr="00B841D2">
        <w:rPr>
          <w:rFonts w:ascii="Arial" w:hAnsi="Arial" w:cs="Arial"/>
          <w:b/>
          <w:color w:val="FF0000"/>
          <w:sz w:val="28"/>
          <w:szCs w:val="28"/>
        </w:rPr>
        <w:lastRenderedPageBreak/>
        <w:t>V rámci 8. změny se mění obecně závazná vyhl</w:t>
      </w:r>
      <w:r>
        <w:rPr>
          <w:rFonts w:ascii="Arial" w:hAnsi="Arial" w:cs="Arial"/>
          <w:b/>
          <w:color w:val="FF0000"/>
          <w:sz w:val="28"/>
          <w:szCs w:val="28"/>
        </w:rPr>
        <w:t>áška č. 3/2002, o závazné části</w:t>
      </w:r>
      <w:r w:rsidRPr="00B841D2">
        <w:rPr>
          <w:rFonts w:ascii="Arial" w:hAnsi="Arial" w:cs="Arial"/>
          <w:b/>
          <w:color w:val="FF0000"/>
          <w:sz w:val="28"/>
          <w:szCs w:val="28"/>
        </w:rPr>
        <w:t xml:space="preserve"> územního plánu města Děčína, v následujícím rozsahu:</w:t>
      </w:r>
      <w:bookmarkEnd w:id="46"/>
      <w:r w:rsidRPr="00B841D2">
        <w:rPr>
          <w:rFonts w:ascii="Arial" w:hAnsi="Arial" w:cs="Arial"/>
          <w:b/>
          <w:color w:val="FF0000"/>
          <w:sz w:val="28"/>
          <w:szCs w:val="28"/>
        </w:rPr>
        <w:t xml:space="preserve">  </w:t>
      </w:r>
    </w:p>
    <w:p w14:paraId="1C82A5E2" w14:textId="77777777" w:rsidR="00EF1DD2" w:rsidRPr="00B841D2" w:rsidRDefault="00EF1DD2" w:rsidP="00EF1DD2">
      <w:pPr>
        <w:pStyle w:val="Nadpis4"/>
        <w:pBdr>
          <w:bottom w:val="single" w:sz="4" w:space="1" w:color="auto"/>
        </w:pBdr>
        <w:rPr>
          <w:color w:val="FF0000"/>
        </w:rPr>
      </w:pPr>
    </w:p>
    <w:p w14:paraId="5B228D11" w14:textId="77777777" w:rsidR="00EF1DD2" w:rsidRPr="00C42150" w:rsidRDefault="00EF1DD2" w:rsidP="00EF1DD2">
      <w:pPr>
        <w:pStyle w:val="Nadpis4"/>
        <w:pBdr>
          <w:bottom w:val="single" w:sz="4" w:space="1" w:color="auto"/>
        </w:pBdr>
        <w:rPr>
          <w:b w:val="0"/>
          <w:i/>
          <w:color w:val="FF0000"/>
          <w:sz w:val="20"/>
          <w:szCs w:val="24"/>
        </w:rPr>
      </w:pPr>
      <w:r w:rsidRPr="00C42150">
        <w:rPr>
          <w:b w:val="0"/>
          <w:i/>
          <w:color w:val="FF0000"/>
          <w:sz w:val="20"/>
          <w:szCs w:val="24"/>
        </w:rPr>
        <w:t>ČÁST PRVNÍ</w:t>
      </w:r>
    </w:p>
    <w:p w14:paraId="578AA755" w14:textId="77777777" w:rsidR="00EF1DD2" w:rsidRPr="00C42150" w:rsidRDefault="00EF1DD2" w:rsidP="00EF1DD2">
      <w:pPr>
        <w:pStyle w:val="Nadpis4"/>
        <w:rPr>
          <w:b w:val="0"/>
          <w:i/>
          <w:color w:val="FF0000"/>
          <w:sz w:val="18"/>
        </w:rPr>
      </w:pPr>
      <w:r w:rsidRPr="00C42150">
        <w:rPr>
          <w:b w:val="0"/>
          <w:i/>
          <w:color w:val="FF0000"/>
          <w:sz w:val="18"/>
        </w:rPr>
        <w:t>článek 3,</w:t>
      </w:r>
    </w:p>
    <w:p w14:paraId="7D423FC4" w14:textId="77777777" w:rsidR="00EF1DD2" w:rsidRPr="00C42150" w:rsidRDefault="00EF1DD2" w:rsidP="00EF1DD2">
      <w:pPr>
        <w:rPr>
          <w:rFonts w:ascii="Arial" w:hAnsi="Arial" w:cs="Arial"/>
          <w:color w:val="FF0000"/>
          <w:sz w:val="20"/>
        </w:rPr>
      </w:pPr>
      <w:r w:rsidRPr="00C42150">
        <w:rPr>
          <w:rFonts w:ascii="Arial" w:hAnsi="Arial" w:cs="Arial"/>
          <w:color w:val="FF0000"/>
          <w:sz w:val="20"/>
        </w:rPr>
        <w:t>Vymezující platnost územního plánu, se ruší v plném rozsahu.</w:t>
      </w:r>
    </w:p>
    <w:p w14:paraId="719544E0" w14:textId="77777777" w:rsidR="00EF1DD2" w:rsidRPr="00C42150" w:rsidRDefault="00EF1DD2" w:rsidP="00EF1DD2">
      <w:pPr>
        <w:rPr>
          <w:rFonts w:ascii="Arial" w:hAnsi="Arial" w:cs="Arial"/>
          <w:color w:val="FF0000"/>
          <w:sz w:val="20"/>
          <w:u w:val="single"/>
        </w:rPr>
      </w:pPr>
    </w:p>
    <w:p w14:paraId="06803D30" w14:textId="77777777" w:rsidR="00EF1DD2" w:rsidRPr="00C42150" w:rsidRDefault="00EF1DD2" w:rsidP="00EF1DD2">
      <w:pPr>
        <w:pStyle w:val="Nadpis4"/>
        <w:pBdr>
          <w:bottom w:val="single" w:sz="4" w:space="1" w:color="auto"/>
        </w:pBdr>
        <w:rPr>
          <w:b w:val="0"/>
          <w:i/>
          <w:color w:val="FF0000"/>
          <w:sz w:val="20"/>
          <w:szCs w:val="24"/>
        </w:rPr>
      </w:pPr>
    </w:p>
    <w:p w14:paraId="00B81F00" w14:textId="77777777" w:rsidR="00EF1DD2" w:rsidRPr="00C42150" w:rsidRDefault="00EF1DD2" w:rsidP="00EF1DD2">
      <w:pPr>
        <w:pStyle w:val="Nadpis4"/>
        <w:pBdr>
          <w:bottom w:val="single" w:sz="4" w:space="1" w:color="auto"/>
        </w:pBdr>
        <w:rPr>
          <w:b w:val="0"/>
          <w:i/>
          <w:color w:val="FF0000"/>
          <w:sz w:val="20"/>
          <w:szCs w:val="24"/>
        </w:rPr>
      </w:pPr>
      <w:r w:rsidRPr="00C42150">
        <w:rPr>
          <w:b w:val="0"/>
          <w:i/>
          <w:color w:val="FF0000"/>
          <w:sz w:val="20"/>
          <w:szCs w:val="24"/>
        </w:rPr>
        <w:t>ČÁST DRUHÁ</w:t>
      </w:r>
    </w:p>
    <w:p w14:paraId="3289FE32" w14:textId="77777777" w:rsidR="00EF1DD2" w:rsidRPr="00C42150" w:rsidRDefault="00EF1DD2" w:rsidP="00EF1DD2">
      <w:pPr>
        <w:pStyle w:val="Nadpis4"/>
        <w:rPr>
          <w:b w:val="0"/>
          <w:i/>
          <w:color w:val="FF0000"/>
          <w:sz w:val="18"/>
        </w:rPr>
      </w:pPr>
      <w:r w:rsidRPr="00C42150">
        <w:rPr>
          <w:b w:val="0"/>
          <w:i/>
          <w:color w:val="FF0000"/>
          <w:sz w:val="18"/>
        </w:rPr>
        <w:t>článek 6, odst. 3 – ÚZEMÍ NEURBANIZOVANÉ</w:t>
      </w:r>
    </w:p>
    <w:p w14:paraId="72E98AAC" w14:textId="77777777" w:rsidR="00EF1DD2" w:rsidRPr="00C42150" w:rsidRDefault="00EF1DD2" w:rsidP="00EF1DD2">
      <w:pPr>
        <w:rPr>
          <w:rFonts w:ascii="Arial" w:hAnsi="Arial" w:cs="Arial"/>
          <w:color w:val="FF0000"/>
          <w:sz w:val="20"/>
        </w:rPr>
      </w:pPr>
      <w:r w:rsidRPr="00C42150">
        <w:rPr>
          <w:rFonts w:ascii="Arial" w:hAnsi="Arial" w:cs="Arial"/>
          <w:color w:val="FF0000"/>
          <w:sz w:val="20"/>
        </w:rPr>
        <w:t>-  ruší se citace „ v odůvodněných případech lze povolit i jinou stavbu (v návaznosti na příslušnou funkční plochu) po projednání s dotčenými orgány státní správy, právnickými a fyzickými osobami.</w:t>
      </w:r>
    </w:p>
    <w:p w14:paraId="0479CAE8" w14:textId="77777777" w:rsidR="00EF1DD2" w:rsidRPr="00C42150" w:rsidRDefault="00EF1DD2" w:rsidP="00EF1DD2">
      <w:pPr>
        <w:rPr>
          <w:rFonts w:ascii="Arial" w:hAnsi="Arial" w:cs="Arial"/>
          <w:color w:val="FF0000"/>
          <w:sz w:val="20"/>
          <w:u w:val="single"/>
        </w:rPr>
      </w:pPr>
    </w:p>
    <w:p w14:paraId="4F69DD0E" w14:textId="77777777" w:rsidR="00EF1DD2" w:rsidRPr="00C42150" w:rsidRDefault="00EF1DD2" w:rsidP="00EF1DD2">
      <w:pPr>
        <w:pStyle w:val="Nadpis4"/>
        <w:rPr>
          <w:b w:val="0"/>
          <w:i/>
          <w:color w:val="FF0000"/>
          <w:sz w:val="18"/>
        </w:rPr>
      </w:pPr>
      <w:r w:rsidRPr="00C42150">
        <w:rPr>
          <w:b w:val="0"/>
          <w:i/>
          <w:color w:val="FF0000"/>
          <w:sz w:val="18"/>
        </w:rPr>
        <w:t>Článek 8. Funkční zóny</w:t>
      </w:r>
    </w:p>
    <w:p w14:paraId="2B523376" w14:textId="77777777" w:rsidR="00EF1DD2" w:rsidRPr="00C42150" w:rsidRDefault="00EF1DD2" w:rsidP="00EF1DD2">
      <w:pPr>
        <w:rPr>
          <w:rFonts w:ascii="Arial" w:hAnsi="Arial" w:cs="Arial"/>
          <w:color w:val="FF0000"/>
          <w:sz w:val="20"/>
        </w:rPr>
      </w:pPr>
      <w:r w:rsidRPr="00C42150">
        <w:rPr>
          <w:rFonts w:ascii="Arial" w:hAnsi="Arial" w:cs="Arial"/>
          <w:color w:val="FF0000"/>
          <w:sz w:val="20"/>
          <w:u w:val="single"/>
        </w:rPr>
        <w:t>článek 8, odst. 1, písm. c</w:t>
      </w:r>
      <w:r w:rsidRPr="00C42150">
        <w:rPr>
          <w:rFonts w:ascii="Arial" w:hAnsi="Arial" w:cs="Arial"/>
          <w:b/>
          <w:color w:val="FF0000"/>
          <w:sz w:val="20"/>
        </w:rPr>
        <w:t>) BM - RD MĚSTSKÉHO TYPU</w:t>
      </w:r>
    </w:p>
    <w:p w14:paraId="0B8CF363" w14:textId="77777777" w:rsidR="00EF1DD2" w:rsidRPr="00C42150" w:rsidRDefault="00EF1DD2" w:rsidP="00EF1DD2">
      <w:pPr>
        <w:numPr>
          <w:ilvl w:val="0"/>
          <w:numId w:val="131"/>
        </w:numPr>
        <w:suppressAutoHyphens w:val="0"/>
        <w:jc w:val="both"/>
        <w:rPr>
          <w:rFonts w:ascii="Arial" w:hAnsi="Arial" w:cs="Arial"/>
          <w:color w:val="FF0000"/>
          <w:sz w:val="20"/>
        </w:rPr>
      </w:pPr>
      <w:r w:rsidRPr="00C42150">
        <w:rPr>
          <w:rFonts w:ascii="Arial" w:hAnsi="Arial" w:cs="Arial"/>
          <w:color w:val="FF0000"/>
          <w:sz w:val="20"/>
        </w:rPr>
        <w:t xml:space="preserve">v přípustném využití se ruší termín „vestavěné garáže“ a nahrazuje se termínem „garáže“ </w:t>
      </w:r>
    </w:p>
    <w:p w14:paraId="3961D550" w14:textId="77777777" w:rsidR="00EF1DD2" w:rsidRPr="00C42150" w:rsidRDefault="00EF1DD2" w:rsidP="00EF1DD2">
      <w:pPr>
        <w:rPr>
          <w:rFonts w:ascii="Arial" w:hAnsi="Arial" w:cs="Arial"/>
          <w:color w:val="FF0000"/>
          <w:sz w:val="20"/>
          <w:u w:val="single"/>
        </w:rPr>
      </w:pPr>
    </w:p>
    <w:p w14:paraId="79412850" w14:textId="77777777" w:rsidR="00EF1DD2" w:rsidRPr="00C42150" w:rsidRDefault="00EF1DD2" w:rsidP="00EF1DD2">
      <w:pPr>
        <w:rPr>
          <w:rFonts w:ascii="Arial" w:hAnsi="Arial" w:cs="Arial"/>
          <w:color w:val="FF0000"/>
          <w:sz w:val="20"/>
        </w:rPr>
      </w:pPr>
      <w:r w:rsidRPr="00C42150">
        <w:rPr>
          <w:rFonts w:ascii="Arial" w:hAnsi="Arial" w:cs="Arial"/>
          <w:color w:val="FF0000"/>
          <w:sz w:val="20"/>
          <w:u w:val="single"/>
        </w:rPr>
        <w:t>článek 8, odst. 1, písm. d</w:t>
      </w:r>
      <w:r w:rsidRPr="00C42150">
        <w:rPr>
          <w:rFonts w:ascii="Arial" w:hAnsi="Arial" w:cs="Arial"/>
          <w:color w:val="FF0000"/>
          <w:sz w:val="20"/>
        </w:rPr>
        <w:t xml:space="preserve">) </w:t>
      </w:r>
      <w:r w:rsidRPr="00C42150">
        <w:rPr>
          <w:rFonts w:ascii="Arial" w:hAnsi="Arial" w:cs="Arial"/>
          <w:b/>
          <w:color w:val="FF0000"/>
          <w:sz w:val="20"/>
        </w:rPr>
        <w:t>BV - SMÍŠENÁ ZÓNA S RD VENKOVSKÉHO TYPU</w:t>
      </w:r>
    </w:p>
    <w:p w14:paraId="53B4857D" w14:textId="77777777" w:rsidR="00EF1DD2" w:rsidRPr="00C42150" w:rsidRDefault="00EF1DD2" w:rsidP="00EF1DD2">
      <w:pPr>
        <w:numPr>
          <w:ilvl w:val="0"/>
          <w:numId w:val="131"/>
        </w:numPr>
        <w:suppressAutoHyphens w:val="0"/>
        <w:jc w:val="both"/>
        <w:rPr>
          <w:rFonts w:ascii="Arial" w:hAnsi="Arial" w:cs="Arial"/>
          <w:color w:val="FF0000"/>
          <w:sz w:val="20"/>
        </w:rPr>
      </w:pPr>
      <w:r w:rsidRPr="00C42150">
        <w:rPr>
          <w:rFonts w:ascii="Arial" w:hAnsi="Arial" w:cs="Arial"/>
          <w:color w:val="FF0000"/>
          <w:sz w:val="20"/>
        </w:rPr>
        <w:t xml:space="preserve">v přípustném využití se doplňuje termín „garáže“ </w:t>
      </w:r>
    </w:p>
    <w:p w14:paraId="4F71F323" w14:textId="77777777" w:rsidR="00EF1DD2" w:rsidRPr="00C42150" w:rsidRDefault="00EF1DD2" w:rsidP="00EF1DD2">
      <w:pPr>
        <w:rPr>
          <w:rFonts w:ascii="Arial" w:hAnsi="Arial" w:cs="Arial"/>
          <w:color w:val="FF0000"/>
          <w:sz w:val="20"/>
          <w:u w:val="single"/>
        </w:rPr>
      </w:pPr>
    </w:p>
    <w:p w14:paraId="618960AD" w14:textId="77777777" w:rsidR="00EF1DD2" w:rsidRPr="00C42150" w:rsidRDefault="00EF1DD2" w:rsidP="00EF1DD2">
      <w:pPr>
        <w:rPr>
          <w:rFonts w:ascii="Arial" w:hAnsi="Arial" w:cs="Arial"/>
          <w:b/>
          <w:color w:val="FF0000"/>
          <w:sz w:val="20"/>
        </w:rPr>
      </w:pPr>
      <w:r w:rsidRPr="00C42150">
        <w:rPr>
          <w:rFonts w:ascii="Arial" w:hAnsi="Arial" w:cs="Arial"/>
          <w:color w:val="FF0000"/>
          <w:sz w:val="20"/>
          <w:u w:val="single"/>
        </w:rPr>
        <w:t>článek 8, odst. 1, písm. e</w:t>
      </w:r>
      <w:r w:rsidRPr="00C42150">
        <w:rPr>
          <w:rFonts w:ascii="Arial" w:hAnsi="Arial" w:cs="Arial"/>
          <w:color w:val="FF0000"/>
          <w:sz w:val="20"/>
        </w:rPr>
        <w:t xml:space="preserve">) </w:t>
      </w:r>
      <w:r w:rsidRPr="00C42150">
        <w:rPr>
          <w:rFonts w:ascii="Arial" w:hAnsi="Arial" w:cs="Arial"/>
          <w:b/>
          <w:color w:val="FF0000"/>
          <w:sz w:val="20"/>
        </w:rPr>
        <w:t>OV - OBJEKTY A AREÁLY OBČANSKÉHO VYBAVENÍ V RÁMCI CELÉHO ÚZEMÍ MĚSTA</w:t>
      </w:r>
    </w:p>
    <w:p w14:paraId="6E4EBA51" w14:textId="77777777" w:rsidR="00EF1DD2" w:rsidRPr="00C42150" w:rsidRDefault="00EF1DD2" w:rsidP="00EF1DD2">
      <w:pPr>
        <w:numPr>
          <w:ilvl w:val="0"/>
          <w:numId w:val="130"/>
        </w:numPr>
        <w:suppressAutoHyphens w:val="0"/>
        <w:jc w:val="both"/>
        <w:rPr>
          <w:rFonts w:ascii="Arial" w:hAnsi="Arial" w:cs="Arial"/>
          <w:color w:val="FF0000"/>
          <w:sz w:val="20"/>
        </w:rPr>
      </w:pPr>
      <w:r w:rsidRPr="00C42150">
        <w:rPr>
          <w:rFonts w:ascii="Arial" w:hAnsi="Arial" w:cs="Arial"/>
          <w:color w:val="FF0000"/>
          <w:sz w:val="20"/>
        </w:rPr>
        <w:t>přípustné využití se doplňuje termíny „ garáže, nezbytná technická infrastruktura, trvalé bydlení v polyfunkčních domech se zachováním dominantní funkce občanské vybavenosti“</w:t>
      </w:r>
    </w:p>
    <w:p w14:paraId="5D4E9DB9" w14:textId="77777777" w:rsidR="00EF1DD2" w:rsidRPr="00C42150" w:rsidRDefault="00EF1DD2" w:rsidP="00EF1DD2">
      <w:pPr>
        <w:numPr>
          <w:ilvl w:val="0"/>
          <w:numId w:val="130"/>
        </w:numPr>
        <w:suppressAutoHyphens w:val="0"/>
        <w:jc w:val="both"/>
        <w:rPr>
          <w:rFonts w:ascii="Arial" w:hAnsi="Arial" w:cs="Arial"/>
          <w:color w:val="FF0000"/>
          <w:sz w:val="20"/>
        </w:rPr>
      </w:pPr>
      <w:r w:rsidRPr="00C42150">
        <w:rPr>
          <w:rFonts w:ascii="Arial" w:hAnsi="Arial" w:cs="Arial"/>
          <w:color w:val="FF0000"/>
          <w:sz w:val="20"/>
        </w:rPr>
        <w:t>v přípustném využití se ruší termín „služební byty“</w:t>
      </w:r>
    </w:p>
    <w:p w14:paraId="2C05BC6B" w14:textId="77777777" w:rsidR="00EF1DD2" w:rsidRPr="00C42150" w:rsidRDefault="00EF1DD2" w:rsidP="00EF1DD2">
      <w:pPr>
        <w:numPr>
          <w:ilvl w:val="0"/>
          <w:numId w:val="130"/>
        </w:numPr>
        <w:suppressAutoHyphens w:val="0"/>
        <w:jc w:val="both"/>
        <w:rPr>
          <w:rFonts w:ascii="Arial" w:hAnsi="Arial" w:cs="Arial"/>
          <w:color w:val="FF0000"/>
          <w:sz w:val="20"/>
        </w:rPr>
      </w:pPr>
      <w:r w:rsidRPr="00C42150">
        <w:rPr>
          <w:rFonts w:ascii="Arial" w:hAnsi="Arial" w:cs="Arial"/>
          <w:color w:val="FF0000"/>
          <w:sz w:val="20"/>
        </w:rPr>
        <w:t>v nepřípustném využití se ruší termín „ trvalé bydlení“</w:t>
      </w:r>
    </w:p>
    <w:p w14:paraId="731A1229" w14:textId="77777777" w:rsidR="00EF1DD2" w:rsidRPr="00C42150" w:rsidRDefault="00EF1DD2" w:rsidP="00EF1DD2">
      <w:pPr>
        <w:rPr>
          <w:rFonts w:ascii="Arial" w:hAnsi="Arial" w:cs="Arial"/>
          <w:color w:val="FF0000"/>
          <w:sz w:val="20"/>
          <w:u w:val="single"/>
        </w:rPr>
      </w:pPr>
    </w:p>
    <w:p w14:paraId="4A379F10" w14:textId="77777777" w:rsidR="00EF1DD2" w:rsidRPr="00C42150" w:rsidRDefault="00EF1DD2" w:rsidP="00EF1DD2">
      <w:pPr>
        <w:rPr>
          <w:rFonts w:ascii="Arial" w:hAnsi="Arial" w:cs="Arial"/>
          <w:b/>
          <w:color w:val="FF0000"/>
          <w:sz w:val="20"/>
        </w:rPr>
      </w:pPr>
      <w:r w:rsidRPr="00C42150">
        <w:rPr>
          <w:rFonts w:ascii="Arial" w:hAnsi="Arial" w:cs="Arial"/>
          <w:color w:val="FF0000"/>
          <w:sz w:val="20"/>
          <w:u w:val="single"/>
        </w:rPr>
        <w:t>článek 8, odst. 1, písm. f</w:t>
      </w:r>
      <w:r w:rsidRPr="00C42150">
        <w:rPr>
          <w:rFonts w:ascii="Arial" w:hAnsi="Arial" w:cs="Arial"/>
          <w:color w:val="FF0000"/>
          <w:sz w:val="20"/>
        </w:rPr>
        <w:t xml:space="preserve">) </w:t>
      </w:r>
      <w:r w:rsidRPr="00C42150">
        <w:rPr>
          <w:rFonts w:ascii="Arial" w:hAnsi="Arial" w:cs="Arial"/>
          <w:b/>
          <w:color w:val="FF0000"/>
          <w:sz w:val="20"/>
        </w:rPr>
        <w:t>S – AREÁLY TĚLOVÝCHOVY A SPORTU</w:t>
      </w:r>
    </w:p>
    <w:p w14:paraId="52DDFF81" w14:textId="77777777" w:rsidR="00EF1DD2" w:rsidRPr="00C42150" w:rsidRDefault="00EF1DD2" w:rsidP="00EF1DD2">
      <w:pPr>
        <w:widowControl w:val="0"/>
        <w:numPr>
          <w:ilvl w:val="0"/>
          <w:numId w:val="131"/>
        </w:numPr>
        <w:suppressAutoHyphens w:val="0"/>
        <w:adjustRightInd w:val="0"/>
        <w:jc w:val="both"/>
        <w:rPr>
          <w:rFonts w:ascii="Arial" w:hAnsi="Arial" w:cs="Arial"/>
          <w:color w:val="FF0000"/>
          <w:sz w:val="20"/>
        </w:rPr>
      </w:pPr>
      <w:r w:rsidRPr="00C42150">
        <w:rPr>
          <w:rFonts w:ascii="Arial" w:hAnsi="Arial" w:cs="Arial"/>
          <w:color w:val="FF0000"/>
          <w:sz w:val="20"/>
        </w:rPr>
        <w:t xml:space="preserve">výjimečně přípustné využití se doplňuje termínem „ubytování (max. 5% plochy- </w:t>
      </w:r>
      <w:r w:rsidRPr="00C42150">
        <w:rPr>
          <w:rFonts w:ascii="Arial" w:hAnsi="Arial" w:cs="Arial"/>
          <w:b/>
          <w:color w:val="FF0000"/>
          <w:sz w:val="20"/>
        </w:rPr>
        <w:t xml:space="preserve"> </w:t>
      </w:r>
      <w:r w:rsidRPr="00C42150">
        <w:rPr>
          <w:rFonts w:ascii="Arial" w:hAnsi="Arial" w:cs="Arial"/>
          <w:color w:val="FF0000"/>
          <w:sz w:val="20"/>
        </w:rPr>
        <w:t>nevztahuje se na stávající objekty</w:t>
      </w:r>
      <w:r w:rsidRPr="00C42150">
        <w:rPr>
          <w:rFonts w:ascii="Arial" w:hAnsi="Arial" w:cs="Arial"/>
          <w:b/>
          <w:color w:val="FF0000"/>
          <w:sz w:val="20"/>
        </w:rPr>
        <w:t>)“</w:t>
      </w:r>
      <w:r w:rsidRPr="00C42150">
        <w:rPr>
          <w:rFonts w:ascii="Arial" w:hAnsi="Arial" w:cs="Arial"/>
          <w:color w:val="FF0000"/>
          <w:sz w:val="20"/>
        </w:rPr>
        <w:t>.</w:t>
      </w:r>
    </w:p>
    <w:p w14:paraId="299FD7C6" w14:textId="77777777" w:rsidR="00EF1DD2" w:rsidRPr="00C42150" w:rsidRDefault="00EF1DD2" w:rsidP="00EF1DD2">
      <w:pPr>
        <w:numPr>
          <w:ilvl w:val="0"/>
          <w:numId w:val="131"/>
        </w:numPr>
        <w:suppressAutoHyphens w:val="0"/>
        <w:jc w:val="both"/>
        <w:rPr>
          <w:rFonts w:ascii="Arial" w:hAnsi="Arial" w:cs="Arial"/>
          <w:color w:val="FF0000"/>
          <w:sz w:val="20"/>
        </w:rPr>
      </w:pPr>
      <w:r w:rsidRPr="00C42150">
        <w:rPr>
          <w:rFonts w:ascii="Arial" w:hAnsi="Arial" w:cs="Arial"/>
          <w:color w:val="FF0000"/>
          <w:sz w:val="20"/>
        </w:rPr>
        <w:t>v přípustném využití se ruší termín „služební byty“</w:t>
      </w:r>
    </w:p>
    <w:p w14:paraId="74258D96" w14:textId="77777777" w:rsidR="00EF1DD2" w:rsidRPr="00C42150" w:rsidRDefault="00EF1DD2" w:rsidP="00EF1DD2">
      <w:pPr>
        <w:rPr>
          <w:rFonts w:ascii="Arial" w:hAnsi="Arial" w:cs="Arial"/>
          <w:color w:val="FF0000"/>
          <w:sz w:val="20"/>
          <w:u w:val="single"/>
        </w:rPr>
      </w:pPr>
    </w:p>
    <w:p w14:paraId="5FB59858" w14:textId="77777777" w:rsidR="00EF1DD2" w:rsidRPr="00C42150" w:rsidRDefault="00EF1DD2" w:rsidP="00EF1DD2">
      <w:pPr>
        <w:rPr>
          <w:rFonts w:ascii="Arial" w:hAnsi="Arial" w:cs="Arial"/>
          <w:color w:val="FF0000"/>
          <w:sz w:val="20"/>
        </w:rPr>
      </w:pPr>
      <w:r w:rsidRPr="00C42150">
        <w:rPr>
          <w:rFonts w:ascii="Arial" w:hAnsi="Arial" w:cs="Arial"/>
          <w:color w:val="FF0000"/>
          <w:sz w:val="20"/>
          <w:u w:val="single"/>
        </w:rPr>
        <w:t>článek 8, odst. 1, písm. g</w:t>
      </w:r>
      <w:r w:rsidRPr="00C42150">
        <w:rPr>
          <w:rFonts w:ascii="Arial" w:hAnsi="Arial" w:cs="Arial"/>
          <w:color w:val="FF0000"/>
          <w:sz w:val="20"/>
        </w:rPr>
        <w:t xml:space="preserve">) </w:t>
      </w:r>
      <w:r w:rsidRPr="00C42150">
        <w:rPr>
          <w:rFonts w:ascii="Arial" w:hAnsi="Arial" w:cs="Arial"/>
          <w:b/>
          <w:color w:val="FF0000"/>
          <w:sz w:val="20"/>
        </w:rPr>
        <w:t>PV  -</w:t>
      </w:r>
      <w:r w:rsidRPr="00C42150">
        <w:rPr>
          <w:rFonts w:ascii="Arial" w:hAnsi="Arial" w:cs="Arial"/>
          <w:color w:val="FF0000"/>
          <w:sz w:val="20"/>
        </w:rPr>
        <w:t xml:space="preserve">  </w:t>
      </w:r>
      <w:r w:rsidRPr="00C42150">
        <w:rPr>
          <w:rFonts w:ascii="Arial" w:hAnsi="Arial" w:cs="Arial"/>
          <w:b/>
          <w:color w:val="FF0000"/>
          <w:sz w:val="20"/>
        </w:rPr>
        <w:t>ZÓNA PRŮMYSLOVÉ VÝROBY</w:t>
      </w:r>
    </w:p>
    <w:p w14:paraId="54A254B0" w14:textId="77777777" w:rsidR="00EF1DD2" w:rsidRPr="00C42150" w:rsidRDefault="00EF1DD2" w:rsidP="00EF1DD2">
      <w:pPr>
        <w:numPr>
          <w:ilvl w:val="0"/>
          <w:numId w:val="130"/>
        </w:numPr>
        <w:suppressAutoHyphens w:val="0"/>
        <w:jc w:val="both"/>
        <w:rPr>
          <w:rFonts w:ascii="Arial" w:hAnsi="Arial" w:cs="Arial"/>
          <w:color w:val="FF0000"/>
          <w:sz w:val="20"/>
        </w:rPr>
      </w:pPr>
      <w:r w:rsidRPr="00C42150">
        <w:rPr>
          <w:rFonts w:ascii="Arial" w:hAnsi="Arial" w:cs="Arial"/>
          <w:color w:val="FF0000"/>
          <w:sz w:val="20"/>
        </w:rPr>
        <w:t>v přípustném využití se ruší termín „služební byty“</w:t>
      </w:r>
    </w:p>
    <w:p w14:paraId="7297D347" w14:textId="77777777" w:rsidR="00EF1DD2" w:rsidRPr="00C42150" w:rsidRDefault="00EF1DD2" w:rsidP="00EF1DD2">
      <w:pPr>
        <w:numPr>
          <w:ilvl w:val="0"/>
          <w:numId w:val="130"/>
        </w:numPr>
        <w:suppressAutoHyphens w:val="0"/>
        <w:jc w:val="both"/>
        <w:rPr>
          <w:rFonts w:ascii="Arial" w:hAnsi="Arial" w:cs="Arial"/>
          <w:color w:val="FF0000"/>
          <w:sz w:val="20"/>
        </w:rPr>
      </w:pPr>
      <w:r w:rsidRPr="00C42150">
        <w:rPr>
          <w:rFonts w:ascii="Arial" w:hAnsi="Arial" w:cs="Arial"/>
          <w:color w:val="FF0000"/>
          <w:sz w:val="20"/>
        </w:rPr>
        <w:t xml:space="preserve">ve výjimečně přípustném využití se ruší původně navrhované ubytování za předpokladu zachování dominantní funkce zóny a dodržení hygienických norem. </w:t>
      </w:r>
    </w:p>
    <w:p w14:paraId="459147D9" w14:textId="77777777" w:rsidR="00EF1DD2" w:rsidRPr="00C42150" w:rsidRDefault="00EF1DD2" w:rsidP="00EF1DD2">
      <w:pPr>
        <w:rPr>
          <w:rFonts w:ascii="Arial" w:hAnsi="Arial" w:cs="Arial"/>
          <w:color w:val="FF0000"/>
          <w:sz w:val="20"/>
          <w:u w:val="single"/>
        </w:rPr>
      </w:pPr>
    </w:p>
    <w:p w14:paraId="717E2FD0" w14:textId="77777777" w:rsidR="00EF1DD2" w:rsidRPr="00C42150" w:rsidRDefault="00EF1DD2" w:rsidP="00EF1DD2">
      <w:pPr>
        <w:rPr>
          <w:rFonts w:ascii="Arial" w:hAnsi="Arial" w:cs="Arial"/>
          <w:b/>
          <w:color w:val="FF0000"/>
          <w:sz w:val="20"/>
        </w:rPr>
      </w:pPr>
      <w:r w:rsidRPr="00C42150">
        <w:rPr>
          <w:rFonts w:ascii="Arial" w:hAnsi="Arial" w:cs="Arial"/>
          <w:color w:val="FF0000"/>
          <w:sz w:val="20"/>
          <w:u w:val="single"/>
        </w:rPr>
        <w:t>článek 8, odst. 1, písm. h</w:t>
      </w:r>
      <w:r w:rsidRPr="00C42150">
        <w:rPr>
          <w:rFonts w:ascii="Arial" w:hAnsi="Arial" w:cs="Arial"/>
          <w:color w:val="FF0000"/>
          <w:sz w:val="20"/>
        </w:rPr>
        <w:t xml:space="preserve">)  </w:t>
      </w:r>
      <w:r w:rsidRPr="00C42150">
        <w:rPr>
          <w:rFonts w:ascii="Arial" w:hAnsi="Arial" w:cs="Arial"/>
          <w:b/>
          <w:color w:val="FF0000"/>
          <w:sz w:val="20"/>
        </w:rPr>
        <w:t>NV - ZÓNA NERUŠÍCÍ VÝROBY A VÝROBNÍCH SLUŽEB</w:t>
      </w:r>
    </w:p>
    <w:p w14:paraId="10FD328E" w14:textId="77777777" w:rsidR="00EF1DD2" w:rsidRPr="00C42150" w:rsidRDefault="00EF1DD2" w:rsidP="00EF1DD2">
      <w:pPr>
        <w:numPr>
          <w:ilvl w:val="0"/>
          <w:numId w:val="130"/>
        </w:numPr>
        <w:suppressAutoHyphens w:val="0"/>
        <w:jc w:val="both"/>
        <w:rPr>
          <w:rFonts w:ascii="Arial" w:hAnsi="Arial" w:cs="Arial"/>
          <w:color w:val="FF0000"/>
          <w:sz w:val="20"/>
          <w:u w:val="single"/>
        </w:rPr>
      </w:pPr>
      <w:r w:rsidRPr="00C42150">
        <w:rPr>
          <w:rFonts w:ascii="Arial" w:hAnsi="Arial" w:cs="Arial"/>
          <w:color w:val="FF0000"/>
          <w:sz w:val="20"/>
        </w:rPr>
        <w:t>ve výjimečně přípustném využití se ruší termín „služební byty“, který se nahrazuje termínem „bydlení v polyfunkčních domech s podmínkou zachování dominantní funkce zóny a dodržení hygienických limitů. Možnost výjimečně přípustného bydlení se nevztahuje na lokalitu Podmokly, zahrnující areály podél ulice Dělnická dle schématu ve Výkresu základního členění území“</w:t>
      </w:r>
    </w:p>
    <w:p w14:paraId="5C892BF4" w14:textId="77777777" w:rsidR="00EF1DD2" w:rsidRPr="00C42150" w:rsidRDefault="00EF1DD2" w:rsidP="00EF1DD2">
      <w:pPr>
        <w:ind w:left="600"/>
        <w:rPr>
          <w:rFonts w:ascii="Arial" w:hAnsi="Arial" w:cs="Arial"/>
          <w:color w:val="FF0000"/>
          <w:sz w:val="20"/>
          <w:u w:val="single"/>
        </w:rPr>
      </w:pPr>
    </w:p>
    <w:p w14:paraId="15681C97" w14:textId="77777777" w:rsidR="00EF1DD2" w:rsidRPr="00C42150" w:rsidRDefault="00EF1DD2" w:rsidP="00EF1DD2">
      <w:pPr>
        <w:rPr>
          <w:rFonts w:ascii="Arial" w:hAnsi="Arial" w:cs="Arial"/>
          <w:color w:val="FF0000"/>
          <w:sz w:val="20"/>
        </w:rPr>
      </w:pPr>
      <w:r w:rsidRPr="00C42150">
        <w:rPr>
          <w:rFonts w:ascii="Arial" w:hAnsi="Arial" w:cs="Arial"/>
          <w:color w:val="FF0000"/>
          <w:sz w:val="20"/>
          <w:u w:val="single"/>
        </w:rPr>
        <w:t>článek 8, odst. 1, písm. i</w:t>
      </w:r>
      <w:r w:rsidRPr="00C42150">
        <w:rPr>
          <w:rFonts w:ascii="Arial" w:hAnsi="Arial" w:cs="Arial"/>
          <w:color w:val="FF0000"/>
          <w:sz w:val="20"/>
        </w:rPr>
        <w:t xml:space="preserve">)  </w:t>
      </w:r>
      <w:r w:rsidRPr="00C42150">
        <w:rPr>
          <w:rFonts w:ascii="Arial" w:hAnsi="Arial" w:cs="Arial"/>
          <w:b/>
          <w:color w:val="FF0000"/>
          <w:sz w:val="20"/>
        </w:rPr>
        <w:t>TV - AREÁLY TECHNICKÉHO VYBAVENÍ</w:t>
      </w:r>
    </w:p>
    <w:p w14:paraId="561D8460" w14:textId="77777777" w:rsidR="00EF1DD2" w:rsidRPr="00C42150" w:rsidRDefault="00EF1DD2" w:rsidP="00EF1DD2">
      <w:pPr>
        <w:numPr>
          <w:ilvl w:val="0"/>
          <w:numId w:val="130"/>
        </w:numPr>
        <w:suppressAutoHyphens w:val="0"/>
        <w:jc w:val="both"/>
        <w:rPr>
          <w:rFonts w:ascii="Arial" w:hAnsi="Arial" w:cs="Arial"/>
          <w:color w:val="FF0000"/>
          <w:sz w:val="20"/>
          <w:u w:val="single"/>
        </w:rPr>
      </w:pPr>
      <w:r w:rsidRPr="00C42150">
        <w:rPr>
          <w:rFonts w:ascii="Arial" w:hAnsi="Arial" w:cs="Arial"/>
          <w:color w:val="FF0000"/>
          <w:sz w:val="20"/>
        </w:rPr>
        <w:t xml:space="preserve">ve výjimečně přípustném využití se ruší termín „ služební byty“, který se nahrazuje termínem „bydlení s podmínkou zachování dominantní funkce zóny a za podmínky splnění hygienických </w:t>
      </w:r>
      <w:r w:rsidRPr="00C42150">
        <w:rPr>
          <w:rFonts w:ascii="Arial" w:hAnsi="Arial" w:cs="Arial"/>
          <w:color w:val="FF0000"/>
          <w:sz w:val="20"/>
        </w:rPr>
        <w:lastRenderedPageBreak/>
        <w:t>limitů. Možnost výjimečně přípustného bydlení se nevztahuje na lokalitu Podmokly, zahrnující areály podél ulice Dělnická dle schématu ve Výkresu základního členění území“</w:t>
      </w:r>
    </w:p>
    <w:p w14:paraId="456C4791" w14:textId="77777777" w:rsidR="00EF1DD2" w:rsidRPr="00C42150" w:rsidRDefault="00EF1DD2" w:rsidP="00EF1DD2">
      <w:pPr>
        <w:ind w:left="600"/>
        <w:rPr>
          <w:rFonts w:ascii="Arial" w:hAnsi="Arial" w:cs="Arial"/>
          <w:color w:val="FF0000"/>
          <w:sz w:val="20"/>
        </w:rPr>
      </w:pPr>
    </w:p>
    <w:p w14:paraId="660266B5" w14:textId="77777777" w:rsidR="00EF1DD2" w:rsidRDefault="00EF1DD2" w:rsidP="00EF1DD2">
      <w:pPr>
        <w:rPr>
          <w:rFonts w:ascii="Arial" w:hAnsi="Arial" w:cs="Arial"/>
          <w:color w:val="FF0000"/>
          <w:sz w:val="20"/>
        </w:rPr>
      </w:pPr>
      <w:r w:rsidRPr="00C42150">
        <w:rPr>
          <w:rFonts w:ascii="Arial" w:hAnsi="Arial" w:cs="Arial"/>
          <w:color w:val="FF0000"/>
          <w:sz w:val="20"/>
        </w:rPr>
        <w:t xml:space="preserve">             </w:t>
      </w:r>
    </w:p>
    <w:p w14:paraId="052B1037" w14:textId="77777777" w:rsidR="00EF1DD2" w:rsidRDefault="00EF1DD2" w:rsidP="00EF1DD2">
      <w:pPr>
        <w:rPr>
          <w:rFonts w:ascii="Arial" w:hAnsi="Arial" w:cs="Arial"/>
          <w:color w:val="FF0000"/>
          <w:sz w:val="20"/>
        </w:rPr>
      </w:pPr>
    </w:p>
    <w:p w14:paraId="6019B504" w14:textId="77777777" w:rsidR="00EF1DD2" w:rsidRPr="00C42150" w:rsidRDefault="00EF1DD2" w:rsidP="00EF1DD2">
      <w:pPr>
        <w:rPr>
          <w:rFonts w:ascii="Arial" w:hAnsi="Arial" w:cs="Arial"/>
          <w:color w:val="FF0000"/>
          <w:sz w:val="20"/>
        </w:rPr>
      </w:pPr>
      <w:r w:rsidRPr="00C42150">
        <w:rPr>
          <w:rFonts w:ascii="Arial" w:hAnsi="Arial" w:cs="Arial"/>
          <w:color w:val="FF0000"/>
          <w:sz w:val="20"/>
          <w:u w:val="single"/>
        </w:rPr>
        <w:t>článek 8, odst. 1, písm. j</w:t>
      </w:r>
      <w:r w:rsidRPr="00C42150">
        <w:rPr>
          <w:rFonts w:ascii="Arial" w:hAnsi="Arial" w:cs="Arial"/>
          <w:color w:val="FF0000"/>
          <w:sz w:val="20"/>
        </w:rPr>
        <w:t xml:space="preserve">)  </w:t>
      </w:r>
      <w:r w:rsidRPr="00C42150">
        <w:rPr>
          <w:rFonts w:ascii="Arial" w:hAnsi="Arial" w:cs="Arial"/>
          <w:b/>
          <w:color w:val="FF0000"/>
          <w:sz w:val="20"/>
        </w:rPr>
        <w:t>D -  PLOCHY A AREÁLY DOPRAVY</w:t>
      </w:r>
    </w:p>
    <w:p w14:paraId="55424CA5" w14:textId="77777777" w:rsidR="00EF1DD2" w:rsidRPr="00C42150" w:rsidRDefault="00EF1DD2" w:rsidP="00EF1DD2">
      <w:pPr>
        <w:numPr>
          <w:ilvl w:val="0"/>
          <w:numId w:val="130"/>
        </w:numPr>
        <w:suppressAutoHyphens w:val="0"/>
        <w:jc w:val="both"/>
        <w:rPr>
          <w:rFonts w:ascii="Arial" w:hAnsi="Arial" w:cs="Arial"/>
          <w:color w:val="FF0000"/>
          <w:sz w:val="20"/>
          <w:u w:val="single"/>
        </w:rPr>
      </w:pPr>
      <w:r w:rsidRPr="00C42150">
        <w:rPr>
          <w:rFonts w:ascii="Arial" w:hAnsi="Arial" w:cs="Arial"/>
          <w:color w:val="FF0000"/>
          <w:sz w:val="20"/>
        </w:rPr>
        <w:t>v podmínečně přípustném využití se u podnikatelské činnosti ruší termín „   zaměřená na služby související s funkcí objektu„ a dále se ruší termín „služební byty“, který se nahrazuje termínem „bydlení s podmínkou zachování dominantní funkce zóny a za podmínky splnění hygienických limitů. Možnost výjimečně přípustného bydlení se nevztahuje na lokalitu Podmokly, zahrnující areály podél ulice Dělnická dle schématu ve Výkresu základního členění území“</w:t>
      </w:r>
    </w:p>
    <w:p w14:paraId="6B8328E2" w14:textId="77777777" w:rsidR="00EF1DD2" w:rsidRPr="00C42150" w:rsidRDefault="00EF1DD2" w:rsidP="00EF1DD2">
      <w:pPr>
        <w:rPr>
          <w:rFonts w:ascii="Arial" w:hAnsi="Arial" w:cs="Arial"/>
          <w:b/>
          <w:color w:val="FF0000"/>
          <w:sz w:val="20"/>
        </w:rPr>
      </w:pPr>
      <w:r w:rsidRPr="00C42150">
        <w:rPr>
          <w:rFonts w:ascii="Arial" w:hAnsi="Arial" w:cs="Arial"/>
          <w:color w:val="FF0000"/>
          <w:sz w:val="20"/>
          <w:u w:val="single"/>
        </w:rPr>
        <w:t>článek 8, odst. 1, písm. k</w:t>
      </w:r>
      <w:r w:rsidRPr="00C42150">
        <w:rPr>
          <w:rFonts w:ascii="Arial" w:hAnsi="Arial" w:cs="Arial"/>
          <w:color w:val="FF0000"/>
          <w:sz w:val="20"/>
        </w:rPr>
        <w:t xml:space="preserve">)  </w:t>
      </w:r>
      <w:r w:rsidRPr="00C42150">
        <w:rPr>
          <w:rFonts w:ascii="Arial" w:hAnsi="Arial" w:cs="Arial"/>
          <w:b/>
          <w:color w:val="FF0000"/>
          <w:sz w:val="20"/>
        </w:rPr>
        <w:t xml:space="preserve">ZV -  AREÁLY A SLUŽBY ZEMĚDĚLSKÉ    </w:t>
      </w:r>
    </w:p>
    <w:p w14:paraId="21C4693A" w14:textId="77777777" w:rsidR="00EF1DD2" w:rsidRPr="00C42150" w:rsidRDefault="00EF1DD2" w:rsidP="00EF1DD2">
      <w:pPr>
        <w:ind w:left="600"/>
        <w:rPr>
          <w:rFonts w:ascii="Arial" w:hAnsi="Arial" w:cs="Arial"/>
          <w:b/>
          <w:color w:val="FF0000"/>
          <w:sz w:val="20"/>
        </w:rPr>
      </w:pPr>
      <w:r w:rsidRPr="00C42150">
        <w:rPr>
          <w:rFonts w:ascii="Arial" w:hAnsi="Arial" w:cs="Arial"/>
          <w:color w:val="FF0000"/>
          <w:sz w:val="20"/>
        </w:rPr>
        <w:t xml:space="preserve">   </w:t>
      </w:r>
      <w:r w:rsidRPr="00C42150">
        <w:rPr>
          <w:rFonts w:ascii="Arial" w:hAnsi="Arial" w:cs="Arial"/>
          <w:b/>
          <w:color w:val="FF0000"/>
          <w:sz w:val="20"/>
        </w:rPr>
        <w:t>VÝROBY, ZAHRADNICTVÍ</w:t>
      </w:r>
    </w:p>
    <w:p w14:paraId="0705AB1E" w14:textId="77777777" w:rsidR="00EF1DD2" w:rsidRPr="00C42150" w:rsidRDefault="00EF1DD2" w:rsidP="00EF1DD2">
      <w:pPr>
        <w:numPr>
          <w:ilvl w:val="0"/>
          <w:numId w:val="130"/>
        </w:numPr>
        <w:suppressAutoHyphens w:val="0"/>
        <w:jc w:val="both"/>
        <w:rPr>
          <w:rFonts w:ascii="Arial" w:hAnsi="Arial" w:cs="Arial"/>
          <w:color w:val="FF0000"/>
          <w:sz w:val="20"/>
        </w:rPr>
      </w:pPr>
      <w:r w:rsidRPr="00C42150">
        <w:rPr>
          <w:rFonts w:ascii="Arial" w:hAnsi="Arial" w:cs="Arial"/>
          <w:color w:val="FF0000"/>
          <w:sz w:val="20"/>
        </w:rPr>
        <w:t>ve výjimečně přípustném využití se ruší termín „služební byty“, který se nahrazuje   termínem „bydlení ( max 10% plochy ) za podmínky splnění hygienických limitů“</w:t>
      </w:r>
    </w:p>
    <w:p w14:paraId="7F825797" w14:textId="77777777" w:rsidR="00EF1DD2" w:rsidRPr="00C42150" w:rsidRDefault="00EF1DD2" w:rsidP="00EF1DD2">
      <w:pPr>
        <w:ind w:left="600"/>
        <w:rPr>
          <w:rFonts w:ascii="Arial" w:hAnsi="Arial" w:cs="Arial"/>
          <w:color w:val="FF0000"/>
          <w:sz w:val="20"/>
          <w:u w:val="single"/>
        </w:rPr>
      </w:pPr>
    </w:p>
    <w:p w14:paraId="466736D0" w14:textId="77777777" w:rsidR="00EF1DD2" w:rsidRPr="00C42150" w:rsidRDefault="00EF1DD2" w:rsidP="00EF1DD2">
      <w:pPr>
        <w:rPr>
          <w:rFonts w:ascii="Arial" w:hAnsi="Arial" w:cs="Arial"/>
          <w:color w:val="FF0000"/>
          <w:sz w:val="20"/>
        </w:rPr>
      </w:pPr>
      <w:r w:rsidRPr="00C42150">
        <w:rPr>
          <w:rFonts w:ascii="Arial" w:hAnsi="Arial" w:cs="Arial"/>
          <w:color w:val="FF0000"/>
          <w:sz w:val="20"/>
          <w:u w:val="single"/>
        </w:rPr>
        <w:t>článek 8, odst. 1, písm. l</w:t>
      </w:r>
      <w:r w:rsidRPr="00C42150">
        <w:rPr>
          <w:rFonts w:ascii="Arial" w:hAnsi="Arial" w:cs="Arial"/>
          <w:color w:val="FF0000"/>
          <w:sz w:val="20"/>
        </w:rPr>
        <w:t xml:space="preserve">)   </w:t>
      </w:r>
      <w:r w:rsidRPr="00C42150">
        <w:rPr>
          <w:rFonts w:ascii="Arial" w:hAnsi="Arial" w:cs="Arial"/>
          <w:b/>
          <w:color w:val="FF0000"/>
          <w:sz w:val="20"/>
        </w:rPr>
        <w:t>Z – ZÓNA REKREAČNĚ KLIDOVÁ</w:t>
      </w:r>
      <w:r w:rsidRPr="00C42150">
        <w:rPr>
          <w:rFonts w:ascii="Arial" w:hAnsi="Arial" w:cs="Arial"/>
          <w:color w:val="FF0000"/>
          <w:sz w:val="20"/>
        </w:rPr>
        <w:t xml:space="preserve">  </w:t>
      </w:r>
    </w:p>
    <w:p w14:paraId="00AEA641" w14:textId="77777777" w:rsidR="00EF1DD2" w:rsidRPr="00C42150" w:rsidRDefault="00EF1DD2" w:rsidP="00EF1DD2">
      <w:pPr>
        <w:ind w:left="600"/>
        <w:rPr>
          <w:rFonts w:ascii="Arial" w:hAnsi="Arial" w:cs="Arial"/>
          <w:color w:val="FF0000"/>
          <w:sz w:val="20"/>
        </w:rPr>
      </w:pPr>
      <w:r w:rsidRPr="00C42150">
        <w:rPr>
          <w:rFonts w:ascii="Arial" w:hAnsi="Arial" w:cs="Arial"/>
          <w:color w:val="FF0000"/>
          <w:sz w:val="20"/>
        </w:rPr>
        <w:t xml:space="preserve">-    charakteristika se doplňuje o termín „zahrádkářské osady na celém území </w:t>
      </w:r>
    </w:p>
    <w:p w14:paraId="472CB32D" w14:textId="77777777" w:rsidR="00EF1DD2" w:rsidRPr="00C42150" w:rsidRDefault="00EF1DD2" w:rsidP="00EF1DD2">
      <w:pPr>
        <w:ind w:left="600"/>
        <w:rPr>
          <w:rFonts w:ascii="Arial" w:hAnsi="Arial" w:cs="Arial"/>
          <w:color w:val="FF0000"/>
          <w:sz w:val="20"/>
        </w:rPr>
      </w:pPr>
      <w:r w:rsidRPr="00C42150">
        <w:rPr>
          <w:rFonts w:ascii="Arial" w:hAnsi="Arial" w:cs="Arial"/>
          <w:color w:val="FF0000"/>
          <w:sz w:val="20"/>
        </w:rPr>
        <w:t xml:space="preserve">      města“</w:t>
      </w:r>
    </w:p>
    <w:p w14:paraId="18E29B98" w14:textId="77777777" w:rsidR="00EF1DD2" w:rsidRPr="00C42150" w:rsidRDefault="00EF1DD2" w:rsidP="00EF1DD2">
      <w:pPr>
        <w:numPr>
          <w:ilvl w:val="0"/>
          <w:numId w:val="130"/>
        </w:numPr>
        <w:suppressAutoHyphens w:val="0"/>
        <w:jc w:val="both"/>
        <w:rPr>
          <w:rFonts w:ascii="Arial" w:hAnsi="Arial" w:cs="Arial"/>
          <w:color w:val="FF0000"/>
          <w:sz w:val="20"/>
        </w:rPr>
      </w:pPr>
      <w:r w:rsidRPr="00C42150">
        <w:rPr>
          <w:rFonts w:ascii="Arial" w:hAnsi="Arial" w:cs="Arial"/>
          <w:color w:val="FF0000"/>
          <w:sz w:val="20"/>
        </w:rPr>
        <w:t xml:space="preserve">ve výjimečně přípustném využití se ruší termín „rodinné domy“ </w:t>
      </w:r>
    </w:p>
    <w:p w14:paraId="4877D7C8" w14:textId="77777777" w:rsidR="00EF1DD2" w:rsidRPr="00C42150" w:rsidRDefault="00EF1DD2" w:rsidP="00EF1DD2">
      <w:pPr>
        <w:numPr>
          <w:ilvl w:val="0"/>
          <w:numId w:val="130"/>
        </w:numPr>
        <w:suppressAutoHyphens w:val="0"/>
        <w:jc w:val="both"/>
        <w:rPr>
          <w:rFonts w:ascii="Arial" w:hAnsi="Arial" w:cs="Arial"/>
          <w:color w:val="FF0000"/>
          <w:sz w:val="20"/>
        </w:rPr>
      </w:pPr>
      <w:r w:rsidRPr="00C42150">
        <w:rPr>
          <w:rFonts w:ascii="Arial" w:hAnsi="Arial" w:cs="Arial"/>
          <w:color w:val="FF0000"/>
          <w:sz w:val="20"/>
        </w:rPr>
        <w:t>do přípustného využití se doplňuje termín „zahrádkářské osady“</w:t>
      </w:r>
    </w:p>
    <w:p w14:paraId="389DEB06" w14:textId="77777777" w:rsidR="00EF1DD2" w:rsidRPr="00C42150" w:rsidRDefault="00EF1DD2" w:rsidP="00EF1DD2">
      <w:pPr>
        <w:pStyle w:val="Nadpis4"/>
        <w:rPr>
          <w:color w:val="FF0000"/>
          <w:sz w:val="18"/>
        </w:rPr>
      </w:pPr>
    </w:p>
    <w:p w14:paraId="1D4E1714" w14:textId="77777777" w:rsidR="00EF1DD2" w:rsidRPr="00C42150" w:rsidRDefault="00EF1DD2" w:rsidP="00EF1DD2">
      <w:pPr>
        <w:pStyle w:val="Nadpis4"/>
        <w:rPr>
          <w:b w:val="0"/>
          <w:i/>
          <w:color w:val="FF0000"/>
          <w:sz w:val="18"/>
        </w:rPr>
      </w:pPr>
      <w:r w:rsidRPr="00C42150">
        <w:rPr>
          <w:b w:val="0"/>
          <w:i/>
          <w:color w:val="FF0000"/>
          <w:sz w:val="18"/>
        </w:rPr>
        <w:t>Článek 9. Prostorové uspořádání</w:t>
      </w:r>
    </w:p>
    <w:p w14:paraId="57D82232" w14:textId="77777777" w:rsidR="00EF1DD2" w:rsidRPr="00C42150" w:rsidRDefault="00EF1DD2" w:rsidP="00EF1DD2">
      <w:pPr>
        <w:ind w:left="720"/>
        <w:rPr>
          <w:rFonts w:ascii="Arial" w:hAnsi="Arial" w:cs="Arial"/>
          <w:color w:val="FF0000"/>
          <w:sz w:val="20"/>
          <w:u w:val="single"/>
        </w:rPr>
      </w:pPr>
    </w:p>
    <w:p w14:paraId="19A4C064" w14:textId="77777777" w:rsidR="00EF1DD2" w:rsidRPr="00C42150" w:rsidRDefault="00EF1DD2" w:rsidP="00EF1DD2">
      <w:pPr>
        <w:rPr>
          <w:rFonts w:ascii="Arial" w:hAnsi="Arial" w:cs="Arial"/>
          <w:color w:val="FF0000"/>
          <w:sz w:val="20"/>
        </w:rPr>
      </w:pPr>
      <w:r w:rsidRPr="00C42150">
        <w:rPr>
          <w:rFonts w:ascii="Arial" w:hAnsi="Arial" w:cs="Arial"/>
          <w:color w:val="FF0000"/>
          <w:sz w:val="20"/>
          <w:u w:val="single"/>
        </w:rPr>
        <w:t>článek 9</w:t>
      </w:r>
      <w:r w:rsidRPr="00C42150">
        <w:rPr>
          <w:rFonts w:ascii="Arial" w:hAnsi="Arial" w:cs="Arial"/>
          <w:color w:val="FF0000"/>
          <w:sz w:val="20"/>
        </w:rPr>
        <w:t xml:space="preserve"> – </w:t>
      </w:r>
      <w:r w:rsidRPr="00C42150">
        <w:rPr>
          <w:rFonts w:ascii="Arial" w:hAnsi="Arial" w:cs="Arial"/>
          <w:b/>
          <w:color w:val="FF0000"/>
          <w:sz w:val="20"/>
        </w:rPr>
        <w:t>ZV AREÁLY A SLUŽBY ZEMĚDĚLSKÉ VÝROBY, ZAHRADNICTVÍ</w:t>
      </w:r>
      <w:r w:rsidRPr="00C42150">
        <w:rPr>
          <w:rFonts w:ascii="Arial" w:hAnsi="Arial" w:cs="Arial"/>
          <w:color w:val="FF0000"/>
          <w:sz w:val="20"/>
        </w:rPr>
        <w:t xml:space="preserve"> </w:t>
      </w:r>
    </w:p>
    <w:p w14:paraId="60758934" w14:textId="77777777" w:rsidR="00EF1DD2" w:rsidRPr="00C42150" w:rsidRDefault="00EF1DD2" w:rsidP="00EF1DD2">
      <w:pPr>
        <w:numPr>
          <w:ilvl w:val="0"/>
          <w:numId w:val="131"/>
        </w:numPr>
        <w:suppressAutoHyphens w:val="0"/>
        <w:rPr>
          <w:rFonts w:ascii="Arial" w:hAnsi="Arial" w:cs="Arial"/>
          <w:color w:val="FF0000"/>
          <w:sz w:val="20"/>
        </w:rPr>
      </w:pPr>
      <w:r w:rsidRPr="00C42150">
        <w:rPr>
          <w:rFonts w:ascii="Arial" w:hAnsi="Arial" w:cs="Arial"/>
          <w:color w:val="FF0000"/>
          <w:sz w:val="20"/>
        </w:rPr>
        <w:t xml:space="preserve">u počtu podlaží se termín „1-2 ( zohlednit speciální výrobní charakter až 12m )“  nahrazuje  termínem „1-2podlaží + podkroví (připouští se možnost  zohlednit speciální charakter zemědělských staveb)“ </w:t>
      </w:r>
    </w:p>
    <w:p w14:paraId="181D77AB" w14:textId="77777777" w:rsidR="00EF1DD2" w:rsidRPr="00C42150" w:rsidRDefault="00EF1DD2" w:rsidP="00EF1DD2">
      <w:pPr>
        <w:numPr>
          <w:ilvl w:val="0"/>
          <w:numId w:val="131"/>
        </w:numPr>
        <w:suppressAutoHyphens w:val="0"/>
        <w:rPr>
          <w:rFonts w:ascii="Arial" w:hAnsi="Arial" w:cs="Arial"/>
          <w:color w:val="FF0000"/>
          <w:sz w:val="20"/>
        </w:rPr>
      </w:pPr>
      <w:r w:rsidRPr="00C42150">
        <w:rPr>
          <w:rFonts w:ascii="Arial" w:hAnsi="Arial" w:cs="Arial"/>
          <w:color w:val="FF0000"/>
          <w:sz w:val="20"/>
        </w:rPr>
        <w:t xml:space="preserve">u intenzity zastavění pozemku v % se termín „ až 60%“ mění na termín „ max. </w:t>
      </w:r>
    </w:p>
    <w:p w14:paraId="3D84A48D" w14:textId="77777777" w:rsidR="00EF1DD2" w:rsidRPr="00C42150" w:rsidRDefault="00EF1DD2" w:rsidP="00EF1DD2">
      <w:pPr>
        <w:ind w:left="708"/>
        <w:rPr>
          <w:rFonts w:ascii="Arial" w:hAnsi="Arial" w:cs="Arial"/>
          <w:color w:val="FF0000"/>
          <w:sz w:val="20"/>
        </w:rPr>
      </w:pPr>
      <w:r w:rsidRPr="00C42150">
        <w:rPr>
          <w:rFonts w:ascii="Arial" w:hAnsi="Arial" w:cs="Arial"/>
          <w:color w:val="FF0000"/>
          <w:sz w:val="20"/>
        </w:rPr>
        <w:t xml:space="preserve">     10% u bydlení, max. 60 %  u ostatních staveb“ </w:t>
      </w:r>
    </w:p>
    <w:p w14:paraId="24A98F5D" w14:textId="77777777" w:rsidR="00EF1DD2" w:rsidRPr="00C42150" w:rsidRDefault="00EF1DD2" w:rsidP="00EF1DD2">
      <w:pPr>
        <w:rPr>
          <w:rFonts w:ascii="Arial" w:hAnsi="Arial" w:cs="Arial"/>
          <w:color w:val="FF0000"/>
          <w:sz w:val="20"/>
          <w:u w:val="single"/>
        </w:rPr>
      </w:pPr>
    </w:p>
    <w:p w14:paraId="17EDA9F8" w14:textId="77777777" w:rsidR="00EF1DD2" w:rsidRPr="00C42150" w:rsidRDefault="00EF1DD2" w:rsidP="00EF1DD2">
      <w:pPr>
        <w:rPr>
          <w:rFonts w:ascii="Arial" w:hAnsi="Arial" w:cs="Arial"/>
          <w:color w:val="FF0000"/>
          <w:sz w:val="20"/>
        </w:rPr>
      </w:pPr>
      <w:r w:rsidRPr="00C42150">
        <w:rPr>
          <w:rFonts w:ascii="Arial" w:hAnsi="Arial" w:cs="Arial"/>
          <w:color w:val="FF0000"/>
          <w:sz w:val="20"/>
          <w:u w:val="single"/>
        </w:rPr>
        <w:t xml:space="preserve">článek </w:t>
      </w:r>
      <w:r w:rsidRPr="00C42150">
        <w:rPr>
          <w:rFonts w:ascii="Arial" w:hAnsi="Arial" w:cs="Arial"/>
          <w:color w:val="FF0000"/>
          <w:sz w:val="20"/>
        </w:rPr>
        <w:t xml:space="preserve">9  -  </w:t>
      </w:r>
      <w:r w:rsidRPr="00C42150">
        <w:rPr>
          <w:rFonts w:ascii="Arial" w:hAnsi="Arial" w:cs="Arial"/>
          <w:b/>
          <w:color w:val="FF0000"/>
          <w:sz w:val="20"/>
        </w:rPr>
        <w:t>ZÓNA REKREAČNĚ KLIDOVÁ</w:t>
      </w:r>
    </w:p>
    <w:p w14:paraId="139E5801" w14:textId="77777777" w:rsidR="00EF1DD2" w:rsidRPr="00C42150" w:rsidRDefault="00EF1DD2" w:rsidP="00EF1DD2">
      <w:pPr>
        <w:ind w:left="708"/>
        <w:rPr>
          <w:rFonts w:ascii="Arial" w:hAnsi="Arial" w:cs="Arial"/>
          <w:color w:val="FF0000"/>
          <w:sz w:val="20"/>
        </w:rPr>
      </w:pPr>
      <w:r w:rsidRPr="00C42150">
        <w:rPr>
          <w:rFonts w:ascii="Arial" w:hAnsi="Arial" w:cs="Arial"/>
          <w:color w:val="FF0000"/>
          <w:sz w:val="20"/>
        </w:rPr>
        <w:t xml:space="preserve">-    u počtu podlaží se ruší termín „1“ a nahrazuje termínem „ 1 – zahrádkářské </w:t>
      </w:r>
    </w:p>
    <w:p w14:paraId="3CA2C7B9" w14:textId="77777777" w:rsidR="00EF1DD2" w:rsidRPr="00C42150" w:rsidRDefault="00EF1DD2" w:rsidP="00EF1DD2">
      <w:pPr>
        <w:ind w:left="708"/>
        <w:rPr>
          <w:rFonts w:ascii="Arial" w:hAnsi="Arial" w:cs="Arial"/>
          <w:color w:val="FF0000"/>
          <w:sz w:val="20"/>
        </w:rPr>
      </w:pPr>
      <w:r w:rsidRPr="00C42150">
        <w:rPr>
          <w:rFonts w:ascii="Arial" w:hAnsi="Arial" w:cs="Arial"/>
          <w:color w:val="FF0000"/>
          <w:sz w:val="20"/>
        </w:rPr>
        <w:t xml:space="preserve">     osady, </w:t>
      </w:r>
    </w:p>
    <w:p w14:paraId="4BD4E83C" w14:textId="77777777" w:rsidR="00EF1DD2" w:rsidRPr="00C42150" w:rsidRDefault="00EF1DD2" w:rsidP="00EF1DD2">
      <w:pPr>
        <w:ind w:left="708"/>
        <w:rPr>
          <w:rFonts w:ascii="Arial" w:hAnsi="Arial" w:cs="Arial"/>
          <w:color w:val="FF0000"/>
          <w:sz w:val="20"/>
        </w:rPr>
      </w:pPr>
      <w:r w:rsidRPr="00C42150">
        <w:rPr>
          <w:rFonts w:ascii="Arial" w:hAnsi="Arial" w:cs="Arial"/>
          <w:color w:val="FF0000"/>
          <w:sz w:val="20"/>
        </w:rPr>
        <w:t xml:space="preserve">     1-2 ostatní ( zohlednit specifický charakter ) </w:t>
      </w:r>
      <w:r w:rsidRPr="00C42150">
        <w:rPr>
          <w:rFonts w:ascii="Arial" w:hAnsi="Arial" w:cs="Arial"/>
          <w:i/>
          <w:color w:val="FF0000"/>
          <w:sz w:val="20"/>
        </w:rPr>
        <w:t xml:space="preserve">     </w:t>
      </w:r>
    </w:p>
    <w:p w14:paraId="41DE3271" w14:textId="77777777" w:rsidR="00EF1DD2" w:rsidRPr="00C42150" w:rsidRDefault="00EF1DD2" w:rsidP="00EF1DD2">
      <w:pPr>
        <w:ind w:left="708"/>
        <w:rPr>
          <w:rFonts w:ascii="Arial" w:hAnsi="Arial" w:cs="Arial"/>
          <w:color w:val="FF0000"/>
          <w:sz w:val="20"/>
        </w:rPr>
      </w:pPr>
      <w:r w:rsidRPr="00C42150">
        <w:rPr>
          <w:rFonts w:ascii="Arial" w:hAnsi="Arial" w:cs="Arial"/>
          <w:color w:val="FF0000"/>
          <w:sz w:val="20"/>
        </w:rPr>
        <w:t xml:space="preserve">-    u intenzity zastavění pozemku v % se ruší termín „ 5“ a nahrazuje termínem       </w:t>
      </w:r>
    </w:p>
    <w:p w14:paraId="0442016E" w14:textId="77777777" w:rsidR="00EF1DD2" w:rsidRPr="00C42150" w:rsidRDefault="00EF1DD2" w:rsidP="00EF1DD2">
      <w:pPr>
        <w:ind w:left="708"/>
        <w:rPr>
          <w:rFonts w:ascii="Arial" w:hAnsi="Arial" w:cs="Arial"/>
          <w:color w:val="FF0000"/>
          <w:sz w:val="20"/>
        </w:rPr>
      </w:pPr>
      <w:r w:rsidRPr="00C42150">
        <w:rPr>
          <w:rFonts w:ascii="Arial" w:hAnsi="Arial" w:cs="Arial"/>
          <w:color w:val="FF0000"/>
          <w:sz w:val="20"/>
        </w:rPr>
        <w:t xml:space="preserve">     „ do </w:t>
      </w:r>
      <w:smartTag w:uri="urn:schemas-microsoft-com:office:smarttags" w:element="metricconverter">
        <w:smartTagPr>
          <w:attr w:name="ProductID" w:val="25 m2"/>
        </w:smartTagPr>
        <w:r w:rsidRPr="00C42150">
          <w:rPr>
            <w:rFonts w:ascii="Arial" w:hAnsi="Arial" w:cs="Arial"/>
            <w:color w:val="FF0000"/>
            <w:sz w:val="20"/>
          </w:rPr>
          <w:t>25 m2</w:t>
        </w:r>
      </w:smartTag>
      <w:r w:rsidRPr="00C42150">
        <w:rPr>
          <w:rFonts w:ascii="Arial" w:hAnsi="Arial" w:cs="Arial"/>
          <w:color w:val="FF0000"/>
          <w:sz w:val="20"/>
        </w:rPr>
        <w:t xml:space="preserve"> zastavěné plochy u zahrádkářských osad, 5% u ostatních funkcí“ </w:t>
      </w:r>
    </w:p>
    <w:p w14:paraId="733D8D68" w14:textId="77777777" w:rsidR="00EF1DD2" w:rsidRPr="00C42150" w:rsidRDefault="00EF1DD2" w:rsidP="00EF1DD2">
      <w:pPr>
        <w:ind w:left="708"/>
        <w:rPr>
          <w:rFonts w:ascii="Arial" w:hAnsi="Arial" w:cs="Arial"/>
          <w:color w:val="FF0000"/>
          <w:sz w:val="20"/>
          <w:u w:val="single"/>
        </w:rPr>
      </w:pPr>
    </w:p>
    <w:p w14:paraId="1B66D4AE" w14:textId="77777777" w:rsidR="00EF1DD2" w:rsidRPr="00C42150" w:rsidRDefault="00EF1DD2" w:rsidP="00EF1DD2">
      <w:pPr>
        <w:rPr>
          <w:rFonts w:ascii="Arial" w:hAnsi="Arial" w:cs="Arial"/>
          <w:color w:val="FF0000"/>
          <w:sz w:val="20"/>
        </w:rPr>
      </w:pPr>
      <w:r w:rsidRPr="00C42150">
        <w:rPr>
          <w:rFonts w:ascii="Arial" w:hAnsi="Arial" w:cs="Arial"/>
          <w:color w:val="FF0000"/>
          <w:sz w:val="20"/>
          <w:u w:val="single"/>
        </w:rPr>
        <w:t xml:space="preserve">článek </w:t>
      </w:r>
      <w:r w:rsidRPr="00C42150">
        <w:rPr>
          <w:rFonts w:ascii="Arial" w:hAnsi="Arial" w:cs="Arial"/>
          <w:color w:val="FF0000"/>
          <w:sz w:val="20"/>
        </w:rPr>
        <w:t xml:space="preserve">9  -  </w:t>
      </w:r>
      <w:r w:rsidRPr="00C42150">
        <w:rPr>
          <w:rFonts w:ascii="Arial" w:hAnsi="Arial" w:cs="Arial"/>
          <w:b/>
          <w:color w:val="FF0000"/>
          <w:sz w:val="20"/>
        </w:rPr>
        <w:t>ZÓNA ZEMĚDĚLSKÝCH KULTUR</w:t>
      </w:r>
    </w:p>
    <w:p w14:paraId="52F9E177" w14:textId="77777777" w:rsidR="00EF1DD2" w:rsidRPr="00C42150" w:rsidRDefault="00EF1DD2" w:rsidP="00EF1DD2">
      <w:pPr>
        <w:numPr>
          <w:ilvl w:val="0"/>
          <w:numId w:val="131"/>
        </w:numPr>
        <w:suppressAutoHyphens w:val="0"/>
        <w:rPr>
          <w:rFonts w:ascii="Arial" w:hAnsi="Arial" w:cs="Arial"/>
          <w:color w:val="FF0000"/>
          <w:sz w:val="20"/>
        </w:rPr>
      </w:pPr>
      <w:r w:rsidRPr="00C42150">
        <w:rPr>
          <w:rFonts w:ascii="Arial" w:hAnsi="Arial" w:cs="Arial"/>
          <w:color w:val="FF0000"/>
          <w:sz w:val="20"/>
        </w:rPr>
        <w:t xml:space="preserve">u intenzity zastavění pozemku v % se ruší termín „ dle konkrétní stavby“ a nahrazuje termínem „ u stávajících zahrádkářských osad  max.  </w:t>
      </w:r>
      <w:smartTag w:uri="urn:schemas-microsoft-com:office:smarttags" w:element="metricconverter">
        <w:smartTagPr>
          <w:attr w:name="ProductID" w:val="25 m2"/>
        </w:smartTagPr>
        <w:r w:rsidRPr="00C42150">
          <w:rPr>
            <w:rFonts w:ascii="Arial" w:hAnsi="Arial" w:cs="Arial"/>
            <w:color w:val="FF0000"/>
            <w:sz w:val="20"/>
          </w:rPr>
          <w:t>25 m2</w:t>
        </w:r>
      </w:smartTag>
      <w:r w:rsidRPr="00C42150">
        <w:rPr>
          <w:rFonts w:ascii="Arial" w:hAnsi="Arial" w:cs="Arial"/>
          <w:color w:val="FF0000"/>
          <w:sz w:val="20"/>
        </w:rPr>
        <w:t>, u ostatních zohlednit speciální charakter“</w:t>
      </w:r>
    </w:p>
    <w:p w14:paraId="574B6C4B" w14:textId="77777777" w:rsidR="00EF1DD2" w:rsidRPr="00B841D2" w:rsidRDefault="00EF1DD2" w:rsidP="00EF1DD2">
      <w:pPr>
        <w:tabs>
          <w:tab w:val="left" w:pos="1113"/>
        </w:tabs>
        <w:spacing w:before="120" w:line="288" w:lineRule="auto"/>
        <w:jc w:val="both"/>
        <w:rPr>
          <w:rFonts w:ascii="Arial" w:hAnsi="Arial" w:cs="Arial"/>
          <w:b/>
          <w:color w:val="FF0000"/>
          <w:sz w:val="18"/>
          <w:szCs w:val="22"/>
        </w:rPr>
      </w:pPr>
    </w:p>
    <w:p w14:paraId="03865FD4" w14:textId="77777777" w:rsidR="00EF1DD2" w:rsidRPr="00B841D2" w:rsidRDefault="00EF1DD2" w:rsidP="00EF1DD2">
      <w:pPr>
        <w:spacing w:before="120" w:line="288" w:lineRule="auto"/>
        <w:jc w:val="both"/>
        <w:rPr>
          <w:rFonts w:ascii="Arial" w:hAnsi="Arial" w:cs="Arial"/>
          <w:b/>
          <w:color w:val="FF0000"/>
          <w:sz w:val="18"/>
          <w:szCs w:val="22"/>
        </w:rPr>
      </w:pPr>
    </w:p>
    <w:p w14:paraId="5516EEAD" w14:textId="77777777" w:rsidR="00EF1DD2"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20"/>
        </w:rPr>
      </w:pPr>
    </w:p>
    <w:p w14:paraId="6BCF588F"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20"/>
        </w:rPr>
      </w:pPr>
      <w:r>
        <w:rPr>
          <w:rFonts w:ascii="Arial" w:hAnsi="Arial" w:cs="Arial"/>
          <w:b/>
          <w:color w:val="00B050"/>
          <w:spacing w:val="3"/>
          <w:sz w:val="20"/>
        </w:rPr>
        <w:br w:type="page"/>
      </w:r>
      <w:r w:rsidRPr="00EC5881">
        <w:rPr>
          <w:rFonts w:ascii="Arial" w:hAnsi="Arial" w:cs="Arial"/>
          <w:b/>
          <w:color w:val="00B050"/>
          <w:spacing w:val="3"/>
          <w:sz w:val="20"/>
        </w:rPr>
        <w:lastRenderedPageBreak/>
        <w:t>(Z1) ZÁVAZNÁ ČÁST VE FORMĚ REGULATIVŮ</w:t>
      </w:r>
    </w:p>
    <w:p w14:paraId="0C854D81"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1. URBANISTICKÁ KONCEPCE</w:t>
      </w:r>
    </w:p>
    <w:p w14:paraId="70FB0289" w14:textId="77777777" w:rsidR="00EF1DD2" w:rsidRPr="00EC5881" w:rsidRDefault="00EF1DD2" w:rsidP="00EF1DD2">
      <w:pPr>
        <w:spacing w:before="120" w:line="288" w:lineRule="auto"/>
        <w:ind w:left="74" w:firstLine="709"/>
        <w:jc w:val="both"/>
        <w:rPr>
          <w:rFonts w:ascii="Arial" w:hAnsi="Arial" w:cs="Arial"/>
          <w:color w:val="00B050"/>
          <w:spacing w:val="3"/>
          <w:sz w:val="18"/>
          <w:szCs w:val="22"/>
        </w:rPr>
      </w:pPr>
      <w:r w:rsidRPr="00EC5881">
        <w:rPr>
          <w:rFonts w:ascii="Arial" w:hAnsi="Arial" w:cs="Arial"/>
          <w:color w:val="00B050"/>
          <w:spacing w:val="3"/>
          <w:sz w:val="18"/>
          <w:szCs w:val="22"/>
        </w:rPr>
        <w:t>Urbanistická struktura a koncepce navržená v ÚPn z roku 2002 nebude zásadně 1. změnou ÚPn měněna. Lokality 2, 3, 5, 8 byly již předmětem návrhu schváleného ÚPn, převážně však v dlouhodobém výhledu nebo s jinou funkční náplní. Vyjma lokality 4 (Horní Oldřichov) lokality navazují na současně zastavěné území.</w:t>
      </w:r>
    </w:p>
    <w:p w14:paraId="689D3635" w14:textId="77777777" w:rsidR="00EF1DD2" w:rsidRPr="00EC5881" w:rsidRDefault="00EF1DD2" w:rsidP="00EF1DD2">
      <w:pPr>
        <w:spacing w:before="120" w:line="288" w:lineRule="auto"/>
        <w:ind w:left="74" w:firstLine="709"/>
        <w:jc w:val="both"/>
        <w:rPr>
          <w:rFonts w:ascii="Arial" w:hAnsi="Arial" w:cs="Arial"/>
          <w:color w:val="00B050"/>
          <w:spacing w:val="3"/>
          <w:sz w:val="18"/>
          <w:szCs w:val="22"/>
        </w:rPr>
      </w:pPr>
      <w:r w:rsidRPr="00EC5881">
        <w:rPr>
          <w:rFonts w:ascii="Arial" w:hAnsi="Arial" w:cs="Arial"/>
          <w:color w:val="00B050"/>
          <w:spacing w:val="3"/>
          <w:sz w:val="18"/>
          <w:szCs w:val="22"/>
        </w:rPr>
        <w:t>Urbanistická koncepce 1. změny je převážně založena na rozvoji funkčních ploch bydlení, částečně vybavenosti, nerušící výroby (plocha č. 2, a 5) a zemědělské výroby (plocha č. 6). Rozvoj ostatních funkčních ploch se nenavrhuje.</w:t>
      </w:r>
    </w:p>
    <w:p w14:paraId="72357395"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2. VYUŽITÍ PLOCH A JEJICH USPOŘÁDÁNÍ</w:t>
      </w:r>
    </w:p>
    <w:p w14:paraId="079FFD4A"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u w:val="single"/>
        </w:rPr>
      </w:pPr>
      <w:r w:rsidRPr="00EC5881">
        <w:rPr>
          <w:rFonts w:ascii="Arial" w:hAnsi="Arial" w:cs="Arial"/>
          <w:b/>
          <w:color w:val="00B050"/>
          <w:spacing w:val="3"/>
          <w:sz w:val="18"/>
          <w:szCs w:val="22"/>
          <w:u w:val="single"/>
        </w:rPr>
        <w:t>Území urbanizované</w:t>
      </w:r>
    </w:p>
    <w:p w14:paraId="1FC4B190"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RD MĚSTSKÉHO TYPU (BM)</w:t>
      </w:r>
    </w:p>
    <w:p w14:paraId="57DCA532"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Lokality 1 Stará Chmelnice, 3 Folknáře I., 4 Letná, 7 Staré Město, 8 Chrochvice, 9 Staré Město - Březová, 10 Staré Město -nad pekárnou</w:t>
      </w:r>
    </w:p>
    <w:p w14:paraId="46BA5EBB"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přípustné:</w:t>
      </w:r>
    </w:p>
    <w:p w14:paraId="76D11787" w14:textId="77777777" w:rsidR="00EF1DD2" w:rsidRPr="00EC5881" w:rsidRDefault="00EF1DD2" w:rsidP="00EF1DD2">
      <w:pPr>
        <w:tabs>
          <w:tab w:val="decimal" w:pos="72"/>
          <w:tab w:val="decimal" w:pos="144"/>
          <w:tab w:val="right" w:pos="2679"/>
        </w:tabs>
        <w:spacing w:before="120" w:line="288" w:lineRule="auto"/>
        <w:ind w:left="72" w:firstLine="637"/>
        <w:jc w:val="both"/>
        <w:rPr>
          <w:rFonts w:ascii="Arial" w:hAnsi="Arial" w:cs="Arial"/>
          <w:color w:val="00B050"/>
          <w:spacing w:val="3"/>
          <w:sz w:val="18"/>
          <w:szCs w:val="22"/>
        </w:rPr>
      </w:pPr>
      <w:r w:rsidRPr="00EC5881">
        <w:rPr>
          <w:rFonts w:ascii="Arial" w:hAnsi="Arial" w:cs="Arial"/>
          <w:color w:val="00B050"/>
          <w:spacing w:val="3"/>
          <w:sz w:val="18"/>
          <w:szCs w:val="22"/>
        </w:rPr>
        <w:t>Trvalé bydlení v rodinných domech, rodinné domy izolované, dvojdomky a řadové rodinné domy s obytnými zahradami, vestavěnou garáží, lokální zařízení škol, maloobchodu, stravování a tělovýchovy, nezbytné přístupové komunikace s MHD, plochy dopravy v klidu, zeleň plošná, strukturní i liniová, zahrádkářské osady, nezbytné technické vybavení</w:t>
      </w:r>
    </w:p>
    <w:p w14:paraId="4E808FF3"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podmínečně přípustné:</w:t>
      </w:r>
    </w:p>
    <w:p w14:paraId="351F4B7F" w14:textId="77777777" w:rsidR="00EF1DD2" w:rsidRPr="00EC5881" w:rsidRDefault="00EF1DD2" w:rsidP="00EF1DD2">
      <w:pPr>
        <w:tabs>
          <w:tab w:val="decimal" w:pos="72"/>
          <w:tab w:val="decimal" w:pos="144"/>
          <w:tab w:val="right" w:pos="2679"/>
        </w:tabs>
        <w:spacing w:before="120" w:line="288" w:lineRule="auto"/>
        <w:ind w:left="72" w:firstLine="637"/>
        <w:jc w:val="both"/>
        <w:rPr>
          <w:rFonts w:ascii="Arial" w:hAnsi="Arial" w:cs="Arial"/>
          <w:color w:val="00B050"/>
          <w:spacing w:val="3"/>
          <w:sz w:val="18"/>
          <w:szCs w:val="22"/>
        </w:rPr>
      </w:pPr>
      <w:r w:rsidRPr="00EC5881">
        <w:rPr>
          <w:rFonts w:ascii="Arial" w:hAnsi="Arial" w:cs="Arial"/>
          <w:color w:val="00B050"/>
          <w:spacing w:val="3"/>
          <w:sz w:val="18"/>
          <w:szCs w:val="22"/>
        </w:rPr>
        <w:t>Nerušící služby a malé podnikání, za podmínky že svým počtem neohrozí dominantní funkci- bydlení a že nebude své okolí obtěžovat nad míru obvyklou</w:t>
      </w:r>
    </w:p>
    <w:p w14:paraId="0CA02866" w14:textId="77777777" w:rsidR="00EF1DD2" w:rsidRPr="00EC5881" w:rsidRDefault="00EF1DD2" w:rsidP="00EF1DD2">
      <w:pPr>
        <w:keepNext/>
        <w:tabs>
          <w:tab w:val="decimal" w:pos="72"/>
          <w:tab w:val="decimal" w:pos="144"/>
          <w:tab w:val="right" w:pos="2679"/>
        </w:tabs>
        <w:spacing w:before="120" w:line="288" w:lineRule="auto"/>
        <w:ind w:left="74"/>
        <w:jc w:val="both"/>
        <w:rPr>
          <w:rFonts w:ascii="Arial" w:hAnsi="Arial" w:cs="Arial"/>
          <w:b/>
          <w:color w:val="00B050"/>
          <w:spacing w:val="3"/>
          <w:sz w:val="18"/>
          <w:szCs w:val="22"/>
        </w:rPr>
      </w:pPr>
      <w:r w:rsidRPr="00EC5881">
        <w:rPr>
          <w:rFonts w:ascii="Arial" w:hAnsi="Arial" w:cs="Arial"/>
          <w:b/>
          <w:color w:val="00B050"/>
          <w:spacing w:val="3"/>
          <w:sz w:val="18"/>
          <w:szCs w:val="22"/>
        </w:rPr>
        <w:t>nepřípustné:</w:t>
      </w:r>
    </w:p>
    <w:p w14:paraId="773A7BB0" w14:textId="77777777" w:rsidR="00EF1DD2" w:rsidRPr="00EC5881" w:rsidRDefault="00EF1DD2" w:rsidP="00EF1DD2">
      <w:pPr>
        <w:tabs>
          <w:tab w:val="decimal" w:pos="72"/>
          <w:tab w:val="decimal" w:pos="144"/>
          <w:tab w:val="right" w:pos="2679"/>
        </w:tabs>
        <w:spacing w:before="120" w:line="288" w:lineRule="auto"/>
        <w:ind w:left="72" w:firstLine="637"/>
        <w:jc w:val="both"/>
        <w:rPr>
          <w:rFonts w:ascii="Arial" w:hAnsi="Arial" w:cs="Arial"/>
          <w:color w:val="00B050"/>
          <w:spacing w:val="3"/>
          <w:sz w:val="18"/>
          <w:szCs w:val="22"/>
        </w:rPr>
      </w:pPr>
      <w:r w:rsidRPr="00EC5881">
        <w:rPr>
          <w:rFonts w:ascii="Arial" w:hAnsi="Arial" w:cs="Arial"/>
          <w:color w:val="00B050"/>
          <w:spacing w:val="3"/>
          <w:sz w:val="18"/>
          <w:szCs w:val="22"/>
        </w:rPr>
        <w:t>Trvalé bydlení ve vícepodlažních bytových domech, výrobní podnikatelské aktivity, sklady a zařízení dopravy, rušící výrobní a opravárenské služby a aktivity, objekty pro chov hospodářského zvířectva</w:t>
      </w:r>
    </w:p>
    <w:p w14:paraId="19A7F657"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NERUŠÍCÍ VÝROBA A SLUŽBY (NV)</w:t>
      </w:r>
    </w:p>
    <w:p w14:paraId="5BA2348E"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Zahrnuje malé a střední podnikatelské aktivity v lokalitách 2- Křešice a 5 Folknáře II.</w:t>
      </w:r>
    </w:p>
    <w:p w14:paraId="78C71A54"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přípustné:</w:t>
      </w:r>
    </w:p>
    <w:p w14:paraId="0949F431" w14:textId="77777777" w:rsidR="00EF1DD2" w:rsidRPr="00EC5881" w:rsidRDefault="00EF1DD2" w:rsidP="00EF1DD2">
      <w:pPr>
        <w:tabs>
          <w:tab w:val="decimal" w:pos="72"/>
          <w:tab w:val="decimal" w:pos="144"/>
          <w:tab w:val="right" w:pos="2679"/>
        </w:tabs>
        <w:spacing w:before="120" w:line="288" w:lineRule="auto"/>
        <w:ind w:left="72" w:firstLine="637"/>
        <w:jc w:val="both"/>
        <w:rPr>
          <w:rFonts w:ascii="Arial" w:hAnsi="Arial" w:cs="Arial"/>
          <w:color w:val="00B050"/>
          <w:spacing w:val="3"/>
          <w:sz w:val="18"/>
          <w:szCs w:val="22"/>
        </w:rPr>
      </w:pPr>
      <w:r w:rsidRPr="00EC5881">
        <w:rPr>
          <w:rFonts w:ascii="Arial" w:hAnsi="Arial" w:cs="Arial"/>
          <w:color w:val="00B050"/>
          <w:spacing w:val="3"/>
          <w:sz w:val="18"/>
          <w:szCs w:val="22"/>
        </w:rPr>
        <w:t>areály, objekty a doplňující zařízení výroby a výrobních služeb celoměstského významu a rozsahem malé provozy odpovídající výrobnímu programu a činnosti podnikatelského subjektu, korigovaná i PHO, hygienicky, dopravně a provozně nenarušující existenci přilehlých polyfunkčních ploch, sklady, parkovací plochy, odpovídající komunikační síť a technická infrastruktura, zeleň liniová a ochranná</w:t>
      </w:r>
    </w:p>
    <w:p w14:paraId="7529B006"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podmínečně přípustné:</w:t>
      </w:r>
    </w:p>
    <w:p w14:paraId="5B52C72C" w14:textId="77777777" w:rsidR="00EF1DD2" w:rsidRPr="00EC5881" w:rsidRDefault="00EF1DD2" w:rsidP="00EF1DD2">
      <w:pPr>
        <w:tabs>
          <w:tab w:val="decimal" w:pos="72"/>
          <w:tab w:val="decimal" w:pos="144"/>
          <w:tab w:val="right" w:pos="2679"/>
        </w:tabs>
        <w:spacing w:before="120" w:line="288" w:lineRule="auto"/>
        <w:ind w:left="72" w:firstLine="637"/>
        <w:jc w:val="both"/>
        <w:rPr>
          <w:rFonts w:ascii="Arial" w:hAnsi="Arial" w:cs="Arial"/>
          <w:color w:val="00B050"/>
          <w:spacing w:val="3"/>
          <w:sz w:val="18"/>
          <w:szCs w:val="22"/>
        </w:rPr>
      </w:pPr>
      <w:r w:rsidRPr="00EC5881">
        <w:rPr>
          <w:rFonts w:ascii="Arial" w:hAnsi="Arial" w:cs="Arial"/>
          <w:color w:val="00B050"/>
          <w:spacing w:val="3"/>
          <w:sz w:val="18"/>
          <w:szCs w:val="22"/>
        </w:rPr>
        <w:t>obchod a výrobní služby, služební byty, garáže pokud svým počtem a rozsahem neomezují dominantní funkci nerušící výroby</w:t>
      </w:r>
    </w:p>
    <w:p w14:paraId="11AFB988"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nepřípustné:</w:t>
      </w:r>
    </w:p>
    <w:p w14:paraId="1D6D4204" w14:textId="77777777" w:rsidR="00EF1DD2" w:rsidRPr="00EC5881" w:rsidRDefault="00EF1DD2" w:rsidP="00EF1DD2">
      <w:pPr>
        <w:tabs>
          <w:tab w:val="decimal" w:pos="72"/>
          <w:tab w:val="decimal" w:pos="144"/>
          <w:tab w:val="right" w:pos="2679"/>
        </w:tabs>
        <w:spacing w:before="120" w:line="288" w:lineRule="auto"/>
        <w:ind w:left="72" w:firstLine="637"/>
        <w:jc w:val="both"/>
        <w:rPr>
          <w:rFonts w:ascii="Arial" w:hAnsi="Arial" w:cs="Arial"/>
          <w:color w:val="00B050"/>
          <w:spacing w:val="3"/>
          <w:sz w:val="18"/>
          <w:szCs w:val="22"/>
        </w:rPr>
      </w:pPr>
      <w:r w:rsidRPr="00EC5881">
        <w:rPr>
          <w:rFonts w:ascii="Arial" w:hAnsi="Arial" w:cs="Arial"/>
          <w:color w:val="00B050"/>
          <w:spacing w:val="3"/>
          <w:sz w:val="18"/>
          <w:szCs w:val="22"/>
        </w:rPr>
        <w:t>ostatní trvalé bydlení všech forem, otevřené sportovní plochy, zdravotnická a sociální zařízení a zařízení, která poskytují předškolní, základní, střední, vyšší odborné a některé jiné vzdělávání ve školách a školských zařízení</w:t>
      </w:r>
    </w:p>
    <w:p w14:paraId="038A625B" w14:textId="77777777" w:rsidR="00EF1DD2"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p>
    <w:p w14:paraId="6EEBFACC"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AREÁLY A SLUŽBY ZEMĚDĚLSKÉ VÝROBY, ZAHRADNICTVÍ ZV</w:t>
      </w:r>
    </w:p>
    <w:p w14:paraId="6E0157B9"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lastRenderedPageBreak/>
        <w:t>Jedná se o lokalitu č. 6. Velká Veleň</w:t>
      </w:r>
    </w:p>
    <w:p w14:paraId="448F3889"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Přípustné</w:t>
      </w:r>
    </w:p>
    <w:p w14:paraId="4578C200" w14:textId="77777777" w:rsidR="00EF1DD2" w:rsidRPr="00EC5881" w:rsidRDefault="00EF1DD2" w:rsidP="00EF1DD2">
      <w:pPr>
        <w:tabs>
          <w:tab w:val="decimal" w:pos="72"/>
          <w:tab w:val="decimal" w:pos="144"/>
          <w:tab w:val="right" w:pos="2679"/>
        </w:tabs>
        <w:spacing w:before="120" w:line="288" w:lineRule="auto"/>
        <w:ind w:left="72" w:firstLine="637"/>
        <w:jc w:val="both"/>
        <w:rPr>
          <w:rFonts w:ascii="Arial" w:hAnsi="Arial" w:cs="Arial"/>
          <w:color w:val="00B050"/>
          <w:spacing w:val="3"/>
          <w:sz w:val="18"/>
          <w:szCs w:val="22"/>
        </w:rPr>
      </w:pPr>
      <w:r w:rsidRPr="00EC5881">
        <w:rPr>
          <w:rFonts w:ascii="Arial" w:hAnsi="Arial" w:cs="Arial"/>
          <w:color w:val="00B050"/>
          <w:spacing w:val="3"/>
          <w:sz w:val="18"/>
          <w:szCs w:val="22"/>
        </w:rPr>
        <w:t>zemědělská rostlinná a živočišná výroba se soustředěním účelových staveb do produkčních areálů (pásmo hygienické ochrany), rodinné farmy, zahradnictví, rybníkářství</w:t>
      </w:r>
    </w:p>
    <w:p w14:paraId="44B758DC"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podmínečně přípustné</w:t>
      </w:r>
    </w:p>
    <w:p w14:paraId="48D8C81D" w14:textId="77777777" w:rsidR="00EF1DD2" w:rsidRPr="00EC5881" w:rsidRDefault="00EF1DD2" w:rsidP="00EF1DD2">
      <w:pPr>
        <w:tabs>
          <w:tab w:val="decimal" w:pos="72"/>
          <w:tab w:val="decimal" w:pos="144"/>
          <w:tab w:val="right" w:pos="2679"/>
        </w:tabs>
        <w:spacing w:before="120" w:line="288" w:lineRule="auto"/>
        <w:ind w:left="72" w:firstLine="637"/>
        <w:jc w:val="both"/>
        <w:rPr>
          <w:rFonts w:ascii="Arial" w:hAnsi="Arial" w:cs="Arial"/>
          <w:color w:val="00B050"/>
          <w:spacing w:val="3"/>
          <w:sz w:val="18"/>
          <w:szCs w:val="22"/>
        </w:rPr>
      </w:pPr>
      <w:r w:rsidRPr="00EC5881">
        <w:rPr>
          <w:rFonts w:ascii="Arial" w:hAnsi="Arial" w:cs="Arial"/>
          <w:color w:val="00B050"/>
          <w:spacing w:val="3"/>
          <w:sz w:val="18"/>
          <w:szCs w:val="22"/>
        </w:rPr>
        <w:t>podnikatelská činnost zaměřená na služby související s funkcí lokality, služební bydlení</w:t>
      </w:r>
    </w:p>
    <w:p w14:paraId="3F81D25B" w14:textId="77777777" w:rsidR="00EF1DD2" w:rsidRPr="00EC5881" w:rsidRDefault="00EF1DD2" w:rsidP="00EF1DD2">
      <w:pPr>
        <w:tabs>
          <w:tab w:val="decimal" w:pos="72"/>
          <w:tab w:val="decimal" w:pos="144"/>
          <w:tab w:val="right" w:pos="2679"/>
        </w:tabs>
        <w:spacing w:before="120" w:line="288" w:lineRule="auto"/>
        <w:ind w:left="72"/>
        <w:jc w:val="both"/>
        <w:rPr>
          <w:rFonts w:ascii="Arial" w:hAnsi="Arial" w:cs="Arial"/>
          <w:b/>
          <w:color w:val="00B050"/>
          <w:spacing w:val="3"/>
          <w:sz w:val="18"/>
          <w:szCs w:val="22"/>
        </w:rPr>
      </w:pPr>
      <w:r w:rsidRPr="00EC5881">
        <w:rPr>
          <w:rFonts w:ascii="Arial" w:hAnsi="Arial" w:cs="Arial"/>
          <w:b/>
          <w:color w:val="00B050"/>
          <w:spacing w:val="3"/>
          <w:sz w:val="18"/>
          <w:szCs w:val="22"/>
        </w:rPr>
        <w:t>nepřípustné</w:t>
      </w:r>
    </w:p>
    <w:p w14:paraId="726FD462" w14:textId="77777777" w:rsidR="00EF1DD2" w:rsidRPr="00EC5881" w:rsidRDefault="00EF1DD2" w:rsidP="00EF1DD2">
      <w:pPr>
        <w:tabs>
          <w:tab w:val="decimal" w:pos="72"/>
          <w:tab w:val="decimal" w:pos="144"/>
          <w:tab w:val="right" w:pos="2679"/>
        </w:tabs>
        <w:spacing w:before="120" w:line="288" w:lineRule="auto"/>
        <w:ind w:left="72" w:firstLine="637"/>
        <w:jc w:val="both"/>
        <w:rPr>
          <w:rFonts w:ascii="Arial" w:hAnsi="Arial" w:cs="Arial"/>
          <w:color w:val="00B050"/>
          <w:spacing w:val="3"/>
          <w:sz w:val="18"/>
          <w:szCs w:val="22"/>
        </w:rPr>
      </w:pPr>
      <w:r w:rsidRPr="00EC5881">
        <w:rPr>
          <w:rFonts w:ascii="Arial" w:hAnsi="Arial" w:cs="Arial"/>
          <w:color w:val="00B050"/>
          <w:spacing w:val="3"/>
          <w:sz w:val="18"/>
          <w:szCs w:val="22"/>
        </w:rPr>
        <w:t>všechny ostatní provozy a činnosti neodpovídající svým provozem a charakterem přípustné nebo podmínečně přípustné činnosti</w:t>
      </w:r>
    </w:p>
    <w:p w14:paraId="47339FF3" w14:textId="77777777" w:rsidR="00EF1DD2" w:rsidRPr="00EC5881" w:rsidRDefault="00EF1DD2" w:rsidP="00EF1DD2">
      <w:pPr>
        <w:spacing w:before="120" w:line="288" w:lineRule="auto"/>
        <w:jc w:val="both"/>
        <w:rPr>
          <w:rFonts w:ascii="Arial" w:hAnsi="Arial" w:cs="Arial"/>
          <w:b/>
          <w:color w:val="BF8F00"/>
          <w:sz w:val="18"/>
          <w:szCs w:val="22"/>
        </w:rPr>
      </w:pPr>
    </w:p>
    <w:p w14:paraId="228BF9EE" w14:textId="77777777" w:rsidR="00EF1DD2" w:rsidRPr="00EC5881" w:rsidRDefault="00EF1DD2" w:rsidP="00EF1DD2">
      <w:pPr>
        <w:spacing w:before="120" w:line="288" w:lineRule="auto"/>
        <w:jc w:val="both"/>
        <w:rPr>
          <w:rFonts w:ascii="Arial" w:hAnsi="Arial" w:cs="Arial"/>
          <w:b/>
          <w:color w:val="BF8F00"/>
          <w:sz w:val="20"/>
        </w:rPr>
      </w:pPr>
      <w:r w:rsidRPr="00EC5881">
        <w:rPr>
          <w:rFonts w:ascii="Arial" w:hAnsi="Arial" w:cs="Arial"/>
          <w:b/>
          <w:color w:val="BF8F00"/>
          <w:sz w:val="20"/>
        </w:rPr>
        <w:t>(Z2) STANOVENÍ PODMÍNEK PRO VYUŽITÍ PLOCH S ROZDÍLNÝM ZPŮSOBEM VYUŽITÍ</w:t>
      </w:r>
    </w:p>
    <w:p w14:paraId="6EFFF254" w14:textId="77777777" w:rsidR="00EF1DD2" w:rsidRPr="00EC5881" w:rsidRDefault="00EF1DD2" w:rsidP="00EF1DD2">
      <w:pPr>
        <w:spacing w:before="120" w:line="288" w:lineRule="auto"/>
        <w:jc w:val="both"/>
        <w:rPr>
          <w:rFonts w:ascii="Arial" w:hAnsi="Arial" w:cs="Arial"/>
          <w:b/>
          <w:color w:val="BF8F00"/>
          <w:sz w:val="18"/>
          <w:szCs w:val="22"/>
        </w:rPr>
      </w:pPr>
      <w:r w:rsidRPr="00EC5881">
        <w:rPr>
          <w:rFonts w:ascii="Arial" w:hAnsi="Arial" w:cs="Arial"/>
          <w:b/>
          <w:color w:val="BF8F00"/>
          <w:sz w:val="18"/>
          <w:szCs w:val="22"/>
        </w:rPr>
        <w:t>Plochy bydlení § 4, vyhl. 501/2006 Sb.</w:t>
      </w:r>
    </w:p>
    <w:p w14:paraId="6C007CAB" w14:textId="77777777" w:rsidR="00EF1DD2" w:rsidRPr="00EC5881" w:rsidRDefault="00EF1DD2" w:rsidP="00EF1DD2">
      <w:pPr>
        <w:spacing w:before="120" w:line="288" w:lineRule="auto"/>
        <w:jc w:val="both"/>
        <w:rPr>
          <w:rFonts w:ascii="Arial" w:hAnsi="Arial" w:cs="Arial"/>
          <w:b/>
          <w:color w:val="BF8F00"/>
          <w:sz w:val="18"/>
          <w:szCs w:val="22"/>
        </w:rPr>
      </w:pPr>
      <w:r w:rsidRPr="00EC5881">
        <w:rPr>
          <w:rFonts w:ascii="Arial" w:hAnsi="Arial" w:cs="Arial"/>
          <w:b/>
          <w:color w:val="BF8F00"/>
          <w:sz w:val="18"/>
          <w:szCs w:val="22"/>
        </w:rPr>
        <w:t>BI - MĚSTSKÉ A PŘÍMĚSTSKÉ</w:t>
      </w:r>
    </w:p>
    <w:p w14:paraId="69BBAB92" w14:textId="77777777" w:rsidR="00EF1DD2" w:rsidRPr="00EC5881" w:rsidRDefault="00EF1DD2" w:rsidP="00EF1DD2">
      <w:pPr>
        <w:spacing w:before="120" w:line="288" w:lineRule="auto"/>
        <w:jc w:val="both"/>
        <w:rPr>
          <w:rFonts w:ascii="Arial" w:hAnsi="Arial" w:cs="Arial"/>
          <w:color w:val="BF8F00"/>
          <w:sz w:val="18"/>
          <w:szCs w:val="22"/>
        </w:rPr>
      </w:pPr>
      <w:r w:rsidRPr="00EC5881">
        <w:rPr>
          <w:rFonts w:ascii="Arial" w:hAnsi="Arial" w:cs="Arial"/>
          <w:color w:val="BF8F00"/>
          <w:sz w:val="18"/>
          <w:szCs w:val="22"/>
        </w:rPr>
        <w:t>Nové plochy 2Z-2, 2Z-3, 2Z-4, 2Z-5a, 2Z-5b, 2Z-6, 2Z-7, 2Z-8, 2Z-9, 2Z-10, 2Z-12, 2Z-13, 2Z-19, 2Z-20, 2Z-21b, 2Z-24a, 2Z-26, 2Z-27, 2Z-28, 2Z-29, 2Z-31, 2Z-33,</w:t>
      </w:r>
    </w:p>
    <w:p w14:paraId="5FB1FF31"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Převažující účel využití</w:t>
      </w:r>
    </w:p>
    <w:p w14:paraId="4A97DE01"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jedná se o plochy s převažující funkcí bydlení, které tvoří převážně stavby a zařízení pro rodinné bydlení, s odstavením a garážováním vozidel na vlastním pozemku,</w:t>
      </w:r>
    </w:p>
    <w:p w14:paraId="3F2CB916"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a) přípustné</w:t>
      </w:r>
    </w:p>
    <w:p w14:paraId="31C549F9"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stavby s převažující funkcí bydlení v rodinných domech s maximálně dvěma nadzemními podlažími a podkrovím a stavbami s funkcí doplňkovou nebo stavbami pro podnikatelskou činnost v oboru drobné nerušící výroby a služeb, s odstavením a garážováním vozidel na vlastním pozemku. Předpokládaný index zástavby je 0,4.</w:t>
      </w:r>
    </w:p>
    <w:p w14:paraId="78B3AC25"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Přípustné jsou stavby a zařízení místní správy a občanské vybavenosti, sloužící potřebě obyvatel území, zejména stavby pro péči o děti předškolního věku, stavby základních škol, stavby pro kulturní a zájmovou činnost, stavby pro ambulantní zdravotnictví, stavby pro veřejné stravování, stavby pro nerušící služby, stavby pro denní rekreaci, tělovýchovu, sport a komerční péči o hygienu a zdraví, parkovací a odstavné plochy, veřejné plochy a zeleň,</w:t>
      </w:r>
    </w:p>
    <w:p w14:paraId="1FE00DB7"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b) nepřípustné,</w:t>
      </w:r>
    </w:p>
    <w:p w14:paraId="717AEC23"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Jsou stavby obchodní s výměrou větší než 1000 m</w:t>
      </w:r>
      <w:r w:rsidRPr="00EC5881">
        <w:rPr>
          <w:rFonts w:ascii="Arial" w:hAnsi="Arial" w:cs="Arial"/>
          <w:color w:val="BF8F00"/>
          <w:sz w:val="18"/>
          <w:szCs w:val="22"/>
          <w:vertAlign w:val="superscript"/>
        </w:rPr>
        <w:t>2</w:t>
      </w:r>
      <w:r w:rsidRPr="00EC5881">
        <w:rPr>
          <w:rFonts w:ascii="Arial" w:hAnsi="Arial" w:cs="Arial"/>
          <w:color w:val="BF8F00"/>
          <w:sz w:val="18"/>
          <w:szCs w:val="22"/>
        </w:rPr>
        <w:t>, veškeré stavby a zařízení snižující kvalitu prostředí a pohodu bydlení ve vymezené ploše a stavby a zařízení nesloužící obyvatelům takto vymezené plochy, Činnosti, děje anebo zařízení označené jinak jako přípustné mohou být v jednotlivých případech označeny jako podmínečně přípustné a činnosti, děje anebo zařízení označené jinak jako podmínečně přípustné mohou být v jednotlivých případech označeny jako nepřípustné, odporují-li charakteru (základním zásadám utváření území a obecným a zvláštním regulativům) území,</w:t>
      </w:r>
    </w:p>
    <w:p w14:paraId="13C1DF92"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c) podmínečně přípustné</w:t>
      </w:r>
    </w:p>
    <w:p w14:paraId="0FAAAA66"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stavby nájemních domů, stavby sloužící i potřebě ostatních území, zejména stavby pro sociální péči, stavby pro komerční činnost, administrativu a veřejnou správu, a stavby a zařízení pro nerušící výrobu. Činnosti, děje anebo zařízení označené jinak jako přípustné, mohou být v jednotlivých případech, jako podmínečně přípustné odporují-li v převažujícímu účelu využití území (základním zásadám utváření území a obecným a zvláštním regulativům. Podmínečně“ přípustné jsou stavby ležící v III. zóně CHKO ČS. Podmínky jsou dány regulativy hospodaření v jednotlivých zónách.</w:t>
      </w:r>
    </w:p>
    <w:p w14:paraId="2157D409"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lastRenderedPageBreak/>
        <w:t>Podmínečně přípustné jsou stavby v ochranném pásmu dráhy a stavby ležící v prostoru navrhované přeložky silnice II/261 v Křešicích.</w:t>
      </w:r>
    </w:p>
    <w:p w14:paraId="416E33F6"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Podmínečně přípustné jsou dále stavby nerespektující hmotové a objemové řešení stávající zástavby na, které nové lokality navazují (vilové čtvrti), zejména stavby se zastavěnou plochou menší než 50 m2, se sklonem střech mimo rozpětí 35-45°, nebo s vysokou střešní nadezdívkou nad 130cm. Pro plochy 2Z 2, 3, 4, 5a, 8, 12, 19, 20, 21b, 26, 27, 28,31 je podmínkou budoucího využití zpracování urbanistického konceptu - studie řešeného území dané lokality. Urbanistická studie bude obsahovat i řešení technické infrastruktury a dopravy.</w:t>
      </w:r>
    </w:p>
    <w:p w14:paraId="3BCC4447"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Podmínečně vhodné jsou plochy nebo části nových ploch 2Z2, 2Z5a, 2Z5b, 2Z20, 2Z27, 2Z28 ležící V možném dosahu dopravních komunikačních tras. Podmínkou je V následném stupni dokumentace prokázání nepřekročení hygienických limitů hluku z provozu po dopravních komunikacích pro chráněný venkovní prostor a chráněný venkovní prostor staveb na nich umístitelných, a to v průběhu celého dne a respektování územní přeložky pro plánovanou přeložku silnice II. třídy.</w:t>
      </w:r>
    </w:p>
    <w:p w14:paraId="26641E74"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Plochy 2. změny č. 2, 24, 26, 29, 31, leží částečně v ochranném pásmu lesa nutno je považovat za podmínečně vhodné. Podmínka je dána souhlasem dle zákona 289/1995 Sb. Realizace plochy 2Z12 je podmíněna zachováním stávající vzrostlé po obvodu lokality.</w:t>
      </w:r>
    </w:p>
    <w:p w14:paraId="69F106A1" w14:textId="77777777" w:rsidR="00EF1DD2" w:rsidRPr="00EC5881" w:rsidRDefault="00EF1DD2" w:rsidP="00EF1DD2">
      <w:pPr>
        <w:spacing w:before="120" w:line="288" w:lineRule="auto"/>
        <w:jc w:val="both"/>
        <w:rPr>
          <w:rFonts w:ascii="Arial" w:hAnsi="Arial" w:cs="Arial"/>
          <w:b/>
          <w:color w:val="BF8F00"/>
          <w:sz w:val="18"/>
          <w:szCs w:val="22"/>
        </w:rPr>
      </w:pPr>
    </w:p>
    <w:p w14:paraId="5E983B0F" w14:textId="77777777" w:rsidR="00EF1DD2" w:rsidRPr="00EC5881" w:rsidRDefault="00EF1DD2" w:rsidP="00EF1DD2">
      <w:pPr>
        <w:spacing w:before="120" w:line="288" w:lineRule="auto"/>
        <w:jc w:val="both"/>
        <w:rPr>
          <w:rFonts w:ascii="Arial" w:hAnsi="Arial" w:cs="Arial"/>
          <w:b/>
          <w:color w:val="BF8F00"/>
          <w:sz w:val="18"/>
          <w:szCs w:val="22"/>
        </w:rPr>
      </w:pPr>
      <w:r w:rsidRPr="00EC5881">
        <w:rPr>
          <w:rFonts w:ascii="Arial" w:hAnsi="Arial" w:cs="Arial"/>
          <w:b/>
          <w:color w:val="BF8F00"/>
          <w:sz w:val="18"/>
          <w:szCs w:val="22"/>
        </w:rPr>
        <w:t>BV- BYDLENÍ VENKOVSKÉ</w:t>
      </w:r>
    </w:p>
    <w:p w14:paraId="111E8FDC" w14:textId="77777777" w:rsidR="00EF1DD2" w:rsidRPr="00EC5881" w:rsidRDefault="00EF1DD2" w:rsidP="00EF1DD2">
      <w:pPr>
        <w:spacing w:before="120" w:line="288" w:lineRule="auto"/>
        <w:jc w:val="both"/>
        <w:rPr>
          <w:rFonts w:ascii="Arial" w:hAnsi="Arial" w:cs="Arial"/>
          <w:color w:val="BF8F00"/>
          <w:sz w:val="18"/>
          <w:szCs w:val="22"/>
        </w:rPr>
      </w:pPr>
      <w:r w:rsidRPr="00EC5881">
        <w:rPr>
          <w:rFonts w:ascii="Arial" w:hAnsi="Arial" w:cs="Arial"/>
          <w:color w:val="BF8F00"/>
          <w:sz w:val="18"/>
          <w:szCs w:val="22"/>
        </w:rPr>
        <w:t>Nové plochy 2Z-1, 2Z-18, 2Z-30,</w:t>
      </w:r>
    </w:p>
    <w:p w14:paraId="5C81A37E"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Převažující účel využití</w:t>
      </w:r>
    </w:p>
    <w:p w14:paraId="7469F7EE"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jedná se o plochy s převažující funkcí bydlení, které tvoří převážně stavby a zařízení pro rodinné nebo nájemní bydlení, s odstavením a garážováním vozidel na vlastním pozemku</w:t>
      </w:r>
    </w:p>
    <w:p w14:paraId="20595987"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a) přípustné</w:t>
      </w:r>
    </w:p>
    <w:p w14:paraId="1ECC5175"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V stavby s převažující funkcí bydlení v rodinných domech s maximálně dvěma nadzemními podlažími a podkrovím a stavbami s funkcí doplňkovou, s odstavením a garážováním vozidel na vlastním pozemku. Předpokládaný index zástavby je 0,4-0,2.</w:t>
      </w:r>
    </w:p>
    <w:p w14:paraId="1F5DBEF0"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Přípustné jsou stavby a zařízení místní správy a občanské vybavenosti, sloužící potřebě obyvatel území, zejména stavby pro péči o děti předškolního věku, stavby základních škol, stavby pro kulturní a zájmovou činnost, stavby pro ambulantní zdravotnictví, stavby pro veřejného stravování, stavby pro denní rekreaci, tělovýchovu, sport a komerční péči o hygienu a zdraví, parkovací a odstavné plochy, veřejné plochy a zeleň. Podmínečně přípustné jsou stavby ležící v II. a III. zóně CHKO ČS. Podmínky jsou dány regulativy hospodaření v jednotlivých zónách. Pro plochy 2Z 1 a 2Z 18 je podmínkou budoucího využití zpracování urbanistického konceptu - studie řešeného území dané lokality. Urbanistická studie bude obsahovat i řešení technické infrastruktury a dopravy.</w:t>
      </w:r>
    </w:p>
    <w:p w14:paraId="6A72B0F6"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 xml:space="preserve">Plochy 2. změny č. 18 a 30, leží částečně v ochranném pásmu lesa nutno je považovat v za podmínečně vhodné, Podmínka je dána souhlasem dle zákona 289/1995 Sb. </w:t>
      </w:r>
    </w:p>
    <w:p w14:paraId="4CFBBAE9"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b) nepřípustné</w:t>
      </w:r>
    </w:p>
    <w:p w14:paraId="703E6BE9"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jsou stavby obchodní s výměrou větší než 1 000m</w:t>
      </w:r>
      <w:r w:rsidRPr="00EC5881">
        <w:rPr>
          <w:rFonts w:ascii="Arial" w:hAnsi="Arial" w:cs="Arial"/>
          <w:color w:val="BF8F00"/>
          <w:sz w:val="18"/>
          <w:szCs w:val="22"/>
          <w:vertAlign w:val="superscript"/>
        </w:rPr>
        <w:t>2</w:t>
      </w:r>
      <w:r w:rsidRPr="00EC5881">
        <w:rPr>
          <w:rFonts w:ascii="Arial" w:hAnsi="Arial" w:cs="Arial"/>
          <w:color w:val="BF8F00"/>
          <w:sz w:val="18"/>
          <w:szCs w:val="22"/>
        </w:rPr>
        <w:t>, veškeré stavby a zařízení snižující kvalitu prostředí a pohodu bydlení ve vymezené ploše stavby.</w:t>
      </w:r>
    </w:p>
    <w:p w14:paraId="25BEBFBC"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Činnosti, děje anebo zařízení označené jinak jako přípustné mohou být v jednotlivých případech označeny jako nepřípustné, odporují-li převažujícímu účelu využití území</w:t>
      </w:r>
    </w:p>
    <w:p w14:paraId="21CE4CF7"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c) podmínečně přípustné</w:t>
      </w:r>
    </w:p>
    <w:p w14:paraId="026B6604"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Podmínečně přípustné jsou dále stavby sloužící i potřebě ostatních území, zejména stavby pro sociální péči, stavby pro komerční činnost, administrativu a veřejnou správu, a stavby a zařízení pro nerušící výrobu. Činnosti, děje anebo zařízení označené jinak jako přípustné, mohou být v jednotlivých případech, jako podmínečně přípustné odporují-</w:t>
      </w:r>
      <w:r w:rsidRPr="00EC5881">
        <w:rPr>
          <w:rFonts w:ascii="Arial" w:hAnsi="Arial" w:cs="Arial"/>
          <w:color w:val="BF8F00"/>
          <w:sz w:val="18"/>
          <w:szCs w:val="22"/>
        </w:rPr>
        <w:lastRenderedPageBreak/>
        <w:t>li převažujícímu účelu využití území (základním zásadám utváření území a obecným a zvláštním regulativům). Podmínečně přípustné jsou stavby ležící v II. a III. zóně CHKO CS. Podmínky jsou dány regulativy hospodaření v jednotlivých zónách</w:t>
      </w:r>
    </w:p>
    <w:p w14:paraId="6D356976" w14:textId="77777777" w:rsidR="00EF1DD2" w:rsidRPr="00EC5881" w:rsidRDefault="00EF1DD2" w:rsidP="00EF1DD2">
      <w:pPr>
        <w:spacing w:before="120" w:line="288" w:lineRule="auto"/>
        <w:jc w:val="both"/>
        <w:rPr>
          <w:rFonts w:ascii="Arial" w:hAnsi="Arial" w:cs="Arial"/>
          <w:b/>
          <w:color w:val="BF8F00"/>
          <w:sz w:val="18"/>
          <w:szCs w:val="22"/>
        </w:rPr>
      </w:pPr>
    </w:p>
    <w:p w14:paraId="351BD50C" w14:textId="77777777" w:rsidR="00EF1DD2" w:rsidRPr="00EC5881" w:rsidRDefault="00EF1DD2" w:rsidP="00EF1DD2">
      <w:pPr>
        <w:spacing w:before="120" w:line="288" w:lineRule="auto"/>
        <w:jc w:val="both"/>
        <w:rPr>
          <w:rFonts w:ascii="Arial" w:hAnsi="Arial" w:cs="Arial"/>
          <w:b/>
          <w:color w:val="BF8F00"/>
          <w:sz w:val="18"/>
          <w:szCs w:val="22"/>
        </w:rPr>
      </w:pPr>
      <w:r w:rsidRPr="00EC5881">
        <w:rPr>
          <w:rFonts w:ascii="Arial" w:hAnsi="Arial" w:cs="Arial"/>
          <w:b/>
          <w:color w:val="BF8F00"/>
          <w:sz w:val="18"/>
          <w:szCs w:val="22"/>
        </w:rPr>
        <w:t>Plochy občanského vybavení §6</w:t>
      </w:r>
    </w:p>
    <w:p w14:paraId="07C8FD9D" w14:textId="77777777" w:rsidR="00EF1DD2" w:rsidRPr="00EC5881" w:rsidRDefault="00EF1DD2" w:rsidP="00EF1DD2">
      <w:pPr>
        <w:spacing w:before="120" w:line="288" w:lineRule="auto"/>
        <w:jc w:val="both"/>
        <w:rPr>
          <w:rFonts w:ascii="Arial" w:hAnsi="Arial" w:cs="Arial"/>
          <w:b/>
          <w:color w:val="BF8F00"/>
          <w:sz w:val="18"/>
          <w:szCs w:val="22"/>
        </w:rPr>
      </w:pPr>
      <w:r w:rsidRPr="00EC5881">
        <w:rPr>
          <w:rFonts w:ascii="Arial" w:hAnsi="Arial" w:cs="Arial"/>
          <w:b/>
          <w:color w:val="BF8F00"/>
          <w:sz w:val="18"/>
          <w:szCs w:val="22"/>
        </w:rPr>
        <w:t>OK - OBČANSKÉ VYBAVENÍ KOMERČNÍ</w:t>
      </w:r>
    </w:p>
    <w:p w14:paraId="44B611C1" w14:textId="77777777" w:rsidR="00EF1DD2" w:rsidRPr="00EC5881" w:rsidRDefault="00EF1DD2" w:rsidP="00EF1DD2">
      <w:pPr>
        <w:spacing w:before="120" w:line="288" w:lineRule="auto"/>
        <w:jc w:val="both"/>
        <w:rPr>
          <w:rFonts w:ascii="Arial" w:hAnsi="Arial" w:cs="Arial"/>
          <w:color w:val="BF8F00"/>
          <w:sz w:val="18"/>
          <w:szCs w:val="22"/>
        </w:rPr>
      </w:pPr>
      <w:r w:rsidRPr="00EC5881">
        <w:rPr>
          <w:rFonts w:ascii="Arial" w:hAnsi="Arial" w:cs="Arial"/>
          <w:color w:val="BF8F00"/>
          <w:sz w:val="18"/>
          <w:szCs w:val="22"/>
        </w:rPr>
        <w:t>Nová plocha 2Z-11</w:t>
      </w:r>
    </w:p>
    <w:p w14:paraId="17D3E8EA"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Převažující účel využití</w:t>
      </w:r>
    </w:p>
    <w:p w14:paraId="379B1DA5"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jedná se o plochy a objekty s převažující funkcí občanského vybavení, které tvoří převážně stavby a zařízení pro obchod a služby</w:t>
      </w:r>
    </w:p>
    <w:p w14:paraId="54CD051A"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a) přípustné</w:t>
      </w:r>
    </w:p>
    <w:p w14:paraId="58499F32"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stavby s převažující funkcí občanského vybavení. Stavby drobné nerušící výroby spojené se službami parkovací a odstavné plochy, veřejné plochy a zeleň</w:t>
      </w:r>
    </w:p>
    <w:p w14:paraId="1B6D1875"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b) nepřípustné,</w:t>
      </w:r>
    </w:p>
    <w:p w14:paraId="43500B6F"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veškeré stavby a zařízení snižující kvalitu prostředí ve vymezené ploše. Výroba a služby rušící činnosti, děje anebo zařízení označené jinak jako přípustné mohou být v jednotlivých případech označeny jako nepřípustné, odporují-li převažujícímu účelu využití (základním zásadám utváření území a obecným a zvláštním regulativům) území. Nepřípustný je stupeň zastavění převyšující 80% plochy</w:t>
      </w:r>
    </w:p>
    <w:p w14:paraId="70D36D60"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c) podmínečně přípustné</w:t>
      </w:r>
    </w:p>
    <w:p w14:paraId="7A17E3B9"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Podmínečně přípustné jsou stavby a zařízení místní správy, zařízení pro nerušící výrobu sloužící jako součást výukových programů, stavby obchodní s výměrou větší než 1 000 m</w:t>
      </w:r>
      <w:r w:rsidRPr="00EC5881">
        <w:rPr>
          <w:rFonts w:ascii="Arial" w:hAnsi="Arial" w:cs="Arial"/>
          <w:color w:val="BF8F00"/>
          <w:sz w:val="18"/>
          <w:szCs w:val="22"/>
          <w:vertAlign w:val="superscript"/>
        </w:rPr>
        <w:t>2</w:t>
      </w:r>
      <w:r w:rsidRPr="00EC5881">
        <w:rPr>
          <w:rFonts w:ascii="Arial" w:hAnsi="Arial" w:cs="Arial"/>
          <w:color w:val="BF8F00"/>
          <w:sz w:val="18"/>
          <w:szCs w:val="22"/>
        </w:rPr>
        <w:t xml:space="preserve">. </w:t>
      </w:r>
    </w:p>
    <w:p w14:paraId="0188271F"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Podmínečně přípustné jsou stavby pro školství, kulturní a zájmovou činnost, stavby pro ambulantní zdravotnictví, sociální péči, stavby pro veřejného stravování, činnosti, děje anebo zařízení označené jinak jako přípustné, mohou být v jednotlivých případech, jako podmínečně přípustné odporují-li převažujícímu účelu využití území (základním zásadám utváření území a obecným a zvláštním regulativům)</w:t>
      </w:r>
    </w:p>
    <w:p w14:paraId="5F518DED" w14:textId="77777777" w:rsidR="00EF1DD2" w:rsidRPr="00EC5881" w:rsidRDefault="00EF1DD2" w:rsidP="00EF1DD2">
      <w:pPr>
        <w:spacing w:before="120" w:line="288" w:lineRule="auto"/>
        <w:jc w:val="both"/>
        <w:rPr>
          <w:rFonts w:ascii="Arial" w:hAnsi="Arial" w:cs="Arial"/>
          <w:b/>
          <w:color w:val="BF8F00"/>
          <w:sz w:val="18"/>
          <w:szCs w:val="22"/>
        </w:rPr>
      </w:pPr>
      <w:r w:rsidRPr="00EC5881">
        <w:rPr>
          <w:rFonts w:ascii="Arial" w:hAnsi="Arial" w:cs="Arial"/>
          <w:b/>
          <w:color w:val="BF8F00"/>
          <w:sz w:val="18"/>
          <w:szCs w:val="22"/>
        </w:rPr>
        <w:t>Plochy výroby a skladování §11</w:t>
      </w:r>
    </w:p>
    <w:p w14:paraId="56BEA9BE" w14:textId="77777777" w:rsidR="00EF1DD2" w:rsidRPr="00EC5881" w:rsidRDefault="00EF1DD2" w:rsidP="00EF1DD2">
      <w:pPr>
        <w:spacing w:before="120" w:line="288" w:lineRule="auto"/>
        <w:jc w:val="both"/>
        <w:rPr>
          <w:rFonts w:ascii="Arial" w:hAnsi="Arial" w:cs="Arial"/>
          <w:b/>
          <w:color w:val="BF8F00"/>
          <w:sz w:val="18"/>
          <w:szCs w:val="22"/>
        </w:rPr>
      </w:pPr>
      <w:r w:rsidRPr="00EC5881">
        <w:rPr>
          <w:rFonts w:ascii="Arial" w:hAnsi="Arial" w:cs="Arial"/>
          <w:b/>
          <w:color w:val="BF8F00"/>
          <w:sz w:val="18"/>
          <w:szCs w:val="22"/>
        </w:rPr>
        <w:t>VN - VÝROBA NERUŠÍCÍ A SLUŽBY</w:t>
      </w:r>
    </w:p>
    <w:p w14:paraId="6B82D1DC" w14:textId="77777777" w:rsidR="00EF1DD2" w:rsidRPr="00EC5881" w:rsidRDefault="00EF1DD2" w:rsidP="00EF1DD2">
      <w:pPr>
        <w:spacing w:before="120" w:line="288" w:lineRule="auto"/>
        <w:jc w:val="both"/>
        <w:rPr>
          <w:rFonts w:ascii="Arial" w:hAnsi="Arial" w:cs="Arial"/>
          <w:color w:val="BF8F00"/>
          <w:sz w:val="18"/>
          <w:szCs w:val="22"/>
        </w:rPr>
      </w:pPr>
      <w:r w:rsidRPr="00EC5881">
        <w:rPr>
          <w:rFonts w:ascii="Arial" w:hAnsi="Arial" w:cs="Arial"/>
          <w:color w:val="BF8F00"/>
          <w:sz w:val="18"/>
          <w:szCs w:val="22"/>
        </w:rPr>
        <w:t>Nové plochy 2Z25a,2Z25b</w:t>
      </w:r>
    </w:p>
    <w:p w14:paraId="14B9DE15"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Převažující účel využití</w:t>
      </w:r>
    </w:p>
    <w:p w14:paraId="39899A87"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Jedná se převážně o stavby a zařízení pro výrobu a služby, které jsou urbanisticky, architektonicky, stavebně a provozně vyřešeny tak, že bez mimořádných opatření vůči okolnímu prostředí nepřekračují stanovené limity z hlediska ochrany zdraví a životního prostředí, zejména na sousedících plochách s jinou funkční náplní</w:t>
      </w:r>
    </w:p>
    <w:p w14:paraId="6EFA1125"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a) přípustné</w:t>
      </w:r>
    </w:p>
    <w:p w14:paraId="0A70AC0F"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zařízení pro nerušící výrobu a služby, stavby a zařízení sloužící potřebě území, zejména stavby pro komerční činnost, administrativu a správu, obchod a skladování a příslušná dopravní a technická vybavenost,</w:t>
      </w:r>
    </w:p>
    <w:p w14:paraId="1F85796B"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t>b) nepřípustné,</w:t>
      </w:r>
    </w:p>
    <w:p w14:paraId="5E8FB9AA"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Jsou výrobní činnosti rušící, obtěžující své okolí. Činnosti, děje anebo zařízení označené jinak jako přípustné mohou být v jednotlivých případech označeny jako podmínečně přípustné a činnosti, děje anebo zařízení označené jinak jako podmínečně přípustné mohou být v jednotlivých případech označeny jako nepřípustné, odporují-li charakteru (základním zásadám utváření území a obecným a zvláštním regulativům území). Nepřípustný je stupeň zastavění převyšující 80% plochy</w:t>
      </w:r>
    </w:p>
    <w:p w14:paraId="4AD286A6" w14:textId="77777777" w:rsidR="00EF1DD2" w:rsidRPr="00EC5881" w:rsidRDefault="00EF1DD2" w:rsidP="00EF1DD2">
      <w:pPr>
        <w:spacing w:before="120" w:line="288" w:lineRule="auto"/>
        <w:jc w:val="both"/>
        <w:rPr>
          <w:rFonts w:ascii="Arial" w:hAnsi="Arial" w:cs="Arial"/>
          <w:b/>
          <w:color w:val="BF8F00"/>
          <w:sz w:val="18"/>
          <w:szCs w:val="22"/>
          <w:u w:val="single"/>
        </w:rPr>
      </w:pPr>
      <w:r w:rsidRPr="00EC5881">
        <w:rPr>
          <w:rFonts w:ascii="Arial" w:hAnsi="Arial" w:cs="Arial"/>
          <w:b/>
          <w:color w:val="BF8F00"/>
          <w:sz w:val="18"/>
          <w:szCs w:val="22"/>
          <w:u w:val="single"/>
        </w:rPr>
        <w:lastRenderedPageBreak/>
        <w:t>c) podmínečně přípustné</w:t>
      </w:r>
    </w:p>
    <w:p w14:paraId="09846A9F"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stavby a zařízení pro služební bydlení, ambulantní zdravotnictví a specifické typy zdravotní pomoci, stavby veřejného stravování a pasantní ubytování, zařízení školící a školská, parkovací a odstavné plochy nákladních vozidel uvnitř areálů, čerpací stanice PHM, výrobní zařízení konečné spotřeby 5 prodejem v místě výroby a administrativní a obchodní zařízení výrobních podniků, plochy drobné zemědělské výroby. Nové plochy 25a. a 25b. jsou částečně zasaženy záplavovým územím (Q</w:t>
      </w:r>
      <w:r w:rsidRPr="00EC5881">
        <w:rPr>
          <w:rFonts w:ascii="Arial" w:hAnsi="Arial" w:cs="Arial"/>
          <w:color w:val="BF8F00"/>
          <w:sz w:val="18"/>
          <w:szCs w:val="22"/>
          <w:vertAlign w:val="subscript"/>
        </w:rPr>
        <w:t>100</w:t>
      </w:r>
      <w:r w:rsidRPr="00EC5881">
        <w:rPr>
          <w:rFonts w:ascii="Arial" w:hAnsi="Arial" w:cs="Arial"/>
          <w:color w:val="BF8F00"/>
          <w:sz w:val="18"/>
          <w:szCs w:val="22"/>
        </w:rPr>
        <w:t xml:space="preserve">) Labe. </w:t>
      </w:r>
    </w:p>
    <w:p w14:paraId="37FB00D9" w14:textId="77777777" w:rsidR="00EF1DD2" w:rsidRPr="00EC5881" w:rsidRDefault="00EF1DD2" w:rsidP="00EF1DD2">
      <w:pPr>
        <w:spacing w:before="120" w:line="288" w:lineRule="auto"/>
        <w:ind w:firstLine="708"/>
        <w:jc w:val="both"/>
        <w:rPr>
          <w:rFonts w:ascii="Arial" w:hAnsi="Arial" w:cs="Arial"/>
          <w:color w:val="BF8F00"/>
          <w:sz w:val="18"/>
          <w:szCs w:val="22"/>
        </w:rPr>
      </w:pPr>
      <w:r w:rsidRPr="00EC5881">
        <w:rPr>
          <w:rFonts w:ascii="Arial" w:hAnsi="Arial" w:cs="Arial"/>
          <w:color w:val="BF8F00"/>
          <w:sz w:val="18"/>
          <w:szCs w:val="22"/>
        </w:rPr>
        <w:t>Podmínky pro stavby zde stanoví vodoprávní úřad na základě posudku podniku Povodí Labe Hradec Králové.</w:t>
      </w:r>
    </w:p>
    <w:p w14:paraId="335C4951" w14:textId="77777777" w:rsidR="00EF1DD2" w:rsidRPr="00EC5881" w:rsidRDefault="00EF1DD2" w:rsidP="00EF1DD2">
      <w:pPr>
        <w:spacing w:before="120" w:line="288" w:lineRule="auto"/>
        <w:jc w:val="both"/>
        <w:rPr>
          <w:rFonts w:ascii="Arial" w:hAnsi="Arial" w:cs="Arial"/>
          <w:sz w:val="18"/>
          <w:szCs w:val="22"/>
        </w:rPr>
      </w:pPr>
    </w:p>
    <w:p w14:paraId="76758303" w14:textId="77777777" w:rsidR="00EF1DD2" w:rsidRPr="00EC5881" w:rsidRDefault="00EF1DD2" w:rsidP="00EF1DD2">
      <w:pPr>
        <w:spacing w:before="120" w:line="288" w:lineRule="auto"/>
        <w:jc w:val="both"/>
        <w:rPr>
          <w:rFonts w:ascii="Arial" w:hAnsi="Arial" w:cs="Arial"/>
          <w:b/>
          <w:color w:val="0066FF"/>
          <w:sz w:val="20"/>
        </w:rPr>
      </w:pPr>
      <w:r w:rsidRPr="00EC5881">
        <w:rPr>
          <w:rFonts w:ascii="Arial" w:hAnsi="Arial" w:cs="Arial"/>
          <w:b/>
          <w:color w:val="0066FF"/>
          <w:sz w:val="20"/>
        </w:rPr>
        <w:t>(Z4)</w:t>
      </w:r>
      <w:r w:rsidRPr="00EC5881">
        <w:rPr>
          <w:rFonts w:ascii="Arial" w:hAnsi="Arial" w:cs="Arial"/>
          <w:color w:val="0066FF"/>
          <w:sz w:val="20"/>
        </w:rPr>
        <w:t xml:space="preserve"> </w:t>
      </w:r>
      <w:r w:rsidRPr="00EC5881">
        <w:rPr>
          <w:rFonts w:ascii="Arial" w:hAnsi="Arial" w:cs="Arial"/>
          <w:b/>
          <w:color w:val="0066FF"/>
          <w:sz w:val="20"/>
        </w:rPr>
        <w:t>ZÁVAZNÁ ČÁST VE FORMĚ REGULATIVŮ</w:t>
      </w:r>
    </w:p>
    <w:p w14:paraId="152FFB16" w14:textId="77777777" w:rsidR="00EF1DD2" w:rsidRPr="00EC5881" w:rsidRDefault="00EF1DD2" w:rsidP="00EF1DD2">
      <w:pPr>
        <w:spacing w:before="120" w:line="288" w:lineRule="auto"/>
        <w:jc w:val="both"/>
        <w:rPr>
          <w:rFonts w:ascii="Arial" w:hAnsi="Arial" w:cs="Arial"/>
          <w:b/>
          <w:color w:val="0066FF"/>
          <w:sz w:val="18"/>
          <w:szCs w:val="22"/>
        </w:rPr>
      </w:pPr>
      <w:r>
        <w:rPr>
          <w:rFonts w:ascii="Arial" w:hAnsi="Arial" w:cs="Arial"/>
          <w:b/>
          <w:color w:val="0066FF"/>
          <w:sz w:val="18"/>
          <w:szCs w:val="22"/>
        </w:rPr>
        <w:t>NÁVRH URBANISTICKÉ</w:t>
      </w:r>
      <w:r w:rsidRPr="00EC5881">
        <w:rPr>
          <w:rFonts w:ascii="Arial" w:hAnsi="Arial" w:cs="Arial"/>
          <w:b/>
          <w:color w:val="0066FF"/>
          <w:sz w:val="18"/>
          <w:szCs w:val="22"/>
        </w:rPr>
        <w:t xml:space="preserve"> KONCEPCE</w:t>
      </w:r>
    </w:p>
    <w:p w14:paraId="6CC02B2B" w14:textId="77777777" w:rsidR="00EF1DD2" w:rsidRPr="00EC5881" w:rsidRDefault="00EF1DD2" w:rsidP="00EF1DD2">
      <w:pPr>
        <w:spacing w:before="120" w:line="288" w:lineRule="auto"/>
        <w:ind w:firstLine="709"/>
        <w:jc w:val="both"/>
        <w:rPr>
          <w:rFonts w:ascii="Arial" w:hAnsi="Arial" w:cs="Arial"/>
          <w:color w:val="0066FF"/>
          <w:sz w:val="18"/>
          <w:szCs w:val="22"/>
        </w:rPr>
      </w:pPr>
      <w:r w:rsidRPr="00EC5881">
        <w:rPr>
          <w:rFonts w:ascii="Arial" w:hAnsi="Arial" w:cs="Arial"/>
          <w:color w:val="0066FF"/>
          <w:sz w:val="18"/>
          <w:szCs w:val="22"/>
        </w:rPr>
        <w:t>Urbanistická struktura a koncepce navržená v</w:t>
      </w:r>
      <w:r>
        <w:rPr>
          <w:rFonts w:ascii="Arial" w:hAnsi="Arial" w:cs="Arial"/>
          <w:color w:val="0066FF"/>
          <w:sz w:val="18"/>
          <w:szCs w:val="22"/>
        </w:rPr>
        <w:t xml:space="preserve"> Územním plánu města Děčín z </w:t>
      </w:r>
      <w:r w:rsidRPr="00EC5881">
        <w:rPr>
          <w:rFonts w:ascii="Arial" w:hAnsi="Arial" w:cs="Arial"/>
          <w:color w:val="0066FF"/>
          <w:sz w:val="18"/>
          <w:szCs w:val="22"/>
        </w:rPr>
        <w:t>roku 2002 nebude zásadně 4. </w:t>
      </w:r>
      <w:r>
        <w:rPr>
          <w:rFonts w:ascii="Arial" w:hAnsi="Arial" w:cs="Arial"/>
          <w:color w:val="0066FF"/>
          <w:sz w:val="18"/>
          <w:szCs w:val="22"/>
        </w:rPr>
        <w:t>změnou ÚPN</w:t>
      </w:r>
      <w:r w:rsidRPr="00EC5881">
        <w:rPr>
          <w:rFonts w:ascii="Arial" w:hAnsi="Arial" w:cs="Arial"/>
          <w:color w:val="0066FF"/>
          <w:sz w:val="18"/>
          <w:szCs w:val="22"/>
        </w:rPr>
        <w:t xml:space="preserve"> měněna</w:t>
      </w:r>
      <w:r>
        <w:rPr>
          <w:rFonts w:ascii="Arial" w:hAnsi="Arial" w:cs="Arial"/>
          <w:color w:val="0066FF"/>
          <w:sz w:val="18"/>
          <w:szCs w:val="22"/>
        </w:rPr>
        <w:t xml:space="preserve">. Lokalita Krásný Studenec </w:t>
      </w:r>
      <w:r w:rsidRPr="00EC5881">
        <w:rPr>
          <w:rFonts w:ascii="Arial" w:hAnsi="Arial" w:cs="Arial"/>
          <w:color w:val="0066FF"/>
          <w:sz w:val="18"/>
          <w:szCs w:val="22"/>
        </w:rPr>
        <w:t>již</w:t>
      </w:r>
      <w:r>
        <w:rPr>
          <w:rFonts w:ascii="Arial" w:hAnsi="Arial" w:cs="Arial"/>
          <w:color w:val="0066FF"/>
          <w:sz w:val="18"/>
          <w:szCs w:val="22"/>
        </w:rPr>
        <w:t xml:space="preserve"> byla předmětem</w:t>
      </w:r>
      <w:r w:rsidRPr="00EC5881">
        <w:rPr>
          <w:rFonts w:ascii="Arial" w:hAnsi="Arial" w:cs="Arial"/>
          <w:color w:val="0066FF"/>
          <w:sz w:val="18"/>
          <w:szCs w:val="22"/>
        </w:rPr>
        <w:t xml:space="preserve"> schváleného </w:t>
      </w:r>
      <w:r>
        <w:rPr>
          <w:rFonts w:ascii="Arial" w:hAnsi="Arial" w:cs="Arial"/>
          <w:color w:val="0066FF"/>
          <w:sz w:val="18"/>
          <w:szCs w:val="22"/>
        </w:rPr>
        <w:t>územního plánu města</w:t>
      </w:r>
      <w:r w:rsidRPr="00EC5881">
        <w:rPr>
          <w:rFonts w:ascii="Arial" w:hAnsi="Arial" w:cs="Arial"/>
          <w:color w:val="0066FF"/>
          <w:sz w:val="18"/>
          <w:szCs w:val="22"/>
        </w:rPr>
        <w:t xml:space="preserve"> </w:t>
      </w:r>
      <w:r>
        <w:rPr>
          <w:rFonts w:ascii="Arial" w:hAnsi="Arial" w:cs="Arial"/>
          <w:color w:val="0066FF"/>
          <w:sz w:val="18"/>
          <w:szCs w:val="22"/>
        </w:rPr>
        <w:t>z</w:t>
      </w:r>
      <w:r w:rsidRPr="00EC5881">
        <w:rPr>
          <w:rFonts w:ascii="Arial" w:hAnsi="Arial" w:cs="Arial"/>
          <w:color w:val="0066FF"/>
          <w:sz w:val="18"/>
          <w:szCs w:val="22"/>
        </w:rPr>
        <w:t xml:space="preserve"> roku 2002,</w:t>
      </w:r>
      <w:r>
        <w:rPr>
          <w:rFonts w:ascii="Arial" w:hAnsi="Arial" w:cs="Arial"/>
          <w:color w:val="0066FF"/>
          <w:sz w:val="18"/>
          <w:szCs w:val="22"/>
        </w:rPr>
        <w:t xml:space="preserve"> ale</w:t>
      </w:r>
      <w:r w:rsidRPr="00EC5881">
        <w:rPr>
          <w:rFonts w:ascii="Arial" w:hAnsi="Arial" w:cs="Arial"/>
          <w:color w:val="0066FF"/>
          <w:sz w:val="18"/>
          <w:szCs w:val="22"/>
        </w:rPr>
        <w:t xml:space="preserve"> v dlouhodobém výhledu se stejnou funkční náplní. U</w:t>
      </w:r>
      <w:r>
        <w:rPr>
          <w:rFonts w:ascii="Arial" w:hAnsi="Arial" w:cs="Arial"/>
          <w:color w:val="0066FF"/>
          <w:sz w:val="18"/>
          <w:szCs w:val="22"/>
        </w:rPr>
        <w:t>rbanistická koncepce 4. změny</w:t>
      </w:r>
      <w:r w:rsidRPr="00EC5881">
        <w:rPr>
          <w:rFonts w:ascii="Arial" w:hAnsi="Arial" w:cs="Arial"/>
          <w:color w:val="0066FF"/>
          <w:sz w:val="18"/>
          <w:szCs w:val="22"/>
        </w:rPr>
        <w:t xml:space="preserve"> </w:t>
      </w:r>
      <w:r>
        <w:rPr>
          <w:rFonts w:ascii="Arial" w:hAnsi="Arial" w:cs="Arial"/>
          <w:color w:val="0066FF"/>
          <w:sz w:val="18"/>
          <w:szCs w:val="22"/>
        </w:rPr>
        <w:t>ÚPN je zaměřena</w:t>
      </w:r>
      <w:r w:rsidRPr="00EC5881">
        <w:rPr>
          <w:rFonts w:ascii="Arial" w:hAnsi="Arial" w:cs="Arial"/>
          <w:color w:val="0066FF"/>
          <w:sz w:val="18"/>
          <w:szCs w:val="22"/>
        </w:rPr>
        <w:t xml:space="preserve"> </w:t>
      </w:r>
      <w:r>
        <w:rPr>
          <w:rFonts w:ascii="Arial" w:hAnsi="Arial" w:cs="Arial"/>
          <w:color w:val="0066FF"/>
          <w:sz w:val="18"/>
          <w:szCs w:val="22"/>
        </w:rPr>
        <w:t>na rozvoj</w:t>
      </w:r>
      <w:r w:rsidRPr="00EC5881">
        <w:rPr>
          <w:rFonts w:ascii="Arial" w:hAnsi="Arial" w:cs="Arial"/>
          <w:color w:val="0066FF"/>
          <w:sz w:val="18"/>
          <w:szCs w:val="22"/>
        </w:rPr>
        <w:t xml:space="preserve"> funkční plochy bydlení. Rozvoj jiných funkčních ploch se nenavrhuje.</w:t>
      </w:r>
    </w:p>
    <w:p w14:paraId="234508F5" w14:textId="77777777" w:rsidR="00EF1DD2" w:rsidRPr="00EC5881" w:rsidRDefault="00EF1DD2" w:rsidP="00EF1DD2">
      <w:pPr>
        <w:keepNext/>
        <w:spacing w:before="120" w:line="288" w:lineRule="auto"/>
        <w:jc w:val="both"/>
        <w:rPr>
          <w:rFonts w:ascii="Arial" w:hAnsi="Arial" w:cs="Arial"/>
          <w:b/>
          <w:color w:val="0066FF"/>
          <w:sz w:val="18"/>
          <w:szCs w:val="22"/>
        </w:rPr>
      </w:pPr>
      <w:r w:rsidRPr="00EC5881">
        <w:rPr>
          <w:rFonts w:ascii="Arial" w:hAnsi="Arial" w:cs="Arial"/>
          <w:b/>
          <w:color w:val="0066FF"/>
          <w:sz w:val="18"/>
          <w:szCs w:val="22"/>
        </w:rPr>
        <w:t>VYUŽITÍ PLOCH A JEJICH USPOŘÁDÁNÍ</w:t>
      </w:r>
    </w:p>
    <w:p w14:paraId="2A756E0E" w14:textId="77777777" w:rsidR="00EF1DD2" w:rsidRPr="00EC5881" w:rsidRDefault="00EF1DD2" w:rsidP="00EF1DD2">
      <w:pPr>
        <w:keepNext/>
        <w:spacing w:before="120" w:line="288" w:lineRule="auto"/>
        <w:jc w:val="both"/>
        <w:rPr>
          <w:rFonts w:ascii="Arial" w:hAnsi="Arial" w:cs="Arial"/>
          <w:b/>
          <w:color w:val="0066FF"/>
          <w:sz w:val="18"/>
          <w:szCs w:val="22"/>
          <w:u w:val="single"/>
        </w:rPr>
      </w:pPr>
      <w:r w:rsidRPr="00EC5881">
        <w:rPr>
          <w:rFonts w:ascii="Arial" w:hAnsi="Arial" w:cs="Arial"/>
          <w:b/>
          <w:color w:val="0066FF"/>
          <w:sz w:val="18"/>
          <w:szCs w:val="22"/>
          <w:u w:val="single"/>
        </w:rPr>
        <w:t>Území urbanizované</w:t>
      </w:r>
    </w:p>
    <w:p w14:paraId="760BDAC3" w14:textId="77777777" w:rsidR="00EF1DD2" w:rsidRPr="00EC5881" w:rsidRDefault="00EF1DD2" w:rsidP="00EF1DD2">
      <w:pPr>
        <w:keepNext/>
        <w:spacing w:before="120" w:line="288" w:lineRule="auto"/>
        <w:jc w:val="both"/>
        <w:rPr>
          <w:rFonts w:ascii="Arial" w:hAnsi="Arial" w:cs="Arial"/>
          <w:b/>
          <w:color w:val="0066FF"/>
          <w:sz w:val="18"/>
          <w:szCs w:val="22"/>
        </w:rPr>
      </w:pPr>
      <w:r w:rsidRPr="00EC5881">
        <w:rPr>
          <w:rFonts w:ascii="Arial" w:hAnsi="Arial" w:cs="Arial"/>
          <w:b/>
          <w:color w:val="0066FF"/>
          <w:sz w:val="18"/>
          <w:szCs w:val="22"/>
        </w:rPr>
        <w:t>RD MĚSTSKÉHO TYPU (BM)</w:t>
      </w:r>
    </w:p>
    <w:p w14:paraId="3FD45636" w14:textId="77777777" w:rsidR="00EF1DD2" w:rsidRPr="00EC5881" w:rsidRDefault="00EF1DD2" w:rsidP="00EF1DD2">
      <w:pPr>
        <w:spacing w:before="120" w:line="288" w:lineRule="auto"/>
        <w:jc w:val="both"/>
        <w:rPr>
          <w:rFonts w:ascii="Arial" w:hAnsi="Arial" w:cs="Arial"/>
          <w:b/>
          <w:color w:val="0066FF"/>
          <w:sz w:val="18"/>
          <w:szCs w:val="22"/>
        </w:rPr>
      </w:pPr>
      <w:r w:rsidRPr="00EC5881">
        <w:rPr>
          <w:rFonts w:ascii="Arial" w:hAnsi="Arial" w:cs="Arial"/>
          <w:b/>
          <w:color w:val="0066FF"/>
          <w:sz w:val="18"/>
          <w:szCs w:val="22"/>
        </w:rPr>
        <w:t>Lokalita Krásný Studenec</w:t>
      </w:r>
    </w:p>
    <w:p w14:paraId="4FFC3AB2" w14:textId="77777777" w:rsidR="00EF1DD2" w:rsidRPr="00EC5881" w:rsidRDefault="00EF1DD2" w:rsidP="00EF1DD2">
      <w:pPr>
        <w:spacing w:before="120" w:line="288" w:lineRule="auto"/>
        <w:jc w:val="both"/>
        <w:rPr>
          <w:rFonts w:ascii="Arial" w:hAnsi="Arial" w:cs="Arial"/>
          <w:b/>
          <w:color w:val="0066FF"/>
          <w:sz w:val="18"/>
          <w:szCs w:val="22"/>
        </w:rPr>
      </w:pPr>
      <w:r w:rsidRPr="00EC5881">
        <w:rPr>
          <w:rFonts w:ascii="Arial" w:hAnsi="Arial" w:cs="Arial"/>
          <w:b/>
          <w:color w:val="0066FF"/>
          <w:sz w:val="18"/>
          <w:szCs w:val="22"/>
        </w:rPr>
        <w:t>a) přípustné</w:t>
      </w:r>
    </w:p>
    <w:p w14:paraId="1A6499C8" w14:textId="77777777" w:rsidR="00EF1DD2" w:rsidRPr="00EC5881" w:rsidRDefault="00EF1DD2" w:rsidP="00EF1DD2">
      <w:pPr>
        <w:spacing w:before="120" w:line="288" w:lineRule="auto"/>
        <w:ind w:firstLine="709"/>
        <w:jc w:val="both"/>
        <w:rPr>
          <w:rFonts w:ascii="Arial" w:hAnsi="Arial" w:cs="Arial"/>
          <w:color w:val="0066FF"/>
          <w:sz w:val="18"/>
          <w:szCs w:val="22"/>
        </w:rPr>
      </w:pPr>
      <w:r w:rsidRPr="00EC5881">
        <w:rPr>
          <w:rFonts w:ascii="Arial" w:hAnsi="Arial" w:cs="Arial"/>
          <w:color w:val="0066FF"/>
          <w:sz w:val="18"/>
          <w:szCs w:val="22"/>
        </w:rPr>
        <w:t>Trvalé bydlení v rodinných domech, rodinné domy izolované, dvojdomky a řadové rodinné domy s obytnými zahradami, vestavěnou garáží, lokální zařízení škol, maloobchodu, stravování a tělovýchovy, nezbytně přístupové komunikace, plochy dopravy v klidu, zeleň plošná, strukturní i liniová, nezbytné technické vybavení</w:t>
      </w:r>
    </w:p>
    <w:p w14:paraId="206C3C57" w14:textId="77777777" w:rsidR="00EF1DD2" w:rsidRPr="00EC5881" w:rsidRDefault="00EF1DD2" w:rsidP="00EF1DD2">
      <w:pPr>
        <w:spacing w:before="120" w:line="288" w:lineRule="auto"/>
        <w:jc w:val="both"/>
        <w:rPr>
          <w:rFonts w:ascii="Arial" w:hAnsi="Arial" w:cs="Arial"/>
          <w:b/>
          <w:color w:val="0066FF"/>
          <w:sz w:val="18"/>
          <w:szCs w:val="22"/>
        </w:rPr>
      </w:pPr>
      <w:r w:rsidRPr="00EC5881">
        <w:rPr>
          <w:rFonts w:ascii="Arial" w:hAnsi="Arial" w:cs="Arial"/>
          <w:b/>
          <w:color w:val="0066FF"/>
          <w:sz w:val="18"/>
          <w:szCs w:val="22"/>
        </w:rPr>
        <w:t>b) podmínečně přípustné</w:t>
      </w:r>
    </w:p>
    <w:p w14:paraId="73538F4C" w14:textId="77777777" w:rsidR="00EF1DD2" w:rsidRPr="00EC5881" w:rsidRDefault="00EF1DD2" w:rsidP="00EF1DD2">
      <w:pPr>
        <w:spacing w:before="120" w:line="288" w:lineRule="auto"/>
        <w:ind w:firstLine="709"/>
        <w:jc w:val="both"/>
        <w:rPr>
          <w:rFonts w:ascii="Arial" w:hAnsi="Arial" w:cs="Arial"/>
          <w:color w:val="0066FF"/>
          <w:sz w:val="18"/>
          <w:szCs w:val="22"/>
        </w:rPr>
      </w:pPr>
      <w:r w:rsidRPr="00EC5881">
        <w:rPr>
          <w:rFonts w:ascii="Arial" w:hAnsi="Arial" w:cs="Arial"/>
          <w:color w:val="0066FF"/>
          <w:sz w:val="18"/>
          <w:szCs w:val="22"/>
        </w:rPr>
        <w:t>Nerušící služby a malé podnikání, za podmínky že svým počtem neohrozí dominantní funkci bydlení a že nebude své okolí obtěžovat nad míru obvyklou</w:t>
      </w:r>
    </w:p>
    <w:p w14:paraId="67AD5191" w14:textId="77777777" w:rsidR="00EF1DD2" w:rsidRPr="00EC5881" w:rsidRDefault="00EF1DD2" w:rsidP="00EF1DD2">
      <w:pPr>
        <w:spacing w:before="120" w:line="288" w:lineRule="auto"/>
        <w:jc w:val="both"/>
        <w:rPr>
          <w:rFonts w:ascii="Arial" w:hAnsi="Arial" w:cs="Arial"/>
          <w:b/>
          <w:color w:val="0066FF"/>
          <w:sz w:val="18"/>
          <w:szCs w:val="22"/>
        </w:rPr>
      </w:pPr>
      <w:r w:rsidRPr="00EC5881">
        <w:rPr>
          <w:rFonts w:ascii="Arial" w:hAnsi="Arial" w:cs="Arial"/>
          <w:b/>
          <w:color w:val="0066FF"/>
          <w:sz w:val="18"/>
          <w:szCs w:val="22"/>
        </w:rPr>
        <w:t>c) nepřípustné</w:t>
      </w:r>
    </w:p>
    <w:p w14:paraId="7F1F045C" w14:textId="77777777" w:rsidR="00EF1DD2" w:rsidRPr="00EC5881" w:rsidRDefault="00EF1DD2" w:rsidP="00EF1DD2">
      <w:pPr>
        <w:spacing w:before="120" w:line="288" w:lineRule="auto"/>
        <w:ind w:firstLine="709"/>
        <w:jc w:val="both"/>
        <w:rPr>
          <w:rFonts w:ascii="Arial" w:hAnsi="Arial" w:cs="Arial"/>
          <w:color w:val="0066FF"/>
          <w:sz w:val="18"/>
          <w:szCs w:val="22"/>
        </w:rPr>
      </w:pPr>
      <w:r w:rsidRPr="00EC5881">
        <w:rPr>
          <w:rFonts w:ascii="Arial" w:hAnsi="Arial" w:cs="Arial"/>
          <w:color w:val="0066FF"/>
          <w:sz w:val="18"/>
          <w:szCs w:val="22"/>
        </w:rPr>
        <w:t>Pokud nesplňují charakteristiku uvedenou pod bodem a) nebo b)</w:t>
      </w:r>
    </w:p>
    <w:p w14:paraId="63F731B5" w14:textId="77777777" w:rsidR="00EF1DD2" w:rsidRDefault="00EF1DD2" w:rsidP="00EF1DD2">
      <w:pPr>
        <w:ind w:left="-1440" w:right="10464"/>
      </w:pPr>
      <w:r>
        <w:rPr>
          <w:noProof/>
          <w:lang w:eastAsia="cs-CZ"/>
        </w:rPr>
        <w:lastRenderedPageBreak/>
        <w:drawing>
          <wp:anchor distT="0" distB="0" distL="114300" distR="114300" simplePos="0" relativeHeight="251790336" behindDoc="0" locked="0" layoutInCell="1" allowOverlap="0" wp14:anchorId="23DA03D2" wp14:editId="7DD14D7A">
            <wp:simplePos x="0" y="0"/>
            <wp:positionH relativeFrom="page">
              <wp:posOffset>-699770</wp:posOffset>
            </wp:positionH>
            <wp:positionV relativeFrom="page">
              <wp:posOffset>2005330</wp:posOffset>
            </wp:positionV>
            <wp:extent cx="8302625" cy="5896610"/>
            <wp:effectExtent l="40958" t="54292" r="44132" b="44133"/>
            <wp:wrapTopAndBottom/>
            <wp:docPr id="24001" name="Obrázek 24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6">
                      <a:extLst>
                        <a:ext uri="{28A0092B-C50C-407E-A947-70E740481C1C}">
                          <a14:useLocalDpi xmlns:a14="http://schemas.microsoft.com/office/drawing/2010/main" val="0"/>
                        </a:ext>
                      </a:extLst>
                    </a:blip>
                    <a:srcRect l="10201" t="6703" r="6001" b="9149"/>
                    <a:stretch>
                      <a:fillRect/>
                    </a:stretch>
                  </pic:blipFill>
                  <pic:spPr bwMode="auto">
                    <a:xfrm rot="-5399998">
                      <a:off x="0" y="0"/>
                      <a:ext cx="8302625" cy="5896610"/>
                    </a:xfrm>
                    <a:prstGeom prst="rect">
                      <a:avLst/>
                    </a:prstGeom>
                    <a:noFill/>
                    <a:ln w="38100">
                      <a:solidFill>
                        <a:srgbClr val="3366FF"/>
                      </a:solidFill>
                      <a:miter lim="800000"/>
                      <a:headEnd/>
                      <a:tailEnd/>
                    </a:ln>
                  </pic:spPr>
                </pic:pic>
              </a:graphicData>
            </a:graphic>
            <wp14:sizeRelH relativeFrom="margin">
              <wp14:pctWidth>0</wp14:pctWidth>
            </wp14:sizeRelH>
            <wp14:sizeRelV relativeFrom="margin">
              <wp14:pctHeight>0</wp14:pctHeight>
            </wp14:sizeRelV>
          </wp:anchor>
        </w:drawing>
      </w:r>
      <w:r>
        <w:br w:type="page"/>
      </w:r>
      <w:r>
        <w:rPr>
          <w:noProof/>
          <w:lang w:eastAsia="cs-CZ"/>
        </w:rPr>
        <w:lastRenderedPageBreak/>
        <w:drawing>
          <wp:anchor distT="0" distB="0" distL="114300" distR="114300" simplePos="0" relativeHeight="251791360" behindDoc="0" locked="0" layoutInCell="1" allowOverlap="0" wp14:anchorId="61963861" wp14:editId="5AFDD334">
            <wp:simplePos x="0" y="0"/>
            <wp:positionH relativeFrom="margin">
              <wp:posOffset>-902335</wp:posOffset>
            </wp:positionH>
            <wp:positionV relativeFrom="margin">
              <wp:posOffset>871220</wp:posOffset>
            </wp:positionV>
            <wp:extent cx="7313295" cy="5816600"/>
            <wp:effectExtent l="43498" t="51752" r="45402" b="45403"/>
            <wp:wrapSquare wrapText="bothSides"/>
            <wp:docPr id="24000" name="Obrázek 24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7">
                      <a:extLst>
                        <a:ext uri="{28A0092B-C50C-407E-A947-70E740481C1C}">
                          <a14:useLocalDpi xmlns:a14="http://schemas.microsoft.com/office/drawing/2010/main" val="0"/>
                        </a:ext>
                      </a:extLst>
                    </a:blip>
                    <a:srcRect l="14099" t="4276" r="5971" b="9274"/>
                    <a:stretch>
                      <a:fillRect/>
                    </a:stretch>
                  </pic:blipFill>
                  <pic:spPr bwMode="auto">
                    <a:xfrm rot="-5399998">
                      <a:off x="0" y="0"/>
                      <a:ext cx="7313295" cy="5816600"/>
                    </a:xfrm>
                    <a:prstGeom prst="rect">
                      <a:avLst/>
                    </a:prstGeom>
                    <a:noFill/>
                    <a:ln w="38100">
                      <a:solidFill>
                        <a:srgbClr val="3366FF"/>
                      </a:solidFill>
                      <a:miter lim="800000"/>
                      <a:headEnd/>
                      <a:tailEnd/>
                    </a:ln>
                  </pic:spPr>
                </pic:pic>
              </a:graphicData>
            </a:graphic>
            <wp14:sizeRelH relativeFrom="margin">
              <wp14:pctWidth>0</wp14:pctWidth>
            </wp14:sizeRelH>
            <wp14:sizeRelV relativeFrom="margin">
              <wp14:pctHeight>0</wp14:pctHeight>
            </wp14:sizeRelV>
          </wp:anchor>
        </w:drawing>
      </w:r>
      <w:r>
        <w:br w:type="page"/>
      </w:r>
      <w:r>
        <w:rPr>
          <w:noProof/>
          <w:lang w:eastAsia="cs-CZ"/>
        </w:rPr>
        <w:lastRenderedPageBreak/>
        <w:drawing>
          <wp:anchor distT="0" distB="0" distL="114300" distR="114300" simplePos="0" relativeHeight="251792384" behindDoc="0" locked="0" layoutInCell="1" allowOverlap="0" wp14:anchorId="569C564B" wp14:editId="46A7645F">
            <wp:simplePos x="0" y="0"/>
            <wp:positionH relativeFrom="page">
              <wp:posOffset>-460375</wp:posOffset>
            </wp:positionH>
            <wp:positionV relativeFrom="page">
              <wp:posOffset>2131695</wp:posOffset>
            </wp:positionV>
            <wp:extent cx="8230235" cy="5546090"/>
            <wp:effectExtent l="46673" t="48577" r="46037" b="46038"/>
            <wp:wrapTopAndBottom/>
            <wp:docPr id="10623" name="Obrázek 10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8">
                      <a:extLst>
                        <a:ext uri="{28A0092B-C50C-407E-A947-70E740481C1C}">
                          <a14:useLocalDpi xmlns:a14="http://schemas.microsoft.com/office/drawing/2010/main" val="0"/>
                        </a:ext>
                      </a:extLst>
                    </a:blip>
                    <a:srcRect l="9143" t="3868" r="6059" b="8704"/>
                    <a:stretch>
                      <a:fillRect/>
                    </a:stretch>
                  </pic:blipFill>
                  <pic:spPr bwMode="auto">
                    <a:xfrm rot="-5399998">
                      <a:off x="0" y="0"/>
                      <a:ext cx="8230235" cy="5546090"/>
                    </a:xfrm>
                    <a:prstGeom prst="rect">
                      <a:avLst/>
                    </a:prstGeom>
                    <a:noFill/>
                    <a:ln w="38100">
                      <a:solidFill>
                        <a:srgbClr val="3366FF"/>
                      </a:solidFill>
                      <a:miter lim="800000"/>
                      <a:headEnd/>
                      <a:tailEnd/>
                    </a:ln>
                  </pic:spPr>
                </pic:pic>
              </a:graphicData>
            </a:graphic>
            <wp14:sizeRelH relativeFrom="margin">
              <wp14:pctWidth>0</wp14:pctWidth>
            </wp14:sizeRelH>
            <wp14:sizeRelV relativeFrom="margin">
              <wp14:pctHeight>0</wp14:pctHeight>
            </wp14:sizeRelV>
          </wp:anchor>
        </w:drawing>
      </w:r>
      <w:r>
        <w:br w:type="page"/>
      </w:r>
    </w:p>
    <w:p w14:paraId="1D3AE95D" w14:textId="77777777" w:rsidR="00EF1DD2" w:rsidRDefault="00EF1DD2" w:rsidP="00EF1DD2">
      <w:pPr>
        <w:ind w:left="-1440" w:right="10464"/>
      </w:pPr>
      <w:r>
        <w:rPr>
          <w:noProof/>
          <w:lang w:eastAsia="cs-CZ"/>
        </w:rPr>
        <w:lastRenderedPageBreak/>
        <w:drawing>
          <wp:anchor distT="0" distB="0" distL="114300" distR="114300" simplePos="0" relativeHeight="251793408" behindDoc="0" locked="0" layoutInCell="1" allowOverlap="0" wp14:anchorId="1EC26449" wp14:editId="228DFAD8">
            <wp:simplePos x="0" y="0"/>
            <wp:positionH relativeFrom="margin">
              <wp:align>center</wp:align>
            </wp:positionH>
            <wp:positionV relativeFrom="margin">
              <wp:align>top</wp:align>
            </wp:positionV>
            <wp:extent cx="8354060" cy="5609590"/>
            <wp:effectExtent l="38735" t="56515" r="47625" b="47625"/>
            <wp:wrapTopAndBottom/>
            <wp:docPr id="10622" name="Obrázek 10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9">
                      <a:extLst>
                        <a:ext uri="{28A0092B-C50C-407E-A947-70E740481C1C}">
                          <a14:useLocalDpi xmlns:a14="http://schemas.microsoft.com/office/drawing/2010/main" val="0"/>
                        </a:ext>
                      </a:extLst>
                    </a:blip>
                    <a:srcRect r="5553" b="6952"/>
                    <a:stretch>
                      <a:fillRect/>
                    </a:stretch>
                  </pic:blipFill>
                  <pic:spPr bwMode="auto">
                    <a:xfrm rot="-5399998">
                      <a:off x="0" y="0"/>
                      <a:ext cx="8354060" cy="5609590"/>
                    </a:xfrm>
                    <a:prstGeom prst="rect">
                      <a:avLst/>
                    </a:prstGeom>
                    <a:noFill/>
                    <a:ln w="38100">
                      <a:solidFill>
                        <a:srgbClr val="3366FF"/>
                      </a:solidFill>
                      <a:miter lim="800000"/>
                      <a:headEnd/>
                      <a:tailEnd/>
                    </a:ln>
                  </pic:spPr>
                </pic:pic>
              </a:graphicData>
            </a:graphic>
            <wp14:sizeRelH relativeFrom="margin">
              <wp14:pctWidth>0</wp14:pctWidth>
            </wp14:sizeRelH>
            <wp14:sizeRelV relativeFrom="margin">
              <wp14:pctHeight>0</wp14:pctHeight>
            </wp14:sizeRelV>
          </wp:anchor>
        </w:drawing>
      </w:r>
    </w:p>
    <w:p w14:paraId="78174AE1" w14:textId="77777777" w:rsidR="00EF1DD2" w:rsidRPr="00EC5881" w:rsidRDefault="00EF1DD2" w:rsidP="00EF1DD2">
      <w:pPr>
        <w:spacing w:before="120" w:line="288" w:lineRule="auto"/>
        <w:jc w:val="both"/>
        <w:rPr>
          <w:rFonts w:ascii="Arial" w:hAnsi="Arial" w:cs="Arial"/>
          <w:b/>
          <w:color w:val="D60093"/>
          <w:sz w:val="20"/>
        </w:rPr>
      </w:pPr>
      <w:r w:rsidRPr="00EC5881">
        <w:rPr>
          <w:rFonts w:ascii="Arial" w:hAnsi="Arial" w:cs="Arial"/>
          <w:b/>
          <w:color w:val="D60093"/>
          <w:sz w:val="20"/>
        </w:rPr>
        <w:lastRenderedPageBreak/>
        <w:t>(Z6) STANOVENÍ PODMÍNEK PRO VYUŽITÍ PLOCH S ROZDÍLNÝM ZPŮSOBEM VYUŽITÍ</w:t>
      </w:r>
    </w:p>
    <w:p w14:paraId="30A09F7D" w14:textId="77777777" w:rsidR="00EF1DD2" w:rsidRDefault="00EF1DD2" w:rsidP="00EF1DD2">
      <w:pPr>
        <w:spacing w:before="120" w:line="288" w:lineRule="auto"/>
        <w:jc w:val="both"/>
        <w:rPr>
          <w:rFonts w:ascii="Arial" w:hAnsi="Arial" w:cs="Arial"/>
          <w:b/>
          <w:color w:val="D60093"/>
          <w:sz w:val="18"/>
          <w:szCs w:val="22"/>
        </w:rPr>
      </w:pPr>
    </w:p>
    <w:p w14:paraId="1D133ABB" w14:textId="77777777" w:rsidR="00EF1DD2" w:rsidRPr="00EC5881" w:rsidRDefault="00EF1DD2" w:rsidP="00EF1DD2">
      <w:pPr>
        <w:spacing w:before="120" w:line="288" w:lineRule="auto"/>
        <w:jc w:val="both"/>
        <w:rPr>
          <w:rFonts w:ascii="Arial" w:hAnsi="Arial" w:cs="Arial"/>
          <w:b/>
          <w:color w:val="D60093"/>
          <w:sz w:val="18"/>
          <w:szCs w:val="22"/>
        </w:rPr>
      </w:pPr>
      <w:r w:rsidRPr="00EC5881">
        <w:rPr>
          <w:rFonts w:ascii="Arial" w:hAnsi="Arial" w:cs="Arial"/>
          <w:b/>
          <w:color w:val="D60093"/>
          <w:sz w:val="18"/>
          <w:szCs w:val="22"/>
        </w:rPr>
        <w:t>Plochy bydlení § 4, vyhl. 501/2006 Sb.</w:t>
      </w:r>
    </w:p>
    <w:p w14:paraId="05C0D3E1" w14:textId="77777777" w:rsidR="00EF1DD2" w:rsidRDefault="00EF1DD2" w:rsidP="00EF1DD2">
      <w:pPr>
        <w:spacing w:before="120" w:line="288" w:lineRule="auto"/>
        <w:jc w:val="both"/>
        <w:rPr>
          <w:rFonts w:ascii="Arial" w:hAnsi="Arial" w:cs="Arial"/>
          <w:b/>
          <w:color w:val="D60093"/>
          <w:sz w:val="18"/>
          <w:szCs w:val="22"/>
        </w:rPr>
      </w:pPr>
    </w:p>
    <w:p w14:paraId="518D1E34" w14:textId="77777777" w:rsidR="00EF1DD2" w:rsidRPr="00F4217A" w:rsidRDefault="00EF1DD2" w:rsidP="00EF1DD2">
      <w:pPr>
        <w:pBdr>
          <w:bottom w:val="single" w:sz="2" w:space="1" w:color="auto"/>
        </w:pBdr>
        <w:spacing w:before="120" w:line="288" w:lineRule="auto"/>
        <w:jc w:val="both"/>
        <w:rPr>
          <w:rFonts w:ascii="Arial" w:hAnsi="Arial" w:cs="Arial"/>
          <w:b/>
          <w:color w:val="D60093"/>
          <w:sz w:val="20"/>
          <w:szCs w:val="22"/>
        </w:rPr>
      </w:pPr>
      <w:r w:rsidRPr="00F4217A">
        <w:rPr>
          <w:rFonts w:ascii="Arial" w:hAnsi="Arial" w:cs="Arial"/>
          <w:b/>
          <w:color w:val="D60093"/>
          <w:sz w:val="20"/>
          <w:szCs w:val="22"/>
        </w:rPr>
        <w:t>BI - BYDLENÍ INDIVIDUÁLNÍ (MĚSTSKÉ A PŘÍMĚSTSKÉ)</w:t>
      </w:r>
    </w:p>
    <w:p w14:paraId="2DCC84F6" w14:textId="77777777" w:rsidR="00EF1DD2" w:rsidRPr="00EC5881" w:rsidRDefault="00EF1DD2" w:rsidP="00EF1DD2">
      <w:pPr>
        <w:spacing w:before="120" w:line="288" w:lineRule="auto"/>
        <w:jc w:val="both"/>
        <w:rPr>
          <w:rFonts w:ascii="Arial" w:hAnsi="Arial" w:cs="Arial"/>
          <w:color w:val="D60093"/>
          <w:sz w:val="18"/>
          <w:szCs w:val="22"/>
        </w:rPr>
      </w:pPr>
      <w:r w:rsidRPr="00EC5881">
        <w:rPr>
          <w:rFonts w:ascii="Arial" w:hAnsi="Arial" w:cs="Arial"/>
          <w:color w:val="D60093"/>
          <w:sz w:val="18"/>
          <w:szCs w:val="22"/>
        </w:rPr>
        <w:t xml:space="preserve">Nové plochy 6Z- 2, 4, 7, 10, 15, 16, 17, 18, 20, 21, 23a,b, 24, 26, 2721, 27b, 27c . 29, 30, 32, 33, 34, 35, 38, 40, 43, 44, 45, 46, 47, 50, 57, 63, 65, 70, 72, 75, 78, 79, 80. 82, 83, 84, 87, </w:t>
      </w:r>
    </w:p>
    <w:p w14:paraId="1A15A391"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Převažující účel využití</w:t>
      </w:r>
    </w:p>
    <w:p w14:paraId="4B30AF1E"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jedná se o plochy s převažující funkcí bydlení, které tvoří převážně stavby a zařízení pro rodinné bydlení, s odstavením a garážováním vozidel na vlastním pozemku</w:t>
      </w:r>
    </w:p>
    <w:p w14:paraId="25BAE9A4"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b) přípustné</w:t>
      </w:r>
    </w:p>
    <w:p w14:paraId="0EA206F5"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stavby s převažující funkcí bydlení v rodinných domech s maximálně dvěma nadzemními podlažími a podkrovím a stavbami s funkcí doplňkovou, nebo doplňkovými stavbami pro podnikatelskou činnost v oboru drobné nerušící výroby a služeb, s odstavením a garážováním vozidel na vlastním pozemku. Předpokládaný index zástavby je 0,25-0,4</w:t>
      </w:r>
    </w:p>
    <w:p w14:paraId="78F19854"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Přípustné jsou stavby a zařízení místní správy a občanské vybavenosti, sloužící potřebě obyvatel území, zejména stavby pro péči o děti předškolního věku, stavby pro ambulantní zdravotnictví, stavby pro veřejné stravování, stavby pro nerušící služby, stavby pro denní rekreaci, tělovýchovu, sport a komerční péči o hygienu a zdraví, parkovací a odstavné plochy, veřejné plochy a zeleň</w:t>
      </w:r>
    </w:p>
    <w:p w14:paraId="676DB89D"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b) nepřípustné</w:t>
      </w:r>
    </w:p>
    <w:p w14:paraId="775040AA"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Jsou stavby obchodní s výměrou větší než 500 m, veškeré stavby a zařízení snižující kvalitu prostředí a pohodu bydlení ve vymezené ploše a stavby a zařízení nesloužící obyvatelům takto vymezené plochy, činnosti, děje anebo zařízení označené jako podmínečně přípustné mohou být v jednotlivých případech označeny jako nepřípustné, odporují-li charakteru (základním zásadám utváření území a obecným a zvláštním regulativům) území</w:t>
      </w:r>
    </w:p>
    <w:p w14:paraId="5CCDAD98"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c) podmínečně přípustné</w:t>
      </w:r>
    </w:p>
    <w:p w14:paraId="59899987"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 xml:space="preserve">stavby nájemních domů, stavby sloužící i potřebě ostatních území, zejména stavby pro sociální péči, stavby pro komerční činnost, administrativu a veřejnou správu, a stavby a zařízení pro nerušící výrobu činnosti, děje anebo zařízení označené jinak jako přípustné mohou, být v jednotlivých případech, jako podmínečně přípustné odporují-li převažujícímu účelu využití území (základním zásadám utváření území a obecným a zvláštním regulativům Podmínečně přípustné jsou stavby ležící v ll. a III. zóně CHKO CS (62- 2 v II. Zóně CHKO CS a 6Z- 10, 30, 32, 50 VIII. zóně CHKO CS). Podmínky jsou dány regulativy hospodaření v jednotlivých zónách a souhlasem SCHKO CS. </w:t>
      </w:r>
    </w:p>
    <w:p w14:paraId="0ED3ACCF"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Podmínečně přípustné jsou stavby v ochranném pásmu dráhy (plochy č. 62-60 a 62-71.</w:t>
      </w:r>
    </w:p>
    <w:p w14:paraId="69992FBA"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Podmínečně přípustné jsou dále stavby nerespektující hmotové a objemové řešení stávající zástavby, na které nové lokality navazují (vilové čtvrti), zejména stavby se zastavěnou plochou menší než 50rn , se sklonem střech mimo rozpětí 35-45°, nebo s vysokou střešní nadezdívkou nad 130cm.</w:t>
      </w:r>
    </w:p>
    <w:p w14:paraId="34C8EB0E"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Podmínečně přípustná je nová lokalita 62-38, kde podmínkou budoucího využití je zpracování územní studie.</w:t>
      </w:r>
    </w:p>
    <w:p w14:paraId="1AEE54ED"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Podmínečně přípustné jsou plochy ležící zcela nebo zčásti na sesuvnérn území (GZ 18, 27a, 27b, 34, 35, 87).</w:t>
      </w:r>
    </w:p>
    <w:p w14:paraId="443CBD99"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Podmínečně vhodné jsou plochy nebo části nových ležící v možném dosahu dopravních komunikačních tras. Podmínkou je v následném stupni dokumentace prokázání nepřekročení hygienických limitů hluku z provozu na dopravních komunikacích pro chráněný venkovní prostor a chráněný venkovní prostor staveb na nich umístitelných a to v průběhu celého dne ve smyslu nařízení vlády č. 143/2006 o ochraně zdraví před nepříznivými účinky hluku a vibrací.</w:t>
      </w:r>
    </w:p>
    <w:p w14:paraId="69426495"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lastRenderedPageBreak/>
        <w:t>Plochy 62-4, 62-10, (SZ-23b, 62-26, 62-27a-c, 62-32, 62-40, 62-45, 62-47, (SZ-60, 62-82, 62-87, jsou podmínečně vhodné a to za předpokladu respektování již zpracovaných dopravních studií a posudků.</w:t>
      </w:r>
    </w:p>
    <w:p w14:paraId="33198557"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Plochy 62-20, 62-21, 62- 30, (&gt;Z- 50, 62- 61., 62- 79, 62- 83, jsou podmíněny kladným výsledkem následných dopravních studií, které navrhnou opatření pro bezkonfliktní napojení lokalit na MK.</w:t>
      </w:r>
    </w:p>
    <w:p w14:paraId="751D32F1"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Plochy 6. změny č. 62-2, 15, 17, 29, 30, 32, 50, 75, leží částečně v ochranném pásmu lesa nutno je považovat za podmínečně vhodné. Podmínka je dána souhlasem dle zákona č. 289/1995 Sb.</w:t>
      </w:r>
    </w:p>
    <w:p w14:paraId="7C384DAB" w14:textId="77777777" w:rsidR="00EF1DD2" w:rsidRDefault="00EF1DD2" w:rsidP="00EF1DD2">
      <w:pPr>
        <w:spacing w:before="120" w:line="288" w:lineRule="auto"/>
        <w:jc w:val="both"/>
        <w:rPr>
          <w:rFonts w:ascii="Arial" w:hAnsi="Arial" w:cs="Arial"/>
          <w:b/>
          <w:color w:val="D60093"/>
          <w:sz w:val="18"/>
          <w:szCs w:val="22"/>
        </w:rPr>
      </w:pPr>
    </w:p>
    <w:p w14:paraId="17089EB9" w14:textId="77777777" w:rsidR="00EF1DD2" w:rsidRPr="00EC5881" w:rsidRDefault="00EF1DD2" w:rsidP="00EF1DD2">
      <w:pPr>
        <w:spacing w:before="120" w:line="288" w:lineRule="auto"/>
        <w:jc w:val="both"/>
        <w:rPr>
          <w:rFonts w:ascii="Arial" w:hAnsi="Arial" w:cs="Arial"/>
          <w:b/>
          <w:color w:val="D60093"/>
          <w:sz w:val="18"/>
          <w:szCs w:val="22"/>
        </w:rPr>
      </w:pPr>
      <w:r w:rsidRPr="00EC5881">
        <w:rPr>
          <w:rFonts w:ascii="Arial" w:hAnsi="Arial" w:cs="Arial"/>
          <w:b/>
          <w:color w:val="D60093"/>
          <w:sz w:val="18"/>
          <w:szCs w:val="22"/>
        </w:rPr>
        <w:t>Plochy občanského vybavení §6, vyhl. 501/2006 Sb.</w:t>
      </w:r>
    </w:p>
    <w:p w14:paraId="40BDCD97" w14:textId="77777777" w:rsidR="00EF1DD2" w:rsidRDefault="00EF1DD2" w:rsidP="00EF1DD2">
      <w:pPr>
        <w:spacing w:before="120" w:line="288" w:lineRule="auto"/>
        <w:jc w:val="both"/>
        <w:rPr>
          <w:rFonts w:ascii="Arial" w:hAnsi="Arial" w:cs="Arial"/>
          <w:b/>
          <w:color w:val="D60093"/>
          <w:sz w:val="18"/>
          <w:szCs w:val="22"/>
        </w:rPr>
      </w:pPr>
    </w:p>
    <w:p w14:paraId="4C84DE0A" w14:textId="77777777" w:rsidR="00EF1DD2" w:rsidRPr="00F4217A" w:rsidRDefault="00EF1DD2" w:rsidP="00EF1DD2">
      <w:pPr>
        <w:pBdr>
          <w:bottom w:val="single" w:sz="2" w:space="1" w:color="auto"/>
        </w:pBdr>
        <w:spacing w:before="120" w:line="288" w:lineRule="auto"/>
        <w:jc w:val="both"/>
        <w:rPr>
          <w:rFonts w:ascii="Arial" w:hAnsi="Arial" w:cs="Arial"/>
          <w:b/>
          <w:color w:val="D60093"/>
          <w:sz w:val="20"/>
          <w:szCs w:val="22"/>
        </w:rPr>
      </w:pPr>
      <w:r w:rsidRPr="00F4217A">
        <w:rPr>
          <w:rFonts w:ascii="Arial" w:hAnsi="Arial" w:cs="Arial"/>
          <w:b/>
          <w:color w:val="D60093"/>
          <w:sz w:val="20"/>
          <w:szCs w:val="22"/>
        </w:rPr>
        <w:t xml:space="preserve">OV- OBČANSKÉ VYBAVENÍ </w:t>
      </w:r>
    </w:p>
    <w:p w14:paraId="20470AB7" w14:textId="77777777" w:rsidR="00EF1DD2" w:rsidRPr="00EC5881" w:rsidRDefault="00EF1DD2" w:rsidP="00EF1DD2">
      <w:pPr>
        <w:spacing w:before="120" w:line="288" w:lineRule="auto"/>
        <w:jc w:val="both"/>
        <w:rPr>
          <w:rFonts w:ascii="Arial" w:hAnsi="Arial" w:cs="Arial"/>
          <w:color w:val="D60093"/>
          <w:sz w:val="18"/>
          <w:szCs w:val="22"/>
        </w:rPr>
      </w:pPr>
      <w:r w:rsidRPr="00EC5881">
        <w:rPr>
          <w:rFonts w:ascii="Arial" w:hAnsi="Arial" w:cs="Arial"/>
          <w:color w:val="D60093"/>
          <w:sz w:val="18"/>
          <w:szCs w:val="22"/>
        </w:rPr>
        <w:t>Přestavbo</w:t>
      </w:r>
      <w:r>
        <w:rPr>
          <w:rFonts w:ascii="Arial" w:hAnsi="Arial" w:cs="Arial"/>
          <w:color w:val="D60093"/>
          <w:sz w:val="18"/>
          <w:szCs w:val="22"/>
        </w:rPr>
        <w:t>vé plochy 6Z-71, 81a</w:t>
      </w:r>
      <w:r w:rsidRPr="00EC5881">
        <w:rPr>
          <w:rFonts w:ascii="Arial" w:hAnsi="Arial" w:cs="Arial"/>
          <w:color w:val="D60093"/>
          <w:sz w:val="18"/>
          <w:szCs w:val="22"/>
        </w:rPr>
        <w:t>, 81</w:t>
      </w:r>
      <w:r>
        <w:rPr>
          <w:rFonts w:ascii="Arial" w:hAnsi="Arial" w:cs="Arial"/>
          <w:color w:val="D60093"/>
          <w:sz w:val="18"/>
          <w:szCs w:val="22"/>
        </w:rPr>
        <w:t>h</w:t>
      </w:r>
      <w:r w:rsidRPr="00EC5881">
        <w:rPr>
          <w:rFonts w:ascii="Arial" w:hAnsi="Arial" w:cs="Arial"/>
          <w:color w:val="D60093"/>
          <w:sz w:val="18"/>
          <w:szCs w:val="22"/>
        </w:rPr>
        <w:t>, 85</w:t>
      </w:r>
    </w:p>
    <w:p w14:paraId="6072C33A"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převažující účel využití</w:t>
      </w:r>
    </w:p>
    <w:p w14:paraId="2DB8837B"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jedná se o plochy a objekty s převažující funkcí občanského vybavení, které tvoří převážně stavby a zařízení pro obchod a služby, sociální a zdravotní péči, školství, kulturu</w:t>
      </w:r>
    </w:p>
    <w:p w14:paraId="1A98BF62"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a) přípustné</w:t>
      </w:r>
    </w:p>
    <w:p w14:paraId="70F2C0D4"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stavby s převažující funkcí občanského vybavení. Stavby drobné nerušící výroby spojené se službami parkovací a odstavné plochy veřejné plochy a zeleň</w:t>
      </w:r>
    </w:p>
    <w:p w14:paraId="2BDC87FE"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b) nepřípustné</w:t>
      </w:r>
    </w:p>
    <w:p w14:paraId="4659E23B"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veškeré stavby a zařízení snižující kvalitu prostředí ve vymezené ploše výroba a služby rušící. Činnosti děje anebo zařízení označené jinak jako přípustné, mohou být v jednotlivých případech, označeny jako nepřípustné, odporují-li převažujícímu účelu využití (základním zásadám utváření území a obecným a zvláštním regulativům) území.</w:t>
      </w:r>
    </w:p>
    <w:p w14:paraId="0148CBCD"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c) podmínečně přípustné</w:t>
      </w:r>
    </w:p>
    <w:p w14:paraId="60BF2D32"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Podmínečně přípustné jsou stavby a zařízení místní správy zařízení pro nerušící výrobu sloužící jako součást výukových programů, stavby obchodní s výměrou větší než 1 000 m</w:t>
      </w:r>
      <w:r w:rsidRPr="00EC5881">
        <w:rPr>
          <w:rFonts w:ascii="Arial" w:hAnsi="Arial" w:cs="Arial"/>
          <w:color w:val="D60093"/>
          <w:sz w:val="18"/>
          <w:szCs w:val="22"/>
          <w:vertAlign w:val="superscript"/>
        </w:rPr>
        <w:t>2</w:t>
      </w:r>
      <w:r w:rsidRPr="00EC5881">
        <w:rPr>
          <w:rFonts w:ascii="Arial" w:hAnsi="Arial" w:cs="Arial"/>
          <w:color w:val="D60093"/>
          <w:sz w:val="18"/>
          <w:szCs w:val="22"/>
        </w:rPr>
        <w:t xml:space="preserve"> Podmínečně přípustné jsou stavby pro veřejného stravování, činnosti děje anebo zařízení označené jinak jako přípustné, mohou být v jednotlivých případech, jako podmínečně přípustné odporují-li převažujícímu účelu využití území (základním zásadám utváření území a obecným a zvláštním regulativům)</w:t>
      </w:r>
    </w:p>
    <w:p w14:paraId="2135BA13" w14:textId="77777777" w:rsidR="00EF1DD2" w:rsidRDefault="00EF1DD2" w:rsidP="00EF1DD2">
      <w:pPr>
        <w:spacing w:before="120" w:line="288" w:lineRule="auto"/>
        <w:jc w:val="both"/>
        <w:rPr>
          <w:rFonts w:ascii="Arial" w:hAnsi="Arial" w:cs="Arial"/>
          <w:b/>
          <w:color w:val="D60093"/>
          <w:sz w:val="18"/>
          <w:szCs w:val="22"/>
        </w:rPr>
      </w:pPr>
    </w:p>
    <w:p w14:paraId="253020DA" w14:textId="77777777" w:rsidR="00EF1DD2" w:rsidRPr="00EC5881" w:rsidRDefault="00EF1DD2" w:rsidP="00EF1DD2">
      <w:pPr>
        <w:spacing w:before="120" w:line="288" w:lineRule="auto"/>
        <w:jc w:val="both"/>
        <w:rPr>
          <w:rFonts w:ascii="Arial" w:hAnsi="Arial" w:cs="Arial"/>
          <w:b/>
          <w:color w:val="D60093"/>
          <w:sz w:val="18"/>
          <w:szCs w:val="22"/>
        </w:rPr>
      </w:pPr>
      <w:r w:rsidRPr="00EC5881">
        <w:rPr>
          <w:rFonts w:ascii="Arial" w:hAnsi="Arial" w:cs="Arial"/>
          <w:b/>
          <w:color w:val="D60093"/>
          <w:sz w:val="18"/>
          <w:szCs w:val="22"/>
        </w:rPr>
        <w:t>Plochy výroby a skladování §11</w:t>
      </w:r>
    </w:p>
    <w:p w14:paraId="42691CA4" w14:textId="77777777" w:rsidR="00EF1DD2" w:rsidRDefault="00EF1DD2" w:rsidP="00EF1DD2">
      <w:pPr>
        <w:spacing w:before="120" w:line="288" w:lineRule="auto"/>
        <w:jc w:val="both"/>
        <w:rPr>
          <w:rFonts w:ascii="Arial" w:hAnsi="Arial" w:cs="Arial"/>
          <w:b/>
          <w:i/>
          <w:color w:val="D60093"/>
          <w:sz w:val="18"/>
          <w:szCs w:val="22"/>
        </w:rPr>
      </w:pPr>
    </w:p>
    <w:p w14:paraId="557CAA6D" w14:textId="77777777" w:rsidR="00EF1DD2" w:rsidRDefault="00EF1DD2" w:rsidP="00EF1DD2">
      <w:pPr>
        <w:spacing w:before="120" w:line="288" w:lineRule="auto"/>
        <w:jc w:val="both"/>
        <w:rPr>
          <w:rFonts w:ascii="Arial" w:hAnsi="Arial" w:cs="Arial"/>
          <w:b/>
          <w:i/>
          <w:color w:val="D60093"/>
          <w:sz w:val="18"/>
          <w:szCs w:val="22"/>
        </w:rPr>
      </w:pPr>
    </w:p>
    <w:p w14:paraId="2AA2F230" w14:textId="77777777" w:rsidR="00EF1DD2" w:rsidRPr="00F4217A" w:rsidRDefault="00EF1DD2" w:rsidP="00EF1DD2">
      <w:pPr>
        <w:pBdr>
          <w:bottom w:val="single" w:sz="2" w:space="1" w:color="auto"/>
        </w:pBdr>
        <w:spacing w:before="120" w:line="288" w:lineRule="auto"/>
        <w:jc w:val="both"/>
        <w:rPr>
          <w:rFonts w:ascii="Arial" w:hAnsi="Arial" w:cs="Arial"/>
          <w:b/>
          <w:color w:val="D60093"/>
          <w:sz w:val="20"/>
          <w:szCs w:val="22"/>
        </w:rPr>
      </w:pPr>
      <w:r w:rsidRPr="00F4217A">
        <w:rPr>
          <w:rFonts w:ascii="Arial" w:hAnsi="Arial" w:cs="Arial"/>
          <w:b/>
          <w:color w:val="D60093"/>
          <w:sz w:val="20"/>
          <w:szCs w:val="22"/>
        </w:rPr>
        <w:t>VD - VÝROBA NERUŠÍCÍ A SLUŽBY</w:t>
      </w:r>
    </w:p>
    <w:p w14:paraId="4831E611" w14:textId="77777777" w:rsidR="00EF1DD2" w:rsidRPr="00EC5881" w:rsidRDefault="00EF1DD2" w:rsidP="00EF1DD2">
      <w:pPr>
        <w:spacing w:before="120" w:line="288" w:lineRule="auto"/>
        <w:jc w:val="both"/>
        <w:rPr>
          <w:rFonts w:ascii="Arial" w:hAnsi="Arial" w:cs="Arial"/>
          <w:color w:val="D60093"/>
          <w:sz w:val="18"/>
          <w:szCs w:val="22"/>
        </w:rPr>
      </w:pPr>
      <w:r w:rsidRPr="00EC5881">
        <w:rPr>
          <w:rFonts w:ascii="Arial" w:hAnsi="Arial" w:cs="Arial"/>
          <w:color w:val="D60093"/>
          <w:sz w:val="18"/>
          <w:szCs w:val="22"/>
        </w:rPr>
        <w:t>Nové plochy 62 -28, 81b, 81 c, 81d, 81g</w:t>
      </w:r>
    </w:p>
    <w:p w14:paraId="3D53F0B8"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převažující účel využití</w:t>
      </w:r>
    </w:p>
    <w:p w14:paraId="584694D0"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Jedná se převážně o stavby a zařízení pro výrobu a služby, které jsou urbanisticky, architektonicky, stavebně a provozně vyřešeny tak, že bez mimořádných opatření vůči okolnímu prostředí nepřekračují stanovené limity z hlediska ochrany zdraví a životního prostředí, zejména na sousedících plochách s jinou funkční náplní</w:t>
      </w:r>
    </w:p>
    <w:p w14:paraId="26C7E4D4"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a) přípustné</w:t>
      </w:r>
    </w:p>
    <w:p w14:paraId="5DA256C1"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lastRenderedPageBreak/>
        <w:t>zařízení pro nerušící výrobu a služby, stavby a zařízení sloužící potřebě území, zejména stavby pro komerční činnost, administrativu a správu, obchod a skladování a příslušná dopravní a technická vybavenost</w:t>
      </w:r>
    </w:p>
    <w:p w14:paraId="37E71DBA" w14:textId="77777777" w:rsidR="00EF1DD2" w:rsidRPr="00EC5881" w:rsidRDefault="00EF1DD2" w:rsidP="00EF1DD2">
      <w:pPr>
        <w:keepNext/>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b) nepřípustné</w:t>
      </w:r>
    </w:p>
    <w:p w14:paraId="386C4CD3"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Jsou výrobní činnosti rušící, obtěžující své okolí, činnosti, děje anebo zařízení označené jinak jako přípustné mohou být v jednotlivých případech označeny jako podmínečně přípustné a činnosti, děje anebo zařízení označené jinak jako podmínečně přípustné mohou být v jednotlivých případech označeny jako nepřípustné, odporují-li charakteru (základním zásadám utváření území a obecným a zvláštním regulativům území)</w:t>
      </w:r>
    </w:p>
    <w:p w14:paraId="2DCC15D7"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c) podmínečně přípustné</w:t>
      </w:r>
    </w:p>
    <w:p w14:paraId="096EB51F"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stavby a zařízení pro služební bydlení, ambulantní zdravotnictví a specifické typy zdravotní pomoci, stavby veřejného stravování a pasantní ubytování, zařízení školící a školská, parkovací a odstavné plochy nákladních vozidel uvnitř areálů</w:t>
      </w:r>
    </w:p>
    <w:p w14:paraId="77271BD5" w14:textId="77777777" w:rsidR="00EF1DD2" w:rsidRDefault="00EF1DD2" w:rsidP="00EF1DD2">
      <w:pPr>
        <w:spacing w:before="120" w:line="288" w:lineRule="auto"/>
        <w:jc w:val="both"/>
        <w:rPr>
          <w:rFonts w:ascii="Arial" w:hAnsi="Arial" w:cs="Arial"/>
          <w:b/>
          <w:color w:val="D60093"/>
          <w:sz w:val="18"/>
          <w:szCs w:val="22"/>
        </w:rPr>
      </w:pPr>
    </w:p>
    <w:p w14:paraId="3263B5B6" w14:textId="77777777" w:rsidR="00EF1DD2" w:rsidRPr="00EC5881" w:rsidRDefault="00EF1DD2" w:rsidP="00EF1DD2">
      <w:pPr>
        <w:spacing w:before="120" w:line="288" w:lineRule="auto"/>
        <w:jc w:val="both"/>
        <w:rPr>
          <w:rFonts w:ascii="Arial" w:hAnsi="Arial" w:cs="Arial"/>
          <w:b/>
          <w:color w:val="D60093"/>
          <w:sz w:val="18"/>
          <w:szCs w:val="22"/>
        </w:rPr>
      </w:pPr>
      <w:r w:rsidRPr="00EC5881">
        <w:rPr>
          <w:rFonts w:ascii="Arial" w:hAnsi="Arial" w:cs="Arial"/>
          <w:b/>
          <w:color w:val="D60093"/>
          <w:sz w:val="18"/>
          <w:szCs w:val="22"/>
        </w:rPr>
        <w:t>Plochy smíšené obytné § 8, vyhl. 501/2006 Sb.</w:t>
      </w:r>
    </w:p>
    <w:p w14:paraId="363EE05C" w14:textId="77777777" w:rsidR="00EF1DD2" w:rsidRPr="00EC5881" w:rsidRDefault="00EF1DD2" w:rsidP="00EF1DD2">
      <w:pPr>
        <w:spacing w:before="120" w:line="288" w:lineRule="auto"/>
        <w:jc w:val="both"/>
        <w:rPr>
          <w:rFonts w:ascii="Arial" w:hAnsi="Arial" w:cs="Arial"/>
          <w:b/>
          <w:color w:val="D60093"/>
          <w:sz w:val="18"/>
          <w:szCs w:val="22"/>
        </w:rPr>
      </w:pPr>
    </w:p>
    <w:p w14:paraId="2531E9B6" w14:textId="77777777" w:rsidR="00EF1DD2" w:rsidRPr="00F4217A" w:rsidRDefault="00EF1DD2" w:rsidP="00EF1DD2">
      <w:pPr>
        <w:pBdr>
          <w:bottom w:val="single" w:sz="2" w:space="1" w:color="auto"/>
        </w:pBdr>
        <w:spacing w:before="120" w:line="288" w:lineRule="auto"/>
        <w:jc w:val="both"/>
        <w:rPr>
          <w:rFonts w:ascii="Arial" w:hAnsi="Arial" w:cs="Arial"/>
          <w:color w:val="D60093"/>
          <w:sz w:val="20"/>
          <w:szCs w:val="22"/>
        </w:rPr>
      </w:pPr>
      <w:r w:rsidRPr="00F4217A">
        <w:rPr>
          <w:rFonts w:ascii="Arial" w:hAnsi="Arial" w:cs="Arial"/>
          <w:b/>
          <w:color w:val="D60093"/>
          <w:sz w:val="20"/>
          <w:szCs w:val="22"/>
        </w:rPr>
        <w:t>SO.2 - PLOCHY SMÍŠENÉ OBYTNÉ (MĚSTSKÉ) –</w:t>
      </w:r>
      <w:r w:rsidRPr="00F4217A">
        <w:rPr>
          <w:rFonts w:ascii="Arial" w:hAnsi="Arial" w:cs="Arial"/>
          <w:color w:val="D60093"/>
          <w:sz w:val="20"/>
          <w:szCs w:val="22"/>
        </w:rPr>
        <w:t xml:space="preserve"> plocha 6Z-39 a 6Z60</w:t>
      </w:r>
    </w:p>
    <w:p w14:paraId="06DFBF1E"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převažuiící účel využití</w:t>
      </w:r>
    </w:p>
    <w:p w14:paraId="50B386C3"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jedná se o plochy s převažující funkcí rodinného a hromadného bydlení, občanské vybavenosti a služeb</w:t>
      </w:r>
    </w:p>
    <w:p w14:paraId="1245CEC5"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a) přípustné</w:t>
      </w:r>
    </w:p>
    <w:p w14:paraId="1B1A0C92"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jsou stavby s funkcí bydlení v rodinných a bytových domech s maximálně- 4 nadzemními podlažími + podkroví. Předpokládaný index zástavby je 0,5. Přípustné jsou stavby pro veřejnou a komerční vybavenost, sociální péči, školství, kulturu a zájmovou činnost, drobné podnikání a servisní činnost, nesnižující kvalitu prostředí a pohodu bydlení ve vymezené lokalitě a jsou slučitelné s bydlením. Součástí lokalit jsou veřejná prostranství, zeleň, související dopravní a technická infrastruktura</w:t>
      </w:r>
    </w:p>
    <w:p w14:paraId="51610EEF"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b) nepřípustné</w:t>
      </w:r>
    </w:p>
    <w:p w14:paraId="1386D51F"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jsou stavby obchodní s výměrou vetší než 1000 m</w:t>
      </w:r>
      <w:r w:rsidRPr="00EC5881">
        <w:rPr>
          <w:rFonts w:ascii="Arial" w:hAnsi="Arial" w:cs="Arial"/>
          <w:color w:val="D60093"/>
          <w:sz w:val="18"/>
          <w:szCs w:val="22"/>
          <w:vertAlign w:val="superscript"/>
        </w:rPr>
        <w:t>2</w:t>
      </w:r>
      <w:r w:rsidRPr="00EC5881">
        <w:rPr>
          <w:rFonts w:ascii="Arial" w:hAnsi="Arial" w:cs="Arial"/>
          <w:color w:val="D60093"/>
          <w:sz w:val="18"/>
          <w:szCs w:val="22"/>
        </w:rPr>
        <w:t>, veškeré stavby a zařízení snižující kvalitu prostředí a pohodu bydlení ve vymezené ploše.</w:t>
      </w:r>
    </w:p>
    <w:p w14:paraId="36AAC820"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Činnosti, děje anebo zařízení označené jinak jako podmínečně přípustné mohou být v jednotlivých případech označeny jako nepřípustné, odporují-li převažujícímu účelu využití území</w:t>
      </w:r>
    </w:p>
    <w:p w14:paraId="50CC4080" w14:textId="77777777" w:rsidR="00EF1DD2" w:rsidRPr="00EC5881" w:rsidRDefault="00EF1DD2" w:rsidP="00EF1DD2">
      <w:pPr>
        <w:spacing w:before="120" w:line="288" w:lineRule="auto"/>
        <w:jc w:val="both"/>
        <w:rPr>
          <w:rFonts w:ascii="Arial" w:hAnsi="Arial" w:cs="Arial"/>
          <w:b/>
          <w:color w:val="D60093"/>
          <w:sz w:val="18"/>
          <w:szCs w:val="22"/>
          <w:u w:val="single"/>
        </w:rPr>
      </w:pPr>
      <w:r w:rsidRPr="00EC5881">
        <w:rPr>
          <w:rFonts w:ascii="Arial" w:hAnsi="Arial" w:cs="Arial"/>
          <w:b/>
          <w:color w:val="D60093"/>
          <w:sz w:val="18"/>
          <w:szCs w:val="22"/>
          <w:u w:val="single"/>
        </w:rPr>
        <w:t>c) podmínečně přípustné</w:t>
      </w:r>
    </w:p>
    <w:p w14:paraId="46D35647"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Podmínečně přípustné jsou dále stavby sloužící i potřebě ostatních území, zejména stavby pro sport, rekreaci, stavby pro komerční činnost, administrativu a veřejnou správu a stavby a zařízení pro nerušící výrobu. Činnosti, děje anebo zařízení označené jinak jako přípustné mohou být v jednotlivých případech, jako podmínečně přípustné odporují-li převažujícímu účelu využití území (základním zásadám utváření území a obecným a zvláštním regulativům).</w:t>
      </w:r>
    </w:p>
    <w:p w14:paraId="34A1AB39" w14:textId="77777777" w:rsidR="00EF1DD2" w:rsidRPr="00EC5881" w:rsidRDefault="00EF1DD2" w:rsidP="00EF1DD2">
      <w:pPr>
        <w:spacing w:before="120" w:line="288" w:lineRule="auto"/>
        <w:ind w:firstLine="709"/>
        <w:jc w:val="both"/>
        <w:rPr>
          <w:rFonts w:ascii="Arial" w:hAnsi="Arial" w:cs="Arial"/>
          <w:color w:val="D60093"/>
          <w:sz w:val="18"/>
          <w:szCs w:val="22"/>
        </w:rPr>
      </w:pPr>
      <w:r w:rsidRPr="00EC5881">
        <w:rPr>
          <w:rFonts w:ascii="Arial" w:hAnsi="Arial" w:cs="Arial"/>
          <w:color w:val="D60093"/>
          <w:sz w:val="18"/>
          <w:szCs w:val="22"/>
        </w:rPr>
        <w:t>Podmínečně vhodné jsou plochy nebo části nových ležící v možném dosahu dopravních komunikačních tras. Podmínkou je v následném stupni dokumentace prokázání nepřekročení hygienických limitů hluku a vibrací z provozu po dopravních komunikacích pro chráněný venkovní prostor a chráněný venkovní prostor staveb na nich umístitelných a to v průběhu celého dne ve smyslu nařízení vlády č. 148/2006 o ochraně zdraví před nepříznivými účinky hluku a vibrací</w:t>
      </w:r>
    </w:p>
    <w:p w14:paraId="393283D9" w14:textId="77777777" w:rsidR="00EF1DD2" w:rsidRPr="00EC5881" w:rsidRDefault="00EF1DD2" w:rsidP="00EF1DD2">
      <w:pPr>
        <w:spacing w:before="120" w:line="288" w:lineRule="auto"/>
        <w:ind w:firstLine="709"/>
        <w:jc w:val="both"/>
        <w:rPr>
          <w:rFonts w:ascii="Arial" w:hAnsi="Arial" w:cs="Arial"/>
          <w:color w:val="D60093"/>
          <w:sz w:val="18"/>
          <w:szCs w:val="22"/>
        </w:rPr>
      </w:pPr>
    </w:p>
    <w:p w14:paraId="61F8E303" w14:textId="77777777" w:rsidR="00EF1DD2" w:rsidRPr="00EC5881" w:rsidRDefault="00EF1DD2" w:rsidP="00EF1DD2">
      <w:pPr>
        <w:pStyle w:val="Nadpis2"/>
        <w:spacing w:before="120" w:line="288" w:lineRule="auto"/>
        <w:jc w:val="both"/>
        <w:rPr>
          <w:rFonts w:ascii="Arial" w:hAnsi="Arial" w:cs="Arial"/>
          <w:i/>
          <w:color w:val="FF0000"/>
          <w:sz w:val="18"/>
          <w:szCs w:val="22"/>
        </w:rPr>
      </w:pPr>
      <w:bookmarkStart w:id="47" w:name="_Toc354838624"/>
      <w:r w:rsidRPr="00EC5881">
        <w:rPr>
          <w:rFonts w:ascii="Arial" w:hAnsi="Arial" w:cs="Arial"/>
          <w:i/>
          <w:color w:val="FF0000"/>
          <w:sz w:val="18"/>
          <w:szCs w:val="22"/>
        </w:rPr>
        <w:lastRenderedPageBreak/>
        <w:t xml:space="preserve">(Z8) STANOVENÍ PODMÍNEK PRO VYUŽITÍ PLOCH S ROZDÍLNÝM ZPŮSOBEM VYUŽITÍ S URČENÍM PŘEVAŽUJÍCÍHO ÚČELU VYUŽITÍ (HLAVNÍ VYUŽITÍ), POKUD JE MOŽNÉ JEJ STANOVIT, PŘÍPUSTNÉHO VYUŽITÍ, NEPŘÍPUSTNÉHO VYUŽITÍ </w:t>
      </w:r>
      <w:r w:rsidRPr="00EC5881">
        <w:rPr>
          <w:rFonts w:ascii="Arial" w:eastAsia="Calibri" w:hAnsi="Arial" w:cs="Arial"/>
          <w:i/>
          <w:color w:val="FF0000"/>
          <w:sz w:val="18"/>
          <w:szCs w:val="22"/>
          <w:lang w:eastAsia="en-US"/>
        </w:rPr>
        <w:t>(VČETNĚ STANOVENÍ, VE KTERÝCH PLOCHÁCH JE VYLOUČENO UMÍSŤOVÁNÍ STAVEB, ZAŘÍZENÍ A JINÝCH OPATŘENÍ PRO ÚČELY UVEDENÉ V § 18 ODST. 5 STAVEBNÍHO ZÁKONA)</w:t>
      </w:r>
      <w:r w:rsidRPr="00EC5881">
        <w:rPr>
          <w:rFonts w:ascii="Arial" w:hAnsi="Arial" w:cs="Arial"/>
          <w:i/>
          <w:color w:val="FF0000"/>
          <w:sz w:val="18"/>
          <w:szCs w:val="22"/>
        </w:rPr>
        <w:t>, POPŘÍPADĚ PODMÍNĚNĚ PŘÍPUSTNÉHO VYUŽITÍ TĚCHTO PLOCH A STANOVENÍ PODMÍNEK PROSTOROVÉHO USPOŘÁDÁNÍ, VČETNĚ ZÁKLADNÍCH PODMÍNEK OCHRANY KRAJINNÉHO RÁZU (například výškové regulace zástavby,</w:t>
      </w:r>
      <w:r w:rsidRPr="00EC5881">
        <w:rPr>
          <w:rFonts w:ascii="Arial" w:eastAsia="Calibri" w:hAnsi="Arial" w:cs="Arial"/>
          <w:i/>
          <w:color w:val="FF0000"/>
          <w:sz w:val="18"/>
          <w:szCs w:val="22"/>
          <w:lang w:eastAsia="en-US"/>
        </w:rPr>
        <w:t xml:space="preserve"> charakteru a struktury zástavby, stanovení rozmezí výměry pro vymezování stavebních pozemků a intenzity jejich využití)</w:t>
      </w:r>
      <w:bookmarkEnd w:id="47"/>
    </w:p>
    <w:p w14:paraId="2429D95C" w14:textId="77777777" w:rsidR="00EF1DD2" w:rsidRPr="00EC5881" w:rsidRDefault="00EF1DD2" w:rsidP="00EF1DD2">
      <w:pPr>
        <w:pStyle w:val="Nadpis3"/>
        <w:spacing w:before="120" w:line="288" w:lineRule="auto"/>
        <w:rPr>
          <w:color w:val="FF0000"/>
          <w:sz w:val="18"/>
        </w:rPr>
      </w:pPr>
      <w:bookmarkStart w:id="48" w:name="_Toc354838625"/>
      <w:r w:rsidRPr="00EC5881">
        <w:rPr>
          <w:color w:val="FF0000"/>
          <w:sz w:val="18"/>
        </w:rPr>
        <w:t>Všeobecně – specifické podmínky</w:t>
      </w:r>
      <w:bookmarkEnd w:id="48"/>
    </w:p>
    <w:p w14:paraId="74846E25"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přístupové místní komunikace k lokalitám výstavby. V navržených lokalitách jsou komunikace určeny pouze pro provoz individuální automobilové dopravy a pro dopravní obsluhu území;</w:t>
      </w:r>
    </w:p>
    <w:p w14:paraId="17826579"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plochy klidové dopravy - parkování a odstavování vozidel bude součástí navrhovaných rozvojových ploch bydlení;</w:t>
      </w:r>
    </w:p>
    <w:p w14:paraId="007B9952"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nové lokality ležící podél silnic jsou podmínečně přípustné vzhledem k možnému zasažení navrhovaných lokalit bydlení nepříznivými účinky hluku a vibrací od sousedících komunikací. Podmínkou u lokalit s plochami bydlení je, aby při vlastní realizaci nových lokalit byly splněny podmínky nařízení vlády č. 272/2011 Sb., o ochraně zdraví před nepříznivými účinky hluku a vibrací;</w:t>
      </w:r>
    </w:p>
    <w:p w14:paraId="20B58168"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v sektoru II.(Rozbělesy) dle vymezení ÚP z roku 2002, se nově vymezuje plocha, kde se ve výrobních plochách zásadním způsobem vylučuje funkce bydlení v rámci podmínečně přípustného využití;</w:t>
      </w:r>
    </w:p>
    <w:p w14:paraId="6E324979"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liniové stavby technické infrastruktury umístěné v silniční síti (inženýrské sítě), pokud nejsou zřizovány pro potřebu silnice anebo pokud to prokazatelně nelze řešit jinak, nesmí být podélně umísťovány v tělese silnice;</w:t>
      </w:r>
    </w:p>
    <w:p w14:paraId="1A39925F"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pokud budou stavby na rozvojových lokalitách situovány v ochranném pásmu lesa (</w:t>
      </w:r>
      <w:smartTag w:uri="urn:schemas-microsoft-com:office:smarttags" w:element="metricconverter">
        <w:smartTagPr>
          <w:attr w:name="ProductID" w:val="50 m"/>
        </w:smartTagPr>
        <w:r w:rsidRPr="00EC5881">
          <w:rPr>
            <w:rFonts w:ascii="Arial" w:hAnsi="Arial" w:cs="Arial"/>
            <w:color w:val="FF0000"/>
            <w:sz w:val="18"/>
          </w:rPr>
          <w:t>50 m</w:t>
        </w:r>
      </w:smartTag>
      <w:r w:rsidRPr="00EC5881">
        <w:rPr>
          <w:rFonts w:ascii="Arial" w:hAnsi="Arial" w:cs="Arial"/>
          <w:color w:val="FF0000"/>
          <w:sz w:val="18"/>
        </w:rPr>
        <w:t xml:space="preserve"> od jeho okraje lokalita 8z -11, -18, -20, -48, -49), případné výjimky nutno řešit s příslušným orgánem státní správy lesa ve smyslu zákona č. 289/1995 Sb., lesní zákon;</w:t>
      </w:r>
    </w:p>
    <w:p w14:paraId="2DB0F57E"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lokality ležící v CHOPAV musí respektovat pravidla ochrany vod lokality 8Z -18, -20, -23 -34, -45;</w:t>
      </w:r>
    </w:p>
    <w:p w14:paraId="78C6B857"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lokality ležící na sesuvném území nutno považovat za podmínečně vhodné. Podmínkou je zpracování geotechnického posudku v následném stupni. Jedná se o plochy 8z -2. -7. -19, -35, -52;</w:t>
      </w:r>
    </w:p>
    <w:p w14:paraId="7A9ACC13"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přestavbové lokality 8z-16, -17 jsou podmínečné vhodné, vzhledem k tomu, že část plochy leží v záplavě Q</w:t>
      </w:r>
      <w:r w:rsidRPr="00EC5881">
        <w:rPr>
          <w:rFonts w:ascii="Arial" w:hAnsi="Arial" w:cs="Arial"/>
          <w:color w:val="FF0000"/>
          <w:sz w:val="18"/>
          <w:vertAlign w:val="subscript"/>
        </w:rPr>
        <w:t>100</w:t>
      </w:r>
      <w:r w:rsidRPr="00EC5881">
        <w:rPr>
          <w:rFonts w:ascii="Arial" w:hAnsi="Arial" w:cs="Arial"/>
          <w:color w:val="FF0000"/>
          <w:sz w:val="18"/>
        </w:rPr>
        <w:t>. Nové stavby přestavbového území budou umístěny mimo hranici Q</w:t>
      </w:r>
      <w:r w:rsidRPr="00EC5881">
        <w:rPr>
          <w:rFonts w:ascii="Arial" w:hAnsi="Arial" w:cs="Arial"/>
          <w:color w:val="FF0000"/>
          <w:sz w:val="18"/>
          <w:vertAlign w:val="subscript"/>
        </w:rPr>
        <w:t>100</w:t>
      </w:r>
      <w:r w:rsidRPr="00EC5881">
        <w:rPr>
          <w:rFonts w:ascii="Arial" w:hAnsi="Arial" w:cs="Arial"/>
          <w:color w:val="FF0000"/>
          <w:sz w:val="18"/>
        </w:rPr>
        <w:t>. Případné nové aktivity nesmí omezit průtok záplavové vody, kde veškerý využitelný prostor a eventuální nové stavby budou umístěny nad záplavu Q</w:t>
      </w:r>
      <w:r w:rsidRPr="00EC5881">
        <w:rPr>
          <w:rFonts w:ascii="Arial" w:hAnsi="Arial" w:cs="Arial"/>
          <w:color w:val="FF0000"/>
          <w:sz w:val="18"/>
          <w:vertAlign w:val="subscript"/>
        </w:rPr>
        <w:t>100</w:t>
      </w:r>
      <w:r w:rsidRPr="00EC5881">
        <w:rPr>
          <w:rFonts w:ascii="Arial" w:hAnsi="Arial" w:cs="Arial"/>
          <w:color w:val="FF0000"/>
          <w:sz w:val="18"/>
        </w:rPr>
        <w:t>;</w:t>
      </w:r>
    </w:p>
    <w:p w14:paraId="1F93F974"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všechny nové plochy jsou podmíněny akumulací povrchových vod na vlastním pozemku;</w:t>
      </w:r>
    </w:p>
    <w:p w14:paraId="0AD5970F"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rekreační plochy zahrádkových osad – při výstavbě nových zahradních chat ve správním území města Děčín nesmí intenzita zastavění překročit 25 m</w:t>
      </w:r>
      <w:r w:rsidRPr="00EC5881">
        <w:rPr>
          <w:rFonts w:ascii="Arial" w:hAnsi="Arial" w:cs="Arial"/>
          <w:color w:val="FF0000"/>
          <w:sz w:val="18"/>
          <w:vertAlign w:val="superscript"/>
        </w:rPr>
        <w:t>2</w:t>
      </w:r>
      <w:r w:rsidRPr="00EC5881">
        <w:rPr>
          <w:rFonts w:ascii="Arial" w:hAnsi="Arial" w:cs="Arial"/>
          <w:color w:val="FF0000"/>
          <w:sz w:val="18"/>
        </w:rPr>
        <w:t>;</w:t>
      </w:r>
    </w:p>
    <w:p w14:paraId="3F10CB9A" w14:textId="77777777" w:rsidR="00EF1DD2" w:rsidRPr="00EC5881" w:rsidRDefault="00EF1DD2" w:rsidP="00EF1DD2">
      <w:pPr>
        <w:numPr>
          <w:ilvl w:val="0"/>
          <w:numId w:val="119"/>
        </w:numPr>
        <w:suppressAutoHyphens w:val="0"/>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8Z-6  podmínka 1 RD a botanický průzkum;</w:t>
      </w:r>
    </w:p>
    <w:p w14:paraId="025FB2C8" w14:textId="77777777" w:rsidR="00EF1DD2" w:rsidRPr="00EC5881" w:rsidRDefault="00EF1DD2" w:rsidP="00EF1DD2">
      <w:pPr>
        <w:numPr>
          <w:ilvl w:val="0"/>
          <w:numId w:val="119"/>
        </w:numPr>
        <w:suppressAutoHyphens w:val="0"/>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8Z-8  podmínka 1 RD a napojení dle studie 107/1087;</w:t>
      </w:r>
    </w:p>
    <w:p w14:paraId="2C5A6259" w14:textId="77777777" w:rsidR="00EF1DD2" w:rsidRPr="00EC5881" w:rsidRDefault="00EF1DD2" w:rsidP="00EF1DD2">
      <w:pPr>
        <w:numPr>
          <w:ilvl w:val="0"/>
          <w:numId w:val="119"/>
        </w:numPr>
        <w:suppressAutoHyphens w:val="0"/>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8Z-34 řešení komunikačního napojení, maximální počet RD 3;</w:t>
      </w:r>
    </w:p>
    <w:p w14:paraId="227BB2F3" w14:textId="77777777" w:rsidR="00EF1DD2" w:rsidRPr="00EC5881" w:rsidRDefault="00EF1DD2" w:rsidP="00EF1DD2">
      <w:pPr>
        <w:numPr>
          <w:ilvl w:val="0"/>
          <w:numId w:val="119"/>
        </w:numPr>
        <w:suppressAutoHyphens w:val="0"/>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8Z-36 podmínka 1 RD na parcele 979/8 a řešení dopravního napojení;</w:t>
      </w:r>
    </w:p>
    <w:p w14:paraId="7E8CCABF" w14:textId="77777777" w:rsidR="00EF1DD2" w:rsidRPr="00EC5881" w:rsidRDefault="00EF1DD2" w:rsidP="00EF1DD2">
      <w:pPr>
        <w:numPr>
          <w:ilvl w:val="0"/>
          <w:numId w:val="119"/>
        </w:numPr>
        <w:suppressAutoHyphens w:val="0"/>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8Z-40 podmínka zmenšení na 1 RD a řešení dopravního napojení;</w:t>
      </w:r>
    </w:p>
    <w:p w14:paraId="7A4B039C" w14:textId="77777777" w:rsidR="00EF1DD2" w:rsidRPr="00EC5881" w:rsidRDefault="00EF1DD2" w:rsidP="00EF1DD2">
      <w:pPr>
        <w:numPr>
          <w:ilvl w:val="0"/>
          <w:numId w:val="119"/>
        </w:numPr>
        <w:suppressAutoHyphens w:val="0"/>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8Z-43 1 RD za podmínky vydaného ÚR;</w:t>
      </w:r>
    </w:p>
    <w:p w14:paraId="2AD66C30" w14:textId="77777777" w:rsidR="00EF1DD2" w:rsidRPr="00EC5881" w:rsidRDefault="00EF1DD2" w:rsidP="00EF1DD2">
      <w:pPr>
        <w:numPr>
          <w:ilvl w:val="0"/>
          <w:numId w:val="119"/>
        </w:numPr>
        <w:suppressAutoHyphens w:val="0"/>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8Z-50b zmenšení plochy na 1 RD a řešení dopravního napojení;</w:t>
      </w:r>
    </w:p>
    <w:p w14:paraId="7F01324B" w14:textId="77777777" w:rsidR="00EF1DD2" w:rsidRPr="00EC5881" w:rsidRDefault="00EF1DD2" w:rsidP="00EF1DD2">
      <w:pPr>
        <w:numPr>
          <w:ilvl w:val="0"/>
          <w:numId w:val="119"/>
        </w:numPr>
        <w:suppressAutoHyphens w:val="0"/>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8Z-52 podmínkou studie rozšíření komunikace V Lukách;</w:t>
      </w:r>
    </w:p>
    <w:p w14:paraId="6BF364AC" w14:textId="77777777" w:rsidR="00EF1DD2" w:rsidRPr="00EC5881" w:rsidRDefault="00EF1DD2" w:rsidP="00EF1DD2">
      <w:pPr>
        <w:pStyle w:val="Odstavecseseznamem"/>
        <w:numPr>
          <w:ilvl w:val="0"/>
          <w:numId w:val="119"/>
        </w:numPr>
        <w:spacing w:before="120" w:after="0" w:line="288" w:lineRule="auto"/>
        <w:jc w:val="both"/>
        <w:rPr>
          <w:rFonts w:ascii="Arial" w:hAnsi="Arial" w:cs="Arial"/>
          <w:color w:val="FF0000"/>
          <w:sz w:val="18"/>
        </w:rPr>
      </w:pPr>
      <w:r w:rsidRPr="00EC5881">
        <w:rPr>
          <w:rFonts w:ascii="Arial" w:hAnsi="Arial" w:cs="Arial"/>
          <w:color w:val="FF0000"/>
          <w:sz w:val="18"/>
        </w:rPr>
        <w:t>ZPF podmínečně vhodné jsou plochy ležící v II. bonitní třídě 8Z – 1, -3, -8, 8Z -12, -13, -15, 23, -45;</w:t>
      </w:r>
    </w:p>
    <w:p w14:paraId="736A1D62" w14:textId="77777777" w:rsidR="00EF1DD2" w:rsidRPr="00EC5881" w:rsidRDefault="00EF1DD2" w:rsidP="00EF1DD2">
      <w:pPr>
        <w:pStyle w:val="Odstavecseseznamem"/>
        <w:numPr>
          <w:ilvl w:val="0"/>
          <w:numId w:val="119"/>
        </w:numPr>
        <w:spacing w:before="120" w:after="0" w:line="288" w:lineRule="auto"/>
        <w:jc w:val="both"/>
        <w:rPr>
          <w:rFonts w:ascii="Arial" w:hAnsi="Arial" w:cs="Arial"/>
          <w:b/>
          <w:color w:val="FF0000"/>
          <w:sz w:val="18"/>
        </w:rPr>
      </w:pPr>
      <w:r w:rsidRPr="00EC5881">
        <w:rPr>
          <w:rFonts w:ascii="Arial" w:hAnsi="Arial" w:cs="Arial"/>
          <w:color w:val="FF0000"/>
          <w:sz w:val="18"/>
        </w:rPr>
        <w:t>Zásobování vodou, odkanalizování - podmínečně vhodné jsou plochy 8Z – 1, -2, -8, -12, -13, -15, -16, -17, -18, -20, -23, -25, -26, -30, -31, -32, -33b, -33b, -34, -36, -37, -48, -49, -50b, -55.</w:t>
      </w:r>
    </w:p>
    <w:p w14:paraId="48F61F07" w14:textId="77777777" w:rsidR="00EF1DD2" w:rsidRPr="00EC5881" w:rsidRDefault="00EF1DD2" w:rsidP="00EF1DD2">
      <w:pPr>
        <w:pStyle w:val="Nadpis3"/>
        <w:spacing w:before="120" w:line="288" w:lineRule="auto"/>
        <w:rPr>
          <w:color w:val="FF0000"/>
          <w:sz w:val="18"/>
        </w:rPr>
      </w:pPr>
      <w:bookmarkStart w:id="49" w:name="_Toc354838626"/>
      <w:r w:rsidRPr="00EC5881">
        <w:rPr>
          <w:color w:val="FF0000"/>
          <w:sz w:val="18"/>
        </w:rPr>
        <w:lastRenderedPageBreak/>
        <w:t>PLOCHY BYDLENÍ (§ 4 vyhl. č. 501/2006 Sb.)</w:t>
      </w:r>
      <w:bookmarkEnd w:id="49"/>
    </w:p>
    <w:p w14:paraId="25113513" w14:textId="77777777" w:rsidR="00EF1DD2" w:rsidRPr="00EC5881" w:rsidRDefault="00EF1DD2" w:rsidP="00EF1DD2">
      <w:pPr>
        <w:pStyle w:val="Nadpis4"/>
        <w:spacing w:before="120" w:line="288" w:lineRule="auto"/>
        <w:jc w:val="both"/>
        <w:rPr>
          <w:b w:val="0"/>
          <w:i/>
          <w:color w:val="FF0000"/>
          <w:sz w:val="18"/>
        </w:rPr>
      </w:pPr>
      <w:r w:rsidRPr="00EC5881">
        <w:rPr>
          <w:b w:val="0"/>
          <w:i/>
          <w:color w:val="FF0000"/>
          <w:sz w:val="18"/>
        </w:rPr>
        <w:t xml:space="preserve">BM - PLOCHY RD MĚSTSKÉHO TYPU  </w:t>
      </w:r>
    </w:p>
    <w:p w14:paraId="202DD21A" w14:textId="77777777" w:rsidR="00EF1DD2" w:rsidRPr="00EC5881" w:rsidRDefault="00EF1DD2" w:rsidP="00EF1DD2">
      <w:pPr>
        <w:spacing w:before="120" w:line="288" w:lineRule="auto"/>
        <w:jc w:val="both"/>
        <w:rPr>
          <w:rFonts w:ascii="Arial" w:hAnsi="Arial" w:cs="Arial"/>
          <w:b/>
          <w:bCs/>
          <w:color w:val="FF0000"/>
          <w:sz w:val="18"/>
          <w:szCs w:val="22"/>
        </w:rPr>
      </w:pPr>
      <w:r w:rsidRPr="00EC5881">
        <w:rPr>
          <w:rFonts w:ascii="Arial" w:hAnsi="Arial" w:cs="Arial"/>
          <w:bCs/>
          <w:color w:val="FF0000"/>
          <w:sz w:val="18"/>
          <w:szCs w:val="22"/>
        </w:rPr>
        <w:t xml:space="preserve">Lokality 8Z – 1,-2, -6, -7, -8, -11, -12, -13, 18, -19, -20,-25, -26, -31, 33a, b, c, -35, -40, -43, -45, </w:t>
      </w:r>
      <w:r w:rsidRPr="00EC5881">
        <w:rPr>
          <w:rFonts w:ascii="Arial" w:hAnsi="Arial" w:cs="Arial"/>
          <w:bCs/>
          <w:color w:val="FF0000"/>
          <w:sz w:val="18"/>
          <w:szCs w:val="22"/>
        </w:rPr>
        <w:br/>
        <w:t>-46, -47, -48, -49, -50b, -52, -55</w:t>
      </w:r>
    </w:p>
    <w:p w14:paraId="18E1EBC4"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Hlavní využití: </w:t>
      </w:r>
      <w:r w:rsidRPr="00EC5881">
        <w:rPr>
          <w:rFonts w:ascii="Arial" w:hAnsi="Arial" w:cs="Arial"/>
          <w:color w:val="FF0000"/>
          <w:sz w:val="18"/>
          <w:szCs w:val="22"/>
        </w:rPr>
        <w:t>trvalé bydlení v rodinných domech</w:t>
      </w:r>
    </w:p>
    <w:p w14:paraId="2E1E7A26"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Přípustné využití: </w:t>
      </w:r>
      <w:r w:rsidRPr="00EC5881">
        <w:rPr>
          <w:rFonts w:ascii="Arial" w:hAnsi="Arial" w:cs="Arial"/>
          <w:bCs/>
          <w:color w:val="FF0000"/>
          <w:sz w:val="18"/>
          <w:szCs w:val="22"/>
        </w:rPr>
        <w:t>rodinné domy izolované, dvojdomy a řadové rodinné domy</w:t>
      </w:r>
      <w:r w:rsidRPr="00EC5881">
        <w:rPr>
          <w:rFonts w:ascii="Arial" w:hAnsi="Arial" w:cs="Arial"/>
          <w:color w:val="FF0000"/>
          <w:sz w:val="18"/>
          <w:szCs w:val="22"/>
        </w:rPr>
        <w:t xml:space="preserve"> s obytnými zahradami, garáží a bez možnosti chovu hospodářského zvířectva a výr. podnikatelských aktivit, </w:t>
      </w:r>
      <w:r w:rsidRPr="00EC5881">
        <w:rPr>
          <w:rFonts w:ascii="Arial" w:hAnsi="Arial" w:cs="Arial"/>
          <w:bCs/>
          <w:color w:val="FF0000"/>
          <w:sz w:val="18"/>
          <w:szCs w:val="22"/>
        </w:rPr>
        <w:t xml:space="preserve">garážování a odstavování vozidel na vlastním pozemku, </w:t>
      </w:r>
      <w:r w:rsidRPr="00EC5881">
        <w:rPr>
          <w:rFonts w:ascii="Arial" w:hAnsi="Arial" w:cs="Arial"/>
          <w:color w:val="FF0000"/>
          <w:sz w:val="18"/>
          <w:szCs w:val="22"/>
        </w:rPr>
        <w:t>lokální zařízení škol, maloobchodu, stravování a tělovýchovy, nerušící služby a "malé podnikání", nezbytné přístupové komunikace s MHD, plochy dopravy v klidu a garáže, zeleň plošná, strukturní i liniová, zahrádkářské osady, nezbytné technické vybavení</w:t>
      </w:r>
    </w:p>
    <w:p w14:paraId="6240C344"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color w:val="FF0000"/>
          <w:sz w:val="18"/>
          <w:szCs w:val="22"/>
        </w:rPr>
        <w:t>Podmínečně přípustné využití:</w:t>
      </w:r>
      <w:r w:rsidRPr="00EC5881">
        <w:rPr>
          <w:rFonts w:ascii="Arial" w:hAnsi="Arial" w:cs="Arial"/>
          <w:color w:val="FF0000"/>
          <w:sz w:val="18"/>
          <w:szCs w:val="22"/>
        </w:rPr>
        <w:t xml:space="preserve"> je garážování mimo pozemky RD, tehdy pokud to technické nebo terénní podmínky neumožňují na vlastním pozemku</w:t>
      </w:r>
    </w:p>
    <w:p w14:paraId="69900222"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Nepřípustné využití:</w:t>
      </w:r>
      <w:r w:rsidRPr="00EC5881">
        <w:rPr>
          <w:rFonts w:ascii="Arial" w:hAnsi="Arial" w:cs="Arial"/>
          <w:color w:val="FF0000"/>
          <w:sz w:val="18"/>
          <w:szCs w:val="22"/>
        </w:rPr>
        <w:t xml:space="preserve"> trvalé bydlení ve vícepodlažních bytových domech nad 3 nadzemní podlaží</w:t>
      </w:r>
      <w:r w:rsidRPr="00EC5881">
        <w:rPr>
          <w:rFonts w:ascii="Arial" w:hAnsi="Arial" w:cs="Arial"/>
          <w:strike/>
          <w:color w:val="FF0000"/>
          <w:sz w:val="18"/>
          <w:szCs w:val="22"/>
        </w:rPr>
        <w:t>,</w:t>
      </w:r>
      <w:r w:rsidRPr="00EC5881">
        <w:rPr>
          <w:rFonts w:ascii="Arial" w:hAnsi="Arial" w:cs="Arial"/>
          <w:color w:val="FF0000"/>
          <w:sz w:val="18"/>
          <w:szCs w:val="22"/>
        </w:rPr>
        <w:t xml:space="preserve"> výrobní podnikatelské aktivity, sklady a zařízení dopravy, rušící výrobní a opravárenské služby a aktivity, objekty pro chov hospodářského zvířectva</w:t>
      </w:r>
    </w:p>
    <w:p w14:paraId="54AECAE9" w14:textId="77777777" w:rsidR="00EF1DD2" w:rsidRPr="00EC5881" w:rsidRDefault="00EF1DD2" w:rsidP="00EF1DD2">
      <w:pPr>
        <w:pStyle w:val="Zkladntext"/>
        <w:spacing w:before="120" w:line="288" w:lineRule="auto"/>
        <w:jc w:val="both"/>
        <w:rPr>
          <w:rFonts w:cs="Arial"/>
          <w:color w:val="FF0000"/>
          <w:sz w:val="18"/>
          <w:szCs w:val="22"/>
        </w:rPr>
      </w:pPr>
      <w:r w:rsidRPr="00EC5881">
        <w:rPr>
          <w:rFonts w:cs="Arial"/>
          <w:b/>
          <w:bCs/>
          <w:color w:val="FF0000"/>
          <w:sz w:val="18"/>
          <w:szCs w:val="22"/>
        </w:rPr>
        <w:t>Prostorové uspořádání:</w:t>
      </w:r>
      <w:r w:rsidRPr="00EC5881">
        <w:rPr>
          <w:rFonts w:cs="Arial"/>
          <w:color w:val="FF0000"/>
          <w:sz w:val="18"/>
          <w:szCs w:val="22"/>
        </w:rPr>
        <w:t xml:space="preserve"> počet podlaží: do 2 + podkroví, </w:t>
      </w:r>
      <w:r w:rsidRPr="00EC5881">
        <w:rPr>
          <w:rFonts w:cs="Arial"/>
          <w:color w:val="FF0000"/>
          <w:sz w:val="18"/>
          <w:szCs w:val="22"/>
        </w:rPr>
        <w:tab/>
        <w:t>intenzita zastavění pozemku v %: 25</w:t>
      </w:r>
    </w:p>
    <w:p w14:paraId="50AB3073" w14:textId="77777777" w:rsidR="00EF1DD2" w:rsidRPr="00EC5881" w:rsidRDefault="00EF1DD2" w:rsidP="00EF1DD2">
      <w:pPr>
        <w:pStyle w:val="Nadpis4"/>
        <w:spacing w:before="120" w:line="288" w:lineRule="auto"/>
        <w:jc w:val="both"/>
        <w:rPr>
          <w:b w:val="0"/>
          <w:i/>
          <w:color w:val="FF0000"/>
          <w:sz w:val="18"/>
        </w:rPr>
      </w:pPr>
    </w:p>
    <w:p w14:paraId="526E8384" w14:textId="77777777" w:rsidR="00EF1DD2" w:rsidRPr="00EC5881" w:rsidRDefault="00EF1DD2" w:rsidP="00EF1DD2">
      <w:pPr>
        <w:pStyle w:val="Nadpis4"/>
        <w:spacing w:before="120" w:line="288" w:lineRule="auto"/>
        <w:jc w:val="both"/>
        <w:rPr>
          <w:b w:val="0"/>
          <w:i/>
          <w:color w:val="FF0000"/>
          <w:sz w:val="18"/>
        </w:rPr>
      </w:pPr>
      <w:r w:rsidRPr="00EC5881">
        <w:rPr>
          <w:b w:val="0"/>
          <w:i/>
          <w:color w:val="FF0000"/>
          <w:sz w:val="18"/>
        </w:rPr>
        <w:t>BV - PLOCHY RD VENKOVSKÉHO TYPU</w:t>
      </w:r>
    </w:p>
    <w:p w14:paraId="74B853B0" w14:textId="77777777" w:rsidR="00EF1DD2" w:rsidRPr="00EC5881" w:rsidRDefault="00EF1DD2" w:rsidP="00EF1DD2">
      <w:pPr>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Lokality 8Z – 15, -34</w:t>
      </w:r>
    </w:p>
    <w:p w14:paraId="5E6F86FD"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Hlavní využití:</w:t>
      </w:r>
      <w:r w:rsidRPr="00EC5881">
        <w:rPr>
          <w:rFonts w:ascii="Arial" w:hAnsi="Arial" w:cs="Arial"/>
          <w:color w:val="FF0000"/>
          <w:sz w:val="18"/>
          <w:szCs w:val="22"/>
        </w:rPr>
        <w:t xml:space="preserve"> individuální trvalé bydlení v příměstské zóně ve spojení s užitkovými zahradami a samozásobitelským hospodářstvím</w:t>
      </w:r>
    </w:p>
    <w:p w14:paraId="779A8215"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Přípustné využití: </w:t>
      </w:r>
      <w:r w:rsidRPr="00EC5881">
        <w:rPr>
          <w:rFonts w:ascii="Arial" w:hAnsi="Arial" w:cs="Arial"/>
          <w:color w:val="FF0000"/>
          <w:sz w:val="18"/>
          <w:szCs w:val="22"/>
        </w:rPr>
        <w:t>individuální rekreace, lokální občanské vybavení (maloobchod, veřejné ubytování a stravování, sportovní zařízení) nerušící podnikatelské aktivity, odpovídající komunikace (přístupové a účelové) turistické trasy, odstavná parkoviště, MHD, všechny formy zeleně, nezbytná technická infrastruktura a garáže</w:t>
      </w:r>
    </w:p>
    <w:p w14:paraId="7D7D483A"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Podmínečně přípustné využití:</w:t>
      </w:r>
      <w:r w:rsidRPr="00EC5881">
        <w:rPr>
          <w:rFonts w:ascii="Arial" w:hAnsi="Arial" w:cs="Arial"/>
          <w:color w:val="FF0000"/>
          <w:sz w:val="18"/>
          <w:szCs w:val="22"/>
        </w:rPr>
        <w:t xml:space="preserve"> areály zemědělské výroby a rodinné farmy za podmínky, že nesníží kvalitu prostředí souvisejících území a svým charakterem a kapacitou nezvýší dopravní zátěž v území, nerušící výrobní aktivity a služby</w:t>
      </w:r>
    </w:p>
    <w:p w14:paraId="4A48C8CA"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Nepřípustné využití: </w:t>
      </w:r>
      <w:r w:rsidRPr="00EC5881">
        <w:rPr>
          <w:rFonts w:ascii="Arial" w:hAnsi="Arial" w:cs="Arial"/>
          <w:color w:val="FF0000"/>
          <w:sz w:val="18"/>
          <w:szCs w:val="22"/>
        </w:rPr>
        <w:t>ostatní rušící výrobní aktivity a služby</w:t>
      </w:r>
    </w:p>
    <w:p w14:paraId="654BC0A0" w14:textId="77777777" w:rsidR="00EF1DD2" w:rsidRPr="00EC5881" w:rsidRDefault="00EF1DD2" w:rsidP="00EF1DD2">
      <w:pPr>
        <w:pStyle w:val="Zkladntext"/>
        <w:spacing w:before="120" w:line="288" w:lineRule="auto"/>
        <w:jc w:val="both"/>
        <w:rPr>
          <w:rFonts w:cs="Arial"/>
          <w:color w:val="FF0000"/>
          <w:sz w:val="18"/>
          <w:szCs w:val="22"/>
        </w:rPr>
      </w:pPr>
      <w:r w:rsidRPr="00EC5881">
        <w:rPr>
          <w:rFonts w:cs="Arial"/>
          <w:b/>
          <w:bCs/>
          <w:color w:val="FF0000"/>
          <w:sz w:val="18"/>
          <w:szCs w:val="22"/>
        </w:rPr>
        <w:t xml:space="preserve">Prostorové uspořádání: </w:t>
      </w:r>
      <w:r w:rsidRPr="00EC5881">
        <w:rPr>
          <w:rFonts w:cs="Arial"/>
          <w:color w:val="FF0000"/>
          <w:sz w:val="18"/>
          <w:szCs w:val="22"/>
        </w:rPr>
        <w:tab/>
        <w:t>počet podlaží: 1 - 2 + podkroví, intenzita zastavění pozemku v %: 15</w:t>
      </w:r>
    </w:p>
    <w:p w14:paraId="2629B2C3" w14:textId="77777777" w:rsidR="00EF1DD2" w:rsidRPr="00EC5881" w:rsidRDefault="00EF1DD2" w:rsidP="00EF1DD2">
      <w:pPr>
        <w:pStyle w:val="Nadpis3"/>
        <w:spacing w:before="120" w:line="288" w:lineRule="auto"/>
        <w:rPr>
          <w:color w:val="FF0000"/>
          <w:sz w:val="18"/>
        </w:rPr>
      </w:pPr>
      <w:bookmarkStart w:id="50" w:name="_Toc354838627"/>
    </w:p>
    <w:p w14:paraId="28BBA740" w14:textId="77777777" w:rsidR="00EF1DD2" w:rsidRPr="00EC5881" w:rsidRDefault="00EF1DD2" w:rsidP="00EF1DD2">
      <w:pPr>
        <w:pStyle w:val="Nadpis3"/>
        <w:spacing w:before="120" w:line="288" w:lineRule="auto"/>
        <w:rPr>
          <w:color w:val="FF0000"/>
          <w:sz w:val="18"/>
        </w:rPr>
      </w:pPr>
      <w:r w:rsidRPr="00EC5881">
        <w:rPr>
          <w:color w:val="FF0000"/>
          <w:sz w:val="18"/>
        </w:rPr>
        <w:t>SM - PLOCHY SMÍŠENÉ OBYTNÉ (§ 8 vyhl. č. 501/2006 Sb.)</w:t>
      </w:r>
      <w:bookmarkEnd w:id="50"/>
    </w:p>
    <w:p w14:paraId="420C15DF" w14:textId="77777777" w:rsidR="00EF1DD2" w:rsidRPr="00EC5881" w:rsidRDefault="00EF1DD2" w:rsidP="00EF1DD2">
      <w:pPr>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Lokalita 8Z – 37</w:t>
      </w:r>
    </w:p>
    <w:p w14:paraId="64AFDAC2"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Hlavní využití:</w:t>
      </w:r>
      <w:r w:rsidRPr="00EC5881">
        <w:rPr>
          <w:rFonts w:ascii="Arial" w:hAnsi="Arial" w:cs="Arial"/>
          <w:color w:val="FF0000"/>
          <w:sz w:val="18"/>
          <w:szCs w:val="22"/>
        </w:rPr>
        <w:t xml:space="preserve"> trvalé bydlení v městských i bytových domech</w:t>
      </w:r>
    </w:p>
    <w:p w14:paraId="49684102"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Přípustné využití: </w:t>
      </w:r>
      <w:r w:rsidRPr="00EC5881">
        <w:rPr>
          <w:rFonts w:ascii="Arial" w:hAnsi="Arial" w:cs="Arial"/>
          <w:color w:val="FF0000"/>
          <w:sz w:val="18"/>
          <w:szCs w:val="22"/>
        </w:rPr>
        <w:t>individuální trvalé bydlení, zařízení obchodu, školství, veřejného stravování, tělovýchovné areály, nerušící provozy drobné výroby a služeb, vybavenost celoměstského a lokálního charakteru (zdravotní a sociální, kulturní, církevní, ubytování) odpovídající komunikační síť (hlavní ulice s charakterem městské třídy), MHD, parkovací plochy a garáže, zeleň liniová i plošná, nezbytná technická infrastruktura</w:t>
      </w:r>
    </w:p>
    <w:p w14:paraId="3F92BF38" w14:textId="77777777" w:rsidR="00EF1DD2" w:rsidRPr="00EC5881" w:rsidRDefault="00EF1DD2" w:rsidP="00EF1DD2">
      <w:pPr>
        <w:spacing w:before="120" w:line="288" w:lineRule="auto"/>
        <w:jc w:val="both"/>
        <w:rPr>
          <w:rFonts w:ascii="Arial" w:hAnsi="Arial" w:cs="Arial"/>
          <w:b/>
          <w:bCs/>
          <w:color w:val="FF0000"/>
          <w:sz w:val="18"/>
          <w:szCs w:val="22"/>
        </w:rPr>
      </w:pPr>
      <w:r w:rsidRPr="00EC5881">
        <w:rPr>
          <w:rFonts w:ascii="Arial" w:hAnsi="Arial" w:cs="Arial"/>
          <w:b/>
          <w:bCs/>
          <w:color w:val="FF0000"/>
          <w:sz w:val="18"/>
          <w:szCs w:val="22"/>
        </w:rPr>
        <w:t xml:space="preserve">polyfunkční městské domy </w:t>
      </w:r>
      <w:r w:rsidRPr="00EC5881">
        <w:rPr>
          <w:rFonts w:ascii="Arial" w:hAnsi="Arial" w:cs="Arial"/>
          <w:color w:val="FF0000"/>
          <w:sz w:val="18"/>
          <w:szCs w:val="22"/>
        </w:rPr>
        <w:t>s odpovídajícím uspořádáním parteru a 50 % trvalým bydlením</w:t>
      </w:r>
    </w:p>
    <w:p w14:paraId="7BBEAAD8"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monofunkční bytové domy a vila domy</w:t>
      </w:r>
      <w:r w:rsidRPr="00EC5881">
        <w:rPr>
          <w:rFonts w:ascii="Arial" w:hAnsi="Arial" w:cs="Arial"/>
          <w:color w:val="FF0000"/>
          <w:sz w:val="18"/>
          <w:szCs w:val="22"/>
        </w:rPr>
        <w:t xml:space="preserve"> se 100 % trvalým bydlením a regulativy, vyplývající z podmínek příslušného prostoru či lokality</w:t>
      </w:r>
    </w:p>
    <w:p w14:paraId="5CAD2910"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Nepřípustné využití: </w:t>
      </w:r>
      <w:r w:rsidRPr="00EC5881">
        <w:rPr>
          <w:rFonts w:ascii="Arial" w:hAnsi="Arial" w:cs="Arial"/>
          <w:color w:val="FF0000"/>
          <w:sz w:val="18"/>
          <w:szCs w:val="22"/>
        </w:rPr>
        <w:t>areály výroby, skladů, dopravních zařízení a rušících výrobních služeb</w:t>
      </w:r>
    </w:p>
    <w:p w14:paraId="7A0D29BE"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lastRenderedPageBreak/>
        <w:t>Podmíněně přípustné využití:</w:t>
      </w:r>
      <w:r w:rsidRPr="00EC5881">
        <w:rPr>
          <w:rFonts w:ascii="Arial" w:hAnsi="Arial" w:cs="Arial"/>
          <w:color w:val="FF0000"/>
          <w:sz w:val="18"/>
          <w:szCs w:val="22"/>
        </w:rPr>
        <w:t xml:space="preserve"> stanice PHM, nerušící provozy drobné výroby a služeb a za podmínky, že nesníží kvalitu prostředí souvisejících obytných území a svým charakterem a kapacitou nezvýší dopravní zátěž v území</w:t>
      </w:r>
    </w:p>
    <w:p w14:paraId="6607638B"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Prostorové uspořádání: </w:t>
      </w:r>
      <w:r w:rsidRPr="00EC5881">
        <w:rPr>
          <w:rFonts w:ascii="Arial" w:hAnsi="Arial" w:cs="Arial"/>
          <w:color w:val="FF0000"/>
          <w:sz w:val="18"/>
          <w:szCs w:val="22"/>
        </w:rPr>
        <w:t>počet podlaží: 3 – 4, intenzita zastavění pozemku v %: 50</w:t>
      </w:r>
    </w:p>
    <w:p w14:paraId="4482BFB6" w14:textId="77777777" w:rsidR="00EF1DD2" w:rsidRPr="00EC5881" w:rsidRDefault="00EF1DD2" w:rsidP="00EF1DD2">
      <w:pPr>
        <w:pStyle w:val="Nadpis3"/>
        <w:spacing w:before="120" w:line="288" w:lineRule="auto"/>
        <w:rPr>
          <w:color w:val="FF0000"/>
          <w:sz w:val="18"/>
        </w:rPr>
      </w:pPr>
      <w:bookmarkStart w:id="51" w:name="_Toc354838628"/>
    </w:p>
    <w:p w14:paraId="67017864" w14:textId="77777777" w:rsidR="00EF1DD2" w:rsidRPr="00EC5881" w:rsidRDefault="00EF1DD2" w:rsidP="00EF1DD2">
      <w:pPr>
        <w:pStyle w:val="Nadpis3"/>
        <w:spacing w:before="120" w:line="288" w:lineRule="auto"/>
        <w:rPr>
          <w:color w:val="FF0000"/>
          <w:sz w:val="18"/>
        </w:rPr>
      </w:pPr>
      <w:r w:rsidRPr="00EC5881">
        <w:rPr>
          <w:color w:val="FF0000"/>
          <w:sz w:val="18"/>
        </w:rPr>
        <w:t>OV - PLOCHY OBČANSKÉHO VYBAVENÍ (§ 6 vyhl. č. 501/2006 Sb.)</w:t>
      </w:r>
      <w:bookmarkEnd w:id="51"/>
    </w:p>
    <w:p w14:paraId="3E7474E9" w14:textId="77777777" w:rsidR="00EF1DD2" w:rsidRPr="00EC5881" w:rsidRDefault="00EF1DD2" w:rsidP="00EF1DD2">
      <w:pPr>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Lokality 8Z – 16, -17</w:t>
      </w:r>
    </w:p>
    <w:p w14:paraId="14B5EDA8" w14:textId="77777777" w:rsidR="00EF1DD2" w:rsidRPr="00EC5881" w:rsidRDefault="00EF1DD2" w:rsidP="00EF1DD2">
      <w:pPr>
        <w:spacing w:before="120" w:line="288" w:lineRule="auto"/>
        <w:jc w:val="both"/>
        <w:rPr>
          <w:rFonts w:ascii="Arial" w:hAnsi="Arial" w:cs="Arial"/>
          <w:b/>
          <w:bCs/>
          <w:color w:val="FF0000"/>
          <w:sz w:val="18"/>
          <w:szCs w:val="22"/>
        </w:rPr>
      </w:pPr>
      <w:r w:rsidRPr="00EC5881">
        <w:rPr>
          <w:rFonts w:ascii="Arial" w:hAnsi="Arial" w:cs="Arial"/>
          <w:b/>
          <w:bCs/>
          <w:color w:val="FF0000"/>
          <w:sz w:val="18"/>
          <w:szCs w:val="22"/>
        </w:rPr>
        <w:t>Hlavní využití:</w:t>
      </w:r>
      <w:r w:rsidRPr="00EC5881">
        <w:rPr>
          <w:rFonts w:ascii="Arial" w:hAnsi="Arial" w:cs="Arial"/>
          <w:color w:val="FF0000"/>
          <w:sz w:val="18"/>
          <w:szCs w:val="22"/>
        </w:rPr>
        <w:t xml:space="preserve"> plochy a objekty občanské vybavenosti</w:t>
      </w:r>
    </w:p>
    <w:p w14:paraId="226B05CC"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Přípustné využití:</w:t>
      </w:r>
      <w:r w:rsidRPr="00EC5881">
        <w:rPr>
          <w:rFonts w:ascii="Arial" w:hAnsi="Arial" w:cs="Arial"/>
          <w:color w:val="FF0000"/>
          <w:sz w:val="18"/>
          <w:szCs w:val="22"/>
        </w:rPr>
        <w:t xml:space="preserve"> plochy a objekty školství, veřejné stravování a ubytování, zdravotnictví a sociální péče, velkoplošné obchodní jednotky (obchodní dům, nákupní centrum), správa a administrativa, přístup na komunikační síť s přímou vazbou na dopravní systém města a síť MHD, odstavné a parkovací plochy, garáže a nezbytná technická infrastruktura, veřejné WC, zeleň liniová i plošná, podnikatelská činnost zaměřená na služby související s funkcí objektu, kde veškerý využitelný prostor a eventuální nové stavby budou umístěny nad záplavu Q</w:t>
      </w:r>
      <w:r w:rsidRPr="00EC5881">
        <w:rPr>
          <w:rFonts w:ascii="Arial" w:hAnsi="Arial" w:cs="Arial"/>
          <w:color w:val="FF0000"/>
          <w:sz w:val="18"/>
          <w:szCs w:val="22"/>
          <w:vertAlign w:val="subscript"/>
        </w:rPr>
        <w:t>100</w:t>
      </w:r>
    </w:p>
    <w:p w14:paraId="7ECA2CAF" w14:textId="77777777" w:rsidR="00EF1DD2" w:rsidRPr="00EC5881" w:rsidRDefault="00EF1DD2" w:rsidP="00EF1DD2">
      <w:pPr>
        <w:spacing w:before="120" w:line="288" w:lineRule="auto"/>
        <w:jc w:val="both"/>
        <w:rPr>
          <w:rFonts w:ascii="Arial" w:hAnsi="Arial" w:cs="Arial"/>
          <w:strike/>
          <w:color w:val="FF0000"/>
          <w:sz w:val="18"/>
          <w:szCs w:val="22"/>
        </w:rPr>
      </w:pPr>
      <w:r w:rsidRPr="00EC5881">
        <w:rPr>
          <w:rFonts w:ascii="Arial" w:hAnsi="Arial" w:cs="Arial"/>
          <w:b/>
          <w:bCs/>
          <w:color w:val="FF0000"/>
          <w:sz w:val="18"/>
          <w:szCs w:val="22"/>
        </w:rPr>
        <w:t xml:space="preserve">Nepřípustné využití: </w:t>
      </w:r>
      <w:r w:rsidRPr="00EC5881">
        <w:rPr>
          <w:rFonts w:ascii="Arial" w:hAnsi="Arial" w:cs="Arial"/>
          <w:color w:val="FF0000"/>
          <w:sz w:val="18"/>
          <w:szCs w:val="22"/>
        </w:rPr>
        <w:t>průmyslová výrobní a skladovací činnost, výrobní služby</w:t>
      </w:r>
    </w:p>
    <w:p w14:paraId="2D214404"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Podmínečně přípustné využití: </w:t>
      </w:r>
      <w:r w:rsidRPr="00EC5881">
        <w:rPr>
          <w:rFonts w:ascii="Arial" w:hAnsi="Arial" w:cs="Arial"/>
          <w:color w:val="FF0000"/>
          <w:sz w:val="18"/>
          <w:szCs w:val="22"/>
        </w:rPr>
        <w:t>garáže, nezbytná technická infrastruktura, trvalé bydlení v polyfunkčních domech se zachováním dominantní funkce občanské vybavenosti</w:t>
      </w:r>
    </w:p>
    <w:p w14:paraId="703B0C77" w14:textId="77777777" w:rsidR="00EF1DD2" w:rsidRPr="00EC5881" w:rsidRDefault="00EF1DD2" w:rsidP="00EF1DD2">
      <w:pPr>
        <w:pStyle w:val="Zkladntext"/>
        <w:spacing w:before="120" w:line="288" w:lineRule="auto"/>
        <w:jc w:val="both"/>
        <w:rPr>
          <w:rFonts w:cs="Arial"/>
          <w:color w:val="FF0000"/>
          <w:sz w:val="18"/>
          <w:szCs w:val="22"/>
        </w:rPr>
      </w:pPr>
      <w:r w:rsidRPr="00EC5881">
        <w:rPr>
          <w:rFonts w:cs="Arial"/>
          <w:b/>
          <w:bCs/>
          <w:color w:val="FF0000"/>
          <w:sz w:val="18"/>
          <w:szCs w:val="22"/>
        </w:rPr>
        <w:t>Prostorové uspořádání:</w:t>
      </w:r>
      <w:r w:rsidRPr="00EC5881">
        <w:rPr>
          <w:rFonts w:cs="Arial"/>
          <w:color w:val="FF0000"/>
          <w:sz w:val="18"/>
          <w:szCs w:val="22"/>
        </w:rPr>
        <w:t xml:space="preserve"> počet podlaží: 2 – 4, intenzita zastavění pozemku v %: 50 -70</w:t>
      </w:r>
    </w:p>
    <w:p w14:paraId="245A2838" w14:textId="77777777" w:rsidR="00EF1DD2" w:rsidRPr="00EC5881" w:rsidRDefault="00EF1DD2" w:rsidP="00EF1DD2">
      <w:pPr>
        <w:pStyle w:val="Nadpis3"/>
        <w:spacing w:before="120" w:line="288" w:lineRule="auto"/>
        <w:rPr>
          <w:color w:val="FF0000"/>
          <w:sz w:val="18"/>
        </w:rPr>
      </w:pPr>
      <w:bookmarkStart w:id="52" w:name="_Toc354838629"/>
    </w:p>
    <w:p w14:paraId="31C5B0E8" w14:textId="77777777" w:rsidR="00EF1DD2" w:rsidRPr="00EC5881" w:rsidRDefault="00EF1DD2" w:rsidP="00EF1DD2">
      <w:pPr>
        <w:pStyle w:val="Nadpis3"/>
        <w:spacing w:before="120" w:line="288" w:lineRule="auto"/>
        <w:rPr>
          <w:color w:val="FF0000"/>
          <w:sz w:val="18"/>
        </w:rPr>
      </w:pPr>
      <w:r w:rsidRPr="00EC5881">
        <w:rPr>
          <w:color w:val="FF0000"/>
          <w:sz w:val="18"/>
        </w:rPr>
        <w:t>NV -  PLOCHY VÝROBY A SKLADOVÁNÍ (§ 11 vyhl. č. 501/2006 Sb.)</w:t>
      </w:r>
      <w:bookmarkEnd w:id="52"/>
    </w:p>
    <w:p w14:paraId="08206F7A" w14:textId="77777777" w:rsidR="00EF1DD2" w:rsidRPr="00EC5881" w:rsidRDefault="00EF1DD2" w:rsidP="00EF1DD2">
      <w:pPr>
        <w:spacing w:before="120" w:line="288" w:lineRule="auto"/>
        <w:jc w:val="both"/>
        <w:rPr>
          <w:rFonts w:ascii="Arial" w:hAnsi="Arial" w:cs="Arial"/>
          <w:bCs/>
          <w:color w:val="FF0000"/>
          <w:sz w:val="18"/>
          <w:szCs w:val="22"/>
        </w:rPr>
      </w:pPr>
      <w:r w:rsidRPr="00EC5881">
        <w:rPr>
          <w:rFonts w:ascii="Arial" w:hAnsi="Arial" w:cs="Arial"/>
          <w:bCs/>
          <w:color w:val="FF0000"/>
          <w:sz w:val="18"/>
          <w:szCs w:val="22"/>
        </w:rPr>
        <w:t>Lokality 8Z – 30, -32</w:t>
      </w:r>
    </w:p>
    <w:p w14:paraId="5F6161D4" w14:textId="77777777" w:rsidR="00EF1DD2" w:rsidRPr="00EC5881" w:rsidRDefault="00EF1DD2" w:rsidP="00EF1DD2">
      <w:pPr>
        <w:pStyle w:val="Nadpis4"/>
        <w:spacing w:before="120" w:line="288" w:lineRule="auto"/>
        <w:jc w:val="both"/>
        <w:rPr>
          <w:i/>
          <w:color w:val="FF0000"/>
          <w:sz w:val="18"/>
        </w:rPr>
      </w:pPr>
      <w:bookmarkStart w:id="53" w:name="_Toc350929637"/>
      <w:r w:rsidRPr="00EC5881">
        <w:rPr>
          <w:i/>
          <w:color w:val="FF0000"/>
          <w:sz w:val="18"/>
        </w:rPr>
        <w:t>Plochy výroby a skladování</w:t>
      </w:r>
      <w:bookmarkEnd w:id="53"/>
    </w:p>
    <w:p w14:paraId="35F2D8EF"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Hlavní využití: </w:t>
      </w:r>
      <w:r w:rsidRPr="00EC5881">
        <w:rPr>
          <w:rFonts w:ascii="Arial" w:hAnsi="Arial" w:cs="Arial"/>
          <w:color w:val="FF0000"/>
          <w:sz w:val="18"/>
          <w:szCs w:val="22"/>
        </w:rPr>
        <w:t>nerušící provozy výroby a výrobních služeb, hygienicky, dopravně a provozně nenarušující existenci přilehlých polyfunkčních zón</w:t>
      </w:r>
    </w:p>
    <w:p w14:paraId="40791746" w14:textId="77777777" w:rsidR="00EF1DD2" w:rsidRPr="00EC5881" w:rsidRDefault="00EF1DD2" w:rsidP="00EF1DD2">
      <w:pPr>
        <w:spacing w:before="120" w:line="288" w:lineRule="auto"/>
        <w:jc w:val="both"/>
        <w:rPr>
          <w:rFonts w:ascii="Arial" w:hAnsi="Arial" w:cs="Arial"/>
          <w:b/>
          <w:color w:val="FF0000"/>
          <w:sz w:val="18"/>
          <w:szCs w:val="22"/>
        </w:rPr>
      </w:pPr>
      <w:r w:rsidRPr="00EC5881">
        <w:rPr>
          <w:rFonts w:ascii="Arial" w:hAnsi="Arial" w:cs="Arial"/>
          <w:b/>
          <w:bCs/>
          <w:color w:val="FF0000"/>
          <w:sz w:val="18"/>
          <w:szCs w:val="22"/>
        </w:rPr>
        <w:t xml:space="preserve">Přípustné využití: </w:t>
      </w:r>
      <w:r w:rsidRPr="00EC5881">
        <w:rPr>
          <w:rFonts w:ascii="Arial" w:hAnsi="Arial" w:cs="Arial"/>
          <w:color w:val="FF0000"/>
          <w:sz w:val="18"/>
          <w:szCs w:val="22"/>
        </w:rPr>
        <w:t>sklady, trvalé bydlení v polyfunkčních domech se zachováním dominantní funkce nerušící výroby, komerce, obchod, parkovací plochy, garáže, odpovídající komunikační síť a technická infrastruktura, zeleň liniová a ochranná. Bydlení v polyfunkčních domech s podmínkou zachování dominantní funkce výroby</w:t>
      </w:r>
    </w:p>
    <w:p w14:paraId="007EB917"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Nepřípustné využití:</w:t>
      </w:r>
      <w:r w:rsidRPr="00EC5881">
        <w:rPr>
          <w:rFonts w:ascii="Arial" w:hAnsi="Arial" w:cs="Arial"/>
          <w:color w:val="FF0000"/>
          <w:sz w:val="18"/>
          <w:szCs w:val="22"/>
        </w:rPr>
        <w:t xml:space="preserve"> sportovní, předškolská, školská, zdravotnická a sociální zařízení</w:t>
      </w:r>
    </w:p>
    <w:p w14:paraId="188F66F9" w14:textId="77777777" w:rsidR="00EF1DD2" w:rsidRPr="00EC5881" w:rsidRDefault="00EF1DD2" w:rsidP="00EF1DD2">
      <w:pPr>
        <w:pStyle w:val="Zkladntext"/>
        <w:spacing w:before="120" w:line="288" w:lineRule="auto"/>
        <w:jc w:val="both"/>
        <w:rPr>
          <w:rFonts w:cs="Arial"/>
          <w:color w:val="FF0000"/>
          <w:sz w:val="18"/>
          <w:szCs w:val="22"/>
        </w:rPr>
      </w:pPr>
      <w:r w:rsidRPr="00EC5881">
        <w:rPr>
          <w:rFonts w:cs="Arial"/>
          <w:b/>
          <w:bCs/>
          <w:color w:val="FF0000"/>
          <w:sz w:val="18"/>
          <w:szCs w:val="22"/>
        </w:rPr>
        <w:t>Prostorové uspořádání:</w:t>
      </w:r>
      <w:r w:rsidRPr="00EC5881">
        <w:rPr>
          <w:rFonts w:cs="Arial"/>
          <w:color w:val="FF0000"/>
          <w:sz w:val="18"/>
          <w:szCs w:val="22"/>
        </w:rPr>
        <w:t xml:space="preserve"> počet podlaží: 1 – 2, intenzita zastavění pozemku: až 80%</w:t>
      </w:r>
    </w:p>
    <w:p w14:paraId="506E1A1A" w14:textId="77777777" w:rsidR="00EF1DD2" w:rsidRPr="00EC5881" w:rsidRDefault="00EF1DD2" w:rsidP="00EF1DD2">
      <w:pPr>
        <w:pStyle w:val="Nadpis3"/>
        <w:spacing w:before="120" w:line="288" w:lineRule="auto"/>
        <w:rPr>
          <w:color w:val="FF0000"/>
          <w:sz w:val="18"/>
        </w:rPr>
      </w:pPr>
      <w:bookmarkStart w:id="54" w:name="_Toc354838630"/>
    </w:p>
    <w:p w14:paraId="2AEC2CE7" w14:textId="77777777" w:rsidR="00EF1DD2" w:rsidRPr="00EC5881" w:rsidRDefault="00EF1DD2" w:rsidP="00EF1DD2">
      <w:pPr>
        <w:pStyle w:val="Nadpis3"/>
        <w:spacing w:before="120" w:line="288" w:lineRule="auto"/>
        <w:rPr>
          <w:strike/>
          <w:color w:val="FF0000"/>
          <w:sz w:val="18"/>
        </w:rPr>
      </w:pPr>
      <w:r w:rsidRPr="00EC5881">
        <w:rPr>
          <w:color w:val="FF0000"/>
          <w:sz w:val="18"/>
        </w:rPr>
        <w:t>R - PLOCHY REKREACE (§ 5 vyhl.č. 501/2006 Sb.)</w:t>
      </w:r>
      <w:bookmarkEnd w:id="54"/>
    </w:p>
    <w:p w14:paraId="418366CB" w14:textId="77777777" w:rsidR="00EF1DD2" w:rsidRPr="00EC5881" w:rsidRDefault="00EF1DD2" w:rsidP="00EF1DD2">
      <w:pPr>
        <w:pStyle w:val="Zkladntext"/>
        <w:spacing w:before="120" w:line="288" w:lineRule="auto"/>
        <w:jc w:val="both"/>
        <w:rPr>
          <w:rFonts w:cs="Arial"/>
          <w:bCs/>
          <w:color w:val="FF0000"/>
          <w:sz w:val="18"/>
          <w:szCs w:val="22"/>
        </w:rPr>
      </w:pPr>
      <w:r w:rsidRPr="00EC5881">
        <w:rPr>
          <w:rFonts w:cs="Arial"/>
          <w:bCs/>
          <w:color w:val="FF0000"/>
          <w:sz w:val="18"/>
          <w:szCs w:val="22"/>
        </w:rPr>
        <w:t>Lokality 8Z – 10, -23, -36</w:t>
      </w:r>
    </w:p>
    <w:p w14:paraId="690B6185" w14:textId="77777777" w:rsidR="00EF1DD2" w:rsidRPr="00EC5881" w:rsidRDefault="00EF1DD2" w:rsidP="00EF1DD2">
      <w:pPr>
        <w:spacing w:before="120" w:line="288" w:lineRule="auto"/>
        <w:jc w:val="both"/>
        <w:rPr>
          <w:rFonts w:ascii="Arial" w:hAnsi="Arial" w:cs="Arial"/>
          <w:strike/>
          <w:color w:val="FF0000"/>
          <w:sz w:val="18"/>
          <w:szCs w:val="22"/>
        </w:rPr>
      </w:pPr>
      <w:r w:rsidRPr="00EC5881">
        <w:rPr>
          <w:rFonts w:ascii="Arial" w:hAnsi="Arial" w:cs="Arial"/>
          <w:b/>
          <w:bCs/>
          <w:color w:val="FF0000"/>
          <w:sz w:val="18"/>
          <w:szCs w:val="22"/>
        </w:rPr>
        <w:t xml:space="preserve">Hlavní využití: </w:t>
      </w:r>
      <w:r w:rsidRPr="00EC5881">
        <w:rPr>
          <w:rFonts w:ascii="Arial" w:hAnsi="Arial" w:cs="Arial"/>
          <w:color w:val="FF0000"/>
          <w:sz w:val="18"/>
          <w:szCs w:val="22"/>
        </w:rPr>
        <w:t>krátkodobá rekreace a volný čas v rámci jednotlivých lokalit, nenarušující přírodní charakter a atraktivity daného území</w:t>
      </w:r>
    </w:p>
    <w:p w14:paraId="74A91B1B"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Přípustné využití: </w:t>
      </w:r>
      <w:r w:rsidRPr="00EC5881">
        <w:rPr>
          <w:rFonts w:ascii="Arial" w:hAnsi="Arial" w:cs="Arial"/>
          <w:color w:val="FF0000"/>
          <w:sz w:val="18"/>
          <w:szCs w:val="22"/>
        </w:rPr>
        <w:t>areály, objekty, zahradní chaty do 25 m</w:t>
      </w:r>
      <w:r w:rsidRPr="00EC5881">
        <w:rPr>
          <w:rFonts w:ascii="Arial" w:hAnsi="Arial" w:cs="Arial"/>
          <w:color w:val="FF0000"/>
          <w:sz w:val="18"/>
          <w:szCs w:val="22"/>
          <w:vertAlign w:val="superscript"/>
        </w:rPr>
        <w:t>2</w:t>
      </w:r>
      <w:r w:rsidRPr="00EC5881">
        <w:rPr>
          <w:rFonts w:ascii="Arial" w:hAnsi="Arial" w:cs="Arial"/>
          <w:color w:val="FF0000"/>
          <w:sz w:val="18"/>
          <w:szCs w:val="22"/>
        </w:rPr>
        <w:t xml:space="preserve"> zastavěné plochy u zahrádkářských osad, 5% u ostatních funkcí. Zařízení a plochy specifického charakteru, až na výjimky se sezónním využitím, zařízení rekreačních služeb a veřejného stravování, osvěta mezinárodního i regionálního významu, zařízení kultury, osvěty a sportu, pěší a turistické trasy, vyhlídky, odpočívky, nezbytné ostatní účelové komunikace, základní technické vybavení, sportovní zařízení a vybavení</w:t>
      </w:r>
    </w:p>
    <w:p w14:paraId="1681DB50"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Nepřípustné využití: </w:t>
      </w:r>
      <w:r w:rsidRPr="00EC5881">
        <w:rPr>
          <w:rFonts w:ascii="Arial" w:hAnsi="Arial" w:cs="Arial"/>
          <w:color w:val="FF0000"/>
          <w:sz w:val="18"/>
          <w:szCs w:val="22"/>
        </w:rPr>
        <w:t xml:space="preserve">všechny ostatní provozy a činnosti neodpovídající svým provozem a charakterem poslání této plochy U zahrádkových osad nepřekročí zastavěná plocha </w:t>
      </w:r>
      <w:smartTag w:uri="urn:schemas-microsoft-com:office:smarttags" w:element="metricconverter">
        <w:smartTagPr>
          <w:attr w:name="ProductID" w:val="25 m2"/>
        </w:smartTagPr>
        <w:r w:rsidRPr="00EC5881">
          <w:rPr>
            <w:rFonts w:ascii="Arial" w:hAnsi="Arial" w:cs="Arial"/>
            <w:color w:val="FF0000"/>
            <w:sz w:val="18"/>
            <w:szCs w:val="22"/>
          </w:rPr>
          <w:t>25 m</w:t>
        </w:r>
        <w:r w:rsidRPr="00EC5881">
          <w:rPr>
            <w:rFonts w:ascii="Arial" w:hAnsi="Arial" w:cs="Arial"/>
            <w:color w:val="FF0000"/>
            <w:sz w:val="18"/>
            <w:szCs w:val="22"/>
            <w:vertAlign w:val="superscript"/>
          </w:rPr>
          <w:t>2</w:t>
        </w:r>
      </w:smartTag>
      <w:r w:rsidRPr="00EC5881">
        <w:rPr>
          <w:rFonts w:ascii="Arial" w:hAnsi="Arial" w:cs="Arial"/>
          <w:color w:val="FF0000"/>
          <w:sz w:val="18"/>
          <w:szCs w:val="22"/>
          <w:vertAlign w:val="superscript"/>
        </w:rPr>
        <w:t xml:space="preserve"> </w:t>
      </w:r>
      <w:r w:rsidRPr="00EC5881">
        <w:rPr>
          <w:rFonts w:ascii="Arial" w:hAnsi="Arial" w:cs="Arial"/>
          <w:color w:val="FF0000"/>
          <w:sz w:val="18"/>
          <w:szCs w:val="22"/>
        </w:rPr>
        <w:t>u jednoho objektu</w:t>
      </w:r>
    </w:p>
    <w:p w14:paraId="0EC75353" w14:textId="77777777" w:rsidR="00EF1DD2" w:rsidRPr="00EC5881" w:rsidRDefault="00EF1DD2" w:rsidP="00EF1DD2">
      <w:pPr>
        <w:pStyle w:val="Zkladntext"/>
        <w:spacing w:before="120" w:line="288" w:lineRule="auto"/>
        <w:jc w:val="both"/>
        <w:rPr>
          <w:rFonts w:cs="Arial"/>
          <w:color w:val="FF0000"/>
          <w:sz w:val="18"/>
          <w:szCs w:val="22"/>
        </w:rPr>
      </w:pPr>
      <w:r w:rsidRPr="00EC5881">
        <w:rPr>
          <w:rFonts w:cs="Arial"/>
          <w:b/>
          <w:bCs/>
          <w:color w:val="FF0000"/>
          <w:sz w:val="18"/>
          <w:szCs w:val="22"/>
        </w:rPr>
        <w:lastRenderedPageBreak/>
        <w:t>Prostorové uspořádání:</w:t>
      </w:r>
      <w:r w:rsidRPr="00EC5881">
        <w:rPr>
          <w:rFonts w:cs="Arial"/>
          <w:color w:val="FF0000"/>
          <w:sz w:val="18"/>
          <w:szCs w:val="22"/>
        </w:rPr>
        <w:t xml:space="preserve"> počet podlaží: 1 – zahrádkářské osady, 1-2 podlaží – u rozptýlených staveb mimo zahrádkářské osady u zahrádkářských osad max. zastavěná plocha </w:t>
      </w:r>
      <w:smartTag w:uri="urn:schemas-microsoft-com:office:smarttags" w:element="metricconverter">
        <w:smartTagPr>
          <w:attr w:name="ProductID" w:val="25 m2"/>
        </w:smartTagPr>
        <w:r w:rsidRPr="00EC5881">
          <w:rPr>
            <w:rFonts w:cs="Arial"/>
            <w:color w:val="FF0000"/>
            <w:sz w:val="18"/>
            <w:szCs w:val="22"/>
          </w:rPr>
          <w:t>25 m</w:t>
        </w:r>
        <w:r w:rsidRPr="00EC5881">
          <w:rPr>
            <w:rFonts w:cs="Arial"/>
            <w:color w:val="FF0000"/>
            <w:sz w:val="18"/>
            <w:szCs w:val="22"/>
            <w:vertAlign w:val="superscript"/>
          </w:rPr>
          <w:t>2</w:t>
        </w:r>
      </w:smartTag>
      <w:r w:rsidRPr="00EC5881">
        <w:rPr>
          <w:rFonts w:cs="Arial"/>
          <w:color w:val="FF0000"/>
          <w:sz w:val="18"/>
          <w:szCs w:val="22"/>
        </w:rPr>
        <w:t>, 5 % pozemku</w:t>
      </w:r>
    </w:p>
    <w:p w14:paraId="0FD440AA" w14:textId="77777777" w:rsidR="00EF1DD2" w:rsidRPr="00EC5881" w:rsidRDefault="00EF1DD2" w:rsidP="00EF1DD2">
      <w:pPr>
        <w:pStyle w:val="Nadpis3"/>
        <w:spacing w:before="120" w:line="288" w:lineRule="auto"/>
        <w:rPr>
          <w:color w:val="FF0000"/>
          <w:sz w:val="18"/>
        </w:rPr>
      </w:pPr>
      <w:bookmarkStart w:id="55" w:name="_Toc354838631"/>
    </w:p>
    <w:p w14:paraId="5CC1855C" w14:textId="77777777" w:rsidR="00EF1DD2" w:rsidRPr="00EC5881" w:rsidRDefault="00EF1DD2" w:rsidP="00EF1DD2">
      <w:pPr>
        <w:pStyle w:val="Nadpis3"/>
        <w:spacing w:before="120" w:line="288" w:lineRule="auto"/>
        <w:rPr>
          <w:color w:val="FF0000"/>
          <w:sz w:val="18"/>
        </w:rPr>
      </w:pPr>
      <w:r w:rsidRPr="00EC5881">
        <w:rPr>
          <w:color w:val="FF0000"/>
          <w:sz w:val="18"/>
        </w:rPr>
        <w:t>PLOCHY TECHNICKÉ INFRASTRUKTURY (§ 10 vyhl. č. 501/2006 Sb)</w:t>
      </w:r>
      <w:bookmarkEnd w:id="55"/>
    </w:p>
    <w:p w14:paraId="0725FED4"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color w:val="FF0000"/>
          <w:sz w:val="18"/>
          <w:szCs w:val="22"/>
        </w:rPr>
        <w:t xml:space="preserve">VPS 8Z-6 </w:t>
      </w:r>
    </w:p>
    <w:p w14:paraId="57ADCDC7"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color w:val="FF0000"/>
          <w:sz w:val="18"/>
          <w:szCs w:val="22"/>
        </w:rPr>
        <w:t xml:space="preserve">Hlavní </w:t>
      </w:r>
      <w:r w:rsidRPr="00EC5881">
        <w:rPr>
          <w:rFonts w:ascii="Arial" w:hAnsi="Arial" w:cs="Arial"/>
          <w:b/>
          <w:bCs/>
          <w:color w:val="FF0000"/>
          <w:sz w:val="18"/>
          <w:szCs w:val="22"/>
        </w:rPr>
        <w:t>využití:</w:t>
      </w:r>
      <w:r w:rsidRPr="00EC5881">
        <w:rPr>
          <w:rFonts w:ascii="Arial" w:hAnsi="Arial" w:cs="Arial"/>
          <w:color w:val="FF0000"/>
          <w:sz w:val="18"/>
          <w:szCs w:val="22"/>
        </w:rPr>
        <w:t xml:space="preserve"> stavby a zařízení k obsluze území technickou infrastrukturou</w:t>
      </w:r>
    </w:p>
    <w:p w14:paraId="41BC1F10"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color w:val="FF0000"/>
          <w:sz w:val="18"/>
          <w:szCs w:val="22"/>
        </w:rPr>
        <w:t xml:space="preserve">Přípustné </w:t>
      </w:r>
      <w:r w:rsidRPr="00EC5881">
        <w:rPr>
          <w:rFonts w:ascii="Arial" w:hAnsi="Arial" w:cs="Arial"/>
          <w:b/>
          <w:bCs/>
          <w:color w:val="FF0000"/>
          <w:sz w:val="18"/>
          <w:szCs w:val="22"/>
        </w:rPr>
        <w:t>využití:</w:t>
      </w:r>
      <w:r w:rsidRPr="00EC5881">
        <w:rPr>
          <w:rFonts w:ascii="Arial" w:hAnsi="Arial" w:cs="Arial"/>
          <w:b/>
          <w:color w:val="FF0000"/>
          <w:sz w:val="18"/>
          <w:szCs w:val="22"/>
        </w:rPr>
        <w:t xml:space="preserve"> </w:t>
      </w:r>
      <w:r w:rsidRPr="00EC5881">
        <w:rPr>
          <w:rFonts w:ascii="Arial" w:hAnsi="Arial" w:cs="Arial"/>
          <w:color w:val="FF0000"/>
          <w:sz w:val="18"/>
          <w:szCs w:val="22"/>
        </w:rPr>
        <w:t>stavby a zařízení k technické obsluze území, zejména koridory vedení technické infrastruktury, stavby provozních budov pro funkci a obsluhu nezbytné, zejména pracoviště dozoru, kontroly, údržby a zajištění provozu a ochrany včetně služebního bydlení nebo ubytování</w:t>
      </w:r>
    </w:p>
    <w:p w14:paraId="6900857F" w14:textId="77777777" w:rsidR="00EF1DD2" w:rsidRPr="00EC5881" w:rsidRDefault="00EF1DD2" w:rsidP="00EF1DD2">
      <w:pPr>
        <w:pStyle w:val="Zkladntextodsazen30"/>
        <w:spacing w:before="120" w:line="288" w:lineRule="auto"/>
        <w:ind w:left="0"/>
        <w:rPr>
          <w:rFonts w:ascii="Arial" w:hAnsi="Arial" w:cs="Arial"/>
          <w:color w:val="FF0000"/>
          <w:sz w:val="18"/>
          <w:szCs w:val="22"/>
        </w:rPr>
      </w:pPr>
      <w:r w:rsidRPr="00EC5881">
        <w:rPr>
          <w:rFonts w:ascii="Arial" w:hAnsi="Arial" w:cs="Arial"/>
          <w:b/>
          <w:bCs/>
          <w:color w:val="FF0000"/>
          <w:sz w:val="18"/>
          <w:szCs w:val="22"/>
        </w:rPr>
        <w:t xml:space="preserve">Podmínečně přípustné využití: </w:t>
      </w:r>
      <w:r w:rsidRPr="00EC5881">
        <w:rPr>
          <w:rFonts w:ascii="Arial" w:hAnsi="Arial" w:cs="Arial"/>
          <w:color w:val="FF0000"/>
          <w:sz w:val="18"/>
          <w:szCs w:val="22"/>
        </w:rPr>
        <w:t>stavby a zařízení</w:t>
      </w:r>
      <w:r w:rsidRPr="00EC5881">
        <w:rPr>
          <w:rFonts w:ascii="Arial" w:hAnsi="Arial" w:cs="Arial"/>
          <w:strike/>
          <w:color w:val="FF0000"/>
          <w:sz w:val="18"/>
          <w:szCs w:val="22"/>
        </w:rPr>
        <w:t>,</w:t>
      </w:r>
      <w:r w:rsidRPr="00EC5881">
        <w:rPr>
          <w:rFonts w:ascii="Arial" w:hAnsi="Arial" w:cs="Arial"/>
          <w:color w:val="FF0000"/>
          <w:sz w:val="18"/>
          <w:szCs w:val="22"/>
        </w:rPr>
        <w:t xml:space="preserve"> k poskytování souvisejících služeb nebo specializované technické obsluhy</w:t>
      </w:r>
    </w:p>
    <w:p w14:paraId="540E4D6D" w14:textId="77777777" w:rsidR="00EF1DD2" w:rsidRPr="00EC5881" w:rsidRDefault="00EF1DD2" w:rsidP="00EF1DD2">
      <w:pPr>
        <w:spacing w:before="120" w:line="288" w:lineRule="auto"/>
        <w:jc w:val="both"/>
        <w:rPr>
          <w:rFonts w:ascii="Arial" w:hAnsi="Arial" w:cs="Arial"/>
          <w:color w:val="FF0000"/>
          <w:sz w:val="18"/>
          <w:szCs w:val="22"/>
        </w:rPr>
      </w:pPr>
      <w:r w:rsidRPr="00EC5881">
        <w:rPr>
          <w:rFonts w:ascii="Arial" w:hAnsi="Arial" w:cs="Arial"/>
          <w:b/>
          <w:bCs/>
          <w:color w:val="FF0000"/>
          <w:sz w:val="18"/>
          <w:szCs w:val="22"/>
        </w:rPr>
        <w:t xml:space="preserve">Nepřípustné využití: </w:t>
      </w:r>
      <w:r w:rsidRPr="00EC5881">
        <w:rPr>
          <w:rFonts w:ascii="Arial" w:hAnsi="Arial" w:cs="Arial"/>
          <w:color w:val="FF0000"/>
          <w:sz w:val="18"/>
          <w:szCs w:val="22"/>
        </w:rPr>
        <w:t>stavby a zařízení nesloužící technické infrastruktuře a činnosti, které nesouvisí s převažujícím účelem využití, přípustným a podmínečně přípustným využitím</w:t>
      </w:r>
    </w:p>
    <w:p w14:paraId="43BD24D7" w14:textId="77777777" w:rsidR="00EF1DD2" w:rsidRDefault="00EF1DD2" w:rsidP="00EF1DD2">
      <w:pPr>
        <w:spacing w:before="120" w:line="288" w:lineRule="auto"/>
        <w:jc w:val="both"/>
        <w:rPr>
          <w:rFonts w:ascii="Arial" w:hAnsi="Arial" w:cs="Arial"/>
          <w:b/>
          <w:color w:val="FF0000"/>
          <w:sz w:val="18"/>
          <w:szCs w:val="22"/>
        </w:rPr>
      </w:pPr>
      <w:r w:rsidRPr="00EC5881">
        <w:rPr>
          <w:rFonts w:ascii="Arial" w:hAnsi="Arial" w:cs="Arial"/>
          <w:b/>
          <w:color w:val="FF0000"/>
          <w:sz w:val="18"/>
          <w:szCs w:val="22"/>
        </w:rPr>
        <w:t>U ostatních funkčních ploch zůstávají regulativy platné a nezměněny dle regulativů platného územního plánu a OZV a navržených úprav projednávaných v rámci 8. Změny.</w:t>
      </w:r>
    </w:p>
    <w:p w14:paraId="4A3B2891" w14:textId="77777777" w:rsidR="00154834" w:rsidRDefault="00154834" w:rsidP="00CA23D0">
      <w:pPr>
        <w:jc w:val="both"/>
        <w:rPr>
          <w:rFonts w:ascii="Arial" w:hAnsi="Arial" w:cs="Arial"/>
          <w:sz w:val="22"/>
        </w:rPr>
      </w:pPr>
    </w:p>
    <w:p w14:paraId="5A90220F" w14:textId="77777777" w:rsidR="002E729E" w:rsidRDefault="002E729E" w:rsidP="00CA23D0">
      <w:pPr>
        <w:jc w:val="both"/>
        <w:rPr>
          <w:rFonts w:ascii="Arial" w:hAnsi="Arial" w:cs="Arial"/>
          <w:sz w:val="22"/>
        </w:rPr>
      </w:pPr>
    </w:p>
    <w:p w14:paraId="66777C0E" w14:textId="284B6318" w:rsidR="00724306" w:rsidRPr="006B0D1F" w:rsidRDefault="00AC66FE" w:rsidP="00724306">
      <w:pPr>
        <w:spacing w:after="240"/>
        <w:jc w:val="both"/>
        <w:rPr>
          <w:rFonts w:ascii="Arial" w:hAnsi="Arial" w:cs="Arial"/>
          <w:b/>
          <w:color w:val="00CC99"/>
          <w:sz w:val="22"/>
        </w:rPr>
      </w:pPr>
      <w:r w:rsidRPr="006B0D1F">
        <w:rPr>
          <w:rFonts w:ascii="Arial" w:hAnsi="Arial" w:cs="Arial"/>
          <w:b/>
          <w:color w:val="00CC99"/>
          <w:sz w:val="22"/>
        </w:rPr>
        <w:t>(Z12) STANOVENÍ PODMÍNEK PRO VYUŽITÍ KORIDORU S URČENÍM STAVBY HLAVNÍ</w:t>
      </w:r>
      <w:r w:rsidR="00242FA4" w:rsidRPr="006B0D1F">
        <w:rPr>
          <w:rFonts w:ascii="Arial" w:hAnsi="Arial" w:cs="Arial"/>
          <w:b/>
          <w:color w:val="00CC99"/>
          <w:sz w:val="22"/>
        </w:rPr>
        <w:t>, SOUVISEJÍCÍCH STAVEB</w:t>
      </w:r>
      <w:r w:rsidRPr="006B0D1F">
        <w:rPr>
          <w:rFonts w:ascii="Arial" w:hAnsi="Arial" w:cs="Arial"/>
          <w:b/>
          <w:color w:val="00CC99"/>
          <w:sz w:val="22"/>
        </w:rPr>
        <w:t xml:space="preserve"> A STAVEB VEDLEJŠÍCH  </w:t>
      </w:r>
    </w:p>
    <w:p w14:paraId="10DF006D" w14:textId="1D7EAA2F" w:rsidR="002E729E" w:rsidRPr="006B0D1F" w:rsidRDefault="00724306" w:rsidP="00AC66FE">
      <w:pPr>
        <w:spacing w:after="240"/>
        <w:jc w:val="both"/>
        <w:rPr>
          <w:rFonts w:ascii="Arial" w:hAnsi="Arial" w:cs="Arial"/>
          <w:color w:val="00CC99"/>
          <w:sz w:val="22"/>
          <w:szCs w:val="22"/>
        </w:rPr>
      </w:pPr>
      <w:r w:rsidRPr="006B0D1F">
        <w:rPr>
          <w:rFonts w:ascii="Arial" w:hAnsi="Arial" w:cs="Arial"/>
          <w:color w:val="00CC99"/>
          <w:sz w:val="22"/>
          <w:szCs w:val="22"/>
        </w:rPr>
        <w:t xml:space="preserve">V rámci změny č. 12 se </w:t>
      </w:r>
      <w:r w:rsidR="00AC66FE" w:rsidRPr="006B0D1F">
        <w:rPr>
          <w:rFonts w:ascii="Arial" w:hAnsi="Arial" w:cs="Arial"/>
          <w:color w:val="00CC99"/>
          <w:sz w:val="22"/>
          <w:szCs w:val="22"/>
        </w:rPr>
        <w:t xml:space="preserve">vymezuje koridor CNZ.D(12) pro umístění </w:t>
      </w:r>
      <w:r w:rsidR="00AC66FE" w:rsidRPr="006B0D1F">
        <w:rPr>
          <w:rFonts w:ascii="Arial" w:hAnsi="Arial" w:cs="Arial"/>
          <w:b/>
          <w:color w:val="00CC99"/>
          <w:sz w:val="22"/>
          <w:szCs w:val="22"/>
        </w:rPr>
        <w:t>stavby hlavní</w:t>
      </w:r>
      <w:r w:rsidR="00AC66FE" w:rsidRPr="006B0D1F">
        <w:rPr>
          <w:rFonts w:ascii="Arial" w:hAnsi="Arial" w:cs="Arial"/>
          <w:color w:val="00CC99"/>
          <w:sz w:val="22"/>
          <w:szCs w:val="22"/>
        </w:rPr>
        <w:t xml:space="preserve"> - p</w:t>
      </w:r>
      <w:r w:rsidRPr="006B0D1F">
        <w:rPr>
          <w:rFonts w:ascii="Arial" w:hAnsi="Arial" w:cs="Arial"/>
          <w:color w:val="00CC99"/>
          <w:sz w:val="22"/>
          <w:szCs w:val="22"/>
        </w:rPr>
        <w:t>řeložk</w:t>
      </w:r>
      <w:r w:rsidR="00AC66FE" w:rsidRPr="006B0D1F">
        <w:rPr>
          <w:rFonts w:ascii="Arial" w:hAnsi="Arial" w:cs="Arial"/>
          <w:color w:val="00CC99"/>
          <w:sz w:val="22"/>
          <w:szCs w:val="22"/>
        </w:rPr>
        <w:t>u</w:t>
      </w:r>
      <w:r w:rsidR="003C08DB" w:rsidRPr="006B0D1F">
        <w:rPr>
          <w:rFonts w:ascii="Arial" w:hAnsi="Arial" w:cs="Arial"/>
          <w:color w:val="00CC99"/>
          <w:sz w:val="22"/>
          <w:szCs w:val="22"/>
        </w:rPr>
        <w:t xml:space="preserve"> silnice</w:t>
      </w:r>
      <w:r w:rsidRPr="006B0D1F">
        <w:rPr>
          <w:rFonts w:ascii="Arial" w:hAnsi="Arial" w:cs="Arial"/>
          <w:color w:val="00CC99"/>
          <w:sz w:val="22"/>
          <w:szCs w:val="22"/>
        </w:rPr>
        <w:t xml:space="preserve"> I/13</w:t>
      </w:r>
      <w:r w:rsidR="003C08DB" w:rsidRPr="006B0D1F">
        <w:rPr>
          <w:rFonts w:ascii="Arial" w:hAnsi="Arial" w:cs="Arial"/>
          <w:color w:val="00CC99"/>
          <w:sz w:val="22"/>
          <w:szCs w:val="22"/>
        </w:rPr>
        <w:t xml:space="preserve"> Děčín - Ludvíkovice</w:t>
      </w:r>
      <w:r w:rsidRPr="006B0D1F">
        <w:rPr>
          <w:rFonts w:ascii="Arial" w:hAnsi="Arial" w:cs="Arial"/>
          <w:color w:val="00CC99"/>
          <w:sz w:val="22"/>
          <w:szCs w:val="22"/>
        </w:rPr>
        <w:t xml:space="preserve"> (Tzv. Folknářská spojka) v pravobřežní části Děčína v prostoru Libverdy, včetně mimoúrovňové křižovatky na Folknářské spo</w:t>
      </w:r>
      <w:r w:rsidR="00AC66FE" w:rsidRPr="006B0D1F">
        <w:rPr>
          <w:rFonts w:ascii="Arial" w:hAnsi="Arial" w:cs="Arial"/>
          <w:color w:val="00CC99"/>
          <w:sz w:val="22"/>
          <w:szCs w:val="22"/>
        </w:rPr>
        <w:t xml:space="preserve">jce. </w:t>
      </w:r>
    </w:p>
    <w:p w14:paraId="5620192F" w14:textId="05E068F1" w:rsidR="00AF681D" w:rsidRPr="006B0D1F" w:rsidRDefault="00AF681D" w:rsidP="00AF681D">
      <w:pPr>
        <w:pStyle w:val="Default"/>
        <w:spacing w:after="133"/>
        <w:rPr>
          <w:rFonts w:ascii="Arial" w:hAnsi="Arial" w:cs="Arial"/>
          <w:color w:val="00CC99"/>
          <w:sz w:val="22"/>
          <w:szCs w:val="22"/>
        </w:rPr>
      </w:pPr>
      <w:r w:rsidRPr="006B0D1F">
        <w:rPr>
          <w:rFonts w:ascii="Arial" w:hAnsi="Arial" w:cs="Arial"/>
          <w:color w:val="00CC99"/>
          <w:sz w:val="22"/>
          <w:szCs w:val="22"/>
        </w:rPr>
        <w:t>V</w:t>
      </w:r>
      <w:r w:rsidR="00664F12" w:rsidRPr="006B0D1F">
        <w:rPr>
          <w:rFonts w:ascii="Arial" w:hAnsi="Arial" w:cs="Arial"/>
          <w:color w:val="00CC99"/>
          <w:sz w:val="22"/>
          <w:szCs w:val="22"/>
        </w:rPr>
        <w:t xml:space="preserve"> tomto </w:t>
      </w:r>
      <w:r w:rsidRPr="006B0D1F">
        <w:rPr>
          <w:rFonts w:ascii="Arial" w:hAnsi="Arial" w:cs="Arial"/>
          <w:color w:val="00CC99"/>
          <w:sz w:val="22"/>
          <w:szCs w:val="22"/>
        </w:rPr>
        <w:t xml:space="preserve">koridoru lze umístit též všechny </w:t>
      </w:r>
      <w:r w:rsidRPr="006B0D1F">
        <w:rPr>
          <w:rFonts w:ascii="Arial" w:hAnsi="Arial" w:cs="Arial"/>
          <w:b/>
          <w:color w:val="00CC99"/>
          <w:sz w:val="22"/>
          <w:szCs w:val="22"/>
        </w:rPr>
        <w:t>související stavby</w:t>
      </w:r>
      <w:r w:rsidRPr="006B0D1F">
        <w:rPr>
          <w:rFonts w:ascii="Arial" w:hAnsi="Arial" w:cs="Arial"/>
          <w:color w:val="00CC99"/>
          <w:sz w:val="22"/>
          <w:szCs w:val="22"/>
        </w:rPr>
        <w:t xml:space="preserve"> a zařízení nezbytné pro realizaci a provoz stavby hlavní</w:t>
      </w:r>
      <w:r w:rsidR="00664F12" w:rsidRPr="006B0D1F">
        <w:rPr>
          <w:rFonts w:ascii="Arial" w:hAnsi="Arial" w:cs="Arial"/>
          <w:color w:val="00CC99"/>
          <w:sz w:val="22"/>
          <w:szCs w:val="22"/>
        </w:rPr>
        <w:t>.</w:t>
      </w:r>
      <w:r w:rsidR="00E43CFD" w:rsidRPr="006B0D1F">
        <w:rPr>
          <w:rFonts w:ascii="Arial" w:hAnsi="Arial" w:cs="Arial"/>
          <w:color w:val="00CC99"/>
          <w:sz w:val="22"/>
          <w:szCs w:val="22"/>
        </w:rPr>
        <w:t xml:space="preserve"> S</w:t>
      </w:r>
      <w:r w:rsidR="00664F12" w:rsidRPr="006B0D1F">
        <w:rPr>
          <w:rFonts w:ascii="Arial" w:hAnsi="Arial" w:cs="Arial"/>
          <w:color w:val="00CC99"/>
          <w:sz w:val="22"/>
          <w:szCs w:val="22"/>
        </w:rPr>
        <w:t xml:space="preserve"> přesahem mimo koridor mohou být umístěny </w:t>
      </w:r>
      <w:r w:rsidRPr="006B0D1F">
        <w:rPr>
          <w:rFonts w:ascii="Arial" w:hAnsi="Arial" w:cs="Arial"/>
          <w:b/>
          <w:color w:val="00CC99"/>
          <w:sz w:val="22"/>
          <w:szCs w:val="22"/>
        </w:rPr>
        <w:t>stavby vedlejší</w:t>
      </w:r>
      <w:r w:rsidR="00664F12" w:rsidRPr="006B0D1F">
        <w:rPr>
          <w:rFonts w:ascii="Arial" w:hAnsi="Arial" w:cs="Arial"/>
          <w:color w:val="00CC99"/>
          <w:sz w:val="22"/>
          <w:szCs w:val="22"/>
        </w:rPr>
        <w:t xml:space="preserve">, též nezbytné pro </w:t>
      </w:r>
      <w:r w:rsidR="00410544" w:rsidRPr="006B0D1F">
        <w:rPr>
          <w:rFonts w:ascii="Arial" w:hAnsi="Arial" w:cs="Arial"/>
          <w:color w:val="00CC99"/>
          <w:sz w:val="22"/>
          <w:szCs w:val="22"/>
        </w:rPr>
        <w:t>realizaci a provoz</w:t>
      </w:r>
      <w:r w:rsidR="00E43CFD" w:rsidRPr="006B0D1F">
        <w:rPr>
          <w:rFonts w:ascii="Arial" w:hAnsi="Arial" w:cs="Arial"/>
          <w:color w:val="00CC99"/>
          <w:sz w:val="22"/>
          <w:szCs w:val="22"/>
        </w:rPr>
        <w:t xml:space="preserve">, toto pravidlo </w:t>
      </w:r>
      <w:r w:rsidR="00410544" w:rsidRPr="006B0D1F">
        <w:rPr>
          <w:rFonts w:ascii="Arial" w:hAnsi="Arial" w:cs="Arial"/>
          <w:color w:val="00CC99"/>
          <w:sz w:val="22"/>
          <w:szCs w:val="22"/>
        </w:rPr>
        <w:t>se však nevztahuje k typům stav</w:t>
      </w:r>
      <w:r w:rsidR="00E43CFD" w:rsidRPr="006B0D1F">
        <w:rPr>
          <w:rFonts w:ascii="Arial" w:hAnsi="Arial" w:cs="Arial"/>
          <w:color w:val="00CC99"/>
          <w:sz w:val="22"/>
          <w:szCs w:val="22"/>
        </w:rPr>
        <w:t>eb</w:t>
      </w:r>
      <w:r w:rsidR="007C18BB" w:rsidRPr="006B0D1F">
        <w:rPr>
          <w:rFonts w:ascii="Arial" w:hAnsi="Arial" w:cs="Arial"/>
          <w:color w:val="00CC99"/>
          <w:sz w:val="22"/>
          <w:szCs w:val="22"/>
        </w:rPr>
        <w:t>,</w:t>
      </w:r>
      <w:r w:rsidR="00E43CFD" w:rsidRPr="006B0D1F">
        <w:rPr>
          <w:rFonts w:ascii="Arial" w:hAnsi="Arial" w:cs="Arial"/>
          <w:color w:val="00CC99"/>
          <w:sz w:val="22"/>
          <w:szCs w:val="22"/>
        </w:rPr>
        <w:t xml:space="preserve"> </w:t>
      </w:r>
      <w:r w:rsidR="00410544" w:rsidRPr="006B0D1F">
        <w:rPr>
          <w:rFonts w:ascii="Arial" w:hAnsi="Arial" w:cs="Arial"/>
          <w:color w:val="00CC99"/>
          <w:sz w:val="22"/>
          <w:szCs w:val="22"/>
        </w:rPr>
        <w:t xml:space="preserve">jako jsou odpočivadla, čerpací stanice, </w:t>
      </w:r>
      <w:r w:rsidR="00E43CFD" w:rsidRPr="006B0D1F">
        <w:rPr>
          <w:rFonts w:ascii="Arial" w:hAnsi="Arial" w:cs="Arial"/>
          <w:color w:val="00CC99"/>
          <w:sz w:val="22"/>
          <w:szCs w:val="22"/>
        </w:rPr>
        <w:t xml:space="preserve">reklamní panely. </w:t>
      </w:r>
      <w:r w:rsidRPr="006B0D1F">
        <w:rPr>
          <w:rFonts w:ascii="Arial" w:hAnsi="Arial" w:cs="Arial"/>
          <w:color w:val="00CC99"/>
          <w:sz w:val="22"/>
          <w:szCs w:val="22"/>
        </w:rPr>
        <w:t xml:space="preserve"> </w:t>
      </w:r>
    </w:p>
    <w:p w14:paraId="2872F3C5" w14:textId="213C2FAF" w:rsidR="00AF681D" w:rsidRPr="006B0D1F" w:rsidRDefault="00AF681D" w:rsidP="00AF681D">
      <w:pPr>
        <w:pStyle w:val="Default"/>
        <w:spacing w:after="133"/>
        <w:rPr>
          <w:rFonts w:ascii="Arial" w:hAnsi="Arial" w:cs="Arial"/>
          <w:color w:val="00CC99"/>
          <w:sz w:val="22"/>
          <w:szCs w:val="22"/>
        </w:rPr>
      </w:pPr>
      <w:r w:rsidRPr="006B0D1F">
        <w:rPr>
          <w:rFonts w:ascii="Arial" w:hAnsi="Arial" w:cs="Arial"/>
          <w:color w:val="00CC99"/>
          <w:sz w:val="22"/>
          <w:szCs w:val="22"/>
        </w:rPr>
        <w:t xml:space="preserve">Ve všech plochách s rozdílným způsobem využití </w:t>
      </w:r>
      <w:r w:rsidR="00E43CFD" w:rsidRPr="006B0D1F">
        <w:rPr>
          <w:rFonts w:ascii="Arial" w:hAnsi="Arial" w:cs="Arial"/>
          <w:color w:val="00CC99"/>
          <w:sz w:val="22"/>
          <w:szCs w:val="22"/>
        </w:rPr>
        <w:t xml:space="preserve">překrytých předmětným </w:t>
      </w:r>
      <w:r w:rsidRPr="006B0D1F">
        <w:rPr>
          <w:rFonts w:ascii="Arial" w:hAnsi="Arial" w:cs="Arial"/>
          <w:color w:val="00CC99"/>
          <w:sz w:val="22"/>
          <w:szCs w:val="22"/>
        </w:rPr>
        <w:t>koridor</w:t>
      </w:r>
      <w:r w:rsidR="00E43CFD" w:rsidRPr="006B0D1F">
        <w:rPr>
          <w:rFonts w:ascii="Arial" w:hAnsi="Arial" w:cs="Arial"/>
          <w:color w:val="00CC99"/>
          <w:sz w:val="22"/>
          <w:szCs w:val="22"/>
        </w:rPr>
        <w:t xml:space="preserve">em </w:t>
      </w:r>
      <w:r w:rsidRPr="006B0D1F">
        <w:rPr>
          <w:rFonts w:ascii="Arial" w:hAnsi="Arial" w:cs="Arial"/>
          <w:color w:val="00CC99"/>
          <w:sz w:val="22"/>
          <w:szCs w:val="22"/>
        </w:rPr>
        <w:t xml:space="preserve">jsou </w:t>
      </w:r>
      <w:r w:rsidR="00E43CFD" w:rsidRPr="006B0D1F">
        <w:rPr>
          <w:rFonts w:ascii="Arial" w:hAnsi="Arial" w:cs="Arial"/>
          <w:color w:val="00CC99"/>
          <w:sz w:val="22"/>
          <w:szCs w:val="22"/>
        </w:rPr>
        <w:t>přípus</w:t>
      </w:r>
      <w:r w:rsidR="007768ED" w:rsidRPr="006B0D1F">
        <w:rPr>
          <w:rFonts w:ascii="Arial" w:hAnsi="Arial" w:cs="Arial"/>
          <w:color w:val="00CC99"/>
          <w:sz w:val="22"/>
          <w:szCs w:val="22"/>
        </w:rPr>
        <w:t>t</w:t>
      </w:r>
      <w:r w:rsidR="00E43CFD" w:rsidRPr="006B0D1F">
        <w:rPr>
          <w:rFonts w:ascii="Arial" w:hAnsi="Arial" w:cs="Arial"/>
          <w:color w:val="00CC99"/>
          <w:sz w:val="22"/>
          <w:szCs w:val="22"/>
        </w:rPr>
        <w:t xml:space="preserve">né </w:t>
      </w:r>
      <w:r w:rsidRPr="006B0D1F">
        <w:rPr>
          <w:rFonts w:ascii="Arial" w:hAnsi="Arial" w:cs="Arial"/>
          <w:b/>
          <w:color w:val="00CC99"/>
          <w:sz w:val="22"/>
          <w:szCs w:val="22"/>
        </w:rPr>
        <w:t>stavb</w:t>
      </w:r>
      <w:r w:rsidR="00E43CFD" w:rsidRPr="006B0D1F">
        <w:rPr>
          <w:rFonts w:ascii="Arial" w:hAnsi="Arial" w:cs="Arial"/>
          <w:b/>
          <w:color w:val="00CC99"/>
          <w:sz w:val="22"/>
          <w:szCs w:val="22"/>
        </w:rPr>
        <w:t>y</w:t>
      </w:r>
      <w:r w:rsidRPr="006B0D1F">
        <w:rPr>
          <w:rFonts w:ascii="Arial" w:hAnsi="Arial" w:cs="Arial"/>
          <w:b/>
          <w:color w:val="00CC99"/>
          <w:sz w:val="22"/>
          <w:szCs w:val="22"/>
        </w:rPr>
        <w:t xml:space="preserve"> hlavní i stavby </w:t>
      </w:r>
      <w:r w:rsidR="007C18BB" w:rsidRPr="006B0D1F">
        <w:rPr>
          <w:rFonts w:ascii="Arial" w:hAnsi="Arial" w:cs="Arial"/>
          <w:b/>
          <w:color w:val="00CC99"/>
          <w:sz w:val="22"/>
          <w:szCs w:val="22"/>
        </w:rPr>
        <w:t>související</w:t>
      </w:r>
      <w:r w:rsidR="007C18BB" w:rsidRPr="006B0D1F">
        <w:rPr>
          <w:rFonts w:ascii="Arial" w:hAnsi="Arial" w:cs="Arial"/>
          <w:color w:val="00CC99"/>
          <w:sz w:val="22"/>
          <w:szCs w:val="22"/>
        </w:rPr>
        <w:t xml:space="preserve">. V </w:t>
      </w:r>
      <w:r w:rsidRPr="006B0D1F">
        <w:rPr>
          <w:rFonts w:ascii="Arial" w:hAnsi="Arial" w:cs="Arial"/>
          <w:color w:val="00CC99"/>
          <w:sz w:val="22"/>
          <w:szCs w:val="22"/>
        </w:rPr>
        <w:t xml:space="preserve">plochách s rozdílným způsobem využití </w:t>
      </w:r>
      <w:r w:rsidR="007C18BB" w:rsidRPr="006B0D1F">
        <w:rPr>
          <w:rFonts w:ascii="Arial" w:hAnsi="Arial" w:cs="Arial"/>
          <w:color w:val="00CC99"/>
          <w:sz w:val="22"/>
          <w:szCs w:val="22"/>
        </w:rPr>
        <w:t xml:space="preserve">mimo </w:t>
      </w:r>
      <w:r w:rsidRPr="006B0D1F">
        <w:rPr>
          <w:rFonts w:ascii="Arial" w:hAnsi="Arial" w:cs="Arial"/>
          <w:color w:val="00CC99"/>
          <w:sz w:val="22"/>
          <w:szCs w:val="22"/>
        </w:rPr>
        <w:t xml:space="preserve">koridor jsou </w:t>
      </w:r>
      <w:r w:rsidRPr="006B0D1F">
        <w:rPr>
          <w:rFonts w:ascii="Arial" w:hAnsi="Arial" w:cs="Arial"/>
          <w:b/>
          <w:color w:val="00CC99"/>
          <w:sz w:val="22"/>
          <w:szCs w:val="22"/>
        </w:rPr>
        <w:t>stavby vedlejší</w:t>
      </w:r>
      <w:r w:rsidRPr="006B0D1F">
        <w:rPr>
          <w:rFonts w:ascii="Arial" w:hAnsi="Arial" w:cs="Arial"/>
          <w:color w:val="00CC99"/>
          <w:sz w:val="22"/>
          <w:szCs w:val="22"/>
        </w:rPr>
        <w:t xml:space="preserve"> podmíněně přípustné za podmínky, že nelze nalézt jiné technické řešení</w:t>
      </w:r>
      <w:r w:rsidR="007C18BB" w:rsidRPr="006B0D1F">
        <w:rPr>
          <w:rFonts w:ascii="Arial" w:hAnsi="Arial" w:cs="Arial"/>
          <w:color w:val="00CC99"/>
          <w:sz w:val="22"/>
          <w:szCs w:val="22"/>
        </w:rPr>
        <w:t>. T</w:t>
      </w:r>
      <w:r w:rsidRPr="006B0D1F">
        <w:rPr>
          <w:rFonts w:ascii="Arial" w:hAnsi="Arial" w:cs="Arial"/>
          <w:color w:val="00CC99"/>
          <w:sz w:val="22"/>
          <w:szCs w:val="22"/>
        </w:rPr>
        <w:t xml:space="preserve">oto ustanovení má přednost před ustanoveními o podmínkách využití ploch s rozdílným způsobem využití. </w:t>
      </w:r>
    </w:p>
    <w:p w14:paraId="5CFEA248" w14:textId="0D7C0F91" w:rsidR="00AF681D" w:rsidRPr="006B0D1F" w:rsidRDefault="00AF681D" w:rsidP="00AF681D">
      <w:pPr>
        <w:pStyle w:val="Default"/>
        <w:rPr>
          <w:rFonts w:ascii="Arial" w:hAnsi="Arial" w:cs="Arial"/>
          <w:color w:val="00CC99"/>
          <w:sz w:val="22"/>
          <w:szCs w:val="22"/>
        </w:rPr>
      </w:pPr>
      <w:r w:rsidRPr="006B0D1F">
        <w:rPr>
          <w:rFonts w:ascii="Arial" w:hAnsi="Arial" w:cs="Arial"/>
          <w:color w:val="00CC99"/>
          <w:sz w:val="22"/>
          <w:szCs w:val="22"/>
        </w:rPr>
        <w:t>Ve všech plochách s rozdílným způsobem využití překrytých koridorem lze</w:t>
      </w:r>
      <w:r w:rsidR="003C08DB" w:rsidRPr="006B0D1F">
        <w:rPr>
          <w:rFonts w:ascii="Arial" w:hAnsi="Arial" w:cs="Arial"/>
          <w:color w:val="00CC99"/>
          <w:sz w:val="22"/>
          <w:szCs w:val="22"/>
        </w:rPr>
        <w:t xml:space="preserve"> za podmínky, že nedojde k podstatnému ztížení či znemožnění stavby, pro kterou je koridor vymezen,</w:t>
      </w:r>
      <w:r w:rsidRPr="006B0D1F">
        <w:rPr>
          <w:rFonts w:ascii="Arial" w:hAnsi="Arial" w:cs="Arial"/>
          <w:color w:val="00CC99"/>
          <w:sz w:val="22"/>
          <w:szCs w:val="22"/>
        </w:rPr>
        <w:t xml:space="preserve"> v souladu s podmínkami pro využití ploch podmíněně připustit: </w:t>
      </w:r>
    </w:p>
    <w:p w14:paraId="2FA49C91" w14:textId="77777777" w:rsidR="00AF681D" w:rsidRPr="006B0D1F" w:rsidRDefault="00AF681D" w:rsidP="00AF681D">
      <w:pPr>
        <w:pStyle w:val="Default"/>
        <w:rPr>
          <w:rFonts w:ascii="Arial" w:hAnsi="Arial" w:cs="Arial"/>
          <w:color w:val="00CC99"/>
          <w:sz w:val="22"/>
          <w:szCs w:val="22"/>
        </w:rPr>
      </w:pPr>
    </w:p>
    <w:p w14:paraId="59173C8B" w14:textId="77777777" w:rsidR="00AF681D" w:rsidRPr="006B0D1F" w:rsidRDefault="00AF681D" w:rsidP="00AF681D">
      <w:pPr>
        <w:pStyle w:val="Default"/>
        <w:rPr>
          <w:rFonts w:ascii="Arial" w:hAnsi="Arial" w:cs="Arial"/>
          <w:color w:val="00CC99"/>
          <w:sz w:val="22"/>
          <w:szCs w:val="22"/>
        </w:rPr>
      </w:pPr>
      <w:r w:rsidRPr="006B0D1F">
        <w:rPr>
          <w:rFonts w:ascii="Arial" w:hAnsi="Arial" w:cs="Arial"/>
          <w:color w:val="00CC99"/>
          <w:sz w:val="22"/>
          <w:szCs w:val="22"/>
        </w:rPr>
        <w:t xml:space="preserve">a) krajinářské úpravy, místní a účelové komunikace, parkoviště a stavby technické infrastruktury; </w:t>
      </w:r>
    </w:p>
    <w:p w14:paraId="6B7A807A" w14:textId="6B6DF06F" w:rsidR="00AF681D" w:rsidRPr="006B0D1F" w:rsidRDefault="00AF681D" w:rsidP="00AF681D">
      <w:pPr>
        <w:pStyle w:val="Default"/>
        <w:rPr>
          <w:rFonts w:ascii="Arial" w:hAnsi="Arial" w:cs="Arial"/>
          <w:color w:val="00CC99"/>
          <w:sz w:val="22"/>
          <w:szCs w:val="22"/>
        </w:rPr>
      </w:pPr>
      <w:r w:rsidRPr="006B0D1F">
        <w:rPr>
          <w:rFonts w:ascii="Arial" w:hAnsi="Arial" w:cs="Arial"/>
          <w:color w:val="00CC99"/>
          <w:sz w:val="22"/>
          <w:szCs w:val="22"/>
        </w:rPr>
        <w:t xml:space="preserve">b) rekonstrukce, dostavby a nástavby stávajících staveb; </w:t>
      </w:r>
    </w:p>
    <w:p w14:paraId="16DAEAD5" w14:textId="676F9D8E" w:rsidR="006B764D" w:rsidRPr="006B0D1F" w:rsidRDefault="006B764D" w:rsidP="00AF681D">
      <w:pPr>
        <w:pStyle w:val="Default"/>
        <w:rPr>
          <w:rFonts w:ascii="Arial" w:hAnsi="Arial" w:cs="Arial"/>
          <w:color w:val="00CC99"/>
          <w:sz w:val="22"/>
          <w:szCs w:val="22"/>
        </w:rPr>
      </w:pPr>
      <w:r w:rsidRPr="006B0D1F">
        <w:rPr>
          <w:rFonts w:ascii="Arial" w:hAnsi="Arial" w:cs="Arial"/>
          <w:color w:val="00CC99"/>
          <w:sz w:val="22"/>
          <w:szCs w:val="22"/>
        </w:rPr>
        <w:t>c) prvky ÚSES;</w:t>
      </w:r>
    </w:p>
    <w:p w14:paraId="6D18E9BE" w14:textId="77777777" w:rsidR="006B764D" w:rsidRPr="006B0D1F" w:rsidRDefault="006B764D" w:rsidP="00AF681D">
      <w:pPr>
        <w:pStyle w:val="Default"/>
        <w:rPr>
          <w:rFonts w:ascii="Arial" w:hAnsi="Arial" w:cs="Arial"/>
          <w:color w:val="00CC99"/>
          <w:sz w:val="22"/>
          <w:szCs w:val="22"/>
        </w:rPr>
      </w:pPr>
    </w:p>
    <w:p w14:paraId="38A28DCD" w14:textId="3CF81041" w:rsidR="006B764D" w:rsidRPr="006B0D1F" w:rsidRDefault="006B764D" w:rsidP="00AF681D">
      <w:pPr>
        <w:pStyle w:val="Default"/>
        <w:rPr>
          <w:rFonts w:ascii="Arial" w:hAnsi="Arial" w:cs="Arial"/>
          <w:color w:val="00CC99"/>
          <w:sz w:val="22"/>
          <w:szCs w:val="22"/>
        </w:rPr>
      </w:pPr>
      <w:r w:rsidRPr="006B0D1F">
        <w:rPr>
          <w:rFonts w:ascii="Arial" w:hAnsi="Arial" w:cs="Arial"/>
          <w:color w:val="00CC99"/>
          <w:sz w:val="22"/>
          <w:szCs w:val="22"/>
        </w:rPr>
        <w:t>V těch částech území, kde dochází ke střetu prvků ÚSES s koridorem CNZ.D(12) musí být zabezpečena funkčnost těchto prvků pomocí podchodů nebo nadchodů (ekodukty, mostní objekty apod.). Vedení koridoru CNZ.D(12) nemůže znemožnit nebo podstatně narušit funkčnost jednotlivých skladebních prvků ÚSES. Biokoridory, které jsou dotčeny změnou č</w:t>
      </w:r>
      <w:r w:rsidR="00811F5A" w:rsidRPr="006B0D1F">
        <w:rPr>
          <w:rFonts w:ascii="Arial" w:hAnsi="Arial" w:cs="Arial"/>
          <w:color w:val="00CC99"/>
          <w:sz w:val="22"/>
          <w:szCs w:val="22"/>
        </w:rPr>
        <w:t>. 12 ÚP Děčín jsou vymezeny</w:t>
      </w:r>
      <w:r w:rsidRPr="006B0D1F">
        <w:rPr>
          <w:rFonts w:ascii="Arial" w:hAnsi="Arial" w:cs="Arial"/>
          <w:color w:val="00CC99"/>
          <w:sz w:val="22"/>
          <w:szCs w:val="22"/>
        </w:rPr>
        <w:t xml:space="preserve"> rámcově a </w:t>
      </w:r>
      <w:r w:rsidR="00811F5A" w:rsidRPr="006B0D1F">
        <w:rPr>
          <w:rFonts w:ascii="Arial" w:hAnsi="Arial" w:cs="Arial"/>
          <w:color w:val="00CC99"/>
          <w:sz w:val="22"/>
          <w:szCs w:val="22"/>
        </w:rPr>
        <w:t>během komplexní</w:t>
      </w:r>
      <w:r w:rsidRPr="006B0D1F">
        <w:rPr>
          <w:rFonts w:ascii="Arial" w:hAnsi="Arial" w:cs="Arial"/>
          <w:color w:val="00CC99"/>
          <w:sz w:val="22"/>
          <w:szCs w:val="22"/>
        </w:rPr>
        <w:t xml:space="preserve"> aktualizace ÚSES pro celé území města Děčín </w:t>
      </w:r>
      <w:r w:rsidRPr="006B0D1F">
        <w:rPr>
          <w:rFonts w:ascii="Arial" w:hAnsi="Arial" w:cs="Arial"/>
          <w:color w:val="00CC99"/>
          <w:sz w:val="22"/>
          <w:szCs w:val="22"/>
        </w:rPr>
        <w:lastRenderedPageBreak/>
        <w:t>budou dále zpřesněny a fixovány dle podkladů AOPK a to i s ohledem na konkrétnější podobu přeložky silnice I/13 Děčín – Ludvíkovice (Folknářská spojka).</w:t>
      </w:r>
    </w:p>
    <w:p w14:paraId="70F55D1B" w14:textId="77777777" w:rsidR="00C94A0F" w:rsidRPr="006B0D1F" w:rsidRDefault="00C94A0F" w:rsidP="00AF681D">
      <w:pPr>
        <w:pStyle w:val="Default"/>
        <w:rPr>
          <w:rFonts w:ascii="Arial" w:hAnsi="Arial" w:cs="Arial"/>
          <w:color w:val="00CC99"/>
          <w:sz w:val="22"/>
          <w:szCs w:val="22"/>
        </w:rPr>
      </w:pPr>
    </w:p>
    <w:p w14:paraId="1001D816" w14:textId="0436754A" w:rsidR="00C94A0F" w:rsidRPr="006B0D1F" w:rsidRDefault="00C94A0F" w:rsidP="00AF681D">
      <w:pPr>
        <w:pStyle w:val="Default"/>
        <w:rPr>
          <w:rFonts w:ascii="Arial" w:hAnsi="Arial" w:cs="Arial"/>
          <w:color w:val="00CC99"/>
          <w:sz w:val="22"/>
          <w:szCs w:val="22"/>
        </w:rPr>
      </w:pPr>
      <w:r w:rsidRPr="006B0D1F">
        <w:rPr>
          <w:rFonts w:ascii="Arial" w:hAnsi="Arial" w:cs="Arial"/>
          <w:color w:val="00CC99"/>
          <w:sz w:val="22"/>
          <w:szCs w:val="22"/>
        </w:rPr>
        <w:t>Koridor se nachází v sesuvném území Folknáře č. 138 – svahové deformace přírodního původu.</w:t>
      </w:r>
    </w:p>
    <w:p w14:paraId="6C08036E" w14:textId="77777777" w:rsidR="002E729E" w:rsidRPr="006B0D1F" w:rsidRDefault="002E729E" w:rsidP="00CA23D0">
      <w:pPr>
        <w:jc w:val="both"/>
        <w:rPr>
          <w:rFonts w:ascii="Arial" w:hAnsi="Arial" w:cs="Arial"/>
          <w:sz w:val="22"/>
        </w:rPr>
      </w:pPr>
    </w:p>
    <w:p w14:paraId="0A787FE9" w14:textId="77777777" w:rsidR="005847FD" w:rsidRPr="006B0D1F" w:rsidRDefault="005847FD" w:rsidP="005847FD">
      <w:pPr>
        <w:spacing w:after="240"/>
        <w:jc w:val="both"/>
        <w:rPr>
          <w:rFonts w:ascii="Arial" w:hAnsi="Arial" w:cs="Arial"/>
          <w:b/>
          <w:color w:val="18B8B0"/>
          <w:sz w:val="22"/>
        </w:rPr>
      </w:pPr>
      <w:r w:rsidRPr="006B0D1F">
        <w:rPr>
          <w:rFonts w:ascii="Arial" w:hAnsi="Arial" w:cs="Arial"/>
          <w:b/>
          <w:color w:val="18B8B0"/>
          <w:sz w:val="22"/>
        </w:rPr>
        <w:t xml:space="preserve">(Z12) VEŘEJNĚ PROSPĚŠNÉ STAVBY DOPRAVY </w:t>
      </w:r>
    </w:p>
    <w:p w14:paraId="4BCFC551" w14:textId="27CFEC23" w:rsidR="005847FD" w:rsidRPr="006B0D1F" w:rsidRDefault="005847FD" w:rsidP="005847FD">
      <w:pPr>
        <w:spacing w:after="240"/>
        <w:jc w:val="both"/>
        <w:rPr>
          <w:rFonts w:ascii="Arial" w:hAnsi="Arial" w:cs="Arial"/>
          <w:color w:val="18B8B0"/>
          <w:sz w:val="22"/>
        </w:rPr>
      </w:pPr>
      <w:r w:rsidRPr="006B0D1F">
        <w:rPr>
          <w:rFonts w:ascii="Arial" w:hAnsi="Arial" w:cs="Arial"/>
          <w:color w:val="18B8B0"/>
          <w:sz w:val="22"/>
        </w:rPr>
        <w:t xml:space="preserve">V rámci změny č. 12 se vypouští </w:t>
      </w:r>
      <w:r w:rsidR="004462D7" w:rsidRPr="006B0D1F">
        <w:rPr>
          <w:rFonts w:ascii="Arial" w:hAnsi="Arial" w:cs="Arial"/>
          <w:color w:val="18B8B0"/>
          <w:sz w:val="22"/>
        </w:rPr>
        <w:t xml:space="preserve">část </w:t>
      </w:r>
      <w:r w:rsidRPr="006B0D1F">
        <w:rPr>
          <w:rFonts w:ascii="Arial" w:hAnsi="Arial" w:cs="Arial"/>
          <w:color w:val="18B8B0"/>
          <w:sz w:val="22"/>
        </w:rPr>
        <w:t xml:space="preserve">VPS D6 a D9 a tyto stavby jsou nahrazeny koridorem CNZ.D(12): </w:t>
      </w:r>
    </w:p>
    <w:p w14:paraId="795AC4A2" w14:textId="1CFE21FF" w:rsidR="002E729E" w:rsidRPr="006B0D1F" w:rsidRDefault="005847FD" w:rsidP="00CA23D0">
      <w:pPr>
        <w:pStyle w:val="Zkladntext"/>
        <w:numPr>
          <w:ilvl w:val="0"/>
          <w:numId w:val="143"/>
        </w:numPr>
        <w:spacing w:before="120" w:after="240" w:line="288" w:lineRule="auto"/>
        <w:jc w:val="both"/>
        <w:rPr>
          <w:rFonts w:ascii="Arial" w:hAnsi="Arial" w:cs="Arial"/>
          <w:color w:val="18B8B0"/>
          <w:sz w:val="22"/>
          <w:szCs w:val="22"/>
        </w:rPr>
      </w:pPr>
      <w:r w:rsidRPr="006B0D1F">
        <w:rPr>
          <w:rFonts w:ascii="Arial" w:hAnsi="Arial" w:cs="Arial"/>
          <w:b/>
          <w:color w:val="18B8B0"/>
          <w:sz w:val="22"/>
          <w:szCs w:val="22"/>
        </w:rPr>
        <w:t>CNZ.D(12)</w:t>
      </w:r>
      <w:r w:rsidR="004462D7" w:rsidRPr="006B0D1F">
        <w:rPr>
          <w:rFonts w:ascii="Arial" w:hAnsi="Arial" w:cs="Arial"/>
          <w:color w:val="18B8B0"/>
          <w:sz w:val="22"/>
          <w:szCs w:val="22"/>
        </w:rPr>
        <w:t xml:space="preserve"> Přeložka silnice </w:t>
      </w:r>
      <w:r w:rsidRPr="006B0D1F">
        <w:rPr>
          <w:rFonts w:ascii="Arial" w:hAnsi="Arial" w:cs="Arial"/>
          <w:color w:val="18B8B0"/>
          <w:sz w:val="22"/>
          <w:szCs w:val="22"/>
        </w:rPr>
        <w:t>I/13</w:t>
      </w:r>
      <w:r w:rsidR="004462D7" w:rsidRPr="006B0D1F">
        <w:rPr>
          <w:rFonts w:ascii="Arial" w:hAnsi="Arial" w:cs="Arial"/>
          <w:color w:val="18B8B0"/>
          <w:sz w:val="22"/>
          <w:szCs w:val="22"/>
        </w:rPr>
        <w:t xml:space="preserve"> Děčín - Ludvíkovice</w:t>
      </w:r>
      <w:r w:rsidRPr="006B0D1F">
        <w:rPr>
          <w:rFonts w:ascii="Arial" w:hAnsi="Arial" w:cs="Arial"/>
          <w:color w:val="18B8B0"/>
          <w:sz w:val="22"/>
          <w:szCs w:val="22"/>
        </w:rPr>
        <w:t xml:space="preserve"> (</w:t>
      </w:r>
      <w:r w:rsidR="007C18BB" w:rsidRPr="006B0D1F">
        <w:rPr>
          <w:rFonts w:ascii="Arial" w:hAnsi="Arial" w:cs="Arial"/>
          <w:color w:val="18B8B0"/>
          <w:sz w:val="22"/>
          <w:szCs w:val="22"/>
        </w:rPr>
        <w:t>t</w:t>
      </w:r>
      <w:r w:rsidRPr="006B0D1F">
        <w:rPr>
          <w:rFonts w:ascii="Arial" w:hAnsi="Arial" w:cs="Arial"/>
          <w:color w:val="18B8B0"/>
          <w:sz w:val="22"/>
          <w:szCs w:val="22"/>
        </w:rPr>
        <w:t>zv. Folknářská spojka</w:t>
      </w:r>
      <w:r w:rsidR="007C18BB" w:rsidRPr="006B0D1F">
        <w:rPr>
          <w:rFonts w:ascii="Arial" w:hAnsi="Arial" w:cs="Arial"/>
          <w:color w:val="18B8B0"/>
          <w:sz w:val="22"/>
          <w:szCs w:val="22"/>
        </w:rPr>
        <w:t>)</w:t>
      </w:r>
      <w:r w:rsidRPr="006B0D1F">
        <w:rPr>
          <w:rFonts w:ascii="Arial" w:hAnsi="Arial" w:cs="Arial"/>
          <w:color w:val="18B8B0"/>
          <w:sz w:val="22"/>
          <w:szCs w:val="22"/>
        </w:rPr>
        <w:t xml:space="preserve"> odlehčujícící ulici Kamenickou v pravobřežní části Děčína v prostoru Libverdy, včetně mimoúrovňové křižovatky na Folknářské spojce</w:t>
      </w:r>
      <w:r w:rsidR="00CF51D5" w:rsidRPr="006B0D1F">
        <w:rPr>
          <w:rFonts w:ascii="Arial" w:hAnsi="Arial" w:cs="Arial"/>
          <w:color w:val="18B8B0"/>
          <w:sz w:val="22"/>
          <w:szCs w:val="22"/>
        </w:rPr>
        <w:t xml:space="preserve">, </w:t>
      </w:r>
      <w:r w:rsidRPr="006B0D1F">
        <w:rPr>
          <w:rFonts w:ascii="Arial" w:hAnsi="Arial" w:cs="Arial"/>
          <w:color w:val="18B8B0"/>
          <w:sz w:val="22"/>
          <w:szCs w:val="22"/>
        </w:rPr>
        <w:t>stavby související s touto přeložkou</w:t>
      </w:r>
      <w:r w:rsidR="00CF51D5" w:rsidRPr="006B0D1F">
        <w:rPr>
          <w:rFonts w:ascii="Arial" w:hAnsi="Arial" w:cs="Arial"/>
          <w:color w:val="18B8B0"/>
          <w:sz w:val="22"/>
          <w:szCs w:val="22"/>
        </w:rPr>
        <w:t xml:space="preserve"> v rámci koridoru a </w:t>
      </w:r>
      <w:r w:rsidR="003222F3" w:rsidRPr="006B0D1F">
        <w:rPr>
          <w:rFonts w:ascii="Arial" w:hAnsi="Arial" w:cs="Arial"/>
          <w:color w:val="18B8B0"/>
          <w:sz w:val="22"/>
          <w:szCs w:val="22"/>
        </w:rPr>
        <w:t xml:space="preserve">realizačně a provozně nezbytné </w:t>
      </w:r>
      <w:r w:rsidR="00CF51D5" w:rsidRPr="006B0D1F">
        <w:rPr>
          <w:rFonts w:ascii="Arial" w:hAnsi="Arial" w:cs="Arial"/>
          <w:color w:val="18B8B0"/>
          <w:sz w:val="22"/>
          <w:szCs w:val="22"/>
        </w:rPr>
        <w:t>stavby vedlejší situované mimo koridor</w:t>
      </w:r>
      <w:r w:rsidR="003222F3" w:rsidRPr="006B0D1F">
        <w:rPr>
          <w:rFonts w:ascii="Arial" w:hAnsi="Arial" w:cs="Arial"/>
          <w:color w:val="18B8B0"/>
          <w:sz w:val="22"/>
          <w:szCs w:val="22"/>
        </w:rPr>
        <w:t xml:space="preserve">. </w:t>
      </w:r>
    </w:p>
    <w:p w14:paraId="2A366E8B" w14:textId="77777777" w:rsidR="002E729E" w:rsidRDefault="002E729E" w:rsidP="00CA23D0">
      <w:pPr>
        <w:jc w:val="both"/>
        <w:rPr>
          <w:rFonts w:ascii="Arial" w:hAnsi="Arial" w:cs="Arial"/>
          <w:sz w:val="22"/>
        </w:rPr>
      </w:pPr>
    </w:p>
    <w:p w14:paraId="053B8F5C" w14:textId="77777777" w:rsidR="002E729E" w:rsidRDefault="002E729E" w:rsidP="00CA23D0">
      <w:pPr>
        <w:jc w:val="both"/>
        <w:rPr>
          <w:rFonts w:ascii="Arial" w:hAnsi="Arial" w:cs="Arial"/>
          <w:sz w:val="22"/>
        </w:rPr>
      </w:pPr>
    </w:p>
    <w:p w14:paraId="58F76D20" w14:textId="77777777" w:rsidR="002E729E" w:rsidRPr="00674A39" w:rsidRDefault="002E729E" w:rsidP="002E729E">
      <w:pPr>
        <w:pStyle w:val="Nadpis"/>
        <w:jc w:val="left"/>
        <w:rPr>
          <w:sz w:val="48"/>
          <w:szCs w:val="48"/>
        </w:rPr>
      </w:pPr>
      <w:r w:rsidRPr="00674A39">
        <w:rPr>
          <w:sz w:val="48"/>
          <w:szCs w:val="48"/>
        </w:rPr>
        <w:t>R. NÁVRH LHŮT AKTUALIZACE</w:t>
      </w:r>
    </w:p>
    <w:p w14:paraId="27224103" w14:textId="77777777" w:rsidR="002E729E" w:rsidRPr="00F23CAB" w:rsidRDefault="002E729E" w:rsidP="002E729E">
      <w:pPr>
        <w:tabs>
          <w:tab w:val="decimal" w:pos="72"/>
          <w:tab w:val="decimal" w:pos="144"/>
          <w:tab w:val="right" w:pos="2679"/>
        </w:tabs>
        <w:spacing w:before="120" w:line="288" w:lineRule="auto"/>
        <w:ind w:left="72" w:firstLine="637"/>
        <w:jc w:val="both"/>
        <w:rPr>
          <w:rFonts w:ascii="Arial" w:hAnsi="Arial" w:cs="Arial"/>
          <w:sz w:val="22"/>
          <w:szCs w:val="22"/>
        </w:rPr>
      </w:pPr>
      <w:r>
        <w:rPr>
          <w:b/>
          <w:bCs/>
        </w:rPr>
        <w:tab/>
      </w:r>
      <w:r w:rsidRPr="00F23CAB">
        <w:rPr>
          <w:rFonts w:ascii="Arial" w:hAnsi="Arial" w:cs="Arial"/>
          <w:sz w:val="22"/>
          <w:szCs w:val="22"/>
        </w:rPr>
        <w:t>Aktualizace územního plánu města Děčína se provede na základě nových nároků či potřeb rozvoje území města formou "změn závazné části", projednaných a schvál</w:t>
      </w:r>
      <w:r>
        <w:rPr>
          <w:rFonts w:ascii="Arial" w:hAnsi="Arial" w:cs="Arial"/>
          <w:sz w:val="22"/>
          <w:szCs w:val="22"/>
        </w:rPr>
        <w:t>ených městským zastupitelstvem.</w:t>
      </w:r>
    </w:p>
    <w:p w14:paraId="6824E881" w14:textId="77777777" w:rsidR="002E729E" w:rsidRPr="00F23CAB" w:rsidRDefault="002E729E" w:rsidP="002E729E">
      <w:pPr>
        <w:tabs>
          <w:tab w:val="decimal" w:pos="72"/>
          <w:tab w:val="decimal" w:pos="144"/>
          <w:tab w:val="right" w:pos="2679"/>
        </w:tabs>
        <w:spacing w:before="120" w:line="288" w:lineRule="auto"/>
        <w:ind w:firstLine="637"/>
        <w:jc w:val="both"/>
        <w:rPr>
          <w:rFonts w:ascii="Arial" w:hAnsi="Arial" w:cs="Arial"/>
          <w:sz w:val="22"/>
          <w:szCs w:val="22"/>
        </w:rPr>
      </w:pPr>
      <w:r w:rsidRPr="00F23CAB">
        <w:rPr>
          <w:rFonts w:ascii="Arial" w:hAnsi="Arial" w:cs="Arial"/>
          <w:sz w:val="22"/>
          <w:szCs w:val="22"/>
        </w:rPr>
        <w:t>(§ 17 vyhl. č. 131/98 Sb.</w:t>
      </w:r>
      <w:r>
        <w:rPr>
          <w:rFonts w:ascii="Arial" w:hAnsi="Arial" w:cs="Arial"/>
          <w:sz w:val="22"/>
          <w:szCs w:val="22"/>
        </w:rPr>
        <w:t>,</w:t>
      </w:r>
      <w:r w:rsidRPr="00F23CAB">
        <w:rPr>
          <w:rFonts w:ascii="Arial" w:hAnsi="Arial" w:cs="Arial"/>
          <w:sz w:val="22"/>
          <w:szCs w:val="22"/>
        </w:rPr>
        <w:t xml:space="preserve"> o územně plánovacích podkladech a územně plánovací </w:t>
      </w:r>
      <w:r w:rsidRPr="00F23CAB">
        <w:rPr>
          <w:rFonts w:ascii="Arial" w:hAnsi="Arial" w:cs="Arial"/>
          <w:sz w:val="22"/>
          <w:szCs w:val="22"/>
        </w:rPr>
        <w:tab/>
        <w:t>dokumentaci)</w:t>
      </w:r>
    </w:p>
    <w:p w14:paraId="6AF88396" w14:textId="77777777" w:rsidR="002E729E" w:rsidRDefault="002E729E" w:rsidP="002E729E">
      <w:pPr>
        <w:pStyle w:val="Zkladntext"/>
        <w:spacing w:before="120" w:line="288" w:lineRule="auto"/>
      </w:pPr>
    </w:p>
    <w:p w14:paraId="5ADD12D1" w14:textId="77777777" w:rsidR="002E729E" w:rsidRPr="00674A39" w:rsidRDefault="002E729E" w:rsidP="002E729E">
      <w:pPr>
        <w:tabs>
          <w:tab w:val="decimal" w:pos="72"/>
          <w:tab w:val="decimal" w:pos="144"/>
          <w:tab w:val="right" w:pos="2679"/>
        </w:tabs>
        <w:spacing w:before="120" w:line="288" w:lineRule="auto"/>
        <w:ind w:left="72"/>
        <w:jc w:val="both"/>
        <w:rPr>
          <w:rFonts w:ascii="Arial" w:hAnsi="Arial" w:cs="Arial"/>
          <w:b/>
          <w:color w:val="00B050"/>
          <w:spacing w:val="3"/>
        </w:rPr>
      </w:pPr>
      <w:r w:rsidRPr="00674A39">
        <w:rPr>
          <w:rFonts w:ascii="Arial" w:hAnsi="Arial" w:cs="Arial"/>
          <w:b/>
          <w:color w:val="00B050"/>
        </w:rPr>
        <w:t xml:space="preserve">(Z1) </w:t>
      </w:r>
      <w:r w:rsidRPr="00674A39">
        <w:rPr>
          <w:rFonts w:ascii="Arial" w:hAnsi="Arial" w:cs="Arial"/>
          <w:b/>
          <w:color w:val="00B050"/>
          <w:spacing w:val="3"/>
        </w:rPr>
        <w:t>NÁVRH LH</w:t>
      </w:r>
      <w:r>
        <w:rPr>
          <w:rFonts w:ascii="Arial" w:hAnsi="Arial" w:cs="Arial"/>
          <w:b/>
          <w:color w:val="00B050"/>
          <w:spacing w:val="3"/>
        </w:rPr>
        <w:t>Ů</w:t>
      </w:r>
      <w:r w:rsidRPr="00674A39">
        <w:rPr>
          <w:rFonts w:ascii="Arial" w:hAnsi="Arial" w:cs="Arial"/>
          <w:b/>
          <w:color w:val="00B050"/>
          <w:spacing w:val="3"/>
        </w:rPr>
        <w:t>T AKTUALIZACE</w:t>
      </w:r>
    </w:p>
    <w:p w14:paraId="6E27C98B" w14:textId="77777777" w:rsidR="002E729E" w:rsidRPr="005D5A8E" w:rsidRDefault="002E729E" w:rsidP="002E729E">
      <w:pPr>
        <w:tabs>
          <w:tab w:val="decimal" w:pos="72"/>
          <w:tab w:val="decimal" w:pos="144"/>
          <w:tab w:val="right" w:pos="2679"/>
        </w:tabs>
        <w:spacing w:before="120" w:line="288" w:lineRule="auto"/>
        <w:ind w:left="72" w:firstLine="637"/>
        <w:jc w:val="both"/>
        <w:rPr>
          <w:rFonts w:ascii="Arial" w:hAnsi="Arial" w:cs="Arial"/>
          <w:color w:val="00B050"/>
          <w:spacing w:val="3"/>
          <w:sz w:val="22"/>
          <w:szCs w:val="22"/>
        </w:rPr>
      </w:pPr>
      <w:r w:rsidRPr="005D5A8E">
        <w:rPr>
          <w:rFonts w:ascii="Arial" w:hAnsi="Arial" w:cs="Arial"/>
          <w:color w:val="00B050"/>
          <w:spacing w:val="3"/>
          <w:sz w:val="22"/>
          <w:szCs w:val="22"/>
        </w:rPr>
        <w:t>Aktualizace územního plánu se navrhuje při zásadní změně v názoru na funkčnost územního plánu města Děčína, nejpozději však za čtyři roky.</w:t>
      </w:r>
    </w:p>
    <w:p w14:paraId="076BCFBD" w14:textId="77777777" w:rsidR="002E729E" w:rsidRPr="004D5578" w:rsidRDefault="002E729E" w:rsidP="002E729E">
      <w:pPr>
        <w:tabs>
          <w:tab w:val="decimal" w:pos="72"/>
          <w:tab w:val="decimal" w:pos="144"/>
          <w:tab w:val="right" w:pos="2679"/>
        </w:tabs>
        <w:spacing w:before="120" w:line="288" w:lineRule="auto"/>
        <w:ind w:left="72"/>
        <w:jc w:val="both"/>
        <w:rPr>
          <w:spacing w:val="3"/>
        </w:rPr>
      </w:pPr>
    </w:p>
    <w:p w14:paraId="4E0D2B0D" w14:textId="77777777" w:rsidR="002E729E" w:rsidRPr="00B74AFC" w:rsidRDefault="002E729E" w:rsidP="002E729E">
      <w:pPr>
        <w:spacing w:before="120" w:line="288" w:lineRule="auto"/>
        <w:rPr>
          <w:rFonts w:ascii="Arial" w:hAnsi="Arial" w:cs="Arial"/>
          <w:b/>
          <w:color w:val="BF8F00"/>
        </w:rPr>
      </w:pPr>
      <w:r w:rsidRPr="00B74AFC">
        <w:rPr>
          <w:rFonts w:ascii="Arial" w:hAnsi="Arial" w:cs="Arial"/>
          <w:b/>
          <w:color w:val="BF8F00"/>
        </w:rPr>
        <w:t>(Z2) KAPITOLA NENÍ ZASTOUPENA VE ZMĚNĚ Č. 2.</w:t>
      </w:r>
    </w:p>
    <w:p w14:paraId="6A395DB3" w14:textId="77777777" w:rsidR="002E729E" w:rsidRPr="005D5A8E" w:rsidRDefault="002E729E" w:rsidP="002E729E">
      <w:pPr>
        <w:spacing w:before="120" w:line="288" w:lineRule="auto"/>
        <w:rPr>
          <w:rFonts w:ascii="Arial" w:hAnsi="Arial" w:cs="Arial"/>
          <w:color w:val="0066FF"/>
          <w:sz w:val="22"/>
          <w:szCs w:val="22"/>
        </w:rPr>
      </w:pPr>
    </w:p>
    <w:p w14:paraId="35CC7CE9" w14:textId="77777777" w:rsidR="002E729E" w:rsidRPr="00674A39" w:rsidRDefault="002E729E" w:rsidP="002E729E">
      <w:pPr>
        <w:spacing w:before="120" w:line="288" w:lineRule="auto"/>
        <w:jc w:val="both"/>
        <w:rPr>
          <w:rFonts w:ascii="Arial" w:hAnsi="Arial" w:cs="Arial"/>
          <w:b/>
          <w:color w:val="0066FF"/>
        </w:rPr>
      </w:pPr>
      <w:r w:rsidRPr="00674A39">
        <w:rPr>
          <w:rFonts w:ascii="Arial" w:hAnsi="Arial" w:cs="Arial"/>
          <w:b/>
          <w:color w:val="0066FF"/>
        </w:rPr>
        <w:t>(Z4) NÁVRH LH</w:t>
      </w:r>
      <w:r>
        <w:rPr>
          <w:rFonts w:ascii="Arial" w:hAnsi="Arial" w:cs="Arial"/>
          <w:b/>
          <w:color w:val="0066FF"/>
        </w:rPr>
        <w:t>Ů</w:t>
      </w:r>
      <w:r w:rsidRPr="00674A39">
        <w:rPr>
          <w:rFonts w:ascii="Arial" w:hAnsi="Arial" w:cs="Arial"/>
          <w:b/>
          <w:color w:val="0066FF"/>
        </w:rPr>
        <w:t>T AKTUALIZACE</w:t>
      </w:r>
    </w:p>
    <w:p w14:paraId="00E0CB2B" w14:textId="77777777" w:rsidR="002E729E" w:rsidRDefault="002E729E" w:rsidP="002E729E">
      <w:pPr>
        <w:spacing w:before="120" w:line="288" w:lineRule="auto"/>
        <w:ind w:firstLine="709"/>
        <w:jc w:val="both"/>
        <w:rPr>
          <w:rFonts w:ascii="Arial" w:hAnsi="Arial" w:cs="Arial"/>
          <w:color w:val="0066FF"/>
          <w:sz w:val="22"/>
          <w:szCs w:val="22"/>
        </w:rPr>
      </w:pPr>
      <w:r w:rsidRPr="005D5A8E">
        <w:rPr>
          <w:rFonts w:ascii="Arial" w:hAnsi="Arial" w:cs="Arial"/>
          <w:color w:val="0066FF"/>
          <w:sz w:val="22"/>
          <w:szCs w:val="22"/>
        </w:rPr>
        <w:t>Aktualizace územního plánu se navrhuje při zásadní změně v názoru na funkčnost územního plánu města Děčína, nejpozději však za čtyři roky.</w:t>
      </w:r>
    </w:p>
    <w:p w14:paraId="4ADEDFE7" w14:textId="77777777" w:rsidR="002E729E" w:rsidRDefault="002E729E" w:rsidP="002E729E">
      <w:pPr>
        <w:spacing w:before="120" w:line="288" w:lineRule="auto"/>
        <w:jc w:val="both"/>
        <w:rPr>
          <w:rFonts w:ascii="Arial" w:hAnsi="Arial" w:cs="Arial"/>
          <w:color w:val="0066FF"/>
          <w:sz w:val="22"/>
          <w:szCs w:val="22"/>
        </w:rPr>
      </w:pPr>
    </w:p>
    <w:p w14:paraId="63406BFF" w14:textId="77777777" w:rsidR="002E729E" w:rsidRPr="00B74AFC" w:rsidRDefault="002E729E" w:rsidP="002E729E">
      <w:pPr>
        <w:spacing w:before="120" w:line="288" w:lineRule="auto"/>
        <w:jc w:val="both"/>
        <w:rPr>
          <w:rFonts w:ascii="Arial" w:hAnsi="Arial" w:cs="Arial"/>
          <w:b/>
          <w:color w:val="D60093"/>
        </w:rPr>
      </w:pPr>
      <w:r w:rsidRPr="00B74AFC">
        <w:rPr>
          <w:rFonts w:ascii="Arial" w:hAnsi="Arial" w:cs="Arial"/>
          <w:b/>
          <w:color w:val="D60093"/>
        </w:rPr>
        <w:t>(Z6) KAPITOLA NENÍ ZASTOUPENA VE ZMĚNĚ Č. 6.</w:t>
      </w:r>
    </w:p>
    <w:p w14:paraId="397BFB17" w14:textId="77777777" w:rsidR="002E729E" w:rsidRPr="00B74AFC" w:rsidRDefault="002E729E" w:rsidP="002E729E">
      <w:pPr>
        <w:spacing w:before="120" w:line="288" w:lineRule="auto"/>
        <w:jc w:val="both"/>
        <w:rPr>
          <w:rFonts w:ascii="Arial" w:hAnsi="Arial" w:cs="Arial"/>
          <w:b/>
          <w:color w:val="D60093"/>
        </w:rPr>
      </w:pPr>
    </w:p>
    <w:p w14:paraId="645C78F2" w14:textId="77777777" w:rsidR="002E729E" w:rsidRPr="00B74AFC" w:rsidRDefault="002E729E" w:rsidP="002E729E">
      <w:pPr>
        <w:spacing w:before="120" w:line="288" w:lineRule="auto"/>
        <w:jc w:val="both"/>
        <w:rPr>
          <w:rFonts w:ascii="Arial" w:hAnsi="Arial" w:cs="Arial"/>
          <w:b/>
          <w:color w:val="FF0000"/>
        </w:rPr>
      </w:pPr>
      <w:r w:rsidRPr="00B74AFC">
        <w:rPr>
          <w:rFonts w:ascii="Arial" w:hAnsi="Arial" w:cs="Arial"/>
          <w:b/>
          <w:color w:val="FF0000"/>
        </w:rPr>
        <w:t>(Z8) KAPITOLA NENÍ ZASTOUPENA VE ZMĚNĚ Č. 8.</w:t>
      </w:r>
    </w:p>
    <w:p w14:paraId="4A98C2B7" w14:textId="77777777" w:rsidR="002E729E" w:rsidRPr="005D5A8E" w:rsidRDefault="002E729E" w:rsidP="002E729E">
      <w:pPr>
        <w:spacing w:before="120" w:line="288" w:lineRule="auto"/>
        <w:jc w:val="both"/>
        <w:rPr>
          <w:rFonts w:ascii="Arial" w:hAnsi="Arial" w:cs="Arial"/>
          <w:color w:val="D60093"/>
          <w:sz w:val="22"/>
          <w:szCs w:val="22"/>
        </w:rPr>
      </w:pPr>
    </w:p>
    <w:p w14:paraId="6172C869" w14:textId="77777777" w:rsidR="00397751" w:rsidRPr="00397751" w:rsidRDefault="00397751" w:rsidP="00397751">
      <w:pPr>
        <w:spacing w:before="120" w:line="288" w:lineRule="auto"/>
        <w:jc w:val="both"/>
        <w:rPr>
          <w:rFonts w:ascii="Arial" w:hAnsi="Arial" w:cs="Arial"/>
          <w:b/>
          <w:color w:val="18B8B0"/>
        </w:rPr>
      </w:pPr>
      <w:r w:rsidRPr="006B0D1F">
        <w:rPr>
          <w:rFonts w:ascii="Arial" w:hAnsi="Arial" w:cs="Arial"/>
          <w:b/>
          <w:color w:val="18B8B0"/>
        </w:rPr>
        <w:t>(Z12) KAPITOLA NENÍ ZASTOUPENA VE ZMĚNĚ Č. 12.</w:t>
      </w:r>
    </w:p>
    <w:p w14:paraId="2DCCC373" w14:textId="77777777" w:rsidR="002E729E" w:rsidRPr="005D5A8E" w:rsidRDefault="002E729E" w:rsidP="002E729E">
      <w:pPr>
        <w:spacing w:before="120" w:line="288" w:lineRule="auto"/>
        <w:rPr>
          <w:rFonts w:ascii="Arial" w:hAnsi="Arial" w:cs="Arial"/>
          <w:color w:val="BF8F00"/>
          <w:sz w:val="22"/>
          <w:szCs w:val="22"/>
        </w:rPr>
      </w:pPr>
    </w:p>
    <w:p w14:paraId="2372E31A" w14:textId="77777777" w:rsidR="002E729E" w:rsidRDefault="002E729E" w:rsidP="00CA23D0">
      <w:pPr>
        <w:jc w:val="both"/>
        <w:rPr>
          <w:rFonts w:ascii="Arial" w:hAnsi="Arial" w:cs="Arial"/>
          <w:sz w:val="22"/>
        </w:rPr>
      </w:pPr>
    </w:p>
    <w:p w14:paraId="097F2B80" w14:textId="77777777" w:rsidR="002E729E" w:rsidRDefault="002E729E" w:rsidP="002E729E">
      <w:pPr>
        <w:tabs>
          <w:tab w:val="decimal" w:pos="72"/>
          <w:tab w:val="decimal" w:pos="144"/>
          <w:tab w:val="right" w:pos="2679"/>
        </w:tabs>
        <w:spacing w:before="36" w:line="276" w:lineRule="auto"/>
        <w:ind w:left="72"/>
        <w:jc w:val="both"/>
        <w:rPr>
          <w:rFonts w:ascii="Arial" w:hAnsi="Arial" w:cs="Arial"/>
          <w:b/>
          <w:spacing w:val="3"/>
          <w:sz w:val="48"/>
          <w:szCs w:val="48"/>
        </w:rPr>
      </w:pPr>
      <w:r w:rsidRPr="00624F40">
        <w:rPr>
          <w:rFonts w:ascii="Arial" w:hAnsi="Arial" w:cs="Arial"/>
          <w:b/>
          <w:spacing w:val="3"/>
          <w:sz w:val="48"/>
          <w:szCs w:val="48"/>
        </w:rPr>
        <w:t>R. DOPLŇKOVÁ KAPITOLA</w:t>
      </w:r>
    </w:p>
    <w:p w14:paraId="6EB472D0" w14:textId="77777777" w:rsidR="002E729E" w:rsidRPr="002E729E" w:rsidRDefault="002E729E" w:rsidP="002E729E">
      <w:pPr>
        <w:tabs>
          <w:tab w:val="decimal" w:pos="144"/>
          <w:tab w:val="decimal" w:pos="1134"/>
          <w:tab w:val="right" w:pos="2679"/>
        </w:tabs>
        <w:spacing w:before="120" w:line="288" w:lineRule="auto"/>
        <w:ind w:firstLine="709"/>
        <w:jc w:val="both"/>
        <w:rPr>
          <w:rFonts w:ascii="Arial" w:hAnsi="Arial" w:cs="Arial"/>
          <w:spacing w:val="3"/>
          <w:sz w:val="22"/>
          <w:szCs w:val="22"/>
        </w:rPr>
      </w:pPr>
      <w:r w:rsidRPr="002E729E">
        <w:rPr>
          <w:rFonts w:ascii="Arial" w:hAnsi="Arial" w:cs="Arial"/>
          <w:spacing w:val="3"/>
          <w:sz w:val="22"/>
          <w:szCs w:val="22"/>
        </w:rPr>
        <w:t xml:space="preserve">Tato kapitola obsahuje pasáže z jednotlivých změn ÚPN, které nebylo možno zařadit do žádné z kapitol původního územního plánu města Děčína. </w:t>
      </w:r>
    </w:p>
    <w:p w14:paraId="1BA580F0" w14:textId="77777777" w:rsidR="002E729E" w:rsidRPr="002E729E" w:rsidRDefault="002E729E" w:rsidP="002E729E">
      <w:pPr>
        <w:tabs>
          <w:tab w:val="decimal" w:pos="144"/>
          <w:tab w:val="decimal" w:pos="1134"/>
          <w:tab w:val="right" w:pos="2679"/>
        </w:tabs>
        <w:spacing w:before="120" w:line="288" w:lineRule="auto"/>
        <w:ind w:firstLine="709"/>
        <w:jc w:val="both"/>
        <w:rPr>
          <w:rFonts w:ascii="Arial" w:hAnsi="Arial" w:cs="Arial"/>
          <w:spacing w:val="3"/>
          <w:sz w:val="22"/>
          <w:szCs w:val="22"/>
        </w:rPr>
      </w:pPr>
    </w:p>
    <w:p w14:paraId="375035E7" w14:textId="77777777" w:rsidR="002E729E" w:rsidRPr="002E729E" w:rsidRDefault="002E729E" w:rsidP="002E729E">
      <w:pPr>
        <w:tabs>
          <w:tab w:val="decimal" w:pos="144"/>
          <w:tab w:val="decimal" w:pos="1134"/>
          <w:tab w:val="right" w:pos="2679"/>
        </w:tabs>
        <w:spacing w:before="120" w:line="288" w:lineRule="auto"/>
        <w:jc w:val="both"/>
        <w:rPr>
          <w:rFonts w:ascii="Arial" w:hAnsi="Arial" w:cs="Arial"/>
          <w:b/>
          <w:color w:val="00B050"/>
          <w:spacing w:val="3"/>
          <w:sz w:val="22"/>
          <w:szCs w:val="22"/>
        </w:rPr>
      </w:pPr>
      <w:r w:rsidRPr="002E729E">
        <w:rPr>
          <w:rFonts w:ascii="Arial" w:hAnsi="Arial" w:cs="Arial"/>
          <w:b/>
          <w:color w:val="00B050"/>
          <w:spacing w:val="3"/>
          <w:sz w:val="22"/>
          <w:szCs w:val="22"/>
        </w:rPr>
        <w:t>(Z1) VYHODNOCENÍ SOULADU S CÍLI ÚZEMNÍHO PLÁNOVÁNÍ</w:t>
      </w:r>
    </w:p>
    <w:p w14:paraId="1B30BA09" w14:textId="77777777" w:rsidR="002E729E" w:rsidRPr="002E729E" w:rsidRDefault="002E729E" w:rsidP="002E729E">
      <w:pPr>
        <w:tabs>
          <w:tab w:val="decimal" w:pos="144"/>
          <w:tab w:val="decimal" w:pos="1134"/>
          <w:tab w:val="right" w:pos="2679"/>
        </w:tabs>
        <w:spacing w:before="120" w:line="288" w:lineRule="auto"/>
        <w:ind w:firstLine="709"/>
        <w:jc w:val="both"/>
        <w:rPr>
          <w:rFonts w:ascii="Arial" w:hAnsi="Arial" w:cs="Arial"/>
          <w:color w:val="00B050"/>
          <w:spacing w:val="3"/>
          <w:sz w:val="22"/>
          <w:szCs w:val="22"/>
        </w:rPr>
      </w:pPr>
      <w:r w:rsidRPr="002E729E">
        <w:rPr>
          <w:rFonts w:ascii="Arial" w:hAnsi="Arial" w:cs="Arial"/>
          <w:color w:val="00B050"/>
          <w:spacing w:val="3"/>
          <w:sz w:val="22"/>
          <w:szCs w:val="22"/>
        </w:rPr>
        <w:t>Zadáním l. změny ÚPn M respektuje Zastupitelstvo města veřejný zájem. Návrhy na rozšíření zastavitelného území byly již uplatněny v průběhu dokončovacích prací na ÚPn M a v průběhu schvalovacího procesu v roce 2002.</w:t>
      </w:r>
    </w:p>
    <w:p w14:paraId="375D99F3" w14:textId="77777777" w:rsidR="002E729E" w:rsidRPr="002E729E" w:rsidRDefault="002E729E" w:rsidP="002E729E">
      <w:pPr>
        <w:tabs>
          <w:tab w:val="decimal" w:pos="144"/>
          <w:tab w:val="decimal" w:pos="1134"/>
          <w:tab w:val="right" w:pos="2679"/>
        </w:tabs>
        <w:spacing w:before="120" w:line="288" w:lineRule="auto"/>
        <w:ind w:firstLine="709"/>
        <w:jc w:val="both"/>
        <w:rPr>
          <w:rFonts w:ascii="Arial" w:hAnsi="Arial" w:cs="Arial"/>
          <w:color w:val="00B050"/>
          <w:spacing w:val="3"/>
          <w:sz w:val="22"/>
          <w:szCs w:val="22"/>
        </w:rPr>
      </w:pPr>
      <w:r w:rsidRPr="002E729E">
        <w:rPr>
          <w:rFonts w:ascii="Arial" w:hAnsi="Arial" w:cs="Arial"/>
          <w:color w:val="00B050"/>
          <w:spacing w:val="3"/>
          <w:sz w:val="22"/>
          <w:szCs w:val="22"/>
        </w:rPr>
        <w:t>Zastupitelstvo města rozhodlo nekomplikovat proces dokončení a schvalování ÚPn a schválené požadavky na další rozvoj města řešit následně v l. změně ÚPn M. Na základě zpracovaného ÚPn M v roce 2002 se předpokládal demografický rozvoj města (při realizaci všech navržených lokalit ve dvou etapách) na hodnotu 55 225 obyvatel z čehož nové lokality vytváří prostor pro 4 270 obyvatel.</w:t>
      </w:r>
    </w:p>
    <w:p w14:paraId="1CE7DF56" w14:textId="77777777" w:rsidR="002E729E" w:rsidRPr="002E729E" w:rsidRDefault="002E729E" w:rsidP="002E729E">
      <w:pPr>
        <w:tabs>
          <w:tab w:val="decimal" w:pos="144"/>
          <w:tab w:val="decimal" w:pos="1134"/>
          <w:tab w:val="right" w:pos="2679"/>
        </w:tabs>
        <w:spacing w:before="120" w:line="288" w:lineRule="auto"/>
        <w:ind w:firstLine="709"/>
        <w:jc w:val="both"/>
        <w:rPr>
          <w:rFonts w:ascii="Arial" w:hAnsi="Arial" w:cs="Arial"/>
          <w:color w:val="00B050"/>
          <w:spacing w:val="3"/>
          <w:sz w:val="22"/>
          <w:szCs w:val="22"/>
        </w:rPr>
      </w:pPr>
      <w:r w:rsidRPr="002E729E">
        <w:rPr>
          <w:rFonts w:ascii="Arial" w:hAnsi="Arial" w:cs="Arial"/>
          <w:color w:val="00B050"/>
          <w:spacing w:val="3"/>
          <w:sz w:val="22"/>
          <w:szCs w:val="22"/>
        </w:rPr>
        <w:t>Návrh l. změny navrhuje, vyjma ploch nezávadné výroby a služeb cca-4,5 ha, nové funkční plochy bydlení pro cca 550 - 750 obyvatel (27 ha). Teoreticky by se tak kapacita obytného území zvýšila na 55 800 - 56000 obyvatel. Největší nárůst je v okrajových částech Chrochvíce a Folknáře.</w:t>
      </w:r>
    </w:p>
    <w:p w14:paraId="066FBAD7" w14:textId="77777777" w:rsidR="002E729E" w:rsidRPr="002E729E" w:rsidRDefault="002E729E" w:rsidP="002E729E">
      <w:pPr>
        <w:tabs>
          <w:tab w:val="decimal" w:pos="144"/>
          <w:tab w:val="decimal" w:pos="1134"/>
          <w:tab w:val="right" w:pos="2679"/>
        </w:tabs>
        <w:spacing w:before="120" w:line="288" w:lineRule="auto"/>
        <w:ind w:firstLine="709"/>
        <w:jc w:val="both"/>
        <w:rPr>
          <w:rFonts w:ascii="Arial" w:hAnsi="Arial" w:cs="Arial"/>
          <w:color w:val="00B050"/>
          <w:spacing w:val="3"/>
          <w:sz w:val="22"/>
          <w:szCs w:val="22"/>
        </w:rPr>
      </w:pPr>
      <w:r w:rsidRPr="002E729E">
        <w:rPr>
          <w:rFonts w:ascii="Arial" w:hAnsi="Arial" w:cs="Arial"/>
          <w:color w:val="00B050"/>
          <w:spacing w:val="3"/>
          <w:sz w:val="22"/>
          <w:szCs w:val="22"/>
        </w:rPr>
        <w:t>Z uvedených kapacit nových obytných ploch vyplývá, že veřejný zájem je respektován dostatečnou nabídkou ploch pro rozvoj funkce bydlení.</w:t>
      </w:r>
    </w:p>
    <w:p w14:paraId="075F805B" w14:textId="77777777" w:rsidR="002E729E" w:rsidRPr="002E729E" w:rsidRDefault="002E729E" w:rsidP="002E729E">
      <w:pPr>
        <w:tabs>
          <w:tab w:val="decimal" w:pos="144"/>
          <w:tab w:val="decimal" w:pos="1134"/>
          <w:tab w:val="right" w:pos="2679"/>
        </w:tabs>
        <w:spacing w:before="120" w:line="288" w:lineRule="auto"/>
        <w:ind w:firstLine="709"/>
        <w:jc w:val="both"/>
        <w:rPr>
          <w:rFonts w:ascii="Arial" w:hAnsi="Arial" w:cs="Arial"/>
          <w:color w:val="00B050"/>
          <w:spacing w:val="3"/>
          <w:sz w:val="22"/>
          <w:szCs w:val="22"/>
        </w:rPr>
      </w:pPr>
      <w:r w:rsidRPr="002E729E">
        <w:rPr>
          <w:rFonts w:ascii="Arial" w:hAnsi="Arial" w:cs="Arial"/>
          <w:color w:val="00B050"/>
          <w:spacing w:val="3"/>
          <w:sz w:val="22"/>
          <w:szCs w:val="22"/>
        </w:rPr>
        <w:t>Vzhledem k velkému počtu nových lokalit bydlení v obou etapách ÚPn M by bylo hodně nově zpracovat etapizaci všech nových rozvojových ploch.</w:t>
      </w:r>
    </w:p>
    <w:p w14:paraId="75CBEA03" w14:textId="77777777" w:rsidR="002E729E" w:rsidRPr="002E729E" w:rsidRDefault="002E729E" w:rsidP="002E729E">
      <w:pPr>
        <w:tabs>
          <w:tab w:val="decimal" w:pos="144"/>
          <w:tab w:val="decimal" w:pos="1134"/>
          <w:tab w:val="right" w:pos="2679"/>
        </w:tabs>
        <w:spacing w:before="120" w:line="288" w:lineRule="auto"/>
        <w:ind w:firstLine="709"/>
        <w:jc w:val="both"/>
        <w:rPr>
          <w:rFonts w:ascii="Arial" w:hAnsi="Arial" w:cs="Arial"/>
          <w:color w:val="00B050"/>
          <w:spacing w:val="3"/>
          <w:sz w:val="22"/>
          <w:szCs w:val="22"/>
        </w:rPr>
      </w:pPr>
      <w:r w:rsidRPr="002E729E">
        <w:rPr>
          <w:rFonts w:ascii="Arial" w:hAnsi="Arial" w:cs="Arial"/>
          <w:color w:val="00B050"/>
          <w:spacing w:val="3"/>
          <w:sz w:val="22"/>
          <w:szCs w:val="22"/>
        </w:rPr>
        <w:t>Situování nových obytných výrobních lokalit navazuje na současné zastavené území města. Plochy jsou situovány mimo cenné kvalitní přírodní prostředí a prvky systému ekologické stability.</w:t>
      </w:r>
    </w:p>
    <w:p w14:paraId="2ADD75D1" w14:textId="77777777" w:rsidR="002E729E" w:rsidRPr="002E729E" w:rsidRDefault="002E729E" w:rsidP="002E729E">
      <w:pPr>
        <w:tabs>
          <w:tab w:val="decimal" w:pos="144"/>
          <w:tab w:val="decimal" w:pos="1134"/>
          <w:tab w:val="right" w:pos="2679"/>
        </w:tabs>
        <w:spacing w:before="120" w:line="288" w:lineRule="auto"/>
        <w:ind w:firstLine="709"/>
        <w:jc w:val="both"/>
        <w:rPr>
          <w:rFonts w:ascii="Arial" w:hAnsi="Arial" w:cs="Arial"/>
          <w:color w:val="00B050"/>
          <w:spacing w:val="3"/>
          <w:sz w:val="22"/>
          <w:szCs w:val="22"/>
        </w:rPr>
      </w:pPr>
      <w:r w:rsidRPr="002E729E">
        <w:rPr>
          <w:rFonts w:ascii="Arial" w:hAnsi="Arial" w:cs="Arial"/>
          <w:color w:val="00B050"/>
          <w:spacing w:val="3"/>
          <w:sz w:val="22"/>
          <w:szCs w:val="22"/>
        </w:rPr>
        <w:t>Navržené plochy výrobní plochy (nezávadná výroba a služby) navazuje na navrženou koncepci hospodářského rozvoje UPn z roku 2002.</w:t>
      </w:r>
    </w:p>
    <w:p w14:paraId="0CFDAF2A" w14:textId="77777777" w:rsidR="002E729E" w:rsidRPr="002E729E" w:rsidRDefault="002E729E" w:rsidP="002E729E">
      <w:pPr>
        <w:tabs>
          <w:tab w:val="decimal" w:pos="144"/>
          <w:tab w:val="decimal" w:pos="1134"/>
          <w:tab w:val="right" w:pos="2679"/>
        </w:tabs>
        <w:spacing w:before="120" w:line="288" w:lineRule="auto"/>
        <w:ind w:firstLine="709"/>
        <w:jc w:val="both"/>
        <w:rPr>
          <w:rFonts w:ascii="Arial" w:hAnsi="Arial" w:cs="Arial"/>
          <w:color w:val="00B050"/>
          <w:spacing w:val="3"/>
          <w:sz w:val="22"/>
          <w:szCs w:val="22"/>
        </w:rPr>
      </w:pPr>
      <w:r w:rsidRPr="002E729E">
        <w:rPr>
          <w:rFonts w:ascii="Arial" w:hAnsi="Arial" w:cs="Arial"/>
          <w:color w:val="00B050"/>
          <w:spacing w:val="3"/>
          <w:sz w:val="22"/>
          <w:szCs w:val="22"/>
        </w:rPr>
        <w:t>Navržená změna ÚPn M nemá zásadní vliv na stávající sociální podmínky v území.</w:t>
      </w:r>
    </w:p>
    <w:p w14:paraId="7B35A8BC" w14:textId="77777777" w:rsidR="002E729E" w:rsidRPr="002E729E" w:rsidRDefault="002E729E" w:rsidP="002E729E">
      <w:pPr>
        <w:tabs>
          <w:tab w:val="decimal" w:pos="144"/>
          <w:tab w:val="decimal" w:pos="1134"/>
          <w:tab w:val="right" w:pos="2679"/>
        </w:tabs>
        <w:spacing w:before="120" w:line="288" w:lineRule="auto"/>
        <w:ind w:firstLine="709"/>
        <w:jc w:val="both"/>
        <w:rPr>
          <w:rFonts w:ascii="Arial" w:hAnsi="Arial" w:cs="Arial"/>
          <w:color w:val="00B050"/>
          <w:spacing w:val="3"/>
          <w:sz w:val="22"/>
          <w:szCs w:val="22"/>
        </w:rPr>
      </w:pPr>
      <w:r w:rsidRPr="002E729E">
        <w:rPr>
          <w:rFonts w:ascii="Arial" w:hAnsi="Arial" w:cs="Arial"/>
          <w:color w:val="00B050"/>
          <w:spacing w:val="3"/>
          <w:sz w:val="22"/>
          <w:szCs w:val="22"/>
        </w:rPr>
        <w:t>V řešeném území 1. změny ÚPn nejsou žádné hodnoty kulturního dědictví.</w:t>
      </w:r>
    </w:p>
    <w:p w14:paraId="54972344" w14:textId="77777777" w:rsidR="002E729E" w:rsidRPr="002E729E" w:rsidRDefault="002E729E" w:rsidP="002E729E">
      <w:pPr>
        <w:tabs>
          <w:tab w:val="decimal" w:pos="567"/>
          <w:tab w:val="right" w:pos="2679"/>
        </w:tabs>
        <w:spacing w:before="120" w:line="288" w:lineRule="auto"/>
        <w:ind w:firstLine="709"/>
        <w:jc w:val="both"/>
        <w:rPr>
          <w:rFonts w:ascii="Arial" w:hAnsi="Arial" w:cs="Arial"/>
          <w:color w:val="538135"/>
          <w:spacing w:val="3"/>
          <w:sz w:val="22"/>
          <w:szCs w:val="22"/>
        </w:rPr>
      </w:pPr>
    </w:p>
    <w:p w14:paraId="4530C1FE" w14:textId="77777777" w:rsidR="002E729E" w:rsidRPr="002E729E" w:rsidRDefault="002E729E" w:rsidP="002E729E">
      <w:pPr>
        <w:tabs>
          <w:tab w:val="decimal" w:pos="567"/>
          <w:tab w:val="right" w:pos="2679"/>
        </w:tabs>
        <w:spacing w:before="120" w:line="288" w:lineRule="auto"/>
        <w:jc w:val="both"/>
        <w:rPr>
          <w:rFonts w:ascii="Arial" w:hAnsi="Arial" w:cs="Arial"/>
          <w:b/>
          <w:color w:val="BF8F00"/>
          <w:sz w:val="22"/>
          <w:szCs w:val="22"/>
        </w:rPr>
      </w:pPr>
      <w:r w:rsidRPr="002E729E">
        <w:rPr>
          <w:rFonts w:ascii="Arial" w:hAnsi="Arial" w:cs="Arial"/>
          <w:b/>
          <w:color w:val="BF8F00"/>
          <w:sz w:val="22"/>
          <w:szCs w:val="22"/>
        </w:rPr>
        <w:t>(Z2) KAPITOLA NENÍ ZASTOUPENA VE ZMĚNĚ Č. 2.</w:t>
      </w:r>
    </w:p>
    <w:p w14:paraId="7A8F0264" w14:textId="77777777" w:rsidR="002E729E" w:rsidRPr="002E729E" w:rsidRDefault="002E729E" w:rsidP="002E729E">
      <w:pPr>
        <w:tabs>
          <w:tab w:val="decimal" w:pos="567"/>
          <w:tab w:val="right" w:pos="2679"/>
        </w:tabs>
        <w:spacing w:before="120" w:line="288" w:lineRule="auto"/>
        <w:jc w:val="both"/>
        <w:rPr>
          <w:rFonts w:ascii="Arial" w:hAnsi="Arial" w:cs="Arial"/>
          <w:b/>
          <w:color w:val="538135"/>
          <w:spacing w:val="3"/>
          <w:sz w:val="22"/>
          <w:szCs w:val="22"/>
        </w:rPr>
      </w:pPr>
    </w:p>
    <w:p w14:paraId="5B5B9D5A" w14:textId="77777777" w:rsidR="002E729E" w:rsidRPr="002E729E" w:rsidRDefault="002E729E" w:rsidP="002E729E">
      <w:pPr>
        <w:spacing w:before="120" w:line="288" w:lineRule="auto"/>
        <w:jc w:val="both"/>
        <w:rPr>
          <w:rFonts w:ascii="Arial" w:hAnsi="Arial" w:cs="Arial"/>
          <w:b/>
          <w:color w:val="0066FF"/>
          <w:sz w:val="22"/>
          <w:szCs w:val="22"/>
        </w:rPr>
      </w:pPr>
      <w:r w:rsidRPr="002E729E">
        <w:rPr>
          <w:rFonts w:ascii="Arial" w:hAnsi="Arial" w:cs="Arial"/>
          <w:b/>
          <w:color w:val="0066FF"/>
          <w:sz w:val="22"/>
          <w:szCs w:val="22"/>
        </w:rPr>
        <w:t>(Z4) VYHODNOCENÍ SOULADU S CÍLI ÚZEMNÍHO PLÁNOVÁNÍ</w:t>
      </w:r>
    </w:p>
    <w:p w14:paraId="64B07C9B" w14:textId="77777777" w:rsidR="002E729E" w:rsidRPr="002E729E" w:rsidRDefault="002E729E" w:rsidP="002E729E">
      <w:pPr>
        <w:spacing w:before="120" w:line="288" w:lineRule="auto"/>
        <w:ind w:firstLine="709"/>
        <w:jc w:val="both"/>
        <w:rPr>
          <w:rFonts w:ascii="Arial" w:hAnsi="Arial" w:cs="Arial"/>
          <w:color w:val="0066FF"/>
          <w:sz w:val="22"/>
          <w:szCs w:val="22"/>
        </w:rPr>
      </w:pPr>
      <w:r w:rsidRPr="002E729E">
        <w:rPr>
          <w:rFonts w:ascii="Arial" w:hAnsi="Arial" w:cs="Arial"/>
          <w:color w:val="0066FF"/>
          <w:sz w:val="22"/>
          <w:szCs w:val="22"/>
        </w:rPr>
        <w:t>Zadáním 4. změna ÚPn M respektuje Zastupitelstvo města veřejný zájem na rozvoj ploch bydlení.</w:t>
      </w:r>
    </w:p>
    <w:p w14:paraId="61A92A43" w14:textId="77777777" w:rsidR="002E729E" w:rsidRPr="002E729E" w:rsidRDefault="002E729E" w:rsidP="002E729E">
      <w:pPr>
        <w:spacing w:before="120" w:line="288" w:lineRule="auto"/>
        <w:ind w:firstLine="709"/>
        <w:jc w:val="both"/>
        <w:rPr>
          <w:rFonts w:ascii="Arial" w:hAnsi="Arial" w:cs="Arial"/>
          <w:color w:val="0066FF"/>
          <w:sz w:val="22"/>
          <w:szCs w:val="22"/>
        </w:rPr>
      </w:pPr>
      <w:r w:rsidRPr="002E729E">
        <w:rPr>
          <w:rFonts w:ascii="Arial" w:hAnsi="Arial" w:cs="Arial"/>
          <w:color w:val="0066FF"/>
          <w:sz w:val="22"/>
          <w:szCs w:val="22"/>
        </w:rPr>
        <w:t>Situování nové obytné plochy navazuje na současně, zastavené území města. Plocha je situována v souladu se schváleným výhledem ÚPn M 2 roku 2002. Plocha je navrhována ve IV. Zóně CHKO Ceské středohoří a je mimo cenné kvalitní přírodní prostředí a prvky systému ekologické stability.</w:t>
      </w:r>
    </w:p>
    <w:p w14:paraId="31C73205" w14:textId="77777777" w:rsidR="002E729E" w:rsidRPr="002E729E" w:rsidRDefault="002E729E" w:rsidP="002E729E">
      <w:pPr>
        <w:spacing w:before="120" w:line="288" w:lineRule="auto"/>
        <w:ind w:firstLine="709"/>
        <w:jc w:val="both"/>
        <w:rPr>
          <w:rFonts w:ascii="Arial" w:hAnsi="Arial" w:cs="Arial"/>
          <w:color w:val="0066FF"/>
          <w:sz w:val="22"/>
          <w:szCs w:val="22"/>
        </w:rPr>
      </w:pPr>
      <w:r w:rsidRPr="002E729E">
        <w:rPr>
          <w:rFonts w:ascii="Arial" w:hAnsi="Arial" w:cs="Arial"/>
          <w:color w:val="0066FF"/>
          <w:sz w:val="22"/>
          <w:szCs w:val="22"/>
        </w:rPr>
        <w:t>Navržená změna ÚPn M nemá zásadní vliv na stávající sociální podmínky v území.</w:t>
      </w:r>
    </w:p>
    <w:p w14:paraId="41D6AFF3" w14:textId="77777777" w:rsidR="002E729E" w:rsidRPr="002E729E" w:rsidRDefault="002E729E" w:rsidP="002E729E">
      <w:pPr>
        <w:spacing w:before="120" w:line="288" w:lineRule="auto"/>
        <w:ind w:firstLine="709"/>
        <w:jc w:val="both"/>
        <w:rPr>
          <w:rFonts w:ascii="Arial" w:hAnsi="Arial" w:cs="Arial"/>
          <w:color w:val="0066FF"/>
          <w:sz w:val="22"/>
          <w:szCs w:val="22"/>
        </w:rPr>
      </w:pPr>
      <w:r w:rsidRPr="002E729E">
        <w:rPr>
          <w:rFonts w:ascii="Arial" w:hAnsi="Arial" w:cs="Arial"/>
          <w:color w:val="0066FF"/>
          <w:sz w:val="22"/>
          <w:szCs w:val="22"/>
        </w:rPr>
        <w:t>V řešeném území 4. změna ÚPn nejsou žádné hodnoty kulturního dědictví.</w:t>
      </w:r>
    </w:p>
    <w:p w14:paraId="6428D7B7" w14:textId="77777777" w:rsidR="002E729E" w:rsidRPr="002E729E" w:rsidRDefault="002E729E" w:rsidP="002E729E">
      <w:pPr>
        <w:spacing w:before="120" w:line="288" w:lineRule="auto"/>
        <w:ind w:firstLine="709"/>
        <w:jc w:val="both"/>
        <w:rPr>
          <w:rFonts w:ascii="Arial" w:hAnsi="Arial" w:cs="Arial"/>
          <w:color w:val="0066FF"/>
          <w:sz w:val="22"/>
          <w:szCs w:val="22"/>
        </w:rPr>
      </w:pPr>
    </w:p>
    <w:p w14:paraId="0DE86A8A" w14:textId="77777777" w:rsidR="002E729E" w:rsidRPr="002E729E" w:rsidRDefault="002E729E" w:rsidP="002E729E">
      <w:pPr>
        <w:spacing w:before="120" w:line="288" w:lineRule="auto"/>
        <w:jc w:val="both"/>
        <w:rPr>
          <w:rFonts w:ascii="Arial" w:hAnsi="Arial" w:cs="Arial"/>
          <w:b/>
          <w:color w:val="D60093"/>
          <w:sz w:val="22"/>
          <w:szCs w:val="22"/>
        </w:rPr>
      </w:pPr>
      <w:r w:rsidRPr="002E729E">
        <w:rPr>
          <w:rFonts w:ascii="Arial" w:hAnsi="Arial" w:cs="Arial"/>
          <w:b/>
          <w:color w:val="D60093"/>
          <w:sz w:val="22"/>
          <w:szCs w:val="22"/>
        </w:rPr>
        <w:t>(Z6) KONCEPCE ROZVOJE ÚZEMÍ OBCE, OCHRANY A ROZVOJE JEHO HODNOT, HLAVNÍ CÍLE ROZVOJE</w:t>
      </w:r>
    </w:p>
    <w:p w14:paraId="284BE88E" w14:textId="77777777" w:rsidR="002E729E" w:rsidRPr="002E729E" w:rsidRDefault="002E729E" w:rsidP="002E729E">
      <w:pPr>
        <w:spacing w:before="120" w:line="288" w:lineRule="auto"/>
        <w:jc w:val="both"/>
        <w:rPr>
          <w:rFonts w:ascii="Arial" w:hAnsi="Arial" w:cs="Arial"/>
          <w:b/>
          <w:color w:val="D60093"/>
          <w:sz w:val="22"/>
          <w:szCs w:val="22"/>
        </w:rPr>
      </w:pPr>
      <w:r w:rsidRPr="002E729E">
        <w:rPr>
          <w:rFonts w:ascii="Arial" w:hAnsi="Arial" w:cs="Arial"/>
          <w:b/>
          <w:color w:val="D60093"/>
          <w:sz w:val="22"/>
          <w:szCs w:val="22"/>
        </w:rPr>
        <w:t>Politika územního rozvoje České republiky 2008</w:t>
      </w:r>
    </w:p>
    <w:p w14:paraId="032560D0" w14:textId="77777777" w:rsidR="002E729E" w:rsidRPr="002E729E" w:rsidRDefault="002E729E" w:rsidP="002E729E">
      <w:pPr>
        <w:spacing w:before="120" w:line="288" w:lineRule="auto"/>
        <w:ind w:firstLine="708"/>
        <w:jc w:val="both"/>
        <w:rPr>
          <w:rFonts w:ascii="Arial" w:hAnsi="Arial" w:cs="Arial"/>
          <w:color w:val="D60093"/>
          <w:sz w:val="22"/>
          <w:szCs w:val="22"/>
        </w:rPr>
      </w:pPr>
      <w:r w:rsidRPr="002E729E">
        <w:rPr>
          <w:rFonts w:ascii="Arial" w:hAnsi="Arial" w:cs="Arial"/>
          <w:color w:val="D60093"/>
          <w:sz w:val="22"/>
          <w:szCs w:val="22"/>
        </w:rPr>
        <w:t>Hlavní cíle 6. změny ÚPn M Děčína vycházejí z Politiky územního rozvoje České republiky“ (PUR CR 2008).</w:t>
      </w:r>
    </w:p>
    <w:p w14:paraId="4BFFBB24" w14:textId="77777777" w:rsidR="002E729E" w:rsidRPr="002E729E" w:rsidRDefault="002E729E" w:rsidP="002E729E">
      <w:pPr>
        <w:spacing w:before="120" w:line="288" w:lineRule="auto"/>
        <w:jc w:val="both"/>
        <w:rPr>
          <w:rFonts w:ascii="Arial" w:hAnsi="Arial" w:cs="Arial"/>
          <w:b/>
          <w:i/>
          <w:color w:val="D60093"/>
          <w:sz w:val="22"/>
          <w:szCs w:val="22"/>
        </w:rPr>
      </w:pPr>
      <w:r w:rsidRPr="002E729E">
        <w:rPr>
          <w:rFonts w:ascii="Arial" w:hAnsi="Arial" w:cs="Arial"/>
          <w:b/>
          <w:i/>
          <w:color w:val="D60093"/>
          <w:sz w:val="22"/>
          <w:szCs w:val="22"/>
        </w:rPr>
        <w:t>kapitola 2 Republikové priority UP pro zajištění udržitelného rozvoje území</w:t>
      </w:r>
    </w:p>
    <w:p w14:paraId="2CBB3B09" w14:textId="77777777" w:rsidR="002E729E" w:rsidRPr="002E729E" w:rsidRDefault="002E729E" w:rsidP="002E729E">
      <w:pPr>
        <w:spacing w:before="120" w:line="288" w:lineRule="auto"/>
        <w:ind w:firstLine="708"/>
        <w:jc w:val="both"/>
        <w:rPr>
          <w:rFonts w:ascii="Arial" w:hAnsi="Arial" w:cs="Arial"/>
          <w:color w:val="D60093"/>
          <w:sz w:val="22"/>
          <w:szCs w:val="22"/>
        </w:rPr>
      </w:pPr>
      <w:r w:rsidRPr="002E729E">
        <w:rPr>
          <w:rFonts w:ascii="Arial" w:hAnsi="Arial" w:cs="Arial"/>
          <w:color w:val="D60093"/>
          <w:sz w:val="22"/>
          <w:szCs w:val="22"/>
        </w:rPr>
        <w:t>6. změna respektuje požadavky PUR, uplatňuje republikové priority územního plánování pro zajištění udržitelného rozvoje území. Výjimku tvoří lokalita č. 6Z - 85, která je umístěna z záplavovém území Q</w:t>
      </w:r>
      <w:r w:rsidRPr="002E729E">
        <w:rPr>
          <w:rFonts w:ascii="Arial" w:hAnsi="Arial" w:cs="Arial"/>
          <w:color w:val="D60093"/>
          <w:sz w:val="22"/>
          <w:szCs w:val="22"/>
          <w:vertAlign w:val="subscript"/>
        </w:rPr>
        <w:t>100</w:t>
      </w:r>
      <w:r w:rsidRPr="002E729E">
        <w:rPr>
          <w:rFonts w:ascii="Arial" w:hAnsi="Arial" w:cs="Arial"/>
          <w:color w:val="D60093"/>
          <w:sz w:val="22"/>
          <w:szCs w:val="22"/>
        </w:rPr>
        <w:t xml:space="preserve"> se nejedná o novou rozvojovou lokalitu, ale pouze o změnu funkce stávajícího objektu. </w:t>
      </w:r>
    </w:p>
    <w:p w14:paraId="25D4826A" w14:textId="77777777" w:rsidR="002E729E" w:rsidRPr="002E729E" w:rsidRDefault="002E729E" w:rsidP="002E729E">
      <w:pPr>
        <w:spacing w:before="120" w:line="288" w:lineRule="auto"/>
        <w:ind w:firstLine="708"/>
        <w:jc w:val="both"/>
        <w:rPr>
          <w:rFonts w:ascii="Arial" w:hAnsi="Arial" w:cs="Arial"/>
          <w:color w:val="D60093"/>
          <w:sz w:val="22"/>
          <w:szCs w:val="22"/>
        </w:rPr>
      </w:pPr>
      <w:r w:rsidRPr="002E729E">
        <w:rPr>
          <w:rFonts w:ascii="Arial" w:hAnsi="Arial" w:cs="Arial"/>
          <w:color w:val="D60093"/>
          <w:sz w:val="22"/>
          <w:szCs w:val="22"/>
        </w:rPr>
        <w:t>V sesuvném území neleží žádná plocha 6. změny UP. Plochy ležící v území potencionálně sesuvném jsou považovány za podmínečně vhodné.</w:t>
      </w:r>
    </w:p>
    <w:p w14:paraId="649BF48C" w14:textId="77777777" w:rsidR="002E729E" w:rsidRPr="002E729E" w:rsidRDefault="002E729E" w:rsidP="002E729E">
      <w:pPr>
        <w:spacing w:before="120" w:line="288" w:lineRule="auto"/>
        <w:jc w:val="both"/>
        <w:rPr>
          <w:rFonts w:ascii="Arial" w:hAnsi="Arial" w:cs="Arial"/>
          <w:b/>
          <w:i/>
          <w:color w:val="D60093"/>
          <w:sz w:val="22"/>
          <w:szCs w:val="22"/>
        </w:rPr>
      </w:pPr>
      <w:r w:rsidRPr="002E729E">
        <w:rPr>
          <w:rFonts w:ascii="Arial" w:hAnsi="Arial" w:cs="Arial"/>
          <w:b/>
          <w:i/>
          <w:color w:val="D60093"/>
          <w:sz w:val="22"/>
          <w:szCs w:val="22"/>
        </w:rPr>
        <w:t>kapitola 5 Koridory a plochy dopravní infrastruktury</w:t>
      </w:r>
    </w:p>
    <w:p w14:paraId="4E01891B" w14:textId="77777777" w:rsidR="002E729E" w:rsidRPr="002E729E" w:rsidRDefault="002E729E" w:rsidP="002E729E">
      <w:pPr>
        <w:spacing w:before="120" w:line="288" w:lineRule="auto"/>
        <w:ind w:left="708"/>
        <w:jc w:val="both"/>
        <w:rPr>
          <w:rFonts w:ascii="Arial" w:hAnsi="Arial" w:cs="Arial"/>
          <w:color w:val="D60093"/>
          <w:sz w:val="22"/>
          <w:szCs w:val="22"/>
        </w:rPr>
      </w:pPr>
      <w:r w:rsidRPr="002E729E">
        <w:rPr>
          <w:rFonts w:ascii="Arial" w:hAnsi="Arial" w:cs="Arial"/>
          <w:color w:val="D60093"/>
          <w:sz w:val="22"/>
          <w:szCs w:val="22"/>
        </w:rPr>
        <w:t>Správním územím Děčína prochází:</w:t>
      </w:r>
    </w:p>
    <w:p w14:paraId="2BF5C061" w14:textId="77777777" w:rsidR="002E729E" w:rsidRPr="002E729E" w:rsidRDefault="002E729E" w:rsidP="002E729E">
      <w:pPr>
        <w:pStyle w:val="Odstavecseseznamem"/>
        <w:numPr>
          <w:ilvl w:val="0"/>
          <w:numId w:val="132"/>
        </w:numPr>
        <w:spacing w:before="120" w:after="0" w:line="288" w:lineRule="auto"/>
        <w:ind w:left="426"/>
        <w:contextualSpacing w:val="0"/>
        <w:jc w:val="both"/>
        <w:rPr>
          <w:rFonts w:ascii="Arial" w:hAnsi="Arial" w:cs="Arial"/>
          <w:color w:val="D60093"/>
        </w:rPr>
      </w:pPr>
      <w:r w:rsidRPr="002E729E">
        <w:rPr>
          <w:rFonts w:ascii="Arial" w:hAnsi="Arial" w:cs="Arial"/>
          <w:color w:val="D60093"/>
        </w:rPr>
        <w:t>silniční koridor S 1;</w:t>
      </w:r>
    </w:p>
    <w:p w14:paraId="0DE20E7A" w14:textId="77777777" w:rsidR="002E729E" w:rsidRPr="002E729E" w:rsidRDefault="002E729E" w:rsidP="002E729E">
      <w:pPr>
        <w:pStyle w:val="Odstavecseseznamem"/>
        <w:numPr>
          <w:ilvl w:val="0"/>
          <w:numId w:val="132"/>
        </w:numPr>
        <w:spacing w:before="120" w:after="0" w:line="288" w:lineRule="auto"/>
        <w:ind w:left="426"/>
        <w:contextualSpacing w:val="0"/>
        <w:jc w:val="both"/>
        <w:rPr>
          <w:rFonts w:ascii="Arial" w:hAnsi="Arial" w:cs="Arial"/>
          <w:color w:val="D60093"/>
        </w:rPr>
      </w:pPr>
      <w:r w:rsidRPr="002E729E">
        <w:rPr>
          <w:rFonts w:ascii="Arial" w:hAnsi="Arial" w:cs="Arial"/>
          <w:color w:val="D60093"/>
        </w:rPr>
        <w:t>koridor vodní dopravy VD 1;</w:t>
      </w:r>
    </w:p>
    <w:p w14:paraId="34520B81" w14:textId="77777777" w:rsidR="002E729E" w:rsidRPr="002E729E" w:rsidRDefault="002E729E" w:rsidP="002E729E">
      <w:pPr>
        <w:pStyle w:val="Odstavecseseznamem"/>
        <w:numPr>
          <w:ilvl w:val="0"/>
          <w:numId w:val="132"/>
        </w:numPr>
        <w:spacing w:before="120" w:after="0" w:line="288" w:lineRule="auto"/>
        <w:ind w:left="426"/>
        <w:contextualSpacing w:val="0"/>
        <w:jc w:val="both"/>
        <w:rPr>
          <w:rFonts w:ascii="Arial" w:hAnsi="Arial" w:cs="Arial"/>
          <w:color w:val="D60093"/>
        </w:rPr>
      </w:pPr>
      <w:r w:rsidRPr="002E729E">
        <w:rPr>
          <w:rFonts w:ascii="Arial" w:hAnsi="Arial" w:cs="Arial"/>
          <w:color w:val="D60093"/>
        </w:rPr>
        <w:t>transevropský multimodální koridor (TEMMK IV železniční);</w:t>
      </w:r>
    </w:p>
    <w:p w14:paraId="4A901BA5" w14:textId="77777777" w:rsidR="002E729E" w:rsidRPr="002E729E" w:rsidRDefault="002E729E" w:rsidP="002E729E">
      <w:pPr>
        <w:pStyle w:val="Odstavecseseznamem"/>
        <w:numPr>
          <w:ilvl w:val="0"/>
          <w:numId w:val="132"/>
        </w:numPr>
        <w:spacing w:before="120" w:after="0" w:line="288" w:lineRule="auto"/>
        <w:ind w:left="426"/>
        <w:contextualSpacing w:val="0"/>
        <w:jc w:val="both"/>
        <w:rPr>
          <w:rFonts w:ascii="Arial" w:hAnsi="Arial" w:cs="Arial"/>
          <w:color w:val="D60093"/>
        </w:rPr>
      </w:pPr>
      <w:r w:rsidRPr="002E729E">
        <w:rPr>
          <w:rFonts w:ascii="Arial" w:hAnsi="Arial" w:cs="Arial"/>
          <w:color w:val="D60093"/>
        </w:rPr>
        <w:t>koridor konvenční železniční dopravy C-E-61.</w:t>
      </w:r>
    </w:p>
    <w:p w14:paraId="1581633C" w14:textId="77777777" w:rsidR="002E729E" w:rsidRPr="002E729E" w:rsidRDefault="002E729E" w:rsidP="002E729E">
      <w:pPr>
        <w:spacing w:before="120" w:line="288" w:lineRule="auto"/>
        <w:jc w:val="both"/>
        <w:rPr>
          <w:rFonts w:ascii="Arial" w:hAnsi="Arial" w:cs="Arial"/>
          <w:b/>
          <w:color w:val="D60093"/>
          <w:sz w:val="22"/>
          <w:szCs w:val="22"/>
        </w:rPr>
      </w:pPr>
      <w:r w:rsidRPr="002E729E">
        <w:rPr>
          <w:rFonts w:ascii="Arial" w:hAnsi="Arial" w:cs="Arial"/>
          <w:b/>
          <w:color w:val="D60093"/>
          <w:sz w:val="22"/>
          <w:szCs w:val="22"/>
        </w:rPr>
        <w:t>Požadavky na řešení vyplývající z územně analytických podkladů</w:t>
      </w:r>
    </w:p>
    <w:p w14:paraId="1FC8A38E" w14:textId="77777777" w:rsidR="002E729E" w:rsidRPr="002E729E" w:rsidRDefault="002E729E" w:rsidP="002E729E">
      <w:pPr>
        <w:spacing w:before="120" w:line="288" w:lineRule="auto"/>
        <w:ind w:firstLine="708"/>
        <w:jc w:val="both"/>
        <w:rPr>
          <w:rFonts w:ascii="Arial" w:hAnsi="Arial" w:cs="Arial"/>
          <w:color w:val="D60093"/>
          <w:sz w:val="22"/>
          <w:szCs w:val="22"/>
        </w:rPr>
      </w:pPr>
      <w:r w:rsidRPr="002E729E">
        <w:rPr>
          <w:rFonts w:ascii="Arial" w:hAnsi="Arial" w:cs="Arial"/>
          <w:color w:val="D60093"/>
          <w:sz w:val="22"/>
          <w:szCs w:val="22"/>
        </w:rPr>
        <w:t>Pří zpracování návrhu 6. změny byly částečně využity zpracované ÚAP pro ORP Děčín.</w:t>
      </w:r>
    </w:p>
    <w:p w14:paraId="6F373F3F" w14:textId="77777777" w:rsidR="002E729E" w:rsidRPr="002E729E" w:rsidRDefault="002E729E" w:rsidP="002E729E">
      <w:pPr>
        <w:spacing w:before="120" w:line="288" w:lineRule="auto"/>
        <w:jc w:val="both"/>
        <w:rPr>
          <w:rFonts w:ascii="Arial" w:hAnsi="Arial" w:cs="Arial"/>
          <w:b/>
          <w:color w:val="D60093"/>
          <w:sz w:val="22"/>
          <w:szCs w:val="22"/>
        </w:rPr>
      </w:pPr>
      <w:r w:rsidRPr="002E729E">
        <w:rPr>
          <w:rFonts w:ascii="Arial" w:hAnsi="Arial" w:cs="Arial"/>
          <w:b/>
          <w:color w:val="D60093"/>
          <w:sz w:val="22"/>
          <w:szCs w:val="22"/>
        </w:rPr>
        <w:t>Požadavky vyplývající ze schválené nadřazené dokumentace ÚP VÚC nebo zásad územního rozvoje</w:t>
      </w:r>
    </w:p>
    <w:p w14:paraId="35824AB9" w14:textId="77777777" w:rsidR="002E729E" w:rsidRPr="002E729E" w:rsidRDefault="002E729E" w:rsidP="002E729E">
      <w:pPr>
        <w:spacing w:before="120" w:line="288" w:lineRule="auto"/>
        <w:ind w:firstLine="708"/>
        <w:jc w:val="both"/>
        <w:rPr>
          <w:rFonts w:ascii="Arial" w:hAnsi="Arial" w:cs="Arial"/>
          <w:color w:val="D60093"/>
          <w:sz w:val="22"/>
          <w:szCs w:val="22"/>
        </w:rPr>
      </w:pPr>
      <w:r w:rsidRPr="002E729E">
        <w:rPr>
          <w:rFonts w:ascii="Arial" w:hAnsi="Arial" w:cs="Arial"/>
          <w:color w:val="D60093"/>
          <w:sz w:val="22"/>
          <w:szCs w:val="22"/>
        </w:rPr>
        <w:lastRenderedPageBreak/>
        <w:t>Pro řešené území 6. změny ÚPn M Děčína není zpracována a schválená nadřazená dokumentace ÚP VÚC nebo zásady územního rozvoje.</w:t>
      </w:r>
    </w:p>
    <w:p w14:paraId="62797857" w14:textId="77777777" w:rsidR="002E729E" w:rsidRPr="002E729E" w:rsidRDefault="002E729E" w:rsidP="002E729E">
      <w:pPr>
        <w:spacing w:before="120" w:line="288" w:lineRule="auto"/>
        <w:ind w:firstLine="708"/>
        <w:jc w:val="both"/>
        <w:rPr>
          <w:rFonts w:ascii="Arial" w:hAnsi="Arial" w:cs="Arial"/>
          <w:color w:val="D60093"/>
          <w:sz w:val="22"/>
          <w:szCs w:val="22"/>
        </w:rPr>
      </w:pPr>
      <w:r w:rsidRPr="002E729E">
        <w:rPr>
          <w:rFonts w:ascii="Arial" w:hAnsi="Arial" w:cs="Arial"/>
          <w:color w:val="D60093"/>
          <w:sz w:val="22"/>
          <w:szCs w:val="22"/>
        </w:rPr>
        <w:t>Návrh 6. změny ÚPn M Děčína není v rozporu s Politikou územního rozvoje České republiky s procházejícími koridory - silničním koridor Sl l. koridorem vodní dopravy VD 1 a transevropským multimodálním koridorem (TEMMK IV železničním) koridorem konvenční Železniční dopravy C-E-61 ani s jinou nadřazenou dokumentací.</w:t>
      </w:r>
    </w:p>
    <w:p w14:paraId="690A9957" w14:textId="77777777" w:rsidR="002E729E" w:rsidRPr="002E729E" w:rsidRDefault="002E729E" w:rsidP="002E729E">
      <w:pPr>
        <w:spacing w:before="120" w:line="288" w:lineRule="auto"/>
        <w:jc w:val="both"/>
        <w:rPr>
          <w:rFonts w:ascii="Arial" w:hAnsi="Arial" w:cs="Arial"/>
          <w:b/>
          <w:sz w:val="22"/>
          <w:szCs w:val="22"/>
        </w:rPr>
      </w:pPr>
    </w:p>
    <w:p w14:paraId="56A9827C" w14:textId="77777777" w:rsidR="002E729E" w:rsidRPr="002E729E" w:rsidRDefault="002E729E" w:rsidP="002E729E">
      <w:pPr>
        <w:spacing w:before="120" w:line="288" w:lineRule="auto"/>
        <w:jc w:val="both"/>
        <w:rPr>
          <w:rFonts w:ascii="Arial" w:hAnsi="Arial" w:cs="Arial"/>
          <w:b/>
          <w:color w:val="D60093"/>
          <w:sz w:val="22"/>
          <w:szCs w:val="22"/>
        </w:rPr>
      </w:pPr>
      <w:r w:rsidRPr="002E729E">
        <w:rPr>
          <w:rFonts w:ascii="Arial" w:hAnsi="Arial" w:cs="Arial"/>
          <w:b/>
          <w:color w:val="D60093"/>
          <w:sz w:val="22"/>
          <w:szCs w:val="22"/>
        </w:rPr>
        <w:t>(Z6) Koncepce uspořádání krajiny</w:t>
      </w:r>
    </w:p>
    <w:p w14:paraId="3FFFADC2" w14:textId="77777777" w:rsidR="002E729E" w:rsidRPr="002E729E" w:rsidRDefault="002E729E" w:rsidP="002E729E">
      <w:pPr>
        <w:spacing w:before="120" w:line="288" w:lineRule="auto"/>
        <w:ind w:firstLine="709"/>
        <w:jc w:val="both"/>
        <w:rPr>
          <w:rFonts w:ascii="Arial" w:hAnsi="Arial" w:cs="Arial"/>
          <w:color w:val="D60093"/>
          <w:sz w:val="22"/>
          <w:szCs w:val="22"/>
        </w:rPr>
      </w:pPr>
      <w:r w:rsidRPr="002E729E">
        <w:rPr>
          <w:rFonts w:ascii="Arial" w:hAnsi="Arial" w:cs="Arial"/>
          <w:color w:val="D60093"/>
          <w:sz w:val="22"/>
          <w:szCs w:val="22"/>
        </w:rPr>
        <w:t>Část navrhovaných ploch leží zcela nebo zčásti v ochranném pásmu lesa s omezeným využitím 6Z-2, 15, 17, 29, 30, 32, 50, 75.</w:t>
      </w:r>
    </w:p>
    <w:p w14:paraId="4EB9B5BB" w14:textId="77777777" w:rsidR="002E729E" w:rsidRPr="002E729E" w:rsidRDefault="002E729E" w:rsidP="002E729E">
      <w:pPr>
        <w:spacing w:before="120" w:line="288" w:lineRule="auto"/>
        <w:ind w:firstLine="709"/>
        <w:jc w:val="both"/>
        <w:rPr>
          <w:rFonts w:ascii="Arial" w:hAnsi="Arial" w:cs="Arial"/>
          <w:color w:val="D60093"/>
          <w:sz w:val="22"/>
          <w:szCs w:val="22"/>
        </w:rPr>
      </w:pPr>
      <w:r w:rsidRPr="002E729E">
        <w:rPr>
          <w:rFonts w:ascii="Arial" w:hAnsi="Arial" w:cs="Arial"/>
          <w:color w:val="D60093"/>
          <w:sz w:val="22"/>
          <w:szCs w:val="22"/>
        </w:rPr>
        <w:t>Celkem 20 nových lokalit leží na zemědělské půdě se stupněm ochrany II. 6Z 4. 21, 23, 24, 26, 28, 33, 34, 35, 38, 43, 45, 47, 60, 65, 83, 84. Jedná se převážně o zábory malé neohrožující celistvost zemědělské půdy zásadním způsobem.</w:t>
      </w:r>
    </w:p>
    <w:p w14:paraId="457DA0FF" w14:textId="77777777" w:rsidR="002E729E" w:rsidRPr="002E729E" w:rsidRDefault="002E729E" w:rsidP="002E729E">
      <w:pPr>
        <w:spacing w:before="120" w:line="288" w:lineRule="auto"/>
        <w:ind w:firstLine="709"/>
        <w:jc w:val="both"/>
        <w:rPr>
          <w:rFonts w:ascii="Arial" w:hAnsi="Arial" w:cs="Arial"/>
          <w:color w:val="D60093"/>
          <w:sz w:val="22"/>
          <w:szCs w:val="22"/>
        </w:rPr>
      </w:pPr>
      <w:r w:rsidRPr="002E729E">
        <w:rPr>
          <w:rFonts w:ascii="Arial" w:hAnsi="Arial" w:cs="Arial"/>
          <w:color w:val="D60093"/>
          <w:sz w:val="22"/>
          <w:szCs w:val="22"/>
        </w:rPr>
        <w:t>Podmínečně přípustné jsou plochy ležící zcela nebo z části na potencionálně sesuvném území (Plochy 62 - 18, 27 a, b, c, 34, 35, 50, 57, 65, 84).</w:t>
      </w:r>
    </w:p>
    <w:p w14:paraId="7F963D36" w14:textId="77777777" w:rsidR="002E729E" w:rsidRPr="002E729E" w:rsidRDefault="002E729E" w:rsidP="002E729E">
      <w:pPr>
        <w:spacing w:before="120" w:line="288" w:lineRule="auto"/>
        <w:jc w:val="both"/>
        <w:rPr>
          <w:rFonts w:ascii="Arial" w:hAnsi="Arial" w:cs="Arial"/>
          <w:b/>
          <w:sz w:val="22"/>
          <w:szCs w:val="22"/>
        </w:rPr>
      </w:pPr>
    </w:p>
    <w:p w14:paraId="41B73402" w14:textId="77777777" w:rsidR="002E729E" w:rsidRPr="002E729E" w:rsidRDefault="002E729E" w:rsidP="002E729E">
      <w:pPr>
        <w:pStyle w:val="Nadpis2"/>
        <w:spacing w:before="120" w:line="288" w:lineRule="auto"/>
        <w:jc w:val="both"/>
        <w:rPr>
          <w:rFonts w:ascii="Arial" w:hAnsi="Arial" w:cs="Arial"/>
          <w:b/>
          <w:caps/>
          <w:color w:val="FF0000"/>
          <w:sz w:val="22"/>
          <w:szCs w:val="22"/>
        </w:rPr>
      </w:pPr>
      <w:bookmarkStart w:id="56" w:name="_Toc354838621"/>
      <w:bookmarkStart w:id="57" w:name="_Toc350929640"/>
      <w:bookmarkStart w:id="58" w:name="_Toc354838635"/>
      <w:r w:rsidRPr="002E729E">
        <w:rPr>
          <w:rFonts w:ascii="Arial" w:hAnsi="Arial" w:cs="Arial"/>
          <w:b/>
          <w:caps/>
          <w:color w:val="FF0000"/>
          <w:sz w:val="22"/>
          <w:szCs w:val="22"/>
        </w:rPr>
        <w:t>(Z8) koncepce uspořádání krajiny, včetně vymezení ploch a stanovení podmínek pro změny v jejich využití, územní systém ekologické stability, prostupnost krajiny, protierozní opatření, ochrana před povodněmi, rekreace, dobývání ložisek nerostných surovin a podobně</w:t>
      </w:r>
      <w:bookmarkEnd w:id="56"/>
    </w:p>
    <w:p w14:paraId="2C530014" w14:textId="77777777" w:rsidR="002E729E" w:rsidRPr="002E729E" w:rsidRDefault="002E729E" w:rsidP="002E729E">
      <w:pPr>
        <w:pStyle w:val="Nadpis3"/>
        <w:spacing w:before="120" w:line="288" w:lineRule="auto"/>
        <w:jc w:val="both"/>
        <w:rPr>
          <w:rFonts w:ascii="Arial" w:hAnsi="Arial" w:cs="Arial"/>
          <w:caps/>
          <w:snapToGrid w:val="0"/>
          <w:color w:val="FF0000"/>
          <w:sz w:val="22"/>
          <w:szCs w:val="22"/>
        </w:rPr>
      </w:pPr>
      <w:bookmarkStart w:id="59" w:name="_Toc354838622"/>
      <w:r w:rsidRPr="002E729E">
        <w:rPr>
          <w:rFonts w:ascii="Arial" w:hAnsi="Arial" w:cs="Arial"/>
          <w:caps/>
          <w:snapToGrid w:val="0"/>
          <w:color w:val="FF0000"/>
          <w:sz w:val="22"/>
          <w:szCs w:val="22"/>
        </w:rPr>
        <w:t>Koncepce uspořádání krajiny</w:t>
      </w:r>
      <w:bookmarkEnd w:id="59"/>
    </w:p>
    <w:p w14:paraId="0736C075" w14:textId="77777777" w:rsidR="002E729E" w:rsidRPr="002E729E" w:rsidRDefault="002E729E" w:rsidP="002E729E">
      <w:pPr>
        <w:spacing w:before="120" w:line="288" w:lineRule="auto"/>
        <w:ind w:firstLine="709"/>
        <w:jc w:val="both"/>
        <w:rPr>
          <w:rFonts w:ascii="Arial" w:hAnsi="Arial" w:cs="Arial"/>
          <w:color w:val="FF0000"/>
          <w:sz w:val="22"/>
          <w:szCs w:val="22"/>
        </w:rPr>
      </w:pPr>
      <w:r w:rsidRPr="002E729E">
        <w:rPr>
          <w:rFonts w:ascii="Arial" w:hAnsi="Arial" w:cs="Arial"/>
          <w:color w:val="FF0000"/>
          <w:sz w:val="22"/>
          <w:szCs w:val="22"/>
        </w:rPr>
        <w:t>Dle ZÚR ÚK leží řešené území 8. změny na rozhraní dvou krajinných celků a to:</w:t>
      </w:r>
    </w:p>
    <w:p w14:paraId="5A81FD07" w14:textId="77777777" w:rsidR="002E729E" w:rsidRPr="002E729E" w:rsidRDefault="002E729E" w:rsidP="002E729E">
      <w:pPr>
        <w:spacing w:before="120" w:line="288" w:lineRule="auto"/>
        <w:jc w:val="both"/>
        <w:rPr>
          <w:rFonts w:ascii="Arial" w:hAnsi="Arial" w:cs="Arial"/>
          <w:b/>
          <w:bCs/>
          <w:color w:val="FF0000"/>
          <w:sz w:val="22"/>
          <w:szCs w:val="22"/>
        </w:rPr>
      </w:pPr>
      <w:r w:rsidRPr="002E729E">
        <w:rPr>
          <w:rFonts w:ascii="Arial" w:hAnsi="Arial" w:cs="Arial"/>
          <w:b/>
          <w:bCs/>
          <w:color w:val="FF0000"/>
          <w:sz w:val="22"/>
          <w:szCs w:val="22"/>
        </w:rPr>
        <w:t>Krajinného celku CHKO Labské pískovce (KC 2 CHKO Labské pískovce)</w:t>
      </w:r>
    </w:p>
    <w:p w14:paraId="47D4DC0B" w14:textId="77777777" w:rsidR="002E729E" w:rsidRPr="002E729E" w:rsidRDefault="002E729E" w:rsidP="002E729E">
      <w:pPr>
        <w:pStyle w:val="Nadpis4"/>
        <w:spacing w:before="120" w:after="0" w:line="288" w:lineRule="auto"/>
        <w:jc w:val="both"/>
        <w:rPr>
          <w:color w:val="FF0000"/>
          <w:sz w:val="22"/>
          <w:szCs w:val="22"/>
        </w:rPr>
      </w:pPr>
      <w:r w:rsidRPr="002E729E">
        <w:rPr>
          <w:color w:val="FF0000"/>
          <w:sz w:val="22"/>
          <w:szCs w:val="22"/>
        </w:rPr>
        <w:t>Cílová charakteristika krajiny:</w:t>
      </w:r>
    </w:p>
    <w:p w14:paraId="4C0A7E6B"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krajina vysokých přírodních, krajinných a estetických hodnot.</w:t>
      </w:r>
    </w:p>
    <w:p w14:paraId="49A0A257" w14:textId="77777777" w:rsidR="002E729E" w:rsidRPr="002E729E" w:rsidRDefault="002E729E" w:rsidP="002E729E">
      <w:pPr>
        <w:pStyle w:val="Nadpis4"/>
        <w:spacing w:before="120" w:after="0" w:line="288" w:lineRule="auto"/>
        <w:jc w:val="both"/>
        <w:rPr>
          <w:color w:val="FF0000"/>
          <w:sz w:val="22"/>
          <w:szCs w:val="22"/>
        </w:rPr>
      </w:pPr>
      <w:r w:rsidRPr="002E729E">
        <w:rPr>
          <w:color w:val="FF0000"/>
          <w:sz w:val="22"/>
          <w:szCs w:val="22"/>
        </w:rPr>
        <w:t>Dílčí kroky naplňování cílových charakteristik krajiny (odvozeno z plánu péče CHKO)</w:t>
      </w:r>
    </w:p>
    <w:p w14:paraId="3280CAC8"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preferovat ochranu a konzervaci dochovaných hodnot krajinného celku (způsoby a formy ochrany i rozvoje těchto hodnot jsou určeny zákonem, vyhlašovacím předpisem a plánem péče o chráněnou krajinnou oblast);</w:t>
      </w:r>
    </w:p>
    <w:p w14:paraId="11F03912"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ve vybraných částech preferovat ekologicky zaměřené lesní hospodářství a extenzivní zemědělství pro podporu hodnot krajinného rázu a biologické diverzity krajinného celku;</w:t>
      </w:r>
    </w:p>
    <w:p w14:paraId="47CA15EB"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diferencovaně korigovat rozvoj cestovního ruchu, turistiky, rekreace i sídelních a výrobních funkcí podle významu konkrétní lokality v rámci krajinného celku, v závislosti na potřebě respektování primárního veřejného zájmu – ochrana přírody a krajiny;</w:t>
      </w:r>
    </w:p>
    <w:p w14:paraId="2EB7C2EC"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lastRenderedPageBreak/>
        <w:t>individuálně posuzovat všechny záměry, které by krajinný ráz mohly negativně ovlivnit s ohledem na potřebu uchování vysoké hodnoty krajinného rázu s harmonickým zastoupením složek přírodních a kulturních;</w:t>
      </w:r>
    </w:p>
    <w:p w14:paraId="5ABD9673"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koordinovat rozvoj krajiny s dosažením cílových parametrů Labské vodní cesty mezinárodního významu.</w:t>
      </w:r>
    </w:p>
    <w:p w14:paraId="364194E4" w14:textId="77777777" w:rsidR="002E729E" w:rsidRPr="002E729E" w:rsidRDefault="002E729E" w:rsidP="002E729E">
      <w:pPr>
        <w:spacing w:before="120" w:line="288" w:lineRule="auto"/>
        <w:ind w:left="30"/>
        <w:jc w:val="both"/>
        <w:rPr>
          <w:rFonts w:ascii="Arial" w:hAnsi="Arial" w:cs="Arial"/>
          <w:b/>
          <w:bCs/>
          <w:color w:val="FF0000"/>
          <w:sz w:val="22"/>
          <w:szCs w:val="22"/>
        </w:rPr>
      </w:pPr>
      <w:r w:rsidRPr="002E729E">
        <w:rPr>
          <w:rFonts w:ascii="Arial" w:hAnsi="Arial" w:cs="Arial"/>
          <w:b/>
          <w:bCs/>
          <w:color w:val="FF0000"/>
          <w:sz w:val="22"/>
          <w:szCs w:val="22"/>
        </w:rPr>
        <w:t>Krajinného celku CHKO České středohoří – Milešovské a Verneřické středohoří (KC 5a CHKO České středohoří – Milešovské a Verneřické středohoří)</w:t>
      </w:r>
    </w:p>
    <w:p w14:paraId="0CF9C3E0" w14:textId="77777777" w:rsidR="002E729E" w:rsidRPr="002E729E" w:rsidRDefault="002E729E" w:rsidP="002E729E">
      <w:pPr>
        <w:pStyle w:val="Nadpis4"/>
        <w:spacing w:before="120" w:after="0" w:line="288" w:lineRule="auto"/>
        <w:jc w:val="both"/>
        <w:rPr>
          <w:color w:val="FF0000"/>
          <w:sz w:val="22"/>
          <w:szCs w:val="22"/>
        </w:rPr>
      </w:pPr>
      <w:r w:rsidRPr="002E729E">
        <w:rPr>
          <w:color w:val="FF0000"/>
          <w:sz w:val="22"/>
          <w:szCs w:val="22"/>
        </w:rPr>
        <w:t>Cílová charakteristika krajiny:</w:t>
      </w:r>
    </w:p>
    <w:p w14:paraId="64DC2211"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krajina vysokých přírodních, krajinných a estetických hodnot;</w:t>
      </w:r>
    </w:p>
    <w:p w14:paraId="6C13E121"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krajina venkovská se zachovanými a rozvíjenými typickými znaky.</w:t>
      </w:r>
    </w:p>
    <w:p w14:paraId="51B0B1F6" w14:textId="77777777" w:rsidR="002E729E" w:rsidRPr="002E729E" w:rsidRDefault="002E729E" w:rsidP="002E729E">
      <w:pPr>
        <w:pStyle w:val="Nadpis4"/>
        <w:spacing w:before="120" w:after="0" w:line="288" w:lineRule="auto"/>
        <w:jc w:val="both"/>
        <w:rPr>
          <w:color w:val="FF0000"/>
          <w:sz w:val="22"/>
          <w:szCs w:val="22"/>
        </w:rPr>
      </w:pPr>
      <w:r w:rsidRPr="002E729E">
        <w:rPr>
          <w:color w:val="FF0000"/>
          <w:sz w:val="22"/>
          <w:szCs w:val="22"/>
        </w:rPr>
        <w:t>Dílčí kroky naplňování cílových charakteristik krajiny (odvozeno z plánu péče CHKO):</w:t>
      </w:r>
    </w:p>
    <w:p w14:paraId="02A817B1"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preferovat ochranu a konzervaci dochovaných hodnot krajinného celku (způsoby a formy ochrany i rozvoje těchto hodnot jsou určeny zákonem, vyhlašovacím předpisem a plánem péče o chráněnou krajinnou oblast);</w:t>
      </w:r>
    </w:p>
    <w:p w14:paraId="05A1954E"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ve vybraných částech preferovat ekologicky zaměřené lesní hospodářství a extenzivní zemědělství pro podporu hodnot krajinného rázu a biologické diverzity krajinného celku;</w:t>
      </w:r>
    </w:p>
    <w:p w14:paraId="22E98710"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stabilizovat obyvatelstvo ve stávajících sídlech uvážlivou podporou cestovního ruchu, turistiky, rekreace i sídelních a výrobních funkcí (zejména tradičních forem zemědělství) v souladu s veřejným zájmem na ochraně přírody a krajiny a diferencovaně podle významu konkrétní lokality v rámci krajinného celku;</w:t>
      </w:r>
    </w:p>
    <w:p w14:paraId="73EF4458"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zamezit otvírce nových lokalit těžby nerostných surovin (zejména čediče, znělce, štěrkopísku);</w:t>
      </w:r>
    </w:p>
    <w:p w14:paraId="3D1DE93B"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individuálně posuzovat všechny záměry, které by krajinný ráz mohly negativně ovlivnit s ohledem na potřebu uchování vysoké hodnoty krajinného rázu s harmonickým zastoupením složek přírodních a kulturních;</w:t>
      </w:r>
    </w:p>
    <w:p w14:paraId="3F89450A" w14:textId="77777777" w:rsidR="002E729E" w:rsidRPr="002E729E" w:rsidRDefault="002E729E" w:rsidP="002E729E">
      <w:pPr>
        <w:numPr>
          <w:ilvl w:val="0"/>
          <w:numId w:val="133"/>
        </w:numPr>
        <w:tabs>
          <w:tab w:val="clear" w:pos="720"/>
        </w:tabs>
        <w:spacing w:before="120" w:line="288" w:lineRule="auto"/>
        <w:ind w:left="426"/>
        <w:jc w:val="both"/>
        <w:rPr>
          <w:rFonts w:ascii="Arial" w:hAnsi="Arial" w:cs="Arial"/>
          <w:color w:val="FF0000"/>
          <w:sz w:val="22"/>
          <w:szCs w:val="22"/>
        </w:rPr>
      </w:pPr>
      <w:r w:rsidRPr="002E729E">
        <w:rPr>
          <w:rFonts w:ascii="Arial" w:hAnsi="Arial" w:cs="Arial"/>
          <w:color w:val="FF0000"/>
          <w:sz w:val="22"/>
          <w:szCs w:val="22"/>
        </w:rPr>
        <w:t>koordinovat rozvoj krajiny s dosažení cílových parametrů Labské vodní cesty mezinárodního významu.</w:t>
      </w:r>
    </w:p>
    <w:p w14:paraId="102A6ADA" w14:textId="77777777" w:rsidR="002E729E" w:rsidRPr="002E729E" w:rsidRDefault="002E729E" w:rsidP="002E729E">
      <w:pPr>
        <w:spacing w:before="120" w:line="288" w:lineRule="auto"/>
        <w:ind w:firstLine="709"/>
        <w:jc w:val="both"/>
        <w:rPr>
          <w:rFonts w:ascii="Arial" w:hAnsi="Arial" w:cs="Arial"/>
          <w:color w:val="FF0000"/>
          <w:sz w:val="22"/>
          <w:szCs w:val="22"/>
        </w:rPr>
      </w:pPr>
      <w:r w:rsidRPr="002E729E">
        <w:rPr>
          <w:rFonts w:ascii="Arial" w:hAnsi="Arial" w:cs="Arial"/>
          <w:color w:val="FF0000"/>
          <w:sz w:val="22"/>
          <w:szCs w:val="22"/>
        </w:rPr>
        <w:t xml:space="preserve">V rámci krajinných celků </w:t>
      </w:r>
      <w:r w:rsidRPr="002E729E">
        <w:rPr>
          <w:rFonts w:ascii="Arial" w:hAnsi="Arial" w:cs="Arial"/>
          <w:bCs/>
          <w:color w:val="FF0000"/>
          <w:sz w:val="22"/>
          <w:szCs w:val="22"/>
        </w:rPr>
        <w:t xml:space="preserve">CHKO Labské pískovce a CHKO České středohoří – Milešovské a Verneřické středohoří </w:t>
      </w:r>
      <w:r w:rsidRPr="002E729E">
        <w:rPr>
          <w:rFonts w:ascii="Arial" w:hAnsi="Arial" w:cs="Arial"/>
          <w:color w:val="FF0000"/>
          <w:sz w:val="22"/>
          <w:szCs w:val="22"/>
        </w:rPr>
        <w:t>návrh respektuje specifické hodnoty území (urbanistická poloha, hodnoty území, územně technické možnosti).</w:t>
      </w:r>
    </w:p>
    <w:p w14:paraId="4651D4FB" w14:textId="77777777" w:rsidR="002E729E" w:rsidRPr="002E729E" w:rsidRDefault="002E729E" w:rsidP="002E729E">
      <w:pPr>
        <w:spacing w:before="120" w:line="288" w:lineRule="auto"/>
        <w:ind w:firstLine="709"/>
        <w:jc w:val="both"/>
        <w:rPr>
          <w:rFonts w:ascii="Arial" w:hAnsi="Arial" w:cs="Arial"/>
          <w:color w:val="FF0000"/>
          <w:sz w:val="22"/>
          <w:szCs w:val="22"/>
        </w:rPr>
      </w:pPr>
      <w:r w:rsidRPr="002E729E">
        <w:rPr>
          <w:rFonts w:ascii="Arial" w:hAnsi="Arial" w:cs="Arial"/>
          <w:color w:val="FF0000"/>
          <w:sz w:val="22"/>
          <w:szCs w:val="22"/>
        </w:rPr>
        <w:t>8. změna ÚP Děčín zahrnuje plochy vně i uvnitř zastavěného území a neobsahuje rozvojové záměry, které by mohly významně negativně ovlivnit charakter krajiny nebo biodiversitu.</w:t>
      </w:r>
    </w:p>
    <w:p w14:paraId="4C648C55" w14:textId="77777777" w:rsidR="002E729E" w:rsidRPr="002E729E" w:rsidRDefault="002E729E" w:rsidP="002E729E">
      <w:pPr>
        <w:spacing w:before="120" w:line="288" w:lineRule="auto"/>
        <w:ind w:firstLine="709"/>
        <w:jc w:val="both"/>
        <w:rPr>
          <w:rFonts w:ascii="Arial" w:hAnsi="Arial" w:cs="Arial"/>
          <w:bCs/>
          <w:color w:val="FF0000"/>
          <w:sz w:val="22"/>
          <w:szCs w:val="22"/>
        </w:rPr>
      </w:pPr>
      <w:r w:rsidRPr="002E729E">
        <w:rPr>
          <w:rFonts w:ascii="Arial" w:hAnsi="Arial" w:cs="Arial"/>
          <w:bCs/>
          <w:color w:val="FF0000"/>
          <w:sz w:val="22"/>
          <w:szCs w:val="22"/>
        </w:rPr>
        <w:t>V CHKO Labské pískovce se nachází 5 lokalit.</w:t>
      </w:r>
    </w:p>
    <w:p w14:paraId="486868FA" w14:textId="77777777" w:rsidR="002E729E" w:rsidRPr="002E729E" w:rsidRDefault="002E729E" w:rsidP="002E729E">
      <w:pPr>
        <w:spacing w:before="120" w:line="288" w:lineRule="auto"/>
        <w:ind w:firstLine="709"/>
        <w:jc w:val="both"/>
        <w:rPr>
          <w:rFonts w:ascii="Arial" w:hAnsi="Arial" w:cs="Arial"/>
          <w:bCs/>
          <w:color w:val="FF0000"/>
          <w:sz w:val="22"/>
          <w:szCs w:val="22"/>
        </w:rPr>
      </w:pPr>
      <w:r w:rsidRPr="002E729E">
        <w:rPr>
          <w:rFonts w:ascii="Arial" w:hAnsi="Arial" w:cs="Arial"/>
          <w:bCs/>
          <w:color w:val="FF0000"/>
          <w:sz w:val="22"/>
          <w:szCs w:val="22"/>
        </w:rPr>
        <w:t>V CHKO České středohoří se nachází 34 lokalit.</w:t>
      </w:r>
    </w:p>
    <w:p w14:paraId="68901F53" w14:textId="77777777" w:rsidR="002E729E" w:rsidRPr="002E729E" w:rsidRDefault="002E729E" w:rsidP="002E729E">
      <w:pPr>
        <w:spacing w:before="120" w:line="288" w:lineRule="auto"/>
        <w:ind w:firstLine="709"/>
        <w:jc w:val="both"/>
        <w:rPr>
          <w:rFonts w:ascii="Arial" w:hAnsi="Arial" w:cs="Arial"/>
          <w:bCs/>
          <w:color w:val="FF0000"/>
          <w:sz w:val="22"/>
          <w:szCs w:val="22"/>
        </w:rPr>
      </w:pPr>
      <w:r w:rsidRPr="002E729E">
        <w:rPr>
          <w:rFonts w:ascii="Arial" w:hAnsi="Arial" w:cs="Arial"/>
          <w:bCs/>
          <w:color w:val="FF0000"/>
          <w:sz w:val="22"/>
          <w:szCs w:val="22"/>
        </w:rPr>
        <w:t>Zájmů ochrany přírodních hodnot se dotýkají lokality:</w:t>
      </w:r>
    </w:p>
    <w:p w14:paraId="7C0EB18E" w14:textId="77777777" w:rsidR="002E729E" w:rsidRPr="002E729E" w:rsidRDefault="002E729E" w:rsidP="002E729E">
      <w:pPr>
        <w:spacing w:before="120" w:line="288" w:lineRule="auto"/>
        <w:jc w:val="both"/>
        <w:rPr>
          <w:rFonts w:ascii="Arial" w:hAnsi="Arial" w:cs="Arial"/>
          <w:bCs/>
          <w:color w:val="FF0000"/>
          <w:sz w:val="22"/>
          <w:szCs w:val="22"/>
        </w:rPr>
      </w:pPr>
      <w:r w:rsidRPr="002E729E">
        <w:rPr>
          <w:rFonts w:ascii="Arial" w:hAnsi="Arial" w:cs="Arial"/>
          <w:b/>
          <w:bCs/>
          <w:color w:val="FF0000"/>
          <w:sz w:val="22"/>
          <w:szCs w:val="22"/>
        </w:rPr>
        <w:lastRenderedPageBreak/>
        <w:t xml:space="preserve">8z-40, 8z-50b, 8Z-34 </w:t>
      </w:r>
      <w:r w:rsidRPr="002E729E">
        <w:rPr>
          <w:rFonts w:ascii="Arial" w:hAnsi="Arial" w:cs="Arial"/>
          <w:bCs/>
          <w:color w:val="FF0000"/>
          <w:sz w:val="22"/>
          <w:szCs w:val="22"/>
        </w:rPr>
        <w:t>byly zmenšeny a leží nyní na okraji zájmového prostoru ochrany přírody</w:t>
      </w:r>
    </w:p>
    <w:p w14:paraId="5ABE7ED5" w14:textId="77777777" w:rsidR="002E729E" w:rsidRPr="002E729E" w:rsidRDefault="002E729E" w:rsidP="002E729E">
      <w:pPr>
        <w:spacing w:before="120" w:line="288" w:lineRule="auto"/>
        <w:jc w:val="both"/>
        <w:rPr>
          <w:rFonts w:ascii="Arial" w:hAnsi="Arial" w:cs="Arial"/>
          <w:bCs/>
          <w:color w:val="FF0000"/>
          <w:sz w:val="22"/>
          <w:szCs w:val="22"/>
        </w:rPr>
      </w:pPr>
      <w:r w:rsidRPr="002E729E">
        <w:rPr>
          <w:rFonts w:ascii="Arial" w:hAnsi="Arial" w:cs="Arial"/>
          <w:b/>
          <w:bCs/>
          <w:color w:val="FF0000"/>
          <w:sz w:val="22"/>
          <w:szCs w:val="22"/>
        </w:rPr>
        <w:t>8z-11, 8z-34</w:t>
      </w:r>
      <w:r w:rsidRPr="002E729E">
        <w:rPr>
          <w:rFonts w:ascii="Arial" w:hAnsi="Arial" w:cs="Arial"/>
          <w:b/>
          <w:bCs/>
          <w:strike/>
          <w:color w:val="FF0000"/>
          <w:sz w:val="22"/>
          <w:szCs w:val="22"/>
        </w:rPr>
        <w:t>,</w:t>
      </w:r>
      <w:r w:rsidRPr="002E729E">
        <w:rPr>
          <w:rFonts w:ascii="Arial" w:hAnsi="Arial" w:cs="Arial"/>
          <w:b/>
          <w:bCs/>
          <w:color w:val="FF0000"/>
          <w:sz w:val="22"/>
          <w:szCs w:val="22"/>
        </w:rPr>
        <w:t xml:space="preserve"> 8z-48, 8z-49, </w:t>
      </w:r>
      <w:r w:rsidRPr="002E729E">
        <w:rPr>
          <w:rFonts w:ascii="Arial" w:hAnsi="Arial" w:cs="Arial"/>
          <w:bCs/>
          <w:color w:val="FF0000"/>
          <w:sz w:val="22"/>
          <w:szCs w:val="22"/>
        </w:rPr>
        <w:t>leží zcela nebo částečně v ochranném pásmu lesa (50 m od lesního porostu)</w:t>
      </w:r>
    </w:p>
    <w:p w14:paraId="5914A119" w14:textId="77777777" w:rsidR="002E729E" w:rsidRPr="002E729E" w:rsidRDefault="002E729E" w:rsidP="002E729E">
      <w:pPr>
        <w:spacing w:before="120" w:line="288" w:lineRule="auto"/>
        <w:ind w:firstLine="709"/>
        <w:jc w:val="both"/>
        <w:rPr>
          <w:rFonts w:ascii="Arial" w:hAnsi="Arial" w:cs="Arial"/>
          <w:color w:val="FF0000"/>
          <w:sz w:val="22"/>
          <w:szCs w:val="22"/>
        </w:rPr>
      </w:pPr>
      <w:r w:rsidRPr="002E729E">
        <w:rPr>
          <w:rFonts w:ascii="Arial" w:hAnsi="Arial" w:cs="Arial"/>
          <w:color w:val="FF0000"/>
          <w:sz w:val="22"/>
          <w:szCs w:val="22"/>
        </w:rPr>
        <w:t>Návrh změny ÚP nebude mít negativní vliv na celkovou koncepci ochrany přírody a krajiny a koncepci ochrany životního prostředí.</w:t>
      </w:r>
    </w:p>
    <w:p w14:paraId="07750F42" w14:textId="77777777" w:rsidR="002E729E" w:rsidRPr="002E729E" w:rsidRDefault="002E729E" w:rsidP="002E729E">
      <w:pPr>
        <w:spacing w:before="120" w:line="288" w:lineRule="auto"/>
        <w:ind w:firstLine="709"/>
        <w:jc w:val="both"/>
        <w:rPr>
          <w:rFonts w:ascii="Arial" w:hAnsi="Arial" w:cs="Arial"/>
          <w:color w:val="FF0000"/>
          <w:sz w:val="22"/>
          <w:szCs w:val="22"/>
        </w:rPr>
      </w:pPr>
      <w:r w:rsidRPr="002E729E">
        <w:rPr>
          <w:rFonts w:ascii="Arial" w:hAnsi="Arial" w:cs="Arial"/>
          <w:color w:val="FF0000"/>
          <w:sz w:val="22"/>
          <w:szCs w:val="22"/>
        </w:rPr>
        <w:t>V řešeném území se nachází vyhlášené součásti systému Natura 2000:</w:t>
      </w:r>
    </w:p>
    <w:p w14:paraId="30D6FBEB" w14:textId="77777777" w:rsidR="002E729E" w:rsidRPr="002E729E" w:rsidRDefault="002E729E" w:rsidP="002E729E">
      <w:pPr>
        <w:spacing w:before="120" w:line="288" w:lineRule="auto"/>
        <w:ind w:left="1276" w:hanging="1276"/>
        <w:jc w:val="both"/>
        <w:rPr>
          <w:rFonts w:ascii="Arial" w:hAnsi="Arial" w:cs="Arial"/>
          <w:color w:val="FF0000"/>
          <w:sz w:val="22"/>
          <w:szCs w:val="22"/>
        </w:rPr>
      </w:pPr>
      <w:r w:rsidRPr="002E729E">
        <w:rPr>
          <w:rFonts w:ascii="Arial" w:hAnsi="Arial" w:cs="Arial"/>
          <w:color w:val="FF0000"/>
          <w:sz w:val="22"/>
          <w:szCs w:val="22"/>
        </w:rPr>
        <w:t>CZ0421006</w:t>
      </w:r>
      <w:r w:rsidRPr="002E729E">
        <w:rPr>
          <w:rFonts w:ascii="Arial" w:hAnsi="Arial" w:cs="Arial"/>
          <w:color w:val="FF0000"/>
          <w:sz w:val="22"/>
          <w:szCs w:val="22"/>
        </w:rPr>
        <w:tab/>
        <w:t xml:space="preserve">Labské pískovce (Ptačí oblast), v území leží lokalita 8Z-23, 8Z-34, 8Z-18, </w:t>
      </w:r>
      <w:r w:rsidRPr="002E729E">
        <w:rPr>
          <w:rFonts w:ascii="Arial" w:hAnsi="Arial" w:cs="Arial"/>
          <w:color w:val="FF0000"/>
          <w:sz w:val="22"/>
          <w:szCs w:val="22"/>
        </w:rPr>
        <w:br/>
        <w:t xml:space="preserve">8Z-45, </w:t>
      </w:r>
    </w:p>
    <w:p w14:paraId="428B2EE7" w14:textId="77777777" w:rsidR="002E729E" w:rsidRPr="002E729E" w:rsidRDefault="002E729E" w:rsidP="002E729E">
      <w:pPr>
        <w:spacing w:before="120" w:line="288" w:lineRule="auto"/>
        <w:ind w:left="1276" w:hanging="1276"/>
        <w:jc w:val="both"/>
        <w:rPr>
          <w:rFonts w:ascii="Arial" w:hAnsi="Arial" w:cs="Arial"/>
          <w:color w:val="FF0000"/>
          <w:sz w:val="22"/>
          <w:szCs w:val="22"/>
        </w:rPr>
      </w:pPr>
      <w:r w:rsidRPr="002E729E">
        <w:rPr>
          <w:rFonts w:ascii="Arial" w:hAnsi="Arial" w:cs="Arial"/>
          <w:color w:val="FF0000"/>
          <w:sz w:val="22"/>
          <w:szCs w:val="22"/>
        </w:rPr>
        <w:t>CZ0424111</w:t>
      </w:r>
      <w:r w:rsidRPr="002E729E">
        <w:rPr>
          <w:rFonts w:ascii="Arial" w:hAnsi="Arial" w:cs="Arial"/>
          <w:color w:val="FF0000"/>
          <w:sz w:val="22"/>
          <w:szCs w:val="22"/>
        </w:rPr>
        <w:tab/>
        <w:t>Labské údolí (EVL - Evropsky významná lokalita) – bez vztahu k 8. změně ÚP</w:t>
      </w:r>
    </w:p>
    <w:p w14:paraId="70932729" w14:textId="77777777" w:rsidR="002E729E" w:rsidRPr="002E729E" w:rsidRDefault="002E729E" w:rsidP="002E729E">
      <w:pPr>
        <w:spacing w:before="120" w:line="288" w:lineRule="auto"/>
        <w:ind w:left="1276" w:hanging="1276"/>
        <w:jc w:val="both"/>
        <w:rPr>
          <w:rFonts w:ascii="Arial" w:hAnsi="Arial" w:cs="Arial"/>
          <w:color w:val="FF0000"/>
          <w:sz w:val="22"/>
          <w:szCs w:val="22"/>
        </w:rPr>
      </w:pPr>
      <w:r w:rsidRPr="002E729E">
        <w:rPr>
          <w:rFonts w:ascii="Arial" w:hAnsi="Arial" w:cs="Arial"/>
          <w:color w:val="FF0000"/>
          <w:sz w:val="22"/>
          <w:szCs w:val="22"/>
        </w:rPr>
        <w:t>CZ0513505</w:t>
      </w:r>
      <w:r w:rsidRPr="002E729E">
        <w:rPr>
          <w:rFonts w:ascii="Arial" w:hAnsi="Arial" w:cs="Arial"/>
          <w:color w:val="FF0000"/>
          <w:sz w:val="22"/>
          <w:szCs w:val="22"/>
        </w:rPr>
        <w:tab/>
        <w:t>Dolní Ploučnice ((EVL - Evropsky významná lokalita) – při okraji navržena lokalita 8Z-1</w:t>
      </w:r>
    </w:p>
    <w:p w14:paraId="58524887" w14:textId="77777777" w:rsidR="002E729E" w:rsidRPr="002E729E" w:rsidRDefault="002E729E" w:rsidP="002E729E">
      <w:pPr>
        <w:spacing w:before="120" w:line="288" w:lineRule="auto"/>
        <w:ind w:firstLine="709"/>
        <w:jc w:val="both"/>
        <w:rPr>
          <w:rFonts w:ascii="Arial" w:hAnsi="Arial" w:cs="Arial"/>
          <w:color w:val="FF0000"/>
          <w:sz w:val="22"/>
          <w:szCs w:val="22"/>
        </w:rPr>
      </w:pPr>
      <w:r w:rsidRPr="002E729E">
        <w:rPr>
          <w:rFonts w:ascii="Arial" w:hAnsi="Arial" w:cs="Arial"/>
          <w:color w:val="FF0000"/>
          <w:sz w:val="22"/>
          <w:szCs w:val="22"/>
        </w:rPr>
        <w:t>V území jsou dle údajů Geofondu (Rešerše z ložisek a souvisejících DP a CHLÚ) evidovány zdroje nerostných surovin, kterých se lokality 8. změny nedotýkají.</w:t>
      </w:r>
    </w:p>
    <w:p w14:paraId="67B54DF7" w14:textId="77777777" w:rsidR="002E729E" w:rsidRPr="002E729E" w:rsidRDefault="002E729E" w:rsidP="002E729E">
      <w:pPr>
        <w:pStyle w:val="Nadpis2"/>
        <w:spacing w:before="120" w:line="288" w:lineRule="auto"/>
        <w:jc w:val="both"/>
        <w:rPr>
          <w:rFonts w:ascii="Arial" w:hAnsi="Arial" w:cs="Arial"/>
          <w:b/>
          <w:caps/>
          <w:color w:val="FF0000"/>
          <w:sz w:val="22"/>
          <w:szCs w:val="22"/>
        </w:rPr>
      </w:pPr>
      <w:r w:rsidRPr="002E729E">
        <w:rPr>
          <w:rFonts w:ascii="Arial" w:hAnsi="Arial" w:cs="Arial"/>
          <w:b/>
          <w:caps/>
          <w:color w:val="FF0000"/>
          <w:sz w:val="22"/>
          <w:szCs w:val="22"/>
        </w:rPr>
        <w:t>(Z8) Vymezení ploch a koridorů, ve kterých je rozhodování o změnách v území podmíněno zpracováním územní studie, stanovení podmínek pro její pořízení a přiměřené lhůty pro vložení dat o této studii do evidence územně plánovací činnosti</w:t>
      </w:r>
      <w:bookmarkEnd w:id="57"/>
      <w:bookmarkEnd w:id="58"/>
      <w:r w:rsidRPr="002E729E">
        <w:rPr>
          <w:rFonts w:ascii="Arial" w:hAnsi="Arial" w:cs="Arial"/>
          <w:b/>
          <w:caps/>
          <w:color w:val="FF0000"/>
          <w:sz w:val="22"/>
          <w:szCs w:val="22"/>
        </w:rPr>
        <w:t>.</w:t>
      </w:r>
    </w:p>
    <w:p w14:paraId="317CDE4A" w14:textId="77777777" w:rsidR="002E729E" w:rsidRPr="002E729E" w:rsidRDefault="002E729E" w:rsidP="002E729E">
      <w:pPr>
        <w:ind w:firstLine="708"/>
        <w:rPr>
          <w:rFonts w:ascii="Arial" w:hAnsi="Arial" w:cs="Arial"/>
          <w:color w:val="FF0000"/>
          <w:sz w:val="22"/>
          <w:szCs w:val="22"/>
        </w:rPr>
      </w:pPr>
      <w:r w:rsidRPr="002E729E">
        <w:rPr>
          <w:rFonts w:ascii="Arial" w:hAnsi="Arial" w:cs="Arial"/>
          <w:color w:val="FF0000"/>
          <w:sz w:val="22"/>
          <w:szCs w:val="22"/>
        </w:rPr>
        <w:t>Nejsou vymezovány.</w:t>
      </w:r>
    </w:p>
    <w:p w14:paraId="1E688365" w14:textId="77777777" w:rsidR="002E729E" w:rsidRPr="002E729E" w:rsidRDefault="002E729E" w:rsidP="002E729E">
      <w:pPr>
        <w:spacing w:before="120" w:line="288" w:lineRule="auto"/>
        <w:jc w:val="both"/>
        <w:rPr>
          <w:rFonts w:ascii="Arial" w:hAnsi="Arial" w:cs="Arial"/>
          <w:color w:val="FF0000"/>
          <w:sz w:val="22"/>
          <w:szCs w:val="22"/>
        </w:rPr>
      </w:pPr>
    </w:p>
    <w:p w14:paraId="2A856A3F" w14:textId="77777777" w:rsidR="002E729E" w:rsidRPr="002E729E" w:rsidRDefault="002E729E" w:rsidP="002E729E">
      <w:pPr>
        <w:rPr>
          <w:rFonts w:ascii="Arial" w:hAnsi="Arial" w:cs="Arial"/>
          <w:b/>
          <w:caps/>
          <w:color w:val="FF0000"/>
          <w:sz w:val="22"/>
          <w:szCs w:val="22"/>
        </w:rPr>
      </w:pPr>
      <w:r w:rsidRPr="002E729E">
        <w:rPr>
          <w:rFonts w:ascii="Arial" w:hAnsi="Arial" w:cs="Arial"/>
          <w:b/>
          <w:caps/>
          <w:color w:val="FF0000"/>
          <w:sz w:val="22"/>
          <w:szCs w:val="22"/>
        </w:rPr>
        <w:t>(Z8) Stanovení kompenzačních opatření podle § 50 odst. 6 stavebního zákona</w:t>
      </w:r>
    </w:p>
    <w:p w14:paraId="5B49C156" w14:textId="77777777" w:rsidR="002E729E" w:rsidRPr="002E729E" w:rsidRDefault="002E729E" w:rsidP="002E729E">
      <w:pPr>
        <w:rPr>
          <w:rFonts w:ascii="Arial" w:hAnsi="Arial" w:cs="Arial"/>
          <w:color w:val="FF0000"/>
          <w:sz w:val="22"/>
          <w:szCs w:val="22"/>
        </w:rPr>
      </w:pPr>
    </w:p>
    <w:p w14:paraId="378AE0E7" w14:textId="77777777" w:rsidR="002E729E" w:rsidRPr="002E729E" w:rsidRDefault="002E729E" w:rsidP="002E729E">
      <w:pPr>
        <w:ind w:firstLine="708"/>
        <w:rPr>
          <w:rFonts w:ascii="Arial" w:hAnsi="Arial" w:cs="Arial"/>
          <w:color w:val="FF0000"/>
          <w:sz w:val="22"/>
          <w:szCs w:val="22"/>
        </w:rPr>
      </w:pPr>
      <w:r w:rsidRPr="002E729E">
        <w:rPr>
          <w:rFonts w:ascii="Arial" w:hAnsi="Arial" w:cs="Arial"/>
          <w:color w:val="FF0000"/>
          <w:sz w:val="22"/>
          <w:szCs w:val="22"/>
        </w:rPr>
        <w:t xml:space="preserve">Kompenzační opatření nebyla zpracována. </w:t>
      </w:r>
    </w:p>
    <w:p w14:paraId="65E2BD88" w14:textId="77777777" w:rsidR="002E729E" w:rsidRPr="003820C5" w:rsidRDefault="002E729E" w:rsidP="002E729E">
      <w:pPr>
        <w:jc w:val="both"/>
        <w:rPr>
          <w:color w:val="FF0000"/>
          <w:spacing w:val="3"/>
        </w:rPr>
      </w:pPr>
    </w:p>
    <w:p w14:paraId="468DEC6A" w14:textId="77777777" w:rsidR="00397751" w:rsidRPr="002E729E" w:rsidRDefault="00397751" w:rsidP="00397751">
      <w:pPr>
        <w:tabs>
          <w:tab w:val="decimal" w:pos="567"/>
          <w:tab w:val="right" w:pos="2679"/>
        </w:tabs>
        <w:spacing w:before="120" w:line="288" w:lineRule="auto"/>
        <w:jc w:val="both"/>
        <w:rPr>
          <w:rFonts w:ascii="Arial" w:hAnsi="Arial" w:cs="Arial"/>
          <w:b/>
          <w:color w:val="BF8F00"/>
          <w:sz w:val="22"/>
          <w:szCs w:val="22"/>
        </w:rPr>
      </w:pPr>
      <w:r w:rsidRPr="006B0D1F">
        <w:rPr>
          <w:rFonts w:ascii="Arial" w:hAnsi="Arial" w:cs="Arial"/>
          <w:b/>
          <w:color w:val="18B8B0"/>
          <w:sz w:val="22"/>
          <w:szCs w:val="22"/>
        </w:rPr>
        <w:t>(Z12) KAPITOLA NENÍ ZASTOUPENA VE ZMĚNĚ Č. 12.</w:t>
      </w:r>
    </w:p>
    <w:p w14:paraId="4DB36876" w14:textId="77777777" w:rsidR="002E729E" w:rsidRPr="00624F40" w:rsidRDefault="002E729E" w:rsidP="00397751">
      <w:pPr>
        <w:spacing w:before="120" w:line="288" w:lineRule="auto"/>
        <w:jc w:val="both"/>
        <w:rPr>
          <w:rFonts w:ascii="Arial" w:hAnsi="Arial" w:cs="Arial"/>
          <w:color w:val="FF0000"/>
          <w:spacing w:val="3"/>
        </w:rPr>
      </w:pPr>
    </w:p>
    <w:p w14:paraId="76BB5B6B" w14:textId="77777777" w:rsidR="002E729E" w:rsidRDefault="002E729E" w:rsidP="00CA23D0">
      <w:pPr>
        <w:jc w:val="both"/>
        <w:rPr>
          <w:rFonts w:ascii="Arial" w:hAnsi="Arial" w:cs="Arial"/>
          <w:sz w:val="22"/>
        </w:rPr>
      </w:pPr>
    </w:p>
    <w:p w14:paraId="0CAF0EF0" w14:textId="77777777" w:rsidR="00D6413F" w:rsidRDefault="00D6413F" w:rsidP="00CA23D0">
      <w:pPr>
        <w:jc w:val="both"/>
        <w:rPr>
          <w:rFonts w:ascii="Arial" w:hAnsi="Arial" w:cs="Arial"/>
          <w:sz w:val="22"/>
        </w:rPr>
      </w:pPr>
    </w:p>
    <w:p w14:paraId="32DCB26E" w14:textId="77777777" w:rsidR="00D6413F" w:rsidRDefault="00D6413F" w:rsidP="00CA23D0">
      <w:pPr>
        <w:jc w:val="both"/>
        <w:rPr>
          <w:rFonts w:ascii="Arial" w:hAnsi="Arial" w:cs="Arial"/>
          <w:sz w:val="22"/>
        </w:rPr>
      </w:pPr>
    </w:p>
    <w:p w14:paraId="57B5E400" w14:textId="77777777" w:rsidR="00D6413F" w:rsidRDefault="00D6413F" w:rsidP="00D6413F">
      <w:pPr>
        <w:pStyle w:val="Nadpis1"/>
        <w:numPr>
          <w:ilvl w:val="0"/>
          <w:numId w:val="138"/>
        </w:numPr>
        <w:suppressAutoHyphens w:val="0"/>
        <w:spacing w:before="0" w:line="259" w:lineRule="auto"/>
        <w:jc w:val="both"/>
        <w:rPr>
          <w:rFonts w:ascii="Arial" w:hAnsi="Arial" w:cs="Arial"/>
          <w:b/>
          <w:sz w:val="44"/>
          <w:szCs w:val="44"/>
        </w:rPr>
      </w:pPr>
      <w:r w:rsidRPr="0039128F">
        <w:rPr>
          <w:rFonts w:ascii="Arial" w:hAnsi="Arial" w:cs="Arial"/>
          <w:b/>
          <w:sz w:val="44"/>
          <w:szCs w:val="44"/>
        </w:rPr>
        <w:t>DOKUMENTY ÚP</w:t>
      </w:r>
      <w:r>
        <w:rPr>
          <w:rFonts w:ascii="Arial" w:hAnsi="Arial" w:cs="Arial"/>
          <w:b/>
          <w:sz w:val="44"/>
          <w:szCs w:val="44"/>
        </w:rPr>
        <w:t>N</w:t>
      </w:r>
      <w:r w:rsidRPr="0039128F">
        <w:rPr>
          <w:rFonts w:ascii="Arial" w:hAnsi="Arial" w:cs="Arial"/>
          <w:b/>
          <w:sz w:val="44"/>
          <w:szCs w:val="44"/>
        </w:rPr>
        <w:t xml:space="preserve"> A POŘÍZENÝCH ZMĚN </w:t>
      </w:r>
      <w:r>
        <w:rPr>
          <w:rFonts w:ascii="Arial" w:hAnsi="Arial" w:cs="Arial"/>
          <w:b/>
          <w:sz w:val="44"/>
          <w:szCs w:val="44"/>
        </w:rPr>
        <w:t>č</w:t>
      </w:r>
      <w:r w:rsidRPr="0039128F">
        <w:rPr>
          <w:rFonts w:ascii="Arial" w:hAnsi="Arial" w:cs="Arial"/>
          <w:b/>
          <w:sz w:val="44"/>
          <w:szCs w:val="44"/>
        </w:rPr>
        <w:t>. 1,</w:t>
      </w:r>
      <w:r>
        <w:rPr>
          <w:rFonts w:ascii="Arial" w:hAnsi="Arial" w:cs="Arial"/>
          <w:b/>
          <w:sz w:val="44"/>
          <w:szCs w:val="44"/>
        </w:rPr>
        <w:t xml:space="preserve"> </w:t>
      </w:r>
      <w:r w:rsidRPr="0039128F">
        <w:rPr>
          <w:rFonts w:ascii="Arial" w:hAnsi="Arial" w:cs="Arial"/>
          <w:b/>
          <w:sz w:val="44"/>
          <w:szCs w:val="44"/>
        </w:rPr>
        <w:t>2,</w:t>
      </w:r>
      <w:r>
        <w:rPr>
          <w:rFonts w:ascii="Arial" w:hAnsi="Arial" w:cs="Arial"/>
          <w:b/>
          <w:sz w:val="44"/>
          <w:szCs w:val="44"/>
        </w:rPr>
        <w:t xml:space="preserve"> </w:t>
      </w:r>
      <w:r w:rsidRPr="0039128F">
        <w:rPr>
          <w:rFonts w:ascii="Arial" w:hAnsi="Arial" w:cs="Arial"/>
          <w:b/>
          <w:sz w:val="44"/>
          <w:szCs w:val="44"/>
        </w:rPr>
        <w:t>4,</w:t>
      </w:r>
      <w:r>
        <w:rPr>
          <w:rFonts w:ascii="Arial" w:hAnsi="Arial" w:cs="Arial"/>
          <w:b/>
          <w:sz w:val="44"/>
          <w:szCs w:val="44"/>
        </w:rPr>
        <w:t xml:space="preserve"> </w:t>
      </w:r>
      <w:r w:rsidRPr="0039128F">
        <w:rPr>
          <w:rFonts w:ascii="Arial" w:hAnsi="Arial" w:cs="Arial"/>
          <w:b/>
          <w:sz w:val="44"/>
          <w:szCs w:val="44"/>
        </w:rPr>
        <w:t xml:space="preserve">6 </w:t>
      </w:r>
      <w:r>
        <w:rPr>
          <w:rFonts w:ascii="Arial" w:hAnsi="Arial" w:cs="Arial"/>
          <w:b/>
          <w:sz w:val="44"/>
          <w:szCs w:val="44"/>
        </w:rPr>
        <w:t>a</w:t>
      </w:r>
      <w:r w:rsidRPr="0039128F">
        <w:rPr>
          <w:rFonts w:ascii="Arial" w:hAnsi="Arial" w:cs="Arial"/>
          <w:b/>
          <w:sz w:val="44"/>
          <w:szCs w:val="44"/>
        </w:rPr>
        <w:t xml:space="preserve"> 8</w:t>
      </w:r>
    </w:p>
    <w:p w14:paraId="77F8BD1F" w14:textId="77777777" w:rsidR="00D6413F" w:rsidRDefault="00D6413F" w:rsidP="00D6413F"/>
    <w:p w14:paraId="1C7C4866" w14:textId="77777777" w:rsidR="00D6413F" w:rsidRDefault="00D6413F" w:rsidP="00D6413F">
      <w:pPr>
        <w:pStyle w:val="Zkladntext"/>
        <w:jc w:val="center"/>
        <w:rPr>
          <w:b/>
          <w:sz w:val="44"/>
          <w:szCs w:val="44"/>
        </w:rPr>
      </w:pPr>
    </w:p>
    <w:p w14:paraId="66F22787" w14:textId="77777777" w:rsidR="00D6413F" w:rsidRDefault="00D6413F" w:rsidP="00D6413F">
      <w:pPr>
        <w:pStyle w:val="Zkladntext"/>
        <w:jc w:val="center"/>
        <w:rPr>
          <w:b/>
          <w:sz w:val="44"/>
          <w:szCs w:val="44"/>
        </w:rPr>
      </w:pPr>
      <w:r w:rsidRPr="00327736">
        <w:rPr>
          <w:b/>
          <w:sz w:val="44"/>
          <w:szCs w:val="44"/>
        </w:rPr>
        <w:t>Územní plán města Děčína</w:t>
      </w:r>
      <w:r>
        <w:rPr>
          <w:b/>
          <w:sz w:val="44"/>
          <w:szCs w:val="44"/>
        </w:rPr>
        <w:t xml:space="preserve"> </w:t>
      </w:r>
    </w:p>
    <w:p w14:paraId="72E341E7" w14:textId="77777777" w:rsidR="00D6413F" w:rsidRDefault="00D6413F" w:rsidP="00D6413F">
      <w:pPr>
        <w:pStyle w:val="Zkladntext"/>
        <w:jc w:val="center"/>
        <w:rPr>
          <w:b/>
          <w:sz w:val="44"/>
          <w:szCs w:val="44"/>
        </w:rPr>
      </w:pPr>
    </w:p>
    <w:p w14:paraId="13642F49" w14:textId="77777777" w:rsidR="00D6413F" w:rsidRDefault="00D6413F" w:rsidP="00D6413F">
      <w:pPr>
        <w:pStyle w:val="Zkladntext"/>
        <w:jc w:val="center"/>
        <w:rPr>
          <w:b/>
          <w:sz w:val="44"/>
          <w:szCs w:val="44"/>
        </w:rPr>
      </w:pPr>
    </w:p>
    <w:p w14:paraId="0576BA72" w14:textId="77777777" w:rsidR="00D6413F" w:rsidRDefault="00D6413F" w:rsidP="00D6413F">
      <w:pPr>
        <w:pStyle w:val="Zkladntext"/>
        <w:jc w:val="center"/>
        <w:rPr>
          <w:b/>
          <w:sz w:val="44"/>
          <w:szCs w:val="44"/>
        </w:rPr>
      </w:pPr>
      <w:r w:rsidRPr="00291714">
        <w:rPr>
          <w:b/>
          <w:noProof/>
          <w:sz w:val="44"/>
          <w:szCs w:val="44"/>
          <w:lang w:eastAsia="cs-CZ"/>
        </w:rPr>
        <w:drawing>
          <wp:inline distT="0" distB="0" distL="0" distR="0" wp14:anchorId="3BDCFE65" wp14:editId="28183EF0">
            <wp:extent cx="5754370" cy="4461510"/>
            <wp:effectExtent l="0" t="0" r="0" b="0"/>
            <wp:docPr id="24009" name="Obrázek 24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90">
                      <a:extLst>
                        <a:ext uri="{28A0092B-C50C-407E-A947-70E740481C1C}">
                          <a14:useLocalDpi xmlns:a14="http://schemas.microsoft.com/office/drawing/2010/main" val="0"/>
                        </a:ext>
                      </a:extLst>
                    </a:blip>
                    <a:srcRect/>
                    <a:stretch>
                      <a:fillRect/>
                    </a:stretch>
                  </pic:blipFill>
                  <pic:spPr bwMode="auto">
                    <a:xfrm>
                      <a:off x="0" y="0"/>
                      <a:ext cx="5754370" cy="4461510"/>
                    </a:xfrm>
                    <a:prstGeom prst="rect">
                      <a:avLst/>
                    </a:prstGeom>
                    <a:noFill/>
                    <a:ln>
                      <a:noFill/>
                    </a:ln>
                  </pic:spPr>
                </pic:pic>
              </a:graphicData>
            </a:graphic>
          </wp:inline>
        </w:drawing>
      </w:r>
    </w:p>
    <w:p w14:paraId="36DB605C" w14:textId="77777777" w:rsidR="00D6413F" w:rsidRDefault="00D6413F" w:rsidP="00D6413F">
      <w:pPr>
        <w:pStyle w:val="Zkladntext"/>
        <w:jc w:val="center"/>
        <w:rPr>
          <w:b/>
          <w:sz w:val="44"/>
          <w:szCs w:val="44"/>
        </w:rPr>
      </w:pPr>
    </w:p>
    <w:p w14:paraId="190C8510" w14:textId="77777777" w:rsidR="00D6413F" w:rsidRDefault="00D6413F" w:rsidP="00D6413F">
      <w:pPr>
        <w:pStyle w:val="Zkladntext"/>
        <w:jc w:val="center"/>
        <w:rPr>
          <w:b/>
          <w:sz w:val="44"/>
          <w:szCs w:val="44"/>
        </w:rPr>
      </w:pPr>
    </w:p>
    <w:p w14:paraId="10596FE9" w14:textId="77777777" w:rsidR="00D6413F" w:rsidRDefault="00D6413F" w:rsidP="00D6413F">
      <w:pPr>
        <w:pStyle w:val="Zkladntext"/>
        <w:jc w:val="center"/>
        <w:rPr>
          <w:b/>
          <w:sz w:val="44"/>
          <w:szCs w:val="44"/>
        </w:rPr>
      </w:pPr>
    </w:p>
    <w:p w14:paraId="522700DB" w14:textId="77777777" w:rsidR="00D6413F" w:rsidRDefault="00D6413F" w:rsidP="00D6413F">
      <w:pPr>
        <w:pStyle w:val="Zkladntext"/>
        <w:jc w:val="center"/>
        <w:rPr>
          <w:b/>
          <w:sz w:val="44"/>
          <w:szCs w:val="44"/>
        </w:rPr>
      </w:pPr>
      <w:r w:rsidRPr="00287E13">
        <w:rPr>
          <w:noProof/>
          <w:lang w:eastAsia="cs-CZ"/>
        </w:rPr>
        <w:lastRenderedPageBreak/>
        <w:drawing>
          <wp:inline distT="0" distB="0" distL="0" distR="0" wp14:anchorId="45333349" wp14:editId="584356E7">
            <wp:extent cx="5975350" cy="7945755"/>
            <wp:effectExtent l="0" t="0" r="6350" b="0"/>
            <wp:docPr id="24008" name="Obrázek 24008" descr="WP_20160831_09_42_43_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 descr="WP_20160831_09_42_43_Pro"/>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0" y="0"/>
                      <a:ext cx="5975350" cy="7945755"/>
                    </a:xfrm>
                    <a:prstGeom prst="rect">
                      <a:avLst/>
                    </a:prstGeom>
                    <a:noFill/>
                    <a:ln>
                      <a:noFill/>
                    </a:ln>
                  </pic:spPr>
                </pic:pic>
              </a:graphicData>
            </a:graphic>
          </wp:inline>
        </w:drawing>
      </w:r>
    </w:p>
    <w:p w14:paraId="3D58A8C7" w14:textId="77777777" w:rsidR="00D6413F" w:rsidRDefault="00D6413F" w:rsidP="00D6413F">
      <w:pPr>
        <w:pStyle w:val="Zkladntext"/>
        <w:jc w:val="center"/>
        <w:rPr>
          <w:b/>
          <w:sz w:val="44"/>
          <w:szCs w:val="44"/>
        </w:rPr>
      </w:pPr>
      <w:r w:rsidRPr="00287E13">
        <w:rPr>
          <w:noProof/>
          <w:lang w:eastAsia="cs-CZ"/>
        </w:rPr>
        <w:lastRenderedPageBreak/>
        <w:drawing>
          <wp:inline distT="0" distB="0" distL="0" distR="0" wp14:anchorId="2A69BE86" wp14:editId="35BEF605">
            <wp:extent cx="5123815" cy="6511290"/>
            <wp:effectExtent l="0" t="0" r="635" b="3810"/>
            <wp:docPr id="24007" name="Obrázek 24007" descr="WP_20160831_09_46_29_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8" descr="WP_20160831_09_46_29_Pro"/>
                    <pic:cNvPicPr>
                      <a:picLocks noChangeAspect="1" noChangeArrowheads="1"/>
                    </pic:cNvPicPr>
                  </pic:nvPicPr>
                  <pic:blipFill>
                    <a:blip r:embed="rId292">
                      <a:extLst>
                        <a:ext uri="{28A0092B-C50C-407E-A947-70E740481C1C}">
                          <a14:useLocalDpi xmlns:a14="http://schemas.microsoft.com/office/drawing/2010/main" val="0"/>
                        </a:ext>
                      </a:extLst>
                    </a:blip>
                    <a:srcRect b="28406"/>
                    <a:stretch>
                      <a:fillRect/>
                    </a:stretch>
                  </pic:blipFill>
                  <pic:spPr bwMode="auto">
                    <a:xfrm>
                      <a:off x="0" y="0"/>
                      <a:ext cx="5123815" cy="6511290"/>
                    </a:xfrm>
                    <a:prstGeom prst="rect">
                      <a:avLst/>
                    </a:prstGeom>
                    <a:noFill/>
                    <a:ln>
                      <a:noFill/>
                    </a:ln>
                  </pic:spPr>
                </pic:pic>
              </a:graphicData>
            </a:graphic>
          </wp:inline>
        </w:drawing>
      </w:r>
    </w:p>
    <w:p w14:paraId="0D4F9E42" w14:textId="77777777" w:rsidR="00D6413F" w:rsidRDefault="00D6413F" w:rsidP="00D6413F">
      <w:pPr>
        <w:pStyle w:val="Zkladntext"/>
        <w:jc w:val="center"/>
        <w:rPr>
          <w:b/>
          <w:sz w:val="44"/>
          <w:szCs w:val="44"/>
        </w:rPr>
      </w:pPr>
    </w:p>
    <w:p w14:paraId="4276F3C9" w14:textId="77777777" w:rsidR="00D6413F" w:rsidRDefault="00D6413F" w:rsidP="00D6413F">
      <w:pPr>
        <w:pStyle w:val="Zkladntext"/>
        <w:jc w:val="center"/>
        <w:rPr>
          <w:b/>
          <w:sz w:val="44"/>
          <w:szCs w:val="44"/>
        </w:rPr>
      </w:pPr>
    </w:p>
    <w:p w14:paraId="68734D7E" w14:textId="77777777" w:rsidR="00D6413F" w:rsidRDefault="00D6413F" w:rsidP="00D6413F">
      <w:pPr>
        <w:pStyle w:val="Zkladntext"/>
        <w:jc w:val="center"/>
        <w:rPr>
          <w:b/>
          <w:sz w:val="44"/>
          <w:szCs w:val="44"/>
        </w:rPr>
      </w:pPr>
    </w:p>
    <w:p w14:paraId="2A70D50F" w14:textId="77777777" w:rsidR="00D6413F" w:rsidRDefault="00D6413F" w:rsidP="00D6413F">
      <w:pPr>
        <w:pStyle w:val="Zkladntext"/>
        <w:jc w:val="center"/>
        <w:rPr>
          <w:b/>
          <w:sz w:val="44"/>
          <w:szCs w:val="44"/>
        </w:rPr>
      </w:pPr>
    </w:p>
    <w:p w14:paraId="45AA64B5" w14:textId="77777777" w:rsidR="00D6413F" w:rsidRDefault="00D6413F" w:rsidP="00D6413F">
      <w:pPr>
        <w:pStyle w:val="Zkladntext"/>
        <w:rPr>
          <w:b/>
          <w:sz w:val="44"/>
          <w:szCs w:val="44"/>
        </w:rPr>
      </w:pPr>
    </w:p>
    <w:p w14:paraId="34E65FCD" w14:textId="77777777" w:rsidR="00D6413F" w:rsidRDefault="00D6413F" w:rsidP="00D6413F">
      <w:r w:rsidRPr="00287E13">
        <w:rPr>
          <w:noProof/>
          <w:lang w:eastAsia="cs-CZ"/>
        </w:rPr>
        <w:drawing>
          <wp:inline distT="0" distB="0" distL="0" distR="0" wp14:anchorId="79F0E166" wp14:editId="2904001D">
            <wp:extent cx="5045075" cy="6416675"/>
            <wp:effectExtent l="0" t="0" r="3175" b="3175"/>
            <wp:docPr id="24006" name="Obrázek 24006" descr="WP_20160831_09_46_29_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descr="WP_20160831_09_46_29_Pro"/>
                    <pic:cNvPicPr>
                      <a:picLocks noChangeAspect="1" noChangeArrowheads="1"/>
                    </pic:cNvPicPr>
                  </pic:nvPicPr>
                  <pic:blipFill>
                    <a:blip r:embed="rId292">
                      <a:extLst>
                        <a:ext uri="{28A0092B-C50C-407E-A947-70E740481C1C}">
                          <a14:useLocalDpi xmlns:a14="http://schemas.microsoft.com/office/drawing/2010/main" val="0"/>
                        </a:ext>
                      </a:extLst>
                    </a:blip>
                    <a:srcRect b="28406"/>
                    <a:stretch>
                      <a:fillRect/>
                    </a:stretch>
                  </pic:blipFill>
                  <pic:spPr bwMode="auto">
                    <a:xfrm>
                      <a:off x="0" y="0"/>
                      <a:ext cx="5045075" cy="6416675"/>
                    </a:xfrm>
                    <a:prstGeom prst="rect">
                      <a:avLst/>
                    </a:prstGeom>
                    <a:noFill/>
                    <a:ln>
                      <a:noFill/>
                    </a:ln>
                  </pic:spPr>
                </pic:pic>
              </a:graphicData>
            </a:graphic>
          </wp:inline>
        </w:drawing>
      </w:r>
    </w:p>
    <w:p w14:paraId="04F61278" w14:textId="77777777" w:rsidR="00D6413F" w:rsidRDefault="00D6413F" w:rsidP="00D6413F"/>
    <w:p w14:paraId="6F2F34A5" w14:textId="77777777" w:rsidR="00D6413F" w:rsidRDefault="00D6413F" w:rsidP="00D6413F"/>
    <w:p w14:paraId="0103A0D8" w14:textId="77777777" w:rsidR="00D6413F" w:rsidRDefault="00D6413F" w:rsidP="00D6413F"/>
    <w:p w14:paraId="033E3E89" w14:textId="77777777" w:rsidR="00D6413F" w:rsidRDefault="00D6413F" w:rsidP="00D6413F"/>
    <w:p w14:paraId="05F1CCDD" w14:textId="77777777" w:rsidR="00D6413F" w:rsidRDefault="00D6413F" w:rsidP="00D6413F"/>
    <w:p w14:paraId="284CF704" w14:textId="77777777" w:rsidR="00D6413F" w:rsidRDefault="00D6413F" w:rsidP="00D6413F"/>
    <w:p w14:paraId="2BAD0C8C" w14:textId="77777777" w:rsidR="00D6413F" w:rsidRDefault="00D6413F" w:rsidP="00D6413F"/>
    <w:tbl>
      <w:tblPr>
        <w:tblW w:w="0" w:type="auto"/>
        <w:tblInd w:w="42" w:type="dxa"/>
        <w:tblLayout w:type="fixed"/>
        <w:tblCellMar>
          <w:left w:w="42" w:type="dxa"/>
          <w:right w:w="42" w:type="dxa"/>
        </w:tblCellMar>
        <w:tblLook w:val="0000" w:firstRow="0" w:lastRow="0" w:firstColumn="0" w:lastColumn="0" w:noHBand="0" w:noVBand="0"/>
      </w:tblPr>
      <w:tblGrid>
        <w:gridCol w:w="3573"/>
        <w:gridCol w:w="5455"/>
      </w:tblGrid>
      <w:tr w:rsidR="00D6413F" w14:paraId="5F23FE7F" w14:textId="77777777" w:rsidTr="00AB2594">
        <w:tc>
          <w:tcPr>
            <w:tcW w:w="3573" w:type="dxa"/>
            <w:tcBorders>
              <w:top w:val="nil"/>
              <w:left w:val="nil"/>
              <w:bottom w:val="single" w:sz="6" w:space="0" w:color="auto"/>
              <w:right w:val="nil"/>
            </w:tcBorders>
          </w:tcPr>
          <w:p w14:paraId="28C72B28" w14:textId="77777777" w:rsidR="00D6413F" w:rsidRPr="006636AF" w:rsidRDefault="00D6413F" w:rsidP="00D6413F">
            <w:pPr>
              <w:pStyle w:val="Zkladntext"/>
              <w:spacing w:after="0"/>
            </w:pPr>
          </w:p>
          <w:p w14:paraId="7BCF5E44" w14:textId="77777777" w:rsidR="00D6413F" w:rsidRPr="006636AF" w:rsidRDefault="00D6413F" w:rsidP="00D6413F">
            <w:pPr>
              <w:pStyle w:val="Zkladntext"/>
              <w:spacing w:after="0"/>
            </w:pPr>
          </w:p>
          <w:p w14:paraId="5D605482" w14:textId="77777777" w:rsidR="00D6413F" w:rsidRPr="006636AF" w:rsidRDefault="00D6413F" w:rsidP="00D6413F">
            <w:pPr>
              <w:pStyle w:val="Zkladntext"/>
              <w:spacing w:after="0"/>
            </w:pPr>
          </w:p>
          <w:p w14:paraId="5396D82A" w14:textId="77777777" w:rsidR="00D6413F" w:rsidRDefault="00D6413F" w:rsidP="00D6413F">
            <w:pPr>
              <w:pStyle w:val="Texttabulky"/>
              <w:spacing w:after="0"/>
            </w:pPr>
            <w:r>
              <w:rPr>
                <w:b/>
                <w:bCs/>
              </w:rPr>
              <w:t>POŘIZOVATEL</w:t>
            </w:r>
          </w:p>
        </w:tc>
        <w:tc>
          <w:tcPr>
            <w:tcW w:w="5455" w:type="dxa"/>
            <w:tcBorders>
              <w:top w:val="nil"/>
              <w:left w:val="nil"/>
              <w:bottom w:val="single" w:sz="6" w:space="0" w:color="auto"/>
              <w:right w:val="nil"/>
            </w:tcBorders>
          </w:tcPr>
          <w:p w14:paraId="5CEFB466" w14:textId="77777777" w:rsidR="00D6413F" w:rsidRDefault="00D6413F" w:rsidP="00D6413F">
            <w:pPr>
              <w:pStyle w:val="Texttabulky"/>
              <w:spacing w:after="0"/>
            </w:pPr>
            <w:r>
              <w:rPr>
                <w:b/>
                <w:bCs/>
                <w:caps/>
                <w:sz w:val="40"/>
                <w:szCs w:val="40"/>
              </w:rPr>
              <w:t>město</w:t>
            </w:r>
            <w:r>
              <w:rPr>
                <w:b/>
                <w:bCs/>
                <w:caps/>
                <w:sz w:val="28"/>
                <w:szCs w:val="28"/>
              </w:rPr>
              <w:t xml:space="preserve">  </w:t>
            </w:r>
            <w:r>
              <w:rPr>
                <w:b/>
                <w:bCs/>
                <w:caps/>
                <w:sz w:val="40"/>
                <w:szCs w:val="40"/>
              </w:rPr>
              <w:t>d ě č í n</w:t>
            </w:r>
          </w:p>
          <w:p w14:paraId="72E89188" w14:textId="77777777" w:rsidR="00D6413F" w:rsidRDefault="00D6413F" w:rsidP="00D6413F">
            <w:pPr>
              <w:pStyle w:val="podnadpis2"/>
              <w:spacing w:after="0"/>
            </w:pPr>
            <w:r>
              <w:t>ODBOR ROZVOJE A ÚZEMNÍHO PLÁNU</w:t>
            </w:r>
          </w:p>
        </w:tc>
      </w:tr>
      <w:tr w:rsidR="00D6413F" w14:paraId="7F1036B9" w14:textId="77777777" w:rsidTr="00AB2594">
        <w:tc>
          <w:tcPr>
            <w:tcW w:w="3573" w:type="dxa"/>
            <w:tcBorders>
              <w:top w:val="nil"/>
              <w:left w:val="nil"/>
              <w:bottom w:val="nil"/>
              <w:right w:val="nil"/>
            </w:tcBorders>
          </w:tcPr>
          <w:p w14:paraId="02E74427" w14:textId="77777777" w:rsidR="00D6413F" w:rsidRDefault="00D6413F" w:rsidP="00D6413F">
            <w:pPr>
              <w:pStyle w:val="Texttabulky"/>
              <w:spacing w:after="0"/>
            </w:pPr>
            <w:r>
              <w:rPr>
                <w:b/>
                <w:bCs/>
                <w:sz w:val="22"/>
                <w:szCs w:val="22"/>
              </w:rPr>
              <w:t>ZPRACOVATEL</w:t>
            </w:r>
          </w:p>
          <w:p w14:paraId="7D2E42DD" w14:textId="77777777" w:rsidR="00D6413F" w:rsidRPr="006636AF" w:rsidRDefault="00D6413F" w:rsidP="00D6413F">
            <w:pPr>
              <w:pStyle w:val="Zkladntext"/>
              <w:spacing w:after="0"/>
            </w:pPr>
          </w:p>
        </w:tc>
        <w:tc>
          <w:tcPr>
            <w:tcW w:w="5455" w:type="dxa"/>
            <w:tcBorders>
              <w:top w:val="nil"/>
              <w:left w:val="nil"/>
              <w:bottom w:val="nil"/>
              <w:right w:val="nil"/>
            </w:tcBorders>
          </w:tcPr>
          <w:p w14:paraId="72C8090D" w14:textId="77777777" w:rsidR="00D6413F" w:rsidRPr="006636AF" w:rsidRDefault="00D6413F" w:rsidP="00D6413F">
            <w:pPr>
              <w:pStyle w:val="Zkladntext"/>
              <w:spacing w:after="0"/>
            </w:pPr>
          </w:p>
        </w:tc>
      </w:tr>
      <w:tr w:rsidR="00D6413F" w14:paraId="2C281DF0" w14:textId="77777777" w:rsidTr="00AB2594">
        <w:tc>
          <w:tcPr>
            <w:tcW w:w="3573" w:type="dxa"/>
            <w:tcBorders>
              <w:top w:val="nil"/>
              <w:left w:val="nil"/>
              <w:bottom w:val="nil"/>
              <w:right w:val="nil"/>
            </w:tcBorders>
          </w:tcPr>
          <w:p w14:paraId="2C1052EA" w14:textId="77777777" w:rsidR="00D6413F" w:rsidRPr="006636AF" w:rsidRDefault="00D6413F" w:rsidP="00D6413F">
            <w:pPr>
              <w:pStyle w:val="Zkladntext"/>
              <w:spacing w:after="0"/>
            </w:pPr>
          </w:p>
          <w:p w14:paraId="0949B0A8" w14:textId="77777777" w:rsidR="00D6413F" w:rsidRDefault="00D6413F" w:rsidP="00D6413F">
            <w:pPr>
              <w:pStyle w:val="Texttabulky"/>
              <w:spacing w:after="0"/>
            </w:pPr>
            <w:r>
              <w:rPr>
                <w:b/>
                <w:bCs/>
              </w:rPr>
              <w:t>ING. ARCH.   Š A N T R Ů Č E K  BOHUSLAV</w:t>
            </w:r>
          </w:p>
          <w:p w14:paraId="6B0AC1BE" w14:textId="77777777" w:rsidR="00D6413F" w:rsidRPr="006636AF" w:rsidRDefault="00D6413F" w:rsidP="00D6413F">
            <w:pPr>
              <w:pStyle w:val="Zkladntext"/>
              <w:spacing w:after="0"/>
            </w:pPr>
          </w:p>
          <w:p w14:paraId="16B79661" w14:textId="77777777" w:rsidR="00D6413F" w:rsidRPr="006636AF" w:rsidRDefault="00D6413F" w:rsidP="00D6413F">
            <w:pPr>
              <w:pStyle w:val="Zkladntext"/>
              <w:spacing w:after="0"/>
            </w:pPr>
          </w:p>
          <w:p w14:paraId="1C10C090" w14:textId="77777777" w:rsidR="00D6413F" w:rsidRPr="006636AF" w:rsidRDefault="00D6413F" w:rsidP="00D6413F">
            <w:pPr>
              <w:pStyle w:val="Zkladntext"/>
              <w:spacing w:after="0"/>
            </w:pPr>
          </w:p>
          <w:p w14:paraId="49B80611" w14:textId="77777777" w:rsidR="00D6413F" w:rsidRPr="006636AF" w:rsidRDefault="00D6413F" w:rsidP="00D6413F">
            <w:pPr>
              <w:pStyle w:val="Zkladntext"/>
              <w:spacing w:after="0"/>
            </w:pPr>
          </w:p>
          <w:p w14:paraId="33CD8508" w14:textId="77777777" w:rsidR="00D6413F" w:rsidRPr="006636AF" w:rsidRDefault="00D6413F" w:rsidP="00D6413F">
            <w:pPr>
              <w:pStyle w:val="Zkladntext"/>
              <w:spacing w:after="0"/>
            </w:pPr>
          </w:p>
          <w:p w14:paraId="6E7548FD" w14:textId="77777777" w:rsidR="00D6413F" w:rsidRPr="006636AF" w:rsidRDefault="00D6413F" w:rsidP="00D6413F">
            <w:pPr>
              <w:pStyle w:val="Zkladntext"/>
              <w:spacing w:after="0"/>
            </w:pPr>
          </w:p>
          <w:p w14:paraId="247DFDE2" w14:textId="77777777" w:rsidR="00D6413F" w:rsidRPr="006636AF" w:rsidRDefault="00D6413F" w:rsidP="00D6413F">
            <w:pPr>
              <w:pStyle w:val="Zkladntext"/>
              <w:spacing w:after="0"/>
            </w:pPr>
          </w:p>
          <w:p w14:paraId="10819734" w14:textId="77777777" w:rsidR="00D6413F" w:rsidRPr="006636AF" w:rsidRDefault="00D6413F" w:rsidP="00D6413F">
            <w:pPr>
              <w:pStyle w:val="Zkladntext"/>
              <w:spacing w:after="0"/>
            </w:pPr>
          </w:p>
          <w:p w14:paraId="56926009" w14:textId="77777777" w:rsidR="00D6413F" w:rsidRPr="006636AF" w:rsidRDefault="00D6413F" w:rsidP="00D6413F">
            <w:pPr>
              <w:pStyle w:val="Zkladntext"/>
              <w:spacing w:after="0"/>
            </w:pPr>
          </w:p>
        </w:tc>
        <w:tc>
          <w:tcPr>
            <w:tcW w:w="5455" w:type="dxa"/>
            <w:tcBorders>
              <w:top w:val="nil"/>
              <w:left w:val="nil"/>
              <w:bottom w:val="nil"/>
              <w:right w:val="nil"/>
            </w:tcBorders>
          </w:tcPr>
          <w:p w14:paraId="487B114F" w14:textId="77777777" w:rsidR="00D6413F" w:rsidRPr="006636AF" w:rsidRDefault="00D6413F" w:rsidP="00D6413F">
            <w:pPr>
              <w:pStyle w:val="Zkladntext"/>
              <w:spacing w:after="0"/>
            </w:pPr>
          </w:p>
          <w:p w14:paraId="3453EDF3" w14:textId="77777777" w:rsidR="00D6413F" w:rsidRPr="006636AF" w:rsidRDefault="00D6413F" w:rsidP="00D6413F">
            <w:pPr>
              <w:pStyle w:val="Zkladntext"/>
              <w:spacing w:after="0"/>
            </w:pPr>
          </w:p>
          <w:p w14:paraId="12DC4C7C" w14:textId="77777777" w:rsidR="00D6413F" w:rsidRDefault="00D6413F" w:rsidP="00D6413F">
            <w:pPr>
              <w:pStyle w:val="Texttabulky"/>
              <w:spacing w:after="0"/>
            </w:pPr>
            <w:r>
              <w:rPr>
                <w:b/>
                <w:bCs/>
                <w:sz w:val="20"/>
                <w:szCs w:val="20"/>
              </w:rPr>
              <w:t>autorizovaný architekt, č.autorizace  00995 / 1993</w:t>
            </w:r>
          </w:p>
          <w:p w14:paraId="286EF648" w14:textId="77777777" w:rsidR="00D6413F" w:rsidRDefault="00D6413F" w:rsidP="00D6413F">
            <w:pPr>
              <w:pStyle w:val="Texttabulky"/>
              <w:spacing w:after="0"/>
            </w:pPr>
            <w:r>
              <w:rPr>
                <w:sz w:val="20"/>
                <w:szCs w:val="20"/>
              </w:rPr>
              <w:t>hlavní projektant - vedoucí projektového týmu</w:t>
            </w:r>
          </w:p>
          <w:p w14:paraId="43EAFBB4" w14:textId="77777777" w:rsidR="00D6413F" w:rsidRPr="006636AF" w:rsidRDefault="00D6413F" w:rsidP="00D6413F">
            <w:pPr>
              <w:pStyle w:val="Zkladntext"/>
              <w:spacing w:after="0"/>
            </w:pPr>
          </w:p>
          <w:p w14:paraId="28C6F02C" w14:textId="77777777" w:rsidR="00D6413F" w:rsidRDefault="00D6413F" w:rsidP="00D6413F">
            <w:pPr>
              <w:pStyle w:val="Texttabulky"/>
              <w:spacing w:after="0"/>
            </w:pPr>
            <w:r>
              <w:rPr>
                <w:sz w:val="20"/>
                <w:szCs w:val="20"/>
              </w:rPr>
              <w:t>projektový ateliér pro územně plánovací koncepce</w:t>
            </w:r>
          </w:p>
          <w:p w14:paraId="72F8A245" w14:textId="77777777" w:rsidR="00D6413F" w:rsidRDefault="00D6413F" w:rsidP="00D6413F">
            <w:pPr>
              <w:pStyle w:val="Texttabulky"/>
              <w:spacing w:after="0"/>
            </w:pPr>
            <w:r>
              <w:rPr>
                <w:sz w:val="20"/>
                <w:szCs w:val="20"/>
              </w:rPr>
              <w:t>krajiny a sídel v Ústí nad Labem 400 01, Vinařská 736/8</w:t>
            </w:r>
          </w:p>
          <w:p w14:paraId="47762C8C" w14:textId="77777777" w:rsidR="00D6413F" w:rsidRDefault="00D6413F" w:rsidP="00D6413F">
            <w:pPr>
              <w:pStyle w:val="Texttabulky"/>
              <w:spacing w:after="0"/>
            </w:pPr>
            <w:r>
              <w:rPr>
                <w:sz w:val="20"/>
                <w:szCs w:val="20"/>
              </w:rPr>
              <w:t>IČO   120 36 102</w:t>
            </w:r>
          </w:p>
          <w:p w14:paraId="1B97DDE3" w14:textId="77777777" w:rsidR="00D6413F" w:rsidRPr="006636AF" w:rsidRDefault="00D6413F" w:rsidP="00D6413F">
            <w:pPr>
              <w:pStyle w:val="Zkladntext"/>
              <w:spacing w:after="0"/>
            </w:pPr>
          </w:p>
        </w:tc>
      </w:tr>
      <w:tr w:rsidR="00D6413F" w14:paraId="667AF4E9" w14:textId="77777777" w:rsidTr="00AB2594">
        <w:tc>
          <w:tcPr>
            <w:tcW w:w="3573" w:type="dxa"/>
            <w:tcBorders>
              <w:top w:val="nil"/>
              <w:left w:val="nil"/>
              <w:bottom w:val="nil"/>
              <w:right w:val="nil"/>
            </w:tcBorders>
          </w:tcPr>
          <w:p w14:paraId="1A115D2D" w14:textId="77777777" w:rsidR="00D6413F" w:rsidRDefault="00D6413F" w:rsidP="00D6413F">
            <w:pPr>
              <w:pStyle w:val="Texttabulky"/>
              <w:spacing w:after="0"/>
            </w:pPr>
            <w:r>
              <w:rPr>
                <w:rFonts w:cs="Arial"/>
                <w:b/>
                <w:bCs/>
                <w:caps/>
                <w:sz w:val="22"/>
                <w:szCs w:val="22"/>
              </w:rPr>
              <w:t>odborná spolupráce</w:t>
            </w:r>
          </w:p>
          <w:p w14:paraId="27304AC9" w14:textId="77777777" w:rsidR="00D6413F" w:rsidRPr="006636AF" w:rsidRDefault="00D6413F" w:rsidP="00D6413F">
            <w:pPr>
              <w:pStyle w:val="Zkladntext"/>
              <w:spacing w:after="0"/>
            </w:pPr>
          </w:p>
          <w:p w14:paraId="02B1C6C8" w14:textId="77777777" w:rsidR="00D6413F" w:rsidRPr="006636AF" w:rsidRDefault="00D6413F" w:rsidP="00D6413F">
            <w:pPr>
              <w:pStyle w:val="Zkladntext"/>
              <w:spacing w:after="0"/>
            </w:pPr>
          </w:p>
        </w:tc>
        <w:tc>
          <w:tcPr>
            <w:tcW w:w="5455" w:type="dxa"/>
            <w:tcBorders>
              <w:top w:val="nil"/>
              <w:left w:val="nil"/>
              <w:bottom w:val="nil"/>
              <w:right w:val="nil"/>
            </w:tcBorders>
          </w:tcPr>
          <w:p w14:paraId="79239E40" w14:textId="77777777" w:rsidR="00D6413F" w:rsidRPr="006636AF" w:rsidRDefault="00D6413F" w:rsidP="00D6413F">
            <w:pPr>
              <w:pStyle w:val="Zkladntext"/>
              <w:spacing w:after="0"/>
            </w:pPr>
          </w:p>
        </w:tc>
      </w:tr>
      <w:tr w:rsidR="00D6413F" w14:paraId="1EDB8F26" w14:textId="77777777" w:rsidTr="00AB2594">
        <w:tc>
          <w:tcPr>
            <w:tcW w:w="3573" w:type="dxa"/>
            <w:tcBorders>
              <w:top w:val="nil"/>
              <w:left w:val="nil"/>
              <w:bottom w:val="nil"/>
              <w:right w:val="nil"/>
            </w:tcBorders>
          </w:tcPr>
          <w:p w14:paraId="16128290" w14:textId="77777777" w:rsidR="00D6413F" w:rsidRDefault="00D6413F" w:rsidP="00D6413F">
            <w:pPr>
              <w:pStyle w:val="Texttabulky"/>
              <w:spacing w:after="0"/>
              <w:rPr>
                <w:rFonts w:cs="Arial"/>
                <w:b/>
                <w:bCs/>
                <w:caps/>
              </w:rPr>
            </w:pPr>
          </w:p>
          <w:p w14:paraId="5F2781B6" w14:textId="77777777" w:rsidR="00D6413F" w:rsidRDefault="00D6413F" w:rsidP="00D6413F">
            <w:pPr>
              <w:pStyle w:val="Texttabulky"/>
              <w:spacing w:after="0"/>
            </w:pPr>
            <w:r>
              <w:rPr>
                <w:rFonts w:cs="Arial"/>
                <w:b/>
                <w:bCs/>
                <w:caps/>
              </w:rPr>
              <w:t>ing. B u d i n s k ý  Vladimír</w:t>
            </w:r>
          </w:p>
          <w:p w14:paraId="09A81430" w14:textId="77777777" w:rsidR="00D6413F" w:rsidRPr="006636AF" w:rsidRDefault="00D6413F" w:rsidP="00D6413F">
            <w:pPr>
              <w:pStyle w:val="Zkladntext"/>
              <w:spacing w:after="0"/>
            </w:pPr>
          </w:p>
        </w:tc>
        <w:tc>
          <w:tcPr>
            <w:tcW w:w="5455" w:type="dxa"/>
            <w:tcBorders>
              <w:top w:val="nil"/>
              <w:left w:val="nil"/>
              <w:bottom w:val="nil"/>
              <w:right w:val="nil"/>
            </w:tcBorders>
          </w:tcPr>
          <w:p w14:paraId="101B2C97" w14:textId="77777777" w:rsidR="00D6413F" w:rsidRDefault="00D6413F" w:rsidP="00D6413F">
            <w:pPr>
              <w:pStyle w:val="Texttabulky"/>
              <w:spacing w:after="0"/>
            </w:pPr>
            <w:r>
              <w:rPr>
                <w:b/>
                <w:bCs/>
                <w:sz w:val="20"/>
                <w:szCs w:val="20"/>
              </w:rPr>
              <w:t>specialista pro dopravu a přepravní vztahy</w:t>
            </w:r>
          </w:p>
          <w:p w14:paraId="7D8A4457" w14:textId="77777777" w:rsidR="00D6413F" w:rsidRDefault="00D6413F" w:rsidP="00D6413F">
            <w:pPr>
              <w:pStyle w:val="Texttabulky"/>
              <w:spacing w:after="0"/>
            </w:pPr>
            <w:r>
              <w:rPr>
                <w:rFonts w:cs="Arial"/>
                <w:sz w:val="20"/>
                <w:szCs w:val="20"/>
              </w:rPr>
              <w:t>autorizovaný inženýr v oboru dopravní stavby               ČKAIT  č. 0400084/93          IČO:  134 701 08</w:t>
            </w:r>
          </w:p>
          <w:p w14:paraId="3C6CB33E" w14:textId="77777777" w:rsidR="00D6413F" w:rsidRDefault="00D6413F" w:rsidP="00D6413F">
            <w:pPr>
              <w:pStyle w:val="Texttabulky"/>
              <w:spacing w:after="0"/>
            </w:pPr>
            <w:r>
              <w:t xml:space="preserve"> </w:t>
            </w:r>
            <w:r>
              <w:rPr>
                <w:rFonts w:cs="Arial"/>
                <w:sz w:val="20"/>
                <w:szCs w:val="20"/>
              </w:rPr>
              <w:t>dopravně - inženýrská KANCELÁŘ</w:t>
            </w:r>
          </w:p>
          <w:p w14:paraId="31253242" w14:textId="77777777" w:rsidR="00D6413F" w:rsidRDefault="00D6413F" w:rsidP="00D6413F">
            <w:pPr>
              <w:pStyle w:val="Texttabulky"/>
              <w:spacing w:after="0"/>
            </w:pPr>
            <w:r>
              <w:rPr>
                <w:sz w:val="20"/>
                <w:szCs w:val="20"/>
              </w:rPr>
              <w:t>400 07 Ústí nad Labem, Obvodová 742/1/8</w:t>
            </w:r>
          </w:p>
          <w:p w14:paraId="7B05D48E" w14:textId="77777777" w:rsidR="00D6413F" w:rsidRPr="006636AF" w:rsidRDefault="00D6413F" w:rsidP="00D6413F">
            <w:pPr>
              <w:pStyle w:val="Zkladntext"/>
              <w:spacing w:after="0"/>
            </w:pPr>
          </w:p>
          <w:p w14:paraId="29B84FD6" w14:textId="77777777" w:rsidR="00D6413F" w:rsidRPr="006636AF" w:rsidRDefault="00D6413F" w:rsidP="00D6413F">
            <w:pPr>
              <w:pStyle w:val="Zkladntext"/>
              <w:spacing w:after="0"/>
            </w:pPr>
          </w:p>
        </w:tc>
      </w:tr>
      <w:tr w:rsidR="00D6413F" w14:paraId="1C6525B0" w14:textId="77777777" w:rsidTr="00AB2594">
        <w:tc>
          <w:tcPr>
            <w:tcW w:w="3573" w:type="dxa"/>
            <w:tcBorders>
              <w:top w:val="nil"/>
              <w:left w:val="nil"/>
              <w:bottom w:val="nil"/>
              <w:right w:val="nil"/>
            </w:tcBorders>
          </w:tcPr>
          <w:p w14:paraId="680F6671" w14:textId="77777777" w:rsidR="00D6413F" w:rsidRPr="006636AF" w:rsidRDefault="00D6413F" w:rsidP="00D6413F">
            <w:pPr>
              <w:pStyle w:val="Zkladntext"/>
              <w:spacing w:after="0"/>
              <w:rPr>
                <w:rFonts w:cs="Arial"/>
                <w:b/>
                <w:bCs/>
                <w:caps/>
              </w:rPr>
            </w:pPr>
          </w:p>
          <w:p w14:paraId="31D9DB63" w14:textId="77777777" w:rsidR="00D6413F" w:rsidRPr="006636AF" w:rsidRDefault="00D6413F" w:rsidP="00D6413F">
            <w:pPr>
              <w:pStyle w:val="Zkladntext"/>
              <w:spacing w:after="0"/>
            </w:pPr>
            <w:r w:rsidRPr="006636AF">
              <w:rPr>
                <w:rFonts w:cs="Arial"/>
                <w:b/>
                <w:bCs/>
                <w:caps/>
              </w:rPr>
              <w:t>ing.  Š o b r  Milan</w:t>
            </w:r>
          </w:p>
          <w:p w14:paraId="0DC232BE" w14:textId="77777777" w:rsidR="00D6413F" w:rsidRPr="006636AF" w:rsidRDefault="00D6413F" w:rsidP="00D6413F">
            <w:pPr>
              <w:pStyle w:val="Zkladntext"/>
              <w:spacing w:after="0"/>
            </w:pPr>
          </w:p>
        </w:tc>
        <w:tc>
          <w:tcPr>
            <w:tcW w:w="5455" w:type="dxa"/>
            <w:tcBorders>
              <w:top w:val="nil"/>
              <w:left w:val="nil"/>
              <w:bottom w:val="nil"/>
              <w:right w:val="nil"/>
            </w:tcBorders>
          </w:tcPr>
          <w:p w14:paraId="6E216B54" w14:textId="77777777" w:rsidR="00D6413F" w:rsidRDefault="00D6413F" w:rsidP="00D6413F">
            <w:pPr>
              <w:pStyle w:val="Texttabulky"/>
              <w:spacing w:after="0"/>
            </w:pPr>
            <w:r>
              <w:rPr>
                <w:rFonts w:cs="Arial"/>
                <w:b/>
                <w:bCs/>
                <w:sz w:val="20"/>
                <w:szCs w:val="20"/>
              </w:rPr>
              <w:t>specialista pro energetiku (elektro, teplo, plyn) a spoje</w:t>
            </w:r>
          </w:p>
          <w:p w14:paraId="131F5A39" w14:textId="77777777" w:rsidR="00D6413F" w:rsidRDefault="00D6413F" w:rsidP="00D6413F">
            <w:pPr>
              <w:pStyle w:val="Texttabulky"/>
              <w:spacing w:after="0"/>
            </w:pPr>
            <w:r>
              <w:rPr>
                <w:rFonts w:cs="Arial"/>
                <w:b/>
                <w:bCs/>
                <w:sz w:val="20"/>
                <w:szCs w:val="20"/>
              </w:rPr>
              <w:t>oprávněn vykonávat projektovou činnost v investiční výstavbě</w:t>
            </w:r>
            <w:r>
              <w:t xml:space="preserve">                                   </w:t>
            </w:r>
            <w:r>
              <w:rPr>
                <w:rFonts w:cs="Arial"/>
                <w:sz w:val="20"/>
                <w:szCs w:val="20"/>
              </w:rPr>
              <w:t>IČO: 139 48 363</w:t>
            </w:r>
          </w:p>
          <w:p w14:paraId="34D4F4FB" w14:textId="77777777" w:rsidR="00D6413F" w:rsidRPr="006636AF" w:rsidRDefault="00D6413F" w:rsidP="00D6413F">
            <w:pPr>
              <w:pStyle w:val="Zkladntext"/>
              <w:spacing w:after="0" w:line="240" w:lineRule="atLeast"/>
            </w:pPr>
            <w:r w:rsidRPr="006636AF">
              <w:t xml:space="preserve"> </w:t>
            </w:r>
            <w:r w:rsidRPr="006636AF">
              <w:rPr>
                <w:rFonts w:cs="Arial"/>
              </w:rPr>
              <w:t>PROJEKČNÍ KANCELÁŘ v OBORU ENERGETIKA</w:t>
            </w:r>
            <w:r w:rsidRPr="006636AF">
              <w:t xml:space="preserve">, </w:t>
            </w:r>
            <w:r w:rsidRPr="006636AF">
              <w:rPr>
                <w:rFonts w:cs="Arial"/>
              </w:rPr>
              <w:t>energetické koncepce obcí, energetické generely, energetické části územních plánů a urbanistických studií</w:t>
            </w:r>
          </w:p>
          <w:p w14:paraId="68C70478" w14:textId="77777777" w:rsidR="00D6413F" w:rsidRDefault="00D6413F" w:rsidP="00D6413F">
            <w:pPr>
              <w:pStyle w:val="Texttabulky"/>
              <w:spacing w:after="0"/>
            </w:pPr>
            <w:r>
              <w:rPr>
                <w:rFonts w:cs="Arial"/>
                <w:sz w:val="20"/>
                <w:szCs w:val="20"/>
              </w:rPr>
              <w:t>415 01 Teplice, Juditina 12</w:t>
            </w:r>
            <w:r>
              <w:t xml:space="preserve">       </w:t>
            </w:r>
          </w:p>
          <w:p w14:paraId="36034DC8" w14:textId="77777777" w:rsidR="00D6413F" w:rsidRPr="006636AF" w:rsidRDefault="00D6413F" w:rsidP="00D6413F">
            <w:pPr>
              <w:pStyle w:val="Zkladntext"/>
              <w:spacing w:after="0"/>
            </w:pPr>
          </w:p>
          <w:p w14:paraId="37CBB17F" w14:textId="77777777" w:rsidR="00D6413F" w:rsidRPr="006636AF" w:rsidRDefault="00D6413F" w:rsidP="00D6413F">
            <w:pPr>
              <w:pStyle w:val="Zkladntext"/>
              <w:spacing w:after="0"/>
            </w:pPr>
          </w:p>
        </w:tc>
      </w:tr>
      <w:tr w:rsidR="00D6413F" w14:paraId="2DD1A30E" w14:textId="77777777" w:rsidTr="00AB2594">
        <w:tc>
          <w:tcPr>
            <w:tcW w:w="3573" w:type="dxa"/>
            <w:tcBorders>
              <w:top w:val="nil"/>
              <w:left w:val="nil"/>
              <w:bottom w:val="nil"/>
              <w:right w:val="nil"/>
            </w:tcBorders>
          </w:tcPr>
          <w:p w14:paraId="6F638E87" w14:textId="77777777" w:rsidR="00D6413F" w:rsidRPr="006636AF" w:rsidRDefault="00D6413F" w:rsidP="00D6413F">
            <w:pPr>
              <w:pStyle w:val="Zkladntext"/>
              <w:spacing w:after="0"/>
              <w:rPr>
                <w:rFonts w:cs="Arial"/>
                <w:b/>
                <w:bCs/>
              </w:rPr>
            </w:pPr>
          </w:p>
          <w:p w14:paraId="595FB6B8" w14:textId="77777777" w:rsidR="00D6413F" w:rsidRPr="006636AF" w:rsidRDefault="00D6413F" w:rsidP="00D6413F">
            <w:pPr>
              <w:pStyle w:val="Zkladntext"/>
              <w:spacing w:after="0"/>
            </w:pPr>
            <w:r w:rsidRPr="006636AF">
              <w:rPr>
                <w:rFonts w:cs="Arial"/>
                <w:b/>
                <w:bCs/>
              </w:rPr>
              <w:t>ING.  D A V I D  LUBOŠ</w:t>
            </w:r>
          </w:p>
        </w:tc>
        <w:tc>
          <w:tcPr>
            <w:tcW w:w="5455" w:type="dxa"/>
            <w:tcBorders>
              <w:top w:val="nil"/>
              <w:left w:val="nil"/>
              <w:bottom w:val="nil"/>
              <w:right w:val="nil"/>
            </w:tcBorders>
          </w:tcPr>
          <w:p w14:paraId="47F19D6A" w14:textId="77777777" w:rsidR="00D6413F" w:rsidRDefault="00D6413F" w:rsidP="00D6413F">
            <w:pPr>
              <w:pStyle w:val="Texttabulky"/>
              <w:spacing w:after="0"/>
            </w:pPr>
            <w:r>
              <w:rPr>
                <w:rFonts w:cs="Arial"/>
                <w:b/>
                <w:bCs/>
                <w:sz w:val="20"/>
                <w:szCs w:val="20"/>
              </w:rPr>
              <w:t>autorizovaný inženýr v oboru vodohospodářské stavby</w:t>
            </w:r>
          </w:p>
          <w:p w14:paraId="1B30CCEB" w14:textId="77777777" w:rsidR="00D6413F" w:rsidRDefault="00D6413F" w:rsidP="00D6413F">
            <w:pPr>
              <w:pStyle w:val="Texttabulky"/>
              <w:spacing w:after="0"/>
            </w:pPr>
            <w:r>
              <w:rPr>
                <w:rFonts w:cs="Arial"/>
                <w:b/>
                <w:bCs/>
                <w:sz w:val="20"/>
                <w:szCs w:val="20"/>
              </w:rPr>
              <w:t xml:space="preserve">ČKAIT č. 0400084 / 93      </w:t>
            </w:r>
            <w:r>
              <w:rPr>
                <w:rFonts w:cs="Arial"/>
                <w:sz w:val="20"/>
                <w:szCs w:val="20"/>
              </w:rPr>
              <w:t xml:space="preserve"> IČO: 114 267 13</w:t>
            </w:r>
          </w:p>
          <w:p w14:paraId="3A320BF1" w14:textId="77777777" w:rsidR="00D6413F" w:rsidRDefault="00D6413F" w:rsidP="00D6413F">
            <w:pPr>
              <w:pStyle w:val="Texttabulky"/>
              <w:spacing w:after="0"/>
            </w:pPr>
            <w:r>
              <w:rPr>
                <w:rFonts w:cs="Arial"/>
                <w:sz w:val="20"/>
                <w:szCs w:val="20"/>
              </w:rPr>
              <w:t>specialista pro řešení problematiky vodních toků a ploch,</w:t>
            </w:r>
          </w:p>
          <w:p w14:paraId="2D00FBB6" w14:textId="77777777" w:rsidR="00D6413F" w:rsidRDefault="00D6413F" w:rsidP="00D6413F">
            <w:pPr>
              <w:pStyle w:val="Texttabulky"/>
              <w:spacing w:after="0"/>
            </w:pPr>
            <w:r>
              <w:rPr>
                <w:rFonts w:cs="Arial"/>
                <w:sz w:val="20"/>
                <w:szCs w:val="20"/>
              </w:rPr>
              <w:t>zásobování vodou a likvidaci odpadních vod</w:t>
            </w:r>
          </w:p>
          <w:p w14:paraId="19C542D2" w14:textId="77777777" w:rsidR="00D6413F" w:rsidRPr="006636AF" w:rsidRDefault="00D6413F" w:rsidP="00D6413F">
            <w:pPr>
              <w:pStyle w:val="Zkladntext"/>
              <w:spacing w:after="0"/>
            </w:pPr>
            <w:r w:rsidRPr="006636AF">
              <w:t xml:space="preserve"> </w:t>
            </w:r>
            <w:r w:rsidRPr="006636AF">
              <w:rPr>
                <w:rFonts w:cs="Arial"/>
              </w:rPr>
              <w:t>PROJEKČNÍ KANCELÁŘ v OBORU</w:t>
            </w:r>
            <w:r w:rsidRPr="006636AF">
              <w:t xml:space="preserve"> vodního hospodářství</w:t>
            </w:r>
          </w:p>
          <w:p w14:paraId="3FA133A0" w14:textId="77777777" w:rsidR="00D6413F" w:rsidRPr="006636AF" w:rsidRDefault="00D6413F" w:rsidP="00D6413F">
            <w:pPr>
              <w:pStyle w:val="Zkladntext"/>
              <w:spacing w:after="0"/>
            </w:pPr>
            <w:r w:rsidRPr="006636AF">
              <w:t>400 01 Ústí nad Labem, Alešova 62</w:t>
            </w:r>
          </w:p>
          <w:p w14:paraId="264669F4" w14:textId="77777777" w:rsidR="00D6413F" w:rsidRPr="006636AF" w:rsidRDefault="00D6413F" w:rsidP="00D6413F">
            <w:pPr>
              <w:pStyle w:val="Zkladntext"/>
              <w:spacing w:after="0"/>
            </w:pPr>
          </w:p>
          <w:p w14:paraId="765B6D89" w14:textId="77777777" w:rsidR="00D6413F" w:rsidRPr="006636AF" w:rsidRDefault="00D6413F" w:rsidP="00D6413F">
            <w:pPr>
              <w:pStyle w:val="Zkladntext"/>
              <w:spacing w:after="0"/>
            </w:pPr>
          </w:p>
          <w:p w14:paraId="2C860DF1" w14:textId="77777777" w:rsidR="00D6413F" w:rsidRPr="006636AF" w:rsidRDefault="00D6413F" w:rsidP="00D6413F">
            <w:pPr>
              <w:pStyle w:val="Zkladntext"/>
              <w:spacing w:after="0"/>
            </w:pPr>
          </w:p>
        </w:tc>
      </w:tr>
      <w:tr w:rsidR="00D6413F" w14:paraId="4EE390FC" w14:textId="77777777" w:rsidTr="00AB2594">
        <w:tc>
          <w:tcPr>
            <w:tcW w:w="3573" w:type="dxa"/>
            <w:tcBorders>
              <w:top w:val="nil"/>
              <w:left w:val="nil"/>
              <w:bottom w:val="nil"/>
              <w:right w:val="nil"/>
            </w:tcBorders>
          </w:tcPr>
          <w:p w14:paraId="5E691505" w14:textId="77777777" w:rsidR="00D6413F" w:rsidRDefault="00D6413F" w:rsidP="00D6413F">
            <w:pPr>
              <w:pStyle w:val="podnadpis2"/>
              <w:spacing w:after="0"/>
            </w:pPr>
          </w:p>
          <w:p w14:paraId="00583EDB" w14:textId="77777777" w:rsidR="00D6413F" w:rsidRDefault="00D6413F" w:rsidP="00D6413F">
            <w:pPr>
              <w:pStyle w:val="podnadpis2"/>
              <w:spacing w:after="0"/>
            </w:pPr>
            <w:r>
              <w:lastRenderedPageBreak/>
              <w:t>ing.  B r o ž o v á   Ivanka</w:t>
            </w:r>
          </w:p>
        </w:tc>
        <w:tc>
          <w:tcPr>
            <w:tcW w:w="5455" w:type="dxa"/>
            <w:tcBorders>
              <w:top w:val="nil"/>
              <w:left w:val="nil"/>
              <w:bottom w:val="nil"/>
              <w:right w:val="nil"/>
            </w:tcBorders>
          </w:tcPr>
          <w:p w14:paraId="54700976" w14:textId="77777777" w:rsidR="00D6413F" w:rsidRDefault="00D6413F" w:rsidP="00D6413F">
            <w:pPr>
              <w:pStyle w:val="Texttabulky"/>
              <w:spacing w:after="0"/>
            </w:pPr>
            <w:r>
              <w:rPr>
                <w:rFonts w:cs="Arial"/>
                <w:b/>
                <w:bCs/>
                <w:sz w:val="20"/>
                <w:szCs w:val="20"/>
              </w:rPr>
              <w:lastRenderedPageBreak/>
              <w:t>autorizovaný specialista pro ÚSES, č.autorizace 01808</w:t>
            </w:r>
          </w:p>
          <w:p w14:paraId="6927CCA8" w14:textId="77777777" w:rsidR="00D6413F" w:rsidRDefault="00D6413F" w:rsidP="00D6413F">
            <w:pPr>
              <w:pStyle w:val="Texttabulky"/>
              <w:spacing w:after="0"/>
            </w:pPr>
            <w:r>
              <w:rPr>
                <w:rFonts w:cs="Arial"/>
                <w:b/>
                <w:bCs/>
                <w:sz w:val="20"/>
                <w:szCs w:val="20"/>
              </w:rPr>
              <w:lastRenderedPageBreak/>
              <w:t xml:space="preserve">oprávněna vykonávat projektovou činnost </w:t>
            </w:r>
          </w:p>
          <w:p w14:paraId="36E33AA0" w14:textId="77777777" w:rsidR="00D6413F" w:rsidRPr="006636AF" w:rsidRDefault="00D6413F" w:rsidP="00D6413F">
            <w:pPr>
              <w:pStyle w:val="Zkladntext"/>
              <w:spacing w:after="0"/>
            </w:pPr>
            <w:r w:rsidRPr="006636AF">
              <w:rPr>
                <w:rFonts w:cs="Arial"/>
              </w:rPr>
              <w:t>specialista pro řešení problematiky zemědělství, lesnictví</w:t>
            </w:r>
            <w:r w:rsidRPr="006636AF">
              <w:t>, ekologie a životního prostředí     IČO: 139 376 18</w:t>
            </w:r>
          </w:p>
          <w:p w14:paraId="464CCDB0" w14:textId="77777777" w:rsidR="00D6413F" w:rsidRPr="006636AF" w:rsidRDefault="00D6413F" w:rsidP="00D6413F">
            <w:pPr>
              <w:pStyle w:val="Zkladntext"/>
              <w:spacing w:after="0"/>
            </w:pPr>
            <w:r w:rsidRPr="006636AF">
              <w:t xml:space="preserve"> </w:t>
            </w:r>
            <w:r w:rsidRPr="006636AF">
              <w:rPr>
                <w:rFonts w:cs="Arial"/>
              </w:rPr>
              <w:t>PROJEKČNÍ KANCELÁŘ v OBORU</w:t>
            </w:r>
            <w:r w:rsidRPr="006636AF">
              <w:t xml:space="preserve"> zemědělství, lesnictví, ekologie a životního prostředí  </w:t>
            </w:r>
          </w:p>
          <w:p w14:paraId="0B7BB04F" w14:textId="77777777" w:rsidR="00D6413F" w:rsidRPr="006636AF" w:rsidRDefault="00D6413F" w:rsidP="00D6413F">
            <w:pPr>
              <w:pStyle w:val="Zkladntext"/>
              <w:spacing w:after="0"/>
            </w:pPr>
            <w:r w:rsidRPr="006636AF">
              <w:t>412 01 Litoměřice, Havlíčkova 12</w:t>
            </w:r>
          </w:p>
          <w:p w14:paraId="2327723C" w14:textId="77777777" w:rsidR="00D6413F" w:rsidRPr="006636AF" w:rsidRDefault="00D6413F" w:rsidP="00D6413F">
            <w:pPr>
              <w:pStyle w:val="Zkladntext"/>
              <w:spacing w:after="0"/>
            </w:pPr>
          </w:p>
          <w:p w14:paraId="3B562FBB" w14:textId="77777777" w:rsidR="00D6413F" w:rsidRPr="006636AF" w:rsidRDefault="00D6413F" w:rsidP="00D6413F">
            <w:pPr>
              <w:pStyle w:val="Zkladntext"/>
              <w:spacing w:after="0"/>
            </w:pPr>
          </w:p>
          <w:p w14:paraId="7471DACB" w14:textId="77777777" w:rsidR="00D6413F" w:rsidRPr="006636AF" w:rsidRDefault="00D6413F" w:rsidP="00D6413F">
            <w:pPr>
              <w:pStyle w:val="Zkladntext"/>
              <w:spacing w:after="0"/>
            </w:pPr>
          </w:p>
        </w:tc>
      </w:tr>
      <w:tr w:rsidR="00D6413F" w14:paraId="28EC59AE" w14:textId="77777777" w:rsidTr="00AB2594">
        <w:tc>
          <w:tcPr>
            <w:tcW w:w="3573" w:type="dxa"/>
            <w:tcBorders>
              <w:top w:val="nil"/>
              <w:left w:val="nil"/>
              <w:bottom w:val="nil"/>
              <w:right w:val="nil"/>
            </w:tcBorders>
          </w:tcPr>
          <w:p w14:paraId="0B3DFB7A" w14:textId="77777777" w:rsidR="00D6413F" w:rsidRPr="006636AF" w:rsidRDefault="00D6413F" w:rsidP="00D6413F">
            <w:pPr>
              <w:pStyle w:val="Zkladntext"/>
              <w:spacing w:after="0"/>
            </w:pPr>
            <w:r w:rsidRPr="006636AF">
              <w:rPr>
                <w:b/>
                <w:bCs/>
              </w:rPr>
              <w:lastRenderedPageBreak/>
              <w:t>RNDr.  J E Ž E K   JAN</w:t>
            </w:r>
          </w:p>
        </w:tc>
        <w:tc>
          <w:tcPr>
            <w:tcW w:w="5455" w:type="dxa"/>
            <w:tcBorders>
              <w:top w:val="nil"/>
              <w:left w:val="nil"/>
              <w:bottom w:val="nil"/>
              <w:right w:val="nil"/>
            </w:tcBorders>
          </w:tcPr>
          <w:p w14:paraId="63E52852" w14:textId="77777777" w:rsidR="00D6413F" w:rsidRPr="006636AF" w:rsidRDefault="00D6413F" w:rsidP="00D6413F">
            <w:pPr>
              <w:pStyle w:val="Zkladntext"/>
              <w:spacing w:after="0"/>
              <w:rPr>
                <w:rFonts w:cs="Arial"/>
                <w:b/>
                <w:bCs/>
              </w:rPr>
            </w:pPr>
          </w:p>
          <w:p w14:paraId="6948CA0C" w14:textId="77777777" w:rsidR="00D6413F" w:rsidRPr="006636AF" w:rsidRDefault="00D6413F" w:rsidP="00D6413F">
            <w:pPr>
              <w:pStyle w:val="Zkladntext"/>
              <w:spacing w:after="0"/>
            </w:pPr>
            <w:r w:rsidRPr="006636AF">
              <w:rPr>
                <w:rFonts w:cs="Arial"/>
                <w:b/>
                <w:bCs/>
              </w:rPr>
              <w:t xml:space="preserve">oprávněn vykonávat </w:t>
            </w:r>
            <w:r w:rsidRPr="006636AF">
              <w:rPr>
                <w:b/>
                <w:bCs/>
              </w:rPr>
              <w:t>ČINNOST ORGANIZAČNÍHO A EKONOMICKÉHO PORADCE</w:t>
            </w:r>
            <w:r w:rsidRPr="006636AF">
              <w:t xml:space="preserve">           IČO: 164 374 71</w:t>
            </w:r>
          </w:p>
          <w:p w14:paraId="287C1CA8" w14:textId="77777777" w:rsidR="00D6413F" w:rsidRPr="006636AF" w:rsidRDefault="00D6413F" w:rsidP="00D6413F">
            <w:pPr>
              <w:pStyle w:val="Zkladntext"/>
              <w:spacing w:after="0"/>
            </w:pPr>
            <w:r w:rsidRPr="006636AF">
              <w:t>specialista pro ekonomiku a demografii</w:t>
            </w:r>
          </w:p>
          <w:p w14:paraId="3C641AE5" w14:textId="77777777" w:rsidR="00D6413F" w:rsidRDefault="00D6413F" w:rsidP="00D6413F">
            <w:pPr>
              <w:pStyle w:val="Texttabulky"/>
              <w:spacing w:after="0"/>
            </w:pPr>
            <w:r>
              <w:t xml:space="preserve"> </w:t>
            </w:r>
            <w:r>
              <w:rPr>
                <w:rFonts w:cs="Arial"/>
                <w:sz w:val="20"/>
                <w:szCs w:val="20"/>
              </w:rPr>
              <w:t xml:space="preserve">projekčně - poradenská </w:t>
            </w:r>
            <w:r>
              <w:t xml:space="preserve">  </w:t>
            </w:r>
            <w:r>
              <w:rPr>
                <w:rFonts w:cs="Arial"/>
                <w:sz w:val="20"/>
                <w:szCs w:val="20"/>
              </w:rPr>
              <w:t>KANCELÁŘ v OBORU demografie, geografie a urbanismu</w:t>
            </w:r>
          </w:p>
          <w:p w14:paraId="67689011" w14:textId="77777777" w:rsidR="00D6413F" w:rsidRPr="006636AF" w:rsidRDefault="00D6413F" w:rsidP="00D6413F">
            <w:pPr>
              <w:pStyle w:val="Zkladntext"/>
              <w:spacing w:after="0"/>
            </w:pPr>
            <w:r w:rsidRPr="006636AF">
              <w:t>400 07 Ústí nad Labem, Obvodová 741/16</w:t>
            </w:r>
          </w:p>
          <w:p w14:paraId="316BC3F4" w14:textId="77777777" w:rsidR="00D6413F" w:rsidRPr="006636AF" w:rsidRDefault="00D6413F" w:rsidP="00D6413F">
            <w:pPr>
              <w:pStyle w:val="Zkladntext"/>
              <w:spacing w:after="0"/>
            </w:pPr>
          </w:p>
          <w:p w14:paraId="0E493113" w14:textId="77777777" w:rsidR="00D6413F" w:rsidRPr="006636AF" w:rsidRDefault="00D6413F" w:rsidP="00D6413F">
            <w:pPr>
              <w:pStyle w:val="Zkladntext"/>
              <w:spacing w:after="0"/>
            </w:pPr>
          </w:p>
        </w:tc>
      </w:tr>
    </w:tbl>
    <w:p w14:paraId="0E392F65" w14:textId="77777777" w:rsidR="00D6413F" w:rsidRDefault="00D6413F" w:rsidP="00D6413F"/>
    <w:p w14:paraId="42DBFE99" w14:textId="77777777" w:rsidR="00D6413F" w:rsidRDefault="00D6413F" w:rsidP="00D6413F"/>
    <w:p w14:paraId="0CC3034F" w14:textId="77777777" w:rsidR="00D6413F" w:rsidRDefault="00D6413F" w:rsidP="00D6413F"/>
    <w:p w14:paraId="3062AB5E" w14:textId="77777777" w:rsidR="00D6413F" w:rsidRDefault="00D6413F" w:rsidP="00D6413F"/>
    <w:p w14:paraId="5454FB6E" w14:textId="77777777" w:rsidR="00D6413F" w:rsidRDefault="00D6413F" w:rsidP="00D6413F"/>
    <w:p w14:paraId="5B3E9356" w14:textId="77777777" w:rsidR="00D6413F" w:rsidRDefault="00D6413F" w:rsidP="00D6413F"/>
    <w:p w14:paraId="0AA7250F" w14:textId="77777777" w:rsidR="00D6413F" w:rsidRDefault="00D6413F" w:rsidP="00D6413F"/>
    <w:p w14:paraId="4945699F" w14:textId="77777777" w:rsidR="00D6413F" w:rsidRDefault="00D6413F" w:rsidP="00D6413F"/>
    <w:p w14:paraId="06F1C2F2" w14:textId="77777777" w:rsidR="00D6413F" w:rsidRDefault="00D6413F" w:rsidP="00D6413F"/>
    <w:p w14:paraId="03D06AA6" w14:textId="77777777" w:rsidR="00D6413F" w:rsidRDefault="00D6413F" w:rsidP="00D6413F"/>
    <w:p w14:paraId="6D9826A3" w14:textId="77777777" w:rsidR="00D6413F" w:rsidRDefault="00D6413F" w:rsidP="00D6413F"/>
    <w:p w14:paraId="010F2E3C" w14:textId="77777777" w:rsidR="00D6413F" w:rsidRDefault="00D6413F" w:rsidP="00D6413F"/>
    <w:p w14:paraId="3E6D6061" w14:textId="77777777" w:rsidR="00D6413F" w:rsidRDefault="00D6413F" w:rsidP="00D6413F"/>
    <w:p w14:paraId="05174601" w14:textId="77777777" w:rsidR="00D6413F" w:rsidRDefault="00D6413F" w:rsidP="00D6413F"/>
    <w:p w14:paraId="68E54E5B" w14:textId="77777777" w:rsidR="00D6413F" w:rsidRDefault="00D6413F" w:rsidP="00D6413F"/>
    <w:p w14:paraId="3FFBE987" w14:textId="77777777" w:rsidR="00D6413F" w:rsidRDefault="00D6413F" w:rsidP="00D6413F"/>
    <w:p w14:paraId="3E3AAC2C" w14:textId="77777777" w:rsidR="00D6413F" w:rsidRDefault="00D6413F" w:rsidP="00D6413F"/>
    <w:p w14:paraId="6BEBDC70" w14:textId="77777777" w:rsidR="00D6413F" w:rsidRDefault="00D6413F" w:rsidP="00D6413F"/>
    <w:p w14:paraId="5274A754" w14:textId="77777777" w:rsidR="00D6413F" w:rsidRDefault="00D6413F" w:rsidP="00D6413F"/>
    <w:p w14:paraId="6044180E" w14:textId="77777777" w:rsidR="00D6413F" w:rsidRDefault="00D6413F" w:rsidP="00D6413F"/>
    <w:p w14:paraId="2F5BC96C" w14:textId="77777777" w:rsidR="00D6413F" w:rsidRDefault="00D6413F" w:rsidP="00D6413F"/>
    <w:p w14:paraId="6F4B0322" w14:textId="77777777" w:rsidR="00D6413F" w:rsidRDefault="00D6413F" w:rsidP="00D6413F"/>
    <w:p w14:paraId="2BC41375" w14:textId="77777777" w:rsidR="00D6413F" w:rsidRDefault="00D6413F" w:rsidP="00D6413F"/>
    <w:p w14:paraId="1C2B3CC2" w14:textId="77777777" w:rsidR="00D6413F" w:rsidRDefault="00D6413F" w:rsidP="00D6413F"/>
    <w:p w14:paraId="41C69C5E" w14:textId="77777777" w:rsidR="00D6413F" w:rsidRDefault="00D6413F" w:rsidP="00D6413F"/>
    <w:p w14:paraId="7B699D55" w14:textId="77777777" w:rsidR="00D6413F" w:rsidRDefault="00D6413F" w:rsidP="00D6413F"/>
    <w:p w14:paraId="1DC5C842" w14:textId="77777777" w:rsidR="00D6413F" w:rsidRPr="005C3CD7" w:rsidRDefault="00D6413F" w:rsidP="00D6413F">
      <w:pPr>
        <w:pStyle w:val="Zkladntext"/>
        <w:numPr>
          <w:ilvl w:val="0"/>
          <w:numId w:val="134"/>
        </w:numPr>
        <w:suppressAutoHyphens w:val="0"/>
        <w:autoSpaceDE w:val="0"/>
        <w:autoSpaceDN w:val="0"/>
        <w:adjustRightInd w:val="0"/>
        <w:spacing w:after="0"/>
        <w:jc w:val="both"/>
        <w:rPr>
          <w:b/>
          <w:color w:val="00B050"/>
          <w:sz w:val="44"/>
          <w:szCs w:val="44"/>
        </w:rPr>
      </w:pPr>
      <w:r w:rsidRPr="005C3CD7">
        <w:rPr>
          <w:b/>
          <w:color w:val="00B050"/>
          <w:sz w:val="44"/>
          <w:szCs w:val="44"/>
        </w:rPr>
        <w:lastRenderedPageBreak/>
        <w:t xml:space="preserve">Změna územního plánu města Děčína </w:t>
      </w:r>
    </w:p>
    <w:p w14:paraId="47A0418D" w14:textId="77777777" w:rsidR="00D6413F" w:rsidRDefault="00D6413F" w:rsidP="00D6413F"/>
    <w:p w14:paraId="69FF9330" w14:textId="77777777" w:rsidR="00D6413F" w:rsidRDefault="00D6413F" w:rsidP="00D6413F"/>
    <w:p w14:paraId="0CBE97E5" w14:textId="77777777" w:rsidR="00D6413F" w:rsidRDefault="00D6413F" w:rsidP="00D6413F"/>
    <w:p w14:paraId="06D5DE8C" w14:textId="77777777" w:rsidR="00D6413F" w:rsidRDefault="00D6413F" w:rsidP="00D6413F"/>
    <w:p w14:paraId="55C756BB" w14:textId="77777777" w:rsidR="00D6413F" w:rsidRDefault="00D6413F" w:rsidP="00D6413F"/>
    <w:p w14:paraId="5B5734C6" w14:textId="77777777" w:rsidR="00D6413F" w:rsidRDefault="00D6413F" w:rsidP="00D6413F"/>
    <w:tbl>
      <w:tblPr>
        <w:tblpPr w:leftFromText="141" w:rightFromText="141" w:vertAnchor="text" w:horzAnchor="margin" w:tblpXSpec="center" w:tblpY="-927"/>
        <w:tblW w:w="8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1"/>
      </w:tblGrid>
      <w:tr w:rsidR="00D6413F" w:rsidRPr="00D070ED" w14:paraId="5E108DA0" w14:textId="77777777" w:rsidTr="00AB2594">
        <w:trPr>
          <w:trHeight w:val="480"/>
        </w:trPr>
        <w:tc>
          <w:tcPr>
            <w:tcW w:w="8011" w:type="dxa"/>
            <w:tcBorders>
              <w:top w:val="single" w:sz="4" w:space="0" w:color="auto"/>
              <w:left w:val="single" w:sz="4" w:space="0" w:color="auto"/>
              <w:bottom w:val="single" w:sz="4" w:space="0" w:color="auto"/>
              <w:right w:val="single" w:sz="4" w:space="0" w:color="auto"/>
            </w:tcBorders>
            <w:shd w:val="clear" w:color="auto" w:fill="auto"/>
            <w:hideMark/>
          </w:tcPr>
          <w:p w14:paraId="3B907EE6" w14:textId="77777777" w:rsidR="00D6413F" w:rsidRPr="00D070ED" w:rsidRDefault="00D6413F" w:rsidP="00AB2594">
            <w:pPr>
              <w:rPr>
                <w:rFonts w:ascii="Arial" w:hAnsi="Arial" w:cs="Arial"/>
                <w:b/>
              </w:rPr>
            </w:pPr>
          </w:p>
          <w:p w14:paraId="316117C5" w14:textId="77777777" w:rsidR="00D6413F" w:rsidRPr="00D070ED" w:rsidRDefault="00D6413F" w:rsidP="00D6413F">
            <w:pPr>
              <w:numPr>
                <w:ilvl w:val="0"/>
                <w:numId w:val="139"/>
              </w:numPr>
              <w:suppressAutoHyphens w:val="0"/>
              <w:rPr>
                <w:rFonts w:ascii="Arial" w:hAnsi="Arial" w:cs="Arial"/>
                <w:b/>
              </w:rPr>
            </w:pPr>
            <w:r w:rsidRPr="00D070ED">
              <w:rPr>
                <w:rFonts w:ascii="Arial" w:hAnsi="Arial" w:cs="Arial"/>
                <w:b/>
              </w:rPr>
              <w:t>Změna územního plánu města Děčín</w:t>
            </w:r>
          </w:p>
          <w:p w14:paraId="74D9AEB7" w14:textId="77777777" w:rsidR="00D6413F" w:rsidRDefault="00D6413F" w:rsidP="00AB2594">
            <w:pPr>
              <w:ind w:left="690"/>
            </w:pPr>
          </w:p>
        </w:tc>
      </w:tr>
      <w:tr w:rsidR="00D6413F" w:rsidRPr="00D070ED" w14:paraId="412F530B" w14:textId="77777777" w:rsidTr="00AB2594">
        <w:trPr>
          <w:trHeight w:val="1336"/>
        </w:trPr>
        <w:tc>
          <w:tcPr>
            <w:tcW w:w="8011" w:type="dxa"/>
            <w:tcBorders>
              <w:top w:val="single" w:sz="4" w:space="0" w:color="auto"/>
              <w:left w:val="single" w:sz="4" w:space="0" w:color="auto"/>
              <w:bottom w:val="single" w:sz="4" w:space="0" w:color="auto"/>
              <w:right w:val="single" w:sz="4" w:space="0" w:color="auto"/>
            </w:tcBorders>
            <w:shd w:val="clear" w:color="auto" w:fill="auto"/>
            <w:hideMark/>
          </w:tcPr>
          <w:p w14:paraId="3C1629BD" w14:textId="77777777" w:rsidR="00D6413F" w:rsidRPr="00D070ED" w:rsidRDefault="00D6413F" w:rsidP="00AB2594">
            <w:pPr>
              <w:rPr>
                <w:rFonts w:ascii="Arial" w:hAnsi="Arial" w:cs="Arial"/>
              </w:rPr>
            </w:pPr>
          </w:p>
          <w:p w14:paraId="394BFFBE" w14:textId="77777777" w:rsidR="00D6413F" w:rsidRPr="00D070ED" w:rsidRDefault="00D6413F" w:rsidP="00AB2594">
            <w:pPr>
              <w:rPr>
                <w:rFonts w:ascii="Arial" w:hAnsi="Arial" w:cs="Arial"/>
              </w:rPr>
            </w:pPr>
            <w:r w:rsidRPr="00D070ED">
              <w:rPr>
                <w:rFonts w:ascii="Arial" w:hAnsi="Arial" w:cs="Arial"/>
              </w:rPr>
              <w:t xml:space="preserve">    - schválena zastupitelstvem města dne 21.4. 2005</w:t>
            </w:r>
          </w:p>
          <w:p w14:paraId="339EEBD3" w14:textId="77777777" w:rsidR="00D6413F" w:rsidRPr="00D070ED" w:rsidRDefault="00D6413F" w:rsidP="00AB2594">
            <w:pPr>
              <w:rPr>
                <w:rFonts w:ascii="Arial" w:hAnsi="Arial" w:cs="Arial"/>
              </w:rPr>
            </w:pPr>
            <w:r w:rsidRPr="00D070ED">
              <w:rPr>
                <w:rFonts w:ascii="Arial" w:hAnsi="Arial" w:cs="Arial"/>
              </w:rPr>
              <w:t xml:space="preserve">    - usnesení č. ZM 05 04 06 01</w:t>
            </w:r>
          </w:p>
          <w:p w14:paraId="72C9C249" w14:textId="77777777" w:rsidR="00D6413F" w:rsidRPr="00D070ED" w:rsidRDefault="00D6413F" w:rsidP="00AB2594">
            <w:pPr>
              <w:rPr>
                <w:rFonts w:ascii="Calibri" w:hAnsi="Calibri"/>
              </w:rPr>
            </w:pPr>
            <w:r w:rsidRPr="00D070ED">
              <w:rPr>
                <w:rFonts w:ascii="Arial" w:hAnsi="Arial" w:cs="Arial"/>
              </w:rPr>
              <w:t xml:space="preserve">    - vydáno OZV č. 1/2005</w:t>
            </w:r>
          </w:p>
        </w:tc>
      </w:tr>
    </w:tbl>
    <w:p w14:paraId="4F91B5D2" w14:textId="77777777" w:rsidR="00D6413F" w:rsidRDefault="00D6413F" w:rsidP="00D6413F"/>
    <w:p w14:paraId="23F9178D" w14:textId="77777777" w:rsidR="00D6413F" w:rsidRDefault="00D6413F" w:rsidP="00D6413F"/>
    <w:p w14:paraId="26094308" w14:textId="77777777" w:rsidR="00D6413F" w:rsidRDefault="00D6413F" w:rsidP="00D6413F"/>
    <w:p w14:paraId="4C5D5655" w14:textId="77777777" w:rsidR="00D6413F" w:rsidRDefault="00D6413F" w:rsidP="00D6413F"/>
    <w:p w14:paraId="33C5DF35" w14:textId="77777777" w:rsidR="00D6413F" w:rsidRDefault="00D6413F" w:rsidP="00D6413F"/>
    <w:p w14:paraId="4910D669" w14:textId="77777777" w:rsidR="00D6413F" w:rsidRDefault="00D6413F" w:rsidP="00D6413F"/>
    <w:p w14:paraId="25FE520A" w14:textId="77777777" w:rsidR="00D6413F" w:rsidRDefault="00D6413F" w:rsidP="00D6413F"/>
    <w:p w14:paraId="289DFF95" w14:textId="77777777" w:rsidR="00D6413F" w:rsidRDefault="00D6413F" w:rsidP="00D6413F"/>
    <w:p w14:paraId="5062C893" w14:textId="77777777" w:rsidR="00D6413F" w:rsidRDefault="00D6413F" w:rsidP="00D6413F"/>
    <w:p w14:paraId="78B59A3F" w14:textId="77777777" w:rsidR="00D6413F" w:rsidRDefault="00D6413F" w:rsidP="00D6413F"/>
    <w:p w14:paraId="69EB63D6" w14:textId="77777777" w:rsidR="00D6413F" w:rsidRDefault="00D6413F" w:rsidP="00D6413F"/>
    <w:p w14:paraId="0661F9D0" w14:textId="77777777" w:rsidR="00D6413F" w:rsidRDefault="00D6413F" w:rsidP="00D6413F"/>
    <w:p w14:paraId="77B957B5" w14:textId="77777777" w:rsidR="00D6413F" w:rsidRDefault="00D6413F" w:rsidP="00D6413F"/>
    <w:p w14:paraId="1C66AEF8" w14:textId="77777777" w:rsidR="00D6413F" w:rsidRDefault="00D6413F" w:rsidP="00D6413F"/>
    <w:p w14:paraId="2A532F72" w14:textId="77777777" w:rsidR="00D6413F" w:rsidRDefault="00D6413F" w:rsidP="00D6413F"/>
    <w:p w14:paraId="544FE99A" w14:textId="77777777" w:rsidR="00D6413F" w:rsidRDefault="00D6413F" w:rsidP="00D6413F"/>
    <w:p w14:paraId="18C193D6" w14:textId="77777777" w:rsidR="00D6413F" w:rsidRDefault="00D6413F" w:rsidP="00D6413F"/>
    <w:p w14:paraId="555138E1" w14:textId="77777777" w:rsidR="00D6413F" w:rsidRDefault="00D6413F" w:rsidP="00D6413F"/>
    <w:p w14:paraId="27FFFC29" w14:textId="77777777" w:rsidR="00D6413F" w:rsidRDefault="00D6413F" w:rsidP="00D6413F"/>
    <w:p w14:paraId="2279845E" w14:textId="77777777" w:rsidR="00D6413F" w:rsidRDefault="00D6413F" w:rsidP="00D6413F"/>
    <w:p w14:paraId="2AD7CAF7" w14:textId="77777777" w:rsidR="00D6413F" w:rsidRDefault="00D6413F" w:rsidP="00D6413F"/>
    <w:p w14:paraId="33921DC7" w14:textId="77777777" w:rsidR="00D6413F" w:rsidRDefault="00D6413F" w:rsidP="00D6413F"/>
    <w:p w14:paraId="078D300A" w14:textId="77777777" w:rsidR="00D6413F" w:rsidRDefault="00D6413F" w:rsidP="00D6413F"/>
    <w:p w14:paraId="4E78B3D1" w14:textId="77777777" w:rsidR="00D6413F" w:rsidRDefault="00D6413F" w:rsidP="00D6413F"/>
    <w:p w14:paraId="07973E02" w14:textId="77777777" w:rsidR="00D6413F" w:rsidRDefault="00D6413F" w:rsidP="00D6413F"/>
    <w:p w14:paraId="5032877A" w14:textId="77777777" w:rsidR="00D6413F" w:rsidRDefault="00D6413F" w:rsidP="00D6413F"/>
    <w:p w14:paraId="3D84285D" w14:textId="77777777" w:rsidR="00D6413F" w:rsidRDefault="00D6413F" w:rsidP="00D6413F"/>
    <w:p w14:paraId="120D57D9" w14:textId="77777777" w:rsidR="00D6413F" w:rsidRDefault="00D6413F" w:rsidP="00D6413F"/>
    <w:p w14:paraId="24EFCE11" w14:textId="77777777" w:rsidR="00D6413F" w:rsidRDefault="00D6413F" w:rsidP="00D6413F"/>
    <w:p w14:paraId="1EC1186D" w14:textId="77777777" w:rsidR="00D6413F" w:rsidRDefault="00D6413F" w:rsidP="00D6413F"/>
    <w:p w14:paraId="70D2D48D" w14:textId="77777777" w:rsidR="00D6413F" w:rsidRDefault="00D6413F" w:rsidP="00D6413F"/>
    <w:p w14:paraId="633125F3" w14:textId="77777777" w:rsidR="00D6413F" w:rsidRDefault="00D6413F" w:rsidP="00D6413F"/>
    <w:p w14:paraId="6F89B783" w14:textId="77777777" w:rsidR="00D6413F" w:rsidRDefault="00D6413F" w:rsidP="00D6413F"/>
    <w:p w14:paraId="11520D6F" w14:textId="77777777" w:rsidR="00D6413F" w:rsidRDefault="00D6413F" w:rsidP="00D6413F"/>
    <w:p w14:paraId="13DA2415" w14:textId="77777777" w:rsidR="00D6413F" w:rsidRDefault="00D6413F" w:rsidP="00D6413F"/>
    <w:p w14:paraId="32A6FB6B" w14:textId="77777777" w:rsidR="00D6413F" w:rsidRDefault="00D6413F" w:rsidP="00D6413F"/>
    <w:p w14:paraId="4B07FDC7" w14:textId="77777777" w:rsidR="00D6413F" w:rsidRDefault="00D6413F" w:rsidP="00D6413F"/>
    <w:p w14:paraId="0C9FA731" w14:textId="77777777" w:rsidR="00D6413F" w:rsidRDefault="00D6413F" w:rsidP="00D6413F"/>
    <w:p w14:paraId="63DDCBDB" w14:textId="77777777" w:rsidR="00D6413F" w:rsidRDefault="00D6413F" w:rsidP="00D6413F">
      <w:pPr>
        <w:pStyle w:val="Zkladntext"/>
        <w:numPr>
          <w:ilvl w:val="0"/>
          <w:numId w:val="134"/>
        </w:numPr>
        <w:suppressAutoHyphens w:val="0"/>
        <w:autoSpaceDE w:val="0"/>
        <w:autoSpaceDN w:val="0"/>
        <w:adjustRightInd w:val="0"/>
        <w:spacing w:after="0"/>
        <w:jc w:val="both"/>
        <w:rPr>
          <w:b/>
          <w:color w:val="C45911"/>
          <w:sz w:val="44"/>
          <w:szCs w:val="44"/>
        </w:rPr>
      </w:pPr>
      <w:r w:rsidRPr="00865706">
        <w:rPr>
          <w:b/>
          <w:color w:val="C45911"/>
          <w:sz w:val="44"/>
          <w:szCs w:val="44"/>
        </w:rPr>
        <w:lastRenderedPageBreak/>
        <w:t>Změna územního plánu města Děčína</w:t>
      </w:r>
      <w:r>
        <w:rPr>
          <w:b/>
          <w:color w:val="C45911"/>
          <w:sz w:val="44"/>
          <w:szCs w:val="44"/>
        </w:rPr>
        <w:t xml:space="preserve"> </w:t>
      </w:r>
      <w:r w:rsidRPr="00865706">
        <w:rPr>
          <w:b/>
          <w:color w:val="C45911"/>
          <w:sz w:val="44"/>
          <w:szCs w:val="44"/>
        </w:rPr>
        <w:t xml:space="preserve"> </w:t>
      </w:r>
    </w:p>
    <w:p w14:paraId="4EE26E38" w14:textId="77777777" w:rsidR="00D6413F" w:rsidRPr="00865706" w:rsidRDefault="00D6413F" w:rsidP="00D6413F">
      <w:pPr>
        <w:pStyle w:val="Zkladntext"/>
        <w:ind w:left="1287"/>
        <w:rPr>
          <w:b/>
          <w:color w:val="C45911"/>
          <w:sz w:val="44"/>
          <w:szCs w:val="44"/>
        </w:rPr>
      </w:pPr>
    </w:p>
    <w:p w14:paraId="5FAB3621" w14:textId="77777777" w:rsidR="00D6413F" w:rsidRDefault="00D6413F" w:rsidP="00D6413F">
      <w:r>
        <w:rPr>
          <w:noProof/>
          <w:lang w:eastAsia="cs-CZ"/>
        </w:rPr>
        <w:drawing>
          <wp:anchor distT="0" distB="0" distL="114300" distR="114300" simplePos="0" relativeHeight="251801600" behindDoc="0" locked="0" layoutInCell="1" allowOverlap="1" wp14:anchorId="19852E55" wp14:editId="254F2588">
            <wp:simplePos x="0" y="0"/>
            <wp:positionH relativeFrom="margin">
              <wp:posOffset>-279400</wp:posOffset>
            </wp:positionH>
            <wp:positionV relativeFrom="margin">
              <wp:posOffset>1257300</wp:posOffset>
            </wp:positionV>
            <wp:extent cx="6527800" cy="4660900"/>
            <wp:effectExtent l="0" t="0" r="6350" b="6350"/>
            <wp:wrapSquare wrapText="bothSides"/>
            <wp:docPr id="24016" name="Obrázek 24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0" y="0"/>
                      <a:ext cx="6527800" cy="4660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487D62" w14:textId="77777777" w:rsidR="00D6413F" w:rsidRPr="00AA47AD" w:rsidRDefault="00D6413F" w:rsidP="00D6413F">
      <w:r w:rsidRPr="00DF7487">
        <w:rPr>
          <w:noProof/>
          <w:lang w:eastAsia="cs-CZ"/>
        </w:rPr>
        <w:lastRenderedPageBreak/>
        <w:drawing>
          <wp:inline distT="0" distB="0" distL="0" distR="0" wp14:anchorId="685FA427" wp14:editId="38294C87">
            <wp:extent cx="5754370" cy="8813165"/>
            <wp:effectExtent l="0" t="0" r="0" b="6985"/>
            <wp:docPr id="24005" name="Obrázek 24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94">
                      <a:extLst>
                        <a:ext uri="{28A0092B-C50C-407E-A947-70E740481C1C}">
                          <a14:useLocalDpi xmlns:a14="http://schemas.microsoft.com/office/drawing/2010/main" val="0"/>
                        </a:ext>
                      </a:extLst>
                    </a:blip>
                    <a:srcRect/>
                    <a:stretch>
                      <a:fillRect/>
                    </a:stretch>
                  </pic:blipFill>
                  <pic:spPr bwMode="auto">
                    <a:xfrm>
                      <a:off x="0" y="0"/>
                      <a:ext cx="5754370" cy="8813165"/>
                    </a:xfrm>
                    <a:prstGeom prst="rect">
                      <a:avLst/>
                    </a:prstGeom>
                    <a:noFill/>
                    <a:ln>
                      <a:noFill/>
                    </a:ln>
                  </pic:spPr>
                </pic:pic>
              </a:graphicData>
            </a:graphic>
          </wp:inline>
        </w:drawing>
      </w:r>
    </w:p>
    <w:p w14:paraId="65FEF9EE" w14:textId="77777777" w:rsidR="00D6413F" w:rsidRPr="00865706" w:rsidRDefault="00D6413F" w:rsidP="00D6413F">
      <w:pPr>
        <w:pStyle w:val="Zkladntext"/>
        <w:numPr>
          <w:ilvl w:val="0"/>
          <w:numId w:val="135"/>
        </w:numPr>
        <w:suppressAutoHyphens w:val="0"/>
        <w:autoSpaceDE w:val="0"/>
        <w:autoSpaceDN w:val="0"/>
        <w:adjustRightInd w:val="0"/>
        <w:spacing w:after="0"/>
        <w:jc w:val="both"/>
        <w:rPr>
          <w:b/>
          <w:color w:val="2E74B5"/>
          <w:sz w:val="44"/>
          <w:szCs w:val="44"/>
        </w:rPr>
      </w:pPr>
      <w:r w:rsidRPr="00865706">
        <w:rPr>
          <w:b/>
          <w:color w:val="2E74B5"/>
          <w:sz w:val="44"/>
          <w:szCs w:val="44"/>
        </w:rPr>
        <w:lastRenderedPageBreak/>
        <w:t xml:space="preserve">Změna územního plánu města Děčína </w:t>
      </w:r>
    </w:p>
    <w:p w14:paraId="01C71DCB" w14:textId="77777777" w:rsidR="00D6413F" w:rsidRDefault="00D6413F" w:rsidP="00D6413F"/>
    <w:p w14:paraId="4ECEB1AA" w14:textId="77777777" w:rsidR="00D6413F" w:rsidRDefault="00D6413F" w:rsidP="00D6413F">
      <w:r>
        <w:rPr>
          <w:noProof/>
          <w:lang w:eastAsia="cs-CZ"/>
        </w:rPr>
        <w:drawing>
          <wp:anchor distT="0" distB="0" distL="114300" distR="114300" simplePos="0" relativeHeight="251797504" behindDoc="0" locked="0" layoutInCell="1" allowOverlap="1" wp14:anchorId="2369A126" wp14:editId="2657FAEF">
            <wp:simplePos x="0" y="0"/>
            <wp:positionH relativeFrom="margin">
              <wp:posOffset>-268605</wp:posOffset>
            </wp:positionH>
            <wp:positionV relativeFrom="margin">
              <wp:posOffset>1022985</wp:posOffset>
            </wp:positionV>
            <wp:extent cx="6263640" cy="4292600"/>
            <wp:effectExtent l="0" t="0" r="3810" b="0"/>
            <wp:wrapSquare wrapText="bothSides"/>
            <wp:docPr id="24015" name="Obrázek 24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95">
                      <a:extLst>
                        <a:ext uri="{28A0092B-C50C-407E-A947-70E740481C1C}">
                          <a14:useLocalDpi xmlns:a14="http://schemas.microsoft.com/office/drawing/2010/main" val="0"/>
                        </a:ext>
                      </a:extLst>
                    </a:blip>
                    <a:srcRect/>
                    <a:stretch>
                      <a:fillRect/>
                    </a:stretch>
                  </pic:blipFill>
                  <pic:spPr bwMode="auto">
                    <a:xfrm>
                      <a:off x="0" y="0"/>
                      <a:ext cx="6263640" cy="4292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829415" w14:textId="77777777" w:rsidR="00D6413F" w:rsidRDefault="00D6413F" w:rsidP="00D6413F"/>
    <w:p w14:paraId="2E77EBDB" w14:textId="77777777" w:rsidR="00D6413F" w:rsidRDefault="00D6413F" w:rsidP="00D6413F">
      <w:r>
        <w:rPr>
          <w:noProof/>
          <w:lang w:eastAsia="cs-CZ"/>
        </w:rPr>
        <w:drawing>
          <wp:anchor distT="0" distB="0" distL="114300" distR="114300" simplePos="0" relativeHeight="251798528" behindDoc="0" locked="0" layoutInCell="1" allowOverlap="1" wp14:anchorId="18426B48" wp14:editId="471A756F">
            <wp:simplePos x="0" y="0"/>
            <wp:positionH relativeFrom="margin">
              <wp:posOffset>-257810</wp:posOffset>
            </wp:positionH>
            <wp:positionV relativeFrom="margin">
              <wp:posOffset>5676900</wp:posOffset>
            </wp:positionV>
            <wp:extent cx="6252845" cy="1353185"/>
            <wp:effectExtent l="0" t="0" r="0" b="0"/>
            <wp:wrapSquare wrapText="bothSides"/>
            <wp:docPr id="24014" name="Obrázek 24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96">
                      <a:extLst>
                        <a:ext uri="{28A0092B-C50C-407E-A947-70E740481C1C}">
                          <a14:useLocalDpi xmlns:a14="http://schemas.microsoft.com/office/drawing/2010/main" val="0"/>
                        </a:ext>
                      </a:extLst>
                    </a:blip>
                    <a:srcRect/>
                    <a:stretch>
                      <a:fillRect/>
                    </a:stretch>
                  </pic:blipFill>
                  <pic:spPr bwMode="auto">
                    <a:xfrm>
                      <a:off x="0" y="0"/>
                      <a:ext cx="6252845" cy="1353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9FFE8F" w14:textId="77777777" w:rsidR="00D6413F" w:rsidRDefault="00D6413F" w:rsidP="00D6413F"/>
    <w:p w14:paraId="19F5912A" w14:textId="77777777" w:rsidR="00D6413F" w:rsidRDefault="00D6413F" w:rsidP="00D6413F"/>
    <w:p w14:paraId="7CCEAA3B" w14:textId="77777777" w:rsidR="00D6413F" w:rsidRDefault="00D6413F" w:rsidP="00D6413F"/>
    <w:p w14:paraId="1F659F8F" w14:textId="77777777" w:rsidR="00D6413F" w:rsidRDefault="00D6413F" w:rsidP="00D6413F"/>
    <w:p w14:paraId="18A6E9D3" w14:textId="77777777" w:rsidR="00D6413F" w:rsidRDefault="00D6413F" w:rsidP="00D6413F"/>
    <w:p w14:paraId="5664F1F5" w14:textId="77777777" w:rsidR="00D6413F" w:rsidRDefault="00D6413F" w:rsidP="00D6413F"/>
    <w:p w14:paraId="79A32795" w14:textId="77777777" w:rsidR="00D6413F" w:rsidRDefault="00D6413F" w:rsidP="00D6413F"/>
    <w:p w14:paraId="03326855" w14:textId="77777777" w:rsidR="00D6413F" w:rsidRDefault="00D6413F" w:rsidP="00D6413F"/>
    <w:p w14:paraId="3FD93941" w14:textId="77777777" w:rsidR="00D6413F" w:rsidRDefault="00D6413F" w:rsidP="00D6413F"/>
    <w:p w14:paraId="0B764B2F" w14:textId="77777777" w:rsidR="00D6413F" w:rsidRPr="00633714" w:rsidRDefault="00D6413F" w:rsidP="00D6413F">
      <w:pPr>
        <w:pStyle w:val="Zkladntext"/>
        <w:numPr>
          <w:ilvl w:val="0"/>
          <w:numId w:val="136"/>
        </w:numPr>
        <w:suppressAutoHyphens w:val="0"/>
        <w:autoSpaceDE w:val="0"/>
        <w:autoSpaceDN w:val="0"/>
        <w:adjustRightInd w:val="0"/>
        <w:spacing w:after="0"/>
        <w:jc w:val="both"/>
        <w:rPr>
          <w:b/>
          <w:color w:val="FF3399"/>
          <w:sz w:val="44"/>
          <w:szCs w:val="44"/>
        </w:rPr>
      </w:pPr>
      <w:r w:rsidRPr="00633714">
        <w:rPr>
          <w:b/>
          <w:color w:val="FF3399"/>
          <w:sz w:val="44"/>
          <w:szCs w:val="44"/>
        </w:rPr>
        <w:t>Změna územního</w:t>
      </w:r>
      <w:r>
        <w:rPr>
          <w:b/>
          <w:color w:val="FF3399"/>
          <w:sz w:val="44"/>
          <w:szCs w:val="44"/>
        </w:rPr>
        <w:t xml:space="preserve"> plánu města Děčína </w:t>
      </w:r>
    </w:p>
    <w:p w14:paraId="542F0903" w14:textId="77777777" w:rsidR="00D6413F" w:rsidRDefault="00D6413F" w:rsidP="00D6413F"/>
    <w:p w14:paraId="2B79A81C" w14:textId="77777777" w:rsidR="00D6413F" w:rsidRDefault="00D6413F" w:rsidP="00D6413F"/>
    <w:p w14:paraId="753302D9" w14:textId="77777777" w:rsidR="00D6413F" w:rsidRDefault="00D6413F" w:rsidP="00D6413F">
      <w:pPr>
        <w:ind w:firstLine="708"/>
      </w:pPr>
      <w:r>
        <w:rPr>
          <w:noProof/>
          <w:lang w:eastAsia="cs-CZ"/>
        </w:rPr>
        <w:drawing>
          <wp:anchor distT="0" distB="0" distL="114300" distR="114300" simplePos="0" relativeHeight="251799552" behindDoc="0" locked="0" layoutInCell="1" allowOverlap="1" wp14:anchorId="5D17F9B7" wp14:editId="7BD3CBE0">
            <wp:simplePos x="0" y="0"/>
            <wp:positionH relativeFrom="margin">
              <wp:posOffset>177800</wp:posOffset>
            </wp:positionH>
            <wp:positionV relativeFrom="margin">
              <wp:posOffset>1066800</wp:posOffset>
            </wp:positionV>
            <wp:extent cx="5765800" cy="3835400"/>
            <wp:effectExtent l="0" t="0" r="6350" b="0"/>
            <wp:wrapSquare wrapText="bothSides"/>
            <wp:docPr id="24013" name="Obrázek 24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297">
                      <a:extLst>
                        <a:ext uri="{28A0092B-C50C-407E-A947-70E740481C1C}">
                          <a14:useLocalDpi xmlns:a14="http://schemas.microsoft.com/office/drawing/2010/main" val="0"/>
                        </a:ext>
                      </a:extLst>
                    </a:blip>
                    <a:srcRect/>
                    <a:stretch>
                      <a:fillRect/>
                    </a:stretch>
                  </pic:blipFill>
                  <pic:spPr bwMode="auto">
                    <a:xfrm>
                      <a:off x="0" y="0"/>
                      <a:ext cx="5765800" cy="3835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014661" w14:textId="77777777" w:rsidR="00D6413F" w:rsidRDefault="00D6413F" w:rsidP="00D6413F">
      <w:r>
        <w:rPr>
          <w:noProof/>
          <w:lang w:eastAsia="cs-CZ"/>
        </w:rPr>
        <w:drawing>
          <wp:anchor distT="0" distB="0" distL="114300" distR="114300" simplePos="0" relativeHeight="251800576" behindDoc="0" locked="0" layoutInCell="1" allowOverlap="1" wp14:anchorId="07414DE2" wp14:editId="6F55942A">
            <wp:simplePos x="0" y="0"/>
            <wp:positionH relativeFrom="margin">
              <wp:posOffset>584200</wp:posOffset>
            </wp:positionH>
            <wp:positionV relativeFrom="margin">
              <wp:posOffset>5245100</wp:posOffset>
            </wp:positionV>
            <wp:extent cx="4762500" cy="1651000"/>
            <wp:effectExtent l="0" t="0" r="0" b="6350"/>
            <wp:wrapSquare wrapText="bothSides"/>
            <wp:docPr id="24012" name="Obrázek 24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pic:cNvPicPr>
                      <a:picLocks noChangeAspect="1" noChangeArrowheads="1"/>
                    </pic:cNvPicPr>
                  </pic:nvPicPr>
                  <pic:blipFill>
                    <a:blip r:embed="rId298">
                      <a:extLst>
                        <a:ext uri="{28A0092B-C50C-407E-A947-70E740481C1C}">
                          <a14:useLocalDpi xmlns:a14="http://schemas.microsoft.com/office/drawing/2010/main" val="0"/>
                        </a:ext>
                      </a:extLst>
                    </a:blip>
                    <a:srcRect t="74257"/>
                    <a:stretch>
                      <a:fillRect/>
                    </a:stretch>
                  </pic:blipFill>
                  <pic:spPr bwMode="auto">
                    <a:xfrm>
                      <a:off x="0" y="0"/>
                      <a:ext cx="4762500" cy="1651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F5C157" w14:textId="77777777" w:rsidR="00D6413F" w:rsidRDefault="00D6413F" w:rsidP="00D6413F"/>
    <w:p w14:paraId="37071919" w14:textId="77777777" w:rsidR="00D6413F" w:rsidRDefault="00D6413F" w:rsidP="00D6413F"/>
    <w:p w14:paraId="265A9C8A" w14:textId="77777777" w:rsidR="00D6413F" w:rsidRDefault="00D6413F" w:rsidP="00D6413F"/>
    <w:p w14:paraId="7D342668" w14:textId="77777777" w:rsidR="00D6413F" w:rsidRDefault="00D6413F" w:rsidP="00D6413F"/>
    <w:p w14:paraId="54B26089" w14:textId="77777777" w:rsidR="00D6413F" w:rsidRDefault="00D6413F" w:rsidP="00D6413F"/>
    <w:p w14:paraId="5A2E523E" w14:textId="77777777" w:rsidR="00D6413F" w:rsidRDefault="00D6413F" w:rsidP="00D6413F">
      <w:pPr>
        <w:tabs>
          <w:tab w:val="left" w:pos="3360"/>
        </w:tabs>
        <w:rPr>
          <w:rFonts w:ascii="Arial" w:hAnsi="Arial" w:cs="Arial"/>
          <w:noProof/>
        </w:rPr>
      </w:pPr>
      <w:r w:rsidRPr="004F7E4B">
        <w:rPr>
          <w:rFonts w:ascii="Arial" w:hAnsi="Arial" w:cs="Arial"/>
          <w:noProof/>
          <w:lang w:eastAsia="cs-CZ"/>
        </w:rPr>
        <w:lastRenderedPageBreak/>
        <w:drawing>
          <wp:inline distT="0" distB="0" distL="0" distR="0" wp14:anchorId="412210E2" wp14:editId="52EE913B">
            <wp:extent cx="5092065" cy="6495415"/>
            <wp:effectExtent l="0" t="0" r="0" b="635"/>
            <wp:docPr id="24004" name="Obrázek 24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5092065" cy="6495415"/>
                    </a:xfrm>
                    <a:prstGeom prst="rect">
                      <a:avLst/>
                    </a:prstGeom>
                    <a:noFill/>
                    <a:ln>
                      <a:noFill/>
                    </a:ln>
                  </pic:spPr>
                </pic:pic>
              </a:graphicData>
            </a:graphic>
          </wp:inline>
        </w:drawing>
      </w:r>
    </w:p>
    <w:p w14:paraId="3E15F2A2" w14:textId="77777777" w:rsidR="00D6413F" w:rsidRDefault="00D6413F" w:rsidP="00D6413F">
      <w:pPr>
        <w:tabs>
          <w:tab w:val="left" w:pos="3360"/>
        </w:tabs>
        <w:rPr>
          <w:rFonts w:ascii="Arial" w:hAnsi="Arial" w:cs="Arial"/>
          <w:noProof/>
        </w:rPr>
      </w:pPr>
    </w:p>
    <w:p w14:paraId="6B0A1015" w14:textId="77777777" w:rsidR="00D6413F" w:rsidRDefault="00D6413F" w:rsidP="00D6413F">
      <w:pPr>
        <w:tabs>
          <w:tab w:val="left" w:pos="3360"/>
        </w:tabs>
        <w:rPr>
          <w:rFonts w:ascii="Arial" w:hAnsi="Arial" w:cs="Arial"/>
          <w:noProof/>
        </w:rPr>
      </w:pPr>
    </w:p>
    <w:p w14:paraId="7C17F0A8" w14:textId="77777777" w:rsidR="00D6413F" w:rsidRDefault="00D6413F" w:rsidP="00D6413F">
      <w:pPr>
        <w:tabs>
          <w:tab w:val="left" w:pos="3360"/>
        </w:tabs>
        <w:rPr>
          <w:rFonts w:ascii="Arial" w:hAnsi="Arial" w:cs="Arial"/>
          <w:noProof/>
        </w:rPr>
      </w:pPr>
    </w:p>
    <w:p w14:paraId="3D786720" w14:textId="77777777" w:rsidR="00D6413F" w:rsidRDefault="00D6413F" w:rsidP="00D6413F">
      <w:pPr>
        <w:tabs>
          <w:tab w:val="left" w:pos="3360"/>
        </w:tabs>
        <w:rPr>
          <w:rFonts w:ascii="Arial" w:hAnsi="Arial" w:cs="Arial"/>
          <w:noProof/>
        </w:rPr>
      </w:pPr>
    </w:p>
    <w:p w14:paraId="4F190779" w14:textId="77777777" w:rsidR="00D6413F" w:rsidRDefault="00D6413F" w:rsidP="00D6413F">
      <w:pPr>
        <w:tabs>
          <w:tab w:val="left" w:pos="3360"/>
        </w:tabs>
        <w:rPr>
          <w:rFonts w:ascii="Arial" w:hAnsi="Arial" w:cs="Arial"/>
          <w:noProof/>
        </w:rPr>
      </w:pPr>
    </w:p>
    <w:p w14:paraId="0E40866D" w14:textId="77777777" w:rsidR="00D6413F" w:rsidRDefault="00D6413F" w:rsidP="00D6413F">
      <w:pPr>
        <w:tabs>
          <w:tab w:val="left" w:pos="3360"/>
        </w:tabs>
        <w:rPr>
          <w:rFonts w:ascii="Arial" w:hAnsi="Arial" w:cs="Arial"/>
          <w:noProof/>
        </w:rPr>
      </w:pPr>
    </w:p>
    <w:p w14:paraId="5C71B26D" w14:textId="77777777" w:rsidR="00D6413F" w:rsidRPr="00327736" w:rsidRDefault="00D6413F" w:rsidP="00D6413F">
      <w:pPr>
        <w:tabs>
          <w:tab w:val="left" w:pos="3360"/>
        </w:tabs>
      </w:pPr>
    </w:p>
    <w:p w14:paraId="10D6ED98" w14:textId="77777777" w:rsidR="00D6413F" w:rsidRDefault="00D6413F" w:rsidP="00D6413F"/>
    <w:p w14:paraId="2065AC93" w14:textId="77777777" w:rsidR="00D6413F" w:rsidRDefault="00D6413F" w:rsidP="00D6413F">
      <w:pPr>
        <w:tabs>
          <w:tab w:val="left" w:pos="3820"/>
        </w:tabs>
      </w:pPr>
    </w:p>
    <w:p w14:paraId="779A3A66" w14:textId="77777777" w:rsidR="00D6413F" w:rsidRPr="005C3CD7" w:rsidRDefault="00D6413F" w:rsidP="00D6413F">
      <w:pPr>
        <w:pStyle w:val="Zkladntext"/>
        <w:numPr>
          <w:ilvl w:val="0"/>
          <w:numId w:val="137"/>
        </w:numPr>
        <w:suppressAutoHyphens w:val="0"/>
        <w:autoSpaceDE w:val="0"/>
        <w:autoSpaceDN w:val="0"/>
        <w:adjustRightInd w:val="0"/>
        <w:spacing w:after="0"/>
        <w:jc w:val="both"/>
        <w:rPr>
          <w:b/>
          <w:color w:val="FF0000"/>
          <w:sz w:val="44"/>
          <w:szCs w:val="44"/>
        </w:rPr>
      </w:pPr>
      <w:r w:rsidRPr="005C3CD7">
        <w:rPr>
          <w:b/>
          <w:color w:val="FF0000"/>
          <w:sz w:val="44"/>
          <w:szCs w:val="44"/>
        </w:rPr>
        <w:lastRenderedPageBreak/>
        <w:t>Zm</w:t>
      </w:r>
      <w:r>
        <w:rPr>
          <w:b/>
          <w:color w:val="FF0000"/>
          <w:sz w:val="44"/>
          <w:szCs w:val="44"/>
        </w:rPr>
        <w:t xml:space="preserve">ěna územního plánu města Děčína </w:t>
      </w:r>
    </w:p>
    <w:p w14:paraId="72BF4154" w14:textId="77777777" w:rsidR="00D6413F" w:rsidRDefault="00D6413F" w:rsidP="00D6413F">
      <w:pPr>
        <w:tabs>
          <w:tab w:val="left" w:pos="760"/>
          <w:tab w:val="left" w:pos="3820"/>
        </w:tabs>
      </w:pPr>
    </w:p>
    <w:p w14:paraId="2E3A3179" w14:textId="77777777" w:rsidR="00D6413F" w:rsidRDefault="00D6413F" w:rsidP="00D6413F">
      <w:pPr>
        <w:tabs>
          <w:tab w:val="left" w:pos="760"/>
          <w:tab w:val="left" w:pos="3820"/>
        </w:tabs>
      </w:pPr>
    </w:p>
    <w:p w14:paraId="0988AF79" w14:textId="77777777" w:rsidR="00D6413F" w:rsidRDefault="00D6413F" w:rsidP="00D6413F">
      <w:pPr>
        <w:tabs>
          <w:tab w:val="left" w:pos="760"/>
          <w:tab w:val="left" w:pos="3820"/>
        </w:tabs>
      </w:pPr>
    </w:p>
    <w:p w14:paraId="5BC0777E" w14:textId="77777777" w:rsidR="00D6413F" w:rsidRDefault="00D6413F" w:rsidP="00D6413F">
      <w:pPr>
        <w:tabs>
          <w:tab w:val="left" w:pos="760"/>
          <w:tab w:val="left" w:pos="3820"/>
        </w:tabs>
      </w:pPr>
    </w:p>
    <w:p w14:paraId="01B50201" w14:textId="77777777" w:rsidR="00D6413F" w:rsidRDefault="00D6413F" w:rsidP="00D6413F">
      <w:pPr>
        <w:tabs>
          <w:tab w:val="left" w:pos="760"/>
          <w:tab w:val="left" w:pos="3820"/>
        </w:tabs>
      </w:pPr>
    </w:p>
    <w:p w14:paraId="181AA30D" w14:textId="77777777" w:rsidR="00D6413F" w:rsidRDefault="00D6413F" w:rsidP="00D6413F">
      <w:pPr>
        <w:tabs>
          <w:tab w:val="left" w:pos="760"/>
          <w:tab w:val="left" w:pos="3820"/>
        </w:tabs>
      </w:pPr>
    </w:p>
    <w:p w14:paraId="50EDF687" w14:textId="77777777" w:rsidR="00D6413F" w:rsidRDefault="00D6413F" w:rsidP="00D6413F">
      <w:pPr>
        <w:tabs>
          <w:tab w:val="left" w:pos="760"/>
          <w:tab w:val="left" w:pos="3820"/>
        </w:tabs>
      </w:pPr>
    </w:p>
    <w:p w14:paraId="54176A7D" w14:textId="77777777" w:rsidR="00D6413F" w:rsidRDefault="00D6413F" w:rsidP="00D6413F">
      <w:pPr>
        <w:tabs>
          <w:tab w:val="left" w:pos="760"/>
          <w:tab w:val="left" w:pos="3820"/>
        </w:tabs>
      </w:pPr>
      <w:r>
        <w:rPr>
          <w:noProof/>
          <w:lang w:eastAsia="cs-CZ"/>
        </w:rPr>
        <w:drawing>
          <wp:anchor distT="0" distB="0" distL="114300" distR="114300" simplePos="0" relativeHeight="251795456" behindDoc="0" locked="0" layoutInCell="1" allowOverlap="1" wp14:anchorId="25466A30" wp14:editId="1964808B">
            <wp:simplePos x="0" y="0"/>
            <wp:positionH relativeFrom="margin">
              <wp:posOffset>139700</wp:posOffset>
            </wp:positionH>
            <wp:positionV relativeFrom="margin">
              <wp:posOffset>1986915</wp:posOffset>
            </wp:positionV>
            <wp:extent cx="5003800" cy="3016885"/>
            <wp:effectExtent l="0" t="0" r="6350" b="0"/>
            <wp:wrapSquare wrapText="bothSides"/>
            <wp:docPr id="24011" name="Obrázek 24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1"/>
                    <pic:cNvPicPr>
                      <a:picLocks noChangeAspect="1" noChangeArrowheads="1"/>
                    </pic:cNvPicPr>
                  </pic:nvPicPr>
                  <pic:blipFill>
                    <a:blip r:embed="rId300">
                      <a:extLst>
                        <a:ext uri="{28A0092B-C50C-407E-A947-70E740481C1C}">
                          <a14:useLocalDpi xmlns:a14="http://schemas.microsoft.com/office/drawing/2010/main" val="0"/>
                        </a:ext>
                      </a:extLst>
                    </a:blip>
                    <a:srcRect b="57198"/>
                    <a:stretch>
                      <a:fillRect/>
                    </a:stretch>
                  </pic:blipFill>
                  <pic:spPr bwMode="auto">
                    <a:xfrm>
                      <a:off x="0" y="0"/>
                      <a:ext cx="5003800" cy="30168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5D2843" w14:textId="77777777" w:rsidR="00D6413F" w:rsidRDefault="00D6413F" w:rsidP="00D6413F">
      <w:pPr>
        <w:tabs>
          <w:tab w:val="left" w:pos="760"/>
          <w:tab w:val="left" w:pos="3820"/>
        </w:tabs>
      </w:pPr>
    </w:p>
    <w:p w14:paraId="0DDE4691" w14:textId="77777777" w:rsidR="00D6413F" w:rsidRDefault="00D6413F" w:rsidP="00D6413F">
      <w:pPr>
        <w:tabs>
          <w:tab w:val="left" w:pos="760"/>
          <w:tab w:val="left" w:pos="3820"/>
        </w:tabs>
      </w:pPr>
    </w:p>
    <w:p w14:paraId="2345F34E" w14:textId="77777777" w:rsidR="00D6413F" w:rsidRDefault="00D6413F" w:rsidP="00D6413F">
      <w:pPr>
        <w:tabs>
          <w:tab w:val="left" w:pos="760"/>
          <w:tab w:val="left" w:pos="3820"/>
        </w:tabs>
      </w:pPr>
    </w:p>
    <w:p w14:paraId="4D93CDE1" w14:textId="77777777" w:rsidR="00D6413F" w:rsidRDefault="00D6413F" w:rsidP="00D6413F">
      <w:pPr>
        <w:tabs>
          <w:tab w:val="left" w:pos="760"/>
          <w:tab w:val="left" w:pos="3820"/>
        </w:tabs>
      </w:pPr>
    </w:p>
    <w:p w14:paraId="3A4E02B6" w14:textId="77777777" w:rsidR="00D6413F" w:rsidRDefault="00D6413F" w:rsidP="00D6413F">
      <w:pPr>
        <w:tabs>
          <w:tab w:val="left" w:pos="760"/>
          <w:tab w:val="left" w:pos="3820"/>
        </w:tabs>
      </w:pPr>
    </w:p>
    <w:p w14:paraId="5DCACF04" w14:textId="77777777" w:rsidR="00D6413F" w:rsidRDefault="00D6413F" w:rsidP="00D6413F">
      <w:pPr>
        <w:tabs>
          <w:tab w:val="left" w:pos="760"/>
          <w:tab w:val="left" w:pos="3820"/>
        </w:tabs>
      </w:pPr>
    </w:p>
    <w:p w14:paraId="4874B08F" w14:textId="77777777" w:rsidR="00D6413F" w:rsidRDefault="00D6413F" w:rsidP="00D6413F">
      <w:pPr>
        <w:tabs>
          <w:tab w:val="left" w:pos="760"/>
          <w:tab w:val="left" w:pos="3820"/>
        </w:tabs>
      </w:pPr>
      <w:r>
        <w:rPr>
          <w:noProof/>
          <w:lang w:eastAsia="cs-CZ"/>
        </w:rPr>
        <w:drawing>
          <wp:anchor distT="0" distB="0" distL="114300" distR="114300" simplePos="0" relativeHeight="251796480" behindDoc="0" locked="0" layoutInCell="1" allowOverlap="1" wp14:anchorId="3FA40473" wp14:editId="124B9336">
            <wp:simplePos x="0" y="0"/>
            <wp:positionH relativeFrom="margin">
              <wp:posOffset>-101600</wp:posOffset>
            </wp:positionH>
            <wp:positionV relativeFrom="margin">
              <wp:posOffset>5207000</wp:posOffset>
            </wp:positionV>
            <wp:extent cx="5765800" cy="2222500"/>
            <wp:effectExtent l="0" t="0" r="6350" b="6350"/>
            <wp:wrapSquare wrapText="bothSides"/>
            <wp:docPr id="24010" name="Obrázek 24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5765800" cy="2222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A62B33" w14:textId="77777777" w:rsidR="00D6413F" w:rsidRDefault="00D6413F" w:rsidP="00D6413F">
      <w:pPr>
        <w:tabs>
          <w:tab w:val="left" w:pos="760"/>
          <w:tab w:val="left" w:pos="3820"/>
        </w:tabs>
      </w:pPr>
    </w:p>
    <w:p w14:paraId="64D427C8" w14:textId="77777777" w:rsidR="00D6413F" w:rsidRDefault="00D6413F" w:rsidP="00D6413F">
      <w:pPr>
        <w:tabs>
          <w:tab w:val="left" w:pos="760"/>
          <w:tab w:val="left" w:pos="3820"/>
        </w:tabs>
      </w:pPr>
    </w:p>
    <w:p w14:paraId="3A06FED8" w14:textId="77777777" w:rsidR="00D6413F" w:rsidRDefault="00D6413F" w:rsidP="00D6413F">
      <w:pPr>
        <w:tabs>
          <w:tab w:val="left" w:pos="760"/>
          <w:tab w:val="left" w:pos="3820"/>
        </w:tabs>
      </w:pPr>
    </w:p>
    <w:p w14:paraId="396B807B" w14:textId="77777777" w:rsidR="00D6413F" w:rsidRDefault="00D6413F" w:rsidP="00D6413F">
      <w:pPr>
        <w:tabs>
          <w:tab w:val="left" w:pos="760"/>
          <w:tab w:val="left" w:pos="3820"/>
        </w:tabs>
      </w:pPr>
    </w:p>
    <w:p w14:paraId="6C2CCA9E" w14:textId="77777777" w:rsidR="00D6413F" w:rsidRDefault="00D6413F" w:rsidP="00D6413F">
      <w:pPr>
        <w:tabs>
          <w:tab w:val="left" w:pos="760"/>
          <w:tab w:val="left" w:pos="3820"/>
        </w:tabs>
      </w:pPr>
    </w:p>
    <w:p w14:paraId="0D660ABC" w14:textId="77777777" w:rsidR="00D6413F" w:rsidRDefault="00D6413F" w:rsidP="00D6413F">
      <w:pPr>
        <w:tabs>
          <w:tab w:val="left" w:pos="760"/>
          <w:tab w:val="left" w:pos="3820"/>
        </w:tabs>
      </w:pPr>
    </w:p>
    <w:p w14:paraId="1EB6812D" w14:textId="77777777" w:rsidR="00D6413F" w:rsidRDefault="00D6413F" w:rsidP="00D6413F">
      <w:pPr>
        <w:tabs>
          <w:tab w:val="left" w:pos="760"/>
          <w:tab w:val="left" w:pos="3820"/>
        </w:tabs>
      </w:pPr>
    </w:p>
    <w:p w14:paraId="5A865BA3" w14:textId="77777777" w:rsidR="00D6413F" w:rsidRDefault="00D6413F" w:rsidP="00D6413F">
      <w:pPr>
        <w:tabs>
          <w:tab w:val="left" w:pos="760"/>
          <w:tab w:val="left" w:pos="3820"/>
        </w:tabs>
      </w:pPr>
    </w:p>
    <w:p w14:paraId="6F765035" w14:textId="77777777" w:rsidR="00D6413F" w:rsidRDefault="00D6413F" w:rsidP="00D6413F">
      <w:pPr>
        <w:tabs>
          <w:tab w:val="left" w:pos="760"/>
          <w:tab w:val="left" w:pos="3820"/>
        </w:tabs>
      </w:pPr>
    </w:p>
    <w:p w14:paraId="28EFF2D9" w14:textId="77777777" w:rsidR="00D6413F" w:rsidRDefault="00D6413F" w:rsidP="00D6413F">
      <w:pPr>
        <w:tabs>
          <w:tab w:val="left" w:pos="760"/>
          <w:tab w:val="left" w:pos="3820"/>
        </w:tabs>
      </w:pPr>
    </w:p>
    <w:p w14:paraId="18443066" w14:textId="77777777" w:rsidR="00D6413F" w:rsidRDefault="00D6413F" w:rsidP="00D6413F">
      <w:pPr>
        <w:tabs>
          <w:tab w:val="left" w:pos="760"/>
          <w:tab w:val="left" w:pos="3820"/>
        </w:tabs>
      </w:pPr>
    </w:p>
    <w:p w14:paraId="0B016A10" w14:textId="77777777" w:rsidR="00D6413F" w:rsidRDefault="00D6413F" w:rsidP="00D6413F">
      <w:pPr>
        <w:tabs>
          <w:tab w:val="left" w:pos="760"/>
          <w:tab w:val="left" w:pos="3820"/>
        </w:tabs>
      </w:pPr>
      <w:r>
        <w:tab/>
      </w:r>
    </w:p>
    <w:p w14:paraId="504E9358" w14:textId="77777777" w:rsidR="00D6413F" w:rsidRDefault="00D6413F" w:rsidP="00D6413F">
      <w:pPr>
        <w:pStyle w:val="Zkladntext"/>
        <w:rPr>
          <w:b/>
          <w:sz w:val="44"/>
          <w:szCs w:val="44"/>
        </w:rPr>
      </w:pPr>
    </w:p>
    <w:p w14:paraId="71778543" w14:textId="77777777" w:rsidR="00D6413F" w:rsidRDefault="00D6413F" w:rsidP="00CA23D0">
      <w:pPr>
        <w:jc w:val="both"/>
        <w:rPr>
          <w:rFonts w:ascii="Arial" w:hAnsi="Arial" w:cs="Arial"/>
          <w:sz w:val="22"/>
        </w:rPr>
      </w:pPr>
    </w:p>
    <w:p w14:paraId="11404391" w14:textId="77777777" w:rsidR="00D6413F" w:rsidRDefault="00D6413F" w:rsidP="00CA23D0">
      <w:pPr>
        <w:jc w:val="both"/>
        <w:rPr>
          <w:rFonts w:ascii="Arial" w:hAnsi="Arial" w:cs="Arial"/>
          <w:sz w:val="22"/>
        </w:rPr>
      </w:pPr>
    </w:p>
    <w:p w14:paraId="696CDEA0" w14:textId="77777777" w:rsidR="00D6413F" w:rsidRPr="006031D6" w:rsidRDefault="00D6413F" w:rsidP="00CA23D0">
      <w:pPr>
        <w:jc w:val="both"/>
        <w:rPr>
          <w:rFonts w:ascii="Arial" w:hAnsi="Arial" w:cs="Arial"/>
          <w:sz w:val="22"/>
        </w:rPr>
      </w:pPr>
      <w:r w:rsidRPr="00287E13">
        <w:rPr>
          <w:noProof/>
          <w:lang w:eastAsia="cs-CZ"/>
        </w:rPr>
        <w:lastRenderedPageBreak/>
        <w:drawing>
          <wp:inline distT="0" distB="0" distL="0" distR="0" wp14:anchorId="785B3383" wp14:editId="5DD431EF">
            <wp:extent cx="5943600" cy="7955280"/>
            <wp:effectExtent l="0" t="0" r="0" b="7620"/>
            <wp:docPr id="24017" name="Obrázek 24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302">
                      <a:extLst>
                        <a:ext uri="{28A0092B-C50C-407E-A947-70E740481C1C}">
                          <a14:useLocalDpi xmlns:a14="http://schemas.microsoft.com/office/drawing/2010/main" val="0"/>
                        </a:ext>
                      </a:extLst>
                    </a:blip>
                    <a:srcRect t="5016"/>
                    <a:stretch>
                      <a:fillRect/>
                    </a:stretch>
                  </pic:blipFill>
                  <pic:spPr bwMode="auto">
                    <a:xfrm>
                      <a:off x="0" y="0"/>
                      <a:ext cx="5943600" cy="7955280"/>
                    </a:xfrm>
                    <a:prstGeom prst="rect">
                      <a:avLst/>
                    </a:prstGeom>
                    <a:noFill/>
                    <a:ln>
                      <a:noFill/>
                    </a:ln>
                  </pic:spPr>
                </pic:pic>
              </a:graphicData>
            </a:graphic>
          </wp:inline>
        </w:drawing>
      </w:r>
    </w:p>
    <w:sectPr w:rsidR="00D6413F" w:rsidRPr="006031D6" w:rsidSect="00EB6AA2">
      <w:pgSz w:w="12240" w:h="15840"/>
      <w:pgMar w:top="1417" w:right="1417" w:bottom="1417" w:left="1417" w:header="708" w:footer="708" w:gutter="0"/>
      <w:pgNumType w:start="439"/>
      <w:cols w:space="708"/>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E25AAC" w14:textId="77777777" w:rsidR="007D43F6" w:rsidRDefault="007D43F6" w:rsidP="00FC65E4">
      <w:r>
        <w:separator/>
      </w:r>
    </w:p>
  </w:endnote>
  <w:endnote w:type="continuationSeparator" w:id="0">
    <w:p w14:paraId="223FC980" w14:textId="77777777" w:rsidR="007D43F6" w:rsidRDefault="007D43F6" w:rsidP="00FC65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vinion">
    <w:altName w:val="Arial"/>
    <w:panose1 w:val="00000000000000000000"/>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AvantGarde">
    <w:altName w:val="Century Gothic"/>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 w:name="CooperBlackE">
    <w:altName w:val="Times New Roman"/>
    <w:panose1 w:val="00000000000000000000"/>
    <w:charset w:val="00"/>
    <w:family w:val="auto"/>
    <w:notTrueType/>
    <w:pitch w:val="default"/>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80"/>
    <w:family w:val="swiss"/>
    <w:pitch w:val="variable"/>
    <w:sig w:usb0="F7FFAEFF" w:usb1="F9DFFFFF" w:usb2="0000007F" w:usb3="00000000" w:csb0="003F01FF" w:csb1="00000000"/>
  </w:font>
  <w:font w:name="Cambria">
    <w:panose1 w:val="02040503050406030204"/>
    <w:charset w:val="EE"/>
    <w:family w:val="roman"/>
    <w:pitch w:val="variable"/>
    <w:sig w:usb0="E00006FF" w:usb1="420024FF" w:usb2="02000000" w:usb3="00000000" w:csb0="0000019F"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F752E0" w14:textId="77777777" w:rsidR="007D43F6" w:rsidRDefault="007D43F6">
    <w:pPr>
      <w:pStyle w:val="Zpat"/>
      <w:jc w:val="center"/>
    </w:pPr>
  </w:p>
  <w:p w14:paraId="62330E1A" w14:textId="77777777" w:rsidR="007D43F6" w:rsidRDefault="007D43F6">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C80522" w14:textId="77777777" w:rsidR="007D43F6" w:rsidRPr="00CA23D0" w:rsidRDefault="007D43F6">
    <w:pPr>
      <w:pStyle w:val="Zpat"/>
      <w:jc w:val="center"/>
      <w:rPr>
        <w:rFonts w:ascii="Arial" w:hAnsi="Arial" w:cs="Arial"/>
      </w:rPr>
    </w:pPr>
    <w:r w:rsidRPr="00CA23D0">
      <w:rPr>
        <w:rFonts w:ascii="Arial" w:hAnsi="Arial" w:cs="Arial"/>
      </w:rPr>
      <w:fldChar w:fldCharType="begin"/>
    </w:r>
    <w:r w:rsidRPr="00CA23D0">
      <w:rPr>
        <w:rFonts w:ascii="Arial" w:hAnsi="Arial" w:cs="Arial"/>
      </w:rPr>
      <w:instrText>PAGE   \* MERGEFORMAT</w:instrText>
    </w:r>
    <w:r w:rsidRPr="00CA23D0">
      <w:rPr>
        <w:rFonts w:ascii="Arial" w:hAnsi="Arial" w:cs="Arial"/>
      </w:rPr>
      <w:fldChar w:fldCharType="separate"/>
    </w:r>
    <w:r w:rsidR="00F27535">
      <w:rPr>
        <w:rFonts w:ascii="Arial" w:hAnsi="Arial" w:cs="Arial"/>
        <w:noProof/>
      </w:rPr>
      <w:t>19</w:t>
    </w:r>
    <w:r w:rsidRPr="00CA23D0">
      <w:rPr>
        <w:rFonts w:ascii="Arial" w:hAnsi="Arial" w:cs="Arial"/>
      </w:rPr>
      <w:fldChar w:fldCharType="end"/>
    </w:r>
  </w:p>
  <w:p w14:paraId="7979B3D4" w14:textId="77777777" w:rsidR="007D43F6" w:rsidRDefault="007D43F6">
    <w:pPr>
      <w:pStyle w:val="Zpat"/>
    </w:pPr>
  </w:p>
  <w:p w14:paraId="4CF4BAFC" w14:textId="77777777" w:rsidR="007D43F6" w:rsidRDefault="007D43F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318102" w14:textId="77777777" w:rsidR="007D43F6" w:rsidRDefault="007D43F6">
    <w:pPr>
      <w:pStyle w:val="Zpat"/>
      <w:framePr w:wrap="auto" w:vAnchor="text" w:hAnchor="margin" w:xAlign="outside" w:y="1"/>
      <w:rPr>
        <w:rStyle w:val="slostrnky"/>
      </w:rPr>
    </w:pPr>
  </w:p>
  <w:p w14:paraId="442F1613" w14:textId="77777777" w:rsidR="007D43F6" w:rsidRDefault="007D43F6">
    <w:pPr>
      <w:pStyle w:val="Zpat"/>
      <w:ind w:right="360" w:firstLine="360"/>
    </w:pPr>
  </w:p>
  <w:p w14:paraId="5D6EBA68" w14:textId="77777777" w:rsidR="007D43F6" w:rsidRDefault="007D43F6">
    <w:pPr>
      <w:pStyle w:val="Zpat"/>
    </w:pPr>
  </w:p>
  <w:p w14:paraId="7BF20A02" w14:textId="77777777" w:rsidR="007D43F6" w:rsidRDefault="007D43F6">
    <w:pPr>
      <w:pStyle w:val="Zpat"/>
    </w:pPr>
    <w:r>
      <w:rPr>
        <w:strike/>
      </w:rPr>
      <w:t xml:space="preserve">           </w:t>
    </w:r>
    <w:r>
      <w:t xml:space="preserve">  </w:t>
    </w:r>
    <w:r>
      <w:rPr>
        <w:rStyle w:val="slostrnky"/>
      </w:rPr>
      <w:fldChar w:fldCharType="begin"/>
    </w:r>
    <w:r>
      <w:rPr>
        <w:rStyle w:val="slostrnky"/>
      </w:rPr>
      <w:instrText xml:space="preserve">PAGE  </w:instrText>
    </w:r>
    <w:r>
      <w:rPr>
        <w:rStyle w:val="slostrnky"/>
      </w:rPr>
      <w:fldChar w:fldCharType="separate"/>
    </w:r>
    <w:r>
      <w:rPr>
        <w:rStyle w:val="slostrnky"/>
        <w:noProof/>
      </w:rPr>
      <w:t>54</w:t>
    </w:r>
    <w:r>
      <w:rPr>
        <w:rStyle w:val="slostrnky"/>
      </w:rPr>
      <w:fldChar w:fldCharType="end"/>
    </w:r>
    <w:r>
      <w:rPr>
        <w:rStyle w:val="slostrnky"/>
      </w:rPr>
      <w:t xml:space="preserve"> </w:t>
    </w:r>
    <w:r>
      <w:t xml:space="preserve"> </w:t>
    </w:r>
    <w:r>
      <w:rPr>
        <w:strike/>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79899E" w14:textId="77777777" w:rsidR="007D43F6" w:rsidRDefault="007D43F6">
    <w:pPr>
      <w:pStyle w:val="Zpat"/>
      <w:ind w:right="360" w:firstLine="360"/>
    </w:pPr>
  </w:p>
  <w:p w14:paraId="0EA15229" w14:textId="77777777" w:rsidR="007D43F6" w:rsidRPr="00E3226E" w:rsidRDefault="007D43F6" w:rsidP="00286F7D">
    <w:pPr>
      <w:pStyle w:val="Zpat"/>
      <w:jc w:val="center"/>
      <w:rPr>
        <w:rFonts w:ascii="Arial" w:hAnsi="Arial" w:cs="Arial"/>
        <w:sz w:val="22"/>
        <w:szCs w:val="22"/>
      </w:rPr>
    </w:pPr>
    <w:r w:rsidRPr="00E3226E">
      <w:rPr>
        <w:rFonts w:ascii="Arial" w:hAnsi="Arial" w:cs="Arial"/>
        <w:sz w:val="22"/>
        <w:szCs w:val="22"/>
      </w:rPr>
      <w:fldChar w:fldCharType="begin"/>
    </w:r>
    <w:r w:rsidRPr="00E3226E">
      <w:rPr>
        <w:rFonts w:ascii="Arial" w:hAnsi="Arial" w:cs="Arial"/>
        <w:sz w:val="22"/>
        <w:szCs w:val="22"/>
      </w:rPr>
      <w:instrText>PAGE   \* MERGEFORMAT</w:instrText>
    </w:r>
    <w:r w:rsidRPr="00E3226E">
      <w:rPr>
        <w:rFonts w:ascii="Arial" w:hAnsi="Arial" w:cs="Arial"/>
        <w:sz w:val="22"/>
        <w:szCs w:val="22"/>
      </w:rPr>
      <w:fldChar w:fldCharType="separate"/>
    </w:r>
    <w:r w:rsidR="006731EE">
      <w:rPr>
        <w:rFonts w:ascii="Arial" w:hAnsi="Arial" w:cs="Arial"/>
        <w:noProof/>
        <w:sz w:val="22"/>
        <w:szCs w:val="22"/>
      </w:rPr>
      <w:t>543</w:t>
    </w:r>
    <w:r w:rsidRPr="00E3226E">
      <w:rPr>
        <w:rFonts w:ascii="Arial" w:hAnsi="Arial" w:cs="Arial"/>
        <w:sz w:val="22"/>
        <w:szCs w:val="22"/>
      </w:rPr>
      <w:fldChar w:fldCharType="end"/>
    </w:r>
  </w:p>
  <w:p w14:paraId="5DD9A79D" w14:textId="77777777" w:rsidR="007D43F6" w:rsidRDefault="007D43F6">
    <w:pPr>
      <w:pStyle w:val="Zpa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0FCEB3" w14:textId="77777777" w:rsidR="007D43F6" w:rsidRDefault="007D43F6" w:rsidP="00286F7D">
    <w:pPr>
      <w:pStyle w:val="Zpat"/>
      <w:rPr>
        <w:strike/>
      </w:rPr>
    </w:pPr>
  </w:p>
  <w:p w14:paraId="1F799AC6" w14:textId="77777777" w:rsidR="007D43F6" w:rsidRDefault="007D43F6" w:rsidP="00286F7D">
    <w:pPr>
      <w:pStyle w:val="Zpat"/>
      <w:rPr>
        <w:strike/>
      </w:rPr>
    </w:pPr>
  </w:p>
  <w:p w14:paraId="17335E12" w14:textId="77777777" w:rsidR="007D43F6" w:rsidRDefault="007D43F6" w:rsidP="00286F7D">
    <w:pPr>
      <w:pStyle w:val="Zpat"/>
      <w:jc w:val="center"/>
    </w:pPr>
    <w:r w:rsidRPr="00E3226E">
      <w:rPr>
        <w:rFonts w:ascii="Arial" w:hAnsi="Arial" w:cs="Arial"/>
        <w:sz w:val="22"/>
        <w:szCs w:val="22"/>
      </w:rPr>
      <w:fldChar w:fldCharType="begin"/>
    </w:r>
    <w:r w:rsidRPr="00E3226E">
      <w:rPr>
        <w:rFonts w:ascii="Arial" w:hAnsi="Arial" w:cs="Arial"/>
        <w:sz w:val="22"/>
        <w:szCs w:val="22"/>
      </w:rPr>
      <w:instrText>PAGE   \* MERGEFORMAT</w:instrText>
    </w:r>
    <w:r w:rsidRPr="00E3226E">
      <w:rPr>
        <w:rFonts w:ascii="Arial" w:hAnsi="Arial" w:cs="Arial"/>
        <w:sz w:val="22"/>
        <w:szCs w:val="22"/>
      </w:rPr>
      <w:fldChar w:fldCharType="separate"/>
    </w:r>
    <w:r w:rsidR="00B53F16">
      <w:rPr>
        <w:rFonts w:ascii="Arial" w:hAnsi="Arial" w:cs="Arial"/>
        <w:noProof/>
        <w:sz w:val="22"/>
        <w:szCs w:val="22"/>
      </w:rPr>
      <w:t>427</w:t>
    </w:r>
    <w:r w:rsidRPr="00E3226E">
      <w:rPr>
        <w:rFonts w:ascii="Arial" w:hAnsi="Arial" w:cs="Arial"/>
        <w:sz w:val="22"/>
        <w:szCs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CBE45A" w14:textId="77777777" w:rsidR="007D43F6" w:rsidRDefault="007D43F6" w:rsidP="00FC65E4">
      <w:r>
        <w:separator/>
      </w:r>
    </w:p>
  </w:footnote>
  <w:footnote w:type="continuationSeparator" w:id="0">
    <w:p w14:paraId="633CEE52" w14:textId="77777777" w:rsidR="007D43F6" w:rsidRDefault="007D43F6" w:rsidP="00FC65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55F9DC" w14:textId="77777777" w:rsidR="007D43F6" w:rsidRDefault="007D43F6">
    <w:pPr>
      <w:pStyle w:val="Zhlav"/>
    </w:pPr>
  </w:p>
  <w:p w14:paraId="005F53F4" w14:textId="77777777" w:rsidR="007D43F6" w:rsidRDefault="007D43F6">
    <w:pPr>
      <w:pStyle w:val="Zhlav"/>
    </w:pPr>
    <w:r>
      <w:rPr>
        <w:strike/>
      </w:rPr>
      <w:t xml:space="preserve">           </w:t>
    </w:r>
    <w:r>
      <w:rPr>
        <w:i/>
        <w:iCs/>
      </w:rPr>
      <w:t xml:space="preserve"> návrh řešení 8. změny</w:t>
    </w:r>
    <w:r w:rsidRPr="00746C06">
      <w:rPr>
        <w:i/>
        <w:iCs/>
      </w:rPr>
      <w:t xml:space="preserve"> územního plánu</w:t>
    </w:r>
    <w:r>
      <w:rPr>
        <w:i/>
      </w:rPr>
      <w:t xml:space="preserve"> </w:t>
    </w:r>
    <w:r>
      <w:rPr>
        <w:i/>
        <w:iCs/>
        <w:strike/>
      </w:rPr>
      <w:t xml:space="preserve">                                                                    </w:t>
    </w:r>
    <w:r>
      <w:rPr>
        <w:strike/>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C6DFBC" w14:textId="77777777" w:rsidR="007D43F6" w:rsidRDefault="007D43F6">
    <w:pPr>
      <w:pStyle w:val="Zhlav"/>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B720CF" w14:textId="77777777" w:rsidR="007D43F6" w:rsidRDefault="007D43F6" w:rsidP="00286F7D">
    <w:pPr>
      <w:pStyle w:val="Zhlav"/>
    </w:pPr>
    <w:r>
      <w:rPr>
        <w:rFonts w:ascii="Arial" w:hAnsi="Arial" w:cs="Arial"/>
        <w:sz w:val="16"/>
        <w:szCs w:val="16"/>
      </w:rPr>
      <w:t>Územní plán města Děčína, právní stav po provedení změn č. 1, 2, 4, 6 a 8 – Kapitola N. Vyhodnocení důsledků návrhu na ZPF a PUPFL</w:t>
    </w:r>
  </w:p>
  <w:p w14:paraId="61728DA6" w14:textId="77777777" w:rsidR="007D43F6" w:rsidRPr="008123DB" w:rsidRDefault="007D43F6" w:rsidP="00286F7D">
    <w:pPr>
      <w:pStyle w:val="Zhlav"/>
      <w:jc w:val="right"/>
      <w:rPr>
        <w:b/>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rPr>
        <w:rFonts w:cs="Times New Roman"/>
      </w:rPr>
    </w:lvl>
    <w:lvl w:ilvl="1">
      <w:start w:val="1"/>
      <w:numFmt w:val="none"/>
      <w:suff w:val="nothing"/>
      <w:lvlText w:val=""/>
      <w:lvlJc w:val="left"/>
      <w:pPr>
        <w:tabs>
          <w:tab w:val="num" w:pos="0"/>
        </w:tabs>
        <w:ind w:left="576" w:hanging="576"/>
      </w:pPr>
      <w:rPr>
        <w:rFonts w:cs="Times New Roman"/>
      </w:rPr>
    </w:lvl>
    <w:lvl w:ilvl="2">
      <w:start w:val="1"/>
      <w:numFmt w:val="none"/>
      <w:suff w:val="nothing"/>
      <w:lvlText w:val=""/>
      <w:lvlJc w:val="left"/>
      <w:pPr>
        <w:tabs>
          <w:tab w:val="num" w:pos="0"/>
        </w:tabs>
        <w:ind w:left="720" w:hanging="720"/>
      </w:pPr>
      <w:rPr>
        <w:rFonts w:cs="Times New Roman"/>
      </w:rPr>
    </w:lvl>
    <w:lvl w:ilvl="3">
      <w:start w:val="1"/>
      <w:numFmt w:val="none"/>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1" w15:restartNumberingAfterBreak="0">
    <w:nsid w:val="00000002"/>
    <w:multiLevelType w:val="multilevel"/>
    <w:tmpl w:val="00000002"/>
    <w:name w:val="WW8Num3"/>
    <w:lvl w:ilvl="0">
      <w:start w:val="1"/>
      <w:numFmt w:val="bullet"/>
      <w:lvlText w:val=""/>
      <w:lvlJc w:val="left"/>
      <w:pPr>
        <w:tabs>
          <w:tab w:val="num" w:pos="770"/>
        </w:tabs>
        <w:ind w:left="770" w:hanging="360"/>
      </w:pPr>
      <w:rPr>
        <w:rFonts w:ascii="Symbol" w:hAnsi="Symbol"/>
      </w:rPr>
    </w:lvl>
    <w:lvl w:ilvl="1">
      <w:start w:val="1"/>
      <w:numFmt w:val="bullet"/>
      <w:lvlText w:val="o"/>
      <w:lvlJc w:val="left"/>
      <w:pPr>
        <w:tabs>
          <w:tab w:val="num" w:pos="1490"/>
        </w:tabs>
        <w:ind w:left="1490" w:hanging="360"/>
      </w:pPr>
      <w:rPr>
        <w:rFonts w:ascii="Courier New" w:hAnsi="Courier New"/>
      </w:rPr>
    </w:lvl>
    <w:lvl w:ilvl="2">
      <w:start w:val="1"/>
      <w:numFmt w:val="bullet"/>
      <w:lvlText w:val=""/>
      <w:lvlJc w:val="left"/>
      <w:pPr>
        <w:tabs>
          <w:tab w:val="num" w:pos="2210"/>
        </w:tabs>
        <w:ind w:left="2210" w:hanging="360"/>
      </w:pPr>
      <w:rPr>
        <w:rFonts w:ascii="Wingdings" w:hAnsi="Wingdings"/>
      </w:rPr>
    </w:lvl>
    <w:lvl w:ilvl="3">
      <w:start w:val="1"/>
      <w:numFmt w:val="bullet"/>
      <w:lvlText w:val=""/>
      <w:lvlJc w:val="left"/>
      <w:pPr>
        <w:tabs>
          <w:tab w:val="num" w:pos="2930"/>
        </w:tabs>
        <w:ind w:left="2930" w:hanging="360"/>
      </w:pPr>
      <w:rPr>
        <w:rFonts w:ascii="Symbol" w:hAnsi="Symbol"/>
      </w:rPr>
    </w:lvl>
    <w:lvl w:ilvl="4">
      <w:start w:val="1"/>
      <w:numFmt w:val="bullet"/>
      <w:lvlText w:val="o"/>
      <w:lvlJc w:val="left"/>
      <w:pPr>
        <w:tabs>
          <w:tab w:val="num" w:pos="3650"/>
        </w:tabs>
        <w:ind w:left="3650" w:hanging="360"/>
      </w:pPr>
      <w:rPr>
        <w:rFonts w:ascii="Courier New" w:hAnsi="Courier New"/>
      </w:rPr>
    </w:lvl>
    <w:lvl w:ilvl="5">
      <w:start w:val="1"/>
      <w:numFmt w:val="bullet"/>
      <w:lvlText w:val=""/>
      <w:lvlJc w:val="left"/>
      <w:pPr>
        <w:tabs>
          <w:tab w:val="num" w:pos="4370"/>
        </w:tabs>
        <w:ind w:left="4370" w:hanging="360"/>
      </w:pPr>
      <w:rPr>
        <w:rFonts w:ascii="Wingdings" w:hAnsi="Wingdings"/>
      </w:rPr>
    </w:lvl>
    <w:lvl w:ilvl="6">
      <w:start w:val="1"/>
      <w:numFmt w:val="bullet"/>
      <w:lvlText w:val=""/>
      <w:lvlJc w:val="left"/>
      <w:pPr>
        <w:tabs>
          <w:tab w:val="num" w:pos="5090"/>
        </w:tabs>
        <w:ind w:left="5090" w:hanging="360"/>
      </w:pPr>
      <w:rPr>
        <w:rFonts w:ascii="Symbol" w:hAnsi="Symbol"/>
      </w:rPr>
    </w:lvl>
    <w:lvl w:ilvl="7">
      <w:start w:val="1"/>
      <w:numFmt w:val="bullet"/>
      <w:lvlText w:val="o"/>
      <w:lvlJc w:val="left"/>
      <w:pPr>
        <w:tabs>
          <w:tab w:val="num" w:pos="5810"/>
        </w:tabs>
        <w:ind w:left="5810" w:hanging="360"/>
      </w:pPr>
      <w:rPr>
        <w:rFonts w:ascii="Courier New" w:hAnsi="Courier New"/>
      </w:rPr>
    </w:lvl>
    <w:lvl w:ilvl="8">
      <w:start w:val="1"/>
      <w:numFmt w:val="bullet"/>
      <w:lvlText w:val=""/>
      <w:lvlJc w:val="left"/>
      <w:pPr>
        <w:tabs>
          <w:tab w:val="num" w:pos="6530"/>
        </w:tabs>
        <w:ind w:left="6530" w:hanging="360"/>
      </w:pPr>
      <w:rPr>
        <w:rFonts w:ascii="Wingdings" w:hAnsi="Wingdings"/>
      </w:rPr>
    </w:lvl>
  </w:abstractNum>
  <w:abstractNum w:abstractNumId="2" w15:restartNumberingAfterBreak="0">
    <w:nsid w:val="00000003"/>
    <w:multiLevelType w:val="singleLevel"/>
    <w:tmpl w:val="00000003"/>
    <w:name w:val="WW8Num5"/>
    <w:lvl w:ilvl="0">
      <w:start w:val="1"/>
      <w:numFmt w:val="bullet"/>
      <w:lvlText w:val=""/>
      <w:lvlJc w:val="left"/>
      <w:pPr>
        <w:tabs>
          <w:tab w:val="num" w:pos="720"/>
        </w:tabs>
        <w:ind w:left="720" w:hanging="360"/>
      </w:pPr>
      <w:rPr>
        <w:rFonts w:ascii="Symbol" w:hAnsi="Symbol"/>
      </w:rPr>
    </w:lvl>
  </w:abstractNum>
  <w:abstractNum w:abstractNumId="3" w15:restartNumberingAfterBreak="0">
    <w:nsid w:val="00000004"/>
    <w:multiLevelType w:val="singleLevel"/>
    <w:tmpl w:val="00000004"/>
    <w:name w:val="WW8Num6"/>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7"/>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10"/>
    <w:lvl w:ilvl="0">
      <w:start w:val="1"/>
      <w:numFmt w:val="bullet"/>
      <w:lvlText w:val=""/>
      <w:lvlJc w:val="left"/>
      <w:pPr>
        <w:tabs>
          <w:tab w:val="num" w:pos="720"/>
        </w:tabs>
        <w:ind w:left="720" w:hanging="360"/>
      </w:pPr>
      <w:rPr>
        <w:rFonts w:ascii="Symbol" w:hAnsi="Symbol"/>
      </w:rPr>
    </w:lvl>
  </w:abstractNum>
  <w:abstractNum w:abstractNumId="6" w15:restartNumberingAfterBreak="0">
    <w:nsid w:val="00000007"/>
    <w:multiLevelType w:val="singleLevel"/>
    <w:tmpl w:val="00000007"/>
    <w:name w:val="WW8Num11"/>
    <w:lvl w:ilvl="0">
      <w:start w:val="1"/>
      <w:numFmt w:val="bullet"/>
      <w:lvlText w:val=""/>
      <w:lvlJc w:val="left"/>
      <w:pPr>
        <w:tabs>
          <w:tab w:val="num" w:pos="720"/>
        </w:tabs>
        <w:ind w:left="720" w:hanging="360"/>
      </w:pPr>
      <w:rPr>
        <w:rFonts w:ascii="Symbol" w:hAnsi="Symbol"/>
      </w:rPr>
    </w:lvl>
  </w:abstractNum>
  <w:abstractNum w:abstractNumId="7" w15:restartNumberingAfterBreak="0">
    <w:nsid w:val="00000008"/>
    <w:multiLevelType w:val="singleLevel"/>
    <w:tmpl w:val="00000008"/>
    <w:name w:val="WW8Num8"/>
    <w:lvl w:ilvl="0">
      <w:start w:val="1"/>
      <w:numFmt w:val="decimal"/>
      <w:suff w:val="nothing"/>
      <w:lvlText w:val="(%1)"/>
      <w:lvlJc w:val="left"/>
      <w:pPr>
        <w:tabs>
          <w:tab w:val="num" w:pos="0"/>
        </w:tabs>
      </w:pPr>
      <w:rPr>
        <w:rFonts w:cs="Times New Roman"/>
      </w:rPr>
    </w:lvl>
  </w:abstractNum>
  <w:abstractNum w:abstractNumId="8" w15:restartNumberingAfterBreak="0">
    <w:nsid w:val="00000009"/>
    <w:multiLevelType w:val="singleLevel"/>
    <w:tmpl w:val="00000009"/>
    <w:name w:val="WW8Num14"/>
    <w:lvl w:ilvl="0">
      <w:start w:val="1"/>
      <w:numFmt w:val="bullet"/>
      <w:lvlText w:val=""/>
      <w:lvlJc w:val="left"/>
      <w:pPr>
        <w:tabs>
          <w:tab w:val="num" w:pos="720"/>
        </w:tabs>
        <w:ind w:left="720" w:hanging="360"/>
      </w:pPr>
      <w:rPr>
        <w:rFonts w:ascii="Symbol" w:hAnsi="Symbol"/>
      </w:rPr>
    </w:lvl>
  </w:abstractNum>
  <w:abstractNum w:abstractNumId="9" w15:restartNumberingAfterBreak="0">
    <w:nsid w:val="0000000A"/>
    <w:multiLevelType w:val="singleLevel"/>
    <w:tmpl w:val="0000000A"/>
    <w:name w:val="WW8Num15"/>
    <w:lvl w:ilvl="0">
      <w:start w:val="2"/>
      <w:numFmt w:val="bullet"/>
      <w:lvlText w:val="-"/>
      <w:lvlJc w:val="left"/>
      <w:pPr>
        <w:tabs>
          <w:tab w:val="num" w:pos="720"/>
        </w:tabs>
        <w:ind w:left="720" w:hanging="360"/>
      </w:pPr>
      <w:rPr>
        <w:rFonts w:ascii="Times New Roman" w:hAnsi="Times New Roman"/>
      </w:rPr>
    </w:lvl>
  </w:abstractNum>
  <w:abstractNum w:abstractNumId="10" w15:restartNumberingAfterBreak="0">
    <w:nsid w:val="0000001C"/>
    <w:multiLevelType w:val="singleLevel"/>
    <w:tmpl w:val="0000001C"/>
    <w:name w:val="WW8Num28"/>
    <w:lvl w:ilvl="0">
      <w:start w:val="1"/>
      <w:numFmt w:val="bullet"/>
      <w:lvlText w:val=""/>
      <w:lvlJc w:val="left"/>
      <w:pPr>
        <w:tabs>
          <w:tab w:val="num" w:pos="720"/>
        </w:tabs>
        <w:ind w:left="720" w:hanging="360"/>
      </w:pPr>
      <w:rPr>
        <w:rFonts w:ascii="Wingdings" w:hAnsi="Wingdings"/>
      </w:rPr>
    </w:lvl>
  </w:abstractNum>
  <w:abstractNum w:abstractNumId="11" w15:restartNumberingAfterBreak="0">
    <w:nsid w:val="0000004A"/>
    <w:multiLevelType w:val="multilevel"/>
    <w:tmpl w:val="0000004A"/>
    <w:name w:val="WW8Num74"/>
    <w:lvl w:ilvl="0">
      <w:start w:val="1"/>
      <w:numFmt w:val="bullet"/>
      <w:lvlText w:val=""/>
      <w:lvlJc w:val="left"/>
      <w:pPr>
        <w:tabs>
          <w:tab w:val="num" w:pos="720"/>
        </w:tabs>
        <w:ind w:left="720" w:hanging="360"/>
      </w:pPr>
      <w:rPr>
        <w:rFonts w:ascii="Wingdings" w:hAnsi="Wingdings"/>
      </w:rPr>
    </w:lvl>
    <w:lvl w:ilvl="1">
      <w:start w:val="1"/>
      <w:numFmt w:val="lowerLetter"/>
      <w:lvlText w:val="%2)"/>
      <w:lvlJc w:val="left"/>
      <w:pPr>
        <w:tabs>
          <w:tab w:val="num" w:pos="1440"/>
        </w:tabs>
        <w:ind w:left="1440" w:hanging="360"/>
      </w:pPr>
      <w:rPr>
        <w:rFonts w:cs="Times New Roman"/>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2" w15:restartNumberingAfterBreak="0">
    <w:nsid w:val="004C2161"/>
    <w:multiLevelType w:val="hybridMultilevel"/>
    <w:tmpl w:val="31C6C30E"/>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13" w15:restartNumberingAfterBreak="0">
    <w:nsid w:val="011F2229"/>
    <w:multiLevelType w:val="hybridMultilevel"/>
    <w:tmpl w:val="53F2D54C"/>
    <w:lvl w:ilvl="0" w:tplc="E2F8F3F0">
      <w:start w:val="1"/>
      <w:numFmt w:val="bullet"/>
      <w:lvlText w:val=""/>
      <w:lvlJc w:val="left"/>
      <w:pPr>
        <w:ind w:left="1298" w:hanging="360"/>
      </w:pPr>
      <w:rPr>
        <w:rFonts w:ascii="Symbol" w:hAnsi="Symbol" w:hint="default"/>
      </w:rPr>
    </w:lvl>
    <w:lvl w:ilvl="1" w:tplc="E2F8F3F0">
      <w:start w:val="1"/>
      <w:numFmt w:val="bullet"/>
      <w:lvlText w:val=""/>
      <w:lvlJc w:val="left"/>
      <w:pPr>
        <w:ind w:left="2018" w:hanging="360"/>
      </w:pPr>
      <w:rPr>
        <w:rFonts w:ascii="Symbol" w:hAnsi="Symbol"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14" w15:restartNumberingAfterBreak="0">
    <w:nsid w:val="01901E37"/>
    <w:multiLevelType w:val="hybridMultilevel"/>
    <w:tmpl w:val="D92AA43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02E11DA4"/>
    <w:multiLevelType w:val="hybridMultilevel"/>
    <w:tmpl w:val="8F96CF12"/>
    <w:lvl w:ilvl="0" w:tplc="D1A8CC6C">
      <w:numFmt w:val="bullet"/>
      <w:lvlText w:val="-"/>
      <w:lvlJc w:val="left"/>
      <w:pPr>
        <w:ind w:left="1808" w:hanging="360"/>
      </w:pPr>
      <w:rPr>
        <w:rFonts w:ascii="Arial" w:eastAsia="Times New Roman" w:hAnsi="Arial" w:cs="Arial" w:hint="default"/>
      </w:rPr>
    </w:lvl>
    <w:lvl w:ilvl="1" w:tplc="04050003" w:tentative="1">
      <w:start w:val="1"/>
      <w:numFmt w:val="bullet"/>
      <w:lvlText w:val="o"/>
      <w:lvlJc w:val="left"/>
      <w:pPr>
        <w:ind w:left="2528" w:hanging="360"/>
      </w:pPr>
      <w:rPr>
        <w:rFonts w:ascii="Courier New" w:hAnsi="Courier New" w:cs="Courier New" w:hint="default"/>
      </w:rPr>
    </w:lvl>
    <w:lvl w:ilvl="2" w:tplc="04050005" w:tentative="1">
      <w:start w:val="1"/>
      <w:numFmt w:val="bullet"/>
      <w:lvlText w:val=""/>
      <w:lvlJc w:val="left"/>
      <w:pPr>
        <w:ind w:left="3248" w:hanging="360"/>
      </w:pPr>
      <w:rPr>
        <w:rFonts w:ascii="Wingdings" w:hAnsi="Wingdings" w:hint="default"/>
      </w:rPr>
    </w:lvl>
    <w:lvl w:ilvl="3" w:tplc="04050001" w:tentative="1">
      <w:start w:val="1"/>
      <w:numFmt w:val="bullet"/>
      <w:lvlText w:val=""/>
      <w:lvlJc w:val="left"/>
      <w:pPr>
        <w:ind w:left="3968" w:hanging="360"/>
      </w:pPr>
      <w:rPr>
        <w:rFonts w:ascii="Symbol" w:hAnsi="Symbol" w:hint="default"/>
      </w:rPr>
    </w:lvl>
    <w:lvl w:ilvl="4" w:tplc="04050003" w:tentative="1">
      <w:start w:val="1"/>
      <w:numFmt w:val="bullet"/>
      <w:lvlText w:val="o"/>
      <w:lvlJc w:val="left"/>
      <w:pPr>
        <w:ind w:left="4688" w:hanging="360"/>
      </w:pPr>
      <w:rPr>
        <w:rFonts w:ascii="Courier New" w:hAnsi="Courier New" w:cs="Courier New" w:hint="default"/>
      </w:rPr>
    </w:lvl>
    <w:lvl w:ilvl="5" w:tplc="04050005" w:tentative="1">
      <w:start w:val="1"/>
      <w:numFmt w:val="bullet"/>
      <w:lvlText w:val=""/>
      <w:lvlJc w:val="left"/>
      <w:pPr>
        <w:ind w:left="5408" w:hanging="360"/>
      </w:pPr>
      <w:rPr>
        <w:rFonts w:ascii="Wingdings" w:hAnsi="Wingdings" w:hint="default"/>
      </w:rPr>
    </w:lvl>
    <w:lvl w:ilvl="6" w:tplc="04050001" w:tentative="1">
      <w:start w:val="1"/>
      <w:numFmt w:val="bullet"/>
      <w:lvlText w:val=""/>
      <w:lvlJc w:val="left"/>
      <w:pPr>
        <w:ind w:left="6128" w:hanging="360"/>
      </w:pPr>
      <w:rPr>
        <w:rFonts w:ascii="Symbol" w:hAnsi="Symbol" w:hint="default"/>
      </w:rPr>
    </w:lvl>
    <w:lvl w:ilvl="7" w:tplc="04050003" w:tentative="1">
      <w:start w:val="1"/>
      <w:numFmt w:val="bullet"/>
      <w:lvlText w:val="o"/>
      <w:lvlJc w:val="left"/>
      <w:pPr>
        <w:ind w:left="6848" w:hanging="360"/>
      </w:pPr>
      <w:rPr>
        <w:rFonts w:ascii="Courier New" w:hAnsi="Courier New" w:cs="Courier New" w:hint="default"/>
      </w:rPr>
    </w:lvl>
    <w:lvl w:ilvl="8" w:tplc="04050005" w:tentative="1">
      <w:start w:val="1"/>
      <w:numFmt w:val="bullet"/>
      <w:lvlText w:val=""/>
      <w:lvlJc w:val="left"/>
      <w:pPr>
        <w:ind w:left="7568" w:hanging="360"/>
      </w:pPr>
      <w:rPr>
        <w:rFonts w:ascii="Wingdings" w:hAnsi="Wingdings" w:hint="default"/>
      </w:rPr>
    </w:lvl>
  </w:abstractNum>
  <w:abstractNum w:abstractNumId="16" w15:restartNumberingAfterBreak="0">
    <w:nsid w:val="037D78CD"/>
    <w:multiLevelType w:val="hybridMultilevel"/>
    <w:tmpl w:val="2B06143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05320C2E"/>
    <w:multiLevelType w:val="hybridMultilevel"/>
    <w:tmpl w:val="F3604878"/>
    <w:lvl w:ilvl="0" w:tplc="F816FD32">
      <w:numFmt w:val="bullet"/>
      <w:lvlText w:val="­"/>
      <w:lvlJc w:val="left"/>
      <w:pPr>
        <w:ind w:left="720" w:hanging="360"/>
      </w:pPr>
      <w:rPr>
        <w:rFonts w:ascii="Arial" w:eastAsia="Times New Roman" w:hAnsi="Arial" w:hint="default"/>
      </w:rPr>
    </w:lvl>
    <w:lvl w:ilvl="1" w:tplc="04050003" w:tentative="1">
      <w:start w:val="1"/>
      <w:numFmt w:val="bullet"/>
      <w:lvlText w:val="o"/>
      <w:lvlJc w:val="left"/>
      <w:pPr>
        <w:ind w:left="1440" w:hanging="360"/>
      </w:pPr>
      <w:rPr>
        <w:rFonts w:ascii="Courier New" w:hAnsi="Courier New" w:cs="Courier New" w:hint="default"/>
      </w:rPr>
    </w:lvl>
    <w:lvl w:ilvl="2" w:tplc="F816FD32">
      <w:numFmt w:val="bullet"/>
      <w:lvlText w:val="­"/>
      <w:lvlJc w:val="left"/>
      <w:pPr>
        <w:ind w:left="2160" w:hanging="360"/>
      </w:pPr>
      <w:rPr>
        <w:rFonts w:ascii="Arial" w:eastAsia="Times New Roman" w:hAnsi="Arial"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064B0DDA"/>
    <w:multiLevelType w:val="hybridMultilevel"/>
    <w:tmpl w:val="C092311E"/>
    <w:lvl w:ilvl="0" w:tplc="46B2AB14">
      <w:start w:val="1"/>
      <w:numFmt w:val="upperRoman"/>
      <w:lvlText w:val="%1."/>
      <w:lvlJc w:val="left"/>
      <w:pPr>
        <w:ind w:left="720" w:hanging="72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9" w15:restartNumberingAfterBreak="0">
    <w:nsid w:val="088F1626"/>
    <w:multiLevelType w:val="hybridMultilevel"/>
    <w:tmpl w:val="51B4D31E"/>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0A796DE7"/>
    <w:multiLevelType w:val="hybridMultilevel"/>
    <w:tmpl w:val="01C06E82"/>
    <w:lvl w:ilvl="0" w:tplc="D084D772">
      <w:numFmt w:val="bullet"/>
      <w:lvlText w:val="*"/>
      <w:lvlJc w:val="left"/>
      <w:pPr>
        <w:ind w:left="720" w:hanging="360"/>
      </w:pPr>
      <w:rPr>
        <w:rFonts w:ascii="Arial" w:eastAsia="Times New Roman"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15:restartNumberingAfterBreak="0">
    <w:nsid w:val="0AF5051E"/>
    <w:multiLevelType w:val="hybridMultilevel"/>
    <w:tmpl w:val="0F2A3B7A"/>
    <w:lvl w:ilvl="0" w:tplc="2B9EB332">
      <w:numFmt w:val="bullet"/>
      <w:lvlText w:val="⃰"/>
      <w:lvlJc w:val="left"/>
      <w:pPr>
        <w:ind w:left="1298" w:hanging="360"/>
      </w:pPr>
      <w:rPr>
        <w:rFonts w:ascii="Arial" w:eastAsia="Times New Roman"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0B1C5A3C"/>
    <w:multiLevelType w:val="hybridMultilevel"/>
    <w:tmpl w:val="0F801902"/>
    <w:lvl w:ilvl="0" w:tplc="E2F8F3F0">
      <w:start w:val="1"/>
      <w:numFmt w:val="bullet"/>
      <w:lvlText w:val=""/>
      <w:lvlJc w:val="left"/>
      <w:pPr>
        <w:ind w:left="1298" w:hanging="360"/>
      </w:pPr>
      <w:rPr>
        <w:rFonts w:ascii="Symbol" w:hAnsi="Symbol" w:hint="default"/>
      </w:rPr>
    </w:lvl>
    <w:lvl w:ilvl="1" w:tplc="04050003" w:tentative="1">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23" w15:restartNumberingAfterBreak="0">
    <w:nsid w:val="0B9E6193"/>
    <w:multiLevelType w:val="hybridMultilevel"/>
    <w:tmpl w:val="2A1A838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0C670F85"/>
    <w:multiLevelType w:val="hybridMultilevel"/>
    <w:tmpl w:val="3EEC43F6"/>
    <w:lvl w:ilvl="0" w:tplc="F816FD32">
      <w:numFmt w:val="bullet"/>
      <w:lvlText w:val="­"/>
      <w:lvlJc w:val="left"/>
      <w:pPr>
        <w:ind w:left="1287" w:hanging="360"/>
      </w:pPr>
      <w:rPr>
        <w:rFonts w:ascii="Arial" w:eastAsia="Times New Roman" w:hAnsi="Arial"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25" w15:restartNumberingAfterBreak="0">
    <w:nsid w:val="0E5B6E07"/>
    <w:multiLevelType w:val="hybridMultilevel"/>
    <w:tmpl w:val="BB426930"/>
    <w:lvl w:ilvl="0" w:tplc="F2F652F6">
      <w:start w:val="1"/>
      <w:numFmt w:val="bullet"/>
      <w:lvlText w:val="•"/>
      <w:lvlJc w:val="left"/>
      <w:pPr>
        <w:ind w:left="36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050E65AE">
      <w:start w:val="1"/>
      <w:numFmt w:val="bullet"/>
      <w:lvlRestart w:val="0"/>
      <w:lvlText w:val="o"/>
      <w:lvlJc w:val="left"/>
      <w:pPr>
        <w:ind w:left="1469"/>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2E9446A6">
      <w:start w:val="1"/>
      <w:numFmt w:val="bullet"/>
      <w:lvlText w:val="▪"/>
      <w:lvlJc w:val="left"/>
      <w:pPr>
        <w:ind w:left="2184"/>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C0C01040">
      <w:start w:val="1"/>
      <w:numFmt w:val="bullet"/>
      <w:lvlText w:val="•"/>
      <w:lvlJc w:val="left"/>
      <w:pPr>
        <w:ind w:left="2904"/>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EA2C1986">
      <w:start w:val="1"/>
      <w:numFmt w:val="bullet"/>
      <w:lvlText w:val="o"/>
      <w:lvlJc w:val="left"/>
      <w:pPr>
        <w:ind w:left="3624"/>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A2D0AEAC">
      <w:start w:val="1"/>
      <w:numFmt w:val="bullet"/>
      <w:lvlText w:val="▪"/>
      <w:lvlJc w:val="left"/>
      <w:pPr>
        <w:ind w:left="4344"/>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91642A76">
      <w:start w:val="1"/>
      <w:numFmt w:val="bullet"/>
      <w:lvlText w:val="•"/>
      <w:lvlJc w:val="left"/>
      <w:pPr>
        <w:ind w:left="5064"/>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71845F94">
      <w:start w:val="1"/>
      <w:numFmt w:val="bullet"/>
      <w:lvlText w:val="o"/>
      <w:lvlJc w:val="left"/>
      <w:pPr>
        <w:ind w:left="5784"/>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34AAC920">
      <w:start w:val="1"/>
      <w:numFmt w:val="bullet"/>
      <w:lvlText w:val="▪"/>
      <w:lvlJc w:val="left"/>
      <w:pPr>
        <w:ind w:left="6504"/>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103749A4"/>
    <w:multiLevelType w:val="hybridMultilevel"/>
    <w:tmpl w:val="B9822F24"/>
    <w:lvl w:ilvl="0" w:tplc="8BBE5B2A">
      <w:start w:val="1"/>
      <w:numFmt w:val="decimal"/>
      <w:lvlText w:val="%1."/>
      <w:lvlJc w:val="left"/>
      <w:pPr>
        <w:ind w:left="1287" w:hanging="720"/>
      </w:pPr>
      <w:rPr>
        <w:rFonts w:hint="default"/>
      </w:rPr>
    </w:lvl>
    <w:lvl w:ilvl="1" w:tplc="04050019" w:tentative="1">
      <w:start w:val="1"/>
      <w:numFmt w:val="lowerLetter"/>
      <w:lvlText w:val="%2."/>
      <w:lvlJc w:val="left"/>
      <w:pPr>
        <w:ind w:left="1647" w:hanging="360"/>
      </w:pPr>
    </w:lvl>
    <w:lvl w:ilvl="2" w:tplc="0405001B" w:tentative="1">
      <w:start w:val="1"/>
      <w:numFmt w:val="lowerRoman"/>
      <w:lvlText w:val="%3."/>
      <w:lvlJc w:val="right"/>
      <w:pPr>
        <w:ind w:left="2367" w:hanging="180"/>
      </w:pPr>
    </w:lvl>
    <w:lvl w:ilvl="3" w:tplc="0405000F" w:tentative="1">
      <w:start w:val="1"/>
      <w:numFmt w:val="decimal"/>
      <w:lvlText w:val="%4."/>
      <w:lvlJc w:val="left"/>
      <w:pPr>
        <w:ind w:left="3087" w:hanging="360"/>
      </w:pPr>
    </w:lvl>
    <w:lvl w:ilvl="4" w:tplc="04050019" w:tentative="1">
      <w:start w:val="1"/>
      <w:numFmt w:val="lowerLetter"/>
      <w:lvlText w:val="%5."/>
      <w:lvlJc w:val="left"/>
      <w:pPr>
        <w:ind w:left="3807" w:hanging="360"/>
      </w:pPr>
    </w:lvl>
    <w:lvl w:ilvl="5" w:tplc="0405001B" w:tentative="1">
      <w:start w:val="1"/>
      <w:numFmt w:val="lowerRoman"/>
      <w:lvlText w:val="%6."/>
      <w:lvlJc w:val="right"/>
      <w:pPr>
        <w:ind w:left="4527" w:hanging="180"/>
      </w:pPr>
    </w:lvl>
    <w:lvl w:ilvl="6" w:tplc="0405000F" w:tentative="1">
      <w:start w:val="1"/>
      <w:numFmt w:val="decimal"/>
      <w:lvlText w:val="%7."/>
      <w:lvlJc w:val="left"/>
      <w:pPr>
        <w:ind w:left="5247" w:hanging="360"/>
      </w:pPr>
    </w:lvl>
    <w:lvl w:ilvl="7" w:tplc="04050019" w:tentative="1">
      <w:start w:val="1"/>
      <w:numFmt w:val="lowerLetter"/>
      <w:lvlText w:val="%8."/>
      <w:lvlJc w:val="left"/>
      <w:pPr>
        <w:ind w:left="5967" w:hanging="360"/>
      </w:pPr>
    </w:lvl>
    <w:lvl w:ilvl="8" w:tplc="0405001B" w:tentative="1">
      <w:start w:val="1"/>
      <w:numFmt w:val="lowerRoman"/>
      <w:lvlText w:val="%9."/>
      <w:lvlJc w:val="right"/>
      <w:pPr>
        <w:ind w:left="6687" w:hanging="180"/>
      </w:pPr>
    </w:lvl>
  </w:abstractNum>
  <w:abstractNum w:abstractNumId="27" w15:restartNumberingAfterBreak="0">
    <w:nsid w:val="107A4116"/>
    <w:multiLevelType w:val="hybridMultilevel"/>
    <w:tmpl w:val="0BD43362"/>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15:restartNumberingAfterBreak="0">
    <w:nsid w:val="10C878FA"/>
    <w:multiLevelType w:val="hybridMultilevel"/>
    <w:tmpl w:val="AC302CB4"/>
    <w:lvl w:ilvl="0" w:tplc="D1A8CC6C">
      <w:numFmt w:val="bullet"/>
      <w:lvlText w:val="-"/>
      <w:lvlJc w:val="left"/>
      <w:pPr>
        <w:ind w:left="1996" w:hanging="360"/>
      </w:pPr>
      <w:rPr>
        <w:rFonts w:ascii="Arial" w:eastAsia="Times New Roman" w:hAnsi="Arial" w:cs="Arial" w:hint="default"/>
      </w:rPr>
    </w:lvl>
    <w:lvl w:ilvl="1" w:tplc="04050003" w:tentative="1">
      <w:start w:val="1"/>
      <w:numFmt w:val="bullet"/>
      <w:lvlText w:val="o"/>
      <w:lvlJc w:val="left"/>
      <w:pPr>
        <w:ind w:left="2716" w:hanging="360"/>
      </w:pPr>
      <w:rPr>
        <w:rFonts w:ascii="Courier New" w:hAnsi="Courier New" w:cs="Courier New" w:hint="default"/>
      </w:rPr>
    </w:lvl>
    <w:lvl w:ilvl="2" w:tplc="04050005" w:tentative="1">
      <w:start w:val="1"/>
      <w:numFmt w:val="bullet"/>
      <w:lvlText w:val=""/>
      <w:lvlJc w:val="left"/>
      <w:pPr>
        <w:ind w:left="3436" w:hanging="360"/>
      </w:pPr>
      <w:rPr>
        <w:rFonts w:ascii="Wingdings" w:hAnsi="Wingdings" w:hint="default"/>
      </w:rPr>
    </w:lvl>
    <w:lvl w:ilvl="3" w:tplc="04050001" w:tentative="1">
      <w:start w:val="1"/>
      <w:numFmt w:val="bullet"/>
      <w:lvlText w:val=""/>
      <w:lvlJc w:val="left"/>
      <w:pPr>
        <w:ind w:left="4156" w:hanging="360"/>
      </w:pPr>
      <w:rPr>
        <w:rFonts w:ascii="Symbol" w:hAnsi="Symbol" w:hint="default"/>
      </w:rPr>
    </w:lvl>
    <w:lvl w:ilvl="4" w:tplc="04050003" w:tentative="1">
      <w:start w:val="1"/>
      <w:numFmt w:val="bullet"/>
      <w:lvlText w:val="o"/>
      <w:lvlJc w:val="left"/>
      <w:pPr>
        <w:ind w:left="4876" w:hanging="360"/>
      </w:pPr>
      <w:rPr>
        <w:rFonts w:ascii="Courier New" w:hAnsi="Courier New" w:cs="Courier New" w:hint="default"/>
      </w:rPr>
    </w:lvl>
    <w:lvl w:ilvl="5" w:tplc="04050005" w:tentative="1">
      <w:start w:val="1"/>
      <w:numFmt w:val="bullet"/>
      <w:lvlText w:val=""/>
      <w:lvlJc w:val="left"/>
      <w:pPr>
        <w:ind w:left="5596" w:hanging="360"/>
      </w:pPr>
      <w:rPr>
        <w:rFonts w:ascii="Wingdings" w:hAnsi="Wingdings" w:hint="default"/>
      </w:rPr>
    </w:lvl>
    <w:lvl w:ilvl="6" w:tplc="04050001" w:tentative="1">
      <w:start w:val="1"/>
      <w:numFmt w:val="bullet"/>
      <w:lvlText w:val=""/>
      <w:lvlJc w:val="left"/>
      <w:pPr>
        <w:ind w:left="6316" w:hanging="360"/>
      </w:pPr>
      <w:rPr>
        <w:rFonts w:ascii="Symbol" w:hAnsi="Symbol" w:hint="default"/>
      </w:rPr>
    </w:lvl>
    <w:lvl w:ilvl="7" w:tplc="04050003" w:tentative="1">
      <w:start w:val="1"/>
      <w:numFmt w:val="bullet"/>
      <w:lvlText w:val="o"/>
      <w:lvlJc w:val="left"/>
      <w:pPr>
        <w:ind w:left="7036" w:hanging="360"/>
      </w:pPr>
      <w:rPr>
        <w:rFonts w:ascii="Courier New" w:hAnsi="Courier New" w:cs="Courier New" w:hint="default"/>
      </w:rPr>
    </w:lvl>
    <w:lvl w:ilvl="8" w:tplc="04050005" w:tentative="1">
      <w:start w:val="1"/>
      <w:numFmt w:val="bullet"/>
      <w:lvlText w:val=""/>
      <w:lvlJc w:val="left"/>
      <w:pPr>
        <w:ind w:left="7756" w:hanging="360"/>
      </w:pPr>
      <w:rPr>
        <w:rFonts w:ascii="Wingdings" w:hAnsi="Wingdings" w:hint="default"/>
      </w:rPr>
    </w:lvl>
  </w:abstractNum>
  <w:abstractNum w:abstractNumId="29" w15:restartNumberingAfterBreak="0">
    <w:nsid w:val="12C65E66"/>
    <w:multiLevelType w:val="hybridMultilevel"/>
    <w:tmpl w:val="93B4D5D8"/>
    <w:lvl w:ilvl="0" w:tplc="F816FD32">
      <w:numFmt w:val="bullet"/>
      <w:lvlText w:val="­"/>
      <w:lvlJc w:val="left"/>
      <w:pPr>
        <w:ind w:left="720" w:hanging="360"/>
      </w:pPr>
      <w:rPr>
        <w:rFonts w:ascii="Arial" w:eastAsia="Times New Roman" w:hAnsi="Arial" w:hint="default"/>
      </w:rPr>
    </w:lvl>
    <w:lvl w:ilvl="1" w:tplc="F816FD32">
      <w:numFmt w:val="bullet"/>
      <w:lvlText w:val="­"/>
      <w:lvlJc w:val="left"/>
      <w:pPr>
        <w:ind w:left="1515" w:hanging="435"/>
      </w:pPr>
      <w:rPr>
        <w:rFonts w:ascii="Arial" w:eastAsia="Times New Roman" w:hAnsi="Arial"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15:restartNumberingAfterBreak="0">
    <w:nsid w:val="14B2330D"/>
    <w:multiLevelType w:val="hybridMultilevel"/>
    <w:tmpl w:val="551C94D6"/>
    <w:lvl w:ilvl="0" w:tplc="04050001">
      <w:start w:val="1"/>
      <w:numFmt w:val="bullet"/>
      <w:lvlText w:val=""/>
      <w:lvlJc w:val="left"/>
      <w:pPr>
        <w:ind w:left="780" w:hanging="360"/>
      </w:pPr>
      <w:rPr>
        <w:rFonts w:ascii="Symbol" w:hAnsi="Symbol" w:hint="default"/>
      </w:rPr>
    </w:lvl>
    <w:lvl w:ilvl="1" w:tplc="04050003" w:tentative="1">
      <w:start w:val="1"/>
      <w:numFmt w:val="bullet"/>
      <w:lvlText w:val="o"/>
      <w:lvlJc w:val="left"/>
      <w:pPr>
        <w:ind w:left="1500" w:hanging="360"/>
      </w:pPr>
      <w:rPr>
        <w:rFonts w:ascii="Courier New" w:hAnsi="Courier New" w:cs="Courier New" w:hint="default"/>
      </w:rPr>
    </w:lvl>
    <w:lvl w:ilvl="2" w:tplc="04050005" w:tentative="1">
      <w:start w:val="1"/>
      <w:numFmt w:val="bullet"/>
      <w:lvlText w:val=""/>
      <w:lvlJc w:val="left"/>
      <w:pPr>
        <w:ind w:left="2220" w:hanging="360"/>
      </w:pPr>
      <w:rPr>
        <w:rFonts w:ascii="Wingdings" w:hAnsi="Wingdings" w:hint="default"/>
      </w:rPr>
    </w:lvl>
    <w:lvl w:ilvl="3" w:tplc="04050001" w:tentative="1">
      <w:start w:val="1"/>
      <w:numFmt w:val="bullet"/>
      <w:lvlText w:val=""/>
      <w:lvlJc w:val="left"/>
      <w:pPr>
        <w:ind w:left="2940" w:hanging="360"/>
      </w:pPr>
      <w:rPr>
        <w:rFonts w:ascii="Symbol" w:hAnsi="Symbol" w:hint="default"/>
      </w:rPr>
    </w:lvl>
    <w:lvl w:ilvl="4" w:tplc="04050003" w:tentative="1">
      <w:start w:val="1"/>
      <w:numFmt w:val="bullet"/>
      <w:lvlText w:val="o"/>
      <w:lvlJc w:val="left"/>
      <w:pPr>
        <w:ind w:left="3660" w:hanging="360"/>
      </w:pPr>
      <w:rPr>
        <w:rFonts w:ascii="Courier New" w:hAnsi="Courier New" w:cs="Courier New" w:hint="default"/>
      </w:rPr>
    </w:lvl>
    <w:lvl w:ilvl="5" w:tplc="04050005" w:tentative="1">
      <w:start w:val="1"/>
      <w:numFmt w:val="bullet"/>
      <w:lvlText w:val=""/>
      <w:lvlJc w:val="left"/>
      <w:pPr>
        <w:ind w:left="4380" w:hanging="360"/>
      </w:pPr>
      <w:rPr>
        <w:rFonts w:ascii="Wingdings" w:hAnsi="Wingdings" w:hint="default"/>
      </w:rPr>
    </w:lvl>
    <w:lvl w:ilvl="6" w:tplc="04050001" w:tentative="1">
      <w:start w:val="1"/>
      <w:numFmt w:val="bullet"/>
      <w:lvlText w:val=""/>
      <w:lvlJc w:val="left"/>
      <w:pPr>
        <w:ind w:left="5100" w:hanging="360"/>
      </w:pPr>
      <w:rPr>
        <w:rFonts w:ascii="Symbol" w:hAnsi="Symbol" w:hint="default"/>
      </w:rPr>
    </w:lvl>
    <w:lvl w:ilvl="7" w:tplc="04050003" w:tentative="1">
      <w:start w:val="1"/>
      <w:numFmt w:val="bullet"/>
      <w:lvlText w:val="o"/>
      <w:lvlJc w:val="left"/>
      <w:pPr>
        <w:ind w:left="5820" w:hanging="360"/>
      </w:pPr>
      <w:rPr>
        <w:rFonts w:ascii="Courier New" w:hAnsi="Courier New" w:cs="Courier New" w:hint="default"/>
      </w:rPr>
    </w:lvl>
    <w:lvl w:ilvl="8" w:tplc="04050005" w:tentative="1">
      <w:start w:val="1"/>
      <w:numFmt w:val="bullet"/>
      <w:lvlText w:val=""/>
      <w:lvlJc w:val="left"/>
      <w:pPr>
        <w:ind w:left="6540" w:hanging="360"/>
      </w:pPr>
      <w:rPr>
        <w:rFonts w:ascii="Wingdings" w:hAnsi="Wingdings" w:hint="default"/>
      </w:rPr>
    </w:lvl>
  </w:abstractNum>
  <w:abstractNum w:abstractNumId="31" w15:restartNumberingAfterBreak="0">
    <w:nsid w:val="16085354"/>
    <w:multiLevelType w:val="hybridMultilevel"/>
    <w:tmpl w:val="F2FE7DF6"/>
    <w:lvl w:ilvl="0" w:tplc="F816FD32">
      <w:numFmt w:val="bullet"/>
      <w:lvlText w:val="­"/>
      <w:lvlJc w:val="left"/>
      <w:pPr>
        <w:ind w:left="720" w:hanging="360"/>
      </w:pPr>
      <w:rPr>
        <w:rFonts w:ascii="Arial" w:eastAsia="Times New Roman" w:hAnsi="Arial" w:hint="default"/>
      </w:rPr>
    </w:lvl>
    <w:lvl w:ilvl="1" w:tplc="F816FD32">
      <w:numFmt w:val="bullet"/>
      <w:lvlText w:val="­"/>
      <w:lvlJc w:val="left"/>
      <w:pPr>
        <w:ind w:left="1440" w:hanging="360"/>
      </w:pPr>
      <w:rPr>
        <w:rFonts w:ascii="Arial" w:eastAsia="Times New Roman" w:hAnsi="Arial" w:hint="default"/>
      </w:rPr>
    </w:lvl>
    <w:lvl w:ilvl="2" w:tplc="CC94D278">
      <w:start w:val="3"/>
      <w:numFmt w:val="bullet"/>
      <w:lvlText w:val="-"/>
      <w:lvlJc w:val="left"/>
      <w:pPr>
        <w:ind w:left="2160" w:hanging="360"/>
      </w:pPr>
      <w:rPr>
        <w:rFonts w:ascii="Arial" w:eastAsia="Times New Roman" w:hAnsi="Arial" w:cs="Arial"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15:restartNumberingAfterBreak="0">
    <w:nsid w:val="167837F1"/>
    <w:multiLevelType w:val="hybridMultilevel"/>
    <w:tmpl w:val="AF06F75C"/>
    <w:lvl w:ilvl="0" w:tplc="3BD840A0">
      <w:start w:val="1"/>
      <w:numFmt w:val="lowerLetter"/>
      <w:lvlText w:val="%1)"/>
      <w:lvlJc w:val="left"/>
      <w:pPr>
        <w:ind w:left="360" w:hanging="360"/>
      </w:pPr>
      <w:rPr>
        <w:rFonts w:ascii="Times New Roman" w:eastAsia="Times New Roman" w:hAnsi="Times New Roman" w:cs="Times New Roman"/>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33" w15:restartNumberingAfterBreak="0">
    <w:nsid w:val="19877D13"/>
    <w:multiLevelType w:val="hybridMultilevel"/>
    <w:tmpl w:val="14CAFDC4"/>
    <w:lvl w:ilvl="0" w:tplc="57167D7E">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57167D7E">
      <w:start w:val="1"/>
      <w:numFmt w:val="bullet"/>
      <w:lvlText w:val=""/>
      <w:lvlJc w:val="left"/>
      <w:pPr>
        <w:ind w:left="2160" w:hanging="360"/>
      </w:pPr>
      <w:rPr>
        <w:rFonts w:ascii="Symbol" w:hAnsi="Symbol"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 w15:restartNumberingAfterBreak="0">
    <w:nsid w:val="1991122F"/>
    <w:multiLevelType w:val="hybridMultilevel"/>
    <w:tmpl w:val="AA1EB42C"/>
    <w:lvl w:ilvl="0" w:tplc="D084D772">
      <w:numFmt w:val="bullet"/>
      <w:lvlText w:val="*"/>
      <w:lvlJc w:val="left"/>
      <w:pPr>
        <w:ind w:left="1296" w:hanging="360"/>
      </w:pPr>
      <w:rPr>
        <w:rFonts w:ascii="Arial" w:eastAsia="Times New Roman" w:hAnsi="Arial" w:hint="default"/>
      </w:rPr>
    </w:lvl>
    <w:lvl w:ilvl="1" w:tplc="04050003" w:tentative="1">
      <w:start w:val="1"/>
      <w:numFmt w:val="bullet"/>
      <w:lvlText w:val="o"/>
      <w:lvlJc w:val="left"/>
      <w:pPr>
        <w:ind w:left="2016" w:hanging="360"/>
      </w:pPr>
      <w:rPr>
        <w:rFonts w:ascii="Courier New" w:hAnsi="Courier New" w:cs="Courier New" w:hint="default"/>
      </w:rPr>
    </w:lvl>
    <w:lvl w:ilvl="2" w:tplc="04050005" w:tentative="1">
      <w:start w:val="1"/>
      <w:numFmt w:val="bullet"/>
      <w:lvlText w:val=""/>
      <w:lvlJc w:val="left"/>
      <w:pPr>
        <w:ind w:left="2736" w:hanging="360"/>
      </w:pPr>
      <w:rPr>
        <w:rFonts w:ascii="Wingdings" w:hAnsi="Wingdings" w:hint="default"/>
      </w:rPr>
    </w:lvl>
    <w:lvl w:ilvl="3" w:tplc="04050001" w:tentative="1">
      <w:start w:val="1"/>
      <w:numFmt w:val="bullet"/>
      <w:lvlText w:val=""/>
      <w:lvlJc w:val="left"/>
      <w:pPr>
        <w:ind w:left="3456" w:hanging="360"/>
      </w:pPr>
      <w:rPr>
        <w:rFonts w:ascii="Symbol" w:hAnsi="Symbol" w:hint="default"/>
      </w:rPr>
    </w:lvl>
    <w:lvl w:ilvl="4" w:tplc="04050003" w:tentative="1">
      <w:start w:val="1"/>
      <w:numFmt w:val="bullet"/>
      <w:lvlText w:val="o"/>
      <w:lvlJc w:val="left"/>
      <w:pPr>
        <w:ind w:left="4176" w:hanging="360"/>
      </w:pPr>
      <w:rPr>
        <w:rFonts w:ascii="Courier New" w:hAnsi="Courier New" w:cs="Courier New" w:hint="default"/>
      </w:rPr>
    </w:lvl>
    <w:lvl w:ilvl="5" w:tplc="04050005" w:tentative="1">
      <w:start w:val="1"/>
      <w:numFmt w:val="bullet"/>
      <w:lvlText w:val=""/>
      <w:lvlJc w:val="left"/>
      <w:pPr>
        <w:ind w:left="4896" w:hanging="360"/>
      </w:pPr>
      <w:rPr>
        <w:rFonts w:ascii="Wingdings" w:hAnsi="Wingdings" w:hint="default"/>
      </w:rPr>
    </w:lvl>
    <w:lvl w:ilvl="6" w:tplc="04050001" w:tentative="1">
      <w:start w:val="1"/>
      <w:numFmt w:val="bullet"/>
      <w:lvlText w:val=""/>
      <w:lvlJc w:val="left"/>
      <w:pPr>
        <w:ind w:left="5616" w:hanging="360"/>
      </w:pPr>
      <w:rPr>
        <w:rFonts w:ascii="Symbol" w:hAnsi="Symbol" w:hint="default"/>
      </w:rPr>
    </w:lvl>
    <w:lvl w:ilvl="7" w:tplc="04050003" w:tentative="1">
      <w:start w:val="1"/>
      <w:numFmt w:val="bullet"/>
      <w:lvlText w:val="o"/>
      <w:lvlJc w:val="left"/>
      <w:pPr>
        <w:ind w:left="6336" w:hanging="360"/>
      </w:pPr>
      <w:rPr>
        <w:rFonts w:ascii="Courier New" w:hAnsi="Courier New" w:cs="Courier New" w:hint="default"/>
      </w:rPr>
    </w:lvl>
    <w:lvl w:ilvl="8" w:tplc="04050005" w:tentative="1">
      <w:start w:val="1"/>
      <w:numFmt w:val="bullet"/>
      <w:lvlText w:val=""/>
      <w:lvlJc w:val="left"/>
      <w:pPr>
        <w:ind w:left="7056" w:hanging="360"/>
      </w:pPr>
      <w:rPr>
        <w:rFonts w:ascii="Wingdings" w:hAnsi="Wingdings" w:hint="default"/>
      </w:rPr>
    </w:lvl>
  </w:abstractNum>
  <w:abstractNum w:abstractNumId="35" w15:restartNumberingAfterBreak="0">
    <w:nsid w:val="19DA07C7"/>
    <w:multiLevelType w:val="hybridMultilevel"/>
    <w:tmpl w:val="7CD43F04"/>
    <w:lvl w:ilvl="0" w:tplc="04050001">
      <w:start w:val="1"/>
      <w:numFmt w:val="bullet"/>
      <w:lvlText w:val=""/>
      <w:lvlJc w:val="left"/>
      <w:pPr>
        <w:ind w:left="1286" w:hanging="360"/>
      </w:pPr>
      <w:rPr>
        <w:rFonts w:ascii="Symbol" w:hAnsi="Symbol" w:hint="default"/>
      </w:rPr>
    </w:lvl>
    <w:lvl w:ilvl="1" w:tplc="04050003" w:tentative="1">
      <w:start w:val="1"/>
      <w:numFmt w:val="bullet"/>
      <w:lvlText w:val="o"/>
      <w:lvlJc w:val="left"/>
      <w:pPr>
        <w:ind w:left="2006" w:hanging="360"/>
      </w:pPr>
      <w:rPr>
        <w:rFonts w:ascii="Courier New" w:hAnsi="Courier New" w:cs="Courier New" w:hint="default"/>
      </w:rPr>
    </w:lvl>
    <w:lvl w:ilvl="2" w:tplc="04050005" w:tentative="1">
      <w:start w:val="1"/>
      <w:numFmt w:val="bullet"/>
      <w:lvlText w:val=""/>
      <w:lvlJc w:val="left"/>
      <w:pPr>
        <w:ind w:left="2726" w:hanging="360"/>
      </w:pPr>
      <w:rPr>
        <w:rFonts w:ascii="Wingdings" w:hAnsi="Wingdings" w:hint="default"/>
      </w:rPr>
    </w:lvl>
    <w:lvl w:ilvl="3" w:tplc="04050001" w:tentative="1">
      <w:start w:val="1"/>
      <w:numFmt w:val="bullet"/>
      <w:lvlText w:val=""/>
      <w:lvlJc w:val="left"/>
      <w:pPr>
        <w:ind w:left="3446" w:hanging="360"/>
      </w:pPr>
      <w:rPr>
        <w:rFonts w:ascii="Symbol" w:hAnsi="Symbol" w:hint="default"/>
      </w:rPr>
    </w:lvl>
    <w:lvl w:ilvl="4" w:tplc="04050003" w:tentative="1">
      <w:start w:val="1"/>
      <w:numFmt w:val="bullet"/>
      <w:lvlText w:val="o"/>
      <w:lvlJc w:val="left"/>
      <w:pPr>
        <w:ind w:left="4166" w:hanging="360"/>
      </w:pPr>
      <w:rPr>
        <w:rFonts w:ascii="Courier New" w:hAnsi="Courier New" w:cs="Courier New" w:hint="default"/>
      </w:rPr>
    </w:lvl>
    <w:lvl w:ilvl="5" w:tplc="04050005" w:tentative="1">
      <w:start w:val="1"/>
      <w:numFmt w:val="bullet"/>
      <w:lvlText w:val=""/>
      <w:lvlJc w:val="left"/>
      <w:pPr>
        <w:ind w:left="4886" w:hanging="360"/>
      </w:pPr>
      <w:rPr>
        <w:rFonts w:ascii="Wingdings" w:hAnsi="Wingdings" w:hint="default"/>
      </w:rPr>
    </w:lvl>
    <w:lvl w:ilvl="6" w:tplc="04050001" w:tentative="1">
      <w:start w:val="1"/>
      <w:numFmt w:val="bullet"/>
      <w:lvlText w:val=""/>
      <w:lvlJc w:val="left"/>
      <w:pPr>
        <w:ind w:left="5606" w:hanging="360"/>
      </w:pPr>
      <w:rPr>
        <w:rFonts w:ascii="Symbol" w:hAnsi="Symbol" w:hint="default"/>
      </w:rPr>
    </w:lvl>
    <w:lvl w:ilvl="7" w:tplc="04050003" w:tentative="1">
      <w:start w:val="1"/>
      <w:numFmt w:val="bullet"/>
      <w:lvlText w:val="o"/>
      <w:lvlJc w:val="left"/>
      <w:pPr>
        <w:ind w:left="6326" w:hanging="360"/>
      </w:pPr>
      <w:rPr>
        <w:rFonts w:ascii="Courier New" w:hAnsi="Courier New" w:cs="Courier New" w:hint="default"/>
      </w:rPr>
    </w:lvl>
    <w:lvl w:ilvl="8" w:tplc="04050005" w:tentative="1">
      <w:start w:val="1"/>
      <w:numFmt w:val="bullet"/>
      <w:lvlText w:val=""/>
      <w:lvlJc w:val="left"/>
      <w:pPr>
        <w:ind w:left="7046" w:hanging="360"/>
      </w:pPr>
      <w:rPr>
        <w:rFonts w:ascii="Wingdings" w:hAnsi="Wingdings" w:hint="default"/>
      </w:rPr>
    </w:lvl>
  </w:abstractNum>
  <w:abstractNum w:abstractNumId="36" w15:restartNumberingAfterBreak="0">
    <w:nsid w:val="1A845DE3"/>
    <w:multiLevelType w:val="hybridMultilevel"/>
    <w:tmpl w:val="9C8890CC"/>
    <w:lvl w:ilvl="0" w:tplc="5CC69E7C">
      <w:start w:val="1"/>
      <w:numFmt w:val="lowerLetter"/>
      <w:lvlText w:val="%1)"/>
      <w:lvlJc w:val="left"/>
      <w:pPr>
        <w:ind w:left="360" w:hanging="360"/>
      </w:pPr>
      <w:rPr>
        <w:rFonts w:ascii="Times New Roman" w:eastAsia="Times New Roman" w:hAnsi="Times New Roman" w:cs="Times New Roman"/>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37" w15:restartNumberingAfterBreak="0">
    <w:nsid w:val="1ACF3CCF"/>
    <w:multiLevelType w:val="hybridMultilevel"/>
    <w:tmpl w:val="3E04B44E"/>
    <w:lvl w:ilvl="0" w:tplc="D084D772">
      <w:numFmt w:val="bullet"/>
      <w:lvlText w:val="*"/>
      <w:lvlJc w:val="left"/>
      <w:pPr>
        <w:ind w:left="720" w:hanging="360"/>
      </w:pPr>
      <w:rPr>
        <w:rFonts w:ascii="Arial" w:eastAsia="Times New Roman" w:hAnsi="Aria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 w15:restartNumberingAfterBreak="0">
    <w:nsid w:val="1AE04600"/>
    <w:multiLevelType w:val="hybridMultilevel"/>
    <w:tmpl w:val="46D6F86C"/>
    <w:lvl w:ilvl="0" w:tplc="1F8C977E">
      <w:start w:val="1"/>
      <w:numFmt w:val="lowerLetter"/>
      <w:lvlText w:val="%1)"/>
      <w:lvlJc w:val="left"/>
      <w:pPr>
        <w:ind w:left="1294" w:hanging="375"/>
      </w:pPr>
      <w:rPr>
        <w:rFonts w:hint="default"/>
      </w:rPr>
    </w:lvl>
    <w:lvl w:ilvl="1" w:tplc="04050019" w:tentative="1">
      <w:start w:val="1"/>
      <w:numFmt w:val="lowerLetter"/>
      <w:lvlText w:val="%2."/>
      <w:lvlJc w:val="left"/>
      <w:pPr>
        <w:ind w:left="1999" w:hanging="360"/>
      </w:pPr>
    </w:lvl>
    <w:lvl w:ilvl="2" w:tplc="0405001B" w:tentative="1">
      <w:start w:val="1"/>
      <w:numFmt w:val="lowerRoman"/>
      <w:lvlText w:val="%3."/>
      <w:lvlJc w:val="right"/>
      <w:pPr>
        <w:ind w:left="2719" w:hanging="180"/>
      </w:pPr>
    </w:lvl>
    <w:lvl w:ilvl="3" w:tplc="0405000F" w:tentative="1">
      <w:start w:val="1"/>
      <w:numFmt w:val="decimal"/>
      <w:lvlText w:val="%4."/>
      <w:lvlJc w:val="left"/>
      <w:pPr>
        <w:ind w:left="3439" w:hanging="360"/>
      </w:pPr>
    </w:lvl>
    <w:lvl w:ilvl="4" w:tplc="04050019" w:tentative="1">
      <w:start w:val="1"/>
      <w:numFmt w:val="lowerLetter"/>
      <w:lvlText w:val="%5."/>
      <w:lvlJc w:val="left"/>
      <w:pPr>
        <w:ind w:left="4159" w:hanging="360"/>
      </w:pPr>
    </w:lvl>
    <w:lvl w:ilvl="5" w:tplc="0405001B" w:tentative="1">
      <w:start w:val="1"/>
      <w:numFmt w:val="lowerRoman"/>
      <w:lvlText w:val="%6."/>
      <w:lvlJc w:val="right"/>
      <w:pPr>
        <w:ind w:left="4879" w:hanging="180"/>
      </w:pPr>
    </w:lvl>
    <w:lvl w:ilvl="6" w:tplc="0405000F" w:tentative="1">
      <w:start w:val="1"/>
      <w:numFmt w:val="decimal"/>
      <w:lvlText w:val="%7."/>
      <w:lvlJc w:val="left"/>
      <w:pPr>
        <w:ind w:left="5599" w:hanging="360"/>
      </w:pPr>
    </w:lvl>
    <w:lvl w:ilvl="7" w:tplc="04050019" w:tentative="1">
      <w:start w:val="1"/>
      <w:numFmt w:val="lowerLetter"/>
      <w:lvlText w:val="%8."/>
      <w:lvlJc w:val="left"/>
      <w:pPr>
        <w:ind w:left="6319" w:hanging="360"/>
      </w:pPr>
    </w:lvl>
    <w:lvl w:ilvl="8" w:tplc="0405001B" w:tentative="1">
      <w:start w:val="1"/>
      <w:numFmt w:val="lowerRoman"/>
      <w:lvlText w:val="%9."/>
      <w:lvlJc w:val="right"/>
      <w:pPr>
        <w:ind w:left="7039" w:hanging="180"/>
      </w:pPr>
    </w:lvl>
  </w:abstractNum>
  <w:abstractNum w:abstractNumId="39" w15:restartNumberingAfterBreak="0">
    <w:nsid w:val="1B24587D"/>
    <w:multiLevelType w:val="hybridMultilevel"/>
    <w:tmpl w:val="17402F5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 w15:restartNumberingAfterBreak="0">
    <w:nsid w:val="1BBD553C"/>
    <w:multiLevelType w:val="hybridMultilevel"/>
    <w:tmpl w:val="3D1E10D4"/>
    <w:lvl w:ilvl="0" w:tplc="E2F8F3F0">
      <w:start w:val="1"/>
      <w:numFmt w:val="bullet"/>
      <w:lvlText w:val=""/>
      <w:lvlJc w:val="left"/>
      <w:pPr>
        <w:ind w:left="1298" w:hanging="360"/>
      </w:pPr>
      <w:rPr>
        <w:rFonts w:ascii="Symbol" w:hAnsi="Symbol" w:hint="default"/>
      </w:rPr>
    </w:lvl>
    <w:lvl w:ilvl="1" w:tplc="04050003" w:tentative="1">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41" w15:restartNumberingAfterBreak="0">
    <w:nsid w:val="1BBD68B7"/>
    <w:multiLevelType w:val="hybridMultilevel"/>
    <w:tmpl w:val="C2780798"/>
    <w:lvl w:ilvl="0" w:tplc="F816FD32">
      <w:numFmt w:val="bullet"/>
      <w:lvlText w:val="­"/>
      <w:lvlJc w:val="left"/>
      <w:pPr>
        <w:ind w:left="1429" w:hanging="360"/>
      </w:pPr>
      <w:rPr>
        <w:rFonts w:ascii="Arial" w:eastAsia="Times New Roman" w:hAnsi="Arial" w:hint="default"/>
      </w:rPr>
    </w:lvl>
    <w:lvl w:ilvl="1" w:tplc="04050003" w:tentative="1">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42" w15:restartNumberingAfterBreak="0">
    <w:nsid w:val="1C757130"/>
    <w:multiLevelType w:val="hybridMultilevel"/>
    <w:tmpl w:val="377CE7B2"/>
    <w:lvl w:ilvl="0" w:tplc="04050017">
      <w:start w:val="1"/>
      <w:numFmt w:val="lowerLetter"/>
      <w:lvlText w:val="%1)"/>
      <w:lvlJc w:val="left"/>
      <w:pPr>
        <w:ind w:left="1294" w:hanging="375"/>
      </w:pPr>
      <w:rPr>
        <w:rFonts w:hint="default"/>
      </w:rPr>
    </w:lvl>
    <w:lvl w:ilvl="1" w:tplc="04050019" w:tentative="1">
      <w:start w:val="1"/>
      <w:numFmt w:val="lowerLetter"/>
      <w:lvlText w:val="%2."/>
      <w:lvlJc w:val="left"/>
      <w:pPr>
        <w:ind w:left="1999" w:hanging="360"/>
      </w:pPr>
    </w:lvl>
    <w:lvl w:ilvl="2" w:tplc="0405001B" w:tentative="1">
      <w:start w:val="1"/>
      <w:numFmt w:val="lowerRoman"/>
      <w:lvlText w:val="%3."/>
      <w:lvlJc w:val="right"/>
      <w:pPr>
        <w:ind w:left="2719" w:hanging="180"/>
      </w:pPr>
    </w:lvl>
    <w:lvl w:ilvl="3" w:tplc="0405000F" w:tentative="1">
      <w:start w:val="1"/>
      <w:numFmt w:val="decimal"/>
      <w:lvlText w:val="%4."/>
      <w:lvlJc w:val="left"/>
      <w:pPr>
        <w:ind w:left="3439" w:hanging="360"/>
      </w:pPr>
    </w:lvl>
    <w:lvl w:ilvl="4" w:tplc="04050019" w:tentative="1">
      <w:start w:val="1"/>
      <w:numFmt w:val="lowerLetter"/>
      <w:lvlText w:val="%5."/>
      <w:lvlJc w:val="left"/>
      <w:pPr>
        <w:ind w:left="4159" w:hanging="360"/>
      </w:pPr>
    </w:lvl>
    <w:lvl w:ilvl="5" w:tplc="0405001B" w:tentative="1">
      <w:start w:val="1"/>
      <w:numFmt w:val="lowerRoman"/>
      <w:lvlText w:val="%6."/>
      <w:lvlJc w:val="right"/>
      <w:pPr>
        <w:ind w:left="4879" w:hanging="180"/>
      </w:pPr>
    </w:lvl>
    <w:lvl w:ilvl="6" w:tplc="0405000F" w:tentative="1">
      <w:start w:val="1"/>
      <w:numFmt w:val="decimal"/>
      <w:lvlText w:val="%7."/>
      <w:lvlJc w:val="left"/>
      <w:pPr>
        <w:ind w:left="5599" w:hanging="360"/>
      </w:pPr>
    </w:lvl>
    <w:lvl w:ilvl="7" w:tplc="04050019" w:tentative="1">
      <w:start w:val="1"/>
      <w:numFmt w:val="lowerLetter"/>
      <w:lvlText w:val="%8."/>
      <w:lvlJc w:val="left"/>
      <w:pPr>
        <w:ind w:left="6319" w:hanging="360"/>
      </w:pPr>
    </w:lvl>
    <w:lvl w:ilvl="8" w:tplc="0405001B" w:tentative="1">
      <w:start w:val="1"/>
      <w:numFmt w:val="lowerRoman"/>
      <w:lvlText w:val="%9."/>
      <w:lvlJc w:val="right"/>
      <w:pPr>
        <w:ind w:left="7039" w:hanging="180"/>
      </w:pPr>
    </w:lvl>
  </w:abstractNum>
  <w:abstractNum w:abstractNumId="43" w15:restartNumberingAfterBreak="0">
    <w:nsid w:val="1D2E374C"/>
    <w:multiLevelType w:val="hybridMultilevel"/>
    <w:tmpl w:val="1AFED9FC"/>
    <w:lvl w:ilvl="0" w:tplc="D1A8CC6C">
      <w:numFmt w:val="bullet"/>
      <w:lvlText w:val="-"/>
      <w:lvlJc w:val="left"/>
      <w:pPr>
        <w:ind w:left="1429" w:hanging="360"/>
      </w:pPr>
      <w:rPr>
        <w:rFonts w:ascii="Arial" w:eastAsia="Times New Roman" w:hAnsi="Arial" w:cs="Arial" w:hint="default"/>
      </w:rPr>
    </w:lvl>
    <w:lvl w:ilvl="1" w:tplc="04050003" w:tentative="1">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44" w15:restartNumberingAfterBreak="0">
    <w:nsid w:val="22D16124"/>
    <w:multiLevelType w:val="hybridMultilevel"/>
    <w:tmpl w:val="B582D44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 w15:restartNumberingAfterBreak="0">
    <w:nsid w:val="2304788D"/>
    <w:multiLevelType w:val="hybridMultilevel"/>
    <w:tmpl w:val="3A461308"/>
    <w:lvl w:ilvl="0" w:tplc="BAFAAF96">
      <w:numFmt w:val="bullet"/>
      <w:lvlText w:val="-"/>
      <w:lvlJc w:val="left"/>
      <w:pPr>
        <w:ind w:left="1287" w:hanging="360"/>
      </w:pPr>
      <w:rPr>
        <w:rFonts w:ascii="Arial" w:eastAsia="Times New Roman" w:hAnsi="Arial" w:cs="Arial"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46" w15:restartNumberingAfterBreak="0">
    <w:nsid w:val="23523A5F"/>
    <w:multiLevelType w:val="hybridMultilevel"/>
    <w:tmpl w:val="0B8A1A0A"/>
    <w:lvl w:ilvl="0" w:tplc="D084D772">
      <w:numFmt w:val="bullet"/>
      <w:lvlText w:val="*"/>
      <w:lvlJc w:val="left"/>
      <w:pPr>
        <w:ind w:left="1296" w:hanging="360"/>
      </w:pPr>
      <w:rPr>
        <w:rFonts w:ascii="Arial" w:eastAsia="Times New Roman" w:hAnsi="Arial" w:hint="default"/>
      </w:rPr>
    </w:lvl>
    <w:lvl w:ilvl="1" w:tplc="04050003" w:tentative="1">
      <w:start w:val="1"/>
      <w:numFmt w:val="bullet"/>
      <w:lvlText w:val="o"/>
      <w:lvlJc w:val="left"/>
      <w:pPr>
        <w:ind w:left="2016" w:hanging="360"/>
      </w:pPr>
      <w:rPr>
        <w:rFonts w:ascii="Courier New" w:hAnsi="Courier New" w:cs="Courier New" w:hint="default"/>
      </w:rPr>
    </w:lvl>
    <w:lvl w:ilvl="2" w:tplc="04050005" w:tentative="1">
      <w:start w:val="1"/>
      <w:numFmt w:val="bullet"/>
      <w:lvlText w:val=""/>
      <w:lvlJc w:val="left"/>
      <w:pPr>
        <w:ind w:left="2736" w:hanging="360"/>
      </w:pPr>
      <w:rPr>
        <w:rFonts w:ascii="Wingdings" w:hAnsi="Wingdings" w:hint="default"/>
      </w:rPr>
    </w:lvl>
    <w:lvl w:ilvl="3" w:tplc="04050001" w:tentative="1">
      <w:start w:val="1"/>
      <w:numFmt w:val="bullet"/>
      <w:lvlText w:val=""/>
      <w:lvlJc w:val="left"/>
      <w:pPr>
        <w:ind w:left="3456" w:hanging="360"/>
      </w:pPr>
      <w:rPr>
        <w:rFonts w:ascii="Symbol" w:hAnsi="Symbol" w:hint="default"/>
      </w:rPr>
    </w:lvl>
    <w:lvl w:ilvl="4" w:tplc="04050003" w:tentative="1">
      <w:start w:val="1"/>
      <w:numFmt w:val="bullet"/>
      <w:lvlText w:val="o"/>
      <w:lvlJc w:val="left"/>
      <w:pPr>
        <w:ind w:left="4176" w:hanging="360"/>
      </w:pPr>
      <w:rPr>
        <w:rFonts w:ascii="Courier New" w:hAnsi="Courier New" w:cs="Courier New" w:hint="default"/>
      </w:rPr>
    </w:lvl>
    <w:lvl w:ilvl="5" w:tplc="04050005" w:tentative="1">
      <w:start w:val="1"/>
      <w:numFmt w:val="bullet"/>
      <w:lvlText w:val=""/>
      <w:lvlJc w:val="left"/>
      <w:pPr>
        <w:ind w:left="4896" w:hanging="360"/>
      </w:pPr>
      <w:rPr>
        <w:rFonts w:ascii="Wingdings" w:hAnsi="Wingdings" w:hint="default"/>
      </w:rPr>
    </w:lvl>
    <w:lvl w:ilvl="6" w:tplc="04050001" w:tentative="1">
      <w:start w:val="1"/>
      <w:numFmt w:val="bullet"/>
      <w:lvlText w:val=""/>
      <w:lvlJc w:val="left"/>
      <w:pPr>
        <w:ind w:left="5616" w:hanging="360"/>
      </w:pPr>
      <w:rPr>
        <w:rFonts w:ascii="Symbol" w:hAnsi="Symbol" w:hint="default"/>
      </w:rPr>
    </w:lvl>
    <w:lvl w:ilvl="7" w:tplc="04050003" w:tentative="1">
      <w:start w:val="1"/>
      <w:numFmt w:val="bullet"/>
      <w:lvlText w:val="o"/>
      <w:lvlJc w:val="left"/>
      <w:pPr>
        <w:ind w:left="6336" w:hanging="360"/>
      </w:pPr>
      <w:rPr>
        <w:rFonts w:ascii="Courier New" w:hAnsi="Courier New" w:cs="Courier New" w:hint="default"/>
      </w:rPr>
    </w:lvl>
    <w:lvl w:ilvl="8" w:tplc="04050005" w:tentative="1">
      <w:start w:val="1"/>
      <w:numFmt w:val="bullet"/>
      <w:lvlText w:val=""/>
      <w:lvlJc w:val="left"/>
      <w:pPr>
        <w:ind w:left="7056" w:hanging="360"/>
      </w:pPr>
      <w:rPr>
        <w:rFonts w:ascii="Wingdings" w:hAnsi="Wingdings" w:hint="default"/>
      </w:rPr>
    </w:lvl>
  </w:abstractNum>
  <w:abstractNum w:abstractNumId="47" w15:restartNumberingAfterBreak="0">
    <w:nsid w:val="240F7C08"/>
    <w:multiLevelType w:val="hybridMultilevel"/>
    <w:tmpl w:val="2996BB68"/>
    <w:lvl w:ilvl="0" w:tplc="EA6E05AA">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 w15:restartNumberingAfterBreak="0">
    <w:nsid w:val="24562925"/>
    <w:multiLevelType w:val="hybridMultilevel"/>
    <w:tmpl w:val="46A6AF32"/>
    <w:lvl w:ilvl="0" w:tplc="EA6E05AA">
      <w:start w:val="1"/>
      <w:numFmt w:val="bullet"/>
      <w:lvlText w:val="­"/>
      <w:lvlJc w:val="left"/>
      <w:pPr>
        <w:ind w:left="1211" w:hanging="360"/>
      </w:pPr>
      <w:rPr>
        <w:rFonts w:ascii="Courier New" w:hAnsi="Courier New" w:hint="default"/>
      </w:rPr>
    </w:lvl>
    <w:lvl w:ilvl="1" w:tplc="04050003" w:tentative="1">
      <w:start w:val="1"/>
      <w:numFmt w:val="bullet"/>
      <w:lvlText w:val="o"/>
      <w:lvlJc w:val="left"/>
      <w:pPr>
        <w:ind w:left="1931" w:hanging="360"/>
      </w:pPr>
      <w:rPr>
        <w:rFonts w:ascii="Courier New" w:hAnsi="Courier New" w:cs="Courier New" w:hint="default"/>
      </w:rPr>
    </w:lvl>
    <w:lvl w:ilvl="2" w:tplc="04050005" w:tentative="1">
      <w:start w:val="1"/>
      <w:numFmt w:val="bullet"/>
      <w:lvlText w:val=""/>
      <w:lvlJc w:val="left"/>
      <w:pPr>
        <w:ind w:left="2651" w:hanging="360"/>
      </w:pPr>
      <w:rPr>
        <w:rFonts w:ascii="Wingdings" w:hAnsi="Wingdings" w:hint="default"/>
      </w:rPr>
    </w:lvl>
    <w:lvl w:ilvl="3" w:tplc="04050001" w:tentative="1">
      <w:start w:val="1"/>
      <w:numFmt w:val="bullet"/>
      <w:lvlText w:val=""/>
      <w:lvlJc w:val="left"/>
      <w:pPr>
        <w:ind w:left="3371" w:hanging="360"/>
      </w:pPr>
      <w:rPr>
        <w:rFonts w:ascii="Symbol" w:hAnsi="Symbol" w:hint="default"/>
      </w:rPr>
    </w:lvl>
    <w:lvl w:ilvl="4" w:tplc="04050003" w:tentative="1">
      <w:start w:val="1"/>
      <w:numFmt w:val="bullet"/>
      <w:lvlText w:val="o"/>
      <w:lvlJc w:val="left"/>
      <w:pPr>
        <w:ind w:left="4091" w:hanging="360"/>
      </w:pPr>
      <w:rPr>
        <w:rFonts w:ascii="Courier New" w:hAnsi="Courier New" w:cs="Courier New" w:hint="default"/>
      </w:rPr>
    </w:lvl>
    <w:lvl w:ilvl="5" w:tplc="04050005" w:tentative="1">
      <w:start w:val="1"/>
      <w:numFmt w:val="bullet"/>
      <w:lvlText w:val=""/>
      <w:lvlJc w:val="left"/>
      <w:pPr>
        <w:ind w:left="4811" w:hanging="360"/>
      </w:pPr>
      <w:rPr>
        <w:rFonts w:ascii="Wingdings" w:hAnsi="Wingdings" w:hint="default"/>
      </w:rPr>
    </w:lvl>
    <w:lvl w:ilvl="6" w:tplc="04050001" w:tentative="1">
      <w:start w:val="1"/>
      <w:numFmt w:val="bullet"/>
      <w:lvlText w:val=""/>
      <w:lvlJc w:val="left"/>
      <w:pPr>
        <w:ind w:left="5531" w:hanging="360"/>
      </w:pPr>
      <w:rPr>
        <w:rFonts w:ascii="Symbol" w:hAnsi="Symbol" w:hint="default"/>
      </w:rPr>
    </w:lvl>
    <w:lvl w:ilvl="7" w:tplc="04050003" w:tentative="1">
      <w:start w:val="1"/>
      <w:numFmt w:val="bullet"/>
      <w:lvlText w:val="o"/>
      <w:lvlJc w:val="left"/>
      <w:pPr>
        <w:ind w:left="6251" w:hanging="360"/>
      </w:pPr>
      <w:rPr>
        <w:rFonts w:ascii="Courier New" w:hAnsi="Courier New" w:cs="Courier New" w:hint="default"/>
      </w:rPr>
    </w:lvl>
    <w:lvl w:ilvl="8" w:tplc="04050005" w:tentative="1">
      <w:start w:val="1"/>
      <w:numFmt w:val="bullet"/>
      <w:lvlText w:val=""/>
      <w:lvlJc w:val="left"/>
      <w:pPr>
        <w:ind w:left="6971" w:hanging="360"/>
      </w:pPr>
      <w:rPr>
        <w:rFonts w:ascii="Wingdings" w:hAnsi="Wingdings" w:hint="default"/>
      </w:rPr>
    </w:lvl>
  </w:abstractNum>
  <w:abstractNum w:abstractNumId="49" w15:restartNumberingAfterBreak="0">
    <w:nsid w:val="26042F1B"/>
    <w:multiLevelType w:val="hybridMultilevel"/>
    <w:tmpl w:val="F8268D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0" w15:restartNumberingAfterBreak="0">
    <w:nsid w:val="270475EA"/>
    <w:multiLevelType w:val="hybridMultilevel"/>
    <w:tmpl w:val="46C0AF6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1" w15:restartNumberingAfterBreak="0">
    <w:nsid w:val="27AE070B"/>
    <w:multiLevelType w:val="hybridMultilevel"/>
    <w:tmpl w:val="A5D2ED2A"/>
    <w:lvl w:ilvl="0" w:tplc="F816FD32">
      <w:numFmt w:val="bullet"/>
      <w:lvlText w:val="­"/>
      <w:lvlJc w:val="left"/>
      <w:pPr>
        <w:ind w:left="720" w:hanging="360"/>
      </w:pPr>
      <w:rPr>
        <w:rFonts w:ascii="Arial" w:eastAsia="Times New Roman" w:hAnsi="Arial" w:hint="default"/>
      </w:rPr>
    </w:lvl>
    <w:lvl w:ilvl="1" w:tplc="04050003" w:tentative="1">
      <w:start w:val="1"/>
      <w:numFmt w:val="bullet"/>
      <w:lvlText w:val="o"/>
      <w:lvlJc w:val="left"/>
      <w:pPr>
        <w:ind w:left="1440" w:hanging="360"/>
      </w:pPr>
      <w:rPr>
        <w:rFonts w:ascii="Courier New" w:hAnsi="Courier New" w:cs="Courier New" w:hint="default"/>
      </w:rPr>
    </w:lvl>
    <w:lvl w:ilvl="2" w:tplc="F816FD32">
      <w:numFmt w:val="bullet"/>
      <w:lvlText w:val="­"/>
      <w:lvlJc w:val="left"/>
      <w:pPr>
        <w:ind w:left="2160" w:hanging="360"/>
      </w:pPr>
      <w:rPr>
        <w:rFonts w:ascii="Arial" w:eastAsia="Times New Roman" w:hAnsi="Arial"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2" w15:restartNumberingAfterBreak="0">
    <w:nsid w:val="299C796A"/>
    <w:multiLevelType w:val="hybridMultilevel"/>
    <w:tmpl w:val="106EC6EA"/>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3" w15:restartNumberingAfterBreak="0">
    <w:nsid w:val="29FA17ED"/>
    <w:multiLevelType w:val="hybridMultilevel"/>
    <w:tmpl w:val="4C722B38"/>
    <w:lvl w:ilvl="0" w:tplc="0405000F">
      <w:start w:val="1"/>
      <w:numFmt w:val="decimal"/>
      <w:lvlText w:val="%1."/>
      <w:lvlJc w:val="left"/>
      <w:pPr>
        <w:ind w:left="1287" w:hanging="360"/>
      </w:pPr>
    </w:lvl>
    <w:lvl w:ilvl="1" w:tplc="04050019" w:tentative="1">
      <w:start w:val="1"/>
      <w:numFmt w:val="lowerLetter"/>
      <w:lvlText w:val="%2."/>
      <w:lvlJc w:val="left"/>
      <w:pPr>
        <w:ind w:left="2007" w:hanging="360"/>
      </w:pPr>
    </w:lvl>
    <w:lvl w:ilvl="2" w:tplc="0405001B" w:tentative="1">
      <w:start w:val="1"/>
      <w:numFmt w:val="lowerRoman"/>
      <w:lvlText w:val="%3."/>
      <w:lvlJc w:val="right"/>
      <w:pPr>
        <w:ind w:left="2727" w:hanging="180"/>
      </w:pPr>
    </w:lvl>
    <w:lvl w:ilvl="3" w:tplc="0405000F" w:tentative="1">
      <w:start w:val="1"/>
      <w:numFmt w:val="decimal"/>
      <w:lvlText w:val="%4."/>
      <w:lvlJc w:val="left"/>
      <w:pPr>
        <w:ind w:left="3447" w:hanging="360"/>
      </w:pPr>
    </w:lvl>
    <w:lvl w:ilvl="4" w:tplc="04050019" w:tentative="1">
      <w:start w:val="1"/>
      <w:numFmt w:val="lowerLetter"/>
      <w:lvlText w:val="%5."/>
      <w:lvlJc w:val="left"/>
      <w:pPr>
        <w:ind w:left="4167" w:hanging="360"/>
      </w:pPr>
    </w:lvl>
    <w:lvl w:ilvl="5" w:tplc="0405001B" w:tentative="1">
      <w:start w:val="1"/>
      <w:numFmt w:val="lowerRoman"/>
      <w:lvlText w:val="%6."/>
      <w:lvlJc w:val="right"/>
      <w:pPr>
        <w:ind w:left="4887" w:hanging="180"/>
      </w:pPr>
    </w:lvl>
    <w:lvl w:ilvl="6" w:tplc="0405000F" w:tentative="1">
      <w:start w:val="1"/>
      <w:numFmt w:val="decimal"/>
      <w:lvlText w:val="%7."/>
      <w:lvlJc w:val="left"/>
      <w:pPr>
        <w:ind w:left="5607" w:hanging="360"/>
      </w:pPr>
    </w:lvl>
    <w:lvl w:ilvl="7" w:tplc="04050019" w:tentative="1">
      <w:start w:val="1"/>
      <w:numFmt w:val="lowerLetter"/>
      <w:lvlText w:val="%8."/>
      <w:lvlJc w:val="left"/>
      <w:pPr>
        <w:ind w:left="6327" w:hanging="360"/>
      </w:pPr>
    </w:lvl>
    <w:lvl w:ilvl="8" w:tplc="0405001B" w:tentative="1">
      <w:start w:val="1"/>
      <w:numFmt w:val="lowerRoman"/>
      <w:lvlText w:val="%9."/>
      <w:lvlJc w:val="right"/>
      <w:pPr>
        <w:ind w:left="7047" w:hanging="180"/>
      </w:pPr>
    </w:lvl>
  </w:abstractNum>
  <w:abstractNum w:abstractNumId="54" w15:restartNumberingAfterBreak="0">
    <w:nsid w:val="2AD7443C"/>
    <w:multiLevelType w:val="hybridMultilevel"/>
    <w:tmpl w:val="E72619DC"/>
    <w:lvl w:ilvl="0" w:tplc="D084D772">
      <w:numFmt w:val="bullet"/>
      <w:lvlText w:val="*"/>
      <w:lvlJc w:val="left"/>
      <w:pPr>
        <w:ind w:left="1298" w:hanging="360"/>
      </w:pPr>
      <w:rPr>
        <w:rFonts w:ascii="Arial" w:eastAsia="Times New Roman" w:hAnsi="Arial" w:hint="default"/>
      </w:rPr>
    </w:lvl>
    <w:lvl w:ilvl="1" w:tplc="04050003" w:tentative="1">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55" w15:restartNumberingAfterBreak="0">
    <w:nsid w:val="2B687625"/>
    <w:multiLevelType w:val="hybridMultilevel"/>
    <w:tmpl w:val="0D54B98C"/>
    <w:lvl w:ilvl="0" w:tplc="D084D772">
      <w:numFmt w:val="bullet"/>
      <w:lvlText w:val="*"/>
      <w:lvlJc w:val="left"/>
      <w:pPr>
        <w:ind w:left="1296" w:hanging="360"/>
      </w:pPr>
      <w:rPr>
        <w:rFonts w:ascii="Arial" w:eastAsia="Times New Roman" w:hAnsi="Arial" w:hint="default"/>
      </w:rPr>
    </w:lvl>
    <w:lvl w:ilvl="1" w:tplc="B518E768">
      <w:start w:val="3"/>
      <w:numFmt w:val="bullet"/>
      <w:lvlText w:val=""/>
      <w:lvlJc w:val="left"/>
      <w:pPr>
        <w:ind w:left="2016" w:hanging="360"/>
      </w:pPr>
      <w:rPr>
        <w:rFonts w:ascii="Symbol" w:eastAsia="Times New Roman" w:hAnsi="Symbol" w:cs="Times New Roman" w:hint="default"/>
      </w:rPr>
    </w:lvl>
    <w:lvl w:ilvl="2" w:tplc="04050005" w:tentative="1">
      <w:start w:val="1"/>
      <w:numFmt w:val="bullet"/>
      <w:lvlText w:val=""/>
      <w:lvlJc w:val="left"/>
      <w:pPr>
        <w:ind w:left="2736" w:hanging="360"/>
      </w:pPr>
      <w:rPr>
        <w:rFonts w:ascii="Wingdings" w:hAnsi="Wingdings" w:hint="default"/>
      </w:rPr>
    </w:lvl>
    <w:lvl w:ilvl="3" w:tplc="04050001" w:tentative="1">
      <w:start w:val="1"/>
      <w:numFmt w:val="bullet"/>
      <w:lvlText w:val=""/>
      <w:lvlJc w:val="left"/>
      <w:pPr>
        <w:ind w:left="3456" w:hanging="360"/>
      </w:pPr>
      <w:rPr>
        <w:rFonts w:ascii="Symbol" w:hAnsi="Symbol" w:hint="default"/>
      </w:rPr>
    </w:lvl>
    <w:lvl w:ilvl="4" w:tplc="04050003" w:tentative="1">
      <w:start w:val="1"/>
      <w:numFmt w:val="bullet"/>
      <w:lvlText w:val="o"/>
      <w:lvlJc w:val="left"/>
      <w:pPr>
        <w:ind w:left="4176" w:hanging="360"/>
      </w:pPr>
      <w:rPr>
        <w:rFonts w:ascii="Courier New" w:hAnsi="Courier New" w:cs="Courier New" w:hint="default"/>
      </w:rPr>
    </w:lvl>
    <w:lvl w:ilvl="5" w:tplc="04050005" w:tentative="1">
      <w:start w:val="1"/>
      <w:numFmt w:val="bullet"/>
      <w:lvlText w:val=""/>
      <w:lvlJc w:val="left"/>
      <w:pPr>
        <w:ind w:left="4896" w:hanging="360"/>
      </w:pPr>
      <w:rPr>
        <w:rFonts w:ascii="Wingdings" w:hAnsi="Wingdings" w:hint="default"/>
      </w:rPr>
    </w:lvl>
    <w:lvl w:ilvl="6" w:tplc="04050001" w:tentative="1">
      <w:start w:val="1"/>
      <w:numFmt w:val="bullet"/>
      <w:lvlText w:val=""/>
      <w:lvlJc w:val="left"/>
      <w:pPr>
        <w:ind w:left="5616" w:hanging="360"/>
      </w:pPr>
      <w:rPr>
        <w:rFonts w:ascii="Symbol" w:hAnsi="Symbol" w:hint="default"/>
      </w:rPr>
    </w:lvl>
    <w:lvl w:ilvl="7" w:tplc="04050003" w:tentative="1">
      <w:start w:val="1"/>
      <w:numFmt w:val="bullet"/>
      <w:lvlText w:val="o"/>
      <w:lvlJc w:val="left"/>
      <w:pPr>
        <w:ind w:left="6336" w:hanging="360"/>
      </w:pPr>
      <w:rPr>
        <w:rFonts w:ascii="Courier New" w:hAnsi="Courier New" w:cs="Courier New" w:hint="default"/>
      </w:rPr>
    </w:lvl>
    <w:lvl w:ilvl="8" w:tplc="04050005" w:tentative="1">
      <w:start w:val="1"/>
      <w:numFmt w:val="bullet"/>
      <w:lvlText w:val=""/>
      <w:lvlJc w:val="left"/>
      <w:pPr>
        <w:ind w:left="7056" w:hanging="360"/>
      </w:pPr>
      <w:rPr>
        <w:rFonts w:ascii="Wingdings" w:hAnsi="Wingdings" w:hint="default"/>
      </w:rPr>
    </w:lvl>
  </w:abstractNum>
  <w:abstractNum w:abstractNumId="56" w15:restartNumberingAfterBreak="0">
    <w:nsid w:val="2C347F66"/>
    <w:multiLevelType w:val="hybridMultilevel"/>
    <w:tmpl w:val="63926B1C"/>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7" w15:restartNumberingAfterBreak="0">
    <w:nsid w:val="2D386878"/>
    <w:multiLevelType w:val="hybridMultilevel"/>
    <w:tmpl w:val="78DE5F92"/>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58" w15:restartNumberingAfterBreak="0">
    <w:nsid w:val="2E1F1A59"/>
    <w:multiLevelType w:val="hybridMultilevel"/>
    <w:tmpl w:val="E7040D72"/>
    <w:lvl w:ilvl="0" w:tplc="0405000F">
      <w:start w:val="1"/>
      <w:numFmt w:val="decimal"/>
      <w:lvlText w:val="%1."/>
      <w:lvlJc w:val="left"/>
      <w:pPr>
        <w:ind w:left="1287" w:hanging="360"/>
      </w:pPr>
    </w:lvl>
    <w:lvl w:ilvl="1" w:tplc="04050019" w:tentative="1">
      <w:start w:val="1"/>
      <w:numFmt w:val="lowerLetter"/>
      <w:lvlText w:val="%2."/>
      <w:lvlJc w:val="left"/>
      <w:pPr>
        <w:ind w:left="2007" w:hanging="360"/>
      </w:pPr>
    </w:lvl>
    <w:lvl w:ilvl="2" w:tplc="0405001B" w:tentative="1">
      <w:start w:val="1"/>
      <w:numFmt w:val="lowerRoman"/>
      <w:lvlText w:val="%3."/>
      <w:lvlJc w:val="right"/>
      <w:pPr>
        <w:ind w:left="2727" w:hanging="180"/>
      </w:pPr>
    </w:lvl>
    <w:lvl w:ilvl="3" w:tplc="0405000F" w:tentative="1">
      <w:start w:val="1"/>
      <w:numFmt w:val="decimal"/>
      <w:lvlText w:val="%4."/>
      <w:lvlJc w:val="left"/>
      <w:pPr>
        <w:ind w:left="3447" w:hanging="360"/>
      </w:pPr>
    </w:lvl>
    <w:lvl w:ilvl="4" w:tplc="04050019" w:tentative="1">
      <w:start w:val="1"/>
      <w:numFmt w:val="lowerLetter"/>
      <w:lvlText w:val="%5."/>
      <w:lvlJc w:val="left"/>
      <w:pPr>
        <w:ind w:left="4167" w:hanging="360"/>
      </w:pPr>
    </w:lvl>
    <w:lvl w:ilvl="5" w:tplc="0405001B" w:tentative="1">
      <w:start w:val="1"/>
      <w:numFmt w:val="lowerRoman"/>
      <w:lvlText w:val="%6."/>
      <w:lvlJc w:val="right"/>
      <w:pPr>
        <w:ind w:left="4887" w:hanging="180"/>
      </w:pPr>
    </w:lvl>
    <w:lvl w:ilvl="6" w:tplc="0405000F" w:tentative="1">
      <w:start w:val="1"/>
      <w:numFmt w:val="decimal"/>
      <w:lvlText w:val="%7."/>
      <w:lvlJc w:val="left"/>
      <w:pPr>
        <w:ind w:left="5607" w:hanging="360"/>
      </w:pPr>
    </w:lvl>
    <w:lvl w:ilvl="7" w:tplc="04050019" w:tentative="1">
      <w:start w:val="1"/>
      <w:numFmt w:val="lowerLetter"/>
      <w:lvlText w:val="%8."/>
      <w:lvlJc w:val="left"/>
      <w:pPr>
        <w:ind w:left="6327" w:hanging="360"/>
      </w:pPr>
    </w:lvl>
    <w:lvl w:ilvl="8" w:tplc="0405001B" w:tentative="1">
      <w:start w:val="1"/>
      <w:numFmt w:val="lowerRoman"/>
      <w:lvlText w:val="%9."/>
      <w:lvlJc w:val="right"/>
      <w:pPr>
        <w:ind w:left="7047" w:hanging="180"/>
      </w:pPr>
    </w:lvl>
  </w:abstractNum>
  <w:abstractNum w:abstractNumId="59" w15:restartNumberingAfterBreak="0">
    <w:nsid w:val="2EFB0D6F"/>
    <w:multiLevelType w:val="hybridMultilevel"/>
    <w:tmpl w:val="C7DCEA7C"/>
    <w:lvl w:ilvl="0" w:tplc="F816FD32">
      <w:numFmt w:val="bullet"/>
      <w:lvlText w:val="­"/>
      <w:lvlJc w:val="left"/>
      <w:pPr>
        <w:ind w:left="720" w:hanging="360"/>
      </w:pPr>
      <w:rPr>
        <w:rFonts w:ascii="Arial" w:eastAsia="Times New Roman" w:hAnsi="Arial" w:hint="default"/>
      </w:rPr>
    </w:lvl>
    <w:lvl w:ilvl="1" w:tplc="F816FD32">
      <w:numFmt w:val="bullet"/>
      <w:lvlText w:val="­"/>
      <w:lvlJc w:val="left"/>
      <w:pPr>
        <w:ind w:left="1440" w:hanging="360"/>
      </w:pPr>
      <w:rPr>
        <w:rFonts w:ascii="Arial" w:eastAsia="Times New Roman" w:hAnsi="Arial" w:hint="default"/>
      </w:rPr>
    </w:lvl>
    <w:lvl w:ilvl="2" w:tplc="20B4F42C">
      <w:start w:val="4"/>
      <w:numFmt w:val="bullet"/>
      <w:lvlText w:val=""/>
      <w:lvlJc w:val="left"/>
      <w:pPr>
        <w:ind w:left="2160" w:hanging="360"/>
      </w:pPr>
      <w:rPr>
        <w:rFonts w:ascii="Symbol" w:eastAsia="Times New Roman" w:hAnsi="Symbol" w:cs="Arial"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0" w15:restartNumberingAfterBreak="0">
    <w:nsid w:val="2F365BC5"/>
    <w:multiLevelType w:val="hybridMultilevel"/>
    <w:tmpl w:val="D9DC6694"/>
    <w:lvl w:ilvl="0" w:tplc="E2F8F3F0">
      <w:start w:val="1"/>
      <w:numFmt w:val="bullet"/>
      <w:lvlText w:val=""/>
      <w:lvlJc w:val="left"/>
      <w:pPr>
        <w:ind w:left="1298" w:hanging="360"/>
      </w:pPr>
      <w:rPr>
        <w:rFonts w:ascii="Symbol" w:hAnsi="Symbol" w:hint="default"/>
      </w:rPr>
    </w:lvl>
    <w:lvl w:ilvl="1" w:tplc="04050003" w:tentative="1">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61" w15:restartNumberingAfterBreak="0">
    <w:nsid w:val="2F812690"/>
    <w:multiLevelType w:val="hybridMultilevel"/>
    <w:tmpl w:val="43E2A756"/>
    <w:lvl w:ilvl="0" w:tplc="57167D7E">
      <w:start w:val="1"/>
      <w:numFmt w:val="bullet"/>
      <w:lvlText w:val=""/>
      <w:lvlJc w:val="left"/>
      <w:pPr>
        <w:ind w:left="1287" w:hanging="360"/>
      </w:pPr>
      <w:rPr>
        <w:rFonts w:ascii="Symbol" w:hAnsi="Symbol"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62" w15:restartNumberingAfterBreak="0">
    <w:nsid w:val="316B2369"/>
    <w:multiLevelType w:val="hybridMultilevel"/>
    <w:tmpl w:val="498251D2"/>
    <w:lvl w:ilvl="0" w:tplc="04050017">
      <w:start w:val="1"/>
      <w:numFmt w:val="lowerLetter"/>
      <w:lvlText w:val="%1)"/>
      <w:lvlJc w:val="left"/>
      <w:pPr>
        <w:ind w:left="1428" w:hanging="360"/>
      </w:pPr>
    </w:lvl>
    <w:lvl w:ilvl="1" w:tplc="04050017">
      <w:start w:val="1"/>
      <w:numFmt w:val="lowerLetter"/>
      <w:lvlText w:val="%2)"/>
      <w:lvlJc w:val="left"/>
      <w:pPr>
        <w:ind w:left="2148" w:hanging="360"/>
      </w:pPr>
    </w:lvl>
    <w:lvl w:ilvl="2" w:tplc="0405001B" w:tentative="1">
      <w:start w:val="1"/>
      <w:numFmt w:val="lowerRoman"/>
      <w:lvlText w:val="%3."/>
      <w:lvlJc w:val="right"/>
      <w:pPr>
        <w:ind w:left="2868" w:hanging="180"/>
      </w:pPr>
    </w:lvl>
    <w:lvl w:ilvl="3" w:tplc="0405000F" w:tentative="1">
      <w:start w:val="1"/>
      <w:numFmt w:val="decimal"/>
      <w:lvlText w:val="%4."/>
      <w:lvlJc w:val="left"/>
      <w:pPr>
        <w:ind w:left="3588" w:hanging="360"/>
      </w:pPr>
    </w:lvl>
    <w:lvl w:ilvl="4" w:tplc="04050019" w:tentative="1">
      <w:start w:val="1"/>
      <w:numFmt w:val="lowerLetter"/>
      <w:lvlText w:val="%5."/>
      <w:lvlJc w:val="left"/>
      <w:pPr>
        <w:ind w:left="4308" w:hanging="360"/>
      </w:pPr>
    </w:lvl>
    <w:lvl w:ilvl="5" w:tplc="0405001B" w:tentative="1">
      <w:start w:val="1"/>
      <w:numFmt w:val="lowerRoman"/>
      <w:lvlText w:val="%6."/>
      <w:lvlJc w:val="right"/>
      <w:pPr>
        <w:ind w:left="5028" w:hanging="180"/>
      </w:pPr>
    </w:lvl>
    <w:lvl w:ilvl="6" w:tplc="0405000F" w:tentative="1">
      <w:start w:val="1"/>
      <w:numFmt w:val="decimal"/>
      <w:lvlText w:val="%7."/>
      <w:lvlJc w:val="left"/>
      <w:pPr>
        <w:ind w:left="5748" w:hanging="360"/>
      </w:pPr>
    </w:lvl>
    <w:lvl w:ilvl="7" w:tplc="04050019" w:tentative="1">
      <w:start w:val="1"/>
      <w:numFmt w:val="lowerLetter"/>
      <w:lvlText w:val="%8."/>
      <w:lvlJc w:val="left"/>
      <w:pPr>
        <w:ind w:left="6468" w:hanging="360"/>
      </w:pPr>
    </w:lvl>
    <w:lvl w:ilvl="8" w:tplc="0405001B" w:tentative="1">
      <w:start w:val="1"/>
      <w:numFmt w:val="lowerRoman"/>
      <w:lvlText w:val="%9."/>
      <w:lvlJc w:val="right"/>
      <w:pPr>
        <w:ind w:left="7188" w:hanging="180"/>
      </w:pPr>
    </w:lvl>
  </w:abstractNum>
  <w:abstractNum w:abstractNumId="63" w15:restartNumberingAfterBreak="0">
    <w:nsid w:val="318A36CA"/>
    <w:multiLevelType w:val="hybridMultilevel"/>
    <w:tmpl w:val="41EA4466"/>
    <w:lvl w:ilvl="0" w:tplc="04050001">
      <w:start w:val="1"/>
      <w:numFmt w:val="bullet"/>
      <w:lvlText w:val=""/>
      <w:lvlJc w:val="left"/>
      <w:pPr>
        <w:ind w:left="638"/>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91227344">
      <w:start w:val="1"/>
      <w:numFmt w:val="bullet"/>
      <w:lvlText w:val="o"/>
      <w:lvlJc w:val="left"/>
      <w:pPr>
        <w:ind w:left="171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854EE32">
      <w:start w:val="1"/>
      <w:numFmt w:val="bullet"/>
      <w:lvlText w:val="▪"/>
      <w:lvlJc w:val="left"/>
      <w:pPr>
        <w:ind w:left="24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A4499B8">
      <w:start w:val="1"/>
      <w:numFmt w:val="bullet"/>
      <w:lvlText w:val="•"/>
      <w:lvlJc w:val="left"/>
      <w:pPr>
        <w:ind w:left="31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A0EF522">
      <w:start w:val="1"/>
      <w:numFmt w:val="bullet"/>
      <w:lvlText w:val="o"/>
      <w:lvlJc w:val="left"/>
      <w:pPr>
        <w:ind w:left="38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9CAFC62">
      <w:start w:val="1"/>
      <w:numFmt w:val="bullet"/>
      <w:lvlText w:val="▪"/>
      <w:lvlJc w:val="left"/>
      <w:pPr>
        <w:ind w:left="459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894CB34">
      <w:start w:val="1"/>
      <w:numFmt w:val="bullet"/>
      <w:lvlText w:val="•"/>
      <w:lvlJc w:val="left"/>
      <w:pPr>
        <w:ind w:left="531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9226E2C">
      <w:start w:val="1"/>
      <w:numFmt w:val="bullet"/>
      <w:lvlText w:val="o"/>
      <w:lvlJc w:val="left"/>
      <w:pPr>
        <w:ind w:left="60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B6AF77A">
      <w:start w:val="1"/>
      <w:numFmt w:val="bullet"/>
      <w:lvlText w:val="▪"/>
      <w:lvlJc w:val="left"/>
      <w:pPr>
        <w:ind w:left="67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4" w15:restartNumberingAfterBreak="0">
    <w:nsid w:val="31FA0B3C"/>
    <w:multiLevelType w:val="hybridMultilevel"/>
    <w:tmpl w:val="3A146DC2"/>
    <w:lvl w:ilvl="0" w:tplc="F816FD32">
      <w:numFmt w:val="bullet"/>
      <w:lvlText w:val="­"/>
      <w:lvlJc w:val="left"/>
      <w:pPr>
        <w:ind w:left="1809" w:hanging="360"/>
      </w:pPr>
      <w:rPr>
        <w:rFonts w:ascii="Arial" w:eastAsia="Times New Roman" w:hAnsi="Arial" w:hint="default"/>
      </w:rPr>
    </w:lvl>
    <w:lvl w:ilvl="1" w:tplc="F816FD32">
      <w:numFmt w:val="bullet"/>
      <w:lvlText w:val="­"/>
      <w:lvlJc w:val="left"/>
      <w:pPr>
        <w:ind w:left="2529" w:hanging="360"/>
      </w:pPr>
      <w:rPr>
        <w:rFonts w:ascii="Arial" w:eastAsia="Times New Roman" w:hAnsi="Arial" w:hint="default"/>
      </w:rPr>
    </w:lvl>
    <w:lvl w:ilvl="2" w:tplc="04050005" w:tentative="1">
      <w:start w:val="1"/>
      <w:numFmt w:val="bullet"/>
      <w:lvlText w:val=""/>
      <w:lvlJc w:val="left"/>
      <w:pPr>
        <w:ind w:left="3249" w:hanging="360"/>
      </w:pPr>
      <w:rPr>
        <w:rFonts w:ascii="Wingdings" w:hAnsi="Wingdings" w:hint="default"/>
      </w:rPr>
    </w:lvl>
    <w:lvl w:ilvl="3" w:tplc="04050001" w:tentative="1">
      <w:start w:val="1"/>
      <w:numFmt w:val="bullet"/>
      <w:lvlText w:val=""/>
      <w:lvlJc w:val="left"/>
      <w:pPr>
        <w:ind w:left="3969" w:hanging="360"/>
      </w:pPr>
      <w:rPr>
        <w:rFonts w:ascii="Symbol" w:hAnsi="Symbol" w:hint="default"/>
      </w:rPr>
    </w:lvl>
    <w:lvl w:ilvl="4" w:tplc="04050003" w:tentative="1">
      <w:start w:val="1"/>
      <w:numFmt w:val="bullet"/>
      <w:lvlText w:val="o"/>
      <w:lvlJc w:val="left"/>
      <w:pPr>
        <w:ind w:left="4689" w:hanging="360"/>
      </w:pPr>
      <w:rPr>
        <w:rFonts w:ascii="Courier New" w:hAnsi="Courier New" w:cs="Courier New" w:hint="default"/>
      </w:rPr>
    </w:lvl>
    <w:lvl w:ilvl="5" w:tplc="04050005" w:tentative="1">
      <w:start w:val="1"/>
      <w:numFmt w:val="bullet"/>
      <w:lvlText w:val=""/>
      <w:lvlJc w:val="left"/>
      <w:pPr>
        <w:ind w:left="5409" w:hanging="360"/>
      </w:pPr>
      <w:rPr>
        <w:rFonts w:ascii="Wingdings" w:hAnsi="Wingdings" w:hint="default"/>
      </w:rPr>
    </w:lvl>
    <w:lvl w:ilvl="6" w:tplc="04050001" w:tentative="1">
      <w:start w:val="1"/>
      <w:numFmt w:val="bullet"/>
      <w:lvlText w:val=""/>
      <w:lvlJc w:val="left"/>
      <w:pPr>
        <w:ind w:left="6129" w:hanging="360"/>
      </w:pPr>
      <w:rPr>
        <w:rFonts w:ascii="Symbol" w:hAnsi="Symbol" w:hint="default"/>
      </w:rPr>
    </w:lvl>
    <w:lvl w:ilvl="7" w:tplc="04050003" w:tentative="1">
      <w:start w:val="1"/>
      <w:numFmt w:val="bullet"/>
      <w:lvlText w:val="o"/>
      <w:lvlJc w:val="left"/>
      <w:pPr>
        <w:ind w:left="6849" w:hanging="360"/>
      </w:pPr>
      <w:rPr>
        <w:rFonts w:ascii="Courier New" w:hAnsi="Courier New" w:cs="Courier New" w:hint="default"/>
      </w:rPr>
    </w:lvl>
    <w:lvl w:ilvl="8" w:tplc="04050005" w:tentative="1">
      <w:start w:val="1"/>
      <w:numFmt w:val="bullet"/>
      <w:lvlText w:val=""/>
      <w:lvlJc w:val="left"/>
      <w:pPr>
        <w:ind w:left="7569" w:hanging="360"/>
      </w:pPr>
      <w:rPr>
        <w:rFonts w:ascii="Wingdings" w:hAnsi="Wingdings" w:hint="default"/>
      </w:rPr>
    </w:lvl>
  </w:abstractNum>
  <w:abstractNum w:abstractNumId="65" w15:restartNumberingAfterBreak="0">
    <w:nsid w:val="32A0500D"/>
    <w:multiLevelType w:val="hybridMultilevel"/>
    <w:tmpl w:val="384AD4BC"/>
    <w:lvl w:ilvl="0" w:tplc="04050001">
      <w:start w:val="1"/>
      <w:numFmt w:val="bullet"/>
      <w:lvlText w:val=""/>
      <w:lvlJc w:val="left"/>
      <w:pPr>
        <w:ind w:left="792" w:hanging="360"/>
      </w:pPr>
      <w:rPr>
        <w:rFonts w:ascii="Symbol" w:hAnsi="Symbol" w:hint="default"/>
      </w:rPr>
    </w:lvl>
    <w:lvl w:ilvl="1" w:tplc="04050003" w:tentative="1">
      <w:start w:val="1"/>
      <w:numFmt w:val="bullet"/>
      <w:lvlText w:val="o"/>
      <w:lvlJc w:val="left"/>
      <w:pPr>
        <w:ind w:left="1512" w:hanging="360"/>
      </w:pPr>
      <w:rPr>
        <w:rFonts w:ascii="Courier New" w:hAnsi="Courier New" w:cs="Courier New" w:hint="default"/>
      </w:rPr>
    </w:lvl>
    <w:lvl w:ilvl="2" w:tplc="04050005" w:tentative="1">
      <w:start w:val="1"/>
      <w:numFmt w:val="bullet"/>
      <w:lvlText w:val=""/>
      <w:lvlJc w:val="left"/>
      <w:pPr>
        <w:ind w:left="2232" w:hanging="360"/>
      </w:pPr>
      <w:rPr>
        <w:rFonts w:ascii="Wingdings" w:hAnsi="Wingdings" w:hint="default"/>
      </w:rPr>
    </w:lvl>
    <w:lvl w:ilvl="3" w:tplc="04050001" w:tentative="1">
      <w:start w:val="1"/>
      <w:numFmt w:val="bullet"/>
      <w:lvlText w:val=""/>
      <w:lvlJc w:val="left"/>
      <w:pPr>
        <w:ind w:left="2952" w:hanging="360"/>
      </w:pPr>
      <w:rPr>
        <w:rFonts w:ascii="Symbol" w:hAnsi="Symbol" w:hint="default"/>
      </w:rPr>
    </w:lvl>
    <w:lvl w:ilvl="4" w:tplc="04050003" w:tentative="1">
      <w:start w:val="1"/>
      <w:numFmt w:val="bullet"/>
      <w:lvlText w:val="o"/>
      <w:lvlJc w:val="left"/>
      <w:pPr>
        <w:ind w:left="3672" w:hanging="360"/>
      </w:pPr>
      <w:rPr>
        <w:rFonts w:ascii="Courier New" w:hAnsi="Courier New" w:cs="Courier New" w:hint="default"/>
      </w:rPr>
    </w:lvl>
    <w:lvl w:ilvl="5" w:tplc="04050005" w:tentative="1">
      <w:start w:val="1"/>
      <w:numFmt w:val="bullet"/>
      <w:lvlText w:val=""/>
      <w:lvlJc w:val="left"/>
      <w:pPr>
        <w:ind w:left="4392" w:hanging="360"/>
      </w:pPr>
      <w:rPr>
        <w:rFonts w:ascii="Wingdings" w:hAnsi="Wingdings" w:hint="default"/>
      </w:rPr>
    </w:lvl>
    <w:lvl w:ilvl="6" w:tplc="04050001" w:tentative="1">
      <w:start w:val="1"/>
      <w:numFmt w:val="bullet"/>
      <w:lvlText w:val=""/>
      <w:lvlJc w:val="left"/>
      <w:pPr>
        <w:ind w:left="5112" w:hanging="360"/>
      </w:pPr>
      <w:rPr>
        <w:rFonts w:ascii="Symbol" w:hAnsi="Symbol" w:hint="default"/>
      </w:rPr>
    </w:lvl>
    <w:lvl w:ilvl="7" w:tplc="04050003" w:tentative="1">
      <w:start w:val="1"/>
      <w:numFmt w:val="bullet"/>
      <w:lvlText w:val="o"/>
      <w:lvlJc w:val="left"/>
      <w:pPr>
        <w:ind w:left="5832" w:hanging="360"/>
      </w:pPr>
      <w:rPr>
        <w:rFonts w:ascii="Courier New" w:hAnsi="Courier New" w:cs="Courier New" w:hint="default"/>
      </w:rPr>
    </w:lvl>
    <w:lvl w:ilvl="8" w:tplc="04050005" w:tentative="1">
      <w:start w:val="1"/>
      <w:numFmt w:val="bullet"/>
      <w:lvlText w:val=""/>
      <w:lvlJc w:val="left"/>
      <w:pPr>
        <w:ind w:left="6552" w:hanging="360"/>
      </w:pPr>
      <w:rPr>
        <w:rFonts w:ascii="Wingdings" w:hAnsi="Wingdings" w:hint="default"/>
      </w:rPr>
    </w:lvl>
  </w:abstractNum>
  <w:abstractNum w:abstractNumId="66" w15:restartNumberingAfterBreak="0">
    <w:nsid w:val="32E3761A"/>
    <w:multiLevelType w:val="hybridMultilevel"/>
    <w:tmpl w:val="45F4FC5E"/>
    <w:lvl w:ilvl="0" w:tplc="F816FD32">
      <w:numFmt w:val="bullet"/>
      <w:lvlText w:val="­"/>
      <w:lvlJc w:val="left"/>
      <w:pPr>
        <w:ind w:left="720" w:hanging="360"/>
      </w:pPr>
      <w:rPr>
        <w:rFonts w:ascii="Arial" w:eastAsia="Times New Roman" w:hAnsi="Arial" w:hint="default"/>
      </w:rPr>
    </w:lvl>
    <w:lvl w:ilvl="1" w:tplc="4D8C5AEA">
      <w:start w:val="1"/>
      <w:numFmt w:val="bullet"/>
      <w:lvlText w:val="-"/>
      <w:lvlJc w:val="left"/>
      <w:pPr>
        <w:ind w:left="1515" w:hanging="435"/>
      </w:pPr>
      <w:rPr>
        <w:rFonts w:ascii="Arial" w:eastAsia="Times New Roman" w:hAnsi="Arial" w:cs="Arial"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7" w15:restartNumberingAfterBreak="0">
    <w:nsid w:val="347111EE"/>
    <w:multiLevelType w:val="hybridMultilevel"/>
    <w:tmpl w:val="1EA634FC"/>
    <w:lvl w:ilvl="0" w:tplc="04050001">
      <w:start w:val="1"/>
      <w:numFmt w:val="bullet"/>
      <w:lvlText w:val=""/>
      <w:lvlJc w:val="left"/>
      <w:pPr>
        <w:ind w:left="821" w:hanging="360"/>
      </w:pPr>
      <w:rPr>
        <w:rFonts w:ascii="Symbol" w:hAnsi="Symbol" w:hint="default"/>
      </w:rPr>
    </w:lvl>
    <w:lvl w:ilvl="1" w:tplc="04050003">
      <w:start w:val="1"/>
      <w:numFmt w:val="bullet"/>
      <w:lvlText w:val="o"/>
      <w:lvlJc w:val="left"/>
      <w:pPr>
        <w:ind w:left="1541" w:hanging="360"/>
      </w:pPr>
      <w:rPr>
        <w:rFonts w:ascii="Courier New" w:hAnsi="Courier New" w:cs="Courier New" w:hint="default"/>
      </w:rPr>
    </w:lvl>
    <w:lvl w:ilvl="2" w:tplc="04050005" w:tentative="1">
      <w:start w:val="1"/>
      <w:numFmt w:val="bullet"/>
      <w:lvlText w:val=""/>
      <w:lvlJc w:val="left"/>
      <w:pPr>
        <w:ind w:left="2261" w:hanging="360"/>
      </w:pPr>
      <w:rPr>
        <w:rFonts w:ascii="Wingdings" w:hAnsi="Wingdings" w:hint="default"/>
      </w:rPr>
    </w:lvl>
    <w:lvl w:ilvl="3" w:tplc="04050001" w:tentative="1">
      <w:start w:val="1"/>
      <w:numFmt w:val="bullet"/>
      <w:lvlText w:val=""/>
      <w:lvlJc w:val="left"/>
      <w:pPr>
        <w:ind w:left="2981" w:hanging="360"/>
      </w:pPr>
      <w:rPr>
        <w:rFonts w:ascii="Symbol" w:hAnsi="Symbol" w:hint="default"/>
      </w:rPr>
    </w:lvl>
    <w:lvl w:ilvl="4" w:tplc="04050003" w:tentative="1">
      <w:start w:val="1"/>
      <w:numFmt w:val="bullet"/>
      <w:lvlText w:val="o"/>
      <w:lvlJc w:val="left"/>
      <w:pPr>
        <w:ind w:left="3701" w:hanging="360"/>
      </w:pPr>
      <w:rPr>
        <w:rFonts w:ascii="Courier New" w:hAnsi="Courier New" w:cs="Courier New" w:hint="default"/>
      </w:rPr>
    </w:lvl>
    <w:lvl w:ilvl="5" w:tplc="04050005" w:tentative="1">
      <w:start w:val="1"/>
      <w:numFmt w:val="bullet"/>
      <w:lvlText w:val=""/>
      <w:lvlJc w:val="left"/>
      <w:pPr>
        <w:ind w:left="4421" w:hanging="360"/>
      </w:pPr>
      <w:rPr>
        <w:rFonts w:ascii="Wingdings" w:hAnsi="Wingdings" w:hint="default"/>
      </w:rPr>
    </w:lvl>
    <w:lvl w:ilvl="6" w:tplc="04050001" w:tentative="1">
      <w:start w:val="1"/>
      <w:numFmt w:val="bullet"/>
      <w:lvlText w:val=""/>
      <w:lvlJc w:val="left"/>
      <w:pPr>
        <w:ind w:left="5141" w:hanging="360"/>
      </w:pPr>
      <w:rPr>
        <w:rFonts w:ascii="Symbol" w:hAnsi="Symbol" w:hint="default"/>
      </w:rPr>
    </w:lvl>
    <w:lvl w:ilvl="7" w:tplc="04050003" w:tentative="1">
      <w:start w:val="1"/>
      <w:numFmt w:val="bullet"/>
      <w:lvlText w:val="o"/>
      <w:lvlJc w:val="left"/>
      <w:pPr>
        <w:ind w:left="5861" w:hanging="360"/>
      </w:pPr>
      <w:rPr>
        <w:rFonts w:ascii="Courier New" w:hAnsi="Courier New" w:cs="Courier New" w:hint="default"/>
      </w:rPr>
    </w:lvl>
    <w:lvl w:ilvl="8" w:tplc="04050005" w:tentative="1">
      <w:start w:val="1"/>
      <w:numFmt w:val="bullet"/>
      <w:lvlText w:val=""/>
      <w:lvlJc w:val="left"/>
      <w:pPr>
        <w:ind w:left="6581" w:hanging="360"/>
      </w:pPr>
      <w:rPr>
        <w:rFonts w:ascii="Wingdings" w:hAnsi="Wingdings" w:hint="default"/>
      </w:rPr>
    </w:lvl>
  </w:abstractNum>
  <w:abstractNum w:abstractNumId="68" w15:restartNumberingAfterBreak="0">
    <w:nsid w:val="35552E8E"/>
    <w:multiLevelType w:val="hybridMultilevel"/>
    <w:tmpl w:val="72268EC4"/>
    <w:lvl w:ilvl="0" w:tplc="F816FD32">
      <w:numFmt w:val="bullet"/>
      <w:lvlText w:val="­"/>
      <w:lvlJc w:val="left"/>
      <w:pPr>
        <w:ind w:left="720" w:hanging="360"/>
      </w:pPr>
      <w:rPr>
        <w:rFonts w:ascii="Arial" w:eastAsia="Times New Roman"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9" w15:restartNumberingAfterBreak="0">
    <w:nsid w:val="357C05DF"/>
    <w:multiLevelType w:val="hybridMultilevel"/>
    <w:tmpl w:val="14C0864A"/>
    <w:lvl w:ilvl="0" w:tplc="65606D2A">
      <w:start w:val="1"/>
      <w:numFmt w:val="lowerLetter"/>
      <w:lvlText w:val="%1."/>
      <w:lvlJc w:val="left"/>
      <w:pPr>
        <w:ind w:left="1287" w:hanging="360"/>
      </w:pPr>
      <w:rPr>
        <w:rFonts w:hint="default"/>
      </w:rPr>
    </w:lvl>
    <w:lvl w:ilvl="1" w:tplc="50BA83D4">
      <w:start w:val="1"/>
      <w:numFmt w:val="lowerLetter"/>
      <w:lvlText w:val="%2)"/>
      <w:lvlJc w:val="left"/>
      <w:pPr>
        <w:ind w:left="2007" w:hanging="360"/>
      </w:pPr>
      <w:rPr>
        <w:rFonts w:hint="default"/>
      </w:rPr>
    </w:lvl>
    <w:lvl w:ilvl="2" w:tplc="0405001B" w:tentative="1">
      <w:start w:val="1"/>
      <w:numFmt w:val="lowerRoman"/>
      <w:lvlText w:val="%3."/>
      <w:lvlJc w:val="right"/>
      <w:pPr>
        <w:ind w:left="2727" w:hanging="180"/>
      </w:pPr>
    </w:lvl>
    <w:lvl w:ilvl="3" w:tplc="0405000F" w:tentative="1">
      <w:start w:val="1"/>
      <w:numFmt w:val="decimal"/>
      <w:lvlText w:val="%4."/>
      <w:lvlJc w:val="left"/>
      <w:pPr>
        <w:ind w:left="3447" w:hanging="360"/>
      </w:pPr>
    </w:lvl>
    <w:lvl w:ilvl="4" w:tplc="04050019" w:tentative="1">
      <w:start w:val="1"/>
      <w:numFmt w:val="lowerLetter"/>
      <w:lvlText w:val="%5."/>
      <w:lvlJc w:val="left"/>
      <w:pPr>
        <w:ind w:left="4167" w:hanging="360"/>
      </w:pPr>
    </w:lvl>
    <w:lvl w:ilvl="5" w:tplc="0405001B" w:tentative="1">
      <w:start w:val="1"/>
      <w:numFmt w:val="lowerRoman"/>
      <w:lvlText w:val="%6."/>
      <w:lvlJc w:val="right"/>
      <w:pPr>
        <w:ind w:left="4887" w:hanging="180"/>
      </w:pPr>
    </w:lvl>
    <w:lvl w:ilvl="6" w:tplc="0405000F" w:tentative="1">
      <w:start w:val="1"/>
      <w:numFmt w:val="decimal"/>
      <w:lvlText w:val="%7."/>
      <w:lvlJc w:val="left"/>
      <w:pPr>
        <w:ind w:left="5607" w:hanging="360"/>
      </w:pPr>
    </w:lvl>
    <w:lvl w:ilvl="7" w:tplc="04050019" w:tentative="1">
      <w:start w:val="1"/>
      <w:numFmt w:val="lowerLetter"/>
      <w:lvlText w:val="%8."/>
      <w:lvlJc w:val="left"/>
      <w:pPr>
        <w:ind w:left="6327" w:hanging="360"/>
      </w:pPr>
    </w:lvl>
    <w:lvl w:ilvl="8" w:tplc="0405001B" w:tentative="1">
      <w:start w:val="1"/>
      <w:numFmt w:val="lowerRoman"/>
      <w:lvlText w:val="%9."/>
      <w:lvlJc w:val="right"/>
      <w:pPr>
        <w:ind w:left="7047" w:hanging="180"/>
      </w:pPr>
    </w:lvl>
  </w:abstractNum>
  <w:abstractNum w:abstractNumId="70" w15:restartNumberingAfterBreak="0">
    <w:nsid w:val="3591300B"/>
    <w:multiLevelType w:val="hybridMultilevel"/>
    <w:tmpl w:val="8EBAF340"/>
    <w:lvl w:ilvl="0" w:tplc="E2F8F3F0">
      <w:start w:val="1"/>
      <w:numFmt w:val="bullet"/>
      <w:lvlText w:val=""/>
      <w:lvlJc w:val="left"/>
      <w:pPr>
        <w:ind w:left="1298" w:hanging="360"/>
      </w:pPr>
      <w:rPr>
        <w:rFonts w:ascii="Symbol" w:hAnsi="Symbol" w:hint="default"/>
      </w:rPr>
    </w:lvl>
    <w:lvl w:ilvl="1" w:tplc="04050003" w:tentative="1">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71" w15:restartNumberingAfterBreak="0">
    <w:nsid w:val="35A41229"/>
    <w:multiLevelType w:val="hybridMultilevel"/>
    <w:tmpl w:val="AF2E09E6"/>
    <w:lvl w:ilvl="0" w:tplc="E2F8F3F0">
      <w:start w:val="1"/>
      <w:numFmt w:val="bullet"/>
      <w:lvlText w:val=""/>
      <w:lvlJc w:val="left"/>
      <w:pPr>
        <w:ind w:left="1298" w:hanging="360"/>
      </w:pPr>
      <w:rPr>
        <w:rFonts w:ascii="Symbol" w:hAnsi="Symbol" w:hint="default"/>
      </w:rPr>
    </w:lvl>
    <w:lvl w:ilvl="1" w:tplc="04050003">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72" w15:restartNumberingAfterBreak="0">
    <w:nsid w:val="364A7256"/>
    <w:multiLevelType w:val="hybridMultilevel"/>
    <w:tmpl w:val="905CBF44"/>
    <w:lvl w:ilvl="0" w:tplc="24BA48A0">
      <w:start w:val="1"/>
      <w:numFmt w:val="upperLetter"/>
      <w:lvlText w:val="%1."/>
      <w:lvlJc w:val="left"/>
      <w:pPr>
        <w:ind w:left="461" w:hanging="360"/>
      </w:pPr>
      <w:rPr>
        <w:rFonts w:hint="default"/>
      </w:rPr>
    </w:lvl>
    <w:lvl w:ilvl="1" w:tplc="04050019" w:tentative="1">
      <w:start w:val="1"/>
      <w:numFmt w:val="lowerLetter"/>
      <w:lvlText w:val="%2."/>
      <w:lvlJc w:val="left"/>
      <w:pPr>
        <w:ind w:left="1181" w:hanging="360"/>
      </w:pPr>
    </w:lvl>
    <w:lvl w:ilvl="2" w:tplc="0405001B" w:tentative="1">
      <w:start w:val="1"/>
      <w:numFmt w:val="lowerRoman"/>
      <w:lvlText w:val="%3."/>
      <w:lvlJc w:val="right"/>
      <w:pPr>
        <w:ind w:left="1901" w:hanging="180"/>
      </w:pPr>
    </w:lvl>
    <w:lvl w:ilvl="3" w:tplc="0405000F" w:tentative="1">
      <w:start w:val="1"/>
      <w:numFmt w:val="decimal"/>
      <w:lvlText w:val="%4."/>
      <w:lvlJc w:val="left"/>
      <w:pPr>
        <w:ind w:left="2621" w:hanging="360"/>
      </w:pPr>
    </w:lvl>
    <w:lvl w:ilvl="4" w:tplc="04050019" w:tentative="1">
      <w:start w:val="1"/>
      <w:numFmt w:val="lowerLetter"/>
      <w:lvlText w:val="%5."/>
      <w:lvlJc w:val="left"/>
      <w:pPr>
        <w:ind w:left="3341" w:hanging="360"/>
      </w:pPr>
    </w:lvl>
    <w:lvl w:ilvl="5" w:tplc="0405001B" w:tentative="1">
      <w:start w:val="1"/>
      <w:numFmt w:val="lowerRoman"/>
      <w:lvlText w:val="%6."/>
      <w:lvlJc w:val="right"/>
      <w:pPr>
        <w:ind w:left="4061" w:hanging="180"/>
      </w:pPr>
    </w:lvl>
    <w:lvl w:ilvl="6" w:tplc="0405000F" w:tentative="1">
      <w:start w:val="1"/>
      <w:numFmt w:val="decimal"/>
      <w:lvlText w:val="%7."/>
      <w:lvlJc w:val="left"/>
      <w:pPr>
        <w:ind w:left="4781" w:hanging="360"/>
      </w:pPr>
    </w:lvl>
    <w:lvl w:ilvl="7" w:tplc="04050019" w:tentative="1">
      <w:start w:val="1"/>
      <w:numFmt w:val="lowerLetter"/>
      <w:lvlText w:val="%8."/>
      <w:lvlJc w:val="left"/>
      <w:pPr>
        <w:ind w:left="5501" w:hanging="360"/>
      </w:pPr>
    </w:lvl>
    <w:lvl w:ilvl="8" w:tplc="0405001B" w:tentative="1">
      <w:start w:val="1"/>
      <w:numFmt w:val="lowerRoman"/>
      <w:lvlText w:val="%9."/>
      <w:lvlJc w:val="right"/>
      <w:pPr>
        <w:ind w:left="6221" w:hanging="180"/>
      </w:pPr>
    </w:lvl>
  </w:abstractNum>
  <w:abstractNum w:abstractNumId="73" w15:restartNumberingAfterBreak="0">
    <w:nsid w:val="37F167ED"/>
    <w:multiLevelType w:val="hybridMultilevel"/>
    <w:tmpl w:val="BA420054"/>
    <w:lvl w:ilvl="0" w:tplc="D084D772">
      <w:numFmt w:val="bullet"/>
      <w:lvlText w:val="*"/>
      <w:lvlJc w:val="left"/>
      <w:pPr>
        <w:ind w:left="720" w:hanging="360"/>
      </w:pPr>
      <w:rPr>
        <w:rFonts w:ascii="Arial" w:eastAsia="Times New Roman" w:hAnsi="Arial" w:hint="default"/>
      </w:rPr>
    </w:lvl>
    <w:lvl w:ilvl="1" w:tplc="00029BA0">
      <w:start w:val="3"/>
      <w:numFmt w:val="bullet"/>
      <w:lvlText w:val="-"/>
      <w:lvlJc w:val="left"/>
      <w:pPr>
        <w:ind w:left="1440" w:hanging="360"/>
      </w:pPr>
      <w:rPr>
        <w:rFonts w:ascii="Arial" w:eastAsia="Times New Roman" w:hAnsi="Arial" w:cs="Arial"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4" w15:restartNumberingAfterBreak="0">
    <w:nsid w:val="38387B96"/>
    <w:multiLevelType w:val="hybridMultilevel"/>
    <w:tmpl w:val="F828C1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5" w15:restartNumberingAfterBreak="0">
    <w:nsid w:val="38CA5A28"/>
    <w:multiLevelType w:val="hybridMultilevel"/>
    <w:tmpl w:val="DBC80E70"/>
    <w:lvl w:ilvl="0" w:tplc="F816FD32">
      <w:numFmt w:val="bullet"/>
      <w:lvlText w:val="­"/>
      <w:lvlJc w:val="left"/>
      <w:pPr>
        <w:ind w:left="2518" w:hanging="360"/>
      </w:pPr>
      <w:rPr>
        <w:rFonts w:ascii="Arial" w:eastAsia="Times New Roman" w:hAnsi="Arial" w:hint="default"/>
      </w:rPr>
    </w:lvl>
    <w:lvl w:ilvl="1" w:tplc="F816FD32">
      <w:numFmt w:val="bullet"/>
      <w:lvlText w:val="­"/>
      <w:lvlJc w:val="left"/>
      <w:pPr>
        <w:ind w:left="3238" w:hanging="360"/>
      </w:pPr>
      <w:rPr>
        <w:rFonts w:ascii="Arial" w:eastAsia="Times New Roman" w:hAnsi="Arial" w:hint="default"/>
      </w:rPr>
    </w:lvl>
    <w:lvl w:ilvl="2" w:tplc="04050005" w:tentative="1">
      <w:start w:val="1"/>
      <w:numFmt w:val="bullet"/>
      <w:lvlText w:val=""/>
      <w:lvlJc w:val="left"/>
      <w:pPr>
        <w:ind w:left="3958" w:hanging="360"/>
      </w:pPr>
      <w:rPr>
        <w:rFonts w:ascii="Wingdings" w:hAnsi="Wingdings" w:hint="default"/>
      </w:rPr>
    </w:lvl>
    <w:lvl w:ilvl="3" w:tplc="04050001" w:tentative="1">
      <w:start w:val="1"/>
      <w:numFmt w:val="bullet"/>
      <w:lvlText w:val=""/>
      <w:lvlJc w:val="left"/>
      <w:pPr>
        <w:ind w:left="4678" w:hanging="360"/>
      </w:pPr>
      <w:rPr>
        <w:rFonts w:ascii="Symbol" w:hAnsi="Symbol" w:hint="default"/>
      </w:rPr>
    </w:lvl>
    <w:lvl w:ilvl="4" w:tplc="04050003" w:tentative="1">
      <w:start w:val="1"/>
      <w:numFmt w:val="bullet"/>
      <w:lvlText w:val="o"/>
      <w:lvlJc w:val="left"/>
      <w:pPr>
        <w:ind w:left="5398" w:hanging="360"/>
      </w:pPr>
      <w:rPr>
        <w:rFonts w:ascii="Courier New" w:hAnsi="Courier New" w:cs="Courier New" w:hint="default"/>
      </w:rPr>
    </w:lvl>
    <w:lvl w:ilvl="5" w:tplc="04050005" w:tentative="1">
      <w:start w:val="1"/>
      <w:numFmt w:val="bullet"/>
      <w:lvlText w:val=""/>
      <w:lvlJc w:val="left"/>
      <w:pPr>
        <w:ind w:left="6118" w:hanging="360"/>
      </w:pPr>
      <w:rPr>
        <w:rFonts w:ascii="Wingdings" w:hAnsi="Wingdings" w:hint="default"/>
      </w:rPr>
    </w:lvl>
    <w:lvl w:ilvl="6" w:tplc="04050001" w:tentative="1">
      <w:start w:val="1"/>
      <w:numFmt w:val="bullet"/>
      <w:lvlText w:val=""/>
      <w:lvlJc w:val="left"/>
      <w:pPr>
        <w:ind w:left="6838" w:hanging="360"/>
      </w:pPr>
      <w:rPr>
        <w:rFonts w:ascii="Symbol" w:hAnsi="Symbol" w:hint="default"/>
      </w:rPr>
    </w:lvl>
    <w:lvl w:ilvl="7" w:tplc="04050003" w:tentative="1">
      <w:start w:val="1"/>
      <w:numFmt w:val="bullet"/>
      <w:lvlText w:val="o"/>
      <w:lvlJc w:val="left"/>
      <w:pPr>
        <w:ind w:left="7558" w:hanging="360"/>
      </w:pPr>
      <w:rPr>
        <w:rFonts w:ascii="Courier New" w:hAnsi="Courier New" w:cs="Courier New" w:hint="default"/>
      </w:rPr>
    </w:lvl>
    <w:lvl w:ilvl="8" w:tplc="04050005" w:tentative="1">
      <w:start w:val="1"/>
      <w:numFmt w:val="bullet"/>
      <w:lvlText w:val=""/>
      <w:lvlJc w:val="left"/>
      <w:pPr>
        <w:ind w:left="8278" w:hanging="360"/>
      </w:pPr>
      <w:rPr>
        <w:rFonts w:ascii="Wingdings" w:hAnsi="Wingdings" w:hint="default"/>
      </w:rPr>
    </w:lvl>
  </w:abstractNum>
  <w:abstractNum w:abstractNumId="76" w15:restartNumberingAfterBreak="0">
    <w:nsid w:val="3D6339A2"/>
    <w:multiLevelType w:val="hybridMultilevel"/>
    <w:tmpl w:val="7518B896"/>
    <w:lvl w:ilvl="0" w:tplc="D084D772">
      <w:numFmt w:val="bullet"/>
      <w:lvlText w:val="*"/>
      <w:lvlJc w:val="left"/>
      <w:pPr>
        <w:ind w:left="1298" w:hanging="360"/>
      </w:pPr>
      <w:rPr>
        <w:rFonts w:ascii="Arial" w:eastAsia="Times New Roman" w:hAnsi="Arial" w:hint="default"/>
      </w:rPr>
    </w:lvl>
    <w:lvl w:ilvl="1" w:tplc="04050003" w:tentative="1">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77" w15:restartNumberingAfterBreak="0">
    <w:nsid w:val="3DB63DA5"/>
    <w:multiLevelType w:val="hybridMultilevel"/>
    <w:tmpl w:val="216C90B2"/>
    <w:lvl w:ilvl="0" w:tplc="E2F8F3F0">
      <w:start w:val="1"/>
      <w:numFmt w:val="bullet"/>
      <w:lvlText w:val=""/>
      <w:lvlJc w:val="left"/>
      <w:pPr>
        <w:ind w:left="1298" w:hanging="360"/>
      </w:pPr>
      <w:rPr>
        <w:rFonts w:ascii="Symbol" w:hAnsi="Symbol" w:hint="default"/>
      </w:rPr>
    </w:lvl>
    <w:lvl w:ilvl="1" w:tplc="04050003" w:tentative="1">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78" w15:restartNumberingAfterBreak="0">
    <w:nsid w:val="3EB731B6"/>
    <w:multiLevelType w:val="hybridMultilevel"/>
    <w:tmpl w:val="B52031B8"/>
    <w:lvl w:ilvl="0" w:tplc="04050001">
      <w:start w:val="1"/>
      <w:numFmt w:val="bullet"/>
      <w:lvlText w:val=""/>
      <w:lvlJc w:val="left"/>
      <w:pPr>
        <w:ind w:left="1776" w:hanging="360"/>
      </w:pPr>
      <w:rPr>
        <w:rFonts w:ascii="Symbol" w:hAnsi="Symbol" w:hint="default"/>
      </w:rPr>
    </w:lvl>
    <w:lvl w:ilvl="1" w:tplc="04050003" w:tentative="1">
      <w:start w:val="1"/>
      <w:numFmt w:val="bullet"/>
      <w:lvlText w:val="o"/>
      <w:lvlJc w:val="left"/>
      <w:pPr>
        <w:ind w:left="2496" w:hanging="360"/>
      </w:pPr>
      <w:rPr>
        <w:rFonts w:ascii="Courier New" w:hAnsi="Courier New" w:cs="Courier New" w:hint="default"/>
      </w:rPr>
    </w:lvl>
    <w:lvl w:ilvl="2" w:tplc="04050005" w:tentative="1">
      <w:start w:val="1"/>
      <w:numFmt w:val="bullet"/>
      <w:lvlText w:val=""/>
      <w:lvlJc w:val="left"/>
      <w:pPr>
        <w:ind w:left="3216" w:hanging="360"/>
      </w:pPr>
      <w:rPr>
        <w:rFonts w:ascii="Wingdings" w:hAnsi="Wingdings" w:hint="default"/>
      </w:rPr>
    </w:lvl>
    <w:lvl w:ilvl="3" w:tplc="04050001" w:tentative="1">
      <w:start w:val="1"/>
      <w:numFmt w:val="bullet"/>
      <w:lvlText w:val=""/>
      <w:lvlJc w:val="left"/>
      <w:pPr>
        <w:ind w:left="3936" w:hanging="360"/>
      </w:pPr>
      <w:rPr>
        <w:rFonts w:ascii="Symbol" w:hAnsi="Symbol" w:hint="default"/>
      </w:rPr>
    </w:lvl>
    <w:lvl w:ilvl="4" w:tplc="04050003" w:tentative="1">
      <w:start w:val="1"/>
      <w:numFmt w:val="bullet"/>
      <w:lvlText w:val="o"/>
      <w:lvlJc w:val="left"/>
      <w:pPr>
        <w:ind w:left="4656" w:hanging="360"/>
      </w:pPr>
      <w:rPr>
        <w:rFonts w:ascii="Courier New" w:hAnsi="Courier New" w:cs="Courier New" w:hint="default"/>
      </w:rPr>
    </w:lvl>
    <w:lvl w:ilvl="5" w:tplc="04050005" w:tentative="1">
      <w:start w:val="1"/>
      <w:numFmt w:val="bullet"/>
      <w:lvlText w:val=""/>
      <w:lvlJc w:val="left"/>
      <w:pPr>
        <w:ind w:left="5376" w:hanging="360"/>
      </w:pPr>
      <w:rPr>
        <w:rFonts w:ascii="Wingdings" w:hAnsi="Wingdings" w:hint="default"/>
      </w:rPr>
    </w:lvl>
    <w:lvl w:ilvl="6" w:tplc="04050001" w:tentative="1">
      <w:start w:val="1"/>
      <w:numFmt w:val="bullet"/>
      <w:lvlText w:val=""/>
      <w:lvlJc w:val="left"/>
      <w:pPr>
        <w:ind w:left="6096" w:hanging="360"/>
      </w:pPr>
      <w:rPr>
        <w:rFonts w:ascii="Symbol" w:hAnsi="Symbol" w:hint="default"/>
      </w:rPr>
    </w:lvl>
    <w:lvl w:ilvl="7" w:tplc="04050003" w:tentative="1">
      <w:start w:val="1"/>
      <w:numFmt w:val="bullet"/>
      <w:lvlText w:val="o"/>
      <w:lvlJc w:val="left"/>
      <w:pPr>
        <w:ind w:left="6816" w:hanging="360"/>
      </w:pPr>
      <w:rPr>
        <w:rFonts w:ascii="Courier New" w:hAnsi="Courier New" w:cs="Courier New" w:hint="default"/>
      </w:rPr>
    </w:lvl>
    <w:lvl w:ilvl="8" w:tplc="04050005" w:tentative="1">
      <w:start w:val="1"/>
      <w:numFmt w:val="bullet"/>
      <w:lvlText w:val=""/>
      <w:lvlJc w:val="left"/>
      <w:pPr>
        <w:ind w:left="7536" w:hanging="360"/>
      </w:pPr>
      <w:rPr>
        <w:rFonts w:ascii="Wingdings" w:hAnsi="Wingdings" w:hint="default"/>
      </w:rPr>
    </w:lvl>
  </w:abstractNum>
  <w:abstractNum w:abstractNumId="79" w15:restartNumberingAfterBreak="0">
    <w:nsid w:val="40A23CC3"/>
    <w:multiLevelType w:val="hybridMultilevel"/>
    <w:tmpl w:val="6C7A13B0"/>
    <w:lvl w:ilvl="0" w:tplc="8F72739C">
      <w:start w:val="1"/>
      <w:numFmt w:val="lowerLetter"/>
      <w:lvlText w:val="%1)"/>
      <w:lvlJc w:val="left"/>
      <w:pPr>
        <w:ind w:left="1294" w:hanging="375"/>
      </w:pPr>
      <w:rPr>
        <w:rFonts w:hint="default"/>
      </w:rPr>
    </w:lvl>
    <w:lvl w:ilvl="1" w:tplc="04050019" w:tentative="1">
      <w:start w:val="1"/>
      <w:numFmt w:val="lowerLetter"/>
      <w:lvlText w:val="%2."/>
      <w:lvlJc w:val="left"/>
      <w:pPr>
        <w:ind w:left="1999" w:hanging="360"/>
      </w:pPr>
    </w:lvl>
    <w:lvl w:ilvl="2" w:tplc="0405001B" w:tentative="1">
      <w:start w:val="1"/>
      <w:numFmt w:val="lowerRoman"/>
      <w:lvlText w:val="%3."/>
      <w:lvlJc w:val="right"/>
      <w:pPr>
        <w:ind w:left="2719" w:hanging="180"/>
      </w:pPr>
    </w:lvl>
    <w:lvl w:ilvl="3" w:tplc="0405000F" w:tentative="1">
      <w:start w:val="1"/>
      <w:numFmt w:val="decimal"/>
      <w:lvlText w:val="%4."/>
      <w:lvlJc w:val="left"/>
      <w:pPr>
        <w:ind w:left="3439" w:hanging="360"/>
      </w:pPr>
    </w:lvl>
    <w:lvl w:ilvl="4" w:tplc="04050019" w:tentative="1">
      <w:start w:val="1"/>
      <w:numFmt w:val="lowerLetter"/>
      <w:lvlText w:val="%5."/>
      <w:lvlJc w:val="left"/>
      <w:pPr>
        <w:ind w:left="4159" w:hanging="360"/>
      </w:pPr>
    </w:lvl>
    <w:lvl w:ilvl="5" w:tplc="0405001B" w:tentative="1">
      <w:start w:val="1"/>
      <w:numFmt w:val="lowerRoman"/>
      <w:lvlText w:val="%6."/>
      <w:lvlJc w:val="right"/>
      <w:pPr>
        <w:ind w:left="4879" w:hanging="180"/>
      </w:pPr>
    </w:lvl>
    <w:lvl w:ilvl="6" w:tplc="0405000F" w:tentative="1">
      <w:start w:val="1"/>
      <w:numFmt w:val="decimal"/>
      <w:lvlText w:val="%7."/>
      <w:lvlJc w:val="left"/>
      <w:pPr>
        <w:ind w:left="5599" w:hanging="360"/>
      </w:pPr>
    </w:lvl>
    <w:lvl w:ilvl="7" w:tplc="04050019" w:tentative="1">
      <w:start w:val="1"/>
      <w:numFmt w:val="lowerLetter"/>
      <w:lvlText w:val="%8."/>
      <w:lvlJc w:val="left"/>
      <w:pPr>
        <w:ind w:left="6319" w:hanging="360"/>
      </w:pPr>
    </w:lvl>
    <w:lvl w:ilvl="8" w:tplc="0405001B" w:tentative="1">
      <w:start w:val="1"/>
      <w:numFmt w:val="lowerRoman"/>
      <w:lvlText w:val="%9."/>
      <w:lvlJc w:val="right"/>
      <w:pPr>
        <w:ind w:left="7039" w:hanging="180"/>
      </w:pPr>
    </w:lvl>
  </w:abstractNum>
  <w:abstractNum w:abstractNumId="80" w15:restartNumberingAfterBreak="0">
    <w:nsid w:val="43BB2554"/>
    <w:multiLevelType w:val="hybridMultilevel"/>
    <w:tmpl w:val="DF08B802"/>
    <w:lvl w:ilvl="0" w:tplc="A008E306">
      <w:numFmt w:val="bullet"/>
      <w:lvlText w:val="–"/>
      <w:lvlJc w:val="left"/>
      <w:pPr>
        <w:tabs>
          <w:tab w:val="num" w:pos="960"/>
        </w:tabs>
        <w:ind w:left="960" w:hanging="360"/>
      </w:pPr>
      <w:rPr>
        <w:rFonts w:ascii="Times New Roman" w:eastAsia="Times New Roman" w:hAnsi="Times New Roman" w:hint="default"/>
      </w:rPr>
    </w:lvl>
    <w:lvl w:ilvl="1" w:tplc="04050003" w:tentative="1">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tentative="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81" w15:restartNumberingAfterBreak="0">
    <w:nsid w:val="448734AB"/>
    <w:multiLevelType w:val="hybridMultilevel"/>
    <w:tmpl w:val="2788F53C"/>
    <w:lvl w:ilvl="0" w:tplc="FA5C20BC">
      <w:start w:val="19"/>
      <w:numFmt w:val="upperLetter"/>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2" w15:restartNumberingAfterBreak="0">
    <w:nsid w:val="470F5F68"/>
    <w:multiLevelType w:val="hybridMultilevel"/>
    <w:tmpl w:val="BB78696C"/>
    <w:lvl w:ilvl="0" w:tplc="EA6E05AA">
      <w:start w:val="1"/>
      <w:numFmt w:val="bullet"/>
      <w:lvlText w:val="­"/>
      <w:lvlJc w:val="left"/>
      <w:pPr>
        <w:ind w:left="1429" w:hanging="360"/>
      </w:pPr>
      <w:rPr>
        <w:rFonts w:ascii="Courier New" w:hAnsi="Courier New" w:hint="default"/>
      </w:rPr>
    </w:lvl>
    <w:lvl w:ilvl="1" w:tplc="04050003" w:tentative="1">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83" w15:restartNumberingAfterBreak="0">
    <w:nsid w:val="474E2E9B"/>
    <w:multiLevelType w:val="hybridMultilevel"/>
    <w:tmpl w:val="542A56A6"/>
    <w:lvl w:ilvl="0" w:tplc="F816FD32">
      <w:numFmt w:val="bullet"/>
      <w:lvlText w:val="­"/>
      <w:lvlJc w:val="left"/>
      <w:pPr>
        <w:ind w:left="1298" w:hanging="360"/>
      </w:pPr>
      <w:rPr>
        <w:rFonts w:ascii="Arial" w:eastAsia="Times New Roman" w:hAnsi="Arial" w:hint="default"/>
      </w:rPr>
    </w:lvl>
    <w:lvl w:ilvl="1" w:tplc="04050003" w:tentative="1">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84" w15:restartNumberingAfterBreak="0">
    <w:nsid w:val="47D92202"/>
    <w:multiLevelType w:val="hybridMultilevel"/>
    <w:tmpl w:val="0D5495B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5" w15:restartNumberingAfterBreak="0">
    <w:nsid w:val="49045902"/>
    <w:multiLevelType w:val="hybridMultilevel"/>
    <w:tmpl w:val="CA048F9A"/>
    <w:lvl w:ilvl="0" w:tplc="8BBE5B2A">
      <w:start w:val="6"/>
      <w:numFmt w:val="decimal"/>
      <w:lvlText w:val="%1."/>
      <w:lvlJc w:val="left"/>
      <w:pPr>
        <w:ind w:left="1287" w:hanging="720"/>
      </w:pPr>
      <w:rPr>
        <w:rFonts w:hint="default"/>
      </w:rPr>
    </w:lvl>
    <w:lvl w:ilvl="1" w:tplc="04050019" w:tentative="1">
      <w:start w:val="1"/>
      <w:numFmt w:val="lowerLetter"/>
      <w:lvlText w:val="%2."/>
      <w:lvlJc w:val="left"/>
      <w:pPr>
        <w:ind w:left="1647" w:hanging="360"/>
      </w:pPr>
    </w:lvl>
    <w:lvl w:ilvl="2" w:tplc="0405001B" w:tentative="1">
      <w:start w:val="1"/>
      <w:numFmt w:val="lowerRoman"/>
      <w:lvlText w:val="%3."/>
      <w:lvlJc w:val="right"/>
      <w:pPr>
        <w:ind w:left="2367" w:hanging="180"/>
      </w:pPr>
    </w:lvl>
    <w:lvl w:ilvl="3" w:tplc="0405000F" w:tentative="1">
      <w:start w:val="1"/>
      <w:numFmt w:val="decimal"/>
      <w:lvlText w:val="%4."/>
      <w:lvlJc w:val="left"/>
      <w:pPr>
        <w:ind w:left="3087" w:hanging="360"/>
      </w:pPr>
    </w:lvl>
    <w:lvl w:ilvl="4" w:tplc="04050019" w:tentative="1">
      <w:start w:val="1"/>
      <w:numFmt w:val="lowerLetter"/>
      <w:lvlText w:val="%5."/>
      <w:lvlJc w:val="left"/>
      <w:pPr>
        <w:ind w:left="3807" w:hanging="360"/>
      </w:pPr>
    </w:lvl>
    <w:lvl w:ilvl="5" w:tplc="0405001B" w:tentative="1">
      <w:start w:val="1"/>
      <w:numFmt w:val="lowerRoman"/>
      <w:lvlText w:val="%6."/>
      <w:lvlJc w:val="right"/>
      <w:pPr>
        <w:ind w:left="4527" w:hanging="180"/>
      </w:pPr>
    </w:lvl>
    <w:lvl w:ilvl="6" w:tplc="0405000F" w:tentative="1">
      <w:start w:val="1"/>
      <w:numFmt w:val="decimal"/>
      <w:lvlText w:val="%7."/>
      <w:lvlJc w:val="left"/>
      <w:pPr>
        <w:ind w:left="5247" w:hanging="360"/>
      </w:pPr>
    </w:lvl>
    <w:lvl w:ilvl="7" w:tplc="04050019" w:tentative="1">
      <w:start w:val="1"/>
      <w:numFmt w:val="lowerLetter"/>
      <w:lvlText w:val="%8."/>
      <w:lvlJc w:val="left"/>
      <w:pPr>
        <w:ind w:left="5967" w:hanging="360"/>
      </w:pPr>
    </w:lvl>
    <w:lvl w:ilvl="8" w:tplc="0405001B" w:tentative="1">
      <w:start w:val="1"/>
      <w:numFmt w:val="lowerRoman"/>
      <w:lvlText w:val="%9."/>
      <w:lvlJc w:val="right"/>
      <w:pPr>
        <w:ind w:left="6687" w:hanging="180"/>
      </w:pPr>
    </w:lvl>
  </w:abstractNum>
  <w:abstractNum w:abstractNumId="86" w15:restartNumberingAfterBreak="0">
    <w:nsid w:val="4AAF5D19"/>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C3303BD"/>
    <w:multiLevelType w:val="hybridMultilevel"/>
    <w:tmpl w:val="B5C6219C"/>
    <w:lvl w:ilvl="0" w:tplc="04050001">
      <w:start w:val="1"/>
      <w:numFmt w:val="bullet"/>
      <w:lvlText w:val=""/>
      <w:lvlJc w:val="left"/>
      <w:pPr>
        <w:ind w:left="792" w:hanging="360"/>
      </w:pPr>
      <w:rPr>
        <w:rFonts w:ascii="Symbol" w:hAnsi="Symbol" w:hint="default"/>
      </w:rPr>
    </w:lvl>
    <w:lvl w:ilvl="1" w:tplc="04050003">
      <w:start w:val="1"/>
      <w:numFmt w:val="bullet"/>
      <w:lvlText w:val="o"/>
      <w:lvlJc w:val="left"/>
      <w:pPr>
        <w:ind w:left="1512" w:hanging="360"/>
      </w:pPr>
      <w:rPr>
        <w:rFonts w:ascii="Courier New" w:hAnsi="Courier New" w:cs="Courier New" w:hint="default"/>
      </w:rPr>
    </w:lvl>
    <w:lvl w:ilvl="2" w:tplc="04050005" w:tentative="1">
      <w:start w:val="1"/>
      <w:numFmt w:val="bullet"/>
      <w:lvlText w:val=""/>
      <w:lvlJc w:val="left"/>
      <w:pPr>
        <w:ind w:left="2232" w:hanging="360"/>
      </w:pPr>
      <w:rPr>
        <w:rFonts w:ascii="Wingdings" w:hAnsi="Wingdings" w:hint="default"/>
      </w:rPr>
    </w:lvl>
    <w:lvl w:ilvl="3" w:tplc="04050001" w:tentative="1">
      <w:start w:val="1"/>
      <w:numFmt w:val="bullet"/>
      <w:lvlText w:val=""/>
      <w:lvlJc w:val="left"/>
      <w:pPr>
        <w:ind w:left="2952" w:hanging="360"/>
      </w:pPr>
      <w:rPr>
        <w:rFonts w:ascii="Symbol" w:hAnsi="Symbol" w:hint="default"/>
      </w:rPr>
    </w:lvl>
    <w:lvl w:ilvl="4" w:tplc="04050003" w:tentative="1">
      <w:start w:val="1"/>
      <w:numFmt w:val="bullet"/>
      <w:lvlText w:val="o"/>
      <w:lvlJc w:val="left"/>
      <w:pPr>
        <w:ind w:left="3672" w:hanging="360"/>
      </w:pPr>
      <w:rPr>
        <w:rFonts w:ascii="Courier New" w:hAnsi="Courier New" w:cs="Courier New" w:hint="default"/>
      </w:rPr>
    </w:lvl>
    <w:lvl w:ilvl="5" w:tplc="04050005" w:tentative="1">
      <w:start w:val="1"/>
      <w:numFmt w:val="bullet"/>
      <w:lvlText w:val=""/>
      <w:lvlJc w:val="left"/>
      <w:pPr>
        <w:ind w:left="4392" w:hanging="360"/>
      </w:pPr>
      <w:rPr>
        <w:rFonts w:ascii="Wingdings" w:hAnsi="Wingdings" w:hint="default"/>
      </w:rPr>
    </w:lvl>
    <w:lvl w:ilvl="6" w:tplc="04050001" w:tentative="1">
      <w:start w:val="1"/>
      <w:numFmt w:val="bullet"/>
      <w:lvlText w:val=""/>
      <w:lvlJc w:val="left"/>
      <w:pPr>
        <w:ind w:left="5112" w:hanging="360"/>
      </w:pPr>
      <w:rPr>
        <w:rFonts w:ascii="Symbol" w:hAnsi="Symbol" w:hint="default"/>
      </w:rPr>
    </w:lvl>
    <w:lvl w:ilvl="7" w:tplc="04050003" w:tentative="1">
      <w:start w:val="1"/>
      <w:numFmt w:val="bullet"/>
      <w:lvlText w:val="o"/>
      <w:lvlJc w:val="left"/>
      <w:pPr>
        <w:ind w:left="5832" w:hanging="360"/>
      </w:pPr>
      <w:rPr>
        <w:rFonts w:ascii="Courier New" w:hAnsi="Courier New" w:cs="Courier New" w:hint="default"/>
      </w:rPr>
    </w:lvl>
    <w:lvl w:ilvl="8" w:tplc="04050005" w:tentative="1">
      <w:start w:val="1"/>
      <w:numFmt w:val="bullet"/>
      <w:lvlText w:val=""/>
      <w:lvlJc w:val="left"/>
      <w:pPr>
        <w:ind w:left="6552" w:hanging="360"/>
      </w:pPr>
      <w:rPr>
        <w:rFonts w:ascii="Wingdings" w:hAnsi="Wingdings" w:hint="default"/>
      </w:rPr>
    </w:lvl>
  </w:abstractNum>
  <w:abstractNum w:abstractNumId="88" w15:restartNumberingAfterBreak="0">
    <w:nsid w:val="4C674EB0"/>
    <w:multiLevelType w:val="hybridMultilevel"/>
    <w:tmpl w:val="00E4614E"/>
    <w:lvl w:ilvl="0" w:tplc="EA6E05AA">
      <w:start w:val="1"/>
      <w:numFmt w:val="bullet"/>
      <w:lvlText w:val="­"/>
      <w:lvlJc w:val="left"/>
      <w:pPr>
        <w:ind w:left="1429" w:hanging="360"/>
      </w:pPr>
      <w:rPr>
        <w:rFonts w:ascii="Courier New" w:hAnsi="Courier New" w:hint="default"/>
      </w:rPr>
    </w:lvl>
    <w:lvl w:ilvl="1" w:tplc="04050003" w:tentative="1">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89" w15:restartNumberingAfterBreak="0">
    <w:nsid w:val="4D29638B"/>
    <w:multiLevelType w:val="hybridMultilevel"/>
    <w:tmpl w:val="0D56FD96"/>
    <w:lvl w:ilvl="0" w:tplc="EA6E05AA">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0" w15:restartNumberingAfterBreak="0">
    <w:nsid w:val="4D545579"/>
    <w:multiLevelType w:val="hybridMultilevel"/>
    <w:tmpl w:val="81C4E264"/>
    <w:lvl w:ilvl="0" w:tplc="57167D7E">
      <w:start w:val="1"/>
      <w:numFmt w:val="bullet"/>
      <w:lvlText w:val=""/>
      <w:lvlJc w:val="left"/>
      <w:pPr>
        <w:ind w:left="1287" w:hanging="360"/>
      </w:pPr>
      <w:rPr>
        <w:rFonts w:ascii="Symbol" w:hAnsi="Symbol"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91" w15:restartNumberingAfterBreak="0">
    <w:nsid w:val="4E3C2A72"/>
    <w:multiLevelType w:val="hybridMultilevel"/>
    <w:tmpl w:val="291C6F4C"/>
    <w:lvl w:ilvl="0" w:tplc="D084D772">
      <w:numFmt w:val="bullet"/>
      <w:lvlText w:val="*"/>
      <w:lvlJc w:val="left"/>
      <w:pPr>
        <w:ind w:left="1298" w:hanging="360"/>
      </w:pPr>
      <w:rPr>
        <w:rFonts w:ascii="Arial" w:eastAsia="Times New Roman" w:hAnsi="Arial" w:hint="default"/>
      </w:rPr>
    </w:lvl>
    <w:lvl w:ilvl="1" w:tplc="04050003" w:tentative="1">
      <w:start w:val="1"/>
      <w:numFmt w:val="bullet"/>
      <w:lvlText w:val="o"/>
      <w:lvlJc w:val="left"/>
      <w:pPr>
        <w:ind w:left="2018" w:hanging="360"/>
      </w:pPr>
      <w:rPr>
        <w:rFonts w:ascii="Courier New" w:hAnsi="Courier New" w:cs="Courier New" w:hint="default"/>
      </w:rPr>
    </w:lvl>
    <w:lvl w:ilvl="2" w:tplc="D084D772">
      <w:numFmt w:val="bullet"/>
      <w:lvlText w:val="*"/>
      <w:lvlJc w:val="left"/>
      <w:pPr>
        <w:ind w:left="2738" w:hanging="360"/>
      </w:pPr>
      <w:rPr>
        <w:rFonts w:ascii="Arial" w:eastAsia="Times New Roman" w:hAnsi="Arial"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92" w15:restartNumberingAfterBreak="0">
    <w:nsid w:val="50022DF6"/>
    <w:multiLevelType w:val="hybridMultilevel"/>
    <w:tmpl w:val="083066B2"/>
    <w:lvl w:ilvl="0" w:tplc="48A41D60">
      <w:start w:val="1"/>
      <w:numFmt w:val="bullet"/>
      <w:lvlText w:val="-"/>
      <w:lvlJc w:val="left"/>
      <w:pPr>
        <w:ind w:left="1286" w:hanging="360"/>
      </w:pPr>
      <w:rPr>
        <w:rFonts w:ascii="Calibri" w:eastAsia="Calibri" w:hAnsi="Calibri" w:cs="Calibri" w:hint="default"/>
        <w:b w:val="0"/>
        <w:i w:val="0"/>
        <w:strike w:val="0"/>
        <w:dstrike w:val="0"/>
        <w:color w:val="000000"/>
        <w:sz w:val="26"/>
        <w:szCs w:val="26"/>
        <w:u w:val="none" w:color="000000"/>
        <w:bdr w:val="none" w:sz="0" w:space="0" w:color="auto"/>
        <w:shd w:val="clear" w:color="auto" w:fill="auto"/>
        <w:vertAlign w:val="baseline"/>
      </w:rPr>
    </w:lvl>
    <w:lvl w:ilvl="1" w:tplc="04050003" w:tentative="1">
      <w:start w:val="1"/>
      <w:numFmt w:val="bullet"/>
      <w:lvlText w:val="o"/>
      <w:lvlJc w:val="left"/>
      <w:pPr>
        <w:ind w:left="2006" w:hanging="360"/>
      </w:pPr>
      <w:rPr>
        <w:rFonts w:ascii="Courier New" w:hAnsi="Courier New" w:cs="Courier New" w:hint="default"/>
      </w:rPr>
    </w:lvl>
    <w:lvl w:ilvl="2" w:tplc="04050005" w:tentative="1">
      <w:start w:val="1"/>
      <w:numFmt w:val="bullet"/>
      <w:lvlText w:val=""/>
      <w:lvlJc w:val="left"/>
      <w:pPr>
        <w:ind w:left="2726" w:hanging="360"/>
      </w:pPr>
      <w:rPr>
        <w:rFonts w:ascii="Wingdings" w:hAnsi="Wingdings" w:hint="default"/>
      </w:rPr>
    </w:lvl>
    <w:lvl w:ilvl="3" w:tplc="04050001" w:tentative="1">
      <w:start w:val="1"/>
      <w:numFmt w:val="bullet"/>
      <w:lvlText w:val=""/>
      <w:lvlJc w:val="left"/>
      <w:pPr>
        <w:ind w:left="3446" w:hanging="360"/>
      </w:pPr>
      <w:rPr>
        <w:rFonts w:ascii="Symbol" w:hAnsi="Symbol" w:hint="default"/>
      </w:rPr>
    </w:lvl>
    <w:lvl w:ilvl="4" w:tplc="04050003" w:tentative="1">
      <w:start w:val="1"/>
      <w:numFmt w:val="bullet"/>
      <w:lvlText w:val="o"/>
      <w:lvlJc w:val="left"/>
      <w:pPr>
        <w:ind w:left="4166" w:hanging="360"/>
      </w:pPr>
      <w:rPr>
        <w:rFonts w:ascii="Courier New" w:hAnsi="Courier New" w:cs="Courier New" w:hint="default"/>
      </w:rPr>
    </w:lvl>
    <w:lvl w:ilvl="5" w:tplc="04050005" w:tentative="1">
      <w:start w:val="1"/>
      <w:numFmt w:val="bullet"/>
      <w:lvlText w:val=""/>
      <w:lvlJc w:val="left"/>
      <w:pPr>
        <w:ind w:left="4886" w:hanging="360"/>
      </w:pPr>
      <w:rPr>
        <w:rFonts w:ascii="Wingdings" w:hAnsi="Wingdings" w:hint="default"/>
      </w:rPr>
    </w:lvl>
    <w:lvl w:ilvl="6" w:tplc="04050001" w:tentative="1">
      <w:start w:val="1"/>
      <w:numFmt w:val="bullet"/>
      <w:lvlText w:val=""/>
      <w:lvlJc w:val="left"/>
      <w:pPr>
        <w:ind w:left="5606" w:hanging="360"/>
      </w:pPr>
      <w:rPr>
        <w:rFonts w:ascii="Symbol" w:hAnsi="Symbol" w:hint="default"/>
      </w:rPr>
    </w:lvl>
    <w:lvl w:ilvl="7" w:tplc="04050003" w:tentative="1">
      <w:start w:val="1"/>
      <w:numFmt w:val="bullet"/>
      <w:lvlText w:val="o"/>
      <w:lvlJc w:val="left"/>
      <w:pPr>
        <w:ind w:left="6326" w:hanging="360"/>
      </w:pPr>
      <w:rPr>
        <w:rFonts w:ascii="Courier New" w:hAnsi="Courier New" w:cs="Courier New" w:hint="default"/>
      </w:rPr>
    </w:lvl>
    <w:lvl w:ilvl="8" w:tplc="04050005" w:tentative="1">
      <w:start w:val="1"/>
      <w:numFmt w:val="bullet"/>
      <w:lvlText w:val=""/>
      <w:lvlJc w:val="left"/>
      <w:pPr>
        <w:ind w:left="7046" w:hanging="360"/>
      </w:pPr>
      <w:rPr>
        <w:rFonts w:ascii="Wingdings" w:hAnsi="Wingdings" w:hint="default"/>
      </w:rPr>
    </w:lvl>
  </w:abstractNum>
  <w:abstractNum w:abstractNumId="93" w15:restartNumberingAfterBreak="0">
    <w:nsid w:val="50033B88"/>
    <w:multiLevelType w:val="hybridMultilevel"/>
    <w:tmpl w:val="44D4DF2C"/>
    <w:lvl w:ilvl="0" w:tplc="48A41D60">
      <w:start w:val="1"/>
      <w:numFmt w:val="bullet"/>
      <w:lvlText w:val="-"/>
      <w:lvlJc w:val="left"/>
      <w:pPr>
        <w:ind w:left="629"/>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1" w:tplc="31DC0EAA">
      <w:start w:val="1"/>
      <w:numFmt w:val="bullet"/>
      <w:lvlText w:val="o"/>
      <w:lvlJc w:val="left"/>
      <w:pPr>
        <w:ind w:left="1716"/>
      </w:pPr>
      <w:rPr>
        <w:rFonts w:ascii="Calibri" w:eastAsia="Calibri" w:hAnsi="Calibri" w:cs="Calibri"/>
        <w:b w:val="0"/>
        <w:i w:val="0"/>
        <w:strike w:val="0"/>
        <w:dstrike w:val="0"/>
        <w:color w:val="000000"/>
        <w:sz w:val="34"/>
        <w:szCs w:val="34"/>
        <w:u w:val="none" w:color="000000"/>
        <w:bdr w:val="none" w:sz="0" w:space="0" w:color="auto"/>
        <w:shd w:val="clear" w:color="auto" w:fill="auto"/>
        <w:vertAlign w:val="baseline"/>
      </w:rPr>
    </w:lvl>
    <w:lvl w:ilvl="2" w:tplc="11683CDC">
      <w:start w:val="1"/>
      <w:numFmt w:val="bullet"/>
      <w:lvlText w:val="▪"/>
      <w:lvlJc w:val="left"/>
      <w:pPr>
        <w:ind w:left="2436"/>
      </w:pPr>
      <w:rPr>
        <w:rFonts w:ascii="Calibri" w:eastAsia="Calibri" w:hAnsi="Calibri" w:cs="Calibri"/>
        <w:b w:val="0"/>
        <w:i w:val="0"/>
        <w:strike w:val="0"/>
        <w:dstrike w:val="0"/>
        <w:color w:val="000000"/>
        <w:sz w:val="34"/>
        <w:szCs w:val="34"/>
        <w:u w:val="none" w:color="000000"/>
        <w:bdr w:val="none" w:sz="0" w:space="0" w:color="auto"/>
        <w:shd w:val="clear" w:color="auto" w:fill="auto"/>
        <w:vertAlign w:val="baseline"/>
      </w:rPr>
    </w:lvl>
    <w:lvl w:ilvl="3" w:tplc="4396504C">
      <w:start w:val="1"/>
      <w:numFmt w:val="bullet"/>
      <w:lvlText w:val="•"/>
      <w:lvlJc w:val="left"/>
      <w:pPr>
        <w:ind w:left="3156"/>
      </w:pPr>
      <w:rPr>
        <w:rFonts w:ascii="Calibri" w:eastAsia="Calibri" w:hAnsi="Calibri" w:cs="Calibri"/>
        <w:b w:val="0"/>
        <w:i w:val="0"/>
        <w:strike w:val="0"/>
        <w:dstrike w:val="0"/>
        <w:color w:val="000000"/>
        <w:sz w:val="34"/>
        <w:szCs w:val="34"/>
        <w:u w:val="none" w:color="000000"/>
        <w:bdr w:val="none" w:sz="0" w:space="0" w:color="auto"/>
        <w:shd w:val="clear" w:color="auto" w:fill="auto"/>
        <w:vertAlign w:val="baseline"/>
      </w:rPr>
    </w:lvl>
    <w:lvl w:ilvl="4" w:tplc="F6D61082">
      <w:start w:val="1"/>
      <w:numFmt w:val="bullet"/>
      <w:lvlText w:val="o"/>
      <w:lvlJc w:val="left"/>
      <w:pPr>
        <w:ind w:left="3876"/>
      </w:pPr>
      <w:rPr>
        <w:rFonts w:ascii="Calibri" w:eastAsia="Calibri" w:hAnsi="Calibri" w:cs="Calibri"/>
        <w:b w:val="0"/>
        <w:i w:val="0"/>
        <w:strike w:val="0"/>
        <w:dstrike w:val="0"/>
        <w:color w:val="000000"/>
        <w:sz w:val="34"/>
        <w:szCs w:val="34"/>
        <w:u w:val="none" w:color="000000"/>
        <w:bdr w:val="none" w:sz="0" w:space="0" w:color="auto"/>
        <w:shd w:val="clear" w:color="auto" w:fill="auto"/>
        <w:vertAlign w:val="baseline"/>
      </w:rPr>
    </w:lvl>
    <w:lvl w:ilvl="5" w:tplc="C9403A5E">
      <w:start w:val="1"/>
      <w:numFmt w:val="bullet"/>
      <w:lvlText w:val="▪"/>
      <w:lvlJc w:val="left"/>
      <w:pPr>
        <w:ind w:left="4596"/>
      </w:pPr>
      <w:rPr>
        <w:rFonts w:ascii="Calibri" w:eastAsia="Calibri" w:hAnsi="Calibri" w:cs="Calibri"/>
        <w:b w:val="0"/>
        <w:i w:val="0"/>
        <w:strike w:val="0"/>
        <w:dstrike w:val="0"/>
        <w:color w:val="000000"/>
        <w:sz w:val="34"/>
        <w:szCs w:val="34"/>
        <w:u w:val="none" w:color="000000"/>
        <w:bdr w:val="none" w:sz="0" w:space="0" w:color="auto"/>
        <w:shd w:val="clear" w:color="auto" w:fill="auto"/>
        <w:vertAlign w:val="baseline"/>
      </w:rPr>
    </w:lvl>
    <w:lvl w:ilvl="6" w:tplc="723288B4">
      <w:start w:val="1"/>
      <w:numFmt w:val="bullet"/>
      <w:lvlText w:val="•"/>
      <w:lvlJc w:val="left"/>
      <w:pPr>
        <w:ind w:left="5316"/>
      </w:pPr>
      <w:rPr>
        <w:rFonts w:ascii="Calibri" w:eastAsia="Calibri" w:hAnsi="Calibri" w:cs="Calibri"/>
        <w:b w:val="0"/>
        <w:i w:val="0"/>
        <w:strike w:val="0"/>
        <w:dstrike w:val="0"/>
        <w:color w:val="000000"/>
        <w:sz w:val="34"/>
        <w:szCs w:val="34"/>
        <w:u w:val="none" w:color="000000"/>
        <w:bdr w:val="none" w:sz="0" w:space="0" w:color="auto"/>
        <w:shd w:val="clear" w:color="auto" w:fill="auto"/>
        <w:vertAlign w:val="baseline"/>
      </w:rPr>
    </w:lvl>
    <w:lvl w:ilvl="7" w:tplc="E46243A0">
      <w:start w:val="1"/>
      <w:numFmt w:val="bullet"/>
      <w:lvlText w:val="o"/>
      <w:lvlJc w:val="left"/>
      <w:pPr>
        <w:ind w:left="6036"/>
      </w:pPr>
      <w:rPr>
        <w:rFonts w:ascii="Calibri" w:eastAsia="Calibri" w:hAnsi="Calibri" w:cs="Calibri"/>
        <w:b w:val="0"/>
        <w:i w:val="0"/>
        <w:strike w:val="0"/>
        <w:dstrike w:val="0"/>
        <w:color w:val="000000"/>
        <w:sz w:val="34"/>
        <w:szCs w:val="34"/>
        <w:u w:val="none" w:color="000000"/>
        <w:bdr w:val="none" w:sz="0" w:space="0" w:color="auto"/>
        <w:shd w:val="clear" w:color="auto" w:fill="auto"/>
        <w:vertAlign w:val="baseline"/>
      </w:rPr>
    </w:lvl>
    <w:lvl w:ilvl="8" w:tplc="E836FC28">
      <w:start w:val="1"/>
      <w:numFmt w:val="bullet"/>
      <w:lvlText w:val="▪"/>
      <w:lvlJc w:val="left"/>
      <w:pPr>
        <w:ind w:left="6756"/>
      </w:pPr>
      <w:rPr>
        <w:rFonts w:ascii="Calibri" w:eastAsia="Calibri" w:hAnsi="Calibri" w:cs="Calibri"/>
        <w:b w:val="0"/>
        <w:i w:val="0"/>
        <w:strike w:val="0"/>
        <w:dstrike w:val="0"/>
        <w:color w:val="000000"/>
        <w:sz w:val="34"/>
        <w:szCs w:val="34"/>
        <w:u w:val="none" w:color="000000"/>
        <w:bdr w:val="none" w:sz="0" w:space="0" w:color="auto"/>
        <w:shd w:val="clear" w:color="auto" w:fill="auto"/>
        <w:vertAlign w:val="baseline"/>
      </w:rPr>
    </w:lvl>
  </w:abstractNum>
  <w:abstractNum w:abstractNumId="94" w15:restartNumberingAfterBreak="0">
    <w:nsid w:val="521D5927"/>
    <w:multiLevelType w:val="hybridMultilevel"/>
    <w:tmpl w:val="09741060"/>
    <w:lvl w:ilvl="0" w:tplc="DD0476B2">
      <w:start w:val="1"/>
      <w:numFmt w:val="lowerLetter"/>
      <w:lvlText w:val="%1)"/>
      <w:lvlJc w:val="left"/>
      <w:pPr>
        <w:ind w:left="720" w:hanging="360"/>
      </w:pPr>
      <w:rPr>
        <w:rFonts w:hint="default"/>
      </w:rPr>
    </w:lvl>
    <w:lvl w:ilvl="1" w:tplc="04050017">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5" w15:restartNumberingAfterBreak="0">
    <w:nsid w:val="52526926"/>
    <w:multiLevelType w:val="hybridMultilevel"/>
    <w:tmpl w:val="3CC02234"/>
    <w:lvl w:ilvl="0" w:tplc="E2F8F3F0">
      <w:start w:val="1"/>
      <w:numFmt w:val="bullet"/>
      <w:lvlText w:val=""/>
      <w:lvlJc w:val="left"/>
      <w:pPr>
        <w:ind w:left="1298" w:hanging="360"/>
      </w:pPr>
      <w:rPr>
        <w:rFonts w:ascii="Symbol" w:hAnsi="Symbol" w:hint="default"/>
      </w:rPr>
    </w:lvl>
    <w:lvl w:ilvl="1" w:tplc="04050003" w:tentative="1">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96" w15:restartNumberingAfterBreak="0">
    <w:nsid w:val="52BA7C13"/>
    <w:multiLevelType w:val="hybridMultilevel"/>
    <w:tmpl w:val="6DC24DE8"/>
    <w:lvl w:ilvl="0" w:tplc="EA6E05AA">
      <w:start w:val="1"/>
      <w:numFmt w:val="bullet"/>
      <w:lvlText w:val="­"/>
      <w:lvlJc w:val="left"/>
      <w:pPr>
        <w:ind w:left="1287" w:hanging="360"/>
      </w:pPr>
      <w:rPr>
        <w:rFonts w:ascii="Courier New" w:hAnsi="Courier New"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97" w15:restartNumberingAfterBreak="0">
    <w:nsid w:val="538969E8"/>
    <w:multiLevelType w:val="hybridMultilevel"/>
    <w:tmpl w:val="843A0BB6"/>
    <w:lvl w:ilvl="0" w:tplc="E2F8F3F0">
      <w:start w:val="1"/>
      <w:numFmt w:val="bullet"/>
      <w:lvlText w:val=""/>
      <w:lvlJc w:val="left"/>
      <w:pPr>
        <w:ind w:left="1298" w:hanging="360"/>
      </w:pPr>
      <w:rPr>
        <w:rFonts w:ascii="Symbol" w:hAnsi="Symbol" w:hint="default"/>
      </w:rPr>
    </w:lvl>
    <w:lvl w:ilvl="1" w:tplc="04050003" w:tentative="1">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98" w15:restartNumberingAfterBreak="0">
    <w:nsid w:val="53A06AF6"/>
    <w:multiLevelType w:val="hybridMultilevel"/>
    <w:tmpl w:val="52644A18"/>
    <w:lvl w:ilvl="0" w:tplc="D084D772">
      <w:numFmt w:val="bullet"/>
      <w:lvlText w:val="*"/>
      <w:lvlJc w:val="left"/>
      <w:pPr>
        <w:ind w:left="1296" w:hanging="360"/>
      </w:pPr>
      <w:rPr>
        <w:rFonts w:ascii="Arial" w:eastAsia="Times New Roman" w:hAnsi="Arial" w:hint="default"/>
      </w:rPr>
    </w:lvl>
    <w:lvl w:ilvl="1" w:tplc="F816FD32">
      <w:numFmt w:val="bullet"/>
      <w:lvlText w:val="­"/>
      <w:lvlJc w:val="left"/>
      <w:pPr>
        <w:ind w:left="2016" w:hanging="360"/>
      </w:pPr>
      <w:rPr>
        <w:rFonts w:ascii="Arial" w:eastAsia="Times New Roman" w:hAnsi="Arial" w:hint="default"/>
      </w:rPr>
    </w:lvl>
    <w:lvl w:ilvl="2" w:tplc="04050005" w:tentative="1">
      <w:start w:val="1"/>
      <w:numFmt w:val="bullet"/>
      <w:lvlText w:val=""/>
      <w:lvlJc w:val="left"/>
      <w:pPr>
        <w:ind w:left="2736" w:hanging="360"/>
      </w:pPr>
      <w:rPr>
        <w:rFonts w:ascii="Wingdings" w:hAnsi="Wingdings" w:hint="default"/>
      </w:rPr>
    </w:lvl>
    <w:lvl w:ilvl="3" w:tplc="04050001" w:tentative="1">
      <w:start w:val="1"/>
      <w:numFmt w:val="bullet"/>
      <w:lvlText w:val=""/>
      <w:lvlJc w:val="left"/>
      <w:pPr>
        <w:ind w:left="3456" w:hanging="360"/>
      </w:pPr>
      <w:rPr>
        <w:rFonts w:ascii="Symbol" w:hAnsi="Symbol" w:hint="default"/>
      </w:rPr>
    </w:lvl>
    <w:lvl w:ilvl="4" w:tplc="04050003" w:tentative="1">
      <w:start w:val="1"/>
      <w:numFmt w:val="bullet"/>
      <w:lvlText w:val="o"/>
      <w:lvlJc w:val="left"/>
      <w:pPr>
        <w:ind w:left="4176" w:hanging="360"/>
      </w:pPr>
      <w:rPr>
        <w:rFonts w:ascii="Courier New" w:hAnsi="Courier New" w:cs="Courier New" w:hint="default"/>
      </w:rPr>
    </w:lvl>
    <w:lvl w:ilvl="5" w:tplc="04050005" w:tentative="1">
      <w:start w:val="1"/>
      <w:numFmt w:val="bullet"/>
      <w:lvlText w:val=""/>
      <w:lvlJc w:val="left"/>
      <w:pPr>
        <w:ind w:left="4896" w:hanging="360"/>
      </w:pPr>
      <w:rPr>
        <w:rFonts w:ascii="Wingdings" w:hAnsi="Wingdings" w:hint="default"/>
      </w:rPr>
    </w:lvl>
    <w:lvl w:ilvl="6" w:tplc="04050001" w:tentative="1">
      <w:start w:val="1"/>
      <w:numFmt w:val="bullet"/>
      <w:lvlText w:val=""/>
      <w:lvlJc w:val="left"/>
      <w:pPr>
        <w:ind w:left="5616" w:hanging="360"/>
      </w:pPr>
      <w:rPr>
        <w:rFonts w:ascii="Symbol" w:hAnsi="Symbol" w:hint="default"/>
      </w:rPr>
    </w:lvl>
    <w:lvl w:ilvl="7" w:tplc="04050003" w:tentative="1">
      <w:start w:val="1"/>
      <w:numFmt w:val="bullet"/>
      <w:lvlText w:val="o"/>
      <w:lvlJc w:val="left"/>
      <w:pPr>
        <w:ind w:left="6336" w:hanging="360"/>
      </w:pPr>
      <w:rPr>
        <w:rFonts w:ascii="Courier New" w:hAnsi="Courier New" w:cs="Courier New" w:hint="default"/>
      </w:rPr>
    </w:lvl>
    <w:lvl w:ilvl="8" w:tplc="04050005" w:tentative="1">
      <w:start w:val="1"/>
      <w:numFmt w:val="bullet"/>
      <w:lvlText w:val=""/>
      <w:lvlJc w:val="left"/>
      <w:pPr>
        <w:ind w:left="7056" w:hanging="360"/>
      </w:pPr>
      <w:rPr>
        <w:rFonts w:ascii="Wingdings" w:hAnsi="Wingdings" w:hint="default"/>
      </w:rPr>
    </w:lvl>
  </w:abstractNum>
  <w:abstractNum w:abstractNumId="99" w15:restartNumberingAfterBreak="0">
    <w:nsid w:val="54300106"/>
    <w:multiLevelType w:val="hybridMultilevel"/>
    <w:tmpl w:val="F3F46CAA"/>
    <w:lvl w:ilvl="0" w:tplc="27124A40">
      <w:start w:val="11"/>
      <w:numFmt w:val="bullet"/>
      <w:lvlText w:val="-"/>
      <w:lvlJc w:val="left"/>
      <w:pPr>
        <w:ind w:left="1185" w:hanging="360"/>
      </w:pPr>
      <w:rPr>
        <w:rFonts w:ascii="Arial" w:eastAsia="Calibri" w:hAnsi="Arial" w:cs="Arial" w:hint="default"/>
      </w:rPr>
    </w:lvl>
    <w:lvl w:ilvl="1" w:tplc="04050003" w:tentative="1">
      <w:start w:val="1"/>
      <w:numFmt w:val="bullet"/>
      <w:lvlText w:val="o"/>
      <w:lvlJc w:val="left"/>
      <w:pPr>
        <w:ind w:left="1905" w:hanging="360"/>
      </w:pPr>
      <w:rPr>
        <w:rFonts w:ascii="Courier New" w:hAnsi="Courier New" w:cs="Courier New" w:hint="default"/>
      </w:rPr>
    </w:lvl>
    <w:lvl w:ilvl="2" w:tplc="04050005" w:tentative="1">
      <w:start w:val="1"/>
      <w:numFmt w:val="bullet"/>
      <w:lvlText w:val=""/>
      <w:lvlJc w:val="left"/>
      <w:pPr>
        <w:ind w:left="2625" w:hanging="360"/>
      </w:pPr>
      <w:rPr>
        <w:rFonts w:ascii="Wingdings" w:hAnsi="Wingdings" w:hint="default"/>
      </w:rPr>
    </w:lvl>
    <w:lvl w:ilvl="3" w:tplc="04050001" w:tentative="1">
      <w:start w:val="1"/>
      <w:numFmt w:val="bullet"/>
      <w:lvlText w:val=""/>
      <w:lvlJc w:val="left"/>
      <w:pPr>
        <w:ind w:left="3345" w:hanging="360"/>
      </w:pPr>
      <w:rPr>
        <w:rFonts w:ascii="Symbol" w:hAnsi="Symbol" w:hint="default"/>
      </w:rPr>
    </w:lvl>
    <w:lvl w:ilvl="4" w:tplc="04050003" w:tentative="1">
      <w:start w:val="1"/>
      <w:numFmt w:val="bullet"/>
      <w:lvlText w:val="o"/>
      <w:lvlJc w:val="left"/>
      <w:pPr>
        <w:ind w:left="4065" w:hanging="360"/>
      </w:pPr>
      <w:rPr>
        <w:rFonts w:ascii="Courier New" w:hAnsi="Courier New" w:cs="Courier New" w:hint="default"/>
      </w:rPr>
    </w:lvl>
    <w:lvl w:ilvl="5" w:tplc="04050005" w:tentative="1">
      <w:start w:val="1"/>
      <w:numFmt w:val="bullet"/>
      <w:lvlText w:val=""/>
      <w:lvlJc w:val="left"/>
      <w:pPr>
        <w:ind w:left="4785" w:hanging="360"/>
      </w:pPr>
      <w:rPr>
        <w:rFonts w:ascii="Wingdings" w:hAnsi="Wingdings" w:hint="default"/>
      </w:rPr>
    </w:lvl>
    <w:lvl w:ilvl="6" w:tplc="04050001" w:tentative="1">
      <w:start w:val="1"/>
      <w:numFmt w:val="bullet"/>
      <w:lvlText w:val=""/>
      <w:lvlJc w:val="left"/>
      <w:pPr>
        <w:ind w:left="5505" w:hanging="360"/>
      </w:pPr>
      <w:rPr>
        <w:rFonts w:ascii="Symbol" w:hAnsi="Symbol" w:hint="default"/>
      </w:rPr>
    </w:lvl>
    <w:lvl w:ilvl="7" w:tplc="04050003" w:tentative="1">
      <w:start w:val="1"/>
      <w:numFmt w:val="bullet"/>
      <w:lvlText w:val="o"/>
      <w:lvlJc w:val="left"/>
      <w:pPr>
        <w:ind w:left="6225" w:hanging="360"/>
      </w:pPr>
      <w:rPr>
        <w:rFonts w:ascii="Courier New" w:hAnsi="Courier New" w:cs="Courier New" w:hint="default"/>
      </w:rPr>
    </w:lvl>
    <w:lvl w:ilvl="8" w:tplc="04050005" w:tentative="1">
      <w:start w:val="1"/>
      <w:numFmt w:val="bullet"/>
      <w:lvlText w:val=""/>
      <w:lvlJc w:val="left"/>
      <w:pPr>
        <w:ind w:left="6945" w:hanging="360"/>
      </w:pPr>
      <w:rPr>
        <w:rFonts w:ascii="Wingdings" w:hAnsi="Wingdings" w:hint="default"/>
      </w:rPr>
    </w:lvl>
  </w:abstractNum>
  <w:abstractNum w:abstractNumId="100" w15:restartNumberingAfterBreak="0">
    <w:nsid w:val="545F7DE4"/>
    <w:multiLevelType w:val="hybridMultilevel"/>
    <w:tmpl w:val="E44E26E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01" w15:restartNumberingAfterBreak="0">
    <w:nsid w:val="54742A54"/>
    <w:multiLevelType w:val="hybridMultilevel"/>
    <w:tmpl w:val="3976EAD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2" w15:restartNumberingAfterBreak="0">
    <w:nsid w:val="554E597E"/>
    <w:multiLevelType w:val="hybridMultilevel"/>
    <w:tmpl w:val="003407BC"/>
    <w:lvl w:ilvl="0" w:tplc="04050019">
      <w:start w:val="1"/>
      <w:numFmt w:val="lowerLetter"/>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3" w15:restartNumberingAfterBreak="0">
    <w:nsid w:val="56927845"/>
    <w:multiLevelType w:val="hybridMultilevel"/>
    <w:tmpl w:val="7094584C"/>
    <w:lvl w:ilvl="0" w:tplc="EA6E05AA">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4" w15:restartNumberingAfterBreak="0">
    <w:nsid w:val="56B815A2"/>
    <w:multiLevelType w:val="hybridMultilevel"/>
    <w:tmpl w:val="4668754E"/>
    <w:lvl w:ilvl="0" w:tplc="04050019">
      <w:start w:val="1"/>
      <w:numFmt w:val="lowerLetter"/>
      <w:lvlText w:val="%1."/>
      <w:lvlJc w:val="left"/>
      <w:pPr>
        <w:ind w:left="1287" w:hanging="360"/>
      </w:pPr>
    </w:lvl>
    <w:lvl w:ilvl="1" w:tplc="04050019" w:tentative="1">
      <w:start w:val="1"/>
      <w:numFmt w:val="lowerLetter"/>
      <w:lvlText w:val="%2."/>
      <w:lvlJc w:val="left"/>
      <w:pPr>
        <w:ind w:left="2007" w:hanging="360"/>
      </w:pPr>
    </w:lvl>
    <w:lvl w:ilvl="2" w:tplc="0405001B" w:tentative="1">
      <w:start w:val="1"/>
      <w:numFmt w:val="lowerRoman"/>
      <w:lvlText w:val="%3."/>
      <w:lvlJc w:val="right"/>
      <w:pPr>
        <w:ind w:left="2727" w:hanging="180"/>
      </w:pPr>
    </w:lvl>
    <w:lvl w:ilvl="3" w:tplc="0405000F" w:tentative="1">
      <w:start w:val="1"/>
      <w:numFmt w:val="decimal"/>
      <w:lvlText w:val="%4."/>
      <w:lvlJc w:val="left"/>
      <w:pPr>
        <w:ind w:left="3447" w:hanging="360"/>
      </w:pPr>
    </w:lvl>
    <w:lvl w:ilvl="4" w:tplc="04050019" w:tentative="1">
      <w:start w:val="1"/>
      <w:numFmt w:val="lowerLetter"/>
      <w:lvlText w:val="%5."/>
      <w:lvlJc w:val="left"/>
      <w:pPr>
        <w:ind w:left="4167" w:hanging="360"/>
      </w:pPr>
    </w:lvl>
    <w:lvl w:ilvl="5" w:tplc="0405001B" w:tentative="1">
      <w:start w:val="1"/>
      <w:numFmt w:val="lowerRoman"/>
      <w:lvlText w:val="%6."/>
      <w:lvlJc w:val="right"/>
      <w:pPr>
        <w:ind w:left="4887" w:hanging="180"/>
      </w:pPr>
    </w:lvl>
    <w:lvl w:ilvl="6" w:tplc="0405000F" w:tentative="1">
      <w:start w:val="1"/>
      <w:numFmt w:val="decimal"/>
      <w:lvlText w:val="%7."/>
      <w:lvlJc w:val="left"/>
      <w:pPr>
        <w:ind w:left="5607" w:hanging="360"/>
      </w:pPr>
    </w:lvl>
    <w:lvl w:ilvl="7" w:tplc="04050019" w:tentative="1">
      <w:start w:val="1"/>
      <w:numFmt w:val="lowerLetter"/>
      <w:lvlText w:val="%8."/>
      <w:lvlJc w:val="left"/>
      <w:pPr>
        <w:ind w:left="6327" w:hanging="360"/>
      </w:pPr>
    </w:lvl>
    <w:lvl w:ilvl="8" w:tplc="0405001B" w:tentative="1">
      <w:start w:val="1"/>
      <w:numFmt w:val="lowerRoman"/>
      <w:lvlText w:val="%9."/>
      <w:lvlJc w:val="right"/>
      <w:pPr>
        <w:ind w:left="7047" w:hanging="180"/>
      </w:pPr>
    </w:lvl>
  </w:abstractNum>
  <w:abstractNum w:abstractNumId="105" w15:restartNumberingAfterBreak="0">
    <w:nsid w:val="57A22D32"/>
    <w:multiLevelType w:val="hybridMultilevel"/>
    <w:tmpl w:val="1A9425A0"/>
    <w:lvl w:ilvl="0" w:tplc="F816FD32">
      <w:numFmt w:val="bullet"/>
      <w:lvlText w:val="­"/>
      <w:lvlJc w:val="left"/>
      <w:pPr>
        <w:ind w:left="720" w:hanging="360"/>
      </w:pPr>
      <w:rPr>
        <w:rFonts w:ascii="Arial" w:eastAsia="Times New Roman"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6" w15:restartNumberingAfterBreak="0">
    <w:nsid w:val="57ED5B84"/>
    <w:multiLevelType w:val="hybridMultilevel"/>
    <w:tmpl w:val="DAA2FFD2"/>
    <w:lvl w:ilvl="0" w:tplc="04050001">
      <w:start w:val="1"/>
      <w:numFmt w:val="bullet"/>
      <w:lvlText w:val=""/>
      <w:lvlJc w:val="left"/>
      <w:pPr>
        <w:ind w:left="1429" w:hanging="360"/>
      </w:pPr>
      <w:rPr>
        <w:rFonts w:ascii="Symbol" w:hAnsi="Symbol" w:hint="default"/>
      </w:rPr>
    </w:lvl>
    <w:lvl w:ilvl="1" w:tplc="04050003">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107" w15:restartNumberingAfterBreak="0">
    <w:nsid w:val="595851BB"/>
    <w:multiLevelType w:val="hybridMultilevel"/>
    <w:tmpl w:val="6364622E"/>
    <w:lvl w:ilvl="0" w:tplc="D084D772">
      <w:numFmt w:val="bullet"/>
      <w:lvlText w:val="*"/>
      <w:lvlJc w:val="left"/>
      <w:pPr>
        <w:ind w:left="720" w:hanging="360"/>
      </w:pPr>
      <w:rPr>
        <w:rFonts w:ascii="Arial" w:eastAsia="Times New Roman"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8" w15:restartNumberingAfterBreak="0">
    <w:nsid w:val="5A583BC6"/>
    <w:multiLevelType w:val="hybridMultilevel"/>
    <w:tmpl w:val="19145FEA"/>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9" w15:restartNumberingAfterBreak="0">
    <w:nsid w:val="5AA00101"/>
    <w:multiLevelType w:val="hybridMultilevel"/>
    <w:tmpl w:val="42CC0C8A"/>
    <w:lvl w:ilvl="0" w:tplc="EA6E05AA">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0" w15:restartNumberingAfterBreak="0">
    <w:nsid w:val="5AD146BF"/>
    <w:multiLevelType w:val="multilevel"/>
    <w:tmpl w:val="29087A48"/>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1" w15:restartNumberingAfterBreak="0">
    <w:nsid w:val="5BC97943"/>
    <w:multiLevelType w:val="hybridMultilevel"/>
    <w:tmpl w:val="74CE7F60"/>
    <w:lvl w:ilvl="0" w:tplc="04050001">
      <w:start w:val="1"/>
      <w:numFmt w:val="bullet"/>
      <w:lvlText w:val=""/>
      <w:lvlJc w:val="left"/>
      <w:pPr>
        <w:ind w:left="792" w:hanging="360"/>
      </w:pPr>
      <w:rPr>
        <w:rFonts w:ascii="Symbol" w:hAnsi="Symbol" w:hint="default"/>
      </w:rPr>
    </w:lvl>
    <w:lvl w:ilvl="1" w:tplc="04050003" w:tentative="1">
      <w:start w:val="1"/>
      <w:numFmt w:val="bullet"/>
      <w:lvlText w:val="o"/>
      <w:lvlJc w:val="left"/>
      <w:pPr>
        <w:ind w:left="1512" w:hanging="360"/>
      </w:pPr>
      <w:rPr>
        <w:rFonts w:ascii="Courier New" w:hAnsi="Courier New" w:cs="Courier New" w:hint="default"/>
      </w:rPr>
    </w:lvl>
    <w:lvl w:ilvl="2" w:tplc="04050005" w:tentative="1">
      <w:start w:val="1"/>
      <w:numFmt w:val="bullet"/>
      <w:lvlText w:val=""/>
      <w:lvlJc w:val="left"/>
      <w:pPr>
        <w:ind w:left="2232" w:hanging="360"/>
      </w:pPr>
      <w:rPr>
        <w:rFonts w:ascii="Wingdings" w:hAnsi="Wingdings" w:hint="default"/>
      </w:rPr>
    </w:lvl>
    <w:lvl w:ilvl="3" w:tplc="04050001" w:tentative="1">
      <w:start w:val="1"/>
      <w:numFmt w:val="bullet"/>
      <w:lvlText w:val=""/>
      <w:lvlJc w:val="left"/>
      <w:pPr>
        <w:ind w:left="2952" w:hanging="360"/>
      </w:pPr>
      <w:rPr>
        <w:rFonts w:ascii="Symbol" w:hAnsi="Symbol" w:hint="default"/>
      </w:rPr>
    </w:lvl>
    <w:lvl w:ilvl="4" w:tplc="04050003" w:tentative="1">
      <w:start w:val="1"/>
      <w:numFmt w:val="bullet"/>
      <w:lvlText w:val="o"/>
      <w:lvlJc w:val="left"/>
      <w:pPr>
        <w:ind w:left="3672" w:hanging="360"/>
      </w:pPr>
      <w:rPr>
        <w:rFonts w:ascii="Courier New" w:hAnsi="Courier New" w:cs="Courier New" w:hint="default"/>
      </w:rPr>
    </w:lvl>
    <w:lvl w:ilvl="5" w:tplc="04050005" w:tentative="1">
      <w:start w:val="1"/>
      <w:numFmt w:val="bullet"/>
      <w:lvlText w:val=""/>
      <w:lvlJc w:val="left"/>
      <w:pPr>
        <w:ind w:left="4392" w:hanging="360"/>
      </w:pPr>
      <w:rPr>
        <w:rFonts w:ascii="Wingdings" w:hAnsi="Wingdings" w:hint="default"/>
      </w:rPr>
    </w:lvl>
    <w:lvl w:ilvl="6" w:tplc="04050001" w:tentative="1">
      <w:start w:val="1"/>
      <w:numFmt w:val="bullet"/>
      <w:lvlText w:val=""/>
      <w:lvlJc w:val="left"/>
      <w:pPr>
        <w:ind w:left="5112" w:hanging="360"/>
      </w:pPr>
      <w:rPr>
        <w:rFonts w:ascii="Symbol" w:hAnsi="Symbol" w:hint="default"/>
      </w:rPr>
    </w:lvl>
    <w:lvl w:ilvl="7" w:tplc="04050003" w:tentative="1">
      <w:start w:val="1"/>
      <w:numFmt w:val="bullet"/>
      <w:lvlText w:val="o"/>
      <w:lvlJc w:val="left"/>
      <w:pPr>
        <w:ind w:left="5832" w:hanging="360"/>
      </w:pPr>
      <w:rPr>
        <w:rFonts w:ascii="Courier New" w:hAnsi="Courier New" w:cs="Courier New" w:hint="default"/>
      </w:rPr>
    </w:lvl>
    <w:lvl w:ilvl="8" w:tplc="04050005" w:tentative="1">
      <w:start w:val="1"/>
      <w:numFmt w:val="bullet"/>
      <w:lvlText w:val=""/>
      <w:lvlJc w:val="left"/>
      <w:pPr>
        <w:ind w:left="6552" w:hanging="360"/>
      </w:pPr>
      <w:rPr>
        <w:rFonts w:ascii="Wingdings" w:hAnsi="Wingdings" w:hint="default"/>
      </w:rPr>
    </w:lvl>
  </w:abstractNum>
  <w:abstractNum w:abstractNumId="112" w15:restartNumberingAfterBreak="0">
    <w:nsid w:val="5BCE35E0"/>
    <w:multiLevelType w:val="hybridMultilevel"/>
    <w:tmpl w:val="2C3EA282"/>
    <w:lvl w:ilvl="0" w:tplc="D084D772">
      <w:numFmt w:val="bullet"/>
      <w:lvlText w:val="*"/>
      <w:lvlJc w:val="left"/>
      <w:pPr>
        <w:ind w:left="1296" w:hanging="360"/>
      </w:pPr>
      <w:rPr>
        <w:rFonts w:ascii="Arial" w:eastAsia="Times New Roman" w:hAnsi="Arial" w:hint="default"/>
      </w:rPr>
    </w:lvl>
    <w:lvl w:ilvl="1" w:tplc="04050003" w:tentative="1">
      <w:start w:val="1"/>
      <w:numFmt w:val="bullet"/>
      <w:lvlText w:val="o"/>
      <w:lvlJc w:val="left"/>
      <w:pPr>
        <w:ind w:left="2016" w:hanging="360"/>
      </w:pPr>
      <w:rPr>
        <w:rFonts w:ascii="Courier New" w:hAnsi="Courier New" w:cs="Courier New" w:hint="default"/>
      </w:rPr>
    </w:lvl>
    <w:lvl w:ilvl="2" w:tplc="04050005" w:tentative="1">
      <w:start w:val="1"/>
      <w:numFmt w:val="bullet"/>
      <w:lvlText w:val=""/>
      <w:lvlJc w:val="left"/>
      <w:pPr>
        <w:ind w:left="2736" w:hanging="360"/>
      </w:pPr>
      <w:rPr>
        <w:rFonts w:ascii="Wingdings" w:hAnsi="Wingdings" w:hint="default"/>
      </w:rPr>
    </w:lvl>
    <w:lvl w:ilvl="3" w:tplc="04050001" w:tentative="1">
      <w:start w:val="1"/>
      <w:numFmt w:val="bullet"/>
      <w:lvlText w:val=""/>
      <w:lvlJc w:val="left"/>
      <w:pPr>
        <w:ind w:left="3456" w:hanging="360"/>
      </w:pPr>
      <w:rPr>
        <w:rFonts w:ascii="Symbol" w:hAnsi="Symbol" w:hint="default"/>
      </w:rPr>
    </w:lvl>
    <w:lvl w:ilvl="4" w:tplc="04050003" w:tentative="1">
      <w:start w:val="1"/>
      <w:numFmt w:val="bullet"/>
      <w:lvlText w:val="o"/>
      <w:lvlJc w:val="left"/>
      <w:pPr>
        <w:ind w:left="4176" w:hanging="360"/>
      </w:pPr>
      <w:rPr>
        <w:rFonts w:ascii="Courier New" w:hAnsi="Courier New" w:cs="Courier New" w:hint="default"/>
      </w:rPr>
    </w:lvl>
    <w:lvl w:ilvl="5" w:tplc="04050005" w:tentative="1">
      <w:start w:val="1"/>
      <w:numFmt w:val="bullet"/>
      <w:lvlText w:val=""/>
      <w:lvlJc w:val="left"/>
      <w:pPr>
        <w:ind w:left="4896" w:hanging="360"/>
      </w:pPr>
      <w:rPr>
        <w:rFonts w:ascii="Wingdings" w:hAnsi="Wingdings" w:hint="default"/>
      </w:rPr>
    </w:lvl>
    <w:lvl w:ilvl="6" w:tplc="04050001" w:tentative="1">
      <w:start w:val="1"/>
      <w:numFmt w:val="bullet"/>
      <w:lvlText w:val=""/>
      <w:lvlJc w:val="left"/>
      <w:pPr>
        <w:ind w:left="5616" w:hanging="360"/>
      </w:pPr>
      <w:rPr>
        <w:rFonts w:ascii="Symbol" w:hAnsi="Symbol" w:hint="default"/>
      </w:rPr>
    </w:lvl>
    <w:lvl w:ilvl="7" w:tplc="04050003" w:tentative="1">
      <w:start w:val="1"/>
      <w:numFmt w:val="bullet"/>
      <w:lvlText w:val="o"/>
      <w:lvlJc w:val="left"/>
      <w:pPr>
        <w:ind w:left="6336" w:hanging="360"/>
      </w:pPr>
      <w:rPr>
        <w:rFonts w:ascii="Courier New" w:hAnsi="Courier New" w:cs="Courier New" w:hint="default"/>
      </w:rPr>
    </w:lvl>
    <w:lvl w:ilvl="8" w:tplc="04050005" w:tentative="1">
      <w:start w:val="1"/>
      <w:numFmt w:val="bullet"/>
      <w:lvlText w:val=""/>
      <w:lvlJc w:val="left"/>
      <w:pPr>
        <w:ind w:left="7056" w:hanging="360"/>
      </w:pPr>
      <w:rPr>
        <w:rFonts w:ascii="Wingdings" w:hAnsi="Wingdings" w:hint="default"/>
      </w:rPr>
    </w:lvl>
  </w:abstractNum>
  <w:abstractNum w:abstractNumId="113" w15:restartNumberingAfterBreak="0">
    <w:nsid w:val="5D141847"/>
    <w:multiLevelType w:val="hybridMultilevel"/>
    <w:tmpl w:val="2892BB6C"/>
    <w:lvl w:ilvl="0" w:tplc="D084D772">
      <w:numFmt w:val="bullet"/>
      <w:lvlText w:val="*"/>
      <w:lvlJc w:val="left"/>
      <w:pPr>
        <w:ind w:left="720" w:hanging="360"/>
      </w:pPr>
      <w:rPr>
        <w:rFonts w:ascii="Arial" w:eastAsia="Times New Roman" w:hAnsi="Arial" w:hint="default"/>
      </w:rPr>
    </w:lvl>
    <w:lvl w:ilvl="1" w:tplc="04050003" w:tentative="1">
      <w:start w:val="1"/>
      <w:numFmt w:val="bullet"/>
      <w:lvlText w:val="o"/>
      <w:lvlJc w:val="left"/>
      <w:pPr>
        <w:ind w:left="1440" w:hanging="360"/>
      </w:pPr>
      <w:rPr>
        <w:rFonts w:ascii="Courier New" w:hAnsi="Courier New" w:cs="Courier New" w:hint="default"/>
      </w:rPr>
    </w:lvl>
    <w:lvl w:ilvl="2" w:tplc="D084D772">
      <w:numFmt w:val="bullet"/>
      <w:lvlText w:val="*"/>
      <w:lvlJc w:val="left"/>
      <w:pPr>
        <w:ind w:left="2160" w:hanging="360"/>
      </w:pPr>
      <w:rPr>
        <w:rFonts w:ascii="Arial" w:eastAsia="Times New Roman" w:hAnsi="Arial"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4" w15:restartNumberingAfterBreak="0">
    <w:nsid w:val="5E24678B"/>
    <w:multiLevelType w:val="hybridMultilevel"/>
    <w:tmpl w:val="4EB6EB34"/>
    <w:lvl w:ilvl="0" w:tplc="04050015">
      <w:start w:val="1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5" w15:restartNumberingAfterBreak="0">
    <w:nsid w:val="5E704066"/>
    <w:multiLevelType w:val="hybridMultilevel"/>
    <w:tmpl w:val="AF98CD5C"/>
    <w:lvl w:ilvl="0" w:tplc="5072BDD8">
      <w:numFmt w:val="bullet"/>
      <w:lvlText w:val="-"/>
      <w:lvlJc w:val="left"/>
      <w:pPr>
        <w:tabs>
          <w:tab w:val="num" w:pos="1068"/>
        </w:tabs>
        <w:ind w:left="1068" w:hanging="360"/>
      </w:pPr>
      <w:rPr>
        <w:rFonts w:ascii="Times New Roman" w:eastAsia="Times New Roman" w:hAnsi="Times New Roman" w:hint="default"/>
      </w:rPr>
    </w:lvl>
    <w:lvl w:ilvl="1" w:tplc="04050003" w:tentative="1">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tentative="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116" w15:restartNumberingAfterBreak="0">
    <w:nsid w:val="5F1D1607"/>
    <w:multiLevelType w:val="hybridMultilevel"/>
    <w:tmpl w:val="67DE36CA"/>
    <w:lvl w:ilvl="0" w:tplc="48A41D60">
      <w:start w:val="1"/>
      <w:numFmt w:val="bullet"/>
      <w:lvlText w:val="-"/>
      <w:lvlJc w:val="left"/>
      <w:pPr>
        <w:ind w:left="758" w:hanging="360"/>
      </w:pPr>
      <w:rPr>
        <w:rFonts w:ascii="Calibri" w:eastAsia="Calibri" w:hAnsi="Calibri" w:cs="Calibri" w:hint="default"/>
        <w:b w:val="0"/>
        <w:i w:val="0"/>
        <w:strike w:val="0"/>
        <w:dstrike w:val="0"/>
        <w:color w:val="000000"/>
        <w:sz w:val="26"/>
        <w:szCs w:val="26"/>
        <w:u w:val="none" w:color="000000"/>
        <w:bdr w:val="none" w:sz="0" w:space="0" w:color="auto"/>
        <w:shd w:val="clear" w:color="auto" w:fill="auto"/>
        <w:vertAlign w:val="baseline"/>
      </w:rPr>
    </w:lvl>
    <w:lvl w:ilvl="1" w:tplc="04050003" w:tentative="1">
      <w:start w:val="1"/>
      <w:numFmt w:val="bullet"/>
      <w:lvlText w:val="o"/>
      <w:lvlJc w:val="left"/>
      <w:pPr>
        <w:ind w:left="1478" w:hanging="360"/>
      </w:pPr>
      <w:rPr>
        <w:rFonts w:ascii="Courier New" w:hAnsi="Courier New" w:cs="Courier New" w:hint="default"/>
      </w:rPr>
    </w:lvl>
    <w:lvl w:ilvl="2" w:tplc="04050005" w:tentative="1">
      <w:start w:val="1"/>
      <w:numFmt w:val="bullet"/>
      <w:lvlText w:val=""/>
      <w:lvlJc w:val="left"/>
      <w:pPr>
        <w:ind w:left="2198" w:hanging="360"/>
      </w:pPr>
      <w:rPr>
        <w:rFonts w:ascii="Wingdings" w:hAnsi="Wingdings" w:hint="default"/>
      </w:rPr>
    </w:lvl>
    <w:lvl w:ilvl="3" w:tplc="04050001" w:tentative="1">
      <w:start w:val="1"/>
      <w:numFmt w:val="bullet"/>
      <w:lvlText w:val=""/>
      <w:lvlJc w:val="left"/>
      <w:pPr>
        <w:ind w:left="2918" w:hanging="360"/>
      </w:pPr>
      <w:rPr>
        <w:rFonts w:ascii="Symbol" w:hAnsi="Symbol" w:hint="default"/>
      </w:rPr>
    </w:lvl>
    <w:lvl w:ilvl="4" w:tplc="04050003" w:tentative="1">
      <w:start w:val="1"/>
      <w:numFmt w:val="bullet"/>
      <w:lvlText w:val="o"/>
      <w:lvlJc w:val="left"/>
      <w:pPr>
        <w:ind w:left="3638" w:hanging="360"/>
      </w:pPr>
      <w:rPr>
        <w:rFonts w:ascii="Courier New" w:hAnsi="Courier New" w:cs="Courier New" w:hint="default"/>
      </w:rPr>
    </w:lvl>
    <w:lvl w:ilvl="5" w:tplc="04050005" w:tentative="1">
      <w:start w:val="1"/>
      <w:numFmt w:val="bullet"/>
      <w:lvlText w:val=""/>
      <w:lvlJc w:val="left"/>
      <w:pPr>
        <w:ind w:left="4358" w:hanging="360"/>
      </w:pPr>
      <w:rPr>
        <w:rFonts w:ascii="Wingdings" w:hAnsi="Wingdings" w:hint="default"/>
      </w:rPr>
    </w:lvl>
    <w:lvl w:ilvl="6" w:tplc="04050001" w:tentative="1">
      <w:start w:val="1"/>
      <w:numFmt w:val="bullet"/>
      <w:lvlText w:val=""/>
      <w:lvlJc w:val="left"/>
      <w:pPr>
        <w:ind w:left="5078" w:hanging="360"/>
      </w:pPr>
      <w:rPr>
        <w:rFonts w:ascii="Symbol" w:hAnsi="Symbol" w:hint="default"/>
      </w:rPr>
    </w:lvl>
    <w:lvl w:ilvl="7" w:tplc="04050003" w:tentative="1">
      <w:start w:val="1"/>
      <w:numFmt w:val="bullet"/>
      <w:lvlText w:val="o"/>
      <w:lvlJc w:val="left"/>
      <w:pPr>
        <w:ind w:left="5798" w:hanging="360"/>
      </w:pPr>
      <w:rPr>
        <w:rFonts w:ascii="Courier New" w:hAnsi="Courier New" w:cs="Courier New" w:hint="default"/>
      </w:rPr>
    </w:lvl>
    <w:lvl w:ilvl="8" w:tplc="04050005" w:tentative="1">
      <w:start w:val="1"/>
      <w:numFmt w:val="bullet"/>
      <w:lvlText w:val=""/>
      <w:lvlJc w:val="left"/>
      <w:pPr>
        <w:ind w:left="6518" w:hanging="360"/>
      </w:pPr>
      <w:rPr>
        <w:rFonts w:ascii="Wingdings" w:hAnsi="Wingdings" w:hint="default"/>
      </w:rPr>
    </w:lvl>
  </w:abstractNum>
  <w:abstractNum w:abstractNumId="117" w15:restartNumberingAfterBreak="0">
    <w:nsid w:val="5F6D239F"/>
    <w:multiLevelType w:val="hybridMultilevel"/>
    <w:tmpl w:val="A8AEB50C"/>
    <w:lvl w:ilvl="0" w:tplc="D084D772">
      <w:numFmt w:val="bullet"/>
      <w:lvlText w:val="*"/>
      <w:lvlJc w:val="left"/>
      <w:pPr>
        <w:ind w:left="1296" w:hanging="360"/>
      </w:pPr>
      <w:rPr>
        <w:rFonts w:ascii="Arial" w:eastAsia="Times New Roman" w:hAnsi="Arial" w:hint="default"/>
      </w:rPr>
    </w:lvl>
    <w:lvl w:ilvl="1" w:tplc="29949FE4">
      <w:start w:val="3"/>
      <w:numFmt w:val="bullet"/>
      <w:lvlText w:val="-"/>
      <w:lvlJc w:val="left"/>
      <w:pPr>
        <w:ind w:left="2016" w:hanging="360"/>
      </w:pPr>
      <w:rPr>
        <w:rFonts w:ascii="Arial" w:eastAsia="Times New Roman" w:hAnsi="Arial" w:cs="Arial" w:hint="default"/>
      </w:rPr>
    </w:lvl>
    <w:lvl w:ilvl="2" w:tplc="04050005" w:tentative="1">
      <w:start w:val="1"/>
      <w:numFmt w:val="bullet"/>
      <w:lvlText w:val=""/>
      <w:lvlJc w:val="left"/>
      <w:pPr>
        <w:ind w:left="2736" w:hanging="360"/>
      </w:pPr>
      <w:rPr>
        <w:rFonts w:ascii="Wingdings" w:hAnsi="Wingdings" w:hint="default"/>
      </w:rPr>
    </w:lvl>
    <w:lvl w:ilvl="3" w:tplc="04050001" w:tentative="1">
      <w:start w:val="1"/>
      <w:numFmt w:val="bullet"/>
      <w:lvlText w:val=""/>
      <w:lvlJc w:val="left"/>
      <w:pPr>
        <w:ind w:left="3456" w:hanging="360"/>
      </w:pPr>
      <w:rPr>
        <w:rFonts w:ascii="Symbol" w:hAnsi="Symbol" w:hint="default"/>
      </w:rPr>
    </w:lvl>
    <w:lvl w:ilvl="4" w:tplc="04050003" w:tentative="1">
      <w:start w:val="1"/>
      <w:numFmt w:val="bullet"/>
      <w:lvlText w:val="o"/>
      <w:lvlJc w:val="left"/>
      <w:pPr>
        <w:ind w:left="4176" w:hanging="360"/>
      </w:pPr>
      <w:rPr>
        <w:rFonts w:ascii="Courier New" w:hAnsi="Courier New" w:cs="Courier New" w:hint="default"/>
      </w:rPr>
    </w:lvl>
    <w:lvl w:ilvl="5" w:tplc="04050005" w:tentative="1">
      <w:start w:val="1"/>
      <w:numFmt w:val="bullet"/>
      <w:lvlText w:val=""/>
      <w:lvlJc w:val="left"/>
      <w:pPr>
        <w:ind w:left="4896" w:hanging="360"/>
      </w:pPr>
      <w:rPr>
        <w:rFonts w:ascii="Wingdings" w:hAnsi="Wingdings" w:hint="default"/>
      </w:rPr>
    </w:lvl>
    <w:lvl w:ilvl="6" w:tplc="04050001" w:tentative="1">
      <w:start w:val="1"/>
      <w:numFmt w:val="bullet"/>
      <w:lvlText w:val=""/>
      <w:lvlJc w:val="left"/>
      <w:pPr>
        <w:ind w:left="5616" w:hanging="360"/>
      </w:pPr>
      <w:rPr>
        <w:rFonts w:ascii="Symbol" w:hAnsi="Symbol" w:hint="default"/>
      </w:rPr>
    </w:lvl>
    <w:lvl w:ilvl="7" w:tplc="04050003" w:tentative="1">
      <w:start w:val="1"/>
      <w:numFmt w:val="bullet"/>
      <w:lvlText w:val="o"/>
      <w:lvlJc w:val="left"/>
      <w:pPr>
        <w:ind w:left="6336" w:hanging="360"/>
      </w:pPr>
      <w:rPr>
        <w:rFonts w:ascii="Courier New" w:hAnsi="Courier New" w:cs="Courier New" w:hint="default"/>
      </w:rPr>
    </w:lvl>
    <w:lvl w:ilvl="8" w:tplc="04050005" w:tentative="1">
      <w:start w:val="1"/>
      <w:numFmt w:val="bullet"/>
      <w:lvlText w:val=""/>
      <w:lvlJc w:val="left"/>
      <w:pPr>
        <w:ind w:left="7056" w:hanging="360"/>
      </w:pPr>
      <w:rPr>
        <w:rFonts w:ascii="Wingdings" w:hAnsi="Wingdings" w:hint="default"/>
      </w:rPr>
    </w:lvl>
  </w:abstractNum>
  <w:abstractNum w:abstractNumId="118" w15:restartNumberingAfterBreak="0">
    <w:nsid w:val="615549B6"/>
    <w:multiLevelType w:val="hybridMultilevel"/>
    <w:tmpl w:val="11ECDF6C"/>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119" w15:restartNumberingAfterBreak="0">
    <w:nsid w:val="6297009C"/>
    <w:multiLevelType w:val="hybridMultilevel"/>
    <w:tmpl w:val="96C69D08"/>
    <w:lvl w:ilvl="0" w:tplc="04050017">
      <w:start w:val="1"/>
      <w:numFmt w:val="lowerLetter"/>
      <w:lvlText w:val="%1)"/>
      <w:lvlJc w:val="left"/>
      <w:pPr>
        <w:ind w:left="1068" w:hanging="360"/>
      </w:pPr>
    </w:lvl>
    <w:lvl w:ilvl="1" w:tplc="04050019" w:tentative="1">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tentative="1">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120" w15:restartNumberingAfterBreak="0">
    <w:nsid w:val="62AF1277"/>
    <w:multiLevelType w:val="hybridMultilevel"/>
    <w:tmpl w:val="A97EDAF8"/>
    <w:lvl w:ilvl="0" w:tplc="8BBE5B2A">
      <w:start w:val="8"/>
      <w:numFmt w:val="decimal"/>
      <w:lvlText w:val="%1."/>
      <w:lvlJc w:val="left"/>
      <w:pPr>
        <w:ind w:left="1287" w:hanging="720"/>
      </w:pPr>
      <w:rPr>
        <w:rFonts w:hint="default"/>
      </w:rPr>
    </w:lvl>
    <w:lvl w:ilvl="1" w:tplc="04050019" w:tentative="1">
      <w:start w:val="1"/>
      <w:numFmt w:val="lowerLetter"/>
      <w:lvlText w:val="%2."/>
      <w:lvlJc w:val="left"/>
      <w:pPr>
        <w:ind w:left="1647" w:hanging="360"/>
      </w:pPr>
    </w:lvl>
    <w:lvl w:ilvl="2" w:tplc="0405001B" w:tentative="1">
      <w:start w:val="1"/>
      <w:numFmt w:val="lowerRoman"/>
      <w:lvlText w:val="%3."/>
      <w:lvlJc w:val="right"/>
      <w:pPr>
        <w:ind w:left="2367" w:hanging="180"/>
      </w:pPr>
    </w:lvl>
    <w:lvl w:ilvl="3" w:tplc="0405000F" w:tentative="1">
      <w:start w:val="1"/>
      <w:numFmt w:val="decimal"/>
      <w:lvlText w:val="%4."/>
      <w:lvlJc w:val="left"/>
      <w:pPr>
        <w:ind w:left="3087" w:hanging="360"/>
      </w:pPr>
    </w:lvl>
    <w:lvl w:ilvl="4" w:tplc="04050019" w:tentative="1">
      <w:start w:val="1"/>
      <w:numFmt w:val="lowerLetter"/>
      <w:lvlText w:val="%5."/>
      <w:lvlJc w:val="left"/>
      <w:pPr>
        <w:ind w:left="3807" w:hanging="360"/>
      </w:pPr>
    </w:lvl>
    <w:lvl w:ilvl="5" w:tplc="0405001B" w:tentative="1">
      <w:start w:val="1"/>
      <w:numFmt w:val="lowerRoman"/>
      <w:lvlText w:val="%6."/>
      <w:lvlJc w:val="right"/>
      <w:pPr>
        <w:ind w:left="4527" w:hanging="180"/>
      </w:pPr>
    </w:lvl>
    <w:lvl w:ilvl="6" w:tplc="0405000F" w:tentative="1">
      <w:start w:val="1"/>
      <w:numFmt w:val="decimal"/>
      <w:lvlText w:val="%7."/>
      <w:lvlJc w:val="left"/>
      <w:pPr>
        <w:ind w:left="5247" w:hanging="360"/>
      </w:pPr>
    </w:lvl>
    <w:lvl w:ilvl="7" w:tplc="04050019" w:tentative="1">
      <w:start w:val="1"/>
      <w:numFmt w:val="lowerLetter"/>
      <w:lvlText w:val="%8."/>
      <w:lvlJc w:val="left"/>
      <w:pPr>
        <w:ind w:left="5967" w:hanging="360"/>
      </w:pPr>
    </w:lvl>
    <w:lvl w:ilvl="8" w:tplc="0405001B" w:tentative="1">
      <w:start w:val="1"/>
      <w:numFmt w:val="lowerRoman"/>
      <w:lvlText w:val="%9."/>
      <w:lvlJc w:val="right"/>
      <w:pPr>
        <w:ind w:left="6687" w:hanging="180"/>
      </w:pPr>
    </w:lvl>
  </w:abstractNum>
  <w:abstractNum w:abstractNumId="121" w15:restartNumberingAfterBreak="0">
    <w:nsid w:val="635F10C5"/>
    <w:multiLevelType w:val="hybridMultilevel"/>
    <w:tmpl w:val="7FEE51F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2" w15:restartNumberingAfterBreak="0">
    <w:nsid w:val="644F6D4C"/>
    <w:multiLevelType w:val="hybridMultilevel"/>
    <w:tmpl w:val="6F70A58C"/>
    <w:lvl w:ilvl="0" w:tplc="E2F8F3F0">
      <w:start w:val="1"/>
      <w:numFmt w:val="bullet"/>
      <w:lvlText w:val=""/>
      <w:lvlJc w:val="left"/>
      <w:pPr>
        <w:ind w:left="1298" w:hanging="360"/>
      </w:pPr>
      <w:rPr>
        <w:rFonts w:ascii="Symbol" w:hAnsi="Symbol" w:hint="default"/>
      </w:rPr>
    </w:lvl>
    <w:lvl w:ilvl="1" w:tplc="92E6F522">
      <w:numFmt w:val="bullet"/>
      <w:lvlText w:val=""/>
      <w:lvlJc w:val="left"/>
      <w:pPr>
        <w:ind w:left="1440" w:hanging="360"/>
      </w:pPr>
      <w:rPr>
        <w:rFonts w:ascii="Symbol" w:eastAsia="Times New Roman" w:hAnsi="Symbol" w:cs="Times New Roman"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3" w15:restartNumberingAfterBreak="0">
    <w:nsid w:val="66B44B08"/>
    <w:multiLevelType w:val="hybridMultilevel"/>
    <w:tmpl w:val="552E4F38"/>
    <w:lvl w:ilvl="0" w:tplc="E2F8F3F0">
      <w:start w:val="1"/>
      <w:numFmt w:val="bullet"/>
      <w:lvlText w:val=""/>
      <w:lvlJc w:val="left"/>
      <w:pPr>
        <w:ind w:left="1298" w:hanging="360"/>
      </w:pPr>
      <w:rPr>
        <w:rFonts w:ascii="Symbol" w:hAnsi="Symbol" w:hint="default"/>
      </w:rPr>
    </w:lvl>
    <w:lvl w:ilvl="1" w:tplc="04050003" w:tentative="1">
      <w:start w:val="1"/>
      <w:numFmt w:val="bullet"/>
      <w:lvlText w:val="o"/>
      <w:lvlJc w:val="left"/>
      <w:pPr>
        <w:ind w:left="2018" w:hanging="360"/>
      </w:pPr>
      <w:rPr>
        <w:rFonts w:ascii="Courier New" w:hAnsi="Courier New" w:cs="Courier New"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124" w15:restartNumberingAfterBreak="0">
    <w:nsid w:val="677C52A4"/>
    <w:multiLevelType w:val="hybridMultilevel"/>
    <w:tmpl w:val="5B4836C8"/>
    <w:lvl w:ilvl="0" w:tplc="04050019">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5" w15:restartNumberingAfterBreak="0">
    <w:nsid w:val="67A747E0"/>
    <w:multiLevelType w:val="hybridMultilevel"/>
    <w:tmpl w:val="401E3344"/>
    <w:lvl w:ilvl="0" w:tplc="57167D7E">
      <w:start w:val="1"/>
      <w:numFmt w:val="bullet"/>
      <w:lvlText w:val=""/>
      <w:lvlJc w:val="left"/>
      <w:pPr>
        <w:ind w:left="1287"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6" w15:restartNumberingAfterBreak="0">
    <w:nsid w:val="686372ED"/>
    <w:multiLevelType w:val="hybridMultilevel"/>
    <w:tmpl w:val="01D24F8A"/>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127" w15:restartNumberingAfterBreak="0">
    <w:nsid w:val="6875145F"/>
    <w:multiLevelType w:val="hybridMultilevel"/>
    <w:tmpl w:val="7F0444AE"/>
    <w:lvl w:ilvl="0" w:tplc="BAFAAF96">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8" w15:restartNumberingAfterBreak="0">
    <w:nsid w:val="68930A38"/>
    <w:multiLevelType w:val="hybridMultilevel"/>
    <w:tmpl w:val="93FA69A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9" w15:restartNumberingAfterBreak="0">
    <w:nsid w:val="68D0449E"/>
    <w:multiLevelType w:val="hybridMultilevel"/>
    <w:tmpl w:val="2E84F8D2"/>
    <w:lvl w:ilvl="0" w:tplc="BAFAAF96">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0" w15:restartNumberingAfterBreak="0">
    <w:nsid w:val="6A464C04"/>
    <w:multiLevelType w:val="hybridMultilevel"/>
    <w:tmpl w:val="BE1A8C7C"/>
    <w:lvl w:ilvl="0" w:tplc="8BBE5B2A">
      <w:start w:val="4"/>
      <w:numFmt w:val="decimal"/>
      <w:lvlText w:val="%1."/>
      <w:lvlJc w:val="left"/>
      <w:pPr>
        <w:ind w:left="1287" w:hanging="720"/>
      </w:pPr>
      <w:rPr>
        <w:rFonts w:hint="default"/>
      </w:rPr>
    </w:lvl>
    <w:lvl w:ilvl="1" w:tplc="DD0476B2">
      <w:start w:val="1"/>
      <w:numFmt w:val="lowerLetter"/>
      <w:lvlText w:val="%2)"/>
      <w:lvlJc w:val="left"/>
      <w:pPr>
        <w:ind w:left="1647" w:hanging="360"/>
      </w:pPr>
      <w:rPr>
        <w:rFonts w:hint="default"/>
      </w:rPr>
    </w:lvl>
    <w:lvl w:ilvl="2" w:tplc="0405001B" w:tentative="1">
      <w:start w:val="1"/>
      <w:numFmt w:val="lowerRoman"/>
      <w:lvlText w:val="%3."/>
      <w:lvlJc w:val="right"/>
      <w:pPr>
        <w:ind w:left="2367" w:hanging="180"/>
      </w:pPr>
    </w:lvl>
    <w:lvl w:ilvl="3" w:tplc="0405000F" w:tentative="1">
      <w:start w:val="1"/>
      <w:numFmt w:val="decimal"/>
      <w:lvlText w:val="%4."/>
      <w:lvlJc w:val="left"/>
      <w:pPr>
        <w:ind w:left="3087" w:hanging="360"/>
      </w:pPr>
    </w:lvl>
    <w:lvl w:ilvl="4" w:tplc="04050019" w:tentative="1">
      <w:start w:val="1"/>
      <w:numFmt w:val="lowerLetter"/>
      <w:lvlText w:val="%5."/>
      <w:lvlJc w:val="left"/>
      <w:pPr>
        <w:ind w:left="3807" w:hanging="360"/>
      </w:pPr>
    </w:lvl>
    <w:lvl w:ilvl="5" w:tplc="0405001B" w:tentative="1">
      <w:start w:val="1"/>
      <w:numFmt w:val="lowerRoman"/>
      <w:lvlText w:val="%6."/>
      <w:lvlJc w:val="right"/>
      <w:pPr>
        <w:ind w:left="4527" w:hanging="180"/>
      </w:pPr>
    </w:lvl>
    <w:lvl w:ilvl="6" w:tplc="0405000F" w:tentative="1">
      <w:start w:val="1"/>
      <w:numFmt w:val="decimal"/>
      <w:lvlText w:val="%7."/>
      <w:lvlJc w:val="left"/>
      <w:pPr>
        <w:ind w:left="5247" w:hanging="360"/>
      </w:pPr>
    </w:lvl>
    <w:lvl w:ilvl="7" w:tplc="04050019" w:tentative="1">
      <w:start w:val="1"/>
      <w:numFmt w:val="lowerLetter"/>
      <w:lvlText w:val="%8."/>
      <w:lvlJc w:val="left"/>
      <w:pPr>
        <w:ind w:left="5967" w:hanging="360"/>
      </w:pPr>
    </w:lvl>
    <w:lvl w:ilvl="8" w:tplc="0405001B" w:tentative="1">
      <w:start w:val="1"/>
      <w:numFmt w:val="lowerRoman"/>
      <w:lvlText w:val="%9."/>
      <w:lvlJc w:val="right"/>
      <w:pPr>
        <w:ind w:left="6687" w:hanging="180"/>
      </w:pPr>
    </w:lvl>
  </w:abstractNum>
  <w:abstractNum w:abstractNumId="131" w15:restartNumberingAfterBreak="0">
    <w:nsid w:val="6AAF1A1F"/>
    <w:multiLevelType w:val="multilevel"/>
    <w:tmpl w:val="9404E81A"/>
    <w:lvl w:ilvl="0">
      <w:start w:val="1"/>
      <w:numFmt w:val="decimal"/>
      <w:pStyle w:val="Textodstavce"/>
      <w:isLgl/>
      <w:lvlText w:val="(%1)"/>
      <w:lvlJc w:val="left"/>
      <w:pPr>
        <w:tabs>
          <w:tab w:val="num" w:pos="785"/>
        </w:tabs>
        <w:ind w:left="0" w:firstLine="425"/>
      </w:pPr>
    </w:lvl>
    <w:lvl w:ilvl="1">
      <w:start w:val="1"/>
      <w:numFmt w:val="lowerLetter"/>
      <w:pStyle w:val="Textpsmene"/>
      <w:lvlText w:val="%2)"/>
      <w:lvlJc w:val="left"/>
      <w:pPr>
        <w:tabs>
          <w:tab w:val="num" w:pos="567"/>
        </w:tabs>
        <w:ind w:left="567" w:hanging="425"/>
      </w:pPr>
    </w:lvl>
    <w:lvl w:ilvl="2">
      <w:start w:val="1"/>
      <w:numFmt w:val="decimal"/>
      <w:pStyle w:val="Textbodu"/>
      <w:isLgl/>
      <w:lvlText w:val="%3."/>
      <w:lvlJc w:val="left"/>
      <w:pPr>
        <w:tabs>
          <w:tab w:val="num" w:pos="851"/>
        </w:tabs>
        <w:ind w:left="851" w:hanging="426"/>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52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600"/>
        </w:tabs>
        <w:ind w:left="3240" w:hanging="360"/>
      </w:pPr>
    </w:lvl>
  </w:abstractNum>
  <w:abstractNum w:abstractNumId="132" w15:restartNumberingAfterBreak="0">
    <w:nsid w:val="6CE71924"/>
    <w:multiLevelType w:val="hybridMultilevel"/>
    <w:tmpl w:val="63E845BE"/>
    <w:lvl w:ilvl="0" w:tplc="F816FD32">
      <w:numFmt w:val="bullet"/>
      <w:lvlText w:val="­"/>
      <w:lvlJc w:val="left"/>
      <w:pPr>
        <w:ind w:left="720" w:hanging="360"/>
      </w:pPr>
      <w:rPr>
        <w:rFonts w:ascii="Arial" w:eastAsia="Times New Roman"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3" w15:restartNumberingAfterBreak="0">
    <w:nsid w:val="6D4A7A5B"/>
    <w:multiLevelType w:val="hybridMultilevel"/>
    <w:tmpl w:val="91E0C8BE"/>
    <w:lvl w:ilvl="0" w:tplc="DDA472F0">
      <w:start w:val="1"/>
      <w:numFmt w:val="lowerLetter"/>
      <w:lvlText w:val="%1)"/>
      <w:lvlJc w:val="left"/>
      <w:pPr>
        <w:ind w:left="1294" w:hanging="375"/>
      </w:pPr>
      <w:rPr>
        <w:rFonts w:hint="default"/>
      </w:rPr>
    </w:lvl>
    <w:lvl w:ilvl="1" w:tplc="04050019" w:tentative="1">
      <w:start w:val="1"/>
      <w:numFmt w:val="lowerLetter"/>
      <w:lvlText w:val="%2."/>
      <w:lvlJc w:val="left"/>
      <w:pPr>
        <w:ind w:left="1999" w:hanging="360"/>
      </w:pPr>
    </w:lvl>
    <w:lvl w:ilvl="2" w:tplc="0405001B" w:tentative="1">
      <w:start w:val="1"/>
      <w:numFmt w:val="lowerRoman"/>
      <w:lvlText w:val="%3."/>
      <w:lvlJc w:val="right"/>
      <w:pPr>
        <w:ind w:left="2719" w:hanging="180"/>
      </w:pPr>
    </w:lvl>
    <w:lvl w:ilvl="3" w:tplc="0405000F" w:tentative="1">
      <w:start w:val="1"/>
      <w:numFmt w:val="decimal"/>
      <w:lvlText w:val="%4."/>
      <w:lvlJc w:val="left"/>
      <w:pPr>
        <w:ind w:left="3439" w:hanging="360"/>
      </w:pPr>
    </w:lvl>
    <w:lvl w:ilvl="4" w:tplc="04050019" w:tentative="1">
      <w:start w:val="1"/>
      <w:numFmt w:val="lowerLetter"/>
      <w:lvlText w:val="%5."/>
      <w:lvlJc w:val="left"/>
      <w:pPr>
        <w:ind w:left="4159" w:hanging="360"/>
      </w:pPr>
    </w:lvl>
    <w:lvl w:ilvl="5" w:tplc="0405001B" w:tentative="1">
      <w:start w:val="1"/>
      <w:numFmt w:val="lowerRoman"/>
      <w:lvlText w:val="%6."/>
      <w:lvlJc w:val="right"/>
      <w:pPr>
        <w:ind w:left="4879" w:hanging="180"/>
      </w:pPr>
    </w:lvl>
    <w:lvl w:ilvl="6" w:tplc="0405000F" w:tentative="1">
      <w:start w:val="1"/>
      <w:numFmt w:val="decimal"/>
      <w:lvlText w:val="%7."/>
      <w:lvlJc w:val="left"/>
      <w:pPr>
        <w:ind w:left="5599" w:hanging="360"/>
      </w:pPr>
    </w:lvl>
    <w:lvl w:ilvl="7" w:tplc="04050019" w:tentative="1">
      <w:start w:val="1"/>
      <w:numFmt w:val="lowerLetter"/>
      <w:lvlText w:val="%8."/>
      <w:lvlJc w:val="left"/>
      <w:pPr>
        <w:ind w:left="6319" w:hanging="360"/>
      </w:pPr>
    </w:lvl>
    <w:lvl w:ilvl="8" w:tplc="0405001B" w:tentative="1">
      <w:start w:val="1"/>
      <w:numFmt w:val="lowerRoman"/>
      <w:lvlText w:val="%9."/>
      <w:lvlJc w:val="right"/>
      <w:pPr>
        <w:ind w:left="7039" w:hanging="180"/>
      </w:pPr>
    </w:lvl>
  </w:abstractNum>
  <w:abstractNum w:abstractNumId="134" w15:restartNumberingAfterBreak="0">
    <w:nsid w:val="6DB34240"/>
    <w:multiLevelType w:val="hybridMultilevel"/>
    <w:tmpl w:val="B3DA2654"/>
    <w:lvl w:ilvl="0" w:tplc="BAFAAF96">
      <w:numFmt w:val="bullet"/>
      <w:lvlText w:val="-"/>
      <w:lvlJc w:val="left"/>
      <w:pPr>
        <w:ind w:left="1287" w:hanging="360"/>
      </w:pPr>
      <w:rPr>
        <w:rFonts w:ascii="Arial" w:eastAsia="Times New Roman" w:hAnsi="Arial" w:cs="Arial"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135" w15:restartNumberingAfterBreak="0">
    <w:nsid w:val="6E2C4AB7"/>
    <w:multiLevelType w:val="hybridMultilevel"/>
    <w:tmpl w:val="1940EC28"/>
    <w:lvl w:ilvl="0" w:tplc="BAFAAF96">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6" w15:restartNumberingAfterBreak="0">
    <w:nsid w:val="6E4763FD"/>
    <w:multiLevelType w:val="hybridMultilevel"/>
    <w:tmpl w:val="4BDCBE80"/>
    <w:lvl w:ilvl="0" w:tplc="04050017">
      <w:start w:val="1"/>
      <w:numFmt w:val="lowerLetter"/>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37" w15:restartNumberingAfterBreak="0">
    <w:nsid w:val="6F5B4670"/>
    <w:multiLevelType w:val="hybridMultilevel"/>
    <w:tmpl w:val="4F141FBE"/>
    <w:lvl w:ilvl="0" w:tplc="04050001">
      <w:start w:val="1"/>
      <w:numFmt w:val="bullet"/>
      <w:lvlText w:val=""/>
      <w:lvlJc w:val="left"/>
      <w:pPr>
        <w:ind w:left="1428" w:hanging="360"/>
      </w:pPr>
      <w:rPr>
        <w:rFonts w:ascii="Symbol" w:hAnsi="Symbol" w:hint="default"/>
      </w:rPr>
    </w:lvl>
    <w:lvl w:ilvl="1" w:tplc="04050003">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138" w15:restartNumberingAfterBreak="0">
    <w:nsid w:val="726850E6"/>
    <w:multiLevelType w:val="hybridMultilevel"/>
    <w:tmpl w:val="6A9ECB5E"/>
    <w:lvl w:ilvl="0" w:tplc="E278B1AA">
      <w:start w:val="1"/>
      <w:numFmt w:val="decimal"/>
      <w:lvlText w:val="%1."/>
      <w:lvlJc w:val="left"/>
      <w:pPr>
        <w:ind w:left="690" w:hanging="360"/>
      </w:pPr>
      <w:rPr>
        <w:rFonts w:hint="default"/>
      </w:rPr>
    </w:lvl>
    <w:lvl w:ilvl="1" w:tplc="04050019" w:tentative="1">
      <w:start w:val="1"/>
      <w:numFmt w:val="lowerLetter"/>
      <w:lvlText w:val="%2."/>
      <w:lvlJc w:val="left"/>
      <w:pPr>
        <w:ind w:left="1410" w:hanging="360"/>
      </w:pPr>
    </w:lvl>
    <w:lvl w:ilvl="2" w:tplc="0405001B" w:tentative="1">
      <w:start w:val="1"/>
      <w:numFmt w:val="lowerRoman"/>
      <w:lvlText w:val="%3."/>
      <w:lvlJc w:val="right"/>
      <w:pPr>
        <w:ind w:left="2130" w:hanging="180"/>
      </w:pPr>
    </w:lvl>
    <w:lvl w:ilvl="3" w:tplc="0405000F" w:tentative="1">
      <w:start w:val="1"/>
      <w:numFmt w:val="decimal"/>
      <w:lvlText w:val="%4."/>
      <w:lvlJc w:val="left"/>
      <w:pPr>
        <w:ind w:left="2850" w:hanging="360"/>
      </w:pPr>
    </w:lvl>
    <w:lvl w:ilvl="4" w:tplc="04050019" w:tentative="1">
      <w:start w:val="1"/>
      <w:numFmt w:val="lowerLetter"/>
      <w:lvlText w:val="%5."/>
      <w:lvlJc w:val="left"/>
      <w:pPr>
        <w:ind w:left="3570" w:hanging="360"/>
      </w:pPr>
    </w:lvl>
    <w:lvl w:ilvl="5" w:tplc="0405001B" w:tentative="1">
      <w:start w:val="1"/>
      <w:numFmt w:val="lowerRoman"/>
      <w:lvlText w:val="%6."/>
      <w:lvlJc w:val="right"/>
      <w:pPr>
        <w:ind w:left="4290" w:hanging="180"/>
      </w:pPr>
    </w:lvl>
    <w:lvl w:ilvl="6" w:tplc="0405000F" w:tentative="1">
      <w:start w:val="1"/>
      <w:numFmt w:val="decimal"/>
      <w:lvlText w:val="%7."/>
      <w:lvlJc w:val="left"/>
      <w:pPr>
        <w:ind w:left="5010" w:hanging="360"/>
      </w:pPr>
    </w:lvl>
    <w:lvl w:ilvl="7" w:tplc="04050019" w:tentative="1">
      <w:start w:val="1"/>
      <w:numFmt w:val="lowerLetter"/>
      <w:lvlText w:val="%8."/>
      <w:lvlJc w:val="left"/>
      <w:pPr>
        <w:ind w:left="5730" w:hanging="360"/>
      </w:pPr>
    </w:lvl>
    <w:lvl w:ilvl="8" w:tplc="0405001B" w:tentative="1">
      <w:start w:val="1"/>
      <w:numFmt w:val="lowerRoman"/>
      <w:lvlText w:val="%9."/>
      <w:lvlJc w:val="right"/>
      <w:pPr>
        <w:ind w:left="6450" w:hanging="180"/>
      </w:pPr>
    </w:lvl>
  </w:abstractNum>
  <w:abstractNum w:abstractNumId="139" w15:restartNumberingAfterBreak="0">
    <w:nsid w:val="734C07DA"/>
    <w:multiLevelType w:val="hybridMultilevel"/>
    <w:tmpl w:val="CC3A545C"/>
    <w:lvl w:ilvl="0" w:tplc="48A41D60">
      <w:start w:val="1"/>
      <w:numFmt w:val="bullet"/>
      <w:lvlText w:val="-"/>
      <w:lvlJc w:val="left"/>
      <w:pPr>
        <w:ind w:left="720" w:hanging="360"/>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0" w15:restartNumberingAfterBreak="0">
    <w:nsid w:val="73E7302A"/>
    <w:multiLevelType w:val="hybridMultilevel"/>
    <w:tmpl w:val="DC90392A"/>
    <w:lvl w:ilvl="0" w:tplc="48A41D60">
      <w:start w:val="1"/>
      <w:numFmt w:val="bullet"/>
      <w:lvlText w:val="-"/>
      <w:lvlJc w:val="left"/>
      <w:pPr>
        <w:ind w:left="820"/>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1" w:tplc="390E3BF2">
      <w:start w:val="1"/>
      <w:numFmt w:val="bullet"/>
      <w:lvlText w:val="o"/>
      <w:lvlJc w:val="left"/>
      <w:pPr>
        <w:ind w:left="1769"/>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2" w:tplc="3724AD54">
      <w:start w:val="1"/>
      <w:numFmt w:val="bullet"/>
      <w:lvlText w:val="▪"/>
      <w:lvlJc w:val="left"/>
      <w:pPr>
        <w:ind w:left="2489"/>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3" w:tplc="FCFCDDBC">
      <w:start w:val="1"/>
      <w:numFmt w:val="bullet"/>
      <w:lvlText w:val="•"/>
      <w:lvlJc w:val="left"/>
      <w:pPr>
        <w:ind w:left="3209"/>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4" w:tplc="2446FB0A">
      <w:start w:val="1"/>
      <w:numFmt w:val="bullet"/>
      <w:lvlText w:val="o"/>
      <w:lvlJc w:val="left"/>
      <w:pPr>
        <w:ind w:left="3929"/>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5" w:tplc="4CACD500">
      <w:start w:val="1"/>
      <w:numFmt w:val="bullet"/>
      <w:lvlText w:val="▪"/>
      <w:lvlJc w:val="left"/>
      <w:pPr>
        <w:ind w:left="4649"/>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6" w:tplc="F60AA210">
      <w:start w:val="1"/>
      <w:numFmt w:val="bullet"/>
      <w:lvlText w:val="•"/>
      <w:lvlJc w:val="left"/>
      <w:pPr>
        <w:ind w:left="5369"/>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7" w:tplc="D51C3F56">
      <w:start w:val="1"/>
      <w:numFmt w:val="bullet"/>
      <w:lvlText w:val="o"/>
      <w:lvlJc w:val="left"/>
      <w:pPr>
        <w:ind w:left="6089"/>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8" w:tplc="1F2C5AF8">
      <w:start w:val="1"/>
      <w:numFmt w:val="bullet"/>
      <w:lvlText w:val="▪"/>
      <w:lvlJc w:val="left"/>
      <w:pPr>
        <w:ind w:left="6809"/>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abstractNum>
  <w:abstractNum w:abstractNumId="141" w15:restartNumberingAfterBreak="0">
    <w:nsid w:val="749A7F6C"/>
    <w:multiLevelType w:val="hybridMultilevel"/>
    <w:tmpl w:val="5C129DEA"/>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142" w15:restartNumberingAfterBreak="0">
    <w:nsid w:val="751D1E6F"/>
    <w:multiLevelType w:val="hybridMultilevel"/>
    <w:tmpl w:val="A54CCCF0"/>
    <w:lvl w:ilvl="0" w:tplc="04050017">
      <w:start w:val="1"/>
      <w:numFmt w:val="lowerLetter"/>
      <w:lvlText w:val="%1)"/>
      <w:lvlJc w:val="left"/>
      <w:pPr>
        <w:ind w:left="720" w:hanging="360"/>
      </w:pPr>
    </w:lvl>
    <w:lvl w:ilvl="1" w:tplc="04050017">
      <w:start w:val="1"/>
      <w:numFmt w:val="lowerLetter"/>
      <w:lvlText w:val="%2)"/>
      <w:lvlJc w:val="left"/>
      <w:pPr>
        <w:ind w:left="1440" w:hanging="360"/>
      </w:pPr>
    </w:lvl>
    <w:lvl w:ilvl="2" w:tplc="D1FC5BAC">
      <w:start w:val="1"/>
      <w:numFmt w:val="decimal"/>
      <w:lvlText w:val="%3)"/>
      <w:lvlJc w:val="left"/>
      <w:pPr>
        <w:ind w:left="2340" w:hanging="360"/>
      </w:pPr>
      <w:rPr>
        <w:rFonts w:hint="default"/>
      </w:r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3" w15:restartNumberingAfterBreak="0">
    <w:nsid w:val="75C43240"/>
    <w:multiLevelType w:val="hybridMultilevel"/>
    <w:tmpl w:val="74066D4A"/>
    <w:lvl w:ilvl="0" w:tplc="D1A8CC6C">
      <w:numFmt w:val="bullet"/>
      <w:lvlText w:val="-"/>
      <w:lvlJc w:val="left"/>
      <w:pPr>
        <w:ind w:left="1448" w:hanging="360"/>
      </w:pPr>
      <w:rPr>
        <w:rFonts w:ascii="Arial" w:eastAsia="Times New Roman" w:hAnsi="Arial" w:cs="Arial" w:hint="default"/>
      </w:rPr>
    </w:lvl>
    <w:lvl w:ilvl="1" w:tplc="04050003" w:tentative="1">
      <w:start w:val="1"/>
      <w:numFmt w:val="bullet"/>
      <w:lvlText w:val="o"/>
      <w:lvlJc w:val="left"/>
      <w:pPr>
        <w:ind w:left="2168" w:hanging="360"/>
      </w:pPr>
      <w:rPr>
        <w:rFonts w:ascii="Courier New" w:hAnsi="Courier New" w:cs="Courier New" w:hint="default"/>
      </w:rPr>
    </w:lvl>
    <w:lvl w:ilvl="2" w:tplc="04050005" w:tentative="1">
      <w:start w:val="1"/>
      <w:numFmt w:val="bullet"/>
      <w:lvlText w:val=""/>
      <w:lvlJc w:val="left"/>
      <w:pPr>
        <w:ind w:left="2888" w:hanging="360"/>
      </w:pPr>
      <w:rPr>
        <w:rFonts w:ascii="Wingdings" w:hAnsi="Wingdings" w:hint="default"/>
      </w:rPr>
    </w:lvl>
    <w:lvl w:ilvl="3" w:tplc="04050001" w:tentative="1">
      <w:start w:val="1"/>
      <w:numFmt w:val="bullet"/>
      <w:lvlText w:val=""/>
      <w:lvlJc w:val="left"/>
      <w:pPr>
        <w:ind w:left="3608" w:hanging="360"/>
      </w:pPr>
      <w:rPr>
        <w:rFonts w:ascii="Symbol" w:hAnsi="Symbol" w:hint="default"/>
      </w:rPr>
    </w:lvl>
    <w:lvl w:ilvl="4" w:tplc="04050003" w:tentative="1">
      <w:start w:val="1"/>
      <w:numFmt w:val="bullet"/>
      <w:lvlText w:val="o"/>
      <w:lvlJc w:val="left"/>
      <w:pPr>
        <w:ind w:left="4328" w:hanging="360"/>
      </w:pPr>
      <w:rPr>
        <w:rFonts w:ascii="Courier New" w:hAnsi="Courier New" w:cs="Courier New" w:hint="default"/>
      </w:rPr>
    </w:lvl>
    <w:lvl w:ilvl="5" w:tplc="04050005" w:tentative="1">
      <w:start w:val="1"/>
      <w:numFmt w:val="bullet"/>
      <w:lvlText w:val=""/>
      <w:lvlJc w:val="left"/>
      <w:pPr>
        <w:ind w:left="5048" w:hanging="360"/>
      </w:pPr>
      <w:rPr>
        <w:rFonts w:ascii="Wingdings" w:hAnsi="Wingdings" w:hint="default"/>
      </w:rPr>
    </w:lvl>
    <w:lvl w:ilvl="6" w:tplc="04050001" w:tentative="1">
      <w:start w:val="1"/>
      <w:numFmt w:val="bullet"/>
      <w:lvlText w:val=""/>
      <w:lvlJc w:val="left"/>
      <w:pPr>
        <w:ind w:left="5768" w:hanging="360"/>
      </w:pPr>
      <w:rPr>
        <w:rFonts w:ascii="Symbol" w:hAnsi="Symbol" w:hint="default"/>
      </w:rPr>
    </w:lvl>
    <w:lvl w:ilvl="7" w:tplc="04050003" w:tentative="1">
      <w:start w:val="1"/>
      <w:numFmt w:val="bullet"/>
      <w:lvlText w:val="o"/>
      <w:lvlJc w:val="left"/>
      <w:pPr>
        <w:ind w:left="6488" w:hanging="360"/>
      </w:pPr>
      <w:rPr>
        <w:rFonts w:ascii="Courier New" w:hAnsi="Courier New" w:cs="Courier New" w:hint="default"/>
      </w:rPr>
    </w:lvl>
    <w:lvl w:ilvl="8" w:tplc="04050005" w:tentative="1">
      <w:start w:val="1"/>
      <w:numFmt w:val="bullet"/>
      <w:lvlText w:val=""/>
      <w:lvlJc w:val="left"/>
      <w:pPr>
        <w:ind w:left="7208" w:hanging="360"/>
      </w:pPr>
      <w:rPr>
        <w:rFonts w:ascii="Wingdings" w:hAnsi="Wingdings" w:hint="default"/>
      </w:rPr>
    </w:lvl>
  </w:abstractNum>
  <w:abstractNum w:abstractNumId="144" w15:restartNumberingAfterBreak="0">
    <w:nsid w:val="7610189F"/>
    <w:multiLevelType w:val="hybridMultilevel"/>
    <w:tmpl w:val="54F488C6"/>
    <w:lvl w:ilvl="0" w:tplc="04050015">
      <w:start w:val="1"/>
      <w:numFmt w:val="upperLetter"/>
      <w:lvlText w:val="%1."/>
      <w:lvlJc w:val="left"/>
      <w:pPr>
        <w:ind w:left="720" w:hanging="360"/>
      </w:pPr>
      <w:rPr>
        <w:rFonts w:hint="default"/>
      </w:rPr>
    </w:lvl>
    <w:lvl w:ilvl="1" w:tplc="77963CE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5" w15:restartNumberingAfterBreak="0">
    <w:nsid w:val="793C4914"/>
    <w:multiLevelType w:val="hybridMultilevel"/>
    <w:tmpl w:val="B3D8D1FC"/>
    <w:lvl w:ilvl="0" w:tplc="E2F8F3F0">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6" w15:restartNumberingAfterBreak="0">
    <w:nsid w:val="79E92E56"/>
    <w:multiLevelType w:val="hybridMultilevel"/>
    <w:tmpl w:val="BD585AB0"/>
    <w:lvl w:ilvl="0" w:tplc="D084D772">
      <w:numFmt w:val="bullet"/>
      <w:lvlText w:val="*"/>
      <w:lvlJc w:val="left"/>
      <w:pPr>
        <w:ind w:left="2738" w:hanging="360"/>
      </w:pPr>
      <w:rPr>
        <w:rFonts w:ascii="Arial" w:eastAsia="Times New Roman" w:hAnsi="Arial" w:hint="default"/>
      </w:rPr>
    </w:lvl>
    <w:lvl w:ilvl="1" w:tplc="04050003" w:tentative="1">
      <w:start w:val="1"/>
      <w:numFmt w:val="bullet"/>
      <w:lvlText w:val="o"/>
      <w:lvlJc w:val="left"/>
      <w:pPr>
        <w:ind w:left="3458" w:hanging="360"/>
      </w:pPr>
      <w:rPr>
        <w:rFonts w:ascii="Courier New" w:hAnsi="Courier New" w:cs="Courier New" w:hint="default"/>
      </w:rPr>
    </w:lvl>
    <w:lvl w:ilvl="2" w:tplc="04050005" w:tentative="1">
      <w:start w:val="1"/>
      <w:numFmt w:val="bullet"/>
      <w:lvlText w:val=""/>
      <w:lvlJc w:val="left"/>
      <w:pPr>
        <w:ind w:left="4178" w:hanging="360"/>
      </w:pPr>
      <w:rPr>
        <w:rFonts w:ascii="Wingdings" w:hAnsi="Wingdings" w:hint="default"/>
      </w:rPr>
    </w:lvl>
    <w:lvl w:ilvl="3" w:tplc="04050001" w:tentative="1">
      <w:start w:val="1"/>
      <w:numFmt w:val="bullet"/>
      <w:lvlText w:val=""/>
      <w:lvlJc w:val="left"/>
      <w:pPr>
        <w:ind w:left="4898" w:hanging="360"/>
      </w:pPr>
      <w:rPr>
        <w:rFonts w:ascii="Symbol" w:hAnsi="Symbol" w:hint="default"/>
      </w:rPr>
    </w:lvl>
    <w:lvl w:ilvl="4" w:tplc="04050003" w:tentative="1">
      <w:start w:val="1"/>
      <w:numFmt w:val="bullet"/>
      <w:lvlText w:val="o"/>
      <w:lvlJc w:val="left"/>
      <w:pPr>
        <w:ind w:left="5618" w:hanging="360"/>
      </w:pPr>
      <w:rPr>
        <w:rFonts w:ascii="Courier New" w:hAnsi="Courier New" w:cs="Courier New" w:hint="default"/>
      </w:rPr>
    </w:lvl>
    <w:lvl w:ilvl="5" w:tplc="04050005" w:tentative="1">
      <w:start w:val="1"/>
      <w:numFmt w:val="bullet"/>
      <w:lvlText w:val=""/>
      <w:lvlJc w:val="left"/>
      <w:pPr>
        <w:ind w:left="6338" w:hanging="360"/>
      </w:pPr>
      <w:rPr>
        <w:rFonts w:ascii="Wingdings" w:hAnsi="Wingdings" w:hint="default"/>
      </w:rPr>
    </w:lvl>
    <w:lvl w:ilvl="6" w:tplc="04050001" w:tentative="1">
      <w:start w:val="1"/>
      <w:numFmt w:val="bullet"/>
      <w:lvlText w:val=""/>
      <w:lvlJc w:val="left"/>
      <w:pPr>
        <w:ind w:left="7058" w:hanging="360"/>
      </w:pPr>
      <w:rPr>
        <w:rFonts w:ascii="Symbol" w:hAnsi="Symbol" w:hint="default"/>
      </w:rPr>
    </w:lvl>
    <w:lvl w:ilvl="7" w:tplc="04050003" w:tentative="1">
      <w:start w:val="1"/>
      <w:numFmt w:val="bullet"/>
      <w:lvlText w:val="o"/>
      <w:lvlJc w:val="left"/>
      <w:pPr>
        <w:ind w:left="7778" w:hanging="360"/>
      </w:pPr>
      <w:rPr>
        <w:rFonts w:ascii="Courier New" w:hAnsi="Courier New" w:cs="Courier New" w:hint="default"/>
      </w:rPr>
    </w:lvl>
    <w:lvl w:ilvl="8" w:tplc="04050005" w:tentative="1">
      <w:start w:val="1"/>
      <w:numFmt w:val="bullet"/>
      <w:lvlText w:val=""/>
      <w:lvlJc w:val="left"/>
      <w:pPr>
        <w:ind w:left="8498" w:hanging="360"/>
      </w:pPr>
      <w:rPr>
        <w:rFonts w:ascii="Wingdings" w:hAnsi="Wingdings" w:hint="default"/>
      </w:rPr>
    </w:lvl>
  </w:abstractNum>
  <w:abstractNum w:abstractNumId="147" w15:restartNumberingAfterBreak="0">
    <w:nsid w:val="7A9B60D5"/>
    <w:multiLevelType w:val="hybridMultilevel"/>
    <w:tmpl w:val="2B6670B2"/>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8" w15:restartNumberingAfterBreak="0">
    <w:nsid w:val="7AE62656"/>
    <w:multiLevelType w:val="hybridMultilevel"/>
    <w:tmpl w:val="B56CA43C"/>
    <w:lvl w:ilvl="0" w:tplc="48A41D60">
      <w:start w:val="1"/>
      <w:numFmt w:val="bullet"/>
      <w:lvlText w:val="-"/>
      <w:lvlJc w:val="left"/>
      <w:pPr>
        <w:ind w:left="1132" w:hanging="360"/>
      </w:pPr>
      <w:rPr>
        <w:rFonts w:ascii="Calibri" w:eastAsia="Calibri" w:hAnsi="Calibri" w:cs="Calibri" w:hint="default"/>
        <w:b w:val="0"/>
        <w:i w:val="0"/>
        <w:strike w:val="0"/>
        <w:dstrike w:val="0"/>
        <w:color w:val="000000"/>
        <w:sz w:val="26"/>
        <w:szCs w:val="26"/>
        <w:u w:val="none" w:color="000000"/>
        <w:bdr w:val="none" w:sz="0" w:space="0" w:color="auto"/>
        <w:shd w:val="clear" w:color="auto" w:fill="auto"/>
        <w:vertAlign w:val="baseline"/>
      </w:rPr>
    </w:lvl>
    <w:lvl w:ilvl="1" w:tplc="04050003" w:tentative="1">
      <w:start w:val="1"/>
      <w:numFmt w:val="bullet"/>
      <w:lvlText w:val="o"/>
      <w:lvlJc w:val="left"/>
      <w:pPr>
        <w:ind w:left="1583" w:hanging="360"/>
      </w:pPr>
      <w:rPr>
        <w:rFonts w:ascii="Courier New" w:hAnsi="Courier New" w:cs="Courier New" w:hint="default"/>
      </w:rPr>
    </w:lvl>
    <w:lvl w:ilvl="2" w:tplc="04050005" w:tentative="1">
      <w:start w:val="1"/>
      <w:numFmt w:val="bullet"/>
      <w:lvlText w:val=""/>
      <w:lvlJc w:val="left"/>
      <w:pPr>
        <w:ind w:left="2303" w:hanging="360"/>
      </w:pPr>
      <w:rPr>
        <w:rFonts w:ascii="Wingdings" w:hAnsi="Wingdings" w:hint="default"/>
      </w:rPr>
    </w:lvl>
    <w:lvl w:ilvl="3" w:tplc="04050001" w:tentative="1">
      <w:start w:val="1"/>
      <w:numFmt w:val="bullet"/>
      <w:lvlText w:val=""/>
      <w:lvlJc w:val="left"/>
      <w:pPr>
        <w:ind w:left="3023" w:hanging="360"/>
      </w:pPr>
      <w:rPr>
        <w:rFonts w:ascii="Symbol" w:hAnsi="Symbol" w:hint="default"/>
      </w:rPr>
    </w:lvl>
    <w:lvl w:ilvl="4" w:tplc="04050003" w:tentative="1">
      <w:start w:val="1"/>
      <w:numFmt w:val="bullet"/>
      <w:lvlText w:val="o"/>
      <w:lvlJc w:val="left"/>
      <w:pPr>
        <w:ind w:left="3743" w:hanging="360"/>
      </w:pPr>
      <w:rPr>
        <w:rFonts w:ascii="Courier New" w:hAnsi="Courier New" w:cs="Courier New" w:hint="default"/>
      </w:rPr>
    </w:lvl>
    <w:lvl w:ilvl="5" w:tplc="04050005" w:tentative="1">
      <w:start w:val="1"/>
      <w:numFmt w:val="bullet"/>
      <w:lvlText w:val=""/>
      <w:lvlJc w:val="left"/>
      <w:pPr>
        <w:ind w:left="4463" w:hanging="360"/>
      </w:pPr>
      <w:rPr>
        <w:rFonts w:ascii="Wingdings" w:hAnsi="Wingdings" w:hint="default"/>
      </w:rPr>
    </w:lvl>
    <w:lvl w:ilvl="6" w:tplc="04050001" w:tentative="1">
      <w:start w:val="1"/>
      <w:numFmt w:val="bullet"/>
      <w:lvlText w:val=""/>
      <w:lvlJc w:val="left"/>
      <w:pPr>
        <w:ind w:left="5183" w:hanging="360"/>
      </w:pPr>
      <w:rPr>
        <w:rFonts w:ascii="Symbol" w:hAnsi="Symbol" w:hint="default"/>
      </w:rPr>
    </w:lvl>
    <w:lvl w:ilvl="7" w:tplc="04050003" w:tentative="1">
      <w:start w:val="1"/>
      <w:numFmt w:val="bullet"/>
      <w:lvlText w:val="o"/>
      <w:lvlJc w:val="left"/>
      <w:pPr>
        <w:ind w:left="5903" w:hanging="360"/>
      </w:pPr>
      <w:rPr>
        <w:rFonts w:ascii="Courier New" w:hAnsi="Courier New" w:cs="Courier New" w:hint="default"/>
      </w:rPr>
    </w:lvl>
    <w:lvl w:ilvl="8" w:tplc="04050005" w:tentative="1">
      <w:start w:val="1"/>
      <w:numFmt w:val="bullet"/>
      <w:lvlText w:val=""/>
      <w:lvlJc w:val="left"/>
      <w:pPr>
        <w:ind w:left="6623" w:hanging="360"/>
      </w:pPr>
      <w:rPr>
        <w:rFonts w:ascii="Wingdings" w:hAnsi="Wingdings" w:hint="default"/>
      </w:rPr>
    </w:lvl>
  </w:abstractNum>
  <w:abstractNum w:abstractNumId="149" w15:restartNumberingAfterBreak="0">
    <w:nsid w:val="7B1D5D56"/>
    <w:multiLevelType w:val="hybridMultilevel"/>
    <w:tmpl w:val="C550048E"/>
    <w:lvl w:ilvl="0" w:tplc="E2F8F3F0">
      <w:start w:val="1"/>
      <w:numFmt w:val="bullet"/>
      <w:lvlText w:val=""/>
      <w:lvlJc w:val="left"/>
      <w:pPr>
        <w:ind w:left="1298" w:hanging="360"/>
      </w:pPr>
      <w:rPr>
        <w:rFonts w:ascii="Symbol" w:hAnsi="Symbol" w:hint="default"/>
      </w:rPr>
    </w:lvl>
    <w:lvl w:ilvl="1" w:tplc="FE2CA808">
      <w:numFmt w:val="bullet"/>
      <w:lvlText w:val=""/>
      <w:lvlJc w:val="left"/>
      <w:pPr>
        <w:ind w:left="2018" w:hanging="360"/>
      </w:pPr>
      <w:rPr>
        <w:rFonts w:ascii="Symbol" w:eastAsia="Times New Roman" w:hAnsi="Symbol" w:cs="Arial" w:hint="default"/>
      </w:rPr>
    </w:lvl>
    <w:lvl w:ilvl="2" w:tplc="04050005" w:tentative="1">
      <w:start w:val="1"/>
      <w:numFmt w:val="bullet"/>
      <w:lvlText w:val=""/>
      <w:lvlJc w:val="left"/>
      <w:pPr>
        <w:ind w:left="2738" w:hanging="360"/>
      </w:pPr>
      <w:rPr>
        <w:rFonts w:ascii="Wingdings" w:hAnsi="Wingdings" w:hint="default"/>
      </w:rPr>
    </w:lvl>
    <w:lvl w:ilvl="3" w:tplc="04050001" w:tentative="1">
      <w:start w:val="1"/>
      <w:numFmt w:val="bullet"/>
      <w:lvlText w:val=""/>
      <w:lvlJc w:val="left"/>
      <w:pPr>
        <w:ind w:left="3458" w:hanging="360"/>
      </w:pPr>
      <w:rPr>
        <w:rFonts w:ascii="Symbol" w:hAnsi="Symbol" w:hint="default"/>
      </w:rPr>
    </w:lvl>
    <w:lvl w:ilvl="4" w:tplc="04050003" w:tentative="1">
      <w:start w:val="1"/>
      <w:numFmt w:val="bullet"/>
      <w:lvlText w:val="o"/>
      <w:lvlJc w:val="left"/>
      <w:pPr>
        <w:ind w:left="4178" w:hanging="360"/>
      </w:pPr>
      <w:rPr>
        <w:rFonts w:ascii="Courier New" w:hAnsi="Courier New" w:cs="Courier New" w:hint="default"/>
      </w:rPr>
    </w:lvl>
    <w:lvl w:ilvl="5" w:tplc="04050005" w:tentative="1">
      <w:start w:val="1"/>
      <w:numFmt w:val="bullet"/>
      <w:lvlText w:val=""/>
      <w:lvlJc w:val="left"/>
      <w:pPr>
        <w:ind w:left="4898" w:hanging="360"/>
      </w:pPr>
      <w:rPr>
        <w:rFonts w:ascii="Wingdings" w:hAnsi="Wingdings" w:hint="default"/>
      </w:rPr>
    </w:lvl>
    <w:lvl w:ilvl="6" w:tplc="04050001" w:tentative="1">
      <w:start w:val="1"/>
      <w:numFmt w:val="bullet"/>
      <w:lvlText w:val=""/>
      <w:lvlJc w:val="left"/>
      <w:pPr>
        <w:ind w:left="5618" w:hanging="360"/>
      </w:pPr>
      <w:rPr>
        <w:rFonts w:ascii="Symbol" w:hAnsi="Symbol" w:hint="default"/>
      </w:rPr>
    </w:lvl>
    <w:lvl w:ilvl="7" w:tplc="04050003" w:tentative="1">
      <w:start w:val="1"/>
      <w:numFmt w:val="bullet"/>
      <w:lvlText w:val="o"/>
      <w:lvlJc w:val="left"/>
      <w:pPr>
        <w:ind w:left="6338" w:hanging="360"/>
      </w:pPr>
      <w:rPr>
        <w:rFonts w:ascii="Courier New" w:hAnsi="Courier New" w:cs="Courier New" w:hint="default"/>
      </w:rPr>
    </w:lvl>
    <w:lvl w:ilvl="8" w:tplc="04050005" w:tentative="1">
      <w:start w:val="1"/>
      <w:numFmt w:val="bullet"/>
      <w:lvlText w:val=""/>
      <w:lvlJc w:val="left"/>
      <w:pPr>
        <w:ind w:left="7058" w:hanging="360"/>
      </w:pPr>
      <w:rPr>
        <w:rFonts w:ascii="Wingdings" w:hAnsi="Wingdings" w:hint="default"/>
      </w:rPr>
    </w:lvl>
  </w:abstractNum>
  <w:abstractNum w:abstractNumId="150" w15:restartNumberingAfterBreak="0">
    <w:nsid w:val="7B7E59FF"/>
    <w:multiLevelType w:val="hybridMultilevel"/>
    <w:tmpl w:val="8CFAE280"/>
    <w:lvl w:ilvl="0" w:tplc="D1A8CC6C">
      <w:numFmt w:val="bullet"/>
      <w:lvlText w:val="-"/>
      <w:lvlJc w:val="left"/>
      <w:pPr>
        <w:ind w:left="1287" w:hanging="360"/>
      </w:pPr>
      <w:rPr>
        <w:rFonts w:ascii="Arial" w:eastAsia="Times New Roman" w:hAnsi="Arial" w:cs="Arial"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151" w15:restartNumberingAfterBreak="0">
    <w:nsid w:val="7DF3188A"/>
    <w:multiLevelType w:val="hybridMultilevel"/>
    <w:tmpl w:val="33361A7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84"/>
  </w:num>
  <w:num w:numId="2">
    <w:abstractNumId w:val="50"/>
  </w:num>
  <w:num w:numId="3">
    <w:abstractNumId w:val="19"/>
  </w:num>
  <w:num w:numId="4">
    <w:abstractNumId w:val="108"/>
  </w:num>
  <w:num w:numId="5">
    <w:abstractNumId w:val="141"/>
  </w:num>
  <w:num w:numId="6">
    <w:abstractNumId w:val="114"/>
  </w:num>
  <w:num w:numId="7">
    <w:abstractNumId w:val="52"/>
  </w:num>
  <w:num w:numId="8">
    <w:abstractNumId w:val="72"/>
  </w:num>
  <w:num w:numId="9">
    <w:abstractNumId w:val="99"/>
  </w:num>
  <w:num w:numId="10">
    <w:abstractNumId w:val="119"/>
  </w:num>
  <w:num w:numId="11">
    <w:abstractNumId w:val="144"/>
  </w:num>
  <w:num w:numId="12">
    <w:abstractNumId w:val="49"/>
  </w:num>
  <w:num w:numId="13">
    <w:abstractNumId w:val="151"/>
  </w:num>
  <w:num w:numId="14">
    <w:abstractNumId w:val="56"/>
  </w:num>
  <w:num w:numId="15">
    <w:abstractNumId w:val="142"/>
  </w:num>
  <w:num w:numId="16">
    <w:abstractNumId w:val="62"/>
  </w:num>
  <w:num w:numId="17">
    <w:abstractNumId w:val="94"/>
  </w:num>
  <w:num w:numId="18">
    <w:abstractNumId w:val="101"/>
  </w:num>
  <w:num w:numId="19">
    <w:abstractNumId w:val="105"/>
  </w:num>
  <w:num w:numId="20">
    <w:abstractNumId w:val="66"/>
  </w:num>
  <w:num w:numId="21">
    <w:abstractNumId w:val="29"/>
  </w:num>
  <w:num w:numId="22">
    <w:abstractNumId w:val="23"/>
  </w:num>
  <w:num w:numId="23">
    <w:abstractNumId w:val="41"/>
  </w:num>
  <w:num w:numId="24">
    <w:abstractNumId w:val="75"/>
  </w:num>
  <w:num w:numId="25">
    <w:abstractNumId w:val="83"/>
  </w:num>
  <w:num w:numId="26">
    <w:abstractNumId w:val="68"/>
  </w:num>
  <w:num w:numId="27">
    <w:abstractNumId w:val="64"/>
  </w:num>
  <w:num w:numId="28">
    <w:abstractNumId w:val="143"/>
  </w:num>
  <w:num w:numId="29">
    <w:abstractNumId w:val="58"/>
  </w:num>
  <w:num w:numId="30">
    <w:abstractNumId w:val="136"/>
  </w:num>
  <w:num w:numId="31">
    <w:abstractNumId w:val="42"/>
  </w:num>
  <w:num w:numId="32">
    <w:abstractNumId w:val="133"/>
  </w:num>
  <w:num w:numId="33">
    <w:abstractNumId w:val="79"/>
  </w:num>
  <w:num w:numId="34">
    <w:abstractNumId w:val="38"/>
  </w:num>
  <w:num w:numId="35">
    <w:abstractNumId w:val="28"/>
  </w:num>
  <w:num w:numId="36">
    <w:abstractNumId w:val="43"/>
  </w:num>
  <w:num w:numId="37">
    <w:abstractNumId w:val="150"/>
  </w:num>
  <w:num w:numId="38">
    <w:abstractNumId w:val="15"/>
  </w:num>
  <w:num w:numId="39">
    <w:abstractNumId w:val="140"/>
  </w:num>
  <w:num w:numId="40">
    <w:abstractNumId w:val="63"/>
  </w:num>
  <w:num w:numId="41">
    <w:abstractNumId w:val="35"/>
  </w:num>
  <w:num w:numId="42">
    <w:abstractNumId w:val="106"/>
  </w:num>
  <w:num w:numId="43">
    <w:abstractNumId w:val="137"/>
  </w:num>
  <w:num w:numId="44">
    <w:abstractNumId w:val="14"/>
  </w:num>
  <w:num w:numId="45">
    <w:abstractNumId w:val="12"/>
  </w:num>
  <w:num w:numId="46">
    <w:abstractNumId w:val="93"/>
  </w:num>
  <w:num w:numId="47">
    <w:abstractNumId w:val="148"/>
  </w:num>
  <w:num w:numId="48">
    <w:abstractNumId w:val="116"/>
  </w:num>
  <w:num w:numId="49">
    <w:abstractNumId w:val="92"/>
  </w:num>
  <w:num w:numId="50">
    <w:abstractNumId w:val="139"/>
  </w:num>
  <w:num w:numId="51">
    <w:abstractNumId w:val="57"/>
  </w:num>
  <w:num w:numId="52">
    <w:abstractNumId w:val="147"/>
  </w:num>
  <w:num w:numId="53">
    <w:abstractNumId w:val="125"/>
  </w:num>
  <w:num w:numId="54">
    <w:abstractNumId w:val="127"/>
  </w:num>
  <w:num w:numId="55">
    <w:abstractNumId w:val="134"/>
  </w:num>
  <w:num w:numId="56">
    <w:abstractNumId w:val="129"/>
  </w:num>
  <w:num w:numId="57">
    <w:abstractNumId w:val="45"/>
  </w:num>
  <w:num w:numId="58">
    <w:abstractNumId w:val="124"/>
  </w:num>
  <w:num w:numId="59">
    <w:abstractNumId w:val="135"/>
  </w:num>
  <w:num w:numId="60">
    <w:abstractNumId w:val="18"/>
  </w:num>
  <w:num w:numId="61">
    <w:abstractNumId w:val="78"/>
  </w:num>
  <w:num w:numId="62">
    <w:abstractNumId w:val="7"/>
  </w:num>
  <w:num w:numId="63">
    <w:abstractNumId w:val="121"/>
  </w:num>
  <w:num w:numId="64">
    <w:abstractNumId w:val="128"/>
  </w:num>
  <w:num w:numId="65">
    <w:abstractNumId w:val="39"/>
  </w:num>
  <w:num w:numId="66">
    <w:abstractNumId w:val="0"/>
  </w:num>
  <w:num w:numId="67">
    <w:abstractNumId w:val="87"/>
  </w:num>
  <w:num w:numId="68">
    <w:abstractNumId w:val="111"/>
  </w:num>
  <w:num w:numId="69">
    <w:abstractNumId w:val="65"/>
  </w:num>
  <w:num w:numId="70">
    <w:abstractNumId w:val="61"/>
  </w:num>
  <w:num w:numId="71">
    <w:abstractNumId w:val="122"/>
  </w:num>
  <w:num w:numId="72">
    <w:abstractNumId w:val="33"/>
  </w:num>
  <w:num w:numId="73">
    <w:abstractNumId w:val="71"/>
  </w:num>
  <w:num w:numId="74">
    <w:abstractNumId w:val="13"/>
  </w:num>
  <w:num w:numId="75">
    <w:abstractNumId w:val="70"/>
  </w:num>
  <w:num w:numId="76">
    <w:abstractNumId w:val="95"/>
  </w:num>
  <w:num w:numId="77">
    <w:abstractNumId w:val="60"/>
  </w:num>
  <w:num w:numId="78">
    <w:abstractNumId w:val="77"/>
  </w:num>
  <w:num w:numId="79">
    <w:abstractNumId w:val="22"/>
  </w:num>
  <w:num w:numId="80">
    <w:abstractNumId w:val="97"/>
  </w:num>
  <w:num w:numId="81">
    <w:abstractNumId w:val="123"/>
  </w:num>
  <w:num w:numId="82">
    <w:abstractNumId w:val="145"/>
  </w:num>
  <w:num w:numId="83">
    <w:abstractNumId w:val="149"/>
  </w:num>
  <w:num w:numId="84">
    <w:abstractNumId w:val="90"/>
  </w:num>
  <w:num w:numId="85">
    <w:abstractNumId w:val="104"/>
  </w:num>
  <w:num w:numId="86">
    <w:abstractNumId w:val="69"/>
  </w:num>
  <w:num w:numId="87">
    <w:abstractNumId w:val="48"/>
  </w:num>
  <w:num w:numId="88">
    <w:abstractNumId w:val="40"/>
  </w:num>
  <w:num w:numId="89">
    <w:abstractNumId w:val="88"/>
  </w:num>
  <w:num w:numId="90">
    <w:abstractNumId w:val="82"/>
  </w:num>
  <w:num w:numId="91">
    <w:abstractNumId w:val="109"/>
  </w:num>
  <w:num w:numId="92">
    <w:abstractNumId w:val="47"/>
  </w:num>
  <w:num w:numId="93">
    <w:abstractNumId w:val="102"/>
  </w:num>
  <w:num w:numId="94">
    <w:abstractNumId w:val="103"/>
  </w:num>
  <w:num w:numId="95">
    <w:abstractNumId w:val="32"/>
  </w:num>
  <w:num w:numId="96">
    <w:abstractNumId w:val="36"/>
  </w:num>
  <w:num w:numId="97">
    <w:abstractNumId w:val="96"/>
  </w:num>
  <w:num w:numId="98">
    <w:abstractNumId w:val="89"/>
  </w:num>
  <w:num w:numId="99">
    <w:abstractNumId w:val="21"/>
  </w:num>
  <w:num w:numId="100">
    <w:abstractNumId w:val="132"/>
  </w:num>
  <w:num w:numId="101">
    <w:abstractNumId w:val="24"/>
  </w:num>
  <w:num w:numId="102">
    <w:abstractNumId w:val="25"/>
  </w:num>
  <w:num w:numId="103">
    <w:abstractNumId w:val="110"/>
  </w:num>
  <w:num w:numId="104">
    <w:abstractNumId w:val="86"/>
  </w:num>
  <w:num w:numId="105">
    <w:abstractNumId w:val="16"/>
  </w:num>
  <w:num w:numId="106">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26"/>
  </w:num>
  <w:num w:numId="108">
    <w:abstractNumId w:val="118"/>
  </w:num>
  <w:num w:numId="109">
    <w:abstractNumId w:val="117"/>
  </w:num>
  <w:num w:numId="110">
    <w:abstractNumId w:val="31"/>
  </w:num>
  <w:num w:numId="111">
    <w:abstractNumId w:val="17"/>
  </w:num>
  <w:num w:numId="112">
    <w:abstractNumId w:val="55"/>
  </w:num>
  <w:num w:numId="113">
    <w:abstractNumId w:val="34"/>
  </w:num>
  <w:num w:numId="114">
    <w:abstractNumId w:val="51"/>
  </w:num>
  <w:num w:numId="115">
    <w:abstractNumId w:val="98"/>
  </w:num>
  <w:num w:numId="116">
    <w:abstractNumId w:val="20"/>
  </w:num>
  <w:num w:numId="117">
    <w:abstractNumId w:val="46"/>
  </w:num>
  <w:num w:numId="118">
    <w:abstractNumId w:val="112"/>
  </w:num>
  <w:num w:numId="119">
    <w:abstractNumId w:val="100"/>
  </w:num>
  <w:num w:numId="120">
    <w:abstractNumId w:val="73"/>
  </w:num>
  <w:num w:numId="121">
    <w:abstractNumId w:val="59"/>
  </w:num>
  <w:num w:numId="122">
    <w:abstractNumId w:val="107"/>
  </w:num>
  <w:num w:numId="123">
    <w:abstractNumId w:val="53"/>
  </w:num>
  <w:num w:numId="124">
    <w:abstractNumId w:val="91"/>
  </w:num>
  <w:num w:numId="125">
    <w:abstractNumId w:val="37"/>
  </w:num>
  <w:num w:numId="126">
    <w:abstractNumId w:val="54"/>
  </w:num>
  <w:num w:numId="127">
    <w:abstractNumId w:val="113"/>
  </w:num>
  <w:num w:numId="128">
    <w:abstractNumId w:val="76"/>
  </w:num>
  <w:num w:numId="129">
    <w:abstractNumId w:val="146"/>
  </w:num>
  <w:num w:numId="130">
    <w:abstractNumId w:val="80"/>
  </w:num>
  <w:num w:numId="131">
    <w:abstractNumId w:val="115"/>
  </w:num>
  <w:num w:numId="132">
    <w:abstractNumId w:val="74"/>
  </w:num>
  <w:num w:numId="133">
    <w:abstractNumId w:val="10"/>
  </w:num>
  <w:num w:numId="134">
    <w:abstractNumId w:val="26"/>
  </w:num>
  <w:num w:numId="135">
    <w:abstractNumId w:val="130"/>
  </w:num>
  <w:num w:numId="136">
    <w:abstractNumId w:val="85"/>
  </w:num>
  <w:num w:numId="137">
    <w:abstractNumId w:val="120"/>
  </w:num>
  <w:num w:numId="138">
    <w:abstractNumId w:val="81"/>
  </w:num>
  <w:num w:numId="139">
    <w:abstractNumId w:val="138"/>
  </w:num>
  <w:num w:numId="140">
    <w:abstractNumId w:val="30"/>
  </w:num>
  <w:num w:numId="141">
    <w:abstractNumId w:val="44"/>
  </w:num>
  <w:num w:numId="142">
    <w:abstractNumId w:val="67"/>
  </w:num>
  <w:num w:numId="143">
    <w:abstractNumId w:val="27"/>
  </w:num>
  <w:numIdMacAtCleanup w:val="1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proofState w:grammar="clean"/>
  <w:defaultTabStop w:val="708"/>
  <w:hyphenationZone w:val="425"/>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28A"/>
    <w:rsid w:val="000316A6"/>
    <w:rsid w:val="000968B5"/>
    <w:rsid w:val="00097662"/>
    <w:rsid w:val="000B2FE7"/>
    <w:rsid w:val="00102F05"/>
    <w:rsid w:val="00145DAF"/>
    <w:rsid w:val="00147CEE"/>
    <w:rsid w:val="00154834"/>
    <w:rsid w:val="00162C4D"/>
    <w:rsid w:val="001A40ED"/>
    <w:rsid w:val="001E1040"/>
    <w:rsid w:val="001E205E"/>
    <w:rsid w:val="001E6A63"/>
    <w:rsid w:val="00215499"/>
    <w:rsid w:val="00231379"/>
    <w:rsid w:val="00242FA4"/>
    <w:rsid w:val="0027729A"/>
    <w:rsid w:val="00281DD8"/>
    <w:rsid w:val="00286F7D"/>
    <w:rsid w:val="0029153B"/>
    <w:rsid w:val="002B3FBA"/>
    <w:rsid w:val="002D2D45"/>
    <w:rsid w:val="002E729E"/>
    <w:rsid w:val="002F60B7"/>
    <w:rsid w:val="00306EF8"/>
    <w:rsid w:val="003222F3"/>
    <w:rsid w:val="00327078"/>
    <w:rsid w:val="0034021B"/>
    <w:rsid w:val="00360511"/>
    <w:rsid w:val="00361E58"/>
    <w:rsid w:val="0038531E"/>
    <w:rsid w:val="00397751"/>
    <w:rsid w:val="00397A03"/>
    <w:rsid w:val="003C08DB"/>
    <w:rsid w:val="003C1A5C"/>
    <w:rsid w:val="003C5FCF"/>
    <w:rsid w:val="003E2661"/>
    <w:rsid w:val="00403A9D"/>
    <w:rsid w:val="004100EA"/>
    <w:rsid w:val="00410544"/>
    <w:rsid w:val="00437823"/>
    <w:rsid w:val="004462D7"/>
    <w:rsid w:val="00470155"/>
    <w:rsid w:val="00480887"/>
    <w:rsid w:val="004A6278"/>
    <w:rsid w:val="004C7A8D"/>
    <w:rsid w:val="004D1FB9"/>
    <w:rsid w:val="004D3621"/>
    <w:rsid w:val="004D4721"/>
    <w:rsid w:val="004F49C1"/>
    <w:rsid w:val="0050677D"/>
    <w:rsid w:val="00515CC8"/>
    <w:rsid w:val="005179D3"/>
    <w:rsid w:val="005206F8"/>
    <w:rsid w:val="005224B7"/>
    <w:rsid w:val="00561778"/>
    <w:rsid w:val="00565E19"/>
    <w:rsid w:val="005847FD"/>
    <w:rsid w:val="00592A74"/>
    <w:rsid w:val="00593918"/>
    <w:rsid w:val="005953E0"/>
    <w:rsid w:val="005D328A"/>
    <w:rsid w:val="005D3C6D"/>
    <w:rsid w:val="005E0BF5"/>
    <w:rsid w:val="006031D6"/>
    <w:rsid w:val="0060506D"/>
    <w:rsid w:val="00615A47"/>
    <w:rsid w:val="00621714"/>
    <w:rsid w:val="00642874"/>
    <w:rsid w:val="00655197"/>
    <w:rsid w:val="00664F12"/>
    <w:rsid w:val="006731EE"/>
    <w:rsid w:val="00680707"/>
    <w:rsid w:val="0068212E"/>
    <w:rsid w:val="00682E20"/>
    <w:rsid w:val="006918C6"/>
    <w:rsid w:val="00696738"/>
    <w:rsid w:val="006A14E8"/>
    <w:rsid w:val="006B0D1F"/>
    <w:rsid w:val="006B764D"/>
    <w:rsid w:val="006B7C1C"/>
    <w:rsid w:val="006D2C42"/>
    <w:rsid w:val="006D59CA"/>
    <w:rsid w:val="006E3227"/>
    <w:rsid w:val="006F4120"/>
    <w:rsid w:val="00724306"/>
    <w:rsid w:val="00736A9D"/>
    <w:rsid w:val="00744AC8"/>
    <w:rsid w:val="00754FF6"/>
    <w:rsid w:val="007766AB"/>
    <w:rsid w:val="007768ED"/>
    <w:rsid w:val="007A2D4B"/>
    <w:rsid w:val="007B2506"/>
    <w:rsid w:val="007C18BB"/>
    <w:rsid w:val="007D09A4"/>
    <w:rsid w:val="007D43F6"/>
    <w:rsid w:val="007E7D7A"/>
    <w:rsid w:val="007F2BCC"/>
    <w:rsid w:val="007F3B9F"/>
    <w:rsid w:val="008013AC"/>
    <w:rsid w:val="00811F5A"/>
    <w:rsid w:val="0082129C"/>
    <w:rsid w:val="008226AF"/>
    <w:rsid w:val="008405DF"/>
    <w:rsid w:val="0084523D"/>
    <w:rsid w:val="008618E2"/>
    <w:rsid w:val="00870044"/>
    <w:rsid w:val="0087039D"/>
    <w:rsid w:val="008826DF"/>
    <w:rsid w:val="00893AC8"/>
    <w:rsid w:val="008A1E85"/>
    <w:rsid w:val="008B7772"/>
    <w:rsid w:val="008B79F1"/>
    <w:rsid w:val="008F3DCD"/>
    <w:rsid w:val="00902424"/>
    <w:rsid w:val="00910916"/>
    <w:rsid w:val="00912010"/>
    <w:rsid w:val="00917E56"/>
    <w:rsid w:val="00920DDC"/>
    <w:rsid w:val="00924586"/>
    <w:rsid w:val="009617F5"/>
    <w:rsid w:val="009E04A4"/>
    <w:rsid w:val="009F7958"/>
    <w:rsid w:val="00A10EB6"/>
    <w:rsid w:val="00A141BE"/>
    <w:rsid w:val="00A14F50"/>
    <w:rsid w:val="00A346FB"/>
    <w:rsid w:val="00A41974"/>
    <w:rsid w:val="00A43469"/>
    <w:rsid w:val="00A64F32"/>
    <w:rsid w:val="00A72EBA"/>
    <w:rsid w:val="00A74E92"/>
    <w:rsid w:val="00A808CC"/>
    <w:rsid w:val="00A920D7"/>
    <w:rsid w:val="00AA568B"/>
    <w:rsid w:val="00AB2594"/>
    <w:rsid w:val="00AC341C"/>
    <w:rsid w:val="00AC66FE"/>
    <w:rsid w:val="00AF285A"/>
    <w:rsid w:val="00AF4BD0"/>
    <w:rsid w:val="00AF681D"/>
    <w:rsid w:val="00B21AE9"/>
    <w:rsid w:val="00B23DDC"/>
    <w:rsid w:val="00B53F16"/>
    <w:rsid w:val="00B608A8"/>
    <w:rsid w:val="00B672F3"/>
    <w:rsid w:val="00BB3E30"/>
    <w:rsid w:val="00BB63DF"/>
    <w:rsid w:val="00BC5D9F"/>
    <w:rsid w:val="00BD20AB"/>
    <w:rsid w:val="00BD269E"/>
    <w:rsid w:val="00C00C57"/>
    <w:rsid w:val="00C51217"/>
    <w:rsid w:val="00C66C1F"/>
    <w:rsid w:val="00C94A0F"/>
    <w:rsid w:val="00CA184E"/>
    <w:rsid w:val="00CA23D0"/>
    <w:rsid w:val="00CC1FC3"/>
    <w:rsid w:val="00CD3DA0"/>
    <w:rsid w:val="00CE622F"/>
    <w:rsid w:val="00CE65DF"/>
    <w:rsid w:val="00CF51D5"/>
    <w:rsid w:val="00D03DBF"/>
    <w:rsid w:val="00D13E0B"/>
    <w:rsid w:val="00D172EC"/>
    <w:rsid w:val="00D356C7"/>
    <w:rsid w:val="00D3579D"/>
    <w:rsid w:val="00D42621"/>
    <w:rsid w:val="00D62CD7"/>
    <w:rsid w:val="00D6413F"/>
    <w:rsid w:val="00D75F38"/>
    <w:rsid w:val="00D913A1"/>
    <w:rsid w:val="00D916C9"/>
    <w:rsid w:val="00DA48CF"/>
    <w:rsid w:val="00DB143C"/>
    <w:rsid w:val="00DB3EC1"/>
    <w:rsid w:val="00DC045E"/>
    <w:rsid w:val="00DC16AF"/>
    <w:rsid w:val="00DD67F1"/>
    <w:rsid w:val="00DF5A71"/>
    <w:rsid w:val="00E0091B"/>
    <w:rsid w:val="00E04BFA"/>
    <w:rsid w:val="00E30642"/>
    <w:rsid w:val="00E42A45"/>
    <w:rsid w:val="00E43B57"/>
    <w:rsid w:val="00E43CFD"/>
    <w:rsid w:val="00E819EA"/>
    <w:rsid w:val="00E96639"/>
    <w:rsid w:val="00EB6AA2"/>
    <w:rsid w:val="00EC7039"/>
    <w:rsid w:val="00EF1DD2"/>
    <w:rsid w:val="00F0187A"/>
    <w:rsid w:val="00F050E6"/>
    <w:rsid w:val="00F128A3"/>
    <w:rsid w:val="00F25C75"/>
    <w:rsid w:val="00F27535"/>
    <w:rsid w:val="00F32769"/>
    <w:rsid w:val="00F74B7B"/>
    <w:rsid w:val="00FA1711"/>
    <w:rsid w:val="00FC04FE"/>
    <w:rsid w:val="00FC4805"/>
    <w:rsid w:val="00FC65E4"/>
    <w:rsid w:val="00FD5FDF"/>
    <w:rsid w:val="00FF2750"/>
    <w:rsid w:val="00FF2F8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7105"/>
    <o:shapelayout v:ext="edit">
      <o:idmap v:ext="edit" data="1"/>
    </o:shapelayout>
  </w:shapeDefaults>
  <w:decimalSymbol w:val=","/>
  <w:listSeparator w:val=";"/>
  <w14:docId w14:val="26862D62"/>
  <w15:chartTrackingRefBased/>
  <w15:docId w15:val="{AAD12838-275D-4349-B3D7-1529766289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916C9"/>
    <w:pPr>
      <w:suppressAutoHyphens/>
      <w:spacing w:after="0" w:line="240" w:lineRule="auto"/>
    </w:pPr>
    <w:rPr>
      <w:rFonts w:ascii="Times New Roman" w:eastAsia="Times New Roman" w:hAnsi="Times New Roman" w:cs="Times New Roman"/>
      <w:sz w:val="24"/>
      <w:szCs w:val="24"/>
      <w:lang w:eastAsia="zh-CN"/>
    </w:rPr>
  </w:style>
  <w:style w:type="paragraph" w:styleId="Nadpis1">
    <w:name w:val="heading 1"/>
    <w:basedOn w:val="Normln"/>
    <w:next w:val="Normln"/>
    <w:link w:val="Nadpis1Char"/>
    <w:qFormat/>
    <w:rsid w:val="00CA23D0"/>
    <w:pPr>
      <w:keepNext/>
      <w:keepLines/>
      <w:spacing w:before="240"/>
      <w:outlineLvl w:val="0"/>
    </w:pPr>
    <w:rPr>
      <w:rFonts w:asciiTheme="majorHAnsi" w:eastAsiaTheme="majorEastAsia" w:hAnsiTheme="majorHAnsi" w:cstheme="majorBidi"/>
      <w:color w:val="000000" w:themeColor="text1"/>
      <w:sz w:val="32"/>
      <w:szCs w:val="32"/>
    </w:rPr>
  </w:style>
  <w:style w:type="paragraph" w:styleId="Nadpis2">
    <w:name w:val="heading 2"/>
    <w:basedOn w:val="Normln"/>
    <w:next w:val="Normln"/>
    <w:link w:val="Nadpis2Char"/>
    <w:uiPriority w:val="9"/>
    <w:unhideWhenUsed/>
    <w:qFormat/>
    <w:rsid w:val="00CA23D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
    <w:next w:val="Normln"/>
    <w:link w:val="Nadpis3Char"/>
    <w:uiPriority w:val="99"/>
    <w:unhideWhenUsed/>
    <w:qFormat/>
    <w:rsid w:val="00CA23D0"/>
    <w:pPr>
      <w:keepNext/>
      <w:keepLines/>
      <w:spacing w:before="40"/>
      <w:outlineLvl w:val="2"/>
    </w:pPr>
    <w:rPr>
      <w:rFonts w:asciiTheme="majorHAnsi" w:eastAsiaTheme="majorEastAsia" w:hAnsiTheme="majorHAnsi" w:cstheme="majorBidi"/>
      <w:color w:val="1F4D78" w:themeColor="accent1" w:themeShade="7F"/>
    </w:rPr>
  </w:style>
  <w:style w:type="paragraph" w:styleId="Nadpis4">
    <w:name w:val="heading 4"/>
    <w:aliases w:val="F7"/>
    <w:basedOn w:val="Normln"/>
    <w:next w:val="Normln"/>
    <w:link w:val="Nadpis4Char"/>
    <w:uiPriority w:val="9"/>
    <w:qFormat/>
    <w:rsid w:val="00D916C9"/>
    <w:pPr>
      <w:keepNext/>
      <w:spacing w:before="240" w:after="60"/>
      <w:outlineLvl w:val="3"/>
    </w:pPr>
    <w:rPr>
      <w:rFonts w:ascii="Arial" w:hAnsi="Arial" w:cs="Arial"/>
      <w:b/>
      <w:bCs/>
      <w:szCs w:val="28"/>
    </w:rPr>
  </w:style>
  <w:style w:type="paragraph" w:styleId="Nadpis5">
    <w:name w:val="heading 5"/>
    <w:basedOn w:val="Normln"/>
    <w:next w:val="Normln"/>
    <w:link w:val="Nadpis5Char"/>
    <w:uiPriority w:val="99"/>
    <w:unhideWhenUsed/>
    <w:qFormat/>
    <w:rsid w:val="00CA23D0"/>
    <w:pPr>
      <w:keepNext/>
      <w:keepLines/>
      <w:suppressAutoHyphens w:val="0"/>
      <w:spacing w:before="200" w:line="259" w:lineRule="auto"/>
      <w:ind w:left="1008" w:hanging="1008"/>
      <w:outlineLvl w:val="4"/>
    </w:pPr>
    <w:rPr>
      <w:rFonts w:ascii="Calibri Light" w:eastAsia="SimSun" w:hAnsi="Calibri Light"/>
      <w:color w:val="323E4F"/>
      <w:sz w:val="22"/>
      <w:szCs w:val="22"/>
      <w:lang w:eastAsia="cs-CZ"/>
    </w:rPr>
  </w:style>
  <w:style w:type="paragraph" w:styleId="Nadpis6">
    <w:name w:val="heading 6"/>
    <w:basedOn w:val="Normln"/>
    <w:next w:val="Normln"/>
    <w:link w:val="Nadpis6Char"/>
    <w:uiPriority w:val="99"/>
    <w:unhideWhenUsed/>
    <w:qFormat/>
    <w:rsid w:val="00CA23D0"/>
    <w:pPr>
      <w:keepNext/>
      <w:keepLines/>
      <w:suppressAutoHyphens w:val="0"/>
      <w:spacing w:before="200" w:line="259" w:lineRule="auto"/>
      <w:ind w:left="1152" w:hanging="1152"/>
      <w:outlineLvl w:val="5"/>
    </w:pPr>
    <w:rPr>
      <w:rFonts w:ascii="Calibri Light" w:eastAsia="SimSun" w:hAnsi="Calibri Light"/>
      <w:i/>
      <w:iCs/>
      <w:color w:val="323E4F"/>
      <w:sz w:val="22"/>
      <w:szCs w:val="22"/>
      <w:lang w:eastAsia="cs-CZ"/>
    </w:rPr>
  </w:style>
  <w:style w:type="paragraph" w:styleId="Nadpis7">
    <w:name w:val="heading 7"/>
    <w:basedOn w:val="Normln"/>
    <w:next w:val="Normln"/>
    <w:link w:val="Nadpis7Char"/>
    <w:uiPriority w:val="99"/>
    <w:unhideWhenUsed/>
    <w:qFormat/>
    <w:rsid w:val="00CA23D0"/>
    <w:pPr>
      <w:keepNext/>
      <w:keepLines/>
      <w:suppressAutoHyphens w:val="0"/>
      <w:spacing w:before="200" w:line="259" w:lineRule="auto"/>
      <w:ind w:left="1296" w:hanging="1296"/>
      <w:outlineLvl w:val="6"/>
    </w:pPr>
    <w:rPr>
      <w:rFonts w:ascii="Calibri Light" w:eastAsia="SimSun" w:hAnsi="Calibri Light"/>
      <w:i/>
      <w:iCs/>
      <w:color w:val="404040"/>
      <w:sz w:val="22"/>
      <w:szCs w:val="22"/>
      <w:lang w:eastAsia="cs-CZ"/>
    </w:rPr>
  </w:style>
  <w:style w:type="paragraph" w:styleId="Nadpis8">
    <w:name w:val="heading 8"/>
    <w:basedOn w:val="Normln"/>
    <w:next w:val="Normln"/>
    <w:link w:val="Nadpis8Char"/>
    <w:unhideWhenUsed/>
    <w:qFormat/>
    <w:rsid w:val="00CA23D0"/>
    <w:pPr>
      <w:keepNext/>
      <w:keepLines/>
      <w:suppressAutoHyphens w:val="0"/>
      <w:spacing w:before="200" w:line="259" w:lineRule="auto"/>
      <w:ind w:left="1440" w:hanging="1440"/>
      <w:outlineLvl w:val="7"/>
    </w:pPr>
    <w:rPr>
      <w:rFonts w:ascii="Calibri Light" w:eastAsia="SimSun" w:hAnsi="Calibri Light"/>
      <w:color w:val="404040"/>
      <w:sz w:val="20"/>
      <w:szCs w:val="20"/>
      <w:lang w:eastAsia="cs-CZ"/>
    </w:rPr>
  </w:style>
  <w:style w:type="paragraph" w:styleId="Nadpis9">
    <w:name w:val="heading 9"/>
    <w:basedOn w:val="Normln"/>
    <w:next w:val="Normln"/>
    <w:link w:val="Nadpis9Char"/>
    <w:uiPriority w:val="99"/>
    <w:unhideWhenUsed/>
    <w:qFormat/>
    <w:rsid w:val="00CA23D0"/>
    <w:pPr>
      <w:keepNext/>
      <w:keepLines/>
      <w:suppressAutoHyphens w:val="0"/>
      <w:spacing w:before="200" w:line="259" w:lineRule="auto"/>
      <w:ind w:left="1584" w:hanging="1584"/>
      <w:outlineLvl w:val="8"/>
    </w:pPr>
    <w:rPr>
      <w:rFonts w:ascii="Calibri Light" w:eastAsia="SimSun" w:hAnsi="Calibri Light"/>
      <w:i/>
      <w:iCs/>
      <w:color w:val="404040"/>
      <w:sz w:val="20"/>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rsid w:val="00CA23D0"/>
    <w:rPr>
      <w:rFonts w:asciiTheme="majorHAnsi" w:eastAsiaTheme="majorEastAsia" w:hAnsiTheme="majorHAnsi" w:cstheme="majorBidi"/>
      <w:color w:val="000000" w:themeColor="text1"/>
      <w:sz w:val="32"/>
      <w:szCs w:val="32"/>
      <w:lang w:eastAsia="zh-CN"/>
    </w:rPr>
  </w:style>
  <w:style w:type="character" w:customStyle="1" w:styleId="Nadpis2Char">
    <w:name w:val="Nadpis 2 Char"/>
    <w:basedOn w:val="Standardnpsmoodstavce"/>
    <w:link w:val="Nadpis2"/>
    <w:uiPriority w:val="9"/>
    <w:rsid w:val="00CA23D0"/>
    <w:rPr>
      <w:rFonts w:asciiTheme="majorHAnsi" w:eastAsiaTheme="majorEastAsia" w:hAnsiTheme="majorHAnsi" w:cstheme="majorBidi"/>
      <w:color w:val="2E74B5" w:themeColor="accent1" w:themeShade="BF"/>
      <w:sz w:val="26"/>
      <w:szCs w:val="26"/>
      <w:lang w:eastAsia="zh-CN"/>
    </w:rPr>
  </w:style>
  <w:style w:type="character" w:customStyle="1" w:styleId="Nadpis3Char">
    <w:name w:val="Nadpis 3 Char"/>
    <w:basedOn w:val="Standardnpsmoodstavce"/>
    <w:link w:val="Nadpis3"/>
    <w:uiPriority w:val="99"/>
    <w:rsid w:val="00CA23D0"/>
    <w:rPr>
      <w:rFonts w:asciiTheme="majorHAnsi" w:eastAsiaTheme="majorEastAsia" w:hAnsiTheme="majorHAnsi" w:cstheme="majorBidi"/>
      <w:color w:val="1F4D78" w:themeColor="accent1" w:themeShade="7F"/>
      <w:sz w:val="24"/>
      <w:szCs w:val="24"/>
      <w:lang w:eastAsia="zh-CN"/>
    </w:rPr>
  </w:style>
  <w:style w:type="character" w:customStyle="1" w:styleId="Nadpis4Char">
    <w:name w:val="Nadpis 4 Char"/>
    <w:aliases w:val="F7 Char"/>
    <w:basedOn w:val="Standardnpsmoodstavce"/>
    <w:link w:val="Nadpis4"/>
    <w:uiPriority w:val="9"/>
    <w:rsid w:val="00D916C9"/>
    <w:rPr>
      <w:rFonts w:ascii="Arial" w:eastAsia="Times New Roman" w:hAnsi="Arial" w:cs="Arial"/>
      <w:b/>
      <w:bCs/>
      <w:sz w:val="24"/>
      <w:szCs w:val="28"/>
      <w:lang w:eastAsia="zh-CN"/>
    </w:rPr>
  </w:style>
  <w:style w:type="character" w:customStyle="1" w:styleId="Nadpis5Char">
    <w:name w:val="Nadpis 5 Char"/>
    <w:basedOn w:val="Standardnpsmoodstavce"/>
    <w:link w:val="Nadpis5"/>
    <w:uiPriority w:val="99"/>
    <w:rsid w:val="00CA23D0"/>
    <w:rPr>
      <w:rFonts w:ascii="Calibri Light" w:eastAsia="SimSun" w:hAnsi="Calibri Light" w:cs="Times New Roman"/>
      <w:color w:val="323E4F"/>
      <w:lang w:eastAsia="cs-CZ"/>
    </w:rPr>
  </w:style>
  <w:style w:type="character" w:customStyle="1" w:styleId="Nadpis6Char">
    <w:name w:val="Nadpis 6 Char"/>
    <w:basedOn w:val="Standardnpsmoodstavce"/>
    <w:link w:val="Nadpis6"/>
    <w:uiPriority w:val="99"/>
    <w:rsid w:val="00CA23D0"/>
    <w:rPr>
      <w:rFonts w:ascii="Calibri Light" w:eastAsia="SimSun" w:hAnsi="Calibri Light" w:cs="Times New Roman"/>
      <w:i/>
      <w:iCs/>
      <w:color w:val="323E4F"/>
      <w:lang w:eastAsia="cs-CZ"/>
    </w:rPr>
  </w:style>
  <w:style w:type="character" w:customStyle="1" w:styleId="Nadpis7Char">
    <w:name w:val="Nadpis 7 Char"/>
    <w:basedOn w:val="Standardnpsmoodstavce"/>
    <w:link w:val="Nadpis7"/>
    <w:uiPriority w:val="99"/>
    <w:rsid w:val="00CA23D0"/>
    <w:rPr>
      <w:rFonts w:ascii="Calibri Light" w:eastAsia="SimSun" w:hAnsi="Calibri Light" w:cs="Times New Roman"/>
      <w:i/>
      <w:iCs/>
      <w:color w:val="404040"/>
      <w:lang w:eastAsia="cs-CZ"/>
    </w:rPr>
  </w:style>
  <w:style w:type="character" w:customStyle="1" w:styleId="Nadpis8Char">
    <w:name w:val="Nadpis 8 Char"/>
    <w:basedOn w:val="Standardnpsmoodstavce"/>
    <w:link w:val="Nadpis8"/>
    <w:rsid w:val="00CA23D0"/>
    <w:rPr>
      <w:rFonts w:ascii="Calibri Light" w:eastAsia="SimSun" w:hAnsi="Calibri Light" w:cs="Times New Roman"/>
      <w:color w:val="404040"/>
      <w:sz w:val="20"/>
      <w:szCs w:val="20"/>
      <w:lang w:eastAsia="cs-CZ"/>
    </w:rPr>
  </w:style>
  <w:style w:type="character" w:customStyle="1" w:styleId="Nadpis9Char">
    <w:name w:val="Nadpis 9 Char"/>
    <w:basedOn w:val="Standardnpsmoodstavce"/>
    <w:link w:val="Nadpis9"/>
    <w:uiPriority w:val="99"/>
    <w:rsid w:val="00CA23D0"/>
    <w:rPr>
      <w:rFonts w:ascii="Calibri Light" w:eastAsia="SimSun" w:hAnsi="Calibri Light" w:cs="Times New Roman"/>
      <w:i/>
      <w:iCs/>
      <w:color w:val="404040"/>
      <w:sz w:val="20"/>
      <w:szCs w:val="20"/>
      <w:lang w:eastAsia="cs-CZ"/>
    </w:rPr>
  </w:style>
  <w:style w:type="paragraph" w:customStyle="1" w:styleId="Nadpis">
    <w:name w:val="Nadpis"/>
    <w:basedOn w:val="Normln"/>
    <w:next w:val="Zkladntext"/>
    <w:qFormat/>
    <w:rsid w:val="00D916C9"/>
    <w:pPr>
      <w:jc w:val="center"/>
    </w:pPr>
    <w:rPr>
      <w:rFonts w:ascii="Arial" w:hAnsi="Arial" w:cs="Arial"/>
      <w:b/>
      <w:bCs/>
      <w:sz w:val="22"/>
    </w:rPr>
  </w:style>
  <w:style w:type="paragraph" w:styleId="Zkladntext">
    <w:name w:val="Body Text"/>
    <w:aliases w:val="F2"/>
    <w:basedOn w:val="Normln"/>
    <w:link w:val="ZkladntextChar"/>
    <w:unhideWhenUsed/>
    <w:rsid w:val="00D916C9"/>
    <w:pPr>
      <w:spacing w:after="120"/>
    </w:pPr>
  </w:style>
  <w:style w:type="character" w:customStyle="1" w:styleId="ZkladntextChar">
    <w:name w:val="Základní text Char"/>
    <w:aliases w:val="F2 Char"/>
    <w:basedOn w:val="Standardnpsmoodstavce"/>
    <w:link w:val="Zkladntext"/>
    <w:rsid w:val="00D916C9"/>
    <w:rPr>
      <w:rFonts w:ascii="Times New Roman" w:eastAsia="Times New Roman" w:hAnsi="Times New Roman" w:cs="Times New Roman"/>
      <w:sz w:val="24"/>
      <w:szCs w:val="24"/>
      <w:lang w:eastAsia="zh-CN"/>
    </w:rPr>
  </w:style>
  <w:style w:type="paragraph" w:styleId="Zhlav">
    <w:name w:val="header"/>
    <w:basedOn w:val="Normln"/>
    <w:link w:val="ZhlavChar"/>
    <w:uiPriority w:val="99"/>
    <w:unhideWhenUsed/>
    <w:rsid w:val="00FC65E4"/>
    <w:pPr>
      <w:tabs>
        <w:tab w:val="center" w:pos="4536"/>
        <w:tab w:val="right" w:pos="9072"/>
      </w:tabs>
    </w:pPr>
  </w:style>
  <w:style w:type="character" w:customStyle="1" w:styleId="ZhlavChar">
    <w:name w:val="Záhlaví Char"/>
    <w:basedOn w:val="Standardnpsmoodstavce"/>
    <w:link w:val="Zhlav"/>
    <w:uiPriority w:val="99"/>
    <w:rsid w:val="00FC65E4"/>
    <w:rPr>
      <w:rFonts w:ascii="Times New Roman" w:eastAsia="Times New Roman" w:hAnsi="Times New Roman" w:cs="Times New Roman"/>
      <w:sz w:val="24"/>
      <w:szCs w:val="24"/>
      <w:lang w:eastAsia="zh-CN"/>
    </w:rPr>
  </w:style>
  <w:style w:type="paragraph" w:styleId="Zpat">
    <w:name w:val="footer"/>
    <w:basedOn w:val="Normln"/>
    <w:link w:val="ZpatChar"/>
    <w:uiPriority w:val="99"/>
    <w:unhideWhenUsed/>
    <w:rsid w:val="00FC65E4"/>
    <w:pPr>
      <w:tabs>
        <w:tab w:val="center" w:pos="4536"/>
        <w:tab w:val="right" w:pos="9072"/>
      </w:tabs>
    </w:pPr>
  </w:style>
  <w:style w:type="character" w:customStyle="1" w:styleId="ZpatChar">
    <w:name w:val="Zápatí Char"/>
    <w:basedOn w:val="Standardnpsmoodstavce"/>
    <w:link w:val="Zpat"/>
    <w:uiPriority w:val="99"/>
    <w:rsid w:val="00FC65E4"/>
    <w:rPr>
      <w:rFonts w:ascii="Times New Roman" w:eastAsia="Times New Roman" w:hAnsi="Times New Roman" w:cs="Times New Roman"/>
      <w:sz w:val="24"/>
      <w:szCs w:val="24"/>
      <w:lang w:eastAsia="zh-CN"/>
    </w:rPr>
  </w:style>
  <w:style w:type="paragraph" w:styleId="Odstavecseseznamem">
    <w:name w:val="List Paragraph"/>
    <w:basedOn w:val="Normln"/>
    <w:link w:val="OdstavecseseznamemChar"/>
    <w:uiPriority w:val="34"/>
    <w:qFormat/>
    <w:rsid w:val="00FC65E4"/>
    <w:pPr>
      <w:suppressAutoHyphens w:val="0"/>
      <w:spacing w:after="160" w:line="259" w:lineRule="auto"/>
      <w:ind w:left="720"/>
      <w:contextualSpacing/>
    </w:pPr>
    <w:rPr>
      <w:rFonts w:ascii="Calibri" w:eastAsia="Calibri" w:hAnsi="Calibri"/>
      <w:sz w:val="22"/>
      <w:szCs w:val="22"/>
      <w:lang w:eastAsia="en-US"/>
    </w:rPr>
  </w:style>
  <w:style w:type="paragraph" w:styleId="Obsah1">
    <w:name w:val="toc 1"/>
    <w:basedOn w:val="Normln"/>
    <w:next w:val="Normln"/>
    <w:autoRedefine/>
    <w:uiPriority w:val="39"/>
    <w:rsid w:val="00CA23D0"/>
    <w:pPr>
      <w:tabs>
        <w:tab w:val="right" w:leader="dot" w:pos="9061"/>
      </w:tabs>
      <w:suppressAutoHyphens w:val="0"/>
      <w:jc w:val="right"/>
    </w:pPr>
    <w:rPr>
      <w:b/>
      <w:noProof/>
      <w:sz w:val="32"/>
      <w:szCs w:val="32"/>
      <w:lang w:eastAsia="cs-CZ"/>
    </w:rPr>
  </w:style>
  <w:style w:type="paragraph" w:styleId="Obsah2">
    <w:name w:val="toc 2"/>
    <w:basedOn w:val="Normln"/>
    <w:next w:val="Normln"/>
    <w:autoRedefine/>
    <w:uiPriority w:val="39"/>
    <w:rsid w:val="00CA23D0"/>
    <w:pPr>
      <w:tabs>
        <w:tab w:val="left" w:pos="600"/>
        <w:tab w:val="right" w:leader="dot" w:pos="8505"/>
      </w:tabs>
      <w:suppressAutoHyphens w:val="0"/>
      <w:ind w:left="426" w:hanging="132"/>
    </w:pPr>
    <w:rPr>
      <w:rFonts w:ascii="Arial" w:hAnsi="Arial" w:cs="Arial"/>
      <w:noProof/>
      <w:color w:val="FF0000"/>
      <w:sz w:val="22"/>
      <w:szCs w:val="22"/>
      <w:lang w:eastAsia="cs-CZ"/>
    </w:rPr>
  </w:style>
  <w:style w:type="paragraph" w:styleId="Obsah3">
    <w:name w:val="toc 3"/>
    <w:basedOn w:val="Normln"/>
    <w:next w:val="Normln"/>
    <w:autoRedefine/>
    <w:uiPriority w:val="39"/>
    <w:rsid w:val="00CA23D0"/>
    <w:pPr>
      <w:tabs>
        <w:tab w:val="right" w:leader="dot" w:pos="8660"/>
      </w:tabs>
      <w:suppressAutoHyphens w:val="0"/>
      <w:ind w:left="426" w:hanging="142"/>
    </w:pPr>
    <w:rPr>
      <w:lang w:eastAsia="cs-CZ"/>
    </w:rPr>
  </w:style>
  <w:style w:type="character" w:styleId="Hypertextovodkaz">
    <w:name w:val="Hyperlink"/>
    <w:rsid w:val="00CA23D0"/>
    <w:rPr>
      <w:rFonts w:cs="Times New Roman"/>
      <w:color w:val="0000FF"/>
      <w:u w:val="single"/>
    </w:rPr>
  </w:style>
  <w:style w:type="paragraph" w:styleId="Bezmezer">
    <w:name w:val="No Spacing"/>
    <w:uiPriority w:val="99"/>
    <w:qFormat/>
    <w:rsid w:val="00CA23D0"/>
    <w:pPr>
      <w:suppressAutoHyphens/>
      <w:spacing w:after="0" w:line="240" w:lineRule="auto"/>
    </w:pPr>
    <w:rPr>
      <w:rFonts w:ascii="Times New Roman" w:eastAsia="Times New Roman" w:hAnsi="Times New Roman" w:cs="Times New Roman"/>
      <w:sz w:val="24"/>
      <w:szCs w:val="24"/>
      <w:lang w:eastAsia="zh-CN"/>
    </w:rPr>
  </w:style>
  <w:style w:type="paragraph" w:customStyle="1" w:styleId="podnadpis2">
    <w:name w:val="podnadpis2"/>
    <w:rsid w:val="00CA23D0"/>
    <w:pPr>
      <w:autoSpaceDE w:val="0"/>
      <w:autoSpaceDN w:val="0"/>
      <w:adjustRightInd w:val="0"/>
      <w:spacing w:before="73" w:after="73"/>
    </w:pPr>
    <w:rPr>
      <w:rFonts w:ascii="Arial" w:eastAsia="Times New Roman" w:hAnsi="Arial" w:cs="Times New Roman"/>
      <w:b/>
      <w:bCs/>
      <w:caps/>
      <w:color w:val="000000"/>
      <w:szCs w:val="24"/>
      <w:lang w:eastAsia="cs-CZ"/>
    </w:rPr>
  </w:style>
  <w:style w:type="paragraph" w:customStyle="1" w:styleId="Texttabulky">
    <w:name w:val="Text tabulky"/>
    <w:rsid w:val="00CA23D0"/>
    <w:pPr>
      <w:autoSpaceDE w:val="0"/>
      <w:autoSpaceDN w:val="0"/>
      <w:adjustRightInd w:val="0"/>
    </w:pPr>
    <w:rPr>
      <w:rFonts w:ascii="Arial" w:eastAsia="Times New Roman" w:hAnsi="Arial" w:cs="Times New Roman"/>
      <w:color w:val="000000"/>
      <w:sz w:val="16"/>
      <w:szCs w:val="16"/>
      <w:lang w:eastAsia="cs-CZ"/>
    </w:rPr>
  </w:style>
  <w:style w:type="paragraph" w:customStyle="1" w:styleId="Znaka">
    <w:name w:val="Značka"/>
    <w:rsid w:val="00CA23D0"/>
    <w:pPr>
      <w:autoSpaceDE w:val="0"/>
      <w:autoSpaceDN w:val="0"/>
      <w:adjustRightInd w:val="0"/>
      <w:ind w:left="1088"/>
    </w:pPr>
    <w:rPr>
      <w:rFonts w:ascii="Arial" w:eastAsia="Times New Roman" w:hAnsi="Arial" w:cs="Times New Roman"/>
      <w:color w:val="000000"/>
      <w:lang w:eastAsia="cs-CZ"/>
    </w:rPr>
  </w:style>
  <w:style w:type="paragraph" w:customStyle="1" w:styleId="podnadpis1">
    <w:name w:val="podnadpis1"/>
    <w:rsid w:val="00CA23D0"/>
    <w:pPr>
      <w:autoSpaceDE w:val="0"/>
      <w:autoSpaceDN w:val="0"/>
      <w:adjustRightInd w:val="0"/>
      <w:spacing w:before="56" w:after="56"/>
    </w:pPr>
    <w:rPr>
      <w:rFonts w:ascii="Arial" w:eastAsia="Times New Roman" w:hAnsi="Arial" w:cs="Times New Roman"/>
      <w:b/>
      <w:bCs/>
      <w:caps/>
      <w:color w:val="000000"/>
      <w:sz w:val="32"/>
      <w:szCs w:val="32"/>
      <w:lang w:eastAsia="cs-CZ"/>
    </w:rPr>
  </w:style>
  <w:style w:type="paragraph" w:customStyle="1" w:styleId="dka">
    <w:name w:val="Řádka"/>
    <w:rsid w:val="00CA23D0"/>
    <w:pPr>
      <w:autoSpaceDE w:val="0"/>
      <w:autoSpaceDN w:val="0"/>
      <w:adjustRightInd w:val="0"/>
    </w:pPr>
    <w:rPr>
      <w:rFonts w:ascii="Arial" w:eastAsia="Times New Roman" w:hAnsi="Arial" w:cs="Times New Roman"/>
      <w:color w:val="000000"/>
      <w:lang w:eastAsia="cs-CZ"/>
    </w:rPr>
  </w:style>
  <w:style w:type="paragraph" w:styleId="Nzev">
    <w:name w:val="Title"/>
    <w:basedOn w:val="Normln"/>
    <w:next w:val="Normln"/>
    <w:link w:val="NzevChar"/>
    <w:uiPriority w:val="99"/>
    <w:qFormat/>
    <w:rsid w:val="00CA23D0"/>
    <w:pPr>
      <w:suppressAutoHyphens w:val="0"/>
      <w:contextualSpacing/>
    </w:pPr>
    <w:rPr>
      <w:rFonts w:ascii="Calibri Light" w:eastAsia="SimSun" w:hAnsi="Calibri Light"/>
      <w:color w:val="000000"/>
      <w:sz w:val="56"/>
      <w:szCs w:val="56"/>
      <w:lang w:eastAsia="cs-CZ"/>
    </w:rPr>
  </w:style>
  <w:style w:type="character" w:customStyle="1" w:styleId="NzevChar">
    <w:name w:val="Název Char"/>
    <w:basedOn w:val="Standardnpsmoodstavce"/>
    <w:link w:val="Nzev"/>
    <w:uiPriority w:val="99"/>
    <w:rsid w:val="00CA23D0"/>
    <w:rPr>
      <w:rFonts w:ascii="Calibri Light" w:eastAsia="SimSun" w:hAnsi="Calibri Light" w:cs="Times New Roman"/>
      <w:color w:val="000000"/>
      <w:sz w:val="56"/>
      <w:szCs w:val="56"/>
      <w:lang w:eastAsia="cs-CZ"/>
    </w:rPr>
  </w:style>
  <w:style w:type="paragraph" w:customStyle="1" w:styleId="a">
    <w:basedOn w:val="Normln"/>
    <w:next w:val="Normln"/>
    <w:qFormat/>
    <w:rsid w:val="00CA23D0"/>
    <w:pPr>
      <w:numPr>
        <w:ilvl w:val="1"/>
      </w:numPr>
      <w:suppressAutoHyphens w:val="0"/>
      <w:spacing w:after="160" w:line="259" w:lineRule="auto"/>
    </w:pPr>
    <w:rPr>
      <w:rFonts w:ascii="Calibri" w:hAnsi="Calibri"/>
      <w:color w:val="5A5A5A"/>
      <w:spacing w:val="10"/>
      <w:sz w:val="22"/>
      <w:szCs w:val="22"/>
      <w:lang w:eastAsia="cs-CZ"/>
    </w:rPr>
  </w:style>
  <w:style w:type="character" w:styleId="Siln">
    <w:name w:val="Strong"/>
    <w:uiPriority w:val="99"/>
    <w:qFormat/>
    <w:rsid w:val="00CA23D0"/>
    <w:rPr>
      <w:b/>
      <w:bCs/>
      <w:color w:val="000000"/>
    </w:rPr>
  </w:style>
  <w:style w:type="character" w:styleId="Zdraznn">
    <w:name w:val="Emphasis"/>
    <w:uiPriority w:val="20"/>
    <w:qFormat/>
    <w:rsid w:val="00CA23D0"/>
    <w:rPr>
      <w:i/>
      <w:iCs/>
      <w:color w:val="auto"/>
    </w:rPr>
  </w:style>
  <w:style w:type="paragraph" w:styleId="Citt">
    <w:name w:val="Quote"/>
    <w:basedOn w:val="Normln"/>
    <w:next w:val="Normln"/>
    <w:link w:val="CittChar"/>
    <w:uiPriority w:val="29"/>
    <w:qFormat/>
    <w:rsid w:val="00CA23D0"/>
    <w:pPr>
      <w:suppressAutoHyphens w:val="0"/>
      <w:spacing w:before="160" w:after="160" w:line="259" w:lineRule="auto"/>
      <w:ind w:left="720" w:right="720"/>
    </w:pPr>
    <w:rPr>
      <w:rFonts w:ascii="Calibri" w:hAnsi="Calibri"/>
      <w:i/>
      <w:iCs/>
      <w:color w:val="000000"/>
      <w:sz w:val="22"/>
      <w:szCs w:val="22"/>
      <w:lang w:eastAsia="cs-CZ"/>
    </w:rPr>
  </w:style>
  <w:style w:type="character" w:customStyle="1" w:styleId="CittChar">
    <w:name w:val="Citát Char"/>
    <w:basedOn w:val="Standardnpsmoodstavce"/>
    <w:link w:val="Citt"/>
    <w:uiPriority w:val="29"/>
    <w:rsid w:val="00CA23D0"/>
    <w:rPr>
      <w:rFonts w:ascii="Calibri" w:eastAsia="Times New Roman" w:hAnsi="Calibri" w:cs="Times New Roman"/>
      <w:i/>
      <w:iCs/>
      <w:color w:val="000000"/>
      <w:lang w:eastAsia="cs-CZ"/>
    </w:rPr>
  </w:style>
  <w:style w:type="paragraph" w:styleId="Vrazncitt">
    <w:name w:val="Intense Quote"/>
    <w:basedOn w:val="Normln"/>
    <w:next w:val="Normln"/>
    <w:link w:val="VrazncittChar"/>
    <w:uiPriority w:val="30"/>
    <w:qFormat/>
    <w:rsid w:val="00CA23D0"/>
    <w:pPr>
      <w:pBdr>
        <w:top w:val="single" w:sz="24" w:space="1" w:color="F2F2F2"/>
        <w:bottom w:val="single" w:sz="24" w:space="1" w:color="F2F2F2"/>
      </w:pBdr>
      <w:shd w:val="clear" w:color="auto" w:fill="F2F2F2"/>
      <w:suppressAutoHyphens w:val="0"/>
      <w:spacing w:before="240" w:after="240" w:line="259" w:lineRule="auto"/>
      <w:ind w:left="936" w:right="936"/>
      <w:jc w:val="center"/>
    </w:pPr>
    <w:rPr>
      <w:rFonts w:ascii="Calibri" w:hAnsi="Calibri"/>
      <w:color w:val="000000"/>
      <w:sz w:val="22"/>
      <w:szCs w:val="22"/>
      <w:lang w:eastAsia="cs-CZ"/>
    </w:rPr>
  </w:style>
  <w:style w:type="character" w:customStyle="1" w:styleId="VrazncittChar">
    <w:name w:val="Výrazný citát Char"/>
    <w:basedOn w:val="Standardnpsmoodstavce"/>
    <w:link w:val="Vrazncitt"/>
    <w:uiPriority w:val="30"/>
    <w:rsid w:val="00CA23D0"/>
    <w:rPr>
      <w:rFonts w:ascii="Calibri" w:eastAsia="Times New Roman" w:hAnsi="Calibri" w:cs="Times New Roman"/>
      <w:color w:val="000000"/>
      <w:shd w:val="clear" w:color="auto" w:fill="F2F2F2"/>
      <w:lang w:eastAsia="cs-CZ"/>
    </w:rPr>
  </w:style>
  <w:style w:type="character" w:styleId="Zdraznnjemn">
    <w:name w:val="Subtle Emphasis"/>
    <w:uiPriority w:val="19"/>
    <w:qFormat/>
    <w:rsid w:val="00CA23D0"/>
    <w:rPr>
      <w:i/>
      <w:iCs/>
      <w:color w:val="404040"/>
    </w:rPr>
  </w:style>
  <w:style w:type="character" w:styleId="Zdraznnintenzivn">
    <w:name w:val="Intense Emphasis"/>
    <w:uiPriority w:val="21"/>
    <w:qFormat/>
    <w:rsid w:val="00CA23D0"/>
    <w:rPr>
      <w:b/>
      <w:bCs/>
      <w:i/>
      <w:iCs/>
      <w:caps/>
    </w:rPr>
  </w:style>
  <w:style w:type="character" w:styleId="Odkazjemn">
    <w:name w:val="Subtle Reference"/>
    <w:uiPriority w:val="31"/>
    <w:qFormat/>
    <w:rsid w:val="00CA23D0"/>
    <w:rPr>
      <w:smallCaps/>
      <w:color w:val="404040"/>
      <w:u w:val="single" w:color="7F7F7F"/>
    </w:rPr>
  </w:style>
  <w:style w:type="character" w:styleId="Odkazintenzivn">
    <w:name w:val="Intense Reference"/>
    <w:uiPriority w:val="32"/>
    <w:qFormat/>
    <w:rsid w:val="00CA23D0"/>
    <w:rPr>
      <w:b/>
      <w:bCs/>
      <w:smallCaps/>
      <w:u w:val="single"/>
    </w:rPr>
  </w:style>
  <w:style w:type="character" w:styleId="Nzevknihy">
    <w:name w:val="Book Title"/>
    <w:uiPriority w:val="33"/>
    <w:qFormat/>
    <w:rsid w:val="00CA23D0"/>
    <w:rPr>
      <w:b w:val="0"/>
      <w:bCs w:val="0"/>
      <w:smallCaps/>
      <w:spacing w:val="5"/>
    </w:rPr>
  </w:style>
  <w:style w:type="paragraph" w:customStyle="1" w:styleId="Znaka1">
    <w:name w:val="Značka 1"/>
    <w:rsid w:val="00CA23D0"/>
    <w:pPr>
      <w:autoSpaceDE w:val="0"/>
      <w:autoSpaceDN w:val="0"/>
      <w:adjustRightInd w:val="0"/>
      <w:spacing w:after="0" w:line="240" w:lineRule="auto"/>
      <w:ind w:left="578"/>
    </w:pPr>
    <w:rPr>
      <w:rFonts w:ascii="Arial" w:eastAsia="Times New Roman" w:hAnsi="Arial" w:cs="Times New Roman"/>
      <w:color w:val="000000"/>
      <w:sz w:val="20"/>
      <w:szCs w:val="20"/>
      <w:lang w:eastAsia="cs-CZ"/>
    </w:rPr>
  </w:style>
  <w:style w:type="character" w:customStyle="1" w:styleId="TextkomenteChar">
    <w:name w:val="Text komentáře Char"/>
    <w:basedOn w:val="Standardnpsmoodstavce"/>
    <w:link w:val="Textkomente"/>
    <w:uiPriority w:val="99"/>
    <w:semiHidden/>
    <w:rsid w:val="00CA23D0"/>
    <w:rPr>
      <w:rFonts w:ascii="Times New Roman" w:eastAsia="Times New Roman" w:hAnsi="Times New Roman" w:cs="Times New Roman"/>
      <w:sz w:val="20"/>
      <w:szCs w:val="20"/>
      <w:lang w:eastAsia="cs-CZ"/>
    </w:rPr>
  </w:style>
  <w:style w:type="paragraph" w:styleId="Textkomente">
    <w:name w:val="annotation text"/>
    <w:basedOn w:val="Normln"/>
    <w:link w:val="TextkomenteChar"/>
    <w:uiPriority w:val="99"/>
    <w:semiHidden/>
    <w:unhideWhenUsed/>
    <w:rsid w:val="00CA23D0"/>
    <w:pPr>
      <w:suppressAutoHyphens w:val="0"/>
    </w:pPr>
    <w:rPr>
      <w:sz w:val="20"/>
      <w:szCs w:val="20"/>
      <w:lang w:eastAsia="cs-CZ"/>
    </w:rPr>
  </w:style>
  <w:style w:type="character" w:customStyle="1" w:styleId="PedmtkomenteChar">
    <w:name w:val="Předmět komentáře Char"/>
    <w:basedOn w:val="TextkomenteChar"/>
    <w:link w:val="Pedmtkomente"/>
    <w:uiPriority w:val="99"/>
    <w:semiHidden/>
    <w:rsid w:val="00CA23D0"/>
    <w:rPr>
      <w:rFonts w:ascii="Times New Roman" w:eastAsia="Times New Roman" w:hAnsi="Times New Roman" w:cs="Times New Roman"/>
      <w:b/>
      <w:bCs/>
      <w:sz w:val="20"/>
      <w:szCs w:val="20"/>
      <w:lang w:eastAsia="cs-CZ"/>
    </w:rPr>
  </w:style>
  <w:style w:type="paragraph" w:styleId="Pedmtkomente">
    <w:name w:val="annotation subject"/>
    <w:basedOn w:val="Textkomente"/>
    <w:next w:val="Textkomente"/>
    <w:link w:val="PedmtkomenteChar"/>
    <w:uiPriority w:val="99"/>
    <w:semiHidden/>
    <w:unhideWhenUsed/>
    <w:rsid w:val="00CA23D0"/>
    <w:rPr>
      <w:b/>
      <w:bCs/>
    </w:rPr>
  </w:style>
  <w:style w:type="character" w:customStyle="1" w:styleId="TextbublinyChar">
    <w:name w:val="Text bubliny Char"/>
    <w:basedOn w:val="Standardnpsmoodstavce"/>
    <w:link w:val="Textbubliny"/>
    <w:uiPriority w:val="99"/>
    <w:semiHidden/>
    <w:rsid w:val="00CA23D0"/>
    <w:rPr>
      <w:rFonts w:ascii="Segoe UI" w:eastAsia="Times New Roman" w:hAnsi="Segoe UI" w:cs="Segoe UI"/>
      <w:sz w:val="18"/>
      <w:szCs w:val="18"/>
      <w:lang w:eastAsia="cs-CZ"/>
    </w:rPr>
  </w:style>
  <w:style w:type="paragraph" w:styleId="Textbubliny">
    <w:name w:val="Balloon Text"/>
    <w:basedOn w:val="Normln"/>
    <w:link w:val="TextbublinyChar"/>
    <w:semiHidden/>
    <w:unhideWhenUsed/>
    <w:rsid w:val="00CA23D0"/>
    <w:pPr>
      <w:suppressAutoHyphens w:val="0"/>
    </w:pPr>
    <w:rPr>
      <w:rFonts w:ascii="Segoe UI" w:hAnsi="Segoe UI" w:cs="Segoe UI"/>
      <w:sz w:val="18"/>
      <w:szCs w:val="18"/>
      <w:lang w:eastAsia="cs-CZ"/>
    </w:rPr>
  </w:style>
  <w:style w:type="paragraph" w:styleId="Podtitul">
    <w:name w:val="Subtitle"/>
    <w:basedOn w:val="Normln"/>
    <w:next w:val="Normln"/>
    <w:link w:val="PodtitulChar1"/>
    <w:uiPriority w:val="11"/>
    <w:qFormat/>
    <w:rsid w:val="00CA23D0"/>
    <w:pPr>
      <w:numPr>
        <w:ilvl w:val="1"/>
      </w:numPr>
      <w:spacing w:after="160"/>
    </w:pPr>
    <w:rPr>
      <w:rFonts w:asciiTheme="minorHAnsi" w:eastAsiaTheme="minorHAnsi" w:hAnsiTheme="minorHAnsi" w:cstheme="minorBidi"/>
      <w:color w:val="5A5A5A"/>
      <w:spacing w:val="10"/>
      <w:sz w:val="22"/>
      <w:szCs w:val="22"/>
      <w:lang w:eastAsia="en-US"/>
    </w:rPr>
  </w:style>
  <w:style w:type="character" w:customStyle="1" w:styleId="PodtitulChar1">
    <w:name w:val="Podtitul Char1"/>
    <w:link w:val="Podtitul"/>
    <w:uiPriority w:val="11"/>
    <w:rsid w:val="00CA23D0"/>
    <w:rPr>
      <w:color w:val="5A5A5A"/>
      <w:spacing w:val="10"/>
    </w:rPr>
  </w:style>
  <w:style w:type="character" w:customStyle="1" w:styleId="PodtitulChar">
    <w:name w:val="Podtitul Char"/>
    <w:basedOn w:val="Standardnpsmoodstavce"/>
    <w:link w:val="a0"/>
    <w:rsid w:val="00CA23D0"/>
    <w:rPr>
      <w:rFonts w:ascii="Arial" w:eastAsia="Times New Roman" w:hAnsi="Arial" w:cs="Times New Roman"/>
      <w:b/>
      <w:bCs/>
      <w:color w:val="000000"/>
      <w:sz w:val="20"/>
      <w:szCs w:val="20"/>
      <w:lang w:eastAsia="cs-CZ"/>
    </w:rPr>
  </w:style>
  <w:style w:type="paragraph" w:customStyle="1" w:styleId="sloseznamu">
    <w:name w:val="Číslo seznamu"/>
    <w:rsid w:val="006031D6"/>
    <w:pPr>
      <w:autoSpaceDE w:val="0"/>
      <w:autoSpaceDN w:val="0"/>
      <w:adjustRightInd w:val="0"/>
      <w:spacing w:after="0" w:line="240" w:lineRule="auto"/>
      <w:ind w:left="578"/>
      <w:jc w:val="both"/>
    </w:pPr>
    <w:rPr>
      <w:rFonts w:ascii="Arial" w:eastAsia="Times New Roman" w:hAnsi="Arial" w:cs="Times New Roman"/>
      <w:color w:val="000000"/>
      <w:sz w:val="20"/>
      <w:szCs w:val="20"/>
      <w:lang w:eastAsia="cs-CZ"/>
    </w:rPr>
  </w:style>
  <w:style w:type="paragraph" w:customStyle="1" w:styleId="Pata">
    <w:name w:val="Pata"/>
    <w:rsid w:val="006031D6"/>
    <w:pPr>
      <w:autoSpaceDE w:val="0"/>
      <w:autoSpaceDN w:val="0"/>
      <w:adjustRightInd w:val="0"/>
      <w:spacing w:after="0" w:line="240" w:lineRule="auto"/>
      <w:jc w:val="center"/>
    </w:pPr>
    <w:rPr>
      <w:rFonts w:ascii="Arial" w:eastAsia="Times New Roman" w:hAnsi="Arial" w:cs="Times New Roman"/>
      <w:color w:val="000000"/>
      <w:sz w:val="20"/>
      <w:szCs w:val="20"/>
      <w:lang w:eastAsia="cs-CZ"/>
    </w:rPr>
  </w:style>
  <w:style w:type="numbering" w:customStyle="1" w:styleId="Bezseznamu1">
    <w:name w:val="Bez seznamu1"/>
    <w:next w:val="Bezseznamu"/>
    <w:uiPriority w:val="99"/>
    <w:semiHidden/>
    <w:unhideWhenUsed/>
    <w:rsid w:val="00D42621"/>
  </w:style>
  <w:style w:type="paragraph" w:customStyle="1" w:styleId="Odstavecseseznamem1">
    <w:name w:val="Odstavec se seznamem1"/>
    <w:basedOn w:val="Normln"/>
    <w:uiPriority w:val="99"/>
    <w:rsid w:val="00D42621"/>
    <w:pPr>
      <w:ind w:left="720"/>
      <w:jc w:val="both"/>
    </w:pPr>
    <w:rPr>
      <w:kern w:val="1"/>
      <w:lang w:eastAsia="ar-SA"/>
    </w:rPr>
  </w:style>
  <w:style w:type="paragraph" w:customStyle="1" w:styleId="a1">
    <w:next w:val="Podtitul"/>
    <w:rsid w:val="00147CEE"/>
    <w:pPr>
      <w:autoSpaceDE w:val="0"/>
      <w:autoSpaceDN w:val="0"/>
      <w:adjustRightInd w:val="0"/>
      <w:spacing w:before="72" w:after="72" w:line="240" w:lineRule="auto"/>
    </w:pPr>
    <w:rPr>
      <w:rFonts w:ascii="Arial" w:eastAsia="Times New Roman" w:hAnsi="Arial" w:cs="Times New Roman"/>
      <w:color w:val="000000"/>
      <w:sz w:val="20"/>
      <w:szCs w:val="20"/>
      <w:lang w:eastAsia="cs-CZ"/>
    </w:rPr>
  </w:style>
  <w:style w:type="paragraph" w:customStyle="1" w:styleId="Styl1">
    <w:name w:val="Styl1"/>
    <w:basedOn w:val="Normln"/>
    <w:uiPriority w:val="99"/>
    <w:rsid w:val="00E42A45"/>
    <w:pPr>
      <w:suppressAutoHyphens w:val="0"/>
    </w:pPr>
    <w:rPr>
      <w:rFonts w:ascii="Arial" w:hAnsi="Arial"/>
      <w:sz w:val="22"/>
      <w:szCs w:val="20"/>
      <w:lang w:eastAsia="cs-CZ"/>
    </w:rPr>
  </w:style>
  <w:style w:type="paragraph" w:customStyle="1" w:styleId="Podnadpis10">
    <w:name w:val="Podnadpis 1"/>
    <w:basedOn w:val="Nadpis1"/>
    <w:next w:val="Normln"/>
    <w:autoRedefine/>
    <w:uiPriority w:val="99"/>
    <w:rsid w:val="00E42A45"/>
    <w:pPr>
      <w:keepLines w:val="0"/>
      <w:suppressAutoHyphens w:val="0"/>
      <w:spacing w:after="60"/>
    </w:pPr>
    <w:rPr>
      <w:rFonts w:ascii="Arial" w:eastAsia="Times New Roman" w:hAnsi="Arial" w:cs="Times New Roman"/>
      <w:b/>
      <w:caps/>
      <w:color w:val="auto"/>
      <w:kern w:val="28"/>
      <w:szCs w:val="20"/>
      <w:lang w:eastAsia="cs-CZ"/>
    </w:rPr>
  </w:style>
  <w:style w:type="paragraph" w:customStyle="1" w:styleId="Podnadpis20">
    <w:name w:val="Podnadpis 2"/>
    <w:basedOn w:val="Podnadpis10"/>
    <w:next w:val="Normln"/>
    <w:autoRedefine/>
    <w:rsid w:val="00E42A45"/>
    <w:rPr>
      <w:sz w:val="24"/>
    </w:rPr>
  </w:style>
  <w:style w:type="character" w:styleId="Odkaznakoment">
    <w:name w:val="annotation reference"/>
    <w:uiPriority w:val="99"/>
    <w:semiHidden/>
    <w:unhideWhenUsed/>
    <w:rsid w:val="009617F5"/>
    <w:rPr>
      <w:sz w:val="16"/>
      <w:szCs w:val="16"/>
    </w:rPr>
  </w:style>
  <w:style w:type="table" w:customStyle="1" w:styleId="TableGrid">
    <w:name w:val="TableGrid"/>
    <w:rsid w:val="009617F5"/>
    <w:pPr>
      <w:spacing w:after="0" w:line="240" w:lineRule="auto"/>
    </w:pPr>
    <w:rPr>
      <w:rFonts w:ascii="Calibri" w:eastAsia="Times New Roman" w:hAnsi="Calibri" w:cs="Times New Roman"/>
      <w:lang w:eastAsia="cs-CZ"/>
    </w:rPr>
    <w:tblPr>
      <w:tblCellMar>
        <w:top w:w="0" w:type="dxa"/>
        <w:left w:w="0" w:type="dxa"/>
        <w:bottom w:w="0" w:type="dxa"/>
        <w:right w:w="0" w:type="dxa"/>
      </w:tblCellMar>
    </w:tblPr>
  </w:style>
  <w:style w:type="paragraph" w:styleId="Normlnodsazen">
    <w:name w:val="Normal Indent"/>
    <w:basedOn w:val="Normln"/>
    <w:next w:val="Normln"/>
    <w:uiPriority w:val="99"/>
    <w:rsid w:val="009617F5"/>
    <w:pPr>
      <w:suppressAutoHyphens w:val="0"/>
      <w:spacing w:before="120" w:after="120"/>
      <w:ind w:left="709" w:right="709"/>
      <w:jc w:val="both"/>
    </w:pPr>
    <w:rPr>
      <w:lang w:eastAsia="cs-CZ"/>
    </w:rPr>
  </w:style>
  <w:style w:type="character" w:styleId="slostrnky">
    <w:name w:val="page number"/>
    <w:rsid w:val="009617F5"/>
    <w:rPr>
      <w:rFonts w:cs="Times New Roman"/>
    </w:rPr>
  </w:style>
  <w:style w:type="paragraph" w:customStyle="1" w:styleId="Zkladntextodsazen1">
    <w:name w:val="Základní text odsazený1"/>
    <w:basedOn w:val="Normln"/>
    <w:uiPriority w:val="99"/>
    <w:rsid w:val="009617F5"/>
    <w:pPr>
      <w:suppressAutoHyphens w:val="0"/>
      <w:ind w:left="708"/>
      <w:jc w:val="both"/>
    </w:pPr>
    <w:rPr>
      <w:lang w:eastAsia="cs-CZ"/>
    </w:rPr>
  </w:style>
  <w:style w:type="paragraph" w:customStyle="1" w:styleId="H5">
    <w:name w:val="H5"/>
    <w:basedOn w:val="Normln"/>
    <w:next w:val="Normln"/>
    <w:uiPriority w:val="99"/>
    <w:rsid w:val="009617F5"/>
    <w:pPr>
      <w:keepNext/>
      <w:suppressAutoHyphens w:val="0"/>
      <w:spacing w:before="100" w:after="100"/>
      <w:outlineLvl w:val="5"/>
    </w:pPr>
    <w:rPr>
      <w:b/>
      <w:bCs/>
      <w:sz w:val="20"/>
      <w:szCs w:val="20"/>
      <w:lang w:eastAsia="cs-CZ"/>
    </w:rPr>
  </w:style>
  <w:style w:type="paragraph" w:customStyle="1" w:styleId="xl26">
    <w:name w:val="xl26"/>
    <w:basedOn w:val="Normln"/>
    <w:uiPriority w:val="99"/>
    <w:rsid w:val="009617F5"/>
    <w:pPr>
      <w:suppressAutoHyphens w:val="0"/>
      <w:spacing w:before="100" w:beforeAutospacing="1" w:after="100" w:afterAutospacing="1"/>
    </w:pPr>
    <w:rPr>
      <w:rFonts w:ascii="Arial Narrow" w:hAnsi="Arial Narrow"/>
      <w:sz w:val="16"/>
      <w:szCs w:val="16"/>
      <w:lang w:eastAsia="cs-CZ"/>
    </w:rPr>
  </w:style>
  <w:style w:type="paragraph" w:customStyle="1" w:styleId="z-TopofForm1">
    <w:name w:val="z-Top of Form1"/>
    <w:next w:val="Normln"/>
    <w:hidden/>
    <w:uiPriority w:val="99"/>
    <w:rsid w:val="009617F5"/>
    <w:pPr>
      <w:pBdr>
        <w:bottom w:val="double" w:sz="2" w:space="0" w:color="000000"/>
      </w:pBdr>
      <w:spacing w:after="0" w:line="240" w:lineRule="auto"/>
      <w:jc w:val="center"/>
    </w:pPr>
    <w:rPr>
      <w:rFonts w:ascii="Arial" w:eastAsia="Times New Roman" w:hAnsi="Arial" w:cs="Arial"/>
      <w:vanish/>
      <w:sz w:val="16"/>
      <w:szCs w:val="16"/>
      <w:lang w:eastAsia="cs-CZ"/>
    </w:rPr>
  </w:style>
  <w:style w:type="paragraph" w:customStyle="1" w:styleId="H4">
    <w:name w:val="H4"/>
    <w:basedOn w:val="Normln"/>
    <w:next w:val="Normln"/>
    <w:uiPriority w:val="99"/>
    <w:rsid w:val="009617F5"/>
    <w:pPr>
      <w:keepNext/>
      <w:suppressAutoHyphens w:val="0"/>
      <w:spacing w:before="100" w:after="100"/>
      <w:outlineLvl w:val="4"/>
    </w:pPr>
    <w:rPr>
      <w:b/>
      <w:bCs/>
      <w:lang w:eastAsia="cs-CZ"/>
    </w:rPr>
  </w:style>
  <w:style w:type="paragraph" w:customStyle="1" w:styleId="H6">
    <w:name w:val="H6"/>
    <w:basedOn w:val="Normln"/>
    <w:next w:val="Normln"/>
    <w:uiPriority w:val="99"/>
    <w:rsid w:val="009617F5"/>
    <w:pPr>
      <w:keepNext/>
      <w:suppressAutoHyphens w:val="0"/>
      <w:spacing w:before="100" w:after="100"/>
      <w:outlineLvl w:val="6"/>
    </w:pPr>
    <w:rPr>
      <w:b/>
      <w:bCs/>
      <w:sz w:val="16"/>
      <w:szCs w:val="16"/>
      <w:lang w:eastAsia="cs-CZ"/>
    </w:rPr>
  </w:style>
  <w:style w:type="paragraph" w:customStyle="1" w:styleId="H3">
    <w:name w:val="H3"/>
    <w:basedOn w:val="Normln"/>
    <w:next w:val="Normln"/>
    <w:uiPriority w:val="99"/>
    <w:rsid w:val="009617F5"/>
    <w:pPr>
      <w:keepNext/>
      <w:suppressAutoHyphens w:val="0"/>
      <w:spacing w:before="100" w:after="100"/>
      <w:outlineLvl w:val="3"/>
    </w:pPr>
    <w:rPr>
      <w:b/>
      <w:bCs/>
      <w:sz w:val="28"/>
      <w:szCs w:val="28"/>
      <w:lang w:eastAsia="cs-CZ"/>
    </w:rPr>
  </w:style>
  <w:style w:type="paragraph" w:styleId="Textvbloku">
    <w:name w:val="Block Text"/>
    <w:basedOn w:val="Normln"/>
    <w:uiPriority w:val="99"/>
    <w:rsid w:val="009617F5"/>
    <w:pPr>
      <w:suppressAutoHyphens w:val="0"/>
      <w:ind w:left="708" w:right="27"/>
    </w:pPr>
    <w:rPr>
      <w:color w:val="000000"/>
      <w:lang w:eastAsia="cs-CZ"/>
    </w:rPr>
  </w:style>
  <w:style w:type="paragraph" w:styleId="Seznamsodrkami2">
    <w:name w:val="List Bullet 2"/>
    <w:basedOn w:val="Normln"/>
    <w:autoRedefine/>
    <w:uiPriority w:val="99"/>
    <w:rsid w:val="009617F5"/>
    <w:pPr>
      <w:tabs>
        <w:tab w:val="num" w:pos="360"/>
      </w:tabs>
      <w:suppressAutoHyphens w:val="0"/>
      <w:ind w:left="360" w:hanging="360"/>
    </w:pPr>
    <w:rPr>
      <w:rFonts w:ascii="Arial" w:hAnsi="Arial" w:cs="Arial"/>
      <w:sz w:val="20"/>
      <w:szCs w:val="20"/>
      <w:lang w:eastAsia="cs-CZ"/>
    </w:rPr>
  </w:style>
  <w:style w:type="paragraph" w:styleId="Seznamsodrkami">
    <w:name w:val="List Bullet"/>
    <w:basedOn w:val="Seznam"/>
    <w:autoRedefine/>
    <w:uiPriority w:val="99"/>
    <w:rsid w:val="009617F5"/>
    <w:pPr>
      <w:tabs>
        <w:tab w:val="num" w:pos="643"/>
      </w:tabs>
      <w:spacing w:after="220" w:line="220" w:lineRule="atLeast"/>
      <w:ind w:left="1800" w:right="720" w:hanging="360"/>
    </w:pPr>
  </w:style>
  <w:style w:type="paragraph" w:styleId="Seznam">
    <w:name w:val="List"/>
    <w:basedOn w:val="Normln"/>
    <w:uiPriority w:val="99"/>
    <w:rsid w:val="009617F5"/>
    <w:pPr>
      <w:suppressAutoHyphens w:val="0"/>
      <w:ind w:left="283" w:hanging="283"/>
    </w:pPr>
    <w:rPr>
      <w:rFonts w:ascii="Arial" w:hAnsi="Arial" w:cs="Arial"/>
      <w:sz w:val="20"/>
      <w:szCs w:val="20"/>
      <w:lang w:eastAsia="cs-CZ"/>
    </w:rPr>
  </w:style>
  <w:style w:type="paragraph" w:styleId="slovanseznam2">
    <w:name w:val="List Number 2"/>
    <w:basedOn w:val="Normln"/>
    <w:uiPriority w:val="99"/>
    <w:rsid w:val="009617F5"/>
    <w:pPr>
      <w:tabs>
        <w:tab w:val="num" w:pos="643"/>
      </w:tabs>
      <w:suppressAutoHyphens w:val="0"/>
      <w:ind w:left="643" w:hanging="360"/>
    </w:pPr>
    <w:rPr>
      <w:rFonts w:ascii="Arial" w:hAnsi="Arial" w:cs="Arial"/>
      <w:sz w:val="20"/>
      <w:szCs w:val="20"/>
      <w:lang w:eastAsia="cs-CZ"/>
    </w:rPr>
  </w:style>
  <w:style w:type="paragraph" w:styleId="slovanseznam3">
    <w:name w:val="List Number 3"/>
    <w:basedOn w:val="Normln"/>
    <w:uiPriority w:val="99"/>
    <w:rsid w:val="009617F5"/>
    <w:pPr>
      <w:tabs>
        <w:tab w:val="num" w:pos="926"/>
      </w:tabs>
      <w:suppressAutoHyphens w:val="0"/>
      <w:ind w:left="926" w:hanging="360"/>
    </w:pPr>
    <w:rPr>
      <w:rFonts w:ascii="Arial" w:hAnsi="Arial" w:cs="Arial"/>
      <w:sz w:val="20"/>
      <w:szCs w:val="20"/>
      <w:lang w:eastAsia="cs-CZ"/>
    </w:rPr>
  </w:style>
  <w:style w:type="paragraph" w:styleId="slovanseznam4">
    <w:name w:val="List Number 4"/>
    <w:basedOn w:val="Normln"/>
    <w:uiPriority w:val="99"/>
    <w:rsid w:val="009617F5"/>
    <w:pPr>
      <w:tabs>
        <w:tab w:val="num" w:pos="1209"/>
      </w:tabs>
      <w:suppressAutoHyphens w:val="0"/>
      <w:ind w:left="1209" w:hanging="360"/>
    </w:pPr>
    <w:rPr>
      <w:rFonts w:ascii="Arial" w:hAnsi="Arial" w:cs="Arial"/>
      <w:sz w:val="20"/>
      <w:szCs w:val="20"/>
      <w:lang w:eastAsia="cs-CZ"/>
    </w:rPr>
  </w:style>
  <w:style w:type="paragraph" w:styleId="slovanseznam5">
    <w:name w:val="List Number 5"/>
    <w:basedOn w:val="Normln"/>
    <w:uiPriority w:val="99"/>
    <w:rsid w:val="009617F5"/>
    <w:pPr>
      <w:tabs>
        <w:tab w:val="num" w:pos="1492"/>
      </w:tabs>
      <w:suppressAutoHyphens w:val="0"/>
      <w:ind w:left="1492" w:hanging="360"/>
    </w:pPr>
    <w:rPr>
      <w:rFonts w:ascii="Arial" w:hAnsi="Arial" w:cs="Arial"/>
      <w:sz w:val="20"/>
      <w:szCs w:val="20"/>
      <w:lang w:eastAsia="cs-CZ"/>
    </w:rPr>
  </w:style>
  <w:style w:type="paragraph" w:styleId="Seznamsodrkami3">
    <w:name w:val="List Bullet 3"/>
    <w:basedOn w:val="Normln"/>
    <w:autoRedefine/>
    <w:uiPriority w:val="99"/>
    <w:rsid w:val="009617F5"/>
    <w:pPr>
      <w:tabs>
        <w:tab w:val="num" w:pos="926"/>
      </w:tabs>
      <w:suppressAutoHyphens w:val="0"/>
      <w:ind w:left="926" w:hanging="360"/>
    </w:pPr>
    <w:rPr>
      <w:rFonts w:ascii="Arial" w:hAnsi="Arial" w:cs="Arial"/>
      <w:sz w:val="20"/>
      <w:szCs w:val="20"/>
      <w:lang w:eastAsia="cs-CZ"/>
    </w:rPr>
  </w:style>
  <w:style w:type="paragraph" w:styleId="Seznamsodrkami4">
    <w:name w:val="List Bullet 4"/>
    <w:basedOn w:val="Normln"/>
    <w:autoRedefine/>
    <w:uiPriority w:val="99"/>
    <w:rsid w:val="009617F5"/>
    <w:pPr>
      <w:tabs>
        <w:tab w:val="num" w:pos="1209"/>
      </w:tabs>
      <w:suppressAutoHyphens w:val="0"/>
      <w:ind w:left="1209" w:hanging="360"/>
    </w:pPr>
    <w:rPr>
      <w:rFonts w:ascii="Arial" w:hAnsi="Arial" w:cs="Arial"/>
      <w:sz w:val="20"/>
      <w:szCs w:val="20"/>
      <w:lang w:eastAsia="cs-CZ"/>
    </w:rPr>
  </w:style>
  <w:style w:type="paragraph" w:styleId="Seznamsodrkami5">
    <w:name w:val="List Bullet 5"/>
    <w:basedOn w:val="Normln"/>
    <w:autoRedefine/>
    <w:uiPriority w:val="99"/>
    <w:rsid w:val="009617F5"/>
    <w:pPr>
      <w:tabs>
        <w:tab w:val="num" w:pos="1492"/>
      </w:tabs>
      <w:suppressAutoHyphens w:val="0"/>
      <w:ind w:left="1492" w:hanging="360"/>
    </w:pPr>
    <w:rPr>
      <w:rFonts w:ascii="Arial" w:hAnsi="Arial" w:cs="Arial"/>
      <w:sz w:val="20"/>
      <w:szCs w:val="20"/>
      <w:lang w:eastAsia="cs-CZ"/>
    </w:rPr>
  </w:style>
  <w:style w:type="paragraph" w:customStyle="1" w:styleId="Styl4">
    <w:name w:val="Styl4"/>
    <w:basedOn w:val="Normln"/>
    <w:uiPriority w:val="99"/>
    <w:rsid w:val="009617F5"/>
    <w:pPr>
      <w:tabs>
        <w:tab w:val="num" w:pos="360"/>
      </w:tabs>
      <w:suppressAutoHyphens w:val="0"/>
      <w:ind w:left="360" w:hanging="360"/>
    </w:pPr>
    <w:rPr>
      <w:rFonts w:ascii="Arial" w:hAnsi="Arial" w:cs="Arial"/>
      <w:color w:val="000000"/>
      <w:sz w:val="20"/>
      <w:szCs w:val="20"/>
      <w:lang w:eastAsia="cs-CZ"/>
    </w:rPr>
  </w:style>
  <w:style w:type="paragraph" w:customStyle="1" w:styleId="Export0">
    <w:name w:val="Export 0"/>
    <w:uiPriority w:val="99"/>
    <w:rsid w:val="009617F5"/>
    <w:pPr>
      <w:spacing w:after="0" w:line="240" w:lineRule="auto"/>
    </w:pPr>
    <w:rPr>
      <w:rFonts w:ascii="Arial" w:eastAsia="Times New Roman" w:hAnsi="Arial" w:cs="Arial"/>
      <w:b/>
      <w:bCs/>
      <w:sz w:val="20"/>
      <w:szCs w:val="20"/>
      <w:lang w:val="en-US" w:eastAsia="cs-CZ"/>
    </w:rPr>
  </w:style>
  <w:style w:type="paragraph" w:styleId="Zkladntextodsazen2">
    <w:name w:val="Body Text Indent 2"/>
    <w:basedOn w:val="Normln"/>
    <w:link w:val="Zkladntextodsazen2Char"/>
    <w:uiPriority w:val="99"/>
    <w:rsid w:val="009617F5"/>
    <w:pPr>
      <w:suppressAutoHyphens w:val="0"/>
      <w:ind w:left="708"/>
      <w:jc w:val="both"/>
    </w:pPr>
    <w:rPr>
      <w:color w:val="000000"/>
      <w:lang w:eastAsia="cs-CZ"/>
    </w:rPr>
  </w:style>
  <w:style w:type="character" w:customStyle="1" w:styleId="Zkladntextodsazen2Char">
    <w:name w:val="Základní text odsazený 2 Char"/>
    <w:basedOn w:val="Standardnpsmoodstavce"/>
    <w:link w:val="Zkladntextodsazen2"/>
    <w:uiPriority w:val="99"/>
    <w:rsid w:val="009617F5"/>
    <w:rPr>
      <w:rFonts w:ascii="Times New Roman" w:eastAsia="Times New Roman" w:hAnsi="Times New Roman" w:cs="Times New Roman"/>
      <w:color w:val="000000"/>
      <w:sz w:val="24"/>
      <w:szCs w:val="24"/>
      <w:lang w:eastAsia="cs-CZ"/>
    </w:rPr>
  </w:style>
  <w:style w:type="paragraph" w:styleId="Zkladntextodsazen3">
    <w:name w:val="Body Text Indent 3"/>
    <w:basedOn w:val="Normln"/>
    <w:link w:val="Zkladntextodsazen3Char"/>
    <w:uiPriority w:val="99"/>
    <w:rsid w:val="009617F5"/>
    <w:pPr>
      <w:suppressAutoHyphens w:val="0"/>
      <w:ind w:left="907"/>
      <w:jc w:val="both"/>
    </w:pPr>
    <w:rPr>
      <w:lang w:eastAsia="cs-CZ"/>
    </w:rPr>
  </w:style>
  <w:style w:type="character" w:customStyle="1" w:styleId="Zkladntextodsazen3Char">
    <w:name w:val="Základní text odsazený 3 Char"/>
    <w:basedOn w:val="Standardnpsmoodstavce"/>
    <w:link w:val="Zkladntextodsazen3"/>
    <w:uiPriority w:val="99"/>
    <w:rsid w:val="009617F5"/>
    <w:rPr>
      <w:rFonts w:ascii="Times New Roman" w:eastAsia="Times New Roman" w:hAnsi="Times New Roman" w:cs="Times New Roman"/>
      <w:sz w:val="24"/>
      <w:szCs w:val="24"/>
      <w:lang w:eastAsia="cs-CZ"/>
    </w:rPr>
  </w:style>
  <w:style w:type="paragraph" w:customStyle="1" w:styleId="U1">
    <w:name w:val="U1"/>
    <w:uiPriority w:val="99"/>
    <w:rsid w:val="009617F5"/>
    <w:pPr>
      <w:spacing w:after="0" w:line="240" w:lineRule="auto"/>
      <w:jc w:val="both"/>
    </w:pPr>
    <w:rPr>
      <w:rFonts w:ascii="Times New Roman" w:eastAsia="Times New Roman" w:hAnsi="Times New Roman" w:cs="Times New Roman"/>
      <w:color w:val="000000"/>
      <w:sz w:val="24"/>
      <w:szCs w:val="24"/>
      <w:lang w:eastAsia="cs-CZ"/>
    </w:rPr>
  </w:style>
  <w:style w:type="paragraph" w:styleId="Zkladntextodsazen">
    <w:name w:val="Body Text Indent"/>
    <w:basedOn w:val="Normln"/>
    <w:link w:val="ZkladntextodsazenChar"/>
    <w:rsid w:val="009617F5"/>
    <w:pPr>
      <w:shd w:val="pct15" w:color="auto" w:fill="auto"/>
      <w:suppressAutoHyphens w:val="0"/>
      <w:jc w:val="center"/>
    </w:pPr>
    <w:rPr>
      <w:rFonts w:ascii="Arial" w:hAnsi="Arial" w:cs="Arial"/>
      <w:b/>
      <w:bCs/>
      <w:sz w:val="22"/>
      <w:szCs w:val="22"/>
      <w:lang w:eastAsia="cs-CZ"/>
    </w:rPr>
  </w:style>
  <w:style w:type="character" w:customStyle="1" w:styleId="ZkladntextodsazenChar">
    <w:name w:val="Základní text odsazený Char"/>
    <w:basedOn w:val="Standardnpsmoodstavce"/>
    <w:link w:val="Zkladntextodsazen"/>
    <w:rsid w:val="009617F5"/>
    <w:rPr>
      <w:rFonts w:ascii="Arial" w:eastAsia="Times New Roman" w:hAnsi="Arial" w:cs="Arial"/>
      <w:b/>
      <w:bCs/>
      <w:shd w:val="pct15" w:color="auto" w:fill="auto"/>
      <w:lang w:eastAsia="cs-CZ"/>
    </w:rPr>
  </w:style>
  <w:style w:type="paragraph" w:styleId="Zkladntext3">
    <w:name w:val="Body Text 3"/>
    <w:basedOn w:val="Normln"/>
    <w:link w:val="Zkladntext3Char"/>
    <w:rsid w:val="009617F5"/>
    <w:pPr>
      <w:shd w:val="pct15" w:color="auto" w:fill="auto"/>
      <w:suppressAutoHyphens w:val="0"/>
      <w:jc w:val="center"/>
    </w:pPr>
    <w:rPr>
      <w:lang w:eastAsia="cs-CZ"/>
    </w:rPr>
  </w:style>
  <w:style w:type="character" w:customStyle="1" w:styleId="Zkladntext3Char">
    <w:name w:val="Základní text 3 Char"/>
    <w:basedOn w:val="Standardnpsmoodstavce"/>
    <w:link w:val="Zkladntext3"/>
    <w:rsid w:val="009617F5"/>
    <w:rPr>
      <w:rFonts w:ascii="Times New Roman" w:eastAsia="Times New Roman" w:hAnsi="Times New Roman" w:cs="Times New Roman"/>
      <w:sz w:val="24"/>
      <w:szCs w:val="24"/>
      <w:shd w:val="pct15" w:color="auto" w:fill="auto"/>
      <w:lang w:eastAsia="cs-CZ"/>
    </w:rPr>
  </w:style>
  <w:style w:type="paragraph" w:customStyle="1" w:styleId="Import1">
    <w:name w:val="Import 1"/>
    <w:uiPriority w:val="99"/>
    <w:rsid w:val="009617F5"/>
    <w:pPr>
      <w:tabs>
        <w:tab w:val="left" w:pos="360"/>
        <w:tab w:val="left" w:pos="1224"/>
        <w:tab w:val="left" w:pos="2088"/>
        <w:tab w:val="left" w:pos="2952"/>
        <w:tab w:val="left" w:pos="3816"/>
        <w:tab w:val="left" w:pos="4680"/>
        <w:tab w:val="left" w:pos="5544"/>
        <w:tab w:val="left" w:pos="6408"/>
        <w:tab w:val="left" w:pos="7272"/>
        <w:tab w:val="left" w:pos="8136"/>
      </w:tabs>
      <w:overflowPunct w:val="0"/>
      <w:autoSpaceDE w:val="0"/>
      <w:autoSpaceDN w:val="0"/>
      <w:adjustRightInd w:val="0"/>
      <w:spacing w:after="0" w:line="240" w:lineRule="auto"/>
      <w:textAlignment w:val="baseline"/>
    </w:pPr>
    <w:rPr>
      <w:rFonts w:ascii="Avinion" w:eastAsia="Times New Roman" w:hAnsi="Avinion" w:cs="Times New Roman"/>
      <w:sz w:val="24"/>
      <w:szCs w:val="24"/>
      <w:lang w:val="en-US" w:eastAsia="cs-CZ"/>
    </w:rPr>
  </w:style>
  <w:style w:type="paragraph" w:customStyle="1" w:styleId="Import6">
    <w:name w:val="Import 6"/>
    <w:uiPriority w:val="99"/>
    <w:rsid w:val="009617F5"/>
    <w:pPr>
      <w:tabs>
        <w:tab w:val="left" w:pos="504"/>
        <w:tab w:val="left" w:pos="2232"/>
      </w:tabs>
      <w:overflowPunct w:val="0"/>
      <w:autoSpaceDE w:val="0"/>
      <w:autoSpaceDN w:val="0"/>
      <w:adjustRightInd w:val="0"/>
      <w:spacing w:after="0" w:line="240" w:lineRule="auto"/>
      <w:textAlignment w:val="baseline"/>
    </w:pPr>
    <w:rPr>
      <w:rFonts w:ascii="Avinion" w:eastAsia="Times New Roman" w:hAnsi="Avinion" w:cs="Times New Roman"/>
      <w:sz w:val="24"/>
      <w:szCs w:val="24"/>
      <w:lang w:val="en-US" w:eastAsia="cs-CZ"/>
    </w:rPr>
  </w:style>
  <w:style w:type="paragraph" w:styleId="Zkladntext2">
    <w:name w:val="Body Text 2"/>
    <w:basedOn w:val="Normln"/>
    <w:link w:val="Zkladntext2Char"/>
    <w:rsid w:val="009617F5"/>
    <w:pPr>
      <w:suppressAutoHyphens w:val="0"/>
      <w:spacing w:after="120" w:line="480" w:lineRule="auto"/>
      <w:ind w:left="708"/>
      <w:jc w:val="both"/>
    </w:pPr>
    <w:rPr>
      <w:lang w:eastAsia="cs-CZ"/>
    </w:rPr>
  </w:style>
  <w:style w:type="character" w:customStyle="1" w:styleId="Zkladntext2Char">
    <w:name w:val="Základní text 2 Char"/>
    <w:basedOn w:val="Standardnpsmoodstavce"/>
    <w:link w:val="Zkladntext2"/>
    <w:rsid w:val="009617F5"/>
    <w:rPr>
      <w:rFonts w:ascii="Times New Roman" w:eastAsia="Times New Roman" w:hAnsi="Times New Roman" w:cs="Times New Roman"/>
      <w:sz w:val="24"/>
      <w:szCs w:val="24"/>
      <w:lang w:eastAsia="cs-CZ"/>
    </w:rPr>
  </w:style>
  <w:style w:type="paragraph" w:customStyle="1" w:styleId="Zkladntext21">
    <w:name w:val="Základní text 21"/>
    <w:basedOn w:val="Normln"/>
    <w:uiPriority w:val="99"/>
    <w:rsid w:val="009617F5"/>
    <w:pPr>
      <w:widowControl w:val="0"/>
      <w:suppressAutoHyphens w:val="0"/>
      <w:jc w:val="both"/>
    </w:pPr>
    <w:rPr>
      <w:rFonts w:ascii="Arial" w:hAnsi="Arial"/>
      <w:color w:val="000000"/>
      <w:sz w:val="22"/>
      <w:szCs w:val="20"/>
      <w:lang w:eastAsia="cs-CZ"/>
    </w:rPr>
  </w:style>
  <w:style w:type="paragraph" w:customStyle="1" w:styleId="Zkladntext1">
    <w:name w:val="Základní text1"/>
    <w:uiPriority w:val="99"/>
    <w:rsid w:val="009617F5"/>
    <w:pPr>
      <w:spacing w:after="0" w:line="240" w:lineRule="auto"/>
    </w:pPr>
    <w:rPr>
      <w:rFonts w:ascii="Tms Rmn" w:eastAsia="Times New Roman" w:hAnsi="Tms Rmn" w:cs="Times New Roman"/>
      <w:color w:val="000000"/>
      <w:sz w:val="24"/>
      <w:szCs w:val="20"/>
      <w:lang w:val="en-US" w:eastAsia="cs-CZ"/>
    </w:rPr>
  </w:style>
  <w:style w:type="paragraph" w:customStyle="1" w:styleId="Zakladnmtext">
    <w:name w:val="Z&lt;/a&gt;kladn&lt;/m&gt; text"/>
    <w:uiPriority w:val="99"/>
    <w:rsid w:val="009617F5"/>
    <w:pPr>
      <w:tabs>
        <w:tab w:val="left" w:pos="690"/>
        <w:tab w:val="left" w:pos="1365"/>
        <w:tab w:val="left" w:pos="2055"/>
        <w:tab w:val="left" w:pos="2730"/>
        <w:tab w:val="left" w:pos="3420"/>
        <w:tab w:val="left" w:pos="4125"/>
        <w:tab w:val="left" w:pos="4770"/>
        <w:tab w:val="left" w:pos="5355"/>
        <w:tab w:val="left" w:pos="5970"/>
        <w:tab w:val="left" w:pos="6645"/>
        <w:tab w:val="left" w:pos="7245"/>
        <w:tab w:val="left" w:pos="7830"/>
        <w:tab w:val="left" w:pos="8430"/>
      </w:tabs>
      <w:spacing w:after="0" w:line="240" w:lineRule="auto"/>
    </w:pPr>
    <w:rPr>
      <w:rFonts w:ascii="AvantGarde" w:eastAsia="Times New Roman" w:hAnsi="AvantGarde" w:cs="Times New Roman"/>
      <w:color w:val="000000"/>
      <w:szCs w:val="20"/>
      <w:lang w:val="en-US" w:eastAsia="cs-CZ"/>
    </w:rPr>
  </w:style>
  <w:style w:type="paragraph" w:customStyle="1" w:styleId="xl22">
    <w:name w:val="xl22"/>
    <w:basedOn w:val="Normln"/>
    <w:uiPriority w:val="99"/>
    <w:rsid w:val="009617F5"/>
    <w:pPr>
      <w:suppressAutoHyphens w:val="0"/>
      <w:spacing w:before="100" w:beforeAutospacing="1" w:after="100" w:afterAutospacing="1"/>
    </w:pPr>
    <w:rPr>
      <w:rFonts w:ascii="Arial" w:hAnsi="Arial"/>
      <w:sz w:val="16"/>
      <w:szCs w:val="16"/>
      <w:lang w:eastAsia="cs-CZ"/>
    </w:rPr>
  </w:style>
  <w:style w:type="paragraph" w:customStyle="1" w:styleId="xl23">
    <w:name w:val="xl23"/>
    <w:basedOn w:val="Normln"/>
    <w:uiPriority w:val="99"/>
    <w:rsid w:val="009617F5"/>
    <w:pPr>
      <w:suppressAutoHyphens w:val="0"/>
      <w:spacing w:before="100" w:beforeAutospacing="1" w:after="100" w:afterAutospacing="1"/>
      <w:jc w:val="center"/>
    </w:pPr>
    <w:rPr>
      <w:rFonts w:ascii="Arial" w:hAnsi="Arial"/>
      <w:sz w:val="16"/>
      <w:szCs w:val="16"/>
      <w:lang w:eastAsia="cs-CZ"/>
    </w:rPr>
  </w:style>
  <w:style w:type="character" w:customStyle="1" w:styleId="CharChar1">
    <w:name w:val="Char Char1"/>
    <w:uiPriority w:val="99"/>
    <w:rsid w:val="009617F5"/>
    <w:rPr>
      <w:rFonts w:ascii="Arial" w:hAnsi="Arial" w:cs="Arial"/>
      <w:b/>
      <w:bCs/>
      <w:sz w:val="22"/>
      <w:szCs w:val="22"/>
      <w:lang w:val="cs-CZ" w:eastAsia="cs-CZ" w:bidi="ar-SA"/>
    </w:rPr>
  </w:style>
  <w:style w:type="table" w:styleId="Mkatabulky">
    <w:name w:val="Table Grid"/>
    <w:basedOn w:val="Normlntabulka"/>
    <w:rsid w:val="009617F5"/>
    <w:pPr>
      <w:spacing w:after="0" w:line="240" w:lineRule="auto"/>
    </w:pPr>
    <w:rPr>
      <w:rFonts w:ascii="Calibri" w:eastAsia="Times New Roman" w:hAnsi="Calibri" w:cs="Times New Roman"/>
      <w:sz w:val="20"/>
      <w:szCs w:val="20"/>
      <w:lang w:eastAsia="cs-CZ"/>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kladntext212">
    <w:name w:val="Základní text 212"/>
    <w:basedOn w:val="Normln"/>
    <w:uiPriority w:val="99"/>
    <w:rsid w:val="009617F5"/>
    <w:pPr>
      <w:suppressAutoHyphens w:val="0"/>
      <w:overflowPunct w:val="0"/>
      <w:autoSpaceDE w:val="0"/>
      <w:autoSpaceDN w:val="0"/>
      <w:adjustRightInd w:val="0"/>
      <w:jc w:val="both"/>
      <w:textAlignment w:val="baseline"/>
    </w:pPr>
    <w:rPr>
      <w:szCs w:val="20"/>
      <w:lang w:eastAsia="cs-CZ"/>
    </w:rPr>
  </w:style>
  <w:style w:type="paragraph" w:customStyle="1" w:styleId="Zkladntext22">
    <w:name w:val="Základní text 22"/>
    <w:basedOn w:val="Normln"/>
    <w:uiPriority w:val="99"/>
    <w:rsid w:val="009617F5"/>
    <w:pPr>
      <w:suppressAutoHyphens w:val="0"/>
      <w:overflowPunct w:val="0"/>
      <w:autoSpaceDE w:val="0"/>
      <w:autoSpaceDN w:val="0"/>
      <w:adjustRightInd w:val="0"/>
      <w:jc w:val="both"/>
      <w:textAlignment w:val="baseline"/>
    </w:pPr>
    <w:rPr>
      <w:szCs w:val="20"/>
      <w:lang w:eastAsia="cs-CZ"/>
    </w:rPr>
  </w:style>
  <w:style w:type="paragraph" w:customStyle="1" w:styleId="Zkladntextodsazen31">
    <w:name w:val="Základní text odsazený 31"/>
    <w:basedOn w:val="Normln"/>
    <w:uiPriority w:val="99"/>
    <w:rsid w:val="009617F5"/>
    <w:pPr>
      <w:overflowPunct w:val="0"/>
      <w:autoSpaceDE w:val="0"/>
      <w:autoSpaceDN w:val="0"/>
      <w:adjustRightInd w:val="0"/>
      <w:spacing w:line="240" w:lineRule="atLeast"/>
      <w:ind w:firstLine="709"/>
      <w:jc w:val="both"/>
      <w:textAlignment w:val="baseline"/>
    </w:pPr>
    <w:rPr>
      <w:szCs w:val="20"/>
      <w:lang w:eastAsia="cs-CZ"/>
    </w:rPr>
  </w:style>
  <w:style w:type="paragraph" w:customStyle="1" w:styleId="Zkladntext23">
    <w:name w:val="Základní text 23"/>
    <w:basedOn w:val="Normln"/>
    <w:uiPriority w:val="99"/>
    <w:rsid w:val="009617F5"/>
    <w:pPr>
      <w:suppressAutoHyphens w:val="0"/>
      <w:overflowPunct w:val="0"/>
      <w:autoSpaceDE w:val="0"/>
      <w:autoSpaceDN w:val="0"/>
      <w:adjustRightInd w:val="0"/>
      <w:jc w:val="both"/>
      <w:textAlignment w:val="baseline"/>
    </w:pPr>
    <w:rPr>
      <w:szCs w:val="20"/>
      <w:lang w:eastAsia="cs-CZ"/>
    </w:rPr>
  </w:style>
  <w:style w:type="paragraph" w:customStyle="1" w:styleId="Zkladntextodsazen21">
    <w:name w:val="Základní text odsazený 21"/>
    <w:basedOn w:val="Normln"/>
    <w:uiPriority w:val="99"/>
    <w:rsid w:val="009617F5"/>
    <w:pPr>
      <w:suppressAutoHyphens w:val="0"/>
      <w:overflowPunct w:val="0"/>
      <w:autoSpaceDE w:val="0"/>
      <w:autoSpaceDN w:val="0"/>
      <w:adjustRightInd w:val="0"/>
      <w:ind w:firstLine="708"/>
      <w:jc w:val="both"/>
      <w:textAlignment w:val="baseline"/>
    </w:pPr>
    <w:rPr>
      <w:sz w:val="20"/>
      <w:szCs w:val="20"/>
      <w:lang w:eastAsia="cs-CZ"/>
    </w:rPr>
  </w:style>
  <w:style w:type="paragraph" w:customStyle="1" w:styleId="Import0">
    <w:name w:val="Import 0"/>
    <w:basedOn w:val="Zkladntext"/>
    <w:uiPriority w:val="99"/>
    <w:rsid w:val="009617F5"/>
    <w:pPr>
      <w:widowControl w:val="0"/>
      <w:suppressAutoHyphens w:val="0"/>
      <w:overflowPunct w:val="0"/>
      <w:autoSpaceDE w:val="0"/>
      <w:autoSpaceDN w:val="0"/>
      <w:adjustRightInd w:val="0"/>
      <w:spacing w:after="0" w:line="288" w:lineRule="auto"/>
      <w:textAlignment w:val="baseline"/>
    </w:pPr>
    <w:rPr>
      <w:szCs w:val="20"/>
      <w:lang w:eastAsia="cs-CZ"/>
    </w:rPr>
  </w:style>
  <w:style w:type="character" w:customStyle="1" w:styleId="WW8Num1z0">
    <w:name w:val="WW8Num1z0"/>
    <w:uiPriority w:val="99"/>
    <w:rsid w:val="009617F5"/>
    <w:rPr>
      <w:rFonts w:ascii="Symbol" w:hAnsi="Symbol"/>
    </w:rPr>
  </w:style>
  <w:style w:type="character" w:customStyle="1" w:styleId="WW8Num1z1">
    <w:name w:val="WW8Num1z1"/>
    <w:uiPriority w:val="99"/>
    <w:rsid w:val="009617F5"/>
    <w:rPr>
      <w:rFonts w:ascii="Courier New" w:hAnsi="Courier New"/>
    </w:rPr>
  </w:style>
  <w:style w:type="character" w:customStyle="1" w:styleId="WW8Num1z2">
    <w:name w:val="WW8Num1z2"/>
    <w:uiPriority w:val="99"/>
    <w:rsid w:val="009617F5"/>
    <w:rPr>
      <w:rFonts w:ascii="Wingdings" w:hAnsi="Wingdings"/>
    </w:rPr>
  </w:style>
  <w:style w:type="character" w:customStyle="1" w:styleId="WW8Num2z0">
    <w:name w:val="WW8Num2z0"/>
    <w:uiPriority w:val="99"/>
    <w:rsid w:val="009617F5"/>
    <w:rPr>
      <w:rFonts w:ascii="Times New Roman" w:hAnsi="Times New Roman"/>
      <w:b/>
      <w:color w:val="008000"/>
    </w:rPr>
  </w:style>
  <w:style w:type="character" w:customStyle="1" w:styleId="WW8Num2z1">
    <w:name w:val="WW8Num2z1"/>
    <w:uiPriority w:val="99"/>
    <w:rsid w:val="009617F5"/>
    <w:rPr>
      <w:rFonts w:ascii="Courier New" w:hAnsi="Courier New"/>
    </w:rPr>
  </w:style>
  <w:style w:type="character" w:customStyle="1" w:styleId="WW8Num2z2">
    <w:name w:val="WW8Num2z2"/>
    <w:uiPriority w:val="99"/>
    <w:rsid w:val="009617F5"/>
    <w:rPr>
      <w:rFonts w:ascii="Wingdings" w:hAnsi="Wingdings"/>
    </w:rPr>
  </w:style>
  <w:style w:type="character" w:customStyle="1" w:styleId="WW8Num2z3">
    <w:name w:val="WW8Num2z3"/>
    <w:uiPriority w:val="99"/>
    <w:rsid w:val="009617F5"/>
    <w:rPr>
      <w:rFonts w:ascii="Symbol" w:hAnsi="Symbol"/>
    </w:rPr>
  </w:style>
  <w:style w:type="character" w:customStyle="1" w:styleId="WW8Num3z0">
    <w:name w:val="WW8Num3z0"/>
    <w:uiPriority w:val="99"/>
    <w:rsid w:val="009617F5"/>
    <w:rPr>
      <w:rFonts w:ascii="Symbol" w:hAnsi="Symbol"/>
    </w:rPr>
  </w:style>
  <w:style w:type="character" w:customStyle="1" w:styleId="WW8Num3z1">
    <w:name w:val="WW8Num3z1"/>
    <w:uiPriority w:val="99"/>
    <w:rsid w:val="009617F5"/>
    <w:rPr>
      <w:rFonts w:ascii="Courier New" w:hAnsi="Courier New"/>
    </w:rPr>
  </w:style>
  <w:style w:type="character" w:customStyle="1" w:styleId="WW8Num3z2">
    <w:name w:val="WW8Num3z2"/>
    <w:uiPriority w:val="99"/>
    <w:rsid w:val="009617F5"/>
    <w:rPr>
      <w:rFonts w:ascii="Wingdings" w:hAnsi="Wingdings"/>
    </w:rPr>
  </w:style>
  <w:style w:type="character" w:customStyle="1" w:styleId="WW8Num4z0">
    <w:name w:val="WW8Num4z0"/>
    <w:uiPriority w:val="99"/>
    <w:rsid w:val="009617F5"/>
    <w:rPr>
      <w:rFonts w:ascii="Times New Roman" w:hAnsi="Times New Roman"/>
    </w:rPr>
  </w:style>
  <w:style w:type="character" w:customStyle="1" w:styleId="WW8Num4z1">
    <w:name w:val="WW8Num4z1"/>
    <w:uiPriority w:val="99"/>
    <w:rsid w:val="009617F5"/>
    <w:rPr>
      <w:rFonts w:ascii="Courier New" w:hAnsi="Courier New"/>
    </w:rPr>
  </w:style>
  <w:style w:type="character" w:customStyle="1" w:styleId="WW8Num4z2">
    <w:name w:val="WW8Num4z2"/>
    <w:uiPriority w:val="99"/>
    <w:rsid w:val="009617F5"/>
    <w:rPr>
      <w:rFonts w:ascii="Wingdings" w:hAnsi="Wingdings"/>
    </w:rPr>
  </w:style>
  <w:style w:type="character" w:customStyle="1" w:styleId="WW8Num4z3">
    <w:name w:val="WW8Num4z3"/>
    <w:uiPriority w:val="99"/>
    <w:rsid w:val="009617F5"/>
    <w:rPr>
      <w:rFonts w:ascii="Symbol" w:hAnsi="Symbol"/>
    </w:rPr>
  </w:style>
  <w:style w:type="character" w:customStyle="1" w:styleId="WW8Num5z0">
    <w:name w:val="WW8Num5z0"/>
    <w:uiPriority w:val="99"/>
    <w:rsid w:val="009617F5"/>
    <w:rPr>
      <w:rFonts w:ascii="Symbol" w:hAnsi="Symbol"/>
    </w:rPr>
  </w:style>
  <w:style w:type="character" w:customStyle="1" w:styleId="WW8Num5z1">
    <w:name w:val="WW8Num5z1"/>
    <w:uiPriority w:val="99"/>
    <w:rsid w:val="009617F5"/>
    <w:rPr>
      <w:rFonts w:ascii="Courier New" w:hAnsi="Courier New"/>
    </w:rPr>
  </w:style>
  <w:style w:type="character" w:customStyle="1" w:styleId="WW8Num5z2">
    <w:name w:val="WW8Num5z2"/>
    <w:uiPriority w:val="99"/>
    <w:rsid w:val="009617F5"/>
    <w:rPr>
      <w:rFonts w:ascii="Wingdings" w:hAnsi="Wingdings"/>
    </w:rPr>
  </w:style>
  <w:style w:type="character" w:customStyle="1" w:styleId="WW8Num6z0">
    <w:name w:val="WW8Num6z0"/>
    <w:uiPriority w:val="99"/>
    <w:rsid w:val="009617F5"/>
    <w:rPr>
      <w:rFonts w:ascii="Symbol" w:hAnsi="Symbol"/>
    </w:rPr>
  </w:style>
  <w:style w:type="character" w:customStyle="1" w:styleId="WW8Num6z1">
    <w:name w:val="WW8Num6z1"/>
    <w:uiPriority w:val="99"/>
    <w:rsid w:val="009617F5"/>
    <w:rPr>
      <w:rFonts w:ascii="Courier New" w:hAnsi="Courier New"/>
    </w:rPr>
  </w:style>
  <w:style w:type="character" w:customStyle="1" w:styleId="WW8Num6z2">
    <w:name w:val="WW8Num6z2"/>
    <w:uiPriority w:val="99"/>
    <w:rsid w:val="009617F5"/>
    <w:rPr>
      <w:rFonts w:ascii="Wingdings" w:hAnsi="Wingdings"/>
    </w:rPr>
  </w:style>
  <w:style w:type="character" w:customStyle="1" w:styleId="WW8Num7z0">
    <w:name w:val="WW8Num7z0"/>
    <w:uiPriority w:val="99"/>
    <w:rsid w:val="009617F5"/>
    <w:rPr>
      <w:rFonts w:ascii="Symbol" w:hAnsi="Symbol"/>
    </w:rPr>
  </w:style>
  <w:style w:type="character" w:customStyle="1" w:styleId="WW8Num7z1">
    <w:name w:val="WW8Num7z1"/>
    <w:uiPriority w:val="99"/>
    <w:rsid w:val="009617F5"/>
    <w:rPr>
      <w:rFonts w:ascii="Courier New" w:hAnsi="Courier New"/>
    </w:rPr>
  </w:style>
  <w:style w:type="character" w:customStyle="1" w:styleId="WW8Num7z2">
    <w:name w:val="WW8Num7z2"/>
    <w:uiPriority w:val="99"/>
    <w:rsid w:val="009617F5"/>
    <w:rPr>
      <w:rFonts w:ascii="Wingdings" w:hAnsi="Wingdings"/>
    </w:rPr>
  </w:style>
  <w:style w:type="character" w:customStyle="1" w:styleId="WW8Num8z0">
    <w:name w:val="WW8Num8z0"/>
    <w:uiPriority w:val="99"/>
    <w:rsid w:val="009617F5"/>
    <w:rPr>
      <w:rFonts w:ascii="Times New Roman" w:hAnsi="Times New Roman"/>
    </w:rPr>
  </w:style>
  <w:style w:type="character" w:customStyle="1" w:styleId="WW8Num8z1">
    <w:name w:val="WW8Num8z1"/>
    <w:uiPriority w:val="99"/>
    <w:rsid w:val="009617F5"/>
    <w:rPr>
      <w:rFonts w:ascii="Courier New" w:hAnsi="Courier New"/>
    </w:rPr>
  </w:style>
  <w:style w:type="character" w:customStyle="1" w:styleId="WW8Num8z2">
    <w:name w:val="WW8Num8z2"/>
    <w:uiPriority w:val="99"/>
    <w:rsid w:val="009617F5"/>
    <w:rPr>
      <w:rFonts w:ascii="Wingdings" w:hAnsi="Wingdings"/>
    </w:rPr>
  </w:style>
  <w:style w:type="character" w:customStyle="1" w:styleId="WW8Num8z3">
    <w:name w:val="WW8Num8z3"/>
    <w:uiPriority w:val="99"/>
    <w:rsid w:val="009617F5"/>
    <w:rPr>
      <w:rFonts w:ascii="Symbol" w:hAnsi="Symbol"/>
    </w:rPr>
  </w:style>
  <w:style w:type="character" w:customStyle="1" w:styleId="WW8Num9z0">
    <w:name w:val="WW8Num9z0"/>
    <w:uiPriority w:val="99"/>
    <w:rsid w:val="009617F5"/>
    <w:rPr>
      <w:rFonts w:ascii="Symbol" w:hAnsi="Symbol"/>
    </w:rPr>
  </w:style>
  <w:style w:type="character" w:customStyle="1" w:styleId="WW8Num9z1">
    <w:name w:val="WW8Num9z1"/>
    <w:uiPriority w:val="99"/>
    <w:rsid w:val="009617F5"/>
    <w:rPr>
      <w:rFonts w:ascii="Courier New" w:hAnsi="Courier New"/>
    </w:rPr>
  </w:style>
  <w:style w:type="character" w:customStyle="1" w:styleId="WW8Num9z2">
    <w:name w:val="WW8Num9z2"/>
    <w:uiPriority w:val="99"/>
    <w:rsid w:val="009617F5"/>
    <w:rPr>
      <w:rFonts w:ascii="Wingdings" w:hAnsi="Wingdings"/>
    </w:rPr>
  </w:style>
  <w:style w:type="character" w:customStyle="1" w:styleId="WW8Num10z0">
    <w:name w:val="WW8Num10z0"/>
    <w:uiPriority w:val="99"/>
    <w:rsid w:val="009617F5"/>
    <w:rPr>
      <w:rFonts w:ascii="Symbol" w:hAnsi="Symbol"/>
    </w:rPr>
  </w:style>
  <w:style w:type="character" w:customStyle="1" w:styleId="WW8Num10z1">
    <w:name w:val="WW8Num10z1"/>
    <w:uiPriority w:val="99"/>
    <w:rsid w:val="009617F5"/>
    <w:rPr>
      <w:rFonts w:ascii="Courier New" w:hAnsi="Courier New"/>
    </w:rPr>
  </w:style>
  <w:style w:type="character" w:customStyle="1" w:styleId="WW8Num10z2">
    <w:name w:val="WW8Num10z2"/>
    <w:uiPriority w:val="99"/>
    <w:rsid w:val="009617F5"/>
    <w:rPr>
      <w:rFonts w:ascii="Wingdings" w:hAnsi="Wingdings"/>
    </w:rPr>
  </w:style>
  <w:style w:type="character" w:customStyle="1" w:styleId="WW8Num11z0">
    <w:name w:val="WW8Num11z0"/>
    <w:uiPriority w:val="99"/>
    <w:rsid w:val="009617F5"/>
    <w:rPr>
      <w:rFonts w:ascii="Symbol" w:hAnsi="Symbol"/>
    </w:rPr>
  </w:style>
  <w:style w:type="character" w:customStyle="1" w:styleId="WW8Num11z1">
    <w:name w:val="WW8Num11z1"/>
    <w:uiPriority w:val="99"/>
    <w:rsid w:val="009617F5"/>
    <w:rPr>
      <w:rFonts w:ascii="Courier New" w:hAnsi="Courier New"/>
    </w:rPr>
  </w:style>
  <w:style w:type="character" w:customStyle="1" w:styleId="WW8Num11z2">
    <w:name w:val="WW8Num11z2"/>
    <w:uiPriority w:val="99"/>
    <w:rsid w:val="009617F5"/>
    <w:rPr>
      <w:rFonts w:ascii="Wingdings" w:hAnsi="Wingdings"/>
    </w:rPr>
  </w:style>
  <w:style w:type="character" w:customStyle="1" w:styleId="WW8Num12z0">
    <w:name w:val="WW8Num12z0"/>
    <w:uiPriority w:val="99"/>
    <w:rsid w:val="009617F5"/>
    <w:rPr>
      <w:rFonts w:ascii="Symbol" w:hAnsi="Symbol"/>
    </w:rPr>
  </w:style>
  <w:style w:type="character" w:customStyle="1" w:styleId="WW8Num12z1">
    <w:name w:val="WW8Num12z1"/>
    <w:uiPriority w:val="99"/>
    <w:rsid w:val="009617F5"/>
    <w:rPr>
      <w:rFonts w:ascii="Courier New" w:hAnsi="Courier New"/>
    </w:rPr>
  </w:style>
  <w:style w:type="character" w:customStyle="1" w:styleId="WW8Num12z2">
    <w:name w:val="WW8Num12z2"/>
    <w:uiPriority w:val="99"/>
    <w:rsid w:val="009617F5"/>
    <w:rPr>
      <w:rFonts w:ascii="Wingdings" w:hAnsi="Wingdings"/>
    </w:rPr>
  </w:style>
  <w:style w:type="character" w:customStyle="1" w:styleId="WW8Num13z0">
    <w:name w:val="WW8Num13z0"/>
    <w:uiPriority w:val="99"/>
    <w:rsid w:val="009617F5"/>
    <w:rPr>
      <w:rFonts w:ascii="Times New Roman" w:hAnsi="Times New Roman"/>
      <w:b/>
      <w:color w:val="008000"/>
    </w:rPr>
  </w:style>
  <w:style w:type="character" w:customStyle="1" w:styleId="WW8Num13z1">
    <w:name w:val="WW8Num13z1"/>
    <w:uiPriority w:val="99"/>
    <w:rsid w:val="009617F5"/>
    <w:rPr>
      <w:rFonts w:ascii="Courier New" w:hAnsi="Courier New"/>
    </w:rPr>
  </w:style>
  <w:style w:type="character" w:customStyle="1" w:styleId="WW8Num13z2">
    <w:name w:val="WW8Num13z2"/>
    <w:uiPriority w:val="99"/>
    <w:rsid w:val="009617F5"/>
    <w:rPr>
      <w:rFonts w:ascii="Wingdings" w:hAnsi="Wingdings"/>
    </w:rPr>
  </w:style>
  <w:style w:type="character" w:customStyle="1" w:styleId="WW8Num13z3">
    <w:name w:val="WW8Num13z3"/>
    <w:uiPriority w:val="99"/>
    <w:rsid w:val="009617F5"/>
    <w:rPr>
      <w:rFonts w:ascii="Symbol" w:hAnsi="Symbol"/>
    </w:rPr>
  </w:style>
  <w:style w:type="character" w:customStyle="1" w:styleId="WW8Num14z0">
    <w:name w:val="WW8Num14z0"/>
    <w:uiPriority w:val="99"/>
    <w:rsid w:val="009617F5"/>
    <w:rPr>
      <w:rFonts w:ascii="Symbol" w:hAnsi="Symbol"/>
    </w:rPr>
  </w:style>
  <w:style w:type="character" w:customStyle="1" w:styleId="WW8Num14z1">
    <w:name w:val="WW8Num14z1"/>
    <w:uiPriority w:val="99"/>
    <w:rsid w:val="009617F5"/>
    <w:rPr>
      <w:rFonts w:ascii="Courier New" w:hAnsi="Courier New"/>
    </w:rPr>
  </w:style>
  <w:style w:type="character" w:customStyle="1" w:styleId="WW8Num14z2">
    <w:name w:val="WW8Num14z2"/>
    <w:uiPriority w:val="99"/>
    <w:rsid w:val="009617F5"/>
    <w:rPr>
      <w:rFonts w:ascii="Wingdings" w:hAnsi="Wingdings"/>
    </w:rPr>
  </w:style>
  <w:style w:type="character" w:customStyle="1" w:styleId="WW8Num15z0">
    <w:name w:val="WW8Num15z0"/>
    <w:uiPriority w:val="99"/>
    <w:rsid w:val="009617F5"/>
    <w:rPr>
      <w:rFonts w:ascii="Times New Roman" w:hAnsi="Times New Roman"/>
    </w:rPr>
  </w:style>
  <w:style w:type="character" w:customStyle="1" w:styleId="WW8Num15z1">
    <w:name w:val="WW8Num15z1"/>
    <w:uiPriority w:val="99"/>
    <w:rsid w:val="009617F5"/>
    <w:rPr>
      <w:rFonts w:ascii="Courier New" w:hAnsi="Courier New"/>
    </w:rPr>
  </w:style>
  <w:style w:type="character" w:customStyle="1" w:styleId="WW8Num15z2">
    <w:name w:val="WW8Num15z2"/>
    <w:uiPriority w:val="99"/>
    <w:rsid w:val="009617F5"/>
    <w:rPr>
      <w:rFonts w:ascii="Wingdings" w:hAnsi="Wingdings"/>
    </w:rPr>
  </w:style>
  <w:style w:type="character" w:customStyle="1" w:styleId="WW8Num15z3">
    <w:name w:val="WW8Num15z3"/>
    <w:uiPriority w:val="99"/>
    <w:rsid w:val="009617F5"/>
    <w:rPr>
      <w:rFonts w:ascii="Symbol" w:hAnsi="Symbol"/>
    </w:rPr>
  </w:style>
  <w:style w:type="character" w:customStyle="1" w:styleId="WW8Num16z0">
    <w:name w:val="WW8Num16z0"/>
    <w:uiPriority w:val="99"/>
    <w:rsid w:val="009617F5"/>
    <w:rPr>
      <w:rFonts w:ascii="Symbol" w:hAnsi="Symbol"/>
    </w:rPr>
  </w:style>
  <w:style w:type="character" w:customStyle="1" w:styleId="WW8Num16z1">
    <w:name w:val="WW8Num16z1"/>
    <w:uiPriority w:val="99"/>
    <w:rsid w:val="009617F5"/>
    <w:rPr>
      <w:rFonts w:ascii="Courier New" w:hAnsi="Courier New"/>
    </w:rPr>
  </w:style>
  <w:style w:type="character" w:customStyle="1" w:styleId="WW8Num16z2">
    <w:name w:val="WW8Num16z2"/>
    <w:uiPriority w:val="99"/>
    <w:rsid w:val="009617F5"/>
    <w:rPr>
      <w:rFonts w:ascii="Wingdings" w:hAnsi="Wingdings"/>
    </w:rPr>
  </w:style>
  <w:style w:type="character" w:customStyle="1" w:styleId="WW8Num17z0">
    <w:name w:val="WW8Num17z0"/>
    <w:uiPriority w:val="99"/>
    <w:rsid w:val="009617F5"/>
    <w:rPr>
      <w:rFonts w:ascii="Symbol" w:hAnsi="Symbol"/>
    </w:rPr>
  </w:style>
  <w:style w:type="character" w:customStyle="1" w:styleId="WW8Num17z1">
    <w:name w:val="WW8Num17z1"/>
    <w:uiPriority w:val="99"/>
    <w:rsid w:val="009617F5"/>
    <w:rPr>
      <w:rFonts w:ascii="Courier New" w:hAnsi="Courier New"/>
    </w:rPr>
  </w:style>
  <w:style w:type="character" w:customStyle="1" w:styleId="WW8Num17z2">
    <w:name w:val="WW8Num17z2"/>
    <w:uiPriority w:val="99"/>
    <w:rsid w:val="009617F5"/>
    <w:rPr>
      <w:rFonts w:ascii="Wingdings" w:hAnsi="Wingdings"/>
    </w:rPr>
  </w:style>
  <w:style w:type="character" w:customStyle="1" w:styleId="Standardnpsmoodstavce1">
    <w:name w:val="Standardní písmo odstavce1"/>
    <w:uiPriority w:val="99"/>
    <w:rsid w:val="009617F5"/>
  </w:style>
  <w:style w:type="character" w:customStyle="1" w:styleId="CharChar5">
    <w:name w:val="Char Char5"/>
    <w:uiPriority w:val="99"/>
    <w:rsid w:val="009617F5"/>
    <w:rPr>
      <w:rFonts w:cs="Times New Roman"/>
      <w:sz w:val="24"/>
      <w:szCs w:val="24"/>
      <w:lang w:val="cs-CZ" w:eastAsia="ar-SA" w:bidi="ar-SA"/>
    </w:rPr>
  </w:style>
  <w:style w:type="character" w:customStyle="1" w:styleId="CharChar4">
    <w:name w:val="Char Char4"/>
    <w:uiPriority w:val="99"/>
    <w:rsid w:val="009617F5"/>
    <w:rPr>
      <w:rFonts w:cs="Times New Roman"/>
      <w:i/>
      <w:iCs/>
      <w:sz w:val="24"/>
      <w:szCs w:val="24"/>
      <w:lang w:val="cs-CZ" w:eastAsia="ar-SA" w:bidi="ar-SA"/>
    </w:rPr>
  </w:style>
  <w:style w:type="character" w:customStyle="1" w:styleId="CharChar3">
    <w:name w:val="Char Char3"/>
    <w:uiPriority w:val="99"/>
    <w:rsid w:val="009617F5"/>
    <w:rPr>
      <w:rFonts w:ascii="Arial" w:hAnsi="Arial" w:cs="Arial"/>
      <w:sz w:val="22"/>
      <w:szCs w:val="22"/>
      <w:lang w:val="cs-CZ" w:eastAsia="ar-SA" w:bidi="ar-SA"/>
    </w:rPr>
  </w:style>
  <w:style w:type="character" w:customStyle="1" w:styleId="CharChar">
    <w:name w:val="Char Char"/>
    <w:uiPriority w:val="99"/>
    <w:rsid w:val="009617F5"/>
    <w:rPr>
      <w:rFonts w:eastAsia="MS Mincho" w:cs="Times New Roman"/>
      <w:sz w:val="22"/>
      <w:lang w:val="cs-CZ" w:eastAsia="ar-SA" w:bidi="ar-SA"/>
    </w:rPr>
  </w:style>
  <w:style w:type="character" w:customStyle="1" w:styleId="CharChar2">
    <w:name w:val="Char Char2"/>
    <w:uiPriority w:val="99"/>
    <w:rsid w:val="009617F5"/>
    <w:rPr>
      <w:rFonts w:cs="Times New Roman"/>
      <w:sz w:val="22"/>
      <w:lang w:val="cs-CZ" w:eastAsia="ar-SA" w:bidi="ar-SA"/>
    </w:rPr>
  </w:style>
  <w:style w:type="character" w:customStyle="1" w:styleId="CharChar11">
    <w:name w:val="Char Char11"/>
    <w:uiPriority w:val="99"/>
    <w:rsid w:val="009617F5"/>
    <w:rPr>
      <w:rFonts w:ascii="Arial" w:hAnsi="Arial" w:cs="Times New Roman"/>
      <w:b/>
      <w:caps/>
      <w:sz w:val="28"/>
      <w:lang w:val="cs-CZ" w:eastAsia="ar-SA" w:bidi="ar-SA"/>
    </w:rPr>
  </w:style>
  <w:style w:type="paragraph" w:customStyle="1" w:styleId="Popisek">
    <w:name w:val="Popisek"/>
    <w:basedOn w:val="Normln"/>
    <w:uiPriority w:val="99"/>
    <w:rsid w:val="009617F5"/>
    <w:pPr>
      <w:suppressLineNumbers/>
      <w:spacing w:before="120" w:after="120"/>
    </w:pPr>
    <w:rPr>
      <w:rFonts w:cs="Tahoma"/>
      <w:i/>
      <w:iCs/>
      <w:lang w:eastAsia="ar-SA"/>
    </w:rPr>
  </w:style>
  <w:style w:type="paragraph" w:customStyle="1" w:styleId="Rejstk">
    <w:name w:val="Rejstřík"/>
    <w:basedOn w:val="Normln"/>
    <w:uiPriority w:val="99"/>
    <w:rsid w:val="009617F5"/>
    <w:pPr>
      <w:suppressLineNumbers/>
    </w:pPr>
    <w:rPr>
      <w:rFonts w:cs="Tahoma"/>
      <w:sz w:val="22"/>
      <w:szCs w:val="20"/>
      <w:lang w:eastAsia="ar-SA"/>
    </w:rPr>
  </w:style>
  <w:style w:type="paragraph" w:customStyle="1" w:styleId="zkladntext4">
    <w:name w:val="základní text 4"/>
    <w:basedOn w:val="Zkladntext"/>
    <w:uiPriority w:val="99"/>
    <w:rsid w:val="009617F5"/>
    <w:pPr>
      <w:widowControl w:val="0"/>
      <w:tabs>
        <w:tab w:val="num" w:pos="0"/>
      </w:tabs>
      <w:spacing w:after="85"/>
    </w:pPr>
    <w:rPr>
      <w:rFonts w:eastAsia="MS Mincho"/>
      <w:sz w:val="22"/>
      <w:szCs w:val="20"/>
      <w:lang w:eastAsia="ar-SA"/>
    </w:rPr>
  </w:style>
  <w:style w:type="paragraph" w:customStyle="1" w:styleId="Prosttext1">
    <w:name w:val="Prostý text1"/>
    <w:basedOn w:val="Normln"/>
    <w:uiPriority w:val="99"/>
    <w:rsid w:val="009617F5"/>
    <w:rPr>
      <w:rFonts w:ascii="Courier New" w:hAnsi="Courier New" w:cs="Courier New"/>
      <w:sz w:val="20"/>
      <w:szCs w:val="20"/>
      <w:lang w:eastAsia="ar-SA"/>
    </w:rPr>
  </w:style>
  <w:style w:type="paragraph" w:customStyle="1" w:styleId="HlavPodnadpis">
    <w:name w:val="HlavPodnadpis"/>
    <w:uiPriority w:val="99"/>
    <w:rsid w:val="009617F5"/>
    <w:pPr>
      <w:suppressAutoHyphens/>
      <w:spacing w:before="72" w:after="72" w:line="240" w:lineRule="auto"/>
    </w:pPr>
    <w:rPr>
      <w:rFonts w:ascii="Times New Roman" w:eastAsia="Times New Roman" w:hAnsi="Times New Roman" w:cs="Times New Roman"/>
      <w:b/>
      <w:caps/>
      <w:color w:val="000000"/>
      <w:sz w:val="28"/>
      <w:szCs w:val="20"/>
      <w:u w:val="single"/>
      <w:lang w:eastAsia="ar-SA"/>
    </w:rPr>
  </w:style>
  <w:style w:type="paragraph" w:customStyle="1" w:styleId="Seznamsodrkami31">
    <w:name w:val="Seznam s odrážkami 31"/>
    <w:basedOn w:val="Normln"/>
    <w:uiPriority w:val="99"/>
    <w:rsid w:val="009617F5"/>
    <w:pPr>
      <w:tabs>
        <w:tab w:val="left" w:pos="2280"/>
      </w:tabs>
      <w:spacing w:before="60" w:after="60"/>
      <w:jc w:val="both"/>
    </w:pPr>
    <w:rPr>
      <w:sz w:val="22"/>
      <w:lang w:eastAsia="ar-SA"/>
    </w:rPr>
  </w:style>
  <w:style w:type="paragraph" w:customStyle="1" w:styleId="Zkladntext31">
    <w:name w:val="Základní text 31"/>
    <w:basedOn w:val="Normln"/>
    <w:rsid w:val="009617F5"/>
    <w:pPr>
      <w:spacing w:after="120"/>
    </w:pPr>
    <w:rPr>
      <w:sz w:val="16"/>
      <w:szCs w:val="16"/>
      <w:lang w:eastAsia="ar-SA"/>
    </w:rPr>
  </w:style>
  <w:style w:type="paragraph" w:customStyle="1" w:styleId="Styltabulky">
    <w:name w:val="Styl tabulky"/>
    <w:uiPriority w:val="99"/>
    <w:rsid w:val="009617F5"/>
    <w:pPr>
      <w:suppressAutoHyphens/>
      <w:overflowPunct w:val="0"/>
      <w:autoSpaceDE w:val="0"/>
      <w:spacing w:after="0" w:line="240" w:lineRule="auto"/>
      <w:textAlignment w:val="baseline"/>
    </w:pPr>
    <w:rPr>
      <w:rFonts w:ascii="CooperBlackE" w:eastAsia="Times New Roman" w:hAnsi="CooperBlackE" w:cs="Times New Roman"/>
      <w:sz w:val="20"/>
      <w:szCs w:val="20"/>
      <w:lang w:val="en-US" w:eastAsia="ar-SA"/>
    </w:rPr>
  </w:style>
  <w:style w:type="paragraph" w:customStyle="1" w:styleId="A-podnadpis2">
    <w:name w:val="A - podnadpis 2"/>
    <w:basedOn w:val="Normln"/>
    <w:next w:val="Normln"/>
    <w:uiPriority w:val="99"/>
    <w:rsid w:val="009617F5"/>
    <w:pPr>
      <w:keepNext/>
      <w:tabs>
        <w:tab w:val="num" w:pos="770"/>
      </w:tabs>
      <w:spacing w:before="360" w:after="120"/>
      <w:ind w:left="770" w:hanging="360"/>
    </w:pPr>
    <w:rPr>
      <w:b/>
      <w:caps/>
      <w:szCs w:val="20"/>
      <w:lang w:eastAsia="ar-SA"/>
    </w:rPr>
  </w:style>
  <w:style w:type="paragraph" w:customStyle="1" w:styleId="Import26">
    <w:name w:val="Import 26"/>
    <w:basedOn w:val="Normln"/>
    <w:uiPriority w:val="99"/>
    <w:rsid w:val="009617F5"/>
    <w:pPr>
      <w:tabs>
        <w:tab w:val="left" w:pos="1440"/>
        <w:tab w:val="left" w:pos="5616"/>
        <w:tab w:val="left" w:pos="7200"/>
        <w:tab w:val="left" w:pos="8640"/>
      </w:tabs>
      <w:overflowPunct w:val="0"/>
      <w:autoSpaceDE w:val="0"/>
      <w:spacing w:line="276" w:lineRule="auto"/>
      <w:ind w:left="288"/>
      <w:textAlignment w:val="baseline"/>
    </w:pPr>
    <w:rPr>
      <w:rFonts w:ascii="Courier New" w:hAnsi="Courier New"/>
      <w:szCs w:val="20"/>
      <w:lang w:eastAsia="ar-SA"/>
    </w:rPr>
  </w:style>
  <w:style w:type="paragraph" w:customStyle="1" w:styleId="A-podnadpis1">
    <w:name w:val="A - podnadpis 1"/>
    <w:basedOn w:val="Normln"/>
    <w:next w:val="A-zkladntext"/>
    <w:uiPriority w:val="99"/>
    <w:rsid w:val="009617F5"/>
    <w:pPr>
      <w:keepNext/>
      <w:spacing w:before="480" w:after="240"/>
      <w:ind w:left="709"/>
    </w:pPr>
    <w:rPr>
      <w:b/>
      <w:caps/>
      <w:sz w:val="28"/>
      <w:szCs w:val="20"/>
      <w:lang w:eastAsia="ar-SA"/>
    </w:rPr>
  </w:style>
  <w:style w:type="paragraph" w:customStyle="1" w:styleId="A-zkladntext">
    <w:name w:val="A - základní text"/>
    <w:basedOn w:val="Normln"/>
    <w:uiPriority w:val="99"/>
    <w:rsid w:val="009617F5"/>
    <w:pPr>
      <w:spacing w:before="240" w:after="120"/>
      <w:ind w:firstLine="709"/>
      <w:jc w:val="both"/>
    </w:pPr>
    <w:rPr>
      <w:sz w:val="20"/>
      <w:szCs w:val="20"/>
      <w:lang w:eastAsia="ar-SA"/>
    </w:rPr>
  </w:style>
  <w:style w:type="paragraph" w:customStyle="1" w:styleId="A-pata">
    <w:name w:val="A - pata"/>
    <w:basedOn w:val="Normln"/>
    <w:uiPriority w:val="99"/>
    <w:rsid w:val="009617F5"/>
    <w:pPr>
      <w:pBdr>
        <w:top w:val="single" w:sz="4" w:space="1" w:color="000000"/>
      </w:pBdr>
      <w:jc w:val="both"/>
    </w:pPr>
    <w:rPr>
      <w:sz w:val="20"/>
      <w:szCs w:val="20"/>
      <w:lang w:eastAsia="ar-SA"/>
    </w:rPr>
  </w:style>
  <w:style w:type="paragraph" w:customStyle="1" w:styleId="A-podnadpis3">
    <w:name w:val="A - podnadpis 3"/>
    <w:basedOn w:val="Normln"/>
    <w:next w:val="A-zkladntext"/>
    <w:uiPriority w:val="99"/>
    <w:rsid w:val="009617F5"/>
    <w:pPr>
      <w:keepLines/>
      <w:spacing w:before="240"/>
      <w:ind w:left="709"/>
    </w:pPr>
    <w:rPr>
      <w:b/>
      <w:caps/>
      <w:sz w:val="20"/>
      <w:szCs w:val="20"/>
      <w:lang w:eastAsia="ar-SA"/>
    </w:rPr>
  </w:style>
  <w:style w:type="paragraph" w:customStyle="1" w:styleId="A-znaka1">
    <w:name w:val="A - značka 1"/>
    <w:basedOn w:val="Normln"/>
    <w:uiPriority w:val="99"/>
    <w:rsid w:val="009617F5"/>
    <w:pPr>
      <w:keepLines/>
      <w:tabs>
        <w:tab w:val="left" w:pos="2880"/>
      </w:tabs>
      <w:ind w:left="1440" w:hanging="360"/>
      <w:jc w:val="both"/>
    </w:pPr>
    <w:rPr>
      <w:sz w:val="20"/>
      <w:szCs w:val="20"/>
      <w:lang w:eastAsia="ar-SA"/>
    </w:rPr>
  </w:style>
  <w:style w:type="paragraph" w:customStyle="1" w:styleId="A-znaka3">
    <w:name w:val="A - značka 3"/>
    <w:basedOn w:val="Normln"/>
    <w:uiPriority w:val="99"/>
    <w:rsid w:val="009617F5"/>
    <w:pPr>
      <w:keepLines/>
      <w:tabs>
        <w:tab w:val="left" w:pos="720"/>
      </w:tabs>
      <w:ind w:left="360" w:hanging="360"/>
      <w:jc w:val="both"/>
    </w:pPr>
    <w:rPr>
      <w:sz w:val="20"/>
      <w:szCs w:val="20"/>
      <w:lang w:eastAsia="ar-SA"/>
    </w:rPr>
  </w:style>
  <w:style w:type="paragraph" w:customStyle="1" w:styleId="A-slovanseznam2">
    <w:name w:val="A - číslovaný seznam 2"/>
    <w:basedOn w:val="Normln"/>
    <w:uiPriority w:val="99"/>
    <w:rsid w:val="009617F5"/>
    <w:pPr>
      <w:keepLines/>
      <w:tabs>
        <w:tab w:val="left" w:pos="714"/>
      </w:tabs>
      <w:ind w:left="357" w:hanging="357"/>
      <w:jc w:val="both"/>
    </w:pPr>
    <w:rPr>
      <w:sz w:val="20"/>
      <w:szCs w:val="20"/>
      <w:lang w:eastAsia="ar-SA"/>
    </w:rPr>
  </w:style>
  <w:style w:type="paragraph" w:customStyle="1" w:styleId="A-hlavnnadpis">
    <w:name w:val="A - hlavní nadpis"/>
    <w:basedOn w:val="Normln"/>
    <w:next w:val="A-zkladntext"/>
    <w:uiPriority w:val="99"/>
    <w:rsid w:val="009617F5"/>
    <w:pPr>
      <w:pBdr>
        <w:bottom w:val="single" w:sz="2" w:space="1" w:color="000000"/>
      </w:pBdr>
      <w:tabs>
        <w:tab w:val="left" w:pos="1440"/>
      </w:tabs>
      <w:ind w:left="720" w:hanging="720"/>
      <w:jc w:val="right"/>
    </w:pPr>
    <w:rPr>
      <w:rFonts w:ascii="Lucida Sans Unicode" w:hAnsi="Lucida Sans Unicode"/>
      <w:b/>
      <w:caps/>
      <w:sz w:val="36"/>
      <w:szCs w:val="20"/>
      <w:lang w:eastAsia="ar-SA"/>
    </w:rPr>
  </w:style>
  <w:style w:type="paragraph" w:styleId="Normlnweb">
    <w:name w:val="Normal (Web)"/>
    <w:basedOn w:val="Normln"/>
    <w:rsid w:val="009617F5"/>
    <w:pPr>
      <w:spacing w:before="280" w:after="280"/>
    </w:pPr>
    <w:rPr>
      <w:rFonts w:ascii="Arial Unicode MS" w:eastAsia="Arial Unicode MS" w:hAnsi="Arial Unicode MS" w:cs="Arial Unicode MS"/>
      <w:lang w:eastAsia="ar-SA"/>
    </w:rPr>
  </w:style>
  <w:style w:type="paragraph" w:customStyle="1" w:styleId="Klasickodstavec">
    <w:name w:val="Klasický odstavec"/>
    <w:basedOn w:val="Normln"/>
    <w:uiPriority w:val="99"/>
    <w:rsid w:val="009617F5"/>
    <w:pPr>
      <w:spacing w:line="240" w:lineRule="atLeast"/>
      <w:ind w:left="1080" w:right="250" w:firstLine="360"/>
      <w:jc w:val="both"/>
    </w:pPr>
    <w:rPr>
      <w:rFonts w:ascii="Arial" w:hAnsi="Arial"/>
      <w:bCs/>
      <w:sz w:val="20"/>
      <w:lang w:eastAsia="ar-SA"/>
    </w:rPr>
  </w:style>
  <w:style w:type="paragraph" w:customStyle="1" w:styleId="Normln0">
    <w:name w:val="Normální~"/>
    <w:basedOn w:val="Normln"/>
    <w:uiPriority w:val="99"/>
    <w:rsid w:val="009617F5"/>
    <w:pPr>
      <w:widowControl w:val="0"/>
    </w:pPr>
    <w:rPr>
      <w:b/>
      <w:color w:val="000000"/>
      <w:sz w:val="22"/>
      <w:szCs w:val="20"/>
      <w:u w:val="single"/>
      <w:lang w:eastAsia="ar-SA"/>
    </w:rPr>
  </w:style>
  <w:style w:type="paragraph" w:customStyle="1" w:styleId="Obsahtabulky">
    <w:name w:val="Obsah tabulky"/>
    <w:basedOn w:val="Normln"/>
    <w:uiPriority w:val="99"/>
    <w:rsid w:val="009617F5"/>
    <w:pPr>
      <w:suppressLineNumbers/>
    </w:pPr>
    <w:rPr>
      <w:sz w:val="22"/>
      <w:szCs w:val="20"/>
      <w:lang w:eastAsia="ar-SA"/>
    </w:rPr>
  </w:style>
  <w:style w:type="paragraph" w:customStyle="1" w:styleId="Nadpistabulky">
    <w:name w:val="Nadpis tabulky"/>
    <w:basedOn w:val="Obsahtabulky"/>
    <w:uiPriority w:val="99"/>
    <w:rsid w:val="009617F5"/>
    <w:pPr>
      <w:jc w:val="center"/>
    </w:pPr>
    <w:rPr>
      <w:b/>
      <w:bCs/>
    </w:rPr>
  </w:style>
  <w:style w:type="paragraph" w:customStyle="1" w:styleId="Obsahrmce">
    <w:name w:val="Obsah rámce"/>
    <w:basedOn w:val="Zkladntext"/>
    <w:uiPriority w:val="99"/>
    <w:rsid w:val="009617F5"/>
    <w:pPr>
      <w:spacing w:after="0"/>
    </w:pPr>
    <w:rPr>
      <w:rFonts w:eastAsia="MS Mincho"/>
      <w:sz w:val="22"/>
      <w:szCs w:val="20"/>
      <w:lang w:eastAsia="ar-SA"/>
    </w:rPr>
  </w:style>
  <w:style w:type="character" w:customStyle="1" w:styleId="F2CharChar">
    <w:name w:val="F2 Char Char"/>
    <w:uiPriority w:val="99"/>
    <w:rsid w:val="009617F5"/>
    <w:rPr>
      <w:rFonts w:eastAsia="MS Mincho" w:cs="Times New Roman"/>
      <w:sz w:val="22"/>
      <w:lang w:val="cs-CZ" w:eastAsia="ar-SA" w:bidi="ar-SA"/>
    </w:rPr>
  </w:style>
  <w:style w:type="paragraph" w:styleId="Prosttext">
    <w:name w:val="Plain Text"/>
    <w:basedOn w:val="Normln"/>
    <w:link w:val="ProsttextChar"/>
    <w:uiPriority w:val="99"/>
    <w:rsid w:val="009617F5"/>
    <w:pPr>
      <w:suppressAutoHyphens w:val="0"/>
    </w:pPr>
    <w:rPr>
      <w:rFonts w:ascii="Courier New" w:hAnsi="Courier New" w:cs="Courier New"/>
      <w:sz w:val="20"/>
      <w:szCs w:val="20"/>
      <w:lang w:eastAsia="cs-CZ"/>
    </w:rPr>
  </w:style>
  <w:style w:type="character" w:customStyle="1" w:styleId="ProsttextChar">
    <w:name w:val="Prostý text Char"/>
    <w:basedOn w:val="Standardnpsmoodstavce"/>
    <w:link w:val="Prosttext"/>
    <w:uiPriority w:val="99"/>
    <w:rsid w:val="009617F5"/>
    <w:rPr>
      <w:rFonts w:ascii="Courier New" w:eastAsia="Times New Roman" w:hAnsi="Courier New" w:cs="Courier New"/>
      <w:sz w:val="20"/>
      <w:szCs w:val="20"/>
      <w:lang w:eastAsia="cs-CZ"/>
    </w:rPr>
  </w:style>
  <w:style w:type="paragraph" w:styleId="Rozloendokumentu">
    <w:name w:val="Document Map"/>
    <w:basedOn w:val="Normln"/>
    <w:link w:val="RozloendokumentuChar"/>
    <w:uiPriority w:val="99"/>
    <w:rsid w:val="009617F5"/>
    <w:pPr>
      <w:suppressAutoHyphens w:val="0"/>
      <w:ind w:left="708"/>
      <w:jc w:val="both"/>
    </w:pPr>
    <w:rPr>
      <w:rFonts w:ascii="Tahoma" w:hAnsi="Tahoma" w:cs="Tahoma"/>
      <w:sz w:val="16"/>
      <w:szCs w:val="16"/>
      <w:lang w:eastAsia="cs-CZ"/>
    </w:rPr>
  </w:style>
  <w:style w:type="character" w:customStyle="1" w:styleId="RozloendokumentuChar">
    <w:name w:val="Rozložení dokumentu Char"/>
    <w:basedOn w:val="Standardnpsmoodstavce"/>
    <w:link w:val="Rozloendokumentu"/>
    <w:uiPriority w:val="99"/>
    <w:rsid w:val="009617F5"/>
    <w:rPr>
      <w:rFonts w:ascii="Tahoma" w:eastAsia="Times New Roman" w:hAnsi="Tahoma" w:cs="Tahoma"/>
      <w:sz w:val="16"/>
      <w:szCs w:val="16"/>
      <w:lang w:eastAsia="cs-CZ"/>
    </w:rPr>
  </w:style>
  <w:style w:type="paragraph" w:customStyle="1" w:styleId="Default">
    <w:name w:val="Default"/>
    <w:rsid w:val="009617F5"/>
    <w:pPr>
      <w:autoSpaceDE w:val="0"/>
      <w:autoSpaceDN w:val="0"/>
      <w:adjustRightInd w:val="0"/>
      <w:spacing w:after="0" w:line="240" w:lineRule="auto"/>
    </w:pPr>
    <w:rPr>
      <w:rFonts w:ascii="Times New Roman" w:eastAsia="Times New Roman" w:hAnsi="Times New Roman" w:cs="Times New Roman"/>
      <w:color w:val="000000"/>
      <w:sz w:val="24"/>
      <w:szCs w:val="24"/>
      <w:lang w:eastAsia="cs-CZ"/>
    </w:rPr>
  </w:style>
  <w:style w:type="paragraph" w:customStyle="1" w:styleId="Zkladnodstavec">
    <w:name w:val="[Základní odstavec]"/>
    <w:basedOn w:val="Normln"/>
    <w:uiPriority w:val="99"/>
    <w:rsid w:val="009617F5"/>
    <w:pPr>
      <w:widowControl w:val="0"/>
      <w:autoSpaceDE w:val="0"/>
      <w:spacing w:line="288" w:lineRule="auto"/>
      <w:textAlignment w:val="center"/>
    </w:pPr>
    <w:rPr>
      <w:color w:val="000000"/>
      <w:sz w:val="22"/>
      <w:szCs w:val="22"/>
      <w:lang w:eastAsia="cs-CZ"/>
    </w:rPr>
  </w:style>
  <w:style w:type="paragraph" w:customStyle="1" w:styleId="Zkladntext211">
    <w:name w:val="Základní text 211"/>
    <w:basedOn w:val="Normln"/>
    <w:uiPriority w:val="99"/>
    <w:rsid w:val="009617F5"/>
    <w:pPr>
      <w:jc w:val="both"/>
    </w:pPr>
    <w:rPr>
      <w:kern w:val="1"/>
      <w:szCs w:val="20"/>
      <w:lang w:eastAsia="ar-SA"/>
    </w:rPr>
  </w:style>
  <w:style w:type="paragraph" w:customStyle="1" w:styleId="Textbodu">
    <w:name w:val="Text bodu"/>
    <w:basedOn w:val="Normln"/>
    <w:rsid w:val="009617F5"/>
    <w:pPr>
      <w:numPr>
        <w:ilvl w:val="2"/>
        <w:numId w:val="106"/>
      </w:numPr>
      <w:suppressAutoHyphens w:val="0"/>
      <w:outlineLvl w:val="8"/>
    </w:pPr>
    <w:rPr>
      <w:lang w:eastAsia="cs-CZ"/>
    </w:rPr>
  </w:style>
  <w:style w:type="paragraph" w:customStyle="1" w:styleId="Textpsmene">
    <w:name w:val="Text písmene"/>
    <w:basedOn w:val="Normln"/>
    <w:rsid w:val="009617F5"/>
    <w:pPr>
      <w:numPr>
        <w:ilvl w:val="1"/>
        <w:numId w:val="106"/>
      </w:numPr>
      <w:suppressAutoHyphens w:val="0"/>
      <w:outlineLvl w:val="7"/>
    </w:pPr>
    <w:rPr>
      <w:lang w:eastAsia="cs-CZ"/>
    </w:rPr>
  </w:style>
  <w:style w:type="paragraph" w:customStyle="1" w:styleId="Textodstavce">
    <w:name w:val="Text odstavce"/>
    <w:basedOn w:val="Normln"/>
    <w:rsid w:val="009617F5"/>
    <w:pPr>
      <w:numPr>
        <w:numId w:val="106"/>
      </w:numPr>
      <w:tabs>
        <w:tab w:val="left" w:pos="851"/>
      </w:tabs>
      <w:suppressAutoHyphens w:val="0"/>
      <w:spacing w:before="120" w:after="120"/>
      <w:outlineLvl w:val="6"/>
    </w:pPr>
    <w:rPr>
      <w:lang w:eastAsia="cs-CZ"/>
    </w:rPr>
  </w:style>
  <w:style w:type="paragraph" w:customStyle="1" w:styleId="Sty3">
    <w:name w:val="Sty3"/>
    <w:basedOn w:val="Odstavecseseznamem"/>
    <w:link w:val="Sty3Char"/>
    <w:qFormat/>
    <w:rsid w:val="009617F5"/>
    <w:pPr>
      <w:autoSpaceDE w:val="0"/>
      <w:autoSpaceDN w:val="0"/>
      <w:adjustRightInd w:val="0"/>
      <w:spacing w:after="0" w:line="276" w:lineRule="auto"/>
      <w:ind w:left="0"/>
      <w:outlineLvl w:val="2"/>
    </w:pPr>
    <w:rPr>
      <w:rFonts w:ascii="Arial" w:eastAsia="Times New Roman" w:hAnsi="Arial"/>
      <w:b/>
      <w:snapToGrid w:val="0"/>
    </w:rPr>
  </w:style>
  <w:style w:type="paragraph" w:styleId="Nadpisobsahu">
    <w:name w:val="TOC Heading"/>
    <w:basedOn w:val="Nadpis1"/>
    <w:next w:val="Normln"/>
    <w:uiPriority w:val="39"/>
    <w:qFormat/>
    <w:rsid w:val="009617F5"/>
    <w:pPr>
      <w:suppressAutoHyphens w:val="0"/>
      <w:spacing w:before="480" w:line="276" w:lineRule="auto"/>
      <w:outlineLvl w:val="9"/>
    </w:pPr>
    <w:rPr>
      <w:rFonts w:ascii="Cambria" w:eastAsia="Times New Roman" w:hAnsi="Cambria" w:cs="Times New Roman"/>
      <w:b/>
      <w:bCs/>
      <w:color w:val="365F91"/>
      <w:sz w:val="28"/>
      <w:szCs w:val="28"/>
      <w:lang w:eastAsia="cs-CZ"/>
    </w:rPr>
  </w:style>
  <w:style w:type="character" w:customStyle="1" w:styleId="OdstavecseseznamemChar">
    <w:name w:val="Odstavec se seznamem Char"/>
    <w:link w:val="Odstavecseseznamem"/>
    <w:rsid w:val="009617F5"/>
    <w:rPr>
      <w:rFonts w:ascii="Calibri" w:eastAsia="Calibri" w:hAnsi="Calibri" w:cs="Times New Roman"/>
    </w:rPr>
  </w:style>
  <w:style w:type="character" w:customStyle="1" w:styleId="Sty3Char">
    <w:name w:val="Sty3 Char"/>
    <w:link w:val="Sty3"/>
    <w:rsid w:val="009617F5"/>
    <w:rPr>
      <w:rFonts w:ascii="Arial" w:eastAsia="Times New Roman" w:hAnsi="Arial" w:cs="Times New Roman"/>
      <w:b/>
      <w:snapToGrid w:val="0"/>
    </w:rPr>
  </w:style>
  <w:style w:type="paragraph" w:customStyle="1" w:styleId="NormlnIMP">
    <w:name w:val="Normální_IMP"/>
    <w:basedOn w:val="Normln"/>
    <w:link w:val="NormlnIMPChar"/>
    <w:rsid w:val="009617F5"/>
    <w:pPr>
      <w:spacing w:line="230" w:lineRule="auto"/>
    </w:pPr>
    <w:rPr>
      <w:sz w:val="20"/>
      <w:szCs w:val="20"/>
      <w:lang w:eastAsia="cs-CZ"/>
    </w:rPr>
  </w:style>
  <w:style w:type="character" w:customStyle="1" w:styleId="NormlnIMPChar">
    <w:name w:val="Normální_IMP Char"/>
    <w:link w:val="NormlnIMP"/>
    <w:rsid w:val="009617F5"/>
    <w:rPr>
      <w:rFonts w:ascii="Times New Roman" w:eastAsia="Times New Roman" w:hAnsi="Times New Roman" w:cs="Times New Roman"/>
      <w:sz w:val="20"/>
      <w:szCs w:val="20"/>
      <w:lang w:eastAsia="cs-CZ"/>
    </w:rPr>
  </w:style>
  <w:style w:type="paragraph" w:customStyle="1" w:styleId="PODPIS">
    <w:name w:val="PODPIS"/>
    <w:basedOn w:val="Normln"/>
    <w:autoRedefine/>
    <w:rsid w:val="009617F5"/>
    <w:pPr>
      <w:suppressAutoHyphens w:val="0"/>
      <w:jc w:val="both"/>
    </w:pPr>
    <w:rPr>
      <w:rFonts w:cs="Arial"/>
      <w:bCs/>
      <w:color w:val="000000"/>
      <w:szCs w:val="20"/>
      <w:lang w:eastAsia="cs-CZ"/>
    </w:rPr>
  </w:style>
  <w:style w:type="paragraph" w:customStyle="1" w:styleId="a0">
    <w:next w:val="Podtitul"/>
    <w:link w:val="PodtitulChar"/>
    <w:rsid w:val="00286F7D"/>
    <w:pPr>
      <w:autoSpaceDE w:val="0"/>
      <w:autoSpaceDN w:val="0"/>
      <w:adjustRightInd w:val="0"/>
      <w:spacing w:before="72" w:after="72" w:line="240" w:lineRule="auto"/>
    </w:pPr>
    <w:rPr>
      <w:rFonts w:ascii="Arial" w:eastAsia="Times New Roman" w:hAnsi="Arial" w:cs="Times New Roman"/>
      <w:b/>
      <w:bCs/>
      <w:color w:val="000000"/>
      <w:sz w:val="20"/>
      <w:szCs w:val="20"/>
      <w:lang w:eastAsia="cs-CZ"/>
    </w:rPr>
  </w:style>
  <w:style w:type="paragraph" w:customStyle="1" w:styleId="Zkladntextodsazen30">
    <w:name w:val="Základní text odsazený3"/>
    <w:basedOn w:val="Normln"/>
    <w:uiPriority w:val="99"/>
    <w:rsid w:val="00EF1DD2"/>
    <w:pPr>
      <w:ind w:left="708"/>
      <w:jc w:val="both"/>
    </w:pPr>
    <w:rPr>
      <w:lang w:eastAsia="ar-SA"/>
    </w:rPr>
  </w:style>
  <w:style w:type="paragraph" w:customStyle="1" w:styleId="Normln1">
    <w:name w:val="Normální 1"/>
    <w:basedOn w:val="Normln"/>
    <w:link w:val="Normln1Char"/>
    <w:qFormat/>
    <w:rsid w:val="00C66C1F"/>
    <w:pPr>
      <w:suppressAutoHyphens w:val="0"/>
      <w:spacing w:before="120" w:line="288" w:lineRule="auto"/>
      <w:ind w:firstLine="454"/>
      <w:jc w:val="both"/>
    </w:pPr>
    <w:rPr>
      <w:rFonts w:ascii="Arial" w:hAnsi="Arial"/>
      <w:sz w:val="22"/>
      <w:lang w:eastAsia="cs-CZ"/>
    </w:rPr>
  </w:style>
  <w:style w:type="character" w:customStyle="1" w:styleId="Normln1Char">
    <w:name w:val="Normální 1 Char"/>
    <w:link w:val="Normln1"/>
    <w:qFormat/>
    <w:locked/>
    <w:rsid w:val="00C66C1F"/>
    <w:rPr>
      <w:rFonts w:ascii="Arial" w:eastAsia="Times New Roman" w:hAnsi="Arial" w:cs="Times New Roman"/>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1177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9.jpeg"/><Relationship Id="rId299" Type="http://schemas.openxmlformats.org/officeDocument/2006/relationships/image" Target="media/image284.emf"/><Relationship Id="rId21" Type="http://schemas.openxmlformats.org/officeDocument/2006/relationships/image" Target="media/image13.jpeg"/><Relationship Id="rId63" Type="http://schemas.openxmlformats.org/officeDocument/2006/relationships/image" Target="media/image55.jpeg"/><Relationship Id="rId159" Type="http://schemas.openxmlformats.org/officeDocument/2006/relationships/image" Target="media/image151.png"/><Relationship Id="rId170" Type="http://schemas.openxmlformats.org/officeDocument/2006/relationships/image" Target="media/image162.png"/><Relationship Id="rId226" Type="http://schemas.openxmlformats.org/officeDocument/2006/relationships/image" Target="media/image217.jpeg"/><Relationship Id="rId268" Type="http://schemas.openxmlformats.org/officeDocument/2006/relationships/image" Target="media/image253.png"/><Relationship Id="rId32" Type="http://schemas.openxmlformats.org/officeDocument/2006/relationships/image" Target="media/image24.jpeg"/><Relationship Id="rId74" Type="http://schemas.openxmlformats.org/officeDocument/2006/relationships/image" Target="media/image66.jpeg"/><Relationship Id="rId128" Type="http://schemas.openxmlformats.org/officeDocument/2006/relationships/image" Target="media/image120.jpeg"/><Relationship Id="rId5" Type="http://schemas.openxmlformats.org/officeDocument/2006/relationships/webSettings" Target="webSettings.xml"/><Relationship Id="rId181" Type="http://schemas.openxmlformats.org/officeDocument/2006/relationships/image" Target="media/image172.png"/><Relationship Id="rId237" Type="http://schemas.openxmlformats.org/officeDocument/2006/relationships/image" Target="media/image228.emf"/><Relationship Id="rId279" Type="http://schemas.openxmlformats.org/officeDocument/2006/relationships/image" Target="media/image264.png"/><Relationship Id="rId43" Type="http://schemas.openxmlformats.org/officeDocument/2006/relationships/image" Target="media/image35.jpeg"/><Relationship Id="rId139" Type="http://schemas.openxmlformats.org/officeDocument/2006/relationships/image" Target="media/image131.jpeg"/><Relationship Id="rId290" Type="http://schemas.openxmlformats.org/officeDocument/2006/relationships/image" Target="media/image275.png"/><Relationship Id="rId304" Type="http://schemas.openxmlformats.org/officeDocument/2006/relationships/theme" Target="theme/theme1.xml"/><Relationship Id="rId85" Type="http://schemas.openxmlformats.org/officeDocument/2006/relationships/image" Target="media/image77.png"/><Relationship Id="rId150" Type="http://schemas.openxmlformats.org/officeDocument/2006/relationships/image" Target="media/image142.png"/><Relationship Id="rId192" Type="http://schemas.openxmlformats.org/officeDocument/2006/relationships/image" Target="media/image183.png"/><Relationship Id="rId206" Type="http://schemas.openxmlformats.org/officeDocument/2006/relationships/image" Target="media/image197.jpeg"/><Relationship Id="rId248" Type="http://schemas.openxmlformats.org/officeDocument/2006/relationships/image" Target="media/image239.jpeg"/><Relationship Id="rId12" Type="http://schemas.openxmlformats.org/officeDocument/2006/relationships/image" Target="media/image4.jpeg"/><Relationship Id="rId108" Type="http://schemas.openxmlformats.org/officeDocument/2006/relationships/image" Target="media/image100.jpeg"/><Relationship Id="rId54" Type="http://schemas.openxmlformats.org/officeDocument/2006/relationships/image" Target="media/image46.jpeg"/><Relationship Id="rId96" Type="http://schemas.openxmlformats.org/officeDocument/2006/relationships/image" Target="media/image88.jpeg"/><Relationship Id="rId161" Type="http://schemas.openxmlformats.org/officeDocument/2006/relationships/image" Target="media/image153.png"/><Relationship Id="rId217" Type="http://schemas.openxmlformats.org/officeDocument/2006/relationships/image" Target="media/image208.jpeg"/><Relationship Id="rId6" Type="http://schemas.openxmlformats.org/officeDocument/2006/relationships/footnotes" Target="footnotes.xml"/><Relationship Id="rId238" Type="http://schemas.openxmlformats.org/officeDocument/2006/relationships/image" Target="media/image229.emf"/><Relationship Id="rId259" Type="http://schemas.openxmlformats.org/officeDocument/2006/relationships/header" Target="header3.xml"/><Relationship Id="rId23" Type="http://schemas.openxmlformats.org/officeDocument/2006/relationships/image" Target="media/image15.jpeg"/><Relationship Id="rId119" Type="http://schemas.openxmlformats.org/officeDocument/2006/relationships/image" Target="media/image111.jpeg"/><Relationship Id="rId270" Type="http://schemas.openxmlformats.org/officeDocument/2006/relationships/image" Target="media/image255.png"/><Relationship Id="rId291" Type="http://schemas.openxmlformats.org/officeDocument/2006/relationships/image" Target="media/image276.jpeg"/><Relationship Id="rId44" Type="http://schemas.openxmlformats.org/officeDocument/2006/relationships/image" Target="media/image36.jpeg"/><Relationship Id="rId65" Type="http://schemas.openxmlformats.org/officeDocument/2006/relationships/image" Target="media/image57.jpeg"/><Relationship Id="rId86" Type="http://schemas.openxmlformats.org/officeDocument/2006/relationships/image" Target="media/image78.png"/><Relationship Id="rId130" Type="http://schemas.openxmlformats.org/officeDocument/2006/relationships/image" Target="media/image122.jpeg"/><Relationship Id="rId151" Type="http://schemas.openxmlformats.org/officeDocument/2006/relationships/image" Target="media/image143.png"/><Relationship Id="rId172" Type="http://schemas.openxmlformats.org/officeDocument/2006/relationships/image" Target="media/image164.png"/><Relationship Id="rId193" Type="http://schemas.openxmlformats.org/officeDocument/2006/relationships/image" Target="media/image184.png"/><Relationship Id="rId207" Type="http://schemas.openxmlformats.org/officeDocument/2006/relationships/image" Target="media/image198.jpeg"/><Relationship Id="rId228" Type="http://schemas.openxmlformats.org/officeDocument/2006/relationships/image" Target="media/image219.emf"/><Relationship Id="rId249" Type="http://schemas.openxmlformats.org/officeDocument/2006/relationships/image" Target="media/image240.jpeg"/><Relationship Id="rId13" Type="http://schemas.openxmlformats.org/officeDocument/2006/relationships/image" Target="media/image5.jpeg"/><Relationship Id="rId109" Type="http://schemas.openxmlformats.org/officeDocument/2006/relationships/image" Target="media/image101.jpeg"/><Relationship Id="rId260" Type="http://schemas.openxmlformats.org/officeDocument/2006/relationships/footer" Target="footer5.xml"/><Relationship Id="rId281" Type="http://schemas.openxmlformats.org/officeDocument/2006/relationships/image" Target="media/image266.png"/><Relationship Id="rId34" Type="http://schemas.openxmlformats.org/officeDocument/2006/relationships/image" Target="media/image26.jpeg"/><Relationship Id="rId55" Type="http://schemas.openxmlformats.org/officeDocument/2006/relationships/image" Target="media/image47.jpeg"/><Relationship Id="rId76" Type="http://schemas.openxmlformats.org/officeDocument/2006/relationships/image" Target="media/image68.jpeg"/><Relationship Id="rId97" Type="http://schemas.openxmlformats.org/officeDocument/2006/relationships/image" Target="media/image89.jpeg"/><Relationship Id="rId120" Type="http://schemas.openxmlformats.org/officeDocument/2006/relationships/image" Target="media/image112.jpeg"/><Relationship Id="rId141" Type="http://schemas.openxmlformats.org/officeDocument/2006/relationships/image" Target="media/image133.jpeg"/><Relationship Id="rId7" Type="http://schemas.openxmlformats.org/officeDocument/2006/relationships/endnotes" Target="endnotes.xml"/><Relationship Id="rId162" Type="http://schemas.openxmlformats.org/officeDocument/2006/relationships/image" Target="media/image154.png"/><Relationship Id="rId183" Type="http://schemas.openxmlformats.org/officeDocument/2006/relationships/image" Target="media/image174.png"/><Relationship Id="rId218" Type="http://schemas.openxmlformats.org/officeDocument/2006/relationships/image" Target="media/image209.jpeg"/><Relationship Id="rId239" Type="http://schemas.openxmlformats.org/officeDocument/2006/relationships/image" Target="media/image230.emf"/><Relationship Id="rId250" Type="http://schemas.openxmlformats.org/officeDocument/2006/relationships/image" Target="media/image241.jpeg"/><Relationship Id="rId271" Type="http://schemas.openxmlformats.org/officeDocument/2006/relationships/image" Target="media/image256.png"/><Relationship Id="rId292" Type="http://schemas.openxmlformats.org/officeDocument/2006/relationships/image" Target="media/image277.jpeg"/><Relationship Id="rId24" Type="http://schemas.openxmlformats.org/officeDocument/2006/relationships/image" Target="media/image16.jpeg"/><Relationship Id="rId45" Type="http://schemas.openxmlformats.org/officeDocument/2006/relationships/image" Target="media/image37.jpeg"/><Relationship Id="rId66" Type="http://schemas.openxmlformats.org/officeDocument/2006/relationships/image" Target="media/image58.jpeg"/><Relationship Id="rId87" Type="http://schemas.openxmlformats.org/officeDocument/2006/relationships/image" Target="media/image79.jpeg"/><Relationship Id="rId110" Type="http://schemas.openxmlformats.org/officeDocument/2006/relationships/image" Target="media/image102.jpeg"/><Relationship Id="rId131" Type="http://schemas.openxmlformats.org/officeDocument/2006/relationships/image" Target="media/image123.jpeg"/><Relationship Id="rId152" Type="http://schemas.openxmlformats.org/officeDocument/2006/relationships/image" Target="media/image144.png"/><Relationship Id="rId173" Type="http://schemas.openxmlformats.org/officeDocument/2006/relationships/image" Target="media/image165.png"/><Relationship Id="rId194" Type="http://schemas.openxmlformats.org/officeDocument/2006/relationships/image" Target="media/image185.png"/><Relationship Id="rId208" Type="http://schemas.openxmlformats.org/officeDocument/2006/relationships/image" Target="media/image199.jpeg"/><Relationship Id="rId229" Type="http://schemas.openxmlformats.org/officeDocument/2006/relationships/image" Target="media/image220.emf"/><Relationship Id="rId240" Type="http://schemas.openxmlformats.org/officeDocument/2006/relationships/image" Target="media/image231.jpeg"/><Relationship Id="rId261" Type="http://schemas.openxmlformats.org/officeDocument/2006/relationships/image" Target="media/image246.emf"/><Relationship Id="rId14" Type="http://schemas.openxmlformats.org/officeDocument/2006/relationships/image" Target="media/image6.jpeg"/><Relationship Id="rId35" Type="http://schemas.openxmlformats.org/officeDocument/2006/relationships/image" Target="media/image27.jpeg"/><Relationship Id="rId56" Type="http://schemas.openxmlformats.org/officeDocument/2006/relationships/image" Target="media/image48.jpeg"/><Relationship Id="rId77" Type="http://schemas.openxmlformats.org/officeDocument/2006/relationships/image" Target="media/image69.png"/><Relationship Id="rId100" Type="http://schemas.openxmlformats.org/officeDocument/2006/relationships/image" Target="media/image92.jpeg"/><Relationship Id="rId282" Type="http://schemas.openxmlformats.org/officeDocument/2006/relationships/image" Target="media/image267.png"/><Relationship Id="rId8" Type="http://schemas.openxmlformats.org/officeDocument/2006/relationships/image" Target="media/image1.jpeg"/><Relationship Id="rId98" Type="http://schemas.openxmlformats.org/officeDocument/2006/relationships/image" Target="media/image90.jpeg"/><Relationship Id="rId121" Type="http://schemas.openxmlformats.org/officeDocument/2006/relationships/image" Target="media/image113.jpeg"/><Relationship Id="rId142" Type="http://schemas.openxmlformats.org/officeDocument/2006/relationships/image" Target="media/image134.emf"/><Relationship Id="rId163" Type="http://schemas.openxmlformats.org/officeDocument/2006/relationships/image" Target="media/image155.png"/><Relationship Id="rId184" Type="http://schemas.openxmlformats.org/officeDocument/2006/relationships/image" Target="media/image175.png"/><Relationship Id="rId219" Type="http://schemas.openxmlformats.org/officeDocument/2006/relationships/image" Target="media/image210.emf"/><Relationship Id="rId230" Type="http://schemas.openxmlformats.org/officeDocument/2006/relationships/image" Target="media/image221.emf"/><Relationship Id="rId251" Type="http://schemas.openxmlformats.org/officeDocument/2006/relationships/image" Target="media/image242.jpeg"/><Relationship Id="rId25" Type="http://schemas.openxmlformats.org/officeDocument/2006/relationships/image" Target="media/image17.jpeg"/><Relationship Id="rId46" Type="http://schemas.openxmlformats.org/officeDocument/2006/relationships/image" Target="media/image38.png"/><Relationship Id="rId67" Type="http://schemas.openxmlformats.org/officeDocument/2006/relationships/image" Target="media/image59.png"/><Relationship Id="rId272" Type="http://schemas.openxmlformats.org/officeDocument/2006/relationships/image" Target="media/image257.png"/><Relationship Id="rId293" Type="http://schemas.openxmlformats.org/officeDocument/2006/relationships/image" Target="media/image278.png"/><Relationship Id="rId88" Type="http://schemas.openxmlformats.org/officeDocument/2006/relationships/image" Target="media/image80.jpeg"/><Relationship Id="rId111" Type="http://schemas.openxmlformats.org/officeDocument/2006/relationships/image" Target="media/image103.jpeg"/><Relationship Id="rId132" Type="http://schemas.openxmlformats.org/officeDocument/2006/relationships/image" Target="media/image124.jpeg"/><Relationship Id="rId153" Type="http://schemas.openxmlformats.org/officeDocument/2006/relationships/image" Target="media/image145.png"/><Relationship Id="rId174" Type="http://schemas.openxmlformats.org/officeDocument/2006/relationships/image" Target="media/image166.emf"/><Relationship Id="rId195" Type="http://schemas.openxmlformats.org/officeDocument/2006/relationships/image" Target="media/image186.png"/><Relationship Id="rId209" Type="http://schemas.openxmlformats.org/officeDocument/2006/relationships/image" Target="media/image200.jpeg"/><Relationship Id="rId220" Type="http://schemas.openxmlformats.org/officeDocument/2006/relationships/image" Target="media/image211.jpeg"/><Relationship Id="rId241" Type="http://schemas.openxmlformats.org/officeDocument/2006/relationships/image" Target="media/image232.emf"/><Relationship Id="rId15" Type="http://schemas.openxmlformats.org/officeDocument/2006/relationships/image" Target="media/image7.jpeg"/><Relationship Id="rId36" Type="http://schemas.openxmlformats.org/officeDocument/2006/relationships/image" Target="media/image28.jpeg"/><Relationship Id="rId57" Type="http://schemas.openxmlformats.org/officeDocument/2006/relationships/image" Target="media/image49.jpeg"/><Relationship Id="rId262" Type="http://schemas.openxmlformats.org/officeDocument/2006/relationships/image" Target="media/image247.emf"/><Relationship Id="rId283" Type="http://schemas.openxmlformats.org/officeDocument/2006/relationships/image" Target="media/image268.png"/><Relationship Id="rId78" Type="http://schemas.openxmlformats.org/officeDocument/2006/relationships/image" Target="media/image70.png"/><Relationship Id="rId99" Type="http://schemas.openxmlformats.org/officeDocument/2006/relationships/image" Target="media/image91.jpeg"/><Relationship Id="rId101" Type="http://schemas.openxmlformats.org/officeDocument/2006/relationships/image" Target="media/image93.jpeg"/><Relationship Id="rId122" Type="http://schemas.openxmlformats.org/officeDocument/2006/relationships/image" Target="media/image114.jpeg"/><Relationship Id="rId143" Type="http://schemas.openxmlformats.org/officeDocument/2006/relationships/image" Target="media/image135.emf"/><Relationship Id="rId164" Type="http://schemas.openxmlformats.org/officeDocument/2006/relationships/image" Target="media/image156.png"/><Relationship Id="rId185" Type="http://schemas.openxmlformats.org/officeDocument/2006/relationships/image" Target="media/image176.png"/><Relationship Id="rId9" Type="http://schemas.openxmlformats.org/officeDocument/2006/relationships/image" Target="media/image2.jpeg"/><Relationship Id="rId210" Type="http://schemas.openxmlformats.org/officeDocument/2006/relationships/image" Target="media/image201.emf"/><Relationship Id="rId26" Type="http://schemas.openxmlformats.org/officeDocument/2006/relationships/image" Target="media/image18.jpeg"/><Relationship Id="rId231" Type="http://schemas.openxmlformats.org/officeDocument/2006/relationships/image" Target="media/image222.jpeg"/><Relationship Id="rId252" Type="http://schemas.openxmlformats.org/officeDocument/2006/relationships/image" Target="media/image243.jpeg"/><Relationship Id="rId273" Type="http://schemas.openxmlformats.org/officeDocument/2006/relationships/image" Target="media/image258.png"/><Relationship Id="rId294" Type="http://schemas.openxmlformats.org/officeDocument/2006/relationships/image" Target="media/image279.png"/><Relationship Id="rId47" Type="http://schemas.openxmlformats.org/officeDocument/2006/relationships/image" Target="media/image39.png"/><Relationship Id="rId68" Type="http://schemas.openxmlformats.org/officeDocument/2006/relationships/image" Target="media/image60.png"/><Relationship Id="rId89" Type="http://schemas.openxmlformats.org/officeDocument/2006/relationships/image" Target="media/image81.jpeg"/><Relationship Id="rId112" Type="http://schemas.openxmlformats.org/officeDocument/2006/relationships/image" Target="media/image104.jpeg"/><Relationship Id="rId133" Type="http://schemas.openxmlformats.org/officeDocument/2006/relationships/image" Target="media/image125.jpeg"/><Relationship Id="rId154" Type="http://schemas.openxmlformats.org/officeDocument/2006/relationships/image" Target="media/image146.png"/><Relationship Id="rId175" Type="http://schemas.openxmlformats.org/officeDocument/2006/relationships/image" Target="media/image167.jpeg"/><Relationship Id="rId196" Type="http://schemas.openxmlformats.org/officeDocument/2006/relationships/image" Target="media/image187.png"/><Relationship Id="rId200" Type="http://schemas.openxmlformats.org/officeDocument/2006/relationships/image" Target="media/image191.jpeg"/><Relationship Id="rId16" Type="http://schemas.openxmlformats.org/officeDocument/2006/relationships/image" Target="media/image8.jpeg"/><Relationship Id="rId221" Type="http://schemas.openxmlformats.org/officeDocument/2006/relationships/image" Target="media/image212.jpeg"/><Relationship Id="rId242" Type="http://schemas.openxmlformats.org/officeDocument/2006/relationships/image" Target="media/image233.jpeg"/><Relationship Id="rId263" Type="http://schemas.openxmlformats.org/officeDocument/2006/relationships/image" Target="media/image248.png"/><Relationship Id="rId284" Type="http://schemas.openxmlformats.org/officeDocument/2006/relationships/image" Target="media/image269.png"/><Relationship Id="rId37" Type="http://schemas.openxmlformats.org/officeDocument/2006/relationships/image" Target="media/image29.jpeg"/><Relationship Id="rId58" Type="http://schemas.openxmlformats.org/officeDocument/2006/relationships/image" Target="media/image50.jpeg"/><Relationship Id="rId79" Type="http://schemas.openxmlformats.org/officeDocument/2006/relationships/image" Target="media/image71.png"/><Relationship Id="rId102" Type="http://schemas.openxmlformats.org/officeDocument/2006/relationships/image" Target="media/image94.jpeg"/><Relationship Id="rId123" Type="http://schemas.openxmlformats.org/officeDocument/2006/relationships/image" Target="media/image115.jpeg"/><Relationship Id="rId144" Type="http://schemas.openxmlformats.org/officeDocument/2006/relationships/image" Target="media/image136.emf"/><Relationship Id="rId90" Type="http://schemas.openxmlformats.org/officeDocument/2006/relationships/image" Target="media/image82.jpeg"/><Relationship Id="rId165" Type="http://schemas.openxmlformats.org/officeDocument/2006/relationships/image" Target="media/image157.png"/><Relationship Id="rId186" Type="http://schemas.openxmlformats.org/officeDocument/2006/relationships/image" Target="media/image177.png"/><Relationship Id="rId211" Type="http://schemas.openxmlformats.org/officeDocument/2006/relationships/image" Target="media/image202.png"/><Relationship Id="rId232" Type="http://schemas.openxmlformats.org/officeDocument/2006/relationships/image" Target="media/image223.jpeg"/><Relationship Id="rId253" Type="http://schemas.openxmlformats.org/officeDocument/2006/relationships/image" Target="media/image244.jpeg"/><Relationship Id="rId274" Type="http://schemas.openxmlformats.org/officeDocument/2006/relationships/image" Target="media/image259.png"/><Relationship Id="rId295" Type="http://schemas.openxmlformats.org/officeDocument/2006/relationships/image" Target="media/image280.png"/><Relationship Id="rId27" Type="http://schemas.openxmlformats.org/officeDocument/2006/relationships/image" Target="media/image19.jpeg"/><Relationship Id="rId48" Type="http://schemas.openxmlformats.org/officeDocument/2006/relationships/image" Target="media/image40.jpeg"/><Relationship Id="rId69" Type="http://schemas.openxmlformats.org/officeDocument/2006/relationships/image" Target="media/image61.png"/><Relationship Id="rId113" Type="http://schemas.openxmlformats.org/officeDocument/2006/relationships/image" Target="media/image105.jpeg"/><Relationship Id="rId134" Type="http://schemas.openxmlformats.org/officeDocument/2006/relationships/image" Target="media/image126.jpeg"/><Relationship Id="rId80" Type="http://schemas.openxmlformats.org/officeDocument/2006/relationships/image" Target="media/image72.png"/><Relationship Id="rId155" Type="http://schemas.openxmlformats.org/officeDocument/2006/relationships/image" Target="media/image147.png"/><Relationship Id="rId176" Type="http://schemas.openxmlformats.org/officeDocument/2006/relationships/image" Target="media/image168.jpeg"/><Relationship Id="rId197" Type="http://schemas.openxmlformats.org/officeDocument/2006/relationships/image" Target="media/image188.emf"/><Relationship Id="rId201" Type="http://schemas.openxmlformats.org/officeDocument/2006/relationships/image" Target="media/image192.jpeg"/><Relationship Id="rId222" Type="http://schemas.openxmlformats.org/officeDocument/2006/relationships/image" Target="media/image213.jpeg"/><Relationship Id="rId243" Type="http://schemas.openxmlformats.org/officeDocument/2006/relationships/image" Target="media/image234.jpeg"/><Relationship Id="rId264" Type="http://schemas.openxmlformats.org/officeDocument/2006/relationships/image" Target="media/image249.png"/><Relationship Id="rId285" Type="http://schemas.openxmlformats.org/officeDocument/2006/relationships/image" Target="media/image270.png"/><Relationship Id="rId17" Type="http://schemas.openxmlformats.org/officeDocument/2006/relationships/image" Target="media/image9.jpeg"/><Relationship Id="rId38" Type="http://schemas.openxmlformats.org/officeDocument/2006/relationships/image" Target="media/image30.jpeg"/><Relationship Id="rId59" Type="http://schemas.openxmlformats.org/officeDocument/2006/relationships/image" Target="media/image51.jpeg"/><Relationship Id="rId103" Type="http://schemas.openxmlformats.org/officeDocument/2006/relationships/image" Target="media/image95.jpeg"/><Relationship Id="rId124" Type="http://schemas.openxmlformats.org/officeDocument/2006/relationships/image" Target="media/image116.jpeg"/><Relationship Id="rId70" Type="http://schemas.openxmlformats.org/officeDocument/2006/relationships/image" Target="media/image62.emf"/><Relationship Id="rId91" Type="http://schemas.openxmlformats.org/officeDocument/2006/relationships/image" Target="media/image83.jpeg"/><Relationship Id="rId145" Type="http://schemas.openxmlformats.org/officeDocument/2006/relationships/image" Target="media/image137.emf"/><Relationship Id="rId166" Type="http://schemas.openxmlformats.org/officeDocument/2006/relationships/image" Target="media/image158.png"/><Relationship Id="rId187" Type="http://schemas.openxmlformats.org/officeDocument/2006/relationships/image" Target="media/image178.png"/><Relationship Id="rId1" Type="http://schemas.openxmlformats.org/officeDocument/2006/relationships/customXml" Target="../customXml/item1.xml"/><Relationship Id="rId212" Type="http://schemas.openxmlformats.org/officeDocument/2006/relationships/image" Target="media/image203.emf"/><Relationship Id="rId233" Type="http://schemas.openxmlformats.org/officeDocument/2006/relationships/image" Target="media/image224.emf"/><Relationship Id="rId254" Type="http://schemas.openxmlformats.org/officeDocument/2006/relationships/image" Target="media/image245.jpeg"/><Relationship Id="rId28" Type="http://schemas.openxmlformats.org/officeDocument/2006/relationships/image" Target="media/image20.jpeg"/><Relationship Id="rId49" Type="http://schemas.openxmlformats.org/officeDocument/2006/relationships/image" Target="media/image41.png"/><Relationship Id="rId114" Type="http://schemas.openxmlformats.org/officeDocument/2006/relationships/image" Target="media/image106.jpeg"/><Relationship Id="rId275" Type="http://schemas.openxmlformats.org/officeDocument/2006/relationships/image" Target="media/image260.png"/><Relationship Id="rId296" Type="http://schemas.openxmlformats.org/officeDocument/2006/relationships/image" Target="media/image281.png"/><Relationship Id="rId300" Type="http://schemas.openxmlformats.org/officeDocument/2006/relationships/image" Target="media/image285.png"/><Relationship Id="rId60" Type="http://schemas.openxmlformats.org/officeDocument/2006/relationships/image" Target="media/image52.jpeg"/><Relationship Id="rId81" Type="http://schemas.openxmlformats.org/officeDocument/2006/relationships/image" Target="media/image73.png"/><Relationship Id="rId135" Type="http://schemas.openxmlformats.org/officeDocument/2006/relationships/image" Target="media/image127.jpeg"/><Relationship Id="rId156" Type="http://schemas.openxmlformats.org/officeDocument/2006/relationships/image" Target="media/image148.png"/><Relationship Id="rId177" Type="http://schemas.openxmlformats.org/officeDocument/2006/relationships/image" Target="media/image169.jpeg"/><Relationship Id="rId198" Type="http://schemas.openxmlformats.org/officeDocument/2006/relationships/image" Target="media/image189.emf"/><Relationship Id="rId202" Type="http://schemas.openxmlformats.org/officeDocument/2006/relationships/image" Target="media/image193.jpeg"/><Relationship Id="rId223" Type="http://schemas.openxmlformats.org/officeDocument/2006/relationships/image" Target="media/image214.jpeg"/><Relationship Id="rId244" Type="http://schemas.openxmlformats.org/officeDocument/2006/relationships/image" Target="media/image235.jpeg"/><Relationship Id="rId18" Type="http://schemas.openxmlformats.org/officeDocument/2006/relationships/image" Target="media/image10.jpeg"/><Relationship Id="rId39" Type="http://schemas.openxmlformats.org/officeDocument/2006/relationships/image" Target="media/image31.jpeg"/><Relationship Id="rId265" Type="http://schemas.openxmlformats.org/officeDocument/2006/relationships/image" Target="media/image250.png"/><Relationship Id="rId286" Type="http://schemas.openxmlformats.org/officeDocument/2006/relationships/image" Target="media/image271.jpeg"/><Relationship Id="rId50" Type="http://schemas.openxmlformats.org/officeDocument/2006/relationships/image" Target="media/image42.png"/><Relationship Id="rId104" Type="http://schemas.openxmlformats.org/officeDocument/2006/relationships/image" Target="media/image96.jpeg"/><Relationship Id="rId125" Type="http://schemas.openxmlformats.org/officeDocument/2006/relationships/image" Target="media/image117.jpeg"/><Relationship Id="rId146" Type="http://schemas.openxmlformats.org/officeDocument/2006/relationships/image" Target="media/image138.png"/><Relationship Id="rId167" Type="http://schemas.openxmlformats.org/officeDocument/2006/relationships/image" Target="media/image159.emf"/><Relationship Id="rId188" Type="http://schemas.openxmlformats.org/officeDocument/2006/relationships/image" Target="media/image179.png"/><Relationship Id="rId71" Type="http://schemas.openxmlformats.org/officeDocument/2006/relationships/image" Target="media/image63.png"/><Relationship Id="rId92" Type="http://schemas.openxmlformats.org/officeDocument/2006/relationships/image" Target="media/image84.jpeg"/><Relationship Id="rId213" Type="http://schemas.openxmlformats.org/officeDocument/2006/relationships/image" Target="media/image204.emf"/><Relationship Id="rId234" Type="http://schemas.openxmlformats.org/officeDocument/2006/relationships/image" Target="media/image225.emf"/><Relationship Id="rId2" Type="http://schemas.openxmlformats.org/officeDocument/2006/relationships/numbering" Target="numbering.xml"/><Relationship Id="rId29" Type="http://schemas.openxmlformats.org/officeDocument/2006/relationships/image" Target="media/image21.jpeg"/><Relationship Id="rId255" Type="http://schemas.openxmlformats.org/officeDocument/2006/relationships/header" Target="header1.xml"/><Relationship Id="rId276" Type="http://schemas.openxmlformats.org/officeDocument/2006/relationships/image" Target="media/image261.png"/><Relationship Id="rId297" Type="http://schemas.openxmlformats.org/officeDocument/2006/relationships/image" Target="media/image282.png"/><Relationship Id="rId40" Type="http://schemas.openxmlformats.org/officeDocument/2006/relationships/image" Target="media/image32.jpeg"/><Relationship Id="rId115" Type="http://schemas.openxmlformats.org/officeDocument/2006/relationships/image" Target="media/image107.jpeg"/><Relationship Id="rId136" Type="http://schemas.openxmlformats.org/officeDocument/2006/relationships/image" Target="media/image128.jpeg"/><Relationship Id="rId157" Type="http://schemas.openxmlformats.org/officeDocument/2006/relationships/image" Target="media/image149.png"/><Relationship Id="rId178" Type="http://schemas.openxmlformats.org/officeDocument/2006/relationships/image" Target="media/image170.jpeg"/><Relationship Id="rId301" Type="http://schemas.openxmlformats.org/officeDocument/2006/relationships/image" Target="media/image286.png"/><Relationship Id="rId61" Type="http://schemas.openxmlformats.org/officeDocument/2006/relationships/image" Target="media/image53.jpeg"/><Relationship Id="rId82" Type="http://schemas.openxmlformats.org/officeDocument/2006/relationships/image" Target="media/image74.png"/><Relationship Id="rId199" Type="http://schemas.openxmlformats.org/officeDocument/2006/relationships/image" Target="media/image190.emf"/><Relationship Id="rId203" Type="http://schemas.openxmlformats.org/officeDocument/2006/relationships/image" Target="media/image194.jpeg"/><Relationship Id="rId19" Type="http://schemas.openxmlformats.org/officeDocument/2006/relationships/image" Target="media/image11.jpeg"/><Relationship Id="rId224" Type="http://schemas.openxmlformats.org/officeDocument/2006/relationships/image" Target="media/image215.emf"/><Relationship Id="rId245" Type="http://schemas.openxmlformats.org/officeDocument/2006/relationships/image" Target="media/image236.jpeg"/><Relationship Id="rId266" Type="http://schemas.openxmlformats.org/officeDocument/2006/relationships/image" Target="media/image251.png"/><Relationship Id="rId287" Type="http://schemas.openxmlformats.org/officeDocument/2006/relationships/image" Target="media/image272.jpeg"/><Relationship Id="rId30" Type="http://schemas.openxmlformats.org/officeDocument/2006/relationships/image" Target="media/image22.jpeg"/><Relationship Id="rId105" Type="http://schemas.openxmlformats.org/officeDocument/2006/relationships/image" Target="media/image97.jpeg"/><Relationship Id="rId126" Type="http://schemas.openxmlformats.org/officeDocument/2006/relationships/image" Target="media/image118.jpeg"/><Relationship Id="rId147" Type="http://schemas.openxmlformats.org/officeDocument/2006/relationships/image" Target="media/image139.png"/><Relationship Id="rId168" Type="http://schemas.openxmlformats.org/officeDocument/2006/relationships/image" Target="media/image160.emf"/><Relationship Id="rId51" Type="http://schemas.openxmlformats.org/officeDocument/2006/relationships/image" Target="media/image43.emf"/><Relationship Id="rId72" Type="http://schemas.openxmlformats.org/officeDocument/2006/relationships/image" Target="media/image64.jpeg"/><Relationship Id="rId93" Type="http://schemas.openxmlformats.org/officeDocument/2006/relationships/image" Target="media/image85.jpeg"/><Relationship Id="rId189" Type="http://schemas.openxmlformats.org/officeDocument/2006/relationships/image" Target="media/image180.png"/><Relationship Id="rId3" Type="http://schemas.openxmlformats.org/officeDocument/2006/relationships/styles" Target="styles.xml"/><Relationship Id="rId214" Type="http://schemas.openxmlformats.org/officeDocument/2006/relationships/image" Target="media/image205.emf"/><Relationship Id="rId235" Type="http://schemas.openxmlformats.org/officeDocument/2006/relationships/image" Target="media/image226.emf"/><Relationship Id="rId256" Type="http://schemas.openxmlformats.org/officeDocument/2006/relationships/header" Target="header2.xml"/><Relationship Id="rId277" Type="http://schemas.openxmlformats.org/officeDocument/2006/relationships/image" Target="media/image262.png"/><Relationship Id="rId298" Type="http://schemas.openxmlformats.org/officeDocument/2006/relationships/image" Target="media/image283.emf"/><Relationship Id="rId116" Type="http://schemas.openxmlformats.org/officeDocument/2006/relationships/image" Target="media/image108.jpeg"/><Relationship Id="rId137" Type="http://schemas.openxmlformats.org/officeDocument/2006/relationships/image" Target="media/image129.jpeg"/><Relationship Id="rId158" Type="http://schemas.openxmlformats.org/officeDocument/2006/relationships/image" Target="media/image150.png"/><Relationship Id="rId302" Type="http://schemas.openxmlformats.org/officeDocument/2006/relationships/image" Target="media/image287.png"/><Relationship Id="rId20" Type="http://schemas.openxmlformats.org/officeDocument/2006/relationships/image" Target="media/image12.jpeg"/><Relationship Id="rId41" Type="http://schemas.openxmlformats.org/officeDocument/2006/relationships/image" Target="media/image33.jpeg"/><Relationship Id="rId62" Type="http://schemas.openxmlformats.org/officeDocument/2006/relationships/image" Target="media/image54.jpeg"/><Relationship Id="rId83" Type="http://schemas.openxmlformats.org/officeDocument/2006/relationships/image" Target="media/image75.png"/><Relationship Id="rId179" Type="http://schemas.openxmlformats.org/officeDocument/2006/relationships/image" Target="media/image171.jpeg"/><Relationship Id="rId190" Type="http://schemas.openxmlformats.org/officeDocument/2006/relationships/image" Target="media/image181.png"/><Relationship Id="rId204" Type="http://schemas.openxmlformats.org/officeDocument/2006/relationships/image" Target="media/image195.jpeg"/><Relationship Id="rId225" Type="http://schemas.openxmlformats.org/officeDocument/2006/relationships/image" Target="media/image216.emf"/><Relationship Id="rId246" Type="http://schemas.openxmlformats.org/officeDocument/2006/relationships/image" Target="media/image237.jpeg"/><Relationship Id="rId267" Type="http://schemas.openxmlformats.org/officeDocument/2006/relationships/image" Target="media/image252.png"/><Relationship Id="rId288" Type="http://schemas.openxmlformats.org/officeDocument/2006/relationships/image" Target="media/image273.jpeg"/><Relationship Id="rId106" Type="http://schemas.openxmlformats.org/officeDocument/2006/relationships/image" Target="media/image98.jpeg"/><Relationship Id="rId127" Type="http://schemas.openxmlformats.org/officeDocument/2006/relationships/image" Target="media/image119.jpeg"/><Relationship Id="rId10" Type="http://schemas.openxmlformats.org/officeDocument/2006/relationships/footer" Target="footer1.xml"/><Relationship Id="rId31" Type="http://schemas.openxmlformats.org/officeDocument/2006/relationships/image" Target="media/image23.jpeg"/><Relationship Id="rId52" Type="http://schemas.openxmlformats.org/officeDocument/2006/relationships/image" Target="media/image44.emf"/><Relationship Id="rId73" Type="http://schemas.openxmlformats.org/officeDocument/2006/relationships/image" Target="media/image65.jpeg"/><Relationship Id="rId94" Type="http://schemas.openxmlformats.org/officeDocument/2006/relationships/image" Target="media/image86.jpeg"/><Relationship Id="rId148" Type="http://schemas.openxmlformats.org/officeDocument/2006/relationships/image" Target="media/image140.png"/><Relationship Id="rId169" Type="http://schemas.openxmlformats.org/officeDocument/2006/relationships/image" Target="media/image161.png"/><Relationship Id="rId4" Type="http://schemas.openxmlformats.org/officeDocument/2006/relationships/settings" Target="settings.xml"/><Relationship Id="rId180" Type="http://schemas.openxmlformats.org/officeDocument/2006/relationships/footer" Target="footer2.xml"/><Relationship Id="rId215" Type="http://schemas.openxmlformats.org/officeDocument/2006/relationships/image" Target="media/image206.jpeg"/><Relationship Id="rId236" Type="http://schemas.openxmlformats.org/officeDocument/2006/relationships/image" Target="media/image227.emf"/><Relationship Id="rId257" Type="http://schemas.openxmlformats.org/officeDocument/2006/relationships/footer" Target="footer3.xml"/><Relationship Id="rId278" Type="http://schemas.openxmlformats.org/officeDocument/2006/relationships/image" Target="media/image263.png"/><Relationship Id="rId303" Type="http://schemas.openxmlformats.org/officeDocument/2006/relationships/fontTable" Target="fontTable.xml"/><Relationship Id="rId42" Type="http://schemas.openxmlformats.org/officeDocument/2006/relationships/image" Target="media/image34.jpeg"/><Relationship Id="rId84" Type="http://schemas.openxmlformats.org/officeDocument/2006/relationships/image" Target="media/image76.png"/><Relationship Id="rId138" Type="http://schemas.openxmlformats.org/officeDocument/2006/relationships/image" Target="media/image130.jpeg"/><Relationship Id="rId191" Type="http://schemas.openxmlformats.org/officeDocument/2006/relationships/image" Target="media/image182.png"/><Relationship Id="rId205" Type="http://schemas.openxmlformats.org/officeDocument/2006/relationships/image" Target="media/image196.jpeg"/><Relationship Id="rId247" Type="http://schemas.openxmlformats.org/officeDocument/2006/relationships/image" Target="media/image238.jpeg"/><Relationship Id="rId107" Type="http://schemas.openxmlformats.org/officeDocument/2006/relationships/image" Target="media/image99.jpeg"/><Relationship Id="rId289" Type="http://schemas.openxmlformats.org/officeDocument/2006/relationships/image" Target="media/image274.jpeg"/><Relationship Id="rId11" Type="http://schemas.openxmlformats.org/officeDocument/2006/relationships/image" Target="media/image3.jpeg"/><Relationship Id="rId53" Type="http://schemas.openxmlformats.org/officeDocument/2006/relationships/image" Target="media/image45.png"/><Relationship Id="rId149" Type="http://schemas.openxmlformats.org/officeDocument/2006/relationships/image" Target="media/image141.png"/><Relationship Id="rId95" Type="http://schemas.openxmlformats.org/officeDocument/2006/relationships/image" Target="media/image87.jpeg"/><Relationship Id="rId160" Type="http://schemas.openxmlformats.org/officeDocument/2006/relationships/image" Target="media/image152.png"/><Relationship Id="rId216" Type="http://schemas.openxmlformats.org/officeDocument/2006/relationships/image" Target="media/image207.jpeg"/><Relationship Id="rId258" Type="http://schemas.openxmlformats.org/officeDocument/2006/relationships/footer" Target="footer4.xml"/><Relationship Id="rId22" Type="http://schemas.openxmlformats.org/officeDocument/2006/relationships/image" Target="media/image14.jpeg"/><Relationship Id="rId64" Type="http://schemas.openxmlformats.org/officeDocument/2006/relationships/image" Target="media/image56.jpeg"/><Relationship Id="rId118" Type="http://schemas.openxmlformats.org/officeDocument/2006/relationships/image" Target="media/image110.jpeg"/><Relationship Id="rId171" Type="http://schemas.openxmlformats.org/officeDocument/2006/relationships/image" Target="media/image163.emf"/><Relationship Id="rId227" Type="http://schemas.openxmlformats.org/officeDocument/2006/relationships/image" Target="media/image218.jpeg"/><Relationship Id="rId269" Type="http://schemas.openxmlformats.org/officeDocument/2006/relationships/image" Target="media/image254.png"/><Relationship Id="rId33" Type="http://schemas.openxmlformats.org/officeDocument/2006/relationships/image" Target="media/image25.jpeg"/><Relationship Id="rId129" Type="http://schemas.openxmlformats.org/officeDocument/2006/relationships/image" Target="media/image121.jpeg"/><Relationship Id="rId280" Type="http://schemas.openxmlformats.org/officeDocument/2006/relationships/image" Target="media/image265.png"/><Relationship Id="rId75" Type="http://schemas.openxmlformats.org/officeDocument/2006/relationships/image" Target="media/image67.jpeg"/><Relationship Id="rId140" Type="http://schemas.openxmlformats.org/officeDocument/2006/relationships/image" Target="media/image132.jpeg"/><Relationship Id="rId182" Type="http://schemas.openxmlformats.org/officeDocument/2006/relationships/image" Target="media/image173.pn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558C28-753A-44BD-A4F1-F49C82ECA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5161</TotalTime>
  <Pages>545</Pages>
  <Words>130892</Words>
  <Characters>772267</Characters>
  <Application>Microsoft Office Word</Application>
  <DocSecurity>0</DocSecurity>
  <Lines>6435</Lines>
  <Paragraphs>1802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901357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Liliane Doktor</dc:creator>
  <cp:keywords/>
  <dc:description/>
  <cp:lastModifiedBy>Liliane Doktor</cp:lastModifiedBy>
  <cp:revision>149</cp:revision>
  <dcterms:created xsi:type="dcterms:W3CDTF">2024-04-15T09:38:00Z</dcterms:created>
  <dcterms:modified xsi:type="dcterms:W3CDTF">2025-01-07T11:24:00Z</dcterms:modified>
</cp:coreProperties>
</file>